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header13.xml" ContentType="application/vnd.openxmlformats-officedocument.wordprocessingml.header+xml"/>
  <Override PartName="/word/footer14.xml" ContentType="application/vnd.openxmlformats-officedocument.wordprocessingml.footer+xml"/>
  <Override PartName="/word/header14.xml" ContentType="application/vnd.openxmlformats-officedocument.wordprocessingml.header+xml"/>
  <Override PartName="/word/footer15.xml" ContentType="application/vnd.openxmlformats-officedocument.wordprocessingml.footer+xml"/>
  <Override PartName="/word/header15.xml" ContentType="application/vnd.openxmlformats-officedocument.wordprocessingml.header+xml"/>
  <Override PartName="/word/footer16.xml" ContentType="application/vnd.openxmlformats-officedocument.wordprocessingml.footer+xml"/>
  <Override PartName="/word/header16.xml" ContentType="application/vnd.openxmlformats-officedocument.wordprocessingml.header+xml"/>
  <Override PartName="/word/footer17.xml" ContentType="application/vnd.openxmlformats-officedocument.wordprocessingml.footer+xml"/>
  <Override PartName="/word/header17.xml" ContentType="application/vnd.openxmlformats-officedocument.wordprocessingml.header+xml"/>
  <Override PartName="/word/footer18.xml" ContentType="application/vnd.openxmlformats-officedocument.wordprocessingml.footer+xml"/>
  <Override PartName="/word/header18.xml" ContentType="application/vnd.openxmlformats-officedocument.wordprocessingml.header+xml"/>
  <Override PartName="/word/footer19.xml" ContentType="application/vnd.openxmlformats-officedocument.wordprocessingml.footer+xml"/>
  <Default Extension="jpeg" ContentType="image/jpeg"/>
  <Override PartName="/word/header19.xml" ContentType="application/vnd.openxmlformats-officedocument.wordprocessingml.header+xml"/>
  <Override PartName="/word/footer20.xml" ContentType="application/vnd.openxmlformats-officedocument.wordprocessingml.footer+xml"/>
  <Override PartName="/word/header20.xml" ContentType="application/vnd.openxmlformats-officedocument.wordprocessingml.header+xml"/>
  <Override PartName="/word/footer21.xml" ContentType="application/vnd.openxmlformats-officedocument.wordprocessingml.footer+xml"/>
  <Override PartName="/word/header21.xml" ContentType="application/vnd.openxmlformats-officedocument.wordprocessingml.header+xml"/>
  <Override PartName="/word/footer22.xml" ContentType="application/vnd.openxmlformats-officedocument.wordprocessingml.footer+xml"/>
  <Override PartName="/word/header22.xml" ContentType="application/vnd.openxmlformats-officedocument.wordprocessingml.header+xml"/>
  <Override PartName="/word/footer23.xml" ContentType="application/vnd.openxmlformats-officedocument.wordprocessingml.footer+xml"/>
  <Override PartName="/word/header23.xml" ContentType="application/vnd.openxmlformats-officedocument.wordprocessingml.header+xml"/>
  <Override PartName="/word/footer24.xml" ContentType="application/vnd.openxmlformats-officedocument.wordprocessingml.footer+xml"/>
  <Override PartName="/word/header24.xml" ContentType="application/vnd.openxmlformats-officedocument.wordprocessingml.header+xml"/>
  <Override PartName="/word/footer25.xml" ContentType="application/vnd.openxmlformats-officedocument.wordprocessingml.footer+xml"/>
  <Override PartName="/word/header25.xml" ContentType="application/vnd.openxmlformats-officedocument.wordprocessingml.header+xml"/>
  <Override PartName="/word/footer26.xml" ContentType="application/vnd.openxmlformats-officedocument.wordprocessingml.footer+xml"/>
  <Override PartName="/word/header26.xml" ContentType="application/vnd.openxmlformats-officedocument.wordprocessingml.header+xml"/>
  <Override PartName="/word/footer27.xml" ContentType="application/vnd.openxmlformats-officedocument.wordprocessingml.footer+xml"/>
  <Override PartName="/word/header27.xml" ContentType="application/vnd.openxmlformats-officedocument.wordprocessingml.header+xml"/>
  <Override PartName="/word/footer28.xml" ContentType="application/vnd.openxmlformats-officedocument.wordprocessingml.footer+xml"/>
  <Override PartName="/word/header28.xml" ContentType="application/vnd.openxmlformats-officedocument.wordprocessingml.header+xml"/>
  <Override PartName="/word/footer29.xml" ContentType="application/vnd.openxmlformats-officedocument.wordprocessingml.footer+xml"/>
  <Override PartName="/word/header29.xml" ContentType="application/vnd.openxmlformats-officedocument.wordprocessingml.header+xml"/>
  <Override PartName="/word/footer30.xml" ContentType="application/vnd.openxmlformats-officedocument.wordprocessingml.footer+xml"/>
  <Override PartName="/word/header30.xml" ContentType="application/vnd.openxmlformats-officedocument.wordprocessingml.header+xml"/>
  <Override PartName="/word/footer31.xml" ContentType="application/vnd.openxmlformats-officedocument.wordprocessingml.footer+xml"/>
  <Override PartName="/word/header31.xml" ContentType="application/vnd.openxmlformats-officedocument.wordprocessingml.header+xml"/>
  <Override PartName="/word/footer32.xml" ContentType="application/vnd.openxmlformats-officedocument.wordprocessingml.footer+xml"/>
  <Override PartName="/word/header32.xml" ContentType="application/vnd.openxmlformats-officedocument.wordprocessingml.header+xml"/>
  <Override PartName="/word/footer33.xml" ContentType="application/vnd.openxmlformats-officedocument.wordprocessingml.footer+xml"/>
  <Override PartName="/word/header33.xml" ContentType="application/vnd.openxmlformats-officedocument.wordprocessingml.header+xml"/>
  <Override PartName="/word/footer34.xml" ContentType="application/vnd.openxmlformats-officedocument.wordprocessingml.footer+xml"/>
  <Override PartName="/word/header34.xml" ContentType="application/vnd.openxmlformats-officedocument.wordprocessingml.header+xml"/>
  <Override PartName="/word/footer35.xml" ContentType="application/vnd.openxmlformats-officedocument.wordprocessingml.footer+xml"/>
  <Override PartName="/word/header35.xml" ContentType="application/vnd.openxmlformats-officedocument.wordprocessingml.header+xml"/>
  <Override PartName="/word/footer36.xml" ContentType="application/vnd.openxmlformats-officedocument.wordprocessingml.footer+xml"/>
  <Override PartName="/word/header36.xml" ContentType="application/vnd.openxmlformats-officedocument.wordprocessingml.header+xml"/>
  <Override PartName="/word/footer37.xml" ContentType="application/vnd.openxmlformats-officedocument.wordprocessingml.footer+xml"/>
  <Override PartName="/word/header37.xml" ContentType="application/vnd.openxmlformats-officedocument.wordprocessingml.header+xml"/>
  <Override PartName="/word/footer38.xml" ContentType="application/vnd.openxmlformats-officedocument.wordprocessingml.footer+xml"/>
  <Override PartName="/word/header38.xml" ContentType="application/vnd.openxmlformats-officedocument.wordprocessingml.header+xml"/>
  <Override PartName="/word/footer39.xml" ContentType="application/vnd.openxmlformats-officedocument.wordprocessingml.footer+xml"/>
  <Override PartName="/word/header39.xml" ContentType="application/vnd.openxmlformats-officedocument.wordprocessingml.header+xml"/>
  <Override PartName="/word/footer40.xml" ContentType="application/vnd.openxmlformats-officedocument.wordprocessingml.footer+xml"/>
  <Override PartName="/word/header40.xml" ContentType="application/vnd.openxmlformats-officedocument.wordprocessingml.header+xml"/>
  <Override PartName="/word/footer41.xml" ContentType="application/vnd.openxmlformats-officedocument.wordprocessingml.footer+xml"/>
  <Override PartName="/word/header41.xml" ContentType="application/vnd.openxmlformats-officedocument.wordprocessingml.header+xml"/>
  <Override PartName="/word/footer42.xml" ContentType="application/vnd.openxmlformats-officedocument.wordprocessingml.footer+xml"/>
  <Override PartName="/word/header42.xml" ContentType="application/vnd.openxmlformats-officedocument.wordprocessingml.header+xml"/>
  <Override PartName="/word/footer43.xml" ContentType="application/vnd.openxmlformats-officedocument.wordprocessingml.footer+xml"/>
  <Override PartName="/word/header43.xml" ContentType="application/vnd.openxmlformats-officedocument.wordprocessingml.header+xml"/>
  <Override PartName="/word/footer44.xml" ContentType="application/vnd.openxmlformats-officedocument.wordprocessingml.footer+xml"/>
  <Override PartName="/word/header44.xml" ContentType="application/vnd.openxmlformats-officedocument.wordprocessingml.header+xml"/>
  <Override PartName="/word/footer45.xml" ContentType="application/vnd.openxmlformats-officedocument.wordprocessingml.footer+xml"/>
  <Override PartName="/word/header45.xml" ContentType="application/vnd.openxmlformats-officedocument.wordprocessingml.header+xml"/>
  <Override PartName="/word/footer46.xml" ContentType="application/vnd.openxmlformats-officedocument.wordprocessingml.footer+xml"/>
  <Override PartName="/word/header46.xml" ContentType="application/vnd.openxmlformats-officedocument.wordprocessingml.header+xml"/>
  <Override PartName="/word/footer47.xml" ContentType="application/vnd.openxmlformats-officedocument.wordprocessingml.footer+xml"/>
  <Override PartName="/word/header47.xml" ContentType="application/vnd.openxmlformats-officedocument.wordprocessingml.header+xml"/>
  <Override PartName="/word/footer48.xml" ContentType="application/vnd.openxmlformats-officedocument.wordprocessingml.footer+xml"/>
  <Override PartName="/word/header48.xml" ContentType="application/vnd.openxmlformats-officedocument.wordprocessingml.header+xml"/>
  <Override PartName="/word/footer49.xml" ContentType="application/vnd.openxmlformats-officedocument.wordprocessingml.footer+xml"/>
  <Override PartName="/word/header49.xml" ContentType="application/vnd.openxmlformats-officedocument.wordprocessingml.header+xml"/>
  <Override PartName="/word/footer50.xml" ContentType="application/vnd.openxmlformats-officedocument.wordprocessingml.footer+xml"/>
  <Override PartName="/word/header50.xml" ContentType="application/vnd.openxmlformats-officedocument.wordprocessingml.header+xml"/>
  <Override PartName="/word/footer51.xml" ContentType="application/vnd.openxmlformats-officedocument.wordprocessingml.footer+xml"/>
  <Override PartName="/word/header51.xml" ContentType="application/vnd.openxmlformats-officedocument.wordprocessingml.header+xml"/>
  <Override PartName="/word/footer52.xml" ContentType="application/vnd.openxmlformats-officedocument.wordprocessingml.footer+xml"/>
  <Override PartName="/word/header52.xml" ContentType="application/vnd.openxmlformats-officedocument.wordprocessingml.header+xml"/>
  <Override PartName="/word/footer53.xml" ContentType="application/vnd.openxmlformats-officedocument.wordprocessingml.footer+xml"/>
  <Override PartName="/word/header53.xml" ContentType="application/vnd.openxmlformats-officedocument.wordprocessingml.header+xml"/>
  <Override PartName="/word/footer54.xml" ContentType="application/vnd.openxmlformats-officedocument.wordprocessingml.footer+xml"/>
  <Override PartName="/word/header54.xml" ContentType="application/vnd.openxmlformats-officedocument.wordprocessingml.header+xml"/>
  <Override PartName="/word/footer55.xml" ContentType="application/vnd.openxmlformats-officedocument.wordprocessingml.footer+xml"/>
  <Override PartName="/word/header55.xml" ContentType="application/vnd.openxmlformats-officedocument.wordprocessingml.header+xml"/>
  <Override PartName="/word/footer56.xml" ContentType="application/vnd.openxmlformats-officedocument.wordprocessingml.footer+xml"/>
  <Override PartName="/word/header56.xml" ContentType="application/vnd.openxmlformats-officedocument.wordprocessingml.header+xml"/>
  <Override PartName="/word/footer57.xml" ContentType="application/vnd.openxmlformats-officedocument.wordprocessingml.footer+xml"/>
  <Override PartName="/word/header57.xml" ContentType="application/vnd.openxmlformats-officedocument.wordprocessingml.header+xml"/>
  <Override PartName="/word/footer58.xml" ContentType="application/vnd.openxmlformats-officedocument.wordprocessingml.footer+xml"/>
  <Override PartName="/word/header58.xml" ContentType="application/vnd.openxmlformats-officedocument.wordprocessingml.header+xml"/>
  <Override PartName="/word/footer59.xml" ContentType="application/vnd.openxmlformats-officedocument.wordprocessingml.footer+xml"/>
  <Override PartName="/word/header59.xml" ContentType="application/vnd.openxmlformats-officedocument.wordprocessingml.header+xml"/>
  <Override PartName="/word/footer60.xml" ContentType="application/vnd.openxmlformats-officedocument.wordprocessingml.footer+xml"/>
  <Override PartName="/word/header60.xml" ContentType="application/vnd.openxmlformats-officedocument.wordprocessingml.header+xml"/>
  <Override PartName="/word/footer61.xml" ContentType="application/vnd.openxmlformats-officedocument.wordprocessingml.footer+xml"/>
  <Override PartName="/word/header61.xml" ContentType="application/vnd.openxmlformats-officedocument.wordprocessingml.header+xml"/>
  <Override PartName="/word/footer62.xml" ContentType="application/vnd.openxmlformats-officedocument.wordprocessingml.footer+xml"/>
  <Override PartName="/word/header62.xml" ContentType="application/vnd.openxmlformats-officedocument.wordprocessingml.header+xml"/>
  <Override PartName="/word/footer63.xml" ContentType="application/vnd.openxmlformats-officedocument.wordprocessingml.footer+xml"/>
  <Override PartName="/word/header63.xml" ContentType="application/vnd.openxmlformats-officedocument.wordprocessingml.header+xml"/>
  <Override PartName="/word/footer64.xml" ContentType="application/vnd.openxmlformats-officedocument.wordprocessingml.footer+xml"/>
  <Override PartName="/word/header64.xml" ContentType="application/vnd.openxmlformats-officedocument.wordprocessingml.header+xml"/>
  <Override PartName="/word/footer65.xml" ContentType="application/vnd.openxmlformats-officedocument.wordprocessingml.footer+xml"/>
  <Override PartName="/word/header65.xml" ContentType="application/vnd.openxmlformats-officedocument.wordprocessingml.header+xml"/>
  <Override PartName="/word/footer66.xml" ContentType="application/vnd.openxmlformats-officedocument.wordprocessingml.footer+xml"/>
  <Override PartName="/word/header66.xml" ContentType="application/vnd.openxmlformats-officedocument.wordprocessingml.header+xml"/>
  <Override PartName="/word/footer67.xml" ContentType="application/vnd.openxmlformats-officedocument.wordprocessingml.footer+xml"/>
  <Override PartName="/word/header67.xml" ContentType="application/vnd.openxmlformats-officedocument.wordprocessingml.header+xml"/>
  <Override PartName="/word/footer68.xml" ContentType="application/vnd.openxmlformats-officedocument.wordprocessingml.footer+xml"/>
  <Override PartName="/word/header68.xml" ContentType="application/vnd.openxmlformats-officedocument.wordprocessingml.header+xml"/>
  <Override PartName="/word/footer69.xml" ContentType="application/vnd.openxmlformats-officedocument.wordprocessingml.footer+xml"/>
  <Override PartName="/word/header69.xml" ContentType="application/vnd.openxmlformats-officedocument.wordprocessingml.header+xml"/>
  <Override PartName="/word/footer70.xml" ContentType="application/vnd.openxmlformats-officedocument.wordprocessingml.footer+xml"/>
  <Override PartName="/word/header70.xml" ContentType="application/vnd.openxmlformats-officedocument.wordprocessingml.header+xml"/>
  <Override PartName="/word/footer7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38"/>
        <w:ind w:left="133" w:right="0" w:firstLine="0"/>
        <w:jc w:val="left"/>
        <w:rPr>
          <w:rFonts w:ascii="Palatino Linotype"/>
          <w:b/>
          <w:sz w:val="58"/>
        </w:rPr>
      </w:pPr>
      <w:r>
        <w:rPr/>
        <mc:AlternateContent>
          <mc:Choice Requires="wps">
            <w:drawing>
              <wp:anchor distT="0" distB="0" distL="0" distR="0" allowOverlap="1" layoutInCell="1" locked="0" behindDoc="1" simplePos="0" relativeHeight="482550272">
                <wp:simplePos x="0" y="0"/>
                <wp:positionH relativeFrom="page">
                  <wp:posOffset>0</wp:posOffset>
                </wp:positionH>
                <wp:positionV relativeFrom="page">
                  <wp:posOffset>0</wp:posOffset>
                </wp:positionV>
                <wp:extent cx="7772400" cy="10058400"/>
                <wp:effectExtent l="0" t="0" r="0" b="0"/>
                <wp:wrapNone/>
                <wp:docPr id="1" name="Group 1"/>
                <wp:cNvGraphicFramePr>
                  <a:graphicFrameLocks/>
                </wp:cNvGraphicFramePr>
                <a:graphic>
                  <a:graphicData uri="http://schemas.microsoft.com/office/word/2010/wordprocessingGroup">
                    <wpg:wgp>
                      <wpg:cNvPr id="1" name="Group 1"/>
                      <wpg:cNvGrpSpPr/>
                      <wpg:grpSpPr>
                        <a:xfrm>
                          <a:off x="0" y="0"/>
                          <a:ext cx="7772400" cy="10058400"/>
                          <a:chExt cx="7772400" cy="10058400"/>
                        </a:xfrm>
                      </wpg:grpSpPr>
                      <pic:pic>
                        <pic:nvPicPr>
                          <pic:cNvPr id="2" name="Image 2"/>
                          <pic:cNvPicPr/>
                        </pic:nvPicPr>
                        <pic:blipFill>
                          <a:blip r:embed="rId5" cstate="print"/>
                          <a:stretch>
                            <a:fillRect/>
                          </a:stretch>
                        </pic:blipFill>
                        <pic:spPr>
                          <a:xfrm>
                            <a:off x="0" y="0"/>
                            <a:ext cx="7772399" cy="10058399"/>
                          </a:xfrm>
                          <a:prstGeom prst="rect">
                            <a:avLst/>
                          </a:prstGeom>
                        </pic:spPr>
                      </pic:pic>
                      <pic:pic>
                        <pic:nvPicPr>
                          <pic:cNvPr id="3" name="Image 3"/>
                          <pic:cNvPicPr/>
                        </pic:nvPicPr>
                        <pic:blipFill>
                          <a:blip r:embed="rId6" cstate="print"/>
                          <a:stretch>
                            <a:fillRect/>
                          </a:stretch>
                        </pic:blipFill>
                        <pic:spPr>
                          <a:xfrm>
                            <a:off x="3115893" y="3203811"/>
                            <a:ext cx="4656506" cy="5309779"/>
                          </a:xfrm>
                          <a:prstGeom prst="rect">
                            <a:avLst/>
                          </a:prstGeom>
                        </pic:spPr>
                      </pic:pic>
                      <wps:wsp>
                        <wps:cNvPr id="4" name="Graphic 4"/>
                        <wps:cNvSpPr/>
                        <wps:spPr>
                          <a:xfrm>
                            <a:off x="595680" y="191197"/>
                            <a:ext cx="19050" cy="9602470"/>
                          </a:xfrm>
                          <a:custGeom>
                            <a:avLst/>
                            <a:gdLst/>
                            <a:ahLst/>
                            <a:cxnLst/>
                            <a:rect l="l" t="t" r="r" b="b"/>
                            <a:pathLst>
                              <a:path w="19050" h="9602470">
                                <a:moveTo>
                                  <a:pt x="19050" y="7516088"/>
                                </a:moveTo>
                                <a:lnTo>
                                  <a:pt x="0" y="7516088"/>
                                </a:lnTo>
                                <a:lnTo>
                                  <a:pt x="0" y="9601962"/>
                                </a:lnTo>
                                <a:lnTo>
                                  <a:pt x="19050" y="9601962"/>
                                </a:lnTo>
                                <a:lnTo>
                                  <a:pt x="19050" y="7516088"/>
                                </a:lnTo>
                                <a:close/>
                              </a:path>
                              <a:path w="19050" h="9602470">
                                <a:moveTo>
                                  <a:pt x="19050" y="7413066"/>
                                </a:moveTo>
                                <a:lnTo>
                                  <a:pt x="0" y="7413066"/>
                                </a:lnTo>
                                <a:lnTo>
                                  <a:pt x="0" y="7439888"/>
                                </a:lnTo>
                                <a:lnTo>
                                  <a:pt x="19050" y="7439888"/>
                                </a:lnTo>
                                <a:lnTo>
                                  <a:pt x="19050" y="7413066"/>
                                </a:lnTo>
                                <a:close/>
                              </a:path>
                              <a:path w="19050" h="9602470">
                                <a:moveTo>
                                  <a:pt x="19050" y="0"/>
                                </a:moveTo>
                                <a:lnTo>
                                  <a:pt x="0" y="0"/>
                                </a:lnTo>
                                <a:lnTo>
                                  <a:pt x="0" y="7336866"/>
                                </a:lnTo>
                                <a:lnTo>
                                  <a:pt x="19050" y="7336866"/>
                                </a:lnTo>
                                <a:lnTo>
                                  <a:pt x="19050" y="0"/>
                                </a:lnTo>
                                <a:close/>
                              </a:path>
                            </a:pathLst>
                          </a:custGeom>
                          <a:solidFill>
                            <a:srgbClr val="3489A1"/>
                          </a:solidFill>
                        </wps:spPr>
                        <wps:bodyPr wrap="square" lIns="0" tIns="0" rIns="0" bIns="0" rtlCol="0">
                          <a:prstTxWarp prst="textNoShape">
                            <a:avLst/>
                          </a:prstTxWarp>
                          <a:noAutofit/>
                        </wps:bodyPr>
                      </wps:wsp>
                      <wps:wsp>
                        <wps:cNvPr id="5" name="Graphic 5"/>
                        <wps:cNvSpPr/>
                        <wps:spPr>
                          <a:xfrm>
                            <a:off x="5171528" y="2513692"/>
                            <a:ext cx="970915" cy="3762375"/>
                          </a:xfrm>
                          <a:custGeom>
                            <a:avLst/>
                            <a:gdLst/>
                            <a:ahLst/>
                            <a:cxnLst/>
                            <a:rect l="l" t="t" r="r" b="b"/>
                            <a:pathLst>
                              <a:path w="970915" h="3762375">
                                <a:moveTo>
                                  <a:pt x="970898" y="3762230"/>
                                </a:moveTo>
                                <a:lnTo>
                                  <a:pt x="0" y="3762230"/>
                                </a:lnTo>
                                <a:lnTo>
                                  <a:pt x="0" y="0"/>
                                </a:lnTo>
                                <a:lnTo>
                                  <a:pt x="970898" y="0"/>
                                </a:lnTo>
                                <a:lnTo>
                                  <a:pt x="970898" y="3762230"/>
                                </a:lnTo>
                                <a:close/>
                              </a:path>
                            </a:pathLst>
                          </a:custGeom>
                          <a:solidFill>
                            <a:srgbClr val="77D4E3"/>
                          </a:solidFill>
                        </wps:spPr>
                        <wps:bodyPr wrap="square" lIns="0" tIns="0" rIns="0" bIns="0" rtlCol="0">
                          <a:prstTxWarp prst="textNoShape">
                            <a:avLst/>
                          </a:prstTxWarp>
                          <a:noAutofit/>
                        </wps:bodyPr>
                      </wps:wsp>
                      <wps:wsp>
                        <wps:cNvPr id="6" name="Graphic 6"/>
                        <wps:cNvSpPr/>
                        <wps:spPr>
                          <a:xfrm>
                            <a:off x="4982303" y="2948990"/>
                            <a:ext cx="378460" cy="2282825"/>
                          </a:xfrm>
                          <a:custGeom>
                            <a:avLst/>
                            <a:gdLst/>
                            <a:ahLst/>
                            <a:cxnLst/>
                            <a:rect l="l" t="t" r="r" b="b"/>
                            <a:pathLst>
                              <a:path w="378460" h="2282825">
                                <a:moveTo>
                                  <a:pt x="378450" y="2282530"/>
                                </a:moveTo>
                                <a:lnTo>
                                  <a:pt x="0" y="2282530"/>
                                </a:lnTo>
                                <a:lnTo>
                                  <a:pt x="0" y="0"/>
                                </a:lnTo>
                                <a:lnTo>
                                  <a:pt x="378450" y="0"/>
                                </a:lnTo>
                                <a:lnTo>
                                  <a:pt x="378450" y="2282530"/>
                                </a:lnTo>
                                <a:close/>
                              </a:path>
                            </a:pathLst>
                          </a:custGeom>
                          <a:solidFill>
                            <a:srgbClr val="F1E35C"/>
                          </a:solidFill>
                        </wps:spPr>
                        <wps:bodyPr wrap="square" lIns="0" tIns="0" rIns="0" bIns="0" rtlCol="0">
                          <a:prstTxWarp prst="textNoShape">
                            <a:avLst/>
                          </a:prstTxWarp>
                          <a:noAutofit/>
                        </wps:bodyPr>
                      </wps:wsp>
                      <wps:wsp>
                        <wps:cNvPr id="7" name="Graphic 7"/>
                        <wps:cNvSpPr/>
                        <wps:spPr>
                          <a:xfrm>
                            <a:off x="6459266" y="7942398"/>
                            <a:ext cx="852805" cy="2115185"/>
                          </a:xfrm>
                          <a:custGeom>
                            <a:avLst/>
                            <a:gdLst/>
                            <a:ahLst/>
                            <a:cxnLst/>
                            <a:rect l="l" t="t" r="r" b="b"/>
                            <a:pathLst>
                              <a:path w="852805" h="2115185">
                                <a:moveTo>
                                  <a:pt x="852653" y="2114981"/>
                                </a:moveTo>
                                <a:lnTo>
                                  <a:pt x="0" y="2114981"/>
                                </a:lnTo>
                                <a:lnTo>
                                  <a:pt x="0" y="0"/>
                                </a:lnTo>
                                <a:lnTo>
                                  <a:pt x="852653" y="0"/>
                                </a:lnTo>
                                <a:lnTo>
                                  <a:pt x="852653" y="2114981"/>
                                </a:lnTo>
                                <a:close/>
                              </a:path>
                            </a:pathLst>
                          </a:custGeom>
                          <a:solidFill>
                            <a:srgbClr val="77D4E3"/>
                          </a:solidFill>
                        </wps:spPr>
                        <wps:bodyPr wrap="square" lIns="0" tIns="0" rIns="0" bIns="0" rtlCol="0">
                          <a:prstTxWarp prst="textNoShape">
                            <a:avLst/>
                          </a:prstTxWarp>
                          <a:noAutofit/>
                        </wps:bodyPr>
                      </wps:wsp>
                      <wps:wsp>
                        <wps:cNvPr id="8" name="Graphic 8"/>
                        <wps:cNvSpPr/>
                        <wps:spPr>
                          <a:xfrm>
                            <a:off x="3104058" y="3170186"/>
                            <a:ext cx="4668520" cy="5523865"/>
                          </a:xfrm>
                          <a:custGeom>
                            <a:avLst/>
                            <a:gdLst/>
                            <a:ahLst/>
                            <a:cxnLst/>
                            <a:rect l="l" t="t" r="r" b="b"/>
                            <a:pathLst>
                              <a:path w="4668520" h="5523865">
                                <a:moveTo>
                                  <a:pt x="2586304" y="5283276"/>
                                </a:moveTo>
                                <a:lnTo>
                                  <a:pt x="2521623" y="5271935"/>
                                </a:lnTo>
                                <a:lnTo>
                                  <a:pt x="2477427" y="5263185"/>
                                </a:lnTo>
                                <a:lnTo>
                                  <a:pt x="2433383" y="5253710"/>
                                </a:lnTo>
                                <a:lnTo>
                                  <a:pt x="2389505" y="5243512"/>
                                </a:lnTo>
                                <a:lnTo>
                                  <a:pt x="2345804" y="5232578"/>
                                </a:lnTo>
                                <a:lnTo>
                                  <a:pt x="2302294" y="5220932"/>
                                </a:lnTo>
                                <a:lnTo>
                                  <a:pt x="2258974" y="5208562"/>
                                </a:lnTo>
                                <a:lnTo>
                                  <a:pt x="2215870" y="5195481"/>
                                </a:lnTo>
                                <a:lnTo>
                                  <a:pt x="2172970" y="5181676"/>
                                </a:lnTo>
                                <a:lnTo>
                                  <a:pt x="2130310" y="5167173"/>
                                </a:lnTo>
                                <a:lnTo>
                                  <a:pt x="2087994" y="5151996"/>
                                </a:lnTo>
                                <a:lnTo>
                                  <a:pt x="2045690" y="5136032"/>
                                </a:lnTo>
                                <a:lnTo>
                                  <a:pt x="2003755" y="5119395"/>
                                </a:lnTo>
                                <a:lnTo>
                                  <a:pt x="1962086" y="5102072"/>
                                </a:lnTo>
                                <a:lnTo>
                                  <a:pt x="1920697" y="5084038"/>
                                </a:lnTo>
                                <a:lnTo>
                                  <a:pt x="1879600" y="5065306"/>
                                </a:lnTo>
                                <a:lnTo>
                                  <a:pt x="1838794" y="5045888"/>
                                </a:lnTo>
                                <a:lnTo>
                                  <a:pt x="1798281" y="5025783"/>
                                </a:lnTo>
                                <a:lnTo>
                                  <a:pt x="1758099" y="5004981"/>
                                </a:lnTo>
                                <a:lnTo>
                                  <a:pt x="1718233" y="4983492"/>
                                </a:lnTo>
                                <a:lnTo>
                                  <a:pt x="1678698" y="4961331"/>
                                </a:lnTo>
                                <a:lnTo>
                                  <a:pt x="1639519" y="4938484"/>
                                </a:lnTo>
                                <a:lnTo>
                                  <a:pt x="1600682" y="4914951"/>
                                </a:lnTo>
                                <a:lnTo>
                                  <a:pt x="1562214" y="4890744"/>
                                </a:lnTo>
                                <a:lnTo>
                                  <a:pt x="1524127" y="4865865"/>
                                </a:lnTo>
                                <a:lnTo>
                                  <a:pt x="1486408" y="4840325"/>
                                </a:lnTo>
                                <a:lnTo>
                                  <a:pt x="1449095" y="4814100"/>
                                </a:lnTo>
                                <a:lnTo>
                                  <a:pt x="1412176" y="4787227"/>
                                </a:lnTo>
                                <a:lnTo>
                                  <a:pt x="1375676" y="4759680"/>
                                </a:lnTo>
                                <a:lnTo>
                                  <a:pt x="1339596" y="4731474"/>
                                </a:lnTo>
                                <a:lnTo>
                                  <a:pt x="1303959" y="4702607"/>
                                </a:lnTo>
                                <a:lnTo>
                                  <a:pt x="1268755" y="4673092"/>
                                </a:lnTo>
                                <a:lnTo>
                                  <a:pt x="1233995" y="4642917"/>
                                </a:lnTo>
                                <a:lnTo>
                                  <a:pt x="1199718" y="4612094"/>
                                </a:lnTo>
                                <a:lnTo>
                                  <a:pt x="1165898" y="4580623"/>
                                </a:lnTo>
                                <a:lnTo>
                                  <a:pt x="1132560" y="4548505"/>
                                </a:lnTo>
                                <a:lnTo>
                                  <a:pt x="1099718" y="4515751"/>
                                </a:lnTo>
                                <a:lnTo>
                                  <a:pt x="1067384" y="4482350"/>
                                </a:lnTo>
                                <a:lnTo>
                                  <a:pt x="1035558" y="4448314"/>
                                </a:lnTo>
                                <a:lnTo>
                                  <a:pt x="1004239" y="4413643"/>
                                </a:lnTo>
                                <a:lnTo>
                                  <a:pt x="973467" y="4378337"/>
                                </a:lnTo>
                                <a:lnTo>
                                  <a:pt x="943229" y="4342409"/>
                                </a:lnTo>
                                <a:lnTo>
                                  <a:pt x="913549" y="4305846"/>
                                </a:lnTo>
                                <a:lnTo>
                                  <a:pt x="884428" y="4268660"/>
                                </a:lnTo>
                                <a:lnTo>
                                  <a:pt x="855865" y="4230852"/>
                                </a:lnTo>
                                <a:lnTo>
                                  <a:pt x="827900" y="4192422"/>
                                </a:lnTo>
                                <a:lnTo>
                                  <a:pt x="800519" y="4153382"/>
                                </a:lnTo>
                                <a:lnTo>
                                  <a:pt x="773734" y="4113720"/>
                                </a:lnTo>
                                <a:lnTo>
                                  <a:pt x="747560" y="4073448"/>
                                </a:lnTo>
                                <a:lnTo>
                                  <a:pt x="722007" y="4032567"/>
                                </a:lnTo>
                                <a:lnTo>
                                  <a:pt x="697090" y="3991076"/>
                                </a:lnTo>
                                <a:lnTo>
                                  <a:pt x="672896" y="3949154"/>
                                </a:lnTo>
                                <a:lnTo>
                                  <a:pt x="649554" y="3906977"/>
                                </a:lnTo>
                                <a:lnTo>
                                  <a:pt x="627037" y="3864546"/>
                                </a:lnTo>
                                <a:lnTo>
                                  <a:pt x="605345" y="3821887"/>
                                </a:lnTo>
                                <a:lnTo>
                                  <a:pt x="584492" y="3778999"/>
                                </a:lnTo>
                                <a:lnTo>
                                  <a:pt x="564464" y="3735895"/>
                                </a:lnTo>
                                <a:lnTo>
                                  <a:pt x="545261" y="3692588"/>
                                </a:lnTo>
                                <a:lnTo>
                                  <a:pt x="526872" y="3649078"/>
                                </a:lnTo>
                                <a:lnTo>
                                  <a:pt x="509308" y="3605390"/>
                                </a:lnTo>
                                <a:lnTo>
                                  <a:pt x="492556" y="3561511"/>
                                </a:lnTo>
                                <a:lnTo>
                                  <a:pt x="476618" y="3517481"/>
                                </a:lnTo>
                                <a:lnTo>
                                  <a:pt x="461492" y="3473285"/>
                                </a:lnTo>
                                <a:lnTo>
                                  <a:pt x="447179" y="3428936"/>
                                </a:lnTo>
                                <a:lnTo>
                                  <a:pt x="433755" y="3384740"/>
                                </a:lnTo>
                                <a:lnTo>
                                  <a:pt x="420954" y="3339846"/>
                                </a:lnTo>
                                <a:lnTo>
                                  <a:pt x="409054" y="3295116"/>
                                </a:lnTo>
                                <a:lnTo>
                                  <a:pt x="397941" y="3250285"/>
                                </a:lnTo>
                                <a:lnTo>
                                  <a:pt x="387629" y="3205340"/>
                                </a:lnTo>
                                <a:lnTo>
                                  <a:pt x="378104" y="3160318"/>
                                </a:lnTo>
                                <a:lnTo>
                                  <a:pt x="369366" y="3115221"/>
                                </a:lnTo>
                                <a:lnTo>
                                  <a:pt x="361429" y="3070047"/>
                                </a:lnTo>
                                <a:lnTo>
                                  <a:pt x="354266" y="3024809"/>
                                </a:lnTo>
                                <a:lnTo>
                                  <a:pt x="347891" y="2979534"/>
                                </a:lnTo>
                                <a:lnTo>
                                  <a:pt x="342303" y="2934220"/>
                                </a:lnTo>
                                <a:lnTo>
                                  <a:pt x="337489" y="2888869"/>
                                </a:lnTo>
                                <a:lnTo>
                                  <a:pt x="333438" y="2843492"/>
                                </a:lnTo>
                                <a:lnTo>
                                  <a:pt x="330174" y="2798114"/>
                                </a:lnTo>
                                <a:lnTo>
                                  <a:pt x="327672" y="2752737"/>
                                </a:lnTo>
                                <a:lnTo>
                                  <a:pt x="325945" y="2707360"/>
                                </a:lnTo>
                                <a:lnTo>
                                  <a:pt x="324980" y="2662021"/>
                                </a:lnTo>
                                <a:lnTo>
                                  <a:pt x="324777" y="2616695"/>
                                </a:lnTo>
                                <a:lnTo>
                                  <a:pt x="325323" y="2571419"/>
                                </a:lnTo>
                                <a:lnTo>
                                  <a:pt x="326644" y="2526182"/>
                                </a:lnTo>
                                <a:lnTo>
                                  <a:pt x="328714" y="2481008"/>
                                </a:lnTo>
                                <a:lnTo>
                                  <a:pt x="331533" y="2435898"/>
                                </a:lnTo>
                                <a:lnTo>
                                  <a:pt x="335102" y="2390876"/>
                                </a:lnTo>
                                <a:lnTo>
                                  <a:pt x="339420" y="2345931"/>
                                </a:lnTo>
                                <a:lnTo>
                                  <a:pt x="344474" y="2301100"/>
                                </a:lnTo>
                                <a:lnTo>
                                  <a:pt x="350278" y="2256371"/>
                                </a:lnTo>
                                <a:lnTo>
                                  <a:pt x="356819" y="2211755"/>
                                </a:lnTo>
                                <a:lnTo>
                                  <a:pt x="364109" y="2167267"/>
                                </a:lnTo>
                                <a:lnTo>
                                  <a:pt x="372122" y="2122919"/>
                                </a:lnTo>
                                <a:lnTo>
                                  <a:pt x="380860" y="2078710"/>
                                </a:lnTo>
                                <a:lnTo>
                                  <a:pt x="390334" y="2034667"/>
                                </a:lnTo>
                                <a:lnTo>
                                  <a:pt x="400545" y="1990801"/>
                                </a:lnTo>
                                <a:lnTo>
                                  <a:pt x="411467" y="1947100"/>
                                </a:lnTo>
                                <a:lnTo>
                                  <a:pt x="423113" y="1903577"/>
                                </a:lnTo>
                                <a:lnTo>
                                  <a:pt x="435483" y="1860270"/>
                                </a:lnTo>
                                <a:lnTo>
                                  <a:pt x="448564" y="1817154"/>
                                </a:lnTo>
                                <a:lnTo>
                                  <a:pt x="462368" y="1774266"/>
                                </a:lnTo>
                                <a:lnTo>
                                  <a:pt x="476872" y="1731594"/>
                                </a:lnTo>
                                <a:lnTo>
                                  <a:pt x="492099" y="1689163"/>
                                </a:lnTo>
                                <a:lnTo>
                                  <a:pt x="508025" y="1646974"/>
                                </a:lnTo>
                                <a:lnTo>
                                  <a:pt x="524649" y="1605051"/>
                                </a:lnTo>
                                <a:lnTo>
                                  <a:pt x="541985" y="1563382"/>
                                </a:lnTo>
                                <a:lnTo>
                                  <a:pt x="560006" y="1521993"/>
                                </a:lnTo>
                                <a:lnTo>
                                  <a:pt x="578739" y="1480896"/>
                                </a:lnTo>
                                <a:lnTo>
                                  <a:pt x="598157" y="1440091"/>
                                </a:lnTo>
                                <a:lnTo>
                                  <a:pt x="618261" y="1399578"/>
                                </a:lnTo>
                                <a:lnTo>
                                  <a:pt x="639064" y="1359395"/>
                                </a:lnTo>
                                <a:lnTo>
                                  <a:pt x="660006" y="1320533"/>
                                </a:lnTo>
                                <a:lnTo>
                                  <a:pt x="471805" y="1000874"/>
                                </a:lnTo>
                                <a:lnTo>
                                  <a:pt x="437515" y="1056132"/>
                                </a:lnTo>
                                <a:lnTo>
                                  <a:pt x="414324" y="1095171"/>
                                </a:lnTo>
                                <a:lnTo>
                                  <a:pt x="391744" y="1134541"/>
                                </a:lnTo>
                                <a:lnTo>
                                  <a:pt x="369773" y="1174203"/>
                                </a:lnTo>
                                <a:lnTo>
                                  <a:pt x="348411" y="1214170"/>
                                </a:lnTo>
                                <a:lnTo>
                                  <a:pt x="327672" y="1254429"/>
                                </a:lnTo>
                                <a:lnTo>
                                  <a:pt x="307543" y="1294968"/>
                                </a:lnTo>
                                <a:lnTo>
                                  <a:pt x="288036" y="1335773"/>
                                </a:lnTo>
                                <a:lnTo>
                                  <a:pt x="269138" y="1376845"/>
                                </a:lnTo>
                                <a:lnTo>
                                  <a:pt x="250875" y="1418170"/>
                                </a:lnTo>
                                <a:lnTo>
                                  <a:pt x="233222" y="1459750"/>
                                </a:lnTo>
                                <a:lnTo>
                                  <a:pt x="216204" y="1501571"/>
                                </a:lnTo>
                                <a:lnTo>
                                  <a:pt x="199809" y="1543634"/>
                                </a:lnTo>
                                <a:lnTo>
                                  <a:pt x="184048" y="1585912"/>
                                </a:lnTo>
                                <a:lnTo>
                                  <a:pt x="168922" y="1628406"/>
                                </a:lnTo>
                                <a:lnTo>
                                  <a:pt x="154419" y="1671116"/>
                                </a:lnTo>
                                <a:lnTo>
                                  <a:pt x="140563" y="1714030"/>
                                </a:lnTo>
                                <a:lnTo>
                                  <a:pt x="127342" y="1757133"/>
                                </a:lnTo>
                                <a:lnTo>
                                  <a:pt x="114757" y="1800428"/>
                                </a:lnTo>
                                <a:lnTo>
                                  <a:pt x="102819" y="1843900"/>
                                </a:lnTo>
                                <a:lnTo>
                                  <a:pt x="91516" y="1887537"/>
                                </a:lnTo>
                                <a:lnTo>
                                  <a:pt x="80873" y="1931352"/>
                                </a:lnTo>
                                <a:lnTo>
                                  <a:pt x="70866" y="1975307"/>
                                </a:lnTo>
                                <a:lnTo>
                                  <a:pt x="61518" y="2019414"/>
                                </a:lnTo>
                                <a:lnTo>
                                  <a:pt x="52819" y="2063661"/>
                                </a:lnTo>
                                <a:lnTo>
                                  <a:pt x="44767" y="2108047"/>
                                </a:lnTo>
                                <a:lnTo>
                                  <a:pt x="37376" y="2152548"/>
                                </a:lnTo>
                                <a:lnTo>
                                  <a:pt x="30645" y="2197163"/>
                                </a:lnTo>
                                <a:lnTo>
                                  <a:pt x="24574" y="2241893"/>
                                </a:lnTo>
                                <a:lnTo>
                                  <a:pt x="19177" y="2286724"/>
                                </a:lnTo>
                                <a:lnTo>
                                  <a:pt x="14427" y="2331643"/>
                                </a:lnTo>
                                <a:lnTo>
                                  <a:pt x="10350" y="2376640"/>
                                </a:lnTo>
                                <a:lnTo>
                                  <a:pt x="6946" y="2421725"/>
                                </a:lnTo>
                                <a:lnTo>
                                  <a:pt x="4203" y="2466873"/>
                                </a:lnTo>
                                <a:lnTo>
                                  <a:pt x="2133" y="2512085"/>
                                </a:lnTo>
                                <a:lnTo>
                                  <a:pt x="749" y="2557348"/>
                                </a:lnTo>
                                <a:lnTo>
                                  <a:pt x="38" y="2602661"/>
                                </a:lnTo>
                                <a:lnTo>
                                  <a:pt x="0" y="2647861"/>
                                </a:lnTo>
                                <a:lnTo>
                                  <a:pt x="647" y="2693378"/>
                                </a:lnTo>
                                <a:lnTo>
                                  <a:pt x="1968" y="2738780"/>
                                </a:lnTo>
                                <a:lnTo>
                                  <a:pt x="3987" y="2784183"/>
                                </a:lnTo>
                                <a:lnTo>
                                  <a:pt x="5943" y="2817164"/>
                                </a:lnTo>
                                <a:lnTo>
                                  <a:pt x="6680" y="2829598"/>
                                </a:lnTo>
                                <a:lnTo>
                                  <a:pt x="10071" y="2875013"/>
                                </a:lnTo>
                                <a:lnTo>
                                  <a:pt x="14147" y="2920428"/>
                                </a:lnTo>
                                <a:lnTo>
                                  <a:pt x="18923" y="2965805"/>
                                </a:lnTo>
                                <a:lnTo>
                                  <a:pt x="24396" y="3011170"/>
                                </a:lnTo>
                                <a:lnTo>
                                  <a:pt x="30556" y="3056509"/>
                                </a:lnTo>
                                <a:lnTo>
                                  <a:pt x="37426" y="3101797"/>
                                </a:lnTo>
                                <a:lnTo>
                                  <a:pt x="44983" y="3147034"/>
                                </a:lnTo>
                                <a:lnTo>
                                  <a:pt x="53251" y="3192208"/>
                                </a:lnTo>
                                <a:lnTo>
                                  <a:pt x="62230" y="3237331"/>
                                </a:lnTo>
                                <a:lnTo>
                                  <a:pt x="71907" y="3282378"/>
                                </a:lnTo>
                                <a:lnTo>
                                  <a:pt x="82296" y="3327336"/>
                                </a:lnTo>
                                <a:lnTo>
                                  <a:pt x="93395" y="3372218"/>
                                </a:lnTo>
                                <a:lnTo>
                                  <a:pt x="105206" y="3416998"/>
                                </a:lnTo>
                                <a:lnTo>
                                  <a:pt x="117741" y="3461664"/>
                                </a:lnTo>
                                <a:lnTo>
                                  <a:pt x="130987" y="3506228"/>
                                </a:lnTo>
                                <a:lnTo>
                                  <a:pt x="144945" y="3550678"/>
                                </a:lnTo>
                                <a:lnTo>
                                  <a:pt x="159639" y="3594989"/>
                                </a:lnTo>
                                <a:lnTo>
                                  <a:pt x="175044" y="3639172"/>
                                </a:lnTo>
                                <a:lnTo>
                                  <a:pt x="191185" y="3683216"/>
                                </a:lnTo>
                                <a:lnTo>
                                  <a:pt x="208038" y="3727094"/>
                                </a:lnTo>
                                <a:lnTo>
                                  <a:pt x="225640" y="3770820"/>
                                </a:lnTo>
                                <a:lnTo>
                                  <a:pt x="243967" y="3814381"/>
                                </a:lnTo>
                                <a:lnTo>
                                  <a:pt x="263017" y="3857764"/>
                                </a:lnTo>
                                <a:lnTo>
                                  <a:pt x="282816" y="3900970"/>
                                </a:lnTo>
                                <a:lnTo>
                                  <a:pt x="303339" y="3943985"/>
                                </a:lnTo>
                                <a:lnTo>
                                  <a:pt x="324612" y="3986796"/>
                                </a:lnTo>
                                <a:lnTo>
                                  <a:pt x="346633" y="4029405"/>
                                </a:lnTo>
                                <a:lnTo>
                                  <a:pt x="369379" y="4071797"/>
                                </a:lnTo>
                                <a:lnTo>
                                  <a:pt x="392887" y="4113974"/>
                                </a:lnTo>
                                <a:lnTo>
                                  <a:pt x="417144" y="4155922"/>
                                </a:lnTo>
                                <a:lnTo>
                                  <a:pt x="442048" y="4197477"/>
                                </a:lnTo>
                                <a:lnTo>
                                  <a:pt x="467512" y="4238485"/>
                                </a:lnTo>
                                <a:lnTo>
                                  <a:pt x="493547" y="4278947"/>
                                </a:lnTo>
                                <a:lnTo>
                                  <a:pt x="520128" y="4318876"/>
                                </a:lnTo>
                                <a:lnTo>
                                  <a:pt x="547243" y="4358246"/>
                                </a:lnTo>
                                <a:lnTo>
                                  <a:pt x="574890" y="4397070"/>
                                </a:lnTo>
                                <a:lnTo>
                                  <a:pt x="603059" y="4435335"/>
                                </a:lnTo>
                                <a:lnTo>
                                  <a:pt x="631748" y="4473054"/>
                                </a:lnTo>
                                <a:lnTo>
                                  <a:pt x="660946" y="4510202"/>
                                </a:lnTo>
                                <a:lnTo>
                                  <a:pt x="690651" y="4546803"/>
                                </a:lnTo>
                                <a:lnTo>
                                  <a:pt x="720839" y="4582846"/>
                                </a:lnTo>
                                <a:lnTo>
                                  <a:pt x="751522" y="4618317"/>
                                </a:lnTo>
                                <a:lnTo>
                                  <a:pt x="782675" y="4653229"/>
                                </a:lnTo>
                                <a:lnTo>
                                  <a:pt x="814298" y="4687582"/>
                                </a:lnTo>
                                <a:lnTo>
                                  <a:pt x="846391" y="4721352"/>
                                </a:lnTo>
                                <a:lnTo>
                                  <a:pt x="878928" y="4754550"/>
                                </a:lnTo>
                                <a:lnTo>
                                  <a:pt x="911910" y="4787189"/>
                                </a:lnTo>
                                <a:lnTo>
                                  <a:pt x="945337" y="4819243"/>
                                </a:lnTo>
                                <a:lnTo>
                                  <a:pt x="979195" y="4850727"/>
                                </a:lnTo>
                                <a:lnTo>
                                  <a:pt x="1013472" y="4881626"/>
                                </a:lnTo>
                                <a:lnTo>
                                  <a:pt x="1048156" y="4911941"/>
                                </a:lnTo>
                                <a:lnTo>
                                  <a:pt x="1083259" y="4941684"/>
                                </a:lnTo>
                                <a:lnTo>
                                  <a:pt x="1118755" y="4970831"/>
                                </a:lnTo>
                                <a:lnTo>
                                  <a:pt x="1154633" y="4999393"/>
                                </a:lnTo>
                                <a:lnTo>
                                  <a:pt x="1190904" y="5027371"/>
                                </a:lnTo>
                                <a:lnTo>
                                  <a:pt x="1227556" y="5054752"/>
                                </a:lnTo>
                                <a:lnTo>
                                  <a:pt x="1264564" y="5081536"/>
                                </a:lnTo>
                                <a:lnTo>
                                  <a:pt x="1301940" y="5107737"/>
                                </a:lnTo>
                                <a:lnTo>
                                  <a:pt x="1339659" y="5133340"/>
                                </a:lnTo>
                                <a:lnTo>
                                  <a:pt x="1377734" y="5158333"/>
                                </a:lnTo>
                                <a:lnTo>
                                  <a:pt x="1416138" y="5182730"/>
                                </a:lnTo>
                                <a:lnTo>
                                  <a:pt x="1454861" y="5206517"/>
                                </a:lnTo>
                                <a:lnTo>
                                  <a:pt x="1493913" y="5229707"/>
                                </a:lnTo>
                                <a:lnTo>
                                  <a:pt x="1533283" y="5252288"/>
                                </a:lnTo>
                                <a:lnTo>
                                  <a:pt x="1572945" y="5274259"/>
                                </a:lnTo>
                                <a:lnTo>
                                  <a:pt x="1612912" y="5295620"/>
                                </a:lnTo>
                                <a:lnTo>
                                  <a:pt x="1653171" y="5316359"/>
                                </a:lnTo>
                                <a:lnTo>
                                  <a:pt x="1693697" y="5336489"/>
                                </a:lnTo>
                                <a:lnTo>
                                  <a:pt x="1734502" y="5356009"/>
                                </a:lnTo>
                                <a:lnTo>
                                  <a:pt x="1775587" y="5374894"/>
                                </a:lnTo>
                                <a:lnTo>
                                  <a:pt x="1816912" y="5393169"/>
                                </a:lnTo>
                                <a:lnTo>
                                  <a:pt x="1858492" y="5410809"/>
                                </a:lnTo>
                                <a:lnTo>
                                  <a:pt x="1900313" y="5427840"/>
                                </a:lnTo>
                                <a:lnTo>
                                  <a:pt x="1942363" y="5444236"/>
                                </a:lnTo>
                                <a:lnTo>
                                  <a:pt x="1984641" y="5459996"/>
                                </a:lnTo>
                                <a:lnTo>
                                  <a:pt x="2027148" y="5475122"/>
                                </a:lnTo>
                                <a:lnTo>
                                  <a:pt x="2069858" y="5489626"/>
                                </a:lnTo>
                                <a:lnTo>
                                  <a:pt x="2112772" y="5503481"/>
                                </a:lnTo>
                                <a:lnTo>
                                  <a:pt x="2155875" y="5516702"/>
                                </a:lnTo>
                                <a:lnTo>
                                  <a:pt x="2178596" y="5523319"/>
                                </a:lnTo>
                                <a:lnTo>
                                  <a:pt x="2586304" y="5283276"/>
                                </a:lnTo>
                                <a:close/>
                              </a:path>
                              <a:path w="4668520" h="5523865">
                                <a:moveTo>
                                  <a:pt x="4002976" y="408419"/>
                                </a:moveTo>
                                <a:lnTo>
                                  <a:pt x="3934714" y="374065"/>
                                </a:lnTo>
                                <a:lnTo>
                                  <a:pt x="3892854" y="353910"/>
                                </a:lnTo>
                                <a:lnTo>
                                  <a:pt x="3850665" y="334251"/>
                                </a:lnTo>
                                <a:lnTo>
                                  <a:pt x="3808158" y="315087"/>
                                </a:lnTo>
                                <a:lnTo>
                                  <a:pt x="3765346" y="296418"/>
                                </a:lnTo>
                                <a:lnTo>
                                  <a:pt x="3722205" y="278257"/>
                                </a:lnTo>
                                <a:lnTo>
                                  <a:pt x="3678758" y="260604"/>
                                </a:lnTo>
                                <a:lnTo>
                                  <a:pt x="3635006" y="243459"/>
                                </a:lnTo>
                                <a:lnTo>
                                  <a:pt x="3590937" y="226834"/>
                                </a:lnTo>
                                <a:lnTo>
                                  <a:pt x="3546576" y="210743"/>
                                </a:lnTo>
                                <a:lnTo>
                                  <a:pt x="3501898" y="195173"/>
                                </a:lnTo>
                                <a:lnTo>
                                  <a:pt x="3456940" y="180124"/>
                                </a:lnTo>
                                <a:lnTo>
                                  <a:pt x="3411677" y="165620"/>
                                </a:lnTo>
                                <a:lnTo>
                                  <a:pt x="3366122" y="151663"/>
                                </a:lnTo>
                                <a:lnTo>
                                  <a:pt x="3320275" y="138239"/>
                                </a:lnTo>
                                <a:lnTo>
                                  <a:pt x="3274149" y="125374"/>
                                </a:lnTo>
                                <a:lnTo>
                                  <a:pt x="3227730" y="113055"/>
                                </a:lnTo>
                                <a:lnTo>
                                  <a:pt x="3181032" y="101295"/>
                                </a:lnTo>
                                <a:lnTo>
                                  <a:pt x="3134042" y="90106"/>
                                </a:lnTo>
                                <a:lnTo>
                                  <a:pt x="3086938" y="79514"/>
                                </a:lnTo>
                                <a:lnTo>
                                  <a:pt x="3039834" y="69545"/>
                                </a:lnTo>
                                <a:lnTo>
                                  <a:pt x="2992729" y="60198"/>
                                </a:lnTo>
                                <a:lnTo>
                                  <a:pt x="2945638" y="51473"/>
                                </a:lnTo>
                                <a:lnTo>
                                  <a:pt x="2898559" y="43370"/>
                                </a:lnTo>
                                <a:lnTo>
                                  <a:pt x="2851505" y="35890"/>
                                </a:lnTo>
                                <a:lnTo>
                                  <a:pt x="2804477" y="29019"/>
                                </a:lnTo>
                                <a:lnTo>
                                  <a:pt x="2757474" y="22758"/>
                                </a:lnTo>
                                <a:lnTo>
                                  <a:pt x="2710510" y="17106"/>
                                </a:lnTo>
                                <a:lnTo>
                                  <a:pt x="2663583" y="12065"/>
                                </a:lnTo>
                                <a:lnTo>
                                  <a:pt x="2616695" y="7620"/>
                                </a:lnTo>
                                <a:lnTo>
                                  <a:pt x="2569857" y="3771"/>
                                </a:lnTo>
                                <a:lnTo>
                                  <a:pt x="2523071" y="533"/>
                                </a:lnTo>
                                <a:lnTo>
                                  <a:pt x="2513673" y="0"/>
                                </a:lnTo>
                                <a:lnTo>
                                  <a:pt x="2421458" y="398195"/>
                                </a:lnTo>
                                <a:lnTo>
                                  <a:pt x="2431453" y="398551"/>
                                </a:lnTo>
                                <a:lnTo>
                                  <a:pt x="2478252" y="400888"/>
                                </a:lnTo>
                                <a:lnTo>
                                  <a:pt x="2525115" y="403898"/>
                                </a:lnTo>
                                <a:lnTo>
                                  <a:pt x="2572029" y="407568"/>
                                </a:lnTo>
                                <a:lnTo>
                                  <a:pt x="2619006" y="411924"/>
                                </a:lnTo>
                                <a:lnTo>
                                  <a:pt x="2666034" y="416953"/>
                                </a:lnTo>
                                <a:lnTo>
                                  <a:pt x="2713101" y="422656"/>
                                </a:lnTo>
                                <a:lnTo>
                                  <a:pt x="2760205" y="429056"/>
                                </a:lnTo>
                                <a:lnTo>
                                  <a:pt x="2807347" y="436143"/>
                                </a:lnTo>
                                <a:lnTo>
                                  <a:pt x="2854502" y="443915"/>
                                </a:lnTo>
                                <a:lnTo>
                                  <a:pt x="2901696" y="452386"/>
                                </a:lnTo>
                                <a:lnTo>
                                  <a:pt x="2948889" y="461568"/>
                                </a:lnTo>
                                <a:lnTo>
                                  <a:pt x="2996095" y="471436"/>
                                </a:lnTo>
                                <a:lnTo>
                                  <a:pt x="3043313" y="482015"/>
                                </a:lnTo>
                                <a:lnTo>
                                  <a:pt x="3090367" y="493268"/>
                                </a:lnTo>
                                <a:lnTo>
                                  <a:pt x="3137116" y="505155"/>
                                </a:lnTo>
                                <a:lnTo>
                                  <a:pt x="3183534" y="517664"/>
                                </a:lnTo>
                                <a:lnTo>
                                  <a:pt x="3229635" y="530796"/>
                                </a:lnTo>
                                <a:lnTo>
                                  <a:pt x="3275419" y="544550"/>
                                </a:lnTo>
                                <a:lnTo>
                                  <a:pt x="3320872" y="558901"/>
                                </a:lnTo>
                                <a:lnTo>
                                  <a:pt x="3365995" y="573874"/>
                                </a:lnTo>
                                <a:lnTo>
                                  <a:pt x="3410775" y="589432"/>
                                </a:lnTo>
                                <a:lnTo>
                                  <a:pt x="3455225" y="605586"/>
                                </a:lnTo>
                                <a:lnTo>
                                  <a:pt x="3499320" y="622325"/>
                                </a:lnTo>
                                <a:lnTo>
                                  <a:pt x="3543084" y="639660"/>
                                </a:lnTo>
                                <a:lnTo>
                                  <a:pt x="3586492" y="657555"/>
                                </a:lnTo>
                                <a:lnTo>
                                  <a:pt x="3629545" y="676033"/>
                                </a:lnTo>
                                <a:lnTo>
                                  <a:pt x="3672255" y="695071"/>
                                </a:lnTo>
                                <a:lnTo>
                                  <a:pt x="3714597" y="714667"/>
                                </a:lnTo>
                                <a:lnTo>
                                  <a:pt x="3756571" y="734809"/>
                                </a:lnTo>
                                <a:lnTo>
                                  <a:pt x="3798176" y="755510"/>
                                </a:lnTo>
                                <a:lnTo>
                                  <a:pt x="3839426" y="776757"/>
                                </a:lnTo>
                                <a:lnTo>
                                  <a:pt x="3880294" y="798537"/>
                                </a:lnTo>
                                <a:lnTo>
                                  <a:pt x="3887000" y="802233"/>
                                </a:lnTo>
                                <a:lnTo>
                                  <a:pt x="3910507" y="807669"/>
                                </a:lnTo>
                                <a:lnTo>
                                  <a:pt x="3937952" y="689216"/>
                                </a:lnTo>
                                <a:lnTo>
                                  <a:pt x="4002976" y="408419"/>
                                </a:lnTo>
                                <a:close/>
                              </a:path>
                              <a:path w="4668520" h="5523865">
                                <a:moveTo>
                                  <a:pt x="4668329" y="4139019"/>
                                </a:moveTo>
                                <a:lnTo>
                                  <a:pt x="4643209" y="4168292"/>
                                </a:lnTo>
                                <a:lnTo>
                                  <a:pt x="4611636" y="4204208"/>
                                </a:lnTo>
                                <a:lnTo>
                                  <a:pt x="4579569" y="4239844"/>
                                </a:lnTo>
                                <a:lnTo>
                                  <a:pt x="4547006" y="4275188"/>
                                </a:lnTo>
                                <a:lnTo>
                                  <a:pt x="4513948" y="4310227"/>
                                </a:lnTo>
                                <a:lnTo>
                                  <a:pt x="4480407" y="4344975"/>
                                </a:lnTo>
                                <a:lnTo>
                                  <a:pt x="4446371" y="4379417"/>
                                </a:lnTo>
                                <a:lnTo>
                                  <a:pt x="4411929" y="4413453"/>
                                </a:lnTo>
                                <a:lnTo>
                                  <a:pt x="4377182" y="4447006"/>
                                </a:lnTo>
                                <a:lnTo>
                                  <a:pt x="4342142" y="4480052"/>
                                </a:lnTo>
                                <a:lnTo>
                                  <a:pt x="4306798" y="4512615"/>
                                </a:lnTo>
                                <a:lnTo>
                                  <a:pt x="4271162" y="4544682"/>
                                </a:lnTo>
                                <a:lnTo>
                                  <a:pt x="4235247" y="4576254"/>
                                </a:lnTo>
                                <a:lnTo>
                                  <a:pt x="4199039" y="4607331"/>
                                </a:lnTo>
                                <a:lnTo>
                                  <a:pt x="4162564" y="4637913"/>
                                </a:lnTo>
                                <a:lnTo>
                                  <a:pt x="4125811" y="4668012"/>
                                </a:lnTo>
                                <a:lnTo>
                                  <a:pt x="4088790" y="4697603"/>
                                </a:lnTo>
                                <a:lnTo>
                                  <a:pt x="4051503" y="4726711"/>
                                </a:lnTo>
                                <a:lnTo>
                                  <a:pt x="4013949" y="4755324"/>
                                </a:lnTo>
                                <a:lnTo>
                                  <a:pt x="3976141" y="4783442"/>
                                </a:lnTo>
                                <a:lnTo>
                                  <a:pt x="3938092" y="4811065"/>
                                </a:lnTo>
                                <a:lnTo>
                                  <a:pt x="3899789" y="4838204"/>
                                </a:lnTo>
                                <a:lnTo>
                                  <a:pt x="3861244" y="4864836"/>
                                </a:lnTo>
                                <a:lnTo>
                                  <a:pt x="3822458" y="4890986"/>
                                </a:lnTo>
                                <a:lnTo>
                                  <a:pt x="3783444" y="4916640"/>
                                </a:lnTo>
                                <a:lnTo>
                                  <a:pt x="3744188" y="4941798"/>
                                </a:lnTo>
                                <a:lnTo>
                                  <a:pt x="3704717" y="4966462"/>
                                </a:lnTo>
                                <a:lnTo>
                                  <a:pt x="3665029" y="4990630"/>
                                </a:lnTo>
                                <a:lnTo>
                                  <a:pt x="3625113" y="5014315"/>
                                </a:lnTo>
                                <a:lnTo>
                                  <a:pt x="3584994" y="5037493"/>
                                </a:lnTo>
                                <a:lnTo>
                                  <a:pt x="3548926" y="5057800"/>
                                </a:lnTo>
                                <a:lnTo>
                                  <a:pt x="3658451" y="5167338"/>
                                </a:lnTo>
                                <a:lnTo>
                                  <a:pt x="3908183" y="5417070"/>
                                </a:lnTo>
                                <a:lnTo>
                                  <a:pt x="3940479" y="5397627"/>
                                </a:lnTo>
                                <a:lnTo>
                                  <a:pt x="3980015" y="5373268"/>
                                </a:lnTo>
                                <a:lnTo>
                                  <a:pt x="4019346" y="5348478"/>
                                </a:lnTo>
                                <a:lnTo>
                                  <a:pt x="4058475" y="5323243"/>
                                </a:lnTo>
                                <a:lnTo>
                                  <a:pt x="4097401" y="5297563"/>
                                </a:lnTo>
                                <a:lnTo>
                                  <a:pt x="4136110" y="5271452"/>
                                </a:lnTo>
                                <a:lnTo>
                                  <a:pt x="4174617" y="5244909"/>
                                </a:lnTo>
                                <a:lnTo>
                                  <a:pt x="4212907" y="5217922"/>
                                </a:lnTo>
                                <a:lnTo>
                                  <a:pt x="4250982" y="5190490"/>
                                </a:lnTo>
                                <a:lnTo>
                                  <a:pt x="4288828" y="5162626"/>
                                </a:lnTo>
                                <a:lnTo>
                                  <a:pt x="4326458" y="5134318"/>
                                </a:lnTo>
                                <a:lnTo>
                                  <a:pt x="4363847" y="5105578"/>
                                </a:lnTo>
                                <a:lnTo>
                                  <a:pt x="4401007" y="5076393"/>
                                </a:lnTo>
                                <a:lnTo>
                                  <a:pt x="4437939" y="5046764"/>
                                </a:lnTo>
                                <a:lnTo>
                                  <a:pt x="4474616" y="5016703"/>
                                </a:lnTo>
                                <a:lnTo>
                                  <a:pt x="4511065" y="4986210"/>
                                </a:lnTo>
                                <a:lnTo>
                                  <a:pt x="4547247" y="4955273"/>
                                </a:lnTo>
                                <a:lnTo>
                                  <a:pt x="4583201" y="4923891"/>
                                </a:lnTo>
                                <a:lnTo>
                                  <a:pt x="4618888" y="4892078"/>
                                </a:lnTo>
                                <a:lnTo>
                                  <a:pt x="4654321" y="4859820"/>
                                </a:lnTo>
                                <a:lnTo>
                                  <a:pt x="4668329" y="4846790"/>
                                </a:lnTo>
                                <a:lnTo>
                                  <a:pt x="4668329" y="4139019"/>
                                </a:lnTo>
                                <a:close/>
                              </a:path>
                            </a:pathLst>
                          </a:custGeom>
                          <a:solidFill>
                            <a:srgbClr val="F1E35C"/>
                          </a:solidFill>
                        </wps:spPr>
                        <wps:bodyPr wrap="square" lIns="0" tIns="0" rIns="0" bIns="0" rtlCol="0">
                          <a:prstTxWarp prst="textNoShape">
                            <a:avLst/>
                          </a:prstTxWarp>
                          <a:noAutofit/>
                        </wps:bodyPr>
                      </wps:wsp>
                      <wps:wsp>
                        <wps:cNvPr id="9" name="Graphic 9"/>
                        <wps:cNvSpPr/>
                        <wps:spPr>
                          <a:xfrm>
                            <a:off x="438386" y="7566163"/>
                            <a:ext cx="3560445" cy="1270"/>
                          </a:xfrm>
                          <a:custGeom>
                            <a:avLst/>
                            <a:gdLst/>
                            <a:ahLst/>
                            <a:cxnLst/>
                            <a:rect l="l" t="t" r="r" b="b"/>
                            <a:pathLst>
                              <a:path w="3560445" h="0">
                                <a:moveTo>
                                  <a:pt x="0" y="0"/>
                                </a:moveTo>
                                <a:lnTo>
                                  <a:pt x="3560316" y="0"/>
                                </a:lnTo>
                              </a:path>
                            </a:pathLst>
                          </a:custGeom>
                          <a:ln w="76199">
                            <a:solidFill>
                              <a:srgbClr val="F1E35C"/>
                            </a:solidFill>
                            <a:prstDash val="solid"/>
                          </a:ln>
                        </wps:spPr>
                        <wps:bodyPr wrap="square" lIns="0" tIns="0" rIns="0" bIns="0" rtlCol="0">
                          <a:prstTxWarp prst="textNoShape">
                            <a:avLst/>
                          </a:prstTxWarp>
                          <a:noAutofit/>
                        </wps:bodyPr>
                      </wps:wsp>
                      <wps:wsp>
                        <wps:cNvPr id="10" name="Graphic 10"/>
                        <wps:cNvSpPr/>
                        <wps:spPr>
                          <a:xfrm>
                            <a:off x="541404" y="7669182"/>
                            <a:ext cx="3560445" cy="1270"/>
                          </a:xfrm>
                          <a:custGeom>
                            <a:avLst/>
                            <a:gdLst/>
                            <a:ahLst/>
                            <a:cxnLst/>
                            <a:rect l="l" t="t" r="r" b="b"/>
                            <a:pathLst>
                              <a:path w="3560445" h="0">
                                <a:moveTo>
                                  <a:pt x="0" y="0"/>
                                </a:moveTo>
                                <a:lnTo>
                                  <a:pt x="3560316" y="0"/>
                                </a:lnTo>
                              </a:path>
                            </a:pathLst>
                          </a:custGeom>
                          <a:ln w="76199">
                            <a:solidFill>
                              <a:srgbClr val="F1E35C"/>
                            </a:solidFill>
                            <a:prstDash val="solid"/>
                          </a:ln>
                        </wps:spPr>
                        <wps:bodyPr wrap="square" lIns="0" tIns="0" rIns="0" bIns="0" rtlCol="0">
                          <a:prstTxWarp prst="textNoShape">
                            <a:avLst/>
                          </a:prstTxWarp>
                          <a:noAutofit/>
                        </wps:bodyPr>
                      </wps:wsp>
                      <wps:wsp>
                        <wps:cNvPr id="11" name="Graphic 11"/>
                        <wps:cNvSpPr/>
                        <wps:spPr>
                          <a:xfrm>
                            <a:off x="644423" y="7772200"/>
                            <a:ext cx="3560445" cy="1270"/>
                          </a:xfrm>
                          <a:custGeom>
                            <a:avLst/>
                            <a:gdLst/>
                            <a:ahLst/>
                            <a:cxnLst/>
                            <a:rect l="l" t="t" r="r" b="b"/>
                            <a:pathLst>
                              <a:path w="3560445" h="0">
                                <a:moveTo>
                                  <a:pt x="0" y="0"/>
                                </a:moveTo>
                                <a:lnTo>
                                  <a:pt x="3560316" y="0"/>
                                </a:lnTo>
                              </a:path>
                            </a:pathLst>
                          </a:custGeom>
                          <a:ln w="76199">
                            <a:solidFill>
                              <a:srgbClr val="F1E35C"/>
                            </a:solidFill>
                            <a:prstDash val="solid"/>
                          </a:ln>
                        </wps:spPr>
                        <wps:bodyPr wrap="square" lIns="0" tIns="0" rIns="0" bIns="0" rtlCol="0">
                          <a:prstTxWarp prst="textNoShape">
                            <a:avLst/>
                          </a:prstTxWarp>
                          <a:noAutofit/>
                        </wps:bodyPr>
                      </wps:wsp>
                      <wps:wsp>
                        <wps:cNvPr id="12" name="Graphic 12"/>
                        <wps:cNvSpPr/>
                        <wps:spPr>
                          <a:xfrm>
                            <a:off x="747441" y="7875219"/>
                            <a:ext cx="3560445" cy="1270"/>
                          </a:xfrm>
                          <a:custGeom>
                            <a:avLst/>
                            <a:gdLst/>
                            <a:ahLst/>
                            <a:cxnLst/>
                            <a:rect l="l" t="t" r="r" b="b"/>
                            <a:pathLst>
                              <a:path w="3560445" h="0">
                                <a:moveTo>
                                  <a:pt x="0" y="0"/>
                                </a:moveTo>
                                <a:lnTo>
                                  <a:pt x="3560316" y="0"/>
                                </a:lnTo>
                              </a:path>
                            </a:pathLst>
                          </a:custGeom>
                          <a:ln w="76199">
                            <a:solidFill>
                              <a:srgbClr val="F1E35C"/>
                            </a:solidFill>
                            <a:prstDash val="solid"/>
                          </a:ln>
                        </wps:spPr>
                        <wps:bodyPr wrap="square" lIns="0" tIns="0" rIns="0" bIns="0" rtlCol="0">
                          <a:prstTxWarp prst="textNoShape">
                            <a:avLst/>
                          </a:prstTxWarp>
                          <a:noAutofit/>
                        </wps:bodyPr>
                      </wps:wsp>
                      <wps:wsp>
                        <wps:cNvPr id="13" name="Graphic 13"/>
                        <wps:cNvSpPr/>
                        <wps:spPr>
                          <a:xfrm>
                            <a:off x="850459" y="7978237"/>
                            <a:ext cx="3560445" cy="1270"/>
                          </a:xfrm>
                          <a:custGeom>
                            <a:avLst/>
                            <a:gdLst/>
                            <a:ahLst/>
                            <a:cxnLst/>
                            <a:rect l="l" t="t" r="r" b="b"/>
                            <a:pathLst>
                              <a:path w="3560445" h="0">
                                <a:moveTo>
                                  <a:pt x="0" y="0"/>
                                </a:moveTo>
                                <a:lnTo>
                                  <a:pt x="3560316" y="0"/>
                                </a:lnTo>
                              </a:path>
                            </a:pathLst>
                          </a:custGeom>
                          <a:ln w="76199">
                            <a:solidFill>
                              <a:srgbClr val="F1E35C"/>
                            </a:solidFill>
                            <a:prstDash val="solid"/>
                          </a:ln>
                        </wps:spPr>
                        <wps:bodyPr wrap="square" lIns="0" tIns="0" rIns="0" bIns="0" rtlCol="0">
                          <a:prstTxWarp prst="textNoShape">
                            <a:avLst/>
                          </a:prstTxWarp>
                          <a:noAutofit/>
                        </wps:bodyPr>
                      </wps:wsp>
                      <wps:wsp>
                        <wps:cNvPr id="14" name="Graphic 14"/>
                        <wps:cNvSpPr/>
                        <wps:spPr>
                          <a:xfrm>
                            <a:off x="953478" y="8081256"/>
                            <a:ext cx="3560445" cy="1270"/>
                          </a:xfrm>
                          <a:custGeom>
                            <a:avLst/>
                            <a:gdLst/>
                            <a:ahLst/>
                            <a:cxnLst/>
                            <a:rect l="l" t="t" r="r" b="b"/>
                            <a:pathLst>
                              <a:path w="3560445" h="0">
                                <a:moveTo>
                                  <a:pt x="0" y="0"/>
                                </a:moveTo>
                                <a:lnTo>
                                  <a:pt x="3560316" y="0"/>
                                </a:lnTo>
                              </a:path>
                            </a:pathLst>
                          </a:custGeom>
                          <a:ln w="76199">
                            <a:solidFill>
                              <a:srgbClr val="F1E35C"/>
                            </a:solidFill>
                            <a:prstDash val="solid"/>
                          </a:ln>
                        </wps:spPr>
                        <wps:bodyPr wrap="square" lIns="0" tIns="0" rIns="0" bIns="0" rtlCol="0">
                          <a:prstTxWarp prst="textNoShape">
                            <a:avLst/>
                          </a:prstTxWarp>
                          <a:noAutofit/>
                        </wps:bodyPr>
                      </wps:wsp>
                      <wps:wsp>
                        <wps:cNvPr id="15" name="Graphic 15"/>
                        <wps:cNvSpPr/>
                        <wps:spPr>
                          <a:xfrm>
                            <a:off x="1056496" y="8184274"/>
                            <a:ext cx="3560445" cy="1270"/>
                          </a:xfrm>
                          <a:custGeom>
                            <a:avLst/>
                            <a:gdLst/>
                            <a:ahLst/>
                            <a:cxnLst/>
                            <a:rect l="l" t="t" r="r" b="b"/>
                            <a:pathLst>
                              <a:path w="3560445" h="0">
                                <a:moveTo>
                                  <a:pt x="0" y="0"/>
                                </a:moveTo>
                                <a:lnTo>
                                  <a:pt x="3560316" y="0"/>
                                </a:lnTo>
                              </a:path>
                            </a:pathLst>
                          </a:custGeom>
                          <a:ln w="76199">
                            <a:solidFill>
                              <a:srgbClr val="F1E35C"/>
                            </a:solidFill>
                            <a:prstDash val="solid"/>
                          </a:ln>
                        </wps:spPr>
                        <wps:bodyPr wrap="square" lIns="0" tIns="0" rIns="0" bIns="0" rtlCol="0">
                          <a:prstTxWarp prst="textNoShape">
                            <a:avLst/>
                          </a:prstTxWarp>
                          <a:noAutofit/>
                        </wps:bodyPr>
                      </wps:wsp>
                      <wps:wsp>
                        <wps:cNvPr id="16" name="Graphic 16"/>
                        <wps:cNvSpPr/>
                        <wps:spPr>
                          <a:xfrm>
                            <a:off x="1159515" y="8287292"/>
                            <a:ext cx="3560445" cy="1270"/>
                          </a:xfrm>
                          <a:custGeom>
                            <a:avLst/>
                            <a:gdLst/>
                            <a:ahLst/>
                            <a:cxnLst/>
                            <a:rect l="l" t="t" r="r" b="b"/>
                            <a:pathLst>
                              <a:path w="3560445" h="0">
                                <a:moveTo>
                                  <a:pt x="0" y="0"/>
                                </a:moveTo>
                                <a:lnTo>
                                  <a:pt x="3560316" y="0"/>
                                </a:lnTo>
                              </a:path>
                            </a:pathLst>
                          </a:custGeom>
                          <a:ln w="76199">
                            <a:solidFill>
                              <a:srgbClr val="F1E35C"/>
                            </a:solidFill>
                            <a:prstDash val="solid"/>
                          </a:ln>
                        </wps:spPr>
                        <wps:bodyPr wrap="square" lIns="0" tIns="0" rIns="0" bIns="0" rtlCol="0">
                          <a:prstTxWarp prst="textNoShape">
                            <a:avLst/>
                          </a:prstTxWarp>
                          <a:noAutofit/>
                        </wps:bodyPr>
                      </wps:wsp>
                      <wps:wsp>
                        <wps:cNvPr id="17" name="Graphic 17"/>
                        <wps:cNvSpPr/>
                        <wps:spPr>
                          <a:xfrm>
                            <a:off x="1262533" y="8390311"/>
                            <a:ext cx="3560445" cy="1270"/>
                          </a:xfrm>
                          <a:custGeom>
                            <a:avLst/>
                            <a:gdLst/>
                            <a:ahLst/>
                            <a:cxnLst/>
                            <a:rect l="l" t="t" r="r" b="b"/>
                            <a:pathLst>
                              <a:path w="3560445" h="0">
                                <a:moveTo>
                                  <a:pt x="0" y="0"/>
                                </a:moveTo>
                                <a:lnTo>
                                  <a:pt x="3560316" y="0"/>
                                </a:lnTo>
                              </a:path>
                            </a:pathLst>
                          </a:custGeom>
                          <a:ln w="76199">
                            <a:solidFill>
                              <a:srgbClr val="F1E35C"/>
                            </a:solidFill>
                            <a:prstDash val="solid"/>
                          </a:ln>
                        </wps:spPr>
                        <wps:bodyPr wrap="square" lIns="0" tIns="0" rIns="0" bIns="0" rtlCol="0">
                          <a:prstTxWarp prst="textNoShape">
                            <a:avLst/>
                          </a:prstTxWarp>
                          <a:noAutofit/>
                        </wps:bodyPr>
                      </wps:wsp>
                      <wps:wsp>
                        <wps:cNvPr id="18" name="Graphic 18"/>
                        <wps:cNvSpPr/>
                        <wps:spPr>
                          <a:xfrm>
                            <a:off x="1365552" y="8493329"/>
                            <a:ext cx="3560445" cy="1270"/>
                          </a:xfrm>
                          <a:custGeom>
                            <a:avLst/>
                            <a:gdLst/>
                            <a:ahLst/>
                            <a:cxnLst/>
                            <a:rect l="l" t="t" r="r" b="b"/>
                            <a:pathLst>
                              <a:path w="3560445" h="0">
                                <a:moveTo>
                                  <a:pt x="0" y="0"/>
                                </a:moveTo>
                                <a:lnTo>
                                  <a:pt x="3560316" y="0"/>
                                </a:lnTo>
                              </a:path>
                            </a:pathLst>
                          </a:custGeom>
                          <a:ln w="76199">
                            <a:solidFill>
                              <a:srgbClr val="F1E35C"/>
                            </a:solidFill>
                            <a:prstDash val="solid"/>
                          </a:ln>
                        </wps:spPr>
                        <wps:bodyPr wrap="square" lIns="0" tIns="0" rIns="0" bIns="0" rtlCol="0">
                          <a:prstTxWarp prst="textNoShape">
                            <a:avLst/>
                          </a:prstTxWarp>
                          <a:noAutofit/>
                        </wps:bodyPr>
                      </wps:wsp>
                      <wps:wsp>
                        <wps:cNvPr id="19" name="Graphic 19"/>
                        <wps:cNvSpPr/>
                        <wps:spPr>
                          <a:xfrm>
                            <a:off x="0" y="191197"/>
                            <a:ext cx="7772400" cy="9602470"/>
                          </a:xfrm>
                          <a:custGeom>
                            <a:avLst/>
                            <a:gdLst/>
                            <a:ahLst/>
                            <a:cxnLst/>
                            <a:rect l="l" t="t" r="r" b="b"/>
                            <a:pathLst>
                              <a:path w="7772400" h="9602470">
                                <a:moveTo>
                                  <a:pt x="7772400" y="1382369"/>
                                </a:moveTo>
                                <a:lnTo>
                                  <a:pt x="438340" y="1382369"/>
                                </a:lnTo>
                                <a:lnTo>
                                  <a:pt x="438340" y="0"/>
                                </a:lnTo>
                                <a:lnTo>
                                  <a:pt x="419290" y="0"/>
                                </a:lnTo>
                                <a:lnTo>
                                  <a:pt x="419290" y="1382369"/>
                                </a:lnTo>
                                <a:lnTo>
                                  <a:pt x="0" y="1382369"/>
                                </a:lnTo>
                                <a:lnTo>
                                  <a:pt x="0" y="1401419"/>
                                </a:lnTo>
                                <a:lnTo>
                                  <a:pt x="419290" y="1401419"/>
                                </a:lnTo>
                                <a:lnTo>
                                  <a:pt x="419290" y="9601962"/>
                                </a:lnTo>
                                <a:lnTo>
                                  <a:pt x="438340" y="9601962"/>
                                </a:lnTo>
                                <a:lnTo>
                                  <a:pt x="438340" y="1401419"/>
                                </a:lnTo>
                                <a:lnTo>
                                  <a:pt x="7772400" y="1401419"/>
                                </a:lnTo>
                                <a:lnTo>
                                  <a:pt x="7772400" y="1382369"/>
                                </a:lnTo>
                                <a:close/>
                              </a:path>
                            </a:pathLst>
                          </a:custGeom>
                          <a:solidFill>
                            <a:srgbClr val="3489A1"/>
                          </a:solidFill>
                        </wps:spPr>
                        <wps:bodyPr wrap="square" lIns="0" tIns="0" rIns="0" bIns="0" rtlCol="0">
                          <a:prstTxWarp prst="textNoShape">
                            <a:avLst/>
                          </a:prstTxWarp>
                          <a:noAutofit/>
                        </wps:bodyPr>
                      </wps:wsp>
                      <wps:wsp>
                        <wps:cNvPr id="20" name="Graphic 20"/>
                        <wps:cNvSpPr/>
                        <wps:spPr>
                          <a:xfrm>
                            <a:off x="777239" y="3522609"/>
                            <a:ext cx="1200150" cy="1200150"/>
                          </a:xfrm>
                          <a:custGeom>
                            <a:avLst/>
                            <a:gdLst/>
                            <a:ahLst/>
                            <a:cxnLst/>
                            <a:rect l="l" t="t" r="r" b="b"/>
                            <a:pathLst>
                              <a:path w="1200150" h="1200150">
                                <a:moveTo>
                                  <a:pt x="673639" y="1200150"/>
                                </a:moveTo>
                                <a:lnTo>
                                  <a:pt x="531123" y="1200150"/>
                                </a:lnTo>
                                <a:lnTo>
                                  <a:pt x="509190" y="1197606"/>
                                </a:lnTo>
                                <a:lnTo>
                                  <a:pt x="464220" y="1188861"/>
                                </a:lnTo>
                                <a:lnTo>
                                  <a:pt x="420511" y="1176848"/>
                                </a:lnTo>
                                <a:lnTo>
                                  <a:pt x="378197" y="1161703"/>
                                </a:lnTo>
                                <a:lnTo>
                                  <a:pt x="337412" y="1143559"/>
                                </a:lnTo>
                                <a:lnTo>
                                  <a:pt x="298290" y="1122549"/>
                                </a:lnTo>
                                <a:lnTo>
                                  <a:pt x="260964" y="1098807"/>
                                </a:lnTo>
                                <a:lnTo>
                                  <a:pt x="225568" y="1072467"/>
                                </a:lnTo>
                                <a:lnTo>
                                  <a:pt x="192235" y="1043663"/>
                                </a:lnTo>
                                <a:lnTo>
                                  <a:pt x="161100" y="1012527"/>
                                </a:lnTo>
                                <a:lnTo>
                                  <a:pt x="132295" y="979195"/>
                                </a:lnTo>
                                <a:lnTo>
                                  <a:pt x="105955" y="943799"/>
                                </a:lnTo>
                                <a:lnTo>
                                  <a:pt x="82213" y="906473"/>
                                </a:lnTo>
                                <a:lnTo>
                                  <a:pt x="61204" y="867350"/>
                                </a:lnTo>
                                <a:lnTo>
                                  <a:pt x="43059" y="826565"/>
                                </a:lnTo>
                                <a:lnTo>
                                  <a:pt x="27914" y="784252"/>
                                </a:lnTo>
                                <a:lnTo>
                                  <a:pt x="15902" y="740543"/>
                                </a:lnTo>
                                <a:lnTo>
                                  <a:pt x="7156" y="695572"/>
                                </a:lnTo>
                                <a:lnTo>
                                  <a:pt x="1811" y="649474"/>
                                </a:lnTo>
                                <a:lnTo>
                                  <a:pt x="0" y="602381"/>
                                </a:lnTo>
                                <a:lnTo>
                                  <a:pt x="1811" y="555289"/>
                                </a:lnTo>
                                <a:lnTo>
                                  <a:pt x="7156" y="509190"/>
                                </a:lnTo>
                                <a:lnTo>
                                  <a:pt x="15902" y="464220"/>
                                </a:lnTo>
                                <a:lnTo>
                                  <a:pt x="27914" y="420511"/>
                                </a:lnTo>
                                <a:lnTo>
                                  <a:pt x="43059" y="378197"/>
                                </a:lnTo>
                                <a:lnTo>
                                  <a:pt x="61204" y="337412"/>
                                </a:lnTo>
                                <a:lnTo>
                                  <a:pt x="82213" y="298290"/>
                                </a:lnTo>
                                <a:lnTo>
                                  <a:pt x="105955" y="260964"/>
                                </a:lnTo>
                                <a:lnTo>
                                  <a:pt x="132295" y="225568"/>
                                </a:lnTo>
                                <a:lnTo>
                                  <a:pt x="161100" y="192235"/>
                                </a:lnTo>
                                <a:lnTo>
                                  <a:pt x="192235" y="161100"/>
                                </a:lnTo>
                                <a:lnTo>
                                  <a:pt x="225568" y="132295"/>
                                </a:lnTo>
                                <a:lnTo>
                                  <a:pt x="260964" y="105955"/>
                                </a:lnTo>
                                <a:lnTo>
                                  <a:pt x="298290" y="82213"/>
                                </a:lnTo>
                                <a:lnTo>
                                  <a:pt x="337412" y="61204"/>
                                </a:lnTo>
                                <a:lnTo>
                                  <a:pt x="378197" y="43059"/>
                                </a:lnTo>
                                <a:lnTo>
                                  <a:pt x="420511" y="27914"/>
                                </a:lnTo>
                                <a:lnTo>
                                  <a:pt x="464220" y="15902"/>
                                </a:lnTo>
                                <a:lnTo>
                                  <a:pt x="509190" y="7156"/>
                                </a:lnTo>
                                <a:lnTo>
                                  <a:pt x="555289" y="1811"/>
                                </a:lnTo>
                                <a:lnTo>
                                  <a:pt x="602383" y="0"/>
                                </a:lnTo>
                                <a:lnTo>
                                  <a:pt x="649474" y="1811"/>
                                </a:lnTo>
                                <a:lnTo>
                                  <a:pt x="695572" y="7156"/>
                                </a:lnTo>
                                <a:lnTo>
                                  <a:pt x="740543" y="15902"/>
                                </a:lnTo>
                                <a:lnTo>
                                  <a:pt x="784252" y="27914"/>
                                </a:lnTo>
                                <a:lnTo>
                                  <a:pt x="826565" y="43059"/>
                                </a:lnTo>
                                <a:lnTo>
                                  <a:pt x="867350" y="61204"/>
                                </a:lnTo>
                                <a:lnTo>
                                  <a:pt x="906473" y="82213"/>
                                </a:lnTo>
                                <a:lnTo>
                                  <a:pt x="943799" y="105955"/>
                                </a:lnTo>
                                <a:lnTo>
                                  <a:pt x="963312" y="120476"/>
                                </a:lnTo>
                                <a:lnTo>
                                  <a:pt x="602381" y="120476"/>
                                </a:lnTo>
                                <a:lnTo>
                                  <a:pt x="553092" y="122963"/>
                                </a:lnTo>
                                <a:lnTo>
                                  <a:pt x="505231" y="130262"/>
                                </a:lnTo>
                                <a:lnTo>
                                  <a:pt x="459039" y="142132"/>
                                </a:lnTo>
                                <a:lnTo>
                                  <a:pt x="414758" y="158332"/>
                                </a:lnTo>
                                <a:lnTo>
                                  <a:pt x="372631" y="178618"/>
                                </a:lnTo>
                                <a:lnTo>
                                  <a:pt x="332898" y="202750"/>
                                </a:lnTo>
                                <a:lnTo>
                                  <a:pt x="295802" y="230486"/>
                                </a:lnTo>
                                <a:lnTo>
                                  <a:pt x="261584" y="261584"/>
                                </a:lnTo>
                                <a:lnTo>
                                  <a:pt x="230486" y="295802"/>
                                </a:lnTo>
                                <a:lnTo>
                                  <a:pt x="202750" y="332898"/>
                                </a:lnTo>
                                <a:lnTo>
                                  <a:pt x="178618" y="372631"/>
                                </a:lnTo>
                                <a:lnTo>
                                  <a:pt x="158332" y="414758"/>
                                </a:lnTo>
                                <a:lnTo>
                                  <a:pt x="142132" y="459039"/>
                                </a:lnTo>
                                <a:lnTo>
                                  <a:pt x="130262" y="505231"/>
                                </a:lnTo>
                                <a:lnTo>
                                  <a:pt x="122963" y="553092"/>
                                </a:lnTo>
                                <a:lnTo>
                                  <a:pt x="120476" y="602382"/>
                                </a:lnTo>
                                <a:lnTo>
                                  <a:pt x="122963" y="651670"/>
                                </a:lnTo>
                                <a:lnTo>
                                  <a:pt x="130262" y="699532"/>
                                </a:lnTo>
                                <a:lnTo>
                                  <a:pt x="142132" y="745724"/>
                                </a:lnTo>
                                <a:lnTo>
                                  <a:pt x="158332" y="790004"/>
                                </a:lnTo>
                                <a:lnTo>
                                  <a:pt x="178618" y="832132"/>
                                </a:lnTo>
                                <a:lnTo>
                                  <a:pt x="202750" y="871865"/>
                                </a:lnTo>
                                <a:lnTo>
                                  <a:pt x="230486" y="908961"/>
                                </a:lnTo>
                                <a:lnTo>
                                  <a:pt x="261584" y="943179"/>
                                </a:lnTo>
                                <a:lnTo>
                                  <a:pt x="295802" y="974276"/>
                                </a:lnTo>
                                <a:lnTo>
                                  <a:pt x="332898" y="1002012"/>
                                </a:lnTo>
                                <a:lnTo>
                                  <a:pt x="372631" y="1026144"/>
                                </a:lnTo>
                                <a:lnTo>
                                  <a:pt x="414758" y="1046431"/>
                                </a:lnTo>
                                <a:lnTo>
                                  <a:pt x="459039" y="1062630"/>
                                </a:lnTo>
                                <a:lnTo>
                                  <a:pt x="505231" y="1074500"/>
                                </a:lnTo>
                                <a:lnTo>
                                  <a:pt x="553092" y="1081800"/>
                                </a:lnTo>
                                <a:lnTo>
                                  <a:pt x="602381" y="1084287"/>
                                </a:lnTo>
                                <a:lnTo>
                                  <a:pt x="963312" y="1084287"/>
                                </a:lnTo>
                                <a:lnTo>
                                  <a:pt x="943799" y="1098807"/>
                                </a:lnTo>
                                <a:lnTo>
                                  <a:pt x="906473" y="1122549"/>
                                </a:lnTo>
                                <a:lnTo>
                                  <a:pt x="867350" y="1143559"/>
                                </a:lnTo>
                                <a:lnTo>
                                  <a:pt x="826565" y="1161703"/>
                                </a:lnTo>
                                <a:lnTo>
                                  <a:pt x="784252" y="1176848"/>
                                </a:lnTo>
                                <a:lnTo>
                                  <a:pt x="740543" y="1188861"/>
                                </a:lnTo>
                                <a:lnTo>
                                  <a:pt x="695572" y="1197606"/>
                                </a:lnTo>
                                <a:lnTo>
                                  <a:pt x="673639" y="1200150"/>
                                </a:lnTo>
                                <a:close/>
                              </a:path>
                              <a:path w="1200150" h="1200150">
                                <a:moveTo>
                                  <a:pt x="963312" y="1084287"/>
                                </a:moveTo>
                                <a:lnTo>
                                  <a:pt x="602381" y="1084287"/>
                                </a:lnTo>
                                <a:lnTo>
                                  <a:pt x="651670" y="1081800"/>
                                </a:lnTo>
                                <a:lnTo>
                                  <a:pt x="699532" y="1074500"/>
                                </a:lnTo>
                                <a:lnTo>
                                  <a:pt x="745724" y="1062630"/>
                                </a:lnTo>
                                <a:lnTo>
                                  <a:pt x="790004" y="1046431"/>
                                </a:lnTo>
                                <a:lnTo>
                                  <a:pt x="832132" y="1026144"/>
                                </a:lnTo>
                                <a:lnTo>
                                  <a:pt x="871865" y="1002012"/>
                                </a:lnTo>
                                <a:lnTo>
                                  <a:pt x="908961" y="974276"/>
                                </a:lnTo>
                                <a:lnTo>
                                  <a:pt x="943179" y="943179"/>
                                </a:lnTo>
                                <a:lnTo>
                                  <a:pt x="974277" y="908961"/>
                                </a:lnTo>
                                <a:lnTo>
                                  <a:pt x="1002012" y="871865"/>
                                </a:lnTo>
                                <a:lnTo>
                                  <a:pt x="1026144" y="832132"/>
                                </a:lnTo>
                                <a:lnTo>
                                  <a:pt x="1046431" y="790004"/>
                                </a:lnTo>
                                <a:lnTo>
                                  <a:pt x="1062630" y="745724"/>
                                </a:lnTo>
                                <a:lnTo>
                                  <a:pt x="1074500" y="699532"/>
                                </a:lnTo>
                                <a:lnTo>
                                  <a:pt x="1081800" y="651670"/>
                                </a:lnTo>
                                <a:lnTo>
                                  <a:pt x="1084287" y="602381"/>
                                </a:lnTo>
                                <a:lnTo>
                                  <a:pt x="1081800" y="553092"/>
                                </a:lnTo>
                                <a:lnTo>
                                  <a:pt x="1074500" y="505231"/>
                                </a:lnTo>
                                <a:lnTo>
                                  <a:pt x="1062630" y="459039"/>
                                </a:lnTo>
                                <a:lnTo>
                                  <a:pt x="1046431" y="414758"/>
                                </a:lnTo>
                                <a:lnTo>
                                  <a:pt x="1026144" y="372631"/>
                                </a:lnTo>
                                <a:lnTo>
                                  <a:pt x="1002012" y="332898"/>
                                </a:lnTo>
                                <a:lnTo>
                                  <a:pt x="974277" y="295802"/>
                                </a:lnTo>
                                <a:lnTo>
                                  <a:pt x="943179" y="261584"/>
                                </a:lnTo>
                                <a:lnTo>
                                  <a:pt x="908961" y="230486"/>
                                </a:lnTo>
                                <a:lnTo>
                                  <a:pt x="871865" y="202750"/>
                                </a:lnTo>
                                <a:lnTo>
                                  <a:pt x="832132" y="178618"/>
                                </a:lnTo>
                                <a:lnTo>
                                  <a:pt x="790004" y="158332"/>
                                </a:lnTo>
                                <a:lnTo>
                                  <a:pt x="745724" y="142132"/>
                                </a:lnTo>
                                <a:lnTo>
                                  <a:pt x="699532" y="130262"/>
                                </a:lnTo>
                                <a:lnTo>
                                  <a:pt x="651670" y="122963"/>
                                </a:lnTo>
                                <a:lnTo>
                                  <a:pt x="602381" y="120476"/>
                                </a:lnTo>
                                <a:lnTo>
                                  <a:pt x="963312" y="120476"/>
                                </a:lnTo>
                                <a:lnTo>
                                  <a:pt x="1012528" y="161100"/>
                                </a:lnTo>
                                <a:lnTo>
                                  <a:pt x="1043663" y="192235"/>
                                </a:lnTo>
                                <a:lnTo>
                                  <a:pt x="1072467" y="225568"/>
                                </a:lnTo>
                                <a:lnTo>
                                  <a:pt x="1098807" y="260964"/>
                                </a:lnTo>
                                <a:lnTo>
                                  <a:pt x="1122549" y="298290"/>
                                </a:lnTo>
                                <a:lnTo>
                                  <a:pt x="1143559" y="337412"/>
                                </a:lnTo>
                                <a:lnTo>
                                  <a:pt x="1161703" y="378197"/>
                                </a:lnTo>
                                <a:lnTo>
                                  <a:pt x="1176848" y="420511"/>
                                </a:lnTo>
                                <a:lnTo>
                                  <a:pt x="1188861" y="464220"/>
                                </a:lnTo>
                                <a:lnTo>
                                  <a:pt x="1197606" y="509190"/>
                                </a:lnTo>
                                <a:lnTo>
                                  <a:pt x="1200150" y="531123"/>
                                </a:lnTo>
                                <a:lnTo>
                                  <a:pt x="1200150" y="673640"/>
                                </a:lnTo>
                                <a:lnTo>
                                  <a:pt x="1188861" y="740543"/>
                                </a:lnTo>
                                <a:lnTo>
                                  <a:pt x="1176848" y="784252"/>
                                </a:lnTo>
                                <a:lnTo>
                                  <a:pt x="1161703" y="826565"/>
                                </a:lnTo>
                                <a:lnTo>
                                  <a:pt x="1143559" y="867350"/>
                                </a:lnTo>
                                <a:lnTo>
                                  <a:pt x="1122549" y="906473"/>
                                </a:lnTo>
                                <a:lnTo>
                                  <a:pt x="1098807" y="943799"/>
                                </a:lnTo>
                                <a:lnTo>
                                  <a:pt x="1072467" y="979195"/>
                                </a:lnTo>
                                <a:lnTo>
                                  <a:pt x="1043663" y="1012527"/>
                                </a:lnTo>
                                <a:lnTo>
                                  <a:pt x="1012528" y="1043663"/>
                                </a:lnTo>
                                <a:lnTo>
                                  <a:pt x="979195" y="1072467"/>
                                </a:lnTo>
                                <a:lnTo>
                                  <a:pt x="963312" y="1084287"/>
                                </a:lnTo>
                                <a:close/>
                              </a:path>
                            </a:pathLst>
                          </a:custGeom>
                          <a:solidFill>
                            <a:srgbClr val="F1E35C"/>
                          </a:solidFill>
                        </wps:spPr>
                        <wps:bodyPr wrap="square" lIns="0" tIns="0" rIns="0" bIns="0" rtlCol="0">
                          <a:prstTxWarp prst="textNoShape">
                            <a:avLst/>
                          </a:prstTxWarp>
                          <a:noAutofit/>
                        </wps:bodyPr>
                      </wps:wsp>
                      <wps:wsp>
                        <wps:cNvPr id="21" name="Graphic 21"/>
                        <wps:cNvSpPr/>
                        <wps:spPr>
                          <a:xfrm>
                            <a:off x="1367324" y="3241700"/>
                            <a:ext cx="866775" cy="866775"/>
                          </a:xfrm>
                          <a:custGeom>
                            <a:avLst/>
                            <a:gdLst/>
                            <a:ahLst/>
                            <a:cxnLst/>
                            <a:rect l="l" t="t" r="r" b="b"/>
                            <a:pathLst>
                              <a:path w="866775" h="866775">
                                <a:moveTo>
                                  <a:pt x="433387" y="866774"/>
                                </a:moveTo>
                                <a:lnTo>
                                  <a:pt x="390908" y="864688"/>
                                </a:lnTo>
                                <a:lnTo>
                                  <a:pt x="348837" y="858447"/>
                                </a:lnTo>
                                <a:lnTo>
                                  <a:pt x="307581" y="848113"/>
                                </a:lnTo>
                                <a:lnTo>
                                  <a:pt x="267537" y="833785"/>
                                </a:lnTo>
                                <a:lnTo>
                                  <a:pt x="229089" y="815601"/>
                                </a:lnTo>
                                <a:lnTo>
                                  <a:pt x="192610" y="793735"/>
                                </a:lnTo>
                                <a:lnTo>
                                  <a:pt x="158449" y="768400"/>
                                </a:lnTo>
                                <a:lnTo>
                                  <a:pt x="126936" y="739838"/>
                                </a:lnTo>
                                <a:lnTo>
                                  <a:pt x="98374" y="708325"/>
                                </a:lnTo>
                                <a:lnTo>
                                  <a:pt x="73038" y="674164"/>
                                </a:lnTo>
                                <a:lnTo>
                                  <a:pt x="51173" y="637684"/>
                                </a:lnTo>
                                <a:lnTo>
                                  <a:pt x="32989" y="599237"/>
                                </a:lnTo>
                                <a:lnTo>
                                  <a:pt x="18661" y="559193"/>
                                </a:lnTo>
                                <a:lnTo>
                                  <a:pt x="8327" y="517937"/>
                                </a:lnTo>
                                <a:lnTo>
                                  <a:pt x="2086" y="475866"/>
                                </a:lnTo>
                                <a:lnTo>
                                  <a:pt x="0" y="433387"/>
                                </a:lnTo>
                                <a:lnTo>
                                  <a:pt x="130" y="422748"/>
                                </a:lnTo>
                                <a:lnTo>
                                  <a:pt x="3259" y="380333"/>
                                </a:lnTo>
                                <a:lnTo>
                                  <a:pt x="10530" y="338428"/>
                                </a:lnTo>
                                <a:lnTo>
                                  <a:pt x="21874" y="297438"/>
                                </a:lnTo>
                                <a:lnTo>
                                  <a:pt x="37181" y="257757"/>
                                </a:lnTo>
                                <a:lnTo>
                                  <a:pt x="56304" y="219768"/>
                                </a:lnTo>
                                <a:lnTo>
                                  <a:pt x="79058" y="183836"/>
                                </a:lnTo>
                                <a:lnTo>
                                  <a:pt x="105224" y="150308"/>
                                </a:lnTo>
                                <a:lnTo>
                                  <a:pt x="134551" y="119505"/>
                                </a:lnTo>
                                <a:lnTo>
                                  <a:pt x="166756" y="91725"/>
                                </a:lnTo>
                                <a:lnTo>
                                  <a:pt x="201528" y="67236"/>
                                </a:lnTo>
                                <a:lnTo>
                                  <a:pt x="238534" y="46273"/>
                                </a:lnTo>
                                <a:lnTo>
                                  <a:pt x="277416" y="29038"/>
                                </a:lnTo>
                                <a:lnTo>
                                  <a:pt x="317800" y="15697"/>
                                </a:lnTo>
                                <a:lnTo>
                                  <a:pt x="359297" y="6379"/>
                                </a:lnTo>
                                <a:lnTo>
                                  <a:pt x="401508" y="1173"/>
                                </a:lnTo>
                                <a:lnTo>
                                  <a:pt x="433387" y="0"/>
                                </a:lnTo>
                                <a:lnTo>
                                  <a:pt x="444026" y="130"/>
                                </a:lnTo>
                                <a:lnTo>
                                  <a:pt x="486441" y="3259"/>
                                </a:lnTo>
                                <a:lnTo>
                                  <a:pt x="528346" y="10530"/>
                                </a:lnTo>
                                <a:lnTo>
                                  <a:pt x="569336" y="21874"/>
                                </a:lnTo>
                                <a:lnTo>
                                  <a:pt x="609017" y="37181"/>
                                </a:lnTo>
                                <a:lnTo>
                                  <a:pt x="647006" y="56304"/>
                                </a:lnTo>
                                <a:lnTo>
                                  <a:pt x="682938" y="79058"/>
                                </a:lnTo>
                                <a:lnTo>
                                  <a:pt x="716466" y="105224"/>
                                </a:lnTo>
                                <a:lnTo>
                                  <a:pt x="747269" y="134551"/>
                                </a:lnTo>
                                <a:lnTo>
                                  <a:pt x="775049" y="166756"/>
                                </a:lnTo>
                                <a:lnTo>
                                  <a:pt x="799538" y="201528"/>
                                </a:lnTo>
                                <a:lnTo>
                                  <a:pt x="820501" y="238534"/>
                                </a:lnTo>
                                <a:lnTo>
                                  <a:pt x="837736" y="277416"/>
                                </a:lnTo>
                                <a:lnTo>
                                  <a:pt x="851076" y="317800"/>
                                </a:lnTo>
                                <a:lnTo>
                                  <a:pt x="860395" y="359297"/>
                                </a:lnTo>
                                <a:lnTo>
                                  <a:pt x="865601" y="401508"/>
                                </a:lnTo>
                                <a:lnTo>
                                  <a:pt x="866774" y="433387"/>
                                </a:lnTo>
                                <a:lnTo>
                                  <a:pt x="866644" y="444026"/>
                                </a:lnTo>
                                <a:lnTo>
                                  <a:pt x="863515" y="486441"/>
                                </a:lnTo>
                                <a:lnTo>
                                  <a:pt x="856243" y="528346"/>
                                </a:lnTo>
                                <a:lnTo>
                                  <a:pt x="844900" y="569336"/>
                                </a:lnTo>
                                <a:lnTo>
                                  <a:pt x="829593" y="609016"/>
                                </a:lnTo>
                                <a:lnTo>
                                  <a:pt x="810470" y="647006"/>
                                </a:lnTo>
                                <a:lnTo>
                                  <a:pt x="787716" y="682938"/>
                                </a:lnTo>
                                <a:lnTo>
                                  <a:pt x="761550" y="716466"/>
                                </a:lnTo>
                                <a:lnTo>
                                  <a:pt x="732223" y="747269"/>
                                </a:lnTo>
                                <a:lnTo>
                                  <a:pt x="700018" y="775048"/>
                                </a:lnTo>
                                <a:lnTo>
                                  <a:pt x="665246" y="799538"/>
                                </a:lnTo>
                                <a:lnTo>
                                  <a:pt x="628240" y="820501"/>
                                </a:lnTo>
                                <a:lnTo>
                                  <a:pt x="589358" y="837736"/>
                                </a:lnTo>
                                <a:lnTo>
                                  <a:pt x="548974" y="851076"/>
                                </a:lnTo>
                                <a:lnTo>
                                  <a:pt x="507477" y="860395"/>
                                </a:lnTo>
                                <a:lnTo>
                                  <a:pt x="465266" y="865601"/>
                                </a:lnTo>
                                <a:lnTo>
                                  <a:pt x="433387" y="866774"/>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0pt;margin-top:.000003pt;width:612pt;height:792pt;mso-position-horizontal-relative:page;mso-position-vertical-relative:page;z-index:-20766208" id="docshapegroup1" coordorigin="0,0" coordsize="12240,15840">
                <v:shape style="position:absolute;left:0;top:0;width:12240;height:15840" type="#_x0000_t75" id="docshape2" stroked="false">
                  <v:imagedata r:id="rId5" o:title=""/>
                </v:shape>
                <v:shape style="position:absolute;left:4906;top:5045;width:7334;height:8362" type="#_x0000_t75" id="docshape3" stroked="false">
                  <v:imagedata r:id="rId6" o:title=""/>
                </v:shape>
                <v:shape style="position:absolute;left:938;top:301;width:30;height:15122" id="docshape4" coordorigin="938,301" coordsize="30,15122" path="m968,12137l938,12137,938,15422,968,15422,968,12137xm968,11975l938,11975,938,12017,968,12017,968,11975xm968,301l938,301,938,11855,968,11855,968,301xe" filled="true" fillcolor="#3489a1" stroked="false">
                  <v:path arrowok="t"/>
                  <v:fill type="solid"/>
                </v:shape>
                <v:rect style="position:absolute;left:8144;top:3958;width:1529;height:5925" id="docshape5" filled="true" fillcolor="#77d4e3" stroked="false">
                  <v:fill type="solid"/>
                </v:rect>
                <v:rect style="position:absolute;left:7846;top:4644;width:596;height:3595" id="docshape6" filled="true" fillcolor="#f1e35c" stroked="false">
                  <v:fill type="solid"/>
                </v:rect>
                <v:rect style="position:absolute;left:10172;top:12507;width:1343;height:3331" id="docshape7" filled="true" fillcolor="#77d4e3" stroked="false">
                  <v:fill type="solid"/>
                </v:rect>
                <v:shape style="position:absolute;left:4888;top:4992;width:7352;height:8699" id="docshape8" coordorigin="4888,4992" coordsize="7352,8699" path="m8961,13313l8929,13307,8859,13295,8790,13281,8720,13266,8651,13250,8582,13233,8514,13214,8446,13195,8378,13174,8310,13153,8243,13130,8176,13106,8110,13081,8044,13054,7978,13027,7913,12999,7848,12969,7784,12939,7720,12907,7657,12874,7594,12840,7532,12806,7470,12770,7409,12732,7348,12694,7288,12655,7229,12615,7170,12574,7112,12531,7055,12488,6998,12444,6942,12398,6886,12352,6832,12304,6778,12256,6724,12206,6672,12155,6620,12104,6569,12051,6519,11998,6470,11943,6421,11887,6374,11831,6327,11773,6281,11715,6236,11655,6192,11595,6149,11533,6107,11471,6066,11407,6025,11343,5986,11278,5948,11212,5911,11145,5876,11078,5842,11011,5809,10944,5777,10876,5747,10808,5718,10739,5690,10670,5664,10601,5639,10532,5615,10462,5593,10392,5571,10323,5551,10252,5532,10182,5515,10111,5499,10040,5484,9969,5470,9898,5457,9827,5446,9756,5436,9685,5427,9613,5420,9542,5413,9470,5408,9399,5404,9327,5402,9256,5400,9185,5400,9113,5401,9042,5403,8971,5406,8900,5410,8828,5416,8758,5423,8687,5431,8616,5440,8546,5450,8475,5462,8405,5474,8336,5488,8266,5503,8197,5519,8128,5536,8059,5555,7990,5574,7922,5595,7854,5616,7787,5639,7719,5663,7653,5688,7586,5715,7520,5742,7454,5770,7389,5800,7325,5830,7260,5862,7196,5895,7133,5928,7072,5631,6569,5615,6595,5577,6656,5541,6717,5505,6779,5471,6842,5437,6904,5404,6968,5373,7032,5342,7096,5312,7161,5283,7226,5256,7291,5229,7357,5203,7423,5178,7490,5154,7557,5131,7624,5110,7692,5089,7760,5069,7828,5050,7896,5032,7965,5016,8034,5000,8103,4985,8173,4971,8242,4959,8312,4947,8382,4937,8453,4927,8523,4918,8594,4911,8664,4905,8735,4899,8806,4895,8877,4892,8948,4889,9020,4888,9091,4888,9162,4889,9234,4891,9305,4895,9377,4898,9429,4899,9448,4904,9520,4911,9592,4918,9663,4927,9734,4936,9806,4947,9877,4959,9948,4972,10020,4986,10091,5002,10162,5018,10232,5035,10303,5054,10374,5074,10444,5095,10514,5117,10584,5140,10654,5164,10723,5189,10793,5216,10862,5244,10931,5272,10999,5302,11068,5334,11136,5366,11203,5399,11271,5434,11338,5470,11405,5507,11471,5545,11537,5584,11603,5625,11667,5666,11731,5707,11794,5750,11856,5794,11917,5838,11977,5883,12037,5929,12095,5976,12153,6023,12209,6072,12265,6121,12320,6171,12374,6221,12428,6272,12480,6324,12531,6377,12582,6430,12631,6484,12680,6539,12728,6594,12775,6650,12820,6707,12865,6764,12910,6821,12953,6880,12995,6939,13036,6998,13076,7058,13116,7118,13154,7179,13192,7241,13228,7303,13264,7365,13298,7428,13332,7492,13365,7556,13396,7620,13427,7684,13457,7750,13486,7815,13513,7881,13540,7947,13566,8014,13591,8081,13615,8148,13637,8215,13659,8283,13680,8319,13691,8961,13313xm11192,5636l11150,5614,11085,5581,11019,5550,10952,5519,10885,5489,10818,5459,10750,5431,10682,5403,10613,5376,10543,5350,10473,5324,10403,5300,10332,5276,10261,5253,10189,5231,10117,5210,10044,5190,9971,5170,9898,5152,9824,5134,9750,5118,9675,5102,9601,5087,9527,5073,9453,5061,9379,5049,9305,5038,9231,5028,9157,5019,9083,5011,9009,5004,8935,4998,8862,4993,8847,4992,8702,5619,8717,5620,8791,5624,8865,5628,8939,5634,9013,5641,9087,5649,9161,5658,9235,5668,9309,5679,9384,5691,9458,5705,9532,5719,9607,5735,9681,5751,9755,5769,9829,5788,9902,5808,9974,5828,10046,5850,10118,5873,10189,5896,10260,5921,10330,5946,10399,5972,10468,6000,10536,6028,10604,6057,10671,6087,10738,6118,10804,6150,10870,6182,10935,6216,10999,6250,11010,6256,11047,6264,11090,6078,11192,5636xm12240,11511l12200,11557,12151,11613,12100,11669,12049,11725,11997,11780,11944,11835,11890,11889,11836,11943,11781,11996,11726,12048,11671,12099,11615,12149,11558,12199,11501,12248,11444,12296,11386,12344,11327,12390,11269,12436,11209,12481,11150,12525,11090,12569,11030,12612,10969,12654,10908,12695,10846,12735,10785,12775,10722,12814,10660,12852,10597,12889,10534,12925,10477,12957,10650,13130,11043,13523,11094,13493,11156,13454,11218,13415,11280,13375,11341,13335,11402,13294,11462,13252,11523,13210,11583,13166,11642,13123,11702,13078,11760,13033,11819,12987,11877,12940,11935,12893,11992,12845,12049,12796,12106,12747,12162,12696,12218,12646,12240,12625,12240,11511xe" filled="true" fillcolor="#f1e35c" stroked="false">
                  <v:path arrowok="t"/>
                  <v:fill type="solid"/>
                </v:shape>
                <v:line style="position:absolute" from="690,11915" to="6297,11915" stroked="true" strokeweight="6.0pt" strokecolor="#f1e35c">
                  <v:stroke dashstyle="solid"/>
                </v:line>
                <v:line style="position:absolute" from="853,12077" to="6459,12077" stroked="true" strokeweight="6.0pt" strokecolor="#f1e35c">
                  <v:stroke dashstyle="solid"/>
                </v:line>
                <v:line style="position:absolute" from="1015,12240" to="6622,12240" stroked="true" strokeweight="6.0pt" strokecolor="#f1e35c">
                  <v:stroke dashstyle="solid"/>
                </v:line>
                <v:line style="position:absolute" from="1177,12402" to="6784,12402" stroked="true" strokeweight="6.0pt" strokecolor="#f1e35c">
                  <v:stroke dashstyle="solid"/>
                </v:line>
                <v:line style="position:absolute" from="1339,12564" to="6946,12564" stroked="true" strokeweight="6.0pt" strokecolor="#f1e35c">
                  <v:stroke dashstyle="solid"/>
                </v:line>
                <v:line style="position:absolute" from="1502,12726" to="7108,12726" stroked="true" strokeweight="6.0pt" strokecolor="#f1e35c">
                  <v:stroke dashstyle="solid"/>
                </v:line>
                <v:line style="position:absolute" from="1664,12889" to="7271,12889" stroked="true" strokeweight="6.0pt" strokecolor="#f1e35c">
                  <v:stroke dashstyle="solid"/>
                </v:line>
                <v:line style="position:absolute" from="1826,13051" to="7433,13051" stroked="true" strokeweight="6.0pt" strokecolor="#f1e35c">
                  <v:stroke dashstyle="solid"/>
                </v:line>
                <v:line style="position:absolute" from="1988,13213" to="7595,13213" stroked="true" strokeweight="6.0pt" strokecolor="#f1e35c">
                  <v:stroke dashstyle="solid"/>
                </v:line>
                <v:line style="position:absolute" from="2150,13375" to="7757,13375" stroked="true" strokeweight="6.0pt" strokecolor="#f1e35c">
                  <v:stroke dashstyle="solid"/>
                </v:line>
                <v:shape style="position:absolute;left:0;top:301;width:12240;height:15122" id="docshape9" coordorigin="0,301" coordsize="12240,15122" path="m12240,2478l690,2478,690,301,660,301,660,2478,0,2478,0,2508,660,2508,660,15422,690,15422,690,2508,12240,2508,12240,2478xe" filled="true" fillcolor="#3489a1" stroked="false">
                  <v:path arrowok="t"/>
                  <v:fill type="solid"/>
                </v:shape>
                <v:shape style="position:absolute;left:1224;top:5547;width:1890;height:1890" id="docshape10" coordorigin="1224,5547" coordsize="1890,1890" path="m2285,7437l2060,7437,2026,7433,1955,7420,1886,7401,1820,7377,1755,7348,1694,7315,1635,7278,1579,7236,1527,7191,1478,7142,1432,7089,1391,7034,1353,6975,1320,6913,1292,6849,1268,6782,1249,6714,1235,6643,1227,6570,1224,6496,1227,6422,1235,6349,1249,6278,1268,6210,1292,6143,1320,6079,1353,6017,1391,5958,1432,5903,1478,5850,1527,5801,1579,5756,1635,5714,1694,5677,1755,5644,1820,5615,1886,5591,1955,5572,2026,5559,2098,5550,2173,5547,2247,5550,2319,5559,2390,5572,2459,5591,2526,5615,2590,5644,2652,5677,2710,5714,2741,5737,2173,5737,2095,5741,2020,5753,1947,5771,1877,5797,1811,5829,1748,5867,1690,5910,1636,5959,1587,6013,1543,6072,1505,6134,1473,6201,1448,6270,1429,6343,1418,6418,1414,6496,1418,6574,1429,6649,1448,6722,1473,6792,1505,6858,1543,6920,1587,6979,1636,7033,1690,7082,1748,7125,1811,7163,1877,7195,1947,7221,2020,7240,2095,7251,2173,7255,2741,7255,2710,7278,2652,7315,2590,7348,2526,7377,2459,7401,2390,7420,2319,7433,2285,7437xm2741,7255l2173,7255,2250,7251,2326,7240,2398,7221,2468,7195,2534,7163,2597,7125,2655,7082,2709,7033,2758,6979,2802,6920,2840,6858,2872,6792,2897,6722,2916,6649,2928,6574,2932,6496,2928,6418,2916,6343,2897,6270,2872,6201,2840,6134,2802,6072,2758,6013,2709,5959,2655,5910,2597,5867,2534,5829,2468,5797,2398,5771,2326,5753,2250,5741,2173,5737,2741,5737,2766,5756,2819,5801,2868,5850,2913,5903,2954,5958,2992,6017,3025,6079,3053,6143,3077,6210,3096,6278,3110,6349,3114,6384,3114,6608,3110,6643,3096,6714,3077,6782,3053,6849,3025,6913,2992,6975,2954,7034,2913,7089,2868,7142,2819,7191,2766,7236,2741,7255xe" filled="true" fillcolor="#f1e35c" stroked="false">
                  <v:path arrowok="t"/>
                  <v:fill type="solid"/>
                </v:shape>
                <v:shape style="position:absolute;left:2153;top:5105;width:1365;height:1365" id="docshape11" coordorigin="2153,5105" coordsize="1365,1365" path="m2836,6470l2769,6467,2703,6457,2638,6441,2575,6418,2514,6389,2457,6355,2403,6315,2353,6270,2308,6221,2268,6167,2234,6109,2205,6049,2183,5986,2166,5921,2157,5854,2153,5788,2153,5771,2158,5704,2170,5638,2188,5573,2212,5511,2242,5451,2278,5395,2319,5342,2365,5293,2416,5249,2471,5211,2529,5178,2590,5151,2654,5130,2719,5115,2786,5107,2836,5105,2853,5105,2919,5110,2985,5122,3050,5139,3112,5164,3172,5194,3229,5230,3282,5271,3330,5317,3374,5368,3412,5422,3445,5481,3473,5542,3494,5606,3508,5671,3516,5737,3518,5788,3518,5804,3513,5871,3502,5937,3484,6002,3460,6064,3430,6124,3394,6181,3353,6233,3306,6282,3256,6326,3201,6364,3143,6397,3081,6424,3018,6445,2952,6460,2886,6468,2836,6470xe" filled="true" fillcolor="#ffffff" stroked="false">
                  <v:path arrowok="t"/>
                  <v:fill type="solid"/>
                </v:shape>
                <w10:wrap type="none"/>
              </v:group>
            </w:pict>
          </mc:Fallback>
        </mc:AlternateContent>
      </w:r>
      <w:bookmarkStart w:name="Incomplete - FY 2025 Annual Recommendati" w:id="1"/>
      <w:bookmarkEnd w:id="1"/>
      <w:r>
        <w:rPr/>
      </w:r>
      <w:bookmarkStart w:name="Binder2.pdf" w:id="2"/>
      <w:bookmarkEnd w:id="2"/>
      <w:r>
        <w:rPr/>
      </w:r>
      <w:bookmarkStart w:name="2024 Report Cover Draft 1 (Magazine Cove" w:id="3"/>
      <w:bookmarkEnd w:id="3"/>
      <w:r>
        <w:rPr/>
      </w:r>
      <w:r>
        <w:rPr>
          <w:rFonts w:ascii="Palatino Linotype"/>
          <w:b/>
          <w:sz w:val="58"/>
        </w:rPr>
        <w:t>REPORT</w:t>
      </w:r>
      <w:r>
        <w:rPr>
          <w:rFonts w:ascii="Palatino Linotype"/>
          <w:b/>
          <w:spacing w:val="19"/>
          <w:sz w:val="58"/>
        </w:rPr>
        <w:t>  </w:t>
      </w:r>
      <w:r>
        <w:rPr>
          <w:rFonts w:ascii="Palatino Linotype"/>
          <w:b/>
          <w:sz w:val="58"/>
        </w:rPr>
        <w:t>&amp;</w:t>
      </w:r>
      <w:r>
        <w:rPr>
          <w:rFonts w:ascii="Palatino Linotype"/>
          <w:b/>
          <w:spacing w:val="19"/>
          <w:sz w:val="58"/>
        </w:rPr>
        <w:t>  </w:t>
      </w:r>
      <w:r>
        <w:rPr>
          <w:rFonts w:ascii="Palatino Linotype"/>
          <w:b/>
          <w:spacing w:val="-2"/>
          <w:sz w:val="58"/>
        </w:rPr>
        <w:t>RECOMMENDATIONS</w:t>
      </w:r>
    </w:p>
    <w:p>
      <w:pPr>
        <w:pStyle w:val="BodyText"/>
        <w:spacing w:before="41"/>
        <w:rPr>
          <w:rFonts w:ascii="Palatino Linotype"/>
          <w:b/>
          <w:sz w:val="28"/>
        </w:rPr>
      </w:pPr>
    </w:p>
    <w:p>
      <w:pPr>
        <w:tabs>
          <w:tab w:pos="3231" w:val="left" w:leader="none"/>
          <w:tab w:pos="5712" w:val="left" w:leader="none"/>
          <w:tab w:pos="6438" w:val="left" w:leader="none"/>
          <w:tab w:pos="8145" w:val="left" w:leader="none"/>
          <w:tab w:pos="9128" w:val="left" w:leader="none"/>
        </w:tabs>
        <w:spacing w:line="355" w:lineRule="auto" w:before="0"/>
        <w:ind w:left="142" w:right="486" w:firstLine="0"/>
        <w:jc w:val="left"/>
        <w:rPr>
          <w:rFonts w:ascii="Palatino Linotype"/>
          <w:b/>
          <w:sz w:val="28"/>
        </w:rPr>
      </w:pPr>
      <w:r>
        <w:rPr>
          <w:rFonts w:ascii="Palatino Linotype"/>
          <w:b/>
          <w:spacing w:val="17"/>
          <w:sz w:val="28"/>
        </w:rPr>
        <w:t>MASSACHUSETTS</w:t>
      </w:r>
      <w:r>
        <w:rPr>
          <w:rFonts w:ascii="Palatino Linotype"/>
          <w:b/>
          <w:sz w:val="28"/>
        </w:rPr>
        <w:tab/>
      </w:r>
      <w:r>
        <w:rPr>
          <w:rFonts w:ascii="Palatino Linotype"/>
          <w:b/>
          <w:spacing w:val="16"/>
          <w:sz w:val="28"/>
        </w:rPr>
        <w:t>COMMISSION</w:t>
      </w:r>
      <w:r>
        <w:rPr>
          <w:rFonts w:ascii="Palatino Linotype"/>
          <w:b/>
          <w:sz w:val="28"/>
        </w:rPr>
        <w:tab/>
      </w:r>
      <w:r>
        <w:rPr>
          <w:rFonts w:ascii="Palatino Linotype"/>
          <w:b/>
          <w:spacing w:val="4"/>
          <w:sz w:val="28"/>
        </w:rPr>
        <w:t>ON</w:t>
      </w:r>
      <w:r>
        <w:rPr>
          <w:rFonts w:ascii="Palatino Linotype"/>
          <w:b/>
          <w:sz w:val="28"/>
        </w:rPr>
        <w:tab/>
      </w:r>
      <w:r>
        <w:rPr>
          <w:rFonts w:ascii="Palatino Linotype"/>
          <w:b/>
          <w:spacing w:val="16"/>
          <w:sz w:val="28"/>
        </w:rPr>
        <w:t>LESBIAN,</w:t>
      </w:r>
      <w:r>
        <w:rPr>
          <w:rFonts w:ascii="Palatino Linotype"/>
          <w:b/>
          <w:sz w:val="28"/>
        </w:rPr>
        <w:tab/>
      </w:r>
      <w:r>
        <w:rPr>
          <w:rFonts w:ascii="Palatino Linotype"/>
          <w:b/>
          <w:spacing w:val="11"/>
          <w:sz w:val="28"/>
        </w:rPr>
        <w:t>GAY,</w:t>
      </w:r>
      <w:r>
        <w:rPr>
          <w:rFonts w:ascii="Palatino Linotype"/>
          <w:b/>
          <w:sz w:val="28"/>
        </w:rPr>
        <w:tab/>
      </w:r>
      <w:r>
        <w:rPr>
          <w:rFonts w:ascii="Palatino Linotype"/>
          <w:b/>
          <w:spacing w:val="14"/>
          <w:sz w:val="28"/>
        </w:rPr>
        <w:t>BISEXUAL, </w:t>
      </w:r>
      <w:r>
        <w:rPr>
          <w:rFonts w:ascii="Palatino Linotype"/>
          <w:b/>
          <w:spacing w:val="19"/>
          <w:sz w:val="28"/>
        </w:rPr>
        <w:t>TRANSGENDER,</w:t>
      </w:r>
      <w:r>
        <w:rPr>
          <w:rFonts w:ascii="Palatino Linotype"/>
          <w:b/>
          <w:spacing w:val="80"/>
          <w:w w:val="150"/>
          <w:sz w:val="28"/>
        </w:rPr>
        <w:t> </w:t>
      </w:r>
      <w:r>
        <w:rPr>
          <w:rFonts w:ascii="Palatino Linotype"/>
          <w:b/>
          <w:spacing w:val="16"/>
          <w:sz w:val="28"/>
        </w:rPr>
        <w:t>QUEER</w:t>
      </w:r>
      <w:r>
        <w:rPr>
          <w:rFonts w:ascii="Palatino Linotype"/>
          <w:b/>
          <w:spacing w:val="80"/>
          <w:w w:val="150"/>
          <w:sz w:val="28"/>
        </w:rPr>
        <w:t> </w:t>
      </w:r>
      <w:r>
        <w:rPr>
          <w:rFonts w:ascii="Palatino Linotype"/>
          <w:b/>
          <w:sz w:val="28"/>
        </w:rPr>
        <w:t>&amp;</w:t>
      </w:r>
      <w:r>
        <w:rPr>
          <w:rFonts w:ascii="Palatino Linotype"/>
          <w:b/>
          <w:spacing w:val="80"/>
          <w:w w:val="150"/>
          <w:sz w:val="28"/>
        </w:rPr>
        <w:t> </w:t>
      </w:r>
      <w:r>
        <w:rPr>
          <w:rFonts w:ascii="Palatino Linotype"/>
          <w:b/>
          <w:spacing w:val="19"/>
          <w:sz w:val="28"/>
        </w:rPr>
        <w:t>QUESTIONING</w:t>
      </w:r>
      <w:r>
        <w:rPr>
          <w:rFonts w:ascii="Palatino Linotype"/>
          <w:b/>
          <w:spacing w:val="80"/>
          <w:w w:val="150"/>
          <w:sz w:val="28"/>
        </w:rPr>
        <w:t> </w:t>
      </w:r>
      <w:r>
        <w:rPr>
          <w:rFonts w:ascii="Palatino Linotype"/>
          <w:b/>
          <w:spacing w:val="16"/>
          <w:sz w:val="28"/>
        </w:rPr>
        <w:t>YOUTH</w:t>
      </w:r>
    </w:p>
    <w:p>
      <w:pPr>
        <w:spacing w:before="64"/>
        <w:ind w:left="114" w:right="0" w:firstLine="0"/>
        <w:jc w:val="left"/>
        <w:rPr>
          <w:rFonts w:ascii="Palatino Linotype"/>
          <w:b/>
          <w:sz w:val="29"/>
        </w:rPr>
      </w:pPr>
      <w:r>
        <w:rPr>
          <w:rFonts w:ascii="Palatino Linotype"/>
          <w:b/>
          <w:spacing w:val="-12"/>
          <w:w w:val="130"/>
          <w:sz w:val="29"/>
        </w:rPr>
        <w:t>F</w:t>
      </w:r>
      <w:r>
        <w:rPr>
          <w:rFonts w:ascii="Palatino Linotype"/>
          <w:b/>
          <w:spacing w:val="-47"/>
          <w:w w:val="130"/>
          <w:sz w:val="29"/>
        </w:rPr>
        <w:t> </w:t>
      </w:r>
      <w:r>
        <w:rPr>
          <w:rFonts w:ascii="Palatino Linotype"/>
          <w:b/>
          <w:spacing w:val="-12"/>
          <w:w w:val="130"/>
          <w:sz w:val="29"/>
        </w:rPr>
        <w:t>iscal</w:t>
      </w:r>
      <w:r>
        <w:rPr>
          <w:rFonts w:ascii="Palatino Linotype"/>
          <w:b/>
          <w:spacing w:val="-47"/>
          <w:w w:val="130"/>
          <w:sz w:val="29"/>
        </w:rPr>
        <w:t> </w:t>
      </w:r>
      <w:r>
        <w:rPr>
          <w:rFonts w:ascii="Palatino Linotype"/>
          <w:b/>
          <w:spacing w:val="-12"/>
          <w:w w:val="130"/>
          <w:sz w:val="29"/>
        </w:rPr>
        <w:t>year</w:t>
      </w:r>
      <w:r>
        <w:rPr>
          <w:rFonts w:ascii="Palatino Linotype"/>
          <w:b/>
          <w:spacing w:val="-47"/>
          <w:w w:val="130"/>
          <w:sz w:val="29"/>
        </w:rPr>
        <w:t> </w:t>
      </w:r>
      <w:r>
        <w:rPr>
          <w:rFonts w:ascii="Palatino Linotype"/>
          <w:b/>
          <w:spacing w:val="-12"/>
          <w:w w:val="130"/>
          <w:sz w:val="29"/>
        </w:rPr>
        <w:t>2025</w:t>
      </w:r>
    </w:p>
    <w:p>
      <w:pPr>
        <w:spacing w:before="21"/>
        <w:ind w:left="114" w:right="0" w:firstLine="0"/>
        <w:jc w:val="left"/>
        <w:rPr>
          <w:rFonts w:ascii="Palatino Linotype"/>
          <w:b/>
          <w:sz w:val="29"/>
        </w:rPr>
      </w:pPr>
      <w:r>
        <w:rPr/>
        <w:drawing>
          <wp:anchor distT="0" distB="0" distL="0" distR="0" allowOverlap="1" layoutInCell="1" locked="0" behindDoc="0" simplePos="0" relativeHeight="15729152">
            <wp:simplePos x="0" y="0"/>
            <wp:positionH relativeFrom="page">
              <wp:posOffset>2682127</wp:posOffset>
            </wp:positionH>
            <wp:positionV relativeFrom="paragraph">
              <wp:posOffset>181243</wp:posOffset>
            </wp:positionV>
            <wp:extent cx="5090272" cy="6010274"/>
            <wp:effectExtent l="0" t="0" r="0" b="0"/>
            <wp:wrapNone/>
            <wp:docPr id="22" name="Image 22"/>
            <wp:cNvGraphicFramePr>
              <a:graphicFrameLocks/>
            </wp:cNvGraphicFramePr>
            <a:graphic>
              <a:graphicData uri="http://schemas.openxmlformats.org/drawingml/2006/picture">
                <pic:pic>
                  <pic:nvPicPr>
                    <pic:cNvPr id="22" name="Image 22"/>
                    <pic:cNvPicPr/>
                  </pic:nvPicPr>
                  <pic:blipFill>
                    <a:blip r:embed="rId7" cstate="print"/>
                    <a:stretch>
                      <a:fillRect/>
                    </a:stretch>
                  </pic:blipFill>
                  <pic:spPr>
                    <a:xfrm>
                      <a:off x="0" y="0"/>
                      <a:ext cx="5090272" cy="6010274"/>
                    </a:xfrm>
                    <a:prstGeom prst="rect">
                      <a:avLst/>
                    </a:prstGeom>
                  </pic:spPr>
                </pic:pic>
              </a:graphicData>
            </a:graphic>
          </wp:anchor>
        </w:drawing>
      </w:r>
      <w:r>
        <w:rPr>
          <w:rFonts w:ascii="Palatino Linotype"/>
          <w:b/>
          <w:spacing w:val="-10"/>
          <w:w w:val="110"/>
          <w:sz w:val="29"/>
        </w:rPr>
        <w:t>JULy</w:t>
      </w:r>
      <w:r>
        <w:rPr>
          <w:rFonts w:ascii="Palatino Linotype"/>
          <w:b/>
          <w:spacing w:val="-34"/>
          <w:w w:val="110"/>
          <w:sz w:val="29"/>
        </w:rPr>
        <w:t> </w:t>
      </w:r>
      <w:r>
        <w:rPr>
          <w:rFonts w:ascii="Palatino Linotype"/>
          <w:b/>
          <w:spacing w:val="-10"/>
          <w:w w:val="110"/>
          <w:sz w:val="29"/>
        </w:rPr>
        <w:t>1,</w:t>
      </w:r>
      <w:r>
        <w:rPr>
          <w:rFonts w:ascii="Palatino Linotype"/>
          <w:b/>
          <w:spacing w:val="-33"/>
          <w:w w:val="110"/>
          <w:sz w:val="29"/>
        </w:rPr>
        <w:t> </w:t>
      </w:r>
      <w:r>
        <w:rPr>
          <w:rFonts w:ascii="Palatino Linotype"/>
          <w:b/>
          <w:spacing w:val="-10"/>
          <w:w w:val="110"/>
          <w:sz w:val="29"/>
        </w:rPr>
        <w:t>2024</w:t>
      </w:r>
      <w:r>
        <w:rPr>
          <w:rFonts w:ascii="Palatino Linotype"/>
          <w:b/>
          <w:spacing w:val="-33"/>
          <w:w w:val="110"/>
          <w:sz w:val="29"/>
        </w:rPr>
        <w:t> </w:t>
      </w:r>
      <w:r>
        <w:rPr>
          <w:rFonts w:ascii="Palatino Linotype"/>
          <w:b/>
          <w:spacing w:val="-10"/>
          <w:w w:val="110"/>
          <w:sz w:val="29"/>
        </w:rPr>
        <w:t>--</w:t>
      </w:r>
      <w:r>
        <w:rPr>
          <w:rFonts w:ascii="Palatino Linotype"/>
          <w:b/>
          <w:spacing w:val="-34"/>
          <w:w w:val="110"/>
          <w:sz w:val="29"/>
        </w:rPr>
        <w:t> </w:t>
      </w:r>
      <w:r>
        <w:rPr>
          <w:rFonts w:ascii="Palatino Linotype"/>
          <w:b/>
          <w:spacing w:val="-10"/>
          <w:w w:val="110"/>
          <w:sz w:val="29"/>
        </w:rPr>
        <w:t>JUNE</w:t>
      </w:r>
      <w:r>
        <w:rPr>
          <w:rFonts w:ascii="Palatino Linotype"/>
          <w:b/>
          <w:spacing w:val="-33"/>
          <w:w w:val="110"/>
          <w:sz w:val="29"/>
        </w:rPr>
        <w:t> </w:t>
      </w:r>
      <w:r>
        <w:rPr>
          <w:rFonts w:ascii="Palatino Linotype"/>
          <w:b/>
          <w:spacing w:val="-10"/>
          <w:w w:val="110"/>
          <w:sz w:val="29"/>
        </w:rPr>
        <w:t>30,</w:t>
      </w:r>
      <w:r>
        <w:rPr>
          <w:rFonts w:ascii="Palatino Linotype"/>
          <w:b/>
          <w:spacing w:val="-33"/>
          <w:w w:val="110"/>
          <w:sz w:val="29"/>
        </w:rPr>
        <w:t> </w:t>
      </w:r>
      <w:r>
        <w:rPr>
          <w:rFonts w:ascii="Palatino Linotype"/>
          <w:b/>
          <w:spacing w:val="-10"/>
          <w:w w:val="110"/>
          <w:sz w:val="29"/>
        </w:rPr>
        <w:t>2025</w:t>
      </w:r>
    </w:p>
    <w:p>
      <w:pPr>
        <w:spacing w:after="0"/>
        <w:jc w:val="left"/>
        <w:rPr>
          <w:rFonts w:ascii="Palatino Linotype"/>
          <w:sz w:val="29"/>
        </w:rPr>
        <w:sectPr>
          <w:type w:val="continuous"/>
          <w:pgSz w:w="12240" w:h="15840"/>
          <w:pgMar w:top="1420" w:bottom="280" w:left="900" w:right="0"/>
        </w:sectPr>
      </w:pPr>
    </w:p>
    <w:p>
      <w:pPr>
        <w:spacing w:before="40"/>
        <w:ind w:left="119" w:right="119" w:firstLine="0"/>
        <w:jc w:val="both"/>
        <w:rPr>
          <w:sz w:val="22"/>
        </w:rPr>
      </w:pPr>
      <w:bookmarkStart w:name="Binder1.pdf" w:id="4"/>
      <w:bookmarkEnd w:id="4"/>
      <w:r>
        <w:rPr/>
      </w:r>
      <w:bookmarkStart w:name="FY25 Acknowledgments.pdf" w:id="5"/>
      <w:bookmarkEnd w:id="5"/>
      <w:r>
        <w:rPr/>
      </w:r>
      <w:r>
        <w:rPr>
          <w:b/>
          <w:sz w:val="22"/>
        </w:rPr>
        <w:t>Recommended</w:t>
      </w:r>
      <w:r>
        <w:rPr>
          <w:b/>
          <w:spacing w:val="-2"/>
          <w:sz w:val="22"/>
        </w:rPr>
        <w:t> </w:t>
      </w:r>
      <w:r>
        <w:rPr>
          <w:b/>
          <w:sz w:val="22"/>
        </w:rPr>
        <w:t>citation: </w:t>
      </w:r>
      <w:r>
        <w:rPr>
          <w:sz w:val="22"/>
        </w:rPr>
        <w:t>Massachusetts</w:t>
      </w:r>
      <w:r>
        <w:rPr>
          <w:spacing w:val="-1"/>
          <w:sz w:val="22"/>
        </w:rPr>
        <w:t> </w:t>
      </w:r>
      <w:r>
        <w:rPr>
          <w:sz w:val="22"/>
        </w:rPr>
        <w:t>Commission</w:t>
      </w:r>
      <w:r>
        <w:rPr>
          <w:spacing w:val="-2"/>
          <w:sz w:val="22"/>
        </w:rPr>
        <w:t> </w:t>
      </w:r>
      <w:r>
        <w:rPr>
          <w:sz w:val="22"/>
        </w:rPr>
        <w:t>on Lesbian, Gay,</w:t>
      </w:r>
      <w:r>
        <w:rPr>
          <w:spacing w:val="-1"/>
          <w:sz w:val="22"/>
        </w:rPr>
        <w:t> </w:t>
      </w:r>
      <w:r>
        <w:rPr>
          <w:sz w:val="22"/>
        </w:rPr>
        <w:t>Bisexual,</w:t>
      </w:r>
      <w:r>
        <w:rPr>
          <w:spacing w:val="-1"/>
          <w:sz w:val="22"/>
        </w:rPr>
        <w:t> </w:t>
      </w:r>
      <w:r>
        <w:rPr>
          <w:sz w:val="22"/>
        </w:rPr>
        <w:t>Transgender,</w:t>
      </w:r>
      <w:r>
        <w:rPr>
          <w:spacing w:val="-1"/>
          <w:sz w:val="22"/>
        </w:rPr>
        <w:t> </w:t>
      </w:r>
      <w:r>
        <w:rPr>
          <w:sz w:val="22"/>
        </w:rPr>
        <w:t>Queer, and Questioning Youth. (2024). </w:t>
      </w:r>
      <w:r>
        <w:rPr>
          <w:i/>
          <w:sz w:val="22"/>
        </w:rPr>
        <w:t>Massachusetts Commission on LGBTQ Youth: Report and Recommendations</w:t>
      </w:r>
      <w:r>
        <w:rPr>
          <w:i/>
          <w:sz w:val="22"/>
        </w:rPr>
        <w:t> for Fiscal Year 2025</w:t>
      </w:r>
      <w:r>
        <w:rPr>
          <w:sz w:val="22"/>
        </w:rPr>
        <w:t>. Retrieved from https://</w:t>
      </w:r>
      <w:hyperlink r:id="rId8">
        <w:r>
          <w:rPr>
            <w:sz w:val="22"/>
          </w:rPr>
          <w:t>www.mass.gov/annual-recommendations</w:t>
        </w:r>
      </w:hyperlink>
    </w:p>
    <w:p>
      <w:pPr>
        <w:pStyle w:val="BodyText"/>
        <w:spacing w:before="41"/>
      </w:pPr>
    </w:p>
    <w:p>
      <w:pPr>
        <w:spacing w:before="0"/>
        <w:ind w:left="119" w:right="0" w:firstLine="0"/>
        <w:jc w:val="both"/>
        <w:rPr>
          <w:b/>
          <w:sz w:val="22"/>
        </w:rPr>
      </w:pPr>
      <w:r>
        <w:rPr>
          <w:b/>
          <w:sz w:val="22"/>
        </w:rPr>
        <w:t>The</w:t>
      </w:r>
      <w:r>
        <w:rPr>
          <w:b/>
          <w:spacing w:val="-9"/>
          <w:sz w:val="22"/>
        </w:rPr>
        <w:t> </w:t>
      </w:r>
      <w:r>
        <w:rPr>
          <w:b/>
          <w:sz w:val="22"/>
        </w:rPr>
        <w:t>Commission</w:t>
      </w:r>
      <w:r>
        <w:rPr>
          <w:b/>
          <w:spacing w:val="-8"/>
          <w:sz w:val="22"/>
        </w:rPr>
        <w:t> </w:t>
      </w:r>
      <w:r>
        <w:rPr>
          <w:b/>
          <w:sz w:val="22"/>
        </w:rPr>
        <w:t>sincerely</w:t>
      </w:r>
      <w:r>
        <w:rPr>
          <w:b/>
          <w:spacing w:val="-6"/>
          <w:sz w:val="22"/>
        </w:rPr>
        <w:t> </w:t>
      </w:r>
      <w:r>
        <w:rPr>
          <w:b/>
          <w:sz w:val="22"/>
        </w:rPr>
        <w:t>thanks</w:t>
      </w:r>
      <w:r>
        <w:rPr>
          <w:b/>
          <w:spacing w:val="-7"/>
          <w:sz w:val="22"/>
        </w:rPr>
        <w:t> </w:t>
      </w:r>
      <w:r>
        <w:rPr>
          <w:b/>
          <w:sz w:val="22"/>
        </w:rPr>
        <w:t>the</w:t>
      </w:r>
      <w:r>
        <w:rPr>
          <w:b/>
          <w:spacing w:val="-9"/>
          <w:sz w:val="22"/>
        </w:rPr>
        <w:t> </w:t>
      </w:r>
      <w:r>
        <w:rPr>
          <w:b/>
          <w:sz w:val="22"/>
        </w:rPr>
        <w:t>contributions</w:t>
      </w:r>
      <w:r>
        <w:rPr>
          <w:b/>
          <w:spacing w:val="-7"/>
          <w:sz w:val="22"/>
        </w:rPr>
        <w:t> </w:t>
      </w:r>
      <w:r>
        <w:rPr>
          <w:b/>
          <w:sz w:val="22"/>
        </w:rPr>
        <w:t>of</w:t>
      </w:r>
      <w:r>
        <w:rPr>
          <w:b/>
          <w:spacing w:val="-8"/>
          <w:sz w:val="22"/>
        </w:rPr>
        <w:t> </w:t>
      </w:r>
      <w:r>
        <w:rPr>
          <w:b/>
          <w:sz w:val="22"/>
        </w:rPr>
        <w:t>its</w:t>
      </w:r>
      <w:r>
        <w:rPr>
          <w:b/>
          <w:spacing w:val="-9"/>
          <w:sz w:val="22"/>
        </w:rPr>
        <w:t> </w:t>
      </w:r>
      <w:r>
        <w:rPr>
          <w:b/>
          <w:sz w:val="22"/>
        </w:rPr>
        <w:t>staff,</w:t>
      </w:r>
      <w:r>
        <w:rPr>
          <w:b/>
          <w:spacing w:val="-8"/>
          <w:sz w:val="22"/>
        </w:rPr>
        <w:t> </w:t>
      </w:r>
      <w:r>
        <w:rPr>
          <w:b/>
          <w:sz w:val="22"/>
        </w:rPr>
        <w:t>members,</w:t>
      </w:r>
      <w:r>
        <w:rPr>
          <w:b/>
          <w:spacing w:val="-8"/>
          <w:sz w:val="22"/>
        </w:rPr>
        <w:t> </w:t>
      </w:r>
      <w:r>
        <w:rPr>
          <w:b/>
          <w:sz w:val="22"/>
        </w:rPr>
        <w:t>and</w:t>
      </w:r>
      <w:r>
        <w:rPr>
          <w:b/>
          <w:spacing w:val="-7"/>
          <w:sz w:val="22"/>
        </w:rPr>
        <w:t> </w:t>
      </w:r>
      <w:r>
        <w:rPr>
          <w:b/>
          <w:spacing w:val="-2"/>
          <w:sz w:val="22"/>
        </w:rPr>
        <w:t>consultants:</w:t>
      </w:r>
    </w:p>
    <w:p>
      <w:pPr>
        <w:pStyle w:val="BodyText"/>
        <w:spacing w:before="79"/>
        <w:rPr>
          <w:b/>
        </w:rPr>
      </w:pPr>
    </w:p>
    <w:p>
      <w:pPr>
        <w:pStyle w:val="BodyText"/>
        <w:ind w:left="119"/>
      </w:pPr>
      <w:r>
        <w:rPr/>
        <w:t>Shaplaie</w:t>
      </w:r>
      <w:r>
        <w:rPr>
          <w:spacing w:val="-9"/>
        </w:rPr>
        <w:t> </w:t>
      </w:r>
      <w:r>
        <w:rPr/>
        <w:t>Brooks,</w:t>
      </w:r>
      <w:r>
        <w:rPr>
          <w:spacing w:val="-9"/>
        </w:rPr>
        <w:t> </w:t>
      </w:r>
      <w:r>
        <w:rPr/>
        <w:t>Executive</w:t>
      </w:r>
      <w:r>
        <w:rPr>
          <w:spacing w:val="-9"/>
        </w:rPr>
        <w:t> </w:t>
      </w:r>
      <w:r>
        <w:rPr/>
        <w:t>Director</w:t>
      </w:r>
      <w:r>
        <w:rPr>
          <w:spacing w:val="-9"/>
        </w:rPr>
        <w:t> </w:t>
      </w:r>
      <w:r>
        <w:rPr/>
        <w:t>and</w:t>
      </w:r>
      <w:r>
        <w:rPr>
          <w:spacing w:val="-9"/>
        </w:rPr>
        <w:t> </w:t>
      </w:r>
      <w:r>
        <w:rPr/>
        <w:t>lead</w:t>
      </w:r>
      <w:r>
        <w:rPr>
          <w:spacing w:val="-9"/>
        </w:rPr>
        <w:t> </w:t>
      </w:r>
      <w:r>
        <w:rPr/>
        <w:t>co-</w:t>
      </w:r>
      <w:r>
        <w:rPr>
          <w:spacing w:val="-2"/>
        </w:rPr>
        <w:t>editor</w:t>
      </w:r>
    </w:p>
    <w:p>
      <w:pPr>
        <w:pStyle w:val="BodyText"/>
        <w:spacing w:line="276" w:lineRule="auto" w:before="42"/>
        <w:ind w:left="119"/>
      </w:pPr>
      <w:r>
        <w:rPr/>
        <w:t>Rayna</w:t>
      </w:r>
      <w:r>
        <w:rPr>
          <w:spacing w:val="-5"/>
        </w:rPr>
        <w:t> </w:t>
      </w:r>
      <w:r>
        <w:rPr/>
        <w:t>Hill,</w:t>
      </w:r>
      <w:r>
        <w:rPr>
          <w:spacing w:val="-5"/>
        </w:rPr>
        <w:t> </w:t>
      </w:r>
      <w:r>
        <w:rPr/>
        <w:t>Legislative</w:t>
      </w:r>
      <w:r>
        <w:rPr>
          <w:spacing w:val="-6"/>
        </w:rPr>
        <w:t> </w:t>
      </w:r>
      <w:r>
        <w:rPr/>
        <w:t>&amp;</w:t>
      </w:r>
      <w:r>
        <w:rPr>
          <w:spacing w:val="-5"/>
        </w:rPr>
        <w:t> </w:t>
      </w:r>
      <w:r>
        <w:rPr/>
        <w:t>Policy</w:t>
      </w:r>
      <w:r>
        <w:rPr>
          <w:spacing w:val="-5"/>
        </w:rPr>
        <w:t> </w:t>
      </w:r>
      <w:r>
        <w:rPr/>
        <w:t>Manager,</w:t>
      </w:r>
      <w:r>
        <w:rPr>
          <w:spacing w:val="-5"/>
        </w:rPr>
        <w:t> </w:t>
      </w:r>
      <w:r>
        <w:rPr/>
        <w:t>lead</w:t>
      </w:r>
      <w:r>
        <w:rPr>
          <w:spacing w:val="-5"/>
        </w:rPr>
        <w:t> </w:t>
      </w:r>
      <w:r>
        <w:rPr/>
        <w:t>co-editor</w:t>
      </w:r>
      <w:r>
        <w:rPr>
          <w:spacing w:val="-5"/>
        </w:rPr>
        <w:t> </w:t>
      </w:r>
      <w:r>
        <w:rPr/>
        <w:t>and</w:t>
      </w:r>
      <w:r>
        <w:rPr>
          <w:spacing w:val="-6"/>
        </w:rPr>
        <w:t> </w:t>
      </w:r>
      <w:r>
        <w:rPr/>
        <w:t>author</w:t>
      </w:r>
      <w:r>
        <w:rPr>
          <w:spacing w:val="-5"/>
        </w:rPr>
        <w:t> </w:t>
      </w:r>
      <w:r>
        <w:rPr/>
        <w:t>of</w:t>
      </w:r>
      <w:r>
        <w:rPr>
          <w:spacing w:val="-5"/>
        </w:rPr>
        <w:t> </w:t>
      </w:r>
      <w:r>
        <w:rPr/>
        <w:t>‘Eliminating</w:t>
      </w:r>
      <w:r>
        <w:rPr>
          <w:spacing w:val="-6"/>
        </w:rPr>
        <w:t> </w:t>
      </w:r>
      <w:r>
        <w:rPr/>
        <w:t>Barriers</w:t>
      </w:r>
      <w:r>
        <w:rPr>
          <w:spacing w:val="-5"/>
        </w:rPr>
        <w:t> </w:t>
      </w:r>
      <w:r>
        <w:rPr/>
        <w:t>to</w:t>
      </w:r>
      <w:r>
        <w:rPr>
          <w:spacing w:val="-5"/>
        </w:rPr>
        <w:t> </w:t>
      </w:r>
      <w:r>
        <w:rPr/>
        <w:t>Service’</w:t>
      </w:r>
      <w:r>
        <w:rPr>
          <w:spacing w:val="-5"/>
        </w:rPr>
        <w:t> </w:t>
      </w:r>
      <w:r>
        <w:rPr/>
        <w:t>and agency recommendations</w:t>
      </w:r>
    </w:p>
    <w:p>
      <w:pPr>
        <w:pStyle w:val="BodyText"/>
        <w:spacing w:line="276" w:lineRule="auto"/>
        <w:ind w:left="119" w:right="620"/>
      </w:pPr>
      <w:r>
        <w:rPr/>
        <w:t>Craig</w:t>
      </w:r>
      <w:r>
        <w:rPr>
          <w:spacing w:val="-4"/>
        </w:rPr>
        <w:t> </w:t>
      </w:r>
      <w:r>
        <w:rPr/>
        <w:t>Martin</w:t>
      </w:r>
      <w:r>
        <w:rPr>
          <w:spacing w:val="-3"/>
        </w:rPr>
        <w:t> </w:t>
      </w:r>
      <w:r>
        <w:rPr/>
        <w:t>and</w:t>
      </w:r>
      <w:r>
        <w:rPr>
          <w:spacing w:val="-4"/>
        </w:rPr>
        <w:t> </w:t>
      </w:r>
      <w:r>
        <w:rPr/>
        <w:t>Noemi</w:t>
      </w:r>
      <w:r>
        <w:rPr>
          <w:spacing w:val="-3"/>
        </w:rPr>
        <w:t> </w:t>
      </w:r>
      <w:r>
        <w:rPr/>
        <w:t>Uribe,</w:t>
      </w:r>
      <w:r>
        <w:rPr>
          <w:spacing w:val="-4"/>
        </w:rPr>
        <w:t> </w:t>
      </w:r>
      <w:r>
        <w:rPr/>
        <w:t>Commission</w:t>
      </w:r>
      <w:r>
        <w:rPr>
          <w:spacing w:val="-4"/>
        </w:rPr>
        <w:t> </w:t>
      </w:r>
      <w:r>
        <w:rPr/>
        <w:t>Co-Chairs</w:t>
      </w:r>
      <w:r>
        <w:rPr>
          <w:spacing w:val="-4"/>
        </w:rPr>
        <w:t> </w:t>
      </w:r>
      <w:r>
        <w:rPr/>
        <w:t>and</w:t>
      </w:r>
      <w:r>
        <w:rPr>
          <w:spacing w:val="-3"/>
        </w:rPr>
        <w:t> </w:t>
      </w:r>
      <w:r>
        <w:rPr/>
        <w:t>co-authors</w:t>
      </w:r>
      <w:r>
        <w:rPr>
          <w:spacing w:val="-4"/>
        </w:rPr>
        <w:t> </w:t>
      </w:r>
      <w:r>
        <w:rPr/>
        <w:t>of</w:t>
      </w:r>
      <w:r>
        <w:rPr>
          <w:spacing w:val="-4"/>
        </w:rPr>
        <w:t> </w:t>
      </w:r>
      <w:r>
        <w:rPr/>
        <w:t>the</w:t>
      </w:r>
      <w:r>
        <w:rPr>
          <w:spacing w:val="-4"/>
        </w:rPr>
        <w:t> </w:t>
      </w:r>
      <w:r>
        <w:rPr/>
        <w:t>Introduction</w:t>
      </w:r>
      <w:r>
        <w:rPr>
          <w:spacing w:val="-3"/>
        </w:rPr>
        <w:t> </w:t>
      </w:r>
      <w:r>
        <w:rPr/>
        <w:t>Letter Joan Halford, lead researcher and author of “Protecting LGBTQ Child Welfare &amp; Well-Being”</w:t>
      </w:r>
    </w:p>
    <w:p>
      <w:pPr>
        <w:pStyle w:val="BodyText"/>
        <w:spacing w:line="276" w:lineRule="auto"/>
        <w:ind w:left="119"/>
      </w:pPr>
      <w:r>
        <w:rPr/>
        <w:t>Jason</w:t>
      </w:r>
      <w:r>
        <w:rPr>
          <w:spacing w:val="72"/>
        </w:rPr>
        <w:t> </w:t>
      </w:r>
      <w:r>
        <w:rPr/>
        <w:t>Wheeler,</w:t>
      </w:r>
      <w:r>
        <w:rPr>
          <w:spacing w:val="73"/>
        </w:rPr>
        <w:t> </w:t>
      </w:r>
      <w:r>
        <w:rPr/>
        <w:t>Safe</w:t>
      </w:r>
      <w:r>
        <w:rPr>
          <w:spacing w:val="72"/>
        </w:rPr>
        <w:t> </w:t>
      </w:r>
      <w:r>
        <w:rPr/>
        <w:t>Schools</w:t>
      </w:r>
      <w:r>
        <w:rPr>
          <w:spacing w:val="73"/>
        </w:rPr>
        <w:t> </w:t>
      </w:r>
      <w:r>
        <w:rPr/>
        <w:t>Director,</w:t>
      </w:r>
      <w:r>
        <w:rPr>
          <w:spacing w:val="73"/>
        </w:rPr>
        <w:t> </w:t>
      </w:r>
      <w:r>
        <w:rPr/>
        <w:t>lead</w:t>
      </w:r>
      <w:r>
        <w:rPr>
          <w:spacing w:val="72"/>
        </w:rPr>
        <w:t> </w:t>
      </w:r>
      <w:r>
        <w:rPr/>
        <w:t>author</w:t>
      </w:r>
      <w:r>
        <w:rPr>
          <w:spacing w:val="73"/>
        </w:rPr>
        <w:t> </w:t>
      </w:r>
      <w:r>
        <w:rPr/>
        <w:t>of</w:t>
      </w:r>
      <w:r>
        <w:rPr>
          <w:spacing w:val="73"/>
        </w:rPr>
        <w:t> </w:t>
      </w:r>
      <w:r>
        <w:rPr/>
        <w:t>“Uplifting</w:t>
      </w:r>
      <w:r>
        <w:rPr>
          <w:spacing w:val="72"/>
        </w:rPr>
        <w:t> </w:t>
      </w:r>
      <w:r>
        <w:rPr/>
        <w:t>Education”</w:t>
      </w:r>
      <w:r>
        <w:rPr>
          <w:spacing w:val="73"/>
        </w:rPr>
        <w:t> </w:t>
      </w:r>
      <w:r>
        <w:rPr/>
        <w:t>&amp;</w:t>
      </w:r>
      <w:r>
        <w:rPr>
          <w:spacing w:val="73"/>
        </w:rPr>
        <w:t> </w:t>
      </w:r>
      <w:r>
        <w:rPr/>
        <w:t>education</w:t>
      </w:r>
      <w:r>
        <w:rPr>
          <w:spacing w:val="72"/>
        </w:rPr>
        <w:t> </w:t>
      </w:r>
      <w:r>
        <w:rPr/>
        <w:t>agency </w:t>
      </w:r>
      <w:r>
        <w:rPr>
          <w:spacing w:val="-2"/>
        </w:rPr>
        <w:t>recommendations</w:t>
      </w:r>
    </w:p>
    <w:p>
      <w:pPr>
        <w:pStyle w:val="BodyText"/>
        <w:spacing w:line="276" w:lineRule="auto"/>
        <w:ind w:left="119" w:right="2376"/>
      </w:pPr>
      <w:r>
        <w:rPr/>
        <w:t>Karina</w:t>
      </w:r>
      <w:r>
        <w:rPr>
          <w:spacing w:val="-6"/>
        </w:rPr>
        <w:t> </w:t>
      </w:r>
      <w:r>
        <w:rPr/>
        <w:t>Sumano,</w:t>
      </w:r>
      <w:r>
        <w:rPr>
          <w:spacing w:val="-6"/>
        </w:rPr>
        <w:t> </w:t>
      </w:r>
      <w:r>
        <w:rPr/>
        <w:t>author</w:t>
      </w:r>
      <w:r>
        <w:rPr>
          <w:spacing w:val="-6"/>
        </w:rPr>
        <w:t> </w:t>
      </w:r>
      <w:r>
        <w:rPr/>
        <w:t>of</w:t>
      </w:r>
      <w:r>
        <w:rPr>
          <w:spacing w:val="-5"/>
        </w:rPr>
        <w:t> </w:t>
      </w:r>
      <w:r>
        <w:rPr/>
        <w:t>“Broadening</w:t>
      </w:r>
      <w:r>
        <w:rPr>
          <w:spacing w:val="-5"/>
        </w:rPr>
        <w:t> </w:t>
      </w:r>
      <w:r>
        <w:rPr/>
        <w:t>Pregnancy</w:t>
      </w:r>
      <w:r>
        <w:rPr>
          <w:spacing w:val="-5"/>
        </w:rPr>
        <w:t> </w:t>
      </w:r>
      <w:r>
        <w:rPr/>
        <w:t>&amp;</w:t>
      </w:r>
      <w:r>
        <w:rPr>
          <w:spacing w:val="-5"/>
        </w:rPr>
        <w:t> </w:t>
      </w:r>
      <w:r>
        <w:rPr/>
        <w:t>Gynecological</w:t>
      </w:r>
      <w:r>
        <w:rPr>
          <w:spacing w:val="-6"/>
        </w:rPr>
        <w:t> </w:t>
      </w:r>
      <w:r>
        <w:rPr/>
        <w:t>Health” Sarah Prager, author of “Improving Sexual Health”</w:t>
      </w:r>
    </w:p>
    <w:p>
      <w:pPr>
        <w:pStyle w:val="BodyText"/>
        <w:spacing w:line="276" w:lineRule="auto"/>
        <w:ind w:left="119" w:right="3850"/>
      </w:pPr>
      <w:r>
        <w:rPr/>
        <w:t>Dallas Ducar, author of “Addressing Pediatric Health” Alexandra</w:t>
      </w:r>
      <w:r>
        <w:rPr>
          <w:spacing w:val="-6"/>
        </w:rPr>
        <w:t> </w:t>
      </w:r>
      <w:r>
        <w:rPr/>
        <w:t>Gago,</w:t>
      </w:r>
      <w:r>
        <w:rPr>
          <w:spacing w:val="-8"/>
        </w:rPr>
        <w:t> </w:t>
      </w:r>
      <w:r>
        <w:rPr/>
        <w:t>author</w:t>
      </w:r>
      <w:r>
        <w:rPr>
          <w:spacing w:val="-8"/>
        </w:rPr>
        <w:t> </w:t>
      </w:r>
      <w:r>
        <w:rPr/>
        <w:t>of</w:t>
      </w:r>
      <w:r>
        <w:rPr>
          <w:spacing w:val="-7"/>
        </w:rPr>
        <w:t> </w:t>
      </w:r>
      <w:r>
        <w:rPr/>
        <w:t>“Destigmatizing</w:t>
      </w:r>
      <w:r>
        <w:rPr>
          <w:spacing w:val="-8"/>
        </w:rPr>
        <w:t> </w:t>
      </w:r>
      <w:r>
        <w:rPr/>
        <w:t>Public</w:t>
      </w:r>
      <w:r>
        <w:rPr>
          <w:spacing w:val="-7"/>
        </w:rPr>
        <w:t> </w:t>
      </w:r>
      <w:r>
        <w:rPr/>
        <w:t>Health”</w:t>
      </w:r>
    </w:p>
    <w:p>
      <w:pPr>
        <w:pStyle w:val="BodyText"/>
        <w:spacing w:line="276" w:lineRule="auto"/>
        <w:ind w:left="119" w:right="3159"/>
      </w:pPr>
      <w:r>
        <w:rPr/>
        <w:t>Max</w:t>
      </w:r>
      <w:r>
        <w:rPr>
          <w:spacing w:val="-5"/>
        </w:rPr>
        <w:t> </w:t>
      </w:r>
      <w:r>
        <w:rPr/>
        <w:t>Tang,</w:t>
      </w:r>
      <w:r>
        <w:rPr>
          <w:spacing w:val="-3"/>
        </w:rPr>
        <w:t> </w:t>
      </w:r>
      <w:r>
        <w:rPr/>
        <w:t>Social</w:t>
      </w:r>
      <w:r>
        <w:rPr>
          <w:spacing w:val="-5"/>
        </w:rPr>
        <w:t> </w:t>
      </w:r>
      <w:r>
        <w:rPr/>
        <w:t>Work</w:t>
      </w:r>
      <w:r>
        <w:rPr>
          <w:spacing w:val="-4"/>
        </w:rPr>
        <w:t> </w:t>
      </w:r>
      <w:r>
        <w:rPr/>
        <w:t>Fellow,</w:t>
      </w:r>
      <w:r>
        <w:rPr>
          <w:spacing w:val="-5"/>
        </w:rPr>
        <w:t> </w:t>
      </w:r>
      <w:r>
        <w:rPr/>
        <w:t>author</w:t>
      </w:r>
      <w:r>
        <w:rPr>
          <w:spacing w:val="-5"/>
        </w:rPr>
        <w:t> </w:t>
      </w:r>
      <w:r>
        <w:rPr/>
        <w:t>of</w:t>
      </w:r>
      <w:r>
        <w:rPr>
          <w:spacing w:val="-5"/>
        </w:rPr>
        <w:t> </w:t>
      </w:r>
      <w:r>
        <w:rPr/>
        <w:t>“Supporting</w:t>
      </w:r>
      <w:r>
        <w:rPr>
          <w:spacing w:val="-4"/>
        </w:rPr>
        <w:t> </w:t>
      </w:r>
      <w:r>
        <w:rPr/>
        <w:t>Mental</w:t>
      </w:r>
      <w:r>
        <w:rPr>
          <w:spacing w:val="-5"/>
        </w:rPr>
        <w:t> </w:t>
      </w:r>
      <w:r>
        <w:rPr/>
        <w:t>Health” Sean Hanwell, author of “Homelessness &amp; Housing Instability” Kimberly Rhoten, author of “Advancing Justice”</w:t>
      </w:r>
    </w:p>
    <w:p>
      <w:pPr>
        <w:pStyle w:val="BodyText"/>
        <w:spacing w:line="276" w:lineRule="auto"/>
        <w:ind w:left="119" w:right="3627"/>
      </w:pPr>
      <w:r>
        <w:rPr/>
        <w:t>Karina</w:t>
      </w:r>
      <w:r>
        <w:rPr>
          <w:spacing w:val="-6"/>
        </w:rPr>
        <w:t> </w:t>
      </w:r>
      <w:r>
        <w:rPr/>
        <w:t>Zeferino,</w:t>
      </w:r>
      <w:r>
        <w:rPr>
          <w:spacing w:val="-6"/>
        </w:rPr>
        <w:t> </w:t>
      </w:r>
      <w:r>
        <w:rPr/>
        <w:t>author</w:t>
      </w:r>
      <w:r>
        <w:rPr>
          <w:spacing w:val="-6"/>
        </w:rPr>
        <w:t> </w:t>
      </w:r>
      <w:r>
        <w:rPr/>
        <w:t>of</w:t>
      </w:r>
      <w:r>
        <w:rPr>
          <w:spacing w:val="-5"/>
        </w:rPr>
        <w:t> </w:t>
      </w:r>
      <w:r>
        <w:rPr/>
        <w:t>“Expanding</w:t>
      </w:r>
      <w:r>
        <w:rPr>
          <w:spacing w:val="-5"/>
        </w:rPr>
        <w:t> </w:t>
      </w:r>
      <w:r>
        <w:rPr/>
        <w:t>Inclusive</w:t>
      </w:r>
      <w:r>
        <w:rPr>
          <w:spacing w:val="-5"/>
        </w:rPr>
        <w:t> </w:t>
      </w:r>
      <w:r>
        <w:rPr/>
        <w:t>Service</w:t>
      </w:r>
      <w:r>
        <w:rPr>
          <w:spacing w:val="-6"/>
        </w:rPr>
        <w:t> </w:t>
      </w:r>
      <w:r>
        <w:rPr/>
        <w:t>Provision” Leija Helling, author of “Understanding Environmental Justice”</w:t>
      </w:r>
      <w:r>
        <w:rPr>
          <w:spacing w:val="40"/>
        </w:rPr>
        <w:t> </w:t>
      </w:r>
      <w:r>
        <w:rPr/>
        <w:t>Ivy Stanton, author of “Examining Economic Justice”</w:t>
      </w:r>
    </w:p>
    <w:p>
      <w:pPr>
        <w:pStyle w:val="BodyText"/>
        <w:spacing w:line="276" w:lineRule="auto"/>
        <w:ind w:left="119"/>
      </w:pPr>
      <w:r>
        <w:rPr/>
        <w:t>Alia</w:t>
      </w:r>
      <w:r>
        <w:rPr>
          <w:spacing w:val="26"/>
        </w:rPr>
        <w:t> </w:t>
      </w:r>
      <w:r>
        <w:rPr/>
        <w:t>Cusolito,</w:t>
      </w:r>
      <w:r>
        <w:rPr>
          <w:spacing w:val="26"/>
        </w:rPr>
        <w:t> </w:t>
      </w:r>
      <w:r>
        <w:rPr/>
        <w:t>Apollo</w:t>
      </w:r>
      <w:r>
        <w:rPr>
          <w:spacing w:val="26"/>
        </w:rPr>
        <w:t> </w:t>
      </w:r>
      <w:r>
        <w:rPr/>
        <w:t>Correia,</w:t>
      </w:r>
      <w:r>
        <w:rPr>
          <w:spacing w:val="26"/>
        </w:rPr>
        <w:t> </w:t>
      </w:r>
      <w:r>
        <w:rPr/>
        <w:t>Avery</w:t>
      </w:r>
      <w:r>
        <w:rPr>
          <w:spacing w:val="26"/>
        </w:rPr>
        <w:t> </w:t>
      </w:r>
      <w:r>
        <w:rPr/>
        <w:t>Barry,</w:t>
      </w:r>
      <w:r>
        <w:rPr>
          <w:spacing w:val="26"/>
        </w:rPr>
        <w:t> </w:t>
      </w:r>
      <w:r>
        <w:rPr/>
        <w:t>Gabriel</w:t>
      </w:r>
      <w:r>
        <w:rPr>
          <w:spacing w:val="26"/>
        </w:rPr>
        <w:t> </w:t>
      </w:r>
      <w:r>
        <w:rPr/>
        <w:t>Rivas</w:t>
      </w:r>
      <w:r>
        <w:rPr>
          <w:spacing w:val="26"/>
        </w:rPr>
        <w:t> </w:t>
      </w:r>
      <w:r>
        <w:rPr/>
        <w:t>Orellana,</w:t>
      </w:r>
      <w:r>
        <w:rPr>
          <w:spacing w:val="26"/>
        </w:rPr>
        <w:t> </w:t>
      </w:r>
      <w:r>
        <w:rPr/>
        <w:t>Jana</w:t>
      </w:r>
      <w:r>
        <w:rPr>
          <w:spacing w:val="26"/>
        </w:rPr>
        <w:t> </w:t>
      </w:r>
      <w:r>
        <w:rPr/>
        <w:t>Williams,</w:t>
      </w:r>
      <w:r>
        <w:rPr>
          <w:spacing w:val="26"/>
        </w:rPr>
        <w:t> </w:t>
      </w:r>
      <w:r>
        <w:rPr/>
        <w:t>Xóchitl</w:t>
      </w:r>
      <w:r>
        <w:rPr>
          <w:spacing w:val="27"/>
        </w:rPr>
        <w:t> </w:t>
      </w:r>
      <w:r>
        <w:rPr/>
        <w:t>Aguirre,</w:t>
      </w:r>
      <w:r>
        <w:rPr>
          <w:spacing w:val="26"/>
        </w:rPr>
        <w:t> </w:t>
      </w:r>
      <w:r>
        <w:rPr/>
        <w:t>Zach Steward, editors</w:t>
      </w:r>
    </w:p>
    <w:p>
      <w:pPr>
        <w:pStyle w:val="BodyText"/>
        <w:spacing w:line="268" w:lineRule="exact"/>
        <w:ind w:left="119"/>
      </w:pPr>
      <w:r>
        <w:rPr/>
        <w:t>Brenda</w:t>
      </w:r>
      <w:r>
        <w:rPr>
          <w:spacing w:val="-10"/>
        </w:rPr>
        <w:t> </w:t>
      </w:r>
      <w:r>
        <w:rPr/>
        <w:t>Gonzalez,</w:t>
      </w:r>
      <w:r>
        <w:rPr>
          <w:spacing w:val="-9"/>
        </w:rPr>
        <w:t> </w:t>
      </w:r>
      <w:r>
        <w:rPr/>
        <w:t>Gianna</w:t>
      </w:r>
      <w:r>
        <w:rPr>
          <w:spacing w:val="-8"/>
        </w:rPr>
        <w:t> </w:t>
      </w:r>
      <w:r>
        <w:rPr/>
        <w:t>Medeiros,</w:t>
      </w:r>
      <w:r>
        <w:rPr>
          <w:spacing w:val="-9"/>
        </w:rPr>
        <w:t> </w:t>
      </w:r>
      <w:r>
        <w:rPr/>
        <w:t>Megan</w:t>
      </w:r>
      <w:r>
        <w:rPr>
          <w:spacing w:val="-9"/>
        </w:rPr>
        <w:t> </w:t>
      </w:r>
      <w:r>
        <w:rPr/>
        <w:t>Sutherland,</w:t>
      </w:r>
      <w:r>
        <w:rPr>
          <w:spacing w:val="-10"/>
        </w:rPr>
        <w:t> </w:t>
      </w:r>
      <w:r>
        <w:rPr/>
        <w:t>Theo</w:t>
      </w:r>
      <w:r>
        <w:rPr>
          <w:spacing w:val="-8"/>
        </w:rPr>
        <w:t> </w:t>
      </w:r>
      <w:r>
        <w:rPr/>
        <w:t>Zhang,</w:t>
      </w:r>
      <w:r>
        <w:rPr>
          <w:spacing w:val="-9"/>
        </w:rPr>
        <w:t> </w:t>
      </w:r>
      <w:r>
        <w:rPr/>
        <w:t>editors</w:t>
      </w:r>
      <w:r>
        <w:rPr>
          <w:spacing w:val="-10"/>
        </w:rPr>
        <w:t> </w:t>
      </w:r>
      <w:r>
        <w:rPr/>
        <w:t>&amp;</w:t>
      </w:r>
      <w:r>
        <w:rPr>
          <w:spacing w:val="-9"/>
        </w:rPr>
        <w:t> </w:t>
      </w:r>
      <w:r>
        <w:rPr/>
        <w:t>graphic</w:t>
      </w:r>
      <w:r>
        <w:rPr>
          <w:spacing w:val="-8"/>
        </w:rPr>
        <w:t> </w:t>
      </w:r>
      <w:r>
        <w:rPr>
          <w:spacing w:val="-2"/>
        </w:rPr>
        <w:t>design</w:t>
      </w:r>
    </w:p>
    <w:p>
      <w:pPr>
        <w:pStyle w:val="BodyText"/>
        <w:spacing w:before="80"/>
      </w:pPr>
    </w:p>
    <w:p>
      <w:pPr>
        <w:pStyle w:val="BodyText"/>
        <w:ind w:left="119"/>
      </w:pPr>
      <w:r>
        <w:rPr>
          <w:b/>
        </w:rPr>
        <w:t>Acknowledgments:</w:t>
      </w:r>
      <w:r>
        <w:rPr>
          <w:b/>
          <w:spacing w:val="26"/>
        </w:rPr>
        <w:t> </w:t>
      </w:r>
      <w:r>
        <w:rPr/>
        <w:t>The</w:t>
      </w:r>
      <w:r>
        <w:rPr>
          <w:spacing w:val="24"/>
        </w:rPr>
        <w:t> </w:t>
      </w:r>
      <w:r>
        <w:rPr/>
        <w:t>authors</w:t>
      </w:r>
      <w:r>
        <w:rPr>
          <w:spacing w:val="24"/>
        </w:rPr>
        <w:t> </w:t>
      </w:r>
      <w:r>
        <w:rPr/>
        <w:t>thank</w:t>
      </w:r>
      <w:r>
        <w:rPr>
          <w:spacing w:val="25"/>
        </w:rPr>
        <w:t> </w:t>
      </w:r>
      <w:r>
        <w:rPr/>
        <w:t>the</w:t>
      </w:r>
      <w:r>
        <w:rPr>
          <w:spacing w:val="24"/>
        </w:rPr>
        <w:t> </w:t>
      </w:r>
      <w:r>
        <w:rPr/>
        <w:t>Commission</w:t>
      </w:r>
      <w:r>
        <w:rPr>
          <w:spacing w:val="24"/>
        </w:rPr>
        <w:t> </w:t>
      </w:r>
      <w:r>
        <w:rPr/>
        <w:t>members,</w:t>
      </w:r>
      <w:r>
        <w:rPr>
          <w:spacing w:val="24"/>
        </w:rPr>
        <w:t> </w:t>
      </w:r>
      <w:r>
        <w:rPr/>
        <w:t>youth,</w:t>
      </w:r>
      <w:r>
        <w:rPr>
          <w:spacing w:val="24"/>
        </w:rPr>
        <w:t> </w:t>
      </w:r>
      <w:r>
        <w:rPr/>
        <w:t>consultants,</w:t>
      </w:r>
      <w:r>
        <w:rPr>
          <w:spacing w:val="24"/>
        </w:rPr>
        <w:t> </w:t>
      </w:r>
      <w:r>
        <w:rPr/>
        <w:t>agency</w:t>
      </w:r>
      <w:r>
        <w:rPr>
          <w:spacing w:val="24"/>
        </w:rPr>
        <w:t> </w:t>
      </w:r>
      <w:r>
        <w:rPr/>
        <w:t>liaisons, community</w:t>
      </w:r>
      <w:r>
        <w:rPr>
          <w:spacing w:val="-10"/>
        </w:rPr>
        <w:t> </w:t>
      </w:r>
      <w:r>
        <w:rPr/>
        <w:t>partners,</w:t>
      </w:r>
      <w:r>
        <w:rPr>
          <w:spacing w:val="-11"/>
        </w:rPr>
        <w:t> </w:t>
      </w:r>
      <w:r>
        <w:rPr/>
        <w:t>and</w:t>
      </w:r>
      <w:r>
        <w:rPr>
          <w:spacing w:val="-10"/>
        </w:rPr>
        <w:t> </w:t>
      </w:r>
      <w:r>
        <w:rPr/>
        <w:t>others</w:t>
      </w:r>
      <w:r>
        <w:rPr>
          <w:spacing w:val="-11"/>
        </w:rPr>
        <w:t> </w:t>
      </w:r>
      <w:r>
        <w:rPr/>
        <w:t>who</w:t>
      </w:r>
      <w:r>
        <w:rPr>
          <w:spacing w:val="-11"/>
        </w:rPr>
        <w:t> </w:t>
      </w:r>
      <w:r>
        <w:rPr/>
        <w:t>offered</w:t>
      </w:r>
      <w:r>
        <w:rPr>
          <w:spacing w:val="-12"/>
        </w:rPr>
        <w:t> </w:t>
      </w:r>
      <w:r>
        <w:rPr/>
        <w:t>their</w:t>
      </w:r>
      <w:r>
        <w:rPr>
          <w:spacing w:val="-10"/>
        </w:rPr>
        <w:t> </w:t>
      </w:r>
      <w:r>
        <w:rPr/>
        <w:t>feedback</w:t>
      </w:r>
      <w:r>
        <w:rPr>
          <w:spacing w:val="-12"/>
        </w:rPr>
        <w:t> </w:t>
      </w:r>
      <w:r>
        <w:rPr/>
        <w:t>and</w:t>
      </w:r>
      <w:r>
        <w:rPr>
          <w:spacing w:val="-9"/>
        </w:rPr>
        <w:t> </w:t>
      </w:r>
      <w:r>
        <w:rPr/>
        <w:t>opinions</w:t>
      </w:r>
      <w:r>
        <w:rPr>
          <w:spacing w:val="-11"/>
        </w:rPr>
        <w:t> </w:t>
      </w:r>
      <w:r>
        <w:rPr/>
        <w:t>that</w:t>
      </w:r>
      <w:r>
        <w:rPr>
          <w:spacing w:val="-11"/>
        </w:rPr>
        <w:t> </w:t>
      </w:r>
      <w:r>
        <w:rPr/>
        <w:t>contributed</w:t>
      </w:r>
      <w:r>
        <w:rPr>
          <w:spacing w:val="-12"/>
        </w:rPr>
        <w:t> </w:t>
      </w:r>
      <w:r>
        <w:rPr/>
        <w:t>to</w:t>
      </w:r>
      <w:r>
        <w:rPr>
          <w:spacing w:val="-10"/>
        </w:rPr>
        <w:t> </w:t>
      </w:r>
      <w:r>
        <w:rPr/>
        <w:t>this</w:t>
      </w:r>
      <w:r>
        <w:rPr>
          <w:spacing w:val="-11"/>
        </w:rPr>
        <w:t> </w:t>
      </w:r>
      <w:r>
        <w:rPr>
          <w:spacing w:val="-2"/>
        </w:rPr>
        <w:t>report.</w:t>
      </w:r>
    </w:p>
    <w:p>
      <w:pPr>
        <w:pStyle w:val="BodyText"/>
        <w:spacing w:before="40"/>
      </w:pPr>
    </w:p>
    <w:p>
      <w:pPr>
        <w:pStyle w:val="BodyText"/>
        <w:spacing w:line="276" w:lineRule="auto"/>
        <w:ind w:left="119" w:right="116"/>
        <w:jc w:val="both"/>
      </w:pPr>
      <w:r>
        <w:rPr>
          <w:b/>
        </w:rPr>
        <w:t>About Us: </w:t>
      </w:r>
      <w:r>
        <w:rPr/>
        <w:t>The Massachusetts Commission on Lesbian, Gay, Bisexual, Transgender, Queer, and Questioning (LGBTQ) Youth is established by law as an independent agency of the Commonwealth to recommend to all branches of state government effective policies, programs, and resources for LGBTQ youth to thrive. Per its legislative authority, the Commission works closely with the agencies to which it issues</w:t>
      </w:r>
      <w:r>
        <w:rPr>
          <w:spacing w:val="-10"/>
        </w:rPr>
        <w:t> </w:t>
      </w:r>
      <w:r>
        <w:rPr/>
        <w:t>non-binding</w:t>
      </w:r>
      <w:r>
        <w:rPr>
          <w:spacing w:val="-9"/>
        </w:rPr>
        <w:t> </w:t>
      </w:r>
      <w:r>
        <w:rPr/>
        <w:t>recommendations</w:t>
      </w:r>
      <w:r>
        <w:rPr>
          <w:spacing w:val="-10"/>
        </w:rPr>
        <w:t> </w:t>
      </w:r>
      <w:r>
        <w:rPr/>
        <w:t>to</w:t>
      </w:r>
      <w:r>
        <w:rPr>
          <w:spacing w:val="-10"/>
        </w:rPr>
        <w:t> </w:t>
      </w:r>
      <w:r>
        <w:rPr/>
        <w:t>receive</w:t>
      </w:r>
      <w:r>
        <w:rPr>
          <w:spacing w:val="-9"/>
        </w:rPr>
        <w:t> </w:t>
      </w:r>
      <w:r>
        <w:rPr/>
        <w:t>their</w:t>
      </w:r>
      <w:r>
        <w:rPr>
          <w:spacing w:val="-10"/>
        </w:rPr>
        <w:t> </w:t>
      </w:r>
      <w:r>
        <w:rPr/>
        <w:t>input</w:t>
      </w:r>
      <w:r>
        <w:rPr>
          <w:spacing w:val="-9"/>
        </w:rPr>
        <w:t> </w:t>
      </w:r>
      <w:r>
        <w:rPr/>
        <w:t>and</w:t>
      </w:r>
      <w:r>
        <w:rPr>
          <w:spacing w:val="-9"/>
        </w:rPr>
        <w:t> </w:t>
      </w:r>
      <w:r>
        <w:rPr/>
        <w:t>assist</w:t>
      </w:r>
      <w:r>
        <w:rPr>
          <w:spacing w:val="-11"/>
        </w:rPr>
        <w:t> </w:t>
      </w:r>
      <w:r>
        <w:rPr/>
        <w:t>them</w:t>
      </w:r>
      <w:r>
        <w:rPr>
          <w:spacing w:val="-9"/>
        </w:rPr>
        <w:t> </w:t>
      </w:r>
      <w:r>
        <w:rPr/>
        <w:t>in</w:t>
      </w:r>
      <w:r>
        <w:rPr>
          <w:spacing w:val="-10"/>
        </w:rPr>
        <w:t> </w:t>
      </w:r>
      <w:r>
        <w:rPr/>
        <w:t>achieving</w:t>
      </w:r>
      <w:r>
        <w:rPr>
          <w:spacing w:val="-9"/>
        </w:rPr>
        <w:t> </w:t>
      </w:r>
      <w:r>
        <w:rPr/>
        <w:t>the</w:t>
      </w:r>
      <w:r>
        <w:rPr>
          <w:spacing w:val="-9"/>
        </w:rPr>
        <w:t> </w:t>
      </w:r>
      <w:r>
        <w:rPr/>
        <w:t>goals</w:t>
      </w:r>
      <w:r>
        <w:rPr>
          <w:spacing w:val="-10"/>
        </w:rPr>
        <w:t> </w:t>
      </w:r>
      <w:r>
        <w:rPr/>
        <w:t>that</w:t>
      </w:r>
      <w:r>
        <w:rPr>
          <w:spacing w:val="-9"/>
        </w:rPr>
        <w:t> </w:t>
      </w:r>
      <w:r>
        <w:rPr/>
        <w:t>the Commission has set. The Commission was originally founded as the Governor’s Commission on Gay and Lesbian Youth in 1992 in response to high suicide rates among gay and lesbian young people, and was reestablished</w:t>
      </w:r>
      <w:r>
        <w:rPr>
          <w:spacing w:val="-8"/>
        </w:rPr>
        <w:t> </w:t>
      </w:r>
      <w:r>
        <w:rPr/>
        <w:t>by</w:t>
      </w:r>
      <w:r>
        <w:rPr>
          <w:spacing w:val="-8"/>
        </w:rPr>
        <w:t> </w:t>
      </w:r>
      <w:r>
        <w:rPr/>
        <w:t>the</w:t>
      </w:r>
      <w:r>
        <w:rPr>
          <w:spacing w:val="-8"/>
        </w:rPr>
        <w:t> </w:t>
      </w:r>
      <w:r>
        <w:rPr/>
        <w:t>legislature</w:t>
      </w:r>
      <w:r>
        <w:rPr>
          <w:spacing w:val="-8"/>
        </w:rPr>
        <w:t> </w:t>
      </w:r>
      <w:r>
        <w:rPr/>
        <w:t>as</w:t>
      </w:r>
      <w:r>
        <w:rPr>
          <w:spacing w:val="-8"/>
        </w:rPr>
        <w:t> </w:t>
      </w:r>
      <w:r>
        <w:rPr/>
        <w:t>an</w:t>
      </w:r>
      <w:r>
        <w:rPr>
          <w:spacing w:val="-8"/>
        </w:rPr>
        <w:t> </w:t>
      </w:r>
      <w:r>
        <w:rPr/>
        <w:t>independent</w:t>
      </w:r>
      <w:r>
        <w:rPr>
          <w:spacing w:val="-8"/>
        </w:rPr>
        <w:t> </w:t>
      </w:r>
      <w:r>
        <w:rPr/>
        <w:t>agency</w:t>
      </w:r>
      <w:r>
        <w:rPr>
          <w:spacing w:val="-8"/>
        </w:rPr>
        <w:t> </w:t>
      </w:r>
      <w:r>
        <w:rPr/>
        <w:t>in</w:t>
      </w:r>
      <w:r>
        <w:rPr>
          <w:spacing w:val="-8"/>
        </w:rPr>
        <w:t> </w:t>
      </w:r>
      <w:r>
        <w:rPr/>
        <w:t>2006</w:t>
      </w:r>
      <w:r>
        <w:rPr>
          <w:spacing w:val="-9"/>
        </w:rPr>
        <w:t> </w:t>
      </w:r>
      <w:r>
        <w:rPr/>
        <w:t>(Act</w:t>
      </w:r>
      <w:r>
        <w:rPr>
          <w:spacing w:val="-8"/>
        </w:rPr>
        <w:t> </w:t>
      </w:r>
      <w:r>
        <w:rPr/>
        <w:t>of</w:t>
      </w:r>
      <w:r>
        <w:rPr>
          <w:spacing w:val="-8"/>
        </w:rPr>
        <w:t> </w:t>
      </w:r>
      <w:r>
        <w:rPr/>
        <w:t>Jul.</w:t>
      </w:r>
      <w:r>
        <w:rPr>
          <w:spacing w:val="-8"/>
        </w:rPr>
        <w:t> </w:t>
      </w:r>
      <w:r>
        <w:rPr/>
        <w:t>1,</w:t>
      </w:r>
      <w:r>
        <w:rPr>
          <w:spacing w:val="-9"/>
        </w:rPr>
        <w:t> </w:t>
      </w:r>
      <w:r>
        <w:rPr/>
        <w:t>2006,</w:t>
      </w:r>
      <w:r>
        <w:rPr>
          <w:spacing w:val="-9"/>
        </w:rPr>
        <w:t> </w:t>
      </w:r>
      <w:r>
        <w:rPr/>
        <w:t>Ch.</w:t>
      </w:r>
      <w:r>
        <w:rPr>
          <w:spacing w:val="-9"/>
        </w:rPr>
        <w:t> </w:t>
      </w:r>
      <w:r>
        <w:rPr/>
        <w:t>139</w:t>
      </w:r>
      <w:r>
        <w:rPr>
          <w:spacing w:val="-6"/>
        </w:rPr>
        <w:t> </w:t>
      </w:r>
      <w:r>
        <w:rPr/>
        <w:t>§4,</w:t>
      </w:r>
      <w:r>
        <w:rPr>
          <w:spacing w:val="-9"/>
        </w:rPr>
        <w:t> </w:t>
      </w:r>
      <w:r>
        <w:rPr/>
        <w:t>codified in</w:t>
      </w:r>
      <w:r>
        <w:rPr>
          <w:spacing w:val="-3"/>
        </w:rPr>
        <w:t> </w:t>
      </w:r>
      <w:r>
        <w:rPr/>
        <w:t>Mass.</w:t>
      </w:r>
      <w:r>
        <w:rPr>
          <w:spacing w:val="-3"/>
        </w:rPr>
        <w:t> </w:t>
      </w:r>
      <w:r>
        <w:rPr/>
        <w:t>Gen.</w:t>
      </w:r>
      <w:r>
        <w:rPr>
          <w:spacing w:val="-2"/>
        </w:rPr>
        <w:t> </w:t>
      </w:r>
      <w:r>
        <w:rPr/>
        <w:t>Laws</w:t>
      </w:r>
      <w:r>
        <w:rPr>
          <w:spacing w:val="-3"/>
        </w:rPr>
        <w:t> </w:t>
      </w:r>
      <w:r>
        <w:rPr/>
        <w:t>Ch.</w:t>
      </w:r>
      <w:r>
        <w:rPr>
          <w:spacing w:val="-3"/>
        </w:rPr>
        <w:t> </w:t>
      </w:r>
      <w:r>
        <w:rPr/>
        <w:t>3</w:t>
      </w:r>
      <w:r>
        <w:rPr>
          <w:spacing w:val="-3"/>
        </w:rPr>
        <w:t> </w:t>
      </w:r>
      <w:r>
        <w:rPr/>
        <w:t>§67).</w:t>
      </w:r>
      <w:r>
        <w:rPr>
          <w:spacing w:val="-3"/>
        </w:rPr>
        <w:t> </w:t>
      </w:r>
      <w:r>
        <w:rPr/>
        <w:t>Thirty-two</w:t>
      </w:r>
      <w:r>
        <w:rPr>
          <w:spacing w:val="-2"/>
        </w:rPr>
        <w:t> </w:t>
      </w:r>
      <w:r>
        <w:rPr/>
        <w:t>years</w:t>
      </w:r>
      <w:r>
        <w:rPr>
          <w:spacing w:val="-3"/>
        </w:rPr>
        <w:t> </w:t>
      </w:r>
      <w:r>
        <w:rPr/>
        <w:t>after</w:t>
      </w:r>
      <w:r>
        <w:rPr>
          <w:spacing w:val="-3"/>
        </w:rPr>
        <w:t> </w:t>
      </w:r>
      <w:r>
        <w:rPr/>
        <w:t>the</w:t>
      </w:r>
      <w:r>
        <w:rPr>
          <w:spacing w:val="-3"/>
        </w:rPr>
        <w:t> </w:t>
      </w:r>
      <w:r>
        <w:rPr/>
        <w:t>creation</w:t>
      </w:r>
      <w:r>
        <w:rPr>
          <w:spacing w:val="-2"/>
        </w:rPr>
        <w:t> </w:t>
      </w:r>
      <w:r>
        <w:rPr/>
        <w:t>of</w:t>
      </w:r>
      <w:r>
        <w:rPr>
          <w:spacing w:val="-3"/>
        </w:rPr>
        <w:t> </w:t>
      </w:r>
      <w:r>
        <w:rPr/>
        <w:t>the</w:t>
      </w:r>
      <w:r>
        <w:rPr>
          <w:spacing w:val="-3"/>
        </w:rPr>
        <w:t> </w:t>
      </w:r>
      <w:r>
        <w:rPr/>
        <w:t>original</w:t>
      </w:r>
      <w:r>
        <w:rPr>
          <w:spacing w:val="-3"/>
        </w:rPr>
        <w:t> </w:t>
      </w:r>
      <w:r>
        <w:rPr/>
        <w:t>Governor’s</w:t>
      </w:r>
      <w:r>
        <w:rPr>
          <w:spacing w:val="-3"/>
        </w:rPr>
        <w:t> </w:t>
      </w:r>
      <w:r>
        <w:rPr/>
        <w:t>Commission, it</w:t>
      </w:r>
      <w:r>
        <w:rPr>
          <w:spacing w:val="-3"/>
        </w:rPr>
        <w:t> </w:t>
      </w:r>
      <w:r>
        <w:rPr/>
        <w:t>remains</w:t>
      </w:r>
      <w:r>
        <w:rPr>
          <w:spacing w:val="-3"/>
        </w:rPr>
        <w:t> </w:t>
      </w:r>
      <w:r>
        <w:rPr/>
        <w:t>the</w:t>
      </w:r>
      <w:r>
        <w:rPr>
          <w:spacing w:val="-3"/>
        </w:rPr>
        <w:t> </w:t>
      </w:r>
      <w:r>
        <w:rPr/>
        <w:t>first</w:t>
      </w:r>
      <w:r>
        <w:rPr>
          <w:spacing w:val="-3"/>
        </w:rPr>
        <w:t> </w:t>
      </w:r>
      <w:r>
        <w:rPr/>
        <w:t>and</w:t>
      </w:r>
      <w:r>
        <w:rPr>
          <w:spacing w:val="-3"/>
        </w:rPr>
        <w:t> </w:t>
      </w:r>
      <w:r>
        <w:rPr/>
        <w:t>only</w:t>
      </w:r>
      <w:r>
        <w:rPr>
          <w:spacing w:val="-3"/>
        </w:rPr>
        <w:t> </w:t>
      </w:r>
      <w:r>
        <w:rPr/>
        <w:t>such</w:t>
      </w:r>
      <w:r>
        <w:rPr>
          <w:spacing w:val="-2"/>
        </w:rPr>
        <w:t> </w:t>
      </w:r>
      <w:r>
        <w:rPr/>
        <w:t>commission</w:t>
      </w:r>
      <w:r>
        <w:rPr>
          <w:spacing w:val="-3"/>
        </w:rPr>
        <w:t> </w:t>
      </w:r>
      <w:r>
        <w:rPr/>
        <w:t>in</w:t>
      </w:r>
      <w:r>
        <w:rPr>
          <w:spacing w:val="-3"/>
        </w:rPr>
        <w:t> </w:t>
      </w:r>
      <w:r>
        <w:rPr/>
        <w:t>the</w:t>
      </w:r>
      <w:r>
        <w:rPr>
          <w:spacing w:val="-2"/>
        </w:rPr>
        <w:t> </w:t>
      </w:r>
      <w:r>
        <w:rPr/>
        <w:t>country</w:t>
      </w:r>
      <w:r>
        <w:rPr>
          <w:spacing w:val="-3"/>
        </w:rPr>
        <w:t> </w:t>
      </w:r>
      <w:r>
        <w:rPr/>
        <w:t>dedicated</w:t>
      </w:r>
      <w:r>
        <w:rPr>
          <w:spacing w:val="-2"/>
        </w:rPr>
        <w:t> </w:t>
      </w:r>
      <w:r>
        <w:rPr/>
        <w:t>to</w:t>
      </w:r>
      <w:r>
        <w:rPr>
          <w:spacing w:val="-2"/>
        </w:rPr>
        <w:t> </w:t>
      </w:r>
      <w:r>
        <w:rPr/>
        <w:t>uplifting</w:t>
      </w:r>
      <w:r>
        <w:rPr>
          <w:spacing w:val="-3"/>
        </w:rPr>
        <w:t> </w:t>
      </w:r>
      <w:r>
        <w:rPr/>
        <w:t>LGBTQ</w:t>
      </w:r>
      <w:r>
        <w:rPr>
          <w:spacing w:val="-2"/>
        </w:rPr>
        <w:t> </w:t>
      </w:r>
      <w:r>
        <w:rPr/>
        <w:t>youth</w:t>
      </w:r>
      <w:r>
        <w:rPr>
          <w:spacing w:val="-2"/>
        </w:rPr>
        <w:t> </w:t>
      </w:r>
      <w:r>
        <w:rPr/>
        <w:t>voices</w:t>
      </w:r>
      <w:r>
        <w:rPr>
          <w:spacing w:val="-3"/>
        </w:rPr>
        <w:t> </w:t>
      </w:r>
      <w:r>
        <w:rPr/>
        <w:t>in state government.</w:t>
      </w:r>
    </w:p>
    <w:p>
      <w:pPr>
        <w:pStyle w:val="BodyText"/>
        <w:spacing w:line="268" w:lineRule="exact"/>
        <w:ind w:left="119"/>
        <w:jc w:val="both"/>
      </w:pPr>
      <w:r>
        <w:rPr>
          <w:b/>
        </w:rPr>
        <w:t>Contact</w:t>
      </w:r>
      <w:r>
        <w:rPr>
          <w:b/>
          <w:spacing w:val="-9"/>
        </w:rPr>
        <w:t> </w:t>
      </w:r>
      <w:r>
        <w:rPr>
          <w:b/>
        </w:rPr>
        <w:t>Us:</w:t>
      </w:r>
      <w:r>
        <w:rPr>
          <w:b/>
          <w:spacing w:val="-9"/>
        </w:rPr>
        <w:t> </w:t>
      </w:r>
      <w:r>
        <w:rPr/>
        <w:t>For</w:t>
      </w:r>
      <w:r>
        <w:rPr>
          <w:spacing w:val="-9"/>
        </w:rPr>
        <w:t> </w:t>
      </w:r>
      <w:r>
        <w:rPr/>
        <w:t>print</w:t>
      </w:r>
      <w:r>
        <w:rPr>
          <w:spacing w:val="-9"/>
        </w:rPr>
        <w:t> </w:t>
      </w:r>
      <w:r>
        <w:rPr/>
        <w:t>copies,</w:t>
      </w:r>
      <w:r>
        <w:rPr>
          <w:spacing w:val="-9"/>
        </w:rPr>
        <w:t> </w:t>
      </w:r>
      <w:r>
        <w:rPr/>
        <w:t>permissions,</w:t>
      </w:r>
      <w:r>
        <w:rPr>
          <w:spacing w:val="-10"/>
        </w:rPr>
        <w:t> </w:t>
      </w:r>
      <w:r>
        <w:rPr/>
        <w:t>and</w:t>
      </w:r>
      <w:r>
        <w:rPr>
          <w:spacing w:val="-9"/>
        </w:rPr>
        <w:t> </w:t>
      </w:r>
      <w:r>
        <w:rPr/>
        <w:t>other</w:t>
      </w:r>
      <w:r>
        <w:rPr>
          <w:spacing w:val="-9"/>
        </w:rPr>
        <w:t> </w:t>
      </w:r>
      <w:r>
        <w:rPr/>
        <w:t>inquiries,</w:t>
      </w:r>
      <w:r>
        <w:rPr>
          <w:spacing w:val="-8"/>
        </w:rPr>
        <w:t> </w:t>
      </w:r>
      <w:r>
        <w:rPr/>
        <w:t>contact</w:t>
      </w:r>
      <w:r>
        <w:rPr>
          <w:spacing w:val="-8"/>
        </w:rPr>
        <w:t> </w:t>
      </w:r>
      <w:r>
        <w:rPr/>
        <w:t>us</w:t>
      </w:r>
      <w:r>
        <w:rPr>
          <w:spacing w:val="-10"/>
        </w:rPr>
        <w:t> </w:t>
      </w:r>
      <w:r>
        <w:rPr/>
        <w:t>at</w:t>
      </w:r>
      <w:r>
        <w:rPr>
          <w:spacing w:val="-8"/>
        </w:rPr>
        <w:t> </w:t>
      </w:r>
      <w:hyperlink r:id="rId9">
        <w:r>
          <w:rPr/>
          <w:t>commission@ma-</w:t>
        </w:r>
        <w:r>
          <w:rPr>
            <w:spacing w:val="-2"/>
          </w:rPr>
          <w:t>lgbtq.org.</w:t>
        </w:r>
      </w:hyperlink>
    </w:p>
    <w:p>
      <w:pPr>
        <w:spacing w:after="0" w:line="268" w:lineRule="exact"/>
        <w:jc w:val="both"/>
        <w:sectPr>
          <w:pgSz w:w="12240" w:h="15840"/>
          <w:pgMar w:top="1400" w:bottom="280" w:left="1320" w:right="1320"/>
        </w:sectPr>
      </w:pPr>
    </w:p>
    <w:p>
      <w:pPr>
        <w:pStyle w:val="BodyText"/>
        <w:spacing w:before="40"/>
        <w:ind w:left="264"/>
      </w:pPr>
      <w:bookmarkStart w:name="Letter from Leadership FY25 - DRAFT.pdf" w:id="6"/>
      <w:bookmarkEnd w:id="6"/>
      <w:r>
        <w:rPr/>
      </w:r>
      <w:r>
        <w:rPr>
          <w:spacing w:val="-2"/>
        </w:rPr>
        <w:t>Greetings,</w:t>
      </w:r>
    </w:p>
    <w:p>
      <w:pPr>
        <w:pStyle w:val="BodyText"/>
        <w:spacing w:before="268"/>
        <w:ind w:left="264" w:right="263"/>
        <w:jc w:val="both"/>
      </w:pPr>
      <w:r>
        <w:rPr/>
        <w:t>515 anti-LGBTQ bills have been introduced by policymakers in states across the nation; many have already</w:t>
      </w:r>
      <w:r>
        <w:rPr>
          <w:spacing w:val="-11"/>
        </w:rPr>
        <w:t> </w:t>
      </w:r>
      <w:r>
        <w:rPr/>
        <w:t>passed</w:t>
      </w:r>
      <w:r>
        <w:rPr>
          <w:spacing w:val="-11"/>
        </w:rPr>
        <w:t> </w:t>
      </w:r>
      <w:r>
        <w:rPr/>
        <w:t>across</w:t>
      </w:r>
      <w:r>
        <w:rPr>
          <w:spacing w:val="-11"/>
        </w:rPr>
        <w:t> </w:t>
      </w:r>
      <w:r>
        <w:rPr/>
        <w:t>the</w:t>
      </w:r>
      <w:r>
        <w:rPr>
          <w:spacing w:val="-10"/>
        </w:rPr>
        <w:t> </w:t>
      </w:r>
      <w:r>
        <w:rPr/>
        <w:t>South</w:t>
      </w:r>
      <w:r>
        <w:rPr>
          <w:spacing w:val="-11"/>
        </w:rPr>
        <w:t> </w:t>
      </w:r>
      <w:r>
        <w:rPr/>
        <w:t>and</w:t>
      </w:r>
      <w:r>
        <w:rPr>
          <w:spacing w:val="-10"/>
        </w:rPr>
        <w:t> </w:t>
      </w:r>
      <w:r>
        <w:rPr/>
        <w:t>Midwest.</w:t>
      </w:r>
      <w:r>
        <w:rPr>
          <w:spacing w:val="-12"/>
        </w:rPr>
        <w:t> </w:t>
      </w:r>
      <w:r>
        <w:rPr/>
        <w:t>In</w:t>
      </w:r>
      <w:r>
        <w:rPr>
          <w:spacing w:val="-10"/>
        </w:rPr>
        <w:t> </w:t>
      </w:r>
      <w:r>
        <w:rPr/>
        <w:t>our</w:t>
      </w:r>
      <w:r>
        <w:rPr>
          <w:spacing w:val="-11"/>
        </w:rPr>
        <w:t> </w:t>
      </w:r>
      <w:r>
        <w:rPr/>
        <w:t>free</w:t>
      </w:r>
      <w:r>
        <w:rPr>
          <w:spacing w:val="-11"/>
        </w:rPr>
        <w:t> </w:t>
      </w:r>
      <w:r>
        <w:rPr/>
        <w:t>country,</w:t>
      </w:r>
      <w:r>
        <w:rPr>
          <w:spacing w:val="-11"/>
        </w:rPr>
        <w:t> </w:t>
      </w:r>
      <w:r>
        <w:rPr/>
        <w:t>states</w:t>
      </w:r>
      <w:r>
        <w:rPr>
          <w:spacing w:val="-11"/>
        </w:rPr>
        <w:t> </w:t>
      </w:r>
      <w:r>
        <w:rPr/>
        <w:t>are</w:t>
      </w:r>
      <w:r>
        <w:rPr>
          <w:spacing w:val="-11"/>
        </w:rPr>
        <w:t> </w:t>
      </w:r>
      <w:r>
        <w:rPr/>
        <w:t>legislating</w:t>
      </w:r>
      <w:r>
        <w:rPr>
          <w:spacing w:val="-10"/>
        </w:rPr>
        <w:t> </w:t>
      </w:r>
      <w:r>
        <w:rPr/>
        <w:t>discrimination, dehumanization, terrorization, and the erasure of millions of queer, transgender, and gender expansive youth, as well as their caregivers, providers, and educators.</w:t>
      </w:r>
    </w:p>
    <w:p>
      <w:pPr>
        <w:pStyle w:val="BodyText"/>
      </w:pPr>
    </w:p>
    <w:p>
      <w:pPr>
        <w:pStyle w:val="BodyText"/>
        <w:ind w:left="264" w:right="263"/>
        <w:jc w:val="both"/>
      </w:pPr>
      <w:r>
        <w:rPr/>
        <w:t>As</w:t>
      </w:r>
      <w:r>
        <w:rPr>
          <w:spacing w:val="-5"/>
        </w:rPr>
        <w:t> </w:t>
      </w:r>
      <w:r>
        <w:rPr/>
        <w:t>a</w:t>
      </w:r>
      <w:r>
        <w:rPr>
          <w:spacing w:val="-5"/>
        </w:rPr>
        <w:t> </w:t>
      </w:r>
      <w:r>
        <w:rPr/>
        <w:t>result,</w:t>
      </w:r>
      <w:r>
        <w:rPr>
          <w:spacing w:val="-4"/>
        </w:rPr>
        <w:t> </w:t>
      </w:r>
      <w:r>
        <w:rPr/>
        <w:t>50%</w:t>
      </w:r>
      <w:r>
        <w:rPr>
          <w:spacing w:val="-5"/>
        </w:rPr>
        <w:t> </w:t>
      </w:r>
      <w:r>
        <w:rPr/>
        <w:t>of</w:t>
      </w:r>
      <w:r>
        <w:rPr>
          <w:spacing w:val="-5"/>
        </w:rPr>
        <w:t> </w:t>
      </w:r>
      <w:r>
        <w:rPr/>
        <w:t>our</w:t>
      </w:r>
      <w:r>
        <w:rPr>
          <w:spacing w:val="-3"/>
        </w:rPr>
        <w:t> </w:t>
      </w:r>
      <w:r>
        <w:rPr/>
        <w:t>queer</w:t>
      </w:r>
      <w:r>
        <w:rPr>
          <w:spacing w:val="-5"/>
        </w:rPr>
        <w:t> </w:t>
      </w:r>
      <w:r>
        <w:rPr/>
        <w:t>and</w:t>
      </w:r>
      <w:r>
        <w:rPr>
          <w:spacing w:val="-4"/>
        </w:rPr>
        <w:t> </w:t>
      </w:r>
      <w:r>
        <w:rPr/>
        <w:t>trans</w:t>
      </w:r>
      <w:r>
        <w:rPr>
          <w:spacing w:val="-4"/>
        </w:rPr>
        <w:t> </w:t>
      </w:r>
      <w:r>
        <w:rPr/>
        <w:t>youth</w:t>
      </w:r>
      <w:r>
        <w:rPr>
          <w:spacing w:val="-4"/>
        </w:rPr>
        <w:t> </w:t>
      </w:r>
      <w:r>
        <w:rPr/>
        <w:t>have</w:t>
      </w:r>
      <w:r>
        <w:rPr>
          <w:spacing w:val="-4"/>
        </w:rPr>
        <w:t> </w:t>
      </w:r>
      <w:r>
        <w:rPr/>
        <w:t>seriously</w:t>
      </w:r>
      <w:r>
        <w:rPr>
          <w:spacing w:val="-5"/>
        </w:rPr>
        <w:t> </w:t>
      </w:r>
      <w:r>
        <w:rPr/>
        <w:t>considered</w:t>
      </w:r>
      <w:r>
        <w:rPr>
          <w:spacing w:val="-4"/>
        </w:rPr>
        <w:t> </w:t>
      </w:r>
      <w:r>
        <w:rPr/>
        <w:t>suicide</w:t>
      </w:r>
      <w:r>
        <w:rPr>
          <w:spacing w:val="-4"/>
        </w:rPr>
        <w:t> </w:t>
      </w:r>
      <w:r>
        <w:rPr/>
        <w:t>in</w:t>
      </w:r>
      <w:r>
        <w:rPr>
          <w:spacing w:val="-3"/>
        </w:rPr>
        <w:t> </w:t>
      </w:r>
      <w:r>
        <w:rPr/>
        <w:t>the</w:t>
      </w:r>
      <w:r>
        <w:rPr>
          <w:spacing w:val="-4"/>
        </w:rPr>
        <w:t> </w:t>
      </w:r>
      <w:r>
        <w:rPr/>
        <w:t>past</w:t>
      </w:r>
      <w:r>
        <w:rPr>
          <w:spacing w:val="-5"/>
        </w:rPr>
        <w:t> </w:t>
      </w:r>
      <w:r>
        <w:rPr/>
        <w:t>year.</w:t>
      </w:r>
      <w:r>
        <w:rPr>
          <w:spacing w:val="-6"/>
        </w:rPr>
        <w:t> </w:t>
      </w:r>
      <w:r>
        <w:rPr/>
        <w:t>More than</w:t>
      </w:r>
      <w:r>
        <w:rPr>
          <w:spacing w:val="-8"/>
        </w:rPr>
        <w:t> </w:t>
      </w:r>
      <w:r>
        <w:rPr/>
        <w:t>70%</w:t>
      </w:r>
      <w:r>
        <w:rPr>
          <w:spacing w:val="-6"/>
        </w:rPr>
        <w:t> </w:t>
      </w:r>
      <w:r>
        <w:rPr/>
        <w:t>of</w:t>
      </w:r>
      <w:r>
        <w:rPr>
          <w:spacing w:val="-7"/>
        </w:rPr>
        <w:t> </w:t>
      </w:r>
      <w:r>
        <w:rPr/>
        <w:t>our</w:t>
      </w:r>
      <w:r>
        <w:rPr>
          <w:spacing w:val="-7"/>
        </w:rPr>
        <w:t> </w:t>
      </w:r>
      <w:r>
        <w:rPr/>
        <w:t>LGBTQ</w:t>
      </w:r>
      <w:r>
        <w:rPr>
          <w:spacing w:val="-8"/>
        </w:rPr>
        <w:t> </w:t>
      </w:r>
      <w:r>
        <w:rPr/>
        <w:t>youth</w:t>
      </w:r>
      <w:r>
        <w:rPr>
          <w:spacing w:val="-8"/>
        </w:rPr>
        <w:t> </w:t>
      </w:r>
      <w:r>
        <w:rPr/>
        <w:t>experience</w:t>
      </w:r>
      <w:r>
        <w:rPr>
          <w:spacing w:val="-6"/>
        </w:rPr>
        <w:t> </w:t>
      </w:r>
      <w:r>
        <w:rPr/>
        <w:t>anxiety,</w:t>
      </w:r>
      <w:r>
        <w:rPr>
          <w:spacing w:val="-7"/>
        </w:rPr>
        <w:t> </w:t>
      </w:r>
      <w:r>
        <w:rPr/>
        <w:t>and</w:t>
      </w:r>
      <w:r>
        <w:rPr>
          <w:spacing w:val="-5"/>
        </w:rPr>
        <w:t> </w:t>
      </w:r>
      <w:r>
        <w:rPr/>
        <w:t>58%</w:t>
      </w:r>
      <w:r>
        <w:rPr>
          <w:spacing w:val="-7"/>
        </w:rPr>
        <w:t> </w:t>
      </w:r>
      <w:r>
        <w:rPr/>
        <w:t>report</w:t>
      </w:r>
      <w:r>
        <w:rPr>
          <w:spacing w:val="-8"/>
        </w:rPr>
        <w:t> </w:t>
      </w:r>
      <w:r>
        <w:rPr/>
        <w:t>depression.</w:t>
      </w:r>
      <w:r>
        <w:rPr>
          <w:spacing w:val="-8"/>
        </w:rPr>
        <w:t> </w:t>
      </w:r>
      <w:r>
        <w:rPr/>
        <w:t>Despite</w:t>
      </w:r>
      <w:r>
        <w:rPr>
          <w:spacing w:val="-7"/>
        </w:rPr>
        <w:t> </w:t>
      </w:r>
      <w:r>
        <w:rPr/>
        <w:t>these</w:t>
      </w:r>
      <w:r>
        <w:rPr>
          <w:spacing w:val="-8"/>
        </w:rPr>
        <w:t> </w:t>
      </w:r>
      <w:r>
        <w:rPr/>
        <w:t>statistics, 1 in 2</w:t>
      </w:r>
      <w:r>
        <w:rPr>
          <w:spacing w:val="40"/>
        </w:rPr>
        <w:t> </w:t>
      </w:r>
      <w:r>
        <w:rPr/>
        <w:t>LGBTQ youth in Massachusetts were unable to access the mental health care they desperately wanted. As discussed throughout the following annual report, when we look at the experiences of Black, Latiné, Asian &amp; Pacific Islander, and Indigenous LGBTQ youth, we observe higher rates of victimization, sexual violence, policing, homelessness, foster care, and invisibility.</w:t>
      </w:r>
    </w:p>
    <w:p>
      <w:pPr>
        <w:pStyle w:val="BodyText"/>
        <w:spacing w:before="1"/>
      </w:pPr>
    </w:p>
    <w:p>
      <w:pPr>
        <w:pStyle w:val="BodyText"/>
        <w:ind w:left="264" w:right="264"/>
        <w:jc w:val="both"/>
      </w:pPr>
      <w:r>
        <w:rPr/>
        <w:t>As</w:t>
      </w:r>
      <w:r>
        <w:rPr>
          <w:spacing w:val="-11"/>
        </w:rPr>
        <w:t> </w:t>
      </w:r>
      <w:r>
        <w:rPr/>
        <w:t>the</w:t>
      </w:r>
      <w:r>
        <w:rPr>
          <w:spacing w:val="-11"/>
        </w:rPr>
        <w:t> </w:t>
      </w:r>
      <w:r>
        <w:rPr/>
        <w:t>Commission</w:t>
      </w:r>
      <w:r>
        <w:rPr>
          <w:spacing w:val="-11"/>
        </w:rPr>
        <w:t> </w:t>
      </w:r>
      <w:r>
        <w:rPr/>
        <w:t>releases</w:t>
      </w:r>
      <w:r>
        <w:rPr>
          <w:spacing w:val="-11"/>
        </w:rPr>
        <w:t> </w:t>
      </w:r>
      <w:r>
        <w:rPr/>
        <w:t>its</w:t>
      </w:r>
      <w:r>
        <w:rPr>
          <w:spacing w:val="-11"/>
        </w:rPr>
        <w:t> </w:t>
      </w:r>
      <w:r>
        <w:rPr/>
        <w:t>FY</w:t>
      </w:r>
      <w:r>
        <w:rPr>
          <w:spacing w:val="-10"/>
        </w:rPr>
        <w:t> </w:t>
      </w:r>
      <w:r>
        <w:rPr/>
        <w:t>2025</w:t>
      </w:r>
      <w:r>
        <w:rPr>
          <w:spacing w:val="-11"/>
        </w:rPr>
        <w:t> </w:t>
      </w:r>
      <w:r>
        <w:rPr/>
        <w:t>annual</w:t>
      </w:r>
      <w:r>
        <w:rPr>
          <w:spacing w:val="-11"/>
        </w:rPr>
        <w:t> </w:t>
      </w:r>
      <w:r>
        <w:rPr/>
        <w:t>report,</w:t>
      </w:r>
      <w:r>
        <w:rPr>
          <w:spacing w:val="-10"/>
        </w:rPr>
        <w:t> </w:t>
      </w:r>
      <w:r>
        <w:rPr/>
        <w:t>we</w:t>
      </w:r>
      <w:r>
        <w:rPr>
          <w:spacing w:val="-11"/>
        </w:rPr>
        <w:t> </w:t>
      </w:r>
      <w:r>
        <w:rPr/>
        <w:t>condemn</w:t>
      </w:r>
      <w:r>
        <w:rPr>
          <w:spacing w:val="-9"/>
        </w:rPr>
        <w:t> </w:t>
      </w:r>
      <w:r>
        <w:rPr/>
        <w:t>the</w:t>
      </w:r>
      <w:r>
        <w:rPr>
          <w:spacing w:val="-11"/>
        </w:rPr>
        <w:t> </w:t>
      </w:r>
      <w:r>
        <w:rPr/>
        <w:t>fervent</w:t>
      </w:r>
      <w:r>
        <w:rPr>
          <w:spacing w:val="-12"/>
        </w:rPr>
        <w:t> </w:t>
      </w:r>
      <w:r>
        <w:rPr/>
        <w:t>and</w:t>
      </w:r>
      <w:r>
        <w:rPr>
          <w:spacing w:val="-11"/>
        </w:rPr>
        <w:t> </w:t>
      </w:r>
      <w:r>
        <w:rPr/>
        <w:t>disgraceful</w:t>
      </w:r>
      <w:r>
        <w:rPr>
          <w:spacing w:val="-11"/>
        </w:rPr>
        <w:t> </w:t>
      </w:r>
      <w:r>
        <w:rPr/>
        <w:t>attacks from</w:t>
      </w:r>
      <w:r>
        <w:rPr>
          <w:spacing w:val="-10"/>
        </w:rPr>
        <w:t> </w:t>
      </w:r>
      <w:r>
        <w:rPr/>
        <w:t>other</w:t>
      </w:r>
      <w:r>
        <w:rPr>
          <w:spacing w:val="-10"/>
        </w:rPr>
        <w:t> </w:t>
      </w:r>
      <w:r>
        <w:rPr/>
        <w:t>states</w:t>
      </w:r>
      <w:r>
        <w:rPr>
          <w:spacing w:val="-10"/>
        </w:rPr>
        <w:t> </w:t>
      </w:r>
      <w:r>
        <w:rPr/>
        <w:t>that</w:t>
      </w:r>
      <w:r>
        <w:rPr>
          <w:spacing w:val="-9"/>
        </w:rPr>
        <w:t> </w:t>
      </w:r>
      <w:r>
        <w:rPr/>
        <w:t>seek</w:t>
      </w:r>
      <w:r>
        <w:rPr>
          <w:spacing w:val="-11"/>
        </w:rPr>
        <w:t> </w:t>
      </w:r>
      <w:r>
        <w:rPr/>
        <w:t>to</w:t>
      </w:r>
      <w:r>
        <w:rPr>
          <w:spacing w:val="-10"/>
        </w:rPr>
        <w:t> </w:t>
      </w:r>
      <w:r>
        <w:rPr/>
        <w:t>strip</w:t>
      </w:r>
      <w:r>
        <w:rPr>
          <w:spacing w:val="-11"/>
        </w:rPr>
        <w:t> </w:t>
      </w:r>
      <w:r>
        <w:rPr/>
        <w:t>away</w:t>
      </w:r>
      <w:r>
        <w:rPr>
          <w:spacing w:val="-10"/>
        </w:rPr>
        <w:t> </w:t>
      </w:r>
      <w:r>
        <w:rPr/>
        <w:t>the</w:t>
      </w:r>
      <w:r>
        <w:rPr>
          <w:spacing w:val="-9"/>
        </w:rPr>
        <w:t> </w:t>
      </w:r>
      <w:r>
        <w:rPr/>
        <w:t>autonomy</w:t>
      </w:r>
      <w:r>
        <w:rPr>
          <w:spacing w:val="-10"/>
        </w:rPr>
        <w:t> </w:t>
      </w:r>
      <w:r>
        <w:rPr/>
        <w:t>of</w:t>
      </w:r>
      <w:r>
        <w:rPr>
          <w:spacing w:val="-10"/>
        </w:rPr>
        <w:t> </w:t>
      </w:r>
      <w:r>
        <w:rPr/>
        <w:t>LGBTQ</w:t>
      </w:r>
      <w:r>
        <w:rPr>
          <w:spacing w:val="-9"/>
        </w:rPr>
        <w:t> </w:t>
      </w:r>
      <w:r>
        <w:rPr/>
        <w:t>youth</w:t>
      </w:r>
      <w:r>
        <w:rPr>
          <w:spacing w:val="-10"/>
        </w:rPr>
        <w:t> </w:t>
      </w:r>
      <w:r>
        <w:rPr/>
        <w:t>and</w:t>
      </w:r>
      <w:r>
        <w:rPr>
          <w:spacing w:val="-10"/>
        </w:rPr>
        <w:t> </w:t>
      </w:r>
      <w:r>
        <w:rPr/>
        <w:t>their</w:t>
      </w:r>
      <w:r>
        <w:rPr>
          <w:spacing w:val="-10"/>
        </w:rPr>
        <w:t> </w:t>
      </w:r>
      <w:r>
        <w:rPr/>
        <w:t>caregivers.</w:t>
      </w:r>
      <w:r>
        <w:rPr>
          <w:spacing w:val="-11"/>
        </w:rPr>
        <w:t> </w:t>
      </w:r>
      <w:r>
        <w:rPr/>
        <w:t>We</w:t>
      </w:r>
      <w:r>
        <w:rPr>
          <w:spacing w:val="-10"/>
        </w:rPr>
        <w:t> </w:t>
      </w:r>
      <w:r>
        <w:rPr/>
        <w:t>stand firm in our charge to shine light on these inequities, advocate for the voices that are often silenced within</w:t>
      </w:r>
      <w:r>
        <w:rPr>
          <w:spacing w:val="-7"/>
        </w:rPr>
        <w:t> </w:t>
      </w:r>
      <w:r>
        <w:rPr/>
        <w:t>our</w:t>
      </w:r>
      <w:r>
        <w:rPr>
          <w:spacing w:val="-8"/>
        </w:rPr>
        <w:t> </w:t>
      </w:r>
      <w:r>
        <w:rPr/>
        <w:t>community,</w:t>
      </w:r>
      <w:r>
        <w:rPr>
          <w:spacing w:val="-7"/>
        </w:rPr>
        <w:t> </w:t>
      </w:r>
      <w:r>
        <w:rPr/>
        <w:t>and</w:t>
      </w:r>
      <w:r>
        <w:rPr>
          <w:spacing w:val="-8"/>
        </w:rPr>
        <w:t> </w:t>
      </w:r>
      <w:r>
        <w:rPr/>
        <w:t>fight</w:t>
      </w:r>
      <w:r>
        <w:rPr>
          <w:spacing w:val="-8"/>
        </w:rPr>
        <w:t> </w:t>
      </w:r>
      <w:r>
        <w:rPr/>
        <w:t>for</w:t>
      </w:r>
      <w:r>
        <w:rPr>
          <w:spacing w:val="-8"/>
        </w:rPr>
        <w:t> </w:t>
      </w:r>
      <w:r>
        <w:rPr/>
        <w:t>true</w:t>
      </w:r>
      <w:r>
        <w:rPr>
          <w:spacing w:val="-8"/>
        </w:rPr>
        <w:t> </w:t>
      </w:r>
      <w:r>
        <w:rPr/>
        <w:t>change</w:t>
      </w:r>
      <w:r>
        <w:rPr>
          <w:spacing w:val="-8"/>
        </w:rPr>
        <w:t> </w:t>
      </w:r>
      <w:r>
        <w:rPr/>
        <w:t>in</w:t>
      </w:r>
      <w:r>
        <w:rPr>
          <w:spacing w:val="-8"/>
        </w:rPr>
        <w:t> </w:t>
      </w:r>
      <w:r>
        <w:rPr/>
        <w:t>the</w:t>
      </w:r>
      <w:r>
        <w:rPr>
          <w:spacing w:val="-8"/>
        </w:rPr>
        <w:t> </w:t>
      </w:r>
      <w:r>
        <w:rPr/>
        <w:t>state</w:t>
      </w:r>
      <w:r>
        <w:rPr>
          <w:spacing w:val="-7"/>
        </w:rPr>
        <w:t> </w:t>
      </w:r>
      <w:r>
        <w:rPr/>
        <w:t>of</w:t>
      </w:r>
      <w:r>
        <w:rPr>
          <w:spacing w:val="-8"/>
        </w:rPr>
        <w:t> </w:t>
      </w:r>
      <w:r>
        <w:rPr/>
        <w:t>Massachusetts</w:t>
      </w:r>
      <w:r>
        <w:rPr>
          <w:spacing w:val="-5"/>
        </w:rPr>
        <w:t> </w:t>
      </w:r>
      <w:r>
        <w:rPr/>
        <w:t>-</w:t>
      </w:r>
      <w:r>
        <w:rPr>
          <w:spacing w:val="-8"/>
        </w:rPr>
        <w:t> </w:t>
      </w:r>
      <w:r>
        <w:rPr/>
        <w:t>which</w:t>
      </w:r>
      <w:r>
        <w:rPr>
          <w:spacing w:val="-8"/>
        </w:rPr>
        <w:t> </w:t>
      </w:r>
      <w:r>
        <w:rPr/>
        <w:t>will</w:t>
      </w:r>
      <w:r>
        <w:rPr>
          <w:spacing w:val="-7"/>
        </w:rPr>
        <w:t> </w:t>
      </w:r>
      <w:r>
        <w:rPr/>
        <w:t>serve</w:t>
      </w:r>
      <w:r>
        <w:rPr>
          <w:spacing w:val="-8"/>
        </w:rPr>
        <w:t> </w:t>
      </w:r>
      <w:r>
        <w:rPr/>
        <w:t>as</w:t>
      </w:r>
      <w:r>
        <w:rPr>
          <w:spacing w:val="-7"/>
        </w:rPr>
        <w:t> </w:t>
      </w:r>
      <w:r>
        <w:rPr/>
        <w:t>the blueprint for our country.</w:t>
      </w:r>
    </w:p>
    <w:p>
      <w:pPr>
        <w:pStyle w:val="BodyText"/>
      </w:pPr>
    </w:p>
    <w:p>
      <w:pPr>
        <w:pStyle w:val="BodyText"/>
        <w:ind w:left="264" w:right="259"/>
        <w:jc w:val="both"/>
      </w:pPr>
      <w:r>
        <w:rPr/>
        <w:t>When our LGBTQ youth are affirmed; when they can enjoy equal access to sustainable livelihoods; receive nondiscriminatory and empowering education and health care; and are able to freely participate in civic and democratic processes within their schools and communities, everyone wins! Research shows that LGBTQ youth who are nurtured in schools and communities that intentionally serve as lighthouses of school connectedness, foster exponential positive effects on their livelihoods. In environments where LGBTQ youth are supported and cared for by family, loved ones, friends, and educators; are accurately gendered; engage in inclusive education; have access to life-saving health care; as well as see positive representations of themselves, we see higher rates of attendance, and they are able to thrive as whole beings.</w:t>
      </w:r>
    </w:p>
    <w:p>
      <w:pPr>
        <w:pStyle w:val="BodyText"/>
      </w:pPr>
    </w:p>
    <w:p>
      <w:pPr>
        <w:pStyle w:val="BodyText"/>
        <w:ind w:left="264" w:right="262"/>
        <w:jc w:val="both"/>
      </w:pPr>
      <w:r>
        <w:rPr/>
        <w:t>As</w:t>
      </w:r>
      <w:r>
        <w:rPr>
          <w:spacing w:val="-13"/>
        </w:rPr>
        <w:t> </w:t>
      </w:r>
      <w:r>
        <w:rPr/>
        <w:t>the</w:t>
      </w:r>
      <w:r>
        <w:rPr>
          <w:spacing w:val="-12"/>
        </w:rPr>
        <w:t> </w:t>
      </w:r>
      <w:r>
        <w:rPr/>
        <w:t>state</w:t>
      </w:r>
      <w:r>
        <w:rPr>
          <w:spacing w:val="-13"/>
        </w:rPr>
        <w:t> </w:t>
      </w:r>
      <w:r>
        <w:rPr/>
        <w:t>with</w:t>
      </w:r>
      <w:r>
        <w:rPr>
          <w:spacing w:val="-12"/>
        </w:rPr>
        <w:t> </w:t>
      </w:r>
      <w:r>
        <w:rPr/>
        <w:t>the</w:t>
      </w:r>
      <w:r>
        <w:rPr>
          <w:spacing w:val="-13"/>
        </w:rPr>
        <w:t> </w:t>
      </w:r>
      <w:r>
        <w:rPr/>
        <w:t>only</w:t>
      </w:r>
      <w:r>
        <w:rPr>
          <w:spacing w:val="-12"/>
        </w:rPr>
        <w:t> </w:t>
      </w:r>
      <w:r>
        <w:rPr/>
        <w:t>Commission</w:t>
      </w:r>
      <w:r>
        <w:rPr>
          <w:spacing w:val="-13"/>
        </w:rPr>
        <w:t> </w:t>
      </w:r>
      <w:r>
        <w:rPr/>
        <w:t>on</w:t>
      </w:r>
      <w:r>
        <w:rPr>
          <w:spacing w:val="-12"/>
        </w:rPr>
        <w:t> </w:t>
      </w:r>
      <w:r>
        <w:rPr/>
        <w:t>LGBTQ</w:t>
      </w:r>
      <w:r>
        <w:rPr>
          <w:spacing w:val="-12"/>
        </w:rPr>
        <w:t> </w:t>
      </w:r>
      <w:r>
        <w:rPr/>
        <w:t>Youth</w:t>
      </w:r>
      <w:r>
        <w:rPr>
          <w:spacing w:val="-13"/>
        </w:rPr>
        <w:t> </w:t>
      </w:r>
      <w:r>
        <w:rPr/>
        <w:t>in</w:t>
      </w:r>
      <w:r>
        <w:rPr>
          <w:spacing w:val="-12"/>
        </w:rPr>
        <w:t> </w:t>
      </w:r>
      <w:r>
        <w:rPr/>
        <w:t>the</w:t>
      </w:r>
      <w:r>
        <w:rPr>
          <w:spacing w:val="-13"/>
        </w:rPr>
        <w:t> </w:t>
      </w:r>
      <w:r>
        <w:rPr/>
        <w:t>country,</w:t>
      </w:r>
      <w:r>
        <w:rPr>
          <w:spacing w:val="-12"/>
        </w:rPr>
        <w:t> </w:t>
      </w:r>
      <w:r>
        <w:rPr/>
        <w:t>we</w:t>
      </w:r>
      <w:r>
        <w:rPr>
          <w:spacing w:val="-13"/>
        </w:rPr>
        <w:t> </w:t>
      </w:r>
      <w:r>
        <w:rPr/>
        <w:t>believe</w:t>
      </w:r>
      <w:r>
        <w:rPr>
          <w:spacing w:val="-12"/>
        </w:rPr>
        <w:t> </w:t>
      </w:r>
      <w:r>
        <w:rPr/>
        <w:t>it</w:t>
      </w:r>
      <w:r>
        <w:rPr>
          <w:spacing w:val="-12"/>
        </w:rPr>
        <w:t> </w:t>
      </w:r>
      <w:r>
        <w:rPr/>
        <w:t>is</w:t>
      </w:r>
      <w:r>
        <w:rPr>
          <w:spacing w:val="-13"/>
        </w:rPr>
        <w:t> </w:t>
      </w:r>
      <w:r>
        <w:rPr/>
        <w:t>our</w:t>
      </w:r>
      <w:r>
        <w:rPr>
          <w:spacing w:val="-12"/>
        </w:rPr>
        <w:t> </w:t>
      </w:r>
      <w:r>
        <w:rPr/>
        <w:t>responsibility to be the lighthouse for LGBTQ youth and to uplift underserved populations across the Commonwealth. At every level, and within every institution, the Commission calls for the Commonwealth to say, “Not in Massachusetts!”</w:t>
      </w:r>
    </w:p>
    <w:p>
      <w:pPr>
        <w:pStyle w:val="BodyText"/>
      </w:pPr>
    </w:p>
    <w:p>
      <w:pPr>
        <w:pStyle w:val="BodyText"/>
        <w:ind w:left="263" w:right="260"/>
        <w:jc w:val="both"/>
      </w:pPr>
      <w:r>
        <w:rPr/>
        <w:t>But, in order to do so, the Commonwealth must continuously address its own negligence towards ensuring comprehensive care for LGBTQ youth. Massachusetts General Law Chapter 76 section 5 explicitly states “No person shall be </w:t>
      </w:r>
      <w:r>
        <w:rPr>
          <w:u w:val="single"/>
        </w:rPr>
        <w:t>excluded from or discriminated against</w:t>
      </w:r>
      <w:r>
        <w:rPr>
          <w:u w:val="none"/>
        </w:rPr>
        <w:t> in admission to a public school</w:t>
      </w:r>
      <w:r>
        <w:rPr>
          <w:spacing w:val="-13"/>
          <w:u w:val="none"/>
        </w:rPr>
        <w:t> </w:t>
      </w:r>
      <w:r>
        <w:rPr>
          <w:u w:val="none"/>
        </w:rPr>
        <w:t>of</w:t>
      </w:r>
      <w:r>
        <w:rPr>
          <w:spacing w:val="-12"/>
          <w:u w:val="none"/>
        </w:rPr>
        <w:t> </w:t>
      </w:r>
      <w:r>
        <w:rPr>
          <w:u w:val="none"/>
        </w:rPr>
        <w:t>any</w:t>
      </w:r>
      <w:r>
        <w:rPr>
          <w:spacing w:val="-13"/>
          <w:u w:val="none"/>
        </w:rPr>
        <w:t> </w:t>
      </w:r>
      <w:r>
        <w:rPr>
          <w:u w:val="none"/>
        </w:rPr>
        <w:t>town,</w:t>
      </w:r>
      <w:r>
        <w:rPr>
          <w:spacing w:val="-12"/>
          <w:u w:val="none"/>
        </w:rPr>
        <w:t> </w:t>
      </w:r>
      <w:r>
        <w:rPr>
          <w:u w:val="single"/>
        </w:rPr>
        <w:t>or</w:t>
      </w:r>
      <w:r>
        <w:rPr>
          <w:spacing w:val="-13"/>
          <w:u w:val="single"/>
        </w:rPr>
        <w:t> </w:t>
      </w:r>
      <w:r>
        <w:rPr>
          <w:u w:val="single"/>
        </w:rPr>
        <w:t>in</w:t>
      </w:r>
      <w:r>
        <w:rPr>
          <w:spacing w:val="-12"/>
          <w:u w:val="single"/>
        </w:rPr>
        <w:t> </w:t>
      </w:r>
      <w:r>
        <w:rPr>
          <w:u w:val="single"/>
        </w:rPr>
        <w:t>obtaining</w:t>
      </w:r>
      <w:r>
        <w:rPr>
          <w:spacing w:val="-13"/>
          <w:u w:val="single"/>
        </w:rPr>
        <w:t> </w:t>
      </w:r>
      <w:r>
        <w:rPr>
          <w:u w:val="single"/>
        </w:rPr>
        <w:t>the</w:t>
      </w:r>
      <w:r>
        <w:rPr>
          <w:spacing w:val="-12"/>
          <w:u w:val="single"/>
        </w:rPr>
        <w:t> </w:t>
      </w:r>
      <w:r>
        <w:rPr>
          <w:u w:val="single"/>
        </w:rPr>
        <w:t>advantages,</w:t>
      </w:r>
      <w:r>
        <w:rPr>
          <w:spacing w:val="-12"/>
          <w:u w:val="single"/>
        </w:rPr>
        <w:t> </w:t>
      </w:r>
      <w:r>
        <w:rPr>
          <w:u w:val="single"/>
        </w:rPr>
        <w:t>privileges</w:t>
      </w:r>
      <w:r>
        <w:rPr>
          <w:spacing w:val="-13"/>
          <w:u w:val="single"/>
        </w:rPr>
        <w:t> </w:t>
      </w:r>
      <w:r>
        <w:rPr>
          <w:u w:val="single"/>
        </w:rPr>
        <w:t>and</w:t>
      </w:r>
      <w:r>
        <w:rPr>
          <w:spacing w:val="-12"/>
          <w:u w:val="single"/>
        </w:rPr>
        <w:t> </w:t>
      </w:r>
      <w:r>
        <w:rPr>
          <w:u w:val="single"/>
        </w:rPr>
        <w:t>courses</w:t>
      </w:r>
      <w:r>
        <w:rPr>
          <w:spacing w:val="-13"/>
          <w:u w:val="single"/>
        </w:rPr>
        <w:t> </w:t>
      </w:r>
      <w:r>
        <w:rPr>
          <w:u w:val="single"/>
        </w:rPr>
        <w:t>of</w:t>
      </w:r>
      <w:r>
        <w:rPr>
          <w:spacing w:val="-12"/>
          <w:u w:val="single"/>
        </w:rPr>
        <w:t> </w:t>
      </w:r>
      <w:r>
        <w:rPr>
          <w:u w:val="single"/>
        </w:rPr>
        <w:t>study</w:t>
      </w:r>
      <w:r>
        <w:rPr>
          <w:spacing w:val="-13"/>
          <w:u w:val="single"/>
        </w:rPr>
        <w:t> </w:t>
      </w:r>
      <w:r>
        <w:rPr>
          <w:u w:val="single"/>
        </w:rPr>
        <w:t>of</w:t>
      </w:r>
      <w:r>
        <w:rPr>
          <w:spacing w:val="-12"/>
          <w:u w:val="single"/>
        </w:rPr>
        <w:t> </w:t>
      </w:r>
      <w:r>
        <w:rPr>
          <w:u w:val="single"/>
        </w:rPr>
        <w:t>such</w:t>
      </w:r>
      <w:r>
        <w:rPr>
          <w:spacing w:val="-12"/>
          <w:u w:val="single"/>
        </w:rPr>
        <w:t> </w:t>
      </w:r>
      <w:r>
        <w:rPr>
          <w:u w:val="single"/>
        </w:rPr>
        <w:t>public</w:t>
      </w:r>
      <w:r>
        <w:rPr>
          <w:spacing w:val="-13"/>
          <w:u w:val="single"/>
        </w:rPr>
        <w:t> </w:t>
      </w:r>
      <w:r>
        <w:rPr>
          <w:u w:val="single"/>
        </w:rPr>
        <w:t>school</w:t>
      </w:r>
      <w:r>
        <w:rPr>
          <w:u w:val="none"/>
        </w:rPr>
        <w:t> </w:t>
      </w:r>
      <w:r>
        <w:rPr>
          <w:u w:val="single"/>
        </w:rPr>
        <w:t>on</w:t>
      </w:r>
      <w:r>
        <w:rPr>
          <w:spacing w:val="-12"/>
          <w:u w:val="single"/>
        </w:rPr>
        <w:t> </w:t>
      </w:r>
      <w:r>
        <w:rPr>
          <w:u w:val="single"/>
        </w:rPr>
        <w:t>account</w:t>
      </w:r>
      <w:r>
        <w:rPr>
          <w:spacing w:val="-11"/>
          <w:u w:val="single"/>
        </w:rPr>
        <w:t> </w:t>
      </w:r>
      <w:r>
        <w:rPr>
          <w:u w:val="single"/>
        </w:rPr>
        <w:t>of</w:t>
      </w:r>
      <w:r>
        <w:rPr>
          <w:spacing w:val="-12"/>
          <w:u w:val="single"/>
        </w:rPr>
        <w:t> </w:t>
      </w:r>
      <w:r>
        <w:rPr>
          <w:u w:val="single"/>
        </w:rPr>
        <w:t>race,</w:t>
      </w:r>
      <w:r>
        <w:rPr>
          <w:spacing w:val="-11"/>
          <w:u w:val="single"/>
        </w:rPr>
        <w:t> </w:t>
      </w:r>
      <w:r>
        <w:rPr>
          <w:u w:val="single"/>
        </w:rPr>
        <w:t>color,</w:t>
      </w:r>
      <w:r>
        <w:rPr>
          <w:spacing w:val="-11"/>
          <w:u w:val="single"/>
        </w:rPr>
        <w:t> </w:t>
      </w:r>
      <w:r>
        <w:rPr>
          <w:u w:val="single"/>
        </w:rPr>
        <w:t>sex,</w:t>
      </w:r>
      <w:r>
        <w:rPr>
          <w:spacing w:val="-12"/>
          <w:u w:val="single"/>
        </w:rPr>
        <w:t> </w:t>
      </w:r>
      <w:r>
        <w:rPr>
          <w:u w:val="single"/>
        </w:rPr>
        <w:t>gender</w:t>
      </w:r>
      <w:r>
        <w:rPr>
          <w:spacing w:val="-11"/>
          <w:u w:val="single"/>
        </w:rPr>
        <w:t> </w:t>
      </w:r>
      <w:r>
        <w:rPr>
          <w:u w:val="single"/>
        </w:rPr>
        <w:t>identity,</w:t>
      </w:r>
      <w:r>
        <w:rPr>
          <w:spacing w:val="-11"/>
          <w:u w:val="single"/>
        </w:rPr>
        <w:t> </w:t>
      </w:r>
      <w:r>
        <w:rPr>
          <w:u w:val="single"/>
        </w:rPr>
        <w:t>religion,</w:t>
      </w:r>
      <w:r>
        <w:rPr>
          <w:spacing w:val="-11"/>
          <w:u w:val="single"/>
        </w:rPr>
        <w:t> </w:t>
      </w:r>
      <w:r>
        <w:rPr>
          <w:u w:val="single"/>
        </w:rPr>
        <w:t>national</w:t>
      </w:r>
      <w:r>
        <w:rPr>
          <w:spacing w:val="-11"/>
          <w:u w:val="single"/>
        </w:rPr>
        <w:t> </w:t>
      </w:r>
      <w:r>
        <w:rPr>
          <w:u w:val="single"/>
        </w:rPr>
        <w:t>origin</w:t>
      </w:r>
      <w:r>
        <w:rPr>
          <w:spacing w:val="-12"/>
          <w:u w:val="single"/>
        </w:rPr>
        <w:t> </w:t>
      </w:r>
      <w:r>
        <w:rPr>
          <w:u w:val="single"/>
        </w:rPr>
        <w:t>or</w:t>
      </w:r>
      <w:r>
        <w:rPr>
          <w:spacing w:val="-11"/>
          <w:u w:val="single"/>
        </w:rPr>
        <w:t> </w:t>
      </w:r>
      <w:r>
        <w:rPr>
          <w:u w:val="single"/>
        </w:rPr>
        <w:t>sexual</w:t>
      </w:r>
      <w:r>
        <w:rPr>
          <w:spacing w:val="-11"/>
          <w:u w:val="single"/>
        </w:rPr>
        <w:t> </w:t>
      </w:r>
      <w:r>
        <w:rPr>
          <w:u w:val="single"/>
        </w:rPr>
        <w:t>orientation.”</w:t>
      </w:r>
      <w:r>
        <w:rPr>
          <w:spacing w:val="-10"/>
          <w:u w:val="none"/>
        </w:rPr>
        <w:t> </w:t>
      </w:r>
      <w:r>
        <w:rPr>
          <w:u w:val="none"/>
        </w:rPr>
        <w:t>Yet,</w:t>
      </w:r>
      <w:r>
        <w:rPr>
          <w:spacing w:val="-11"/>
          <w:u w:val="none"/>
        </w:rPr>
        <w:t> </w:t>
      </w:r>
      <w:r>
        <w:rPr>
          <w:u w:val="none"/>
        </w:rPr>
        <w:t>even within this state, we must acknowledge that there is a rise in anti-LGBTQ activity. When we overlook exclusive policy and legislation; when we neglect to bring diverse voices with lived experience to the table;</w:t>
      </w:r>
      <w:r>
        <w:rPr>
          <w:spacing w:val="-5"/>
          <w:u w:val="none"/>
        </w:rPr>
        <w:t> </w:t>
      </w:r>
      <w:r>
        <w:rPr>
          <w:u w:val="none"/>
        </w:rPr>
        <w:t>when</w:t>
      </w:r>
      <w:r>
        <w:rPr>
          <w:spacing w:val="-4"/>
          <w:u w:val="none"/>
        </w:rPr>
        <w:t> </w:t>
      </w:r>
      <w:r>
        <w:rPr>
          <w:u w:val="none"/>
        </w:rPr>
        <w:t>we</w:t>
      </w:r>
      <w:r>
        <w:rPr>
          <w:spacing w:val="-6"/>
          <w:u w:val="none"/>
        </w:rPr>
        <w:t> </w:t>
      </w:r>
      <w:r>
        <w:rPr>
          <w:u w:val="none"/>
        </w:rPr>
        <w:t>fail</w:t>
      </w:r>
      <w:r>
        <w:rPr>
          <w:spacing w:val="-6"/>
          <w:u w:val="none"/>
        </w:rPr>
        <w:t> </w:t>
      </w:r>
      <w:r>
        <w:rPr>
          <w:u w:val="none"/>
        </w:rPr>
        <w:t>to</w:t>
      </w:r>
      <w:r>
        <w:rPr>
          <w:spacing w:val="-4"/>
          <w:u w:val="none"/>
        </w:rPr>
        <w:t> </w:t>
      </w:r>
      <w:r>
        <w:rPr>
          <w:u w:val="none"/>
        </w:rPr>
        <w:t>consider</w:t>
      </w:r>
      <w:r>
        <w:rPr>
          <w:spacing w:val="-5"/>
          <w:u w:val="none"/>
        </w:rPr>
        <w:t> </w:t>
      </w:r>
      <w:r>
        <w:rPr>
          <w:u w:val="none"/>
        </w:rPr>
        <w:t>all</w:t>
      </w:r>
      <w:r>
        <w:rPr>
          <w:spacing w:val="-6"/>
          <w:u w:val="none"/>
        </w:rPr>
        <w:t> </w:t>
      </w:r>
      <w:r>
        <w:rPr>
          <w:u w:val="none"/>
        </w:rPr>
        <w:t>identities</w:t>
      </w:r>
      <w:r>
        <w:rPr>
          <w:spacing w:val="-5"/>
          <w:u w:val="none"/>
        </w:rPr>
        <w:t> </w:t>
      </w:r>
      <w:r>
        <w:rPr>
          <w:u w:val="none"/>
        </w:rPr>
        <w:t>in</w:t>
      </w:r>
      <w:r>
        <w:rPr>
          <w:spacing w:val="-6"/>
          <w:u w:val="none"/>
        </w:rPr>
        <w:t> </w:t>
      </w:r>
      <w:r>
        <w:rPr>
          <w:u w:val="none"/>
        </w:rPr>
        <w:t>our</w:t>
      </w:r>
      <w:r>
        <w:rPr>
          <w:spacing w:val="-4"/>
          <w:u w:val="none"/>
        </w:rPr>
        <w:t> </w:t>
      </w:r>
      <w:r>
        <w:rPr>
          <w:u w:val="none"/>
        </w:rPr>
        <w:t>provision</w:t>
      </w:r>
      <w:r>
        <w:rPr>
          <w:spacing w:val="-6"/>
          <w:u w:val="none"/>
        </w:rPr>
        <w:t> </w:t>
      </w:r>
      <w:r>
        <w:rPr>
          <w:u w:val="none"/>
        </w:rPr>
        <w:t>of</w:t>
      </w:r>
      <w:r>
        <w:rPr>
          <w:spacing w:val="-5"/>
          <w:u w:val="none"/>
        </w:rPr>
        <w:t> </w:t>
      </w:r>
      <w:r>
        <w:rPr>
          <w:u w:val="none"/>
        </w:rPr>
        <w:t>services,</w:t>
      </w:r>
      <w:r>
        <w:rPr>
          <w:spacing w:val="-5"/>
          <w:u w:val="none"/>
        </w:rPr>
        <w:t> </w:t>
      </w:r>
      <w:r>
        <w:rPr>
          <w:u w:val="none"/>
        </w:rPr>
        <w:t>we</w:t>
      </w:r>
      <w:r>
        <w:rPr>
          <w:spacing w:val="40"/>
          <w:u w:val="none"/>
        </w:rPr>
        <w:t> </w:t>
      </w:r>
      <w:r>
        <w:rPr>
          <w:u w:val="none"/>
        </w:rPr>
        <w:t>have</w:t>
      </w:r>
      <w:r>
        <w:rPr>
          <w:spacing w:val="-6"/>
          <w:u w:val="none"/>
        </w:rPr>
        <w:t> </w:t>
      </w:r>
      <w:r>
        <w:rPr>
          <w:u w:val="none"/>
        </w:rPr>
        <w:t>to</w:t>
      </w:r>
      <w:r>
        <w:rPr>
          <w:spacing w:val="-5"/>
          <w:u w:val="none"/>
        </w:rPr>
        <w:t> </w:t>
      </w:r>
      <w:r>
        <w:rPr>
          <w:u w:val="none"/>
        </w:rPr>
        <w:t>admit</w:t>
      </w:r>
      <w:r>
        <w:rPr>
          <w:spacing w:val="-5"/>
          <w:u w:val="none"/>
        </w:rPr>
        <w:t> </w:t>
      </w:r>
      <w:r>
        <w:rPr>
          <w:u w:val="none"/>
        </w:rPr>
        <w:t>that</w:t>
      </w:r>
      <w:r>
        <w:rPr>
          <w:spacing w:val="-6"/>
          <w:u w:val="none"/>
        </w:rPr>
        <w:t> </w:t>
      </w:r>
      <w:r>
        <w:rPr>
          <w:u w:val="none"/>
        </w:rPr>
        <w:t>we</w:t>
      </w:r>
      <w:r>
        <w:rPr>
          <w:spacing w:val="-6"/>
          <w:u w:val="none"/>
        </w:rPr>
        <w:t> </w:t>
      </w:r>
      <w:r>
        <w:rPr>
          <w:u w:val="none"/>
        </w:rPr>
        <w:t>are active participants in a rigged system.</w:t>
      </w:r>
    </w:p>
    <w:p>
      <w:pPr>
        <w:pStyle w:val="BodyText"/>
      </w:pPr>
    </w:p>
    <w:p>
      <w:pPr>
        <w:pStyle w:val="BodyText"/>
        <w:ind w:left="263" w:right="263"/>
        <w:jc w:val="both"/>
      </w:pPr>
      <w:r>
        <w:rPr/>
        <w:t>More often than not, other marginalized intersections are not considered when addressing systemic barriers to services. Understanding these not-so-subtle nuances in identities is critical to servicing all youth and preparing them to thrive in a world built to work against them. Doing so often places our</w:t>
      </w:r>
    </w:p>
    <w:p>
      <w:pPr>
        <w:spacing w:after="0"/>
        <w:jc w:val="both"/>
        <w:sectPr>
          <w:pgSz w:w="12240" w:h="15840"/>
          <w:pgMar w:top="1400" w:bottom="280" w:left="1320" w:right="1320"/>
        </w:sectPr>
      </w:pPr>
    </w:p>
    <w:p>
      <w:pPr>
        <w:pStyle w:val="BodyText"/>
        <w:spacing w:before="40"/>
        <w:ind w:left="264" w:right="262"/>
        <w:jc w:val="both"/>
      </w:pPr>
      <w:r>
        <w:rPr/>
        <w:t>young people in a never-ending cycle of oppression. When we look at youth holistically, we move beyond</w:t>
      </w:r>
      <w:r>
        <w:rPr>
          <w:spacing w:val="-13"/>
        </w:rPr>
        <w:t> </w:t>
      </w:r>
      <w:r>
        <w:rPr/>
        <w:t>micro-level</w:t>
      </w:r>
      <w:r>
        <w:rPr>
          <w:spacing w:val="-12"/>
        </w:rPr>
        <w:t> </w:t>
      </w:r>
      <w:r>
        <w:rPr/>
        <w:t>approaches</w:t>
      </w:r>
      <w:r>
        <w:rPr>
          <w:spacing w:val="-11"/>
        </w:rPr>
        <w:t> </w:t>
      </w:r>
      <w:r>
        <w:rPr/>
        <w:t>to</w:t>
      </w:r>
      <w:r>
        <w:rPr>
          <w:spacing w:val="-11"/>
        </w:rPr>
        <w:t> </w:t>
      </w:r>
      <w:r>
        <w:rPr/>
        <w:t>care</w:t>
      </w:r>
      <w:r>
        <w:rPr>
          <w:spacing w:val="-12"/>
        </w:rPr>
        <w:t> </w:t>
      </w:r>
      <w:r>
        <w:rPr/>
        <w:t>and</w:t>
      </w:r>
      <w:r>
        <w:rPr>
          <w:spacing w:val="-12"/>
        </w:rPr>
        <w:t> </w:t>
      </w:r>
      <w:r>
        <w:rPr/>
        <w:t>service</w:t>
      </w:r>
      <w:r>
        <w:rPr>
          <w:spacing w:val="-12"/>
        </w:rPr>
        <w:t> </w:t>
      </w:r>
      <w:r>
        <w:rPr/>
        <w:t>provision</w:t>
      </w:r>
      <w:r>
        <w:rPr>
          <w:spacing w:val="-13"/>
        </w:rPr>
        <w:t> </w:t>
      </w:r>
      <w:r>
        <w:rPr/>
        <w:t>onto</w:t>
      </w:r>
      <w:r>
        <w:rPr>
          <w:spacing w:val="-11"/>
        </w:rPr>
        <w:t> </w:t>
      </w:r>
      <w:r>
        <w:rPr/>
        <w:t>a</w:t>
      </w:r>
      <w:r>
        <w:rPr>
          <w:spacing w:val="-12"/>
        </w:rPr>
        <w:t> </w:t>
      </w:r>
      <w:r>
        <w:rPr/>
        <w:t>path</w:t>
      </w:r>
      <w:r>
        <w:rPr>
          <w:spacing w:val="-12"/>
        </w:rPr>
        <w:t> </w:t>
      </w:r>
      <w:r>
        <w:rPr/>
        <w:t>that</w:t>
      </w:r>
      <w:r>
        <w:rPr>
          <w:spacing w:val="-12"/>
        </w:rPr>
        <w:t> </w:t>
      </w:r>
      <w:r>
        <w:rPr/>
        <w:t>will</w:t>
      </w:r>
      <w:r>
        <w:rPr>
          <w:spacing w:val="-12"/>
        </w:rPr>
        <w:t> </w:t>
      </w:r>
      <w:r>
        <w:rPr/>
        <w:t>create</w:t>
      </w:r>
      <w:r>
        <w:rPr>
          <w:spacing w:val="-12"/>
        </w:rPr>
        <w:t> </w:t>
      </w:r>
      <w:r>
        <w:rPr/>
        <w:t>real</w:t>
      </w:r>
      <w:r>
        <w:rPr>
          <w:spacing w:val="-11"/>
        </w:rPr>
        <w:t> </w:t>
      </w:r>
      <w:r>
        <w:rPr/>
        <w:t>structural change</w:t>
      </w:r>
      <w:r>
        <w:rPr>
          <w:spacing w:val="-8"/>
        </w:rPr>
        <w:t> </w:t>
      </w:r>
      <w:r>
        <w:rPr/>
        <w:t>that</w:t>
      </w:r>
      <w:r>
        <w:rPr>
          <w:spacing w:val="-8"/>
        </w:rPr>
        <w:t> </w:t>
      </w:r>
      <w:r>
        <w:rPr/>
        <w:t>benefits</w:t>
      </w:r>
      <w:r>
        <w:rPr>
          <w:spacing w:val="-8"/>
        </w:rPr>
        <w:t> </w:t>
      </w:r>
      <w:r>
        <w:rPr/>
        <w:t>the</w:t>
      </w:r>
      <w:r>
        <w:rPr>
          <w:spacing w:val="-9"/>
        </w:rPr>
        <w:t> </w:t>
      </w:r>
      <w:r>
        <w:rPr/>
        <w:t>whole</w:t>
      </w:r>
      <w:r>
        <w:rPr>
          <w:spacing w:val="-9"/>
        </w:rPr>
        <w:t> </w:t>
      </w:r>
      <w:r>
        <w:rPr/>
        <w:t>person</w:t>
      </w:r>
      <w:r>
        <w:rPr>
          <w:spacing w:val="-10"/>
        </w:rPr>
        <w:t> </w:t>
      </w:r>
      <w:r>
        <w:rPr/>
        <w:t>and</w:t>
      </w:r>
      <w:r>
        <w:rPr>
          <w:spacing w:val="-9"/>
        </w:rPr>
        <w:t> </w:t>
      </w:r>
      <w:r>
        <w:rPr/>
        <w:t>community.</w:t>
      </w:r>
      <w:r>
        <w:rPr>
          <w:spacing w:val="-10"/>
        </w:rPr>
        <w:t> </w:t>
      </w:r>
      <w:r>
        <w:rPr/>
        <w:t>Advocating</w:t>
      </w:r>
      <w:r>
        <w:rPr>
          <w:spacing w:val="-9"/>
        </w:rPr>
        <w:t> </w:t>
      </w:r>
      <w:r>
        <w:rPr/>
        <w:t>and</w:t>
      </w:r>
      <w:r>
        <w:rPr>
          <w:spacing w:val="-8"/>
        </w:rPr>
        <w:t> </w:t>
      </w:r>
      <w:r>
        <w:rPr/>
        <w:t>creating</w:t>
      </w:r>
      <w:r>
        <w:rPr>
          <w:spacing w:val="-8"/>
        </w:rPr>
        <w:t> </w:t>
      </w:r>
      <w:r>
        <w:rPr/>
        <w:t>pathways</w:t>
      </w:r>
      <w:r>
        <w:rPr>
          <w:spacing w:val="-8"/>
        </w:rPr>
        <w:t> </w:t>
      </w:r>
      <w:r>
        <w:rPr/>
        <w:t>to</w:t>
      </w:r>
      <w:r>
        <w:rPr>
          <w:spacing w:val="-9"/>
        </w:rPr>
        <w:t> </w:t>
      </w:r>
      <w:r>
        <w:rPr/>
        <w:t>freedom and equity</w:t>
      </w:r>
      <w:r>
        <w:rPr>
          <w:spacing w:val="40"/>
        </w:rPr>
        <w:t> </w:t>
      </w:r>
      <w:r>
        <w:rPr/>
        <w:t>for the most marginalized person in the room not only liberates everyone else, it chips away at a broken system in order to rebuild better.</w:t>
      </w:r>
    </w:p>
    <w:p>
      <w:pPr>
        <w:pStyle w:val="BodyText"/>
      </w:pPr>
    </w:p>
    <w:p>
      <w:pPr>
        <w:pStyle w:val="BodyText"/>
        <w:spacing w:before="1"/>
        <w:ind w:left="264" w:right="261"/>
        <w:jc w:val="both"/>
      </w:pPr>
      <w:r>
        <w:rPr/>
        <w:t>For</w:t>
      </w:r>
      <w:r>
        <w:rPr>
          <w:spacing w:val="-6"/>
        </w:rPr>
        <w:t> </w:t>
      </w:r>
      <w:r>
        <w:rPr/>
        <w:t>32</w:t>
      </w:r>
      <w:r>
        <w:rPr>
          <w:spacing w:val="-6"/>
        </w:rPr>
        <w:t> </w:t>
      </w:r>
      <w:r>
        <w:rPr/>
        <w:t>years,</w:t>
      </w:r>
      <w:r>
        <w:rPr>
          <w:spacing w:val="-5"/>
        </w:rPr>
        <w:t> </w:t>
      </w:r>
      <w:r>
        <w:rPr/>
        <w:t>the</w:t>
      </w:r>
      <w:r>
        <w:rPr>
          <w:spacing w:val="-5"/>
        </w:rPr>
        <w:t> </w:t>
      </w:r>
      <w:r>
        <w:rPr/>
        <w:t>Commission</w:t>
      </w:r>
      <w:r>
        <w:rPr>
          <w:spacing w:val="-7"/>
        </w:rPr>
        <w:t> </w:t>
      </w:r>
      <w:r>
        <w:rPr/>
        <w:t>has</w:t>
      </w:r>
      <w:r>
        <w:rPr>
          <w:spacing w:val="-5"/>
        </w:rPr>
        <w:t> </w:t>
      </w:r>
      <w:r>
        <w:rPr/>
        <w:t>had</w:t>
      </w:r>
      <w:r>
        <w:rPr>
          <w:spacing w:val="-6"/>
        </w:rPr>
        <w:t> </w:t>
      </w:r>
      <w:r>
        <w:rPr/>
        <w:t>the</w:t>
      </w:r>
      <w:r>
        <w:rPr>
          <w:spacing w:val="-7"/>
        </w:rPr>
        <w:t> </w:t>
      </w:r>
      <w:r>
        <w:rPr/>
        <w:t>honor</w:t>
      </w:r>
      <w:r>
        <w:rPr>
          <w:spacing w:val="-5"/>
        </w:rPr>
        <w:t> </w:t>
      </w:r>
      <w:r>
        <w:rPr/>
        <w:t>of</w:t>
      </w:r>
      <w:r>
        <w:rPr>
          <w:spacing w:val="-6"/>
        </w:rPr>
        <w:t> </w:t>
      </w:r>
      <w:r>
        <w:rPr/>
        <w:t>working</w:t>
      </w:r>
      <w:r>
        <w:rPr>
          <w:spacing w:val="-7"/>
        </w:rPr>
        <w:t> </w:t>
      </w:r>
      <w:r>
        <w:rPr/>
        <w:t>with</w:t>
      </w:r>
      <w:r>
        <w:rPr>
          <w:spacing w:val="-6"/>
        </w:rPr>
        <w:t> </w:t>
      </w:r>
      <w:r>
        <w:rPr/>
        <w:t>many</w:t>
      </w:r>
      <w:r>
        <w:rPr>
          <w:spacing w:val="-6"/>
        </w:rPr>
        <w:t> </w:t>
      </w:r>
      <w:r>
        <w:rPr/>
        <w:t>advocates,</w:t>
      </w:r>
      <w:r>
        <w:rPr>
          <w:spacing w:val="-6"/>
        </w:rPr>
        <w:t> </w:t>
      </w:r>
      <w:r>
        <w:rPr/>
        <w:t>legislators,</w:t>
      </w:r>
      <w:r>
        <w:rPr>
          <w:spacing w:val="-5"/>
        </w:rPr>
        <w:t> </w:t>
      </w:r>
      <w:r>
        <w:rPr/>
        <w:t>parents, teachers,</w:t>
      </w:r>
      <w:r>
        <w:rPr>
          <w:spacing w:val="-1"/>
        </w:rPr>
        <w:t> </w:t>
      </w:r>
      <w:r>
        <w:rPr/>
        <w:t>and</w:t>
      </w:r>
      <w:r>
        <w:rPr>
          <w:spacing w:val="-1"/>
        </w:rPr>
        <w:t> </w:t>
      </w:r>
      <w:r>
        <w:rPr/>
        <w:t>administrators</w:t>
      </w:r>
      <w:r>
        <w:rPr>
          <w:spacing w:val="-1"/>
        </w:rPr>
        <w:t> </w:t>
      </w:r>
      <w:r>
        <w:rPr/>
        <w:t>who</w:t>
      </w:r>
      <w:r>
        <w:rPr>
          <w:spacing w:val="-1"/>
        </w:rPr>
        <w:t> </w:t>
      </w:r>
      <w:r>
        <w:rPr/>
        <w:t>care</w:t>
      </w:r>
      <w:r>
        <w:rPr>
          <w:spacing w:val="-1"/>
        </w:rPr>
        <w:t> </w:t>
      </w:r>
      <w:r>
        <w:rPr/>
        <w:t>deeply</w:t>
      </w:r>
      <w:r>
        <w:rPr>
          <w:spacing w:val="-1"/>
        </w:rPr>
        <w:t> </w:t>
      </w:r>
      <w:r>
        <w:rPr/>
        <w:t>for</w:t>
      </w:r>
      <w:r>
        <w:rPr>
          <w:spacing w:val="-2"/>
        </w:rPr>
        <w:t> </w:t>
      </w:r>
      <w:r>
        <w:rPr/>
        <w:t>youth,</w:t>
      </w:r>
      <w:r>
        <w:rPr>
          <w:spacing w:val="-2"/>
        </w:rPr>
        <w:t> </w:t>
      </w:r>
      <w:r>
        <w:rPr/>
        <w:t>and</w:t>
      </w:r>
      <w:r>
        <w:rPr>
          <w:spacing w:val="-1"/>
        </w:rPr>
        <w:t> </w:t>
      </w:r>
      <w:r>
        <w:rPr/>
        <w:t>we</w:t>
      </w:r>
      <w:r>
        <w:rPr>
          <w:spacing w:val="-1"/>
        </w:rPr>
        <w:t> </w:t>
      </w:r>
      <w:r>
        <w:rPr/>
        <w:t>commend</w:t>
      </w:r>
      <w:r>
        <w:rPr>
          <w:spacing w:val="-1"/>
        </w:rPr>
        <w:t> </w:t>
      </w:r>
      <w:r>
        <w:rPr/>
        <w:t>their</w:t>
      </w:r>
      <w:r>
        <w:rPr>
          <w:spacing w:val="-1"/>
        </w:rPr>
        <w:t> </w:t>
      </w:r>
      <w:r>
        <w:rPr/>
        <w:t>important</w:t>
      </w:r>
      <w:r>
        <w:rPr>
          <w:spacing w:val="-1"/>
        </w:rPr>
        <w:t> </w:t>
      </w:r>
      <w:r>
        <w:rPr/>
        <w:t>work</w:t>
      </w:r>
      <w:r>
        <w:rPr>
          <w:spacing w:val="-1"/>
        </w:rPr>
        <w:t> </w:t>
      </w:r>
      <w:r>
        <w:rPr/>
        <w:t>thus far. With their help, the Commonwealth has become a leader in model legislation and policies which have drastically improved outcomes for LGBTQ youth. This work includes our expansive anti- discrimination protections for sexual orientation and gender identity; comprehensive anti-bullying laws; and nonbinary gender markers in schools, agencies, and state identification. The Commission implores the Commonwealth to persevere in this critical work, and continue to cultivate brave and nurturing spaces and communities where all youth can thrive.</w:t>
      </w:r>
    </w:p>
    <w:p>
      <w:pPr>
        <w:pStyle w:val="BodyText"/>
        <w:spacing w:before="268"/>
        <w:ind w:left="264" w:right="262"/>
        <w:jc w:val="both"/>
      </w:pPr>
      <w:r>
        <w:rPr/>
        <w:t>Within this FY 2025 report, we have collaborated with more than 20 state entities to report on their progress and, where necessary, provide new recommendations to improve the gaps in policy and service provision for LGBTQ youth in The Commonwealth . These recommendations are intended to amplify,</w:t>
      </w:r>
      <w:r>
        <w:rPr>
          <w:spacing w:val="39"/>
        </w:rPr>
        <w:t> </w:t>
      </w:r>
      <w:r>
        <w:rPr/>
        <w:t>the</w:t>
      </w:r>
      <w:r>
        <w:rPr>
          <w:spacing w:val="-5"/>
        </w:rPr>
        <w:t> </w:t>
      </w:r>
      <w:r>
        <w:rPr/>
        <w:t>voices</w:t>
      </w:r>
      <w:r>
        <w:rPr>
          <w:spacing w:val="-6"/>
        </w:rPr>
        <w:t> </w:t>
      </w:r>
      <w:r>
        <w:rPr/>
        <w:t>of</w:t>
      </w:r>
      <w:r>
        <w:rPr>
          <w:spacing w:val="-6"/>
        </w:rPr>
        <w:t> </w:t>
      </w:r>
      <w:r>
        <w:rPr/>
        <w:t>the</w:t>
      </w:r>
      <w:r>
        <w:rPr>
          <w:spacing w:val="-4"/>
        </w:rPr>
        <w:t> </w:t>
      </w:r>
      <w:r>
        <w:rPr/>
        <w:t>most</w:t>
      </w:r>
      <w:r>
        <w:rPr>
          <w:spacing w:val="-7"/>
        </w:rPr>
        <w:t> </w:t>
      </w:r>
      <w:r>
        <w:rPr/>
        <w:t>marginalized</w:t>
      </w:r>
      <w:r>
        <w:rPr>
          <w:spacing w:val="-5"/>
        </w:rPr>
        <w:t> </w:t>
      </w:r>
      <w:r>
        <w:rPr/>
        <w:t>young</w:t>
      </w:r>
      <w:r>
        <w:rPr>
          <w:spacing w:val="-4"/>
        </w:rPr>
        <w:t> </w:t>
      </w:r>
      <w:r>
        <w:rPr/>
        <w:t>people</w:t>
      </w:r>
      <w:r>
        <w:rPr>
          <w:spacing w:val="-5"/>
        </w:rPr>
        <w:t> </w:t>
      </w:r>
      <w:r>
        <w:rPr/>
        <w:t>in</w:t>
      </w:r>
      <w:r>
        <w:rPr>
          <w:spacing w:val="-5"/>
        </w:rPr>
        <w:t> </w:t>
      </w:r>
      <w:r>
        <w:rPr/>
        <w:t>the</w:t>
      </w:r>
      <w:r>
        <w:rPr>
          <w:spacing w:val="-5"/>
        </w:rPr>
        <w:t> </w:t>
      </w:r>
      <w:r>
        <w:rPr/>
        <w:t>LGBTQ</w:t>
      </w:r>
      <w:r>
        <w:rPr>
          <w:spacing w:val="-5"/>
        </w:rPr>
        <w:t> </w:t>
      </w:r>
      <w:r>
        <w:rPr/>
        <w:t>community;</w:t>
      </w:r>
      <w:r>
        <w:rPr>
          <w:spacing w:val="-5"/>
        </w:rPr>
        <w:t> </w:t>
      </w:r>
      <w:r>
        <w:rPr/>
        <w:t>especially</w:t>
      </w:r>
      <w:r>
        <w:rPr>
          <w:spacing w:val="-6"/>
        </w:rPr>
        <w:t> </w:t>
      </w:r>
      <w:r>
        <w:rPr/>
        <w:t>Black, Brown,</w:t>
      </w:r>
      <w:r>
        <w:rPr>
          <w:spacing w:val="-11"/>
        </w:rPr>
        <w:t> </w:t>
      </w:r>
      <w:r>
        <w:rPr/>
        <w:t>Indigenous,</w:t>
      </w:r>
      <w:r>
        <w:rPr>
          <w:spacing w:val="-11"/>
        </w:rPr>
        <w:t> </w:t>
      </w:r>
      <w:r>
        <w:rPr/>
        <w:t>immigrant,</w:t>
      </w:r>
      <w:r>
        <w:rPr>
          <w:spacing w:val="-11"/>
        </w:rPr>
        <w:t> </w:t>
      </w:r>
      <w:r>
        <w:rPr/>
        <w:t>disabled,</w:t>
      </w:r>
      <w:r>
        <w:rPr>
          <w:spacing w:val="-11"/>
        </w:rPr>
        <w:t> </w:t>
      </w:r>
      <w:r>
        <w:rPr/>
        <w:t>neurodivergent,</w:t>
      </w:r>
      <w:r>
        <w:rPr>
          <w:spacing w:val="-9"/>
        </w:rPr>
        <w:t> </w:t>
      </w:r>
      <w:r>
        <w:rPr/>
        <w:t>transgender,</w:t>
      </w:r>
      <w:r>
        <w:rPr>
          <w:spacing w:val="-11"/>
        </w:rPr>
        <w:t> </w:t>
      </w:r>
      <w:r>
        <w:rPr/>
        <w:t>intersex,</w:t>
      </w:r>
      <w:r>
        <w:rPr>
          <w:spacing w:val="-8"/>
        </w:rPr>
        <w:t> </w:t>
      </w:r>
      <w:r>
        <w:rPr/>
        <w:t>and</w:t>
      </w:r>
      <w:r>
        <w:rPr>
          <w:spacing w:val="-10"/>
        </w:rPr>
        <w:t> </w:t>
      </w:r>
      <w:r>
        <w:rPr/>
        <w:t>gender</w:t>
      </w:r>
      <w:r>
        <w:rPr>
          <w:spacing w:val="-10"/>
        </w:rPr>
        <w:t> </w:t>
      </w:r>
      <w:r>
        <w:rPr/>
        <w:t>expansive youth, as well as those in foster care, experiencing homelessness, are incarcerated, or have experienced sexual exploitation.</w:t>
      </w:r>
    </w:p>
    <w:p>
      <w:pPr>
        <w:pStyle w:val="BodyText"/>
        <w:spacing w:before="268"/>
        <w:ind w:left="264" w:right="262"/>
        <w:jc w:val="both"/>
      </w:pPr>
      <w:r>
        <w:rPr/>
        <w:t>As the Commission continues</w:t>
      </w:r>
      <w:r>
        <w:rPr>
          <w:spacing w:val="40"/>
        </w:rPr>
        <w:t> </w:t>
      </w:r>
      <w:r>
        <w:rPr/>
        <w:t>advocating on the behalf of LGBTQ youth, we also look to renew our focus to hold ourselves, our colleagues, school communities &amp; districts, legislators, and agencies accountable to proactive, consistent, and inclusive approaches to service provision that will create long-lasting change. As we look to publish new recommendations and special reports on the realities of LGBTQ and QTBIPOC youth in the Commonwealth, we call to action all those in position to make significant changes to address the harms and disparities faced by too many in this state. In doing so, we believe that the Commonwealth will become the standard.</w:t>
      </w:r>
    </w:p>
    <w:p>
      <w:pPr>
        <w:pStyle w:val="BodyText"/>
      </w:pPr>
    </w:p>
    <w:p>
      <w:pPr>
        <w:pStyle w:val="BodyText"/>
        <w:ind w:left="264"/>
      </w:pPr>
      <w:r>
        <w:rPr>
          <w:spacing w:val="-2"/>
        </w:rPr>
        <w:t>Sincerely,</w:t>
      </w:r>
    </w:p>
    <w:p>
      <w:pPr>
        <w:pStyle w:val="BodyText"/>
      </w:pPr>
    </w:p>
    <w:p>
      <w:pPr>
        <w:pStyle w:val="BodyText"/>
      </w:pPr>
    </w:p>
    <w:p>
      <w:pPr>
        <w:pStyle w:val="BodyText"/>
        <w:spacing w:before="1"/>
        <w:ind w:left="264" w:right="7526"/>
      </w:pPr>
      <w:r>
        <w:rPr/>
        <w:t>Craig</w:t>
      </w:r>
      <w:r>
        <w:rPr>
          <w:spacing w:val="-13"/>
        </w:rPr>
        <w:t> </w:t>
      </w:r>
      <w:r>
        <w:rPr/>
        <w:t>Aarons-Martin </w:t>
      </w:r>
      <w:r>
        <w:rPr>
          <w:spacing w:val="-2"/>
        </w:rPr>
        <w:t>Co-Chair</w:t>
      </w:r>
      <w:r>
        <w:rPr>
          <w:spacing w:val="40"/>
        </w:rPr>
        <w:t> </w:t>
      </w:r>
      <w:r>
        <w:rPr>
          <w:spacing w:val="-2"/>
        </w:rPr>
        <w:t>He/Him/His</w:t>
      </w:r>
    </w:p>
    <w:p>
      <w:pPr>
        <w:pStyle w:val="BodyText"/>
        <w:spacing w:before="268"/>
        <w:ind w:left="264" w:right="8199"/>
      </w:pPr>
      <w:r>
        <w:rPr/>
        <w:t>Noemi</w:t>
      </w:r>
      <w:r>
        <w:rPr>
          <w:spacing w:val="-13"/>
        </w:rPr>
        <w:t> </w:t>
      </w:r>
      <w:r>
        <w:rPr/>
        <w:t>Uribe </w:t>
      </w:r>
      <w:r>
        <w:rPr>
          <w:spacing w:val="-2"/>
        </w:rPr>
        <w:t>Co-Chair They/She</w:t>
      </w:r>
    </w:p>
    <w:p>
      <w:pPr>
        <w:pStyle w:val="BodyText"/>
      </w:pPr>
    </w:p>
    <w:p>
      <w:pPr>
        <w:pStyle w:val="BodyText"/>
        <w:ind w:left="264" w:right="7694"/>
      </w:pPr>
      <w:r>
        <w:rPr/>
        <w:t>Shaplaie Brooks Executive</w:t>
      </w:r>
      <w:r>
        <w:rPr>
          <w:spacing w:val="-13"/>
        </w:rPr>
        <w:t> </w:t>
      </w:r>
      <w:r>
        <w:rPr/>
        <w:t>Director </w:t>
      </w:r>
      <w:r>
        <w:rPr>
          <w:spacing w:val="-2"/>
        </w:rPr>
        <w:t>She/Her/Hers</w:t>
      </w:r>
    </w:p>
    <w:p>
      <w:pPr>
        <w:spacing w:after="0"/>
        <w:sectPr>
          <w:pgSz w:w="12240" w:h="15840"/>
          <w:pgMar w:top="1400" w:bottom="280" w:left="1320" w:right="1320"/>
        </w:sectPr>
      </w:pPr>
    </w:p>
    <w:p>
      <w:pPr>
        <w:pStyle w:val="BodyText"/>
        <w:spacing w:before="357"/>
        <w:rPr>
          <w:sz w:val="73"/>
        </w:rPr>
      </w:pPr>
    </w:p>
    <w:p>
      <w:pPr>
        <w:spacing w:before="0"/>
        <w:ind w:left="1596" w:right="0" w:firstLine="0"/>
        <w:jc w:val="center"/>
        <w:rPr>
          <w:rFonts w:ascii="Georgia"/>
          <w:sz w:val="73"/>
        </w:rPr>
      </w:pPr>
      <w:bookmarkStart w:name="Blue and White Simply Neutral Table of C" w:id="7"/>
      <w:bookmarkEnd w:id="7"/>
      <w:r>
        <w:rPr/>
      </w:r>
      <w:bookmarkStart w:name="_bookmark0" w:id="8"/>
      <w:bookmarkEnd w:id="8"/>
      <w:r>
        <w:rPr/>
      </w:r>
      <w:bookmarkStart w:name="_bookmark1" w:id="9"/>
      <w:bookmarkEnd w:id="9"/>
      <w:r>
        <w:rPr/>
      </w:r>
      <w:bookmarkStart w:name="_bookmark2" w:id="10"/>
      <w:bookmarkEnd w:id="10"/>
      <w:r>
        <w:rPr/>
      </w:r>
      <w:bookmarkStart w:name="_bookmark3" w:id="11"/>
      <w:bookmarkEnd w:id="11"/>
      <w:r>
        <w:rPr/>
      </w:r>
      <w:r>
        <w:rPr>
          <w:rFonts w:ascii="Georgia"/>
          <w:spacing w:val="-28"/>
          <w:sz w:val="73"/>
        </w:rPr>
        <w:t>TABLE</w:t>
      </w:r>
      <w:r>
        <w:rPr>
          <w:rFonts w:ascii="Georgia"/>
          <w:spacing w:val="-16"/>
          <w:sz w:val="73"/>
        </w:rPr>
        <w:t> </w:t>
      </w:r>
      <w:r>
        <w:rPr>
          <w:rFonts w:ascii="Georgia"/>
          <w:spacing w:val="-28"/>
          <w:sz w:val="73"/>
        </w:rPr>
        <w:t>OF</w:t>
      </w:r>
      <w:r>
        <w:rPr>
          <w:rFonts w:ascii="Georgia"/>
          <w:spacing w:val="-15"/>
          <w:sz w:val="73"/>
        </w:rPr>
        <w:t> </w:t>
      </w:r>
      <w:r>
        <w:rPr>
          <w:rFonts w:ascii="Georgia"/>
          <w:spacing w:val="-28"/>
          <w:sz w:val="73"/>
        </w:rPr>
        <w:t>CONTENTS</w:t>
      </w:r>
    </w:p>
    <w:p>
      <w:pPr>
        <w:tabs>
          <w:tab w:pos="9269" w:val="right" w:leader="none"/>
        </w:tabs>
        <w:spacing w:before="485"/>
        <w:ind w:left="1953" w:right="0" w:firstLine="0"/>
        <w:jc w:val="left"/>
        <w:rPr>
          <w:rFonts w:ascii="Georgia"/>
          <w:sz w:val="32"/>
        </w:rPr>
      </w:pPr>
      <w:hyperlink w:history="true" w:anchor="_bookmark8">
        <w:r>
          <w:rPr>
            <w:rFonts w:ascii="Georgia"/>
            <w:spacing w:val="-2"/>
            <w:sz w:val="32"/>
          </w:rPr>
          <w:t>FY</w:t>
        </w:r>
        <w:r>
          <w:rPr>
            <w:rFonts w:ascii="Georgia"/>
            <w:spacing w:val="-14"/>
            <w:sz w:val="32"/>
          </w:rPr>
          <w:t> </w:t>
        </w:r>
        <w:r>
          <w:rPr>
            <w:rFonts w:ascii="Georgia"/>
            <w:spacing w:val="-2"/>
            <w:sz w:val="32"/>
          </w:rPr>
          <w:t>2025</w:t>
        </w:r>
        <w:r>
          <w:rPr>
            <w:rFonts w:ascii="Georgia"/>
            <w:spacing w:val="-14"/>
            <w:sz w:val="32"/>
          </w:rPr>
          <w:t> </w:t>
        </w:r>
        <w:r>
          <w:rPr>
            <w:rFonts w:ascii="Georgia"/>
            <w:spacing w:val="-2"/>
            <w:sz w:val="32"/>
          </w:rPr>
          <w:t>Executive</w:t>
        </w:r>
        <w:r>
          <w:rPr>
            <w:rFonts w:ascii="Georgia"/>
            <w:spacing w:val="-13"/>
            <w:sz w:val="32"/>
          </w:rPr>
          <w:t> </w:t>
        </w:r>
        <w:r>
          <w:rPr>
            <w:rFonts w:ascii="Georgia"/>
            <w:spacing w:val="-2"/>
            <w:sz w:val="32"/>
          </w:rPr>
          <w:t>Summary</w:t>
        </w:r>
        <w:r>
          <w:rPr>
            <w:rFonts w:ascii="Times New Roman"/>
            <w:sz w:val="32"/>
          </w:rPr>
          <w:tab/>
        </w:r>
        <w:r>
          <w:rPr>
            <w:rFonts w:ascii="Georgia"/>
            <w:spacing w:val="-10"/>
            <w:position w:val="1"/>
            <w:sz w:val="32"/>
          </w:rPr>
          <w:t>1</w:t>
        </w:r>
      </w:hyperlink>
    </w:p>
    <w:p>
      <w:pPr>
        <w:spacing w:after="0"/>
        <w:jc w:val="left"/>
        <w:rPr>
          <w:rFonts w:ascii="Georgia"/>
          <w:sz w:val="32"/>
        </w:rPr>
        <w:sectPr>
          <w:footerReference w:type="default" r:id="rId10"/>
          <w:pgSz w:w="12240" w:h="15840"/>
          <w:pgMar w:header="0" w:footer="1100" w:top="400" w:bottom="1280" w:left="1720" w:right="960"/>
        </w:sectPr>
      </w:pPr>
    </w:p>
    <w:p>
      <w:pPr>
        <w:spacing w:line="415" w:lineRule="auto" w:before="262"/>
        <w:ind w:left="1953" w:right="1854" w:firstLine="0"/>
        <w:jc w:val="left"/>
        <w:rPr>
          <w:rFonts w:ascii="Georgia"/>
          <w:sz w:val="32"/>
        </w:rPr>
      </w:pPr>
      <w:hyperlink w:history="true" w:anchor="_bookmark9">
        <w:r>
          <w:rPr>
            <w:rFonts w:ascii="Georgia"/>
            <w:sz w:val="32"/>
          </w:rPr>
          <w:t>Protecting</w:t>
        </w:r>
        <w:r>
          <w:rPr>
            <w:rFonts w:ascii="Georgia"/>
            <w:spacing w:val="-8"/>
            <w:sz w:val="32"/>
          </w:rPr>
          <w:t> </w:t>
        </w:r>
        <w:r>
          <w:rPr>
            <w:rFonts w:ascii="Georgia"/>
            <w:sz w:val="32"/>
          </w:rPr>
          <w:t>LGBTQ</w:t>
        </w:r>
        <w:r>
          <w:rPr>
            <w:rFonts w:ascii="Georgia"/>
            <w:spacing w:val="-8"/>
            <w:sz w:val="32"/>
          </w:rPr>
          <w:t> </w:t>
        </w:r>
        <w:r>
          <w:rPr>
            <w:rFonts w:ascii="Georgia"/>
            <w:sz w:val="32"/>
          </w:rPr>
          <w:t>Child</w:t>
        </w:r>
        <w:r>
          <w:rPr>
            <w:rFonts w:ascii="Georgia"/>
            <w:spacing w:val="-8"/>
            <w:sz w:val="32"/>
          </w:rPr>
          <w:t> </w:t>
        </w:r>
        <w:r>
          <w:rPr>
            <w:rFonts w:ascii="Georgia"/>
            <w:sz w:val="32"/>
          </w:rPr>
          <w:t>Welfare</w:t>
        </w:r>
      </w:hyperlink>
      <w:r>
        <w:rPr>
          <w:rFonts w:ascii="Georgia"/>
          <w:sz w:val="32"/>
        </w:rPr>
        <w:t> </w:t>
      </w:r>
      <w:hyperlink w:history="true" w:anchor="_bookmark39">
        <w:r>
          <w:rPr>
            <w:rFonts w:ascii="Georgia"/>
            <w:sz w:val="32"/>
          </w:rPr>
          <w:t>Uplifting Education</w:t>
        </w:r>
      </w:hyperlink>
      <w:r>
        <w:rPr>
          <w:rFonts w:ascii="Georgia"/>
          <w:sz w:val="32"/>
        </w:rPr>
        <w:t> </w:t>
      </w:r>
      <w:hyperlink w:history="true" w:anchor="_bookmark78">
        <w:r>
          <w:rPr>
            <w:rFonts w:ascii="Georgia"/>
            <w:sz w:val="32"/>
          </w:rPr>
          <w:t>Destigmatizing Public Health</w:t>
        </w:r>
      </w:hyperlink>
      <w:r>
        <w:rPr>
          <w:rFonts w:ascii="Georgia"/>
          <w:sz w:val="32"/>
        </w:rPr>
        <w:t> </w:t>
      </w:r>
      <w:hyperlink w:history="true" w:anchor="_bookmark103">
        <w:r>
          <w:rPr>
            <w:rFonts w:ascii="Georgia"/>
            <w:sz w:val="32"/>
          </w:rPr>
          <w:t>Supporting Mental Health</w:t>
        </w:r>
      </w:hyperlink>
      <w:r>
        <w:rPr>
          <w:rFonts w:ascii="Georgia"/>
          <w:sz w:val="32"/>
        </w:rPr>
        <w:t> </w:t>
      </w:r>
      <w:hyperlink w:history="true" w:anchor="_bookmark192">
        <w:r>
          <w:rPr>
            <w:rFonts w:ascii="Georgia"/>
            <w:sz w:val="32"/>
          </w:rPr>
          <w:t>Addressing Pediatric Health</w:t>
        </w:r>
      </w:hyperlink>
    </w:p>
    <w:p>
      <w:pPr>
        <w:spacing w:line="342" w:lineRule="exact" w:before="0"/>
        <w:ind w:left="1953" w:right="0" w:firstLine="0"/>
        <w:jc w:val="left"/>
        <w:rPr>
          <w:rFonts w:ascii="Georgia"/>
          <w:sz w:val="32"/>
        </w:rPr>
      </w:pPr>
      <w:hyperlink w:history="true" w:anchor="_bookmark193">
        <w:r>
          <w:rPr>
            <w:rFonts w:ascii="Georgia"/>
            <w:sz w:val="32"/>
          </w:rPr>
          <w:t>Broadening</w:t>
        </w:r>
        <w:r>
          <w:rPr>
            <w:rFonts w:ascii="Georgia"/>
            <w:spacing w:val="30"/>
            <w:sz w:val="32"/>
          </w:rPr>
          <w:t> </w:t>
        </w:r>
        <w:r>
          <w:rPr>
            <w:rFonts w:ascii="Georgia"/>
            <w:sz w:val="32"/>
          </w:rPr>
          <w:t>Pregnancy</w:t>
        </w:r>
        <w:r>
          <w:rPr>
            <w:rFonts w:ascii="Georgia"/>
            <w:spacing w:val="31"/>
            <w:sz w:val="32"/>
          </w:rPr>
          <w:t> </w:t>
        </w:r>
        <w:r>
          <w:rPr>
            <w:rFonts w:ascii="Georgia"/>
            <w:sz w:val="32"/>
          </w:rPr>
          <w:t>&amp;</w:t>
        </w:r>
        <w:r>
          <w:rPr>
            <w:rFonts w:ascii="Georgia"/>
            <w:spacing w:val="31"/>
            <w:sz w:val="32"/>
          </w:rPr>
          <w:t> </w:t>
        </w:r>
        <w:r>
          <w:rPr>
            <w:rFonts w:ascii="Georgia"/>
            <w:sz w:val="32"/>
          </w:rPr>
          <w:t>Gynecological</w:t>
        </w:r>
        <w:r>
          <w:rPr>
            <w:rFonts w:ascii="Georgia"/>
            <w:spacing w:val="31"/>
            <w:sz w:val="32"/>
          </w:rPr>
          <w:t> </w:t>
        </w:r>
        <w:r>
          <w:rPr>
            <w:rFonts w:ascii="Georgia"/>
            <w:spacing w:val="-2"/>
            <w:sz w:val="32"/>
          </w:rPr>
          <w:t>Health</w:t>
        </w:r>
      </w:hyperlink>
    </w:p>
    <w:p>
      <w:pPr>
        <w:spacing w:line="415" w:lineRule="auto" w:before="303"/>
        <w:ind w:left="1953" w:right="2917" w:firstLine="0"/>
        <w:jc w:val="left"/>
        <w:rPr>
          <w:rFonts w:ascii="Georgia"/>
          <w:sz w:val="32"/>
        </w:rPr>
      </w:pPr>
      <w:r>
        <w:rPr>
          <w:rFonts w:ascii="Georgia"/>
          <w:sz w:val="32"/>
        </w:rPr>
        <w:t>I</w:t>
      </w:r>
      <w:hyperlink w:history="true" w:anchor="_bookmark270">
        <w:r>
          <w:rPr>
            <w:rFonts w:ascii="Georgia"/>
            <w:sz w:val="32"/>
          </w:rPr>
          <w:t>mproving Sexual Health</w:t>
        </w:r>
      </w:hyperlink>
      <w:r>
        <w:rPr>
          <w:rFonts w:ascii="Georgia"/>
          <w:sz w:val="32"/>
        </w:rPr>
        <w:t> </w:t>
      </w:r>
      <w:hyperlink w:history="true" w:anchor="_bookmark273">
        <w:r>
          <w:rPr>
            <w:rFonts w:ascii="Georgia"/>
            <w:sz w:val="32"/>
          </w:rPr>
          <w:t>Ending Homelessness</w:t>
        </w:r>
      </w:hyperlink>
      <w:r>
        <w:rPr>
          <w:rFonts w:ascii="Georgia"/>
          <w:sz w:val="32"/>
        </w:rPr>
        <w:t> </w:t>
      </w:r>
      <w:hyperlink w:history="true" w:anchor="_bookmark316">
        <w:r>
          <w:rPr>
            <w:rFonts w:ascii="Georgia"/>
            <w:sz w:val="32"/>
          </w:rPr>
          <w:t>Advancing Justice</w:t>
        </w:r>
      </w:hyperlink>
      <w:r>
        <w:rPr>
          <w:rFonts w:ascii="Georgia"/>
          <w:spacing w:val="40"/>
          <w:sz w:val="32"/>
        </w:rPr>
        <w:t> </w:t>
      </w:r>
      <w:hyperlink w:history="true" w:anchor="_bookmark532">
        <w:r>
          <w:rPr>
            <w:rFonts w:ascii="Georgia"/>
            <w:sz w:val="32"/>
          </w:rPr>
          <w:t>Inclusive Service Provision</w:t>
        </w:r>
      </w:hyperlink>
    </w:p>
    <w:p>
      <w:pPr>
        <w:spacing w:line="424" w:lineRule="auto" w:before="18"/>
        <w:ind w:left="1953" w:right="1263" w:firstLine="0"/>
        <w:jc w:val="left"/>
        <w:rPr>
          <w:rFonts w:ascii="Georgia"/>
          <w:sz w:val="32"/>
        </w:rPr>
      </w:pPr>
      <w:hyperlink w:history="true" w:anchor="_bookmark542">
        <w:r>
          <w:rPr>
            <w:rFonts w:ascii="Georgia"/>
            <w:sz w:val="32"/>
          </w:rPr>
          <w:t>Understanding Environmental Justice</w:t>
        </w:r>
      </w:hyperlink>
      <w:r>
        <w:rPr>
          <w:rFonts w:ascii="Georgia"/>
          <w:sz w:val="32"/>
        </w:rPr>
        <w:t> </w:t>
      </w:r>
      <w:hyperlink w:history="true" w:anchor="_bookmark554">
        <w:r>
          <w:rPr>
            <w:rFonts w:ascii="Georgia"/>
            <w:sz w:val="32"/>
          </w:rPr>
          <w:t>Examining Economic Justice</w:t>
        </w:r>
      </w:hyperlink>
      <w:r>
        <w:rPr>
          <w:rFonts w:ascii="Georgia"/>
          <w:sz w:val="32"/>
        </w:rPr>
        <w:t> </w:t>
      </w:r>
      <w:hyperlink w:history="true" w:anchor="_bookmark620">
        <w:r>
          <w:rPr>
            <w:rFonts w:ascii="Georgia"/>
            <w:sz w:val="32"/>
          </w:rPr>
          <w:t>Eliminating Barriers to Services</w:t>
        </w:r>
      </w:hyperlink>
      <w:r>
        <w:rPr>
          <w:rFonts w:ascii="Georgia"/>
          <w:sz w:val="32"/>
        </w:rPr>
        <w:t> </w:t>
      </w:r>
      <w:hyperlink w:history="true" w:anchor="_bookmark623">
        <w:r>
          <w:rPr>
            <w:rFonts w:ascii="Georgia"/>
            <w:sz w:val="32"/>
          </w:rPr>
          <w:t>Agency Recommendations</w:t>
        </w:r>
      </w:hyperlink>
    </w:p>
    <w:p>
      <w:pPr>
        <w:spacing w:before="3"/>
        <w:ind w:left="1953" w:right="0" w:firstLine="0"/>
        <w:jc w:val="left"/>
        <w:rPr>
          <w:rFonts w:ascii="Georgia"/>
          <w:sz w:val="32"/>
        </w:rPr>
      </w:pPr>
      <w:hyperlink w:history="true" w:anchor="_bookmark663">
        <w:r>
          <w:rPr>
            <w:rFonts w:ascii="Georgia"/>
            <w:spacing w:val="-2"/>
            <w:sz w:val="32"/>
          </w:rPr>
          <w:t>Glossary</w:t>
        </w:r>
      </w:hyperlink>
    </w:p>
    <w:p>
      <w:pPr>
        <w:spacing w:before="251"/>
        <w:ind w:left="1953" w:right="0" w:firstLine="0"/>
        <w:jc w:val="left"/>
        <w:rPr>
          <w:rFonts w:ascii="Georgia"/>
          <w:sz w:val="32"/>
        </w:rPr>
      </w:pPr>
      <w:hyperlink w:history="true" w:anchor="_bookmark664">
        <w:r>
          <w:rPr>
            <w:rFonts w:ascii="Georgia"/>
            <w:sz w:val="32"/>
          </w:rPr>
          <w:t>Commission</w:t>
        </w:r>
        <w:r>
          <w:rPr>
            <w:rFonts w:ascii="Georgia"/>
            <w:spacing w:val="1"/>
            <w:sz w:val="32"/>
          </w:rPr>
          <w:t> </w:t>
        </w:r>
        <w:r>
          <w:rPr>
            <w:rFonts w:ascii="Georgia"/>
            <w:sz w:val="32"/>
          </w:rPr>
          <w:t>Member</w:t>
        </w:r>
        <w:r>
          <w:rPr>
            <w:rFonts w:ascii="Georgia"/>
            <w:spacing w:val="1"/>
            <w:sz w:val="32"/>
          </w:rPr>
          <w:t> </w:t>
        </w:r>
        <w:r>
          <w:rPr>
            <w:rFonts w:ascii="Georgia"/>
            <w:spacing w:val="-4"/>
            <w:sz w:val="32"/>
          </w:rPr>
          <w:t>List</w:t>
        </w:r>
      </w:hyperlink>
    </w:p>
    <w:p>
      <w:pPr>
        <w:spacing w:before="255"/>
        <w:ind w:left="305" w:right="0" w:firstLine="0"/>
        <w:jc w:val="left"/>
        <w:rPr>
          <w:rFonts w:ascii="Georgia"/>
          <w:sz w:val="32"/>
        </w:rPr>
      </w:pPr>
      <w:r>
        <w:rPr/>
        <w:br w:type="column"/>
      </w:r>
      <w:hyperlink w:history="true" w:anchor="_bookmark9">
        <w:r>
          <w:rPr>
            <w:rFonts w:ascii="Georgia"/>
            <w:spacing w:val="-5"/>
            <w:sz w:val="32"/>
          </w:rPr>
          <w:t>17</w:t>
        </w:r>
      </w:hyperlink>
    </w:p>
    <w:p>
      <w:pPr>
        <w:spacing w:before="270"/>
        <w:ind w:left="295" w:right="0" w:firstLine="0"/>
        <w:jc w:val="left"/>
        <w:rPr>
          <w:rFonts w:ascii="Georgia"/>
          <w:sz w:val="32"/>
        </w:rPr>
      </w:pPr>
      <w:hyperlink w:history="true" w:anchor="_bookmark39">
        <w:r>
          <w:rPr>
            <w:rFonts w:ascii="Georgia"/>
            <w:spacing w:val="-5"/>
            <w:sz w:val="32"/>
          </w:rPr>
          <w:t>31</w:t>
        </w:r>
      </w:hyperlink>
    </w:p>
    <w:p>
      <w:pPr>
        <w:spacing w:before="261"/>
        <w:ind w:left="294" w:right="0" w:firstLine="0"/>
        <w:jc w:val="left"/>
        <w:rPr>
          <w:rFonts w:ascii="Georgia"/>
          <w:sz w:val="32"/>
        </w:rPr>
      </w:pPr>
      <w:hyperlink w:history="true" w:anchor="_bookmark78">
        <w:r>
          <w:rPr>
            <w:rFonts w:ascii="Georgia"/>
            <w:spacing w:val="-5"/>
            <w:w w:val="95"/>
            <w:sz w:val="32"/>
          </w:rPr>
          <w:t>47</w:t>
        </w:r>
      </w:hyperlink>
    </w:p>
    <w:p>
      <w:pPr>
        <w:spacing w:before="271"/>
        <w:ind w:left="280" w:right="0" w:firstLine="0"/>
        <w:jc w:val="left"/>
        <w:rPr>
          <w:rFonts w:ascii="Georgia"/>
          <w:sz w:val="32"/>
        </w:rPr>
      </w:pPr>
      <w:hyperlink w:history="true" w:anchor="_bookmark103">
        <w:r>
          <w:rPr>
            <w:rFonts w:ascii="Georgia"/>
            <w:spacing w:val="-5"/>
            <w:sz w:val="32"/>
          </w:rPr>
          <w:t>70</w:t>
        </w:r>
      </w:hyperlink>
    </w:p>
    <w:p>
      <w:pPr>
        <w:spacing w:before="261"/>
        <w:ind w:left="281" w:right="0" w:firstLine="0"/>
        <w:jc w:val="left"/>
        <w:rPr>
          <w:rFonts w:ascii="Georgia"/>
          <w:sz w:val="32"/>
        </w:rPr>
      </w:pPr>
      <w:hyperlink w:history="true" w:anchor="_bookmark192">
        <w:r>
          <w:rPr>
            <w:rFonts w:ascii="Georgia"/>
            <w:spacing w:val="-5"/>
            <w:sz w:val="32"/>
          </w:rPr>
          <w:t>94</w:t>
        </w:r>
      </w:hyperlink>
    </w:p>
    <w:p>
      <w:pPr>
        <w:spacing w:before="265"/>
        <w:ind w:left="211" w:right="0" w:firstLine="0"/>
        <w:jc w:val="left"/>
        <w:rPr>
          <w:rFonts w:ascii="Georgia"/>
          <w:sz w:val="32"/>
        </w:rPr>
      </w:pPr>
      <w:hyperlink w:history="true" w:anchor="_bookmark193">
        <w:r>
          <w:rPr>
            <w:rFonts w:ascii="Georgia"/>
            <w:spacing w:val="-5"/>
            <w:sz w:val="32"/>
          </w:rPr>
          <w:t>110</w:t>
        </w:r>
      </w:hyperlink>
    </w:p>
    <w:p>
      <w:pPr>
        <w:spacing w:before="271"/>
        <w:ind w:left="226" w:right="0" w:firstLine="0"/>
        <w:jc w:val="left"/>
        <w:rPr>
          <w:rFonts w:ascii="Georgia"/>
          <w:sz w:val="32"/>
        </w:rPr>
      </w:pPr>
      <w:hyperlink w:history="true" w:anchor="_bookmark270">
        <w:r>
          <w:rPr>
            <w:rFonts w:ascii="Georgia"/>
            <w:spacing w:val="-5"/>
            <w:sz w:val="32"/>
          </w:rPr>
          <w:t>131</w:t>
        </w:r>
      </w:hyperlink>
    </w:p>
    <w:p>
      <w:pPr>
        <w:spacing w:before="275"/>
        <w:ind w:left="216" w:right="0" w:firstLine="0"/>
        <w:jc w:val="left"/>
        <w:rPr>
          <w:rFonts w:ascii="Georgia"/>
          <w:sz w:val="32"/>
        </w:rPr>
      </w:pPr>
      <w:hyperlink w:history="true" w:anchor="_bookmark273">
        <w:r>
          <w:rPr>
            <w:rFonts w:ascii="Georgia"/>
            <w:spacing w:val="-5"/>
            <w:sz w:val="32"/>
          </w:rPr>
          <w:t>145</w:t>
        </w:r>
      </w:hyperlink>
    </w:p>
    <w:p>
      <w:pPr>
        <w:spacing w:before="266"/>
        <w:ind w:left="223" w:right="0" w:firstLine="0"/>
        <w:jc w:val="left"/>
        <w:rPr>
          <w:rFonts w:ascii="Georgia"/>
          <w:sz w:val="32"/>
        </w:rPr>
      </w:pPr>
      <w:hyperlink w:history="true" w:anchor="_bookmark316">
        <w:r>
          <w:rPr>
            <w:rFonts w:ascii="Georgia"/>
            <w:spacing w:val="-5"/>
            <w:sz w:val="32"/>
          </w:rPr>
          <w:t>161</w:t>
        </w:r>
      </w:hyperlink>
    </w:p>
    <w:p>
      <w:pPr>
        <w:spacing w:before="279"/>
        <w:ind w:left="212" w:right="0" w:firstLine="0"/>
        <w:jc w:val="left"/>
        <w:rPr>
          <w:rFonts w:ascii="Georgia"/>
          <w:sz w:val="32"/>
        </w:rPr>
      </w:pPr>
      <w:hyperlink w:history="true" w:anchor="_bookmark532">
        <w:r>
          <w:rPr>
            <w:rFonts w:ascii="Georgia"/>
            <w:spacing w:val="-5"/>
            <w:sz w:val="32"/>
          </w:rPr>
          <w:t>194</w:t>
        </w:r>
      </w:hyperlink>
    </w:p>
    <w:p>
      <w:pPr>
        <w:spacing w:before="256"/>
        <w:ind w:left="216" w:right="0" w:firstLine="0"/>
        <w:jc w:val="left"/>
        <w:rPr>
          <w:rFonts w:ascii="Georgia"/>
          <w:sz w:val="32"/>
        </w:rPr>
      </w:pPr>
      <w:hyperlink w:history="true" w:anchor="_bookmark542">
        <w:r>
          <w:rPr>
            <w:rFonts w:ascii="Georgia"/>
            <w:spacing w:val="-5"/>
            <w:sz w:val="32"/>
          </w:rPr>
          <w:t>212</w:t>
        </w:r>
      </w:hyperlink>
    </w:p>
    <w:p>
      <w:pPr>
        <w:spacing w:before="276"/>
        <w:ind w:left="203" w:right="0" w:firstLine="0"/>
        <w:jc w:val="left"/>
        <w:rPr>
          <w:rFonts w:ascii="Georgia"/>
          <w:sz w:val="32"/>
        </w:rPr>
      </w:pPr>
      <w:hyperlink w:history="true" w:anchor="_bookmark554">
        <w:r>
          <w:rPr>
            <w:rFonts w:ascii="Georgia"/>
            <w:spacing w:val="-5"/>
            <w:sz w:val="32"/>
          </w:rPr>
          <w:t>226</w:t>
        </w:r>
      </w:hyperlink>
    </w:p>
    <w:p>
      <w:pPr>
        <w:spacing w:before="311"/>
        <w:ind w:left="215" w:right="0" w:firstLine="0"/>
        <w:jc w:val="left"/>
        <w:rPr>
          <w:rFonts w:ascii="Georgia"/>
          <w:sz w:val="32"/>
        </w:rPr>
      </w:pPr>
      <w:hyperlink w:history="true" w:anchor="_bookmark620">
        <w:r>
          <w:rPr>
            <w:rFonts w:ascii="Georgia"/>
            <w:spacing w:val="-5"/>
            <w:sz w:val="32"/>
          </w:rPr>
          <w:t>241</w:t>
        </w:r>
      </w:hyperlink>
    </w:p>
    <w:p>
      <w:pPr>
        <w:spacing w:before="280"/>
        <w:ind w:left="206" w:right="0" w:firstLine="0"/>
        <w:jc w:val="left"/>
        <w:rPr>
          <w:rFonts w:ascii="Georgia"/>
          <w:sz w:val="32"/>
        </w:rPr>
      </w:pPr>
      <w:hyperlink w:history="true" w:anchor="_bookmark623">
        <w:r>
          <w:rPr>
            <w:rFonts w:ascii="Georgia"/>
            <w:spacing w:val="-5"/>
            <w:sz w:val="32"/>
          </w:rPr>
          <w:t>245</w:t>
        </w:r>
      </w:hyperlink>
    </w:p>
    <w:p>
      <w:pPr>
        <w:spacing w:before="255"/>
        <w:ind w:left="207" w:right="0" w:firstLine="0"/>
        <w:jc w:val="left"/>
        <w:rPr>
          <w:rFonts w:ascii="Georgia"/>
          <w:sz w:val="32"/>
        </w:rPr>
      </w:pPr>
      <w:hyperlink w:history="true" w:anchor="_bookmark663">
        <w:r>
          <w:rPr>
            <w:rFonts w:ascii="Georgia"/>
            <w:spacing w:val="-5"/>
            <w:sz w:val="32"/>
          </w:rPr>
          <w:t>325</w:t>
        </w:r>
      </w:hyperlink>
    </w:p>
    <w:p>
      <w:pPr>
        <w:spacing w:before="280"/>
        <w:ind w:left="192" w:right="0" w:firstLine="0"/>
        <w:jc w:val="left"/>
        <w:rPr>
          <w:rFonts w:ascii="Georgia"/>
          <w:sz w:val="32"/>
        </w:rPr>
      </w:pPr>
      <w:hyperlink w:history="true" w:anchor="_bookmark664">
        <w:r>
          <w:rPr>
            <w:rFonts w:ascii="Georgia"/>
            <w:spacing w:val="-5"/>
            <w:sz w:val="32"/>
          </w:rPr>
          <w:t>330</w:t>
        </w:r>
      </w:hyperlink>
    </w:p>
    <w:p>
      <w:pPr>
        <w:spacing w:after="0"/>
        <w:jc w:val="left"/>
        <w:rPr>
          <w:rFonts w:ascii="Georgia"/>
          <w:sz w:val="32"/>
        </w:rPr>
        <w:sectPr>
          <w:type w:val="continuous"/>
          <w:pgSz w:w="12240" w:h="15840"/>
          <w:pgMar w:header="0" w:footer="1100" w:top="1420" w:bottom="280" w:left="1720" w:right="960"/>
          <w:cols w:num="2" w:equalWidth="0">
            <w:col w:w="8719" w:space="40"/>
            <w:col w:w="801"/>
          </w:cols>
        </w:sectPr>
      </w:pPr>
    </w:p>
    <w:p>
      <w:pPr>
        <w:pStyle w:val="BodyText"/>
        <w:rPr>
          <w:rFonts w:ascii="Georgia"/>
          <w:sz w:val="20"/>
        </w:rPr>
      </w:pPr>
      <w:r>
        <w:rPr/>
        <w:drawing>
          <wp:anchor distT="0" distB="0" distL="0" distR="0" allowOverlap="1" layoutInCell="1" locked="0" behindDoc="0" simplePos="0" relativeHeight="15730176">
            <wp:simplePos x="0" y="0"/>
            <wp:positionH relativeFrom="page">
              <wp:posOffset>493955</wp:posOffset>
            </wp:positionH>
            <wp:positionV relativeFrom="page">
              <wp:posOffset>260132</wp:posOffset>
            </wp:positionV>
            <wp:extent cx="1339482" cy="9523078"/>
            <wp:effectExtent l="0" t="0" r="0" b="0"/>
            <wp:wrapNone/>
            <wp:docPr id="24" name="Image 24"/>
            <wp:cNvGraphicFramePr>
              <a:graphicFrameLocks/>
            </wp:cNvGraphicFramePr>
            <a:graphic>
              <a:graphicData uri="http://schemas.openxmlformats.org/drawingml/2006/picture">
                <pic:pic>
                  <pic:nvPicPr>
                    <pic:cNvPr id="24" name="Image 24"/>
                    <pic:cNvPicPr/>
                  </pic:nvPicPr>
                  <pic:blipFill>
                    <a:blip r:embed="rId11" cstate="print"/>
                    <a:stretch>
                      <a:fillRect/>
                    </a:stretch>
                  </pic:blipFill>
                  <pic:spPr>
                    <a:xfrm>
                      <a:off x="0" y="0"/>
                      <a:ext cx="1339482" cy="9523078"/>
                    </a:xfrm>
                    <a:prstGeom prst="rect">
                      <a:avLst/>
                    </a:prstGeom>
                  </pic:spPr>
                </pic:pic>
              </a:graphicData>
            </a:graphic>
          </wp:anchor>
        </w:drawing>
      </w:r>
    </w:p>
    <w:p>
      <w:pPr>
        <w:pStyle w:val="BodyText"/>
        <w:rPr>
          <w:rFonts w:ascii="Georgia"/>
          <w:sz w:val="20"/>
        </w:rPr>
      </w:pPr>
    </w:p>
    <w:p>
      <w:pPr>
        <w:pStyle w:val="BodyText"/>
        <w:spacing w:before="155"/>
        <w:rPr>
          <w:rFonts w:ascii="Georgia"/>
          <w:sz w:val="20"/>
        </w:rPr>
      </w:pPr>
    </w:p>
    <w:p>
      <w:pPr>
        <w:pStyle w:val="BodyText"/>
        <w:spacing w:line="20" w:lineRule="exact"/>
        <w:ind w:left="1344"/>
        <w:rPr>
          <w:rFonts w:ascii="Georgia"/>
          <w:sz w:val="2"/>
        </w:rPr>
      </w:pPr>
      <w:r>
        <w:rPr>
          <w:rFonts w:ascii="Georgia"/>
          <w:sz w:val="2"/>
        </w:rPr>
        <mc:AlternateContent>
          <mc:Choice Requires="wps">
            <w:drawing>
              <wp:inline distT="0" distB="0" distL="0" distR="0">
                <wp:extent cx="3676650" cy="19050"/>
                <wp:effectExtent l="9525" t="0" r="0" b="0"/>
                <wp:docPr id="25" name="Group 25"/>
                <wp:cNvGraphicFramePr>
                  <a:graphicFrameLocks/>
                </wp:cNvGraphicFramePr>
                <a:graphic>
                  <a:graphicData uri="http://schemas.microsoft.com/office/word/2010/wordprocessingGroup">
                    <wpg:wgp>
                      <wpg:cNvPr id="25" name="Group 25"/>
                      <wpg:cNvGrpSpPr/>
                      <wpg:grpSpPr>
                        <a:xfrm>
                          <a:off x="0" y="0"/>
                          <a:ext cx="3676650" cy="19050"/>
                          <a:chExt cx="3676650" cy="19050"/>
                        </a:xfrm>
                      </wpg:grpSpPr>
                      <wps:wsp>
                        <wps:cNvPr id="26" name="Graphic 26"/>
                        <wps:cNvSpPr/>
                        <wps:spPr>
                          <a:xfrm>
                            <a:off x="0" y="9524"/>
                            <a:ext cx="3676650" cy="1270"/>
                          </a:xfrm>
                          <a:custGeom>
                            <a:avLst/>
                            <a:gdLst/>
                            <a:ahLst/>
                            <a:cxnLst/>
                            <a:rect l="l" t="t" r="r" b="b"/>
                            <a:pathLst>
                              <a:path w="3676650" h="0">
                                <a:moveTo>
                                  <a:pt x="0" y="0"/>
                                </a:moveTo>
                                <a:lnTo>
                                  <a:pt x="3676039" y="0"/>
                                </a:lnTo>
                              </a:path>
                            </a:pathLst>
                          </a:custGeom>
                          <a:ln w="19049">
                            <a:solidFill>
                              <a:srgbClr val="325973"/>
                            </a:solidFill>
                            <a:prstDash val="solid"/>
                          </a:ln>
                        </wps:spPr>
                        <wps:bodyPr wrap="square" lIns="0" tIns="0" rIns="0" bIns="0" rtlCol="0">
                          <a:prstTxWarp prst="textNoShape">
                            <a:avLst/>
                          </a:prstTxWarp>
                          <a:noAutofit/>
                        </wps:bodyPr>
                      </wps:wsp>
                    </wpg:wgp>
                  </a:graphicData>
                </a:graphic>
              </wp:inline>
            </w:drawing>
          </mc:Choice>
          <mc:Fallback>
            <w:pict>
              <v:group style="width:289.5pt;height:1.5pt;mso-position-horizontal-relative:char;mso-position-vertical-relative:line" id="docshapegroup13" coordorigin="0,0" coordsize="5790,30">
                <v:line style="position:absolute" from="0,15" to="5789,15" stroked="true" strokeweight="1.5pt" strokecolor="#325973">
                  <v:stroke dashstyle="solid"/>
                </v:line>
              </v:group>
            </w:pict>
          </mc:Fallback>
        </mc:AlternateContent>
      </w:r>
      <w:r>
        <w:rPr>
          <w:rFonts w:ascii="Georgia"/>
          <w:sz w:val="2"/>
        </w:rPr>
      </w:r>
    </w:p>
    <w:p>
      <w:pPr>
        <w:spacing w:after="0" w:line="20" w:lineRule="exact"/>
        <w:rPr>
          <w:rFonts w:ascii="Georgia"/>
          <w:sz w:val="2"/>
        </w:rPr>
        <w:sectPr>
          <w:type w:val="continuous"/>
          <w:pgSz w:w="12240" w:h="15840"/>
          <w:pgMar w:header="0" w:footer="1100" w:top="1420" w:bottom="280" w:left="1720" w:right="960"/>
        </w:sectPr>
      </w:pPr>
    </w:p>
    <w:p>
      <w:pPr>
        <w:spacing w:before="173"/>
        <w:ind w:left="1896" w:right="0" w:firstLine="0"/>
        <w:jc w:val="left"/>
        <w:rPr>
          <w:rFonts w:ascii="Georgia"/>
          <w:sz w:val="73"/>
        </w:rPr>
      </w:pPr>
      <w:bookmarkStart w:name="_bookmark4" w:id="12"/>
      <w:bookmarkEnd w:id="12"/>
      <w:r>
        <w:rPr/>
      </w:r>
      <w:bookmarkStart w:name="_bookmark5" w:id="13"/>
      <w:bookmarkEnd w:id="13"/>
      <w:r>
        <w:rPr/>
      </w:r>
      <w:bookmarkStart w:name="_bookmark6" w:id="14"/>
      <w:bookmarkEnd w:id="14"/>
      <w:r>
        <w:rPr/>
      </w:r>
      <w:r>
        <w:rPr>
          <w:rFonts w:ascii="Georgia"/>
          <w:spacing w:val="-2"/>
          <w:sz w:val="73"/>
        </w:rPr>
        <w:t>CONTENTS</w:t>
      </w:r>
    </w:p>
    <w:p>
      <w:pPr>
        <w:pStyle w:val="BodyText"/>
        <w:rPr>
          <w:rFonts w:ascii="Georgia"/>
          <w:sz w:val="20"/>
        </w:rPr>
      </w:pPr>
    </w:p>
    <w:p>
      <w:pPr>
        <w:pStyle w:val="BodyText"/>
        <w:spacing w:before="196"/>
        <w:rPr>
          <w:rFonts w:ascii="Georgia"/>
          <w:sz w:val="20"/>
        </w:rPr>
      </w:pPr>
    </w:p>
    <w:p>
      <w:pPr>
        <w:spacing w:after="0"/>
        <w:rPr>
          <w:rFonts w:ascii="Georgia"/>
          <w:sz w:val="20"/>
        </w:rPr>
        <w:sectPr>
          <w:headerReference w:type="default" r:id="rId12"/>
          <w:footerReference w:type="default" r:id="rId13"/>
          <w:pgSz w:w="12240" w:h="15840"/>
          <w:pgMar w:header="1125" w:footer="1100" w:top="1940" w:bottom="1280" w:left="1720" w:right="960"/>
        </w:sectPr>
      </w:pPr>
    </w:p>
    <w:p>
      <w:pPr>
        <w:spacing w:line="420" w:lineRule="auto" w:before="99"/>
        <w:ind w:left="1896" w:right="1173" w:firstLine="0"/>
        <w:jc w:val="left"/>
        <w:rPr>
          <w:rFonts w:ascii="Georgia"/>
          <w:sz w:val="32"/>
        </w:rPr>
      </w:pPr>
      <w:hyperlink w:history="true" w:anchor="_bookmark623">
        <w:r>
          <w:rPr>
            <w:rFonts w:ascii="Georgia"/>
            <w:w w:val="105"/>
            <w:sz w:val="32"/>
          </w:rPr>
          <w:t>Early</w:t>
        </w:r>
        <w:r>
          <w:rPr>
            <w:rFonts w:ascii="Georgia"/>
            <w:spacing w:val="-6"/>
            <w:w w:val="105"/>
            <w:sz w:val="32"/>
          </w:rPr>
          <w:t> </w:t>
        </w:r>
        <w:r>
          <w:rPr>
            <w:rFonts w:ascii="Georgia"/>
            <w:w w:val="105"/>
            <w:sz w:val="32"/>
          </w:rPr>
          <w:t>Education</w:t>
        </w:r>
        <w:r>
          <w:rPr>
            <w:rFonts w:ascii="Georgia"/>
            <w:spacing w:val="-6"/>
            <w:w w:val="105"/>
            <w:sz w:val="32"/>
          </w:rPr>
          <w:t> </w:t>
        </w:r>
        <w:r>
          <w:rPr>
            <w:rFonts w:ascii="Georgia"/>
            <w:w w:val="105"/>
            <w:sz w:val="32"/>
          </w:rPr>
          <w:t>and</w:t>
        </w:r>
        <w:r>
          <w:rPr>
            <w:rFonts w:ascii="Georgia"/>
            <w:spacing w:val="-6"/>
            <w:w w:val="105"/>
            <w:sz w:val="32"/>
          </w:rPr>
          <w:t> </w:t>
        </w:r>
        <w:r>
          <w:rPr>
            <w:rFonts w:ascii="Georgia"/>
            <w:w w:val="105"/>
            <w:sz w:val="32"/>
          </w:rPr>
          <w:t>Care</w:t>
        </w:r>
      </w:hyperlink>
      <w:r>
        <w:rPr>
          <w:rFonts w:ascii="Georgia"/>
          <w:w w:val="105"/>
          <w:sz w:val="32"/>
        </w:rPr>
        <w:t> </w:t>
      </w:r>
      <w:r>
        <w:rPr>
          <w:rFonts w:ascii="Georgia"/>
          <w:sz w:val="32"/>
        </w:rPr>
        <w:t>E</w:t>
      </w:r>
      <w:hyperlink w:history="true" w:anchor="_bookmark624">
        <w:r>
          <w:rPr>
            <w:rFonts w:ascii="Georgia"/>
            <w:sz w:val="32"/>
          </w:rPr>
          <w:t>lementary &amp; Secondary Education</w:t>
        </w:r>
      </w:hyperlink>
      <w:r>
        <w:rPr>
          <w:rFonts w:ascii="Georgia"/>
          <w:sz w:val="32"/>
        </w:rPr>
        <w:t> </w:t>
      </w:r>
      <w:hyperlink w:history="true" w:anchor="_bookmark625">
        <w:r>
          <w:rPr>
            <w:rFonts w:ascii="Georgia"/>
            <w:w w:val="105"/>
            <w:sz w:val="32"/>
          </w:rPr>
          <w:t>Higher Education</w:t>
        </w:r>
      </w:hyperlink>
    </w:p>
    <w:p>
      <w:pPr>
        <w:spacing w:line="410" w:lineRule="auto" w:before="0"/>
        <w:ind w:left="1896" w:right="2903" w:firstLine="0"/>
        <w:jc w:val="left"/>
        <w:rPr>
          <w:rFonts w:ascii="Georgia"/>
          <w:sz w:val="32"/>
        </w:rPr>
      </w:pPr>
      <w:hyperlink w:history="true" w:anchor="_bookmark626">
        <w:r>
          <w:rPr>
            <w:rFonts w:ascii="Georgia"/>
            <w:w w:val="105"/>
            <w:sz w:val="32"/>
          </w:rPr>
          <w:t>Children &amp; Families</w:t>
        </w:r>
      </w:hyperlink>
      <w:r>
        <w:rPr>
          <w:rFonts w:ascii="Georgia"/>
          <w:w w:val="105"/>
          <w:sz w:val="32"/>
        </w:rPr>
        <w:t> </w:t>
      </w:r>
      <w:hyperlink w:history="true" w:anchor="_bookmark627">
        <w:r>
          <w:rPr>
            <w:rFonts w:ascii="Georgia"/>
            <w:sz w:val="32"/>
          </w:rPr>
          <w:t>Commission for the Blind</w:t>
        </w:r>
      </w:hyperlink>
    </w:p>
    <w:p>
      <w:pPr>
        <w:spacing w:line="422" w:lineRule="auto" w:before="1"/>
        <w:ind w:left="1896" w:right="0" w:firstLine="0"/>
        <w:jc w:val="left"/>
        <w:rPr>
          <w:rFonts w:ascii="Georgia"/>
          <w:sz w:val="32"/>
        </w:rPr>
      </w:pPr>
      <w:hyperlink w:history="true" w:anchor="_bookmark628">
        <w:r>
          <w:rPr>
            <w:rFonts w:ascii="Georgia"/>
            <w:sz w:val="32"/>
          </w:rPr>
          <w:t>Commission for the Deaf and Hard of Hearing</w:t>
        </w:r>
      </w:hyperlink>
      <w:r>
        <w:rPr>
          <w:rFonts w:ascii="Georgia"/>
          <w:sz w:val="32"/>
        </w:rPr>
        <w:t> </w:t>
      </w:r>
      <w:hyperlink w:history="true" w:anchor="_bookmark632">
        <w:r>
          <w:rPr>
            <w:rFonts w:ascii="Georgia"/>
            <w:sz w:val="32"/>
          </w:rPr>
          <w:t>Rehabilitation Commission</w:t>
        </w:r>
      </w:hyperlink>
    </w:p>
    <w:p>
      <w:pPr>
        <w:spacing w:line="417" w:lineRule="auto" w:before="0"/>
        <w:ind w:left="1896" w:right="3680" w:firstLine="0"/>
        <w:jc w:val="left"/>
        <w:rPr>
          <w:rFonts w:ascii="Georgia"/>
          <w:sz w:val="32"/>
        </w:rPr>
      </w:pPr>
      <w:hyperlink w:history="true" w:anchor="_bookmark633">
        <w:r>
          <w:rPr>
            <w:rFonts w:ascii="Georgia"/>
            <w:sz w:val="32"/>
          </w:rPr>
          <w:t>Mental</w:t>
        </w:r>
        <w:r>
          <w:rPr>
            <w:rFonts w:ascii="Georgia"/>
            <w:spacing w:val="-20"/>
            <w:sz w:val="32"/>
          </w:rPr>
          <w:t> </w:t>
        </w:r>
        <w:r>
          <w:rPr>
            <w:rFonts w:ascii="Georgia"/>
            <w:sz w:val="32"/>
          </w:rPr>
          <w:t>Health</w:t>
        </w:r>
      </w:hyperlink>
      <w:r>
        <w:rPr>
          <w:rFonts w:ascii="Georgia"/>
          <w:sz w:val="32"/>
        </w:rPr>
        <w:t> </w:t>
      </w:r>
      <w:hyperlink w:history="true" w:anchor="_bookmark635">
        <w:r>
          <w:rPr>
            <w:rFonts w:ascii="Georgia"/>
            <w:sz w:val="32"/>
          </w:rPr>
          <w:t>Public Health</w:t>
        </w:r>
      </w:hyperlink>
      <w:r>
        <w:rPr>
          <w:rFonts w:ascii="Georgia"/>
          <w:sz w:val="32"/>
        </w:rPr>
        <w:t> </w:t>
      </w:r>
      <w:hyperlink w:history="true" w:anchor="_bookmark637">
        <w:r>
          <w:rPr>
            <w:rFonts w:ascii="Georgia"/>
            <w:spacing w:val="-2"/>
            <w:sz w:val="32"/>
          </w:rPr>
          <w:t>MassHealth</w:t>
        </w:r>
      </w:hyperlink>
    </w:p>
    <w:p>
      <w:pPr>
        <w:spacing w:line="424" w:lineRule="auto" w:before="0"/>
        <w:ind w:left="1896" w:right="1173" w:firstLine="0"/>
        <w:jc w:val="left"/>
        <w:rPr>
          <w:rFonts w:ascii="Georgia"/>
          <w:sz w:val="32"/>
        </w:rPr>
      </w:pPr>
      <w:r>
        <w:rPr>
          <w:rFonts w:ascii="Georgia"/>
          <w:sz w:val="32"/>
        </w:rPr>
        <w:t>O</w:t>
      </w:r>
      <w:hyperlink w:history="true" w:anchor="_bookmark638">
        <w:r>
          <w:rPr>
            <w:rFonts w:ascii="Georgia"/>
            <w:sz w:val="32"/>
          </w:rPr>
          <w:t>ffice for Refugees and Immigrants</w:t>
        </w:r>
      </w:hyperlink>
      <w:r>
        <w:rPr>
          <w:rFonts w:ascii="Georgia"/>
          <w:sz w:val="32"/>
        </w:rPr>
        <w:t> </w:t>
      </w:r>
      <w:hyperlink w:history="true" w:anchor="_bookmark639">
        <w:r>
          <w:rPr>
            <w:rFonts w:ascii="Georgia"/>
            <w:sz w:val="32"/>
          </w:rPr>
          <w:t>Transitional Assistance</w:t>
        </w:r>
      </w:hyperlink>
    </w:p>
    <w:p>
      <w:pPr>
        <w:spacing w:line="339" w:lineRule="exact" w:before="0"/>
        <w:ind w:left="1896" w:right="0" w:firstLine="0"/>
        <w:jc w:val="left"/>
        <w:rPr>
          <w:rFonts w:ascii="Georgia"/>
          <w:sz w:val="32"/>
        </w:rPr>
      </w:pPr>
      <w:hyperlink w:history="true" w:anchor="_bookmark643">
        <w:r>
          <w:rPr>
            <w:rFonts w:ascii="Georgia"/>
            <w:sz w:val="32"/>
          </w:rPr>
          <w:t>Youth</w:t>
        </w:r>
        <w:r>
          <w:rPr>
            <w:rFonts w:ascii="Georgia"/>
            <w:spacing w:val="12"/>
            <w:sz w:val="32"/>
          </w:rPr>
          <w:t> </w:t>
        </w:r>
        <w:r>
          <w:rPr>
            <w:rFonts w:ascii="Georgia"/>
            <w:spacing w:val="-2"/>
            <w:sz w:val="32"/>
          </w:rPr>
          <w:t>Services</w:t>
        </w:r>
      </w:hyperlink>
    </w:p>
    <w:p>
      <w:pPr>
        <w:spacing w:before="275"/>
        <w:ind w:left="1896" w:right="0" w:firstLine="0"/>
        <w:jc w:val="left"/>
        <w:rPr>
          <w:rFonts w:ascii="Georgia"/>
          <w:sz w:val="32"/>
        </w:rPr>
      </w:pPr>
      <w:hyperlink w:history="true" w:anchor="_bookmark644">
        <w:r>
          <w:rPr>
            <w:rFonts w:ascii="Georgia"/>
            <w:sz w:val="32"/>
          </w:rPr>
          <w:t>Public</w:t>
        </w:r>
        <w:r>
          <w:rPr>
            <w:rFonts w:ascii="Georgia"/>
            <w:spacing w:val="26"/>
            <w:sz w:val="32"/>
          </w:rPr>
          <w:t> </w:t>
        </w:r>
        <w:r>
          <w:rPr>
            <w:rFonts w:ascii="Georgia"/>
            <w:sz w:val="32"/>
          </w:rPr>
          <w:t>Safety</w:t>
        </w:r>
        <w:r>
          <w:rPr>
            <w:rFonts w:ascii="Georgia"/>
            <w:spacing w:val="27"/>
            <w:sz w:val="32"/>
          </w:rPr>
          <w:t> </w:t>
        </w:r>
        <w:r>
          <w:rPr>
            <w:rFonts w:ascii="Georgia"/>
            <w:sz w:val="32"/>
          </w:rPr>
          <w:t>&amp;</w:t>
        </w:r>
        <w:r>
          <w:rPr>
            <w:rFonts w:ascii="Georgia"/>
            <w:spacing w:val="27"/>
            <w:sz w:val="32"/>
          </w:rPr>
          <w:t> </w:t>
        </w:r>
        <w:r>
          <w:rPr>
            <w:rFonts w:ascii="Georgia"/>
            <w:spacing w:val="-2"/>
            <w:sz w:val="32"/>
          </w:rPr>
          <w:t>Security</w:t>
        </w:r>
      </w:hyperlink>
    </w:p>
    <w:p>
      <w:pPr>
        <w:spacing w:before="99"/>
        <w:ind w:left="398" w:right="0" w:firstLine="0"/>
        <w:jc w:val="left"/>
        <w:rPr>
          <w:rFonts w:ascii="Georgia"/>
          <w:sz w:val="32"/>
        </w:rPr>
      </w:pPr>
      <w:r>
        <w:rPr/>
        <w:br w:type="column"/>
      </w:r>
      <w:hyperlink w:history="true" w:anchor="_bookmark623">
        <w:r>
          <w:rPr>
            <w:rFonts w:ascii="Georgia"/>
            <w:spacing w:val="-5"/>
            <w:sz w:val="32"/>
          </w:rPr>
          <w:t>245</w:t>
        </w:r>
      </w:hyperlink>
    </w:p>
    <w:p>
      <w:pPr>
        <w:spacing w:before="279"/>
        <w:ind w:left="394" w:right="0" w:firstLine="0"/>
        <w:jc w:val="left"/>
        <w:rPr>
          <w:rFonts w:ascii="Georgia"/>
          <w:sz w:val="32"/>
        </w:rPr>
      </w:pPr>
      <w:hyperlink w:history="true" w:anchor="_bookmark624">
        <w:r>
          <w:rPr>
            <w:rFonts w:ascii="Georgia"/>
            <w:spacing w:val="-5"/>
            <w:sz w:val="32"/>
          </w:rPr>
          <w:t>249</w:t>
        </w:r>
      </w:hyperlink>
    </w:p>
    <w:p>
      <w:pPr>
        <w:spacing w:before="248"/>
        <w:ind w:left="400" w:right="0" w:firstLine="0"/>
        <w:jc w:val="left"/>
        <w:rPr>
          <w:rFonts w:ascii="Georgia"/>
          <w:sz w:val="32"/>
        </w:rPr>
      </w:pPr>
      <w:hyperlink w:history="true" w:anchor="_bookmark625">
        <w:r>
          <w:rPr>
            <w:rFonts w:ascii="Georgia"/>
            <w:spacing w:val="-5"/>
            <w:sz w:val="32"/>
          </w:rPr>
          <w:t>255</w:t>
        </w:r>
      </w:hyperlink>
    </w:p>
    <w:p>
      <w:pPr>
        <w:spacing w:before="270"/>
        <w:ind w:left="395" w:right="0" w:firstLine="0"/>
        <w:jc w:val="left"/>
        <w:rPr>
          <w:rFonts w:ascii="Georgia"/>
          <w:sz w:val="32"/>
        </w:rPr>
      </w:pPr>
      <w:hyperlink w:history="true" w:anchor="_bookmark626">
        <w:r>
          <w:rPr>
            <w:rFonts w:ascii="Georgia"/>
            <w:spacing w:val="-5"/>
            <w:sz w:val="32"/>
          </w:rPr>
          <w:t>258</w:t>
        </w:r>
      </w:hyperlink>
    </w:p>
    <w:p>
      <w:pPr>
        <w:spacing w:before="261"/>
        <w:ind w:left="406" w:right="0" w:firstLine="0"/>
        <w:jc w:val="left"/>
        <w:rPr>
          <w:rFonts w:ascii="Georgia"/>
          <w:sz w:val="32"/>
        </w:rPr>
      </w:pPr>
      <w:hyperlink w:history="true" w:anchor="_bookmark627">
        <w:r>
          <w:rPr>
            <w:rFonts w:ascii="Georgia"/>
            <w:spacing w:val="-5"/>
            <w:sz w:val="32"/>
          </w:rPr>
          <w:t>267</w:t>
        </w:r>
      </w:hyperlink>
    </w:p>
    <w:p>
      <w:pPr>
        <w:spacing w:before="266"/>
        <w:ind w:left="392" w:right="0" w:firstLine="0"/>
        <w:jc w:val="left"/>
        <w:rPr>
          <w:rFonts w:ascii="Georgia"/>
          <w:sz w:val="32"/>
        </w:rPr>
      </w:pPr>
      <w:hyperlink w:history="true" w:anchor="_bookmark628">
        <w:r>
          <w:rPr>
            <w:rFonts w:ascii="Georgia"/>
            <w:spacing w:val="-5"/>
            <w:sz w:val="32"/>
          </w:rPr>
          <w:t>269</w:t>
        </w:r>
      </w:hyperlink>
    </w:p>
    <w:p>
      <w:pPr>
        <w:spacing w:before="270"/>
        <w:ind w:left="408" w:right="0" w:firstLine="0"/>
        <w:jc w:val="left"/>
        <w:rPr>
          <w:rFonts w:ascii="Georgia"/>
          <w:sz w:val="32"/>
        </w:rPr>
      </w:pPr>
      <w:hyperlink w:history="true" w:anchor="_bookmark632">
        <w:r>
          <w:rPr>
            <w:rFonts w:ascii="Georgia"/>
            <w:spacing w:val="-5"/>
            <w:w w:val="95"/>
            <w:sz w:val="32"/>
          </w:rPr>
          <w:t>272</w:t>
        </w:r>
      </w:hyperlink>
    </w:p>
    <w:p>
      <w:pPr>
        <w:spacing w:before="275"/>
        <w:ind w:left="409" w:right="0" w:firstLine="0"/>
        <w:jc w:val="left"/>
        <w:rPr>
          <w:rFonts w:ascii="Georgia"/>
          <w:sz w:val="32"/>
        </w:rPr>
      </w:pPr>
      <w:hyperlink w:history="true" w:anchor="_bookmark633">
        <w:r>
          <w:rPr>
            <w:rFonts w:ascii="Georgia"/>
            <w:spacing w:val="-5"/>
            <w:sz w:val="32"/>
          </w:rPr>
          <w:t>275</w:t>
        </w:r>
      </w:hyperlink>
    </w:p>
    <w:p>
      <w:pPr>
        <w:spacing w:before="266"/>
        <w:ind w:left="379" w:right="0" w:firstLine="0"/>
        <w:jc w:val="left"/>
        <w:rPr>
          <w:rFonts w:ascii="Georgia"/>
          <w:sz w:val="32"/>
        </w:rPr>
      </w:pPr>
      <w:hyperlink w:history="true" w:anchor="_bookmark635">
        <w:r>
          <w:rPr>
            <w:rFonts w:ascii="Georgia"/>
            <w:spacing w:val="-5"/>
            <w:sz w:val="32"/>
          </w:rPr>
          <w:t>280</w:t>
        </w:r>
      </w:hyperlink>
    </w:p>
    <w:p>
      <w:pPr>
        <w:spacing w:before="279"/>
        <w:ind w:left="394" w:right="0" w:firstLine="0"/>
        <w:jc w:val="left"/>
        <w:rPr>
          <w:rFonts w:ascii="Georgia"/>
          <w:sz w:val="32"/>
        </w:rPr>
      </w:pPr>
      <w:hyperlink w:history="true" w:anchor="_bookmark637">
        <w:r>
          <w:rPr>
            <w:rFonts w:ascii="Georgia"/>
            <w:spacing w:val="-5"/>
            <w:w w:val="95"/>
            <w:sz w:val="32"/>
          </w:rPr>
          <w:t>284</w:t>
        </w:r>
      </w:hyperlink>
    </w:p>
    <w:p>
      <w:pPr>
        <w:spacing w:before="256"/>
        <w:ind w:left="391" w:right="0" w:firstLine="0"/>
        <w:jc w:val="left"/>
        <w:rPr>
          <w:rFonts w:ascii="Georgia"/>
          <w:sz w:val="32"/>
        </w:rPr>
      </w:pPr>
      <w:hyperlink w:history="true" w:anchor="_bookmark638">
        <w:r>
          <w:rPr>
            <w:rFonts w:ascii="Georgia"/>
            <w:spacing w:val="-5"/>
            <w:w w:val="95"/>
            <w:sz w:val="32"/>
          </w:rPr>
          <w:t>288</w:t>
        </w:r>
      </w:hyperlink>
    </w:p>
    <w:p>
      <w:pPr>
        <w:spacing w:before="279"/>
        <w:ind w:left="395" w:right="0" w:firstLine="0"/>
        <w:jc w:val="left"/>
        <w:rPr>
          <w:rFonts w:ascii="Georgia"/>
          <w:sz w:val="32"/>
        </w:rPr>
      </w:pPr>
      <w:hyperlink w:history="true" w:anchor="_bookmark639">
        <w:r>
          <w:rPr>
            <w:rFonts w:ascii="Georgia"/>
            <w:spacing w:val="-5"/>
            <w:sz w:val="32"/>
          </w:rPr>
          <w:t>292</w:t>
        </w:r>
      </w:hyperlink>
    </w:p>
    <w:p>
      <w:pPr>
        <w:spacing w:before="280"/>
        <w:ind w:left="392" w:right="0" w:firstLine="0"/>
        <w:jc w:val="left"/>
        <w:rPr>
          <w:rFonts w:ascii="Georgia"/>
          <w:sz w:val="32"/>
        </w:rPr>
      </w:pPr>
      <w:hyperlink w:history="true" w:anchor="_bookmark643">
        <w:r>
          <w:rPr>
            <w:rFonts w:ascii="Georgia"/>
            <w:spacing w:val="-5"/>
            <w:sz w:val="32"/>
          </w:rPr>
          <w:t>296</w:t>
        </w:r>
      </w:hyperlink>
    </w:p>
    <w:p>
      <w:pPr>
        <w:spacing w:before="255"/>
        <w:ind w:left="394" w:right="0" w:firstLine="0"/>
        <w:jc w:val="left"/>
        <w:rPr>
          <w:rFonts w:ascii="Georgia"/>
          <w:sz w:val="32"/>
        </w:rPr>
      </w:pPr>
      <w:hyperlink w:history="true" w:anchor="_bookmark644">
        <w:r>
          <w:rPr>
            <w:rFonts w:ascii="Georgia"/>
            <w:spacing w:val="-5"/>
            <w:sz w:val="32"/>
          </w:rPr>
          <w:t>301</w:t>
        </w:r>
      </w:hyperlink>
    </w:p>
    <w:p>
      <w:pPr>
        <w:spacing w:after="0"/>
        <w:jc w:val="left"/>
        <w:rPr>
          <w:rFonts w:ascii="Georgia"/>
          <w:sz w:val="32"/>
        </w:rPr>
        <w:sectPr>
          <w:type w:val="continuous"/>
          <w:pgSz w:w="12240" w:h="15840"/>
          <w:pgMar w:header="1125" w:footer="1100" w:top="1420" w:bottom="280" w:left="1720" w:right="960"/>
          <w:cols w:num="2" w:equalWidth="0">
            <w:col w:w="8471" w:space="40"/>
            <w:col w:w="1049"/>
          </w:cols>
        </w:sectPr>
      </w:pPr>
    </w:p>
    <w:p>
      <w:pPr>
        <w:pStyle w:val="BodyText"/>
        <w:rPr>
          <w:rFonts w:ascii="Georgia"/>
          <w:sz w:val="20"/>
        </w:rPr>
      </w:pPr>
      <w:r>
        <w:rPr/>
        <w:drawing>
          <wp:anchor distT="0" distB="0" distL="0" distR="0" allowOverlap="1" layoutInCell="1" locked="0" behindDoc="0" simplePos="0" relativeHeight="15731200">
            <wp:simplePos x="0" y="0"/>
            <wp:positionH relativeFrom="page">
              <wp:posOffset>493955</wp:posOffset>
            </wp:positionH>
            <wp:positionV relativeFrom="page">
              <wp:posOffset>260132</wp:posOffset>
            </wp:positionV>
            <wp:extent cx="1339482" cy="9523078"/>
            <wp:effectExtent l="0" t="0" r="0" b="0"/>
            <wp:wrapNone/>
            <wp:docPr id="29" name="Image 29"/>
            <wp:cNvGraphicFramePr>
              <a:graphicFrameLocks/>
            </wp:cNvGraphicFramePr>
            <a:graphic>
              <a:graphicData uri="http://schemas.openxmlformats.org/drawingml/2006/picture">
                <pic:pic>
                  <pic:nvPicPr>
                    <pic:cNvPr id="29" name="Image 29"/>
                    <pic:cNvPicPr/>
                  </pic:nvPicPr>
                  <pic:blipFill>
                    <a:blip r:embed="rId11" cstate="print"/>
                    <a:stretch>
                      <a:fillRect/>
                    </a:stretch>
                  </pic:blipFill>
                  <pic:spPr>
                    <a:xfrm>
                      <a:off x="0" y="0"/>
                      <a:ext cx="1339482" cy="9523078"/>
                    </a:xfrm>
                    <a:prstGeom prst="rect">
                      <a:avLst/>
                    </a:prstGeom>
                  </pic:spPr>
                </pic:pic>
              </a:graphicData>
            </a:graphic>
          </wp:anchor>
        </w:drawing>
      </w:r>
    </w:p>
    <w:p>
      <w:pPr>
        <w:pStyle w:val="BodyText"/>
        <w:rPr>
          <w:rFonts w:ascii="Georgia"/>
          <w:sz w:val="20"/>
        </w:rPr>
      </w:pPr>
    </w:p>
    <w:p>
      <w:pPr>
        <w:pStyle w:val="BodyText"/>
        <w:rPr>
          <w:rFonts w:ascii="Georgia"/>
          <w:sz w:val="20"/>
        </w:rPr>
      </w:pPr>
    </w:p>
    <w:p>
      <w:pPr>
        <w:pStyle w:val="BodyText"/>
        <w:rPr>
          <w:rFonts w:ascii="Georgia"/>
          <w:sz w:val="20"/>
        </w:rPr>
      </w:pPr>
    </w:p>
    <w:p>
      <w:pPr>
        <w:pStyle w:val="BodyText"/>
        <w:rPr>
          <w:rFonts w:ascii="Georgia"/>
          <w:sz w:val="20"/>
        </w:rPr>
      </w:pPr>
    </w:p>
    <w:p>
      <w:pPr>
        <w:pStyle w:val="BodyText"/>
        <w:rPr>
          <w:rFonts w:ascii="Georgia"/>
          <w:sz w:val="20"/>
        </w:rPr>
      </w:pPr>
    </w:p>
    <w:p>
      <w:pPr>
        <w:pStyle w:val="BodyText"/>
        <w:rPr>
          <w:rFonts w:ascii="Georgia"/>
          <w:sz w:val="20"/>
        </w:rPr>
      </w:pPr>
    </w:p>
    <w:p>
      <w:pPr>
        <w:pStyle w:val="BodyText"/>
        <w:spacing w:before="216"/>
        <w:rPr>
          <w:rFonts w:ascii="Georgia"/>
          <w:sz w:val="20"/>
        </w:rPr>
      </w:pPr>
    </w:p>
    <w:p>
      <w:pPr>
        <w:pStyle w:val="BodyText"/>
        <w:spacing w:line="20" w:lineRule="exact"/>
        <w:ind w:left="1344"/>
        <w:rPr>
          <w:rFonts w:ascii="Georgia"/>
          <w:sz w:val="2"/>
        </w:rPr>
      </w:pPr>
      <w:r>
        <w:rPr>
          <w:rFonts w:ascii="Georgia"/>
          <w:sz w:val="2"/>
        </w:rPr>
        <mc:AlternateContent>
          <mc:Choice Requires="wps">
            <w:drawing>
              <wp:inline distT="0" distB="0" distL="0" distR="0">
                <wp:extent cx="3676650" cy="19050"/>
                <wp:effectExtent l="9525" t="0" r="0" b="0"/>
                <wp:docPr id="30" name="Group 30"/>
                <wp:cNvGraphicFramePr>
                  <a:graphicFrameLocks/>
                </wp:cNvGraphicFramePr>
                <a:graphic>
                  <a:graphicData uri="http://schemas.microsoft.com/office/word/2010/wordprocessingGroup">
                    <wpg:wgp>
                      <wpg:cNvPr id="30" name="Group 30"/>
                      <wpg:cNvGrpSpPr/>
                      <wpg:grpSpPr>
                        <a:xfrm>
                          <a:off x="0" y="0"/>
                          <a:ext cx="3676650" cy="19050"/>
                          <a:chExt cx="3676650" cy="19050"/>
                        </a:xfrm>
                      </wpg:grpSpPr>
                      <wps:wsp>
                        <wps:cNvPr id="31" name="Graphic 31"/>
                        <wps:cNvSpPr/>
                        <wps:spPr>
                          <a:xfrm>
                            <a:off x="0" y="9524"/>
                            <a:ext cx="3676650" cy="1270"/>
                          </a:xfrm>
                          <a:custGeom>
                            <a:avLst/>
                            <a:gdLst/>
                            <a:ahLst/>
                            <a:cxnLst/>
                            <a:rect l="l" t="t" r="r" b="b"/>
                            <a:pathLst>
                              <a:path w="3676650" h="0">
                                <a:moveTo>
                                  <a:pt x="0" y="0"/>
                                </a:moveTo>
                                <a:lnTo>
                                  <a:pt x="3676039" y="0"/>
                                </a:lnTo>
                              </a:path>
                            </a:pathLst>
                          </a:custGeom>
                          <a:ln w="19049">
                            <a:solidFill>
                              <a:srgbClr val="325973"/>
                            </a:solidFill>
                            <a:prstDash val="solid"/>
                          </a:ln>
                        </wps:spPr>
                        <wps:bodyPr wrap="square" lIns="0" tIns="0" rIns="0" bIns="0" rtlCol="0">
                          <a:prstTxWarp prst="textNoShape">
                            <a:avLst/>
                          </a:prstTxWarp>
                          <a:noAutofit/>
                        </wps:bodyPr>
                      </wps:wsp>
                    </wpg:wgp>
                  </a:graphicData>
                </a:graphic>
              </wp:inline>
            </w:drawing>
          </mc:Choice>
          <mc:Fallback>
            <w:pict>
              <v:group style="width:289.5pt;height:1.5pt;mso-position-horizontal-relative:char;mso-position-vertical-relative:line" id="docshapegroup16" coordorigin="0,0" coordsize="5790,30">
                <v:line style="position:absolute" from="0,15" to="5789,15" stroked="true" strokeweight="1.5pt" strokecolor="#325973">
                  <v:stroke dashstyle="solid"/>
                </v:line>
              </v:group>
            </w:pict>
          </mc:Fallback>
        </mc:AlternateContent>
      </w:r>
      <w:r>
        <w:rPr>
          <w:rFonts w:ascii="Georgia"/>
          <w:sz w:val="2"/>
        </w:rPr>
      </w:r>
    </w:p>
    <w:p>
      <w:pPr>
        <w:spacing w:after="0" w:line="20" w:lineRule="exact"/>
        <w:rPr>
          <w:rFonts w:ascii="Georgia"/>
          <w:sz w:val="2"/>
        </w:rPr>
        <w:sectPr>
          <w:type w:val="continuous"/>
          <w:pgSz w:w="12240" w:h="15840"/>
          <w:pgMar w:header="1125" w:footer="1100" w:top="1420" w:bottom="280" w:left="1720" w:right="960"/>
        </w:sectPr>
      </w:pPr>
    </w:p>
    <w:p>
      <w:pPr>
        <w:spacing w:before="173"/>
        <w:ind w:left="324" w:right="0" w:firstLine="0"/>
        <w:jc w:val="center"/>
        <w:rPr>
          <w:rFonts w:ascii="Georgia"/>
          <w:sz w:val="73"/>
        </w:rPr>
      </w:pPr>
      <w:bookmarkStart w:name="_bookmark7" w:id="15"/>
      <w:bookmarkEnd w:id="15"/>
      <w:r>
        <w:rPr/>
      </w:r>
      <w:r>
        <w:rPr>
          <w:rFonts w:ascii="Georgia"/>
          <w:spacing w:val="-19"/>
          <w:sz w:val="73"/>
        </w:rPr>
        <w:t>CONTENTS</w:t>
      </w:r>
      <w:r>
        <w:rPr>
          <w:rFonts w:ascii="Georgia"/>
          <w:spacing w:val="-17"/>
          <w:sz w:val="73"/>
        </w:rPr>
        <w:t> </w:t>
      </w:r>
      <w:r>
        <w:rPr>
          <w:rFonts w:ascii="Georgia"/>
          <w:spacing w:val="-2"/>
          <w:sz w:val="73"/>
        </w:rPr>
        <w:t>CONT.</w:t>
      </w:r>
    </w:p>
    <w:p>
      <w:pPr>
        <w:pStyle w:val="BodyText"/>
        <w:rPr>
          <w:rFonts w:ascii="Georgia"/>
          <w:sz w:val="20"/>
        </w:rPr>
      </w:pPr>
    </w:p>
    <w:p>
      <w:pPr>
        <w:pStyle w:val="BodyText"/>
        <w:spacing w:before="225"/>
        <w:rPr>
          <w:rFonts w:ascii="Georgia"/>
          <w:sz w:val="20"/>
        </w:rPr>
      </w:pPr>
    </w:p>
    <w:p>
      <w:pPr>
        <w:spacing w:after="0"/>
        <w:rPr>
          <w:rFonts w:ascii="Georgia"/>
          <w:sz w:val="20"/>
        </w:rPr>
        <w:sectPr>
          <w:pgSz w:w="12240" w:h="15840"/>
          <w:pgMar w:header="1125" w:footer="1100" w:top="1940" w:bottom="1280" w:left="1720" w:right="960"/>
        </w:sectPr>
      </w:pPr>
    </w:p>
    <w:p>
      <w:pPr>
        <w:spacing w:line="372" w:lineRule="auto" w:before="152"/>
        <w:ind w:left="1896" w:right="0" w:firstLine="0"/>
        <w:jc w:val="left"/>
        <w:rPr>
          <w:rFonts w:ascii="Georgia"/>
          <w:sz w:val="32"/>
        </w:rPr>
      </w:pPr>
      <w:hyperlink w:history="true" w:anchor="_bookmark645">
        <w:r>
          <w:rPr>
            <w:rFonts w:ascii="Georgia"/>
            <w:sz w:val="32"/>
          </w:rPr>
          <w:t>Housing &amp; Livable Communities</w:t>
        </w:r>
      </w:hyperlink>
      <w:r>
        <w:rPr>
          <w:rFonts w:ascii="Georgia"/>
          <w:spacing w:val="80"/>
          <w:w w:val="150"/>
          <w:sz w:val="32"/>
        </w:rPr>
        <w:t> </w:t>
      </w:r>
      <w:hyperlink w:history="true" w:anchor="_bookmark647">
        <w:r>
          <w:rPr>
            <w:rFonts w:ascii="Georgia"/>
            <w:sz w:val="32"/>
          </w:rPr>
          <w:t>Board of Library Commissioners</w:t>
        </w:r>
      </w:hyperlink>
      <w:r>
        <w:rPr>
          <w:rFonts w:ascii="Georgia"/>
          <w:sz w:val="32"/>
        </w:rPr>
        <w:t> </w:t>
      </w:r>
      <w:hyperlink w:history="true" w:anchor="_bookmark654">
        <w:r>
          <w:rPr>
            <w:rFonts w:ascii="Georgia"/>
            <w:sz w:val="32"/>
          </w:rPr>
          <w:t>Committee for Public Counsel Services</w:t>
        </w:r>
      </w:hyperlink>
    </w:p>
    <w:p>
      <w:pPr>
        <w:spacing w:before="99"/>
        <w:ind w:left="1374" w:right="0" w:firstLine="0"/>
        <w:jc w:val="left"/>
        <w:rPr>
          <w:rFonts w:ascii="Georgia"/>
          <w:sz w:val="32"/>
        </w:rPr>
      </w:pPr>
      <w:r>
        <w:rPr/>
        <w:br w:type="column"/>
      </w:r>
      <w:hyperlink w:history="true" w:anchor="_bookmark645">
        <w:r>
          <w:rPr>
            <w:rFonts w:ascii="Georgia"/>
            <w:spacing w:val="-5"/>
            <w:sz w:val="32"/>
          </w:rPr>
          <w:t>303</w:t>
        </w:r>
      </w:hyperlink>
    </w:p>
    <w:p>
      <w:pPr>
        <w:spacing w:before="167"/>
        <w:ind w:left="1370" w:right="0" w:firstLine="0"/>
        <w:jc w:val="left"/>
        <w:rPr>
          <w:rFonts w:ascii="Georgia"/>
          <w:sz w:val="32"/>
        </w:rPr>
      </w:pPr>
      <w:hyperlink w:history="true" w:anchor="_bookmark647">
        <w:r>
          <w:rPr>
            <w:rFonts w:ascii="Georgia"/>
            <w:spacing w:val="-5"/>
            <w:sz w:val="32"/>
          </w:rPr>
          <w:t>308</w:t>
        </w:r>
      </w:hyperlink>
    </w:p>
    <w:p>
      <w:pPr>
        <w:spacing w:before="266"/>
        <w:ind w:left="1409" w:right="0" w:firstLine="0"/>
        <w:jc w:val="left"/>
        <w:rPr>
          <w:rFonts w:ascii="Georgia"/>
          <w:sz w:val="32"/>
        </w:rPr>
      </w:pPr>
      <w:hyperlink w:history="true" w:anchor="_bookmark654">
        <w:r>
          <w:rPr>
            <w:rFonts w:ascii="Georgia"/>
            <w:spacing w:val="-5"/>
            <w:sz w:val="32"/>
          </w:rPr>
          <w:t>311</w:t>
        </w:r>
      </w:hyperlink>
    </w:p>
    <w:p>
      <w:pPr>
        <w:spacing w:after="0"/>
        <w:jc w:val="left"/>
        <w:rPr>
          <w:rFonts w:ascii="Georgia"/>
          <w:sz w:val="32"/>
        </w:rPr>
        <w:sectPr>
          <w:type w:val="continuous"/>
          <w:pgSz w:w="12240" w:h="15840"/>
          <w:pgMar w:header="1125" w:footer="1100" w:top="1420" w:bottom="280" w:left="1720" w:right="960"/>
          <w:cols w:num="2" w:equalWidth="0">
            <w:col w:w="7481" w:space="40"/>
            <w:col w:w="2039"/>
          </w:cols>
        </w:sectPr>
      </w:pPr>
    </w:p>
    <w:p>
      <w:pPr>
        <w:tabs>
          <w:tab w:pos="9369" w:val="right" w:leader="none"/>
        </w:tabs>
        <w:spacing w:before="41"/>
        <w:ind w:left="1896" w:right="0" w:firstLine="0"/>
        <w:jc w:val="left"/>
        <w:rPr>
          <w:rFonts w:ascii="Georgia"/>
          <w:sz w:val="32"/>
        </w:rPr>
      </w:pPr>
      <w:r>
        <w:rPr/>
        <w:drawing>
          <wp:anchor distT="0" distB="0" distL="0" distR="0" allowOverlap="1" layoutInCell="1" locked="0" behindDoc="0" simplePos="0" relativeHeight="15732224">
            <wp:simplePos x="0" y="0"/>
            <wp:positionH relativeFrom="page">
              <wp:posOffset>493955</wp:posOffset>
            </wp:positionH>
            <wp:positionV relativeFrom="page">
              <wp:posOffset>260132</wp:posOffset>
            </wp:positionV>
            <wp:extent cx="1339482" cy="9523078"/>
            <wp:effectExtent l="0" t="0" r="0" b="0"/>
            <wp:wrapNone/>
            <wp:docPr id="32" name="Image 32"/>
            <wp:cNvGraphicFramePr>
              <a:graphicFrameLocks/>
            </wp:cNvGraphicFramePr>
            <a:graphic>
              <a:graphicData uri="http://schemas.openxmlformats.org/drawingml/2006/picture">
                <pic:pic>
                  <pic:nvPicPr>
                    <pic:cNvPr id="32" name="Image 32"/>
                    <pic:cNvPicPr/>
                  </pic:nvPicPr>
                  <pic:blipFill>
                    <a:blip r:embed="rId11" cstate="print"/>
                    <a:stretch>
                      <a:fillRect/>
                    </a:stretch>
                  </pic:blipFill>
                  <pic:spPr>
                    <a:xfrm>
                      <a:off x="0" y="0"/>
                      <a:ext cx="1339482" cy="9523078"/>
                    </a:xfrm>
                    <a:prstGeom prst="rect">
                      <a:avLst/>
                    </a:prstGeom>
                  </pic:spPr>
                </pic:pic>
              </a:graphicData>
            </a:graphic>
          </wp:anchor>
        </w:drawing>
      </w:r>
      <w:hyperlink w:history="true" w:anchor="_bookmark657">
        <w:r>
          <w:rPr>
            <w:rFonts w:ascii="Georgia"/>
            <w:sz w:val="32"/>
          </w:rPr>
          <w:t>MassHire</w:t>
        </w:r>
        <w:r>
          <w:rPr>
            <w:rFonts w:ascii="Georgia"/>
            <w:spacing w:val="-4"/>
            <w:sz w:val="32"/>
          </w:rPr>
          <w:t> </w:t>
        </w:r>
        <w:r>
          <w:rPr>
            <w:rFonts w:ascii="Georgia"/>
            <w:sz w:val="32"/>
          </w:rPr>
          <w:t>-</w:t>
        </w:r>
        <w:r>
          <w:rPr>
            <w:rFonts w:ascii="Georgia"/>
            <w:spacing w:val="-4"/>
            <w:sz w:val="32"/>
          </w:rPr>
          <w:t> </w:t>
        </w:r>
        <w:r>
          <w:rPr>
            <w:rFonts w:ascii="Georgia"/>
            <w:sz w:val="32"/>
          </w:rPr>
          <w:t>Career</w:t>
        </w:r>
        <w:r>
          <w:rPr>
            <w:rFonts w:ascii="Georgia"/>
            <w:spacing w:val="-3"/>
            <w:sz w:val="32"/>
          </w:rPr>
          <w:t> </w:t>
        </w:r>
        <w:r>
          <w:rPr>
            <w:rFonts w:ascii="Georgia"/>
            <w:spacing w:val="-2"/>
            <w:sz w:val="32"/>
          </w:rPr>
          <w:t>Services</w:t>
        </w:r>
        <w:r>
          <w:rPr>
            <w:rFonts w:ascii="Times New Roman"/>
            <w:sz w:val="32"/>
          </w:rPr>
          <w:tab/>
        </w:r>
        <w:r>
          <w:rPr>
            <w:rFonts w:ascii="Georgia"/>
            <w:spacing w:val="-5"/>
            <w:position w:val="1"/>
            <w:sz w:val="32"/>
          </w:rPr>
          <w:t>315</w:t>
        </w:r>
      </w:hyperlink>
    </w:p>
    <w:p>
      <w:pPr>
        <w:tabs>
          <w:tab w:pos="9374" w:val="right" w:leader="none"/>
        </w:tabs>
        <w:spacing w:before="260"/>
        <w:ind w:left="1896" w:right="0" w:firstLine="0"/>
        <w:jc w:val="left"/>
        <w:rPr>
          <w:rFonts w:ascii="Georgia"/>
          <w:sz w:val="32"/>
        </w:rPr>
      </w:pPr>
      <w:hyperlink w:history="true" w:anchor="_bookmark660">
        <w:r>
          <w:rPr>
            <w:rFonts w:ascii="Georgia"/>
            <w:sz w:val="32"/>
          </w:rPr>
          <w:t>Office</w:t>
        </w:r>
        <w:r>
          <w:rPr>
            <w:rFonts w:ascii="Georgia"/>
            <w:spacing w:val="5"/>
            <w:sz w:val="32"/>
          </w:rPr>
          <w:t> </w:t>
        </w:r>
        <w:r>
          <w:rPr>
            <w:rFonts w:ascii="Georgia"/>
            <w:sz w:val="32"/>
          </w:rPr>
          <w:t>of</w:t>
        </w:r>
        <w:r>
          <w:rPr>
            <w:rFonts w:ascii="Georgia"/>
            <w:spacing w:val="5"/>
            <w:sz w:val="32"/>
          </w:rPr>
          <w:t> </w:t>
        </w:r>
        <w:r>
          <w:rPr>
            <w:rFonts w:ascii="Georgia"/>
            <w:sz w:val="32"/>
          </w:rPr>
          <w:t>the</w:t>
        </w:r>
        <w:r>
          <w:rPr>
            <w:rFonts w:ascii="Georgia"/>
            <w:spacing w:val="5"/>
            <w:sz w:val="32"/>
          </w:rPr>
          <w:t> </w:t>
        </w:r>
        <w:r>
          <w:rPr>
            <w:rFonts w:ascii="Georgia"/>
            <w:sz w:val="32"/>
          </w:rPr>
          <w:t>Child</w:t>
        </w:r>
        <w:r>
          <w:rPr>
            <w:rFonts w:ascii="Georgia"/>
            <w:spacing w:val="5"/>
            <w:sz w:val="32"/>
          </w:rPr>
          <w:t> </w:t>
        </w:r>
        <w:r>
          <w:rPr>
            <w:rFonts w:ascii="Georgia"/>
            <w:spacing w:val="-2"/>
            <w:sz w:val="32"/>
          </w:rPr>
          <w:t>Advocate</w:t>
        </w:r>
        <w:r>
          <w:rPr>
            <w:rFonts w:ascii="Times New Roman"/>
            <w:sz w:val="32"/>
          </w:rPr>
          <w:tab/>
        </w:r>
        <w:r>
          <w:rPr>
            <w:rFonts w:ascii="Georgia"/>
            <w:spacing w:val="-5"/>
            <w:position w:val="1"/>
            <w:sz w:val="32"/>
          </w:rPr>
          <w:t>318</w:t>
        </w:r>
      </w:hyperlink>
    </w:p>
    <w:p>
      <w:pPr>
        <w:pStyle w:val="BodyText"/>
        <w:rPr>
          <w:rFonts w:ascii="Georgia"/>
          <w:sz w:val="20"/>
        </w:rPr>
      </w:pPr>
    </w:p>
    <w:p>
      <w:pPr>
        <w:pStyle w:val="BodyText"/>
        <w:rPr>
          <w:rFonts w:ascii="Georgia"/>
          <w:sz w:val="20"/>
        </w:rPr>
      </w:pPr>
    </w:p>
    <w:p>
      <w:pPr>
        <w:pStyle w:val="BodyText"/>
        <w:rPr>
          <w:rFonts w:ascii="Georgia"/>
          <w:sz w:val="20"/>
        </w:rPr>
      </w:pPr>
    </w:p>
    <w:p>
      <w:pPr>
        <w:pStyle w:val="BodyText"/>
        <w:rPr>
          <w:rFonts w:ascii="Georgia"/>
          <w:sz w:val="20"/>
        </w:rPr>
      </w:pPr>
    </w:p>
    <w:p>
      <w:pPr>
        <w:pStyle w:val="BodyText"/>
        <w:rPr>
          <w:rFonts w:ascii="Georgia"/>
          <w:sz w:val="20"/>
        </w:rPr>
      </w:pPr>
    </w:p>
    <w:p>
      <w:pPr>
        <w:pStyle w:val="BodyText"/>
        <w:rPr>
          <w:rFonts w:ascii="Georgia"/>
          <w:sz w:val="20"/>
        </w:rPr>
      </w:pPr>
    </w:p>
    <w:p>
      <w:pPr>
        <w:pStyle w:val="BodyText"/>
        <w:rPr>
          <w:rFonts w:ascii="Georgia"/>
          <w:sz w:val="20"/>
        </w:rPr>
      </w:pPr>
    </w:p>
    <w:p>
      <w:pPr>
        <w:pStyle w:val="BodyText"/>
        <w:rPr>
          <w:rFonts w:ascii="Georgia"/>
          <w:sz w:val="20"/>
        </w:rPr>
      </w:pPr>
    </w:p>
    <w:p>
      <w:pPr>
        <w:pStyle w:val="BodyText"/>
        <w:rPr>
          <w:rFonts w:ascii="Georgia"/>
          <w:sz w:val="20"/>
        </w:rPr>
      </w:pPr>
    </w:p>
    <w:p>
      <w:pPr>
        <w:pStyle w:val="BodyText"/>
        <w:rPr>
          <w:rFonts w:ascii="Georgia"/>
          <w:sz w:val="20"/>
        </w:rPr>
      </w:pPr>
    </w:p>
    <w:p>
      <w:pPr>
        <w:pStyle w:val="BodyText"/>
        <w:rPr>
          <w:rFonts w:ascii="Georgia"/>
          <w:sz w:val="20"/>
        </w:rPr>
      </w:pPr>
    </w:p>
    <w:p>
      <w:pPr>
        <w:pStyle w:val="BodyText"/>
        <w:rPr>
          <w:rFonts w:ascii="Georgia"/>
          <w:sz w:val="20"/>
        </w:rPr>
      </w:pPr>
    </w:p>
    <w:p>
      <w:pPr>
        <w:pStyle w:val="BodyText"/>
        <w:rPr>
          <w:rFonts w:ascii="Georgia"/>
          <w:sz w:val="20"/>
        </w:rPr>
      </w:pPr>
    </w:p>
    <w:p>
      <w:pPr>
        <w:pStyle w:val="BodyText"/>
        <w:rPr>
          <w:rFonts w:ascii="Georgia"/>
          <w:sz w:val="20"/>
        </w:rPr>
      </w:pPr>
    </w:p>
    <w:p>
      <w:pPr>
        <w:pStyle w:val="BodyText"/>
        <w:rPr>
          <w:rFonts w:ascii="Georgia"/>
          <w:sz w:val="20"/>
        </w:rPr>
      </w:pPr>
    </w:p>
    <w:p>
      <w:pPr>
        <w:pStyle w:val="BodyText"/>
        <w:rPr>
          <w:rFonts w:ascii="Georgia"/>
          <w:sz w:val="20"/>
        </w:rPr>
      </w:pPr>
    </w:p>
    <w:p>
      <w:pPr>
        <w:pStyle w:val="BodyText"/>
        <w:rPr>
          <w:rFonts w:ascii="Georgia"/>
          <w:sz w:val="20"/>
        </w:rPr>
      </w:pPr>
    </w:p>
    <w:p>
      <w:pPr>
        <w:pStyle w:val="BodyText"/>
        <w:rPr>
          <w:rFonts w:ascii="Georgia"/>
          <w:sz w:val="20"/>
        </w:rPr>
      </w:pPr>
    </w:p>
    <w:p>
      <w:pPr>
        <w:pStyle w:val="BodyText"/>
        <w:rPr>
          <w:rFonts w:ascii="Georgia"/>
          <w:sz w:val="20"/>
        </w:rPr>
      </w:pPr>
    </w:p>
    <w:p>
      <w:pPr>
        <w:pStyle w:val="BodyText"/>
        <w:rPr>
          <w:rFonts w:ascii="Georgia"/>
          <w:sz w:val="20"/>
        </w:rPr>
      </w:pPr>
    </w:p>
    <w:p>
      <w:pPr>
        <w:pStyle w:val="BodyText"/>
        <w:rPr>
          <w:rFonts w:ascii="Georgia"/>
          <w:sz w:val="20"/>
        </w:rPr>
      </w:pPr>
    </w:p>
    <w:p>
      <w:pPr>
        <w:pStyle w:val="BodyText"/>
        <w:rPr>
          <w:rFonts w:ascii="Georgia"/>
          <w:sz w:val="20"/>
        </w:rPr>
      </w:pPr>
    </w:p>
    <w:p>
      <w:pPr>
        <w:pStyle w:val="BodyText"/>
        <w:rPr>
          <w:rFonts w:ascii="Georgia"/>
          <w:sz w:val="20"/>
        </w:rPr>
      </w:pPr>
    </w:p>
    <w:p>
      <w:pPr>
        <w:pStyle w:val="BodyText"/>
        <w:rPr>
          <w:rFonts w:ascii="Georgia"/>
          <w:sz w:val="20"/>
        </w:rPr>
      </w:pPr>
    </w:p>
    <w:p>
      <w:pPr>
        <w:pStyle w:val="BodyText"/>
        <w:rPr>
          <w:rFonts w:ascii="Georgia"/>
          <w:sz w:val="20"/>
        </w:rPr>
      </w:pPr>
    </w:p>
    <w:p>
      <w:pPr>
        <w:pStyle w:val="BodyText"/>
        <w:rPr>
          <w:rFonts w:ascii="Georgia"/>
          <w:sz w:val="20"/>
        </w:rPr>
      </w:pPr>
    </w:p>
    <w:p>
      <w:pPr>
        <w:pStyle w:val="BodyText"/>
        <w:rPr>
          <w:rFonts w:ascii="Georgia"/>
          <w:sz w:val="20"/>
        </w:rPr>
      </w:pPr>
    </w:p>
    <w:p>
      <w:pPr>
        <w:pStyle w:val="BodyText"/>
        <w:rPr>
          <w:rFonts w:ascii="Georgia"/>
          <w:sz w:val="20"/>
        </w:rPr>
      </w:pPr>
    </w:p>
    <w:p>
      <w:pPr>
        <w:pStyle w:val="BodyText"/>
        <w:rPr>
          <w:rFonts w:ascii="Georgia"/>
          <w:sz w:val="20"/>
        </w:rPr>
      </w:pPr>
    </w:p>
    <w:p>
      <w:pPr>
        <w:pStyle w:val="BodyText"/>
        <w:rPr>
          <w:rFonts w:ascii="Georgia"/>
          <w:sz w:val="20"/>
        </w:rPr>
      </w:pPr>
    </w:p>
    <w:p>
      <w:pPr>
        <w:pStyle w:val="BodyText"/>
        <w:rPr>
          <w:rFonts w:ascii="Georgia"/>
          <w:sz w:val="20"/>
        </w:rPr>
      </w:pPr>
    </w:p>
    <w:p>
      <w:pPr>
        <w:pStyle w:val="BodyText"/>
        <w:rPr>
          <w:rFonts w:ascii="Georgia"/>
          <w:sz w:val="20"/>
        </w:rPr>
      </w:pPr>
    </w:p>
    <w:p>
      <w:pPr>
        <w:pStyle w:val="BodyText"/>
        <w:rPr>
          <w:rFonts w:ascii="Georgia"/>
          <w:sz w:val="20"/>
        </w:rPr>
      </w:pPr>
    </w:p>
    <w:p>
      <w:pPr>
        <w:pStyle w:val="BodyText"/>
        <w:spacing w:before="58"/>
        <w:rPr>
          <w:rFonts w:ascii="Georgia"/>
          <w:sz w:val="20"/>
        </w:rPr>
      </w:pPr>
      <w:r>
        <w:rPr/>
        <mc:AlternateContent>
          <mc:Choice Requires="wps">
            <w:drawing>
              <wp:anchor distT="0" distB="0" distL="0" distR="0" allowOverlap="1" layoutInCell="1" locked="0" behindDoc="1" simplePos="0" relativeHeight="487590912">
                <wp:simplePos x="0" y="0"/>
                <wp:positionH relativeFrom="page">
                  <wp:posOffset>1945945</wp:posOffset>
                </wp:positionH>
                <wp:positionV relativeFrom="paragraph">
                  <wp:posOffset>196555</wp:posOffset>
                </wp:positionV>
                <wp:extent cx="3676650" cy="1270"/>
                <wp:effectExtent l="0" t="0" r="0" b="0"/>
                <wp:wrapTopAndBottom/>
                <wp:docPr id="33" name="Graphic 33"/>
                <wp:cNvGraphicFramePr>
                  <a:graphicFrameLocks/>
                </wp:cNvGraphicFramePr>
                <a:graphic>
                  <a:graphicData uri="http://schemas.microsoft.com/office/word/2010/wordprocessingShape">
                    <wps:wsp>
                      <wps:cNvPr id="33" name="Graphic 33"/>
                      <wps:cNvSpPr/>
                      <wps:spPr>
                        <a:xfrm>
                          <a:off x="0" y="0"/>
                          <a:ext cx="3676650" cy="1270"/>
                        </a:xfrm>
                        <a:custGeom>
                          <a:avLst/>
                          <a:gdLst/>
                          <a:ahLst/>
                          <a:cxnLst/>
                          <a:rect l="l" t="t" r="r" b="b"/>
                          <a:pathLst>
                            <a:path w="3676650" h="0">
                              <a:moveTo>
                                <a:pt x="0" y="0"/>
                              </a:moveTo>
                              <a:lnTo>
                                <a:pt x="3676039" y="0"/>
                              </a:lnTo>
                            </a:path>
                          </a:pathLst>
                        </a:custGeom>
                        <a:ln w="19049">
                          <a:solidFill>
                            <a:srgbClr val="325973"/>
                          </a:solidFill>
                          <a:prstDash val="solid"/>
                        </a:ln>
                      </wps:spPr>
                      <wps:bodyPr wrap="square" lIns="0" tIns="0" rIns="0" bIns="0" rtlCol="0">
                        <a:prstTxWarp prst="textNoShape">
                          <a:avLst/>
                        </a:prstTxWarp>
                        <a:noAutofit/>
                      </wps:bodyPr>
                    </wps:wsp>
                  </a:graphicData>
                </a:graphic>
              </wp:anchor>
            </w:drawing>
          </mc:Choice>
          <mc:Fallback>
            <w:pict>
              <v:shape style="position:absolute;margin-left:153.224091pt;margin-top:15.476812pt;width:289.5pt;height:.1pt;mso-position-horizontal-relative:page;mso-position-vertical-relative:paragraph;z-index:-15725568;mso-wrap-distance-left:0;mso-wrap-distance-right:0" id="docshape17" coordorigin="3064,310" coordsize="5790,0" path="m3064,310l8854,310e" filled="false" stroked="true" strokeweight="1.5pt" strokecolor="#325973">
                <v:path arrowok="t"/>
                <v:stroke dashstyle="solid"/>
                <w10:wrap type="topAndBottom"/>
              </v:shape>
            </w:pict>
          </mc:Fallback>
        </mc:AlternateContent>
      </w:r>
    </w:p>
    <w:p>
      <w:pPr>
        <w:spacing w:after="0"/>
        <w:rPr>
          <w:rFonts w:ascii="Georgia"/>
          <w:sz w:val="20"/>
        </w:rPr>
        <w:sectPr>
          <w:type w:val="continuous"/>
          <w:pgSz w:w="12240" w:h="15840"/>
          <w:pgMar w:header="1125" w:footer="1100" w:top="1420" w:bottom="280" w:left="1720" w:right="960"/>
        </w:sectPr>
      </w:pPr>
    </w:p>
    <w:p>
      <w:pPr>
        <w:pStyle w:val="Heading7"/>
        <w:spacing w:line="478" w:lineRule="exact"/>
        <w:ind w:left="604"/>
      </w:pPr>
      <w:bookmarkStart w:name="FY 2025 Executive Summary.pdf" w:id="16"/>
      <w:bookmarkEnd w:id="16"/>
      <w:r>
        <w:rPr/>
      </w:r>
      <w:bookmarkStart w:name="_bookmark8" w:id="17"/>
      <w:bookmarkEnd w:id="17"/>
      <w:r>
        <w:rPr/>
      </w:r>
      <w:hyperlink w:history="true" w:anchor="_bookmark0">
        <w:r>
          <w:rPr>
            <w:color w:val="365F91"/>
            <w:spacing w:val="-8"/>
          </w:rPr>
          <w:t>FY</w:t>
        </w:r>
        <w:r>
          <w:rPr>
            <w:color w:val="365F91"/>
            <w:spacing w:val="-12"/>
          </w:rPr>
          <w:t> </w:t>
        </w:r>
        <w:r>
          <w:rPr>
            <w:color w:val="365F91"/>
            <w:spacing w:val="-8"/>
          </w:rPr>
          <w:t>2025</w:t>
        </w:r>
        <w:r>
          <w:rPr>
            <w:color w:val="365F91"/>
            <w:spacing w:val="-13"/>
          </w:rPr>
          <w:t> </w:t>
        </w:r>
        <w:r>
          <w:rPr>
            <w:color w:val="365F91"/>
            <w:spacing w:val="-8"/>
          </w:rPr>
          <w:t>Executive</w:t>
        </w:r>
        <w:r>
          <w:rPr>
            <w:color w:val="365F91"/>
            <w:spacing w:val="-12"/>
          </w:rPr>
          <w:t> </w:t>
        </w:r>
        <w:r>
          <w:rPr>
            <w:color w:val="365F91"/>
            <w:spacing w:val="-8"/>
          </w:rPr>
          <w:t>Summary</w:t>
        </w:r>
      </w:hyperlink>
    </w:p>
    <w:p>
      <w:pPr>
        <w:spacing w:before="313"/>
        <w:ind w:left="604" w:right="0" w:firstLine="0"/>
        <w:jc w:val="left"/>
        <w:rPr>
          <w:sz w:val="28"/>
        </w:rPr>
      </w:pPr>
      <w:bookmarkStart w:name="Introduction" w:id="18"/>
      <w:bookmarkEnd w:id="18"/>
      <w:r>
        <w:rPr/>
      </w:r>
      <w:r>
        <w:rPr>
          <w:color w:val="365F91"/>
          <w:spacing w:val="-2"/>
          <w:sz w:val="28"/>
        </w:rPr>
        <w:t>Introduction</w:t>
      </w:r>
    </w:p>
    <w:p>
      <w:pPr>
        <w:pStyle w:val="BodyText"/>
        <w:spacing w:before="9"/>
        <w:rPr>
          <w:sz w:val="3"/>
        </w:rPr>
      </w:pPr>
      <w:r>
        <w:rPr/>
        <mc:AlternateContent>
          <mc:Choice Requires="wps">
            <w:drawing>
              <wp:anchor distT="0" distB="0" distL="0" distR="0" allowOverlap="1" layoutInCell="1" locked="0" behindDoc="1" simplePos="0" relativeHeight="487591936">
                <wp:simplePos x="0" y="0"/>
                <wp:positionH relativeFrom="page">
                  <wp:posOffset>986789</wp:posOffset>
                </wp:positionH>
                <wp:positionV relativeFrom="paragraph">
                  <wp:posOffset>44806</wp:posOffset>
                </wp:positionV>
                <wp:extent cx="5799455" cy="6350"/>
                <wp:effectExtent l="0" t="0" r="0" b="0"/>
                <wp:wrapTopAndBottom/>
                <wp:docPr id="36" name="Graphic 36"/>
                <wp:cNvGraphicFramePr>
                  <a:graphicFrameLocks/>
                </wp:cNvGraphicFramePr>
                <a:graphic>
                  <a:graphicData uri="http://schemas.microsoft.com/office/word/2010/wordprocessingShape">
                    <wps:wsp>
                      <wps:cNvPr id="36" name="Graphic 36"/>
                      <wps:cNvSpPr/>
                      <wps:spPr>
                        <a:xfrm>
                          <a:off x="0" y="0"/>
                          <a:ext cx="5799455" cy="6350"/>
                        </a:xfrm>
                        <a:custGeom>
                          <a:avLst/>
                          <a:gdLst/>
                          <a:ahLst/>
                          <a:cxnLst/>
                          <a:rect l="l" t="t" r="r" b="b"/>
                          <a:pathLst>
                            <a:path w="5799455" h="6350">
                              <a:moveTo>
                                <a:pt x="5798832" y="0"/>
                              </a:moveTo>
                              <a:lnTo>
                                <a:pt x="0" y="0"/>
                              </a:lnTo>
                              <a:lnTo>
                                <a:pt x="0" y="6108"/>
                              </a:lnTo>
                              <a:lnTo>
                                <a:pt x="5798832" y="6108"/>
                              </a:lnTo>
                              <a:lnTo>
                                <a:pt x="5798832" y="0"/>
                              </a:lnTo>
                              <a:close/>
                            </a:path>
                          </a:pathLst>
                        </a:custGeom>
                        <a:solidFill>
                          <a:srgbClr val="4F81BC"/>
                        </a:solidFill>
                      </wps:spPr>
                      <wps:bodyPr wrap="square" lIns="0" tIns="0" rIns="0" bIns="0" rtlCol="0">
                        <a:prstTxWarp prst="textNoShape">
                          <a:avLst/>
                        </a:prstTxWarp>
                        <a:noAutofit/>
                      </wps:bodyPr>
                    </wps:wsp>
                  </a:graphicData>
                </a:graphic>
              </wp:anchor>
            </w:drawing>
          </mc:Choice>
          <mc:Fallback>
            <w:pict>
              <v:rect style="position:absolute;margin-left:77.699997pt;margin-top:3.528043pt;width:456.601pt;height:.481pt;mso-position-horizontal-relative:page;mso-position-vertical-relative:paragraph;z-index:-15724544;mso-wrap-distance-left:0;mso-wrap-distance-right:0" id="docshape20" filled="true" fillcolor="#4f81bc" stroked="false">
                <v:fill type="solid"/>
                <w10:wrap type="topAndBottom"/>
              </v:rect>
            </w:pict>
          </mc:Fallback>
        </mc:AlternateContent>
      </w:r>
    </w:p>
    <w:p>
      <w:pPr>
        <w:pStyle w:val="BodyText"/>
        <w:spacing w:line="276" w:lineRule="auto" w:before="241"/>
        <w:ind w:left="603" w:right="420"/>
        <w:jc w:val="both"/>
      </w:pPr>
      <w:r>
        <w:rPr/>
        <w:t>The Massachusetts Commission on Lesbian, Gay, Bisexual, Transgender, Queer, and Questioning (LGBTQ)</w:t>
      </w:r>
      <w:r>
        <w:rPr>
          <w:spacing w:val="-2"/>
        </w:rPr>
        <w:t> </w:t>
      </w:r>
      <w:r>
        <w:rPr/>
        <w:t>Youth</w:t>
      </w:r>
      <w:r>
        <w:rPr>
          <w:spacing w:val="-3"/>
        </w:rPr>
        <w:t> </w:t>
      </w:r>
      <w:r>
        <w:rPr/>
        <w:t>is</w:t>
      </w:r>
      <w:r>
        <w:rPr>
          <w:spacing w:val="-3"/>
        </w:rPr>
        <w:t> </w:t>
      </w:r>
      <w:r>
        <w:rPr/>
        <w:t>an</w:t>
      </w:r>
      <w:r>
        <w:rPr>
          <w:spacing w:val="-3"/>
        </w:rPr>
        <w:t> </w:t>
      </w:r>
      <w:r>
        <w:rPr/>
        <w:t>independent</w:t>
      </w:r>
      <w:r>
        <w:rPr>
          <w:spacing w:val="-3"/>
        </w:rPr>
        <w:t> </w:t>
      </w:r>
      <w:r>
        <w:rPr/>
        <w:t>state</w:t>
      </w:r>
      <w:r>
        <w:rPr>
          <w:spacing w:val="-2"/>
        </w:rPr>
        <w:t> </w:t>
      </w:r>
      <w:r>
        <w:rPr/>
        <w:t>agency</w:t>
      </w:r>
      <w:r>
        <w:rPr>
          <w:spacing w:val="-3"/>
        </w:rPr>
        <w:t> </w:t>
      </w:r>
      <w:r>
        <w:rPr/>
        <w:t>first</w:t>
      </w:r>
      <w:r>
        <w:rPr>
          <w:spacing w:val="-2"/>
        </w:rPr>
        <w:t> </w:t>
      </w:r>
      <w:r>
        <w:rPr/>
        <w:t>founded</w:t>
      </w:r>
      <w:r>
        <w:rPr>
          <w:spacing w:val="-3"/>
        </w:rPr>
        <w:t> </w:t>
      </w:r>
      <w:r>
        <w:rPr/>
        <w:t>in</w:t>
      </w:r>
      <w:r>
        <w:rPr>
          <w:spacing w:val="-3"/>
        </w:rPr>
        <w:t> </w:t>
      </w:r>
      <w:r>
        <w:rPr/>
        <w:t>1992</w:t>
      </w:r>
      <w:r>
        <w:rPr>
          <w:spacing w:val="-3"/>
        </w:rPr>
        <w:t> </w:t>
      </w:r>
      <w:r>
        <w:rPr/>
        <w:t>as</w:t>
      </w:r>
      <w:r>
        <w:rPr>
          <w:spacing w:val="-3"/>
        </w:rPr>
        <w:t> </w:t>
      </w:r>
      <w:r>
        <w:rPr/>
        <w:t>a</w:t>
      </w:r>
      <w:r>
        <w:rPr>
          <w:spacing w:val="-3"/>
        </w:rPr>
        <w:t> </w:t>
      </w:r>
      <w:r>
        <w:rPr/>
        <w:t>Governor’s</w:t>
      </w:r>
      <w:r>
        <w:rPr>
          <w:spacing w:val="-3"/>
        </w:rPr>
        <w:t> </w:t>
      </w:r>
      <w:r>
        <w:rPr/>
        <w:t>Commission.</w:t>
      </w:r>
      <w:r>
        <w:rPr>
          <w:spacing w:val="-3"/>
        </w:rPr>
        <w:t> </w:t>
      </w:r>
      <w:r>
        <w:rPr/>
        <w:t>The Commission was established as an independent agency by the Legislature in 2006 and tasked with providing</w:t>
      </w:r>
      <w:r>
        <w:rPr>
          <w:spacing w:val="-11"/>
        </w:rPr>
        <w:t> </w:t>
      </w:r>
      <w:r>
        <w:rPr/>
        <w:t>expert</w:t>
      </w:r>
      <w:r>
        <w:rPr>
          <w:spacing w:val="-12"/>
        </w:rPr>
        <w:t> </w:t>
      </w:r>
      <w:r>
        <w:rPr/>
        <w:t>advice</w:t>
      </w:r>
      <w:r>
        <w:rPr>
          <w:spacing w:val="-11"/>
        </w:rPr>
        <w:t> </w:t>
      </w:r>
      <w:r>
        <w:rPr/>
        <w:t>and</w:t>
      </w:r>
      <w:r>
        <w:rPr>
          <w:spacing w:val="-11"/>
        </w:rPr>
        <w:t> </w:t>
      </w:r>
      <w:r>
        <w:rPr/>
        <w:t>programming</w:t>
      </w:r>
      <w:r>
        <w:rPr>
          <w:spacing w:val="-11"/>
        </w:rPr>
        <w:t> </w:t>
      </w:r>
      <w:r>
        <w:rPr/>
        <w:t>to</w:t>
      </w:r>
      <w:r>
        <w:rPr>
          <w:spacing w:val="-11"/>
        </w:rPr>
        <w:t> </w:t>
      </w:r>
      <w:r>
        <w:rPr/>
        <w:t>the</w:t>
      </w:r>
      <w:r>
        <w:rPr>
          <w:spacing w:val="-11"/>
        </w:rPr>
        <w:t> </w:t>
      </w:r>
      <w:r>
        <w:rPr/>
        <w:t>Commonwealth</w:t>
      </w:r>
      <w:r>
        <w:rPr>
          <w:spacing w:val="-10"/>
        </w:rPr>
        <w:t> </w:t>
      </w:r>
      <w:r>
        <w:rPr/>
        <w:t>of</w:t>
      </w:r>
      <w:r>
        <w:rPr>
          <w:spacing w:val="-11"/>
        </w:rPr>
        <w:t> </w:t>
      </w:r>
      <w:r>
        <w:rPr/>
        <w:t>Massachusetts</w:t>
      </w:r>
      <w:r>
        <w:rPr>
          <w:spacing w:val="-11"/>
        </w:rPr>
        <w:t> </w:t>
      </w:r>
      <w:r>
        <w:rPr/>
        <w:t>on</w:t>
      </w:r>
      <w:r>
        <w:rPr>
          <w:spacing w:val="-11"/>
        </w:rPr>
        <w:t> </w:t>
      </w:r>
      <w:r>
        <w:rPr/>
        <w:t>how</w:t>
      </w:r>
      <w:r>
        <w:rPr>
          <w:spacing w:val="-11"/>
        </w:rPr>
        <w:t> </w:t>
      </w:r>
      <w:r>
        <w:rPr/>
        <w:t>to</w:t>
      </w:r>
      <w:r>
        <w:rPr>
          <w:spacing w:val="-11"/>
        </w:rPr>
        <w:t> </w:t>
      </w:r>
      <w:r>
        <w:rPr/>
        <w:t>improve services and decrease inequities facing Massachusetts LGBTQ youth. In keeping with its legislative requirements,</w:t>
      </w:r>
      <w:r>
        <w:rPr>
          <w:spacing w:val="-2"/>
        </w:rPr>
        <w:t> </w:t>
      </w:r>
      <w:r>
        <w:rPr/>
        <w:t>the</w:t>
      </w:r>
      <w:r>
        <w:rPr>
          <w:spacing w:val="-2"/>
        </w:rPr>
        <w:t> </w:t>
      </w:r>
      <w:r>
        <w:rPr/>
        <w:t>Commission</w:t>
      </w:r>
      <w:r>
        <w:rPr>
          <w:spacing w:val="-2"/>
        </w:rPr>
        <w:t> </w:t>
      </w:r>
      <w:r>
        <w:rPr/>
        <w:t>submits this</w:t>
      </w:r>
      <w:r>
        <w:rPr>
          <w:spacing w:val="-1"/>
        </w:rPr>
        <w:t> </w:t>
      </w:r>
      <w:r>
        <w:rPr/>
        <w:t>annual</w:t>
      </w:r>
      <w:r>
        <w:rPr>
          <w:spacing w:val="-2"/>
        </w:rPr>
        <w:t> </w:t>
      </w:r>
      <w:r>
        <w:rPr/>
        <w:t>report</w:t>
      </w:r>
      <w:r>
        <w:rPr>
          <w:spacing w:val="-2"/>
        </w:rPr>
        <w:t> </w:t>
      </w:r>
      <w:r>
        <w:rPr/>
        <w:t>on</w:t>
      </w:r>
      <w:r>
        <w:rPr>
          <w:spacing w:val="-2"/>
        </w:rPr>
        <w:t> </w:t>
      </w:r>
      <w:r>
        <w:rPr/>
        <w:t>the</w:t>
      </w:r>
      <w:r>
        <w:rPr>
          <w:spacing w:val="-2"/>
        </w:rPr>
        <w:t> </w:t>
      </w:r>
      <w:r>
        <w:rPr/>
        <w:t>status</w:t>
      </w:r>
      <w:r>
        <w:rPr>
          <w:spacing w:val="-2"/>
        </w:rPr>
        <w:t> </w:t>
      </w:r>
      <w:r>
        <w:rPr/>
        <w:t>of</w:t>
      </w:r>
      <w:r>
        <w:rPr>
          <w:spacing w:val="-2"/>
        </w:rPr>
        <w:t> </w:t>
      </w:r>
      <w:r>
        <w:rPr/>
        <w:t>LGBTQ</w:t>
      </w:r>
      <w:r>
        <w:rPr>
          <w:spacing w:val="-2"/>
        </w:rPr>
        <w:t> </w:t>
      </w:r>
      <w:r>
        <w:rPr/>
        <w:t>youth,</w:t>
      </w:r>
      <w:r>
        <w:rPr>
          <w:spacing w:val="-2"/>
        </w:rPr>
        <w:t> </w:t>
      </w:r>
      <w:r>
        <w:rPr/>
        <w:t>as</w:t>
      </w:r>
      <w:r>
        <w:rPr>
          <w:spacing w:val="-2"/>
        </w:rPr>
        <w:t> </w:t>
      </w:r>
      <w:r>
        <w:rPr/>
        <w:t>well</w:t>
      </w:r>
      <w:r>
        <w:rPr>
          <w:spacing w:val="-2"/>
        </w:rPr>
        <w:t> </w:t>
      </w:r>
      <w:r>
        <w:rPr/>
        <w:t>as</w:t>
      </w:r>
      <w:r>
        <w:rPr>
          <w:spacing w:val="-2"/>
        </w:rPr>
        <w:t> </w:t>
      </w:r>
      <w:r>
        <w:rPr/>
        <w:t>its policy recommendations, for the 2025 fiscal year beginning July 1, 2024.</w:t>
      </w:r>
    </w:p>
    <w:p>
      <w:pPr>
        <w:pStyle w:val="BodyText"/>
        <w:spacing w:line="276" w:lineRule="auto" w:before="241"/>
        <w:ind w:left="603" w:right="419"/>
        <w:jc w:val="both"/>
      </w:pPr>
      <w:r>
        <w:rPr/>
        <w:t>This</w:t>
      </w:r>
      <w:r>
        <w:rPr>
          <w:spacing w:val="-5"/>
        </w:rPr>
        <w:t> </w:t>
      </w:r>
      <w:r>
        <w:rPr/>
        <w:t>year’s</w:t>
      </w:r>
      <w:r>
        <w:rPr>
          <w:spacing w:val="-5"/>
        </w:rPr>
        <w:t> </w:t>
      </w:r>
      <w:r>
        <w:rPr/>
        <w:t>report</w:t>
      </w:r>
      <w:r>
        <w:rPr>
          <w:spacing w:val="-6"/>
        </w:rPr>
        <w:t> </w:t>
      </w:r>
      <w:r>
        <w:rPr/>
        <w:t>features</w:t>
      </w:r>
      <w:r>
        <w:rPr>
          <w:spacing w:val="-4"/>
        </w:rPr>
        <w:t> </w:t>
      </w:r>
      <w:r>
        <w:rPr/>
        <w:t>thirteen</w:t>
      </w:r>
      <w:r>
        <w:rPr>
          <w:spacing w:val="-4"/>
        </w:rPr>
        <w:t> </w:t>
      </w:r>
      <w:r>
        <w:rPr/>
        <w:t>core</w:t>
      </w:r>
      <w:r>
        <w:rPr>
          <w:spacing w:val="-4"/>
        </w:rPr>
        <w:t> </w:t>
      </w:r>
      <w:r>
        <w:rPr/>
        <w:t>subject</w:t>
      </w:r>
      <w:r>
        <w:rPr>
          <w:spacing w:val="-5"/>
        </w:rPr>
        <w:t> </w:t>
      </w:r>
      <w:r>
        <w:rPr/>
        <w:t>sections</w:t>
      </w:r>
      <w:r>
        <w:rPr>
          <w:spacing w:val="-5"/>
        </w:rPr>
        <w:t> </w:t>
      </w:r>
      <w:r>
        <w:rPr/>
        <w:t>–</w:t>
      </w:r>
      <w:r>
        <w:rPr>
          <w:spacing w:val="-5"/>
        </w:rPr>
        <w:t> </w:t>
      </w:r>
      <w:r>
        <w:rPr/>
        <w:t>nine</w:t>
      </w:r>
      <w:r>
        <w:rPr>
          <w:spacing w:val="-5"/>
        </w:rPr>
        <w:t> </w:t>
      </w:r>
      <w:r>
        <w:rPr/>
        <w:t>of</w:t>
      </w:r>
      <w:r>
        <w:rPr>
          <w:spacing w:val="-4"/>
        </w:rPr>
        <w:t> </w:t>
      </w:r>
      <w:r>
        <w:rPr/>
        <w:t>which</w:t>
      </w:r>
      <w:r>
        <w:rPr>
          <w:spacing w:val="-4"/>
        </w:rPr>
        <w:t> </w:t>
      </w:r>
      <w:r>
        <w:rPr/>
        <w:t>have</w:t>
      </w:r>
      <w:r>
        <w:rPr>
          <w:spacing w:val="-4"/>
        </w:rPr>
        <w:t> </w:t>
      </w:r>
      <w:r>
        <w:rPr/>
        <w:t>been</w:t>
      </w:r>
      <w:r>
        <w:rPr>
          <w:spacing w:val="-6"/>
        </w:rPr>
        <w:t> </w:t>
      </w:r>
      <w:r>
        <w:rPr/>
        <w:t>re-published</w:t>
      </w:r>
      <w:r>
        <w:rPr>
          <w:spacing w:val="-6"/>
        </w:rPr>
        <w:t> </w:t>
      </w:r>
      <w:r>
        <w:rPr/>
        <w:t>from FY 2024 with minor updates made to bring current to FY 2025 – on child welfare, education, health areas, criminal justice, environmental justice, economic justice, homelessness, and inclusive service provision.</w:t>
      </w:r>
      <w:r>
        <w:rPr>
          <w:spacing w:val="-10"/>
        </w:rPr>
        <w:t> </w:t>
      </w:r>
      <w:r>
        <w:rPr/>
        <w:t>These</w:t>
      </w:r>
      <w:r>
        <w:rPr>
          <w:spacing w:val="-10"/>
        </w:rPr>
        <w:t> </w:t>
      </w:r>
      <w:r>
        <w:rPr/>
        <w:t>sections</w:t>
      </w:r>
      <w:r>
        <w:rPr>
          <w:spacing w:val="-9"/>
        </w:rPr>
        <w:t> </w:t>
      </w:r>
      <w:r>
        <w:rPr/>
        <w:t>include</w:t>
      </w:r>
      <w:r>
        <w:rPr>
          <w:spacing w:val="-10"/>
        </w:rPr>
        <w:t> </w:t>
      </w:r>
      <w:r>
        <w:rPr/>
        <w:t>targeted,</w:t>
      </w:r>
      <w:r>
        <w:rPr>
          <w:spacing w:val="-10"/>
        </w:rPr>
        <w:t> </w:t>
      </w:r>
      <w:r>
        <w:rPr/>
        <w:t>and</w:t>
      </w:r>
      <w:r>
        <w:rPr>
          <w:spacing w:val="-10"/>
        </w:rPr>
        <w:t> </w:t>
      </w:r>
      <w:r>
        <w:rPr/>
        <w:t>oft</w:t>
      </w:r>
      <w:r>
        <w:rPr>
          <w:spacing w:val="-10"/>
        </w:rPr>
        <w:t> </w:t>
      </w:r>
      <w:r>
        <w:rPr/>
        <w:t>intersectional,</w:t>
      </w:r>
      <w:r>
        <w:rPr>
          <w:spacing w:val="-8"/>
        </w:rPr>
        <w:t> </w:t>
      </w:r>
      <w:r>
        <w:rPr/>
        <w:t>policy</w:t>
      </w:r>
      <w:r>
        <w:rPr>
          <w:spacing w:val="-10"/>
        </w:rPr>
        <w:t> </w:t>
      </w:r>
      <w:r>
        <w:rPr/>
        <w:t>recommendations</w:t>
      </w:r>
      <w:r>
        <w:rPr>
          <w:spacing w:val="-9"/>
        </w:rPr>
        <w:t> </w:t>
      </w:r>
      <w:r>
        <w:rPr/>
        <w:t>that</w:t>
      </w:r>
      <w:r>
        <w:rPr>
          <w:spacing w:val="-10"/>
        </w:rPr>
        <w:t> </w:t>
      </w:r>
      <w:r>
        <w:rPr/>
        <w:t>reflect the work of the Commission over the past fiscal year. This report additionally features targeted recommendations to nineteen of the Commission’s state partners whom it collaborates with throughout the year to help improve policy, programming, and agency capacity.</w:t>
      </w:r>
    </w:p>
    <w:p>
      <w:pPr>
        <w:pStyle w:val="BodyText"/>
        <w:spacing w:line="276" w:lineRule="auto" w:before="240"/>
        <w:ind w:left="603" w:right="421"/>
        <w:jc w:val="both"/>
      </w:pPr>
      <w:r>
        <w:rPr/>
        <w:t>The Commission develops these policy recommendations with input from its staff, Commission members, consultants, community partners, educators, providers, state agency partners, and, most importantly –</w:t>
      </w:r>
      <w:r>
        <w:rPr>
          <w:spacing w:val="-1"/>
        </w:rPr>
        <w:t> </w:t>
      </w:r>
      <w:r>
        <w:rPr/>
        <w:t>youth.</w:t>
      </w:r>
      <w:r>
        <w:rPr>
          <w:spacing w:val="-1"/>
        </w:rPr>
        <w:t> </w:t>
      </w:r>
      <w:r>
        <w:rPr/>
        <w:t>The</w:t>
      </w:r>
      <w:r>
        <w:rPr>
          <w:spacing w:val="-2"/>
        </w:rPr>
        <w:t> </w:t>
      </w:r>
      <w:r>
        <w:rPr/>
        <w:t>Commission</w:t>
      </w:r>
      <w:r>
        <w:rPr>
          <w:spacing w:val="-2"/>
        </w:rPr>
        <w:t> </w:t>
      </w:r>
      <w:r>
        <w:rPr/>
        <w:t>defines</w:t>
      </w:r>
      <w:r>
        <w:rPr>
          <w:spacing w:val="-1"/>
        </w:rPr>
        <w:t> </w:t>
      </w:r>
      <w:r>
        <w:rPr/>
        <w:t>youth</w:t>
      </w:r>
      <w:r>
        <w:rPr>
          <w:spacing w:val="-1"/>
        </w:rPr>
        <w:t> </w:t>
      </w:r>
      <w:r>
        <w:rPr/>
        <w:t>as</w:t>
      </w:r>
      <w:r>
        <w:rPr>
          <w:spacing w:val="-1"/>
        </w:rPr>
        <w:t> </w:t>
      </w:r>
      <w:r>
        <w:rPr/>
        <w:t>“individuals</w:t>
      </w:r>
      <w:r>
        <w:rPr>
          <w:spacing w:val="-1"/>
        </w:rPr>
        <w:t> </w:t>
      </w:r>
      <w:r>
        <w:rPr/>
        <w:t>under the</w:t>
      </w:r>
      <w:r>
        <w:rPr>
          <w:spacing w:val="-2"/>
        </w:rPr>
        <w:t> </w:t>
      </w:r>
      <w:r>
        <w:rPr/>
        <w:t>age</w:t>
      </w:r>
      <w:r>
        <w:rPr>
          <w:spacing w:val="-2"/>
        </w:rPr>
        <w:t> </w:t>
      </w:r>
      <w:r>
        <w:rPr/>
        <w:t>of</w:t>
      </w:r>
      <w:r>
        <w:rPr>
          <w:spacing w:val="-2"/>
        </w:rPr>
        <w:t> </w:t>
      </w:r>
      <w:r>
        <w:rPr/>
        <w:t>25”</w:t>
      </w:r>
      <w:r>
        <w:rPr>
          <w:spacing w:val="-1"/>
        </w:rPr>
        <w:t> </w:t>
      </w:r>
      <w:r>
        <w:rPr/>
        <w:t>and</w:t>
      </w:r>
      <w:r>
        <w:rPr>
          <w:spacing w:val="-1"/>
        </w:rPr>
        <w:t> </w:t>
      </w:r>
      <w:r>
        <w:rPr/>
        <w:t>so</w:t>
      </w:r>
      <w:r>
        <w:rPr>
          <w:spacing w:val="-1"/>
        </w:rPr>
        <w:t> </w:t>
      </w:r>
      <w:r>
        <w:rPr/>
        <w:t>many of these recommendations cover a broad range of issues with an intersectional viewpoint that works to uplift the most marginalized voices within our Commonwealth so that </w:t>
      </w:r>
      <w:r>
        <w:rPr>
          <w:i/>
        </w:rPr>
        <w:t>all </w:t>
      </w:r>
      <w:r>
        <w:rPr/>
        <w:t>our young people have the opportunity to thrive.</w:t>
      </w:r>
    </w:p>
    <w:p>
      <w:pPr>
        <w:spacing w:before="240"/>
        <w:ind w:left="604" w:right="0" w:firstLine="0"/>
        <w:jc w:val="both"/>
        <w:rPr>
          <w:sz w:val="28"/>
        </w:rPr>
      </w:pPr>
      <w:bookmarkStart w:name="FY 2024 Listening Sessions" w:id="19"/>
      <w:bookmarkEnd w:id="19"/>
      <w:r>
        <w:rPr/>
      </w:r>
      <w:r>
        <w:rPr>
          <w:color w:val="365F91"/>
          <w:sz w:val="28"/>
        </w:rPr>
        <w:t>FY</w:t>
      </w:r>
      <w:r>
        <w:rPr>
          <w:color w:val="365F91"/>
          <w:spacing w:val="-10"/>
          <w:sz w:val="28"/>
        </w:rPr>
        <w:t> </w:t>
      </w:r>
      <w:r>
        <w:rPr>
          <w:color w:val="365F91"/>
          <w:sz w:val="28"/>
        </w:rPr>
        <w:t>2024</w:t>
      </w:r>
      <w:r>
        <w:rPr>
          <w:color w:val="365F91"/>
          <w:spacing w:val="-9"/>
          <w:sz w:val="28"/>
        </w:rPr>
        <w:t> </w:t>
      </w:r>
      <w:r>
        <w:rPr>
          <w:color w:val="365F91"/>
          <w:sz w:val="28"/>
        </w:rPr>
        <w:t>Listening</w:t>
      </w:r>
      <w:r>
        <w:rPr>
          <w:color w:val="365F91"/>
          <w:spacing w:val="-9"/>
          <w:sz w:val="28"/>
        </w:rPr>
        <w:t> </w:t>
      </w:r>
      <w:r>
        <w:rPr>
          <w:color w:val="365F91"/>
          <w:spacing w:val="-2"/>
          <w:sz w:val="28"/>
        </w:rPr>
        <w:t>Sessions</w:t>
      </w:r>
    </w:p>
    <w:p>
      <w:pPr>
        <w:pStyle w:val="BodyText"/>
        <w:spacing w:before="9"/>
        <w:rPr>
          <w:sz w:val="3"/>
        </w:rPr>
      </w:pPr>
      <w:r>
        <w:rPr/>
        <mc:AlternateContent>
          <mc:Choice Requires="wps">
            <w:drawing>
              <wp:anchor distT="0" distB="0" distL="0" distR="0" allowOverlap="1" layoutInCell="1" locked="0" behindDoc="1" simplePos="0" relativeHeight="487592448">
                <wp:simplePos x="0" y="0"/>
                <wp:positionH relativeFrom="page">
                  <wp:posOffset>986789</wp:posOffset>
                </wp:positionH>
                <wp:positionV relativeFrom="paragraph">
                  <wp:posOffset>44339</wp:posOffset>
                </wp:positionV>
                <wp:extent cx="5799455" cy="6350"/>
                <wp:effectExtent l="0" t="0" r="0" b="0"/>
                <wp:wrapTopAndBottom/>
                <wp:docPr id="37" name="Graphic 37"/>
                <wp:cNvGraphicFramePr>
                  <a:graphicFrameLocks/>
                </wp:cNvGraphicFramePr>
                <a:graphic>
                  <a:graphicData uri="http://schemas.microsoft.com/office/word/2010/wordprocessingShape">
                    <wps:wsp>
                      <wps:cNvPr id="37" name="Graphic 37"/>
                      <wps:cNvSpPr/>
                      <wps:spPr>
                        <a:xfrm>
                          <a:off x="0" y="0"/>
                          <a:ext cx="5799455" cy="6350"/>
                        </a:xfrm>
                        <a:custGeom>
                          <a:avLst/>
                          <a:gdLst/>
                          <a:ahLst/>
                          <a:cxnLst/>
                          <a:rect l="l" t="t" r="r" b="b"/>
                          <a:pathLst>
                            <a:path w="5799455" h="6350">
                              <a:moveTo>
                                <a:pt x="5798832" y="0"/>
                              </a:moveTo>
                              <a:lnTo>
                                <a:pt x="0" y="0"/>
                              </a:lnTo>
                              <a:lnTo>
                                <a:pt x="0" y="6108"/>
                              </a:lnTo>
                              <a:lnTo>
                                <a:pt x="5798832" y="6108"/>
                              </a:lnTo>
                              <a:lnTo>
                                <a:pt x="5798832" y="0"/>
                              </a:lnTo>
                              <a:close/>
                            </a:path>
                          </a:pathLst>
                        </a:custGeom>
                        <a:solidFill>
                          <a:srgbClr val="4F81BC"/>
                        </a:solidFill>
                      </wps:spPr>
                      <wps:bodyPr wrap="square" lIns="0" tIns="0" rIns="0" bIns="0" rtlCol="0">
                        <a:prstTxWarp prst="textNoShape">
                          <a:avLst/>
                        </a:prstTxWarp>
                        <a:noAutofit/>
                      </wps:bodyPr>
                    </wps:wsp>
                  </a:graphicData>
                </a:graphic>
              </wp:anchor>
            </w:drawing>
          </mc:Choice>
          <mc:Fallback>
            <w:pict>
              <v:rect style="position:absolute;margin-left:77.699997pt;margin-top:3.491266pt;width:456.601pt;height:.481pt;mso-position-horizontal-relative:page;mso-position-vertical-relative:paragraph;z-index:-15724032;mso-wrap-distance-left:0;mso-wrap-distance-right:0" id="docshape21" filled="true" fillcolor="#4f81bc" stroked="false">
                <v:fill type="solid"/>
                <w10:wrap type="topAndBottom"/>
              </v:rect>
            </w:pict>
          </mc:Fallback>
        </mc:AlternateContent>
      </w:r>
    </w:p>
    <w:p>
      <w:pPr>
        <w:pStyle w:val="BodyText"/>
        <w:spacing w:line="276" w:lineRule="auto" w:before="241"/>
        <w:ind w:left="603" w:right="421"/>
        <w:jc w:val="both"/>
      </w:pPr>
      <w:r>
        <w:rPr/>
        <w:t>As the Commission soon closes out the 2024 fiscal year, it looks back on the numerous opportunities it has had to engage with LGBTQ youth across the Commonwealth to receive input on its recommendations.</w:t>
      </w:r>
      <w:r>
        <w:rPr>
          <w:spacing w:val="-9"/>
        </w:rPr>
        <w:t> </w:t>
      </w:r>
      <w:r>
        <w:rPr/>
        <w:t>This</w:t>
      </w:r>
      <w:r>
        <w:rPr>
          <w:spacing w:val="-8"/>
        </w:rPr>
        <w:t> </w:t>
      </w:r>
      <w:r>
        <w:rPr/>
        <w:t>section</w:t>
      </w:r>
      <w:r>
        <w:rPr>
          <w:spacing w:val="-9"/>
        </w:rPr>
        <w:t> </w:t>
      </w:r>
      <w:r>
        <w:rPr/>
        <w:t>of</w:t>
      </w:r>
      <w:r>
        <w:rPr>
          <w:spacing w:val="-8"/>
        </w:rPr>
        <w:t> </w:t>
      </w:r>
      <w:r>
        <w:rPr/>
        <w:t>the</w:t>
      </w:r>
      <w:r>
        <w:rPr>
          <w:spacing w:val="-8"/>
        </w:rPr>
        <w:t> </w:t>
      </w:r>
      <w:r>
        <w:rPr/>
        <w:t>executive</w:t>
      </w:r>
      <w:r>
        <w:rPr>
          <w:spacing w:val="-9"/>
        </w:rPr>
        <w:t> </w:t>
      </w:r>
      <w:r>
        <w:rPr/>
        <w:t>summary</w:t>
      </w:r>
      <w:r>
        <w:rPr>
          <w:spacing w:val="-9"/>
        </w:rPr>
        <w:t> </w:t>
      </w:r>
      <w:r>
        <w:rPr/>
        <w:t>provides</w:t>
      </w:r>
      <w:r>
        <w:rPr>
          <w:spacing w:val="-8"/>
        </w:rPr>
        <w:t> </w:t>
      </w:r>
      <w:r>
        <w:rPr/>
        <w:t>a</w:t>
      </w:r>
      <w:r>
        <w:rPr>
          <w:spacing w:val="-9"/>
        </w:rPr>
        <w:t> </w:t>
      </w:r>
      <w:r>
        <w:rPr/>
        <w:t>quick</w:t>
      </w:r>
      <w:r>
        <w:rPr>
          <w:spacing w:val="-9"/>
        </w:rPr>
        <w:t> </w:t>
      </w:r>
      <w:r>
        <w:rPr/>
        <w:t>look</w:t>
      </w:r>
      <w:r>
        <w:rPr>
          <w:spacing w:val="-7"/>
        </w:rPr>
        <w:t> </w:t>
      </w:r>
      <w:r>
        <w:rPr/>
        <w:t>at</w:t>
      </w:r>
      <w:r>
        <w:rPr>
          <w:spacing w:val="-9"/>
        </w:rPr>
        <w:t> </w:t>
      </w:r>
      <w:r>
        <w:rPr/>
        <w:t>some</w:t>
      </w:r>
      <w:r>
        <w:rPr>
          <w:spacing w:val="-9"/>
        </w:rPr>
        <w:t> </w:t>
      </w:r>
      <w:r>
        <w:rPr/>
        <w:t>of</w:t>
      </w:r>
      <w:r>
        <w:rPr>
          <w:spacing w:val="-8"/>
        </w:rPr>
        <w:t> </w:t>
      </w:r>
      <w:r>
        <w:rPr/>
        <w:t>the</w:t>
      </w:r>
      <w:r>
        <w:rPr>
          <w:spacing w:val="-9"/>
        </w:rPr>
        <w:t> </w:t>
      </w:r>
      <w:r>
        <w:rPr/>
        <w:t>themes discussed in a series of listening sessions and one-on-one</w:t>
      </w:r>
      <w:r>
        <w:rPr>
          <w:spacing w:val="-1"/>
        </w:rPr>
        <w:t> </w:t>
      </w:r>
      <w:r>
        <w:rPr/>
        <w:t>interviews that have taken place this spring and will continue to occur throughout the upcoming fiscal year.</w:t>
      </w:r>
    </w:p>
    <w:p>
      <w:pPr>
        <w:spacing w:before="240"/>
        <w:ind w:left="604" w:right="0" w:firstLine="0"/>
        <w:jc w:val="left"/>
        <w:rPr>
          <w:sz w:val="24"/>
        </w:rPr>
      </w:pPr>
      <w:bookmarkStart w:name="Education" w:id="20"/>
      <w:bookmarkEnd w:id="20"/>
      <w:r>
        <w:rPr/>
      </w:r>
      <w:r>
        <w:rPr>
          <w:color w:val="365F91"/>
          <w:spacing w:val="-2"/>
          <w:sz w:val="24"/>
        </w:rPr>
        <w:t>Education</w:t>
      </w:r>
    </w:p>
    <w:p>
      <w:pPr>
        <w:spacing w:line="276" w:lineRule="auto" w:before="285"/>
        <w:ind w:left="604" w:right="420" w:firstLine="0"/>
        <w:jc w:val="both"/>
        <w:rPr>
          <w:sz w:val="21"/>
        </w:rPr>
      </w:pPr>
      <w:r>
        <w:rPr>
          <w:sz w:val="21"/>
        </w:rPr>
        <w:t>In April and May 2024, the Commission had the opportunity to host three listening sessions organized by its</w:t>
      </w:r>
      <w:r>
        <w:rPr>
          <w:spacing w:val="-12"/>
          <w:sz w:val="21"/>
        </w:rPr>
        <w:t> </w:t>
      </w:r>
      <w:r>
        <w:rPr>
          <w:sz w:val="21"/>
        </w:rPr>
        <w:t>Legislative</w:t>
      </w:r>
      <w:r>
        <w:rPr>
          <w:spacing w:val="-11"/>
          <w:sz w:val="21"/>
        </w:rPr>
        <w:t> </w:t>
      </w:r>
      <w:r>
        <w:rPr>
          <w:sz w:val="21"/>
        </w:rPr>
        <w:t>Team.</w:t>
      </w:r>
      <w:r>
        <w:rPr>
          <w:spacing w:val="-12"/>
          <w:sz w:val="21"/>
        </w:rPr>
        <w:t> </w:t>
      </w:r>
      <w:r>
        <w:rPr>
          <w:sz w:val="21"/>
        </w:rPr>
        <w:t>These</w:t>
      </w:r>
      <w:r>
        <w:rPr>
          <w:spacing w:val="-12"/>
          <w:sz w:val="21"/>
        </w:rPr>
        <w:t> </w:t>
      </w:r>
      <w:r>
        <w:rPr>
          <w:sz w:val="21"/>
        </w:rPr>
        <w:t>sessions</w:t>
      </w:r>
      <w:r>
        <w:rPr>
          <w:spacing w:val="-12"/>
          <w:sz w:val="21"/>
        </w:rPr>
        <w:t> </w:t>
      </w:r>
      <w:r>
        <w:rPr>
          <w:sz w:val="21"/>
        </w:rPr>
        <w:t>took</w:t>
      </w:r>
      <w:r>
        <w:rPr>
          <w:spacing w:val="-11"/>
          <w:sz w:val="21"/>
        </w:rPr>
        <w:t> </w:t>
      </w:r>
      <w:r>
        <w:rPr>
          <w:sz w:val="21"/>
        </w:rPr>
        <w:t>place</w:t>
      </w:r>
      <w:r>
        <w:rPr>
          <w:spacing w:val="-12"/>
          <w:sz w:val="21"/>
        </w:rPr>
        <w:t> </w:t>
      </w:r>
      <w:r>
        <w:rPr>
          <w:sz w:val="21"/>
        </w:rPr>
        <w:t>in</w:t>
      </w:r>
      <w:r>
        <w:rPr>
          <w:spacing w:val="-11"/>
          <w:sz w:val="21"/>
        </w:rPr>
        <w:t> </w:t>
      </w:r>
      <w:r>
        <w:rPr>
          <w:sz w:val="21"/>
        </w:rPr>
        <w:t>Springfield,</w:t>
      </w:r>
      <w:r>
        <w:rPr>
          <w:spacing w:val="-12"/>
          <w:sz w:val="21"/>
        </w:rPr>
        <w:t> </w:t>
      </w:r>
      <w:r>
        <w:rPr>
          <w:sz w:val="21"/>
        </w:rPr>
        <w:t>Worcester,</w:t>
      </w:r>
      <w:r>
        <w:rPr>
          <w:spacing w:val="-11"/>
          <w:sz w:val="21"/>
        </w:rPr>
        <w:t> </w:t>
      </w:r>
      <w:r>
        <w:rPr>
          <w:sz w:val="21"/>
        </w:rPr>
        <w:t>and</w:t>
      </w:r>
      <w:r>
        <w:rPr>
          <w:spacing w:val="-12"/>
          <w:sz w:val="21"/>
        </w:rPr>
        <w:t> </w:t>
      </w:r>
      <w:r>
        <w:rPr>
          <w:sz w:val="21"/>
        </w:rPr>
        <w:t>Boston.</w:t>
      </w:r>
      <w:r>
        <w:rPr>
          <w:spacing w:val="-12"/>
          <w:sz w:val="21"/>
        </w:rPr>
        <w:t> </w:t>
      </w:r>
      <w:r>
        <w:rPr>
          <w:sz w:val="21"/>
        </w:rPr>
        <w:t>The</w:t>
      </w:r>
      <w:r>
        <w:rPr>
          <w:spacing w:val="-12"/>
          <w:sz w:val="21"/>
        </w:rPr>
        <w:t> </w:t>
      </w:r>
      <w:r>
        <w:rPr>
          <w:sz w:val="21"/>
        </w:rPr>
        <w:t>questions</w:t>
      </w:r>
      <w:r>
        <w:rPr>
          <w:spacing w:val="-11"/>
          <w:sz w:val="21"/>
        </w:rPr>
        <w:t> </w:t>
      </w:r>
      <w:r>
        <w:rPr>
          <w:sz w:val="21"/>
        </w:rPr>
        <w:t>at</w:t>
      </w:r>
      <w:r>
        <w:rPr>
          <w:spacing w:val="-11"/>
          <w:sz w:val="21"/>
        </w:rPr>
        <w:t> </w:t>
      </w:r>
      <w:r>
        <w:rPr>
          <w:sz w:val="21"/>
        </w:rPr>
        <w:t>these sessions covered experiences in education and health care. Additionally, the Commission invited Boston Youth Pride attendees in May 2024 to attend mini-listening session on their experiences in schools.</w:t>
      </w:r>
    </w:p>
    <w:p>
      <w:pPr>
        <w:spacing w:after="0" w:line="276" w:lineRule="auto"/>
        <w:jc w:val="both"/>
        <w:rPr>
          <w:sz w:val="21"/>
        </w:rPr>
        <w:sectPr>
          <w:headerReference w:type="default" r:id="rId14"/>
          <w:footerReference w:type="default" r:id="rId15"/>
          <w:pgSz w:w="12240" w:h="15840"/>
          <w:pgMar w:header="0" w:footer="1061" w:top="1420" w:bottom="1260" w:left="980" w:right="1160"/>
          <w:pgNumType w:start="1"/>
        </w:sectPr>
      </w:pPr>
    </w:p>
    <w:p>
      <w:pPr>
        <w:spacing w:line="276" w:lineRule="auto" w:before="30"/>
        <w:ind w:left="604" w:right="420" w:firstLine="0"/>
        <w:jc w:val="both"/>
        <w:rPr>
          <w:sz w:val="21"/>
        </w:rPr>
      </w:pPr>
      <w:r>
        <w:rPr>
          <w:sz w:val="21"/>
        </w:rPr>
        <w:t>Participants in these sessions engaged with our Commission members and staff and shared some of the following concerns:</w:t>
      </w:r>
    </w:p>
    <w:p>
      <w:pPr>
        <w:pStyle w:val="ListParagraph"/>
        <w:numPr>
          <w:ilvl w:val="0"/>
          <w:numId w:val="1"/>
        </w:numPr>
        <w:tabs>
          <w:tab w:pos="1899" w:val="left" w:leader="none"/>
        </w:tabs>
        <w:spacing w:line="240" w:lineRule="auto" w:before="239" w:after="0"/>
        <w:ind w:left="1899" w:right="0" w:hanging="360"/>
        <w:jc w:val="left"/>
        <w:rPr>
          <w:rFonts w:ascii="Symbol" w:hAnsi="Symbol"/>
          <w:sz w:val="21"/>
        </w:rPr>
      </w:pPr>
      <w:r>
        <w:rPr>
          <w:sz w:val="21"/>
        </w:rPr>
        <w:t>Lack</w:t>
      </w:r>
      <w:r>
        <w:rPr>
          <w:spacing w:val="-6"/>
          <w:sz w:val="21"/>
        </w:rPr>
        <w:t> </w:t>
      </w:r>
      <w:r>
        <w:rPr>
          <w:sz w:val="21"/>
        </w:rPr>
        <w:t>of</w:t>
      </w:r>
      <w:r>
        <w:rPr>
          <w:spacing w:val="-3"/>
          <w:sz w:val="21"/>
        </w:rPr>
        <w:t> </w:t>
      </w:r>
      <w:r>
        <w:rPr>
          <w:sz w:val="21"/>
        </w:rPr>
        <w:t>access</w:t>
      </w:r>
      <w:r>
        <w:rPr>
          <w:spacing w:val="-2"/>
          <w:sz w:val="21"/>
        </w:rPr>
        <w:t> </w:t>
      </w:r>
      <w:r>
        <w:rPr>
          <w:sz w:val="21"/>
        </w:rPr>
        <w:t>to</w:t>
      </w:r>
      <w:r>
        <w:rPr>
          <w:spacing w:val="-3"/>
          <w:sz w:val="21"/>
        </w:rPr>
        <w:t> </w:t>
      </w:r>
      <w:r>
        <w:rPr>
          <w:sz w:val="21"/>
        </w:rPr>
        <w:t>LGBTQ-affirming</w:t>
      </w:r>
      <w:r>
        <w:rPr>
          <w:spacing w:val="-2"/>
          <w:sz w:val="21"/>
        </w:rPr>
        <w:t> </w:t>
      </w:r>
      <w:r>
        <w:rPr>
          <w:sz w:val="21"/>
        </w:rPr>
        <w:t>or</w:t>
      </w:r>
      <w:r>
        <w:rPr>
          <w:spacing w:val="-3"/>
          <w:sz w:val="21"/>
        </w:rPr>
        <w:t> </w:t>
      </w:r>
      <w:r>
        <w:rPr>
          <w:sz w:val="21"/>
        </w:rPr>
        <w:t>inclusive</w:t>
      </w:r>
      <w:r>
        <w:rPr>
          <w:spacing w:val="-3"/>
          <w:sz w:val="21"/>
        </w:rPr>
        <w:t> </w:t>
      </w:r>
      <w:r>
        <w:rPr>
          <w:sz w:val="21"/>
        </w:rPr>
        <w:t>curriculum,</w:t>
      </w:r>
      <w:r>
        <w:rPr>
          <w:spacing w:val="-2"/>
          <w:sz w:val="21"/>
        </w:rPr>
        <w:t> </w:t>
      </w:r>
      <w:r>
        <w:rPr>
          <w:sz w:val="21"/>
        </w:rPr>
        <w:t>materials,</w:t>
      </w:r>
      <w:r>
        <w:rPr>
          <w:spacing w:val="-4"/>
          <w:sz w:val="21"/>
        </w:rPr>
        <w:t> </w:t>
      </w:r>
      <w:r>
        <w:rPr>
          <w:sz w:val="21"/>
        </w:rPr>
        <w:t>and</w:t>
      </w:r>
      <w:r>
        <w:rPr>
          <w:spacing w:val="-2"/>
          <w:sz w:val="21"/>
        </w:rPr>
        <w:t> books</w:t>
      </w:r>
    </w:p>
    <w:p>
      <w:pPr>
        <w:pStyle w:val="ListParagraph"/>
        <w:numPr>
          <w:ilvl w:val="0"/>
          <w:numId w:val="1"/>
        </w:numPr>
        <w:tabs>
          <w:tab w:pos="1899" w:val="left" w:leader="none"/>
        </w:tabs>
        <w:spacing w:line="240" w:lineRule="auto" w:before="39" w:after="0"/>
        <w:ind w:left="1899" w:right="0" w:hanging="360"/>
        <w:jc w:val="left"/>
        <w:rPr>
          <w:rFonts w:ascii="Symbol" w:hAnsi="Symbol"/>
          <w:sz w:val="21"/>
        </w:rPr>
      </w:pPr>
      <w:r>
        <w:rPr>
          <w:sz w:val="21"/>
        </w:rPr>
        <w:t>Lack</w:t>
      </w:r>
      <w:r>
        <w:rPr>
          <w:spacing w:val="-6"/>
          <w:sz w:val="21"/>
        </w:rPr>
        <w:t> </w:t>
      </w:r>
      <w:r>
        <w:rPr>
          <w:sz w:val="21"/>
        </w:rPr>
        <w:t>of</w:t>
      </w:r>
      <w:r>
        <w:rPr>
          <w:spacing w:val="-3"/>
          <w:sz w:val="21"/>
        </w:rPr>
        <w:t> </w:t>
      </w:r>
      <w:r>
        <w:rPr>
          <w:sz w:val="21"/>
        </w:rPr>
        <w:t>access</w:t>
      </w:r>
      <w:r>
        <w:rPr>
          <w:spacing w:val="-2"/>
          <w:sz w:val="21"/>
        </w:rPr>
        <w:t> </w:t>
      </w:r>
      <w:r>
        <w:rPr>
          <w:sz w:val="21"/>
        </w:rPr>
        <w:t>to</w:t>
      </w:r>
      <w:r>
        <w:rPr>
          <w:spacing w:val="-3"/>
          <w:sz w:val="21"/>
        </w:rPr>
        <w:t> </w:t>
      </w:r>
      <w:r>
        <w:rPr>
          <w:sz w:val="21"/>
        </w:rPr>
        <w:t>comprehensive</w:t>
      </w:r>
      <w:r>
        <w:rPr>
          <w:spacing w:val="-3"/>
          <w:sz w:val="21"/>
        </w:rPr>
        <w:t> </w:t>
      </w:r>
      <w:r>
        <w:rPr>
          <w:sz w:val="21"/>
        </w:rPr>
        <w:t>or</w:t>
      </w:r>
      <w:r>
        <w:rPr>
          <w:spacing w:val="-3"/>
          <w:sz w:val="21"/>
        </w:rPr>
        <w:t> </w:t>
      </w:r>
      <w:r>
        <w:rPr>
          <w:sz w:val="21"/>
        </w:rPr>
        <w:t>LGBTQ-affirming</w:t>
      </w:r>
      <w:r>
        <w:rPr>
          <w:spacing w:val="-3"/>
          <w:sz w:val="21"/>
        </w:rPr>
        <w:t> </w:t>
      </w:r>
      <w:r>
        <w:rPr>
          <w:sz w:val="21"/>
        </w:rPr>
        <w:t>health</w:t>
      </w:r>
      <w:r>
        <w:rPr>
          <w:spacing w:val="-3"/>
          <w:sz w:val="21"/>
        </w:rPr>
        <w:t> </w:t>
      </w:r>
      <w:r>
        <w:rPr>
          <w:spacing w:val="-2"/>
          <w:sz w:val="21"/>
        </w:rPr>
        <w:t>education</w:t>
      </w:r>
    </w:p>
    <w:p>
      <w:pPr>
        <w:pStyle w:val="ListParagraph"/>
        <w:numPr>
          <w:ilvl w:val="0"/>
          <w:numId w:val="1"/>
        </w:numPr>
        <w:tabs>
          <w:tab w:pos="1899" w:val="left" w:leader="none"/>
        </w:tabs>
        <w:spacing w:line="276" w:lineRule="auto" w:before="38" w:after="0"/>
        <w:ind w:left="1899" w:right="422" w:hanging="360"/>
        <w:jc w:val="left"/>
        <w:rPr>
          <w:rFonts w:ascii="Symbol" w:hAnsi="Symbol"/>
          <w:sz w:val="21"/>
        </w:rPr>
      </w:pPr>
      <w:r>
        <w:rPr>
          <w:sz w:val="21"/>
        </w:rPr>
        <w:t>Separation</w:t>
      </w:r>
      <w:r>
        <w:rPr>
          <w:spacing w:val="-5"/>
          <w:sz w:val="21"/>
        </w:rPr>
        <w:t> </w:t>
      </w:r>
      <w:r>
        <w:rPr>
          <w:sz w:val="21"/>
        </w:rPr>
        <w:t>of</w:t>
      </w:r>
      <w:r>
        <w:rPr>
          <w:spacing w:val="-7"/>
          <w:sz w:val="21"/>
        </w:rPr>
        <w:t> </w:t>
      </w:r>
      <w:r>
        <w:rPr>
          <w:sz w:val="21"/>
        </w:rPr>
        <w:t>students</w:t>
      </w:r>
      <w:r>
        <w:rPr>
          <w:spacing w:val="-6"/>
          <w:sz w:val="21"/>
        </w:rPr>
        <w:t> </w:t>
      </w:r>
      <w:r>
        <w:rPr>
          <w:sz w:val="21"/>
        </w:rPr>
        <w:t>into</w:t>
      </w:r>
      <w:r>
        <w:rPr>
          <w:spacing w:val="-8"/>
          <w:sz w:val="21"/>
        </w:rPr>
        <w:t> </w:t>
      </w:r>
      <w:r>
        <w:rPr>
          <w:sz w:val="21"/>
        </w:rPr>
        <w:t>groups</w:t>
      </w:r>
      <w:r>
        <w:rPr>
          <w:spacing w:val="-6"/>
          <w:sz w:val="21"/>
        </w:rPr>
        <w:t> </w:t>
      </w:r>
      <w:r>
        <w:rPr>
          <w:sz w:val="21"/>
        </w:rPr>
        <w:t>of</w:t>
      </w:r>
      <w:r>
        <w:rPr>
          <w:spacing w:val="-6"/>
          <w:sz w:val="21"/>
        </w:rPr>
        <w:t> </w:t>
      </w:r>
      <w:r>
        <w:rPr>
          <w:sz w:val="21"/>
        </w:rPr>
        <w:t>“boys”</w:t>
      </w:r>
      <w:r>
        <w:rPr>
          <w:spacing w:val="-6"/>
          <w:sz w:val="21"/>
        </w:rPr>
        <w:t> </w:t>
      </w:r>
      <w:r>
        <w:rPr>
          <w:sz w:val="21"/>
        </w:rPr>
        <w:t>and</w:t>
      </w:r>
      <w:r>
        <w:rPr>
          <w:spacing w:val="-5"/>
          <w:sz w:val="21"/>
        </w:rPr>
        <w:t> </w:t>
      </w:r>
      <w:r>
        <w:rPr>
          <w:sz w:val="21"/>
        </w:rPr>
        <w:t>“girls”</w:t>
      </w:r>
      <w:r>
        <w:rPr>
          <w:spacing w:val="-4"/>
          <w:sz w:val="21"/>
        </w:rPr>
        <w:t> </w:t>
      </w:r>
      <w:r>
        <w:rPr>
          <w:sz w:val="21"/>
        </w:rPr>
        <w:t>in</w:t>
      </w:r>
      <w:r>
        <w:rPr>
          <w:spacing w:val="-7"/>
          <w:sz w:val="21"/>
        </w:rPr>
        <w:t> </w:t>
      </w:r>
      <w:r>
        <w:rPr>
          <w:sz w:val="21"/>
        </w:rPr>
        <w:t>health</w:t>
      </w:r>
      <w:r>
        <w:rPr>
          <w:spacing w:val="-7"/>
          <w:sz w:val="21"/>
        </w:rPr>
        <w:t> </w:t>
      </w:r>
      <w:r>
        <w:rPr>
          <w:sz w:val="21"/>
        </w:rPr>
        <w:t>classes,</w:t>
      </w:r>
      <w:r>
        <w:rPr>
          <w:spacing w:val="-5"/>
          <w:sz w:val="21"/>
        </w:rPr>
        <w:t> </w:t>
      </w:r>
      <w:r>
        <w:rPr>
          <w:sz w:val="21"/>
        </w:rPr>
        <w:t>leading</w:t>
      </w:r>
      <w:r>
        <w:rPr>
          <w:spacing w:val="-6"/>
          <w:sz w:val="21"/>
        </w:rPr>
        <w:t> </w:t>
      </w:r>
      <w:r>
        <w:rPr>
          <w:sz w:val="21"/>
        </w:rPr>
        <w:t>nonbinary and trans students with a lack of information about puberty</w:t>
      </w:r>
    </w:p>
    <w:p>
      <w:pPr>
        <w:pStyle w:val="ListParagraph"/>
        <w:numPr>
          <w:ilvl w:val="0"/>
          <w:numId w:val="1"/>
        </w:numPr>
        <w:tabs>
          <w:tab w:pos="1899" w:val="left" w:leader="none"/>
        </w:tabs>
        <w:spacing w:line="240" w:lineRule="auto" w:before="1" w:after="0"/>
        <w:ind w:left="1899" w:right="0" w:hanging="360"/>
        <w:jc w:val="left"/>
        <w:rPr>
          <w:rFonts w:ascii="Symbol" w:hAnsi="Symbol"/>
          <w:sz w:val="21"/>
        </w:rPr>
      </w:pPr>
      <w:r>
        <w:rPr>
          <w:sz w:val="21"/>
        </w:rPr>
        <w:t>Bullying</w:t>
      </w:r>
      <w:r>
        <w:rPr>
          <w:spacing w:val="-12"/>
          <w:sz w:val="21"/>
        </w:rPr>
        <w:t> </w:t>
      </w:r>
      <w:r>
        <w:rPr>
          <w:sz w:val="21"/>
        </w:rPr>
        <w:t>from</w:t>
      </w:r>
      <w:r>
        <w:rPr>
          <w:spacing w:val="-10"/>
          <w:sz w:val="21"/>
        </w:rPr>
        <w:t> </w:t>
      </w:r>
      <w:r>
        <w:rPr>
          <w:sz w:val="21"/>
        </w:rPr>
        <w:t>their</w:t>
      </w:r>
      <w:r>
        <w:rPr>
          <w:spacing w:val="-11"/>
          <w:sz w:val="21"/>
        </w:rPr>
        <w:t> </w:t>
      </w:r>
      <w:r>
        <w:rPr>
          <w:sz w:val="21"/>
        </w:rPr>
        <w:t>peers</w:t>
      </w:r>
      <w:r>
        <w:rPr>
          <w:spacing w:val="-11"/>
          <w:sz w:val="21"/>
        </w:rPr>
        <w:t> </w:t>
      </w:r>
      <w:r>
        <w:rPr>
          <w:sz w:val="21"/>
        </w:rPr>
        <w:t>with</w:t>
      </w:r>
      <w:r>
        <w:rPr>
          <w:spacing w:val="-11"/>
          <w:sz w:val="21"/>
        </w:rPr>
        <w:t> </w:t>
      </w:r>
      <w:r>
        <w:rPr>
          <w:sz w:val="21"/>
        </w:rPr>
        <w:t>a</w:t>
      </w:r>
      <w:r>
        <w:rPr>
          <w:spacing w:val="-11"/>
          <w:sz w:val="21"/>
        </w:rPr>
        <w:t> </w:t>
      </w:r>
      <w:r>
        <w:rPr>
          <w:sz w:val="21"/>
        </w:rPr>
        <w:t>lack</w:t>
      </w:r>
      <w:r>
        <w:rPr>
          <w:spacing w:val="-11"/>
          <w:sz w:val="21"/>
        </w:rPr>
        <w:t> </w:t>
      </w:r>
      <w:r>
        <w:rPr>
          <w:sz w:val="21"/>
        </w:rPr>
        <w:t>of</w:t>
      </w:r>
      <w:r>
        <w:rPr>
          <w:spacing w:val="-12"/>
          <w:sz w:val="21"/>
        </w:rPr>
        <w:t> </w:t>
      </w:r>
      <w:r>
        <w:rPr>
          <w:sz w:val="21"/>
        </w:rPr>
        <w:t>accountability</w:t>
      </w:r>
      <w:r>
        <w:rPr>
          <w:spacing w:val="-11"/>
          <w:sz w:val="21"/>
        </w:rPr>
        <w:t> </w:t>
      </w:r>
      <w:r>
        <w:rPr>
          <w:sz w:val="21"/>
        </w:rPr>
        <w:t>from</w:t>
      </w:r>
      <w:r>
        <w:rPr>
          <w:spacing w:val="-10"/>
          <w:sz w:val="21"/>
        </w:rPr>
        <w:t> </w:t>
      </w:r>
      <w:r>
        <w:rPr>
          <w:sz w:val="21"/>
        </w:rPr>
        <w:t>administrators</w:t>
      </w:r>
      <w:r>
        <w:rPr>
          <w:spacing w:val="-12"/>
          <w:sz w:val="21"/>
        </w:rPr>
        <w:t> </w:t>
      </w:r>
      <w:r>
        <w:rPr>
          <w:sz w:val="21"/>
        </w:rPr>
        <w:t>to</w:t>
      </w:r>
      <w:r>
        <w:rPr>
          <w:spacing w:val="-11"/>
          <w:sz w:val="21"/>
        </w:rPr>
        <w:t> </w:t>
      </w:r>
      <w:r>
        <w:rPr>
          <w:sz w:val="21"/>
        </w:rPr>
        <w:t>support</w:t>
      </w:r>
      <w:r>
        <w:rPr>
          <w:spacing w:val="-11"/>
          <w:sz w:val="21"/>
        </w:rPr>
        <w:t> </w:t>
      </w:r>
      <w:r>
        <w:rPr>
          <w:spacing w:val="-2"/>
          <w:sz w:val="21"/>
        </w:rPr>
        <w:t>victims</w:t>
      </w:r>
    </w:p>
    <w:p>
      <w:pPr>
        <w:pStyle w:val="ListParagraph"/>
        <w:numPr>
          <w:ilvl w:val="0"/>
          <w:numId w:val="1"/>
        </w:numPr>
        <w:tabs>
          <w:tab w:pos="1899" w:val="left" w:leader="none"/>
        </w:tabs>
        <w:spacing w:line="240" w:lineRule="auto" w:before="38" w:after="0"/>
        <w:ind w:left="1899" w:right="0" w:hanging="360"/>
        <w:jc w:val="left"/>
        <w:rPr>
          <w:rFonts w:ascii="Symbol" w:hAnsi="Symbol"/>
          <w:sz w:val="21"/>
        </w:rPr>
      </w:pPr>
      <w:r>
        <w:rPr>
          <w:sz w:val="21"/>
        </w:rPr>
        <w:t>Feeling</w:t>
      </w:r>
      <w:r>
        <w:rPr>
          <w:spacing w:val="-3"/>
          <w:sz w:val="21"/>
        </w:rPr>
        <w:t> </w:t>
      </w:r>
      <w:r>
        <w:rPr>
          <w:sz w:val="21"/>
        </w:rPr>
        <w:t>unsafe</w:t>
      </w:r>
      <w:r>
        <w:rPr>
          <w:spacing w:val="-2"/>
          <w:sz w:val="21"/>
        </w:rPr>
        <w:t> </w:t>
      </w:r>
      <w:r>
        <w:rPr>
          <w:sz w:val="21"/>
        </w:rPr>
        <w:t>reporting</w:t>
      </w:r>
      <w:r>
        <w:rPr>
          <w:spacing w:val="-3"/>
          <w:sz w:val="21"/>
        </w:rPr>
        <w:t> </w:t>
      </w:r>
      <w:r>
        <w:rPr>
          <w:sz w:val="21"/>
        </w:rPr>
        <w:t>bullying</w:t>
      </w:r>
      <w:r>
        <w:rPr>
          <w:spacing w:val="-2"/>
          <w:sz w:val="21"/>
        </w:rPr>
        <w:t> </w:t>
      </w:r>
      <w:r>
        <w:rPr>
          <w:sz w:val="21"/>
        </w:rPr>
        <w:t>due</w:t>
      </w:r>
      <w:r>
        <w:rPr>
          <w:spacing w:val="-2"/>
          <w:sz w:val="21"/>
        </w:rPr>
        <w:t> </w:t>
      </w:r>
      <w:r>
        <w:rPr>
          <w:sz w:val="21"/>
        </w:rPr>
        <w:t>to</w:t>
      </w:r>
      <w:r>
        <w:rPr>
          <w:spacing w:val="-3"/>
          <w:sz w:val="21"/>
        </w:rPr>
        <w:t> </w:t>
      </w:r>
      <w:r>
        <w:rPr>
          <w:sz w:val="21"/>
        </w:rPr>
        <w:t>a</w:t>
      </w:r>
      <w:r>
        <w:rPr>
          <w:spacing w:val="-3"/>
          <w:sz w:val="21"/>
        </w:rPr>
        <w:t> </w:t>
      </w:r>
      <w:r>
        <w:rPr>
          <w:sz w:val="21"/>
        </w:rPr>
        <w:t>fear</w:t>
      </w:r>
      <w:r>
        <w:rPr>
          <w:spacing w:val="-2"/>
          <w:sz w:val="21"/>
        </w:rPr>
        <w:t> </w:t>
      </w:r>
      <w:r>
        <w:rPr>
          <w:sz w:val="21"/>
        </w:rPr>
        <w:t>and</w:t>
      </w:r>
      <w:r>
        <w:rPr>
          <w:spacing w:val="-3"/>
          <w:sz w:val="21"/>
        </w:rPr>
        <w:t> </w:t>
      </w:r>
      <w:r>
        <w:rPr>
          <w:sz w:val="21"/>
        </w:rPr>
        <w:t>occurrences</w:t>
      </w:r>
      <w:r>
        <w:rPr>
          <w:spacing w:val="-2"/>
          <w:sz w:val="21"/>
        </w:rPr>
        <w:t> </w:t>
      </w:r>
      <w:r>
        <w:rPr>
          <w:sz w:val="21"/>
        </w:rPr>
        <w:t>of</w:t>
      </w:r>
      <w:r>
        <w:rPr>
          <w:spacing w:val="-2"/>
          <w:sz w:val="21"/>
        </w:rPr>
        <w:t> retaliation</w:t>
      </w:r>
    </w:p>
    <w:p>
      <w:pPr>
        <w:pStyle w:val="ListParagraph"/>
        <w:numPr>
          <w:ilvl w:val="0"/>
          <w:numId w:val="1"/>
        </w:numPr>
        <w:tabs>
          <w:tab w:pos="1899" w:val="left" w:leader="none"/>
        </w:tabs>
        <w:spacing w:line="240" w:lineRule="auto" w:before="38" w:after="0"/>
        <w:ind w:left="1899" w:right="0" w:hanging="360"/>
        <w:jc w:val="left"/>
        <w:rPr>
          <w:rFonts w:ascii="Symbol" w:hAnsi="Symbol"/>
          <w:sz w:val="21"/>
        </w:rPr>
      </w:pPr>
      <w:r>
        <w:rPr>
          <w:sz w:val="21"/>
        </w:rPr>
        <w:t>Lack</w:t>
      </w:r>
      <w:r>
        <w:rPr>
          <w:spacing w:val="-4"/>
          <w:sz w:val="21"/>
        </w:rPr>
        <w:t> </w:t>
      </w:r>
      <w:r>
        <w:rPr>
          <w:sz w:val="21"/>
        </w:rPr>
        <w:t>of</w:t>
      </w:r>
      <w:r>
        <w:rPr>
          <w:spacing w:val="-2"/>
          <w:sz w:val="21"/>
        </w:rPr>
        <w:t> </w:t>
      </w:r>
      <w:r>
        <w:rPr>
          <w:sz w:val="21"/>
        </w:rPr>
        <w:t>support</w:t>
      </w:r>
      <w:r>
        <w:rPr>
          <w:spacing w:val="-2"/>
          <w:sz w:val="21"/>
        </w:rPr>
        <w:t> </w:t>
      </w:r>
      <w:r>
        <w:rPr>
          <w:sz w:val="21"/>
        </w:rPr>
        <w:t>or</w:t>
      </w:r>
      <w:r>
        <w:rPr>
          <w:spacing w:val="-2"/>
          <w:sz w:val="21"/>
        </w:rPr>
        <w:t> </w:t>
      </w:r>
      <w:r>
        <w:rPr>
          <w:sz w:val="21"/>
        </w:rPr>
        <w:t>participation</w:t>
      </w:r>
      <w:r>
        <w:rPr>
          <w:spacing w:val="-2"/>
          <w:sz w:val="21"/>
        </w:rPr>
        <w:t> </w:t>
      </w:r>
      <w:r>
        <w:rPr>
          <w:sz w:val="21"/>
        </w:rPr>
        <w:t>for</w:t>
      </w:r>
      <w:r>
        <w:rPr>
          <w:spacing w:val="-2"/>
          <w:sz w:val="21"/>
        </w:rPr>
        <w:t> </w:t>
      </w:r>
      <w:r>
        <w:rPr>
          <w:spacing w:val="-4"/>
          <w:sz w:val="21"/>
        </w:rPr>
        <w:t>GSAs</w:t>
      </w:r>
    </w:p>
    <w:p>
      <w:pPr>
        <w:pStyle w:val="ListParagraph"/>
        <w:numPr>
          <w:ilvl w:val="0"/>
          <w:numId w:val="1"/>
        </w:numPr>
        <w:tabs>
          <w:tab w:pos="1899" w:val="left" w:leader="none"/>
        </w:tabs>
        <w:spacing w:line="240" w:lineRule="auto" w:before="39" w:after="0"/>
        <w:ind w:left="1899" w:right="0" w:hanging="360"/>
        <w:jc w:val="left"/>
        <w:rPr>
          <w:rFonts w:ascii="Symbol" w:hAnsi="Symbol"/>
          <w:sz w:val="21"/>
        </w:rPr>
      </w:pPr>
      <w:r>
        <w:rPr>
          <w:sz w:val="21"/>
        </w:rPr>
        <w:t>Lack</w:t>
      </w:r>
      <w:r>
        <w:rPr>
          <w:spacing w:val="-3"/>
          <w:sz w:val="21"/>
        </w:rPr>
        <w:t> </w:t>
      </w:r>
      <w:r>
        <w:rPr>
          <w:sz w:val="21"/>
        </w:rPr>
        <w:t>of</w:t>
      </w:r>
      <w:r>
        <w:rPr>
          <w:spacing w:val="-1"/>
          <w:sz w:val="21"/>
        </w:rPr>
        <w:t> </w:t>
      </w:r>
      <w:r>
        <w:rPr>
          <w:sz w:val="21"/>
        </w:rPr>
        <w:t>support</w:t>
      </w:r>
      <w:r>
        <w:rPr>
          <w:spacing w:val="-2"/>
          <w:sz w:val="21"/>
        </w:rPr>
        <w:t> </w:t>
      </w:r>
      <w:r>
        <w:rPr>
          <w:sz w:val="21"/>
        </w:rPr>
        <w:t>from</w:t>
      </w:r>
      <w:r>
        <w:rPr>
          <w:spacing w:val="-1"/>
          <w:sz w:val="21"/>
        </w:rPr>
        <w:t> </w:t>
      </w:r>
      <w:r>
        <w:rPr>
          <w:spacing w:val="-2"/>
          <w:sz w:val="21"/>
        </w:rPr>
        <w:t>caregivers</w:t>
      </w:r>
    </w:p>
    <w:p>
      <w:pPr>
        <w:pStyle w:val="ListParagraph"/>
        <w:numPr>
          <w:ilvl w:val="0"/>
          <w:numId w:val="1"/>
        </w:numPr>
        <w:tabs>
          <w:tab w:pos="1899" w:val="left" w:leader="none"/>
        </w:tabs>
        <w:spacing w:line="240" w:lineRule="auto" w:before="38" w:after="0"/>
        <w:ind w:left="1899" w:right="0" w:hanging="360"/>
        <w:jc w:val="left"/>
        <w:rPr>
          <w:rFonts w:ascii="Symbol" w:hAnsi="Symbol"/>
          <w:sz w:val="21"/>
        </w:rPr>
      </w:pPr>
      <w:r>
        <w:rPr>
          <w:sz w:val="21"/>
        </w:rPr>
        <w:t>Lack</w:t>
      </w:r>
      <w:r>
        <w:rPr>
          <w:spacing w:val="-3"/>
          <w:sz w:val="21"/>
        </w:rPr>
        <w:t> </w:t>
      </w:r>
      <w:r>
        <w:rPr>
          <w:sz w:val="21"/>
        </w:rPr>
        <w:t>of</w:t>
      </w:r>
      <w:r>
        <w:rPr>
          <w:spacing w:val="-1"/>
          <w:sz w:val="21"/>
        </w:rPr>
        <w:t> </w:t>
      </w:r>
      <w:r>
        <w:rPr>
          <w:sz w:val="21"/>
        </w:rPr>
        <w:t>access</w:t>
      </w:r>
      <w:r>
        <w:rPr>
          <w:spacing w:val="-1"/>
          <w:sz w:val="21"/>
        </w:rPr>
        <w:t> </w:t>
      </w:r>
      <w:r>
        <w:rPr>
          <w:sz w:val="21"/>
        </w:rPr>
        <w:t>to</w:t>
      </w:r>
      <w:r>
        <w:rPr>
          <w:spacing w:val="-2"/>
          <w:sz w:val="21"/>
        </w:rPr>
        <w:t> </w:t>
      </w:r>
      <w:r>
        <w:rPr>
          <w:sz w:val="21"/>
        </w:rPr>
        <w:t>play</w:t>
      </w:r>
      <w:r>
        <w:rPr>
          <w:spacing w:val="-1"/>
          <w:sz w:val="21"/>
        </w:rPr>
        <w:t> </w:t>
      </w:r>
      <w:r>
        <w:rPr>
          <w:sz w:val="21"/>
        </w:rPr>
        <w:t>sports</w:t>
      </w:r>
      <w:r>
        <w:rPr>
          <w:spacing w:val="-3"/>
          <w:sz w:val="21"/>
        </w:rPr>
        <w:t> </w:t>
      </w:r>
      <w:r>
        <w:rPr>
          <w:sz w:val="21"/>
        </w:rPr>
        <w:t>on</w:t>
      </w:r>
      <w:r>
        <w:rPr>
          <w:spacing w:val="-2"/>
          <w:sz w:val="21"/>
        </w:rPr>
        <w:t> </w:t>
      </w:r>
      <w:r>
        <w:rPr>
          <w:sz w:val="21"/>
        </w:rPr>
        <w:t>appropriate</w:t>
      </w:r>
      <w:r>
        <w:rPr>
          <w:spacing w:val="-1"/>
          <w:sz w:val="21"/>
        </w:rPr>
        <w:t> </w:t>
      </w:r>
      <w:r>
        <w:rPr>
          <w:spacing w:val="-2"/>
          <w:sz w:val="21"/>
        </w:rPr>
        <w:t>teams</w:t>
      </w:r>
    </w:p>
    <w:p>
      <w:pPr>
        <w:pStyle w:val="ListParagraph"/>
        <w:numPr>
          <w:ilvl w:val="0"/>
          <w:numId w:val="1"/>
        </w:numPr>
        <w:tabs>
          <w:tab w:pos="1899" w:val="left" w:leader="none"/>
        </w:tabs>
        <w:spacing w:line="276" w:lineRule="auto" w:before="39" w:after="0"/>
        <w:ind w:left="1899" w:right="421" w:hanging="360"/>
        <w:jc w:val="left"/>
        <w:rPr>
          <w:rFonts w:ascii="Symbol" w:hAnsi="Symbol"/>
          <w:sz w:val="21"/>
        </w:rPr>
      </w:pPr>
      <w:r>
        <w:rPr>
          <w:sz w:val="21"/>
        </w:rPr>
        <w:t>Lack of access to appropriate restroom spaces, and feeling unsafe using the restroom that matches their gender identity</w:t>
      </w:r>
    </w:p>
    <w:p>
      <w:pPr>
        <w:spacing w:line="276" w:lineRule="auto" w:before="239"/>
        <w:ind w:left="603" w:right="275" w:firstLine="0"/>
        <w:jc w:val="both"/>
        <w:rPr>
          <w:sz w:val="21"/>
        </w:rPr>
      </w:pPr>
      <w:r>
        <w:rPr>
          <w:sz w:val="21"/>
        </w:rPr>
        <w:t>Notably, every participant in these sessions (which so far have totaled over 25) reported that they have experienced bullying in their schools and do not feel as though the administration had an appropriate response to supporting them or their peers.</w:t>
      </w:r>
    </w:p>
    <w:p>
      <w:pPr>
        <w:spacing w:before="239"/>
        <w:ind w:left="604" w:right="0" w:firstLine="0"/>
        <w:jc w:val="both"/>
        <w:rPr>
          <w:sz w:val="24"/>
        </w:rPr>
      </w:pPr>
      <w:bookmarkStart w:name="Homelessness &amp; Criminal Justice" w:id="21"/>
      <w:bookmarkEnd w:id="21"/>
      <w:r>
        <w:rPr/>
      </w:r>
      <w:r>
        <w:rPr>
          <w:color w:val="365F91"/>
          <w:sz w:val="24"/>
        </w:rPr>
        <w:t>Homelessness</w:t>
      </w:r>
      <w:r>
        <w:rPr>
          <w:color w:val="365F91"/>
          <w:spacing w:val="-4"/>
          <w:sz w:val="24"/>
        </w:rPr>
        <w:t> </w:t>
      </w:r>
      <w:r>
        <w:rPr>
          <w:color w:val="365F91"/>
          <w:sz w:val="24"/>
        </w:rPr>
        <w:t>&amp;</w:t>
      </w:r>
      <w:r>
        <w:rPr>
          <w:color w:val="365F91"/>
          <w:spacing w:val="-3"/>
          <w:sz w:val="24"/>
        </w:rPr>
        <w:t> </w:t>
      </w:r>
      <w:r>
        <w:rPr>
          <w:color w:val="365F91"/>
          <w:sz w:val="24"/>
        </w:rPr>
        <w:t>Criminal</w:t>
      </w:r>
      <w:r>
        <w:rPr>
          <w:color w:val="365F91"/>
          <w:spacing w:val="-3"/>
          <w:sz w:val="24"/>
        </w:rPr>
        <w:t> </w:t>
      </w:r>
      <w:r>
        <w:rPr>
          <w:color w:val="365F91"/>
          <w:spacing w:val="-2"/>
          <w:sz w:val="24"/>
        </w:rPr>
        <w:t>Justice</w:t>
      </w:r>
    </w:p>
    <w:p>
      <w:pPr>
        <w:pStyle w:val="BodyText"/>
        <w:spacing w:line="276" w:lineRule="auto" w:before="286"/>
        <w:ind w:left="603" w:right="421"/>
        <w:jc w:val="both"/>
      </w:pPr>
      <w:r>
        <w:rPr/>
        <w:t>The</w:t>
      </w:r>
      <w:r>
        <w:rPr>
          <w:spacing w:val="-8"/>
        </w:rPr>
        <w:t> </w:t>
      </w:r>
      <w:r>
        <w:rPr/>
        <w:t>Commission</w:t>
      </w:r>
      <w:r>
        <w:rPr>
          <w:spacing w:val="-9"/>
        </w:rPr>
        <w:t> </w:t>
      </w:r>
      <w:r>
        <w:rPr/>
        <w:t>has</w:t>
      </w:r>
      <w:r>
        <w:rPr>
          <w:spacing w:val="-8"/>
        </w:rPr>
        <w:t> </w:t>
      </w:r>
      <w:r>
        <w:rPr/>
        <w:t>further</w:t>
      </w:r>
      <w:r>
        <w:rPr>
          <w:spacing w:val="-9"/>
        </w:rPr>
        <w:t> </w:t>
      </w:r>
      <w:r>
        <w:rPr/>
        <w:t>been</w:t>
      </w:r>
      <w:r>
        <w:rPr>
          <w:spacing w:val="-8"/>
        </w:rPr>
        <w:t> </w:t>
      </w:r>
      <w:r>
        <w:rPr/>
        <w:t>conducting</w:t>
      </w:r>
      <w:r>
        <w:rPr>
          <w:spacing w:val="-8"/>
        </w:rPr>
        <w:t> </w:t>
      </w:r>
      <w:r>
        <w:rPr/>
        <w:t>listening</w:t>
      </w:r>
      <w:r>
        <w:rPr>
          <w:spacing w:val="-9"/>
        </w:rPr>
        <w:t> </w:t>
      </w:r>
      <w:r>
        <w:rPr/>
        <w:t>sessions</w:t>
      </w:r>
      <w:r>
        <w:rPr>
          <w:spacing w:val="-8"/>
        </w:rPr>
        <w:t> </w:t>
      </w:r>
      <w:r>
        <w:rPr/>
        <w:t>and</w:t>
      </w:r>
      <w:r>
        <w:rPr>
          <w:spacing w:val="-9"/>
        </w:rPr>
        <w:t> </w:t>
      </w:r>
      <w:r>
        <w:rPr/>
        <w:t>one-on-one</w:t>
      </w:r>
      <w:r>
        <w:rPr>
          <w:spacing w:val="-9"/>
        </w:rPr>
        <w:t> </w:t>
      </w:r>
      <w:r>
        <w:rPr/>
        <w:t>interviews</w:t>
      </w:r>
      <w:r>
        <w:rPr>
          <w:spacing w:val="-6"/>
        </w:rPr>
        <w:t> </w:t>
      </w:r>
      <w:r>
        <w:rPr/>
        <w:t>with</w:t>
      </w:r>
      <w:r>
        <w:rPr>
          <w:spacing w:val="-8"/>
        </w:rPr>
        <w:t> </w:t>
      </w:r>
      <w:r>
        <w:rPr/>
        <w:t>youth in</w:t>
      </w:r>
      <w:r>
        <w:rPr>
          <w:spacing w:val="-4"/>
        </w:rPr>
        <w:t> </w:t>
      </w:r>
      <w:r>
        <w:rPr/>
        <w:t>other</w:t>
      </w:r>
      <w:r>
        <w:rPr>
          <w:spacing w:val="-3"/>
        </w:rPr>
        <w:t> </w:t>
      </w:r>
      <w:r>
        <w:rPr/>
        <w:t>areas,</w:t>
      </w:r>
      <w:r>
        <w:rPr>
          <w:spacing w:val="-4"/>
        </w:rPr>
        <w:t> </w:t>
      </w:r>
      <w:r>
        <w:rPr/>
        <w:t>noting</w:t>
      </w:r>
      <w:r>
        <w:rPr>
          <w:spacing w:val="-3"/>
        </w:rPr>
        <w:t> </w:t>
      </w:r>
      <w:r>
        <w:rPr/>
        <w:t>that</w:t>
      </w:r>
      <w:r>
        <w:rPr>
          <w:spacing w:val="-3"/>
        </w:rPr>
        <w:t> </w:t>
      </w:r>
      <w:r>
        <w:rPr/>
        <w:t>its</w:t>
      </w:r>
      <w:r>
        <w:rPr>
          <w:spacing w:val="-4"/>
        </w:rPr>
        <w:t> </w:t>
      </w:r>
      <w:r>
        <w:rPr/>
        <w:t>general</w:t>
      </w:r>
      <w:r>
        <w:rPr>
          <w:spacing w:val="-3"/>
        </w:rPr>
        <w:t> </w:t>
      </w:r>
      <w:r>
        <w:rPr/>
        <w:t>calls</w:t>
      </w:r>
      <w:r>
        <w:rPr>
          <w:spacing w:val="-4"/>
        </w:rPr>
        <w:t> </w:t>
      </w:r>
      <w:r>
        <w:rPr/>
        <w:t>for</w:t>
      </w:r>
      <w:r>
        <w:rPr>
          <w:spacing w:val="-4"/>
        </w:rPr>
        <w:t> </w:t>
      </w:r>
      <w:r>
        <w:rPr/>
        <w:t>listening</w:t>
      </w:r>
      <w:r>
        <w:rPr>
          <w:spacing w:val="-4"/>
        </w:rPr>
        <w:t> </w:t>
      </w:r>
      <w:r>
        <w:rPr/>
        <w:t>session</w:t>
      </w:r>
      <w:r>
        <w:rPr>
          <w:spacing w:val="-4"/>
        </w:rPr>
        <w:t> </w:t>
      </w:r>
      <w:r>
        <w:rPr/>
        <w:t>participants</w:t>
      </w:r>
      <w:r>
        <w:rPr>
          <w:spacing w:val="-4"/>
        </w:rPr>
        <w:t> </w:t>
      </w:r>
      <w:r>
        <w:rPr/>
        <w:t>often</w:t>
      </w:r>
      <w:r>
        <w:rPr>
          <w:spacing w:val="-3"/>
        </w:rPr>
        <w:t> </w:t>
      </w:r>
      <w:r>
        <w:rPr/>
        <w:t>fail</w:t>
      </w:r>
      <w:r>
        <w:rPr>
          <w:spacing w:val="-4"/>
        </w:rPr>
        <w:t> </w:t>
      </w:r>
      <w:r>
        <w:rPr/>
        <w:t>to</w:t>
      </w:r>
      <w:r>
        <w:rPr>
          <w:spacing w:val="-4"/>
        </w:rPr>
        <w:t> </w:t>
      </w:r>
      <w:r>
        <w:rPr/>
        <w:t>reach</w:t>
      </w:r>
      <w:r>
        <w:rPr>
          <w:spacing w:val="-3"/>
        </w:rPr>
        <w:t> </w:t>
      </w:r>
      <w:r>
        <w:rPr/>
        <w:t>some</w:t>
      </w:r>
      <w:r>
        <w:rPr>
          <w:spacing w:val="-4"/>
        </w:rPr>
        <w:t> </w:t>
      </w:r>
      <w:r>
        <w:rPr/>
        <w:t>of the</w:t>
      </w:r>
      <w:r>
        <w:rPr>
          <w:spacing w:val="-5"/>
        </w:rPr>
        <w:t> </w:t>
      </w:r>
      <w:r>
        <w:rPr/>
        <w:t>most</w:t>
      </w:r>
      <w:r>
        <w:rPr>
          <w:spacing w:val="-6"/>
        </w:rPr>
        <w:t> </w:t>
      </w:r>
      <w:r>
        <w:rPr/>
        <w:t>vulnerable</w:t>
      </w:r>
      <w:r>
        <w:rPr>
          <w:spacing w:val="-7"/>
        </w:rPr>
        <w:t> </w:t>
      </w:r>
      <w:r>
        <w:rPr/>
        <w:t>youth</w:t>
      </w:r>
      <w:r>
        <w:rPr>
          <w:spacing w:val="-4"/>
        </w:rPr>
        <w:t> </w:t>
      </w:r>
      <w:r>
        <w:rPr/>
        <w:t>in</w:t>
      </w:r>
      <w:r>
        <w:rPr>
          <w:spacing w:val="-6"/>
        </w:rPr>
        <w:t> </w:t>
      </w:r>
      <w:r>
        <w:rPr/>
        <w:t>the</w:t>
      </w:r>
      <w:r>
        <w:rPr>
          <w:spacing w:val="-5"/>
        </w:rPr>
        <w:t> </w:t>
      </w:r>
      <w:r>
        <w:rPr/>
        <w:t>state.</w:t>
      </w:r>
      <w:r>
        <w:rPr>
          <w:spacing w:val="-6"/>
        </w:rPr>
        <w:t> </w:t>
      </w:r>
      <w:r>
        <w:rPr/>
        <w:t>Continuing</w:t>
      </w:r>
      <w:r>
        <w:rPr>
          <w:spacing w:val="-6"/>
        </w:rPr>
        <w:t> </w:t>
      </w:r>
      <w:r>
        <w:rPr/>
        <w:t>into</w:t>
      </w:r>
      <w:r>
        <w:rPr>
          <w:spacing w:val="-6"/>
        </w:rPr>
        <w:t> </w:t>
      </w:r>
      <w:r>
        <w:rPr/>
        <w:t>FY</w:t>
      </w:r>
      <w:r>
        <w:rPr>
          <w:spacing w:val="-6"/>
        </w:rPr>
        <w:t> </w:t>
      </w:r>
      <w:r>
        <w:rPr/>
        <w:t>2025,</w:t>
      </w:r>
      <w:r>
        <w:rPr>
          <w:spacing w:val="-5"/>
        </w:rPr>
        <w:t> </w:t>
      </w:r>
      <w:r>
        <w:rPr/>
        <w:t>the</w:t>
      </w:r>
      <w:r>
        <w:rPr>
          <w:spacing w:val="-7"/>
        </w:rPr>
        <w:t> </w:t>
      </w:r>
      <w:r>
        <w:rPr/>
        <w:t>Commission</w:t>
      </w:r>
      <w:r>
        <w:rPr>
          <w:spacing w:val="-7"/>
        </w:rPr>
        <w:t> </w:t>
      </w:r>
      <w:r>
        <w:rPr/>
        <w:t>hopes</w:t>
      </w:r>
      <w:r>
        <w:rPr>
          <w:spacing w:val="-5"/>
        </w:rPr>
        <w:t> </w:t>
      </w:r>
      <w:r>
        <w:rPr/>
        <w:t>to</w:t>
      </w:r>
      <w:r>
        <w:rPr>
          <w:spacing w:val="-5"/>
        </w:rPr>
        <w:t> </w:t>
      </w:r>
      <w:r>
        <w:rPr/>
        <w:t>continue</w:t>
      </w:r>
      <w:r>
        <w:rPr>
          <w:spacing w:val="-5"/>
        </w:rPr>
        <w:t> </w:t>
      </w:r>
      <w:r>
        <w:rPr/>
        <w:t>to engage youth experiencing homelessness, who have interacted with or are currently involved in the legal</w:t>
      </w:r>
      <w:r>
        <w:rPr>
          <w:spacing w:val="-3"/>
        </w:rPr>
        <w:t> </w:t>
      </w:r>
      <w:r>
        <w:rPr/>
        <w:t>system, and</w:t>
      </w:r>
      <w:r>
        <w:rPr>
          <w:spacing w:val="-3"/>
        </w:rPr>
        <w:t> </w:t>
      </w:r>
      <w:r>
        <w:rPr/>
        <w:t>youth</w:t>
      </w:r>
      <w:r>
        <w:rPr>
          <w:spacing w:val="-2"/>
        </w:rPr>
        <w:t> </w:t>
      </w:r>
      <w:r>
        <w:rPr/>
        <w:t>transitioning</w:t>
      </w:r>
      <w:r>
        <w:rPr>
          <w:spacing w:val="-2"/>
        </w:rPr>
        <w:t> </w:t>
      </w:r>
      <w:r>
        <w:rPr/>
        <w:t>out</w:t>
      </w:r>
      <w:r>
        <w:rPr>
          <w:spacing w:val="-3"/>
        </w:rPr>
        <w:t> </w:t>
      </w:r>
      <w:r>
        <w:rPr/>
        <w:t>of</w:t>
      </w:r>
      <w:r>
        <w:rPr>
          <w:spacing w:val="-3"/>
        </w:rPr>
        <w:t> </w:t>
      </w:r>
      <w:r>
        <w:rPr/>
        <w:t>the</w:t>
      </w:r>
      <w:r>
        <w:rPr>
          <w:spacing w:val="-2"/>
        </w:rPr>
        <w:t> </w:t>
      </w:r>
      <w:r>
        <w:rPr/>
        <w:t>child</w:t>
      </w:r>
      <w:r>
        <w:rPr>
          <w:spacing w:val="-2"/>
        </w:rPr>
        <w:t> </w:t>
      </w:r>
      <w:r>
        <w:rPr/>
        <w:t>welfare</w:t>
      </w:r>
      <w:r>
        <w:rPr>
          <w:spacing w:val="-3"/>
        </w:rPr>
        <w:t> </w:t>
      </w:r>
      <w:r>
        <w:rPr/>
        <w:t>system.</w:t>
      </w:r>
      <w:r>
        <w:rPr>
          <w:spacing w:val="-3"/>
        </w:rPr>
        <w:t> </w:t>
      </w:r>
      <w:r>
        <w:rPr/>
        <w:t>Some</w:t>
      </w:r>
      <w:r>
        <w:rPr>
          <w:spacing w:val="-3"/>
        </w:rPr>
        <w:t> </w:t>
      </w:r>
      <w:r>
        <w:rPr/>
        <w:t>of</w:t>
      </w:r>
      <w:r>
        <w:rPr>
          <w:spacing w:val="-2"/>
        </w:rPr>
        <w:t> </w:t>
      </w:r>
      <w:r>
        <w:rPr/>
        <w:t>the</w:t>
      </w:r>
      <w:r>
        <w:rPr>
          <w:spacing w:val="-3"/>
        </w:rPr>
        <w:t> </w:t>
      </w:r>
      <w:r>
        <w:rPr/>
        <w:t>information</w:t>
      </w:r>
      <w:r>
        <w:rPr>
          <w:spacing w:val="-3"/>
        </w:rPr>
        <w:t> </w:t>
      </w:r>
      <w:r>
        <w:rPr/>
        <w:t>shared with the Commission so far raises significant concerns at the state of LGBTQ youth across </w:t>
      </w:r>
      <w:r>
        <w:rPr>
          <w:spacing w:val="-2"/>
        </w:rPr>
        <w:t>Massachusetts:</w:t>
      </w:r>
    </w:p>
    <w:p>
      <w:pPr>
        <w:pStyle w:val="ListParagraph"/>
        <w:numPr>
          <w:ilvl w:val="0"/>
          <w:numId w:val="1"/>
        </w:numPr>
        <w:tabs>
          <w:tab w:pos="1899" w:val="left" w:leader="none"/>
        </w:tabs>
        <w:spacing w:line="276" w:lineRule="auto" w:before="239" w:after="0"/>
        <w:ind w:left="1899" w:right="423" w:hanging="360"/>
        <w:jc w:val="left"/>
        <w:rPr>
          <w:rFonts w:ascii="Symbol" w:hAnsi="Symbol"/>
          <w:sz w:val="22"/>
        </w:rPr>
      </w:pPr>
      <w:r>
        <w:rPr>
          <w:sz w:val="22"/>
        </w:rPr>
        <w:t>Lack</w:t>
      </w:r>
      <w:r>
        <w:rPr>
          <w:spacing w:val="-9"/>
          <w:sz w:val="22"/>
        </w:rPr>
        <w:t> </w:t>
      </w:r>
      <w:r>
        <w:rPr>
          <w:sz w:val="22"/>
        </w:rPr>
        <w:t>of</w:t>
      </w:r>
      <w:r>
        <w:rPr>
          <w:spacing w:val="-10"/>
          <w:sz w:val="22"/>
        </w:rPr>
        <w:t> </w:t>
      </w:r>
      <w:r>
        <w:rPr>
          <w:sz w:val="22"/>
        </w:rPr>
        <w:t>access</w:t>
      </w:r>
      <w:r>
        <w:rPr>
          <w:spacing w:val="-9"/>
          <w:sz w:val="22"/>
        </w:rPr>
        <w:t> </w:t>
      </w:r>
      <w:r>
        <w:rPr>
          <w:sz w:val="22"/>
        </w:rPr>
        <w:t>to</w:t>
      </w:r>
      <w:r>
        <w:rPr>
          <w:spacing w:val="-9"/>
          <w:sz w:val="22"/>
        </w:rPr>
        <w:t> </w:t>
      </w:r>
      <w:r>
        <w:rPr>
          <w:sz w:val="22"/>
        </w:rPr>
        <w:t>affordable</w:t>
      </w:r>
      <w:r>
        <w:rPr>
          <w:spacing w:val="-10"/>
          <w:sz w:val="22"/>
        </w:rPr>
        <w:t> </w:t>
      </w:r>
      <w:r>
        <w:rPr>
          <w:sz w:val="22"/>
        </w:rPr>
        <w:t>housing,</w:t>
      </w:r>
      <w:r>
        <w:rPr>
          <w:spacing w:val="-8"/>
          <w:sz w:val="22"/>
        </w:rPr>
        <w:t> </w:t>
      </w:r>
      <w:r>
        <w:rPr>
          <w:sz w:val="22"/>
        </w:rPr>
        <w:t>particularly</w:t>
      </w:r>
      <w:r>
        <w:rPr>
          <w:spacing w:val="-9"/>
          <w:sz w:val="22"/>
        </w:rPr>
        <w:t> </w:t>
      </w:r>
      <w:r>
        <w:rPr>
          <w:sz w:val="22"/>
        </w:rPr>
        <w:t>housing</w:t>
      </w:r>
      <w:r>
        <w:rPr>
          <w:spacing w:val="-9"/>
          <w:sz w:val="22"/>
        </w:rPr>
        <w:t> </w:t>
      </w:r>
      <w:r>
        <w:rPr>
          <w:sz w:val="22"/>
        </w:rPr>
        <w:t>that</w:t>
      </w:r>
      <w:r>
        <w:rPr>
          <w:spacing w:val="-9"/>
          <w:sz w:val="22"/>
        </w:rPr>
        <w:t> </w:t>
      </w:r>
      <w:r>
        <w:rPr>
          <w:sz w:val="22"/>
        </w:rPr>
        <w:t>is</w:t>
      </w:r>
      <w:r>
        <w:rPr>
          <w:spacing w:val="-8"/>
          <w:sz w:val="22"/>
        </w:rPr>
        <w:t> </w:t>
      </w:r>
      <w:r>
        <w:rPr>
          <w:sz w:val="22"/>
        </w:rPr>
        <w:t>safe</w:t>
      </w:r>
      <w:r>
        <w:rPr>
          <w:spacing w:val="-10"/>
          <w:sz w:val="22"/>
        </w:rPr>
        <w:t> </w:t>
      </w:r>
      <w:r>
        <w:rPr>
          <w:sz w:val="22"/>
        </w:rPr>
        <w:t>to</w:t>
      </w:r>
      <w:r>
        <w:rPr>
          <w:spacing w:val="-8"/>
          <w:sz w:val="22"/>
        </w:rPr>
        <w:t> </w:t>
      </w:r>
      <w:r>
        <w:rPr>
          <w:sz w:val="22"/>
        </w:rPr>
        <w:t>habit</w:t>
      </w:r>
      <w:r>
        <w:rPr>
          <w:spacing w:val="-9"/>
          <w:sz w:val="22"/>
        </w:rPr>
        <w:t> </w:t>
      </w:r>
      <w:r>
        <w:rPr>
          <w:sz w:val="22"/>
        </w:rPr>
        <w:t>or</w:t>
      </w:r>
      <w:r>
        <w:rPr>
          <w:spacing w:val="-9"/>
          <w:sz w:val="22"/>
        </w:rPr>
        <w:t> </w:t>
      </w:r>
      <w:r>
        <w:rPr>
          <w:sz w:val="22"/>
        </w:rPr>
        <w:t>without constant need for repair</w:t>
      </w:r>
    </w:p>
    <w:p>
      <w:pPr>
        <w:pStyle w:val="ListParagraph"/>
        <w:numPr>
          <w:ilvl w:val="0"/>
          <w:numId w:val="1"/>
        </w:numPr>
        <w:tabs>
          <w:tab w:pos="1899" w:val="left" w:leader="none"/>
        </w:tabs>
        <w:spacing w:line="280" w:lineRule="exact" w:before="0" w:after="0"/>
        <w:ind w:left="1899" w:right="0" w:hanging="360"/>
        <w:jc w:val="left"/>
        <w:rPr>
          <w:rFonts w:ascii="Symbol" w:hAnsi="Symbol"/>
          <w:sz w:val="22"/>
        </w:rPr>
      </w:pPr>
      <w:r>
        <w:rPr>
          <w:sz w:val="22"/>
        </w:rPr>
        <w:t>Lack</w:t>
      </w:r>
      <w:r>
        <w:rPr>
          <w:spacing w:val="-9"/>
          <w:sz w:val="22"/>
        </w:rPr>
        <w:t> </w:t>
      </w:r>
      <w:r>
        <w:rPr>
          <w:sz w:val="22"/>
        </w:rPr>
        <w:t>of</w:t>
      </w:r>
      <w:r>
        <w:rPr>
          <w:spacing w:val="-8"/>
          <w:sz w:val="22"/>
        </w:rPr>
        <w:t> </w:t>
      </w:r>
      <w:r>
        <w:rPr>
          <w:sz w:val="22"/>
        </w:rPr>
        <w:t>accountability</w:t>
      </w:r>
      <w:r>
        <w:rPr>
          <w:spacing w:val="-7"/>
          <w:sz w:val="22"/>
        </w:rPr>
        <w:t> </w:t>
      </w:r>
      <w:r>
        <w:rPr>
          <w:sz w:val="22"/>
        </w:rPr>
        <w:t>for</w:t>
      </w:r>
      <w:r>
        <w:rPr>
          <w:spacing w:val="-8"/>
          <w:sz w:val="22"/>
        </w:rPr>
        <w:t> </w:t>
      </w:r>
      <w:r>
        <w:rPr>
          <w:sz w:val="22"/>
        </w:rPr>
        <w:t>landlords</w:t>
      </w:r>
      <w:r>
        <w:rPr>
          <w:spacing w:val="-8"/>
          <w:sz w:val="22"/>
        </w:rPr>
        <w:t> </w:t>
      </w:r>
      <w:r>
        <w:rPr>
          <w:sz w:val="22"/>
        </w:rPr>
        <w:t>who</w:t>
      </w:r>
      <w:r>
        <w:rPr>
          <w:spacing w:val="-6"/>
          <w:sz w:val="22"/>
        </w:rPr>
        <w:t> </w:t>
      </w:r>
      <w:r>
        <w:rPr>
          <w:sz w:val="22"/>
        </w:rPr>
        <w:t>do</w:t>
      </w:r>
      <w:r>
        <w:rPr>
          <w:spacing w:val="-7"/>
          <w:sz w:val="22"/>
        </w:rPr>
        <w:t> </w:t>
      </w:r>
      <w:r>
        <w:rPr>
          <w:sz w:val="22"/>
        </w:rPr>
        <w:t>oversee</w:t>
      </w:r>
      <w:r>
        <w:rPr>
          <w:spacing w:val="-8"/>
          <w:sz w:val="22"/>
        </w:rPr>
        <w:t> </w:t>
      </w:r>
      <w:r>
        <w:rPr>
          <w:sz w:val="22"/>
        </w:rPr>
        <w:t>affordable</w:t>
      </w:r>
      <w:r>
        <w:rPr>
          <w:spacing w:val="-8"/>
          <w:sz w:val="22"/>
        </w:rPr>
        <w:t> </w:t>
      </w:r>
      <w:r>
        <w:rPr>
          <w:spacing w:val="-2"/>
          <w:sz w:val="22"/>
        </w:rPr>
        <w:t>housing</w:t>
      </w:r>
    </w:p>
    <w:p>
      <w:pPr>
        <w:pStyle w:val="ListParagraph"/>
        <w:numPr>
          <w:ilvl w:val="0"/>
          <w:numId w:val="1"/>
        </w:numPr>
        <w:tabs>
          <w:tab w:pos="1899" w:val="left" w:leader="none"/>
        </w:tabs>
        <w:spacing w:line="276" w:lineRule="auto" w:before="40" w:after="0"/>
        <w:ind w:left="1899" w:right="424" w:hanging="360"/>
        <w:jc w:val="left"/>
        <w:rPr>
          <w:rFonts w:ascii="Symbol" w:hAnsi="Symbol"/>
          <w:sz w:val="22"/>
        </w:rPr>
      </w:pPr>
      <w:r>
        <w:rPr>
          <w:sz w:val="22"/>
        </w:rPr>
        <w:t>Lack</w:t>
      </w:r>
      <w:r>
        <w:rPr>
          <w:spacing w:val="-12"/>
          <w:sz w:val="22"/>
        </w:rPr>
        <w:t> </w:t>
      </w:r>
      <w:r>
        <w:rPr>
          <w:sz w:val="22"/>
        </w:rPr>
        <w:t>of</w:t>
      </w:r>
      <w:r>
        <w:rPr>
          <w:spacing w:val="-12"/>
          <w:sz w:val="22"/>
        </w:rPr>
        <w:t> </w:t>
      </w:r>
      <w:r>
        <w:rPr>
          <w:sz w:val="22"/>
        </w:rPr>
        <w:t>appropriate</w:t>
      </w:r>
      <w:r>
        <w:rPr>
          <w:spacing w:val="-11"/>
          <w:sz w:val="22"/>
        </w:rPr>
        <w:t> </w:t>
      </w:r>
      <w:r>
        <w:rPr>
          <w:sz w:val="22"/>
        </w:rPr>
        <w:t>rental</w:t>
      </w:r>
      <w:r>
        <w:rPr>
          <w:spacing w:val="-10"/>
          <w:sz w:val="22"/>
        </w:rPr>
        <w:t> </w:t>
      </w:r>
      <w:r>
        <w:rPr>
          <w:sz w:val="22"/>
        </w:rPr>
        <w:t>assistance</w:t>
      </w:r>
      <w:r>
        <w:rPr>
          <w:spacing w:val="-12"/>
          <w:sz w:val="22"/>
        </w:rPr>
        <w:t> </w:t>
      </w:r>
      <w:r>
        <w:rPr>
          <w:sz w:val="22"/>
        </w:rPr>
        <w:t>(i.e.</w:t>
      </w:r>
      <w:r>
        <w:rPr>
          <w:spacing w:val="-13"/>
          <w:sz w:val="22"/>
        </w:rPr>
        <w:t> </w:t>
      </w:r>
      <w:r>
        <w:rPr>
          <w:sz w:val="22"/>
        </w:rPr>
        <w:t>assistance</w:t>
      </w:r>
      <w:r>
        <w:rPr>
          <w:spacing w:val="-11"/>
          <w:sz w:val="22"/>
        </w:rPr>
        <w:t> </w:t>
      </w:r>
      <w:r>
        <w:rPr>
          <w:sz w:val="22"/>
        </w:rPr>
        <w:t>with</w:t>
      </w:r>
      <w:r>
        <w:rPr>
          <w:spacing w:val="-11"/>
          <w:sz w:val="22"/>
        </w:rPr>
        <w:t> </w:t>
      </w:r>
      <w:r>
        <w:rPr>
          <w:sz w:val="22"/>
        </w:rPr>
        <w:t>back</w:t>
      </w:r>
      <w:r>
        <w:rPr>
          <w:spacing w:val="-11"/>
          <w:sz w:val="22"/>
        </w:rPr>
        <w:t> </w:t>
      </w:r>
      <w:r>
        <w:rPr>
          <w:sz w:val="22"/>
        </w:rPr>
        <w:t>payment</w:t>
      </w:r>
      <w:r>
        <w:rPr>
          <w:spacing w:val="-12"/>
          <w:sz w:val="22"/>
        </w:rPr>
        <w:t> </w:t>
      </w:r>
      <w:r>
        <w:rPr>
          <w:sz w:val="22"/>
        </w:rPr>
        <w:t>on</w:t>
      </w:r>
      <w:r>
        <w:rPr>
          <w:spacing w:val="-11"/>
          <w:sz w:val="22"/>
        </w:rPr>
        <w:t> </w:t>
      </w:r>
      <w:r>
        <w:rPr>
          <w:sz w:val="22"/>
        </w:rPr>
        <w:t>rent,</w:t>
      </w:r>
      <w:r>
        <w:rPr>
          <w:spacing w:val="-11"/>
          <w:sz w:val="22"/>
        </w:rPr>
        <w:t> </w:t>
      </w:r>
      <w:r>
        <w:rPr>
          <w:sz w:val="22"/>
        </w:rPr>
        <w:t>brokers fees, timely payments from RAFT)</w:t>
      </w:r>
    </w:p>
    <w:p>
      <w:pPr>
        <w:pStyle w:val="ListParagraph"/>
        <w:numPr>
          <w:ilvl w:val="0"/>
          <w:numId w:val="1"/>
        </w:numPr>
        <w:tabs>
          <w:tab w:pos="1899" w:val="left" w:leader="none"/>
        </w:tabs>
        <w:spacing w:line="240" w:lineRule="auto" w:before="1" w:after="0"/>
        <w:ind w:left="1899" w:right="0" w:hanging="360"/>
        <w:jc w:val="left"/>
        <w:rPr>
          <w:rFonts w:ascii="Symbol" w:hAnsi="Symbol"/>
          <w:sz w:val="22"/>
        </w:rPr>
      </w:pPr>
      <w:r>
        <w:rPr>
          <w:sz w:val="22"/>
        </w:rPr>
        <w:t>Lack</w:t>
      </w:r>
      <w:r>
        <w:rPr>
          <w:spacing w:val="-8"/>
          <w:sz w:val="22"/>
        </w:rPr>
        <w:t> </w:t>
      </w:r>
      <w:r>
        <w:rPr>
          <w:sz w:val="22"/>
        </w:rPr>
        <w:t>of</w:t>
      </w:r>
      <w:r>
        <w:rPr>
          <w:spacing w:val="-8"/>
          <w:sz w:val="22"/>
        </w:rPr>
        <w:t> </w:t>
      </w:r>
      <w:r>
        <w:rPr>
          <w:sz w:val="22"/>
        </w:rPr>
        <w:t>access</w:t>
      </w:r>
      <w:r>
        <w:rPr>
          <w:spacing w:val="-8"/>
          <w:sz w:val="22"/>
        </w:rPr>
        <w:t> </w:t>
      </w:r>
      <w:r>
        <w:rPr>
          <w:sz w:val="22"/>
        </w:rPr>
        <w:t>to</w:t>
      </w:r>
      <w:r>
        <w:rPr>
          <w:spacing w:val="-7"/>
          <w:sz w:val="22"/>
        </w:rPr>
        <w:t> </w:t>
      </w:r>
      <w:r>
        <w:rPr>
          <w:sz w:val="22"/>
        </w:rPr>
        <w:t>short-term</w:t>
      </w:r>
      <w:r>
        <w:rPr>
          <w:spacing w:val="-8"/>
          <w:sz w:val="22"/>
        </w:rPr>
        <w:t> </w:t>
      </w:r>
      <w:r>
        <w:rPr>
          <w:sz w:val="22"/>
        </w:rPr>
        <w:t>housing</w:t>
      </w:r>
      <w:r>
        <w:rPr>
          <w:spacing w:val="-8"/>
          <w:sz w:val="22"/>
        </w:rPr>
        <w:t> </w:t>
      </w:r>
      <w:r>
        <w:rPr>
          <w:sz w:val="22"/>
        </w:rPr>
        <w:t>for</w:t>
      </w:r>
      <w:r>
        <w:rPr>
          <w:spacing w:val="-8"/>
          <w:sz w:val="22"/>
        </w:rPr>
        <w:t> </w:t>
      </w:r>
      <w:r>
        <w:rPr>
          <w:sz w:val="22"/>
        </w:rPr>
        <w:t>individuals</w:t>
      </w:r>
      <w:r>
        <w:rPr>
          <w:spacing w:val="-7"/>
          <w:sz w:val="22"/>
        </w:rPr>
        <w:t> </w:t>
      </w:r>
      <w:r>
        <w:rPr>
          <w:sz w:val="22"/>
        </w:rPr>
        <w:t>re-entering</w:t>
      </w:r>
      <w:r>
        <w:rPr>
          <w:spacing w:val="-7"/>
          <w:sz w:val="22"/>
        </w:rPr>
        <w:t> </w:t>
      </w:r>
      <w:r>
        <w:rPr>
          <w:sz w:val="22"/>
        </w:rPr>
        <w:t>into</w:t>
      </w:r>
      <w:r>
        <w:rPr>
          <w:spacing w:val="-7"/>
          <w:sz w:val="22"/>
        </w:rPr>
        <w:t> </w:t>
      </w:r>
      <w:r>
        <w:rPr>
          <w:sz w:val="22"/>
        </w:rPr>
        <w:t>the</w:t>
      </w:r>
      <w:r>
        <w:rPr>
          <w:spacing w:val="-7"/>
          <w:sz w:val="22"/>
        </w:rPr>
        <w:t> </w:t>
      </w:r>
      <w:r>
        <w:rPr>
          <w:spacing w:val="-2"/>
          <w:sz w:val="22"/>
        </w:rPr>
        <w:t>community</w:t>
      </w:r>
    </w:p>
    <w:p>
      <w:pPr>
        <w:pStyle w:val="ListParagraph"/>
        <w:numPr>
          <w:ilvl w:val="0"/>
          <w:numId w:val="1"/>
        </w:numPr>
        <w:tabs>
          <w:tab w:pos="1899" w:val="left" w:leader="none"/>
        </w:tabs>
        <w:spacing w:line="240" w:lineRule="auto" w:before="40" w:after="0"/>
        <w:ind w:left="1899" w:right="0" w:hanging="360"/>
        <w:jc w:val="left"/>
        <w:rPr>
          <w:rFonts w:ascii="Symbol" w:hAnsi="Symbol"/>
          <w:sz w:val="22"/>
        </w:rPr>
      </w:pPr>
      <w:r>
        <w:rPr>
          <w:sz w:val="22"/>
        </w:rPr>
        <w:t>Lack</w:t>
      </w:r>
      <w:r>
        <w:rPr>
          <w:spacing w:val="-5"/>
          <w:sz w:val="22"/>
        </w:rPr>
        <w:t> </w:t>
      </w:r>
      <w:r>
        <w:rPr>
          <w:sz w:val="22"/>
        </w:rPr>
        <w:t>of</w:t>
      </w:r>
      <w:r>
        <w:rPr>
          <w:spacing w:val="-5"/>
          <w:sz w:val="22"/>
        </w:rPr>
        <w:t> </w:t>
      </w:r>
      <w:r>
        <w:rPr>
          <w:sz w:val="22"/>
        </w:rPr>
        <w:t>access</w:t>
      </w:r>
      <w:r>
        <w:rPr>
          <w:spacing w:val="-5"/>
          <w:sz w:val="22"/>
        </w:rPr>
        <w:t> </w:t>
      </w:r>
      <w:r>
        <w:rPr>
          <w:sz w:val="22"/>
        </w:rPr>
        <w:t>to</w:t>
      </w:r>
      <w:r>
        <w:rPr>
          <w:spacing w:val="-5"/>
          <w:sz w:val="22"/>
        </w:rPr>
        <w:t> </w:t>
      </w:r>
      <w:r>
        <w:rPr>
          <w:sz w:val="22"/>
        </w:rPr>
        <w:t>safe</w:t>
      </w:r>
      <w:r>
        <w:rPr>
          <w:spacing w:val="-5"/>
          <w:sz w:val="22"/>
        </w:rPr>
        <w:t> </w:t>
      </w:r>
      <w:r>
        <w:rPr>
          <w:spacing w:val="-2"/>
          <w:sz w:val="22"/>
        </w:rPr>
        <w:t>shelters</w:t>
      </w:r>
    </w:p>
    <w:p>
      <w:pPr>
        <w:pStyle w:val="ListParagraph"/>
        <w:numPr>
          <w:ilvl w:val="0"/>
          <w:numId w:val="1"/>
        </w:numPr>
        <w:tabs>
          <w:tab w:pos="1899" w:val="left" w:leader="none"/>
        </w:tabs>
        <w:spacing w:line="240" w:lineRule="auto" w:before="40" w:after="0"/>
        <w:ind w:left="1899" w:right="0" w:hanging="360"/>
        <w:jc w:val="left"/>
        <w:rPr>
          <w:rFonts w:ascii="Symbol" w:hAnsi="Symbol"/>
          <w:sz w:val="22"/>
        </w:rPr>
      </w:pPr>
      <w:r>
        <w:rPr>
          <w:sz w:val="22"/>
        </w:rPr>
        <w:t>Significant</w:t>
      </w:r>
      <w:r>
        <w:rPr>
          <w:spacing w:val="-9"/>
          <w:sz w:val="22"/>
        </w:rPr>
        <w:t> </w:t>
      </w:r>
      <w:r>
        <w:rPr>
          <w:sz w:val="22"/>
        </w:rPr>
        <w:t>delays</w:t>
      </w:r>
      <w:r>
        <w:rPr>
          <w:spacing w:val="-8"/>
          <w:sz w:val="22"/>
        </w:rPr>
        <w:t> </w:t>
      </w:r>
      <w:r>
        <w:rPr>
          <w:sz w:val="22"/>
        </w:rPr>
        <w:t>with</w:t>
      </w:r>
      <w:r>
        <w:rPr>
          <w:spacing w:val="-9"/>
          <w:sz w:val="22"/>
        </w:rPr>
        <w:t> </w:t>
      </w:r>
      <w:r>
        <w:rPr>
          <w:sz w:val="22"/>
        </w:rPr>
        <w:t>housing</w:t>
      </w:r>
      <w:r>
        <w:rPr>
          <w:spacing w:val="-8"/>
          <w:sz w:val="22"/>
        </w:rPr>
        <w:t> </w:t>
      </w:r>
      <w:r>
        <w:rPr>
          <w:spacing w:val="-2"/>
          <w:sz w:val="22"/>
        </w:rPr>
        <w:t>vouchers</w:t>
      </w:r>
    </w:p>
    <w:p>
      <w:pPr>
        <w:pStyle w:val="ListParagraph"/>
        <w:numPr>
          <w:ilvl w:val="0"/>
          <w:numId w:val="1"/>
        </w:numPr>
        <w:tabs>
          <w:tab w:pos="1899" w:val="left" w:leader="none"/>
        </w:tabs>
        <w:spacing w:line="240" w:lineRule="auto" w:before="40" w:after="0"/>
        <w:ind w:left="1899" w:right="0" w:hanging="360"/>
        <w:jc w:val="left"/>
        <w:rPr>
          <w:rFonts w:ascii="Symbol" w:hAnsi="Symbol"/>
          <w:sz w:val="22"/>
        </w:rPr>
      </w:pPr>
      <w:r>
        <w:rPr>
          <w:sz w:val="22"/>
        </w:rPr>
        <w:t>Lack</w:t>
      </w:r>
      <w:r>
        <w:rPr>
          <w:spacing w:val="-8"/>
          <w:sz w:val="22"/>
        </w:rPr>
        <w:t> </w:t>
      </w:r>
      <w:r>
        <w:rPr>
          <w:sz w:val="22"/>
        </w:rPr>
        <w:t>of</w:t>
      </w:r>
      <w:r>
        <w:rPr>
          <w:spacing w:val="-8"/>
          <w:sz w:val="22"/>
        </w:rPr>
        <w:t> </w:t>
      </w:r>
      <w:r>
        <w:rPr>
          <w:sz w:val="22"/>
        </w:rPr>
        <w:t>funding</w:t>
      </w:r>
      <w:r>
        <w:rPr>
          <w:spacing w:val="-8"/>
          <w:sz w:val="22"/>
        </w:rPr>
        <w:t> </w:t>
      </w:r>
      <w:r>
        <w:rPr>
          <w:sz w:val="22"/>
        </w:rPr>
        <w:t>to</w:t>
      </w:r>
      <w:r>
        <w:rPr>
          <w:spacing w:val="-7"/>
          <w:sz w:val="22"/>
        </w:rPr>
        <w:t> </w:t>
      </w:r>
      <w:r>
        <w:rPr>
          <w:sz w:val="22"/>
        </w:rPr>
        <w:t>effective</w:t>
      </w:r>
      <w:r>
        <w:rPr>
          <w:spacing w:val="-8"/>
          <w:sz w:val="22"/>
        </w:rPr>
        <w:t> </w:t>
      </w:r>
      <w:r>
        <w:rPr>
          <w:sz w:val="22"/>
        </w:rPr>
        <w:t>community</w:t>
      </w:r>
      <w:r>
        <w:rPr>
          <w:spacing w:val="-7"/>
          <w:sz w:val="22"/>
        </w:rPr>
        <w:t> </w:t>
      </w:r>
      <w:r>
        <w:rPr>
          <w:spacing w:val="-2"/>
          <w:sz w:val="22"/>
        </w:rPr>
        <w:t>programming</w:t>
      </w:r>
    </w:p>
    <w:p>
      <w:pPr>
        <w:pStyle w:val="ListParagraph"/>
        <w:numPr>
          <w:ilvl w:val="0"/>
          <w:numId w:val="1"/>
        </w:numPr>
        <w:tabs>
          <w:tab w:pos="1899" w:val="left" w:leader="none"/>
        </w:tabs>
        <w:spacing w:line="240" w:lineRule="auto" w:before="40" w:after="0"/>
        <w:ind w:left="1899" w:right="0" w:hanging="360"/>
        <w:jc w:val="left"/>
        <w:rPr>
          <w:rFonts w:ascii="Symbol" w:hAnsi="Symbol"/>
          <w:sz w:val="22"/>
        </w:rPr>
      </w:pPr>
      <w:r>
        <w:rPr>
          <w:sz w:val="22"/>
        </w:rPr>
        <w:t>Lack</w:t>
      </w:r>
      <w:r>
        <w:rPr>
          <w:spacing w:val="-9"/>
          <w:sz w:val="22"/>
        </w:rPr>
        <w:t> </w:t>
      </w:r>
      <w:r>
        <w:rPr>
          <w:sz w:val="22"/>
        </w:rPr>
        <w:t>of</w:t>
      </w:r>
      <w:r>
        <w:rPr>
          <w:spacing w:val="-7"/>
          <w:sz w:val="22"/>
        </w:rPr>
        <w:t> </w:t>
      </w:r>
      <w:r>
        <w:rPr>
          <w:sz w:val="22"/>
        </w:rPr>
        <w:t>training</w:t>
      </w:r>
      <w:r>
        <w:rPr>
          <w:spacing w:val="-8"/>
          <w:sz w:val="22"/>
        </w:rPr>
        <w:t> </w:t>
      </w:r>
      <w:r>
        <w:rPr>
          <w:sz w:val="22"/>
        </w:rPr>
        <w:t>and</w:t>
      </w:r>
      <w:r>
        <w:rPr>
          <w:spacing w:val="-8"/>
          <w:sz w:val="22"/>
        </w:rPr>
        <w:t> </w:t>
      </w:r>
      <w:r>
        <w:rPr>
          <w:sz w:val="22"/>
        </w:rPr>
        <w:t>accountability</w:t>
      </w:r>
      <w:r>
        <w:rPr>
          <w:spacing w:val="-7"/>
          <w:sz w:val="22"/>
        </w:rPr>
        <w:t> </w:t>
      </w:r>
      <w:r>
        <w:rPr>
          <w:sz w:val="22"/>
        </w:rPr>
        <w:t>for</w:t>
      </w:r>
      <w:r>
        <w:rPr>
          <w:spacing w:val="-8"/>
          <w:sz w:val="22"/>
        </w:rPr>
        <w:t> </w:t>
      </w:r>
      <w:r>
        <w:rPr>
          <w:sz w:val="22"/>
        </w:rPr>
        <w:t>correctional</w:t>
      </w:r>
      <w:r>
        <w:rPr>
          <w:spacing w:val="-8"/>
          <w:sz w:val="22"/>
        </w:rPr>
        <w:t> </w:t>
      </w:r>
      <w:r>
        <w:rPr>
          <w:spacing w:val="-2"/>
          <w:sz w:val="22"/>
        </w:rPr>
        <w:t>facilities</w:t>
      </w:r>
    </w:p>
    <w:p>
      <w:pPr>
        <w:pStyle w:val="ListParagraph"/>
        <w:numPr>
          <w:ilvl w:val="0"/>
          <w:numId w:val="1"/>
        </w:numPr>
        <w:tabs>
          <w:tab w:pos="1899" w:val="left" w:leader="none"/>
        </w:tabs>
        <w:spacing w:line="276" w:lineRule="auto" w:before="42" w:after="0"/>
        <w:ind w:left="1899" w:right="423" w:hanging="360"/>
        <w:jc w:val="left"/>
        <w:rPr>
          <w:rFonts w:ascii="Symbol" w:hAnsi="Symbol"/>
          <w:sz w:val="22"/>
        </w:rPr>
      </w:pPr>
      <w:r>
        <w:rPr>
          <w:sz w:val="22"/>
        </w:rPr>
        <w:t>Lack of transparency and significant delays when requesting gender-affirming health care in prisons</w:t>
      </w:r>
    </w:p>
    <w:p>
      <w:pPr>
        <w:pStyle w:val="ListParagraph"/>
        <w:numPr>
          <w:ilvl w:val="0"/>
          <w:numId w:val="1"/>
        </w:numPr>
        <w:tabs>
          <w:tab w:pos="1899" w:val="left" w:leader="none"/>
        </w:tabs>
        <w:spacing w:line="280" w:lineRule="exact" w:before="0" w:after="0"/>
        <w:ind w:left="1899" w:right="0" w:hanging="360"/>
        <w:jc w:val="left"/>
        <w:rPr>
          <w:rFonts w:ascii="Symbol" w:hAnsi="Symbol"/>
          <w:sz w:val="22"/>
        </w:rPr>
      </w:pPr>
      <w:r>
        <w:rPr>
          <w:sz w:val="22"/>
        </w:rPr>
        <w:t>Discrimination,</w:t>
      </w:r>
      <w:r>
        <w:rPr>
          <w:spacing w:val="-11"/>
          <w:sz w:val="22"/>
        </w:rPr>
        <w:t> </w:t>
      </w:r>
      <w:r>
        <w:rPr>
          <w:sz w:val="22"/>
        </w:rPr>
        <w:t>violence,</w:t>
      </w:r>
      <w:r>
        <w:rPr>
          <w:spacing w:val="-9"/>
          <w:sz w:val="22"/>
        </w:rPr>
        <w:t> </w:t>
      </w:r>
      <w:r>
        <w:rPr>
          <w:sz w:val="22"/>
        </w:rPr>
        <w:t>and</w:t>
      </w:r>
      <w:r>
        <w:rPr>
          <w:spacing w:val="-11"/>
          <w:sz w:val="22"/>
        </w:rPr>
        <w:t> </w:t>
      </w:r>
      <w:r>
        <w:rPr>
          <w:sz w:val="22"/>
        </w:rPr>
        <w:t>retaliation</w:t>
      </w:r>
      <w:r>
        <w:rPr>
          <w:spacing w:val="-10"/>
          <w:sz w:val="22"/>
        </w:rPr>
        <w:t> </w:t>
      </w:r>
      <w:r>
        <w:rPr>
          <w:sz w:val="22"/>
        </w:rPr>
        <w:t>in</w:t>
      </w:r>
      <w:r>
        <w:rPr>
          <w:spacing w:val="-10"/>
          <w:sz w:val="22"/>
        </w:rPr>
        <w:t> </w:t>
      </w:r>
      <w:r>
        <w:rPr>
          <w:sz w:val="22"/>
        </w:rPr>
        <w:t>correctional</w:t>
      </w:r>
      <w:r>
        <w:rPr>
          <w:spacing w:val="-10"/>
          <w:sz w:val="22"/>
        </w:rPr>
        <w:t> </w:t>
      </w:r>
      <w:r>
        <w:rPr>
          <w:sz w:val="22"/>
        </w:rPr>
        <w:t>facilities</w:t>
      </w:r>
      <w:r>
        <w:rPr>
          <w:spacing w:val="-10"/>
          <w:sz w:val="22"/>
        </w:rPr>
        <w:t> </w:t>
      </w:r>
      <w:r>
        <w:rPr>
          <w:sz w:val="22"/>
        </w:rPr>
        <w:t>and</w:t>
      </w:r>
      <w:r>
        <w:rPr>
          <w:spacing w:val="-11"/>
          <w:sz w:val="22"/>
        </w:rPr>
        <w:t> </w:t>
      </w:r>
      <w:r>
        <w:rPr>
          <w:spacing w:val="-2"/>
          <w:sz w:val="22"/>
        </w:rPr>
        <w:t>shelters</w:t>
      </w:r>
    </w:p>
    <w:p>
      <w:pPr>
        <w:spacing w:after="0" w:line="280" w:lineRule="exact"/>
        <w:jc w:val="left"/>
        <w:rPr>
          <w:rFonts w:ascii="Symbol" w:hAnsi="Symbol"/>
          <w:sz w:val="22"/>
        </w:rPr>
        <w:sectPr>
          <w:headerReference w:type="default" r:id="rId16"/>
          <w:footerReference w:type="default" r:id="rId17"/>
          <w:pgSz w:w="12240" w:h="15840"/>
          <w:pgMar w:header="0" w:footer="1061" w:top="1140" w:bottom="1260" w:left="980" w:right="1160"/>
        </w:sectPr>
      </w:pPr>
    </w:p>
    <w:p>
      <w:pPr>
        <w:pStyle w:val="BodyText"/>
        <w:spacing w:line="276" w:lineRule="auto" w:before="30"/>
        <w:ind w:left="604" w:right="355"/>
      </w:pPr>
      <w:r>
        <w:rPr/>
        <w:t>Further</w:t>
      </w:r>
      <w:r>
        <w:rPr>
          <w:spacing w:val="-7"/>
        </w:rPr>
        <w:t> </w:t>
      </w:r>
      <w:r>
        <w:rPr/>
        <w:t>information</w:t>
      </w:r>
      <w:r>
        <w:rPr>
          <w:spacing w:val="-7"/>
        </w:rPr>
        <w:t> </w:t>
      </w:r>
      <w:r>
        <w:rPr/>
        <w:t>on</w:t>
      </w:r>
      <w:r>
        <w:rPr>
          <w:spacing w:val="-7"/>
        </w:rPr>
        <w:t> </w:t>
      </w:r>
      <w:r>
        <w:rPr/>
        <w:t>interviews</w:t>
      </w:r>
      <w:r>
        <w:rPr>
          <w:spacing w:val="-7"/>
        </w:rPr>
        <w:t> </w:t>
      </w:r>
      <w:r>
        <w:rPr/>
        <w:t>with</w:t>
      </w:r>
      <w:r>
        <w:rPr>
          <w:spacing w:val="-7"/>
        </w:rPr>
        <w:t> </w:t>
      </w:r>
      <w:r>
        <w:rPr/>
        <w:t>transition-aged</w:t>
      </w:r>
      <w:r>
        <w:rPr>
          <w:spacing w:val="-7"/>
        </w:rPr>
        <w:t> </w:t>
      </w:r>
      <w:r>
        <w:rPr/>
        <w:t>foster</w:t>
      </w:r>
      <w:r>
        <w:rPr>
          <w:spacing w:val="-7"/>
        </w:rPr>
        <w:t> </w:t>
      </w:r>
      <w:r>
        <w:rPr/>
        <w:t>youth</w:t>
      </w:r>
      <w:r>
        <w:rPr>
          <w:spacing w:val="-7"/>
        </w:rPr>
        <w:t> </w:t>
      </w:r>
      <w:r>
        <w:rPr/>
        <w:t>will</w:t>
      </w:r>
      <w:r>
        <w:rPr>
          <w:spacing w:val="-7"/>
        </w:rPr>
        <w:t> </w:t>
      </w:r>
      <w:r>
        <w:rPr/>
        <w:t>be</w:t>
      </w:r>
      <w:r>
        <w:rPr>
          <w:spacing w:val="-7"/>
        </w:rPr>
        <w:t> </w:t>
      </w:r>
      <w:r>
        <w:rPr/>
        <w:t>released</w:t>
      </w:r>
      <w:r>
        <w:rPr>
          <w:spacing w:val="-7"/>
        </w:rPr>
        <w:t> </w:t>
      </w:r>
      <w:r>
        <w:rPr/>
        <w:t>in</w:t>
      </w:r>
      <w:r>
        <w:rPr>
          <w:spacing w:val="-7"/>
        </w:rPr>
        <w:t> </w:t>
      </w:r>
      <w:r>
        <w:rPr/>
        <w:t>a</w:t>
      </w:r>
      <w:r>
        <w:rPr>
          <w:spacing w:val="-7"/>
        </w:rPr>
        <w:t> </w:t>
      </w:r>
      <w:r>
        <w:rPr/>
        <w:t>new</w:t>
      </w:r>
      <w:r>
        <w:rPr>
          <w:spacing w:val="-6"/>
        </w:rPr>
        <w:t> </w:t>
      </w:r>
      <w:r>
        <w:rPr/>
        <w:t>report</w:t>
      </w:r>
      <w:r>
        <w:rPr>
          <w:spacing w:val="-7"/>
        </w:rPr>
        <w:t> </w:t>
      </w:r>
      <w:r>
        <w:rPr/>
        <w:t>in FY 2025.</w:t>
      </w:r>
    </w:p>
    <w:p>
      <w:pPr>
        <w:spacing w:before="240"/>
        <w:ind w:left="604" w:right="0" w:firstLine="0"/>
        <w:jc w:val="left"/>
        <w:rPr>
          <w:sz w:val="28"/>
        </w:rPr>
      </w:pPr>
      <w:bookmarkStart w:name="Anti-LGBTQ Attacks in Massachusetts" w:id="22"/>
      <w:bookmarkEnd w:id="22"/>
      <w:r>
        <w:rPr/>
      </w:r>
      <w:r>
        <w:rPr>
          <w:color w:val="365F91"/>
          <w:sz w:val="28"/>
        </w:rPr>
        <w:t>Anti-LGBTQ</w:t>
      </w:r>
      <w:r>
        <w:rPr>
          <w:color w:val="365F91"/>
          <w:spacing w:val="-10"/>
          <w:sz w:val="28"/>
        </w:rPr>
        <w:t> </w:t>
      </w:r>
      <w:r>
        <w:rPr>
          <w:color w:val="365F91"/>
          <w:sz w:val="28"/>
        </w:rPr>
        <w:t>Attacks</w:t>
      </w:r>
      <w:r>
        <w:rPr>
          <w:color w:val="365F91"/>
          <w:spacing w:val="-9"/>
          <w:sz w:val="28"/>
        </w:rPr>
        <w:t> </w:t>
      </w:r>
      <w:r>
        <w:rPr>
          <w:color w:val="365F91"/>
          <w:sz w:val="28"/>
        </w:rPr>
        <w:t>in</w:t>
      </w:r>
      <w:r>
        <w:rPr>
          <w:color w:val="365F91"/>
          <w:spacing w:val="-10"/>
          <w:sz w:val="28"/>
        </w:rPr>
        <w:t> </w:t>
      </w:r>
      <w:r>
        <w:rPr>
          <w:color w:val="365F91"/>
          <w:spacing w:val="-2"/>
          <w:sz w:val="28"/>
        </w:rPr>
        <w:t>Massachusetts</w:t>
      </w:r>
    </w:p>
    <w:p>
      <w:pPr>
        <w:pStyle w:val="BodyText"/>
        <w:spacing w:before="9"/>
        <w:rPr>
          <w:sz w:val="3"/>
        </w:rPr>
      </w:pPr>
      <w:r>
        <w:rPr/>
        <mc:AlternateContent>
          <mc:Choice Requires="wps">
            <w:drawing>
              <wp:anchor distT="0" distB="0" distL="0" distR="0" allowOverlap="1" layoutInCell="1" locked="0" behindDoc="1" simplePos="0" relativeHeight="487592960">
                <wp:simplePos x="0" y="0"/>
                <wp:positionH relativeFrom="page">
                  <wp:posOffset>986789</wp:posOffset>
                </wp:positionH>
                <wp:positionV relativeFrom="paragraph">
                  <wp:posOffset>44518</wp:posOffset>
                </wp:positionV>
                <wp:extent cx="5799455" cy="6350"/>
                <wp:effectExtent l="0" t="0" r="0" b="0"/>
                <wp:wrapTopAndBottom/>
                <wp:docPr id="42" name="Graphic 42"/>
                <wp:cNvGraphicFramePr>
                  <a:graphicFrameLocks/>
                </wp:cNvGraphicFramePr>
                <a:graphic>
                  <a:graphicData uri="http://schemas.microsoft.com/office/word/2010/wordprocessingShape">
                    <wps:wsp>
                      <wps:cNvPr id="42" name="Graphic 42"/>
                      <wps:cNvSpPr/>
                      <wps:spPr>
                        <a:xfrm>
                          <a:off x="0" y="0"/>
                          <a:ext cx="5799455" cy="6350"/>
                        </a:xfrm>
                        <a:custGeom>
                          <a:avLst/>
                          <a:gdLst/>
                          <a:ahLst/>
                          <a:cxnLst/>
                          <a:rect l="l" t="t" r="r" b="b"/>
                          <a:pathLst>
                            <a:path w="5799455" h="6350">
                              <a:moveTo>
                                <a:pt x="5798832" y="0"/>
                              </a:moveTo>
                              <a:lnTo>
                                <a:pt x="0" y="0"/>
                              </a:lnTo>
                              <a:lnTo>
                                <a:pt x="0" y="6108"/>
                              </a:lnTo>
                              <a:lnTo>
                                <a:pt x="5798832" y="6108"/>
                              </a:lnTo>
                              <a:lnTo>
                                <a:pt x="5798832" y="0"/>
                              </a:lnTo>
                              <a:close/>
                            </a:path>
                          </a:pathLst>
                        </a:custGeom>
                        <a:solidFill>
                          <a:srgbClr val="4F81BC"/>
                        </a:solidFill>
                      </wps:spPr>
                      <wps:bodyPr wrap="square" lIns="0" tIns="0" rIns="0" bIns="0" rtlCol="0">
                        <a:prstTxWarp prst="textNoShape">
                          <a:avLst/>
                        </a:prstTxWarp>
                        <a:noAutofit/>
                      </wps:bodyPr>
                    </wps:wsp>
                  </a:graphicData>
                </a:graphic>
              </wp:anchor>
            </w:drawing>
          </mc:Choice>
          <mc:Fallback>
            <w:pict>
              <v:rect style="position:absolute;margin-left:77.699997pt;margin-top:3.505367pt;width:456.601pt;height:.481pt;mso-position-horizontal-relative:page;mso-position-vertical-relative:paragraph;z-index:-15723520;mso-wrap-distance-left:0;mso-wrap-distance-right:0" id="docshape26" filled="true" fillcolor="#4f81bc" stroked="false">
                <v:fill type="solid"/>
                <w10:wrap type="topAndBottom"/>
              </v:rect>
            </w:pict>
          </mc:Fallback>
        </mc:AlternateContent>
      </w:r>
    </w:p>
    <w:p>
      <w:pPr>
        <w:spacing w:line="276" w:lineRule="auto" w:before="241"/>
        <w:ind w:left="603" w:right="420" w:firstLine="0"/>
        <w:jc w:val="both"/>
        <w:rPr>
          <w:sz w:val="21"/>
        </w:rPr>
      </w:pPr>
      <w:r>
        <w:rPr>
          <w:sz w:val="21"/>
        </w:rPr>
        <w:t>As</w:t>
      </w:r>
      <w:r>
        <w:rPr>
          <w:spacing w:val="-6"/>
          <w:sz w:val="21"/>
        </w:rPr>
        <w:t> </w:t>
      </w:r>
      <w:r>
        <w:rPr>
          <w:sz w:val="21"/>
        </w:rPr>
        <w:t>discussed</w:t>
      </w:r>
      <w:r>
        <w:rPr>
          <w:spacing w:val="-5"/>
          <w:sz w:val="21"/>
        </w:rPr>
        <w:t> </w:t>
      </w:r>
      <w:r>
        <w:rPr>
          <w:sz w:val="21"/>
        </w:rPr>
        <w:t>throughout</w:t>
      </w:r>
      <w:r>
        <w:rPr>
          <w:spacing w:val="-5"/>
          <w:sz w:val="21"/>
        </w:rPr>
        <w:t> </w:t>
      </w:r>
      <w:r>
        <w:rPr>
          <w:sz w:val="21"/>
        </w:rPr>
        <w:t>this</w:t>
      </w:r>
      <w:r>
        <w:rPr>
          <w:spacing w:val="-6"/>
          <w:sz w:val="21"/>
        </w:rPr>
        <w:t> </w:t>
      </w:r>
      <w:r>
        <w:rPr>
          <w:sz w:val="21"/>
        </w:rPr>
        <w:t>annual</w:t>
      </w:r>
      <w:r>
        <w:rPr>
          <w:spacing w:val="-7"/>
          <w:sz w:val="21"/>
        </w:rPr>
        <w:t> </w:t>
      </w:r>
      <w:r>
        <w:rPr>
          <w:sz w:val="21"/>
        </w:rPr>
        <w:t>report,</w:t>
      </w:r>
      <w:r>
        <w:rPr>
          <w:spacing w:val="-6"/>
          <w:sz w:val="21"/>
        </w:rPr>
        <w:t> </w:t>
      </w:r>
      <w:r>
        <w:rPr>
          <w:sz w:val="21"/>
        </w:rPr>
        <w:t>the</w:t>
      </w:r>
      <w:r>
        <w:rPr>
          <w:spacing w:val="-7"/>
          <w:sz w:val="21"/>
        </w:rPr>
        <w:t> </w:t>
      </w:r>
      <w:r>
        <w:rPr>
          <w:sz w:val="21"/>
        </w:rPr>
        <w:t>nation</w:t>
      </w:r>
      <w:r>
        <w:rPr>
          <w:spacing w:val="-5"/>
          <w:sz w:val="21"/>
        </w:rPr>
        <w:t> </w:t>
      </w:r>
      <w:r>
        <w:rPr>
          <w:sz w:val="21"/>
        </w:rPr>
        <w:t>has</w:t>
      </w:r>
      <w:r>
        <w:rPr>
          <w:spacing w:val="-6"/>
          <w:sz w:val="21"/>
        </w:rPr>
        <w:t> </w:t>
      </w:r>
      <w:r>
        <w:rPr>
          <w:sz w:val="21"/>
        </w:rPr>
        <w:t>been</w:t>
      </w:r>
      <w:r>
        <w:rPr>
          <w:spacing w:val="-7"/>
          <w:sz w:val="21"/>
        </w:rPr>
        <w:t> </w:t>
      </w:r>
      <w:r>
        <w:rPr>
          <w:sz w:val="21"/>
        </w:rPr>
        <w:t>seeing</w:t>
      </w:r>
      <w:r>
        <w:rPr>
          <w:spacing w:val="-6"/>
          <w:sz w:val="21"/>
        </w:rPr>
        <w:t> </w:t>
      </w:r>
      <w:r>
        <w:rPr>
          <w:sz w:val="21"/>
        </w:rPr>
        <w:t>an</w:t>
      </w:r>
      <w:r>
        <w:rPr>
          <w:spacing w:val="-7"/>
          <w:sz w:val="21"/>
        </w:rPr>
        <w:t> </w:t>
      </w:r>
      <w:r>
        <w:rPr>
          <w:sz w:val="21"/>
        </w:rPr>
        <w:t>unprecedented</w:t>
      </w:r>
      <w:r>
        <w:rPr>
          <w:spacing w:val="-5"/>
          <w:sz w:val="21"/>
        </w:rPr>
        <w:t> </w:t>
      </w:r>
      <w:r>
        <w:rPr>
          <w:sz w:val="21"/>
        </w:rPr>
        <w:t>political</w:t>
      </w:r>
      <w:r>
        <w:rPr>
          <w:spacing w:val="-7"/>
          <w:sz w:val="21"/>
        </w:rPr>
        <w:t> </w:t>
      </w:r>
      <w:r>
        <w:rPr>
          <w:sz w:val="21"/>
        </w:rPr>
        <w:t>barrage of</w:t>
      </w:r>
      <w:r>
        <w:rPr>
          <w:spacing w:val="-8"/>
          <w:sz w:val="21"/>
        </w:rPr>
        <w:t> </w:t>
      </w:r>
      <w:r>
        <w:rPr>
          <w:sz w:val="21"/>
        </w:rPr>
        <w:t>attacks</w:t>
      </w:r>
      <w:r>
        <w:rPr>
          <w:spacing w:val="-8"/>
          <w:sz w:val="21"/>
        </w:rPr>
        <w:t> </w:t>
      </w:r>
      <w:r>
        <w:rPr>
          <w:sz w:val="21"/>
        </w:rPr>
        <w:t>against</w:t>
      </w:r>
      <w:r>
        <w:rPr>
          <w:spacing w:val="-8"/>
          <w:sz w:val="21"/>
        </w:rPr>
        <w:t> </w:t>
      </w:r>
      <w:r>
        <w:rPr>
          <w:sz w:val="21"/>
        </w:rPr>
        <w:t>LGBTQ</w:t>
      </w:r>
      <w:r>
        <w:rPr>
          <w:spacing w:val="-8"/>
          <w:sz w:val="21"/>
        </w:rPr>
        <w:t> </w:t>
      </w:r>
      <w:r>
        <w:rPr>
          <w:sz w:val="21"/>
        </w:rPr>
        <w:t>youth,</w:t>
      </w:r>
      <w:r>
        <w:rPr>
          <w:spacing w:val="-8"/>
          <w:sz w:val="21"/>
        </w:rPr>
        <w:t> </w:t>
      </w:r>
      <w:r>
        <w:rPr>
          <w:sz w:val="21"/>
        </w:rPr>
        <w:t>families,</w:t>
      </w:r>
      <w:r>
        <w:rPr>
          <w:spacing w:val="-9"/>
          <w:sz w:val="21"/>
        </w:rPr>
        <w:t> </w:t>
      </w:r>
      <w:r>
        <w:rPr>
          <w:sz w:val="21"/>
        </w:rPr>
        <w:t>and</w:t>
      </w:r>
      <w:r>
        <w:rPr>
          <w:spacing w:val="-8"/>
          <w:sz w:val="21"/>
        </w:rPr>
        <w:t> </w:t>
      </w:r>
      <w:r>
        <w:rPr>
          <w:sz w:val="21"/>
        </w:rPr>
        <w:t>educators</w:t>
      </w:r>
      <w:r>
        <w:rPr>
          <w:spacing w:val="-10"/>
          <w:sz w:val="21"/>
        </w:rPr>
        <w:t> </w:t>
      </w:r>
      <w:r>
        <w:rPr>
          <w:sz w:val="21"/>
        </w:rPr>
        <w:t>for</w:t>
      </w:r>
      <w:r>
        <w:rPr>
          <w:spacing w:val="-8"/>
          <w:sz w:val="21"/>
        </w:rPr>
        <w:t> </w:t>
      </w:r>
      <w:r>
        <w:rPr>
          <w:sz w:val="21"/>
        </w:rPr>
        <w:t>the</w:t>
      </w:r>
      <w:r>
        <w:rPr>
          <w:spacing w:val="-8"/>
          <w:sz w:val="21"/>
        </w:rPr>
        <w:t> </w:t>
      </w:r>
      <w:r>
        <w:rPr>
          <w:sz w:val="21"/>
        </w:rPr>
        <w:t>last</w:t>
      </w:r>
      <w:r>
        <w:rPr>
          <w:spacing w:val="-8"/>
          <w:sz w:val="21"/>
        </w:rPr>
        <w:t> </w:t>
      </w:r>
      <w:r>
        <w:rPr>
          <w:sz w:val="21"/>
        </w:rPr>
        <w:t>few</w:t>
      </w:r>
      <w:r>
        <w:rPr>
          <w:spacing w:val="-8"/>
          <w:sz w:val="21"/>
        </w:rPr>
        <w:t> </w:t>
      </w:r>
      <w:r>
        <w:rPr>
          <w:sz w:val="21"/>
        </w:rPr>
        <w:t>years.</w:t>
      </w:r>
      <w:r>
        <w:rPr>
          <w:spacing w:val="-8"/>
          <w:sz w:val="21"/>
        </w:rPr>
        <w:t> </w:t>
      </w:r>
      <w:r>
        <w:rPr>
          <w:sz w:val="21"/>
        </w:rPr>
        <w:t>As</w:t>
      </w:r>
      <w:r>
        <w:rPr>
          <w:spacing w:val="-9"/>
          <w:sz w:val="21"/>
        </w:rPr>
        <w:t> </w:t>
      </w:r>
      <w:r>
        <w:rPr>
          <w:sz w:val="21"/>
        </w:rPr>
        <w:t>of</w:t>
      </w:r>
      <w:r>
        <w:rPr>
          <w:spacing w:val="-7"/>
          <w:sz w:val="21"/>
        </w:rPr>
        <w:t> </w:t>
      </w:r>
      <w:r>
        <w:rPr>
          <w:sz w:val="21"/>
        </w:rPr>
        <w:t>May</w:t>
      </w:r>
      <w:r>
        <w:rPr>
          <w:spacing w:val="-8"/>
          <w:sz w:val="21"/>
        </w:rPr>
        <w:t> </w:t>
      </w:r>
      <w:r>
        <w:rPr>
          <w:sz w:val="21"/>
        </w:rPr>
        <w:t>22,</w:t>
      </w:r>
      <w:r>
        <w:rPr>
          <w:spacing w:val="-8"/>
          <w:sz w:val="21"/>
        </w:rPr>
        <w:t> </w:t>
      </w:r>
      <w:r>
        <w:rPr>
          <w:sz w:val="21"/>
        </w:rPr>
        <w:t>2024,</w:t>
      </w:r>
      <w:r>
        <w:rPr>
          <w:spacing w:val="-9"/>
          <w:sz w:val="21"/>
        </w:rPr>
        <w:t> </w:t>
      </w:r>
      <w:r>
        <w:rPr>
          <w:sz w:val="21"/>
        </w:rPr>
        <w:t>515</w:t>
      </w:r>
      <w:r>
        <w:rPr>
          <w:spacing w:val="-9"/>
          <w:sz w:val="21"/>
        </w:rPr>
        <w:t> </w:t>
      </w:r>
      <w:r>
        <w:rPr>
          <w:sz w:val="21"/>
        </w:rPr>
        <w:t>anti- </w:t>
      </w:r>
      <w:r>
        <w:rPr>
          <w:spacing w:val="-2"/>
          <w:sz w:val="21"/>
        </w:rPr>
        <w:t>LGBTQ bills have been filed across the country with bans against education materials, gender-affirming care, </w:t>
      </w:r>
      <w:r>
        <w:rPr>
          <w:sz w:val="21"/>
        </w:rPr>
        <w:t>and</w:t>
      </w:r>
      <w:r>
        <w:rPr>
          <w:spacing w:val="-4"/>
          <w:sz w:val="21"/>
        </w:rPr>
        <w:t> </w:t>
      </w:r>
      <w:r>
        <w:rPr>
          <w:sz w:val="21"/>
        </w:rPr>
        <w:t>books</w:t>
      </w:r>
      <w:r>
        <w:rPr>
          <w:spacing w:val="-5"/>
          <w:sz w:val="21"/>
        </w:rPr>
        <w:t> </w:t>
      </w:r>
      <w:r>
        <w:rPr>
          <w:sz w:val="21"/>
        </w:rPr>
        <w:t>featuring</w:t>
      </w:r>
      <w:r>
        <w:rPr>
          <w:spacing w:val="-5"/>
          <w:sz w:val="21"/>
        </w:rPr>
        <w:t> </w:t>
      </w:r>
      <w:r>
        <w:rPr>
          <w:sz w:val="21"/>
        </w:rPr>
        <w:t>LGBTQ</w:t>
      </w:r>
      <w:r>
        <w:rPr>
          <w:spacing w:val="-5"/>
          <w:sz w:val="21"/>
        </w:rPr>
        <w:t> </w:t>
      </w:r>
      <w:r>
        <w:rPr>
          <w:sz w:val="21"/>
        </w:rPr>
        <w:t>characters</w:t>
      </w:r>
      <w:r>
        <w:rPr>
          <w:spacing w:val="-5"/>
          <w:sz w:val="21"/>
        </w:rPr>
        <w:t> </w:t>
      </w:r>
      <w:r>
        <w:rPr>
          <w:sz w:val="21"/>
        </w:rPr>
        <w:t>or</w:t>
      </w:r>
      <w:r>
        <w:rPr>
          <w:spacing w:val="-5"/>
          <w:sz w:val="21"/>
        </w:rPr>
        <w:t> </w:t>
      </w:r>
      <w:r>
        <w:rPr>
          <w:sz w:val="21"/>
        </w:rPr>
        <w:t>talking</w:t>
      </w:r>
      <w:r>
        <w:rPr>
          <w:spacing w:val="-5"/>
          <w:sz w:val="21"/>
        </w:rPr>
        <w:t> </w:t>
      </w:r>
      <w:r>
        <w:rPr>
          <w:sz w:val="21"/>
        </w:rPr>
        <w:t>about</w:t>
      </w:r>
      <w:r>
        <w:rPr>
          <w:spacing w:val="-6"/>
          <w:sz w:val="21"/>
        </w:rPr>
        <w:t> </w:t>
      </w:r>
      <w:r>
        <w:rPr>
          <w:sz w:val="21"/>
        </w:rPr>
        <w:t>race.</w:t>
      </w:r>
      <w:r>
        <w:rPr>
          <w:spacing w:val="-5"/>
          <w:sz w:val="21"/>
        </w:rPr>
        <w:t> </w:t>
      </w:r>
      <w:r>
        <w:rPr>
          <w:sz w:val="21"/>
        </w:rPr>
        <w:t>It</w:t>
      </w:r>
      <w:r>
        <w:rPr>
          <w:spacing w:val="-4"/>
          <w:sz w:val="21"/>
        </w:rPr>
        <w:t> </w:t>
      </w:r>
      <w:r>
        <w:rPr>
          <w:sz w:val="21"/>
        </w:rPr>
        <w:t>is</w:t>
      </w:r>
      <w:r>
        <w:rPr>
          <w:spacing w:val="-5"/>
          <w:sz w:val="21"/>
        </w:rPr>
        <w:t> </w:t>
      </w:r>
      <w:r>
        <w:rPr>
          <w:sz w:val="21"/>
        </w:rPr>
        <w:t>a</w:t>
      </w:r>
      <w:r>
        <w:rPr>
          <w:spacing w:val="-5"/>
          <w:sz w:val="21"/>
        </w:rPr>
        <w:t> </w:t>
      </w:r>
      <w:r>
        <w:rPr>
          <w:sz w:val="21"/>
        </w:rPr>
        <w:t>critical</w:t>
      </w:r>
      <w:r>
        <w:rPr>
          <w:spacing w:val="-4"/>
          <w:sz w:val="21"/>
        </w:rPr>
        <w:t> </w:t>
      </w:r>
      <w:r>
        <w:rPr>
          <w:sz w:val="21"/>
        </w:rPr>
        <w:t>and</w:t>
      </w:r>
      <w:r>
        <w:rPr>
          <w:spacing w:val="-6"/>
          <w:sz w:val="21"/>
        </w:rPr>
        <w:t> </w:t>
      </w:r>
      <w:r>
        <w:rPr>
          <w:sz w:val="21"/>
        </w:rPr>
        <w:t>alarming</w:t>
      </w:r>
      <w:r>
        <w:rPr>
          <w:spacing w:val="-5"/>
          <w:sz w:val="21"/>
        </w:rPr>
        <w:t> </w:t>
      </w:r>
      <w:r>
        <w:rPr>
          <w:sz w:val="21"/>
        </w:rPr>
        <w:t>time</w:t>
      </w:r>
      <w:r>
        <w:rPr>
          <w:spacing w:val="-4"/>
          <w:sz w:val="21"/>
        </w:rPr>
        <w:t> </w:t>
      </w:r>
      <w:r>
        <w:rPr>
          <w:sz w:val="21"/>
        </w:rPr>
        <w:t>for</w:t>
      </w:r>
      <w:r>
        <w:rPr>
          <w:spacing w:val="-5"/>
          <w:sz w:val="21"/>
        </w:rPr>
        <w:t> </w:t>
      </w:r>
      <w:r>
        <w:rPr>
          <w:sz w:val="21"/>
        </w:rPr>
        <w:t>our</w:t>
      </w:r>
      <w:r>
        <w:rPr>
          <w:spacing w:val="-4"/>
          <w:sz w:val="21"/>
        </w:rPr>
        <w:t> </w:t>
      </w:r>
      <w:r>
        <w:rPr>
          <w:sz w:val="21"/>
        </w:rPr>
        <w:t>LGBTQ youth</w:t>
      </w:r>
      <w:r>
        <w:rPr>
          <w:spacing w:val="-1"/>
          <w:sz w:val="21"/>
        </w:rPr>
        <w:t> </w:t>
      </w:r>
      <w:r>
        <w:rPr>
          <w:sz w:val="21"/>
        </w:rPr>
        <w:t>in Massachusetts</w:t>
      </w:r>
      <w:r>
        <w:rPr>
          <w:spacing w:val="-1"/>
          <w:sz w:val="21"/>
        </w:rPr>
        <w:t> </w:t>
      </w:r>
      <w:r>
        <w:rPr>
          <w:sz w:val="21"/>
        </w:rPr>
        <w:t>with</w:t>
      </w:r>
      <w:r>
        <w:rPr>
          <w:spacing w:val="-1"/>
          <w:sz w:val="21"/>
        </w:rPr>
        <w:t> </w:t>
      </w:r>
      <w:r>
        <w:rPr>
          <w:sz w:val="21"/>
        </w:rPr>
        <w:t>90%</w:t>
      </w:r>
      <w:r>
        <w:rPr>
          <w:spacing w:val="-2"/>
          <w:sz w:val="21"/>
        </w:rPr>
        <w:t> </w:t>
      </w:r>
      <w:r>
        <w:rPr>
          <w:sz w:val="21"/>
        </w:rPr>
        <w:t>of</w:t>
      </w:r>
      <w:r>
        <w:rPr>
          <w:spacing w:val="-1"/>
          <w:sz w:val="21"/>
        </w:rPr>
        <w:t> </w:t>
      </w:r>
      <w:r>
        <w:rPr>
          <w:sz w:val="21"/>
        </w:rPr>
        <w:t>youth</w:t>
      </w:r>
      <w:r>
        <w:rPr>
          <w:spacing w:val="-1"/>
          <w:sz w:val="21"/>
        </w:rPr>
        <w:t> </w:t>
      </w:r>
      <w:r>
        <w:rPr>
          <w:sz w:val="21"/>
        </w:rPr>
        <w:t>experiencing</w:t>
      </w:r>
      <w:r>
        <w:rPr>
          <w:spacing w:val="-1"/>
          <w:sz w:val="21"/>
        </w:rPr>
        <w:t> </w:t>
      </w:r>
      <w:r>
        <w:rPr>
          <w:sz w:val="21"/>
        </w:rPr>
        <w:t>mental</w:t>
      </w:r>
      <w:r>
        <w:rPr>
          <w:spacing w:val="-1"/>
          <w:sz w:val="21"/>
        </w:rPr>
        <w:t> </w:t>
      </w:r>
      <w:r>
        <w:rPr>
          <w:sz w:val="21"/>
        </w:rPr>
        <w:t>distress</w:t>
      </w:r>
      <w:r>
        <w:rPr>
          <w:spacing w:val="-1"/>
          <w:sz w:val="21"/>
        </w:rPr>
        <w:t> </w:t>
      </w:r>
      <w:r>
        <w:rPr>
          <w:sz w:val="21"/>
        </w:rPr>
        <w:t>because</w:t>
      </w:r>
      <w:r>
        <w:rPr>
          <w:spacing w:val="-1"/>
          <w:sz w:val="21"/>
        </w:rPr>
        <w:t> </w:t>
      </w:r>
      <w:r>
        <w:rPr>
          <w:sz w:val="21"/>
        </w:rPr>
        <w:t>of</w:t>
      </w:r>
      <w:r>
        <w:rPr>
          <w:spacing w:val="-1"/>
          <w:sz w:val="21"/>
        </w:rPr>
        <w:t> </w:t>
      </w:r>
      <w:r>
        <w:rPr>
          <w:sz w:val="21"/>
        </w:rPr>
        <w:t>the</w:t>
      </w:r>
      <w:r>
        <w:rPr>
          <w:spacing w:val="-1"/>
          <w:sz w:val="21"/>
        </w:rPr>
        <w:t> </w:t>
      </w:r>
      <w:r>
        <w:rPr>
          <w:sz w:val="21"/>
        </w:rPr>
        <w:t>degrading</w:t>
      </w:r>
      <w:r>
        <w:rPr>
          <w:spacing w:val="-1"/>
          <w:sz w:val="21"/>
        </w:rPr>
        <w:t> </w:t>
      </w:r>
      <w:r>
        <w:rPr>
          <w:sz w:val="21"/>
        </w:rPr>
        <w:t>rhetoric lobbied on social media, through news outlets, and in dozens of state assemblies. Now more than ever, LGBTQ youth need Massachusetts communities, educators, agencies, and policymakers to stand up and enshrine</w:t>
      </w:r>
      <w:r>
        <w:rPr>
          <w:spacing w:val="-2"/>
          <w:sz w:val="21"/>
        </w:rPr>
        <w:t> </w:t>
      </w:r>
      <w:r>
        <w:rPr>
          <w:sz w:val="21"/>
        </w:rPr>
        <w:t>safety</w:t>
      </w:r>
      <w:r>
        <w:rPr>
          <w:spacing w:val="-2"/>
          <w:sz w:val="21"/>
        </w:rPr>
        <w:t> </w:t>
      </w:r>
      <w:r>
        <w:rPr>
          <w:sz w:val="21"/>
        </w:rPr>
        <w:t>and</w:t>
      </w:r>
      <w:r>
        <w:rPr>
          <w:spacing w:val="-2"/>
          <w:sz w:val="21"/>
        </w:rPr>
        <w:t> </w:t>
      </w:r>
      <w:r>
        <w:rPr>
          <w:sz w:val="21"/>
        </w:rPr>
        <w:t>freedom</w:t>
      </w:r>
      <w:r>
        <w:rPr>
          <w:spacing w:val="-2"/>
          <w:sz w:val="21"/>
        </w:rPr>
        <w:t> </w:t>
      </w:r>
      <w:r>
        <w:rPr>
          <w:sz w:val="21"/>
        </w:rPr>
        <w:t>of</w:t>
      </w:r>
      <w:r>
        <w:rPr>
          <w:spacing w:val="-2"/>
          <w:sz w:val="21"/>
        </w:rPr>
        <w:t> </w:t>
      </w:r>
      <w:r>
        <w:rPr>
          <w:sz w:val="21"/>
        </w:rPr>
        <w:t>the</w:t>
      </w:r>
      <w:r>
        <w:rPr>
          <w:spacing w:val="-2"/>
          <w:sz w:val="21"/>
        </w:rPr>
        <w:t> </w:t>
      </w:r>
      <w:r>
        <w:rPr>
          <w:sz w:val="21"/>
        </w:rPr>
        <w:t>right</w:t>
      </w:r>
      <w:r>
        <w:rPr>
          <w:spacing w:val="-4"/>
          <w:sz w:val="21"/>
        </w:rPr>
        <w:t> </w:t>
      </w:r>
      <w:r>
        <w:rPr>
          <w:sz w:val="21"/>
        </w:rPr>
        <w:t>to</w:t>
      </w:r>
      <w:r>
        <w:rPr>
          <w:spacing w:val="-2"/>
          <w:sz w:val="21"/>
        </w:rPr>
        <w:t> </w:t>
      </w:r>
      <w:r>
        <w:rPr>
          <w:sz w:val="21"/>
        </w:rPr>
        <w:t>autonomy</w:t>
      </w:r>
      <w:r>
        <w:rPr>
          <w:spacing w:val="-3"/>
          <w:sz w:val="21"/>
        </w:rPr>
        <w:t> </w:t>
      </w:r>
      <w:r>
        <w:rPr>
          <w:sz w:val="21"/>
        </w:rPr>
        <w:t>and</w:t>
      </w:r>
      <w:r>
        <w:rPr>
          <w:spacing w:val="-2"/>
          <w:sz w:val="21"/>
        </w:rPr>
        <w:t> </w:t>
      </w:r>
      <w:r>
        <w:rPr>
          <w:sz w:val="21"/>
        </w:rPr>
        <w:t>queer</w:t>
      </w:r>
      <w:r>
        <w:rPr>
          <w:spacing w:val="-2"/>
          <w:sz w:val="21"/>
        </w:rPr>
        <w:t> </w:t>
      </w:r>
      <w:r>
        <w:rPr>
          <w:sz w:val="21"/>
        </w:rPr>
        <w:t>joy.</w:t>
      </w:r>
      <w:r>
        <w:rPr>
          <w:spacing w:val="-4"/>
          <w:sz w:val="21"/>
        </w:rPr>
        <w:t> </w:t>
      </w:r>
      <w:r>
        <w:rPr>
          <w:sz w:val="21"/>
        </w:rPr>
        <w:t>Already</w:t>
      </w:r>
      <w:r>
        <w:rPr>
          <w:spacing w:val="-2"/>
          <w:sz w:val="21"/>
        </w:rPr>
        <w:t> </w:t>
      </w:r>
      <w:r>
        <w:rPr>
          <w:sz w:val="21"/>
        </w:rPr>
        <w:t>Massachusetts</w:t>
      </w:r>
      <w:r>
        <w:rPr>
          <w:spacing w:val="-3"/>
          <w:sz w:val="21"/>
        </w:rPr>
        <w:t> </w:t>
      </w:r>
      <w:r>
        <w:rPr>
          <w:sz w:val="21"/>
        </w:rPr>
        <w:t>LGBTQ</w:t>
      </w:r>
      <w:r>
        <w:rPr>
          <w:spacing w:val="-2"/>
          <w:sz w:val="21"/>
        </w:rPr>
        <w:t> </w:t>
      </w:r>
      <w:r>
        <w:rPr>
          <w:sz w:val="21"/>
        </w:rPr>
        <w:t>youth enjoy many protections that are not experienced by youth in surrounding states, but there is room for ongoing action.</w:t>
      </w:r>
    </w:p>
    <w:p>
      <w:pPr>
        <w:spacing w:line="276" w:lineRule="auto" w:before="241"/>
        <w:ind w:left="603" w:right="420" w:firstLine="0"/>
        <w:jc w:val="both"/>
        <w:rPr>
          <w:sz w:val="21"/>
        </w:rPr>
      </w:pPr>
      <w:r>
        <w:rPr>
          <w:sz w:val="21"/>
        </w:rPr>
        <w:t>Time and time again, the Commission hears from community members, advocates, and policymakers that there is little need to address anti-LGBTQ activity across the state, because it does not appear to be happening and the state’s protections are strong. However, this is not entirely the case. Across the state, numerous challenges to LGBTQ freedoms are occurring with little explicit action from the state to</w:t>
      </w:r>
      <w:r>
        <w:rPr>
          <w:spacing w:val="-2"/>
          <w:sz w:val="21"/>
        </w:rPr>
        <w:t> </w:t>
      </w:r>
      <w:r>
        <w:rPr>
          <w:sz w:val="21"/>
        </w:rPr>
        <w:t>support local schools, communities, families, and youth.</w:t>
      </w:r>
    </w:p>
    <w:p>
      <w:pPr>
        <w:spacing w:before="240"/>
        <w:ind w:left="603" w:right="0" w:firstLine="0"/>
        <w:jc w:val="both"/>
        <w:rPr>
          <w:sz w:val="21"/>
        </w:rPr>
      </w:pPr>
      <w:r>
        <w:rPr>
          <w:sz w:val="21"/>
        </w:rPr>
        <w:t>These</w:t>
      </w:r>
      <w:r>
        <w:rPr>
          <w:spacing w:val="-3"/>
          <w:sz w:val="21"/>
        </w:rPr>
        <w:t> </w:t>
      </w:r>
      <w:r>
        <w:rPr>
          <w:sz w:val="21"/>
        </w:rPr>
        <w:t>areas</w:t>
      </w:r>
      <w:r>
        <w:rPr>
          <w:spacing w:val="-2"/>
          <w:sz w:val="21"/>
        </w:rPr>
        <w:t> </w:t>
      </w:r>
      <w:r>
        <w:rPr>
          <w:sz w:val="21"/>
        </w:rPr>
        <w:t>include,</w:t>
      </w:r>
      <w:r>
        <w:rPr>
          <w:spacing w:val="-1"/>
          <w:sz w:val="21"/>
        </w:rPr>
        <w:t> </w:t>
      </w:r>
      <w:r>
        <w:rPr>
          <w:sz w:val="21"/>
        </w:rPr>
        <w:t>but</w:t>
      </w:r>
      <w:r>
        <w:rPr>
          <w:spacing w:val="-3"/>
          <w:sz w:val="21"/>
        </w:rPr>
        <w:t> </w:t>
      </w:r>
      <w:r>
        <w:rPr>
          <w:sz w:val="21"/>
        </w:rPr>
        <w:t>are</w:t>
      </w:r>
      <w:r>
        <w:rPr>
          <w:spacing w:val="-3"/>
          <w:sz w:val="21"/>
        </w:rPr>
        <w:t> </w:t>
      </w:r>
      <w:r>
        <w:rPr>
          <w:sz w:val="21"/>
        </w:rPr>
        <w:t>not</w:t>
      </w:r>
      <w:r>
        <w:rPr>
          <w:spacing w:val="-2"/>
          <w:sz w:val="21"/>
        </w:rPr>
        <w:t> </w:t>
      </w:r>
      <w:r>
        <w:rPr>
          <w:sz w:val="21"/>
        </w:rPr>
        <w:t>limited</w:t>
      </w:r>
      <w:r>
        <w:rPr>
          <w:spacing w:val="-2"/>
          <w:sz w:val="21"/>
        </w:rPr>
        <w:t> </w:t>
      </w:r>
      <w:r>
        <w:rPr>
          <w:spacing w:val="-5"/>
          <w:sz w:val="21"/>
        </w:rPr>
        <w:t>to:</w:t>
      </w:r>
    </w:p>
    <w:p>
      <w:pPr>
        <w:pStyle w:val="BodyText"/>
        <w:spacing w:before="22"/>
        <w:rPr>
          <w:sz w:val="21"/>
        </w:rPr>
      </w:pPr>
    </w:p>
    <w:p>
      <w:pPr>
        <w:spacing w:line="276" w:lineRule="auto" w:before="1"/>
        <w:ind w:left="603" w:right="420" w:firstLine="0"/>
        <w:jc w:val="both"/>
        <w:rPr>
          <w:sz w:val="21"/>
        </w:rPr>
      </w:pPr>
      <w:r>
        <w:rPr>
          <w:sz w:val="21"/>
        </w:rPr>
        <w:t>Abington, Arlington, Andover, Barnstable, Bedford, Beverly, Boston, Brewster, Brookline, Bridgewater- Raynham, Bristol County, Clarksburg, Concord-Carlisle, Danvers, Dudley, Edgartown, Fitchburg, Florida, Foxborough, Greater Fall River, Hamilton-Wenham, Hanover, Ludlow, Mansfield, Medway, Mendon- Upton,</w:t>
      </w:r>
      <w:r>
        <w:rPr>
          <w:spacing w:val="-12"/>
          <w:sz w:val="21"/>
        </w:rPr>
        <w:t> </w:t>
      </w:r>
      <w:r>
        <w:rPr>
          <w:sz w:val="21"/>
        </w:rPr>
        <w:t>Middleborough,</w:t>
      </w:r>
      <w:r>
        <w:rPr>
          <w:spacing w:val="-12"/>
          <w:sz w:val="21"/>
        </w:rPr>
        <w:t> </w:t>
      </w:r>
      <w:r>
        <w:rPr>
          <w:sz w:val="21"/>
        </w:rPr>
        <w:t>Millbury,</w:t>
      </w:r>
      <w:r>
        <w:rPr>
          <w:spacing w:val="-12"/>
          <w:sz w:val="21"/>
        </w:rPr>
        <w:t> </w:t>
      </w:r>
      <w:r>
        <w:rPr>
          <w:sz w:val="21"/>
        </w:rPr>
        <w:t>Milton,</w:t>
      </w:r>
      <w:r>
        <w:rPr>
          <w:spacing w:val="-12"/>
          <w:sz w:val="21"/>
        </w:rPr>
        <w:t> </w:t>
      </w:r>
      <w:r>
        <w:rPr>
          <w:sz w:val="21"/>
        </w:rPr>
        <w:t>Nauset,</w:t>
      </w:r>
      <w:r>
        <w:rPr>
          <w:spacing w:val="-12"/>
          <w:sz w:val="21"/>
        </w:rPr>
        <w:t> </w:t>
      </w:r>
      <w:r>
        <w:rPr>
          <w:sz w:val="21"/>
        </w:rPr>
        <w:t>Needham,</w:t>
      </w:r>
      <w:r>
        <w:rPr>
          <w:spacing w:val="-12"/>
          <w:sz w:val="21"/>
        </w:rPr>
        <w:t> </w:t>
      </w:r>
      <w:r>
        <w:rPr>
          <w:sz w:val="21"/>
        </w:rPr>
        <w:t>Newton,</w:t>
      </w:r>
      <w:r>
        <w:rPr>
          <w:spacing w:val="-12"/>
          <w:sz w:val="21"/>
        </w:rPr>
        <w:t> </w:t>
      </w:r>
      <w:r>
        <w:rPr>
          <w:sz w:val="21"/>
        </w:rPr>
        <w:t>Norfolk</w:t>
      </w:r>
      <w:r>
        <w:rPr>
          <w:spacing w:val="-11"/>
          <w:sz w:val="21"/>
        </w:rPr>
        <w:t> </w:t>
      </w:r>
      <w:r>
        <w:rPr>
          <w:sz w:val="21"/>
        </w:rPr>
        <w:t>County,</w:t>
      </w:r>
      <w:r>
        <w:rPr>
          <w:spacing w:val="-12"/>
          <w:sz w:val="21"/>
        </w:rPr>
        <w:t> </w:t>
      </w:r>
      <w:r>
        <w:rPr>
          <w:sz w:val="21"/>
        </w:rPr>
        <w:t>North</w:t>
      </w:r>
      <w:r>
        <w:rPr>
          <w:spacing w:val="-12"/>
          <w:sz w:val="21"/>
        </w:rPr>
        <w:t> </w:t>
      </w:r>
      <w:r>
        <w:rPr>
          <w:sz w:val="21"/>
        </w:rPr>
        <w:t>Brookfield,</w:t>
      </w:r>
      <w:r>
        <w:rPr>
          <w:spacing w:val="-12"/>
          <w:sz w:val="21"/>
        </w:rPr>
        <w:t> </w:t>
      </w:r>
      <w:r>
        <w:rPr>
          <w:sz w:val="21"/>
        </w:rPr>
        <w:t>Old Rochester, Pepperell, Plymouth, Revere, Rockland, Scituate, Somerville, South Hadley, and Sutton.</w:t>
      </w:r>
    </w:p>
    <w:p>
      <w:pPr>
        <w:spacing w:line="276" w:lineRule="auto" w:before="239"/>
        <w:ind w:left="603" w:right="421" w:firstLine="0"/>
        <w:jc w:val="both"/>
        <w:rPr>
          <w:sz w:val="21"/>
        </w:rPr>
      </w:pPr>
      <w:r>
        <w:rPr>
          <w:sz w:val="21"/>
        </w:rPr>
        <w:t>The attacks being seen on the ground by advocates and youth include book bans, LGBTQ flag removals in schools, graffiti, drag story hour protests, drag show bans, curriculum disputes, harassment at school committee meetings, doxxing against LGBTQ librarians and teachers, and much more. Furthermore, for months, healthcare providers at facilities, including Boston Children’s Hospital, have been receiving constant</w:t>
      </w:r>
      <w:r>
        <w:rPr>
          <w:spacing w:val="-10"/>
          <w:sz w:val="21"/>
        </w:rPr>
        <w:t> </w:t>
      </w:r>
      <w:r>
        <w:rPr>
          <w:sz w:val="21"/>
        </w:rPr>
        <w:t>security,</w:t>
      </w:r>
      <w:r>
        <w:rPr>
          <w:spacing w:val="-10"/>
          <w:sz w:val="21"/>
        </w:rPr>
        <w:t> </w:t>
      </w:r>
      <w:r>
        <w:rPr>
          <w:sz w:val="21"/>
        </w:rPr>
        <w:t>bombing,</w:t>
      </w:r>
      <w:r>
        <w:rPr>
          <w:spacing w:val="-10"/>
          <w:sz w:val="21"/>
        </w:rPr>
        <w:t> </w:t>
      </w:r>
      <w:r>
        <w:rPr>
          <w:sz w:val="21"/>
        </w:rPr>
        <w:t>and</w:t>
      </w:r>
      <w:r>
        <w:rPr>
          <w:spacing w:val="-10"/>
          <w:sz w:val="21"/>
        </w:rPr>
        <w:t> </w:t>
      </w:r>
      <w:r>
        <w:rPr>
          <w:sz w:val="21"/>
        </w:rPr>
        <w:t>violent</w:t>
      </w:r>
      <w:r>
        <w:rPr>
          <w:spacing w:val="-10"/>
          <w:sz w:val="21"/>
        </w:rPr>
        <w:t> </w:t>
      </w:r>
      <w:r>
        <w:rPr>
          <w:sz w:val="21"/>
        </w:rPr>
        <w:t>threats</w:t>
      </w:r>
      <w:r>
        <w:rPr>
          <w:spacing w:val="-11"/>
          <w:sz w:val="21"/>
        </w:rPr>
        <w:t> </w:t>
      </w:r>
      <w:r>
        <w:rPr>
          <w:sz w:val="21"/>
        </w:rPr>
        <w:t>for</w:t>
      </w:r>
      <w:r>
        <w:rPr>
          <w:spacing w:val="-10"/>
          <w:sz w:val="21"/>
        </w:rPr>
        <w:t> </w:t>
      </w:r>
      <w:r>
        <w:rPr>
          <w:sz w:val="21"/>
        </w:rPr>
        <w:t>the</w:t>
      </w:r>
      <w:r>
        <w:rPr>
          <w:spacing w:val="-10"/>
          <w:sz w:val="21"/>
        </w:rPr>
        <w:t> </w:t>
      </w:r>
      <w:r>
        <w:rPr>
          <w:sz w:val="21"/>
        </w:rPr>
        <w:t>provision</w:t>
      </w:r>
      <w:r>
        <w:rPr>
          <w:spacing w:val="-10"/>
          <w:sz w:val="21"/>
        </w:rPr>
        <w:t> </w:t>
      </w:r>
      <w:r>
        <w:rPr>
          <w:sz w:val="21"/>
        </w:rPr>
        <w:t>of</w:t>
      </w:r>
      <w:r>
        <w:rPr>
          <w:spacing w:val="-11"/>
          <w:sz w:val="21"/>
        </w:rPr>
        <w:t> </w:t>
      </w:r>
      <w:r>
        <w:rPr>
          <w:sz w:val="21"/>
        </w:rPr>
        <w:t>gender-affirming</w:t>
      </w:r>
      <w:r>
        <w:rPr>
          <w:spacing w:val="-11"/>
          <w:sz w:val="21"/>
        </w:rPr>
        <w:t> </w:t>
      </w:r>
      <w:r>
        <w:rPr>
          <w:sz w:val="21"/>
        </w:rPr>
        <w:t>care.</w:t>
      </w:r>
      <w:r>
        <w:rPr>
          <w:spacing w:val="-10"/>
          <w:sz w:val="21"/>
        </w:rPr>
        <w:t> </w:t>
      </w:r>
      <w:r>
        <w:rPr>
          <w:sz w:val="21"/>
        </w:rPr>
        <w:t>Combining</w:t>
      </w:r>
      <w:r>
        <w:rPr>
          <w:spacing w:val="-11"/>
          <w:sz w:val="21"/>
        </w:rPr>
        <w:t> </w:t>
      </w:r>
      <w:r>
        <w:rPr>
          <w:sz w:val="21"/>
        </w:rPr>
        <w:t>these with the alarming rise in racist hate crimes being seen across the state, the Commission has serious concerns</w:t>
      </w:r>
      <w:r>
        <w:rPr>
          <w:spacing w:val="-11"/>
          <w:sz w:val="21"/>
        </w:rPr>
        <w:t> </w:t>
      </w:r>
      <w:r>
        <w:rPr>
          <w:sz w:val="21"/>
        </w:rPr>
        <w:t>for</w:t>
      </w:r>
      <w:r>
        <w:rPr>
          <w:spacing w:val="-10"/>
          <w:sz w:val="21"/>
        </w:rPr>
        <w:t> </w:t>
      </w:r>
      <w:r>
        <w:rPr>
          <w:sz w:val="21"/>
        </w:rPr>
        <w:t>the</w:t>
      </w:r>
      <w:r>
        <w:rPr>
          <w:spacing w:val="-10"/>
          <w:sz w:val="21"/>
        </w:rPr>
        <w:t> </w:t>
      </w:r>
      <w:r>
        <w:rPr>
          <w:sz w:val="21"/>
        </w:rPr>
        <w:t>safety</w:t>
      </w:r>
      <w:r>
        <w:rPr>
          <w:spacing w:val="-10"/>
          <w:sz w:val="21"/>
        </w:rPr>
        <w:t> </w:t>
      </w:r>
      <w:r>
        <w:rPr>
          <w:sz w:val="21"/>
        </w:rPr>
        <w:t>of</w:t>
      </w:r>
      <w:r>
        <w:rPr>
          <w:spacing w:val="-11"/>
          <w:sz w:val="21"/>
        </w:rPr>
        <w:t> </w:t>
      </w:r>
      <w:r>
        <w:rPr>
          <w:sz w:val="21"/>
        </w:rPr>
        <w:t>LGBTQ</w:t>
      </w:r>
      <w:r>
        <w:rPr>
          <w:spacing w:val="-10"/>
          <w:sz w:val="21"/>
        </w:rPr>
        <w:t> </w:t>
      </w:r>
      <w:r>
        <w:rPr>
          <w:sz w:val="21"/>
        </w:rPr>
        <w:t>youth,</w:t>
      </w:r>
      <w:r>
        <w:rPr>
          <w:spacing w:val="-10"/>
          <w:sz w:val="21"/>
        </w:rPr>
        <w:t> </w:t>
      </w:r>
      <w:r>
        <w:rPr>
          <w:sz w:val="21"/>
        </w:rPr>
        <w:t>families,</w:t>
      </w:r>
      <w:r>
        <w:rPr>
          <w:spacing w:val="-10"/>
          <w:sz w:val="21"/>
        </w:rPr>
        <w:t> </w:t>
      </w:r>
      <w:r>
        <w:rPr>
          <w:sz w:val="21"/>
        </w:rPr>
        <w:t>providers,</w:t>
      </w:r>
      <w:r>
        <w:rPr>
          <w:spacing w:val="-10"/>
          <w:sz w:val="21"/>
        </w:rPr>
        <w:t> </w:t>
      </w:r>
      <w:r>
        <w:rPr>
          <w:sz w:val="21"/>
        </w:rPr>
        <w:t>librarians,</w:t>
      </w:r>
      <w:r>
        <w:rPr>
          <w:spacing w:val="-10"/>
          <w:sz w:val="21"/>
        </w:rPr>
        <w:t> </w:t>
      </w:r>
      <w:r>
        <w:rPr>
          <w:sz w:val="21"/>
        </w:rPr>
        <w:t>and</w:t>
      </w:r>
      <w:r>
        <w:rPr>
          <w:spacing w:val="-10"/>
          <w:sz w:val="21"/>
        </w:rPr>
        <w:t> </w:t>
      </w:r>
      <w:r>
        <w:rPr>
          <w:sz w:val="21"/>
        </w:rPr>
        <w:t>educators</w:t>
      </w:r>
      <w:r>
        <w:rPr>
          <w:spacing w:val="-11"/>
          <w:sz w:val="21"/>
        </w:rPr>
        <w:t> </w:t>
      </w:r>
      <w:r>
        <w:rPr>
          <w:sz w:val="21"/>
        </w:rPr>
        <w:t>in</w:t>
      </w:r>
      <w:r>
        <w:rPr>
          <w:spacing w:val="-10"/>
          <w:sz w:val="21"/>
        </w:rPr>
        <w:t> </w:t>
      </w:r>
      <w:r>
        <w:rPr>
          <w:sz w:val="21"/>
        </w:rPr>
        <w:t>Massachusetts.</w:t>
      </w:r>
      <w:r>
        <w:rPr>
          <w:spacing w:val="-11"/>
          <w:sz w:val="21"/>
        </w:rPr>
        <w:t> </w:t>
      </w:r>
      <w:r>
        <w:rPr>
          <w:sz w:val="21"/>
        </w:rPr>
        <w:t>The Commission</w:t>
      </w:r>
      <w:r>
        <w:rPr>
          <w:spacing w:val="-10"/>
          <w:sz w:val="21"/>
        </w:rPr>
        <w:t> </w:t>
      </w:r>
      <w:r>
        <w:rPr>
          <w:sz w:val="21"/>
        </w:rPr>
        <w:t>urges</w:t>
      </w:r>
      <w:r>
        <w:rPr>
          <w:spacing w:val="-11"/>
          <w:sz w:val="21"/>
        </w:rPr>
        <w:t> </w:t>
      </w:r>
      <w:r>
        <w:rPr>
          <w:sz w:val="21"/>
        </w:rPr>
        <w:t>the</w:t>
      </w:r>
      <w:r>
        <w:rPr>
          <w:spacing w:val="-10"/>
          <w:sz w:val="21"/>
        </w:rPr>
        <w:t> </w:t>
      </w:r>
      <w:r>
        <w:rPr>
          <w:sz w:val="21"/>
        </w:rPr>
        <w:t>Commonwealth</w:t>
      </w:r>
      <w:r>
        <w:rPr>
          <w:spacing w:val="-10"/>
          <w:sz w:val="21"/>
        </w:rPr>
        <w:t> </w:t>
      </w:r>
      <w:r>
        <w:rPr>
          <w:sz w:val="21"/>
        </w:rPr>
        <w:t>to</w:t>
      </w:r>
      <w:r>
        <w:rPr>
          <w:spacing w:val="-12"/>
          <w:sz w:val="21"/>
        </w:rPr>
        <w:t> </w:t>
      </w:r>
      <w:r>
        <w:rPr>
          <w:sz w:val="21"/>
        </w:rPr>
        <w:t>take</w:t>
      </w:r>
      <w:r>
        <w:rPr>
          <w:spacing w:val="-10"/>
          <w:sz w:val="21"/>
        </w:rPr>
        <w:t> </w:t>
      </w:r>
      <w:r>
        <w:rPr>
          <w:sz w:val="21"/>
        </w:rPr>
        <w:t>direct</w:t>
      </w:r>
      <w:r>
        <w:rPr>
          <w:spacing w:val="-10"/>
          <w:sz w:val="21"/>
        </w:rPr>
        <w:t> </w:t>
      </w:r>
      <w:r>
        <w:rPr>
          <w:sz w:val="21"/>
        </w:rPr>
        <w:t>and</w:t>
      </w:r>
      <w:r>
        <w:rPr>
          <w:spacing w:val="-10"/>
          <w:sz w:val="21"/>
        </w:rPr>
        <w:t> </w:t>
      </w:r>
      <w:r>
        <w:rPr>
          <w:sz w:val="21"/>
        </w:rPr>
        <w:t>explicit</w:t>
      </w:r>
      <w:r>
        <w:rPr>
          <w:spacing w:val="-10"/>
          <w:sz w:val="21"/>
        </w:rPr>
        <w:t> </w:t>
      </w:r>
      <w:r>
        <w:rPr>
          <w:sz w:val="21"/>
        </w:rPr>
        <w:t>action</w:t>
      </w:r>
      <w:r>
        <w:rPr>
          <w:spacing w:val="-10"/>
          <w:sz w:val="21"/>
        </w:rPr>
        <w:t> </w:t>
      </w:r>
      <w:r>
        <w:rPr>
          <w:sz w:val="21"/>
        </w:rPr>
        <w:t>to</w:t>
      </w:r>
      <w:r>
        <w:rPr>
          <w:spacing w:val="-11"/>
          <w:sz w:val="21"/>
        </w:rPr>
        <w:t> </w:t>
      </w:r>
      <w:r>
        <w:rPr>
          <w:sz w:val="21"/>
        </w:rPr>
        <w:t>protect</w:t>
      </w:r>
      <w:r>
        <w:rPr>
          <w:spacing w:val="-11"/>
          <w:sz w:val="21"/>
        </w:rPr>
        <w:t> </w:t>
      </w:r>
      <w:r>
        <w:rPr>
          <w:sz w:val="21"/>
        </w:rPr>
        <w:t>LGBTQ</w:t>
      </w:r>
      <w:r>
        <w:rPr>
          <w:spacing w:val="-10"/>
          <w:sz w:val="21"/>
        </w:rPr>
        <w:t> </w:t>
      </w:r>
      <w:r>
        <w:rPr>
          <w:sz w:val="21"/>
        </w:rPr>
        <w:t>youth,</w:t>
      </w:r>
      <w:r>
        <w:rPr>
          <w:spacing w:val="-10"/>
          <w:sz w:val="21"/>
        </w:rPr>
        <w:t> </w:t>
      </w:r>
      <w:r>
        <w:rPr>
          <w:sz w:val="21"/>
        </w:rPr>
        <w:t>educators, librarians, and caregivers.</w:t>
      </w:r>
    </w:p>
    <w:p>
      <w:pPr>
        <w:spacing w:after="0" w:line="276" w:lineRule="auto"/>
        <w:jc w:val="both"/>
        <w:rPr>
          <w:sz w:val="21"/>
        </w:rPr>
        <w:sectPr>
          <w:headerReference w:type="default" r:id="rId18"/>
          <w:footerReference w:type="default" r:id="rId19"/>
          <w:pgSz w:w="12240" w:h="15840"/>
          <w:pgMar w:header="0" w:footer="1061" w:top="1140" w:bottom="1260" w:left="980" w:right="1160"/>
        </w:sectPr>
      </w:pPr>
    </w:p>
    <w:p>
      <w:pPr>
        <w:spacing w:before="10"/>
        <w:ind w:left="604" w:right="0" w:firstLine="0"/>
        <w:jc w:val="left"/>
        <w:rPr>
          <w:sz w:val="32"/>
        </w:rPr>
      </w:pPr>
      <w:r>
        <w:rPr/>
        <mc:AlternateContent>
          <mc:Choice Requires="wps">
            <w:drawing>
              <wp:anchor distT="0" distB="0" distL="0" distR="0" allowOverlap="1" layoutInCell="1" locked="0" behindDoc="1" simplePos="0" relativeHeight="487593472">
                <wp:simplePos x="0" y="0"/>
                <wp:positionH relativeFrom="page">
                  <wp:posOffset>986789</wp:posOffset>
                </wp:positionH>
                <wp:positionV relativeFrom="paragraph">
                  <wp:posOffset>266954</wp:posOffset>
                </wp:positionV>
                <wp:extent cx="5890895" cy="6350"/>
                <wp:effectExtent l="0" t="0" r="0" b="0"/>
                <wp:wrapTopAndBottom/>
                <wp:docPr id="45" name="Graphic 45"/>
                <wp:cNvGraphicFramePr>
                  <a:graphicFrameLocks/>
                </wp:cNvGraphicFramePr>
                <a:graphic>
                  <a:graphicData uri="http://schemas.microsoft.com/office/word/2010/wordprocessingShape">
                    <wps:wsp>
                      <wps:cNvPr id="45" name="Graphic 45"/>
                      <wps:cNvSpPr/>
                      <wps:spPr>
                        <a:xfrm>
                          <a:off x="0" y="0"/>
                          <a:ext cx="5890895" cy="6350"/>
                        </a:xfrm>
                        <a:custGeom>
                          <a:avLst/>
                          <a:gdLst/>
                          <a:ahLst/>
                          <a:cxnLst/>
                          <a:rect l="l" t="t" r="r" b="b"/>
                          <a:pathLst>
                            <a:path w="5890895" h="6350">
                              <a:moveTo>
                                <a:pt x="5890272" y="0"/>
                              </a:moveTo>
                              <a:lnTo>
                                <a:pt x="0" y="0"/>
                              </a:lnTo>
                              <a:lnTo>
                                <a:pt x="0" y="6096"/>
                              </a:lnTo>
                              <a:lnTo>
                                <a:pt x="5890272" y="6096"/>
                              </a:lnTo>
                              <a:lnTo>
                                <a:pt x="5890272" y="0"/>
                              </a:lnTo>
                              <a:close/>
                            </a:path>
                          </a:pathLst>
                        </a:custGeom>
                        <a:solidFill>
                          <a:srgbClr val="4F81BC"/>
                        </a:solidFill>
                      </wps:spPr>
                      <wps:bodyPr wrap="square" lIns="0" tIns="0" rIns="0" bIns="0" rtlCol="0">
                        <a:prstTxWarp prst="textNoShape">
                          <a:avLst/>
                        </a:prstTxWarp>
                        <a:noAutofit/>
                      </wps:bodyPr>
                    </wps:wsp>
                  </a:graphicData>
                </a:graphic>
              </wp:anchor>
            </w:drawing>
          </mc:Choice>
          <mc:Fallback>
            <w:pict>
              <v:rect style="position:absolute;margin-left:77.699997pt;margin-top:21.02pt;width:463.801pt;height:.48pt;mso-position-horizontal-relative:page;mso-position-vertical-relative:paragraph;z-index:-15723008;mso-wrap-distance-left:0;mso-wrap-distance-right:0" id="docshape29" filled="true" fillcolor="#4f81bc" stroked="false">
                <v:fill type="solid"/>
                <w10:wrap type="topAndBottom"/>
              </v:rect>
            </w:pict>
          </mc:Fallback>
        </mc:AlternateContent>
      </w:r>
      <w:bookmarkStart w:name="Summary of FY 2025 Recommendations" w:id="23"/>
      <w:bookmarkEnd w:id="23"/>
      <w:r>
        <w:rPr/>
      </w:r>
      <w:r>
        <w:rPr>
          <w:color w:val="365F91"/>
          <w:sz w:val="32"/>
        </w:rPr>
        <w:t>Summary</w:t>
      </w:r>
      <w:r>
        <w:rPr>
          <w:color w:val="365F91"/>
          <w:spacing w:val="-4"/>
          <w:sz w:val="32"/>
        </w:rPr>
        <w:t> </w:t>
      </w:r>
      <w:r>
        <w:rPr>
          <w:color w:val="365F91"/>
          <w:sz w:val="32"/>
        </w:rPr>
        <w:t>of</w:t>
      </w:r>
      <w:r>
        <w:rPr>
          <w:color w:val="365F91"/>
          <w:spacing w:val="-2"/>
          <w:sz w:val="32"/>
        </w:rPr>
        <w:t> </w:t>
      </w:r>
      <w:r>
        <w:rPr>
          <w:color w:val="365F91"/>
          <w:sz w:val="32"/>
        </w:rPr>
        <w:t>FY</w:t>
      </w:r>
      <w:r>
        <w:rPr>
          <w:color w:val="365F91"/>
          <w:spacing w:val="-3"/>
          <w:sz w:val="32"/>
        </w:rPr>
        <w:t> </w:t>
      </w:r>
      <w:r>
        <w:rPr>
          <w:color w:val="365F91"/>
          <w:sz w:val="32"/>
        </w:rPr>
        <w:t>2025</w:t>
      </w:r>
      <w:r>
        <w:rPr>
          <w:color w:val="365F91"/>
          <w:spacing w:val="-3"/>
          <w:sz w:val="32"/>
        </w:rPr>
        <w:t> </w:t>
      </w:r>
      <w:r>
        <w:rPr>
          <w:color w:val="365F91"/>
          <w:spacing w:val="-2"/>
          <w:sz w:val="32"/>
        </w:rPr>
        <w:t>Recommendations</w:t>
      </w:r>
    </w:p>
    <w:p>
      <w:pPr>
        <w:pStyle w:val="BodyText"/>
        <w:spacing w:before="140"/>
        <w:rPr>
          <w:sz w:val="28"/>
        </w:rPr>
      </w:pPr>
    </w:p>
    <w:p>
      <w:pPr>
        <w:spacing w:before="0"/>
        <w:ind w:left="604" w:right="0" w:firstLine="0"/>
        <w:jc w:val="both"/>
        <w:rPr>
          <w:sz w:val="28"/>
        </w:rPr>
      </w:pPr>
      <w:bookmarkStart w:name="Protecting LGBTQ Child Welfare &amp; Well-Be" w:id="24"/>
      <w:bookmarkEnd w:id="24"/>
      <w:r>
        <w:rPr/>
      </w:r>
      <w:r>
        <w:rPr>
          <w:color w:val="365F91"/>
          <w:sz w:val="28"/>
        </w:rPr>
        <w:t>Protecting</w:t>
      </w:r>
      <w:r>
        <w:rPr>
          <w:color w:val="365F91"/>
          <w:spacing w:val="-10"/>
          <w:sz w:val="28"/>
        </w:rPr>
        <w:t> </w:t>
      </w:r>
      <w:r>
        <w:rPr>
          <w:color w:val="365F91"/>
          <w:sz w:val="28"/>
        </w:rPr>
        <w:t>LGBTQ</w:t>
      </w:r>
      <w:r>
        <w:rPr>
          <w:color w:val="365F91"/>
          <w:spacing w:val="-10"/>
          <w:sz w:val="28"/>
        </w:rPr>
        <w:t> </w:t>
      </w:r>
      <w:r>
        <w:rPr>
          <w:color w:val="365F91"/>
          <w:sz w:val="28"/>
        </w:rPr>
        <w:t>Child</w:t>
      </w:r>
      <w:r>
        <w:rPr>
          <w:color w:val="365F91"/>
          <w:spacing w:val="-11"/>
          <w:sz w:val="28"/>
        </w:rPr>
        <w:t> </w:t>
      </w:r>
      <w:r>
        <w:rPr>
          <w:color w:val="365F91"/>
          <w:sz w:val="28"/>
        </w:rPr>
        <w:t>Welfare</w:t>
      </w:r>
      <w:r>
        <w:rPr>
          <w:color w:val="365F91"/>
          <w:spacing w:val="-11"/>
          <w:sz w:val="28"/>
        </w:rPr>
        <w:t> </w:t>
      </w:r>
      <w:r>
        <w:rPr>
          <w:color w:val="365F91"/>
          <w:sz w:val="28"/>
        </w:rPr>
        <w:t>&amp;</w:t>
      </w:r>
      <w:r>
        <w:rPr>
          <w:color w:val="365F91"/>
          <w:spacing w:val="-10"/>
          <w:sz w:val="28"/>
        </w:rPr>
        <w:t> </w:t>
      </w:r>
      <w:r>
        <w:rPr>
          <w:color w:val="365F91"/>
          <w:sz w:val="28"/>
        </w:rPr>
        <w:t>Well-Being</w:t>
      </w:r>
      <w:r>
        <w:rPr>
          <w:color w:val="365F91"/>
          <w:spacing w:val="-10"/>
          <w:sz w:val="28"/>
        </w:rPr>
        <w:t> </w:t>
      </w:r>
      <w:r>
        <w:rPr>
          <w:color w:val="365F91"/>
          <w:spacing w:val="-2"/>
          <w:sz w:val="28"/>
        </w:rPr>
        <w:t>(2023)</w:t>
      </w:r>
    </w:p>
    <w:p>
      <w:pPr>
        <w:pStyle w:val="BodyText"/>
        <w:spacing w:line="276" w:lineRule="auto" w:before="241"/>
        <w:ind w:left="604" w:right="421" w:hanging="1"/>
        <w:jc w:val="both"/>
      </w:pPr>
      <w:r>
        <w:rPr/>
        <w:t>Now in its 32</w:t>
      </w:r>
      <w:r>
        <w:rPr>
          <w:vertAlign w:val="superscript"/>
        </w:rPr>
        <w:t>nd</w:t>
      </w:r>
      <w:r>
        <w:rPr>
          <w:vertAlign w:val="baseline"/>
        </w:rPr>
        <w:t> year, the Massachusetts Commission on LGBTQ Youth voices its mission through the motto, “</w:t>
      </w:r>
      <w:r>
        <w:rPr>
          <w:b/>
          <w:vertAlign w:val="baseline"/>
        </w:rPr>
        <w:t>Helping All Youth Thrive</w:t>
      </w:r>
      <w:r>
        <w:rPr>
          <w:vertAlign w:val="baseline"/>
        </w:rPr>
        <w:t>.” The realization</w:t>
      </w:r>
      <w:r>
        <w:rPr>
          <w:spacing w:val="-1"/>
          <w:vertAlign w:val="baseline"/>
        </w:rPr>
        <w:t> </w:t>
      </w:r>
      <w:r>
        <w:rPr>
          <w:vertAlign w:val="baseline"/>
        </w:rPr>
        <w:t>of this seemingly simple</w:t>
      </w:r>
      <w:r>
        <w:rPr>
          <w:spacing w:val="-1"/>
          <w:vertAlign w:val="baseline"/>
        </w:rPr>
        <w:t> </w:t>
      </w:r>
      <w:r>
        <w:rPr>
          <w:vertAlign w:val="baseline"/>
        </w:rPr>
        <w:t>saying</w:t>
      </w:r>
      <w:r>
        <w:rPr>
          <w:spacing w:val="-1"/>
          <w:vertAlign w:val="baseline"/>
        </w:rPr>
        <w:t> </w:t>
      </w:r>
      <w:r>
        <w:rPr>
          <w:vertAlign w:val="baseline"/>
        </w:rPr>
        <w:t>requires leaders to take a high-level view of the stunningly complicated issues affecting the well-being of today’s LGBTQ youth—without losing sight of the importance of their individual realities.</w:t>
      </w:r>
    </w:p>
    <w:p>
      <w:pPr>
        <w:pStyle w:val="BodyText"/>
        <w:spacing w:before="239"/>
        <w:ind w:left="1141"/>
      </w:pPr>
      <w:r>
        <w:rPr>
          <w:color w:val="4F81BB"/>
        </w:rPr>
        <w:t>What</w:t>
      </w:r>
      <w:r>
        <w:rPr>
          <w:color w:val="4F81BB"/>
          <w:spacing w:val="-6"/>
        </w:rPr>
        <w:t> </w:t>
      </w:r>
      <w:r>
        <w:rPr>
          <w:color w:val="4F81BB"/>
        </w:rPr>
        <w:t>does</w:t>
      </w:r>
      <w:r>
        <w:rPr>
          <w:color w:val="4F81BB"/>
          <w:spacing w:val="-4"/>
        </w:rPr>
        <w:t> </w:t>
      </w:r>
      <w:r>
        <w:rPr>
          <w:color w:val="4F81BB"/>
        </w:rPr>
        <w:t>it</w:t>
      </w:r>
      <w:r>
        <w:rPr>
          <w:color w:val="4F81BB"/>
          <w:spacing w:val="-5"/>
        </w:rPr>
        <w:t> </w:t>
      </w:r>
      <w:r>
        <w:rPr>
          <w:color w:val="4F81BB"/>
        </w:rPr>
        <w:t>mean</w:t>
      </w:r>
      <w:r>
        <w:rPr>
          <w:color w:val="4F81BB"/>
          <w:spacing w:val="-5"/>
        </w:rPr>
        <w:t> </w:t>
      </w:r>
      <w:r>
        <w:rPr>
          <w:color w:val="4F81BB"/>
        </w:rPr>
        <w:t>to</w:t>
      </w:r>
      <w:r>
        <w:rPr>
          <w:color w:val="4F81BB"/>
          <w:spacing w:val="-5"/>
        </w:rPr>
        <w:t> </w:t>
      </w:r>
      <w:r>
        <w:rPr>
          <w:color w:val="4F81BB"/>
        </w:rPr>
        <w:t>serve</w:t>
      </w:r>
      <w:r>
        <w:rPr>
          <w:color w:val="4F81BB"/>
          <w:spacing w:val="-6"/>
        </w:rPr>
        <w:t> </w:t>
      </w:r>
      <w:r>
        <w:rPr>
          <w:b/>
          <w:i/>
          <w:color w:val="4F81BB"/>
        </w:rPr>
        <w:t>all</w:t>
      </w:r>
      <w:r>
        <w:rPr>
          <w:b/>
          <w:i/>
          <w:color w:val="4F81BB"/>
          <w:spacing w:val="-5"/>
        </w:rPr>
        <w:t> </w:t>
      </w:r>
      <w:r>
        <w:rPr>
          <w:b/>
          <w:i/>
          <w:color w:val="4F81BB"/>
        </w:rPr>
        <w:t>youth</w:t>
      </w:r>
      <w:r>
        <w:rPr>
          <w:color w:val="4F81BB"/>
        </w:rPr>
        <w:t>?</w:t>
      </w:r>
      <w:r>
        <w:rPr>
          <w:color w:val="4F81BB"/>
          <w:spacing w:val="-5"/>
        </w:rPr>
        <w:t> </w:t>
      </w:r>
      <w:r>
        <w:rPr>
          <w:color w:val="4F81BB"/>
        </w:rPr>
        <w:t>And</w:t>
      </w:r>
      <w:r>
        <w:rPr>
          <w:color w:val="4F81BB"/>
          <w:spacing w:val="-6"/>
        </w:rPr>
        <w:t> </w:t>
      </w:r>
      <w:r>
        <w:rPr>
          <w:color w:val="4F81BB"/>
        </w:rPr>
        <w:t>what</w:t>
      </w:r>
      <w:r>
        <w:rPr>
          <w:color w:val="4F81BB"/>
          <w:spacing w:val="-5"/>
        </w:rPr>
        <w:t> </w:t>
      </w:r>
      <w:r>
        <w:rPr>
          <w:color w:val="4F81BB"/>
        </w:rPr>
        <w:t>does</w:t>
      </w:r>
      <w:r>
        <w:rPr>
          <w:color w:val="4F81BB"/>
          <w:spacing w:val="-6"/>
        </w:rPr>
        <w:t> </w:t>
      </w:r>
      <w:r>
        <w:rPr>
          <w:color w:val="4F81BB"/>
        </w:rPr>
        <w:t>it</w:t>
      </w:r>
      <w:r>
        <w:rPr>
          <w:color w:val="4F81BB"/>
          <w:spacing w:val="-4"/>
        </w:rPr>
        <w:t> </w:t>
      </w:r>
      <w:r>
        <w:rPr>
          <w:color w:val="4F81BB"/>
        </w:rPr>
        <w:t>mean</w:t>
      </w:r>
      <w:r>
        <w:rPr>
          <w:color w:val="4F81BB"/>
          <w:spacing w:val="-5"/>
        </w:rPr>
        <w:t> </w:t>
      </w:r>
      <w:r>
        <w:rPr>
          <w:color w:val="4F81BB"/>
        </w:rPr>
        <w:t>for</w:t>
      </w:r>
      <w:r>
        <w:rPr>
          <w:color w:val="4F81BB"/>
          <w:spacing w:val="-6"/>
        </w:rPr>
        <w:t> </w:t>
      </w:r>
      <w:r>
        <w:rPr>
          <w:color w:val="4F81BB"/>
        </w:rPr>
        <w:t>LGBTQ</w:t>
      </w:r>
      <w:r>
        <w:rPr>
          <w:color w:val="4F81BB"/>
          <w:spacing w:val="-5"/>
        </w:rPr>
        <w:t> </w:t>
      </w:r>
      <w:r>
        <w:rPr>
          <w:color w:val="4F81BB"/>
        </w:rPr>
        <w:t>youth</w:t>
      </w:r>
      <w:r>
        <w:rPr>
          <w:color w:val="4F81BB"/>
          <w:spacing w:val="-6"/>
        </w:rPr>
        <w:t> </w:t>
      </w:r>
      <w:r>
        <w:rPr>
          <w:color w:val="4F81BB"/>
        </w:rPr>
        <w:t>to</w:t>
      </w:r>
      <w:r>
        <w:rPr>
          <w:color w:val="4F81BB"/>
          <w:spacing w:val="-4"/>
        </w:rPr>
        <w:t> </w:t>
      </w:r>
      <w:r>
        <w:rPr>
          <w:b/>
          <w:i/>
          <w:color w:val="4F81BB"/>
          <w:spacing w:val="-2"/>
        </w:rPr>
        <w:t>thrive</w:t>
      </w:r>
      <w:r>
        <w:rPr>
          <w:color w:val="4F81BB"/>
          <w:spacing w:val="-2"/>
        </w:rPr>
        <w:t>?</w:t>
      </w:r>
    </w:p>
    <w:p>
      <w:pPr>
        <w:pStyle w:val="BodyText"/>
        <w:spacing w:before="13"/>
      </w:pPr>
    </w:p>
    <w:p>
      <w:pPr>
        <w:pStyle w:val="BodyText"/>
        <w:spacing w:line="276" w:lineRule="auto"/>
        <w:ind w:left="604" w:right="420"/>
        <w:jc w:val="both"/>
      </w:pPr>
      <w:r>
        <w:rPr/>
        <w:t>From</w:t>
      </w:r>
      <w:r>
        <w:rPr>
          <w:spacing w:val="-8"/>
        </w:rPr>
        <w:t> </w:t>
      </w:r>
      <w:r>
        <w:rPr/>
        <w:t>the</w:t>
      </w:r>
      <w:r>
        <w:rPr>
          <w:spacing w:val="-7"/>
        </w:rPr>
        <w:t> </w:t>
      </w:r>
      <w:r>
        <w:rPr/>
        <w:t>wide-angle</w:t>
      </w:r>
      <w:r>
        <w:rPr>
          <w:spacing w:val="-8"/>
        </w:rPr>
        <w:t> </w:t>
      </w:r>
      <w:r>
        <w:rPr/>
        <w:t>lens</w:t>
      </w:r>
      <w:r>
        <w:rPr>
          <w:spacing w:val="-6"/>
        </w:rPr>
        <w:t> </w:t>
      </w:r>
      <w:r>
        <w:rPr/>
        <w:t>of</w:t>
      </w:r>
      <w:r>
        <w:rPr>
          <w:spacing w:val="-8"/>
        </w:rPr>
        <w:t> </w:t>
      </w:r>
      <w:r>
        <w:rPr/>
        <w:t>international</w:t>
      </w:r>
      <w:r>
        <w:rPr>
          <w:spacing w:val="-8"/>
        </w:rPr>
        <w:t> </w:t>
      </w:r>
      <w:r>
        <w:rPr/>
        <w:t>comparison</w:t>
      </w:r>
      <w:r>
        <w:rPr>
          <w:spacing w:val="-8"/>
        </w:rPr>
        <w:t> </w:t>
      </w:r>
      <w:r>
        <w:rPr/>
        <w:t>to</w:t>
      </w:r>
      <w:r>
        <w:rPr>
          <w:spacing w:val="-7"/>
        </w:rPr>
        <w:t> </w:t>
      </w:r>
      <w:r>
        <w:rPr/>
        <w:t>a</w:t>
      </w:r>
      <w:r>
        <w:rPr>
          <w:spacing w:val="-7"/>
        </w:rPr>
        <w:t> </w:t>
      </w:r>
      <w:r>
        <w:rPr/>
        <w:t>snapshot</w:t>
      </w:r>
      <w:r>
        <w:rPr>
          <w:spacing w:val="-8"/>
        </w:rPr>
        <w:t> </w:t>
      </w:r>
      <w:r>
        <w:rPr/>
        <w:t>of</w:t>
      </w:r>
      <w:r>
        <w:rPr>
          <w:spacing w:val="-7"/>
        </w:rPr>
        <w:t> </w:t>
      </w:r>
      <w:r>
        <w:rPr/>
        <w:t>the</w:t>
      </w:r>
      <w:r>
        <w:rPr>
          <w:spacing w:val="-7"/>
        </w:rPr>
        <w:t> </w:t>
      </w:r>
      <w:r>
        <w:rPr/>
        <w:t>current</w:t>
      </w:r>
      <w:r>
        <w:rPr>
          <w:spacing w:val="-8"/>
        </w:rPr>
        <w:t> </w:t>
      </w:r>
      <w:r>
        <w:rPr/>
        <w:t>national</w:t>
      </w:r>
      <w:r>
        <w:rPr>
          <w:spacing w:val="-6"/>
        </w:rPr>
        <w:t> </w:t>
      </w:r>
      <w:r>
        <w:rPr/>
        <w:t>climate,</w:t>
      </w:r>
      <w:r>
        <w:rPr>
          <w:spacing w:val="-7"/>
        </w:rPr>
        <w:t> </w:t>
      </w:r>
      <w:r>
        <w:rPr/>
        <w:t>to a</w:t>
      </w:r>
      <w:r>
        <w:rPr>
          <w:spacing w:val="-12"/>
        </w:rPr>
        <w:t> </w:t>
      </w:r>
      <w:r>
        <w:rPr/>
        <w:t>nuanced</w:t>
      </w:r>
      <w:r>
        <w:rPr>
          <w:spacing w:val="-11"/>
        </w:rPr>
        <w:t> </w:t>
      </w:r>
      <w:r>
        <w:rPr/>
        <w:t>view</w:t>
      </w:r>
      <w:r>
        <w:rPr>
          <w:spacing w:val="-12"/>
        </w:rPr>
        <w:t> </w:t>
      </w:r>
      <w:r>
        <w:rPr/>
        <w:t>of</w:t>
      </w:r>
      <w:r>
        <w:rPr>
          <w:spacing w:val="-11"/>
        </w:rPr>
        <w:t> </w:t>
      </w:r>
      <w:r>
        <w:rPr/>
        <w:t>the</w:t>
      </w:r>
      <w:r>
        <w:rPr>
          <w:spacing w:val="-10"/>
        </w:rPr>
        <w:t> </w:t>
      </w:r>
      <w:r>
        <w:rPr/>
        <w:t>complexities</w:t>
      </w:r>
      <w:r>
        <w:rPr>
          <w:spacing w:val="-12"/>
        </w:rPr>
        <w:t> </w:t>
      </w:r>
      <w:r>
        <w:rPr/>
        <w:t>of</w:t>
      </w:r>
      <w:r>
        <w:rPr>
          <w:spacing w:val="-11"/>
        </w:rPr>
        <w:t> </w:t>
      </w:r>
      <w:r>
        <w:rPr/>
        <w:t>youth-serving</w:t>
      </w:r>
      <w:r>
        <w:rPr>
          <w:spacing w:val="-11"/>
        </w:rPr>
        <w:t> </w:t>
      </w:r>
      <w:r>
        <w:rPr/>
        <w:t>systems</w:t>
      </w:r>
      <w:r>
        <w:rPr>
          <w:spacing w:val="-12"/>
        </w:rPr>
        <w:t> </w:t>
      </w:r>
      <w:r>
        <w:rPr/>
        <w:t>in</w:t>
      </w:r>
      <w:r>
        <w:rPr>
          <w:spacing w:val="-11"/>
        </w:rPr>
        <w:t> </w:t>
      </w:r>
      <w:r>
        <w:rPr/>
        <w:t>our</w:t>
      </w:r>
      <w:r>
        <w:rPr>
          <w:spacing w:val="-12"/>
        </w:rPr>
        <w:t> </w:t>
      </w:r>
      <w:r>
        <w:rPr/>
        <w:t>state,</w:t>
      </w:r>
      <w:r>
        <w:rPr>
          <w:spacing w:val="-11"/>
        </w:rPr>
        <w:t> </w:t>
      </w:r>
      <w:r>
        <w:rPr/>
        <w:t>particularly</w:t>
      </w:r>
      <w:r>
        <w:rPr>
          <w:spacing w:val="-12"/>
        </w:rPr>
        <w:t> </w:t>
      </w:r>
      <w:r>
        <w:rPr/>
        <w:t>the</w:t>
      </w:r>
      <w:r>
        <w:rPr>
          <w:spacing w:val="-11"/>
        </w:rPr>
        <w:t> </w:t>
      </w:r>
      <w:r>
        <w:rPr/>
        <w:t>child-welfare system,</w:t>
      </w:r>
      <w:r>
        <w:rPr>
          <w:spacing w:val="-1"/>
        </w:rPr>
        <w:t> </w:t>
      </w:r>
      <w:r>
        <w:rPr/>
        <w:t>many</w:t>
      </w:r>
      <w:r>
        <w:rPr>
          <w:spacing w:val="-1"/>
        </w:rPr>
        <w:t> </w:t>
      </w:r>
      <w:r>
        <w:rPr/>
        <w:t>layers</w:t>
      </w:r>
      <w:r>
        <w:rPr>
          <w:spacing w:val="-1"/>
        </w:rPr>
        <w:t> </w:t>
      </w:r>
      <w:r>
        <w:rPr/>
        <w:t>of consideration</w:t>
      </w:r>
      <w:r>
        <w:rPr>
          <w:spacing w:val="-1"/>
        </w:rPr>
        <w:t> </w:t>
      </w:r>
      <w:r>
        <w:rPr/>
        <w:t>inform</w:t>
      </w:r>
      <w:r>
        <w:rPr>
          <w:spacing w:val="-1"/>
        </w:rPr>
        <w:t> </w:t>
      </w:r>
      <w:r>
        <w:rPr/>
        <w:t>the most</w:t>
      </w:r>
      <w:r>
        <w:rPr>
          <w:spacing w:val="-2"/>
        </w:rPr>
        <w:t> </w:t>
      </w:r>
      <w:r>
        <w:rPr/>
        <w:t>promising</w:t>
      </w:r>
      <w:r>
        <w:rPr>
          <w:spacing w:val="-1"/>
        </w:rPr>
        <w:t> </w:t>
      </w:r>
      <w:r>
        <w:rPr/>
        <w:t>legislation</w:t>
      </w:r>
      <w:r>
        <w:rPr>
          <w:spacing w:val="-1"/>
        </w:rPr>
        <w:t> </w:t>
      </w:r>
      <w:r>
        <w:rPr/>
        <w:t>to support</w:t>
      </w:r>
      <w:r>
        <w:rPr>
          <w:spacing w:val="-1"/>
        </w:rPr>
        <w:t> </w:t>
      </w:r>
      <w:r>
        <w:rPr/>
        <w:t>the well-being of LGBTQ young people today.</w:t>
      </w:r>
    </w:p>
    <w:p>
      <w:pPr>
        <w:pStyle w:val="BodyText"/>
        <w:spacing w:line="276" w:lineRule="auto" w:before="239"/>
        <w:ind w:left="604" w:right="423"/>
        <w:jc w:val="both"/>
      </w:pPr>
      <w:r>
        <w:rPr/>
        <w:t>Although</w:t>
      </w:r>
      <w:r>
        <w:rPr>
          <w:spacing w:val="-1"/>
        </w:rPr>
        <w:t> </w:t>
      </w:r>
      <w:r>
        <w:rPr/>
        <w:t>the Commonwealth</w:t>
      </w:r>
      <w:r>
        <w:rPr>
          <w:spacing w:val="-2"/>
        </w:rPr>
        <w:t> </w:t>
      </w:r>
      <w:r>
        <w:rPr/>
        <w:t>has</w:t>
      </w:r>
      <w:r>
        <w:rPr>
          <w:spacing w:val="-1"/>
        </w:rPr>
        <w:t> </w:t>
      </w:r>
      <w:r>
        <w:rPr/>
        <w:t>made significant</w:t>
      </w:r>
      <w:r>
        <w:rPr>
          <w:spacing w:val="-3"/>
        </w:rPr>
        <w:t> </w:t>
      </w:r>
      <w:r>
        <w:rPr/>
        <w:t>strides</w:t>
      </w:r>
      <w:r>
        <w:rPr>
          <w:spacing w:val="-2"/>
        </w:rPr>
        <w:t> </w:t>
      </w:r>
      <w:r>
        <w:rPr/>
        <w:t>for</w:t>
      </w:r>
      <w:r>
        <w:rPr>
          <w:spacing w:val="-1"/>
        </w:rPr>
        <w:t> </w:t>
      </w:r>
      <w:r>
        <w:rPr/>
        <w:t>LGBTQ</w:t>
      </w:r>
      <w:r>
        <w:rPr>
          <w:spacing w:val="-3"/>
        </w:rPr>
        <w:t> </w:t>
      </w:r>
      <w:r>
        <w:rPr/>
        <w:t>youth,</w:t>
      </w:r>
      <w:r>
        <w:rPr>
          <w:spacing w:val="-1"/>
        </w:rPr>
        <w:t> </w:t>
      </w:r>
      <w:r>
        <w:rPr/>
        <w:t>we continue</w:t>
      </w:r>
      <w:r>
        <w:rPr>
          <w:spacing w:val="-2"/>
        </w:rPr>
        <w:t> </w:t>
      </w:r>
      <w:r>
        <w:rPr/>
        <w:t>to</w:t>
      </w:r>
      <w:r>
        <w:rPr>
          <w:spacing w:val="-1"/>
        </w:rPr>
        <w:t> </w:t>
      </w:r>
      <w:r>
        <w:rPr/>
        <w:t>fall</w:t>
      </w:r>
      <w:r>
        <w:rPr>
          <w:spacing w:val="-3"/>
        </w:rPr>
        <w:t> </w:t>
      </w:r>
      <w:r>
        <w:rPr/>
        <w:t>short, sometimes with tragic results, in many arenas that affect our young people. Equipped with a clear vision of goals for the well-being of LGBTQ youth, decision-makers can effect meaningful change. Legislative</w:t>
      </w:r>
      <w:r>
        <w:rPr>
          <w:spacing w:val="-10"/>
        </w:rPr>
        <w:t> </w:t>
      </w:r>
      <w:r>
        <w:rPr/>
        <w:t>actions</w:t>
      </w:r>
      <w:r>
        <w:rPr>
          <w:spacing w:val="-9"/>
        </w:rPr>
        <w:t> </w:t>
      </w:r>
      <w:r>
        <w:rPr/>
        <w:t>that</w:t>
      </w:r>
      <w:r>
        <w:rPr>
          <w:spacing w:val="-10"/>
        </w:rPr>
        <w:t> </w:t>
      </w:r>
      <w:r>
        <w:rPr/>
        <w:t>support</w:t>
      </w:r>
      <w:r>
        <w:rPr>
          <w:spacing w:val="-10"/>
        </w:rPr>
        <w:t> </w:t>
      </w:r>
      <w:r>
        <w:rPr/>
        <w:t>the</w:t>
      </w:r>
      <w:r>
        <w:rPr>
          <w:spacing w:val="-10"/>
        </w:rPr>
        <w:t> </w:t>
      </w:r>
      <w:r>
        <w:rPr/>
        <w:t>well-being</w:t>
      </w:r>
      <w:r>
        <w:rPr>
          <w:spacing w:val="-9"/>
        </w:rPr>
        <w:t> </w:t>
      </w:r>
      <w:r>
        <w:rPr/>
        <w:t>of</w:t>
      </w:r>
      <w:r>
        <w:rPr>
          <w:spacing w:val="-10"/>
        </w:rPr>
        <w:t> </w:t>
      </w:r>
      <w:r>
        <w:rPr/>
        <w:t>LGBTQ</w:t>
      </w:r>
      <w:r>
        <w:rPr>
          <w:spacing w:val="-10"/>
        </w:rPr>
        <w:t> </w:t>
      </w:r>
      <w:r>
        <w:rPr/>
        <w:t>youth</w:t>
      </w:r>
      <w:r>
        <w:rPr>
          <w:spacing w:val="-9"/>
        </w:rPr>
        <w:t> </w:t>
      </w:r>
      <w:r>
        <w:rPr/>
        <w:t>in</w:t>
      </w:r>
      <w:r>
        <w:rPr>
          <w:spacing w:val="-9"/>
        </w:rPr>
        <w:t> </w:t>
      </w:r>
      <w:r>
        <w:rPr/>
        <w:t>turn</w:t>
      </w:r>
      <w:r>
        <w:rPr>
          <w:spacing w:val="-10"/>
        </w:rPr>
        <w:t> </w:t>
      </w:r>
      <w:r>
        <w:rPr/>
        <w:t>support</w:t>
      </w:r>
      <w:r>
        <w:rPr>
          <w:spacing w:val="-9"/>
        </w:rPr>
        <w:t> </w:t>
      </w:r>
      <w:r>
        <w:rPr/>
        <w:t>the</w:t>
      </w:r>
      <w:r>
        <w:rPr>
          <w:spacing w:val="-10"/>
        </w:rPr>
        <w:t> </w:t>
      </w:r>
      <w:r>
        <w:rPr/>
        <w:t>strength</w:t>
      </w:r>
      <w:r>
        <w:rPr>
          <w:spacing w:val="-9"/>
        </w:rPr>
        <w:t> </w:t>
      </w:r>
      <w:r>
        <w:rPr/>
        <w:t>and</w:t>
      </w:r>
      <w:r>
        <w:rPr>
          <w:spacing w:val="-10"/>
        </w:rPr>
        <w:t> </w:t>
      </w:r>
      <w:r>
        <w:rPr/>
        <w:t>vitality of our Commonwealth. When all youth thrive, Massachusetts thrives.</w:t>
      </w:r>
    </w:p>
    <w:p>
      <w:pPr>
        <w:spacing w:before="240"/>
        <w:ind w:left="604" w:right="0" w:firstLine="0"/>
        <w:jc w:val="both"/>
        <w:rPr>
          <w:sz w:val="26"/>
        </w:rPr>
      </w:pPr>
      <w:bookmarkStart w:name="FY 2025 Recommendations to the Governor " w:id="25"/>
      <w:bookmarkEnd w:id="25"/>
      <w:r>
        <w:rPr/>
      </w:r>
      <w:r>
        <w:rPr>
          <w:color w:val="404040"/>
          <w:sz w:val="26"/>
        </w:rPr>
        <w:t>FY</w:t>
      </w:r>
      <w:r>
        <w:rPr>
          <w:color w:val="404040"/>
          <w:spacing w:val="-5"/>
          <w:sz w:val="26"/>
        </w:rPr>
        <w:t> </w:t>
      </w:r>
      <w:r>
        <w:rPr>
          <w:color w:val="404040"/>
          <w:sz w:val="26"/>
        </w:rPr>
        <w:t>2025</w:t>
      </w:r>
      <w:r>
        <w:rPr>
          <w:color w:val="404040"/>
          <w:spacing w:val="-2"/>
          <w:sz w:val="26"/>
        </w:rPr>
        <w:t> </w:t>
      </w:r>
      <w:r>
        <w:rPr>
          <w:color w:val="404040"/>
          <w:sz w:val="26"/>
        </w:rPr>
        <w:t>Recommendations</w:t>
      </w:r>
      <w:r>
        <w:rPr>
          <w:color w:val="404040"/>
          <w:spacing w:val="-3"/>
          <w:sz w:val="26"/>
        </w:rPr>
        <w:t> </w:t>
      </w:r>
      <w:r>
        <w:rPr>
          <w:color w:val="404040"/>
          <w:sz w:val="26"/>
        </w:rPr>
        <w:t>to</w:t>
      </w:r>
      <w:r>
        <w:rPr>
          <w:color w:val="404040"/>
          <w:spacing w:val="-4"/>
          <w:sz w:val="26"/>
        </w:rPr>
        <w:t> </w:t>
      </w:r>
      <w:r>
        <w:rPr>
          <w:color w:val="404040"/>
          <w:sz w:val="26"/>
        </w:rPr>
        <w:t>the</w:t>
      </w:r>
      <w:r>
        <w:rPr>
          <w:color w:val="404040"/>
          <w:spacing w:val="-4"/>
          <w:sz w:val="26"/>
        </w:rPr>
        <w:t> </w:t>
      </w:r>
      <w:r>
        <w:rPr>
          <w:color w:val="404040"/>
          <w:sz w:val="26"/>
        </w:rPr>
        <w:t>Governor</w:t>
      </w:r>
      <w:r>
        <w:rPr>
          <w:color w:val="404040"/>
          <w:spacing w:val="-4"/>
          <w:sz w:val="26"/>
        </w:rPr>
        <w:t> </w:t>
      </w:r>
      <w:r>
        <w:rPr>
          <w:color w:val="404040"/>
          <w:sz w:val="26"/>
        </w:rPr>
        <w:t>&amp;</w:t>
      </w:r>
      <w:r>
        <w:rPr>
          <w:color w:val="404040"/>
          <w:spacing w:val="-2"/>
          <w:sz w:val="26"/>
        </w:rPr>
        <w:t> </w:t>
      </w:r>
      <w:r>
        <w:rPr>
          <w:color w:val="404040"/>
          <w:sz w:val="26"/>
        </w:rPr>
        <w:t>Legislature</w:t>
      </w:r>
      <w:r>
        <w:rPr>
          <w:color w:val="404040"/>
          <w:spacing w:val="-3"/>
          <w:sz w:val="26"/>
        </w:rPr>
        <w:t> </w:t>
      </w:r>
      <w:r>
        <w:rPr>
          <w:color w:val="404040"/>
          <w:sz w:val="26"/>
        </w:rPr>
        <w:t>on</w:t>
      </w:r>
      <w:r>
        <w:rPr>
          <w:color w:val="404040"/>
          <w:spacing w:val="-3"/>
          <w:sz w:val="26"/>
        </w:rPr>
        <w:t> </w:t>
      </w:r>
      <w:r>
        <w:rPr>
          <w:color w:val="404040"/>
          <w:sz w:val="26"/>
        </w:rPr>
        <w:t>Child</w:t>
      </w:r>
      <w:r>
        <w:rPr>
          <w:color w:val="404040"/>
          <w:spacing w:val="-4"/>
          <w:sz w:val="26"/>
        </w:rPr>
        <w:t> </w:t>
      </w:r>
      <w:r>
        <w:rPr>
          <w:color w:val="404040"/>
          <w:spacing w:val="-2"/>
          <w:sz w:val="26"/>
        </w:rPr>
        <w:t>Welfare</w:t>
      </w:r>
    </w:p>
    <w:p>
      <w:pPr>
        <w:pStyle w:val="ListParagraph"/>
        <w:numPr>
          <w:ilvl w:val="0"/>
          <w:numId w:val="2"/>
        </w:numPr>
        <w:tabs>
          <w:tab w:pos="1179" w:val="left" w:leader="none"/>
        </w:tabs>
        <w:spacing w:line="240" w:lineRule="auto" w:before="241" w:after="0"/>
        <w:ind w:left="1179" w:right="0" w:hanging="359"/>
        <w:jc w:val="left"/>
        <w:rPr>
          <w:sz w:val="22"/>
        </w:rPr>
      </w:pPr>
      <w:bookmarkStart w:name="1. Create a program for universal basic " w:id="26"/>
      <w:bookmarkEnd w:id="26"/>
      <w:r>
        <w:rPr/>
      </w:r>
      <w:r>
        <w:rPr>
          <w:sz w:val="22"/>
        </w:rPr>
        <w:t>Create</w:t>
      </w:r>
      <w:r>
        <w:rPr>
          <w:spacing w:val="-7"/>
          <w:sz w:val="22"/>
        </w:rPr>
        <w:t> </w:t>
      </w:r>
      <w:r>
        <w:rPr>
          <w:sz w:val="22"/>
        </w:rPr>
        <w:t>a</w:t>
      </w:r>
      <w:r>
        <w:rPr>
          <w:spacing w:val="-6"/>
          <w:sz w:val="22"/>
        </w:rPr>
        <w:t> </w:t>
      </w:r>
      <w:r>
        <w:rPr>
          <w:sz w:val="22"/>
        </w:rPr>
        <w:t>program</w:t>
      </w:r>
      <w:r>
        <w:rPr>
          <w:spacing w:val="-6"/>
          <w:sz w:val="22"/>
        </w:rPr>
        <w:t> </w:t>
      </w:r>
      <w:r>
        <w:rPr>
          <w:sz w:val="22"/>
        </w:rPr>
        <w:t>for</w:t>
      </w:r>
      <w:r>
        <w:rPr>
          <w:spacing w:val="-7"/>
          <w:sz w:val="22"/>
        </w:rPr>
        <w:t> </w:t>
      </w:r>
      <w:r>
        <w:rPr>
          <w:sz w:val="22"/>
        </w:rPr>
        <w:t>universal</w:t>
      </w:r>
      <w:r>
        <w:rPr>
          <w:spacing w:val="-6"/>
          <w:sz w:val="22"/>
        </w:rPr>
        <w:t> </w:t>
      </w:r>
      <w:r>
        <w:rPr>
          <w:sz w:val="22"/>
        </w:rPr>
        <w:t>basic</w:t>
      </w:r>
      <w:r>
        <w:rPr>
          <w:spacing w:val="-6"/>
          <w:sz w:val="22"/>
        </w:rPr>
        <w:t> </w:t>
      </w:r>
      <w:r>
        <w:rPr>
          <w:sz w:val="22"/>
        </w:rPr>
        <w:t>income</w:t>
      </w:r>
      <w:r>
        <w:rPr>
          <w:spacing w:val="-7"/>
          <w:sz w:val="22"/>
        </w:rPr>
        <w:t> </w:t>
      </w:r>
      <w:r>
        <w:rPr>
          <w:sz w:val="22"/>
        </w:rPr>
        <w:t>for</w:t>
      </w:r>
      <w:r>
        <w:rPr>
          <w:spacing w:val="-6"/>
          <w:sz w:val="22"/>
        </w:rPr>
        <w:t> </w:t>
      </w:r>
      <w:r>
        <w:rPr>
          <w:sz w:val="22"/>
        </w:rPr>
        <w:t>foster</w:t>
      </w:r>
      <w:r>
        <w:rPr>
          <w:spacing w:val="-6"/>
          <w:sz w:val="22"/>
        </w:rPr>
        <w:t> </w:t>
      </w:r>
      <w:r>
        <w:rPr>
          <w:sz w:val="22"/>
        </w:rPr>
        <w:t>care</w:t>
      </w:r>
      <w:r>
        <w:rPr>
          <w:spacing w:val="-7"/>
          <w:sz w:val="22"/>
        </w:rPr>
        <w:t> </w:t>
      </w:r>
      <w:r>
        <w:rPr>
          <w:spacing w:val="-2"/>
          <w:sz w:val="22"/>
        </w:rPr>
        <w:t>youth.</w:t>
      </w:r>
    </w:p>
    <w:p>
      <w:pPr>
        <w:pStyle w:val="ListParagraph"/>
        <w:numPr>
          <w:ilvl w:val="0"/>
          <w:numId w:val="2"/>
        </w:numPr>
        <w:tabs>
          <w:tab w:pos="1179" w:val="left" w:leader="none"/>
        </w:tabs>
        <w:spacing w:line="240" w:lineRule="auto" w:before="40" w:after="0"/>
        <w:ind w:left="1179" w:right="0" w:hanging="359"/>
        <w:jc w:val="left"/>
        <w:rPr>
          <w:sz w:val="22"/>
        </w:rPr>
      </w:pPr>
      <w:bookmarkStart w:name="2. Protect youth in the foster care syst" w:id="27"/>
      <w:bookmarkEnd w:id="27"/>
      <w:r>
        <w:rPr/>
      </w:r>
      <w:r>
        <w:rPr>
          <w:sz w:val="22"/>
        </w:rPr>
        <w:t>Protect</w:t>
      </w:r>
      <w:r>
        <w:rPr>
          <w:spacing w:val="-8"/>
          <w:sz w:val="22"/>
        </w:rPr>
        <w:t> </w:t>
      </w:r>
      <w:r>
        <w:rPr>
          <w:sz w:val="22"/>
        </w:rPr>
        <w:t>youth</w:t>
      </w:r>
      <w:r>
        <w:rPr>
          <w:spacing w:val="-6"/>
          <w:sz w:val="22"/>
        </w:rPr>
        <w:t> </w:t>
      </w:r>
      <w:r>
        <w:rPr>
          <w:sz w:val="22"/>
        </w:rPr>
        <w:t>in</w:t>
      </w:r>
      <w:r>
        <w:rPr>
          <w:spacing w:val="-6"/>
          <w:sz w:val="22"/>
        </w:rPr>
        <w:t> </w:t>
      </w:r>
      <w:r>
        <w:rPr>
          <w:sz w:val="22"/>
        </w:rPr>
        <w:t>the</w:t>
      </w:r>
      <w:r>
        <w:rPr>
          <w:spacing w:val="-7"/>
          <w:sz w:val="22"/>
        </w:rPr>
        <w:t> </w:t>
      </w:r>
      <w:r>
        <w:rPr>
          <w:sz w:val="22"/>
        </w:rPr>
        <w:t>foster</w:t>
      </w:r>
      <w:r>
        <w:rPr>
          <w:spacing w:val="-6"/>
          <w:sz w:val="22"/>
        </w:rPr>
        <w:t> </w:t>
      </w:r>
      <w:r>
        <w:rPr>
          <w:sz w:val="22"/>
        </w:rPr>
        <w:t>care</w:t>
      </w:r>
      <w:r>
        <w:rPr>
          <w:spacing w:val="-7"/>
          <w:sz w:val="22"/>
        </w:rPr>
        <w:t> </w:t>
      </w:r>
      <w:r>
        <w:rPr>
          <w:sz w:val="22"/>
        </w:rPr>
        <w:t>system</w:t>
      </w:r>
      <w:r>
        <w:rPr>
          <w:spacing w:val="-7"/>
          <w:sz w:val="22"/>
        </w:rPr>
        <w:t> </w:t>
      </w:r>
      <w:r>
        <w:rPr>
          <w:sz w:val="22"/>
        </w:rPr>
        <w:t>from</w:t>
      </w:r>
      <w:r>
        <w:rPr>
          <w:spacing w:val="-7"/>
          <w:sz w:val="22"/>
        </w:rPr>
        <w:t> </w:t>
      </w:r>
      <w:r>
        <w:rPr>
          <w:sz w:val="22"/>
        </w:rPr>
        <w:t>having</w:t>
      </w:r>
      <w:r>
        <w:rPr>
          <w:spacing w:val="-6"/>
          <w:sz w:val="22"/>
        </w:rPr>
        <w:t> </w:t>
      </w:r>
      <w:r>
        <w:rPr>
          <w:sz w:val="22"/>
        </w:rPr>
        <w:t>their</w:t>
      </w:r>
      <w:r>
        <w:rPr>
          <w:spacing w:val="-7"/>
          <w:sz w:val="22"/>
        </w:rPr>
        <w:t> </w:t>
      </w:r>
      <w:r>
        <w:rPr>
          <w:sz w:val="22"/>
        </w:rPr>
        <w:t>federal</w:t>
      </w:r>
      <w:r>
        <w:rPr>
          <w:spacing w:val="-8"/>
          <w:sz w:val="22"/>
        </w:rPr>
        <w:t> </w:t>
      </w:r>
      <w:r>
        <w:rPr>
          <w:sz w:val="22"/>
        </w:rPr>
        <w:t>benefits</w:t>
      </w:r>
      <w:r>
        <w:rPr>
          <w:spacing w:val="-7"/>
          <w:sz w:val="22"/>
        </w:rPr>
        <w:t> </w:t>
      </w:r>
      <w:r>
        <w:rPr>
          <w:sz w:val="22"/>
        </w:rPr>
        <w:t>stripped</w:t>
      </w:r>
      <w:r>
        <w:rPr>
          <w:spacing w:val="-7"/>
          <w:sz w:val="22"/>
        </w:rPr>
        <w:t> </w:t>
      </w:r>
      <w:r>
        <w:rPr>
          <w:spacing w:val="-2"/>
          <w:sz w:val="22"/>
        </w:rPr>
        <w:t>away.</w:t>
      </w:r>
    </w:p>
    <w:p>
      <w:pPr>
        <w:pStyle w:val="ListParagraph"/>
        <w:numPr>
          <w:ilvl w:val="0"/>
          <w:numId w:val="2"/>
        </w:numPr>
        <w:tabs>
          <w:tab w:pos="1179" w:val="left" w:leader="none"/>
        </w:tabs>
        <w:spacing w:line="240" w:lineRule="auto" w:before="40" w:after="0"/>
        <w:ind w:left="1179" w:right="0" w:hanging="359"/>
        <w:jc w:val="left"/>
        <w:rPr>
          <w:sz w:val="22"/>
        </w:rPr>
      </w:pPr>
      <w:bookmarkStart w:name="3. Solidify parental rights for LGBTQ fa" w:id="28"/>
      <w:bookmarkEnd w:id="28"/>
      <w:r>
        <w:rPr/>
      </w:r>
      <w:r>
        <w:rPr>
          <w:sz w:val="22"/>
        </w:rPr>
        <w:t>Solidify</w:t>
      </w:r>
      <w:r>
        <w:rPr>
          <w:spacing w:val="-9"/>
          <w:sz w:val="22"/>
        </w:rPr>
        <w:t> </w:t>
      </w:r>
      <w:r>
        <w:rPr>
          <w:sz w:val="22"/>
        </w:rPr>
        <w:t>parental</w:t>
      </w:r>
      <w:r>
        <w:rPr>
          <w:spacing w:val="-8"/>
          <w:sz w:val="22"/>
        </w:rPr>
        <w:t> </w:t>
      </w:r>
      <w:r>
        <w:rPr>
          <w:sz w:val="22"/>
        </w:rPr>
        <w:t>rights</w:t>
      </w:r>
      <w:r>
        <w:rPr>
          <w:spacing w:val="-8"/>
          <w:sz w:val="22"/>
        </w:rPr>
        <w:t> </w:t>
      </w:r>
      <w:r>
        <w:rPr>
          <w:sz w:val="22"/>
        </w:rPr>
        <w:t>for</w:t>
      </w:r>
      <w:r>
        <w:rPr>
          <w:spacing w:val="-8"/>
          <w:sz w:val="22"/>
        </w:rPr>
        <w:t> </w:t>
      </w:r>
      <w:r>
        <w:rPr>
          <w:sz w:val="22"/>
        </w:rPr>
        <w:t>LGBTQ</w:t>
      </w:r>
      <w:r>
        <w:rPr>
          <w:spacing w:val="-7"/>
          <w:sz w:val="22"/>
        </w:rPr>
        <w:t> </w:t>
      </w:r>
      <w:r>
        <w:rPr>
          <w:spacing w:val="-2"/>
          <w:sz w:val="22"/>
        </w:rPr>
        <w:t>families.</w:t>
      </w:r>
    </w:p>
    <w:p>
      <w:pPr>
        <w:pStyle w:val="ListParagraph"/>
        <w:numPr>
          <w:ilvl w:val="0"/>
          <w:numId w:val="2"/>
        </w:numPr>
        <w:tabs>
          <w:tab w:pos="1179" w:val="left" w:leader="none"/>
        </w:tabs>
        <w:spacing w:line="240" w:lineRule="auto" w:before="41" w:after="0"/>
        <w:ind w:left="1179" w:right="0" w:hanging="359"/>
        <w:jc w:val="left"/>
        <w:rPr>
          <w:sz w:val="22"/>
        </w:rPr>
      </w:pPr>
      <w:r>
        <w:rPr>
          <w:sz w:val="22"/>
        </w:rPr>
        <w:t>Provide</w:t>
      </w:r>
      <w:r>
        <w:rPr>
          <w:spacing w:val="-10"/>
          <w:sz w:val="22"/>
        </w:rPr>
        <w:t> </w:t>
      </w:r>
      <w:r>
        <w:rPr>
          <w:sz w:val="22"/>
        </w:rPr>
        <w:t>mandatory</w:t>
      </w:r>
      <w:r>
        <w:rPr>
          <w:spacing w:val="-9"/>
          <w:sz w:val="22"/>
        </w:rPr>
        <w:t> </w:t>
      </w:r>
      <w:r>
        <w:rPr>
          <w:sz w:val="22"/>
        </w:rPr>
        <w:t>trainings</w:t>
      </w:r>
      <w:r>
        <w:rPr>
          <w:spacing w:val="-10"/>
          <w:sz w:val="22"/>
        </w:rPr>
        <w:t> </w:t>
      </w:r>
      <w:r>
        <w:rPr>
          <w:sz w:val="22"/>
        </w:rPr>
        <w:t>for</w:t>
      </w:r>
      <w:r>
        <w:rPr>
          <w:spacing w:val="-9"/>
          <w:sz w:val="22"/>
        </w:rPr>
        <w:t> </w:t>
      </w:r>
      <w:r>
        <w:rPr>
          <w:sz w:val="22"/>
        </w:rPr>
        <w:t>congregate</w:t>
      </w:r>
      <w:r>
        <w:rPr>
          <w:spacing w:val="-9"/>
          <w:sz w:val="22"/>
        </w:rPr>
        <w:t> </w:t>
      </w:r>
      <w:r>
        <w:rPr>
          <w:sz w:val="22"/>
        </w:rPr>
        <w:t>care</w:t>
      </w:r>
      <w:r>
        <w:rPr>
          <w:spacing w:val="-9"/>
          <w:sz w:val="22"/>
        </w:rPr>
        <w:t> </w:t>
      </w:r>
      <w:r>
        <w:rPr>
          <w:spacing w:val="-2"/>
          <w:sz w:val="22"/>
        </w:rPr>
        <w:t>settings.</w:t>
      </w:r>
    </w:p>
    <w:p>
      <w:pPr>
        <w:pStyle w:val="ListParagraph"/>
        <w:numPr>
          <w:ilvl w:val="0"/>
          <w:numId w:val="2"/>
        </w:numPr>
        <w:tabs>
          <w:tab w:pos="1178" w:val="left" w:leader="none"/>
          <w:tab w:pos="1180" w:val="left" w:leader="none"/>
        </w:tabs>
        <w:spacing w:line="276" w:lineRule="auto" w:before="40" w:after="0"/>
        <w:ind w:left="1180" w:right="640" w:hanging="361"/>
        <w:jc w:val="left"/>
        <w:rPr>
          <w:sz w:val="22"/>
        </w:rPr>
      </w:pPr>
      <w:r>
        <w:rPr>
          <w:sz w:val="22"/>
        </w:rPr>
        <w:t>Create</w:t>
      </w:r>
      <w:r>
        <w:rPr>
          <w:spacing w:val="-1"/>
          <w:sz w:val="22"/>
        </w:rPr>
        <w:t> </w:t>
      </w:r>
      <w:r>
        <w:rPr>
          <w:sz w:val="22"/>
        </w:rPr>
        <w:t>and</w:t>
      </w:r>
      <w:r>
        <w:rPr>
          <w:spacing w:val="-1"/>
          <w:sz w:val="22"/>
        </w:rPr>
        <w:t> </w:t>
      </w:r>
      <w:r>
        <w:rPr>
          <w:sz w:val="22"/>
        </w:rPr>
        <w:t>provide</w:t>
      </w:r>
      <w:r>
        <w:rPr>
          <w:spacing w:val="-1"/>
          <w:sz w:val="22"/>
        </w:rPr>
        <w:t> </w:t>
      </w:r>
      <w:r>
        <w:rPr>
          <w:sz w:val="22"/>
        </w:rPr>
        <w:t>training</w:t>
      </w:r>
      <w:r>
        <w:rPr>
          <w:spacing w:val="-1"/>
          <w:sz w:val="22"/>
        </w:rPr>
        <w:t> </w:t>
      </w:r>
      <w:r>
        <w:rPr>
          <w:sz w:val="22"/>
        </w:rPr>
        <w:t>opportunities for young people</w:t>
      </w:r>
      <w:r>
        <w:rPr>
          <w:spacing w:val="-1"/>
          <w:sz w:val="22"/>
        </w:rPr>
        <w:t> </w:t>
      </w:r>
      <w:r>
        <w:rPr>
          <w:sz w:val="22"/>
        </w:rPr>
        <w:t>and caregivers involved</w:t>
      </w:r>
      <w:r>
        <w:rPr>
          <w:spacing w:val="-1"/>
          <w:sz w:val="22"/>
        </w:rPr>
        <w:t> </w:t>
      </w:r>
      <w:r>
        <w:rPr>
          <w:sz w:val="22"/>
        </w:rPr>
        <w:t>with the child welfare system.</w:t>
      </w:r>
    </w:p>
    <w:p>
      <w:pPr>
        <w:pStyle w:val="ListParagraph"/>
        <w:numPr>
          <w:ilvl w:val="0"/>
          <w:numId w:val="2"/>
        </w:numPr>
        <w:tabs>
          <w:tab w:pos="1179" w:val="left" w:leader="none"/>
        </w:tabs>
        <w:spacing w:line="240" w:lineRule="auto" w:before="0" w:after="0"/>
        <w:ind w:left="1179" w:right="0" w:hanging="359"/>
        <w:jc w:val="left"/>
        <w:rPr>
          <w:sz w:val="22"/>
        </w:rPr>
      </w:pPr>
      <w:r>
        <w:rPr>
          <w:sz w:val="22"/>
        </w:rPr>
        <w:t>Review</w:t>
      </w:r>
      <w:r>
        <w:rPr>
          <w:spacing w:val="-10"/>
          <w:sz w:val="22"/>
        </w:rPr>
        <w:t> </w:t>
      </w:r>
      <w:r>
        <w:rPr>
          <w:sz w:val="22"/>
        </w:rPr>
        <w:t>and</w:t>
      </w:r>
      <w:r>
        <w:rPr>
          <w:spacing w:val="-8"/>
          <w:sz w:val="22"/>
        </w:rPr>
        <w:t> </w:t>
      </w:r>
      <w:r>
        <w:rPr>
          <w:sz w:val="22"/>
        </w:rPr>
        <w:t>update</w:t>
      </w:r>
      <w:r>
        <w:rPr>
          <w:spacing w:val="-8"/>
          <w:sz w:val="22"/>
        </w:rPr>
        <w:t> </w:t>
      </w:r>
      <w:r>
        <w:rPr>
          <w:sz w:val="22"/>
        </w:rPr>
        <w:t>quality</w:t>
      </w:r>
      <w:r>
        <w:rPr>
          <w:spacing w:val="-10"/>
          <w:sz w:val="22"/>
        </w:rPr>
        <w:t> </w:t>
      </w:r>
      <w:r>
        <w:rPr>
          <w:sz w:val="22"/>
        </w:rPr>
        <w:t>assurance</w:t>
      </w:r>
      <w:r>
        <w:rPr>
          <w:spacing w:val="-9"/>
          <w:sz w:val="22"/>
        </w:rPr>
        <w:t> </w:t>
      </w:r>
      <w:r>
        <w:rPr>
          <w:sz w:val="22"/>
        </w:rPr>
        <w:t>and</w:t>
      </w:r>
      <w:r>
        <w:rPr>
          <w:spacing w:val="-9"/>
          <w:sz w:val="22"/>
        </w:rPr>
        <w:t> </w:t>
      </w:r>
      <w:r>
        <w:rPr>
          <w:sz w:val="22"/>
        </w:rPr>
        <w:t>improvement</w:t>
      </w:r>
      <w:r>
        <w:rPr>
          <w:spacing w:val="-9"/>
          <w:sz w:val="22"/>
        </w:rPr>
        <w:t> </w:t>
      </w:r>
      <w:r>
        <w:rPr>
          <w:spacing w:val="-2"/>
          <w:sz w:val="22"/>
        </w:rPr>
        <w:t>procedures.</w:t>
      </w:r>
    </w:p>
    <w:p>
      <w:pPr>
        <w:pStyle w:val="ListParagraph"/>
        <w:numPr>
          <w:ilvl w:val="0"/>
          <w:numId w:val="2"/>
        </w:numPr>
        <w:tabs>
          <w:tab w:pos="1179" w:val="left" w:leader="none"/>
        </w:tabs>
        <w:spacing w:line="240" w:lineRule="auto" w:before="40" w:after="0"/>
        <w:ind w:left="1179" w:right="0" w:hanging="359"/>
        <w:jc w:val="left"/>
        <w:rPr>
          <w:sz w:val="22"/>
        </w:rPr>
      </w:pPr>
      <w:bookmarkStart w:name="7. Establish an independent foster care " w:id="29"/>
      <w:bookmarkEnd w:id="29"/>
      <w:r>
        <w:rPr/>
      </w:r>
      <w:r>
        <w:rPr>
          <w:sz w:val="22"/>
        </w:rPr>
        <w:t>Establish</w:t>
      </w:r>
      <w:r>
        <w:rPr>
          <w:spacing w:val="-9"/>
          <w:sz w:val="22"/>
        </w:rPr>
        <w:t> </w:t>
      </w:r>
      <w:r>
        <w:rPr>
          <w:sz w:val="22"/>
        </w:rPr>
        <w:t>an</w:t>
      </w:r>
      <w:r>
        <w:rPr>
          <w:spacing w:val="-7"/>
          <w:sz w:val="22"/>
        </w:rPr>
        <w:t> </w:t>
      </w:r>
      <w:r>
        <w:rPr>
          <w:sz w:val="22"/>
        </w:rPr>
        <w:t>independent</w:t>
      </w:r>
      <w:r>
        <w:rPr>
          <w:spacing w:val="-8"/>
          <w:sz w:val="22"/>
        </w:rPr>
        <w:t> </w:t>
      </w:r>
      <w:r>
        <w:rPr>
          <w:sz w:val="22"/>
        </w:rPr>
        <w:t>foster</w:t>
      </w:r>
      <w:r>
        <w:rPr>
          <w:spacing w:val="-8"/>
          <w:sz w:val="22"/>
        </w:rPr>
        <w:t> </w:t>
      </w:r>
      <w:r>
        <w:rPr>
          <w:sz w:val="22"/>
        </w:rPr>
        <w:t>care</w:t>
      </w:r>
      <w:r>
        <w:rPr>
          <w:spacing w:val="-8"/>
          <w:sz w:val="22"/>
        </w:rPr>
        <w:t> </w:t>
      </w:r>
      <w:r>
        <w:rPr>
          <w:sz w:val="22"/>
        </w:rPr>
        <w:t>review</w:t>
      </w:r>
      <w:r>
        <w:rPr>
          <w:spacing w:val="-8"/>
          <w:sz w:val="22"/>
        </w:rPr>
        <w:t> </w:t>
      </w:r>
      <w:r>
        <w:rPr>
          <w:spacing w:val="-2"/>
          <w:sz w:val="22"/>
        </w:rPr>
        <w:t>office.</w:t>
      </w:r>
    </w:p>
    <w:p>
      <w:pPr>
        <w:pStyle w:val="ListParagraph"/>
        <w:numPr>
          <w:ilvl w:val="0"/>
          <w:numId w:val="2"/>
        </w:numPr>
        <w:tabs>
          <w:tab w:pos="1179" w:val="left" w:leader="none"/>
          <w:tab w:pos="1181" w:val="left" w:leader="none"/>
        </w:tabs>
        <w:spacing w:line="276" w:lineRule="auto" w:before="41" w:after="0"/>
        <w:ind w:left="1181" w:right="637" w:hanging="361"/>
        <w:jc w:val="left"/>
        <w:rPr>
          <w:sz w:val="22"/>
        </w:rPr>
      </w:pPr>
      <w:bookmarkStart w:name="8. Explore the creation of an LGBTQ yout" w:id="30"/>
      <w:bookmarkEnd w:id="30"/>
      <w:r>
        <w:rPr/>
      </w:r>
      <w:r>
        <w:rPr>
          <w:sz w:val="22"/>
        </w:rPr>
        <w:t>Explore</w:t>
      </w:r>
      <w:r>
        <w:rPr>
          <w:spacing w:val="-7"/>
          <w:sz w:val="22"/>
        </w:rPr>
        <w:t> </w:t>
      </w:r>
      <w:r>
        <w:rPr>
          <w:sz w:val="22"/>
        </w:rPr>
        <w:t>the</w:t>
      </w:r>
      <w:r>
        <w:rPr>
          <w:spacing w:val="-7"/>
          <w:sz w:val="22"/>
        </w:rPr>
        <w:t> </w:t>
      </w:r>
      <w:r>
        <w:rPr>
          <w:sz w:val="22"/>
        </w:rPr>
        <w:t>creation</w:t>
      </w:r>
      <w:r>
        <w:rPr>
          <w:spacing w:val="-8"/>
          <w:sz w:val="22"/>
        </w:rPr>
        <w:t> </w:t>
      </w:r>
      <w:r>
        <w:rPr>
          <w:sz w:val="22"/>
        </w:rPr>
        <w:t>of</w:t>
      </w:r>
      <w:r>
        <w:rPr>
          <w:spacing w:val="-7"/>
          <w:sz w:val="22"/>
        </w:rPr>
        <w:t> </w:t>
      </w:r>
      <w:r>
        <w:rPr>
          <w:sz w:val="22"/>
        </w:rPr>
        <w:t>an</w:t>
      </w:r>
      <w:r>
        <w:rPr>
          <w:spacing w:val="-8"/>
          <w:sz w:val="22"/>
        </w:rPr>
        <w:t> </w:t>
      </w:r>
      <w:r>
        <w:rPr>
          <w:sz w:val="22"/>
        </w:rPr>
        <w:t>LGBTQ</w:t>
      </w:r>
      <w:r>
        <w:rPr>
          <w:spacing w:val="-8"/>
          <w:sz w:val="22"/>
        </w:rPr>
        <w:t> </w:t>
      </w:r>
      <w:r>
        <w:rPr>
          <w:sz w:val="22"/>
        </w:rPr>
        <w:t>youth</w:t>
      </w:r>
      <w:r>
        <w:rPr>
          <w:spacing w:val="-7"/>
          <w:sz w:val="22"/>
        </w:rPr>
        <w:t> </w:t>
      </w:r>
      <w:r>
        <w:rPr>
          <w:sz w:val="22"/>
        </w:rPr>
        <w:t>maltreatment</w:t>
      </w:r>
      <w:r>
        <w:rPr>
          <w:spacing w:val="-8"/>
          <w:sz w:val="22"/>
        </w:rPr>
        <w:t> </w:t>
      </w:r>
      <w:r>
        <w:rPr>
          <w:sz w:val="22"/>
        </w:rPr>
        <w:t>code</w:t>
      </w:r>
      <w:r>
        <w:rPr>
          <w:spacing w:val="-8"/>
          <w:sz w:val="22"/>
        </w:rPr>
        <w:t> </w:t>
      </w:r>
      <w:r>
        <w:rPr>
          <w:sz w:val="22"/>
        </w:rPr>
        <w:t>system</w:t>
      </w:r>
      <w:r>
        <w:rPr>
          <w:spacing w:val="-8"/>
          <w:sz w:val="22"/>
        </w:rPr>
        <w:t> </w:t>
      </w:r>
      <w:r>
        <w:rPr>
          <w:sz w:val="22"/>
        </w:rPr>
        <w:t>within</w:t>
      </w:r>
      <w:r>
        <w:rPr>
          <w:spacing w:val="-8"/>
          <w:sz w:val="22"/>
        </w:rPr>
        <w:t> </w:t>
      </w:r>
      <w:r>
        <w:rPr>
          <w:sz w:val="22"/>
        </w:rPr>
        <w:t>the</w:t>
      </w:r>
      <w:r>
        <w:rPr>
          <w:spacing w:val="-7"/>
          <w:sz w:val="22"/>
        </w:rPr>
        <w:t> </w:t>
      </w:r>
      <w:r>
        <w:rPr>
          <w:sz w:val="22"/>
        </w:rPr>
        <w:t>Department</w:t>
      </w:r>
      <w:r>
        <w:rPr>
          <w:spacing w:val="-7"/>
          <w:sz w:val="22"/>
        </w:rPr>
        <w:t> </w:t>
      </w:r>
      <w:r>
        <w:rPr>
          <w:sz w:val="22"/>
        </w:rPr>
        <w:t>of Children and Families.</w:t>
      </w:r>
    </w:p>
    <w:p>
      <w:pPr>
        <w:pStyle w:val="ListParagraph"/>
        <w:numPr>
          <w:ilvl w:val="0"/>
          <w:numId w:val="2"/>
        </w:numPr>
        <w:tabs>
          <w:tab w:pos="1179" w:val="left" w:leader="none"/>
          <w:tab w:pos="1181" w:val="left" w:leader="none"/>
        </w:tabs>
        <w:spacing w:line="276" w:lineRule="auto" w:before="0" w:after="0"/>
        <w:ind w:left="1181" w:right="635" w:hanging="361"/>
        <w:jc w:val="left"/>
        <w:rPr>
          <w:sz w:val="22"/>
        </w:rPr>
      </w:pPr>
      <w:bookmarkStart w:name="9. Update Chapter 119, Section 89 of the" w:id="31"/>
      <w:bookmarkEnd w:id="31"/>
      <w:r>
        <w:rPr/>
      </w:r>
      <w:r>
        <w:rPr>
          <w:sz w:val="22"/>
        </w:rPr>
        <w:t>Update</w:t>
      </w:r>
      <w:r>
        <w:rPr>
          <w:spacing w:val="75"/>
          <w:sz w:val="22"/>
        </w:rPr>
        <w:t> </w:t>
      </w:r>
      <w:r>
        <w:rPr>
          <w:sz w:val="22"/>
        </w:rPr>
        <w:t>Chapter</w:t>
      </w:r>
      <w:r>
        <w:rPr>
          <w:spacing w:val="75"/>
          <w:sz w:val="22"/>
        </w:rPr>
        <w:t> </w:t>
      </w:r>
      <w:r>
        <w:rPr>
          <w:sz w:val="22"/>
        </w:rPr>
        <w:t>119,</w:t>
      </w:r>
      <w:r>
        <w:rPr>
          <w:spacing w:val="75"/>
          <w:sz w:val="22"/>
        </w:rPr>
        <w:t> </w:t>
      </w:r>
      <w:r>
        <w:rPr>
          <w:sz w:val="22"/>
        </w:rPr>
        <w:t>Section</w:t>
      </w:r>
      <w:r>
        <w:rPr>
          <w:spacing w:val="75"/>
          <w:sz w:val="22"/>
        </w:rPr>
        <w:t> </w:t>
      </w:r>
      <w:r>
        <w:rPr>
          <w:sz w:val="22"/>
        </w:rPr>
        <w:t>89</w:t>
      </w:r>
      <w:r>
        <w:rPr>
          <w:spacing w:val="75"/>
          <w:sz w:val="22"/>
        </w:rPr>
        <w:t> </w:t>
      </w:r>
      <w:r>
        <w:rPr>
          <w:sz w:val="22"/>
        </w:rPr>
        <w:t>of</w:t>
      </w:r>
      <w:r>
        <w:rPr>
          <w:spacing w:val="76"/>
          <w:sz w:val="22"/>
        </w:rPr>
        <w:t> </w:t>
      </w:r>
      <w:r>
        <w:rPr>
          <w:sz w:val="22"/>
        </w:rPr>
        <w:t>the</w:t>
      </w:r>
      <w:r>
        <w:rPr>
          <w:spacing w:val="75"/>
          <w:sz w:val="22"/>
        </w:rPr>
        <w:t> </w:t>
      </w:r>
      <w:r>
        <w:rPr>
          <w:sz w:val="22"/>
        </w:rPr>
        <w:t>Massachusetts</w:t>
      </w:r>
      <w:r>
        <w:rPr>
          <w:spacing w:val="76"/>
          <w:sz w:val="22"/>
        </w:rPr>
        <w:t> </w:t>
      </w:r>
      <w:r>
        <w:rPr>
          <w:sz w:val="22"/>
        </w:rPr>
        <w:t>General</w:t>
      </w:r>
      <w:r>
        <w:rPr>
          <w:spacing w:val="75"/>
          <w:sz w:val="22"/>
        </w:rPr>
        <w:t> </w:t>
      </w:r>
      <w:r>
        <w:rPr>
          <w:sz w:val="22"/>
        </w:rPr>
        <w:t>Laws</w:t>
      </w:r>
      <w:r>
        <w:rPr>
          <w:spacing w:val="75"/>
          <w:sz w:val="22"/>
        </w:rPr>
        <w:t> </w:t>
      </w:r>
      <w:r>
        <w:rPr>
          <w:sz w:val="22"/>
        </w:rPr>
        <w:t>to</w:t>
      </w:r>
      <w:r>
        <w:rPr>
          <w:spacing w:val="75"/>
          <w:sz w:val="22"/>
        </w:rPr>
        <w:t> </w:t>
      </w:r>
      <w:r>
        <w:rPr>
          <w:sz w:val="22"/>
        </w:rPr>
        <w:t>include</w:t>
      </w:r>
      <w:r>
        <w:rPr>
          <w:spacing w:val="75"/>
          <w:sz w:val="22"/>
        </w:rPr>
        <w:t> </w:t>
      </w:r>
      <w:r>
        <w:rPr>
          <w:sz w:val="22"/>
        </w:rPr>
        <w:t>the Commission on the Juvenile Justice Policy and Data Board as a voting member.</w:t>
      </w:r>
    </w:p>
    <w:p>
      <w:pPr>
        <w:pStyle w:val="ListParagraph"/>
        <w:numPr>
          <w:ilvl w:val="0"/>
          <w:numId w:val="2"/>
        </w:numPr>
        <w:tabs>
          <w:tab w:pos="1180" w:val="left" w:leader="none"/>
        </w:tabs>
        <w:spacing w:line="240" w:lineRule="auto" w:before="0" w:after="0"/>
        <w:ind w:left="1180" w:right="0" w:hanging="359"/>
        <w:jc w:val="left"/>
        <w:rPr>
          <w:sz w:val="22"/>
        </w:rPr>
      </w:pPr>
      <w:bookmarkStart w:name="10. Codify the foster child bill of righ" w:id="32"/>
      <w:bookmarkEnd w:id="32"/>
      <w:r>
        <w:rPr/>
      </w:r>
      <w:r>
        <w:rPr>
          <w:sz w:val="22"/>
        </w:rPr>
        <w:t>Codify</w:t>
      </w:r>
      <w:r>
        <w:rPr>
          <w:spacing w:val="-7"/>
          <w:sz w:val="22"/>
        </w:rPr>
        <w:t> </w:t>
      </w:r>
      <w:r>
        <w:rPr>
          <w:sz w:val="22"/>
        </w:rPr>
        <w:t>the</w:t>
      </w:r>
      <w:r>
        <w:rPr>
          <w:spacing w:val="-5"/>
          <w:sz w:val="22"/>
        </w:rPr>
        <w:t> </w:t>
      </w:r>
      <w:r>
        <w:rPr>
          <w:sz w:val="22"/>
        </w:rPr>
        <w:t>foster</w:t>
      </w:r>
      <w:r>
        <w:rPr>
          <w:spacing w:val="-6"/>
          <w:sz w:val="22"/>
        </w:rPr>
        <w:t> </w:t>
      </w:r>
      <w:r>
        <w:rPr>
          <w:sz w:val="22"/>
        </w:rPr>
        <w:t>child</w:t>
      </w:r>
      <w:r>
        <w:rPr>
          <w:spacing w:val="-5"/>
          <w:sz w:val="22"/>
        </w:rPr>
        <w:t> </w:t>
      </w:r>
      <w:r>
        <w:rPr>
          <w:sz w:val="22"/>
        </w:rPr>
        <w:t>bill</w:t>
      </w:r>
      <w:r>
        <w:rPr>
          <w:spacing w:val="-6"/>
          <w:sz w:val="22"/>
        </w:rPr>
        <w:t> </w:t>
      </w:r>
      <w:r>
        <w:rPr>
          <w:sz w:val="22"/>
        </w:rPr>
        <w:t>of</w:t>
      </w:r>
      <w:r>
        <w:rPr>
          <w:spacing w:val="-6"/>
          <w:sz w:val="22"/>
        </w:rPr>
        <w:t> </w:t>
      </w:r>
      <w:r>
        <w:rPr>
          <w:sz w:val="22"/>
        </w:rPr>
        <w:t>rights</w:t>
      </w:r>
      <w:r>
        <w:rPr>
          <w:spacing w:val="-6"/>
          <w:sz w:val="22"/>
        </w:rPr>
        <w:t> </w:t>
      </w:r>
      <w:r>
        <w:rPr>
          <w:sz w:val="22"/>
        </w:rPr>
        <w:t>in</w:t>
      </w:r>
      <w:r>
        <w:rPr>
          <w:spacing w:val="-6"/>
          <w:sz w:val="22"/>
        </w:rPr>
        <w:t> </w:t>
      </w:r>
      <w:r>
        <w:rPr>
          <w:sz w:val="22"/>
        </w:rPr>
        <w:t>state</w:t>
      </w:r>
      <w:r>
        <w:rPr>
          <w:spacing w:val="-6"/>
          <w:sz w:val="22"/>
        </w:rPr>
        <w:t> </w:t>
      </w:r>
      <w:r>
        <w:rPr>
          <w:spacing w:val="-4"/>
          <w:sz w:val="22"/>
        </w:rPr>
        <w:t>law.</w:t>
      </w:r>
    </w:p>
    <w:p>
      <w:pPr>
        <w:pStyle w:val="ListParagraph"/>
        <w:numPr>
          <w:ilvl w:val="0"/>
          <w:numId w:val="2"/>
        </w:numPr>
        <w:tabs>
          <w:tab w:pos="1179" w:val="left" w:leader="none"/>
          <w:tab w:pos="1181" w:val="left" w:leader="none"/>
        </w:tabs>
        <w:spacing w:line="276" w:lineRule="auto" w:before="39" w:after="0"/>
        <w:ind w:left="1181" w:right="636" w:hanging="361"/>
        <w:jc w:val="left"/>
        <w:rPr>
          <w:sz w:val="22"/>
        </w:rPr>
      </w:pPr>
      <w:bookmarkStart w:name="11. Improve Massachusetts child abuse la" w:id="33"/>
      <w:bookmarkEnd w:id="33"/>
      <w:r>
        <w:rPr/>
      </w:r>
      <w:r>
        <w:rPr>
          <w:sz w:val="22"/>
        </w:rPr>
        <w:t>Improve</w:t>
      </w:r>
      <w:r>
        <w:rPr>
          <w:spacing w:val="35"/>
          <w:sz w:val="22"/>
        </w:rPr>
        <w:t> </w:t>
      </w:r>
      <w:r>
        <w:rPr>
          <w:sz w:val="22"/>
        </w:rPr>
        <w:t>Massachusetts</w:t>
      </w:r>
      <w:r>
        <w:rPr>
          <w:spacing w:val="37"/>
          <w:sz w:val="22"/>
        </w:rPr>
        <w:t> </w:t>
      </w:r>
      <w:r>
        <w:rPr>
          <w:sz w:val="22"/>
        </w:rPr>
        <w:t>child</w:t>
      </w:r>
      <w:r>
        <w:rPr>
          <w:spacing w:val="35"/>
          <w:sz w:val="22"/>
        </w:rPr>
        <w:t> </w:t>
      </w:r>
      <w:r>
        <w:rPr>
          <w:sz w:val="22"/>
        </w:rPr>
        <w:t>abuse</w:t>
      </w:r>
      <w:r>
        <w:rPr>
          <w:spacing w:val="36"/>
          <w:sz w:val="22"/>
        </w:rPr>
        <w:t> </w:t>
      </w:r>
      <w:r>
        <w:rPr>
          <w:sz w:val="22"/>
        </w:rPr>
        <w:t>laws</w:t>
      </w:r>
      <w:r>
        <w:rPr>
          <w:spacing w:val="35"/>
          <w:sz w:val="22"/>
        </w:rPr>
        <w:t> </w:t>
      </w:r>
      <w:r>
        <w:rPr>
          <w:sz w:val="22"/>
        </w:rPr>
        <w:t>to</w:t>
      </w:r>
      <w:r>
        <w:rPr>
          <w:spacing w:val="35"/>
          <w:sz w:val="22"/>
        </w:rPr>
        <w:t> </w:t>
      </w:r>
      <w:r>
        <w:rPr>
          <w:sz w:val="22"/>
        </w:rPr>
        <w:t>explicitly</w:t>
      </w:r>
      <w:r>
        <w:rPr>
          <w:spacing w:val="35"/>
          <w:sz w:val="22"/>
        </w:rPr>
        <w:t> </w:t>
      </w:r>
      <w:r>
        <w:rPr>
          <w:sz w:val="22"/>
        </w:rPr>
        <w:t>include</w:t>
      </w:r>
      <w:r>
        <w:rPr>
          <w:spacing w:val="36"/>
          <w:sz w:val="22"/>
        </w:rPr>
        <w:t> </w:t>
      </w:r>
      <w:r>
        <w:rPr>
          <w:sz w:val="22"/>
        </w:rPr>
        <w:t>the</w:t>
      </w:r>
      <w:r>
        <w:rPr>
          <w:spacing w:val="35"/>
          <w:sz w:val="22"/>
        </w:rPr>
        <w:t> </w:t>
      </w:r>
      <w:r>
        <w:rPr>
          <w:sz w:val="22"/>
        </w:rPr>
        <w:t>withholding</w:t>
      </w:r>
      <w:r>
        <w:rPr>
          <w:spacing w:val="35"/>
          <w:sz w:val="22"/>
        </w:rPr>
        <w:t> </w:t>
      </w:r>
      <w:r>
        <w:rPr>
          <w:sz w:val="22"/>
        </w:rPr>
        <w:t>of</w:t>
      </w:r>
      <w:r>
        <w:rPr>
          <w:spacing w:val="35"/>
          <w:sz w:val="22"/>
        </w:rPr>
        <w:t> </w:t>
      </w:r>
      <w:r>
        <w:rPr>
          <w:sz w:val="22"/>
        </w:rPr>
        <w:t>gender- affirming care for LGBTQ youth.</w:t>
      </w:r>
    </w:p>
    <w:p>
      <w:pPr>
        <w:pStyle w:val="ListParagraph"/>
        <w:numPr>
          <w:ilvl w:val="0"/>
          <w:numId w:val="2"/>
        </w:numPr>
        <w:tabs>
          <w:tab w:pos="1179" w:val="left" w:leader="none"/>
          <w:tab w:pos="1181" w:val="left" w:leader="none"/>
        </w:tabs>
        <w:spacing w:line="276" w:lineRule="auto" w:before="0" w:after="0"/>
        <w:ind w:left="1181" w:right="638" w:hanging="361"/>
        <w:jc w:val="left"/>
        <w:rPr>
          <w:sz w:val="22"/>
        </w:rPr>
      </w:pPr>
      <w:bookmarkStart w:name="12. Introduce the legislation needed to " w:id="34"/>
      <w:bookmarkEnd w:id="34"/>
      <w:r>
        <w:rPr/>
      </w:r>
      <w:r>
        <w:rPr>
          <w:sz w:val="22"/>
        </w:rPr>
        <w:t>Introduce the legislation needed to bring Massachusetts up to minimum standards of the</w:t>
      </w:r>
      <w:r>
        <w:rPr>
          <w:spacing w:val="80"/>
          <w:sz w:val="22"/>
        </w:rPr>
        <w:t> </w:t>
      </w:r>
      <w:r>
        <w:rPr>
          <w:sz w:val="22"/>
        </w:rPr>
        <w:t>United Nations Convention on the Rights of the Child.</w:t>
      </w:r>
    </w:p>
    <w:p>
      <w:pPr>
        <w:spacing w:after="0" w:line="276" w:lineRule="auto"/>
        <w:jc w:val="left"/>
        <w:rPr>
          <w:sz w:val="22"/>
        </w:rPr>
        <w:sectPr>
          <w:headerReference w:type="default" r:id="rId20"/>
          <w:footerReference w:type="default" r:id="rId21"/>
          <w:pgSz w:w="12240" w:h="15840"/>
          <w:pgMar w:header="0" w:footer="1061" w:top="1160" w:bottom="1260" w:left="980" w:right="1160"/>
        </w:sectPr>
      </w:pPr>
    </w:p>
    <w:p>
      <w:pPr>
        <w:spacing w:before="29"/>
        <w:ind w:left="604" w:right="0" w:firstLine="0"/>
        <w:jc w:val="both"/>
        <w:rPr>
          <w:sz w:val="28"/>
        </w:rPr>
      </w:pPr>
      <w:bookmarkStart w:name="Belonging in Education: Supporting LGBTQ" w:id="35"/>
      <w:bookmarkEnd w:id="35"/>
      <w:r>
        <w:rPr/>
      </w:r>
      <w:r>
        <w:rPr>
          <w:color w:val="365F91"/>
          <w:sz w:val="28"/>
        </w:rPr>
        <w:t>Belonging</w:t>
      </w:r>
      <w:r>
        <w:rPr>
          <w:color w:val="365F91"/>
          <w:spacing w:val="-10"/>
          <w:sz w:val="28"/>
        </w:rPr>
        <w:t> </w:t>
      </w:r>
      <w:r>
        <w:rPr>
          <w:color w:val="365F91"/>
          <w:sz w:val="28"/>
        </w:rPr>
        <w:t>in</w:t>
      </w:r>
      <w:r>
        <w:rPr>
          <w:color w:val="365F91"/>
          <w:spacing w:val="-10"/>
          <w:sz w:val="28"/>
        </w:rPr>
        <w:t> </w:t>
      </w:r>
      <w:r>
        <w:rPr>
          <w:color w:val="365F91"/>
          <w:sz w:val="28"/>
        </w:rPr>
        <w:t>Education:</w:t>
      </w:r>
      <w:r>
        <w:rPr>
          <w:color w:val="365F91"/>
          <w:spacing w:val="-11"/>
          <w:sz w:val="28"/>
        </w:rPr>
        <w:t> </w:t>
      </w:r>
      <w:r>
        <w:rPr>
          <w:color w:val="365F91"/>
          <w:sz w:val="28"/>
        </w:rPr>
        <w:t>Supporting</w:t>
      </w:r>
      <w:r>
        <w:rPr>
          <w:color w:val="365F91"/>
          <w:spacing w:val="-10"/>
          <w:sz w:val="28"/>
        </w:rPr>
        <w:t> </w:t>
      </w:r>
      <w:r>
        <w:rPr>
          <w:color w:val="365F91"/>
          <w:sz w:val="28"/>
        </w:rPr>
        <w:t>LGBTQ</w:t>
      </w:r>
      <w:r>
        <w:rPr>
          <w:color w:val="365F91"/>
          <w:spacing w:val="-9"/>
          <w:sz w:val="28"/>
        </w:rPr>
        <w:t> </w:t>
      </w:r>
      <w:r>
        <w:rPr>
          <w:color w:val="365F91"/>
          <w:sz w:val="28"/>
        </w:rPr>
        <w:t>Youth</w:t>
      </w:r>
      <w:r>
        <w:rPr>
          <w:color w:val="365F91"/>
          <w:spacing w:val="-11"/>
          <w:sz w:val="28"/>
        </w:rPr>
        <w:t> </w:t>
      </w:r>
      <w:r>
        <w:rPr>
          <w:color w:val="365F91"/>
          <w:sz w:val="28"/>
        </w:rPr>
        <w:t>in</w:t>
      </w:r>
      <w:r>
        <w:rPr>
          <w:color w:val="365F91"/>
          <w:spacing w:val="-9"/>
          <w:sz w:val="28"/>
        </w:rPr>
        <w:t> </w:t>
      </w:r>
      <w:r>
        <w:rPr>
          <w:color w:val="365F91"/>
          <w:sz w:val="28"/>
        </w:rPr>
        <w:t>Schools</w:t>
      </w:r>
      <w:r>
        <w:rPr>
          <w:color w:val="365F91"/>
          <w:spacing w:val="-10"/>
          <w:sz w:val="28"/>
        </w:rPr>
        <w:t> </w:t>
      </w:r>
      <w:r>
        <w:rPr>
          <w:color w:val="365F91"/>
          <w:spacing w:val="-2"/>
          <w:sz w:val="28"/>
        </w:rPr>
        <w:t>(2024)</w:t>
      </w:r>
    </w:p>
    <w:p>
      <w:pPr>
        <w:pStyle w:val="BodyText"/>
        <w:spacing w:line="276" w:lineRule="auto" w:before="241"/>
        <w:ind w:left="604" w:right="420"/>
        <w:jc w:val="both"/>
      </w:pPr>
      <w:r>
        <w:rPr/>
        <w:t>Following</w:t>
      </w:r>
      <w:r>
        <w:rPr>
          <w:spacing w:val="-9"/>
        </w:rPr>
        <w:t> </w:t>
      </w:r>
      <w:r>
        <w:rPr/>
        <w:t>the</w:t>
      </w:r>
      <w:r>
        <w:rPr>
          <w:spacing w:val="-9"/>
        </w:rPr>
        <w:t> </w:t>
      </w:r>
      <w:r>
        <w:rPr/>
        <w:t>Commission’s</w:t>
      </w:r>
      <w:r>
        <w:rPr>
          <w:spacing w:val="-9"/>
        </w:rPr>
        <w:t> </w:t>
      </w:r>
      <w:r>
        <w:rPr/>
        <w:t>report</w:t>
      </w:r>
      <w:r>
        <w:rPr>
          <w:spacing w:val="-9"/>
        </w:rPr>
        <w:t> </w:t>
      </w:r>
      <w:r>
        <w:rPr/>
        <w:t>on</w:t>
      </w:r>
      <w:r>
        <w:rPr>
          <w:spacing w:val="-9"/>
        </w:rPr>
        <w:t> </w:t>
      </w:r>
      <w:r>
        <w:rPr/>
        <w:t>child</w:t>
      </w:r>
      <w:r>
        <w:rPr>
          <w:spacing w:val="-10"/>
        </w:rPr>
        <w:t> </w:t>
      </w:r>
      <w:r>
        <w:rPr/>
        <w:t>welfare</w:t>
      </w:r>
      <w:r>
        <w:rPr>
          <w:spacing w:val="-10"/>
        </w:rPr>
        <w:t> </w:t>
      </w:r>
      <w:r>
        <w:rPr/>
        <w:t>and</w:t>
      </w:r>
      <w:r>
        <w:rPr>
          <w:spacing w:val="-10"/>
        </w:rPr>
        <w:t> </w:t>
      </w:r>
      <w:r>
        <w:rPr/>
        <w:t>well-being,</w:t>
      </w:r>
      <w:r>
        <w:rPr>
          <w:spacing w:val="-8"/>
        </w:rPr>
        <w:t> </w:t>
      </w:r>
      <w:r>
        <w:rPr/>
        <w:t>this</w:t>
      </w:r>
      <w:r>
        <w:rPr>
          <w:spacing w:val="-9"/>
        </w:rPr>
        <w:t> </w:t>
      </w:r>
      <w:r>
        <w:rPr/>
        <w:t>report</w:t>
      </w:r>
      <w:r>
        <w:rPr>
          <w:spacing w:val="-9"/>
        </w:rPr>
        <w:t> </w:t>
      </w:r>
      <w:r>
        <w:rPr/>
        <w:t>on</w:t>
      </w:r>
      <w:r>
        <w:rPr>
          <w:spacing w:val="-9"/>
        </w:rPr>
        <w:t> </w:t>
      </w:r>
      <w:r>
        <w:rPr/>
        <w:t>education</w:t>
      </w:r>
      <w:r>
        <w:rPr>
          <w:spacing w:val="-8"/>
        </w:rPr>
        <w:t> </w:t>
      </w:r>
      <w:r>
        <w:rPr/>
        <w:t>highlights key local and national findings that illustrate proven methods to create safer and supportive schools for LGBTQ youth, families, and educators.</w:t>
      </w:r>
    </w:p>
    <w:p>
      <w:pPr>
        <w:spacing w:line="276" w:lineRule="auto" w:before="240"/>
        <w:ind w:left="563" w:right="380" w:firstLine="0"/>
        <w:jc w:val="center"/>
        <w:rPr>
          <w:i/>
          <w:sz w:val="22"/>
        </w:rPr>
      </w:pPr>
      <w:r>
        <w:rPr>
          <w:i/>
          <w:color w:val="1F487C"/>
          <w:sz w:val="22"/>
        </w:rPr>
        <w:t>"School</w:t>
      </w:r>
      <w:r>
        <w:rPr>
          <w:i/>
          <w:color w:val="1F487C"/>
          <w:spacing w:val="-2"/>
          <w:sz w:val="22"/>
        </w:rPr>
        <w:t> </w:t>
      </w:r>
      <w:r>
        <w:rPr>
          <w:i/>
          <w:color w:val="1F487C"/>
          <w:sz w:val="22"/>
        </w:rPr>
        <w:t>should</w:t>
      </w:r>
      <w:r>
        <w:rPr>
          <w:i/>
          <w:color w:val="1F487C"/>
          <w:spacing w:val="-3"/>
          <w:sz w:val="22"/>
        </w:rPr>
        <w:t> </w:t>
      </w:r>
      <w:r>
        <w:rPr>
          <w:i/>
          <w:color w:val="1F487C"/>
          <w:sz w:val="22"/>
        </w:rPr>
        <w:t>be</w:t>
      </w:r>
      <w:r>
        <w:rPr>
          <w:i/>
          <w:color w:val="1F487C"/>
          <w:spacing w:val="-4"/>
          <w:sz w:val="22"/>
        </w:rPr>
        <w:t> </w:t>
      </w:r>
      <w:r>
        <w:rPr>
          <w:i/>
          <w:color w:val="1F487C"/>
          <w:sz w:val="22"/>
        </w:rPr>
        <w:t>a</w:t>
      </w:r>
      <w:r>
        <w:rPr>
          <w:i/>
          <w:color w:val="1F487C"/>
          <w:spacing w:val="-2"/>
          <w:sz w:val="22"/>
        </w:rPr>
        <w:t> </w:t>
      </w:r>
      <w:r>
        <w:rPr>
          <w:i/>
          <w:color w:val="1F487C"/>
          <w:sz w:val="22"/>
        </w:rPr>
        <w:t>place</w:t>
      </w:r>
      <w:r>
        <w:rPr>
          <w:i/>
          <w:color w:val="1F487C"/>
          <w:spacing w:val="-1"/>
          <w:sz w:val="22"/>
        </w:rPr>
        <w:t> </w:t>
      </w:r>
      <w:r>
        <w:rPr>
          <w:i/>
          <w:color w:val="1F487C"/>
          <w:sz w:val="22"/>
        </w:rPr>
        <w:t>where</w:t>
      </w:r>
      <w:r>
        <w:rPr>
          <w:i/>
          <w:color w:val="1F487C"/>
          <w:spacing w:val="-2"/>
          <w:sz w:val="22"/>
        </w:rPr>
        <w:t> </w:t>
      </w:r>
      <w:r>
        <w:rPr>
          <w:i/>
          <w:color w:val="1F487C"/>
          <w:sz w:val="22"/>
        </w:rPr>
        <w:t>all</w:t>
      </w:r>
      <w:r>
        <w:rPr>
          <w:i/>
          <w:color w:val="1F487C"/>
          <w:spacing w:val="-2"/>
          <w:sz w:val="22"/>
        </w:rPr>
        <w:t> </w:t>
      </w:r>
      <w:r>
        <w:rPr>
          <w:i/>
          <w:color w:val="1F487C"/>
          <w:sz w:val="22"/>
        </w:rPr>
        <w:t>students</w:t>
      </w:r>
      <w:r>
        <w:rPr>
          <w:i/>
          <w:color w:val="1F487C"/>
          <w:spacing w:val="-3"/>
          <w:sz w:val="22"/>
        </w:rPr>
        <w:t> </w:t>
      </w:r>
      <w:r>
        <w:rPr>
          <w:i/>
          <w:color w:val="1F487C"/>
          <w:sz w:val="22"/>
        </w:rPr>
        <w:t>feel</w:t>
      </w:r>
      <w:r>
        <w:rPr>
          <w:i/>
          <w:color w:val="1F487C"/>
          <w:spacing w:val="-2"/>
          <w:sz w:val="22"/>
        </w:rPr>
        <w:t> </w:t>
      </w:r>
      <w:r>
        <w:rPr>
          <w:i/>
          <w:color w:val="1F487C"/>
          <w:sz w:val="22"/>
        </w:rPr>
        <w:t>seen,</w:t>
      </w:r>
      <w:r>
        <w:rPr>
          <w:i/>
          <w:color w:val="1F487C"/>
          <w:spacing w:val="-3"/>
          <w:sz w:val="22"/>
        </w:rPr>
        <w:t> </w:t>
      </w:r>
      <w:r>
        <w:rPr>
          <w:i/>
          <w:color w:val="1F487C"/>
          <w:sz w:val="22"/>
        </w:rPr>
        <w:t>heard,</w:t>
      </w:r>
      <w:r>
        <w:rPr>
          <w:i/>
          <w:color w:val="1F487C"/>
          <w:spacing w:val="-3"/>
          <w:sz w:val="22"/>
        </w:rPr>
        <w:t> </w:t>
      </w:r>
      <w:r>
        <w:rPr>
          <w:i/>
          <w:color w:val="1F487C"/>
          <w:sz w:val="22"/>
        </w:rPr>
        <w:t>and</w:t>
      </w:r>
      <w:r>
        <w:rPr>
          <w:i/>
          <w:color w:val="1F487C"/>
          <w:spacing w:val="-2"/>
          <w:sz w:val="22"/>
        </w:rPr>
        <w:t> </w:t>
      </w:r>
      <w:r>
        <w:rPr>
          <w:i/>
          <w:color w:val="1F487C"/>
          <w:sz w:val="22"/>
        </w:rPr>
        <w:t>valued</w:t>
      </w:r>
      <w:r>
        <w:rPr>
          <w:i/>
          <w:color w:val="1F487C"/>
          <w:spacing w:val="-3"/>
          <w:sz w:val="22"/>
        </w:rPr>
        <w:t> </w:t>
      </w:r>
      <w:r>
        <w:rPr>
          <w:i/>
          <w:color w:val="1F487C"/>
          <w:sz w:val="22"/>
        </w:rPr>
        <w:t>for</w:t>
      </w:r>
      <w:r>
        <w:rPr>
          <w:i/>
          <w:color w:val="1F487C"/>
          <w:spacing w:val="-3"/>
          <w:sz w:val="22"/>
        </w:rPr>
        <w:t> </w:t>
      </w:r>
      <w:r>
        <w:rPr>
          <w:i/>
          <w:color w:val="1F487C"/>
          <w:sz w:val="22"/>
        </w:rPr>
        <w:t>who</w:t>
      </w:r>
      <w:r>
        <w:rPr>
          <w:i/>
          <w:color w:val="1F487C"/>
          <w:spacing w:val="-3"/>
          <w:sz w:val="22"/>
        </w:rPr>
        <w:t> </w:t>
      </w:r>
      <w:r>
        <w:rPr>
          <w:i/>
          <w:color w:val="1F487C"/>
          <w:sz w:val="22"/>
        </w:rPr>
        <w:t>they</w:t>
      </w:r>
      <w:r>
        <w:rPr>
          <w:i/>
          <w:color w:val="1F487C"/>
          <w:spacing w:val="-2"/>
          <w:sz w:val="22"/>
        </w:rPr>
        <w:t> </w:t>
      </w:r>
      <w:r>
        <w:rPr>
          <w:i/>
          <w:color w:val="1F487C"/>
          <w:sz w:val="22"/>
        </w:rPr>
        <w:t>are.</w:t>
      </w:r>
      <w:r>
        <w:rPr>
          <w:i/>
          <w:color w:val="1F487C"/>
          <w:spacing w:val="-1"/>
          <w:sz w:val="22"/>
        </w:rPr>
        <w:t> </w:t>
      </w:r>
      <w:r>
        <w:rPr>
          <w:i/>
          <w:color w:val="1F487C"/>
          <w:sz w:val="22"/>
        </w:rPr>
        <w:t>As</w:t>
      </w:r>
      <w:r>
        <w:rPr>
          <w:i/>
          <w:color w:val="1F487C"/>
          <w:spacing w:val="-3"/>
          <w:sz w:val="22"/>
        </w:rPr>
        <w:t> </w:t>
      </w:r>
      <w:r>
        <w:rPr>
          <w:i/>
          <w:color w:val="1F487C"/>
          <w:sz w:val="22"/>
        </w:rPr>
        <w:t>a</w:t>
      </w:r>
      <w:r>
        <w:rPr>
          <w:i/>
          <w:color w:val="1F487C"/>
          <w:spacing w:val="-2"/>
          <w:sz w:val="22"/>
        </w:rPr>
        <w:t> </w:t>
      </w:r>
      <w:r>
        <w:rPr>
          <w:i/>
          <w:color w:val="1F487C"/>
          <w:sz w:val="22"/>
        </w:rPr>
        <w:t>trans</w:t>
      </w:r>
      <w:r>
        <w:rPr>
          <w:i/>
          <w:color w:val="1F487C"/>
          <w:sz w:val="22"/>
        </w:rPr>
        <w:t> and black student, I want a school that celebrates diversity, promotes equity, and ensures that everyone belongs. Education should empower us, not alienate us."</w:t>
      </w:r>
    </w:p>
    <w:p>
      <w:pPr>
        <w:spacing w:before="240"/>
        <w:ind w:left="454" w:right="275" w:firstLine="0"/>
        <w:jc w:val="center"/>
        <w:rPr>
          <w:i/>
          <w:sz w:val="22"/>
        </w:rPr>
      </w:pPr>
      <w:r>
        <w:rPr>
          <w:i/>
          <w:color w:val="1F487C"/>
          <w:sz w:val="22"/>
        </w:rPr>
        <w:t>-</w:t>
      </w:r>
      <w:r>
        <w:rPr>
          <w:i/>
          <w:color w:val="1F487C"/>
          <w:spacing w:val="-9"/>
          <w:sz w:val="22"/>
        </w:rPr>
        <w:t> </w:t>
      </w:r>
      <w:r>
        <w:rPr>
          <w:i/>
          <w:color w:val="1F487C"/>
          <w:sz w:val="22"/>
        </w:rPr>
        <w:t>11th</w:t>
      </w:r>
      <w:r>
        <w:rPr>
          <w:i/>
          <w:color w:val="1F487C"/>
          <w:spacing w:val="-8"/>
          <w:sz w:val="22"/>
        </w:rPr>
        <w:t> </w:t>
      </w:r>
      <w:r>
        <w:rPr>
          <w:i/>
          <w:color w:val="1F487C"/>
          <w:sz w:val="22"/>
        </w:rPr>
        <w:t>Grade</w:t>
      </w:r>
      <w:r>
        <w:rPr>
          <w:i/>
          <w:color w:val="1F487C"/>
          <w:spacing w:val="-6"/>
          <w:sz w:val="22"/>
        </w:rPr>
        <w:t> </w:t>
      </w:r>
      <w:r>
        <w:rPr>
          <w:i/>
          <w:color w:val="1F487C"/>
          <w:sz w:val="22"/>
        </w:rPr>
        <w:t>Massachusetts</w:t>
      </w:r>
      <w:r>
        <w:rPr>
          <w:i/>
          <w:color w:val="1F487C"/>
          <w:spacing w:val="-9"/>
          <w:sz w:val="22"/>
        </w:rPr>
        <w:t> </w:t>
      </w:r>
      <w:r>
        <w:rPr>
          <w:i/>
          <w:color w:val="1F487C"/>
          <w:spacing w:val="-2"/>
          <w:sz w:val="22"/>
        </w:rPr>
        <w:t>Student</w:t>
      </w:r>
    </w:p>
    <w:p>
      <w:pPr>
        <w:pStyle w:val="BodyText"/>
        <w:spacing w:before="11"/>
        <w:rPr>
          <w:i/>
        </w:rPr>
      </w:pPr>
    </w:p>
    <w:p>
      <w:pPr>
        <w:pStyle w:val="BodyText"/>
        <w:spacing w:line="276" w:lineRule="auto"/>
        <w:ind w:left="604" w:right="423"/>
        <w:jc w:val="both"/>
      </w:pPr>
      <w:r>
        <w:rPr/>
        <w:t>The Commission and the Department of Elementary and Secondary Education (DESE) jointly sponsor the</w:t>
      </w:r>
      <w:r>
        <w:rPr>
          <w:spacing w:val="-10"/>
        </w:rPr>
        <w:t> </w:t>
      </w:r>
      <w:r>
        <w:rPr/>
        <w:t>Safe</w:t>
      </w:r>
      <w:r>
        <w:rPr>
          <w:spacing w:val="-10"/>
        </w:rPr>
        <w:t> </w:t>
      </w:r>
      <w:r>
        <w:rPr/>
        <w:t>Schools</w:t>
      </w:r>
      <w:r>
        <w:rPr>
          <w:spacing w:val="-11"/>
        </w:rPr>
        <w:t> </w:t>
      </w:r>
      <w:r>
        <w:rPr/>
        <w:t>Program</w:t>
      </w:r>
      <w:r>
        <w:rPr>
          <w:spacing w:val="-12"/>
        </w:rPr>
        <w:t> </w:t>
      </w:r>
      <w:r>
        <w:rPr/>
        <w:t>for</w:t>
      </w:r>
      <w:r>
        <w:rPr>
          <w:spacing w:val="-11"/>
        </w:rPr>
        <w:t> </w:t>
      </w:r>
      <w:r>
        <w:rPr/>
        <w:t>LGBTQ</w:t>
      </w:r>
      <w:r>
        <w:rPr>
          <w:spacing w:val="-10"/>
        </w:rPr>
        <w:t> </w:t>
      </w:r>
      <w:r>
        <w:rPr/>
        <w:t>Students,</w:t>
      </w:r>
      <w:r>
        <w:rPr>
          <w:spacing w:val="-11"/>
        </w:rPr>
        <w:t> </w:t>
      </w:r>
      <w:r>
        <w:rPr/>
        <w:t>a</w:t>
      </w:r>
      <w:r>
        <w:rPr>
          <w:spacing w:val="-10"/>
        </w:rPr>
        <w:t> </w:t>
      </w:r>
      <w:r>
        <w:rPr/>
        <w:t>program</w:t>
      </w:r>
      <w:r>
        <w:rPr>
          <w:spacing w:val="-12"/>
        </w:rPr>
        <w:t> </w:t>
      </w:r>
      <w:r>
        <w:rPr/>
        <w:t>which</w:t>
      </w:r>
      <w:r>
        <w:rPr>
          <w:spacing w:val="-10"/>
        </w:rPr>
        <w:t> </w:t>
      </w:r>
      <w:r>
        <w:rPr/>
        <w:t>offers</w:t>
      </w:r>
      <w:r>
        <w:rPr>
          <w:spacing w:val="-11"/>
        </w:rPr>
        <w:t> </w:t>
      </w:r>
      <w:r>
        <w:rPr/>
        <w:t>direct</w:t>
      </w:r>
      <w:r>
        <w:rPr>
          <w:spacing w:val="-11"/>
        </w:rPr>
        <w:t> </w:t>
      </w:r>
      <w:r>
        <w:rPr/>
        <w:t>support</w:t>
      </w:r>
      <w:r>
        <w:rPr>
          <w:spacing w:val="-11"/>
        </w:rPr>
        <w:t> </w:t>
      </w:r>
      <w:r>
        <w:rPr/>
        <w:t>to</w:t>
      </w:r>
      <w:r>
        <w:rPr>
          <w:spacing w:val="-11"/>
        </w:rPr>
        <w:t> </w:t>
      </w:r>
      <w:r>
        <w:rPr/>
        <w:t>districts</w:t>
      </w:r>
      <w:r>
        <w:rPr>
          <w:spacing w:val="-11"/>
        </w:rPr>
        <w:t> </w:t>
      </w:r>
      <w:r>
        <w:rPr/>
        <w:t>across Massachusetts on policy, training, technical assistance, and student leadership.</w:t>
      </w:r>
    </w:p>
    <w:p>
      <w:pPr>
        <w:spacing w:before="239"/>
        <w:ind w:left="604" w:right="0" w:firstLine="0"/>
        <w:jc w:val="both"/>
        <w:rPr>
          <w:sz w:val="26"/>
        </w:rPr>
      </w:pPr>
      <w:bookmarkStart w:name="FY 2025 Recommendations to the Governor " w:id="36"/>
      <w:bookmarkEnd w:id="36"/>
      <w:r>
        <w:rPr/>
      </w:r>
      <w:r>
        <w:rPr>
          <w:color w:val="404040"/>
          <w:sz w:val="26"/>
        </w:rPr>
        <w:t>FY</w:t>
      </w:r>
      <w:r>
        <w:rPr>
          <w:color w:val="404040"/>
          <w:spacing w:val="-5"/>
          <w:sz w:val="26"/>
        </w:rPr>
        <w:t> </w:t>
      </w:r>
      <w:r>
        <w:rPr>
          <w:color w:val="404040"/>
          <w:sz w:val="26"/>
        </w:rPr>
        <w:t>2025</w:t>
      </w:r>
      <w:r>
        <w:rPr>
          <w:color w:val="404040"/>
          <w:spacing w:val="-2"/>
          <w:sz w:val="26"/>
        </w:rPr>
        <w:t> </w:t>
      </w:r>
      <w:r>
        <w:rPr>
          <w:color w:val="404040"/>
          <w:sz w:val="26"/>
        </w:rPr>
        <w:t>Recommendations</w:t>
      </w:r>
      <w:r>
        <w:rPr>
          <w:color w:val="404040"/>
          <w:spacing w:val="-3"/>
          <w:sz w:val="26"/>
        </w:rPr>
        <w:t> </w:t>
      </w:r>
      <w:r>
        <w:rPr>
          <w:color w:val="404040"/>
          <w:sz w:val="26"/>
        </w:rPr>
        <w:t>to</w:t>
      </w:r>
      <w:r>
        <w:rPr>
          <w:color w:val="404040"/>
          <w:spacing w:val="-4"/>
          <w:sz w:val="26"/>
        </w:rPr>
        <w:t> </w:t>
      </w:r>
      <w:r>
        <w:rPr>
          <w:color w:val="404040"/>
          <w:sz w:val="26"/>
        </w:rPr>
        <w:t>the</w:t>
      </w:r>
      <w:r>
        <w:rPr>
          <w:color w:val="404040"/>
          <w:spacing w:val="-5"/>
          <w:sz w:val="26"/>
        </w:rPr>
        <w:t> </w:t>
      </w:r>
      <w:r>
        <w:rPr>
          <w:color w:val="404040"/>
          <w:sz w:val="26"/>
        </w:rPr>
        <w:t>Governor</w:t>
      </w:r>
      <w:r>
        <w:rPr>
          <w:color w:val="404040"/>
          <w:spacing w:val="-3"/>
          <w:sz w:val="26"/>
        </w:rPr>
        <w:t> </w:t>
      </w:r>
      <w:r>
        <w:rPr>
          <w:color w:val="404040"/>
          <w:sz w:val="26"/>
        </w:rPr>
        <w:t>&amp;</w:t>
      </w:r>
      <w:r>
        <w:rPr>
          <w:color w:val="404040"/>
          <w:spacing w:val="-3"/>
          <w:sz w:val="26"/>
        </w:rPr>
        <w:t> </w:t>
      </w:r>
      <w:r>
        <w:rPr>
          <w:color w:val="404040"/>
          <w:sz w:val="26"/>
        </w:rPr>
        <w:t>Legislature</w:t>
      </w:r>
      <w:r>
        <w:rPr>
          <w:color w:val="404040"/>
          <w:spacing w:val="-2"/>
          <w:sz w:val="26"/>
        </w:rPr>
        <w:t> </w:t>
      </w:r>
      <w:r>
        <w:rPr>
          <w:color w:val="404040"/>
          <w:sz w:val="26"/>
        </w:rPr>
        <w:t>on</w:t>
      </w:r>
      <w:r>
        <w:rPr>
          <w:color w:val="404040"/>
          <w:spacing w:val="-3"/>
          <w:sz w:val="26"/>
        </w:rPr>
        <w:t> </w:t>
      </w:r>
      <w:r>
        <w:rPr>
          <w:color w:val="404040"/>
          <w:spacing w:val="-2"/>
          <w:sz w:val="26"/>
        </w:rPr>
        <w:t>Education</w:t>
      </w:r>
    </w:p>
    <w:p>
      <w:pPr>
        <w:pStyle w:val="ListParagraph"/>
        <w:numPr>
          <w:ilvl w:val="0"/>
          <w:numId w:val="3"/>
        </w:numPr>
        <w:tabs>
          <w:tab w:pos="1178" w:val="left" w:leader="none"/>
          <w:tab w:pos="1180" w:val="left" w:leader="none"/>
        </w:tabs>
        <w:spacing w:line="276" w:lineRule="auto" w:before="242" w:after="0"/>
        <w:ind w:left="1180" w:right="639" w:hanging="361"/>
        <w:jc w:val="both"/>
        <w:rPr>
          <w:sz w:val="22"/>
        </w:rPr>
      </w:pPr>
      <w:r>
        <w:rPr>
          <w:sz w:val="22"/>
        </w:rPr>
        <w:t>Support efforts for all schools in the Commonwealth to receive comprehensive training and </w:t>
      </w:r>
      <w:r>
        <w:rPr>
          <w:spacing w:val="-2"/>
          <w:sz w:val="22"/>
        </w:rPr>
        <w:t>professional development to increase the capacity of educators and administrators to support </w:t>
      </w:r>
      <w:r>
        <w:rPr>
          <w:sz w:val="22"/>
        </w:rPr>
        <w:t>LGBTQ students, including BIPOC LGBTQ students.</w:t>
      </w:r>
    </w:p>
    <w:p>
      <w:pPr>
        <w:pStyle w:val="ListParagraph"/>
        <w:numPr>
          <w:ilvl w:val="0"/>
          <w:numId w:val="3"/>
        </w:numPr>
        <w:tabs>
          <w:tab w:pos="1178" w:val="left" w:leader="none"/>
          <w:tab w:pos="1180" w:val="left" w:leader="none"/>
        </w:tabs>
        <w:spacing w:line="276" w:lineRule="auto" w:before="0" w:after="0"/>
        <w:ind w:left="1180" w:right="636" w:hanging="361"/>
        <w:jc w:val="both"/>
        <w:rPr>
          <w:sz w:val="22"/>
        </w:rPr>
      </w:pPr>
      <w:r>
        <w:rPr>
          <w:sz w:val="22"/>
        </w:rPr>
        <w:t>Provide professional development, mentorship, and support for advisors of GSAs, affinity spaces and similar student clubs, focusing on: creating consistent, affirming, resource-rich environments responsive to student needs; supporting youth leadership and advocacy; and providing structure to meetings.</w:t>
      </w:r>
    </w:p>
    <w:p>
      <w:pPr>
        <w:pStyle w:val="ListParagraph"/>
        <w:numPr>
          <w:ilvl w:val="0"/>
          <w:numId w:val="3"/>
        </w:numPr>
        <w:tabs>
          <w:tab w:pos="1178" w:val="left" w:leader="none"/>
          <w:tab w:pos="1180" w:val="left" w:leader="none"/>
        </w:tabs>
        <w:spacing w:line="276" w:lineRule="auto" w:before="0" w:after="0"/>
        <w:ind w:left="1180" w:right="639" w:hanging="361"/>
        <w:jc w:val="both"/>
        <w:rPr>
          <w:sz w:val="22"/>
        </w:rPr>
      </w:pPr>
      <w:r>
        <w:rPr>
          <w:sz w:val="22"/>
        </w:rPr>
        <w:t>Encourage administrators and educators to actively express their support for materials on race and LGBTQ topics and establish statewide guidelines and best practices for addressing challenged curricula and conducting book reviews.</w:t>
      </w:r>
    </w:p>
    <w:p>
      <w:pPr>
        <w:pStyle w:val="ListParagraph"/>
        <w:numPr>
          <w:ilvl w:val="0"/>
          <w:numId w:val="3"/>
        </w:numPr>
        <w:tabs>
          <w:tab w:pos="1178" w:val="left" w:leader="none"/>
          <w:tab w:pos="1180" w:val="left" w:leader="none"/>
        </w:tabs>
        <w:spacing w:line="276" w:lineRule="auto" w:before="0" w:after="0"/>
        <w:ind w:left="1180" w:right="637" w:hanging="361"/>
        <w:jc w:val="both"/>
        <w:rPr>
          <w:sz w:val="22"/>
        </w:rPr>
      </w:pPr>
      <w:r>
        <w:rPr>
          <w:sz w:val="22"/>
        </w:rPr>
        <w:t>Ensure that all subject areas are reflective of LGBTQ &amp; BIPOC individuals, historical events, and concepts.</w:t>
      </w:r>
    </w:p>
    <w:p>
      <w:pPr>
        <w:pStyle w:val="ListParagraph"/>
        <w:numPr>
          <w:ilvl w:val="0"/>
          <w:numId w:val="3"/>
        </w:numPr>
        <w:tabs>
          <w:tab w:pos="1178" w:val="left" w:leader="none"/>
          <w:tab w:pos="1180" w:val="left" w:leader="none"/>
        </w:tabs>
        <w:spacing w:line="276" w:lineRule="auto" w:before="0" w:after="0"/>
        <w:ind w:left="1180" w:right="634" w:hanging="361"/>
        <w:jc w:val="both"/>
        <w:rPr>
          <w:sz w:val="22"/>
        </w:rPr>
      </w:pPr>
      <w:r>
        <w:rPr>
          <w:sz w:val="22"/>
        </w:rPr>
        <w:t>Invest</w:t>
      </w:r>
      <w:r>
        <w:rPr>
          <w:spacing w:val="-13"/>
          <w:sz w:val="22"/>
        </w:rPr>
        <w:t> </w:t>
      </w:r>
      <w:r>
        <w:rPr>
          <w:sz w:val="22"/>
        </w:rPr>
        <w:t>in</w:t>
      </w:r>
      <w:r>
        <w:rPr>
          <w:spacing w:val="-11"/>
          <w:sz w:val="22"/>
        </w:rPr>
        <w:t> </w:t>
      </w:r>
      <w:r>
        <w:rPr>
          <w:sz w:val="22"/>
        </w:rPr>
        <w:t>resources</w:t>
      </w:r>
      <w:r>
        <w:rPr>
          <w:spacing w:val="-12"/>
          <w:sz w:val="22"/>
        </w:rPr>
        <w:t> </w:t>
      </w:r>
      <w:r>
        <w:rPr>
          <w:sz w:val="22"/>
        </w:rPr>
        <w:t>for</w:t>
      </w:r>
      <w:r>
        <w:rPr>
          <w:spacing w:val="-12"/>
          <w:sz w:val="22"/>
        </w:rPr>
        <w:t> </w:t>
      </w:r>
      <w:r>
        <w:rPr>
          <w:sz w:val="22"/>
        </w:rPr>
        <w:t>family</w:t>
      </w:r>
      <w:r>
        <w:rPr>
          <w:spacing w:val="-12"/>
          <w:sz w:val="22"/>
        </w:rPr>
        <w:t> </w:t>
      </w:r>
      <w:r>
        <w:rPr>
          <w:sz w:val="22"/>
        </w:rPr>
        <w:t>liaisons</w:t>
      </w:r>
      <w:r>
        <w:rPr>
          <w:spacing w:val="-12"/>
          <w:sz w:val="22"/>
        </w:rPr>
        <w:t> </w:t>
      </w:r>
      <w:r>
        <w:rPr>
          <w:sz w:val="22"/>
        </w:rPr>
        <w:t>and</w:t>
      </w:r>
      <w:r>
        <w:rPr>
          <w:spacing w:val="-12"/>
          <w:sz w:val="22"/>
        </w:rPr>
        <w:t> </w:t>
      </w:r>
      <w:r>
        <w:rPr>
          <w:sz w:val="22"/>
        </w:rPr>
        <w:t>provide</w:t>
      </w:r>
      <w:r>
        <w:rPr>
          <w:spacing w:val="-11"/>
          <w:sz w:val="22"/>
        </w:rPr>
        <w:t> </w:t>
      </w:r>
      <w:r>
        <w:rPr>
          <w:sz w:val="22"/>
        </w:rPr>
        <w:t>professional</w:t>
      </w:r>
      <w:r>
        <w:rPr>
          <w:spacing w:val="-12"/>
          <w:sz w:val="22"/>
        </w:rPr>
        <w:t> </w:t>
      </w:r>
      <w:r>
        <w:rPr>
          <w:sz w:val="22"/>
        </w:rPr>
        <w:t>development</w:t>
      </w:r>
      <w:r>
        <w:rPr>
          <w:spacing w:val="-13"/>
          <w:sz w:val="22"/>
        </w:rPr>
        <w:t> </w:t>
      </w:r>
      <w:r>
        <w:rPr>
          <w:sz w:val="22"/>
        </w:rPr>
        <w:t>opportunities</w:t>
      </w:r>
      <w:r>
        <w:rPr>
          <w:spacing w:val="-11"/>
          <w:sz w:val="22"/>
        </w:rPr>
        <w:t> </w:t>
      </w:r>
      <w:r>
        <w:rPr>
          <w:sz w:val="22"/>
        </w:rPr>
        <w:t>for all school staff related to family engagement and acceptance.</w:t>
      </w:r>
    </w:p>
    <w:p>
      <w:pPr>
        <w:pStyle w:val="ListParagraph"/>
        <w:numPr>
          <w:ilvl w:val="0"/>
          <w:numId w:val="3"/>
        </w:numPr>
        <w:tabs>
          <w:tab w:pos="1178" w:val="left" w:leader="none"/>
          <w:tab w:pos="1180" w:val="left" w:leader="none"/>
        </w:tabs>
        <w:spacing w:line="276" w:lineRule="auto" w:before="0" w:after="0"/>
        <w:ind w:left="1180" w:right="637" w:hanging="361"/>
        <w:jc w:val="both"/>
        <w:rPr>
          <w:sz w:val="22"/>
        </w:rPr>
      </w:pPr>
      <w:r>
        <w:rPr>
          <w:sz w:val="22"/>
        </w:rPr>
        <w:t>Collect data to better understand the experiences of LGBTQ BIPOC students, who are disproportionately represented and involved in multiple systems, and often lack comprehensive, aligned support.</w:t>
      </w:r>
    </w:p>
    <w:p>
      <w:pPr>
        <w:pStyle w:val="ListParagraph"/>
        <w:numPr>
          <w:ilvl w:val="0"/>
          <w:numId w:val="3"/>
        </w:numPr>
        <w:tabs>
          <w:tab w:pos="1178" w:val="left" w:leader="none"/>
          <w:tab w:pos="1180" w:val="left" w:leader="none"/>
        </w:tabs>
        <w:spacing w:line="276" w:lineRule="auto" w:before="0" w:after="0"/>
        <w:ind w:left="1180" w:right="639" w:hanging="361"/>
        <w:jc w:val="both"/>
        <w:rPr>
          <w:sz w:val="22"/>
        </w:rPr>
      </w:pPr>
      <w:r>
        <w:rPr>
          <w:sz w:val="22"/>
        </w:rPr>
        <w:t>Support education efforts to expand policies and update guidance surrounding support for transgender and nonbinary students.</w:t>
      </w:r>
    </w:p>
    <w:p>
      <w:pPr>
        <w:pStyle w:val="ListParagraph"/>
        <w:numPr>
          <w:ilvl w:val="0"/>
          <w:numId w:val="3"/>
        </w:numPr>
        <w:tabs>
          <w:tab w:pos="1178" w:val="left" w:leader="none"/>
          <w:tab w:pos="1180" w:val="left" w:leader="none"/>
        </w:tabs>
        <w:spacing w:line="276" w:lineRule="auto" w:before="0" w:after="0"/>
        <w:ind w:left="1180" w:right="637" w:hanging="361"/>
        <w:jc w:val="both"/>
        <w:rPr>
          <w:sz w:val="22"/>
        </w:rPr>
      </w:pPr>
      <w:r>
        <w:rPr>
          <w:sz w:val="22"/>
        </w:rPr>
        <w:t>Support an annual convening of education agencies, including the Department of Early Education</w:t>
      </w:r>
      <w:r>
        <w:rPr>
          <w:spacing w:val="-13"/>
          <w:sz w:val="22"/>
        </w:rPr>
        <w:t> </w:t>
      </w:r>
      <w:r>
        <w:rPr>
          <w:sz w:val="22"/>
        </w:rPr>
        <w:t>and</w:t>
      </w:r>
      <w:r>
        <w:rPr>
          <w:spacing w:val="-12"/>
          <w:sz w:val="22"/>
        </w:rPr>
        <w:t> </w:t>
      </w:r>
      <w:r>
        <w:rPr>
          <w:sz w:val="22"/>
        </w:rPr>
        <w:t>Care,</w:t>
      </w:r>
      <w:r>
        <w:rPr>
          <w:spacing w:val="-13"/>
          <w:sz w:val="22"/>
        </w:rPr>
        <w:t> </w:t>
      </w:r>
      <w:r>
        <w:rPr>
          <w:sz w:val="22"/>
        </w:rPr>
        <w:t>Massachusetts</w:t>
      </w:r>
      <w:r>
        <w:rPr>
          <w:spacing w:val="-12"/>
          <w:sz w:val="22"/>
        </w:rPr>
        <w:t> </w:t>
      </w:r>
      <w:r>
        <w:rPr>
          <w:sz w:val="22"/>
        </w:rPr>
        <w:t>Department</w:t>
      </w:r>
      <w:r>
        <w:rPr>
          <w:spacing w:val="-13"/>
          <w:sz w:val="22"/>
        </w:rPr>
        <w:t> </w:t>
      </w:r>
      <w:r>
        <w:rPr>
          <w:sz w:val="22"/>
        </w:rPr>
        <w:t>of</w:t>
      </w:r>
      <w:r>
        <w:rPr>
          <w:spacing w:val="-12"/>
          <w:sz w:val="22"/>
        </w:rPr>
        <w:t> </w:t>
      </w:r>
      <w:r>
        <w:rPr>
          <w:sz w:val="22"/>
        </w:rPr>
        <w:t>Elementary</w:t>
      </w:r>
      <w:r>
        <w:rPr>
          <w:spacing w:val="-12"/>
          <w:sz w:val="22"/>
        </w:rPr>
        <w:t> </w:t>
      </w:r>
      <w:r>
        <w:rPr>
          <w:sz w:val="22"/>
        </w:rPr>
        <w:t>and</w:t>
      </w:r>
      <w:r>
        <w:rPr>
          <w:spacing w:val="-13"/>
          <w:sz w:val="22"/>
        </w:rPr>
        <w:t> </w:t>
      </w:r>
      <w:r>
        <w:rPr>
          <w:sz w:val="22"/>
        </w:rPr>
        <w:t>Secondary</w:t>
      </w:r>
      <w:r>
        <w:rPr>
          <w:spacing w:val="-11"/>
          <w:sz w:val="22"/>
        </w:rPr>
        <w:t> </w:t>
      </w:r>
      <w:r>
        <w:rPr>
          <w:sz w:val="22"/>
        </w:rPr>
        <w:t>Education,</w:t>
      </w:r>
      <w:r>
        <w:rPr>
          <w:spacing w:val="-12"/>
          <w:sz w:val="22"/>
        </w:rPr>
        <w:t> </w:t>
      </w:r>
      <w:r>
        <w:rPr>
          <w:sz w:val="22"/>
        </w:rPr>
        <w:t>and Massachusetts Department of Higher Education, to collaboratively explore a continuum of support for LGBTQ students and families as they progress through the education systems in the Commonwealth.</w:t>
      </w:r>
    </w:p>
    <w:p>
      <w:pPr>
        <w:spacing w:after="0" w:line="276" w:lineRule="auto"/>
        <w:jc w:val="both"/>
        <w:rPr>
          <w:sz w:val="22"/>
        </w:rPr>
        <w:sectPr>
          <w:headerReference w:type="default" r:id="rId22"/>
          <w:footerReference w:type="default" r:id="rId23"/>
          <w:pgSz w:w="12240" w:h="15840"/>
          <w:pgMar w:header="0" w:footer="1061" w:top="1140" w:bottom="1260" w:left="980" w:right="1160"/>
        </w:sectPr>
      </w:pPr>
    </w:p>
    <w:p>
      <w:pPr>
        <w:pStyle w:val="BodyText"/>
        <w:spacing w:before="29"/>
      </w:pPr>
    </w:p>
    <w:p>
      <w:pPr>
        <w:pStyle w:val="BodyText"/>
        <w:spacing w:line="276" w:lineRule="auto"/>
        <w:ind w:left="603" w:right="420"/>
        <w:jc w:val="both"/>
      </w:pPr>
      <w:bookmarkStart w:name="Destigmatizing Public Health (2023)" w:id="37"/>
      <w:bookmarkEnd w:id="37"/>
      <w:r>
        <w:rPr/>
      </w:r>
      <w:r>
        <w:rPr/>
        <w:t>The</w:t>
      </w:r>
      <w:r>
        <w:rPr>
          <w:spacing w:val="-13"/>
        </w:rPr>
        <w:t> </w:t>
      </w:r>
      <w:r>
        <w:rPr/>
        <w:t>public</w:t>
      </w:r>
      <w:r>
        <w:rPr>
          <w:spacing w:val="-12"/>
        </w:rPr>
        <w:t> </w:t>
      </w:r>
      <w:r>
        <w:rPr/>
        <w:t>health</w:t>
      </w:r>
      <w:r>
        <w:rPr>
          <w:spacing w:val="-13"/>
        </w:rPr>
        <w:t> </w:t>
      </w:r>
      <w:r>
        <w:rPr/>
        <w:t>crises</w:t>
      </w:r>
      <w:r>
        <w:rPr>
          <w:spacing w:val="-11"/>
        </w:rPr>
        <w:t> </w:t>
      </w:r>
      <w:r>
        <w:rPr/>
        <w:t>facing</w:t>
      </w:r>
      <w:r>
        <w:rPr>
          <w:spacing w:val="-13"/>
        </w:rPr>
        <w:t> </w:t>
      </w:r>
      <w:r>
        <w:rPr/>
        <w:t>LGBTQ</w:t>
      </w:r>
      <w:r>
        <w:rPr>
          <w:spacing w:val="-12"/>
        </w:rPr>
        <w:t> </w:t>
      </w:r>
      <w:r>
        <w:rPr/>
        <w:t>youth</w:t>
      </w:r>
      <w:r>
        <w:rPr>
          <w:spacing w:val="-13"/>
        </w:rPr>
        <w:t> </w:t>
      </w:r>
      <w:r>
        <w:rPr/>
        <w:t>are</w:t>
      </w:r>
      <w:r>
        <w:rPr>
          <w:spacing w:val="-12"/>
        </w:rPr>
        <w:t> </w:t>
      </w:r>
      <w:r>
        <w:rPr/>
        <w:t>largely</w:t>
      </w:r>
      <w:r>
        <w:rPr>
          <w:spacing w:val="-13"/>
        </w:rPr>
        <w:t> </w:t>
      </w:r>
      <w:r>
        <w:rPr/>
        <w:t>not</w:t>
      </w:r>
      <w:r>
        <w:rPr>
          <w:spacing w:val="-12"/>
        </w:rPr>
        <w:t> </w:t>
      </w:r>
      <w:r>
        <w:rPr/>
        <w:t>because</w:t>
      </w:r>
      <w:r>
        <w:rPr>
          <w:spacing w:val="-12"/>
        </w:rPr>
        <w:t> </w:t>
      </w:r>
      <w:r>
        <w:rPr/>
        <w:t>of</w:t>
      </w:r>
      <w:r>
        <w:rPr>
          <w:spacing w:val="-12"/>
        </w:rPr>
        <w:t> </w:t>
      </w:r>
      <w:r>
        <w:rPr/>
        <w:t>individual</w:t>
      </w:r>
      <w:r>
        <w:rPr>
          <w:spacing w:val="-11"/>
        </w:rPr>
        <w:t> </w:t>
      </w:r>
      <w:r>
        <w:rPr/>
        <w:t>risk</w:t>
      </w:r>
      <w:r>
        <w:rPr>
          <w:spacing w:val="-13"/>
        </w:rPr>
        <w:t> </w:t>
      </w:r>
      <w:r>
        <w:rPr/>
        <w:t>factors,</w:t>
      </w:r>
      <w:r>
        <w:rPr>
          <w:spacing w:val="-11"/>
        </w:rPr>
        <w:t> </w:t>
      </w:r>
      <w:r>
        <w:rPr/>
        <w:t>but</w:t>
      </w:r>
      <w:r>
        <w:rPr>
          <w:spacing w:val="-13"/>
        </w:rPr>
        <w:t> </w:t>
      </w:r>
      <w:r>
        <w:rPr/>
        <w:t>rather systemic issues that affect how LGBTQ youth navigate the spaces in which they exist. LGBTQ youth often</w:t>
      </w:r>
      <w:r>
        <w:rPr>
          <w:spacing w:val="-4"/>
        </w:rPr>
        <w:t> </w:t>
      </w:r>
      <w:r>
        <w:rPr/>
        <w:t>live</w:t>
      </w:r>
      <w:r>
        <w:rPr>
          <w:spacing w:val="-3"/>
        </w:rPr>
        <w:t> </w:t>
      </w:r>
      <w:r>
        <w:rPr/>
        <w:t>in</w:t>
      </w:r>
      <w:r>
        <w:rPr>
          <w:spacing w:val="-3"/>
        </w:rPr>
        <w:t> </w:t>
      </w:r>
      <w:r>
        <w:rPr/>
        <w:t>environments</w:t>
      </w:r>
      <w:r>
        <w:rPr>
          <w:spacing w:val="-1"/>
        </w:rPr>
        <w:t> </w:t>
      </w:r>
      <w:r>
        <w:rPr/>
        <w:t>hostile</w:t>
      </w:r>
      <w:r>
        <w:rPr>
          <w:spacing w:val="-3"/>
        </w:rPr>
        <w:t> </w:t>
      </w:r>
      <w:r>
        <w:rPr/>
        <w:t>to</w:t>
      </w:r>
      <w:r>
        <w:rPr>
          <w:spacing w:val="-2"/>
        </w:rPr>
        <w:t> </w:t>
      </w:r>
      <w:r>
        <w:rPr/>
        <w:t>their</w:t>
      </w:r>
      <w:r>
        <w:rPr>
          <w:spacing w:val="-4"/>
        </w:rPr>
        <w:t> </w:t>
      </w:r>
      <w:r>
        <w:rPr/>
        <w:t>existence,</w:t>
      </w:r>
      <w:r>
        <w:rPr>
          <w:spacing w:val="-2"/>
        </w:rPr>
        <w:t> </w:t>
      </w:r>
      <w:r>
        <w:rPr/>
        <w:t>whether</w:t>
      </w:r>
      <w:r>
        <w:rPr>
          <w:spacing w:val="-3"/>
        </w:rPr>
        <w:t> </w:t>
      </w:r>
      <w:r>
        <w:rPr/>
        <w:t>because</w:t>
      </w:r>
      <w:r>
        <w:rPr>
          <w:spacing w:val="-4"/>
        </w:rPr>
        <w:t> </w:t>
      </w:r>
      <w:r>
        <w:rPr/>
        <w:t>of</w:t>
      </w:r>
      <w:r>
        <w:rPr>
          <w:spacing w:val="-3"/>
        </w:rPr>
        <w:t> </w:t>
      </w:r>
      <w:r>
        <w:rPr/>
        <w:t>the</w:t>
      </w:r>
      <w:r>
        <w:rPr>
          <w:spacing w:val="-3"/>
        </w:rPr>
        <w:t> </w:t>
      </w:r>
      <w:r>
        <w:rPr/>
        <w:t>current</w:t>
      </w:r>
      <w:r>
        <w:rPr>
          <w:spacing w:val="-3"/>
        </w:rPr>
        <w:t> </w:t>
      </w:r>
      <w:r>
        <w:rPr/>
        <w:t>political</w:t>
      </w:r>
      <w:r>
        <w:rPr>
          <w:spacing w:val="-4"/>
        </w:rPr>
        <w:t> </w:t>
      </w:r>
      <w:r>
        <w:rPr/>
        <w:t>climate, unsupportive</w:t>
      </w:r>
      <w:r>
        <w:rPr>
          <w:spacing w:val="-13"/>
        </w:rPr>
        <w:t> </w:t>
      </w:r>
      <w:r>
        <w:rPr/>
        <w:t>families,</w:t>
      </w:r>
      <w:r>
        <w:rPr>
          <w:spacing w:val="-12"/>
        </w:rPr>
        <w:t> </w:t>
      </w:r>
      <w:r>
        <w:rPr/>
        <w:t>or</w:t>
      </w:r>
      <w:r>
        <w:rPr>
          <w:spacing w:val="-12"/>
        </w:rPr>
        <w:t> </w:t>
      </w:r>
      <w:r>
        <w:rPr/>
        <w:t>a</w:t>
      </w:r>
      <w:r>
        <w:rPr>
          <w:spacing w:val="-10"/>
        </w:rPr>
        <w:t> </w:t>
      </w:r>
      <w:r>
        <w:rPr/>
        <w:t>lack</w:t>
      </w:r>
      <w:r>
        <w:rPr>
          <w:spacing w:val="-13"/>
        </w:rPr>
        <w:t> </w:t>
      </w:r>
      <w:r>
        <w:rPr/>
        <w:t>of</w:t>
      </w:r>
      <w:r>
        <w:rPr>
          <w:spacing w:val="-12"/>
        </w:rPr>
        <w:t> </w:t>
      </w:r>
      <w:r>
        <w:rPr/>
        <w:t>LGBTQ</w:t>
      </w:r>
      <w:r>
        <w:rPr>
          <w:spacing w:val="-12"/>
        </w:rPr>
        <w:t> </w:t>
      </w:r>
      <w:r>
        <w:rPr/>
        <w:t>community</w:t>
      </w:r>
      <w:r>
        <w:rPr>
          <w:spacing w:val="-13"/>
        </w:rPr>
        <w:t> </w:t>
      </w:r>
      <w:r>
        <w:rPr/>
        <w:t>and</w:t>
      </w:r>
      <w:r>
        <w:rPr>
          <w:spacing w:val="-12"/>
        </w:rPr>
        <w:t> </w:t>
      </w:r>
      <w:r>
        <w:rPr/>
        <w:t>role</w:t>
      </w:r>
      <w:r>
        <w:rPr>
          <w:spacing w:val="-12"/>
        </w:rPr>
        <w:t> </w:t>
      </w:r>
      <w:r>
        <w:rPr/>
        <w:t>models.</w:t>
      </w:r>
      <w:r>
        <w:rPr>
          <w:spacing w:val="-13"/>
        </w:rPr>
        <w:t> </w:t>
      </w:r>
      <w:r>
        <w:rPr/>
        <w:t>The</w:t>
      </w:r>
      <w:r>
        <w:rPr>
          <w:spacing w:val="-12"/>
        </w:rPr>
        <w:t> </w:t>
      </w:r>
      <w:r>
        <w:rPr/>
        <w:t>future</w:t>
      </w:r>
      <w:r>
        <w:rPr>
          <w:spacing w:val="-10"/>
        </w:rPr>
        <w:t> </w:t>
      </w:r>
      <w:r>
        <w:rPr/>
        <w:t>is</w:t>
      </w:r>
      <w:r>
        <w:rPr>
          <w:spacing w:val="-12"/>
        </w:rPr>
        <w:t> </w:t>
      </w:r>
      <w:r>
        <w:rPr/>
        <w:t>uncertain</w:t>
      </w:r>
      <w:r>
        <w:rPr>
          <w:spacing w:val="-12"/>
        </w:rPr>
        <w:t> </w:t>
      </w:r>
      <w:r>
        <w:rPr/>
        <w:t>for</w:t>
      </w:r>
      <w:r>
        <w:rPr>
          <w:spacing w:val="-12"/>
        </w:rPr>
        <w:t> </w:t>
      </w:r>
      <w:r>
        <w:rPr/>
        <w:t>many youths,</w:t>
      </w:r>
      <w:r>
        <w:rPr>
          <w:spacing w:val="-11"/>
        </w:rPr>
        <w:t> </w:t>
      </w:r>
      <w:r>
        <w:rPr/>
        <w:t>and</w:t>
      </w:r>
      <w:r>
        <w:rPr>
          <w:spacing w:val="-10"/>
        </w:rPr>
        <w:t> </w:t>
      </w:r>
      <w:r>
        <w:rPr/>
        <w:t>it</w:t>
      </w:r>
      <w:r>
        <w:rPr>
          <w:spacing w:val="-11"/>
        </w:rPr>
        <w:t> </w:t>
      </w:r>
      <w:r>
        <w:rPr/>
        <w:t>can</w:t>
      </w:r>
      <w:r>
        <w:rPr>
          <w:spacing w:val="-10"/>
        </w:rPr>
        <w:t> </w:t>
      </w:r>
      <w:r>
        <w:rPr/>
        <w:t>be</w:t>
      </w:r>
      <w:r>
        <w:rPr>
          <w:spacing w:val="-10"/>
        </w:rPr>
        <w:t> </w:t>
      </w:r>
      <w:r>
        <w:rPr/>
        <w:t>difficult</w:t>
      </w:r>
      <w:r>
        <w:rPr>
          <w:spacing w:val="-12"/>
        </w:rPr>
        <w:t> </w:t>
      </w:r>
      <w:r>
        <w:rPr/>
        <w:t>for</w:t>
      </w:r>
      <w:r>
        <w:rPr>
          <w:spacing w:val="-11"/>
        </w:rPr>
        <w:t> </w:t>
      </w:r>
      <w:r>
        <w:rPr/>
        <w:t>them</w:t>
      </w:r>
      <w:r>
        <w:rPr>
          <w:spacing w:val="-10"/>
        </w:rPr>
        <w:t> </w:t>
      </w:r>
      <w:r>
        <w:rPr/>
        <w:t>to</w:t>
      </w:r>
      <w:r>
        <w:rPr>
          <w:spacing w:val="-10"/>
        </w:rPr>
        <w:t> </w:t>
      </w:r>
      <w:r>
        <w:rPr/>
        <w:t>envision</w:t>
      </w:r>
      <w:r>
        <w:rPr>
          <w:spacing w:val="-11"/>
        </w:rPr>
        <w:t> </w:t>
      </w:r>
      <w:r>
        <w:rPr/>
        <w:t>a</w:t>
      </w:r>
      <w:r>
        <w:rPr>
          <w:spacing w:val="-11"/>
        </w:rPr>
        <w:t> </w:t>
      </w:r>
      <w:r>
        <w:rPr/>
        <w:t>world</w:t>
      </w:r>
      <w:r>
        <w:rPr>
          <w:spacing w:val="-11"/>
        </w:rPr>
        <w:t> </w:t>
      </w:r>
      <w:r>
        <w:rPr/>
        <w:t>where</w:t>
      </w:r>
      <w:r>
        <w:rPr>
          <w:spacing w:val="-10"/>
        </w:rPr>
        <w:t> </w:t>
      </w:r>
      <w:r>
        <w:rPr/>
        <w:t>they</w:t>
      </w:r>
      <w:r>
        <w:rPr>
          <w:spacing w:val="-11"/>
        </w:rPr>
        <w:t> </w:t>
      </w:r>
      <w:r>
        <w:rPr/>
        <w:t>are</w:t>
      </w:r>
      <w:r>
        <w:rPr>
          <w:spacing w:val="-11"/>
        </w:rPr>
        <w:t> </w:t>
      </w:r>
      <w:r>
        <w:rPr/>
        <w:t>able</w:t>
      </w:r>
      <w:r>
        <w:rPr>
          <w:spacing w:val="-10"/>
        </w:rPr>
        <w:t> </w:t>
      </w:r>
      <w:r>
        <w:rPr/>
        <w:t>to</w:t>
      </w:r>
      <w:r>
        <w:rPr>
          <w:spacing w:val="-10"/>
        </w:rPr>
        <w:t> </w:t>
      </w:r>
      <w:r>
        <w:rPr/>
        <w:t>exist</w:t>
      </w:r>
      <w:r>
        <w:rPr>
          <w:spacing w:val="-12"/>
        </w:rPr>
        <w:t> </w:t>
      </w:r>
      <w:r>
        <w:rPr/>
        <w:t>freely</w:t>
      </w:r>
      <w:r>
        <w:rPr>
          <w:spacing w:val="-11"/>
        </w:rPr>
        <w:t> </w:t>
      </w:r>
      <w:r>
        <w:rPr/>
        <w:t>and</w:t>
      </w:r>
      <w:r>
        <w:rPr>
          <w:spacing w:val="-11"/>
        </w:rPr>
        <w:t> </w:t>
      </w:r>
      <w:r>
        <w:rPr/>
        <w:t>safely as queer and trans adults. However, despite the hostility, LGBTQ youth continue to resist, challenge, and change the relationships, communities, institutions, and systems that act as oppressive forces.</w:t>
      </w:r>
      <w:r>
        <w:rPr>
          <w:vertAlign w:val="superscript"/>
        </w:rPr>
        <w:t>1</w:t>
      </w:r>
      <w:r>
        <w:rPr>
          <w:vertAlign w:val="baseline"/>
        </w:rPr>
        <w:t> Public</w:t>
      </w:r>
      <w:r>
        <w:rPr>
          <w:spacing w:val="-3"/>
          <w:vertAlign w:val="baseline"/>
        </w:rPr>
        <w:t> </w:t>
      </w:r>
      <w:r>
        <w:rPr>
          <w:vertAlign w:val="baseline"/>
        </w:rPr>
        <w:t>health</w:t>
      </w:r>
      <w:r>
        <w:rPr>
          <w:spacing w:val="-3"/>
          <w:vertAlign w:val="baseline"/>
        </w:rPr>
        <w:t> </w:t>
      </w:r>
      <w:r>
        <w:rPr>
          <w:vertAlign w:val="baseline"/>
        </w:rPr>
        <w:t>has</w:t>
      </w:r>
      <w:r>
        <w:rPr>
          <w:spacing w:val="-4"/>
          <w:vertAlign w:val="baseline"/>
        </w:rPr>
        <w:t> </w:t>
      </w:r>
      <w:r>
        <w:rPr>
          <w:vertAlign w:val="baseline"/>
        </w:rPr>
        <w:t>an</w:t>
      </w:r>
      <w:r>
        <w:rPr>
          <w:spacing w:val="-4"/>
          <w:vertAlign w:val="baseline"/>
        </w:rPr>
        <w:t> </w:t>
      </w:r>
      <w:r>
        <w:rPr>
          <w:vertAlign w:val="baseline"/>
        </w:rPr>
        <w:t>obligation</w:t>
      </w:r>
      <w:r>
        <w:rPr>
          <w:spacing w:val="-3"/>
          <w:vertAlign w:val="baseline"/>
        </w:rPr>
        <w:t> </w:t>
      </w:r>
      <w:r>
        <w:rPr>
          <w:vertAlign w:val="baseline"/>
        </w:rPr>
        <w:t>to</w:t>
      </w:r>
      <w:r>
        <w:rPr>
          <w:spacing w:val="-4"/>
          <w:vertAlign w:val="baseline"/>
        </w:rPr>
        <w:t> </w:t>
      </w:r>
      <w:r>
        <w:rPr>
          <w:vertAlign w:val="baseline"/>
        </w:rPr>
        <w:t>support</w:t>
      </w:r>
      <w:r>
        <w:rPr>
          <w:spacing w:val="-4"/>
          <w:vertAlign w:val="baseline"/>
        </w:rPr>
        <w:t> </w:t>
      </w:r>
      <w:r>
        <w:rPr>
          <w:vertAlign w:val="baseline"/>
        </w:rPr>
        <w:t>and</w:t>
      </w:r>
      <w:r>
        <w:rPr>
          <w:spacing w:val="-3"/>
          <w:vertAlign w:val="baseline"/>
        </w:rPr>
        <w:t> </w:t>
      </w:r>
      <w:r>
        <w:rPr>
          <w:vertAlign w:val="baseline"/>
        </w:rPr>
        <w:t>uplift</w:t>
      </w:r>
      <w:r>
        <w:rPr>
          <w:spacing w:val="-3"/>
          <w:vertAlign w:val="baseline"/>
        </w:rPr>
        <w:t> </w:t>
      </w:r>
      <w:r>
        <w:rPr>
          <w:vertAlign w:val="baseline"/>
        </w:rPr>
        <w:t>LGBTQ</w:t>
      </w:r>
      <w:r>
        <w:rPr>
          <w:spacing w:val="-3"/>
          <w:vertAlign w:val="baseline"/>
        </w:rPr>
        <w:t> </w:t>
      </w:r>
      <w:r>
        <w:rPr>
          <w:vertAlign w:val="baseline"/>
        </w:rPr>
        <w:t>youth</w:t>
      </w:r>
      <w:r>
        <w:rPr>
          <w:spacing w:val="-2"/>
          <w:vertAlign w:val="baseline"/>
        </w:rPr>
        <w:t> </w:t>
      </w:r>
      <w:r>
        <w:rPr>
          <w:vertAlign w:val="baseline"/>
        </w:rPr>
        <w:t>as</w:t>
      </w:r>
      <w:r>
        <w:rPr>
          <w:spacing w:val="-4"/>
          <w:vertAlign w:val="baseline"/>
        </w:rPr>
        <w:t> </w:t>
      </w:r>
      <w:r>
        <w:rPr>
          <w:vertAlign w:val="baseline"/>
        </w:rPr>
        <w:t>they</w:t>
      </w:r>
      <w:r>
        <w:rPr>
          <w:spacing w:val="-3"/>
          <w:vertAlign w:val="baseline"/>
        </w:rPr>
        <w:t> </w:t>
      </w:r>
      <w:r>
        <w:rPr>
          <w:vertAlign w:val="baseline"/>
        </w:rPr>
        <w:t>resist</w:t>
      </w:r>
      <w:r>
        <w:rPr>
          <w:spacing w:val="-3"/>
          <w:vertAlign w:val="baseline"/>
        </w:rPr>
        <w:t> </w:t>
      </w:r>
      <w:r>
        <w:rPr>
          <w:vertAlign w:val="baseline"/>
        </w:rPr>
        <w:t>unjust</w:t>
      </w:r>
      <w:r>
        <w:rPr>
          <w:spacing w:val="-3"/>
          <w:vertAlign w:val="baseline"/>
        </w:rPr>
        <w:t> </w:t>
      </w:r>
      <w:r>
        <w:rPr>
          <w:vertAlign w:val="baseline"/>
        </w:rPr>
        <w:t>and</w:t>
      </w:r>
      <w:r>
        <w:rPr>
          <w:spacing w:val="-3"/>
          <w:vertAlign w:val="baseline"/>
        </w:rPr>
        <w:t> </w:t>
      </w:r>
      <w:r>
        <w:rPr>
          <w:vertAlign w:val="baseline"/>
        </w:rPr>
        <w:t>oppressive structures.</w:t>
      </w:r>
      <w:r>
        <w:rPr>
          <w:vertAlign w:val="superscript"/>
        </w:rPr>
        <w:t>2</w:t>
      </w:r>
      <w:r>
        <w:rPr>
          <w:vertAlign w:val="baseline"/>
        </w:rPr>
        <w:t> In doing so, policymakers, providers, and educators can better pave the way for a future where all LGBTQ youth thrive.</w:t>
      </w:r>
    </w:p>
    <w:p>
      <w:pPr>
        <w:pStyle w:val="BodyText"/>
        <w:spacing w:line="276" w:lineRule="auto" w:before="239"/>
        <w:ind w:left="603" w:right="421"/>
        <w:jc w:val="both"/>
      </w:pPr>
      <w:r>
        <w:rPr/>
        <w:t>When working to develop policies and programs to address public health concerns, it is essential to understand</w:t>
      </w:r>
      <w:r>
        <w:rPr>
          <w:spacing w:val="-13"/>
        </w:rPr>
        <w:t> </w:t>
      </w:r>
      <w:r>
        <w:rPr/>
        <w:t>that</w:t>
      </w:r>
      <w:r>
        <w:rPr>
          <w:spacing w:val="-12"/>
        </w:rPr>
        <w:t> </w:t>
      </w:r>
      <w:r>
        <w:rPr/>
        <w:t>many</w:t>
      </w:r>
      <w:r>
        <w:rPr>
          <w:spacing w:val="-13"/>
        </w:rPr>
        <w:t> </w:t>
      </w:r>
      <w:r>
        <w:rPr/>
        <w:t>of</w:t>
      </w:r>
      <w:r>
        <w:rPr>
          <w:spacing w:val="-12"/>
        </w:rPr>
        <w:t> </w:t>
      </w:r>
      <w:r>
        <w:rPr/>
        <w:t>the</w:t>
      </w:r>
      <w:r>
        <w:rPr>
          <w:spacing w:val="-13"/>
        </w:rPr>
        <w:t> </w:t>
      </w:r>
      <w:r>
        <w:rPr/>
        <w:t>issues</w:t>
      </w:r>
      <w:r>
        <w:rPr>
          <w:spacing w:val="-12"/>
        </w:rPr>
        <w:t> </w:t>
      </w:r>
      <w:r>
        <w:rPr/>
        <w:t>highlighted</w:t>
      </w:r>
      <w:r>
        <w:rPr>
          <w:spacing w:val="-13"/>
        </w:rPr>
        <w:t> </w:t>
      </w:r>
      <w:r>
        <w:rPr/>
        <w:t>in</w:t>
      </w:r>
      <w:r>
        <w:rPr>
          <w:spacing w:val="-12"/>
        </w:rPr>
        <w:t> </w:t>
      </w:r>
      <w:r>
        <w:rPr/>
        <w:t>this</w:t>
      </w:r>
      <w:r>
        <w:rPr>
          <w:spacing w:val="-12"/>
        </w:rPr>
        <w:t> </w:t>
      </w:r>
      <w:r>
        <w:rPr/>
        <w:t>section</w:t>
      </w:r>
      <w:r>
        <w:rPr>
          <w:spacing w:val="-13"/>
        </w:rPr>
        <w:t> </w:t>
      </w:r>
      <w:r>
        <w:rPr/>
        <w:t>are</w:t>
      </w:r>
      <w:r>
        <w:rPr>
          <w:spacing w:val="-12"/>
        </w:rPr>
        <w:t> </w:t>
      </w:r>
      <w:r>
        <w:rPr/>
        <w:t>compounded</w:t>
      </w:r>
      <w:r>
        <w:rPr>
          <w:spacing w:val="-13"/>
        </w:rPr>
        <w:t> </w:t>
      </w:r>
      <w:r>
        <w:rPr/>
        <w:t>by</w:t>
      </w:r>
      <w:r>
        <w:rPr>
          <w:spacing w:val="-12"/>
        </w:rPr>
        <w:t> </w:t>
      </w:r>
      <w:r>
        <w:rPr/>
        <w:t>intersecting</w:t>
      </w:r>
      <w:r>
        <w:rPr>
          <w:spacing w:val="-13"/>
        </w:rPr>
        <w:t> </w:t>
      </w:r>
      <w:r>
        <w:rPr/>
        <w:t>systems of oppression, including poverty, racism, homophobia, transphobia, and ableism that must simultaneously</w:t>
      </w:r>
      <w:r>
        <w:rPr>
          <w:spacing w:val="-6"/>
        </w:rPr>
        <w:t> </w:t>
      </w:r>
      <w:r>
        <w:rPr/>
        <w:t>be</w:t>
      </w:r>
      <w:r>
        <w:rPr>
          <w:spacing w:val="-7"/>
        </w:rPr>
        <w:t> </w:t>
      </w:r>
      <w:r>
        <w:rPr/>
        <w:t>addressed.</w:t>
      </w:r>
      <w:r>
        <w:rPr>
          <w:spacing w:val="-7"/>
        </w:rPr>
        <w:t> </w:t>
      </w:r>
      <w:r>
        <w:rPr/>
        <w:t>Tackling</w:t>
      </w:r>
      <w:r>
        <w:rPr>
          <w:spacing w:val="-7"/>
        </w:rPr>
        <w:t> </w:t>
      </w:r>
      <w:r>
        <w:rPr/>
        <w:t>such</w:t>
      </w:r>
      <w:r>
        <w:rPr>
          <w:spacing w:val="-5"/>
        </w:rPr>
        <w:t> </w:t>
      </w:r>
      <w:r>
        <w:rPr/>
        <w:t>large</w:t>
      </w:r>
      <w:r>
        <w:rPr>
          <w:spacing w:val="-7"/>
        </w:rPr>
        <w:t> </w:t>
      </w:r>
      <w:r>
        <w:rPr/>
        <w:t>structural</w:t>
      </w:r>
      <w:r>
        <w:rPr>
          <w:spacing w:val="-6"/>
        </w:rPr>
        <w:t> </w:t>
      </w:r>
      <w:r>
        <w:rPr/>
        <w:t>issues</w:t>
      </w:r>
      <w:r>
        <w:rPr>
          <w:spacing w:val="-5"/>
        </w:rPr>
        <w:t> </w:t>
      </w:r>
      <w:r>
        <w:rPr/>
        <w:t>may</w:t>
      </w:r>
      <w:r>
        <w:rPr>
          <w:spacing w:val="-6"/>
        </w:rPr>
        <w:t> </w:t>
      </w:r>
      <w:r>
        <w:rPr/>
        <w:t>seem</w:t>
      </w:r>
      <w:r>
        <w:rPr>
          <w:spacing w:val="-5"/>
        </w:rPr>
        <w:t> </w:t>
      </w:r>
      <w:r>
        <w:rPr/>
        <w:t>unfathomable,</w:t>
      </w:r>
      <w:r>
        <w:rPr>
          <w:spacing w:val="-5"/>
        </w:rPr>
        <w:t> </w:t>
      </w:r>
      <w:r>
        <w:rPr/>
        <w:t>however, there are actions that can be taken in the meantime to continue providing support to LGBTQ youth and</w:t>
      </w:r>
      <w:r>
        <w:rPr>
          <w:spacing w:val="-13"/>
        </w:rPr>
        <w:t> </w:t>
      </w:r>
      <w:r>
        <w:rPr/>
        <w:t>begin</w:t>
      </w:r>
      <w:r>
        <w:rPr>
          <w:spacing w:val="-12"/>
        </w:rPr>
        <w:t> </w:t>
      </w:r>
      <w:r>
        <w:rPr/>
        <w:t>shifting</w:t>
      </w:r>
      <w:r>
        <w:rPr>
          <w:spacing w:val="-13"/>
        </w:rPr>
        <w:t> </w:t>
      </w:r>
      <w:r>
        <w:rPr/>
        <w:t>the</w:t>
      </w:r>
      <w:r>
        <w:rPr>
          <w:spacing w:val="-12"/>
        </w:rPr>
        <w:t> </w:t>
      </w:r>
      <w:r>
        <w:rPr/>
        <w:t>cultural</w:t>
      </w:r>
      <w:r>
        <w:rPr>
          <w:spacing w:val="-13"/>
        </w:rPr>
        <w:t> </w:t>
      </w:r>
      <w:r>
        <w:rPr/>
        <w:t>norms</w:t>
      </w:r>
      <w:r>
        <w:rPr>
          <w:spacing w:val="-12"/>
        </w:rPr>
        <w:t> </w:t>
      </w:r>
      <w:r>
        <w:rPr/>
        <w:t>that</w:t>
      </w:r>
      <w:r>
        <w:rPr>
          <w:spacing w:val="-13"/>
        </w:rPr>
        <w:t> </w:t>
      </w:r>
      <w:r>
        <w:rPr/>
        <w:t>will</w:t>
      </w:r>
      <w:r>
        <w:rPr>
          <w:spacing w:val="-12"/>
        </w:rPr>
        <w:t> </w:t>
      </w:r>
      <w:r>
        <w:rPr/>
        <w:t>eventually</w:t>
      </w:r>
      <w:r>
        <w:rPr>
          <w:spacing w:val="-12"/>
        </w:rPr>
        <w:t> </w:t>
      </w:r>
      <w:r>
        <w:rPr/>
        <w:t>improve</w:t>
      </w:r>
      <w:r>
        <w:rPr>
          <w:spacing w:val="-13"/>
        </w:rPr>
        <w:t> </w:t>
      </w:r>
      <w:r>
        <w:rPr/>
        <w:t>health</w:t>
      </w:r>
      <w:r>
        <w:rPr>
          <w:spacing w:val="-12"/>
        </w:rPr>
        <w:t> </w:t>
      </w:r>
      <w:r>
        <w:rPr/>
        <w:t>outcomes</w:t>
      </w:r>
      <w:r>
        <w:rPr>
          <w:spacing w:val="-13"/>
        </w:rPr>
        <w:t> </w:t>
      </w:r>
      <w:r>
        <w:rPr/>
        <w:t>for</w:t>
      </w:r>
      <w:r>
        <w:rPr>
          <w:spacing w:val="-12"/>
        </w:rPr>
        <w:t> </w:t>
      </w:r>
      <w:r>
        <w:rPr/>
        <w:t>all</w:t>
      </w:r>
      <w:r>
        <w:rPr>
          <w:spacing w:val="-13"/>
        </w:rPr>
        <w:t> </w:t>
      </w:r>
      <w:r>
        <w:rPr/>
        <w:t>communities.</w:t>
      </w:r>
    </w:p>
    <w:p>
      <w:pPr>
        <w:spacing w:before="239"/>
        <w:ind w:left="604" w:right="0" w:firstLine="0"/>
        <w:jc w:val="both"/>
        <w:rPr>
          <w:sz w:val="26"/>
        </w:rPr>
      </w:pPr>
      <w:bookmarkStart w:name="FY 2025 Recommendations to the Governor " w:id="38"/>
      <w:bookmarkEnd w:id="38"/>
      <w:r>
        <w:rPr/>
      </w:r>
      <w:r>
        <w:rPr>
          <w:color w:val="404040"/>
          <w:sz w:val="26"/>
        </w:rPr>
        <w:t>FY</w:t>
      </w:r>
      <w:r>
        <w:rPr>
          <w:color w:val="404040"/>
          <w:spacing w:val="-5"/>
          <w:sz w:val="26"/>
        </w:rPr>
        <w:t> </w:t>
      </w:r>
      <w:r>
        <w:rPr>
          <w:color w:val="404040"/>
          <w:sz w:val="26"/>
        </w:rPr>
        <w:t>2025</w:t>
      </w:r>
      <w:r>
        <w:rPr>
          <w:color w:val="404040"/>
          <w:spacing w:val="-3"/>
          <w:sz w:val="26"/>
        </w:rPr>
        <w:t> </w:t>
      </w:r>
      <w:r>
        <w:rPr>
          <w:color w:val="404040"/>
          <w:sz w:val="26"/>
        </w:rPr>
        <w:t>Recommendations</w:t>
      </w:r>
      <w:r>
        <w:rPr>
          <w:color w:val="404040"/>
          <w:spacing w:val="-3"/>
          <w:sz w:val="26"/>
        </w:rPr>
        <w:t> </w:t>
      </w:r>
      <w:r>
        <w:rPr>
          <w:color w:val="404040"/>
          <w:sz w:val="26"/>
        </w:rPr>
        <w:t>to</w:t>
      </w:r>
      <w:r>
        <w:rPr>
          <w:color w:val="404040"/>
          <w:spacing w:val="-4"/>
          <w:sz w:val="26"/>
        </w:rPr>
        <w:t> </w:t>
      </w:r>
      <w:r>
        <w:rPr>
          <w:color w:val="404040"/>
          <w:sz w:val="26"/>
        </w:rPr>
        <w:t>the</w:t>
      </w:r>
      <w:r>
        <w:rPr>
          <w:color w:val="404040"/>
          <w:spacing w:val="-5"/>
          <w:sz w:val="26"/>
        </w:rPr>
        <w:t> </w:t>
      </w:r>
      <w:r>
        <w:rPr>
          <w:color w:val="404040"/>
          <w:sz w:val="26"/>
        </w:rPr>
        <w:t>Governor</w:t>
      </w:r>
      <w:r>
        <w:rPr>
          <w:color w:val="404040"/>
          <w:spacing w:val="-4"/>
          <w:sz w:val="26"/>
        </w:rPr>
        <w:t> </w:t>
      </w:r>
      <w:r>
        <w:rPr>
          <w:color w:val="404040"/>
          <w:sz w:val="26"/>
        </w:rPr>
        <w:t>&amp;</w:t>
      </w:r>
      <w:r>
        <w:rPr>
          <w:color w:val="404040"/>
          <w:spacing w:val="-2"/>
          <w:sz w:val="26"/>
        </w:rPr>
        <w:t> </w:t>
      </w:r>
      <w:r>
        <w:rPr>
          <w:color w:val="404040"/>
          <w:sz w:val="26"/>
        </w:rPr>
        <w:t>Legislature</w:t>
      </w:r>
      <w:r>
        <w:rPr>
          <w:color w:val="404040"/>
          <w:spacing w:val="-3"/>
          <w:sz w:val="26"/>
        </w:rPr>
        <w:t> </w:t>
      </w:r>
      <w:r>
        <w:rPr>
          <w:color w:val="404040"/>
          <w:sz w:val="26"/>
        </w:rPr>
        <w:t>on</w:t>
      </w:r>
      <w:r>
        <w:rPr>
          <w:color w:val="404040"/>
          <w:spacing w:val="-4"/>
          <w:sz w:val="26"/>
        </w:rPr>
        <w:t> </w:t>
      </w:r>
      <w:r>
        <w:rPr>
          <w:color w:val="404040"/>
          <w:sz w:val="26"/>
        </w:rPr>
        <w:t>Public</w:t>
      </w:r>
      <w:r>
        <w:rPr>
          <w:color w:val="404040"/>
          <w:spacing w:val="-2"/>
          <w:sz w:val="26"/>
        </w:rPr>
        <w:t> Health</w:t>
      </w:r>
    </w:p>
    <w:p>
      <w:pPr>
        <w:pStyle w:val="ListParagraph"/>
        <w:numPr>
          <w:ilvl w:val="0"/>
          <w:numId w:val="4"/>
        </w:numPr>
        <w:tabs>
          <w:tab w:pos="1178" w:val="left" w:leader="none"/>
          <w:tab w:pos="1180" w:val="left" w:leader="none"/>
        </w:tabs>
        <w:spacing w:line="276" w:lineRule="auto" w:before="290" w:after="0"/>
        <w:ind w:left="1180" w:right="638" w:hanging="361"/>
        <w:jc w:val="both"/>
        <w:rPr>
          <w:sz w:val="22"/>
        </w:rPr>
      </w:pPr>
      <w:bookmarkStart w:name="1. Create and expand community-based pub" w:id="39"/>
      <w:bookmarkEnd w:id="39"/>
      <w:r>
        <w:rPr/>
      </w:r>
      <w:r>
        <w:rPr>
          <w:sz w:val="22"/>
        </w:rPr>
        <w:t>Create and expand community-based public health programming that is accessible and engaging to youth with the most barriers to access, with specific attention to youth in rural </w:t>
      </w:r>
      <w:r>
        <w:rPr>
          <w:spacing w:val="-2"/>
          <w:sz w:val="22"/>
        </w:rPr>
        <w:t>communities.</w:t>
      </w:r>
    </w:p>
    <w:p>
      <w:pPr>
        <w:pStyle w:val="ListParagraph"/>
        <w:numPr>
          <w:ilvl w:val="0"/>
          <w:numId w:val="4"/>
        </w:numPr>
        <w:tabs>
          <w:tab w:pos="1179" w:val="left" w:leader="none"/>
        </w:tabs>
        <w:spacing w:line="240" w:lineRule="auto" w:before="239" w:after="0"/>
        <w:ind w:left="1179" w:right="0" w:hanging="359"/>
        <w:jc w:val="left"/>
        <w:rPr>
          <w:sz w:val="22"/>
        </w:rPr>
      </w:pPr>
      <w:bookmarkStart w:name="2. Increase funding to organizations tha" w:id="40"/>
      <w:bookmarkEnd w:id="40"/>
      <w:r>
        <w:rPr/>
      </w:r>
      <w:r>
        <w:rPr>
          <w:sz w:val="22"/>
        </w:rPr>
        <w:t>Increase</w:t>
      </w:r>
      <w:r>
        <w:rPr>
          <w:spacing w:val="-10"/>
          <w:sz w:val="22"/>
        </w:rPr>
        <w:t> </w:t>
      </w:r>
      <w:r>
        <w:rPr>
          <w:sz w:val="22"/>
        </w:rPr>
        <w:t>funding</w:t>
      </w:r>
      <w:r>
        <w:rPr>
          <w:spacing w:val="-8"/>
          <w:sz w:val="22"/>
        </w:rPr>
        <w:t> </w:t>
      </w:r>
      <w:r>
        <w:rPr>
          <w:sz w:val="22"/>
        </w:rPr>
        <w:t>to</w:t>
      </w:r>
      <w:r>
        <w:rPr>
          <w:spacing w:val="-8"/>
          <w:sz w:val="22"/>
        </w:rPr>
        <w:t> </w:t>
      </w:r>
      <w:r>
        <w:rPr>
          <w:sz w:val="22"/>
        </w:rPr>
        <w:t>organizations</w:t>
      </w:r>
      <w:r>
        <w:rPr>
          <w:spacing w:val="-10"/>
          <w:sz w:val="22"/>
        </w:rPr>
        <w:t> </w:t>
      </w:r>
      <w:r>
        <w:rPr>
          <w:sz w:val="22"/>
        </w:rPr>
        <w:t>that</w:t>
      </w:r>
      <w:r>
        <w:rPr>
          <w:spacing w:val="-8"/>
          <w:sz w:val="22"/>
        </w:rPr>
        <w:t> </w:t>
      </w:r>
      <w:r>
        <w:rPr>
          <w:sz w:val="22"/>
        </w:rPr>
        <w:t>support</w:t>
      </w:r>
      <w:r>
        <w:rPr>
          <w:spacing w:val="-9"/>
          <w:sz w:val="22"/>
        </w:rPr>
        <w:t> </w:t>
      </w:r>
      <w:r>
        <w:rPr>
          <w:sz w:val="22"/>
        </w:rPr>
        <w:t>LGBTQ</w:t>
      </w:r>
      <w:r>
        <w:rPr>
          <w:spacing w:val="-8"/>
          <w:sz w:val="22"/>
        </w:rPr>
        <w:t> </w:t>
      </w:r>
      <w:r>
        <w:rPr>
          <w:sz w:val="22"/>
        </w:rPr>
        <w:t>survivors</w:t>
      </w:r>
      <w:r>
        <w:rPr>
          <w:spacing w:val="-9"/>
          <w:sz w:val="22"/>
        </w:rPr>
        <w:t> </w:t>
      </w:r>
      <w:r>
        <w:rPr>
          <w:sz w:val="22"/>
        </w:rPr>
        <w:t>of</w:t>
      </w:r>
      <w:r>
        <w:rPr>
          <w:spacing w:val="-9"/>
          <w:sz w:val="22"/>
        </w:rPr>
        <w:t> </w:t>
      </w:r>
      <w:r>
        <w:rPr>
          <w:sz w:val="22"/>
        </w:rPr>
        <w:t>intimate</w:t>
      </w:r>
      <w:r>
        <w:rPr>
          <w:spacing w:val="-9"/>
          <w:sz w:val="22"/>
        </w:rPr>
        <w:t> </w:t>
      </w:r>
      <w:r>
        <w:rPr>
          <w:sz w:val="22"/>
        </w:rPr>
        <w:t>partner</w:t>
      </w:r>
      <w:r>
        <w:rPr>
          <w:spacing w:val="-10"/>
          <w:sz w:val="22"/>
        </w:rPr>
        <w:t> </w:t>
      </w:r>
      <w:r>
        <w:rPr>
          <w:spacing w:val="-2"/>
          <w:sz w:val="22"/>
        </w:rPr>
        <w:t>violence.</w:t>
      </w:r>
    </w:p>
    <w:p>
      <w:pPr>
        <w:pStyle w:val="BodyText"/>
        <w:spacing w:before="11"/>
      </w:pPr>
    </w:p>
    <w:p>
      <w:pPr>
        <w:pStyle w:val="ListParagraph"/>
        <w:numPr>
          <w:ilvl w:val="0"/>
          <w:numId w:val="4"/>
        </w:numPr>
        <w:tabs>
          <w:tab w:pos="1178" w:val="left" w:leader="none"/>
          <w:tab w:pos="1180" w:val="left" w:leader="none"/>
        </w:tabs>
        <w:spacing w:line="273" w:lineRule="auto" w:before="1" w:after="0"/>
        <w:ind w:left="1180" w:right="638" w:hanging="360"/>
        <w:jc w:val="both"/>
        <w:rPr>
          <w:sz w:val="22"/>
        </w:rPr>
      </w:pPr>
      <w:r>
        <w:rPr>
          <w:sz w:val="21"/>
        </w:rPr>
        <w:t>Ensure that public schools, colleges, and universities have comprehensive anti-bullying, anti- cyberbullying, and anti-harassment policies.</w:t>
      </w:r>
    </w:p>
    <w:p>
      <w:pPr>
        <w:pStyle w:val="ListParagraph"/>
        <w:numPr>
          <w:ilvl w:val="0"/>
          <w:numId w:val="4"/>
        </w:numPr>
        <w:tabs>
          <w:tab w:pos="1179" w:val="left" w:leader="none"/>
        </w:tabs>
        <w:spacing w:line="276" w:lineRule="auto" w:before="0" w:after="0"/>
        <w:ind w:left="1179" w:right="637" w:hanging="360"/>
        <w:jc w:val="both"/>
        <w:rPr>
          <w:sz w:val="21"/>
        </w:rPr>
      </w:pPr>
      <w:r>
        <w:rPr>
          <w:sz w:val="21"/>
        </w:rPr>
        <w:t>Decriminalize sex work and increase resources to programs working with youth at risk of commercial sex trafficking.</w:t>
      </w:r>
    </w:p>
    <w:p>
      <w:pPr>
        <w:pStyle w:val="ListParagraph"/>
        <w:numPr>
          <w:ilvl w:val="0"/>
          <w:numId w:val="4"/>
        </w:numPr>
        <w:tabs>
          <w:tab w:pos="1178" w:val="left" w:leader="none"/>
          <w:tab w:pos="1180" w:val="left" w:leader="none"/>
        </w:tabs>
        <w:spacing w:line="276" w:lineRule="auto" w:before="241" w:after="0"/>
        <w:ind w:left="1180" w:right="640" w:hanging="361"/>
        <w:jc w:val="both"/>
        <w:rPr>
          <w:sz w:val="22"/>
        </w:rPr>
      </w:pPr>
      <w:bookmarkStart w:name="5. Decriminalize consensual teen sex/sex" w:id="41"/>
      <w:bookmarkEnd w:id="41"/>
      <w:r>
        <w:rPr/>
      </w:r>
      <w:r>
        <w:rPr>
          <w:sz w:val="22"/>
        </w:rPr>
        <w:t>Decriminalize consensual teen sex/sexting and adjust the current age of consent laws for minors engaging in consensual sexual activity.</w:t>
      </w:r>
    </w:p>
    <w:p>
      <w:pPr>
        <w:pStyle w:val="ListParagraph"/>
        <w:numPr>
          <w:ilvl w:val="0"/>
          <w:numId w:val="4"/>
        </w:numPr>
        <w:tabs>
          <w:tab w:pos="1178" w:val="left" w:leader="none"/>
          <w:tab w:pos="1180" w:val="left" w:leader="none"/>
        </w:tabs>
        <w:spacing w:line="276" w:lineRule="auto" w:before="239" w:after="0"/>
        <w:ind w:left="1180" w:right="640" w:hanging="361"/>
        <w:jc w:val="both"/>
        <w:rPr>
          <w:sz w:val="22"/>
        </w:rPr>
      </w:pPr>
      <w:bookmarkStart w:name="6. Continue to increase access to sexual" w:id="42"/>
      <w:bookmarkEnd w:id="42"/>
      <w:r>
        <w:rPr/>
      </w:r>
      <w:r>
        <w:rPr>
          <w:sz w:val="22"/>
        </w:rPr>
        <w:t>Continue to increase access to sexually transmitted infection screenings, prevention, and </w:t>
      </w:r>
      <w:r>
        <w:rPr>
          <w:spacing w:val="-2"/>
          <w:sz w:val="22"/>
        </w:rPr>
        <w:t>treatment.</w:t>
      </w:r>
    </w:p>
    <w:p>
      <w:pPr>
        <w:spacing w:after="0" w:line="276" w:lineRule="auto"/>
        <w:jc w:val="both"/>
        <w:rPr>
          <w:sz w:val="22"/>
        </w:rPr>
        <w:sectPr>
          <w:headerReference w:type="default" r:id="rId24"/>
          <w:footerReference w:type="default" r:id="rId25"/>
          <w:pgSz w:w="12240" w:h="15840"/>
          <w:pgMar w:header="1227" w:footer="1061" w:top="1500" w:bottom="1260" w:left="980" w:right="1160"/>
        </w:sectPr>
      </w:pPr>
    </w:p>
    <w:p>
      <w:pPr>
        <w:pStyle w:val="BodyText"/>
        <w:spacing w:before="41"/>
        <w:rPr>
          <w:sz w:val="21"/>
        </w:rPr>
      </w:pPr>
    </w:p>
    <w:p>
      <w:pPr>
        <w:spacing w:line="276" w:lineRule="auto" w:before="0"/>
        <w:ind w:left="603" w:right="419" w:firstLine="0"/>
        <w:jc w:val="both"/>
        <w:rPr>
          <w:sz w:val="21"/>
        </w:rPr>
      </w:pPr>
      <w:bookmarkStart w:name="Supporting Mental Health (2023)" w:id="43"/>
      <w:bookmarkEnd w:id="43"/>
      <w:r>
        <w:rPr/>
      </w:r>
      <w:r>
        <w:rPr>
          <w:sz w:val="21"/>
        </w:rPr>
        <w:t>The</w:t>
      </w:r>
      <w:r>
        <w:rPr>
          <w:spacing w:val="-9"/>
          <w:sz w:val="21"/>
        </w:rPr>
        <w:t> </w:t>
      </w:r>
      <w:r>
        <w:rPr>
          <w:sz w:val="21"/>
        </w:rPr>
        <w:t>personal</w:t>
      </w:r>
      <w:r>
        <w:rPr>
          <w:spacing w:val="-10"/>
          <w:sz w:val="21"/>
        </w:rPr>
        <w:t> </w:t>
      </w:r>
      <w:r>
        <w:rPr>
          <w:sz w:val="21"/>
        </w:rPr>
        <w:t>is</w:t>
      </w:r>
      <w:r>
        <w:rPr>
          <w:spacing w:val="-11"/>
          <w:sz w:val="21"/>
        </w:rPr>
        <w:t> </w:t>
      </w:r>
      <w:r>
        <w:rPr>
          <w:sz w:val="21"/>
        </w:rPr>
        <w:t>political</w:t>
      </w:r>
      <w:r>
        <w:rPr>
          <w:spacing w:val="-11"/>
          <w:sz w:val="21"/>
        </w:rPr>
        <w:t> </w:t>
      </w:r>
      <w:r>
        <w:rPr>
          <w:sz w:val="21"/>
        </w:rPr>
        <w:t>–</w:t>
      </w:r>
      <w:r>
        <w:rPr>
          <w:spacing w:val="-10"/>
          <w:sz w:val="21"/>
        </w:rPr>
        <w:t> </w:t>
      </w:r>
      <w:r>
        <w:rPr>
          <w:sz w:val="21"/>
        </w:rPr>
        <w:t>and</w:t>
      </w:r>
      <w:r>
        <w:rPr>
          <w:spacing w:val="-10"/>
          <w:sz w:val="21"/>
        </w:rPr>
        <w:t> </w:t>
      </w:r>
      <w:r>
        <w:rPr>
          <w:sz w:val="21"/>
        </w:rPr>
        <w:t>that</w:t>
      </w:r>
      <w:r>
        <w:rPr>
          <w:spacing w:val="-10"/>
          <w:sz w:val="21"/>
        </w:rPr>
        <w:t> </w:t>
      </w:r>
      <w:r>
        <w:rPr>
          <w:sz w:val="21"/>
        </w:rPr>
        <w:t>includes</w:t>
      </w:r>
      <w:r>
        <w:rPr>
          <w:spacing w:val="-11"/>
          <w:sz w:val="21"/>
        </w:rPr>
        <w:t> </w:t>
      </w:r>
      <w:r>
        <w:rPr>
          <w:sz w:val="21"/>
        </w:rPr>
        <w:t>mental</w:t>
      </w:r>
      <w:r>
        <w:rPr>
          <w:spacing w:val="-10"/>
          <w:sz w:val="21"/>
        </w:rPr>
        <w:t> </w:t>
      </w:r>
      <w:r>
        <w:rPr>
          <w:sz w:val="21"/>
        </w:rPr>
        <w:t>health.</w:t>
      </w:r>
      <w:r>
        <w:rPr>
          <w:spacing w:val="-11"/>
          <w:sz w:val="21"/>
        </w:rPr>
        <w:t> </w:t>
      </w:r>
      <w:r>
        <w:rPr>
          <w:sz w:val="21"/>
        </w:rPr>
        <w:t>Across</w:t>
      </w:r>
      <w:r>
        <w:rPr>
          <w:spacing w:val="-11"/>
          <w:sz w:val="21"/>
        </w:rPr>
        <w:t> </w:t>
      </w:r>
      <w:r>
        <w:rPr>
          <w:sz w:val="21"/>
        </w:rPr>
        <w:t>the</w:t>
      </w:r>
      <w:r>
        <w:rPr>
          <w:spacing w:val="-10"/>
          <w:sz w:val="21"/>
        </w:rPr>
        <w:t> </w:t>
      </w:r>
      <w:r>
        <w:rPr>
          <w:sz w:val="21"/>
        </w:rPr>
        <w:t>Commonwealth,</w:t>
      </w:r>
      <w:r>
        <w:rPr>
          <w:spacing w:val="-10"/>
          <w:sz w:val="21"/>
        </w:rPr>
        <w:t> </w:t>
      </w:r>
      <w:r>
        <w:rPr>
          <w:sz w:val="21"/>
        </w:rPr>
        <w:t>LGBTQ</w:t>
      </w:r>
      <w:r>
        <w:rPr>
          <w:spacing w:val="-10"/>
          <w:sz w:val="21"/>
        </w:rPr>
        <w:t> </w:t>
      </w:r>
      <w:r>
        <w:rPr>
          <w:sz w:val="21"/>
        </w:rPr>
        <w:t>youth</w:t>
      </w:r>
      <w:r>
        <w:rPr>
          <w:spacing w:val="-10"/>
          <w:sz w:val="21"/>
        </w:rPr>
        <w:t> </w:t>
      </w:r>
      <w:r>
        <w:rPr>
          <w:sz w:val="21"/>
        </w:rPr>
        <w:t>mental health</w:t>
      </w:r>
      <w:r>
        <w:rPr>
          <w:spacing w:val="-4"/>
          <w:sz w:val="21"/>
        </w:rPr>
        <w:t> </w:t>
      </w:r>
      <w:r>
        <w:rPr>
          <w:sz w:val="21"/>
        </w:rPr>
        <w:t>is</w:t>
      </w:r>
      <w:r>
        <w:rPr>
          <w:spacing w:val="-5"/>
          <w:sz w:val="21"/>
        </w:rPr>
        <w:t> </w:t>
      </w:r>
      <w:r>
        <w:rPr>
          <w:sz w:val="21"/>
        </w:rPr>
        <w:t>in</w:t>
      </w:r>
      <w:r>
        <w:rPr>
          <w:spacing w:val="-4"/>
          <w:sz w:val="21"/>
        </w:rPr>
        <w:t> </w:t>
      </w:r>
      <w:r>
        <w:rPr>
          <w:sz w:val="21"/>
        </w:rPr>
        <w:t>crisis.</w:t>
      </w:r>
      <w:r>
        <w:rPr>
          <w:spacing w:val="-5"/>
          <w:sz w:val="21"/>
        </w:rPr>
        <w:t> </w:t>
      </w:r>
      <w:r>
        <w:rPr>
          <w:sz w:val="21"/>
        </w:rPr>
        <w:t>Last</w:t>
      </w:r>
      <w:r>
        <w:rPr>
          <w:spacing w:val="-4"/>
          <w:sz w:val="21"/>
        </w:rPr>
        <w:t> </w:t>
      </w:r>
      <w:r>
        <w:rPr>
          <w:sz w:val="21"/>
        </w:rPr>
        <w:t>year,</w:t>
      </w:r>
      <w:r>
        <w:rPr>
          <w:spacing w:val="-4"/>
          <w:sz w:val="21"/>
        </w:rPr>
        <w:t> </w:t>
      </w:r>
      <w:r>
        <w:rPr>
          <w:sz w:val="21"/>
        </w:rPr>
        <w:t>LGBTQ</w:t>
      </w:r>
      <w:r>
        <w:rPr>
          <w:spacing w:val="-4"/>
          <w:sz w:val="21"/>
        </w:rPr>
        <w:t> </w:t>
      </w:r>
      <w:r>
        <w:rPr>
          <w:sz w:val="21"/>
        </w:rPr>
        <w:t>youth</w:t>
      </w:r>
      <w:r>
        <w:rPr>
          <w:spacing w:val="-4"/>
          <w:sz w:val="21"/>
        </w:rPr>
        <w:t> </w:t>
      </w:r>
      <w:r>
        <w:rPr>
          <w:sz w:val="21"/>
        </w:rPr>
        <w:t>reported</w:t>
      </w:r>
      <w:r>
        <w:rPr>
          <w:spacing w:val="-4"/>
          <w:sz w:val="21"/>
        </w:rPr>
        <w:t> </w:t>
      </w:r>
      <w:r>
        <w:rPr>
          <w:sz w:val="21"/>
        </w:rPr>
        <w:t>alarmingly</w:t>
      </w:r>
      <w:r>
        <w:rPr>
          <w:spacing w:val="-5"/>
          <w:sz w:val="21"/>
        </w:rPr>
        <w:t> </w:t>
      </w:r>
      <w:r>
        <w:rPr>
          <w:sz w:val="21"/>
        </w:rPr>
        <w:t>high</w:t>
      </w:r>
      <w:r>
        <w:rPr>
          <w:spacing w:val="-4"/>
          <w:sz w:val="21"/>
        </w:rPr>
        <w:t> </w:t>
      </w:r>
      <w:r>
        <w:rPr>
          <w:sz w:val="21"/>
        </w:rPr>
        <w:t>levels</w:t>
      </w:r>
      <w:r>
        <w:rPr>
          <w:spacing w:val="-5"/>
          <w:sz w:val="21"/>
        </w:rPr>
        <w:t> </w:t>
      </w:r>
      <w:r>
        <w:rPr>
          <w:sz w:val="21"/>
        </w:rPr>
        <w:t>of</w:t>
      </w:r>
      <w:r>
        <w:rPr>
          <w:spacing w:val="-5"/>
          <w:sz w:val="21"/>
        </w:rPr>
        <w:t> </w:t>
      </w:r>
      <w:r>
        <w:rPr>
          <w:sz w:val="21"/>
        </w:rPr>
        <w:t>depression,</w:t>
      </w:r>
      <w:r>
        <w:rPr>
          <w:spacing w:val="-4"/>
          <w:sz w:val="21"/>
        </w:rPr>
        <w:t> </w:t>
      </w:r>
      <w:r>
        <w:rPr>
          <w:sz w:val="21"/>
        </w:rPr>
        <w:t>anxiety,</w:t>
      </w:r>
      <w:r>
        <w:rPr>
          <w:spacing w:val="-4"/>
          <w:sz w:val="21"/>
        </w:rPr>
        <w:t> </w:t>
      </w:r>
      <w:r>
        <w:rPr>
          <w:sz w:val="21"/>
        </w:rPr>
        <w:t>suicidality, and trauma, yet most who wanted mental healthcare did not receive it. In this report, the Commission discusses ways that allies across many fields can promote evidence-based, intersectional, and trauma- informed</w:t>
      </w:r>
      <w:r>
        <w:rPr>
          <w:spacing w:val="-3"/>
          <w:sz w:val="21"/>
        </w:rPr>
        <w:t> </w:t>
      </w:r>
      <w:r>
        <w:rPr>
          <w:sz w:val="21"/>
        </w:rPr>
        <w:t>mental</w:t>
      </w:r>
      <w:r>
        <w:rPr>
          <w:spacing w:val="-3"/>
          <w:sz w:val="21"/>
        </w:rPr>
        <w:t> </w:t>
      </w:r>
      <w:r>
        <w:rPr>
          <w:sz w:val="21"/>
        </w:rPr>
        <w:t>healthcare</w:t>
      </w:r>
      <w:r>
        <w:rPr>
          <w:spacing w:val="-5"/>
          <w:sz w:val="21"/>
        </w:rPr>
        <w:t> </w:t>
      </w:r>
      <w:r>
        <w:rPr>
          <w:sz w:val="21"/>
        </w:rPr>
        <w:t>for</w:t>
      </w:r>
      <w:r>
        <w:rPr>
          <w:spacing w:val="-3"/>
          <w:sz w:val="21"/>
        </w:rPr>
        <w:t> </w:t>
      </w:r>
      <w:r>
        <w:rPr>
          <w:sz w:val="21"/>
        </w:rPr>
        <w:t>LGBTQ</w:t>
      </w:r>
      <w:r>
        <w:rPr>
          <w:spacing w:val="-3"/>
          <w:sz w:val="21"/>
        </w:rPr>
        <w:t> </w:t>
      </w:r>
      <w:r>
        <w:rPr>
          <w:sz w:val="21"/>
        </w:rPr>
        <w:t>youth,</w:t>
      </w:r>
      <w:r>
        <w:rPr>
          <w:spacing w:val="-3"/>
          <w:sz w:val="21"/>
        </w:rPr>
        <w:t> </w:t>
      </w:r>
      <w:r>
        <w:rPr>
          <w:sz w:val="21"/>
        </w:rPr>
        <w:t>all</w:t>
      </w:r>
      <w:r>
        <w:rPr>
          <w:spacing w:val="-4"/>
          <w:sz w:val="21"/>
        </w:rPr>
        <w:t> </w:t>
      </w:r>
      <w:r>
        <w:rPr>
          <w:sz w:val="21"/>
        </w:rPr>
        <w:t>while</w:t>
      </w:r>
      <w:r>
        <w:rPr>
          <w:spacing w:val="-4"/>
          <w:sz w:val="21"/>
        </w:rPr>
        <w:t> </w:t>
      </w:r>
      <w:r>
        <w:rPr>
          <w:sz w:val="21"/>
        </w:rPr>
        <w:t>highlighting</w:t>
      </w:r>
      <w:r>
        <w:rPr>
          <w:spacing w:val="-3"/>
          <w:sz w:val="21"/>
        </w:rPr>
        <w:t> </w:t>
      </w:r>
      <w:r>
        <w:rPr>
          <w:sz w:val="21"/>
        </w:rPr>
        <w:t>youths’</w:t>
      </w:r>
      <w:r>
        <w:rPr>
          <w:spacing w:val="-3"/>
          <w:sz w:val="21"/>
        </w:rPr>
        <w:t> </w:t>
      </w:r>
      <w:r>
        <w:rPr>
          <w:sz w:val="21"/>
        </w:rPr>
        <w:t>voices</w:t>
      </w:r>
      <w:r>
        <w:rPr>
          <w:spacing w:val="-3"/>
          <w:sz w:val="21"/>
        </w:rPr>
        <w:t> </w:t>
      </w:r>
      <w:r>
        <w:rPr>
          <w:sz w:val="21"/>
        </w:rPr>
        <w:t>and</w:t>
      </w:r>
      <w:r>
        <w:rPr>
          <w:spacing w:val="-3"/>
          <w:sz w:val="21"/>
        </w:rPr>
        <w:t> </w:t>
      </w:r>
      <w:r>
        <w:rPr>
          <w:sz w:val="21"/>
        </w:rPr>
        <w:t>strengths.</w:t>
      </w:r>
      <w:r>
        <w:rPr>
          <w:spacing w:val="-3"/>
          <w:sz w:val="21"/>
        </w:rPr>
        <w:t> </w:t>
      </w:r>
      <w:r>
        <w:rPr>
          <w:sz w:val="21"/>
        </w:rPr>
        <w:t>From</w:t>
      </w:r>
      <w:r>
        <w:rPr>
          <w:spacing w:val="-3"/>
          <w:sz w:val="21"/>
        </w:rPr>
        <w:t> </w:t>
      </w:r>
      <w:r>
        <w:rPr>
          <w:sz w:val="21"/>
        </w:rPr>
        <w:t>the classroom to the campaign trail, discrimination wears down LGBTQ youths’ physical, social, and mental health on an everyday basis; LGBTQ youth mental health is a community-wide issue that deserves community-based</w:t>
      </w:r>
      <w:r>
        <w:rPr>
          <w:spacing w:val="-5"/>
          <w:sz w:val="21"/>
        </w:rPr>
        <w:t> </w:t>
      </w:r>
      <w:r>
        <w:rPr>
          <w:sz w:val="21"/>
        </w:rPr>
        <w:t>solutions</w:t>
      </w:r>
      <w:r>
        <w:rPr>
          <w:spacing w:val="-5"/>
          <w:sz w:val="21"/>
        </w:rPr>
        <w:t> </w:t>
      </w:r>
      <w:r>
        <w:rPr>
          <w:sz w:val="21"/>
        </w:rPr>
        <w:t>–</w:t>
      </w:r>
      <w:r>
        <w:rPr>
          <w:spacing w:val="-6"/>
          <w:sz w:val="21"/>
        </w:rPr>
        <w:t> </w:t>
      </w:r>
      <w:r>
        <w:rPr>
          <w:sz w:val="21"/>
        </w:rPr>
        <w:t>and</w:t>
      </w:r>
      <w:r>
        <w:rPr>
          <w:spacing w:val="-5"/>
          <w:sz w:val="21"/>
        </w:rPr>
        <w:t> </w:t>
      </w:r>
      <w:r>
        <w:rPr>
          <w:sz w:val="21"/>
        </w:rPr>
        <w:t>everyone</w:t>
      </w:r>
      <w:r>
        <w:rPr>
          <w:spacing w:val="-5"/>
          <w:sz w:val="21"/>
        </w:rPr>
        <w:t> </w:t>
      </w:r>
      <w:r>
        <w:rPr>
          <w:sz w:val="21"/>
        </w:rPr>
        <w:t>has</w:t>
      </w:r>
      <w:r>
        <w:rPr>
          <w:spacing w:val="-6"/>
          <w:sz w:val="21"/>
        </w:rPr>
        <w:t> </w:t>
      </w:r>
      <w:r>
        <w:rPr>
          <w:sz w:val="21"/>
        </w:rPr>
        <w:t>a</w:t>
      </w:r>
      <w:r>
        <w:rPr>
          <w:spacing w:val="-5"/>
          <w:sz w:val="21"/>
        </w:rPr>
        <w:t> </w:t>
      </w:r>
      <w:r>
        <w:rPr>
          <w:sz w:val="21"/>
        </w:rPr>
        <w:t>part</w:t>
      </w:r>
      <w:r>
        <w:rPr>
          <w:spacing w:val="-5"/>
          <w:sz w:val="21"/>
        </w:rPr>
        <w:t> </w:t>
      </w:r>
      <w:r>
        <w:rPr>
          <w:sz w:val="21"/>
        </w:rPr>
        <w:t>to</w:t>
      </w:r>
      <w:r>
        <w:rPr>
          <w:spacing w:val="-6"/>
          <w:sz w:val="21"/>
        </w:rPr>
        <w:t> </w:t>
      </w:r>
      <w:r>
        <w:rPr>
          <w:sz w:val="21"/>
        </w:rPr>
        <w:t>play.</w:t>
      </w:r>
      <w:r>
        <w:rPr>
          <w:spacing w:val="-6"/>
          <w:sz w:val="21"/>
        </w:rPr>
        <w:t> </w:t>
      </w:r>
      <w:r>
        <w:rPr>
          <w:sz w:val="21"/>
        </w:rPr>
        <w:t>For</w:t>
      </w:r>
      <w:r>
        <w:rPr>
          <w:spacing w:val="-5"/>
          <w:sz w:val="21"/>
        </w:rPr>
        <w:t> </w:t>
      </w:r>
      <w:r>
        <w:rPr>
          <w:sz w:val="21"/>
        </w:rPr>
        <w:t>this</w:t>
      </w:r>
      <w:r>
        <w:rPr>
          <w:spacing w:val="-6"/>
          <w:sz w:val="21"/>
        </w:rPr>
        <w:t> </w:t>
      </w:r>
      <w:r>
        <w:rPr>
          <w:sz w:val="21"/>
        </w:rPr>
        <w:t>dedicated</w:t>
      </w:r>
      <w:r>
        <w:rPr>
          <w:spacing w:val="-5"/>
          <w:sz w:val="21"/>
        </w:rPr>
        <w:t> </w:t>
      </w:r>
      <w:r>
        <w:rPr>
          <w:sz w:val="21"/>
        </w:rPr>
        <w:t>section</w:t>
      </w:r>
      <w:r>
        <w:rPr>
          <w:spacing w:val="-5"/>
          <w:sz w:val="21"/>
        </w:rPr>
        <w:t> </w:t>
      </w:r>
      <w:r>
        <w:rPr>
          <w:sz w:val="21"/>
        </w:rPr>
        <w:t>on</w:t>
      </w:r>
      <w:r>
        <w:rPr>
          <w:spacing w:val="-5"/>
          <w:sz w:val="21"/>
        </w:rPr>
        <w:t> </w:t>
      </w:r>
      <w:r>
        <w:rPr>
          <w:sz w:val="21"/>
        </w:rPr>
        <w:t>mental</w:t>
      </w:r>
      <w:r>
        <w:rPr>
          <w:spacing w:val="-5"/>
          <w:sz w:val="21"/>
        </w:rPr>
        <w:t> </w:t>
      </w:r>
      <w:r>
        <w:rPr>
          <w:sz w:val="21"/>
        </w:rPr>
        <w:t>health, the Commission’s recommendations center around three key principles: recognize that discrimination causes</w:t>
      </w:r>
      <w:r>
        <w:rPr>
          <w:spacing w:val="-12"/>
          <w:sz w:val="21"/>
        </w:rPr>
        <w:t> </w:t>
      </w:r>
      <w:r>
        <w:rPr>
          <w:sz w:val="21"/>
        </w:rPr>
        <w:t>trauma,</w:t>
      </w:r>
      <w:r>
        <w:rPr>
          <w:spacing w:val="-12"/>
          <w:sz w:val="21"/>
        </w:rPr>
        <w:t> </w:t>
      </w:r>
      <w:r>
        <w:rPr>
          <w:sz w:val="21"/>
        </w:rPr>
        <w:t>invest</w:t>
      </w:r>
      <w:r>
        <w:rPr>
          <w:spacing w:val="-11"/>
          <w:sz w:val="21"/>
        </w:rPr>
        <w:t> </w:t>
      </w:r>
      <w:r>
        <w:rPr>
          <w:sz w:val="21"/>
        </w:rPr>
        <w:t>in</w:t>
      </w:r>
      <w:r>
        <w:rPr>
          <w:spacing w:val="-11"/>
          <w:sz w:val="21"/>
        </w:rPr>
        <w:t> </w:t>
      </w:r>
      <w:r>
        <w:rPr>
          <w:sz w:val="21"/>
        </w:rPr>
        <w:t>early</w:t>
      </w:r>
      <w:r>
        <w:rPr>
          <w:spacing w:val="-12"/>
          <w:sz w:val="21"/>
        </w:rPr>
        <w:t> </w:t>
      </w:r>
      <w:r>
        <w:rPr>
          <w:sz w:val="21"/>
        </w:rPr>
        <w:t>intervention,</w:t>
      </w:r>
      <w:r>
        <w:rPr>
          <w:spacing w:val="-11"/>
          <w:sz w:val="21"/>
        </w:rPr>
        <w:t> </w:t>
      </w:r>
      <w:r>
        <w:rPr>
          <w:sz w:val="21"/>
        </w:rPr>
        <w:t>and</w:t>
      </w:r>
      <w:r>
        <w:rPr>
          <w:spacing w:val="-11"/>
          <w:sz w:val="21"/>
        </w:rPr>
        <w:t> </w:t>
      </w:r>
      <w:r>
        <w:rPr>
          <w:sz w:val="21"/>
        </w:rPr>
        <w:t>fuel</w:t>
      </w:r>
      <w:r>
        <w:rPr>
          <w:spacing w:val="-12"/>
          <w:sz w:val="21"/>
        </w:rPr>
        <w:t> </w:t>
      </w:r>
      <w:r>
        <w:rPr>
          <w:sz w:val="21"/>
        </w:rPr>
        <w:t>systemic</w:t>
      </w:r>
      <w:r>
        <w:rPr>
          <w:spacing w:val="-12"/>
          <w:sz w:val="21"/>
        </w:rPr>
        <w:t> </w:t>
      </w:r>
      <w:r>
        <w:rPr>
          <w:sz w:val="21"/>
        </w:rPr>
        <w:t>change</w:t>
      </w:r>
      <w:r>
        <w:rPr>
          <w:spacing w:val="-12"/>
          <w:sz w:val="21"/>
        </w:rPr>
        <w:t> </w:t>
      </w:r>
      <w:r>
        <w:rPr>
          <w:sz w:val="21"/>
        </w:rPr>
        <w:t>rather</w:t>
      </w:r>
      <w:r>
        <w:rPr>
          <w:spacing w:val="-11"/>
          <w:sz w:val="21"/>
        </w:rPr>
        <w:t> </w:t>
      </w:r>
      <w:r>
        <w:rPr>
          <w:sz w:val="21"/>
        </w:rPr>
        <w:t>than</w:t>
      </w:r>
      <w:r>
        <w:rPr>
          <w:spacing w:val="-11"/>
          <w:sz w:val="21"/>
        </w:rPr>
        <w:t> </w:t>
      </w:r>
      <w:r>
        <w:rPr>
          <w:sz w:val="21"/>
        </w:rPr>
        <w:t>focusing</w:t>
      </w:r>
      <w:r>
        <w:rPr>
          <w:spacing w:val="-12"/>
          <w:sz w:val="21"/>
        </w:rPr>
        <w:t> </w:t>
      </w:r>
      <w:r>
        <w:rPr>
          <w:sz w:val="21"/>
        </w:rPr>
        <w:t>only</w:t>
      </w:r>
      <w:r>
        <w:rPr>
          <w:spacing w:val="-11"/>
          <w:sz w:val="21"/>
        </w:rPr>
        <w:t> </w:t>
      </w:r>
      <w:r>
        <w:rPr>
          <w:sz w:val="21"/>
        </w:rPr>
        <w:t>on</w:t>
      </w:r>
      <w:r>
        <w:rPr>
          <w:spacing w:val="-11"/>
          <w:sz w:val="21"/>
        </w:rPr>
        <w:t> </w:t>
      </w:r>
      <w:r>
        <w:rPr>
          <w:sz w:val="21"/>
        </w:rPr>
        <w:t>individual </w:t>
      </w:r>
      <w:r>
        <w:rPr>
          <w:spacing w:val="-2"/>
          <w:sz w:val="21"/>
        </w:rPr>
        <w:t>therapy.</w:t>
      </w:r>
    </w:p>
    <w:p>
      <w:pPr>
        <w:spacing w:line="276" w:lineRule="auto" w:before="240"/>
        <w:ind w:left="454" w:right="269" w:firstLine="0"/>
        <w:jc w:val="center"/>
        <w:rPr>
          <w:i/>
          <w:sz w:val="21"/>
        </w:rPr>
      </w:pPr>
      <w:r>
        <w:rPr>
          <w:i/>
          <w:color w:val="4F81BC"/>
          <w:sz w:val="21"/>
        </w:rPr>
        <w:t>“If</w:t>
      </w:r>
      <w:r>
        <w:rPr>
          <w:i/>
          <w:color w:val="4F81BC"/>
          <w:spacing w:val="-2"/>
          <w:sz w:val="21"/>
        </w:rPr>
        <w:t> </w:t>
      </w:r>
      <w:r>
        <w:rPr>
          <w:i/>
          <w:color w:val="4F81BC"/>
          <w:sz w:val="21"/>
        </w:rPr>
        <w:t>I</w:t>
      </w:r>
      <w:r>
        <w:rPr>
          <w:i/>
          <w:color w:val="4F81BC"/>
          <w:spacing w:val="-2"/>
          <w:sz w:val="21"/>
        </w:rPr>
        <w:t> </w:t>
      </w:r>
      <w:r>
        <w:rPr>
          <w:i/>
          <w:color w:val="4F81BC"/>
          <w:sz w:val="21"/>
        </w:rPr>
        <w:t>am</w:t>
      </w:r>
      <w:r>
        <w:rPr>
          <w:i/>
          <w:color w:val="4F81BC"/>
          <w:spacing w:val="-2"/>
          <w:sz w:val="21"/>
        </w:rPr>
        <w:t> </w:t>
      </w:r>
      <w:r>
        <w:rPr>
          <w:i/>
          <w:color w:val="4F81BC"/>
          <w:sz w:val="21"/>
        </w:rPr>
        <w:t>depressed</w:t>
      </w:r>
      <w:r>
        <w:rPr>
          <w:i/>
          <w:color w:val="4F81BC"/>
          <w:spacing w:val="-2"/>
          <w:sz w:val="21"/>
        </w:rPr>
        <w:t> </w:t>
      </w:r>
      <w:r>
        <w:rPr>
          <w:i/>
          <w:color w:val="4F81BC"/>
          <w:sz w:val="21"/>
        </w:rPr>
        <w:t>or</w:t>
      </w:r>
      <w:r>
        <w:rPr>
          <w:i/>
          <w:color w:val="4F81BC"/>
          <w:spacing w:val="-2"/>
          <w:sz w:val="21"/>
        </w:rPr>
        <w:t> </w:t>
      </w:r>
      <w:r>
        <w:rPr>
          <w:i/>
          <w:color w:val="4F81BC"/>
          <w:sz w:val="21"/>
        </w:rPr>
        <w:t>anxious,</w:t>
      </w:r>
      <w:r>
        <w:rPr>
          <w:i/>
          <w:color w:val="4F81BC"/>
          <w:spacing w:val="-1"/>
          <w:sz w:val="21"/>
        </w:rPr>
        <w:t> </w:t>
      </w:r>
      <w:r>
        <w:rPr>
          <w:i/>
          <w:color w:val="4F81BC"/>
          <w:sz w:val="21"/>
        </w:rPr>
        <w:t>it’s</w:t>
      </w:r>
      <w:r>
        <w:rPr>
          <w:i/>
          <w:color w:val="4F81BC"/>
          <w:spacing w:val="-3"/>
          <w:sz w:val="21"/>
        </w:rPr>
        <w:t> </w:t>
      </w:r>
      <w:r>
        <w:rPr>
          <w:i/>
          <w:color w:val="4F81BC"/>
          <w:sz w:val="21"/>
        </w:rPr>
        <w:t>likely</w:t>
      </w:r>
      <w:r>
        <w:rPr>
          <w:i/>
          <w:color w:val="4F81BC"/>
          <w:spacing w:val="-2"/>
          <w:sz w:val="21"/>
        </w:rPr>
        <w:t> </w:t>
      </w:r>
      <w:r>
        <w:rPr>
          <w:i/>
          <w:color w:val="4F81BC"/>
          <w:sz w:val="21"/>
        </w:rPr>
        <w:t>not</w:t>
      </w:r>
      <w:r>
        <w:rPr>
          <w:i/>
          <w:color w:val="4F81BC"/>
          <w:spacing w:val="-2"/>
          <w:sz w:val="21"/>
        </w:rPr>
        <w:t> </w:t>
      </w:r>
      <w:r>
        <w:rPr>
          <w:i/>
          <w:color w:val="4F81BC"/>
          <w:sz w:val="21"/>
        </w:rPr>
        <w:t>because</w:t>
      </w:r>
      <w:r>
        <w:rPr>
          <w:i/>
          <w:color w:val="4F81BC"/>
          <w:spacing w:val="-1"/>
          <w:sz w:val="21"/>
        </w:rPr>
        <w:t> </w:t>
      </w:r>
      <w:r>
        <w:rPr>
          <w:i/>
          <w:color w:val="4F81BC"/>
          <w:sz w:val="21"/>
        </w:rPr>
        <w:t>I</w:t>
      </w:r>
      <w:r>
        <w:rPr>
          <w:i/>
          <w:color w:val="4F81BC"/>
          <w:spacing w:val="-3"/>
          <w:sz w:val="21"/>
        </w:rPr>
        <w:t> </w:t>
      </w:r>
      <w:r>
        <w:rPr>
          <w:i/>
          <w:color w:val="4F81BC"/>
          <w:sz w:val="21"/>
        </w:rPr>
        <w:t>have</w:t>
      </w:r>
      <w:r>
        <w:rPr>
          <w:i/>
          <w:color w:val="4F81BC"/>
          <w:spacing w:val="-1"/>
          <w:sz w:val="21"/>
        </w:rPr>
        <w:t> </w:t>
      </w:r>
      <w:r>
        <w:rPr>
          <w:i/>
          <w:color w:val="4F81BC"/>
          <w:sz w:val="21"/>
        </w:rPr>
        <w:t>issues</w:t>
      </w:r>
      <w:r>
        <w:rPr>
          <w:i/>
          <w:color w:val="4F81BC"/>
          <w:spacing w:val="-2"/>
          <w:sz w:val="21"/>
        </w:rPr>
        <w:t> </w:t>
      </w:r>
      <w:r>
        <w:rPr>
          <w:i/>
          <w:color w:val="4F81BC"/>
          <w:sz w:val="21"/>
        </w:rPr>
        <w:t>with</w:t>
      </w:r>
      <w:r>
        <w:rPr>
          <w:i/>
          <w:color w:val="4F81BC"/>
          <w:spacing w:val="-4"/>
          <w:sz w:val="21"/>
        </w:rPr>
        <w:t> </w:t>
      </w:r>
      <w:r>
        <w:rPr>
          <w:i/>
          <w:color w:val="4F81BC"/>
          <w:sz w:val="21"/>
        </w:rPr>
        <w:t>my</w:t>
      </w:r>
      <w:r>
        <w:rPr>
          <w:i/>
          <w:color w:val="4F81BC"/>
          <w:spacing w:val="-2"/>
          <w:sz w:val="21"/>
        </w:rPr>
        <w:t> </w:t>
      </w:r>
      <w:r>
        <w:rPr>
          <w:i/>
          <w:color w:val="4F81BC"/>
          <w:sz w:val="21"/>
        </w:rPr>
        <w:t>gender</w:t>
      </w:r>
      <w:r>
        <w:rPr>
          <w:i/>
          <w:color w:val="4F81BC"/>
          <w:spacing w:val="-2"/>
          <w:sz w:val="21"/>
        </w:rPr>
        <w:t> </w:t>
      </w:r>
      <w:r>
        <w:rPr>
          <w:i/>
          <w:color w:val="4F81BC"/>
          <w:sz w:val="21"/>
        </w:rPr>
        <w:t>identity,</w:t>
      </w:r>
      <w:r>
        <w:rPr>
          <w:i/>
          <w:color w:val="4F81BC"/>
          <w:spacing w:val="-1"/>
          <w:sz w:val="21"/>
        </w:rPr>
        <w:t> </w:t>
      </w:r>
      <w:r>
        <w:rPr>
          <w:i/>
          <w:color w:val="4F81BC"/>
          <w:sz w:val="21"/>
        </w:rPr>
        <w:t>but</w:t>
      </w:r>
      <w:r>
        <w:rPr>
          <w:i/>
          <w:color w:val="4F81BC"/>
          <w:spacing w:val="-2"/>
          <w:sz w:val="21"/>
        </w:rPr>
        <w:t> </w:t>
      </w:r>
      <w:r>
        <w:rPr>
          <w:i/>
          <w:color w:val="4F81BC"/>
          <w:sz w:val="21"/>
        </w:rPr>
        <w:t>because</w:t>
      </w:r>
      <w:r>
        <w:rPr>
          <w:i/>
          <w:color w:val="4F81BC"/>
          <w:sz w:val="21"/>
        </w:rPr>
        <w:t> everyone else does.” –</w:t>
      </w:r>
    </w:p>
    <w:p>
      <w:pPr>
        <w:spacing w:before="240"/>
        <w:ind w:left="454" w:right="273" w:firstLine="0"/>
        <w:jc w:val="center"/>
        <w:rPr>
          <w:i/>
          <w:sz w:val="21"/>
        </w:rPr>
      </w:pPr>
      <w:r>
        <w:rPr>
          <w:i/>
          <w:color w:val="4F81BC"/>
          <w:sz w:val="21"/>
        </w:rPr>
        <w:t>Youth</w:t>
      </w:r>
      <w:r>
        <w:rPr>
          <w:i/>
          <w:color w:val="4F81BC"/>
          <w:spacing w:val="-3"/>
          <w:sz w:val="21"/>
        </w:rPr>
        <w:t> </w:t>
      </w:r>
      <w:r>
        <w:rPr>
          <w:i/>
          <w:color w:val="4F81BC"/>
          <w:sz w:val="21"/>
        </w:rPr>
        <w:t>from</w:t>
      </w:r>
      <w:r>
        <w:rPr>
          <w:i/>
          <w:color w:val="4F81BC"/>
          <w:spacing w:val="-2"/>
          <w:sz w:val="21"/>
        </w:rPr>
        <w:t> </w:t>
      </w:r>
      <w:r>
        <w:rPr>
          <w:i/>
          <w:color w:val="4F81BC"/>
          <w:sz w:val="21"/>
        </w:rPr>
        <w:t>New</w:t>
      </w:r>
      <w:r>
        <w:rPr>
          <w:i/>
          <w:color w:val="4F81BC"/>
          <w:spacing w:val="-2"/>
          <w:sz w:val="21"/>
        </w:rPr>
        <w:t> </w:t>
      </w:r>
      <w:r>
        <w:rPr>
          <w:i/>
          <w:color w:val="4F81BC"/>
          <w:sz w:val="21"/>
        </w:rPr>
        <w:t>England,</w:t>
      </w:r>
      <w:r>
        <w:rPr>
          <w:i/>
          <w:color w:val="4F81BC"/>
          <w:sz w:val="21"/>
          <w:vertAlign w:val="superscript"/>
        </w:rPr>
        <w:t>1</w:t>
      </w:r>
      <w:r>
        <w:rPr>
          <w:i/>
          <w:color w:val="4F81BC"/>
          <w:spacing w:val="-2"/>
          <w:sz w:val="21"/>
          <w:vertAlign w:val="baseline"/>
        </w:rPr>
        <w:t> </w:t>
      </w:r>
      <w:r>
        <w:rPr>
          <w:i/>
          <w:color w:val="4F81BC"/>
          <w:spacing w:val="-4"/>
          <w:sz w:val="21"/>
          <w:vertAlign w:val="baseline"/>
        </w:rPr>
        <w:t>2017</w:t>
      </w:r>
    </w:p>
    <w:p>
      <w:pPr>
        <w:pStyle w:val="BodyText"/>
        <w:spacing w:before="21"/>
        <w:rPr>
          <w:i/>
          <w:sz w:val="21"/>
        </w:rPr>
      </w:pPr>
    </w:p>
    <w:p>
      <w:pPr>
        <w:spacing w:before="0"/>
        <w:ind w:left="604" w:right="0" w:firstLine="0"/>
        <w:jc w:val="both"/>
        <w:rPr>
          <w:sz w:val="26"/>
        </w:rPr>
      </w:pPr>
      <w:bookmarkStart w:name="FY 2025 Recommendations to the Governor " w:id="44"/>
      <w:bookmarkEnd w:id="44"/>
      <w:r>
        <w:rPr/>
      </w:r>
      <w:r>
        <w:rPr>
          <w:color w:val="404040"/>
          <w:sz w:val="26"/>
        </w:rPr>
        <w:t>FY</w:t>
      </w:r>
      <w:r>
        <w:rPr>
          <w:color w:val="404040"/>
          <w:spacing w:val="-5"/>
          <w:sz w:val="26"/>
        </w:rPr>
        <w:t> </w:t>
      </w:r>
      <w:r>
        <w:rPr>
          <w:color w:val="404040"/>
          <w:sz w:val="26"/>
        </w:rPr>
        <w:t>2025</w:t>
      </w:r>
      <w:r>
        <w:rPr>
          <w:color w:val="404040"/>
          <w:spacing w:val="-3"/>
          <w:sz w:val="26"/>
        </w:rPr>
        <w:t> </w:t>
      </w:r>
      <w:r>
        <w:rPr>
          <w:color w:val="404040"/>
          <w:sz w:val="26"/>
        </w:rPr>
        <w:t>Recommendations</w:t>
      </w:r>
      <w:r>
        <w:rPr>
          <w:color w:val="404040"/>
          <w:spacing w:val="-2"/>
          <w:sz w:val="26"/>
        </w:rPr>
        <w:t> </w:t>
      </w:r>
      <w:r>
        <w:rPr>
          <w:color w:val="404040"/>
          <w:sz w:val="26"/>
        </w:rPr>
        <w:t>to</w:t>
      </w:r>
      <w:r>
        <w:rPr>
          <w:color w:val="404040"/>
          <w:spacing w:val="-5"/>
          <w:sz w:val="26"/>
        </w:rPr>
        <w:t> </w:t>
      </w:r>
      <w:r>
        <w:rPr>
          <w:color w:val="404040"/>
          <w:sz w:val="26"/>
        </w:rPr>
        <w:t>the</w:t>
      </w:r>
      <w:r>
        <w:rPr>
          <w:color w:val="404040"/>
          <w:spacing w:val="-4"/>
          <w:sz w:val="26"/>
        </w:rPr>
        <w:t> </w:t>
      </w:r>
      <w:r>
        <w:rPr>
          <w:color w:val="404040"/>
          <w:sz w:val="26"/>
        </w:rPr>
        <w:t>Governor</w:t>
      </w:r>
      <w:r>
        <w:rPr>
          <w:color w:val="404040"/>
          <w:spacing w:val="-3"/>
          <w:sz w:val="26"/>
        </w:rPr>
        <w:t> </w:t>
      </w:r>
      <w:r>
        <w:rPr>
          <w:color w:val="404040"/>
          <w:sz w:val="26"/>
        </w:rPr>
        <w:t>&amp;</w:t>
      </w:r>
      <w:r>
        <w:rPr>
          <w:color w:val="404040"/>
          <w:spacing w:val="-3"/>
          <w:sz w:val="26"/>
        </w:rPr>
        <w:t> </w:t>
      </w:r>
      <w:r>
        <w:rPr>
          <w:color w:val="404040"/>
          <w:sz w:val="26"/>
        </w:rPr>
        <w:t>Legislature</w:t>
      </w:r>
      <w:r>
        <w:rPr>
          <w:color w:val="404040"/>
          <w:spacing w:val="-2"/>
          <w:sz w:val="26"/>
        </w:rPr>
        <w:t> </w:t>
      </w:r>
      <w:r>
        <w:rPr>
          <w:color w:val="404040"/>
          <w:sz w:val="26"/>
        </w:rPr>
        <w:t>on</w:t>
      </w:r>
      <w:r>
        <w:rPr>
          <w:color w:val="404040"/>
          <w:spacing w:val="-4"/>
          <w:sz w:val="26"/>
        </w:rPr>
        <w:t> </w:t>
      </w:r>
      <w:r>
        <w:rPr>
          <w:color w:val="404040"/>
          <w:sz w:val="26"/>
        </w:rPr>
        <w:t>Mental</w:t>
      </w:r>
      <w:r>
        <w:rPr>
          <w:color w:val="404040"/>
          <w:spacing w:val="-2"/>
          <w:sz w:val="26"/>
        </w:rPr>
        <w:t> Health</w:t>
      </w:r>
    </w:p>
    <w:p>
      <w:pPr>
        <w:pStyle w:val="ListParagraph"/>
        <w:numPr>
          <w:ilvl w:val="0"/>
          <w:numId w:val="5"/>
        </w:numPr>
        <w:tabs>
          <w:tab w:pos="1178" w:val="left" w:leader="none"/>
          <w:tab w:pos="1180" w:val="left" w:leader="none"/>
        </w:tabs>
        <w:spacing w:line="276" w:lineRule="auto" w:before="288" w:after="0"/>
        <w:ind w:left="1180" w:right="640" w:hanging="361"/>
        <w:jc w:val="left"/>
        <w:rPr>
          <w:sz w:val="22"/>
        </w:rPr>
      </w:pPr>
      <w:r>
        <w:rPr>
          <w:sz w:val="22"/>
        </w:rPr>
        <w:t>Fund</w:t>
      </w:r>
      <w:r>
        <w:rPr>
          <w:spacing w:val="40"/>
          <w:sz w:val="22"/>
        </w:rPr>
        <w:t> </w:t>
      </w:r>
      <w:r>
        <w:rPr>
          <w:sz w:val="22"/>
        </w:rPr>
        <w:t>more</w:t>
      </w:r>
      <w:r>
        <w:rPr>
          <w:spacing w:val="40"/>
          <w:sz w:val="22"/>
        </w:rPr>
        <w:t> </w:t>
      </w:r>
      <w:r>
        <w:rPr>
          <w:sz w:val="22"/>
        </w:rPr>
        <w:t>statewide</w:t>
      </w:r>
      <w:r>
        <w:rPr>
          <w:spacing w:val="40"/>
          <w:sz w:val="22"/>
        </w:rPr>
        <w:t> </w:t>
      </w:r>
      <w:r>
        <w:rPr>
          <w:sz w:val="22"/>
        </w:rPr>
        <w:t>research</w:t>
      </w:r>
      <w:r>
        <w:rPr>
          <w:spacing w:val="40"/>
          <w:sz w:val="22"/>
        </w:rPr>
        <w:t> </w:t>
      </w:r>
      <w:r>
        <w:rPr>
          <w:sz w:val="22"/>
        </w:rPr>
        <w:t>about</w:t>
      </w:r>
      <w:r>
        <w:rPr>
          <w:spacing w:val="40"/>
          <w:sz w:val="22"/>
        </w:rPr>
        <w:t> </w:t>
      </w:r>
      <w:r>
        <w:rPr>
          <w:sz w:val="22"/>
        </w:rPr>
        <w:t>mental</w:t>
      </w:r>
      <w:r>
        <w:rPr>
          <w:spacing w:val="40"/>
          <w:sz w:val="22"/>
        </w:rPr>
        <w:t> </w:t>
      </w:r>
      <w:r>
        <w:rPr>
          <w:sz w:val="22"/>
        </w:rPr>
        <w:t>health</w:t>
      </w:r>
      <w:r>
        <w:rPr>
          <w:spacing w:val="40"/>
          <w:sz w:val="22"/>
        </w:rPr>
        <w:t> </w:t>
      </w:r>
      <w:r>
        <w:rPr>
          <w:sz w:val="22"/>
        </w:rPr>
        <w:t>and</w:t>
      </w:r>
      <w:r>
        <w:rPr>
          <w:spacing w:val="40"/>
          <w:sz w:val="22"/>
        </w:rPr>
        <w:t> </w:t>
      </w:r>
      <w:r>
        <w:rPr>
          <w:sz w:val="22"/>
        </w:rPr>
        <w:t>suicide</w:t>
      </w:r>
      <w:r>
        <w:rPr>
          <w:spacing w:val="40"/>
          <w:sz w:val="22"/>
        </w:rPr>
        <w:t> </w:t>
      </w:r>
      <w:r>
        <w:rPr>
          <w:sz w:val="22"/>
        </w:rPr>
        <w:t>prevention</w:t>
      </w:r>
      <w:r>
        <w:rPr>
          <w:spacing w:val="40"/>
          <w:sz w:val="22"/>
        </w:rPr>
        <w:t> </w:t>
      </w:r>
      <w:r>
        <w:rPr>
          <w:sz w:val="22"/>
        </w:rPr>
        <w:t>treatment approaches for LGBTQ youth.</w:t>
      </w:r>
    </w:p>
    <w:p>
      <w:pPr>
        <w:pStyle w:val="ListParagraph"/>
        <w:numPr>
          <w:ilvl w:val="0"/>
          <w:numId w:val="5"/>
        </w:numPr>
        <w:tabs>
          <w:tab w:pos="1179" w:val="left" w:leader="none"/>
        </w:tabs>
        <w:spacing w:line="240" w:lineRule="auto" w:before="1" w:after="0"/>
        <w:ind w:left="1179" w:right="0" w:hanging="359"/>
        <w:jc w:val="left"/>
        <w:rPr>
          <w:sz w:val="22"/>
        </w:rPr>
      </w:pPr>
      <w:r>
        <w:rPr>
          <w:sz w:val="22"/>
        </w:rPr>
        <w:t>Support</w:t>
      </w:r>
      <w:r>
        <w:rPr>
          <w:spacing w:val="-8"/>
          <w:sz w:val="22"/>
        </w:rPr>
        <w:t> </w:t>
      </w:r>
      <w:r>
        <w:rPr>
          <w:sz w:val="22"/>
        </w:rPr>
        <w:t>reforms</w:t>
      </w:r>
      <w:r>
        <w:rPr>
          <w:spacing w:val="-7"/>
          <w:sz w:val="22"/>
        </w:rPr>
        <w:t> </w:t>
      </w:r>
      <w:r>
        <w:rPr>
          <w:sz w:val="22"/>
        </w:rPr>
        <w:t>of</w:t>
      </w:r>
      <w:r>
        <w:rPr>
          <w:spacing w:val="-8"/>
          <w:sz w:val="22"/>
        </w:rPr>
        <w:t> </w:t>
      </w:r>
      <w:r>
        <w:rPr>
          <w:sz w:val="22"/>
        </w:rPr>
        <w:t>the</w:t>
      </w:r>
      <w:r>
        <w:rPr>
          <w:spacing w:val="-8"/>
          <w:sz w:val="22"/>
        </w:rPr>
        <w:t> </w:t>
      </w:r>
      <w:r>
        <w:rPr>
          <w:sz w:val="22"/>
        </w:rPr>
        <w:t>mental</w:t>
      </w:r>
      <w:r>
        <w:rPr>
          <w:spacing w:val="-8"/>
          <w:sz w:val="22"/>
        </w:rPr>
        <w:t> </w:t>
      </w:r>
      <w:r>
        <w:rPr>
          <w:sz w:val="22"/>
        </w:rPr>
        <w:t>healthcare</w:t>
      </w:r>
      <w:r>
        <w:rPr>
          <w:spacing w:val="-8"/>
          <w:sz w:val="22"/>
        </w:rPr>
        <w:t> </w:t>
      </w:r>
      <w:r>
        <w:rPr>
          <w:sz w:val="22"/>
        </w:rPr>
        <w:t>and</w:t>
      </w:r>
      <w:r>
        <w:rPr>
          <w:spacing w:val="-7"/>
          <w:sz w:val="22"/>
        </w:rPr>
        <w:t> </w:t>
      </w:r>
      <w:r>
        <w:rPr>
          <w:sz w:val="22"/>
        </w:rPr>
        <w:t>health</w:t>
      </w:r>
      <w:r>
        <w:rPr>
          <w:spacing w:val="-7"/>
          <w:sz w:val="22"/>
        </w:rPr>
        <w:t> </w:t>
      </w:r>
      <w:r>
        <w:rPr>
          <w:sz w:val="22"/>
        </w:rPr>
        <w:t>insurance</w:t>
      </w:r>
      <w:r>
        <w:rPr>
          <w:spacing w:val="-8"/>
          <w:sz w:val="22"/>
        </w:rPr>
        <w:t> </w:t>
      </w:r>
      <w:r>
        <w:rPr>
          <w:spacing w:val="-2"/>
          <w:sz w:val="22"/>
        </w:rPr>
        <w:t>systems.</w:t>
      </w:r>
    </w:p>
    <w:p>
      <w:pPr>
        <w:pStyle w:val="ListParagraph"/>
        <w:numPr>
          <w:ilvl w:val="0"/>
          <w:numId w:val="5"/>
        </w:numPr>
        <w:tabs>
          <w:tab w:pos="1178" w:val="left" w:leader="none"/>
          <w:tab w:pos="1180" w:val="left" w:leader="none"/>
        </w:tabs>
        <w:spacing w:line="276" w:lineRule="auto" w:before="39" w:after="0"/>
        <w:ind w:left="1180" w:right="635" w:hanging="361"/>
        <w:jc w:val="left"/>
        <w:rPr>
          <w:sz w:val="22"/>
        </w:rPr>
      </w:pPr>
      <w:r>
        <w:rPr>
          <w:sz w:val="22"/>
        </w:rPr>
        <w:t>Promote</w:t>
      </w:r>
      <w:r>
        <w:rPr>
          <w:spacing w:val="40"/>
          <w:sz w:val="22"/>
        </w:rPr>
        <w:t> </w:t>
      </w:r>
      <w:r>
        <w:rPr>
          <w:sz w:val="22"/>
        </w:rPr>
        <w:t>services</w:t>
      </w:r>
      <w:r>
        <w:rPr>
          <w:spacing w:val="40"/>
          <w:sz w:val="22"/>
        </w:rPr>
        <w:t> </w:t>
      </w:r>
      <w:r>
        <w:rPr>
          <w:sz w:val="22"/>
        </w:rPr>
        <w:t>that</w:t>
      </w:r>
      <w:r>
        <w:rPr>
          <w:spacing w:val="40"/>
          <w:sz w:val="22"/>
        </w:rPr>
        <w:t> </w:t>
      </w:r>
      <w:r>
        <w:rPr>
          <w:sz w:val="22"/>
        </w:rPr>
        <w:t>address</w:t>
      </w:r>
      <w:r>
        <w:rPr>
          <w:spacing w:val="40"/>
          <w:sz w:val="22"/>
        </w:rPr>
        <w:t> </w:t>
      </w:r>
      <w:r>
        <w:rPr>
          <w:sz w:val="22"/>
        </w:rPr>
        <w:t>youths’</w:t>
      </w:r>
      <w:r>
        <w:rPr>
          <w:spacing w:val="40"/>
          <w:sz w:val="22"/>
        </w:rPr>
        <w:t> </w:t>
      </w:r>
      <w:r>
        <w:rPr>
          <w:sz w:val="22"/>
        </w:rPr>
        <w:t>intersectional</w:t>
      </w:r>
      <w:r>
        <w:rPr>
          <w:spacing w:val="40"/>
          <w:sz w:val="22"/>
        </w:rPr>
        <w:t> </w:t>
      </w:r>
      <w:r>
        <w:rPr>
          <w:sz w:val="22"/>
        </w:rPr>
        <w:t>identities,</w:t>
      </w:r>
      <w:r>
        <w:rPr>
          <w:spacing w:val="40"/>
          <w:sz w:val="22"/>
        </w:rPr>
        <w:t> </w:t>
      </w:r>
      <w:r>
        <w:rPr>
          <w:sz w:val="22"/>
        </w:rPr>
        <w:t>including</w:t>
      </w:r>
      <w:r>
        <w:rPr>
          <w:spacing w:val="40"/>
          <w:sz w:val="22"/>
        </w:rPr>
        <w:t> </w:t>
      </w:r>
      <w:r>
        <w:rPr>
          <w:sz w:val="22"/>
        </w:rPr>
        <w:t>race/ethnicity, immigration, ability, involvement in juvenile justice or foster care, and rural residence.</w:t>
      </w:r>
    </w:p>
    <w:p>
      <w:pPr>
        <w:pStyle w:val="ListParagraph"/>
        <w:numPr>
          <w:ilvl w:val="0"/>
          <w:numId w:val="5"/>
        </w:numPr>
        <w:tabs>
          <w:tab w:pos="1178" w:val="left" w:leader="none"/>
          <w:tab w:pos="1180" w:val="left" w:leader="none"/>
        </w:tabs>
        <w:spacing w:line="276" w:lineRule="auto" w:before="1" w:after="0"/>
        <w:ind w:left="1180" w:right="638" w:hanging="361"/>
        <w:jc w:val="left"/>
        <w:rPr>
          <w:sz w:val="22"/>
        </w:rPr>
      </w:pPr>
      <w:r>
        <w:rPr>
          <w:sz w:val="22"/>
        </w:rPr>
        <w:t>Increase funding to hire and retain more MHPs in order to meet nationally-recommended</w:t>
      </w:r>
      <w:r>
        <w:rPr>
          <w:spacing w:val="40"/>
          <w:sz w:val="22"/>
        </w:rPr>
        <w:t> </w:t>
      </w:r>
      <w:r>
        <w:rPr>
          <w:sz w:val="22"/>
        </w:rPr>
        <w:t>ratios between MHPs and youth.</w:t>
      </w:r>
    </w:p>
    <w:p>
      <w:pPr>
        <w:spacing w:after="0" w:line="276" w:lineRule="auto"/>
        <w:jc w:val="left"/>
        <w:rPr>
          <w:sz w:val="22"/>
        </w:rPr>
        <w:sectPr>
          <w:headerReference w:type="default" r:id="rId26"/>
          <w:footerReference w:type="default" r:id="rId27"/>
          <w:pgSz w:w="12240" w:h="15840"/>
          <w:pgMar w:header="1227" w:footer="1061" w:top="1500" w:bottom="1260" w:left="980" w:right="1160"/>
        </w:sectPr>
      </w:pPr>
    </w:p>
    <w:p>
      <w:pPr>
        <w:pStyle w:val="BodyText"/>
        <w:spacing w:before="29"/>
      </w:pPr>
    </w:p>
    <w:p>
      <w:pPr>
        <w:pStyle w:val="BodyText"/>
        <w:spacing w:line="276" w:lineRule="auto"/>
        <w:ind w:left="604" w:right="421" w:hanging="3"/>
        <w:jc w:val="both"/>
      </w:pPr>
      <w:bookmarkStart w:name="Addressing Pediatric Health (2023)" w:id="45"/>
      <w:bookmarkEnd w:id="45"/>
      <w:r>
        <w:rPr/>
      </w:r>
      <w:r>
        <w:rPr/>
        <w:t>The history of LGBTQ pediatric health is plagued by stigma, discrimination, and violence, and LGBTQ youth in the Commonwealth continue to face numerous challenges in accessing quality, culturally competent</w:t>
      </w:r>
      <w:r>
        <w:rPr>
          <w:spacing w:val="-11"/>
        </w:rPr>
        <w:t> </w:t>
      </w:r>
      <w:r>
        <w:rPr/>
        <w:t>healthcare.</w:t>
      </w:r>
      <w:r>
        <w:rPr>
          <w:spacing w:val="-10"/>
        </w:rPr>
        <w:t> </w:t>
      </w:r>
      <w:r>
        <w:rPr/>
        <w:t>With</w:t>
      </w:r>
      <w:r>
        <w:rPr>
          <w:spacing w:val="-10"/>
        </w:rPr>
        <w:t> </w:t>
      </w:r>
      <w:r>
        <w:rPr/>
        <w:t>the</w:t>
      </w:r>
      <w:r>
        <w:rPr>
          <w:spacing w:val="-10"/>
        </w:rPr>
        <w:t> </w:t>
      </w:r>
      <w:r>
        <w:rPr/>
        <w:t>proliferation</w:t>
      </w:r>
      <w:r>
        <w:rPr>
          <w:spacing w:val="-12"/>
        </w:rPr>
        <w:t> </w:t>
      </w:r>
      <w:r>
        <w:rPr/>
        <w:t>of</w:t>
      </w:r>
      <w:r>
        <w:rPr>
          <w:spacing w:val="-10"/>
        </w:rPr>
        <w:t> </w:t>
      </w:r>
      <w:r>
        <w:rPr/>
        <w:t>anti-trans</w:t>
      </w:r>
      <w:r>
        <w:rPr>
          <w:spacing w:val="-11"/>
        </w:rPr>
        <w:t> </w:t>
      </w:r>
      <w:r>
        <w:rPr/>
        <w:t>legislation</w:t>
      </w:r>
      <w:r>
        <w:rPr>
          <w:spacing w:val="-12"/>
        </w:rPr>
        <w:t> </w:t>
      </w:r>
      <w:r>
        <w:rPr/>
        <w:t>and</w:t>
      </w:r>
      <w:r>
        <w:rPr>
          <w:spacing w:val="-10"/>
        </w:rPr>
        <w:t> </w:t>
      </w:r>
      <w:r>
        <w:rPr/>
        <w:t>stigma</w:t>
      </w:r>
      <w:r>
        <w:rPr>
          <w:spacing w:val="-11"/>
        </w:rPr>
        <w:t> </w:t>
      </w:r>
      <w:r>
        <w:rPr/>
        <w:t>that</w:t>
      </w:r>
      <w:r>
        <w:rPr>
          <w:spacing w:val="-11"/>
        </w:rPr>
        <w:t> </w:t>
      </w:r>
      <w:r>
        <w:rPr/>
        <w:t>has</w:t>
      </w:r>
      <w:r>
        <w:rPr>
          <w:spacing w:val="-11"/>
        </w:rPr>
        <w:t> </w:t>
      </w:r>
      <w:r>
        <w:rPr/>
        <w:t>swept</w:t>
      </w:r>
      <w:r>
        <w:rPr>
          <w:spacing w:val="-11"/>
        </w:rPr>
        <w:t> </w:t>
      </w:r>
      <w:r>
        <w:rPr/>
        <w:t>across the</w:t>
      </w:r>
      <w:r>
        <w:rPr>
          <w:spacing w:val="-5"/>
        </w:rPr>
        <w:t> </w:t>
      </w:r>
      <w:r>
        <w:rPr/>
        <w:t>nation,</w:t>
      </w:r>
      <w:r>
        <w:rPr>
          <w:spacing w:val="-5"/>
        </w:rPr>
        <w:t> </w:t>
      </w:r>
      <w:r>
        <w:rPr/>
        <w:t>it</w:t>
      </w:r>
      <w:r>
        <w:rPr>
          <w:spacing w:val="-4"/>
        </w:rPr>
        <w:t> </w:t>
      </w:r>
      <w:r>
        <w:rPr/>
        <w:t>is</w:t>
      </w:r>
      <w:r>
        <w:rPr>
          <w:spacing w:val="-5"/>
        </w:rPr>
        <w:t> </w:t>
      </w:r>
      <w:r>
        <w:rPr/>
        <w:t>undeniable</w:t>
      </w:r>
      <w:r>
        <w:rPr>
          <w:spacing w:val="-4"/>
        </w:rPr>
        <w:t> </w:t>
      </w:r>
      <w:r>
        <w:rPr/>
        <w:t>that</w:t>
      </w:r>
      <w:r>
        <w:rPr>
          <w:spacing w:val="-5"/>
        </w:rPr>
        <w:t> </w:t>
      </w:r>
      <w:r>
        <w:rPr/>
        <w:t>the</w:t>
      </w:r>
      <w:r>
        <w:rPr>
          <w:spacing w:val="-5"/>
        </w:rPr>
        <w:t> </w:t>
      </w:r>
      <w:r>
        <w:rPr/>
        <w:t>access</w:t>
      </w:r>
      <w:r>
        <w:rPr>
          <w:spacing w:val="-5"/>
        </w:rPr>
        <w:t> </w:t>
      </w:r>
      <w:r>
        <w:rPr/>
        <w:t>of</w:t>
      </w:r>
      <w:r>
        <w:rPr>
          <w:spacing w:val="-5"/>
        </w:rPr>
        <w:t> </w:t>
      </w:r>
      <w:r>
        <w:rPr/>
        <w:t>LGBTQ</w:t>
      </w:r>
      <w:r>
        <w:rPr>
          <w:spacing w:val="-5"/>
        </w:rPr>
        <w:t> </w:t>
      </w:r>
      <w:r>
        <w:rPr/>
        <w:t>children</w:t>
      </w:r>
      <w:r>
        <w:rPr>
          <w:spacing w:val="-4"/>
        </w:rPr>
        <w:t> </w:t>
      </w:r>
      <w:r>
        <w:rPr/>
        <w:t>to</w:t>
      </w:r>
      <w:r>
        <w:rPr>
          <w:spacing w:val="-5"/>
        </w:rPr>
        <w:t> </w:t>
      </w:r>
      <w:r>
        <w:rPr/>
        <w:t>appropriate</w:t>
      </w:r>
      <w:r>
        <w:rPr>
          <w:spacing w:val="-5"/>
        </w:rPr>
        <w:t> </w:t>
      </w:r>
      <w:r>
        <w:rPr/>
        <w:t>and</w:t>
      </w:r>
      <w:r>
        <w:rPr>
          <w:spacing w:val="-4"/>
        </w:rPr>
        <w:t> </w:t>
      </w:r>
      <w:r>
        <w:rPr/>
        <w:t>affirming</w:t>
      </w:r>
      <w:r>
        <w:rPr>
          <w:spacing w:val="-5"/>
        </w:rPr>
        <w:t> </w:t>
      </w:r>
      <w:r>
        <w:rPr/>
        <w:t>health</w:t>
      </w:r>
      <w:r>
        <w:rPr>
          <w:spacing w:val="-5"/>
        </w:rPr>
        <w:t> </w:t>
      </w:r>
      <w:r>
        <w:rPr/>
        <w:t>care has</w:t>
      </w:r>
      <w:r>
        <w:rPr>
          <w:spacing w:val="-1"/>
        </w:rPr>
        <w:t> </w:t>
      </w:r>
      <w:r>
        <w:rPr/>
        <w:t>significantly decreased,</w:t>
      </w:r>
      <w:r>
        <w:rPr>
          <w:spacing w:val="-1"/>
        </w:rPr>
        <w:t> </w:t>
      </w:r>
      <w:r>
        <w:rPr/>
        <w:t>even</w:t>
      </w:r>
      <w:r>
        <w:rPr>
          <w:spacing w:val="-1"/>
        </w:rPr>
        <w:t> </w:t>
      </w:r>
      <w:r>
        <w:rPr/>
        <w:t>in</w:t>
      </w:r>
      <w:r>
        <w:rPr>
          <w:spacing w:val="-1"/>
        </w:rPr>
        <w:t> </w:t>
      </w:r>
      <w:r>
        <w:rPr/>
        <w:t>Massachusetts.</w:t>
      </w:r>
      <w:r>
        <w:rPr>
          <w:spacing w:val="-1"/>
        </w:rPr>
        <w:t> </w:t>
      </w:r>
      <w:r>
        <w:rPr/>
        <w:t>It</w:t>
      </w:r>
      <w:r>
        <w:rPr>
          <w:spacing w:val="-1"/>
        </w:rPr>
        <w:t> </w:t>
      </w:r>
      <w:r>
        <w:rPr/>
        <w:t>is imperative that</w:t>
      </w:r>
      <w:r>
        <w:rPr>
          <w:spacing w:val="-1"/>
        </w:rPr>
        <w:t> </w:t>
      </w:r>
      <w:r>
        <w:rPr/>
        <w:t>the</w:t>
      </w:r>
      <w:r>
        <w:rPr>
          <w:spacing w:val="-2"/>
        </w:rPr>
        <w:t> </w:t>
      </w:r>
      <w:r>
        <w:rPr/>
        <w:t>Commonwealth</w:t>
      </w:r>
      <w:r>
        <w:rPr>
          <w:spacing w:val="-1"/>
        </w:rPr>
        <w:t> </w:t>
      </w:r>
      <w:r>
        <w:rPr/>
        <w:t>continue to address priority needs identified in subsequent sections of this report, while also prioritizing addressing the multiple forms of oppression often experienced by individuals in uniquely adverse situations.</w:t>
      </w:r>
      <w:r>
        <w:rPr>
          <w:vertAlign w:val="superscript"/>
        </w:rPr>
        <w:t>1</w:t>
      </w:r>
      <w:r>
        <w:rPr>
          <w:vertAlign w:val="baseline"/>
        </w:rPr>
        <w:t> The Commonwealth must address the social inequities that create health disparities amongst marginalized and underserved communities, focus on social determinants of health, and move</w:t>
      </w:r>
      <w:r>
        <w:rPr>
          <w:spacing w:val="-13"/>
          <w:vertAlign w:val="baseline"/>
        </w:rPr>
        <w:t> </w:t>
      </w:r>
      <w:r>
        <w:rPr>
          <w:vertAlign w:val="baseline"/>
        </w:rPr>
        <w:t>away</w:t>
      </w:r>
      <w:r>
        <w:rPr>
          <w:spacing w:val="-12"/>
          <w:vertAlign w:val="baseline"/>
        </w:rPr>
        <w:t> </w:t>
      </w:r>
      <w:r>
        <w:rPr>
          <w:vertAlign w:val="baseline"/>
        </w:rPr>
        <w:t>from</w:t>
      </w:r>
      <w:r>
        <w:rPr>
          <w:spacing w:val="-13"/>
          <w:vertAlign w:val="baseline"/>
        </w:rPr>
        <w:t> </w:t>
      </w:r>
      <w:r>
        <w:rPr>
          <w:vertAlign w:val="baseline"/>
        </w:rPr>
        <w:t>an</w:t>
      </w:r>
      <w:r>
        <w:rPr>
          <w:spacing w:val="-12"/>
          <w:vertAlign w:val="baseline"/>
        </w:rPr>
        <w:t> </w:t>
      </w:r>
      <w:r>
        <w:rPr>
          <w:vertAlign w:val="baseline"/>
        </w:rPr>
        <w:t>individualistic</w:t>
      </w:r>
      <w:r>
        <w:rPr>
          <w:spacing w:val="-13"/>
          <w:vertAlign w:val="baseline"/>
        </w:rPr>
        <w:t> </w:t>
      </w:r>
      <w:r>
        <w:rPr>
          <w:vertAlign w:val="baseline"/>
        </w:rPr>
        <w:t>model</w:t>
      </w:r>
      <w:r>
        <w:rPr>
          <w:spacing w:val="-12"/>
          <w:vertAlign w:val="baseline"/>
        </w:rPr>
        <w:t> </w:t>
      </w:r>
      <w:r>
        <w:rPr>
          <w:vertAlign w:val="baseline"/>
        </w:rPr>
        <w:t>of</w:t>
      </w:r>
      <w:r>
        <w:rPr>
          <w:spacing w:val="-13"/>
          <w:vertAlign w:val="baseline"/>
        </w:rPr>
        <w:t> </w:t>
      </w:r>
      <w:r>
        <w:rPr>
          <w:vertAlign w:val="baseline"/>
        </w:rPr>
        <w:t>care.</w:t>
      </w:r>
      <w:r>
        <w:rPr>
          <w:spacing w:val="-12"/>
          <w:vertAlign w:val="baseline"/>
        </w:rPr>
        <w:t> </w:t>
      </w:r>
      <w:r>
        <w:rPr>
          <w:vertAlign w:val="baseline"/>
        </w:rPr>
        <w:t>Republishing</w:t>
      </w:r>
      <w:r>
        <w:rPr>
          <w:spacing w:val="-12"/>
          <w:vertAlign w:val="baseline"/>
        </w:rPr>
        <w:t> </w:t>
      </w:r>
      <w:r>
        <w:rPr>
          <w:vertAlign w:val="baseline"/>
        </w:rPr>
        <w:t>from</w:t>
      </w:r>
      <w:r>
        <w:rPr>
          <w:spacing w:val="-13"/>
          <w:vertAlign w:val="baseline"/>
        </w:rPr>
        <w:t> </w:t>
      </w:r>
      <w:r>
        <w:rPr>
          <w:vertAlign w:val="baseline"/>
        </w:rPr>
        <w:t>its</w:t>
      </w:r>
      <w:r>
        <w:rPr>
          <w:spacing w:val="-12"/>
          <w:vertAlign w:val="baseline"/>
        </w:rPr>
        <w:t> </w:t>
      </w:r>
      <w:r>
        <w:rPr>
          <w:vertAlign w:val="baseline"/>
        </w:rPr>
        <w:t>FY</w:t>
      </w:r>
      <w:r>
        <w:rPr>
          <w:spacing w:val="-13"/>
          <w:vertAlign w:val="baseline"/>
        </w:rPr>
        <w:t> </w:t>
      </w:r>
      <w:r>
        <w:rPr>
          <w:vertAlign w:val="baseline"/>
        </w:rPr>
        <w:t>2024</w:t>
      </w:r>
      <w:r>
        <w:rPr>
          <w:spacing w:val="-12"/>
          <w:vertAlign w:val="baseline"/>
        </w:rPr>
        <w:t> </w:t>
      </w:r>
      <w:r>
        <w:rPr>
          <w:vertAlign w:val="baseline"/>
        </w:rPr>
        <w:t>report,</w:t>
      </w:r>
      <w:r>
        <w:rPr>
          <w:spacing w:val="-13"/>
          <w:vertAlign w:val="baseline"/>
        </w:rPr>
        <w:t> </w:t>
      </w:r>
      <w:r>
        <w:rPr>
          <w:vertAlign w:val="baseline"/>
        </w:rPr>
        <w:t>the</w:t>
      </w:r>
      <w:r>
        <w:rPr>
          <w:spacing w:val="-12"/>
          <w:vertAlign w:val="baseline"/>
        </w:rPr>
        <w:t> </w:t>
      </w:r>
      <w:r>
        <w:rPr>
          <w:vertAlign w:val="baseline"/>
        </w:rPr>
        <w:t>Commission </w:t>
      </w:r>
      <w:r>
        <w:rPr>
          <w:spacing w:val="-2"/>
          <w:vertAlign w:val="baseline"/>
        </w:rPr>
        <w:t>dedicates</w:t>
      </w:r>
      <w:r>
        <w:rPr>
          <w:spacing w:val="-3"/>
          <w:vertAlign w:val="baseline"/>
        </w:rPr>
        <w:t> </w:t>
      </w:r>
      <w:r>
        <w:rPr>
          <w:spacing w:val="-2"/>
          <w:vertAlign w:val="baseline"/>
        </w:rPr>
        <w:t>this health</w:t>
      </w:r>
      <w:r>
        <w:rPr>
          <w:spacing w:val="-3"/>
          <w:vertAlign w:val="baseline"/>
        </w:rPr>
        <w:t> </w:t>
      </w:r>
      <w:r>
        <w:rPr>
          <w:spacing w:val="-2"/>
          <w:vertAlign w:val="baseline"/>
        </w:rPr>
        <w:t>section</w:t>
      </w:r>
      <w:r>
        <w:rPr>
          <w:spacing w:val="-3"/>
          <w:vertAlign w:val="baseline"/>
        </w:rPr>
        <w:t> </w:t>
      </w:r>
      <w:r>
        <w:rPr>
          <w:spacing w:val="-2"/>
          <w:vertAlign w:val="baseline"/>
        </w:rPr>
        <w:t>to</w:t>
      </w:r>
      <w:r>
        <w:rPr>
          <w:spacing w:val="-3"/>
          <w:vertAlign w:val="baseline"/>
        </w:rPr>
        <w:t> </w:t>
      </w:r>
      <w:r>
        <w:rPr>
          <w:spacing w:val="-2"/>
          <w:vertAlign w:val="baseline"/>
        </w:rPr>
        <w:t>research and</w:t>
      </w:r>
      <w:r>
        <w:rPr>
          <w:spacing w:val="-3"/>
          <w:vertAlign w:val="baseline"/>
        </w:rPr>
        <w:t> </w:t>
      </w:r>
      <w:r>
        <w:rPr>
          <w:spacing w:val="-2"/>
          <w:vertAlign w:val="baseline"/>
        </w:rPr>
        <w:t>recommendations</w:t>
      </w:r>
      <w:r>
        <w:rPr>
          <w:spacing w:val="-3"/>
          <w:vertAlign w:val="baseline"/>
        </w:rPr>
        <w:t> </w:t>
      </w:r>
      <w:r>
        <w:rPr>
          <w:spacing w:val="-2"/>
          <w:vertAlign w:val="baseline"/>
        </w:rPr>
        <w:t>in the</w:t>
      </w:r>
      <w:r>
        <w:rPr>
          <w:spacing w:val="-3"/>
          <w:vertAlign w:val="baseline"/>
        </w:rPr>
        <w:t> </w:t>
      </w:r>
      <w:r>
        <w:rPr>
          <w:spacing w:val="-2"/>
          <w:vertAlign w:val="baseline"/>
        </w:rPr>
        <w:t>specific areas</w:t>
      </w:r>
      <w:r>
        <w:rPr>
          <w:spacing w:val="-3"/>
          <w:vertAlign w:val="baseline"/>
        </w:rPr>
        <w:t> </w:t>
      </w:r>
      <w:r>
        <w:rPr>
          <w:spacing w:val="-2"/>
          <w:vertAlign w:val="baseline"/>
        </w:rPr>
        <w:t>of</w:t>
      </w:r>
      <w:r>
        <w:rPr>
          <w:spacing w:val="-3"/>
          <w:vertAlign w:val="baseline"/>
        </w:rPr>
        <w:t> </w:t>
      </w:r>
      <w:r>
        <w:rPr>
          <w:spacing w:val="-2"/>
          <w:vertAlign w:val="baseline"/>
        </w:rPr>
        <w:t>pediatric</w:t>
      </w:r>
      <w:r>
        <w:rPr>
          <w:spacing w:val="-4"/>
          <w:vertAlign w:val="baseline"/>
        </w:rPr>
        <w:t> </w:t>
      </w:r>
      <w:r>
        <w:rPr>
          <w:spacing w:val="-2"/>
          <w:vertAlign w:val="baseline"/>
        </w:rPr>
        <w:t>health, </w:t>
      </w:r>
      <w:r>
        <w:rPr>
          <w:vertAlign w:val="baseline"/>
        </w:rPr>
        <w:t>or the health care of youth under 18.</w:t>
      </w:r>
    </w:p>
    <w:p>
      <w:pPr>
        <w:spacing w:before="239"/>
        <w:ind w:left="604" w:right="0" w:firstLine="0"/>
        <w:jc w:val="both"/>
        <w:rPr>
          <w:sz w:val="26"/>
        </w:rPr>
      </w:pPr>
      <w:bookmarkStart w:name="FY 2025 Recommendations to the Governor " w:id="46"/>
      <w:bookmarkEnd w:id="46"/>
      <w:r>
        <w:rPr/>
      </w:r>
      <w:r>
        <w:rPr>
          <w:color w:val="404040"/>
          <w:sz w:val="26"/>
        </w:rPr>
        <w:t>FY</w:t>
      </w:r>
      <w:r>
        <w:rPr>
          <w:color w:val="404040"/>
          <w:spacing w:val="-5"/>
          <w:sz w:val="26"/>
        </w:rPr>
        <w:t> </w:t>
      </w:r>
      <w:r>
        <w:rPr>
          <w:color w:val="404040"/>
          <w:sz w:val="26"/>
        </w:rPr>
        <w:t>2025</w:t>
      </w:r>
      <w:r>
        <w:rPr>
          <w:color w:val="404040"/>
          <w:spacing w:val="-3"/>
          <w:sz w:val="26"/>
        </w:rPr>
        <w:t> </w:t>
      </w:r>
      <w:r>
        <w:rPr>
          <w:color w:val="404040"/>
          <w:sz w:val="26"/>
        </w:rPr>
        <w:t>Recommendations</w:t>
      </w:r>
      <w:r>
        <w:rPr>
          <w:color w:val="404040"/>
          <w:spacing w:val="-3"/>
          <w:sz w:val="26"/>
        </w:rPr>
        <w:t> </w:t>
      </w:r>
      <w:r>
        <w:rPr>
          <w:color w:val="404040"/>
          <w:sz w:val="26"/>
        </w:rPr>
        <w:t>to</w:t>
      </w:r>
      <w:r>
        <w:rPr>
          <w:color w:val="404040"/>
          <w:spacing w:val="-4"/>
          <w:sz w:val="26"/>
        </w:rPr>
        <w:t> </w:t>
      </w:r>
      <w:r>
        <w:rPr>
          <w:color w:val="404040"/>
          <w:sz w:val="26"/>
        </w:rPr>
        <w:t>the</w:t>
      </w:r>
      <w:r>
        <w:rPr>
          <w:color w:val="404040"/>
          <w:spacing w:val="-5"/>
          <w:sz w:val="26"/>
        </w:rPr>
        <w:t> </w:t>
      </w:r>
      <w:r>
        <w:rPr>
          <w:color w:val="404040"/>
          <w:sz w:val="26"/>
        </w:rPr>
        <w:t>Governor</w:t>
      </w:r>
      <w:r>
        <w:rPr>
          <w:color w:val="404040"/>
          <w:spacing w:val="-4"/>
          <w:sz w:val="26"/>
        </w:rPr>
        <w:t> </w:t>
      </w:r>
      <w:r>
        <w:rPr>
          <w:color w:val="404040"/>
          <w:sz w:val="26"/>
        </w:rPr>
        <w:t>&amp;</w:t>
      </w:r>
      <w:r>
        <w:rPr>
          <w:color w:val="404040"/>
          <w:spacing w:val="-2"/>
          <w:sz w:val="26"/>
        </w:rPr>
        <w:t> </w:t>
      </w:r>
      <w:r>
        <w:rPr>
          <w:color w:val="404040"/>
          <w:sz w:val="26"/>
        </w:rPr>
        <w:t>Legislature</w:t>
      </w:r>
      <w:r>
        <w:rPr>
          <w:color w:val="404040"/>
          <w:spacing w:val="-3"/>
          <w:sz w:val="26"/>
        </w:rPr>
        <w:t> </w:t>
      </w:r>
      <w:r>
        <w:rPr>
          <w:color w:val="404040"/>
          <w:sz w:val="26"/>
        </w:rPr>
        <w:t>on</w:t>
      </w:r>
      <w:r>
        <w:rPr>
          <w:color w:val="404040"/>
          <w:spacing w:val="-4"/>
          <w:sz w:val="26"/>
        </w:rPr>
        <w:t> </w:t>
      </w:r>
      <w:r>
        <w:rPr>
          <w:color w:val="404040"/>
          <w:sz w:val="26"/>
        </w:rPr>
        <w:t>Pediatric</w:t>
      </w:r>
      <w:r>
        <w:rPr>
          <w:color w:val="404040"/>
          <w:spacing w:val="-2"/>
          <w:sz w:val="26"/>
        </w:rPr>
        <w:t> Health</w:t>
      </w:r>
    </w:p>
    <w:p>
      <w:pPr>
        <w:pStyle w:val="ListParagraph"/>
        <w:numPr>
          <w:ilvl w:val="0"/>
          <w:numId w:val="6"/>
        </w:numPr>
        <w:tabs>
          <w:tab w:pos="1178" w:val="left" w:leader="none"/>
          <w:tab w:pos="1180" w:val="left" w:leader="none"/>
        </w:tabs>
        <w:spacing w:line="276" w:lineRule="auto" w:before="288" w:after="0"/>
        <w:ind w:left="1180" w:right="639" w:hanging="361"/>
        <w:jc w:val="both"/>
        <w:rPr>
          <w:sz w:val="22"/>
        </w:rPr>
      </w:pPr>
      <w:r>
        <w:rPr>
          <w:sz w:val="22"/>
        </w:rPr>
        <w:t>Invest in access to culturally competent LGBTQ healthcare in rural and underserved </w:t>
      </w:r>
      <w:r>
        <w:rPr>
          <w:spacing w:val="-2"/>
          <w:sz w:val="22"/>
        </w:rPr>
        <w:t>communities.</w:t>
      </w:r>
    </w:p>
    <w:p>
      <w:pPr>
        <w:pStyle w:val="ListParagraph"/>
        <w:numPr>
          <w:ilvl w:val="0"/>
          <w:numId w:val="6"/>
        </w:numPr>
        <w:tabs>
          <w:tab w:pos="1178" w:val="left" w:leader="none"/>
          <w:tab w:pos="1180" w:val="left" w:leader="none"/>
        </w:tabs>
        <w:spacing w:line="276" w:lineRule="auto" w:before="0" w:after="0"/>
        <w:ind w:left="1180" w:right="637" w:hanging="361"/>
        <w:jc w:val="both"/>
        <w:rPr>
          <w:sz w:val="22"/>
        </w:rPr>
      </w:pPr>
      <w:r>
        <w:rPr>
          <w:sz w:val="22"/>
        </w:rPr>
        <w:t>Invest in substantial community-based, participatory, action-oriented research with non- white LGBTQ youth to better understand the needs of this population and improve SOGIE data collection standards.</w:t>
      </w:r>
    </w:p>
    <w:p>
      <w:pPr>
        <w:pStyle w:val="ListParagraph"/>
        <w:numPr>
          <w:ilvl w:val="0"/>
          <w:numId w:val="6"/>
        </w:numPr>
        <w:tabs>
          <w:tab w:pos="1178" w:val="left" w:leader="none"/>
          <w:tab w:pos="1180" w:val="left" w:leader="none"/>
        </w:tabs>
        <w:spacing w:line="276" w:lineRule="auto" w:before="0" w:after="0"/>
        <w:ind w:left="1180" w:right="639" w:hanging="361"/>
        <w:jc w:val="both"/>
        <w:rPr>
          <w:sz w:val="22"/>
        </w:rPr>
      </w:pPr>
      <w:r>
        <w:rPr>
          <w:sz w:val="22"/>
        </w:rPr>
        <w:t>Improve research on intersex youth communities and prohibit non-consensual unnecessary medical interventions on minors.</w:t>
      </w:r>
    </w:p>
    <w:p>
      <w:pPr>
        <w:pStyle w:val="ListParagraph"/>
        <w:numPr>
          <w:ilvl w:val="0"/>
          <w:numId w:val="6"/>
        </w:numPr>
        <w:tabs>
          <w:tab w:pos="1179" w:val="left" w:leader="none"/>
        </w:tabs>
        <w:spacing w:line="240" w:lineRule="auto" w:before="0" w:after="0"/>
        <w:ind w:left="1179" w:right="0" w:hanging="359"/>
        <w:jc w:val="both"/>
        <w:rPr>
          <w:sz w:val="22"/>
        </w:rPr>
      </w:pPr>
      <w:r>
        <w:rPr>
          <w:sz w:val="22"/>
        </w:rPr>
        <w:t>Expand</w:t>
      </w:r>
      <w:r>
        <w:rPr>
          <w:spacing w:val="-9"/>
          <w:sz w:val="22"/>
        </w:rPr>
        <w:t> </w:t>
      </w:r>
      <w:r>
        <w:rPr>
          <w:sz w:val="22"/>
        </w:rPr>
        <w:t>coverage</w:t>
      </w:r>
      <w:r>
        <w:rPr>
          <w:spacing w:val="-10"/>
          <w:sz w:val="22"/>
        </w:rPr>
        <w:t> </w:t>
      </w:r>
      <w:r>
        <w:rPr>
          <w:sz w:val="22"/>
        </w:rPr>
        <w:t>of</w:t>
      </w:r>
      <w:r>
        <w:rPr>
          <w:spacing w:val="-10"/>
          <w:sz w:val="22"/>
        </w:rPr>
        <w:t> </w:t>
      </w:r>
      <w:r>
        <w:rPr>
          <w:sz w:val="22"/>
        </w:rPr>
        <w:t>gender-affirming</w:t>
      </w:r>
      <w:r>
        <w:rPr>
          <w:spacing w:val="-9"/>
          <w:sz w:val="22"/>
        </w:rPr>
        <w:t> </w:t>
      </w:r>
      <w:r>
        <w:rPr>
          <w:sz w:val="22"/>
        </w:rPr>
        <w:t>care</w:t>
      </w:r>
      <w:r>
        <w:rPr>
          <w:spacing w:val="-10"/>
          <w:sz w:val="22"/>
        </w:rPr>
        <w:t> </w:t>
      </w:r>
      <w:r>
        <w:rPr>
          <w:sz w:val="22"/>
        </w:rPr>
        <w:t>and</w:t>
      </w:r>
      <w:r>
        <w:rPr>
          <w:spacing w:val="-9"/>
          <w:sz w:val="22"/>
        </w:rPr>
        <w:t> </w:t>
      </w:r>
      <w:r>
        <w:rPr>
          <w:sz w:val="22"/>
        </w:rPr>
        <w:t>increase</w:t>
      </w:r>
      <w:r>
        <w:rPr>
          <w:spacing w:val="-9"/>
          <w:sz w:val="22"/>
        </w:rPr>
        <w:t> </w:t>
      </w:r>
      <w:r>
        <w:rPr>
          <w:sz w:val="22"/>
        </w:rPr>
        <w:t>reimbursement</w:t>
      </w:r>
      <w:r>
        <w:rPr>
          <w:spacing w:val="-9"/>
          <w:sz w:val="22"/>
        </w:rPr>
        <w:t> </w:t>
      </w:r>
      <w:r>
        <w:rPr>
          <w:sz w:val="22"/>
        </w:rPr>
        <w:t>to</w:t>
      </w:r>
      <w:r>
        <w:rPr>
          <w:spacing w:val="-9"/>
          <w:sz w:val="22"/>
        </w:rPr>
        <w:t> </w:t>
      </w:r>
      <w:r>
        <w:rPr>
          <w:sz w:val="22"/>
        </w:rPr>
        <w:t>incentivize</w:t>
      </w:r>
      <w:r>
        <w:rPr>
          <w:spacing w:val="-9"/>
          <w:sz w:val="22"/>
        </w:rPr>
        <w:t> </w:t>
      </w:r>
      <w:r>
        <w:rPr>
          <w:spacing w:val="-2"/>
          <w:sz w:val="22"/>
        </w:rPr>
        <w:t>care.</w:t>
      </w:r>
    </w:p>
    <w:p>
      <w:pPr>
        <w:pStyle w:val="ListParagraph"/>
        <w:numPr>
          <w:ilvl w:val="0"/>
          <w:numId w:val="6"/>
        </w:numPr>
        <w:tabs>
          <w:tab w:pos="1179" w:val="left" w:leader="none"/>
          <w:tab w:pos="1181" w:val="left" w:leader="none"/>
        </w:tabs>
        <w:spacing w:line="276" w:lineRule="auto" w:before="40" w:after="0"/>
        <w:ind w:left="1181" w:right="638" w:hanging="361"/>
        <w:jc w:val="both"/>
        <w:rPr>
          <w:sz w:val="22"/>
        </w:rPr>
      </w:pPr>
      <w:r>
        <w:rPr>
          <w:sz w:val="22"/>
        </w:rPr>
        <w:t>Dedicate funding to address intimidation and violence towards healthcare workers and healthcare centers.</w:t>
      </w:r>
    </w:p>
    <w:p>
      <w:pPr>
        <w:pStyle w:val="ListParagraph"/>
        <w:numPr>
          <w:ilvl w:val="0"/>
          <w:numId w:val="6"/>
        </w:numPr>
        <w:tabs>
          <w:tab w:pos="1179" w:val="left" w:leader="none"/>
          <w:tab w:pos="1181" w:val="left" w:leader="none"/>
        </w:tabs>
        <w:spacing w:line="276" w:lineRule="auto" w:before="0" w:after="0"/>
        <w:ind w:left="1181" w:right="639" w:hanging="361"/>
        <w:jc w:val="both"/>
        <w:rPr>
          <w:sz w:val="22"/>
        </w:rPr>
      </w:pPr>
      <w:r>
        <w:rPr>
          <w:sz w:val="22"/>
        </w:rPr>
        <w:t>Integrate gender-affirming health care into the modern health care environment, and combine with primary care, mental health, and community services.</w:t>
      </w:r>
    </w:p>
    <w:p>
      <w:pPr>
        <w:spacing w:after="0" w:line="276" w:lineRule="auto"/>
        <w:jc w:val="both"/>
        <w:rPr>
          <w:sz w:val="22"/>
        </w:rPr>
        <w:sectPr>
          <w:headerReference w:type="default" r:id="rId28"/>
          <w:footerReference w:type="default" r:id="rId29"/>
          <w:pgSz w:w="12240" w:h="15840"/>
          <w:pgMar w:header="1227" w:footer="1061" w:top="1500" w:bottom="1260" w:left="980" w:right="1160"/>
        </w:sectPr>
      </w:pPr>
    </w:p>
    <w:p>
      <w:pPr>
        <w:spacing w:before="29"/>
        <w:ind w:left="604" w:right="0" w:firstLine="0"/>
        <w:jc w:val="both"/>
        <w:rPr>
          <w:sz w:val="28"/>
        </w:rPr>
      </w:pPr>
      <w:bookmarkStart w:name="Broadening Pregnancy and Gynecological H" w:id="47"/>
      <w:bookmarkEnd w:id="47"/>
      <w:r>
        <w:rPr/>
      </w:r>
      <w:r>
        <w:rPr>
          <w:color w:val="365F91"/>
          <w:sz w:val="28"/>
        </w:rPr>
        <w:t>Broadening</w:t>
      </w:r>
      <w:r>
        <w:rPr>
          <w:color w:val="365F91"/>
          <w:spacing w:val="-13"/>
          <w:sz w:val="28"/>
        </w:rPr>
        <w:t> </w:t>
      </w:r>
      <w:r>
        <w:rPr>
          <w:color w:val="365F91"/>
          <w:sz w:val="28"/>
        </w:rPr>
        <w:t>Pregnancy</w:t>
      </w:r>
      <w:r>
        <w:rPr>
          <w:color w:val="365F91"/>
          <w:spacing w:val="-13"/>
          <w:sz w:val="28"/>
        </w:rPr>
        <w:t> </w:t>
      </w:r>
      <w:r>
        <w:rPr>
          <w:color w:val="365F91"/>
          <w:sz w:val="28"/>
        </w:rPr>
        <w:t>and</w:t>
      </w:r>
      <w:r>
        <w:rPr>
          <w:color w:val="365F91"/>
          <w:spacing w:val="-14"/>
          <w:sz w:val="28"/>
        </w:rPr>
        <w:t> </w:t>
      </w:r>
      <w:r>
        <w:rPr>
          <w:color w:val="365F91"/>
          <w:sz w:val="28"/>
        </w:rPr>
        <w:t>Gynecological</w:t>
      </w:r>
      <w:r>
        <w:rPr>
          <w:color w:val="365F91"/>
          <w:spacing w:val="-12"/>
          <w:sz w:val="28"/>
        </w:rPr>
        <w:t> </w:t>
      </w:r>
      <w:r>
        <w:rPr>
          <w:color w:val="365F91"/>
          <w:sz w:val="28"/>
        </w:rPr>
        <w:t>Health</w:t>
      </w:r>
      <w:r>
        <w:rPr>
          <w:color w:val="365F91"/>
          <w:spacing w:val="-14"/>
          <w:sz w:val="28"/>
        </w:rPr>
        <w:t> </w:t>
      </w:r>
      <w:r>
        <w:rPr>
          <w:color w:val="365F91"/>
          <w:spacing w:val="-2"/>
          <w:sz w:val="28"/>
        </w:rPr>
        <w:t>(2023)</w:t>
      </w:r>
    </w:p>
    <w:p>
      <w:pPr>
        <w:pStyle w:val="BodyText"/>
        <w:spacing w:line="276" w:lineRule="auto" w:before="293"/>
        <w:ind w:left="604" w:right="421"/>
        <w:jc w:val="both"/>
      </w:pPr>
      <w:r>
        <w:rPr/>
        <w:t>This report provides background information and literature regarding issues that fall under the umbrella of pregnancy and gynecological health related to LGBTQ youth. The information details healthcare services such as gender-affirming care, contraceptives, fertility treatments, and abortion discussed</w:t>
      </w:r>
      <w:r>
        <w:rPr>
          <w:spacing w:val="-9"/>
        </w:rPr>
        <w:t> </w:t>
      </w:r>
      <w:r>
        <w:rPr/>
        <w:t>in</w:t>
      </w:r>
      <w:r>
        <w:rPr>
          <w:spacing w:val="-9"/>
        </w:rPr>
        <w:t> </w:t>
      </w:r>
      <w:r>
        <w:rPr/>
        <w:t>relation</w:t>
      </w:r>
      <w:r>
        <w:rPr>
          <w:spacing w:val="-9"/>
        </w:rPr>
        <w:t> </w:t>
      </w:r>
      <w:r>
        <w:rPr/>
        <w:t>to</w:t>
      </w:r>
      <w:r>
        <w:rPr>
          <w:spacing w:val="-7"/>
        </w:rPr>
        <w:t> </w:t>
      </w:r>
      <w:r>
        <w:rPr/>
        <w:t>LGBTQ</w:t>
      </w:r>
      <w:r>
        <w:rPr>
          <w:spacing w:val="-9"/>
        </w:rPr>
        <w:t> </w:t>
      </w:r>
      <w:r>
        <w:rPr/>
        <w:t>youth</w:t>
      </w:r>
      <w:r>
        <w:rPr>
          <w:spacing w:val="-9"/>
        </w:rPr>
        <w:t> </w:t>
      </w:r>
      <w:r>
        <w:rPr/>
        <w:t>and</w:t>
      </w:r>
      <w:r>
        <w:rPr>
          <w:spacing w:val="-9"/>
        </w:rPr>
        <w:t> </w:t>
      </w:r>
      <w:r>
        <w:rPr/>
        <w:t>the</w:t>
      </w:r>
      <w:r>
        <w:rPr>
          <w:spacing w:val="-8"/>
        </w:rPr>
        <w:t> </w:t>
      </w:r>
      <w:r>
        <w:rPr/>
        <w:t>general</w:t>
      </w:r>
      <w:r>
        <w:rPr>
          <w:spacing w:val="-6"/>
        </w:rPr>
        <w:t> </w:t>
      </w:r>
      <w:r>
        <w:rPr/>
        <w:t>LGBTQ</w:t>
      </w:r>
      <w:r>
        <w:rPr>
          <w:spacing w:val="-8"/>
        </w:rPr>
        <w:t> </w:t>
      </w:r>
      <w:r>
        <w:rPr/>
        <w:t>population.</w:t>
      </w:r>
      <w:r>
        <w:rPr>
          <w:spacing w:val="-9"/>
        </w:rPr>
        <w:t> </w:t>
      </w:r>
      <w:r>
        <w:rPr/>
        <w:t>Background</w:t>
      </w:r>
      <w:r>
        <w:rPr>
          <w:spacing w:val="-9"/>
        </w:rPr>
        <w:t> </w:t>
      </w:r>
      <w:r>
        <w:rPr/>
        <w:t>on</w:t>
      </w:r>
      <w:r>
        <w:rPr>
          <w:spacing w:val="-8"/>
        </w:rPr>
        <w:t> </w:t>
      </w:r>
      <w:r>
        <w:rPr/>
        <w:t>menstruation and pregnancy is detailed below to capture the inequities LGBTQ youth and the general LGBTQ population experience with these two biological functions. Maternal mortality is also a topic of discussion</w:t>
      </w:r>
      <w:r>
        <w:rPr>
          <w:spacing w:val="-7"/>
        </w:rPr>
        <w:t> </w:t>
      </w:r>
      <w:r>
        <w:rPr/>
        <w:t>as</w:t>
      </w:r>
      <w:r>
        <w:rPr>
          <w:spacing w:val="-5"/>
        </w:rPr>
        <w:t> </w:t>
      </w:r>
      <w:r>
        <w:rPr/>
        <w:t>there</w:t>
      </w:r>
      <w:r>
        <w:rPr>
          <w:spacing w:val="-5"/>
        </w:rPr>
        <w:t> </w:t>
      </w:r>
      <w:r>
        <w:rPr/>
        <w:t>is</w:t>
      </w:r>
      <w:r>
        <w:rPr>
          <w:spacing w:val="-6"/>
        </w:rPr>
        <w:t> </w:t>
      </w:r>
      <w:r>
        <w:rPr/>
        <w:t>a</w:t>
      </w:r>
      <w:r>
        <w:rPr>
          <w:spacing w:val="-6"/>
        </w:rPr>
        <w:t> </w:t>
      </w:r>
      <w:r>
        <w:rPr/>
        <w:t>lack</w:t>
      </w:r>
      <w:r>
        <w:rPr>
          <w:spacing w:val="-6"/>
        </w:rPr>
        <w:t> </w:t>
      </w:r>
      <w:r>
        <w:rPr/>
        <w:t>of</w:t>
      </w:r>
      <w:r>
        <w:rPr>
          <w:spacing w:val="-6"/>
        </w:rPr>
        <w:t> </w:t>
      </w:r>
      <w:r>
        <w:rPr/>
        <w:t>universal</w:t>
      </w:r>
      <w:r>
        <w:rPr>
          <w:spacing w:val="-5"/>
        </w:rPr>
        <w:t> </w:t>
      </w:r>
      <w:r>
        <w:rPr/>
        <w:t>data</w:t>
      </w:r>
      <w:r>
        <w:rPr>
          <w:spacing w:val="-6"/>
        </w:rPr>
        <w:t> </w:t>
      </w:r>
      <w:r>
        <w:rPr/>
        <w:t>collection</w:t>
      </w:r>
      <w:r>
        <w:rPr>
          <w:spacing w:val="-7"/>
        </w:rPr>
        <w:t> </w:t>
      </w:r>
      <w:r>
        <w:rPr/>
        <w:t>on</w:t>
      </w:r>
      <w:r>
        <w:rPr>
          <w:spacing w:val="-6"/>
        </w:rPr>
        <w:t> </w:t>
      </w:r>
      <w:r>
        <w:rPr/>
        <w:t>maternal</w:t>
      </w:r>
      <w:r>
        <w:rPr>
          <w:spacing w:val="-7"/>
        </w:rPr>
        <w:t> </w:t>
      </w:r>
      <w:r>
        <w:rPr/>
        <w:t>deaths</w:t>
      </w:r>
      <w:r>
        <w:rPr>
          <w:spacing w:val="-6"/>
        </w:rPr>
        <w:t> </w:t>
      </w:r>
      <w:r>
        <w:rPr/>
        <w:t>for</w:t>
      </w:r>
      <w:r>
        <w:rPr>
          <w:spacing w:val="-6"/>
        </w:rPr>
        <w:t> </w:t>
      </w:r>
      <w:r>
        <w:rPr/>
        <w:t>LGBTQ</w:t>
      </w:r>
      <w:r>
        <w:rPr>
          <w:spacing w:val="-6"/>
        </w:rPr>
        <w:t> </w:t>
      </w:r>
      <w:r>
        <w:rPr/>
        <w:t>birthing</w:t>
      </w:r>
      <w:r>
        <w:rPr>
          <w:spacing w:val="-7"/>
        </w:rPr>
        <w:t> </w:t>
      </w:r>
      <w:r>
        <w:rPr/>
        <w:t>people.</w:t>
      </w:r>
    </w:p>
    <w:p>
      <w:pPr>
        <w:pStyle w:val="BodyText"/>
        <w:spacing w:line="276" w:lineRule="auto" w:before="239"/>
        <w:ind w:left="604" w:right="421"/>
        <w:jc w:val="both"/>
      </w:pPr>
      <w:r>
        <w:rPr/>
        <w:t>The</w:t>
      </w:r>
      <w:r>
        <w:rPr>
          <w:spacing w:val="-2"/>
        </w:rPr>
        <w:t> </w:t>
      </w:r>
      <w:r>
        <w:rPr/>
        <w:t>second</w:t>
      </w:r>
      <w:r>
        <w:rPr>
          <w:spacing w:val="-2"/>
        </w:rPr>
        <w:t> </w:t>
      </w:r>
      <w:r>
        <w:rPr/>
        <w:t>part</w:t>
      </w:r>
      <w:r>
        <w:rPr>
          <w:spacing w:val="-2"/>
        </w:rPr>
        <w:t> </w:t>
      </w:r>
      <w:r>
        <w:rPr/>
        <w:t>of</w:t>
      </w:r>
      <w:r>
        <w:rPr>
          <w:spacing w:val="-1"/>
        </w:rPr>
        <w:t> </w:t>
      </w:r>
      <w:r>
        <w:rPr/>
        <w:t>this</w:t>
      </w:r>
      <w:r>
        <w:rPr>
          <w:spacing w:val="-1"/>
        </w:rPr>
        <w:t> </w:t>
      </w:r>
      <w:r>
        <w:rPr/>
        <w:t>report</w:t>
      </w:r>
      <w:r>
        <w:rPr>
          <w:spacing w:val="-2"/>
        </w:rPr>
        <w:t> </w:t>
      </w:r>
      <w:r>
        <w:rPr/>
        <w:t>demonstrates</w:t>
      </w:r>
      <w:r>
        <w:rPr>
          <w:spacing w:val="-1"/>
        </w:rPr>
        <w:t> </w:t>
      </w:r>
      <w:r>
        <w:rPr/>
        <w:t>Massachusetts’</w:t>
      </w:r>
      <w:r>
        <w:rPr>
          <w:spacing w:val="-1"/>
        </w:rPr>
        <w:t> </w:t>
      </w:r>
      <w:r>
        <w:rPr/>
        <w:t>efforts</w:t>
      </w:r>
      <w:r>
        <w:rPr>
          <w:spacing w:val="-1"/>
        </w:rPr>
        <w:t> </w:t>
      </w:r>
      <w:r>
        <w:rPr/>
        <w:t>in</w:t>
      </w:r>
      <w:r>
        <w:rPr>
          <w:spacing w:val="-2"/>
        </w:rPr>
        <w:t> </w:t>
      </w:r>
      <w:r>
        <w:rPr/>
        <w:t>expanding</w:t>
      </w:r>
      <w:r>
        <w:rPr>
          <w:spacing w:val="-2"/>
        </w:rPr>
        <w:t> </w:t>
      </w:r>
      <w:r>
        <w:rPr/>
        <w:t>reproductive</w:t>
      </w:r>
      <w:r>
        <w:rPr>
          <w:spacing w:val="-2"/>
        </w:rPr>
        <w:t> </w:t>
      </w:r>
      <w:r>
        <w:rPr/>
        <w:t>health care that could improve pregnancy and gynecological outcomes for LGBTQ youth and where some policies fall short. Healthcare coverage is an essential component that can provide LGBTQ youth patients access to healthcare providers and facilities. This is crucial for LGBTQ birthing people who need healthcare access during pregnancy and post-partum. LGBTQ youth may experience infertility due</w:t>
      </w:r>
      <w:r>
        <w:rPr>
          <w:spacing w:val="-4"/>
        </w:rPr>
        <w:t> </w:t>
      </w:r>
      <w:r>
        <w:rPr/>
        <w:t>to</w:t>
      </w:r>
      <w:r>
        <w:rPr>
          <w:spacing w:val="-5"/>
        </w:rPr>
        <w:t> </w:t>
      </w:r>
      <w:r>
        <w:rPr/>
        <w:t>hormone</w:t>
      </w:r>
      <w:r>
        <w:rPr>
          <w:spacing w:val="-6"/>
        </w:rPr>
        <w:t> </w:t>
      </w:r>
      <w:r>
        <w:rPr/>
        <w:t>therapy</w:t>
      </w:r>
      <w:r>
        <w:rPr>
          <w:spacing w:val="-5"/>
        </w:rPr>
        <w:t> </w:t>
      </w:r>
      <w:r>
        <w:rPr/>
        <w:t>or</w:t>
      </w:r>
      <w:r>
        <w:rPr>
          <w:spacing w:val="-4"/>
        </w:rPr>
        <w:t> </w:t>
      </w:r>
      <w:r>
        <w:rPr/>
        <w:t>may</w:t>
      </w:r>
      <w:r>
        <w:rPr>
          <w:spacing w:val="-5"/>
        </w:rPr>
        <w:t> </w:t>
      </w:r>
      <w:r>
        <w:rPr/>
        <w:t>not</w:t>
      </w:r>
      <w:r>
        <w:rPr>
          <w:spacing w:val="-6"/>
        </w:rPr>
        <w:t> </w:t>
      </w:r>
      <w:r>
        <w:rPr/>
        <w:t>be</w:t>
      </w:r>
      <w:r>
        <w:rPr>
          <w:spacing w:val="-6"/>
        </w:rPr>
        <w:t> </w:t>
      </w:r>
      <w:r>
        <w:rPr/>
        <w:t>able</w:t>
      </w:r>
      <w:r>
        <w:rPr>
          <w:spacing w:val="-6"/>
        </w:rPr>
        <w:t> </w:t>
      </w:r>
      <w:r>
        <w:rPr/>
        <w:t>to</w:t>
      </w:r>
      <w:r>
        <w:rPr>
          <w:spacing w:val="-4"/>
        </w:rPr>
        <w:t> </w:t>
      </w:r>
      <w:r>
        <w:rPr/>
        <w:t>conceive</w:t>
      </w:r>
      <w:r>
        <w:rPr>
          <w:spacing w:val="-6"/>
        </w:rPr>
        <w:t> </w:t>
      </w:r>
      <w:r>
        <w:rPr/>
        <w:t>with</w:t>
      </w:r>
      <w:r>
        <w:rPr>
          <w:spacing w:val="-4"/>
        </w:rPr>
        <w:t> </w:t>
      </w:r>
      <w:r>
        <w:rPr/>
        <w:t>a</w:t>
      </w:r>
      <w:r>
        <w:rPr>
          <w:spacing w:val="-5"/>
        </w:rPr>
        <w:t> </w:t>
      </w:r>
      <w:r>
        <w:rPr/>
        <w:t>partner</w:t>
      </w:r>
      <w:r>
        <w:rPr>
          <w:spacing w:val="-5"/>
        </w:rPr>
        <w:t> </w:t>
      </w:r>
      <w:r>
        <w:rPr/>
        <w:t>who</w:t>
      </w:r>
      <w:r>
        <w:rPr>
          <w:spacing w:val="-5"/>
        </w:rPr>
        <w:t> </w:t>
      </w:r>
      <w:r>
        <w:rPr/>
        <w:t>is</w:t>
      </w:r>
      <w:r>
        <w:rPr>
          <w:spacing w:val="-4"/>
        </w:rPr>
        <w:t> </w:t>
      </w:r>
      <w:r>
        <w:rPr/>
        <w:t>the</w:t>
      </w:r>
      <w:r>
        <w:rPr>
          <w:spacing w:val="-6"/>
        </w:rPr>
        <w:t> </w:t>
      </w:r>
      <w:r>
        <w:rPr/>
        <w:t>same</w:t>
      </w:r>
      <w:r>
        <w:rPr>
          <w:spacing w:val="-6"/>
        </w:rPr>
        <w:t> </w:t>
      </w:r>
      <w:r>
        <w:rPr/>
        <w:t>sex</w:t>
      </w:r>
      <w:r>
        <w:rPr>
          <w:spacing w:val="-6"/>
        </w:rPr>
        <w:t> </w:t>
      </w:r>
      <w:r>
        <w:rPr/>
        <w:t>or</w:t>
      </w:r>
      <w:r>
        <w:rPr>
          <w:spacing w:val="-4"/>
        </w:rPr>
        <w:t> </w:t>
      </w:r>
      <w:r>
        <w:rPr/>
        <w:t>has</w:t>
      </w:r>
      <w:r>
        <w:rPr>
          <w:spacing w:val="-5"/>
        </w:rPr>
        <w:t> </w:t>
      </w:r>
      <w:r>
        <w:rPr/>
        <w:t>the same reproductive anatomy. Expanding access to fertility treatments for LGBTQ individuals assigned female</w:t>
      </w:r>
      <w:r>
        <w:rPr>
          <w:spacing w:val="-11"/>
        </w:rPr>
        <w:t> </w:t>
      </w:r>
      <w:r>
        <w:rPr/>
        <w:t>at</w:t>
      </w:r>
      <w:r>
        <w:rPr>
          <w:spacing w:val="-12"/>
        </w:rPr>
        <w:t> </w:t>
      </w:r>
      <w:r>
        <w:rPr/>
        <w:t>birth</w:t>
      </w:r>
      <w:r>
        <w:rPr>
          <w:spacing w:val="-11"/>
        </w:rPr>
        <w:t> </w:t>
      </w:r>
      <w:r>
        <w:rPr/>
        <w:t>furthers</w:t>
      </w:r>
      <w:r>
        <w:rPr>
          <w:spacing w:val="-11"/>
        </w:rPr>
        <w:t> </w:t>
      </w:r>
      <w:r>
        <w:rPr/>
        <w:t>reproductive</w:t>
      </w:r>
      <w:r>
        <w:rPr>
          <w:spacing w:val="-11"/>
        </w:rPr>
        <w:t> </w:t>
      </w:r>
      <w:r>
        <w:rPr/>
        <w:t>rights</w:t>
      </w:r>
      <w:r>
        <w:rPr>
          <w:spacing w:val="-11"/>
        </w:rPr>
        <w:t> </w:t>
      </w:r>
      <w:r>
        <w:rPr/>
        <w:t>for</w:t>
      </w:r>
      <w:r>
        <w:rPr>
          <w:spacing w:val="-11"/>
        </w:rPr>
        <w:t> </w:t>
      </w:r>
      <w:r>
        <w:rPr/>
        <w:t>those</w:t>
      </w:r>
      <w:r>
        <w:rPr>
          <w:spacing w:val="-10"/>
        </w:rPr>
        <w:t> </w:t>
      </w:r>
      <w:r>
        <w:rPr/>
        <w:t>who</w:t>
      </w:r>
      <w:r>
        <w:rPr>
          <w:spacing w:val="-11"/>
        </w:rPr>
        <w:t> </w:t>
      </w:r>
      <w:r>
        <w:rPr/>
        <w:t>do</w:t>
      </w:r>
      <w:r>
        <w:rPr>
          <w:spacing w:val="-11"/>
        </w:rPr>
        <w:t> </w:t>
      </w:r>
      <w:r>
        <w:rPr/>
        <w:t>not</w:t>
      </w:r>
      <w:r>
        <w:rPr>
          <w:spacing w:val="-12"/>
        </w:rPr>
        <w:t> </w:t>
      </w:r>
      <w:r>
        <w:rPr/>
        <w:t>fall</w:t>
      </w:r>
      <w:r>
        <w:rPr>
          <w:spacing w:val="-11"/>
        </w:rPr>
        <w:t> </w:t>
      </w:r>
      <w:r>
        <w:rPr/>
        <w:t>under</w:t>
      </w:r>
      <w:r>
        <w:rPr>
          <w:spacing w:val="-10"/>
        </w:rPr>
        <w:t> </w:t>
      </w:r>
      <w:r>
        <w:rPr/>
        <w:t>the</w:t>
      </w:r>
      <w:r>
        <w:rPr>
          <w:spacing w:val="-10"/>
        </w:rPr>
        <w:t> </w:t>
      </w:r>
      <w:r>
        <w:rPr/>
        <w:t>heteronormative</w:t>
      </w:r>
      <w:r>
        <w:rPr>
          <w:spacing w:val="-11"/>
        </w:rPr>
        <w:t> </w:t>
      </w:r>
      <w:r>
        <w:rPr/>
        <w:t>ideals of</w:t>
      </w:r>
      <w:r>
        <w:rPr>
          <w:spacing w:val="-3"/>
        </w:rPr>
        <w:t> </w:t>
      </w:r>
      <w:r>
        <w:rPr/>
        <w:t>what</w:t>
      </w:r>
      <w:r>
        <w:rPr>
          <w:spacing w:val="-3"/>
        </w:rPr>
        <w:t> </w:t>
      </w:r>
      <w:r>
        <w:rPr/>
        <w:t>a</w:t>
      </w:r>
      <w:r>
        <w:rPr>
          <w:spacing w:val="-3"/>
        </w:rPr>
        <w:t> </w:t>
      </w:r>
      <w:r>
        <w:rPr/>
        <w:t>“mother”</w:t>
      </w:r>
      <w:r>
        <w:rPr>
          <w:spacing w:val="-3"/>
        </w:rPr>
        <w:t> </w:t>
      </w:r>
      <w:r>
        <w:rPr/>
        <w:t>or</w:t>
      </w:r>
      <w:r>
        <w:rPr>
          <w:spacing w:val="-3"/>
        </w:rPr>
        <w:t> </w:t>
      </w:r>
      <w:r>
        <w:rPr/>
        <w:t>parent</w:t>
      </w:r>
      <w:r>
        <w:rPr>
          <w:spacing w:val="-3"/>
        </w:rPr>
        <w:t> </w:t>
      </w:r>
      <w:r>
        <w:rPr/>
        <w:t>should</w:t>
      </w:r>
      <w:r>
        <w:rPr>
          <w:spacing w:val="-3"/>
        </w:rPr>
        <w:t> </w:t>
      </w:r>
      <w:r>
        <w:rPr/>
        <w:t>be.</w:t>
      </w:r>
      <w:r>
        <w:rPr>
          <w:spacing w:val="-3"/>
        </w:rPr>
        <w:t> </w:t>
      </w:r>
      <w:r>
        <w:rPr/>
        <w:t>For</w:t>
      </w:r>
      <w:r>
        <w:rPr>
          <w:spacing w:val="-3"/>
        </w:rPr>
        <w:t> </w:t>
      </w:r>
      <w:r>
        <w:rPr/>
        <w:t>LGBTQ</w:t>
      </w:r>
      <w:r>
        <w:rPr>
          <w:spacing w:val="-3"/>
        </w:rPr>
        <w:t> </w:t>
      </w:r>
      <w:r>
        <w:rPr/>
        <w:t>youth,</w:t>
      </w:r>
      <w:r>
        <w:rPr>
          <w:spacing w:val="-3"/>
        </w:rPr>
        <w:t> </w:t>
      </w:r>
      <w:r>
        <w:rPr/>
        <w:t>doula</w:t>
      </w:r>
      <w:r>
        <w:rPr>
          <w:spacing w:val="-3"/>
        </w:rPr>
        <w:t> </w:t>
      </w:r>
      <w:r>
        <w:rPr/>
        <w:t>services</w:t>
      </w:r>
      <w:r>
        <w:rPr>
          <w:spacing w:val="-3"/>
        </w:rPr>
        <w:t> </w:t>
      </w:r>
      <w:r>
        <w:rPr/>
        <w:t>can</w:t>
      </w:r>
      <w:r>
        <w:rPr>
          <w:spacing w:val="-2"/>
        </w:rPr>
        <w:t> </w:t>
      </w:r>
      <w:r>
        <w:rPr/>
        <w:t>provide</w:t>
      </w:r>
      <w:r>
        <w:rPr>
          <w:spacing w:val="-3"/>
        </w:rPr>
        <w:t> </w:t>
      </w:r>
      <w:r>
        <w:rPr/>
        <w:t>a</w:t>
      </w:r>
      <w:r>
        <w:rPr>
          <w:spacing w:val="-3"/>
        </w:rPr>
        <w:t> </w:t>
      </w:r>
      <w:r>
        <w:rPr/>
        <w:t>wide</w:t>
      </w:r>
      <w:r>
        <w:rPr>
          <w:spacing w:val="-2"/>
        </w:rPr>
        <w:t> </w:t>
      </w:r>
      <w:r>
        <w:rPr/>
        <w:t>range</w:t>
      </w:r>
      <w:r>
        <w:rPr>
          <w:spacing w:val="-3"/>
        </w:rPr>
        <w:t> </w:t>
      </w:r>
      <w:r>
        <w:rPr/>
        <w:t>of support whether it be for pregnancy-related reasons, abortion support, and even gender-affirming healthcare</w:t>
      </w:r>
      <w:r>
        <w:rPr>
          <w:spacing w:val="-11"/>
        </w:rPr>
        <w:t> </w:t>
      </w:r>
      <w:r>
        <w:rPr/>
        <w:t>support.</w:t>
      </w:r>
      <w:r>
        <w:rPr>
          <w:spacing w:val="-12"/>
        </w:rPr>
        <w:t> </w:t>
      </w:r>
      <w:r>
        <w:rPr/>
        <w:t>LGBTQ</w:t>
      </w:r>
      <w:r>
        <w:rPr>
          <w:spacing w:val="-10"/>
        </w:rPr>
        <w:t> </w:t>
      </w:r>
      <w:r>
        <w:rPr/>
        <w:t>youth</w:t>
      </w:r>
      <w:r>
        <w:rPr>
          <w:spacing w:val="-11"/>
        </w:rPr>
        <w:t> </w:t>
      </w:r>
      <w:r>
        <w:rPr/>
        <w:t>also</w:t>
      </w:r>
      <w:r>
        <w:rPr>
          <w:spacing w:val="-11"/>
        </w:rPr>
        <w:t> </w:t>
      </w:r>
      <w:r>
        <w:rPr/>
        <w:t>deserve</w:t>
      </w:r>
      <w:r>
        <w:rPr>
          <w:spacing w:val="-11"/>
        </w:rPr>
        <w:t> </w:t>
      </w:r>
      <w:r>
        <w:rPr/>
        <w:t>access</w:t>
      </w:r>
      <w:r>
        <w:rPr>
          <w:spacing w:val="-10"/>
        </w:rPr>
        <w:t> </w:t>
      </w:r>
      <w:r>
        <w:rPr/>
        <w:t>to</w:t>
      </w:r>
      <w:r>
        <w:rPr>
          <w:spacing w:val="-11"/>
        </w:rPr>
        <w:t> </w:t>
      </w:r>
      <w:r>
        <w:rPr/>
        <w:t>abortion</w:t>
      </w:r>
      <w:r>
        <w:rPr>
          <w:spacing w:val="-11"/>
        </w:rPr>
        <w:t> </w:t>
      </w:r>
      <w:r>
        <w:rPr/>
        <w:t>care,</w:t>
      </w:r>
      <w:r>
        <w:rPr>
          <w:spacing w:val="-11"/>
        </w:rPr>
        <w:t> </w:t>
      </w:r>
      <w:r>
        <w:rPr/>
        <w:t>birth</w:t>
      </w:r>
      <w:r>
        <w:rPr>
          <w:spacing w:val="-11"/>
        </w:rPr>
        <w:t> </w:t>
      </w:r>
      <w:r>
        <w:rPr/>
        <w:t>control</w:t>
      </w:r>
      <w:r>
        <w:rPr>
          <w:spacing w:val="-11"/>
        </w:rPr>
        <w:t> </w:t>
      </w:r>
      <w:r>
        <w:rPr/>
        <w:t>access,</w:t>
      </w:r>
      <w:r>
        <w:rPr>
          <w:spacing w:val="-11"/>
        </w:rPr>
        <w:t> </w:t>
      </w:r>
      <w:r>
        <w:rPr/>
        <w:t>and</w:t>
      </w:r>
      <w:r>
        <w:rPr>
          <w:spacing w:val="-11"/>
        </w:rPr>
        <w:t> </w:t>
      </w:r>
      <w:r>
        <w:rPr/>
        <w:t>access to</w:t>
      </w:r>
      <w:r>
        <w:rPr>
          <w:spacing w:val="-1"/>
        </w:rPr>
        <w:t> </w:t>
      </w:r>
      <w:r>
        <w:rPr/>
        <w:t>menstrual products</w:t>
      </w:r>
      <w:r>
        <w:rPr>
          <w:spacing w:val="-1"/>
        </w:rPr>
        <w:t> </w:t>
      </w:r>
      <w:r>
        <w:rPr/>
        <w:t>and</w:t>
      </w:r>
      <w:r>
        <w:rPr>
          <w:spacing w:val="-1"/>
        </w:rPr>
        <w:t> </w:t>
      </w:r>
      <w:r>
        <w:rPr/>
        <w:t>the</w:t>
      </w:r>
      <w:r>
        <w:rPr>
          <w:spacing w:val="-2"/>
        </w:rPr>
        <w:t> </w:t>
      </w:r>
      <w:r>
        <w:rPr/>
        <w:t>Commonwealth</w:t>
      </w:r>
      <w:r>
        <w:rPr>
          <w:spacing w:val="-2"/>
        </w:rPr>
        <w:t> </w:t>
      </w:r>
      <w:r>
        <w:rPr/>
        <w:t>has</w:t>
      </w:r>
      <w:r>
        <w:rPr>
          <w:spacing w:val="-1"/>
        </w:rPr>
        <w:t> </w:t>
      </w:r>
      <w:r>
        <w:rPr/>
        <w:t>the</w:t>
      </w:r>
      <w:r>
        <w:rPr>
          <w:spacing w:val="-2"/>
        </w:rPr>
        <w:t> </w:t>
      </w:r>
      <w:r>
        <w:rPr/>
        <w:t>opportunity</w:t>
      </w:r>
      <w:r>
        <w:rPr>
          <w:spacing w:val="-1"/>
        </w:rPr>
        <w:t> </w:t>
      </w:r>
      <w:r>
        <w:rPr/>
        <w:t>to</w:t>
      </w:r>
      <w:r>
        <w:rPr>
          <w:spacing w:val="-1"/>
        </w:rPr>
        <w:t> </w:t>
      </w:r>
      <w:r>
        <w:rPr/>
        <w:t>further expand</w:t>
      </w:r>
      <w:r>
        <w:rPr>
          <w:spacing w:val="-2"/>
        </w:rPr>
        <w:t> </w:t>
      </w:r>
      <w:r>
        <w:rPr/>
        <w:t>access through </w:t>
      </w:r>
      <w:r>
        <w:rPr>
          <w:spacing w:val="-2"/>
        </w:rPr>
        <w:t>legislation.</w:t>
      </w:r>
    </w:p>
    <w:p>
      <w:pPr>
        <w:spacing w:line="276" w:lineRule="auto" w:before="240"/>
        <w:ind w:left="604" w:right="421" w:firstLine="0"/>
        <w:jc w:val="both"/>
        <w:rPr>
          <w:sz w:val="26"/>
        </w:rPr>
      </w:pPr>
      <w:bookmarkStart w:name="FY 2025 Recommendations to the Governor " w:id="48"/>
      <w:bookmarkEnd w:id="48"/>
      <w:r>
        <w:rPr/>
      </w:r>
      <w:r>
        <w:rPr>
          <w:color w:val="404040"/>
          <w:sz w:val="26"/>
        </w:rPr>
        <w:t>FY 2025 Recommendations to the Governor &amp; Legislature on Pregnancy &amp; Gynecological Health</w:t>
      </w:r>
    </w:p>
    <w:p>
      <w:pPr>
        <w:pStyle w:val="ListParagraph"/>
        <w:numPr>
          <w:ilvl w:val="0"/>
          <w:numId w:val="7"/>
        </w:numPr>
        <w:tabs>
          <w:tab w:pos="1176" w:val="left" w:leader="none"/>
          <w:tab w:pos="1178" w:val="left" w:leader="none"/>
        </w:tabs>
        <w:spacing w:line="276" w:lineRule="auto" w:before="240" w:after="0"/>
        <w:ind w:left="1178" w:right="423" w:hanging="361"/>
        <w:jc w:val="left"/>
        <w:rPr>
          <w:sz w:val="22"/>
        </w:rPr>
      </w:pPr>
      <w:r>
        <w:rPr>
          <w:sz w:val="22"/>
        </w:rPr>
        <w:t>Improve</w:t>
      </w:r>
      <w:r>
        <w:rPr>
          <w:spacing w:val="27"/>
          <w:sz w:val="22"/>
        </w:rPr>
        <w:t> </w:t>
      </w:r>
      <w:r>
        <w:rPr>
          <w:sz w:val="22"/>
        </w:rPr>
        <w:t>SOGI</w:t>
      </w:r>
      <w:r>
        <w:rPr>
          <w:spacing w:val="27"/>
          <w:sz w:val="22"/>
        </w:rPr>
        <w:t> </w:t>
      </w:r>
      <w:r>
        <w:rPr>
          <w:sz w:val="22"/>
        </w:rPr>
        <w:t>data</w:t>
      </w:r>
      <w:r>
        <w:rPr>
          <w:spacing w:val="28"/>
          <w:sz w:val="22"/>
        </w:rPr>
        <w:t> </w:t>
      </w:r>
      <w:r>
        <w:rPr>
          <w:sz w:val="22"/>
        </w:rPr>
        <w:t>collection</w:t>
      </w:r>
      <w:r>
        <w:rPr>
          <w:spacing w:val="27"/>
          <w:sz w:val="22"/>
        </w:rPr>
        <w:t> </w:t>
      </w:r>
      <w:r>
        <w:rPr>
          <w:sz w:val="22"/>
        </w:rPr>
        <w:t>efforts</w:t>
      </w:r>
      <w:r>
        <w:rPr>
          <w:spacing w:val="28"/>
          <w:sz w:val="22"/>
        </w:rPr>
        <w:t> </w:t>
      </w:r>
      <w:r>
        <w:rPr>
          <w:sz w:val="22"/>
        </w:rPr>
        <w:t>across</w:t>
      </w:r>
      <w:r>
        <w:rPr>
          <w:spacing w:val="28"/>
          <w:sz w:val="22"/>
        </w:rPr>
        <w:t> </w:t>
      </w:r>
      <w:r>
        <w:rPr>
          <w:sz w:val="22"/>
        </w:rPr>
        <w:t>state</w:t>
      </w:r>
      <w:r>
        <w:rPr>
          <w:spacing w:val="27"/>
          <w:sz w:val="22"/>
        </w:rPr>
        <w:t> </w:t>
      </w:r>
      <w:r>
        <w:rPr>
          <w:sz w:val="22"/>
        </w:rPr>
        <w:t>services</w:t>
      </w:r>
      <w:r>
        <w:rPr>
          <w:spacing w:val="28"/>
          <w:sz w:val="22"/>
        </w:rPr>
        <w:t> </w:t>
      </w:r>
      <w:r>
        <w:rPr>
          <w:sz w:val="22"/>
        </w:rPr>
        <w:t>as</w:t>
      </w:r>
      <w:r>
        <w:rPr>
          <w:spacing w:val="28"/>
          <w:sz w:val="22"/>
        </w:rPr>
        <w:t> </w:t>
      </w:r>
      <w:r>
        <w:rPr>
          <w:sz w:val="22"/>
        </w:rPr>
        <w:t>it</w:t>
      </w:r>
      <w:r>
        <w:rPr>
          <w:spacing w:val="27"/>
          <w:sz w:val="22"/>
        </w:rPr>
        <w:t> </w:t>
      </w:r>
      <w:r>
        <w:rPr>
          <w:sz w:val="22"/>
        </w:rPr>
        <w:t>relates</w:t>
      </w:r>
      <w:r>
        <w:rPr>
          <w:spacing w:val="28"/>
          <w:sz w:val="22"/>
        </w:rPr>
        <w:t> </w:t>
      </w:r>
      <w:r>
        <w:rPr>
          <w:sz w:val="22"/>
        </w:rPr>
        <w:t>to</w:t>
      </w:r>
      <w:r>
        <w:rPr>
          <w:spacing w:val="28"/>
          <w:sz w:val="22"/>
        </w:rPr>
        <w:t> </w:t>
      </w:r>
      <w:r>
        <w:rPr>
          <w:sz w:val="22"/>
        </w:rPr>
        <w:t>pregnancy</w:t>
      </w:r>
      <w:r>
        <w:rPr>
          <w:spacing w:val="28"/>
          <w:sz w:val="22"/>
        </w:rPr>
        <w:t> </w:t>
      </w:r>
      <w:r>
        <w:rPr>
          <w:sz w:val="22"/>
        </w:rPr>
        <w:t>service needs and mortality rates.</w:t>
      </w:r>
    </w:p>
    <w:p>
      <w:pPr>
        <w:pStyle w:val="ListParagraph"/>
        <w:numPr>
          <w:ilvl w:val="0"/>
          <w:numId w:val="7"/>
        </w:numPr>
        <w:tabs>
          <w:tab w:pos="1177" w:val="left" w:leader="none"/>
          <w:tab w:pos="1179" w:val="left" w:leader="none"/>
        </w:tabs>
        <w:spacing w:line="276" w:lineRule="auto" w:before="1" w:after="0"/>
        <w:ind w:left="1179" w:right="423" w:hanging="361"/>
        <w:jc w:val="left"/>
        <w:rPr>
          <w:sz w:val="22"/>
        </w:rPr>
      </w:pPr>
      <w:r>
        <w:rPr>
          <w:sz w:val="22"/>
        </w:rPr>
        <w:t>Create</w:t>
      </w:r>
      <w:r>
        <w:rPr>
          <w:spacing w:val="-1"/>
          <w:sz w:val="22"/>
        </w:rPr>
        <w:t> </w:t>
      </w:r>
      <w:r>
        <w:rPr>
          <w:sz w:val="22"/>
        </w:rPr>
        <w:t>and</w:t>
      </w:r>
      <w:r>
        <w:rPr>
          <w:spacing w:val="-1"/>
          <w:sz w:val="22"/>
        </w:rPr>
        <w:t> </w:t>
      </w:r>
      <w:r>
        <w:rPr>
          <w:sz w:val="22"/>
        </w:rPr>
        <w:t>fund</w:t>
      </w:r>
      <w:r>
        <w:rPr>
          <w:spacing w:val="-1"/>
          <w:sz w:val="22"/>
        </w:rPr>
        <w:t> </w:t>
      </w:r>
      <w:r>
        <w:rPr>
          <w:sz w:val="22"/>
        </w:rPr>
        <w:t>community birthing centers across the</w:t>
      </w:r>
      <w:r>
        <w:rPr>
          <w:spacing w:val="-1"/>
          <w:sz w:val="22"/>
        </w:rPr>
        <w:t> </w:t>
      </w:r>
      <w:r>
        <w:rPr>
          <w:sz w:val="22"/>
        </w:rPr>
        <w:t>Commonwealth</w:t>
      </w:r>
      <w:r>
        <w:rPr>
          <w:spacing w:val="-1"/>
          <w:sz w:val="22"/>
        </w:rPr>
        <w:t> </w:t>
      </w:r>
      <w:r>
        <w:rPr>
          <w:sz w:val="22"/>
        </w:rPr>
        <w:t>and</w:t>
      </w:r>
      <w:r>
        <w:rPr>
          <w:spacing w:val="-1"/>
          <w:sz w:val="22"/>
        </w:rPr>
        <w:t> </w:t>
      </w:r>
      <w:r>
        <w:rPr>
          <w:sz w:val="22"/>
        </w:rPr>
        <w:t>increase</w:t>
      </w:r>
      <w:r>
        <w:rPr>
          <w:spacing w:val="-1"/>
          <w:sz w:val="22"/>
        </w:rPr>
        <w:t> </w:t>
      </w:r>
      <w:r>
        <w:rPr>
          <w:sz w:val="22"/>
        </w:rPr>
        <w:t>access to culturally competent doula services.</w:t>
      </w:r>
    </w:p>
    <w:p>
      <w:pPr>
        <w:pStyle w:val="ListParagraph"/>
        <w:numPr>
          <w:ilvl w:val="0"/>
          <w:numId w:val="7"/>
        </w:numPr>
        <w:tabs>
          <w:tab w:pos="1177" w:val="left" w:leader="none"/>
          <w:tab w:pos="1179" w:val="left" w:leader="none"/>
        </w:tabs>
        <w:spacing w:line="276" w:lineRule="auto" w:before="0" w:after="0"/>
        <w:ind w:left="1179" w:right="421" w:hanging="361"/>
        <w:jc w:val="left"/>
        <w:rPr>
          <w:sz w:val="22"/>
        </w:rPr>
      </w:pPr>
      <w:r>
        <w:rPr>
          <w:sz w:val="22"/>
        </w:rPr>
        <w:t>Expand</w:t>
      </w:r>
      <w:r>
        <w:rPr>
          <w:spacing w:val="40"/>
          <w:sz w:val="22"/>
        </w:rPr>
        <w:t> </w:t>
      </w:r>
      <w:r>
        <w:rPr>
          <w:sz w:val="22"/>
        </w:rPr>
        <w:t>LGBTQ</w:t>
      </w:r>
      <w:r>
        <w:rPr>
          <w:spacing w:val="40"/>
          <w:sz w:val="22"/>
        </w:rPr>
        <w:t> </w:t>
      </w:r>
      <w:r>
        <w:rPr>
          <w:sz w:val="22"/>
        </w:rPr>
        <w:t>cultural</w:t>
      </w:r>
      <w:r>
        <w:rPr>
          <w:spacing w:val="40"/>
          <w:sz w:val="22"/>
        </w:rPr>
        <w:t> </w:t>
      </w:r>
      <w:r>
        <w:rPr>
          <w:sz w:val="22"/>
        </w:rPr>
        <w:t>awareness,</w:t>
      </w:r>
      <w:r>
        <w:rPr>
          <w:spacing w:val="40"/>
          <w:sz w:val="22"/>
        </w:rPr>
        <w:t> </w:t>
      </w:r>
      <w:r>
        <w:rPr>
          <w:sz w:val="22"/>
        </w:rPr>
        <w:t>anti-bias,</w:t>
      </w:r>
      <w:r>
        <w:rPr>
          <w:spacing w:val="40"/>
          <w:sz w:val="22"/>
        </w:rPr>
        <w:t> </w:t>
      </w:r>
      <w:r>
        <w:rPr>
          <w:sz w:val="22"/>
        </w:rPr>
        <w:t>and</w:t>
      </w:r>
      <w:r>
        <w:rPr>
          <w:spacing w:val="40"/>
          <w:sz w:val="22"/>
        </w:rPr>
        <w:t> </w:t>
      </w:r>
      <w:r>
        <w:rPr>
          <w:sz w:val="22"/>
        </w:rPr>
        <w:t>racial</w:t>
      </w:r>
      <w:r>
        <w:rPr>
          <w:spacing w:val="40"/>
          <w:sz w:val="22"/>
        </w:rPr>
        <w:t> </w:t>
      </w:r>
      <w:r>
        <w:rPr>
          <w:sz w:val="22"/>
        </w:rPr>
        <w:t>equity</w:t>
      </w:r>
      <w:r>
        <w:rPr>
          <w:spacing w:val="40"/>
          <w:sz w:val="22"/>
        </w:rPr>
        <w:t> </w:t>
      </w:r>
      <w:r>
        <w:rPr>
          <w:sz w:val="22"/>
        </w:rPr>
        <w:t>trainings</w:t>
      </w:r>
      <w:r>
        <w:rPr>
          <w:spacing w:val="40"/>
          <w:sz w:val="22"/>
        </w:rPr>
        <w:t> </w:t>
      </w:r>
      <w:r>
        <w:rPr>
          <w:sz w:val="22"/>
        </w:rPr>
        <w:t>for</w:t>
      </w:r>
      <w:r>
        <w:rPr>
          <w:spacing w:val="40"/>
          <w:sz w:val="22"/>
        </w:rPr>
        <w:t> </w:t>
      </w:r>
      <w:r>
        <w:rPr>
          <w:sz w:val="22"/>
        </w:rPr>
        <w:t>public</w:t>
      </w:r>
      <w:r>
        <w:rPr>
          <w:spacing w:val="40"/>
          <w:sz w:val="22"/>
        </w:rPr>
        <w:t> </w:t>
      </w:r>
      <w:r>
        <w:rPr>
          <w:sz w:val="22"/>
        </w:rPr>
        <w:t>hospital providers and staff.</w:t>
      </w:r>
    </w:p>
    <w:p>
      <w:pPr>
        <w:spacing w:after="0" w:line="276" w:lineRule="auto"/>
        <w:jc w:val="left"/>
        <w:rPr>
          <w:sz w:val="22"/>
        </w:rPr>
        <w:sectPr>
          <w:headerReference w:type="default" r:id="rId30"/>
          <w:footerReference w:type="default" r:id="rId31"/>
          <w:pgSz w:w="12240" w:h="15840"/>
          <w:pgMar w:header="0" w:footer="1061" w:top="1140" w:bottom="1260" w:left="980" w:right="1160"/>
        </w:sectPr>
      </w:pPr>
    </w:p>
    <w:p>
      <w:pPr>
        <w:spacing w:before="29"/>
        <w:ind w:left="604" w:right="0" w:firstLine="0"/>
        <w:jc w:val="both"/>
        <w:rPr>
          <w:sz w:val="28"/>
        </w:rPr>
      </w:pPr>
      <w:bookmarkStart w:name="Improving Sexual Health (2023)" w:id="49"/>
      <w:bookmarkEnd w:id="49"/>
      <w:r>
        <w:rPr/>
      </w:r>
      <w:r>
        <w:rPr>
          <w:color w:val="365F91"/>
          <w:sz w:val="28"/>
        </w:rPr>
        <w:t>Improving</w:t>
      </w:r>
      <w:r>
        <w:rPr>
          <w:color w:val="365F91"/>
          <w:spacing w:val="-13"/>
          <w:sz w:val="28"/>
        </w:rPr>
        <w:t> </w:t>
      </w:r>
      <w:r>
        <w:rPr>
          <w:color w:val="365F91"/>
          <w:sz w:val="28"/>
        </w:rPr>
        <w:t>Sexual</w:t>
      </w:r>
      <w:r>
        <w:rPr>
          <w:color w:val="365F91"/>
          <w:spacing w:val="-12"/>
          <w:sz w:val="28"/>
        </w:rPr>
        <w:t> </w:t>
      </w:r>
      <w:r>
        <w:rPr>
          <w:color w:val="365F91"/>
          <w:sz w:val="28"/>
        </w:rPr>
        <w:t>Health</w:t>
      </w:r>
      <w:r>
        <w:rPr>
          <w:color w:val="365F91"/>
          <w:spacing w:val="-13"/>
          <w:sz w:val="28"/>
        </w:rPr>
        <w:t> </w:t>
      </w:r>
      <w:r>
        <w:rPr>
          <w:color w:val="365F91"/>
          <w:spacing w:val="-2"/>
          <w:sz w:val="28"/>
        </w:rPr>
        <w:t>(2023)</w:t>
      </w:r>
    </w:p>
    <w:p>
      <w:pPr>
        <w:pStyle w:val="BodyText"/>
        <w:spacing w:line="276" w:lineRule="auto" w:before="293"/>
        <w:ind w:left="603" w:right="420"/>
        <w:jc w:val="both"/>
      </w:pPr>
      <w:r>
        <w:rPr/>
        <w:t>The Commission was founded in the early 1990s to address the significant disparities in LGBTQ youth mental</w:t>
      </w:r>
      <w:r>
        <w:rPr>
          <w:spacing w:val="-4"/>
        </w:rPr>
        <w:t> </w:t>
      </w:r>
      <w:r>
        <w:rPr/>
        <w:t>health</w:t>
      </w:r>
      <w:r>
        <w:rPr>
          <w:spacing w:val="-6"/>
        </w:rPr>
        <w:t> </w:t>
      </w:r>
      <w:r>
        <w:rPr/>
        <w:t>occurring</w:t>
      </w:r>
      <w:r>
        <w:rPr>
          <w:spacing w:val="-6"/>
        </w:rPr>
        <w:t> </w:t>
      </w:r>
      <w:r>
        <w:rPr/>
        <w:t>during</w:t>
      </w:r>
      <w:r>
        <w:rPr>
          <w:spacing w:val="-6"/>
        </w:rPr>
        <w:t> </w:t>
      </w:r>
      <w:r>
        <w:rPr/>
        <w:t>the</w:t>
      </w:r>
      <w:r>
        <w:rPr>
          <w:spacing w:val="-6"/>
        </w:rPr>
        <w:t> </w:t>
      </w:r>
      <w:r>
        <w:rPr/>
        <w:t>AIDS</w:t>
      </w:r>
      <w:r>
        <w:rPr>
          <w:spacing w:val="-6"/>
        </w:rPr>
        <w:t> </w:t>
      </w:r>
      <w:r>
        <w:rPr/>
        <w:t>epidemic.</w:t>
      </w:r>
      <w:r>
        <w:rPr>
          <w:spacing w:val="-6"/>
        </w:rPr>
        <w:t> </w:t>
      </w:r>
      <w:r>
        <w:rPr/>
        <w:t>Since</w:t>
      </w:r>
      <w:r>
        <w:rPr>
          <w:spacing w:val="-6"/>
        </w:rPr>
        <w:t> </w:t>
      </w:r>
      <w:r>
        <w:rPr/>
        <w:t>then,</w:t>
      </w:r>
      <w:r>
        <w:rPr>
          <w:spacing w:val="-5"/>
        </w:rPr>
        <w:t> </w:t>
      </w:r>
      <w:r>
        <w:rPr/>
        <w:t>the</w:t>
      </w:r>
      <w:r>
        <w:rPr>
          <w:spacing w:val="-4"/>
        </w:rPr>
        <w:t> </w:t>
      </w:r>
      <w:r>
        <w:rPr/>
        <w:t>Commission</w:t>
      </w:r>
      <w:r>
        <w:rPr>
          <w:spacing w:val="-6"/>
        </w:rPr>
        <w:t> </w:t>
      </w:r>
      <w:r>
        <w:rPr/>
        <w:t>has</w:t>
      </w:r>
      <w:r>
        <w:rPr>
          <w:spacing w:val="-5"/>
        </w:rPr>
        <w:t> </w:t>
      </w:r>
      <w:r>
        <w:rPr/>
        <w:t>dedicated</w:t>
      </w:r>
      <w:r>
        <w:rPr>
          <w:spacing w:val="-6"/>
        </w:rPr>
        <w:t> </w:t>
      </w:r>
      <w:r>
        <w:rPr/>
        <w:t>much</w:t>
      </w:r>
      <w:r>
        <w:rPr>
          <w:spacing w:val="-6"/>
        </w:rPr>
        <w:t> </w:t>
      </w:r>
      <w:r>
        <w:rPr/>
        <w:t>of its</w:t>
      </w:r>
      <w:r>
        <w:rPr>
          <w:spacing w:val="-13"/>
        </w:rPr>
        <w:t> </w:t>
      </w:r>
      <w:r>
        <w:rPr/>
        <w:t>work</w:t>
      </w:r>
      <w:r>
        <w:rPr>
          <w:spacing w:val="-12"/>
        </w:rPr>
        <w:t> </w:t>
      </w:r>
      <w:r>
        <w:rPr/>
        <w:t>and</w:t>
      </w:r>
      <w:r>
        <w:rPr>
          <w:spacing w:val="-13"/>
        </w:rPr>
        <w:t> </w:t>
      </w:r>
      <w:r>
        <w:rPr/>
        <w:t>resources</w:t>
      </w:r>
      <w:r>
        <w:rPr>
          <w:spacing w:val="-12"/>
        </w:rPr>
        <w:t> </w:t>
      </w:r>
      <w:r>
        <w:rPr/>
        <w:t>to</w:t>
      </w:r>
      <w:r>
        <w:rPr>
          <w:spacing w:val="-11"/>
        </w:rPr>
        <w:t> </w:t>
      </w:r>
      <w:r>
        <w:rPr/>
        <w:t>supporting</w:t>
      </w:r>
      <w:r>
        <w:rPr>
          <w:spacing w:val="-13"/>
        </w:rPr>
        <w:t> </w:t>
      </w:r>
      <w:r>
        <w:rPr/>
        <w:t>LGBTQ</w:t>
      </w:r>
      <w:r>
        <w:rPr>
          <w:spacing w:val="-12"/>
        </w:rPr>
        <w:t> </w:t>
      </w:r>
      <w:r>
        <w:rPr/>
        <w:t>youth</w:t>
      </w:r>
      <w:r>
        <w:rPr>
          <w:spacing w:val="-13"/>
        </w:rPr>
        <w:t> </w:t>
      </w:r>
      <w:r>
        <w:rPr/>
        <w:t>sexual</w:t>
      </w:r>
      <w:r>
        <w:rPr>
          <w:spacing w:val="-11"/>
        </w:rPr>
        <w:t> </w:t>
      </w:r>
      <w:r>
        <w:rPr/>
        <w:t>health</w:t>
      </w:r>
      <w:r>
        <w:rPr>
          <w:spacing w:val="-12"/>
        </w:rPr>
        <w:t> </w:t>
      </w:r>
      <w:r>
        <w:rPr/>
        <w:t>through</w:t>
      </w:r>
      <w:r>
        <w:rPr>
          <w:spacing w:val="-13"/>
        </w:rPr>
        <w:t> </w:t>
      </w:r>
      <w:r>
        <w:rPr/>
        <w:t>supporting</w:t>
      </w:r>
      <w:r>
        <w:rPr>
          <w:spacing w:val="-12"/>
        </w:rPr>
        <w:t> </w:t>
      </w:r>
      <w:r>
        <w:rPr/>
        <w:t>policies</w:t>
      </w:r>
      <w:r>
        <w:rPr>
          <w:spacing w:val="-12"/>
        </w:rPr>
        <w:t> </w:t>
      </w:r>
      <w:r>
        <w:rPr/>
        <w:t>increasing access to PrEP and PEP; advocating for comprehensive sexual health education; addressing factors leading</w:t>
      </w:r>
      <w:r>
        <w:rPr>
          <w:spacing w:val="-4"/>
        </w:rPr>
        <w:t> </w:t>
      </w:r>
      <w:r>
        <w:rPr/>
        <w:t>to</w:t>
      </w:r>
      <w:r>
        <w:rPr>
          <w:spacing w:val="-5"/>
        </w:rPr>
        <w:t> </w:t>
      </w:r>
      <w:r>
        <w:rPr/>
        <w:t>disparities</w:t>
      </w:r>
      <w:r>
        <w:rPr>
          <w:spacing w:val="-5"/>
        </w:rPr>
        <w:t> </w:t>
      </w:r>
      <w:r>
        <w:rPr/>
        <w:t>around</w:t>
      </w:r>
      <w:r>
        <w:rPr>
          <w:spacing w:val="-5"/>
        </w:rPr>
        <w:t> </w:t>
      </w:r>
      <w:r>
        <w:rPr/>
        <w:t>sexual</w:t>
      </w:r>
      <w:r>
        <w:rPr>
          <w:spacing w:val="-5"/>
        </w:rPr>
        <w:t> </w:t>
      </w:r>
      <w:r>
        <w:rPr/>
        <w:t>victimization;</w:t>
      </w:r>
      <w:r>
        <w:rPr>
          <w:spacing w:val="-4"/>
        </w:rPr>
        <w:t> </w:t>
      </w:r>
      <w:r>
        <w:rPr/>
        <w:t>and</w:t>
      </w:r>
      <w:r>
        <w:rPr>
          <w:spacing w:val="-5"/>
        </w:rPr>
        <w:t> </w:t>
      </w:r>
      <w:r>
        <w:rPr/>
        <w:t>more.</w:t>
      </w:r>
      <w:r>
        <w:rPr>
          <w:spacing w:val="-4"/>
        </w:rPr>
        <w:t> </w:t>
      </w:r>
      <w:r>
        <w:rPr/>
        <w:t>While</w:t>
      </w:r>
      <w:r>
        <w:rPr>
          <w:spacing w:val="-5"/>
        </w:rPr>
        <w:t> </w:t>
      </w:r>
      <w:r>
        <w:rPr/>
        <w:t>Massachusetts</w:t>
      </w:r>
      <w:r>
        <w:rPr>
          <w:spacing w:val="-5"/>
        </w:rPr>
        <w:t> </w:t>
      </w:r>
      <w:r>
        <w:rPr/>
        <w:t>remains</w:t>
      </w:r>
      <w:r>
        <w:rPr>
          <w:spacing w:val="-4"/>
        </w:rPr>
        <w:t> </w:t>
      </w:r>
      <w:r>
        <w:rPr/>
        <w:t>a</w:t>
      </w:r>
      <w:r>
        <w:rPr>
          <w:spacing w:val="-5"/>
        </w:rPr>
        <w:t> </w:t>
      </w:r>
      <w:r>
        <w:rPr/>
        <w:t>leader</w:t>
      </w:r>
      <w:r>
        <w:rPr>
          <w:spacing w:val="-5"/>
        </w:rPr>
        <w:t> </w:t>
      </w:r>
      <w:r>
        <w:rPr/>
        <w:t>in many areas of LGBTQ legal protections, there still remain a concerning number of areas where the state has failed to stay ahead and ensure that the unique gaps in resources, education, and services for LGBTQ youth are addressed.</w:t>
      </w:r>
    </w:p>
    <w:p>
      <w:pPr>
        <w:pStyle w:val="BodyText"/>
        <w:spacing w:line="276" w:lineRule="auto" w:before="239"/>
        <w:ind w:left="604" w:right="422"/>
        <w:jc w:val="both"/>
      </w:pPr>
      <w:r>
        <w:rPr/>
        <w:t>To this day, across the state and the nation, LGBTQ youth remain at a higher risk for STIs, HIV, and sexual</w:t>
      </w:r>
      <w:r>
        <w:rPr>
          <w:spacing w:val="-13"/>
        </w:rPr>
        <w:t> </w:t>
      </w:r>
      <w:r>
        <w:rPr/>
        <w:t>violence.</w:t>
      </w:r>
      <w:r>
        <w:rPr>
          <w:spacing w:val="-12"/>
        </w:rPr>
        <w:t> </w:t>
      </w:r>
      <w:r>
        <w:rPr/>
        <w:t>Furthermore,</w:t>
      </w:r>
      <w:r>
        <w:rPr>
          <w:spacing w:val="-13"/>
        </w:rPr>
        <w:t> </w:t>
      </w:r>
      <w:r>
        <w:rPr/>
        <w:t>as</w:t>
      </w:r>
      <w:r>
        <w:rPr>
          <w:spacing w:val="-12"/>
        </w:rPr>
        <w:t> </w:t>
      </w:r>
      <w:r>
        <w:rPr/>
        <w:t>discussed</w:t>
      </w:r>
      <w:r>
        <w:rPr>
          <w:spacing w:val="-13"/>
        </w:rPr>
        <w:t> </w:t>
      </w:r>
      <w:r>
        <w:rPr/>
        <w:t>in</w:t>
      </w:r>
      <w:r>
        <w:rPr>
          <w:spacing w:val="-12"/>
        </w:rPr>
        <w:t> </w:t>
      </w:r>
      <w:r>
        <w:rPr/>
        <w:t>the</w:t>
      </w:r>
      <w:r>
        <w:rPr>
          <w:spacing w:val="-13"/>
        </w:rPr>
        <w:t> </w:t>
      </w:r>
      <w:r>
        <w:rPr/>
        <w:t>pregnancy</w:t>
      </w:r>
      <w:r>
        <w:rPr>
          <w:spacing w:val="-12"/>
        </w:rPr>
        <w:t> </w:t>
      </w:r>
      <w:r>
        <w:rPr/>
        <w:t>section</w:t>
      </w:r>
      <w:r>
        <w:rPr>
          <w:spacing w:val="-12"/>
        </w:rPr>
        <w:t> </w:t>
      </w:r>
      <w:r>
        <w:rPr/>
        <w:t>of</w:t>
      </w:r>
      <w:r>
        <w:rPr>
          <w:spacing w:val="-13"/>
        </w:rPr>
        <w:t> </w:t>
      </w:r>
      <w:r>
        <w:rPr/>
        <w:t>this</w:t>
      </w:r>
      <w:r>
        <w:rPr>
          <w:spacing w:val="-12"/>
        </w:rPr>
        <w:t> </w:t>
      </w:r>
      <w:r>
        <w:rPr/>
        <w:t>annual</w:t>
      </w:r>
      <w:r>
        <w:rPr>
          <w:spacing w:val="-13"/>
        </w:rPr>
        <w:t> </w:t>
      </w:r>
      <w:r>
        <w:rPr/>
        <w:t>report,</w:t>
      </w:r>
      <w:r>
        <w:rPr>
          <w:spacing w:val="-12"/>
        </w:rPr>
        <w:t> </w:t>
      </w:r>
      <w:r>
        <w:rPr/>
        <w:t>LGBTQ</w:t>
      </w:r>
      <w:r>
        <w:rPr>
          <w:spacing w:val="-13"/>
        </w:rPr>
        <w:t> </w:t>
      </w:r>
      <w:r>
        <w:rPr/>
        <w:t>youth are</w:t>
      </w:r>
      <w:r>
        <w:rPr>
          <w:spacing w:val="-1"/>
        </w:rPr>
        <w:t> </w:t>
      </w:r>
      <w:r>
        <w:rPr/>
        <w:t>often</w:t>
      </w:r>
      <w:r>
        <w:rPr>
          <w:spacing w:val="-1"/>
        </w:rPr>
        <w:t> </w:t>
      </w:r>
      <w:r>
        <w:rPr/>
        <w:t>left out</w:t>
      </w:r>
      <w:r>
        <w:rPr>
          <w:spacing w:val="-1"/>
        </w:rPr>
        <w:t> </w:t>
      </w:r>
      <w:r>
        <w:rPr/>
        <w:t>of conversations around</w:t>
      </w:r>
      <w:r>
        <w:rPr>
          <w:spacing w:val="-1"/>
        </w:rPr>
        <w:t> </w:t>
      </w:r>
      <w:r>
        <w:rPr/>
        <w:t>national and</w:t>
      </w:r>
      <w:r>
        <w:rPr>
          <w:spacing w:val="-1"/>
        </w:rPr>
        <w:t> </w:t>
      </w:r>
      <w:r>
        <w:rPr/>
        <w:t>statewide conversations involving</w:t>
      </w:r>
      <w:r>
        <w:rPr>
          <w:spacing w:val="-1"/>
        </w:rPr>
        <w:t> </w:t>
      </w:r>
      <w:r>
        <w:rPr/>
        <w:t>pregnancy, abortion access, and gynecological health, but often face significant disparities in access and care. Compounding these issues, LGBTQ youth frequently encounter barriers to accessing contraceptives, affirming medical care, and inclusive sexual health education. Across the nation, 29 states and D.C. mandate sexual health education in schools, though only 7 states require curricula to include information on sexual orientation and gender identity - Massachusetts, which has not updated its education standards since 1999, mandates neither.</w:t>
      </w:r>
      <w:r>
        <w:rPr>
          <w:vertAlign w:val="superscript"/>
        </w:rPr>
        <w:t>1</w:t>
      </w:r>
    </w:p>
    <w:p>
      <w:pPr>
        <w:pStyle w:val="BodyText"/>
        <w:spacing w:line="276" w:lineRule="auto" w:before="241"/>
        <w:ind w:left="604" w:right="422"/>
        <w:jc w:val="both"/>
      </w:pPr>
      <w:r>
        <w:rPr/>
        <w:t>As</w:t>
      </w:r>
      <w:r>
        <w:rPr>
          <w:spacing w:val="-12"/>
        </w:rPr>
        <w:t> </w:t>
      </w:r>
      <w:r>
        <w:rPr/>
        <w:t>highlighted</w:t>
      </w:r>
      <w:r>
        <w:rPr>
          <w:spacing w:val="-13"/>
        </w:rPr>
        <w:t> </w:t>
      </w:r>
      <w:r>
        <w:rPr/>
        <w:t>in</w:t>
      </w:r>
      <w:r>
        <w:rPr>
          <w:spacing w:val="-12"/>
        </w:rPr>
        <w:t> </w:t>
      </w:r>
      <w:r>
        <w:rPr/>
        <w:t>numerous</w:t>
      </w:r>
      <w:r>
        <w:rPr>
          <w:spacing w:val="-12"/>
        </w:rPr>
        <w:t> </w:t>
      </w:r>
      <w:r>
        <w:rPr/>
        <w:t>areas</w:t>
      </w:r>
      <w:r>
        <w:rPr>
          <w:spacing w:val="-12"/>
        </w:rPr>
        <w:t> </w:t>
      </w:r>
      <w:r>
        <w:rPr/>
        <w:t>throughout</w:t>
      </w:r>
      <w:r>
        <w:rPr>
          <w:spacing w:val="-12"/>
        </w:rPr>
        <w:t> </w:t>
      </w:r>
      <w:r>
        <w:rPr/>
        <w:t>this</w:t>
      </w:r>
      <w:r>
        <w:rPr>
          <w:spacing w:val="-12"/>
        </w:rPr>
        <w:t> </w:t>
      </w:r>
      <w:r>
        <w:rPr/>
        <w:t>report,</w:t>
      </w:r>
      <w:r>
        <w:rPr>
          <w:spacing w:val="-12"/>
        </w:rPr>
        <w:t> </w:t>
      </w:r>
      <w:r>
        <w:rPr/>
        <w:t>sexual</w:t>
      </w:r>
      <w:r>
        <w:rPr>
          <w:spacing w:val="-12"/>
        </w:rPr>
        <w:t> </w:t>
      </w:r>
      <w:r>
        <w:rPr/>
        <w:t>health</w:t>
      </w:r>
      <w:r>
        <w:rPr>
          <w:spacing w:val="-13"/>
        </w:rPr>
        <w:t> </w:t>
      </w:r>
      <w:r>
        <w:rPr/>
        <w:t>goes</w:t>
      </w:r>
      <w:r>
        <w:rPr>
          <w:spacing w:val="-11"/>
        </w:rPr>
        <w:t> </w:t>
      </w:r>
      <w:r>
        <w:rPr/>
        <w:t>beyond</w:t>
      </w:r>
      <w:r>
        <w:rPr>
          <w:spacing w:val="-13"/>
        </w:rPr>
        <w:t> </w:t>
      </w:r>
      <w:r>
        <w:rPr/>
        <w:t>just</w:t>
      </w:r>
      <w:r>
        <w:rPr>
          <w:spacing w:val="-12"/>
        </w:rPr>
        <w:t> </w:t>
      </w:r>
      <w:r>
        <w:rPr/>
        <w:t>conversations around HIV, AIDS, and education. The following recommendations highlight solutions for critical gaps in Massachusetts policies and services, while also taking a broader look at how LGBTQ youth are affected by poor sexual health policies across the state.</w:t>
      </w:r>
    </w:p>
    <w:p>
      <w:pPr>
        <w:spacing w:before="238"/>
        <w:ind w:left="604" w:right="0" w:firstLine="0"/>
        <w:jc w:val="both"/>
        <w:rPr>
          <w:sz w:val="26"/>
        </w:rPr>
      </w:pPr>
      <w:bookmarkStart w:name="FY 2025 Recommendations to the Governor " w:id="50"/>
      <w:bookmarkEnd w:id="50"/>
      <w:r>
        <w:rPr/>
      </w:r>
      <w:r>
        <w:rPr>
          <w:color w:val="404040"/>
          <w:sz w:val="26"/>
        </w:rPr>
        <w:t>FY</w:t>
      </w:r>
      <w:r>
        <w:rPr>
          <w:color w:val="404040"/>
          <w:spacing w:val="-5"/>
          <w:sz w:val="26"/>
        </w:rPr>
        <w:t> </w:t>
      </w:r>
      <w:r>
        <w:rPr>
          <w:color w:val="404040"/>
          <w:sz w:val="26"/>
        </w:rPr>
        <w:t>2025</w:t>
      </w:r>
      <w:r>
        <w:rPr>
          <w:color w:val="404040"/>
          <w:spacing w:val="-3"/>
          <w:sz w:val="26"/>
        </w:rPr>
        <w:t> </w:t>
      </w:r>
      <w:r>
        <w:rPr>
          <w:color w:val="404040"/>
          <w:sz w:val="26"/>
        </w:rPr>
        <w:t>Recommendations</w:t>
      </w:r>
      <w:r>
        <w:rPr>
          <w:color w:val="404040"/>
          <w:spacing w:val="-3"/>
          <w:sz w:val="26"/>
        </w:rPr>
        <w:t> </w:t>
      </w:r>
      <w:r>
        <w:rPr>
          <w:color w:val="404040"/>
          <w:sz w:val="26"/>
        </w:rPr>
        <w:t>to</w:t>
      </w:r>
      <w:r>
        <w:rPr>
          <w:color w:val="404040"/>
          <w:spacing w:val="-5"/>
          <w:sz w:val="26"/>
        </w:rPr>
        <w:t> </w:t>
      </w:r>
      <w:r>
        <w:rPr>
          <w:color w:val="404040"/>
          <w:sz w:val="26"/>
        </w:rPr>
        <w:t>the</w:t>
      </w:r>
      <w:r>
        <w:rPr>
          <w:color w:val="404040"/>
          <w:spacing w:val="-4"/>
          <w:sz w:val="26"/>
        </w:rPr>
        <w:t> </w:t>
      </w:r>
      <w:r>
        <w:rPr>
          <w:color w:val="404040"/>
          <w:sz w:val="26"/>
        </w:rPr>
        <w:t>Governor</w:t>
      </w:r>
      <w:r>
        <w:rPr>
          <w:color w:val="404040"/>
          <w:spacing w:val="-4"/>
          <w:sz w:val="26"/>
        </w:rPr>
        <w:t> </w:t>
      </w:r>
      <w:r>
        <w:rPr>
          <w:color w:val="404040"/>
          <w:sz w:val="26"/>
        </w:rPr>
        <w:t>&amp;</w:t>
      </w:r>
      <w:r>
        <w:rPr>
          <w:color w:val="404040"/>
          <w:spacing w:val="-3"/>
          <w:sz w:val="26"/>
        </w:rPr>
        <w:t> </w:t>
      </w:r>
      <w:r>
        <w:rPr>
          <w:color w:val="404040"/>
          <w:sz w:val="26"/>
        </w:rPr>
        <w:t>Legislature</w:t>
      </w:r>
      <w:r>
        <w:rPr>
          <w:color w:val="404040"/>
          <w:spacing w:val="-3"/>
          <w:sz w:val="26"/>
        </w:rPr>
        <w:t> </w:t>
      </w:r>
      <w:r>
        <w:rPr>
          <w:color w:val="404040"/>
          <w:sz w:val="26"/>
        </w:rPr>
        <w:t>on</w:t>
      </w:r>
      <w:r>
        <w:rPr>
          <w:color w:val="404040"/>
          <w:spacing w:val="-4"/>
          <w:sz w:val="26"/>
        </w:rPr>
        <w:t> </w:t>
      </w:r>
      <w:r>
        <w:rPr>
          <w:color w:val="404040"/>
          <w:sz w:val="26"/>
        </w:rPr>
        <w:t>Sexual</w:t>
      </w:r>
      <w:r>
        <w:rPr>
          <w:color w:val="404040"/>
          <w:spacing w:val="-2"/>
          <w:sz w:val="26"/>
        </w:rPr>
        <w:t> Health</w:t>
      </w:r>
    </w:p>
    <w:p>
      <w:pPr>
        <w:pStyle w:val="ListParagraph"/>
        <w:numPr>
          <w:ilvl w:val="0"/>
          <w:numId w:val="8"/>
        </w:numPr>
        <w:tabs>
          <w:tab w:pos="1064" w:val="left" w:leader="none"/>
        </w:tabs>
        <w:spacing w:line="276" w:lineRule="auto" w:before="289" w:after="0"/>
        <w:ind w:left="1064" w:right="638" w:hanging="245"/>
        <w:jc w:val="left"/>
        <w:rPr>
          <w:sz w:val="22"/>
        </w:rPr>
      </w:pPr>
      <w:bookmarkStart w:name="1. Ensure that all youth have access to " w:id="51"/>
      <w:bookmarkEnd w:id="51"/>
      <w:r>
        <w:rPr/>
      </w:r>
      <w:r>
        <w:rPr>
          <w:sz w:val="22"/>
        </w:rPr>
        <w:t>Ensure</w:t>
      </w:r>
      <w:r>
        <w:rPr>
          <w:spacing w:val="31"/>
          <w:sz w:val="22"/>
        </w:rPr>
        <w:t> </w:t>
      </w:r>
      <w:r>
        <w:rPr>
          <w:sz w:val="22"/>
        </w:rPr>
        <w:t>that</w:t>
      </w:r>
      <w:r>
        <w:rPr>
          <w:spacing w:val="32"/>
          <w:sz w:val="22"/>
        </w:rPr>
        <w:t> </w:t>
      </w:r>
      <w:r>
        <w:rPr>
          <w:sz w:val="22"/>
        </w:rPr>
        <w:t>all</w:t>
      </w:r>
      <w:r>
        <w:rPr>
          <w:spacing w:val="30"/>
          <w:sz w:val="22"/>
        </w:rPr>
        <w:t> </w:t>
      </w:r>
      <w:r>
        <w:rPr>
          <w:sz w:val="22"/>
        </w:rPr>
        <w:t>youth</w:t>
      </w:r>
      <w:r>
        <w:rPr>
          <w:spacing w:val="31"/>
          <w:sz w:val="22"/>
        </w:rPr>
        <w:t> </w:t>
      </w:r>
      <w:r>
        <w:rPr>
          <w:sz w:val="22"/>
        </w:rPr>
        <w:t>have</w:t>
      </w:r>
      <w:r>
        <w:rPr>
          <w:spacing w:val="30"/>
          <w:sz w:val="22"/>
        </w:rPr>
        <w:t> </w:t>
      </w:r>
      <w:r>
        <w:rPr>
          <w:sz w:val="22"/>
        </w:rPr>
        <w:t>access</w:t>
      </w:r>
      <w:r>
        <w:rPr>
          <w:spacing w:val="32"/>
          <w:sz w:val="22"/>
        </w:rPr>
        <w:t> </w:t>
      </w:r>
      <w:r>
        <w:rPr>
          <w:sz w:val="22"/>
        </w:rPr>
        <w:t>to</w:t>
      </w:r>
      <w:r>
        <w:rPr>
          <w:spacing w:val="33"/>
          <w:sz w:val="22"/>
        </w:rPr>
        <w:t> </w:t>
      </w:r>
      <w:r>
        <w:rPr>
          <w:sz w:val="22"/>
        </w:rPr>
        <w:t>age-appropriate,</w:t>
      </w:r>
      <w:r>
        <w:rPr>
          <w:spacing w:val="30"/>
          <w:sz w:val="22"/>
        </w:rPr>
        <w:t> </w:t>
      </w:r>
      <w:r>
        <w:rPr>
          <w:sz w:val="22"/>
        </w:rPr>
        <w:t>LGBTQ-inclusive,</w:t>
      </w:r>
      <w:r>
        <w:rPr>
          <w:spacing w:val="32"/>
          <w:sz w:val="22"/>
        </w:rPr>
        <w:t> </w:t>
      </w:r>
      <w:r>
        <w:rPr>
          <w:sz w:val="22"/>
        </w:rPr>
        <w:t>and</w:t>
      </w:r>
      <w:r>
        <w:rPr>
          <w:spacing w:val="31"/>
          <w:sz w:val="22"/>
        </w:rPr>
        <w:t> </w:t>
      </w:r>
      <w:r>
        <w:rPr>
          <w:sz w:val="22"/>
        </w:rPr>
        <w:t>consent-based sexual health education, and that educators are provided with implementation support.</w:t>
      </w:r>
    </w:p>
    <w:p>
      <w:pPr>
        <w:pStyle w:val="ListParagraph"/>
        <w:numPr>
          <w:ilvl w:val="0"/>
          <w:numId w:val="8"/>
        </w:numPr>
        <w:tabs>
          <w:tab w:pos="1064" w:val="left" w:leader="none"/>
        </w:tabs>
        <w:spacing w:line="276" w:lineRule="auto" w:before="0" w:after="0"/>
        <w:ind w:left="1064" w:right="638" w:hanging="245"/>
        <w:jc w:val="left"/>
        <w:rPr>
          <w:sz w:val="22"/>
        </w:rPr>
      </w:pPr>
      <w:bookmarkStart w:name="2. Support and increase HIV &amp; STI preven" w:id="52"/>
      <w:bookmarkEnd w:id="52"/>
      <w:r>
        <w:rPr/>
      </w:r>
      <w:r>
        <w:rPr>
          <w:sz w:val="22"/>
        </w:rPr>
        <w:t>Support</w:t>
      </w:r>
      <w:r>
        <w:rPr>
          <w:spacing w:val="36"/>
          <w:sz w:val="22"/>
        </w:rPr>
        <w:t> </w:t>
      </w:r>
      <w:r>
        <w:rPr>
          <w:sz w:val="22"/>
        </w:rPr>
        <w:t>and</w:t>
      </w:r>
      <w:r>
        <w:rPr>
          <w:spacing w:val="37"/>
          <w:sz w:val="22"/>
        </w:rPr>
        <w:t> </w:t>
      </w:r>
      <w:r>
        <w:rPr>
          <w:sz w:val="22"/>
        </w:rPr>
        <w:t>increase</w:t>
      </w:r>
      <w:r>
        <w:rPr>
          <w:spacing w:val="35"/>
          <w:sz w:val="22"/>
        </w:rPr>
        <w:t> </w:t>
      </w:r>
      <w:r>
        <w:rPr>
          <w:sz w:val="22"/>
        </w:rPr>
        <w:t>HIV</w:t>
      </w:r>
      <w:r>
        <w:rPr>
          <w:spacing w:val="36"/>
          <w:sz w:val="22"/>
        </w:rPr>
        <w:t> </w:t>
      </w:r>
      <w:r>
        <w:rPr>
          <w:sz w:val="22"/>
        </w:rPr>
        <w:t>&amp;</w:t>
      </w:r>
      <w:r>
        <w:rPr>
          <w:spacing w:val="35"/>
          <w:sz w:val="22"/>
        </w:rPr>
        <w:t> </w:t>
      </w:r>
      <w:r>
        <w:rPr>
          <w:sz w:val="22"/>
        </w:rPr>
        <w:t>STI</w:t>
      </w:r>
      <w:r>
        <w:rPr>
          <w:spacing w:val="36"/>
          <w:sz w:val="22"/>
        </w:rPr>
        <w:t> </w:t>
      </w:r>
      <w:r>
        <w:rPr>
          <w:sz w:val="22"/>
        </w:rPr>
        <w:t>prevention</w:t>
      </w:r>
      <w:r>
        <w:rPr>
          <w:spacing w:val="34"/>
          <w:sz w:val="22"/>
        </w:rPr>
        <w:t> </w:t>
      </w:r>
      <w:r>
        <w:rPr>
          <w:sz w:val="22"/>
        </w:rPr>
        <w:t>and</w:t>
      </w:r>
      <w:r>
        <w:rPr>
          <w:spacing w:val="36"/>
          <w:sz w:val="22"/>
        </w:rPr>
        <w:t> </w:t>
      </w:r>
      <w:r>
        <w:rPr>
          <w:sz w:val="22"/>
        </w:rPr>
        <w:t>treatment</w:t>
      </w:r>
      <w:r>
        <w:rPr>
          <w:spacing w:val="34"/>
          <w:sz w:val="22"/>
        </w:rPr>
        <w:t> </w:t>
      </w:r>
      <w:r>
        <w:rPr>
          <w:sz w:val="22"/>
        </w:rPr>
        <w:t>services</w:t>
      </w:r>
      <w:r>
        <w:rPr>
          <w:spacing w:val="35"/>
          <w:sz w:val="22"/>
        </w:rPr>
        <w:t> </w:t>
      </w:r>
      <w:r>
        <w:rPr>
          <w:sz w:val="22"/>
        </w:rPr>
        <w:t>for</w:t>
      </w:r>
      <w:r>
        <w:rPr>
          <w:spacing w:val="35"/>
          <w:sz w:val="22"/>
        </w:rPr>
        <w:t> </w:t>
      </w:r>
      <w:r>
        <w:rPr>
          <w:sz w:val="22"/>
        </w:rPr>
        <w:t>LGBTQ</w:t>
      </w:r>
      <w:r>
        <w:rPr>
          <w:spacing w:val="34"/>
          <w:sz w:val="22"/>
        </w:rPr>
        <w:t> </w:t>
      </w:r>
      <w:r>
        <w:rPr>
          <w:sz w:val="22"/>
        </w:rPr>
        <w:t>youth,</w:t>
      </w:r>
      <w:r>
        <w:rPr>
          <w:spacing w:val="35"/>
          <w:sz w:val="22"/>
        </w:rPr>
        <w:t> </w:t>
      </w:r>
      <w:r>
        <w:rPr>
          <w:sz w:val="22"/>
        </w:rPr>
        <w:t>and awareness campaigns across the state.</w:t>
      </w:r>
    </w:p>
    <w:p>
      <w:pPr>
        <w:pStyle w:val="ListParagraph"/>
        <w:numPr>
          <w:ilvl w:val="0"/>
          <w:numId w:val="8"/>
        </w:numPr>
        <w:tabs>
          <w:tab w:pos="1064" w:val="left" w:leader="none"/>
        </w:tabs>
        <w:spacing w:line="276" w:lineRule="auto" w:before="0" w:after="0"/>
        <w:ind w:left="1064" w:right="639" w:hanging="245"/>
        <w:jc w:val="left"/>
        <w:rPr>
          <w:sz w:val="22"/>
        </w:rPr>
      </w:pPr>
      <w:bookmarkStart w:name="3. Prohibit medical providers from perfo" w:id="53"/>
      <w:bookmarkEnd w:id="53"/>
      <w:r>
        <w:rPr/>
      </w:r>
      <w:r>
        <w:rPr>
          <w:sz w:val="22"/>
        </w:rPr>
        <w:t>Prohibit</w:t>
      </w:r>
      <w:r>
        <w:rPr>
          <w:spacing w:val="38"/>
          <w:sz w:val="22"/>
        </w:rPr>
        <w:t> </w:t>
      </w:r>
      <w:r>
        <w:rPr>
          <w:sz w:val="22"/>
        </w:rPr>
        <w:t>medical</w:t>
      </w:r>
      <w:r>
        <w:rPr>
          <w:spacing w:val="39"/>
          <w:sz w:val="22"/>
        </w:rPr>
        <w:t> </w:t>
      </w:r>
      <w:r>
        <w:rPr>
          <w:sz w:val="22"/>
        </w:rPr>
        <w:t>providers</w:t>
      </w:r>
      <w:r>
        <w:rPr>
          <w:spacing w:val="39"/>
          <w:sz w:val="22"/>
        </w:rPr>
        <w:t> </w:t>
      </w:r>
      <w:r>
        <w:rPr>
          <w:sz w:val="22"/>
        </w:rPr>
        <w:t>from</w:t>
      </w:r>
      <w:r>
        <w:rPr>
          <w:spacing w:val="38"/>
          <w:sz w:val="22"/>
        </w:rPr>
        <w:t> </w:t>
      </w:r>
      <w:r>
        <w:rPr>
          <w:sz w:val="22"/>
        </w:rPr>
        <w:t>performing</w:t>
      </w:r>
      <w:r>
        <w:rPr>
          <w:spacing w:val="40"/>
          <w:sz w:val="22"/>
        </w:rPr>
        <w:t> </w:t>
      </w:r>
      <w:r>
        <w:rPr>
          <w:sz w:val="22"/>
        </w:rPr>
        <w:t>non-consensual</w:t>
      </w:r>
      <w:r>
        <w:rPr>
          <w:spacing w:val="39"/>
          <w:sz w:val="22"/>
        </w:rPr>
        <w:t> </w:t>
      </w:r>
      <w:r>
        <w:rPr>
          <w:sz w:val="22"/>
        </w:rPr>
        <w:t>examinations</w:t>
      </w:r>
      <w:r>
        <w:rPr>
          <w:spacing w:val="39"/>
          <w:sz w:val="22"/>
        </w:rPr>
        <w:t> </w:t>
      </w:r>
      <w:r>
        <w:rPr>
          <w:sz w:val="22"/>
        </w:rPr>
        <w:t>on</w:t>
      </w:r>
      <w:r>
        <w:rPr>
          <w:spacing w:val="38"/>
          <w:sz w:val="22"/>
        </w:rPr>
        <w:t> </w:t>
      </w:r>
      <w:r>
        <w:rPr>
          <w:sz w:val="22"/>
        </w:rPr>
        <w:t>unconscious </w:t>
      </w:r>
      <w:r>
        <w:rPr>
          <w:spacing w:val="-2"/>
          <w:sz w:val="22"/>
        </w:rPr>
        <w:t>patients.</w:t>
      </w:r>
    </w:p>
    <w:p>
      <w:pPr>
        <w:pStyle w:val="ListParagraph"/>
        <w:numPr>
          <w:ilvl w:val="0"/>
          <w:numId w:val="8"/>
        </w:numPr>
        <w:tabs>
          <w:tab w:pos="1064" w:val="left" w:leader="none"/>
        </w:tabs>
        <w:spacing w:line="276" w:lineRule="auto" w:before="0" w:after="0"/>
        <w:ind w:left="1064" w:right="640" w:hanging="245"/>
        <w:jc w:val="left"/>
        <w:rPr>
          <w:sz w:val="22"/>
        </w:rPr>
      </w:pPr>
      <w:r>
        <w:rPr>
          <w:sz w:val="22"/>
        </w:rPr>
        <w:t>Increase access to critical reproductive and sexual health items, such as contraceptives and</w:t>
      </w:r>
      <w:r>
        <w:rPr>
          <w:spacing w:val="40"/>
          <w:sz w:val="22"/>
        </w:rPr>
        <w:t> </w:t>
      </w:r>
      <w:r>
        <w:rPr>
          <w:sz w:val="22"/>
        </w:rPr>
        <w:t>menstrual products.</w:t>
      </w:r>
    </w:p>
    <w:p>
      <w:pPr>
        <w:pStyle w:val="ListParagraph"/>
        <w:numPr>
          <w:ilvl w:val="0"/>
          <w:numId w:val="8"/>
        </w:numPr>
        <w:tabs>
          <w:tab w:pos="1064" w:val="left" w:leader="none"/>
        </w:tabs>
        <w:spacing w:line="276" w:lineRule="auto" w:before="0" w:after="0"/>
        <w:ind w:left="1064" w:right="640" w:hanging="245"/>
        <w:jc w:val="left"/>
        <w:rPr>
          <w:sz w:val="22"/>
        </w:rPr>
      </w:pPr>
      <w:bookmarkStart w:name="5. Continue to explore paths to increase" w:id="54"/>
      <w:bookmarkEnd w:id="54"/>
      <w:r>
        <w:rPr/>
      </w:r>
      <w:r>
        <w:rPr>
          <w:sz w:val="22"/>
        </w:rPr>
        <w:t>Continue</w:t>
      </w:r>
      <w:r>
        <w:rPr>
          <w:spacing w:val="40"/>
          <w:sz w:val="22"/>
        </w:rPr>
        <w:t> </w:t>
      </w:r>
      <w:r>
        <w:rPr>
          <w:sz w:val="22"/>
        </w:rPr>
        <w:t>to</w:t>
      </w:r>
      <w:r>
        <w:rPr>
          <w:spacing w:val="40"/>
          <w:sz w:val="22"/>
        </w:rPr>
        <w:t> </w:t>
      </w:r>
      <w:r>
        <w:rPr>
          <w:sz w:val="22"/>
        </w:rPr>
        <w:t>explore</w:t>
      </w:r>
      <w:r>
        <w:rPr>
          <w:spacing w:val="40"/>
          <w:sz w:val="22"/>
        </w:rPr>
        <w:t> </w:t>
      </w:r>
      <w:r>
        <w:rPr>
          <w:sz w:val="22"/>
        </w:rPr>
        <w:t>paths</w:t>
      </w:r>
      <w:r>
        <w:rPr>
          <w:spacing w:val="40"/>
          <w:sz w:val="22"/>
        </w:rPr>
        <w:t> </w:t>
      </w:r>
      <w:r>
        <w:rPr>
          <w:sz w:val="22"/>
        </w:rPr>
        <w:t>to</w:t>
      </w:r>
      <w:r>
        <w:rPr>
          <w:spacing w:val="40"/>
          <w:sz w:val="22"/>
        </w:rPr>
        <w:t> </w:t>
      </w:r>
      <w:r>
        <w:rPr>
          <w:sz w:val="22"/>
        </w:rPr>
        <w:t>increase</w:t>
      </w:r>
      <w:r>
        <w:rPr>
          <w:spacing w:val="40"/>
          <w:sz w:val="22"/>
        </w:rPr>
        <w:t> </w:t>
      </w:r>
      <w:r>
        <w:rPr>
          <w:sz w:val="22"/>
        </w:rPr>
        <w:t>access</w:t>
      </w:r>
      <w:r>
        <w:rPr>
          <w:spacing w:val="40"/>
          <w:sz w:val="22"/>
        </w:rPr>
        <w:t> </w:t>
      </w:r>
      <w:r>
        <w:rPr>
          <w:sz w:val="22"/>
        </w:rPr>
        <w:t>to</w:t>
      </w:r>
      <w:r>
        <w:rPr>
          <w:spacing w:val="40"/>
          <w:sz w:val="22"/>
        </w:rPr>
        <w:t> </w:t>
      </w:r>
      <w:r>
        <w:rPr>
          <w:sz w:val="22"/>
        </w:rPr>
        <w:t>abortion</w:t>
      </w:r>
      <w:r>
        <w:rPr>
          <w:spacing w:val="40"/>
          <w:sz w:val="22"/>
        </w:rPr>
        <w:t> </w:t>
      </w:r>
      <w:r>
        <w:rPr>
          <w:sz w:val="22"/>
        </w:rPr>
        <w:t>services,</w:t>
      </w:r>
      <w:r>
        <w:rPr>
          <w:spacing w:val="40"/>
          <w:sz w:val="22"/>
        </w:rPr>
        <w:t> </w:t>
      </w:r>
      <w:r>
        <w:rPr>
          <w:sz w:val="22"/>
        </w:rPr>
        <w:t>and</w:t>
      </w:r>
      <w:r>
        <w:rPr>
          <w:spacing w:val="40"/>
          <w:sz w:val="22"/>
        </w:rPr>
        <w:t> </w:t>
      </w:r>
      <w:r>
        <w:rPr>
          <w:sz w:val="22"/>
        </w:rPr>
        <w:t>address</w:t>
      </w:r>
      <w:r>
        <w:rPr>
          <w:spacing w:val="40"/>
          <w:sz w:val="22"/>
        </w:rPr>
        <w:t> </w:t>
      </w:r>
      <w:r>
        <w:rPr>
          <w:sz w:val="22"/>
        </w:rPr>
        <w:t>barriers resulting from the proliferation of anti-abortion centers in the state.</w:t>
      </w:r>
    </w:p>
    <w:p>
      <w:pPr>
        <w:spacing w:after="0" w:line="276" w:lineRule="auto"/>
        <w:jc w:val="left"/>
        <w:rPr>
          <w:sz w:val="22"/>
        </w:rPr>
        <w:sectPr>
          <w:headerReference w:type="default" r:id="rId32"/>
          <w:footerReference w:type="default" r:id="rId33"/>
          <w:pgSz w:w="12240" w:h="15840"/>
          <w:pgMar w:header="0" w:footer="1061" w:top="1140" w:bottom="1260" w:left="980" w:right="1160"/>
        </w:sectPr>
      </w:pPr>
    </w:p>
    <w:p>
      <w:pPr>
        <w:spacing w:before="29"/>
        <w:ind w:left="604" w:right="0" w:firstLine="0"/>
        <w:jc w:val="both"/>
        <w:rPr>
          <w:sz w:val="28"/>
        </w:rPr>
      </w:pPr>
      <w:bookmarkStart w:name="Homelessness &amp; Housing Instability (2024" w:id="55"/>
      <w:bookmarkEnd w:id="55"/>
      <w:r>
        <w:rPr/>
      </w:r>
      <w:r>
        <w:rPr>
          <w:color w:val="365F91"/>
          <w:sz w:val="28"/>
        </w:rPr>
        <w:t>Homelessness</w:t>
      </w:r>
      <w:r>
        <w:rPr>
          <w:color w:val="365F91"/>
          <w:spacing w:val="-13"/>
          <w:sz w:val="28"/>
        </w:rPr>
        <w:t> </w:t>
      </w:r>
      <w:r>
        <w:rPr>
          <w:color w:val="365F91"/>
          <w:sz w:val="28"/>
        </w:rPr>
        <w:t>&amp;</w:t>
      </w:r>
      <w:r>
        <w:rPr>
          <w:color w:val="365F91"/>
          <w:spacing w:val="-13"/>
          <w:sz w:val="28"/>
        </w:rPr>
        <w:t> </w:t>
      </w:r>
      <w:r>
        <w:rPr>
          <w:color w:val="365F91"/>
          <w:sz w:val="28"/>
        </w:rPr>
        <w:t>Housing</w:t>
      </w:r>
      <w:r>
        <w:rPr>
          <w:color w:val="365F91"/>
          <w:spacing w:val="-12"/>
          <w:sz w:val="28"/>
        </w:rPr>
        <w:t> </w:t>
      </w:r>
      <w:r>
        <w:rPr>
          <w:color w:val="365F91"/>
          <w:sz w:val="28"/>
        </w:rPr>
        <w:t>Instability</w:t>
      </w:r>
      <w:r>
        <w:rPr>
          <w:color w:val="365F91"/>
          <w:spacing w:val="-14"/>
          <w:sz w:val="28"/>
        </w:rPr>
        <w:t> </w:t>
      </w:r>
      <w:r>
        <w:rPr>
          <w:color w:val="365F91"/>
          <w:spacing w:val="-2"/>
          <w:sz w:val="28"/>
        </w:rPr>
        <w:t>(2024)</w:t>
      </w:r>
    </w:p>
    <w:p>
      <w:pPr>
        <w:pStyle w:val="BodyText"/>
        <w:spacing w:line="276" w:lineRule="auto" w:before="293"/>
        <w:ind w:left="604" w:right="419"/>
        <w:jc w:val="both"/>
      </w:pPr>
      <w:r>
        <w:rPr/>
        <w:t>In the United States, rates of homelessness and housing insecurity reached a record high in 2023, making</w:t>
      </w:r>
      <w:r>
        <w:rPr>
          <w:spacing w:val="-2"/>
        </w:rPr>
        <w:t> </w:t>
      </w:r>
      <w:r>
        <w:rPr/>
        <w:t>homelessness</w:t>
      </w:r>
      <w:r>
        <w:rPr>
          <w:spacing w:val="-2"/>
        </w:rPr>
        <w:t> </w:t>
      </w:r>
      <w:r>
        <w:rPr/>
        <w:t>and</w:t>
      </w:r>
      <w:r>
        <w:rPr>
          <w:spacing w:val="-1"/>
        </w:rPr>
        <w:t> </w:t>
      </w:r>
      <w:r>
        <w:rPr/>
        <w:t>housing</w:t>
      </w:r>
      <w:r>
        <w:rPr>
          <w:spacing w:val="-2"/>
        </w:rPr>
        <w:t> </w:t>
      </w:r>
      <w:r>
        <w:rPr/>
        <w:t>insecurity</w:t>
      </w:r>
      <w:r>
        <w:rPr>
          <w:spacing w:val="-3"/>
        </w:rPr>
        <w:t> </w:t>
      </w:r>
      <w:r>
        <w:rPr/>
        <w:t>a</w:t>
      </w:r>
      <w:r>
        <w:rPr>
          <w:spacing w:val="-1"/>
        </w:rPr>
        <w:t> </w:t>
      </w:r>
      <w:r>
        <w:rPr/>
        <w:t>major</w:t>
      </w:r>
      <w:r>
        <w:rPr>
          <w:spacing w:val="-1"/>
        </w:rPr>
        <w:t> </w:t>
      </w:r>
      <w:r>
        <w:rPr/>
        <w:t>public</w:t>
      </w:r>
      <w:r>
        <w:rPr>
          <w:spacing w:val="-2"/>
        </w:rPr>
        <w:t> </w:t>
      </w:r>
      <w:r>
        <w:rPr/>
        <w:t>health</w:t>
      </w:r>
      <w:r>
        <w:rPr>
          <w:spacing w:val="-2"/>
        </w:rPr>
        <w:t> </w:t>
      </w:r>
      <w:r>
        <w:rPr/>
        <w:t>crisis</w:t>
      </w:r>
      <w:r>
        <w:rPr>
          <w:spacing w:val="-2"/>
        </w:rPr>
        <w:t> </w:t>
      </w:r>
      <w:r>
        <w:rPr/>
        <w:t>that</w:t>
      </w:r>
      <w:r>
        <w:rPr>
          <w:spacing w:val="-3"/>
        </w:rPr>
        <w:t> </w:t>
      </w:r>
      <w:r>
        <w:rPr/>
        <w:t>requires</w:t>
      </w:r>
      <w:r>
        <w:rPr>
          <w:spacing w:val="-2"/>
        </w:rPr>
        <w:t> </w:t>
      </w:r>
      <w:r>
        <w:rPr/>
        <w:t>effective</w:t>
      </w:r>
      <w:r>
        <w:rPr>
          <w:spacing w:val="-3"/>
        </w:rPr>
        <w:t> </w:t>
      </w:r>
      <w:r>
        <w:rPr/>
        <w:t>policy and program interventions. Currently, there is no single definition of youth homelessness defined federally, making it difficult to assess the extent of youth homelessness and develop appropriate responses and resources. For this report, the Commission has defined LGBTQ youth as individuals under the age of 25 who identify as lesbian, gay, bisexual, transgender, queer, questioning, and nonbinary. Additionally, the Commission has utilized the Massachusetts Unaccompanied Homeless Youth Commission’s definition of youth homelessness. This definition states that youth experiencing homelessness are individuals who are not in the physical custody of a parent or legal guardian, and who lack a fixed, regular, and adequate nighttime residence.</w:t>
      </w:r>
    </w:p>
    <w:p>
      <w:pPr>
        <w:pStyle w:val="BodyText"/>
        <w:spacing w:line="276" w:lineRule="auto" w:before="239"/>
        <w:ind w:left="604" w:right="420"/>
        <w:jc w:val="both"/>
      </w:pPr>
      <w:r>
        <w:rPr/>
        <w:t>This section provides an understanding of LGBTQ youth homelessness in the Commonwealth of Massachusetts</w:t>
      </w:r>
      <w:r>
        <w:rPr>
          <w:spacing w:val="-8"/>
        </w:rPr>
        <w:t> </w:t>
      </w:r>
      <w:r>
        <w:rPr/>
        <w:t>and</w:t>
      </w:r>
      <w:r>
        <w:rPr>
          <w:spacing w:val="-9"/>
        </w:rPr>
        <w:t> </w:t>
      </w:r>
      <w:r>
        <w:rPr/>
        <w:t>includes</w:t>
      </w:r>
      <w:r>
        <w:rPr>
          <w:spacing w:val="-8"/>
        </w:rPr>
        <w:t> </w:t>
      </w:r>
      <w:r>
        <w:rPr/>
        <w:t>legislative</w:t>
      </w:r>
      <w:r>
        <w:rPr>
          <w:spacing w:val="-8"/>
        </w:rPr>
        <w:t> </w:t>
      </w:r>
      <w:r>
        <w:rPr/>
        <w:t>priorities</w:t>
      </w:r>
      <w:r>
        <w:rPr>
          <w:spacing w:val="-8"/>
        </w:rPr>
        <w:t> </w:t>
      </w:r>
      <w:r>
        <w:rPr/>
        <w:t>and</w:t>
      </w:r>
      <w:r>
        <w:rPr>
          <w:spacing w:val="-8"/>
        </w:rPr>
        <w:t> </w:t>
      </w:r>
      <w:r>
        <w:rPr/>
        <w:t>recommendations</w:t>
      </w:r>
      <w:r>
        <w:rPr>
          <w:spacing w:val="-8"/>
        </w:rPr>
        <w:t> </w:t>
      </w:r>
      <w:r>
        <w:rPr/>
        <w:t>defined</w:t>
      </w:r>
      <w:r>
        <w:rPr>
          <w:spacing w:val="-9"/>
        </w:rPr>
        <w:t> </w:t>
      </w:r>
      <w:r>
        <w:rPr/>
        <w:t>by</w:t>
      </w:r>
      <w:r>
        <w:rPr>
          <w:spacing w:val="-9"/>
        </w:rPr>
        <w:t> </w:t>
      </w:r>
      <w:r>
        <w:rPr/>
        <w:t>the</w:t>
      </w:r>
      <w:r>
        <w:rPr>
          <w:spacing w:val="-9"/>
        </w:rPr>
        <w:t> </w:t>
      </w:r>
      <w:r>
        <w:rPr/>
        <w:t>Commission</w:t>
      </w:r>
      <w:r>
        <w:rPr>
          <w:spacing w:val="-9"/>
        </w:rPr>
        <w:t> </w:t>
      </w:r>
      <w:r>
        <w:rPr/>
        <w:t>on LGBTQ Youth to support the goal of eradicating youth homelessness in the Commonwealth.</w:t>
      </w:r>
    </w:p>
    <w:p>
      <w:pPr>
        <w:spacing w:line="276" w:lineRule="auto" w:before="239"/>
        <w:ind w:left="604" w:right="421" w:firstLine="0"/>
        <w:jc w:val="both"/>
        <w:rPr>
          <w:sz w:val="26"/>
        </w:rPr>
      </w:pPr>
      <w:bookmarkStart w:name="FY 2025 Recommendations to the Governor " w:id="56"/>
      <w:bookmarkEnd w:id="56"/>
      <w:r>
        <w:rPr/>
      </w:r>
      <w:r>
        <w:rPr>
          <w:color w:val="404040"/>
          <w:sz w:val="26"/>
        </w:rPr>
        <w:t>FY</w:t>
      </w:r>
      <w:r>
        <w:rPr>
          <w:color w:val="404040"/>
          <w:spacing w:val="-7"/>
          <w:sz w:val="26"/>
        </w:rPr>
        <w:t> </w:t>
      </w:r>
      <w:r>
        <w:rPr>
          <w:color w:val="404040"/>
          <w:sz w:val="26"/>
        </w:rPr>
        <w:t>2025</w:t>
      </w:r>
      <w:r>
        <w:rPr>
          <w:color w:val="404040"/>
          <w:spacing w:val="-8"/>
          <w:sz w:val="26"/>
        </w:rPr>
        <w:t> </w:t>
      </w:r>
      <w:r>
        <w:rPr>
          <w:color w:val="404040"/>
          <w:sz w:val="26"/>
        </w:rPr>
        <w:t>Recommendations</w:t>
      </w:r>
      <w:r>
        <w:rPr>
          <w:color w:val="404040"/>
          <w:spacing w:val="-8"/>
          <w:sz w:val="26"/>
        </w:rPr>
        <w:t> </w:t>
      </w:r>
      <w:r>
        <w:rPr>
          <w:color w:val="404040"/>
          <w:sz w:val="26"/>
        </w:rPr>
        <w:t>to</w:t>
      </w:r>
      <w:r>
        <w:rPr>
          <w:color w:val="404040"/>
          <w:spacing w:val="-8"/>
          <w:sz w:val="26"/>
        </w:rPr>
        <w:t> </w:t>
      </w:r>
      <w:r>
        <w:rPr>
          <w:color w:val="404040"/>
          <w:sz w:val="26"/>
        </w:rPr>
        <w:t>the</w:t>
      </w:r>
      <w:r>
        <w:rPr>
          <w:color w:val="404040"/>
          <w:spacing w:val="-8"/>
          <w:sz w:val="26"/>
        </w:rPr>
        <w:t> </w:t>
      </w:r>
      <w:r>
        <w:rPr>
          <w:color w:val="404040"/>
          <w:sz w:val="26"/>
        </w:rPr>
        <w:t>Governor</w:t>
      </w:r>
      <w:r>
        <w:rPr>
          <w:color w:val="404040"/>
          <w:spacing w:val="-8"/>
          <w:sz w:val="26"/>
        </w:rPr>
        <w:t> </w:t>
      </w:r>
      <w:r>
        <w:rPr>
          <w:color w:val="404040"/>
          <w:sz w:val="26"/>
        </w:rPr>
        <w:t>&amp;</w:t>
      </w:r>
      <w:r>
        <w:rPr>
          <w:color w:val="404040"/>
          <w:spacing w:val="-7"/>
          <w:sz w:val="26"/>
        </w:rPr>
        <w:t> </w:t>
      </w:r>
      <w:r>
        <w:rPr>
          <w:color w:val="404040"/>
          <w:sz w:val="26"/>
        </w:rPr>
        <w:t>Legislature</w:t>
      </w:r>
      <w:r>
        <w:rPr>
          <w:color w:val="404040"/>
          <w:spacing w:val="-7"/>
          <w:sz w:val="26"/>
        </w:rPr>
        <w:t> </w:t>
      </w:r>
      <w:r>
        <w:rPr>
          <w:color w:val="404040"/>
          <w:sz w:val="26"/>
        </w:rPr>
        <w:t>on</w:t>
      </w:r>
      <w:r>
        <w:rPr>
          <w:color w:val="404040"/>
          <w:spacing w:val="-7"/>
          <w:sz w:val="26"/>
        </w:rPr>
        <w:t> </w:t>
      </w:r>
      <w:r>
        <w:rPr>
          <w:color w:val="404040"/>
          <w:sz w:val="26"/>
        </w:rPr>
        <w:t>Homelessness</w:t>
      </w:r>
      <w:r>
        <w:rPr>
          <w:color w:val="404040"/>
          <w:spacing w:val="-8"/>
          <w:sz w:val="26"/>
        </w:rPr>
        <w:t> </w:t>
      </w:r>
      <w:r>
        <w:rPr>
          <w:color w:val="404040"/>
          <w:sz w:val="26"/>
        </w:rPr>
        <w:t>&amp;</w:t>
      </w:r>
      <w:r>
        <w:rPr>
          <w:color w:val="404040"/>
          <w:spacing w:val="-8"/>
          <w:sz w:val="26"/>
        </w:rPr>
        <w:t> </w:t>
      </w:r>
      <w:r>
        <w:rPr>
          <w:color w:val="404040"/>
          <w:sz w:val="26"/>
        </w:rPr>
        <w:t>Housing </w:t>
      </w:r>
      <w:r>
        <w:rPr>
          <w:color w:val="404040"/>
          <w:spacing w:val="-2"/>
          <w:sz w:val="26"/>
        </w:rPr>
        <w:t>Instability</w:t>
      </w:r>
    </w:p>
    <w:p>
      <w:pPr>
        <w:pStyle w:val="ListParagraph"/>
        <w:numPr>
          <w:ilvl w:val="0"/>
          <w:numId w:val="9"/>
        </w:numPr>
        <w:tabs>
          <w:tab w:pos="1178" w:val="left" w:leader="none"/>
          <w:tab w:pos="1180" w:val="left" w:leader="none"/>
        </w:tabs>
        <w:spacing w:line="276" w:lineRule="auto" w:before="242" w:after="0"/>
        <w:ind w:left="1180" w:right="637" w:hanging="361"/>
        <w:jc w:val="both"/>
        <w:rPr>
          <w:sz w:val="22"/>
        </w:rPr>
      </w:pPr>
      <w:r>
        <w:rPr>
          <w:sz w:val="22"/>
        </w:rPr>
        <w:t>Improving access to state IDs for youth experiencing homelessness and gender-expansive </w:t>
      </w:r>
      <w:r>
        <w:rPr>
          <w:spacing w:val="-2"/>
          <w:sz w:val="22"/>
        </w:rPr>
        <w:t>youth.</w:t>
      </w:r>
    </w:p>
    <w:p>
      <w:pPr>
        <w:pStyle w:val="ListParagraph"/>
        <w:numPr>
          <w:ilvl w:val="0"/>
          <w:numId w:val="9"/>
        </w:numPr>
        <w:tabs>
          <w:tab w:pos="1178" w:val="left" w:leader="none"/>
          <w:tab w:pos="1180" w:val="left" w:leader="none"/>
        </w:tabs>
        <w:spacing w:line="276" w:lineRule="auto" w:before="239" w:after="0"/>
        <w:ind w:left="1180" w:right="638" w:hanging="361"/>
        <w:jc w:val="both"/>
        <w:rPr>
          <w:sz w:val="22"/>
        </w:rPr>
      </w:pPr>
      <w:r>
        <w:rPr>
          <w:sz w:val="22"/>
        </w:rPr>
        <w:t>Increasing funding for services to expand</w:t>
      </w:r>
      <w:r>
        <w:rPr>
          <w:spacing w:val="-1"/>
          <w:sz w:val="22"/>
        </w:rPr>
        <w:t> </w:t>
      </w:r>
      <w:r>
        <w:rPr>
          <w:sz w:val="22"/>
        </w:rPr>
        <w:t>inclusive</w:t>
      </w:r>
      <w:r>
        <w:rPr>
          <w:spacing w:val="-1"/>
          <w:sz w:val="22"/>
        </w:rPr>
        <w:t> </w:t>
      </w:r>
      <w:r>
        <w:rPr>
          <w:sz w:val="22"/>
        </w:rPr>
        <w:t>drop-in centers, shelter spaces, and living programs for transition-aged youth to better support LGBTQ youth experiencing homelessness or housing instability.</w:t>
      </w:r>
    </w:p>
    <w:p>
      <w:pPr>
        <w:pStyle w:val="ListParagraph"/>
        <w:numPr>
          <w:ilvl w:val="0"/>
          <w:numId w:val="9"/>
        </w:numPr>
        <w:tabs>
          <w:tab w:pos="1179" w:val="left" w:leader="none"/>
        </w:tabs>
        <w:spacing w:line="240" w:lineRule="auto" w:before="240" w:after="0"/>
        <w:ind w:left="1179" w:right="0" w:hanging="359"/>
        <w:jc w:val="left"/>
        <w:rPr>
          <w:sz w:val="22"/>
        </w:rPr>
      </w:pPr>
      <w:r>
        <w:rPr>
          <w:sz w:val="22"/>
        </w:rPr>
        <w:t>Codifying</w:t>
      </w:r>
      <w:r>
        <w:rPr>
          <w:spacing w:val="-7"/>
          <w:sz w:val="22"/>
        </w:rPr>
        <w:t> </w:t>
      </w:r>
      <w:r>
        <w:rPr>
          <w:sz w:val="22"/>
        </w:rPr>
        <w:t>a</w:t>
      </w:r>
      <w:r>
        <w:rPr>
          <w:spacing w:val="-6"/>
          <w:sz w:val="22"/>
        </w:rPr>
        <w:t> </w:t>
      </w:r>
      <w:r>
        <w:rPr>
          <w:sz w:val="22"/>
        </w:rPr>
        <w:t>bill</w:t>
      </w:r>
      <w:r>
        <w:rPr>
          <w:spacing w:val="-7"/>
          <w:sz w:val="22"/>
        </w:rPr>
        <w:t> </w:t>
      </w:r>
      <w:r>
        <w:rPr>
          <w:sz w:val="22"/>
        </w:rPr>
        <w:t>of</w:t>
      </w:r>
      <w:r>
        <w:rPr>
          <w:spacing w:val="-6"/>
          <w:sz w:val="22"/>
        </w:rPr>
        <w:t> </w:t>
      </w:r>
      <w:r>
        <w:rPr>
          <w:sz w:val="22"/>
        </w:rPr>
        <w:t>rights</w:t>
      </w:r>
      <w:r>
        <w:rPr>
          <w:spacing w:val="-6"/>
          <w:sz w:val="22"/>
        </w:rPr>
        <w:t> </w:t>
      </w:r>
      <w:r>
        <w:rPr>
          <w:sz w:val="22"/>
        </w:rPr>
        <w:t>for</w:t>
      </w:r>
      <w:r>
        <w:rPr>
          <w:spacing w:val="-7"/>
          <w:sz w:val="22"/>
        </w:rPr>
        <w:t> </w:t>
      </w:r>
      <w:r>
        <w:rPr>
          <w:sz w:val="22"/>
        </w:rPr>
        <w:t>youth</w:t>
      </w:r>
      <w:r>
        <w:rPr>
          <w:spacing w:val="-5"/>
          <w:sz w:val="22"/>
        </w:rPr>
        <w:t> </w:t>
      </w:r>
      <w:r>
        <w:rPr>
          <w:sz w:val="22"/>
        </w:rPr>
        <w:t>experiencing</w:t>
      </w:r>
      <w:r>
        <w:rPr>
          <w:spacing w:val="-7"/>
          <w:sz w:val="22"/>
        </w:rPr>
        <w:t> </w:t>
      </w:r>
      <w:r>
        <w:rPr>
          <w:spacing w:val="-2"/>
          <w:sz w:val="22"/>
        </w:rPr>
        <w:t>homelessness.</w:t>
      </w:r>
    </w:p>
    <w:p>
      <w:pPr>
        <w:pStyle w:val="BodyText"/>
        <w:spacing w:before="12"/>
      </w:pPr>
    </w:p>
    <w:p>
      <w:pPr>
        <w:pStyle w:val="ListParagraph"/>
        <w:numPr>
          <w:ilvl w:val="0"/>
          <w:numId w:val="9"/>
        </w:numPr>
        <w:tabs>
          <w:tab w:pos="1179" w:val="left" w:leader="none"/>
        </w:tabs>
        <w:spacing w:line="240" w:lineRule="auto" w:before="0" w:after="0"/>
        <w:ind w:left="1179" w:right="0" w:hanging="359"/>
        <w:jc w:val="left"/>
        <w:rPr>
          <w:sz w:val="22"/>
        </w:rPr>
      </w:pPr>
      <w:r>
        <w:rPr>
          <w:sz w:val="22"/>
        </w:rPr>
        <w:t>Improve</w:t>
      </w:r>
      <w:r>
        <w:rPr>
          <w:spacing w:val="-9"/>
          <w:sz w:val="22"/>
        </w:rPr>
        <w:t> </w:t>
      </w:r>
      <w:r>
        <w:rPr>
          <w:sz w:val="22"/>
        </w:rPr>
        <w:t>access</w:t>
      </w:r>
      <w:r>
        <w:rPr>
          <w:spacing w:val="-8"/>
          <w:sz w:val="22"/>
        </w:rPr>
        <w:t> </w:t>
      </w:r>
      <w:r>
        <w:rPr>
          <w:sz w:val="22"/>
        </w:rPr>
        <w:t>to</w:t>
      </w:r>
      <w:r>
        <w:rPr>
          <w:spacing w:val="-7"/>
          <w:sz w:val="22"/>
        </w:rPr>
        <w:t> </w:t>
      </w:r>
      <w:r>
        <w:rPr>
          <w:sz w:val="22"/>
        </w:rPr>
        <w:t>rental</w:t>
      </w:r>
      <w:r>
        <w:rPr>
          <w:spacing w:val="-8"/>
          <w:sz w:val="22"/>
        </w:rPr>
        <w:t> </w:t>
      </w:r>
      <w:r>
        <w:rPr>
          <w:sz w:val="22"/>
        </w:rPr>
        <w:t>assistance</w:t>
      </w:r>
      <w:r>
        <w:rPr>
          <w:spacing w:val="-8"/>
          <w:sz w:val="22"/>
        </w:rPr>
        <w:t> </w:t>
      </w:r>
      <w:r>
        <w:rPr>
          <w:sz w:val="22"/>
        </w:rPr>
        <w:t>and</w:t>
      </w:r>
      <w:r>
        <w:rPr>
          <w:spacing w:val="-7"/>
          <w:sz w:val="22"/>
        </w:rPr>
        <w:t> </w:t>
      </w:r>
      <w:r>
        <w:rPr>
          <w:spacing w:val="-2"/>
          <w:sz w:val="22"/>
        </w:rPr>
        <w:t>stabilization.</w:t>
      </w:r>
    </w:p>
    <w:p>
      <w:pPr>
        <w:pStyle w:val="BodyText"/>
        <w:spacing w:before="11"/>
      </w:pPr>
    </w:p>
    <w:p>
      <w:pPr>
        <w:pStyle w:val="ListParagraph"/>
        <w:numPr>
          <w:ilvl w:val="0"/>
          <w:numId w:val="9"/>
        </w:numPr>
        <w:tabs>
          <w:tab w:pos="1178" w:val="left" w:leader="none"/>
          <w:tab w:pos="1180" w:val="left" w:leader="none"/>
        </w:tabs>
        <w:spacing w:line="276" w:lineRule="auto" w:before="1" w:after="0"/>
        <w:ind w:left="1180" w:right="638" w:hanging="361"/>
        <w:jc w:val="both"/>
        <w:rPr>
          <w:sz w:val="22"/>
        </w:rPr>
      </w:pPr>
      <w:r>
        <w:rPr>
          <w:sz w:val="22"/>
        </w:rPr>
        <w:t>Mandate LGBTQ cultural engagement trainings and LGBTQ-inclusive nondiscrimination policies and procedures in shelters.</w:t>
      </w:r>
    </w:p>
    <w:p>
      <w:pPr>
        <w:pStyle w:val="ListParagraph"/>
        <w:numPr>
          <w:ilvl w:val="0"/>
          <w:numId w:val="9"/>
        </w:numPr>
        <w:tabs>
          <w:tab w:pos="1178" w:val="left" w:leader="none"/>
          <w:tab w:pos="1180" w:val="left" w:leader="none"/>
        </w:tabs>
        <w:spacing w:line="276" w:lineRule="auto" w:before="240" w:after="0"/>
        <w:ind w:left="1180" w:right="637" w:hanging="361"/>
        <w:jc w:val="both"/>
        <w:rPr>
          <w:sz w:val="22"/>
        </w:rPr>
      </w:pPr>
      <w:r>
        <w:rPr>
          <w:sz w:val="22"/>
        </w:rPr>
        <w:t>Evaluate and improve coordinated entry tools to center an equitable approach to increase access to housing opportunities for QTBIPOC youth in the Commonwealth.</w:t>
      </w:r>
    </w:p>
    <w:p>
      <w:pPr>
        <w:pStyle w:val="ListParagraph"/>
        <w:numPr>
          <w:ilvl w:val="0"/>
          <w:numId w:val="9"/>
        </w:numPr>
        <w:tabs>
          <w:tab w:pos="1179" w:val="left" w:leader="none"/>
        </w:tabs>
        <w:spacing w:line="240" w:lineRule="auto" w:before="240" w:after="0"/>
        <w:ind w:left="1179" w:right="0" w:hanging="359"/>
        <w:jc w:val="left"/>
        <w:rPr>
          <w:sz w:val="22"/>
        </w:rPr>
      </w:pPr>
      <w:r>
        <w:rPr>
          <w:sz w:val="22"/>
        </w:rPr>
        <w:t>Address</w:t>
      </w:r>
      <w:r>
        <w:rPr>
          <w:spacing w:val="-9"/>
          <w:sz w:val="22"/>
        </w:rPr>
        <w:t> </w:t>
      </w:r>
      <w:r>
        <w:rPr>
          <w:sz w:val="22"/>
        </w:rPr>
        <w:t>issues</w:t>
      </w:r>
      <w:r>
        <w:rPr>
          <w:spacing w:val="-9"/>
          <w:sz w:val="22"/>
        </w:rPr>
        <w:t> </w:t>
      </w:r>
      <w:r>
        <w:rPr>
          <w:sz w:val="22"/>
        </w:rPr>
        <w:t>occurring</w:t>
      </w:r>
      <w:r>
        <w:rPr>
          <w:spacing w:val="-9"/>
          <w:sz w:val="22"/>
        </w:rPr>
        <w:t> </w:t>
      </w:r>
      <w:r>
        <w:rPr>
          <w:sz w:val="22"/>
        </w:rPr>
        <w:t>from</w:t>
      </w:r>
      <w:r>
        <w:rPr>
          <w:spacing w:val="-9"/>
          <w:sz w:val="22"/>
        </w:rPr>
        <w:t> </w:t>
      </w:r>
      <w:r>
        <w:rPr>
          <w:sz w:val="22"/>
        </w:rPr>
        <w:t>youth</w:t>
      </w:r>
      <w:r>
        <w:rPr>
          <w:spacing w:val="-8"/>
          <w:sz w:val="22"/>
        </w:rPr>
        <w:t> </w:t>
      </w:r>
      <w:r>
        <w:rPr>
          <w:sz w:val="22"/>
        </w:rPr>
        <w:t>shifting</w:t>
      </w:r>
      <w:r>
        <w:rPr>
          <w:spacing w:val="-8"/>
          <w:sz w:val="22"/>
        </w:rPr>
        <w:t> </w:t>
      </w:r>
      <w:r>
        <w:rPr>
          <w:sz w:val="22"/>
        </w:rPr>
        <w:t>between</w:t>
      </w:r>
      <w:r>
        <w:rPr>
          <w:spacing w:val="-9"/>
          <w:sz w:val="22"/>
        </w:rPr>
        <w:t> </w:t>
      </w:r>
      <w:r>
        <w:rPr>
          <w:sz w:val="22"/>
        </w:rPr>
        <w:t>Continuums</w:t>
      </w:r>
      <w:r>
        <w:rPr>
          <w:spacing w:val="-8"/>
          <w:sz w:val="22"/>
        </w:rPr>
        <w:t> </w:t>
      </w:r>
      <w:r>
        <w:rPr>
          <w:sz w:val="22"/>
        </w:rPr>
        <w:t>of</w:t>
      </w:r>
      <w:r>
        <w:rPr>
          <w:spacing w:val="-9"/>
          <w:sz w:val="22"/>
        </w:rPr>
        <w:t> </w:t>
      </w:r>
      <w:r>
        <w:rPr>
          <w:spacing w:val="-2"/>
          <w:sz w:val="22"/>
        </w:rPr>
        <w:t>Care.</w:t>
      </w:r>
    </w:p>
    <w:p>
      <w:pPr>
        <w:pStyle w:val="BodyText"/>
        <w:spacing w:before="11"/>
      </w:pPr>
    </w:p>
    <w:p>
      <w:pPr>
        <w:pStyle w:val="ListParagraph"/>
        <w:numPr>
          <w:ilvl w:val="0"/>
          <w:numId w:val="9"/>
        </w:numPr>
        <w:tabs>
          <w:tab w:pos="1179" w:val="left" w:leader="none"/>
        </w:tabs>
        <w:spacing w:line="240" w:lineRule="auto" w:before="0" w:after="0"/>
        <w:ind w:left="1179" w:right="0" w:hanging="359"/>
        <w:jc w:val="left"/>
        <w:rPr>
          <w:sz w:val="22"/>
        </w:rPr>
      </w:pPr>
      <w:r>
        <w:rPr>
          <w:sz w:val="22"/>
        </w:rPr>
        <w:t>Improve</w:t>
      </w:r>
      <w:r>
        <w:rPr>
          <w:spacing w:val="-12"/>
          <w:sz w:val="22"/>
        </w:rPr>
        <w:t> </w:t>
      </w:r>
      <w:r>
        <w:rPr>
          <w:sz w:val="22"/>
        </w:rPr>
        <w:t>multicultural,</w:t>
      </w:r>
      <w:r>
        <w:rPr>
          <w:spacing w:val="-12"/>
          <w:sz w:val="22"/>
        </w:rPr>
        <w:t> </w:t>
      </w:r>
      <w:r>
        <w:rPr>
          <w:sz w:val="22"/>
        </w:rPr>
        <w:t>LGBTQ-affirming</w:t>
      </w:r>
      <w:r>
        <w:rPr>
          <w:spacing w:val="-10"/>
          <w:sz w:val="22"/>
        </w:rPr>
        <w:t> </w:t>
      </w:r>
      <w:r>
        <w:rPr>
          <w:sz w:val="22"/>
        </w:rPr>
        <w:t>housing</w:t>
      </w:r>
      <w:r>
        <w:rPr>
          <w:spacing w:val="-12"/>
          <w:sz w:val="22"/>
        </w:rPr>
        <w:t> </w:t>
      </w:r>
      <w:r>
        <w:rPr>
          <w:sz w:val="22"/>
        </w:rPr>
        <w:t>resources</w:t>
      </w:r>
      <w:r>
        <w:rPr>
          <w:spacing w:val="-12"/>
          <w:sz w:val="22"/>
        </w:rPr>
        <w:t> </w:t>
      </w:r>
      <w:r>
        <w:rPr>
          <w:sz w:val="22"/>
        </w:rPr>
        <w:t>for</w:t>
      </w:r>
      <w:r>
        <w:rPr>
          <w:spacing w:val="-11"/>
          <w:sz w:val="22"/>
        </w:rPr>
        <w:t> </w:t>
      </w:r>
      <w:r>
        <w:rPr>
          <w:sz w:val="22"/>
        </w:rPr>
        <w:t>immigrants</w:t>
      </w:r>
      <w:r>
        <w:rPr>
          <w:spacing w:val="-12"/>
          <w:sz w:val="22"/>
        </w:rPr>
        <w:t> </w:t>
      </w:r>
      <w:r>
        <w:rPr>
          <w:sz w:val="22"/>
        </w:rPr>
        <w:t>and</w:t>
      </w:r>
      <w:r>
        <w:rPr>
          <w:spacing w:val="-11"/>
          <w:sz w:val="22"/>
        </w:rPr>
        <w:t> </w:t>
      </w:r>
      <w:r>
        <w:rPr>
          <w:spacing w:val="-2"/>
          <w:sz w:val="22"/>
        </w:rPr>
        <w:t>refugees.</w:t>
      </w:r>
    </w:p>
    <w:p>
      <w:pPr>
        <w:spacing w:after="0" w:line="240" w:lineRule="auto"/>
        <w:jc w:val="left"/>
        <w:rPr>
          <w:sz w:val="22"/>
        </w:rPr>
        <w:sectPr>
          <w:headerReference w:type="default" r:id="rId34"/>
          <w:footerReference w:type="default" r:id="rId35"/>
          <w:pgSz w:w="12240" w:h="15840"/>
          <w:pgMar w:header="0" w:footer="1061" w:top="1140" w:bottom="1260" w:left="980" w:right="1160"/>
        </w:sectPr>
      </w:pPr>
    </w:p>
    <w:p>
      <w:pPr>
        <w:spacing w:before="29"/>
        <w:ind w:left="604" w:right="0" w:firstLine="0"/>
        <w:jc w:val="both"/>
        <w:rPr>
          <w:sz w:val="28"/>
        </w:rPr>
      </w:pPr>
      <w:bookmarkStart w:name="Advancing Justice (2024)" w:id="57"/>
      <w:bookmarkEnd w:id="57"/>
      <w:r>
        <w:rPr/>
      </w:r>
      <w:r>
        <w:rPr>
          <w:color w:val="365F91"/>
          <w:sz w:val="28"/>
        </w:rPr>
        <w:t>Advancing</w:t>
      </w:r>
      <w:r>
        <w:rPr>
          <w:color w:val="365F91"/>
          <w:spacing w:val="-14"/>
          <w:sz w:val="28"/>
        </w:rPr>
        <w:t> </w:t>
      </w:r>
      <w:r>
        <w:rPr>
          <w:color w:val="365F91"/>
          <w:sz w:val="28"/>
        </w:rPr>
        <w:t>Justice</w:t>
      </w:r>
      <w:r>
        <w:rPr>
          <w:color w:val="365F91"/>
          <w:spacing w:val="-14"/>
          <w:sz w:val="28"/>
        </w:rPr>
        <w:t> </w:t>
      </w:r>
      <w:r>
        <w:rPr>
          <w:color w:val="365F91"/>
          <w:spacing w:val="-2"/>
          <w:sz w:val="28"/>
        </w:rPr>
        <w:t>(2024)</w:t>
      </w:r>
    </w:p>
    <w:p>
      <w:pPr>
        <w:spacing w:line="276" w:lineRule="auto" w:before="293"/>
        <w:ind w:left="603" w:right="418" w:firstLine="0"/>
        <w:jc w:val="both"/>
        <w:rPr>
          <w:sz w:val="21"/>
        </w:rPr>
      </w:pPr>
      <w:r>
        <w:rPr>
          <w:sz w:val="21"/>
        </w:rPr>
        <w:t>The Commission on LGBTQ Youth defines 'youth' as individuals younger than 25 years old. In formulating recommendations regarding LGBTQ youth within Massachusetts' criminal legal system, it is important to note that the Commission's report covers both juvenile and adult legal systems. Further, this section will rely on the phrase “criminal legal system” instead of “criminal justice system” throughout to more accurately</w:t>
      </w:r>
      <w:r>
        <w:rPr>
          <w:spacing w:val="-6"/>
          <w:sz w:val="21"/>
        </w:rPr>
        <w:t> </w:t>
      </w:r>
      <w:r>
        <w:rPr>
          <w:sz w:val="21"/>
        </w:rPr>
        <w:t>describe</w:t>
      </w:r>
      <w:r>
        <w:rPr>
          <w:spacing w:val="-5"/>
          <w:sz w:val="21"/>
        </w:rPr>
        <w:t> </w:t>
      </w:r>
      <w:r>
        <w:rPr>
          <w:sz w:val="21"/>
        </w:rPr>
        <w:t>the</w:t>
      </w:r>
      <w:r>
        <w:rPr>
          <w:spacing w:val="-5"/>
          <w:sz w:val="21"/>
        </w:rPr>
        <w:t> </w:t>
      </w:r>
      <w:r>
        <w:rPr>
          <w:sz w:val="21"/>
        </w:rPr>
        <w:t>inequitable</w:t>
      </w:r>
      <w:r>
        <w:rPr>
          <w:spacing w:val="-5"/>
          <w:sz w:val="21"/>
        </w:rPr>
        <w:t> </w:t>
      </w:r>
      <w:r>
        <w:rPr>
          <w:sz w:val="21"/>
        </w:rPr>
        <w:t>and</w:t>
      </w:r>
      <w:r>
        <w:rPr>
          <w:spacing w:val="-5"/>
          <w:sz w:val="21"/>
        </w:rPr>
        <w:t> </w:t>
      </w:r>
      <w:r>
        <w:rPr>
          <w:sz w:val="21"/>
        </w:rPr>
        <w:t>often</w:t>
      </w:r>
      <w:r>
        <w:rPr>
          <w:spacing w:val="-5"/>
          <w:sz w:val="21"/>
        </w:rPr>
        <w:t> </w:t>
      </w:r>
      <w:r>
        <w:rPr>
          <w:sz w:val="21"/>
        </w:rPr>
        <w:t>harmful</w:t>
      </w:r>
      <w:r>
        <w:rPr>
          <w:spacing w:val="-5"/>
          <w:sz w:val="21"/>
        </w:rPr>
        <w:t> </w:t>
      </w:r>
      <w:r>
        <w:rPr>
          <w:sz w:val="21"/>
        </w:rPr>
        <w:t>U.S.</w:t>
      </w:r>
      <w:r>
        <w:rPr>
          <w:spacing w:val="-6"/>
          <w:sz w:val="21"/>
        </w:rPr>
        <w:t> </w:t>
      </w:r>
      <w:r>
        <w:rPr>
          <w:sz w:val="21"/>
        </w:rPr>
        <w:t>institutions</w:t>
      </w:r>
      <w:r>
        <w:rPr>
          <w:spacing w:val="-5"/>
          <w:sz w:val="21"/>
        </w:rPr>
        <w:t> </w:t>
      </w:r>
      <w:r>
        <w:rPr>
          <w:sz w:val="21"/>
        </w:rPr>
        <w:t>of</w:t>
      </w:r>
      <w:r>
        <w:rPr>
          <w:spacing w:val="-6"/>
          <w:sz w:val="21"/>
        </w:rPr>
        <w:t> </w:t>
      </w:r>
      <w:r>
        <w:rPr>
          <w:sz w:val="21"/>
        </w:rPr>
        <w:t>policing,</w:t>
      </w:r>
      <w:r>
        <w:rPr>
          <w:spacing w:val="-5"/>
          <w:sz w:val="21"/>
        </w:rPr>
        <w:t> </w:t>
      </w:r>
      <w:r>
        <w:rPr>
          <w:sz w:val="21"/>
        </w:rPr>
        <w:t>prosecution,</w:t>
      </w:r>
      <w:r>
        <w:rPr>
          <w:spacing w:val="-5"/>
          <w:sz w:val="21"/>
        </w:rPr>
        <w:t> </w:t>
      </w:r>
      <w:r>
        <w:rPr>
          <w:sz w:val="21"/>
        </w:rPr>
        <w:t>courts,</w:t>
      </w:r>
      <w:r>
        <w:rPr>
          <w:spacing w:val="-5"/>
          <w:sz w:val="21"/>
        </w:rPr>
        <w:t> </w:t>
      </w:r>
      <w:r>
        <w:rPr>
          <w:sz w:val="21"/>
        </w:rPr>
        <w:t>and corrections. This preference stems from a critical examination of the criminal legal system's historical, discriminatory roots and its ongoing disproportionate impact on marginalized communities, particularly people</w:t>
      </w:r>
      <w:r>
        <w:rPr>
          <w:spacing w:val="-8"/>
          <w:sz w:val="21"/>
        </w:rPr>
        <w:t> </w:t>
      </w:r>
      <w:r>
        <w:rPr>
          <w:sz w:val="21"/>
        </w:rPr>
        <w:t>of</w:t>
      </w:r>
      <w:r>
        <w:rPr>
          <w:spacing w:val="-8"/>
          <w:sz w:val="21"/>
        </w:rPr>
        <w:t> </w:t>
      </w:r>
      <w:r>
        <w:rPr>
          <w:sz w:val="21"/>
        </w:rPr>
        <w:t>color</w:t>
      </w:r>
      <w:r>
        <w:rPr>
          <w:spacing w:val="-8"/>
          <w:sz w:val="21"/>
        </w:rPr>
        <w:t> </w:t>
      </w:r>
      <w:r>
        <w:rPr>
          <w:sz w:val="21"/>
        </w:rPr>
        <w:t>as</w:t>
      </w:r>
      <w:r>
        <w:rPr>
          <w:spacing w:val="-8"/>
          <w:sz w:val="21"/>
        </w:rPr>
        <w:t> </w:t>
      </w:r>
      <w:r>
        <w:rPr>
          <w:sz w:val="21"/>
        </w:rPr>
        <w:t>well</w:t>
      </w:r>
      <w:r>
        <w:rPr>
          <w:spacing w:val="-8"/>
          <w:sz w:val="21"/>
        </w:rPr>
        <w:t> </w:t>
      </w:r>
      <w:r>
        <w:rPr>
          <w:sz w:val="21"/>
        </w:rPr>
        <w:t>as</w:t>
      </w:r>
      <w:r>
        <w:rPr>
          <w:spacing w:val="-9"/>
          <w:sz w:val="21"/>
        </w:rPr>
        <w:t> </w:t>
      </w:r>
      <w:r>
        <w:rPr>
          <w:sz w:val="21"/>
        </w:rPr>
        <w:t>individuals</w:t>
      </w:r>
      <w:r>
        <w:rPr>
          <w:spacing w:val="-10"/>
          <w:sz w:val="21"/>
        </w:rPr>
        <w:t> </w:t>
      </w:r>
      <w:r>
        <w:rPr>
          <w:sz w:val="21"/>
        </w:rPr>
        <w:t>experiencing</w:t>
      </w:r>
      <w:r>
        <w:rPr>
          <w:spacing w:val="-8"/>
          <w:sz w:val="21"/>
        </w:rPr>
        <w:t> </w:t>
      </w:r>
      <w:r>
        <w:rPr>
          <w:sz w:val="21"/>
        </w:rPr>
        <w:t>poverty.</w:t>
      </w:r>
      <w:r>
        <w:rPr>
          <w:spacing w:val="-8"/>
          <w:sz w:val="21"/>
        </w:rPr>
        <w:t> </w:t>
      </w:r>
      <w:r>
        <w:rPr>
          <w:sz w:val="21"/>
        </w:rPr>
        <w:t>The</w:t>
      </w:r>
      <w:r>
        <w:rPr>
          <w:spacing w:val="-8"/>
          <w:sz w:val="21"/>
        </w:rPr>
        <w:t> </w:t>
      </w:r>
      <w:r>
        <w:rPr>
          <w:sz w:val="21"/>
        </w:rPr>
        <w:t>U.S.</w:t>
      </w:r>
      <w:r>
        <w:rPr>
          <w:spacing w:val="-8"/>
          <w:sz w:val="21"/>
        </w:rPr>
        <w:t> </w:t>
      </w:r>
      <w:r>
        <w:rPr>
          <w:sz w:val="21"/>
        </w:rPr>
        <w:t>criminal</w:t>
      </w:r>
      <w:r>
        <w:rPr>
          <w:spacing w:val="-8"/>
          <w:sz w:val="21"/>
        </w:rPr>
        <w:t> </w:t>
      </w:r>
      <w:r>
        <w:rPr>
          <w:sz w:val="21"/>
        </w:rPr>
        <w:t>legal</w:t>
      </w:r>
      <w:r>
        <w:rPr>
          <w:spacing w:val="-8"/>
          <w:sz w:val="21"/>
        </w:rPr>
        <w:t> </w:t>
      </w:r>
      <w:r>
        <w:rPr>
          <w:sz w:val="21"/>
        </w:rPr>
        <w:t>system</w:t>
      </w:r>
      <w:r>
        <w:rPr>
          <w:spacing w:val="-8"/>
          <w:sz w:val="21"/>
        </w:rPr>
        <w:t> </w:t>
      </w:r>
      <w:r>
        <w:rPr>
          <w:sz w:val="21"/>
        </w:rPr>
        <w:t>since</w:t>
      </w:r>
      <w:r>
        <w:rPr>
          <w:spacing w:val="-8"/>
          <w:sz w:val="21"/>
        </w:rPr>
        <w:t> </w:t>
      </w:r>
      <w:r>
        <w:rPr>
          <w:sz w:val="21"/>
        </w:rPr>
        <w:t>its</w:t>
      </w:r>
      <w:r>
        <w:rPr>
          <w:spacing w:val="-8"/>
          <w:sz w:val="21"/>
        </w:rPr>
        <w:t> </w:t>
      </w:r>
      <w:r>
        <w:rPr>
          <w:sz w:val="21"/>
        </w:rPr>
        <w:t>inception has been and continues to be deeply intertwined with racism and perpetuates inequality and injustice, evident</w:t>
      </w:r>
      <w:r>
        <w:rPr>
          <w:spacing w:val="-1"/>
          <w:sz w:val="21"/>
        </w:rPr>
        <w:t> </w:t>
      </w:r>
      <w:r>
        <w:rPr>
          <w:sz w:val="21"/>
        </w:rPr>
        <w:t>in</w:t>
      </w:r>
      <w:r>
        <w:rPr>
          <w:spacing w:val="-3"/>
          <w:sz w:val="21"/>
        </w:rPr>
        <w:t> </w:t>
      </w:r>
      <w:r>
        <w:rPr>
          <w:sz w:val="21"/>
        </w:rPr>
        <w:t>practices</w:t>
      </w:r>
      <w:r>
        <w:rPr>
          <w:spacing w:val="-2"/>
          <w:sz w:val="21"/>
        </w:rPr>
        <w:t> </w:t>
      </w:r>
      <w:r>
        <w:rPr>
          <w:sz w:val="21"/>
        </w:rPr>
        <w:t>like</w:t>
      </w:r>
      <w:r>
        <w:rPr>
          <w:spacing w:val="-2"/>
          <w:sz w:val="21"/>
        </w:rPr>
        <w:t> </w:t>
      </w:r>
      <w:r>
        <w:rPr>
          <w:sz w:val="21"/>
        </w:rPr>
        <w:t>racial</w:t>
      </w:r>
      <w:r>
        <w:rPr>
          <w:spacing w:val="-2"/>
          <w:sz w:val="21"/>
        </w:rPr>
        <w:t> </w:t>
      </w:r>
      <w:r>
        <w:rPr>
          <w:sz w:val="21"/>
        </w:rPr>
        <w:t>profiling,</w:t>
      </w:r>
      <w:r>
        <w:rPr>
          <w:spacing w:val="-1"/>
          <w:sz w:val="21"/>
        </w:rPr>
        <w:t> </w:t>
      </w:r>
      <w:r>
        <w:rPr>
          <w:sz w:val="21"/>
        </w:rPr>
        <w:t>disparities</w:t>
      </w:r>
      <w:r>
        <w:rPr>
          <w:spacing w:val="-2"/>
          <w:sz w:val="21"/>
        </w:rPr>
        <w:t> </w:t>
      </w:r>
      <w:r>
        <w:rPr>
          <w:sz w:val="21"/>
        </w:rPr>
        <w:t>in</w:t>
      </w:r>
      <w:r>
        <w:rPr>
          <w:spacing w:val="-2"/>
          <w:sz w:val="21"/>
        </w:rPr>
        <w:t> </w:t>
      </w:r>
      <w:r>
        <w:rPr>
          <w:sz w:val="21"/>
        </w:rPr>
        <w:t>bail</w:t>
      </w:r>
      <w:r>
        <w:rPr>
          <w:spacing w:val="-2"/>
          <w:sz w:val="21"/>
        </w:rPr>
        <w:t> </w:t>
      </w:r>
      <w:r>
        <w:rPr>
          <w:sz w:val="21"/>
        </w:rPr>
        <w:t>accessibility,</w:t>
      </w:r>
      <w:r>
        <w:rPr>
          <w:spacing w:val="-1"/>
          <w:sz w:val="21"/>
        </w:rPr>
        <w:t> </w:t>
      </w:r>
      <w:r>
        <w:rPr>
          <w:sz w:val="21"/>
        </w:rPr>
        <w:t>and</w:t>
      </w:r>
      <w:r>
        <w:rPr>
          <w:spacing w:val="-3"/>
          <w:sz w:val="21"/>
        </w:rPr>
        <w:t> </w:t>
      </w:r>
      <w:r>
        <w:rPr>
          <w:sz w:val="21"/>
        </w:rPr>
        <w:t>harsher</w:t>
      </w:r>
      <w:r>
        <w:rPr>
          <w:spacing w:val="-2"/>
          <w:sz w:val="21"/>
        </w:rPr>
        <w:t> </w:t>
      </w:r>
      <w:r>
        <w:rPr>
          <w:sz w:val="21"/>
        </w:rPr>
        <w:t>sentencing</w:t>
      </w:r>
      <w:r>
        <w:rPr>
          <w:spacing w:val="-2"/>
          <w:sz w:val="21"/>
        </w:rPr>
        <w:t> </w:t>
      </w:r>
      <w:r>
        <w:rPr>
          <w:sz w:val="21"/>
        </w:rPr>
        <w:t>of</w:t>
      </w:r>
      <w:r>
        <w:rPr>
          <w:spacing w:val="-3"/>
          <w:sz w:val="21"/>
        </w:rPr>
        <w:t> </w:t>
      </w:r>
      <w:r>
        <w:rPr>
          <w:sz w:val="21"/>
        </w:rPr>
        <w:t>Black</w:t>
      </w:r>
      <w:r>
        <w:rPr>
          <w:spacing w:val="-1"/>
          <w:sz w:val="21"/>
        </w:rPr>
        <w:t> </w:t>
      </w:r>
      <w:r>
        <w:rPr>
          <w:sz w:val="21"/>
        </w:rPr>
        <w:t>and Latinx</w:t>
      </w:r>
      <w:r>
        <w:rPr>
          <w:spacing w:val="-5"/>
          <w:sz w:val="21"/>
        </w:rPr>
        <w:t> </w:t>
      </w:r>
      <w:r>
        <w:rPr>
          <w:sz w:val="21"/>
        </w:rPr>
        <w:t>individuals</w:t>
      </w:r>
      <w:r>
        <w:rPr>
          <w:spacing w:val="-6"/>
          <w:sz w:val="21"/>
        </w:rPr>
        <w:t> </w:t>
      </w:r>
      <w:r>
        <w:rPr>
          <w:sz w:val="21"/>
        </w:rPr>
        <w:t>compared</w:t>
      </w:r>
      <w:r>
        <w:rPr>
          <w:spacing w:val="-6"/>
          <w:sz w:val="21"/>
        </w:rPr>
        <w:t> </w:t>
      </w:r>
      <w:r>
        <w:rPr>
          <w:sz w:val="21"/>
        </w:rPr>
        <w:t>to</w:t>
      </w:r>
      <w:r>
        <w:rPr>
          <w:spacing w:val="-6"/>
          <w:sz w:val="21"/>
        </w:rPr>
        <w:t> </w:t>
      </w:r>
      <w:r>
        <w:rPr>
          <w:sz w:val="21"/>
        </w:rPr>
        <w:t>their</w:t>
      </w:r>
      <w:r>
        <w:rPr>
          <w:spacing w:val="-6"/>
          <w:sz w:val="21"/>
        </w:rPr>
        <w:t> </w:t>
      </w:r>
      <w:r>
        <w:rPr>
          <w:sz w:val="21"/>
        </w:rPr>
        <w:t>white</w:t>
      </w:r>
      <w:r>
        <w:rPr>
          <w:spacing w:val="-6"/>
          <w:sz w:val="21"/>
        </w:rPr>
        <w:t> </w:t>
      </w:r>
      <w:r>
        <w:rPr>
          <w:sz w:val="21"/>
        </w:rPr>
        <w:t>counterparts.</w:t>
      </w:r>
      <w:r>
        <w:rPr>
          <w:spacing w:val="-6"/>
          <w:sz w:val="21"/>
        </w:rPr>
        <w:t> </w:t>
      </w:r>
      <w:r>
        <w:rPr>
          <w:sz w:val="21"/>
        </w:rPr>
        <w:t>Furthermore,</w:t>
      </w:r>
      <w:r>
        <w:rPr>
          <w:spacing w:val="-5"/>
          <w:sz w:val="21"/>
        </w:rPr>
        <w:t> </w:t>
      </w:r>
      <w:r>
        <w:rPr>
          <w:sz w:val="21"/>
        </w:rPr>
        <w:t>the</w:t>
      </w:r>
      <w:r>
        <w:rPr>
          <w:spacing w:val="-6"/>
          <w:sz w:val="21"/>
        </w:rPr>
        <w:t> </w:t>
      </w:r>
      <w:r>
        <w:rPr>
          <w:sz w:val="21"/>
        </w:rPr>
        <w:t>criminal</w:t>
      </w:r>
      <w:r>
        <w:rPr>
          <w:spacing w:val="-6"/>
          <w:sz w:val="21"/>
        </w:rPr>
        <w:t> </w:t>
      </w:r>
      <w:r>
        <w:rPr>
          <w:sz w:val="21"/>
        </w:rPr>
        <w:t>legal</w:t>
      </w:r>
      <w:r>
        <w:rPr>
          <w:spacing w:val="-6"/>
          <w:sz w:val="21"/>
        </w:rPr>
        <w:t> </w:t>
      </w:r>
      <w:r>
        <w:rPr>
          <w:sz w:val="21"/>
        </w:rPr>
        <w:t>system's</w:t>
      </w:r>
      <w:r>
        <w:rPr>
          <w:spacing w:val="-6"/>
          <w:sz w:val="21"/>
        </w:rPr>
        <w:t> </w:t>
      </w:r>
      <w:r>
        <w:rPr>
          <w:sz w:val="21"/>
        </w:rPr>
        <w:t>failure</w:t>
      </w:r>
      <w:r>
        <w:rPr>
          <w:spacing w:val="-6"/>
          <w:sz w:val="21"/>
        </w:rPr>
        <w:t> </w:t>
      </w:r>
      <w:r>
        <w:rPr>
          <w:sz w:val="21"/>
        </w:rPr>
        <w:t>to address or mitigate crimes of poverty, alongside the imposition of fines and long-lasting financial consequences post-incarceration, highlights its inefficacy in promoting fairness. By referring to it as the "criminal</w:t>
      </w:r>
      <w:r>
        <w:rPr>
          <w:spacing w:val="-1"/>
          <w:sz w:val="21"/>
        </w:rPr>
        <w:t> </w:t>
      </w:r>
      <w:r>
        <w:rPr>
          <w:sz w:val="21"/>
        </w:rPr>
        <w:t>legal</w:t>
      </w:r>
      <w:r>
        <w:rPr>
          <w:spacing w:val="-1"/>
          <w:sz w:val="21"/>
        </w:rPr>
        <w:t> </w:t>
      </w:r>
      <w:r>
        <w:rPr>
          <w:sz w:val="21"/>
        </w:rPr>
        <w:t>system,"</w:t>
      </w:r>
      <w:r>
        <w:rPr>
          <w:spacing w:val="-1"/>
          <w:sz w:val="21"/>
        </w:rPr>
        <w:t> </w:t>
      </w:r>
      <w:r>
        <w:rPr>
          <w:sz w:val="21"/>
        </w:rPr>
        <w:t>we</w:t>
      </w:r>
      <w:r>
        <w:rPr>
          <w:spacing w:val="-2"/>
          <w:sz w:val="21"/>
        </w:rPr>
        <w:t> </w:t>
      </w:r>
      <w:r>
        <w:rPr>
          <w:sz w:val="21"/>
        </w:rPr>
        <w:t>acknowledge</w:t>
      </w:r>
      <w:r>
        <w:rPr>
          <w:spacing w:val="-1"/>
          <w:sz w:val="21"/>
        </w:rPr>
        <w:t> </w:t>
      </w:r>
      <w:r>
        <w:rPr>
          <w:sz w:val="21"/>
        </w:rPr>
        <w:t>its</w:t>
      </w:r>
      <w:r>
        <w:rPr>
          <w:spacing w:val="-1"/>
          <w:sz w:val="21"/>
        </w:rPr>
        <w:t> </w:t>
      </w:r>
      <w:r>
        <w:rPr>
          <w:sz w:val="21"/>
        </w:rPr>
        <w:t>fundamental</w:t>
      </w:r>
      <w:r>
        <w:rPr>
          <w:spacing w:val="-1"/>
          <w:sz w:val="21"/>
        </w:rPr>
        <w:t> </w:t>
      </w:r>
      <w:r>
        <w:rPr>
          <w:sz w:val="21"/>
        </w:rPr>
        <w:t>flaws</w:t>
      </w:r>
      <w:r>
        <w:rPr>
          <w:spacing w:val="-1"/>
          <w:sz w:val="21"/>
        </w:rPr>
        <w:t> </w:t>
      </w:r>
      <w:r>
        <w:rPr>
          <w:sz w:val="21"/>
        </w:rPr>
        <w:t>and</w:t>
      </w:r>
      <w:r>
        <w:rPr>
          <w:spacing w:val="-1"/>
          <w:sz w:val="21"/>
        </w:rPr>
        <w:t> </w:t>
      </w:r>
      <w:r>
        <w:rPr>
          <w:sz w:val="21"/>
        </w:rPr>
        <w:t>the</w:t>
      </w:r>
      <w:r>
        <w:rPr>
          <w:spacing w:val="-1"/>
          <w:sz w:val="21"/>
        </w:rPr>
        <w:t> </w:t>
      </w:r>
      <w:r>
        <w:rPr>
          <w:sz w:val="21"/>
        </w:rPr>
        <w:t>need for reform, emphasizing</w:t>
      </w:r>
      <w:r>
        <w:rPr>
          <w:spacing w:val="-1"/>
          <w:sz w:val="21"/>
        </w:rPr>
        <w:t> </w:t>
      </w:r>
      <w:r>
        <w:rPr>
          <w:sz w:val="21"/>
        </w:rPr>
        <w:t>that justice, in its truest sense, remains elusive for many </w:t>
      </w:r>
      <w:r>
        <w:rPr>
          <w:i/>
          <w:sz w:val="21"/>
        </w:rPr>
        <w:t>caught up </w:t>
      </w:r>
      <w:r>
        <w:rPr>
          <w:sz w:val="21"/>
        </w:rPr>
        <w:t>within this system.</w:t>
      </w:r>
    </w:p>
    <w:p>
      <w:pPr>
        <w:spacing w:before="239"/>
        <w:ind w:left="604" w:right="0" w:firstLine="0"/>
        <w:jc w:val="both"/>
        <w:rPr>
          <w:sz w:val="26"/>
        </w:rPr>
      </w:pPr>
      <w:bookmarkStart w:name="FY 2025 Recommendations to the Governor " w:id="58"/>
      <w:bookmarkEnd w:id="58"/>
      <w:r>
        <w:rPr/>
      </w:r>
      <w:r>
        <w:rPr>
          <w:color w:val="404040"/>
          <w:sz w:val="26"/>
        </w:rPr>
        <w:t>FY</w:t>
      </w:r>
      <w:r>
        <w:rPr>
          <w:color w:val="404040"/>
          <w:spacing w:val="-5"/>
          <w:sz w:val="26"/>
        </w:rPr>
        <w:t> </w:t>
      </w:r>
      <w:r>
        <w:rPr>
          <w:color w:val="404040"/>
          <w:sz w:val="26"/>
        </w:rPr>
        <w:t>2025</w:t>
      </w:r>
      <w:r>
        <w:rPr>
          <w:color w:val="404040"/>
          <w:spacing w:val="-3"/>
          <w:sz w:val="26"/>
        </w:rPr>
        <w:t> </w:t>
      </w:r>
      <w:r>
        <w:rPr>
          <w:color w:val="404040"/>
          <w:sz w:val="26"/>
        </w:rPr>
        <w:t>Recommendations</w:t>
      </w:r>
      <w:r>
        <w:rPr>
          <w:color w:val="404040"/>
          <w:spacing w:val="-2"/>
          <w:sz w:val="26"/>
        </w:rPr>
        <w:t> </w:t>
      </w:r>
      <w:r>
        <w:rPr>
          <w:color w:val="404040"/>
          <w:sz w:val="26"/>
        </w:rPr>
        <w:t>to</w:t>
      </w:r>
      <w:r>
        <w:rPr>
          <w:color w:val="404040"/>
          <w:spacing w:val="-5"/>
          <w:sz w:val="26"/>
        </w:rPr>
        <w:t> </w:t>
      </w:r>
      <w:r>
        <w:rPr>
          <w:color w:val="404040"/>
          <w:sz w:val="26"/>
        </w:rPr>
        <w:t>the</w:t>
      </w:r>
      <w:r>
        <w:rPr>
          <w:color w:val="404040"/>
          <w:spacing w:val="-4"/>
          <w:sz w:val="26"/>
        </w:rPr>
        <w:t> </w:t>
      </w:r>
      <w:r>
        <w:rPr>
          <w:color w:val="404040"/>
          <w:sz w:val="26"/>
        </w:rPr>
        <w:t>Governor</w:t>
      </w:r>
      <w:r>
        <w:rPr>
          <w:color w:val="404040"/>
          <w:spacing w:val="-4"/>
          <w:sz w:val="26"/>
        </w:rPr>
        <w:t> </w:t>
      </w:r>
      <w:r>
        <w:rPr>
          <w:color w:val="404040"/>
          <w:sz w:val="26"/>
        </w:rPr>
        <w:t>&amp;</w:t>
      </w:r>
      <w:r>
        <w:rPr>
          <w:color w:val="404040"/>
          <w:spacing w:val="-3"/>
          <w:sz w:val="26"/>
        </w:rPr>
        <w:t> </w:t>
      </w:r>
      <w:r>
        <w:rPr>
          <w:color w:val="404040"/>
          <w:sz w:val="26"/>
        </w:rPr>
        <w:t>Legislature</w:t>
      </w:r>
      <w:r>
        <w:rPr>
          <w:color w:val="404040"/>
          <w:spacing w:val="-2"/>
          <w:sz w:val="26"/>
        </w:rPr>
        <w:t> </w:t>
      </w:r>
      <w:r>
        <w:rPr>
          <w:color w:val="404040"/>
          <w:sz w:val="26"/>
        </w:rPr>
        <w:t>on</w:t>
      </w:r>
      <w:r>
        <w:rPr>
          <w:color w:val="404040"/>
          <w:spacing w:val="-4"/>
          <w:sz w:val="26"/>
        </w:rPr>
        <w:t> </w:t>
      </w:r>
      <w:r>
        <w:rPr>
          <w:color w:val="404040"/>
          <w:sz w:val="26"/>
        </w:rPr>
        <w:t>Advancing</w:t>
      </w:r>
      <w:r>
        <w:rPr>
          <w:color w:val="404040"/>
          <w:spacing w:val="-3"/>
          <w:sz w:val="26"/>
        </w:rPr>
        <w:t> </w:t>
      </w:r>
      <w:r>
        <w:rPr>
          <w:color w:val="404040"/>
          <w:spacing w:val="-2"/>
          <w:sz w:val="26"/>
        </w:rPr>
        <w:t>Justice</w:t>
      </w:r>
    </w:p>
    <w:p>
      <w:pPr>
        <w:pStyle w:val="ListParagraph"/>
        <w:numPr>
          <w:ilvl w:val="0"/>
          <w:numId w:val="10"/>
        </w:numPr>
        <w:tabs>
          <w:tab w:pos="1178" w:val="left" w:leader="none"/>
        </w:tabs>
        <w:spacing w:line="276" w:lineRule="auto" w:before="288" w:after="0"/>
        <w:ind w:left="1178" w:right="421" w:hanging="360"/>
        <w:jc w:val="left"/>
        <w:rPr>
          <w:sz w:val="21"/>
        </w:rPr>
      </w:pPr>
      <w:r>
        <w:rPr>
          <w:sz w:val="21"/>
        </w:rPr>
        <w:t>Increase</w:t>
      </w:r>
      <w:r>
        <w:rPr>
          <w:spacing w:val="40"/>
          <w:sz w:val="21"/>
        </w:rPr>
        <w:t> </w:t>
      </w:r>
      <w:r>
        <w:rPr>
          <w:sz w:val="21"/>
        </w:rPr>
        <w:t>collection</w:t>
      </w:r>
      <w:r>
        <w:rPr>
          <w:spacing w:val="40"/>
          <w:sz w:val="21"/>
        </w:rPr>
        <w:t> </w:t>
      </w:r>
      <w:r>
        <w:rPr>
          <w:sz w:val="21"/>
        </w:rPr>
        <w:t>of</w:t>
      </w:r>
      <w:r>
        <w:rPr>
          <w:spacing w:val="40"/>
          <w:sz w:val="21"/>
        </w:rPr>
        <w:t> </w:t>
      </w:r>
      <w:r>
        <w:rPr>
          <w:sz w:val="21"/>
        </w:rPr>
        <w:t>data</w:t>
      </w:r>
      <w:r>
        <w:rPr>
          <w:spacing w:val="40"/>
          <w:sz w:val="21"/>
        </w:rPr>
        <w:t> </w:t>
      </w:r>
      <w:r>
        <w:rPr>
          <w:sz w:val="21"/>
        </w:rPr>
        <w:t>on</w:t>
      </w:r>
      <w:r>
        <w:rPr>
          <w:spacing w:val="40"/>
          <w:sz w:val="21"/>
        </w:rPr>
        <w:t> </w:t>
      </w:r>
      <w:r>
        <w:rPr>
          <w:sz w:val="21"/>
        </w:rPr>
        <w:t>sexual</w:t>
      </w:r>
      <w:r>
        <w:rPr>
          <w:spacing w:val="40"/>
          <w:sz w:val="21"/>
        </w:rPr>
        <w:t> </w:t>
      </w:r>
      <w:r>
        <w:rPr>
          <w:sz w:val="21"/>
        </w:rPr>
        <w:t>orientation</w:t>
      </w:r>
      <w:r>
        <w:rPr>
          <w:spacing w:val="40"/>
          <w:sz w:val="21"/>
        </w:rPr>
        <w:t> </w:t>
      </w:r>
      <w:r>
        <w:rPr>
          <w:sz w:val="21"/>
        </w:rPr>
        <w:t>and</w:t>
      </w:r>
      <w:r>
        <w:rPr>
          <w:spacing w:val="40"/>
          <w:sz w:val="21"/>
        </w:rPr>
        <w:t> </w:t>
      </w:r>
      <w:r>
        <w:rPr>
          <w:sz w:val="21"/>
        </w:rPr>
        <w:t>gender</w:t>
      </w:r>
      <w:r>
        <w:rPr>
          <w:spacing w:val="40"/>
          <w:sz w:val="21"/>
        </w:rPr>
        <w:t> </w:t>
      </w:r>
      <w:r>
        <w:rPr>
          <w:sz w:val="21"/>
        </w:rPr>
        <w:t>identity</w:t>
      </w:r>
      <w:r>
        <w:rPr>
          <w:spacing w:val="40"/>
          <w:sz w:val="21"/>
        </w:rPr>
        <w:t> </w:t>
      </w:r>
      <w:r>
        <w:rPr>
          <w:sz w:val="21"/>
        </w:rPr>
        <w:t>to</w:t>
      </w:r>
      <w:r>
        <w:rPr>
          <w:spacing w:val="40"/>
          <w:sz w:val="21"/>
        </w:rPr>
        <w:t> </w:t>
      </w:r>
      <w:r>
        <w:rPr>
          <w:sz w:val="21"/>
        </w:rPr>
        <w:t>identify</w:t>
      </w:r>
      <w:r>
        <w:rPr>
          <w:spacing w:val="40"/>
          <w:sz w:val="21"/>
        </w:rPr>
        <w:t> </w:t>
      </w:r>
      <w:r>
        <w:rPr>
          <w:sz w:val="21"/>
        </w:rPr>
        <w:t>and</w:t>
      </w:r>
      <w:r>
        <w:rPr>
          <w:spacing w:val="40"/>
          <w:sz w:val="21"/>
        </w:rPr>
        <w:t> </w:t>
      </w:r>
      <w:r>
        <w:rPr>
          <w:sz w:val="21"/>
        </w:rPr>
        <w:t>reduce disparities throughout the juvenile and criminal legal systems.</w:t>
      </w:r>
    </w:p>
    <w:p>
      <w:pPr>
        <w:pStyle w:val="ListParagraph"/>
        <w:numPr>
          <w:ilvl w:val="0"/>
          <w:numId w:val="10"/>
        </w:numPr>
        <w:tabs>
          <w:tab w:pos="1178" w:val="left" w:leader="none"/>
        </w:tabs>
        <w:spacing w:line="240" w:lineRule="auto" w:before="120" w:after="0"/>
        <w:ind w:left="1178" w:right="0" w:hanging="360"/>
        <w:jc w:val="left"/>
        <w:rPr>
          <w:sz w:val="21"/>
        </w:rPr>
      </w:pPr>
      <w:r>
        <w:rPr>
          <w:sz w:val="21"/>
        </w:rPr>
        <w:t>Disrupt</w:t>
      </w:r>
      <w:r>
        <w:rPr>
          <w:spacing w:val="-3"/>
          <w:sz w:val="21"/>
        </w:rPr>
        <w:t> </w:t>
      </w:r>
      <w:r>
        <w:rPr>
          <w:sz w:val="21"/>
        </w:rPr>
        <w:t>the</w:t>
      </w:r>
      <w:r>
        <w:rPr>
          <w:spacing w:val="-3"/>
          <w:sz w:val="21"/>
        </w:rPr>
        <w:t> </w:t>
      </w:r>
      <w:r>
        <w:rPr>
          <w:sz w:val="21"/>
        </w:rPr>
        <w:t>school-to-prison</w:t>
      </w:r>
      <w:r>
        <w:rPr>
          <w:spacing w:val="-4"/>
          <w:sz w:val="21"/>
        </w:rPr>
        <w:t> </w:t>
      </w:r>
      <w:r>
        <w:rPr>
          <w:sz w:val="21"/>
        </w:rPr>
        <w:t>pipeline</w:t>
      </w:r>
      <w:r>
        <w:rPr>
          <w:spacing w:val="-3"/>
          <w:sz w:val="21"/>
        </w:rPr>
        <w:t> </w:t>
      </w:r>
      <w:r>
        <w:rPr>
          <w:sz w:val="21"/>
        </w:rPr>
        <w:t>by</w:t>
      </w:r>
      <w:r>
        <w:rPr>
          <w:spacing w:val="-3"/>
          <w:sz w:val="21"/>
        </w:rPr>
        <w:t> </w:t>
      </w:r>
      <w:r>
        <w:rPr>
          <w:sz w:val="21"/>
        </w:rPr>
        <w:t>removing</w:t>
      </w:r>
      <w:r>
        <w:rPr>
          <w:spacing w:val="-4"/>
          <w:sz w:val="21"/>
        </w:rPr>
        <w:t> </w:t>
      </w:r>
      <w:r>
        <w:rPr>
          <w:sz w:val="21"/>
        </w:rPr>
        <w:t>police</w:t>
      </w:r>
      <w:r>
        <w:rPr>
          <w:spacing w:val="-2"/>
          <w:sz w:val="21"/>
        </w:rPr>
        <w:t> </w:t>
      </w:r>
      <w:r>
        <w:rPr>
          <w:sz w:val="21"/>
        </w:rPr>
        <w:t>from</w:t>
      </w:r>
      <w:r>
        <w:rPr>
          <w:spacing w:val="-3"/>
          <w:sz w:val="21"/>
        </w:rPr>
        <w:t> </w:t>
      </w:r>
      <w:r>
        <w:rPr>
          <w:spacing w:val="-2"/>
          <w:sz w:val="21"/>
        </w:rPr>
        <w:t>schools.</w:t>
      </w:r>
    </w:p>
    <w:p>
      <w:pPr>
        <w:pStyle w:val="ListParagraph"/>
        <w:numPr>
          <w:ilvl w:val="0"/>
          <w:numId w:val="10"/>
        </w:numPr>
        <w:tabs>
          <w:tab w:pos="1178" w:val="left" w:leader="none"/>
        </w:tabs>
        <w:spacing w:line="276" w:lineRule="auto" w:before="159" w:after="0"/>
        <w:ind w:left="1178" w:right="422" w:hanging="361"/>
        <w:jc w:val="left"/>
        <w:rPr>
          <w:sz w:val="21"/>
        </w:rPr>
      </w:pPr>
      <w:r>
        <w:rPr>
          <w:sz w:val="21"/>
        </w:rPr>
        <w:t>Limit the</w:t>
      </w:r>
      <w:r>
        <w:rPr>
          <w:spacing w:val="-1"/>
          <w:sz w:val="21"/>
        </w:rPr>
        <w:t> </w:t>
      </w:r>
      <w:r>
        <w:rPr>
          <w:sz w:val="21"/>
        </w:rPr>
        <w:t>use</w:t>
      </w:r>
      <w:r>
        <w:rPr>
          <w:spacing w:val="-1"/>
          <w:sz w:val="21"/>
        </w:rPr>
        <w:t> </w:t>
      </w:r>
      <w:r>
        <w:rPr>
          <w:sz w:val="21"/>
        </w:rPr>
        <w:t>of force by law enforcement and correctional officers and establish</w:t>
      </w:r>
      <w:r>
        <w:rPr>
          <w:spacing w:val="-1"/>
          <w:sz w:val="21"/>
        </w:rPr>
        <w:t> </w:t>
      </w:r>
      <w:r>
        <w:rPr>
          <w:sz w:val="21"/>
        </w:rPr>
        <w:t>community-based response systems to reduce police intervention.</w:t>
      </w:r>
    </w:p>
    <w:p>
      <w:pPr>
        <w:pStyle w:val="ListParagraph"/>
        <w:numPr>
          <w:ilvl w:val="0"/>
          <w:numId w:val="10"/>
        </w:numPr>
        <w:tabs>
          <w:tab w:pos="1178" w:val="left" w:leader="none"/>
        </w:tabs>
        <w:spacing w:line="276" w:lineRule="auto" w:before="119" w:after="0"/>
        <w:ind w:left="1178" w:right="420" w:hanging="360"/>
        <w:jc w:val="left"/>
        <w:rPr>
          <w:sz w:val="21"/>
        </w:rPr>
      </w:pPr>
      <w:r>
        <w:rPr>
          <w:sz w:val="21"/>
        </w:rPr>
        <w:t>Decriminalize consensual sexual relations among parties close in age and support education rather than criminal discipline.</w:t>
      </w:r>
    </w:p>
    <w:p>
      <w:pPr>
        <w:pStyle w:val="ListParagraph"/>
        <w:numPr>
          <w:ilvl w:val="0"/>
          <w:numId w:val="10"/>
        </w:numPr>
        <w:tabs>
          <w:tab w:pos="1178" w:val="left" w:leader="none"/>
        </w:tabs>
        <w:spacing w:line="276" w:lineRule="auto" w:before="120" w:after="0"/>
        <w:ind w:left="1178" w:right="422" w:hanging="360"/>
        <w:jc w:val="left"/>
        <w:rPr>
          <w:sz w:val="21"/>
        </w:rPr>
      </w:pPr>
      <w:r>
        <w:rPr>
          <w:sz w:val="21"/>
        </w:rPr>
        <w:t>Eliminate common night-walking laws and increase funding for programs serving LGBTQ youth at- risk of sexual exploitation.</w:t>
      </w:r>
    </w:p>
    <w:p>
      <w:pPr>
        <w:pStyle w:val="ListParagraph"/>
        <w:numPr>
          <w:ilvl w:val="0"/>
          <w:numId w:val="10"/>
        </w:numPr>
        <w:tabs>
          <w:tab w:pos="1178" w:val="left" w:leader="none"/>
        </w:tabs>
        <w:spacing w:line="240" w:lineRule="auto" w:before="121" w:after="0"/>
        <w:ind w:left="1178" w:right="0" w:hanging="360"/>
        <w:jc w:val="left"/>
        <w:rPr>
          <w:sz w:val="21"/>
        </w:rPr>
      </w:pPr>
      <w:r>
        <w:rPr>
          <w:sz w:val="21"/>
        </w:rPr>
        <w:t>Improve</w:t>
      </w:r>
      <w:r>
        <w:rPr>
          <w:spacing w:val="-6"/>
          <w:sz w:val="21"/>
        </w:rPr>
        <w:t> </w:t>
      </w:r>
      <w:r>
        <w:rPr>
          <w:sz w:val="21"/>
        </w:rPr>
        <w:t>conditions</w:t>
      </w:r>
      <w:r>
        <w:rPr>
          <w:spacing w:val="-4"/>
          <w:sz w:val="21"/>
        </w:rPr>
        <w:t> </w:t>
      </w:r>
      <w:r>
        <w:rPr>
          <w:sz w:val="21"/>
        </w:rPr>
        <w:t>of</w:t>
      </w:r>
      <w:r>
        <w:rPr>
          <w:spacing w:val="-3"/>
          <w:sz w:val="21"/>
        </w:rPr>
        <w:t> </w:t>
      </w:r>
      <w:r>
        <w:rPr>
          <w:sz w:val="21"/>
        </w:rPr>
        <w:t>confinement</w:t>
      </w:r>
      <w:r>
        <w:rPr>
          <w:spacing w:val="-3"/>
          <w:sz w:val="21"/>
        </w:rPr>
        <w:t> </w:t>
      </w:r>
      <w:r>
        <w:rPr>
          <w:sz w:val="21"/>
        </w:rPr>
        <w:t>for</w:t>
      </w:r>
      <w:r>
        <w:rPr>
          <w:spacing w:val="-3"/>
          <w:sz w:val="21"/>
        </w:rPr>
        <w:t> </w:t>
      </w:r>
      <w:r>
        <w:rPr>
          <w:sz w:val="21"/>
        </w:rPr>
        <w:t>incarcerated</w:t>
      </w:r>
      <w:r>
        <w:rPr>
          <w:spacing w:val="-4"/>
          <w:sz w:val="21"/>
        </w:rPr>
        <w:t> </w:t>
      </w:r>
      <w:r>
        <w:rPr>
          <w:sz w:val="21"/>
        </w:rPr>
        <w:t>LGBTQ</w:t>
      </w:r>
      <w:r>
        <w:rPr>
          <w:spacing w:val="-4"/>
          <w:sz w:val="21"/>
        </w:rPr>
        <w:t> </w:t>
      </w:r>
      <w:r>
        <w:rPr>
          <w:sz w:val="21"/>
        </w:rPr>
        <w:t>and</w:t>
      </w:r>
      <w:r>
        <w:rPr>
          <w:spacing w:val="-3"/>
          <w:sz w:val="21"/>
        </w:rPr>
        <w:t> </w:t>
      </w:r>
      <w:r>
        <w:rPr>
          <w:sz w:val="21"/>
        </w:rPr>
        <w:t>intersex</w:t>
      </w:r>
      <w:r>
        <w:rPr>
          <w:spacing w:val="-3"/>
          <w:sz w:val="21"/>
        </w:rPr>
        <w:t> </w:t>
      </w:r>
      <w:r>
        <w:rPr>
          <w:spacing w:val="-2"/>
          <w:sz w:val="21"/>
        </w:rPr>
        <w:t>individuals.</w:t>
      </w:r>
    </w:p>
    <w:p>
      <w:pPr>
        <w:pStyle w:val="ListParagraph"/>
        <w:numPr>
          <w:ilvl w:val="0"/>
          <w:numId w:val="10"/>
        </w:numPr>
        <w:tabs>
          <w:tab w:pos="1178" w:val="left" w:leader="none"/>
        </w:tabs>
        <w:spacing w:line="240" w:lineRule="auto" w:before="157" w:after="0"/>
        <w:ind w:left="1178" w:right="0" w:hanging="360"/>
        <w:jc w:val="left"/>
        <w:rPr>
          <w:sz w:val="21"/>
        </w:rPr>
      </w:pPr>
      <w:r>
        <w:rPr>
          <w:sz w:val="21"/>
        </w:rPr>
        <w:t>Provide</w:t>
      </w:r>
      <w:r>
        <w:rPr>
          <w:spacing w:val="-4"/>
          <w:sz w:val="21"/>
        </w:rPr>
        <w:t> </w:t>
      </w:r>
      <w:r>
        <w:rPr>
          <w:sz w:val="21"/>
        </w:rPr>
        <w:t>increased</w:t>
      </w:r>
      <w:r>
        <w:rPr>
          <w:spacing w:val="-3"/>
          <w:sz w:val="21"/>
        </w:rPr>
        <w:t> </w:t>
      </w:r>
      <w:r>
        <w:rPr>
          <w:sz w:val="21"/>
        </w:rPr>
        <w:t>legal</w:t>
      </w:r>
      <w:r>
        <w:rPr>
          <w:spacing w:val="-3"/>
          <w:sz w:val="21"/>
        </w:rPr>
        <w:t> </w:t>
      </w:r>
      <w:r>
        <w:rPr>
          <w:sz w:val="21"/>
        </w:rPr>
        <w:t>support</w:t>
      </w:r>
      <w:r>
        <w:rPr>
          <w:spacing w:val="-3"/>
          <w:sz w:val="21"/>
        </w:rPr>
        <w:t> </w:t>
      </w:r>
      <w:r>
        <w:rPr>
          <w:sz w:val="21"/>
        </w:rPr>
        <w:t>for</w:t>
      </w:r>
      <w:r>
        <w:rPr>
          <w:spacing w:val="-3"/>
          <w:sz w:val="21"/>
        </w:rPr>
        <w:t> </w:t>
      </w:r>
      <w:r>
        <w:rPr>
          <w:sz w:val="21"/>
        </w:rPr>
        <w:t>undocumented</w:t>
      </w:r>
      <w:r>
        <w:rPr>
          <w:spacing w:val="-3"/>
          <w:sz w:val="21"/>
        </w:rPr>
        <w:t> </w:t>
      </w:r>
      <w:r>
        <w:rPr>
          <w:spacing w:val="-2"/>
          <w:sz w:val="21"/>
        </w:rPr>
        <w:t>youth.</w:t>
      </w:r>
    </w:p>
    <w:p>
      <w:pPr>
        <w:pStyle w:val="ListParagraph"/>
        <w:numPr>
          <w:ilvl w:val="0"/>
          <w:numId w:val="10"/>
        </w:numPr>
        <w:tabs>
          <w:tab w:pos="1179" w:val="left" w:leader="none"/>
        </w:tabs>
        <w:spacing w:line="240" w:lineRule="auto" w:before="159" w:after="0"/>
        <w:ind w:left="1179" w:right="0" w:hanging="359"/>
        <w:jc w:val="left"/>
        <w:rPr>
          <w:sz w:val="22"/>
        </w:rPr>
      </w:pPr>
      <w:r>
        <w:rPr>
          <w:sz w:val="21"/>
        </w:rPr>
        <w:t>Raise</w:t>
      </w:r>
      <w:r>
        <w:rPr>
          <w:spacing w:val="-5"/>
          <w:sz w:val="21"/>
        </w:rPr>
        <w:t> </w:t>
      </w:r>
      <w:r>
        <w:rPr>
          <w:sz w:val="21"/>
        </w:rPr>
        <w:t>the</w:t>
      </w:r>
      <w:r>
        <w:rPr>
          <w:spacing w:val="-2"/>
          <w:sz w:val="21"/>
        </w:rPr>
        <w:t> </w:t>
      </w:r>
      <w:r>
        <w:rPr>
          <w:sz w:val="21"/>
        </w:rPr>
        <w:t>age</w:t>
      </w:r>
      <w:r>
        <w:rPr>
          <w:spacing w:val="-3"/>
          <w:sz w:val="21"/>
        </w:rPr>
        <w:t> </w:t>
      </w:r>
      <w:r>
        <w:rPr>
          <w:sz w:val="21"/>
        </w:rPr>
        <w:t>of</w:t>
      </w:r>
      <w:r>
        <w:rPr>
          <w:spacing w:val="-2"/>
          <w:sz w:val="21"/>
        </w:rPr>
        <w:t> </w:t>
      </w:r>
      <w:r>
        <w:rPr>
          <w:sz w:val="21"/>
        </w:rPr>
        <w:t>the</w:t>
      </w:r>
      <w:r>
        <w:rPr>
          <w:spacing w:val="-2"/>
          <w:sz w:val="21"/>
        </w:rPr>
        <w:t> </w:t>
      </w:r>
      <w:r>
        <w:rPr>
          <w:sz w:val="21"/>
        </w:rPr>
        <w:t>juvenile</w:t>
      </w:r>
      <w:r>
        <w:rPr>
          <w:spacing w:val="-3"/>
          <w:sz w:val="21"/>
        </w:rPr>
        <w:t> </w:t>
      </w:r>
      <w:r>
        <w:rPr>
          <w:sz w:val="21"/>
        </w:rPr>
        <w:t>legal</w:t>
      </w:r>
      <w:r>
        <w:rPr>
          <w:spacing w:val="-2"/>
          <w:sz w:val="21"/>
        </w:rPr>
        <w:t> </w:t>
      </w:r>
      <w:r>
        <w:rPr>
          <w:sz w:val="21"/>
        </w:rPr>
        <w:t>system</w:t>
      </w:r>
      <w:r>
        <w:rPr>
          <w:spacing w:val="-2"/>
          <w:sz w:val="21"/>
        </w:rPr>
        <w:t> </w:t>
      </w:r>
      <w:r>
        <w:rPr>
          <w:sz w:val="21"/>
        </w:rPr>
        <w:t>to</w:t>
      </w:r>
      <w:r>
        <w:rPr>
          <w:spacing w:val="-2"/>
          <w:sz w:val="21"/>
        </w:rPr>
        <w:t> </w:t>
      </w:r>
      <w:r>
        <w:rPr>
          <w:sz w:val="21"/>
        </w:rPr>
        <w:t>include</w:t>
      </w:r>
      <w:r>
        <w:rPr>
          <w:spacing w:val="-2"/>
          <w:sz w:val="21"/>
        </w:rPr>
        <w:t> </w:t>
      </w:r>
      <w:r>
        <w:rPr>
          <w:sz w:val="21"/>
        </w:rPr>
        <w:t>18-to</w:t>
      </w:r>
      <w:r>
        <w:rPr>
          <w:spacing w:val="-2"/>
          <w:sz w:val="21"/>
        </w:rPr>
        <w:t> </w:t>
      </w:r>
      <w:r>
        <w:rPr>
          <w:sz w:val="21"/>
        </w:rPr>
        <w:t>20-year-</w:t>
      </w:r>
      <w:r>
        <w:rPr>
          <w:spacing w:val="-2"/>
          <w:sz w:val="21"/>
        </w:rPr>
        <w:t>olds.</w:t>
      </w:r>
    </w:p>
    <w:p>
      <w:pPr>
        <w:pStyle w:val="ListParagraph"/>
        <w:numPr>
          <w:ilvl w:val="0"/>
          <w:numId w:val="10"/>
        </w:numPr>
        <w:tabs>
          <w:tab w:pos="1178" w:val="left" w:leader="none"/>
        </w:tabs>
        <w:spacing w:line="240" w:lineRule="auto" w:before="157" w:after="0"/>
        <w:ind w:left="1178" w:right="0" w:hanging="359"/>
        <w:jc w:val="left"/>
        <w:rPr>
          <w:sz w:val="22"/>
        </w:rPr>
      </w:pPr>
      <w:r>
        <w:rPr>
          <w:sz w:val="21"/>
        </w:rPr>
        <w:t>Increase</w:t>
      </w:r>
      <w:r>
        <w:rPr>
          <w:spacing w:val="-4"/>
          <w:sz w:val="21"/>
        </w:rPr>
        <w:t> </w:t>
      </w:r>
      <w:r>
        <w:rPr>
          <w:sz w:val="21"/>
        </w:rPr>
        <w:t>transitional</w:t>
      </w:r>
      <w:r>
        <w:rPr>
          <w:spacing w:val="-3"/>
          <w:sz w:val="21"/>
        </w:rPr>
        <w:t> </w:t>
      </w:r>
      <w:r>
        <w:rPr>
          <w:sz w:val="21"/>
        </w:rPr>
        <w:t>and</w:t>
      </w:r>
      <w:r>
        <w:rPr>
          <w:spacing w:val="-4"/>
          <w:sz w:val="21"/>
        </w:rPr>
        <w:t> </w:t>
      </w:r>
      <w:r>
        <w:rPr>
          <w:sz w:val="21"/>
        </w:rPr>
        <w:t>permanent</w:t>
      </w:r>
      <w:r>
        <w:rPr>
          <w:spacing w:val="-3"/>
          <w:sz w:val="21"/>
        </w:rPr>
        <w:t> </w:t>
      </w:r>
      <w:r>
        <w:rPr>
          <w:sz w:val="21"/>
        </w:rPr>
        <w:t>housing</w:t>
      </w:r>
      <w:r>
        <w:rPr>
          <w:spacing w:val="-3"/>
          <w:sz w:val="21"/>
        </w:rPr>
        <w:t> </w:t>
      </w:r>
      <w:r>
        <w:rPr>
          <w:sz w:val="21"/>
        </w:rPr>
        <w:t>resources</w:t>
      </w:r>
      <w:r>
        <w:rPr>
          <w:spacing w:val="-3"/>
          <w:sz w:val="21"/>
        </w:rPr>
        <w:t> </w:t>
      </w:r>
      <w:r>
        <w:rPr>
          <w:sz w:val="21"/>
        </w:rPr>
        <w:t>for</w:t>
      </w:r>
      <w:r>
        <w:rPr>
          <w:spacing w:val="-3"/>
          <w:sz w:val="21"/>
        </w:rPr>
        <w:t> </w:t>
      </w:r>
      <w:r>
        <w:rPr>
          <w:sz w:val="21"/>
        </w:rPr>
        <w:t>formerly</w:t>
      </w:r>
      <w:r>
        <w:rPr>
          <w:spacing w:val="-4"/>
          <w:sz w:val="21"/>
        </w:rPr>
        <w:t> </w:t>
      </w:r>
      <w:r>
        <w:rPr>
          <w:sz w:val="21"/>
        </w:rPr>
        <w:t>incarcerated</w:t>
      </w:r>
      <w:r>
        <w:rPr>
          <w:spacing w:val="-4"/>
          <w:sz w:val="21"/>
        </w:rPr>
        <w:t> </w:t>
      </w:r>
      <w:r>
        <w:rPr>
          <w:sz w:val="21"/>
        </w:rPr>
        <w:t>LGBTQ</w:t>
      </w:r>
      <w:r>
        <w:rPr>
          <w:spacing w:val="-3"/>
          <w:sz w:val="21"/>
        </w:rPr>
        <w:t> </w:t>
      </w:r>
      <w:r>
        <w:rPr>
          <w:spacing w:val="-2"/>
          <w:sz w:val="21"/>
        </w:rPr>
        <w:t>youth.</w:t>
      </w:r>
    </w:p>
    <w:p>
      <w:pPr>
        <w:pStyle w:val="ListParagraph"/>
        <w:numPr>
          <w:ilvl w:val="0"/>
          <w:numId w:val="10"/>
        </w:numPr>
        <w:tabs>
          <w:tab w:pos="1175" w:val="left" w:leader="none"/>
          <w:tab w:pos="1178" w:val="left" w:leader="none"/>
        </w:tabs>
        <w:spacing w:line="276" w:lineRule="auto" w:before="155" w:after="0"/>
        <w:ind w:left="1178" w:right="420" w:hanging="361"/>
        <w:jc w:val="left"/>
        <w:rPr>
          <w:sz w:val="21"/>
        </w:rPr>
      </w:pPr>
      <w:r>
        <w:rPr>
          <w:sz w:val="21"/>
        </w:rPr>
        <w:t>Support legislative initiatives to improve the Massachusetts legal system, and support diversion of </w:t>
      </w:r>
      <w:r>
        <w:rPr>
          <w:spacing w:val="-2"/>
          <w:sz w:val="21"/>
        </w:rPr>
        <w:t>youth.</w:t>
      </w:r>
    </w:p>
    <w:p>
      <w:pPr>
        <w:pStyle w:val="ListParagraph"/>
        <w:numPr>
          <w:ilvl w:val="0"/>
          <w:numId w:val="10"/>
        </w:numPr>
        <w:tabs>
          <w:tab w:pos="1176" w:val="left" w:leader="none"/>
          <w:tab w:pos="1179" w:val="left" w:leader="none"/>
        </w:tabs>
        <w:spacing w:line="276" w:lineRule="auto" w:before="120" w:after="0"/>
        <w:ind w:left="1179" w:right="421" w:hanging="361"/>
        <w:jc w:val="left"/>
        <w:rPr>
          <w:sz w:val="21"/>
        </w:rPr>
      </w:pPr>
      <w:r>
        <w:rPr>
          <w:sz w:val="21"/>
        </w:rPr>
        <w:t>Actively</w:t>
      </w:r>
      <w:r>
        <w:rPr>
          <w:spacing w:val="40"/>
          <w:sz w:val="21"/>
        </w:rPr>
        <w:t> </w:t>
      </w:r>
      <w:r>
        <w:rPr>
          <w:sz w:val="21"/>
        </w:rPr>
        <w:t>involve</w:t>
      </w:r>
      <w:r>
        <w:rPr>
          <w:spacing w:val="40"/>
          <w:sz w:val="21"/>
        </w:rPr>
        <w:t> </w:t>
      </w:r>
      <w:r>
        <w:rPr>
          <w:sz w:val="21"/>
        </w:rPr>
        <w:t>justice-involved</w:t>
      </w:r>
      <w:r>
        <w:rPr>
          <w:spacing w:val="40"/>
          <w:sz w:val="21"/>
        </w:rPr>
        <w:t> </w:t>
      </w:r>
      <w:r>
        <w:rPr>
          <w:sz w:val="21"/>
        </w:rPr>
        <w:t>youth</w:t>
      </w:r>
      <w:r>
        <w:rPr>
          <w:spacing w:val="40"/>
          <w:sz w:val="21"/>
        </w:rPr>
        <w:t> </w:t>
      </w:r>
      <w:r>
        <w:rPr>
          <w:sz w:val="21"/>
        </w:rPr>
        <w:t>in</w:t>
      </w:r>
      <w:r>
        <w:rPr>
          <w:spacing w:val="40"/>
          <w:sz w:val="21"/>
        </w:rPr>
        <w:t> </w:t>
      </w:r>
      <w:r>
        <w:rPr>
          <w:sz w:val="21"/>
        </w:rPr>
        <w:t>government</w:t>
      </w:r>
      <w:r>
        <w:rPr>
          <w:spacing w:val="40"/>
          <w:sz w:val="21"/>
        </w:rPr>
        <w:t> </w:t>
      </w:r>
      <w:r>
        <w:rPr>
          <w:sz w:val="21"/>
        </w:rPr>
        <w:t>decision</w:t>
      </w:r>
      <w:r>
        <w:rPr>
          <w:spacing w:val="40"/>
          <w:sz w:val="21"/>
        </w:rPr>
        <w:t> </w:t>
      </w:r>
      <w:r>
        <w:rPr>
          <w:sz w:val="21"/>
        </w:rPr>
        <w:t>affecting</w:t>
      </w:r>
      <w:r>
        <w:rPr>
          <w:spacing w:val="40"/>
          <w:sz w:val="21"/>
        </w:rPr>
        <w:t> </w:t>
      </w:r>
      <w:r>
        <w:rPr>
          <w:sz w:val="21"/>
        </w:rPr>
        <w:t>them,</w:t>
      </w:r>
      <w:r>
        <w:rPr>
          <w:spacing w:val="40"/>
          <w:sz w:val="21"/>
        </w:rPr>
        <w:t> </w:t>
      </w:r>
      <w:r>
        <w:rPr>
          <w:sz w:val="21"/>
        </w:rPr>
        <w:t>ensuring</w:t>
      </w:r>
      <w:r>
        <w:rPr>
          <w:spacing w:val="40"/>
          <w:sz w:val="21"/>
        </w:rPr>
        <w:t> </w:t>
      </w:r>
      <w:r>
        <w:rPr>
          <w:sz w:val="21"/>
        </w:rPr>
        <w:t>their experiences directly inform policies and programs designed to serve their needs.</w:t>
      </w:r>
    </w:p>
    <w:p>
      <w:pPr>
        <w:spacing w:after="0" w:line="276" w:lineRule="auto"/>
        <w:jc w:val="left"/>
        <w:rPr>
          <w:sz w:val="21"/>
        </w:rPr>
        <w:sectPr>
          <w:headerReference w:type="default" r:id="rId36"/>
          <w:footerReference w:type="default" r:id="rId37"/>
          <w:pgSz w:w="12240" w:h="15840"/>
          <w:pgMar w:header="0" w:footer="1061" w:top="1140" w:bottom="1260" w:left="980" w:right="1160"/>
        </w:sectPr>
      </w:pPr>
    </w:p>
    <w:p>
      <w:pPr>
        <w:spacing w:before="29"/>
        <w:ind w:left="604" w:right="0" w:firstLine="0"/>
        <w:jc w:val="both"/>
        <w:rPr>
          <w:sz w:val="28"/>
        </w:rPr>
      </w:pPr>
      <w:bookmarkStart w:name="Expanding Inclusive Service Provision fo" w:id="59"/>
      <w:bookmarkEnd w:id="59"/>
      <w:r>
        <w:rPr/>
      </w:r>
      <w:r>
        <w:rPr>
          <w:color w:val="365F91"/>
          <w:sz w:val="28"/>
        </w:rPr>
        <w:t>Expanding</w:t>
      </w:r>
      <w:r>
        <w:rPr>
          <w:color w:val="365F91"/>
          <w:spacing w:val="-12"/>
          <w:sz w:val="28"/>
        </w:rPr>
        <w:t> </w:t>
      </w:r>
      <w:r>
        <w:rPr>
          <w:color w:val="365F91"/>
          <w:sz w:val="28"/>
        </w:rPr>
        <w:t>Inclusive</w:t>
      </w:r>
      <w:r>
        <w:rPr>
          <w:color w:val="365F91"/>
          <w:spacing w:val="-12"/>
          <w:sz w:val="28"/>
        </w:rPr>
        <w:t> </w:t>
      </w:r>
      <w:r>
        <w:rPr>
          <w:color w:val="365F91"/>
          <w:sz w:val="28"/>
        </w:rPr>
        <w:t>Service</w:t>
      </w:r>
      <w:r>
        <w:rPr>
          <w:color w:val="365F91"/>
          <w:spacing w:val="-11"/>
          <w:sz w:val="28"/>
        </w:rPr>
        <w:t> </w:t>
      </w:r>
      <w:r>
        <w:rPr>
          <w:color w:val="365F91"/>
          <w:sz w:val="28"/>
        </w:rPr>
        <w:t>Provision</w:t>
      </w:r>
      <w:r>
        <w:rPr>
          <w:color w:val="365F91"/>
          <w:spacing w:val="-13"/>
          <w:sz w:val="28"/>
        </w:rPr>
        <w:t> </w:t>
      </w:r>
      <w:r>
        <w:rPr>
          <w:color w:val="365F91"/>
          <w:sz w:val="28"/>
        </w:rPr>
        <w:t>for</w:t>
      </w:r>
      <w:r>
        <w:rPr>
          <w:color w:val="365F91"/>
          <w:spacing w:val="-11"/>
          <w:sz w:val="28"/>
        </w:rPr>
        <w:t> </w:t>
      </w:r>
      <w:r>
        <w:rPr>
          <w:color w:val="365F91"/>
          <w:sz w:val="28"/>
        </w:rPr>
        <w:t>Foreign-Born</w:t>
      </w:r>
      <w:r>
        <w:rPr>
          <w:color w:val="365F91"/>
          <w:spacing w:val="-12"/>
          <w:sz w:val="28"/>
        </w:rPr>
        <w:t> </w:t>
      </w:r>
      <w:r>
        <w:rPr>
          <w:color w:val="365F91"/>
          <w:sz w:val="28"/>
        </w:rPr>
        <w:t>LGBTQ</w:t>
      </w:r>
      <w:r>
        <w:rPr>
          <w:color w:val="365F91"/>
          <w:spacing w:val="-11"/>
          <w:sz w:val="28"/>
        </w:rPr>
        <w:t> </w:t>
      </w:r>
      <w:r>
        <w:rPr>
          <w:color w:val="365F91"/>
          <w:sz w:val="28"/>
        </w:rPr>
        <w:t>Youth</w:t>
      </w:r>
      <w:r>
        <w:rPr>
          <w:color w:val="365F91"/>
          <w:spacing w:val="-12"/>
          <w:sz w:val="28"/>
        </w:rPr>
        <w:t> </w:t>
      </w:r>
      <w:r>
        <w:rPr>
          <w:color w:val="365F91"/>
          <w:spacing w:val="-2"/>
          <w:sz w:val="28"/>
        </w:rPr>
        <w:t>(2023)</w:t>
      </w:r>
    </w:p>
    <w:p>
      <w:pPr>
        <w:pStyle w:val="BodyText"/>
        <w:spacing w:line="276" w:lineRule="auto" w:before="293"/>
        <w:ind w:left="603" w:right="421"/>
        <w:jc w:val="both"/>
      </w:pPr>
      <w:bookmarkStart w:name="In FY 2024, the Commission published a f" w:id="60"/>
      <w:bookmarkEnd w:id="60"/>
      <w:r>
        <w:rPr/>
      </w:r>
      <w:r>
        <w:rPr>
          <w:color w:val="404040"/>
        </w:rPr>
        <w:t>In FY 2024, </w:t>
      </w:r>
      <w:r>
        <w:rPr/>
        <w:t>the Commission </w:t>
      </w:r>
      <w:r>
        <w:rPr>
          <w:color w:val="404040"/>
        </w:rPr>
        <w:t>published </w:t>
      </w:r>
      <w:r>
        <w:rPr/>
        <w:t>a first-of-its</w:t>
      </w:r>
      <w:r>
        <w:rPr>
          <w:color w:val="404040"/>
        </w:rPr>
        <w:t>-kind </w:t>
      </w:r>
      <w:r>
        <w:rPr/>
        <w:t>dedicated section on research and recommendations</w:t>
      </w:r>
      <w:r>
        <w:rPr>
          <w:spacing w:val="-5"/>
        </w:rPr>
        <w:t> </w:t>
      </w:r>
      <w:r>
        <w:rPr/>
        <w:t>to</w:t>
      </w:r>
      <w:r>
        <w:rPr>
          <w:spacing w:val="-3"/>
        </w:rPr>
        <w:t> </w:t>
      </w:r>
      <w:r>
        <w:rPr/>
        <w:t>improve</w:t>
      </w:r>
      <w:r>
        <w:rPr>
          <w:spacing w:val="-5"/>
        </w:rPr>
        <w:t> </w:t>
      </w:r>
      <w:r>
        <w:rPr/>
        <w:t>policies,</w:t>
      </w:r>
      <w:r>
        <w:rPr>
          <w:spacing w:val="-3"/>
        </w:rPr>
        <w:t> </w:t>
      </w:r>
      <w:r>
        <w:rPr/>
        <w:t>services,</w:t>
      </w:r>
      <w:r>
        <w:rPr>
          <w:spacing w:val="-5"/>
        </w:rPr>
        <w:t> </w:t>
      </w:r>
      <w:r>
        <w:rPr/>
        <w:t>and</w:t>
      </w:r>
      <w:r>
        <w:rPr>
          <w:spacing w:val="-3"/>
        </w:rPr>
        <w:t> </w:t>
      </w:r>
      <w:r>
        <w:rPr/>
        <w:t>programs</w:t>
      </w:r>
      <w:r>
        <w:rPr>
          <w:spacing w:val="-5"/>
        </w:rPr>
        <w:t> </w:t>
      </w:r>
      <w:r>
        <w:rPr/>
        <w:t>for</w:t>
      </w:r>
      <w:r>
        <w:rPr>
          <w:spacing w:val="-4"/>
        </w:rPr>
        <w:t> </w:t>
      </w:r>
      <w:r>
        <w:rPr/>
        <w:t>LGBTQ</w:t>
      </w:r>
      <w:r>
        <w:rPr>
          <w:spacing w:val="-4"/>
        </w:rPr>
        <w:t> </w:t>
      </w:r>
      <w:r>
        <w:rPr/>
        <w:t>foreign-born</w:t>
      </w:r>
      <w:r>
        <w:rPr>
          <w:spacing w:val="-5"/>
        </w:rPr>
        <w:t> </w:t>
      </w:r>
      <w:r>
        <w:rPr/>
        <w:t>Massachusetts residents,</w:t>
      </w:r>
      <w:r>
        <w:rPr>
          <w:spacing w:val="-7"/>
        </w:rPr>
        <w:t> </w:t>
      </w:r>
      <w:r>
        <w:rPr/>
        <w:t>including</w:t>
      </w:r>
      <w:r>
        <w:rPr>
          <w:spacing w:val="-7"/>
        </w:rPr>
        <w:t> </w:t>
      </w:r>
      <w:r>
        <w:rPr>
          <w:color w:val="404040"/>
        </w:rPr>
        <w:t>first-generation</w:t>
      </w:r>
      <w:r>
        <w:rPr/>
        <w:t>,</w:t>
      </w:r>
      <w:r>
        <w:rPr>
          <w:spacing w:val="-7"/>
        </w:rPr>
        <w:t> </w:t>
      </w:r>
      <w:r>
        <w:rPr/>
        <w:t>undocumented,</w:t>
      </w:r>
      <w:r>
        <w:rPr>
          <w:spacing w:val="-7"/>
        </w:rPr>
        <w:t> </w:t>
      </w:r>
      <w:r>
        <w:rPr/>
        <w:t>asylee,</w:t>
      </w:r>
      <w:r>
        <w:rPr>
          <w:spacing w:val="-7"/>
        </w:rPr>
        <w:t> </w:t>
      </w:r>
      <w:r>
        <w:rPr/>
        <w:t>and</w:t>
      </w:r>
      <w:r>
        <w:rPr>
          <w:spacing w:val="-7"/>
        </w:rPr>
        <w:t> </w:t>
      </w:r>
      <w:r>
        <w:rPr/>
        <w:t>refugee</w:t>
      </w:r>
      <w:r>
        <w:rPr>
          <w:spacing w:val="-7"/>
        </w:rPr>
        <w:t> </w:t>
      </w:r>
      <w:r>
        <w:rPr/>
        <w:t>youth.</w:t>
      </w:r>
      <w:r>
        <w:rPr>
          <w:spacing w:val="-7"/>
        </w:rPr>
        <w:t> </w:t>
      </w:r>
      <w:r>
        <w:rPr/>
        <w:t>The</w:t>
      </w:r>
      <w:r>
        <w:rPr>
          <w:spacing w:val="-7"/>
        </w:rPr>
        <w:t> </w:t>
      </w:r>
      <w:r>
        <w:rPr/>
        <w:t>Commission</w:t>
      </w:r>
      <w:r>
        <w:rPr>
          <w:spacing w:val="-7"/>
        </w:rPr>
        <w:t> </w:t>
      </w:r>
      <w:r>
        <w:rPr/>
        <w:t>uses the term ‘foreign-born’ throughout this report to encompass </w:t>
      </w:r>
      <w:r>
        <w:rPr>
          <w:color w:val="404040"/>
        </w:rPr>
        <w:t>the experiences </w:t>
      </w:r>
      <w:r>
        <w:rPr/>
        <w:t>of those who are legal residents and undocumented residents, as well as those who may have only temporarily migrated to the state. As detailed throughout this section, there are many reasons that LGBTQ individuals and families may immigrate to the U.S., including to escape persecution, violence, and discrimination in their</w:t>
      </w:r>
      <w:r>
        <w:rPr>
          <w:spacing w:val="-7"/>
        </w:rPr>
        <w:t> </w:t>
      </w:r>
      <w:r>
        <w:rPr/>
        <w:t>country</w:t>
      </w:r>
      <w:r>
        <w:rPr>
          <w:spacing w:val="-7"/>
        </w:rPr>
        <w:t> </w:t>
      </w:r>
      <w:r>
        <w:rPr/>
        <w:t>of</w:t>
      </w:r>
      <w:r>
        <w:rPr>
          <w:spacing w:val="-9"/>
        </w:rPr>
        <w:t> </w:t>
      </w:r>
      <w:r>
        <w:rPr/>
        <w:t>origin.</w:t>
      </w:r>
      <w:r>
        <w:rPr>
          <w:spacing w:val="-9"/>
        </w:rPr>
        <w:t> </w:t>
      </w:r>
      <w:r>
        <w:rPr/>
        <w:t>While</w:t>
      </w:r>
      <w:r>
        <w:rPr>
          <w:spacing w:val="-9"/>
        </w:rPr>
        <w:t> </w:t>
      </w:r>
      <w:r>
        <w:rPr/>
        <w:t>Massachusetts</w:t>
      </w:r>
      <w:r>
        <w:rPr>
          <w:spacing w:val="-8"/>
        </w:rPr>
        <w:t> </w:t>
      </w:r>
      <w:r>
        <w:rPr/>
        <w:t>has</w:t>
      </w:r>
      <w:r>
        <w:rPr>
          <w:spacing w:val="-8"/>
        </w:rPr>
        <w:t> </w:t>
      </w:r>
      <w:r>
        <w:rPr/>
        <w:t>made</w:t>
      </w:r>
      <w:r>
        <w:rPr>
          <w:spacing w:val="-9"/>
        </w:rPr>
        <w:t> </w:t>
      </w:r>
      <w:r>
        <w:rPr/>
        <w:t>great</w:t>
      </w:r>
      <w:r>
        <w:rPr>
          <w:spacing w:val="-9"/>
        </w:rPr>
        <w:t> </w:t>
      </w:r>
      <w:r>
        <w:rPr/>
        <w:t>strides</w:t>
      </w:r>
      <w:r>
        <w:rPr>
          <w:spacing w:val="-8"/>
        </w:rPr>
        <w:t> </w:t>
      </w:r>
      <w:r>
        <w:rPr/>
        <w:t>in</w:t>
      </w:r>
      <w:r>
        <w:rPr>
          <w:spacing w:val="-9"/>
        </w:rPr>
        <w:t> </w:t>
      </w:r>
      <w:r>
        <w:rPr/>
        <w:t>recent</w:t>
      </w:r>
      <w:r>
        <w:rPr>
          <w:spacing w:val="-9"/>
        </w:rPr>
        <w:t> </w:t>
      </w:r>
      <w:r>
        <w:rPr/>
        <w:t>years</w:t>
      </w:r>
      <w:r>
        <w:rPr>
          <w:spacing w:val="-8"/>
        </w:rPr>
        <w:t> </w:t>
      </w:r>
      <w:r>
        <w:rPr/>
        <w:t>towards</w:t>
      </w:r>
      <w:r>
        <w:rPr>
          <w:spacing w:val="-8"/>
        </w:rPr>
        <w:t> </w:t>
      </w:r>
      <w:r>
        <w:rPr/>
        <w:t>improving its</w:t>
      </w:r>
      <w:r>
        <w:rPr>
          <w:spacing w:val="-7"/>
        </w:rPr>
        <w:t> </w:t>
      </w:r>
      <w:r>
        <w:rPr/>
        <w:t>service</w:t>
      </w:r>
      <w:r>
        <w:rPr>
          <w:spacing w:val="-8"/>
        </w:rPr>
        <w:t> </w:t>
      </w:r>
      <w:r>
        <w:rPr/>
        <w:t>provision</w:t>
      </w:r>
      <w:r>
        <w:rPr>
          <w:spacing w:val="-8"/>
        </w:rPr>
        <w:t> </w:t>
      </w:r>
      <w:r>
        <w:rPr/>
        <w:t>for</w:t>
      </w:r>
      <w:r>
        <w:rPr>
          <w:spacing w:val="-8"/>
        </w:rPr>
        <w:t> </w:t>
      </w:r>
      <w:r>
        <w:rPr/>
        <w:t>these</w:t>
      </w:r>
      <w:r>
        <w:rPr>
          <w:spacing w:val="-8"/>
        </w:rPr>
        <w:t> </w:t>
      </w:r>
      <w:r>
        <w:rPr/>
        <w:t>communities,</w:t>
      </w:r>
      <w:r>
        <w:rPr>
          <w:spacing w:val="-7"/>
        </w:rPr>
        <w:t> </w:t>
      </w:r>
      <w:r>
        <w:rPr/>
        <w:t>further</w:t>
      </w:r>
      <w:r>
        <w:rPr>
          <w:spacing w:val="-8"/>
        </w:rPr>
        <w:t> </w:t>
      </w:r>
      <w:r>
        <w:rPr/>
        <w:t>steps</w:t>
      </w:r>
      <w:r>
        <w:rPr>
          <w:spacing w:val="-7"/>
        </w:rPr>
        <w:t> </w:t>
      </w:r>
      <w:r>
        <w:rPr/>
        <w:t>should</w:t>
      </w:r>
      <w:r>
        <w:rPr>
          <w:spacing w:val="-8"/>
        </w:rPr>
        <w:t> </w:t>
      </w:r>
      <w:r>
        <w:rPr/>
        <w:t>still</w:t>
      </w:r>
      <w:r>
        <w:rPr>
          <w:spacing w:val="-8"/>
        </w:rPr>
        <w:t> </w:t>
      </w:r>
      <w:r>
        <w:rPr/>
        <w:t>be</w:t>
      </w:r>
      <w:r>
        <w:rPr>
          <w:spacing w:val="-7"/>
        </w:rPr>
        <w:t> </w:t>
      </w:r>
      <w:r>
        <w:rPr/>
        <w:t>taken</w:t>
      </w:r>
      <w:r>
        <w:rPr>
          <w:spacing w:val="-8"/>
        </w:rPr>
        <w:t> </w:t>
      </w:r>
      <w:r>
        <w:rPr/>
        <w:t>to</w:t>
      </w:r>
      <w:r>
        <w:rPr>
          <w:spacing w:val="-7"/>
        </w:rPr>
        <w:t> </w:t>
      </w:r>
      <w:r>
        <w:rPr/>
        <w:t>ensure</w:t>
      </w:r>
      <w:r>
        <w:rPr>
          <w:spacing w:val="-8"/>
        </w:rPr>
        <w:t> </w:t>
      </w:r>
      <w:r>
        <w:rPr/>
        <w:t>that</w:t>
      </w:r>
      <w:r>
        <w:rPr>
          <w:spacing w:val="-7"/>
        </w:rPr>
        <w:t> </w:t>
      </w:r>
      <w:r>
        <w:rPr/>
        <w:t>all</w:t>
      </w:r>
      <w:r>
        <w:rPr>
          <w:spacing w:val="-8"/>
        </w:rPr>
        <w:t> </w:t>
      </w:r>
      <w:r>
        <w:rPr/>
        <w:t>LGBTQ youth can thrive.</w:t>
      </w:r>
    </w:p>
    <w:p>
      <w:pPr>
        <w:spacing w:before="238"/>
        <w:ind w:left="604" w:right="0" w:firstLine="0"/>
        <w:jc w:val="both"/>
        <w:rPr>
          <w:sz w:val="25"/>
        </w:rPr>
      </w:pPr>
      <w:bookmarkStart w:name="FY 2025 Recommendations to the Governor " w:id="61"/>
      <w:bookmarkEnd w:id="61"/>
      <w:r>
        <w:rPr/>
      </w:r>
      <w:r>
        <w:rPr>
          <w:color w:val="404040"/>
          <w:sz w:val="25"/>
        </w:rPr>
        <w:t>FY</w:t>
      </w:r>
      <w:r>
        <w:rPr>
          <w:color w:val="404040"/>
          <w:spacing w:val="-10"/>
          <w:sz w:val="25"/>
        </w:rPr>
        <w:t> </w:t>
      </w:r>
      <w:r>
        <w:rPr>
          <w:color w:val="404040"/>
          <w:sz w:val="25"/>
        </w:rPr>
        <w:t>2025</w:t>
      </w:r>
      <w:r>
        <w:rPr>
          <w:color w:val="404040"/>
          <w:spacing w:val="-9"/>
          <w:sz w:val="25"/>
        </w:rPr>
        <w:t> </w:t>
      </w:r>
      <w:r>
        <w:rPr>
          <w:color w:val="404040"/>
          <w:sz w:val="25"/>
        </w:rPr>
        <w:t>Recommendations</w:t>
      </w:r>
      <w:r>
        <w:rPr>
          <w:color w:val="404040"/>
          <w:spacing w:val="-10"/>
          <w:sz w:val="25"/>
        </w:rPr>
        <w:t> </w:t>
      </w:r>
      <w:r>
        <w:rPr>
          <w:color w:val="404040"/>
          <w:sz w:val="25"/>
        </w:rPr>
        <w:t>to</w:t>
      </w:r>
      <w:r>
        <w:rPr>
          <w:color w:val="404040"/>
          <w:spacing w:val="-8"/>
          <w:sz w:val="25"/>
        </w:rPr>
        <w:t> </w:t>
      </w:r>
      <w:r>
        <w:rPr>
          <w:color w:val="404040"/>
          <w:sz w:val="25"/>
        </w:rPr>
        <w:t>the</w:t>
      </w:r>
      <w:r>
        <w:rPr>
          <w:color w:val="404040"/>
          <w:spacing w:val="-8"/>
          <w:sz w:val="25"/>
        </w:rPr>
        <w:t> </w:t>
      </w:r>
      <w:r>
        <w:rPr>
          <w:color w:val="404040"/>
          <w:sz w:val="25"/>
        </w:rPr>
        <w:t>Governor</w:t>
      </w:r>
      <w:r>
        <w:rPr>
          <w:color w:val="404040"/>
          <w:spacing w:val="-8"/>
          <w:sz w:val="25"/>
        </w:rPr>
        <w:t> </w:t>
      </w:r>
      <w:r>
        <w:rPr>
          <w:color w:val="404040"/>
          <w:sz w:val="25"/>
        </w:rPr>
        <w:t>&amp;</w:t>
      </w:r>
      <w:r>
        <w:rPr>
          <w:color w:val="404040"/>
          <w:spacing w:val="-9"/>
          <w:sz w:val="25"/>
        </w:rPr>
        <w:t> </w:t>
      </w:r>
      <w:r>
        <w:rPr>
          <w:color w:val="404040"/>
          <w:sz w:val="25"/>
        </w:rPr>
        <w:t>Legislature</w:t>
      </w:r>
      <w:r>
        <w:rPr>
          <w:color w:val="404040"/>
          <w:spacing w:val="-9"/>
          <w:sz w:val="25"/>
        </w:rPr>
        <w:t> </w:t>
      </w:r>
      <w:r>
        <w:rPr>
          <w:color w:val="404040"/>
          <w:sz w:val="25"/>
        </w:rPr>
        <w:t>on</w:t>
      </w:r>
      <w:r>
        <w:rPr>
          <w:color w:val="404040"/>
          <w:spacing w:val="-9"/>
          <w:sz w:val="25"/>
        </w:rPr>
        <w:t> </w:t>
      </w:r>
      <w:r>
        <w:rPr>
          <w:color w:val="404040"/>
          <w:sz w:val="25"/>
        </w:rPr>
        <w:t>Foreign-Born</w:t>
      </w:r>
      <w:r>
        <w:rPr>
          <w:color w:val="404040"/>
          <w:spacing w:val="-9"/>
          <w:sz w:val="25"/>
        </w:rPr>
        <w:t> </w:t>
      </w:r>
      <w:r>
        <w:rPr>
          <w:color w:val="404040"/>
          <w:sz w:val="25"/>
        </w:rPr>
        <w:t>LGBTQ</w:t>
      </w:r>
      <w:r>
        <w:rPr>
          <w:color w:val="404040"/>
          <w:spacing w:val="-10"/>
          <w:sz w:val="25"/>
        </w:rPr>
        <w:t> </w:t>
      </w:r>
      <w:r>
        <w:rPr>
          <w:color w:val="404040"/>
          <w:spacing w:val="-2"/>
          <w:sz w:val="25"/>
        </w:rPr>
        <w:t>Youth</w:t>
      </w:r>
    </w:p>
    <w:p>
      <w:pPr>
        <w:pStyle w:val="ListParagraph"/>
        <w:numPr>
          <w:ilvl w:val="0"/>
          <w:numId w:val="11"/>
        </w:numPr>
        <w:tabs>
          <w:tab w:pos="1178" w:val="left" w:leader="none"/>
          <w:tab w:pos="1180" w:val="left" w:leader="none"/>
        </w:tabs>
        <w:spacing w:line="276" w:lineRule="auto" w:before="288" w:after="0"/>
        <w:ind w:left="1180" w:right="639" w:hanging="361"/>
        <w:jc w:val="left"/>
        <w:rPr>
          <w:sz w:val="22"/>
        </w:rPr>
      </w:pPr>
      <w:bookmarkStart w:name="1. Improve the availability of multiling" w:id="62"/>
      <w:bookmarkEnd w:id="62"/>
      <w:r>
        <w:rPr/>
      </w:r>
      <w:r>
        <w:rPr>
          <w:sz w:val="22"/>
        </w:rPr>
        <w:t>Improve the availability of multilingual, LGBTQ-affirming services for foreign-born residents, and increase funding for existing programs.</w:t>
      </w:r>
    </w:p>
    <w:p>
      <w:pPr>
        <w:pStyle w:val="ListParagraph"/>
        <w:numPr>
          <w:ilvl w:val="0"/>
          <w:numId w:val="11"/>
        </w:numPr>
        <w:tabs>
          <w:tab w:pos="1179" w:val="left" w:leader="none"/>
        </w:tabs>
        <w:spacing w:line="240" w:lineRule="auto" w:before="239" w:after="0"/>
        <w:ind w:left="1179" w:right="0" w:hanging="359"/>
        <w:jc w:val="left"/>
        <w:rPr>
          <w:sz w:val="22"/>
        </w:rPr>
      </w:pPr>
      <w:bookmarkStart w:name="2. Establish an LGBTQ Immigrant &amp; Refuge" w:id="63"/>
      <w:bookmarkEnd w:id="63"/>
      <w:r>
        <w:rPr/>
      </w:r>
      <w:r>
        <w:rPr>
          <w:sz w:val="22"/>
        </w:rPr>
        <w:t>Establish</w:t>
      </w:r>
      <w:r>
        <w:rPr>
          <w:spacing w:val="-8"/>
          <w:sz w:val="22"/>
        </w:rPr>
        <w:t> </w:t>
      </w:r>
      <w:r>
        <w:rPr>
          <w:sz w:val="22"/>
        </w:rPr>
        <w:t>an</w:t>
      </w:r>
      <w:r>
        <w:rPr>
          <w:spacing w:val="-7"/>
          <w:sz w:val="22"/>
        </w:rPr>
        <w:t> </w:t>
      </w:r>
      <w:r>
        <w:rPr>
          <w:sz w:val="22"/>
        </w:rPr>
        <w:t>LGBTQ</w:t>
      </w:r>
      <w:r>
        <w:rPr>
          <w:spacing w:val="-7"/>
          <w:sz w:val="22"/>
        </w:rPr>
        <w:t> </w:t>
      </w:r>
      <w:r>
        <w:rPr>
          <w:sz w:val="22"/>
        </w:rPr>
        <w:t>Immigrant</w:t>
      </w:r>
      <w:r>
        <w:rPr>
          <w:spacing w:val="-8"/>
          <w:sz w:val="22"/>
        </w:rPr>
        <w:t> </w:t>
      </w:r>
      <w:r>
        <w:rPr>
          <w:sz w:val="22"/>
        </w:rPr>
        <w:t>&amp;</w:t>
      </w:r>
      <w:r>
        <w:rPr>
          <w:spacing w:val="-7"/>
          <w:sz w:val="22"/>
        </w:rPr>
        <w:t> </w:t>
      </w:r>
      <w:r>
        <w:rPr>
          <w:sz w:val="22"/>
        </w:rPr>
        <w:t>Refugee</w:t>
      </w:r>
      <w:r>
        <w:rPr>
          <w:spacing w:val="-8"/>
          <w:sz w:val="22"/>
        </w:rPr>
        <w:t> </w:t>
      </w:r>
      <w:r>
        <w:rPr>
          <w:sz w:val="22"/>
        </w:rPr>
        <w:t>Task</w:t>
      </w:r>
      <w:r>
        <w:rPr>
          <w:spacing w:val="-7"/>
          <w:sz w:val="22"/>
        </w:rPr>
        <w:t> </w:t>
      </w:r>
      <w:r>
        <w:rPr>
          <w:spacing w:val="-2"/>
          <w:sz w:val="22"/>
        </w:rPr>
        <w:t>Force.</w:t>
      </w:r>
    </w:p>
    <w:p>
      <w:pPr>
        <w:pStyle w:val="BodyText"/>
        <w:spacing w:before="12"/>
      </w:pPr>
    </w:p>
    <w:p>
      <w:pPr>
        <w:pStyle w:val="ListParagraph"/>
        <w:numPr>
          <w:ilvl w:val="0"/>
          <w:numId w:val="11"/>
        </w:numPr>
        <w:tabs>
          <w:tab w:pos="1179" w:val="left" w:leader="none"/>
        </w:tabs>
        <w:spacing w:line="240" w:lineRule="auto" w:before="0" w:after="0"/>
        <w:ind w:left="1179" w:right="0" w:hanging="359"/>
        <w:jc w:val="left"/>
        <w:rPr>
          <w:sz w:val="22"/>
        </w:rPr>
      </w:pPr>
      <w:bookmarkStart w:name="3. Address the concerning lack of SOGIE " w:id="64"/>
      <w:bookmarkEnd w:id="64"/>
      <w:r>
        <w:rPr/>
      </w:r>
      <w:r>
        <w:rPr>
          <w:sz w:val="22"/>
        </w:rPr>
        <w:t>Address</w:t>
      </w:r>
      <w:r>
        <w:rPr>
          <w:spacing w:val="-7"/>
          <w:sz w:val="22"/>
        </w:rPr>
        <w:t> </w:t>
      </w:r>
      <w:r>
        <w:rPr>
          <w:sz w:val="22"/>
        </w:rPr>
        <w:t>the</w:t>
      </w:r>
      <w:r>
        <w:rPr>
          <w:spacing w:val="-6"/>
          <w:sz w:val="22"/>
        </w:rPr>
        <w:t> </w:t>
      </w:r>
      <w:r>
        <w:rPr>
          <w:sz w:val="22"/>
        </w:rPr>
        <w:t>concerning</w:t>
      </w:r>
      <w:r>
        <w:rPr>
          <w:spacing w:val="-7"/>
          <w:sz w:val="22"/>
        </w:rPr>
        <w:t> </w:t>
      </w:r>
      <w:r>
        <w:rPr>
          <w:sz w:val="22"/>
        </w:rPr>
        <w:t>lack</w:t>
      </w:r>
      <w:r>
        <w:rPr>
          <w:spacing w:val="-6"/>
          <w:sz w:val="22"/>
        </w:rPr>
        <w:t> </w:t>
      </w:r>
      <w:r>
        <w:rPr>
          <w:sz w:val="22"/>
        </w:rPr>
        <w:t>of</w:t>
      </w:r>
      <w:r>
        <w:rPr>
          <w:spacing w:val="-7"/>
          <w:sz w:val="22"/>
        </w:rPr>
        <w:t> </w:t>
      </w:r>
      <w:r>
        <w:rPr>
          <w:sz w:val="22"/>
        </w:rPr>
        <w:t>SOGIE</w:t>
      </w:r>
      <w:r>
        <w:rPr>
          <w:spacing w:val="-6"/>
          <w:sz w:val="22"/>
        </w:rPr>
        <w:t> </w:t>
      </w:r>
      <w:r>
        <w:rPr>
          <w:sz w:val="22"/>
        </w:rPr>
        <w:t>data</w:t>
      </w:r>
      <w:r>
        <w:rPr>
          <w:spacing w:val="-6"/>
          <w:sz w:val="22"/>
        </w:rPr>
        <w:t> </w:t>
      </w:r>
      <w:r>
        <w:rPr>
          <w:sz w:val="22"/>
        </w:rPr>
        <w:t>collection</w:t>
      </w:r>
      <w:r>
        <w:rPr>
          <w:spacing w:val="-5"/>
          <w:sz w:val="22"/>
        </w:rPr>
        <w:t> </w:t>
      </w:r>
      <w:r>
        <w:rPr>
          <w:sz w:val="22"/>
        </w:rPr>
        <w:t>at</w:t>
      </w:r>
      <w:r>
        <w:rPr>
          <w:spacing w:val="-7"/>
          <w:sz w:val="22"/>
        </w:rPr>
        <w:t> </w:t>
      </w:r>
      <w:r>
        <w:rPr>
          <w:sz w:val="22"/>
        </w:rPr>
        <w:t>the</w:t>
      </w:r>
      <w:r>
        <w:rPr>
          <w:spacing w:val="-7"/>
          <w:sz w:val="22"/>
        </w:rPr>
        <w:t> </w:t>
      </w:r>
      <w:r>
        <w:rPr>
          <w:sz w:val="22"/>
        </w:rPr>
        <w:t>state</w:t>
      </w:r>
      <w:r>
        <w:rPr>
          <w:spacing w:val="-6"/>
          <w:sz w:val="22"/>
        </w:rPr>
        <w:t> </w:t>
      </w:r>
      <w:r>
        <w:rPr>
          <w:spacing w:val="-2"/>
          <w:sz w:val="22"/>
        </w:rPr>
        <w:t>level.</w:t>
      </w:r>
    </w:p>
    <w:p>
      <w:pPr>
        <w:pStyle w:val="BodyText"/>
        <w:spacing w:before="11"/>
      </w:pPr>
    </w:p>
    <w:p>
      <w:pPr>
        <w:pStyle w:val="ListParagraph"/>
        <w:numPr>
          <w:ilvl w:val="0"/>
          <w:numId w:val="11"/>
        </w:numPr>
        <w:tabs>
          <w:tab w:pos="1179" w:val="left" w:leader="none"/>
        </w:tabs>
        <w:spacing w:line="240" w:lineRule="auto" w:before="0" w:after="0"/>
        <w:ind w:left="1179" w:right="0" w:hanging="359"/>
        <w:jc w:val="left"/>
        <w:rPr>
          <w:sz w:val="22"/>
        </w:rPr>
      </w:pPr>
      <w:bookmarkStart w:name="4. Protect and support undocumented yout" w:id="65"/>
      <w:bookmarkEnd w:id="65"/>
      <w:r>
        <w:rPr/>
      </w:r>
      <w:r>
        <w:rPr>
          <w:sz w:val="22"/>
        </w:rPr>
        <w:t>Protect</w:t>
      </w:r>
      <w:r>
        <w:rPr>
          <w:spacing w:val="-12"/>
          <w:sz w:val="22"/>
        </w:rPr>
        <w:t> </w:t>
      </w:r>
      <w:r>
        <w:rPr>
          <w:sz w:val="22"/>
        </w:rPr>
        <w:t>and</w:t>
      </w:r>
      <w:r>
        <w:rPr>
          <w:spacing w:val="-11"/>
          <w:sz w:val="22"/>
        </w:rPr>
        <w:t> </w:t>
      </w:r>
      <w:r>
        <w:rPr>
          <w:sz w:val="22"/>
        </w:rPr>
        <w:t>support</w:t>
      </w:r>
      <w:r>
        <w:rPr>
          <w:spacing w:val="-10"/>
          <w:sz w:val="22"/>
        </w:rPr>
        <w:t> </w:t>
      </w:r>
      <w:r>
        <w:rPr>
          <w:sz w:val="22"/>
        </w:rPr>
        <w:t>undocumented</w:t>
      </w:r>
      <w:r>
        <w:rPr>
          <w:spacing w:val="-10"/>
          <w:sz w:val="22"/>
        </w:rPr>
        <w:t> </w:t>
      </w:r>
      <w:r>
        <w:rPr>
          <w:spacing w:val="-2"/>
          <w:sz w:val="22"/>
        </w:rPr>
        <w:t>youth.</w:t>
      </w:r>
    </w:p>
    <w:p>
      <w:pPr>
        <w:spacing w:after="0" w:line="240" w:lineRule="auto"/>
        <w:jc w:val="left"/>
        <w:rPr>
          <w:sz w:val="22"/>
        </w:rPr>
        <w:sectPr>
          <w:headerReference w:type="default" r:id="rId38"/>
          <w:footerReference w:type="default" r:id="rId39"/>
          <w:pgSz w:w="12240" w:h="15840"/>
          <w:pgMar w:header="0" w:footer="1061" w:top="1140" w:bottom="1260" w:left="980" w:right="1160"/>
        </w:sectPr>
      </w:pPr>
    </w:p>
    <w:p>
      <w:pPr>
        <w:spacing w:before="29"/>
        <w:ind w:left="604" w:right="0" w:firstLine="0"/>
        <w:jc w:val="both"/>
        <w:rPr>
          <w:sz w:val="28"/>
        </w:rPr>
      </w:pPr>
      <w:bookmarkStart w:name="Understanding Environmental Justice (202" w:id="66"/>
      <w:bookmarkEnd w:id="66"/>
      <w:r>
        <w:rPr/>
      </w:r>
      <w:r>
        <w:rPr>
          <w:color w:val="365F91"/>
          <w:spacing w:val="-2"/>
          <w:sz w:val="28"/>
        </w:rPr>
        <w:t>Understanding</w:t>
      </w:r>
      <w:r>
        <w:rPr>
          <w:color w:val="365F91"/>
          <w:spacing w:val="3"/>
          <w:sz w:val="28"/>
        </w:rPr>
        <w:t> </w:t>
      </w:r>
      <w:r>
        <w:rPr>
          <w:color w:val="365F91"/>
          <w:spacing w:val="-2"/>
          <w:sz w:val="28"/>
        </w:rPr>
        <w:t>Environmental</w:t>
      </w:r>
      <w:r>
        <w:rPr>
          <w:color w:val="365F91"/>
          <w:spacing w:val="3"/>
          <w:sz w:val="28"/>
        </w:rPr>
        <w:t> </w:t>
      </w:r>
      <w:r>
        <w:rPr>
          <w:color w:val="365F91"/>
          <w:spacing w:val="-2"/>
          <w:sz w:val="28"/>
        </w:rPr>
        <w:t>Justice</w:t>
      </w:r>
      <w:r>
        <w:rPr>
          <w:color w:val="365F91"/>
          <w:spacing w:val="3"/>
          <w:sz w:val="28"/>
        </w:rPr>
        <w:t> </w:t>
      </w:r>
      <w:r>
        <w:rPr>
          <w:color w:val="365F91"/>
          <w:spacing w:val="-2"/>
          <w:sz w:val="28"/>
        </w:rPr>
        <w:t>(2023)</w:t>
      </w:r>
    </w:p>
    <w:p>
      <w:pPr>
        <w:pStyle w:val="BodyText"/>
        <w:spacing w:line="276" w:lineRule="auto" w:before="293"/>
        <w:ind w:left="604" w:right="420"/>
        <w:jc w:val="both"/>
      </w:pPr>
      <w:r>
        <w:rPr/>
        <w:t>Research examining the environmental justice needs of LGBTQ communities is still emerging, but a growing</w:t>
      </w:r>
      <w:r>
        <w:rPr>
          <w:spacing w:val="-6"/>
        </w:rPr>
        <w:t> </w:t>
      </w:r>
      <w:r>
        <w:rPr/>
        <w:t>body</w:t>
      </w:r>
      <w:r>
        <w:rPr>
          <w:spacing w:val="-4"/>
        </w:rPr>
        <w:t> </w:t>
      </w:r>
      <w:r>
        <w:rPr/>
        <w:t>of</w:t>
      </w:r>
      <w:r>
        <w:rPr>
          <w:spacing w:val="-5"/>
        </w:rPr>
        <w:t> </w:t>
      </w:r>
      <w:r>
        <w:rPr/>
        <w:t>evidence</w:t>
      </w:r>
      <w:r>
        <w:rPr>
          <w:spacing w:val="-6"/>
        </w:rPr>
        <w:t> </w:t>
      </w:r>
      <w:r>
        <w:rPr/>
        <w:t>indicates</w:t>
      </w:r>
      <w:r>
        <w:rPr>
          <w:spacing w:val="-5"/>
        </w:rPr>
        <w:t> </w:t>
      </w:r>
      <w:r>
        <w:rPr/>
        <w:t>that</w:t>
      </w:r>
      <w:r>
        <w:rPr>
          <w:spacing w:val="-5"/>
        </w:rPr>
        <w:t> </w:t>
      </w:r>
      <w:r>
        <w:rPr/>
        <w:t>environmental</w:t>
      </w:r>
      <w:r>
        <w:rPr>
          <w:spacing w:val="-5"/>
        </w:rPr>
        <w:t> </w:t>
      </w:r>
      <w:r>
        <w:rPr/>
        <w:t>justice</w:t>
      </w:r>
      <w:r>
        <w:rPr>
          <w:spacing w:val="-4"/>
        </w:rPr>
        <w:t> </w:t>
      </w:r>
      <w:r>
        <w:rPr/>
        <w:t>is</w:t>
      </w:r>
      <w:r>
        <w:rPr>
          <w:spacing w:val="-5"/>
        </w:rPr>
        <w:t> </w:t>
      </w:r>
      <w:r>
        <w:rPr/>
        <w:t>a</w:t>
      </w:r>
      <w:r>
        <w:rPr>
          <w:spacing w:val="-4"/>
        </w:rPr>
        <w:t> </w:t>
      </w:r>
      <w:r>
        <w:rPr/>
        <w:t>key</w:t>
      </w:r>
      <w:r>
        <w:rPr>
          <w:spacing w:val="-5"/>
        </w:rPr>
        <w:t> </w:t>
      </w:r>
      <w:r>
        <w:rPr/>
        <w:t>element</w:t>
      </w:r>
      <w:r>
        <w:rPr>
          <w:spacing w:val="-5"/>
        </w:rPr>
        <w:t> </w:t>
      </w:r>
      <w:r>
        <w:rPr/>
        <w:t>of</w:t>
      </w:r>
      <w:r>
        <w:rPr>
          <w:spacing w:val="-5"/>
        </w:rPr>
        <w:t> </w:t>
      </w:r>
      <w:r>
        <w:rPr/>
        <w:t>the</w:t>
      </w:r>
      <w:r>
        <w:rPr>
          <w:spacing w:val="-4"/>
        </w:rPr>
        <w:t> </w:t>
      </w:r>
      <w:r>
        <w:rPr/>
        <w:t>complex</w:t>
      </w:r>
      <w:r>
        <w:rPr>
          <w:spacing w:val="-6"/>
        </w:rPr>
        <w:t> </w:t>
      </w:r>
      <w:r>
        <w:rPr/>
        <w:t>web</w:t>
      </w:r>
      <w:r>
        <w:rPr>
          <w:spacing w:val="-6"/>
        </w:rPr>
        <w:t> </w:t>
      </w:r>
      <w:r>
        <w:rPr/>
        <w:t>of inequities that impact the health and well-being of LGBTQ youth, particularly LGBTQ youth of color and Indigenous, immigrant, disabled, and low-income LGBTQ youth. The necessity of examining the undue environmental burdens placed on LGBTQ youth is undeniable; exposure to environmental stressors such as air pollution and toxic chemicals exacerbates the health and economic inequalities LGBTQ communities already face. Those who hold multiple marginalized identities, such as QTBIPOC youth, experience compounding effects from multiple overlapping systems of oppression.</w:t>
      </w:r>
    </w:p>
    <w:p>
      <w:pPr>
        <w:pStyle w:val="BodyText"/>
        <w:spacing w:line="276" w:lineRule="auto" w:before="239"/>
        <w:ind w:left="603" w:right="421"/>
        <w:jc w:val="both"/>
      </w:pPr>
      <w:r>
        <w:rPr/>
        <w:t>Developing a more complete picture of the burdens and injustices faced by LGBTQ youth in Massachusetts, a population which itself holds great diversity, requires bringing intersectionality to the forefront and understanding the interactions between the multiple social, economic, environmental, and institutional systems that impact LGBTQ youth. As environmental justice and climate justice become increasingly high policy priorities in Massachusetts under the leadership of Governor Maura Healey, we must make sure that the needs of diverse LGBTQ communities are meaningfully incorporated into environmental and climate policymaking.</w:t>
      </w:r>
    </w:p>
    <w:p>
      <w:pPr>
        <w:pStyle w:val="BodyText"/>
        <w:spacing w:line="276" w:lineRule="auto" w:before="240"/>
        <w:ind w:left="604" w:right="424"/>
        <w:jc w:val="both"/>
      </w:pPr>
      <w:bookmarkStart w:name="In this section of the Commission’s annu" w:id="67"/>
      <w:bookmarkEnd w:id="67"/>
      <w:r>
        <w:rPr/>
      </w:r>
      <w:r>
        <w:rPr/>
        <w:t>In</w:t>
      </w:r>
      <w:r>
        <w:rPr>
          <w:spacing w:val="-1"/>
        </w:rPr>
        <w:t> </w:t>
      </w:r>
      <w:r>
        <w:rPr/>
        <w:t>this section</w:t>
      </w:r>
      <w:r>
        <w:rPr>
          <w:spacing w:val="-1"/>
        </w:rPr>
        <w:t> </w:t>
      </w:r>
      <w:r>
        <w:rPr/>
        <w:t>of the</w:t>
      </w:r>
      <w:r>
        <w:rPr>
          <w:spacing w:val="-1"/>
        </w:rPr>
        <w:t> </w:t>
      </w:r>
      <w:r>
        <w:rPr/>
        <w:t>Commission’s annual</w:t>
      </w:r>
      <w:r>
        <w:rPr>
          <w:spacing w:val="-1"/>
        </w:rPr>
        <w:t> </w:t>
      </w:r>
      <w:r>
        <w:rPr/>
        <w:t>report, the</w:t>
      </w:r>
      <w:r>
        <w:rPr>
          <w:spacing w:val="-1"/>
        </w:rPr>
        <w:t> </w:t>
      </w:r>
      <w:r>
        <w:rPr/>
        <w:t>environmental</w:t>
      </w:r>
      <w:r>
        <w:rPr>
          <w:spacing w:val="-1"/>
        </w:rPr>
        <w:t> </w:t>
      </w:r>
      <w:r>
        <w:rPr/>
        <w:t>justice needs of LGBTQ</w:t>
      </w:r>
      <w:r>
        <w:rPr>
          <w:spacing w:val="-1"/>
        </w:rPr>
        <w:t> </w:t>
      </w:r>
      <w:r>
        <w:rPr/>
        <w:t>youth</w:t>
      </w:r>
      <w:r>
        <w:rPr>
          <w:spacing w:val="-1"/>
        </w:rPr>
        <w:t> </w:t>
      </w:r>
      <w:r>
        <w:rPr/>
        <w:t>in Massachusetts will be explored.</w:t>
      </w:r>
    </w:p>
    <w:p>
      <w:pPr>
        <w:spacing w:before="240"/>
        <w:ind w:left="604" w:right="0" w:firstLine="0"/>
        <w:jc w:val="both"/>
        <w:rPr>
          <w:sz w:val="25"/>
        </w:rPr>
      </w:pPr>
      <w:bookmarkStart w:name="FY 2025 Recommendations to the Governor " w:id="68"/>
      <w:bookmarkEnd w:id="68"/>
      <w:r>
        <w:rPr/>
      </w:r>
      <w:r>
        <w:rPr>
          <w:color w:val="404040"/>
          <w:sz w:val="25"/>
        </w:rPr>
        <w:t>FY</w:t>
      </w:r>
      <w:r>
        <w:rPr>
          <w:color w:val="404040"/>
          <w:spacing w:val="-10"/>
          <w:sz w:val="25"/>
        </w:rPr>
        <w:t> </w:t>
      </w:r>
      <w:r>
        <w:rPr>
          <w:color w:val="404040"/>
          <w:sz w:val="25"/>
        </w:rPr>
        <w:t>2025</w:t>
      </w:r>
      <w:r>
        <w:rPr>
          <w:color w:val="404040"/>
          <w:spacing w:val="-9"/>
          <w:sz w:val="25"/>
        </w:rPr>
        <w:t> </w:t>
      </w:r>
      <w:r>
        <w:rPr>
          <w:color w:val="404040"/>
          <w:sz w:val="25"/>
        </w:rPr>
        <w:t>Recommendations</w:t>
      </w:r>
      <w:r>
        <w:rPr>
          <w:color w:val="404040"/>
          <w:spacing w:val="-10"/>
          <w:sz w:val="25"/>
        </w:rPr>
        <w:t> </w:t>
      </w:r>
      <w:r>
        <w:rPr>
          <w:color w:val="404040"/>
          <w:sz w:val="25"/>
        </w:rPr>
        <w:t>to</w:t>
      </w:r>
      <w:r>
        <w:rPr>
          <w:color w:val="404040"/>
          <w:spacing w:val="-9"/>
          <w:sz w:val="25"/>
        </w:rPr>
        <w:t> </w:t>
      </w:r>
      <w:r>
        <w:rPr>
          <w:color w:val="404040"/>
          <w:sz w:val="25"/>
        </w:rPr>
        <w:t>the</w:t>
      </w:r>
      <w:r>
        <w:rPr>
          <w:color w:val="404040"/>
          <w:spacing w:val="-7"/>
          <w:sz w:val="25"/>
        </w:rPr>
        <w:t> </w:t>
      </w:r>
      <w:r>
        <w:rPr>
          <w:color w:val="404040"/>
          <w:sz w:val="25"/>
        </w:rPr>
        <w:t>Governor</w:t>
      </w:r>
      <w:r>
        <w:rPr>
          <w:color w:val="404040"/>
          <w:spacing w:val="-9"/>
          <w:sz w:val="25"/>
        </w:rPr>
        <w:t> </w:t>
      </w:r>
      <w:r>
        <w:rPr>
          <w:color w:val="404040"/>
          <w:sz w:val="25"/>
        </w:rPr>
        <w:t>&amp;</w:t>
      </w:r>
      <w:r>
        <w:rPr>
          <w:color w:val="404040"/>
          <w:spacing w:val="-9"/>
          <w:sz w:val="25"/>
        </w:rPr>
        <w:t> </w:t>
      </w:r>
      <w:r>
        <w:rPr>
          <w:color w:val="404040"/>
          <w:sz w:val="25"/>
        </w:rPr>
        <w:t>Legislature</w:t>
      </w:r>
      <w:r>
        <w:rPr>
          <w:color w:val="404040"/>
          <w:spacing w:val="-8"/>
          <w:sz w:val="25"/>
        </w:rPr>
        <w:t> </w:t>
      </w:r>
      <w:r>
        <w:rPr>
          <w:color w:val="404040"/>
          <w:sz w:val="25"/>
        </w:rPr>
        <w:t>on</w:t>
      </w:r>
      <w:r>
        <w:rPr>
          <w:color w:val="404040"/>
          <w:spacing w:val="-10"/>
          <w:sz w:val="25"/>
        </w:rPr>
        <w:t> </w:t>
      </w:r>
      <w:r>
        <w:rPr>
          <w:color w:val="404040"/>
          <w:sz w:val="25"/>
        </w:rPr>
        <w:t>Environmental</w:t>
      </w:r>
      <w:r>
        <w:rPr>
          <w:color w:val="404040"/>
          <w:spacing w:val="-8"/>
          <w:sz w:val="25"/>
        </w:rPr>
        <w:t> </w:t>
      </w:r>
      <w:r>
        <w:rPr>
          <w:color w:val="404040"/>
          <w:spacing w:val="-2"/>
          <w:sz w:val="25"/>
        </w:rPr>
        <w:t>Justice</w:t>
      </w:r>
    </w:p>
    <w:p>
      <w:pPr>
        <w:pStyle w:val="ListParagraph"/>
        <w:numPr>
          <w:ilvl w:val="0"/>
          <w:numId w:val="12"/>
        </w:numPr>
        <w:tabs>
          <w:tab w:pos="1048" w:val="left" w:leader="none"/>
          <w:tab w:pos="1050" w:val="left" w:leader="none"/>
        </w:tabs>
        <w:spacing w:line="276" w:lineRule="auto" w:before="286" w:after="0"/>
        <w:ind w:left="1050" w:right="639" w:hanging="231"/>
        <w:jc w:val="left"/>
        <w:rPr>
          <w:sz w:val="22"/>
        </w:rPr>
      </w:pPr>
      <w:bookmarkStart w:name="1. Expand existing policies and programs" w:id="69"/>
      <w:bookmarkEnd w:id="69"/>
      <w:r>
        <w:rPr/>
      </w:r>
      <w:r>
        <w:rPr>
          <w:sz w:val="22"/>
        </w:rPr>
        <w:t>Expand</w:t>
      </w:r>
      <w:r>
        <w:rPr>
          <w:spacing w:val="33"/>
          <w:sz w:val="22"/>
        </w:rPr>
        <w:t> </w:t>
      </w:r>
      <w:r>
        <w:rPr>
          <w:sz w:val="22"/>
        </w:rPr>
        <w:t>existing</w:t>
      </w:r>
      <w:r>
        <w:rPr>
          <w:spacing w:val="33"/>
          <w:sz w:val="22"/>
        </w:rPr>
        <w:t> </w:t>
      </w:r>
      <w:r>
        <w:rPr>
          <w:sz w:val="22"/>
        </w:rPr>
        <w:t>policies</w:t>
      </w:r>
      <w:r>
        <w:rPr>
          <w:spacing w:val="34"/>
          <w:sz w:val="22"/>
        </w:rPr>
        <w:t> </w:t>
      </w:r>
      <w:r>
        <w:rPr>
          <w:sz w:val="22"/>
        </w:rPr>
        <w:t>and</w:t>
      </w:r>
      <w:r>
        <w:rPr>
          <w:spacing w:val="33"/>
          <w:sz w:val="22"/>
        </w:rPr>
        <w:t> </w:t>
      </w:r>
      <w:r>
        <w:rPr>
          <w:sz w:val="22"/>
        </w:rPr>
        <w:t>programs</w:t>
      </w:r>
      <w:r>
        <w:rPr>
          <w:spacing w:val="34"/>
          <w:sz w:val="22"/>
        </w:rPr>
        <w:t> </w:t>
      </w:r>
      <w:r>
        <w:rPr>
          <w:sz w:val="22"/>
        </w:rPr>
        <w:t>addressing</w:t>
      </w:r>
      <w:r>
        <w:rPr>
          <w:spacing w:val="35"/>
          <w:sz w:val="22"/>
        </w:rPr>
        <w:t> </w:t>
      </w:r>
      <w:r>
        <w:rPr>
          <w:sz w:val="22"/>
        </w:rPr>
        <w:t>environmental</w:t>
      </w:r>
      <w:r>
        <w:rPr>
          <w:spacing w:val="32"/>
          <w:sz w:val="22"/>
        </w:rPr>
        <w:t> </w:t>
      </w:r>
      <w:r>
        <w:rPr>
          <w:sz w:val="22"/>
        </w:rPr>
        <w:t>inequities</w:t>
      </w:r>
      <w:r>
        <w:rPr>
          <w:spacing w:val="34"/>
          <w:sz w:val="22"/>
        </w:rPr>
        <w:t> </w:t>
      </w:r>
      <w:r>
        <w:rPr>
          <w:sz w:val="22"/>
        </w:rPr>
        <w:t>to</w:t>
      </w:r>
      <w:r>
        <w:rPr>
          <w:spacing w:val="33"/>
          <w:sz w:val="22"/>
        </w:rPr>
        <w:t> </w:t>
      </w:r>
      <w:r>
        <w:rPr>
          <w:sz w:val="22"/>
        </w:rPr>
        <w:t>include</w:t>
      </w:r>
      <w:r>
        <w:rPr>
          <w:spacing w:val="33"/>
          <w:sz w:val="22"/>
        </w:rPr>
        <w:t> </w:t>
      </w:r>
      <w:r>
        <w:rPr>
          <w:sz w:val="22"/>
        </w:rPr>
        <w:t>and address the unique impacts on LGBTQ youth across the Commonwealth.</w:t>
      </w:r>
    </w:p>
    <w:p>
      <w:pPr>
        <w:pStyle w:val="ListParagraph"/>
        <w:numPr>
          <w:ilvl w:val="0"/>
          <w:numId w:val="12"/>
        </w:numPr>
        <w:tabs>
          <w:tab w:pos="1048" w:val="left" w:leader="none"/>
          <w:tab w:pos="1050" w:val="left" w:leader="none"/>
        </w:tabs>
        <w:spacing w:line="276" w:lineRule="auto" w:before="240" w:after="0"/>
        <w:ind w:left="1050" w:right="636" w:hanging="231"/>
        <w:jc w:val="left"/>
        <w:rPr>
          <w:sz w:val="22"/>
        </w:rPr>
      </w:pPr>
      <w:bookmarkStart w:name="2. Promote QTBIPOC youth voice in enviro" w:id="70"/>
      <w:bookmarkEnd w:id="70"/>
      <w:r>
        <w:rPr/>
      </w:r>
      <w:r>
        <w:rPr>
          <w:sz w:val="22"/>
        </w:rPr>
        <w:t>Promote QTBIPOC youth voice in environmental justice initiatives, research, working groups, and task forces.</w:t>
      </w:r>
    </w:p>
    <w:p>
      <w:pPr>
        <w:pStyle w:val="ListParagraph"/>
        <w:numPr>
          <w:ilvl w:val="0"/>
          <w:numId w:val="12"/>
        </w:numPr>
        <w:tabs>
          <w:tab w:pos="1049" w:val="left" w:leader="none"/>
        </w:tabs>
        <w:spacing w:line="240" w:lineRule="auto" w:before="241" w:after="0"/>
        <w:ind w:left="1049" w:right="0" w:hanging="229"/>
        <w:jc w:val="left"/>
        <w:rPr>
          <w:sz w:val="22"/>
        </w:rPr>
      </w:pPr>
      <w:bookmarkStart w:name="3. Improve access to quality health care" w:id="71"/>
      <w:bookmarkEnd w:id="71"/>
      <w:r>
        <w:rPr/>
      </w:r>
      <w:r>
        <w:rPr>
          <w:sz w:val="22"/>
        </w:rPr>
        <w:t>Improve</w:t>
      </w:r>
      <w:r>
        <w:rPr>
          <w:spacing w:val="-8"/>
          <w:sz w:val="22"/>
        </w:rPr>
        <w:t> </w:t>
      </w:r>
      <w:r>
        <w:rPr>
          <w:sz w:val="22"/>
        </w:rPr>
        <w:t>access</w:t>
      </w:r>
      <w:r>
        <w:rPr>
          <w:spacing w:val="-8"/>
          <w:sz w:val="22"/>
        </w:rPr>
        <w:t> </w:t>
      </w:r>
      <w:r>
        <w:rPr>
          <w:sz w:val="22"/>
        </w:rPr>
        <w:t>to</w:t>
      </w:r>
      <w:r>
        <w:rPr>
          <w:spacing w:val="-7"/>
          <w:sz w:val="22"/>
        </w:rPr>
        <w:t> </w:t>
      </w:r>
      <w:r>
        <w:rPr>
          <w:sz w:val="22"/>
        </w:rPr>
        <w:t>quality</w:t>
      </w:r>
      <w:r>
        <w:rPr>
          <w:spacing w:val="-5"/>
          <w:sz w:val="22"/>
        </w:rPr>
        <w:t> </w:t>
      </w:r>
      <w:r>
        <w:rPr>
          <w:sz w:val="22"/>
        </w:rPr>
        <w:t>health</w:t>
      </w:r>
      <w:r>
        <w:rPr>
          <w:spacing w:val="-7"/>
          <w:sz w:val="22"/>
        </w:rPr>
        <w:t> </w:t>
      </w:r>
      <w:r>
        <w:rPr>
          <w:sz w:val="22"/>
        </w:rPr>
        <w:t>care,</w:t>
      </w:r>
      <w:r>
        <w:rPr>
          <w:spacing w:val="-8"/>
          <w:sz w:val="22"/>
        </w:rPr>
        <w:t> </w:t>
      </w:r>
      <w:r>
        <w:rPr>
          <w:sz w:val="22"/>
        </w:rPr>
        <w:t>affordable</w:t>
      </w:r>
      <w:r>
        <w:rPr>
          <w:spacing w:val="-8"/>
          <w:sz w:val="22"/>
        </w:rPr>
        <w:t> </w:t>
      </w:r>
      <w:r>
        <w:rPr>
          <w:sz w:val="22"/>
        </w:rPr>
        <w:t>housing,</w:t>
      </w:r>
      <w:r>
        <w:rPr>
          <w:spacing w:val="-8"/>
          <w:sz w:val="22"/>
        </w:rPr>
        <w:t> </w:t>
      </w:r>
      <w:r>
        <w:rPr>
          <w:sz w:val="22"/>
        </w:rPr>
        <w:t>and</w:t>
      </w:r>
      <w:r>
        <w:rPr>
          <w:spacing w:val="-8"/>
          <w:sz w:val="22"/>
        </w:rPr>
        <w:t> </w:t>
      </w:r>
      <w:r>
        <w:rPr>
          <w:sz w:val="22"/>
        </w:rPr>
        <w:t>stable</w:t>
      </w:r>
      <w:r>
        <w:rPr>
          <w:spacing w:val="-7"/>
          <w:sz w:val="22"/>
        </w:rPr>
        <w:t> </w:t>
      </w:r>
      <w:r>
        <w:rPr>
          <w:spacing w:val="-2"/>
          <w:sz w:val="22"/>
        </w:rPr>
        <w:t>income.</w:t>
      </w:r>
    </w:p>
    <w:p>
      <w:pPr>
        <w:spacing w:after="0" w:line="240" w:lineRule="auto"/>
        <w:jc w:val="left"/>
        <w:rPr>
          <w:sz w:val="22"/>
        </w:rPr>
        <w:sectPr>
          <w:headerReference w:type="default" r:id="rId40"/>
          <w:footerReference w:type="default" r:id="rId41"/>
          <w:pgSz w:w="12240" w:h="15840"/>
          <w:pgMar w:header="0" w:footer="1061" w:top="1140" w:bottom="1260" w:left="980" w:right="1160"/>
        </w:sectPr>
      </w:pPr>
    </w:p>
    <w:p>
      <w:pPr>
        <w:spacing w:before="29"/>
        <w:ind w:left="604" w:right="0" w:firstLine="0"/>
        <w:jc w:val="both"/>
        <w:rPr>
          <w:sz w:val="28"/>
        </w:rPr>
      </w:pPr>
      <w:bookmarkStart w:name="Examining Economic Justice (2024)" w:id="72"/>
      <w:bookmarkEnd w:id="72"/>
      <w:r>
        <w:rPr/>
      </w:r>
      <w:r>
        <w:rPr>
          <w:color w:val="365F91"/>
          <w:sz w:val="28"/>
        </w:rPr>
        <w:t>Examining</w:t>
      </w:r>
      <w:r>
        <w:rPr>
          <w:color w:val="365F91"/>
          <w:spacing w:val="-14"/>
          <w:sz w:val="28"/>
        </w:rPr>
        <w:t> </w:t>
      </w:r>
      <w:r>
        <w:rPr>
          <w:color w:val="365F91"/>
          <w:sz w:val="28"/>
        </w:rPr>
        <w:t>Economic</w:t>
      </w:r>
      <w:r>
        <w:rPr>
          <w:color w:val="365F91"/>
          <w:spacing w:val="-13"/>
          <w:sz w:val="28"/>
        </w:rPr>
        <w:t> </w:t>
      </w:r>
      <w:r>
        <w:rPr>
          <w:color w:val="365F91"/>
          <w:sz w:val="28"/>
        </w:rPr>
        <w:t>Justice</w:t>
      </w:r>
      <w:r>
        <w:rPr>
          <w:color w:val="365F91"/>
          <w:spacing w:val="-13"/>
          <w:sz w:val="28"/>
        </w:rPr>
        <w:t> </w:t>
      </w:r>
      <w:r>
        <w:rPr>
          <w:color w:val="365F91"/>
          <w:spacing w:val="-2"/>
          <w:sz w:val="28"/>
        </w:rPr>
        <w:t>(2024)</w:t>
      </w:r>
    </w:p>
    <w:p>
      <w:pPr>
        <w:spacing w:line="276" w:lineRule="auto" w:before="293"/>
        <w:ind w:left="603" w:right="419" w:firstLine="0"/>
        <w:jc w:val="both"/>
        <w:rPr>
          <w:sz w:val="21"/>
        </w:rPr>
      </w:pPr>
      <w:r>
        <w:rPr>
          <w:sz w:val="21"/>
        </w:rPr>
        <w:t>LGBTQ</w:t>
      </w:r>
      <w:r>
        <w:rPr>
          <w:spacing w:val="-2"/>
          <w:sz w:val="21"/>
        </w:rPr>
        <w:t> </w:t>
      </w:r>
      <w:r>
        <w:rPr>
          <w:sz w:val="21"/>
        </w:rPr>
        <w:t>youth</w:t>
      </w:r>
      <w:r>
        <w:rPr>
          <w:spacing w:val="-3"/>
          <w:sz w:val="21"/>
        </w:rPr>
        <w:t> </w:t>
      </w:r>
      <w:r>
        <w:rPr>
          <w:sz w:val="21"/>
        </w:rPr>
        <w:t>in</w:t>
      </w:r>
      <w:r>
        <w:rPr>
          <w:spacing w:val="-2"/>
          <w:sz w:val="21"/>
        </w:rPr>
        <w:t> </w:t>
      </w:r>
      <w:r>
        <w:rPr>
          <w:sz w:val="21"/>
        </w:rPr>
        <w:t>Massachusetts</w:t>
      </w:r>
      <w:r>
        <w:rPr>
          <w:spacing w:val="-2"/>
          <w:sz w:val="21"/>
        </w:rPr>
        <w:t> </w:t>
      </w:r>
      <w:r>
        <w:rPr>
          <w:sz w:val="21"/>
        </w:rPr>
        <w:t>face</w:t>
      </w:r>
      <w:r>
        <w:rPr>
          <w:spacing w:val="-3"/>
          <w:sz w:val="21"/>
        </w:rPr>
        <w:t> </w:t>
      </w:r>
      <w:r>
        <w:rPr>
          <w:sz w:val="21"/>
        </w:rPr>
        <w:t>several</w:t>
      </w:r>
      <w:r>
        <w:rPr>
          <w:spacing w:val="-2"/>
          <w:sz w:val="21"/>
        </w:rPr>
        <w:t> </w:t>
      </w:r>
      <w:r>
        <w:rPr>
          <w:sz w:val="21"/>
        </w:rPr>
        <w:t>barriers</w:t>
      </w:r>
      <w:r>
        <w:rPr>
          <w:spacing w:val="-4"/>
          <w:sz w:val="21"/>
        </w:rPr>
        <w:t> </w:t>
      </w:r>
      <w:r>
        <w:rPr>
          <w:sz w:val="21"/>
        </w:rPr>
        <w:t>to</w:t>
      </w:r>
      <w:r>
        <w:rPr>
          <w:spacing w:val="-3"/>
          <w:sz w:val="21"/>
        </w:rPr>
        <w:t> </w:t>
      </w:r>
      <w:r>
        <w:rPr>
          <w:sz w:val="21"/>
        </w:rPr>
        <w:t>economic</w:t>
      </w:r>
      <w:r>
        <w:rPr>
          <w:spacing w:val="-2"/>
          <w:sz w:val="21"/>
        </w:rPr>
        <w:t> </w:t>
      </w:r>
      <w:r>
        <w:rPr>
          <w:sz w:val="21"/>
        </w:rPr>
        <w:t>success,</w:t>
      </w:r>
      <w:r>
        <w:rPr>
          <w:spacing w:val="-1"/>
          <w:sz w:val="21"/>
        </w:rPr>
        <w:t> </w:t>
      </w:r>
      <w:r>
        <w:rPr>
          <w:sz w:val="21"/>
        </w:rPr>
        <w:t>ranging</w:t>
      </w:r>
      <w:r>
        <w:rPr>
          <w:spacing w:val="-2"/>
          <w:sz w:val="21"/>
        </w:rPr>
        <w:t> </w:t>
      </w:r>
      <w:r>
        <w:rPr>
          <w:sz w:val="21"/>
        </w:rPr>
        <w:t>from</w:t>
      </w:r>
      <w:r>
        <w:rPr>
          <w:spacing w:val="-2"/>
          <w:sz w:val="21"/>
        </w:rPr>
        <w:t> </w:t>
      </w:r>
      <w:r>
        <w:rPr>
          <w:sz w:val="21"/>
        </w:rPr>
        <w:t>lack</w:t>
      </w:r>
      <w:r>
        <w:rPr>
          <w:spacing w:val="-2"/>
          <w:sz w:val="21"/>
        </w:rPr>
        <w:t> </w:t>
      </w:r>
      <w:r>
        <w:rPr>
          <w:sz w:val="21"/>
        </w:rPr>
        <w:t>of</w:t>
      </w:r>
      <w:r>
        <w:rPr>
          <w:spacing w:val="-2"/>
          <w:sz w:val="21"/>
        </w:rPr>
        <w:t> </w:t>
      </w:r>
      <w:r>
        <w:rPr>
          <w:sz w:val="21"/>
        </w:rPr>
        <w:t>educational and</w:t>
      </w:r>
      <w:r>
        <w:rPr>
          <w:spacing w:val="-5"/>
          <w:sz w:val="21"/>
        </w:rPr>
        <w:t> </w:t>
      </w:r>
      <w:r>
        <w:rPr>
          <w:sz w:val="21"/>
        </w:rPr>
        <w:t>career</w:t>
      </w:r>
      <w:r>
        <w:rPr>
          <w:spacing w:val="-5"/>
          <w:sz w:val="21"/>
        </w:rPr>
        <w:t> </w:t>
      </w:r>
      <w:r>
        <w:rPr>
          <w:sz w:val="21"/>
        </w:rPr>
        <w:t>readiness</w:t>
      </w:r>
      <w:r>
        <w:rPr>
          <w:spacing w:val="-6"/>
          <w:sz w:val="21"/>
        </w:rPr>
        <w:t> </w:t>
      </w:r>
      <w:r>
        <w:rPr>
          <w:sz w:val="21"/>
        </w:rPr>
        <w:t>resources</w:t>
      </w:r>
      <w:r>
        <w:rPr>
          <w:spacing w:val="-6"/>
          <w:sz w:val="21"/>
        </w:rPr>
        <w:t> </w:t>
      </w:r>
      <w:r>
        <w:rPr>
          <w:sz w:val="21"/>
        </w:rPr>
        <w:t>to</w:t>
      </w:r>
      <w:r>
        <w:rPr>
          <w:spacing w:val="-6"/>
          <w:sz w:val="21"/>
        </w:rPr>
        <w:t> </w:t>
      </w:r>
      <w:r>
        <w:rPr>
          <w:sz w:val="21"/>
        </w:rPr>
        <w:t>discrimination</w:t>
      </w:r>
      <w:r>
        <w:rPr>
          <w:spacing w:val="-5"/>
          <w:sz w:val="21"/>
        </w:rPr>
        <w:t> </w:t>
      </w:r>
      <w:r>
        <w:rPr>
          <w:sz w:val="21"/>
        </w:rPr>
        <w:t>based</w:t>
      </w:r>
      <w:r>
        <w:rPr>
          <w:spacing w:val="-5"/>
          <w:sz w:val="21"/>
        </w:rPr>
        <w:t> </w:t>
      </w:r>
      <w:r>
        <w:rPr>
          <w:sz w:val="21"/>
        </w:rPr>
        <w:t>on</w:t>
      </w:r>
      <w:r>
        <w:rPr>
          <w:spacing w:val="-5"/>
          <w:sz w:val="21"/>
        </w:rPr>
        <w:t> </w:t>
      </w:r>
      <w:r>
        <w:rPr>
          <w:sz w:val="21"/>
        </w:rPr>
        <w:t>their</w:t>
      </w:r>
      <w:r>
        <w:rPr>
          <w:spacing w:val="-5"/>
          <w:sz w:val="21"/>
        </w:rPr>
        <w:t> </w:t>
      </w:r>
      <w:r>
        <w:rPr>
          <w:sz w:val="21"/>
        </w:rPr>
        <w:t>LGBTQ</w:t>
      </w:r>
      <w:r>
        <w:rPr>
          <w:spacing w:val="-5"/>
          <w:sz w:val="21"/>
        </w:rPr>
        <w:t> </w:t>
      </w:r>
      <w:r>
        <w:rPr>
          <w:sz w:val="21"/>
        </w:rPr>
        <w:t>identity.</w:t>
      </w:r>
      <w:r>
        <w:rPr>
          <w:spacing w:val="-6"/>
          <w:sz w:val="21"/>
        </w:rPr>
        <w:t> </w:t>
      </w:r>
      <w:r>
        <w:rPr>
          <w:sz w:val="21"/>
        </w:rPr>
        <w:t>LGBTQ</w:t>
      </w:r>
      <w:r>
        <w:rPr>
          <w:spacing w:val="-5"/>
          <w:sz w:val="21"/>
        </w:rPr>
        <w:t> </w:t>
      </w:r>
      <w:r>
        <w:rPr>
          <w:sz w:val="21"/>
        </w:rPr>
        <w:t>youth</w:t>
      </w:r>
      <w:r>
        <w:rPr>
          <w:spacing w:val="-5"/>
          <w:sz w:val="21"/>
        </w:rPr>
        <w:t> </w:t>
      </w:r>
      <w:r>
        <w:rPr>
          <w:sz w:val="21"/>
        </w:rPr>
        <w:t>have</w:t>
      </w:r>
      <w:r>
        <w:rPr>
          <w:spacing w:val="-5"/>
          <w:sz w:val="21"/>
        </w:rPr>
        <w:t> </w:t>
      </w:r>
      <w:r>
        <w:rPr>
          <w:sz w:val="21"/>
        </w:rPr>
        <w:t>diverse identities and needs that must be addressed in education to sufficiently prepare them for the workforce. LGBTQ youth are overrepresented in the foster care system due to a lack of supportive homes, are more likely to age out of the foster care system than their cisgender and straight peers and are more likely to experience homelessness when aging out of the foster care system. Youth in the juvenile justice system, including LGBTQ youth, lack quality instruction, educational materials, and support in transitioning out of the</w:t>
      </w:r>
      <w:r>
        <w:rPr>
          <w:spacing w:val="-12"/>
          <w:sz w:val="21"/>
        </w:rPr>
        <w:t> </w:t>
      </w:r>
      <w:r>
        <w:rPr>
          <w:sz w:val="21"/>
        </w:rPr>
        <w:t>system</w:t>
      </w:r>
      <w:r>
        <w:rPr>
          <w:spacing w:val="-11"/>
          <w:sz w:val="21"/>
        </w:rPr>
        <w:t> </w:t>
      </w:r>
      <w:r>
        <w:rPr>
          <w:sz w:val="21"/>
        </w:rPr>
        <w:t>to</w:t>
      </w:r>
      <w:r>
        <w:rPr>
          <w:spacing w:val="-12"/>
          <w:sz w:val="21"/>
        </w:rPr>
        <w:t> </w:t>
      </w:r>
      <w:r>
        <w:rPr>
          <w:sz w:val="21"/>
        </w:rPr>
        <w:t>employment.</w:t>
      </w:r>
      <w:r>
        <w:rPr>
          <w:spacing w:val="-12"/>
          <w:sz w:val="21"/>
        </w:rPr>
        <w:t> </w:t>
      </w:r>
      <w:r>
        <w:rPr>
          <w:sz w:val="21"/>
        </w:rPr>
        <w:t>LGBTQ</w:t>
      </w:r>
      <w:r>
        <w:rPr>
          <w:spacing w:val="-11"/>
          <w:sz w:val="21"/>
        </w:rPr>
        <w:t> </w:t>
      </w:r>
      <w:r>
        <w:rPr>
          <w:sz w:val="21"/>
        </w:rPr>
        <w:t>youth</w:t>
      </w:r>
      <w:r>
        <w:rPr>
          <w:spacing w:val="-12"/>
          <w:sz w:val="21"/>
        </w:rPr>
        <w:t> </w:t>
      </w:r>
      <w:r>
        <w:rPr>
          <w:sz w:val="21"/>
        </w:rPr>
        <w:t>who</w:t>
      </w:r>
      <w:r>
        <w:rPr>
          <w:spacing w:val="-12"/>
          <w:sz w:val="21"/>
        </w:rPr>
        <w:t> </w:t>
      </w:r>
      <w:r>
        <w:rPr>
          <w:sz w:val="21"/>
        </w:rPr>
        <w:t>are</w:t>
      </w:r>
      <w:r>
        <w:rPr>
          <w:spacing w:val="-11"/>
          <w:sz w:val="21"/>
        </w:rPr>
        <w:t> </w:t>
      </w:r>
      <w:r>
        <w:rPr>
          <w:sz w:val="21"/>
        </w:rPr>
        <w:t>immigrants,</w:t>
      </w:r>
      <w:r>
        <w:rPr>
          <w:spacing w:val="-11"/>
          <w:sz w:val="21"/>
        </w:rPr>
        <w:t> </w:t>
      </w:r>
      <w:r>
        <w:rPr>
          <w:sz w:val="21"/>
        </w:rPr>
        <w:t>children</w:t>
      </w:r>
      <w:r>
        <w:rPr>
          <w:spacing w:val="-11"/>
          <w:sz w:val="21"/>
        </w:rPr>
        <w:t> </w:t>
      </w:r>
      <w:r>
        <w:rPr>
          <w:sz w:val="21"/>
        </w:rPr>
        <w:t>of</w:t>
      </w:r>
      <w:r>
        <w:rPr>
          <w:spacing w:val="-12"/>
          <w:sz w:val="21"/>
        </w:rPr>
        <w:t> </w:t>
      </w:r>
      <w:r>
        <w:rPr>
          <w:sz w:val="21"/>
        </w:rPr>
        <w:t>immigrants,</w:t>
      </w:r>
      <w:r>
        <w:rPr>
          <w:spacing w:val="-11"/>
          <w:sz w:val="21"/>
        </w:rPr>
        <w:t> </w:t>
      </w:r>
      <w:r>
        <w:rPr>
          <w:sz w:val="21"/>
        </w:rPr>
        <w:t>or</w:t>
      </w:r>
      <w:r>
        <w:rPr>
          <w:spacing w:val="-11"/>
          <w:sz w:val="21"/>
        </w:rPr>
        <w:t> </w:t>
      </w:r>
      <w:r>
        <w:rPr>
          <w:sz w:val="21"/>
        </w:rPr>
        <w:t>refugees</w:t>
      </w:r>
      <w:r>
        <w:rPr>
          <w:spacing w:val="-12"/>
          <w:sz w:val="21"/>
        </w:rPr>
        <w:t> </w:t>
      </w:r>
      <w:r>
        <w:rPr>
          <w:sz w:val="21"/>
        </w:rPr>
        <w:t>may</w:t>
      </w:r>
      <w:r>
        <w:rPr>
          <w:spacing w:val="-12"/>
          <w:sz w:val="21"/>
        </w:rPr>
        <w:t> </w:t>
      </w:r>
      <w:r>
        <w:rPr>
          <w:sz w:val="21"/>
        </w:rPr>
        <w:t>face language</w:t>
      </w:r>
      <w:r>
        <w:rPr>
          <w:spacing w:val="-1"/>
          <w:sz w:val="21"/>
        </w:rPr>
        <w:t> </w:t>
      </w:r>
      <w:r>
        <w:rPr>
          <w:sz w:val="21"/>
        </w:rPr>
        <w:t>barriers</w:t>
      </w:r>
      <w:r>
        <w:rPr>
          <w:spacing w:val="-1"/>
          <w:sz w:val="21"/>
        </w:rPr>
        <w:t> </w:t>
      </w:r>
      <w:r>
        <w:rPr>
          <w:sz w:val="21"/>
        </w:rPr>
        <w:t>to</w:t>
      </w:r>
      <w:r>
        <w:rPr>
          <w:spacing w:val="-1"/>
          <w:sz w:val="21"/>
        </w:rPr>
        <w:t> </w:t>
      </w:r>
      <w:r>
        <w:rPr>
          <w:sz w:val="21"/>
        </w:rPr>
        <w:t>education</w:t>
      </w:r>
      <w:r>
        <w:rPr>
          <w:spacing w:val="-1"/>
          <w:sz w:val="21"/>
        </w:rPr>
        <w:t> </w:t>
      </w:r>
      <w:r>
        <w:rPr>
          <w:sz w:val="21"/>
        </w:rPr>
        <w:t>and</w:t>
      </w:r>
      <w:r>
        <w:rPr>
          <w:spacing w:val="-1"/>
          <w:sz w:val="21"/>
        </w:rPr>
        <w:t> </w:t>
      </w:r>
      <w:r>
        <w:rPr>
          <w:sz w:val="21"/>
        </w:rPr>
        <w:t>employment, which</w:t>
      </w:r>
      <w:r>
        <w:rPr>
          <w:spacing w:val="-3"/>
          <w:sz w:val="21"/>
        </w:rPr>
        <w:t> </w:t>
      </w:r>
      <w:r>
        <w:rPr>
          <w:sz w:val="21"/>
        </w:rPr>
        <w:t>limit their</w:t>
      </w:r>
      <w:r>
        <w:rPr>
          <w:spacing w:val="-2"/>
          <w:sz w:val="21"/>
        </w:rPr>
        <w:t> </w:t>
      </w:r>
      <w:r>
        <w:rPr>
          <w:sz w:val="21"/>
        </w:rPr>
        <w:t>access</w:t>
      </w:r>
      <w:r>
        <w:rPr>
          <w:spacing w:val="-1"/>
          <w:sz w:val="21"/>
        </w:rPr>
        <w:t> </w:t>
      </w:r>
      <w:r>
        <w:rPr>
          <w:sz w:val="21"/>
        </w:rPr>
        <w:t>to</w:t>
      </w:r>
      <w:r>
        <w:rPr>
          <w:spacing w:val="-1"/>
          <w:sz w:val="21"/>
        </w:rPr>
        <w:t> </w:t>
      </w:r>
      <w:r>
        <w:rPr>
          <w:sz w:val="21"/>
        </w:rPr>
        <w:t>employment opportunities.</w:t>
      </w:r>
      <w:r>
        <w:rPr>
          <w:spacing w:val="-1"/>
          <w:sz w:val="21"/>
        </w:rPr>
        <w:t> </w:t>
      </w:r>
      <w:r>
        <w:rPr>
          <w:sz w:val="21"/>
        </w:rPr>
        <w:t>In general, LGBTQ high school students lack appropriate resources on career readiness and navigating being LGBTQ in the workplace.</w:t>
      </w:r>
    </w:p>
    <w:p>
      <w:pPr>
        <w:spacing w:line="276" w:lineRule="auto" w:before="240"/>
        <w:ind w:left="603" w:right="418" w:firstLine="0"/>
        <w:jc w:val="both"/>
        <w:rPr>
          <w:sz w:val="21"/>
        </w:rPr>
      </w:pPr>
      <w:r>
        <w:rPr>
          <w:sz w:val="21"/>
        </w:rPr>
        <w:t>Once they transition from education to the labor force, LGBTQ youth experience higher unemployment rates</w:t>
      </w:r>
      <w:r>
        <w:rPr>
          <w:spacing w:val="-5"/>
          <w:sz w:val="21"/>
        </w:rPr>
        <w:t> </w:t>
      </w:r>
      <w:r>
        <w:rPr>
          <w:sz w:val="21"/>
        </w:rPr>
        <w:t>than</w:t>
      </w:r>
      <w:r>
        <w:rPr>
          <w:spacing w:val="-4"/>
          <w:sz w:val="21"/>
        </w:rPr>
        <w:t> </w:t>
      </w:r>
      <w:r>
        <w:rPr>
          <w:sz w:val="21"/>
        </w:rPr>
        <w:t>their</w:t>
      </w:r>
      <w:r>
        <w:rPr>
          <w:spacing w:val="-4"/>
          <w:sz w:val="21"/>
        </w:rPr>
        <w:t> </w:t>
      </w:r>
      <w:r>
        <w:rPr>
          <w:sz w:val="21"/>
        </w:rPr>
        <w:t>cisgender</w:t>
      </w:r>
      <w:r>
        <w:rPr>
          <w:spacing w:val="-4"/>
          <w:sz w:val="21"/>
        </w:rPr>
        <w:t> </w:t>
      </w:r>
      <w:r>
        <w:rPr>
          <w:sz w:val="21"/>
        </w:rPr>
        <w:t>and</w:t>
      </w:r>
      <w:r>
        <w:rPr>
          <w:spacing w:val="-4"/>
          <w:sz w:val="21"/>
        </w:rPr>
        <w:t> </w:t>
      </w:r>
      <w:r>
        <w:rPr>
          <w:sz w:val="21"/>
        </w:rPr>
        <w:t>straight</w:t>
      </w:r>
      <w:r>
        <w:rPr>
          <w:spacing w:val="-4"/>
          <w:sz w:val="21"/>
        </w:rPr>
        <w:t> </w:t>
      </w:r>
      <w:r>
        <w:rPr>
          <w:sz w:val="21"/>
        </w:rPr>
        <w:t>peers</w:t>
      </w:r>
      <w:r>
        <w:rPr>
          <w:spacing w:val="-5"/>
          <w:sz w:val="21"/>
        </w:rPr>
        <w:t> </w:t>
      </w:r>
      <w:r>
        <w:rPr>
          <w:sz w:val="21"/>
        </w:rPr>
        <w:t>due</w:t>
      </w:r>
      <w:r>
        <w:rPr>
          <w:spacing w:val="-4"/>
          <w:sz w:val="21"/>
        </w:rPr>
        <w:t> </w:t>
      </w:r>
      <w:r>
        <w:rPr>
          <w:sz w:val="21"/>
        </w:rPr>
        <w:t>to</w:t>
      </w:r>
      <w:r>
        <w:rPr>
          <w:spacing w:val="-5"/>
          <w:sz w:val="21"/>
        </w:rPr>
        <w:t> </w:t>
      </w:r>
      <w:r>
        <w:rPr>
          <w:sz w:val="21"/>
        </w:rPr>
        <w:t>several</w:t>
      </w:r>
      <w:r>
        <w:rPr>
          <w:spacing w:val="-5"/>
          <w:sz w:val="21"/>
        </w:rPr>
        <w:t> </w:t>
      </w:r>
      <w:r>
        <w:rPr>
          <w:sz w:val="21"/>
        </w:rPr>
        <w:t>factors,</w:t>
      </w:r>
      <w:r>
        <w:rPr>
          <w:spacing w:val="-4"/>
          <w:sz w:val="21"/>
        </w:rPr>
        <w:t> </w:t>
      </w:r>
      <w:r>
        <w:rPr>
          <w:sz w:val="21"/>
        </w:rPr>
        <w:t>and</w:t>
      </w:r>
      <w:r>
        <w:rPr>
          <w:spacing w:val="-4"/>
          <w:sz w:val="21"/>
        </w:rPr>
        <w:t> </w:t>
      </w:r>
      <w:r>
        <w:rPr>
          <w:sz w:val="21"/>
        </w:rPr>
        <w:t>often</w:t>
      </w:r>
      <w:r>
        <w:rPr>
          <w:spacing w:val="-4"/>
          <w:sz w:val="21"/>
        </w:rPr>
        <w:t> </w:t>
      </w:r>
      <w:r>
        <w:rPr>
          <w:sz w:val="21"/>
        </w:rPr>
        <w:t>face</w:t>
      </w:r>
      <w:r>
        <w:rPr>
          <w:spacing w:val="-3"/>
          <w:sz w:val="21"/>
        </w:rPr>
        <w:t> </w:t>
      </w:r>
      <w:r>
        <w:rPr>
          <w:sz w:val="21"/>
        </w:rPr>
        <w:t>discrimination</w:t>
      </w:r>
      <w:r>
        <w:rPr>
          <w:spacing w:val="-4"/>
          <w:sz w:val="21"/>
        </w:rPr>
        <w:t> </w:t>
      </w:r>
      <w:r>
        <w:rPr>
          <w:sz w:val="21"/>
        </w:rPr>
        <w:t>based</w:t>
      </w:r>
      <w:r>
        <w:rPr>
          <w:spacing w:val="-4"/>
          <w:sz w:val="21"/>
        </w:rPr>
        <w:t> </w:t>
      </w:r>
      <w:r>
        <w:rPr>
          <w:sz w:val="21"/>
        </w:rPr>
        <w:t>on their</w:t>
      </w:r>
      <w:r>
        <w:rPr>
          <w:spacing w:val="-4"/>
          <w:sz w:val="21"/>
        </w:rPr>
        <w:t> </w:t>
      </w:r>
      <w:r>
        <w:rPr>
          <w:sz w:val="21"/>
        </w:rPr>
        <w:t>race</w:t>
      </w:r>
      <w:r>
        <w:rPr>
          <w:spacing w:val="-4"/>
          <w:sz w:val="21"/>
        </w:rPr>
        <w:t> </w:t>
      </w:r>
      <w:r>
        <w:rPr>
          <w:sz w:val="21"/>
        </w:rPr>
        <w:t>and</w:t>
      </w:r>
      <w:r>
        <w:rPr>
          <w:spacing w:val="-4"/>
          <w:sz w:val="21"/>
        </w:rPr>
        <w:t> </w:t>
      </w:r>
      <w:r>
        <w:rPr>
          <w:sz w:val="21"/>
        </w:rPr>
        <w:t>gender</w:t>
      </w:r>
      <w:r>
        <w:rPr>
          <w:spacing w:val="-4"/>
          <w:sz w:val="21"/>
        </w:rPr>
        <w:t> </w:t>
      </w:r>
      <w:r>
        <w:rPr>
          <w:sz w:val="21"/>
        </w:rPr>
        <w:t>identity,</w:t>
      </w:r>
      <w:r>
        <w:rPr>
          <w:spacing w:val="-4"/>
          <w:sz w:val="21"/>
        </w:rPr>
        <w:t> </w:t>
      </w:r>
      <w:r>
        <w:rPr>
          <w:sz w:val="21"/>
        </w:rPr>
        <w:t>which</w:t>
      </w:r>
      <w:r>
        <w:rPr>
          <w:spacing w:val="-4"/>
          <w:sz w:val="21"/>
        </w:rPr>
        <w:t> </w:t>
      </w:r>
      <w:r>
        <w:rPr>
          <w:sz w:val="21"/>
        </w:rPr>
        <w:t>makes</w:t>
      </w:r>
      <w:r>
        <w:rPr>
          <w:spacing w:val="-4"/>
          <w:sz w:val="21"/>
        </w:rPr>
        <w:t> </w:t>
      </w:r>
      <w:r>
        <w:rPr>
          <w:sz w:val="21"/>
        </w:rPr>
        <w:t>it</w:t>
      </w:r>
      <w:r>
        <w:rPr>
          <w:spacing w:val="-4"/>
          <w:sz w:val="21"/>
        </w:rPr>
        <w:t> </w:t>
      </w:r>
      <w:r>
        <w:rPr>
          <w:sz w:val="21"/>
        </w:rPr>
        <w:t>difficult</w:t>
      </w:r>
      <w:r>
        <w:rPr>
          <w:spacing w:val="-4"/>
          <w:sz w:val="21"/>
        </w:rPr>
        <w:t> </w:t>
      </w:r>
      <w:r>
        <w:rPr>
          <w:sz w:val="21"/>
        </w:rPr>
        <w:t>to</w:t>
      </w:r>
      <w:r>
        <w:rPr>
          <w:spacing w:val="-4"/>
          <w:sz w:val="21"/>
        </w:rPr>
        <w:t> </w:t>
      </w:r>
      <w:r>
        <w:rPr>
          <w:sz w:val="21"/>
        </w:rPr>
        <w:t>obtain</w:t>
      </w:r>
      <w:r>
        <w:rPr>
          <w:spacing w:val="-4"/>
          <w:sz w:val="21"/>
        </w:rPr>
        <w:t> </w:t>
      </w:r>
      <w:r>
        <w:rPr>
          <w:sz w:val="21"/>
        </w:rPr>
        <w:t>employment</w:t>
      </w:r>
      <w:r>
        <w:rPr>
          <w:spacing w:val="-4"/>
          <w:sz w:val="21"/>
        </w:rPr>
        <w:t> </w:t>
      </w:r>
      <w:r>
        <w:rPr>
          <w:sz w:val="21"/>
        </w:rPr>
        <w:t>and</w:t>
      </w:r>
      <w:r>
        <w:rPr>
          <w:spacing w:val="-6"/>
          <w:sz w:val="21"/>
        </w:rPr>
        <w:t> </w:t>
      </w:r>
      <w:r>
        <w:rPr>
          <w:sz w:val="21"/>
        </w:rPr>
        <w:t>maintain</w:t>
      </w:r>
      <w:r>
        <w:rPr>
          <w:spacing w:val="-4"/>
          <w:sz w:val="21"/>
        </w:rPr>
        <w:t> </w:t>
      </w:r>
      <w:r>
        <w:rPr>
          <w:sz w:val="21"/>
        </w:rPr>
        <w:t>job</w:t>
      </w:r>
      <w:r>
        <w:rPr>
          <w:spacing w:val="-4"/>
          <w:sz w:val="21"/>
        </w:rPr>
        <w:t> </w:t>
      </w:r>
      <w:r>
        <w:rPr>
          <w:sz w:val="21"/>
        </w:rPr>
        <w:t>stability.</w:t>
      </w:r>
      <w:r>
        <w:rPr>
          <w:spacing w:val="-4"/>
          <w:sz w:val="21"/>
        </w:rPr>
        <w:t> </w:t>
      </w:r>
      <w:r>
        <w:rPr>
          <w:sz w:val="21"/>
        </w:rPr>
        <w:t>As a result, LGBTQ youth can experience homelessness or housing instability at a higher rate than their cisgender and straight counterparts, which makes it difficult to obtain work or job stability. In Massachusetts</w:t>
      </w:r>
      <w:r>
        <w:rPr>
          <w:spacing w:val="-8"/>
          <w:sz w:val="21"/>
        </w:rPr>
        <w:t> </w:t>
      </w:r>
      <w:r>
        <w:rPr>
          <w:sz w:val="21"/>
        </w:rPr>
        <w:t>in</w:t>
      </w:r>
      <w:r>
        <w:rPr>
          <w:spacing w:val="-8"/>
          <w:sz w:val="21"/>
        </w:rPr>
        <w:t> </w:t>
      </w:r>
      <w:r>
        <w:rPr>
          <w:sz w:val="21"/>
        </w:rPr>
        <w:t>general,</w:t>
      </w:r>
      <w:r>
        <w:rPr>
          <w:spacing w:val="-7"/>
          <w:sz w:val="21"/>
        </w:rPr>
        <w:t> </w:t>
      </w:r>
      <w:r>
        <w:rPr>
          <w:sz w:val="21"/>
        </w:rPr>
        <w:t>there</w:t>
      </w:r>
      <w:r>
        <w:rPr>
          <w:spacing w:val="-8"/>
          <w:sz w:val="21"/>
        </w:rPr>
        <w:t> </w:t>
      </w:r>
      <w:r>
        <w:rPr>
          <w:sz w:val="21"/>
        </w:rPr>
        <w:t>is</w:t>
      </w:r>
      <w:r>
        <w:rPr>
          <w:spacing w:val="-8"/>
          <w:sz w:val="21"/>
        </w:rPr>
        <w:t> </w:t>
      </w:r>
      <w:r>
        <w:rPr>
          <w:sz w:val="21"/>
        </w:rPr>
        <w:t>a</w:t>
      </w:r>
      <w:r>
        <w:rPr>
          <w:spacing w:val="-7"/>
          <w:sz w:val="21"/>
        </w:rPr>
        <w:t> </w:t>
      </w:r>
      <w:r>
        <w:rPr>
          <w:sz w:val="21"/>
        </w:rPr>
        <w:t>concentration</w:t>
      </w:r>
      <w:r>
        <w:rPr>
          <w:spacing w:val="-8"/>
          <w:sz w:val="21"/>
        </w:rPr>
        <w:t> </w:t>
      </w:r>
      <w:r>
        <w:rPr>
          <w:sz w:val="21"/>
        </w:rPr>
        <w:t>of</w:t>
      </w:r>
      <w:r>
        <w:rPr>
          <w:spacing w:val="-8"/>
          <w:sz w:val="21"/>
        </w:rPr>
        <w:t> </w:t>
      </w:r>
      <w:r>
        <w:rPr>
          <w:sz w:val="21"/>
        </w:rPr>
        <w:t>job</w:t>
      </w:r>
      <w:r>
        <w:rPr>
          <w:spacing w:val="-8"/>
          <w:sz w:val="21"/>
        </w:rPr>
        <w:t> </w:t>
      </w:r>
      <w:r>
        <w:rPr>
          <w:sz w:val="21"/>
        </w:rPr>
        <w:t>opportunities</w:t>
      </w:r>
      <w:r>
        <w:rPr>
          <w:spacing w:val="-8"/>
          <w:sz w:val="21"/>
        </w:rPr>
        <w:t> </w:t>
      </w:r>
      <w:r>
        <w:rPr>
          <w:sz w:val="21"/>
        </w:rPr>
        <w:t>in</w:t>
      </w:r>
      <w:r>
        <w:rPr>
          <w:spacing w:val="-8"/>
          <w:sz w:val="21"/>
        </w:rPr>
        <w:t> </w:t>
      </w:r>
      <w:r>
        <w:rPr>
          <w:sz w:val="21"/>
        </w:rPr>
        <w:t>the</w:t>
      </w:r>
      <w:r>
        <w:rPr>
          <w:spacing w:val="-9"/>
          <w:sz w:val="21"/>
        </w:rPr>
        <w:t> </w:t>
      </w:r>
      <w:r>
        <w:rPr>
          <w:sz w:val="21"/>
        </w:rPr>
        <w:t>metro</w:t>
      </w:r>
      <w:r>
        <w:rPr>
          <w:spacing w:val="-8"/>
          <w:sz w:val="21"/>
        </w:rPr>
        <w:t> </w:t>
      </w:r>
      <w:r>
        <w:rPr>
          <w:sz w:val="21"/>
        </w:rPr>
        <w:t>Boston</w:t>
      </w:r>
      <w:r>
        <w:rPr>
          <w:spacing w:val="-8"/>
          <w:sz w:val="21"/>
        </w:rPr>
        <w:t> </w:t>
      </w:r>
      <w:r>
        <w:rPr>
          <w:sz w:val="21"/>
        </w:rPr>
        <w:t>area.</w:t>
      </w:r>
      <w:r>
        <w:rPr>
          <w:spacing w:val="-8"/>
          <w:sz w:val="21"/>
        </w:rPr>
        <w:t> </w:t>
      </w:r>
      <w:r>
        <w:rPr>
          <w:sz w:val="21"/>
        </w:rPr>
        <w:t>However, there</w:t>
      </w:r>
      <w:r>
        <w:rPr>
          <w:spacing w:val="-3"/>
          <w:sz w:val="21"/>
        </w:rPr>
        <w:t> </w:t>
      </w:r>
      <w:r>
        <w:rPr>
          <w:sz w:val="21"/>
        </w:rPr>
        <w:t>is</w:t>
      </w:r>
      <w:r>
        <w:rPr>
          <w:spacing w:val="-3"/>
          <w:sz w:val="21"/>
        </w:rPr>
        <w:t> </w:t>
      </w:r>
      <w:r>
        <w:rPr>
          <w:sz w:val="21"/>
        </w:rPr>
        <w:t>limited</w:t>
      </w:r>
      <w:r>
        <w:rPr>
          <w:spacing w:val="-3"/>
          <w:sz w:val="21"/>
        </w:rPr>
        <w:t> </w:t>
      </w:r>
      <w:r>
        <w:rPr>
          <w:sz w:val="21"/>
        </w:rPr>
        <w:t>access</w:t>
      </w:r>
      <w:r>
        <w:rPr>
          <w:spacing w:val="-4"/>
          <w:sz w:val="21"/>
        </w:rPr>
        <w:t> </w:t>
      </w:r>
      <w:r>
        <w:rPr>
          <w:sz w:val="21"/>
        </w:rPr>
        <w:t>to</w:t>
      </w:r>
      <w:r>
        <w:rPr>
          <w:spacing w:val="-4"/>
          <w:sz w:val="21"/>
        </w:rPr>
        <w:t> </w:t>
      </w:r>
      <w:r>
        <w:rPr>
          <w:sz w:val="21"/>
        </w:rPr>
        <w:t>public</w:t>
      </w:r>
      <w:r>
        <w:rPr>
          <w:spacing w:val="-3"/>
          <w:sz w:val="21"/>
        </w:rPr>
        <w:t> </w:t>
      </w:r>
      <w:r>
        <w:rPr>
          <w:sz w:val="21"/>
        </w:rPr>
        <w:t>transportation</w:t>
      </w:r>
      <w:r>
        <w:rPr>
          <w:spacing w:val="-3"/>
          <w:sz w:val="21"/>
        </w:rPr>
        <w:t> </w:t>
      </w:r>
      <w:r>
        <w:rPr>
          <w:sz w:val="21"/>
        </w:rPr>
        <w:t>from</w:t>
      </w:r>
      <w:r>
        <w:rPr>
          <w:spacing w:val="-3"/>
          <w:sz w:val="21"/>
        </w:rPr>
        <w:t> </w:t>
      </w:r>
      <w:r>
        <w:rPr>
          <w:sz w:val="21"/>
        </w:rPr>
        <w:t>suburban</w:t>
      </w:r>
      <w:r>
        <w:rPr>
          <w:spacing w:val="-3"/>
          <w:sz w:val="21"/>
        </w:rPr>
        <w:t> </w:t>
      </w:r>
      <w:r>
        <w:rPr>
          <w:sz w:val="21"/>
        </w:rPr>
        <w:t>and</w:t>
      </w:r>
      <w:r>
        <w:rPr>
          <w:spacing w:val="-3"/>
          <w:sz w:val="21"/>
        </w:rPr>
        <w:t> </w:t>
      </w:r>
      <w:r>
        <w:rPr>
          <w:sz w:val="21"/>
        </w:rPr>
        <w:t>rural</w:t>
      </w:r>
      <w:r>
        <w:rPr>
          <w:spacing w:val="-3"/>
          <w:sz w:val="21"/>
        </w:rPr>
        <w:t> </w:t>
      </w:r>
      <w:r>
        <w:rPr>
          <w:sz w:val="21"/>
        </w:rPr>
        <w:t>areas,</w:t>
      </w:r>
      <w:r>
        <w:rPr>
          <w:spacing w:val="-4"/>
          <w:sz w:val="21"/>
        </w:rPr>
        <w:t> </w:t>
      </w:r>
      <w:r>
        <w:rPr>
          <w:sz w:val="21"/>
        </w:rPr>
        <w:t>a</w:t>
      </w:r>
      <w:r>
        <w:rPr>
          <w:spacing w:val="-4"/>
          <w:sz w:val="21"/>
        </w:rPr>
        <w:t> </w:t>
      </w:r>
      <w:r>
        <w:rPr>
          <w:sz w:val="21"/>
        </w:rPr>
        <w:t>shift</w:t>
      </w:r>
      <w:r>
        <w:rPr>
          <w:spacing w:val="-3"/>
          <w:sz w:val="21"/>
        </w:rPr>
        <w:t> </w:t>
      </w:r>
      <w:r>
        <w:rPr>
          <w:sz w:val="21"/>
        </w:rPr>
        <w:t>from</w:t>
      </w:r>
      <w:r>
        <w:rPr>
          <w:spacing w:val="-3"/>
          <w:sz w:val="21"/>
        </w:rPr>
        <w:t> </w:t>
      </w:r>
      <w:r>
        <w:rPr>
          <w:sz w:val="21"/>
        </w:rPr>
        <w:t>remote</w:t>
      </w:r>
      <w:r>
        <w:rPr>
          <w:spacing w:val="-3"/>
          <w:sz w:val="21"/>
        </w:rPr>
        <w:t> </w:t>
      </w:r>
      <w:r>
        <w:rPr>
          <w:sz w:val="21"/>
        </w:rPr>
        <w:t>work</w:t>
      </w:r>
      <w:r>
        <w:rPr>
          <w:spacing w:val="-4"/>
          <w:sz w:val="21"/>
        </w:rPr>
        <w:t> </w:t>
      </w:r>
      <w:r>
        <w:rPr>
          <w:sz w:val="21"/>
        </w:rPr>
        <w:t>to in-person or hybrid work, and a lack of accessible public transportation for youth with disabilities. This makes</w:t>
      </w:r>
      <w:r>
        <w:rPr>
          <w:spacing w:val="-12"/>
          <w:sz w:val="21"/>
        </w:rPr>
        <w:t> </w:t>
      </w:r>
      <w:r>
        <w:rPr>
          <w:sz w:val="21"/>
        </w:rPr>
        <w:t>it</w:t>
      </w:r>
      <w:r>
        <w:rPr>
          <w:spacing w:val="-12"/>
          <w:sz w:val="21"/>
        </w:rPr>
        <w:t> </w:t>
      </w:r>
      <w:r>
        <w:rPr>
          <w:sz w:val="21"/>
        </w:rPr>
        <w:t>difficult</w:t>
      </w:r>
      <w:r>
        <w:rPr>
          <w:spacing w:val="-12"/>
          <w:sz w:val="21"/>
        </w:rPr>
        <w:t> </w:t>
      </w:r>
      <w:r>
        <w:rPr>
          <w:sz w:val="21"/>
        </w:rPr>
        <w:t>for</w:t>
      </w:r>
      <w:r>
        <w:rPr>
          <w:spacing w:val="-11"/>
          <w:sz w:val="21"/>
        </w:rPr>
        <w:t> </w:t>
      </w:r>
      <w:r>
        <w:rPr>
          <w:sz w:val="21"/>
        </w:rPr>
        <w:t>those</w:t>
      </w:r>
      <w:r>
        <w:rPr>
          <w:spacing w:val="-12"/>
          <w:sz w:val="21"/>
        </w:rPr>
        <w:t> </w:t>
      </w:r>
      <w:r>
        <w:rPr>
          <w:sz w:val="21"/>
        </w:rPr>
        <w:t>who</w:t>
      </w:r>
      <w:r>
        <w:rPr>
          <w:spacing w:val="-12"/>
          <w:sz w:val="21"/>
        </w:rPr>
        <w:t> </w:t>
      </w:r>
      <w:r>
        <w:rPr>
          <w:sz w:val="21"/>
        </w:rPr>
        <w:t>already</w:t>
      </w:r>
      <w:r>
        <w:rPr>
          <w:spacing w:val="-12"/>
          <w:sz w:val="21"/>
        </w:rPr>
        <w:t> </w:t>
      </w:r>
      <w:r>
        <w:rPr>
          <w:sz w:val="21"/>
        </w:rPr>
        <w:t>face</w:t>
      </w:r>
      <w:r>
        <w:rPr>
          <w:spacing w:val="-12"/>
          <w:sz w:val="21"/>
        </w:rPr>
        <w:t> </w:t>
      </w:r>
      <w:r>
        <w:rPr>
          <w:sz w:val="21"/>
        </w:rPr>
        <w:t>a</w:t>
      </w:r>
      <w:r>
        <w:rPr>
          <w:spacing w:val="-11"/>
          <w:sz w:val="21"/>
        </w:rPr>
        <w:t> </w:t>
      </w:r>
      <w:r>
        <w:rPr>
          <w:sz w:val="21"/>
        </w:rPr>
        <w:t>lack</w:t>
      </w:r>
      <w:r>
        <w:rPr>
          <w:spacing w:val="-12"/>
          <w:sz w:val="21"/>
        </w:rPr>
        <w:t> </w:t>
      </w:r>
      <w:r>
        <w:rPr>
          <w:sz w:val="21"/>
        </w:rPr>
        <w:t>of</w:t>
      </w:r>
      <w:r>
        <w:rPr>
          <w:spacing w:val="-12"/>
          <w:sz w:val="21"/>
        </w:rPr>
        <w:t> </w:t>
      </w:r>
      <w:r>
        <w:rPr>
          <w:sz w:val="21"/>
        </w:rPr>
        <w:t>career</w:t>
      </w:r>
      <w:r>
        <w:rPr>
          <w:spacing w:val="-11"/>
          <w:sz w:val="21"/>
        </w:rPr>
        <w:t> </w:t>
      </w:r>
      <w:r>
        <w:rPr>
          <w:sz w:val="21"/>
        </w:rPr>
        <w:t>opportunities</w:t>
      </w:r>
      <w:r>
        <w:rPr>
          <w:spacing w:val="-12"/>
          <w:sz w:val="21"/>
        </w:rPr>
        <w:t> </w:t>
      </w:r>
      <w:r>
        <w:rPr>
          <w:sz w:val="21"/>
        </w:rPr>
        <w:t>based</w:t>
      </w:r>
      <w:r>
        <w:rPr>
          <w:spacing w:val="-11"/>
          <w:sz w:val="21"/>
        </w:rPr>
        <w:t> </w:t>
      </w:r>
      <w:r>
        <w:rPr>
          <w:sz w:val="21"/>
        </w:rPr>
        <w:t>on</w:t>
      </w:r>
      <w:r>
        <w:rPr>
          <w:spacing w:val="-11"/>
          <w:sz w:val="21"/>
        </w:rPr>
        <w:t> </w:t>
      </w:r>
      <w:r>
        <w:rPr>
          <w:sz w:val="21"/>
        </w:rPr>
        <w:t>their</w:t>
      </w:r>
      <w:r>
        <w:rPr>
          <w:spacing w:val="-12"/>
          <w:sz w:val="21"/>
        </w:rPr>
        <w:t> </w:t>
      </w:r>
      <w:r>
        <w:rPr>
          <w:sz w:val="21"/>
        </w:rPr>
        <w:t>location,</w:t>
      </w:r>
      <w:r>
        <w:rPr>
          <w:spacing w:val="-12"/>
          <w:sz w:val="21"/>
        </w:rPr>
        <w:t> </w:t>
      </w:r>
      <w:r>
        <w:rPr>
          <w:sz w:val="21"/>
        </w:rPr>
        <w:t>especially those</w:t>
      </w:r>
      <w:r>
        <w:rPr>
          <w:spacing w:val="-7"/>
          <w:sz w:val="21"/>
        </w:rPr>
        <w:t> </w:t>
      </w:r>
      <w:r>
        <w:rPr>
          <w:sz w:val="21"/>
        </w:rPr>
        <w:t>in</w:t>
      </w:r>
      <w:r>
        <w:rPr>
          <w:spacing w:val="-8"/>
          <w:sz w:val="21"/>
        </w:rPr>
        <w:t> </w:t>
      </w:r>
      <w:r>
        <w:rPr>
          <w:sz w:val="21"/>
        </w:rPr>
        <w:t>Western</w:t>
      </w:r>
      <w:r>
        <w:rPr>
          <w:spacing w:val="-7"/>
          <w:sz w:val="21"/>
        </w:rPr>
        <w:t> </w:t>
      </w:r>
      <w:r>
        <w:rPr>
          <w:sz w:val="21"/>
        </w:rPr>
        <w:t>Mass</w:t>
      </w:r>
      <w:r>
        <w:rPr>
          <w:spacing w:val="-8"/>
          <w:sz w:val="21"/>
        </w:rPr>
        <w:t> </w:t>
      </w:r>
      <w:r>
        <w:rPr>
          <w:sz w:val="21"/>
        </w:rPr>
        <w:t>and</w:t>
      </w:r>
      <w:r>
        <w:rPr>
          <w:spacing w:val="-8"/>
          <w:sz w:val="21"/>
        </w:rPr>
        <w:t> </w:t>
      </w:r>
      <w:r>
        <w:rPr>
          <w:sz w:val="21"/>
        </w:rPr>
        <w:t>rural</w:t>
      </w:r>
      <w:r>
        <w:rPr>
          <w:spacing w:val="-7"/>
          <w:sz w:val="21"/>
        </w:rPr>
        <w:t> </w:t>
      </w:r>
      <w:r>
        <w:rPr>
          <w:sz w:val="21"/>
        </w:rPr>
        <w:t>areas,</w:t>
      </w:r>
      <w:r>
        <w:rPr>
          <w:spacing w:val="-7"/>
          <w:sz w:val="21"/>
        </w:rPr>
        <w:t> </w:t>
      </w:r>
      <w:r>
        <w:rPr>
          <w:sz w:val="21"/>
        </w:rPr>
        <w:t>to</w:t>
      </w:r>
      <w:r>
        <w:rPr>
          <w:spacing w:val="-8"/>
          <w:sz w:val="21"/>
        </w:rPr>
        <w:t> </w:t>
      </w:r>
      <w:r>
        <w:rPr>
          <w:sz w:val="21"/>
        </w:rPr>
        <w:t>obtain</w:t>
      </w:r>
      <w:r>
        <w:rPr>
          <w:spacing w:val="-8"/>
          <w:sz w:val="21"/>
        </w:rPr>
        <w:t> </w:t>
      </w:r>
      <w:r>
        <w:rPr>
          <w:sz w:val="21"/>
        </w:rPr>
        <w:t>employment</w:t>
      </w:r>
      <w:r>
        <w:rPr>
          <w:spacing w:val="-6"/>
          <w:sz w:val="21"/>
        </w:rPr>
        <w:t> </w:t>
      </w:r>
      <w:r>
        <w:rPr>
          <w:sz w:val="21"/>
        </w:rPr>
        <w:t>above</w:t>
      </w:r>
      <w:r>
        <w:rPr>
          <w:spacing w:val="-8"/>
          <w:sz w:val="21"/>
        </w:rPr>
        <w:t> </w:t>
      </w:r>
      <w:r>
        <w:rPr>
          <w:sz w:val="21"/>
        </w:rPr>
        <w:t>entry-level,</w:t>
      </w:r>
      <w:r>
        <w:rPr>
          <w:spacing w:val="-7"/>
          <w:sz w:val="21"/>
        </w:rPr>
        <w:t> </w:t>
      </w:r>
      <w:r>
        <w:rPr>
          <w:sz w:val="21"/>
        </w:rPr>
        <w:t>minimum</w:t>
      </w:r>
      <w:r>
        <w:rPr>
          <w:spacing w:val="-6"/>
          <w:sz w:val="21"/>
        </w:rPr>
        <w:t> </w:t>
      </w:r>
      <w:r>
        <w:rPr>
          <w:sz w:val="21"/>
        </w:rPr>
        <w:t>wage</w:t>
      </w:r>
      <w:r>
        <w:rPr>
          <w:spacing w:val="-8"/>
          <w:sz w:val="21"/>
        </w:rPr>
        <w:t> </w:t>
      </w:r>
      <w:r>
        <w:rPr>
          <w:sz w:val="21"/>
        </w:rPr>
        <w:t>positions. For LGBTQ youth who do not have the financial support of their families based on their identity, it is not possible to cover the expenses for commuting into Boston for work or renting an apartment near public </w:t>
      </w:r>
      <w:r>
        <w:rPr>
          <w:spacing w:val="-2"/>
          <w:sz w:val="21"/>
        </w:rPr>
        <w:t>transportation.</w:t>
      </w:r>
    </w:p>
    <w:p>
      <w:pPr>
        <w:spacing w:line="276" w:lineRule="auto" w:before="241"/>
        <w:ind w:left="603" w:right="421" w:firstLine="0"/>
        <w:jc w:val="both"/>
        <w:rPr>
          <w:sz w:val="21"/>
        </w:rPr>
      </w:pPr>
      <w:r>
        <w:rPr>
          <w:sz w:val="21"/>
        </w:rPr>
        <w:t>The MA legislature must engage in initiatives to remove barriers to employment, foster career readiness, and to support LGBTQ youth’s transition</w:t>
      </w:r>
      <w:r>
        <w:rPr>
          <w:spacing w:val="-1"/>
          <w:sz w:val="21"/>
        </w:rPr>
        <w:t> </w:t>
      </w:r>
      <w:r>
        <w:rPr>
          <w:sz w:val="21"/>
        </w:rPr>
        <w:t>to the labor force so that the Commonwealth is a place where all youth can thrive - both holistically and economically.</w:t>
      </w:r>
    </w:p>
    <w:p>
      <w:pPr>
        <w:spacing w:before="238"/>
        <w:ind w:left="604" w:right="0" w:firstLine="0"/>
        <w:jc w:val="both"/>
        <w:rPr>
          <w:sz w:val="25"/>
        </w:rPr>
      </w:pPr>
      <w:bookmarkStart w:name="FY 2025 Recommendations to the Governor " w:id="73"/>
      <w:bookmarkEnd w:id="73"/>
      <w:r>
        <w:rPr/>
      </w:r>
      <w:r>
        <w:rPr>
          <w:color w:val="404040"/>
          <w:sz w:val="25"/>
        </w:rPr>
        <w:t>FY</w:t>
      </w:r>
      <w:r>
        <w:rPr>
          <w:color w:val="404040"/>
          <w:spacing w:val="-9"/>
          <w:sz w:val="25"/>
        </w:rPr>
        <w:t> </w:t>
      </w:r>
      <w:r>
        <w:rPr>
          <w:color w:val="404040"/>
          <w:sz w:val="25"/>
        </w:rPr>
        <w:t>2025</w:t>
      </w:r>
      <w:r>
        <w:rPr>
          <w:color w:val="404040"/>
          <w:spacing w:val="-9"/>
          <w:sz w:val="25"/>
        </w:rPr>
        <w:t> </w:t>
      </w:r>
      <w:r>
        <w:rPr>
          <w:color w:val="404040"/>
          <w:sz w:val="25"/>
        </w:rPr>
        <w:t>Recommendations</w:t>
      </w:r>
      <w:r>
        <w:rPr>
          <w:color w:val="404040"/>
          <w:spacing w:val="-9"/>
          <w:sz w:val="25"/>
        </w:rPr>
        <w:t> </w:t>
      </w:r>
      <w:r>
        <w:rPr>
          <w:color w:val="404040"/>
          <w:sz w:val="25"/>
        </w:rPr>
        <w:t>to</w:t>
      </w:r>
      <w:r>
        <w:rPr>
          <w:color w:val="404040"/>
          <w:spacing w:val="-7"/>
          <w:sz w:val="25"/>
        </w:rPr>
        <w:t> </w:t>
      </w:r>
      <w:r>
        <w:rPr>
          <w:color w:val="404040"/>
          <w:sz w:val="25"/>
        </w:rPr>
        <w:t>the</w:t>
      </w:r>
      <w:r>
        <w:rPr>
          <w:color w:val="404040"/>
          <w:spacing w:val="-7"/>
          <w:sz w:val="25"/>
        </w:rPr>
        <w:t> </w:t>
      </w:r>
      <w:r>
        <w:rPr>
          <w:color w:val="404040"/>
          <w:sz w:val="25"/>
        </w:rPr>
        <w:t>Governor</w:t>
      </w:r>
      <w:r>
        <w:rPr>
          <w:color w:val="404040"/>
          <w:spacing w:val="-8"/>
          <w:sz w:val="25"/>
        </w:rPr>
        <w:t> </w:t>
      </w:r>
      <w:r>
        <w:rPr>
          <w:color w:val="404040"/>
          <w:sz w:val="25"/>
        </w:rPr>
        <w:t>&amp;</w:t>
      </w:r>
      <w:r>
        <w:rPr>
          <w:color w:val="404040"/>
          <w:spacing w:val="-8"/>
          <w:sz w:val="25"/>
        </w:rPr>
        <w:t> </w:t>
      </w:r>
      <w:r>
        <w:rPr>
          <w:color w:val="404040"/>
          <w:sz w:val="25"/>
        </w:rPr>
        <w:t>Legislature</w:t>
      </w:r>
      <w:r>
        <w:rPr>
          <w:color w:val="404040"/>
          <w:spacing w:val="-8"/>
          <w:sz w:val="25"/>
        </w:rPr>
        <w:t> </w:t>
      </w:r>
      <w:r>
        <w:rPr>
          <w:color w:val="404040"/>
          <w:sz w:val="25"/>
        </w:rPr>
        <w:t>on</w:t>
      </w:r>
      <w:r>
        <w:rPr>
          <w:color w:val="404040"/>
          <w:spacing w:val="-9"/>
          <w:sz w:val="25"/>
        </w:rPr>
        <w:t> </w:t>
      </w:r>
      <w:r>
        <w:rPr>
          <w:color w:val="404040"/>
          <w:sz w:val="25"/>
        </w:rPr>
        <w:t>Economic</w:t>
      </w:r>
      <w:r>
        <w:rPr>
          <w:color w:val="404040"/>
          <w:spacing w:val="-8"/>
          <w:sz w:val="25"/>
        </w:rPr>
        <w:t> </w:t>
      </w:r>
      <w:r>
        <w:rPr>
          <w:color w:val="404040"/>
          <w:spacing w:val="-2"/>
          <w:sz w:val="25"/>
        </w:rPr>
        <w:t>Justice</w:t>
      </w:r>
    </w:p>
    <w:p>
      <w:pPr>
        <w:pStyle w:val="ListParagraph"/>
        <w:numPr>
          <w:ilvl w:val="0"/>
          <w:numId w:val="13"/>
        </w:numPr>
        <w:tabs>
          <w:tab w:pos="1049" w:val="left" w:leader="none"/>
        </w:tabs>
        <w:spacing w:line="240" w:lineRule="auto" w:before="286" w:after="0"/>
        <w:ind w:left="1049" w:right="0" w:hanging="229"/>
        <w:jc w:val="left"/>
        <w:rPr>
          <w:sz w:val="21"/>
        </w:rPr>
      </w:pPr>
      <w:r>
        <w:rPr>
          <w:sz w:val="21"/>
        </w:rPr>
        <w:t>Improve</w:t>
      </w:r>
      <w:r>
        <w:rPr>
          <w:spacing w:val="-6"/>
          <w:sz w:val="21"/>
        </w:rPr>
        <w:t> </w:t>
      </w:r>
      <w:r>
        <w:rPr>
          <w:sz w:val="21"/>
        </w:rPr>
        <w:t>access</w:t>
      </w:r>
      <w:r>
        <w:rPr>
          <w:spacing w:val="-4"/>
          <w:sz w:val="21"/>
        </w:rPr>
        <w:t> </w:t>
      </w:r>
      <w:r>
        <w:rPr>
          <w:sz w:val="21"/>
        </w:rPr>
        <w:t>to</w:t>
      </w:r>
      <w:r>
        <w:rPr>
          <w:spacing w:val="-3"/>
          <w:sz w:val="21"/>
        </w:rPr>
        <w:t> </w:t>
      </w:r>
      <w:r>
        <w:rPr>
          <w:sz w:val="21"/>
        </w:rPr>
        <w:t>LGBTQ-affirming</w:t>
      </w:r>
      <w:r>
        <w:rPr>
          <w:spacing w:val="-3"/>
          <w:sz w:val="21"/>
        </w:rPr>
        <w:t> </w:t>
      </w:r>
      <w:r>
        <w:rPr>
          <w:sz w:val="21"/>
        </w:rPr>
        <w:t>job</w:t>
      </w:r>
      <w:r>
        <w:rPr>
          <w:spacing w:val="-3"/>
          <w:sz w:val="21"/>
        </w:rPr>
        <w:t> </w:t>
      </w:r>
      <w:r>
        <w:rPr>
          <w:sz w:val="21"/>
        </w:rPr>
        <w:t>and</w:t>
      </w:r>
      <w:r>
        <w:rPr>
          <w:spacing w:val="-3"/>
          <w:sz w:val="21"/>
        </w:rPr>
        <w:t> </w:t>
      </w:r>
      <w:r>
        <w:rPr>
          <w:sz w:val="21"/>
        </w:rPr>
        <w:t>professional</w:t>
      </w:r>
      <w:r>
        <w:rPr>
          <w:spacing w:val="-3"/>
          <w:sz w:val="21"/>
        </w:rPr>
        <w:t> </w:t>
      </w:r>
      <w:r>
        <w:rPr>
          <w:sz w:val="21"/>
        </w:rPr>
        <w:t>development</w:t>
      </w:r>
      <w:r>
        <w:rPr>
          <w:spacing w:val="-4"/>
          <w:sz w:val="21"/>
        </w:rPr>
        <w:t> </w:t>
      </w:r>
      <w:r>
        <w:rPr>
          <w:sz w:val="21"/>
        </w:rPr>
        <w:t>opportunities</w:t>
      </w:r>
      <w:r>
        <w:rPr>
          <w:spacing w:val="-3"/>
          <w:sz w:val="21"/>
        </w:rPr>
        <w:t> </w:t>
      </w:r>
      <w:r>
        <w:rPr>
          <w:sz w:val="21"/>
        </w:rPr>
        <w:t>in</w:t>
      </w:r>
      <w:r>
        <w:rPr>
          <w:spacing w:val="-3"/>
          <w:sz w:val="21"/>
        </w:rPr>
        <w:t> </w:t>
      </w:r>
      <w:r>
        <w:rPr>
          <w:sz w:val="21"/>
        </w:rPr>
        <w:t>rural</w:t>
      </w:r>
      <w:r>
        <w:rPr>
          <w:spacing w:val="-3"/>
          <w:sz w:val="21"/>
        </w:rPr>
        <w:t> </w:t>
      </w:r>
      <w:r>
        <w:rPr>
          <w:spacing w:val="-2"/>
          <w:sz w:val="21"/>
        </w:rPr>
        <w:t>areas.</w:t>
      </w:r>
    </w:p>
    <w:p>
      <w:pPr>
        <w:pStyle w:val="ListParagraph"/>
        <w:numPr>
          <w:ilvl w:val="0"/>
          <w:numId w:val="13"/>
        </w:numPr>
        <w:tabs>
          <w:tab w:pos="1049" w:val="left" w:leader="none"/>
        </w:tabs>
        <w:spacing w:line="240" w:lineRule="auto" w:before="37" w:after="0"/>
        <w:ind w:left="1049" w:right="0" w:hanging="229"/>
        <w:jc w:val="left"/>
        <w:rPr>
          <w:sz w:val="21"/>
        </w:rPr>
      </w:pPr>
      <w:r>
        <w:rPr>
          <w:sz w:val="21"/>
        </w:rPr>
        <w:t>Improve</w:t>
      </w:r>
      <w:r>
        <w:rPr>
          <w:spacing w:val="-4"/>
          <w:sz w:val="21"/>
        </w:rPr>
        <w:t> </w:t>
      </w:r>
      <w:r>
        <w:rPr>
          <w:sz w:val="21"/>
        </w:rPr>
        <w:t>independent</w:t>
      </w:r>
      <w:r>
        <w:rPr>
          <w:spacing w:val="-3"/>
          <w:sz w:val="21"/>
        </w:rPr>
        <w:t> </w:t>
      </w:r>
      <w:r>
        <w:rPr>
          <w:sz w:val="21"/>
        </w:rPr>
        <w:t>living</w:t>
      </w:r>
      <w:r>
        <w:rPr>
          <w:spacing w:val="-4"/>
          <w:sz w:val="21"/>
        </w:rPr>
        <w:t> </w:t>
      </w:r>
      <w:r>
        <w:rPr>
          <w:sz w:val="21"/>
        </w:rPr>
        <w:t>support</w:t>
      </w:r>
      <w:r>
        <w:rPr>
          <w:spacing w:val="-3"/>
          <w:sz w:val="21"/>
        </w:rPr>
        <w:t> </w:t>
      </w:r>
      <w:r>
        <w:rPr>
          <w:sz w:val="21"/>
        </w:rPr>
        <w:t>for</w:t>
      </w:r>
      <w:r>
        <w:rPr>
          <w:spacing w:val="-4"/>
          <w:sz w:val="21"/>
        </w:rPr>
        <w:t> </w:t>
      </w:r>
      <w:r>
        <w:rPr>
          <w:sz w:val="21"/>
        </w:rPr>
        <w:t>transition-age</w:t>
      </w:r>
      <w:r>
        <w:rPr>
          <w:spacing w:val="-4"/>
          <w:sz w:val="21"/>
        </w:rPr>
        <w:t> </w:t>
      </w:r>
      <w:r>
        <w:rPr>
          <w:sz w:val="21"/>
        </w:rPr>
        <w:t>foster</w:t>
      </w:r>
      <w:r>
        <w:rPr>
          <w:spacing w:val="-3"/>
          <w:sz w:val="21"/>
        </w:rPr>
        <w:t> </w:t>
      </w:r>
      <w:r>
        <w:rPr>
          <w:spacing w:val="-2"/>
          <w:sz w:val="21"/>
        </w:rPr>
        <w:t>youth.</w:t>
      </w:r>
    </w:p>
    <w:p>
      <w:pPr>
        <w:pStyle w:val="ListParagraph"/>
        <w:numPr>
          <w:ilvl w:val="0"/>
          <w:numId w:val="13"/>
        </w:numPr>
        <w:tabs>
          <w:tab w:pos="1049" w:val="left" w:leader="none"/>
        </w:tabs>
        <w:spacing w:line="240" w:lineRule="auto" w:before="35" w:after="0"/>
        <w:ind w:left="1049" w:right="0" w:hanging="229"/>
        <w:jc w:val="left"/>
        <w:rPr>
          <w:sz w:val="21"/>
        </w:rPr>
      </w:pPr>
      <w:r>
        <w:rPr>
          <w:sz w:val="21"/>
        </w:rPr>
        <w:t>Fund</w:t>
      </w:r>
      <w:r>
        <w:rPr>
          <w:spacing w:val="-6"/>
          <w:sz w:val="21"/>
        </w:rPr>
        <w:t> </w:t>
      </w:r>
      <w:r>
        <w:rPr>
          <w:sz w:val="21"/>
        </w:rPr>
        <w:t>employment</w:t>
      </w:r>
      <w:r>
        <w:rPr>
          <w:spacing w:val="-2"/>
          <w:sz w:val="21"/>
        </w:rPr>
        <w:t> </w:t>
      </w:r>
      <w:r>
        <w:rPr>
          <w:sz w:val="21"/>
        </w:rPr>
        <w:t>programming</w:t>
      </w:r>
      <w:r>
        <w:rPr>
          <w:spacing w:val="-3"/>
          <w:sz w:val="21"/>
        </w:rPr>
        <w:t> </w:t>
      </w:r>
      <w:r>
        <w:rPr>
          <w:sz w:val="21"/>
        </w:rPr>
        <w:t>designed</w:t>
      </w:r>
      <w:r>
        <w:rPr>
          <w:spacing w:val="-3"/>
          <w:sz w:val="21"/>
        </w:rPr>
        <w:t> </w:t>
      </w:r>
      <w:r>
        <w:rPr>
          <w:sz w:val="21"/>
        </w:rPr>
        <w:t>to</w:t>
      </w:r>
      <w:r>
        <w:rPr>
          <w:spacing w:val="-4"/>
          <w:sz w:val="21"/>
        </w:rPr>
        <w:t> </w:t>
      </w:r>
      <w:r>
        <w:rPr>
          <w:sz w:val="21"/>
        </w:rPr>
        <w:t>support</w:t>
      </w:r>
      <w:r>
        <w:rPr>
          <w:spacing w:val="-4"/>
          <w:sz w:val="21"/>
        </w:rPr>
        <w:t> </w:t>
      </w:r>
      <w:r>
        <w:rPr>
          <w:sz w:val="21"/>
        </w:rPr>
        <w:t>LGBTQ</w:t>
      </w:r>
      <w:r>
        <w:rPr>
          <w:spacing w:val="-3"/>
          <w:sz w:val="21"/>
        </w:rPr>
        <w:t> </w:t>
      </w:r>
      <w:r>
        <w:rPr>
          <w:sz w:val="21"/>
        </w:rPr>
        <w:t>youth</w:t>
      </w:r>
      <w:r>
        <w:rPr>
          <w:spacing w:val="-4"/>
          <w:sz w:val="21"/>
        </w:rPr>
        <w:t> </w:t>
      </w:r>
      <w:r>
        <w:rPr>
          <w:sz w:val="21"/>
        </w:rPr>
        <w:t>experiencing</w:t>
      </w:r>
      <w:r>
        <w:rPr>
          <w:spacing w:val="-3"/>
          <w:sz w:val="21"/>
        </w:rPr>
        <w:t> </w:t>
      </w:r>
      <w:r>
        <w:rPr>
          <w:spacing w:val="-2"/>
          <w:sz w:val="21"/>
        </w:rPr>
        <w:t>homelessness.</w:t>
      </w:r>
    </w:p>
    <w:p>
      <w:pPr>
        <w:spacing w:after="0" w:line="240" w:lineRule="auto"/>
        <w:jc w:val="left"/>
        <w:rPr>
          <w:sz w:val="21"/>
        </w:rPr>
        <w:sectPr>
          <w:headerReference w:type="default" r:id="rId42"/>
          <w:footerReference w:type="default" r:id="rId43"/>
          <w:pgSz w:w="12240" w:h="15840"/>
          <w:pgMar w:header="0" w:footer="1061" w:top="1140" w:bottom="1260" w:left="980" w:right="1160"/>
        </w:sectPr>
      </w:pPr>
    </w:p>
    <w:p>
      <w:pPr>
        <w:spacing w:before="29"/>
        <w:ind w:left="604" w:right="0" w:firstLine="0"/>
        <w:jc w:val="both"/>
        <w:rPr>
          <w:sz w:val="28"/>
        </w:rPr>
      </w:pPr>
      <w:bookmarkStart w:name="Eliminating Barriers to Service (2023)" w:id="74"/>
      <w:bookmarkEnd w:id="74"/>
      <w:r>
        <w:rPr/>
      </w:r>
      <w:r>
        <w:rPr>
          <w:color w:val="365F91"/>
          <w:sz w:val="28"/>
        </w:rPr>
        <w:t>Eliminating</w:t>
      </w:r>
      <w:r>
        <w:rPr>
          <w:color w:val="365F91"/>
          <w:spacing w:val="-11"/>
          <w:sz w:val="28"/>
        </w:rPr>
        <w:t> </w:t>
      </w:r>
      <w:r>
        <w:rPr>
          <w:color w:val="365F91"/>
          <w:sz w:val="28"/>
        </w:rPr>
        <w:t>Barriers</w:t>
      </w:r>
      <w:r>
        <w:rPr>
          <w:color w:val="365F91"/>
          <w:spacing w:val="-11"/>
          <w:sz w:val="28"/>
        </w:rPr>
        <w:t> </w:t>
      </w:r>
      <w:r>
        <w:rPr>
          <w:color w:val="365F91"/>
          <w:sz w:val="28"/>
        </w:rPr>
        <w:t>to</w:t>
      </w:r>
      <w:r>
        <w:rPr>
          <w:color w:val="365F91"/>
          <w:spacing w:val="-11"/>
          <w:sz w:val="28"/>
        </w:rPr>
        <w:t> </w:t>
      </w:r>
      <w:r>
        <w:rPr>
          <w:color w:val="365F91"/>
          <w:sz w:val="28"/>
        </w:rPr>
        <w:t>Service</w:t>
      </w:r>
      <w:r>
        <w:rPr>
          <w:color w:val="365F91"/>
          <w:spacing w:val="-11"/>
          <w:sz w:val="28"/>
        </w:rPr>
        <w:t> </w:t>
      </w:r>
      <w:r>
        <w:rPr>
          <w:color w:val="365F91"/>
          <w:spacing w:val="-2"/>
          <w:sz w:val="28"/>
        </w:rPr>
        <w:t>(2023)</w:t>
      </w:r>
    </w:p>
    <w:p>
      <w:pPr>
        <w:spacing w:line="276" w:lineRule="auto" w:before="293"/>
        <w:ind w:left="604" w:right="421" w:hanging="1"/>
        <w:jc w:val="both"/>
        <w:rPr>
          <w:sz w:val="21"/>
        </w:rPr>
      </w:pPr>
      <w:r>
        <w:rPr>
          <w:spacing w:val="-2"/>
          <w:sz w:val="21"/>
        </w:rPr>
        <w:t>Supporting</w:t>
      </w:r>
      <w:r>
        <w:rPr>
          <w:spacing w:val="-6"/>
          <w:sz w:val="21"/>
        </w:rPr>
        <w:t> </w:t>
      </w:r>
      <w:r>
        <w:rPr>
          <w:spacing w:val="-2"/>
          <w:sz w:val="21"/>
        </w:rPr>
        <w:t>and</w:t>
      </w:r>
      <w:r>
        <w:rPr>
          <w:spacing w:val="-5"/>
          <w:sz w:val="21"/>
        </w:rPr>
        <w:t> </w:t>
      </w:r>
      <w:r>
        <w:rPr>
          <w:spacing w:val="-2"/>
          <w:sz w:val="21"/>
        </w:rPr>
        <w:t>affirming</w:t>
      </w:r>
      <w:r>
        <w:rPr>
          <w:spacing w:val="-8"/>
          <w:sz w:val="21"/>
        </w:rPr>
        <w:t> </w:t>
      </w:r>
      <w:r>
        <w:rPr>
          <w:spacing w:val="-2"/>
          <w:sz w:val="21"/>
        </w:rPr>
        <w:t>LGBTQ</w:t>
      </w:r>
      <w:r>
        <w:rPr>
          <w:spacing w:val="-5"/>
          <w:sz w:val="21"/>
        </w:rPr>
        <w:t> </w:t>
      </w:r>
      <w:r>
        <w:rPr>
          <w:spacing w:val="-2"/>
          <w:sz w:val="21"/>
        </w:rPr>
        <w:t>youth</w:t>
      </w:r>
      <w:r>
        <w:rPr>
          <w:spacing w:val="-8"/>
          <w:sz w:val="21"/>
        </w:rPr>
        <w:t> </w:t>
      </w:r>
      <w:r>
        <w:rPr>
          <w:spacing w:val="-2"/>
          <w:sz w:val="21"/>
        </w:rPr>
        <w:t>in</w:t>
      </w:r>
      <w:r>
        <w:rPr>
          <w:spacing w:val="-8"/>
          <w:sz w:val="21"/>
        </w:rPr>
        <w:t> </w:t>
      </w:r>
      <w:r>
        <w:rPr>
          <w:spacing w:val="-2"/>
          <w:sz w:val="21"/>
        </w:rPr>
        <w:t>Massachusetts</w:t>
      </w:r>
      <w:r>
        <w:rPr>
          <w:spacing w:val="-6"/>
          <w:sz w:val="21"/>
        </w:rPr>
        <w:t> </w:t>
      </w:r>
      <w:r>
        <w:rPr>
          <w:spacing w:val="-2"/>
          <w:sz w:val="21"/>
        </w:rPr>
        <w:t>requires</w:t>
      </w:r>
      <w:r>
        <w:rPr>
          <w:spacing w:val="-8"/>
          <w:sz w:val="21"/>
        </w:rPr>
        <w:t> </w:t>
      </w:r>
      <w:r>
        <w:rPr>
          <w:spacing w:val="-2"/>
          <w:sz w:val="21"/>
        </w:rPr>
        <w:t>an</w:t>
      </w:r>
      <w:r>
        <w:rPr>
          <w:spacing w:val="-8"/>
          <w:sz w:val="21"/>
        </w:rPr>
        <w:t> </w:t>
      </w:r>
      <w:r>
        <w:rPr>
          <w:spacing w:val="-2"/>
          <w:sz w:val="21"/>
        </w:rPr>
        <w:t>integrated</w:t>
      </w:r>
      <w:r>
        <w:rPr>
          <w:spacing w:val="-5"/>
          <w:sz w:val="21"/>
        </w:rPr>
        <w:t> </w:t>
      </w:r>
      <w:r>
        <w:rPr>
          <w:spacing w:val="-2"/>
          <w:sz w:val="21"/>
        </w:rPr>
        <w:t>and</w:t>
      </w:r>
      <w:r>
        <w:rPr>
          <w:spacing w:val="-6"/>
          <w:sz w:val="21"/>
        </w:rPr>
        <w:t> </w:t>
      </w:r>
      <w:r>
        <w:rPr>
          <w:spacing w:val="-2"/>
          <w:sz w:val="21"/>
        </w:rPr>
        <w:t>comprehensive</w:t>
      </w:r>
      <w:r>
        <w:rPr>
          <w:spacing w:val="-9"/>
          <w:sz w:val="21"/>
        </w:rPr>
        <w:t> </w:t>
      </w:r>
      <w:r>
        <w:rPr>
          <w:spacing w:val="-2"/>
          <w:sz w:val="21"/>
        </w:rPr>
        <w:t>effort</w:t>
      </w:r>
      <w:r>
        <w:rPr>
          <w:spacing w:val="8"/>
          <w:sz w:val="21"/>
        </w:rPr>
        <w:t> </w:t>
      </w:r>
      <w:r>
        <w:rPr>
          <w:spacing w:val="-2"/>
          <w:sz w:val="21"/>
        </w:rPr>
        <w:t>by </w:t>
      </w:r>
      <w:r>
        <w:rPr>
          <w:sz w:val="21"/>
        </w:rPr>
        <w:t>all</w:t>
      </w:r>
      <w:r>
        <w:rPr>
          <w:spacing w:val="-7"/>
          <w:sz w:val="21"/>
        </w:rPr>
        <w:t> </w:t>
      </w:r>
      <w:r>
        <w:rPr>
          <w:sz w:val="21"/>
        </w:rPr>
        <w:t>state</w:t>
      </w:r>
      <w:r>
        <w:rPr>
          <w:spacing w:val="-7"/>
          <w:sz w:val="21"/>
        </w:rPr>
        <w:t> </w:t>
      </w:r>
      <w:r>
        <w:rPr>
          <w:sz w:val="21"/>
        </w:rPr>
        <w:t>systems,</w:t>
      </w:r>
      <w:r>
        <w:rPr>
          <w:spacing w:val="-6"/>
          <w:sz w:val="21"/>
        </w:rPr>
        <w:t> </w:t>
      </w:r>
      <w:r>
        <w:rPr>
          <w:sz w:val="21"/>
        </w:rPr>
        <w:t>leaders,</w:t>
      </w:r>
      <w:r>
        <w:rPr>
          <w:spacing w:val="-6"/>
          <w:sz w:val="21"/>
        </w:rPr>
        <w:t> </w:t>
      </w:r>
      <w:r>
        <w:rPr>
          <w:sz w:val="21"/>
        </w:rPr>
        <w:t>educators,</w:t>
      </w:r>
      <w:r>
        <w:rPr>
          <w:spacing w:val="-6"/>
          <w:sz w:val="21"/>
        </w:rPr>
        <w:t> </w:t>
      </w:r>
      <w:r>
        <w:rPr>
          <w:sz w:val="21"/>
        </w:rPr>
        <w:t>providers,</w:t>
      </w:r>
      <w:r>
        <w:rPr>
          <w:spacing w:val="-6"/>
          <w:sz w:val="21"/>
        </w:rPr>
        <w:t> </w:t>
      </w:r>
      <w:r>
        <w:rPr>
          <w:sz w:val="21"/>
        </w:rPr>
        <w:t>and</w:t>
      </w:r>
      <w:r>
        <w:rPr>
          <w:spacing w:val="-7"/>
          <w:sz w:val="21"/>
        </w:rPr>
        <w:t> </w:t>
      </w:r>
      <w:r>
        <w:rPr>
          <w:sz w:val="21"/>
        </w:rPr>
        <w:t>advocates.</w:t>
      </w:r>
      <w:r>
        <w:rPr>
          <w:spacing w:val="-7"/>
          <w:sz w:val="21"/>
        </w:rPr>
        <w:t> </w:t>
      </w:r>
      <w:r>
        <w:rPr>
          <w:sz w:val="21"/>
        </w:rPr>
        <w:t>In</w:t>
      </w:r>
      <w:r>
        <w:rPr>
          <w:spacing w:val="-7"/>
          <w:sz w:val="21"/>
        </w:rPr>
        <w:t> </w:t>
      </w:r>
      <w:r>
        <w:rPr>
          <w:sz w:val="21"/>
        </w:rPr>
        <w:t>the</w:t>
      </w:r>
      <w:r>
        <w:rPr>
          <w:spacing w:val="-7"/>
          <w:sz w:val="21"/>
        </w:rPr>
        <w:t> </w:t>
      </w:r>
      <w:r>
        <w:rPr>
          <w:sz w:val="21"/>
        </w:rPr>
        <w:t>development</w:t>
      </w:r>
      <w:r>
        <w:rPr>
          <w:spacing w:val="-6"/>
          <w:sz w:val="21"/>
        </w:rPr>
        <w:t> </w:t>
      </w:r>
      <w:r>
        <w:rPr>
          <w:sz w:val="21"/>
        </w:rPr>
        <w:t>of</w:t>
      </w:r>
      <w:r>
        <w:rPr>
          <w:spacing w:val="-7"/>
          <w:sz w:val="21"/>
        </w:rPr>
        <w:t> </w:t>
      </w:r>
      <w:r>
        <w:rPr>
          <w:sz w:val="21"/>
        </w:rPr>
        <w:t>the</w:t>
      </w:r>
      <w:r>
        <w:rPr>
          <w:spacing w:val="-7"/>
          <w:sz w:val="21"/>
        </w:rPr>
        <w:t> </w:t>
      </w:r>
      <w:r>
        <w:rPr>
          <w:sz w:val="21"/>
        </w:rPr>
        <w:t>Commission’s</w:t>
      </w:r>
      <w:r>
        <w:rPr>
          <w:spacing w:val="-7"/>
          <w:sz w:val="21"/>
        </w:rPr>
        <w:t> </w:t>
      </w:r>
      <w:r>
        <w:rPr>
          <w:sz w:val="21"/>
        </w:rPr>
        <w:t>FY 2024 annual report, it noted many overarching themes of gaps in data collection, a greater need for mandatory and comprehensive trainings, and expanded policy development across the state. Throughout this</w:t>
      </w:r>
      <w:r>
        <w:rPr>
          <w:spacing w:val="-9"/>
          <w:sz w:val="21"/>
        </w:rPr>
        <w:t> </w:t>
      </w:r>
      <w:r>
        <w:rPr>
          <w:sz w:val="21"/>
        </w:rPr>
        <w:t>report,</w:t>
      </w:r>
      <w:r>
        <w:rPr>
          <w:spacing w:val="-4"/>
          <w:sz w:val="21"/>
        </w:rPr>
        <w:t> </w:t>
      </w:r>
      <w:r>
        <w:rPr>
          <w:sz w:val="21"/>
        </w:rPr>
        <w:t>the</w:t>
      </w:r>
      <w:r>
        <w:rPr>
          <w:spacing w:val="-3"/>
          <w:sz w:val="21"/>
        </w:rPr>
        <w:t> </w:t>
      </w:r>
      <w:r>
        <w:rPr>
          <w:sz w:val="21"/>
        </w:rPr>
        <w:t>Commission</w:t>
      </w:r>
      <w:r>
        <w:rPr>
          <w:spacing w:val="-2"/>
          <w:sz w:val="21"/>
        </w:rPr>
        <w:t> </w:t>
      </w:r>
      <w:r>
        <w:rPr>
          <w:sz w:val="21"/>
        </w:rPr>
        <w:t>has</w:t>
      </w:r>
      <w:r>
        <w:rPr>
          <w:spacing w:val="-4"/>
          <w:sz w:val="21"/>
        </w:rPr>
        <w:t> </w:t>
      </w:r>
      <w:r>
        <w:rPr>
          <w:sz w:val="21"/>
        </w:rPr>
        <w:t>highlighted</w:t>
      </w:r>
      <w:r>
        <w:rPr>
          <w:spacing w:val="-3"/>
          <w:sz w:val="21"/>
        </w:rPr>
        <w:t> </w:t>
      </w:r>
      <w:r>
        <w:rPr>
          <w:sz w:val="21"/>
        </w:rPr>
        <w:t>numerous</w:t>
      </w:r>
      <w:r>
        <w:rPr>
          <w:spacing w:val="-5"/>
          <w:sz w:val="21"/>
        </w:rPr>
        <w:t> </w:t>
      </w:r>
      <w:r>
        <w:rPr>
          <w:sz w:val="21"/>
        </w:rPr>
        <w:t>areas</w:t>
      </w:r>
      <w:r>
        <w:rPr>
          <w:spacing w:val="-4"/>
          <w:sz w:val="21"/>
        </w:rPr>
        <w:t> </w:t>
      </w:r>
      <w:r>
        <w:rPr>
          <w:sz w:val="21"/>
        </w:rPr>
        <w:t>in</w:t>
      </w:r>
      <w:r>
        <w:rPr>
          <w:spacing w:val="-3"/>
          <w:sz w:val="21"/>
        </w:rPr>
        <w:t> </w:t>
      </w:r>
      <w:r>
        <w:rPr>
          <w:sz w:val="21"/>
        </w:rPr>
        <w:t>its</w:t>
      </w:r>
      <w:r>
        <w:rPr>
          <w:spacing w:val="-3"/>
          <w:sz w:val="21"/>
        </w:rPr>
        <w:t> </w:t>
      </w:r>
      <w:r>
        <w:rPr>
          <w:sz w:val="21"/>
        </w:rPr>
        <w:t>core</w:t>
      </w:r>
      <w:r>
        <w:rPr>
          <w:spacing w:val="-3"/>
          <w:sz w:val="21"/>
        </w:rPr>
        <w:t> </w:t>
      </w:r>
      <w:r>
        <w:rPr>
          <w:sz w:val="21"/>
        </w:rPr>
        <w:t>sections</w:t>
      </w:r>
      <w:r>
        <w:rPr>
          <w:spacing w:val="-4"/>
          <w:sz w:val="21"/>
        </w:rPr>
        <w:t> </w:t>
      </w:r>
      <w:r>
        <w:rPr>
          <w:sz w:val="21"/>
        </w:rPr>
        <w:t>and</w:t>
      </w:r>
      <w:r>
        <w:rPr>
          <w:spacing w:val="-3"/>
          <w:sz w:val="21"/>
        </w:rPr>
        <w:t> </w:t>
      </w:r>
      <w:r>
        <w:rPr>
          <w:sz w:val="21"/>
        </w:rPr>
        <w:t>below</w:t>
      </w:r>
      <w:r>
        <w:rPr>
          <w:spacing w:val="-12"/>
          <w:sz w:val="21"/>
        </w:rPr>
        <w:t> </w:t>
      </w:r>
      <w:r>
        <w:rPr>
          <w:sz w:val="21"/>
        </w:rPr>
        <w:t>agency</w:t>
      </w:r>
      <w:r>
        <w:rPr>
          <w:spacing w:val="-12"/>
          <w:sz w:val="21"/>
        </w:rPr>
        <w:t> </w:t>
      </w:r>
      <w:r>
        <w:rPr>
          <w:sz w:val="21"/>
        </w:rPr>
        <w:t>sections that</w:t>
      </w:r>
      <w:r>
        <w:rPr>
          <w:spacing w:val="-5"/>
          <w:sz w:val="21"/>
        </w:rPr>
        <w:t> </w:t>
      </w:r>
      <w:r>
        <w:rPr>
          <w:sz w:val="21"/>
        </w:rPr>
        <w:t>Massachusetts</w:t>
      </w:r>
      <w:r>
        <w:rPr>
          <w:spacing w:val="-7"/>
          <w:sz w:val="21"/>
        </w:rPr>
        <w:t> </w:t>
      </w:r>
      <w:r>
        <w:rPr>
          <w:sz w:val="21"/>
        </w:rPr>
        <w:t>must</w:t>
      </w:r>
      <w:r>
        <w:rPr>
          <w:spacing w:val="-4"/>
          <w:sz w:val="21"/>
        </w:rPr>
        <w:t> </w:t>
      </w:r>
      <w:r>
        <w:rPr>
          <w:sz w:val="21"/>
        </w:rPr>
        <w:t>address</w:t>
      </w:r>
      <w:r>
        <w:rPr>
          <w:spacing w:val="-7"/>
          <w:sz w:val="21"/>
        </w:rPr>
        <w:t> </w:t>
      </w:r>
      <w:r>
        <w:rPr>
          <w:sz w:val="21"/>
        </w:rPr>
        <w:t>to</w:t>
      </w:r>
      <w:r>
        <w:rPr>
          <w:spacing w:val="-4"/>
          <w:sz w:val="21"/>
        </w:rPr>
        <w:t> </w:t>
      </w:r>
      <w:r>
        <w:rPr>
          <w:sz w:val="21"/>
        </w:rPr>
        <w:t>better</w:t>
      </w:r>
      <w:r>
        <w:rPr>
          <w:spacing w:val="-4"/>
          <w:sz w:val="21"/>
        </w:rPr>
        <w:t> </w:t>
      </w:r>
      <w:r>
        <w:rPr>
          <w:sz w:val="21"/>
        </w:rPr>
        <w:t>support</w:t>
      </w:r>
      <w:r>
        <w:rPr>
          <w:spacing w:val="-5"/>
          <w:sz w:val="21"/>
        </w:rPr>
        <w:t> </w:t>
      </w:r>
      <w:r>
        <w:rPr>
          <w:sz w:val="21"/>
        </w:rPr>
        <w:t>the</w:t>
      </w:r>
      <w:r>
        <w:rPr>
          <w:spacing w:val="-5"/>
          <w:sz w:val="21"/>
        </w:rPr>
        <w:t> </w:t>
      </w:r>
      <w:r>
        <w:rPr>
          <w:sz w:val="21"/>
        </w:rPr>
        <w:t>overall</w:t>
      </w:r>
      <w:r>
        <w:rPr>
          <w:spacing w:val="-5"/>
          <w:sz w:val="21"/>
        </w:rPr>
        <w:t> </w:t>
      </w:r>
      <w:r>
        <w:rPr>
          <w:sz w:val="21"/>
        </w:rPr>
        <w:t>well-being</w:t>
      </w:r>
      <w:r>
        <w:rPr>
          <w:spacing w:val="-4"/>
          <w:sz w:val="21"/>
        </w:rPr>
        <w:t> </w:t>
      </w:r>
      <w:r>
        <w:rPr>
          <w:sz w:val="21"/>
        </w:rPr>
        <w:t>of</w:t>
      </w:r>
      <w:r>
        <w:rPr>
          <w:spacing w:val="-7"/>
          <w:sz w:val="21"/>
        </w:rPr>
        <w:t> </w:t>
      </w:r>
      <w:r>
        <w:rPr>
          <w:sz w:val="21"/>
        </w:rPr>
        <w:t>LGBTQ youth and families.</w:t>
      </w:r>
    </w:p>
    <w:p>
      <w:pPr>
        <w:spacing w:line="276" w:lineRule="auto" w:before="240"/>
        <w:ind w:left="603" w:right="419" w:firstLine="1"/>
        <w:jc w:val="both"/>
        <w:rPr>
          <w:sz w:val="21"/>
        </w:rPr>
      </w:pPr>
      <w:r>
        <w:rPr>
          <w:sz w:val="21"/>
        </w:rPr>
        <w:t>This section provides an overview of the Commission’s recommendations on thematic areas applicable to the whole state, as well as suggested revisions to existing Massachusetts laws. With this section, the Commission advises the state on recommendations that broadly intersect the core sections of the Commission’s annual report and</w:t>
      </w:r>
      <w:r>
        <w:rPr>
          <w:spacing w:val="-1"/>
          <w:sz w:val="21"/>
        </w:rPr>
        <w:t> </w:t>
      </w:r>
      <w:r>
        <w:rPr>
          <w:sz w:val="21"/>
        </w:rPr>
        <w:t>the below agency recommendations</w:t>
      </w:r>
      <w:r>
        <w:rPr>
          <w:spacing w:val="-3"/>
          <w:sz w:val="21"/>
        </w:rPr>
        <w:t> </w:t>
      </w:r>
      <w:r>
        <w:rPr>
          <w:sz w:val="21"/>
        </w:rPr>
        <w:t>to affirm and support LGBTQ</w:t>
      </w:r>
      <w:r>
        <w:rPr>
          <w:spacing w:val="-2"/>
          <w:sz w:val="21"/>
        </w:rPr>
        <w:t> </w:t>
      </w:r>
      <w:r>
        <w:rPr>
          <w:sz w:val="21"/>
        </w:rPr>
        <w:t>youth. The Commission appreciates the ongoing collaboration opportunities with its community and agency partners, legislators, and youth into FY 2025.</w:t>
      </w:r>
    </w:p>
    <w:p>
      <w:pPr>
        <w:spacing w:before="239"/>
        <w:ind w:left="604" w:right="0" w:firstLine="0"/>
        <w:jc w:val="both"/>
        <w:rPr>
          <w:sz w:val="25"/>
        </w:rPr>
      </w:pPr>
      <w:bookmarkStart w:name="FY 2025 Recommendations to the Commonwea" w:id="75"/>
      <w:bookmarkEnd w:id="75"/>
      <w:r>
        <w:rPr/>
      </w:r>
      <w:r>
        <w:rPr>
          <w:color w:val="404040"/>
          <w:sz w:val="25"/>
        </w:rPr>
        <w:t>FY</w:t>
      </w:r>
      <w:r>
        <w:rPr>
          <w:color w:val="404040"/>
          <w:spacing w:val="-10"/>
          <w:sz w:val="25"/>
        </w:rPr>
        <w:t> </w:t>
      </w:r>
      <w:r>
        <w:rPr>
          <w:color w:val="404040"/>
          <w:sz w:val="25"/>
        </w:rPr>
        <w:t>2025</w:t>
      </w:r>
      <w:r>
        <w:rPr>
          <w:color w:val="404040"/>
          <w:spacing w:val="-9"/>
          <w:sz w:val="25"/>
        </w:rPr>
        <w:t> </w:t>
      </w:r>
      <w:r>
        <w:rPr>
          <w:color w:val="404040"/>
          <w:sz w:val="25"/>
        </w:rPr>
        <w:t>Recommendations</w:t>
      </w:r>
      <w:r>
        <w:rPr>
          <w:color w:val="404040"/>
          <w:spacing w:val="-9"/>
          <w:sz w:val="25"/>
        </w:rPr>
        <w:t> </w:t>
      </w:r>
      <w:r>
        <w:rPr>
          <w:color w:val="404040"/>
          <w:sz w:val="25"/>
        </w:rPr>
        <w:t>to</w:t>
      </w:r>
      <w:r>
        <w:rPr>
          <w:color w:val="404040"/>
          <w:spacing w:val="-8"/>
          <w:sz w:val="25"/>
        </w:rPr>
        <w:t> </w:t>
      </w:r>
      <w:r>
        <w:rPr>
          <w:color w:val="404040"/>
          <w:sz w:val="25"/>
        </w:rPr>
        <w:t>the</w:t>
      </w:r>
      <w:r>
        <w:rPr>
          <w:color w:val="404040"/>
          <w:spacing w:val="-8"/>
          <w:sz w:val="25"/>
        </w:rPr>
        <w:t> </w:t>
      </w:r>
      <w:r>
        <w:rPr>
          <w:color w:val="404040"/>
          <w:sz w:val="25"/>
        </w:rPr>
        <w:t>Commonwealth</w:t>
      </w:r>
      <w:r>
        <w:rPr>
          <w:color w:val="404040"/>
          <w:spacing w:val="-10"/>
          <w:sz w:val="25"/>
        </w:rPr>
        <w:t> </w:t>
      </w:r>
      <w:r>
        <w:rPr>
          <w:color w:val="404040"/>
          <w:sz w:val="25"/>
        </w:rPr>
        <w:t>of</w:t>
      </w:r>
      <w:r>
        <w:rPr>
          <w:color w:val="404040"/>
          <w:spacing w:val="-8"/>
          <w:sz w:val="25"/>
        </w:rPr>
        <w:t> </w:t>
      </w:r>
      <w:r>
        <w:rPr>
          <w:color w:val="404040"/>
          <w:spacing w:val="-2"/>
          <w:sz w:val="25"/>
        </w:rPr>
        <w:t>Massachusetts</w:t>
      </w:r>
    </w:p>
    <w:p>
      <w:pPr>
        <w:pStyle w:val="ListParagraph"/>
        <w:numPr>
          <w:ilvl w:val="0"/>
          <w:numId w:val="14"/>
        </w:numPr>
        <w:tabs>
          <w:tab w:pos="1048" w:val="left" w:leader="none"/>
          <w:tab w:pos="1050" w:val="left" w:leader="none"/>
        </w:tabs>
        <w:spacing w:line="276" w:lineRule="auto" w:before="286" w:after="0"/>
        <w:ind w:left="1050" w:right="638" w:hanging="231"/>
        <w:jc w:val="both"/>
        <w:rPr>
          <w:sz w:val="22"/>
        </w:rPr>
      </w:pPr>
      <w:r>
        <w:rPr>
          <w:sz w:val="22"/>
        </w:rPr>
        <w:t>Improve and standardize SOGIE data collection practices to allow for more cross-agency data analysis and develop a plan to update all relevant state forms asking about sex, gender, and sexual orientation demographics.</w:t>
      </w:r>
    </w:p>
    <w:p>
      <w:pPr>
        <w:pStyle w:val="ListParagraph"/>
        <w:numPr>
          <w:ilvl w:val="0"/>
          <w:numId w:val="14"/>
        </w:numPr>
        <w:tabs>
          <w:tab w:pos="1048" w:val="left" w:leader="none"/>
          <w:tab w:pos="1050" w:val="left" w:leader="none"/>
        </w:tabs>
        <w:spacing w:line="276" w:lineRule="auto" w:before="240" w:after="0"/>
        <w:ind w:left="1050" w:right="636" w:hanging="231"/>
        <w:jc w:val="both"/>
        <w:rPr>
          <w:sz w:val="22"/>
        </w:rPr>
      </w:pPr>
      <w:bookmarkStart w:name="2. Mandate that all state agencies devel" w:id="76"/>
      <w:bookmarkEnd w:id="76"/>
      <w:r>
        <w:rPr/>
      </w:r>
      <w:r>
        <w:rPr>
          <w:sz w:val="22"/>
        </w:rPr>
        <w:t>Mandate that all state agencies develop a nondiscrimination policy, and a plan to review all relevant internal policies to ensure LGBTQ-inclusivity.</w:t>
      </w:r>
    </w:p>
    <w:p>
      <w:pPr>
        <w:pStyle w:val="ListParagraph"/>
        <w:numPr>
          <w:ilvl w:val="0"/>
          <w:numId w:val="14"/>
        </w:numPr>
        <w:tabs>
          <w:tab w:pos="1049" w:val="left" w:leader="none"/>
        </w:tabs>
        <w:spacing w:line="240" w:lineRule="auto" w:before="240" w:after="0"/>
        <w:ind w:left="1049" w:right="0" w:hanging="229"/>
        <w:jc w:val="left"/>
        <w:rPr>
          <w:sz w:val="22"/>
        </w:rPr>
      </w:pPr>
      <w:bookmarkStart w:name="3. Ensure that all agencies are providin" w:id="77"/>
      <w:bookmarkEnd w:id="77"/>
      <w:r>
        <w:rPr/>
      </w:r>
      <w:r>
        <w:rPr>
          <w:sz w:val="22"/>
        </w:rPr>
        <w:t>Ensure</w:t>
      </w:r>
      <w:r>
        <w:rPr>
          <w:spacing w:val="-9"/>
          <w:sz w:val="22"/>
        </w:rPr>
        <w:t> </w:t>
      </w:r>
      <w:r>
        <w:rPr>
          <w:sz w:val="22"/>
        </w:rPr>
        <w:t>that</w:t>
      </w:r>
      <w:r>
        <w:rPr>
          <w:spacing w:val="-8"/>
          <w:sz w:val="22"/>
        </w:rPr>
        <w:t> </w:t>
      </w:r>
      <w:r>
        <w:rPr>
          <w:sz w:val="22"/>
        </w:rPr>
        <w:t>all</w:t>
      </w:r>
      <w:r>
        <w:rPr>
          <w:spacing w:val="-9"/>
          <w:sz w:val="22"/>
        </w:rPr>
        <w:t> </w:t>
      </w:r>
      <w:r>
        <w:rPr>
          <w:sz w:val="22"/>
        </w:rPr>
        <w:t>agencies</w:t>
      </w:r>
      <w:r>
        <w:rPr>
          <w:spacing w:val="-9"/>
          <w:sz w:val="22"/>
        </w:rPr>
        <w:t> </w:t>
      </w:r>
      <w:r>
        <w:rPr>
          <w:sz w:val="22"/>
        </w:rPr>
        <w:t>are</w:t>
      </w:r>
      <w:r>
        <w:rPr>
          <w:spacing w:val="-9"/>
          <w:sz w:val="22"/>
        </w:rPr>
        <w:t> </w:t>
      </w:r>
      <w:r>
        <w:rPr>
          <w:sz w:val="22"/>
        </w:rPr>
        <w:t>providing</w:t>
      </w:r>
      <w:r>
        <w:rPr>
          <w:spacing w:val="-8"/>
          <w:sz w:val="22"/>
        </w:rPr>
        <w:t> </w:t>
      </w:r>
      <w:r>
        <w:rPr>
          <w:sz w:val="22"/>
        </w:rPr>
        <w:t>mandated</w:t>
      </w:r>
      <w:r>
        <w:rPr>
          <w:spacing w:val="-9"/>
          <w:sz w:val="22"/>
        </w:rPr>
        <w:t> </w:t>
      </w:r>
      <w:r>
        <w:rPr>
          <w:sz w:val="22"/>
        </w:rPr>
        <w:t>LGBTQ</w:t>
      </w:r>
      <w:r>
        <w:rPr>
          <w:spacing w:val="-8"/>
          <w:sz w:val="22"/>
        </w:rPr>
        <w:t> </w:t>
      </w:r>
      <w:r>
        <w:rPr>
          <w:sz w:val="22"/>
        </w:rPr>
        <w:t>cultural</w:t>
      </w:r>
      <w:r>
        <w:rPr>
          <w:spacing w:val="-9"/>
          <w:sz w:val="22"/>
        </w:rPr>
        <w:t> </w:t>
      </w:r>
      <w:r>
        <w:rPr>
          <w:sz w:val="22"/>
        </w:rPr>
        <w:t>awareness</w:t>
      </w:r>
      <w:r>
        <w:rPr>
          <w:spacing w:val="-9"/>
          <w:sz w:val="22"/>
        </w:rPr>
        <w:t> </w:t>
      </w:r>
      <w:r>
        <w:rPr>
          <w:spacing w:val="-2"/>
          <w:sz w:val="22"/>
        </w:rPr>
        <w:t>trainings.</w:t>
      </w:r>
    </w:p>
    <w:p>
      <w:pPr>
        <w:pStyle w:val="BodyText"/>
        <w:spacing w:before="11"/>
      </w:pPr>
    </w:p>
    <w:p>
      <w:pPr>
        <w:pStyle w:val="ListParagraph"/>
        <w:numPr>
          <w:ilvl w:val="0"/>
          <w:numId w:val="14"/>
        </w:numPr>
        <w:tabs>
          <w:tab w:pos="1049" w:val="left" w:leader="none"/>
          <w:tab w:pos="1051" w:val="left" w:leader="none"/>
        </w:tabs>
        <w:spacing w:line="276" w:lineRule="auto" w:before="1" w:after="0"/>
        <w:ind w:left="1051" w:right="638" w:hanging="231"/>
        <w:jc w:val="both"/>
        <w:rPr>
          <w:sz w:val="22"/>
        </w:rPr>
      </w:pPr>
      <w:bookmarkStart w:name="4. Develop a Youth Risk Behavior Survey " w:id="78"/>
      <w:bookmarkEnd w:id="78"/>
      <w:r>
        <w:rPr/>
      </w:r>
      <w:r>
        <w:rPr>
          <w:sz w:val="22"/>
        </w:rPr>
        <w:t>Develop a Youth Risk Behavior Survey at the middle-school level and conduct an assessment on the needs of parents and elementary school educators.</w:t>
      </w:r>
    </w:p>
    <w:p>
      <w:pPr>
        <w:pStyle w:val="ListParagraph"/>
        <w:numPr>
          <w:ilvl w:val="0"/>
          <w:numId w:val="14"/>
        </w:numPr>
        <w:tabs>
          <w:tab w:pos="1049" w:val="left" w:leader="none"/>
        </w:tabs>
        <w:spacing w:line="240" w:lineRule="auto" w:before="240" w:after="0"/>
        <w:ind w:left="1049" w:right="0" w:hanging="229"/>
        <w:jc w:val="left"/>
        <w:rPr>
          <w:sz w:val="22"/>
        </w:rPr>
      </w:pPr>
      <w:bookmarkStart w:name="5. Codify provisions to allow residents " w:id="79"/>
      <w:bookmarkEnd w:id="79"/>
      <w:r>
        <w:rPr/>
      </w:r>
      <w:r>
        <w:rPr>
          <w:sz w:val="22"/>
        </w:rPr>
        <w:t>Codify</w:t>
      </w:r>
      <w:r>
        <w:rPr>
          <w:spacing w:val="-8"/>
          <w:sz w:val="22"/>
        </w:rPr>
        <w:t> </w:t>
      </w:r>
      <w:r>
        <w:rPr>
          <w:sz w:val="22"/>
        </w:rPr>
        <w:t>provisions</w:t>
      </w:r>
      <w:r>
        <w:rPr>
          <w:spacing w:val="-8"/>
          <w:sz w:val="22"/>
        </w:rPr>
        <w:t> </w:t>
      </w:r>
      <w:r>
        <w:rPr>
          <w:sz w:val="22"/>
        </w:rPr>
        <w:t>to</w:t>
      </w:r>
      <w:r>
        <w:rPr>
          <w:spacing w:val="-7"/>
          <w:sz w:val="22"/>
        </w:rPr>
        <w:t> </w:t>
      </w:r>
      <w:r>
        <w:rPr>
          <w:sz w:val="22"/>
        </w:rPr>
        <w:t>allow</w:t>
      </w:r>
      <w:r>
        <w:rPr>
          <w:spacing w:val="-8"/>
          <w:sz w:val="22"/>
        </w:rPr>
        <w:t> </w:t>
      </w:r>
      <w:r>
        <w:rPr>
          <w:sz w:val="22"/>
        </w:rPr>
        <w:t>residents</w:t>
      </w:r>
      <w:r>
        <w:rPr>
          <w:spacing w:val="-6"/>
          <w:sz w:val="22"/>
        </w:rPr>
        <w:t> </w:t>
      </w:r>
      <w:r>
        <w:rPr>
          <w:sz w:val="22"/>
        </w:rPr>
        <w:t>to</w:t>
      </w:r>
      <w:r>
        <w:rPr>
          <w:spacing w:val="-7"/>
          <w:sz w:val="22"/>
        </w:rPr>
        <w:t> </w:t>
      </w:r>
      <w:r>
        <w:rPr>
          <w:sz w:val="22"/>
        </w:rPr>
        <w:t>change</w:t>
      </w:r>
      <w:r>
        <w:rPr>
          <w:spacing w:val="-7"/>
          <w:sz w:val="22"/>
        </w:rPr>
        <w:t> </w:t>
      </w:r>
      <w:r>
        <w:rPr>
          <w:sz w:val="22"/>
        </w:rPr>
        <w:t>gender</w:t>
      </w:r>
      <w:r>
        <w:rPr>
          <w:spacing w:val="-8"/>
          <w:sz w:val="22"/>
        </w:rPr>
        <w:t> </w:t>
      </w:r>
      <w:r>
        <w:rPr>
          <w:sz w:val="22"/>
        </w:rPr>
        <w:t>markers</w:t>
      </w:r>
      <w:r>
        <w:rPr>
          <w:spacing w:val="-8"/>
          <w:sz w:val="22"/>
        </w:rPr>
        <w:t> </w:t>
      </w:r>
      <w:r>
        <w:rPr>
          <w:sz w:val="22"/>
        </w:rPr>
        <w:t>on</w:t>
      </w:r>
      <w:r>
        <w:rPr>
          <w:spacing w:val="-6"/>
          <w:sz w:val="22"/>
        </w:rPr>
        <w:t> </w:t>
      </w:r>
      <w:r>
        <w:rPr>
          <w:sz w:val="22"/>
        </w:rPr>
        <w:t>birth</w:t>
      </w:r>
      <w:r>
        <w:rPr>
          <w:spacing w:val="-7"/>
          <w:sz w:val="22"/>
        </w:rPr>
        <w:t> </w:t>
      </w:r>
      <w:r>
        <w:rPr>
          <w:spacing w:val="-2"/>
          <w:sz w:val="22"/>
        </w:rPr>
        <w:t>certificates.</w:t>
      </w:r>
    </w:p>
    <w:p>
      <w:pPr>
        <w:pStyle w:val="BodyText"/>
        <w:spacing w:before="11"/>
      </w:pPr>
    </w:p>
    <w:p>
      <w:pPr>
        <w:pStyle w:val="ListParagraph"/>
        <w:numPr>
          <w:ilvl w:val="0"/>
          <w:numId w:val="14"/>
        </w:numPr>
        <w:tabs>
          <w:tab w:pos="1050" w:val="left" w:leader="none"/>
        </w:tabs>
        <w:spacing w:line="240" w:lineRule="auto" w:before="0" w:after="0"/>
        <w:ind w:left="1050" w:right="0" w:hanging="229"/>
        <w:jc w:val="left"/>
        <w:rPr>
          <w:sz w:val="22"/>
        </w:rPr>
      </w:pPr>
      <w:bookmarkStart w:name="6. Update the state plumbing code to all" w:id="80"/>
      <w:bookmarkEnd w:id="80"/>
      <w:r>
        <w:rPr/>
      </w:r>
      <w:r>
        <w:rPr>
          <w:sz w:val="22"/>
        </w:rPr>
        <w:t>Update</w:t>
      </w:r>
      <w:r>
        <w:rPr>
          <w:spacing w:val="-7"/>
          <w:sz w:val="22"/>
        </w:rPr>
        <w:t> </w:t>
      </w:r>
      <w:r>
        <w:rPr>
          <w:sz w:val="22"/>
        </w:rPr>
        <w:t>the</w:t>
      </w:r>
      <w:r>
        <w:rPr>
          <w:spacing w:val="-6"/>
          <w:sz w:val="22"/>
        </w:rPr>
        <w:t> </w:t>
      </w:r>
      <w:r>
        <w:rPr>
          <w:sz w:val="22"/>
        </w:rPr>
        <w:t>state</w:t>
      </w:r>
      <w:r>
        <w:rPr>
          <w:spacing w:val="-7"/>
          <w:sz w:val="22"/>
        </w:rPr>
        <w:t> </w:t>
      </w:r>
      <w:r>
        <w:rPr>
          <w:sz w:val="22"/>
        </w:rPr>
        <w:t>plumbing</w:t>
      </w:r>
      <w:r>
        <w:rPr>
          <w:spacing w:val="-6"/>
          <w:sz w:val="22"/>
        </w:rPr>
        <w:t> </w:t>
      </w:r>
      <w:r>
        <w:rPr>
          <w:sz w:val="22"/>
        </w:rPr>
        <w:t>code</w:t>
      </w:r>
      <w:r>
        <w:rPr>
          <w:spacing w:val="-6"/>
          <w:sz w:val="22"/>
        </w:rPr>
        <w:t> </w:t>
      </w:r>
      <w:r>
        <w:rPr>
          <w:sz w:val="22"/>
        </w:rPr>
        <w:t>to</w:t>
      </w:r>
      <w:r>
        <w:rPr>
          <w:spacing w:val="-6"/>
          <w:sz w:val="22"/>
        </w:rPr>
        <w:t> </w:t>
      </w:r>
      <w:r>
        <w:rPr>
          <w:sz w:val="22"/>
        </w:rPr>
        <w:t>allow</w:t>
      </w:r>
      <w:r>
        <w:rPr>
          <w:spacing w:val="-7"/>
          <w:sz w:val="22"/>
        </w:rPr>
        <w:t> </w:t>
      </w:r>
      <w:r>
        <w:rPr>
          <w:sz w:val="22"/>
        </w:rPr>
        <w:t>for</w:t>
      </w:r>
      <w:r>
        <w:rPr>
          <w:spacing w:val="-7"/>
          <w:sz w:val="22"/>
        </w:rPr>
        <w:t> </w:t>
      </w:r>
      <w:r>
        <w:rPr>
          <w:sz w:val="22"/>
        </w:rPr>
        <w:t>the</w:t>
      </w:r>
      <w:r>
        <w:rPr>
          <w:spacing w:val="-6"/>
          <w:sz w:val="22"/>
        </w:rPr>
        <w:t> </w:t>
      </w:r>
      <w:r>
        <w:rPr>
          <w:sz w:val="22"/>
        </w:rPr>
        <w:t>creation</w:t>
      </w:r>
      <w:r>
        <w:rPr>
          <w:spacing w:val="-7"/>
          <w:sz w:val="22"/>
        </w:rPr>
        <w:t> </w:t>
      </w:r>
      <w:r>
        <w:rPr>
          <w:sz w:val="22"/>
        </w:rPr>
        <w:t>of</w:t>
      </w:r>
      <w:r>
        <w:rPr>
          <w:spacing w:val="-7"/>
          <w:sz w:val="22"/>
        </w:rPr>
        <w:t> </w:t>
      </w:r>
      <w:r>
        <w:rPr>
          <w:sz w:val="22"/>
        </w:rPr>
        <w:t>multi-stall</w:t>
      </w:r>
      <w:r>
        <w:rPr>
          <w:spacing w:val="-7"/>
          <w:sz w:val="22"/>
        </w:rPr>
        <w:t> </w:t>
      </w:r>
      <w:r>
        <w:rPr>
          <w:sz w:val="22"/>
        </w:rPr>
        <w:t>all</w:t>
      </w:r>
      <w:r>
        <w:rPr>
          <w:spacing w:val="-7"/>
          <w:sz w:val="22"/>
        </w:rPr>
        <w:t> </w:t>
      </w:r>
      <w:r>
        <w:rPr>
          <w:sz w:val="22"/>
        </w:rPr>
        <w:t>gender</w:t>
      </w:r>
      <w:r>
        <w:rPr>
          <w:spacing w:val="-7"/>
          <w:sz w:val="22"/>
        </w:rPr>
        <w:t> </w:t>
      </w:r>
      <w:r>
        <w:rPr>
          <w:spacing w:val="-2"/>
          <w:sz w:val="22"/>
        </w:rPr>
        <w:t>restrooms.</w:t>
      </w:r>
    </w:p>
    <w:p>
      <w:pPr>
        <w:pStyle w:val="BodyText"/>
        <w:spacing w:before="12"/>
      </w:pPr>
    </w:p>
    <w:p>
      <w:pPr>
        <w:pStyle w:val="ListParagraph"/>
        <w:numPr>
          <w:ilvl w:val="0"/>
          <w:numId w:val="14"/>
        </w:numPr>
        <w:tabs>
          <w:tab w:pos="1050" w:val="left" w:leader="none"/>
        </w:tabs>
        <w:spacing w:line="240" w:lineRule="auto" w:before="1" w:after="0"/>
        <w:ind w:left="1050" w:right="0" w:hanging="229"/>
        <w:jc w:val="left"/>
        <w:rPr>
          <w:sz w:val="22"/>
        </w:rPr>
      </w:pPr>
      <w:bookmarkStart w:name="7. Eliminate archaic homophobic and tran" w:id="81"/>
      <w:bookmarkEnd w:id="81"/>
      <w:r>
        <w:rPr/>
      </w:r>
      <w:r>
        <w:rPr>
          <w:sz w:val="22"/>
        </w:rPr>
        <w:t>Eliminate</w:t>
      </w:r>
      <w:r>
        <w:rPr>
          <w:spacing w:val="-11"/>
          <w:sz w:val="22"/>
        </w:rPr>
        <w:t> </w:t>
      </w:r>
      <w:r>
        <w:rPr>
          <w:sz w:val="22"/>
        </w:rPr>
        <w:t>archaic</w:t>
      </w:r>
      <w:r>
        <w:rPr>
          <w:spacing w:val="-10"/>
          <w:sz w:val="22"/>
        </w:rPr>
        <w:t> </w:t>
      </w:r>
      <w:r>
        <w:rPr>
          <w:sz w:val="22"/>
        </w:rPr>
        <w:t>homophobic</w:t>
      </w:r>
      <w:r>
        <w:rPr>
          <w:spacing w:val="-10"/>
          <w:sz w:val="22"/>
        </w:rPr>
        <w:t> </w:t>
      </w:r>
      <w:r>
        <w:rPr>
          <w:sz w:val="22"/>
        </w:rPr>
        <w:t>and</w:t>
      </w:r>
      <w:r>
        <w:rPr>
          <w:spacing w:val="-9"/>
          <w:sz w:val="22"/>
        </w:rPr>
        <w:t> </w:t>
      </w:r>
      <w:r>
        <w:rPr>
          <w:sz w:val="22"/>
        </w:rPr>
        <w:t>transphobic</w:t>
      </w:r>
      <w:r>
        <w:rPr>
          <w:spacing w:val="-11"/>
          <w:sz w:val="22"/>
        </w:rPr>
        <w:t> </w:t>
      </w:r>
      <w:r>
        <w:rPr>
          <w:sz w:val="22"/>
        </w:rPr>
        <w:t>language</w:t>
      </w:r>
      <w:r>
        <w:rPr>
          <w:spacing w:val="-11"/>
          <w:sz w:val="22"/>
        </w:rPr>
        <w:t> </w:t>
      </w:r>
      <w:r>
        <w:rPr>
          <w:sz w:val="22"/>
        </w:rPr>
        <w:t>in</w:t>
      </w:r>
      <w:r>
        <w:rPr>
          <w:spacing w:val="-9"/>
          <w:sz w:val="22"/>
        </w:rPr>
        <w:t> </w:t>
      </w:r>
      <w:r>
        <w:rPr>
          <w:sz w:val="22"/>
        </w:rPr>
        <w:t>the</w:t>
      </w:r>
      <w:r>
        <w:rPr>
          <w:spacing w:val="-9"/>
          <w:sz w:val="22"/>
        </w:rPr>
        <w:t> </w:t>
      </w:r>
      <w:r>
        <w:rPr>
          <w:sz w:val="22"/>
        </w:rPr>
        <w:t>Massachusetts</w:t>
      </w:r>
      <w:r>
        <w:rPr>
          <w:spacing w:val="-10"/>
          <w:sz w:val="22"/>
        </w:rPr>
        <w:t> </w:t>
      </w:r>
      <w:r>
        <w:rPr>
          <w:sz w:val="22"/>
        </w:rPr>
        <w:t>General</w:t>
      </w:r>
      <w:r>
        <w:rPr>
          <w:spacing w:val="-11"/>
          <w:sz w:val="22"/>
        </w:rPr>
        <w:t> </w:t>
      </w:r>
      <w:r>
        <w:rPr>
          <w:spacing w:val="-2"/>
          <w:sz w:val="22"/>
        </w:rPr>
        <w:t>Laws.</w:t>
      </w:r>
    </w:p>
    <w:p>
      <w:pPr>
        <w:spacing w:after="0" w:line="240" w:lineRule="auto"/>
        <w:jc w:val="left"/>
        <w:rPr>
          <w:sz w:val="22"/>
        </w:rPr>
        <w:sectPr>
          <w:headerReference w:type="default" r:id="rId44"/>
          <w:footerReference w:type="default" r:id="rId45"/>
          <w:pgSz w:w="12240" w:h="15840"/>
          <w:pgMar w:header="0" w:footer="1061" w:top="1140" w:bottom="1260" w:left="980" w:right="1160"/>
        </w:sectPr>
      </w:pPr>
    </w:p>
    <w:p>
      <w:pPr>
        <w:pStyle w:val="BodyText"/>
        <w:rPr>
          <w:sz w:val="20"/>
        </w:rPr>
      </w:pPr>
    </w:p>
    <w:p>
      <w:pPr>
        <w:pStyle w:val="BodyText"/>
        <w:spacing w:before="49"/>
        <w:rPr>
          <w:sz w:val="20"/>
        </w:rPr>
      </w:pPr>
    </w:p>
    <w:p>
      <w:pPr>
        <w:pStyle w:val="BodyText"/>
        <w:spacing w:line="20" w:lineRule="exact"/>
        <w:ind w:left="420"/>
        <w:rPr>
          <w:sz w:val="2"/>
        </w:rPr>
      </w:pPr>
      <w:r>
        <w:rPr>
          <w:sz w:val="2"/>
        </w:rPr>
        <mc:AlternateContent>
          <mc:Choice Requires="wps">
            <w:drawing>
              <wp:inline distT="0" distB="0" distL="0" distR="0">
                <wp:extent cx="6350" cy="12700"/>
                <wp:effectExtent l="0" t="0" r="0" b="0"/>
                <wp:docPr id="76" name="Group 76"/>
                <wp:cNvGraphicFramePr>
                  <a:graphicFrameLocks/>
                </wp:cNvGraphicFramePr>
                <a:graphic>
                  <a:graphicData uri="http://schemas.microsoft.com/office/word/2010/wordprocessingGroup">
                    <wpg:wgp>
                      <wpg:cNvPr id="76" name="Group 76"/>
                      <wpg:cNvGrpSpPr/>
                      <wpg:grpSpPr>
                        <a:xfrm>
                          <a:off x="0" y="0"/>
                          <a:ext cx="6350" cy="12700"/>
                          <a:chExt cx="6350" cy="12700"/>
                        </a:xfrm>
                      </wpg:grpSpPr>
                      <wps:wsp>
                        <wps:cNvPr id="77" name="Graphic 77"/>
                        <wps:cNvSpPr/>
                        <wps:spPr>
                          <a:xfrm>
                            <a:off x="0" y="0"/>
                            <a:ext cx="6350" cy="12700"/>
                          </a:xfrm>
                          <a:custGeom>
                            <a:avLst/>
                            <a:gdLst/>
                            <a:ahLst/>
                            <a:cxnLst/>
                            <a:rect l="l" t="t" r="r" b="b"/>
                            <a:pathLst>
                              <a:path w="6350" h="12700">
                                <a:moveTo>
                                  <a:pt x="6337" y="0"/>
                                </a:moveTo>
                                <a:lnTo>
                                  <a:pt x="0" y="0"/>
                                </a:lnTo>
                                <a:lnTo>
                                  <a:pt x="0" y="12179"/>
                                </a:lnTo>
                                <a:lnTo>
                                  <a:pt x="6337" y="12179"/>
                                </a:lnTo>
                                <a:lnTo>
                                  <a:pt x="6337" y="0"/>
                                </a:lnTo>
                                <a:close/>
                              </a:path>
                            </a:pathLst>
                          </a:custGeom>
                          <a:solidFill>
                            <a:srgbClr val="4F81BB"/>
                          </a:solidFill>
                        </wps:spPr>
                        <wps:bodyPr wrap="square" lIns="0" tIns="0" rIns="0" bIns="0" rtlCol="0">
                          <a:prstTxWarp prst="textNoShape">
                            <a:avLst/>
                          </a:prstTxWarp>
                          <a:noAutofit/>
                        </wps:bodyPr>
                      </wps:wsp>
                    </wpg:wgp>
                  </a:graphicData>
                </a:graphic>
              </wp:inline>
            </w:drawing>
          </mc:Choice>
          <mc:Fallback>
            <w:pict>
              <v:group style="width:.5pt;height:1pt;mso-position-horizontal-relative:char;mso-position-vertical-relative:line" id="docshapegroup60" coordorigin="0,0" coordsize="10,20">
                <v:rect style="position:absolute;left:0;top:0;width:10;height:20" id="docshape61" filled="true" fillcolor="#4f81bb" stroked="false">
                  <v:fill type="solid"/>
                </v:rect>
              </v:group>
            </w:pict>
          </mc:Fallback>
        </mc:AlternateContent>
      </w:r>
      <w:r>
        <w:rPr>
          <w:sz w:val="2"/>
        </w:rPr>
      </w:r>
    </w:p>
    <w:p>
      <w:pPr>
        <w:pStyle w:val="Heading7"/>
        <w:ind w:left="463"/>
      </w:pPr>
      <w:bookmarkStart w:name="FY 2025 Annual Recommendations Report.pd" w:id="82"/>
      <w:bookmarkEnd w:id="82"/>
      <w:r>
        <w:rPr/>
      </w:r>
      <w:bookmarkStart w:name="_bookmark9" w:id="83"/>
      <w:bookmarkEnd w:id="83"/>
      <w:r>
        <w:rPr/>
      </w:r>
      <w:hyperlink w:history="true" w:anchor="_bookmark1">
        <w:r>
          <w:rPr>
            <w:color w:val="365F91"/>
            <w:spacing w:val="-8"/>
          </w:rPr>
          <w:t>Protecting</w:t>
        </w:r>
        <w:r>
          <w:rPr>
            <w:color w:val="365F91"/>
            <w:spacing w:val="-15"/>
          </w:rPr>
          <w:t> </w:t>
        </w:r>
        <w:r>
          <w:rPr>
            <w:color w:val="365F91"/>
            <w:spacing w:val="-8"/>
          </w:rPr>
          <w:t>LGBTQ</w:t>
        </w:r>
        <w:r>
          <w:rPr>
            <w:color w:val="365F91"/>
            <w:spacing w:val="-15"/>
          </w:rPr>
          <w:t> </w:t>
        </w:r>
        <w:r>
          <w:rPr>
            <w:color w:val="365F91"/>
            <w:spacing w:val="-8"/>
          </w:rPr>
          <w:t>Child</w:t>
        </w:r>
        <w:r>
          <w:rPr>
            <w:color w:val="365F91"/>
            <w:spacing w:val="-14"/>
          </w:rPr>
          <w:t> </w:t>
        </w:r>
        <w:r>
          <w:rPr>
            <w:color w:val="365F91"/>
            <w:spacing w:val="-8"/>
          </w:rPr>
          <w:t>Welfare</w:t>
        </w:r>
        <w:r>
          <w:rPr>
            <w:color w:val="365F91"/>
            <w:spacing w:val="-15"/>
          </w:rPr>
          <w:t> </w:t>
        </w:r>
        <w:r>
          <w:rPr>
            <w:color w:val="365F91"/>
            <w:spacing w:val="-8"/>
          </w:rPr>
          <w:t>&amp;</w:t>
        </w:r>
        <w:r>
          <w:rPr>
            <w:color w:val="365F91"/>
            <w:spacing w:val="-14"/>
          </w:rPr>
          <w:t> </w:t>
        </w:r>
        <w:r>
          <w:rPr>
            <w:color w:val="365F91"/>
            <w:spacing w:val="-8"/>
          </w:rPr>
          <w:t>Well-Being</w:t>
        </w:r>
      </w:hyperlink>
    </w:p>
    <w:p>
      <w:pPr>
        <w:spacing w:before="313"/>
        <w:ind w:left="463" w:right="0" w:firstLine="0"/>
        <w:jc w:val="left"/>
        <w:rPr>
          <w:i/>
          <w:sz w:val="28"/>
        </w:rPr>
      </w:pPr>
      <w:bookmarkStart w:name="Introduction: Toward a Commonwealth in W" w:id="84"/>
      <w:bookmarkEnd w:id="84"/>
      <w:r>
        <w:rPr/>
      </w:r>
      <w:r>
        <w:rPr>
          <w:color w:val="365F91"/>
          <w:sz w:val="28"/>
        </w:rPr>
        <w:t>Introduction:</w:t>
      </w:r>
      <w:r>
        <w:rPr>
          <w:color w:val="365F91"/>
          <w:spacing w:val="-11"/>
          <w:sz w:val="28"/>
        </w:rPr>
        <w:t> </w:t>
      </w:r>
      <w:r>
        <w:rPr>
          <w:color w:val="365F91"/>
          <w:sz w:val="28"/>
        </w:rPr>
        <w:t>Toward</w:t>
      </w:r>
      <w:r>
        <w:rPr>
          <w:color w:val="365F91"/>
          <w:spacing w:val="-10"/>
          <w:sz w:val="28"/>
        </w:rPr>
        <w:t> </w:t>
      </w:r>
      <w:r>
        <w:rPr>
          <w:color w:val="365F91"/>
          <w:sz w:val="28"/>
        </w:rPr>
        <w:t>a</w:t>
      </w:r>
      <w:r>
        <w:rPr>
          <w:color w:val="365F91"/>
          <w:spacing w:val="-9"/>
          <w:sz w:val="28"/>
        </w:rPr>
        <w:t> </w:t>
      </w:r>
      <w:r>
        <w:rPr>
          <w:color w:val="365F91"/>
          <w:sz w:val="28"/>
        </w:rPr>
        <w:t>Commonwealth</w:t>
      </w:r>
      <w:r>
        <w:rPr>
          <w:color w:val="365F91"/>
          <w:spacing w:val="-10"/>
          <w:sz w:val="28"/>
        </w:rPr>
        <w:t> </w:t>
      </w:r>
      <w:r>
        <w:rPr>
          <w:color w:val="365F91"/>
          <w:sz w:val="28"/>
        </w:rPr>
        <w:t>in</w:t>
      </w:r>
      <w:r>
        <w:rPr>
          <w:color w:val="365F91"/>
          <w:spacing w:val="-11"/>
          <w:sz w:val="28"/>
        </w:rPr>
        <w:t> </w:t>
      </w:r>
      <w:r>
        <w:rPr>
          <w:color w:val="365F91"/>
          <w:sz w:val="28"/>
        </w:rPr>
        <w:t>Which</w:t>
      </w:r>
      <w:r>
        <w:rPr>
          <w:color w:val="365F91"/>
          <w:spacing w:val="-10"/>
          <w:sz w:val="28"/>
        </w:rPr>
        <w:t> </w:t>
      </w:r>
      <w:r>
        <w:rPr>
          <w:i/>
          <w:color w:val="365F91"/>
          <w:sz w:val="28"/>
        </w:rPr>
        <w:t>All</w:t>
      </w:r>
      <w:r>
        <w:rPr>
          <w:i/>
          <w:color w:val="365F91"/>
          <w:spacing w:val="-9"/>
          <w:sz w:val="28"/>
        </w:rPr>
        <w:t> </w:t>
      </w:r>
      <w:r>
        <w:rPr>
          <w:i/>
          <w:color w:val="365F91"/>
          <w:sz w:val="28"/>
        </w:rPr>
        <w:t>Youth</w:t>
      </w:r>
      <w:r>
        <w:rPr>
          <w:i/>
          <w:color w:val="365F91"/>
          <w:spacing w:val="-11"/>
          <w:sz w:val="28"/>
        </w:rPr>
        <w:t> </w:t>
      </w:r>
      <w:r>
        <w:rPr>
          <w:i/>
          <w:color w:val="365F91"/>
          <w:spacing w:val="-2"/>
          <w:sz w:val="28"/>
        </w:rPr>
        <w:t>Thrive</w:t>
      </w:r>
    </w:p>
    <w:p>
      <w:pPr>
        <w:pStyle w:val="BodyText"/>
        <w:spacing w:before="9"/>
        <w:rPr>
          <w:i/>
          <w:sz w:val="3"/>
        </w:rPr>
      </w:pPr>
      <w:r>
        <w:rPr/>
        <mc:AlternateContent>
          <mc:Choice Requires="wps">
            <w:drawing>
              <wp:anchor distT="0" distB="0" distL="0" distR="0" allowOverlap="1" layoutInCell="1" locked="0" behindDoc="1" simplePos="0" relativeHeight="487594496">
                <wp:simplePos x="0" y="0"/>
                <wp:positionH relativeFrom="page">
                  <wp:posOffset>897636</wp:posOffset>
                </wp:positionH>
                <wp:positionV relativeFrom="paragraph">
                  <wp:posOffset>44768</wp:posOffset>
                </wp:positionV>
                <wp:extent cx="5976620" cy="6350"/>
                <wp:effectExtent l="0" t="0" r="0" b="0"/>
                <wp:wrapTopAndBottom/>
                <wp:docPr id="78" name="Graphic 78"/>
                <wp:cNvGraphicFramePr>
                  <a:graphicFrameLocks/>
                </wp:cNvGraphicFramePr>
                <a:graphic>
                  <a:graphicData uri="http://schemas.microsoft.com/office/word/2010/wordprocessingShape">
                    <wps:wsp>
                      <wps:cNvPr id="78" name="Graphic 78"/>
                      <wps:cNvSpPr/>
                      <wps:spPr>
                        <a:xfrm>
                          <a:off x="0" y="0"/>
                          <a:ext cx="5976620" cy="6350"/>
                        </a:xfrm>
                        <a:custGeom>
                          <a:avLst/>
                          <a:gdLst/>
                          <a:ahLst/>
                          <a:cxnLst/>
                          <a:rect l="l" t="t" r="r" b="b"/>
                          <a:pathLst>
                            <a:path w="5976620" h="6350">
                              <a:moveTo>
                                <a:pt x="5976366" y="0"/>
                              </a:moveTo>
                              <a:lnTo>
                                <a:pt x="0" y="0"/>
                              </a:lnTo>
                              <a:lnTo>
                                <a:pt x="0" y="6108"/>
                              </a:lnTo>
                              <a:lnTo>
                                <a:pt x="5976366" y="6108"/>
                              </a:lnTo>
                              <a:lnTo>
                                <a:pt x="5976366" y="0"/>
                              </a:lnTo>
                              <a:close/>
                            </a:path>
                          </a:pathLst>
                        </a:custGeom>
                        <a:solidFill>
                          <a:srgbClr val="4F81BC"/>
                        </a:solidFill>
                      </wps:spPr>
                      <wps:bodyPr wrap="square" lIns="0" tIns="0" rIns="0" bIns="0" rtlCol="0">
                        <a:prstTxWarp prst="textNoShape">
                          <a:avLst/>
                        </a:prstTxWarp>
                        <a:noAutofit/>
                      </wps:bodyPr>
                    </wps:wsp>
                  </a:graphicData>
                </a:graphic>
              </wp:anchor>
            </w:drawing>
          </mc:Choice>
          <mc:Fallback>
            <w:pict>
              <v:rect style="position:absolute;margin-left:70.680pt;margin-top:3.525094pt;width:470.58pt;height:.481pt;mso-position-horizontal-relative:page;mso-position-vertical-relative:paragraph;z-index:-15721984;mso-wrap-distance-left:0;mso-wrap-distance-right:0" id="docshape62" filled="true" fillcolor="#4f81bc" stroked="false">
                <v:fill type="solid"/>
                <w10:wrap type="topAndBottom"/>
              </v:rect>
            </w:pict>
          </mc:Fallback>
        </mc:AlternateContent>
      </w:r>
    </w:p>
    <w:p>
      <w:pPr>
        <w:spacing w:line="321" w:lineRule="auto" w:before="241"/>
        <w:ind w:left="463" w:right="283" w:firstLine="0"/>
        <w:jc w:val="both"/>
        <w:rPr>
          <w:i/>
          <w:sz w:val="22"/>
        </w:rPr>
      </w:pPr>
      <w:bookmarkStart w:name="(first published in FY 2024 Annual Recom" w:id="85"/>
      <w:bookmarkEnd w:id="85"/>
      <w:r>
        <w:rPr/>
      </w:r>
      <w:r>
        <w:rPr>
          <w:i/>
          <w:sz w:val="22"/>
        </w:rPr>
        <w:t>(first published in FY 2024 Annual Recommendations Report, minor updates made to bring current to FY</w:t>
      </w:r>
      <w:r>
        <w:rPr>
          <w:i/>
          <w:sz w:val="22"/>
        </w:rPr>
        <w:t> </w:t>
      </w:r>
      <w:r>
        <w:rPr>
          <w:i/>
          <w:spacing w:val="-2"/>
          <w:sz w:val="22"/>
        </w:rPr>
        <w:t>2025)</w:t>
      </w:r>
    </w:p>
    <w:p>
      <w:pPr>
        <w:pStyle w:val="BodyText"/>
        <w:spacing w:line="276" w:lineRule="auto" w:before="190"/>
        <w:ind w:left="463" w:right="283"/>
        <w:jc w:val="both"/>
      </w:pPr>
      <w:r>
        <w:rPr/>
        <mc:AlternateContent>
          <mc:Choice Requires="wps">
            <w:drawing>
              <wp:anchor distT="0" distB="0" distL="0" distR="0" allowOverlap="1" layoutInCell="1" locked="0" behindDoc="0" simplePos="0" relativeHeight="15736832">
                <wp:simplePos x="0" y="0"/>
                <wp:positionH relativeFrom="page">
                  <wp:posOffset>889000</wp:posOffset>
                </wp:positionH>
                <wp:positionV relativeFrom="paragraph">
                  <wp:posOffset>-240872</wp:posOffset>
                </wp:positionV>
                <wp:extent cx="6350" cy="12700"/>
                <wp:effectExtent l="0" t="0" r="0" b="0"/>
                <wp:wrapNone/>
                <wp:docPr id="79" name="Graphic 79"/>
                <wp:cNvGraphicFramePr>
                  <a:graphicFrameLocks/>
                </wp:cNvGraphicFramePr>
                <a:graphic>
                  <a:graphicData uri="http://schemas.microsoft.com/office/word/2010/wordprocessingShape">
                    <wps:wsp>
                      <wps:cNvPr id="79" name="Graphic 79"/>
                      <wps:cNvSpPr/>
                      <wps:spPr>
                        <a:xfrm>
                          <a:off x="0" y="0"/>
                          <a:ext cx="6350" cy="12700"/>
                        </a:xfrm>
                        <a:custGeom>
                          <a:avLst/>
                          <a:gdLst/>
                          <a:ahLst/>
                          <a:cxnLst/>
                          <a:rect l="l" t="t" r="r" b="b"/>
                          <a:pathLst>
                            <a:path w="6350" h="12700">
                              <a:moveTo>
                                <a:pt x="6337" y="0"/>
                              </a:moveTo>
                              <a:lnTo>
                                <a:pt x="0" y="0"/>
                              </a:lnTo>
                              <a:lnTo>
                                <a:pt x="0" y="12204"/>
                              </a:lnTo>
                              <a:lnTo>
                                <a:pt x="6337" y="12204"/>
                              </a:lnTo>
                              <a:lnTo>
                                <a:pt x="6337" y="0"/>
                              </a:lnTo>
                              <a:close/>
                            </a:path>
                          </a:pathLst>
                        </a:custGeom>
                        <a:solidFill>
                          <a:srgbClr val="4F81BB"/>
                        </a:solidFill>
                      </wps:spPr>
                      <wps:bodyPr wrap="square" lIns="0" tIns="0" rIns="0" bIns="0" rtlCol="0">
                        <a:prstTxWarp prst="textNoShape">
                          <a:avLst/>
                        </a:prstTxWarp>
                        <a:noAutofit/>
                      </wps:bodyPr>
                    </wps:wsp>
                  </a:graphicData>
                </a:graphic>
              </wp:anchor>
            </w:drawing>
          </mc:Choice>
          <mc:Fallback>
            <w:pict>
              <v:rect style="position:absolute;margin-left:70pt;margin-top:-18.966328pt;width:.499pt;height:.961pt;mso-position-horizontal-relative:page;mso-position-vertical-relative:paragraph;z-index:15736832" id="docshape63" filled="true" fillcolor="#4f81bb" stroked="false">
                <v:fill type="solid"/>
                <w10:wrap type="none"/>
              </v:rect>
            </w:pict>
          </mc:Fallback>
        </mc:AlternateContent>
      </w:r>
      <w:r>
        <w:rPr/>
        <w:t>Now in its 32</w:t>
      </w:r>
      <w:r>
        <w:rPr>
          <w:vertAlign w:val="superscript"/>
        </w:rPr>
        <w:t>nd</w:t>
      </w:r>
      <w:r>
        <w:rPr>
          <w:vertAlign w:val="baseline"/>
        </w:rPr>
        <w:t> year, the Massachusetts Commission on LGBTQ Youth voices its mission through the motto,</w:t>
      </w:r>
      <w:r>
        <w:rPr>
          <w:spacing w:val="-11"/>
          <w:vertAlign w:val="baseline"/>
        </w:rPr>
        <w:t> </w:t>
      </w:r>
      <w:r>
        <w:rPr>
          <w:vertAlign w:val="baseline"/>
        </w:rPr>
        <w:t>“</w:t>
      </w:r>
      <w:r>
        <w:rPr>
          <w:b/>
          <w:vertAlign w:val="baseline"/>
        </w:rPr>
        <w:t>Helping</w:t>
      </w:r>
      <w:r>
        <w:rPr>
          <w:b/>
          <w:spacing w:val="-11"/>
          <w:vertAlign w:val="baseline"/>
        </w:rPr>
        <w:t> </w:t>
      </w:r>
      <w:r>
        <w:rPr>
          <w:b/>
          <w:vertAlign w:val="baseline"/>
        </w:rPr>
        <w:t>All</w:t>
      </w:r>
      <w:r>
        <w:rPr>
          <w:b/>
          <w:spacing w:val="-10"/>
          <w:vertAlign w:val="baseline"/>
        </w:rPr>
        <w:t> </w:t>
      </w:r>
      <w:r>
        <w:rPr>
          <w:b/>
          <w:vertAlign w:val="baseline"/>
        </w:rPr>
        <w:t>Youth</w:t>
      </w:r>
      <w:r>
        <w:rPr>
          <w:b/>
          <w:spacing w:val="-9"/>
          <w:vertAlign w:val="baseline"/>
        </w:rPr>
        <w:t> </w:t>
      </w:r>
      <w:r>
        <w:rPr>
          <w:b/>
          <w:vertAlign w:val="baseline"/>
        </w:rPr>
        <w:t>Thrive</w:t>
      </w:r>
      <w:r>
        <w:rPr>
          <w:vertAlign w:val="baseline"/>
        </w:rPr>
        <w:t>.”</w:t>
      </w:r>
      <w:r>
        <w:rPr>
          <w:spacing w:val="-11"/>
          <w:vertAlign w:val="baseline"/>
        </w:rPr>
        <w:t> </w:t>
      </w:r>
      <w:r>
        <w:rPr>
          <w:vertAlign w:val="baseline"/>
        </w:rPr>
        <w:t>The</w:t>
      </w:r>
      <w:r>
        <w:rPr>
          <w:spacing w:val="-10"/>
          <w:vertAlign w:val="baseline"/>
        </w:rPr>
        <w:t> </w:t>
      </w:r>
      <w:r>
        <w:rPr>
          <w:vertAlign w:val="baseline"/>
        </w:rPr>
        <w:t>realization</w:t>
      </w:r>
      <w:r>
        <w:rPr>
          <w:spacing w:val="-10"/>
          <w:vertAlign w:val="baseline"/>
        </w:rPr>
        <w:t> </w:t>
      </w:r>
      <w:r>
        <w:rPr>
          <w:vertAlign w:val="baseline"/>
        </w:rPr>
        <w:t>of</w:t>
      </w:r>
      <w:r>
        <w:rPr>
          <w:spacing w:val="-11"/>
          <w:vertAlign w:val="baseline"/>
        </w:rPr>
        <w:t> </w:t>
      </w:r>
      <w:r>
        <w:rPr>
          <w:vertAlign w:val="baseline"/>
        </w:rPr>
        <w:t>this</w:t>
      </w:r>
      <w:r>
        <w:rPr>
          <w:spacing w:val="-11"/>
          <w:vertAlign w:val="baseline"/>
        </w:rPr>
        <w:t> </w:t>
      </w:r>
      <w:r>
        <w:rPr>
          <w:vertAlign w:val="baseline"/>
        </w:rPr>
        <w:t>seemingly</w:t>
      </w:r>
      <w:r>
        <w:rPr>
          <w:spacing w:val="-10"/>
          <w:vertAlign w:val="baseline"/>
        </w:rPr>
        <w:t> </w:t>
      </w:r>
      <w:r>
        <w:rPr>
          <w:vertAlign w:val="baseline"/>
        </w:rPr>
        <w:t>simple</w:t>
      </w:r>
      <w:r>
        <w:rPr>
          <w:spacing w:val="-10"/>
          <w:vertAlign w:val="baseline"/>
        </w:rPr>
        <w:t> </w:t>
      </w:r>
      <w:r>
        <w:rPr>
          <w:vertAlign w:val="baseline"/>
        </w:rPr>
        <w:t>saying</w:t>
      </w:r>
      <w:r>
        <w:rPr>
          <w:spacing w:val="-11"/>
          <w:vertAlign w:val="baseline"/>
        </w:rPr>
        <w:t> </w:t>
      </w:r>
      <w:r>
        <w:rPr>
          <w:vertAlign w:val="baseline"/>
        </w:rPr>
        <w:t>requires</w:t>
      </w:r>
      <w:r>
        <w:rPr>
          <w:spacing w:val="-11"/>
          <w:vertAlign w:val="baseline"/>
        </w:rPr>
        <w:t> </w:t>
      </w:r>
      <w:r>
        <w:rPr>
          <w:vertAlign w:val="baseline"/>
        </w:rPr>
        <w:t>leaders</w:t>
      </w:r>
      <w:r>
        <w:rPr>
          <w:spacing w:val="-11"/>
          <w:vertAlign w:val="baseline"/>
        </w:rPr>
        <w:t> </w:t>
      </w:r>
      <w:r>
        <w:rPr>
          <w:vertAlign w:val="baseline"/>
        </w:rPr>
        <w:t>to</w:t>
      </w:r>
      <w:r>
        <w:rPr>
          <w:spacing w:val="-9"/>
          <w:vertAlign w:val="baseline"/>
        </w:rPr>
        <w:t> </w:t>
      </w:r>
      <w:r>
        <w:rPr>
          <w:vertAlign w:val="baseline"/>
        </w:rPr>
        <w:t>take a high-level view of the stunningly complicated</w:t>
      </w:r>
      <w:r>
        <w:rPr>
          <w:spacing w:val="-1"/>
          <w:vertAlign w:val="baseline"/>
        </w:rPr>
        <w:t> </w:t>
      </w:r>
      <w:r>
        <w:rPr>
          <w:vertAlign w:val="baseline"/>
        </w:rPr>
        <w:t>issues affecting</w:t>
      </w:r>
      <w:r>
        <w:rPr>
          <w:spacing w:val="-1"/>
          <w:vertAlign w:val="baseline"/>
        </w:rPr>
        <w:t> </w:t>
      </w:r>
      <w:r>
        <w:rPr>
          <w:vertAlign w:val="baseline"/>
        </w:rPr>
        <w:t>the</w:t>
      </w:r>
      <w:r>
        <w:rPr>
          <w:spacing w:val="-1"/>
          <w:vertAlign w:val="baseline"/>
        </w:rPr>
        <w:t> </w:t>
      </w:r>
      <w:r>
        <w:rPr>
          <w:vertAlign w:val="baseline"/>
        </w:rPr>
        <w:t>well-being of today’s LGBTQ</w:t>
      </w:r>
      <w:r>
        <w:rPr>
          <w:spacing w:val="-1"/>
          <w:vertAlign w:val="baseline"/>
        </w:rPr>
        <w:t> </w:t>
      </w:r>
      <w:r>
        <w:rPr>
          <w:vertAlign w:val="baseline"/>
        </w:rPr>
        <w:t>youth— without losing sight of the importance of their individual realities.</w:t>
      </w:r>
    </w:p>
    <w:p>
      <w:pPr>
        <w:pStyle w:val="BodyText"/>
        <w:spacing w:before="240"/>
        <w:ind w:left="1140"/>
      </w:pPr>
      <w:r>
        <w:rPr>
          <w:color w:val="4F81BB"/>
        </w:rPr>
        <w:t>What</w:t>
      </w:r>
      <w:r>
        <w:rPr>
          <w:color w:val="4F81BB"/>
          <w:spacing w:val="-6"/>
        </w:rPr>
        <w:t> </w:t>
      </w:r>
      <w:r>
        <w:rPr>
          <w:color w:val="4F81BB"/>
        </w:rPr>
        <w:t>does</w:t>
      </w:r>
      <w:r>
        <w:rPr>
          <w:color w:val="4F81BB"/>
          <w:spacing w:val="-4"/>
        </w:rPr>
        <w:t> </w:t>
      </w:r>
      <w:r>
        <w:rPr>
          <w:color w:val="4F81BB"/>
        </w:rPr>
        <w:t>it</w:t>
      </w:r>
      <w:r>
        <w:rPr>
          <w:color w:val="4F81BB"/>
          <w:spacing w:val="-5"/>
        </w:rPr>
        <w:t> </w:t>
      </w:r>
      <w:r>
        <w:rPr>
          <w:color w:val="4F81BB"/>
        </w:rPr>
        <w:t>mean</w:t>
      </w:r>
      <w:r>
        <w:rPr>
          <w:color w:val="4F81BB"/>
          <w:spacing w:val="-5"/>
        </w:rPr>
        <w:t> </w:t>
      </w:r>
      <w:r>
        <w:rPr>
          <w:color w:val="4F81BB"/>
        </w:rPr>
        <w:t>to</w:t>
      </w:r>
      <w:r>
        <w:rPr>
          <w:color w:val="4F81BB"/>
          <w:spacing w:val="-5"/>
        </w:rPr>
        <w:t> </w:t>
      </w:r>
      <w:r>
        <w:rPr>
          <w:color w:val="4F81BB"/>
        </w:rPr>
        <w:t>serve</w:t>
      </w:r>
      <w:r>
        <w:rPr>
          <w:color w:val="4F81BB"/>
          <w:spacing w:val="-6"/>
        </w:rPr>
        <w:t> </w:t>
      </w:r>
      <w:r>
        <w:rPr>
          <w:b/>
          <w:i/>
          <w:color w:val="4F81BB"/>
        </w:rPr>
        <w:t>all</w:t>
      </w:r>
      <w:r>
        <w:rPr>
          <w:b/>
          <w:i/>
          <w:color w:val="4F81BB"/>
          <w:spacing w:val="-5"/>
        </w:rPr>
        <w:t> </w:t>
      </w:r>
      <w:r>
        <w:rPr>
          <w:b/>
          <w:i/>
          <w:color w:val="4F81BB"/>
        </w:rPr>
        <w:t>youth</w:t>
      </w:r>
      <w:r>
        <w:rPr>
          <w:color w:val="4F81BB"/>
        </w:rPr>
        <w:t>?</w:t>
      </w:r>
      <w:r>
        <w:rPr>
          <w:color w:val="4F81BB"/>
          <w:spacing w:val="-5"/>
        </w:rPr>
        <w:t> </w:t>
      </w:r>
      <w:r>
        <w:rPr>
          <w:color w:val="4F81BB"/>
        </w:rPr>
        <w:t>And</w:t>
      </w:r>
      <w:r>
        <w:rPr>
          <w:color w:val="4F81BB"/>
          <w:spacing w:val="-6"/>
        </w:rPr>
        <w:t> </w:t>
      </w:r>
      <w:r>
        <w:rPr>
          <w:color w:val="4F81BB"/>
        </w:rPr>
        <w:t>what</w:t>
      </w:r>
      <w:r>
        <w:rPr>
          <w:color w:val="4F81BB"/>
          <w:spacing w:val="-5"/>
        </w:rPr>
        <w:t> </w:t>
      </w:r>
      <w:r>
        <w:rPr>
          <w:color w:val="4F81BB"/>
        </w:rPr>
        <w:t>does</w:t>
      </w:r>
      <w:r>
        <w:rPr>
          <w:color w:val="4F81BB"/>
          <w:spacing w:val="-6"/>
        </w:rPr>
        <w:t> </w:t>
      </w:r>
      <w:r>
        <w:rPr>
          <w:color w:val="4F81BB"/>
        </w:rPr>
        <w:t>it</w:t>
      </w:r>
      <w:r>
        <w:rPr>
          <w:color w:val="4F81BB"/>
          <w:spacing w:val="-4"/>
        </w:rPr>
        <w:t> </w:t>
      </w:r>
      <w:r>
        <w:rPr>
          <w:color w:val="4F81BB"/>
        </w:rPr>
        <w:t>mean</w:t>
      </w:r>
      <w:r>
        <w:rPr>
          <w:color w:val="4F81BB"/>
          <w:spacing w:val="-5"/>
        </w:rPr>
        <w:t> </w:t>
      </w:r>
      <w:r>
        <w:rPr>
          <w:color w:val="4F81BB"/>
        </w:rPr>
        <w:t>for</w:t>
      </w:r>
      <w:r>
        <w:rPr>
          <w:color w:val="4F81BB"/>
          <w:spacing w:val="-6"/>
        </w:rPr>
        <w:t> </w:t>
      </w:r>
      <w:r>
        <w:rPr>
          <w:color w:val="4F81BB"/>
        </w:rPr>
        <w:t>LGBTQ</w:t>
      </w:r>
      <w:r>
        <w:rPr>
          <w:color w:val="4F81BB"/>
          <w:spacing w:val="-5"/>
        </w:rPr>
        <w:t> </w:t>
      </w:r>
      <w:r>
        <w:rPr>
          <w:color w:val="4F81BB"/>
        </w:rPr>
        <w:t>youth</w:t>
      </w:r>
      <w:r>
        <w:rPr>
          <w:color w:val="4F81BB"/>
          <w:spacing w:val="-6"/>
        </w:rPr>
        <w:t> </w:t>
      </w:r>
      <w:r>
        <w:rPr>
          <w:color w:val="4F81BB"/>
        </w:rPr>
        <w:t>to</w:t>
      </w:r>
      <w:r>
        <w:rPr>
          <w:color w:val="4F81BB"/>
          <w:spacing w:val="-4"/>
        </w:rPr>
        <w:t> </w:t>
      </w:r>
      <w:r>
        <w:rPr>
          <w:b/>
          <w:i/>
          <w:color w:val="4F81BB"/>
          <w:spacing w:val="-2"/>
        </w:rPr>
        <w:t>thrive</w:t>
      </w:r>
      <w:r>
        <w:rPr>
          <w:color w:val="4F81BB"/>
          <w:spacing w:val="-2"/>
        </w:rPr>
        <w:t>?</w:t>
      </w:r>
    </w:p>
    <w:p>
      <w:pPr>
        <w:pStyle w:val="BodyText"/>
        <w:spacing w:before="11"/>
      </w:pPr>
    </w:p>
    <w:p>
      <w:pPr>
        <w:pStyle w:val="BodyText"/>
        <w:spacing w:line="276" w:lineRule="auto"/>
        <w:ind w:left="463" w:right="280"/>
        <w:jc w:val="both"/>
      </w:pPr>
      <w:r>
        <w:rPr/>
        <w:t>From the wide-angle lens of international comparison to a snapshot of the current national climate, to a nuanced view of the complexities of youth-serving systems in our state, particularly the child-welfare system, many layers of consideration inform the most promising legislation to support the well-being of LGBTQ young people today.</w:t>
      </w:r>
    </w:p>
    <w:p>
      <w:pPr>
        <w:pStyle w:val="BodyText"/>
        <w:spacing w:line="276" w:lineRule="auto" w:before="240"/>
        <w:ind w:left="463" w:right="283"/>
        <w:jc w:val="both"/>
      </w:pPr>
      <w:r>
        <w:rPr/>
        <w:t>Although the Commonwealth has made significant strides for LGBTQ youth, we continue to fall short, sometimes with</w:t>
      </w:r>
      <w:r>
        <w:rPr>
          <w:spacing w:val="-1"/>
        </w:rPr>
        <w:t> </w:t>
      </w:r>
      <w:r>
        <w:rPr/>
        <w:t>tragic</w:t>
      </w:r>
      <w:r>
        <w:rPr>
          <w:spacing w:val="-2"/>
        </w:rPr>
        <w:t> </w:t>
      </w:r>
      <w:r>
        <w:rPr/>
        <w:t>results,</w:t>
      </w:r>
      <w:r>
        <w:rPr>
          <w:spacing w:val="-1"/>
        </w:rPr>
        <w:t> </w:t>
      </w:r>
      <w:r>
        <w:rPr/>
        <w:t>in many arenas</w:t>
      </w:r>
      <w:r>
        <w:rPr>
          <w:spacing w:val="-1"/>
        </w:rPr>
        <w:t> </w:t>
      </w:r>
      <w:r>
        <w:rPr/>
        <w:t>that</w:t>
      </w:r>
      <w:r>
        <w:rPr>
          <w:spacing w:val="-1"/>
        </w:rPr>
        <w:t> </w:t>
      </w:r>
      <w:r>
        <w:rPr/>
        <w:t>affect</w:t>
      </w:r>
      <w:r>
        <w:rPr>
          <w:spacing w:val="-1"/>
        </w:rPr>
        <w:t> </w:t>
      </w:r>
      <w:r>
        <w:rPr/>
        <w:t>our</w:t>
      </w:r>
      <w:r>
        <w:rPr>
          <w:spacing w:val="-1"/>
        </w:rPr>
        <w:t> </w:t>
      </w:r>
      <w:r>
        <w:rPr/>
        <w:t>young</w:t>
      </w:r>
      <w:r>
        <w:rPr>
          <w:spacing w:val="-1"/>
        </w:rPr>
        <w:t> </w:t>
      </w:r>
      <w:r>
        <w:rPr/>
        <w:t>people. Equipped</w:t>
      </w:r>
      <w:r>
        <w:rPr>
          <w:spacing w:val="-2"/>
        </w:rPr>
        <w:t> </w:t>
      </w:r>
      <w:r>
        <w:rPr/>
        <w:t>with a</w:t>
      </w:r>
      <w:r>
        <w:rPr>
          <w:spacing w:val="-1"/>
        </w:rPr>
        <w:t> </w:t>
      </w:r>
      <w:r>
        <w:rPr/>
        <w:t>clear vision of goals for the well-being of LGBTQ youth, decision-makers can effect meaningful change. Legislative actions that support the well-being of LGBTQ youth in turn support the strength and vitality of our Commonwealth. When all youth thrive, Massachusetts thrives.</w:t>
      </w:r>
    </w:p>
    <w:p>
      <w:pPr>
        <w:pStyle w:val="BodyText"/>
        <w:rPr>
          <w:sz w:val="20"/>
        </w:rPr>
      </w:pPr>
    </w:p>
    <w:p>
      <w:pPr>
        <w:pStyle w:val="BodyText"/>
        <w:spacing w:before="67"/>
        <w:rPr>
          <w:sz w:val="20"/>
        </w:rPr>
      </w:pPr>
      <w:r>
        <w:rPr/>
        <mc:AlternateContent>
          <mc:Choice Requires="wps">
            <w:drawing>
              <wp:anchor distT="0" distB="0" distL="0" distR="0" allowOverlap="1" layoutInCell="1" locked="0" behindDoc="1" simplePos="0" relativeHeight="487595008">
                <wp:simplePos x="0" y="0"/>
                <wp:positionH relativeFrom="page">
                  <wp:posOffset>889000</wp:posOffset>
                </wp:positionH>
                <wp:positionV relativeFrom="paragraph">
                  <wp:posOffset>213417</wp:posOffset>
                </wp:positionV>
                <wp:extent cx="6350" cy="12700"/>
                <wp:effectExtent l="0" t="0" r="0" b="0"/>
                <wp:wrapTopAndBottom/>
                <wp:docPr id="80" name="Graphic 80"/>
                <wp:cNvGraphicFramePr>
                  <a:graphicFrameLocks/>
                </wp:cNvGraphicFramePr>
                <a:graphic>
                  <a:graphicData uri="http://schemas.microsoft.com/office/word/2010/wordprocessingShape">
                    <wps:wsp>
                      <wps:cNvPr id="80" name="Graphic 80"/>
                      <wps:cNvSpPr/>
                      <wps:spPr>
                        <a:xfrm>
                          <a:off x="0" y="0"/>
                          <a:ext cx="6350" cy="12700"/>
                        </a:xfrm>
                        <a:custGeom>
                          <a:avLst/>
                          <a:gdLst/>
                          <a:ahLst/>
                          <a:cxnLst/>
                          <a:rect l="l" t="t" r="r" b="b"/>
                          <a:pathLst>
                            <a:path w="6350" h="12700">
                              <a:moveTo>
                                <a:pt x="6337" y="0"/>
                              </a:moveTo>
                              <a:lnTo>
                                <a:pt x="0" y="0"/>
                              </a:lnTo>
                              <a:lnTo>
                                <a:pt x="0" y="12191"/>
                              </a:lnTo>
                              <a:lnTo>
                                <a:pt x="6337" y="12191"/>
                              </a:lnTo>
                              <a:lnTo>
                                <a:pt x="6337" y="0"/>
                              </a:lnTo>
                              <a:close/>
                            </a:path>
                          </a:pathLst>
                        </a:custGeom>
                        <a:solidFill>
                          <a:srgbClr val="4F81BB"/>
                        </a:solidFill>
                      </wps:spPr>
                      <wps:bodyPr wrap="square" lIns="0" tIns="0" rIns="0" bIns="0" rtlCol="0">
                        <a:prstTxWarp prst="textNoShape">
                          <a:avLst/>
                        </a:prstTxWarp>
                        <a:noAutofit/>
                      </wps:bodyPr>
                    </wps:wsp>
                  </a:graphicData>
                </a:graphic>
              </wp:anchor>
            </w:drawing>
          </mc:Choice>
          <mc:Fallback>
            <w:pict>
              <v:rect style="position:absolute;margin-left:70pt;margin-top:16.804543pt;width:.499pt;height:.96pt;mso-position-horizontal-relative:page;mso-position-vertical-relative:paragraph;z-index:-15721472;mso-wrap-distance-left:0;mso-wrap-distance-right:0" id="docshape64" filled="true" fillcolor="#4f81bb" stroked="false">
                <v:fill type="solid"/>
                <w10:wrap type="topAndBottom"/>
              </v:rect>
            </w:pict>
          </mc:Fallback>
        </mc:AlternateContent>
      </w:r>
    </w:p>
    <w:p>
      <w:pPr>
        <w:spacing w:before="1"/>
        <w:ind w:left="463" w:right="0" w:firstLine="0"/>
        <w:jc w:val="both"/>
        <w:rPr>
          <w:sz w:val="28"/>
        </w:rPr>
      </w:pPr>
      <w:bookmarkStart w:name="FY 2025 Recommendations to the Governor " w:id="86"/>
      <w:bookmarkEnd w:id="86"/>
      <w:r>
        <w:rPr/>
      </w:r>
      <w:r>
        <w:rPr>
          <w:color w:val="365F91"/>
          <w:sz w:val="28"/>
        </w:rPr>
        <w:t>FY</w:t>
      </w:r>
      <w:r>
        <w:rPr>
          <w:color w:val="365F91"/>
          <w:spacing w:val="-10"/>
          <w:sz w:val="28"/>
        </w:rPr>
        <w:t> </w:t>
      </w:r>
      <w:r>
        <w:rPr>
          <w:color w:val="365F91"/>
          <w:sz w:val="28"/>
        </w:rPr>
        <w:t>2025</w:t>
      </w:r>
      <w:r>
        <w:rPr>
          <w:color w:val="365F91"/>
          <w:spacing w:val="-9"/>
          <w:sz w:val="28"/>
        </w:rPr>
        <w:t> </w:t>
      </w:r>
      <w:r>
        <w:rPr>
          <w:color w:val="365F91"/>
          <w:sz w:val="28"/>
        </w:rPr>
        <w:t>Recommendations</w:t>
      </w:r>
      <w:r>
        <w:rPr>
          <w:color w:val="365F91"/>
          <w:spacing w:val="-9"/>
          <w:sz w:val="28"/>
        </w:rPr>
        <w:t> </w:t>
      </w:r>
      <w:r>
        <w:rPr>
          <w:color w:val="365F91"/>
          <w:sz w:val="28"/>
        </w:rPr>
        <w:t>to</w:t>
      </w:r>
      <w:r>
        <w:rPr>
          <w:color w:val="365F91"/>
          <w:spacing w:val="-9"/>
          <w:sz w:val="28"/>
        </w:rPr>
        <w:t> </w:t>
      </w:r>
      <w:r>
        <w:rPr>
          <w:color w:val="365F91"/>
          <w:sz w:val="28"/>
        </w:rPr>
        <w:t>the</w:t>
      </w:r>
      <w:r>
        <w:rPr>
          <w:color w:val="365F91"/>
          <w:spacing w:val="-9"/>
          <w:sz w:val="28"/>
        </w:rPr>
        <w:t> </w:t>
      </w:r>
      <w:r>
        <w:rPr>
          <w:color w:val="365F91"/>
          <w:sz w:val="28"/>
        </w:rPr>
        <w:t>Governor</w:t>
      </w:r>
      <w:r>
        <w:rPr>
          <w:color w:val="365F91"/>
          <w:spacing w:val="-10"/>
          <w:sz w:val="28"/>
        </w:rPr>
        <w:t> </w:t>
      </w:r>
      <w:r>
        <w:rPr>
          <w:color w:val="365F91"/>
          <w:sz w:val="28"/>
        </w:rPr>
        <w:t>and</w:t>
      </w:r>
      <w:r>
        <w:rPr>
          <w:color w:val="365F91"/>
          <w:spacing w:val="-10"/>
          <w:sz w:val="28"/>
        </w:rPr>
        <w:t> </w:t>
      </w:r>
      <w:r>
        <w:rPr>
          <w:color w:val="365F91"/>
          <w:sz w:val="28"/>
        </w:rPr>
        <w:t>Legislature</w:t>
      </w:r>
      <w:r>
        <w:rPr>
          <w:color w:val="365F91"/>
          <w:spacing w:val="-9"/>
          <w:sz w:val="28"/>
        </w:rPr>
        <w:t> </w:t>
      </w:r>
      <w:r>
        <w:rPr>
          <w:color w:val="365F91"/>
          <w:sz w:val="28"/>
        </w:rPr>
        <w:t>on</w:t>
      </w:r>
      <w:r>
        <w:rPr>
          <w:color w:val="365F91"/>
          <w:spacing w:val="-10"/>
          <w:sz w:val="28"/>
        </w:rPr>
        <w:t> </w:t>
      </w:r>
      <w:r>
        <w:rPr>
          <w:color w:val="365F91"/>
          <w:sz w:val="28"/>
        </w:rPr>
        <w:t>Child</w:t>
      </w:r>
      <w:r>
        <w:rPr>
          <w:color w:val="365F91"/>
          <w:spacing w:val="-11"/>
          <w:sz w:val="28"/>
        </w:rPr>
        <w:t> </w:t>
      </w:r>
      <w:r>
        <w:rPr>
          <w:color w:val="365F91"/>
          <w:spacing w:val="-2"/>
          <w:sz w:val="28"/>
        </w:rPr>
        <w:t>Welfare</w:t>
      </w:r>
    </w:p>
    <w:p>
      <w:pPr>
        <w:pStyle w:val="BodyText"/>
        <w:spacing w:before="9"/>
        <w:rPr>
          <w:sz w:val="3"/>
        </w:rPr>
      </w:pPr>
      <w:r>
        <w:rPr/>
        <mc:AlternateContent>
          <mc:Choice Requires="wps">
            <w:drawing>
              <wp:anchor distT="0" distB="0" distL="0" distR="0" allowOverlap="1" layoutInCell="1" locked="0" behindDoc="1" simplePos="0" relativeHeight="487595520">
                <wp:simplePos x="0" y="0"/>
                <wp:positionH relativeFrom="page">
                  <wp:posOffset>897636</wp:posOffset>
                </wp:positionH>
                <wp:positionV relativeFrom="paragraph">
                  <wp:posOffset>44477</wp:posOffset>
                </wp:positionV>
                <wp:extent cx="5976620" cy="6350"/>
                <wp:effectExtent l="0" t="0" r="0" b="0"/>
                <wp:wrapTopAndBottom/>
                <wp:docPr id="81" name="Graphic 81"/>
                <wp:cNvGraphicFramePr>
                  <a:graphicFrameLocks/>
                </wp:cNvGraphicFramePr>
                <a:graphic>
                  <a:graphicData uri="http://schemas.microsoft.com/office/word/2010/wordprocessingShape">
                    <wps:wsp>
                      <wps:cNvPr id="81" name="Graphic 81"/>
                      <wps:cNvSpPr/>
                      <wps:spPr>
                        <a:xfrm>
                          <a:off x="0" y="0"/>
                          <a:ext cx="5976620" cy="6350"/>
                        </a:xfrm>
                        <a:custGeom>
                          <a:avLst/>
                          <a:gdLst/>
                          <a:ahLst/>
                          <a:cxnLst/>
                          <a:rect l="l" t="t" r="r" b="b"/>
                          <a:pathLst>
                            <a:path w="5976620" h="6350">
                              <a:moveTo>
                                <a:pt x="5976366" y="0"/>
                              </a:moveTo>
                              <a:lnTo>
                                <a:pt x="0" y="0"/>
                              </a:lnTo>
                              <a:lnTo>
                                <a:pt x="0" y="6096"/>
                              </a:lnTo>
                              <a:lnTo>
                                <a:pt x="5976366" y="6096"/>
                              </a:lnTo>
                              <a:lnTo>
                                <a:pt x="5976366" y="0"/>
                              </a:lnTo>
                              <a:close/>
                            </a:path>
                          </a:pathLst>
                        </a:custGeom>
                        <a:solidFill>
                          <a:srgbClr val="4F81BC"/>
                        </a:solidFill>
                      </wps:spPr>
                      <wps:bodyPr wrap="square" lIns="0" tIns="0" rIns="0" bIns="0" rtlCol="0">
                        <a:prstTxWarp prst="textNoShape">
                          <a:avLst/>
                        </a:prstTxWarp>
                        <a:noAutofit/>
                      </wps:bodyPr>
                    </wps:wsp>
                  </a:graphicData>
                </a:graphic>
              </wp:anchor>
            </w:drawing>
          </mc:Choice>
          <mc:Fallback>
            <w:pict>
              <v:rect style="position:absolute;margin-left:70.680pt;margin-top:3.502156pt;width:470.58pt;height:.48pt;mso-position-horizontal-relative:page;mso-position-vertical-relative:paragraph;z-index:-15720960;mso-wrap-distance-left:0;mso-wrap-distance-right:0" id="docshape65" filled="true" fillcolor="#4f81bc" stroked="false">
                <v:fill type="solid"/>
                <w10:wrap type="topAndBottom"/>
              </v:rect>
            </w:pict>
          </mc:Fallback>
        </mc:AlternateContent>
      </w:r>
    </w:p>
    <w:p>
      <w:pPr>
        <w:numPr>
          <w:ilvl w:val="0"/>
          <w:numId w:val="15"/>
        </w:numPr>
        <w:tabs>
          <w:tab w:pos="461" w:val="left" w:leader="none"/>
        </w:tabs>
        <w:spacing w:before="241"/>
        <w:ind w:left="461" w:right="0" w:hanging="358"/>
        <w:jc w:val="left"/>
        <w:rPr>
          <w:b/>
          <w:sz w:val="22"/>
        </w:rPr>
      </w:pPr>
      <w:bookmarkStart w:name="1. Create a program for universal basic " w:id="87"/>
      <w:bookmarkEnd w:id="87"/>
      <w:r>
        <w:rPr>
          <w:b/>
          <w:sz w:val="22"/>
        </w:rPr>
        <w:t>Crea</w:t>
      </w:r>
      <w:r>
        <w:rPr>
          <w:b/>
          <w:sz w:val="22"/>
        </w:rPr>
        <w:t>te</w:t>
      </w:r>
      <w:r>
        <w:rPr>
          <w:b/>
          <w:spacing w:val="-6"/>
          <w:sz w:val="22"/>
        </w:rPr>
        <w:t> </w:t>
      </w:r>
      <w:r>
        <w:rPr>
          <w:b/>
          <w:sz w:val="22"/>
        </w:rPr>
        <w:t>a</w:t>
      </w:r>
      <w:r>
        <w:rPr>
          <w:b/>
          <w:spacing w:val="-6"/>
          <w:sz w:val="22"/>
        </w:rPr>
        <w:t> </w:t>
      </w:r>
      <w:r>
        <w:rPr>
          <w:b/>
          <w:sz w:val="22"/>
        </w:rPr>
        <w:t>program</w:t>
      </w:r>
      <w:r>
        <w:rPr>
          <w:b/>
          <w:spacing w:val="-7"/>
          <w:sz w:val="22"/>
        </w:rPr>
        <w:t> </w:t>
      </w:r>
      <w:r>
        <w:rPr>
          <w:b/>
          <w:sz w:val="22"/>
        </w:rPr>
        <w:t>for</w:t>
      </w:r>
      <w:r>
        <w:rPr>
          <w:b/>
          <w:spacing w:val="-6"/>
          <w:sz w:val="22"/>
        </w:rPr>
        <w:t> </w:t>
      </w:r>
      <w:r>
        <w:rPr>
          <w:b/>
          <w:sz w:val="22"/>
        </w:rPr>
        <w:t>universal</w:t>
      </w:r>
      <w:r>
        <w:rPr>
          <w:b/>
          <w:spacing w:val="-6"/>
          <w:sz w:val="22"/>
        </w:rPr>
        <w:t> </w:t>
      </w:r>
      <w:r>
        <w:rPr>
          <w:b/>
          <w:sz w:val="22"/>
        </w:rPr>
        <w:t>basic</w:t>
      </w:r>
      <w:r>
        <w:rPr>
          <w:b/>
          <w:spacing w:val="-7"/>
          <w:sz w:val="22"/>
        </w:rPr>
        <w:t> </w:t>
      </w:r>
      <w:r>
        <w:rPr>
          <w:b/>
          <w:sz w:val="22"/>
        </w:rPr>
        <w:t>income</w:t>
      </w:r>
      <w:r>
        <w:rPr>
          <w:b/>
          <w:spacing w:val="-7"/>
          <w:sz w:val="22"/>
        </w:rPr>
        <w:t> </w:t>
      </w:r>
      <w:r>
        <w:rPr>
          <w:b/>
          <w:sz w:val="22"/>
        </w:rPr>
        <w:t>for</w:t>
      </w:r>
      <w:r>
        <w:rPr>
          <w:b/>
          <w:spacing w:val="-7"/>
          <w:sz w:val="22"/>
        </w:rPr>
        <w:t> </w:t>
      </w:r>
      <w:r>
        <w:rPr>
          <w:b/>
          <w:sz w:val="22"/>
        </w:rPr>
        <w:t>foster</w:t>
      </w:r>
      <w:r>
        <w:rPr>
          <w:b/>
          <w:spacing w:val="-7"/>
          <w:sz w:val="22"/>
        </w:rPr>
        <w:t> </w:t>
      </w:r>
      <w:r>
        <w:rPr>
          <w:b/>
          <w:sz w:val="22"/>
        </w:rPr>
        <w:t>care</w:t>
      </w:r>
      <w:r>
        <w:rPr>
          <w:b/>
          <w:spacing w:val="-7"/>
          <w:sz w:val="22"/>
        </w:rPr>
        <w:t> </w:t>
      </w:r>
      <w:r>
        <w:rPr>
          <w:b/>
          <w:spacing w:val="-2"/>
          <w:sz w:val="22"/>
        </w:rPr>
        <w:t>youth.</w:t>
      </w:r>
    </w:p>
    <w:p>
      <w:pPr>
        <w:pStyle w:val="BodyText"/>
        <w:spacing w:before="13"/>
        <w:rPr>
          <w:b/>
        </w:rPr>
      </w:pPr>
    </w:p>
    <w:p>
      <w:pPr>
        <w:spacing w:line="276" w:lineRule="auto" w:before="0"/>
        <w:ind w:left="463" w:right="285" w:firstLine="0"/>
        <w:jc w:val="both"/>
        <w:rPr>
          <w:sz w:val="22"/>
        </w:rPr>
      </w:pPr>
      <w:r>
        <w:rPr>
          <w:sz w:val="22"/>
        </w:rPr>
        <w:t>The Commission recommends that the legislature pass </w:t>
      </w:r>
      <w:r>
        <w:rPr>
          <w:i/>
          <w:sz w:val="22"/>
        </w:rPr>
        <w:t>An Act providing for a universal basic income for</w:t>
      </w:r>
      <w:r>
        <w:rPr>
          <w:i/>
          <w:sz w:val="22"/>
        </w:rPr>
        <w:t> youth aging out of foster care </w:t>
      </w:r>
      <w:r>
        <w:rPr>
          <w:sz w:val="22"/>
        </w:rPr>
        <w:t>(</w:t>
      </w:r>
      <w:hyperlink r:id="rId48">
        <w:r>
          <w:rPr>
            <w:b/>
            <w:color w:val="0000FF"/>
            <w:sz w:val="22"/>
            <w:u w:val="single" w:color="0000FF"/>
          </w:rPr>
          <w:t>S.114</w:t>
        </w:r>
      </w:hyperlink>
      <w:r>
        <w:rPr>
          <w:sz w:val="22"/>
          <w:u w:val="none"/>
        </w:rPr>
        <w:t>), which would provide youth transitioning out of foster care with a</w:t>
      </w:r>
    </w:p>
    <w:p>
      <w:pPr>
        <w:pStyle w:val="BodyText"/>
        <w:spacing w:line="276" w:lineRule="auto"/>
        <w:ind w:left="463" w:right="283"/>
        <w:jc w:val="both"/>
      </w:pPr>
      <w:r>
        <w:rPr/>
        <w:t>$1,000 per month cash stipend for 5 years. Youth transitioning out of the foster care system face significant</w:t>
      </w:r>
      <w:r>
        <w:rPr>
          <w:spacing w:val="-4"/>
        </w:rPr>
        <w:t> </w:t>
      </w:r>
      <w:r>
        <w:rPr/>
        <w:t>challenges</w:t>
      </w:r>
      <w:r>
        <w:rPr>
          <w:spacing w:val="-4"/>
        </w:rPr>
        <w:t> </w:t>
      </w:r>
      <w:r>
        <w:rPr/>
        <w:t>in</w:t>
      </w:r>
      <w:r>
        <w:rPr>
          <w:spacing w:val="-4"/>
        </w:rPr>
        <w:t> </w:t>
      </w:r>
      <w:r>
        <w:rPr/>
        <w:t>finding</w:t>
      </w:r>
      <w:r>
        <w:rPr>
          <w:spacing w:val="-4"/>
        </w:rPr>
        <w:t> </w:t>
      </w:r>
      <w:r>
        <w:rPr/>
        <w:t>stability,</w:t>
      </w:r>
      <w:r>
        <w:rPr>
          <w:spacing w:val="-2"/>
        </w:rPr>
        <w:t> </w:t>
      </w:r>
      <w:r>
        <w:rPr/>
        <w:t>as</w:t>
      </w:r>
      <w:r>
        <w:rPr>
          <w:spacing w:val="-4"/>
        </w:rPr>
        <w:t> </w:t>
      </w:r>
      <w:r>
        <w:rPr/>
        <w:t>discussed</w:t>
      </w:r>
      <w:r>
        <w:rPr>
          <w:spacing w:val="-4"/>
        </w:rPr>
        <w:t> </w:t>
      </w:r>
      <w:r>
        <w:rPr/>
        <w:t>in</w:t>
      </w:r>
      <w:r>
        <w:rPr>
          <w:spacing w:val="-4"/>
        </w:rPr>
        <w:t> </w:t>
      </w:r>
      <w:r>
        <w:rPr/>
        <w:t>this</w:t>
      </w:r>
      <w:r>
        <w:rPr>
          <w:spacing w:val="-4"/>
        </w:rPr>
        <w:t> </w:t>
      </w:r>
      <w:r>
        <w:rPr/>
        <w:t>section</w:t>
      </w:r>
      <w:r>
        <w:rPr>
          <w:spacing w:val="-4"/>
        </w:rPr>
        <w:t> </w:t>
      </w:r>
      <w:r>
        <w:rPr/>
        <w:t>and</w:t>
      </w:r>
      <w:r>
        <w:rPr>
          <w:spacing w:val="-4"/>
        </w:rPr>
        <w:t> </w:t>
      </w:r>
      <w:r>
        <w:rPr/>
        <w:t>subsequent</w:t>
      </w:r>
      <w:r>
        <w:rPr>
          <w:spacing w:val="-4"/>
        </w:rPr>
        <w:t> </w:t>
      </w:r>
      <w:r>
        <w:rPr/>
        <w:t>sections</w:t>
      </w:r>
      <w:r>
        <w:rPr>
          <w:spacing w:val="-2"/>
        </w:rPr>
        <w:t> </w:t>
      </w:r>
      <w:r>
        <w:rPr/>
        <w:t>throughout this</w:t>
      </w:r>
      <w:r>
        <w:rPr>
          <w:spacing w:val="-11"/>
        </w:rPr>
        <w:t> </w:t>
      </w:r>
      <w:r>
        <w:rPr/>
        <w:t>annual</w:t>
      </w:r>
      <w:r>
        <w:rPr>
          <w:spacing w:val="-10"/>
        </w:rPr>
        <w:t> </w:t>
      </w:r>
      <w:r>
        <w:rPr/>
        <w:t>report.</w:t>
      </w:r>
      <w:r>
        <w:rPr>
          <w:spacing w:val="-12"/>
        </w:rPr>
        <w:t> </w:t>
      </w:r>
      <w:r>
        <w:rPr/>
        <w:t>By</w:t>
      </w:r>
      <w:r>
        <w:rPr>
          <w:spacing w:val="-10"/>
        </w:rPr>
        <w:t> </w:t>
      </w:r>
      <w:r>
        <w:rPr/>
        <w:t>establishing</w:t>
      </w:r>
      <w:r>
        <w:rPr>
          <w:spacing w:val="-10"/>
        </w:rPr>
        <w:t> </w:t>
      </w:r>
      <w:r>
        <w:rPr/>
        <w:t>a</w:t>
      </w:r>
      <w:r>
        <w:rPr>
          <w:spacing w:val="-11"/>
        </w:rPr>
        <w:t> </w:t>
      </w:r>
      <w:r>
        <w:rPr/>
        <w:t>universal</w:t>
      </w:r>
      <w:r>
        <w:rPr>
          <w:spacing w:val="-11"/>
        </w:rPr>
        <w:t> </w:t>
      </w:r>
      <w:r>
        <w:rPr/>
        <w:t>basic</w:t>
      </w:r>
      <w:r>
        <w:rPr>
          <w:spacing w:val="-11"/>
        </w:rPr>
        <w:t> </w:t>
      </w:r>
      <w:r>
        <w:rPr/>
        <w:t>income</w:t>
      </w:r>
      <w:r>
        <w:rPr>
          <w:spacing w:val="-10"/>
        </w:rPr>
        <w:t> </w:t>
      </w:r>
      <w:r>
        <w:rPr/>
        <w:t>(UBI)</w:t>
      </w:r>
      <w:r>
        <w:rPr>
          <w:spacing w:val="-11"/>
        </w:rPr>
        <w:t> </w:t>
      </w:r>
      <w:r>
        <w:rPr/>
        <w:t>for</w:t>
      </w:r>
      <w:r>
        <w:rPr>
          <w:spacing w:val="-11"/>
        </w:rPr>
        <w:t> </w:t>
      </w:r>
      <w:r>
        <w:rPr/>
        <w:t>youth</w:t>
      </w:r>
      <w:r>
        <w:rPr>
          <w:spacing w:val="-10"/>
        </w:rPr>
        <w:t> </w:t>
      </w:r>
      <w:r>
        <w:rPr/>
        <w:t>transitioning</w:t>
      </w:r>
      <w:r>
        <w:rPr>
          <w:spacing w:val="-10"/>
        </w:rPr>
        <w:t> </w:t>
      </w:r>
      <w:r>
        <w:rPr/>
        <w:t>out</w:t>
      </w:r>
      <w:r>
        <w:rPr>
          <w:spacing w:val="-11"/>
        </w:rPr>
        <w:t> </w:t>
      </w:r>
      <w:r>
        <w:rPr/>
        <w:t>of</w:t>
      </w:r>
      <w:r>
        <w:rPr>
          <w:spacing w:val="-10"/>
        </w:rPr>
        <w:t> </w:t>
      </w:r>
      <w:r>
        <w:rPr/>
        <w:t>foster</w:t>
      </w:r>
      <w:r>
        <w:rPr>
          <w:spacing w:val="-10"/>
        </w:rPr>
        <w:t> </w:t>
      </w:r>
      <w:r>
        <w:rPr/>
        <w:t>care, as being piloted in California</w:t>
      </w:r>
      <w:hyperlink w:history="true" w:anchor="_bookmark11">
        <w:r>
          <w:rPr/>
          <w:t>,</w:t>
        </w:r>
        <w:r>
          <w:rPr>
            <w:vertAlign w:val="superscript"/>
          </w:rPr>
          <w:t>2</w:t>
        </w:r>
      </w:hyperlink>
      <w:r>
        <w:rPr>
          <w:vertAlign w:val="baseline"/>
        </w:rPr>
        <w:t> the state can help mitigate risk factors such as housing instability or involvement in the criminal legal system. The Commission advises policymakers and administrators to ensure that - should this program become a reality - there is a clear plan on how to directly transfer the cash assistance and make youth aware of the existence of the program.</w:t>
      </w:r>
      <w:hyperlink w:history="true" w:anchor="_bookmark12">
        <w:r>
          <w:rPr>
            <w:vertAlign w:val="superscript"/>
          </w:rPr>
          <w:t>3</w:t>
        </w:r>
      </w:hyperlink>
    </w:p>
    <w:p>
      <w:pPr>
        <w:spacing w:after="0" w:line="276" w:lineRule="auto"/>
        <w:jc w:val="both"/>
        <w:sectPr>
          <w:headerReference w:type="default" r:id="rId46"/>
          <w:footerReference w:type="default" r:id="rId47"/>
          <w:pgSz w:w="12240" w:h="15840"/>
          <w:pgMar w:header="804" w:footer="1263" w:top="1000" w:bottom="1460" w:left="980" w:right="1160"/>
        </w:sectPr>
      </w:pPr>
    </w:p>
    <w:p>
      <w:pPr>
        <w:numPr>
          <w:ilvl w:val="0"/>
          <w:numId w:val="15"/>
        </w:numPr>
        <w:tabs>
          <w:tab w:pos="461" w:val="left" w:leader="none"/>
        </w:tabs>
        <w:spacing w:before="139"/>
        <w:ind w:left="461" w:right="0" w:hanging="358"/>
        <w:jc w:val="left"/>
        <w:rPr>
          <w:b/>
          <w:sz w:val="22"/>
        </w:rPr>
      </w:pPr>
      <w:bookmarkStart w:name="2. Protect youth in the foster care syst" w:id="88"/>
      <w:bookmarkEnd w:id="88"/>
      <w:r>
        <w:rPr>
          <w:b/>
          <w:sz w:val="22"/>
        </w:rPr>
        <w:t>P</w:t>
      </w:r>
      <w:r>
        <w:rPr>
          <w:b/>
          <w:sz w:val="22"/>
        </w:rPr>
        <w:t>rotect</w:t>
      </w:r>
      <w:r>
        <w:rPr>
          <w:b/>
          <w:spacing w:val="-8"/>
          <w:sz w:val="22"/>
        </w:rPr>
        <w:t> </w:t>
      </w:r>
      <w:r>
        <w:rPr>
          <w:b/>
          <w:sz w:val="22"/>
        </w:rPr>
        <w:t>youth</w:t>
      </w:r>
      <w:r>
        <w:rPr>
          <w:b/>
          <w:spacing w:val="-8"/>
          <w:sz w:val="22"/>
        </w:rPr>
        <w:t> </w:t>
      </w:r>
      <w:r>
        <w:rPr>
          <w:b/>
          <w:sz w:val="22"/>
        </w:rPr>
        <w:t>in</w:t>
      </w:r>
      <w:r>
        <w:rPr>
          <w:b/>
          <w:spacing w:val="-7"/>
          <w:sz w:val="22"/>
        </w:rPr>
        <w:t> </w:t>
      </w:r>
      <w:r>
        <w:rPr>
          <w:b/>
          <w:sz w:val="22"/>
        </w:rPr>
        <w:t>the</w:t>
      </w:r>
      <w:r>
        <w:rPr>
          <w:b/>
          <w:spacing w:val="-8"/>
          <w:sz w:val="22"/>
        </w:rPr>
        <w:t> </w:t>
      </w:r>
      <w:r>
        <w:rPr>
          <w:b/>
          <w:sz w:val="22"/>
        </w:rPr>
        <w:t>foster</w:t>
      </w:r>
      <w:r>
        <w:rPr>
          <w:b/>
          <w:spacing w:val="-8"/>
          <w:sz w:val="22"/>
        </w:rPr>
        <w:t> </w:t>
      </w:r>
      <w:r>
        <w:rPr>
          <w:b/>
          <w:sz w:val="22"/>
        </w:rPr>
        <w:t>care</w:t>
      </w:r>
      <w:r>
        <w:rPr>
          <w:b/>
          <w:spacing w:val="-7"/>
          <w:sz w:val="22"/>
        </w:rPr>
        <w:t> </w:t>
      </w:r>
      <w:r>
        <w:rPr>
          <w:b/>
          <w:sz w:val="22"/>
        </w:rPr>
        <w:t>system</w:t>
      </w:r>
      <w:r>
        <w:rPr>
          <w:b/>
          <w:spacing w:val="-7"/>
          <w:sz w:val="22"/>
        </w:rPr>
        <w:t> </w:t>
      </w:r>
      <w:r>
        <w:rPr>
          <w:b/>
          <w:sz w:val="22"/>
        </w:rPr>
        <w:t>from</w:t>
      </w:r>
      <w:r>
        <w:rPr>
          <w:b/>
          <w:spacing w:val="-8"/>
          <w:sz w:val="22"/>
        </w:rPr>
        <w:t> </w:t>
      </w:r>
      <w:r>
        <w:rPr>
          <w:b/>
          <w:sz w:val="22"/>
        </w:rPr>
        <w:t>having</w:t>
      </w:r>
      <w:r>
        <w:rPr>
          <w:b/>
          <w:spacing w:val="-7"/>
          <w:sz w:val="22"/>
        </w:rPr>
        <w:t> </w:t>
      </w:r>
      <w:r>
        <w:rPr>
          <w:b/>
          <w:sz w:val="22"/>
        </w:rPr>
        <w:t>their</w:t>
      </w:r>
      <w:r>
        <w:rPr>
          <w:b/>
          <w:spacing w:val="-7"/>
          <w:sz w:val="22"/>
        </w:rPr>
        <w:t> </w:t>
      </w:r>
      <w:r>
        <w:rPr>
          <w:b/>
          <w:sz w:val="22"/>
        </w:rPr>
        <w:t>federal</w:t>
      </w:r>
      <w:r>
        <w:rPr>
          <w:b/>
          <w:spacing w:val="-7"/>
          <w:sz w:val="22"/>
        </w:rPr>
        <w:t> </w:t>
      </w:r>
      <w:r>
        <w:rPr>
          <w:b/>
          <w:sz w:val="22"/>
        </w:rPr>
        <w:t>benefits</w:t>
      </w:r>
      <w:r>
        <w:rPr>
          <w:b/>
          <w:spacing w:val="-7"/>
          <w:sz w:val="22"/>
        </w:rPr>
        <w:t> </w:t>
      </w:r>
      <w:r>
        <w:rPr>
          <w:b/>
          <w:sz w:val="22"/>
        </w:rPr>
        <w:t>stripped</w:t>
      </w:r>
      <w:r>
        <w:rPr>
          <w:b/>
          <w:spacing w:val="-8"/>
          <w:sz w:val="22"/>
        </w:rPr>
        <w:t> </w:t>
      </w:r>
      <w:r>
        <w:rPr>
          <w:b/>
          <w:spacing w:val="-2"/>
          <w:sz w:val="22"/>
        </w:rPr>
        <w:t>away.</w:t>
      </w:r>
    </w:p>
    <w:p>
      <w:pPr>
        <w:pStyle w:val="BodyText"/>
        <w:spacing w:before="11"/>
        <w:rPr>
          <w:b/>
        </w:rPr>
      </w:pPr>
    </w:p>
    <w:p>
      <w:pPr>
        <w:pStyle w:val="BodyText"/>
        <w:spacing w:line="276" w:lineRule="auto"/>
        <w:ind w:left="463" w:right="283"/>
        <w:jc w:val="both"/>
      </w:pPr>
      <w:r>
        <w:rPr/>
        <w:t>In a 2021 study from The Marshall Project and NPR</w:t>
      </w:r>
      <w:hyperlink w:history="true" w:anchor="_bookmark13">
        <w:r>
          <w:rPr/>
          <w:t>,</w:t>
        </w:r>
        <w:r>
          <w:rPr>
            <w:vertAlign w:val="superscript"/>
          </w:rPr>
          <w:t>4</w:t>
        </w:r>
      </w:hyperlink>
      <w:r>
        <w:rPr>
          <w:vertAlign w:val="baseline"/>
        </w:rPr>
        <w:t> it was detailed that 10% of foster youth across the country are</w:t>
      </w:r>
      <w:r>
        <w:rPr>
          <w:spacing w:val="-1"/>
          <w:vertAlign w:val="baseline"/>
        </w:rPr>
        <w:t> </w:t>
      </w:r>
      <w:r>
        <w:rPr>
          <w:vertAlign w:val="baseline"/>
        </w:rPr>
        <w:t>entitled to Social</w:t>
      </w:r>
      <w:r>
        <w:rPr>
          <w:spacing w:val="-1"/>
          <w:vertAlign w:val="baseline"/>
        </w:rPr>
        <w:t> </w:t>
      </w:r>
      <w:r>
        <w:rPr>
          <w:vertAlign w:val="baseline"/>
        </w:rPr>
        <w:t>Security benefits, with 36 states -</w:t>
      </w:r>
      <w:r>
        <w:rPr>
          <w:spacing w:val="-1"/>
          <w:vertAlign w:val="baseline"/>
        </w:rPr>
        <w:t> </w:t>
      </w:r>
      <w:r>
        <w:rPr>
          <w:vertAlign w:val="baseline"/>
        </w:rPr>
        <w:t>including</w:t>
      </w:r>
      <w:r>
        <w:rPr>
          <w:spacing w:val="-1"/>
          <w:vertAlign w:val="baseline"/>
        </w:rPr>
        <w:t> </w:t>
      </w:r>
      <w:r>
        <w:rPr>
          <w:vertAlign w:val="baseline"/>
        </w:rPr>
        <w:t>Massachusetts - then</w:t>
      </w:r>
      <w:r>
        <w:rPr>
          <w:spacing w:val="-1"/>
          <w:vertAlign w:val="baseline"/>
        </w:rPr>
        <w:t> </w:t>
      </w:r>
      <w:r>
        <w:rPr>
          <w:vertAlign w:val="baseline"/>
        </w:rPr>
        <w:t>accessing these</w:t>
      </w:r>
      <w:r>
        <w:rPr>
          <w:spacing w:val="-9"/>
          <w:vertAlign w:val="baseline"/>
        </w:rPr>
        <w:t> </w:t>
      </w:r>
      <w:r>
        <w:rPr>
          <w:vertAlign w:val="baseline"/>
        </w:rPr>
        <w:t>benefits,</w:t>
      </w:r>
      <w:r>
        <w:rPr>
          <w:spacing w:val="-8"/>
          <w:vertAlign w:val="baseline"/>
        </w:rPr>
        <w:t> </w:t>
      </w:r>
      <w:r>
        <w:rPr>
          <w:vertAlign w:val="baseline"/>
        </w:rPr>
        <w:t>often</w:t>
      </w:r>
      <w:r>
        <w:rPr>
          <w:spacing w:val="-9"/>
          <w:vertAlign w:val="baseline"/>
        </w:rPr>
        <w:t> </w:t>
      </w:r>
      <w:r>
        <w:rPr>
          <w:vertAlign w:val="baseline"/>
        </w:rPr>
        <w:t>without</w:t>
      </w:r>
      <w:r>
        <w:rPr>
          <w:spacing w:val="-9"/>
          <w:vertAlign w:val="baseline"/>
        </w:rPr>
        <w:t> </w:t>
      </w:r>
      <w:r>
        <w:rPr>
          <w:vertAlign w:val="baseline"/>
        </w:rPr>
        <w:t>ever</w:t>
      </w:r>
      <w:r>
        <w:rPr>
          <w:spacing w:val="-9"/>
          <w:vertAlign w:val="baseline"/>
        </w:rPr>
        <w:t> </w:t>
      </w:r>
      <w:r>
        <w:rPr>
          <w:vertAlign w:val="baseline"/>
        </w:rPr>
        <w:t>notifying</w:t>
      </w:r>
      <w:r>
        <w:rPr>
          <w:spacing w:val="-9"/>
          <w:vertAlign w:val="baseline"/>
        </w:rPr>
        <w:t> </w:t>
      </w:r>
      <w:r>
        <w:rPr>
          <w:vertAlign w:val="baseline"/>
        </w:rPr>
        <w:t>the</w:t>
      </w:r>
      <w:r>
        <w:rPr>
          <w:spacing w:val="-9"/>
          <w:vertAlign w:val="baseline"/>
        </w:rPr>
        <w:t> </w:t>
      </w:r>
      <w:r>
        <w:rPr>
          <w:vertAlign w:val="baseline"/>
        </w:rPr>
        <w:t>child</w:t>
      </w:r>
      <w:r>
        <w:rPr>
          <w:spacing w:val="-8"/>
          <w:vertAlign w:val="baseline"/>
        </w:rPr>
        <w:t> </w:t>
      </w:r>
      <w:r>
        <w:rPr>
          <w:vertAlign w:val="baseline"/>
        </w:rPr>
        <w:t>or</w:t>
      </w:r>
      <w:r>
        <w:rPr>
          <w:spacing w:val="-9"/>
          <w:vertAlign w:val="baseline"/>
        </w:rPr>
        <w:t> </w:t>
      </w:r>
      <w:r>
        <w:rPr>
          <w:vertAlign w:val="baseline"/>
        </w:rPr>
        <w:t>families</w:t>
      </w:r>
      <w:hyperlink w:history="true" w:anchor="_bookmark14">
        <w:r>
          <w:rPr>
            <w:vertAlign w:val="baseline"/>
          </w:rPr>
          <w:t>.</w:t>
        </w:r>
        <w:r>
          <w:rPr>
            <w:vertAlign w:val="superscript"/>
          </w:rPr>
          <w:t>5</w:t>
        </w:r>
      </w:hyperlink>
      <w:r>
        <w:rPr>
          <w:spacing w:val="-9"/>
          <w:vertAlign w:val="baseline"/>
        </w:rPr>
        <w:t> </w:t>
      </w:r>
      <w:r>
        <w:rPr>
          <w:vertAlign w:val="baseline"/>
        </w:rPr>
        <w:t>In</w:t>
      </w:r>
      <w:r>
        <w:rPr>
          <w:spacing w:val="-9"/>
          <w:vertAlign w:val="baseline"/>
        </w:rPr>
        <w:t> </w:t>
      </w:r>
      <w:r>
        <w:rPr>
          <w:vertAlign w:val="baseline"/>
        </w:rPr>
        <w:t>2018,</w:t>
      </w:r>
      <w:r>
        <w:rPr>
          <w:spacing w:val="-8"/>
          <w:vertAlign w:val="baseline"/>
        </w:rPr>
        <w:t> </w:t>
      </w:r>
      <w:r>
        <w:rPr>
          <w:vertAlign w:val="baseline"/>
        </w:rPr>
        <w:t>Massachusetts</w:t>
      </w:r>
      <w:r>
        <w:rPr>
          <w:spacing w:val="-8"/>
          <w:vertAlign w:val="baseline"/>
        </w:rPr>
        <w:t> </w:t>
      </w:r>
      <w:r>
        <w:rPr>
          <w:vertAlign w:val="baseline"/>
        </w:rPr>
        <w:t>took</w:t>
      </w:r>
      <w:r>
        <w:rPr>
          <w:spacing w:val="-9"/>
          <w:vertAlign w:val="baseline"/>
        </w:rPr>
        <w:t> </w:t>
      </w:r>
      <w:r>
        <w:rPr>
          <w:vertAlign w:val="baseline"/>
        </w:rPr>
        <w:t>a</w:t>
      </w:r>
      <w:r>
        <w:rPr>
          <w:spacing w:val="-8"/>
          <w:vertAlign w:val="baseline"/>
        </w:rPr>
        <w:t> </w:t>
      </w:r>
      <w:r>
        <w:rPr>
          <w:vertAlign w:val="baseline"/>
        </w:rPr>
        <w:t>reported</w:t>
      </w:r>
    </w:p>
    <w:p>
      <w:pPr>
        <w:pStyle w:val="BodyText"/>
        <w:spacing w:line="276" w:lineRule="auto"/>
        <w:ind w:left="463" w:right="281"/>
        <w:jc w:val="both"/>
        <w:rPr>
          <w:b/>
        </w:rPr>
      </w:pPr>
      <w:r>
        <w:rPr/>
        <w:t>$6.31 million from youth in the foster care system. Historically, child welfare agencies - including DCF - accessed Supplemental Support Income (SSI) and Social Security Disability Insurance (SSDI) to cover the cost</w:t>
      </w:r>
      <w:r>
        <w:rPr>
          <w:spacing w:val="-7"/>
        </w:rPr>
        <w:t> </w:t>
      </w:r>
      <w:r>
        <w:rPr/>
        <w:t>of</w:t>
      </w:r>
      <w:r>
        <w:rPr>
          <w:spacing w:val="-6"/>
        </w:rPr>
        <w:t> </w:t>
      </w:r>
      <w:r>
        <w:rPr/>
        <w:t>placements,</w:t>
      </w:r>
      <w:r>
        <w:rPr>
          <w:spacing w:val="-6"/>
        </w:rPr>
        <w:t> </w:t>
      </w:r>
      <w:r>
        <w:rPr/>
        <w:t>particularly</w:t>
      </w:r>
      <w:r>
        <w:rPr>
          <w:spacing w:val="-6"/>
        </w:rPr>
        <w:t> </w:t>
      </w:r>
      <w:r>
        <w:rPr/>
        <w:t>given</w:t>
      </w:r>
      <w:r>
        <w:rPr>
          <w:spacing w:val="-6"/>
        </w:rPr>
        <w:t> </w:t>
      </w:r>
      <w:r>
        <w:rPr/>
        <w:t>that</w:t>
      </w:r>
      <w:r>
        <w:rPr>
          <w:spacing w:val="-7"/>
        </w:rPr>
        <w:t> </w:t>
      </w:r>
      <w:r>
        <w:rPr/>
        <w:t>youth</w:t>
      </w:r>
      <w:r>
        <w:rPr>
          <w:spacing w:val="-6"/>
        </w:rPr>
        <w:t> </w:t>
      </w:r>
      <w:r>
        <w:rPr/>
        <w:t>were</w:t>
      </w:r>
      <w:r>
        <w:rPr>
          <w:spacing w:val="-7"/>
        </w:rPr>
        <w:t> </w:t>
      </w:r>
      <w:r>
        <w:rPr/>
        <w:t>not</w:t>
      </w:r>
      <w:r>
        <w:rPr>
          <w:spacing w:val="-7"/>
        </w:rPr>
        <w:t> </w:t>
      </w:r>
      <w:r>
        <w:rPr/>
        <w:t>able</w:t>
      </w:r>
      <w:r>
        <w:rPr>
          <w:spacing w:val="-5"/>
        </w:rPr>
        <w:t> </w:t>
      </w:r>
      <w:r>
        <w:rPr/>
        <w:t>to</w:t>
      </w:r>
      <w:r>
        <w:rPr>
          <w:spacing w:val="-5"/>
        </w:rPr>
        <w:t> </w:t>
      </w:r>
      <w:r>
        <w:rPr/>
        <w:t>build</w:t>
      </w:r>
      <w:r>
        <w:rPr>
          <w:spacing w:val="-6"/>
        </w:rPr>
        <w:t> </w:t>
      </w:r>
      <w:r>
        <w:rPr/>
        <w:t>up</w:t>
      </w:r>
      <w:r>
        <w:rPr>
          <w:spacing w:val="-7"/>
        </w:rPr>
        <w:t> </w:t>
      </w:r>
      <w:r>
        <w:rPr/>
        <w:t>assets</w:t>
      </w:r>
      <w:r>
        <w:rPr>
          <w:spacing w:val="-6"/>
        </w:rPr>
        <w:t> </w:t>
      </w:r>
      <w:r>
        <w:rPr/>
        <w:t>over</w:t>
      </w:r>
      <w:r>
        <w:rPr>
          <w:spacing w:val="-6"/>
        </w:rPr>
        <w:t> </w:t>
      </w:r>
      <w:r>
        <w:rPr/>
        <w:t>$2,000</w:t>
      </w:r>
      <w:r>
        <w:rPr>
          <w:spacing w:val="-6"/>
        </w:rPr>
        <w:t> </w:t>
      </w:r>
      <w:r>
        <w:rPr/>
        <w:t>to</w:t>
      </w:r>
      <w:r>
        <w:rPr>
          <w:spacing w:val="-6"/>
        </w:rPr>
        <w:t> </w:t>
      </w:r>
      <w:r>
        <w:rPr/>
        <w:t>maintain eligibility for these benefits. In 2023, DCF advised the Commission that it is currently working with the Disability</w:t>
      </w:r>
      <w:r>
        <w:rPr>
          <w:spacing w:val="-4"/>
        </w:rPr>
        <w:t> </w:t>
      </w:r>
      <w:r>
        <w:rPr/>
        <w:t>Law</w:t>
      </w:r>
      <w:r>
        <w:rPr>
          <w:spacing w:val="-3"/>
        </w:rPr>
        <w:t> </w:t>
      </w:r>
      <w:r>
        <w:rPr/>
        <w:t>Center</w:t>
      </w:r>
      <w:r>
        <w:rPr>
          <w:spacing w:val="-4"/>
        </w:rPr>
        <w:t> </w:t>
      </w:r>
      <w:r>
        <w:rPr/>
        <w:t>and</w:t>
      </w:r>
      <w:r>
        <w:rPr>
          <w:spacing w:val="-3"/>
        </w:rPr>
        <w:t> </w:t>
      </w:r>
      <w:r>
        <w:rPr/>
        <w:t>Fidelity</w:t>
      </w:r>
      <w:r>
        <w:rPr>
          <w:spacing w:val="-3"/>
        </w:rPr>
        <w:t> </w:t>
      </w:r>
      <w:r>
        <w:rPr/>
        <w:t>Investments</w:t>
      </w:r>
      <w:r>
        <w:rPr>
          <w:spacing w:val="-2"/>
        </w:rPr>
        <w:t> </w:t>
      </w:r>
      <w:r>
        <w:rPr/>
        <w:t>to</w:t>
      </w:r>
      <w:r>
        <w:rPr>
          <w:spacing w:val="-2"/>
        </w:rPr>
        <w:t> </w:t>
      </w:r>
      <w:r>
        <w:rPr/>
        <w:t>set</w:t>
      </w:r>
      <w:r>
        <w:rPr>
          <w:spacing w:val="-2"/>
        </w:rPr>
        <w:t> </w:t>
      </w:r>
      <w:r>
        <w:rPr/>
        <w:t>up</w:t>
      </w:r>
      <w:r>
        <w:rPr>
          <w:spacing w:val="-4"/>
        </w:rPr>
        <w:t> </w:t>
      </w:r>
      <w:r>
        <w:rPr/>
        <w:t>ABLE</w:t>
      </w:r>
      <w:r>
        <w:rPr>
          <w:spacing w:val="-3"/>
        </w:rPr>
        <w:t> </w:t>
      </w:r>
      <w:r>
        <w:rPr/>
        <w:t>accounts</w:t>
      </w:r>
      <w:r>
        <w:rPr>
          <w:spacing w:val="-2"/>
        </w:rPr>
        <w:t> </w:t>
      </w:r>
      <w:r>
        <w:rPr/>
        <w:t>for</w:t>
      </w:r>
      <w:r>
        <w:rPr>
          <w:spacing w:val="-4"/>
        </w:rPr>
        <w:t> </w:t>
      </w:r>
      <w:r>
        <w:rPr/>
        <w:t>youth</w:t>
      </w:r>
      <w:r>
        <w:rPr>
          <w:spacing w:val="-4"/>
        </w:rPr>
        <w:t> </w:t>
      </w:r>
      <w:r>
        <w:rPr/>
        <w:t>eligible</w:t>
      </w:r>
      <w:r>
        <w:rPr>
          <w:spacing w:val="-3"/>
        </w:rPr>
        <w:t> </w:t>
      </w:r>
      <w:r>
        <w:rPr/>
        <w:t>for</w:t>
      </w:r>
      <w:r>
        <w:rPr>
          <w:spacing w:val="-2"/>
        </w:rPr>
        <w:t> </w:t>
      </w:r>
      <w:r>
        <w:rPr/>
        <w:t>SSI</w:t>
      </w:r>
      <w:r>
        <w:rPr>
          <w:spacing w:val="-4"/>
        </w:rPr>
        <w:t> </w:t>
      </w:r>
      <w:r>
        <w:rPr/>
        <w:t>and</w:t>
      </w:r>
      <w:r>
        <w:rPr>
          <w:spacing w:val="-3"/>
        </w:rPr>
        <w:t> </w:t>
      </w:r>
      <w:r>
        <w:rPr/>
        <w:t>SSDI, and that it has halted this practice. In order to ensure that this practice continues, the Commission strongly recommends that the Legislature pass </w:t>
      </w:r>
      <w:r>
        <w:rPr>
          <w:i/>
        </w:rPr>
        <w:t>An Act Protecting Benefits Owed to Foster Children </w:t>
      </w:r>
      <w:r>
        <w:rPr/>
        <w:t>(</w:t>
      </w:r>
      <w:hyperlink r:id="rId49">
        <w:r>
          <w:rPr>
            <w:b/>
            <w:color w:val="1153CC"/>
            <w:u w:val="single" w:color="1153CC"/>
          </w:rPr>
          <w:t>S. 65</w:t>
        </w:r>
      </w:hyperlink>
    </w:p>
    <w:p>
      <w:pPr>
        <w:spacing w:before="0"/>
        <w:ind w:left="463" w:right="0" w:firstLine="0"/>
        <w:jc w:val="both"/>
        <w:rPr>
          <w:sz w:val="22"/>
        </w:rPr>
      </w:pPr>
      <w:r>
        <w:rPr>
          <w:b/>
          <w:sz w:val="22"/>
        </w:rPr>
        <w:t>/</w:t>
      </w:r>
      <w:r>
        <w:rPr>
          <w:b/>
          <w:spacing w:val="-2"/>
          <w:sz w:val="22"/>
        </w:rPr>
        <w:t> </w:t>
      </w:r>
      <w:hyperlink r:id="rId50">
        <w:r>
          <w:rPr>
            <w:b/>
            <w:color w:val="1153CC"/>
            <w:spacing w:val="-2"/>
            <w:sz w:val="22"/>
            <w:u w:val="single" w:color="1153CC"/>
          </w:rPr>
          <w:t>H.157</w:t>
        </w:r>
      </w:hyperlink>
      <w:r>
        <w:rPr>
          <w:spacing w:val="-2"/>
          <w:sz w:val="22"/>
          <w:u w:val="none"/>
        </w:rPr>
        <w:t>).</w:t>
      </w:r>
    </w:p>
    <w:p>
      <w:pPr>
        <w:pStyle w:val="BodyText"/>
        <w:spacing w:before="11"/>
      </w:pPr>
    </w:p>
    <w:p>
      <w:pPr>
        <w:numPr>
          <w:ilvl w:val="0"/>
          <w:numId w:val="15"/>
        </w:numPr>
        <w:tabs>
          <w:tab w:pos="461" w:val="left" w:leader="none"/>
        </w:tabs>
        <w:spacing w:before="1"/>
        <w:ind w:left="461" w:right="0" w:hanging="358"/>
        <w:jc w:val="left"/>
        <w:rPr>
          <w:b/>
          <w:sz w:val="22"/>
        </w:rPr>
      </w:pPr>
      <w:bookmarkStart w:name="3. Solidify parental rights for LGBTQ fa" w:id="89"/>
      <w:bookmarkEnd w:id="89"/>
      <w:r>
        <w:rPr>
          <w:b/>
          <w:sz w:val="22"/>
        </w:rPr>
        <w:t>S</w:t>
      </w:r>
      <w:r>
        <w:rPr>
          <w:b/>
          <w:sz w:val="22"/>
        </w:rPr>
        <w:t>olidify</w:t>
      </w:r>
      <w:r>
        <w:rPr>
          <w:b/>
          <w:spacing w:val="-9"/>
          <w:sz w:val="22"/>
        </w:rPr>
        <w:t> </w:t>
      </w:r>
      <w:r>
        <w:rPr>
          <w:b/>
          <w:sz w:val="22"/>
        </w:rPr>
        <w:t>parental</w:t>
      </w:r>
      <w:r>
        <w:rPr>
          <w:b/>
          <w:spacing w:val="-8"/>
          <w:sz w:val="22"/>
        </w:rPr>
        <w:t> </w:t>
      </w:r>
      <w:r>
        <w:rPr>
          <w:b/>
          <w:sz w:val="22"/>
        </w:rPr>
        <w:t>rights</w:t>
      </w:r>
      <w:r>
        <w:rPr>
          <w:b/>
          <w:spacing w:val="-8"/>
          <w:sz w:val="22"/>
        </w:rPr>
        <w:t> </w:t>
      </w:r>
      <w:r>
        <w:rPr>
          <w:b/>
          <w:sz w:val="22"/>
        </w:rPr>
        <w:t>for</w:t>
      </w:r>
      <w:r>
        <w:rPr>
          <w:b/>
          <w:spacing w:val="-9"/>
          <w:sz w:val="22"/>
        </w:rPr>
        <w:t> </w:t>
      </w:r>
      <w:r>
        <w:rPr>
          <w:b/>
          <w:sz w:val="22"/>
        </w:rPr>
        <w:t>LGBTQ</w:t>
      </w:r>
      <w:r>
        <w:rPr>
          <w:b/>
          <w:spacing w:val="-8"/>
          <w:sz w:val="22"/>
        </w:rPr>
        <w:t> </w:t>
      </w:r>
      <w:r>
        <w:rPr>
          <w:b/>
          <w:spacing w:val="-2"/>
          <w:sz w:val="22"/>
        </w:rPr>
        <w:t>families.</w:t>
      </w:r>
    </w:p>
    <w:p>
      <w:pPr>
        <w:pStyle w:val="BodyText"/>
        <w:spacing w:before="11"/>
        <w:rPr>
          <w:b/>
        </w:rPr>
      </w:pPr>
    </w:p>
    <w:p>
      <w:pPr>
        <w:pStyle w:val="BodyText"/>
        <w:spacing w:line="276" w:lineRule="auto"/>
        <w:ind w:left="463" w:right="282"/>
        <w:jc w:val="both"/>
      </w:pPr>
      <w:r>
        <w:rPr/>
        <w:t>Despite the significant strides that Massachusetts has made over the last couple of decades to support LGBTQ families, there still remain gaps in state law to ensure that all families have the same legal protections.</w:t>
      </w:r>
      <w:r>
        <w:rPr>
          <w:spacing w:val="-1"/>
        </w:rPr>
        <w:t> </w:t>
      </w:r>
      <w:r>
        <w:rPr/>
        <w:t>The Commission</w:t>
      </w:r>
      <w:r>
        <w:rPr>
          <w:spacing w:val="-2"/>
        </w:rPr>
        <w:t> </w:t>
      </w:r>
      <w:r>
        <w:rPr/>
        <w:t>strongly recommends and prioritizes</w:t>
      </w:r>
      <w:r>
        <w:rPr>
          <w:spacing w:val="-1"/>
        </w:rPr>
        <w:t> </w:t>
      </w:r>
      <w:r>
        <w:rPr/>
        <w:t>the passage</w:t>
      </w:r>
      <w:r>
        <w:rPr>
          <w:spacing w:val="-2"/>
        </w:rPr>
        <w:t> </w:t>
      </w:r>
      <w:r>
        <w:rPr/>
        <w:t>of</w:t>
      </w:r>
      <w:r>
        <w:rPr>
          <w:spacing w:val="-1"/>
        </w:rPr>
        <w:t> </w:t>
      </w:r>
      <w:r>
        <w:rPr>
          <w:i/>
        </w:rPr>
        <w:t>An</w:t>
      </w:r>
      <w:r>
        <w:rPr>
          <w:i/>
          <w:spacing w:val="-1"/>
        </w:rPr>
        <w:t> </w:t>
      </w:r>
      <w:r>
        <w:rPr>
          <w:i/>
        </w:rPr>
        <w:t>Act to Ensure</w:t>
      </w:r>
      <w:r>
        <w:rPr>
          <w:i/>
          <w:spacing w:val="-1"/>
        </w:rPr>
        <w:t> </w:t>
      </w:r>
      <w:r>
        <w:rPr>
          <w:i/>
        </w:rPr>
        <w:t>Legal</w:t>
      </w:r>
      <w:r>
        <w:rPr>
          <w:i/>
        </w:rPr>
        <w:t> Parentage</w:t>
      </w:r>
      <w:r>
        <w:rPr>
          <w:i/>
          <w:spacing w:val="-13"/>
        </w:rPr>
        <w:t> </w:t>
      </w:r>
      <w:r>
        <w:rPr>
          <w:i/>
        </w:rPr>
        <w:t>Equality</w:t>
      </w:r>
      <w:r>
        <w:rPr>
          <w:i/>
          <w:spacing w:val="-12"/>
        </w:rPr>
        <w:t> </w:t>
      </w:r>
      <w:r>
        <w:rPr/>
        <w:t>(</w:t>
      </w:r>
      <w:hyperlink r:id="rId51">
        <w:r>
          <w:rPr>
            <w:b/>
            <w:color w:val="1153CC"/>
            <w:u w:val="single" w:color="1153CC"/>
          </w:rPr>
          <w:t>S.</w:t>
        </w:r>
        <w:r>
          <w:rPr>
            <w:b/>
            <w:color w:val="1153CC"/>
            <w:spacing w:val="-13"/>
            <w:u w:val="single" w:color="1153CC"/>
          </w:rPr>
          <w:t> </w:t>
        </w:r>
        <w:r>
          <w:rPr>
            <w:b/>
            <w:color w:val="1153CC"/>
            <w:u w:val="single" w:color="1153CC"/>
          </w:rPr>
          <w:t>947</w:t>
        </w:r>
      </w:hyperlink>
      <w:r>
        <w:rPr>
          <w:b/>
          <w:color w:val="1153CC"/>
          <w:spacing w:val="-12"/>
          <w:u w:val="none"/>
        </w:rPr>
        <w:t> </w:t>
      </w:r>
      <w:r>
        <w:rPr>
          <w:b/>
          <w:u w:val="none"/>
        </w:rPr>
        <w:t>/</w:t>
      </w:r>
      <w:r>
        <w:rPr>
          <w:b/>
          <w:spacing w:val="-13"/>
          <w:u w:val="none"/>
        </w:rPr>
        <w:t> </w:t>
      </w:r>
      <w:hyperlink r:id="rId52">
        <w:r>
          <w:rPr>
            <w:b/>
            <w:color w:val="1153CC"/>
            <w:u w:val="single" w:color="1153CC"/>
          </w:rPr>
          <w:t>H.1713</w:t>
        </w:r>
      </w:hyperlink>
      <w:r>
        <w:rPr>
          <w:u w:val="none"/>
        </w:rPr>
        <w:t>),</w:t>
      </w:r>
      <w:r>
        <w:rPr>
          <w:spacing w:val="-12"/>
          <w:u w:val="none"/>
        </w:rPr>
        <w:t> </w:t>
      </w:r>
      <w:r>
        <w:rPr>
          <w:u w:val="none"/>
        </w:rPr>
        <w:t>also</w:t>
      </w:r>
      <w:r>
        <w:rPr>
          <w:spacing w:val="-13"/>
          <w:u w:val="none"/>
        </w:rPr>
        <w:t> </w:t>
      </w:r>
      <w:r>
        <w:rPr>
          <w:u w:val="none"/>
        </w:rPr>
        <w:t>known</w:t>
      </w:r>
      <w:r>
        <w:rPr>
          <w:spacing w:val="-12"/>
          <w:u w:val="none"/>
        </w:rPr>
        <w:t> </w:t>
      </w:r>
      <w:r>
        <w:rPr>
          <w:u w:val="none"/>
        </w:rPr>
        <w:t>as</w:t>
      </w:r>
      <w:r>
        <w:rPr>
          <w:spacing w:val="-12"/>
          <w:u w:val="none"/>
        </w:rPr>
        <w:t> </w:t>
      </w:r>
      <w:r>
        <w:rPr>
          <w:u w:val="none"/>
        </w:rPr>
        <w:t>the</w:t>
      </w:r>
      <w:r>
        <w:rPr>
          <w:spacing w:val="-13"/>
          <w:u w:val="none"/>
        </w:rPr>
        <w:t> </w:t>
      </w:r>
      <w:r>
        <w:rPr>
          <w:u w:val="none"/>
        </w:rPr>
        <w:t>Massachusetts</w:t>
      </w:r>
      <w:r>
        <w:rPr>
          <w:spacing w:val="-12"/>
          <w:u w:val="none"/>
        </w:rPr>
        <w:t> </w:t>
      </w:r>
      <w:r>
        <w:rPr>
          <w:u w:val="none"/>
        </w:rPr>
        <w:t>Parentage</w:t>
      </w:r>
      <w:r>
        <w:rPr>
          <w:spacing w:val="-13"/>
          <w:u w:val="none"/>
        </w:rPr>
        <w:t> </w:t>
      </w:r>
      <w:r>
        <w:rPr>
          <w:u w:val="none"/>
        </w:rPr>
        <w:t>Act</w:t>
      </w:r>
      <w:r>
        <w:rPr>
          <w:spacing w:val="-12"/>
          <w:u w:val="none"/>
        </w:rPr>
        <w:t> </w:t>
      </w:r>
      <w:r>
        <w:rPr>
          <w:u w:val="none"/>
        </w:rPr>
        <w:t>(MPA),</w:t>
      </w:r>
      <w:r>
        <w:rPr>
          <w:spacing w:val="-13"/>
          <w:u w:val="none"/>
        </w:rPr>
        <w:t> </w:t>
      </w:r>
      <w:r>
        <w:rPr>
          <w:u w:val="none"/>
        </w:rPr>
        <w:t>which</w:t>
      </w:r>
      <w:r>
        <w:rPr>
          <w:spacing w:val="-12"/>
          <w:u w:val="none"/>
        </w:rPr>
        <w:t> </w:t>
      </w:r>
      <w:r>
        <w:rPr>
          <w:u w:val="none"/>
        </w:rPr>
        <w:t>would update and strengthen legal parentage laws in the Commonwealth. The MPA clarifies how the state establishes parentage for children in families who are born through assisted reproduction or surrogacy, or to same-sex parents who are not married, as well as would recognize de facto parentage</w:t>
      </w:r>
      <w:hyperlink w:history="true" w:anchor="_bookmark14">
        <w:r>
          <w:rPr>
            <w:u w:val="none"/>
          </w:rPr>
          <w:t>.</w:t>
        </w:r>
        <w:r>
          <w:rPr>
            <w:u w:val="none"/>
            <w:vertAlign w:val="superscript"/>
          </w:rPr>
          <w:t>6</w:t>
        </w:r>
      </w:hyperlink>
    </w:p>
    <w:p>
      <w:pPr>
        <w:numPr>
          <w:ilvl w:val="0"/>
          <w:numId w:val="15"/>
        </w:numPr>
        <w:tabs>
          <w:tab w:pos="461" w:val="left" w:leader="none"/>
        </w:tabs>
        <w:spacing w:before="240"/>
        <w:ind w:left="461" w:right="0" w:hanging="358"/>
        <w:jc w:val="left"/>
        <w:rPr>
          <w:b/>
          <w:sz w:val="22"/>
        </w:rPr>
      </w:pPr>
      <w:r>
        <w:rPr>
          <w:b/>
          <w:sz w:val="22"/>
        </w:rPr>
        <w:t>Provide</w:t>
      </w:r>
      <w:r>
        <w:rPr>
          <w:b/>
          <w:spacing w:val="-10"/>
          <w:sz w:val="22"/>
        </w:rPr>
        <w:t> </w:t>
      </w:r>
      <w:r>
        <w:rPr>
          <w:b/>
          <w:sz w:val="22"/>
        </w:rPr>
        <w:t>mandatory</w:t>
      </w:r>
      <w:r>
        <w:rPr>
          <w:b/>
          <w:spacing w:val="-8"/>
          <w:sz w:val="22"/>
        </w:rPr>
        <w:t> </w:t>
      </w:r>
      <w:r>
        <w:rPr>
          <w:b/>
          <w:sz w:val="22"/>
        </w:rPr>
        <w:t>trainings</w:t>
      </w:r>
      <w:r>
        <w:rPr>
          <w:b/>
          <w:spacing w:val="-10"/>
          <w:sz w:val="22"/>
        </w:rPr>
        <w:t> </w:t>
      </w:r>
      <w:r>
        <w:rPr>
          <w:b/>
          <w:sz w:val="22"/>
        </w:rPr>
        <w:t>for</w:t>
      </w:r>
      <w:r>
        <w:rPr>
          <w:b/>
          <w:spacing w:val="-10"/>
          <w:sz w:val="22"/>
        </w:rPr>
        <w:t> </w:t>
      </w:r>
      <w:r>
        <w:rPr>
          <w:b/>
          <w:sz w:val="22"/>
        </w:rPr>
        <w:t>congregate</w:t>
      </w:r>
      <w:r>
        <w:rPr>
          <w:b/>
          <w:spacing w:val="-10"/>
          <w:sz w:val="22"/>
        </w:rPr>
        <w:t> </w:t>
      </w:r>
      <w:r>
        <w:rPr>
          <w:b/>
          <w:sz w:val="22"/>
        </w:rPr>
        <w:t>care</w:t>
      </w:r>
      <w:r>
        <w:rPr>
          <w:b/>
          <w:spacing w:val="-9"/>
          <w:sz w:val="22"/>
        </w:rPr>
        <w:t> </w:t>
      </w:r>
      <w:r>
        <w:rPr>
          <w:b/>
          <w:spacing w:val="-2"/>
          <w:sz w:val="22"/>
        </w:rPr>
        <w:t>settings.</w:t>
      </w:r>
    </w:p>
    <w:p>
      <w:pPr>
        <w:pStyle w:val="BodyText"/>
        <w:spacing w:before="11"/>
        <w:rPr>
          <w:b/>
        </w:rPr>
      </w:pPr>
    </w:p>
    <w:p>
      <w:pPr>
        <w:pStyle w:val="BodyText"/>
        <w:spacing w:line="276" w:lineRule="auto" w:before="1"/>
        <w:ind w:left="463" w:right="283"/>
        <w:jc w:val="both"/>
      </w:pPr>
      <w:r>
        <w:rPr/>
        <w:t>The Commission strongly recommends that the State provide mandatory trainings for congregate care workers, and increase accountability to ensuring that workers are providing LGBTQ-affirming services. Furthermore,</w:t>
      </w:r>
      <w:r>
        <w:rPr>
          <w:spacing w:val="-6"/>
        </w:rPr>
        <w:t> </w:t>
      </w:r>
      <w:r>
        <w:rPr/>
        <w:t>the</w:t>
      </w:r>
      <w:r>
        <w:rPr>
          <w:spacing w:val="-7"/>
        </w:rPr>
        <w:t> </w:t>
      </w:r>
      <w:r>
        <w:rPr/>
        <w:t>Commission</w:t>
      </w:r>
      <w:r>
        <w:rPr>
          <w:spacing w:val="-7"/>
        </w:rPr>
        <w:t> </w:t>
      </w:r>
      <w:r>
        <w:rPr/>
        <w:t>recommends</w:t>
      </w:r>
      <w:r>
        <w:rPr>
          <w:spacing w:val="-6"/>
        </w:rPr>
        <w:t> </w:t>
      </w:r>
      <w:r>
        <w:rPr/>
        <w:t>that</w:t>
      </w:r>
      <w:r>
        <w:rPr>
          <w:spacing w:val="-6"/>
        </w:rPr>
        <w:t> </w:t>
      </w:r>
      <w:r>
        <w:rPr/>
        <w:t>the</w:t>
      </w:r>
      <w:r>
        <w:rPr>
          <w:spacing w:val="-7"/>
        </w:rPr>
        <w:t> </w:t>
      </w:r>
      <w:r>
        <w:rPr/>
        <w:t>State</w:t>
      </w:r>
      <w:r>
        <w:rPr>
          <w:spacing w:val="-7"/>
        </w:rPr>
        <w:t> </w:t>
      </w:r>
      <w:r>
        <w:rPr/>
        <w:t>provide</w:t>
      </w:r>
      <w:r>
        <w:rPr>
          <w:spacing w:val="-7"/>
        </w:rPr>
        <w:t> </w:t>
      </w:r>
      <w:r>
        <w:rPr/>
        <w:t>trainings</w:t>
      </w:r>
      <w:r>
        <w:rPr>
          <w:spacing w:val="-6"/>
        </w:rPr>
        <w:t> </w:t>
      </w:r>
      <w:r>
        <w:rPr/>
        <w:t>and</w:t>
      </w:r>
      <w:r>
        <w:rPr>
          <w:spacing w:val="-7"/>
        </w:rPr>
        <w:t> </w:t>
      </w:r>
      <w:r>
        <w:rPr/>
        <w:t>resources</w:t>
      </w:r>
      <w:r>
        <w:rPr>
          <w:spacing w:val="-6"/>
        </w:rPr>
        <w:t> </w:t>
      </w:r>
      <w:r>
        <w:rPr/>
        <w:t>specifically</w:t>
      </w:r>
      <w:r>
        <w:rPr>
          <w:spacing w:val="-6"/>
        </w:rPr>
        <w:t> </w:t>
      </w:r>
      <w:r>
        <w:rPr/>
        <w:t>for youth so that young people understand their rights, as well as the formal process for complaints if they experience mistreatment while in a congregate care program.</w:t>
      </w:r>
    </w:p>
    <w:p>
      <w:pPr>
        <w:numPr>
          <w:ilvl w:val="0"/>
          <w:numId w:val="15"/>
        </w:numPr>
        <w:tabs>
          <w:tab w:pos="461" w:val="left" w:leader="none"/>
          <w:tab w:pos="463" w:val="left" w:leader="none"/>
        </w:tabs>
        <w:spacing w:line="276" w:lineRule="auto" w:before="240"/>
        <w:ind w:left="463" w:right="283" w:hanging="360"/>
        <w:jc w:val="left"/>
        <w:rPr>
          <w:b/>
          <w:sz w:val="22"/>
        </w:rPr>
      </w:pPr>
      <w:r>
        <w:rPr>
          <w:b/>
          <w:sz w:val="22"/>
        </w:rPr>
        <w:t>Create</w:t>
      </w:r>
      <w:r>
        <w:rPr>
          <w:b/>
          <w:spacing w:val="30"/>
          <w:sz w:val="22"/>
        </w:rPr>
        <w:t> </w:t>
      </w:r>
      <w:r>
        <w:rPr>
          <w:b/>
          <w:sz w:val="22"/>
        </w:rPr>
        <w:t>and</w:t>
      </w:r>
      <w:r>
        <w:rPr>
          <w:b/>
          <w:spacing w:val="31"/>
          <w:sz w:val="22"/>
        </w:rPr>
        <w:t> </w:t>
      </w:r>
      <w:r>
        <w:rPr>
          <w:b/>
          <w:sz w:val="22"/>
        </w:rPr>
        <w:t>provide</w:t>
      </w:r>
      <w:r>
        <w:rPr>
          <w:b/>
          <w:spacing w:val="30"/>
          <w:sz w:val="22"/>
        </w:rPr>
        <w:t> </w:t>
      </w:r>
      <w:r>
        <w:rPr>
          <w:b/>
          <w:sz w:val="22"/>
        </w:rPr>
        <w:t>training</w:t>
      </w:r>
      <w:r>
        <w:rPr>
          <w:b/>
          <w:spacing w:val="30"/>
          <w:sz w:val="22"/>
        </w:rPr>
        <w:t> </w:t>
      </w:r>
      <w:r>
        <w:rPr>
          <w:b/>
          <w:sz w:val="22"/>
        </w:rPr>
        <w:t>opportunities</w:t>
      </w:r>
      <w:r>
        <w:rPr>
          <w:b/>
          <w:spacing w:val="30"/>
          <w:sz w:val="22"/>
        </w:rPr>
        <w:t> </w:t>
      </w:r>
      <w:r>
        <w:rPr>
          <w:b/>
          <w:sz w:val="22"/>
        </w:rPr>
        <w:t>for</w:t>
      </w:r>
      <w:r>
        <w:rPr>
          <w:b/>
          <w:spacing w:val="30"/>
          <w:sz w:val="22"/>
        </w:rPr>
        <w:t> </w:t>
      </w:r>
      <w:r>
        <w:rPr>
          <w:b/>
          <w:sz w:val="22"/>
        </w:rPr>
        <w:t>young</w:t>
      </w:r>
      <w:r>
        <w:rPr>
          <w:b/>
          <w:spacing w:val="30"/>
          <w:sz w:val="22"/>
        </w:rPr>
        <w:t> </w:t>
      </w:r>
      <w:r>
        <w:rPr>
          <w:b/>
          <w:sz w:val="22"/>
        </w:rPr>
        <w:t>people</w:t>
      </w:r>
      <w:r>
        <w:rPr>
          <w:b/>
          <w:spacing w:val="30"/>
          <w:sz w:val="22"/>
        </w:rPr>
        <w:t> </w:t>
      </w:r>
      <w:r>
        <w:rPr>
          <w:b/>
          <w:sz w:val="22"/>
        </w:rPr>
        <w:t>and</w:t>
      </w:r>
      <w:r>
        <w:rPr>
          <w:b/>
          <w:spacing w:val="30"/>
          <w:sz w:val="22"/>
        </w:rPr>
        <w:t> </w:t>
      </w:r>
      <w:r>
        <w:rPr>
          <w:b/>
          <w:sz w:val="22"/>
        </w:rPr>
        <w:t>caregivers</w:t>
      </w:r>
      <w:r>
        <w:rPr>
          <w:b/>
          <w:spacing w:val="30"/>
          <w:sz w:val="22"/>
        </w:rPr>
        <w:t> </w:t>
      </w:r>
      <w:r>
        <w:rPr>
          <w:b/>
          <w:sz w:val="22"/>
        </w:rPr>
        <w:t>involved</w:t>
      </w:r>
      <w:r>
        <w:rPr>
          <w:b/>
          <w:spacing w:val="30"/>
          <w:sz w:val="22"/>
        </w:rPr>
        <w:t> </w:t>
      </w:r>
      <w:r>
        <w:rPr>
          <w:b/>
          <w:sz w:val="22"/>
        </w:rPr>
        <w:t>with</w:t>
      </w:r>
      <w:r>
        <w:rPr>
          <w:b/>
          <w:spacing w:val="30"/>
          <w:sz w:val="22"/>
        </w:rPr>
        <w:t> </w:t>
      </w:r>
      <w:r>
        <w:rPr>
          <w:b/>
          <w:sz w:val="22"/>
        </w:rPr>
        <w:t>the</w:t>
      </w:r>
      <w:r>
        <w:rPr>
          <w:b/>
          <w:spacing w:val="30"/>
          <w:sz w:val="22"/>
        </w:rPr>
        <w:t> </w:t>
      </w:r>
      <w:r>
        <w:rPr>
          <w:b/>
          <w:sz w:val="22"/>
        </w:rPr>
        <w:t>child welfare system.</w:t>
      </w:r>
    </w:p>
    <w:p>
      <w:pPr>
        <w:pStyle w:val="BodyText"/>
        <w:spacing w:line="276" w:lineRule="auto" w:before="240"/>
        <w:ind w:left="463" w:right="281"/>
        <w:jc w:val="both"/>
      </w:pPr>
      <w:r>
        <w:rPr/>
        <w:t>Expanding</w:t>
      </w:r>
      <w:r>
        <w:rPr>
          <w:spacing w:val="-2"/>
        </w:rPr>
        <w:t> </w:t>
      </w:r>
      <w:r>
        <w:rPr/>
        <w:t>on</w:t>
      </w:r>
      <w:r>
        <w:rPr>
          <w:spacing w:val="-2"/>
        </w:rPr>
        <w:t> </w:t>
      </w:r>
      <w:r>
        <w:rPr/>
        <w:t>the</w:t>
      </w:r>
      <w:r>
        <w:rPr>
          <w:spacing w:val="-2"/>
        </w:rPr>
        <w:t> </w:t>
      </w:r>
      <w:r>
        <w:rPr/>
        <w:t>above</w:t>
      </w:r>
      <w:r>
        <w:rPr>
          <w:spacing w:val="-3"/>
        </w:rPr>
        <w:t> </w:t>
      </w:r>
      <w:r>
        <w:rPr/>
        <w:t>recommendation,</w:t>
      </w:r>
      <w:r>
        <w:rPr>
          <w:spacing w:val="-3"/>
        </w:rPr>
        <w:t> </w:t>
      </w:r>
      <w:r>
        <w:rPr/>
        <w:t>the</w:t>
      </w:r>
      <w:r>
        <w:rPr>
          <w:spacing w:val="-2"/>
        </w:rPr>
        <w:t> </w:t>
      </w:r>
      <w:r>
        <w:rPr/>
        <w:t>Commission</w:t>
      </w:r>
      <w:r>
        <w:rPr>
          <w:spacing w:val="-3"/>
        </w:rPr>
        <w:t> </w:t>
      </w:r>
      <w:r>
        <w:rPr/>
        <w:t>further</w:t>
      </w:r>
      <w:r>
        <w:rPr>
          <w:spacing w:val="-3"/>
        </w:rPr>
        <w:t> </w:t>
      </w:r>
      <w:r>
        <w:rPr/>
        <w:t>recommends</w:t>
      </w:r>
      <w:r>
        <w:rPr>
          <w:spacing w:val="-2"/>
        </w:rPr>
        <w:t> </w:t>
      </w:r>
      <w:r>
        <w:rPr/>
        <w:t>that</w:t>
      </w:r>
      <w:r>
        <w:rPr>
          <w:spacing w:val="-2"/>
        </w:rPr>
        <w:t> </w:t>
      </w:r>
      <w:r>
        <w:rPr/>
        <w:t>the</w:t>
      </w:r>
      <w:r>
        <w:rPr>
          <w:spacing w:val="-3"/>
        </w:rPr>
        <w:t> </w:t>
      </w:r>
      <w:r>
        <w:rPr/>
        <w:t>State</w:t>
      </w:r>
      <w:r>
        <w:rPr>
          <w:spacing w:val="-3"/>
        </w:rPr>
        <w:t> </w:t>
      </w:r>
      <w:r>
        <w:rPr/>
        <w:t>creates</w:t>
      </w:r>
      <w:r>
        <w:rPr>
          <w:spacing w:val="-1"/>
        </w:rPr>
        <w:t> </w:t>
      </w:r>
      <w:r>
        <w:rPr/>
        <w:t>a strategic plan to create more opportunities to support and educate youth and their caregivers involved with</w:t>
      </w:r>
      <w:r>
        <w:rPr>
          <w:spacing w:val="-11"/>
        </w:rPr>
        <w:t> </w:t>
      </w:r>
      <w:r>
        <w:rPr/>
        <w:t>the</w:t>
      </w:r>
      <w:r>
        <w:rPr>
          <w:spacing w:val="-11"/>
        </w:rPr>
        <w:t> </w:t>
      </w:r>
      <w:r>
        <w:rPr/>
        <w:t>child</w:t>
      </w:r>
      <w:r>
        <w:rPr>
          <w:spacing w:val="-11"/>
        </w:rPr>
        <w:t> </w:t>
      </w:r>
      <w:r>
        <w:rPr/>
        <w:t>welfare</w:t>
      </w:r>
      <w:r>
        <w:rPr>
          <w:spacing w:val="-12"/>
        </w:rPr>
        <w:t> </w:t>
      </w:r>
      <w:r>
        <w:rPr/>
        <w:t>system.</w:t>
      </w:r>
      <w:r>
        <w:rPr>
          <w:spacing w:val="-13"/>
        </w:rPr>
        <w:t> </w:t>
      </w:r>
      <w:r>
        <w:rPr/>
        <w:t>Family</w:t>
      </w:r>
      <w:r>
        <w:rPr>
          <w:spacing w:val="-10"/>
        </w:rPr>
        <w:t> </w:t>
      </w:r>
      <w:r>
        <w:rPr/>
        <w:t>preservation</w:t>
      </w:r>
      <w:r>
        <w:rPr>
          <w:spacing w:val="-12"/>
        </w:rPr>
        <w:t> </w:t>
      </w:r>
      <w:r>
        <w:rPr/>
        <w:t>is</w:t>
      </w:r>
      <w:r>
        <w:rPr>
          <w:spacing w:val="-12"/>
        </w:rPr>
        <w:t> </w:t>
      </w:r>
      <w:r>
        <w:rPr/>
        <w:t>an</w:t>
      </w:r>
      <w:r>
        <w:rPr>
          <w:spacing w:val="-13"/>
        </w:rPr>
        <w:t> </w:t>
      </w:r>
      <w:r>
        <w:rPr/>
        <w:t>integral</w:t>
      </w:r>
      <w:r>
        <w:rPr>
          <w:spacing w:val="-10"/>
        </w:rPr>
        <w:t> </w:t>
      </w:r>
      <w:r>
        <w:rPr/>
        <w:t>component</w:t>
      </w:r>
      <w:r>
        <w:rPr>
          <w:spacing w:val="-12"/>
        </w:rPr>
        <w:t> </w:t>
      </w:r>
      <w:r>
        <w:rPr/>
        <w:t>to</w:t>
      </w:r>
      <w:r>
        <w:rPr>
          <w:spacing w:val="-12"/>
        </w:rPr>
        <w:t> </w:t>
      </w:r>
      <w:r>
        <w:rPr/>
        <w:t>ensuring</w:t>
      </w:r>
      <w:r>
        <w:rPr>
          <w:spacing w:val="-11"/>
        </w:rPr>
        <w:t> </w:t>
      </w:r>
      <w:r>
        <w:rPr/>
        <w:t>that</w:t>
      </w:r>
      <w:r>
        <w:rPr>
          <w:spacing w:val="-12"/>
        </w:rPr>
        <w:t> </w:t>
      </w:r>
      <w:r>
        <w:rPr/>
        <w:t>LGBTQ</w:t>
      </w:r>
      <w:r>
        <w:rPr>
          <w:spacing w:val="-11"/>
        </w:rPr>
        <w:t> </w:t>
      </w:r>
      <w:r>
        <w:rPr/>
        <w:t>youth thrive</w:t>
      </w:r>
      <w:r>
        <w:rPr>
          <w:spacing w:val="-9"/>
        </w:rPr>
        <w:t> </w:t>
      </w:r>
      <w:r>
        <w:rPr/>
        <w:t>in</w:t>
      </w:r>
      <w:r>
        <w:rPr>
          <w:spacing w:val="-9"/>
        </w:rPr>
        <w:t> </w:t>
      </w:r>
      <w:r>
        <w:rPr/>
        <w:t>the</w:t>
      </w:r>
      <w:r>
        <w:rPr>
          <w:spacing w:val="-8"/>
        </w:rPr>
        <w:t> </w:t>
      </w:r>
      <w:r>
        <w:rPr/>
        <w:t>Commonwealth,</w:t>
      </w:r>
      <w:r>
        <w:rPr>
          <w:spacing w:val="-8"/>
        </w:rPr>
        <w:t> </w:t>
      </w:r>
      <w:r>
        <w:rPr/>
        <w:t>yet</w:t>
      </w:r>
      <w:r>
        <w:rPr>
          <w:spacing w:val="-9"/>
        </w:rPr>
        <w:t> </w:t>
      </w:r>
      <w:r>
        <w:rPr/>
        <w:t>very</w:t>
      </w:r>
      <w:r>
        <w:rPr>
          <w:spacing w:val="-9"/>
        </w:rPr>
        <w:t> </w:t>
      </w:r>
      <w:r>
        <w:rPr/>
        <w:t>few</w:t>
      </w:r>
      <w:r>
        <w:rPr>
          <w:spacing w:val="-9"/>
        </w:rPr>
        <w:t> </w:t>
      </w:r>
      <w:r>
        <w:rPr/>
        <w:t>LGBTQ-affirming</w:t>
      </w:r>
      <w:r>
        <w:rPr>
          <w:spacing w:val="-8"/>
        </w:rPr>
        <w:t> </w:t>
      </w:r>
      <w:r>
        <w:rPr/>
        <w:t>resources</w:t>
      </w:r>
      <w:r>
        <w:rPr>
          <w:spacing w:val="-8"/>
        </w:rPr>
        <w:t> </w:t>
      </w:r>
      <w:r>
        <w:rPr/>
        <w:t>currently</w:t>
      </w:r>
      <w:r>
        <w:rPr>
          <w:spacing w:val="-7"/>
        </w:rPr>
        <w:t> </w:t>
      </w:r>
      <w:r>
        <w:rPr/>
        <w:t>exist</w:t>
      </w:r>
      <w:r>
        <w:rPr>
          <w:spacing w:val="-8"/>
        </w:rPr>
        <w:t> </w:t>
      </w:r>
      <w:r>
        <w:rPr/>
        <w:t>to</w:t>
      </w:r>
      <w:r>
        <w:rPr>
          <w:spacing w:val="-8"/>
        </w:rPr>
        <w:t> </w:t>
      </w:r>
      <w:r>
        <w:rPr/>
        <w:t>support</w:t>
      </w:r>
      <w:r>
        <w:rPr>
          <w:spacing w:val="-9"/>
        </w:rPr>
        <w:t> </w:t>
      </w:r>
      <w:r>
        <w:rPr/>
        <w:t>caregiver </w:t>
      </w:r>
      <w:r>
        <w:rPr>
          <w:spacing w:val="-2"/>
        </w:rPr>
        <w:t>education.</w:t>
      </w:r>
    </w:p>
    <w:p>
      <w:pPr>
        <w:pStyle w:val="BodyText"/>
        <w:spacing w:line="276" w:lineRule="auto" w:before="240"/>
        <w:ind w:left="463" w:right="283"/>
        <w:jc w:val="both"/>
      </w:pPr>
      <w:r>
        <w:rPr/>
        <w:t>Furthermore, far too many youths involved with the child welfare system are not given the resources needed</w:t>
      </w:r>
      <w:r>
        <w:rPr>
          <w:spacing w:val="-5"/>
        </w:rPr>
        <w:t> </w:t>
      </w:r>
      <w:r>
        <w:rPr/>
        <w:t>to</w:t>
      </w:r>
      <w:r>
        <w:rPr>
          <w:spacing w:val="-5"/>
        </w:rPr>
        <w:t> </w:t>
      </w:r>
      <w:r>
        <w:rPr/>
        <w:t>understand</w:t>
      </w:r>
      <w:r>
        <w:rPr>
          <w:spacing w:val="-4"/>
        </w:rPr>
        <w:t> </w:t>
      </w:r>
      <w:r>
        <w:rPr/>
        <w:t>their</w:t>
      </w:r>
      <w:r>
        <w:rPr>
          <w:spacing w:val="-5"/>
        </w:rPr>
        <w:t> </w:t>
      </w:r>
      <w:r>
        <w:rPr/>
        <w:t>rights,</w:t>
      </w:r>
      <w:r>
        <w:rPr>
          <w:spacing w:val="-5"/>
        </w:rPr>
        <w:t> </w:t>
      </w:r>
      <w:r>
        <w:rPr/>
        <w:t>nor</w:t>
      </w:r>
      <w:r>
        <w:rPr>
          <w:spacing w:val="-5"/>
        </w:rPr>
        <w:t> </w:t>
      </w:r>
      <w:r>
        <w:rPr/>
        <w:t>is</w:t>
      </w:r>
      <w:r>
        <w:rPr>
          <w:spacing w:val="-3"/>
        </w:rPr>
        <w:t> </w:t>
      </w:r>
      <w:r>
        <w:rPr/>
        <w:t>there</w:t>
      </w:r>
      <w:r>
        <w:rPr>
          <w:spacing w:val="-4"/>
        </w:rPr>
        <w:t> </w:t>
      </w:r>
      <w:r>
        <w:rPr/>
        <w:t>an</w:t>
      </w:r>
      <w:r>
        <w:rPr>
          <w:spacing w:val="-5"/>
        </w:rPr>
        <w:t> </w:t>
      </w:r>
      <w:r>
        <w:rPr/>
        <w:t>accessible</w:t>
      </w:r>
      <w:r>
        <w:rPr>
          <w:spacing w:val="-5"/>
        </w:rPr>
        <w:t> </w:t>
      </w:r>
      <w:r>
        <w:rPr/>
        <w:t>process</w:t>
      </w:r>
      <w:r>
        <w:rPr>
          <w:spacing w:val="-5"/>
        </w:rPr>
        <w:t> </w:t>
      </w:r>
      <w:r>
        <w:rPr/>
        <w:t>of</w:t>
      </w:r>
      <w:r>
        <w:rPr>
          <w:spacing w:val="-5"/>
        </w:rPr>
        <w:t> </w:t>
      </w:r>
      <w:r>
        <w:rPr/>
        <w:t>accountability</w:t>
      </w:r>
      <w:r>
        <w:rPr>
          <w:spacing w:val="-5"/>
        </w:rPr>
        <w:t> </w:t>
      </w:r>
      <w:r>
        <w:rPr/>
        <w:t>to</w:t>
      </w:r>
      <w:r>
        <w:rPr>
          <w:spacing w:val="-3"/>
        </w:rPr>
        <w:t> </w:t>
      </w:r>
      <w:r>
        <w:rPr/>
        <w:t>ensure</w:t>
      </w:r>
      <w:r>
        <w:rPr>
          <w:spacing w:val="-5"/>
        </w:rPr>
        <w:t> </w:t>
      </w:r>
      <w:r>
        <w:rPr/>
        <w:t>that</w:t>
      </w:r>
      <w:r>
        <w:rPr>
          <w:spacing w:val="-5"/>
        </w:rPr>
        <w:t> </w:t>
      </w:r>
      <w:r>
        <w:rPr/>
        <w:t>DCF is</w:t>
      </w:r>
      <w:r>
        <w:rPr>
          <w:spacing w:val="-13"/>
        </w:rPr>
        <w:t> </w:t>
      </w:r>
      <w:r>
        <w:rPr/>
        <w:t>appropriately</w:t>
      </w:r>
      <w:r>
        <w:rPr>
          <w:spacing w:val="-12"/>
        </w:rPr>
        <w:t> </w:t>
      </w:r>
      <w:r>
        <w:rPr/>
        <w:t>preparing</w:t>
      </w:r>
      <w:r>
        <w:rPr>
          <w:spacing w:val="-13"/>
        </w:rPr>
        <w:t> </w:t>
      </w:r>
      <w:r>
        <w:rPr/>
        <w:t>youth</w:t>
      </w:r>
      <w:r>
        <w:rPr>
          <w:spacing w:val="-12"/>
        </w:rPr>
        <w:t> </w:t>
      </w:r>
      <w:r>
        <w:rPr/>
        <w:t>to</w:t>
      </w:r>
      <w:r>
        <w:rPr>
          <w:spacing w:val="-13"/>
        </w:rPr>
        <w:t> </w:t>
      </w:r>
      <w:r>
        <w:rPr/>
        <w:t>transition</w:t>
      </w:r>
      <w:r>
        <w:rPr>
          <w:spacing w:val="-12"/>
        </w:rPr>
        <w:t> </w:t>
      </w:r>
      <w:r>
        <w:rPr/>
        <w:t>out</w:t>
      </w:r>
      <w:r>
        <w:rPr>
          <w:spacing w:val="-13"/>
        </w:rPr>
        <w:t> </w:t>
      </w:r>
      <w:r>
        <w:rPr/>
        <w:t>of</w:t>
      </w:r>
      <w:r>
        <w:rPr>
          <w:spacing w:val="-12"/>
        </w:rPr>
        <w:t> </w:t>
      </w:r>
      <w:r>
        <w:rPr/>
        <w:t>care.</w:t>
      </w:r>
      <w:r>
        <w:rPr>
          <w:spacing w:val="-12"/>
        </w:rPr>
        <w:t> </w:t>
      </w:r>
      <w:r>
        <w:rPr/>
        <w:t>The</w:t>
      </w:r>
      <w:r>
        <w:rPr>
          <w:spacing w:val="-13"/>
        </w:rPr>
        <w:t> </w:t>
      </w:r>
      <w:r>
        <w:rPr/>
        <w:t>Commission</w:t>
      </w:r>
      <w:r>
        <w:rPr>
          <w:spacing w:val="-12"/>
        </w:rPr>
        <w:t> </w:t>
      </w:r>
      <w:r>
        <w:rPr/>
        <w:t>recommends</w:t>
      </w:r>
      <w:r>
        <w:rPr>
          <w:spacing w:val="-11"/>
        </w:rPr>
        <w:t> </w:t>
      </w:r>
      <w:r>
        <w:rPr/>
        <w:t>that</w:t>
      </w:r>
      <w:r>
        <w:rPr>
          <w:spacing w:val="-12"/>
        </w:rPr>
        <w:t> </w:t>
      </w:r>
      <w:r>
        <w:rPr/>
        <w:t>stakeholders</w:t>
      </w:r>
    </w:p>
    <w:p>
      <w:pPr>
        <w:spacing w:after="0" w:line="276" w:lineRule="auto"/>
        <w:jc w:val="both"/>
        <w:sectPr>
          <w:pgSz w:w="12240" w:h="15840"/>
          <w:pgMar w:header="804" w:footer="1263" w:top="1000" w:bottom="1460" w:left="980" w:right="1160"/>
        </w:sectPr>
      </w:pPr>
    </w:p>
    <w:p>
      <w:pPr>
        <w:pStyle w:val="BodyText"/>
        <w:spacing w:line="276" w:lineRule="auto" w:before="139"/>
        <w:ind w:left="463" w:right="280"/>
        <w:jc w:val="both"/>
      </w:pPr>
      <w:r>
        <w:rPr/>
        <w:t>look</w:t>
      </w:r>
      <w:r>
        <w:rPr>
          <w:spacing w:val="-3"/>
        </w:rPr>
        <w:t> </w:t>
      </w:r>
      <w:r>
        <w:rPr/>
        <w:t>into</w:t>
      </w:r>
      <w:r>
        <w:rPr>
          <w:spacing w:val="-2"/>
        </w:rPr>
        <w:t> </w:t>
      </w:r>
      <w:r>
        <w:rPr/>
        <w:t>how</w:t>
      </w:r>
      <w:r>
        <w:rPr>
          <w:spacing w:val="-2"/>
        </w:rPr>
        <w:t> </w:t>
      </w:r>
      <w:r>
        <w:rPr/>
        <w:t>the</w:t>
      </w:r>
      <w:r>
        <w:rPr>
          <w:spacing w:val="-3"/>
        </w:rPr>
        <w:t> </w:t>
      </w:r>
      <w:r>
        <w:rPr/>
        <w:t>State</w:t>
      </w:r>
      <w:r>
        <w:rPr>
          <w:spacing w:val="-2"/>
        </w:rPr>
        <w:t> </w:t>
      </w:r>
      <w:r>
        <w:rPr/>
        <w:t>might</w:t>
      </w:r>
      <w:r>
        <w:rPr>
          <w:spacing w:val="-3"/>
        </w:rPr>
        <w:t> </w:t>
      </w:r>
      <w:r>
        <w:rPr/>
        <w:t>provide</w:t>
      </w:r>
      <w:r>
        <w:rPr>
          <w:spacing w:val="-1"/>
        </w:rPr>
        <w:t> </w:t>
      </w:r>
      <w:r>
        <w:rPr/>
        <w:t>more</w:t>
      </w:r>
      <w:r>
        <w:rPr>
          <w:spacing w:val="-3"/>
        </w:rPr>
        <w:t> </w:t>
      </w:r>
      <w:r>
        <w:rPr/>
        <w:t>support</w:t>
      </w:r>
      <w:r>
        <w:rPr>
          <w:spacing w:val="-2"/>
        </w:rPr>
        <w:t> </w:t>
      </w:r>
      <w:r>
        <w:rPr/>
        <w:t>for</w:t>
      </w:r>
      <w:r>
        <w:rPr>
          <w:spacing w:val="-3"/>
        </w:rPr>
        <w:t> </w:t>
      </w:r>
      <w:r>
        <w:rPr/>
        <w:t>youth,</w:t>
      </w:r>
      <w:r>
        <w:rPr>
          <w:spacing w:val="-3"/>
        </w:rPr>
        <w:t> </w:t>
      </w:r>
      <w:r>
        <w:rPr/>
        <w:t>including</w:t>
      </w:r>
      <w:r>
        <w:rPr>
          <w:spacing w:val="-3"/>
        </w:rPr>
        <w:t> </w:t>
      </w:r>
      <w:r>
        <w:rPr/>
        <w:t>the</w:t>
      </w:r>
      <w:r>
        <w:rPr>
          <w:spacing w:val="-3"/>
        </w:rPr>
        <w:t> </w:t>
      </w:r>
      <w:r>
        <w:rPr/>
        <w:t>development</w:t>
      </w:r>
      <w:r>
        <w:rPr>
          <w:spacing w:val="-2"/>
        </w:rPr>
        <w:t> </w:t>
      </w:r>
      <w:r>
        <w:rPr/>
        <w:t>of</w:t>
      </w:r>
      <w:r>
        <w:rPr>
          <w:spacing w:val="-3"/>
        </w:rPr>
        <w:t> </w:t>
      </w:r>
      <w:r>
        <w:rPr/>
        <w:t>an</w:t>
      </w:r>
      <w:r>
        <w:rPr>
          <w:spacing w:val="-3"/>
        </w:rPr>
        <w:t> </w:t>
      </w:r>
      <w:r>
        <w:rPr/>
        <w:t>app</w:t>
      </w:r>
      <w:r>
        <w:rPr>
          <w:spacing w:val="-3"/>
        </w:rPr>
        <w:t> </w:t>
      </w:r>
      <w:r>
        <w:rPr/>
        <w:t>that allows young people to better track any requests made to DCF, provide easily accessible information on DCF policies, and access to resources they have through DCF.</w:t>
      </w:r>
    </w:p>
    <w:p>
      <w:pPr>
        <w:numPr>
          <w:ilvl w:val="0"/>
          <w:numId w:val="15"/>
        </w:numPr>
        <w:tabs>
          <w:tab w:pos="461" w:val="left" w:leader="none"/>
        </w:tabs>
        <w:spacing w:before="239"/>
        <w:ind w:left="461" w:right="0" w:hanging="358"/>
        <w:jc w:val="left"/>
        <w:rPr>
          <w:b/>
          <w:sz w:val="22"/>
        </w:rPr>
      </w:pPr>
      <w:r>
        <w:rPr>
          <w:b/>
          <w:sz w:val="22"/>
        </w:rPr>
        <w:t>Review</w:t>
      </w:r>
      <w:r>
        <w:rPr>
          <w:b/>
          <w:spacing w:val="-10"/>
          <w:sz w:val="22"/>
        </w:rPr>
        <w:t> </w:t>
      </w:r>
      <w:r>
        <w:rPr>
          <w:b/>
          <w:sz w:val="22"/>
        </w:rPr>
        <w:t>and</w:t>
      </w:r>
      <w:r>
        <w:rPr>
          <w:b/>
          <w:spacing w:val="-9"/>
          <w:sz w:val="22"/>
        </w:rPr>
        <w:t> </w:t>
      </w:r>
      <w:r>
        <w:rPr>
          <w:b/>
          <w:sz w:val="22"/>
        </w:rPr>
        <w:t>update</w:t>
      </w:r>
      <w:r>
        <w:rPr>
          <w:b/>
          <w:spacing w:val="-9"/>
          <w:sz w:val="22"/>
        </w:rPr>
        <w:t> </w:t>
      </w:r>
      <w:r>
        <w:rPr>
          <w:b/>
          <w:sz w:val="22"/>
        </w:rPr>
        <w:t>quality</w:t>
      </w:r>
      <w:r>
        <w:rPr>
          <w:b/>
          <w:spacing w:val="-10"/>
          <w:sz w:val="22"/>
        </w:rPr>
        <w:t> </w:t>
      </w:r>
      <w:r>
        <w:rPr>
          <w:b/>
          <w:sz w:val="22"/>
        </w:rPr>
        <w:t>assurance</w:t>
      </w:r>
      <w:r>
        <w:rPr>
          <w:b/>
          <w:spacing w:val="-9"/>
          <w:sz w:val="22"/>
        </w:rPr>
        <w:t> </w:t>
      </w:r>
      <w:r>
        <w:rPr>
          <w:b/>
          <w:sz w:val="22"/>
        </w:rPr>
        <w:t>and</w:t>
      </w:r>
      <w:r>
        <w:rPr>
          <w:b/>
          <w:spacing w:val="-9"/>
          <w:sz w:val="22"/>
        </w:rPr>
        <w:t> </w:t>
      </w:r>
      <w:r>
        <w:rPr>
          <w:b/>
          <w:sz w:val="22"/>
        </w:rPr>
        <w:t>improvement</w:t>
      </w:r>
      <w:r>
        <w:rPr>
          <w:b/>
          <w:spacing w:val="-9"/>
          <w:sz w:val="22"/>
        </w:rPr>
        <w:t> </w:t>
      </w:r>
      <w:r>
        <w:rPr>
          <w:b/>
          <w:spacing w:val="-2"/>
          <w:sz w:val="22"/>
        </w:rPr>
        <w:t>procedures.</w:t>
      </w:r>
    </w:p>
    <w:p>
      <w:pPr>
        <w:pStyle w:val="BodyText"/>
        <w:spacing w:before="11"/>
        <w:rPr>
          <w:b/>
        </w:rPr>
      </w:pPr>
    </w:p>
    <w:p>
      <w:pPr>
        <w:pStyle w:val="BodyText"/>
        <w:spacing w:line="276" w:lineRule="auto" w:before="1"/>
        <w:ind w:left="463" w:right="282"/>
        <w:jc w:val="both"/>
      </w:pPr>
      <w:r>
        <w:rPr/>
        <w:t>In</w:t>
      </w:r>
      <w:r>
        <w:rPr>
          <w:spacing w:val="-6"/>
        </w:rPr>
        <w:t> </w:t>
      </w:r>
      <w:r>
        <w:rPr/>
        <w:t>many</w:t>
      </w:r>
      <w:r>
        <w:rPr>
          <w:spacing w:val="-5"/>
        </w:rPr>
        <w:t> </w:t>
      </w:r>
      <w:r>
        <w:rPr/>
        <w:t>of</w:t>
      </w:r>
      <w:r>
        <w:rPr>
          <w:spacing w:val="-6"/>
        </w:rPr>
        <w:t> </w:t>
      </w:r>
      <w:r>
        <w:rPr/>
        <w:t>the</w:t>
      </w:r>
      <w:r>
        <w:rPr>
          <w:spacing w:val="-5"/>
        </w:rPr>
        <w:t> </w:t>
      </w:r>
      <w:r>
        <w:rPr/>
        <w:t>conversations</w:t>
      </w:r>
      <w:r>
        <w:rPr>
          <w:spacing w:val="-6"/>
        </w:rPr>
        <w:t> </w:t>
      </w:r>
      <w:r>
        <w:rPr/>
        <w:t>that</w:t>
      </w:r>
      <w:r>
        <w:rPr>
          <w:spacing w:val="-6"/>
        </w:rPr>
        <w:t> </w:t>
      </w:r>
      <w:r>
        <w:rPr/>
        <w:t>the</w:t>
      </w:r>
      <w:r>
        <w:rPr>
          <w:spacing w:val="-5"/>
        </w:rPr>
        <w:t> </w:t>
      </w:r>
      <w:r>
        <w:rPr/>
        <w:t>Commission</w:t>
      </w:r>
      <w:r>
        <w:rPr>
          <w:spacing w:val="-7"/>
        </w:rPr>
        <w:t> </w:t>
      </w:r>
      <w:r>
        <w:rPr/>
        <w:t>engages</w:t>
      </w:r>
      <w:r>
        <w:rPr>
          <w:spacing w:val="-6"/>
        </w:rPr>
        <w:t> </w:t>
      </w:r>
      <w:r>
        <w:rPr/>
        <w:t>in</w:t>
      </w:r>
      <w:r>
        <w:rPr>
          <w:spacing w:val="-6"/>
        </w:rPr>
        <w:t> </w:t>
      </w:r>
      <w:r>
        <w:rPr/>
        <w:t>with</w:t>
      </w:r>
      <w:r>
        <w:rPr>
          <w:spacing w:val="-7"/>
        </w:rPr>
        <w:t> </w:t>
      </w:r>
      <w:r>
        <w:rPr/>
        <w:t>state</w:t>
      </w:r>
      <w:r>
        <w:rPr>
          <w:spacing w:val="-7"/>
        </w:rPr>
        <w:t> </w:t>
      </w:r>
      <w:r>
        <w:rPr/>
        <w:t>agencies</w:t>
      </w:r>
      <w:r>
        <w:rPr>
          <w:spacing w:val="-6"/>
        </w:rPr>
        <w:t> </w:t>
      </w:r>
      <w:r>
        <w:rPr/>
        <w:t>as</w:t>
      </w:r>
      <w:r>
        <w:rPr>
          <w:spacing w:val="-6"/>
        </w:rPr>
        <w:t> </w:t>
      </w:r>
      <w:r>
        <w:rPr/>
        <w:t>it</w:t>
      </w:r>
      <w:r>
        <w:rPr>
          <w:spacing w:val="-7"/>
        </w:rPr>
        <w:t> </w:t>
      </w:r>
      <w:r>
        <w:rPr/>
        <w:t>relates</w:t>
      </w:r>
      <w:r>
        <w:rPr>
          <w:spacing w:val="-6"/>
        </w:rPr>
        <w:t> </w:t>
      </w:r>
      <w:r>
        <w:rPr/>
        <w:t>to</w:t>
      </w:r>
      <w:r>
        <w:rPr>
          <w:spacing w:val="-5"/>
        </w:rPr>
        <w:t> </w:t>
      </w:r>
      <w:r>
        <w:rPr/>
        <w:t>trainings or accountability processes, agencies often note their inability to mandate trainings or hold their contracted providers accountable to providing LGBTQ-affirming services. However, many agencies have a system of quality assurance and improvement procedures to ensure that the providers they contract are providing the contracted services. Thus, the Commission recommends that all youth-serving state agencies examine how they already hold their contracted providers accountable to services that they must provide and see where updates could be made to increase accountability.</w:t>
      </w:r>
    </w:p>
    <w:p>
      <w:pPr>
        <w:numPr>
          <w:ilvl w:val="0"/>
          <w:numId w:val="15"/>
        </w:numPr>
        <w:tabs>
          <w:tab w:pos="461" w:val="left" w:leader="none"/>
        </w:tabs>
        <w:spacing w:before="240"/>
        <w:ind w:left="461" w:right="0" w:hanging="358"/>
        <w:jc w:val="left"/>
        <w:rPr>
          <w:b/>
          <w:sz w:val="22"/>
        </w:rPr>
      </w:pPr>
      <w:bookmarkStart w:name="7. Establish an independent foster care " w:id="90"/>
      <w:bookmarkEnd w:id="90"/>
      <w:r>
        <w:rPr>
          <w:b/>
          <w:sz w:val="22"/>
        </w:rPr>
        <w:t>E</w:t>
      </w:r>
      <w:r>
        <w:rPr>
          <w:b/>
          <w:sz w:val="22"/>
        </w:rPr>
        <w:t>stablish</w:t>
      </w:r>
      <w:r>
        <w:rPr>
          <w:b/>
          <w:spacing w:val="-9"/>
          <w:sz w:val="22"/>
        </w:rPr>
        <w:t> </w:t>
      </w:r>
      <w:r>
        <w:rPr>
          <w:b/>
          <w:sz w:val="22"/>
        </w:rPr>
        <w:t>an</w:t>
      </w:r>
      <w:r>
        <w:rPr>
          <w:b/>
          <w:spacing w:val="-9"/>
          <w:sz w:val="22"/>
        </w:rPr>
        <w:t> </w:t>
      </w:r>
      <w:r>
        <w:rPr>
          <w:b/>
          <w:sz w:val="22"/>
        </w:rPr>
        <w:t>independent</w:t>
      </w:r>
      <w:r>
        <w:rPr>
          <w:b/>
          <w:spacing w:val="-8"/>
          <w:sz w:val="22"/>
        </w:rPr>
        <w:t> </w:t>
      </w:r>
      <w:r>
        <w:rPr>
          <w:b/>
          <w:sz w:val="22"/>
        </w:rPr>
        <w:t>foster</w:t>
      </w:r>
      <w:r>
        <w:rPr>
          <w:b/>
          <w:spacing w:val="-9"/>
          <w:sz w:val="22"/>
        </w:rPr>
        <w:t> </w:t>
      </w:r>
      <w:r>
        <w:rPr>
          <w:b/>
          <w:sz w:val="22"/>
        </w:rPr>
        <w:t>care</w:t>
      </w:r>
      <w:r>
        <w:rPr>
          <w:b/>
          <w:spacing w:val="-8"/>
          <w:sz w:val="22"/>
        </w:rPr>
        <w:t> </w:t>
      </w:r>
      <w:r>
        <w:rPr>
          <w:b/>
          <w:sz w:val="22"/>
        </w:rPr>
        <w:t>review</w:t>
      </w:r>
      <w:r>
        <w:rPr>
          <w:b/>
          <w:spacing w:val="-8"/>
          <w:sz w:val="22"/>
        </w:rPr>
        <w:t> </w:t>
      </w:r>
      <w:r>
        <w:rPr>
          <w:b/>
          <w:spacing w:val="-2"/>
          <w:sz w:val="22"/>
        </w:rPr>
        <w:t>office.</w:t>
      </w:r>
    </w:p>
    <w:p>
      <w:pPr>
        <w:pStyle w:val="BodyText"/>
        <w:spacing w:before="11"/>
        <w:rPr>
          <w:b/>
        </w:rPr>
      </w:pPr>
    </w:p>
    <w:p>
      <w:pPr>
        <w:pStyle w:val="BodyText"/>
        <w:spacing w:line="276" w:lineRule="auto" w:before="1"/>
        <w:ind w:left="463" w:right="281" w:hanging="1"/>
        <w:jc w:val="both"/>
      </w:pPr>
      <w:r>
        <w:rPr/>
        <w:t>The</w:t>
      </w:r>
      <w:r>
        <w:rPr>
          <w:spacing w:val="-2"/>
        </w:rPr>
        <w:t> </w:t>
      </w:r>
      <w:r>
        <w:rPr/>
        <w:t>Commission</w:t>
      </w:r>
      <w:r>
        <w:rPr>
          <w:spacing w:val="-2"/>
        </w:rPr>
        <w:t> </w:t>
      </w:r>
      <w:r>
        <w:rPr/>
        <w:t>supports and</w:t>
      </w:r>
      <w:r>
        <w:rPr>
          <w:spacing w:val="-2"/>
        </w:rPr>
        <w:t> </w:t>
      </w:r>
      <w:r>
        <w:rPr/>
        <w:t>prioritizes</w:t>
      </w:r>
      <w:r>
        <w:rPr>
          <w:spacing w:val="-1"/>
        </w:rPr>
        <w:t> </w:t>
      </w:r>
      <w:r>
        <w:rPr/>
        <w:t>the</w:t>
      </w:r>
      <w:r>
        <w:rPr>
          <w:spacing w:val="-2"/>
        </w:rPr>
        <w:t> </w:t>
      </w:r>
      <w:r>
        <w:rPr/>
        <w:t>creation</w:t>
      </w:r>
      <w:r>
        <w:rPr>
          <w:spacing w:val="-1"/>
        </w:rPr>
        <w:t> </w:t>
      </w:r>
      <w:r>
        <w:rPr/>
        <w:t>of</w:t>
      </w:r>
      <w:r>
        <w:rPr>
          <w:spacing w:val="-2"/>
        </w:rPr>
        <w:t> </w:t>
      </w:r>
      <w:r>
        <w:rPr/>
        <w:t>an</w:t>
      </w:r>
      <w:r>
        <w:rPr>
          <w:spacing w:val="-2"/>
        </w:rPr>
        <w:t> </w:t>
      </w:r>
      <w:r>
        <w:rPr/>
        <w:t>independent</w:t>
      </w:r>
      <w:r>
        <w:rPr>
          <w:spacing w:val="-2"/>
        </w:rPr>
        <w:t> </w:t>
      </w:r>
      <w:r>
        <w:rPr/>
        <w:t>foster care</w:t>
      </w:r>
      <w:r>
        <w:rPr>
          <w:spacing w:val="-2"/>
        </w:rPr>
        <w:t> </w:t>
      </w:r>
      <w:r>
        <w:rPr/>
        <w:t>review</w:t>
      </w:r>
      <w:r>
        <w:rPr>
          <w:spacing w:val="-2"/>
        </w:rPr>
        <w:t> </w:t>
      </w:r>
      <w:r>
        <w:rPr/>
        <w:t>office</w:t>
      </w:r>
      <w:r>
        <w:rPr>
          <w:spacing w:val="-2"/>
        </w:rPr>
        <w:t> </w:t>
      </w:r>
      <w:r>
        <w:rPr>
          <w:b/>
        </w:rPr>
        <w:t>(</w:t>
      </w:r>
      <w:hyperlink r:id="rId53">
        <w:r>
          <w:rPr>
            <w:b/>
            <w:color w:val="1153CC"/>
            <w:u w:val="single" w:color="1153CC"/>
          </w:rPr>
          <w:t>S.66</w:t>
        </w:r>
      </w:hyperlink>
      <w:r>
        <w:rPr>
          <w:b/>
          <w:color w:val="1153CC"/>
          <w:spacing w:val="-3"/>
          <w:u w:val="none"/>
        </w:rPr>
        <w:t> </w:t>
      </w:r>
      <w:r>
        <w:rPr>
          <w:b/>
          <w:u w:val="none"/>
        </w:rPr>
        <w:t>/ </w:t>
      </w:r>
      <w:hyperlink r:id="rId54">
        <w:r>
          <w:rPr>
            <w:b/>
            <w:color w:val="1153CC"/>
            <w:u w:val="single" w:color="1153CC"/>
          </w:rPr>
          <w:t>H.158</w:t>
        </w:r>
      </w:hyperlink>
      <w:r>
        <w:rPr>
          <w:b/>
          <w:u w:val="none"/>
        </w:rPr>
        <w:t>)</w:t>
      </w:r>
      <w:r>
        <w:rPr>
          <w:b/>
          <w:spacing w:val="-5"/>
          <w:u w:val="none"/>
        </w:rPr>
        <w:t> </w:t>
      </w:r>
      <w:r>
        <w:rPr>
          <w:u w:val="none"/>
        </w:rPr>
        <w:t>outside</w:t>
      </w:r>
      <w:r>
        <w:rPr>
          <w:spacing w:val="-6"/>
          <w:u w:val="none"/>
        </w:rPr>
        <w:t> </w:t>
      </w:r>
      <w:r>
        <w:rPr>
          <w:u w:val="none"/>
        </w:rPr>
        <w:t>the</w:t>
      </w:r>
      <w:r>
        <w:rPr>
          <w:spacing w:val="-6"/>
          <w:u w:val="none"/>
        </w:rPr>
        <w:t> </w:t>
      </w:r>
      <w:r>
        <w:rPr>
          <w:u w:val="none"/>
        </w:rPr>
        <w:t>Department</w:t>
      </w:r>
      <w:r>
        <w:rPr>
          <w:spacing w:val="-5"/>
          <w:u w:val="none"/>
        </w:rPr>
        <w:t> </w:t>
      </w:r>
      <w:r>
        <w:rPr>
          <w:u w:val="none"/>
        </w:rPr>
        <w:t>of</w:t>
      </w:r>
      <w:r>
        <w:rPr>
          <w:spacing w:val="-5"/>
          <w:u w:val="none"/>
        </w:rPr>
        <w:t> </w:t>
      </w:r>
      <w:r>
        <w:rPr>
          <w:u w:val="none"/>
        </w:rPr>
        <w:t>Children</w:t>
      </w:r>
      <w:r>
        <w:rPr>
          <w:spacing w:val="-6"/>
          <w:u w:val="none"/>
        </w:rPr>
        <w:t> </w:t>
      </w:r>
      <w:r>
        <w:rPr>
          <w:u w:val="none"/>
        </w:rPr>
        <w:t>&amp;</w:t>
      </w:r>
      <w:r>
        <w:rPr>
          <w:spacing w:val="-4"/>
          <w:u w:val="none"/>
        </w:rPr>
        <w:t> </w:t>
      </w:r>
      <w:r>
        <w:rPr>
          <w:u w:val="none"/>
        </w:rPr>
        <w:t>Families</w:t>
      </w:r>
      <w:r>
        <w:rPr>
          <w:spacing w:val="-5"/>
          <w:u w:val="none"/>
        </w:rPr>
        <w:t> </w:t>
      </w:r>
      <w:r>
        <w:rPr>
          <w:u w:val="none"/>
        </w:rPr>
        <w:t>to</w:t>
      </w:r>
      <w:r>
        <w:rPr>
          <w:spacing w:val="-5"/>
          <w:u w:val="none"/>
        </w:rPr>
        <w:t> </w:t>
      </w:r>
      <w:r>
        <w:rPr>
          <w:u w:val="none"/>
        </w:rPr>
        <w:t>ensure</w:t>
      </w:r>
      <w:r>
        <w:rPr>
          <w:spacing w:val="-4"/>
          <w:u w:val="none"/>
        </w:rPr>
        <w:t> </w:t>
      </w:r>
      <w:r>
        <w:rPr>
          <w:u w:val="none"/>
        </w:rPr>
        <w:t>that</w:t>
      </w:r>
      <w:r>
        <w:rPr>
          <w:spacing w:val="-6"/>
          <w:u w:val="none"/>
        </w:rPr>
        <w:t> </w:t>
      </w:r>
      <w:r>
        <w:rPr>
          <w:u w:val="none"/>
        </w:rPr>
        <w:t>all</w:t>
      </w:r>
      <w:r>
        <w:rPr>
          <w:spacing w:val="-4"/>
          <w:u w:val="none"/>
        </w:rPr>
        <w:t> </w:t>
      </w:r>
      <w:r>
        <w:rPr>
          <w:u w:val="none"/>
        </w:rPr>
        <w:t>cases</w:t>
      </w:r>
      <w:r>
        <w:rPr>
          <w:spacing w:val="-5"/>
          <w:u w:val="none"/>
        </w:rPr>
        <w:t> </w:t>
      </w:r>
      <w:r>
        <w:rPr>
          <w:u w:val="none"/>
        </w:rPr>
        <w:t>are</w:t>
      </w:r>
      <w:r>
        <w:rPr>
          <w:spacing w:val="-6"/>
          <w:u w:val="none"/>
        </w:rPr>
        <w:t> </w:t>
      </w:r>
      <w:r>
        <w:rPr>
          <w:u w:val="none"/>
        </w:rPr>
        <w:t>appropriately</w:t>
      </w:r>
      <w:r>
        <w:rPr>
          <w:spacing w:val="-5"/>
          <w:u w:val="none"/>
        </w:rPr>
        <w:t> </w:t>
      </w:r>
      <w:r>
        <w:rPr>
          <w:u w:val="none"/>
        </w:rPr>
        <w:t>receiving impartial</w:t>
      </w:r>
      <w:r>
        <w:rPr>
          <w:spacing w:val="-8"/>
          <w:u w:val="none"/>
        </w:rPr>
        <w:t> </w:t>
      </w:r>
      <w:r>
        <w:rPr>
          <w:u w:val="none"/>
        </w:rPr>
        <w:t>reviews.</w:t>
      </w:r>
      <w:r>
        <w:rPr>
          <w:spacing w:val="-8"/>
          <w:u w:val="none"/>
        </w:rPr>
        <w:t> </w:t>
      </w:r>
      <w:r>
        <w:rPr>
          <w:u w:val="none"/>
        </w:rPr>
        <w:t>Currently,</w:t>
      </w:r>
      <w:r>
        <w:rPr>
          <w:spacing w:val="-7"/>
          <w:u w:val="none"/>
        </w:rPr>
        <w:t> </w:t>
      </w:r>
      <w:r>
        <w:rPr>
          <w:u w:val="none"/>
        </w:rPr>
        <w:t>state</w:t>
      </w:r>
      <w:r>
        <w:rPr>
          <w:spacing w:val="-8"/>
          <w:u w:val="none"/>
        </w:rPr>
        <w:t> </w:t>
      </w:r>
      <w:r>
        <w:rPr>
          <w:u w:val="none"/>
        </w:rPr>
        <w:t>law</w:t>
      </w:r>
      <w:r>
        <w:rPr>
          <w:spacing w:val="-8"/>
          <w:u w:val="none"/>
        </w:rPr>
        <w:t> </w:t>
      </w:r>
      <w:r>
        <w:rPr>
          <w:u w:val="none"/>
        </w:rPr>
        <w:t>requires</w:t>
      </w:r>
      <w:r>
        <w:rPr>
          <w:spacing w:val="-7"/>
          <w:u w:val="none"/>
        </w:rPr>
        <w:t> </w:t>
      </w:r>
      <w:r>
        <w:rPr>
          <w:u w:val="none"/>
        </w:rPr>
        <w:t>that</w:t>
      </w:r>
      <w:r>
        <w:rPr>
          <w:spacing w:val="-8"/>
          <w:u w:val="none"/>
        </w:rPr>
        <w:t> </w:t>
      </w:r>
      <w:r>
        <w:rPr>
          <w:u w:val="none"/>
        </w:rPr>
        <w:t>a</w:t>
      </w:r>
      <w:r>
        <w:rPr>
          <w:spacing w:val="-6"/>
          <w:u w:val="none"/>
        </w:rPr>
        <w:t> </w:t>
      </w:r>
      <w:r>
        <w:rPr>
          <w:u w:val="none"/>
        </w:rPr>
        <w:t>review</w:t>
      </w:r>
      <w:r>
        <w:rPr>
          <w:spacing w:val="-8"/>
          <w:u w:val="none"/>
        </w:rPr>
        <w:t> </w:t>
      </w:r>
      <w:r>
        <w:rPr>
          <w:u w:val="none"/>
        </w:rPr>
        <w:t>of</w:t>
      </w:r>
      <w:r>
        <w:rPr>
          <w:spacing w:val="-8"/>
          <w:u w:val="none"/>
        </w:rPr>
        <w:t> </w:t>
      </w:r>
      <w:r>
        <w:rPr>
          <w:u w:val="none"/>
        </w:rPr>
        <w:t>all</w:t>
      </w:r>
      <w:r>
        <w:rPr>
          <w:spacing w:val="-8"/>
          <w:u w:val="none"/>
        </w:rPr>
        <w:t> </w:t>
      </w:r>
      <w:r>
        <w:rPr>
          <w:u w:val="none"/>
        </w:rPr>
        <w:t>DCF</w:t>
      </w:r>
      <w:r>
        <w:rPr>
          <w:spacing w:val="-8"/>
          <w:u w:val="none"/>
        </w:rPr>
        <w:t> </w:t>
      </w:r>
      <w:r>
        <w:rPr>
          <w:u w:val="none"/>
        </w:rPr>
        <w:t>cases</w:t>
      </w:r>
      <w:r>
        <w:rPr>
          <w:spacing w:val="-7"/>
          <w:u w:val="none"/>
        </w:rPr>
        <w:t> </w:t>
      </w:r>
      <w:r>
        <w:rPr>
          <w:u w:val="none"/>
        </w:rPr>
        <w:t>takes</w:t>
      </w:r>
      <w:r>
        <w:rPr>
          <w:spacing w:val="-7"/>
          <w:u w:val="none"/>
        </w:rPr>
        <w:t> </w:t>
      </w:r>
      <w:r>
        <w:rPr>
          <w:u w:val="none"/>
        </w:rPr>
        <w:t>place</w:t>
      </w:r>
      <w:r>
        <w:rPr>
          <w:spacing w:val="-8"/>
          <w:u w:val="none"/>
        </w:rPr>
        <w:t> </w:t>
      </w:r>
      <w:r>
        <w:rPr>
          <w:u w:val="none"/>
        </w:rPr>
        <w:t>every</w:t>
      </w:r>
      <w:r>
        <w:rPr>
          <w:spacing w:val="-8"/>
          <w:u w:val="none"/>
        </w:rPr>
        <w:t> </w:t>
      </w:r>
      <w:r>
        <w:rPr>
          <w:u w:val="none"/>
        </w:rPr>
        <w:t>six</w:t>
      </w:r>
      <w:r>
        <w:rPr>
          <w:spacing w:val="-8"/>
          <w:u w:val="none"/>
        </w:rPr>
        <w:t> </w:t>
      </w:r>
      <w:r>
        <w:rPr>
          <w:u w:val="none"/>
        </w:rPr>
        <w:t>months to ensure that every child is receiving appropriate care and services. However, these reviews take place within</w:t>
      </w:r>
      <w:r>
        <w:rPr>
          <w:spacing w:val="-13"/>
          <w:u w:val="none"/>
        </w:rPr>
        <w:t> </w:t>
      </w:r>
      <w:r>
        <w:rPr>
          <w:u w:val="none"/>
        </w:rPr>
        <w:t>DCF,</w:t>
      </w:r>
      <w:r>
        <w:rPr>
          <w:spacing w:val="-12"/>
          <w:u w:val="none"/>
        </w:rPr>
        <w:t> </w:t>
      </w:r>
      <w:r>
        <w:rPr>
          <w:u w:val="none"/>
        </w:rPr>
        <w:t>leaving</w:t>
      </w:r>
      <w:r>
        <w:rPr>
          <w:spacing w:val="-13"/>
          <w:u w:val="none"/>
        </w:rPr>
        <w:t> </w:t>
      </w:r>
      <w:r>
        <w:rPr>
          <w:u w:val="none"/>
        </w:rPr>
        <w:t>advocates</w:t>
      </w:r>
      <w:r>
        <w:rPr>
          <w:spacing w:val="-12"/>
          <w:u w:val="none"/>
        </w:rPr>
        <w:t> </w:t>
      </w:r>
      <w:r>
        <w:rPr>
          <w:u w:val="none"/>
        </w:rPr>
        <w:t>to</w:t>
      </w:r>
      <w:r>
        <w:rPr>
          <w:spacing w:val="-13"/>
          <w:u w:val="none"/>
        </w:rPr>
        <w:t> </w:t>
      </w:r>
      <w:r>
        <w:rPr>
          <w:u w:val="none"/>
        </w:rPr>
        <w:t>continuously</w:t>
      </w:r>
      <w:r>
        <w:rPr>
          <w:spacing w:val="-12"/>
          <w:u w:val="none"/>
        </w:rPr>
        <w:t> </w:t>
      </w:r>
      <w:r>
        <w:rPr>
          <w:u w:val="none"/>
        </w:rPr>
        <w:t>raise</w:t>
      </w:r>
      <w:r>
        <w:rPr>
          <w:spacing w:val="-13"/>
          <w:u w:val="none"/>
        </w:rPr>
        <w:t> </w:t>
      </w:r>
      <w:r>
        <w:rPr>
          <w:u w:val="none"/>
        </w:rPr>
        <w:t>tremendous</w:t>
      </w:r>
      <w:r>
        <w:rPr>
          <w:spacing w:val="-12"/>
          <w:u w:val="none"/>
        </w:rPr>
        <w:t> </w:t>
      </w:r>
      <w:r>
        <w:rPr>
          <w:u w:val="none"/>
        </w:rPr>
        <w:t>concerns</w:t>
      </w:r>
      <w:r>
        <w:rPr>
          <w:spacing w:val="-12"/>
          <w:u w:val="none"/>
        </w:rPr>
        <w:t> </w:t>
      </w:r>
      <w:r>
        <w:rPr>
          <w:u w:val="none"/>
        </w:rPr>
        <w:t>over</w:t>
      </w:r>
      <w:r>
        <w:rPr>
          <w:spacing w:val="-13"/>
          <w:u w:val="none"/>
        </w:rPr>
        <w:t> </w:t>
      </w:r>
      <w:r>
        <w:rPr>
          <w:u w:val="none"/>
        </w:rPr>
        <w:t>the</w:t>
      </w:r>
      <w:r>
        <w:rPr>
          <w:spacing w:val="-12"/>
          <w:u w:val="none"/>
        </w:rPr>
        <w:t> </w:t>
      </w:r>
      <w:r>
        <w:rPr>
          <w:u w:val="none"/>
        </w:rPr>
        <w:t>quality</w:t>
      </w:r>
      <w:r>
        <w:rPr>
          <w:spacing w:val="-13"/>
          <w:u w:val="none"/>
        </w:rPr>
        <w:t> </w:t>
      </w:r>
      <w:r>
        <w:rPr>
          <w:u w:val="none"/>
        </w:rPr>
        <w:t>and</w:t>
      </w:r>
      <w:r>
        <w:rPr>
          <w:spacing w:val="-12"/>
          <w:u w:val="none"/>
        </w:rPr>
        <w:t> </w:t>
      </w:r>
      <w:r>
        <w:rPr>
          <w:u w:val="none"/>
        </w:rPr>
        <w:t>consistency of the review process.</w:t>
      </w:r>
    </w:p>
    <w:p>
      <w:pPr>
        <w:numPr>
          <w:ilvl w:val="0"/>
          <w:numId w:val="15"/>
        </w:numPr>
        <w:tabs>
          <w:tab w:pos="461" w:val="left" w:leader="none"/>
          <w:tab w:pos="463" w:val="left" w:leader="none"/>
        </w:tabs>
        <w:spacing w:line="276" w:lineRule="auto" w:before="239"/>
        <w:ind w:left="463" w:right="285" w:hanging="360"/>
        <w:jc w:val="left"/>
        <w:rPr>
          <w:b/>
          <w:sz w:val="22"/>
        </w:rPr>
      </w:pPr>
      <w:bookmarkStart w:name="8. Explore the creation of an LGBTQ yout" w:id="91"/>
      <w:bookmarkEnd w:id="91"/>
      <w:r>
        <w:rPr>
          <w:b/>
          <w:sz w:val="22"/>
        </w:rPr>
        <w:t>E</w:t>
      </w:r>
      <w:r>
        <w:rPr>
          <w:b/>
          <w:sz w:val="22"/>
        </w:rPr>
        <w:t>xplore</w:t>
      </w:r>
      <w:r>
        <w:rPr>
          <w:b/>
          <w:spacing w:val="-2"/>
          <w:sz w:val="22"/>
        </w:rPr>
        <w:t> </w:t>
      </w:r>
      <w:r>
        <w:rPr>
          <w:b/>
          <w:sz w:val="22"/>
        </w:rPr>
        <w:t>the</w:t>
      </w:r>
      <w:r>
        <w:rPr>
          <w:b/>
          <w:spacing w:val="-2"/>
          <w:sz w:val="22"/>
        </w:rPr>
        <w:t> </w:t>
      </w:r>
      <w:r>
        <w:rPr>
          <w:b/>
          <w:sz w:val="22"/>
        </w:rPr>
        <w:t>creation</w:t>
      </w:r>
      <w:r>
        <w:rPr>
          <w:b/>
          <w:spacing w:val="-1"/>
          <w:sz w:val="22"/>
        </w:rPr>
        <w:t> </w:t>
      </w:r>
      <w:r>
        <w:rPr>
          <w:b/>
          <w:sz w:val="22"/>
        </w:rPr>
        <w:t>of</w:t>
      </w:r>
      <w:r>
        <w:rPr>
          <w:b/>
          <w:spacing w:val="-2"/>
          <w:sz w:val="22"/>
        </w:rPr>
        <w:t> </w:t>
      </w:r>
      <w:r>
        <w:rPr>
          <w:b/>
          <w:sz w:val="22"/>
        </w:rPr>
        <w:t>an</w:t>
      </w:r>
      <w:r>
        <w:rPr>
          <w:b/>
          <w:spacing w:val="-2"/>
          <w:sz w:val="22"/>
        </w:rPr>
        <w:t> </w:t>
      </w:r>
      <w:r>
        <w:rPr>
          <w:b/>
          <w:sz w:val="22"/>
        </w:rPr>
        <w:t>LGBTQ</w:t>
      </w:r>
      <w:r>
        <w:rPr>
          <w:b/>
          <w:spacing w:val="-2"/>
          <w:sz w:val="22"/>
        </w:rPr>
        <w:t> </w:t>
      </w:r>
      <w:r>
        <w:rPr>
          <w:b/>
          <w:sz w:val="22"/>
        </w:rPr>
        <w:t>youth</w:t>
      </w:r>
      <w:r>
        <w:rPr>
          <w:b/>
          <w:spacing w:val="-3"/>
          <w:sz w:val="22"/>
        </w:rPr>
        <w:t> </w:t>
      </w:r>
      <w:r>
        <w:rPr>
          <w:b/>
          <w:sz w:val="22"/>
        </w:rPr>
        <w:t>maltreatment</w:t>
      </w:r>
      <w:r>
        <w:rPr>
          <w:b/>
          <w:spacing w:val="-2"/>
          <w:sz w:val="22"/>
        </w:rPr>
        <w:t> </w:t>
      </w:r>
      <w:r>
        <w:rPr>
          <w:b/>
          <w:sz w:val="22"/>
        </w:rPr>
        <w:t>code</w:t>
      </w:r>
      <w:r>
        <w:rPr>
          <w:b/>
          <w:spacing w:val="-2"/>
          <w:sz w:val="22"/>
        </w:rPr>
        <w:t> </w:t>
      </w:r>
      <w:r>
        <w:rPr>
          <w:b/>
          <w:sz w:val="22"/>
        </w:rPr>
        <w:t>system</w:t>
      </w:r>
      <w:r>
        <w:rPr>
          <w:b/>
          <w:spacing w:val="-1"/>
          <w:sz w:val="22"/>
        </w:rPr>
        <w:t> </w:t>
      </w:r>
      <w:r>
        <w:rPr>
          <w:b/>
          <w:sz w:val="22"/>
        </w:rPr>
        <w:t>within</w:t>
      </w:r>
      <w:r>
        <w:rPr>
          <w:b/>
          <w:spacing w:val="-2"/>
          <w:sz w:val="22"/>
        </w:rPr>
        <w:t> </w:t>
      </w:r>
      <w:r>
        <w:rPr>
          <w:b/>
          <w:sz w:val="22"/>
        </w:rPr>
        <w:t>the</w:t>
      </w:r>
      <w:r>
        <w:rPr>
          <w:b/>
          <w:spacing w:val="-2"/>
          <w:sz w:val="22"/>
        </w:rPr>
        <w:t> </w:t>
      </w:r>
      <w:r>
        <w:rPr>
          <w:b/>
          <w:sz w:val="22"/>
        </w:rPr>
        <w:t>Department</w:t>
      </w:r>
      <w:r>
        <w:rPr>
          <w:b/>
          <w:spacing w:val="-2"/>
          <w:sz w:val="22"/>
        </w:rPr>
        <w:t> </w:t>
      </w:r>
      <w:r>
        <w:rPr>
          <w:b/>
          <w:sz w:val="22"/>
        </w:rPr>
        <w:t>of</w:t>
      </w:r>
      <w:r>
        <w:rPr>
          <w:b/>
          <w:spacing w:val="-2"/>
          <w:sz w:val="22"/>
        </w:rPr>
        <w:t> </w:t>
      </w:r>
      <w:r>
        <w:rPr>
          <w:b/>
          <w:sz w:val="22"/>
        </w:rPr>
        <w:t>Children and Families.</w:t>
      </w:r>
    </w:p>
    <w:p>
      <w:pPr>
        <w:pStyle w:val="BodyText"/>
        <w:spacing w:line="276" w:lineRule="auto" w:before="241"/>
        <w:ind w:left="463" w:right="279"/>
        <w:jc w:val="both"/>
      </w:pPr>
      <w:r>
        <w:rPr/>
        <w:t>Expanding on the above recommendation, the Commission recommends that the state explore the creation of a maltreatment code system for use in the child welfare system to better support social workers in tracking and addressing critical cases and incidents, with a specific maltreatment code being assigned to LGBTQ youth. Such a system would also provide clearer information on the child’s case as it is reviewed to better ensure that all youth are receiving appropriate access to resources and care. The Commission understands that there are other states, such as Georgia</w:t>
      </w:r>
      <w:hyperlink w:history="true" w:anchor="_bookmark15">
        <w:r>
          <w:rPr/>
          <w:t>,</w:t>
        </w:r>
        <w:r>
          <w:rPr>
            <w:vertAlign w:val="superscript"/>
          </w:rPr>
          <w:t>7</w:t>
        </w:r>
      </w:hyperlink>
      <w:r>
        <w:rPr>
          <w:vertAlign w:val="baseline"/>
        </w:rPr>
        <w:t> that have implemented a maltreatment</w:t>
      </w:r>
      <w:r>
        <w:rPr>
          <w:spacing w:val="-4"/>
          <w:vertAlign w:val="baseline"/>
        </w:rPr>
        <w:t> </w:t>
      </w:r>
      <w:r>
        <w:rPr>
          <w:vertAlign w:val="baseline"/>
        </w:rPr>
        <w:t>code</w:t>
      </w:r>
      <w:r>
        <w:rPr>
          <w:spacing w:val="-4"/>
          <w:vertAlign w:val="baseline"/>
        </w:rPr>
        <w:t> </w:t>
      </w:r>
      <w:r>
        <w:rPr>
          <w:vertAlign w:val="baseline"/>
        </w:rPr>
        <w:t>system</w:t>
      </w:r>
      <w:r>
        <w:rPr>
          <w:spacing w:val="-4"/>
          <w:vertAlign w:val="baseline"/>
        </w:rPr>
        <w:t> </w:t>
      </w:r>
      <w:r>
        <w:rPr>
          <w:vertAlign w:val="baseline"/>
        </w:rPr>
        <w:t>that</w:t>
      </w:r>
      <w:r>
        <w:rPr>
          <w:spacing w:val="-4"/>
          <w:vertAlign w:val="baseline"/>
        </w:rPr>
        <w:t> </w:t>
      </w:r>
      <w:r>
        <w:rPr>
          <w:vertAlign w:val="baseline"/>
        </w:rPr>
        <w:t>provides</w:t>
      </w:r>
      <w:r>
        <w:rPr>
          <w:spacing w:val="-5"/>
          <w:vertAlign w:val="baseline"/>
        </w:rPr>
        <w:t> </w:t>
      </w:r>
      <w:r>
        <w:rPr>
          <w:vertAlign w:val="baseline"/>
        </w:rPr>
        <w:t>multiple</w:t>
      </w:r>
      <w:r>
        <w:rPr>
          <w:spacing w:val="-4"/>
          <w:vertAlign w:val="baseline"/>
        </w:rPr>
        <w:t> </w:t>
      </w:r>
      <w:r>
        <w:rPr>
          <w:vertAlign w:val="baseline"/>
        </w:rPr>
        <w:t>benefits,</w:t>
      </w:r>
      <w:r>
        <w:rPr>
          <w:spacing w:val="-5"/>
          <w:vertAlign w:val="baseline"/>
        </w:rPr>
        <w:t> </w:t>
      </w:r>
      <w:r>
        <w:rPr>
          <w:vertAlign w:val="baseline"/>
        </w:rPr>
        <w:t>including</w:t>
      </w:r>
      <w:r>
        <w:rPr>
          <w:spacing w:val="-4"/>
          <w:vertAlign w:val="baseline"/>
        </w:rPr>
        <w:t> </w:t>
      </w:r>
      <w:r>
        <w:rPr>
          <w:vertAlign w:val="baseline"/>
        </w:rPr>
        <w:t>indicating</w:t>
      </w:r>
      <w:r>
        <w:rPr>
          <w:spacing w:val="-5"/>
          <w:vertAlign w:val="baseline"/>
        </w:rPr>
        <w:t> </w:t>
      </w:r>
      <w:r>
        <w:rPr>
          <w:vertAlign w:val="baseline"/>
        </w:rPr>
        <w:t>and</w:t>
      </w:r>
      <w:r>
        <w:rPr>
          <w:spacing w:val="-3"/>
          <w:vertAlign w:val="baseline"/>
        </w:rPr>
        <w:t> </w:t>
      </w:r>
      <w:r>
        <w:rPr>
          <w:vertAlign w:val="baseline"/>
        </w:rPr>
        <w:t>categorizing</w:t>
      </w:r>
      <w:r>
        <w:rPr>
          <w:spacing w:val="-4"/>
          <w:vertAlign w:val="baseline"/>
        </w:rPr>
        <w:t> </w:t>
      </w:r>
      <w:r>
        <w:rPr>
          <w:vertAlign w:val="baseline"/>
        </w:rPr>
        <w:t>levels</w:t>
      </w:r>
      <w:r>
        <w:rPr>
          <w:spacing w:val="-3"/>
          <w:vertAlign w:val="baseline"/>
        </w:rPr>
        <w:t> </w:t>
      </w:r>
      <w:r>
        <w:rPr>
          <w:vertAlign w:val="baseline"/>
        </w:rPr>
        <w:t>of imminent</w:t>
      </w:r>
      <w:r>
        <w:rPr>
          <w:spacing w:val="-2"/>
          <w:vertAlign w:val="baseline"/>
        </w:rPr>
        <w:t> </w:t>
      </w:r>
      <w:r>
        <w:rPr>
          <w:vertAlign w:val="baseline"/>
        </w:rPr>
        <w:t>risk</w:t>
      </w:r>
      <w:r>
        <w:rPr>
          <w:spacing w:val="-3"/>
          <w:vertAlign w:val="baseline"/>
        </w:rPr>
        <w:t> </w:t>
      </w:r>
      <w:r>
        <w:rPr>
          <w:vertAlign w:val="baseline"/>
        </w:rPr>
        <w:t>–</w:t>
      </w:r>
      <w:r>
        <w:rPr>
          <w:spacing w:val="-2"/>
          <w:vertAlign w:val="baseline"/>
        </w:rPr>
        <w:t> </w:t>
      </w:r>
      <w:r>
        <w:rPr>
          <w:vertAlign w:val="baseline"/>
        </w:rPr>
        <w:t>used</w:t>
      </w:r>
      <w:r>
        <w:rPr>
          <w:spacing w:val="-2"/>
          <w:vertAlign w:val="baseline"/>
        </w:rPr>
        <w:t> </w:t>
      </w:r>
      <w:r>
        <w:rPr>
          <w:vertAlign w:val="baseline"/>
        </w:rPr>
        <w:t>by</w:t>
      </w:r>
      <w:r>
        <w:rPr>
          <w:spacing w:val="-3"/>
          <w:vertAlign w:val="baseline"/>
        </w:rPr>
        <w:t> </w:t>
      </w:r>
      <w:r>
        <w:rPr>
          <w:vertAlign w:val="baseline"/>
        </w:rPr>
        <w:t>social</w:t>
      </w:r>
      <w:r>
        <w:rPr>
          <w:spacing w:val="-3"/>
          <w:vertAlign w:val="baseline"/>
        </w:rPr>
        <w:t> </w:t>
      </w:r>
      <w:r>
        <w:rPr>
          <w:vertAlign w:val="baseline"/>
        </w:rPr>
        <w:t>workers</w:t>
      </w:r>
      <w:r>
        <w:rPr>
          <w:spacing w:val="-1"/>
          <w:vertAlign w:val="baseline"/>
        </w:rPr>
        <w:t> </w:t>
      </w:r>
      <w:r>
        <w:rPr>
          <w:vertAlign w:val="baseline"/>
        </w:rPr>
        <w:t>to</w:t>
      </w:r>
      <w:r>
        <w:rPr>
          <w:spacing w:val="-1"/>
          <w:vertAlign w:val="baseline"/>
        </w:rPr>
        <w:t> </w:t>
      </w:r>
      <w:r>
        <w:rPr>
          <w:vertAlign w:val="baseline"/>
        </w:rPr>
        <w:t>better</w:t>
      </w:r>
      <w:r>
        <w:rPr>
          <w:spacing w:val="-2"/>
          <w:vertAlign w:val="baseline"/>
        </w:rPr>
        <w:t> </w:t>
      </w:r>
      <w:r>
        <w:rPr>
          <w:vertAlign w:val="baseline"/>
        </w:rPr>
        <w:t>prepare</w:t>
      </w:r>
      <w:r>
        <w:rPr>
          <w:spacing w:val="-3"/>
          <w:vertAlign w:val="baseline"/>
        </w:rPr>
        <w:t> </w:t>
      </w:r>
      <w:r>
        <w:rPr>
          <w:vertAlign w:val="baseline"/>
        </w:rPr>
        <w:t>and</w:t>
      </w:r>
      <w:r>
        <w:rPr>
          <w:spacing w:val="-2"/>
          <w:vertAlign w:val="baseline"/>
        </w:rPr>
        <w:t> </w:t>
      </w:r>
      <w:r>
        <w:rPr>
          <w:vertAlign w:val="baseline"/>
        </w:rPr>
        <w:t>support</w:t>
      </w:r>
      <w:r>
        <w:rPr>
          <w:spacing w:val="-3"/>
          <w:vertAlign w:val="baseline"/>
        </w:rPr>
        <w:t> </w:t>
      </w:r>
      <w:r>
        <w:rPr>
          <w:vertAlign w:val="baseline"/>
        </w:rPr>
        <w:t>youth</w:t>
      </w:r>
      <w:r>
        <w:rPr>
          <w:spacing w:val="-3"/>
          <w:vertAlign w:val="baseline"/>
        </w:rPr>
        <w:t> </w:t>
      </w:r>
      <w:r>
        <w:rPr>
          <w:vertAlign w:val="baseline"/>
        </w:rPr>
        <w:t>in</w:t>
      </w:r>
      <w:r>
        <w:rPr>
          <w:spacing w:val="-2"/>
          <w:vertAlign w:val="baseline"/>
        </w:rPr>
        <w:t> </w:t>
      </w:r>
      <w:r>
        <w:rPr>
          <w:vertAlign w:val="baseline"/>
        </w:rPr>
        <w:t>their</w:t>
      </w:r>
      <w:r>
        <w:rPr>
          <w:spacing w:val="-2"/>
          <w:vertAlign w:val="baseline"/>
        </w:rPr>
        <w:t> </w:t>
      </w:r>
      <w:r>
        <w:rPr>
          <w:vertAlign w:val="baseline"/>
        </w:rPr>
        <w:t>caseload</w:t>
      </w:r>
      <w:r>
        <w:rPr>
          <w:spacing w:val="-3"/>
          <w:vertAlign w:val="baseline"/>
        </w:rPr>
        <w:t> </w:t>
      </w:r>
      <w:r>
        <w:rPr>
          <w:vertAlign w:val="baseline"/>
        </w:rPr>
        <w:t>–</w:t>
      </w:r>
      <w:r>
        <w:rPr>
          <w:spacing w:val="-1"/>
          <w:vertAlign w:val="baseline"/>
        </w:rPr>
        <w:t> </w:t>
      </w:r>
      <w:r>
        <w:rPr>
          <w:vertAlign w:val="baseline"/>
        </w:rPr>
        <w:t>as</w:t>
      </w:r>
      <w:r>
        <w:rPr>
          <w:spacing w:val="-3"/>
          <w:vertAlign w:val="baseline"/>
        </w:rPr>
        <w:t> </w:t>
      </w:r>
      <w:r>
        <w:rPr>
          <w:vertAlign w:val="baseline"/>
        </w:rPr>
        <w:t>well</w:t>
      </w:r>
      <w:r>
        <w:rPr>
          <w:spacing w:val="-3"/>
          <w:vertAlign w:val="baseline"/>
        </w:rPr>
        <w:t> </w:t>
      </w:r>
      <w:r>
        <w:rPr>
          <w:vertAlign w:val="baseline"/>
        </w:rPr>
        <w:t>as better categorizing a case’s eligibility for family preservation services; and providing the state and researchers with helpful data to better understand critical trends and gaps in case. Furthermore, proper coding</w:t>
      </w:r>
      <w:r>
        <w:rPr>
          <w:spacing w:val="-2"/>
          <w:vertAlign w:val="baseline"/>
        </w:rPr>
        <w:t> </w:t>
      </w:r>
      <w:r>
        <w:rPr>
          <w:vertAlign w:val="baseline"/>
        </w:rPr>
        <w:t>of</w:t>
      </w:r>
      <w:r>
        <w:rPr>
          <w:spacing w:val="-3"/>
          <w:vertAlign w:val="baseline"/>
        </w:rPr>
        <w:t> </w:t>
      </w:r>
      <w:r>
        <w:rPr>
          <w:vertAlign w:val="baseline"/>
        </w:rPr>
        <w:t>cases</w:t>
      </w:r>
      <w:r>
        <w:rPr>
          <w:spacing w:val="-3"/>
          <w:vertAlign w:val="baseline"/>
        </w:rPr>
        <w:t> </w:t>
      </w:r>
      <w:r>
        <w:rPr>
          <w:vertAlign w:val="baseline"/>
        </w:rPr>
        <w:t>minimizes</w:t>
      </w:r>
      <w:r>
        <w:rPr>
          <w:spacing w:val="-1"/>
          <w:vertAlign w:val="baseline"/>
        </w:rPr>
        <w:t> </w:t>
      </w:r>
      <w:r>
        <w:rPr>
          <w:vertAlign w:val="baseline"/>
        </w:rPr>
        <w:t>child</w:t>
      </w:r>
      <w:r>
        <w:rPr>
          <w:spacing w:val="-2"/>
          <w:vertAlign w:val="baseline"/>
        </w:rPr>
        <w:t> </w:t>
      </w:r>
      <w:r>
        <w:rPr>
          <w:vertAlign w:val="baseline"/>
        </w:rPr>
        <w:t>abuse</w:t>
      </w:r>
      <w:r>
        <w:rPr>
          <w:spacing w:val="-3"/>
          <w:vertAlign w:val="baseline"/>
        </w:rPr>
        <w:t> </w:t>
      </w:r>
      <w:r>
        <w:rPr>
          <w:vertAlign w:val="baseline"/>
        </w:rPr>
        <w:t>and</w:t>
      </w:r>
      <w:r>
        <w:rPr>
          <w:spacing w:val="-3"/>
          <w:vertAlign w:val="baseline"/>
        </w:rPr>
        <w:t> </w:t>
      </w:r>
      <w:r>
        <w:rPr>
          <w:vertAlign w:val="baseline"/>
        </w:rPr>
        <w:t>neglect</w:t>
      </w:r>
      <w:r>
        <w:rPr>
          <w:spacing w:val="-3"/>
          <w:vertAlign w:val="baseline"/>
        </w:rPr>
        <w:t> </w:t>
      </w:r>
      <w:r>
        <w:rPr>
          <w:vertAlign w:val="baseline"/>
        </w:rPr>
        <w:t>(CAN)</w:t>
      </w:r>
      <w:r>
        <w:rPr>
          <w:spacing w:val="-2"/>
          <w:vertAlign w:val="baseline"/>
        </w:rPr>
        <w:t> </w:t>
      </w:r>
      <w:r>
        <w:rPr>
          <w:vertAlign w:val="baseline"/>
        </w:rPr>
        <w:t>registries</w:t>
      </w:r>
      <w:r>
        <w:rPr>
          <w:spacing w:val="-1"/>
          <w:vertAlign w:val="baseline"/>
        </w:rPr>
        <w:t> </w:t>
      </w:r>
      <w:r>
        <w:rPr>
          <w:vertAlign w:val="baseline"/>
        </w:rPr>
        <w:t>for</w:t>
      </w:r>
      <w:r>
        <w:rPr>
          <w:spacing w:val="-3"/>
          <w:vertAlign w:val="baseline"/>
        </w:rPr>
        <w:t> </w:t>
      </w:r>
      <w:r>
        <w:rPr>
          <w:vertAlign w:val="baseline"/>
        </w:rPr>
        <w:t>parents</w:t>
      </w:r>
      <w:r>
        <w:rPr>
          <w:spacing w:val="-3"/>
          <w:vertAlign w:val="baseline"/>
        </w:rPr>
        <w:t> </w:t>
      </w:r>
      <w:r>
        <w:rPr>
          <w:vertAlign w:val="baseline"/>
        </w:rPr>
        <w:t>and</w:t>
      </w:r>
      <w:r>
        <w:rPr>
          <w:spacing w:val="-3"/>
          <w:vertAlign w:val="baseline"/>
        </w:rPr>
        <w:t> </w:t>
      </w:r>
      <w:r>
        <w:rPr>
          <w:vertAlign w:val="baseline"/>
        </w:rPr>
        <w:t>families</w:t>
      </w:r>
      <w:r>
        <w:rPr>
          <w:spacing w:val="-3"/>
          <w:vertAlign w:val="baseline"/>
        </w:rPr>
        <w:t> </w:t>
      </w:r>
      <w:r>
        <w:rPr>
          <w:vertAlign w:val="baseline"/>
        </w:rPr>
        <w:t>by</w:t>
      </w:r>
      <w:r>
        <w:rPr>
          <w:spacing w:val="-3"/>
          <w:vertAlign w:val="baseline"/>
        </w:rPr>
        <w:t> </w:t>
      </w:r>
      <w:r>
        <w:rPr>
          <w:vertAlign w:val="baseline"/>
        </w:rPr>
        <w:t>supporting service intervention rather than a removal, as having a CAN registry can negatively impact caregivers’ economic status and ability to retain employment.</w:t>
      </w:r>
    </w:p>
    <w:p>
      <w:pPr>
        <w:pStyle w:val="BodyText"/>
        <w:spacing w:line="276" w:lineRule="auto" w:before="240"/>
        <w:ind w:left="463" w:right="282"/>
        <w:jc w:val="both"/>
      </w:pPr>
      <w:r>
        <w:rPr/>
        <w:t>However,</w:t>
      </w:r>
      <w:r>
        <w:rPr>
          <w:spacing w:val="-5"/>
        </w:rPr>
        <w:t> </w:t>
      </w:r>
      <w:r>
        <w:rPr/>
        <w:t>despite</w:t>
      </w:r>
      <w:r>
        <w:rPr>
          <w:spacing w:val="-4"/>
        </w:rPr>
        <w:t> </w:t>
      </w:r>
      <w:r>
        <w:rPr/>
        <w:t>the</w:t>
      </w:r>
      <w:r>
        <w:rPr>
          <w:spacing w:val="-4"/>
        </w:rPr>
        <w:t> </w:t>
      </w:r>
      <w:r>
        <w:rPr/>
        <w:t>unique</w:t>
      </w:r>
      <w:r>
        <w:rPr>
          <w:spacing w:val="-6"/>
        </w:rPr>
        <w:t> </w:t>
      </w:r>
      <w:r>
        <w:rPr/>
        <w:t>experiences</w:t>
      </w:r>
      <w:r>
        <w:rPr>
          <w:spacing w:val="-5"/>
        </w:rPr>
        <w:t> </w:t>
      </w:r>
      <w:r>
        <w:rPr/>
        <w:t>faced</w:t>
      </w:r>
      <w:r>
        <w:rPr>
          <w:spacing w:val="-4"/>
        </w:rPr>
        <w:t> </w:t>
      </w:r>
      <w:r>
        <w:rPr/>
        <w:t>by</w:t>
      </w:r>
      <w:r>
        <w:rPr>
          <w:spacing w:val="-4"/>
        </w:rPr>
        <w:t> </w:t>
      </w:r>
      <w:r>
        <w:rPr/>
        <w:t>LGBTQ</w:t>
      </w:r>
      <w:r>
        <w:rPr>
          <w:spacing w:val="-4"/>
        </w:rPr>
        <w:t> </w:t>
      </w:r>
      <w:r>
        <w:rPr/>
        <w:t>youth</w:t>
      </w:r>
      <w:r>
        <w:rPr>
          <w:spacing w:val="-4"/>
        </w:rPr>
        <w:t> </w:t>
      </w:r>
      <w:r>
        <w:rPr/>
        <w:t>who</w:t>
      </w:r>
      <w:r>
        <w:rPr>
          <w:spacing w:val="-5"/>
        </w:rPr>
        <w:t> </w:t>
      </w:r>
      <w:r>
        <w:rPr/>
        <w:t>may</w:t>
      </w:r>
      <w:r>
        <w:rPr>
          <w:spacing w:val="-4"/>
        </w:rPr>
        <w:t> </w:t>
      </w:r>
      <w:r>
        <w:rPr/>
        <w:t>be</w:t>
      </w:r>
      <w:r>
        <w:rPr>
          <w:spacing w:val="-4"/>
        </w:rPr>
        <w:t> </w:t>
      </w:r>
      <w:r>
        <w:rPr/>
        <w:t>in</w:t>
      </w:r>
      <w:r>
        <w:rPr>
          <w:spacing w:val="-6"/>
        </w:rPr>
        <w:t> </w:t>
      </w:r>
      <w:r>
        <w:rPr/>
        <w:t>the</w:t>
      </w:r>
      <w:r>
        <w:rPr>
          <w:spacing w:val="-4"/>
        </w:rPr>
        <w:t> </w:t>
      </w:r>
      <w:r>
        <w:rPr/>
        <w:t>child</w:t>
      </w:r>
      <w:r>
        <w:rPr>
          <w:spacing w:val="-4"/>
        </w:rPr>
        <w:t> </w:t>
      </w:r>
      <w:r>
        <w:rPr/>
        <w:t>welfare</w:t>
      </w:r>
      <w:r>
        <w:rPr>
          <w:spacing w:val="-6"/>
        </w:rPr>
        <w:t> </w:t>
      </w:r>
      <w:r>
        <w:rPr/>
        <w:t>system, or may potentially become involved in the system, no state has any LGBTQ-specific codes to support youth, providers, and families. Without these codes, collecting more comprehensive qualitative and quantitative data on LGBTQ youth maltreatment experiences is incredibly difficult</w:t>
      </w:r>
      <w:hyperlink w:history="true" w:anchor="_bookmark16">
        <w:r>
          <w:rPr/>
          <w:t>.</w:t>
        </w:r>
        <w:r>
          <w:rPr>
            <w:vertAlign w:val="superscript"/>
          </w:rPr>
          <w:t>8</w:t>
        </w:r>
      </w:hyperlink>
    </w:p>
    <w:p>
      <w:pPr>
        <w:spacing w:after="0" w:line="276" w:lineRule="auto"/>
        <w:jc w:val="both"/>
        <w:sectPr>
          <w:pgSz w:w="12240" w:h="15840"/>
          <w:pgMar w:header="804" w:footer="1263" w:top="1000" w:bottom="1460" w:left="980" w:right="1160"/>
        </w:sectPr>
      </w:pPr>
    </w:p>
    <w:p>
      <w:pPr>
        <w:numPr>
          <w:ilvl w:val="0"/>
          <w:numId w:val="15"/>
        </w:numPr>
        <w:tabs>
          <w:tab w:pos="461" w:val="left" w:leader="none"/>
          <w:tab w:pos="463" w:val="left" w:leader="none"/>
        </w:tabs>
        <w:spacing w:line="276" w:lineRule="auto" w:before="139"/>
        <w:ind w:left="463" w:right="282" w:hanging="360"/>
        <w:jc w:val="left"/>
        <w:rPr>
          <w:b/>
          <w:sz w:val="22"/>
        </w:rPr>
      </w:pPr>
      <w:bookmarkStart w:name="9. Update Chapter 119, Section 89 of the" w:id="92"/>
      <w:bookmarkEnd w:id="92"/>
      <w:r>
        <w:rPr>
          <w:b/>
          <w:sz w:val="22"/>
        </w:rPr>
        <w:t>U</w:t>
      </w:r>
      <w:r>
        <w:rPr>
          <w:b/>
          <w:sz w:val="22"/>
        </w:rPr>
        <w:t>pdate Chapter 119, Section 89 of the Massachusetts General Laws to include the Commission on the Juvenile Justice Policy and Data Board as a voting member.</w:t>
      </w:r>
    </w:p>
    <w:p>
      <w:pPr>
        <w:pStyle w:val="BodyText"/>
        <w:spacing w:line="276" w:lineRule="auto" w:before="239"/>
        <w:ind w:left="463" w:right="282"/>
        <w:jc w:val="both"/>
      </w:pPr>
      <w:r>
        <w:rPr/>
        <w:t>As discussed further in this annual report, the Juvenile Justice Policy and Data Board (JJPAD) evaluates juvenile justice system policies and outcomes to make recommendations on areas of improvement. Risk factors</w:t>
      </w:r>
      <w:r>
        <w:rPr>
          <w:spacing w:val="-1"/>
        </w:rPr>
        <w:t> </w:t>
      </w:r>
      <w:r>
        <w:rPr/>
        <w:t>for</w:t>
      </w:r>
      <w:r>
        <w:rPr>
          <w:spacing w:val="-2"/>
        </w:rPr>
        <w:t> </w:t>
      </w:r>
      <w:r>
        <w:rPr/>
        <w:t>juvenile</w:t>
      </w:r>
      <w:r>
        <w:rPr>
          <w:spacing w:val="-2"/>
        </w:rPr>
        <w:t> </w:t>
      </w:r>
      <w:r>
        <w:rPr/>
        <w:t>justice</w:t>
      </w:r>
      <w:r>
        <w:rPr>
          <w:spacing w:val="-1"/>
        </w:rPr>
        <w:t> </w:t>
      </w:r>
      <w:r>
        <w:rPr/>
        <w:t>system</w:t>
      </w:r>
      <w:r>
        <w:rPr>
          <w:spacing w:val="-2"/>
        </w:rPr>
        <w:t> </w:t>
      </w:r>
      <w:r>
        <w:rPr/>
        <w:t>involvement</w:t>
      </w:r>
      <w:r>
        <w:rPr>
          <w:spacing w:val="-2"/>
        </w:rPr>
        <w:t> </w:t>
      </w:r>
      <w:r>
        <w:rPr/>
        <w:t>is</w:t>
      </w:r>
      <w:r>
        <w:rPr>
          <w:spacing w:val="-1"/>
        </w:rPr>
        <w:t> </w:t>
      </w:r>
      <w:r>
        <w:rPr/>
        <w:t>involvement</w:t>
      </w:r>
      <w:r>
        <w:rPr>
          <w:spacing w:val="-1"/>
        </w:rPr>
        <w:t> </w:t>
      </w:r>
      <w:r>
        <w:rPr/>
        <w:t>in</w:t>
      </w:r>
      <w:r>
        <w:rPr>
          <w:spacing w:val="-1"/>
        </w:rPr>
        <w:t> </w:t>
      </w:r>
      <w:r>
        <w:rPr/>
        <w:t>the</w:t>
      </w:r>
      <w:r>
        <w:rPr>
          <w:spacing w:val="-2"/>
        </w:rPr>
        <w:t> </w:t>
      </w:r>
      <w:r>
        <w:rPr/>
        <w:t>child</w:t>
      </w:r>
      <w:r>
        <w:rPr>
          <w:spacing w:val="-2"/>
        </w:rPr>
        <w:t> </w:t>
      </w:r>
      <w:r>
        <w:rPr/>
        <w:t>welfare</w:t>
      </w:r>
      <w:r>
        <w:rPr>
          <w:spacing w:val="-2"/>
        </w:rPr>
        <w:t> </w:t>
      </w:r>
      <w:r>
        <w:rPr/>
        <w:t>system,</w:t>
      </w:r>
      <w:r>
        <w:rPr>
          <w:spacing w:val="-2"/>
        </w:rPr>
        <w:t> </w:t>
      </w:r>
      <w:r>
        <w:rPr/>
        <w:t>which</w:t>
      </w:r>
      <w:r>
        <w:rPr>
          <w:spacing w:val="-2"/>
        </w:rPr>
        <w:t> </w:t>
      </w:r>
      <w:r>
        <w:rPr/>
        <w:t>also</w:t>
      </w:r>
      <w:r>
        <w:rPr>
          <w:spacing w:val="-1"/>
        </w:rPr>
        <w:t> </w:t>
      </w:r>
      <w:r>
        <w:rPr/>
        <w:t>is</w:t>
      </w:r>
      <w:r>
        <w:rPr>
          <w:spacing w:val="-1"/>
        </w:rPr>
        <w:t> </w:t>
      </w:r>
      <w:r>
        <w:rPr/>
        <w:t>a factor</w:t>
      </w:r>
      <w:r>
        <w:rPr>
          <w:spacing w:val="-9"/>
        </w:rPr>
        <w:t> </w:t>
      </w:r>
      <w:r>
        <w:rPr/>
        <w:t>for</w:t>
      </w:r>
      <w:r>
        <w:rPr>
          <w:spacing w:val="-9"/>
        </w:rPr>
        <w:t> </w:t>
      </w:r>
      <w:r>
        <w:rPr/>
        <w:t>childhood</w:t>
      </w:r>
      <w:r>
        <w:rPr>
          <w:spacing w:val="-9"/>
        </w:rPr>
        <w:t> </w:t>
      </w:r>
      <w:r>
        <w:rPr/>
        <w:t>trauma.</w:t>
      </w:r>
      <w:r>
        <w:rPr>
          <w:spacing w:val="-9"/>
        </w:rPr>
        <w:t> </w:t>
      </w:r>
      <w:r>
        <w:rPr/>
        <w:t>However,</w:t>
      </w:r>
      <w:r>
        <w:rPr>
          <w:spacing w:val="-9"/>
        </w:rPr>
        <w:t> </w:t>
      </w:r>
      <w:r>
        <w:rPr/>
        <w:t>even</w:t>
      </w:r>
      <w:r>
        <w:rPr>
          <w:spacing w:val="-9"/>
        </w:rPr>
        <w:t> </w:t>
      </w:r>
      <w:r>
        <w:rPr/>
        <w:t>though</w:t>
      </w:r>
      <w:r>
        <w:rPr>
          <w:spacing w:val="-7"/>
        </w:rPr>
        <w:t> </w:t>
      </w:r>
      <w:r>
        <w:rPr/>
        <w:t>LGBTQ</w:t>
      </w:r>
      <w:r>
        <w:rPr>
          <w:spacing w:val="-9"/>
        </w:rPr>
        <w:t> </w:t>
      </w:r>
      <w:r>
        <w:rPr/>
        <w:t>youth</w:t>
      </w:r>
      <w:r>
        <w:rPr>
          <w:spacing w:val="-7"/>
        </w:rPr>
        <w:t> </w:t>
      </w:r>
      <w:r>
        <w:rPr/>
        <w:t>often</w:t>
      </w:r>
      <w:r>
        <w:rPr>
          <w:spacing w:val="-9"/>
        </w:rPr>
        <w:t> </w:t>
      </w:r>
      <w:r>
        <w:rPr/>
        <w:t>face</w:t>
      </w:r>
      <w:r>
        <w:rPr>
          <w:spacing w:val="-8"/>
        </w:rPr>
        <w:t> </w:t>
      </w:r>
      <w:r>
        <w:rPr/>
        <w:t>numerous</w:t>
      </w:r>
      <w:r>
        <w:rPr>
          <w:spacing w:val="-8"/>
        </w:rPr>
        <w:t> </w:t>
      </w:r>
      <w:r>
        <w:rPr/>
        <w:t>disparities</w:t>
      </w:r>
      <w:r>
        <w:rPr>
          <w:spacing w:val="-8"/>
        </w:rPr>
        <w:t> </w:t>
      </w:r>
      <w:r>
        <w:rPr/>
        <w:t>in</w:t>
      </w:r>
      <w:r>
        <w:rPr>
          <w:spacing w:val="-8"/>
        </w:rPr>
        <w:t> </w:t>
      </w:r>
      <w:r>
        <w:rPr/>
        <w:t>both the child welfare and juvenile justice systems, there remains no formal and dedicated voice for LGBTQ youth on JJPAD or its Childhood Trauma Task Force (CTTF). The Commission urges the legislature to address this concerning gap in representation by passing </w:t>
      </w:r>
      <w:r>
        <w:rPr>
          <w:i/>
        </w:rPr>
        <w:t>An Act Updating the Juvenile Justice Policy and</w:t>
      </w:r>
      <w:r>
        <w:rPr>
          <w:i/>
        </w:rPr>
        <w:t> Data Board </w:t>
      </w:r>
      <w:r>
        <w:rPr>
          <w:b/>
        </w:rPr>
        <w:t>(</w:t>
      </w:r>
      <w:hyperlink r:id="rId55">
        <w:r>
          <w:rPr>
            <w:b/>
            <w:color w:val="1153CC"/>
            <w:u w:val="single" w:color="1153CC"/>
          </w:rPr>
          <w:t>S. 78</w:t>
        </w:r>
      </w:hyperlink>
      <w:r>
        <w:rPr>
          <w:b/>
          <w:u w:val="none"/>
        </w:rPr>
        <w:t>) </w:t>
      </w:r>
      <w:r>
        <w:rPr>
          <w:u w:val="none"/>
        </w:rPr>
        <w:t>which is currently pending in the Senate Committee on Rules.</w:t>
      </w:r>
    </w:p>
    <w:p>
      <w:pPr>
        <w:numPr>
          <w:ilvl w:val="0"/>
          <w:numId w:val="15"/>
        </w:numPr>
        <w:tabs>
          <w:tab w:pos="461" w:val="left" w:leader="none"/>
        </w:tabs>
        <w:spacing w:before="240"/>
        <w:ind w:left="461" w:right="0" w:hanging="358"/>
        <w:jc w:val="left"/>
        <w:rPr>
          <w:b/>
          <w:sz w:val="22"/>
        </w:rPr>
      </w:pPr>
      <w:bookmarkStart w:name="10. Codify the foster child bill of righ" w:id="93"/>
      <w:bookmarkEnd w:id="93"/>
      <w:r>
        <w:rPr/>
      </w:r>
      <w:r>
        <w:rPr>
          <w:b/>
          <w:sz w:val="22"/>
        </w:rPr>
        <w:t>Codify</w:t>
      </w:r>
      <w:r>
        <w:rPr>
          <w:b/>
          <w:spacing w:val="-5"/>
          <w:sz w:val="22"/>
        </w:rPr>
        <w:t> </w:t>
      </w:r>
      <w:r>
        <w:rPr>
          <w:b/>
          <w:sz w:val="22"/>
        </w:rPr>
        <w:t>the</w:t>
      </w:r>
      <w:r>
        <w:rPr>
          <w:b/>
          <w:spacing w:val="-5"/>
          <w:sz w:val="22"/>
        </w:rPr>
        <w:t> </w:t>
      </w:r>
      <w:r>
        <w:rPr>
          <w:b/>
          <w:sz w:val="22"/>
        </w:rPr>
        <w:t>foster</w:t>
      </w:r>
      <w:r>
        <w:rPr>
          <w:b/>
          <w:spacing w:val="-6"/>
          <w:sz w:val="22"/>
        </w:rPr>
        <w:t> </w:t>
      </w:r>
      <w:r>
        <w:rPr>
          <w:b/>
          <w:sz w:val="22"/>
        </w:rPr>
        <w:t>child</w:t>
      </w:r>
      <w:r>
        <w:rPr>
          <w:b/>
          <w:spacing w:val="-5"/>
          <w:sz w:val="22"/>
        </w:rPr>
        <w:t> </w:t>
      </w:r>
      <w:r>
        <w:rPr>
          <w:b/>
          <w:sz w:val="22"/>
        </w:rPr>
        <w:t>bill</w:t>
      </w:r>
      <w:r>
        <w:rPr>
          <w:b/>
          <w:spacing w:val="-6"/>
          <w:sz w:val="22"/>
        </w:rPr>
        <w:t> </w:t>
      </w:r>
      <w:r>
        <w:rPr>
          <w:b/>
          <w:sz w:val="22"/>
        </w:rPr>
        <w:t>of</w:t>
      </w:r>
      <w:r>
        <w:rPr>
          <w:b/>
          <w:spacing w:val="-6"/>
          <w:sz w:val="22"/>
        </w:rPr>
        <w:t> </w:t>
      </w:r>
      <w:r>
        <w:rPr>
          <w:b/>
          <w:sz w:val="22"/>
        </w:rPr>
        <w:t>rights</w:t>
      </w:r>
      <w:r>
        <w:rPr>
          <w:b/>
          <w:spacing w:val="-5"/>
          <w:sz w:val="22"/>
        </w:rPr>
        <w:t> </w:t>
      </w:r>
      <w:r>
        <w:rPr>
          <w:b/>
          <w:sz w:val="22"/>
        </w:rPr>
        <w:t>in</w:t>
      </w:r>
      <w:r>
        <w:rPr>
          <w:b/>
          <w:spacing w:val="-6"/>
          <w:sz w:val="22"/>
        </w:rPr>
        <w:t> </w:t>
      </w:r>
      <w:r>
        <w:rPr>
          <w:b/>
          <w:sz w:val="22"/>
        </w:rPr>
        <w:t>state</w:t>
      </w:r>
      <w:r>
        <w:rPr>
          <w:b/>
          <w:spacing w:val="-5"/>
          <w:sz w:val="22"/>
        </w:rPr>
        <w:t> </w:t>
      </w:r>
      <w:r>
        <w:rPr>
          <w:b/>
          <w:spacing w:val="-4"/>
          <w:sz w:val="22"/>
        </w:rPr>
        <w:t>law.</w:t>
      </w:r>
    </w:p>
    <w:p>
      <w:pPr>
        <w:pStyle w:val="BodyText"/>
        <w:spacing w:before="12"/>
        <w:rPr>
          <w:b/>
        </w:rPr>
      </w:pPr>
    </w:p>
    <w:p>
      <w:pPr>
        <w:pStyle w:val="BodyText"/>
        <w:spacing w:line="276" w:lineRule="auto"/>
        <w:ind w:left="463" w:right="282"/>
        <w:jc w:val="both"/>
      </w:pPr>
      <w:r>
        <w:rPr/>
        <w:t>The</w:t>
      </w:r>
      <w:r>
        <w:rPr>
          <w:spacing w:val="-8"/>
        </w:rPr>
        <w:t> </w:t>
      </w:r>
      <w:r>
        <w:rPr/>
        <w:t>Commission</w:t>
      </w:r>
      <w:r>
        <w:rPr>
          <w:spacing w:val="-8"/>
        </w:rPr>
        <w:t> </w:t>
      </w:r>
      <w:r>
        <w:rPr/>
        <w:t>was</w:t>
      </w:r>
      <w:r>
        <w:rPr>
          <w:spacing w:val="-7"/>
        </w:rPr>
        <w:t> </w:t>
      </w:r>
      <w:r>
        <w:rPr/>
        <w:t>pleased</w:t>
      </w:r>
      <w:r>
        <w:rPr>
          <w:spacing w:val="-8"/>
        </w:rPr>
        <w:t> </w:t>
      </w:r>
      <w:r>
        <w:rPr/>
        <w:t>to</w:t>
      </w:r>
      <w:r>
        <w:rPr>
          <w:spacing w:val="-7"/>
        </w:rPr>
        <w:t> </w:t>
      </w:r>
      <w:r>
        <w:rPr/>
        <w:t>see</w:t>
      </w:r>
      <w:r>
        <w:rPr>
          <w:spacing w:val="-7"/>
        </w:rPr>
        <w:t> </w:t>
      </w:r>
      <w:r>
        <w:rPr/>
        <w:t>the</w:t>
      </w:r>
      <w:r>
        <w:rPr>
          <w:spacing w:val="-7"/>
        </w:rPr>
        <w:t> </w:t>
      </w:r>
      <w:r>
        <w:rPr/>
        <w:t>development</w:t>
      </w:r>
      <w:r>
        <w:rPr>
          <w:spacing w:val="-7"/>
        </w:rPr>
        <w:t> </w:t>
      </w:r>
      <w:r>
        <w:rPr/>
        <w:t>of</w:t>
      </w:r>
      <w:r>
        <w:rPr>
          <w:spacing w:val="-8"/>
        </w:rPr>
        <w:t> </w:t>
      </w:r>
      <w:r>
        <w:rPr/>
        <w:t>the</w:t>
      </w:r>
      <w:r>
        <w:rPr>
          <w:spacing w:val="-8"/>
        </w:rPr>
        <w:t> </w:t>
      </w:r>
      <w:r>
        <w:rPr/>
        <w:t>Foster</w:t>
      </w:r>
      <w:r>
        <w:rPr>
          <w:spacing w:val="-6"/>
        </w:rPr>
        <w:t> </w:t>
      </w:r>
      <w:r>
        <w:rPr/>
        <w:t>Child</w:t>
      </w:r>
      <w:r>
        <w:rPr>
          <w:spacing w:val="-8"/>
        </w:rPr>
        <w:t> </w:t>
      </w:r>
      <w:r>
        <w:rPr/>
        <w:t>Bill</w:t>
      </w:r>
      <w:r>
        <w:rPr>
          <w:spacing w:val="-8"/>
        </w:rPr>
        <w:t> </w:t>
      </w:r>
      <w:r>
        <w:rPr/>
        <w:t>of</w:t>
      </w:r>
      <w:r>
        <w:rPr>
          <w:spacing w:val="-8"/>
        </w:rPr>
        <w:t> </w:t>
      </w:r>
      <w:r>
        <w:rPr/>
        <w:t>Rights</w:t>
      </w:r>
      <w:r>
        <w:rPr>
          <w:spacing w:val="-7"/>
        </w:rPr>
        <w:t> </w:t>
      </w:r>
      <w:r>
        <w:rPr/>
        <w:t>developed</w:t>
      </w:r>
      <w:r>
        <w:rPr>
          <w:spacing w:val="-8"/>
        </w:rPr>
        <w:t> </w:t>
      </w:r>
      <w:r>
        <w:rPr/>
        <w:t>by</w:t>
      </w:r>
      <w:r>
        <w:rPr>
          <w:spacing w:val="-8"/>
        </w:rPr>
        <w:t> </w:t>
      </w:r>
      <w:r>
        <w:rPr/>
        <w:t>DCF’s Youth Advisory Board which includes guidance that every child should be treated with respect without regard to gender identity and sexual orientation. The Commission supports </w:t>
      </w:r>
      <w:r>
        <w:rPr>
          <w:i/>
        </w:rPr>
        <w:t>An Act Establishing a Bill of</w:t>
      </w:r>
      <w:r>
        <w:rPr>
          <w:i/>
        </w:rPr>
        <w:t> Rights</w:t>
      </w:r>
      <w:r>
        <w:rPr>
          <w:i/>
          <w:spacing w:val="-11"/>
        </w:rPr>
        <w:t> </w:t>
      </w:r>
      <w:r>
        <w:rPr>
          <w:i/>
        </w:rPr>
        <w:t>for</w:t>
      </w:r>
      <w:r>
        <w:rPr>
          <w:i/>
          <w:spacing w:val="-9"/>
        </w:rPr>
        <w:t> </w:t>
      </w:r>
      <w:r>
        <w:rPr>
          <w:i/>
        </w:rPr>
        <w:t>Children</w:t>
      </w:r>
      <w:r>
        <w:rPr>
          <w:i/>
          <w:spacing w:val="-10"/>
        </w:rPr>
        <w:t> </w:t>
      </w:r>
      <w:r>
        <w:rPr>
          <w:i/>
        </w:rPr>
        <w:t>in</w:t>
      </w:r>
      <w:r>
        <w:rPr>
          <w:i/>
          <w:spacing w:val="-10"/>
        </w:rPr>
        <w:t> </w:t>
      </w:r>
      <w:r>
        <w:rPr>
          <w:i/>
        </w:rPr>
        <w:t>Foster</w:t>
      </w:r>
      <w:r>
        <w:rPr>
          <w:i/>
          <w:spacing w:val="-10"/>
        </w:rPr>
        <w:t> </w:t>
      </w:r>
      <w:r>
        <w:rPr>
          <w:i/>
        </w:rPr>
        <w:t>Care</w:t>
      </w:r>
      <w:r>
        <w:rPr>
          <w:i/>
          <w:spacing w:val="-11"/>
        </w:rPr>
        <w:t> </w:t>
      </w:r>
      <w:r>
        <w:rPr/>
        <w:t>(</w:t>
      </w:r>
      <w:hyperlink r:id="rId56">
        <w:r>
          <w:rPr>
            <w:b/>
            <w:color w:val="1153CC"/>
            <w:u w:val="single" w:color="1153CC"/>
          </w:rPr>
          <w:t>S.</w:t>
        </w:r>
        <w:r>
          <w:rPr>
            <w:b/>
            <w:color w:val="1153CC"/>
            <w:spacing w:val="-10"/>
            <w:u w:val="single" w:color="1153CC"/>
          </w:rPr>
          <w:t> </w:t>
        </w:r>
        <w:r>
          <w:rPr>
            <w:b/>
            <w:color w:val="1153CC"/>
            <w:u w:val="single" w:color="1153CC"/>
          </w:rPr>
          <w:t>68</w:t>
        </w:r>
      </w:hyperlink>
      <w:r>
        <w:rPr>
          <w:b/>
          <w:color w:val="1153CC"/>
          <w:spacing w:val="-10"/>
          <w:u w:val="none"/>
        </w:rPr>
        <w:t> </w:t>
      </w:r>
      <w:r>
        <w:rPr>
          <w:b/>
          <w:u w:val="none"/>
        </w:rPr>
        <w:t>/</w:t>
      </w:r>
      <w:r>
        <w:rPr>
          <w:b/>
          <w:spacing w:val="-9"/>
          <w:u w:val="none"/>
        </w:rPr>
        <w:t> </w:t>
      </w:r>
      <w:hyperlink r:id="rId57">
        <w:r>
          <w:rPr>
            <w:b/>
            <w:color w:val="1153CC"/>
            <w:u w:val="single" w:color="1153CC"/>
          </w:rPr>
          <w:t>H.164</w:t>
        </w:r>
      </w:hyperlink>
      <w:r>
        <w:rPr>
          <w:u w:val="none"/>
        </w:rPr>
        <w:t>)</w:t>
      </w:r>
      <w:r>
        <w:rPr>
          <w:spacing w:val="-10"/>
          <w:u w:val="none"/>
        </w:rPr>
        <w:t> </w:t>
      </w:r>
      <w:r>
        <w:rPr>
          <w:u w:val="none"/>
        </w:rPr>
        <w:t>which</w:t>
      </w:r>
      <w:r>
        <w:rPr>
          <w:spacing w:val="-9"/>
          <w:u w:val="none"/>
        </w:rPr>
        <w:t> </w:t>
      </w:r>
      <w:r>
        <w:rPr>
          <w:u w:val="none"/>
        </w:rPr>
        <w:t>would</w:t>
      </w:r>
      <w:r>
        <w:rPr>
          <w:spacing w:val="-10"/>
          <w:u w:val="none"/>
        </w:rPr>
        <w:t> </w:t>
      </w:r>
      <w:r>
        <w:rPr>
          <w:u w:val="none"/>
        </w:rPr>
        <w:t>require</w:t>
      </w:r>
      <w:r>
        <w:rPr>
          <w:spacing w:val="-10"/>
          <w:u w:val="none"/>
        </w:rPr>
        <w:t> </w:t>
      </w:r>
      <w:r>
        <w:rPr>
          <w:u w:val="none"/>
        </w:rPr>
        <w:t>DCF</w:t>
      </w:r>
      <w:r>
        <w:rPr>
          <w:spacing w:val="-10"/>
          <w:u w:val="none"/>
        </w:rPr>
        <w:t> </w:t>
      </w:r>
      <w:r>
        <w:rPr>
          <w:u w:val="none"/>
        </w:rPr>
        <w:t>to</w:t>
      </w:r>
      <w:r>
        <w:rPr>
          <w:spacing w:val="-8"/>
          <w:u w:val="none"/>
        </w:rPr>
        <w:t> </w:t>
      </w:r>
      <w:r>
        <w:rPr>
          <w:u w:val="none"/>
        </w:rPr>
        <w:t>present</w:t>
      </w:r>
      <w:r>
        <w:rPr>
          <w:spacing w:val="-11"/>
          <w:u w:val="none"/>
        </w:rPr>
        <w:t> </w:t>
      </w:r>
      <w:r>
        <w:rPr>
          <w:u w:val="none"/>
        </w:rPr>
        <w:t>a</w:t>
      </w:r>
      <w:r>
        <w:rPr>
          <w:spacing w:val="-9"/>
          <w:u w:val="none"/>
        </w:rPr>
        <w:t> </w:t>
      </w:r>
      <w:r>
        <w:rPr>
          <w:u w:val="none"/>
        </w:rPr>
        <w:t>copy</w:t>
      </w:r>
      <w:r>
        <w:rPr>
          <w:spacing w:val="-10"/>
          <w:u w:val="none"/>
        </w:rPr>
        <w:t> </w:t>
      </w:r>
      <w:r>
        <w:rPr>
          <w:u w:val="none"/>
        </w:rPr>
        <w:t>of</w:t>
      </w:r>
      <w:r>
        <w:rPr>
          <w:spacing w:val="-9"/>
          <w:u w:val="none"/>
        </w:rPr>
        <w:t> </w:t>
      </w:r>
      <w:r>
        <w:rPr>
          <w:u w:val="none"/>
        </w:rPr>
        <w:t>these</w:t>
      </w:r>
      <w:r>
        <w:rPr>
          <w:spacing w:val="-10"/>
          <w:u w:val="none"/>
        </w:rPr>
        <w:t> </w:t>
      </w:r>
      <w:r>
        <w:rPr>
          <w:u w:val="none"/>
        </w:rPr>
        <w:t>rights to youth, and their attorneys.</w:t>
      </w:r>
    </w:p>
    <w:p>
      <w:pPr>
        <w:numPr>
          <w:ilvl w:val="0"/>
          <w:numId w:val="15"/>
        </w:numPr>
        <w:tabs>
          <w:tab w:pos="461" w:val="left" w:leader="none"/>
          <w:tab w:pos="463" w:val="left" w:leader="none"/>
        </w:tabs>
        <w:spacing w:line="276" w:lineRule="auto" w:before="239"/>
        <w:ind w:left="463" w:right="284" w:hanging="360"/>
        <w:jc w:val="left"/>
        <w:rPr>
          <w:b/>
          <w:sz w:val="22"/>
        </w:rPr>
      </w:pPr>
      <w:bookmarkStart w:name="11. Improve Massachusetts child abuse la" w:id="94"/>
      <w:bookmarkEnd w:id="94"/>
      <w:r>
        <w:rPr/>
      </w:r>
      <w:r>
        <w:rPr>
          <w:b/>
          <w:sz w:val="22"/>
        </w:rPr>
        <w:t>Improve Massachusetts</w:t>
      </w:r>
      <w:r>
        <w:rPr>
          <w:b/>
          <w:spacing w:val="-1"/>
          <w:sz w:val="22"/>
        </w:rPr>
        <w:t> </w:t>
      </w:r>
      <w:r>
        <w:rPr>
          <w:b/>
          <w:sz w:val="22"/>
        </w:rPr>
        <w:t>child</w:t>
      </w:r>
      <w:r>
        <w:rPr>
          <w:b/>
          <w:spacing w:val="-1"/>
          <w:sz w:val="22"/>
        </w:rPr>
        <w:t> </w:t>
      </w:r>
      <w:r>
        <w:rPr>
          <w:b/>
          <w:sz w:val="22"/>
        </w:rPr>
        <w:t>abuse laws</w:t>
      </w:r>
      <w:r>
        <w:rPr>
          <w:b/>
          <w:spacing w:val="-1"/>
          <w:sz w:val="22"/>
        </w:rPr>
        <w:t> </w:t>
      </w:r>
      <w:r>
        <w:rPr>
          <w:b/>
          <w:sz w:val="22"/>
        </w:rPr>
        <w:t>to</w:t>
      </w:r>
      <w:r>
        <w:rPr>
          <w:b/>
          <w:spacing w:val="-1"/>
          <w:sz w:val="22"/>
        </w:rPr>
        <w:t> </w:t>
      </w:r>
      <w:r>
        <w:rPr>
          <w:b/>
          <w:sz w:val="22"/>
        </w:rPr>
        <w:t>explicitly include</w:t>
      </w:r>
      <w:r>
        <w:rPr>
          <w:b/>
          <w:spacing w:val="-1"/>
          <w:sz w:val="22"/>
        </w:rPr>
        <w:t> </w:t>
      </w:r>
      <w:r>
        <w:rPr>
          <w:b/>
          <w:sz w:val="22"/>
        </w:rPr>
        <w:t>the withholding of gender-affirming care for LGBTQ youth.</w:t>
      </w:r>
    </w:p>
    <w:p>
      <w:pPr>
        <w:pStyle w:val="BodyText"/>
        <w:spacing w:line="276" w:lineRule="auto" w:before="241"/>
        <w:ind w:left="463" w:right="283"/>
        <w:jc w:val="both"/>
      </w:pPr>
      <w:r>
        <w:rPr/>
        <w:t>With</w:t>
      </w:r>
      <w:r>
        <w:rPr>
          <w:spacing w:val="-13"/>
        </w:rPr>
        <w:t> </w:t>
      </w:r>
      <w:r>
        <w:rPr/>
        <w:t>the</w:t>
      </w:r>
      <w:r>
        <w:rPr>
          <w:spacing w:val="-12"/>
        </w:rPr>
        <w:t> </w:t>
      </w:r>
      <w:r>
        <w:rPr/>
        <w:t>significant</w:t>
      </w:r>
      <w:r>
        <w:rPr>
          <w:spacing w:val="-13"/>
        </w:rPr>
        <w:t> </w:t>
      </w:r>
      <w:r>
        <w:rPr/>
        <w:t>rise</w:t>
      </w:r>
      <w:r>
        <w:rPr>
          <w:spacing w:val="-12"/>
        </w:rPr>
        <w:t> </w:t>
      </w:r>
      <w:r>
        <w:rPr/>
        <w:t>in</w:t>
      </w:r>
      <w:r>
        <w:rPr>
          <w:spacing w:val="-13"/>
        </w:rPr>
        <w:t> </w:t>
      </w:r>
      <w:r>
        <w:rPr/>
        <w:t>public</w:t>
      </w:r>
      <w:r>
        <w:rPr>
          <w:spacing w:val="-12"/>
        </w:rPr>
        <w:t> </w:t>
      </w:r>
      <w:r>
        <w:rPr/>
        <w:t>transphobia</w:t>
      </w:r>
      <w:r>
        <w:rPr>
          <w:spacing w:val="-13"/>
        </w:rPr>
        <w:t> </w:t>
      </w:r>
      <w:r>
        <w:rPr/>
        <w:t>across</w:t>
      </w:r>
      <w:r>
        <w:rPr>
          <w:spacing w:val="-12"/>
        </w:rPr>
        <w:t> </w:t>
      </w:r>
      <w:r>
        <w:rPr/>
        <w:t>the</w:t>
      </w:r>
      <w:r>
        <w:rPr>
          <w:spacing w:val="-12"/>
        </w:rPr>
        <w:t> </w:t>
      </w:r>
      <w:r>
        <w:rPr/>
        <w:t>state,</w:t>
      </w:r>
      <w:r>
        <w:rPr>
          <w:spacing w:val="-13"/>
        </w:rPr>
        <w:t> </w:t>
      </w:r>
      <w:r>
        <w:rPr/>
        <w:t>the</w:t>
      </w:r>
      <w:r>
        <w:rPr>
          <w:spacing w:val="-12"/>
        </w:rPr>
        <w:t> </w:t>
      </w:r>
      <w:r>
        <w:rPr/>
        <w:t>Commission</w:t>
      </w:r>
      <w:r>
        <w:rPr>
          <w:spacing w:val="-13"/>
        </w:rPr>
        <w:t> </w:t>
      </w:r>
      <w:r>
        <w:rPr/>
        <w:t>has</w:t>
      </w:r>
      <w:r>
        <w:rPr>
          <w:spacing w:val="-12"/>
        </w:rPr>
        <w:t> </w:t>
      </w:r>
      <w:r>
        <w:rPr/>
        <w:t>serious</w:t>
      </w:r>
      <w:r>
        <w:rPr>
          <w:spacing w:val="-13"/>
        </w:rPr>
        <w:t> </w:t>
      </w:r>
      <w:r>
        <w:rPr/>
        <w:t>concerns</w:t>
      </w:r>
      <w:r>
        <w:rPr>
          <w:spacing w:val="-12"/>
        </w:rPr>
        <w:t> </w:t>
      </w:r>
      <w:r>
        <w:rPr/>
        <w:t>about the wellbeing of trans and gender expansive youth in the home, and advises that the state examine current laws around child abuse and welfare to ensure that the unique situations faced by LGBTQ youth are</w:t>
      </w:r>
      <w:r>
        <w:rPr>
          <w:spacing w:val="-5"/>
        </w:rPr>
        <w:t> </w:t>
      </w:r>
      <w:r>
        <w:rPr/>
        <w:t>being</w:t>
      </w:r>
      <w:r>
        <w:rPr>
          <w:spacing w:val="-4"/>
        </w:rPr>
        <w:t> </w:t>
      </w:r>
      <w:r>
        <w:rPr/>
        <w:t>addressed.</w:t>
      </w:r>
      <w:r>
        <w:rPr>
          <w:spacing w:val="-5"/>
        </w:rPr>
        <w:t> </w:t>
      </w:r>
      <w:r>
        <w:rPr/>
        <w:t>In</w:t>
      </w:r>
      <w:r>
        <w:rPr>
          <w:spacing w:val="-4"/>
        </w:rPr>
        <w:t> </w:t>
      </w:r>
      <w:r>
        <w:rPr/>
        <w:t>particular,</w:t>
      </w:r>
      <w:r>
        <w:rPr>
          <w:spacing w:val="-4"/>
        </w:rPr>
        <w:t> </w:t>
      </w:r>
      <w:r>
        <w:rPr/>
        <w:t>the</w:t>
      </w:r>
      <w:r>
        <w:rPr>
          <w:spacing w:val="-4"/>
        </w:rPr>
        <w:t> </w:t>
      </w:r>
      <w:r>
        <w:rPr/>
        <w:t>Commission</w:t>
      </w:r>
      <w:r>
        <w:rPr>
          <w:spacing w:val="-5"/>
        </w:rPr>
        <w:t> </w:t>
      </w:r>
      <w:r>
        <w:rPr/>
        <w:t>recommends</w:t>
      </w:r>
      <w:r>
        <w:rPr>
          <w:spacing w:val="-4"/>
        </w:rPr>
        <w:t> </w:t>
      </w:r>
      <w:r>
        <w:rPr/>
        <w:t>that</w:t>
      </w:r>
      <w:r>
        <w:rPr>
          <w:spacing w:val="-4"/>
        </w:rPr>
        <w:t> </w:t>
      </w:r>
      <w:r>
        <w:rPr/>
        <w:t>the</w:t>
      </w:r>
      <w:r>
        <w:rPr>
          <w:spacing w:val="-4"/>
        </w:rPr>
        <w:t> </w:t>
      </w:r>
      <w:r>
        <w:rPr/>
        <w:t>state</w:t>
      </w:r>
      <w:r>
        <w:rPr>
          <w:spacing w:val="-3"/>
        </w:rPr>
        <w:t> </w:t>
      </w:r>
      <w:r>
        <w:rPr/>
        <w:t>examine</w:t>
      </w:r>
      <w:r>
        <w:rPr>
          <w:spacing w:val="-3"/>
        </w:rPr>
        <w:t> </w:t>
      </w:r>
      <w:r>
        <w:rPr/>
        <w:t>the</w:t>
      </w:r>
      <w:r>
        <w:rPr>
          <w:spacing w:val="-4"/>
        </w:rPr>
        <w:t> </w:t>
      </w:r>
      <w:r>
        <w:rPr/>
        <w:t>possibility</w:t>
      </w:r>
      <w:r>
        <w:rPr>
          <w:spacing w:val="-5"/>
        </w:rPr>
        <w:t> </w:t>
      </w:r>
      <w:r>
        <w:rPr/>
        <w:t>of codifying gender-affirming child welfare protections in state law to better support youth and families.</w:t>
      </w:r>
    </w:p>
    <w:p>
      <w:pPr>
        <w:numPr>
          <w:ilvl w:val="0"/>
          <w:numId w:val="15"/>
        </w:numPr>
        <w:tabs>
          <w:tab w:pos="461" w:val="left" w:leader="none"/>
          <w:tab w:pos="463" w:val="left" w:leader="none"/>
        </w:tabs>
        <w:spacing w:line="276" w:lineRule="auto" w:before="240"/>
        <w:ind w:left="463" w:right="284" w:hanging="360"/>
        <w:jc w:val="left"/>
        <w:rPr>
          <w:b/>
          <w:sz w:val="22"/>
        </w:rPr>
      </w:pPr>
      <w:bookmarkStart w:name="12. Introduce the legislation needed to " w:id="95"/>
      <w:bookmarkEnd w:id="95"/>
      <w:r>
        <w:rPr/>
      </w:r>
      <w:r>
        <w:rPr>
          <w:b/>
          <w:sz w:val="22"/>
        </w:rPr>
        <w:t>Introduce</w:t>
      </w:r>
      <w:r>
        <w:rPr>
          <w:b/>
          <w:spacing w:val="38"/>
          <w:sz w:val="22"/>
        </w:rPr>
        <w:t> </w:t>
      </w:r>
      <w:r>
        <w:rPr>
          <w:b/>
          <w:sz w:val="22"/>
        </w:rPr>
        <w:t>the</w:t>
      </w:r>
      <w:r>
        <w:rPr>
          <w:b/>
          <w:spacing w:val="37"/>
          <w:sz w:val="22"/>
        </w:rPr>
        <w:t> </w:t>
      </w:r>
      <w:r>
        <w:rPr>
          <w:b/>
          <w:sz w:val="22"/>
        </w:rPr>
        <w:t>legislation</w:t>
      </w:r>
      <w:r>
        <w:rPr>
          <w:b/>
          <w:spacing w:val="38"/>
          <w:sz w:val="22"/>
        </w:rPr>
        <w:t> </w:t>
      </w:r>
      <w:r>
        <w:rPr>
          <w:b/>
          <w:sz w:val="22"/>
        </w:rPr>
        <w:t>needed</w:t>
      </w:r>
      <w:r>
        <w:rPr>
          <w:b/>
          <w:spacing w:val="38"/>
          <w:sz w:val="22"/>
        </w:rPr>
        <w:t> </w:t>
      </w:r>
      <w:r>
        <w:rPr>
          <w:b/>
          <w:sz w:val="22"/>
        </w:rPr>
        <w:t>to</w:t>
      </w:r>
      <w:r>
        <w:rPr>
          <w:b/>
          <w:spacing w:val="38"/>
          <w:sz w:val="22"/>
        </w:rPr>
        <w:t> </w:t>
      </w:r>
      <w:r>
        <w:rPr>
          <w:b/>
          <w:sz w:val="22"/>
        </w:rPr>
        <w:t>bring</w:t>
      </w:r>
      <w:r>
        <w:rPr>
          <w:b/>
          <w:spacing w:val="37"/>
          <w:sz w:val="22"/>
        </w:rPr>
        <w:t> </w:t>
      </w:r>
      <w:r>
        <w:rPr>
          <w:b/>
          <w:sz w:val="22"/>
        </w:rPr>
        <w:t>Massachusetts</w:t>
      </w:r>
      <w:r>
        <w:rPr>
          <w:b/>
          <w:spacing w:val="38"/>
          <w:sz w:val="22"/>
        </w:rPr>
        <w:t> </w:t>
      </w:r>
      <w:r>
        <w:rPr>
          <w:b/>
          <w:sz w:val="22"/>
        </w:rPr>
        <w:t>up</w:t>
      </w:r>
      <w:r>
        <w:rPr>
          <w:b/>
          <w:spacing w:val="38"/>
          <w:sz w:val="22"/>
        </w:rPr>
        <w:t> </w:t>
      </w:r>
      <w:r>
        <w:rPr>
          <w:b/>
          <w:sz w:val="22"/>
        </w:rPr>
        <w:t>to</w:t>
      </w:r>
      <w:r>
        <w:rPr>
          <w:b/>
          <w:spacing w:val="37"/>
          <w:sz w:val="22"/>
        </w:rPr>
        <w:t> </w:t>
      </w:r>
      <w:r>
        <w:rPr>
          <w:b/>
          <w:sz w:val="22"/>
        </w:rPr>
        <w:t>minimum</w:t>
      </w:r>
      <w:r>
        <w:rPr>
          <w:b/>
          <w:spacing w:val="39"/>
          <w:sz w:val="22"/>
        </w:rPr>
        <w:t> </w:t>
      </w:r>
      <w:r>
        <w:rPr>
          <w:b/>
          <w:sz w:val="22"/>
        </w:rPr>
        <w:t>standards</w:t>
      </w:r>
      <w:r>
        <w:rPr>
          <w:b/>
          <w:spacing w:val="38"/>
          <w:sz w:val="22"/>
        </w:rPr>
        <w:t> </w:t>
      </w:r>
      <w:r>
        <w:rPr>
          <w:b/>
          <w:sz w:val="22"/>
        </w:rPr>
        <w:t>of</w:t>
      </w:r>
      <w:r>
        <w:rPr>
          <w:b/>
          <w:spacing w:val="37"/>
          <w:sz w:val="22"/>
        </w:rPr>
        <w:t> </w:t>
      </w:r>
      <w:r>
        <w:rPr>
          <w:b/>
          <w:sz w:val="22"/>
        </w:rPr>
        <w:t>the</w:t>
      </w:r>
      <w:r>
        <w:rPr>
          <w:b/>
          <w:spacing w:val="37"/>
          <w:sz w:val="22"/>
        </w:rPr>
        <w:t> </w:t>
      </w:r>
      <w:r>
        <w:rPr>
          <w:b/>
          <w:sz w:val="22"/>
        </w:rPr>
        <w:t>United Nations Convention on the Rights of the Child.</w:t>
      </w:r>
    </w:p>
    <w:p>
      <w:pPr>
        <w:pStyle w:val="BodyText"/>
        <w:spacing w:line="276" w:lineRule="auto" w:before="240"/>
        <w:ind w:left="463" w:right="282"/>
        <w:jc w:val="both"/>
      </w:pPr>
      <w:r>
        <w:rPr/>
        <w:t>As discussed further below, the United States remains the only United Nations member state that has failed to ratify the most-ratified human rights treaty in world history: The United Nations Convention on the Rights of the Child (CRC). </w:t>
      </w:r>
      <w:hyperlink w:history="true" w:anchor="_bookmark10">
        <w:r>
          <w:rPr>
            <w:vertAlign w:val="superscript"/>
          </w:rPr>
          <w:t>1</w:t>
        </w:r>
      </w:hyperlink>
      <w:r>
        <w:rPr>
          <w:vertAlign w:val="baseline"/>
        </w:rPr>
        <w:t> In a 2022 Human Rights Watch evaluation of all 50 U.S. states, Massachusetts</w:t>
      </w:r>
      <w:r>
        <w:rPr>
          <w:spacing w:val="-6"/>
          <w:vertAlign w:val="baseline"/>
        </w:rPr>
        <w:t> </w:t>
      </w:r>
      <w:r>
        <w:rPr>
          <w:vertAlign w:val="baseline"/>
        </w:rPr>
        <w:t>-</w:t>
      </w:r>
      <w:r>
        <w:rPr>
          <w:spacing w:val="-7"/>
          <w:vertAlign w:val="baseline"/>
        </w:rPr>
        <w:t> </w:t>
      </w:r>
      <w:r>
        <w:rPr>
          <w:vertAlign w:val="baseline"/>
        </w:rPr>
        <w:t>like</w:t>
      </w:r>
      <w:r>
        <w:rPr>
          <w:spacing w:val="-7"/>
          <w:vertAlign w:val="baseline"/>
        </w:rPr>
        <w:t> </w:t>
      </w:r>
      <w:r>
        <w:rPr>
          <w:vertAlign w:val="baseline"/>
        </w:rPr>
        <w:t>most</w:t>
      </w:r>
      <w:r>
        <w:rPr>
          <w:spacing w:val="-6"/>
          <w:vertAlign w:val="baseline"/>
        </w:rPr>
        <w:t> </w:t>
      </w:r>
      <w:r>
        <w:rPr>
          <w:vertAlign w:val="baseline"/>
        </w:rPr>
        <w:t>other</w:t>
      </w:r>
      <w:r>
        <w:rPr>
          <w:spacing w:val="-6"/>
          <w:vertAlign w:val="baseline"/>
        </w:rPr>
        <w:t> </w:t>
      </w:r>
      <w:r>
        <w:rPr>
          <w:vertAlign w:val="baseline"/>
        </w:rPr>
        <w:t>states</w:t>
      </w:r>
      <w:r>
        <w:rPr>
          <w:spacing w:val="-6"/>
          <w:vertAlign w:val="baseline"/>
        </w:rPr>
        <w:t> </w:t>
      </w:r>
      <w:r>
        <w:rPr>
          <w:vertAlign w:val="baseline"/>
        </w:rPr>
        <w:t>-</w:t>
      </w:r>
      <w:r>
        <w:rPr>
          <w:spacing w:val="-6"/>
          <w:vertAlign w:val="baseline"/>
        </w:rPr>
        <w:t> </w:t>
      </w:r>
      <w:r>
        <w:rPr>
          <w:vertAlign w:val="baseline"/>
        </w:rPr>
        <w:t>earned</w:t>
      </w:r>
      <w:r>
        <w:rPr>
          <w:spacing w:val="-7"/>
          <w:vertAlign w:val="baseline"/>
        </w:rPr>
        <w:t> </w:t>
      </w:r>
      <w:r>
        <w:rPr>
          <w:vertAlign w:val="baseline"/>
        </w:rPr>
        <w:t>a</w:t>
      </w:r>
      <w:r>
        <w:rPr>
          <w:spacing w:val="-6"/>
          <w:vertAlign w:val="baseline"/>
        </w:rPr>
        <w:t> </w:t>
      </w:r>
      <w:r>
        <w:rPr>
          <w:vertAlign w:val="baseline"/>
        </w:rPr>
        <w:t>‘D’</w:t>
      </w:r>
      <w:r>
        <w:rPr>
          <w:spacing w:val="-6"/>
          <w:vertAlign w:val="baseline"/>
        </w:rPr>
        <w:t> </w:t>
      </w:r>
      <w:r>
        <w:rPr>
          <w:vertAlign w:val="baseline"/>
        </w:rPr>
        <w:t>in</w:t>
      </w:r>
      <w:r>
        <w:rPr>
          <w:spacing w:val="-7"/>
          <w:vertAlign w:val="baseline"/>
        </w:rPr>
        <w:t> </w:t>
      </w:r>
      <w:r>
        <w:rPr>
          <w:vertAlign w:val="baseline"/>
        </w:rPr>
        <w:t>its</w:t>
      </w:r>
      <w:r>
        <w:rPr>
          <w:spacing w:val="-6"/>
          <w:vertAlign w:val="baseline"/>
        </w:rPr>
        <w:t> </w:t>
      </w:r>
      <w:r>
        <w:rPr>
          <w:vertAlign w:val="baseline"/>
        </w:rPr>
        <w:t>protections</w:t>
      </w:r>
      <w:r>
        <w:rPr>
          <w:spacing w:val="-6"/>
          <w:vertAlign w:val="baseline"/>
        </w:rPr>
        <w:t> </w:t>
      </w:r>
      <w:r>
        <w:rPr>
          <w:vertAlign w:val="baseline"/>
        </w:rPr>
        <w:t>for</w:t>
      </w:r>
      <w:r>
        <w:rPr>
          <w:spacing w:val="-6"/>
          <w:vertAlign w:val="baseline"/>
        </w:rPr>
        <w:t> </w:t>
      </w:r>
      <w:r>
        <w:rPr>
          <w:vertAlign w:val="baseline"/>
        </w:rPr>
        <w:t>youth</w:t>
      </w:r>
      <w:r>
        <w:rPr>
          <w:spacing w:val="-7"/>
          <w:vertAlign w:val="baseline"/>
        </w:rPr>
        <w:t> </w:t>
      </w:r>
      <w:r>
        <w:rPr>
          <w:vertAlign w:val="baseline"/>
        </w:rPr>
        <w:t>in</w:t>
      </w:r>
      <w:r>
        <w:rPr>
          <w:spacing w:val="-7"/>
          <w:vertAlign w:val="baseline"/>
        </w:rPr>
        <w:t> </w:t>
      </w:r>
      <w:r>
        <w:rPr>
          <w:vertAlign w:val="baseline"/>
        </w:rPr>
        <w:t>the</w:t>
      </w:r>
      <w:r>
        <w:rPr>
          <w:spacing w:val="-7"/>
          <w:vertAlign w:val="baseline"/>
        </w:rPr>
        <w:t> </w:t>
      </w:r>
      <w:r>
        <w:rPr>
          <w:vertAlign w:val="baseline"/>
        </w:rPr>
        <w:t>Commonwealth.</w:t>
      </w:r>
      <w:r>
        <w:rPr>
          <w:spacing w:val="-7"/>
          <w:vertAlign w:val="baseline"/>
        </w:rPr>
        <w:t> </w:t>
      </w:r>
      <w:r>
        <w:rPr>
          <w:vertAlign w:val="baseline"/>
        </w:rPr>
        <w:t>In order to bring Massachusetts up to the minimum standards of the convention, the Commission recommends that the state abolish corporal punishment in all settings, including private schools, alternative care settings, and penal settings; and increase the minimum age of juvenile jurisdiction from 12 to 14.</w:t>
      </w:r>
    </w:p>
    <w:p>
      <w:pPr>
        <w:spacing w:after="0" w:line="276" w:lineRule="auto"/>
        <w:jc w:val="both"/>
        <w:sectPr>
          <w:pgSz w:w="12240" w:h="15840"/>
          <w:pgMar w:header="804" w:footer="1263" w:top="1000" w:bottom="1460" w:left="980" w:right="1160"/>
        </w:sectPr>
      </w:pPr>
    </w:p>
    <w:p>
      <w:pPr>
        <w:spacing w:before="138"/>
        <w:ind w:left="463" w:right="0" w:firstLine="0"/>
        <w:jc w:val="left"/>
        <w:rPr>
          <w:sz w:val="28"/>
        </w:rPr>
      </w:pPr>
      <w:bookmarkStart w:name="Research: Defining What it Means for You" w:id="96"/>
      <w:bookmarkEnd w:id="96"/>
      <w:r>
        <w:rPr/>
      </w:r>
      <w:r>
        <w:rPr>
          <w:color w:val="365F91"/>
          <w:sz w:val="28"/>
        </w:rPr>
        <w:t>Research:</w:t>
      </w:r>
      <w:r>
        <w:rPr>
          <w:color w:val="365F91"/>
          <w:spacing w:val="-7"/>
          <w:sz w:val="28"/>
        </w:rPr>
        <w:t> </w:t>
      </w:r>
      <w:r>
        <w:rPr>
          <w:color w:val="365F91"/>
          <w:sz w:val="28"/>
        </w:rPr>
        <w:t>Defining</w:t>
      </w:r>
      <w:r>
        <w:rPr>
          <w:color w:val="365F91"/>
          <w:spacing w:val="-7"/>
          <w:sz w:val="28"/>
        </w:rPr>
        <w:t> </w:t>
      </w:r>
      <w:r>
        <w:rPr>
          <w:color w:val="365F91"/>
          <w:sz w:val="28"/>
        </w:rPr>
        <w:t>What</w:t>
      </w:r>
      <w:r>
        <w:rPr>
          <w:color w:val="365F91"/>
          <w:spacing w:val="-8"/>
          <w:sz w:val="28"/>
        </w:rPr>
        <w:t> </w:t>
      </w:r>
      <w:r>
        <w:rPr>
          <w:color w:val="365F91"/>
          <w:sz w:val="28"/>
        </w:rPr>
        <w:t>it</w:t>
      </w:r>
      <w:r>
        <w:rPr>
          <w:color w:val="365F91"/>
          <w:spacing w:val="-8"/>
          <w:sz w:val="28"/>
        </w:rPr>
        <w:t> </w:t>
      </w:r>
      <w:r>
        <w:rPr>
          <w:color w:val="365F91"/>
          <w:sz w:val="28"/>
        </w:rPr>
        <w:t>Means</w:t>
      </w:r>
      <w:r>
        <w:rPr>
          <w:color w:val="365F91"/>
          <w:spacing w:val="-8"/>
          <w:sz w:val="28"/>
        </w:rPr>
        <w:t> </w:t>
      </w:r>
      <w:r>
        <w:rPr>
          <w:color w:val="365F91"/>
          <w:sz w:val="28"/>
        </w:rPr>
        <w:t>for</w:t>
      </w:r>
      <w:r>
        <w:rPr>
          <w:color w:val="365F91"/>
          <w:spacing w:val="-9"/>
          <w:sz w:val="28"/>
        </w:rPr>
        <w:t> </w:t>
      </w:r>
      <w:r>
        <w:rPr>
          <w:color w:val="365F91"/>
          <w:sz w:val="28"/>
        </w:rPr>
        <w:t>Youth</w:t>
      </w:r>
      <w:r>
        <w:rPr>
          <w:color w:val="365F91"/>
          <w:spacing w:val="-8"/>
          <w:sz w:val="28"/>
        </w:rPr>
        <w:t> </w:t>
      </w:r>
      <w:r>
        <w:rPr>
          <w:color w:val="365F91"/>
          <w:sz w:val="28"/>
        </w:rPr>
        <w:t>to</w:t>
      </w:r>
      <w:r>
        <w:rPr>
          <w:color w:val="365F91"/>
          <w:spacing w:val="-8"/>
          <w:sz w:val="28"/>
        </w:rPr>
        <w:t> </w:t>
      </w:r>
      <w:r>
        <w:rPr>
          <w:color w:val="365F91"/>
          <w:spacing w:val="-2"/>
          <w:sz w:val="28"/>
        </w:rPr>
        <w:t>Thrive</w:t>
      </w:r>
    </w:p>
    <w:p>
      <w:pPr>
        <w:pStyle w:val="BodyText"/>
        <w:spacing w:before="9"/>
        <w:rPr>
          <w:sz w:val="3"/>
        </w:rPr>
      </w:pPr>
      <w:r>
        <w:rPr/>
        <mc:AlternateContent>
          <mc:Choice Requires="wps">
            <w:drawing>
              <wp:anchor distT="0" distB="0" distL="0" distR="0" allowOverlap="1" layoutInCell="1" locked="0" behindDoc="1" simplePos="0" relativeHeight="487596544">
                <wp:simplePos x="0" y="0"/>
                <wp:positionH relativeFrom="page">
                  <wp:posOffset>897636</wp:posOffset>
                </wp:positionH>
                <wp:positionV relativeFrom="paragraph">
                  <wp:posOffset>44515</wp:posOffset>
                </wp:positionV>
                <wp:extent cx="5976620" cy="6350"/>
                <wp:effectExtent l="0" t="0" r="0" b="0"/>
                <wp:wrapTopAndBottom/>
                <wp:docPr id="82" name="Graphic 82"/>
                <wp:cNvGraphicFramePr>
                  <a:graphicFrameLocks/>
                </wp:cNvGraphicFramePr>
                <a:graphic>
                  <a:graphicData uri="http://schemas.microsoft.com/office/word/2010/wordprocessingShape">
                    <wps:wsp>
                      <wps:cNvPr id="82" name="Graphic 82"/>
                      <wps:cNvSpPr/>
                      <wps:spPr>
                        <a:xfrm>
                          <a:off x="0" y="0"/>
                          <a:ext cx="5976620" cy="6350"/>
                        </a:xfrm>
                        <a:custGeom>
                          <a:avLst/>
                          <a:gdLst/>
                          <a:ahLst/>
                          <a:cxnLst/>
                          <a:rect l="l" t="t" r="r" b="b"/>
                          <a:pathLst>
                            <a:path w="5976620" h="6350">
                              <a:moveTo>
                                <a:pt x="5976366" y="0"/>
                              </a:moveTo>
                              <a:lnTo>
                                <a:pt x="0" y="0"/>
                              </a:lnTo>
                              <a:lnTo>
                                <a:pt x="0" y="6096"/>
                              </a:lnTo>
                              <a:lnTo>
                                <a:pt x="5976366" y="6096"/>
                              </a:lnTo>
                              <a:lnTo>
                                <a:pt x="5976366" y="0"/>
                              </a:lnTo>
                              <a:close/>
                            </a:path>
                          </a:pathLst>
                        </a:custGeom>
                        <a:solidFill>
                          <a:srgbClr val="4F81BC"/>
                        </a:solidFill>
                      </wps:spPr>
                      <wps:bodyPr wrap="square" lIns="0" tIns="0" rIns="0" bIns="0" rtlCol="0">
                        <a:prstTxWarp prst="textNoShape">
                          <a:avLst/>
                        </a:prstTxWarp>
                        <a:noAutofit/>
                      </wps:bodyPr>
                    </wps:wsp>
                  </a:graphicData>
                </a:graphic>
              </wp:anchor>
            </w:drawing>
          </mc:Choice>
          <mc:Fallback>
            <w:pict>
              <v:rect style="position:absolute;margin-left:70.680pt;margin-top:3.505156pt;width:470.58pt;height:.48pt;mso-position-horizontal-relative:page;mso-position-vertical-relative:paragraph;z-index:-15719936;mso-wrap-distance-left:0;mso-wrap-distance-right:0" id="docshape66" filled="true" fillcolor="#4f81bc" stroked="false">
                <v:fill type="solid"/>
                <w10:wrap type="topAndBottom"/>
              </v:rect>
            </w:pict>
          </mc:Fallback>
        </mc:AlternateContent>
      </w:r>
    </w:p>
    <w:p>
      <w:pPr>
        <w:pStyle w:val="BodyText"/>
        <w:spacing w:line="276" w:lineRule="auto" w:before="241"/>
        <w:ind w:left="463" w:right="281"/>
        <w:jc w:val="both"/>
      </w:pPr>
      <w:r>
        <w:rPr/>
        <w:t>The development of effective policies to support LGBTQ young people begins with an understanding of the</w:t>
      </w:r>
      <w:r>
        <w:rPr>
          <w:spacing w:val="-6"/>
        </w:rPr>
        <w:t> </w:t>
      </w:r>
      <w:r>
        <w:rPr/>
        <w:t>youth</w:t>
      </w:r>
      <w:r>
        <w:rPr>
          <w:spacing w:val="-7"/>
        </w:rPr>
        <w:t> </w:t>
      </w:r>
      <w:r>
        <w:rPr/>
        <w:t>themselves.</w:t>
      </w:r>
      <w:r>
        <w:rPr>
          <w:spacing w:val="-8"/>
        </w:rPr>
        <w:t> </w:t>
      </w:r>
      <w:r>
        <w:rPr/>
        <w:t>For</w:t>
      </w:r>
      <w:r>
        <w:rPr>
          <w:spacing w:val="-5"/>
        </w:rPr>
        <w:t> </w:t>
      </w:r>
      <w:r>
        <w:rPr/>
        <w:t>many,</w:t>
      </w:r>
      <w:r>
        <w:rPr>
          <w:spacing w:val="-7"/>
        </w:rPr>
        <w:t> </w:t>
      </w:r>
      <w:r>
        <w:rPr/>
        <w:t>their</w:t>
      </w:r>
      <w:r>
        <w:rPr>
          <w:spacing w:val="-6"/>
        </w:rPr>
        <w:t> </w:t>
      </w:r>
      <w:r>
        <w:rPr/>
        <w:t>lived</w:t>
      </w:r>
      <w:r>
        <w:rPr>
          <w:spacing w:val="-8"/>
        </w:rPr>
        <w:t> </w:t>
      </w:r>
      <w:r>
        <w:rPr/>
        <w:t>reality</w:t>
      </w:r>
      <w:r>
        <w:rPr>
          <w:spacing w:val="-6"/>
        </w:rPr>
        <w:t> </w:t>
      </w:r>
      <w:r>
        <w:rPr/>
        <w:t>involves</w:t>
      </w:r>
      <w:r>
        <w:rPr>
          <w:spacing w:val="-7"/>
        </w:rPr>
        <w:t> </w:t>
      </w:r>
      <w:r>
        <w:rPr/>
        <w:t>intersectionality—multiple</w:t>
      </w:r>
      <w:r>
        <w:rPr>
          <w:spacing w:val="-6"/>
        </w:rPr>
        <w:t> </w:t>
      </w:r>
      <w:r>
        <w:rPr/>
        <w:t>layers</w:t>
      </w:r>
      <w:r>
        <w:rPr>
          <w:spacing w:val="-7"/>
        </w:rPr>
        <w:t> </w:t>
      </w:r>
      <w:r>
        <w:rPr/>
        <w:t>of</w:t>
      </w:r>
      <w:r>
        <w:rPr>
          <w:spacing w:val="-7"/>
        </w:rPr>
        <w:t> </w:t>
      </w:r>
      <w:r>
        <w:rPr/>
        <w:t>identity</w:t>
      </w:r>
      <w:hyperlink w:history="true" w:anchor="_bookmark17">
        <w:r>
          <w:rPr/>
          <w:t>.</w:t>
        </w:r>
        <w:r>
          <w:rPr>
            <w:vertAlign w:val="superscript"/>
          </w:rPr>
          <w:t>9</w:t>
        </w:r>
      </w:hyperlink>
      <w:r>
        <w:rPr>
          <w:vertAlign w:val="baseline"/>
        </w:rPr>
        <w:t> An LGBTQ young person, already a member of a vulnerable group, may belong to multiple groups, including racial, ethnic, linguistic, religious, cognitive, and ability-related minorities. Many of the Commonwealth’s LGBTQ young people identify with multiple groups, and this intersectionality hold significant implications, both for opportunity and for oppression. Diversity merits positive recognition as a</w:t>
      </w:r>
      <w:r>
        <w:rPr>
          <w:spacing w:val="-5"/>
          <w:vertAlign w:val="baseline"/>
        </w:rPr>
        <w:t> </w:t>
      </w:r>
      <w:r>
        <w:rPr>
          <w:vertAlign w:val="baseline"/>
        </w:rPr>
        <w:t>source</w:t>
      </w:r>
      <w:r>
        <w:rPr>
          <w:spacing w:val="-6"/>
          <w:vertAlign w:val="baseline"/>
        </w:rPr>
        <w:t> </w:t>
      </w:r>
      <w:r>
        <w:rPr>
          <w:vertAlign w:val="baseline"/>
        </w:rPr>
        <w:t>of</w:t>
      </w:r>
      <w:r>
        <w:rPr>
          <w:spacing w:val="-5"/>
          <w:vertAlign w:val="baseline"/>
        </w:rPr>
        <w:t> </w:t>
      </w:r>
      <w:r>
        <w:rPr>
          <w:vertAlign w:val="baseline"/>
        </w:rPr>
        <w:t>strength</w:t>
      </w:r>
      <w:r>
        <w:rPr>
          <w:spacing w:val="-4"/>
          <w:vertAlign w:val="baseline"/>
        </w:rPr>
        <w:t> </w:t>
      </w:r>
      <w:r>
        <w:rPr>
          <w:vertAlign w:val="baseline"/>
        </w:rPr>
        <w:t>for</w:t>
      </w:r>
      <w:r>
        <w:rPr>
          <w:spacing w:val="-5"/>
          <w:vertAlign w:val="baseline"/>
        </w:rPr>
        <w:t> </w:t>
      </w:r>
      <w:r>
        <w:rPr>
          <w:vertAlign w:val="baseline"/>
        </w:rPr>
        <w:t>our</w:t>
      </w:r>
      <w:r>
        <w:rPr>
          <w:spacing w:val="-5"/>
          <w:vertAlign w:val="baseline"/>
        </w:rPr>
        <w:t> </w:t>
      </w:r>
      <w:r>
        <w:rPr>
          <w:vertAlign w:val="baseline"/>
        </w:rPr>
        <w:t>society.</w:t>
      </w:r>
      <w:r>
        <w:rPr>
          <w:spacing w:val="-4"/>
          <w:vertAlign w:val="baseline"/>
        </w:rPr>
        <w:t> </w:t>
      </w:r>
      <w:r>
        <w:rPr>
          <w:vertAlign w:val="baseline"/>
        </w:rPr>
        <w:t>However,</w:t>
      </w:r>
      <w:r>
        <w:rPr>
          <w:spacing w:val="-5"/>
          <w:vertAlign w:val="baseline"/>
        </w:rPr>
        <w:t> </w:t>
      </w:r>
      <w:r>
        <w:rPr>
          <w:vertAlign w:val="baseline"/>
        </w:rPr>
        <w:t>as</w:t>
      </w:r>
      <w:r>
        <w:rPr>
          <w:spacing w:val="-5"/>
          <w:vertAlign w:val="baseline"/>
        </w:rPr>
        <w:t> </w:t>
      </w:r>
      <w:r>
        <w:rPr>
          <w:vertAlign w:val="baseline"/>
        </w:rPr>
        <w:t>detailed</w:t>
      </w:r>
      <w:r>
        <w:rPr>
          <w:spacing w:val="-6"/>
          <w:vertAlign w:val="baseline"/>
        </w:rPr>
        <w:t> </w:t>
      </w:r>
      <w:r>
        <w:rPr>
          <w:vertAlign w:val="baseline"/>
        </w:rPr>
        <w:t>further</w:t>
      </w:r>
      <w:r>
        <w:rPr>
          <w:spacing w:val="-5"/>
          <w:vertAlign w:val="baseline"/>
        </w:rPr>
        <w:t> </w:t>
      </w:r>
      <w:r>
        <w:rPr>
          <w:vertAlign w:val="baseline"/>
        </w:rPr>
        <w:t>in</w:t>
      </w:r>
      <w:r>
        <w:rPr>
          <w:spacing w:val="-6"/>
          <w:vertAlign w:val="baseline"/>
        </w:rPr>
        <w:t> </w:t>
      </w:r>
      <w:r>
        <w:rPr>
          <w:vertAlign w:val="baseline"/>
        </w:rPr>
        <w:t>several</w:t>
      </w:r>
      <w:r>
        <w:rPr>
          <w:spacing w:val="-6"/>
          <w:vertAlign w:val="baseline"/>
        </w:rPr>
        <w:t> </w:t>
      </w:r>
      <w:r>
        <w:rPr>
          <w:vertAlign w:val="baseline"/>
        </w:rPr>
        <w:t>of</w:t>
      </w:r>
      <w:r>
        <w:rPr>
          <w:spacing w:val="-5"/>
          <w:vertAlign w:val="baseline"/>
        </w:rPr>
        <w:t> </w:t>
      </w:r>
      <w:r>
        <w:rPr>
          <w:vertAlign w:val="baseline"/>
        </w:rPr>
        <w:t>the</w:t>
      </w:r>
      <w:r>
        <w:rPr>
          <w:spacing w:val="-6"/>
          <w:vertAlign w:val="baseline"/>
        </w:rPr>
        <w:t> </w:t>
      </w:r>
      <w:r>
        <w:rPr>
          <w:vertAlign w:val="baseline"/>
        </w:rPr>
        <w:t>subsequent</w:t>
      </w:r>
      <w:r>
        <w:rPr>
          <w:spacing w:val="-6"/>
          <w:vertAlign w:val="baseline"/>
        </w:rPr>
        <w:t> </w:t>
      </w:r>
      <w:r>
        <w:rPr>
          <w:vertAlign w:val="baseline"/>
        </w:rPr>
        <w:t>sections</w:t>
      </w:r>
      <w:r>
        <w:rPr>
          <w:spacing w:val="-5"/>
          <w:vertAlign w:val="baseline"/>
        </w:rPr>
        <w:t> </w:t>
      </w:r>
      <w:r>
        <w:rPr>
          <w:vertAlign w:val="baseline"/>
        </w:rPr>
        <w:t>of the Commission’s report, the harsh realities of minority stress experienced by LGBTQ youth</w:t>
      </w:r>
      <w:hyperlink w:history="true" w:anchor="_bookmark18">
        <w:r>
          <w:rPr>
            <w:vertAlign w:val="superscript"/>
          </w:rPr>
          <w:t>10</w:t>
        </w:r>
      </w:hyperlink>
      <w:r>
        <w:rPr>
          <w:vertAlign w:val="baseline"/>
        </w:rPr>
        <w:t> can be compounded when youth identify with additional minority groups. A recent report from The Trevor Project illustrates this challenge,</w:t>
      </w:r>
    </w:p>
    <w:p>
      <w:pPr>
        <w:pStyle w:val="BodyText"/>
        <w:spacing w:line="276" w:lineRule="auto" w:before="241"/>
        <w:ind w:left="463" w:right="283" w:firstLine="2"/>
        <w:jc w:val="both"/>
      </w:pPr>
      <w:r>
        <w:rPr>
          <w:color w:val="4F81BB"/>
        </w:rPr>
        <w:t>“LGBTQ</w:t>
      </w:r>
      <w:r>
        <w:rPr>
          <w:color w:val="4F81BB"/>
          <w:spacing w:val="-7"/>
        </w:rPr>
        <w:t> </w:t>
      </w:r>
      <w:r>
        <w:rPr>
          <w:color w:val="4F81BB"/>
        </w:rPr>
        <w:t>youth</w:t>
      </w:r>
      <w:r>
        <w:rPr>
          <w:color w:val="4F81BB"/>
          <w:spacing w:val="-8"/>
        </w:rPr>
        <w:t> </w:t>
      </w:r>
      <w:r>
        <w:rPr>
          <w:color w:val="4F81BB"/>
        </w:rPr>
        <w:t>of</w:t>
      </w:r>
      <w:r>
        <w:rPr>
          <w:color w:val="4F81BB"/>
          <w:spacing w:val="-6"/>
        </w:rPr>
        <w:t> </w:t>
      </w:r>
      <w:r>
        <w:rPr>
          <w:color w:val="4F81BB"/>
        </w:rPr>
        <w:t>color</w:t>
      </w:r>
      <w:r>
        <w:rPr>
          <w:color w:val="4F81BB"/>
          <w:spacing w:val="-6"/>
        </w:rPr>
        <w:t> </w:t>
      </w:r>
      <w:r>
        <w:rPr>
          <w:color w:val="4F81BB"/>
        </w:rPr>
        <w:t>may</w:t>
      </w:r>
      <w:r>
        <w:rPr>
          <w:color w:val="4F81BB"/>
          <w:spacing w:val="-6"/>
        </w:rPr>
        <w:t> </w:t>
      </w:r>
      <w:r>
        <w:rPr>
          <w:color w:val="4F81BB"/>
        </w:rPr>
        <w:t>have</w:t>
      </w:r>
      <w:r>
        <w:rPr>
          <w:color w:val="4F81BB"/>
          <w:spacing w:val="-8"/>
        </w:rPr>
        <w:t> </w:t>
      </w:r>
      <w:r>
        <w:rPr>
          <w:color w:val="4F81BB"/>
        </w:rPr>
        <w:t>parents</w:t>
      </w:r>
      <w:r>
        <w:rPr>
          <w:color w:val="4F81BB"/>
          <w:spacing w:val="-7"/>
        </w:rPr>
        <w:t> </w:t>
      </w:r>
      <w:r>
        <w:rPr>
          <w:color w:val="4F81BB"/>
        </w:rPr>
        <w:t>or</w:t>
      </w:r>
      <w:r>
        <w:rPr>
          <w:color w:val="4F81BB"/>
          <w:spacing w:val="-6"/>
        </w:rPr>
        <w:t> </w:t>
      </w:r>
      <w:r>
        <w:rPr>
          <w:color w:val="4F81BB"/>
        </w:rPr>
        <w:t>caregivers</w:t>
      </w:r>
      <w:r>
        <w:rPr>
          <w:color w:val="4F81BB"/>
          <w:spacing w:val="-6"/>
        </w:rPr>
        <w:t> </w:t>
      </w:r>
      <w:r>
        <w:rPr>
          <w:color w:val="4F81BB"/>
        </w:rPr>
        <w:t>who</w:t>
      </w:r>
      <w:r>
        <w:rPr>
          <w:color w:val="4F81BB"/>
          <w:spacing w:val="-7"/>
        </w:rPr>
        <w:t> </w:t>
      </w:r>
      <w:r>
        <w:rPr>
          <w:color w:val="4F81BB"/>
        </w:rPr>
        <w:t>have</w:t>
      </w:r>
      <w:r>
        <w:rPr>
          <w:color w:val="4F81BB"/>
          <w:spacing w:val="-7"/>
        </w:rPr>
        <w:t> </w:t>
      </w:r>
      <w:r>
        <w:rPr>
          <w:color w:val="4F81BB"/>
        </w:rPr>
        <w:t>concerns</w:t>
      </w:r>
      <w:r>
        <w:rPr>
          <w:color w:val="4F81BB"/>
          <w:spacing w:val="-6"/>
        </w:rPr>
        <w:t> </w:t>
      </w:r>
      <w:r>
        <w:rPr>
          <w:color w:val="4F81BB"/>
        </w:rPr>
        <w:t>about</w:t>
      </w:r>
      <w:r>
        <w:rPr>
          <w:color w:val="4F81BB"/>
          <w:spacing w:val="-7"/>
        </w:rPr>
        <w:t> </w:t>
      </w:r>
      <w:r>
        <w:rPr>
          <w:color w:val="4F81BB"/>
        </w:rPr>
        <w:t>their</w:t>
      </w:r>
      <w:r>
        <w:rPr>
          <w:color w:val="4F81BB"/>
          <w:spacing w:val="-5"/>
        </w:rPr>
        <w:t> </w:t>
      </w:r>
      <w:r>
        <w:rPr>
          <w:color w:val="4F81BB"/>
        </w:rPr>
        <w:t>child</w:t>
      </w:r>
      <w:r>
        <w:rPr>
          <w:color w:val="4F81BB"/>
          <w:spacing w:val="-8"/>
        </w:rPr>
        <w:t> </w:t>
      </w:r>
      <w:r>
        <w:rPr>
          <w:color w:val="4F81BB"/>
        </w:rPr>
        <w:t>facing</w:t>
      </w:r>
      <w:r>
        <w:rPr>
          <w:color w:val="4F81BB"/>
          <w:spacing w:val="-7"/>
        </w:rPr>
        <w:t> </w:t>
      </w:r>
      <w:r>
        <w:rPr>
          <w:color w:val="4F81BB"/>
        </w:rPr>
        <w:t>further discrimination and victimization on top of their racial/ethnic identity, and may feel that withholding support for their sexual orientation is in the best interest of their safety.”</w:t>
      </w:r>
      <w:hyperlink w:history="true" w:anchor="_bookmark19">
        <w:r>
          <w:rPr>
            <w:color w:val="4F81BB"/>
            <w:vertAlign w:val="superscript"/>
          </w:rPr>
          <w:t>11</w:t>
        </w:r>
      </w:hyperlink>
    </w:p>
    <w:p>
      <w:pPr>
        <w:pStyle w:val="BodyText"/>
        <w:spacing w:line="276" w:lineRule="auto" w:before="240"/>
        <w:ind w:left="463" w:right="281"/>
        <w:jc w:val="both"/>
      </w:pPr>
      <w:r>
        <w:rPr/>
        <w:t>Leaders</w:t>
      </w:r>
      <w:r>
        <w:rPr>
          <w:spacing w:val="-1"/>
        </w:rPr>
        <w:t> </w:t>
      </w:r>
      <w:r>
        <w:rPr/>
        <w:t>are called</w:t>
      </w:r>
      <w:r>
        <w:rPr>
          <w:spacing w:val="-1"/>
        </w:rPr>
        <w:t> </w:t>
      </w:r>
      <w:r>
        <w:rPr/>
        <w:t>to</w:t>
      </w:r>
      <w:r>
        <w:rPr>
          <w:spacing w:val="-1"/>
        </w:rPr>
        <w:t> </w:t>
      </w:r>
      <w:r>
        <w:rPr/>
        <w:t>recognize the complexities</w:t>
      </w:r>
      <w:r>
        <w:rPr>
          <w:spacing w:val="-1"/>
        </w:rPr>
        <w:t> </w:t>
      </w:r>
      <w:r>
        <w:rPr/>
        <w:t>of identity as they consider effective, culturally</w:t>
      </w:r>
      <w:r>
        <w:rPr>
          <w:spacing w:val="-2"/>
        </w:rPr>
        <w:t> </w:t>
      </w:r>
      <w:r>
        <w:rPr/>
        <w:t>relevant policies. Specifically, throughout this report, we seek to illuminate the underserved needs of QTBIPOC (Queer, Trans, Black, Indigenous People of Color</w:t>
      </w:r>
      <w:r>
        <w:rPr>
          <w:color w:val="6E2E9F"/>
        </w:rPr>
        <w:t>) </w:t>
      </w:r>
      <w:r>
        <w:rPr/>
        <w:t>youth in the Commonwealth. Further, we believe that to truly serve all youth implies that the voices and realities of young people themselves must inform the decisions made in their names.</w:t>
      </w:r>
    </w:p>
    <w:p>
      <w:pPr>
        <w:pStyle w:val="BodyText"/>
        <w:spacing w:line="276" w:lineRule="auto" w:before="240"/>
        <w:ind w:left="463" w:right="281"/>
        <w:jc w:val="both"/>
      </w:pPr>
      <w:r>
        <w:rPr/>
        <w:t>Though</w:t>
      </w:r>
      <w:r>
        <w:rPr>
          <w:spacing w:val="-4"/>
        </w:rPr>
        <w:t> </w:t>
      </w:r>
      <w:r>
        <w:rPr/>
        <w:t>at</w:t>
      </w:r>
      <w:r>
        <w:rPr>
          <w:spacing w:val="-4"/>
        </w:rPr>
        <w:t> </w:t>
      </w:r>
      <w:r>
        <w:rPr/>
        <w:t>first</w:t>
      </w:r>
      <w:r>
        <w:rPr>
          <w:spacing w:val="-5"/>
        </w:rPr>
        <w:t> </w:t>
      </w:r>
      <w:r>
        <w:rPr/>
        <w:t>glance,</w:t>
      </w:r>
      <w:r>
        <w:rPr>
          <w:spacing w:val="-4"/>
        </w:rPr>
        <w:t> </w:t>
      </w:r>
      <w:r>
        <w:rPr/>
        <w:t>an</w:t>
      </w:r>
      <w:r>
        <w:rPr>
          <w:spacing w:val="-3"/>
        </w:rPr>
        <w:t> </w:t>
      </w:r>
      <w:r>
        <w:rPr/>
        <w:t>understanding</w:t>
      </w:r>
      <w:r>
        <w:rPr>
          <w:spacing w:val="-5"/>
        </w:rPr>
        <w:t> </w:t>
      </w:r>
      <w:r>
        <w:rPr/>
        <w:t>of</w:t>
      </w:r>
      <w:r>
        <w:rPr>
          <w:spacing w:val="-4"/>
        </w:rPr>
        <w:t> </w:t>
      </w:r>
      <w:r>
        <w:rPr/>
        <w:t>well-being</w:t>
      </w:r>
      <w:r>
        <w:rPr>
          <w:spacing w:val="-4"/>
        </w:rPr>
        <w:t> </w:t>
      </w:r>
      <w:r>
        <w:rPr/>
        <w:t>may</w:t>
      </w:r>
      <w:r>
        <w:rPr>
          <w:spacing w:val="-5"/>
        </w:rPr>
        <w:t> </w:t>
      </w:r>
      <w:r>
        <w:rPr/>
        <w:t>seem</w:t>
      </w:r>
      <w:r>
        <w:rPr>
          <w:spacing w:val="-4"/>
        </w:rPr>
        <w:t> </w:t>
      </w:r>
      <w:r>
        <w:rPr/>
        <w:t>self-evident,</w:t>
      </w:r>
      <w:r>
        <w:rPr>
          <w:spacing w:val="-5"/>
        </w:rPr>
        <w:t> </w:t>
      </w:r>
      <w:r>
        <w:rPr/>
        <w:t>some</w:t>
      </w:r>
      <w:r>
        <w:rPr>
          <w:spacing w:val="-5"/>
        </w:rPr>
        <w:t> </w:t>
      </w:r>
      <w:r>
        <w:rPr/>
        <w:t>analysts</w:t>
      </w:r>
      <w:r>
        <w:rPr>
          <w:spacing w:val="-2"/>
        </w:rPr>
        <w:t> </w:t>
      </w:r>
      <w:r>
        <w:rPr/>
        <w:t>believe</w:t>
      </w:r>
      <w:r>
        <w:rPr>
          <w:spacing w:val="-4"/>
        </w:rPr>
        <w:t> </w:t>
      </w:r>
      <w:r>
        <w:rPr/>
        <w:t>that a lack of consensus on</w:t>
      </w:r>
      <w:r>
        <w:rPr>
          <w:spacing w:val="-1"/>
        </w:rPr>
        <w:t> </w:t>
      </w:r>
      <w:r>
        <w:rPr/>
        <w:t>what</w:t>
      </w:r>
      <w:r>
        <w:rPr>
          <w:spacing w:val="-1"/>
        </w:rPr>
        <w:t> </w:t>
      </w:r>
      <w:r>
        <w:rPr/>
        <w:t>children</w:t>
      </w:r>
      <w:r>
        <w:rPr>
          <w:spacing w:val="-1"/>
        </w:rPr>
        <w:t> </w:t>
      </w:r>
      <w:r>
        <w:rPr/>
        <w:t>and</w:t>
      </w:r>
      <w:r>
        <w:rPr>
          <w:spacing w:val="-1"/>
        </w:rPr>
        <w:t> </w:t>
      </w:r>
      <w:r>
        <w:rPr/>
        <w:t>youth</w:t>
      </w:r>
      <w:r>
        <w:rPr>
          <w:spacing w:val="-1"/>
        </w:rPr>
        <w:t> </w:t>
      </w:r>
      <w:r>
        <w:rPr/>
        <w:t>actually need</w:t>
      </w:r>
      <w:r>
        <w:rPr>
          <w:spacing w:val="-1"/>
        </w:rPr>
        <w:t> </w:t>
      </w:r>
      <w:r>
        <w:rPr/>
        <w:t>to thrive</w:t>
      </w:r>
      <w:r>
        <w:rPr>
          <w:spacing w:val="-1"/>
        </w:rPr>
        <w:t> </w:t>
      </w:r>
      <w:r>
        <w:rPr/>
        <w:t>is hampering the United States in the development of children’s rights policies</w:t>
      </w:r>
      <w:hyperlink w:history="true" w:anchor="_bookmark34">
        <w:r>
          <w:rPr/>
          <w:t>.</w:t>
        </w:r>
        <w:r>
          <w:rPr>
            <w:vertAlign w:val="superscript"/>
          </w:rPr>
          <w:t>10</w:t>
        </w:r>
      </w:hyperlink>
      <w:r>
        <w:rPr>
          <w:vertAlign w:val="baseline"/>
        </w:rPr>
        <w:t> Child development experts worldwide, however, do concur that a holistic view of well-being for children and youth involves physical, medical, social, emotional, psychological, moral, and educational dimensions, which necessarily involve environmental, cultural, and artistic components</w:t>
      </w:r>
      <w:hyperlink w:history="true" w:anchor="_bookmark35">
        <w:r>
          <w:rPr>
            <w:vertAlign w:val="baseline"/>
          </w:rPr>
          <w:t>.</w:t>
        </w:r>
        <w:r>
          <w:rPr>
            <w:vertAlign w:val="superscript"/>
          </w:rPr>
          <w:t>11</w:t>
        </w:r>
      </w:hyperlink>
      <w:r>
        <w:rPr>
          <w:vertAlign w:val="baseline"/>
        </w:rPr>
        <w:t> Dimensions of well-being promote thriving youth and thriving youth see</w:t>
      </w:r>
      <w:r>
        <w:rPr>
          <w:spacing w:val="-2"/>
          <w:vertAlign w:val="baseline"/>
        </w:rPr>
        <w:t> </w:t>
      </w:r>
      <w:r>
        <w:rPr>
          <w:vertAlign w:val="baseline"/>
        </w:rPr>
        <w:t>hopeful</w:t>
      </w:r>
      <w:r>
        <w:rPr>
          <w:spacing w:val="-2"/>
          <w:vertAlign w:val="baseline"/>
        </w:rPr>
        <w:t> </w:t>
      </w:r>
      <w:r>
        <w:rPr>
          <w:vertAlign w:val="baseline"/>
        </w:rPr>
        <w:t>futures</w:t>
      </w:r>
      <w:r>
        <w:rPr>
          <w:spacing w:val="-1"/>
          <w:vertAlign w:val="baseline"/>
        </w:rPr>
        <w:t> </w:t>
      </w:r>
      <w:r>
        <w:rPr>
          <w:vertAlign w:val="baseline"/>
        </w:rPr>
        <w:t>for themselves</w:t>
      </w:r>
      <w:r>
        <w:rPr>
          <w:spacing w:val="-1"/>
          <w:vertAlign w:val="baseline"/>
        </w:rPr>
        <w:t> </w:t>
      </w:r>
      <w:r>
        <w:rPr>
          <w:vertAlign w:val="baseline"/>
        </w:rPr>
        <w:t>as</w:t>
      </w:r>
      <w:r>
        <w:rPr>
          <w:spacing w:val="-1"/>
          <w:vertAlign w:val="baseline"/>
        </w:rPr>
        <w:t> </w:t>
      </w:r>
      <w:r>
        <w:rPr>
          <w:vertAlign w:val="baseline"/>
        </w:rPr>
        <w:t>adults.</w:t>
      </w:r>
      <w:r>
        <w:rPr>
          <w:spacing w:val="-1"/>
          <w:vertAlign w:val="baseline"/>
        </w:rPr>
        <w:t> </w:t>
      </w:r>
      <w:r>
        <w:rPr>
          <w:vertAlign w:val="baseline"/>
        </w:rPr>
        <w:t>Later sections of</w:t>
      </w:r>
      <w:r>
        <w:rPr>
          <w:spacing w:val="-2"/>
          <w:vertAlign w:val="baseline"/>
        </w:rPr>
        <w:t> </w:t>
      </w:r>
      <w:r>
        <w:rPr>
          <w:vertAlign w:val="baseline"/>
        </w:rPr>
        <w:t>this</w:t>
      </w:r>
      <w:r>
        <w:rPr>
          <w:spacing w:val="-1"/>
          <w:vertAlign w:val="baseline"/>
        </w:rPr>
        <w:t> </w:t>
      </w:r>
      <w:r>
        <w:rPr>
          <w:vertAlign w:val="baseline"/>
        </w:rPr>
        <w:t>report</w:t>
      </w:r>
      <w:r>
        <w:rPr>
          <w:spacing w:val="-2"/>
          <w:vertAlign w:val="baseline"/>
        </w:rPr>
        <w:t> </w:t>
      </w:r>
      <w:r>
        <w:rPr>
          <w:vertAlign w:val="baseline"/>
        </w:rPr>
        <w:t>address</w:t>
      </w:r>
      <w:r>
        <w:rPr>
          <w:spacing w:val="-1"/>
          <w:vertAlign w:val="baseline"/>
        </w:rPr>
        <w:t> </w:t>
      </w:r>
      <w:r>
        <w:rPr>
          <w:vertAlign w:val="baseline"/>
        </w:rPr>
        <w:t>each</w:t>
      </w:r>
      <w:r>
        <w:rPr>
          <w:spacing w:val="-1"/>
          <w:vertAlign w:val="baseline"/>
        </w:rPr>
        <w:t> </w:t>
      </w:r>
      <w:r>
        <w:rPr>
          <w:vertAlign w:val="baseline"/>
        </w:rPr>
        <w:t>of</w:t>
      </w:r>
      <w:r>
        <w:rPr>
          <w:spacing w:val="-2"/>
          <w:vertAlign w:val="baseline"/>
        </w:rPr>
        <w:t> </w:t>
      </w:r>
      <w:r>
        <w:rPr>
          <w:vertAlign w:val="baseline"/>
        </w:rPr>
        <w:t>these</w:t>
      </w:r>
      <w:r>
        <w:rPr>
          <w:spacing w:val="-2"/>
          <w:vertAlign w:val="baseline"/>
        </w:rPr>
        <w:t> </w:t>
      </w:r>
      <w:r>
        <w:rPr>
          <w:vertAlign w:val="baseline"/>
        </w:rPr>
        <w:t>domains in detail.</w:t>
      </w:r>
    </w:p>
    <w:p>
      <w:pPr>
        <w:pStyle w:val="BodyText"/>
        <w:spacing w:line="276" w:lineRule="auto" w:before="240"/>
        <w:ind w:left="463" w:right="280"/>
        <w:jc w:val="both"/>
      </w:pPr>
      <w:r>
        <w:rPr/>
        <w:t>Of</w:t>
      </w:r>
      <w:r>
        <w:rPr>
          <w:spacing w:val="-5"/>
        </w:rPr>
        <w:t> </w:t>
      </w:r>
      <w:r>
        <w:rPr/>
        <w:t>all</w:t>
      </w:r>
      <w:r>
        <w:rPr>
          <w:spacing w:val="-5"/>
        </w:rPr>
        <w:t> </w:t>
      </w:r>
      <w:r>
        <w:rPr/>
        <w:t>the</w:t>
      </w:r>
      <w:r>
        <w:rPr>
          <w:spacing w:val="-4"/>
        </w:rPr>
        <w:t> </w:t>
      </w:r>
      <w:r>
        <w:rPr/>
        <w:t>dimensions</w:t>
      </w:r>
      <w:r>
        <w:rPr>
          <w:spacing w:val="-5"/>
        </w:rPr>
        <w:t> </w:t>
      </w:r>
      <w:r>
        <w:rPr/>
        <w:t>of</w:t>
      </w:r>
      <w:r>
        <w:rPr>
          <w:spacing w:val="-5"/>
        </w:rPr>
        <w:t> </w:t>
      </w:r>
      <w:r>
        <w:rPr/>
        <w:t>wellbeing,</w:t>
      </w:r>
      <w:r>
        <w:rPr>
          <w:spacing w:val="-5"/>
        </w:rPr>
        <w:t> </w:t>
      </w:r>
      <w:r>
        <w:rPr/>
        <w:t>emotional</w:t>
      </w:r>
      <w:r>
        <w:rPr>
          <w:spacing w:val="-5"/>
        </w:rPr>
        <w:t> </w:t>
      </w:r>
      <w:r>
        <w:rPr/>
        <w:t>health</w:t>
      </w:r>
      <w:r>
        <w:rPr>
          <w:spacing w:val="-4"/>
        </w:rPr>
        <w:t> </w:t>
      </w:r>
      <w:r>
        <w:rPr/>
        <w:t>continues</w:t>
      </w:r>
      <w:r>
        <w:rPr>
          <w:spacing w:val="-4"/>
        </w:rPr>
        <w:t> </w:t>
      </w:r>
      <w:r>
        <w:rPr/>
        <w:t>to</w:t>
      </w:r>
      <w:r>
        <w:rPr>
          <w:spacing w:val="-5"/>
        </w:rPr>
        <w:t> </w:t>
      </w:r>
      <w:r>
        <w:rPr/>
        <w:t>demand</w:t>
      </w:r>
      <w:r>
        <w:rPr>
          <w:spacing w:val="-5"/>
        </w:rPr>
        <w:t> </w:t>
      </w:r>
      <w:r>
        <w:rPr/>
        <w:t>special</w:t>
      </w:r>
      <w:r>
        <w:rPr>
          <w:spacing w:val="-5"/>
        </w:rPr>
        <w:t> </w:t>
      </w:r>
      <w:r>
        <w:rPr/>
        <w:t>attention</w:t>
      </w:r>
      <w:r>
        <w:rPr>
          <w:spacing w:val="-5"/>
        </w:rPr>
        <w:t> </w:t>
      </w:r>
      <w:r>
        <w:rPr/>
        <w:t>as</w:t>
      </w:r>
      <w:r>
        <w:rPr>
          <w:spacing w:val="-5"/>
        </w:rPr>
        <w:t> </w:t>
      </w:r>
      <w:r>
        <w:rPr/>
        <w:t>a</w:t>
      </w:r>
      <w:r>
        <w:rPr>
          <w:spacing w:val="-5"/>
        </w:rPr>
        <w:t> </w:t>
      </w:r>
      <w:r>
        <w:rPr/>
        <w:t>leverage point for policymakers. Longstanding research underscores the specific importance of emotional health for LGBTQ youth, particularly in our politically polarized and often hostile climate. The research on emotional support for LGBTQ youth has evolved significantly in recent decades. Social scientists have developed models to foster family acceptance, even among unsupportive and reticent adults</w:t>
      </w:r>
      <w:hyperlink w:history="true" w:anchor="_bookmark36">
        <w:r>
          <w:rPr/>
          <w:t>.</w:t>
        </w:r>
        <w:r>
          <w:rPr>
            <w:vertAlign w:val="superscript"/>
          </w:rPr>
          <w:t>12</w:t>
        </w:r>
      </w:hyperlink>
      <w:r>
        <w:rPr>
          <w:vertAlign w:val="baseline"/>
        </w:rPr>
        <w:t> Specific supportive</w:t>
      </w:r>
      <w:r>
        <w:rPr>
          <w:spacing w:val="-6"/>
          <w:vertAlign w:val="baseline"/>
        </w:rPr>
        <w:t> </w:t>
      </w:r>
      <w:r>
        <w:rPr>
          <w:vertAlign w:val="baseline"/>
        </w:rPr>
        <w:t>behaviors</w:t>
      </w:r>
      <w:r>
        <w:rPr>
          <w:spacing w:val="-7"/>
          <w:vertAlign w:val="baseline"/>
        </w:rPr>
        <w:t> </w:t>
      </w:r>
      <w:r>
        <w:rPr>
          <w:vertAlign w:val="baseline"/>
        </w:rPr>
        <w:t>have</w:t>
      </w:r>
      <w:r>
        <w:rPr>
          <w:spacing w:val="-8"/>
          <w:vertAlign w:val="baseline"/>
        </w:rPr>
        <w:t> </w:t>
      </w:r>
      <w:r>
        <w:rPr>
          <w:vertAlign w:val="baseline"/>
        </w:rPr>
        <w:t>been</w:t>
      </w:r>
      <w:r>
        <w:rPr>
          <w:spacing w:val="-7"/>
          <w:vertAlign w:val="baseline"/>
        </w:rPr>
        <w:t> </w:t>
      </w:r>
      <w:r>
        <w:rPr>
          <w:vertAlign w:val="baseline"/>
        </w:rPr>
        <w:t>correlated</w:t>
      </w:r>
      <w:r>
        <w:rPr>
          <w:spacing w:val="-8"/>
          <w:vertAlign w:val="baseline"/>
        </w:rPr>
        <w:t> </w:t>
      </w:r>
      <w:r>
        <w:rPr>
          <w:vertAlign w:val="baseline"/>
        </w:rPr>
        <w:t>with</w:t>
      </w:r>
      <w:r>
        <w:rPr>
          <w:spacing w:val="-7"/>
          <w:vertAlign w:val="baseline"/>
        </w:rPr>
        <w:t> </w:t>
      </w:r>
      <w:r>
        <w:rPr>
          <w:vertAlign w:val="baseline"/>
        </w:rPr>
        <w:t>positive</w:t>
      </w:r>
      <w:r>
        <w:rPr>
          <w:spacing w:val="-8"/>
          <w:vertAlign w:val="baseline"/>
        </w:rPr>
        <w:t> </w:t>
      </w:r>
      <w:r>
        <w:rPr>
          <w:vertAlign w:val="baseline"/>
        </w:rPr>
        <w:t>emotional</w:t>
      </w:r>
      <w:r>
        <w:rPr>
          <w:spacing w:val="-8"/>
          <w:vertAlign w:val="baseline"/>
        </w:rPr>
        <w:t> </w:t>
      </w:r>
      <w:r>
        <w:rPr>
          <w:vertAlign w:val="baseline"/>
        </w:rPr>
        <w:t>outcomes</w:t>
      </w:r>
      <w:r>
        <w:rPr>
          <w:spacing w:val="-7"/>
          <w:vertAlign w:val="baseline"/>
        </w:rPr>
        <w:t> </w:t>
      </w:r>
      <w:r>
        <w:rPr>
          <w:vertAlign w:val="baseline"/>
        </w:rPr>
        <w:t>for</w:t>
      </w:r>
      <w:r>
        <w:rPr>
          <w:spacing w:val="-7"/>
          <w:vertAlign w:val="baseline"/>
        </w:rPr>
        <w:t> </w:t>
      </w:r>
      <w:r>
        <w:rPr>
          <w:vertAlign w:val="baseline"/>
        </w:rPr>
        <w:t>LGBTQ</w:t>
      </w:r>
      <w:r>
        <w:rPr>
          <w:spacing w:val="-7"/>
          <w:vertAlign w:val="baseline"/>
        </w:rPr>
        <w:t> </w:t>
      </w:r>
      <w:r>
        <w:rPr>
          <w:vertAlign w:val="baseline"/>
        </w:rPr>
        <w:t>youth</w:t>
      </w:r>
      <w:hyperlink w:history="true" w:anchor="_bookmark37">
        <w:r>
          <w:rPr>
            <w:vertAlign w:val="baseline"/>
          </w:rPr>
          <w:t>.</w:t>
        </w:r>
        <w:r>
          <w:rPr>
            <w:vertAlign w:val="superscript"/>
          </w:rPr>
          <w:t>13</w:t>
        </w:r>
      </w:hyperlink>
      <w:r>
        <w:rPr>
          <w:spacing w:val="-7"/>
          <w:vertAlign w:val="baseline"/>
        </w:rPr>
        <w:t> </w:t>
      </w:r>
      <w:r>
        <w:rPr>
          <w:vertAlign w:val="baseline"/>
        </w:rPr>
        <w:t>Indeed, the</w:t>
      </w:r>
      <w:r>
        <w:rPr>
          <w:spacing w:val="-12"/>
          <w:vertAlign w:val="baseline"/>
        </w:rPr>
        <w:t> </w:t>
      </w:r>
      <w:r>
        <w:rPr>
          <w:vertAlign w:val="baseline"/>
        </w:rPr>
        <w:t>ongoing</w:t>
      </w:r>
      <w:r>
        <w:rPr>
          <w:spacing w:val="-10"/>
          <w:vertAlign w:val="baseline"/>
        </w:rPr>
        <w:t> </w:t>
      </w:r>
      <w:r>
        <w:rPr>
          <w:vertAlign w:val="baseline"/>
        </w:rPr>
        <w:t>presence</w:t>
      </w:r>
      <w:r>
        <w:rPr>
          <w:spacing w:val="-12"/>
          <w:vertAlign w:val="baseline"/>
        </w:rPr>
        <w:t> </w:t>
      </w:r>
      <w:r>
        <w:rPr>
          <w:vertAlign w:val="baseline"/>
        </w:rPr>
        <w:t>of</w:t>
      </w:r>
      <w:r>
        <w:rPr>
          <w:spacing w:val="-13"/>
          <w:vertAlign w:val="baseline"/>
        </w:rPr>
        <w:t> </w:t>
      </w:r>
      <w:r>
        <w:rPr>
          <w:vertAlign w:val="baseline"/>
        </w:rPr>
        <w:t>a</w:t>
      </w:r>
      <w:r>
        <w:rPr>
          <w:spacing w:val="-10"/>
          <w:vertAlign w:val="baseline"/>
        </w:rPr>
        <w:t> </w:t>
      </w:r>
      <w:r>
        <w:rPr>
          <w:vertAlign w:val="baseline"/>
        </w:rPr>
        <w:t>single</w:t>
      </w:r>
      <w:r>
        <w:rPr>
          <w:spacing w:val="-12"/>
          <w:vertAlign w:val="baseline"/>
        </w:rPr>
        <w:t> </w:t>
      </w:r>
      <w:r>
        <w:rPr>
          <w:vertAlign w:val="baseline"/>
        </w:rPr>
        <w:t>supportive</w:t>
      </w:r>
      <w:r>
        <w:rPr>
          <w:spacing w:val="-13"/>
          <w:vertAlign w:val="baseline"/>
        </w:rPr>
        <w:t> </w:t>
      </w:r>
      <w:r>
        <w:rPr>
          <w:vertAlign w:val="baseline"/>
        </w:rPr>
        <w:t>adult</w:t>
      </w:r>
      <w:r>
        <w:rPr>
          <w:spacing w:val="-11"/>
          <w:vertAlign w:val="baseline"/>
        </w:rPr>
        <w:t> </w:t>
      </w:r>
      <w:r>
        <w:rPr>
          <w:vertAlign w:val="baseline"/>
        </w:rPr>
        <w:t>can</w:t>
      </w:r>
      <w:r>
        <w:rPr>
          <w:spacing w:val="-10"/>
          <w:vertAlign w:val="baseline"/>
        </w:rPr>
        <w:t> </w:t>
      </w:r>
      <w:r>
        <w:rPr>
          <w:vertAlign w:val="baseline"/>
        </w:rPr>
        <w:t>make</w:t>
      </w:r>
      <w:r>
        <w:rPr>
          <w:spacing w:val="-12"/>
          <w:vertAlign w:val="baseline"/>
        </w:rPr>
        <w:t> </w:t>
      </w:r>
      <w:r>
        <w:rPr>
          <w:vertAlign w:val="baseline"/>
        </w:rPr>
        <w:t>an</w:t>
      </w:r>
      <w:r>
        <w:rPr>
          <w:spacing w:val="-12"/>
          <w:vertAlign w:val="baseline"/>
        </w:rPr>
        <w:t> </w:t>
      </w:r>
      <w:r>
        <w:rPr>
          <w:vertAlign w:val="baseline"/>
        </w:rPr>
        <w:t>enormous</w:t>
      </w:r>
      <w:r>
        <w:rPr>
          <w:spacing w:val="-12"/>
          <w:vertAlign w:val="baseline"/>
        </w:rPr>
        <w:t> </w:t>
      </w:r>
      <w:r>
        <w:rPr>
          <w:vertAlign w:val="baseline"/>
        </w:rPr>
        <w:t>difference</w:t>
      </w:r>
      <w:r>
        <w:rPr>
          <w:spacing w:val="-12"/>
          <w:vertAlign w:val="baseline"/>
        </w:rPr>
        <w:t> </w:t>
      </w:r>
      <w:r>
        <w:rPr>
          <w:vertAlign w:val="baseline"/>
        </w:rPr>
        <w:t>to</w:t>
      </w:r>
      <w:r>
        <w:rPr>
          <w:spacing w:val="-11"/>
          <w:vertAlign w:val="baseline"/>
        </w:rPr>
        <w:t> </w:t>
      </w:r>
      <w:r>
        <w:rPr>
          <w:vertAlign w:val="baseline"/>
        </w:rPr>
        <w:t>a</w:t>
      </w:r>
      <w:r>
        <w:rPr>
          <w:spacing w:val="-12"/>
          <w:vertAlign w:val="baseline"/>
        </w:rPr>
        <w:t> </w:t>
      </w:r>
      <w:r>
        <w:rPr>
          <w:vertAlign w:val="baseline"/>
        </w:rPr>
        <w:t>vulnerable</w:t>
      </w:r>
      <w:r>
        <w:rPr>
          <w:spacing w:val="-13"/>
          <w:vertAlign w:val="baseline"/>
        </w:rPr>
        <w:t> </w:t>
      </w:r>
      <w:r>
        <w:rPr>
          <w:vertAlign w:val="baseline"/>
        </w:rPr>
        <w:t>young </w:t>
      </w:r>
      <w:r>
        <w:rPr>
          <w:spacing w:val="-2"/>
          <w:vertAlign w:val="baseline"/>
        </w:rPr>
        <w:t>person.</w:t>
      </w:r>
    </w:p>
    <w:p>
      <w:pPr>
        <w:pStyle w:val="BodyText"/>
        <w:spacing w:line="276" w:lineRule="auto" w:before="240"/>
        <w:ind w:left="463" w:right="283"/>
        <w:jc w:val="both"/>
      </w:pPr>
      <w:r>
        <w:rPr/>
        <w:t>When</w:t>
      </w:r>
      <w:r>
        <w:rPr>
          <w:spacing w:val="-13"/>
        </w:rPr>
        <w:t> </w:t>
      </w:r>
      <w:r>
        <w:rPr/>
        <w:t>the</w:t>
      </w:r>
      <w:r>
        <w:rPr>
          <w:spacing w:val="-12"/>
        </w:rPr>
        <w:t> </w:t>
      </w:r>
      <w:r>
        <w:rPr/>
        <w:t>Commission</w:t>
      </w:r>
      <w:r>
        <w:rPr>
          <w:spacing w:val="-13"/>
        </w:rPr>
        <w:t> </w:t>
      </w:r>
      <w:r>
        <w:rPr/>
        <w:t>on</w:t>
      </w:r>
      <w:r>
        <w:rPr>
          <w:spacing w:val="-12"/>
        </w:rPr>
        <w:t> </w:t>
      </w:r>
      <w:r>
        <w:rPr/>
        <w:t>LGBTQ</w:t>
      </w:r>
      <w:r>
        <w:rPr>
          <w:spacing w:val="-13"/>
        </w:rPr>
        <w:t> </w:t>
      </w:r>
      <w:r>
        <w:rPr/>
        <w:t>Youth</w:t>
      </w:r>
      <w:r>
        <w:rPr>
          <w:spacing w:val="-12"/>
        </w:rPr>
        <w:t> </w:t>
      </w:r>
      <w:r>
        <w:rPr/>
        <w:t>was</w:t>
      </w:r>
      <w:r>
        <w:rPr>
          <w:spacing w:val="-13"/>
        </w:rPr>
        <w:t> </w:t>
      </w:r>
      <w:r>
        <w:rPr/>
        <w:t>formed</w:t>
      </w:r>
      <w:r>
        <w:rPr>
          <w:spacing w:val="-12"/>
        </w:rPr>
        <w:t> </w:t>
      </w:r>
      <w:r>
        <w:rPr/>
        <w:t>in</w:t>
      </w:r>
      <w:r>
        <w:rPr>
          <w:spacing w:val="-12"/>
        </w:rPr>
        <w:t> </w:t>
      </w:r>
      <w:r>
        <w:rPr/>
        <w:t>1992,</w:t>
      </w:r>
      <w:r>
        <w:rPr>
          <w:spacing w:val="-13"/>
        </w:rPr>
        <w:t> </w:t>
      </w:r>
      <w:r>
        <w:rPr/>
        <w:t>in</w:t>
      </w:r>
      <w:r>
        <w:rPr>
          <w:spacing w:val="-12"/>
        </w:rPr>
        <w:t> </w:t>
      </w:r>
      <w:r>
        <w:rPr/>
        <w:t>the</w:t>
      </w:r>
      <w:r>
        <w:rPr>
          <w:spacing w:val="-13"/>
        </w:rPr>
        <w:t> </w:t>
      </w:r>
      <w:r>
        <w:rPr/>
        <w:t>wake</w:t>
      </w:r>
      <w:r>
        <w:rPr>
          <w:spacing w:val="-12"/>
        </w:rPr>
        <w:t> </w:t>
      </w:r>
      <w:r>
        <w:rPr/>
        <w:t>of</w:t>
      </w:r>
      <w:r>
        <w:rPr>
          <w:spacing w:val="-13"/>
        </w:rPr>
        <w:t> </w:t>
      </w:r>
      <w:r>
        <w:rPr/>
        <w:t>alarming</w:t>
      </w:r>
      <w:r>
        <w:rPr>
          <w:spacing w:val="-12"/>
        </w:rPr>
        <w:t> </w:t>
      </w:r>
      <w:r>
        <w:rPr/>
        <w:t>suicide</w:t>
      </w:r>
      <w:r>
        <w:rPr>
          <w:spacing w:val="-12"/>
        </w:rPr>
        <w:t> </w:t>
      </w:r>
      <w:r>
        <w:rPr/>
        <w:t>trends</w:t>
      </w:r>
      <w:r>
        <w:rPr>
          <w:spacing w:val="-13"/>
        </w:rPr>
        <w:t> </w:t>
      </w:r>
      <w:r>
        <w:rPr/>
        <w:t>among gay</w:t>
      </w:r>
      <w:r>
        <w:rPr>
          <w:spacing w:val="35"/>
        </w:rPr>
        <w:t> </w:t>
      </w:r>
      <w:r>
        <w:rPr/>
        <w:t>and</w:t>
      </w:r>
      <w:r>
        <w:rPr>
          <w:spacing w:val="36"/>
        </w:rPr>
        <w:t> </w:t>
      </w:r>
      <w:r>
        <w:rPr/>
        <w:t>lesbian</w:t>
      </w:r>
      <w:r>
        <w:rPr>
          <w:spacing w:val="34"/>
        </w:rPr>
        <w:t> </w:t>
      </w:r>
      <w:r>
        <w:rPr/>
        <w:t>youth,</w:t>
      </w:r>
      <w:r>
        <w:rPr>
          <w:spacing w:val="36"/>
        </w:rPr>
        <w:t> </w:t>
      </w:r>
      <w:r>
        <w:rPr/>
        <w:t>policy</w:t>
      </w:r>
      <w:r>
        <w:rPr>
          <w:spacing w:val="35"/>
        </w:rPr>
        <w:t> </w:t>
      </w:r>
      <w:r>
        <w:rPr/>
        <w:t>discussion</w:t>
      </w:r>
      <w:r>
        <w:rPr>
          <w:spacing w:val="34"/>
        </w:rPr>
        <w:t> </w:t>
      </w:r>
      <w:r>
        <w:rPr/>
        <w:t>focused</w:t>
      </w:r>
      <w:r>
        <w:rPr>
          <w:spacing w:val="36"/>
        </w:rPr>
        <w:t> </w:t>
      </w:r>
      <w:r>
        <w:rPr/>
        <w:t>primarily</w:t>
      </w:r>
      <w:r>
        <w:rPr>
          <w:spacing w:val="35"/>
        </w:rPr>
        <w:t> </w:t>
      </w:r>
      <w:r>
        <w:rPr/>
        <w:t>on</w:t>
      </w:r>
      <w:r>
        <w:rPr>
          <w:spacing w:val="34"/>
        </w:rPr>
        <w:t> </w:t>
      </w:r>
      <w:r>
        <w:rPr/>
        <w:t>reducing</w:t>
      </w:r>
      <w:r>
        <w:rPr>
          <w:spacing w:val="36"/>
        </w:rPr>
        <w:t> </w:t>
      </w:r>
      <w:r>
        <w:rPr/>
        <w:t>harm.</w:t>
      </w:r>
      <w:r>
        <w:rPr>
          <w:spacing w:val="36"/>
        </w:rPr>
        <w:t> </w:t>
      </w:r>
      <w:r>
        <w:rPr/>
        <w:t>Today,</w:t>
      </w:r>
      <w:r>
        <w:rPr>
          <w:spacing w:val="35"/>
        </w:rPr>
        <w:t> </w:t>
      </w:r>
      <w:r>
        <w:rPr/>
        <w:t>although</w:t>
      </w:r>
      <w:r>
        <w:rPr>
          <w:spacing w:val="36"/>
        </w:rPr>
        <w:t> </w:t>
      </w:r>
      <w:r>
        <w:rPr/>
        <w:t>harm</w:t>
      </w:r>
    </w:p>
    <w:p>
      <w:pPr>
        <w:spacing w:after="0" w:line="276" w:lineRule="auto"/>
        <w:jc w:val="both"/>
        <w:sectPr>
          <w:pgSz w:w="12240" w:h="15840"/>
          <w:pgMar w:header="804" w:footer="1263" w:top="1000" w:bottom="1460" w:left="980" w:right="1160"/>
        </w:sectPr>
      </w:pPr>
    </w:p>
    <w:p>
      <w:pPr>
        <w:pStyle w:val="BodyText"/>
        <w:spacing w:line="276" w:lineRule="auto" w:before="139"/>
        <w:ind w:left="463" w:right="280"/>
        <w:jc w:val="both"/>
      </w:pPr>
      <w:r>
        <w:rPr/>
        <w:t>reduction</w:t>
      </w:r>
      <w:r>
        <w:rPr>
          <w:spacing w:val="-12"/>
        </w:rPr>
        <w:t> </w:t>
      </w:r>
      <w:r>
        <w:rPr/>
        <w:t>remains</w:t>
      </w:r>
      <w:r>
        <w:rPr>
          <w:spacing w:val="-11"/>
        </w:rPr>
        <w:t> </w:t>
      </w:r>
      <w:r>
        <w:rPr/>
        <w:t>a</w:t>
      </w:r>
      <w:r>
        <w:rPr>
          <w:spacing w:val="-11"/>
        </w:rPr>
        <w:t> </w:t>
      </w:r>
      <w:r>
        <w:rPr/>
        <w:t>priority,</w:t>
      </w:r>
      <w:r>
        <w:rPr>
          <w:spacing w:val="-11"/>
        </w:rPr>
        <w:t> </w:t>
      </w:r>
      <w:r>
        <w:rPr/>
        <w:t>leaders</w:t>
      </w:r>
      <w:r>
        <w:rPr>
          <w:spacing w:val="-11"/>
        </w:rPr>
        <w:t> </w:t>
      </w:r>
      <w:r>
        <w:rPr/>
        <w:t>have</w:t>
      </w:r>
      <w:r>
        <w:rPr>
          <w:spacing w:val="-12"/>
        </w:rPr>
        <w:t> </w:t>
      </w:r>
      <w:r>
        <w:rPr/>
        <w:t>broadened</w:t>
      </w:r>
      <w:r>
        <w:rPr>
          <w:spacing w:val="-12"/>
        </w:rPr>
        <w:t> </w:t>
      </w:r>
      <w:r>
        <w:rPr/>
        <w:t>the</w:t>
      </w:r>
      <w:r>
        <w:rPr>
          <w:spacing w:val="-12"/>
        </w:rPr>
        <w:t> </w:t>
      </w:r>
      <w:r>
        <w:rPr/>
        <w:t>scope</w:t>
      </w:r>
      <w:r>
        <w:rPr>
          <w:spacing w:val="-12"/>
        </w:rPr>
        <w:t> </w:t>
      </w:r>
      <w:r>
        <w:rPr/>
        <w:t>of</w:t>
      </w:r>
      <w:r>
        <w:rPr>
          <w:spacing w:val="-11"/>
        </w:rPr>
        <w:t> </w:t>
      </w:r>
      <w:r>
        <w:rPr/>
        <w:t>their</w:t>
      </w:r>
      <w:r>
        <w:rPr>
          <w:spacing w:val="-11"/>
        </w:rPr>
        <w:t> </w:t>
      </w:r>
      <w:r>
        <w:rPr/>
        <w:t>work</w:t>
      </w:r>
      <w:r>
        <w:rPr>
          <w:spacing w:val="-12"/>
        </w:rPr>
        <w:t> </w:t>
      </w:r>
      <w:r>
        <w:rPr/>
        <w:t>to</w:t>
      </w:r>
      <w:r>
        <w:rPr>
          <w:spacing w:val="-11"/>
        </w:rPr>
        <w:t> </w:t>
      </w:r>
      <w:r>
        <w:rPr/>
        <w:t>help</w:t>
      </w:r>
      <w:r>
        <w:rPr>
          <w:spacing w:val="-12"/>
        </w:rPr>
        <w:t> </w:t>
      </w:r>
      <w:r>
        <w:rPr/>
        <w:t>LGBTQ</w:t>
      </w:r>
      <w:r>
        <w:rPr>
          <w:spacing w:val="-10"/>
        </w:rPr>
        <w:t> </w:t>
      </w:r>
      <w:r>
        <w:rPr/>
        <w:t>young</w:t>
      </w:r>
      <w:r>
        <w:rPr>
          <w:spacing w:val="-12"/>
        </w:rPr>
        <w:t> </w:t>
      </w:r>
      <w:r>
        <w:rPr/>
        <w:t>people realize the totality of their potential, both as individuals and as important contributing members of society. </w:t>
      </w:r>
      <w:hyperlink w:history="true" w:anchor="_bookmark38">
        <w:r>
          <w:rPr>
            <w:vertAlign w:val="superscript"/>
          </w:rPr>
          <w:t>14</w:t>
        </w:r>
      </w:hyperlink>
      <w:r>
        <w:rPr>
          <w:vertAlign w:val="baseline"/>
        </w:rPr>
        <w:t> The focus has expanded from surviving to thriving.</w:t>
      </w:r>
    </w:p>
    <w:p>
      <w:pPr>
        <w:spacing w:before="239"/>
        <w:ind w:left="463" w:right="0" w:firstLine="0"/>
        <w:jc w:val="both"/>
        <w:rPr>
          <w:sz w:val="28"/>
        </w:rPr>
      </w:pPr>
      <w:bookmarkStart w:name="The International Context: Massachusetts" w:id="97"/>
      <w:bookmarkEnd w:id="97"/>
      <w:r>
        <w:rPr/>
      </w:r>
      <w:r>
        <w:rPr>
          <w:color w:val="365F91"/>
          <w:sz w:val="28"/>
        </w:rPr>
        <w:t>The</w:t>
      </w:r>
      <w:r>
        <w:rPr>
          <w:color w:val="365F91"/>
          <w:spacing w:val="-13"/>
          <w:sz w:val="28"/>
        </w:rPr>
        <w:t> </w:t>
      </w:r>
      <w:r>
        <w:rPr>
          <w:color w:val="365F91"/>
          <w:sz w:val="28"/>
        </w:rPr>
        <w:t>International</w:t>
      </w:r>
      <w:r>
        <w:rPr>
          <w:color w:val="365F91"/>
          <w:spacing w:val="-12"/>
          <w:sz w:val="28"/>
        </w:rPr>
        <w:t> </w:t>
      </w:r>
      <w:r>
        <w:rPr>
          <w:color w:val="365F91"/>
          <w:sz w:val="28"/>
        </w:rPr>
        <w:t>Context:</w:t>
      </w:r>
      <w:r>
        <w:rPr>
          <w:color w:val="365F91"/>
          <w:spacing w:val="-12"/>
          <w:sz w:val="28"/>
        </w:rPr>
        <w:t> </w:t>
      </w:r>
      <w:r>
        <w:rPr>
          <w:color w:val="365F91"/>
          <w:sz w:val="28"/>
        </w:rPr>
        <w:t>Massachusetts</w:t>
      </w:r>
      <w:r>
        <w:rPr>
          <w:color w:val="365F91"/>
          <w:spacing w:val="-11"/>
          <w:sz w:val="28"/>
        </w:rPr>
        <w:t> </w:t>
      </w:r>
      <w:r>
        <w:rPr>
          <w:color w:val="365F91"/>
          <w:sz w:val="28"/>
        </w:rPr>
        <w:t>As</w:t>
      </w:r>
      <w:r>
        <w:rPr>
          <w:color w:val="365F91"/>
          <w:spacing w:val="-12"/>
          <w:sz w:val="28"/>
        </w:rPr>
        <w:t> </w:t>
      </w:r>
      <w:r>
        <w:rPr>
          <w:color w:val="365F91"/>
          <w:sz w:val="28"/>
        </w:rPr>
        <w:t>Compared</w:t>
      </w:r>
      <w:r>
        <w:rPr>
          <w:color w:val="365F91"/>
          <w:spacing w:val="-14"/>
          <w:sz w:val="28"/>
        </w:rPr>
        <w:t> </w:t>
      </w:r>
      <w:r>
        <w:rPr>
          <w:color w:val="365F91"/>
          <w:spacing w:val="-2"/>
          <w:sz w:val="28"/>
        </w:rPr>
        <w:t>Internationally</w:t>
      </w:r>
    </w:p>
    <w:p>
      <w:pPr>
        <w:pStyle w:val="BodyText"/>
        <w:spacing w:line="276" w:lineRule="auto" w:before="291"/>
        <w:ind w:left="463" w:right="282" w:hanging="2"/>
        <w:jc w:val="both"/>
      </w:pPr>
      <w:r>
        <w:rPr/>
        <w:t>LGBTQ youth are first and foremost young people. Contrary to popular opinion, the sobering reality for children</w:t>
      </w:r>
      <w:r>
        <w:rPr>
          <w:spacing w:val="-1"/>
        </w:rPr>
        <w:t> </w:t>
      </w:r>
      <w:r>
        <w:rPr/>
        <w:t>in</w:t>
      </w:r>
      <w:r>
        <w:rPr>
          <w:spacing w:val="-1"/>
        </w:rPr>
        <w:t> </w:t>
      </w:r>
      <w:r>
        <w:rPr/>
        <w:t>the</w:t>
      </w:r>
      <w:r>
        <w:rPr>
          <w:spacing w:val="-1"/>
        </w:rPr>
        <w:t> </w:t>
      </w:r>
      <w:r>
        <w:rPr/>
        <w:t>United</w:t>
      </w:r>
      <w:r>
        <w:rPr>
          <w:spacing w:val="-1"/>
        </w:rPr>
        <w:t> </w:t>
      </w:r>
      <w:r>
        <w:rPr/>
        <w:t>States is that they lack most</w:t>
      </w:r>
      <w:r>
        <w:rPr>
          <w:spacing w:val="-1"/>
        </w:rPr>
        <w:t> </w:t>
      </w:r>
      <w:r>
        <w:rPr/>
        <w:t>of the basic human</w:t>
      </w:r>
      <w:r>
        <w:rPr>
          <w:spacing w:val="-1"/>
        </w:rPr>
        <w:t> </w:t>
      </w:r>
      <w:r>
        <w:rPr/>
        <w:t>rights that</w:t>
      </w:r>
      <w:r>
        <w:rPr>
          <w:spacing w:val="-1"/>
        </w:rPr>
        <w:t> </w:t>
      </w:r>
      <w:r>
        <w:rPr/>
        <w:t>children enjoy in</w:t>
      </w:r>
      <w:r>
        <w:rPr>
          <w:spacing w:val="-1"/>
        </w:rPr>
        <w:t> </w:t>
      </w:r>
      <w:r>
        <w:rPr/>
        <w:t>other nations. The United States remains the only United Nations member state that has failed to ratify the most-ratified human rights treaty in world history: The United Nations Convention on the Rights of the Child</w:t>
      </w:r>
      <w:r>
        <w:rPr>
          <w:spacing w:val="-13"/>
        </w:rPr>
        <w:t> </w:t>
      </w:r>
      <w:r>
        <w:rPr/>
        <w:t>(CRC)</w:t>
      </w:r>
      <w:hyperlink w:history="true" w:anchor="_bookmark20">
        <w:r>
          <w:rPr/>
          <w:t>.</w:t>
        </w:r>
        <w:r>
          <w:rPr>
            <w:vertAlign w:val="superscript"/>
          </w:rPr>
          <w:t>12</w:t>
        </w:r>
      </w:hyperlink>
      <w:r>
        <w:rPr>
          <w:spacing w:val="-12"/>
          <w:vertAlign w:val="baseline"/>
        </w:rPr>
        <w:t> </w:t>
      </w:r>
      <w:r>
        <w:rPr>
          <w:vertAlign w:val="baseline"/>
        </w:rPr>
        <w:t>Adopted</w:t>
      </w:r>
      <w:r>
        <w:rPr>
          <w:spacing w:val="-13"/>
          <w:vertAlign w:val="baseline"/>
        </w:rPr>
        <w:t> </w:t>
      </w:r>
      <w:r>
        <w:rPr>
          <w:vertAlign w:val="baseline"/>
        </w:rPr>
        <w:t>in</w:t>
      </w:r>
      <w:r>
        <w:rPr>
          <w:spacing w:val="-12"/>
          <w:vertAlign w:val="baseline"/>
        </w:rPr>
        <w:t> </w:t>
      </w:r>
      <w:r>
        <w:rPr>
          <w:vertAlign w:val="baseline"/>
        </w:rPr>
        <w:t>1989,</w:t>
      </w:r>
      <w:r>
        <w:rPr>
          <w:spacing w:val="-13"/>
          <w:vertAlign w:val="baseline"/>
        </w:rPr>
        <w:t> </w:t>
      </w:r>
      <w:r>
        <w:rPr>
          <w:vertAlign w:val="baseline"/>
        </w:rPr>
        <w:t>the</w:t>
      </w:r>
      <w:r>
        <w:rPr>
          <w:spacing w:val="-12"/>
          <w:vertAlign w:val="baseline"/>
        </w:rPr>
        <w:t> </w:t>
      </w:r>
      <w:r>
        <w:rPr>
          <w:vertAlign w:val="baseline"/>
        </w:rPr>
        <w:t>United</w:t>
      </w:r>
      <w:r>
        <w:rPr>
          <w:spacing w:val="-13"/>
          <w:vertAlign w:val="baseline"/>
        </w:rPr>
        <w:t> </w:t>
      </w:r>
      <w:r>
        <w:rPr>
          <w:vertAlign w:val="baseline"/>
        </w:rPr>
        <w:t>Nations</w:t>
      </w:r>
      <w:r>
        <w:rPr>
          <w:spacing w:val="-12"/>
          <w:vertAlign w:val="baseline"/>
        </w:rPr>
        <w:t> </w:t>
      </w:r>
      <w:r>
        <w:rPr>
          <w:vertAlign w:val="baseline"/>
        </w:rPr>
        <w:t>CRC</w:t>
      </w:r>
      <w:r>
        <w:rPr>
          <w:spacing w:val="-12"/>
          <w:vertAlign w:val="baseline"/>
        </w:rPr>
        <w:t> </w:t>
      </w:r>
      <w:r>
        <w:rPr>
          <w:vertAlign w:val="baseline"/>
        </w:rPr>
        <w:t>offers</w:t>
      </w:r>
      <w:r>
        <w:rPr>
          <w:spacing w:val="-13"/>
          <w:vertAlign w:val="baseline"/>
        </w:rPr>
        <w:t> </w:t>
      </w:r>
      <w:r>
        <w:rPr>
          <w:vertAlign w:val="baseline"/>
        </w:rPr>
        <w:t>a</w:t>
      </w:r>
      <w:r>
        <w:rPr>
          <w:spacing w:val="-12"/>
          <w:vertAlign w:val="baseline"/>
        </w:rPr>
        <w:t> </w:t>
      </w:r>
      <w:r>
        <w:rPr>
          <w:vertAlign w:val="baseline"/>
        </w:rPr>
        <w:t>minimum</w:t>
      </w:r>
      <w:r>
        <w:rPr>
          <w:spacing w:val="-13"/>
          <w:vertAlign w:val="baseline"/>
        </w:rPr>
        <w:t> </w:t>
      </w:r>
      <w:r>
        <w:rPr>
          <w:vertAlign w:val="baseline"/>
        </w:rPr>
        <w:t>standard</w:t>
      </w:r>
      <w:r>
        <w:rPr>
          <w:spacing w:val="-12"/>
          <w:vertAlign w:val="baseline"/>
        </w:rPr>
        <w:t> </w:t>
      </w:r>
      <w:r>
        <w:rPr>
          <w:vertAlign w:val="baseline"/>
        </w:rPr>
        <w:t>for</w:t>
      </w:r>
      <w:r>
        <w:rPr>
          <w:spacing w:val="-13"/>
          <w:vertAlign w:val="baseline"/>
        </w:rPr>
        <w:t> </w:t>
      </w:r>
      <w:r>
        <w:rPr>
          <w:vertAlign w:val="baseline"/>
        </w:rPr>
        <w:t>the</w:t>
      </w:r>
      <w:r>
        <w:rPr>
          <w:spacing w:val="-12"/>
          <w:vertAlign w:val="baseline"/>
        </w:rPr>
        <w:t> </w:t>
      </w:r>
      <w:r>
        <w:rPr>
          <w:vertAlign w:val="baseline"/>
        </w:rPr>
        <w:t>legal</w:t>
      </w:r>
      <w:r>
        <w:rPr>
          <w:spacing w:val="-12"/>
          <w:vertAlign w:val="baseline"/>
        </w:rPr>
        <w:t> </w:t>
      </w:r>
      <w:r>
        <w:rPr>
          <w:vertAlign w:val="baseline"/>
        </w:rPr>
        <w:t>protection of children and youth in domains that affect their well-being including child marriage, juvenile justice, child labor, corporal punishment, and education, among other critical arenas.</w:t>
      </w:r>
    </w:p>
    <w:p>
      <w:pPr>
        <w:pStyle w:val="BodyText"/>
        <w:spacing w:line="276" w:lineRule="auto" w:before="240"/>
        <w:ind w:left="4941" w:right="281"/>
        <w:jc w:val="both"/>
      </w:pPr>
      <w:r>
        <w:rPr/>
        <w:drawing>
          <wp:anchor distT="0" distB="0" distL="0" distR="0" allowOverlap="1" layoutInCell="1" locked="0" behindDoc="0" simplePos="0" relativeHeight="15737856">
            <wp:simplePos x="0" y="0"/>
            <wp:positionH relativeFrom="page">
              <wp:posOffset>825499</wp:posOffset>
            </wp:positionH>
            <wp:positionV relativeFrom="paragraph">
              <wp:posOffset>160756</wp:posOffset>
            </wp:positionV>
            <wp:extent cx="2843529" cy="2843529"/>
            <wp:effectExtent l="0" t="0" r="0" b="0"/>
            <wp:wrapNone/>
            <wp:docPr id="83" name="Image 83"/>
            <wp:cNvGraphicFramePr>
              <a:graphicFrameLocks/>
            </wp:cNvGraphicFramePr>
            <a:graphic>
              <a:graphicData uri="http://schemas.openxmlformats.org/drawingml/2006/picture">
                <pic:pic>
                  <pic:nvPicPr>
                    <pic:cNvPr id="83" name="Image 83"/>
                    <pic:cNvPicPr/>
                  </pic:nvPicPr>
                  <pic:blipFill>
                    <a:blip r:embed="rId58" cstate="print"/>
                    <a:stretch>
                      <a:fillRect/>
                    </a:stretch>
                  </pic:blipFill>
                  <pic:spPr>
                    <a:xfrm>
                      <a:off x="0" y="0"/>
                      <a:ext cx="2843529" cy="2843529"/>
                    </a:xfrm>
                    <a:prstGeom prst="rect">
                      <a:avLst/>
                    </a:prstGeom>
                  </pic:spPr>
                </pic:pic>
              </a:graphicData>
            </a:graphic>
          </wp:anchor>
        </w:drawing>
      </w:r>
      <w:r>
        <w:rPr/>
        <w:t>Given</w:t>
      </w:r>
      <w:r>
        <w:rPr>
          <w:spacing w:val="-13"/>
        </w:rPr>
        <w:t> </w:t>
      </w:r>
      <w:r>
        <w:rPr/>
        <w:t>the</w:t>
      </w:r>
      <w:r>
        <w:rPr>
          <w:spacing w:val="-12"/>
        </w:rPr>
        <w:t> </w:t>
      </w:r>
      <w:r>
        <w:rPr/>
        <w:t>impact</w:t>
      </w:r>
      <w:r>
        <w:rPr>
          <w:spacing w:val="-13"/>
        </w:rPr>
        <w:t> </w:t>
      </w:r>
      <w:r>
        <w:rPr/>
        <w:t>of</w:t>
      </w:r>
      <w:r>
        <w:rPr>
          <w:spacing w:val="-12"/>
        </w:rPr>
        <w:t> </w:t>
      </w:r>
      <w:r>
        <w:rPr/>
        <w:t>state-level</w:t>
      </w:r>
      <w:r>
        <w:rPr>
          <w:spacing w:val="-13"/>
        </w:rPr>
        <w:t> </w:t>
      </w:r>
      <w:r>
        <w:rPr/>
        <w:t>laws</w:t>
      </w:r>
      <w:r>
        <w:rPr>
          <w:spacing w:val="-12"/>
        </w:rPr>
        <w:t> </w:t>
      </w:r>
      <w:r>
        <w:rPr/>
        <w:t>on</w:t>
      </w:r>
      <w:r>
        <w:rPr>
          <w:spacing w:val="-13"/>
        </w:rPr>
        <w:t> </w:t>
      </w:r>
      <w:r>
        <w:rPr/>
        <w:t>children’s</w:t>
      </w:r>
      <w:r>
        <w:rPr>
          <w:spacing w:val="-12"/>
        </w:rPr>
        <w:t> </w:t>
      </w:r>
      <w:r>
        <w:rPr/>
        <w:t>rights in our country, the Human Rights Watch recently evaluated the laws of the individual 50 United States against four of the key protections of the United Nations Convention on the Rights of the Child: child marriage, corporal punishment, child labor, and juvenile justice</w:t>
      </w:r>
      <w:hyperlink w:history="true" w:anchor="_bookmark21">
        <w:r>
          <w:rPr/>
          <w:t>.</w:t>
        </w:r>
        <w:r>
          <w:rPr>
            <w:vertAlign w:val="superscript"/>
          </w:rPr>
          <w:t>13</w:t>
        </w:r>
      </w:hyperlink>
      <w:r>
        <w:rPr>
          <w:vertAlign w:val="baseline"/>
        </w:rPr>
        <w:t> Most states demonstrate overwhelming noncompliance with internationally accepted children’s rights standards. Only four states earned</w:t>
      </w:r>
      <w:r>
        <w:rPr>
          <w:spacing w:val="-13"/>
          <w:vertAlign w:val="baseline"/>
        </w:rPr>
        <w:t> </w:t>
      </w:r>
      <w:r>
        <w:rPr>
          <w:vertAlign w:val="baseline"/>
        </w:rPr>
        <w:t>a</w:t>
      </w:r>
      <w:r>
        <w:rPr>
          <w:spacing w:val="-12"/>
          <w:vertAlign w:val="baseline"/>
        </w:rPr>
        <w:t> </w:t>
      </w:r>
      <w:r>
        <w:rPr>
          <w:vertAlign w:val="baseline"/>
        </w:rPr>
        <w:t>C</w:t>
      </w:r>
      <w:r>
        <w:rPr>
          <w:spacing w:val="-13"/>
          <w:vertAlign w:val="baseline"/>
        </w:rPr>
        <w:t> </w:t>
      </w:r>
      <w:r>
        <w:rPr>
          <w:vertAlign w:val="baseline"/>
        </w:rPr>
        <w:t>in</w:t>
      </w:r>
      <w:r>
        <w:rPr>
          <w:spacing w:val="-12"/>
          <w:vertAlign w:val="baseline"/>
        </w:rPr>
        <w:t> </w:t>
      </w:r>
      <w:r>
        <w:rPr>
          <w:vertAlign w:val="baseline"/>
        </w:rPr>
        <w:t>the</w:t>
      </w:r>
      <w:r>
        <w:rPr>
          <w:spacing w:val="-13"/>
          <w:vertAlign w:val="baseline"/>
        </w:rPr>
        <w:t> </w:t>
      </w:r>
      <w:r>
        <w:rPr>
          <w:vertAlign w:val="baseline"/>
        </w:rPr>
        <w:t>evaluation,</w:t>
      </w:r>
      <w:r>
        <w:rPr>
          <w:spacing w:val="-12"/>
          <w:vertAlign w:val="baseline"/>
        </w:rPr>
        <w:t> </w:t>
      </w:r>
      <w:r>
        <w:rPr>
          <w:vertAlign w:val="baseline"/>
        </w:rPr>
        <w:t>and</w:t>
      </w:r>
      <w:r>
        <w:rPr>
          <w:spacing w:val="-13"/>
          <w:vertAlign w:val="baseline"/>
        </w:rPr>
        <w:t> </w:t>
      </w:r>
      <w:r>
        <w:rPr>
          <w:vertAlign w:val="baseline"/>
        </w:rPr>
        <w:t>Massachusetts,</w:t>
      </w:r>
      <w:r>
        <w:rPr>
          <w:spacing w:val="-12"/>
          <w:vertAlign w:val="baseline"/>
        </w:rPr>
        <w:t> </w:t>
      </w:r>
      <w:r>
        <w:rPr>
          <w:vertAlign w:val="baseline"/>
        </w:rPr>
        <w:t>which ranked fifth, earned a D. This evaluation merits significant attention because it underscores key areas in</w:t>
      </w:r>
      <w:r>
        <w:rPr>
          <w:spacing w:val="-3"/>
          <w:vertAlign w:val="baseline"/>
        </w:rPr>
        <w:t> </w:t>
      </w:r>
      <w:r>
        <w:rPr>
          <w:vertAlign w:val="baseline"/>
        </w:rPr>
        <w:t>which</w:t>
      </w:r>
      <w:r>
        <w:rPr>
          <w:spacing w:val="-3"/>
          <w:vertAlign w:val="baseline"/>
        </w:rPr>
        <w:t> </w:t>
      </w:r>
      <w:r>
        <w:rPr>
          <w:vertAlign w:val="baseline"/>
        </w:rPr>
        <w:t>our</w:t>
      </w:r>
      <w:r>
        <w:rPr>
          <w:spacing w:val="-1"/>
          <w:vertAlign w:val="baseline"/>
        </w:rPr>
        <w:t> </w:t>
      </w:r>
      <w:r>
        <w:rPr>
          <w:vertAlign w:val="baseline"/>
        </w:rPr>
        <w:t>state</w:t>
      </w:r>
      <w:r>
        <w:rPr>
          <w:spacing w:val="-3"/>
          <w:vertAlign w:val="baseline"/>
        </w:rPr>
        <w:t> </w:t>
      </w:r>
      <w:r>
        <w:rPr>
          <w:vertAlign w:val="baseline"/>
        </w:rPr>
        <w:t>can</w:t>
      </w:r>
      <w:r>
        <w:rPr>
          <w:spacing w:val="-2"/>
          <w:vertAlign w:val="baseline"/>
        </w:rPr>
        <w:t> </w:t>
      </w:r>
      <w:r>
        <w:rPr>
          <w:vertAlign w:val="baseline"/>
        </w:rPr>
        <w:t>make</w:t>
      </w:r>
      <w:r>
        <w:rPr>
          <w:spacing w:val="-3"/>
          <w:vertAlign w:val="baseline"/>
        </w:rPr>
        <w:t> </w:t>
      </w:r>
      <w:r>
        <w:rPr>
          <w:vertAlign w:val="baseline"/>
        </w:rPr>
        <w:t>legal</w:t>
      </w:r>
      <w:r>
        <w:rPr>
          <w:spacing w:val="-1"/>
          <w:vertAlign w:val="baseline"/>
        </w:rPr>
        <w:t> </w:t>
      </w:r>
      <w:r>
        <w:rPr>
          <w:vertAlign w:val="baseline"/>
        </w:rPr>
        <w:t>changes</w:t>
      </w:r>
      <w:r>
        <w:rPr>
          <w:spacing w:val="-2"/>
          <w:vertAlign w:val="baseline"/>
        </w:rPr>
        <w:t> </w:t>
      </w:r>
      <w:r>
        <w:rPr>
          <w:vertAlign w:val="baseline"/>
        </w:rPr>
        <w:t>to</w:t>
      </w:r>
      <w:r>
        <w:rPr>
          <w:spacing w:val="-2"/>
          <w:vertAlign w:val="baseline"/>
        </w:rPr>
        <w:t> </w:t>
      </w:r>
      <w:r>
        <w:rPr>
          <w:vertAlign w:val="baseline"/>
        </w:rPr>
        <w:t>bring</w:t>
      </w:r>
      <w:r>
        <w:rPr>
          <w:spacing w:val="-2"/>
          <w:vertAlign w:val="baseline"/>
        </w:rPr>
        <w:t> </w:t>
      </w:r>
      <w:r>
        <w:rPr>
          <w:vertAlign w:val="baseline"/>
        </w:rPr>
        <w:t>the rights</w:t>
      </w:r>
      <w:r>
        <w:rPr>
          <w:spacing w:val="-1"/>
          <w:vertAlign w:val="baseline"/>
        </w:rPr>
        <w:t> </w:t>
      </w:r>
      <w:r>
        <w:rPr>
          <w:vertAlign w:val="baseline"/>
        </w:rPr>
        <w:t>of</w:t>
      </w:r>
      <w:r>
        <w:rPr>
          <w:spacing w:val="-1"/>
          <w:vertAlign w:val="baseline"/>
        </w:rPr>
        <w:t> </w:t>
      </w:r>
      <w:r>
        <w:rPr>
          <w:vertAlign w:val="baseline"/>
        </w:rPr>
        <w:t>all</w:t>
      </w:r>
      <w:r>
        <w:rPr>
          <w:spacing w:val="-2"/>
          <w:vertAlign w:val="baseline"/>
        </w:rPr>
        <w:t> </w:t>
      </w:r>
      <w:r>
        <w:rPr>
          <w:vertAlign w:val="baseline"/>
        </w:rPr>
        <w:t>our</w:t>
      </w:r>
      <w:r>
        <w:rPr>
          <w:spacing w:val="-1"/>
          <w:vertAlign w:val="baseline"/>
        </w:rPr>
        <w:t> </w:t>
      </w:r>
      <w:r>
        <w:rPr>
          <w:vertAlign w:val="baseline"/>
        </w:rPr>
        <w:t>children,</w:t>
      </w:r>
      <w:r>
        <w:rPr>
          <w:spacing w:val="-1"/>
          <w:vertAlign w:val="baseline"/>
        </w:rPr>
        <w:t> </w:t>
      </w:r>
      <w:r>
        <w:rPr>
          <w:vertAlign w:val="baseline"/>
        </w:rPr>
        <w:t>including</w:t>
      </w:r>
      <w:r>
        <w:rPr>
          <w:spacing w:val="-2"/>
          <w:vertAlign w:val="baseline"/>
        </w:rPr>
        <w:t> </w:t>
      </w:r>
      <w:r>
        <w:rPr>
          <w:vertAlign w:val="baseline"/>
        </w:rPr>
        <w:t>LGBTQ</w:t>
      </w:r>
      <w:r>
        <w:rPr>
          <w:spacing w:val="-2"/>
          <w:vertAlign w:val="baseline"/>
        </w:rPr>
        <w:t> </w:t>
      </w:r>
      <w:r>
        <w:rPr>
          <w:vertAlign w:val="baseline"/>
        </w:rPr>
        <w:t>youth,</w:t>
      </w:r>
      <w:r>
        <w:rPr>
          <w:spacing w:val="-1"/>
          <w:vertAlign w:val="baseline"/>
        </w:rPr>
        <w:t> </w:t>
      </w:r>
      <w:r>
        <w:rPr>
          <w:vertAlign w:val="baseline"/>
        </w:rPr>
        <w:t>up to the baseline level of other countries.</w:t>
      </w:r>
    </w:p>
    <w:p>
      <w:pPr>
        <w:pStyle w:val="BodyText"/>
        <w:spacing w:line="276" w:lineRule="auto" w:before="240"/>
        <w:ind w:left="463" w:right="281"/>
        <w:jc w:val="both"/>
      </w:pPr>
      <w:r>
        <w:rPr/>
        <w:t>Although our nation has not ratified the United Nations Convention on the Rights of the Child, our Commonwealth can and should consider the specifics of the CRC as part of its legislative roadmap. To align</w:t>
      </w:r>
      <w:r>
        <w:rPr>
          <w:spacing w:val="-13"/>
        </w:rPr>
        <w:t> </w:t>
      </w:r>
      <w:r>
        <w:rPr/>
        <w:t>with</w:t>
      </w:r>
      <w:r>
        <w:rPr>
          <w:spacing w:val="-12"/>
        </w:rPr>
        <w:t> </w:t>
      </w:r>
      <w:r>
        <w:rPr/>
        <w:t>the</w:t>
      </w:r>
      <w:r>
        <w:rPr>
          <w:spacing w:val="-13"/>
        </w:rPr>
        <w:t> </w:t>
      </w:r>
      <w:r>
        <w:rPr/>
        <w:t>rights</w:t>
      </w:r>
      <w:r>
        <w:rPr>
          <w:spacing w:val="-12"/>
        </w:rPr>
        <w:t> </w:t>
      </w:r>
      <w:r>
        <w:rPr/>
        <w:t>in</w:t>
      </w:r>
      <w:r>
        <w:rPr>
          <w:spacing w:val="-13"/>
        </w:rPr>
        <w:t> </w:t>
      </w:r>
      <w:r>
        <w:rPr/>
        <w:t>the</w:t>
      </w:r>
      <w:r>
        <w:rPr>
          <w:spacing w:val="-12"/>
        </w:rPr>
        <w:t> </w:t>
      </w:r>
      <w:r>
        <w:rPr/>
        <w:t>United</w:t>
      </w:r>
      <w:r>
        <w:rPr>
          <w:spacing w:val="-13"/>
        </w:rPr>
        <w:t> </w:t>
      </w:r>
      <w:r>
        <w:rPr/>
        <w:t>Nations</w:t>
      </w:r>
      <w:r>
        <w:rPr>
          <w:spacing w:val="-12"/>
        </w:rPr>
        <w:t> </w:t>
      </w:r>
      <w:r>
        <w:rPr/>
        <w:t>CRC,</w:t>
      </w:r>
      <w:r>
        <w:rPr>
          <w:spacing w:val="-12"/>
        </w:rPr>
        <w:t> </w:t>
      </w:r>
      <w:r>
        <w:rPr/>
        <w:t>Massachusetts</w:t>
      </w:r>
      <w:r>
        <w:rPr>
          <w:spacing w:val="-13"/>
        </w:rPr>
        <w:t> </w:t>
      </w:r>
      <w:r>
        <w:rPr/>
        <w:t>would</w:t>
      </w:r>
      <w:r>
        <w:rPr>
          <w:spacing w:val="-12"/>
        </w:rPr>
        <w:t> </w:t>
      </w:r>
      <w:r>
        <w:rPr/>
        <w:t>need</w:t>
      </w:r>
      <w:r>
        <w:rPr>
          <w:spacing w:val="-13"/>
        </w:rPr>
        <w:t> </w:t>
      </w:r>
      <w:r>
        <w:rPr/>
        <w:t>to</w:t>
      </w:r>
      <w:r>
        <w:rPr>
          <w:spacing w:val="-12"/>
        </w:rPr>
        <w:t> </w:t>
      </w:r>
      <w:r>
        <w:rPr/>
        <w:t>abolish</w:t>
      </w:r>
      <w:r>
        <w:rPr>
          <w:spacing w:val="-13"/>
        </w:rPr>
        <w:t> </w:t>
      </w:r>
      <w:r>
        <w:rPr/>
        <w:t>corporal</w:t>
      </w:r>
      <w:r>
        <w:rPr>
          <w:spacing w:val="-12"/>
        </w:rPr>
        <w:t> </w:t>
      </w:r>
      <w:r>
        <w:rPr/>
        <w:t>punishment in all settings raise the minimum age for agricultural work from zero to 15, raise the minimum age for hazardous agricultural work from 16 to 18, increase the minimum age of juvenile jurisdiction from 12 to 14, and explicitly prohibit the transfer of any child under 18 to adult courts for any reason. Corporal punishment, which disproportionately harms LGBTQ youth, remains legal in Massachusetts in private schools, alternative care settings, and penal settings.</w:t>
      </w:r>
    </w:p>
    <w:p>
      <w:pPr>
        <w:pStyle w:val="BodyText"/>
        <w:spacing w:line="276" w:lineRule="auto" w:before="240"/>
        <w:ind w:left="463" w:right="280"/>
        <w:jc w:val="both"/>
      </w:pPr>
      <w:r>
        <w:rPr/>
        <w:t>Further, QTBIPOC youth are overrepresented and mistreated in our juvenile justice system,</w:t>
      </w:r>
      <w:hyperlink w:history="true" w:anchor="_bookmark22">
        <w:r>
          <w:rPr>
            <w:color w:val="1154CC"/>
            <w:u w:val="single" w:color="1154CC"/>
            <w:vertAlign w:val="superscript"/>
          </w:rPr>
          <w:t>14</w:t>
        </w:r>
      </w:hyperlink>
      <w:r>
        <w:rPr>
          <w:color w:val="1154CC"/>
          <w:u w:val="none"/>
          <w:vertAlign w:val="baseline"/>
        </w:rPr>
        <w:t> </w:t>
      </w:r>
      <w:r>
        <w:rPr>
          <w:u w:val="none"/>
          <w:vertAlign w:val="baseline"/>
        </w:rPr>
        <w:t>a system that requires change in all 50 states to be brought to the minimum international standard articulated in the</w:t>
      </w:r>
      <w:r>
        <w:rPr>
          <w:spacing w:val="-4"/>
          <w:u w:val="none"/>
          <w:vertAlign w:val="baseline"/>
        </w:rPr>
        <w:t> </w:t>
      </w:r>
      <w:r>
        <w:rPr>
          <w:u w:val="none"/>
          <w:vertAlign w:val="baseline"/>
        </w:rPr>
        <w:t>United</w:t>
      </w:r>
      <w:r>
        <w:rPr>
          <w:spacing w:val="-6"/>
          <w:u w:val="none"/>
          <w:vertAlign w:val="baseline"/>
        </w:rPr>
        <w:t> </w:t>
      </w:r>
      <w:r>
        <w:rPr>
          <w:u w:val="none"/>
          <w:vertAlign w:val="baseline"/>
        </w:rPr>
        <w:t>Nations</w:t>
      </w:r>
      <w:r>
        <w:rPr>
          <w:spacing w:val="-5"/>
          <w:u w:val="none"/>
          <w:vertAlign w:val="baseline"/>
        </w:rPr>
        <w:t> </w:t>
      </w:r>
      <w:r>
        <w:rPr>
          <w:u w:val="none"/>
          <w:vertAlign w:val="baseline"/>
        </w:rPr>
        <w:t>CRC.</w:t>
      </w:r>
      <w:r>
        <w:rPr>
          <w:spacing w:val="-6"/>
          <w:u w:val="none"/>
          <w:vertAlign w:val="baseline"/>
        </w:rPr>
        <w:t> </w:t>
      </w:r>
      <w:r>
        <w:rPr>
          <w:u w:val="none"/>
          <w:vertAlign w:val="baseline"/>
        </w:rPr>
        <w:t>Juvenile</w:t>
      </w:r>
      <w:r>
        <w:rPr>
          <w:spacing w:val="-6"/>
          <w:u w:val="none"/>
          <w:vertAlign w:val="baseline"/>
        </w:rPr>
        <w:t> </w:t>
      </w:r>
      <w:r>
        <w:rPr>
          <w:u w:val="none"/>
          <w:vertAlign w:val="baseline"/>
        </w:rPr>
        <w:t>justice,</w:t>
      </w:r>
      <w:r>
        <w:rPr>
          <w:spacing w:val="-5"/>
          <w:u w:val="none"/>
          <w:vertAlign w:val="baseline"/>
        </w:rPr>
        <w:t> </w:t>
      </w:r>
      <w:r>
        <w:rPr>
          <w:u w:val="none"/>
          <w:vertAlign w:val="baseline"/>
        </w:rPr>
        <w:t>education,</w:t>
      </w:r>
      <w:r>
        <w:rPr>
          <w:spacing w:val="-5"/>
          <w:u w:val="none"/>
          <w:vertAlign w:val="baseline"/>
        </w:rPr>
        <w:t> </w:t>
      </w:r>
      <w:r>
        <w:rPr>
          <w:u w:val="none"/>
          <w:vertAlign w:val="baseline"/>
        </w:rPr>
        <w:t>and</w:t>
      </w:r>
      <w:r>
        <w:rPr>
          <w:spacing w:val="-6"/>
          <w:u w:val="none"/>
          <w:vertAlign w:val="baseline"/>
        </w:rPr>
        <w:t> </w:t>
      </w:r>
      <w:r>
        <w:rPr>
          <w:u w:val="none"/>
          <w:vertAlign w:val="baseline"/>
        </w:rPr>
        <w:t>labor</w:t>
      </w:r>
      <w:r>
        <w:rPr>
          <w:spacing w:val="-5"/>
          <w:u w:val="none"/>
          <w:vertAlign w:val="baseline"/>
        </w:rPr>
        <w:t> </w:t>
      </w:r>
      <w:r>
        <w:rPr>
          <w:u w:val="none"/>
          <w:vertAlign w:val="baseline"/>
        </w:rPr>
        <w:t>rights</w:t>
      </w:r>
      <w:r>
        <w:rPr>
          <w:spacing w:val="-5"/>
          <w:u w:val="none"/>
          <w:vertAlign w:val="baseline"/>
        </w:rPr>
        <w:t> </w:t>
      </w:r>
      <w:r>
        <w:rPr>
          <w:u w:val="none"/>
          <w:vertAlign w:val="baseline"/>
        </w:rPr>
        <w:t>are</w:t>
      </w:r>
      <w:r>
        <w:rPr>
          <w:spacing w:val="-6"/>
          <w:u w:val="none"/>
          <w:vertAlign w:val="baseline"/>
        </w:rPr>
        <w:t> </w:t>
      </w:r>
      <w:r>
        <w:rPr>
          <w:u w:val="none"/>
          <w:vertAlign w:val="baseline"/>
        </w:rPr>
        <w:t>all</w:t>
      </w:r>
      <w:r>
        <w:rPr>
          <w:spacing w:val="-6"/>
          <w:u w:val="none"/>
          <w:vertAlign w:val="baseline"/>
        </w:rPr>
        <w:t> </w:t>
      </w:r>
      <w:r>
        <w:rPr>
          <w:u w:val="none"/>
          <w:vertAlign w:val="baseline"/>
        </w:rPr>
        <w:t>addressed</w:t>
      </w:r>
      <w:r>
        <w:rPr>
          <w:spacing w:val="-6"/>
          <w:u w:val="none"/>
          <w:vertAlign w:val="baseline"/>
        </w:rPr>
        <w:t> </w:t>
      </w:r>
      <w:r>
        <w:rPr>
          <w:u w:val="none"/>
          <w:vertAlign w:val="baseline"/>
        </w:rPr>
        <w:t>more</w:t>
      </w:r>
      <w:r>
        <w:rPr>
          <w:spacing w:val="-4"/>
          <w:u w:val="none"/>
          <w:vertAlign w:val="baseline"/>
        </w:rPr>
        <w:t> </w:t>
      </w:r>
      <w:r>
        <w:rPr>
          <w:u w:val="none"/>
          <w:vertAlign w:val="baseline"/>
        </w:rPr>
        <w:t>specifically</w:t>
      </w:r>
      <w:r>
        <w:rPr>
          <w:spacing w:val="-5"/>
          <w:u w:val="none"/>
          <w:vertAlign w:val="baseline"/>
        </w:rPr>
        <w:t> </w:t>
      </w:r>
      <w:r>
        <w:rPr>
          <w:u w:val="none"/>
          <w:vertAlign w:val="baseline"/>
        </w:rPr>
        <w:t>in subsequent sections of this report.</w:t>
      </w:r>
    </w:p>
    <w:p>
      <w:pPr>
        <w:spacing w:after="0" w:line="276" w:lineRule="auto"/>
        <w:jc w:val="both"/>
        <w:sectPr>
          <w:pgSz w:w="12240" w:h="15840"/>
          <w:pgMar w:header="804" w:footer="1263" w:top="1000" w:bottom="1460" w:left="980" w:right="1160"/>
        </w:sectPr>
      </w:pPr>
    </w:p>
    <w:p>
      <w:pPr>
        <w:pStyle w:val="BodyText"/>
        <w:spacing w:line="276" w:lineRule="auto" w:before="139"/>
        <w:ind w:left="463" w:right="282"/>
        <w:jc w:val="both"/>
      </w:pPr>
      <w:r>
        <w:rPr/>
        <w:t>One</w:t>
      </w:r>
      <w:r>
        <w:rPr>
          <w:spacing w:val="-13"/>
        </w:rPr>
        <w:t> </w:t>
      </w:r>
      <w:r>
        <w:rPr/>
        <w:t>important</w:t>
      </w:r>
      <w:r>
        <w:rPr>
          <w:spacing w:val="-12"/>
        </w:rPr>
        <w:t> </w:t>
      </w:r>
      <w:r>
        <w:rPr/>
        <w:t>measure</w:t>
      </w:r>
      <w:r>
        <w:rPr>
          <w:spacing w:val="-13"/>
        </w:rPr>
        <w:t> </w:t>
      </w:r>
      <w:r>
        <w:rPr/>
        <w:t>on</w:t>
      </w:r>
      <w:r>
        <w:rPr>
          <w:spacing w:val="-12"/>
        </w:rPr>
        <w:t> </w:t>
      </w:r>
      <w:r>
        <w:rPr/>
        <w:t>which</w:t>
      </w:r>
      <w:r>
        <w:rPr>
          <w:spacing w:val="-13"/>
        </w:rPr>
        <w:t> </w:t>
      </w:r>
      <w:r>
        <w:rPr/>
        <w:t>Massachusetts</w:t>
      </w:r>
      <w:r>
        <w:rPr>
          <w:spacing w:val="-12"/>
        </w:rPr>
        <w:t> </w:t>
      </w:r>
      <w:r>
        <w:rPr/>
        <w:t>only</w:t>
      </w:r>
      <w:r>
        <w:rPr>
          <w:spacing w:val="-13"/>
        </w:rPr>
        <w:t> </w:t>
      </w:r>
      <w:r>
        <w:rPr/>
        <w:t>recently</w:t>
      </w:r>
      <w:r>
        <w:rPr>
          <w:spacing w:val="-12"/>
        </w:rPr>
        <w:t> </w:t>
      </w:r>
      <w:r>
        <w:rPr/>
        <w:t>became</w:t>
      </w:r>
      <w:r>
        <w:rPr>
          <w:spacing w:val="-12"/>
        </w:rPr>
        <w:t> </w:t>
      </w:r>
      <w:r>
        <w:rPr/>
        <w:t>compliant</w:t>
      </w:r>
      <w:r>
        <w:rPr>
          <w:spacing w:val="-13"/>
        </w:rPr>
        <w:t> </w:t>
      </w:r>
      <w:r>
        <w:rPr/>
        <w:t>with</w:t>
      </w:r>
      <w:r>
        <w:rPr>
          <w:spacing w:val="-12"/>
        </w:rPr>
        <w:t> </w:t>
      </w:r>
      <w:r>
        <w:rPr/>
        <w:t>the</w:t>
      </w:r>
      <w:r>
        <w:rPr>
          <w:spacing w:val="-13"/>
        </w:rPr>
        <w:t> </w:t>
      </w:r>
      <w:r>
        <w:rPr/>
        <w:t>United</w:t>
      </w:r>
      <w:r>
        <w:rPr>
          <w:spacing w:val="-12"/>
        </w:rPr>
        <w:t> </w:t>
      </w:r>
      <w:r>
        <w:rPr/>
        <w:t>Nations CRC is child marriage. In July 2022, Massachusetts passed </w:t>
      </w:r>
      <w:hyperlink r:id="rId61">
        <w:r>
          <w:rPr>
            <w:color w:val="3366CC"/>
            <w:u w:val="single" w:color="3366CC"/>
            <w:shd w:fill="F8F8F0" w:color="auto" w:val="clear"/>
          </w:rPr>
          <w:t>MA Gen L Ch. 207 § 7 (2021)</w:t>
        </w:r>
      </w:hyperlink>
      <w:r>
        <w:rPr>
          <w:color w:val="3366CC"/>
          <w:u w:val="none"/>
        </w:rPr>
        <w:t> </w:t>
      </w:r>
      <w:r>
        <w:rPr>
          <w:color w:val="000000"/>
          <w:u w:val="none"/>
        </w:rPr>
        <w:t>to raise the minimum age for marriage to 18 without exception, effectively ending child marriage—a protection and victory for all children. Beyond a consideration of the standards set by the United Nations Convention, other</w:t>
      </w:r>
      <w:r>
        <w:rPr>
          <w:color w:val="000000"/>
          <w:spacing w:val="-13"/>
          <w:u w:val="none"/>
        </w:rPr>
        <w:t> </w:t>
      </w:r>
      <w:r>
        <w:rPr>
          <w:color w:val="000000"/>
          <w:u w:val="none"/>
        </w:rPr>
        <w:t>global</w:t>
      </w:r>
      <w:r>
        <w:rPr>
          <w:color w:val="000000"/>
          <w:spacing w:val="-12"/>
          <w:u w:val="none"/>
        </w:rPr>
        <w:t> </w:t>
      </w:r>
      <w:r>
        <w:rPr>
          <w:color w:val="000000"/>
          <w:u w:val="none"/>
        </w:rPr>
        <w:t>indicators</w:t>
      </w:r>
      <w:r>
        <w:rPr>
          <w:color w:val="000000"/>
          <w:spacing w:val="-13"/>
          <w:u w:val="none"/>
        </w:rPr>
        <w:t> </w:t>
      </w:r>
      <w:r>
        <w:rPr>
          <w:color w:val="000000"/>
          <w:u w:val="none"/>
        </w:rPr>
        <w:t>put</w:t>
      </w:r>
      <w:r>
        <w:rPr>
          <w:color w:val="000000"/>
          <w:spacing w:val="-12"/>
          <w:u w:val="none"/>
        </w:rPr>
        <w:t> </w:t>
      </w:r>
      <w:r>
        <w:rPr>
          <w:color w:val="000000"/>
          <w:u w:val="none"/>
        </w:rPr>
        <w:t>the</w:t>
      </w:r>
      <w:r>
        <w:rPr>
          <w:color w:val="000000"/>
          <w:spacing w:val="-13"/>
          <w:u w:val="none"/>
        </w:rPr>
        <w:t> </w:t>
      </w:r>
      <w:r>
        <w:rPr>
          <w:color w:val="000000"/>
          <w:u w:val="none"/>
        </w:rPr>
        <w:t>realities</w:t>
      </w:r>
      <w:r>
        <w:rPr>
          <w:color w:val="000000"/>
          <w:spacing w:val="-12"/>
          <w:u w:val="none"/>
        </w:rPr>
        <w:t> </w:t>
      </w:r>
      <w:r>
        <w:rPr>
          <w:color w:val="000000"/>
          <w:u w:val="none"/>
        </w:rPr>
        <w:t>of</w:t>
      </w:r>
      <w:r>
        <w:rPr>
          <w:color w:val="000000"/>
          <w:spacing w:val="-13"/>
          <w:u w:val="none"/>
        </w:rPr>
        <w:t> </w:t>
      </w:r>
      <w:r>
        <w:rPr>
          <w:color w:val="000000"/>
          <w:u w:val="none"/>
        </w:rPr>
        <w:t>LGBTQ</w:t>
      </w:r>
      <w:r>
        <w:rPr>
          <w:color w:val="000000"/>
          <w:spacing w:val="-12"/>
          <w:u w:val="none"/>
        </w:rPr>
        <w:t> </w:t>
      </w:r>
      <w:r>
        <w:rPr>
          <w:color w:val="000000"/>
          <w:u w:val="none"/>
        </w:rPr>
        <w:t>youth</w:t>
      </w:r>
      <w:r>
        <w:rPr>
          <w:color w:val="000000"/>
          <w:spacing w:val="-12"/>
          <w:u w:val="none"/>
        </w:rPr>
        <w:t> </w:t>
      </w:r>
      <w:r>
        <w:rPr>
          <w:color w:val="000000"/>
          <w:u w:val="none"/>
        </w:rPr>
        <w:t>in</w:t>
      </w:r>
      <w:r>
        <w:rPr>
          <w:color w:val="000000"/>
          <w:spacing w:val="-13"/>
          <w:u w:val="none"/>
        </w:rPr>
        <w:t> </w:t>
      </w:r>
      <w:r>
        <w:rPr>
          <w:color w:val="000000"/>
          <w:u w:val="none"/>
        </w:rPr>
        <w:t>Massachusetts</w:t>
      </w:r>
      <w:r>
        <w:rPr>
          <w:color w:val="000000"/>
          <w:spacing w:val="-12"/>
          <w:u w:val="none"/>
        </w:rPr>
        <w:t> </w:t>
      </w:r>
      <w:r>
        <w:rPr>
          <w:color w:val="000000"/>
          <w:u w:val="none"/>
        </w:rPr>
        <w:t>in</w:t>
      </w:r>
      <w:r>
        <w:rPr>
          <w:color w:val="000000"/>
          <w:spacing w:val="-13"/>
          <w:u w:val="none"/>
        </w:rPr>
        <w:t> </w:t>
      </w:r>
      <w:r>
        <w:rPr>
          <w:color w:val="000000"/>
          <w:u w:val="none"/>
        </w:rPr>
        <w:t>perspective.</w:t>
      </w:r>
      <w:r>
        <w:rPr>
          <w:color w:val="000000"/>
          <w:spacing w:val="-12"/>
          <w:u w:val="none"/>
        </w:rPr>
        <w:t> </w:t>
      </w:r>
      <w:r>
        <w:rPr>
          <w:color w:val="000000"/>
          <w:u w:val="none"/>
        </w:rPr>
        <w:t>The</w:t>
      </w:r>
      <w:r>
        <w:rPr>
          <w:color w:val="000000"/>
          <w:spacing w:val="-13"/>
          <w:u w:val="none"/>
        </w:rPr>
        <w:t> </w:t>
      </w:r>
      <w:r>
        <w:rPr>
          <w:color w:val="000000"/>
          <w:u w:val="none"/>
        </w:rPr>
        <w:t>United</w:t>
      </w:r>
      <w:r>
        <w:rPr>
          <w:color w:val="000000"/>
          <w:spacing w:val="-12"/>
          <w:u w:val="none"/>
        </w:rPr>
        <w:t> </w:t>
      </w:r>
      <w:r>
        <w:rPr>
          <w:color w:val="000000"/>
          <w:u w:val="none"/>
        </w:rPr>
        <w:t>States continues to rank at the bottom of developed countries for child poverty. In a comparison of 26 OECD (Organization for Economic Co-operation and Development) countries, the U.S. rates of poverty are substantially higher and more extreme than those found in the other 25 nations</w:t>
      </w:r>
      <w:hyperlink w:history="true" w:anchor="_bookmark23">
        <w:r>
          <w:rPr>
            <w:color w:val="404040"/>
            <w:u w:val="none"/>
          </w:rPr>
          <w:t>.</w:t>
        </w:r>
        <w:r>
          <w:rPr>
            <w:color w:val="404040"/>
            <w:u w:val="none"/>
            <w:vertAlign w:val="superscript"/>
          </w:rPr>
          <w:t>15</w:t>
        </w:r>
      </w:hyperlink>
      <w:r>
        <w:rPr>
          <w:color w:val="404040"/>
          <w:u w:val="none"/>
          <w:vertAlign w:val="baseline"/>
        </w:rPr>
        <w:t> </w:t>
      </w:r>
      <w:r>
        <w:rPr>
          <w:color w:val="000000"/>
          <w:u w:val="none"/>
          <w:vertAlign w:val="baseline"/>
        </w:rPr>
        <w:t>Among developed countries, the average poverty rate stands at 10%; in the United States 17% of children live at or below the poverty line—a stark contrast</w:t>
      </w:r>
      <w:hyperlink w:history="true" w:anchor="_bookmark24">
        <w:r>
          <w:rPr>
            <w:color w:val="000000"/>
            <w:u w:val="none"/>
            <w:vertAlign w:val="baseline"/>
          </w:rPr>
          <w:t>.</w:t>
        </w:r>
        <w:r>
          <w:rPr>
            <w:color w:val="000000"/>
            <w:u w:val="none"/>
            <w:vertAlign w:val="superscript"/>
          </w:rPr>
          <w:t>16</w:t>
        </w:r>
      </w:hyperlink>
      <w:r>
        <w:rPr>
          <w:color w:val="000000"/>
          <w:u w:val="none"/>
          <w:vertAlign w:val="baseline"/>
        </w:rPr>
        <w:t> At 12%, the child poverty rate in Massachusetts is lower than the national average, however Massachusetts fares worse than 21 other states because of the Commonwealth’s high cost of living</w:t>
      </w:r>
      <w:hyperlink w:history="true" w:anchor="_bookmark25">
        <w:r>
          <w:rPr>
            <w:color w:val="000000"/>
            <w:u w:val="none"/>
            <w:vertAlign w:val="baseline"/>
          </w:rPr>
          <w:t>.</w:t>
        </w:r>
        <w:r>
          <w:rPr>
            <w:color w:val="000000"/>
            <w:u w:val="none"/>
            <w:vertAlign w:val="superscript"/>
          </w:rPr>
          <w:t>17</w:t>
        </w:r>
      </w:hyperlink>
      <w:r>
        <w:rPr>
          <w:color w:val="000000"/>
          <w:u w:val="none"/>
          <w:vertAlign w:val="baseline"/>
        </w:rPr>
        <w:t> Though in Massachusetts poverty does not affect LGBTQ youth uniquely, it does affect them profoundly.</w:t>
      </w:r>
    </w:p>
    <w:p>
      <w:pPr>
        <w:pStyle w:val="BodyText"/>
        <w:spacing w:line="276" w:lineRule="auto" w:before="238"/>
        <w:ind w:left="463" w:right="281"/>
        <w:jc w:val="both"/>
      </w:pPr>
      <w:r>
        <w:rPr/>
        <w:t>Recent</w:t>
      </w:r>
      <w:r>
        <w:rPr>
          <w:spacing w:val="-13"/>
        </w:rPr>
        <w:t> </w:t>
      </w:r>
      <w:r>
        <w:rPr/>
        <w:t>international</w:t>
      </w:r>
      <w:r>
        <w:rPr>
          <w:spacing w:val="-12"/>
        </w:rPr>
        <w:t> </w:t>
      </w:r>
      <w:r>
        <w:rPr/>
        <w:t>research</w:t>
      </w:r>
      <w:r>
        <w:rPr>
          <w:spacing w:val="-13"/>
        </w:rPr>
        <w:t> </w:t>
      </w:r>
      <w:r>
        <w:rPr/>
        <w:t>that</w:t>
      </w:r>
      <w:r>
        <w:rPr>
          <w:spacing w:val="-12"/>
        </w:rPr>
        <w:t> </w:t>
      </w:r>
      <w:r>
        <w:rPr/>
        <w:t>evaluates</w:t>
      </w:r>
      <w:r>
        <w:rPr>
          <w:spacing w:val="-13"/>
        </w:rPr>
        <w:t> </w:t>
      </w:r>
      <w:r>
        <w:rPr/>
        <w:t>the</w:t>
      </w:r>
      <w:r>
        <w:rPr>
          <w:spacing w:val="-12"/>
        </w:rPr>
        <w:t> </w:t>
      </w:r>
      <w:r>
        <w:rPr/>
        <w:t>social</w:t>
      </w:r>
      <w:r>
        <w:rPr>
          <w:spacing w:val="-13"/>
        </w:rPr>
        <w:t> </w:t>
      </w:r>
      <w:r>
        <w:rPr/>
        <w:t>acceptance</w:t>
      </w:r>
      <w:r>
        <w:rPr>
          <w:spacing w:val="-12"/>
        </w:rPr>
        <w:t> </w:t>
      </w:r>
      <w:r>
        <w:rPr/>
        <w:t>of</w:t>
      </w:r>
      <w:r>
        <w:rPr>
          <w:spacing w:val="-12"/>
        </w:rPr>
        <w:t> </w:t>
      </w:r>
      <w:r>
        <w:rPr/>
        <w:t>LGBTQ</w:t>
      </w:r>
      <w:r>
        <w:rPr>
          <w:spacing w:val="-13"/>
        </w:rPr>
        <w:t> </w:t>
      </w:r>
      <w:r>
        <w:rPr/>
        <w:t>people</w:t>
      </w:r>
      <w:r>
        <w:rPr>
          <w:spacing w:val="-12"/>
        </w:rPr>
        <w:t> </w:t>
      </w:r>
      <w:r>
        <w:rPr/>
        <w:t>offers</w:t>
      </w:r>
      <w:r>
        <w:rPr>
          <w:spacing w:val="-13"/>
        </w:rPr>
        <w:t> </w:t>
      </w:r>
      <w:r>
        <w:rPr/>
        <w:t>another</w:t>
      </w:r>
      <w:r>
        <w:rPr>
          <w:spacing w:val="-12"/>
        </w:rPr>
        <w:t> </w:t>
      </w:r>
      <w:r>
        <w:rPr/>
        <w:t>helpful lens for contextualizing the situation of youth in Massachusetts. Social acceptance of LGBTQ people is correlated with their well-being and economic vitality. Using a sophisticated Global Acceptance Model, research at UCLA ranked social acceptance of LGBTI people in 175 countries and locations</w:t>
      </w:r>
      <w:hyperlink w:history="true" w:anchor="_bookmark26">
        <w:r>
          <w:rPr/>
          <w:t>.</w:t>
        </w:r>
        <w:r>
          <w:rPr>
            <w:vertAlign w:val="superscript"/>
          </w:rPr>
          <w:t>18</w:t>
        </w:r>
      </w:hyperlink>
      <w:r>
        <w:rPr>
          <w:vertAlign w:val="baseline"/>
        </w:rPr>
        <w:t> This study found</w:t>
      </w:r>
      <w:r>
        <w:rPr>
          <w:spacing w:val="-13"/>
          <w:vertAlign w:val="baseline"/>
        </w:rPr>
        <w:t> </w:t>
      </w:r>
      <w:r>
        <w:rPr>
          <w:vertAlign w:val="baseline"/>
        </w:rPr>
        <w:t>that</w:t>
      </w:r>
      <w:r>
        <w:rPr>
          <w:spacing w:val="-12"/>
          <w:vertAlign w:val="baseline"/>
        </w:rPr>
        <w:t> </w:t>
      </w:r>
      <w:r>
        <w:rPr>
          <w:vertAlign w:val="baseline"/>
        </w:rPr>
        <w:t>although</w:t>
      </w:r>
      <w:r>
        <w:rPr>
          <w:spacing w:val="-13"/>
          <w:vertAlign w:val="baseline"/>
        </w:rPr>
        <w:t> </w:t>
      </w:r>
      <w:r>
        <w:rPr>
          <w:vertAlign w:val="baseline"/>
        </w:rPr>
        <w:t>support</w:t>
      </w:r>
      <w:r>
        <w:rPr>
          <w:spacing w:val="-12"/>
          <w:vertAlign w:val="baseline"/>
        </w:rPr>
        <w:t> </w:t>
      </w:r>
      <w:r>
        <w:rPr>
          <w:vertAlign w:val="baseline"/>
        </w:rPr>
        <w:t>of</w:t>
      </w:r>
      <w:r>
        <w:rPr>
          <w:spacing w:val="-13"/>
          <w:vertAlign w:val="baseline"/>
        </w:rPr>
        <w:t> </w:t>
      </w:r>
      <w:r>
        <w:rPr>
          <w:vertAlign w:val="baseline"/>
        </w:rPr>
        <w:t>LGBT</w:t>
      </w:r>
      <w:r>
        <w:rPr>
          <w:spacing w:val="-11"/>
          <w:vertAlign w:val="baseline"/>
        </w:rPr>
        <w:t> </w:t>
      </w:r>
      <w:r>
        <w:rPr>
          <w:vertAlign w:val="baseline"/>
        </w:rPr>
        <w:t>and</w:t>
      </w:r>
      <w:r>
        <w:rPr>
          <w:spacing w:val="-13"/>
          <w:vertAlign w:val="baseline"/>
        </w:rPr>
        <w:t> </w:t>
      </w:r>
      <w:r>
        <w:rPr>
          <w:vertAlign w:val="baseline"/>
        </w:rPr>
        <w:t>intersex</w:t>
      </w:r>
      <w:r>
        <w:rPr>
          <w:spacing w:val="-12"/>
          <w:vertAlign w:val="baseline"/>
        </w:rPr>
        <w:t> </w:t>
      </w:r>
      <w:r>
        <w:rPr>
          <w:vertAlign w:val="baseline"/>
        </w:rPr>
        <w:t>people</w:t>
      </w:r>
      <w:r>
        <w:rPr>
          <w:spacing w:val="-13"/>
          <w:vertAlign w:val="baseline"/>
        </w:rPr>
        <w:t> </w:t>
      </w:r>
      <w:r>
        <w:rPr>
          <w:vertAlign w:val="baseline"/>
        </w:rPr>
        <w:t>is</w:t>
      </w:r>
      <w:r>
        <w:rPr>
          <w:spacing w:val="-11"/>
          <w:vertAlign w:val="baseline"/>
        </w:rPr>
        <w:t> </w:t>
      </w:r>
      <w:r>
        <w:rPr>
          <w:vertAlign w:val="baseline"/>
        </w:rPr>
        <w:t>on</w:t>
      </w:r>
      <w:r>
        <w:rPr>
          <w:spacing w:val="-13"/>
          <w:vertAlign w:val="baseline"/>
        </w:rPr>
        <w:t> </w:t>
      </w:r>
      <w:r>
        <w:rPr>
          <w:vertAlign w:val="baseline"/>
        </w:rPr>
        <w:t>the</w:t>
      </w:r>
      <w:r>
        <w:rPr>
          <w:spacing w:val="-11"/>
          <w:vertAlign w:val="baseline"/>
        </w:rPr>
        <w:t> </w:t>
      </w:r>
      <w:r>
        <w:rPr>
          <w:vertAlign w:val="baseline"/>
        </w:rPr>
        <w:t>rise</w:t>
      </w:r>
      <w:r>
        <w:rPr>
          <w:spacing w:val="-13"/>
          <w:vertAlign w:val="baseline"/>
        </w:rPr>
        <w:t> </w:t>
      </w:r>
      <w:r>
        <w:rPr>
          <w:vertAlign w:val="baseline"/>
        </w:rPr>
        <w:t>worldwide,</w:t>
      </w:r>
      <w:r>
        <w:rPr>
          <w:spacing w:val="-11"/>
          <w:vertAlign w:val="baseline"/>
        </w:rPr>
        <w:t> </w:t>
      </w:r>
      <w:r>
        <w:rPr>
          <w:vertAlign w:val="baseline"/>
        </w:rPr>
        <w:t>some</w:t>
      </w:r>
      <w:r>
        <w:rPr>
          <w:spacing w:val="-13"/>
          <w:vertAlign w:val="baseline"/>
        </w:rPr>
        <w:t> </w:t>
      </w:r>
      <w:r>
        <w:rPr>
          <w:vertAlign w:val="baseline"/>
        </w:rPr>
        <w:t>nations,</w:t>
      </w:r>
      <w:r>
        <w:rPr>
          <w:spacing w:val="-11"/>
          <w:vertAlign w:val="baseline"/>
        </w:rPr>
        <w:t> </w:t>
      </w:r>
      <w:r>
        <w:rPr>
          <w:vertAlign w:val="baseline"/>
        </w:rPr>
        <w:t>including the United States, have become more polarized. In this evaluation, the United States ranked 23</w:t>
      </w:r>
      <w:r>
        <w:rPr>
          <w:vertAlign w:val="superscript"/>
        </w:rPr>
        <w:t>rd</w:t>
      </w:r>
      <w:r>
        <w:rPr>
          <w:vertAlign w:val="baseline"/>
        </w:rPr>
        <w:t> overall for</w:t>
      </w:r>
      <w:r>
        <w:rPr>
          <w:spacing w:val="-13"/>
          <w:vertAlign w:val="baseline"/>
        </w:rPr>
        <w:t> </w:t>
      </w:r>
      <w:r>
        <w:rPr>
          <w:vertAlign w:val="baseline"/>
        </w:rPr>
        <w:t>social</w:t>
      </w:r>
      <w:r>
        <w:rPr>
          <w:spacing w:val="-12"/>
          <w:vertAlign w:val="baseline"/>
        </w:rPr>
        <w:t> </w:t>
      </w:r>
      <w:r>
        <w:rPr>
          <w:vertAlign w:val="baseline"/>
        </w:rPr>
        <w:t>acceptance</w:t>
      </w:r>
      <w:r>
        <w:rPr>
          <w:spacing w:val="-13"/>
          <w:vertAlign w:val="baseline"/>
        </w:rPr>
        <w:t> </w:t>
      </w:r>
      <w:r>
        <w:rPr>
          <w:vertAlign w:val="baseline"/>
        </w:rPr>
        <w:t>among</w:t>
      </w:r>
      <w:r>
        <w:rPr>
          <w:spacing w:val="-12"/>
          <w:vertAlign w:val="baseline"/>
        </w:rPr>
        <w:t> </w:t>
      </w:r>
      <w:r>
        <w:rPr>
          <w:vertAlign w:val="baseline"/>
        </w:rPr>
        <w:t>world</w:t>
      </w:r>
      <w:r>
        <w:rPr>
          <w:spacing w:val="-13"/>
          <w:vertAlign w:val="baseline"/>
        </w:rPr>
        <w:t> </w:t>
      </w:r>
      <w:r>
        <w:rPr>
          <w:vertAlign w:val="baseline"/>
        </w:rPr>
        <w:t>nations.</w:t>
      </w:r>
      <w:r>
        <w:rPr>
          <w:spacing w:val="-12"/>
          <w:vertAlign w:val="baseline"/>
        </w:rPr>
        <w:t> </w:t>
      </w:r>
      <w:r>
        <w:rPr>
          <w:vertAlign w:val="baseline"/>
        </w:rPr>
        <w:t>Canada,</w:t>
      </w:r>
      <w:r>
        <w:rPr>
          <w:spacing w:val="-13"/>
          <w:vertAlign w:val="baseline"/>
        </w:rPr>
        <w:t> </w:t>
      </w:r>
      <w:r>
        <w:rPr>
          <w:vertAlign w:val="baseline"/>
        </w:rPr>
        <w:t>just</w:t>
      </w:r>
      <w:r>
        <w:rPr>
          <w:spacing w:val="-12"/>
          <w:vertAlign w:val="baseline"/>
        </w:rPr>
        <w:t> </w:t>
      </w:r>
      <w:r>
        <w:rPr>
          <w:vertAlign w:val="baseline"/>
        </w:rPr>
        <w:t>a</w:t>
      </w:r>
      <w:r>
        <w:rPr>
          <w:spacing w:val="-12"/>
          <w:vertAlign w:val="baseline"/>
        </w:rPr>
        <w:t> </w:t>
      </w:r>
      <w:r>
        <w:rPr>
          <w:vertAlign w:val="baseline"/>
        </w:rPr>
        <w:t>few</w:t>
      </w:r>
      <w:r>
        <w:rPr>
          <w:spacing w:val="-12"/>
          <w:vertAlign w:val="baseline"/>
        </w:rPr>
        <w:t> </w:t>
      </w:r>
      <w:r>
        <w:rPr>
          <w:vertAlign w:val="baseline"/>
        </w:rPr>
        <w:t>hours’</w:t>
      </w:r>
      <w:r>
        <w:rPr>
          <w:spacing w:val="-11"/>
          <w:vertAlign w:val="baseline"/>
        </w:rPr>
        <w:t> </w:t>
      </w:r>
      <w:r>
        <w:rPr>
          <w:vertAlign w:val="baseline"/>
        </w:rPr>
        <w:t>drive</w:t>
      </w:r>
      <w:r>
        <w:rPr>
          <w:spacing w:val="-13"/>
          <w:vertAlign w:val="baseline"/>
        </w:rPr>
        <w:t> </w:t>
      </w:r>
      <w:r>
        <w:rPr>
          <w:vertAlign w:val="baseline"/>
        </w:rPr>
        <w:t>from</w:t>
      </w:r>
      <w:r>
        <w:rPr>
          <w:spacing w:val="-12"/>
          <w:vertAlign w:val="baseline"/>
        </w:rPr>
        <w:t> </w:t>
      </w:r>
      <w:r>
        <w:rPr>
          <w:vertAlign w:val="baseline"/>
        </w:rPr>
        <w:t>the</w:t>
      </w:r>
      <w:r>
        <w:rPr>
          <w:spacing w:val="-13"/>
          <w:vertAlign w:val="baseline"/>
        </w:rPr>
        <w:t> </w:t>
      </w:r>
      <w:r>
        <w:rPr>
          <w:vertAlign w:val="baseline"/>
        </w:rPr>
        <w:t>Statehouse</w:t>
      </w:r>
      <w:r>
        <w:rPr>
          <w:spacing w:val="-12"/>
          <w:vertAlign w:val="baseline"/>
        </w:rPr>
        <w:t> </w:t>
      </w:r>
      <w:r>
        <w:rPr>
          <w:vertAlign w:val="baseline"/>
        </w:rPr>
        <w:t>in</w:t>
      </w:r>
      <w:r>
        <w:rPr>
          <w:spacing w:val="-13"/>
          <w:vertAlign w:val="baseline"/>
        </w:rPr>
        <w:t> </w:t>
      </w:r>
      <w:r>
        <w:rPr>
          <w:vertAlign w:val="baseline"/>
        </w:rPr>
        <w:t>Boston, ranked 5</w:t>
      </w:r>
      <w:r>
        <w:rPr>
          <w:vertAlign w:val="superscript"/>
        </w:rPr>
        <w:t>th</w:t>
      </w:r>
      <w:r>
        <w:rPr>
          <w:vertAlign w:val="baseline"/>
        </w:rPr>
        <w:t>.</w:t>
      </w:r>
    </w:p>
    <w:p>
      <w:pPr>
        <w:pStyle w:val="BodyText"/>
        <w:spacing w:line="276" w:lineRule="auto" w:before="241"/>
        <w:ind w:left="463" w:right="282"/>
        <w:jc w:val="both"/>
      </w:pPr>
      <w:r>
        <w:rPr/>
        <w:t>Beyond</w:t>
      </w:r>
      <w:r>
        <w:rPr>
          <w:spacing w:val="-13"/>
        </w:rPr>
        <w:t> </w:t>
      </w:r>
      <w:r>
        <w:rPr/>
        <w:t>human</w:t>
      </w:r>
      <w:r>
        <w:rPr>
          <w:spacing w:val="-12"/>
        </w:rPr>
        <w:t> </w:t>
      </w:r>
      <w:r>
        <w:rPr/>
        <w:t>rights</w:t>
      </w:r>
      <w:r>
        <w:rPr>
          <w:spacing w:val="-13"/>
        </w:rPr>
        <w:t> </w:t>
      </w:r>
      <w:r>
        <w:rPr/>
        <w:t>and</w:t>
      </w:r>
      <w:r>
        <w:rPr>
          <w:spacing w:val="-12"/>
        </w:rPr>
        <w:t> </w:t>
      </w:r>
      <w:r>
        <w:rPr/>
        <w:t>social</w:t>
      </w:r>
      <w:r>
        <w:rPr>
          <w:spacing w:val="-13"/>
        </w:rPr>
        <w:t> </w:t>
      </w:r>
      <w:r>
        <w:rPr/>
        <w:t>acceptance,</w:t>
      </w:r>
      <w:r>
        <w:rPr>
          <w:spacing w:val="-12"/>
        </w:rPr>
        <w:t> </w:t>
      </w:r>
      <w:r>
        <w:rPr/>
        <w:t>recent</w:t>
      </w:r>
      <w:r>
        <w:rPr>
          <w:spacing w:val="-13"/>
        </w:rPr>
        <w:t> </w:t>
      </w:r>
      <w:r>
        <w:rPr/>
        <w:t>international</w:t>
      </w:r>
      <w:r>
        <w:rPr>
          <w:spacing w:val="-12"/>
        </w:rPr>
        <w:t> </w:t>
      </w:r>
      <w:r>
        <w:rPr/>
        <w:t>comparative</w:t>
      </w:r>
      <w:r>
        <w:rPr>
          <w:spacing w:val="-12"/>
        </w:rPr>
        <w:t> </w:t>
      </w:r>
      <w:r>
        <w:rPr/>
        <w:t>research</w:t>
      </w:r>
      <w:r>
        <w:rPr>
          <w:spacing w:val="-13"/>
        </w:rPr>
        <w:t> </w:t>
      </w:r>
      <w:r>
        <w:rPr/>
        <w:t>has</w:t>
      </w:r>
      <w:r>
        <w:rPr>
          <w:spacing w:val="-12"/>
        </w:rPr>
        <w:t> </w:t>
      </w:r>
      <w:r>
        <w:rPr/>
        <w:t>also</w:t>
      </w:r>
      <w:r>
        <w:rPr>
          <w:spacing w:val="-13"/>
        </w:rPr>
        <w:t> </w:t>
      </w:r>
      <w:r>
        <w:rPr/>
        <w:t>identified the</w:t>
      </w:r>
      <w:r>
        <w:rPr>
          <w:spacing w:val="-2"/>
        </w:rPr>
        <w:t> </w:t>
      </w:r>
      <w:r>
        <w:rPr/>
        <w:t>economic</w:t>
      </w:r>
      <w:r>
        <w:rPr>
          <w:spacing w:val="-2"/>
        </w:rPr>
        <w:t> </w:t>
      </w:r>
      <w:r>
        <w:rPr/>
        <w:t>power</w:t>
      </w:r>
      <w:r>
        <w:rPr>
          <w:spacing w:val="-1"/>
        </w:rPr>
        <w:t> </w:t>
      </w:r>
      <w:r>
        <w:rPr/>
        <w:t>of</w:t>
      </w:r>
      <w:r>
        <w:rPr>
          <w:spacing w:val="-3"/>
        </w:rPr>
        <w:t> </w:t>
      </w:r>
      <w:r>
        <w:rPr/>
        <w:t>LGBTQ</w:t>
      </w:r>
      <w:r>
        <w:rPr>
          <w:spacing w:val="-3"/>
        </w:rPr>
        <w:t> </w:t>
      </w:r>
      <w:r>
        <w:rPr/>
        <w:t>rights.</w:t>
      </w:r>
      <w:r>
        <w:rPr>
          <w:spacing w:val="-2"/>
        </w:rPr>
        <w:t> </w:t>
      </w:r>
      <w:r>
        <w:rPr/>
        <w:t>Drawing</w:t>
      </w:r>
      <w:r>
        <w:rPr>
          <w:spacing w:val="-3"/>
        </w:rPr>
        <w:t> </w:t>
      </w:r>
      <w:r>
        <w:rPr/>
        <w:t>from</w:t>
      </w:r>
      <w:r>
        <w:rPr>
          <w:spacing w:val="-1"/>
        </w:rPr>
        <w:t> </w:t>
      </w:r>
      <w:r>
        <w:rPr/>
        <w:t>data</w:t>
      </w:r>
      <w:r>
        <w:rPr>
          <w:spacing w:val="-3"/>
        </w:rPr>
        <w:t> </w:t>
      </w:r>
      <w:r>
        <w:rPr/>
        <w:t>sets</w:t>
      </w:r>
      <w:r>
        <w:rPr>
          <w:spacing w:val="-1"/>
        </w:rPr>
        <w:t> </w:t>
      </w:r>
      <w:r>
        <w:rPr/>
        <w:t>worldwide,</w:t>
      </w:r>
      <w:r>
        <w:rPr>
          <w:spacing w:val="-1"/>
        </w:rPr>
        <w:t> </w:t>
      </w:r>
      <w:r>
        <w:rPr/>
        <w:t>including</w:t>
      </w:r>
      <w:r>
        <w:rPr>
          <w:spacing w:val="-2"/>
        </w:rPr>
        <w:t> </w:t>
      </w:r>
      <w:r>
        <w:rPr/>
        <w:t>data</w:t>
      </w:r>
      <w:r>
        <w:rPr>
          <w:spacing w:val="-1"/>
        </w:rPr>
        <w:t> </w:t>
      </w:r>
      <w:r>
        <w:rPr/>
        <w:t>from</w:t>
      </w:r>
      <w:r>
        <w:rPr>
          <w:spacing w:val="-2"/>
        </w:rPr>
        <w:t> </w:t>
      </w:r>
      <w:r>
        <w:rPr/>
        <w:t>the</w:t>
      </w:r>
      <w:r>
        <w:rPr>
          <w:spacing w:val="-2"/>
        </w:rPr>
        <w:t> </w:t>
      </w:r>
      <w:r>
        <w:rPr/>
        <w:t>United States, research demonstrates a positive effect between LGBT inclusion and economic development</w:t>
      </w:r>
      <w:hyperlink w:history="true" w:anchor="_bookmark27">
        <w:r>
          <w:rPr/>
          <w:t>.</w:t>
        </w:r>
        <w:r>
          <w:rPr>
            <w:vertAlign w:val="superscript"/>
          </w:rPr>
          <w:t>19</w:t>
        </w:r>
      </w:hyperlink>
      <w:r>
        <w:rPr>
          <w:vertAlign w:val="baseline"/>
        </w:rPr>
        <w:t> When decision-makers work to improve the lives of LGBTQ people, including youth, their jurisdictions benefit economically.</w:t>
      </w:r>
    </w:p>
    <w:p>
      <w:pPr>
        <w:spacing w:before="239"/>
        <w:ind w:left="463" w:right="0" w:firstLine="0"/>
        <w:jc w:val="both"/>
        <w:rPr>
          <w:sz w:val="28"/>
        </w:rPr>
      </w:pPr>
      <w:bookmarkStart w:name="The National Context: Massachusetts as a" w:id="98"/>
      <w:bookmarkEnd w:id="98"/>
      <w:r>
        <w:rPr/>
      </w:r>
      <w:r>
        <w:rPr>
          <w:color w:val="365F91"/>
          <w:sz w:val="28"/>
        </w:rPr>
        <w:t>The</w:t>
      </w:r>
      <w:r>
        <w:rPr>
          <w:color w:val="365F91"/>
          <w:spacing w:val="-9"/>
          <w:sz w:val="28"/>
        </w:rPr>
        <w:t> </w:t>
      </w:r>
      <w:r>
        <w:rPr>
          <w:color w:val="365F91"/>
          <w:sz w:val="28"/>
        </w:rPr>
        <w:t>National</w:t>
      </w:r>
      <w:r>
        <w:rPr>
          <w:color w:val="365F91"/>
          <w:spacing w:val="-9"/>
          <w:sz w:val="28"/>
        </w:rPr>
        <w:t> </w:t>
      </w:r>
      <w:r>
        <w:rPr>
          <w:color w:val="365F91"/>
          <w:sz w:val="28"/>
        </w:rPr>
        <w:t>Context:</w:t>
      </w:r>
      <w:r>
        <w:rPr>
          <w:color w:val="365F91"/>
          <w:spacing w:val="-10"/>
          <w:sz w:val="28"/>
        </w:rPr>
        <w:t> </w:t>
      </w:r>
      <w:r>
        <w:rPr>
          <w:color w:val="365F91"/>
          <w:sz w:val="28"/>
        </w:rPr>
        <w:t>Massachusetts</w:t>
      </w:r>
      <w:r>
        <w:rPr>
          <w:color w:val="365F91"/>
          <w:spacing w:val="-9"/>
          <w:sz w:val="28"/>
        </w:rPr>
        <w:t> </w:t>
      </w:r>
      <w:r>
        <w:rPr>
          <w:color w:val="365F91"/>
          <w:sz w:val="28"/>
        </w:rPr>
        <w:t>as</w:t>
      </w:r>
      <w:r>
        <w:rPr>
          <w:color w:val="365F91"/>
          <w:spacing w:val="-9"/>
          <w:sz w:val="28"/>
        </w:rPr>
        <w:t> </w:t>
      </w:r>
      <w:r>
        <w:rPr>
          <w:color w:val="365F91"/>
          <w:sz w:val="28"/>
        </w:rPr>
        <w:t>a</w:t>
      </w:r>
      <w:r>
        <w:rPr>
          <w:color w:val="365F91"/>
          <w:spacing w:val="-9"/>
          <w:sz w:val="28"/>
        </w:rPr>
        <w:t> </w:t>
      </w:r>
      <w:r>
        <w:rPr>
          <w:color w:val="365F91"/>
          <w:sz w:val="28"/>
        </w:rPr>
        <w:t>Potential</w:t>
      </w:r>
      <w:r>
        <w:rPr>
          <w:color w:val="365F91"/>
          <w:spacing w:val="-9"/>
          <w:sz w:val="28"/>
        </w:rPr>
        <w:t> </w:t>
      </w:r>
      <w:r>
        <w:rPr>
          <w:color w:val="365F91"/>
          <w:sz w:val="28"/>
        </w:rPr>
        <w:t>Beacon</w:t>
      </w:r>
      <w:r>
        <w:rPr>
          <w:color w:val="365F91"/>
          <w:spacing w:val="-10"/>
          <w:sz w:val="28"/>
        </w:rPr>
        <w:t> </w:t>
      </w:r>
      <w:r>
        <w:rPr>
          <w:color w:val="365F91"/>
          <w:sz w:val="28"/>
        </w:rPr>
        <w:t>for</w:t>
      </w:r>
      <w:r>
        <w:rPr>
          <w:color w:val="365F91"/>
          <w:spacing w:val="-10"/>
          <w:sz w:val="28"/>
        </w:rPr>
        <w:t> </w:t>
      </w:r>
      <w:r>
        <w:rPr>
          <w:color w:val="365F91"/>
          <w:sz w:val="28"/>
        </w:rPr>
        <w:t>a</w:t>
      </w:r>
      <w:r>
        <w:rPr>
          <w:color w:val="365F91"/>
          <w:spacing w:val="-8"/>
          <w:sz w:val="28"/>
        </w:rPr>
        <w:t> </w:t>
      </w:r>
      <w:r>
        <w:rPr>
          <w:color w:val="365F91"/>
          <w:sz w:val="28"/>
        </w:rPr>
        <w:t>Troubled</w:t>
      </w:r>
      <w:r>
        <w:rPr>
          <w:color w:val="365F91"/>
          <w:spacing w:val="-10"/>
          <w:sz w:val="28"/>
        </w:rPr>
        <w:t> </w:t>
      </w:r>
      <w:r>
        <w:rPr>
          <w:color w:val="365F91"/>
          <w:spacing w:val="-2"/>
          <w:sz w:val="28"/>
        </w:rPr>
        <w:t>Nation</w:t>
      </w:r>
    </w:p>
    <w:p>
      <w:pPr>
        <w:pStyle w:val="BodyText"/>
        <w:spacing w:before="293"/>
        <w:ind w:left="463"/>
        <w:jc w:val="both"/>
      </w:pPr>
      <w:r>
        <w:rPr/>
        <w:t>The Commission on</w:t>
      </w:r>
      <w:r>
        <w:rPr>
          <w:spacing w:val="1"/>
        </w:rPr>
        <w:t> </w:t>
      </w:r>
      <w:r>
        <w:rPr/>
        <w:t>LGBTQ Youth,</w:t>
      </w:r>
      <w:r>
        <w:rPr>
          <w:spacing w:val="2"/>
        </w:rPr>
        <w:t> </w:t>
      </w:r>
      <w:r>
        <w:rPr/>
        <w:t>the</w:t>
      </w:r>
      <w:r>
        <w:rPr>
          <w:spacing w:val="1"/>
        </w:rPr>
        <w:t> </w:t>
      </w:r>
      <w:r>
        <w:rPr/>
        <w:t>only</w:t>
      </w:r>
      <w:r>
        <w:rPr>
          <w:spacing w:val="1"/>
        </w:rPr>
        <w:t> </w:t>
      </w:r>
      <w:r>
        <w:rPr/>
        <w:t>commission of</w:t>
      </w:r>
      <w:r>
        <w:rPr>
          <w:spacing w:val="1"/>
        </w:rPr>
        <w:t> </w:t>
      </w:r>
      <w:r>
        <w:rPr/>
        <w:t>its</w:t>
      </w:r>
      <w:r>
        <w:rPr>
          <w:spacing w:val="1"/>
        </w:rPr>
        <w:t> </w:t>
      </w:r>
      <w:r>
        <w:rPr/>
        <w:t>type</w:t>
      </w:r>
      <w:r>
        <w:rPr>
          <w:spacing w:val="1"/>
        </w:rPr>
        <w:t> </w:t>
      </w:r>
      <w:r>
        <w:rPr/>
        <w:t>among all</w:t>
      </w:r>
      <w:r>
        <w:rPr>
          <w:spacing w:val="1"/>
        </w:rPr>
        <w:t> </w:t>
      </w:r>
      <w:r>
        <w:rPr/>
        <w:t>50</w:t>
      </w:r>
      <w:r>
        <w:rPr>
          <w:spacing w:val="2"/>
        </w:rPr>
        <w:t> </w:t>
      </w:r>
      <w:r>
        <w:rPr/>
        <w:t>states</w:t>
      </w:r>
      <w:r>
        <w:rPr>
          <w:spacing w:val="1"/>
        </w:rPr>
        <w:t> </w:t>
      </w:r>
      <w:r>
        <w:rPr/>
        <w:t>for</w:t>
      </w:r>
      <w:r>
        <w:rPr>
          <w:spacing w:val="3"/>
        </w:rPr>
        <w:t> </w:t>
      </w:r>
      <w:r>
        <w:rPr/>
        <w:t>more than</w:t>
      </w:r>
      <w:r>
        <w:rPr>
          <w:spacing w:val="1"/>
        </w:rPr>
        <w:t> </w:t>
      </w:r>
      <w:r>
        <w:rPr>
          <w:spacing w:val="-5"/>
        </w:rPr>
        <w:t>30</w:t>
      </w:r>
    </w:p>
    <w:p>
      <w:pPr>
        <w:pStyle w:val="BodyText"/>
        <w:spacing w:before="11"/>
        <w:rPr>
          <w:sz w:val="4"/>
        </w:rPr>
      </w:pPr>
      <w:r>
        <w:rPr/>
        <mc:AlternateContent>
          <mc:Choice Requires="wps">
            <w:drawing>
              <wp:anchor distT="0" distB="0" distL="0" distR="0" allowOverlap="1" layoutInCell="1" locked="0" behindDoc="1" simplePos="0" relativeHeight="487597568">
                <wp:simplePos x="0" y="0"/>
                <wp:positionH relativeFrom="page">
                  <wp:posOffset>806195</wp:posOffset>
                </wp:positionH>
                <wp:positionV relativeFrom="paragraph">
                  <wp:posOffset>53230</wp:posOffset>
                </wp:positionV>
                <wp:extent cx="6159500" cy="2221865"/>
                <wp:effectExtent l="0" t="0" r="0" b="0"/>
                <wp:wrapTopAndBottom/>
                <wp:docPr id="86" name="Group 86"/>
                <wp:cNvGraphicFramePr>
                  <a:graphicFrameLocks/>
                </wp:cNvGraphicFramePr>
                <a:graphic>
                  <a:graphicData uri="http://schemas.microsoft.com/office/word/2010/wordprocessingGroup">
                    <wpg:wgp>
                      <wpg:cNvPr id="86" name="Group 86"/>
                      <wpg:cNvGrpSpPr/>
                      <wpg:grpSpPr>
                        <a:xfrm>
                          <a:off x="0" y="0"/>
                          <a:ext cx="6159500" cy="2221865"/>
                          <a:chExt cx="6159500" cy="2221865"/>
                        </a:xfrm>
                      </wpg:grpSpPr>
                      <wps:wsp>
                        <wps:cNvPr id="87" name="Graphic 87"/>
                        <wps:cNvSpPr/>
                        <wps:spPr>
                          <a:xfrm>
                            <a:off x="0" y="2215363"/>
                            <a:ext cx="6159500" cy="6350"/>
                          </a:xfrm>
                          <a:custGeom>
                            <a:avLst/>
                            <a:gdLst/>
                            <a:ahLst/>
                            <a:cxnLst/>
                            <a:rect l="l" t="t" r="r" b="b"/>
                            <a:pathLst>
                              <a:path w="6159500" h="6350">
                                <a:moveTo>
                                  <a:pt x="6159246" y="0"/>
                                </a:moveTo>
                                <a:lnTo>
                                  <a:pt x="0" y="0"/>
                                </a:lnTo>
                                <a:lnTo>
                                  <a:pt x="0" y="6108"/>
                                </a:lnTo>
                                <a:lnTo>
                                  <a:pt x="6159246" y="6108"/>
                                </a:lnTo>
                                <a:lnTo>
                                  <a:pt x="6159246" y="0"/>
                                </a:lnTo>
                                <a:close/>
                              </a:path>
                            </a:pathLst>
                          </a:custGeom>
                          <a:solidFill>
                            <a:srgbClr val="D9D9D9"/>
                          </a:solidFill>
                        </wps:spPr>
                        <wps:bodyPr wrap="square" lIns="0" tIns="0" rIns="0" bIns="0" rtlCol="0">
                          <a:prstTxWarp prst="textNoShape">
                            <a:avLst/>
                          </a:prstTxWarp>
                          <a:noAutofit/>
                        </wps:bodyPr>
                      </wps:wsp>
                      <pic:pic>
                        <pic:nvPicPr>
                          <pic:cNvPr id="88" name="Image 88"/>
                          <pic:cNvPicPr/>
                        </pic:nvPicPr>
                        <pic:blipFill>
                          <a:blip r:embed="rId62" cstate="print"/>
                          <a:stretch>
                            <a:fillRect/>
                          </a:stretch>
                        </pic:blipFill>
                        <pic:spPr>
                          <a:xfrm>
                            <a:off x="4045203" y="38736"/>
                            <a:ext cx="2093593" cy="2175869"/>
                          </a:xfrm>
                          <a:prstGeom prst="rect">
                            <a:avLst/>
                          </a:prstGeom>
                        </pic:spPr>
                      </pic:pic>
                      <wps:wsp>
                        <wps:cNvPr id="89" name="Textbox 89"/>
                        <wps:cNvSpPr txBox="1"/>
                        <wps:spPr>
                          <a:xfrm>
                            <a:off x="0" y="0"/>
                            <a:ext cx="6159500" cy="2221865"/>
                          </a:xfrm>
                          <a:prstGeom prst="rect">
                            <a:avLst/>
                          </a:prstGeom>
                        </wps:spPr>
                        <wps:txbx>
                          <w:txbxContent>
                            <w:p>
                              <w:pPr>
                                <w:spacing w:line="224" w:lineRule="exact" w:before="0"/>
                                <w:ind w:left="174" w:right="0" w:firstLine="0"/>
                                <w:jc w:val="both"/>
                                <w:rPr>
                                  <w:sz w:val="22"/>
                                </w:rPr>
                              </w:pPr>
                              <w:r>
                                <w:rPr>
                                  <w:spacing w:val="-2"/>
                                  <w:sz w:val="22"/>
                                </w:rPr>
                                <w:t>years,</w:t>
                              </w:r>
                              <w:r>
                                <w:rPr>
                                  <w:spacing w:val="-3"/>
                                  <w:sz w:val="22"/>
                                </w:rPr>
                                <w:t> </w:t>
                              </w:r>
                              <w:r>
                                <w:rPr>
                                  <w:spacing w:val="-2"/>
                                  <w:sz w:val="22"/>
                                </w:rPr>
                                <w:t>offers Massachusetts decision-makers expertise</w:t>
                              </w:r>
                              <w:r>
                                <w:rPr>
                                  <w:spacing w:val="-3"/>
                                  <w:sz w:val="22"/>
                                </w:rPr>
                                <w:t> </w:t>
                              </w:r>
                              <w:r>
                                <w:rPr>
                                  <w:spacing w:val="-2"/>
                                  <w:sz w:val="22"/>
                                </w:rPr>
                                <w:t>that uniquely</w:t>
                              </w:r>
                            </w:p>
                            <w:p>
                              <w:pPr>
                                <w:spacing w:line="276" w:lineRule="auto" w:before="39"/>
                                <w:ind w:left="174" w:right="3470" w:firstLine="0"/>
                                <w:jc w:val="both"/>
                                <w:rPr>
                                  <w:sz w:val="22"/>
                                </w:rPr>
                              </w:pPr>
                              <w:r>
                                <w:rPr>
                                  <w:sz w:val="22"/>
                                </w:rPr>
                                <w:t>positions the Commonwealth to lead the way in the nation and beyond with effective policies to better serve LGBTQ youth. Sadly, that</w:t>
                              </w:r>
                              <w:r>
                                <w:rPr>
                                  <w:spacing w:val="-9"/>
                                  <w:sz w:val="22"/>
                                </w:rPr>
                                <w:t> </w:t>
                              </w:r>
                              <w:r>
                                <w:rPr>
                                  <w:sz w:val="22"/>
                                </w:rPr>
                                <w:t>leadership</w:t>
                              </w:r>
                              <w:r>
                                <w:rPr>
                                  <w:spacing w:val="-10"/>
                                  <w:sz w:val="22"/>
                                </w:rPr>
                                <w:t> </w:t>
                              </w:r>
                              <w:r>
                                <w:rPr>
                                  <w:sz w:val="22"/>
                                </w:rPr>
                                <w:t>is</w:t>
                              </w:r>
                              <w:r>
                                <w:rPr>
                                  <w:spacing w:val="-8"/>
                                  <w:sz w:val="22"/>
                                </w:rPr>
                                <w:t> </w:t>
                              </w:r>
                              <w:r>
                                <w:rPr>
                                  <w:sz w:val="22"/>
                                </w:rPr>
                                <w:t>needed</w:t>
                              </w:r>
                              <w:r>
                                <w:rPr>
                                  <w:spacing w:val="-8"/>
                                  <w:sz w:val="22"/>
                                </w:rPr>
                                <w:t> </w:t>
                              </w:r>
                              <w:r>
                                <w:rPr>
                                  <w:sz w:val="22"/>
                                </w:rPr>
                                <w:t>more</w:t>
                              </w:r>
                              <w:r>
                                <w:rPr>
                                  <w:spacing w:val="-10"/>
                                  <w:sz w:val="22"/>
                                </w:rPr>
                                <w:t> </w:t>
                              </w:r>
                              <w:r>
                                <w:rPr>
                                  <w:sz w:val="22"/>
                                </w:rPr>
                                <w:t>than</w:t>
                              </w:r>
                              <w:r>
                                <w:rPr>
                                  <w:spacing w:val="-10"/>
                                  <w:sz w:val="22"/>
                                </w:rPr>
                                <w:t> </w:t>
                              </w:r>
                              <w:r>
                                <w:rPr>
                                  <w:sz w:val="22"/>
                                </w:rPr>
                                <w:t>ever.</w:t>
                              </w:r>
                              <w:r>
                                <w:rPr>
                                  <w:spacing w:val="-10"/>
                                  <w:sz w:val="22"/>
                                </w:rPr>
                                <w:t> </w:t>
                              </w:r>
                              <w:r>
                                <w:rPr>
                                  <w:sz w:val="22"/>
                                </w:rPr>
                                <w:t>In</w:t>
                              </w:r>
                              <w:r>
                                <w:rPr>
                                  <w:spacing w:val="-9"/>
                                  <w:sz w:val="22"/>
                                </w:rPr>
                                <w:t> </w:t>
                              </w:r>
                              <w:r>
                                <w:rPr>
                                  <w:sz w:val="22"/>
                                </w:rPr>
                                <w:t>the</w:t>
                              </w:r>
                              <w:r>
                                <w:rPr>
                                  <w:spacing w:val="-9"/>
                                  <w:sz w:val="22"/>
                                </w:rPr>
                                <w:t> </w:t>
                              </w:r>
                              <w:r>
                                <w:rPr>
                                  <w:sz w:val="22"/>
                                </w:rPr>
                                <w:t>United</w:t>
                              </w:r>
                              <w:r>
                                <w:rPr>
                                  <w:spacing w:val="-10"/>
                                  <w:sz w:val="22"/>
                                </w:rPr>
                                <w:t> </w:t>
                              </w:r>
                              <w:r>
                                <w:rPr>
                                  <w:sz w:val="22"/>
                                </w:rPr>
                                <w:t>States,</w:t>
                              </w:r>
                              <w:r>
                                <w:rPr>
                                  <w:spacing w:val="-10"/>
                                  <w:sz w:val="22"/>
                                </w:rPr>
                                <w:t> </w:t>
                              </w:r>
                              <w:r>
                                <w:rPr>
                                  <w:sz w:val="22"/>
                                </w:rPr>
                                <w:t>from Supreme Court threats to LGBTQ rights on Capitol Hill to the daily microaggressions LGBTQ youth endure at school and at home, the challenge has grown more crucial while the nation has grown more </w:t>
                              </w:r>
                              <w:r>
                                <w:rPr>
                                  <w:spacing w:val="-2"/>
                                  <w:sz w:val="22"/>
                                </w:rPr>
                                <w:t>volatile.</w:t>
                              </w:r>
                            </w:p>
                            <w:p>
                              <w:pPr>
                                <w:spacing w:line="276" w:lineRule="auto" w:before="241"/>
                                <w:ind w:left="174" w:right="3470" w:firstLine="0"/>
                                <w:jc w:val="both"/>
                                <w:rPr>
                                  <w:sz w:val="22"/>
                                </w:rPr>
                              </w:pPr>
                              <w:r>
                                <w:rPr>
                                  <w:spacing w:val="-2"/>
                                  <w:sz w:val="22"/>
                                </w:rPr>
                                <w:t>An</w:t>
                              </w:r>
                              <w:r>
                                <w:rPr>
                                  <w:spacing w:val="-5"/>
                                  <w:sz w:val="22"/>
                                </w:rPr>
                                <w:t> </w:t>
                              </w:r>
                              <w:r>
                                <w:rPr>
                                  <w:spacing w:val="-2"/>
                                  <w:sz w:val="22"/>
                                </w:rPr>
                                <w:t>explosion</w:t>
                              </w:r>
                              <w:r>
                                <w:rPr>
                                  <w:spacing w:val="-5"/>
                                  <w:sz w:val="22"/>
                                </w:rPr>
                                <w:t> </w:t>
                              </w:r>
                              <w:r>
                                <w:rPr>
                                  <w:spacing w:val="-2"/>
                                  <w:sz w:val="22"/>
                                </w:rPr>
                                <w:t>of</w:t>
                              </w:r>
                              <w:r>
                                <w:rPr>
                                  <w:spacing w:val="-5"/>
                                  <w:sz w:val="22"/>
                                </w:rPr>
                                <w:t> </w:t>
                              </w:r>
                              <w:r>
                                <w:rPr>
                                  <w:spacing w:val="-2"/>
                                  <w:sz w:val="22"/>
                                </w:rPr>
                                <w:t>proposed</w:t>
                              </w:r>
                              <w:r>
                                <w:rPr>
                                  <w:spacing w:val="-5"/>
                                  <w:sz w:val="22"/>
                                </w:rPr>
                                <w:t> </w:t>
                              </w:r>
                              <w:r>
                                <w:rPr>
                                  <w:spacing w:val="-2"/>
                                  <w:sz w:val="22"/>
                                </w:rPr>
                                <w:t>anti-LGBTQ</w:t>
                              </w:r>
                              <w:r>
                                <w:rPr>
                                  <w:spacing w:val="-5"/>
                                  <w:sz w:val="22"/>
                                </w:rPr>
                                <w:t> </w:t>
                              </w:r>
                              <w:r>
                                <w:rPr>
                                  <w:spacing w:val="-2"/>
                                  <w:sz w:val="22"/>
                                </w:rPr>
                                <w:t>rights</w:t>
                              </w:r>
                              <w:r>
                                <w:rPr>
                                  <w:spacing w:val="-5"/>
                                  <w:sz w:val="22"/>
                                </w:rPr>
                                <w:t> </w:t>
                              </w:r>
                              <w:r>
                                <w:rPr>
                                  <w:spacing w:val="-2"/>
                                  <w:sz w:val="22"/>
                                </w:rPr>
                                <w:t>laws</w:t>
                              </w:r>
                              <w:r>
                                <w:rPr>
                                  <w:spacing w:val="-5"/>
                                  <w:sz w:val="22"/>
                                </w:rPr>
                                <w:t> </w:t>
                              </w:r>
                              <w:r>
                                <w:rPr>
                                  <w:spacing w:val="-2"/>
                                  <w:sz w:val="22"/>
                                </w:rPr>
                                <w:t>in</w:t>
                              </w:r>
                              <w:r>
                                <w:rPr>
                                  <w:spacing w:val="-4"/>
                                  <w:sz w:val="22"/>
                                </w:rPr>
                                <w:t> </w:t>
                              </w:r>
                              <w:r>
                                <w:rPr>
                                  <w:spacing w:val="-2"/>
                                  <w:sz w:val="22"/>
                                </w:rPr>
                                <w:t>the</w:t>
                              </w:r>
                              <w:r>
                                <w:rPr>
                                  <w:spacing w:val="-5"/>
                                  <w:sz w:val="22"/>
                                </w:rPr>
                                <w:t> </w:t>
                              </w:r>
                              <w:r>
                                <w:rPr>
                                  <w:spacing w:val="-2"/>
                                  <w:sz w:val="22"/>
                                </w:rPr>
                                <w:t>United</w:t>
                              </w:r>
                              <w:r>
                                <w:rPr>
                                  <w:spacing w:val="-4"/>
                                  <w:sz w:val="22"/>
                                </w:rPr>
                                <w:t> </w:t>
                              </w:r>
                              <w:r>
                                <w:rPr>
                                  <w:spacing w:val="-2"/>
                                  <w:sz w:val="22"/>
                                </w:rPr>
                                <w:t>States </w:t>
                              </w:r>
                              <w:r>
                                <w:rPr>
                                  <w:sz w:val="22"/>
                                </w:rPr>
                                <w:t>in</w:t>
                              </w:r>
                              <w:r>
                                <w:rPr>
                                  <w:spacing w:val="45"/>
                                  <w:sz w:val="22"/>
                                </w:rPr>
                                <w:t> </w:t>
                              </w:r>
                              <w:r>
                                <w:rPr>
                                  <w:sz w:val="22"/>
                                </w:rPr>
                                <w:t>recent</w:t>
                              </w:r>
                              <w:r>
                                <w:rPr>
                                  <w:spacing w:val="46"/>
                                  <w:sz w:val="22"/>
                                </w:rPr>
                                <w:t> </w:t>
                              </w:r>
                              <w:r>
                                <w:rPr>
                                  <w:sz w:val="22"/>
                                </w:rPr>
                                <w:t>months</w:t>
                              </w:r>
                              <w:r>
                                <w:rPr>
                                  <w:spacing w:val="48"/>
                                  <w:sz w:val="22"/>
                                </w:rPr>
                                <w:t> </w:t>
                              </w:r>
                              <w:r>
                                <w:rPr>
                                  <w:sz w:val="22"/>
                                </w:rPr>
                                <w:t>reflects</w:t>
                              </w:r>
                              <w:r>
                                <w:rPr>
                                  <w:spacing w:val="47"/>
                                  <w:sz w:val="22"/>
                                </w:rPr>
                                <w:t> </w:t>
                              </w:r>
                              <w:r>
                                <w:rPr>
                                  <w:sz w:val="22"/>
                                </w:rPr>
                                <w:t>and</w:t>
                              </w:r>
                              <w:r>
                                <w:rPr>
                                  <w:spacing w:val="47"/>
                                  <w:sz w:val="22"/>
                                </w:rPr>
                                <w:t> </w:t>
                              </w:r>
                              <w:r>
                                <w:rPr>
                                  <w:sz w:val="22"/>
                                </w:rPr>
                                <w:t>amplifies</w:t>
                              </w:r>
                              <w:r>
                                <w:rPr>
                                  <w:spacing w:val="48"/>
                                  <w:sz w:val="22"/>
                                </w:rPr>
                                <w:t> </w:t>
                              </w:r>
                              <w:r>
                                <w:rPr>
                                  <w:sz w:val="22"/>
                                </w:rPr>
                                <w:t>hostility</w:t>
                              </w:r>
                              <w:r>
                                <w:rPr>
                                  <w:spacing w:val="48"/>
                                  <w:sz w:val="22"/>
                                </w:rPr>
                                <w:t> </w:t>
                              </w:r>
                              <w:r>
                                <w:rPr>
                                  <w:sz w:val="22"/>
                                </w:rPr>
                                <w:t>toward</w:t>
                              </w:r>
                              <w:r>
                                <w:rPr>
                                  <w:spacing w:val="48"/>
                                  <w:sz w:val="22"/>
                                </w:rPr>
                                <w:t> </w:t>
                              </w:r>
                              <w:r>
                                <w:rPr>
                                  <w:spacing w:val="-2"/>
                                  <w:sz w:val="22"/>
                                </w:rPr>
                                <w:t>LGBTQ</w:t>
                              </w:r>
                            </w:p>
                          </w:txbxContent>
                        </wps:txbx>
                        <wps:bodyPr wrap="square" lIns="0" tIns="0" rIns="0" bIns="0" rtlCol="0">
                          <a:noAutofit/>
                        </wps:bodyPr>
                      </wps:wsp>
                    </wpg:wgp>
                  </a:graphicData>
                </a:graphic>
              </wp:anchor>
            </w:drawing>
          </mc:Choice>
          <mc:Fallback>
            <w:pict>
              <v:group style="position:absolute;margin-left:63.48pt;margin-top:4.191406pt;width:485pt;height:174.95pt;mso-position-horizontal-relative:page;mso-position-vertical-relative:paragraph;z-index:-15718912;mso-wrap-distance-left:0;mso-wrap-distance-right:0" id="docshapegroup69" coordorigin="1270,84" coordsize="9700,3499">
                <v:rect style="position:absolute;left:1269;top:3572;width:9700;height:10" id="docshape70" filled="true" fillcolor="#d9d9d9" stroked="false">
                  <v:fill type="solid"/>
                </v:rect>
                <v:shape style="position:absolute;left:7640;top:144;width:3297;height:3427" type="#_x0000_t75" id="docshape71" stroked="false">
                  <v:imagedata r:id="rId62" o:title=""/>
                </v:shape>
                <v:shape style="position:absolute;left:1269;top:83;width:9700;height:3499" type="#_x0000_t202" id="docshape72" filled="false" stroked="false">
                  <v:textbox inset="0,0,0,0">
                    <w:txbxContent>
                      <w:p>
                        <w:pPr>
                          <w:spacing w:line="224" w:lineRule="exact" w:before="0"/>
                          <w:ind w:left="174" w:right="0" w:firstLine="0"/>
                          <w:jc w:val="both"/>
                          <w:rPr>
                            <w:sz w:val="22"/>
                          </w:rPr>
                        </w:pPr>
                        <w:r>
                          <w:rPr>
                            <w:spacing w:val="-2"/>
                            <w:sz w:val="22"/>
                          </w:rPr>
                          <w:t>years,</w:t>
                        </w:r>
                        <w:r>
                          <w:rPr>
                            <w:spacing w:val="-3"/>
                            <w:sz w:val="22"/>
                          </w:rPr>
                          <w:t> </w:t>
                        </w:r>
                        <w:r>
                          <w:rPr>
                            <w:spacing w:val="-2"/>
                            <w:sz w:val="22"/>
                          </w:rPr>
                          <w:t>offers Massachusetts decision-makers expertise</w:t>
                        </w:r>
                        <w:r>
                          <w:rPr>
                            <w:spacing w:val="-3"/>
                            <w:sz w:val="22"/>
                          </w:rPr>
                          <w:t> </w:t>
                        </w:r>
                        <w:r>
                          <w:rPr>
                            <w:spacing w:val="-2"/>
                            <w:sz w:val="22"/>
                          </w:rPr>
                          <w:t>that uniquely</w:t>
                        </w:r>
                      </w:p>
                      <w:p>
                        <w:pPr>
                          <w:spacing w:line="276" w:lineRule="auto" w:before="39"/>
                          <w:ind w:left="174" w:right="3470" w:firstLine="0"/>
                          <w:jc w:val="both"/>
                          <w:rPr>
                            <w:sz w:val="22"/>
                          </w:rPr>
                        </w:pPr>
                        <w:r>
                          <w:rPr>
                            <w:sz w:val="22"/>
                          </w:rPr>
                          <w:t>positions the Commonwealth to lead the way in the nation and beyond with effective policies to better serve LGBTQ youth. Sadly, that</w:t>
                        </w:r>
                        <w:r>
                          <w:rPr>
                            <w:spacing w:val="-9"/>
                            <w:sz w:val="22"/>
                          </w:rPr>
                          <w:t> </w:t>
                        </w:r>
                        <w:r>
                          <w:rPr>
                            <w:sz w:val="22"/>
                          </w:rPr>
                          <w:t>leadership</w:t>
                        </w:r>
                        <w:r>
                          <w:rPr>
                            <w:spacing w:val="-10"/>
                            <w:sz w:val="22"/>
                          </w:rPr>
                          <w:t> </w:t>
                        </w:r>
                        <w:r>
                          <w:rPr>
                            <w:sz w:val="22"/>
                          </w:rPr>
                          <w:t>is</w:t>
                        </w:r>
                        <w:r>
                          <w:rPr>
                            <w:spacing w:val="-8"/>
                            <w:sz w:val="22"/>
                          </w:rPr>
                          <w:t> </w:t>
                        </w:r>
                        <w:r>
                          <w:rPr>
                            <w:sz w:val="22"/>
                          </w:rPr>
                          <w:t>needed</w:t>
                        </w:r>
                        <w:r>
                          <w:rPr>
                            <w:spacing w:val="-8"/>
                            <w:sz w:val="22"/>
                          </w:rPr>
                          <w:t> </w:t>
                        </w:r>
                        <w:r>
                          <w:rPr>
                            <w:sz w:val="22"/>
                          </w:rPr>
                          <w:t>more</w:t>
                        </w:r>
                        <w:r>
                          <w:rPr>
                            <w:spacing w:val="-10"/>
                            <w:sz w:val="22"/>
                          </w:rPr>
                          <w:t> </w:t>
                        </w:r>
                        <w:r>
                          <w:rPr>
                            <w:sz w:val="22"/>
                          </w:rPr>
                          <w:t>than</w:t>
                        </w:r>
                        <w:r>
                          <w:rPr>
                            <w:spacing w:val="-10"/>
                            <w:sz w:val="22"/>
                          </w:rPr>
                          <w:t> </w:t>
                        </w:r>
                        <w:r>
                          <w:rPr>
                            <w:sz w:val="22"/>
                          </w:rPr>
                          <w:t>ever.</w:t>
                        </w:r>
                        <w:r>
                          <w:rPr>
                            <w:spacing w:val="-10"/>
                            <w:sz w:val="22"/>
                          </w:rPr>
                          <w:t> </w:t>
                        </w:r>
                        <w:r>
                          <w:rPr>
                            <w:sz w:val="22"/>
                          </w:rPr>
                          <w:t>In</w:t>
                        </w:r>
                        <w:r>
                          <w:rPr>
                            <w:spacing w:val="-9"/>
                            <w:sz w:val="22"/>
                          </w:rPr>
                          <w:t> </w:t>
                        </w:r>
                        <w:r>
                          <w:rPr>
                            <w:sz w:val="22"/>
                          </w:rPr>
                          <w:t>the</w:t>
                        </w:r>
                        <w:r>
                          <w:rPr>
                            <w:spacing w:val="-9"/>
                            <w:sz w:val="22"/>
                          </w:rPr>
                          <w:t> </w:t>
                        </w:r>
                        <w:r>
                          <w:rPr>
                            <w:sz w:val="22"/>
                          </w:rPr>
                          <w:t>United</w:t>
                        </w:r>
                        <w:r>
                          <w:rPr>
                            <w:spacing w:val="-10"/>
                            <w:sz w:val="22"/>
                          </w:rPr>
                          <w:t> </w:t>
                        </w:r>
                        <w:r>
                          <w:rPr>
                            <w:sz w:val="22"/>
                          </w:rPr>
                          <w:t>States,</w:t>
                        </w:r>
                        <w:r>
                          <w:rPr>
                            <w:spacing w:val="-10"/>
                            <w:sz w:val="22"/>
                          </w:rPr>
                          <w:t> </w:t>
                        </w:r>
                        <w:r>
                          <w:rPr>
                            <w:sz w:val="22"/>
                          </w:rPr>
                          <w:t>from Supreme Court threats to LGBTQ rights on Capitol Hill to the daily microaggressions LGBTQ youth endure at school and at home, the challenge has grown more crucial while the nation has grown more </w:t>
                        </w:r>
                        <w:r>
                          <w:rPr>
                            <w:spacing w:val="-2"/>
                            <w:sz w:val="22"/>
                          </w:rPr>
                          <w:t>volatile.</w:t>
                        </w:r>
                      </w:p>
                      <w:p>
                        <w:pPr>
                          <w:spacing w:line="276" w:lineRule="auto" w:before="241"/>
                          <w:ind w:left="174" w:right="3470" w:firstLine="0"/>
                          <w:jc w:val="both"/>
                          <w:rPr>
                            <w:sz w:val="22"/>
                          </w:rPr>
                        </w:pPr>
                        <w:r>
                          <w:rPr>
                            <w:spacing w:val="-2"/>
                            <w:sz w:val="22"/>
                          </w:rPr>
                          <w:t>An</w:t>
                        </w:r>
                        <w:r>
                          <w:rPr>
                            <w:spacing w:val="-5"/>
                            <w:sz w:val="22"/>
                          </w:rPr>
                          <w:t> </w:t>
                        </w:r>
                        <w:r>
                          <w:rPr>
                            <w:spacing w:val="-2"/>
                            <w:sz w:val="22"/>
                          </w:rPr>
                          <w:t>explosion</w:t>
                        </w:r>
                        <w:r>
                          <w:rPr>
                            <w:spacing w:val="-5"/>
                            <w:sz w:val="22"/>
                          </w:rPr>
                          <w:t> </w:t>
                        </w:r>
                        <w:r>
                          <w:rPr>
                            <w:spacing w:val="-2"/>
                            <w:sz w:val="22"/>
                          </w:rPr>
                          <w:t>of</w:t>
                        </w:r>
                        <w:r>
                          <w:rPr>
                            <w:spacing w:val="-5"/>
                            <w:sz w:val="22"/>
                          </w:rPr>
                          <w:t> </w:t>
                        </w:r>
                        <w:r>
                          <w:rPr>
                            <w:spacing w:val="-2"/>
                            <w:sz w:val="22"/>
                          </w:rPr>
                          <w:t>proposed</w:t>
                        </w:r>
                        <w:r>
                          <w:rPr>
                            <w:spacing w:val="-5"/>
                            <w:sz w:val="22"/>
                          </w:rPr>
                          <w:t> </w:t>
                        </w:r>
                        <w:r>
                          <w:rPr>
                            <w:spacing w:val="-2"/>
                            <w:sz w:val="22"/>
                          </w:rPr>
                          <w:t>anti-LGBTQ</w:t>
                        </w:r>
                        <w:r>
                          <w:rPr>
                            <w:spacing w:val="-5"/>
                            <w:sz w:val="22"/>
                          </w:rPr>
                          <w:t> </w:t>
                        </w:r>
                        <w:r>
                          <w:rPr>
                            <w:spacing w:val="-2"/>
                            <w:sz w:val="22"/>
                          </w:rPr>
                          <w:t>rights</w:t>
                        </w:r>
                        <w:r>
                          <w:rPr>
                            <w:spacing w:val="-5"/>
                            <w:sz w:val="22"/>
                          </w:rPr>
                          <w:t> </w:t>
                        </w:r>
                        <w:r>
                          <w:rPr>
                            <w:spacing w:val="-2"/>
                            <w:sz w:val="22"/>
                          </w:rPr>
                          <w:t>laws</w:t>
                        </w:r>
                        <w:r>
                          <w:rPr>
                            <w:spacing w:val="-5"/>
                            <w:sz w:val="22"/>
                          </w:rPr>
                          <w:t> </w:t>
                        </w:r>
                        <w:r>
                          <w:rPr>
                            <w:spacing w:val="-2"/>
                            <w:sz w:val="22"/>
                          </w:rPr>
                          <w:t>in</w:t>
                        </w:r>
                        <w:r>
                          <w:rPr>
                            <w:spacing w:val="-4"/>
                            <w:sz w:val="22"/>
                          </w:rPr>
                          <w:t> </w:t>
                        </w:r>
                        <w:r>
                          <w:rPr>
                            <w:spacing w:val="-2"/>
                            <w:sz w:val="22"/>
                          </w:rPr>
                          <w:t>the</w:t>
                        </w:r>
                        <w:r>
                          <w:rPr>
                            <w:spacing w:val="-5"/>
                            <w:sz w:val="22"/>
                          </w:rPr>
                          <w:t> </w:t>
                        </w:r>
                        <w:r>
                          <w:rPr>
                            <w:spacing w:val="-2"/>
                            <w:sz w:val="22"/>
                          </w:rPr>
                          <w:t>United</w:t>
                        </w:r>
                        <w:r>
                          <w:rPr>
                            <w:spacing w:val="-4"/>
                            <w:sz w:val="22"/>
                          </w:rPr>
                          <w:t> </w:t>
                        </w:r>
                        <w:r>
                          <w:rPr>
                            <w:spacing w:val="-2"/>
                            <w:sz w:val="22"/>
                          </w:rPr>
                          <w:t>States </w:t>
                        </w:r>
                        <w:r>
                          <w:rPr>
                            <w:sz w:val="22"/>
                          </w:rPr>
                          <w:t>in</w:t>
                        </w:r>
                        <w:r>
                          <w:rPr>
                            <w:spacing w:val="45"/>
                            <w:sz w:val="22"/>
                          </w:rPr>
                          <w:t> </w:t>
                        </w:r>
                        <w:r>
                          <w:rPr>
                            <w:sz w:val="22"/>
                          </w:rPr>
                          <w:t>recent</w:t>
                        </w:r>
                        <w:r>
                          <w:rPr>
                            <w:spacing w:val="46"/>
                            <w:sz w:val="22"/>
                          </w:rPr>
                          <w:t> </w:t>
                        </w:r>
                        <w:r>
                          <w:rPr>
                            <w:sz w:val="22"/>
                          </w:rPr>
                          <w:t>months</w:t>
                        </w:r>
                        <w:r>
                          <w:rPr>
                            <w:spacing w:val="48"/>
                            <w:sz w:val="22"/>
                          </w:rPr>
                          <w:t> </w:t>
                        </w:r>
                        <w:r>
                          <w:rPr>
                            <w:sz w:val="22"/>
                          </w:rPr>
                          <w:t>reflects</w:t>
                        </w:r>
                        <w:r>
                          <w:rPr>
                            <w:spacing w:val="47"/>
                            <w:sz w:val="22"/>
                          </w:rPr>
                          <w:t> </w:t>
                        </w:r>
                        <w:r>
                          <w:rPr>
                            <w:sz w:val="22"/>
                          </w:rPr>
                          <w:t>and</w:t>
                        </w:r>
                        <w:r>
                          <w:rPr>
                            <w:spacing w:val="47"/>
                            <w:sz w:val="22"/>
                          </w:rPr>
                          <w:t> </w:t>
                        </w:r>
                        <w:r>
                          <w:rPr>
                            <w:sz w:val="22"/>
                          </w:rPr>
                          <w:t>amplifies</w:t>
                        </w:r>
                        <w:r>
                          <w:rPr>
                            <w:spacing w:val="48"/>
                            <w:sz w:val="22"/>
                          </w:rPr>
                          <w:t> </w:t>
                        </w:r>
                        <w:r>
                          <w:rPr>
                            <w:sz w:val="22"/>
                          </w:rPr>
                          <w:t>hostility</w:t>
                        </w:r>
                        <w:r>
                          <w:rPr>
                            <w:spacing w:val="48"/>
                            <w:sz w:val="22"/>
                          </w:rPr>
                          <w:t> </w:t>
                        </w:r>
                        <w:r>
                          <w:rPr>
                            <w:sz w:val="22"/>
                          </w:rPr>
                          <w:t>toward</w:t>
                        </w:r>
                        <w:r>
                          <w:rPr>
                            <w:spacing w:val="48"/>
                            <w:sz w:val="22"/>
                          </w:rPr>
                          <w:t> </w:t>
                        </w:r>
                        <w:r>
                          <w:rPr>
                            <w:spacing w:val="-2"/>
                            <w:sz w:val="22"/>
                          </w:rPr>
                          <w:t>LGBTQ</w:t>
                        </w:r>
                      </w:p>
                    </w:txbxContent>
                  </v:textbox>
                  <w10:wrap type="none"/>
                </v:shape>
                <w10:wrap type="topAndBottom"/>
              </v:group>
            </w:pict>
          </mc:Fallback>
        </mc:AlternateContent>
      </w:r>
    </w:p>
    <w:p>
      <w:pPr>
        <w:spacing w:after="0"/>
        <w:rPr>
          <w:sz w:val="4"/>
        </w:rPr>
        <w:sectPr>
          <w:headerReference w:type="default" r:id="rId59"/>
          <w:footerReference w:type="default" r:id="rId60"/>
          <w:pgSz w:w="12240" w:h="15840"/>
          <w:pgMar w:header="804" w:footer="1191" w:top="1000" w:bottom="1380" w:left="980" w:right="1160"/>
        </w:sectPr>
      </w:pPr>
    </w:p>
    <w:p>
      <w:pPr>
        <w:pStyle w:val="BodyText"/>
        <w:spacing w:line="276" w:lineRule="auto" w:before="139"/>
        <w:ind w:left="463" w:right="283"/>
        <w:jc w:val="both"/>
      </w:pPr>
      <w:r>
        <w:rPr/>
        <w:t>youth. As of the week of April 24, 2023, 469 anti-LGBTQ bills have been introduced across the United States – the highest number of anti-LGBTQ ever on record. Many of these pieces of proposed legislation specifically target transgender youth.</w:t>
      </w:r>
      <w:hyperlink w:history="true" w:anchor="_bookmark28">
        <w:r>
          <w:rPr>
            <w:vertAlign w:val="superscript"/>
          </w:rPr>
          <w:t>20</w:t>
        </w:r>
      </w:hyperlink>
    </w:p>
    <w:p>
      <w:pPr>
        <w:pStyle w:val="BodyText"/>
        <w:spacing w:line="276" w:lineRule="auto" w:before="239"/>
        <w:ind w:left="463" w:right="282"/>
        <w:jc w:val="both"/>
      </w:pPr>
      <w:r>
        <w:rPr/>
        <w:t>The</w:t>
      </w:r>
      <w:r>
        <w:rPr>
          <w:spacing w:val="-10"/>
        </w:rPr>
        <w:t> </w:t>
      </w:r>
      <w:r>
        <w:rPr/>
        <w:t>current</w:t>
      </w:r>
      <w:r>
        <w:rPr>
          <w:spacing w:val="-12"/>
        </w:rPr>
        <w:t> </w:t>
      </w:r>
      <w:r>
        <w:rPr/>
        <w:t>political</w:t>
      </w:r>
      <w:r>
        <w:rPr>
          <w:spacing w:val="-11"/>
        </w:rPr>
        <w:t> </w:t>
      </w:r>
      <w:r>
        <w:rPr/>
        <w:t>climate</w:t>
      </w:r>
      <w:r>
        <w:rPr>
          <w:spacing w:val="-11"/>
        </w:rPr>
        <w:t> </w:t>
      </w:r>
      <w:r>
        <w:rPr/>
        <w:t>and</w:t>
      </w:r>
      <w:r>
        <w:rPr>
          <w:spacing w:val="-11"/>
        </w:rPr>
        <w:t> </w:t>
      </w:r>
      <w:r>
        <w:rPr/>
        <w:t>the</w:t>
      </w:r>
      <w:r>
        <w:rPr>
          <w:spacing w:val="-11"/>
        </w:rPr>
        <w:t> </w:t>
      </w:r>
      <w:r>
        <w:rPr/>
        <w:t>very</w:t>
      </w:r>
      <w:r>
        <w:rPr>
          <w:spacing w:val="-11"/>
        </w:rPr>
        <w:t> </w:t>
      </w:r>
      <w:r>
        <w:rPr/>
        <w:t>existence</w:t>
      </w:r>
      <w:r>
        <w:rPr>
          <w:spacing w:val="-11"/>
        </w:rPr>
        <w:t> </w:t>
      </w:r>
      <w:r>
        <w:rPr/>
        <w:t>of</w:t>
      </w:r>
      <w:r>
        <w:rPr>
          <w:spacing w:val="-10"/>
        </w:rPr>
        <w:t> </w:t>
      </w:r>
      <w:r>
        <w:rPr/>
        <w:t>these</w:t>
      </w:r>
      <w:r>
        <w:rPr>
          <w:spacing w:val="-10"/>
        </w:rPr>
        <w:t> </w:t>
      </w:r>
      <w:r>
        <w:rPr/>
        <w:t>proposals</w:t>
      </w:r>
      <w:r>
        <w:rPr>
          <w:spacing w:val="-11"/>
        </w:rPr>
        <w:t> </w:t>
      </w:r>
      <w:r>
        <w:rPr/>
        <w:t>stigmatize</w:t>
      </w:r>
      <w:r>
        <w:rPr>
          <w:spacing w:val="-10"/>
        </w:rPr>
        <w:t> </w:t>
      </w:r>
      <w:r>
        <w:rPr/>
        <w:t>and</w:t>
      </w:r>
      <w:r>
        <w:rPr>
          <w:spacing w:val="-11"/>
        </w:rPr>
        <w:t> </w:t>
      </w:r>
      <w:r>
        <w:rPr/>
        <w:t>harm</w:t>
      </w:r>
      <w:r>
        <w:rPr>
          <w:spacing w:val="-10"/>
        </w:rPr>
        <w:t> </w:t>
      </w:r>
      <w:r>
        <w:rPr/>
        <w:t>the</w:t>
      </w:r>
      <w:r>
        <w:rPr>
          <w:spacing w:val="-11"/>
        </w:rPr>
        <w:t> </w:t>
      </w:r>
      <w:r>
        <w:rPr/>
        <w:t>well-being of young people. Even in states where anti-LGBTQ legislation has not been proposed, youth are experiencing collective trauma</w:t>
      </w:r>
      <w:hyperlink w:history="true" w:anchor="_bookmark29">
        <w:r>
          <w:rPr/>
          <w:t>.</w:t>
        </w:r>
        <w:r>
          <w:rPr>
            <w:vertAlign w:val="superscript"/>
          </w:rPr>
          <w:t>21</w:t>
        </w:r>
      </w:hyperlink>
      <w:r>
        <w:rPr>
          <w:vertAlign w:val="baseline"/>
        </w:rPr>
        <w:t> Indeed, throughout the nation, the pervasive sense of reality is that LGBTQ rights are conditional and can be rescinded.</w:t>
      </w:r>
    </w:p>
    <w:p>
      <w:pPr>
        <w:pStyle w:val="BodyText"/>
        <w:spacing w:line="276" w:lineRule="auto" w:before="240"/>
        <w:ind w:left="463" w:right="283"/>
        <w:jc w:val="both"/>
      </w:pPr>
      <w:r>
        <w:rPr/>
        <w:t>In a December 2022 survey from The Trevor Project, 90% of LGBTQ youth in Massachusetts stated that the recent national and community rhetoric attacking LGBTQ youth had negatively affected their well- being. In its analysis of the poll results, The Trevor Project notes that “LGBTQ youth are not inherently prone to suicide risk because of their sexual orientation or gender identity, but rather placed at higher risk</w:t>
      </w:r>
      <w:r>
        <w:rPr>
          <w:spacing w:val="-2"/>
        </w:rPr>
        <w:t> </w:t>
      </w:r>
      <w:r>
        <w:rPr/>
        <w:t>because</w:t>
      </w:r>
      <w:r>
        <w:rPr>
          <w:spacing w:val="-1"/>
        </w:rPr>
        <w:t> </w:t>
      </w:r>
      <w:r>
        <w:rPr/>
        <w:t>of</w:t>
      </w:r>
      <w:r>
        <w:rPr>
          <w:spacing w:val="-2"/>
        </w:rPr>
        <w:t> </w:t>
      </w:r>
      <w:r>
        <w:rPr/>
        <w:t>how</w:t>
      </w:r>
      <w:r>
        <w:rPr>
          <w:spacing w:val="-2"/>
        </w:rPr>
        <w:t> </w:t>
      </w:r>
      <w:r>
        <w:rPr/>
        <w:t>they</w:t>
      </w:r>
      <w:r>
        <w:rPr>
          <w:spacing w:val="-2"/>
        </w:rPr>
        <w:t> </w:t>
      </w:r>
      <w:r>
        <w:rPr/>
        <w:t>are</w:t>
      </w:r>
      <w:r>
        <w:rPr>
          <w:spacing w:val="-2"/>
        </w:rPr>
        <w:t> </w:t>
      </w:r>
      <w:r>
        <w:rPr/>
        <w:t>mistreated</w:t>
      </w:r>
      <w:r>
        <w:rPr>
          <w:spacing w:val="-1"/>
        </w:rPr>
        <w:t> </w:t>
      </w:r>
      <w:r>
        <w:rPr/>
        <w:t>and</w:t>
      </w:r>
      <w:r>
        <w:rPr>
          <w:spacing w:val="-2"/>
        </w:rPr>
        <w:t> </w:t>
      </w:r>
      <w:r>
        <w:rPr/>
        <w:t>stigmatized</w:t>
      </w:r>
      <w:r>
        <w:rPr>
          <w:spacing w:val="-2"/>
        </w:rPr>
        <w:t> </w:t>
      </w:r>
      <w:r>
        <w:rPr/>
        <w:t>in</w:t>
      </w:r>
      <w:r>
        <w:rPr>
          <w:spacing w:val="-2"/>
        </w:rPr>
        <w:t> </w:t>
      </w:r>
      <w:r>
        <w:rPr/>
        <w:t>society.”</w:t>
      </w:r>
      <w:hyperlink w:history="true" w:anchor="_bookmark30">
        <w:r>
          <w:rPr>
            <w:color w:val="1154CC"/>
            <w:u w:val="single" w:color="1154CC"/>
            <w:vertAlign w:val="superscript"/>
          </w:rPr>
          <w:t>22</w:t>
        </w:r>
      </w:hyperlink>
      <w:r>
        <w:rPr>
          <w:color w:val="1154CC"/>
          <w:spacing w:val="-2"/>
          <w:u w:val="none"/>
          <w:vertAlign w:val="baseline"/>
        </w:rPr>
        <w:t> </w:t>
      </w:r>
      <w:r>
        <w:rPr>
          <w:u w:val="none"/>
          <w:vertAlign w:val="baseline"/>
        </w:rPr>
        <w:t>The</w:t>
      </w:r>
      <w:r>
        <w:rPr>
          <w:spacing w:val="-2"/>
          <w:u w:val="none"/>
          <w:vertAlign w:val="baseline"/>
        </w:rPr>
        <w:t> </w:t>
      </w:r>
      <w:r>
        <w:rPr>
          <w:u w:val="none"/>
          <w:vertAlign w:val="baseline"/>
        </w:rPr>
        <w:t>mental</w:t>
      </w:r>
      <w:r>
        <w:rPr>
          <w:spacing w:val="-2"/>
          <w:u w:val="none"/>
          <w:vertAlign w:val="baseline"/>
        </w:rPr>
        <w:t> </w:t>
      </w:r>
      <w:r>
        <w:rPr>
          <w:u w:val="none"/>
          <w:vertAlign w:val="baseline"/>
        </w:rPr>
        <w:t>health</w:t>
      </w:r>
      <w:r>
        <w:rPr>
          <w:spacing w:val="-2"/>
          <w:u w:val="none"/>
          <w:vertAlign w:val="baseline"/>
        </w:rPr>
        <w:t> </w:t>
      </w:r>
      <w:r>
        <w:rPr>
          <w:u w:val="none"/>
          <w:vertAlign w:val="baseline"/>
        </w:rPr>
        <w:t>toll</w:t>
      </w:r>
      <w:r>
        <w:rPr>
          <w:spacing w:val="-1"/>
          <w:u w:val="none"/>
          <w:vertAlign w:val="baseline"/>
        </w:rPr>
        <w:t> </w:t>
      </w:r>
      <w:r>
        <w:rPr>
          <w:u w:val="none"/>
          <w:vertAlign w:val="baseline"/>
        </w:rPr>
        <w:t>on</w:t>
      </w:r>
      <w:r>
        <w:rPr>
          <w:spacing w:val="-2"/>
          <w:u w:val="none"/>
          <w:vertAlign w:val="baseline"/>
        </w:rPr>
        <w:t> </w:t>
      </w:r>
      <w:r>
        <w:rPr>
          <w:u w:val="none"/>
          <w:vertAlign w:val="baseline"/>
        </w:rPr>
        <w:t>youth</w:t>
      </w:r>
      <w:r>
        <w:rPr>
          <w:spacing w:val="-2"/>
          <w:u w:val="none"/>
          <w:vertAlign w:val="baseline"/>
        </w:rPr>
        <w:t> </w:t>
      </w:r>
      <w:r>
        <w:rPr>
          <w:u w:val="none"/>
          <w:vertAlign w:val="baseline"/>
        </w:rPr>
        <w:t>of the current national environment underscores the need for Massachusetts policymakers to bolster laws that protect our LGBTQ young people and for educators, providers, and agencies to examine their own responsibilities in serving LGBTQ youth.</w:t>
      </w:r>
    </w:p>
    <w:p>
      <w:pPr>
        <w:spacing w:before="239"/>
        <w:ind w:left="463" w:right="0" w:firstLine="0"/>
        <w:jc w:val="both"/>
        <w:rPr>
          <w:sz w:val="28"/>
        </w:rPr>
      </w:pPr>
      <w:bookmarkStart w:name="The State Context: Anxiety, Vulnerable Y" w:id="99"/>
      <w:bookmarkEnd w:id="99"/>
      <w:r>
        <w:rPr/>
      </w:r>
      <w:r>
        <w:rPr>
          <w:color w:val="365F91"/>
          <w:sz w:val="28"/>
        </w:rPr>
        <w:t>The</w:t>
      </w:r>
      <w:r>
        <w:rPr>
          <w:color w:val="365F91"/>
          <w:spacing w:val="-9"/>
          <w:sz w:val="28"/>
        </w:rPr>
        <w:t> </w:t>
      </w:r>
      <w:r>
        <w:rPr>
          <w:color w:val="365F91"/>
          <w:sz w:val="28"/>
        </w:rPr>
        <w:t>State</w:t>
      </w:r>
      <w:r>
        <w:rPr>
          <w:color w:val="365F91"/>
          <w:spacing w:val="-9"/>
          <w:sz w:val="28"/>
        </w:rPr>
        <w:t> </w:t>
      </w:r>
      <w:r>
        <w:rPr>
          <w:color w:val="365F91"/>
          <w:sz w:val="28"/>
        </w:rPr>
        <w:t>Context:</w:t>
      </w:r>
      <w:r>
        <w:rPr>
          <w:color w:val="365F91"/>
          <w:spacing w:val="-10"/>
          <w:sz w:val="28"/>
        </w:rPr>
        <w:t> </w:t>
      </w:r>
      <w:r>
        <w:rPr>
          <w:color w:val="365F91"/>
          <w:sz w:val="28"/>
        </w:rPr>
        <w:t>Anxiety,</w:t>
      </w:r>
      <w:r>
        <w:rPr>
          <w:color w:val="365F91"/>
          <w:spacing w:val="-9"/>
          <w:sz w:val="28"/>
        </w:rPr>
        <w:t> </w:t>
      </w:r>
      <w:r>
        <w:rPr>
          <w:color w:val="365F91"/>
          <w:sz w:val="28"/>
        </w:rPr>
        <w:t>Vulnerable</w:t>
      </w:r>
      <w:r>
        <w:rPr>
          <w:color w:val="365F91"/>
          <w:spacing w:val="-9"/>
          <w:sz w:val="28"/>
        </w:rPr>
        <w:t> </w:t>
      </w:r>
      <w:r>
        <w:rPr>
          <w:color w:val="365F91"/>
          <w:sz w:val="28"/>
        </w:rPr>
        <w:t>Youth,</w:t>
      </w:r>
      <w:r>
        <w:rPr>
          <w:color w:val="365F91"/>
          <w:spacing w:val="-8"/>
          <w:sz w:val="28"/>
        </w:rPr>
        <w:t> </w:t>
      </w:r>
      <w:r>
        <w:rPr>
          <w:color w:val="365F91"/>
          <w:sz w:val="28"/>
        </w:rPr>
        <w:t>and</w:t>
      </w:r>
      <w:r>
        <w:rPr>
          <w:color w:val="365F91"/>
          <w:spacing w:val="-10"/>
          <w:sz w:val="28"/>
        </w:rPr>
        <w:t> </w:t>
      </w:r>
      <w:r>
        <w:rPr>
          <w:color w:val="365F91"/>
          <w:sz w:val="28"/>
        </w:rPr>
        <w:t>Failing</w:t>
      </w:r>
      <w:r>
        <w:rPr>
          <w:color w:val="365F91"/>
          <w:spacing w:val="-9"/>
          <w:sz w:val="28"/>
        </w:rPr>
        <w:t> </w:t>
      </w:r>
      <w:r>
        <w:rPr>
          <w:color w:val="365F91"/>
          <w:spacing w:val="-2"/>
          <w:sz w:val="28"/>
        </w:rPr>
        <w:t>Systems</w:t>
      </w:r>
    </w:p>
    <w:p>
      <w:pPr>
        <w:pStyle w:val="BodyText"/>
        <w:spacing w:line="276" w:lineRule="auto" w:before="293"/>
        <w:ind w:left="463" w:right="282"/>
        <w:jc w:val="both"/>
      </w:pPr>
      <w:r>
        <w:rPr/>
        <w:t>Narrowing the focus from international and national perspectives to a state-level view, recent data specific to Massachusetts reveal unsettling levels of anxiety and distress--despite the state’s history of efforts to support LGBTQ youth. As highlighted in the MYRBS analysis section, new data from the 2021 Massachusetts Youth Risk Behavior Survey indicates that at least 1 in 5 (21.9%) Massachusetts youth identify as LGB, with 5.3% identifying as transgender or questioning. The 2022 U.S. National Survey on LGBTQ Youth Mental Health by State reveals that in Massachusetts last year, 41% of LGBTQ youth, including</w:t>
      </w:r>
      <w:r>
        <w:rPr>
          <w:spacing w:val="-7"/>
        </w:rPr>
        <w:t> </w:t>
      </w:r>
      <w:r>
        <w:rPr/>
        <w:t>51%</w:t>
      </w:r>
      <w:r>
        <w:rPr>
          <w:spacing w:val="-7"/>
        </w:rPr>
        <w:t> </w:t>
      </w:r>
      <w:r>
        <w:rPr/>
        <w:t>of</w:t>
      </w:r>
      <w:r>
        <w:rPr>
          <w:spacing w:val="-6"/>
        </w:rPr>
        <w:t> </w:t>
      </w:r>
      <w:r>
        <w:rPr/>
        <w:t>transgender</w:t>
      </w:r>
      <w:r>
        <w:rPr>
          <w:spacing w:val="-7"/>
        </w:rPr>
        <w:t> </w:t>
      </w:r>
      <w:r>
        <w:rPr/>
        <w:t>and</w:t>
      </w:r>
      <w:r>
        <w:rPr>
          <w:spacing w:val="-7"/>
        </w:rPr>
        <w:t> </w:t>
      </w:r>
      <w:r>
        <w:rPr/>
        <w:t>nonbinary</w:t>
      </w:r>
      <w:r>
        <w:rPr>
          <w:spacing w:val="-7"/>
        </w:rPr>
        <w:t> </w:t>
      </w:r>
      <w:r>
        <w:rPr/>
        <w:t>youth,</w:t>
      </w:r>
      <w:r>
        <w:rPr>
          <w:spacing w:val="-7"/>
        </w:rPr>
        <w:t> </w:t>
      </w:r>
      <w:r>
        <w:rPr/>
        <w:t>seriously</w:t>
      </w:r>
      <w:r>
        <w:rPr>
          <w:spacing w:val="-7"/>
        </w:rPr>
        <w:t> </w:t>
      </w:r>
      <w:r>
        <w:rPr/>
        <w:t>considered</w:t>
      </w:r>
      <w:r>
        <w:rPr>
          <w:spacing w:val="-7"/>
        </w:rPr>
        <w:t> </w:t>
      </w:r>
      <w:r>
        <w:rPr/>
        <w:t>suicide</w:t>
      </w:r>
      <w:r>
        <w:rPr>
          <w:spacing w:val="-6"/>
        </w:rPr>
        <w:t> </w:t>
      </w:r>
      <w:r>
        <w:rPr/>
        <w:t>in</w:t>
      </w:r>
      <w:r>
        <w:rPr>
          <w:spacing w:val="-5"/>
        </w:rPr>
        <w:t> </w:t>
      </w:r>
      <w:r>
        <w:rPr/>
        <w:t>the</w:t>
      </w:r>
      <w:r>
        <w:rPr>
          <w:spacing w:val="-6"/>
        </w:rPr>
        <w:t> </w:t>
      </w:r>
      <w:r>
        <w:rPr/>
        <w:t>past</w:t>
      </w:r>
      <w:r>
        <w:rPr>
          <w:spacing w:val="-7"/>
        </w:rPr>
        <w:t> </w:t>
      </w:r>
      <w:r>
        <w:rPr/>
        <w:t>year.</w:t>
      </w:r>
      <w:r>
        <w:rPr>
          <w:spacing w:val="-7"/>
        </w:rPr>
        <w:t> </w:t>
      </w:r>
      <w:r>
        <w:rPr/>
        <w:t>Further, 11% of LGBTQ youth, including 15% of transgender and nonbinary youth, attempted suicide in the past year.</w:t>
      </w:r>
      <w:r>
        <w:rPr>
          <w:spacing w:val="-12"/>
        </w:rPr>
        <w:t> </w:t>
      </w:r>
      <w:r>
        <w:rPr/>
        <w:t>These</w:t>
      </w:r>
      <w:r>
        <w:rPr>
          <w:spacing w:val="-11"/>
        </w:rPr>
        <w:t> </w:t>
      </w:r>
      <w:r>
        <w:rPr/>
        <w:t>feelings</w:t>
      </w:r>
      <w:r>
        <w:rPr>
          <w:spacing w:val="-11"/>
        </w:rPr>
        <w:t> </w:t>
      </w:r>
      <w:r>
        <w:rPr/>
        <w:t>do</w:t>
      </w:r>
      <w:r>
        <w:rPr>
          <w:spacing w:val="-11"/>
        </w:rPr>
        <w:t> </w:t>
      </w:r>
      <w:r>
        <w:rPr/>
        <w:t>not</w:t>
      </w:r>
      <w:r>
        <w:rPr>
          <w:spacing w:val="-12"/>
        </w:rPr>
        <w:t> </w:t>
      </w:r>
      <w:r>
        <w:rPr/>
        <w:t>come</w:t>
      </w:r>
      <w:r>
        <w:rPr>
          <w:spacing w:val="-10"/>
        </w:rPr>
        <w:t> </w:t>
      </w:r>
      <w:r>
        <w:rPr/>
        <w:t>unaccompanied,</w:t>
      </w:r>
      <w:r>
        <w:rPr>
          <w:spacing w:val="-11"/>
        </w:rPr>
        <w:t> </w:t>
      </w:r>
      <w:r>
        <w:rPr/>
        <w:t>71%</w:t>
      </w:r>
      <w:r>
        <w:rPr>
          <w:spacing w:val="-11"/>
        </w:rPr>
        <w:t> </w:t>
      </w:r>
      <w:r>
        <w:rPr/>
        <w:t>of</w:t>
      </w:r>
      <w:r>
        <w:rPr>
          <w:spacing w:val="-11"/>
        </w:rPr>
        <w:t> </w:t>
      </w:r>
      <w:r>
        <w:rPr/>
        <w:t>LGBTQ</w:t>
      </w:r>
      <w:r>
        <w:rPr>
          <w:spacing w:val="-11"/>
        </w:rPr>
        <w:t> </w:t>
      </w:r>
      <w:r>
        <w:rPr/>
        <w:t>youth,</w:t>
      </w:r>
      <w:r>
        <w:rPr>
          <w:spacing w:val="-11"/>
        </w:rPr>
        <w:t> </w:t>
      </w:r>
      <w:r>
        <w:rPr/>
        <w:t>including</w:t>
      </w:r>
      <w:r>
        <w:rPr>
          <w:spacing w:val="-11"/>
        </w:rPr>
        <w:t> </w:t>
      </w:r>
      <w:r>
        <w:rPr/>
        <w:t>78%</w:t>
      </w:r>
      <w:r>
        <w:rPr>
          <w:spacing w:val="-11"/>
        </w:rPr>
        <w:t> </w:t>
      </w:r>
      <w:r>
        <w:rPr/>
        <w:t>of</w:t>
      </w:r>
      <w:r>
        <w:rPr>
          <w:spacing w:val="-11"/>
        </w:rPr>
        <w:t> </w:t>
      </w:r>
      <w:r>
        <w:rPr/>
        <w:t>transgender</w:t>
      </w:r>
      <w:r>
        <w:rPr>
          <w:spacing w:val="-11"/>
        </w:rPr>
        <w:t> </w:t>
      </w:r>
      <w:r>
        <w:rPr/>
        <w:t>and nonbinary youth, reported experiencing symptoms of anxiety symptoms, and 51% of LGBTQ youth, including 64% of transgender youth, reported experiencing symptoms of depression.</w:t>
      </w:r>
    </w:p>
    <w:p>
      <w:pPr>
        <w:pStyle w:val="BodyText"/>
        <w:spacing w:line="276" w:lineRule="auto" w:before="239"/>
        <w:ind w:left="463" w:right="283"/>
        <w:jc w:val="both"/>
      </w:pPr>
      <w:r>
        <w:rPr/>
        <w:t>As noted above, the Commission recommends that the legislature codify the Massachusetts Parentage Act, which would update the Commonwealth’s outdated parentage laws by allowing same-gender non- </w:t>
      </w:r>
      <w:r>
        <w:rPr>
          <w:spacing w:val="-2"/>
        </w:rPr>
        <w:t>biological</w:t>
      </w:r>
      <w:r>
        <w:rPr>
          <w:spacing w:val="-3"/>
        </w:rPr>
        <w:t> </w:t>
      </w:r>
      <w:r>
        <w:rPr>
          <w:spacing w:val="-2"/>
        </w:rPr>
        <w:t>parents to</w:t>
      </w:r>
      <w:r>
        <w:rPr>
          <w:spacing w:val="-3"/>
        </w:rPr>
        <w:t> </w:t>
      </w:r>
      <w:r>
        <w:rPr>
          <w:spacing w:val="-2"/>
        </w:rPr>
        <w:t>be legally</w:t>
      </w:r>
      <w:r>
        <w:rPr>
          <w:spacing w:val="-3"/>
        </w:rPr>
        <w:t> </w:t>
      </w:r>
      <w:r>
        <w:rPr>
          <w:spacing w:val="-2"/>
        </w:rPr>
        <w:t>recognized</w:t>
      </w:r>
      <w:r>
        <w:rPr>
          <w:spacing w:val="-3"/>
        </w:rPr>
        <w:t> </w:t>
      </w:r>
      <w:r>
        <w:rPr>
          <w:spacing w:val="-2"/>
        </w:rPr>
        <w:t>as</w:t>
      </w:r>
      <w:r>
        <w:rPr>
          <w:spacing w:val="-3"/>
        </w:rPr>
        <w:t> </w:t>
      </w:r>
      <w:r>
        <w:rPr>
          <w:spacing w:val="-2"/>
        </w:rPr>
        <w:t>parents, as</w:t>
      </w:r>
      <w:r>
        <w:rPr>
          <w:spacing w:val="-3"/>
        </w:rPr>
        <w:t> </w:t>
      </w:r>
      <w:r>
        <w:rPr>
          <w:spacing w:val="-2"/>
        </w:rPr>
        <w:t>well</w:t>
      </w:r>
      <w:r>
        <w:rPr>
          <w:spacing w:val="-3"/>
        </w:rPr>
        <w:t> </w:t>
      </w:r>
      <w:r>
        <w:rPr>
          <w:spacing w:val="-2"/>
        </w:rPr>
        <w:t>as</w:t>
      </w:r>
      <w:r>
        <w:rPr>
          <w:spacing w:val="-3"/>
        </w:rPr>
        <w:t> </w:t>
      </w:r>
      <w:r>
        <w:rPr>
          <w:spacing w:val="-2"/>
        </w:rPr>
        <w:t>would</w:t>
      </w:r>
      <w:r>
        <w:rPr>
          <w:spacing w:val="-3"/>
        </w:rPr>
        <w:t> </w:t>
      </w:r>
      <w:r>
        <w:rPr>
          <w:spacing w:val="-2"/>
        </w:rPr>
        <w:t>recognize de-facto parentage which </w:t>
      </w:r>
      <w:r>
        <w:rPr/>
        <w:t>would reduce instances of youth being placed in the child welfare system</w:t>
      </w:r>
      <w:hyperlink w:history="true" w:anchor="_bookmark31">
        <w:r>
          <w:rPr/>
          <w:t>.</w:t>
        </w:r>
        <w:r>
          <w:rPr>
            <w:vertAlign w:val="superscript"/>
          </w:rPr>
          <w:t>23</w:t>
        </w:r>
      </w:hyperlink>
    </w:p>
    <w:p>
      <w:pPr>
        <w:spacing w:line="276" w:lineRule="auto" w:before="239"/>
        <w:ind w:left="463" w:right="284" w:firstLine="0"/>
        <w:jc w:val="both"/>
        <w:rPr>
          <w:sz w:val="28"/>
        </w:rPr>
      </w:pPr>
      <w:bookmarkStart w:name="Among the Most Marginalized: LGBTQ Youth" w:id="100"/>
      <w:bookmarkEnd w:id="100"/>
      <w:r>
        <w:rPr/>
      </w:r>
      <w:r>
        <w:rPr>
          <w:color w:val="365F91"/>
          <w:sz w:val="28"/>
        </w:rPr>
        <w:t>Among</w:t>
      </w:r>
      <w:r>
        <w:rPr>
          <w:color w:val="365F91"/>
          <w:spacing w:val="-5"/>
          <w:sz w:val="28"/>
        </w:rPr>
        <w:t> </w:t>
      </w:r>
      <w:r>
        <w:rPr>
          <w:color w:val="365F91"/>
          <w:sz w:val="28"/>
        </w:rPr>
        <w:t>the</w:t>
      </w:r>
      <w:r>
        <w:rPr>
          <w:color w:val="365F91"/>
          <w:spacing w:val="-5"/>
          <w:sz w:val="28"/>
        </w:rPr>
        <w:t> </w:t>
      </w:r>
      <w:r>
        <w:rPr>
          <w:color w:val="365F91"/>
          <w:sz w:val="28"/>
        </w:rPr>
        <w:t>Most</w:t>
      </w:r>
      <w:r>
        <w:rPr>
          <w:color w:val="365F91"/>
          <w:spacing w:val="-5"/>
          <w:sz w:val="28"/>
        </w:rPr>
        <w:t> </w:t>
      </w:r>
      <w:r>
        <w:rPr>
          <w:color w:val="365F91"/>
          <w:sz w:val="28"/>
        </w:rPr>
        <w:t>Marginalized:</w:t>
      </w:r>
      <w:r>
        <w:rPr>
          <w:color w:val="365F91"/>
          <w:spacing w:val="-6"/>
          <w:sz w:val="28"/>
        </w:rPr>
        <w:t> </w:t>
      </w:r>
      <w:r>
        <w:rPr>
          <w:color w:val="365F91"/>
          <w:sz w:val="28"/>
        </w:rPr>
        <w:t>LGBTQ</w:t>
      </w:r>
      <w:r>
        <w:rPr>
          <w:color w:val="365F91"/>
          <w:spacing w:val="-5"/>
          <w:sz w:val="28"/>
        </w:rPr>
        <w:t> </w:t>
      </w:r>
      <w:r>
        <w:rPr>
          <w:color w:val="365F91"/>
          <w:sz w:val="28"/>
        </w:rPr>
        <w:t>Youth</w:t>
      </w:r>
      <w:r>
        <w:rPr>
          <w:color w:val="365F91"/>
          <w:spacing w:val="-6"/>
          <w:sz w:val="28"/>
        </w:rPr>
        <w:t> </w:t>
      </w:r>
      <w:r>
        <w:rPr>
          <w:color w:val="365F91"/>
          <w:sz w:val="28"/>
        </w:rPr>
        <w:t>in</w:t>
      </w:r>
      <w:r>
        <w:rPr>
          <w:color w:val="365F91"/>
          <w:spacing w:val="-6"/>
          <w:sz w:val="28"/>
        </w:rPr>
        <w:t> </w:t>
      </w:r>
      <w:r>
        <w:rPr>
          <w:color w:val="365F91"/>
          <w:sz w:val="28"/>
        </w:rPr>
        <w:t>the</w:t>
      </w:r>
      <w:r>
        <w:rPr>
          <w:color w:val="365F91"/>
          <w:spacing w:val="-4"/>
          <w:sz w:val="28"/>
        </w:rPr>
        <w:t> </w:t>
      </w:r>
      <w:r>
        <w:rPr>
          <w:color w:val="365F91"/>
          <w:sz w:val="28"/>
        </w:rPr>
        <w:t>Child</w:t>
      </w:r>
      <w:r>
        <w:rPr>
          <w:color w:val="365F91"/>
          <w:spacing w:val="-6"/>
          <w:sz w:val="28"/>
        </w:rPr>
        <w:t> </w:t>
      </w:r>
      <w:r>
        <w:rPr>
          <w:color w:val="365F91"/>
          <w:sz w:val="28"/>
        </w:rPr>
        <w:t>Welfare,</w:t>
      </w:r>
      <w:r>
        <w:rPr>
          <w:color w:val="365F91"/>
          <w:spacing w:val="-6"/>
          <w:sz w:val="28"/>
        </w:rPr>
        <w:t> </w:t>
      </w:r>
      <w:r>
        <w:rPr>
          <w:color w:val="365F91"/>
          <w:sz w:val="28"/>
        </w:rPr>
        <w:t>Juvenile</w:t>
      </w:r>
      <w:r>
        <w:rPr>
          <w:color w:val="365F91"/>
          <w:spacing w:val="-5"/>
          <w:sz w:val="28"/>
        </w:rPr>
        <w:t> </w:t>
      </w:r>
      <w:r>
        <w:rPr>
          <w:color w:val="365F91"/>
          <w:sz w:val="28"/>
        </w:rPr>
        <w:t>Justice, and Mental Health Systems</w:t>
      </w:r>
    </w:p>
    <w:p>
      <w:pPr>
        <w:pStyle w:val="BodyText"/>
        <w:spacing w:line="276" w:lineRule="auto" w:before="241"/>
        <w:ind w:left="463" w:right="283"/>
        <w:jc w:val="both"/>
      </w:pPr>
      <w:r>
        <w:rPr/>
        <w:t>Though</w:t>
      </w:r>
      <w:r>
        <w:rPr>
          <w:spacing w:val="-7"/>
        </w:rPr>
        <w:t> </w:t>
      </w:r>
      <w:r>
        <w:rPr/>
        <w:t>the</w:t>
      </w:r>
      <w:r>
        <w:rPr>
          <w:spacing w:val="-7"/>
        </w:rPr>
        <w:t> </w:t>
      </w:r>
      <w:r>
        <w:rPr/>
        <w:t>well-being</w:t>
      </w:r>
      <w:r>
        <w:rPr>
          <w:spacing w:val="-7"/>
        </w:rPr>
        <w:t> </w:t>
      </w:r>
      <w:r>
        <w:rPr/>
        <w:t>of</w:t>
      </w:r>
      <w:r>
        <w:rPr>
          <w:spacing w:val="-7"/>
        </w:rPr>
        <w:t> </w:t>
      </w:r>
      <w:r>
        <w:rPr/>
        <w:t>all</w:t>
      </w:r>
      <w:r>
        <w:rPr>
          <w:spacing w:val="-7"/>
        </w:rPr>
        <w:t> </w:t>
      </w:r>
      <w:r>
        <w:rPr/>
        <w:t>LGBTQ</w:t>
      </w:r>
      <w:r>
        <w:rPr>
          <w:spacing w:val="-7"/>
        </w:rPr>
        <w:t> </w:t>
      </w:r>
      <w:r>
        <w:rPr/>
        <w:t>young</w:t>
      </w:r>
      <w:r>
        <w:rPr>
          <w:spacing w:val="-7"/>
        </w:rPr>
        <w:t> </w:t>
      </w:r>
      <w:r>
        <w:rPr/>
        <w:t>people</w:t>
      </w:r>
      <w:r>
        <w:rPr>
          <w:spacing w:val="-7"/>
        </w:rPr>
        <w:t> </w:t>
      </w:r>
      <w:r>
        <w:rPr/>
        <w:t>in</w:t>
      </w:r>
      <w:r>
        <w:rPr>
          <w:spacing w:val="-7"/>
        </w:rPr>
        <w:t> </w:t>
      </w:r>
      <w:r>
        <w:rPr/>
        <w:t>the</w:t>
      </w:r>
      <w:r>
        <w:rPr>
          <w:spacing w:val="-7"/>
        </w:rPr>
        <w:t> </w:t>
      </w:r>
      <w:r>
        <w:rPr/>
        <w:t>state</w:t>
      </w:r>
      <w:r>
        <w:rPr>
          <w:spacing w:val="-7"/>
        </w:rPr>
        <w:t> </w:t>
      </w:r>
      <w:r>
        <w:rPr/>
        <w:t>merits</w:t>
      </w:r>
      <w:r>
        <w:rPr>
          <w:spacing w:val="-6"/>
        </w:rPr>
        <w:t> </w:t>
      </w:r>
      <w:r>
        <w:rPr/>
        <w:t>concerted</w:t>
      </w:r>
      <w:r>
        <w:rPr>
          <w:spacing w:val="-7"/>
        </w:rPr>
        <w:t> </w:t>
      </w:r>
      <w:r>
        <w:rPr/>
        <w:t>ongoing</w:t>
      </w:r>
      <w:r>
        <w:rPr>
          <w:spacing w:val="-7"/>
        </w:rPr>
        <w:t> </w:t>
      </w:r>
      <w:r>
        <w:rPr/>
        <w:t>attention,</w:t>
      </w:r>
      <w:r>
        <w:rPr>
          <w:spacing w:val="-7"/>
        </w:rPr>
        <w:t> </w:t>
      </w:r>
      <w:r>
        <w:rPr/>
        <w:t>LGBTQ young</w:t>
      </w:r>
      <w:r>
        <w:rPr>
          <w:spacing w:val="-2"/>
        </w:rPr>
        <w:t> </w:t>
      </w:r>
      <w:r>
        <w:rPr/>
        <w:t>people involved</w:t>
      </w:r>
      <w:r>
        <w:rPr>
          <w:spacing w:val="-2"/>
        </w:rPr>
        <w:t> </w:t>
      </w:r>
      <w:r>
        <w:rPr/>
        <w:t>with</w:t>
      </w:r>
      <w:r>
        <w:rPr>
          <w:spacing w:val="-2"/>
        </w:rPr>
        <w:t> </w:t>
      </w:r>
      <w:r>
        <w:rPr/>
        <w:t>the child</w:t>
      </w:r>
      <w:r>
        <w:rPr>
          <w:spacing w:val="-2"/>
        </w:rPr>
        <w:t> </w:t>
      </w:r>
      <w:r>
        <w:rPr/>
        <w:t>welfare,</w:t>
      </w:r>
      <w:r>
        <w:rPr>
          <w:spacing w:val="-1"/>
        </w:rPr>
        <w:t> </w:t>
      </w:r>
      <w:r>
        <w:rPr/>
        <w:t>juvenile</w:t>
      </w:r>
      <w:r>
        <w:rPr>
          <w:spacing w:val="-2"/>
        </w:rPr>
        <w:t> </w:t>
      </w:r>
      <w:r>
        <w:rPr/>
        <w:t>justice,</w:t>
      </w:r>
      <w:r>
        <w:rPr>
          <w:spacing w:val="-1"/>
        </w:rPr>
        <w:t> </w:t>
      </w:r>
      <w:r>
        <w:rPr/>
        <w:t>and</w:t>
      </w:r>
      <w:r>
        <w:rPr>
          <w:spacing w:val="-1"/>
        </w:rPr>
        <w:t> </w:t>
      </w:r>
      <w:r>
        <w:rPr/>
        <w:t>mental</w:t>
      </w:r>
      <w:r>
        <w:rPr>
          <w:spacing w:val="-2"/>
        </w:rPr>
        <w:t> </w:t>
      </w:r>
      <w:r>
        <w:rPr/>
        <w:t>health</w:t>
      </w:r>
      <w:r>
        <w:rPr>
          <w:spacing w:val="-2"/>
        </w:rPr>
        <w:t> </w:t>
      </w:r>
      <w:r>
        <w:rPr/>
        <w:t>systems</w:t>
      </w:r>
      <w:r>
        <w:rPr>
          <w:spacing w:val="-1"/>
        </w:rPr>
        <w:t> </w:t>
      </w:r>
      <w:r>
        <w:rPr/>
        <w:t>are among</w:t>
      </w:r>
      <w:r>
        <w:rPr>
          <w:spacing w:val="-2"/>
        </w:rPr>
        <w:t> </w:t>
      </w:r>
      <w:r>
        <w:rPr/>
        <w:t>the most</w:t>
      </w:r>
      <w:r>
        <w:rPr>
          <w:spacing w:val="34"/>
        </w:rPr>
        <w:t> </w:t>
      </w:r>
      <w:r>
        <w:rPr/>
        <w:t>vulnerable</w:t>
      </w:r>
      <w:r>
        <w:rPr>
          <w:spacing w:val="35"/>
        </w:rPr>
        <w:t> </w:t>
      </w:r>
      <w:r>
        <w:rPr/>
        <w:t>youth</w:t>
      </w:r>
      <w:r>
        <w:rPr>
          <w:spacing w:val="34"/>
        </w:rPr>
        <w:t> </w:t>
      </w:r>
      <w:r>
        <w:rPr/>
        <w:t>in</w:t>
      </w:r>
      <w:r>
        <w:rPr>
          <w:spacing w:val="37"/>
        </w:rPr>
        <w:t> </w:t>
      </w:r>
      <w:r>
        <w:rPr/>
        <w:t>our</w:t>
      </w:r>
      <w:r>
        <w:rPr>
          <w:spacing w:val="35"/>
        </w:rPr>
        <w:t> </w:t>
      </w:r>
      <w:r>
        <w:rPr/>
        <w:t>state.</w:t>
      </w:r>
      <w:r>
        <w:rPr>
          <w:spacing w:val="36"/>
        </w:rPr>
        <w:t> </w:t>
      </w:r>
      <w:r>
        <w:rPr/>
        <w:t>The</w:t>
      </w:r>
      <w:r>
        <w:rPr>
          <w:spacing w:val="35"/>
        </w:rPr>
        <w:t> </w:t>
      </w:r>
      <w:r>
        <w:rPr/>
        <w:t>state</w:t>
      </w:r>
      <w:r>
        <w:rPr>
          <w:spacing w:val="36"/>
        </w:rPr>
        <w:t> </w:t>
      </w:r>
      <w:r>
        <w:rPr/>
        <w:t>agencies</w:t>
      </w:r>
      <w:r>
        <w:rPr>
          <w:spacing w:val="35"/>
        </w:rPr>
        <w:t> </w:t>
      </w:r>
      <w:r>
        <w:rPr/>
        <w:t>that</w:t>
      </w:r>
      <w:r>
        <w:rPr>
          <w:spacing w:val="34"/>
        </w:rPr>
        <w:t> </w:t>
      </w:r>
      <w:r>
        <w:rPr/>
        <w:t>serve</w:t>
      </w:r>
      <w:r>
        <w:rPr>
          <w:spacing w:val="35"/>
        </w:rPr>
        <w:t> </w:t>
      </w:r>
      <w:r>
        <w:rPr/>
        <w:t>youth</w:t>
      </w:r>
      <w:r>
        <w:rPr>
          <w:spacing w:val="36"/>
        </w:rPr>
        <w:t> </w:t>
      </w:r>
      <w:r>
        <w:rPr/>
        <w:t>in</w:t>
      </w:r>
      <w:r>
        <w:rPr>
          <w:spacing w:val="36"/>
        </w:rPr>
        <w:t> </w:t>
      </w:r>
      <w:r>
        <w:rPr/>
        <w:t>crisis</w:t>
      </w:r>
      <w:r>
        <w:rPr>
          <w:spacing w:val="35"/>
        </w:rPr>
        <w:t> </w:t>
      </w:r>
      <w:r>
        <w:rPr/>
        <w:t>demand</w:t>
      </w:r>
      <w:r>
        <w:rPr>
          <w:spacing w:val="34"/>
        </w:rPr>
        <w:t> </w:t>
      </w:r>
      <w:r>
        <w:rPr/>
        <w:t>particular</w:t>
      </w:r>
    </w:p>
    <w:p>
      <w:pPr>
        <w:spacing w:after="0" w:line="276" w:lineRule="auto"/>
        <w:jc w:val="both"/>
        <w:sectPr>
          <w:headerReference w:type="default" r:id="rId63"/>
          <w:footerReference w:type="default" r:id="rId64"/>
          <w:pgSz w:w="12240" w:h="15840"/>
          <w:pgMar w:header="804" w:footer="1263" w:top="1000" w:bottom="1460" w:left="980" w:right="1160"/>
        </w:sectPr>
      </w:pPr>
    </w:p>
    <w:p>
      <w:pPr>
        <w:pStyle w:val="BodyText"/>
        <w:spacing w:line="276" w:lineRule="auto" w:before="139"/>
        <w:ind w:left="463" w:right="284"/>
        <w:jc w:val="both"/>
      </w:pPr>
      <w:r>
        <w:rPr/>
        <w:t>attention,</w:t>
      </w:r>
      <w:r>
        <w:rPr>
          <w:spacing w:val="-7"/>
        </w:rPr>
        <w:t> </w:t>
      </w:r>
      <w:r>
        <w:rPr/>
        <w:t>as</w:t>
      </w:r>
      <w:r>
        <w:rPr>
          <w:spacing w:val="-7"/>
        </w:rPr>
        <w:t> </w:t>
      </w:r>
      <w:r>
        <w:rPr/>
        <w:t>national</w:t>
      </w:r>
      <w:r>
        <w:rPr>
          <w:spacing w:val="-8"/>
        </w:rPr>
        <w:t> </w:t>
      </w:r>
      <w:r>
        <w:rPr/>
        <w:t>data</w:t>
      </w:r>
      <w:r>
        <w:rPr>
          <w:spacing w:val="-6"/>
        </w:rPr>
        <w:t> </w:t>
      </w:r>
      <w:r>
        <w:rPr/>
        <w:t>indicates</w:t>
      </w:r>
      <w:r>
        <w:rPr>
          <w:spacing w:val="-7"/>
        </w:rPr>
        <w:t> </w:t>
      </w:r>
      <w:r>
        <w:rPr/>
        <w:t>that</w:t>
      </w:r>
      <w:r>
        <w:rPr>
          <w:spacing w:val="-7"/>
        </w:rPr>
        <w:t> </w:t>
      </w:r>
      <w:r>
        <w:rPr/>
        <w:t>QTBIPOC</w:t>
      </w:r>
      <w:r>
        <w:rPr>
          <w:spacing w:val="-7"/>
        </w:rPr>
        <w:t> </w:t>
      </w:r>
      <w:r>
        <w:rPr/>
        <w:t>youth</w:t>
      </w:r>
      <w:r>
        <w:rPr>
          <w:spacing w:val="-8"/>
        </w:rPr>
        <w:t> </w:t>
      </w:r>
      <w:r>
        <w:rPr/>
        <w:t>are</w:t>
      </w:r>
      <w:r>
        <w:rPr>
          <w:spacing w:val="-8"/>
        </w:rPr>
        <w:t> </w:t>
      </w:r>
      <w:r>
        <w:rPr/>
        <w:t>often</w:t>
      </w:r>
      <w:r>
        <w:rPr>
          <w:spacing w:val="-7"/>
        </w:rPr>
        <w:t> </w:t>
      </w:r>
      <w:r>
        <w:rPr/>
        <w:t>the</w:t>
      </w:r>
      <w:r>
        <w:rPr>
          <w:spacing w:val="-7"/>
        </w:rPr>
        <w:t> </w:t>
      </w:r>
      <w:r>
        <w:rPr/>
        <w:t>most</w:t>
      </w:r>
      <w:r>
        <w:rPr>
          <w:spacing w:val="-8"/>
        </w:rPr>
        <w:t> </w:t>
      </w:r>
      <w:r>
        <w:rPr/>
        <w:t>underserved</w:t>
      </w:r>
      <w:r>
        <w:rPr>
          <w:spacing w:val="-8"/>
        </w:rPr>
        <w:t> </w:t>
      </w:r>
      <w:r>
        <w:rPr/>
        <w:t>among</w:t>
      </w:r>
      <w:r>
        <w:rPr>
          <w:spacing w:val="-8"/>
        </w:rPr>
        <w:t> </w:t>
      </w:r>
      <w:r>
        <w:rPr/>
        <w:t>youth</w:t>
      </w:r>
      <w:r>
        <w:rPr>
          <w:spacing w:val="-8"/>
        </w:rPr>
        <w:t> </w:t>
      </w:r>
      <w:r>
        <w:rPr/>
        <w:t>in the child welfare and juvenile justice systems</w:t>
      </w:r>
      <w:hyperlink w:history="true" w:anchor="_bookmark32">
        <w:r>
          <w:rPr/>
          <w:t>.</w:t>
        </w:r>
        <w:r>
          <w:rPr>
            <w:vertAlign w:val="superscript"/>
          </w:rPr>
          <w:t>24</w:t>
        </w:r>
      </w:hyperlink>
    </w:p>
    <w:p>
      <w:pPr>
        <w:pStyle w:val="BodyText"/>
        <w:spacing w:line="276" w:lineRule="auto" w:before="239"/>
        <w:ind w:left="463" w:right="283"/>
        <w:jc w:val="both"/>
      </w:pPr>
      <w:r>
        <w:rPr/>
        <w:t>Often,</w:t>
      </w:r>
      <w:r>
        <w:rPr>
          <w:spacing w:val="-2"/>
        </w:rPr>
        <w:t> </w:t>
      </w:r>
      <w:r>
        <w:rPr/>
        <w:t>youth</w:t>
      </w:r>
      <w:r>
        <w:rPr>
          <w:spacing w:val="-1"/>
        </w:rPr>
        <w:t> </w:t>
      </w:r>
      <w:r>
        <w:rPr/>
        <w:t>involved</w:t>
      </w:r>
      <w:r>
        <w:rPr>
          <w:spacing w:val="-2"/>
        </w:rPr>
        <w:t> </w:t>
      </w:r>
      <w:r>
        <w:rPr/>
        <w:t>in</w:t>
      </w:r>
      <w:r>
        <w:rPr>
          <w:spacing w:val="-2"/>
        </w:rPr>
        <w:t> </w:t>
      </w:r>
      <w:r>
        <w:rPr/>
        <w:t>one</w:t>
      </w:r>
      <w:r>
        <w:rPr>
          <w:spacing w:val="-2"/>
        </w:rPr>
        <w:t> </w:t>
      </w:r>
      <w:r>
        <w:rPr/>
        <w:t>system</w:t>
      </w:r>
      <w:r>
        <w:rPr>
          <w:spacing w:val="-1"/>
        </w:rPr>
        <w:t> </w:t>
      </w:r>
      <w:r>
        <w:rPr/>
        <w:t>are</w:t>
      </w:r>
      <w:r>
        <w:rPr>
          <w:spacing w:val="-2"/>
        </w:rPr>
        <w:t> </w:t>
      </w:r>
      <w:r>
        <w:rPr/>
        <w:t>actually</w:t>
      </w:r>
      <w:r>
        <w:rPr>
          <w:spacing w:val="-2"/>
        </w:rPr>
        <w:t> </w:t>
      </w:r>
      <w:r>
        <w:rPr/>
        <w:t>involved</w:t>
      </w:r>
      <w:r>
        <w:rPr>
          <w:spacing w:val="-2"/>
        </w:rPr>
        <w:t> </w:t>
      </w:r>
      <w:r>
        <w:rPr/>
        <w:t>in</w:t>
      </w:r>
      <w:r>
        <w:rPr>
          <w:spacing w:val="-1"/>
        </w:rPr>
        <w:t> </w:t>
      </w:r>
      <w:r>
        <w:rPr/>
        <w:t>multiple</w:t>
      </w:r>
      <w:r>
        <w:rPr>
          <w:spacing w:val="-2"/>
        </w:rPr>
        <w:t> </w:t>
      </w:r>
      <w:r>
        <w:rPr/>
        <w:t>systems;</w:t>
      </w:r>
      <w:hyperlink w:history="true" w:anchor="_bookmark33">
        <w:r>
          <w:rPr>
            <w:vertAlign w:val="superscript"/>
          </w:rPr>
          <w:t>25</w:t>
        </w:r>
      </w:hyperlink>
      <w:r>
        <w:rPr>
          <w:spacing w:val="-2"/>
          <w:vertAlign w:val="baseline"/>
        </w:rPr>
        <w:t> </w:t>
      </w:r>
      <w:r>
        <w:rPr>
          <w:vertAlign w:val="baseline"/>
        </w:rPr>
        <w:t>these</w:t>
      </w:r>
      <w:r>
        <w:rPr>
          <w:spacing w:val="-1"/>
          <w:vertAlign w:val="baseline"/>
        </w:rPr>
        <w:t> </w:t>
      </w:r>
      <w:r>
        <w:rPr>
          <w:vertAlign w:val="baseline"/>
        </w:rPr>
        <w:t>young</w:t>
      </w:r>
      <w:r>
        <w:rPr>
          <w:spacing w:val="-1"/>
          <w:vertAlign w:val="baseline"/>
        </w:rPr>
        <w:t> </w:t>
      </w:r>
      <w:r>
        <w:rPr>
          <w:vertAlign w:val="baseline"/>
        </w:rPr>
        <w:t>people</w:t>
      </w:r>
      <w:r>
        <w:rPr>
          <w:spacing w:val="-1"/>
          <w:vertAlign w:val="baseline"/>
        </w:rPr>
        <w:t> </w:t>
      </w:r>
      <w:r>
        <w:rPr>
          <w:vertAlign w:val="baseline"/>
        </w:rPr>
        <w:t>may be</w:t>
      </w:r>
      <w:r>
        <w:rPr>
          <w:spacing w:val="-8"/>
          <w:vertAlign w:val="baseline"/>
        </w:rPr>
        <w:t> </w:t>
      </w:r>
      <w:r>
        <w:rPr>
          <w:vertAlign w:val="baseline"/>
        </w:rPr>
        <w:t>labeled</w:t>
      </w:r>
      <w:r>
        <w:rPr>
          <w:spacing w:val="-8"/>
          <w:vertAlign w:val="baseline"/>
        </w:rPr>
        <w:t> </w:t>
      </w:r>
      <w:r>
        <w:rPr>
          <w:vertAlign w:val="baseline"/>
        </w:rPr>
        <w:t>as</w:t>
      </w:r>
      <w:r>
        <w:rPr>
          <w:spacing w:val="-6"/>
          <w:vertAlign w:val="baseline"/>
        </w:rPr>
        <w:t> </w:t>
      </w:r>
      <w:r>
        <w:rPr>
          <w:vertAlign w:val="baseline"/>
        </w:rPr>
        <w:t>multisystem-involved</w:t>
      </w:r>
      <w:r>
        <w:rPr>
          <w:spacing w:val="-8"/>
          <w:vertAlign w:val="baseline"/>
        </w:rPr>
        <w:t> </w:t>
      </w:r>
      <w:r>
        <w:rPr>
          <w:vertAlign w:val="baseline"/>
        </w:rPr>
        <w:t>youth,</w:t>
      </w:r>
      <w:r>
        <w:rPr>
          <w:spacing w:val="-7"/>
          <w:vertAlign w:val="baseline"/>
        </w:rPr>
        <w:t> </w:t>
      </w:r>
      <w:r>
        <w:rPr>
          <w:vertAlign w:val="baseline"/>
        </w:rPr>
        <w:t>dual-system-involved</w:t>
      </w:r>
      <w:r>
        <w:rPr>
          <w:spacing w:val="-8"/>
          <w:vertAlign w:val="baseline"/>
        </w:rPr>
        <w:t> </w:t>
      </w:r>
      <w:r>
        <w:rPr>
          <w:vertAlign w:val="baseline"/>
        </w:rPr>
        <w:t>youth,</w:t>
      </w:r>
      <w:r>
        <w:rPr>
          <w:spacing w:val="-7"/>
          <w:vertAlign w:val="baseline"/>
        </w:rPr>
        <w:t> </w:t>
      </w:r>
      <w:r>
        <w:rPr>
          <w:vertAlign w:val="baseline"/>
        </w:rPr>
        <w:t>or</w:t>
      </w:r>
      <w:r>
        <w:rPr>
          <w:spacing w:val="-7"/>
          <w:vertAlign w:val="baseline"/>
        </w:rPr>
        <w:t> </w:t>
      </w:r>
      <w:r>
        <w:rPr>
          <w:vertAlign w:val="baseline"/>
        </w:rPr>
        <w:t>crossover</w:t>
      </w:r>
      <w:r>
        <w:rPr>
          <w:spacing w:val="-7"/>
          <w:vertAlign w:val="baseline"/>
        </w:rPr>
        <w:t> </w:t>
      </w:r>
      <w:r>
        <w:rPr>
          <w:vertAlign w:val="baseline"/>
        </w:rPr>
        <w:t>youth.</w:t>
      </w:r>
      <w:r>
        <w:rPr>
          <w:spacing w:val="-8"/>
          <w:vertAlign w:val="baseline"/>
        </w:rPr>
        <w:t> </w:t>
      </w:r>
      <w:r>
        <w:rPr>
          <w:vertAlign w:val="baseline"/>
        </w:rPr>
        <w:t>The</w:t>
      </w:r>
      <w:r>
        <w:rPr>
          <w:spacing w:val="-8"/>
          <w:vertAlign w:val="baseline"/>
        </w:rPr>
        <w:t> </w:t>
      </w:r>
      <w:r>
        <w:rPr>
          <w:vertAlign w:val="baseline"/>
        </w:rPr>
        <w:t>effects</w:t>
      </w:r>
      <w:r>
        <w:rPr>
          <w:spacing w:val="-7"/>
          <w:vertAlign w:val="baseline"/>
        </w:rPr>
        <w:t> </w:t>
      </w:r>
      <w:r>
        <w:rPr>
          <w:vertAlign w:val="baseline"/>
        </w:rPr>
        <w:t>of entering</w:t>
      </w:r>
      <w:r>
        <w:rPr>
          <w:spacing w:val="-3"/>
          <w:vertAlign w:val="baseline"/>
        </w:rPr>
        <w:t> </w:t>
      </w:r>
      <w:r>
        <w:rPr>
          <w:vertAlign w:val="baseline"/>
        </w:rPr>
        <w:t>these</w:t>
      </w:r>
      <w:r>
        <w:rPr>
          <w:spacing w:val="-4"/>
          <w:vertAlign w:val="baseline"/>
        </w:rPr>
        <w:t> </w:t>
      </w:r>
      <w:r>
        <w:rPr>
          <w:vertAlign w:val="baseline"/>
        </w:rPr>
        <w:t>systems</w:t>
      </w:r>
      <w:r>
        <w:rPr>
          <w:spacing w:val="-2"/>
          <w:vertAlign w:val="baseline"/>
        </w:rPr>
        <w:t> </w:t>
      </w:r>
      <w:r>
        <w:rPr>
          <w:vertAlign w:val="baseline"/>
        </w:rPr>
        <w:t>cascade</w:t>
      </w:r>
      <w:r>
        <w:rPr>
          <w:spacing w:val="-4"/>
          <w:vertAlign w:val="baseline"/>
        </w:rPr>
        <w:t> </w:t>
      </w:r>
      <w:r>
        <w:rPr>
          <w:vertAlign w:val="baseline"/>
        </w:rPr>
        <w:t>as</w:t>
      </w:r>
      <w:r>
        <w:rPr>
          <w:spacing w:val="-2"/>
          <w:vertAlign w:val="baseline"/>
        </w:rPr>
        <w:t> </w:t>
      </w:r>
      <w:r>
        <w:rPr>
          <w:vertAlign w:val="baseline"/>
        </w:rPr>
        <w:t>children</w:t>
      </w:r>
      <w:r>
        <w:rPr>
          <w:spacing w:val="-4"/>
          <w:vertAlign w:val="baseline"/>
        </w:rPr>
        <w:t> </w:t>
      </w:r>
      <w:r>
        <w:rPr>
          <w:vertAlign w:val="baseline"/>
        </w:rPr>
        <w:t>develop.</w:t>
      </w:r>
      <w:r>
        <w:rPr>
          <w:spacing w:val="-4"/>
          <w:vertAlign w:val="baseline"/>
        </w:rPr>
        <w:t> </w:t>
      </w:r>
      <w:r>
        <w:rPr>
          <w:vertAlign w:val="baseline"/>
        </w:rPr>
        <w:t>Pre-adolescent</w:t>
      </w:r>
      <w:r>
        <w:rPr>
          <w:spacing w:val="-4"/>
          <w:vertAlign w:val="baseline"/>
        </w:rPr>
        <w:t> </w:t>
      </w:r>
      <w:r>
        <w:rPr>
          <w:vertAlign w:val="baseline"/>
        </w:rPr>
        <w:t>children</w:t>
      </w:r>
      <w:r>
        <w:rPr>
          <w:spacing w:val="-4"/>
          <w:vertAlign w:val="baseline"/>
        </w:rPr>
        <w:t> </w:t>
      </w:r>
      <w:r>
        <w:rPr>
          <w:vertAlign w:val="baseline"/>
        </w:rPr>
        <w:t>who</w:t>
      </w:r>
      <w:r>
        <w:rPr>
          <w:spacing w:val="-3"/>
          <w:vertAlign w:val="baseline"/>
        </w:rPr>
        <w:t> </w:t>
      </w:r>
      <w:r>
        <w:rPr>
          <w:vertAlign w:val="baseline"/>
        </w:rPr>
        <w:t>enter</w:t>
      </w:r>
      <w:r>
        <w:rPr>
          <w:spacing w:val="-3"/>
          <w:vertAlign w:val="baseline"/>
        </w:rPr>
        <w:t> </w:t>
      </w:r>
      <w:r>
        <w:rPr>
          <w:vertAlign w:val="baseline"/>
        </w:rPr>
        <w:t>the</w:t>
      </w:r>
      <w:r>
        <w:rPr>
          <w:spacing w:val="-3"/>
          <w:vertAlign w:val="baseline"/>
        </w:rPr>
        <w:t> </w:t>
      </w:r>
      <w:r>
        <w:rPr>
          <w:vertAlign w:val="baseline"/>
        </w:rPr>
        <w:t>child</w:t>
      </w:r>
      <w:r>
        <w:rPr>
          <w:spacing w:val="-4"/>
          <w:vertAlign w:val="baseline"/>
        </w:rPr>
        <w:t> </w:t>
      </w:r>
      <w:r>
        <w:rPr>
          <w:vertAlign w:val="baseline"/>
        </w:rPr>
        <w:t>welfare system disproportionately enter the mental health system; and adolescents who enter the child welfare system often become enmeshed in the juvenile justice system as well as the mental health system. Research</w:t>
      </w:r>
      <w:r>
        <w:rPr>
          <w:spacing w:val="-9"/>
          <w:vertAlign w:val="baseline"/>
        </w:rPr>
        <w:t> </w:t>
      </w:r>
      <w:r>
        <w:rPr>
          <w:vertAlign w:val="baseline"/>
        </w:rPr>
        <w:t>underscores</w:t>
      </w:r>
      <w:r>
        <w:rPr>
          <w:spacing w:val="-9"/>
          <w:vertAlign w:val="baseline"/>
        </w:rPr>
        <w:t> </w:t>
      </w:r>
      <w:r>
        <w:rPr>
          <w:vertAlign w:val="baseline"/>
        </w:rPr>
        <w:t>that</w:t>
      </w:r>
      <w:r>
        <w:rPr>
          <w:spacing w:val="-8"/>
          <w:vertAlign w:val="baseline"/>
        </w:rPr>
        <w:t> </w:t>
      </w:r>
      <w:r>
        <w:rPr>
          <w:vertAlign w:val="baseline"/>
        </w:rPr>
        <w:t>multisystem-involvement</w:t>
      </w:r>
      <w:r>
        <w:rPr>
          <w:spacing w:val="-8"/>
          <w:vertAlign w:val="baseline"/>
        </w:rPr>
        <w:t> </w:t>
      </w:r>
      <w:r>
        <w:rPr>
          <w:vertAlign w:val="baseline"/>
        </w:rPr>
        <w:t>compounds</w:t>
      </w:r>
      <w:r>
        <w:rPr>
          <w:spacing w:val="-8"/>
          <w:vertAlign w:val="baseline"/>
        </w:rPr>
        <w:t> </w:t>
      </w:r>
      <w:r>
        <w:rPr>
          <w:vertAlign w:val="baseline"/>
        </w:rPr>
        <w:t>negative</w:t>
      </w:r>
      <w:r>
        <w:rPr>
          <w:spacing w:val="-10"/>
          <w:vertAlign w:val="baseline"/>
        </w:rPr>
        <w:t> </w:t>
      </w:r>
      <w:r>
        <w:rPr>
          <w:vertAlign w:val="baseline"/>
        </w:rPr>
        <w:t>outcomes</w:t>
      </w:r>
      <w:r>
        <w:rPr>
          <w:spacing w:val="-9"/>
          <w:vertAlign w:val="baseline"/>
        </w:rPr>
        <w:t> </w:t>
      </w:r>
      <w:r>
        <w:rPr>
          <w:vertAlign w:val="baseline"/>
        </w:rPr>
        <w:t>for</w:t>
      </w:r>
      <w:r>
        <w:rPr>
          <w:spacing w:val="-8"/>
          <w:vertAlign w:val="baseline"/>
        </w:rPr>
        <w:t> </w:t>
      </w:r>
      <w:r>
        <w:rPr>
          <w:vertAlign w:val="baseline"/>
        </w:rPr>
        <w:t>all</w:t>
      </w:r>
      <w:r>
        <w:rPr>
          <w:spacing w:val="-10"/>
          <w:vertAlign w:val="baseline"/>
        </w:rPr>
        <w:t> </w:t>
      </w:r>
      <w:r>
        <w:rPr>
          <w:vertAlign w:val="baseline"/>
        </w:rPr>
        <w:t>young</w:t>
      </w:r>
      <w:r>
        <w:rPr>
          <w:spacing w:val="-9"/>
          <w:vertAlign w:val="baseline"/>
        </w:rPr>
        <w:t> </w:t>
      </w:r>
      <w:r>
        <w:rPr>
          <w:vertAlign w:val="baseline"/>
        </w:rPr>
        <w:t>people perhaps in part because the goals of each of these systems can be at odds and because inadequate tracking and communication exists among the systems. The situations of multisystem-involved youth, especially and including LGBTQ youth, remain largely understudied. What is known is that the systems meant to help youth often harm already vulnerable LGBTQ youth, too often with negative and tragic outcomes. The subsequent sections of this report dedicated to juvenile justice and mental health delve further into approaches to support LGBTQ multisystem-involved youth.</w:t>
      </w:r>
    </w:p>
    <w:p>
      <w:pPr>
        <w:spacing w:before="240"/>
        <w:ind w:left="463" w:right="0" w:firstLine="0"/>
        <w:jc w:val="both"/>
        <w:rPr>
          <w:sz w:val="28"/>
        </w:rPr>
      </w:pPr>
      <w:bookmarkStart w:name="LGBTQ Youth Aging Out of Foster Care: An" w:id="101"/>
      <w:bookmarkEnd w:id="101"/>
      <w:r>
        <w:rPr/>
      </w:r>
      <w:r>
        <w:rPr>
          <w:color w:val="365F91"/>
          <w:sz w:val="28"/>
        </w:rPr>
        <w:t>LGBTQ</w:t>
      </w:r>
      <w:r>
        <w:rPr>
          <w:color w:val="365F91"/>
          <w:spacing w:val="-8"/>
          <w:sz w:val="28"/>
        </w:rPr>
        <w:t> </w:t>
      </w:r>
      <w:r>
        <w:rPr>
          <w:color w:val="365F91"/>
          <w:sz w:val="28"/>
        </w:rPr>
        <w:t>Youth</w:t>
      </w:r>
      <w:r>
        <w:rPr>
          <w:color w:val="365F91"/>
          <w:spacing w:val="-9"/>
          <w:sz w:val="28"/>
        </w:rPr>
        <w:t> </w:t>
      </w:r>
      <w:r>
        <w:rPr>
          <w:color w:val="365F91"/>
          <w:sz w:val="28"/>
        </w:rPr>
        <w:t>Aging</w:t>
      </w:r>
      <w:r>
        <w:rPr>
          <w:color w:val="365F91"/>
          <w:spacing w:val="-7"/>
          <w:sz w:val="28"/>
        </w:rPr>
        <w:t> </w:t>
      </w:r>
      <w:r>
        <w:rPr>
          <w:color w:val="365F91"/>
          <w:sz w:val="28"/>
        </w:rPr>
        <w:t>Out</w:t>
      </w:r>
      <w:r>
        <w:rPr>
          <w:color w:val="365F91"/>
          <w:spacing w:val="-8"/>
          <w:sz w:val="28"/>
        </w:rPr>
        <w:t> </w:t>
      </w:r>
      <w:r>
        <w:rPr>
          <w:color w:val="365F91"/>
          <w:sz w:val="28"/>
        </w:rPr>
        <w:t>of</w:t>
      </w:r>
      <w:r>
        <w:rPr>
          <w:color w:val="365F91"/>
          <w:spacing w:val="-8"/>
          <w:sz w:val="28"/>
        </w:rPr>
        <w:t> </w:t>
      </w:r>
      <w:r>
        <w:rPr>
          <w:color w:val="365F91"/>
          <w:sz w:val="28"/>
        </w:rPr>
        <w:t>Foster</w:t>
      </w:r>
      <w:r>
        <w:rPr>
          <w:color w:val="365F91"/>
          <w:spacing w:val="-9"/>
          <w:sz w:val="28"/>
        </w:rPr>
        <w:t> </w:t>
      </w:r>
      <w:r>
        <w:rPr>
          <w:color w:val="365F91"/>
          <w:sz w:val="28"/>
        </w:rPr>
        <w:t>Care:</w:t>
      </w:r>
      <w:r>
        <w:rPr>
          <w:color w:val="365F91"/>
          <w:spacing w:val="-9"/>
          <w:sz w:val="28"/>
        </w:rPr>
        <w:t> </w:t>
      </w:r>
      <w:r>
        <w:rPr>
          <w:color w:val="365F91"/>
          <w:sz w:val="28"/>
        </w:rPr>
        <w:t>An</w:t>
      </w:r>
      <w:r>
        <w:rPr>
          <w:color w:val="365F91"/>
          <w:spacing w:val="-9"/>
          <w:sz w:val="28"/>
        </w:rPr>
        <w:t> </w:t>
      </w:r>
      <w:r>
        <w:rPr>
          <w:color w:val="365F91"/>
          <w:sz w:val="28"/>
        </w:rPr>
        <w:t>Acutely</w:t>
      </w:r>
      <w:r>
        <w:rPr>
          <w:color w:val="365F91"/>
          <w:spacing w:val="-8"/>
          <w:sz w:val="28"/>
        </w:rPr>
        <w:t> </w:t>
      </w:r>
      <w:r>
        <w:rPr>
          <w:color w:val="365F91"/>
          <w:sz w:val="28"/>
        </w:rPr>
        <w:t>Vulnerable</w:t>
      </w:r>
      <w:r>
        <w:rPr>
          <w:color w:val="365F91"/>
          <w:spacing w:val="-8"/>
          <w:sz w:val="28"/>
        </w:rPr>
        <w:t> </w:t>
      </w:r>
      <w:r>
        <w:rPr>
          <w:color w:val="365F91"/>
          <w:spacing w:val="-2"/>
          <w:sz w:val="28"/>
        </w:rPr>
        <w:t>Population</w:t>
      </w:r>
    </w:p>
    <w:p>
      <w:pPr>
        <w:pStyle w:val="BodyText"/>
        <w:spacing w:line="276" w:lineRule="auto" w:before="291"/>
        <w:ind w:left="463" w:right="282"/>
        <w:jc w:val="both"/>
      </w:pPr>
      <w:r>
        <w:rPr/>
        <w:t>Of the many underserved LGBTQ youth in Massachusetts, LGBTQ youth aging out of foster care, often referenced as transition-aged foster youth, merit special focus. On their 18</w:t>
      </w:r>
      <w:r>
        <w:rPr>
          <w:vertAlign w:val="superscript"/>
        </w:rPr>
        <w:t>th</w:t>
      </w:r>
      <w:r>
        <w:rPr>
          <w:vertAlign w:val="baseline"/>
        </w:rPr>
        <w:t> birthdays, youth in foster care</w:t>
      </w:r>
      <w:r>
        <w:rPr>
          <w:spacing w:val="-9"/>
          <w:vertAlign w:val="baseline"/>
        </w:rPr>
        <w:t> </w:t>
      </w:r>
      <w:r>
        <w:rPr>
          <w:vertAlign w:val="baseline"/>
        </w:rPr>
        <w:t>exit</w:t>
      </w:r>
      <w:r>
        <w:rPr>
          <w:spacing w:val="-9"/>
          <w:vertAlign w:val="baseline"/>
        </w:rPr>
        <w:t> </w:t>
      </w:r>
      <w:r>
        <w:rPr>
          <w:vertAlign w:val="baseline"/>
        </w:rPr>
        <w:t>the</w:t>
      </w:r>
      <w:r>
        <w:rPr>
          <w:spacing w:val="-8"/>
          <w:vertAlign w:val="baseline"/>
        </w:rPr>
        <w:t> </w:t>
      </w:r>
      <w:r>
        <w:rPr>
          <w:vertAlign w:val="baseline"/>
        </w:rPr>
        <w:t>child-</w:t>
      </w:r>
      <w:r>
        <w:rPr>
          <w:spacing w:val="-8"/>
          <w:vertAlign w:val="baseline"/>
        </w:rPr>
        <w:t> </w:t>
      </w:r>
      <w:r>
        <w:rPr>
          <w:vertAlign w:val="baseline"/>
        </w:rPr>
        <w:t>welfare</w:t>
      </w:r>
      <w:r>
        <w:rPr>
          <w:spacing w:val="-8"/>
          <w:vertAlign w:val="baseline"/>
        </w:rPr>
        <w:t> </w:t>
      </w:r>
      <w:r>
        <w:rPr>
          <w:vertAlign w:val="baseline"/>
        </w:rPr>
        <w:t>system</w:t>
      </w:r>
      <w:r>
        <w:rPr>
          <w:spacing w:val="-9"/>
          <w:vertAlign w:val="baseline"/>
        </w:rPr>
        <w:t> </w:t>
      </w:r>
      <w:r>
        <w:rPr>
          <w:vertAlign w:val="baseline"/>
        </w:rPr>
        <w:t>unless</w:t>
      </w:r>
      <w:r>
        <w:rPr>
          <w:spacing w:val="-8"/>
          <w:vertAlign w:val="baseline"/>
        </w:rPr>
        <w:t> </w:t>
      </w:r>
      <w:r>
        <w:rPr>
          <w:vertAlign w:val="baseline"/>
        </w:rPr>
        <w:t>they</w:t>
      </w:r>
      <w:r>
        <w:rPr>
          <w:spacing w:val="-9"/>
          <w:vertAlign w:val="baseline"/>
        </w:rPr>
        <w:t> </w:t>
      </w:r>
      <w:r>
        <w:rPr>
          <w:vertAlign w:val="baseline"/>
        </w:rPr>
        <w:t>sign</w:t>
      </w:r>
      <w:r>
        <w:rPr>
          <w:spacing w:val="-9"/>
          <w:vertAlign w:val="baseline"/>
        </w:rPr>
        <w:t> </w:t>
      </w:r>
      <w:r>
        <w:rPr>
          <w:vertAlign w:val="baseline"/>
        </w:rPr>
        <w:t>a</w:t>
      </w:r>
      <w:r>
        <w:rPr>
          <w:spacing w:val="-8"/>
          <w:vertAlign w:val="baseline"/>
        </w:rPr>
        <w:t> </w:t>
      </w:r>
      <w:r>
        <w:rPr>
          <w:vertAlign w:val="baseline"/>
        </w:rPr>
        <w:t>voluntary</w:t>
      </w:r>
      <w:r>
        <w:rPr>
          <w:spacing w:val="-9"/>
          <w:vertAlign w:val="baseline"/>
        </w:rPr>
        <w:t> </w:t>
      </w:r>
      <w:r>
        <w:rPr>
          <w:vertAlign w:val="baseline"/>
        </w:rPr>
        <w:t>placement</w:t>
      </w:r>
      <w:r>
        <w:rPr>
          <w:spacing w:val="-9"/>
          <w:vertAlign w:val="baseline"/>
        </w:rPr>
        <w:t> </w:t>
      </w:r>
      <w:r>
        <w:rPr>
          <w:vertAlign w:val="baseline"/>
        </w:rPr>
        <w:t>agreement</w:t>
      </w:r>
      <w:r>
        <w:rPr>
          <w:spacing w:val="-8"/>
          <w:vertAlign w:val="baseline"/>
        </w:rPr>
        <w:t> </w:t>
      </w:r>
      <w:r>
        <w:rPr>
          <w:vertAlign w:val="baseline"/>
        </w:rPr>
        <w:t>to</w:t>
      </w:r>
      <w:r>
        <w:rPr>
          <w:spacing w:val="-8"/>
          <w:vertAlign w:val="baseline"/>
        </w:rPr>
        <w:t> </w:t>
      </w:r>
      <w:r>
        <w:rPr>
          <w:vertAlign w:val="baseline"/>
        </w:rPr>
        <w:t>remain</w:t>
      </w:r>
      <w:r>
        <w:rPr>
          <w:spacing w:val="-9"/>
          <w:vertAlign w:val="baseline"/>
        </w:rPr>
        <w:t> </w:t>
      </w:r>
      <w:r>
        <w:rPr>
          <w:vertAlign w:val="baseline"/>
        </w:rPr>
        <w:t>until</w:t>
      </w:r>
      <w:r>
        <w:rPr>
          <w:spacing w:val="-9"/>
          <w:vertAlign w:val="baseline"/>
        </w:rPr>
        <w:t> </w:t>
      </w:r>
      <w:r>
        <w:rPr>
          <w:vertAlign w:val="baseline"/>
        </w:rPr>
        <w:t>they are 23. In 2022, 2,761 of the young people aging out of foster care, or 73%, chose to remain in care – DCF’s annual report for FY 2023 has yet to be released as of May 2024. Many of these transition-aged young people have lingered in care for years without finding permanent homes, and as such, they are uniquely</w:t>
      </w:r>
      <w:r>
        <w:rPr>
          <w:spacing w:val="-5"/>
          <w:vertAlign w:val="baseline"/>
        </w:rPr>
        <w:t> </w:t>
      </w:r>
      <w:r>
        <w:rPr>
          <w:vertAlign w:val="baseline"/>
        </w:rPr>
        <w:t>vulnerable;</w:t>
      </w:r>
      <w:r>
        <w:rPr>
          <w:spacing w:val="-5"/>
          <w:vertAlign w:val="baseline"/>
        </w:rPr>
        <w:t> </w:t>
      </w:r>
      <w:r>
        <w:rPr>
          <w:vertAlign w:val="baseline"/>
        </w:rPr>
        <w:t>transition-aged</w:t>
      </w:r>
      <w:r>
        <w:rPr>
          <w:spacing w:val="-5"/>
          <w:vertAlign w:val="baseline"/>
        </w:rPr>
        <w:t> </w:t>
      </w:r>
      <w:r>
        <w:rPr>
          <w:vertAlign w:val="baseline"/>
        </w:rPr>
        <w:t>foster</w:t>
      </w:r>
      <w:r>
        <w:rPr>
          <w:spacing w:val="-5"/>
          <w:vertAlign w:val="baseline"/>
        </w:rPr>
        <w:t> </w:t>
      </w:r>
      <w:r>
        <w:rPr>
          <w:vertAlign w:val="baseline"/>
        </w:rPr>
        <w:t>youth</w:t>
      </w:r>
      <w:r>
        <w:rPr>
          <w:spacing w:val="-4"/>
          <w:vertAlign w:val="baseline"/>
        </w:rPr>
        <w:t> </w:t>
      </w:r>
      <w:r>
        <w:rPr>
          <w:vertAlign w:val="baseline"/>
        </w:rPr>
        <w:t>can</w:t>
      </w:r>
      <w:r>
        <w:rPr>
          <w:spacing w:val="-4"/>
          <w:vertAlign w:val="baseline"/>
        </w:rPr>
        <w:t> </w:t>
      </w:r>
      <w:r>
        <w:rPr>
          <w:vertAlign w:val="baseline"/>
        </w:rPr>
        <w:t>easily</w:t>
      </w:r>
      <w:r>
        <w:rPr>
          <w:spacing w:val="-5"/>
          <w:vertAlign w:val="baseline"/>
        </w:rPr>
        <w:t> </w:t>
      </w:r>
      <w:r>
        <w:rPr>
          <w:vertAlign w:val="baseline"/>
        </w:rPr>
        <w:t>fall</w:t>
      </w:r>
      <w:r>
        <w:rPr>
          <w:spacing w:val="-5"/>
          <w:vertAlign w:val="baseline"/>
        </w:rPr>
        <w:t> </w:t>
      </w:r>
      <w:r>
        <w:rPr>
          <w:vertAlign w:val="baseline"/>
        </w:rPr>
        <w:t>into</w:t>
      </w:r>
      <w:r>
        <w:rPr>
          <w:spacing w:val="-5"/>
          <w:vertAlign w:val="baseline"/>
        </w:rPr>
        <w:t> </w:t>
      </w:r>
      <w:r>
        <w:rPr>
          <w:vertAlign w:val="baseline"/>
        </w:rPr>
        <w:t>homelessness</w:t>
      </w:r>
      <w:r>
        <w:rPr>
          <w:spacing w:val="-5"/>
          <w:vertAlign w:val="baseline"/>
        </w:rPr>
        <w:t> </w:t>
      </w:r>
      <w:r>
        <w:rPr>
          <w:vertAlign w:val="baseline"/>
        </w:rPr>
        <w:t>and</w:t>
      </w:r>
      <w:r>
        <w:rPr>
          <w:spacing w:val="-5"/>
          <w:vertAlign w:val="baseline"/>
        </w:rPr>
        <w:t> </w:t>
      </w:r>
      <w:r>
        <w:rPr>
          <w:vertAlign w:val="baseline"/>
        </w:rPr>
        <w:t>too</w:t>
      </w:r>
      <w:r>
        <w:rPr>
          <w:spacing w:val="-5"/>
          <w:vertAlign w:val="baseline"/>
        </w:rPr>
        <w:t> </w:t>
      </w:r>
      <w:r>
        <w:rPr>
          <w:vertAlign w:val="baseline"/>
        </w:rPr>
        <w:t>often</w:t>
      </w:r>
      <w:r>
        <w:rPr>
          <w:spacing w:val="-5"/>
          <w:vertAlign w:val="baseline"/>
        </w:rPr>
        <w:t> </w:t>
      </w:r>
      <w:r>
        <w:rPr>
          <w:vertAlign w:val="baseline"/>
        </w:rPr>
        <w:t>become victims</w:t>
      </w:r>
      <w:r>
        <w:rPr>
          <w:spacing w:val="-13"/>
          <w:vertAlign w:val="baseline"/>
        </w:rPr>
        <w:t> </w:t>
      </w:r>
      <w:r>
        <w:rPr>
          <w:vertAlign w:val="baseline"/>
        </w:rPr>
        <w:t>of</w:t>
      </w:r>
      <w:r>
        <w:rPr>
          <w:spacing w:val="-11"/>
          <w:vertAlign w:val="baseline"/>
        </w:rPr>
        <w:t> </w:t>
      </w:r>
      <w:r>
        <w:rPr>
          <w:vertAlign w:val="baseline"/>
        </w:rPr>
        <w:t>trafficking</w:t>
      </w:r>
      <w:r>
        <w:rPr>
          <w:spacing w:val="-13"/>
          <w:vertAlign w:val="baseline"/>
        </w:rPr>
        <w:t> </w:t>
      </w:r>
      <w:r>
        <w:rPr>
          <w:vertAlign w:val="baseline"/>
        </w:rPr>
        <w:t>and</w:t>
      </w:r>
      <w:r>
        <w:rPr>
          <w:spacing w:val="-12"/>
          <w:vertAlign w:val="baseline"/>
        </w:rPr>
        <w:t> </w:t>
      </w:r>
      <w:r>
        <w:rPr>
          <w:vertAlign w:val="baseline"/>
        </w:rPr>
        <w:t>predation.</w:t>
      </w:r>
      <w:r>
        <w:rPr>
          <w:spacing w:val="-12"/>
          <w:vertAlign w:val="baseline"/>
        </w:rPr>
        <w:t> </w:t>
      </w:r>
      <w:r>
        <w:rPr>
          <w:vertAlign w:val="baseline"/>
        </w:rPr>
        <w:t>A</w:t>
      </w:r>
      <w:r>
        <w:rPr>
          <w:spacing w:val="-12"/>
          <w:vertAlign w:val="baseline"/>
        </w:rPr>
        <w:t> </w:t>
      </w:r>
      <w:r>
        <w:rPr>
          <w:vertAlign w:val="baseline"/>
        </w:rPr>
        <w:t>subsequent</w:t>
      </w:r>
      <w:r>
        <w:rPr>
          <w:spacing w:val="-12"/>
          <w:vertAlign w:val="baseline"/>
        </w:rPr>
        <w:t> </w:t>
      </w:r>
      <w:r>
        <w:rPr>
          <w:vertAlign w:val="baseline"/>
        </w:rPr>
        <w:t>section</w:t>
      </w:r>
      <w:r>
        <w:rPr>
          <w:spacing w:val="-13"/>
          <w:vertAlign w:val="baseline"/>
        </w:rPr>
        <w:t> </w:t>
      </w:r>
      <w:r>
        <w:rPr>
          <w:vertAlign w:val="baseline"/>
        </w:rPr>
        <w:t>of</w:t>
      </w:r>
      <w:r>
        <w:rPr>
          <w:spacing w:val="-11"/>
          <w:vertAlign w:val="baseline"/>
        </w:rPr>
        <w:t> </w:t>
      </w:r>
      <w:r>
        <w:rPr>
          <w:vertAlign w:val="baseline"/>
        </w:rPr>
        <w:t>this</w:t>
      </w:r>
      <w:r>
        <w:rPr>
          <w:spacing w:val="-13"/>
          <w:vertAlign w:val="baseline"/>
        </w:rPr>
        <w:t> </w:t>
      </w:r>
      <w:r>
        <w:rPr>
          <w:vertAlign w:val="baseline"/>
        </w:rPr>
        <w:t>report</w:t>
      </w:r>
      <w:r>
        <w:rPr>
          <w:spacing w:val="-12"/>
          <w:vertAlign w:val="baseline"/>
        </w:rPr>
        <w:t> </w:t>
      </w:r>
      <w:r>
        <w:rPr>
          <w:vertAlign w:val="baseline"/>
        </w:rPr>
        <w:t>addresses</w:t>
      </w:r>
      <w:r>
        <w:rPr>
          <w:spacing w:val="-12"/>
          <w:vertAlign w:val="baseline"/>
        </w:rPr>
        <w:t> </w:t>
      </w:r>
      <w:r>
        <w:rPr>
          <w:vertAlign w:val="baseline"/>
        </w:rPr>
        <w:t>agency-specific</w:t>
      </w:r>
      <w:r>
        <w:rPr>
          <w:spacing w:val="-13"/>
          <w:vertAlign w:val="baseline"/>
        </w:rPr>
        <w:t> </w:t>
      </w:r>
      <w:r>
        <w:rPr>
          <w:vertAlign w:val="baseline"/>
        </w:rPr>
        <w:t>internal policy recommendations for the Department of Children and Families.</w:t>
      </w:r>
    </w:p>
    <w:p>
      <w:pPr>
        <w:spacing w:before="240"/>
        <w:ind w:left="463" w:right="0" w:firstLine="0"/>
        <w:jc w:val="both"/>
        <w:rPr>
          <w:sz w:val="28"/>
        </w:rPr>
      </w:pPr>
      <w:bookmarkStart w:name="The Massachusetts Child Welfare System" w:id="102"/>
      <w:bookmarkEnd w:id="102"/>
      <w:r>
        <w:rPr/>
      </w:r>
      <w:r>
        <w:rPr>
          <w:color w:val="365F91"/>
          <w:sz w:val="28"/>
        </w:rPr>
        <w:t>The</w:t>
      </w:r>
      <w:r>
        <w:rPr>
          <w:color w:val="365F91"/>
          <w:spacing w:val="-12"/>
          <w:sz w:val="28"/>
        </w:rPr>
        <w:t> </w:t>
      </w:r>
      <w:r>
        <w:rPr>
          <w:color w:val="365F91"/>
          <w:sz w:val="28"/>
        </w:rPr>
        <w:t>Massachusetts</w:t>
      </w:r>
      <w:r>
        <w:rPr>
          <w:color w:val="365F91"/>
          <w:spacing w:val="-11"/>
          <w:sz w:val="28"/>
        </w:rPr>
        <w:t> </w:t>
      </w:r>
      <w:r>
        <w:rPr>
          <w:color w:val="365F91"/>
          <w:sz w:val="28"/>
        </w:rPr>
        <w:t>Child</w:t>
      </w:r>
      <w:r>
        <w:rPr>
          <w:color w:val="365F91"/>
          <w:spacing w:val="-11"/>
          <w:sz w:val="28"/>
        </w:rPr>
        <w:t> </w:t>
      </w:r>
      <w:r>
        <w:rPr>
          <w:color w:val="365F91"/>
          <w:sz w:val="28"/>
        </w:rPr>
        <w:t>Welfare</w:t>
      </w:r>
      <w:r>
        <w:rPr>
          <w:color w:val="365F91"/>
          <w:spacing w:val="-11"/>
          <w:sz w:val="28"/>
        </w:rPr>
        <w:t> </w:t>
      </w:r>
      <w:r>
        <w:rPr>
          <w:color w:val="365F91"/>
          <w:spacing w:val="-2"/>
          <w:sz w:val="28"/>
        </w:rPr>
        <w:t>System</w:t>
      </w:r>
    </w:p>
    <w:p>
      <w:pPr>
        <w:pStyle w:val="BodyText"/>
        <w:spacing w:line="276" w:lineRule="auto" w:before="291"/>
        <w:ind w:left="463" w:right="283"/>
        <w:jc w:val="both"/>
      </w:pPr>
      <w:r>
        <w:rPr/>
        <w:t>Recent</w:t>
      </w:r>
      <w:r>
        <w:rPr>
          <w:spacing w:val="-1"/>
        </w:rPr>
        <w:t> </w:t>
      </w:r>
      <w:r>
        <w:rPr/>
        <w:t>years have</w:t>
      </w:r>
      <w:r>
        <w:rPr>
          <w:spacing w:val="-2"/>
        </w:rPr>
        <w:t> </w:t>
      </w:r>
      <w:r>
        <w:rPr/>
        <w:t>seen</w:t>
      </w:r>
      <w:r>
        <w:rPr>
          <w:spacing w:val="-1"/>
        </w:rPr>
        <w:t> </w:t>
      </w:r>
      <w:r>
        <w:rPr/>
        <w:t>several</w:t>
      </w:r>
      <w:r>
        <w:rPr>
          <w:spacing w:val="-2"/>
        </w:rPr>
        <w:t> </w:t>
      </w:r>
      <w:r>
        <w:rPr/>
        <w:t>major</w:t>
      </w:r>
      <w:r>
        <w:rPr>
          <w:spacing w:val="-2"/>
        </w:rPr>
        <w:t> </w:t>
      </w:r>
      <w:r>
        <w:rPr/>
        <w:t>reports</w:t>
      </w:r>
      <w:r>
        <w:rPr>
          <w:spacing w:val="-2"/>
        </w:rPr>
        <w:t> </w:t>
      </w:r>
      <w:r>
        <w:rPr/>
        <w:t>declare</w:t>
      </w:r>
      <w:r>
        <w:rPr>
          <w:spacing w:val="-2"/>
        </w:rPr>
        <w:t> </w:t>
      </w:r>
      <w:r>
        <w:rPr/>
        <w:t>a</w:t>
      </w:r>
      <w:r>
        <w:rPr>
          <w:spacing w:val="-1"/>
        </w:rPr>
        <w:t> </w:t>
      </w:r>
      <w:r>
        <w:rPr/>
        <w:t>state</w:t>
      </w:r>
      <w:r>
        <w:rPr>
          <w:spacing w:val="-1"/>
        </w:rPr>
        <w:t> </w:t>
      </w:r>
      <w:r>
        <w:rPr/>
        <w:t>of</w:t>
      </w:r>
      <w:r>
        <w:rPr>
          <w:spacing w:val="-2"/>
        </w:rPr>
        <w:t> </w:t>
      </w:r>
      <w:r>
        <w:rPr/>
        <w:t>emergency</w:t>
      </w:r>
      <w:r>
        <w:rPr>
          <w:spacing w:val="-1"/>
        </w:rPr>
        <w:t> </w:t>
      </w:r>
      <w:r>
        <w:rPr/>
        <w:t>regarding</w:t>
      </w:r>
      <w:r>
        <w:rPr>
          <w:spacing w:val="-1"/>
        </w:rPr>
        <w:t> </w:t>
      </w:r>
      <w:r>
        <w:rPr/>
        <w:t>the</w:t>
      </w:r>
      <w:r>
        <w:rPr>
          <w:spacing w:val="-1"/>
        </w:rPr>
        <w:t> </w:t>
      </w:r>
      <w:r>
        <w:rPr/>
        <w:t>Massachusetts child welfare system, including this Commission’s own report, “LGBTQ Youth in the Massachusetts Child Welfare System: A Report on Pervasive Threats to Safety, Wellbeing, and Permanency,” released in July 2021. </w:t>
      </w:r>
      <w:hyperlink w:history="true" w:anchor="_bookmark34">
        <w:r>
          <w:rPr>
            <w:vertAlign w:val="superscript"/>
          </w:rPr>
          <w:t>26</w:t>
        </w:r>
      </w:hyperlink>
      <w:r>
        <w:rPr>
          <w:vertAlign w:val="baseline"/>
        </w:rPr>
        <w:t> Another report, “Failing Our Kids: Measures of the Broken Child Welfare System in Massachusetts,”</w:t>
      </w:r>
      <w:hyperlink w:history="true" w:anchor="_bookmark35">
        <w:r>
          <w:rPr>
            <w:vertAlign w:val="superscript"/>
          </w:rPr>
          <w:t>27</w:t>
        </w:r>
      </w:hyperlink>
      <w:r>
        <w:rPr>
          <w:vertAlign w:val="baseline"/>
        </w:rPr>
        <w:t> released by the advocacy group Friends of Children, asserts:</w:t>
      </w:r>
    </w:p>
    <w:p>
      <w:pPr>
        <w:spacing w:line="276" w:lineRule="auto" w:before="241"/>
        <w:ind w:left="463" w:right="280" w:firstLine="44"/>
        <w:jc w:val="both"/>
        <w:rPr>
          <w:i/>
          <w:sz w:val="22"/>
        </w:rPr>
      </w:pPr>
      <w:r>
        <w:rPr>
          <w:i/>
          <w:sz w:val="22"/>
        </w:rPr>
        <w:t>“Children</w:t>
      </w:r>
      <w:r>
        <w:rPr>
          <w:i/>
          <w:spacing w:val="-11"/>
          <w:sz w:val="22"/>
        </w:rPr>
        <w:t> </w:t>
      </w:r>
      <w:r>
        <w:rPr>
          <w:i/>
          <w:sz w:val="22"/>
        </w:rPr>
        <w:t>and</w:t>
      </w:r>
      <w:r>
        <w:rPr>
          <w:i/>
          <w:spacing w:val="-12"/>
          <w:sz w:val="22"/>
        </w:rPr>
        <w:t> </w:t>
      </w:r>
      <w:r>
        <w:rPr>
          <w:i/>
          <w:sz w:val="22"/>
        </w:rPr>
        <w:t>youth</w:t>
      </w:r>
      <w:r>
        <w:rPr>
          <w:i/>
          <w:spacing w:val="-13"/>
          <w:sz w:val="22"/>
        </w:rPr>
        <w:t> </w:t>
      </w:r>
      <w:r>
        <w:rPr>
          <w:i/>
          <w:sz w:val="22"/>
        </w:rPr>
        <w:t>involved</w:t>
      </w:r>
      <w:r>
        <w:rPr>
          <w:i/>
          <w:spacing w:val="-12"/>
          <w:sz w:val="22"/>
        </w:rPr>
        <w:t> </w:t>
      </w:r>
      <w:r>
        <w:rPr>
          <w:i/>
          <w:sz w:val="22"/>
        </w:rPr>
        <w:t>with</w:t>
      </w:r>
      <w:r>
        <w:rPr>
          <w:i/>
          <w:spacing w:val="-13"/>
          <w:sz w:val="22"/>
        </w:rPr>
        <w:t> </w:t>
      </w:r>
      <w:r>
        <w:rPr>
          <w:i/>
          <w:sz w:val="22"/>
        </w:rPr>
        <w:t>DCF,</w:t>
      </w:r>
      <w:r>
        <w:rPr>
          <w:i/>
          <w:spacing w:val="-11"/>
          <w:sz w:val="22"/>
        </w:rPr>
        <w:t> </w:t>
      </w:r>
      <w:r>
        <w:rPr>
          <w:i/>
          <w:sz w:val="22"/>
        </w:rPr>
        <w:t>among</w:t>
      </w:r>
      <w:r>
        <w:rPr>
          <w:i/>
          <w:spacing w:val="-11"/>
          <w:sz w:val="22"/>
        </w:rPr>
        <w:t> </w:t>
      </w:r>
      <w:r>
        <w:rPr>
          <w:i/>
          <w:sz w:val="22"/>
        </w:rPr>
        <w:t>the</w:t>
      </w:r>
      <w:r>
        <w:rPr>
          <w:i/>
          <w:spacing w:val="-12"/>
          <w:sz w:val="22"/>
        </w:rPr>
        <w:t> </w:t>
      </w:r>
      <w:r>
        <w:rPr>
          <w:i/>
          <w:sz w:val="22"/>
        </w:rPr>
        <w:t>most</w:t>
      </w:r>
      <w:r>
        <w:rPr>
          <w:i/>
          <w:spacing w:val="-13"/>
          <w:sz w:val="22"/>
        </w:rPr>
        <w:t> </w:t>
      </w:r>
      <w:r>
        <w:rPr>
          <w:i/>
          <w:sz w:val="22"/>
        </w:rPr>
        <w:t>vulnerable</w:t>
      </w:r>
      <w:r>
        <w:rPr>
          <w:i/>
          <w:spacing w:val="-11"/>
          <w:sz w:val="22"/>
        </w:rPr>
        <w:t> </w:t>
      </w:r>
      <w:r>
        <w:rPr>
          <w:i/>
          <w:sz w:val="22"/>
        </w:rPr>
        <w:t>in</w:t>
      </w:r>
      <w:r>
        <w:rPr>
          <w:i/>
          <w:spacing w:val="-13"/>
          <w:sz w:val="22"/>
        </w:rPr>
        <w:t> </w:t>
      </w:r>
      <w:r>
        <w:rPr>
          <w:i/>
          <w:sz w:val="22"/>
        </w:rPr>
        <w:t>our</w:t>
      </w:r>
      <w:r>
        <w:rPr>
          <w:i/>
          <w:spacing w:val="-10"/>
          <w:sz w:val="22"/>
        </w:rPr>
        <w:t> </w:t>
      </w:r>
      <w:r>
        <w:rPr>
          <w:i/>
          <w:sz w:val="22"/>
        </w:rPr>
        <w:t>society,</w:t>
      </w:r>
      <w:r>
        <w:rPr>
          <w:i/>
          <w:spacing w:val="-11"/>
          <w:sz w:val="22"/>
        </w:rPr>
        <w:t> </w:t>
      </w:r>
      <w:r>
        <w:rPr>
          <w:i/>
          <w:sz w:val="22"/>
        </w:rPr>
        <w:t>have</w:t>
      </w:r>
      <w:r>
        <w:rPr>
          <w:i/>
          <w:spacing w:val="-13"/>
          <w:sz w:val="22"/>
        </w:rPr>
        <w:t> </w:t>
      </w:r>
      <w:r>
        <w:rPr>
          <w:i/>
          <w:sz w:val="22"/>
        </w:rPr>
        <w:t>very</w:t>
      </w:r>
      <w:r>
        <w:rPr>
          <w:i/>
          <w:spacing w:val="-12"/>
          <w:sz w:val="22"/>
        </w:rPr>
        <w:t> </w:t>
      </w:r>
      <w:r>
        <w:rPr>
          <w:i/>
          <w:sz w:val="22"/>
        </w:rPr>
        <w:t>little</w:t>
      </w:r>
      <w:r>
        <w:rPr>
          <w:i/>
          <w:spacing w:val="-13"/>
          <w:sz w:val="22"/>
        </w:rPr>
        <w:t> </w:t>
      </w:r>
      <w:r>
        <w:rPr>
          <w:i/>
          <w:sz w:val="22"/>
        </w:rPr>
        <w:t>presence</w:t>
      </w:r>
      <w:r>
        <w:rPr>
          <w:i/>
          <w:sz w:val="22"/>
        </w:rPr>
        <w:t> in</w:t>
      </w:r>
      <w:r>
        <w:rPr>
          <w:i/>
          <w:spacing w:val="-10"/>
          <w:sz w:val="22"/>
        </w:rPr>
        <w:t> </w:t>
      </w:r>
      <w:r>
        <w:rPr>
          <w:i/>
          <w:sz w:val="22"/>
        </w:rPr>
        <w:t>our</w:t>
      </w:r>
      <w:r>
        <w:rPr>
          <w:i/>
          <w:spacing w:val="-8"/>
          <w:sz w:val="22"/>
        </w:rPr>
        <w:t> </w:t>
      </w:r>
      <w:r>
        <w:rPr>
          <w:i/>
          <w:sz w:val="22"/>
        </w:rPr>
        <w:t>legislative</w:t>
      </w:r>
      <w:r>
        <w:rPr>
          <w:i/>
          <w:spacing w:val="-10"/>
          <w:sz w:val="22"/>
        </w:rPr>
        <w:t> </w:t>
      </w:r>
      <w:r>
        <w:rPr>
          <w:i/>
          <w:sz w:val="22"/>
        </w:rPr>
        <w:t>chambers,</w:t>
      </w:r>
      <w:r>
        <w:rPr>
          <w:i/>
          <w:spacing w:val="-10"/>
          <w:sz w:val="22"/>
        </w:rPr>
        <w:t> </w:t>
      </w:r>
      <w:r>
        <w:rPr>
          <w:i/>
          <w:sz w:val="22"/>
        </w:rPr>
        <w:t>our</w:t>
      </w:r>
      <w:r>
        <w:rPr>
          <w:i/>
          <w:spacing w:val="-10"/>
          <w:sz w:val="22"/>
        </w:rPr>
        <w:t> </w:t>
      </w:r>
      <w:r>
        <w:rPr>
          <w:i/>
          <w:sz w:val="22"/>
        </w:rPr>
        <w:t>newsrooms,</w:t>
      </w:r>
      <w:r>
        <w:rPr>
          <w:i/>
          <w:spacing w:val="-10"/>
          <w:sz w:val="22"/>
        </w:rPr>
        <w:t> </w:t>
      </w:r>
      <w:r>
        <w:rPr>
          <w:i/>
          <w:sz w:val="22"/>
        </w:rPr>
        <w:t>and</w:t>
      </w:r>
      <w:r>
        <w:rPr>
          <w:i/>
          <w:spacing w:val="-9"/>
          <w:sz w:val="22"/>
        </w:rPr>
        <w:t> </w:t>
      </w:r>
      <w:r>
        <w:rPr>
          <w:i/>
          <w:sz w:val="22"/>
        </w:rPr>
        <w:t>our</w:t>
      </w:r>
      <w:r>
        <w:rPr>
          <w:i/>
          <w:spacing w:val="-8"/>
          <w:sz w:val="22"/>
        </w:rPr>
        <w:t> </w:t>
      </w:r>
      <w:r>
        <w:rPr>
          <w:i/>
          <w:sz w:val="22"/>
        </w:rPr>
        <w:t>boardrooms.</w:t>
      </w:r>
      <w:r>
        <w:rPr>
          <w:i/>
          <w:spacing w:val="-9"/>
          <w:sz w:val="22"/>
        </w:rPr>
        <w:t> </w:t>
      </w:r>
      <w:r>
        <w:rPr>
          <w:i/>
          <w:sz w:val="22"/>
        </w:rPr>
        <w:t>And</w:t>
      </w:r>
      <w:r>
        <w:rPr>
          <w:i/>
          <w:spacing w:val="-10"/>
          <w:sz w:val="22"/>
        </w:rPr>
        <w:t> </w:t>
      </w:r>
      <w:r>
        <w:rPr>
          <w:i/>
          <w:sz w:val="22"/>
        </w:rPr>
        <w:t>they</w:t>
      </w:r>
      <w:r>
        <w:rPr>
          <w:i/>
          <w:spacing w:val="-9"/>
          <w:sz w:val="22"/>
        </w:rPr>
        <w:t> </w:t>
      </w:r>
      <w:r>
        <w:rPr>
          <w:i/>
          <w:sz w:val="22"/>
        </w:rPr>
        <w:t>have</w:t>
      </w:r>
      <w:r>
        <w:rPr>
          <w:i/>
          <w:spacing w:val="-9"/>
          <w:sz w:val="22"/>
        </w:rPr>
        <w:t> </w:t>
      </w:r>
      <w:r>
        <w:rPr>
          <w:i/>
          <w:sz w:val="22"/>
        </w:rPr>
        <w:t>no</w:t>
      </w:r>
      <w:r>
        <w:rPr>
          <w:i/>
          <w:spacing w:val="-10"/>
          <w:sz w:val="22"/>
        </w:rPr>
        <w:t> </w:t>
      </w:r>
      <w:r>
        <w:rPr>
          <w:i/>
          <w:sz w:val="22"/>
        </w:rPr>
        <w:t>direct</w:t>
      </w:r>
      <w:r>
        <w:rPr>
          <w:i/>
          <w:spacing w:val="-9"/>
          <w:sz w:val="22"/>
        </w:rPr>
        <w:t> </w:t>
      </w:r>
      <w:r>
        <w:rPr>
          <w:i/>
          <w:sz w:val="22"/>
        </w:rPr>
        <w:t>say</w:t>
      </w:r>
      <w:r>
        <w:rPr>
          <w:i/>
          <w:spacing w:val="-7"/>
          <w:sz w:val="22"/>
        </w:rPr>
        <w:t> </w:t>
      </w:r>
      <w:r>
        <w:rPr>
          <w:i/>
          <w:sz w:val="22"/>
        </w:rPr>
        <w:t>whatsoever in our voting booths. A total of 13,045 unique children were in foster care during FY2022, a staggering number of young lives … Children have no money and no power. They are functionally voiceless in the policy</w:t>
      </w:r>
      <w:r>
        <w:rPr>
          <w:i/>
          <w:spacing w:val="-4"/>
          <w:sz w:val="22"/>
        </w:rPr>
        <w:t> </w:t>
      </w:r>
      <w:r>
        <w:rPr>
          <w:i/>
          <w:sz w:val="22"/>
        </w:rPr>
        <w:t>decisions</w:t>
      </w:r>
      <w:r>
        <w:rPr>
          <w:i/>
          <w:spacing w:val="-4"/>
          <w:sz w:val="22"/>
        </w:rPr>
        <w:t> </w:t>
      </w:r>
      <w:r>
        <w:rPr>
          <w:i/>
          <w:sz w:val="22"/>
        </w:rPr>
        <w:t>that</w:t>
      </w:r>
      <w:r>
        <w:rPr>
          <w:i/>
          <w:spacing w:val="-4"/>
          <w:sz w:val="22"/>
        </w:rPr>
        <w:t> </w:t>
      </w:r>
      <w:r>
        <w:rPr>
          <w:i/>
          <w:sz w:val="22"/>
        </w:rPr>
        <w:t>most</w:t>
      </w:r>
      <w:r>
        <w:rPr>
          <w:i/>
          <w:spacing w:val="-3"/>
          <w:sz w:val="22"/>
        </w:rPr>
        <w:t> </w:t>
      </w:r>
      <w:r>
        <w:rPr>
          <w:i/>
          <w:sz w:val="22"/>
        </w:rPr>
        <w:t>affect</w:t>
      </w:r>
      <w:r>
        <w:rPr>
          <w:i/>
          <w:spacing w:val="-3"/>
          <w:sz w:val="22"/>
        </w:rPr>
        <w:t> </w:t>
      </w:r>
      <w:r>
        <w:rPr>
          <w:i/>
          <w:sz w:val="22"/>
        </w:rPr>
        <w:t>their</w:t>
      </w:r>
      <w:r>
        <w:rPr>
          <w:i/>
          <w:spacing w:val="-4"/>
          <w:sz w:val="22"/>
        </w:rPr>
        <w:t> </w:t>
      </w:r>
      <w:r>
        <w:rPr>
          <w:i/>
          <w:sz w:val="22"/>
        </w:rPr>
        <w:t>lives</w:t>
      </w:r>
      <w:r>
        <w:rPr>
          <w:i/>
          <w:spacing w:val="-4"/>
          <w:sz w:val="22"/>
        </w:rPr>
        <w:t> </w:t>
      </w:r>
      <w:r>
        <w:rPr>
          <w:i/>
          <w:sz w:val="22"/>
        </w:rPr>
        <w:t>…</w:t>
      </w:r>
      <w:r>
        <w:rPr>
          <w:i/>
          <w:spacing w:val="-3"/>
          <w:sz w:val="22"/>
        </w:rPr>
        <w:t> </w:t>
      </w:r>
      <w:r>
        <w:rPr>
          <w:i/>
          <w:sz w:val="22"/>
        </w:rPr>
        <w:t>children</w:t>
      </w:r>
      <w:r>
        <w:rPr>
          <w:i/>
          <w:spacing w:val="-4"/>
          <w:sz w:val="22"/>
        </w:rPr>
        <w:t> </w:t>
      </w:r>
      <w:r>
        <w:rPr>
          <w:i/>
          <w:sz w:val="22"/>
        </w:rPr>
        <w:t>in</w:t>
      </w:r>
      <w:r>
        <w:rPr>
          <w:i/>
          <w:spacing w:val="-4"/>
          <w:sz w:val="22"/>
        </w:rPr>
        <w:t> </w:t>
      </w:r>
      <w:r>
        <w:rPr>
          <w:i/>
          <w:sz w:val="22"/>
        </w:rPr>
        <w:t>DCF</w:t>
      </w:r>
      <w:r>
        <w:rPr>
          <w:i/>
          <w:spacing w:val="-4"/>
          <w:sz w:val="22"/>
        </w:rPr>
        <w:t> </w:t>
      </w:r>
      <w:r>
        <w:rPr>
          <w:i/>
          <w:sz w:val="22"/>
        </w:rPr>
        <w:t>custody</w:t>
      </w:r>
      <w:r>
        <w:rPr>
          <w:i/>
          <w:spacing w:val="-4"/>
          <w:sz w:val="22"/>
        </w:rPr>
        <w:t> </w:t>
      </w:r>
      <w:r>
        <w:rPr>
          <w:i/>
          <w:sz w:val="22"/>
        </w:rPr>
        <w:t>in</w:t>
      </w:r>
      <w:r>
        <w:rPr>
          <w:i/>
          <w:spacing w:val="-4"/>
          <w:sz w:val="22"/>
        </w:rPr>
        <w:t> </w:t>
      </w:r>
      <w:r>
        <w:rPr>
          <w:i/>
          <w:sz w:val="22"/>
        </w:rPr>
        <w:t>Massachusetts</w:t>
      </w:r>
      <w:r>
        <w:rPr>
          <w:i/>
          <w:spacing w:val="-4"/>
          <w:sz w:val="22"/>
        </w:rPr>
        <w:t> </w:t>
      </w:r>
      <w:r>
        <w:rPr>
          <w:i/>
          <w:sz w:val="22"/>
        </w:rPr>
        <w:t>would</w:t>
      </w:r>
      <w:r>
        <w:rPr>
          <w:i/>
          <w:spacing w:val="-4"/>
          <w:sz w:val="22"/>
        </w:rPr>
        <w:t> </w:t>
      </w:r>
      <w:r>
        <w:rPr>
          <w:i/>
          <w:sz w:val="22"/>
        </w:rPr>
        <w:t>do</w:t>
      </w:r>
      <w:r>
        <w:rPr>
          <w:i/>
          <w:spacing w:val="-4"/>
          <w:sz w:val="22"/>
        </w:rPr>
        <w:t> </w:t>
      </w:r>
      <w:r>
        <w:rPr>
          <w:i/>
          <w:sz w:val="22"/>
        </w:rPr>
        <w:t>better</w:t>
      </w:r>
      <w:r>
        <w:rPr>
          <w:i/>
          <w:spacing w:val="-4"/>
          <w:sz w:val="22"/>
        </w:rPr>
        <w:t> </w:t>
      </w:r>
      <w:r>
        <w:rPr>
          <w:i/>
          <w:sz w:val="22"/>
        </w:rPr>
        <w:t>to live in almost any other state.”</w:t>
      </w:r>
    </w:p>
    <w:p>
      <w:pPr>
        <w:spacing w:after="0" w:line="276" w:lineRule="auto"/>
        <w:jc w:val="both"/>
        <w:rPr>
          <w:sz w:val="22"/>
        </w:rPr>
        <w:sectPr>
          <w:pgSz w:w="12240" w:h="15840"/>
          <w:pgMar w:header="804" w:footer="1263" w:top="1000" w:bottom="1460" w:left="980" w:right="1160"/>
        </w:sectPr>
      </w:pPr>
    </w:p>
    <w:p>
      <w:pPr>
        <w:pStyle w:val="BodyText"/>
        <w:spacing w:line="276" w:lineRule="auto" w:before="139"/>
        <w:ind w:left="463" w:right="281"/>
        <w:jc w:val="both"/>
      </w:pPr>
      <w:r>
        <w:rPr/>
        <w:t>With</w:t>
      </w:r>
      <w:r>
        <w:rPr>
          <w:spacing w:val="-7"/>
        </w:rPr>
        <w:t> </w:t>
      </w:r>
      <w:r>
        <w:rPr/>
        <w:t>a</w:t>
      </w:r>
      <w:r>
        <w:rPr>
          <w:spacing w:val="-6"/>
        </w:rPr>
        <w:t> </w:t>
      </w:r>
      <w:r>
        <w:rPr/>
        <w:t>$1.2</w:t>
      </w:r>
      <w:r>
        <w:rPr>
          <w:spacing w:val="-6"/>
        </w:rPr>
        <w:t> </w:t>
      </w:r>
      <w:r>
        <w:rPr/>
        <w:t>billion</w:t>
      </w:r>
      <w:r>
        <w:rPr>
          <w:spacing w:val="-7"/>
        </w:rPr>
        <w:t> </w:t>
      </w:r>
      <w:r>
        <w:rPr/>
        <w:t>annual</w:t>
      </w:r>
      <w:r>
        <w:rPr>
          <w:spacing w:val="-5"/>
        </w:rPr>
        <w:t> </w:t>
      </w:r>
      <w:r>
        <w:rPr/>
        <w:t>budget,</w:t>
      </w:r>
      <w:r>
        <w:rPr>
          <w:spacing w:val="-6"/>
        </w:rPr>
        <w:t> </w:t>
      </w:r>
      <w:r>
        <w:rPr/>
        <w:t>the</w:t>
      </w:r>
      <w:r>
        <w:rPr>
          <w:spacing w:val="-5"/>
        </w:rPr>
        <w:t> </w:t>
      </w:r>
      <w:r>
        <w:rPr/>
        <w:t>Massachusetts</w:t>
      </w:r>
      <w:r>
        <w:rPr>
          <w:spacing w:val="-6"/>
        </w:rPr>
        <w:t> </w:t>
      </w:r>
      <w:r>
        <w:rPr/>
        <w:t>Department</w:t>
      </w:r>
      <w:r>
        <w:rPr>
          <w:spacing w:val="-7"/>
        </w:rPr>
        <w:t> </w:t>
      </w:r>
      <w:r>
        <w:rPr/>
        <w:t>of</w:t>
      </w:r>
      <w:r>
        <w:rPr>
          <w:spacing w:val="-6"/>
        </w:rPr>
        <w:t> </w:t>
      </w:r>
      <w:r>
        <w:rPr/>
        <w:t>Children</w:t>
      </w:r>
      <w:r>
        <w:rPr>
          <w:spacing w:val="-5"/>
        </w:rPr>
        <w:t> </w:t>
      </w:r>
      <w:r>
        <w:rPr/>
        <w:t>and</w:t>
      </w:r>
      <w:r>
        <w:rPr>
          <w:spacing w:val="-7"/>
        </w:rPr>
        <w:t> </w:t>
      </w:r>
      <w:r>
        <w:rPr/>
        <w:t>Families</w:t>
      </w:r>
      <w:r>
        <w:rPr>
          <w:spacing w:val="-6"/>
        </w:rPr>
        <w:t> </w:t>
      </w:r>
      <w:r>
        <w:rPr/>
        <w:t>(DCF)</w:t>
      </w:r>
      <w:r>
        <w:rPr>
          <w:spacing w:val="-6"/>
        </w:rPr>
        <w:t> </w:t>
      </w:r>
      <w:r>
        <w:rPr/>
        <w:t>remains one</w:t>
      </w:r>
      <w:r>
        <w:rPr>
          <w:spacing w:val="-6"/>
        </w:rPr>
        <w:t> </w:t>
      </w:r>
      <w:r>
        <w:rPr/>
        <w:t>of</w:t>
      </w:r>
      <w:r>
        <w:rPr>
          <w:spacing w:val="-4"/>
        </w:rPr>
        <w:t> </w:t>
      </w:r>
      <w:r>
        <w:rPr/>
        <w:t>the</w:t>
      </w:r>
      <w:r>
        <w:rPr>
          <w:spacing w:val="-4"/>
        </w:rPr>
        <w:t> </w:t>
      </w:r>
      <w:r>
        <w:rPr/>
        <w:t>worst-performing</w:t>
      </w:r>
      <w:r>
        <w:rPr>
          <w:spacing w:val="-6"/>
        </w:rPr>
        <w:t> </w:t>
      </w:r>
      <w:r>
        <w:rPr/>
        <w:t>state</w:t>
      </w:r>
      <w:r>
        <w:rPr>
          <w:spacing w:val="-4"/>
        </w:rPr>
        <w:t> </w:t>
      </w:r>
      <w:r>
        <w:rPr/>
        <w:t>child</w:t>
      </w:r>
      <w:r>
        <w:rPr>
          <w:spacing w:val="-4"/>
        </w:rPr>
        <w:t> </w:t>
      </w:r>
      <w:r>
        <w:rPr/>
        <w:t>welfare</w:t>
      </w:r>
      <w:r>
        <w:rPr>
          <w:spacing w:val="-6"/>
        </w:rPr>
        <w:t> </w:t>
      </w:r>
      <w:r>
        <w:rPr/>
        <w:t>agencies</w:t>
      </w:r>
      <w:r>
        <w:rPr>
          <w:spacing w:val="-5"/>
        </w:rPr>
        <w:t> </w:t>
      </w:r>
      <w:r>
        <w:rPr/>
        <w:t>in</w:t>
      </w:r>
      <w:r>
        <w:rPr>
          <w:spacing w:val="-4"/>
        </w:rPr>
        <w:t> </w:t>
      </w:r>
      <w:r>
        <w:rPr/>
        <w:t>the</w:t>
      </w:r>
      <w:r>
        <w:rPr>
          <w:spacing w:val="-4"/>
        </w:rPr>
        <w:t> </w:t>
      </w:r>
      <w:r>
        <w:rPr/>
        <w:t>nation</w:t>
      </w:r>
      <w:r>
        <w:rPr>
          <w:spacing w:val="-6"/>
        </w:rPr>
        <w:t> </w:t>
      </w:r>
      <w:r>
        <w:rPr/>
        <w:t>based</w:t>
      </w:r>
      <w:r>
        <w:rPr>
          <w:spacing w:val="-4"/>
        </w:rPr>
        <w:t> </w:t>
      </w:r>
      <w:r>
        <w:rPr/>
        <w:t>on</w:t>
      </w:r>
      <w:r>
        <w:rPr>
          <w:spacing w:val="-4"/>
        </w:rPr>
        <w:t> </w:t>
      </w:r>
      <w:r>
        <w:rPr/>
        <w:t>comparisons</w:t>
      </w:r>
      <w:r>
        <w:rPr>
          <w:spacing w:val="-5"/>
        </w:rPr>
        <w:t> </w:t>
      </w:r>
      <w:r>
        <w:rPr/>
        <w:t>of</w:t>
      </w:r>
      <w:r>
        <w:rPr>
          <w:spacing w:val="-5"/>
        </w:rPr>
        <w:t> </w:t>
      </w:r>
      <w:r>
        <w:rPr/>
        <w:t>federally mandated data on several critical measures: the average length of time in foster care; the percentage of children</w:t>
      </w:r>
      <w:r>
        <w:rPr>
          <w:spacing w:val="-10"/>
        </w:rPr>
        <w:t> </w:t>
      </w:r>
      <w:r>
        <w:rPr/>
        <w:t>in</w:t>
      </w:r>
      <w:r>
        <w:rPr>
          <w:spacing w:val="-10"/>
        </w:rPr>
        <w:t> </w:t>
      </w:r>
      <w:r>
        <w:rPr/>
        <w:t>foster</w:t>
      </w:r>
      <w:r>
        <w:rPr>
          <w:spacing w:val="-10"/>
        </w:rPr>
        <w:t> </w:t>
      </w:r>
      <w:r>
        <w:rPr/>
        <w:t>care</w:t>
      </w:r>
      <w:r>
        <w:rPr>
          <w:spacing w:val="-11"/>
        </w:rPr>
        <w:t> </w:t>
      </w:r>
      <w:r>
        <w:rPr/>
        <w:t>for</w:t>
      </w:r>
      <w:r>
        <w:rPr>
          <w:spacing w:val="-9"/>
        </w:rPr>
        <w:t> </w:t>
      </w:r>
      <w:r>
        <w:rPr/>
        <w:t>more</w:t>
      </w:r>
      <w:r>
        <w:rPr>
          <w:spacing w:val="-10"/>
        </w:rPr>
        <w:t> </w:t>
      </w:r>
      <w:r>
        <w:rPr/>
        <w:t>than</w:t>
      </w:r>
      <w:r>
        <w:rPr>
          <w:spacing w:val="-10"/>
        </w:rPr>
        <w:t> </w:t>
      </w:r>
      <w:r>
        <w:rPr/>
        <w:t>five</w:t>
      </w:r>
      <w:r>
        <w:rPr>
          <w:spacing w:val="-11"/>
        </w:rPr>
        <w:t> </w:t>
      </w:r>
      <w:r>
        <w:rPr/>
        <w:t>years;</w:t>
      </w:r>
      <w:r>
        <w:rPr>
          <w:spacing w:val="-10"/>
        </w:rPr>
        <w:t> </w:t>
      </w:r>
      <w:r>
        <w:rPr/>
        <w:t>children</w:t>
      </w:r>
      <w:r>
        <w:rPr>
          <w:spacing w:val="-10"/>
        </w:rPr>
        <w:t> </w:t>
      </w:r>
      <w:r>
        <w:rPr/>
        <w:t>experiencing</w:t>
      </w:r>
      <w:r>
        <w:rPr>
          <w:spacing w:val="-10"/>
        </w:rPr>
        <w:t> </w:t>
      </w:r>
      <w:r>
        <w:rPr/>
        <w:t>four</w:t>
      </w:r>
      <w:r>
        <w:rPr>
          <w:spacing w:val="-11"/>
        </w:rPr>
        <w:t> </w:t>
      </w:r>
      <w:r>
        <w:rPr/>
        <w:t>or</w:t>
      </w:r>
      <w:r>
        <w:rPr>
          <w:spacing w:val="-10"/>
        </w:rPr>
        <w:t> </w:t>
      </w:r>
      <w:r>
        <w:rPr/>
        <w:t>more</w:t>
      </w:r>
      <w:r>
        <w:rPr>
          <w:spacing w:val="-11"/>
        </w:rPr>
        <w:t> </w:t>
      </w:r>
      <w:r>
        <w:rPr/>
        <w:t>foster</w:t>
      </w:r>
      <w:r>
        <w:rPr>
          <w:spacing w:val="-10"/>
        </w:rPr>
        <w:t> </w:t>
      </w:r>
      <w:r>
        <w:rPr/>
        <w:t>care</w:t>
      </w:r>
      <w:r>
        <w:rPr>
          <w:spacing w:val="-11"/>
        </w:rPr>
        <w:t> </w:t>
      </w:r>
      <w:r>
        <w:rPr/>
        <w:t>placements while in DCF custody; and the percentage of children adopted by relatives</w:t>
      </w:r>
      <w:hyperlink w:history="true" w:anchor="_bookmark36">
        <w:r>
          <w:rPr/>
          <w:t>.</w:t>
        </w:r>
        <w:r>
          <w:rPr>
            <w:vertAlign w:val="superscript"/>
          </w:rPr>
          <w:t>28</w:t>
        </w:r>
      </w:hyperlink>
    </w:p>
    <w:p>
      <w:pPr>
        <w:pStyle w:val="BodyText"/>
        <w:spacing w:line="276" w:lineRule="auto" w:before="238"/>
        <w:ind w:left="463" w:right="280"/>
        <w:jc w:val="both"/>
      </w:pPr>
      <w:r>
        <w:rPr/>
        <w:t>Across the</w:t>
      </w:r>
      <w:r>
        <w:rPr>
          <w:spacing w:val="-1"/>
        </w:rPr>
        <w:t> </w:t>
      </w:r>
      <w:r>
        <w:rPr/>
        <w:t>nation, LGBTQ youth, and QTBIPOC youth in</w:t>
      </w:r>
      <w:r>
        <w:rPr>
          <w:spacing w:val="-1"/>
        </w:rPr>
        <w:t> </w:t>
      </w:r>
      <w:r>
        <w:rPr/>
        <w:t>particular, are</w:t>
      </w:r>
      <w:r>
        <w:rPr>
          <w:spacing w:val="-1"/>
        </w:rPr>
        <w:t> </w:t>
      </w:r>
      <w:r>
        <w:rPr/>
        <w:t>disproportionately represented in the</w:t>
      </w:r>
      <w:r>
        <w:rPr>
          <w:spacing w:val="-3"/>
        </w:rPr>
        <w:t> </w:t>
      </w:r>
      <w:r>
        <w:rPr/>
        <w:t>child</w:t>
      </w:r>
      <w:r>
        <w:rPr>
          <w:spacing w:val="-3"/>
        </w:rPr>
        <w:t> </w:t>
      </w:r>
      <w:r>
        <w:rPr/>
        <w:t>welfare</w:t>
      </w:r>
      <w:r>
        <w:rPr>
          <w:spacing w:val="-4"/>
        </w:rPr>
        <w:t> </w:t>
      </w:r>
      <w:r>
        <w:rPr/>
        <w:t>system</w:t>
      </w:r>
      <w:r>
        <w:rPr>
          <w:spacing w:val="-4"/>
        </w:rPr>
        <w:t> </w:t>
      </w:r>
      <w:r>
        <w:rPr/>
        <w:t>and</w:t>
      </w:r>
      <w:r>
        <w:rPr>
          <w:spacing w:val="-4"/>
        </w:rPr>
        <w:t> </w:t>
      </w:r>
      <w:r>
        <w:rPr/>
        <w:t>experience</w:t>
      </w:r>
      <w:r>
        <w:rPr>
          <w:spacing w:val="-4"/>
        </w:rPr>
        <w:t> </w:t>
      </w:r>
      <w:r>
        <w:rPr/>
        <w:t>disproportionate</w:t>
      </w:r>
      <w:r>
        <w:rPr>
          <w:spacing w:val="-4"/>
        </w:rPr>
        <w:t> </w:t>
      </w:r>
      <w:r>
        <w:rPr/>
        <w:t>negative</w:t>
      </w:r>
      <w:r>
        <w:rPr>
          <w:spacing w:val="-4"/>
        </w:rPr>
        <w:t> </w:t>
      </w:r>
      <w:r>
        <w:rPr/>
        <w:t>outcomes,</w:t>
      </w:r>
      <w:r>
        <w:rPr>
          <w:spacing w:val="-4"/>
        </w:rPr>
        <w:t> </w:t>
      </w:r>
      <w:r>
        <w:rPr/>
        <w:t>including</w:t>
      </w:r>
      <w:r>
        <w:rPr>
          <w:spacing w:val="-3"/>
        </w:rPr>
        <w:t> </w:t>
      </w:r>
      <w:r>
        <w:rPr/>
        <w:t>more</w:t>
      </w:r>
      <w:r>
        <w:rPr>
          <w:spacing w:val="-4"/>
        </w:rPr>
        <w:t> </w:t>
      </w:r>
      <w:r>
        <w:rPr/>
        <w:t>placement changes,</w:t>
      </w:r>
      <w:r>
        <w:rPr>
          <w:spacing w:val="-13"/>
        </w:rPr>
        <w:t> </w:t>
      </w:r>
      <w:r>
        <w:rPr/>
        <w:t>a</w:t>
      </w:r>
      <w:r>
        <w:rPr>
          <w:spacing w:val="-12"/>
        </w:rPr>
        <w:t> </w:t>
      </w:r>
      <w:r>
        <w:rPr/>
        <w:t>longer</w:t>
      </w:r>
      <w:r>
        <w:rPr>
          <w:spacing w:val="-12"/>
        </w:rPr>
        <w:t> </w:t>
      </w:r>
      <w:r>
        <w:rPr/>
        <w:t>duration</w:t>
      </w:r>
      <w:r>
        <w:rPr>
          <w:spacing w:val="-12"/>
        </w:rPr>
        <w:t> </w:t>
      </w:r>
      <w:r>
        <w:rPr/>
        <w:t>in</w:t>
      </w:r>
      <w:r>
        <w:rPr>
          <w:spacing w:val="-13"/>
        </w:rPr>
        <w:t> </w:t>
      </w:r>
      <w:r>
        <w:rPr/>
        <w:t>the</w:t>
      </w:r>
      <w:r>
        <w:rPr>
          <w:spacing w:val="-12"/>
        </w:rPr>
        <w:t> </w:t>
      </w:r>
      <w:r>
        <w:rPr/>
        <w:t>system,</w:t>
      </w:r>
      <w:r>
        <w:rPr>
          <w:spacing w:val="-12"/>
        </w:rPr>
        <w:t> </w:t>
      </w:r>
      <w:r>
        <w:rPr/>
        <w:t>a</w:t>
      </w:r>
      <w:r>
        <w:rPr>
          <w:spacing w:val="-12"/>
        </w:rPr>
        <w:t> </w:t>
      </w:r>
      <w:r>
        <w:rPr/>
        <w:t>lower</w:t>
      </w:r>
      <w:r>
        <w:rPr>
          <w:spacing w:val="-12"/>
        </w:rPr>
        <w:t> </w:t>
      </w:r>
      <w:r>
        <w:rPr/>
        <w:t>rate</w:t>
      </w:r>
      <w:r>
        <w:rPr>
          <w:spacing w:val="-12"/>
        </w:rPr>
        <w:t> </w:t>
      </w:r>
      <w:r>
        <w:rPr/>
        <w:t>of</w:t>
      </w:r>
      <w:r>
        <w:rPr>
          <w:spacing w:val="-13"/>
        </w:rPr>
        <w:t> </w:t>
      </w:r>
      <w:r>
        <w:rPr/>
        <w:t>adoption,</w:t>
      </w:r>
      <w:r>
        <w:rPr>
          <w:spacing w:val="-12"/>
        </w:rPr>
        <w:t> </w:t>
      </w:r>
      <w:r>
        <w:rPr/>
        <w:t>and</w:t>
      </w:r>
      <w:r>
        <w:rPr>
          <w:spacing w:val="-12"/>
        </w:rPr>
        <w:t> </w:t>
      </w:r>
      <w:r>
        <w:rPr/>
        <w:t>negative</w:t>
      </w:r>
      <w:r>
        <w:rPr>
          <w:spacing w:val="-12"/>
        </w:rPr>
        <w:t> </w:t>
      </w:r>
      <w:r>
        <w:rPr/>
        <w:t>and</w:t>
      </w:r>
      <w:r>
        <w:rPr>
          <w:spacing w:val="-13"/>
        </w:rPr>
        <w:t> </w:t>
      </w:r>
      <w:r>
        <w:rPr/>
        <w:t>frightening</w:t>
      </w:r>
      <w:r>
        <w:rPr>
          <w:spacing w:val="-12"/>
        </w:rPr>
        <w:t> </w:t>
      </w:r>
      <w:r>
        <w:rPr/>
        <w:t>outcomes when aging out of the child welfare system.</w:t>
      </w:r>
      <w:hyperlink w:history="true" w:anchor="_bookmark37">
        <w:r>
          <w:rPr>
            <w:vertAlign w:val="superscript"/>
          </w:rPr>
          <w:t>29</w:t>
        </w:r>
      </w:hyperlink>
      <w:r>
        <w:rPr>
          <w:vertAlign w:val="baseline"/>
        </w:rPr>
        <w:t> As of DCF’s most recent FY 2024 Quarter 2 report, approximately</w:t>
      </w:r>
      <w:r>
        <w:rPr>
          <w:spacing w:val="-3"/>
          <w:vertAlign w:val="baseline"/>
        </w:rPr>
        <w:t> </w:t>
      </w:r>
      <w:r>
        <w:rPr>
          <w:vertAlign w:val="baseline"/>
        </w:rPr>
        <w:t>374</w:t>
      </w:r>
      <w:r>
        <w:rPr>
          <w:spacing w:val="-3"/>
          <w:vertAlign w:val="baseline"/>
        </w:rPr>
        <w:t> </w:t>
      </w:r>
      <w:r>
        <w:rPr>
          <w:vertAlign w:val="baseline"/>
        </w:rPr>
        <w:t>youth</w:t>
      </w:r>
      <w:r>
        <w:rPr>
          <w:spacing w:val="-3"/>
          <w:vertAlign w:val="baseline"/>
        </w:rPr>
        <w:t> </w:t>
      </w:r>
      <w:r>
        <w:rPr>
          <w:vertAlign w:val="baseline"/>
        </w:rPr>
        <w:t>(6%)</w:t>
      </w:r>
      <w:r>
        <w:rPr>
          <w:spacing w:val="-2"/>
          <w:vertAlign w:val="baseline"/>
        </w:rPr>
        <w:t> </w:t>
      </w:r>
      <w:r>
        <w:rPr>
          <w:vertAlign w:val="baseline"/>
        </w:rPr>
        <w:t>aged</w:t>
      </w:r>
      <w:r>
        <w:rPr>
          <w:spacing w:val="-3"/>
          <w:vertAlign w:val="baseline"/>
        </w:rPr>
        <w:t> </w:t>
      </w:r>
      <w:r>
        <w:rPr>
          <w:vertAlign w:val="baseline"/>
        </w:rPr>
        <w:t>3-17</w:t>
      </w:r>
      <w:r>
        <w:rPr>
          <w:spacing w:val="-3"/>
          <w:vertAlign w:val="baseline"/>
        </w:rPr>
        <w:t> </w:t>
      </w:r>
      <w:r>
        <w:rPr>
          <w:vertAlign w:val="baseline"/>
        </w:rPr>
        <w:t>identified</w:t>
      </w:r>
      <w:r>
        <w:rPr>
          <w:spacing w:val="-2"/>
          <w:vertAlign w:val="baseline"/>
        </w:rPr>
        <w:t> </w:t>
      </w:r>
      <w:r>
        <w:rPr>
          <w:vertAlign w:val="baseline"/>
        </w:rPr>
        <w:t>as</w:t>
      </w:r>
      <w:r>
        <w:rPr>
          <w:spacing w:val="-3"/>
          <w:vertAlign w:val="baseline"/>
        </w:rPr>
        <w:t> </w:t>
      </w:r>
      <w:r>
        <w:rPr>
          <w:vertAlign w:val="baseline"/>
        </w:rPr>
        <w:t>LGBQ,</w:t>
      </w:r>
      <w:r>
        <w:rPr>
          <w:spacing w:val="-2"/>
          <w:vertAlign w:val="baseline"/>
        </w:rPr>
        <w:t> </w:t>
      </w:r>
      <w:r>
        <w:rPr>
          <w:vertAlign w:val="baseline"/>
        </w:rPr>
        <w:t>though</w:t>
      </w:r>
      <w:r>
        <w:rPr>
          <w:spacing w:val="-3"/>
          <w:vertAlign w:val="baseline"/>
        </w:rPr>
        <w:t> </w:t>
      </w:r>
      <w:r>
        <w:rPr>
          <w:vertAlign w:val="baseline"/>
        </w:rPr>
        <w:t>a</w:t>
      </w:r>
      <w:r>
        <w:rPr>
          <w:spacing w:val="-1"/>
          <w:vertAlign w:val="baseline"/>
        </w:rPr>
        <w:t> </w:t>
      </w:r>
      <w:r>
        <w:rPr>
          <w:vertAlign w:val="baseline"/>
        </w:rPr>
        <w:t>further</w:t>
      </w:r>
      <w:r>
        <w:rPr>
          <w:spacing w:val="-3"/>
          <w:vertAlign w:val="baseline"/>
        </w:rPr>
        <w:t> </w:t>
      </w:r>
      <w:r>
        <w:rPr>
          <w:vertAlign w:val="baseline"/>
        </w:rPr>
        <w:t>1,002</w:t>
      </w:r>
      <w:r>
        <w:rPr>
          <w:spacing w:val="-3"/>
          <w:vertAlign w:val="baseline"/>
        </w:rPr>
        <w:t> </w:t>
      </w:r>
      <w:r>
        <w:rPr>
          <w:vertAlign w:val="baseline"/>
        </w:rPr>
        <w:t>were</w:t>
      </w:r>
      <w:r>
        <w:rPr>
          <w:spacing w:val="-3"/>
          <w:vertAlign w:val="baseline"/>
        </w:rPr>
        <w:t> </w:t>
      </w:r>
      <w:r>
        <w:rPr>
          <w:vertAlign w:val="baseline"/>
        </w:rPr>
        <w:t>marked</w:t>
      </w:r>
      <w:r>
        <w:rPr>
          <w:spacing w:val="-3"/>
          <w:vertAlign w:val="baseline"/>
        </w:rPr>
        <w:t> </w:t>
      </w:r>
      <w:r>
        <w:rPr>
          <w:vertAlign w:val="baseline"/>
        </w:rPr>
        <w:t>as</w:t>
      </w:r>
      <w:r>
        <w:rPr>
          <w:spacing w:val="-3"/>
          <w:vertAlign w:val="baseline"/>
        </w:rPr>
        <w:t> </w:t>
      </w:r>
      <w:r>
        <w:rPr>
          <w:vertAlign w:val="baseline"/>
        </w:rPr>
        <w:t>‘not listed’ or ‘other’ which could suggest higher numbers if the youth identify with a sexual orientation not listed;</w:t>
      </w:r>
      <w:r>
        <w:rPr>
          <w:spacing w:val="-4"/>
          <w:vertAlign w:val="baseline"/>
        </w:rPr>
        <w:t> </w:t>
      </w:r>
      <w:r>
        <w:rPr>
          <w:vertAlign w:val="baseline"/>
        </w:rPr>
        <w:t>136</w:t>
      </w:r>
      <w:r>
        <w:rPr>
          <w:spacing w:val="-4"/>
          <w:vertAlign w:val="baseline"/>
        </w:rPr>
        <w:t> </w:t>
      </w:r>
      <w:r>
        <w:rPr>
          <w:vertAlign w:val="baseline"/>
        </w:rPr>
        <w:t>youth</w:t>
      </w:r>
      <w:r>
        <w:rPr>
          <w:spacing w:val="-4"/>
          <w:vertAlign w:val="baseline"/>
        </w:rPr>
        <w:t> </w:t>
      </w:r>
      <w:r>
        <w:rPr>
          <w:vertAlign w:val="baseline"/>
        </w:rPr>
        <w:t>aged</w:t>
      </w:r>
      <w:r>
        <w:rPr>
          <w:spacing w:val="-4"/>
          <w:vertAlign w:val="baseline"/>
        </w:rPr>
        <w:t> </w:t>
      </w:r>
      <w:r>
        <w:rPr>
          <w:vertAlign w:val="baseline"/>
        </w:rPr>
        <w:t>3-17</w:t>
      </w:r>
      <w:r>
        <w:rPr>
          <w:spacing w:val="-4"/>
          <w:vertAlign w:val="baseline"/>
        </w:rPr>
        <w:t> </w:t>
      </w:r>
      <w:r>
        <w:rPr>
          <w:vertAlign w:val="baseline"/>
        </w:rPr>
        <w:t>identified</w:t>
      </w:r>
      <w:r>
        <w:rPr>
          <w:spacing w:val="-4"/>
          <w:vertAlign w:val="baseline"/>
        </w:rPr>
        <w:t> </w:t>
      </w:r>
      <w:r>
        <w:rPr>
          <w:vertAlign w:val="baseline"/>
        </w:rPr>
        <w:t>as</w:t>
      </w:r>
      <w:r>
        <w:rPr>
          <w:spacing w:val="-4"/>
          <w:vertAlign w:val="baseline"/>
        </w:rPr>
        <w:t> </w:t>
      </w:r>
      <w:r>
        <w:rPr>
          <w:vertAlign w:val="baseline"/>
        </w:rPr>
        <w:t>transgender</w:t>
      </w:r>
      <w:r>
        <w:rPr>
          <w:spacing w:val="-3"/>
          <w:vertAlign w:val="baseline"/>
        </w:rPr>
        <w:t> </w:t>
      </w:r>
      <w:r>
        <w:rPr>
          <w:vertAlign w:val="baseline"/>
        </w:rPr>
        <w:t>or</w:t>
      </w:r>
      <w:r>
        <w:rPr>
          <w:spacing w:val="-4"/>
          <w:vertAlign w:val="baseline"/>
        </w:rPr>
        <w:t> </w:t>
      </w:r>
      <w:r>
        <w:rPr>
          <w:vertAlign w:val="baseline"/>
        </w:rPr>
        <w:t>otherwise</w:t>
      </w:r>
      <w:r>
        <w:rPr>
          <w:spacing w:val="-4"/>
          <w:vertAlign w:val="baseline"/>
        </w:rPr>
        <w:t> </w:t>
      </w:r>
      <w:r>
        <w:rPr>
          <w:vertAlign w:val="baseline"/>
        </w:rPr>
        <w:t>under</w:t>
      </w:r>
      <w:r>
        <w:rPr>
          <w:spacing w:val="-3"/>
          <w:vertAlign w:val="baseline"/>
        </w:rPr>
        <w:t> </w:t>
      </w:r>
      <w:r>
        <w:rPr>
          <w:vertAlign w:val="baseline"/>
        </w:rPr>
        <w:t>the</w:t>
      </w:r>
      <w:r>
        <w:rPr>
          <w:spacing w:val="-4"/>
          <w:vertAlign w:val="baseline"/>
        </w:rPr>
        <w:t> </w:t>
      </w:r>
      <w:r>
        <w:rPr>
          <w:vertAlign w:val="baseline"/>
        </w:rPr>
        <w:t>gender</w:t>
      </w:r>
      <w:r>
        <w:rPr>
          <w:spacing w:val="-4"/>
          <w:vertAlign w:val="baseline"/>
        </w:rPr>
        <w:t> </w:t>
      </w:r>
      <w:r>
        <w:rPr>
          <w:vertAlign w:val="baseline"/>
        </w:rPr>
        <w:t>expansive</w:t>
      </w:r>
      <w:r>
        <w:rPr>
          <w:spacing w:val="-4"/>
          <w:vertAlign w:val="baseline"/>
        </w:rPr>
        <w:t> </w:t>
      </w:r>
      <w:r>
        <w:rPr>
          <w:vertAlign w:val="baseline"/>
        </w:rPr>
        <w:t>umbrella, making</w:t>
      </w:r>
      <w:r>
        <w:rPr>
          <w:spacing w:val="-1"/>
          <w:vertAlign w:val="baseline"/>
        </w:rPr>
        <w:t> </w:t>
      </w:r>
      <w:r>
        <w:rPr>
          <w:vertAlign w:val="baseline"/>
        </w:rPr>
        <w:t>up</w:t>
      </w:r>
      <w:r>
        <w:rPr>
          <w:spacing w:val="-2"/>
          <w:vertAlign w:val="baseline"/>
        </w:rPr>
        <w:t> </w:t>
      </w:r>
      <w:r>
        <w:rPr>
          <w:vertAlign w:val="baseline"/>
        </w:rPr>
        <w:t>approximately 2%</w:t>
      </w:r>
      <w:r>
        <w:rPr>
          <w:spacing w:val="-2"/>
          <w:vertAlign w:val="baseline"/>
        </w:rPr>
        <w:t> </w:t>
      </w:r>
      <w:r>
        <w:rPr>
          <w:vertAlign w:val="baseline"/>
        </w:rPr>
        <w:t>of</w:t>
      </w:r>
      <w:r>
        <w:rPr>
          <w:spacing w:val="-2"/>
          <w:vertAlign w:val="baseline"/>
        </w:rPr>
        <w:t> </w:t>
      </w:r>
      <w:r>
        <w:rPr>
          <w:vertAlign w:val="baseline"/>
        </w:rPr>
        <w:t>DCF</w:t>
      </w:r>
      <w:r>
        <w:rPr>
          <w:spacing w:val="-2"/>
          <w:vertAlign w:val="baseline"/>
        </w:rPr>
        <w:t> </w:t>
      </w:r>
      <w:r>
        <w:rPr>
          <w:vertAlign w:val="baseline"/>
        </w:rPr>
        <w:t>3-17</w:t>
      </w:r>
      <w:r>
        <w:rPr>
          <w:spacing w:val="-2"/>
          <w:vertAlign w:val="baseline"/>
        </w:rPr>
        <w:t> </w:t>
      </w:r>
      <w:r>
        <w:rPr>
          <w:vertAlign w:val="baseline"/>
        </w:rPr>
        <w:t>youth.</w:t>
      </w:r>
      <w:r>
        <w:rPr>
          <w:spacing w:val="-2"/>
          <w:vertAlign w:val="baseline"/>
        </w:rPr>
        <w:t> </w:t>
      </w:r>
      <w:r>
        <w:rPr>
          <w:vertAlign w:val="baseline"/>
        </w:rPr>
        <w:t>For youth</w:t>
      </w:r>
      <w:r>
        <w:rPr>
          <w:spacing w:val="-2"/>
          <w:vertAlign w:val="baseline"/>
        </w:rPr>
        <w:t> </w:t>
      </w:r>
      <w:r>
        <w:rPr>
          <w:vertAlign w:val="baseline"/>
        </w:rPr>
        <w:t>in</w:t>
      </w:r>
      <w:r>
        <w:rPr>
          <w:spacing w:val="-2"/>
          <w:vertAlign w:val="baseline"/>
        </w:rPr>
        <w:t> </w:t>
      </w:r>
      <w:r>
        <w:rPr>
          <w:vertAlign w:val="baseline"/>
        </w:rPr>
        <w:t>DCF</w:t>
      </w:r>
      <w:r>
        <w:rPr>
          <w:spacing w:val="-1"/>
          <w:vertAlign w:val="baseline"/>
        </w:rPr>
        <w:t> </w:t>
      </w:r>
      <w:r>
        <w:rPr>
          <w:vertAlign w:val="baseline"/>
        </w:rPr>
        <w:t>care</w:t>
      </w:r>
      <w:r>
        <w:rPr>
          <w:spacing w:val="-2"/>
          <w:vertAlign w:val="baseline"/>
        </w:rPr>
        <w:t> </w:t>
      </w:r>
      <w:r>
        <w:rPr>
          <w:vertAlign w:val="baseline"/>
        </w:rPr>
        <w:t>over</w:t>
      </w:r>
      <w:r>
        <w:rPr>
          <w:spacing w:val="-2"/>
          <w:vertAlign w:val="baseline"/>
        </w:rPr>
        <w:t> </w:t>
      </w:r>
      <w:r>
        <w:rPr>
          <w:vertAlign w:val="baseline"/>
        </w:rPr>
        <w:t>the</w:t>
      </w:r>
      <w:r>
        <w:rPr>
          <w:spacing w:val="-2"/>
          <w:vertAlign w:val="baseline"/>
        </w:rPr>
        <w:t> </w:t>
      </w:r>
      <w:r>
        <w:rPr>
          <w:vertAlign w:val="baseline"/>
        </w:rPr>
        <w:t>age</w:t>
      </w:r>
      <w:r>
        <w:rPr>
          <w:spacing w:val="-2"/>
          <w:vertAlign w:val="baseline"/>
        </w:rPr>
        <w:t> </w:t>
      </w:r>
      <w:r>
        <w:rPr>
          <w:vertAlign w:val="baseline"/>
        </w:rPr>
        <w:t>of</w:t>
      </w:r>
      <w:r>
        <w:rPr>
          <w:spacing w:val="-2"/>
          <w:vertAlign w:val="baseline"/>
        </w:rPr>
        <w:t> </w:t>
      </w:r>
      <w:r>
        <w:rPr>
          <w:vertAlign w:val="baseline"/>
        </w:rPr>
        <w:t>18,</w:t>
      </w:r>
      <w:r>
        <w:rPr>
          <w:spacing w:val="-1"/>
          <w:vertAlign w:val="baseline"/>
        </w:rPr>
        <w:t> </w:t>
      </w:r>
      <w:r>
        <w:rPr>
          <w:vertAlign w:val="baseline"/>
        </w:rPr>
        <w:t>approximately 13% identify as LGB, and 4% under the gender expansive umbrella</w:t>
      </w:r>
      <w:hyperlink w:history="true" w:anchor="_bookmark38">
        <w:r>
          <w:rPr>
            <w:vertAlign w:val="baseline"/>
          </w:rPr>
          <w:t>.</w:t>
        </w:r>
        <w:r>
          <w:rPr>
            <w:vertAlign w:val="superscript"/>
          </w:rPr>
          <w:t>30</w:t>
        </w:r>
      </w:hyperlink>
    </w:p>
    <w:p>
      <w:pPr>
        <w:pStyle w:val="BodyText"/>
        <w:spacing w:line="276" w:lineRule="auto" w:before="241"/>
        <w:ind w:left="463" w:right="280"/>
        <w:jc w:val="both"/>
      </w:pPr>
      <w:r>
        <w:rPr/>
        <w:t>For</w:t>
      </w:r>
      <w:r>
        <w:rPr>
          <w:spacing w:val="-5"/>
        </w:rPr>
        <w:t> </w:t>
      </w:r>
      <w:r>
        <w:rPr/>
        <w:t>child</w:t>
      </w:r>
      <w:r>
        <w:rPr>
          <w:spacing w:val="-4"/>
        </w:rPr>
        <w:t> </w:t>
      </w:r>
      <w:r>
        <w:rPr/>
        <w:t>advocates,</w:t>
      </w:r>
      <w:r>
        <w:rPr>
          <w:spacing w:val="-5"/>
        </w:rPr>
        <w:t> </w:t>
      </w:r>
      <w:r>
        <w:rPr/>
        <w:t>particularly</w:t>
      </w:r>
      <w:r>
        <w:rPr>
          <w:spacing w:val="-4"/>
        </w:rPr>
        <w:t> </w:t>
      </w:r>
      <w:r>
        <w:rPr/>
        <w:t>those</w:t>
      </w:r>
      <w:r>
        <w:rPr>
          <w:spacing w:val="-4"/>
        </w:rPr>
        <w:t> </w:t>
      </w:r>
      <w:r>
        <w:rPr/>
        <w:t>working</w:t>
      </w:r>
      <w:r>
        <w:rPr>
          <w:spacing w:val="-4"/>
        </w:rPr>
        <w:t> </w:t>
      </w:r>
      <w:r>
        <w:rPr/>
        <w:t>with</w:t>
      </w:r>
      <w:r>
        <w:rPr>
          <w:spacing w:val="-3"/>
        </w:rPr>
        <w:t> </w:t>
      </w:r>
      <w:r>
        <w:rPr/>
        <w:t>LGBTQ</w:t>
      </w:r>
      <w:r>
        <w:rPr>
          <w:spacing w:val="-4"/>
        </w:rPr>
        <w:t> </w:t>
      </w:r>
      <w:r>
        <w:rPr/>
        <w:t>youth,</w:t>
      </w:r>
      <w:r>
        <w:rPr>
          <w:spacing w:val="-5"/>
        </w:rPr>
        <w:t> </w:t>
      </w:r>
      <w:r>
        <w:rPr/>
        <w:t>the</w:t>
      </w:r>
      <w:r>
        <w:rPr>
          <w:spacing w:val="-4"/>
        </w:rPr>
        <w:t> </w:t>
      </w:r>
      <w:r>
        <w:rPr/>
        <w:t>state</w:t>
      </w:r>
      <w:r>
        <w:rPr>
          <w:spacing w:val="-3"/>
        </w:rPr>
        <w:t> </w:t>
      </w:r>
      <w:r>
        <w:rPr/>
        <w:t>child</w:t>
      </w:r>
      <w:r>
        <w:rPr>
          <w:spacing w:val="-6"/>
        </w:rPr>
        <w:t> </w:t>
      </w:r>
      <w:r>
        <w:rPr/>
        <w:t>welfare</w:t>
      </w:r>
      <w:r>
        <w:rPr>
          <w:spacing w:val="-6"/>
        </w:rPr>
        <w:t> </w:t>
      </w:r>
      <w:r>
        <w:rPr/>
        <w:t>system</w:t>
      </w:r>
      <w:r>
        <w:rPr>
          <w:spacing w:val="-4"/>
        </w:rPr>
        <w:t> </w:t>
      </w:r>
      <w:r>
        <w:rPr/>
        <w:t>is</w:t>
      </w:r>
      <w:r>
        <w:rPr>
          <w:spacing w:val="-4"/>
        </w:rPr>
        <w:t> </w:t>
      </w:r>
      <w:r>
        <w:rPr/>
        <w:t>mired in</w:t>
      </w:r>
      <w:r>
        <w:rPr>
          <w:spacing w:val="-13"/>
        </w:rPr>
        <w:t> </w:t>
      </w:r>
      <w:r>
        <w:rPr/>
        <w:t>complexity.</w:t>
      </w:r>
      <w:r>
        <w:rPr>
          <w:spacing w:val="-12"/>
        </w:rPr>
        <w:t> </w:t>
      </w:r>
      <w:r>
        <w:rPr/>
        <w:t>From</w:t>
      </w:r>
      <w:r>
        <w:rPr>
          <w:spacing w:val="-13"/>
        </w:rPr>
        <w:t> </w:t>
      </w:r>
      <w:r>
        <w:rPr/>
        <w:t>the</w:t>
      </w:r>
      <w:r>
        <w:rPr>
          <w:spacing w:val="-12"/>
        </w:rPr>
        <w:t> </w:t>
      </w:r>
      <w:r>
        <w:rPr/>
        <w:t>moment</w:t>
      </w:r>
      <w:r>
        <w:rPr>
          <w:spacing w:val="-13"/>
        </w:rPr>
        <w:t> </w:t>
      </w:r>
      <w:r>
        <w:rPr/>
        <w:t>LGBTQ</w:t>
      </w:r>
      <w:r>
        <w:rPr>
          <w:spacing w:val="-12"/>
        </w:rPr>
        <w:t> </w:t>
      </w:r>
      <w:r>
        <w:rPr/>
        <w:t>children</w:t>
      </w:r>
      <w:r>
        <w:rPr>
          <w:spacing w:val="-13"/>
        </w:rPr>
        <w:t> </w:t>
      </w:r>
      <w:r>
        <w:rPr/>
        <w:t>and</w:t>
      </w:r>
      <w:r>
        <w:rPr>
          <w:spacing w:val="-12"/>
        </w:rPr>
        <w:t> </w:t>
      </w:r>
      <w:r>
        <w:rPr/>
        <w:t>youth</w:t>
      </w:r>
      <w:r>
        <w:rPr>
          <w:spacing w:val="-12"/>
        </w:rPr>
        <w:t> </w:t>
      </w:r>
      <w:r>
        <w:rPr/>
        <w:t>enter</w:t>
      </w:r>
      <w:r>
        <w:rPr>
          <w:spacing w:val="-13"/>
        </w:rPr>
        <w:t> </w:t>
      </w:r>
      <w:r>
        <w:rPr/>
        <w:t>the</w:t>
      </w:r>
      <w:r>
        <w:rPr>
          <w:spacing w:val="-12"/>
        </w:rPr>
        <w:t> </w:t>
      </w:r>
      <w:r>
        <w:rPr/>
        <w:t>Massachusetts</w:t>
      </w:r>
      <w:r>
        <w:rPr>
          <w:spacing w:val="-13"/>
        </w:rPr>
        <w:t> </w:t>
      </w:r>
      <w:r>
        <w:rPr/>
        <w:t>child</w:t>
      </w:r>
      <w:r>
        <w:rPr>
          <w:spacing w:val="-12"/>
        </w:rPr>
        <w:t> </w:t>
      </w:r>
      <w:r>
        <w:rPr/>
        <w:t>welfare</w:t>
      </w:r>
      <w:r>
        <w:rPr>
          <w:spacing w:val="-13"/>
        </w:rPr>
        <w:t> </w:t>
      </w:r>
      <w:r>
        <w:rPr/>
        <w:t>system, the</w:t>
      </w:r>
      <w:r>
        <w:rPr>
          <w:spacing w:val="-5"/>
        </w:rPr>
        <w:t> </w:t>
      </w:r>
      <w:r>
        <w:rPr/>
        <w:t>system</w:t>
      </w:r>
      <w:r>
        <w:rPr>
          <w:spacing w:val="-6"/>
        </w:rPr>
        <w:t> </w:t>
      </w:r>
      <w:r>
        <w:rPr/>
        <w:t>fails</w:t>
      </w:r>
      <w:r>
        <w:rPr>
          <w:spacing w:val="-6"/>
        </w:rPr>
        <w:t> </w:t>
      </w:r>
      <w:r>
        <w:rPr/>
        <w:t>to</w:t>
      </w:r>
      <w:r>
        <w:rPr>
          <w:spacing w:val="-6"/>
        </w:rPr>
        <w:t> </w:t>
      </w:r>
      <w:r>
        <w:rPr/>
        <w:t>fully</w:t>
      </w:r>
      <w:r>
        <w:rPr>
          <w:spacing w:val="-6"/>
        </w:rPr>
        <w:t> </w:t>
      </w:r>
      <w:r>
        <w:rPr/>
        <w:t>serve</w:t>
      </w:r>
      <w:r>
        <w:rPr>
          <w:spacing w:val="-7"/>
        </w:rPr>
        <w:t> </w:t>
      </w:r>
      <w:r>
        <w:rPr/>
        <w:t>them—by</w:t>
      </w:r>
      <w:r>
        <w:rPr>
          <w:spacing w:val="-4"/>
        </w:rPr>
        <w:t> </w:t>
      </w:r>
      <w:r>
        <w:rPr/>
        <w:t>failing</w:t>
      </w:r>
      <w:r>
        <w:rPr>
          <w:spacing w:val="-6"/>
        </w:rPr>
        <w:t> </w:t>
      </w:r>
      <w:r>
        <w:rPr/>
        <w:t>to</w:t>
      </w:r>
      <w:r>
        <w:rPr>
          <w:spacing w:val="-6"/>
        </w:rPr>
        <w:t> </w:t>
      </w:r>
      <w:r>
        <w:rPr/>
        <w:t>even</w:t>
      </w:r>
      <w:r>
        <w:rPr>
          <w:spacing w:val="-5"/>
        </w:rPr>
        <w:t> </w:t>
      </w:r>
      <w:r>
        <w:rPr/>
        <w:t>collect</w:t>
      </w:r>
      <w:r>
        <w:rPr>
          <w:spacing w:val="-5"/>
        </w:rPr>
        <w:t> </w:t>
      </w:r>
      <w:r>
        <w:rPr/>
        <w:t>complete</w:t>
      </w:r>
      <w:r>
        <w:rPr>
          <w:spacing w:val="-5"/>
        </w:rPr>
        <w:t> </w:t>
      </w:r>
      <w:r>
        <w:rPr/>
        <w:t>and</w:t>
      </w:r>
      <w:r>
        <w:rPr>
          <w:spacing w:val="-6"/>
        </w:rPr>
        <w:t> </w:t>
      </w:r>
      <w:r>
        <w:rPr/>
        <w:t>accurate</w:t>
      </w:r>
      <w:r>
        <w:rPr>
          <w:spacing w:val="-5"/>
        </w:rPr>
        <w:t> </w:t>
      </w:r>
      <w:r>
        <w:rPr/>
        <w:t>data</w:t>
      </w:r>
      <w:r>
        <w:rPr>
          <w:spacing w:val="-6"/>
        </w:rPr>
        <w:t> </w:t>
      </w:r>
      <w:r>
        <w:rPr/>
        <w:t>on</w:t>
      </w:r>
      <w:r>
        <w:rPr>
          <w:spacing w:val="-6"/>
        </w:rPr>
        <w:t> </w:t>
      </w:r>
      <w:r>
        <w:rPr/>
        <w:t>the</w:t>
      </w:r>
      <w:r>
        <w:rPr>
          <w:spacing w:val="-7"/>
        </w:rPr>
        <w:t> </w:t>
      </w:r>
      <w:r>
        <w:rPr/>
        <w:t>reasons they are entering the system. Although DCF should be credited for positively improving its collection of SOGIE data, the agency must also mandate the collection of more complete information on why LGBTQ youth</w:t>
      </w:r>
      <w:r>
        <w:rPr>
          <w:spacing w:val="-8"/>
        </w:rPr>
        <w:t> </w:t>
      </w:r>
      <w:r>
        <w:rPr/>
        <w:t>are</w:t>
      </w:r>
      <w:r>
        <w:rPr>
          <w:spacing w:val="-8"/>
        </w:rPr>
        <w:t> </w:t>
      </w:r>
      <w:r>
        <w:rPr/>
        <w:t>entering</w:t>
      </w:r>
      <w:r>
        <w:rPr>
          <w:spacing w:val="-8"/>
        </w:rPr>
        <w:t> </w:t>
      </w:r>
      <w:r>
        <w:rPr/>
        <w:t>the</w:t>
      </w:r>
      <w:r>
        <w:rPr>
          <w:spacing w:val="-8"/>
        </w:rPr>
        <w:t> </w:t>
      </w:r>
      <w:r>
        <w:rPr/>
        <w:t>system</w:t>
      </w:r>
      <w:r>
        <w:rPr>
          <w:spacing w:val="-8"/>
        </w:rPr>
        <w:t> </w:t>
      </w:r>
      <w:r>
        <w:rPr/>
        <w:t>in</w:t>
      </w:r>
      <w:r>
        <w:rPr>
          <w:spacing w:val="-8"/>
        </w:rPr>
        <w:t> </w:t>
      </w:r>
      <w:r>
        <w:rPr/>
        <w:t>the</w:t>
      </w:r>
      <w:r>
        <w:rPr>
          <w:spacing w:val="-8"/>
        </w:rPr>
        <w:t> </w:t>
      </w:r>
      <w:r>
        <w:rPr/>
        <w:t>first</w:t>
      </w:r>
      <w:r>
        <w:rPr>
          <w:spacing w:val="-8"/>
        </w:rPr>
        <w:t> </w:t>
      </w:r>
      <w:r>
        <w:rPr/>
        <w:t>place</w:t>
      </w:r>
      <w:r>
        <w:rPr>
          <w:spacing w:val="-8"/>
        </w:rPr>
        <w:t> </w:t>
      </w:r>
      <w:r>
        <w:rPr/>
        <w:t>and</w:t>
      </w:r>
      <w:r>
        <w:rPr>
          <w:spacing w:val="-9"/>
        </w:rPr>
        <w:t> </w:t>
      </w:r>
      <w:r>
        <w:rPr/>
        <w:t>ensure</w:t>
      </w:r>
      <w:r>
        <w:rPr>
          <w:spacing w:val="-8"/>
        </w:rPr>
        <w:t> </w:t>
      </w:r>
      <w:r>
        <w:rPr/>
        <w:t>that</w:t>
      </w:r>
      <w:r>
        <w:rPr>
          <w:spacing w:val="-8"/>
        </w:rPr>
        <w:t> </w:t>
      </w:r>
      <w:r>
        <w:rPr/>
        <w:t>workers</w:t>
      </w:r>
      <w:r>
        <w:rPr>
          <w:spacing w:val="-7"/>
        </w:rPr>
        <w:t> </w:t>
      </w:r>
      <w:r>
        <w:rPr/>
        <w:t>are</w:t>
      </w:r>
      <w:r>
        <w:rPr>
          <w:spacing w:val="-8"/>
        </w:rPr>
        <w:t> </w:t>
      </w:r>
      <w:r>
        <w:rPr/>
        <w:t>appropriately</w:t>
      </w:r>
      <w:r>
        <w:rPr>
          <w:spacing w:val="-8"/>
        </w:rPr>
        <w:t> </w:t>
      </w:r>
      <w:r>
        <w:rPr/>
        <w:t>trained</w:t>
      </w:r>
      <w:r>
        <w:rPr>
          <w:spacing w:val="-8"/>
        </w:rPr>
        <w:t> </w:t>
      </w:r>
      <w:r>
        <w:rPr/>
        <w:t>on</w:t>
      </w:r>
      <w:r>
        <w:rPr>
          <w:spacing w:val="-8"/>
        </w:rPr>
        <w:t> </w:t>
      </w:r>
      <w:r>
        <w:rPr/>
        <w:t>how to appropriately ask SOGIE questions. National research indicates that family rejection of LGBTQ youth for their sexual orientation and/or gender identity may in fact lead to their overrepresentation in child welfare</w:t>
      </w:r>
      <w:r>
        <w:rPr>
          <w:spacing w:val="-13"/>
        </w:rPr>
        <w:t> </w:t>
      </w:r>
      <w:r>
        <w:rPr/>
        <w:t>systems.</w:t>
      </w:r>
      <w:r>
        <w:rPr>
          <w:spacing w:val="-12"/>
        </w:rPr>
        <w:t> </w:t>
      </w:r>
      <w:r>
        <w:rPr/>
        <w:t>Massachusetts</w:t>
      </w:r>
      <w:r>
        <w:rPr>
          <w:spacing w:val="-13"/>
        </w:rPr>
        <w:t> </w:t>
      </w:r>
      <w:r>
        <w:rPr/>
        <w:t>policymakers</w:t>
      </w:r>
      <w:r>
        <w:rPr>
          <w:spacing w:val="-12"/>
        </w:rPr>
        <w:t> </w:t>
      </w:r>
      <w:r>
        <w:rPr/>
        <w:t>need</w:t>
      </w:r>
      <w:r>
        <w:rPr>
          <w:spacing w:val="-13"/>
        </w:rPr>
        <w:t> </w:t>
      </w:r>
      <w:r>
        <w:rPr/>
        <w:t>more</w:t>
      </w:r>
      <w:r>
        <w:rPr>
          <w:spacing w:val="-12"/>
        </w:rPr>
        <w:t> </w:t>
      </w:r>
      <w:r>
        <w:rPr/>
        <w:t>data</w:t>
      </w:r>
      <w:r>
        <w:rPr>
          <w:spacing w:val="-13"/>
        </w:rPr>
        <w:t> </w:t>
      </w:r>
      <w:r>
        <w:rPr/>
        <w:t>to</w:t>
      </w:r>
      <w:r>
        <w:rPr>
          <w:spacing w:val="-12"/>
        </w:rPr>
        <w:t> </w:t>
      </w:r>
      <w:r>
        <w:rPr/>
        <w:t>better</w:t>
      </w:r>
      <w:r>
        <w:rPr>
          <w:spacing w:val="-12"/>
        </w:rPr>
        <w:t> </w:t>
      </w:r>
      <w:r>
        <w:rPr/>
        <w:t>serve</w:t>
      </w:r>
      <w:r>
        <w:rPr>
          <w:spacing w:val="-13"/>
        </w:rPr>
        <w:t> </w:t>
      </w:r>
      <w:r>
        <w:rPr/>
        <w:t>youth</w:t>
      </w:r>
      <w:r>
        <w:rPr>
          <w:spacing w:val="-12"/>
        </w:rPr>
        <w:t> </w:t>
      </w:r>
      <w:r>
        <w:rPr/>
        <w:t>and</w:t>
      </w:r>
      <w:r>
        <w:rPr>
          <w:spacing w:val="-13"/>
        </w:rPr>
        <w:t> </w:t>
      </w:r>
      <w:r>
        <w:rPr/>
        <w:t>accurately</w:t>
      </w:r>
      <w:r>
        <w:rPr>
          <w:spacing w:val="-12"/>
        </w:rPr>
        <w:t> </w:t>
      </w:r>
      <w:r>
        <w:rPr/>
        <w:t>report on the misfortunes they face.</w:t>
      </w:r>
    </w:p>
    <w:p>
      <w:pPr>
        <w:pStyle w:val="BodyText"/>
        <w:spacing w:line="276" w:lineRule="auto" w:before="239"/>
        <w:ind w:left="463" w:right="281"/>
        <w:jc w:val="both"/>
      </w:pPr>
      <w:r>
        <w:rPr/>
        <w:t>Once in the child welfare system, LGBTQ youth typically experience higher risks of bullying and physical violence</w:t>
      </w:r>
      <w:r>
        <w:rPr>
          <w:spacing w:val="-4"/>
        </w:rPr>
        <w:t> </w:t>
      </w:r>
      <w:r>
        <w:rPr/>
        <w:t>due</w:t>
      </w:r>
      <w:r>
        <w:rPr>
          <w:spacing w:val="-3"/>
        </w:rPr>
        <w:t> </w:t>
      </w:r>
      <w:r>
        <w:rPr/>
        <w:t>to</w:t>
      </w:r>
      <w:r>
        <w:rPr>
          <w:spacing w:val="-3"/>
        </w:rPr>
        <w:t> </w:t>
      </w:r>
      <w:r>
        <w:rPr/>
        <w:t>serious</w:t>
      </w:r>
      <w:r>
        <w:rPr>
          <w:spacing w:val="-4"/>
        </w:rPr>
        <w:t> </w:t>
      </w:r>
      <w:r>
        <w:rPr/>
        <w:t>difficulty</w:t>
      </w:r>
      <w:r>
        <w:rPr>
          <w:spacing w:val="-4"/>
        </w:rPr>
        <w:t> </w:t>
      </w:r>
      <w:r>
        <w:rPr/>
        <w:t>finding</w:t>
      </w:r>
      <w:r>
        <w:rPr>
          <w:spacing w:val="-3"/>
        </w:rPr>
        <w:t> </w:t>
      </w:r>
      <w:r>
        <w:rPr/>
        <w:t>foster</w:t>
      </w:r>
      <w:r>
        <w:rPr>
          <w:spacing w:val="-4"/>
        </w:rPr>
        <w:t> </w:t>
      </w:r>
      <w:r>
        <w:rPr/>
        <w:t>placements</w:t>
      </w:r>
      <w:r>
        <w:rPr>
          <w:spacing w:val="-2"/>
        </w:rPr>
        <w:t> </w:t>
      </w:r>
      <w:r>
        <w:rPr/>
        <w:t>that</w:t>
      </w:r>
      <w:r>
        <w:rPr>
          <w:spacing w:val="-4"/>
        </w:rPr>
        <w:t> </w:t>
      </w:r>
      <w:r>
        <w:rPr/>
        <w:t>are</w:t>
      </w:r>
      <w:r>
        <w:rPr>
          <w:spacing w:val="-4"/>
        </w:rPr>
        <w:t> </w:t>
      </w:r>
      <w:r>
        <w:rPr/>
        <w:t>affirming.</w:t>
      </w:r>
      <w:r>
        <w:rPr>
          <w:spacing w:val="-3"/>
        </w:rPr>
        <w:t> </w:t>
      </w:r>
      <w:r>
        <w:rPr/>
        <w:t>Involvement</w:t>
      </w:r>
      <w:r>
        <w:rPr>
          <w:spacing w:val="-3"/>
        </w:rPr>
        <w:t> </w:t>
      </w:r>
      <w:r>
        <w:rPr/>
        <w:t>with</w:t>
      </w:r>
      <w:r>
        <w:rPr>
          <w:spacing w:val="-4"/>
        </w:rPr>
        <w:t> </w:t>
      </w:r>
      <w:r>
        <w:rPr/>
        <w:t>a</w:t>
      </w:r>
      <w:r>
        <w:rPr>
          <w:spacing w:val="-4"/>
        </w:rPr>
        <w:t> </w:t>
      </w:r>
      <w:r>
        <w:rPr/>
        <w:t>system that is meant to help them only worsens their well-being. The Commission’s 2021 report, “LGBTQ Youth in the Massachusetts Child Welfare System: A Report on Pervasive Threats to Safety, Wellbeing, and Permanency,” further examines the harms to the well-being of LGBTQ youth caught in this system.</w:t>
      </w:r>
    </w:p>
    <w:p>
      <w:pPr>
        <w:spacing w:line="276" w:lineRule="auto" w:before="240"/>
        <w:ind w:left="463" w:right="283" w:firstLine="0"/>
        <w:jc w:val="both"/>
        <w:rPr>
          <w:sz w:val="28"/>
        </w:rPr>
      </w:pPr>
      <w:bookmarkStart w:name="The Need for True Oversight, Accountabil" w:id="103"/>
      <w:bookmarkEnd w:id="103"/>
      <w:r>
        <w:rPr/>
      </w:r>
      <w:r>
        <w:rPr>
          <w:color w:val="365F91"/>
          <w:sz w:val="28"/>
        </w:rPr>
        <w:t>The Need for True Oversight, Accountability, and Transparency for the Child Welfare System</w:t>
      </w:r>
    </w:p>
    <w:p>
      <w:pPr>
        <w:pStyle w:val="BodyText"/>
        <w:spacing w:line="276" w:lineRule="auto" w:before="241"/>
        <w:ind w:left="463" w:right="280"/>
        <w:jc w:val="both"/>
      </w:pPr>
      <w:r>
        <w:rPr/>
        <w:t>Perpetuating alarming</w:t>
      </w:r>
      <w:r>
        <w:rPr>
          <w:spacing w:val="-1"/>
        </w:rPr>
        <w:t> </w:t>
      </w:r>
      <w:r>
        <w:rPr/>
        <w:t>failures are</w:t>
      </w:r>
      <w:r>
        <w:rPr>
          <w:spacing w:val="-1"/>
        </w:rPr>
        <w:t> </w:t>
      </w:r>
      <w:r>
        <w:rPr/>
        <w:t>a lack of adequate oversight, accountability, and</w:t>
      </w:r>
      <w:r>
        <w:rPr>
          <w:spacing w:val="-1"/>
        </w:rPr>
        <w:t> </w:t>
      </w:r>
      <w:r>
        <w:rPr/>
        <w:t>transparency among the</w:t>
      </w:r>
      <w:r>
        <w:rPr>
          <w:spacing w:val="-2"/>
        </w:rPr>
        <w:t> </w:t>
      </w:r>
      <w:r>
        <w:rPr/>
        <w:t>systems</w:t>
      </w:r>
      <w:r>
        <w:rPr>
          <w:spacing w:val="-1"/>
        </w:rPr>
        <w:t> </w:t>
      </w:r>
      <w:r>
        <w:rPr/>
        <w:t>serving</w:t>
      </w:r>
      <w:r>
        <w:rPr>
          <w:spacing w:val="-2"/>
        </w:rPr>
        <w:t> </w:t>
      </w:r>
      <w:r>
        <w:rPr/>
        <w:t>our</w:t>
      </w:r>
      <w:r>
        <w:rPr>
          <w:spacing w:val="-1"/>
        </w:rPr>
        <w:t> </w:t>
      </w:r>
      <w:r>
        <w:rPr/>
        <w:t>most</w:t>
      </w:r>
      <w:r>
        <w:rPr>
          <w:spacing w:val="-2"/>
        </w:rPr>
        <w:t> </w:t>
      </w:r>
      <w:r>
        <w:rPr/>
        <w:t>vulnerable</w:t>
      </w:r>
      <w:r>
        <w:rPr>
          <w:spacing w:val="-2"/>
        </w:rPr>
        <w:t> </w:t>
      </w:r>
      <w:r>
        <w:rPr/>
        <w:t>youth.</w:t>
      </w:r>
      <w:r>
        <w:rPr>
          <w:spacing w:val="-1"/>
        </w:rPr>
        <w:t> </w:t>
      </w:r>
      <w:r>
        <w:rPr/>
        <w:t>The</w:t>
      </w:r>
      <w:r>
        <w:rPr>
          <w:spacing w:val="-1"/>
        </w:rPr>
        <w:t> </w:t>
      </w:r>
      <w:r>
        <w:rPr/>
        <w:t>recent</w:t>
      </w:r>
      <w:r>
        <w:rPr>
          <w:spacing w:val="-2"/>
        </w:rPr>
        <w:t> </w:t>
      </w:r>
      <w:r>
        <w:rPr/>
        <w:t>Friends</w:t>
      </w:r>
      <w:r>
        <w:rPr>
          <w:spacing w:val="-1"/>
        </w:rPr>
        <w:t> </w:t>
      </w:r>
      <w:r>
        <w:rPr/>
        <w:t>of</w:t>
      </w:r>
      <w:r>
        <w:rPr>
          <w:spacing w:val="-1"/>
        </w:rPr>
        <w:t> </w:t>
      </w:r>
      <w:r>
        <w:rPr/>
        <w:t>Children</w:t>
      </w:r>
      <w:r>
        <w:rPr>
          <w:spacing w:val="-1"/>
        </w:rPr>
        <w:t> </w:t>
      </w:r>
      <w:r>
        <w:rPr/>
        <w:t>report,</w:t>
      </w:r>
      <w:r>
        <w:rPr>
          <w:spacing w:val="-1"/>
        </w:rPr>
        <w:t> </w:t>
      </w:r>
      <w:r>
        <w:rPr/>
        <w:t>“</w:t>
      </w:r>
      <w:hyperlink r:id="rId65">
        <w:r>
          <w:rPr>
            <w:color w:val="112D51"/>
            <w:u w:val="single" w:color="112D51"/>
          </w:rPr>
          <w:t>Ten</w:t>
        </w:r>
        <w:r>
          <w:rPr>
            <w:color w:val="112D51"/>
            <w:spacing w:val="-1"/>
            <w:u w:val="single" w:color="112D51"/>
          </w:rPr>
          <w:t> </w:t>
        </w:r>
        <w:r>
          <w:rPr>
            <w:color w:val="112D51"/>
            <w:u w:val="single" w:color="112D51"/>
          </w:rPr>
          <w:t>Myths</w:t>
        </w:r>
        <w:r>
          <w:rPr>
            <w:color w:val="112D51"/>
            <w:spacing w:val="-1"/>
            <w:u w:val="single" w:color="112D51"/>
          </w:rPr>
          <w:t> </w:t>
        </w:r>
        <w:r>
          <w:rPr>
            <w:color w:val="112D51"/>
            <w:u w:val="single" w:color="112D51"/>
          </w:rPr>
          <w:t>about</w:t>
        </w:r>
      </w:hyperlink>
      <w:r>
        <w:rPr>
          <w:color w:val="112D51"/>
          <w:u w:val="none"/>
        </w:rPr>
        <w:t> </w:t>
      </w:r>
      <w:hyperlink r:id="rId65">
        <w:r>
          <w:rPr>
            <w:color w:val="112D51"/>
            <w:u w:val="single" w:color="112D51"/>
          </w:rPr>
          <w:t>Child Welfare Oversight in Massachusetts</w:t>
        </w:r>
      </w:hyperlink>
      <w:r>
        <w:rPr>
          <w:u w:val="none"/>
        </w:rPr>
        <w:t>”</w:t>
      </w:r>
      <w:hyperlink r:id="rId66">
        <w:r>
          <w:rPr>
            <w:u w:val="none"/>
            <w:vertAlign w:val="superscript"/>
          </w:rPr>
          <w:t>33</w:t>
        </w:r>
      </w:hyperlink>
      <w:r>
        <w:rPr>
          <w:u w:val="none"/>
          <w:vertAlign w:val="baseline"/>
        </w:rPr>
        <w:t> details the misconceptions about the current child welfare system that enable the system to evade change. Many of the key roles leading the child welfare system, including the Secretary of the Office of Health and Human Services, the DCF Commissioner, and juvenile court judgeships are gubernatorial appointments, and as such the Governor has outsize influence over the Massachusetts child welfare system as compared to other states. Apart from the Governor and the</w:t>
      </w:r>
    </w:p>
    <w:p>
      <w:pPr>
        <w:spacing w:after="0" w:line="276" w:lineRule="auto"/>
        <w:jc w:val="both"/>
        <w:sectPr>
          <w:pgSz w:w="12240" w:h="15840"/>
          <w:pgMar w:header="804" w:footer="1263" w:top="1000" w:bottom="1460" w:left="980" w:right="1160"/>
        </w:sectPr>
      </w:pPr>
    </w:p>
    <w:p>
      <w:pPr>
        <w:pStyle w:val="BodyText"/>
        <w:spacing w:line="276" w:lineRule="auto" w:before="139"/>
        <w:ind w:left="463" w:right="281"/>
        <w:jc w:val="both"/>
      </w:pPr>
      <w:r>
        <w:rPr/>
        <w:t>Executive</w:t>
      </w:r>
      <w:r>
        <w:rPr>
          <w:spacing w:val="-6"/>
        </w:rPr>
        <w:t> </w:t>
      </w:r>
      <w:r>
        <w:rPr/>
        <w:t>Office</w:t>
      </w:r>
      <w:r>
        <w:rPr>
          <w:spacing w:val="-8"/>
        </w:rPr>
        <w:t> </w:t>
      </w:r>
      <w:r>
        <w:rPr/>
        <w:t>of</w:t>
      </w:r>
      <w:r>
        <w:rPr>
          <w:spacing w:val="-7"/>
        </w:rPr>
        <w:t> </w:t>
      </w:r>
      <w:r>
        <w:rPr/>
        <w:t>Health</w:t>
      </w:r>
      <w:r>
        <w:rPr>
          <w:spacing w:val="-7"/>
        </w:rPr>
        <w:t> </w:t>
      </w:r>
      <w:r>
        <w:rPr/>
        <w:t>and</w:t>
      </w:r>
      <w:r>
        <w:rPr>
          <w:spacing w:val="-8"/>
        </w:rPr>
        <w:t> </w:t>
      </w:r>
      <w:r>
        <w:rPr/>
        <w:t>Human</w:t>
      </w:r>
      <w:r>
        <w:rPr>
          <w:spacing w:val="-8"/>
        </w:rPr>
        <w:t> </w:t>
      </w:r>
      <w:r>
        <w:rPr/>
        <w:t>Services,</w:t>
      </w:r>
      <w:r>
        <w:rPr>
          <w:spacing w:val="-7"/>
        </w:rPr>
        <w:t> </w:t>
      </w:r>
      <w:r>
        <w:rPr/>
        <w:t>other</w:t>
      </w:r>
      <w:r>
        <w:rPr>
          <w:spacing w:val="-6"/>
        </w:rPr>
        <w:t> </w:t>
      </w:r>
      <w:r>
        <w:rPr/>
        <w:t>accountability</w:t>
      </w:r>
      <w:r>
        <w:rPr>
          <w:spacing w:val="-7"/>
        </w:rPr>
        <w:t> </w:t>
      </w:r>
      <w:r>
        <w:rPr/>
        <w:t>mechanisms</w:t>
      </w:r>
      <w:r>
        <w:rPr>
          <w:spacing w:val="-7"/>
        </w:rPr>
        <w:t> </w:t>
      </w:r>
      <w:r>
        <w:rPr/>
        <w:t>for</w:t>
      </w:r>
      <w:r>
        <w:rPr>
          <w:spacing w:val="-7"/>
        </w:rPr>
        <w:t> </w:t>
      </w:r>
      <w:r>
        <w:rPr/>
        <w:t>DCF</w:t>
      </w:r>
      <w:r>
        <w:rPr>
          <w:spacing w:val="-8"/>
        </w:rPr>
        <w:t> </w:t>
      </w:r>
      <w:r>
        <w:rPr/>
        <w:t>have</w:t>
      </w:r>
      <w:r>
        <w:rPr>
          <w:spacing w:val="-8"/>
        </w:rPr>
        <w:t> </w:t>
      </w:r>
      <w:r>
        <w:rPr/>
        <w:t>little</w:t>
      </w:r>
      <w:r>
        <w:rPr>
          <w:spacing w:val="-8"/>
        </w:rPr>
        <w:t> </w:t>
      </w:r>
      <w:r>
        <w:rPr/>
        <w:t>to</w:t>
      </w:r>
      <w:r>
        <w:rPr>
          <w:spacing w:val="-6"/>
        </w:rPr>
        <w:t> </w:t>
      </w:r>
      <w:r>
        <w:rPr/>
        <w:t>no authority over DCF. In Massachusetts, the Office of the Child Advocate (OCA) is directed to provide oversight and accountability for state agencies serving the Commonwealth’s most vulnerable youth. However,</w:t>
      </w:r>
      <w:r>
        <w:rPr>
          <w:spacing w:val="-1"/>
        </w:rPr>
        <w:t> </w:t>
      </w:r>
      <w:r>
        <w:rPr/>
        <w:t>as discussed</w:t>
      </w:r>
      <w:r>
        <w:rPr>
          <w:spacing w:val="-1"/>
        </w:rPr>
        <w:t> </w:t>
      </w:r>
      <w:r>
        <w:rPr/>
        <w:t>in</w:t>
      </w:r>
      <w:r>
        <w:rPr>
          <w:spacing w:val="-1"/>
        </w:rPr>
        <w:t> </w:t>
      </w:r>
      <w:r>
        <w:rPr/>
        <w:t>the OCA</w:t>
      </w:r>
      <w:r>
        <w:rPr>
          <w:spacing w:val="-1"/>
        </w:rPr>
        <w:t> </w:t>
      </w:r>
      <w:r>
        <w:rPr/>
        <w:t>recommendations</w:t>
      </w:r>
      <w:r>
        <w:rPr>
          <w:spacing w:val="-1"/>
        </w:rPr>
        <w:t> </w:t>
      </w:r>
      <w:r>
        <w:rPr/>
        <w:t>below, the Commission</w:t>
      </w:r>
      <w:r>
        <w:rPr>
          <w:spacing w:val="-1"/>
        </w:rPr>
        <w:t> </w:t>
      </w:r>
      <w:r>
        <w:rPr/>
        <w:t>has</w:t>
      </w:r>
      <w:r>
        <w:rPr>
          <w:spacing w:val="-1"/>
        </w:rPr>
        <w:t> </w:t>
      </w:r>
      <w:r>
        <w:rPr/>
        <w:t>serious</w:t>
      </w:r>
      <w:r>
        <w:rPr>
          <w:spacing w:val="-1"/>
        </w:rPr>
        <w:t> </w:t>
      </w:r>
      <w:r>
        <w:rPr/>
        <w:t>concerns</w:t>
      </w:r>
      <w:r>
        <w:rPr>
          <w:spacing w:val="-1"/>
        </w:rPr>
        <w:t> </w:t>
      </w:r>
      <w:r>
        <w:rPr/>
        <w:t>about the OCA’s commitment to impartial and transparent accountability for the child welfare system.</w:t>
      </w:r>
    </w:p>
    <w:p>
      <w:pPr>
        <w:pStyle w:val="BodyText"/>
        <w:spacing w:line="276" w:lineRule="auto" w:before="238"/>
        <w:ind w:left="463" w:right="282"/>
        <w:jc w:val="both"/>
      </w:pPr>
      <w:r>
        <w:rPr/>
        <w:t>In Massachusetts, the child welfare Ombudsman is an employee of DCF charged with investigating complaint reports against DCF, leading to concerns from the Commission about the appropriate impartiality of the role. Additionally, foster case review occurs internally through DCF, leading to little external</w:t>
      </w:r>
      <w:r>
        <w:rPr>
          <w:spacing w:val="-1"/>
        </w:rPr>
        <w:t> </w:t>
      </w:r>
      <w:r>
        <w:rPr/>
        <w:t>accountability</w:t>
      </w:r>
      <w:r>
        <w:rPr>
          <w:spacing w:val="-1"/>
        </w:rPr>
        <w:t> </w:t>
      </w:r>
      <w:r>
        <w:rPr/>
        <w:t>to ensure</w:t>
      </w:r>
      <w:r>
        <w:rPr>
          <w:spacing w:val="-1"/>
        </w:rPr>
        <w:t> </w:t>
      </w:r>
      <w:r>
        <w:rPr/>
        <w:t>that</w:t>
      </w:r>
      <w:r>
        <w:rPr>
          <w:spacing w:val="-1"/>
        </w:rPr>
        <w:t> </w:t>
      </w:r>
      <w:r>
        <w:rPr/>
        <w:t>the</w:t>
      </w:r>
      <w:r>
        <w:rPr>
          <w:spacing w:val="-2"/>
        </w:rPr>
        <w:t> </w:t>
      </w:r>
      <w:r>
        <w:rPr/>
        <w:t>well-being</w:t>
      </w:r>
      <w:r>
        <w:rPr>
          <w:spacing w:val="-1"/>
        </w:rPr>
        <w:t> </w:t>
      </w:r>
      <w:r>
        <w:rPr/>
        <w:t>of</w:t>
      </w:r>
      <w:r>
        <w:rPr>
          <w:spacing w:val="-2"/>
        </w:rPr>
        <w:t> </w:t>
      </w:r>
      <w:r>
        <w:rPr/>
        <w:t>youth</w:t>
      </w:r>
      <w:r>
        <w:rPr>
          <w:spacing w:val="-1"/>
        </w:rPr>
        <w:t> </w:t>
      </w:r>
      <w:r>
        <w:rPr/>
        <w:t>in</w:t>
      </w:r>
      <w:r>
        <w:rPr>
          <w:spacing w:val="-1"/>
        </w:rPr>
        <w:t> </w:t>
      </w:r>
      <w:r>
        <w:rPr/>
        <w:t>foster</w:t>
      </w:r>
      <w:r>
        <w:rPr>
          <w:spacing w:val="-2"/>
        </w:rPr>
        <w:t> </w:t>
      </w:r>
      <w:r>
        <w:rPr/>
        <w:t>care</w:t>
      </w:r>
      <w:r>
        <w:rPr>
          <w:spacing w:val="-1"/>
        </w:rPr>
        <w:t> </w:t>
      </w:r>
      <w:r>
        <w:rPr/>
        <w:t>is being</w:t>
      </w:r>
      <w:r>
        <w:rPr>
          <w:spacing w:val="-1"/>
        </w:rPr>
        <w:t> </w:t>
      </w:r>
      <w:r>
        <w:rPr/>
        <w:t>protected.</w:t>
      </w:r>
      <w:r>
        <w:rPr>
          <w:spacing w:val="-1"/>
        </w:rPr>
        <w:t> </w:t>
      </w:r>
      <w:r>
        <w:rPr/>
        <w:t>To better address these concerns, the Commission recommends that the state implement an independent foster care review office - used by many other states across the U.S. - which would provide an opportunity to objectively assess each child welfare case and make impartial recommendations to all relevant stakeholders regarding the safety and well-being of youth in DCF. For LGBTQ youth, who are among the most vulnerable youth in foster care, the establishment of independent foster care review is paramount to protecting their well-being. Furthermore, as noted in the above recommendations, the Commission recommends that the state explore the creation of a more expansive maltreatment coding system to provide clearer categorizations of maltreatment, with a specific code for LGBTQ youth.</w:t>
      </w:r>
    </w:p>
    <w:p>
      <w:pPr>
        <w:pStyle w:val="BodyText"/>
        <w:spacing w:line="276" w:lineRule="auto" w:before="241"/>
        <w:ind w:left="463" w:right="279"/>
        <w:jc w:val="both"/>
      </w:pPr>
      <w:r>
        <w:rPr/>
        <w:t>In</w:t>
      </w:r>
      <w:r>
        <w:rPr>
          <w:spacing w:val="-3"/>
        </w:rPr>
        <w:t> </w:t>
      </w:r>
      <w:r>
        <w:rPr/>
        <w:t>Massachusetts,</w:t>
      </w:r>
      <w:r>
        <w:rPr>
          <w:spacing w:val="-3"/>
        </w:rPr>
        <w:t> </w:t>
      </w:r>
      <w:r>
        <w:rPr/>
        <w:t>Juvenile</w:t>
      </w:r>
      <w:r>
        <w:rPr>
          <w:spacing w:val="-2"/>
        </w:rPr>
        <w:t> </w:t>
      </w:r>
      <w:r>
        <w:rPr/>
        <w:t>Court</w:t>
      </w:r>
      <w:r>
        <w:rPr>
          <w:spacing w:val="-3"/>
        </w:rPr>
        <w:t> </w:t>
      </w:r>
      <w:r>
        <w:rPr/>
        <w:t>judges</w:t>
      </w:r>
      <w:r>
        <w:rPr>
          <w:spacing w:val="-1"/>
        </w:rPr>
        <w:t> </w:t>
      </w:r>
      <w:r>
        <w:rPr/>
        <w:t>make</w:t>
      </w:r>
      <w:r>
        <w:rPr>
          <w:spacing w:val="-3"/>
        </w:rPr>
        <w:t> </w:t>
      </w:r>
      <w:r>
        <w:rPr/>
        <w:t>decisions</w:t>
      </w:r>
      <w:r>
        <w:rPr>
          <w:spacing w:val="-2"/>
        </w:rPr>
        <w:t> </w:t>
      </w:r>
      <w:r>
        <w:rPr/>
        <w:t>regarding</w:t>
      </w:r>
      <w:r>
        <w:rPr>
          <w:spacing w:val="-1"/>
        </w:rPr>
        <w:t> </w:t>
      </w:r>
      <w:r>
        <w:rPr/>
        <w:t>the</w:t>
      </w:r>
      <w:r>
        <w:rPr>
          <w:spacing w:val="-2"/>
        </w:rPr>
        <w:t> </w:t>
      </w:r>
      <w:r>
        <w:rPr/>
        <w:t>custody</w:t>
      </w:r>
      <w:r>
        <w:rPr>
          <w:spacing w:val="-3"/>
        </w:rPr>
        <w:t> </w:t>
      </w:r>
      <w:r>
        <w:rPr/>
        <w:t>of</w:t>
      </w:r>
      <w:r>
        <w:rPr>
          <w:spacing w:val="-3"/>
        </w:rPr>
        <w:t> </w:t>
      </w:r>
      <w:r>
        <w:rPr/>
        <w:t>children</w:t>
      </w:r>
      <w:r>
        <w:rPr>
          <w:spacing w:val="-3"/>
        </w:rPr>
        <w:t> </w:t>
      </w:r>
      <w:r>
        <w:rPr/>
        <w:t>and</w:t>
      </w:r>
      <w:r>
        <w:rPr>
          <w:spacing w:val="-3"/>
        </w:rPr>
        <w:t> </w:t>
      </w:r>
      <w:r>
        <w:rPr/>
        <w:t>youth,</w:t>
      </w:r>
      <w:r>
        <w:rPr>
          <w:spacing w:val="-1"/>
        </w:rPr>
        <w:t> </w:t>
      </w:r>
      <w:r>
        <w:rPr/>
        <w:t>the termination</w:t>
      </w:r>
      <w:r>
        <w:rPr>
          <w:spacing w:val="-9"/>
        </w:rPr>
        <w:t> </w:t>
      </w:r>
      <w:r>
        <w:rPr/>
        <w:t>of</w:t>
      </w:r>
      <w:r>
        <w:rPr>
          <w:spacing w:val="-9"/>
        </w:rPr>
        <w:t> </w:t>
      </w:r>
      <w:r>
        <w:rPr/>
        <w:t>parental</w:t>
      </w:r>
      <w:r>
        <w:rPr>
          <w:spacing w:val="-8"/>
        </w:rPr>
        <w:t> </w:t>
      </w:r>
      <w:r>
        <w:rPr/>
        <w:t>rights,</w:t>
      </w:r>
      <w:r>
        <w:rPr>
          <w:spacing w:val="-8"/>
        </w:rPr>
        <w:t> </w:t>
      </w:r>
      <w:r>
        <w:rPr/>
        <w:t>guardianship,</w:t>
      </w:r>
      <w:r>
        <w:rPr>
          <w:spacing w:val="-8"/>
        </w:rPr>
        <w:t> </w:t>
      </w:r>
      <w:r>
        <w:rPr/>
        <w:t>and</w:t>
      </w:r>
      <w:r>
        <w:rPr>
          <w:spacing w:val="-9"/>
        </w:rPr>
        <w:t> </w:t>
      </w:r>
      <w:r>
        <w:rPr/>
        <w:t>adoption.</w:t>
      </w:r>
      <w:r>
        <w:rPr>
          <w:spacing w:val="-8"/>
        </w:rPr>
        <w:t> </w:t>
      </w:r>
      <w:r>
        <w:rPr/>
        <w:t>However,</w:t>
      </w:r>
      <w:r>
        <w:rPr>
          <w:spacing w:val="-8"/>
        </w:rPr>
        <w:t> </w:t>
      </w:r>
      <w:r>
        <w:rPr/>
        <w:t>due</w:t>
      </w:r>
      <w:r>
        <w:rPr>
          <w:spacing w:val="-8"/>
        </w:rPr>
        <w:t> </w:t>
      </w:r>
      <w:r>
        <w:rPr/>
        <w:t>to</w:t>
      </w:r>
      <w:r>
        <w:rPr>
          <w:spacing w:val="-8"/>
        </w:rPr>
        <w:t> </w:t>
      </w:r>
      <w:r>
        <w:rPr/>
        <w:t>several</w:t>
      </w:r>
      <w:r>
        <w:rPr>
          <w:spacing w:val="-9"/>
        </w:rPr>
        <w:t> </w:t>
      </w:r>
      <w:r>
        <w:rPr/>
        <w:t>MA</w:t>
      </w:r>
      <w:r>
        <w:rPr>
          <w:spacing w:val="-9"/>
        </w:rPr>
        <w:t> </w:t>
      </w:r>
      <w:r>
        <w:rPr/>
        <w:t>Supreme</w:t>
      </w:r>
      <w:r>
        <w:rPr>
          <w:spacing w:val="-8"/>
        </w:rPr>
        <w:t> </w:t>
      </w:r>
      <w:r>
        <w:rPr/>
        <w:t>Judicial Court rulings, the legal standard to overcome DCF decisions is high, and Juvenile Court judges in Massachusetts</w:t>
      </w:r>
      <w:r>
        <w:rPr>
          <w:spacing w:val="-7"/>
        </w:rPr>
        <w:t> </w:t>
      </w:r>
      <w:r>
        <w:rPr/>
        <w:t>have</w:t>
      </w:r>
      <w:r>
        <w:rPr>
          <w:spacing w:val="-8"/>
        </w:rPr>
        <w:t> </w:t>
      </w:r>
      <w:r>
        <w:rPr/>
        <w:t>limited</w:t>
      </w:r>
      <w:r>
        <w:rPr>
          <w:spacing w:val="-8"/>
        </w:rPr>
        <w:t> </w:t>
      </w:r>
      <w:r>
        <w:rPr/>
        <w:t>recourse</w:t>
      </w:r>
      <w:r>
        <w:rPr>
          <w:spacing w:val="-6"/>
        </w:rPr>
        <w:t> </w:t>
      </w:r>
      <w:r>
        <w:rPr/>
        <w:t>on</w:t>
      </w:r>
      <w:r>
        <w:rPr>
          <w:spacing w:val="-7"/>
        </w:rPr>
        <w:t> </w:t>
      </w:r>
      <w:r>
        <w:rPr/>
        <w:t>DCF’s</w:t>
      </w:r>
      <w:r>
        <w:rPr>
          <w:spacing w:val="-7"/>
        </w:rPr>
        <w:t> </w:t>
      </w:r>
      <w:r>
        <w:rPr/>
        <w:t>actions.</w:t>
      </w:r>
      <w:r>
        <w:rPr>
          <w:spacing w:val="-8"/>
        </w:rPr>
        <w:t> </w:t>
      </w:r>
      <w:r>
        <w:rPr/>
        <w:t>Additionally,</w:t>
      </w:r>
      <w:r>
        <w:rPr>
          <w:spacing w:val="-6"/>
        </w:rPr>
        <w:t> </w:t>
      </w:r>
      <w:r>
        <w:rPr/>
        <w:t>it</w:t>
      </w:r>
      <w:r>
        <w:rPr>
          <w:spacing w:val="-8"/>
        </w:rPr>
        <w:t> </w:t>
      </w:r>
      <w:r>
        <w:rPr/>
        <w:t>is</w:t>
      </w:r>
      <w:r>
        <w:rPr>
          <w:spacing w:val="-6"/>
        </w:rPr>
        <w:t> </w:t>
      </w:r>
      <w:r>
        <w:rPr/>
        <w:t>the</w:t>
      </w:r>
      <w:r>
        <w:rPr>
          <w:spacing w:val="-6"/>
        </w:rPr>
        <w:t> </w:t>
      </w:r>
      <w:r>
        <w:rPr/>
        <w:t>Commission’s</w:t>
      </w:r>
      <w:r>
        <w:rPr>
          <w:spacing w:val="-7"/>
        </w:rPr>
        <w:t> </w:t>
      </w:r>
      <w:r>
        <w:rPr/>
        <w:t>understanding that the juvenile courts are suffering from a shortage of public defenders to represent children, youth, and parents when the court has granted custody to DCF</w:t>
      </w:r>
      <w:hyperlink r:id="rId67">
        <w:r>
          <w:rPr/>
          <w:t>;</w:t>
        </w:r>
        <w:r>
          <w:rPr>
            <w:vertAlign w:val="superscript"/>
          </w:rPr>
          <w:t>34</w:t>
        </w:r>
      </w:hyperlink>
      <w:r>
        <w:rPr>
          <w:vertAlign w:val="baseline"/>
        </w:rPr>
        <w:t> these attorneys are hired by the Committee for Public Counsel Services which the Commission has newly issued recommendations to for FY 2024. Further,</w:t>
      </w:r>
      <w:r>
        <w:rPr>
          <w:spacing w:val="-9"/>
          <w:vertAlign w:val="baseline"/>
        </w:rPr>
        <w:t> </w:t>
      </w:r>
      <w:r>
        <w:rPr>
          <w:vertAlign w:val="baseline"/>
        </w:rPr>
        <w:t>many</w:t>
      </w:r>
      <w:r>
        <w:rPr>
          <w:spacing w:val="-10"/>
          <w:vertAlign w:val="baseline"/>
        </w:rPr>
        <w:t> </w:t>
      </w:r>
      <w:r>
        <w:rPr>
          <w:vertAlign w:val="baseline"/>
        </w:rPr>
        <w:t>issues</w:t>
      </w:r>
      <w:r>
        <w:rPr>
          <w:spacing w:val="-9"/>
          <w:vertAlign w:val="baseline"/>
        </w:rPr>
        <w:t> </w:t>
      </w:r>
      <w:r>
        <w:rPr>
          <w:vertAlign w:val="baseline"/>
        </w:rPr>
        <w:t>exist</w:t>
      </w:r>
      <w:r>
        <w:rPr>
          <w:spacing w:val="-8"/>
          <w:vertAlign w:val="baseline"/>
        </w:rPr>
        <w:t> </w:t>
      </w:r>
      <w:r>
        <w:rPr>
          <w:vertAlign w:val="baseline"/>
        </w:rPr>
        <w:t>regarding</w:t>
      </w:r>
      <w:r>
        <w:rPr>
          <w:spacing w:val="-9"/>
          <w:vertAlign w:val="baseline"/>
        </w:rPr>
        <w:t> </w:t>
      </w:r>
      <w:r>
        <w:rPr>
          <w:vertAlign w:val="baseline"/>
        </w:rPr>
        <w:t>the</w:t>
      </w:r>
      <w:r>
        <w:rPr>
          <w:spacing w:val="-9"/>
          <w:vertAlign w:val="baseline"/>
        </w:rPr>
        <w:t> </w:t>
      </w:r>
      <w:r>
        <w:rPr>
          <w:vertAlign w:val="baseline"/>
        </w:rPr>
        <w:t>quality</w:t>
      </w:r>
      <w:r>
        <w:rPr>
          <w:spacing w:val="-9"/>
          <w:vertAlign w:val="baseline"/>
        </w:rPr>
        <w:t> </w:t>
      </w:r>
      <w:r>
        <w:rPr>
          <w:vertAlign w:val="baseline"/>
        </w:rPr>
        <w:t>of</w:t>
      </w:r>
      <w:r>
        <w:rPr>
          <w:spacing w:val="-10"/>
          <w:vertAlign w:val="baseline"/>
        </w:rPr>
        <w:t> </w:t>
      </w:r>
      <w:r>
        <w:rPr>
          <w:vertAlign w:val="baseline"/>
        </w:rPr>
        <w:t>the</w:t>
      </w:r>
      <w:r>
        <w:rPr>
          <w:spacing w:val="-9"/>
          <w:vertAlign w:val="baseline"/>
        </w:rPr>
        <w:t> </w:t>
      </w:r>
      <w:r>
        <w:rPr>
          <w:vertAlign w:val="baseline"/>
        </w:rPr>
        <w:t>defense</w:t>
      </w:r>
      <w:r>
        <w:rPr>
          <w:spacing w:val="-9"/>
          <w:vertAlign w:val="baseline"/>
        </w:rPr>
        <w:t> </w:t>
      </w:r>
      <w:r>
        <w:rPr>
          <w:vertAlign w:val="baseline"/>
        </w:rPr>
        <w:t>and</w:t>
      </w:r>
      <w:r>
        <w:rPr>
          <w:spacing w:val="-8"/>
          <w:vertAlign w:val="baseline"/>
        </w:rPr>
        <w:t> </w:t>
      </w:r>
      <w:r>
        <w:rPr>
          <w:vertAlign w:val="baseline"/>
        </w:rPr>
        <w:t>the</w:t>
      </w:r>
      <w:r>
        <w:rPr>
          <w:spacing w:val="-9"/>
          <w:vertAlign w:val="baseline"/>
        </w:rPr>
        <w:t> </w:t>
      </w:r>
      <w:r>
        <w:rPr>
          <w:vertAlign w:val="baseline"/>
        </w:rPr>
        <w:t>support</w:t>
      </w:r>
      <w:r>
        <w:rPr>
          <w:spacing w:val="-9"/>
          <w:vertAlign w:val="baseline"/>
        </w:rPr>
        <w:t> </w:t>
      </w:r>
      <w:r>
        <w:rPr>
          <w:vertAlign w:val="baseline"/>
        </w:rPr>
        <w:t>youth</w:t>
      </w:r>
      <w:r>
        <w:rPr>
          <w:spacing w:val="-9"/>
          <w:vertAlign w:val="baseline"/>
        </w:rPr>
        <w:t> </w:t>
      </w:r>
      <w:r>
        <w:rPr>
          <w:vertAlign w:val="baseline"/>
        </w:rPr>
        <w:t>and</w:t>
      </w:r>
      <w:r>
        <w:rPr>
          <w:spacing w:val="-9"/>
          <w:vertAlign w:val="baseline"/>
        </w:rPr>
        <w:t> </w:t>
      </w:r>
      <w:r>
        <w:rPr>
          <w:vertAlign w:val="baseline"/>
        </w:rPr>
        <w:t>families</w:t>
      </w:r>
      <w:r>
        <w:rPr>
          <w:spacing w:val="-10"/>
          <w:vertAlign w:val="baseline"/>
        </w:rPr>
        <w:t> </w:t>
      </w:r>
      <w:r>
        <w:rPr>
          <w:vertAlign w:val="baseline"/>
        </w:rPr>
        <w:t>receive from their assigned attorneys. Worse still, required hearings are not always held in a timely fashion, further distressing youth in custody.</w:t>
      </w:r>
    </w:p>
    <w:p>
      <w:pPr>
        <w:pStyle w:val="BodyText"/>
        <w:spacing w:line="276" w:lineRule="auto" w:before="241"/>
        <w:ind w:left="463" w:right="280"/>
        <w:jc w:val="both"/>
      </w:pPr>
      <w:r>
        <w:rPr/>
        <w:t>Additionally,</w:t>
      </w:r>
      <w:r>
        <w:rPr>
          <w:spacing w:val="-13"/>
        </w:rPr>
        <w:t> </w:t>
      </w:r>
      <w:r>
        <w:rPr/>
        <w:t>the</w:t>
      </w:r>
      <w:r>
        <w:rPr>
          <w:spacing w:val="-12"/>
        </w:rPr>
        <w:t> </w:t>
      </w:r>
      <w:r>
        <w:rPr/>
        <w:t>lack</w:t>
      </w:r>
      <w:r>
        <w:rPr>
          <w:spacing w:val="-13"/>
        </w:rPr>
        <w:t> </w:t>
      </w:r>
      <w:r>
        <w:rPr/>
        <w:t>of</w:t>
      </w:r>
      <w:r>
        <w:rPr>
          <w:spacing w:val="-12"/>
        </w:rPr>
        <w:t> </w:t>
      </w:r>
      <w:r>
        <w:rPr/>
        <w:t>transparency</w:t>
      </w:r>
      <w:r>
        <w:rPr>
          <w:spacing w:val="-13"/>
        </w:rPr>
        <w:t> </w:t>
      </w:r>
      <w:r>
        <w:rPr/>
        <w:t>in</w:t>
      </w:r>
      <w:r>
        <w:rPr>
          <w:spacing w:val="-12"/>
        </w:rPr>
        <w:t> </w:t>
      </w:r>
      <w:r>
        <w:rPr/>
        <w:t>Massachusetts</w:t>
      </w:r>
      <w:r>
        <w:rPr>
          <w:spacing w:val="-13"/>
        </w:rPr>
        <w:t> </w:t>
      </w:r>
      <w:r>
        <w:rPr/>
        <w:t>resulting</w:t>
      </w:r>
      <w:r>
        <w:rPr>
          <w:spacing w:val="-12"/>
        </w:rPr>
        <w:t> </w:t>
      </w:r>
      <w:r>
        <w:rPr/>
        <w:t>from</w:t>
      </w:r>
      <w:r>
        <w:rPr>
          <w:spacing w:val="-12"/>
        </w:rPr>
        <w:t> </w:t>
      </w:r>
      <w:r>
        <w:rPr/>
        <w:t>weak</w:t>
      </w:r>
      <w:r>
        <w:rPr>
          <w:spacing w:val="-13"/>
        </w:rPr>
        <w:t> </w:t>
      </w:r>
      <w:r>
        <w:rPr/>
        <w:t>or</w:t>
      </w:r>
      <w:r>
        <w:rPr>
          <w:spacing w:val="-12"/>
        </w:rPr>
        <w:t> </w:t>
      </w:r>
      <w:r>
        <w:rPr/>
        <w:t>nonexistent</w:t>
      </w:r>
      <w:r>
        <w:rPr>
          <w:spacing w:val="-13"/>
        </w:rPr>
        <w:t> </w:t>
      </w:r>
      <w:r>
        <w:rPr/>
        <w:t>public</w:t>
      </w:r>
      <w:r>
        <w:rPr>
          <w:spacing w:val="-12"/>
        </w:rPr>
        <w:t> </w:t>
      </w:r>
      <w:r>
        <w:rPr/>
        <w:t>meeting and public records laws further perpetuates the dysfunction of systems serving vulnerable children. Citizens, advocates, and the media often cannot access records related to the content of important meetings, nor can the public access voting records in many state-agency hearings. The COVID pandemic has</w:t>
      </w:r>
      <w:r>
        <w:rPr>
          <w:spacing w:val="-5"/>
        </w:rPr>
        <w:t> </w:t>
      </w:r>
      <w:r>
        <w:rPr/>
        <w:t>also</w:t>
      </w:r>
      <w:r>
        <w:rPr>
          <w:spacing w:val="-5"/>
        </w:rPr>
        <w:t> </w:t>
      </w:r>
      <w:r>
        <w:rPr/>
        <w:t>compromised</w:t>
      </w:r>
      <w:r>
        <w:rPr>
          <w:spacing w:val="-4"/>
        </w:rPr>
        <w:t> </w:t>
      </w:r>
      <w:r>
        <w:rPr/>
        <w:t>transparency.</w:t>
      </w:r>
      <w:r>
        <w:rPr>
          <w:spacing w:val="-4"/>
        </w:rPr>
        <w:t> </w:t>
      </w:r>
      <w:r>
        <w:rPr/>
        <w:t>The</w:t>
      </w:r>
      <w:r>
        <w:rPr>
          <w:spacing w:val="-6"/>
        </w:rPr>
        <w:t> </w:t>
      </w:r>
      <w:r>
        <w:rPr/>
        <w:t>deleterious</w:t>
      </w:r>
      <w:r>
        <w:rPr>
          <w:spacing w:val="-5"/>
        </w:rPr>
        <w:t> </w:t>
      </w:r>
      <w:r>
        <w:rPr/>
        <w:t>effects</w:t>
      </w:r>
      <w:r>
        <w:rPr>
          <w:spacing w:val="-5"/>
        </w:rPr>
        <w:t> </w:t>
      </w:r>
      <w:r>
        <w:rPr/>
        <w:t>of</w:t>
      </w:r>
      <w:r>
        <w:rPr>
          <w:spacing w:val="-5"/>
        </w:rPr>
        <w:t> </w:t>
      </w:r>
      <w:r>
        <w:rPr/>
        <w:t>the</w:t>
      </w:r>
      <w:r>
        <w:rPr>
          <w:spacing w:val="-6"/>
        </w:rPr>
        <w:t> </w:t>
      </w:r>
      <w:r>
        <w:rPr/>
        <w:t>pandemic</w:t>
      </w:r>
      <w:r>
        <w:rPr>
          <w:spacing w:val="-6"/>
        </w:rPr>
        <w:t> </w:t>
      </w:r>
      <w:r>
        <w:rPr/>
        <w:t>on</w:t>
      </w:r>
      <w:r>
        <w:rPr>
          <w:spacing w:val="-6"/>
        </w:rPr>
        <w:t> </w:t>
      </w:r>
      <w:r>
        <w:rPr/>
        <w:t>the</w:t>
      </w:r>
      <w:r>
        <w:rPr>
          <w:spacing w:val="-6"/>
        </w:rPr>
        <w:t> </w:t>
      </w:r>
      <w:r>
        <w:rPr/>
        <w:t>well-being</w:t>
      </w:r>
      <w:r>
        <w:rPr>
          <w:spacing w:val="-6"/>
        </w:rPr>
        <w:t> </w:t>
      </w:r>
      <w:r>
        <w:rPr/>
        <w:t>of</w:t>
      </w:r>
      <w:r>
        <w:rPr>
          <w:spacing w:val="-5"/>
        </w:rPr>
        <w:t> </w:t>
      </w:r>
      <w:r>
        <w:rPr/>
        <w:t>LGBTQ youth, particularly system-involved youth, continue to alarm those who serve them. However, all too often</w:t>
      </w:r>
      <w:r>
        <w:rPr>
          <w:spacing w:val="-12"/>
        </w:rPr>
        <w:t> </w:t>
      </w:r>
      <w:r>
        <w:rPr/>
        <w:t>in</w:t>
      </w:r>
      <w:r>
        <w:rPr>
          <w:spacing w:val="-12"/>
        </w:rPr>
        <w:t> </w:t>
      </w:r>
      <w:r>
        <w:rPr/>
        <w:t>recent</w:t>
      </w:r>
      <w:r>
        <w:rPr>
          <w:spacing w:val="-12"/>
        </w:rPr>
        <w:t> </w:t>
      </w:r>
      <w:r>
        <w:rPr/>
        <w:t>months,</w:t>
      </w:r>
      <w:r>
        <w:rPr>
          <w:spacing w:val="-11"/>
        </w:rPr>
        <w:t> </w:t>
      </w:r>
      <w:r>
        <w:rPr/>
        <w:t>officials</w:t>
      </w:r>
      <w:r>
        <w:rPr>
          <w:spacing w:val="-11"/>
        </w:rPr>
        <w:t> </w:t>
      </w:r>
      <w:r>
        <w:rPr/>
        <w:t>have</w:t>
      </w:r>
      <w:r>
        <w:rPr>
          <w:spacing w:val="-12"/>
        </w:rPr>
        <w:t> </w:t>
      </w:r>
      <w:r>
        <w:rPr/>
        <w:t>claimed</w:t>
      </w:r>
      <w:r>
        <w:rPr>
          <w:spacing w:val="-12"/>
        </w:rPr>
        <w:t> </w:t>
      </w:r>
      <w:r>
        <w:rPr/>
        <w:t>the</w:t>
      </w:r>
      <w:r>
        <w:rPr>
          <w:spacing w:val="-12"/>
        </w:rPr>
        <w:t> </w:t>
      </w:r>
      <w:r>
        <w:rPr/>
        <w:t>COVID</w:t>
      </w:r>
      <w:r>
        <w:rPr>
          <w:spacing w:val="-11"/>
        </w:rPr>
        <w:t> </w:t>
      </w:r>
      <w:r>
        <w:rPr/>
        <w:t>pandemic</w:t>
      </w:r>
      <w:r>
        <w:rPr>
          <w:spacing w:val="-12"/>
        </w:rPr>
        <w:t> </w:t>
      </w:r>
      <w:r>
        <w:rPr/>
        <w:t>as</w:t>
      </w:r>
      <w:r>
        <w:rPr>
          <w:spacing w:val="-11"/>
        </w:rPr>
        <w:t> </w:t>
      </w:r>
      <w:r>
        <w:rPr/>
        <w:t>a</w:t>
      </w:r>
      <w:r>
        <w:rPr>
          <w:spacing w:val="-11"/>
        </w:rPr>
        <w:t> </w:t>
      </w:r>
      <w:r>
        <w:rPr/>
        <w:t>smokescreen</w:t>
      </w:r>
      <w:r>
        <w:rPr>
          <w:spacing w:val="-12"/>
        </w:rPr>
        <w:t> </w:t>
      </w:r>
      <w:r>
        <w:rPr/>
        <w:t>for</w:t>
      </w:r>
      <w:r>
        <w:rPr>
          <w:spacing w:val="-11"/>
        </w:rPr>
        <w:t> </w:t>
      </w:r>
      <w:r>
        <w:rPr/>
        <w:t>failing</w:t>
      </w:r>
      <w:r>
        <w:rPr>
          <w:spacing w:val="-12"/>
        </w:rPr>
        <w:t> </w:t>
      </w:r>
      <w:r>
        <w:rPr/>
        <w:t>to</w:t>
      </w:r>
      <w:r>
        <w:rPr>
          <w:spacing w:val="-11"/>
        </w:rPr>
        <w:t> </w:t>
      </w:r>
      <w:r>
        <w:rPr/>
        <w:t>address issues</w:t>
      </w:r>
      <w:r>
        <w:rPr>
          <w:spacing w:val="-13"/>
        </w:rPr>
        <w:t> </w:t>
      </w:r>
      <w:r>
        <w:rPr/>
        <w:t>in</w:t>
      </w:r>
      <w:r>
        <w:rPr>
          <w:spacing w:val="-12"/>
        </w:rPr>
        <w:t> </w:t>
      </w:r>
      <w:r>
        <w:rPr/>
        <w:t>state</w:t>
      </w:r>
      <w:r>
        <w:rPr>
          <w:spacing w:val="-13"/>
        </w:rPr>
        <w:t> </w:t>
      </w:r>
      <w:r>
        <w:rPr/>
        <w:t>government</w:t>
      </w:r>
      <w:r>
        <w:rPr>
          <w:spacing w:val="-12"/>
        </w:rPr>
        <w:t> </w:t>
      </w:r>
      <w:r>
        <w:rPr/>
        <w:t>agencies</w:t>
      </w:r>
      <w:r>
        <w:rPr>
          <w:spacing w:val="-13"/>
        </w:rPr>
        <w:t> </w:t>
      </w:r>
      <w:r>
        <w:rPr/>
        <w:t>that</w:t>
      </w:r>
      <w:r>
        <w:rPr>
          <w:spacing w:val="-12"/>
        </w:rPr>
        <w:t> </w:t>
      </w:r>
      <w:r>
        <w:rPr/>
        <w:t>existed</w:t>
      </w:r>
      <w:r>
        <w:rPr>
          <w:spacing w:val="-13"/>
        </w:rPr>
        <w:t> </w:t>
      </w:r>
      <w:r>
        <w:rPr/>
        <w:t>long</w:t>
      </w:r>
      <w:r>
        <w:rPr>
          <w:spacing w:val="-12"/>
        </w:rPr>
        <w:t> </w:t>
      </w:r>
      <w:r>
        <w:rPr/>
        <w:t>before</w:t>
      </w:r>
      <w:r>
        <w:rPr>
          <w:spacing w:val="-12"/>
        </w:rPr>
        <w:t> </w:t>
      </w:r>
      <w:r>
        <w:rPr/>
        <w:t>the</w:t>
      </w:r>
      <w:r>
        <w:rPr>
          <w:spacing w:val="-13"/>
        </w:rPr>
        <w:t> </w:t>
      </w:r>
      <w:r>
        <w:rPr/>
        <w:t>pandemic.</w:t>
      </w:r>
      <w:r>
        <w:rPr>
          <w:spacing w:val="-12"/>
        </w:rPr>
        <w:t> </w:t>
      </w:r>
      <w:r>
        <w:rPr/>
        <w:t>The</w:t>
      </w:r>
      <w:r>
        <w:rPr>
          <w:spacing w:val="-13"/>
        </w:rPr>
        <w:t> </w:t>
      </w:r>
      <w:r>
        <w:rPr/>
        <w:t>Commission</w:t>
      </w:r>
      <w:r>
        <w:rPr>
          <w:spacing w:val="-12"/>
        </w:rPr>
        <w:t> </w:t>
      </w:r>
      <w:r>
        <w:rPr/>
        <w:t>recommends that</w:t>
      </w:r>
      <w:r>
        <w:rPr>
          <w:spacing w:val="-5"/>
        </w:rPr>
        <w:t> </w:t>
      </w:r>
      <w:r>
        <w:rPr/>
        <w:t>Massachusetts</w:t>
      </w:r>
      <w:r>
        <w:rPr>
          <w:spacing w:val="-5"/>
        </w:rPr>
        <w:t> </w:t>
      </w:r>
      <w:r>
        <w:rPr/>
        <w:t>examine</w:t>
      </w:r>
      <w:r>
        <w:rPr>
          <w:spacing w:val="-5"/>
        </w:rPr>
        <w:t> </w:t>
      </w:r>
      <w:r>
        <w:rPr/>
        <w:t>how</w:t>
      </w:r>
      <w:r>
        <w:rPr>
          <w:spacing w:val="-5"/>
        </w:rPr>
        <w:t> </w:t>
      </w:r>
      <w:r>
        <w:rPr/>
        <w:t>it</w:t>
      </w:r>
      <w:r>
        <w:rPr>
          <w:spacing w:val="-4"/>
        </w:rPr>
        <w:t> </w:t>
      </w:r>
      <w:r>
        <w:rPr/>
        <w:t>can</w:t>
      </w:r>
      <w:r>
        <w:rPr>
          <w:spacing w:val="-4"/>
        </w:rPr>
        <w:t> </w:t>
      </w:r>
      <w:r>
        <w:rPr/>
        <w:t>increase</w:t>
      </w:r>
      <w:r>
        <w:rPr>
          <w:spacing w:val="-5"/>
        </w:rPr>
        <w:t> </w:t>
      </w:r>
      <w:r>
        <w:rPr/>
        <w:t>state</w:t>
      </w:r>
      <w:r>
        <w:rPr>
          <w:spacing w:val="-5"/>
        </w:rPr>
        <w:t> </w:t>
      </w:r>
      <w:r>
        <w:rPr/>
        <w:t>and</w:t>
      </w:r>
      <w:r>
        <w:rPr>
          <w:spacing w:val="-5"/>
        </w:rPr>
        <w:t> </w:t>
      </w:r>
      <w:r>
        <w:rPr/>
        <w:t>local</w:t>
      </w:r>
      <w:r>
        <w:rPr>
          <w:spacing w:val="-5"/>
        </w:rPr>
        <w:t> </w:t>
      </w:r>
      <w:r>
        <w:rPr/>
        <w:t>government</w:t>
      </w:r>
      <w:r>
        <w:rPr>
          <w:spacing w:val="-5"/>
        </w:rPr>
        <w:t> </w:t>
      </w:r>
      <w:r>
        <w:rPr/>
        <w:t>transparency</w:t>
      </w:r>
      <w:r>
        <w:rPr>
          <w:spacing w:val="-4"/>
        </w:rPr>
        <w:t> </w:t>
      </w:r>
      <w:r>
        <w:rPr/>
        <w:t>to</w:t>
      </w:r>
      <w:r>
        <w:rPr>
          <w:spacing w:val="-5"/>
        </w:rPr>
        <w:t> </w:t>
      </w:r>
      <w:r>
        <w:rPr/>
        <w:t>better</w:t>
      </w:r>
      <w:r>
        <w:rPr>
          <w:spacing w:val="-5"/>
        </w:rPr>
        <w:t> </w:t>
      </w:r>
      <w:r>
        <w:rPr/>
        <w:t>offer avenues of accountability on behalf of youth.</w:t>
      </w:r>
    </w:p>
    <w:p>
      <w:pPr>
        <w:spacing w:after="0" w:line="276" w:lineRule="auto"/>
        <w:jc w:val="both"/>
        <w:sectPr>
          <w:pgSz w:w="12240" w:h="15840"/>
          <w:pgMar w:header="804" w:footer="1263" w:top="1000" w:bottom="1460" w:left="980" w:right="1160"/>
        </w:sectPr>
      </w:pPr>
    </w:p>
    <w:p>
      <w:pPr>
        <w:spacing w:before="138"/>
        <w:ind w:left="463" w:right="0" w:firstLine="0"/>
        <w:jc w:val="left"/>
        <w:rPr>
          <w:sz w:val="28"/>
        </w:rPr>
      </w:pPr>
      <w:bookmarkStart w:name="Conclusion" w:id="104"/>
      <w:bookmarkEnd w:id="104"/>
      <w:r>
        <w:rPr/>
      </w:r>
      <w:r>
        <w:rPr>
          <w:color w:val="365F91"/>
          <w:spacing w:val="-2"/>
          <w:sz w:val="28"/>
        </w:rPr>
        <w:t>Conclusion</w:t>
      </w:r>
    </w:p>
    <w:p>
      <w:pPr>
        <w:pStyle w:val="BodyText"/>
        <w:spacing w:before="9"/>
        <w:rPr>
          <w:sz w:val="3"/>
        </w:rPr>
      </w:pPr>
      <w:r>
        <w:rPr/>
        <mc:AlternateContent>
          <mc:Choice Requires="wps">
            <w:drawing>
              <wp:anchor distT="0" distB="0" distL="0" distR="0" allowOverlap="1" layoutInCell="1" locked="0" behindDoc="1" simplePos="0" relativeHeight="487598080">
                <wp:simplePos x="0" y="0"/>
                <wp:positionH relativeFrom="page">
                  <wp:posOffset>897636</wp:posOffset>
                </wp:positionH>
                <wp:positionV relativeFrom="paragraph">
                  <wp:posOffset>44515</wp:posOffset>
                </wp:positionV>
                <wp:extent cx="5976620" cy="6350"/>
                <wp:effectExtent l="0" t="0" r="0" b="0"/>
                <wp:wrapTopAndBottom/>
                <wp:docPr id="93" name="Graphic 93"/>
                <wp:cNvGraphicFramePr>
                  <a:graphicFrameLocks/>
                </wp:cNvGraphicFramePr>
                <a:graphic>
                  <a:graphicData uri="http://schemas.microsoft.com/office/word/2010/wordprocessingShape">
                    <wps:wsp>
                      <wps:cNvPr id="93" name="Graphic 93"/>
                      <wps:cNvSpPr/>
                      <wps:spPr>
                        <a:xfrm>
                          <a:off x="0" y="0"/>
                          <a:ext cx="5976620" cy="6350"/>
                        </a:xfrm>
                        <a:custGeom>
                          <a:avLst/>
                          <a:gdLst/>
                          <a:ahLst/>
                          <a:cxnLst/>
                          <a:rect l="l" t="t" r="r" b="b"/>
                          <a:pathLst>
                            <a:path w="5976620" h="6350">
                              <a:moveTo>
                                <a:pt x="5976366" y="0"/>
                              </a:moveTo>
                              <a:lnTo>
                                <a:pt x="0" y="0"/>
                              </a:lnTo>
                              <a:lnTo>
                                <a:pt x="0" y="6096"/>
                              </a:lnTo>
                              <a:lnTo>
                                <a:pt x="5976366" y="6096"/>
                              </a:lnTo>
                              <a:lnTo>
                                <a:pt x="5976366" y="0"/>
                              </a:lnTo>
                              <a:close/>
                            </a:path>
                          </a:pathLst>
                        </a:custGeom>
                        <a:solidFill>
                          <a:srgbClr val="4F81BC"/>
                        </a:solidFill>
                      </wps:spPr>
                      <wps:bodyPr wrap="square" lIns="0" tIns="0" rIns="0" bIns="0" rtlCol="0">
                        <a:prstTxWarp prst="textNoShape">
                          <a:avLst/>
                        </a:prstTxWarp>
                        <a:noAutofit/>
                      </wps:bodyPr>
                    </wps:wsp>
                  </a:graphicData>
                </a:graphic>
              </wp:anchor>
            </w:drawing>
          </mc:Choice>
          <mc:Fallback>
            <w:pict>
              <v:rect style="position:absolute;margin-left:70.680pt;margin-top:3.505156pt;width:470.58pt;height:.48pt;mso-position-horizontal-relative:page;mso-position-vertical-relative:paragraph;z-index:-15718400;mso-wrap-distance-left:0;mso-wrap-distance-right:0" id="docshape76" filled="true" fillcolor="#4f81bc" stroked="false">
                <v:fill type="solid"/>
                <w10:wrap type="topAndBottom"/>
              </v:rect>
            </w:pict>
          </mc:Fallback>
        </mc:AlternateContent>
      </w:r>
    </w:p>
    <w:p>
      <w:pPr>
        <w:pStyle w:val="BodyText"/>
        <w:spacing w:line="276" w:lineRule="auto" w:before="241"/>
        <w:ind w:left="463" w:right="281"/>
        <w:jc w:val="both"/>
      </w:pPr>
      <w:r>
        <w:rPr/>
        <w:t>The</w:t>
      </w:r>
      <w:r>
        <w:rPr>
          <w:spacing w:val="-1"/>
        </w:rPr>
        <w:t> </w:t>
      </w:r>
      <w:r>
        <w:rPr/>
        <w:t>Commission</w:t>
      </w:r>
      <w:r>
        <w:rPr>
          <w:spacing w:val="-1"/>
        </w:rPr>
        <w:t> </w:t>
      </w:r>
      <w:r>
        <w:rPr/>
        <w:t>appreciates the</w:t>
      </w:r>
      <w:r>
        <w:rPr>
          <w:spacing w:val="-1"/>
        </w:rPr>
        <w:t> </w:t>
      </w:r>
      <w:r>
        <w:rPr/>
        <w:t>ongoing</w:t>
      </w:r>
      <w:r>
        <w:rPr>
          <w:spacing w:val="-1"/>
        </w:rPr>
        <w:t> </w:t>
      </w:r>
      <w:r>
        <w:rPr/>
        <w:t>work</w:t>
      </w:r>
      <w:r>
        <w:rPr>
          <w:spacing w:val="-1"/>
        </w:rPr>
        <w:t> </w:t>
      </w:r>
      <w:r>
        <w:rPr/>
        <w:t>of youth, families, advocates, agencies, and legislators to comprehensively address systemic barriers that prevent all youth from thriving in the Commonwealth. However, as discussed in this section, and throughout this annual report, the state must broaden its understanding of what it means to </w:t>
      </w:r>
      <w:r>
        <w:rPr>
          <w:i/>
        </w:rPr>
        <w:t>thrive</w:t>
      </w:r>
      <w:r>
        <w:rPr/>
        <w:t>, and the role of state government and agencies within this </w:t>
      </w:r>
      <w:r>
        <w:rPr>
          <w:spacing w:val="-2"/>
        </w:rPr>
        <w:t>framework.</w:t>
      </w:r>
    </w:p>
    <w:p>
      <w:pPr>
        <w:spacing w:before="240"/>
        <w:ind w:left="463" w:right="0" w:firstLine="0"/>
        <w:jc w:val="both"/>
        <w:rPr>
          <w:sz w:val="28"/>
        </w:rPr>
      </w:pPr>
      <w:bookmarkStart w:name="Acknowledgments &amp; Citations" w:id="105"/>
      <w:bookmarkEnd w:id="105"/>
      <w:r>
        <w:rPr/>
      </w:r>
      <w:r>
        <w:rPr>
          <w:color w:val="365F91"/>
          <w:sz w:val="28"/>
        </w:rPr>
        <w:t>Acknowledgments</w:t>
      </w:r>
      <w:r>
        <w:rPr>
          <w:color w:val="365F91"/>
          <w:spacing w:val="-15"/>
          <w:sz w:val="28"/>
        </w:rPr>
        <w:t> </w:t>
      </w:r>
      <w:r>
        <w:rPr>
          <w:color w:val="365F91"/>
          <w:sz w:val="28"/>
        </w:rPr>
        <w:t>&amp;</w:t>
      </w:r>
      <w:r>
        <w:rPr>
          <w:color w:val="365F91"/>
          <w:spacing w:val="-14"/>
          <w:sz w:val="28"/>
        </w:rPr>
        <w:t> </w:t>
      </w:r>
      <w:r>
        <w:rPr>
          <w:color w:val="365F91"/>
          <w:spacing w:val="-2"/>
          <w:sz w:val="28"/>
        </w:rPr>
        <w:t>Citations</w:t>
      </w:r>
    </w:p>
    <w:p>
      <w:pPr>
        <w:pStyle w:val="BodyText"/>
        <w:spacing w:before="10"/>
        <w:rPr>
          <w:sz w:val="3"/>
        </w:rPr>
      </w:pPr>
      <w:r>
        <w:rPr/>
        <mc:AlternateContent>
          <mc:Choice Requires="wps">
            <w:drawing>
              <wp:anchor distT="0" distB="0" distL="0" distR="0" allowOverlap="1" layoutInCell="1" locked="0" behindDoc="1" simplePos="0" relativeHeight="487598592">
                <wp:simplePos x="0" y="0"/>
                <wp:positionH relativeFrom="page">
                  <wp:posOffset>897636</wp:posOffset>
                </wp:positionH>
                <wp:positionV relativeFrom="paragraph">
                  <wp:posOffset>45347</wp:posOffset>
                </wp:positionV>
                <wp:extent cx="5976620" cy="6350"/>
                <wp:effectExtent l="0" t="0" r="0" b="0"/>
                <wp:wrapTopAndBottom/>
                <wp:docPr id="94" name="Graphic 94"/>
                <wp:cNvGraphicFramePr>
                  <a:graphicFrameLocks/>
                </wp:cNvGraphicFramePr>
                <a:graphic>
                  <a:graphicData uri="http://schemas.microsoft.com/office/word/2010/wordprocessingShape">
                    <wps:wsp>
                      <wps:cNvPr id="94" name="Graphic 94"/>
                      <wps:cNvSpPr/>
                      <wps:spPr>
                        <a:xfrm>
                          <a:off x="0" y="0"/>
                          <a:ext cx="5976620" cy="6350"/>
                        </a:xfrm>
                        <a:custGeom>
                          <a:avLst/>
                          <a:gdLst/>
                          <a:ahLst/>
                          <a:cxnLst/>
                          <a:rect l="l" t="t" r="r" b="b"/>
                          <a:pathLst>
                            <a:path w="5976620" h="6350">
                              <a:moveTo>
                                <a:pt x="5976366" y="0"/>
                              </a:moveTo>
                              <a:lnTo>
                                <a:pt x="0" y="0"/>
                              </a:lnTo>
                              <a:lnTo>
                                <a:pt x="0" y="6096"/>
                              </a:lnTo>
                              <a:lnTo>
                                <a:pt x="5976366" y="6096"/>
                              </a:lnTo>
                              <a:lnTo>
                                <a:pt x="5976366" y="0"/>
                              </a:lnTo>
                              <a:close/>
                            </a:path>
                          </a:pathLst>
                        </a:custGeom>
                        <a:solidFill>
                          <a:srgbClr val="4F81BC"/>
                        </a:solidFill>
                      </wps:spPr>
                      <wps:bodyPr wrap="square" lIns="0" tIns="0" rIns="0" bIns="0" rtlCol="0">
                        <a:prstTxWarp prst="textNoShape">
                          <a:avLst/>
                        </a:prstTxWarp>
                        <a:noAutofit/>
                      </wps:bodyPr>
                    </wps:wsp>
                  </a:graphicData>
                </a:graphic>
              </wp:anchor>
            </w:drawing>
          </mc:Choice>
          <mc:Fallback>
            <w:pict>
              <v:rect style="position:absolute;margin-left:70.680pt;margin-top:3.570683pt;width:470.58pt;height:.48pt;mso-position-horizontal-relative:page;mso-position-vertical-relative:paragraph;z-index:-15717888;mso-wrap-distance-left:0;mso-wrap-distance-right:0" id="docshape77" filled="true" fillcolor="#4f81bc" stroked="false">
                <v:fill type="solid"/>
                <w10:wrap type="topAndBottom"/>
              </v:rect>
            </w:pict>
          </mc:Fallback>
        </mc:AlternateContent>
      </w:r>
    </w:p>
    <w:p>
      <w:pPr>
        <w:spacing w:before="241"/>
        <w:ind w:left="463" w:right="0" w:firstLine="0"/>
        <w:jc w:val="left"/>
        <w:rPr>
          <w:i/>
          <w:sz w:val="21"/>
        </w:rPr>
      </w:pPr>
      <w:r>
        <w:rPr>
          <w:i/>
          <w:sz w:val="21"/>
        </w:rPr>
        <w:t>Acknowledgments:</w:t>
      </w:r>
      <w:r>
        <w:rPr>
          <w:i/>
          <w:spacing w:val="-6"/>
          <w:sz w:val="21"/>
        </w:rPr>
        <w:t> </w:t>
      </w:r>
      <w:r>
        <w:rPr>
          <w:i/>
          <w:sz w:val="21"/>
        </w:rPr>
        <w:t>Joan</w:t>
      </w:r>
      <w:r>
        <w:rPr>
          <w:i/>
          <w:spacing w:val="-4"/>
          <w:sz w:val="21"/>
        </w:rPr>
        <w:t> </w:t>
      </w:r>
      <w:r>
        <w:rPr>
          <w:i/>
          <w:sz w:val="21"/>
        </w:rPr>
        <w:t>Montgomery</w:t>
      </w:r>
      <w:r>
        <w:rPr>
          <w:i/>
          <w:spacing w:val="-3"/>
          <w:sz w:val="21"/>
        </w:rPr>
        <w:t> </w:t>
      </w:r>
      <w:r>
        <w:rPr>
          <w:i/>
          <w:sz w:val="21"/>
        </w:rPr>
        <w:t>Halford,</w:t>
      </w:r>
      <w:r>
        <w:rPr>
          <w:i/>
          <w:spacing w:val="-3"/>
          <w:sz w:val="21"/>
        </w:rPr>
        <w:t> </w:t>
      </w:r>
      <w:r>
        <w:rPr>
          <w:i/>
          <w:sz w:val="21"/>
        </w:rPr>
        <w:t>lead</w:t>
      </w:r>
      <w:r>
        <w:rPr>
          <w:i/>
          <w:spacing w:val="-3"/>
          <w:sz w:val="21"/>
        </w:rPr>
        <w:t> </w:t>
      </w:r>
      <w:r>
        <w:rPr>
          <w:i/>
          <w:sz w:val="21"/>
        </w:rPr>
        <w:t>researcher</w:t>
      </w:r>
      <w:r>
        <w:rPr>
          <w:i/>
          <w:spacing w:val="-4"/>
          <w:sz w:val="21"/>
        </w:rPr>
        <w:t> </w:t>
      </w:r>
      <w:r>
        <w:rPr>
          <w:i/>
          <w:sz w:val="21"/>
        </w:rPr>
        <w:t>and</w:t>
      </w:r>
      <w:r>
        <w:rPr>
          <w:i/>
          <w:spacing w:val="-3"/>
          <w:sz w:val="21"/>
        </w:rPr>
        <w:t> </w:t>
      </w:r>
      <w:r>
        <w:rPr>
          <w:i/>
          <w:sz w:val="21"/>
        </w:rPr>
        <w:t>author</w:t>
      </w:r>
      <w:r>
        <w:rPr>
          <w:i/>
          <w:spacing w:val="-3"/>
          <w:sz w:val="21"/>
        </w:rPr>
        <w:t> </w:t>
      </w:r>
      <w:r>
        <w:rPr>
          <w:i/>
          <w:spacing w:val="-2"/>
          <w:sz w:val="21"/>
        </w:rPr>
        <w:t>(2023)</w:t>
      </w:r>
    </w:p>
    <w:p>
      <w:pPr>
        <w:pStyle w:val="BodyText"/>
        <w:spacing w:before="21"/>
        <w:rPr>
          <w:i/>
          <w:sz w:val="21"/>
        </w:rPr>
      </w:pPr>
    </w:p>
    <w:p>
      <w:pPr>
        <w:spacing w:before="0"/>
        <w:ind w:left="463" w:right="755" w:firstLine="0"/>
        <w:jc w:val="left"/>
        <w:rPr>
          <w:sz w:val="18"/>
        </w:rPr>
      </w:pPr>
      <w:bookmarkStart w:name="_bookmark10" w:id="106"/>
      <w:bookmarkEnd w:id="106"/>
      <w:r>
        <w:rPr/>
      </w:r>
      <w:r>
        <w:rPr>
          <w:sz w:val="18"/>
          <w:vertAlign w:val="superscript"/>
        </w:rPr>
        <w:t>1</w:t>
      </w:r>
      <w:r>
        <w:rPr>
          <w:spacing w:val="-13"/>
          <w:sz w:val="18"/>
          <w:vertAlign w:val="baseline"/>
        </w:rPr>
        <w:t> </w:t>
      </w:r>
      <w:hyperlink r:id="rId68">
        <w:r>
          <w:rPr>
            <w:sz w:val="18"/>
            <w:vertAlign w:val="baseline"/>
          </w:rPr>
          <w:t>Office</w:t>
        </w:r>
        <w:r>
          <w:rPr>
            <w:spacing w:val="-3"/>
            <w:sz w:val="18"/>
            <w:vertAlign w:val="baseline"/>
          </w:rPr>
          <w:t> </w:t>
        </w:r>
        <w:r>
          <w:rPr>
            <w:sz w:val="18"/>
            <w:vertAlign w:val="baseline"/>
          </w:rPr>
          <w:t>of</w:t>
        </w:r>
        <w:r>
          <w:rPr>
            <w:spacing w:val="-2"/>
            <w:sz w:val="18"/>
            <w:vertAlign w:val="baseline"/>
          </w:rPr>
          <w:t> </w:t>
        </w:r>
        <w:r>
          <w:rPr>
            <w:sz w:val="18"/>
            <w:vertAlign w:val="baseline"/>
          </w:rPr>
          <w:t>the</w:t>
        </w:r>
        <w:r>
          <w:rPr>
            <w:spacing w:val="-2"/>
            <w:sz w:val="18"/>
            <w:vertAlign w:val="baseline"/>
          </w:rPr>
          <w:t> </w:t>
        </w:r>
        <w:r>
          <w:rPr>
            <w:sz w:val="18"/>
            <w:vertAlign w:val="baseline"/>
          </w:rPr>
          <w:t>United</w:t>
        </w:r>
        <w:r>
          <w:rPr>
            <w:spacing w:val="-2"/>
            <w:sz w:val="18"/>
            <w:vertAlign w:val="baseline"/>
          </w:rPr>
          <w:t> </w:t>
        </w:r>
        <w:r>
          <w:rPr>
            <w:sz w:val="18"/>
            <w:vertAlign w:val="baseline"/>
          </w:rPr>
          <w:t>Nations</w:t>
        </w:r>
        <w:r>
          <w:rPr>
            <w:spacing w:val="-2"/>
            <w:sz w:val="18"/>
            <w:vertAlign w:val="baseline"/>
          </w:rPr>
          <w:t> </w:t>
        </w:r>
        <w:r>
          <w:rPr>
            <w:sz w:val="18"/>
            <w:vertAlign w:val="baseline"/>
          </w:rPr>
          <w:t>High</w:t>
        </w:r>
        <w:r>
          <w:rPr>
            <w:spacing w:val="-2"/>
            <w:sz w:val="18"/>
            <w:vertAlign w:val="baseline"/>
          </w:rPr>
          <w:t> </w:t>
        </w:r>
        <w:r>
          <w:rPr>
            <w:sz w:val="18"/>
            <w:vertAlign w:val="baseline"/>
          </w:rPr>
          <w:t>Commissioner</w:t>
        </w:r>
        <w:r>
          <w:rPr>
            <w:spacing w:val="-3"/>
            <w:sz w:val="18"/>
            <w:vertAlign w:val="baseline"/>
          </w:rPr>
          <w:t> </w:t>
        </w:r>
        <w:r>
          <w:rPr>
            <w:sz w:val="18"/>
            <w:vertAlign w:val="baseline"/>
          </w:rPr>
          <w:t>for</w:t>
        </w:r>
        <w:r>
          <w:rPr>
            <w:spacing w:val="-3"/>
            <w:sz w:val="18"/>
            <w:vertAlign w:val="baseline"/>
          </w:rPr>
          <w:t> </w:t>
        </w:r>
        <w:r>
          <w:rPr>
            <w:sz w:val="18"/>
            <w:vertAlign w:val="baseline"/>
          </w:rPr>
          <w:t>Human</w:t>
        </w:r>
        <w:r>
          <w:rPr>
            <w:spacing w:val="-2"/>
            <w:sz w:val="18"/>
            <w:vertAlign w:val="baseline"/>
          </w:rPr>
          <w:t> </w:t>
        </w:r>
        <w:r>
          <w:rPr>
            <w:sz w:val="18"/>
            <w:vertAlign w:val="baseline"/>
          </w:rPr>
          <w:t>Rights,</w:t>
        </w:r>
        <w:r>
          <w:rPr>
            <w:spacing w:val="-3"/>
            <w:sz w:val="18"/>
            <w:vertAlign w:val="baseline"/>
          </w:rPr>
          <w:t> </w:t>
        </w:r>
        <w:r>
          <w:rPr>
            <w:sz w:val="18"/>
            <w:vertAlign w:val="baseline"/>
          </w:rPr>
          <w:t>“Convention</w:t>
        </w:r>
        <w:r>
          <w:rPr>
            <w:spacing w:val="-3"/>
            <w:sz w:val="18"/>
            <w:vertAlign w:val="baseline"/>
          </w:rPr>
          <w:t> </w:t>
        </w:r>
        <w:r>
          <w:rPr>
            <w:sz w:val="18"/>
            <w:vertAlign w:val="baseline"/>
          </w:rPr>
          <w:t>on</w:t>
        </w:r>
        <w:r>
          <w:rPr>
            <w:spacing w:val="-2"/>
            <w:sz w:val="18"/>
            <w:vertAlign w:val="baseline"/>
          </w:rPr>
          <w:t> </w:t>
        </w:r>
        <w:r>
          <w:rPr>
            <w:sz w:val="18"/>
            <w:vertAlign w:val="baseline"/>
          </w:rPr>
          <w:t>the</w:t>
        </w:r>
        <w:r>
          <w:rPr>
            <w:spacing w:val="-2"/>
            <w:sz w:val="18"/>
            <w:vertAlign w:val="baseline"/>
          </w:rPr>
          <w:t> </w:t>
        </w:r>
        <w:r>
          <w:rPr>
            <w:sz w:val="18"/>
            <w:vertAlign w:val="baseline"/>
          </w:rPr>
          <w:t>Rights</w:t>
        </w:r>
        <w:r>
          <w:rPr>
            <w:spacing w:val="-2"/>
            <w:sz w:val="18"/>
            <w:vertAlign w:val="baseline"/>
          </w:rPr>
          <w:t> </w:t>
        </w:r>
        <w:r>
          <w:rPr>
            <w:sz w:val="18"/>
            <w:vertAlign w:val="baseline"/>
          </w:rPr>
          <w:t>of</w:t>
        </w:r>
        <w:r>
          <w:rPr>
            <w:spacing w:val="-3"/>
            <w:sz w:val="18"/>
            <w:vertAlign w:val="baseline"/>
          </w:rPr>
          <w:t> </w:t>
        </w:r>
        <w:r>
          <w:rPr>
            <w:sz w:val="18"/>
            <w:vertAlign w:val="baseline"/>
          </w:rPr>
          <w:t>the</w:t>
        </w:r>
        <w:r>
          <w:rPr>
            <w:spacing w:val="-2"/>
            <w:sz w:val="18"/>
            <w:vertAlign w:val="baseline"/>
          </w:rPr>
          <w:t> </w:t>
        </w:r>
        <w:r>
          <w:rPr>
            <w:sz w:val="18"/>
            <w:vertAlign w:val="baseline"/>
          </w:rPr>
          <w:t>Child,”</w:t>
        </w:r>
        <w:r>
          <w:rPr>
            <w:spacing w:val="-2"/>
            <w:sz w:val="18"/>
            <w:vertAlign w:val="baseline"/>
          </w:rPr>
          <w:t> </w:t>
        </w:r>
        <w:r>
          <w:rPr>
            <w:sz w:val="18"/>
            <w:vertAlign w:val="baseline"/>
          </w:rPr>
          <w:t>Office</w:t>
        </w:r>
        <w:r>
          <w:rPr>
            <w:spacing w:val="-2"/>
            <w:sz w:val="18"/>
            <w:vertAlign w:val="baseline"/>
          </w:rPr>
          <w:t> </w:t>
        </w:r>
        <w:r>
          <w:rPr>
            <w:sz w:val="18"/>
            <w:vertAlign w:val="baseline"/>
          </w:rPr>
          <w:t>of</w:t>
        </w:r>
        <w:r>
          <w:rPr>
            <w:spacing w:val="-2"/>
            <w:sz w:val="18"/>
            <w:vertAlign w:val="baseline"/>
          </w:rPr>
          <w:t> </w:t>
        </w:r>
        <w:r>
          <w:rPr>
            <w:sz w:val="18"/>
            <w:vertAlign w:val="baseline"/>
          </w:rPr>
          <w:t>the</w:t>
        </w:r>
      </w:hyperlink>
      <w:r>
        <w:rPr>
          <w:sz w:val="18"/>
          <w:vertAlign w:val="baseline"/>
        </w:rPr>
        <w:t> </w:t>
      </w:r>
      <w:hyperlink r:id="rId68">
        <w:r>
          <w:rPr>
            <w:sz w:val="18"/>
            <w:vertAlign w:val="baseline"/>
          </w:rPr>
          <w:t>United Nations High Commissioner for Human Rights, March 2023, https://www.ohchr.org/en/instruments-</w:t>
        </w:r>
      </w:hyperlink>
      <w:r>
        <w:rPr>
          <w:sz w:val="18"/>
          <w:vertAlign w:val="baseline"/>
        </w:rPr>
        <w:t> </w:t>
      </w:r>
      <w:hyperlink r:id="rId68">
        <w:r>
          <w:rPr>
            <w:spacing w:val="-2"/>
            <w:sz w:val="18"/>
            <w:vertAlign w:val="baseline"/>
          </w:rPr>
          <w:t>mechanisms/instruments/convention-rights-child.</w:t>
        </w:r>
      </w:hyperlink>
    </w:p>
    <w:p>
      <w:pPr>
        <w:spacing w:before="1"/>
        <w:ind w:left="463" w:right="450" w:firstLine="0"/>
        <w:jc w:val="left"/>
        <w:rPr>
          <w:sz w:val="18"/>
        </w:rPr>
      </w:pPr>
      <w:bookmarkStart w:name="_bookmark11" w:id="107"/>
      <w:bookmarkEnd w:id="107"/>
      <w:r>
        <w:rPr/>
      </w:r>
      <w:r>
        <w:rPr>
          <w:sz w:val="18"/>
          <w:vertAlign w:val="superscript"/>
        </w:rPr>
        <w:t>2</w:t>
      </w:r>
      <w:r>
        <w:rPr>
          <w:spacing w:val="-12"/>
          <w:sz w:val="18"/>
          <w:vertAlign w:val="baseline"/>
        </w:rPr>
        <w:t> </w:t>
      </w:r>
      <w:r>
        <w:rPr>
          <w:sz w:val="18"/>
          <w:vertAlign w:val="baseline"/>
        </w:rPr>
        <w:t>Eli Dvorkin and Mo Russell Leed, “Basic Income for Transition-Age Foster Youth:</w:t>
      </w:r>
      <w:r>
        <w:rPr>
          <w:spacing w:val="-1"/>
          <w:sz w:val="18"/>
          <w:vertAlign w:val="baseline"/>
        </w:rPr>
        <w:t> </w:t>
      </w:r>
      <w:r>
        <w:rPr>
          <w:sz w:val="18"/>
          <w:vertAlign w:val="baseline"/>
        </w:rPr>
        <w:t>Adopting California’s Approach,” Center for an</w:t>
      </w:r>
      <w:r>
        <w:rPr>
          <w:spacing w:val="-5"/>
          <w:sz w:val="18"/>
          <w:vertAlign w:val="baseline"/>
        </w:rPr>
        <w:t> </w:t>
      </w:r>
      <w:r>
        <w:rPr>
          <w:sz w:val="18"/>
          <w:vertAlign w:val="baseline"/>
        </w:rPr>
        <w:t>Urban</w:t>
      </w:r>
      <w:r>
        <w:rPr>
          <w:spacing w:val="-5"/>
          <w:sz w:val="18"/>
          <w:vertAlign w:val="baseline"/>
        </w:rPr>
        <w:t> </w:t>
      </w:r>
      <w:r>
        <w:rPr>
          <w:sz w:val="18"/>
          <w:vertAlign w:val="baseline"/>
        </w:rPr>
        <w:t>Future</w:t>
      </w:r>
      <w:r>
        <w:rPr>
          <w:spacing w:val="-6"/>
          <w:sz w:val="18"/>
          <w:vertAlign w:val="baseline"/>
        </w:rPr>
        <w:t> </w:t>
      </w:r>
      <w:r>
        <w:rPr>
          <w:sz w:val="18"/>
          <w:vertAlign w:val="baseline"/>
        </w:rPr>
        <w:t>(CUF),</w:t>
      </w:r>
      <w:r>
        <w:rPr>
          <w:spacing w:val="-6"/>
          <w:sz w:val="18"/>
          <w:vertAlign w:val="baseline"/>
        </w:rPr>
        <w:t> </w:t>
      </w:r>
      <w:r>
        <w:rPr>
          <w:sz w:val="18"/>
          <w:vertAlign w:val="baseline"/>
        </w:rPr>
        <w:t>accessed</w:t>
      </w:r>
      <w:r>
        <w:rPr>
          <w:spacing w:val="-6"/>
          <w:sz w:val="18"/>
          <w:vertAlign w:val="baseline"/>
        </w:rPr>
        <w:t> </w:t>
      </w:r>
      <w:r>
        <w:rPr>
          <w:sz w:val="18"/>
          <w:vertAlign w:val="baseline"/>
        </w:rPr>
        <w:t>April</w:t>
      </w:r>
      <w:r>
        <w:rPr>
          <w:spacing w:val="-6"/>
          <w:sz w:val="18"/>
          <w:vertAlign w:val="baseline"/>
        </w:rPr>
        <w:t> </w:t>
      </w:r>
      <w:r>
        <w:rPr>
          <w:sz w:val="18"/>
          <w:vertAlign w:val="baseline"/>
        </w:rPr>
        <w:t>24,</w:t>
      </w:r>
      <w:r>
        <w:rPr>
          <w:spacing w:val="-6"/>
          <w:sz w:val="18"/>
          <w:vertAlign w:val="baseline"/>
        </w:rPr>
        <w:t> </w:t>
      </w:r>
      <w:r>
        <w:rPr>
          <w:sz w:val="18"/>
          <w:vertAlign w:val="baseline"/>
        </w:rPr>
        <w:t>2023,</w:t>
      </w:r>
      <w:r>
        <w:rPr>
          <w:spacing w:val="-6"/>
          <w:sz w:val="18"/>
          <w:vertAlign w:val="baseline"/>
        </w:rPr>
        <w:t> </w:t>
      </w:r>
      <w:hyperlink r:id="rId69">
        <w:r>
          <w:rPr>
            <w:color w:val="1154CC"/>
            <w:sz w:val="18"/>
            <w:u w:val="single" w:color="1154CC"/>
            <w:vertAlign w:val="baseline"/>
          </w:rPr>
          <w:t>https://nycfuture.org/research/basic-income-for-transition-age-foster-youth</w:t>
        </w:r>
        <w:r>
          <w:rPr>
            <w:sz w:val="18"/>
            <w:u w:val="none"/>
            <w:vertAlign w:val="baseline"/>
          </w:rPr>
          <w:t>.</w:t>
        </w:r>
      </w:hyperlink>
      <w:r>
        <w:rPr>
          <w:sz w:val="18"/>
          <w:u w:val="none"/>
          <w:vertAlign w:val="baseline"/>
        </w:rPr>
        <w:t> </w:t>
      </w:r>
      <w:bookmarkStart w:name="_bookmark12" w:id="108"/>
      <w:bookmarkEnd w:id="108"/>
      <w:r>
        <w:rPr>
          <w:sz w:val="18"/>
          <w:u w:val="none"/>
          <w:vertAlign w:val="baseline"/>
        </w:rPr>
      </w:r>
      <w:r>
        <w:rPr>
          <w:sz w:val="18"/>
          <w:u w:val="none"/>
          <w:vertAlign w:val="superscript"/>
        </w:rPr>
        <w:t>3</w:t>
      </w:r>
      <w:r>
        <w:rPr>
          <w:spacing w:val="-7"/>
          <w:sz w:val="18"/>
          <w:u w:val="none"/>
          <w:vertAlign w:val="baseline"/>
        </w:rPr>
        <w:t> </w:t>
      </w:r>
      <w:r>
        <w:rPr>
          <w:sz w:val="18"/>
          <w:u w:val="none"/>
          <w:vertAlign w:val="baseline"/>
        </w:rPr>
        <w:t>ChildWelfare.gov, “Providing Direct Financial Assistance to Youth and Young Adults,” April 7, 2023, </w:t>
      </w:r>
      <w:r>
        <w:rPr>
          <w:spacing w:val="-2"/>
          <w:sz w:val="18"/>
          <w:u w:val="none"/>
          <w:vertAlign w:val="baseline"/>
        </w:rPr>
        <w:t>https://</w:t>
      </w:r>
      <w:hyperlink r:id="rId70">
        <w:r>
          <w:rPr>
            <w:spacing w:val="-2"/>
            <w:sz w:val="18"/>
            <w:u w:val="none"/>
            <w:vertAlign w:val="baseline"/>
          </w:rPr>
          <w:t>www.childwelfare.gov/pubPDFs/div-x/product7-direct-financial-assistance.pdf.</w:t>
        </w:r>
      </w:hyperlink>
    </w:p>
    <w:p>
      <w:pPr>
        <w:spacing w:before="0"/>
        <w:ind w:left="463" w:right="289" w:hanging="1"/>
        <w:jc w:val="left"/>
        <w:rPr>
          <w:sz w:val="18"/>
        </w:rPr>
      </w:pPr>
      <w:bookmarkStart w:name="_bookmark13" w:id="109"/>
      <w:bookmarkEnd w:id="109"/>
      <w:r>
        <w:rPr/>
      </w:r>
      <w:r>
        <w:rPr>
          <w:sz w:val="18"/>
          <w:vertAlign w:val="superscript"/>
        </w:rPr>
        <w:t>4</w:t>
      </w:r>
      <w:r>
        <w:rPr>
          <w:spacing w:val="-13"/>
          <w:sz w:val="18"/>
          <w:vertAlign w:val="baseline"/>
        </w:rPr>
        <w:t> </w:t>
      </w:r>
      <w:r>
        <w:rPr>
          <w:sz w:val="18"/>
          <w:vertAlign w:val="baseline"/>
        </w:rPr>
        <w:t>Michelle</w:t>
      </w:r>
      <w:r>
        <w:rPr>
          <w:spacing w:val="-3"/>
          <w:sz w:val="18"/>
          <w:vertAlign w:val="baseline"/>
        </w:rPr>
        <w:t> </w:t>
      </w:r>
      <w:r>
        <w:rPr>
          <w:sz w:val="18"/>
          <w:vertAlign w:val="baseline"/>
        </w:rPr>
        <w:t>Pitcher,</w:t>
      </w:r>
      <w:r>
        <w:rPr>
          <w:spacing w:val="-3"/>
          <w:sz w:val="18"/>
          <w:vertAlign w:val="baseline"/>
        </w:rPr>
        <w:t> </w:t>
      </w:r>
      <w:r>
        <w:rPr>
          <w:sz w:val="18"/>
          <w:vertAlign w:val="baseline"/>
        </w:rPr>
        <w:t>Weihua</w:t>
      </w:r>
      <w:r>
        <w:rPr>
          <w:spacing w:val="-2"/>
          <w:sz w:val="18"/>
          <w:vertAlign w:val="baseline"/>
        </w:rPr>
        <w:t> </w:t>
      </w:r>
      <w:r>
        <w:rPr>
          <w:sz w:val="18"/>
          <w:vertAlign w:val="baseline"/>
        </w:rPr>
        <w:t>Li,</w:t>
      </w:r>
      <w:r>
        <w:rPr>
          <w:spacing w:val="-3"/>
          <w:sz w:val="18"/>
          <w:vertAlign w:val="baseline"/>
        </w:rPr>
        <w:t> </w:t>
      </w:r>
      <w:r>
        <w:rPr>
          <w:sz w:val="18"/>
          <w:vertAlign w:val="baseline"/>
        </w:rPr>
        <w:t>and</w:t>
      </w:r>
      <w:r>
        <w:rPr>
          <w:spacing w:val="-2"/>
          <w:sz w:val="18"/>
          <w:vertAlign w:val="baseline"/>
        </w:rPr>
        <w:t> </w:t>
      </w:r>
      <w:r>
        <w:rPr>
          <w:sz w:val="18"/>
          <w:vertAlign w:val="baseline"/>
        </w:rPr>
        <w:t>David</w:t>
      </w:r>
      <w:r>
        <w:rPr>
          <w:spacing w:val="-2"/>
          <w:sz w:val="18"/>
          <w:vertAlign w:val="baseline"/>
        </w:rPr>
        <w:t> </w:t>
      </w:r>
      <w:r>
        <w:rPr>
          <w:sz w:val="18"/>
          <w:vertAlign w:val="baseline"/>
        </w:rPr>
        <w:t>Eads,</w:t>
      </w:r>
      <w:r>
        <w:rPr>
          <w:spacing w:val="-3"/>
          <w:sz w:val="18"/>
          <w:vertAlign w:val="baseline"/>
        </w:rPr>
        <w:t> </w:t>
      </w:r>
      <w:r>
        <w:rPr>
          <w:sz w:val="18"/>
          <w:vertAlign w:val="baseline"/>
        </w:rPr>
        <w:t>“These</w:t>
      </w:r>
      <w:r>
        <w:rPr>
          <w:spacing w:val="-2"/>
          <w:sz w:val="18"/>
          <w:vertAlign w:val="baseline"/>
        </w:rPr>
        <w:t> </w:t>
      </w:r>
      <w:r>
        <w:rPr>
          <w:sz w:val="18"/>
          <w:vertAlign w:val="baseline"/>
        </w:rPr>
        <w:t>States</w:t>
      </w:r>
      <w:r>
        <w:rPr>
          <w:spacing w:val="-2"/>
          <w:sz w:val="18"/>
          <w:vertAlign w:val="baseline"/>
        </w:rPr>
        <w:t> </w:t>
      </w:r>
      <w:r>
        <w:rPr>
          <w:sz w:val="18"/>
          <w:vertAlign w:val="baseline"/>
        </w:rPr>
        <w:t>Take</w:t>
      </w:r>
      <w:r>
        <w:rPr>
          <w:spacing w:val="-3"/>
          <w:sz w:val="18"/>
          <w:vertAlign w:val="baseline"/>
        </w:rPr>
        <w:t> </w:t>
      </w:r>
      <w:r>
        <w:rPr>
          <w:sz w:val="18"/>
          <w:vertAlign w:val="baseline"/>
        </w:rPr>
        <w:t>Money</w:t>
      </w:r>
      <w:r>
        <w:rPr>
          <w:spacing w:val="-2"/>
          <w:sz w:val="18"/>
          <w:vertAlign w:val="baseline"/>
        </w:rPr>
        <w:t> </w:t>
      </w:r>
      <w:r>
        <w:rPr>
          <w:sz w:val="18"/>
          <w:vertAlign w:val="baseline"/>
        </w:rPr>
        <w:t>Meant</w:t>
      </w:r>
      <w:r>
        <w:rPr>
          <w:spacing w:val="-3"/>
          <w:sz w:val="18"/>
          <w:vertAlign w:val="baseline"/>
        </w:rPr>
        <w:t> </w:t>
      </w:r>
      <w:r>
        <w:rPr>
          <w:sz w:val="18"/>
          <w:vertAlign w:val="baseline"/>
        </w:rPr>
        <w:t>for</w:t>
      </w:r>
      <w:r>
        <w:rPr>
          <w:spacing w:val="-3"/>
          <w:sz w:val="18"/>
          <w:vertAlign w:val="baseline"/>
        </w:rPr>
        <w:t> </w:t>
      </w:r>
      <w:r>
        <w:rPr>
          <w:sz w:val="18"/>
          <w:vertAlign w:val="baseline"/>
        </w:rPr>
        <w:t>Foster</w:t>
      </w:r>
      <w:r>
        <w:rPr>
          <w:spacing w:val="-3"/>
          <w:sz w:val="18"/>
          <w:vertAlign w:val="baseline"/>
        </w:rPr>
        <w:t> </w:t>
      </w:r>
      <w:r>
        <w:rPr>
          <w:sz w:val="18"/>
          <w:vertAlign w:val="baseline"/>
        </w:rPr>
        <w:t>Children,”</w:t>
      </w:r>
      <w:r>
        <w:rPr>
          <w:spacing w:val="-2"/>
          <w:sz w:val="18"/>
          <w:vertAlign w:val="baseline"/>
        </w:rPr>
        <w:t> </w:t>
      </w:r>
      <w:r>
        <w:rPr>
          <w:sz w:val="18"/>
          <w:vertAlign w:val="baseline"/>
        </w:rPr>
        <w:t>The</w:t>
      </w:r>
      <w:r>
        <w:rPr>
          <w:spacing w:val="-2"/>
          <w:sz w:val="18"/>
          <w:vertAlign w:val="baseline"/>
        </w:rPr>
        <w:t> </w:t>
      </w:r>
      <w:r>
        <w:rPr>
          <w:sz w:val="18"/>
          <w:vertAlign w:val="baseline"/>
        </w:rPr>
        <w:t>Marshall</w:t>
      </w:r>
      <w:r>
        <w:rPr>
          <w:spacing w:val="-3"/>
          <w:sz w:val="18"/>
          <w:vertAlign w:val="baseline"/>
        </w:rPr>
        <w:t> </w:t>
      </w:r>
      <w:r>
        <w:rPr>
          <w:sz w:val="18"/>
          <w:vertAlign w:val="baseline"/>
        </w:rPr>
        <w:t>Project,</w:t>
      </w:r>
      <w:r>
        <w:rPr>
          <w:spacing w:val="-3"/>
          <w:sz w:val="18"/>
          <w:vertAlign w:val="baseline"/>
        </w:rPr>
        <w:t> </w:t>
      </w:r>
      <w:r>
        <w:rPr>
          <w:sz w:val="18"/>
          <w:vertAlign w:val="baseline"/>
        </w:rPr>
        <w:t>May 17, 2021, https://</w:t>
      </w:r>
      <w:hyperlink r:id="rId71">
        <w:r>
          <w:rPr>
            <w:sz w:val="18"/>
            <w:vertAlign w:val="baseline"/>
          </w:rPr>
          <w:t>www.themarshallproject.org/2021/05/17/these-states-take-money-meant-for-foster-children.</w:t>
        </w:r>
      </w:hyperlink>
    </w:p>
    <w:p>
      <w:pPr>
        <w:spacing w:before="0"/>
        <w:ind w:left="463" w:right="355" w:firstLine="0"/>
        <w:jc w:val="left"/>
        <w:rPr>
          <w:sz w:val="18"/>
        </w:rPr>
      </w:pPr>
      <w:bookmarkStart w:name="_bookmark14" w:id="110"/>
      <w:bookmarkEnd w:id="110"/>
      <w:r>
        <w:rPr/>
      </w:r>
      <w:r>
        <w:rPr>
          <w:sz w:val="18"/>
          <w:vertAlign w:val="superscript"/>
        </w:rPr>
        <w:t>5</w:t>
      </w:r>
      <w:r>
        <w:rPr>
          <w:spacing w:val="-9"/>
          <w:sz w:val="18"/>
          <w:vertAlign w:val="baseline"/>
        </w:rPr>
        <w:t> </w:t>
      </w:r>
      <w:r>
        <w:rPr>
          <w:sz w:val="18"/>
          <w:vertAlign w:val="baseline"/>
        </w:rPr>
        <w:t>“States Take Social Security Benefits Of Foster Care Children To Pay For Services : NPR,” accessed April 1, 2023, </w:t>
      </w:r>
      <w:r>
        <w:rPr>
          <w:spacing w:val="-2"/>
          <w:sz w:val="18"/>
          <w:vertAlign w:val="baseline"/>
        </w:rPr>
        <w:t>https://</w:t>
      </w:r>
      <w:hyperlink r:id="rId72">
        <w:r>
          <w:rPr>
            <w:spacing w:val="-2"/>
            <w:sz w:val="18"/>
            <w:vertAlign w:val="baseline"/>
          </w:rPr>
          <w:t>www.npr.org/2021/04/22/988806806/state-foster-care-agencies-take-millions-of-dollars-owed-to-children-in-their-ca.</w:t>
        </w:r>
      </w:hyperlink>
    </w:p>
    <w:p>
      <w:pPr>
        <w:spacing w:line="219" w:lineRule="exact" w:before="0"/>
        <w:ind w:left="463" w:right="0" w:firstLine="0"/>
        <w:jc w:val="left"/>
        <w:rPr>
          <w:sz w:val="18"/>
        </w:rPr>
      </w:pPr>
      <w:bookmarkStart w:name="_bookmark15" w:id="111"/>
      <w:bookmarkEnd w:id="111"/>
      <w:r>
        <w:rPr/>
      </w:r>
      <w:r>
        <w:rPr>
          <w:sz w:val="18"/>
          <w:vertAlign w:val="superscript"/>
        </w:rPr>
        <w:t>6</w:t>
      </w:r>
      <w:r>
        <w:rPr>
          <w:spacing w:val="-15"/>
          <w:sz w:val="18"/>
          <w:vertAlign w:val="baseline"/>
        </w:rPr>
        <w:t> </w:t>
      </w:r>
      <w:r>
        <w:rPr>
          <w:sz w:val="18"/>
          <w:vertAlign w:val="baseline"/>
        </w:rPr>
        <w:t>“MPA</w:t>
      </w:r>
      <w:r>
        <w:rPr>
          <w:spacing w:val="-8"/>
          <w:sz w:val="18"/>
          <w:vertAlign w:val="baseline"/>
        </w:rPr>
        <w:t> </w:t>
      </w:r>
      <w:r>
        <w:rPr>
          <w:sz w:val="18"/>
          <w:vertAlign w:val="baseline"/>
        </w:rPr>
        <w:t>Overview,”</w:t>
      </w:r>
      <w:r>
        <w:rPr>
          <w:spacing w:val="-4"/>
          <w:sz w:val="18"/>
          <w:vertAlign w:val="baseline"/>
        </w:rPr>
        <w:t> </w:t>
      </w:r>
      <w:r>
        <w:rPr>
          <w:sz w:val="18"/>
          <w:vertAlign w:val="baseline"/>
        </w:rPr>
        <w:t>GLAD,</w:t>
      </w:r>
      <w:r>
        <w:rPr>
          <w:spacing w:val="-5"/>
          <w:sz w:val="18"/>
          <w:vertAlign w:val="baseline"/>
        </w:rPr>
        <w:t> </w:t>
      </w:r>
      <w:r>
        <w:rPr>
          <w:sz w:val="18"/>
          <w:vertAlign w:val="baseline"/>
        </w:rPr>
        <w:t>accessed</w:t>
      </w:r>
      <w:r>
        <w:rPr>
          <w:spacing w:val="-4"/>
          <w:sz w:val="18"/>
          <w:vertAlign w:val="baseline"/>
        </w:rPr>
        <w:t> </w:t>
      </w:r>
      <w:r>
        <w:rPr>
          <w:sz w:val="18"/>
          <w:vertAlign w:val="baseline"/>
        </w:rPr>
        <w:t>March</w:t>
      </w:r>
      <w:r>
        <w:rPr>
          <w:spacing w:val="-4"/>
          <w:sz w:val="18"/>
          <w:vertAlign w:val="baseline"/>
        </w:rPr>
        <w:t> </w:t>
      </w:r>
      <w:r>
        <w:rPr>
          <w:sz w:val="18"/>
          <w:vertAlign w:val="baseline"/>
        </w:rPr>
        <w:t>14,</w:t>
      </w:r>
      <w:r>
        <w:rPr>
          <w:spacing w:val="-5"/>
          <w:sz w:val="18"/>
          <w:vertAlign w:val="baseline"/>
        </w:rPr>
        <w:t> </w:t>
      </w:r>
      <w:r>
        <w:rPr>
          <w:sz w:val="18"/>
          <w:vertAlign w:val="baseline"/>
        </w:rPr>
        <w:t>2023,</w:t>
      </w:r>
      <w:r>
        <w:rPr>
          <w:spacing w:val="-4"/>
          <w:sz w:val="18"/>
          <w:vertAlign w:val="baseline"/>
        </w:rPr>
        <w:t> </w:t>
      </w:r>
      <w:r>
        <w:rPr>
          <w:sz w:val="18"/>
          <w:vertAlign w:val="baseline"/>
        </w:rPr>
        <w:t>https://</w:t>
      </w:r>
      <w:hyperlink r:id="rId73">
        <w:r>
          <w:rPr>
            <w:sz w:val="18"/>
            <w:vertAlign w:val="baseline"/>
          </w:rPr>
          <w:t>www.glad.org/mpa-</w:t>
        </w:r>
        <w:r>
          <w:rPr>
            <w:spacing w:val="-2"/>
            <w:sz w:val="18"/>
            <w:vertAlign w:val="baseline"/>
          </w:rPr>
          <w:t>overview/.</w:t>
        </w:r>
      </w:hyperlink>
    </w:p>
    <w:p>
      <w:pPr>
        <w:spacing w:before="1"/>
        <w:ind w:left="463" w:right="0" w:hanging="1"/>
        <w:jc w:val="left"/>
        <w:rPr>
          <w:sz w:val="18"/>
        </w:rPr>
      </w:pPr>
      <w:bookmarkStart w:name="_bookmark16" w:id="112"/>
      <w:bookmarkEnd w:id="112"/>
      <w:r>
        <w:rPr/>
      </w:r>
      <w:r>
        <w:rPr>
          <w:sz w:val="18"/>
          <w:vertAlign w:val="superscript"/>
        </w:rPr>
        <w:t>7</w:t>
      </w:r>
      <w:r>
        <w:rPr>
          <w:spacing w:val="-4"/>
          <w:sz w:val="18"/>
          <w:vertAlign w:val="baseline"/>
        </w:rPr>
        <w:t> </w:t>
      </w:r>
      <w:r>
        <w:rPr>
          <w:sz w:val="18"/>
          <w:vertAlign w:val="baseline"/>
        </w:rPr>
        <w:t>“Online Directives Information System - ODIS,” accessed March 27, 2023, </w:t>
      </w:r>
      <w:r>
        <w:rPr>
          <w:spacing w:val="-2"/>
          <w:sz w:val="18"/>
          <w:vertAlign w:val="baseline"/>
        </w:rPr>
        <w:t>https://odis.dhs.ga.gov/General/Home/Search?searchtext=Maltreatment%20Codes.</w:t>
      </w:r>
    </w:p>
    <w:p>
      <w:pPr>
        <w:spacing w:before="0"/>
        <w:ind w:left="463" w:right="289" w:hanging="1"/>
        <w:jc w:val="left"/>
        <w:rPr>
          <w:sz w:val="18"/>
        </w:rPr>
      </w:pPr>
      <w:r>
        <w:rPr>
          <w:sz w:val="18"/>
          <w:vertAlign w:val="superscript"/>
        </w:rPr>
        <w:t>8</w:t>
      </w:r>
      <w:r>
        <w:rPr>
          <w:spacing w:val="-13"/>
          <w:sz w:val="18"/>
          <w:vertAlign w:val="baseline"/>
        </w:rPr>
        <w:t> </w:t>
      </w:r>
      <w:r>
        <w:rPr>
          <w:sz w:val="18"/>
          <w:vertAlign w:val="baseline"/>
        </w:rPr>
        <w:t>Lindsay</w:t>
      </w:r>
      <w:r>
        <w:rPr>
          <w:spacing w:val="-4"/>
          <w:sz w:val="18"/>
          <w:vertAlign w:val="baseline"/>
        </w:rPr>
        <w:t> </w:t>
      </w:r>
      <w:r>
        <w:rPr>
          <w:sz w:val="18"/>
          <w:vertAlign w:val="baseline"/>
        </w:rPr>
        <w:t>Huffhines</w:t>
      </w:r>
      <w:r>
        <w:rPr>
          <w:spacing w:val="-2"/>
          <w:sz w:val="18"/>
          <w:vertAlign w:val="baseline"/>
        </w:rPr>
        <w:t> </w:t>
      </w:r>
      <w:r>
        <w:rPr>
          <w:sz w:val="18"/>
          <w:vertAlign w:val="baseline"/>
        </w:rPr>
        <w:t>et</w:t>
      </w:r>
      <w:r>
        <w:rPr>
          <w:spacing w:val="-3"/>
          <w:sz w:val="18"/>
          <w:vertAlign w:val="baseline"/>
        </w:rPr>
        <w:t> </w:t>
      </w:r>
      <w:r>
        <w:rPr>
          <w:sz w:val="18"/>
          <w:vertAlign w:val="baseline"/>
        </w:rPr>
        <w:t>al.,</w:t>
      </w:r>
      <w:r>
        <w:rPr>
          <w:spacing w:val="-3"/>
          <w:sz w:val="18"/>
          <w:vertAlign w:val="baseline"/>
        </w:rPr>
        <w:t> </w:t>
      </w:r>
      <w:r>
        <w:rPr>
          <w:sz w:val="18"/>
          <w:vertAlign w:val="baseline"/>
        </w:rPr>
        <w:t>“Case</w:t>
      </w:r>
      <w:r>
        <w:rPr>
          <w:spacing w:val="-2"/>
          <w:sz w:val="18"/>
          <w:vertAlign w:val="baseline"/>
        </w:rPr>
        <w:t> </w:t>
      </w:r>
      <w:r>
        <w:rPr>
          <w:sz w:val="18"/>
          <w:vertAlign w:val="baseline"/>
        </w:rPr>
        <w:t>File</w:t>
      </w:r>
      <w:r>
        <w:rPr>
          <w:spacing w:val="-2"/>
          <w:sz w:val="18"/>
          <w:vertAlign w:val="baseline"/>
        </w:rPr>
        <w:t> </w:t>
      </w:r>
      <w:r>
        <w:rPr>
          <w:sz w:val="18"/>
          <w:vertAlign w:val="baseline"/>
        </w:rPr>
        <w:t>Coding</w:t>
      </w:r>
      <w:r>
        <w:rPr>
          <w:spacing w:val="-2"/>
          <w:sz w:val="18"/>
          <w:vertAlign w:val="baseline"/>
        </w:rPr>
        <w:t> </w:t>
      </w:r>
      <w:r>
        <w:rPr>
          <w:sz w:val="18"/>
          <w:vertAlign w:val="baseline"/>
        </w:rPr>
        <w:t>of</w:t>
      </w:r>
      <w:r>
        <w:rPr>
          <w:spacing w:val="-2"/>
          <w:sz w:val="18"/>
          <w:vertAlign w:val="baseline"/>
        </w:rPr>
        <w:t> </w:t>
      </w:r>
      <w:r>
        <w:rPr>
          <w:sz w:val="18"/>
          <w:vertAlign w:val="baseline"/>
        </w:rPr>
        <w:t>Child</w:t>
      </w:r>
      <w:r>
        <w:rPr>
          <w:spacing w:val="-2"/>
          <w:sz w:val="18"/>
          <w:vertAlign w:val="baseline"/>
        </w:rPr>
        <w:t> </w:t>
      </w:r>
      <w:r>
        <w:rPr>
          <w:sz w:val="18"/>
          <w:vertAlign w:val="baseline"/>
        </w:rPr>
        <w:t>Maltreatment:</w:t>
      </w:r>
      <w:r>
        <w:rPr>
          <w:spacing w:val="-2"/>
          <w:sz w:val="18"/>
          <w:vertAlign w:val="baseline"/>
        </w:rPr>
        <w:t> </w:t>
      </w:r>
      <w:r>
        <w:rPr>
          <w:sz w:val="18"/>
          <w:vertAlign w:val="baseline"/>
        </w:rPr>
        <w:t>Methods,</w:t>
      </w:r>
      <w:r>
        <w:rPr>
          <w:spacing w:val="-3"/>
          <w:sz w:val="18"/>
          <w:vertAlign w:val="baseline"/>
        </w:rPr>
        <w:t> </w:t>
      </w:r>
      <w:r>
        <w:rPr>
          <w:sz w:val="18"/>
          <w:vertAlign w:val="baseline"/>
        </w:rPr>
        <w:t>Challenges,</w:t>
      </w:r>
      <w:r>
        <w:rPr>
          <w:spacing w:val="-3"/>
          <w:sz w:val="18"/>
          <w:vertAlign w:val="baseline"/>
        </w:rPr>
        <w:t> </w:t>
      </w:r>
      <w:r>
        <w:rPr>
          <w:sz w:val="18"/>
          <w:vertAlign w:val="baseline"/>
        </w:rPr>
        <w:t>and</w:t>
      </w:r>
      <w:r>
        <w:rPr>
          <w:spacing w:val="-2"/>
          <w:sz w:val="18"/>
          <w:vertAlign w:val="baseline"/>
        </w:rPr>
        <w:t> </w:t>
      </w:r>
      <w:r>
        <w:rPr>
          <w:sz w:val="18"/>
          <w:vertAlign w:val="baseline"/>
        </w:rPr>
        <w:t>Innovations</w:t>
      </w:r>
      <w:r>
        <w:rPr>
          <w:spacing w:val="-2"/>
          <w:sz w:val="18"/>
          <w:vertAlign w:val="baseline"/>
        </w:rPr>
        <w:t> </w:t>
      </w:r>
      <w:r>
        <w:rPr>
          <w:sz w:val="18"/>
          <w:vertAlign w:val="baseline"/>
        </w:rPr>
        <w:t>in</w:t>
      </w:r>
      <w:r>
        <w:rPr>
          <w:spacing w:val="-2"/>
          <w:sz w:val="18"/>
          <w:vertAlign w:val="baseline"/>
        </w:rPr>
        <w:t> </w:t>
      </w:r>
      <w:r>
        <w:rPr>
          <w:sz w:val="18"/>
          <w:vertAlign w:val="baseline"/>
        </w:rPr>
        <w:t>a</w:t>
      </w:r>
      <w:r>
        <w:rPr>
          <w:spacing w:val="-2"/>
          <w:sz w:val="18"/>
          <w:vertAlign w:val="baseline"/>
        </w:rPr>
        <w:t> </w:t>
      </w:r>
      <w:r>
        <w:rPr>
          <w:sz w:val="18"/>
          <w:vertAlign w:val="baseline"/>
        </w:rPr>
        <w:t>Longitudinal Project of Youth in Foster Care,” </w:t>
      </w:r>
      <w:r>
        <w:rPr>
          <w:i/>
          <w:sz w:val="18"/>
          <w:vertAlign w:val="baseline"/>
        </w:rPr>
        <w:t>Children and Youth Services Review </w:t>
      </w:r>
      <w:r>
        <w:rPr>
          <w:sz w:val="18"/>
          <w:vertAlign w:val="baseline"/>
        </w:rPr>
        <w:t>67 (August 2016): 254–62, </w:t>
      </w:r>
      <w:r>
        <w:rPr>
          <w:spacing w:val="-2"/>
          <w:sz w:val="18"/>
          <w:vertAlign w:val="baseline"/>
        </w:rPr>
        <w:t>https://doi.org/10.1016/j.childyouth.2016.06.019.</w:t>
      </w:r>
    </w:p>
    <w:p>
      <w:pPr>
        <w:spacing w:before="0"/>
        <w:ind w:left="463" w:right="1228" w:hanging="1"/>
        <w:jc w:val="left"/>
        <w:rPr>
          <w:sz w:val="18"/>
        </w:rPr>
      </w:pPr>
      <w:bookmarkStart w:name="_bookmark17" w:id="113"/>
      <w:bookmarkEnd w:id="113"/>
      <w:r>
        <w:rPr/>
      </w:r>
      <w:r>
        <w:rPr>
          <w:sz w:val="18"/>
          <w:vertAlign w:val="superscript"/>
        </w:rPr>
        <w:t>9</w:t>
      </w:r>
      <w:r>
        <w:rPr>
          <w:spacing w:val="-5"/>
          <w:sz w:val="18"/>
          <w:vertAlign w:val="baseline"/>
        </w:rPr>
        <w:t> </w:t>
      </w:r>
      <w:hyperlink r:id="rId74">
        <w:r>
          <w:rPr>
            <w:sz w:val="18"/>
            <w:vertAlign w:val="baseline"/>
          </w:rPr>
          <w:t>The Trevor Project, “Protectiveness of Family Sexual Orientation Support,” November 2022,</w:t>
        </w:r>
      </w:hyperlink>
      <w:r>
        <w:rPr>
          <w:sz w:val="18"/>
          <w:vertAlign w:val="baseline"/>
        </w:rPr>
        <w:t> </w:t>
      </w:r>
      <w:hyperlink r:id="rId74">
        <w:r>
          <w:rPr>
            <w:spacing w:val="-2"/>
            <w:sz w:val="18"/>
            <w:vertAlign w:val="baseline"/>
          </w:rPr>
          <w:t>https://www.thetrevorproject.org/research-briefs/protectiveness-of-family-sexual-orientation-support-nov-2022/.</w:t>
        </w:r>
      </w:hyperlink>
    </w:p>
    <w:p>
      <w:pPr>
        <w:spacing w:before="0"/>
        <w:ind w:left="463" w:right="298" w:firstLine="0"/>
        <w:jc w:val="left"/>
        <w:rPr>
          <w:sz w:val="18"/>
        </w:rPr>
      </w:pPr>
      <w:bookmarkStart w:name="_bookmark18" w:id="114"/>
      <w:bookmarkEnd w:id="114"/>
      <w:r>
        <w:rPr/>
      </w:r>
      <w:r>
        <w:rPr>
          <w:sz w:val="18"/>
          <w:vertAlign w:val="superscript"/>
        </w:rPr>
        <w:t>10</w:t>
      </w:r>
      <w:r>
        <w:rPr>
          <w:spacing w:val="-11"/>
          <w:sz w:val="18"/>
          <w:vertAlign w:val="baseline"/>
        </w:rPr>
        <w:t> </w:t>
      </w:r>
      <w:hyperlink r:id="rId75">
        <w:r>
          <w:rPr>
            <w:sz w:val="18"/>
            <w:vertAlign w:val="baseline"/>
          </w:rPr>
          <w:t>Mark L. Hatzenbuehler and John E. Pachankis, “Stigma and Minority Stress as Social Determinants of Health Among Lesbian,</w:t>
        </w:r>
      </w:hyperlink>
      <w:r>
        <w:rPr>
          <w:sz w:val="18"/>
          <w:vertAlign w:val="baseline"/>
        </w:rPr>
        <w:t> </w:t>
      </w:r>
      <w:hyperlink r:id="rId75">
        <w:r>
          <w:rPr>
            <w:sz w:val="18"/>
            <w:vertAlign w:val="baseline"/>
          </w:rPr>
          <w:t>Gay,</w:t>
        </w:r>
        <w:r>
          <w:rPr>
            <w:spacing w:val="-3"/>
            <w:sz w:val="18"/>
            <w:vertAlign w:val="baseline"/>
          </w:rPr>
          <w:t> </w:t>
        </w:r>
        <w:r>
          <w:rPr>
            <w:sz w:val="18"/>
            <w:vertAlign w:val="baseline"/>
          </w:rPr>
          <w:t>Bisexual,</w:t>
        </w:r>
        <w:r>
          <w:rPr>
            <w:spacing w:val="-3"/>
            <w:sz w:val="18"/>
            <w:vertAlign w:val="baseline"/>
          </w:rPr>
          <w:t> </w:t>
        </w:r>
        <w:r>
          <w:rPr>
            <w:sz w:val="18"/>
            <w:vertAlign w:val="baseline"/>
          </w:rPr>
          <w:t>and</w:t>
        </w:r>
        <w:r>
          <w:rPr>
            <w:spacing w:val="-2"/>
            <w:sz w:val="18"/>
            <w:vertAlign w:val="baseline"/>
          </w:rPr>
          <w:t> </w:t>
        </w:r>
        <w:r>
          <w:rPr>
            <w:sz w:val="18"/>
            <w:vertAlign w:val="baseline"/>
          </w:rPr>
          <w:t>Transgender</w:t>
        </w:r>
        <w:r>
          <w:rPr>
            <w:spacing w:val="-4"/>
            <w:sz w:val="18"/>
            <w:vertAlign w:val="baseline"/>
          </w:rPr>
          <w:t> </w:t>
        </w:r>
        <w:r>
          <w:rPr>
            <w:sz w:val="18"/>
            <w:vertAlign w:val="baseline"/>
          </w:rPr>
          <w:t>Youth:</w:t>
        </w:r>
        <w:r>
          <w:rPr>
            <w:spacing w:val="-2"/>
            <w:sz w:val="18"/>
            <w:vertAlign w:val="baseline"/>
          </w:rPr>
          <w:t> </w:t>
        </w:r>
        <w:r>
          <w:rPr>
            <w:sz w:val="18"/>
            <w:vertAlign w:val="baseline"/>
          </w:rPr>
          <w:t>Research</w:t>
        </w:r>
        <w:r>
          <w:rPr>
            <w:spacing w:val="-2"/>
            <w:sz w:val="18"/>
            <w:vertAlign w:val="baseline"/>
          </w:rPr>
          <w:t> </w:t>
        </w:r>
        <w:r>
          <w:rPr>
            <w:sz w:val="18"/>
            <w:vertAlign w:val="baseline"/>
          </w:rPr>
          <w:t>Evidence</w:t>
        </w:r>
        <w:r>
          <w:rPr>
            <w:spacing w:val="-2"/>
            <w:sz w:val="18"/>
            <w:vertAlign w:val="baseline"/>
          </w:rPr>
          <w:t> </w:t>
        </w:r>
        <w:r>
          <w:rPr>
            <w:sz w:val="18"/>
            <w:vertAlign w:val="baseline"/>
          </w:rPr>
          <w:t>and</w:t>
        </w:r>
        <w:r>
          <w:rPr>
            <w:spacing w:val="-2"/>
            <w:sz w:val="18"/>
            <w:vertAlign w:val="baseline"/>
          </w:rPr>
          <w:t> </w:t>
        </w:r>
        <w:r>
          <w:rPr>
            <w:sz w:val="18"/>
            <w:vertAlign w:val="baseline"/>
          </w:rPr>
          <w:t>Clinical</w:t>
        </w:r>
        <w:r>
          <w:rPr>
            <w:spacing w:val="-3"/>
            <w:sz w:val="18"/>
            <w:vertAlign w:val="baseline"/>
          </w:rPr>
          <w:t> </w:t>
        </w:r>
        <w:r>
          <w:rPr>
            <w:sz w:val="18"/>
            <w:vertAlign w:val="baseline"/>
          </w:rPr>
          <w:t>Implications,”</w:t>
        </w:r>
      </w:hyperlink>
      <w:r>
        <w:rPr>
          <w:spacing w:val="-2"/>
          <w:sz w:val="18"/>
          <w:vertAlign w:val="baseline"/>
        </w:rPr>
        <w:t> </w:t>
      </w:r>
      <w:hyperlink r:id="rId75">
        <w:r>
          <w:rPr>
            <w:i/>
            <w:sz w:val="18"/>
            <w:vertAlign w:val="baseline"/>
          </w:rPr>
          <w:t>Pediatric</w:t>
        </w:r>
        <w:r>
          <w:rPr>
            <w:i/>
            <w:spacing w:val="-3"/>
            <w:sz w:val="18"/>
            <w:vertAlign w:val="baseline"/>
          </w:rPr>
          <w:t> </w:t>
        </w:r>
        <w:r>
          <w:rPr>
            <w:i/>
            <w:sz w:val="18"/>
            <w:vertAlign w:val="baseline"/>
          </w:rPr>
          <w:t>Clinics</w:t>
        </w:r>
        <w:r>
          <w:rPr>
            <w:i/>
            <w:spacing w:val="-3"/>
            <w:sz w:val="18"/>
            <w:vertAlign w:val="baseline"/>
          </w:rPr>
          <w:t> </w:t>
        </w:r>
        <w:r>
          <w:rPr>
            <w:i/>
            <w:sz w:val="18"/>
            <w:vertAlign w:val="baseline"/>
          </w:rPr>
          <w:t>of</w:t>
        </w:r>
        <w:r>
          <w:rPr>
            <w:i/>
            <w:spacing w:val="-2"/>
            <w:sz w:val="18"/>
            <w:vertAlign w:val="baseline"/>
          </w:rPr>
          <w:t> </w:t>
        </w:r>
        <w:r>
          <w:rPr>
            <w:i/>
            <w:sz w:val="18"/>
            <w:vertAlign w:val="baseline"/>
          </w:rPr>
          <w:t>North</w:t>
        </w:r>
        <w:r>
          <w:rPr>
            <w:i/>
            <w:spacing w:val="-2"/>
            <w:sz w:val="18"/>
            <w:vertAlign w:val="baseline"/>
          </w:rPr>
          <w:t> </w:t>
        </w:r>
        <w:r>
          <w:rPr>
            <w:i/>
            <w:sz w:val="18"/>
            <w:vertAlign w:val="baseline"/>
          </w:rPr>
          <w:t>America</w:t>
        </w:r>
      </w:hyperlink>
      <w:r>
        <w:rPr>
          <w:i/>
          <w:spacing w:val="-2"/>
          <w:sz w:val="18"/>
          <w:vertAlign w:val="baseline"/>
        </w:rPr>
        <w:t> </w:t>
      </w:r>
      <w:hyperlink r:id="rId75">
        <w:r>
          <w:rPr>
            <w:sz w:val="18"/>
            <w:vertAlign w:val="baseline"/>
          </w:rPr>
          <w:t>63,</w:t>
        </w:r>
        <w:r>
          <w:rPr>
            <w:spacing w:val="-3"/>
            <w:sz w:val="18"/>
            <w:vertAlign w:val="baseline"/>
          </w:rPr>
          <w:t> </w:t>
        </w:r>
        <w:r>
          <w:rPr>
            <w:sz w:val="18"/>
            <w:vertAlign w:val="baseline"/>
          </w:rPr>
          <w:t>no.</w:t>
        </w:r>
        <w:r>
          <w:rPr>
            <w:spacing w:val="-2"/>
            <w:sz w:val="18"/>
            <w:vertAlign w:val="baseline"/>
          </w:rPr>
          <w:t> </w:t>
        </w:r>
        <w:r>
          <w:rPr>
            <w:sz w:val="18"/>
            <w:vertAlign w:val="baseline"/>
          </w:rPr>
          <w:t>6</w:t>
        </w:r>
      </w:hyperlink>
      <w:r>
        <w:rPr>
          <w:sz w:val="18"/>
          <w:vertAlign w:val="baseline"/>
        </w:rPr>
        <w:t> </w:t>
      </w:r>
      <w:hyperlink r:id="rId75">
        <w:r>
          <w:rPr>
            <w:sz w:val="18"/>
            <w:vertAlign w:val="baseline"/>
          </w:rPr>
          <w:t>(December 2016): 985–97, https://doi.org/10.1016/j.pcl.2016.07.003.</w:t>
        </w:r>
      </w:hyperlink>
    </w:p>
    <w:p>
      <w:pPr>
        <w:spacing w:before="0"/>
        <w:ind w:left="463" w:right="0" w:firstLine="0"/>
        <w:jc w:val="left"/>
        <w:rPr>
          <w:sz w:val="18"/>
        </w:rPr>
      </w:pPr>
      <w:bookmarkStart w:name="_bookmark19" w:id="115"/>
      <w:bookmarkEnd w:id="115"/>
      <w:r>
        <w:rPr/>
      </w:r>
      <w:r>
        <w:rPr>
          <w:sz w:val="18"/>
          <w:vertAlign w:val="superscript"/>
        </w:rPr>
        <w:t>11</w:t>
      </w:r>
      <w:r>
        <w:rPr>
          <w:spacing w:val="-15"/>
          <w:sz w:val="18"/>
          <w:vertAlign w:val="baseline"/>
        </w:rPr>
        <w:t> </w:t>
      </w:r>
      <w:hyperlink r:id="rId76">
        <w:r>
          <w:rPr>
            <w:sz w:val="18"/>
            <w:vertAlign w:val="baseline"/>
          </w:rPr>
          <w:t>The</w:t>
        </w:r>
        <w:r>
          <w:rPr>
            <w:spacing w:val="-5"/>
            <w:sz w:val="18"/>
            <w:vertAlign w:val="baseline"/>
          </w:rPr>
          <w:t> </w:t>
        </w:r>
        <w:r>
          <w:rPr>
            <w:sz w:val="18"/>
            <w:vertAlign w:val="baseline"/>
          </w:rPr>
          <w:t>Trevor</w:t>
        </w:r>
        <w:r>
          <w:rPr>
            <w:spacing w:val="-4"/>
            <w:sz w:val="18"/>
            <w:vertAlign w:val="baseline"/>
          </w:rPr>
          <w:t> </w:t>
        </w:r>
        <w:r>
          <w:rPr>
            <w:sz w:val="18"/>
            <w:vertAlign w:val="baseline"/>
          </w:rPr>
          <w:t>Project,</w:t>
        </w:r>
        <w:r>
          <w:rPr>
            <w:spacing w:val="-4"/>
            <w:sz w:val="18"/>
            <w:vertAlign w:val="baseline"/>
          </w:rPr>
          <w:t> </w:t>
        </w:r>
        <w:r>
          <w:rPr>
            <w:sz w:val="18"/>
            <w:vertAlign w:val="baseline"/>
          </w:rPr>
          <w:t>“Protectiveness</w:t>
        </w:r>
        <w:r>
          <w:rPr>
            <w:spacing w:val="-3"/>
            <w:sz w:val="18"/>
            <w:vertAlign w:val="baseline"/>
          </w:rPr>
          <w:t> </w:t>
        </w:r>
        <w:r>
          <w:rPr>
            <w:sz w:val="18"/>
            <w:vertAlign w:val="baseline"/>
          </w:rPr>
          <w:t>of</w:t>
        </w:r>
        <w:r>
          <w:rPr>
            <w:spacing w:val="-3"/>
            <w:sz w:val="18"/>
            <w:vertAlign w:val="baseline"/>
          </w:rPr>
          <w:t> </w:t>
        </w:r>
        <w:r>
          <w:rPr>
            <w:sz w:val="18"/>
            <w:vertAlign w:val="baseline"/>
          </w:rPr>
          <w:t>Family</w:t>
        </w:r>
        <w:r>
          <w:rPr>
            <w:spacing w:val="-4"/>
            <w:sz w:val="18"/>
            <w:vertAlign w:val="baseline"/>
          </w:rPr>
          <w:t> </w:t>
        </w:r>
        <w:r>
          <w:rPr>
            <w:sz w:val="18"/>
            <w:vertAlign w:val="baseline"/>
          </w:rPr>
          <w:t>Sexual</w:t>
        </w:r>
        <w:r>
          <w:rPr>
            <w:spacing w:val="-4"/>
            <w:sz w:val="18"/>
            <w:vertAlign w:val="baseline"/>
          </w:rPr>
          <w:t> </w:t>
        </w:r>
        <w:r>
          <w:rPr>
            <w:sz w:val="18"/>
            <w:vertAlign w:val="baseline"/>
          </w:rPr>
          <w:t>Orientation</w:t>
        </w:r>
        <w:r>
          <w:rPr>
            <w:spacing w:val="-2"/>
            <w:sz w:val="18"/>
            <w:vertAlign w:val="baseline"/>
          </w:rPr>
          <w:t> Support.”</w:t>
        </w:r>
      </w:hyperlink>
    </w:p>
    <w:p>
      <w:pPr>
        <w:spacing w:before="0"/>
        <w:ind w:left="463" w:right="694" w:hanging="1"/>
        <w:jc w:val="left"/>
        <w:rPr>
          <w:sz w:val="18"/>
        </w:rPr>
      </w:pPr>
      <w:bookmarkStart w:name="_bookmark20" w:id="116"/>
      <w:bookmarkEnd w:id="116"/>
      <w:r>
        <w:rPr/>
      </w:r>
      <w:r>
        <w:rPr>
          <w:sz w:val="18"/>
          <w:vertAlign w:val="superscript"/>
        </w:rPr>
        <w:t>12</w:t>
      </w:r>
      <w:r>
        <w:rPr>
          <w:spacing w:val="-13"/>
          <w:sz w:val="18"/>
          <w:vertAlign w:val="baseline"/>
        </w:rPr>
        <w:t> </w:t>
      </w:r>
      <w:r>
        <w:rPr>
          <w:sz w:val="18"/>
          <w:vertAlign w:val="baseline"/>
        </w:rPr>
        <w:t>Office</w:t>
      </w:r>
      <w:r>
        <w:rPr>
          <w:spacing w:val="-3"/>
          <w:sz w:val="18"/>
          <w:vertAlign w:val="baseline"/>
        </w:rPr>
        <w:t> </w:t>
      </w:r>
      <w:r>
        <w:rPr>
          <w:sz w:val="18"/>
          <w:vertAlign w:val="baseline"/>
        </w:rPr>
        <w:t>of</w:t>
      </w:r>
      <w:r>
        <w:rPr>
          <w:spacing w:val="-2"/>
          <w:sz w:val="18"/>
          <w:vertAlign w:val="baseline"/>
        </w:rPr>
        <w:t> </w:t>
      </w:r>
      <w:r>
        <w:rPr>
          <w:sz w:val="18"/>
          <w:vertAlign w:val="baseline"/>
        </w:rPr>
        <w:t>the</w:t>
      </w:r>
      <w:r>
        <w:rPr>
          <w:spacing w:val="-2"/>
          <w:sz w:val="18"/>
          <w:vertAlign w:val="baseline"/>
        </w:rPr>
        <w:t> </w:t>
      </w:r>
      <w:r>
        <w:rPr>
          <w:sz w:val="18"/>
          <w:vertAlign w:val="baseline"/>
        </w:rPr>
        <w:t>United</w:t>
      </w:r>
      <w:r>
        <w:rPr>
          <w:spacing w:val="-2"/>
          <w:sz w:val="18"/>
          <w:vertAlign w:val="baseline"/>
        </w:rPr>
        <w:t> </w:t>
      </w:r>
      <w:r>
        <w:rPr>
          <w:sz w:val="18"/>
          <w:vertAlign w:val="baseline"/>
        </w:rPr>
        <w:t>Nations</w:t>
      </w:r>
      <w:r>
        <w:rPr>
          <w:spacing w:val="-2"/>
          <w:sz w:val="18"/>
          <w:vertAlign w:val="baseline"/>
        </w:rPr>
        <w:t> </w:t>
      </w:r>
      <w:r>
        <w:rPr>
          <w:sz w:val="18"/>
          <w:vertAlign w:val="baseline"/>
        </w:rPr>
        <w:t>High</w:t>
      </w:r>
      <w:r>
        <w:rPr>
          <w:spacing w:val="-2"/>
          <w:sz w:val="18"/>
          <w:vertAlign w:val="baseline"/>
        </w:rPr>
        <w:t> </w:t>
      </w:r>
      <w:r>
        <w:rPr>
          <w:sz w:val="18"/>
          <w:vertAlign w:val="baseline"/>
        </w:rPr>
        <w:t>Commissioner</w:t>
      </w:r>
      <w:r>
        <w:rPr>
          <w:spacing w:val="-3"/>
          <w:sz w:val="18"/>
          <w:vertAlign w:val="baseline"/>
        </w:rPr>
        <w:t> </w:t>
      </w:r>
      <w:r>
        <w:rPr>
          <w:sz w:val="18"/>
          <w:vertAlign w:val="baseline"/>
        </w:rPr>
        <w:t>for</w:t>
      </w:r>
      <w:r>
        <w:rPr>
          <w:spacing w:val="-3"/>
          <w:sz w:val="18"/>
          <w:vertAlign w:val="baseline"/>
        </w:rPr>
        <w:t> </w:t>
      </w:r>
      <w:r>
        <w:rPr>
          <w:sz w:val="18"/>
          <w:vertAlign w:val="baseline"/>
        </w:rPr>
        <w:t>Human</w:t>
      </w:r>
      <w:r>
        <w:rPr>
          <w:spacing w:val="-2"/>
          <w:sz w:val="18"/>
          <w:vertAlign w:val="baseline"/>
        </w:rPr>
        <w:t> </w:t>
      </w:r>
      <w:r>
        <w:rPr>
          <w:sz w:val="18"/>
          <w:vertAlign w:val="baseline"/>
        </w:rPr>
        <w:t>Rights,</w:t>
      </w:r>
      <w:r>
        <w:rPr>
          <w:spacing w:val="-3"/>
          <w:sz w:val="18"/>
          <w:vertAlign w:val="baseline"/>
        </w:rPr>
        <w:t> </w:t>
      </w:r>
      <w:r>
        <w:rPr>
          <w:sz w:val="18"/>
          <w:vertAlign w:val="baseline"/>
        </w:rPr>
        <w:t>“Convention</w:t>
      </w:r>
      <w:r>
        <w:rPr>
          <w:spacing w:val="-3"/>
          <w:sz w:val="18"/>
          <w:vertAlign w:val="baseline"/>
        </w:rPr>
        <w:t> </w:t>
      </w:r>
      <w:r>
        <w:rPr>
          <w:sz w:val="18"/>
          <w:vertAlign w:val="baseline"/>
        </w:rPr>
        <w:t>on</w:t>
      </w:r>
      <w:r>
        <w:rPr>
          <w:spacing w:val="-2"/>
          <w:sz w:val="18"/>
          <w:vertAlign w:val="baseline"/>
        </w:rPr>
        <w:t> </w:t>
      </w:r>
      <w:r>
        <w:rPr>
          <w:sz w:val="18"/>
          <w:vertAlign w:val="baseline"/>
        </w:rPr>
        <w:t>the</w:t>
      </w:r>
      <w:r>
        <w:rPr>
          <w:spacing w:val="-2"/>
          <w:sz w:val="18"/>
          <w:vertAlign w:val="baseline"/>
        </w:rPr>
        <w:t> </w:t>
      </w:r>
      <w:r>
        <w:rPr>
          <w:sz w:val="18"/>
          <w:vertAlign w:val="baseline"/>
        </w:rPr>
        <w:t>Rights</w:t>
      </w:r>
      <w:r>
        <w:rPr>
          <w:spacing w:val="-2"/>
          <w:sz w:val="18"/>
          <w:vertAlign w:val="baseline"/>
        </w:rPr>
        <w:t> </w:t>
      </w:r>
      <w:r>
        <w:rPr>
          <w:sz w:val="18"/>
          <w:vertAlign w:val="baseline"/>
        </w:rPr>
        <w:t>of</w:t>
      </w:r>
      <w:r>
        <w:rPr>
          <w:spacing w:val="-3"/>
          <w:sz w:val="18"/>
          <w:vertAlign w:val="baseline"/>
        </w:rPr>
        <w:t> </w:t>
      </w:r>
      <w:r>
        <w:rPr>
          <w:sz w:val="18"/>
          <w:vertAlign w:val="baseline"/>
        </w:rPr>
        <w:t>the</w:t>
      </w:r>
      <w:r>
        <w:rPr>
          <w:spacing w:val="-2"/>
          <w:sz w:val="18"/>
          <w:vertAlign w:val="baseline"/>
        </w:rPr>
        <w:t> </w:t>
      </w:r>
      <w:r>
        <w:rPr>
          <w:sz w:val="18"/>
          <w:vertAlign w:val="baseline"/>
        </w:rPr>
        <w:t>Child,”</w:t>
      </w:r>
      <w:r>
        <w:rPr>
          <w:spacing w:val="-2"/>
          <w:sz w:val="18"/>
          <w:vertAlign w:val="baseline"/>
        </w:rPr>
        <w:t> </w:t>
      </w:r>
      <w:r>
        <w:rPr>
          <w:sz w:val="18"/>
          <w:vertAlign w:val="baseline"/>
        </w:rPr>
        <w:t>Office</w:t>
      </w:r>
      <w:r>
        <w:rPr>
          <w:spacing w:val="-2"/>
          <w:sz w:val="18"/>
          <w:vertAlign w:val="baseline"/>
        </w:rPr>
        <w:t> </w:t>
      </w:r>
      <w:r>
        <w:rPr>
          <w:sz w:val="18"/>
          <w:vertAlign w:val="baseline"/>
        </w:rPr>
        <w:t>of</w:t>
      </w:r>
      <w:r>
        <w:rPr>
          <w:spacing w:val="-2"/>
          <w:sz w:val="18"/>
          <w:vertAlign w:val="baseline"/>
        </w:rPr>
        <w:t> </w:t>
      </w:r>
      <w:r>
        <w:rPr>
          <w:sz w:val="18"/>
          <w:vertAlign w:val="baseline"/>
        </w:rPr>
        <w:t>the United Nations High Commissioner for Human Rights, March 2023, https://</w:t>
      </w:r>
      <w:hyperlink r:id="rId77">
        <w:r>
          <w:rPr>
            <w:sz w:val="18"/>
            <w:vertAlign w:val="baseline"/>
          </w:rPr>
          <w:t>www.ohchr.org/en/instruments-</w:t>
        </w:r>
      </w:hyperlink>
      <w:r>
        <w:rPr>
          <w:sz w:val="18"/>
          <w:vertAlign w:val="baseline"/>
        </w:rPr>
        <w:t> </w:t>
      </w:r>
      <w:bookmarkStart w:name="_bookmark21" w:id="117"/>
      <w:bookmarkEnd w:id="117"/>
      <w:r>
        <w:rPr>
          <w:spacing w:val="-2"/>
          <w:sz w:val="18"/>
          <w:vertAlign w:val="baseline"/>
        </w:rPr>
        <w:t>me</w:t>
      </w:r>
      <w:r>
        <w:rPr>
          <w:spacing w:val="-2"/>
          <w:sz w:val="18"/>
          <w:vertAlign w:val="baseline"/>
        </w:rPr>
        <w:t>chanisms/instruments/convention-rights-child.</w:t>
      </w:r>
    </w:p>
    <w:p>
      <w:pPr>
        <w:spacing w:before="0"/>
        <w:ind w:left="463" w:right="2636" w:hanging="1"/>
        <w:jc w:val="left"/>
        <w:rPr>
          <w:sz w:val="18"/>
        </w:rPr>
      </w:pPr>
      <w:r>
        <w:rPr>
          <w:sz w:val="18"/>
          <w:vertAlign w:val="superscript"/>
        </w:rPr>
        <w:t>13</w:t>
      </w:r>
      <w:r>
        <w:rPr>
          <w:spacing w:val="-13"/>
          <w:sz w:val="18"/>
          <w:vertAlign w:val="baseline"/>
        </w:rPr>
        <w:t> </w:t>
      </w:r>
      <w:hyperlink r:id="rId78">
        <w:r>
          <w:rPr>
            <w:sz w:val="18"/>
            <w:vertAlign w:val="baseline"/>
          </w:rPr>
          <w:t>Human</w:t>
        </w:r>
        <w:r>
          <w:rPr>
            <w:spacing w:val="-4"/>
            <w:sz w:val="18"/>
            <w:vertAlign w:val="baseline"/>
          </w:rPr>
          <w:t> </w:t>
        </w:r>
        <w:r>
          <w:rPr>
            <w:sz w:val="18"/>
            <w:vertAlign w:val="baseline"/>
          </w:rPr>
          <w:t>Rights</w:t>
        </w:r>
        <w:r>
          <w:rPr>
            <w:spacing w:val="-4"/>
            <w:sz w:val="18"/>
            <w:vertAlign w:val="baseline"/>
          </w:rPr>
          <w:t> </w:t>
        </w:r>
        <w:r>
          <w:rPr>
            <w:sz w:val="18"/>
            <w:vertAlign w:val="baseline"/>
          </w:rPr>
          <w:t>Watch,</w:t>
        </w:r>
        <w:r>
          <w:rPr>
            <w:spacing w:val="-4"/>
            <w:sz w:val="18"/>
            <w:vertAlign w:val="baseline"/>
          </w:rPr>
          <w:t> </w:t>
        </w:r>
        <w:r>
          <w:rPr>
            <w:sz w:val="18"/>
            <w:vertAlign w:val="baseline"/>
          </w:rPr>
          <w:t>“How</w:t>
        </w:r>
        <w:r>
          <w:rPr>
            <w:spacing w:val="-4"/>
            <w:sz w:val="18"/>
            <w:vertAlign w:val="baseline"/>
          </w:rPr>
          <w:t> </w:t>
        </w:r>
        <w:r>
          <w:rPr>
            <w:sz w:val="18"/>
            <w:vertAlign w:val="baseline"/>
          </w:rPr>
          <w:t>Do</w:t>
        </w:r>
        <w:r>
          <w:rPr>
            <w:spacing w:val="-2"/>
            <w:sz w:val="18"/>
            <w:vertAlign w:val="baseline"/>
          </w:rPr>
          <w:t> </w:t>
        </w:r>
        <w:r>
          <w:rPr>
            <w:sz w:val="18"/>
            <w:vertAlign w:val="baseline"/>
          </w:rPr>
          <w:t>US</w:t>
        </w:r>
        <w:r>
          <w:rPr>
            <w:spacing w:val="-3"/>
            <w:sz w:val="18"/>
            <w:vertAlign w:val="baseline"/>
          </w:rPr>
          <w:t> </w:t>
        </w:r>
        <w:r>
          <w:rPr>
            <w:sz w:val="18"/>
            <w:vertAlign w:val="baseline"/>
          </w:rPr>
          <w:t>States</w:t>
        </w:r>
        <w:r>
          <w:rPr>
            <w:spacing w:val="-3"/>
            <w:sz w:val="18"/>
            <w:vertAlign w:val="baseline"/>
          </w:rPr>
          <w:t> </w:t>
        </w:r>
        <w:r>
          <w:rPr>
            <w:sz w:val="18"/>
            <w:vertAlign w:val="baseline"/>
          </w:rPr>
          <w:t>Measure</w:t>
        </w:r>
        <w:r>
          <w:rPr>
            <w:spacing w:val="-3"/>
            <w:sz w:val="18"/>
            <w:vertAlign w:val="baseline"/>
          </w:rPr>
          <w:t> </w:t>
        </w:r>
        <w:r>
          <w:rPr>
            <w:sz w:val="18"/>
            <w:vertAlign w:val="baseline"/>
          </w:rPr>
          <w:t>Up</w:t>
        </w:r>
        <w:r>
          <w:rPr>
            <w:spacing w:val="-3"/>
            <w:sz w:val="18"/>
            <w:vertAlign w:val="baseline"/>
          </w:rPr>
          <w:t> </w:t>
        </w:r>
        <w:r>
          <w:rPr>
            <w:sz w:val="18"/>
            <w:vertAlign w:val="baseline"/>
          </w:rPr>
          <w:t>on</w:t>
        </w:r>
        <w:r>
          <w:rPr>
            <w:spacing w:val="-3"/>
            <w:sz w:val="18"/>
            <w:vertAlign w:val="baseline"/>
          </w:rPr>
          <w:t> </w:t>
        </w:r>
        <w:r>
          <w:rPr>
            <w:sz w:val="18"/>
            <w:vertAlign w:val="baseline"/>
          </w:rPr>
          <w:t>Child</w:t>
        </w:r>
        <w:r>
          <w:rPr>
            <w:spacing w:val="-3"/>
            <w:sz w:val="18"/>
            <w:vertAlign w:val="baseline"/>
          </w:rPr>
          <w:t> </w:t>
        </w:r>
        <w:r>
          <w:rPr>
            <w:sz w:val="18"/>
            <w:vertAlign w:val="baseline"/>
          </w:rPr>
          <w:t>Rights?,”</w:t>
        </w:r>
        <w:r>
          <w:rPr>
            <w:spacing w:val="-3"/>
            <w:sz w:val="18"/>
            <w:vertAlign w:val="baseline"/>
          </w:rPr>
          <w:t> </w:t>
        </w:r>
        <w:r>
          <w:rPr>
            <w:sz w:val="18"/>
            <w:vertAlign w:val="baseline"/>
          </w:rPr>
          <w:t>September</w:t>
        </w:r>
        <w:r>
          <w:rPr>
            <w:spacing w:val="-4"/>
            <w:sz w:val="18"/>
            <w:vertAlign w:val="baseline"/>
          </w:rPr>
          <w:t> </w:t>
        </w:r>
        <w:r>
          <w:rPr>
            <w:sz w:val="18"/>
            <w:vertAlign w:val="baseline"/>
          </w:rPr>
          <w:t>29,</w:t>
        </w:r>
        <w:r>
          <w:rPr>
            <w:spacing w:val="-4"/>
            <w:sz w:val="18"/>
            <w:vertAlign w:val="baseline"/>
          </w:rPr>
          <w:t> </w:t>
        </w:r>
        <w:r>
          <w:rPr>
            <w:sz w:val="18"/>
            <w:vertAlign w:val="baseline"/>
          </w:rPr>
          <w:t>2022,</w:t>
        </w:r>
      </w:hyperlink>
      <w:r>
        <w:rPr>
          <w:sz w:val="18"/>
          <w:vertAlign w:val="baseline"/>
        </w:rPr>
        <w:t> </w:t>
      </w:r>
      <w:bookmarkStart w:name="_bookmark22" w:id="118"/>
      <w:bookmarkEnd w:id="118"/>
      <w:r>
        <w:rPr>
          <w:sz w:val="18"/>
          <w:vertAlign w:val="baseline"/>
        </w:rPr>
      </w:r>
      <w:hyperlink r:id="rId78">
        <w:r>
          <w:rPr>
            <w:spacing w:val="-2"/>
            <w:sz w:val="18"/>
            <w:vertAlign w:val="baseline"/>
          </w:rPr>
          <w:t>https://www.hrw.org/feature/2022/09/13/how-do-states-measure-up-child-rights.</w:t>
        </w:r>
      </w:hyperlink>
    </w:p>
    <w:p>
      <w:pPr>
        <w:spacing w:before="0"/>
        <w:ind w:left="463" w:right="289" w:hanging="1"/>
        <w:jc w:val="left"/>
        <w:rPr>
          <w:sz w:val="18"/>
        </w:rPr>
      </w:pPr>
      <w:r>
        <w:rPr>
          <w:sz w:val="18"/>
          <w:vertAlign w:val="superscript"/>
        </w:rPr>
        <w:t>14</w:t>
      </w:r>
      <w:r>
        <w:rPr>
          <w:spacing w:val="-13"/>
          <w:sz w:val="18"/>
          <w:vertAlign w:val="baseline"/>
        </w:rPr>
        <w:t> </w:t>
      </w:r>
      <w:hyperlink r:id="rId79">
        <w:r>
          <w:rPr>
            <w:sz w:val="18"/>
            <w:vertAlign w:val="baseline"/>
          </w:rPr>
          <w:t>Kerith</w:t>
        </w:r>
        <w:r>
          <w:rPr>
            <w:spacing w:val="-3"/>
            <w:sz w:val="18"/>
            <w:vertAlign w:val="baseline"/>
          </w:rPr>
          <w:t> </w:t>
        </w:r>
        <w:r>
          <w:rPr>
            <w:sz w:val="18"/>
            <w:vertAlign w:val="baseline"/>
          </w:rPr>
          <w:t>J.</w:t>
        </w:r>
        <w:r>
          <w:rPr>
            <w:spacing w:val="-2"/>
            <w:sz w:val="18"/>
            <w:vertAlign w:val="baseline"/>
          </w:rPr>
          <w:t> </w:t>
        </w:r>
        <w:r>
          <w:rPr>
            <w:sz w:val="18"/>
            <w:vertAlign w:val="baseline"/>
          </w:rPr>
          <w:t>Conron</w:t>
        </w:r>
        <w:r>
          <w:rPr>
            <w:spacing w:val="-2"/>
            <w:sz w:val="18"/>
            <w:vertAlign w:val="baseline"/>
          </w:rPr>
          <w:t> </w:t>
        </w:r>
        <w:r>
          <w:rPr>
            <w:sz w:val="18"/>
            <w:vertAlign w:val="baseline"/>
          </w:rPr>
          <w:t>and</w:t>
        </w:r>
        <w:r>
          <w:rPr>
            <w:spacing w:val="-2"/>
            <w:sz w:val="18"/>
            <w:vertAlign w:val="baseline"/>
          </w:rPr>
          <w:t> </w:t>
        </w:r>
        <w:r>
          <w:rPr>
            <w:sz w:val="18"/>
            <w:vertAlign w:val="baseline"/>
          </w:rPr>
          <w:t>Bianca</w:t>
        </w:r>
        <w:r>
          <w:rPr>
            <w:spacing w:val="-2"/>
            <w:sz w:val="18"/>
            <w:vertAlign w:val="baseline"/>
          </w:rPr>
          <w:t> </w:t>
        </w:r>
        <w:r>
          <w:rPr>
            <w:sz w:val="18"/>
            <w:vertAlign w:val="baseline"/>
          </w:rPr>
          <w:t>D.M.</w:t>
        </w:r>
        <w:r>
          <w:rPr>
            <w:spacing w:val="-2"/>
            <w:sz w:val="18"/>
            <w:vertAlign w:val="baseline"/>
          </w:rPr>
          <w:t> </w:t>
        </w:r>
        <w:r>
          <w:rPr>
            <w:sz w:val="18"/>
            <w:vertAlign w:val="baseline"/>
          </w:rPr>
          <w:t>Wilson,</w:t>
        </w:r>
        <w:r>
          <w:rPr>
            <w:spacing w:val="-3"/>
            <w:sz w:val="18"/>
            <w:vertAlign w:val="baseline"/>
          </w:rPr>
          <w:t> </w:t>
        </w:r>
        <w:r>
          <w:rPr>
            <w:sz w:val="18"/>
            <w:vertAlign w:val="baseline"/>
          </w:rPr>
          <w:t>“LGBTQ</w:t>
        </w:r>
        <w:r>
          <w:rPr>
            <w:spacing w:val="-2"/>
            <w:sz w:val="18"/>
            <w:vertAlign w:val="baseline"/>
          </w:rPr>
          <w:t> </w:t>
        </w:r>
        <w:r>
          <w:rPr>
            <w:sz w:val="18"/>
            <w:vertAlign w:val="baseline"/>
          </w:rPr>
          <w:t>Youth</w:t>
        </w:r>
        <w:r>
          <w:rPr>
            <w:spacing w:val="-2"/>
            <w:sz w:val="18"/>
            <w:vertAlign w:val="baseline"/>
          </w:rPr>
          <w:t> </w:t>
        </w:r>
        <w:r>
          <w:rPr>
            <w:sz w:val="18"/>
            <w:vertAlign w:val="baseline"/>
          </w:rPr>
          <w:t>of</w:t>
        </w:r>
        <w:r>
          <w:rPr>
            <w:spacing w:val="-2"/>
            <w:sz w:val="18"/>
            <w:vertAlign w:val="baseline"/>
          </w:rPr>
          <w:t> </w:t>
        </w:r>
        <w:r>
          <w:rPr>
            <w:sz w:val="18"/>
            <w:vertAlign w:val="baseline"/>
          </w:rPr>
          <w:t>Color</w:t>
        </w:r>
        <w:r>
          <w:rPr>
            <w:spacing w:val="-3"/>
            <w:sz w:val="18"/>
            <w:vertAlign w:val="baseline"/>
          </w:rPr>
          <w:t> </w:t>
        </w:r>
        <w:r>
          <w:rPr>
            <w:sz w:val="18"/>
            <w:vertAlign w:val="baseline"/>
          </w:rPr>
          <w:t>Impacted</w:t>
        </w:r>
        <w:r>
          <w:rPr>
            <w:spacing w:val="-2"/>
            <w:sz w:val="18"/>
            <w:vertAlign w:val="baseline"/>
          </w:rPr>
          <w:t> </w:t>
        </w:r>
        <w:r>
          <w:rPr>
            <w:sz w:val="18"/>
            <w:vertAlign w:val="baseline"/>
          </w:rPr>
          <w:t>by</w:t>
        </w:r>
        <w:r>
          <w:rPr>
            <w:spacing w:val="-2"/>
            <w:sz w:val="18"/>
            <w:vertAlign w:val="baseline"/>
          </w:rPr>
          <w:t> </w:t>
        </w:r>
        <w:r>
          <w:rPr>
            <w:sz w:val="18"/>
            <w:vertAlign w:val="baseline"/>
          </w:rPr>
          <w:t>the</w:t>
        </w:r>
        <w:r>
          <w:rPr>
            <w:spacing w:val="-2"/>
            <w:sz w:val="18"/>
            <w:vertAlign w:val="baseline"/>
          </w:rPr>
          <w:t> </w:t>
        </w:r>
        <w:r>
          <w:rPr>
            <w:sz w:val="18"/>
            <w:vertAlign w:val="baseline"/>
          </w:rPr>
          <w:t>Child</w:t>
        </w:r>
        <w:r>
          <w:rPr>
            <w:spacing w:val="-2"/>
            <w:sz w:val="18"/>
            <w:vertAlign w:val="baseline"/>
          </w:rPr>
          <w:t> </w:t>
        </w:r>
        <w:r>
          <w:rPr>
            <w:sz w:val="18"/>
            <w:vertAlign w:val="baseline"/>
          </w:rPr>
          <w:t>Welfare</w:t>
        </w:r>
        <w:r>
          <w:rPr>
            <w:spacing w:val="-2"/>
            <w:sz w:val="18"/>
            <w:vertAlign w:val="baseline"/>
          </w:rPr>
          <w:t> </w:t>
        </w:r>
        <w:r>
          <w:rPr>
            <w:sz w:val="18"/>
            <w:vertAlign w:val="baseline"/>
          </w:rPr>
          <w:t>and</w:t>
        </w:r>
        <w:r>
          <w:rPr>
            <w:spacing w:val="-2"/>
            <w:sz w:val="18"/>
            <w:vertAlign w:val="baseline"/>
          </w:rPr>
          <w:t> </w:t>
        </w:r>
        <w:r>
          <w:rPr>
            <w:sz w:val="18"/>
            <w:vertAlign w:val="baseline"/>
          </w:rPr>
          <w:t>Juvenile</w:t>
        </w:r>
        <w:r>
          <w:rPr>
            <w:spacing w:val="-2"/>
            <w:sz w:val="18"/>
            <w:vertAlign w:val="baseline"/>
          </w:rPr>
          <w:t> </w:t>
        </w:r>
        <w:r>
          <w:rPr>
            <w:sz w:val="18"/>
            <w:vertAlign w:val="baseline"/>
          </w:rPr>
          <w:t>Justice</w:t>
        </w:r>
        <w:r>
          <w:rPr>
            <w:spacing w:val="-2"/>
            <w:sz w:val="18"/>
            <w:vertAlign w:val="baseline"/>
          </w:rPr>
          <w:t> </w:t>
        </w:r>
        <w:r>
          <w:rPr>
            <w:sz w:val="18"/>
            <w:vertAlign w:val="baseline"/>
          </w:rPr>
          <w:t>Systems,”</w:t>
        </w:r>
      </w:hyperlink>
      <w:r>
        <w:rPr>
          <w:sz w:val="18"/>
          <w:vertAlign w:val="baseline"/>
        </w:rPr>
        <w:t> </w:t>
      </w:r>
      <w:hyperlink r:id="rId79">
        <w:r>
          <w:rPr>
            <w:sz w:val="18"/>
            <w:vertAlign w:val="baseline"/>
          </w:rPr>
          <w:t>A Research Agenda (Williams Institute: UCLA School of Law, July 2019),</w:t>
        </w:r>
      </w:hyperlink>
      <w:r>
        <w:rPr>
          <w:spacing w:val="80"/>
          <w:w w:val="150"/>
          <w:sz w:val="18"/>
          <w:vertAlign w:val="baseline"/>
        </w:rPr>
        <w:t> </w:t>
      </w:r>
      <w:bookmarkStart w:name="_bookmark23" w:id="119"/>
      <w:bookmarkEnd w:id="119"/>
      <w:r>
        <w:rPr>
          <w:sz w:val="18"/>
          <w:vertAlign w:val="baseline"/>
        </w:rPr>
      </w:r>
      <w:hyperlink r:id="rId79">
        <w:r>
          <w:rPr>
            <w:spacing w:val="-2"/>
            <w:sz w:val="18"/>
            <w:vertAlign w:val="baseline"/>
          </w:rPr>
          <w:t>https://williamsinstitute.law.ucla.edu/publications/lgbtq-yoc-social-services/.</w:t>
        </w:r>
      </w:hyperlink>
    </w:p>
    <w:p>
      <w:pPr>
        <w:spacing w:before="0"/>
        <w:ind w:left="463" w:right="298" w:firstLine="0"/>
        <w:jc w:val="left"/>
        <w:rPr>
          <w:sz w:val="18"/>
        </w:rPr>
      </w:pPr>
      <w:r>
        <w:rPr>
          <w:sz w:val="18"/>
          <w:vertAlign w:val="superscript"/>
        </w:rPr>
        <w:t>15</w:t>
      </w:r>
      <w:r>
        <w:rPr>
          <w:spacing w:val="-9"/>
          <w:sz w:val="18"/>
          <w:vertAlign w:val="baseline"/>
        </w:rPr>
        <w:t> </w:t>
      </w:r>
      <w:hyperlink r:id="rId80">
        <w:r>
          <w:rPr>
            <w:sz w:val="18"/>
            <w:vertAlign w:val="baseline"/>
          </w:rPr>
          <w:t>Rank, Mark and Hirschl, Tom, “America’s Poor Are Worse Off Than Elsewhere,” Confronting Poverty, School of Social Work,</w:t>
        </w:r>
      </w:hyperlink>
      <w:r>
        <w:rPr>
          <w:sz w:val="18"/>
          <w:vertAlign w:val="baseline"/>
        </w:rPr>
        <w:t> </w:t>
      </w:r>
      <w:hyperlink r:id="rId80">
        <w:r>
          <w:rPr>
            <w:sz w:val="18"/>
            <w:vertAlign w:val="baseline"/>
          </w:rPr>
          <w:t>Washington</w:t>
        </w:r>
        <w:r>
          <w:rPr>
            <w:spacing w:val="-6"/>
            <w:sz w:val="18"/>
            <w:vertAlign w:val="baseline"/>
          </w:rPr>
          <w:t> </w:t>
        </w:r>
        <w:r>
          <w:rPr>
            <w:sz w:val="18"/>
            <w:vertAlign w:val="baseline"/>
          </w:rPr>
          <w:t>University</w:t>
        </w:r>
        <w:r>
          <w:rPr>
            <w:spacing w:val="-6"/>
            <w:sz w:val="18"/>
            <w:vertAlign w:val="baseline"/>
          </w:rPr>
          <w:t> </w:t>
        </w:r>
        <w:r>
          <w:rPr>
            <w:sz w:val="18"/>
            <w:vertAlign w:val="baseline"/>
          </w:rPr>
          <w:t>of</w:t>
        </w:r>
        <w:r>
          <w:rPr>
            <w:spacing w:val="-6"/>
            <w:sz w:val="18"/>
            <w:vertAlign w:val="baseline"/>
          </w:rPr>
          <w:t> </w:t>
        </w:r>
        <w:r>
          <w:rPr>
            <w:sz w:val="18"/>
            <w:vertAlign w:val="baseline"/>
          </w:rPr>
          <w:t>Saint</w:t>
        </w:r>
        <w:r>
          <w:rPr>
            <w:spacing w:val="-7"/>
            <w:sz w:val="18"/>
            <w:vertAlign w:val="baseline"/>
          </w:rPr>
          <w:t> </w:t>
        </w:r>
        <w:r>
          <w:rPr>
            <w:sz w:val="18"/>
            <w:vertAlign w:val="baseline"/>
          </w:rPr>
          <w:t>Louis,</w:t>
        </w:r>
        <w:r>
          <w:rPr>
            <w:spacing w:val="-7"/>
            <w:sz w:val="18"/>
            <w:vertAlign w:val="baseline"/>
          </w:rPr>
          <w:t> </w:t>
        </w:r>
        <w:r>
          <w:rPr>
            <w:sz w:val="18"/>
            <w:vertAlign w:val="baseline"/>
          </w:rPr>
          <w:t>2023,</w:t>
        </w:r>
        <w:r>
          <w:rPr>
            <w:spacing w:val="-7"/>
            <w:sz w:val="18"/>
            <w:vertAlign w:val="baseline"/>
          </w:rPr>
          <w:t> </w:t>
        </w:r>
        <w:r>
          <w:rPr>
            <w:sz w:val="18"/>
            <w:vertAlign w:val="baseline"/>
          </w:rPr>
          <w:t>https://confrontingpoverty.org/poverty-facts-and-myths/americas-poor-are-worse-</w:t>
        </w:r>
      </w:hyperlink>
      <w:r>
        <w:rPr>
          <w:sz w:val="18"/>
          <w:vertAlign w:val="baseline"/>
        </w:rPr>
        <w:t> </w:t>
      </w:r>
      <w:bookmarkStart w:name="_bookmark24" w:id="120"/>
      <w:bookmarkEnd w:id="120"/>
      <w:r>
        <w:rPr>
          <w:sz w:val="18"/>
          <w:vertAlign w:val="baseline"/>
        </w:rPr>
      </w:r>
      <w:hyperlink r:id="rId80">
        <w:r>
          <w:rPr>
            <w:spacing w:val="-2"/>
            <w:sz w:val="18"/>
            <w:vertAlign w:val="baseline"/>
          </w:rPr>
          <w:t>off-than-elsewhere/.</w:t>
        </w:r>
      </w:hyperlink>
    </w:p>
    <w:p>
      <w:pPr>
        <w:spacing w:before="0"/>
        <w:ind w:left="463" w:right="289" w:hanging="1"/>
        <w:jc w:val="left"/>
        <w:rPr>
          <w:sz w:val="18"/>
        </w:rPr>
      </w:pPr>
      <w:r>
        <w:rPr>
          <w:sz w:val="18"/>
          <w:vertAlign w:val="superscript"/>
        </w:rPr>
        <w:t>16</w:t>
      </w:r>
      <w:r>
        <w:rPr>
          <w:spacing w:val="-13"/>
          <w:sz w:val="18"/>
          <w:vertAlign w:val="baseline"/>
        </w:rPr>
        <w:t> </w:t>
      </w:r>
      <w:hyperlink r:id="rId81">
        <w:r>
          <w:rPr>
            <w:sz w:val="18"/>
            <w:vertAlign w:val="baseline"/>
          </w:rPr>
          <w:t>US</w:t>
        </w:r>
        <w:r>
          <w:rPr>
            <w:spacing w:val="-3"/>
            <w:sz w:val="18"/>
            <w:vertAlign w:val="baseline"/>
          </w:rPr>
          <w:t> </w:t>
        </w:r>
        <w:r>
          <w:rPr>
            <w:sz w:val="18"/>
            <w:vertAlign w:val="baseline"/>
          </w:rPr>
          <w:t>Census</w:t>
        </w:r>
        <w:r>
          <w:rPr>
            <w:spacing w:val="-3"/>
            <w:sz w:val="18"/>
            <w:vertAlign w:val="baseline"/>
          </w:rPr>
          <w:t> </w:t>
        </w:r>
        <w:r>
          <w:rPr>
            <w:sz w:val="18"/>
            <w:vertAlign w:val="baseline"/>
          </w:rPr>
          <w:t>Bureau,</w:t>
        </w:r>
        <w:r>
          <w:rPr>
            <w:spacing w:val="-3"/>
            <w:sz w:val="18"/>
            <w:vertAlign w:val="baseline"/>
          </w:rPr>
          <w:t> </w:t>
        </w:r>
        <w:r>
          <w:rPr>
            <w:sz w:val="18"/>
            <w:vertAlign w:val="baseline"/>
          </w:rPr>
          <w:t>“Poverty</w:t>
        </w:r>
        <w:r>
          <w:rPr>
            <w:spacing w:val="-2"/>
            <w:sz w:val="18"/>
            <w:vertAlign w:val="baseline"/>
          </w:rPr>
          <w:t> </w:t>
        </w:r>
        <w:r>
          <w:rPr>
            <w:sz w:val="18"/>
            <w:vertAlign w:val="baseline"/>
          </w:rPr>
          <w:t>Rate</w:t>
        </w:r>
        <w:r>
          <w:rPr>
            <w:spacing w:val="-2"/>
            <w:sz w:val="18"/>
            <w:vertAlign w:val="baseline"/>
          </w:rPr>
          <w:t> </w:t>
        </w:r>
        <w:r>
          <w:rPr>
            <w:sz w:val="18"/>
            <w:vertAlign w:val="baseline"/>
          </w:rPr>
          <w:t>of</w:t>
        </w:r>
        <w:r>
          <w:rPr>
            <w:spacing w:val="-2"/>
            <w:sz w:val="18"/>
            <w:vertAlign w:val="baseline"/>
          </w:rPr>
          <w:t> </w:t>
        </w:r>
        <w:r>
          <w:rPr>
            <w:sz w:val="18"/>
            <w:vertAlign w:val="baseline"/>
          </w:rPr>
          <w:t>Children</w:t>
        </w:r>
        <w:r>
          <w:rPr>
            <w:spacing w:val="-2"/>
            <w:sz w:val="18"/>
            <w:vertAlign w:val="baseline"/>
          </w:rPr>
          <w:t> </w:t>
        </w:r>
        <w:r>
          <w:rPr>
            <w:sz w:val="18"/>
            <w:vertAlign w:val="baseline"/>
          </w:rPr>
          <w:t>Higher</w:t>
        </w:r>
        <w:r>
          <w:rPr>
            <w:spacing w:val="-3"/>
            <w:sz w:val="18"/>
            <w:vertAlign w:val="baseline"/>
          </w:rPr>
          <w:t> </w:t>
        </w:r>
        <w:r>
          <w:rPr>
            <w:sz w:val="18"/>
            <w:vertAlign w:val="baseline"/>
          </w:rPr>
          <w:t>Than</w:t>
        </w:r>
        <w:r>
          <w:rPr>
            <w:spacing w:val="-2"/>
            <w:sz w:val="18"/>
            <w:vertAlign w:val="baseline"/>
          </w:rPr>
          <w:t> </w:t>
        </w:r>
        <w:r>
          <w:rPr>
            <w:sz w:val="18"/>
            <w:vertAlign w:val="baseline"/>
          </w:rPr>
          <w:t>National</w:t>
        </w:r>
        <w:r>
          <w:rPr>
            <w:spacing w:val="-3"/>
            <w:sz w:val="18"/>
            <w:vertAlign w:val="baseline"/>
          </w:rPr>
          <w:t> </w:t>
        </w:r>
        <w:r>
          <w:rPr>
            <w:sz w:val="18"/>
            <w:vertAlign w:val="baseline"/>
          </w:rPr>
          <w:t>Rate,</w:t>
        </w:r>
        <w:r>
          <w:rPr>
            <w:spacing w:val="-3"/>
            <w:sz w:val="18"/>
            <w:vertAlign w:val="baseline"/>
          </w:rPr>
          <w:t> </w:t>
        </w:r>
        <w:r>
          <w:rPr>
            <w:sz w:val="18"/>
            <w:vertAlign w:val="baseline"/>
          </w:rPr>
          <w:t>Lower</w:t>
        </w:r>
        <w:r>
          <w:rPr>
            <w:spacing w:val="-2"/>
            <w:sz w:val="18"/>
            <w:vertAlign w:val="baseline"/>
          </w:rPr>
          <w:t> </w:t>
        </w:r>
        <w:r>
          <w:rPr>
            <w:sz w:val="18"/>
            <w:vertAlign w:val="baseline"/>
          </w:rPr>
          <w:t>for</w:t>
        </w:r>
        <w:r>
          <w:rPr>
            <w:spacing w:val="-3"/>
            <w:sz w:val="18"/>
            <w:vertAlign w:val="baseline"/>
          </w:rPr>
          <w:t> </w:t>
        </w:r>
        <w:r>
          <w:rPr>
            <w:sz w:val="18"/>
            <w:vertAlign w:val="baseline"/>
          </w:rPr>
          <w:t>Older</w:t>
        </w:r>
        <w:r>
          <w:rPr>
            <w:spacing w:val="-3"/>
            <w:sz w:val="18"/>
            <w:vertAlign w:val="baseline"/>
          </w:rPr>
          <w:t> </w:t>
        </w:r>
        <w:r>
          <w:rPr>
            <w:sz w:val="18"/>
            <w:vertAlign w:val="baseline"/>
          </w:rPr>
          <w:t>Populations,”</w:t>
        </w:r>
      </w:hyperlink>
      <w:r>
        <w:rPr>
          <w:spacing w:val="-2"/>
          <w:sz w:val="18"/>
          <w:vertAlign w:val="baseline"/>
        </w:rPr>
        <w:t> </w:t>
      </w:r>
      <w:hyperlink r:id="rId81">
        <w:r>
          <w:rPr>
            <w:i/>
            <w:sz w:val="18"/>
            <w:vertAlign w:val="baseline"/>
          </w:rPr>
          <w:t>Census.Gov</w:t>
        </w:r>
      </w:hyperlink>
      <w:hyperlink r:id="rId81">
        <w:r>
          <w:rPr>
            <w:sz w:val="18"/>
            <w:vertAlign w:val="baseline"/>
          </w:rPr>
          <w:t>,</w:t>
        </w:r>
        <w:r>
          <w:rPr>
            <w:spacing w:val="-3"/>
            <w:sz w:val="18"/>
            <w:vertAlign w:val="baseline"/>
          </w:rPr>
          <w:t> </w:t>
        </w:r>
        <w:r>
          <w:rPr>
            <w:sz w:val="18"/>
            <w:vertAlign w:val="baseline"/>
          </w:rPr>
          <w:t>October</w:t>
        </w:r>
      </w:hyperlink>
      <w:r>
        <w:rPr>
          <w:sz w:val="18"/>
          <w:vertAlign w:val="baseline"/>
        </w:rPr>
        <w:t> </w:t>
      </w:r>
      <w:bookmarkStart w:name="_bookmark25" w:id="121"/>
      <w:bookmarkEnd w:id="121"/>
      <w:r>
        <w:rPr>
          <w:sz w:val="18"/>
          <w:vertAlign w:val="baseline"/>
        </w:rPr>
      </w:r>
      <w:hyperlink r:id="rId81">
        <w:r>
          <w:rPr>
            <w:sz w:val="18"/>
            <w:vertAlign w:val="baseline"/>
          </w:rPr>
          <w:t>2022,</w:t>
        </w:r>
        <w:r>
          <w:rPr>
            <w:spacing w:val="-2"/>
            <w:sz w:val="18"/>
            <w:vertAlign w:val="baseline"/>
          </w:rPr>
          <w:t> </w:t>
        </w:r>
        <w:r>
          <w:rPr>
            <w:sz w:val="18"/>
            <w:vertAlign w:val="baseline"/>
          </w:rPr>
          <w:t>https://www.census.gov/library/stories/2022/10/poverty-rate-varies-by-age-groups.html.</w:t>
        </w:r>
      </w:hyperlink>
    </w:p>
    <w:p>
      <w:pPr>
        <w:spacing w:before="0"/>
        <w:ind w:left="463" w:right="320" w:hanging="1"/>
        <w:jc w:val="left"/>
        <w:rPr>
          <w:sz w:val="18"/>
        </w:rPr>
      </w:pPr>
      <w:r>
        <w:rPr>
          <w:sz w:val="18"/>
          <w:vertAlign w:val="superscript"/>
        </w:rPr>
        <w:t>17</w:t>
      </w:r>
      <w:r>
        <w:rPr>
          <w:spacing w:val="-13"/>
          <w:sz w:val="18"/>
          <w:vertAlign w:val="baseline"/>
        </w:rPr>
        <w:t> </w:t>
      </w:r>
      <w:hyperlink r:id="rId82">
        <w:r>
          <w:rPr>
            <w:sz w:val="18"/>
            <w:vertAlign w:val="baseline"/>
          </w:rPr>
          <w:t>Anne</w:t>
        </w:r>
        <w:r>
          <w:rPr>
            <w:spacing w:val="-3"/>
            <w:sz w:val="18"/>
            <w:vertAlign w:val="baseline"/>
          </w:rPr>
          <w:t> </w:t>
        </w:r>
        <w:r>
          <w:rPr>
            <w:sz w:val="18"/>
            <w:vertAlign w:val="baseline"/>
          </w:rPr>
          <w:t>Calef,</w:t>
        </w:r>
        <w:r>
          <w:rPr>
            <w:spacing w:val="-3"/>
            <w:sz w:val="18"/>
            <w:vertAlign w:val="baseline"/>
          </w:rPr>
          <w:t> </w:t>
        </w:r>
        <w:r>
          <w:rPr>
            <w:sz w:val="18"/>
            <w:vertAlign w:val="baseline"/>
          </w:rPr>
          <w:t>“Massachusetts</w:t>
        </w:r>
        <w:r>
          <w:rPr>
            <w:spacing w:val="-2"/>
            <w:sz w:val="18"/>
            <w:vertAlign w:val="baseline"/>
          </w:rPr>
          <w:t> </w:t>
        </w:r>
        <w:r>
          <w:rPr>
            <w:sz w:val="18"/>
            <w:vertAlign w:val="baseline"/>
          </w:rPr>
          <w:t>Shows</w:t>
        </w:r>
        <w:r>
          <w:rPr>
            <w:spacing w:val="-2"/>
            <w:sz w:val="18"/>
            <w:vertAlign w:val="baseline"/>
          </w:rPr>
          <w:t> </w:t>
        </w:r>
        <w:r>
          <w:rPr>
            <w:sz w:val="18"/>
            <w:vertAlign w:val="baseline"/>
          </w:rPr>
          <w:t>Progress</w:t>
        </w:r>
        <w:r>
          <w:rPr>
            <w:spacing w:val="-2"/>
            <w:sz w:val="18"/>
            <w:vertAlign w:val="baseline"/>
          </w:rPr>
          <w:t> </w:t>
        </w:r>
        <w:r>
          <w:rPr>
            <w:sz w:val="18"/>
            <w:vertAlign w:val="baseline"/>
          </w:rPr>
          <w:t>on</w:t>
        </w:r>
        <w:r>
          <w:rPr>
            <w:spacing w:val="-2"/>
            <w:sz w:val="18"/>
            <w:vertAlign w:val="baseline"/>
          </w:rPr>
          <w:t> </w:t>
        </w:r>
        <w:r>
          <w:rPr>
            <w:sz w:val="18"/>
            <w:vertAlign w:val="baseline"/>
          </w:rPr>
          <w:t>Poverty,</w:t>
        </w:r>
        <w:r>
          <w:rPr>
            <w:spacing w:val="-3"/>
            <w:sz w:val="18"/>
            <w:vertAlign w:val="baseline"/>
          </w:rPr>
          <w:t> </w:t>
        </w:r>
        <w:r>
          <w:rPr>
            <w:sz w:val="18"/>
            <w:vertAlign w:val="baseline"/>
          </w:rPr>
          <w:t>but</w:t>
        </w:r>
        <w:r>
          <w:rPr>
            <w:spacing w:val="-3"/>
            <w:sz w:val="18"/>
            <w:vertAlign w:val="baseline"/>
          </w:rPr>
          <w:t> </w:t>
        </w:r>
        <w:r>
          <w:rPr>
            <w:sz w:val="18"/>
            <w:vertAlign w:val="baseline"/>
          </w:rPr>
          <w:t>Remains</w:t>
        </w:r>
        <w:r>
          <w:rPr>
            <w:spacing w:val="-2"/>
            <w:sz w:val="18"/>
            <w:vertAlign w:val="baseline"/>
          </w:rPr>
          <w:t> </w:t>
        </w:r>
        <w:r>
          <w:rPr>
            <w:sz w:val="18"/>
            <w:vertAlign w:val="baseline"/>
          </w:rPr>
          <w:t>Worse</w:t>
        </w:r>
        <w:r>
          <w:rPr>
            <w:spacing w:val="-2"/>
            <w:sz w:val="18"/>
            <w:vertAlign w:val="baseline"/>
          </w:rPr>
          <w:t> </w:t>
        </w:r>
        <w:r>
          <w:rPr>
            <w:sz w:val="18"/>
            <w:vertAlign w:val="baseline"/>
          </w:rPr>
          <w:t>than</w:t>
        </w:r>
        <w:r>
          <w:rPr>
            <w:spacing w:val="-2"/>
            <w:sz w:val="18"/>
            <w:vertAlign w:val="baseline"/>
          </w:rPr>
          <w:t> </w:t>
        </w:r>
        <w:r>
          <w:rPr>
            <w:sz w:val="18"/>
            <w:vertAlign w:val="baseline"/>
          </w:rPr>
          <w:t>21</w:t>
        </w:r>
        <w:r>
          <w:rPr>
            <w:spacing w:val="-2"/>
            <w:sz w:val="18"/>
            <w:vertAlign w:val="baseline"/>
          </w:rPr>
          <w:t> </w:t>
        </w:r>
        <w:r>
          <w:rPr>
            <w:sz w:val="18"/>
            <w:vertAlign w:val="baseline"/>
          </w:rPr>
          <w:t>Other</w:t>
        </w:r>
        <w:r>
          <w:rPr>
            <w:spacing w:val="-3"/>
            <w:sz w:val="18"/>
            <w:vertAlign w:val="baseline"/>
          </w:rPr>
          <w:t> </w:t>
        </w:r>
        <w:r>
          <w:rPr>
            <w:sz w:val="18"/>
            <w:vertAlign w:val="baseline"/>
          </w:rPr>
          <w:t>States</w:t>
        </w:r>
        <w:r>
          <w:rPr>
            <w:spacing w:val="-2"/>
            <w:sz w:val="18"/>
            <w:vertAlign w:val="baseline"/>
          </w:rPr>
          <w:t> </w:t>
        </w:r>
        <w:r>
          <w:rPr>
            <w:sz w:val="18"/>
            <w:vertAlign w:val="baseline"/>
          </w:rPr>
          <w:t>Due</w:t>
        </w:r>
        <w:r>
          <w:rPr>
            <w:spacing w:val="-2"/>
            <w:sz w:val="18"/>
            <w:vertAlign w:val="baseline"/>
          </w:rPr>
          <w:t> </w:t>
        </w:r>
        <w:r>
          <w:rPr>
            <w:sz w:val="18"/>
            <w:vertAlign w:val="baseline"/>
          </w:rPr>
          <w:t>to</w:t>
        </w:r>
        <w:r>
          <w:rPr>
            <w:spacing w:val="-2"/>
            <w:sz w:val="18"/>
            <w:vertAlign w:val="baseline"/>
          </w:rPr>
          <w:t> </w:t>
        </w:r>
        <w:r>
          <w:rPr>
            <w:sz w:val="18"/>
            <w:vertAlign w:val="baseline"/>
          </w:rPr>
          <w:t>High</w:t>
        </w:r>
        <w:r>
          <w:rPr>
            <w:spacing w:val="-3"/>
            <w:sz w:val="18"/>
            <w:vertAlign w:val="baseline"/>
          </w:rPr>
          <w:t> </w:t>
        </w:r>
        <w:r>
          <w:rPr>
            <w:sz w:val="18"/>
            <w:vertAlign w:val="baseline"/>
          </w:rPr>
          <w:t>Cost</w:t>
        </w:r>
        <w:r>
          <w:rPr>
            <w:spacing w:val="-3"/>
            <w:sz w:val="18"/>
            <w:vertAlign w:val="baseline"/>
          </w:rPr>
          <w:t> </w:t>
        </w:r>
        <w:r>
          <w:rPr>
            <w:sz w:val="18"/>
            <w:vertAlign w:val="baseline"/>
          </w:rPr>
          <w:t>of</w:t>
        </w:r>
        <w:r>
          <w:rPr>
            <w:spacing w:val="-2"/>
            <w:sz w:val="18"/>
            <w:vertAlign w:val="baseline"/>
          </w:rPr>
          <w:t> </w:t>
        </w:r>
        <w:r>
          <w:rPr>
            <w:sz w:val="18"/>
            <w:vertAlign w:val="baseline"/>
          </w:rPr>
          <w:t>Living,”</w:t>
        </w:r>
      </w:hyperlink>
      <w:r>
        <w:rPr>
          <w:sz w:val="18"/>
          <w:vertAlign w:val="baseline"/>
        </w:rPr>
        <w:t> </w:t>
      </w:r>
      <w:hyperlink r:id="rId82">
        <w:r>
          <w:rPr>
            <w:i/>
            <w:sz w:val="18"/>
            <w:vertAlign w:val="baseline"/>
          </w:rPr>
          <w:t>Boston Indicators</w:t>
        </w:r>
      </w:hyperlink>
      <w:hyperlink r:id="rId82">
        <w:r>
          <w:rPr>
            <w:sz w:val="18"/>
            <w:vertAlign w:val="baseline"/>
          </w:rPr>
          <w:t>, September 21, 2022, https://www.bostonindicators.org/article-pages/2022/september/supplemental-</w:t>
        </w:r>
      </w:hyperlink>
      <w:r>
        <w:rPr>
          <w:sz w:val="18"/>
          <w:vertAlign w:val="baseline"/>
        </w:rPr>
        <w:t> </w:t>
      </w:r>
      <w:bookmarkStart w:name="_bookmark26" w:id="122"/>
      <w:bookmarkEnd w:id="122"/>
      <w:r>
        <w:rPr>
          <w:sz w:val="18"/>
          <w:vertAlign w:val="baseline"/>
        </w:rPr>
      </w:r>
      <w:hyperlink r:id="rId82">
        <w:r>
          <w:rPr>
            <w:spacing w:val="-2"/>
            <w:sz w:val="18"/>
            <w:vertAlign w:val="baseline"/>
          </w:rPr>
          <w:t>poverty-measure-2022.</w:t>
        </w:r>
      </w:hyperlink>
    </w:p>
    <w:p>
      <w:pPr>
        <w:spacing w:before="0"/>
        <w:ind w:left="463" w:right="450" w:hanging="1"/>
        <w:jc w:val="left"/>
        <w:rPr>
          <w:sz w:val="18"/>
        </w:rPr>
      </w:pPr>
      <w:r>
        <w:rPr>
          <w:sz w:val="18"/>
          <w:vertAlign w:val="superscript"/>
        </w:rPr>
        <w:t>18</w:t>
      </w:r>
      <w:r>
        <w:rPr>
          <w:spacing w:val="-13"/>
          <w:sz w:val="18"/>
          <w:vertAlign w:val="baseline"/>
        </w:rPr>
        <w:t> </w:t>
      </w:r>
      <w:hyperlink r:id="rId83">
        <w:r>
          <w:rPr>
            <w:sz w:val="18"/>
            <w:vertAlign w:val="baseline"/>
          </w:rPr>
          <w:t>Andrew</w:t>
        </w:r>
        <w:r>
          <w:rPr>
            <w:spacing w:val="-4"/>
            <w:sz w:val="18"/>
            <w:vertAlign w:val="baseline"/>
          </w:rPr>
          <w:t> </w:t>
        </w:r>
        <w:r>
          <w:rPr>
            <w:sz w:val="18"/>
            <w:vertAlign w:val="baseline"/>
          </w:rPr>
          <w:t>R.</w:t>
        </w:r>
        <w:r>
          <w:rPr>
            <w:spacing w:val="-2"/>
            <w:sz w:val="18"/>
            <w:vertAlign w:val="baseline"/>
          </w:rPr>
          <w:t> </w:t>
        </w:r>
        <w:r>
          <w:rPr>
            <w:sz w:val="18"/>
            <w:vertAlign w:val="baseline"/>
          </w:rPr>
          <w:t>Flores,</w:t>
        </w:r>
        <w:r>
          <w:rPr>
            <w:spacing w:val="-3"/>
            <w:sz w:val="18"/>
            <w:vertAlign w:val="baseline"/>
          </w:rPr>
          <w:t> </w:t>
        </w:r>
        <w:r>
          <w:rPr>
            <w:sz w:val="18"/>
            <w:vertAlign w:val="baseline"/>
          </w:rPr>
          <w:t>“Social</w:t>
        </w:r>
        <w:r>
          <w:rPr>
            <w:spacing w:val="-3"/>
            <w:sz w:val="18"/>
            <w:vertAlign w:val="baseline"/>
          </w:rPr>
          <w:t> </w:t>
        </w:r>
        <w:r>
          <w:rPr>
            <w:sz w:val="18"/>
            <w:vertAlign w:val="baseline"/>
          </w:rPr>
          <w:t>Acceptance</w:t>
        </w:r>
        <w:r>
          <w:rPr>
            <w:spacing w:val="-2"/>
            <w:sz w:val="18"/>
            <w:vertAlign w:val="baseline"/>
          </w:rPr>
          <w:t> </w:t>
        </w:r>
        <w:r>
          <w:rPr>
            <w:sz w:val="18"/>
            <w:vertAlign w:val="baseline"/>
          </w:rPr>
          <w:t>of</w:t>
        </w:r>
        <w:r>
          <w:rPr>
            <w:spacing w:val="-2"/>
            <w:sz w:val="18"/>
            <w:vertAlign w:val="baseline"/>
          </w:rPr>
          <w:t> </w:t>
        </w:r>
        <w:r>
          <w:rPr>
            <w:sz w:val="18"/>
            <w:vertAlign w:val="baseline"/>
          </w:rPr>
          <w:t>LGBTI</w:t>
        </w:r>
        <w:r>
          <w:rPr>
            <w:spacing w:val="-3"/>
            <w:sz w:val="18"/>
            <w:vertAlign w:val="baseline"/>
          </w:rPr>
          <w:t> </w:t>
        </w:r>
        <w:r>
          <w:rPr>
            <w:sz w:val="18"/>
            <w:vertAlign w:val="baseline"/>
          </w:rPr>
          <w:t>People</w:t>
        </w:r>
        <w:r>
          <w:rPr>
            <w:spacing w:val="-2"/>
            <w:sz w:val="18"/>
            <w:vertAlign w:val="baseline"/>
          </w:rPr>
          <w:t> </w:t>
        </w:r>
        <w:r>
          <w:rPr>
            <w:sz w:val="18"/>
            <w:vertAlign w:val="baseline"/>
          </w:rPr>
          <w:t>in</w:t>
        </w:r>
        <w:r>
          <w:rPr>
            <w:spacing w:val="-2"/>
            <w:sz w:val="18"/>
            <w:vertAlign w:val="baseline"/>
          </w:rPr>
          <w:t> </w:t>
        </w:r>
        <w:r>
          <w:rPr>
            <w:sz w:val="18"/>
            <w:vertAlign w:val="baseline"/>
          </w:rPr>
          <w:t>175</w:t>
        </w:r>
        <w:r>
          <w:rPr>
            <w:spacing w:val="-2"/>
            <w:sz w:val="18"/>
            <w:vertAlign w:val="baseline"/>
          </w:rPr>
          <w:t> </w:t>
        </w:r>
        <w:r>
          <w:rPr>
            <w:sz w:val="18"/>
            <w:vertAlign w:val="baseline"/>
          </w:rPr>
          <w:t>Countries</w:t>
        </w:r>
        <w:r>
          <w:rPr>
            <w:spacing w:val="-2"/>
            <w:sz w:val="18"/>
            <w:vertAlign w:val="baseline"/>
          </w:rPr>
          <w:t> </w:t>
        </w:r>
        <w:r>
          <w:rPr>
            <w:sz w:val="18"/>
            <w:vertAlign w:val="baseline"/>
          </w:rPr>
          <w:t>and</w:t>
        </w:r>
        <w:r>
          <w:rPr>
            <w:spacing w:val="-2"/>
            <w:sz w:val="18"/>
            <w:vertAlign w:val="baseline"/>
          </w:rPr>
          <w:t> </w:t>
        </w:r>
        <w:r>
          <w:rPr>
            <w:sz w:val="18"/>
            <w:vertAlign w:val="baseline"/>
          </w:rPr>
          <w:t>Locations”</w:t>
        </w:r>
        <w:r>
          <w:rPr>
            <w:spacing w:val="-2"/>
            <w:sz w:val="18"/>
            <w:vertAlign w:val="baseline"/>
          </w:rPr>
          <w:t> </w:t>
        </w:r>
        <w:r>
          <w:rPr>
            <w:sz w:val="18"/>
            <w:vertAlign w:val="baseline"/>
          </w:rPr>
          <w:t>(Williams</w:t>
        </w:r>
        <w:r>
          <w:rPr>
            <w:spacing w:val="-2"/>
            <w:sz w:val="18"/>
            <w:vertAlign w:val="baseline"/>
          </w:rPr>
          <w:t> </w:t>
        </w:r>
        <w:r>
          <w:rPr>
            <w:sz w:val="18"/>
            <w:vertAlign w:val="baseline"/>
          </w:rPr>
          <w:t>Institute:</w:t>
        </w:r>
        <w:r>
          <w:rPr>
            <w:spacing w:val="-2"/>
            <w:sz w:val="18"/>
            <w:vertAlign w:val="baseline"/>
          </w:rPr>
          <w:t> </w:t>
        </w:r>
        <w:r>
          <w:rPr>
            <w:sz w:val="18"/>
            <w:vertAlign w:val="baseline"/>
          </w:rPr>
          <w:t>UCLA</w:t>
        </w:r>
        <w:r>
          <w:rPr>
            <w:spacing w:val="-2"/>
            <w:sz w:val="18"/>
            <w:vertAlign w:val="baseline"/>
          </w:rPr>
          <w:t> </w:t>
        </w:r>
        <w:r>
          <w:rPr>
            <w:sz w:val="18"/>
            <w:vertAlign w:val="baseline"/>
          </w:rPr>
          <w:t>School</w:t>
        </w:r>
        <w:r>
          <w:rPr>
            <w:spacing w:val="-3"/>
            <w:sz w:val="18"/>
            <w:vertAlign w:val="baseline"/>
          </w:rPr>
          <w:t> </w:t>
        </w:r>
        <w:r>
          <w:rPr>
            <w:sz w:val="18"/>
            <w:vertAlign w:val="baseline"/>
          </w:rPr>
          <w:t>of</w:t>
        </w:r>
      </w:hyperlink>
      <w:r>
        <w:rPr>
          <w:sz w:val="18"/>
          <w:vertAlign w:val="baseline"/>
        </w:rPr>
        <w:t> </w:t>
      </w:r>
      <w:hyperlink r:id="rId83">
        <w:r>
          <w:rPr>
            <w:sz w:val="18"/>
            <w:vertAlign w:val="baseline"/>
          </w:rPr>
          <w:t>Law, November 2021), https://williamsinstitute.law.ucla.edu/publications/global-acceptance-index-lgbt/.</w:t>
        </w:r>
      </w:hyperlink>
    </w:p>
    <w:p>
      <w:pPr>
        <w:spacing w:after="0"/>
        <w:jc w:val="left"/>
        <w:rPr>
          <w:sz w:val="18"/>
        </w:rPr>
        <w:sectPr>
          <w:pgSz w:w="12240" w:h="15840"/>
          <w:pgMar w:header="804" w:footer="1263" w:top="1000" w:bottom="1460" w:left="980" w:right="1160"/>
        </w:sectPr>
      </w:pPr>
    </w:p>
    <w:p>
      <w:pPr>
        <w:spacing w:before="138"/>
        <w:ind w:left="463" w:right="296" w:hanging="1"/>
        <w:jc w:val="left"/>
        <w:rPr>
          <w:sz w:val="18"/>
        </w:rPr>
      </w:pPr>
      <w:bookmarkStart w:name="_bookmark27" w:id="123"/>
      <w:bookmarkEnd w:id="123"/>
      <w:r>
        <w:rPr/>
      </w:r>
      <w:r>
        <w:rPr>
          <w:sz w:val="18"/>
          <w:vertAlign w:val="superscript"/>
        </w:rPr>
        <w:t>19</w:t>
      </w:r>
      <w:r>
        <w:rPr>
          <w:spacing w:val="-13"/>
          <w:sz w:val="18"/>
          <w:vertAlign w:val="baseline"/>
        </w:rPr>
        <w:t> </w:t>
      </w:r>
      <w:hyperlink r:id="rId84">
        <w:r>
          <w:rPr>
            <w:sz w:val="18"/>
            <w:vertAlign w:val="baseline"/>
          </w:rPr>
          <w:t>M.V.</w:t>
        </w:r>
        <w:r>
          <w:rPr>
            <w:spacing w:val="-4"/>
            <w:sz w:val="18"/>
            <w:vertAlign w:val="baseline"/>
          </w:rPr>
          <w:t> </w:t>
        </w:r>
        <w:r>
          <w:rPr>
            <w:sz w:val="18"/>
            <w:vertAlign w:val="baseline"/>
          </w:rPr>
          <w:t>Lee</w:t>
        </w:r>
        <w:r>
          <w:rPr>
            <w:spacing w:val="-2"/>
            <w:sz w:val="18"/>
            <w:vertAlign w:val="baseline"/>
          </w:rPr>
          <w:t> </w:t>
        </w:r>
        <w:r>
          <w:rPr>
            <w:sz w:val="18"/>
            <w:vertAlign w:val="baseline"/>
          </w:rPr>
          <w:t>Badgett,</w:t>
        </w:r>
        <w:r>
          <w:rPr>
            <w:spacing w:val="-3"/>
            <w:sz w:val="18"/>
            <w:vertAlign w:val="baseline"/>
          </w:rPr>
          <w:t> </w:t>
        </w:r>
        <w:r>
          <w:rPr>
            <w:sz w:val="18"/>
            <w:vertAlign w:val="baseline"/>
          </w:rPr>
          <w:t>Kees</w:t>
        </w:r>
        <w:r>
          <w:rPr>
            <w:spacing w:val="-2"/>
            <w:sz w:val="18"/>
            <w:vertAlign w:val="baseline"/>
          </w:rPr>
          <w:t> </w:t>
        </w:r>
        <w:r>
          <w:rPr>
            <w:sz w:val="18"/>
            <w:vertAlign w:val="baseline"/>
          </w:rPr>
          <w:t>Waaldijk,</w:t>
        </w:r>
        <w:r>
          <w:rPr>
            <w:spacing w:val="-3"/>
            <w:sz w:val="18"/>
            <w:vertAlign w:val="baseline"/>
          </w:rPr>
          <w:t> </w:t>
        </w:r>
        <w:r>
          <w:rPr>
            <w:sz w:val="18"/>
            <w:vertAlign w:val="baseline"/>
          </w:rPr>
          <w:t>and</w:t>
        </w:r>
        <w:r>
          <w:rPr>
            <w:spacing w:val="-2"/>
            <w:sz w:val="18"/>
            <w:vertAlign w:val="baseline"/>
          </w:rPr>
          <w:t> </w:t>
        </w:r>
        <w:r>
          <w:rPr>
            <w:sz w:val="18"/>
            <w:vertAlign w:val="baseline"/>
          </w:rPr>
          <w:t>Yana</w:t>
        </w:r>
        <w:r>
          <w:rPr>
            <w:spacing w:val="-2"/>
            <w:sz w:val="18"/>
            <w:vertAlign w:val="baseline"/>
          </w:rPr>
          <w:t> </w:t>
        </w:r>
        <w:r>
          <w:rPr>
            <w:sz w:val="18"/>
            <w:vertAlign w:val="baseline"/>
          </w:rPr>
          <w:t>van</w:t>
        </w:r>
        <w:r>
          <w:rPr>
            <w:spacing w:val="-3"/>
            <w:sz w:val="18"/>
            <w:vertAlign w:val="baseline"/>
          </w:rPr>
          <w:t> </w:t>
        </w:r>
        <w:r>
          <w:rPr>
            <w:sz w:val="18"/>
            <w:vertAlign w:val="baseline"/>
          </w:rPr>
          <w:t>der</w:t>
        </w:r>
        <w:r>
          <w:rPr>
            <w:spacing w:val="-3"/>
            <w:sz w:val="18"/>
            <w:vertAlign w:val="baseline"/>
          </w:rPr>
          <w:t> </w:t>
        </w:r>
        <w:r>
          <w:rPr>
            <w:sz w:val="18"/>
            <w:vertAlign w:val="baseline"/>
          </w:rPr>
          <w:t>Meulen</w:t>
        </w:r>
        <w:r>
          <w:rPr>
            <w:spacing w:val="-2"/>
            <w:sz w:val="18"/>
            <w:vertAlign w:val="baseline"/>
          </w:rPr>
          <w:t> </w:t>
        </w:r>
        <w:r>
          <w:rPr>
            <w:sz w:val="18"/>
            <w:vertAlign w:val="baseline"/>
          </w:rPr>
          <w:t>Rodgers,</w:t>
        </w:r>
        <w:r>
          <w:rPr>
            <w:spacing w:val="-3"/>
            <w:sz w:val="18"/>
            <w:vertAlign w:val="baseline"/>
          </w:rPr>
          <w:t> </w:t>
        </w:r>
        <w:r>
          <w:rPr>
            <w:sz w:val="18"/>
            <w:vertAlign w:val="baseline"/>
          </w:rPr>
          <w:t>“The</w:t>
        </w:r>
        <w:r>
          <w:rPr>
            <w:spacing w:val="-2"/>
            <w:sz w:val="18"/>
            <w:vertAlign w:val="baseline"/>
          </w:rPr>
          <w:t> </w:t>
        </w:r>
        <w:r>
          <w:rPr>
            <w:sz w:val="18"/>
            <w:vertAlign w:val="baseline"/>
          </w:rPr>
          <w:t>Relationship</w:t>
        </w:r>
        <w:r>
          <w:rPr>
            <w:spacing w:val="-2"/>
            <w:sz w:val="18"/>
            <w:vertAlign w:val="baseline"/>
          </w:rPr>
          <w:t> </w:t>
        </w:r>
        <w:r>
          <w:rPr>
            <w:sz w:val="18"/>
            <w:vertAlign w:val="baseline"/>
          </w:rPr>
          <w:t>between</w:t>
        </w:r>
        <w:r>
          <w:rPr>
            <w:spacing w:val="-3"/>
            <w:sz w:val="18"/>
            <w:vertAlign w:val="baseline"/>
          </w:rPr>
          <w:t> </w:t>
        </w:r>
        <w:r>
          <w:rPr>
            <w:sz w:val="18"/>
            <w:vertAlign w:val="baseline"/>
          </w:rPr>
          <w:t>LGBT</w:t>
        </w:r>
        <w:r>
          <w:rPr>
            <w:spacing w:val="-2"/>
            <w:sz w:val="18"/>
            <w:vertAlign w:val="baseline"/>
          </w:rPr>
          <w:t> </w:t>
        </w:r>
        <w:r>
          <w:rPr>
            <w:sz w:val="18"/>
            <w:vertAlign w:val="baseline"/>
          </w:rPr>
          <w:t>Inclusion</w:t>
        </w:r>
        <w:r>
          <w:rPr>
            <w:spacing w:val="-2"/>
            <w:sz w:val="18"/>
            <w:vertAlign w:val="baseline"/>
          </w:rPr>
          <w:t> </w:t>
        </w:r>
        <w:r>
          <w:rPr>
            <w:sz w:val="18"/>
            <w:vertAlign w:val="baseline"/>
          </w:rPr>
          <w:t>and</w:t>
        </w:r>
        <w:r>
          <w:rPr>
            <w:spacing w:val="-2"/>
            <w:sz w:val="18"/>
            <w:vertAlign w:val="baseline"/>
          </w:rPr>
          <w:t> </w:t>
        </w:r>
        <w:r>
          <w:rPr>
            <w:sz w:val="18"/>
            <w:vertAlign w:val="baseline"/>
          </w:rPr>
          <w:t>Economic</w:t>
        </w:r>
      </w:hyperlink>
      <w:r>
        <w:rPr>
          <w:sz w:val="18"/>
          <w:vertAlign w:val="baseline"/>
        </w:rPr>
        <w:t> </w:t>
      </w:r>
      <w:hyperlink r:id="rId84">
        <w:r>
          <w:rPr>
            <w:sz w:val="18"/>
            <w:vertAlign w:val="baseline"/>
          </w:rPr>
          <w:t>Development” (Williams Institute: UCLA School of Law, August 2019), https://williamsinstitute.law.ucla.edu/publications/lgbt-</w:t>
        </w:r>
      </w:hyperlink>
      <w:r>
        <w:rPr>
          <w:sz w:val="18"/>
          <w:vertAlign w:val="baseline"/>
        </w:rPr>
        <w:t> </w:t>
      </w:r>
      <w:hyperlink r:id="rId84">
        <w:r>
          <w:rPr>
            <w:spacing w:val="-2"/>
            <w:sz w:val="18"/>
            <w:vertAlign w:val="baseline"/>
          </w:rPr>
          <w:t>inclusion-development/.</w:t>
        </w:r>
      </w:hyperlink>
    </w:p>
    <w:p>
      <w:pPr>
        <w:spacing w:before="0"/>
        <w:ind w:left="463" w:right="355" w:firstLine="0"/>
        <w:jc w:val="left"/>
        <w:rPr>
          <w:sz w:val="18"/>
        </w:rPr>
      </w:pPr>
      <w:bookmarkStart w:name="_bookmark28" w:id="124"/>
      <w:bookmarkEnd w:id="124"/>
      <w:r>
        <w:rPr/>
      </w:r>
      <w:r>
        <w:rPr>
          <w:sz w:val="18"/>
          <w:vertAlign w:val="superscript"/>
        </w:rPr>
        <w:t>20</w:t>
      </w:r>
      <w:r>
        <w:rPr>
          <w:spacing w:val="-13"/>
          <w:sz w:val="18"/>
          <w:vertAlign w:val="baseline"/>
        </w:rPr>
        <w:t> </w:t>
      </w:r>
      <w:hyperlink r:id="rId85">
        <w:r>
          <w:rPr>
            <w:sz w:val="18"/>
            <w:vertAlign w:val="baseline"/>
          </w:rPr>
          <w:t>American</w:t>
        </w:r>
        <w:r>
          <w:rPr>
            <w:spacing w:val="-4"/>
            <w:sz w:val="18"/>
            <w:vertAlign w:val="baseline"/>
          </w:rPr>
          <w:t> </w:t>
        </w:r>
        <w:r>
          <w:rPr>
            <w:sz w:val="18"/>
            <w:vertAlign w:val="baseline"/>
          </w:rPr>
          <w:t>Civil</w:t>
        </w:r>
        <w:r>
          <w:rPr>
            <w:spacing w:val="-3"/>
            <w:sz w:val="18"/>
            <w:vertAlign w:val="baseline"/>
          </w:rPr>
          <w:t> </w:t>
        </w:r>
        <w:r>
          <w:rPr>
            <w:sz w:val="18"/>
            <w:vertAlign w:val="baseline"/>
          </w:rPr>
          <w:t>Liberties</w:t>
        </w:r>
        <w:r>
          <w:rPr>
            <w:spacing w:val="-3"/>
            <w:sz w:val="18"/>
            <w:vertAlign w:val="baseline"/>
          </w:rPr>
          <w:t> </w:t>
        </w:r>
        <w:r>
          <w:rPr>
            <w:sz w:val="18"/>
            <w:vertAlign w:val="baseline"/>
          </w:rPr>
          <w:t>Union,</w:t>
        </w:r>
        <w:r>
          <w:rPr>
            <w:spacing w:val="-3"/>
            <w:sz w:val="18"/>
            <w:vertAlign w:val="baseline"/>
          </w:rPr>
          <w:t> </w:t>
        </w:r>
        <w:r>
          <w:rPr>
            <w:sz w:val="18"/>
            <w:vertAlign w:val="baseline"/>
          </w:rPr>
          <w:t>“Mapping</w:t>
        </w:r>
        <w:r>
          <w:rPr>
            <w:spacing w:val="-3"/>
            <w:sz w:val="18"/>
            <w:vertAlign w:val="baseline"/>
          </w:rPr>
          <w:t> </w:t>
        </w:r>
        <w:r>
          <w:rPr>
            <w:sz w:val="18"/>
            <w:vertAlign w:val="baseline"/>
          </w:rPr>
          <w:t>Attacks</w:t>
        </w:r>
        <w:r>
          <w:rPr>
            <w:spacing w:val="-3"/>
            <w:sz w:val="18"/>
            <w:vertAlign w:val="baseline"/>
          </w:rPr>
          <w:t> </w:t>
        </w:r>
        <w:r>
          <w:rPr>
            <w:sz w:val="18"/>
            <w:vertAlign w:val="baseline"/>
          </w:rPr>
          <w:t>on</w:t>
        </w:r>
        <w:r>
          <w:rPr>
            <w:spacing w:val="-3"/>
            <w:sz w:val="18"/>
            <w:vertAlign w:val="baseline"/>
          </w:rPr>
          <w:t> </w:t>
        </w:r>
        <w:r>
          <w:rPr>
            <w:sz w:val="18"/>
            <w:vertAlign w:val="baseline"/>
          </w:rPr>
          <w:t>LGBTQ</w:t>
        </w:r>
        <w:r>
          <w:rPr>
            <w:spacing w:val="-3"/>
            <w:sz w:val="18"/>
            <w:vertAlign w:val="baseline"/>
          </w:rPr>
          <w:t> </w:t>
        </w:r>
        <w:r>
          <w:rPr>
            <w:sz w:val="18"/>
            <w:vertAlign w:val="baseline"/>
          </w:rPr>
          <w:t>Rights</w:t>
        </w:r>
        <w:r>
          <w:rPr>
            <w:spacing w:val="-3"/>
            <w:sz w:val="18"/>
            <w:vertAlign w:val="baseline"/>
          </w:rPr>
          <w:t> </w:t>
        </w:r>
        <w:r>
          <w:rPr>
            <w:sz w:val="18"/>
            <w:vertAlign w:val="baseline"/>
          </w:rPr>
          <w:t>in</w:t>
        </w:r>
        <w:r>
          <w:rPr>
            <w:spacing w:val="-3"/>
            <w:sz w:val="18"/>
            <w:vertAlign w:val="baseline"/>
          </w:rPr>
          <w:t> </w:t>
        </w:r>
        <w:r>
          <w:rPr>
            <w:sz w:val="18"/>
            <w:vertAlign w:val="baseline"/>
          </w:rPr>
          <w:t>U.S.</w:t>
        </w:r>
        <w:r>
          <w:rPr>
            <w:spacing w:val="-3"/>
            <w:sz w:val="18"/>
            <w:vertAlign w:val="baseline"/>
          </w:rPr>
          <w:t> </w:t>
        </w:r>
        <w:r>
          <w:rPr>
            <w:sz w:val="18"/>
            <w:vertAlign w:val="baseline"/>
          </w:rPr>
          <w:t>State</w:t>
        </w:r>
        <w:r>
          <w:rPr>
            <w:spacing w:val="-4"/>
            <w:sz w:val="18"/>
            <w:vertAlign w:val="baseline"/>
          </w:rPr>
          <w:t> </w:t>
        </w:r>
        <w:r>
          <w:rPr>
            <w:sz w:val="18"/>
            <w:vertAlign w:val="baseline"/>
          </w:rPr>
          <w:t>Legislatures,”</w:t>
        </w:r>
        <w:r>
          <w:rPr>
            <w:spacing w:val="-3"/>
            <w:sz w:val="18"/>
            <w:vertAlign w:val="baseline"/>
          </w:rPr>
          <w:t> </w:t>
        </w:r>
        <w:r>
          <w:rPr>
            <w:sz w:val="18"/>
            <w:vertAlign w:val="baseline"/>
          </w:rPr>
          <w:t>American</w:t>
        </w:r>
        <w:r>
          <w:rPr>
            <w:spacing w:val="-3"/>
            <w:sz w:val="18"/>
            <w:vertAlign w:val="baseline"/>
          </w:rPr>
          <w:t> </w:t>
        </w:r>
        <w:r>
          <w:rPr>
            <w:sz w:val="18"/>
            <w:vertAlign w:val="baseline"/>
          </w:rPr>
          <w:t>Civil</w:t>
        </w:r>
        <w:r>
          <w:rPr>
            <w:spacing w:val="-4"/>
            <w:sz w:val="18"/>
            <w:vertAlign w:val="baseline"/>
          </w:rPr>
          <w:t> </w:t>
        </w:r>
        <w:r>
          <w:rPr>
            <w:sz w:val="18"/>
            <w:vertAlign w:val="baseline"/>
          </w:rPr>
          <w:t>Liberties</w:t>
        </w:r>
        <w:r>
          <w:rPr>
            <w:spacing w:val="-3"/>
            <w:sz w:val="18"/>
            <w:vertAlign w:val="baseline"/>
          </w:rPr>
          <w:t> </w:t>
        </w:r>
        <w:r>
          <w:rPr>
            <w:sz w:val="18"/>
            <w:vertAlign w:val="baseline"/>
          </w:rPr>
          <w:t>Union,</w:t>
        </w:r>
      </w:hyperlink>
      <w:r>
        <w:rPr>
          <w:sz w:val="18"/>
          <w:vertAlign w:val="baseline"/>
        </w:rPr>
        <w:t> </w:t>
      </w:r>
      <w:hyperlink r:id="rId85">
        <w:r>
          <w:rPr>
            <w:sz w:val="18"/>
            <w:vertAlign w:val="baseline"/>
          </w:rPr>
          <w:t>2023,</w:t>
        </w:r>
        <w:r>
          <w:rPr>
            <w:spacing w:val="-2"/>
            <w:sz w:val="18"/>
            <w:vertAlign w:val="baseline"/>
          </w:rPr>
          <w:t> </w:t>
        </w:r>
        <w:r>
          <w:rPr>
            <w:sz w:val="18"/>
            <w:vertAlign w:val="baseline"/>
          </w:rPr>
          <w:t>https://www.aclu.org/legislative-attacks-on-lgbtq-rights.</w:t>
        </w:r>
      </w:hyperlink>
    </w:p>
    <w:p>
      <w:pPr>
        <w:spacing w:before="0"/>
        <w:ind w:left="463" w:right="776" w:hanging="1"/>
        <w:jc w:val="left"/>
        <w:rPr>
          <w:sz w:val="18"/>
        </w:rPr>
      </w:pPr>
      <w:bookmarkStart w:name="_bookmark29" w:id="125"/>
      <w:bookmarkEnd w:id="125"/>
      <w:r>
        <w:rPr/>
      </w:r>
      <w:r>
        <w:rPr>
          <w:sz w:val="18"/>
          <w:vertAlign w:val="superscript"/>
        </w:rPr>
        <w:t>21</w:t>
      </w:r>
      <w:r>
        <w:rPr>
          <w:spacing w:val="-13"/>
          <w:sz w:val="18"/>
          <w:vertAlign w:val="baseline"/>
        </w:rPr>
        <w:t> </w:t>
      </w:r>
      <w:hyperlink r:id="rId86">
        <w:r>
          <w:rPr>
            <w:sz w:val="18"/>
            <w:vertAlign w:val="baseline"/>
          </w:rPr>
          <w:t>“New</w:t>
        </w:r>
        <w:r>
          <w:rPr>
            <w:spacing w:val="-5"/>
            <w:sz w:val="18"/>
            <w:vertAlign w:val="baseline"/>
          </w:rPr>
          <w:t> </w:t>
        </w:r>
        <w:r>
          <w:rPr>
            <w:sz w:val="18"/>
            <w:vertAlign w:val="baseline"/>
          </w:rPr>
          <w:t>Poll</w:t>
        </w:r>
        <w:r>
          <w:rPr>
            <w:spacing w:val="-3"/>
            <w:sz w:val="18"/>
            <w:vertAlign w:val="baseline"/>
          </w:rPr>
          <w:t> </w:t>
        </w:r>
        <w:r>
          <w:rPr>
            <w:sz w:val="18"/>
            <w:vertAlign w:val="baseline"/>
          </w:rPr>
          <w:t>Emphasizes</w:t>
        </w:r>
        <w:r>
          <w:rPr>
            <w:spacing w:val="-2"/>
            <w:sz w:val="18"/>
            <w:vertAlign w:val="baseline"/>
          </w:rPr>
          <w:t> </w:t>
        </w:r>
        <w:r>
          <w:rPr>
            <w:sz w:val="18"/>
            <w:vertAlign w:val="baseline"/>
          </w:rPr>
          <w:t>Negative</w:t>
        </w:r>
        <w:r>
          <w:rPr>
            <w:spacing w:val="-2"/>
            <w:sz w:val="18"/>
            <w:vertAlign w:val="baseline"/>
          </w:rPr>
          <w:t> </w:t>
        </w:r>
        <w:r>
          <w:rPr>
            <w:sz w:val="18"/>
            <w:vertAlign w:val="baseline"/>
          </w:rPr>
          <w:t>Impacts</w:t>
        </w:r>
        <w:r>
          <w:rPr>
            <w:spacing w:val="-2"/>
            <w:sz w:val="18"/>
            <w:vertAlign w:val="baseline"/>
          </w:rPr>
          <w:t> </w:t>
        </w:r>
        <w:r>
          <w:rPr>
            <w:sz w:val="18"/>
            <w:vertAlign w:val="baseline"/>
          </w:rPr>
          <w:t>of</w:t>
        </w:r>
        <w:r>
          <w:rPr>
            <w:spacing w:val="-2"/>
            <w:sz w:val="18"/>
            <w:vertAlign w:val="baseline"/>
          </w:rPr>
          <w:t> </w:t>
        </w:r>
        <w:r>
          <w:rPr>
            <w:sz w:val="18"/>
            <w:vertAlign w:val="baseline"/>
          </w:rPr>
          <w:t>Anti-LGBTQ</w:t>
        </w:r>
        <w:r>
          <w:rPr>
            <w:spacing w:val="-2"/>
            <w:sz w:val="18"/>
            <w:vertAlign w:val="baseline"/>
          </w:rPr>
          <w:t> </w:t>
        </w:r>
        <w:r>
          <w:rPr>
            <w:sz w:val="18"/>
            <w:vertAlign w:val="baseline"/>
          </w:rPr>
          <w:t>Policies</w:t>
        </w:r>
        <w:r>
          <w:rPr>
            <w:spacing w:val="-2"/>
            <w:sz w:val="18"/>
            <w:vertAlign w:val="baseline"/>
          </w:rPr>
          <w:t> </w:t>
        </w:r>
        <w:r>
          <w:rPr>
            <w:sz w:val="18"/>
            <w:vertAlign w:val="baseline"/>
          </w:rPr>
          <w:t>on</w:t>
        </w:r>
        <w:r>
          <w:rPr>
            <w:spacing w:val="-2"/>
            <w:sz w:val="18"/>
            <w:vertAlign w:val="baseline"/>
          </w:rPr>
          <w:t> </w:t>
        </w:r>
        <w:r>
          <w:rPr>
            <w:sz w:val="18"/>
            <w:vertAlign w:val="baseline"/>
          </w:rPr>
          <w:t>LGBTQ</w:t>
        </w:r>
        <w:r>
          <w:rPr>
            <w:spacing w:val="-2"/>
            <w:sz w:val="18"/>
            <w:vertAlign w:val="baseline"/>
          </w:rPr>
          <w:t> </w:t>
        </w:r>
        <w:r>
          <w:rPr>
            <w:sz w:val="18"/>
            <w:vertAlign w:val="baseline"/>
          </w:rPr>
          <w:t>Youth,”</w:t>
        </w:r>
        <w:r>
          <w:rPr>
            <w:spacing w:val="-2"/>
            <w:sz w:val="18"/>
            <w:vertAlign w:val="baseline"/>
          </w:rPr>
          <w:t> </w:t>
        </w:r>
        <w:r>
          <w:rPr>
            <w:sz w:val="18"/>
            <w:vertAlign w:val="baseline"/>
          </w:rPr>
          <w:t>The</w:t>
        </w:r>
        <w:r>
          <w:rPr>
            <w:spacing w:val="-2"/>
            <w:sz w:val="18"/>
            <w:vertAlign w:val="baseline"/>
          </w:rPr>
          <w:t> </w:t>
        </w:r>
        <w:r>
          <w:rPr>
            <w:sz w:val="18"/>
            <w:vertAlign w:val="baseline"/>
          </w:rPr>
          <w:t>Trevor</w:t>
        </w:r>
        <w:r>
          <w:rPr>
            <w:spacing w:val="-3"/>
            <w:sz w:val="18"/>
            <w:vertAlign w:val="baseline"/>
          </w:rPr>
          <w:t> </w:t>
        </w:r>
        <w:r>
          <w:rPr>
            <w:sz w:val="18"/>
            <w:vertAlign w:val="baseline"/>
          </w:rPr>
          <w:t>Project,</w:t>
        </w:r>
        <w:r>
          <w:rPr>
            <w:spacing w:val="-3"/>
            <w:sz w:val="18"/>
            <w:vertAlign w:val="baseline"/>
          </w:rPr>
          <w:t> </w:t>
        </w:r>
        <w:r>
          <w:rPr>
            <w:sz w:val="18"/>
            <w:vertAlign w:val="baseline"/>
          </w:rPr>
          <w:t>January</w:t>
        </w:r>
        <w:r>
          <w:rPr>
            <w:spacing w:val="-2"/>
            <w:sz w:val="18"/>
            <w:vertAlign w:val="baseline"/>
          </w:rPr>
          <w:t> </w:t>
        </w:r>
        <w:r>
          <w:rPr>
            <w:sz w:val="18"/>
            <w:vertAlign w:val="baseline"/>
          </w:rPr>
          <w:t>19,</w:t>
        </w:r>
        <w:r>
          <w:rPr>
            <w:spacing w:val="-3"/>
            <w:sz w:val="18"/>
            <w:vertAlign w:val="baseline"/>
          </w:rPr>
          <w:t> </w:t>
        </w:r>
        <w:r>
          <w:rPr>
            <w:sz w:val="18"/>
            <w:vertAlign w:val="baseline"/>
          </w:rPr>
          <w:t>2023,</w:t>
        </w:r>
      </w:hyperlink>
      <w:r>
        <w:rPr>
          <w:sz w:val="18"/>
          <w:vertAlign w:val="baseline"/>
        </w:rPr>
        <w:t> </w:t>
      </w:r>
      <w:bookmarkStart w:name="_bookmark30" w:id="126"/>
      <w:bookmarkEnd w:id="126"/>
      <w:r>
        <w:rPr>
          <w:sz w:val="18"/>
          <w:vertAlign w:val="baseline"/>
        </w:rPr>
      </w:r>
      <w:hyperlink r:id="rId86">
        <w:r>
          <w:rPr>
            <w:spacing w:val="-2"/>
            <w:sz w:val="18"/>
            <w:vertAlign w:val="baseline"/>
          </w:rPr>
          <w:t>https://www.thetrevorproject.org/blog/new-poll-emphasizes-negative-impacts-of-anti-lgbtq-policies-on-lgbtq-youth/.</w:t>
        </w:r>
      </w:hyperlink>
    </w:p>
    <w:p>
      <w:pPr>
        <w:spacing w:before="0"/>
        <w:ind w:left="463" w:right="289" w:hanging="1"/>
        <w:jc w:val="left"/>
        <w:rPr>
          <w:sz w:val="18"/>
        </w:rPr>
      </w:pPr>
      <w:r>
        <w:rPr>
          <w:sz w:val="18"/>
          <w:vertAlign w:val="superscript"/>
        </w:rPr>
        <w:t>22</w:t>
      </w:r>
      <w:r>
        <w:rPr>
          <w:spacing w:val="-13"/>
          <w:sz w:val="18"/>
          <w:vertAlign w:val="baseline"/>
        </w:rPr>
        <w:t> </w:t>
      </w:r>
      <w:hyperlink r:id="rId87">
        <w:r>
          <w:rPr>
            <w:sz w:val="18"/>
            <w:vertAlign w:val="baseline"/>
          </w:rPr>
          <w:t>The</w:t>
        </w:r>
        <w:r>
          <w:rPr>
            <w:spacing w:val="-5"/>
            <w:sz w:val="18"/>
            <w:vertAlign w:val="baseline"/>
          </w:rPr>
          <w:t> </w:t>
        </w:r>
        <w:r>
          <w:rPr>
            <w:sz w:val="18"/>
            <w:vertAlign w:val="baseline"/>
          </w:rPr>
          <w:t>Trevor</w:t>
        </w:r>
        <w:r>
          <w:rPr>
            <w:spacing w:val="-4"/>
            <w:sz w:val="18"/>
            <w:vertAlign w:val="baseline"/>
          </w:rPr>
          <w:t> </w:t>
        </w:r>
        <w:r>
          <w:rPr>
            <w:sz w:val="18"/>
            <w:vertAlign w:val="baseline"/>
          </w:rPr>
          <w:t>Project,</w:t>
        </w:r>
        <w:r>
          <w:rPr>
            <w:spacing w:val="-4"/>
            <w:sz w:val="18"/>
            <w:vertAlign w:val="baseline"/>
          </w:rPr>
          <w:t> </w:t>
        </w:r>
        <w:r>
          <w:rPr>
            <w:sz w:val="18"/>
            <w:vertAlign w:val="baseline"/>
          </w:rPr>
          <w:t>“2022</w:t>
        </w:r>
        <w:r>
          <w:rPr>
            <w:spacing w:val="-3"/>
            <w:sz w:val="18"/>
            <w:vertAlign w:val="baseline"/>
          </w:rPr>
          <w:t> </w:t>
        </w:r>
        <w:r>
          <w:rPr>
            <w:sz w:val="18"/>
            <w:vertAlign w:val="baseline"/>
          </w:rPr>
          <w:t>National</w:t>
        </w:r>
        <w:r>
          <w:rPr>
            <w:spacing w:val="-4"/>
            <w:sz w:val="18"/>
            <w:vertAlign w:val="baseline"/>
          </w:rPr>
          <w:t> </w:t>
        </w:r>
        <w:r>
          <w:rPr>
            <w:sz w:val="18"/>
            <w:vertAlign w:val="baseline"/>
          </w:rPr>
          <w:t>Survey</w:t>
        </w:r>
        <w:r>
          <w:rPr>
            <w:spacing w:val="-3"/>
            <w:sz w:val="18"/>
            <w:vertAlign w:val="baseline"/>
          </w:rPr>
          <w:t> </w:t>
        </w:r>
        <w:r>
          <w:rPr>
            <w:sz w:val="18"/>
            <w:vertAlign w:val="baseline"/>
          </w:rPr>
          <w:t>on</w:t>
        </w:r>
        <w:r>
          <w:rPr>
            <w:spacing w:val="-3"/>
            <w:sz w:val="18"/>
            <w:vertAlign w:val="baseline"/>
          </w:rPr>
          <w:t> </w:t>
        </w:r>
        <w:r>
          <w:rPr>
            <w:sz w:val="18"/>
            <w:vertAlign w:val="baseline"/>
          </w:rPr>
          <w:t>LGBTQ</w:t>
        </w:r>
        <w:r>
          <w:rPr>
            <w:spacing w:val="-3"/>
            <w:sz w:val="18"/>
            <w:vertAlign w:val="baseline"/>
          </w:rPr>
          <w:t> </w:t>
        </w:r>
        <w:r>
          <w:rPr>
            <w:sz w:val="18"/>
            <w:vertAlign w:val="baseline"/>
          </w:rPr>
          <w:t>Youth</w:t>
        </w:r>
        <w:r>
          <w:rPr>
            <w:spacing w:val="-3"/>
            <w:sz w:val="18"/>
            <w:vertAlign w:val="baseline"/>
          </w:rPr>
          <w:t> </w:t>
        </w:r>
        <w:r>
          <w:rPr>
            <w:sz w:val="18"/>
            <w:vertAlign w:val="baseline"/>
          </w:rPr>
          <w:t>Mental</w:t>
        </w:r>
        <w:r>
          <w:rPr>
            <w:spacing w:val="-4"/>
            <w:sz w:val="18"/>
            <w:vertAlign w:val="baseline"/>
          </w:rPr>
          <w:t> </w:t>
        </w:r>
        <w:r>
          <w:rPr>
            <w:sz w:val="18"/>
            <w:vertAlign w:val="baseline"/>
          </w:rPr>
          <w:t>Health,”</w:t>
        </w:r>
        <w:r>
          <w:rPr>
            <w:spacing w:val="-3"/>
            <w:sz w:val="18"/>
            <w:vertAlign w:val="baseline"/>
          </w:rPr>
          <w:t> </w:t>
        </w:r>
        <w:r>
          <w:rPr>
            <w:sz w:val="18"/>
            <w:vertAlign w:val="baseline"/>
          </w:rPr>
          <w:t>2023,</w:t>
        </w:r>
        <w:r>
          <w:rPr>
            <w:spacing w:val="-4"/>
            <w:sz w:val="18"/>
            <w:vertAlign w:val="baseline"/>
          </w:rPr>
          <w:t> </w:t>
        </w:r>
        <w:r>
          <w:rPr>
            <w:sz w:val="18"/>
            <w:vertAlign w:val="baseline"/>
          </w:rPr>
          <w:t>https://www.thetrevorproject.org/survey-</w:t>
        </w:r>
      </w:hyperlink>
      <w:r>
        <w:rPr>
          <w:sz w:val="18"/>
          <w:vertAlign w:val="baseline"/>
        </w:rPr>
        <w:t> </w:t>
      </w:r>
      <w:bookmarkStart w:name="_bookmark31" w:id="127"/>
      <w:bookmarkEnd w:id="127"/>
      <w:r>
        <w:rPr>
          <w:sz w:val="18"/>
          <w:vertAlign w:val="baseline"/>
        </w:rPr>
      </w:r>
      <w:hyperlink r:id="rId87">
        <w:r>
          <w:rPr>
            <w:spacing w:val="-2"/>
            <w:sz w:val="18"/>
            <w:vertAlign w:val="baseline"/>
          </w:rPr>
          <w:t>2022/.</w:t>
        </w:r>
      </w:hyperlink>
    </w:p>
    <w:p>
      <w:pPr>
        <w:spacing w:before="0"/>
        <w:ind w:left="463" w:right="0" w:firstLine="0"/>
        <w:jc w:val="left"/>
        <w:rPr>
          <w:sz w:val="18"/>
        </w:rPr>
      </w:pPr>
      <w:r>
        <w:rPr>
          <w:sz w:val="18"/>
          <w:vertAlign w:val="superscript"/>
        </w:rPr>
        <w:t>23</w:t>
      </w:r>
      <w:r>
        <w:rPr>
          <w:spacing w:val="-13"/>
          <w:sz w:val="18"/>
          <w:vertAlign w:val="baseline"/>
        </w:rPr>
        <w:t> </w:t>
      </w:r>
      <w:bookmarkStart w:name="_bookmark32" w:id="128"/>
      <w:bookmarkEnd w:id="128"/>
      <w:r>
        <w:rPr>
          <w:sz w:val="18"/>
          <w:vertAlign w:val="baseline"/>
        </w:rPr>
        <w:t>“</w:t>
      </w:r>
      <w:r>
        <w:rPr>
          <w:sz w:val="18"/>
          <w:vertAlign w:val="baseline"/>
        </w:rPr>
        <w:t>MPA</w:t>
      </w:r>
      <w:r>
        <w:rPr>
          <w:spacing w:val="-2"/>
          <w:sz w:val="18"/>
          <w:vertAlign w:val="baseline"/>
        </w:rPr>
        <w:t> Overview.”</w:t>
      </w:r>
    </w:p>
    <w:p>
      <w:pPr>
        <w:spacing w:before="0"/>
        <w:ind w:left="463" w:right="0" w:firstLine="0"/>
        <w:jc w:val="left"/>
        <w:rPr>
          <w:sz w:val="18"/>
        </w:rPr>
      </w:pPr>
      <w:r>
        <w:rPr>
          <w:sz w:val="18"/>
          <w:vertAlign w:val="superscript"/>
        </w:rPr>
        <w:t>24</w:t>
      </w:r>
      <w:r>
        <w:rPr>
          <w:spacing w:val="-15"/>
          <w:sz w:val="18"/>
          <w:vertAlign w:val="baseline"/>
        </w:rPr>
        <w:t> </w:t>
      </w:r>
      <w:bookmarkStart w:name="_bookmark33" w:id="129"/>
      <w:bookmarkEnd w:id="129"/>
      <w:r>
        <w:rPr>
          <w:spacing w:val="-13"/>
          <w:sz w:val="18"/>
          <w:vertAlign w:val="baseline"/>
        </w:rPr>
      </w:r>
      <w:hyperlink r:id="rId88">
        <w:r>
          <w:rPr>
            <w:sz w:val="18"/>
            <w:vertAlign w:val="baseline"/>
          </w:rPr>
          <w:t>Conron</w:t>
        </w:r>
        <w:r>
          <w:rPr>
            <w:spacing w:val="-4"/>
            <w:sz w:val="18"/>
            <w:vertAlign w:val="baseline"/>
          </w:rPr>
          <w:t> </w:t>
        </w:r>
        <w:r>
          <w:rPr>
            <w:sz w:val="18"/>
            <w:vertAlign w:val="baseline"/>
          </w:rPr>
          <w:t>and</w:t>
        </w:r>
        <w:r>
          <w:rPr>
            <w:spacing w:val="-2"/>
            <w:sz w:val="18"/>
            <w:vertAlign w:val="baseline"/>
          </w:rPr>
          <w:t> </w:t>
        </w:r>
        <w:r>
          <w:rPr>
            <w:sz w:val="18"/>
            <w:vertAlign w:val="baseline"/>
          </w:rPr>
          <w:t>Wilson,</w:t>
        </w:r>
        <w:r>
          <w:rPr>
            <w:spacing w:val="-3"/>
            <w:sz w:val="18"/>
            <w:vertAlign w:val="baseline"/>
          </w:rPr>
          <w:t> </w:t>
        </w:r>
        <w:r>
          <w:rPr>
            <w:sz w:val="18"/>
            <w:vertAlign w:val="baseline"/>
          </w:rPr>
          <w:t>“LGBTQ</w:t>
        </w:r>
        <w:r>
          <w:rPr>
            <w:spacing w:val="-2"/>
            <w:sz w:val="18"/>
            <w:vertAlign w:val="baseline"/>
          </w:rPr>
          <w:t> </w:t>
        </w:r>
        <w:r>
          <w:rPr>
            <w:sz w:val="18"/>
            <w:vertAlign w:val="baseline"/>
          </w:rPr>
          <w:t>Youth</w:t>
        </w:r>
        <w:r>
          <w:rPr>
            <w:spacing w:val="-2"/>
            <w:sz w:val="18"/>
            <w:vertAlign w:val="baseline"/>
          </w:rPr>
          <w:t> </w:t>
        </w:r>
        <w:r>
          <w:rPr>
            <w:sz w:val="18"/>
            <w:vertAlign w:val="baseline"/>
          </w:rPr>
          <w:t>of</w:t>
        </w:r>
        <w:r>
          <w:rPr>
            <w:spacing w:val="-2"/>
            <w:sz w:val="18"/>
            <w:vertAlign w:val="baseline"/>
          </w:rPr>
          <w:t> </w:t>
        </w:r>
        <w:r>
          <w:rPr>
            <w:sz w:val="18"/>
            <w:vertAlign w:val="baseline"/>
          </w:rPr>
          <w:t>Color</w:t>
        </w:r>
        <w:r>
          <w:rPr>
            <w:spacing w:val="-3"/>
            <w:sz w:val="18"/>
            <w:vertAlign w:val="baseline"/>
          </w:rPr>
          <w:t> </w:t>
        </w:r>
        <w:r>
          <w:rPr>
            <w:sz w:val="18"/>
            <w:vertAlign w:val="baseline"/>
          </w:rPr>
          <w:t>Impacted</w:t>
        </w:r>
        <w:r>
          <w:rPr>
            <w:spacing w:val="-2"/>
            <w:sz w:val="18"/>
            <w:vertAlign w:val="baseline"/>
          </w:rPr>
          <w:t> </w:t>
        </w:r>
        <w:r>
          <w:rPr>
            <w:sz w:val="18"/>
            <w:vertAlign w:val="baseline"/>
          </w:rPr>
          <w:t>by</w:t>
        </w:r>
        <w:r>
          <w:rPr>
            <w:spacing w:val="-2"/>
            <w:sz w:val="18"/>
            <w:vertAlign w:val="baseline"/>
          </w:rPr>
          <w:t> </w:t>
        </w:r>
        <w:r>
          <w:rPr>
            <w:sz w:val="18"/>
            <w:vertAlign w:val="baseline"/>
          </w:rPr>
          <w:t>the</w:t>
        </w:r>
        <w:r>
          <w:rPr>
            <w:spacing w:val="-2"/>
            <w:sz w:val="18"/>
            <w:vertAlign w:val="baseline"/>
          </w:rPr>
          <w:t> </w:t>
        </w:r>
        <w:r>
          <w:rPr>
            <w:sz w:val="18"/>
            <w:vertAlign w:val="baseline"/>
          </w:rPr>
          <w:t>Child</w:t>
        </w:r>
        <w:r>
          <w:rPr>
            <w:spacing w:val="-2"/>
            <w:sz w:val="18"/>
            <w:vertAlign w:val="baseline"/>
          </w:rPr>
          <w:t> </w:t>
        </w:r>
        <w:r>
          <w:rPr>
            <w:sz w:val="18"/>
            <w:vertAlign w:val="baseline"/>
          </w:rPr>
          <w:t>Welfare</w:t>
        </w:r>
        <w:r>
          <w:rPr>
            <w:spacing w:val="-2"/>
            <w:sz w:val="18"/>
            <w:vertAlign w:val="baseline"/>
          </w:rPr>
          <w:t> </w:t>
        </w:r>
        <w:r>
          <w:rPr>
            <w:sz w:val="18"/>
            <w:vertAlign w:val="baseline"/>
          </w:rPr>
          <w:t>and</w:t>
        </w:r>
        <w:r>
          <w:rPr>
            <w:spacing w:val="-2"/>
            <w:sz w:val="18"/>
            <w:vertAlign w:val="baseline"/>
          </w:rPr>
          <w:t> </w:t>
        </w:r>
        <w:r>
          <w:rPr>
            <w:sz w:val="18"/>
            <w:vertAlign w:val="baseline"/>
          </w:rPr>
          <w:t>Juvenile</w:t>
        </w:r>
        <w:r>
          <w:rPr>
            <w:spacing w:val="-2"/>
            <w:sz w:val="18"/>
            <w:vertAlign w:val="baseline"/>
          </w:rPr>
          <w:t> </w:t>
        </w:r>
        <w:r>
          <w:rPr>
            <w:sz w:val="18"/>
            <w:vertAlign w:val="baseline"/>
          </w:rPr>
          <w:t>Justice</w:t>
        </w:r>
        <w:r>
          <w:rPr>
            <w:spacing w:val="-1"/>
            <w:sz w:val="18"/>
            <w:vertAlign w:val="baseline"/>
          </w:rPr>
          <w:t> </w:t>
        </w:r>
        <w:r>
          <w:rPr>
            <w:spacing w:val="-2"/>
            <w:sz w:val="18"/>
            <w:vertAlign w:val="baseline"/>
          </w:rPr>
          <w:t>Systems.”</w:t>
        </w:r>
      </w:hyperlink>
    </w:p>
    <w:p>
      <w:pPr>
        <w:spacing w:before="0"/>
        <w:ind w:left="463" w:right="355" w:hanging="1"/>
        <w:jc w:val="left"/>
        <w:rPr>
          <w:sz w:val="18"/>
        </w:rPr>
      </w:pPr>
      <w:r>
        <w:rPr>
          <w:sz w:val="18"/>
          <w:vertAlign w:val="superscript"/>
        </w:rPr>
        <w:t>25</w:t>
      </w:r>
      <w:r>
        <w:rPr>
          <w:spacing w:val="-13"/>
          <w:sz w:val="18"/>
          <w:vertAlign w:val="baseline"/>
        </w:rPr>
        <w:t> </w:t>
      </w:r>
      <w:hyperlink r:id="rId89">
        <w:r>
          <w:rPr>
            <w:sz w:val="18"/>
            <w:vertAlign w:val="baseline"/>
          </w:rPr>
          <w:t>Sarah</w:t>
        </w:r>
        <w:r>
          <w:rPr>
            <w:spacing w:val="-4"/>
            <w:sz w:val="18"/>
            <w:vertAlign w:val="baseline"/>
          </w:rPr>
          <w:t> </w:t>
        </w:r>
        <w:r>
          <w:rPr>
            <w:sz w:val="18"/>
            <w:vertAlign w:val="baseline"/>
          </w:rPr>
          <w:t>Vidal</w:t>
        </w:r>
        <w:r>
          <w:rPr>
            <w:spacing w:val="-3"/>
            <w:sz w:val="18"/>
            <w:vertAlign w:val="baseline"/>
          </w:rPr>
          <w:t> </w:t>
        </w:r>
        <w:r>
          <w:rPr>
            <w:sz w:val="18"/>
            <w:vertAlign w:val="baseline"/>
          </w:rPr>
          <w:t>et</w:t>
        </w:r>
        <w:r>
          <w:rPr>
            <w:spacing w:val="-4"/>
            <w:sz w:val="18"/>
            <w:vertAlign w:val="baseline"/>
          </w:rPr>
          <w:t> </w:t>
        </w:r>
        <w:r>
          <w:rPr>
            <w:sz w:val="18"/>
            <w:vertAlign w:val="baseline"/>
          </w:rPr>
          <w:t>al.,</w:t>
        </w:r>
        <w:r>
          <w:rPr>
            <w:spacing w:val="-3"/>
            <w:sz w:val="18"/>
            <w:vertAlign w:val="baseline"/>
          </w:rPr>
          <w:t> </w:t>
        </w:r>
        <w:r>
          <w:rPr>
            <w:sz w:val="18"/>
            <w:vertAlign w:val="baseline"/>
          </w:rPr>
          <w:t>“Multisystem-Involved</w:t>
        </w:r>
        <w:r>
          <w:rPr>
            <w:spacing w:val="-2"/>
            <w:sz w:val="18"/>
            <w:vertAlign w:val="baseline"/>
          </w:rPr>
          <w:t> </w:t>
        </w:r>
        <w:r>
          <w:rPr>
            <w:sz w:val="18"/>
            <w:vertAlign w:val="baseline"/>
          </w:rPr>
          <w:t>Youth:</w:t>
        </w:r>
        <w:r>
          <w:rPr>
            <w:spacing w:val="-2"/>
            <w:sz w:val="18"/>
            <w:vertAlign w:val="baseline"/>
          </w:rPr>
          <w:t> </w:t>
        </w:r>
        <w:r>
          <w:rPr>
            <w:sz w:val="18"/>
            <w:vertAlign w:val="baseline"/>
          </w:rPr>
          <w:t>A</w:t>
        </w:r>
        <w:r>
          <w:rPr>
            <w:spacing w:val="-2"/>
            <w:sz w:val="18"/>
            <w:vertAlign w:val="baseline"/>
          </w:rPr>
          <w:t> </w:t>
        </w:r>
        <w:r>
          <w:rPr>
            <w:sz w:val="18"/>
            <w:vertAlign w:val="baseline"/>
          </w:rPr>
          <w:t>Developmental</w:t>
        </w:r>
        <w:r>
          <w:rPr>
            <w:spacing w:val="-3"/>
            <w:sz w:val="18"/>
            <w:vertAlign w:val="baseline"/>
          </w:rPr>
          <w:t> </w:t>
        </w:r>
        <w:r>
          <w:rPr>
            <w:sz w:val="18"/>
            <w:vertAlign w:val="baseline"/>
          </w:rPr>
          <w:t>Framework</w:t>
        </w:r>
        <w:r>
          <w:rPr>
            <w:spacing w:val="-3"/>
            <w:sz w:val="18"/>
            <w:vertAlign w:val="baseline"/>
          </w:rPr>
          <w:t> </w:t>
        </w:r>
        <w:r>
          <w:rPr>
            <w:sz w:val="18"/>
            <w:vertAlign w:val="baseline"/>
          </w:rPr>
          <w:t>and</w:t>
        </w:r>
        <w:r>
          <w:rPr>
            <w:spacing w:val="-2"/>
            <w:sz w:val="18"/>
            <w:vertAlign w:val="baseline"/>
          </w:rPr>
          <w:t> </w:t>
        </w:r>
        <w:r>
          <w:rPr>
            <w:sz w:val="18"/>
            <w:vertAlign w:val="baseline"/>
          </w:rPr>
          <w:t>Implications</w:t>
        </w:r>
        <w:r>
          <w:rPr>
            <w:spacing w:val="-2"/>
            <w:sz w:val="18"/>
            <w:vertAlign w:val="baseline"/>
          </w:rPr>
          <w:t> </w:t>
        </w:r>
        <w:r>
          <w:rPr>
            <w:sz w:val="18"/>
            <w:vertAlign w:val="baseline"/>
          </w:rPr>
          <w:t>for</w:t>
        </w:r>
        <w:r>
          <w:rPr>
            <w:spacing w:val="-3"/>
            <w:sz w:val="18"/>
            <w:vertAlign w:val="baseline"/>
          </w:rPr>
          <w:t> </w:t>
        </w:r>
        <w:r>
          <w:rPr>
            <w:sz w:val="18"/>
            <w:vertAlign w:val="baseline"/>
          </w:rPr>
          <w:t>Research,</w:t>
        </w:r>
        <w:r>
          <w:rPr>
            <w:spacing w:val="-3"/>
            <w:sz w:val="18"/>
            <w:vertAlign w:val="baseline"/>
          </w:rPr>
          <w:t> </w:t>
        </w:r>
        <w:r>
          <w:rPr>
            <w:sz w:val="18"/>
            <w:vertAlign w:val="baseline"/>
          </w:rPr>
          <w:t>Policy,</w:t>
        </w:r>
        <w:r>
          <w:rPr>
            <w:spacing w:val="-3"/>
            <w:sz w:val="18"/>
            <w:vertAlign w:val="baseline"/>
          </w:rPr>
          <w:t> </w:t>
        </w:r>
        <w:r>
          <w:rPr>
            <w:sz w:val="18"/>
            <w:vertAlign w:val="baseline"/>
          </w:rPr>
          <w:t>and</w:t>
        </w:r>
      </w:hyperlink>
      <w:r>
        <w:rPr>
          <w:sz w:val="18"/>
          <w:vertAlign w:val="baseline"/>
        </w:rPr>
        <w:t> </w:t>
      </w:r>
      <w:bookmarkStart w:name="_bookmark34" w:id="130"/>
      <w:bookmarkEnd w:id="130"/>
      <w:r>
        <w:rPr>
          <w:sz w:val="18"/>
          <w:vertAlign w:val="baseline"/>
        </w:rPr>
      </w:r>
      <w:hyperlink r:id="rId89">
        <w:r>
          <w:rPr>
            <w:sz w:val="18"/>
            <w:vertAlign w:val="baseline"/>
          </w:rPr>
          <w:t>Practice,”</w:t>
        </w:r>
      </w:hyperlink>
      <w:r>
        <w:rPr>
          <w:sz w:val="18"/>
          <w:vertAlign w:val="baseline"/>
        </w:rPr>
        <w:t> </w:t>
      </w:r>
      <w:hyperlink r:id="rId89">
        <w:r>
          <w:rPr>
            <w:i/>
            <w:sz w:val="18"/>
            <w:vertAlign w:val="baseline"/>
          </w:rPr>
          <w:t>Adolescent Research Review</w:t>
        </w:r>
      </w:hyperlink>
      <w:r>
        <w:rPr>
          <w:i/>
          <w:sz w:val="18"/>
          <w:vertAlign w:val="baseline"/>
        </w:rPr>
        <w:t> </w:t>
      </w:r>
      <w:hyperlink r:id="rId89">
        <w:r>
          <w:rPr>
            <w:sz w:val="18"/>
            <w:vertAlign w:val="baseline"/>
          </w:rPr>
          <w:t>4, no. 1 (March 2019): 15–29, https://doi.org/10.1007/s40894-018-0088-1.</w:t>
        </w:r>
      </w:hyperlink>
    </w:p>
    <w:p>
      <w:pPr>
        <w:spacing w:before="0"/>
        <w:ind w:left="463" w:right="965" w:hanging="1"/>
        <w:jc w:val="left"/>
        <w:rPr>
          <w:sz w:val="18"/>
        </w:rPr>
      </w:pPr>
      <w:r>
        <w:rPr>
          <w:sz w:val="18"/>
          <w:vertAlign w:val="superscript"/>
        </w:rPr>
        <w:t>26</w:t>
      </w:r>
      <w:r>
        <w:rPr>
          <w:spacing w:val="-13"/>
          <w:sz w:val="18"/>
          <w:vertAlign w:val="baseline"/>
        </w:rPr>
        <w:t> </w:t>
      </w:r>
      <w:hyperlink r:id="rId90">
        <w:r>
          <w:rPr>
            <w:sz w:val="18"/>
            <w:vertAlign w:val="baseline"/>
          </w:rPr>
          <w:t>Hussey,</w:t>
        </w:r>
        <w:r>
          <w:rPr>
            <w:spacing w:val="-4"/>
            <w:sz w:val="18"/>
            <w:vertAlign w:val="baseline"/>
          </w:rPr>
          <w:t> </w:t>
        </w:r>
        <w:r>
          <w:rPr>
            <w:sz w:val="18"/>
            <w:vertAlign w:val="baseline"/>
          </w:rPr>
          <w:t>Hannah,</w:t>
        </w:r>
        <w:r>
          <w:rPr>
            <w:spacing w:val="-3"/>
            <w:sz w:val="18"/>
            <w:vertAlign w:val="baseline"/>
          </w:rPr>
          <w:t> </w:t>
        </w:r>
        <w:r>
          <w:rPr>
            <w:sz w:val="18"/>
            <w:vertAlign w:val="baseline"/>
          </w:rPr>
          <w:t>“LGBTQ</w:t>
        </w:r>
        <w:r>
          <w:rPr>
            <w:spacing w:val="-2"/>
            <w:sz w:val="18"/>
            <w:vertAlign w:val="baseline"/>
          </w:rPr>
          <w:t> </w:t>
        </w:r>
        <w:r>
          <w:rPr>
            <w:sz w:val="18"/>
            <w:vertAlign w:val="baseline"/>
          </w:rPr>
          <w:t>Youth</w:t>
        </w:r>
        <w:r>
          <w:rPr>
            <w:spacing w:val="-3"/>
            <w:sz w:val="18"/>
            <w:vertAlign w:val="baseline"/>
          </w:rPr>
          <w:t> </w:t>
        </w:r>
        <w:r>
          <w:rPr>
            <w:sz w:val="18"/>
            <w:vertAlign w:val="baseline"/>
          </w:rPr>
          <w:t>in</w:t>
        </w:r>
        <w:r>
          <w:rPr>
            <w:spacing w:val="-2"/>
            <w:sz w:val="18"/>
            <w:vertAlign w:val="baseline"/>
          </w:rPr>
          <w:t> </w:t>
        </w:r>
        <w:r>
          <w:rPr>
            <w:sz w:val="18"/>
            <w:vertAlign w:val="baseline"/>
          </w:rPr>
          <w:t>the</w:t>
        </w:r>
        <w:r>
          <w:rPr>
            <w:spacing w:val="-2"/>
            <w:sz w:val="18"/>
            <w:vertAlign w:val="baseline"/>
          </w:rPr>
          <w:t> </w:t>
        </w:r>
        <w:r>
          <w:rPr>
            <w:sz w:val="18"/>
            <w:vertAlign w:val="baseline"/>
          </w:rPr>
          <w:t>Massachusetts</w:t>
        </w:r>
        <w:r>
          <w:rPr>
            <w:spacing w:val="-2"/>
            <w:sz w:val="18"/>
            <w:vertAlign w:val="baseline"/>
          </w:rPr>
          <w:t> </w:t>
        </w:r>
        <w:r>
          <w:rPr>
            <w:sz w:val="18"/>
            <w:vertAlign w:val="baseline"/>
          </w:rPr>
          <w:t>Child</w:t>
        </w:r>
        <w:r>
          <w:rPr>
            <w:spacing w:val="-2"/>
            <w:sz w:val="18"/>
            <w:vertAlign w:val="baseline"/>
          </w:rPr>
          <w:t> </w:t>
        </w:r>
        <w:r>
          <w:rPr>
            <w:sz w:val="18"/>
            <w:vertAlign w:val="baseline"/>
          </w:rPr>
          <w:t>Welfare</w:t>
        </w:r>
        <w:r>
          <w:rPr>
            <w:spacing w:val="-2"/>
            <w:sz w:val="18"/>
            <w:vertAlign w:val="baseline"/>
          </w:rPr>
          <w:t> </w:t>
        </w:r>
        <w:r>
          <w:rPr>
            <w:sz w:val="18"/>
            <w:vertAlign w:val="baseline"/>
          </w:rPr>
          <w:t>System:</w:t>
        </w:r>
        <w:r>
          <w:rPr>
            <w:spacing w:val="-4"/>
            <w:sz w:val="18"/>
            <w:vertAlign w:val="baseline"/>
          </w:rPr>
          <w:t> </w:t>
        </w:r>
        <w:r>
          <w:rPr>
            <w:sz w:val="18"/>
            <w:vertAlign w:val="baseline"/>
          </w:rPr>
          <w:t>A</w:t>
        </w:r>
        <w:r>
          <w:rPr>
            <w:spacing w:val="-2"/>
            <w:sz w:val="18"/>
            <w:vertAlign w:val="baseline"/>
          </w:rPr>
          <w:t> </w:t>
        </w:r>
        <w:r>
          <w:rPr>
            <w:sz w:val="18"/>
            <w:vertAlign w:val="baseline"/>
          </w:rPr>
          <w:t>Report</w:t>
        </w:r>
        <w:r>
          <w:rPr>
            <w:spacing w:val="-3"/>
            <w:sz w:val="18"/>
            <w:vertAlign w:val="baseline"/>
          </w:rPr>
          <w:t> </w:t>
        </w:r>
        <w:r>
          <w:rPr>
            <w:sz w:val="18"/>
            <w:vertAlign w:val="baseline"/>
          </w:rPr>
          <w:t>on</w:t>
        </w:r>
        <w:r>
          <w:rPr>
            <w:spacing w:val="-2"/>
            <w:sz w:val="18"/>
            <w:vertAlign w:val="baseline"/>
          </w:rPr>
          <w:t> </w:t>
        </w:r>
        <w:r>
          <w:rPr>
            <w:sz w:val="18"/>
            <w:vertAlign w:val="baseline"/>
          </w:rPr>
          <w:t>Pervasive</w:t>
        </w:r>
        <w:r>
          <w:rPr>
            <w:spacing w:val="-2"/>
            <w:sz w:val="18"/>
            <w:vertAlign w:val="baseline"/>
          </w:rPr>
          <w:t> </w:t>
        </w:r>
        <w:r>
          <w:rPr>
            <w:sz w:val="18"/>
            <w:vertAlign w:val="baseline"/>
          </w:rPr>
          <w:t>Threats</w:t>
        </w:r>
        <w:r>
          <w:rPr>
            <w:spacing w:val="-2"/>
            <w:sz w:val="18"/>
            <w:vertAlign w:val="baseline"/>
          </w:rPr>
          <w:t> </w:t>
        </w:r>
        <w:r>
          <w:rPr>
            <w:sz w:val="18"/>
            <w:vertAlign w:val="baseline"/>
          </w:rPr>
          <w:t>to</w:t>
        </w:r>
        <w:r>
          <w:rPr>
            <w:spacing w:val="-2"/>
            <w:sz w:val="18"/>
            <w:vertAlign w:val="baseline"/>
          </w:rPr>
          <w:t> </w:t>
        </w:r>
        <w:r>
          <w:rPr>
            <w:sz w:val="18"/>
            <w:vertAlign w:val="baseline"/>
          </w:rPr>
          <w:t>Safety,</w:t>
        </w:r>
      </w:hyperlink>
      <w:r>
        <w:rPr>
          <w:sz w:val="18"/>
          <w:vertAlign w:val="baseline"/>
        </w:rPr>
        <w:t> </w:t>
      </w:r>
      <w:hyperlink r:id="rId90">
        <w:r>
          <w:rPr>
            <w:sz w:val="18"/>
            <w:vertAlign w:val="baseline"/>
          </w:rPr>
          <w:t>Wellbeing, and Permanency” (Massachusetts Commission on LGBTQ Youth, July 2021),</w:t>
        </w:r>
      </w:hyperlink>
      <w:r>
        <w:rPr>
          <w:sz w:val="18"/>
          <w:vertAlign w:val="baseline"/>
        </w:rPr>
        <w:t> </w:t>
      </w:r>
      <w:bookmarkStart w:name="_bookmark35" w:id="131"/>
      <w:bookmarkEnd w:id="131"/>
      <w:r>
        <w:rPr>
          <w:sz w:val="18"/>
          <w:vertAlign w:val="baseline"/>
        </w:rPr>
      </w:r>
      <w:hyperlink r:id="rId90">
        <w:r>
          <w:rPr>
            <w:spacing w:val="-2"/>
            <w:sz w:val="18"/>
            <w:vertAlign w:val="baseline"/>
          </w:rPr>
          <w:t>https://www.mass.gov/doc/commission-report-on-dcf.</w:t>
        </w:r>
      </w:hyperlink>
    </w:p>
    <w:p>
      <w:pPr>
        <w:spacing w:before="0"/>
        <w:ind w:left="463" w:right="1574" w:hanging="1"/>
        <w:jc w:val="left"/>
        <w:rPr>
          <w:sz w:val="18"/>
        </w:rPr>
      </w:pPr>
      <w:r>
        <w:rPr>
          <w:sz w:val="18"/>
          <w:vertAlign w:val="superscript"/>
        </w:rPr>
        <w:t>27</w:t>
      </w:r>
      <w:r>
        <w:rPr>
          <w:spacing w:val="-13"/>
          <w:sz w:val="18"/>
          <w:vertAlign w:val="baseline"/>
        </w:rPr>
        <w:t> </w:t>
      </w:r>
      <w:hyperlink r:id="rId91">
        <w:r>
          <w:rPr>
            <w:sz w:val="18"/>
            <w:vertAlign w:val="baseline"/>
          </w:rPr>
          <w:t>June</w:t>
        </w:r>
        <w:r>
          <w:rPr>
            <w:spacing w:val="-4"/>
            <w:sz w:val="18"/>
            <w:vertAlign w:val="baseline"/>
          </w:rPr>
          <w:t> </w:t>
        </w:r>
        <w:r>
          <w:rPr>
            <w:sz w:val="18"/>
            <w:vertAlign w:val="baseline"/>
          </w:rPr>
          <w:t>Ameen,</w:t>
        </w:r>
        <w:r>
          <w:rPr>
            <w:spacing w:val="-4"/>
            <w:sz w:val="18"/>
            <w:vertAlign w:val="baseline"/>
          </w:rPr>
          <w:t> </w:t>
        </w:r>
        <w:r>
          <w:rPr>
            <w:sz w:val="18"/>
            <w:vertAlign w:val="baseline"/>
          </w:rPr>
          <w:t>Kate</w:t>
        </w:r>
        <w:r>
          <w:rPr>
            <w:spacing w:val="-3"/>
            <w:sz w:val="18"/>
            <w:vertAlign w:val="baseline"/>
          </w:rPr>
          <w:t> </w:t>
        </w:r>
        <w:r>
          <w:rPr>
            <w:sz w:val="18"/>
            <w:vertAlign w:val="baseline"/>
          </w:rPr>
          <w:t>Lowenstein,</w:t>
        </w:r>
        <w:r>
          <w:rPr>
            <w:spacing w:val="-4"/>
            <w:sz w:val="18"/>
            <w:vertAlign w:val="baseline"/>
          </w:rPr>
          <w:t> </w:t>
        </w:r>
        <w:r>
          <w:rPr>
            <w:sz w:val="18"/>
            <w:vertAlign w:val="baseline"/>
          </w:rPr>
          <w:t>and</w:t>
        </w:r>
        <w:r>
          <w:rPr>
            <w:spacing w:val="-3"/>
            <w:sz w:val="18"/>
            <w:vertAlign w:val="baseline"/>
          </w:rPr>
          <w:t> </w:t>
        </w:r>
        <w:r>
          <w:rPr>
            <w:sz w:val="18"/>
            <w:vertAlign w:val="baseline"/>
          </w:rPr>
          <w:t>Joan</w:t>
        </w:r>
        <w:r>
          <w:rPr>
            <w:spacing w:val="-3"/>
            <w:sz w:val="18"/>
            <w:vertAlign w:val="baseline"/>
          </w:rPr>
          <w:t> </w:t>
        </w:r>
        <w:r>
          <w:rPr>
            <w:sz w:val="18"/>
            <w:vertAlign w:val="baseline"/>
          </w:rPr>
          <w:t>Montgomery</w:t>
        </w:r>
        <w:r>
          <w:rPr>
            <w:spacing w:val="-3"/>
            <w:sz w:val="18"/>
            <w:vertAlign w:val="baseline"/>
          </w:rPr>
          <w:t> </w:t>
        </w:r>
        <w:r>
          <w:rPr>
            <w:sz w:val="18"/>
            <w:vertAlign w:val="baseline"/>
          </w:rPr>
          <w:t>Halford,</w:t>
        </w:r>
        <w:r>
          <w:rPr>
            <w:spacing w:val="-4"/>
            <w:sz w:val="18"/>
            <w:vertAlign w:val="baseline"/>
          </w:rPr>
          <w:t> </w:t>
        </w:r>
        <w:r>
          <w:rPr>
            <w:sz w:val="18"/>
            <w:vertAlign w:val="baseline"/>
          </w:rPr>
          <w:t>“Failing</w:t>
        </w:r>
        <w:r>
          <w:rPr>
            <w:spacing w:val="-3"/>
            <w:sz w:val="18"/>
            <w:vertAlign w:val="baseline"/>
          </w:rPr>
          <w:t> </w:t>
        </w:r>
        <w:r>
          <w:rPr>
            <w:sz w:val="18"/>
            <w:vertAlign w:val="baseline"/>
          </w:rPr>
          <w:t>Our</w:t>
        </w:r>
        <w:r>
          <w:rPr>
            <w:spacing w:val="-4"/>
            <w:sz w:val="18"/>
            <w:vertAlign w:val="baseline"/>
          </w:rPr>
          <w:t> </w:t>
        </w:r>
        <w:r>
          <w:rPr>
            <w:sz w:val="18"/>
            <w:vertAlign w:val="baseline"/>
          </w:rPr>
          <w:t>Kids”</w:t>
        </w:r>
        <w:r>
          <w:rPr>
            <w:spacing w:val="-3"/>
            <w:sz w:val="18"/>
            <w:vertAlign w:val="baseline"/>
          </w:rPr>
          <w:t> </w:t>
        </w:r>
        <w:r>
          <w:rPr>
            <w:sz w:val="18"/>
            <w:vertAlign w:val="baseline"/>
          </w:rPr>
          <w:t>(Friends</w:t>
        </w:r>
        <w:r>
          <w:rPr>
            <w:spacing w:val="-3"/>
            <w:sz w:val="18"/>
            <w:vertAlign w:val="baseline"/>
          </w:rPr>
          <w:t> </w:t>
        </w:r>
        <w:r>
          <w:rPr>
            <w:sz w:val="18"/>
            <w:vertAlign w:val="baseline"/>
          </w:rPr>
          <w:t>of</w:t>
        </w:r>
        <w:r>
          <w:rPr>
            <w:spacing w:val="-3"/>
            <w:sz w:val="18"/>
            <w:vertAlign w:val="baseline"/>
          </w:rPr>
          <w:t> </w:t>
        </w:r>
        <w:r>
          <w:rPr>
            <w:sz w:val="18"/>
            <w:vertAlign w:val="baseline"/>
          </w:rPr>
          <w:t>Children,</w:t>
        </w:r>
        <w:r>
          <w:rPr>
            <w:spacing w:val="-4"/>
            <w:sz w:val="18"/>
            <w:vertAlign w:val="baseline"/>
          </w:rPr>
          <w:t> </w:t>
        </w:r>
        <w:r>
          <w:rPr>
            <w:sz w:val="18"/>
            <w:vertAlign w:val="baseline"/>
          </w:rPr>
          <w:t>2021),</w:t>
        </w:r>
      </w:hyperlink>
      <w:r>
        <w:rPr>
          <w:sz w:val="18"/>
          <w:vertAlign w:val="baseline"/>
        </w:rPr>
        <w:t> </w:t>
      </w:r>
      <w:bookmarkStart w:name="_bookmark36" w:id="132"/>
      <w:bookmarkEnd w:id="132"/>
      <w:r>
        <w:rPr>
          <w:sz w:val="18"/>
          <w:vertAlign w:val="baseline"/>
        </w:rPr>
      </w:r>
      <w:hyperlink r:id="rId91">
        <w:r>
          <w:rPr>
            <w:spacing w:val="-2"/>
            <w:sz w:val="18"/>
            <w:vertAlign w:val="baseline"/>
          </w:rPr>
          <w:t>https://friendsofchildreninc.org/failing-our-kids/.</w:t>
        </w:r>
      </w:hyperlink>
    </w:p>
    <w:p>
      <w:pPr>
        <w:spacing w:before="0"/>
        <w:ind w:left="463" w:right="0" w:firstLine="0"/>
        <w:jc w:val="left"/>
        <w:rPr>
          <w:sz w:val="18"/>
        </w:rPr>
      </w:pPr>
      <w:r>
        <w:rPr>
          <w:sz w:val="18"/>
          <w:vertAlign w:val="superscript"/>
        </w:rPr>
        <w:t>28</w:t>
      </w:r>
      <w:r>
        <w:rPr>
          <w:spacing w:val="-13"/>
          <w:sz w:val="18"/>
          <w:vertAlign w:val="baseline"/>
        </w:rPr>
        <w:t> </w:t>
      </w:r>
      <w:bookmarkStart w:name="_bookmark37" w:id="133"/>
      <w:bookmarkEnd w:id="133"/>
      <w:r>
        <w:rPr>
          <w:spacing w:val="-13"/>
          <w:sz w:val="18"/>
          <w:vertAlign w:val="baseline"/>
        </w:rPr>
      </w:r>
      <w:hyperlink r:id="rId92">
        <w:r>
          <w:rPr>
            <w:sz w:val="18"/>
            <w:vertAlign w:val="baseline"/>
          </w:rPr>
          <w:t>Ameen,</w:t>
        </w:r>
        <w:r>
          <w:rPr>
            <w:spacing w:val="-5"/>
            <w:sz w:val="18"/>
            <w:vertAlign w:val="baseline"/>
          </w:rPr>
          <w:t> </w:t>
        </w:r>
        <w:r>
          <w:rPr>
            <w:sz w:val="18"/>
            <w:vertAlign w:val="baseline"/>
          </w:rPr>
          <w:t>Lowenstein,</w:t>
        </w:r>
        <w:r>
          <w:rPr>
            <w:spacing w:val="-3"/>
            <w:sz w:val="18"/>
            <w:vertAlign w:val="baseline"/>
          </w:rPr>
          <w:t> </w:t>
        </w:r>
        <w:r>
          <w:rPr>
            <w:sz w:val="18"/>
            <w:vertAlign w:val="baseline"/>
          </w:rPr>
          <w:t>and</w:t>
        </w:r>
        <w:r>
          <w:rPr>
            <w:spacing w:val="-1"/>
            <w:sz w:val="18"/>
            <w:vertAlign w:val="baseline"/>
          </w:rPr>
          <w:t> </w:t>
        </w:r>
        <w:r>
          <w:rPr>
            <w:spacing w:val="-2"/>
            <w:sz w:val="18"/>
            <w:vertAlign w:val="baseline"/>
          </w:rPr>
          <w:t>Halford.</w:t>
        </w:r>
      </w:hyperlink>
    </w:p>
    <w:p>
      <w:pPr>
        <w:spacing w:before="0"/>
        <w:ind w:left="463" w:right="289" w:hanging="1"/>
        <w:jc w:val="left"/>
        <w:rPr>
          <w:sz w:val="18"/>
        </w:rPr>
      </w:pPr>
      <w:r>
        <w:rPr>
          <w:sz w:val="18"/>
          <w:vertAlign w:val="superscript"/>
        </w:rPr>
        <w:t>29</w:t>
      </w:r>
      <w:r>
        <w:rPr>
          <w:spacing w:val="-13"/>
          <w:sz w:val="18"/>
          <w:vertAlign w:val="baseline"/>
        </w:rPr>
        <w:t> </w:t>
      </w:r>
      <w:hyperlink r:id="rId93">
        <w:r>
          <w:rPr>
            <w:sz w:val="18"/>
            <w:vertAlign w:val="baseline"/>
          </w:rPr>
          <w:t>Hussey,</w:t>
        </w:r>
        <w:r>
          <w:rPr>
            <w:spacing w:val="-4"/>
            <w:sz w:val="18"/>
            <w:vertAlign w:val="baseline"/>
          </w:rPr>
          <w:t> </w:t>
        </w:r>
        <w:r>
          <w:rPr>
            <w:sz w:val="18"/>
            <w:vertAlign w:val="baseline"/>
          </w:rPr>
          <w:t>Hannah,</w:t>
        </w:r>
        <w:r>
          <w:rPr>
            <w:spacing w:val="-3"/>
            <w:sz w:val="18"/>
            <w:vertAlign w:val="baseline"/>
          </w:rPr>
          <w:t> </w:t>
        </w:r>
        <w:r>
          <w:rPr>
            <w:sz w:val="18"/>
            <w:vertAlign w:val="baseline"/>
          </w:rPr>
          <w:t>“LGBTQ</w:t>
        </w:r>
        <w:r>
          <w:rPr>
            <w:spacing w:val="-2"/>
            <w:sz w:val="18"/>
            <w:vertAlign w:val="baseline"/>
          </w:rPr>
          <w:t> </w:t>
        </w:r>
        <w:r>
          <w:rPr>
            <w:sz w:val="18"/>
            <w:vertAlign w:val="baseline"/>
          </w:rPr>
          <w:t>Youth</w:t>
        </w:r>
        <w:r>
          <w:rPr>
            <w:spacing w:val="-3"/>
            <w:sz w:val="18"/>
            <w:vertAlign w:val="baseline"/>
          </w:rPr>
          <w:t> </w:t>
        </w:r>
        <w:r>
          <w:rPr>
            <w:sz w:val="18"/>
            <w:vertAlign w:val="baseline"/>
          </w:rPr>
          <w:t>in</w:t>
        </w:r>
        <w:r>
          <w:rPr>
            <w:spacing w:val="-2"/>
            <w:sz w:val="18"/>
            <w:vertAlign w:val="baseline"/>
          </w:rPr>
          <w:t> </w:t>
        </w:r>
        <w:r>
          <w:rPr>
            <w:sz w:val="18"/>
            <w:vertAlign w:val="baseline"/>
          </w:rPr>
          <w:t>the</w:t>
        </w:r>
        <w:r>
          <w:rPr>
            <w:spacing w:val="-2"/>
            <w:sz w:val="18"/>
            <w:vertAlign w:val="baseline"/>
          </w:rPr>
          <w:t> </w:t>
        </w:r>
        <w:r>
          <w:rPr>
            <w:sz w:val="18"/>
            <w:vertAlign w:val="baseline"/>
          </w:rPr>
          <w:t>Massachusetts</w:t>
        </w:r>
        <w:r>
          <w:rPr>
            <w:spacing w:val="-2"/>
            <w:sz w:val="18"/>
            <w:vertAlign w:val="baseline"/>
          </w:rPr>
          <w:t> </w:t>
        </w:r>
        <w:r>
          <w:rPr>
            <w:sz w:val="18"/>
            <w:vertAlign w:val="baseline"/>
          </w:rPr>
          <w:t>Child</w:t>
        </w:r>
        <w:r>
          <w:rPr>
            <w:spacing w:val="-2"/>
            <w:sz w:val="18"/>
            <w:vertAlign w:val="baseline"/>
          </w:rPr>
          <w:t> </w:t>
        </w:r>
        <w:r>
          <w:rPr>
            <w:sz w:val="18"/>
            <w:vertAlign w:val="baseline"/>
          </w:rPr>
          <w:t>Welfare</w:t>
        </w:r>
        <w:r>
          <w:rPr>
            <w:spacing w:val="-2"/>
            <w:sz w:val="18"/>
            <w:vertAlign w:val="baseline"/>
          </w:rPr>
          <w:t> </w:t>
        </w:r>
        <w:r>
          <w:rPr>
            <w:sz w:val="18"/>
            <w:vertAlign w:val="baseline"/>
          </w:rPr>
          <w:t>System:</w:t>
        </w:r>
        <w:r>
          <w:rPr>
            <w:spacing w:val="-4"/>
            <w:sz w:val="18"/>
            <w:vertAlign w:val="baseline"/>
          </w:rPr>
          <w:t> </w:t>
        </w:r>
        <w:r>
          <w:rPr>
            <w:sz w:val="18"/>
            <w:vertAlign w:val="baseline"/>
          </w:rPr>
          <w:t>A</w:t>
        </w:r>
        <w:r>
          <w:rPr>
            <w:spacing w:val="-2"/>
            <w:sz w:val="18"/>
            <w:vertAlign w:val="baseline"/>
          </w:rPr>
          <w:t> </w:t>
        </w:r>
        <w:r>
          <w:rPr>
            <w:sz w:val="18"/>
            <w:vertAlign w:val="baseline"/>
          </w:rPr>
          <w:t>Report</w:t>
        </w:r>
        <w:r>
          <w:rPr>
            <w:spacing w:val="-3"/>
            <w:sz w:val="18"/>
            <w:vertAlign w:val="baseline"/>
          </w:rPr>
          <w:t> </w:t>
        </w:r>
        <w:r>
          <w:rPr>
            <w:sz w:val="18"/>
            <w:vertAlign w:val="baseline"/>
          </w:rPr>
          <w:t>on</w:t>
        </w:r>
        <w:r>
          <w:rPr>
            <w:spacing w:val="-2"/>
            <w:sz w:val="18"/>
            <w:vertAlign w:val="baseline"/>
          </w:rPr>
          <w:t> </w:t>
        </w:r>
        <w:r>
          <w:rPr>
            <w:sz w:val="18"/>
            <w:vertAlign w:val="baseline"/>
          </w:rPr>
          <w:t>Pervasive</w:t>
        </w:r>
        <w:r>
          <w:rPr>
            <w:spacing w:val="-2"/>
            <w:sz w:val="18"/>
            <w:vertAlign w:val="baseline"/>
          </w:rPr>
          <w:t> </w:t>
        </w:r>
        <w:r>
          <w:rPr>
            <w:sz w:val="18"/>
            <w:vertAlign w:val="baseline"/>
          </w:rPr>
          <w:t>Threats</w:t>
        </w:r>
        <w:r>
          <w:rPr>
            <w:spacing w:val="-2"/>
            <w:sz w:val="18"/>
            <w:vertAlign w:val="baseline"/>
          </w:rPr>
          <w:t> </w:t>
        </w:r>
        <w:r>
          <w:rPr>
            <w:sz w:val="18"/>
            <w:vertAlign w:val="baseline"/>
          </w:rPr>
          <w:t>to</w:t>
        </w:r>
        <w:r>
          <w:rPr>
            <w:spacing w:val="-2"/>
            <w:sz w:val="18"/>
            <w:vertAlign w:val="baseline"/>
          </w:rPr>
          <w:t> </w:t>
        </w:r>
        <w:r>
          <w:rPr>
            <w:sz w:val="18"/>
            <w:vertAlign w:val="baseline"/>
          </w:rPr>
          <w:t>Safety,</w:t>
        </w:r>
      </w:hyperlink>
      <w:r>
        <w:rPr>
          <w:sz w:val="18"/>
          <w:vertAlign w:val="baseline"/>
        </w:rPr>
        <w:t> </w:t>
      </w:r>
      <w:bookmarkStart w:name="_bookmark38" w:id="134"/>
      <w:bookmarkEnd w:id="134"/>
      <w:r>
        <w:rPr>
          <w:sz w:val="18"/>
          <w:vertAlign w:val="baseline"/>
        </w:rPr>
      </w:r>
      <w:hyperlink r:id="rId93">
        <w:r>
          <w:rPr>
            <w:sz w:val="18"/>
            <w:vertAlign w:val="baseline"/>
          </w:rPr>
          <w:t>Wellbeing, and Permanency.”</w:t>
        </w:r>
      </w:hyperlink>
    </w:p>
    <w:p>
      <w:pPr>
        <w:spacing w:line="219" w:lineRule="exact" w:before="0"/>
        <w:ind w:left="463" w:right="0" w:firstLine="0"/>
        <w:jc w:val="left"/>
        <w:rPr>
          <w:sz w:val="18"/>
        </w:rPr>
      </w:pPr>
      <w:r>
        <w:rPr>
          <w:sz w:val="18"/>
          <w:vertAlign w:val="superscript"/>
        </w:rPr>
        <w:t>30</w:t>
      </w:r>
      <w:r>
        <w:rPr>
          <w:spacing w:val="-15"/>
          <w:sz w:val="18"/>
          <w:vertAlign w:val="baseline"/>
        </w:rPr>
        <w:t> </w:t>
      </w:r>
      <w:r>
        <w:rPr>
          <w:sz w:val="18"/>
          <w:vertAlign w:val="baseline"/>
        </w:rPr>
        <w:t>Department</w:t>
      </w:r>
      <w:r>
        <w:rPr>
          <w:spacing w:val="-6"/>
          <w:sz w:val="18"/>
          <w:vertAlign w:val="baseline"/>
        </w:rPr>
        <w:t> </w:t>
      </w:r>
      <w:r>
        <w:rPr>
          <w:sz w:val="18"/>
          <w:vertAlign w:val="baseline"/>
        </w:rPr>
        <w:t>of</w:t>
      </w:r>
      <w:r>
        <w:rPr>
          <w:spacing w:val="-3"/>
          <w:sz w:val="18"/>
          <w:vertAlign w:val="baseline"/>
        </w:rPr>
        <w:t> </w:t>
      </w:r>
      <w:r>
        <w:rPr>
          <w:sz w:val="18"/>
          <w:vertAlign w:val="baseline"/>
        </w:rPr>
        <w:t>Children</w:t>
      </w:r>
      <w:r>
        <w:rPr>
          <w:spacing w:val="-2"/>
          <w:sz w:val="18"/>
          <w:vertAlign w:val="baseline"/>
        </w:rPr>
        <w:t> </w:t>
      </w:r>
      <w:r>
        <w:rPr>
          <w:sz w:val="18"/>
          <w:vertAlign w:val="baseline"/>
        </w:rPr>
        <w:t>&amp;</w:t>
      </w:r>
      <w:r>
        <w:rPr>
          <w:spacing w:val="-4"/>
          <w:sz w:val="18"/>
          <w:vertAlign w:val="baseline"/>
        </w:rPr>
        <w:t> </w:t>
      </w:r>
      <w:r>
        <w:rPr>
          <w:sz w:val="18"/>
          <w:vertAlign w:val="baseline"/>
        </w:rPr>
        <w:t>Families,</w:t>
      </w:r>
      <w:r>
        <w:rPr>
          <w:spacing w:val="-3"/>
          <w:sz w:val="18"/>
          <w:vertAlign w:val="baseline"/>
        </w:rPr>
        <w:t> </w:t>
      </w:r>
      <w:r>
        <w:rPr>
          <w:sz w:val="18"/>
          <w:vertAlign w:val="baseline"/>
        </w:rPr>
        <w:t>“MASSACHUSETTS</w:t>
      </w:r>
      <w:r>
        <w:rPr>
          <w:spacing w:val="-3"/>
          <w:sz w:val="18"/>
          <w:vertAlign w:val="baseline"/>
        </w:rPr>
        <w:t> </w:t>
      </w:r>
      <w:r>
        <w:rPr>
          <w:sz w:val="18"/>
          <w:vertAlign w:val="baseline"/>
        </w:rPr>
        <w:t>DEPARTMENT</w:t>
      </w:r>
      <w:r>
        <w:rPr>
          <w:spacing w:val="-3"/>
          <w:sz w:val="18"/>
          <w:vertAlign w:val="baseline"/>
        </w:rPr>
        <w:t> </w:t>
      </w:r>
      <w:r>
        <w:rPr>
          <w:sz w:val="18"/>
          <w:vertAlign w:val="baseline"/>
        </w:rPr>
        <w:t>OF</w:t>
      </w:r>
      <w:r>
        <w:rPr>
          <w:spacing w:val="-2"/>
          <w:sz w:val="18"/>
          <w:vertAlign w:val="baseline"/>
        </w:rPr>
        <w:t> </w:t>
      </w:r>
      <w:r>
        <w:rPr>
          <w:sz w:val="18"/>
          <w:vertAlign w:val="baseline"/>
        </w:rPr>
        <w:t>CHILDREN</w:t>
      </w:r>
      <w:r>
        <w:rPr>
          <w:spacing w:val="-3"/>
          <w:sz w:val="18"/>
          <w:vertAlign w:val="baseline"/>
        </w:rPr>
        <w:t> </w:t>
      </w:r>
      <w:r>
        <w:rPr>
          <w:sz w:val="18"/>
          <w:vertAlign w:val="baseline"/>
        </w:rPr>
        <w:t>&amp;</w:t>
      </w:r>
      <w:r>
        <w:rPr>
          <w:spacing w:val="-4"/>
          <w:sz w:val="18"/>
          <w:vertAlign w:val="baseline"/>
        </w:rPr>
        <w:t> </w:t>
      </w:r>
      <w:r>
        <w:rPr>
          <w:sz w:val="18"/>
          <w:vertAlign w:val="baseline"/>
        </w:rPr>
        <w:t>FAMILIES</w:t>
      </w:r>
      <w:r>
        <w:rPr>
          <w:spacing w:val="-2"/>
          <w:sz w:val="18"/>
          <w:vertAlign w:val="baseline"/>
        </w:rPr>
        <w:t> </w:t>
      </w:r>
      <w:r>
        <w:rPr>
          <w:sz w:val="18"/>
          <w:vertAlign w:val="baseline"/>
        </w:rPr>
        <w:t>QUARTERLY</w:t>
      </w:r>
      <w:r>
        <w:rPr>
          <w:spacing w:val="-3"/>
          <w:sz w:val="18"/>
          <w:vertAlign w:val="baseline"/>
        </w:rPr>
        <w:t> </w:t>
      </w:r>
      <w:r>
        <w:rPr>
          <w:sz w:val="18"/>
          <w:vertAlign w:val="baseline"/>
        </w:rPr>
        <w:t>PROFILE</w:t>
      </w:r>
      <w:r>
        <w:rPr>
          <w:spacing w:val="-3"/>
          <w:sz w:val="18"/>
          <w:vertAlign w:val="baseline"/>
        </w:rPr>
        <w:t> </w:t>
      </w:r>
      <w:r>
        <w:rPr>
          <w:sz w:val="18"/>
          <w:vertAlign w:val="baseline"/>
        </w:rPr>
        <w:t>-</w:t>
      </w:r>
      <w:r>
        <w:rPr>
          <w:spacing w:val="-10"/>
          <w:sz w:val="18"/>
          <w:vertAlign w:val="baseline"/>
        </w:rPr>
        <w:t>-</w:t>
      </w:r>
    </w:p>
    <w:p>
      <w:pPr>
        <w:spacing w:before="0"/>
        <w:ind w:left="504" w:right="0" w:firstLine="0"/>
        <w:jc w:val="left"/>
        <w:rPr>
          <w:sz w:val="18"/>
        </w:rPr>
      </w:pPr>
      <w:r>
        <w:rPr>
          <w:sz w:val="18"/>
        </w:rPr>
        <w:t>FY’2023,</w:t>
      </w:r>
      <w:r>
        <w:rPr>
          <w:spacing w:val="-8"/>
          <w:sz w:val="18"/>
        </w:rPr>
        <w:t> </w:t>
      </w:r>
      <w:r>
        <w:rPr>
          <w:sz w:val="18"/>
        </w:rPr>
        <w:t>Q2</w:t>
      </w:r>
      <w:r>
        <w:rPr>
          <w:spacing w:val="-4"/>
          <w:sz w:val="18"/>
        </w:rPr>
        <w:t> </w:t>
      </w:r>
      <w:r>
        <w:rPr>
          <w:sz w:val="18"/>
        </w:rPr>
        <w:t>(10/01/22</w:t>
      </w:r>
      <w:r>
        <w:rPr>
          <w:spacing w:val="-5"/>
          <w:sz w:val="18"/>
        </w:rPr>
        <w:t> </w:t>
      </w:r>
      <w:r>
        <w:rPr>
          <w:sz w:val="18"/>
        </w:rPr>
        <w:t>-</w:t>
      </w:r>
      <w:r>
        <w:rPr>
          <w:spacing w:val="-5"/>
          <w:sz w:val="18"/>
        </w:rPr>
        <w:t> </w:t>
      </w:r>
      <w:r>
        <w:rPr>
          <w:sz w:val="18"/>
        </w:rPr>
        <w:t>12/31/22),”</w:t>
      </w:r>
      <w:r>
        <w:rPr>
          <w:spacing w:val="-5"/>
          <w:sz w:val="18"/>
        </w:rPr>
        <w:t> </w:t>
      </w:r>
      <w:r>
        <w:rPr>
          <w:sz w:val="18"/>
        </w:rPr>
        <w:t>n.d.,</w:t>
      </w:r>
      <w:r>
        <w:rPr>
          <w:spacing w:val="-5"/>
          <w:sz w:val="18"/>
        </w:rPr>
        <w:t> </w:t>
      </w:r>
      <w:r>
        <w:rPr>
          <w:sz w:val="18"/>
        </w:rPr>
        <w:t>https://</w:t>
      </w:r>
      <w:hyperlink r:id="rId94">
        <w:r>
          <w:rPr>
            <w:sz w:val="18"/>
          </w:rPr>
          <w:t>www.mass.gov/doc/quarter-</w:t>
        </w:r>
        <w:r>
          <w:rPr>
            <w:spacing w:val="-2"/>
            <w:sz w:val="18"/>
          </w:rPr>
          <w:t>2/download.</w:t>
        </w:r>
      </w:hyperlink>
    </w:p>
    <w:p>
      <w:pPr>
        <w:spacing w:after="0"/>
        <w:jc w:val="left"/>
        <w:rPr>
          <w:sz w:val="18"/>
        </w:rPr>
        <w:sectPr>
          <w:pgSz w:w="12240" w:h="15840"/>
          <w:pgMar w:header="804" w:footer="1263" w:top="1000" w:bottom="1460" w:left="980" w:right="1160"/>
        </w:sectPr>
      </w:pPr>
    </w:p>
    <w:p>
      <w:pPr>
        <w:pStyle w:val="BodyText"/>
        <w:rPr>
          <w:sz w:val="34"/>
        </w:rPr>
      </w:pPr>
    </w:p>
    <w:p>
      <w:pPr>
        <w:pStyle w:val="BodyText"/>
        <w:spacing w:before="243"/>
        <w:rPr>
          <w:sz w:val="34"/>
        </w:rPr>
      </w:pPr>
    </w:p>
    <w:p>
      <w:pPr>
        <w:spacing w:line="407" w:lineRule="exact" w:before="1"/>
        <w:ind w:left="654" w:right="0" w:firstLine="0"/>
        <w:jc w:val="left"/>
        <w:rPr>
          <w:sz w:val="34"/>
        </w:rPr>
      </w:pPr>
      <w:r>
        <w:rPr>
          <w:color w:val="FFFFFF"/>
          <w:w w:val="120"/>
          <w:sz w:val="34"/>
        </w:rPr>
        <w:t>COMMISSION</w:t>
      </w:r>
      <w:r>
        <w:rPr>
          <w:color w:val="FFFFFF"/>
          <w:spacing w:val="17"/>
          <w:w w:val="120"/>
          <w:sz w:val="34"/>
        </w:rPr>
        <w:t> </w:t>
      </w:r>
      <w:r>
        <w:rPr>
          <w:color w:val="FFFFFF"/>
          <w:w w:val="120"/>
          <w:sz w:val="34"/>
        </w:rPr>
        <w:t>ON</w:t>
      </w:r>
      <w:r>
        <w:rPr>
          <w:color w:val="FFFFFF"/>
          <w:spacing w:val="17"/>
          <w:w w:val="120"/>
          <w:sz w:val="34"/>
        </w:rPr>
        <w:t> </w:t>
      </w:r>
      <w:r>
        <w:rPr>
          <w:color w:val="FFFFFF"/>
          <w:w w:val="120"/>
          <w:sz w:val="34"/>
        </w:rPr>
        <w:t>LGBTQ</w:t>
      </w:r>
      <w:r>
        <w:rPr>
          <w:color w:val="FFFFFF"/>
          <w:spacing w:val="17"/>
          <w:w w:val="120"/>
          <w:sz w:val="34"/>
        </w:rPr>
        <w:t> </w:t>
      </w:r>
      <w:r>
        <w:rPr>
          <w:color w:val="FFFFFF"/>
          <w:spacing w:val="-2"/>
          <w:w w:val="120"/>
          <w:sz w:val="34"/>
        </w:rPr>
        <w:t>YOUTH</w:t>
      </w:r>
    </w:p>
    <w:p>
      <w:pPr>
        <w:spacing w:line="218" w:lineRule="auto" w:before="42"/>
        <w:ind w:left="654" w:right="4502" w:firstLine="0"/>
        <w:jc w:val="left"/>
        <w:rPr>
          <w:rFonts w:ascii="Verdana"/>
          <w:b/>
          <w:sz w:val="55"/>
        </w:rPr>
      </w:pPr>
      <w:r>
        <w:rPr>
          <w:rFonts w:ascii="Verdana"/>
          <w:b/>
          <w:color w:val="FFFFFF"/>
          <w:spacing w:val="-6"/>
          <w:sz w:val="55"/>
        </w:rPr>
        <w:t>EMOTIONAL </w:t>
      </w:r>
      <w:r>
        <w:rPr>
          <w:rFonts w:ascii="Verdana"/>
          <w:b/>
          <w:color w:val="FFFFFF"/>
          <w:w w:val="90"/>
          <w:sz w:val="55"/>
        </w:rPr>
        <w:t>WELLBEING </w:t>
      </w:r>
      <w:r>
        <w:rPr>
          <w:rFonts w:ascii="Verdana"/>
          <w:b/>
          <w:color w:val="FFFFFF"/>
          <w:w w:val="90"/>
          <w:sz w:val="55"/>
        </w:rPr>
        <w:t>AND </w:t>
      </w:r>
      <w:r>
        <w:rPr>
          <w:rFonts w:ascii="Verdana"/>
          <w:b/>
          <w:color w:val="FFFFFF"/>
          <w:spacing w:val="-18"/>
          <w:sz w:val="55"/>
        </w:rPr>
        <w:t>CHILD</w:t>
      </w:r>
      <w:r>
        <w:rPr>
          <w:rFonts w:ascii="Verdana"/>
          <w:b/>
          <w:color w:val="FFFFFF"/>
          <w:spacing w:val="-72"/>
          <w:sz w:val="55"/>
        </w:rPr>
        <w:t> </w:t>
      </w:r>
      <w:r>
        <w:rPr>
          <w:rFonts w:ascii="Verdana"/>
          <w:b/>
          <w:color w:val="FFFFFF"/>
          <w:spacing w:val="-18"/>
          <w:sz w:val="55"/>
        </w:rPr>
        <w:t>WELFARE</w:t>
      </w:r>
    </w:p>
    <w:p>
      <w:pPr>
        <w:pStyle w:val="BodyText"/>
        <w:rPr>
          <w:rFonts w:ascii="Verdana"/>
          <w:b/>
          <w:sz w:val="20"/>
        </w:rPr>
      </w:pPr>
    </w:p>
    <w:p>
      <w:pPr>
        <w:pStyle w:val="BodyText"/>
        <w:rPr>
          <w:rFonts w:ascii="Verdana"/>
          <w:b/>
          <w:sz w:val="20"/>
        </w:rPr>
      </w:pPr>
    </w:p>
    <w:p>
      <w:pPr>
        <w:pStyle w:val="BodyText"/>
        <w:rPr>
          <w:rFonts w:ascii="Verdana"/>
          <w:b/>
          <w:sz w:val="20"/>
        </w:rPr>
      </w:pPr>
    </w:p>
    <w:p>
      <w:pPr>
        <w:pStyle w:val="BodyText"/>
        <w:rPr>
          <w:rFonts w:ascii="Verdana"/>
          <w:b/>
          <w:sz w:val="20"/>
        </w:rPr>
      </w:pPr>
    </w:p>
    <w:p>
      <w:pPr>
        <w:pStyle w:val="BodyText"/>
        <w:spacing w:before="108"/>
        <w:rPr>
          <w:rFonts w:ascii="Verdana"/>
          <w:b/>
          <w:sz w:val="20"/>
        </w:rPr>
      </w:pPr>
    </w:p>
    <w:p>
      <w:pPr>
        <w:spacing w:after="0"/>
        <w:rPr>
          <w:rFonts w:ascii="Verdana"/>
          <w:sz w:val="20"/>
        </w:rPr>
        <w:sectPr>
          <w:headerReference w:type="default" r:id="rId95"/>
          <w:footerReference w:type="default" r:id="rId96"/>
          <w:pgSz w:w="12240" w:h="15840"/>
          <w:pgMar w:header="0" w:footer="0" w:top="0" w:bottom="280" w:left="940" w:right="1320"/>
        </w:sectPr>
      </w:pPr>
    </w:p>
    <w:p>
      <w:pPr>
        <w:pStyle w:val="Heading9"/>
        <w:ind w:left="391"/>
        <w:rPr>
          <w:i/>
        </w:rPr>
      </w:pPr>
      <w:r>
        <w:rPr>
          <w:i/>
          <w:spacing w:val="11"/>
          <w:w w:val="125"/>
        </w:rPr>
        <w:t>ABOUT</w:t>
      </w:r>
    </w:p>
    <w:p>
      <w:pPr>
        <w:spacing w:line="232" w:lineRule="auto" w:before="127"/>
        <w:ind w:left="2018" w:right="514" w:hanging="1236"/>
        <w:jc w:val="left"/>
        <w:rPr>
          <w:rFonts w:ascii="Book Antiqua"/>
          <w:i/>
          <w:sz w:val="25"/>
        </w:rPr>
      </w:pPr>
      <w:r>
        <w:rPr>
          <w:rFonts w:ascii="Book Antiqua"/>
          <w:i/>
          <w:sz w:val="25"/>
        </w:rPr>
        <w:t>"</w:t>
      </w:r>
      <w:r>
        <w:rPr>
          <w:rFonts w:ascii="Book Antiqua"/>
          <w:i/>
          <w:spacing w:val="-16"/>
          <w:sz w:val="25"/>
        </w:rPr>
        <w:t> </w:t>
      </w:r>
      <w:r>
        <w:rPr>
          <w:rFonts w:ascii="Book Antiqua"/>
          <w:i/>
          <w:w w:val="120"/>
          <w:sz w:val="25"/>
        </w:rPr>
        <w:t>H</w:t>
      </w:r>
      <w:r>
        <w:rPr>
          <w:rFonts w:ascii="Book Antiqua"/>
          <w:i/>
          <w:spacing w:val="-26"/>
          <w:w w:val="120"/>
          <w:sz w:val="25"/>
        </w:rPr>
        <w:t> </w:t>
      </w:r>
      <w:r>
        <w:rPr>
          <w:rFonts w:ascii="Book Antiqua"/>
          <w:i/>
          <w:w w:val="120"/>
          <w:sz w:val="25"/>
        </w:rPr>
        <w:t>E</w:t>
      </w:r>
      <w:r>
        <w:rPr>
          <w:rFonts w:ascii="Book Antiqua"/>
          <w:i/>
          <w:spacing w:val="-25"/>
          <w:w w:val="120"/>
          <w:sz w:val="25"/>
        </w:rPr>
        <w:t> </w:t>
      </w:r>
      <w:r>
        <w:rPr>
          <w:rFonts w:ascii="Book Antiqua"/>
          <w:i/>
          <w:w w:val="120"/>
          <w:sz w:val="25"/>
        </w:rPr>
        <w:t>L</w:t>
      </w:r>
      <w:r>
        <w:rPr>
          <w:rFonts w:ascii="Book Antiqua"/>
          <w:i/>
          <w:spacing w:val="-26"/>
          <w:w w:val="120"/>
          <w:sz w:val="25"/>
        </w:rPr>
        <w:t> </w:t>
      </w:r>
      <w:r>
        <w:rPr>
          <w:rFonts w:ascii="Book Antiqua"/>
          <w:i/>
          <w:w w:val="120"/>
          <w:sz w:val="25"/>
        </w:rPr>
        <w:t>P</w:t>
      </w:r>
      <w:r>
        <w:rPr>
          <w:rFonts w:ascii="Book Antiqua"/>
          <w:i/>
          <w:spacing w:val="-25"/>
          <w:w w:val="120"/>
          <w:sz w:val="25"/>
        </w:rPr>
        <w:t> </w:t>
      </w:r>
      <w:r>
        <w:rPr>
          <w:rFonts w:ascii="Book Antiqua"/>
          <w:i/>
          <w:w w:val="120"/>
          <w:sz w:val="25"/>
        </w:rPr>
        <w:t>I</w:t>
      </w:r>
      <w:r>
        <w:rPr>
          <w:rFonts w:ascii="Book Antiqua"/>
          <w:i/>
          <w:spacing w:val="-26"/>
          <w:w w:val="120"/>
          <w:sz w:val="25"/>
        </w:rPr>
        <w:t> </w:t>
      </w:r>
      <w:r>
        <w:rPr>
          <w:rFonts w:ascii="Book Antiqua"/>
          <w:i/>
          <w:w w:val="120"/>
          <w:sz w:val="25"/>
        </w:rPr>
        <w:t>N</w:t>
      </w:r>
      <w:r>
        <w:rPr>
          <w:rFonts w:ascii="Book Antiqua"/>
          <w:i/>
          <w:spacing w:val="-25"/>
          <w:w w:val="120"/>
          <w:sz w:val="25"/>
        </w:rPr>
        <w:t> </w:t>
      </w:r>
      <w:r>
        <w:rPr>
          <w:rFonts w:ascii="Book Antiqua"/>
          <w:i/>
          <w:w w:val="120"/>
          <w:sz w:val="25"/>
        </w:rPr>
        <w:t>G</w:t>
      </w:r>
      <w:r>
        <w:rPr>
          <w:rFonts w:ascii="Book Antiqua"/>
          <w:i/>
          <w:spacing w:val="36"/>
          <w:w w:val="120"/>
          <w:sz w:val="25"/>
        </w:rPr>
        <w:t> </w:t>
      </w:r>
      <w:r>
        <w:rPr>
          <w:rFonts w:ascii="Book Antiqua"/>
          <w:i/>
          <w:w w:val="120"/>
          <w:sz w:val="25"/>
        </w:rPr>
        <w:t>A</w:t>
      </w:r>
      <w:r>
        <w:rPr>
          <w:rFonts w:ascii="Book Antiqua"/>
          <w:i/>
          <w:spacing w:val="-26"/>
          <w:w w:val="120"/>
          <w:sz w:val="25"/>
        </w:rPr>
        <w:t> </w:t>
      </w:r>
      <w:r>
        <w:rPr>
          <w:rFonts w:ascii="Book Antiqua"/>
          <w:i/>
          <w:w w:val="120"/>
          <w:sz w:val="25"/>
        </w:rPr>
        <w:t>L</w:t>
      </w:r>
      <w:r>
        <w:rPr>
          <w:rFonts w:ascii="Book Antiqua"/>
          <w:i/>
          <w:spacing w:val="-25"/>
          <w:w w:val="120"/>
          <w:sz w:val="25"/>
        </w:rPr>
        <w:t> </w:t>
      </w:r>
      <w:r>
        <w:rPr>
          <w:rFonts w:ascii="Book Antiqua"/>
          <w:i/>
          <w:w w:val="120"/>
          <w:sz w:val="25"/>
        </w:rPr>
        <w:t>L</w:t>
      </w:r>
      <w:r>
        <w:rPr>
          <w:rFonts w:ascii="Book Antiqua"/>
          <w:i/>
          <w:spacing w:val="52"/>
          <w:w w:val="120"/>
          <w:sz w:val="25"/>
        </w:rPr>
        <w:t> </w:t>
      </w:r>
      <w:r>
        <w:rPr>
          <w:rFonts w:ascii="Book Antiqua"/>
          <w:i/>
          <w:w w:val="120"/>
          <w:sz w:val="25"/>
        </w:rPr>
        <w:t>Y</w:t>
      </w:r>
      <w:r>
        <w:rPr>
          <w:rFonts w:ascii="Book Antiqua"/>
          <w:i/>
          <w:spacing w:val="-25"/>
          <w:w w:val="120"/>
          <w:sz w:val="25"/>
        </w:rPr>
        <w:t> </w:t>
      </w:r>
      <w:r>
        <w:rPr>
          <w:rFonts w:ascii="Book Antiqua"/>
          <w:i/>
          <w:w w:val="120"/>
          <w:sz w:val="25"/>
        </w:rPr>
        <w:t>O</w:t>
      </w:r>
      <w:r>
        <w:rPr>
          <w:rFonts w:ascii="Book Antiqua"/>
          <w:i/>
          <w:spacing w:val="-26"/>
          <w:w w:val="120"/>
          <w:sz w:val="25"/>
        </w:rPr>
        <w:t> </w:t>
      </w:r>
      <w:r>
        <w:rPr>
          <w:rFonts w:ascii="Book Antiqua"/>
          <w:i/>
          <w:w w:val="120"/>
          <w:sz w:val="25"/>
        </w:rPr>
        <w:t>U</w:t>
      </w:r>
      <w:r>
        <w:rPr>
          <w:rFonts w:ascii="Book Antiqua"/>
          <w:i/>
          <w:spacing w:val="-25"/>
          <w:w w:val="120"/>
          <w:sz w:val="25"/>
        </w:rPr>
        <w:t> </w:t>
      </w:r>
      <w:r>
        <w:rPr>
          <w:rFonts w:ascii="Book Antiqua"/>
          <w:i/>
          <w:w w:val="120"/>
          <w:sz w:val="25"/>
        </w:rPr>
        <w:t>T</w:t>
      </w:r>
      <w:r>
        <w:rPr>
          <w:rFonts w:ascii="Book Antiqua"/>
          <w:i/>
          <w:spacing w:val="-26"/>
          <w:w w:val="120"/>
          <w:sz w:val="25"/>
        </w:rPr>
        <w:t> </w:t>
      </w:r>
      <w:r>
        <w:rPr>
          <w:rFonts w:ascii="Book Antiqua"/>
          <w:i/>
          <w:w w:val="120"/>
          <w:sz w:val="25"/>
        </w:rPr>
        <w:t>H</w:t>
      </w:r>
      <w:r>
        <w:rPr>
          <w:rFonts w:ascii="Book Antiqua"/>
          <w:i/>
          <w:w w:val="120"/>
          <w:sz w:val="25"/>
        </w:rPr>
        <w:t> T</w:t>
      </w:r>
      <w:r>
        <w:rPr>
          <w:rFonts w:ascii="Book Antiqua"/>
          <w:i/>
          <w:spacing w:val="-3"/>
          <w:w w:val="120"/>
          <w:sz w:val="25"/>
        </w:rPr>
        <w:t> </w:t>
      </w:r>
      <w:r>
        <w:rPr>
          <w:rFonts w:ascii="Book Antiqua"/>
          <w:i/>
          <w:w w:val="120"/>
          <w:sz w:val="25"/>
        </w:rPr>
        <w:t>H</w:t>
      </w:r>
      <w:r>
        <w:rPr>
          <w:rFonts w:ascii="Book Antiqua"/>
          <w:i/>
          <w:spacing w:val="-3"/>
          <w:w w:val="120"/>
          <w:sz w:val="25"/>
        </w:rPr>
        <w:t> </w:t>
      </w:r>
      <w:r>
        <w:rPr>
          <w:rFonts w:ascii="Book Antiqua"/>
          <w:i/>
          <w:w w:val="120"/>
          <w:sz w:val="25"/>
        </w:rPr>
        <w:t>R</w:t>
      </w:r>
      <w:r>
        <w:rPr>
          <w:rFonts w:ascii="Book Antiqua"/>
          <w:i/>
          <w:spacing w:val="-3"/>
          <w:w w:val="120"/>
          <w:sz w:val="25"/>
        </w:rPr>
        <w:t> </w:t>
      </w:r>
      <w:r>
        <w:rPr>
          <w:rFonts w:ascii="Book Antiqua"/>
          <w:i/>
          <w:w w:val="120"/>
          <w:sz w:val="25"/>
        </w:rPr>
        <w:t>I</w:t>
      </w:r>
      <w:r>
        <w:rPr>
          <w:rFonts w:ascii="Book Antiqua"/>
          <w:i/>
          <w:spacing w:val="-3"/>
          <w:w w:val="120"/>
          <w:sz w:val="25"/>
        </w:rPr>
        <w:t> </w:t>
      </w:r>
      <w:r>
        <w:rPr>
          <w:rFonts w:ascii="Book Antiqua"/>
          <w:i/>
          <w:w w:val="120"/>
          <w:sz w:val="25"/>
        </w:rPr>
        <w:t>V</w:t>
      </w:r>
      <w:r>
        <w:rPr>
          <w:rFonts w:ascii="Book Antiqua"/>
          <w:i/>
          <w:spacing w:val="-3"/>
          <w:w w:val="120"/>
          <w:sz w:val="25"/>
        </w:rPr>
        <w:t> </w:t>
      </w:r>
      <w:r>
        <w:rPr>
          <w:rFonts w:ascii="Book Antiqua"/>
          <w:i/>
          <w:w w:val="120"/>
          <w:sz w:val="25"/>
        </w:rPr>
        <w:t>E</w:t>
      </w:r>
      <w:r>
        <w:rPr>
          <w:rFonts w:ascii="Book Antiqua"/>
          <w:i/>
          <w:spacing w:val="-3"/>
          <w:w w:val="120"/>
          <w:sz w:val="25"/>
        </w:rPr>
        <w:t> </w:t>
      </w:r>
      <w:r>
        <w:rPr>
          <w:rFonts w:ascii="Book Antiqua"/>
          <w:i/>
          <w:sz w:val="25"/>
        </w:rPr>
        <w:t>"</w:t>
      </w:r>
    </w:p>
    <w:p>
      <w:pPr>
        <w:spacing w:line="266" w:lineRule="auto" w:before="110"/>
        <w:ind w:left="303" w:right="38" w:firstLine="0"/>
        <w:jc w:val="both"/>
        <w:rPr>
          <w:rFonts w:ascii="Georgia"/>
          <w:sz w:val="24"/>
        </w:rPr>
      </w:pPr>
      <w:r>
        <w:rPr>
          <w:rFonts w:ascii="Garamond"/>
          <w:w w:val="105"/>
          <w:sz w:val="24"/>
        </w:rPr>
        <w:t>I</w:t>
      </w:r>
      <w:r>
        <w:rPr>
          <w:rFonts w:ascii="Georgia"/>
          <w:w w:val="105"/>
          <w:sz w:val="24"/>
        </w:rPr>
        <w:t>n</w:t>
      </w:r>
      <w:r>
        <w:rPr>
          <w:rFonts w:ascii="Georgia"/>
          <w:w w:val="105"/>
          <w:sz w:val="24"/>
        </w:rPr>
        <w:t> order</w:t>
      </w:r>
      <w:r>
        <w:rPr>
          <w:rFonts w:ascii="Georgia"/>
          <w:w w:val="105"/>
          <w:sz w:val="24"/>
        </w:rPr>
        <w:t> to</w:t>
      </w:r>
      <w:r>
        <w:rPr>
          <w:rFonts w:ascii="Georgia"/>
          <w:w w:val="105"/>
          <w:sz w:val="24"/>
        </w:rPr>
        <w:t> best</w:t>
      </w:r>
      <w:r>
        <w:rPr>
          <w:rFonts w:ascii="Georgia"/>
          <w:w w:val="105"/>
          <w:sz w:val="24"/>
        </w:rPr>
        <w:t> serve</w:t>
      </w:r>
      <w:r>
        <w:rPr>
          <w:rFonts w:ascii="Georgia"/>
          <w:w w:val="105"/>
          <w:sz w:val="24"/>
        </w:rPr>
        <w:t> our</w:t>
      </w:r>
      <w:r>
        <w:rPr>
          <w:rFonts w:ascii="Georgia"/>
          <w:w w:val="105"/>
          <w:sz w:val="24"/>
        </w:rPr>
        <w:t> youth</w:t>
      </w:r>
      <w:r>
        <w:rPr>
          <w:rFonts w:ascii="Georgia"/>
          <w:w w:val="105"/>
          <w:sz w:val="24"/>
        </w:rPr>
        <w:t> in complicated</w:t>
      </w:r>
      <w:r>
        <w:rPr>
          <w:rFonts w:ascii="Georgia"/>
          <w:w w:val="105"/>
          <w:sz w:val="24"/>
        </w:rPr>
        <w:t> times,</w:t>
      </w:r>
      <w:r>
        <w:rPr>
          <w:rFonts w:ascii="Georgia"/>
          <w:w w:val="105"/>
          <w:sz w:val="24"/>
        </w:rPr>
        <w:t> leaders</w:t>
      </w:r>
      <w:r>
        <w:rPr>
          <w:rFonts w:ascii="Georgia"/>
          <w:w w:val="105"/>
          <w:sz w:val="24"/>
        </w:rPr>
        <w:t> must</w:t>
      </w:r>
      <w:r>
        <w:rPr>
          <w:rFonts w:ascii="Georgia"/>
          <w:w w:val="105"/>
          <w:sz w:val="24"/>
        </w:rPr>
        <w:t> understand all</w:t>
      </w:r>
      <w:r>
        <w:rPr>
          <w:rFonts w:ascii="Georgia"/>
          <w:spacing w:val="-8"/>
          <w:w w:val="105"/>
          <w:sz w:val="24"/>
        </w:rPr>
        <w:t> </w:t>
      </w:r>
      <w:r>
        <w:rPr>
          <w:rFonts w:ascii="Georgia"/>
          <w:w w:val="105"/>
          <w:sz w:val="24"/>
        </w:rPr>
        <w:t>youth.</w:t>
      </w:r>
      <w:r>
        <w:rPr>
          <w:rFonts w:ascii="Georgia"/>
          <w:spacing w:val="-8"/>
          <w:w w:val="105"/>
          <w:sz w:val="24"/>
        </w:rPr>
        <w:t> </w:t>
      </w:r>
      <w:r>
        <w:rPr>
          <w:rFonts w:ascii="Georgia"/>
          <w:w w:val="105"/>
          <w:sz w:val="24"/>
        </w:rPr>
        <w:t>Understanding</w:t>
      </w:r>
      <w:r>
        <w:rPr>
          <w:rFonts w:ascii="Georgia"/>
          <w:spacing w:val="-8"/>
          <w:w w:val="105"/>
          <w:sz w:val="24"/>
        </w:rPr>
        <w:t> </w:t>
      </w:r>
      <w:r>
        <w:rPr>
          <w:rFonts w:ascii="Georgia"/>
          <w:w w:val="105"/>
          <w:sz w:val="24"/>
        </w:rPr>
        <w:t>the</w:t>
      </w:r>
      <w:r>
        <w:rPr>
          <w:rFonts w:ascii="Georgia"/>
          <w:spacing w:val="-8"/>
          <w:w w:val="105"/>
          <w:sz w:val="24"/>
        </w:rPr>
        <w:t> </w:t>
      </w:r>
      <w:r>
        <w:rPr>
          <w:rFonts w:ascii="Georgia"/>
          <w:w w:val="105"/>
          <w:sz w:val="24"/>
        </w:rPr>
        <w:t>intersectionality of</w:t>
      </w:r>
      <w:r>
        <w:rPr>
          <w:rFonts w:ascii="Georgia"/>
          <w:w w:val="105"/>
          <w:sz w:val="24"/>
        </w:rPr>
        <w:t> identity</w:t>
      </w:r>
      <w:r>
        <w:rPr>
          <w:rFonts w:ascii="Georgia"/>
          <w:w w:val="105"/>
          <w:sz w:val="24"/>
        </w:rPr>
        <w:t> of</w:t>
      </w:r>
      <w:r>
        <w:rPr>
          <w:rFonts w:ascii="Georgia"/>
          <w:w w:val="105"/>
          <w:sz w:val="24"/>
        </w:rPr>
        <w:t> our</w:t>
      </w:r>
      <w:r>
        <w:rPr>
          <w:rFonts w:ascii="Georgia"/>
          <w:w w:val="105"/>
          <w:sz w:val="24"/>
        </w:rPr>
        <w:t> LGBTQ</w:t>
      </w:r>
      <w:r>
        <w:rPr>
          <w:rFonts w:ascii="Georgia"/>
          <w:w w:val="105"/>
          <w:sz w:val="24"/>
        </w:rPr>
        <w:t> youth</w:t>
      </w:r>
      <w:r>
        <w:rPr>
          <w:rFonts w:ascii="Georgia"/>
          <w:w w:val="105"/>
          <w:sz w:val="24"/>
        </w:rPr>
        <w:t> gives</w:t>
      </w:r>
      <w:r>
        <w:rPr>
          <w:rFonts w:ascii="Georgia"/>
          <w:w w:val="105"/>
          <w:sz w:val="24"/>
        </w:rPr>
        <w:t> insight into their mental stressors.</w:t>
      </w:r>
    </w:p>
    <w:p>
      <w:pPr>
        <w:spacing w:before="98"/>
        <w:ind w:left="1187" w:right="0" w:firstLine="0"/>
        <w:jc w:val="left"/>
        <w:rPr>
          <w:rFonts w:ascii="Verdana"/>
          <w:b/>
          <w:sz w:val="77"/>
        </w:rPr>
      </w:pPr>
      <w:r>
        <w:rPr/>
        <w:br w:type="column"/>
      </w:r>
      <w:r>
        <w:rPr>
          <w:rFonts w:ascii="Verdana"/>
          <w:b/>
          <w:emboss/>
          <w:color w:val="FF66C3"/>
          <w:spacing w:val="20"/>
          <w:w w:val="85"/>
          <w:sz w:val="77"/>
        </w:rPr>
        <w:t>90%</w:t>
      </w:r>
    </w:p>
    <w:p>
      <w:pPr>
        <w:pStyle w:val="BodyText"/>
        <w:spacing w:line="266" w:lineRule="auto" w:before="96"/>
        <w:ind w:left="303" w:right="163" w:hanging="1"/>
        <w:jc w:val="center"/>
        <w:rPr>
          <w:rFonts w:ascii="Georgia"/>
        </w:rPr>
      </w:pPr>
      <w:r>
        <w:rPr>
          <w:rFonts w:ascii="Georgia"/>
        </w:rPr>
        <w:t>Of LGBTQ youth in Massachusetts </w:t>
      </w:r>
      <w:r>
        <w:rPr>
          <w:rFonts w:ascii="Georgia"/>
          <w:spacing w:val="-2"/>
          <w:w w:val="105"/>
        </w:rPr>
        <w:t>claim</w:t>
      </w:r>
      <w:r>
        <w:rPr>
          <w:rFonts w:ascii="Georgia"/>
          <w:spacing w:val="-12"/>
          <w:w w:val="105"/>
        </w:rPr>
        <w:t> </w:t>
      </w:r>
      <w:r>
        <w:rPr>
          <w:rFonts w:ascii="Georgia"/>
          <w:spacing w:val="-2"/>
          <w:w w:val="105"/>
        </w:rPr>
        <w:t>that</w:t>
      </w:r>
      <w:r>
        <w:rPr>
          <w:rFonts w:ascii="Georgia"/>
          <w:spacing w:val="-11"/>
          <w:w w:val="105"/>
        </w:rPr>
        <w:t> </w:t>
      </w:r>
      <w:r>
        <w:rPr>
          <w:rFonts w:ascii="Georgia"/>
          <w:spacing w:val="-2"/>
          <w:w w:val="105"/>
        </w:rPr>
        <w:t>recent</w:t>
      </w:r>
      <w:r>
        <w:rPr>
          <w:rFonts w:ascii="Georgia"/>
          <w:spacing w:val="-12"/>
          <w:w w:val="105"/>
        </w:rPr>
        <w:t> </w:t>
      </w:r>
      <w:r>
        <w:rPr>
          <w:rFonts w:ascii="Georgia"/>
          <w:spacing w:val="-2"/>
          <w:w w:val="105"/>
        </w:rPr>
        <w:t>national</w:t>
      </w:r>
      <w:r>
        <w:rPr>
          <w:rFonts w:ascii="Georgia"/>
          <w:spacing w:val="-11"/>
          <w:w w:val="105"/>
        </w:rPr>
        <w:t> </w:t>
      </w:r>
      <w:r>
        <w:rPr>
          <w:rFonts w:ascii="Georgia"/>
          <w:spacing w:val="-2"/>
          <w:w w:val="105"/>
        </w:rPr>
        <w:t>rhetoric </w:t>
      </w:r>
      <w:r>
        <w:rPr>
          <w:rFonts w:ascii="Georgia"/>
          <w:w w:val="105"/>
        </w:rPr>
        <w:t>has</w:t>
      </w:r>
      <w:r>
        <w:rPr>
          <w:rFonts w:ascii="Georgia"/>
          <w:spacing w:val="-7"/>
          <w:w w:val="105"/>
        </w:rPr>
        <w:t> </w:t>
      </w:r>
      <w:r>
        <w:rPr>
          <w:rFonts w:ascii="Georgia"/>
          <w:w w:val="105"/>
        </w:rPr>
        <w:t>negatively</w:t>
      </w:r>
      <w:r>
        <w:rPr>
          <w:rFonts w:ascii="Georgia"/>
          <w:spacing w:val="-7"/>
          <w:w w:val="105"/>
        </w:rPr>
        <w:t> </w:t>
      </w:r>
      <w:r>
        <w:rPr>
          <w:rFonts w:ascii="Georgia"/>
          <w:w w:val="105"/>
        </w:rPr>
        <w:t>affected</w:t>
      </w:r>
      <w:r>
        <w:rPr>
          <w:rFonts w:ascii="Georgia"/>
          <w:spacing w:val="-7"/>
          <w:w w:val="105"/>
        </w:rPr>
        <w:t> </w:t>
      </w:r>
      <w:r>
        <w:rPr>
          <w:rFonts w:ascii="Georgia"/>
          <w:w w:val="105"/>
        </w:rPr>
        <w:t>their</w:t>
      </w:r>
      <w:r>
        <w:rPr>
          <w:rFonts w:ascii="Georgia"/>
          <w:spacing w:val="-7"/>
          <w:w w:val="105"/>
        </w:rPr>
        <w:t> </w:t>
      </w:r>
      <w:r>
        <w:rPr>
          <w:rFonts w:ascii="Georgia"/>
          <w:w w:val="105"/>
        </w:rPr>
        <w:t>well- </w:t>
      </w:r>
      <w:r>
        <w:rPr>
          <w:rFonts w:ascii="Georgia"/>
          <w:spacing w:val="-2"/>
          <w:w w:val="105"/>
        </w:rPr>
        <w:t>being</w:t>
      </w:r>
    </w:p>
    <w:p>
      <w:pPr>
        <w:pStyle w:val="BodyText"/>
        <w:spacing w:before="66"/>
        <w:rPr>
          <w:rFonts w:ascii="Georgia"/>
        </w:rPr>
      </w:pPr>
    </w:p>
    <w:p>
      <w:pPr>
        <w:pStyle w:val="Heading3"/>
        <w:ind w:left="1327"/>
      </w:pPr>
      <w:r>
        <w:rPr>
          <w:emboss/>
          <w:color w:val="FF66C3"/>
          <w:spacing w:val="19"/>
          <w:w w:val="75"/>
        </w:rPr>
        <w:t>51%</w:t>
      </w:r>
    </w:p>
    <w:p>
      <w:pPr>
        <w:pStyle w:val="BodyText"/>
        <w:spacing w:line="266" w:lineRule="auto" w:before="14"/>
        <w:ind w:left="273"/>
        <w:jc w:val="center"/>
        <w:rPr>
          <w:rFonts w:ascii="Georgia"/>
        </w:rPr>
      </w:pPr>
      <w:r>
        <w:rPr/>
        <mc:AlternateContent>
          <mc:Choice Requires="wps">
            <w:drawing>
              <wp:anchor distT="0" distB="0" distL="0" distR="0" allowOverlap="1" layoutInCell="1" locked="0" behindDoc="0" simplePos="0" relativeHeight="15740928">
                <wp:simplePos x="0" y="0"/>
                <wp:positionH relativeFrom="page">
                  <wp:posOffset>661416</wp:posOffset>
                </wp:positionH>
                <wp:positionV relativeFrom="paragraph">
                  <wp:posOffset>562506</wp:posOffset>
                </wp:positionV>
                <wp:extent cx="3473450" cy="2251710"/>
                <wp:effectExtent l="0" t="0" r="0" b="0"/>
                <wp:wrapNone/>
                <wp:docPr id="95" name="Group 95"/>
                <wp:cNvGraphicFramePr>
                  <a:graphicFrameLocks/>
                </wp:cNvGraphicFramePr>
                <a:graphic>
                  <a:graphicData uri="http://schemas.microsoft.com/office/word/2010/wordprocessingGroup">
                    <wpg:wgp>
                      <wpg:cNvPr id="95" name="Group 95"/>
                      <wpg:cNvGrpSpPr/>
                      <wpg:grpSpPr>
                        <a:xfrm>
                          <a:off x="0" y="0"/>
                          <a:ext cx="3473450" cy="2251710"/>
                          <a:chExt cx="3473450" cy="2251710"/>
                        </a:xfrm>
                      </wpg:grpSpPr>
                      <wps:wsp>
                        <wps:cNvPr id="96" name="Graphic 96"/>
                        <wps:cNvSpPr/>
                        <wps:spPr>
                          <a:xfrm>
                            <a:off x="0" y="0"/>
                            <a:ext cx="3473450" cy="2251710"/>
                          </a:xfrm>
                          <a:custGeom>
                            <a:avLst/>
                            <a:gdLst/>
                            <a:ahLst/>
                            <a:cxnLst/>
                            <a:rect l="l" t="t" r="r" b="b"/>
                            <a:pathLst>
                              <a:path w="3473450" h="2251710">
                                <a:moveTo>
                                  <a:pt x="3113780" y="2251087"/>
                                </a:moveTo>
                                <a:lnTo>
                                  <a:pt x="361948" y="2251087"/>
                                </a:lnTo>
                                <a:lnTo>
                                  <a:pt x="312835" y="2247783"/>
                                </a:lnTo>
                                <a:lnTo>
                                  <a:pt x="265729" y="2238158"/>
                                </a:lnTo>
                                <a:lnTo>
                                  <a:pt x="221062" y="2222644"/>
                                </a:lnTo>
                                <a:lnTo>
                                  <a:pt x="179266" y="2201671"/>
                                </a:lnTo>
                                <a:lnTo>
                                  <a:pt x="140773" y="2175671"/>
                                </a:lnTo>
                                <a:lnTo>
                                  <a:pt x="106012" y="2145075"/>
                                </a:lnTo>
                                <a:lnTo>
                                  <a:pt x="75416" y="2110314"/>
                                </a:lnTo>
                                <a:lnTo>
                                  <a:pt x="49416" y="2071821"/>
                                </a:lnTo>
                                <a:lnTo>
                                  <a:pt x="28443" y="2030025"/>
                                </a:lnTo>
                                <a:lnTo>
                                  <a:pt x="12929" y="1985358"/>
                                </a:lnTo>
                                <a:lnTo>
                                  <a:pt x="3304" y="1938252"/>
                                </a:lnTo>
                                <a:lnTo>
                                  <a:pt x="0" y="1889137"/>
                                </a:lnTo>
                                <a:lnTo>
                                  <a:pt x="0" y="361950"/>
                                </a:lnTo>
                                <a:lnTo>
                                  <a:pt x="3304" y="312835"/>
                                </a:lnTo>
                                <a:lnTo>
                                  <a:pt x="12929" y="265729"/>
                                </a:lnTo>
                                <a:lnTo>
                                  <a:pt x="28443" y="221062"/>
                                </a:lnTo>
                                <a:lnTo>
                                  <a:pt x="49416" y="179266"/>
                                </a:lnTo>
                                <a:lnTo>
                                  <a:pt x="75416" y="140773"/>
                                </a:lnTo>
                                <a:lnTo>
                                  <a:pt x="106012" y="106012"/>
                                </a:lnTo>
                                <a:lnTo>
                                  <a:pt x="140773" y="75416"/>
                                </a:lnTo>
                                <a:lnTo>
                                  <a:pt x="179266" y="49416"/>
                                </a:lnTo>
                                <a:lnTo>
                                  <a:pt x="221062" y="28443"/>
                                </a:lnTo>
                                <a:lnTo>
                                  <a:pt x="265729" y="12929"/>
                                </a:lnTo>
                                <a:lnTo>
                                  <a:pt x="312835" y="3304"/>
                                </a:lnTo>
                                <a:lnTo>
                                  <a:pt x="361950" y="0"/>
                                </a:lnTo>
                                <a:lnTo>
                                  <a:pt x="3113778" y="0"/>
                                </a:lnTo>
                                <a:lnTo>
                                  <a:pt x="3162893" y="3304"/>
                                </a:lnTo>
                                <a:lnTo>
                                  <a:pt x="3209999" y="12929"/>
                                </a:lnTo>
                                <a:lnTo>
                                  <a:pt x="3254666" y="28443"/>
                                </a:lnTo>
                                <a:lnTo>
                                  <a:pt x="3296461" y="49416"/>
                                </a:lnTo>
                                <a:lnTo>
                                  <a:pt x="3334955" y="75416"/>
                                </a:lnTo>
                                <a:lnTo>
                                  <a:pt x="3369716" y="106012"/>
                                </a:lnTo>
                                <a:lnTo>
                                  <a:pt x="3400312" y="140773"/>
                                </a:lnTo>
                                <a:lnTo>
                                  <a:pt x="3426312" y="179266"/>
                                </a:lnTo>
                                <a:lnTo>
                                  <a:pt x="3447285" y="221062"/>
                                </a:lnTo>
                                <a:lnTo>
                                  <a:pt x="3462799" y="265729"/>
                                </a:lnTo>
                                <a:lnTo>
                                  <a:pt x="3472424" y="312835"/>
                                </a:lnTo>
                                <a:lnTo>
                                  <a:pt x="3473358" y="326710"/>
                                </a:lnTo>
                                <a:lnTo>
                                  <a:pt x="3473358" y="1924377"/>
                                </a:lnTo>
                                <a:lnTo>
                                  <a:pt x="3462799" y="1985358"/>
                                </a:lnTo>
                                <a:lnTo>
                                  <a:pt x="3447285" y="2030025"/>
                                </a:lnTo>
                                <a:lnTo>
                                  <a:pt x="3426312" y="2071821"/>
                                </a:lnTo>
                                <a:lnTo>
                                  <a:pt x="3400312" y="2110314"/>
                                </a:lnTo>
                                <a:lnTo>
                                  <a:pt x="3369716" y="2145075"/>
                                </a:lnTo>
                                <a:lnTo>
                                  <a:pt x="3334955" y="2175671"/>
                                </a:lnTo>
                                <a:lnTo>
                                  <a:pt x="3296461" y="2201671"/>
                                </a:lnTo>
                                <a:lnTo>
                                  <a:pt x="3254666" y="2222644"/>
                                </a:lnTo>
                                <a:lnTo>
                                  <a:pt x="3209999" y="2238158"/>
                                </a:lnTo>
                                <a:lnTo>
                                  <a:pt x="3162893" y="2247783"/>
                                </a:lnTo>
                                <a:lnTo>
                                  <a:pt x="3113780" y="2251087"/>
                                </a:lnTo>
                                <a:close/>
                              </a:path>
                            </a:pathLst>
                          </a:custGeom>
                          <a:solidFill>
                            <a:srgbClr val="FFAFC7">
                              <a:alpha val="55999"/>
                            </a:srgbClr>
                          </a:solidFill>
                        </wps:spPr>
                        <wps:bodyPr wrap="square" lIns="0" tIns="0" rIns="0" bIns="0" rtlCol="0">
                          <a:prstTxWarp prst="textNoShape">
                            <a:avLst/>
                          </a:prstTxWarp>
                          <a:noAutofit/>
                        </wps:bodyPr>
                      </wps:wsp>
                      <wps:wsp>
                        <wps:cNvPr id="97" name="Graphic 97"/>
                        <wps:cNvSpPr/>
                        <wps:spPr>
                          <a:xfrm>
                            <a:off x="183883" y="383926"/>
                            <a:ext cx="485140" cy="485140"/>
                          </a:xfrm>
                          <a:custGeom>
                            <a:avLst/>
                            <a:gdLst/>
                            <a:ahLst/>
                            <a:cxnLst/>
                            <a:rect l="l" t="t" r="r" b="b"/>
                            <a:pathLst>
                              <a:path w="485140" h="485140">
                                <a:moveTo>
                                  <a:pt x="458533" y="235204"/>
                                </a:moveTo>
                                <a:lnTo>
                                  <a:pt x="452996" y="193154"/>
                                </a:lnTo>
                                <a:lnTo>
                                  <a:pt x="439369" y="152996"/>
                                </a:lnTo>
                                <a:lnTo>
                                  <a:pt x="418160" y="116268"/>
                                </a:lnTo>
                                <a:lnTo>
                                  <a:pt x="390194" y="84378"/>
                                </a:lnTo>
                                <a:lnTo>
                                  <a:pt x="356552" y="58559"/>
                                </a:lnTo>
                                <a:lnTo>
                                  <a:pt x="318516" y="39801"/>
                                </a:lnTo>
                                <a:lnTo>
                                  <a:pt x="277545" y="28829"/>
                                </a:lnTo>
                                <a:lnTo>
                                  <a:pt x="249389" y="26047"/>
                                </a:lnTo>
                                <a:lnTo>
                                  <a:pt x="235229" y="26047"/>
                                </a:lnTo>
                                <a:lnTo>
                                  <a:pt x="193179" y="31584"/>
                                </a:lnTo>
                                <a:lnTo>
                                  <a:pt x="153009" y="45224"/>
                                </a:lnTo>
                                <a:lnTo>
                                  <a:pt x="116281" y="66433"/>
                                </a:lnTo>
                                <a:lnTo>
                                  <a:pt x="84404" y="94386"/>
                                </a:lnTo>
                                <a:lnTo>
                                  <a:pt x="58585" y="128041"/>
                                </a:lnTo>
                                <a:lnTo>
                                  <a:pt x="39827" y="166077"/>
                                </a:lnTo>
                                <a:lnTo>
                                  <a:pt x="28841" y="207048"/>
                                </a:lnTo>
                                <a:lnTo>
                                  <a:pt x="26073" y="235204"/>
                                </a:lnTo>
                                <a:lnTo>
                                  <a:pt x="26073" y="249364"/>
                                </a:lnTo>
                                <a:lnTo>
                                  <a:pt x="31610" y="291414"/>
                                </a:lnTo>
                                <a:lnTo>
                                  <a:pt x="45250" y="331571"/>
                                </a:lnTo>
                                <a:lnTo>
                                  <a:pt x="66446" y="368300"/>
                                </a:lnTo>
                                <a:lnTo>
                                  <a:pt x="94411" y="400189"/>
                                </a:lnTo>
                                <a:lnTo>
                                  <a:pt x="128066" y="426008"/>
                                </a:lnTo>
                                <a:lnTo>
                                  <a:pt x="166103" y="444766"/>
                                </a:lnTo>
                                <a:lnTo>
                                  <a:pt x="207060" y="455739"/>
                                </a:lnTo>
                                <a:lnTo>
                                  <a:pt x="235229" y="458520"/>
                                </a:lnTo>
                                <a:lnTo>
                                  <a:pt x="249389" y="458520"/>
                                </a:lnTo>
                                <a:lnTo>
                                  <a:pt x="291439" y="452983"/>
                                </a:lnTo>
                                <a:lnTo>
                                  <a:pt x="331597" y="439343"/>
                                </a:lnTo>
                                <a:lnTo>
                                  <a:pt x="368325" y="418134"/>
                                </a:lnTo>
                                <a:lnTo>
                                  <a:pt x="400215" y="390169"/>
                                </a:lnTo>
                                <a:lnTo>
                                  <a:pt x="426034" y="356527"/>
                                </a:lnTo>
                                <a:lnTo>
                                  <a:pt x="444792" y="318490"/>
                                </a:lnTo>
                                <a:lnTo>
                                  <a:pt x="455764" y="277520"/>
                                </a:lnTo>
                                <a:lnTo>
                                  <a:pt x="458533" y="249364"/>
                                </a:lnTo>
                                <a:lnTo>
                                  <a:pt x="458533" y="242277"/>
                                </a:lnTo>
                                <a:lnTo>
                                  <a:pt x="458533" y="235204"/>
                                </a:lnTo>
                                <a:close/>
                              </a:path>
                              <a:path w="485140" h="485140">
                                <a:moveTo>
                                  <a:pt x="484593" y="242290"/>
                                </a:moveTo>
                                <a:lnTo>
                                  <a:pt x="479653" y="193522"/>
                                </a:lnTo>
                                <a:lnTo>
                                  <a:pt x="467982" y="155994"/>
                                </a:lnTo>
                                <a:lnTo>
                                  <a:pt x="467982" y="242290"/>
                                </a:lnTo>
                                <a:lnTo>
                                  <a:pt x="463384" y="287718"/>
                                </a:lnTo>
                                <a:lnTo>
                                  <a:pt x="450215" y="330060"/>
                                </a:lnTo>
                                <a:lnTo>
                                  <a:pt x="429387" y="368388"/>
                                </a:lnTo>
                                <a:lnTo>
                                  <a:pt x="401802" y="401802"/>
                                </a:lnTo>
                                <a:lnTo>
                                  <a:pt x="368388" y="429374"/>
                                </a:lnTo>
                                <a:lnTo>
                                  <a:pt x="330060" y="450202"/>
                                </a:lnTo>
                                <a:lnTo>
                                  <a:pt x="287718" y="463372"/>
                                </a:lnTo>
                                <a:lnTo>
                                  <a:pt x="242290" y="467969"/>
                                </a:lnTo>
                                <a:lnTo>
                                  <a:pt x="196862" y="463372"/>
                                </a:lnTo>
                                <a:lnTo>
                                  <a:pt x="154533" y="450215"/>
                                </a:lnTo>
                                <a:lnTo>
                                  <a:pt x="116205" y="429374"/>
                                </a:lnTo>
                                <a:lnTo>
                                  <a:pt x="82791" y="401802"/>
                                </a:lnTo>
                                <a:lnTo>
                                  <a:pt x="55206" y="368388"/>
                                </a:lnTo>
                                <a:lnTo>
                                  <a:pt x="34378" y="330060"/>
                                </a:lnTo>
                                <a:lnTo>
                                  <a:pt x="21209" y="287718"/>
                                </a:lnTo>
                                <a:lnTo>
                                  <a:pt x="16611" y="242290"/>
                                </a:lnTo>
                                <a:lnTo>
                                  <a:pt x="21209" y="196862"/>
                                </a:lnTo>
                                <a:lnTo>
                                  <a:pt x="34378" y="154533"/>
                                </a:lnTo>
                                <a:lnTo>
                                  <a:pt x="55206" y="116205"/>
                                </a:lnTo>
                                <a:lnTo>
                                  <a:pt x="82791" y="82791"/>
                                </a:lnTo>
                                <a:lnTo>
                                  <a:pt x="116205" y="55206"/>
                                </a:lnTo>
                                <a:lnTo>
                                  <a:pt x="154533" y="34378"/>
                                </a:lnTo>
                                <a:lnTo>
                                  <a:pt x="196862" y="21209"/>
                                </a:lnTo>
                                <a:lnTo>
                                  <a:pt x="242290" y="16611"/>
                                </a:lnTo>
                                <a:lnTo>
                                  <a:pt x="287718" y="21209"/>
                                </a:lnTo>
                                <a:lnTo>
                                  <a:pt x="330060" y="34378"/>
                                </a:lnTo>
                                <a:lnTo>
                                  <a:pt x="368388" y="55206"/>
                                </a:lnTo>
                                <a:lnTo>
                                  <a:pt x="401815" y="82791"/>
                                </a:lnTo>
                                <a:lnTo>
                                  <a:pt x="429387" y="116205"/>
                                </a:lnTo>
                                <a:lnTo>
                                  <a:pt x="450227" y="154533"/>
                                </a:lnTo>
                                <a:lnTo>
                                  <a:pt x="463397" y="196862"/>
                                </a:lnTo>
                                <a:lnTo>
                                  <a:pt x="467982" y="242290"/>
                                </a:lnTo>
                                <a:lnTo>
                                  <a:pt x="467982" y="155994"/>
                                </a:lnTo>
                                <a:lnTo>
                                  <a:pt x="443153" y="106921"/>
                                </a:lnTo>
                                <a:lnTo>
                                  <a:pt x="413537" y="71043"/>
                                </a:lnTo>
                                <a:lnTo>
                                  <a:pt x="377659" y="41440"/>
                                </a:lnTo>
                                <a:lnTo>
                                  <a:pt x="336511" y="19075"/>
                                </a:lnTo>
                                <a:lnTo>
                                  <a:pt x="291058" y="4940"/>
                                </a:lnTo>
                                <a:lnTo>
                                  <a:pt x="242290" y="0"/>
                                </a:lnTo>
                                <a:lnTo>
                                  <a:pt x="193522" y="4940"/>
                                </a:lnTo>
                                <a:lnTo>
                                  <a:pt x="148069" y="19075"/>
                                </a:lnTo>
                                <a:lnTo>
                                  <a:pt x="106908" y="41440"/>
                                </a:lnTo>
                                <a:lnTo>
                                  <a:pt x="71043" y="71043"/>
                                </a:lnTo>
                                <a:lnTo>
                                  <a:pt x="41440" y="106921"/>
                                </a:lnTo>
                                <a:lnTo>
                                  <a:pt x="19075" y="148069"/>
                                </a:lnTo>
                                <a:lnTo>
                                  <a:pt x="4940" y="193522"/>
                                </a:lnTo>
                                <a:lnTo>
                                  <a:pt x="0" y="242290"/>
                                </a:lnTo>
                                <a:lnTo>
                                  <a:pt x="4940" y="291058"/>
                                </a:lnTo>
                                <a:lnTo>
                                  <a:pt x="19075" y="336511"/>
                                </a:lnTo>
                                <a:lnTo>
                                  <a:pt x="41440" y="377659"/>
                                </a:lnTo>
                                <a:lnTo>
                                  <a:pt x="71043" y="413537"/>
                                </a:lnTo>
                                <a:lnTo>
                                  <a:pt x="106908" y="443141"/>
                                </a:lnTo>
                                <a:lnTo>
                                  <a:pt x="148069" y="465505"/>
                                </a:lnTo>
                                <a:lnTo>
                                  <a:pt x="193522" y="479640"/>
                                </a:lnTo>
                                <a:lnTo>
                                  <a:pt x="242290" y="484581"/>
                                </a:lnTo>
                                <a:lnTo>
                                  <a:pt x="291058" y="479640"/>
                                </a:lnTo>
                                <a:lnTo>
                                  <a:pt x="328599" y="467969"/>
                                </a:lnTo>
                                <a:lnTo>
                                  <a:pt x="377672" y="443141"/>
                                </a:lnTo>
                                <a:lnTo>
                                  <a:pt x="413550" y="413537"/>
                                </a:lnTo>
                                <a:lnTo>
                                  <a:pt x="443153" y="377659"/>
                                </a:lnTo>
                                <a:lnTo>
                                  <a:pt x="465518" y="336511"/>
                                </a:lnTo>
                                <a:lnTo>
                                  <a:pt x="479653" y="291058"/>
                                </a:lnTo>
                                <a:lnTo>
                                  <a:pt x="484593" y="242290"/>
                                </a:lnTo>
                                <a:close/>
                              </a:path>
                            </a:pathLst>
                          </a:custGeom>
                          <a:solidFill>
                            <a:srgbClr val="F4B648"/>
                          </a:solidFill>
                        </wps:spPr>
                        <wps:bodyPr wrap="square" lIns="0" tIns="0" rIns="0" bIns="0" rtlCol="0">
                          <a:prstTxWarp prst="textNoShape">
                            <a:avLst/>
                          </a:prstTxWarp>
                          <a:noAutofit/>
                        </wps:bodyPr>
                      </wps:wsp>
                      <wps:wsp>
                        <wps:cNvPr id="98" name="Graphic 98"/>
                        <wps:cNvSpPr/>
                        <wps:spPr>
                          <a:xfrm>
                            <a:off x="341596" y="481158"/>
                            <a:ext cx="179705" cy="287020"/>
                          </a:xfrm>
                          <a:custGeom>
                            <a:avLst/>
                            <a:gdLst/>
                            <a:ahLst/>
                            <a:cxnLst/>
                            <a:rect l="l" t="t" r="r" b="b"/>
                            <a:pathLst>
                              <a:path w="179705" h="287020">
                                <a:moveTo>
                                  <a:pt x="179170" y="287009"/>
                                </a:moveTo>
                                <a:lnTo>
                                  <a:pt x="3469" y="286457"/>
                                </a:lnTo>
                                <a:lnTo>
                                  <a:pt x="3711" y="214278"/>
                                </a:lnTo>
                                <a:lnTo>
                                  <a:pt x="26157" y="214346"/>
                                </a:lnTo>
                                <a:lnTo>
                                  <a:pt x="31250" y="212199"/>
                                </a:lnTo>
                                <a:lnTo>
                                  <a:pt x="37899" y="203496"/>
                                </a:lnTo>
                                <a:lnTo>
                                  <a:pt x="39566" y="198810"/>
                                </a:lnTo>
                                <a:lnTo>
                                  <a:pt x="39886" y="100149"/>
                                </a:lnTo>
                                <a:lnTo>
                                  <a:pt x="0" y="100018"/>
                                </a:lnTo>
                                <a:lnTo>
                                  <a:pt x="174" y="35805"/>
                                </a:lnTo>
                                <a:lnTo>
                                  <a:pt x="40976" y="25993"/>
                                </a:lnTo>
                                <a:lnTo>
                                  <a:pt x="54210" y="0"/>
                                </a:lnTo>
                                <a:lnTo>
                                  <a:pt x="144309" y="310"/>
                                </a:lnTo>
                                <a:lnTo>
                                  <a:pt x="143659" y="202391"/>
                                </a:lnTo>
                                <a:lnTo>
                                  <a:pt x="179446" y="214816"/>
                                </a:lnTo>
                                <a:lnTo>
                                  <a:pt x="179170" y="287009"/>
                                </a:lnTo>
                                <a:close/>
                              </a:path>
                            </a:pathLst>
                          </a:custGeom>
                          <a:solidFill>
                            <a:srgbClr val="FFFFFF"/>
                          </a:solidFill>
                        </wps:spPr>
                        <wps:bodyPr wrap="square" lIns="0" tIns="0" rIns="0" bIns="0" rtlCol="0">
                          <a:prstTxWarp prst="textNoShape">
                            <a:avLst/>
                          </a:prstTxWarp>
                          <a:noAutofit/>
                        </wps:bodyPr>
                      </wps:wsp>
                      <wps:wsp>
                        <wps:cNvPr id="99" name="Graphic 99"/>
                        <wps:cNvSpPr/>
                        <wps:spPr>
                          <a:xfrm>
                            <a:off x="183883" y="1044720"/>
                            <a:ext cx="483234" cy="483234"/>
                          </a:xfrm>
                          <a:custGeom>
                            <a:avLst/>
                            <a:gdLst/>
                            <a:ahLst/>
                            <a:cxnLst/>
                            <a:rect l="l" t="t" r="r" b="b"/>
                            <a:pathLst>
                              <a:path w="483234" h="483234">
                                <a:moveTo>
                                  <a:pt x="457123" y="234467"/>
                                </a:moveTo>
                                <a:lnTo>
                                  <a:pt x="451612" y="192557"/>
                                </a:lnTo>
                                <a:lnTo>
                                  <a:pt x="438023" y="152514"/>
                                </a:lnTo>
                                <a:lnTo>
                                  <a:pt x="416877" y="115900"/>
                                </a:lnTo>
                                <a:lnTo>
                                  <a:pt x="389001" y="84112"/>
                                </a:lnTo>
                                <a:lnTo>
                                  <a:pt x="355460" y="58369"/>
                                </a:lnTo>
                                <a:lnTo>
                                  <a:pt x="317538" y="39674"/>
                                </a:lnTo>
                                <a:lnTo>
                                  <a:pt x="276694" y="28727"/>
                                </a:lnTo>
                                <a:lnTo>
                                  <a:pt x="248627" y="25971"/>
                                </a:lnTo>
                                <a:lnTo>
                                  <a:pt x="234505" y="25971"/>
                                </a:lnTo>
                                <a:lnTo>
                                  <a:pt x="192582" y="31483"/>
                                </a:lnTo>
                                <a:lnTo>
                                  <a:pt x="152539" y="45072"/>
                                </a:lnTo>
                                <a:lnTo>
                                  <a:pt x="115925" y="66217"/>
                                </a:lnTo>
                                <a:lnTo>
                                  <a:pt x="84137" y="94094"/>
                                </a:lnTo>
                                <a:lnTo>
                                  <a:pt x="58407" y="127635"/>
                                </a:lnTo>
                                <a:lnTo>
                                  <a:pt x="39700" y="165557"/>
                                </a:lnTo>
                                <a:lnTo>
                                  <a:pt x="28765" y="206400"/>
                                </a:lnTo>
                                <a:lnTo>
                                  <a:pt x="25996" y="234467"/>
                                </a:lnTo>
                                <a:lnTo>
                                  <a:pt x="25996" y="248589"/>
                                </a:lnTo>
                                <a:lnTo>
                                  <a:pt x="31508" y="290512"/>
                                </a:lnTo>
                                <a:lnTo>
                                  <a:pt x="45110" y="330555"/>
                                </a:lnTo>
                                <a:lnTo>
                                  <a:pt x="66243" y="367169"/>
                                </a:lnTo>
                                <a:lnTo>
                                  <a:pt x="94119" y="398957"/>
                                </a:lnTo>
                                <a:lnTo>
                                  <a:pt x="127673" y="424688"/>
                                </a:lnTo>
                                <a:lnTo>
                                  <a:pt x="165595" y="443395"/>
                                </a:lnTo>
                                <a:lnTo>
                                  <a:pt x="206425" y="454329"/>
                                </a:lnTo>
                                <a:lnTo>
                                  <a:pt x="234505" y="457098"/>
                                </a:lnTo>
                                <a:lnTo>
                                  <a:pt x="248627" y="457098"/>
                                </a:lnTo>
                                <a:lnTo>
                                  <a:pt x="290537" y="451586"/>
                                </a:lnTo>
                                <a:lnTo>
                                  <a:pt x="330581" y="437984"/>
                                </a:lnTo>
                                <a:lnTo>
                                  <a:pt x="367195" y="416852"/>
                                </a:lnTo>
                                <a:lnTo>
                                  <a:pt x="398983" y="388975"/>
                                </a:lnTo>
                                <a:lnTo>
                                  <a:pt x="424726" y="355422"/>
                                </a:lnTo>
                                <a:lnTo>
                                  <a:pt x="443420" y="317500"/>
                                </a:lnTo>
                                <a:lnTo>
                                  <a:pt x="454367" y="276669"/>
                                </a:lnTo>
                                <a:lnTo>
                                  <a:pt x="457123" y="248589"/>
                                </a:lnTo>
                                <a:lnTo>
                                  <a:pt x="457123" y="241528"/>
                                </a:lnTo>
                                <a:lnTo>
                                  <a:pt x="457123" y="234467"/>
                                </a:lnTo>
                                <a:close/>
                              </a:path>
                              <a:path w="483234" h="483234">
                                <a:moveTo>
                                  <a:pt x="483095" y="241541"/>
                                </a:moveTo>
                                <a:lnTo>
                                  <a:pt x="478180" y="192925"/>
                                </a:lnTo>
                                <a:lnTo>
                                  <a:pt x="466547" y="155536"/>
                                </a:lnTo>
                                <a:lnTo>
                                  <a:pt x="466547" y="241541"/>
                                </a:lnTo>
                                <a:lnTo>
                                  <a:pt x="461962" y="286829"/>
                                </a:lnTo>
                                <a:lnTo>
                                  <a:pt x="448830" y="329031"/>
                                </a:lnTo>
                                <a:lnTo>
                                  <a:pt x="428066" y="367245"/>
                                </a:lnTo>
                                <a:lnTo>
                                  <a:pt x="400570" y="400558"/>
                                </a:lnTo>
                                <a:lnTo>
                                  <a:pt x="367258" y="428053"/>
                                </a:lnTo>
                                <a:lnTo>
                                  <a:pt x="329044" y="448818"/>
                                </a:lnTo>
                                <a:lnTo>
                                  <a:pt x="286829" y="461949"/>
                                </a:lnTo>
                                <a:lnTo>
                                  <a:pt x="241541" y="466521"/>
                                </a:lnTo>
                                <a:lnTo>
                                  <a:pt x="196265" y="461949"/>
                                </a:lnTo>
                                <a:lnTo>
                                  <a:pt x="154063" y="448818"/>
                                </a:lnTo>
                                <a:lnTo>
                                  <a:pt x="115849" y="428053"/>
                                </a:lnTo>
                                <a:lnTo>
                                  <a:pt x="82537" y="400558"/>
                                </a:lnTo>
                                <a:lnTo>
                                  <a:pt x="55041" y="367258"/>
                                </a:lnTo>
                                <a:lnTo>
                                  <a:pt x="34264" y="329044"/>
                                </a:lnTo>
                                <a:lnTo>
                                  <a:pt x="21145" y="286829"/>
                                </a:lnTo>
                                <a:lnTo>
                                  <a:pt x="16560" y="241541"/>
                                </a:lnTo>
                                <a:lnTo>
                                  <a:pt x="21132" y="196253"/>
                                </a:lnTo>
                                <a:lnTo>
                                  <a:pt x="34264" y="154051"/>
                                </a:lnTo>
                                <a:lnTo>
                                  <a:pt x="55041" y="115836"/>
                                </a:lnTo>
                                <a:lnTo>
                                  <a:pt x="82537" y="82524"/>
                                </a:lnTo>
                                <a:lnTo>
                                  <a:pt x="115849" y="55029"/>
                                </a:lnTo>
                                <a:lnTo>
                                  <a:pt x="154063" y="34264"/>
                                </a:lnTo>
                                <a:lnTo>
                                  <a:pt x="196265" y="21132"/>
                                </a:lnTo>
                                <a:lnTo>
                                  <a:pt x="241541" y="16560"/>
                                </a:lnTo>
                                <a:lnTo>
                                  <a:pt x="286829" y="21132"/>
                                </a:lnTo>
                                <a:lnTo>
                                  <a:pt x="329044" y="34264"/>
                                </a:lnTo>
                                <a:lnTo>
                                  <a:pt x="367258" y="55029"/>
                                </a:lnTo>
                                <a:lnTo>
                                  <a:pt x="400570" y="82524"/>
                                </a:lnTo>
                                <a:lnTo>
                                  <a:pt x="428078" y="115836"/>
                                </a:lnTo>
                                <a:lnTo>
                                  <a:pt x="448843" y="154051"/>
                                </a:lnTo>
                                <a:lnTo>
                                  <a:pt x="461975" y="196253"/>
                                </a:lnTo>
                                <a:lnTo>
                                  <a:pt x="466547" y="241541"/>
                                </a:lnTo>
                                <a:lnTo>
                                  <a:pt x="466547" y="155536"/>
                                </a:lnTo>
                                <a:lnTo>
                                  <a:pt x="441794" y="106578"/>
                                </a:lnTo>
                                <a:lnTo>
                                  <a:pt x="412267" y="70827"/>
                                </a:lnTo>
                                <a:lnTo>
                                  <a:pt x="376504" y="41300"/>
                                </a:lnTo>
                                <a:lnTo>
                                  <a:pt x="335483" y="19011"/>
                                </a:lnTo>
                                <a:lnTo>
                                  <a:pt x="327583" y="16560"/>
                                </a:lnTo>
                                <a:lnTo>
                                  <a:pt x="290156" y="4914"/>
                                </a:lnTo>
                                <a:lnTo>
                                  <a:pt x="241541" y="0"/>
                                </a:lnTo>
                                <a:lnTo>
                                  <a:pt x="192925" y="4914"/>
                                </a:lnTo>
                                <a:lnTo>
                                  <a:pt x="147612" y="19011"/>
                                </a:lnTo>
                                <a:lnTo>
                                  <a:pt x="106591" y="41300"/>
                                </a:lnTo>
                                <a:lnTo>
                                  <a:pt x="70827" y="70827"/>
                                </a:lnTo>
                                <a:lnTo>
                                  <a:pt x="41313" y="106578"/>
                                </a:lnTo>
                                <a:lnTo>
                                  <a:pt x="19011" y="147612"/>
                                </a:lnTo>
                                <a:lnTo>
                                  <a:pt x="4914" y="192925"/>
                                </a:lnTo>
                                <a:lnTo>
                                  <a:pt x="0" y="241541"/>
                                </a:lnTo>
                                <a:lnTo>
                                  <a:pt x="4914" y="290156"/>
                                </a:lnTo>
                                <a:lnTo>
                                  <a:pt x="19011" y="335470"/>
                                </a:lnTo>
                                <a:lnTo>
                                  <a:pt x="41313" y="376504"/>
                                </a:lnTo>
                                <a:lnTo>
                                  <a:pt x="70827" y="412254"/>
                                </a:lnTo>
                                <a:lnTo>
                                  <a:pt x="106591" y="441782"/>
                                </a:lnTo>
                                <a:lnTo>
                                  <a:pt x="147612" y="464070"/>
                                </a:lnTo>
                                <a:lnTo>
                                  <a:pt x="192925" y="478167"/>
                                </a:lnTo>
                                <a:lnTo>
                                  <a:pt x="241541" y="483082"/>
                                </a:lnTo>
                                <a:lnTo>
                                  <a:pt x="290169" y="478167"/>
                                </a:lnTo>
                                <a:lnTo>
                                  <a:pt x="327596" y="466521"/>
                                </a:lnTo>
                                <a:lnTo>
                                  <a:pt x="335483" y="464070"/>
                                </a:lnTo>
                                <a:lnTo>
                                  <a:pt x="376516" y="441782"/>
                                </a:lnTo>
                                <a:lnTo>
                                  <a:pt x="412280" y="412254"/>
                                </a:lnTo>
                                <a:lnTo>
                                  <a:pt x="441794" y="376504"/>
                                </a:lnTo>
                                <a:lnTo>
                                  <a:pt x="464083" y="335470"/>
                                </a:lnTo>
                                <a:lnTo>
                                  <a:pt x="478180" y="290156"/>
                                </a:lnTo>
                                <a:lnTo>
                                  <a:pt x="483095" y="241541"/>
                                </a:lnTo>
                                <a:close/>
                              </a:path>
                            </a:pathLst>
                          </a:custGeom>
                          <a:solidFill>
                            <a:srgbClr val="FF66C3"/>
                          </a:solidFill>
                        </wps:spPr>
                        <wps:bodyPr wrap="square" lIns="0" tIns="0" rIns="0" bIns="0" rtlCol="0">
                          <a:prstTxWarp prst="textNoShape">
                            <a:avLst/>
                          </a:prstTxWarp>
                          <a:noAutofit/>
                        </wps:bodyPr>
                      </wps:wsp>
                      <wps:wsp>
                        <wps:cNvPr id="100" name="Graphic 100"/>
                        <wps:cNvSpPr/>
                        <wps:spPr>
                          <a:xfrm>
                            <a:off x="296759" y="1129860"/>
                            <a:ext cx="267335" cy="294005"/>
                          </a:xfrm>
                          <a:custGeom>
                            <a:avLst/>
                            <a:gdLst/>
                            <a:ahLst/>
                            <a:cxnLst/>
                            <a:rect l="l" t="t" r="r" b="b"/>
                            <a:pathLst>
                              <a:path w="267335" h="294005">
                                <a:moveTo>
                                  <a:pt x="176122" y="293678"/>
                                </a:moveTo>
                                <a:lnTo>
                                  <a:pt x="133164" y="287588"/>
                                </a:lnTo>
                                <a:lnTo>
                                  <a:pt x="87546" y="275751"/>
                                </a:lnTo>
                                <a:lnTo>
                                  <a:pt x="80203" y="274698"/>
                                </a:lnTo>
                                <a:lnTo>
                                  <a:pt x="45367" y="289374"/>
                                </a:lnTo>
                                <a:lnTo>
                                  <a:pt x="927" y="289215"/>
                                </a:lnTo>
                                <a:lnTo>
                                  <a:pt x="4721" y="249991"/>
                                </a:lnTo>
                                <a:lnTo>
                                  <a:pt x="19836" y="210119"/>
                                </a:lnTo>
                                <a:lnTo>
                                  <a:pt x="49700" y="174822"/>
                                </a:lnTo>
                                <a:lnTo>
                                  <a:pt x="85147" y="150881"/>
                                </a:lnTo>
                                <a:lnTo>
                                  <a:pt x="113019" y="136385"/>
                                </a:lnTo>
                                <a:lnTo>
                                  <a:pt x="119384" y="132940"/>
                                </a:lnTo>
                                <a:lnTo>
                                  <a:pt x="152595" y="104870"/>
                                </a:lnTo>
                                <a:lnTo>
                                  <a:pt x="154827" y="90657"/>
                                </a:lnTo>
                                <a:lnTo>
                                  <a:pt x="154021" y="82660"/>
                                </a:lnTo>
                                <a:lnTo>
                                  <a:pt x="118715" y="57303"/>
                                </a:lnTo>
                                <a:lnTo>
                                  <a:pt x="100947" y="56705"/>
                                </a:lnTo>
                                <a:lnTo>
                                  <a:pt x="93053" y="57338"/>
                                </a:lnTo>
                                <a:lnTo>
                                  <a:pt x="79073" y="59894"/>
                                </a:lnTo>
                                <a:lnTo>
                                  <a:pt x="72411" y="62126"/>
                                </a:lnTo>
                                <a:lnTo>
                                  <a:pt x="66058" y="65343"/>
                                </a:lnTo>
                                <a:lnTo>
                                  <a:pt x="73947" y="67686"/>
                                </a:lnTo>
                                <a:lnTo>
                                  <a:pt x="80783" y="71474"/>
                                </a:lnTo>
                                <a:lnTo>
                                  <a:pt x="94184" y="108459"/>
                                </a:lnTo>
                                <a:lnTo>
                                  <a:pt x="63082" y="134213"/>
                                </a:lnTo>
                                <a:lnTo>
                                  <a:pt x="20806" y="127624"/>
                                </a:lnTo>
                                <a:lnTo>
                                  <a:pt x="0" y="93479"/>
                                </a:lnTo>
                                <a:lnTo>
                                  <a:pt x="33" y="84150"/>
                                </a:lnTo>
                                <a:lnTo>
                                  <a:pt x="15492" y="42553"/>
                                </a:lnTo>
                                <a:lnTo>
                                  <a:pt x="47257" y="17932"/>
                                </a:lnTo>
                                <a:lnTo>
                                  <a:pt x="93628" y="3303"/>
                                </a:lnTo>
                                <a:lnTo>
                                  <a:pt x="135716" y="0"/>
                                </a:lnTo>
                                <a:lnTo>
                                  <a:pt x="151151" y="476"/>
                                </a:lnTo>
                                <a:lnTo>
                                  <a:pt x="191750" y="6966"/>
                                </a:lnTo>
                                <a:lnTo>
                                  <a:pt x="232427" y="25831"/>
                                </a:lnTo>
                                <a:lnTo>
                                  <a:pt x="260802" y="61713"/>
                                </a:lnTo>
                                <a:lnTo>
                                  <a:pt x="265403" y="87527"/>
                                </a:lnTo>
                                <a:lnTo>
                                  <a:pt x="264937" y="97941"/>
                                </a:lnTo>
                                <a:lnTo>
                                  <a:pt x="250046" y="137042"/>
                                </a:lnTo>
                                <a:lnTo>
                                  <a:pt x="219362" y="160073"/>
                                </a:lnTo>
                                <a:lnTo>
                                  <a:pt x="179170" y="173967"/>
                                </a:lnTo>
                                <a:lnTo>
                                  <a:pt x="144643" y="183069"/>
                                </a:lnTo>
                                <a:lnTo>
                                  <a:pt x="136010" y="185468"/>
                                </a:lnTo>
                                <a:lnTo>
                                  <a:pt x="96372" y="202091"/>
                                </a:lnTo>
                                <a:lnTo>
                                  <a:pt x="66343" y="229839"/>
                                </a:lnTo>
                                <a:lnTo>
                                  <a:pt x="62208" y="237407"/>
                                </a:lnTo>
                                <a:lnTo>
                                  <a:pt x="65478" y="238601"/>
                                </a:lnTo>
                                <a:lnTo>
                                  <a:pt x="68082" y="235369"/>
                                </a:lnTo>
                                <a:lnTo>
                                  <a:pt x="71527" y="231847"/>
                                </a:lnTo>
                                <a:lnTo>
                                  <a:pt x="116435" y="206895"/>
                                </a:lnTo>
                                <a:lnTo>
                                  <a:pt x="124068" y="205784"/>
                                </a:lnTo>
                                <a:lnTo>
                                  <a:pt x="140750" y="205847"/>
                                </a:lnTo>
                                <a:lnTo>
                                  <a:pt x="147866" y="206315"/>
                                </a:lnTo>
                                <a:lnTo>
                                  <a:pt x="159503" y="208170"/>
                                </a:lnTo>
                                <a:lnTo>
                                  <a:pt x="164808" y="209093"/>
                                </a:lnTo>
                                <a:lnTo>
                                  <a:pt x="187407" y="213895"/>
                                </a:lnTo>
                                <a:lnTo>
                                  <a:pt x="192112" y="214349"/>
                                </a:lnTo>
                                <a:lnTo>
                                  <a:pt x="228794" y="195856"/>
                                </a:lnTo>
                                <a:lnTo>
                                  <a:pt x="228828" y="184214"/>
                                </a:lnTo>
                                <a:lnTo>
                                  <a:pt x="267041" y="184354"/>
                                </a:lnTo>
                                <a:lnTo>
                                  <a:pt x="262982" y="231342"/>
                                </a:lnTo>
                                <a:lnTo>
                                  <a:pt x="246422" y="270004"/>
                                </a:lnTo>
                                <a:lnTo>
                                  <a:pt x="211818" y="290669"/>
                                </a:lnTo>
                                <a:lnTo>
                                  <a:pt x="185481" y="293509"/>
                                </a:lnTo>
                                <a:lnTo>
                                  <a:pt x="176122" y="293678"/>
                                </a:lnTo>
                                <a:close/>
                              </a:path>
                            </a:pathLst>
                          </a:custGeom>
                          <a:solidFill>
                            <a:srgbClr val="FFFFFF"/>
                          </a:solidFill>
                        </wps:spPr>
                        <wps:bodyPr wrap="square" lIns="0" tIns="0" rIns="0" bIns="0" rtlCol="0">
                          <a:prstTxWarp prst="textNoShape">
                            <a:avLst/>
                          </a:prstTxWarp>
                          <a:noAutofit/>
                        </wps:bodyPr>
                      </wps:wsp>
                      <wps:wsp>
                        <wps:cNvPr id="101" name="Graphic 101"/>
                        <wps:cNvSpPr/>
                        <wps:spPr>
                          <a:xfrm>
                            <a:off x="183883" y="1678615"/>
                            <a:ext cx="494665" cy="494665"/>
                          </a:xfrm>
                          <a:custGeom>
                            <a:avLst/>
                            <a:gdLst/>
                            <a:ahLst/>
                            <a:cxnLst/>
                            <a:rect l="l" t="t" r="r" b="b"/>
                            <a:pathLst>
                              <a:path w="494665" h="494665">
                                <a:moveTo>
                                  <a:pt x="467690" y="239890"/>
                                </a:moveTo>
                                <a:lnTo>
                                  <a:pt x="462038" y="197002"/>
                                </a:lnTo>
                                <a:lnTo>
                                  <a:pt x="448132" y="156044"/>
                                </a:lnTo>
                                <a:lnTo>
                                  <a:pt x="426504" y="118579"/>
                                </a:lnTo>
                                <a:lnTo>
                                  <a:pt x="397979" y="86055"/>
                                </a:lnTo>
                                <a:lnTo>
                                  <a:pt x="363664" y="59728"/>
                                </a:lnTo>
                                <a:lnTo>
                                  <a:pt x="324866" y="40589"/>
                                </a:lnTo>
                                <a:lnTo>
                                  <a:pt x="283083" y="29400"/>
                                </a:lnTo>
                                <a:lnTo>
                                  <a:pt x="254368" y="26568"/>
                                </a:lnTo>
                                <a:lnTo>
                                  <a:pt x="239915" y="26568"/>
                                </a:lnTo>
                                <a:lnTo>
                                  <a:pt x="197027" y="32219"/>
                                </a:lnTo>
                                <a:lnTo>
                                  <a:pt x="156070" y="46113"/>
                                </a:lnTo>
                                <a:lnTo>
                                  <a:pt x="118605" y="67754"/>
                                </a:lnTo>
                                <a:lnTo>
                                  <a:pt x="86080" y="96266"/>
                                </a:lnTo>
                                <a:lnTo>
                                  <a:pt x="59753" y="130594"/>
                                </a:lnTo>
                                <a:lnTo>
                                  <a:pt x="40614" y="169392"/>
                                </a:lnTo>
                                <a:lnTo>
                                  <a:pt x="29425" y="211175"/>
                                </a:lnTo>
                                <a:lnTo>
                                  <a:pt x="26593" y="239890"/>
                                </a:lnTo>
                                <a:lnTo>
                                  <a:pt x="26593" y="254342"/>
                                </a:lnTo>
                                <a:lnTo>
                                  <a:pt x="32245" y="297230"/>
                                </a:lnTo>
                                <a:lnTo>
                                  <a:pt x="46151" y="338188"/>
                                </a:lnTo>
                                <a:lnTo>
                                  <a:pt x="67779" y="375653"/>
                                </a:lnTo>
                                <a:lnTo>
                                  <a:pt x="96304" y="408178"/>
                                </a:lnTo>
                                <a:lnTo>
                                  <a:pt x="130619" y="434505"/>
                                </a:lnTo>
                                <a:lnTo>
                                  <a:pt x="169418" y="453644"/>
                                </a:lnTo>
                                <a:lnTo>
                                  <a:pt x="211201" y="464832"/>
                                </a:lnTo>
                                <a:lnTo>
                                  <a:pt x="239915" y="467664"/>
                                </a:lnTo>
                                <a:lnTo>
                                  <a:pt x="254368" y="467664"/>
                                </a:lnTo>
                                <a:lnTo>
                                  <a:pt x="297256" y="462013"/>
                                </a:lnTo>
                                <a:lnTo>
                                  <a:pt x="338213" y="448106"/>
                                </a:lnTo>
                                <a:lnTo>
                                  <a:pt x="375678" y="426478"/>
                                </a:lnTo>
                                <a:lnTo>
                                  <a:pt x="408203" y="397954"/>
                                </a:lnTo>
                                <a:lnTo>
                                  <a:pt x="434530" y="363639"/>
                                </a:lnTo>
                                <a:lnTo>
                                  <a:pt x="453669" y="324840"/>
                                </a:lnTo>
                                <a:lnTo>
                                  <a:pt x="464858" y="283057"/>
                                </a:lnTo>
                                <a:lnTo>
                                  <a:pt x="467690" y="254342"/>
                                </a:lnTo>
                                <a:lnTo>
                                  <a:pt x="467690" y="247116"/>
                                </a:lnTo>
                                <a:lnTo>
                                  <a:pt x="467690" y="239890"/>
                                </a:lnTo>
                                <a:close/>
                              </a:path>
                              <a:path w="494665" h="494665">
                                <a:moveTo>
                                  <a:pt x="494258" y="247116"/>
                                </a:moveTo>
                                <a:lnTo>
                                  <a:pt x="489229" y="197383"/>
                                </a:lnTo>
                                <a:lnTo>
                                  <a:pt x="477329" y="159105"/>
                                </a:lnTo>
                                <a:lnTo>
                                  <a:pt x="477329" y="247116"/>
                                </a:lnTo>
                                <a:lnTo>
                                  <a:pt x="472643" y="293446"/>
                                </a:lnTo>
                                <a:lnTo>
                                  <a:pt x="459206" y="336638"/>
                                </a:lnTo>
                                <a:lnTo>
                                  <a:pt x="437959" y="375729"/>
                                </a:lnTo>
                                <a:lnTo>
                                  <a:pt x="409829" y="409803"/>
                                </a:lnTo>
                                <a:lnTo>
                                  <a:pt x="375742" y="437934"/>
                                </a:lnTo>
                                <a:lnTo>
                                  <a:pt x="336651" y="459193"/>
                                </a:lnTo>
                                <a:lnTo>
                                  <a:pt x="293458" y="472617"/>
                                </a:lnTo>
                                <a:lnTo>
                                  <a:pt x="247129" y="477304"/>
                                </a:lnTo>
                                <a:lnTo>
                                  <a:pt x="200799" y="472617"/>
                                </a:lnTo>
                                <a:lnTo>
                                  <a:pt x="157619" y="459193"/>
                                </a:lnTo>
                                <a:lnTo>
                                  <a:pt x="118529" y="437946"/>
                                </a:lnTo>
                                <a:lnTo>
                                  <a:pt x="84442" y="409816"/>
                                </a:lnTo>
                                <a:lnTo>
                                  <a:pt x="56311" y="375729"/>
                                </a:lnTo>
                                <a:lnTo>
                                  <a:pt x="35064" y="336638"/>
                                </a:lnTo>
                                <a:lnTo>
                                  <a:pt x="21628" y="293458"/>
                                </a:lnTo>
                                <a:lnTo>
                                  <a:pt x="16941" y="247116"/>
                                </a:lnTo>
                                <a:lnTo>
                                  <a:pt x="21628" y="200787"/>
                                </a:lnTo>
                                <a:lnTo>
                                  <a:pt x="35064" y="157607"/>
                                </a:lnTo>
                                <a:lnTo>
                                  <a:pt x="56311" y="118516"/>
                                </a:lnTo>
                                <a:lnTo>
                                  <a:pt x="84442" y="84429"/>
                                </a:lnTo>
                                <a:lnTo>
                                  <a:pt x="118516" y="56299"/>
                                </a:lnTo>
                                <a:lnTo>
                                  <a:pt x="157619" y="35052"/>
                                </a:lnTo>
                                <a:lnTo>
                                  <a:pt x="200799" y="21628"/>
                                </a:lnTo>
                                <a:lnTo>
                                  <a:pt x="247129" y="16941"/>
                                </a:lnTo>
                                <a:lnTo>
                                  <a:pt x="293458" y="21628"/>
                                </a:lnTo>
                                <a:lnTo>
                                  <a:pt x="336638" y="35052"/>
                                </a:lnTo>
                                <a:lnTo>
                                  <a:pt x="375742" y="56299"/>
                                </a:lnTo>
                                <a:lnTo>
                                  <a:pt x="409829" y="84429"/>
                                </a:lnTo>
                                <a:lnTo>
                                  <a:pt x="437959" y="118516"/>
                                </a:lnTo>
                                <a:lnTo>
                                  <a:pt x="459206" y="157607"/>
                                </a:lnTo>
                                <a:lnTo>
                                  <a:pt x="472643" y="200787"/>
                                </a:lnTo>
                                <a:lnTo>
                                  <a:pt x="477329" y="247116"/>
                                </a:lnTo>
                                <a:lnTo>
                                  <a:pt x="477329" y="159105"/>
                                </a:lnTo>
                                <a:lnTo>
                                  <a:pt x="451993" y="109042"/>
                                </a:lnTo>
                                <a:lnTo>
                                  <a:pt x="421792" y="72466"/>
                                </a:lnTo>
                                <a:lnTo>
                                  <a:pt x="385203" y="42265"/>
                                </a:lnTo>
                                <a:lnTo>
                                  <a:pt x="343230" y="19456"/>
                                </a:lnTo>
                                <a:lnTo>
                                  <a:pt x="296862" y="5029"/>
                                </a:lnTo>
                                <a:lnTo>
                                  <a:pt x="247129" y="0"/>
                                </a:lnTo>
                                <a:lnTo>
                                  <a:pt x="197383" y="5029"/>
                                </a:lnTo>
                                <a:lnTo>
                                  <a:pt x="151015" y="19456"/>
                                </a:lnTo>
                                <a:lnTo>
                                  <a:pt x="109042" y="42265"/>
                                </a:lnTo>
                                <a:lnTo>
                                  <a:pt x="72466" y="72466"/>
                                </a:lnTo>
                                <a:lnTo>
                                  <a:pt x="42265" y="109042"/>
                                </a:lnTo>
                                <a:lnTo>
                                  <a:pt x="19456" y="151015"/>
                                </a:lnTo>
                                <a:lnTo>
                                  <a:pt x="5029" y="197383"/>
                                </a:lnTo>
                                <a:lnTo>
                                  <a:pt x="0" y="247116"/>
                                </a:lnTo>
                                <a:lnTo>
                                  <a:pt x="5029" y="296862"/>
                                </a:lnTo>
                                <a:lnTo>
                                  <a:pt x="19456" y="343217"/>
                                </a:lnTo>
                                <a:lnTo>
                                  <a:pt x="42265" y="385191"/>
                                </a:lnTo>
                                <a:lnTo>
                                  <a:pt x="72466" y="421779"/>
                                </a:lnTo>
                                <a:lnTo>
                                  <a:pt x="109042" y="451980"/>
                                </a:lnTo>
                                <a:lnTo>
                                  <a:pt x="151015" y="474789"/>
                                </a:lnTo>
                                <a:lnTo>
                                  <a:pt x="197383" y="489216"/>
                                </a:lnTo>
                                <a:lnTo>
                                  <a:pt x="247129" y="494245"/>
                                </a:lnTo>
                                <a:lnTo>
                                  <a:pt x="296875" y="489216"/>
                                </a:lnTo>
                                <a:lnTo>
                                  <a:pt x="335153" y="477304"/>
                                </a:lnTo>
                                <a:lnTo>
                                  <a:pt x="343242" y="474789"/>
                                </a:lnTo>
                                <a:lnTo>
                                  <a:pt x="385216" y="451980"/>
                                </a:lnTo>
                                <a:lnTo>
                                  <a:pt x="421805" y="421779"/>
                                </a:lnTo>
                                <a:lnTo>
                                  <a:pt x="452005" y="385191"/>
                                </a:lnTo>
                                <a:lnTo>
                                  <a:pt x="474814" y="343217"/>
                                </a:lnTo>
                                <a:lnTo>
                                  <a:pt x="489242" y="296862"/>
                                </a:lnTo>
                                <a:lnTo>
                                  <a:pt x="494258" y="247116"/>
                                </a:lnTo>
                                <a:close/>
                              </a:path>
                            </a:pathLst>
                          </a:custGeom>
                          <a:solidFill>
                            <a:srgbClr val="9A2F59"/>
                          </a:solidFill>
                        </wps:spPr>
                        <wps:bodyPr wrap="square" lIns="0" tIns="0" rIns="0" bIns="0" rtlCol="0">
                          <a:prstTxWarp prst="textNoShape">
                            <a:avLst/>
                          </a:prstTxWarp>
                          <a:noAutofit/>
                        </wps:bodyPr>
                      </wps:wsp>
                      <wps:wsp>
                        <wps:cNvPr id="102" name="Graphic 102"/>
                        <wps:cNvSpPr/>
                        <wps:spPr>
                          <a:xfrm>
                            <a:off x="289995" y="1765742"/>
                            <a:ext cx="288290" cy="304800"/>
                          </a:xfrm>
                          <a:custGeom>
                            <a:avLst/>
                            <a:gdLst/>
                            <a:ahLst/>
                            <a:cxnLst/>
                            <a:rect l="l" t="t" r="r" b="b"/>
                            <a:pathLst>
                              <a:path w="288290" h="304800">
                                <a:moveTo>
                                  <a:pt x="141214" y="304472"/>
                                </a:moveTo>
                                <a:lnTo>
                                  <a:pt x="89757" y="299714"/>
                                </a:lnTo>
                                <a:lnTo>
                                  <a:pt x="51094" y="286729"/>
                                </a:lnTo>
                                <a:lnTo>
                                  <a:pt x="17245" y="261313"/>
                                </a:lnTo>
                                <a:lnTo>
                                  <a:pt x="434" y="221214"/>
                                </a:lnTo>
                                <a:lnTo>
                                  <a:pt x="0" y="212906"/>
                                </a:lnTo>
                                <a:lnTo>
                                  <a:pt x="19" y="204039"/>
                                </a:lnTo>
                                <a:lnTo>
                                  <a:pt x="20180" y="166525"/>
                                </a:lnTo>
                                <a:lnTo>
                                  <a:pt x="45155" y="157085"/>
                                </a:lnTo>
                                <a:lnTo>
                                  <a:pt x="61149" y="157134"/>
                                </a:lnTo>
                                <a:lnTo>
                                  <a:pt x="95584" y="177705"/>
                                </a:lnTo>
                                <a:lnTo>
                                  <a:pt x="89579" y="220547"/>
                                </a:lnTo>
                                <a:lnTo>
                                  <a:pt x="67401" y="233166"/>
                                </a:lnTo>
                                <a:lnTo>
                                  <a:pt x="78173" y="238496"/>
                                </a:lnTo>
                                <a:lnTo>
                                  <a:pt x="90686" y="242321"/>
                                </a:lnTo>
                                <a:lnTo>
                                  <a:pt x="104941" y="244640"/>
                                </a:lnTo>
                                <a:lnTo>
                                  <a:pt x="120940" y="245453"/>
                                </a:lnTo>
                                <a:lnTo>
                                  <a:pt x="133910" y="244835"/>
                                </a:lnTo>
                                <a:lnTo>
                                  <a:pt x="171555" y="222289"/>
                                </a:lnTo>
                                <a:lnTo>
                                  <a:pt x="174858" y="198449"/>
                                </a:lnTo>
                                <a:lnTo>
                                  <a:pt x="173618" y="192903"/>
                                </a:lnTo>
                                <a:lnTo>
                                  <a:pt x="140952" y="169372"/>
                                </a:lnTo>
                                <a:lnTo>
                                  <a:pt x="116007" y="168626"/>
                                </a:lnTo>
                                <a:lnTo>
                                  <a:pt x="116155" y="125556"/>
                                </a:lnTo>
                                <a:lnTo>
                                  <a:pt x="154160" y="120212"/>
                                </a:lnTo>
                                <a:lnTo>
                                  <a:pt x="169461" y="86445"/>
                                </a:lnTo>
                                <a:lnTo>
                                  <a:pt x="168186" y="80737"/>
                                </a:lnTo>
                                <a:lnTo>
                                  <a:pt x="135125" y="58268"/>
                                </a:lnTo>
                                <a:lnTo>
                                  <a:pt x="122956" y="57709"/>
                                </a:lnTo>
                                <a:lnTo>
                                  <a:pt x="113399" y="57952"/>
                                </a:lnTo>
                                <a:lnTo>
                                  <a:pt x="77657" y="70461"/>
                                </a:lnTo>
                                <a:lnTo>
                                  <a:pt x="80435" y="70723"/>
                                </a:lnTo>
                                <a:lnTo>
                                  <a:pt x="83514" y="71435"/>
                                </a:lnTo>
                                <a:lnTo>
                                  <a:pt x="105398" y="108252"/>
                                </a:lnTo>
                                <a:lnTo>
                                  <a:pt x="71526" y="134934"/>
                                </a:lnTo>
                                <a:lnTo>
                                  <a:pt x="29161" y="126628"/>
                                </a:lnTo>
                                <a:lnTo>
                                  <a:pt x="8501" y="91398"/>
                                </a:lnTo>
                                <a:lnTo>
                                  <a:pt x="8530" y="82531"/>
                                </a:lnTo>
                                <a:lnTo>
                                  <a:pt x="23171" y="41263"/>
                                </a:lnTo>
                                <a:lnTo>
                                  <a:pt x="54058" y="17259"/>
                                </a:lnTo>
                                <a:lnTo>
                                  <a:pt x="99985" y="3149"/>
                                </a:lnTo>
                                <a:lnTo>
                                  <a:pt x="142969" y="0"/>
                                </a:lnTo>
                                <a:lnTo>
                                  <a:pt x="155720" y="281"/>
                                </a:lnTo>
                                <a:lnTo>
                                  <a:pt x="205434" y="6346"/>
                                </a:lnTo>
                                <a:lnTo>
                                  <a:pt x="246554" y="22448"/>
                                </a:lnTo>
                                <a:lnTo>
                                  <a:pt x="273530" y="50177"/>
                                </a:lnTo>
                                <a:lnTo>
                                  <a:pt x="280066" y="79634"/>
                                </a:lnTo>
                                <a:lnTo>
                                  <a:pt x="278990" y="92843"/>
                                </a:lnTo>
                                <a:lnTo>
                                  <a:pt x="254143" y="131943"/>
                                </a:lnTo>
                                <a:lnTo>
                                  <a:pt x="213573" y="146508"/>
                                </a:lnTo>
                                <a:lnTo>
                                  <a:pt x="213559" y="148687"/>
                                </a:lnTo>
                                <a:lnTo>
                                  <a:pt x="256340" y="162489"/>
                                </a:lnTo>
                                <a:lnTo>
                                  <a:pt x="282726" y="192140"/>
                                </a:lnTo>
                                <a:lnTo>
                                  <a:pt x="287757" y="221575"/>
                                </a:lnTo>
                                <a:lnTo>
                                  <a:pt x="287262" y="228753"/>
                                </a:lnTo>
                                <a:lnTo>
                                  <a:pt x="270109" y="264691"/>
                                </a:lnTo>
                                <a:lnTo>
                                  <a:pt x="235248" y="288227"/>
                                </a:lnTo>
                                <a:lnTo>
                                  <a:pt x="195108" y="300293"/>
                                </a:lnTo>
                                <a:lnTo>
                                  <a:pt x="160764" y="304051"/>
                                </a:lnTo>
                                <a:lnTo>
                                  <a:pt x="141214" y="304472"/>
                                </a:lnTo>
                                <a:close/>
                              </a:path>
                            </a:pathLst>
                          </a:custGeom>
                          <a:solidFill>
                            <a:srgbClr val="FFFFFF"/>
                          </a:solidFill>
                        </wps:spPr>
                        <wps:bodyPr wrap="square" lIns="0" tIns="0" rIns="0" bIns="0" rtlCol="0">
                          <a:prstTxWarp prst="textNoShape">
                            <a:avLst/>
                          </a:prstTxWarp>
                          <a:noAutofit/>
                        </wps:bodyPr>
                      </wps:wsp>
                      <wps:wsp>
                        <wps:cNvPr id="103" name="Textbox 103"/>
                        <wps:cNvSpPr txBox="1"/>
                        <wps:spPr>
                          <a:xfrm>
                            <a:off x="0" y="0"/>
                            <a:ext cx="3473450" cy="2251710"/>
                          </a:xfrm>
                          <a:prstGeom prst="rect">
                            <a:avLst/>
                          </a:prstGeom>
                        </wps:spPr>
                        <wps:txbx>
                          <w:txbxContent>
                            <w:p>
                              <w:pPr>
                                <w:spacing w:before="173"/>
                                <w:ind w:left="202" w:right="0" w:firstLine="0"/>
                                <w:jc w:val="left"/>
                                <w:rPr>
                                  <w:b/>
                                  <w:i/>
                                  <w:sz w:val="34"/>
                                </w:rPr>
                              </w:pPr>
                              <w:r>
                                <w:rPr>
                                  <w:b/>
                                  <w:i/>
                                  <w:spacing w:val="13"/>
                                  <w:w w:val="125"/>
                                  <w:sz w:val="34"/>
                                </w:rPr>
                                <w:t>RECOMMENDATIONS</w:t>
                              </w:r>
                            </w:p>
                            <w:p>
                              <w:pPr>
                                <w:spacing w:line="278" w:lineRule="auto" w:before="108"/>
                                <w:ind w:left="1147" w:right="289" w:firstLine="0"/>
                                <w:jc w:val="left"/>
                                <w:rPr>
                                  <w:rFonts w:ascii="Georgia"/>
                                  <w:sz w:val="20"/>
                                </w:rPr>
                              </w:pPr>
                              <w:r>
                                <w:rPr>
                                  <w:rFonts w:ascii="Georgia"/>
                                  <w:w w:val="105"/>
                                  <w:sz w:val="20"/>
                                </w:rPr>
                                <w:t>Codify</w:t>
                              </w:r>
                              <w:r>
                                <w:rPr>
                                  <w:rFonts w:ascii="Georgia"/>
                                  <w:spacing w:val="-12"/>
                                  <w:w w:val="105"/>
                                  <w:sz w:val="20"/>
                                </w:rPr>
                                <w:t> </w:t>
                              </w:r>
                              <w:r>
                                <w:rPr>
                                  <w:rFonts w:ascii="Georgia"/>
                                  <w:w w:val="105"/>
                                  <w:sz w:val="20"/>
                                </w:rPr>
                                <w:t>the</w:t>
                              </w:r>
                              <w:r>
                                <w:rPr>
                                  <w:rFonts w:ascii="Georgia"/>
                                  <w:spacing w:val="-12"/>
                                  <w:w w:val="105"/>
                                  <w:sz w:val="20"/>
                                </w:rPr>
                                <w:t> </w:t>
                              </w:r>
                              <w:r>
                                <w:rPr>
                                  <w:rFonts w:ascii="Georgia"/>
                                  <w:w w:val="105"/>
                                  <w:sz w:val="20"/>
                                </w:rPr>
                                <w:t>foster</w:t>
                              </w:r>
                              <w:r>
                                <w:rPr>
                                  <w:rFonts w:ascii="Georgia"/>
                                  <w:spacing w:val="-12"/>
                                  <w:w w:val="105"/>
                                  <w:sz w:val="20"/>
                                </w:rPr>
                                <w:t> </w:t>
                              </w:r>
                              <w:r>
                                <w:rPr>
                                  <w:rFonts w:ascii="Georgia"/>
                                  <w:w w:val="105"/>
                                  <w:sz w:val="20"/>
                                </w:rPr>
                                <w:t>child</w:t>
                              </w:r>
                              <w:r>
                                <w:rPr>
                                  <w:rFonts w:ascii="Georgia"/>
                                  <w:spacing w:val="-12"/>
                                  <w:w w:val="105"/>
                                  <w:sz w:val="20"/>
                                </w:rPr>
                                <w:t> </w:t>
                              </w:r>
                              <w:r>
                                <w:rPr>
                                  <w:rFonts w:ascii="Georgia"/>
                                  <w:w w:val="105"/>
                                  <w:sz w:val="20"/>
                                </w:rPr>
                                <w:t>bill</w:t>
                              </w:r>
                              <w:r>
                                <w:rPr>
                                  <w:rFonts w:ascii="Georgia"/>
                                  <w:spacing w:val="-12"/>
                                  <w:w w:val="105"/>
                                  <w:sz w:val="20"/>
                                </w:rPr>
                                <w:t> </w:t>
                              </w:r>
                              <w:r>
                                <w:rPr>
                                  <w:rFonts w:ascii="Georgia"/>
                                  <w:w w:val="105"/>
                                  <w:sz w:val="20"/>
                                </w:rPr>
                                <w:t>of</w:t>
                              </w:r>
                              <w:r>
                                <w:rPr>
                                  <w:rFonts w:ascii="Georgia"/>
                                  <w:spacing w:val="-12"/>
                                  <w:w w:val="105"/>
                                  <w:sz w:val="20"/>
                                </w:rPr>
                                <w:t> </w:t>
                              </w:r>
                              <w:r>
                                <w:rPr>
                                  <w:rFonts w:ascii="Georgia"/>
                                  <w:w w:val="105"/>
                                  <w:sz w:val="20"/>
                                </w:rPr>
                                <w:t>rights</w:t>
                              </w:r>
                              <w:r>
                                <w:rPr>
                                  <w:rFonts w:ascii="Georgia"/>
                                  <w:spacing w:val="-12"/>
                                  <w:w w:val="105"/>
                                  <w:sz w:val="20"/>
                                </w:rPr>
                                <w:t> </w:t>
                              </w:r>
                              <w:r>
                                <w:rPr>
                                  <w:rFonts w:ascii="Georgia"/>
                                  <w:w w:val="105"/>
                                  <w:sz w:val="20"/>
                                </w:rPr>
                                <w:t>in</w:t>
                              </w:r>
                              <w:r>
                                <w:rPr>
                                  <w:rFonts w:ascii="Georgia"/>
                                  <w:spacing w:val="-12"/>
                                  <w:w w:val="105"/>
                                  <w:sz w:val="20"/>
                                </w:rPr>
                                <w:t> </w:t>
                              </w:r>
                              <w:r>
                                <w:rPr>
                                  <w:rFonts w:ascii="Georgia"/>
                                  <w:w w:val="105"/>
                                  <w:sz w:val="20"/>
                                </w:rPr>
                                <w:t>state </w:t>
                              </w:r>
                              <w:r>
                                <w:rPr>
                                  <w:rFonts w:ascii="Georgia"/>
                                  <w:spacing w:val="-4"/>
                                  <w:w w:val="105"/>
                                  <w:sz w:val="20"/>
                                </w:rPr>
                                <w:t>law.</w:t>
                              </w:r>
                            </w:p>
                            <w:p>
                              <w:pPr>
                                <w:spacing w:line="240" w:lineRule="auto" w:before="176"/>
                                <w:rPr>
                                  <w:rFonts w:ascii="Georgia"/>
                                  <w:sz w:val="20"/>
                                </w:rPr>
                              </w:pPr>
                            </w:p>
                            <w:p>
                              <w:pPr>
                                <w:spacing w:line="278" w:lineRule="auto" w:before="1"/>
                                <w:ind w:left="1147" w:right="0" w:firstLine="0"/>
                                <w:jc w:val="left"/>
                                <w:rPr>
                                  <w:rFonts w:ascii="Georgia"/>
                                  <w:sz w:val="20"/>
                                </w:rPr>
                              </w:pPr>
                              <w:r>
                                <w:rPr>
                                  <w:rFonts w:ascii="Georgia"/>
                                  <w:w w:val="105"/>
                                  <w:sz w:val="20"/>
                                </w:rPr>
                                <w:t>Improve Massachusetts child abuse laws to explicitly</w:t>
                              </w:r>
                              <w:r>
                                <w:rPr>
                                  <w:rFonts w:ascii="Georgia"/>
                                  <w:spacing w:val="-13"/>
                                  <w:w w:val="105"/>
                                  <w:sz w:val="20"/>
                                </w:rPr>
                                <w:t> </w:t>
                              </w:r>
                              <w:r>
                                <w:rPr>
                                  <w:rFonts w:ascii="Georgia"/>
                                  <w:w w:val="105"/>
                                  <w:sz w:val="20"/>
                                </w:rPr>
                                <w:t>include</w:t>
                              </w:r>
                              <w:r>
                                <w:rPr>
                                  <w:rFonts w:ascii="Georgia"/>
                                  <w:spacing w:val="-13"/>
                                  <w:w w:val="105"/>
                                  <w:sz w:val="20"/>
                                </w:rPr>
                                <w:t> </w:t>
                              </w:r>
                              <w:r>
                                <w:rPr>
                                  <w:rFonts w:ascii="Georgia"/>
                                  <w:w w:val="105"/>
                                  <w:sz w:val="20"/>
                                </w:rPr>
                                <w:t>the</w:t>
                              </w:r>
                              <w:r>
                                <w:rPr>
                                  <w:rFonts w:ascii="Georgia"/>
                                  <w:spacing w:val="-12"/>
                                  <w:w w:val="105"/>
                                  <w:sz w:val="20"/>
                                </w:rPr>
                                <w:t> </w:t>
                              </w:r>
                              <w:r>
                                <w:rPr>
                                  <w:rFonts w:ascii="Georgia"/>
                                  <w:w w:val="105"/>
                                  <w:sz w:val="20"/>
                                </w:rPr>
                                <w:t>withholding</w:t>
                              </w:r>
                              <w:r>
                                <w:rPr>
                                  <w:rFonts w:ascii="Georgia"/>
                                  <w:spacing w:val="-13"/>
                                  <w:w w:val="105"/>
                                  <w:sz w:val="20"/>
                                </w:rPr>
                                <w:t> </w:t>
                              </w:r>
                              <w:r>
                                <w:rPr>
                                  <w:rFonts w:ascii="Georgia"/>
                                  <w:w w:val="105"/>
                                  <w:sz w:val="20"/>
                                </w:rPr>
                                <w:t>of</w:t>
                              </w:r>
                              <w:r>
                                <w:rPr>
                                  <w:rFonts w:ascii="Georgia"/>
                                  <w:spacing w:val="-13"/>
                                  <w:w w:val="105"/>
                                  <w:sz w:val="20"/>
                                </w:rPr>
                                <w:t> </w:t>
                              </w:r>
                              <w:r>
                                <w:rPr>
                                  <w:rFonts w:ascii="Georgia"/>
                                  <w:w w:val="105"/>
                                  <w:sz w:val="20"/>
                                </w:rPr>
                                <w:t>gender- affirming care for LGBTQ youth.</w:t>
                              </w:r>
                            </w:p>
                            <w:p>
                              <w:pPr>
                                <w:spacing w:line="240" w:lineRule="auto" w:before="148"/>
                                <w:rPr>
                                  <w:rFonts w:ascii="Georgia"/>
                                  <w:sz w:val="20"/>
                                </w:rPr>
                              </w:pPr>
                            </w:p>
                            <w:p>
                              <w:pPr>
                                <w:spacing w:line="278" w:lineRule="auto" w:before="1"/>
                                <w:ind w:left="1147" w:right="289" w:firstLine="0"/>
                                <w:jc w:val="left"/>
                                <w:rPr>
                                  <w:rFonts w:ascii="Georgia"/>
                                  <w:sz w:val="20"/>
                                </w:rPr>
                              </w:pPr>
                              <w:r>
                                <w:rPr>
                                  <w:rFonts w:ascii="Georgia"/>
                                  <w:w w:val="105"/>
                                  <w:sz w:val="20"/>
                                </w:rPr>
                                <w:t>Create</w:t>
                              </w:r>
                              <w:r>
                                <w:rPr>
                                  <w:rFonts w:ascii="Georgia"/>
                                  <w:spacing w:val="-13"/>
                                  <w:w w:val="105"/>
                                  <w:sz w:val="20"/>
                                </w:rPr>
                                <w:t> </w:t>
                              </w:r>
                              <w:r>
                                <w:rPr>
                                  <w:rFonts w:ascii="Georgia"/>
                                  <w:w w:val="105"/>
                                  <w:sz w:val="20"/>
                                </w:rPr>
                                <w:t>a</w:t>
                              </w:r>
                              <w:r>
                                <w:rPr>
                                  <w:rFonts w:ascii="Georgia"/>
                                  <w:spacing w:val="-13"/>
                                  <w:w w:val="105"/>
                                  <w:sz w:val="20"/>
                                </w:rPr>
                                <w:t> </w:t>
                              </w:r>
                              <w:r>
                                <w:rPr>
                                  <w:rFonts w:ascii="Georgia"/>
                                  <w:w w:val="105"/>
                                  <w:sz w:val="20"/>
                                </w:rPr>
                                <w:t>program</w:t>
                              </w:r>
                              <w:r>
                                <w:rPr>
                                  <w:rFonts w:ascii="Georgia"/>
                                  <w:spacing w:val="-12"/>
                                  <w:w w:val="105"/>
                                  <w:sz w:val="20"/>
                                </w:rPr>
                                <w:t> </w:t>
                              </w:r>
                              <w:r>
                                <w:rPr>
                                  <w:rFonts w:ascii="Georgia"/>
                                  <w:w w:val="105"/>
                                  <w:sz w:val="20"/>
                                </w:rPr>
                                <w:t>for</w:t>
                              </w:r>
                              <w:r>
                                <w:rPr>
                                  <w:rFonts w:ascii="Georgia"/>
                                  <w:spacing w:val="-13"/>
                                  <w:w w:val="105"/>
                                  <w:sz w:val="20"/>
                                </w:rPr>
                                <w:t> </w:t>
                              </w:r>
                              <w:r>
                                <w:rPr>
                                  <w:rFonts w:ascii="Georgia"/>
                                  <w:w w:val="105"/>
                                  <w:sz w:val="20"/>
                                </w:rPr>
                                <w:t>universal</w:t>
                              </w:r>
                              <w:r>
                                <w:rPr>
                                  <w:rFonts w:ascii="Georgia"/>
                                  <w:spacing w:val="-13"/>
                                  <w:w w:val="105"/>
                                  <w:sz w:val="20"/>
                                </w:rPr>
                                <w:t> </w:t>
                              </w:r>
                              <w:r>
                                <w:rPr>
                                  <w:rFonts w:ascii="Georgia"/>
                                  <w:w w:val="105"/>
                                  <w:sz w:val="20"/>
                                </w:rPr>
                                <w:t>basic</w:t>
                              </w:r>
                              <w:r>
                                <w:rPr>
                                  <w:rFonts w:ascii="Georgia"/>
                                  <w:spacing w:val="-12"/>
                                  <w:w w:val="105"/>
                                  <w:sz w:val="20"/>
                                </w:rPr>
                                <w:t> </w:t>
                              </w:r>
                              <w:r>
                                <w:rPr>
                                  <w:rFonts w:ascii="Georgia"/>
                                  <w:w w:val="105"/>
                                  <w:sz w:val="20"/>
                                </w:rPr>
                                <w:t>income for foster care youth.</w:t>
                              </w:r>
                            </w:p>
                          </w:txbxContent>
                        </wps:txbx>
                        <wps:bodyPr wrap="square" lIns="0" tIns="0" rIns="0" bIns="0" rtlCol="0">
                          <a:noAutofit/>
                        </wps:bodyPr>
                      </wps:wsp>
                    </wpg:wgp>
                  </a:graphicData>
                </a:graphic>
              </wp:anchor>
            </w:drawing>
          </mc:Choice>
          <mc:Fallback>
            <w:pict>
              <v:group style="position:absolute;margin-left:52.080006pt;margin-top:44.291882pt;width:273.5pt;height:177.3pt;mso-position-horizontal-relative:page;mso-position-vertical-relative:paragraph;z-index:15740928" id="docshapegroup78" coordorigin="1042,886" coordsize="5470,3546">
                <v:shape style="position:absolute;left:1041;top:885;width:5470;height:3546" id="docshape79" coordorigin="1042,886" coordsize="5470,3546" path="m5945,4431l1612,4431,1534,4426,1460,4410,1390,4386,1324,4353,1263,4312,1209,4264,1160,4209,1119,4149,1086,4083,1062,4012,1047,3938,1042,3861,1042,1456,1047,1378,1062,1304,1086,1234,1119,1168,1160,1108,1209,1053,1263,1005,1324,964,1390,931,1460,906,1534,891,1612,886,5945,886,6023,891,6097,906,6167,931,6233,964,6293,1005,6348,1053,6396,1108,6437,1168,6470,1234,6495,1304,6510,1378,6511,1400,6511,3916,6495,4012,6470,4083,6437,4149,6396,4209,6348,4264,6293,4312,6233,4353,6167,4386,6097,4410,6023,4426,5945,4431xe" filled="true" fillcolor="#ffafc7" stroked="false">
                  <v:path arrowok="t"/>
                  <v:fill opacity="36700f" type="solid"/>
                </v:shape>
                <v:shape style="position:absolute;left:1331;top:1490;width:764;height:764" id="docshape80" coordorigin="1331,1490" coordsize="764,764" path="m2053,1861l2053,1850,2051,1828,2049,1817,2045,1795,2042,1784,2035,1762,2032,1752,2023,1731,2018,1721,2008,1702,2002,1692,1990,1674,1983,1665,1969,1647,1961,1639,1946,1623,1937,1616,1920,1602,1911,1595,1893,1583,1883,1577,1863,1566,1853,1562,1833,1553,1822,1549,1801,1543,1790,1540,1768,1536,1757,1534,1735,1532,1724,1531,1702,1531,1690,1532,1668,1534,1657,1536,1635,1540,1625,1543,1603,1549,1593,1553,1572,1562,1562,1566,1542,1577,1533,1583,1514,1595,1505,1602,1488,1616,1480,1623,1464,1639,1457,1647,1442,1665,1436,1674,1423,1692,1418,1702,1407,1721,1402,1731,1394,1752,1390,1762,1384,1784,1381,1795,1377,1817,1375,1828,1373,1850,1372,1861,1372,1883,1373,1894,1375,1916,1377,1927,1381,1949,1384,1960,1390,1982,1394,1992,1402,2013,1407,2023,1418,2042,1423,2052,1436,2070,1442,2079,1457,2097,1464,2105,1480,2121,1488,2128,1505,2142,1514,2149,1533,2161,1542,2167,1562,2178,1572,2182,1593,2191,1603,2195,1625,2201,1635,2204,1657,2208,1668,2210,1690,2212,1702,2213,1724,2213,1735,2212,1757,2210,1768,2208,1790,2204,1801,2201,1822,2195,1833,2191,1853,2182,1863,2178,1883,2167,1893,2161,1911,2149,1920,2142,1937,2128,1946,2121,1961,2105,1969,2097,1983,2079,1990,2070,2002,2052,2008,2042,2018,2023,2023,2013,2032,1992,2035,1982,2042,1960,2045,1949,2049,1927,2051,1916,2053,1894,2053,1883,2053,1872,2053,1861xm2094,1872l2087,1795,2068,1736,2068,1872,2061,1944,2040,2010,2007,2071,1964,2123,1911,2167,1851,2199,1784,2220,1713,2227,1641,2220,1575,2199,1514,2167,1462,2123,1418,2071,1385,2010,1365,1944,1357,1872,1365,1800,1385,1734,1418,1673,1462,1621,1514,1577,1575,1545,1641,1524,1713,1517,1784,1524,1851,1545,1911,1577,1964,1621,2007,1673,2040,1734,2061,1800,2068,1872,2068,1736,2064,1724,2029,1659,1982,1602,1926,1556,1861,1520,1849,1517,1790,1498,1713,1490,1636,1498,1564,1520,1500,1556,1443,1602,1396,1659,1361,1724,1339,1795,1331,1872,1339,1949,1361,2020,1396,2085,1443,2142,1500,2188,1564,2224,1636,2246,1713,2254,1790,2246,1849,2227,1861,2224,1926,2188,1982,2142,2029,2085,2064,2020,2087,1949,2094,1872xe" filled="true" fillcolor="#f4b648" stroked="false">
                  <v:path arrowok="t"/>
                  <v:fill type="solid"/>
                </v:shape>
                <v:shape style="position:absolute;left:1579;top:1643;width:283;height:452" id="docshape81" coordorigin="1580,1644" coordsize="283,452" path="m1862,2096l1585,2095,1585,1981,1621,1981,1629,1978,1639,1964,1642,1957,1642,1801,1580,1801,1580,1700,1644,1685,1665,1644,1807,1644,1806,1962,1862,1982,1862,2096xe" filled="true" fillcolor="#ffffff" stroked="false">
                  <v:path arrowok="t"/>
                  <v:fill type="solid"/>
                </v:shape>
                <v:shape style="position:absolute;left:1331;top:2531;width:761;height:761" id="docshape82" coordorigin="1331,2531" coordsize="761,761" path="m2051,2900l2051,2889,2048,2867,2047,2856,2042,2834,2040,2824,2033,2802,2029,2792,2021,2771,2016,2761,2006,2742,2000,2732,1988,2714,1981,2705,1967,2687,1960,2679,1944,2664,1936,2656,1918,2642,1909,2635,1891,2623,1881,2617,1862,2607,1852,2602,1831,2594,1821,2590,1800,2583,1789,2581,1767,2576,1756,2575,1734,2573,1723,2572,1700,2572,1689,2573,1667,2575,1656,2576,1634,2581,1624,2583,1602,2590,1592,2594,1571,2602,1561,2607,1542,2617,1532,2623,1514,2635,1505,2642,1488,2656,1479,2664,1464,2679,1456,2687,1442,2705,1436,2714,1423,2732,1417,2742,1407,2761,1402,2771,1394,2792,1390,2802,1384,2824,1381,2834,1376,2856,1375,2867,1373,2889,1372,2900,1372,2923,1373,2934,1375,2956,1376,2967,1381,2989,1384,2999,1390,3021,1394,3031,1402,3052,1407,3062,1417,3081,1423,3091,1436,3109,1442,3118,1456,3135,1464,3144,1479,3159,1488,3167,1505,3181,1514,3188,1532,3200,1542,3206,1561,3216,1571,3221,1592,3229,1602,3233,1624,3240,1634,3242,1656,3247,1667,3248,1689,3250,1700,3251,1723,3251,1734,3250,1756,3248,1767,3247,1789,3242,1800,3240,1821,3233,1831,3229,1852,3221,1862,3216,1881,3206,1891,3200,1909,3188,1918,3181,1936,3167,1944,3159,1960,3144,1967,3135,1981,3118,1988,3109,2000,3091,2006,3081,2016,3062,2021,3052,2029,3031,2033,3021,2040,2999,2042,2989,2047,2967,2048,2956,2051,2934,2051,2923,2051,2911,2051,2900xm2092,2911l2084,2835,2066,2776,2066,2911,2059,2983,2038,3049,2005,3109,1962,3162,1910,3205,1849,3238,1783,3259,1712,3266,1640,3259,1574,3238,1514,3205,1461,3162,1418,3109,1385,3049,1364,2983,1357,2911,1364,2840,1385,2774,1418,2713,1461,2661,1514,2618,1574,2585,1640,2564,1712,2557,1783,2564,1849,2585,1910,2618,1962,2661,2005,2713,2038,2774,2059,2840,2066,2911,2066,2776,2062,2764,2027,2699,1980,2643,1924,2596,1860,2561,1847,2557,1788,2539,1712,2531,1635,2539,1564,2561,1499,2596,1443,2643,1396,2699,1361,2764,1339,2835,1331,2911,1339,2988,1361,3059,1396,3124,1443,3180,1499,3227,1564,3262,1635,3284,1712,3292,1788,3284,1847,3266,1860,3262,1924,3227,1980,3180,2027,3124,2062,3059,2084,2988,2092,2911xe" filled="true" fillcolor="#ff66c3" stroked="false">
                  <v:path arrowok="t"/>
                  <v:fill type="solid"/>
                </v:shape>
                <v:shape style="position:absolute;left:1508;top:2665;width:421;height:463" id="docshape83" coordorigin="1509,2665" coordsize="421,463" path="m1786,3128l1719,3118,1647,3099,1635,3098,1580,3121,1510,3121,1516,3059,1540,2996,1587,2940,1643,2903,1687,2880,1697,2875,1749,2830,1753,2808,1751,2795,1696,2755,1668,2754,1655,2755,1633,2759,1623,2763,1613,2768,1625,2772,1636,2778,1657,2836,1608,2877,1542,2866,1509,2812,1509,2798,1533,2732,1583,2693,1656,2670,1723,2665,1747,2666,1811,2676,1875,2706,1920,2762,1927,2803,1926,2819,1903,2881,1854,2917,1791,2939,1737,2953,1723,2957,1661,2983,1613,3027,1607,3039,1612,3041,1616,3036,1622,3030,1692,2991,1704,2989,1731,2989,1742,2990,1760,2993,1768,2994,1804,3002,1811,3003,1869,2974,1869,2955,1929,2955,1923,3029,1897,3090,1843,3123,1801,3127,1786,3128xe" filled="true" fillcolor="#ffffff" stroked="false">
                  <v:path arrowok="t"/>
                  <v:fill type="solid"/>
                </v:shape>
                <v:shape style="position:absolute;left:1331;top:3529;width:779;height:779" id="docshape84" coordorigin="1331,3529" coordsize="779,779" path="m2068,3907l2067,3896,2065,3873,2063,3862,2059,3840,2056,3829,2049,3807,2046,3796,2037,3775,2032,3765,2021,3745,2015,3735,2003,3716,1996,3707,1982,3689,1974,3681,1958,3665,1950,3657,1932,3643,1923,3636,1904,3623,1894,3618,1874,3607,1864,3602,1843,3593,1832,3589,1810,3583,1799,3580,1777,3576,1766,3574,1743,3572,1732,3571,1709,3571,1698,3572,1675,3574,1664,3576,1641,3580,1630,3583,1609,3589,1598,3593,1577,3602,1567,3607,1547,3618,1537,3623,1518,3636,1509,3643,1491,3657,1483,3665,1467,3681,1459,3689,1445,3707,1438,3716,1425,3735,1419,3745,1409,3765,1404,3775,1395,3796,1391,3807,1385,3829,1382,3840,1378,3862,1376,3873,1374,3896,1373,3907,1373,3930,1374,3941,1376,3964,1378,3975,1382,3997,1385,4008,1391,4030,1395,4041,1404,4062,1409,4072,1419,4092,1425,4102,1438,4121,1445,4130,1459,4148,1467,4156,1483,4172,1491,4180,1509,4194,1518,4201,1537,4214,1547,4219,1567,4230,1577,4235,1598,4244,1609,4248,1630,4254,1641,4257,1664,4261,1675,4263,1698,4265,1709,4266,1732,4266,1743,4265,1766,4263,1777,4261,1799,4257,1810,4254,1832,4248,1843,4244,1864,4235,1874,4230,1894,4219,1904,4214,1923,4201,1932,4194,1950,4180,1958,4172,1974,4156,1982,4148,1996,4130,2003,4121,2015,4102,2021,4092,2032,4072,2037,4062,2046,4041,2049,4030,2056,4008,2059,3997,2063,3975,2065,3964,2067,3941,2068,3930,2068,3918,2068,3907xm2110,3918l2102,3840,2083,3780,2083,3918,2076,3991,2054,4059,2021,4121,1977,4175,1923,4219,1861,4252,1793,4274,1720,4281,1647,4274,1579,4252,1518,4219,1464,4175,1420,4121,1386,4059,1365,3991,1358,3918,1365,3846,1386,3778,1420,3716,1464,3662,1518,3618,1579,3585,1647,3563,1720,3556,1793,3563,1861,3585,1923,3618,1977,3662,2021,3716,2054,3778,2076,3846,2083,3918,2083,3780,2079,3767,2043,3701,1995,3643,1938,3596,1872,3560,1859,3556,1799,3537,1720,3529,1642,3537,1569,3560,1503,3596,1445,3643,1398,3701,1362,3767,1339,3840,1331,3918,1339,3997,1362,4070,1398,4136,1445,4194,1503,4241,1569,4277,1642,4300,1720,4308,1799,4300,1859,4281,1872,4277,1938,4241,1995,4194,2043,4136,2079,4070,2102,3997,2110,3918xe" filled="true" fillcolor="#9a2f59" stroked="false">
                  <v:path arrowok="t"/>
                  <v:fill type="solid"/>
                </v:shape>
                <v:shape style="position:absolute;left:1498;top:3666;width:454;height:480" id="docshape85" coordorigin="1498,3667" coordsize="454,480" path="m1721,4146l1640,4139,1579,4118,1525,4078,1499,4015,1498,4002,1498,3988,1530,3929,1569,3914,1595,3914,1649,3946,1639,4014,1604,4034,1621,4042,1641,4048,1664,4052,1689,4053,1709,4052,1768,4017,1774,3979,1772,3970,1720,3933,1681,3932,1681,3864,1741,3856,1765,3803,1763,3794,1711,3758,1692,3757,1677,3758,1621,3777,1625,3778,1630,3779,1664,3837,1611,3879,1544,3866,1512,3810,1512,3797,1535,3732,1583,3694,1656,3671,1723,3667,1744,3667,1822,3677,1887,3702,1929,3746,1939,3792,1938,3813,1899,3874,1835,3897,1835,3901,1902,3922,1944,3969,1951,4015,1951,4027,1924,4083,1869,4120,1806,4139,1751,4145,1721,4146xe" filled="true" fillcolor="#ffffff" stroked="false">
                  <v:path arrowok="t"/>
                  <v:fill type="solid"/>
                </v:shape>
                <v:shape style="position:absolute;left:1041;top:885;width:5470;height:3546" type="#_x0000_t202" id="docshape86" filled="false" stroked="false">
                  <v:textbox inset="0,0,0,0">
                    <w:txbxContent>
                      <w:p>
                        <w:pPr>
                          <w:spacing w:before="173"/>
                          <w:ind w:left="202" w:right="0" w:firstLine="0"/>
                          <w:jc w:val="left"/>
                          <w:rPr>
                            <w:b/>
                            <w:i/>
                            <w:sz w:val="34"/>
                          </w:rPr>
                        </w:pPr>
                        <w:r>
                          <w:rPr>
                            <w:b/>
                            <w:i/>
                            <w:spacing w:val="13"/>
                            <w:w w:val="125"/>
                            <w:sz w:val="34"/>
                          </w:rPr>
                          <w:t>RECOMMENDATIONS</w:t>
                        </w:r>
                      </w:p>
                      <w:p>
                        <w:pPr>
                          <w:spacing w:line="278" w:lineRule="auto" w:before="108"/>
                          <w:ind w:left="1147" w:right="289" w:firstLine="0"/>
                          <w:jc w:val="left"/>
                          <w:rPr>
                            <w:rFonts w:ascii="Georgia"/>
                            <w:sz w:val="20"/>
                          </w:rPr>
                        </w:pPr>
                        <w:r>
                          <w:rPr>
                            <w:rFonts w:ascii="Georgia"/>
                            <w:w w:val="105"/>
                            <w:sz w:val="20"/>
                          </w:rPr>
                          <w:t>Codify</w:t>
                        </w:r>
                        <w:r>
                          <w:rPr>
                            <w:rFonts w:ascii="Georgia"/>
                            <w:spacing w:val="-12"/>
                            <w:w w:val="105"/>
                            <w:sz w:val="20"/>
                          </w:rPr>
                          <w:t> </w:t>
                        </w:r>
                        <w:r>
                          <w:rPr>
                            <w:rFonts w:ascii="Georgia"/>
                            <w:w w:val="105"/>
                            <w:sz w:val="20"/>
                          </w:rPr>
                          <w:t>the</w:t>
                        </w:r>
                        <w:r>
                          <w:rPr>
                            <w:rFonts w:ascii="Georgia"/>
                            <w:spacing w:val="-12"/>
                            <w:w w:val="105"/>
                            <w:sz w:val="20"/>
                          </w:rPr>
                          <w:t> </w:t>
                        </w:r>
                        <w:r>
                          <w:rPr>
                            <w:rFonts w:ascii="Georgia"/>
                            <w:w w:val="105"/>
                            <w:sz w:val="20"/>
                          </w:rPr>
                          <w:t>foster</w:t>
                        </w:r>
                        <w:r>
                          <w:rPr>
                            <w:rFonts w:ascii="Georgia"/>
                            <w:spacing w:val="-12"/>
                            <w:w w:val="105"/>
                            <w:sz w:val="20"/>
                          </w:rPr>
                          <w:t> </w:t>
                        </w:r>
                        <w:r>
                          <w:rPr>
                            <w:rFonts w:ascii="Georgia"/>
                            <w:w w:val="105"/>
                            <w:sz w:val="20"/>
                          </w:rPr>
                          <w:t>child</w:t>
                        </w:r>
                        <w:r>
                          <w:rPr>
                            <w:rFonts w:ascii="Georgia"/>
                            <w:spacing w:val="-12"/>
                            <w:w w:val="105"/>
                            <w:sz w:val="20"/>
                          </w:rPr>
                          <w:t> </w:t>
                        </w:r>
                        <w:r>
                          <w:rPr>
                            <w:rFonts w:ascii="Georgia"/>
                            <w:w w:val="105"/>
                            <w:sz w:val="20"/>
                          </w:rPr>
                          <w:t>bill</w:t>
                        </w:r>
                        <w:r>
                          <w:rPr>
                            <w:rFonts w:ascii="Georgia"/>
                            <w:spacing w:val="-12"/>
                            <w:w w:val="105"/>
                            <w:sz w:val="20"/>
                          </w:rPr>
                          <w:t> </w:t>
                        </w:r>
                        <w:r>
                          <w:rPr>
                            <w:rFonts w:ascii="Georgia"/>
                            <w:w w:val="105"/>
                            <w:sz w:val="20"/>
                          </w:rPr>
                          <w:t>of</w:t>
                        </w:r>
                        <w:r>
                          <w:rPr>
                            <w:rFonts w:ascii="Georgia"/>
                            <w:spacing w:val="-12"/>
                            <w:w w:val="105"/>
                            <w:sz w:val="20"/>
                          </w:rPr>
                          <w:t> </w:t>
                        </w:r>
                        <w:r>
                          <w:rPr>
                            <w:rFonts w:ascii="Georgia"/>
                            <w:w w:val="105"/>
                            <w:sz w:val="20"/>
                          </w:rPr>
                          <w:t>rights</w:t>
                        </w:r>
                        <w:r>
                          <w:rPr>
                            <w:rFonts w:ascii="Georgia"/>
                            <w:spacing w:val="-12"/>
                            <w:w w:val="105"/>
                            <w:sz w:val="20"/>
                          </w:rPr>
                          <w:t> </w:t>
                        </w:r>
                        <w:r>
                          <w:rPr>
                            <w:rFonts w:ascii="Georgia"/>
                            <w:w w:val="105"/>
                            <w:sz w:val="20"/>
                          </w:rPr>
                          <w:t>in</w:t>
                        </w:r>
                        <w:r>
                          <w:rPr>
                            <w:rFonts w:ascii="Georgia"/>
                            <w:spacing w:val="-12"/>
                            <w:w w:val="105"/>
                            <w:sz w:val="20"/>
                          </w:rPr>
                          <w:t> </w:t>
                        </w:r>
                        <w:r>
                          <w:rPr>
                            <w:rFonts w:ascii="Georgia"/>
                            <w:w w:val="105"/>
                            <w:sz w:val="20"/>
                          </w:rPr>
                          <w:t>state </w:t>
                        </w:r>
                        <w:r>
                          <w:rPr>
                            <w:rFonts w:ascii="Georgia"/>
                            <w:spacing w:val="-4"/>
                            <w:w w:val="105"/>
                            <w:sz w:val="20"/>
                          </w:rPr>
                          <w:t>law.</w:t>
                        </w:r>
                      </w:p>
                      <w:p>
                        <w:pPr>
                          <w:spacing w:line="240" w:lineRule="auto" w:before="176"/>
                          <w:rPr>
                            <w:rFonts w:ascii="Georgia"/>
                            <w:sz w:val="20"/>
                          </w:rPr>
                        </w:pPr>
                      </w:p>
                      <w:p>
                        <w:pPr>
                          <w:spacing w:line="278" w:lineRule="auto" w:before="1"/>
                          <w:ind w:left="1147" w:right="0" w:firstLine="0"/>
                          <w:jc w:val="left"/>
                          <w:rPr>
                            <w:rFonts w:ascii="Georgia"/>
                            <w:sz w:val="20"/>
                          </w:rPr>
                        </w:pPr>
                        <w:r>
                          <w:rPr>
                            <w:rFonts w:ascii="Georgia"/>
                            <w:w w:val="105"/>
                            <w:sz w:val="20"/>
                          </w:rPr>
                          <w:t>Improve Massachusetts child abuse laws to explicitly</w:t>
                        </w:r>
                        <w:r>
                          <w:rPr>
                            <w:rFonts w:ascii="Georgia"/>
                            <w:spacing w:val="-13"/>
                            <w:w w:val="105"/>
                            <w:sz w:val="20"/>
                          </w:rPr>
                          <w:t> </w:t>
                        </w:r>
                        <w:r>
                          <w:rPr>
                            <w:rFonts w:ascii="Georgia"/>
                            <w:w w:val="105"/>
                            <w:sz w:val="20"/>
                          </w:rPr>
                          <w:t>include</w:t>
                        </w:r>
                        <w:r>
                          <w:rPr>
                            <w:rFonts w:ascii="Georgia"/>
                            <w:spacing w:val="-13"/>
                            <w:w w:val="105"/>
                            <w:sz w:val="20"/>
                          </w:rPr>
                          <w:t> </w:t>
                        </w:r>
                        <w:r>
                          <w:rPr>
                            <w:rFonts w:ascii="Georgia"/>
                            <w:w w:val="105"/>
                            <w:sz w:val="20"/>
                          </w:rPr>
                          <w:t>the</w:t>
                        </w:r>
                        <w:r>
                          <w:rPr>
                            <w:rFonts w:ascii="Georgia"/>
                            <w:spacing w:val="-12"/>
                            <w:w w:val="105"/>
                            <w:sz w:val="20"/>
                          </w:rPr>
                          <w:t> </w:t>
                        </w:r>
                        <w:r>
                          <w:rPr>
                            <w:rFonts w:ascii="Georgia"/>
                            <w:w w:val="105"/>
                            <w:sz w:val="20"/>
                          </w:rPr>
                          <w:t>withholding</w:t>
                        </w:r>
                        <w:r>
                          <w:rPr>
                            <w:rFonts w:ascii="Georgia"/>
                            <w:spacing w:val="-13"/>
                            <w:w w:val="105"/>
                            <w:sz w:val="20"/>
                          </w:rPr>
                          <w:t> </w:t>
                        </w:r>
                        <w:r>
                          <w:rPr>
                            <w:rFonts w:ascii="Georgia"/>
                            <w:w w:val="105"/>
                            <w:sz w:val="20"/>
                          </w:rPr>
                          <w:t>of</w:t>
                        </w:r>
                        <w:r>
                          <w:rPr>
                            <w:rFonts w:ascii="Georgia"/>
                            <w:spacing w:val="-13"/>
                            <w:w w:val="105"/>
                            <w:sz w:val="20"/>
                          </w:rPr>
                          <w:t> </w:t>
                        </w:r>
                        <w:r>
                          <w:rPr>
                            <w:rFonts w:ascii="Georgia"/>
                            <w:w w:val="105"/>
                            <w:sz w:val="20"/>
                          </w:rPr>
                          <w:t>gender- affirming care for LGBTQ youth.</w:t>
                        </w:r>
                      </w:p>
                      <w:p>
                        <w:pPr>
                          <w:spacing w:line="240" w:lineRule="auto" w:before="148"/>
                          <w:rPr>
                            <w:rFonts w:ascii="Georgia"/>
                            <w:sz w:val="20"/>
                          </w:rPr>
                        </w:pPr>
                      </w:p>
                      <w:p>
                        <w:pPr>
                          <w:spacing w:line="278" w:lineRule="auto" w:before="1"/>
                          <w:ind w:left="1147" w:right="289" w:firstLine="0"/>
                          <w:jc w:val="left"/>
                          <w:rPr>
                            <w:rFonts w:ascii="Georgia"/>
                            <w:sz w:val="20"/>
                          </w:rPr>
                        </w:pPr>
                        <w:r>
                          <w:rPr>
                            <w:rFonts w:ascii="Georgia"/>
                            <w:w w:val="105"/>
                            <w:sz w:val="20"/>
                          </w:rPr>
                          <w:t>Create</w:t>
                        </w:r>
                        <w:r>
                          <w:rPr>
                            <w:rFonts w:ascii="Georgia"/>
                            <w:spacing w:val="-13"/>
                            <w:w w:val="105"/>
                            <w:sz w:val="20"/>
                          </w:rPr>
                          <w:t> </w:t>
                        </w:r>
                        <w:r>
                          <w:rPr>
                            <w:rFonts w:ascii="Georgia"/>
                            <w:w w:val="105"/>
                            <w:sz w:val="20"/>
                          </w:rPr>
                          <w:t>a</w:t>
                        </w:r>
                        <w:r>
                          <w:rPr>
                            <w:rFonts w:ascii="Georgia"/>
                            <w:spacing w:val="-13"/>
                            <w:w w:val="105"/>
                            <w:sz w:val="20"/>
                          </w:rPr>
                          <w:t> </w:t>
                        </w:r>
                        <w:r>
                          <w:rPr>
                            <w:rFonts w:ascii="Georgia"/>
                            <w:w w:val="105"/>
                            <w:sz w:val="20"/>
                          </w:rPr>
                          <w:t>program</w:t>
                        </w:r>
                        <w:r>
                          <w:rPr>
                            <w:rFonts w:ascii="Georgia"/>
                            <w:spacing w:val="-12"/>
                            <w:w w:val="105"/>
                            <w:sz w:val="20"/>
                          </w:rPr>
                          <w:t> </w:t>
                        </w:r>
                        <w:r>
                          <w:rPr>
                            <w:rFonts w:ascii="Georgia"/>
                            <w:w w:val="105"/>
                            <w:sz w:val="20"/>
                          </w:rPr>
                          <w:t>for</w:t>
                        </w:r>
                        <w:r>
                          <w:rPr>
                            <w:rFonts w:ascii="Georgia"/>
                            <w:spacing w:val="-13"/>
                            <w:w w:val="105"/>
                            <w:sz w:val="20"/>
                          </w:rPr>
                          <w:t> </w:t>
                        </w:r>
                        <w:r>
                          <w:rPr>
                            <w:rFonts w:ascii="Georgia"/>
                            <w:w w:val="105"/>
                            <w:sz w:val="20"/>
                          </w:rPr>
                          <w:t>universal</w:t>
                        </w:r>
                        <w:r>
                          <w:rPr>
                            <w:rFonts w:ascii="Georgia"/>
                            <w:spacing w:val="-13"/>
                            <w:w w:val="105"/>
                            <w:sz w:val="20"/>
                          </w:rPr>
                          <w:t> </w:t>
                        </w:r>
                        <w:r>
                          <w:rPr>
                            <w:rFonts w:ascii="Georgia"/>
                            <w:w w:val="105"/>
                            <w:sz w:val="20"/>
                          </w:rPr>
                          <w:t>basic</w:t>
                        </w:r>
                        <w:r>
                          <w:rPr>
                            <w:rFonts w:ascii="Georgia"/>
                            <w:spacing w:val="-12"/>
                            <w:w w:val="105"/>
                            <w:sz w:val="20"/>
                          </w:rPr>
                          <w:t> </w:t>
                        </w:r>
                        <w:r>
                          <w:rPr>
                            <w:rFonts w:ascii="Georgia"/>
                            <w:w w:val="105"/>
                            <w:sz w:val="20"/>
                          </w:rPr>
                          <w:t>income for foster care youth.</w:t>
                        </w:r>
                      </w:p>
                    </w:txbxContent>
                  </v:textbox>
                  <w10:wrap type="none"/>
                </v:shape>
                <w10:wrap type="none"/>
              </v:group>
            </w:pict>
          </mc:Fallback>
        </mc:AlternateContent>
      </w:r>
      <w:r>
        <w:rPr>
          <w:rFonts w:ascii="Georgia"/>
        </w:rPr>
        <w:t>of Massachusetts transgender and </w:t>
      </w:r>
      <w:r>
        <w:rPr>
          <w:rFonts w:ascii="Georgia"/>
          <w:w w:val="105"/>
        </w:rPr>
        <w:t>nonbinary youth seriously contemplated suicide</w:t>
      </w:r>
    </w:p>
    <w:p>
      <w:pPr>
        <w:pStyle w:val="Heading3"/>
        <w:spacing w:before="155"/>
        <w:ind w:left="1332"/>
      </w:pPr>
      <w:r>
        <w:rPr>
          <w:emboss/>
          <w:color w:val="FF66C3"/>
          <w:spacing w:val="19"/>
          <w:w w:val="90"/>
        </w:rPr>
        <w:t>510</w:t>
      </w:r>
    </w:p>
    <w:p>
      <w:pPr>
        <w:pStyle w:val="BodyText"/>
        <w:spacing w:line="266" w:lineRule="auto" w:before="23"/>
        <w:ind w:left="321" w:right="181" w:hanging="1"/>
        <w:jc w:val="center"/>
        <w:rPr>
          <w:rFonts w:ascii="Georgia"/>
        </w:rPr>
      </w:pPr>
      <w:r>
        <w:rPr>
          <w:rFonts w:ascii="Georgia"/>
          <w:w w:val="105"/>
        </w:rPr>
        <w:t>Anti-LGBTQ laws have been </w:t>
      </w:r>
      <w:r>
        <w:rPr>
          <w:rFonts w:ascii="Georgia"/>
        </w:rPr>
        <w:t>introduced</w:t>
      </w:r>
      <w:r>
        <w:rPr>
          <w:rFonts w:ascii="Georgia"/>
          <w:spacing w:val="-3"/>
        </w:rPr>
        <w:t> </w:t>
      </w:r>
      <w:r>
        <w:rPr>
          <w:rFonts w:ascii="Georgia"/>
        </w:rPr>
        <w:t>as</w:t>
      </w:r>
      <w:r>
        <w:rPr>
          <w:rFonts w:ascii="Georgia"/>
          <w:spacing w:val="-3"/>
        </w:rPr>
        <w:t> </w:t>
      </w:r>
      <w:r>
        <w:rPr>
          <w:rFonts w:ascii="Georgia"/>
        </w:rPr>
        <w:t>of</w:t>
      </w:r>
      <w:r>
        <w:rPr>
          <w:rFonts w:ascii="Georgia"/>
          <w:spacing w:val="40"/>
        </w:rPr>
        <w:t> </w:t>
      </w:r>
      <w:r>
        <w:rPr>
          <w:rFonts w:ascii="Georgia"/>
        </w:rPr>
        <w:t>2023,</w:t>
      </w:r>
      <w:r>
        <w:rPr>
          <w:rFonts w:ascii="Georgia"/>
          <w:spacing w:val="-3"/>
        </w:rPr>
        <w:t> </w:t>
      </w:r>
      <w:r>
        <w:rPr>
          <w:rFonts w:ascii="Georgia"/>
        </w:rPr>
        <w:t>specifically </w:t>
      </w:r>
      <w:r>
        <w:rPr>
          <w:rFonts w:ascii="Georgia"/>
          <w:w w:val="105"/>
        </w:rPr>
        <w:t>targeting LGBTQ youth</w:t>
      </w:r>
    </w:p>
    <w:p>
      <w:pPr>
        <w:spacing w:after="0" w:line="266" w:lineRule="auto"/>
        <w:jc w:val="center"/>
        <w:rPr>
          <w:rFonts w:ascii="Georgia"/>
        </w:rPr>
        <w:sectPr>
          <w:type w:val="continuous"/>
          <w:pgSz w:w="12240" w:h="15840"/>
          <w:pgMar w:header="0" w:footer="0" w:top="1420" w:bottom="280" w:left="940" w:right="1320"/>
          <w:cols w:num="2" w:equalWidth="0">
            <w:col w:w="5414" w:space="679"/>
            <w:col w:w="3887"/>
          </w:cols>
        </w:sectPr>
      </w:pPr>
    </w:p>
    <w:p>
      <w:pPr>
        <w:pStyle w:val="BodyText"/>
        <w:rPr>
          <w:rFonts w:ascii="Georgia"/>
          <w:sz w:val="20"/>
        </w:rPr>
      </w:pPr>
      <w:r>
        <w:rPr/>
        <mc:AlternateContent>
          <mc:Choice Requires="wps">
            <w:drawing>
              <wp:anchor distT="0" distB="0" distL="0" distR="0" allowOverlap="1" layoutInCell="1" locked="0" behindDoc="1" simplePos="0" relativeHeight="482562048">
                <wp:simplePos x="0" y="0"/>
                <wp:positionH relativeFrom="page">
                  <wp:posOffset>0</wp:posOffset>
                </wp:positionH>
                <wp:positionV relativeFrom="page">
                  <wp:posOffset>0</wp:posOffset>
                </wp:positionV>
                <wp:extent cx="7772400" cy="5631815"/>
                <wp:effectExtent l="0" t="0" r="0" b="0"/>
                <wp:wrapNone/>
                <wp:docPr id="104" name="Group 104"/>
                <wp:cNvGraphicFramePr>
                  <a:graphicFrameLocks/>
                </wp:cNvGraphicFramePr>
                <a:graphic>
                  <a:graphicData uri="http://schemas.microsoft.com/office/word/2010/wordprocessingGroup">
                    <wpg:wgp>
                      <wpg:cNvPr id="104" name="Group 104"/>
                      <wpg:cNvGrpSpPr/>
                      <wpg:grpSpPr>
                        <a:xfrm>
                          <a:off x="0" y="0"/>
                          <a:ext cx="7772400" cy="5631815"/>
                          <a:chExt cx="7772400" cy="5631815"/>
                        </a:xfrm>
                      </wpg:grpSpPr>
                      <pic:pic>
                        <pic:nvPicPr>
                          <pic:cNvPr id="105" name="Image 105"/>
                          <pic:cNvPicPr/>
                        </pic:nvPicPr>
                        <pic:blipFill>
                          <a:blip r:embed="rId97" cstate="print"/>
                          <a:stretch>
                            <a:fillRect/>
                          </a:stretch>
                        </pic:blipFill>
                        <pic:spPr>
                          <a:xfrm>
                            <a:off x="0" y="0"/>
                            <a:ext cx="7772399" cy="3186465"/>
                          </a:xfrm>
                          <a:prstGeom prst="rect">
                            <a:avLst/>
                          </a:prstGeom>
                        </pic:spPr>
                      </pic:pic>
                      <pic:pic>
                        <pic:nvPicPr>
                          <pic:cNvPr id="106" name="Image 106"/>
                          <pic:cNvPicPr/>
                        </pic:nvPicPr>
                        <pic:blipFill>
                          <a:blip r:embed="rId98" cstate="print"/>
                          <a:stretch>
                            <a:fillRect/>
                          </a:stretch>
                        </pic:blipFill>
                        <pic:spPr>
                          <a:xfrm>
                            <a:off x="4978374" y="735420"/>
                            <a:ext cx="1480888" cy="1480632"/>
                          </a:xfrm>
                          <a:prstGeom prst="rect">
                            <a:avLst/>
                          </a:prstGeom>
                        </pic:spPr>
                      </pic:pic>
                      <wps:wsp>
                        <wps:cNvPr id="107" name="Graphic 107"/>
                        <wps:cNvSpPr/>
                        <wps:spPr>
                          <a:xfrm>
                            <a:off x="4964629" y="721666"/>
                            <a:ext cx="1508125" cy="1508125"/>
                          </a:xfrm>
                          <a:custGeom>
                            <a:avLst/>
                            <a:gdLst/>
                            <a:ahLst/>
                            <a:cxnLst/>
                            <a:rect l="l" t="t" r="r" b="b"/>
                            <a:pathLst>
                              <a:path w="1508125" h="1508125">
                                <a:moveTo>
                                  <a:pt x="754061" y="1508119"/>
                                </a:moveTo>
                                <a:lnTo>
                                  <a:pt x="706443" y="1506633"/>
                                </a:lnTo>
                                <a:lnTo>
                                  <a:pt x="659603" y="1502233"/>
                                </a:lnTo>
                                <a:lnTo>
                                  <a:pt x="613628" y="1495009"/>
                                </a:lnTo>
                                <a:lnTo>
                                  <a:pt x="568609" y="1485050"/>
                                </a:lnTo>
                                <a:lnTo>
                                  <a:pt x="524634" y="1472444"/>
                                </a:lnTo>
                                <a:lnTo>
                                  <a:pt x="481792" y="1457281"/>
                                </a:lnTo>
                                <a:lnTo>
                                  <a:pt x="440173" y="1439650"/>
                                </a:lnTo>
                                <a:lnTo>
                                  <a:pt x="399864" y="1419640"/>
                                </a:lnTo>
                                <a:lnTo>
                                  <a:pt x="360956" y="1397339"/>
                                </a:lnTo>
                                <a:lnTo>
                                  <a:pt x="323537" y="1372837"/>
                                </a:lnTo>
                                <a:lnTo>
                                  <a:pt x="287696" y="1346223"/>
                                </a:lnTo>
                                <a:lnTo>
                                  <a:pt x="253523" y="1317586"/>
                                </a:lnTo>
                                <a:lnTo>
                                  <a:pt x="221106" y="1287014"/>
                                </a:lnTo>
                                <a:lnTo>
                                  <a:pt x="190534" y="1254598"/>
                                </a:lnTo>
                                <a:lnTo>
                                  <a:pt x="161896" y="1220425"/>
                                </a:lnTo>
                                <a:lnTo>
                                  <a:pt x="135282" y="1184585"/>
                                </a:lnTo>
                                <a:lnTo>
                                  <a:pt x="110780" y="1147166"/>
                                </a:lnTo>
                                <a:lnTo>
                                  <a:pt x="88479" y="1108259"/>
                                </a:lnTo>
                                <a:lnTo>
                                  <a:pt x="68468" y="1067951"/>
                                </a:lnTo>
                                <a:lnTo>
                                  <a:pt x="50770" y="1026142"/>
                                </a:lnTo>
                                <a:lnTo>
                                  <a:pt x="35669" y="983473"/>
                                </a:lnTo>
                                <a:lnTo>
                                  <a:pt x="23075" y="939517"/>
                                </a:lnTo>
                                <a:lnTo>
                                  <a:pt x="13118" y="894499"/>
                                </a:lnTo>
                                <a:lnTo>
                                  <a:pt x="5894" y="848526"/>
                                </a:lnTo>
                                <a:lnTo>
                                  <a:pt x="1491" y="801686"/>
                                </a:lnTo>
                                <a:lnTo>
                                  <a:pt x="0" y="754070"/>
                                </a:lnTo>
                                <a:lnTo>
                                  <a:pt x="1494" y="706368"/>
                                </a:lnTo>
                                <a:lnTo>
                                  <a:pt x="5906" y="659480"/>
                                </a:lnTo>
                                <a:lnTo>
                                  <a:pt x="13140" y="613502"/>
                                </a:lnTo>
                                <a:lnTo>
                                  <a:pt x="23094" y="568530"/>
                                </a:lnTo>
                                <a:lnTo>
                                  <a:pt x="35676" y="524643"/>
                                </a:lnTo>
                                <a:lnTo>
                                  <a:pt x="50851" y="481801"/>
                                </a:lnTo>
                                <a:lnTo>
                                  <a:pt x="68470" y="440181"/>
                                </a:lnTo>
                                <a:lnTo>
                                  <a:pt x="88480" y="399872"/>
                                </a:lnTo>
                                <a:lnTo>
                                  <a:pt x="110781" y="360964"/>
                                </a:lnTo>
                                <a:lnTo>
                                  <a:pt x="135284" y="323544"/>
                                </a:lnTo>
                                <a:lnTo>
                                  <a:pt x="161898" y="287703"/>
                                </a:lnTo>
                                <a:lnTo>
                                  <a:pt x="190536" y="253529"/>
                                </a:lnTo>
                                <a:lnTo>
                                  <a:pt x="221108" y="221111"/>
                                </a:lnTo>
                                <a:lnTo>
                                  <a:pt x="253526" y="190539"/>
                                </a:lnTo>
                                <a:lnTo>
                                  <a:pt x="287699" y="161901"/>
                                </a:lnTo>
                                <a:lnTo>
                                  <a:pt x="323540" y="135286"/>
                                </a:lnTo>
                                <a:lnTo>
                                  <a:pt x="360959" y="110783"/>
                                </a:lnTo>
                                <a:lnTo>
                                  <a:pt x="399867" y="88482"/>
                                </a:lnTo>
                                <a:lnTo>
                                  <a:pt x="440175" y="68471"/>
                                </a:lnTo>
                                <a:lnTo>
                                  <a:pt x="481795" y="50839"/>
                                </a:lnTo>
                                <a:lnTo>
                                  <a:pt x="524636" y="35676"/>
                                </a:lnTo>
                                <a:lnTo>
                                  <a:pt x="568611" y="23070"/>
                                </a:lnTo>
                                <a:lnTo>
                                  <a:pt x="613630" y="13110"/>
                                </a:lnTo>
                                <a:lnTo>
                                  <a:pt x="659604" y="5886"/>
                                </a:lnTo>
                                <a:lnTo>
                                  <a:pt x="706444" y="1486"/>
                                </a:lnTo>
                                <a:lnTo>
                                  <a:pt x="754061" y="0"/>
                                </a:lnTo>
                                <a:lnTo>
                                  <a:pt x="801678" y="1486"/>
                                </a:lnTo>
                                <a:lnTo>
                                  <a:pt x="848519" y="5886"/>
                                </a:lnTo>
                                <a:lnTo>
                                  <a:pt x="894494" y="13110"/>
                                </a:lnTo>
                                <a:lnTo>
                                  <a:pt x="939513" y="23070"/>
                                </a:lnTo>
                                <a:lnTo>
                                  <a:pt x="954942" y="27493"/>
                                </a:lnTo>
                                <a:lnTo>
                                  <a:pt x="754061" y="27493"/>
                                </a:lnTo>
                                <a:lnTo>
                                  <a:pt x="706360" y="29041"/>
                                </a:lnTo>
                                <a:lnTo>
                                  <a:pt x="659472" y="33622"/>
                                </a:lnTo>
                                <a:lnTo>
                                  <a:pt x="613495" y="41139"/>
                                </a:lnTo>
                                <a:lnTo>
                                  <a:pt x="568524" y="51496"/>
                                </a:lnTo>
                                <a:lnTo>
                                  <a:pt x="524656" y="64596"/>
                                </a:lnTo>
                                <a:lnTo>
                                  <a:pt x="481987" y="80342"/>
                                </a:lnTo>
                                <a:lnTo>
                                  <a:pt x="440615" y="98639"/>
                                </a:lnTo>
                                <a:lnTo>
                                  <a:pt x="400634" y="119389"/>
                                </a:lnTo>
                                <a:lnTo>
                                  <a:pt x="362143" y="142496"/>
                                </a:lnTo>
                                <a:lnTo>
                                  <a:pt x="325237" y="167865"/>
                                </a:lnTo>
                                <a:lnTo>
                                  <a:pt x="290013" y="195397"/>
                                </a:lnTo>
                                <a:lnTo>
                                  <a:pt x="256567" y="224997"/>
                                </a:lnTo>
                                <a:lnTo>
                                  <a:pt x="224996" y="256569"/>
                                </a:lnTo>
                                <a:lnTo>
                                  <a:pt x="195396" y="290015"/>
                                </a:lnTo>
                                <a:lnTo>
                                  <a:pt x="167863" y="325240"/>
                                </a:lnTo>
                                <a:lnTo>
                                  <a:pt x="142496" y="362147"/>
                                </a:lnTo>
                                <a:lnTo>
                                  <a:pt x="119388" y="400639"/>
                                </a:lnTo>
                                <a:lnTo>
                                  <a:pt x="98638" y="440619"/>
                                </a:lnTo>
                                <a:lnTo>
                                  <a:pt x="80342" y="481993"/>
                                </a:lnTo>
                                <a:lnTo>
                                  <a:pt x="64597" y="524662"/>
                                </a:lnTo>
                                <a:lnTo>
                                  <a:pt x="51475" y="568619"/>
                                </a:lnTo>
                                <a:lnTo>
                                  <a:pt x="41117" y="613638"/>
                                </a:lnTo>
                                <a:lnTo>
                                  <a:pt x="33609" y="659613"/>
                                </a:lnTo>
                                <a:lnTo>
                                  <a:pt x="29039" y="706453"/>
                                </a:lnTo>
                                <a:lnTo>
                                  <a:pt x="27493" y="754070"/>
                                </a:lnTo>
                                <a:lnTo>
                                  <a:pt x="29047" y="801771"/>
                                </a:lnTo>
                                <a:lnTo>
                                  <a:pt x="33631" y="848659"/>
                                </a:lnTo>
                                <a:lnTo>
                                  <a:pt x="41148" y="894637"/>
                                </a:lnTo>
                                <a:lnTo>
                                  <a:pt x="51502" y="939608"/>
                                </a:lnTo>
                                <a:lnTo>
                                  <a:pt x="64602" y="983492"/>
                                </a:lnTo>
                                <a:lnTo>
                                  <a:pt x="80341" y="1026142"/>
                                </a:lnTo>
                                <a:lnTo>
                                  <a:pt x="98638" y="1067517"/>
                                </a:lnTo>
                                <a:lnTo>
                                  <a:pt x="119388" y="1107497"/>
                                </a:lnTo>
                                <a:lnTo>
                                  <a:pt x="142496" y="1145988"/>
                                </a:lnTo>
                                <a:lnTo>
                                  <a:pt x="167864" y="1182894"/>
                                </a:lnTo>
                                <a:lnTo>
                                  <a:pt x="195396" y="1218118"/>
                                </a:lnTo>
                                <a:lnTo>
                                  <a:pt x="224996" y="1251564"/>
                                </a:lnTo>
                                <a:lnTo>
                                  <a:pt x="256567" y="1283135"/>
                                </a:lnTo>
                                <a:lnTo>
                                  <a:pt x="290013" y="1312734"/>
                                </a:lnTo>
                                <a:lnTo>
                                  <a:pt x="325237" y="1340266"/>
                                </a:lnTo>
                                <a:lnTo>
                                  <a:pt x="362143" y="1365634"/>
                                </a:lnTo>
                                <a:lnTo>
                                  <a:pt x="400635" y="1388741"/>
                                </a:lnTo>
                                <a:lnTo>
                                  <a:pt x="440615" y="1409491"/>
                                </a:lnTo>
                                <a:lnTo>
                                  <a:pt x="481988" y="1427787"/>
                                </a:lnTo>
                                <a:lnTo>
                                  <a:pt x="524656" y="1443533"/>
                                </a:lnTo>
                                <a:lnTo>
                                  <a:pt x="568524" y="1456632"/>
                                </a:lnTo>
                                <a:lnTo>
                                  <a:pt x="613495" y="1466989"/>
                                </a:lnTo>
                                <a:lnTo>
                                  <a:pt x="659473" y="1474506"/>
                                </a:lnTo>
                                <a:lnTo>
                                  <a:pt x="706361" y="1479087"/>
                                </a:lnTo>
                                <a:lnTo>
                                  <a:pt x="754061" y="1480635"/>
                                </a:lnTo>
                                <a:lnTo>
                                  <a:pt x="954914" y="1480635"/>
                                </a:lnTo>
                                <a:lnTo>
                                  <a:pt x="939512" y="1485050"/>
                                </a:lnTo>
                                <a:lnTo>
                                  <a:pt x="894493" y="1495009"/>
                                </a:lnTo>
                                <a:lnTo>
                                  <a:pt x="848519" y="1502233"/>
                                </a:lnTo>
                                <a:lnTo>
                                  <a:pt x="801678" y="1506633"/>
                                </a:lnTo>
                                <a:lnTo>
                                  <a:pt x="754061" y="1508119"/>
                                </a:lnTo>
                                <a:close/>
                              </a:path>
                              <a:path w="1508125" h="1508125">
                                <a:moveTo>
                                  <a:pt x="954914" y="1480635"/>
                                </a:moveTo>
                                <a:lnTo>
                                  <a:pt x="754061" y="1480635"/>
                                </a:lnTo>
                                <a:lnTo>
                                  <a:pt x="801761" y="1479087"/>
                                </a:lnTo>
                                <a:lnTo>
                                  <a:pt x="848648" y="1474506"/>
                                </a:lnTo>
                                <a:lnTo>
                                  <a:pt x="894626" y="1466989"/>
                                </a:lnTo>
                                <a:lnTo>
                                  <a:pt x="939597" y="1456632"/>
                                </a:lnTo>
                                <a:lnTo>
                                  <a:pt x="983465" y="1443532"/>
                                </a:lnTo>
                                <a:lnTo>
                                  <a:pt x="1026134" y="1427786"/>
                                </a:lnTo>
                                <a:lnTo>
                                  <a:pt x="1067507" y="1409490"/>
                                </a:lnTo>
                                <a:lnTo>
                                  <a:pt x="1107487" y="1388740"/>
                                </a:lnTo>
                                <a:lnTo>
                                  <a:pt x="1145979" y="1365633"/>
                                </a:lnTo>
                                <a:lnTo>
                                  <a:pt x="1182885" y="1340265"/>
                                </a:lnTo>
                                <a:lnTo>
                                  <a:pt x="1218110" y="1312732"/>
                                </a:lnTo>
                                <a:lnTo>
                                  <a:pt x="1251556" y="1283133"/>
                                </a:lnTo>
                                <a:lnTo>
                                  <a:pt x="1283128" y="1251562"/>
                                </a:lnTo>
                                <a:lnTo>
                                  <a:pt x="1312728" y="1218116"/>
                                </a:lnTo>
                                <a:lnTo>
                                  <a:pt x="1340261" y="1182892"/>
                                </a:lnTo>
                                <a:lnTo>
                                  <a:pt x="1365629" y="1145986"/>
                                </a:lnTo>
                                <a:lnTo>
                                  <a:pt x="1388737" y="1107494"/>
                                </a:lnTo>
                                <a:lnTo>
                                  <a:pt x="1409488" y="1067514"/>
                                </a:lnTo>
                                <a:lnTo>
                                  <a:pt x="1427785" y="1026142"/>
                                </a:lnTo>
                                <a:lnTo>
                                  <a:pt x="1443530" y="983473"/>
                                </a:lnTo>
                                <a:lnTo>
                                  <a:pt x="1456652" y="939517"/>
                                </a:lnTo>
                                <a:lnTo>
                                  <a:pt x="1467010" y="894499"/>
                                </a:lnTo>
                                <a:lnTo>
                                  <a:pt x="1474518" y="848526"/>
                                </a:lnTo>
                                <a:lnTo>
                                  <a:pt x="1479089" y="801686"/>
                                </a:lnTo>
                                <a:lnTo>
                                  <a:pt x="1480635" y="754070"/>
                                </a:lnTo>
                                <a:lnTo>
                                  <a:pt x="1479081" y="706368"/>
                                </a:lnTo>
                                <a:lnTo>
                                  <a:pt x="1474497" y="659480"/>
                                </a:lnTo>
                                <a:lnTo>
                                  <a:pt x="1466979" y="613502"/>
                                </a:lnTo>
                                <a:lnTo>
                                  <a:pt x="1456625" y="568530"/>
                                </a:lnTo>
                                <a:lnTo>
                                  <a:pt x="1443524" y="524643"/>
                                </a:lnTo>
                                <a:lnTo>
                                  <a:pt x="1427785" y="481993"/>
                                </a:lnTo>
                                <a:lnTo>
                                  <a:pt x="1409488" y="440619"/>
                                </a:lnTo>
                                <a:lnTo>
                                  <a:pt x="1388737" y="400639"/>
                                </a:lnTo>
                                <a:lnTo>
                                  <a:pt x="1365630" y="362147"/>
                                </a:lnTo>
                                <a:lnTo>
                                  <a:pt x="1340261" y="325240"/>
                                </a:lnTo>
                                <a:lnTo>
                                  <a:pt x="1312729" y="290015"/>
                                </a:lnTo>
                                <a:lnTo>
                                  <a:pt x="1283128" y="256569"/>
                                </a:lnTo>
                                <a:lnTo>
                                  <a:pt x="1251557" y="224997"/>
                                </a:lnTo>
                                <a:lnTo>
                                  <a:pt x="1218110" y="195397"/>
                                </a:lnTo>
                                <a:lnTo>
                                  <a:pt x="1182886" y="167865"/>
                                </a:lnTo>
                                <a:lnTo>
                                  <a:pt x="1145979" y="142496"/>
                                </a:lnTo>
                                <a:lnTo>
                                  <a:pt x="1107487" y="119389"/>
                                </a:lnTo>
                                <a:lnTo>
                                  <a:pt x="1067507" y="98639"/>
                                </a:lnTo>
                                <a:lnTo>
                                  <a:pt x="1026134" y="80342"/>
                                </a:lnTo>
                                <a:lnTo>
                                  <a:pt x="983465" y="64596"/>
                                </a:lnTo>
                                <a:lnTo>
                                  <a:pt x="939597" y="51496"/>
                                </a:lnTo>
                                <a:lnTo>
                                  <a:pt x="894626" y="41139"/>
                                </a:lnTo>
                                <a:lnTo>
                                  <a:pt x="848649" y="33622"/>
                                </a:lnTo>
                                <a:lnTo>
                                  <a:pt x="801762" y="29041"/>
                                </a:lnTo>
                                <a:lnTo>
                                  <a:pt x="754061" y="27493"/>
                                </a:lnTo>
                                <a:lnTo>
                                  <a:pt x="954942" y="27493"/>
                                </a:lnTo>
                                <a:lnTo>
                                  <a:pt x="1026330" y="50839"/>
                                </a:lnTo>
                                <a:lnTo>
                                  <a:pt x="1067949" y="68471"/>
                                </a:lnTo>
                                <a:lnTo>
                                  <a:pt x="1108258" y="88482"/>
                                </a:lnTo>
                                <a:lnTo>
                                  <a:pt x="1147166" y="110784"/>
                                </a:lnTo>
                                <a:lnTo>
                                  <a:pt x="1184585" y="135287"/>
                                </a:lnTo>
                                <a:lnTo>
                                  <a:pt x="1220425" y="161902"/>
                                </a:lnTo>
                                <a:lnTo>
                                  <a:pt x="1254599" y="190540"/>
                                </a:lnTo>
                                <a:lnTo>
                                  <a:pt x="1287016" y="221113"/>
                                </a:lnTo>
                                <a:lnTo>
                                  <a:pt x="1317588" y="253530"/>
                                </a:lnTo>
                                <a:lnTo>
                                  <a:pt x="1346225" y="287704"/>
                                </a:lnTo>
                                <a:lnTo>
                                  <a:pt x="1372840" y="323546"/>
                                </a:lnTo>
                                <a:lnTo>
                                  <a:pt x="1397342" y="360965"/>
                                </a:lnTo>
                                <a:lnTo>
                                  <a:pt x="1419643" y="399874"/>
                                </a:lnTo>
                                <a:lnTo>
                                  <a:pt x="1439653" y="440182"/>
                                </a:lnTo>
                                <a:lnTo>
                                  <a:pt x="1457352" y="481993"/>
                                </a:lnTo>
                                <a:lnTo>
                                  <a:pt x="1472452" y="524662"/>
                                </a:lnTo>
                                <a:lnTo>
                                  <a:pt x="1485047" y="568619"/>
                                </a:lnTo>
                                <a:lnTo>
                                  <a:pt x="1495003" y="613638"/>
                                </a:lnTo>
                                <a:lnTo>
                                  <a:pt x="1502228" y="659613"/>
                                </a:lnTo>
                                <a:lnTo>
                                  <a:pt x="1506630" y="706453"/>
                                </a:lnTo>
                                <a:lnTo>
                                  <a:pt x="1508122" y="754070"/>
                                </a:lnTo>
                                <a:lnTo>
                                  <a:pt x="1506628" y="801771"/>
                                </a:lnTo>
                                <a:lnTo>
                                  <a:pt x="1502215" y="848659"/>
                                </a:lnTo>
                                <a:lnTo>
                                  <a:pt x="1494982" y="894637"/>
                                </a:lnTo>
                                <a:lnTo>
                                  <a:pt x="1485027" y="939608"/>
                                </a:lnTo>
                                <a:lnTo>
                                  <a:pt x="1472446" y="983492"/>
                                </a:lnTo>
                                <a:lnTo>
                                  <a:pt x="1457271" y="1026333"/>
                                </a:lnTo>
                                <a:lnTo>
                                  <a:pt x="1439652" y="1067952"/>
                                </a:lnTo>
                                <a:lnTo>
                                  <a:pt x="1419642" y="1108260"/>
                                </a:lnTo>
                                <a:lnTo>
                                  <a:pt x="1397341" y="1147168"/>
                                </a:lnTo>
                                <a:lnTo>
                                  <a:pt x="1372839" y="1184586"/>
                                </a:lnTo>
                                <a:lnTo>
                                  <a:pt x="1346224" y="1220426"/>
                                </a:lnTo>
                                <a:lnTo>
                                  <a:pt x="1317587" y="1254599"/>
                                </a:lnTo>
                                <a:lnTo>
                                  <a:pt x="1287015" y="1287016"/>
                                </a:lnTo>
                                <a:lnTo>
                                  <a:pt x="1254598" y="1317587"/>
                                </a:lnTo>
                                <a:lnTo>
                                  <a:pt x="1220424" y="1346224"/>
                                </a:lnTo>
                                <a:lnTo>
                                  <a:pt x="1184584" y="1372838"/>
                                </a:lnTo>
                                <a:lnTo>
                                  <a:pt x="1147165" y="1397340"/>
                                </a:lnTo>
                                <a:lnTo>
                                  <a:pt x="1108257" y="1419641"/>
                                </a:lnTo>
                                <a:lnTo>
                                  <a:pt x="1067948" y="1439651"/>
                                </a:lnTo>
                                <a:lnTo>
                                  <a:pt x="1026329" y="1457282"/>
                                </a:lnTo>
                                <a:lnTo>
                                  <a:pt x="983487" y="1472445"/>
                                </a:lnTo>
                                <a:lnTo>
                                  <a:pt x="954914" y="1480635"/>
                                </a:lnTo>
                                <a:close/>
                              </a:path>
                            </a:pathLst>
                          </a:custGeom>
                          <a:solidFill>
                            <a:srgbClr val="FFFFFF"/>
                          </a:solidFill>
                        </wps:spPr>
                        <wps:bodyPr wrap="square" lIns="0" tIns="0" rIns="0" bIns="0" rtlCol="0">
                          <a:prstTxWarp prst="textNoShape">
                            <a:avLst/>
                          </a:prstTxWarp>
                          <a:noAutofit/>
                        </wps:bodyPr>
                      </wps:wsp>
                      <wps:wsp>
                        <wps:cNvPr id="108" name="Graphic 108"/>
                        <wps:cNvSpPr/>
                        <wps:spPr>
                          <a:xfrm>
                            <a:off x="655211" y="2933569"/>
                            <a:ext cx="3475990" cy="2697480"/>
                          </a:xfrm>
                          <a:custGeom>
                            <a:avLst/>
                            <a:gdLst/>
                            <a:ahLst/>
                            <a:cxnLst/>
                            <a:rect l="l" t="t" r="r" b="b"/>
                            <a:pathLst>
                              <a:path w="3475990" h="2697480">
                                <a:moveTo>
                                  <a:pt x="3113778" y="2696863"/>
                                </a:moveTo>
                                <a:lnTo>
                                  <a:pt x="361949" y="2696863"/>
                                </a:lnTo>
                                <a:lnTo>
                                  <a:pt x="312835" y="2693559"/>
                                </a:lnTo>
                                <a:lnTo>
                                  <a:pt x="265729" y="2683934"/>
                                </a:lnTo>
                                <a:lnTo>
                                  <a:pt x="221062" y="2668419"/>
                                </a:lnTo>
                                <a:lnTo>
                                  <a:pt x="179266" y="2647447"/>
                                </a:lnTo>
                                <a:lnTo>
                                  <a:pt x="140773" y="2621446"/>
                                </a:lnTo>
                                <a:lnTo>
                                  <a:pt x="106012" y="2590851"/>
                                </a:lnTo>
                                <a:lnTo>
                                  <a:pt x="75416" y="2556090"/>
                                </a:lnTo>
                                <a:lnTo>
                                  <a:pt x="49416" y="2517596"/>
                                </a:lnTo>
                                <a:lnTo>
                                  <a:pt x="28443" y="2475801"/>
                                </a:lnTo>
                                <a:lnTo>
                                  <a:pt x="12929" y="2431134"/>
                                </a:lnTo>
                                <a:lnTo>
                                  <a:pt x="3304" y="2384028"/>
                                </a:lnTo>
                                <a:lnTo>
                                  <a:pt x="0" y="2334913"/>
                                </a:lnTo>
                                <a:lnTo>
                                  <a:pt x="0" y="361949"/>
                                </a:lnTo>
                                <a:lnTo>
                                  <a:pt x="3304" y="312835"/>
                                </a:lnTo>
                                <a:lnTo>
                                  <a:pt x="12929" y="265729"/>
                                </a:lnTo>
                                <a:lnTo>
                                  <a:pt x="28443" y="221062"/>
                                </a:lnTo>
                                <a:lnTo>
                                  <a:pt x="49416" y="179266"/>
                                </a:lnTo>
                                <a:lnTo>
                                  <a:pt x="75416" y="140773"/>
                                </a:lnTo>
                                <a:lnTo>
                                  <a:pt x="106012" y="106012"/>
                                </a:lnTo>
                                <a:lnTo>
                                  <a:pt x="140773" y="75416"/>
                                </a:lnTo>
                                <a:lnTo>
                                  <a:pt x="179266" y="49416"/>
                                </a:lnTo>
                                <a:lnTo>
                                  <a:pt x="221062" y="28443"/>
                                </a:lnTo>
                                <a:lnTo>
                                  <a:pt x="265729" y="12929"/>
                                </a:lnTo>
                                <a:lnTo>
                                  <a:pt x="312835" y="3304"/>
                                </a:lnTo>
                                <a:lnTo>
                                  <a:pt x="361949" y="0"/>
                                </a:lnTo>
                                <a:lnTo>
                                  <a:pt x="3113778" y="0"/>
                                </a:lnTo>
                                <a:lnTo>
                                  <a:pt x="3162893" y="3304"/>
                                </a:lnTo>
                                <a:lnTo>
                                  <a:pt x="3209999" y="12929"/>
                                </a:lnTo>
                                <a:lnTo>
                                  <a:pt x="3254666" y="28443"/>
                                </a:lnTo>
                                <a:lnTo>
                                  <a:pt x="3296461" y="49416"/>
                                </a:lnTo>
                                <a:lnTo>
                                  <a:pt x="3334955" y="75416"/>
                                </a:lnTo>
                                <a:lnTo>
                                  <a:pt x="3369716" y="106012"/>
                                </a:lnTo>
                                <a:lnTo>
                                  <a:pt x="3400311" y="140773"/>
                                </a:lnTo>
                                <a:lnTo>
                                  <a:pt x="3426311" y="179266"/>
                                </a:lnTo>
                                <a:lnTo>
                                  <a:pt x="3447284" y="221062"/>
                                </a:lnTo>
                                <a:lnTo>
                                  <a:pt x="3462799" y="265729"/>
                                </a:lnTo>
                                <a:lnTo>
                                  <a:pt x="3472424" y="312835"/>
                                </a:lnTo>
                                <a:lnTo>
                                  <a:pt x="3475728" y="361949"/>
                                </a:lnTo>
                                <a:lnTo>
                                  <a:pt x="3475728" y="2334913"/>
                                </a:lnTo>
                                <a:lnTo>
                                  <a:pt x="3472424" y="2384028"/>
                                </a:lnTo>
                                <a:lnTo>
                                  <a:pt x="3462799" y="2431134"/>
                                </a:lnTo>
                                <a:lnTo>
                                  <a:pt x="3447284" y="2475801"/>
                                </a:lnTo>
                                <a:lnTo>
                                  <a:pt x="3426311" y="2517596"/>
                                </a:lnTo>
                                <a:lnTo>
                                  <a:pt x="3400311" y="2556090"/>
                                </a:lnTo>
                                <a:lnTo>
                                  <a:pt x="3369716" y="2590851"/>
                                </a:lnTo>
                                <a:lnTo>
                                  <a:pt x="3334955" y="2621446"/>
                                </a:lnTo>
                                <a:lnTo>
                                  <a:pt x="3296461" y="2647447"/>
                                </a:lnTo>
                                <a:lnTo>
                                  <a:pt x="3254666" y="2668419"/>
                                </a:lnTo>
                                <a:lnTo>
                                  <a:pt x="3209999" y="2683934"/>
                                </a:lnTo>
                                <a:lnTo>
                                  <a:pt x="3162893" y="2693559"/>
                                </a:lnTo>
                                <a:lnTo>
                                  <a:pt x="3113778" y="2696863"/>
                                </a:lnTo>
                                <a:close/>
                              </a:path>
                            </a:pathLst>
                          </a:custGeom>
                          <a:solidFill>
                            <a:srgbClr val="FFAFC7">
                              <a:alpha val="55999"/>
                            </a:srgbClr>
                          </a:solidFill>
                        </wps:spPr>
                        <wps:bodyPr wrap="square" lIns="0" tIns="0" rIns="0" bIns="0" rtlCol="0">
                          <a:prstTxWarp prst="textNoShape">
                            <a:avLst/>
                          </a:prstTxWarp>
                          <a:noAutofit/>
                        </wps:bodyPr>
                      </wps:wsp>
                      <wps:wsp>
                        <wps:cNvPr id="109" name="Graphic 109"/>
                        <wps:cNvSpPr/>
                        <wps:spPr>
                          <a:xfrm>
                            <a:off x="4364175" y="4471300"/>
                            <a:ext cx="2773680" cy="1270"/>
                          </a:xfrm>
                          <a:custGeom>
                            <a:avLst/>
                            <a:gdLst/>
                            <a:ahLst/>
                            <a:cxnLst/>
                            <a:rect l="l" t="t" r="r" b="b"/>
                            <a:pathLst>
                              <a:path w="2773680" h="0">
                                <a:moveTo>
                                  <a:pt x="0" y="0"/>
                                </a:moveTo>
                                <a:lnTo>
                                  <a:pt x="2773600" y="0"/>
                                </a:lnTo>
                              </a:path>
                            </a:pathLst>
                          </a:custGeom>
                          <a:ln w="28574">
                            <a:solidFill>
                              <a:srgbClr val="FF66C3"/>
                            </a:solidFill>
                            <a:prstDash val="sysDash"/>
                          </a:ln>
                        </wps:spPr>
                        <wps:bodyPr wrap="square" lIns="0" tIns="0" rIns="0" bIns="0" rtlCol="0">
                          <a:prstTxWarp prst="textNoShape">
                            <a:avLst/>
                          </a:prstTxWarp>
                          <a:noAutofit/>
                        </wps:bodyPr>
                      </wps:wsp>
                      <pic:pic>
                        <pic:nvPicPr>
                          <pic:cNvPr id="110" name="Image 110"/>
                          <pic:cNvPicPr/>
                        </pic:nvPicPr>
                        <pic:blipFill>
                          <a:blip r:embed="rId99" cstate="print"/>
                          <a:stretch>
                            <a:fillRect/>
                          </a:stretch>
                        </pic:blipFill>
                        <pic:spPr>
                          <a:xfrm>
                            <a:off x="1434832" y="4945674"/>
                            <a:ext cx="1933574" cy="685799"/>
                          </a:xfrm>
                          <a:prstGeom prst="rect">
                            <a:avLst/>
                          </a:prstGeom>
                        </pic:spPr>
                      </pic:pic>
                    </wpg:wgp>
                  </a:graphicData>
                </a:graphic>
              </wp:anchor>
            </w:drawing>
          </mc:Choice>
          <mc:Fallback>
            <w:pict>
              <v:group style="position:absolute;margin-left:-.000007pt;margin-top:.000013pt;width:612pt;height:443.45pt;mso-position-horizontal-relative:page;mso-position-vertical-relative:page;z-index:-20754432" id="docshapegroup87" coordorigin="0,0" coordsize="12240,8869">
                <v:shape style="position:absolute;left:0;top:0;width:12240;height:5019" type="#_x0000_t75" id="docshape88" stroked="false">
                  <v:imagedata r:id="rId97" o:title=""/>
                </v:shape>
                <v:shape style="position:absolute;left:7839;top:1158;width:2333;height:2332" type="#_x0000_t75" id="docshape89" stroked="false">
                  <v:imagedata r:id="rId98" o:title=""/>
                </v:shape>
                <v:shape style="position:absolute;left:7818;top:1136;width:2375;height:2375" id="docshape90" coordorigin="7818,1136" coordsize="2375,2375" path="m9006,3511l8931,3509,8857,3502,8785,3491,8714,3475,8645,3455,8577,3431,8511,3404,8448,3372,8387,3337,8328,3298,8271,3257,8218,3211,8167,3163,8118,3112,8073,3058,8031,3002,7993,2943,7958,2882,7926,2818,7898,2752,7874,2685,7855,2616,7839,2545,7828,2473,7821,2399,7818,2324,7821,2249,7828,2175,7839,2103,7855,2032,7874,1963,7898,1895,7926,1830,7958,1766,7993,1705,8031,1646,8073,1590,8118,1536,8167,1485,8218,1437,8271,1391,8328,1350,8387,1311,8448,1276,8512,1244,8577,1217,8645,1193,8714,1173,8785,1157,8857,1146,8931,1139,9006,1136,9081,1139,9155,1146,9227,1157,9298,1173,9322,1180,9006,1180,8931,1182,8857,1189,8784,1201,8714,1218,8645,1238,8577,1263,8512,1292,8449,1324,8389,1361,8330,1401,8275,1444,8222,1491,8173,1541,8126,1593,8083,1649,8043,1707,8006,1767,7974,1830,7945,1896,7920,1963,7899,2032,7883,2103,7871,2175,7864,2249,7862,2324,7864,2399,7871,2473,7883,2545,7899,2616,7920,2685,7945,2752,7974,2818,8006,2881,8043,2941,8083,2999,8126,3055,8173,3107,8222,3157,8275,3204,8330,3247,8389,3287,8449,3323,8512,3356,8577,3385,8645,3410,8714,3430,8784,3447,8857,3459,8931,3466,9006,3468,9322,3468,9298,3475,9227,3491,9155,3502,9081,3509,9006,3511xm9322,3468l9006,3468,9081,3466,9155,3459,9227,3447,9298,3430,9367,3410,9434,3385,9499,3356,9562,3323,9623,3287,9681,3247,9737,3204,9789,3157,9839,3107,9886,3055,9929,2999,9969,2941,10005,2881,10038,2818,10067,2752,10092,2685,10112,2616,10129,2545,10140,2473,10148,2399,10150,2324,10148,2249,10140,2175,10129,2103,10112,2032,10092,1963,10067,1896,10038,1830,10005,1767,9969,1707,9929,1649,9886,1593,9839,1541,9789,1491,9737,1444,9681,1401,9623,1361,9562,1324,9499,1292,9434,1263,9367,1238,9298,1218,9227,1201,9155,1189,9081,1182,9006,1180,9322,1180,9367,1193,9435,1217,9500,1244,9564,1276,9625,1311,9684,1350,9740,1391,9794,1437,9845,1485,9893,1536,9938,1590,9980,1646,10019,1705,10054,1766,10085,1830,10113,1896,10137,1963,10157,2032,10173,2103,10184,2175,10191,2249,10193,2324,10191,2399,10184,2473,10173,2545,10157,2616,10137,2685,10113,2753,10085,2818,10054,2882,10019,2943,9980,3002,9938,3058,9893,3112,9845,3163,9794,3211,9740,3257,9684,3298,9625,3337,9564,3372,9500,3404,9435,3431,9367,3455,9322,3468xe" filled="true" fillcolor="#ffffff" stroked="false">
                  <v:path arrowok="t"/>
                  <v:fill type="solid"/>
                </v:shape>
                <v:shape style="position:absolute;left:1031;top:4619;width:5474;height:4248" id="docshape91" coordorigin="1032,4620" coordsize="5474,4248" path="m5935,8867l1602,8867,1524,8862,1450,8846,1380,8822,1314,8789,1254,8748,1199,8700,1151,8645,1110,8585,1077,8519,1052,8448,1037,8374,1032,8297,1032,5190,1037,5112,1052,5038,1077,4968,1110,4902,1151,4841,1199,4787,1254,4739,1314,4698,1380,4665,1450,4640,1524,4625,1602,4620,5935,4620,6013,4625,6087,4640,6157,4665,6223,4698,6284,4739,6338,4787,6387,4841,6428,4902,6461,4968,6485,5038,6500,5112,6505,5190,6505,8297,6500,8374,6485,8448,6461,8519,6428,8585,6387,8645,6338,8700,6284,8748,6223,8789,6157,8822,6087,8846,6013,8862,5935,8867xe" filled="true" fillcolor="#ffafc7" stroked="false">
                  <v:path arrowok="t"/>
                  <v:fill opacity="36700f" type="solid"/>
                </v:shape>
                <v:line style="position:absolute" from="6873,7041" to="11241,7041" stroked="true" strokeweight="2.25pt" strokecolor="#ff66c3">
                  <v:stroke dashstyle="shortdash"/>
                </v:line>
                <v:shape style="position:absolute;left:2259;top:7788;width:3045;height:1080" type="#_x0000_t75" id="docshape92" stroked="false">
                  <v:imagedata r:id="rId99" o:title=""/>
                </v:shape>
                <w10:wrap type="none"/>
              </v:group>
            </w:pict>
          </mc:Fallback>
        </mc:AlternateContent>
      </w:r>
      <w:r>
        <w:rPr/>
        <mc:AlternateContent>
          <mc:Choice Requires="wps">
            <w:drawing>
              <wp:anchor distT="0" distB="0" distL="0" distR="0" allowOverlap="1" layoutInCell="1" locked="0" behindDoc="0" simplePos="0" relativeHeight="15741440">
                <wp:simplePos x="0" y="0"/>
                <wp:positionH relativeFrom="page">
                  <wp:posOffset>4356887</wp:posOffset>
                </wp:positionH>
                <wp:positionV relativeFrom="page">
                  <wp:posOffset>5724639</wp:posOffset>
                </wp:positionV>
                <wp:extent cx="2773680" cy="1270"/>
                <wp:effectExtent l="0" t="0" r="0" b="0"/>
                <wp:wrapNone/>
                <wp:docPr id="111" name="Graphic 111"/>
                <wp:cNvGraphicFramePr>
                  <a:graphicFrameLocks/>
                </wp:cNvGraphicFramePr>
                <a:graphic>
                  <a:graphicData uri="http://schemas.microsoft.com/office/word/2010/wordprocessingShape">
                    <wps:wsp>
                      <wps:cNvPr id="111" name="Graphic 111"/>
                      <wps:cNvSpPr/>
                      <wps:spPr>
                        <a:xfrm>
                          <a:off x="0" y="0"/>
                          <a:ext cx="2773680" cy="1270"/>
                        </a:xfrm>
                        <a:custGeom>
                          <a:avLst/>
                          <a:gdLst/>
                          <a:ahLst/>
                          <a:cxnLst/>
                          <a:rect l="l" t="t" r="r" b="b"/>
                          <a:pathLst>
                            <a:path w="2773680" h="0">
                              <a:moveTo>
                                <a:pt x="0" y="0"/>
                              </a:moveTo>
                              <a:lnTo>
                                <a:pt x="2773600" y="0"/>
                              </a:lnTo>
                            </a:path>
                          </a:pathLst>
                        </a:custGeom>
                        <a:ln w="28574">
                          <a:solidFill>
                            <a:srgbClr val="FF66C3"/>
                          </a:solidFill>
                          <a:prstDash val="sysDash"/>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41440" from="343.062012pt,450.759003pt" to="561.455786pt,450.759003pt" stroked="true" strokeweight="2.25pt" strokecolor="#ff66c3">
                <v:stroke dashstyle="shortdash"/>
                <w10:wrap type="none"/>
              </v:line>
            </w:pict>
          </mc:Fallback>
        </mc:AlternateContent>
      </w:r>
      <w:r>
        <w:rPr/>
        <mc:AlternateContent>
          <mc:Choice Requires="wps">
            <w:drawing>
              <wp:anchor distT="0" distB="0" distL="0" distR="0" allowOverlap="1" layoutInCell="1" locked="0" behindDoc="0" simplePos="0" relativeHeight="15741952">
                <wp:simplePos x="0" y="0"/>
                <wp:positionH relativeFrom="page">
                  <wp:posOffset>4607029</wp:posOffset>
                </wp:positionH>
                <wp:positionV relativeFrom="page">
                  <wp:posOffset>7398909</wp:posOffset>
                </wp:positionV>
                <wp:extent cx="2872740" cy="2327910"/>
                <wp:effectExtent l="0" t="0" r="0" b="0"/>
                <wp:wrapNone/>
                <wp:docPr id="112" name="Group 112"/>
                <wp:cNvGraphicFramePr>
                  <a:graphicFrameLocks/>
                </wp:cNvGraphicFramePr>
                <a:graphic>
                  <a:graphicData uri="http://schemas.microsoft.com/office/word/2010/wordprocessingGroup">
                    <wpg:wgp>
                      <wpg:cNvPr id="112" name="Group 112"/>
                      <wpg:cNvGrpSpPr/>
                      <wpg:grpSpPr>
                        <a:xfrm>
                          <a:off x="0" y="0"/>
                          <a:ext cx="2872740" cy="2327910"/>
                          <a:chExt cx="2872740" cy="2327910"/>
                        </a:xfrm>
                      </wpg:grpSpPr>
                      <wps:wsp>
                        <wps:cNvPr id="113" name="Graphic 113"/>
                        <wps:cNvSpPr/>
                        <wps:spPr>
                          <a:xfrm>
                            <a:off x="-2" y="1433216"/>
                            <a:ext cx="2321560" cy="333375"/>
                          </a:xfrm>
                          <a:custGeom>
                            <a:avLst/>
                            <a:gdLst/>
                            <a:ahLst/>
                            <a:cxnLst/>
                            <a:rect l="l" t="t" r="r" b="b"/>
                            <a:pathLst>
                              <a:path w="2321560" h="333375">
                                <a:moveTo>
                                  <a:pt x="2321268" y="47167"/>
                                </a:moveTo>
                                <a:lnTo>
                                  <a:pt x="2307310" y="26962"/>
                                </a:lnTo>
                                <a:lnTo>
                                  <a:pt x="2282088" y="12763"/>
                                </a:lnTo>
                                <a:lnTo>
                                  <a:pt x="2248814" y="7404"/>
                                </a:lnTo>
                                <a:lnTo>
                                  <a:pt x="2033816" y="7404"/>
                                </a:lnTo>
                                <a:lnTo>
                                  <a:pt x="2033816" y="0"/>
                                </a:lnTo>
                                <a:lnTo>
                                  <a:pt x="1959317" y="0"/>
                                </a:lnTo>
                                <a:lnTo>
                                  <a:pt x="1959317" y="7404"/>
                                </a:lnTo>
                                <a:lnTo>
                                  <a:pt x="350088" y="7404"/>
                                </a:lnTo>
                                <a:lnTo>
                                  <a:pt x="350088" y="0"/>
                                </a:lnTo>
                                <a:lnTo>
                                  <a:pt x="275590" y="0"/>
                                </a:lnTo>
                                <a:lnTo>
                                  <a:pt x="275590" y="7404"/>
                                </a:lnTo>
                                <a:lnTo>
                                  <a:pt x="72453" y="7404"/>
                                </a:lnTo>
                                <a:lnTo>
                                  <a:pt x="39179" y="12763"/>
                                </a:lnTo>
                                <a:lnTo>
                                  <a:pt x="13957" y="26962"/>
                                </a:lnTo>
                                <a:lnTo>
                                  <a:pt x="0" y="47167"/>
                                </a:lnTo>
                                <a:lnTo>
                                  <a:pt x="520" y="70561"/>
                                </a:lnTo>
                                <a:lnTo>
                                  <a:pt x="10477" y="86080"/>
                                </a:lnTo>
                                <a:lnTo>
                                  <a:pt x="26847" y="98209"/>
                                </a:lnTo>
                                <a:lnTo>
                                  <a:pt x="48044" y="106121"/>
                                </a:lnTo>
                                <a:lnTo>
                                  <a:pt x="72453" y="108940"/>
                                </a:lnTo>
                                <a:lnTo>
                                  <a:pt x="275590" y="108940"/>
                                </a:lnTo>
                                <a:lnTo>
                                  <a:pt x="275590" y="240614"/>
                                </a:lnTo>
                                <a:lnTo>
                                  <a:pt x="350088" y="240614"/>
                                </a:lnTo>
                                <a:lnTo>
                                  <a:pt x="350088" y="108940"/>
                                </a:lnTo>
                                <a:lnTo>
                                  <a:pt x="767321" y="108940"/>
                                </a:lnTo>
                                <a:lnTo>
                                  <a:pt x="767321" y="333146"/>
                                </a:lnTo>
                                <a:lnTo>
                                  <a:pt x="841819" y="333146"/>
                                </a:lnTo>
                                <a:lnTo>
                                  <a:pt x="841819" y="108940"/>
                                </a:lnTo>
                                <a:lnTo>
                                  <a:pt x="1477175" y="108940"/>
                                </a:lnTo>
                                <a:lnTo>
                                  <a:pt x="1477175" y="333146"/>
                                </a:lnTo>
                                <a:lnTo>
                                  <a:pt x="1551673" y="333146"/>
                                </a:lnTo>
                                <a:lnTo>
                                  <a:pt x="1551673" y="108940"/>
                                </a:lnTo>
                                <a:lnTo>
                                  <a:pt x="1959317" y="108940"/>
                                </a:lnTo>
                                <a:lnTo>
                                  <a:pt x="1959317" y="240614"/>
                                </a:lnTo>
                                <a:lnTo>
                                  <a:pt x="2033816" y="240614"/>
                                </a:lnTo>
                                <a:lnTo>
                                  <a:pt x="2033816" y="108940"/>
                                </a:lnTo>
                                <a:lnTo>
                                  <a:pt x="2248814" y="108940"/>
                                </a:lnTo>
                                <a:lnTo>
                                  <a:pt x="2273223" y="106121"/>
                                </a:lnTo>
                                <a:lnTo>
                                  <a:pt x="2294420" y="98209"/>
                                </a:lnTo>
                                <a:lnTo>
                                  <a:pt x="2310790" y="86080"/>
                                </a:lnTo>
                                <a:lnTo>
                                  <a:pt x="2320747" y="70561"/>
                                </a:lnTo>
                                <a:lnTo>
                                  <a:pt x="2321268" y="47167"/>
                                </a:lnTo>
                                <a:close/>
                              </a:path>
                            </a:pathLst>
                          </a:custGeom>
                          <a:solidFill>
                            <a:srgbClr val="3C1D21"/>
                          </a:solidFill>
                        </wps:spPr>
                        <wps:bodyPr wrap="square" lIns="0" tIns="0" rIns="0" bIns="0" rtlCol="0">
                          <a:prstTxWarp prst="textNoShape">
                            <a:avLst/>
                          </a:prstTxWarp>
                          <a:noAutofit/>
                        </wps:bodyPr>
                      </wps:wsp>
                      <pic:pic>
                        <pic:nvPicPr>
                          <pic:cNvPr id="114" name="Image 114"/>
                          <pic:cNvPicPr/>
                        </pic:nvPicPr>
                        <pic:blipFill>
                          <a:blip r:embed="rId100" cstate="print"/>
                          <a:stretch>
                            <a:fillRect/>
                          </a:stretch>
                        </pic:blipFill>
                        <pic:spPr>
                          <a:xfrm>
                            <a:off x="40986" y="0"/>
                            <a:ext cx="2239825" cy="1447242"/>
                          </a:xfrm>
                          <a:prstGeom prst="rect">
                            <a:avLst/>
                          </a:prstGeom>
                        </pic:spPr>
                      </pic:pic>
                      <wps:wsp>
                        <wps:cNvPr id="115" name="Graphic 115"/>
                        <wps:cNvSpPr/>
                        <wps:spPr>
                          <a:xfrm>
                            <a:off x="257070" y="1673830"/>
                            <a:ext cx="1795780" cy="169545"/>
                          </a:xfrm>
                          <a:custGeom>
                            <a:avLst/>
                            <a:gdLst/>
                            <a:ahLst/>
                            <a:cxnLst/>
                            <a:rect l="l" t="t" r="r" b="b"/>
                            <a:pathLst>
                              <a:path w="1795780" h="169545">
                                <a:moveTo>
                                  <a:pt x="111963" y="0"/>
                                </a:moveTo>
                                <a:lnTo>
                                  <a:pt x="0" y="0"/>
                                </a:lnTo>
                                <a:lnTo>
                                  <a:pt x="0" y="76631"/>
                                </a:lnTo>
                                <a:lnTo>
                                  <a:pt x="111963" y="76631"/>
                                </a:lnTo>
                                <a:lnTo>
                                  <a:pt x="111963" y="0"/>
                                </a:lnTo>
                                <a:close/>
                              </a:path>
                              <a:path w="1795780" h="169545">
                                <a:moveTo>
                                  <a:pt x="603681" y="92532"/>
                                </a:moveTo>
                                <a:lnTo>
                                  <a:pt x="491718" y="92532"/>
                                </a:lnTo>
                                <a:lnTo>
                                  <a:pt x="491718" y="169164"/>
                                </a:lnTo>
                                <a:lnTo>
                                  <a:pt x="603681" y="169164"/>
                                </a:lnTo>
                                <a:lnTo>
                                  <a:pt x="603681" y="92532"/>
                                </a:lnTo>
                                <a:close/>
                              </a:path>
                              <a:path w="1795780" h="169545">
                                <a:moveTo>
                                  <a:pt x="1313548" y="92532"/>
                                </a:moveTo>
                                <a:lnTo>
                                  <a:pt x="1201585" y="92532"/>
                                </a:lnTo>
                                <a:lnTo>
                                  <a:pt x="1201585" y="169164"/>
                                </a:lnTo>
                                <a:lnTo>
                                  <a:pt x="1313548" y="169164"/>
                                </a:lnTo>
                                <a:lnTo>
                                  <a:pt x="1313548" y="92532"/>
                                </a:lnTo>
                                <a:close/>
                              </a:path>
                              <a:path w="1795780" h="169545">
                                <a:moveTo>
                                  <a:pt x="1795691" y="0"/>
                                </a:moveTo>
                                <a:lnTo>
                                  <a:pt x="1683727" y="0"/>
                                </a:lnTo>
                                <a:lnTo>
                                  <a:pt x="1683727" y="76631"/>
                                </a:lnTo>
                                <a:lnTo>
                                  <a:pt x="1795691" y="76631"/>
                                </a:lnTo>
                                <a:lnTo>
                                  <a:pt x="1795691" y="0"/>
                                </a:lnTo>
                                <a:close/>
                              </a:path>
                            </a:pathLst>
                          </a:custGeom>
                          <a:solidFill>
                            <a:srgbClr val="F4B648"/>
                          </a:solidFill>
                        </wps:spPr>
                        <wps:bodyPr wrap="square" lIns="0" tIns="0" rIns="0" bIns="0" rtlCol="0">
                          <a:prstTxWarp prst="textNoShape">
                            <a:avLst/>
                          </a:prstTxWarp>
                          <a:noAutofit/>
                        </wps:bodyPr>
                      </wps:wsp>
                      <wps:wsp>
                        <wps:cNvPr id="116" name="Graphic 116"/>
                        <wps:cNvSpPr/>
                        <wps:spPr>
                          <a:xfrm>
                            <a:off x="1530639" y="1079648"/>
                            <a:ext cx="1342390" cy="1247775"/>
                          </a:xfrm>
                          <a:custGeom>
                            <a:avLst/>
                            <a:gdLst/>
                            <a:ahLst/>
                            <a:cxnLst/>
                            <a:rect l="l" t="t" r="r" b="b"/>
                            <a:pathLst>
                              <a:path w="1342390" h="1247775">
                                <a:moveTo>
                                  <a:pt x="1341805" y="0"/>
                                </a:moveTo>
                                <a:lnTo>
                                  <a:pt x="12" y="1247762"/>
                                </a:lnTo>
                                <a:lnTo>
                                  <a:pt x="1341805" y="1247775"/>
                                </a:lnTo>
                                <a:lnTo>
                                  <a:pt x="1341805" y="832104"/>
                                </a:lnTo>
                                <a:lnTo>
                                  <a:pt x="1341805" y="0"/>
                                </a:lnTo>
                                <a:close/>
                              </a:path>
                            </a:pathLst>
                          </a:custGeom>
                          <a:solidFill>
                            <a:srgbClr val="F7CD4D"/>
                          </a:solidFill>
                        </wps:spPr>
                        <wps:bodyPr wrap="square" lIns="0" tIns="0" rIns="0" bIns="0" rtlCol="0">
                          <a:prstTxWarp prst="textNoShape">
                            <a:avLst/>
                          </a:prstTxWarp>
                          <a:noAutofit/>
                        </wps:bodyPr>
                      </wps:wsp>
                      <wps:wsp>
                        <wps:cNvPr id="117" name="Graphic 117"/>
                        <wps:cNvSpPr/>
                        <wps:spPr>
                          <a:xfrm>
                            <a:off x="1530617" y="1079642"/>
                            <a:ext cx="1342390" cy="1248410"/>
                          </a:xfrm>
                          <a:custGeom>
                            <a:avLst/>
                            <a:gdLst/>
                            <a:ahLst/>
                            <a:cxnLst/>
                            <a:rect l="l" t="t" r="r" b="b"/>
                            <a:pathLst>
                              <a:path w="1342390" h="1248410">
                                <a:moveTo>
                                  <a:pt x="0" y="1247799"/>
                                </a:moveTo>
                                <a:lnTo>
                                  <a:pt x="1341837" y="0"/>
                                </a:lnTo>
                                <a:lnTo>
                                  <a:pt x="1341837" y="200126"/>
                                </a:lnTo>
                                <a:lnTo>
                                  <a:pt x="0" y="1247799"/>
                                </a:lnTo>
                                <a:close/>
                              </a:path>
                            </a:pathLst>
                          </a:custGeom>
                          <a:solidFill>
                            <a:srgbClr val="B079CC"/>
                          </a:solidFill>
                        </wps:spPr>
                        <wps:bodyPr wrap="square" lIns="0" tIns="0" rIns="0" bIns="0" rtlCol="0">
                          <a:prstTxWarp prst="textNoShape">
                            <a:avLst/>
                          </a:prstTxWarp>
                          <a:noAutofit/>
                        </wps:bodyPr>
                      </wps:wsp>
                      <wps:wsp>
                        <wps:cNvPr id="118" name="Graphic 118"/>
                        <wps:cNvSpPr/>
                        <wps:spPr>
                          <a:xfrm>
                            <a:off x="1530619" y="1279769"/>
                            <a:ext cx="1342390" cy="1047750"/>
                          </a:xfrm>
                          <a:custGeom>
                            <a:avLst/>
                            <a:gdLst/>
                            <a:ahLst/>
                            <a:cxnLst/>
                            <a:rect l="l" t="t" r="r" b="b"/>
                            <a:pathLst>
                              <a:path w="1342390" h="1047750">
                                <a:moveTo>
                                  <a:pt x="0" y="1047674"/>
                                </a:moveTo>
                                <a:lnTo>
                                  <a:pt x="1341836" y="0"/>
                                </a:lnTo>
                                <a:lnTo>
                                  <a:pt x="1341836" y="210659"/>
                                </a:lnTo>
                                <a:lnTo>
                                  <a:pt x="0" y="1047674"/>
                                </a:lnTo>
                                <a:close/>
                              </a:path>
                            </a:pathLst>
                          </a:custGeom>
                          <a:solidFill>
                            <a:srgbClr val="3C81DA"/>
                          </a:solidFill>
                        </wps:spPr>
                        <wps:bodyPr wrap="square" lIns="0" tIns="0" rIns="0" bIns="0" rtlCol="0">
                          <a:prstTxWarp prst="textNoShape">
                            <a:avLst/>
                          </a:prstTxWarp>
                          <a:noAutofit/>
                        </wps:bodyPr>
                      </wps:wsp>
                      <wps:wsp>
                        <wps:cNvPr id="119" name="Graphic 119"/>
                        <wps:cNvSpPr/>
                        <wps:spPr>
                          <a:xfrm>
                            <a:off x="1530592" y="1490428"/>
                            <a:ext cx="1342390" cy="837565"/>
                          </a:xfrm>
                          <a:custGeom>
                            <a:avLst/>
                            <a:gdLst/>
                            <a:ahLst/>
                            <a:cxnLst/>
                            <a:rect l="l" t="t" r="r" b="b"/>
                            <a:pathLst>
                              <a:path w="1342390" h="837565">
                                <a:moveTo>
                                  <a:pt x="217" y="836909"/>
                                </a:moveTo>
                                <a:lnTo>
                                  <a:pt x="1341862" y="0"/>
                                </a:lnTo>
                                <a:lnTo>
                                  <a:pt x="1341862" y="210659"/>
                                </a:lnTo>
                                <a:lnTo>
                                  <a:pt x="217" y="836909"/>
                                </a:lnTo>
                                <a:close/>
                              </a:path>
                              <a:path w="1342390" h="837565">
                                <a:moveTo>
                                  <a:pt x="82" y="836993"/>
                                </a:moveTo>
                                <a:lnTo>
                                  <a:pt x="217" y="836909"/>
                                </a:lnTo>
                                <a:lnTo>
                                  <a:pt x="82" y="836993"/>
                                </a:lnTo>
                                <a:close/>
                              </a:path>
                              <a:path w="1342390" h="837565">
                                <a:moveTo>
                                  <a:pt x="0" y="837010"/>
                                </a:moveTo>
                                <a:close/>
                              </a:path>
                            </a:pathLst>
                          </a:custGeom>
                          <a:solidFill>
                            <a:srgbClr val="4D9E53"/>
                          </a:solidFill>
                        </wps:spPr>
                        <wps:bodyPr wrap="square" lIns="0" tIns="0" rIns="0" bIns="0" rtlCol="0">
                          <a:prstTxWarp prst="textNoShape">
                            <a:avLst/>
                          </a:prstTxWarp>
                          <a:noAutofit/>
                        </wps:bodyPr>
                      </wps:wsp>
                      <wps:wsp>
                        <wps:cNvPr id="120" name="Graphic 120"/>
                        <wps:cNvSpPr/>
                        <wps:spPr>
                          <a:xfrm>
                            <a:off x="1530572" y="1701088"/>
                            <a:ext cx="1342390" cy="626745"/>
                          </a:xfrm>
                          <a:custGeom>
                            <a:avLst/>
                            <a:gdLst/>
                            <a:ahLst/>
                            <a:cxnLst/>
                            <a:rect l="l" t="t" r="r" b="b"/>
                            <a:pathLst>
                              <a:path w="1342390" h="626745">
                                <a:moveTo>
                                  <a:pt x="129" y="626307"/>
                                </a:moveTo>
                                <a:lnTo>
                                  <a:pt x="1341883" y="0"/>
                                </a:lnTo>
                                <a:lnTo>
                                  <a:pt x="1341883" y="210660"/>
                                </a:lnTo>
                                <a:lnTo>
                                  <a:pt x="129" y="626307"/>
                                </a:lnTo>
                                <a:close/>
                              </a:path>
                              <a:path w="1342390" h="626745">
                                <a:moveTo>
                                  <a:pt x="73" y="626333"/>
                                </a:moveTo>
                                <a:close/>
                              </a:path>
                              <a:path w="1342390" h="626745">
                                <a:moveTo>
                                  <a:pt x="0" y="626347"/>
                                </a:moveTo>
                                <a:close/>
                              </a:path>
                            </a:pathLst>
                          </a:custGeom>
                          <a:solidFill>
                            <a:srgbClr val="F7CD4D"/>
                          </a:solidFill>
                        </wps:spPr>
                        <wps:bodyPr wrap="square" lIns="0" tIns="0" rIns="0" bIns="0" rtlCol="0">
                          <a:prstTxWarp prst="textNoShape">
                            <a:avLst/>
                          </a:prstTxWarp>
                          <a:noAutofit/>
                        </wps:bodyPr>
                      </wps:wsp>
                      <wps:wsp>
                        <wps:cNvPr id="121" name="Graphic 121"/>
                        <wps:cNvSpPr/>
                        <wps:spPr>
                          <a:xfrm>
                            <a:off x="1530567" y="1911749"/>
                            <a:ext cx="1342390" cy="415925"/>
                          </a:xfrm>
                          <a:custGeom>
                            <a:avLst/>
                            <a:gdLst/>
                            <a:ahLst/>
                            <a:cxnLst/>
                            <a:rect l="l" t="t" r="r" b="b"/>
                            <a:pathLst>
                              <a:path w="1342390" h="415925">
                                <a:moveTo>
                                  <a:pt x="0" y="415682"/>
                                </a:moveTo>
                                <a:lnTo>
                                  <a:pt x="1341887" y="0"/>
                                </a:lnTo>
                                <a:lnTo>
                                  <a:pt x="1341887" y="205393"/>
                                </a:lnTo>
                                <a:lnTo>
                                  <a:pt x="0" y="415682"/>
                                </a:lnTo>
                                <a:close/>
                              </a:path>
                            </a:pathLst>
                          </a:custGeom>
                          <a:solidFill>
                            <a:srgbClr val="F67B28"/>
                          </a:solidFill>
                        </wps:spPr>
                        <wps:bodyPr wrap="square" lIns="0" tIns="0" rIns="0" bIns="0" rtlCol="0">
                          <a:prstTxWarp prst="textNoShape">
                            <a:avLst/>
                          </a:prstTxWarp>
                          <a:noAutofit/>
                        </wps:bodyPr>
                      </wps:wsp>
                      <wps:wsp>
                        <wps:cNvPr id="122" name="Graphic 122"/>
                        <wps:cNvSpPr/>
                        <wps:spPr>
                          <a:xfrm>
                            <a:off x="1530555" y="2327422"/>
                            <a:ext cx="1252855" cy="1270"/>
                          </a:xfrm>
                          <a:custGeom>
                            <a:avLst/>
                            <a:gdLst/>
                            <a:ahLst/>
                            <a:cxnLst/>
                            <a:rect l="l" t="t" r="r" b="b"/>
                            <a:pathLst>
                              <a:path w="1252855" h="0">
                                <a:moveTo>
                                  <a:pt x="0" y="4"/>
                                </a:moveTo>
                                <a:lnTo>
                                  <a:pt x="1252440" y="0"/>
                                </a:lnTo>
                                <a:lnTo>
                                  <a:pt x="0" y="4"/>
                                </a:lnTo>
                                <a:close/>
                              </a:path>
                            </a:pathLst>
                          </a:custGeom>
                          <a:solidFill>
                            <a:srgbClr val="DD2954"/>
                          </a:solidFill>
                        </wps:spPr>
                        <wps:bodyPr wrap="square" lIns="0" tIns="0" rIns="0" bIns="0" rtlCol="0">
                          <a:prstTxWarp prst="textNoShape">
                            <a:avLst/>
                          </a:prstTxWarp>
                          <a:noAutofit/>
                        </wps:bodyPr>
                      </wps:wsp>
                    </wpg:wgp>
                  </a:graphicData>
                </a:graphic>
              </wp:anchor>
            </w:drawing>
          </mc:Choice>
          <mc:Fallback>
            <w:pict>
              <v:group style="position:absolute;margin-left:362.75824pt;margin-top:582.591309pt;width:226.2pt;height:183.3pt;mso-position-horizontal-relative:page;mso-position-vertical-relative:page;z-index:15741952" id="docshapegroup93" coordorigin="7255,11652" coordsize="4524,3666">
                <v:shape style="position:absolute;left:7255;top:13908;width:3656;height:525" id="docshape94" coordorigin="7255,13909" coordsize="3656,525" path="m10911,13983l10889,13951,10849,13929,10797,13921,10458,13921,10458,13909,10341,13909,10341,13921,7806,13921,7806,13909,7689,13909,7689,13921,7369,13921,7317,13929,7277,13951,7255,13983,7256,14020,7272,14044,7297,14064,7331,14076,7369,14080,7689,14080,7689,14288,7806,14288,7806,14080,8464,14080,8464,14433,8581,14433,8581,14080,9581,14080,9581,14433,9699,14433,9699,14080,10341,14080,10341,14288,10458,14288,10458,14080,10797,14080,10835,14076,10868,14064,10894,14044,10910,14020,10911,13983xe" filled="true" fillcolor="#3c1d21" stroked="false">
                  <v:path arrowok="t"/>
                  <v:fill type="solid"/>
                </v:shape>
                <v:shape style="position:absolute;left:7319;top:11651;width:3528;height:2280" type="#_x0000_t75" id="docshape95" stroked="false">
                  <v:imagedata r:id="rId100" o:title=""/>
                </v:shape>
                <v:shape style="position:absolute;left:7660;top:14287;width:2828;height:267" id="docshape96" coordorigin="7660,14288" coordsize="2828,267" path="m7836,14288l7660,14288,7660,14408,7836,14408,7836,14288xm8611,14433l8434,14433,8434,14554,8611,14554,8611,14433xm9729,14433l9552,14433,9552,14554,9729,14554,9729,14433xm10488,14288l10312,14288,10312,14408,10488,14408,10488,14288xe" filled="true" fillcolor="#f4b648" stroked="false">
                  <v:path arrowok="t"/>
                  <v:fill type="solid"/>
                </v:shape>
                <v:shape style="position:absolute;left:9665;top:13352;width:2114;height:1965" id="docshape97" coordorigin="9666,13352" coordsize="2114,1965" path="m11779,13352l9666,15317,11779,15317,11779,14662,11779,13352xe" filled="true" fillcolor="#f7cd4d" stroked="false">
                  <v:path arrowok="t"/>
                  <v:fill type="solid"/>
                </v:shape>
                <v:shape style="position:absolute;left:9665;top:13352;width:2114;height:1966" id="docshape98" coordorigin="9666,13352" coordsize="2114,1966" path="m9666,15317l11779,13352,11779,13667,9666,15317xe" filled="true" fillcolor="#b079cc" stroked="false">
                  <v:path arrowok="t"/>
                  <v:fill type="solid"/>
                </v:shape>
                <v:shape style="position:absolute;left:9665;top:13667;width:2114;height:1650" id="docshape99" coordorigin="9666,13667" coordsize="2114,1650" path="m9666,15317l11779,13667,11779,13999,9666,15317xe" filled="true" fillcolor="#3c81da" stroked="false">
                  <v:path arrowok="t"/>
                  <v:fill type="solid"/>
                </v:shape>
                <v:shape style="position:absolute;left:9665;top:13998;width:2114;height:1319" id="docshape100" coordorigin="9666,13999" coordsize="2114,1319" path="m9666,15317l11779,13999,11779,14331,9666,15317xm9666,15317l9666,15317,9666,15317,9666,15317xm9666,15317l9666,15317,9666,15317,9666,15317xe" filled="true" fillcolor="#4d9e53" stroked="false">
                  <v:path arrowok="t"/>
                  <v:fill type="solid"/>
                </v:shape>
                <v:shape style="position:absolute;left:9665;top:14330;width:2114;height:987" id="docshape101" coordorigin="9666,14331" coordsize="2114,987" path="m9666,15317l11779,14331,11779,14662,9666,15317xm9666,15317l9666,15317,9666,15317,9666,15317xm9666,15317l9666,15317,9666,15317,9666,15317xe" filled="true" fillcolor="#f7cd4d" stroked="false">
                  <v:path arrowok="t"/>
                  <v:fill type="solid"/>
                </v:shape>
                <v:shape style="position:absolute;left:9665;top:14662;width:2114;height:655" id="docshape102" coordorigin="9666,14662" coordsize="2114,655" path="m9666,15317l11779,14662,11779,14986,9666,15317xe" filled="true" fillcolor="#f67b28" stroked="false">
                  <v:path arrowok="t"/>
                  <v:fill type="solid"/>
                </v:shape>
                <v:shape style="position:absolute;left:9665;top:15317;width:1973;height:2" id="docshape103" coordorigin="9665,15317" coordsize="1973,0" path="m9665,15317l11638,15317,9665,15317xe" filled="true" fillcolor="#dd2954" stroked="false">
                  <v:path arrowok="t"/>
                  <v:fill type="solid"/>
                </v:shape>
                <w10:wrap type="none"/>
              </v:group>
            </w:pict>
          </mc:Fallback>
        </mc:AlternateContent>
      </w:r>
    </w:p>
    <w:p>
      <w:pPr>
        <w:pStyle w:val="BodyText"/>
        <w:rPr>
          <w:rFonts w:ascii="Georgia"/>
          <w:sz w:val="20"/>
        </w:rPr>
      </w:pPr>
    </w:p>
    <w:p>
      <w:pPr>
        <w:pStyle w:val="BodyText"/>
        <w:rPr>
          <w:rFonts w:ascii="Georgia"/>
          <w:sz w:val="20"/>
        </w:rPr>
      </w:pPr>
    </w:p>
    <w:p>
      <w:pPr>
        <w:pStyle w:val="BodyText"/>
        <w:rPr>
          <w:rFonts w:ascii="Georgia"/>
          <w:sz w:val="20"/>
        </w:rPr>
      </w:pPr>
    </w:p>
    <w:p>
      <w:pPr>
        <w:pStyle w:val="BodyText"/>
        <w:rPr>
          <w:rFonts w:ascii="Georgia"/>
          <w:sz w:val="20"/>
        </w:rPr>
      </w:pPr>
    </w:p>
    <w:p>
      <w:pPr>
        <w:pStyle w:val="BodyText"/>
        <w:rPr>
          <w:rFonts w:ascii="Georgia"/>
          <w:sz w:val="20"/>
        </w:rPr>
      </w:pPr>
    </w:p>
    <w:p>
      <w:pPr>
        <w:pStyle w:val="BodyText"/>
        <w:rPr>
          <w:rFonts w:ascii="Georgia"/>
          <w:sz w:val="20"/>
        </w:rPr>
      </w:pPr>
    </w:p>
    <w:p>
      <w:pPr>
        <w:pStyle w:val="BodyText"/>
        <w:spacing w:before="10" w:after="1"/>
        <w:rPr>
          <w:rFonts w:ascii="Georgia"/>
          <w:sz w:val="20"/>
        </w:rPr>
      </w:pPr>
    </w:p>
    <w:p>
      <w:pPr>
        <w:pStyle w:val="BodyText"/>
        <w:ind w:left="101"/>
        <w:rPr>
          <w:rFonts w:ascii="Georgia"/>
          <w:sz w:val="20"/>
        </w:rPr>
      </w:pPr>
      <w:r>
        <w:rPr>
          <w:rFonts w:ascii="Georgia"/>
          <w:sz w:val="20"/>
        </w:rPr>
        <mc:AlternateContent>
          <mc:Choice Requires="wps">
            <w:drawing>
              <wp:inline distT="0" distB="0" distL="0" distR="0">
                <wp:extent cx="3475990" cy="1167130"/>
                <wp:effectExtent l="0" t="0" r="0" b="4444"/>
                <wp:docPr id="123" name="Group 123"/>
                <wp:cNvGraphicFramePr>
                  <a:graphicFrameLocks/>
                </wp:cNvGraphicFramePr>
                <a:graphic>
                  <a:graphicData uri="http://schemas.microsoft.com/office/word/2010/wordprocessingGroup">
                    <wpg:wgp>
                      <wpg:cNvPr id="123" name="Group 123"/>
                      <wpg:cNvGrpSpPr/>
                      <wpg:grpSpPr>
                        <a:xfrm>
                          <a:off x="0" y="0"/>
                          <a:ext cx="3475990" cy="1167130"/>
                          <a:chExt cx="3475990" cy="1167130"/>
                        </a:xfrm>
                      </wpg:grpSpPr>
                      <wps:wsp>
                        <wps:cNvPr id="124" name="Graphic 124"/>
                        <wps:cNvSpPr/>
                        <wps:spPr>
                          <a:xfrm>
                            <a:off x="0" y="0"/>
                            <a:ext cx="3475990" cy="1167130"/>
                          </a:xfrm>
                          <a:custGeom>
                            <a:avLst/>
                            <a:gdLst/>
                            <a:ahLst/>
                            <a:cxnLst/>
                            <a:rect l="l" t="t" r="r" b="b"/>
                            <a:pathLst>
                              <a:path w="3475990" h="1167130">
                                <a:moveTo>
                                  <a:pt x="3113778" y="1166805"/>
                                </a:moveTo>
                                <a:lnTo>
                                  <a:pt x="361949" y="1166805"/>
                                </a:lnTo>
                                <a:lnTo>
                                  <a:pt x="312835" y="1163501"/>
                                </a:lnTo>
                                <a:lnTo>
                                  <a:pt x="265729" y="1153876"/>
                                </a:lnTo>
                                <a:lnTo>
                                  <a:pt x="221062" y="1138361"/>
                                </a:lnTo>
                                <a:lnTo>
                                  <a:pt x="179266" y="1117388"/>
                                </a:lnTo>
                                <a:lnTo>
                                  <a:pt x="140773" y="1091388"/>
                                </a:lnTo>
                                <a:lnTo>
                                  <a:pt x="106012" y="1060792"/>
                                </a:lnTo>
                                <a:lnTo>
                                  <a:pt x="75416" y="1026032"/>
                                </a:lnTo>
                                <a:lnTo>
                                  <a:pt x="49416" y="987538"/>
                                </a:lnTo>
                                <a:lnTo>
                                  <a:pt x="28443" y="945742"/>
                                </a:lnTo>
                                <a:lnTo>
                                  <a:pt x="12929" y="901076"/>
                                </a:lnTo>
                                <a:lnTo>
                                  <a:pt x="3304" y="853970"/>
                                </a:lnTo>
                                <a:lnTo>
                                  <a:pt x="0" y="804855"/>
                                </a:lnTo>
                                <a:lnTo>
                                  <a:pt x="0" y="361949"/>
                                </a:lnTo>
                                <a:lnTo>
                                  <a:pt x="3304" y="312835"/>
                                </a:lnTo>
                                <a:lnTo>
                                  <a:pt x="12929" y="265729"/>
                                </a:lnTo>
                                <a:lnTo>
                                  <a:pt x="28443" y="221062"/>
                                </a:lnTo>
                                <a:lnTo>
                                  <a:pt x="49416" y="179266"/>
                                </a:lnTo>
                                <a:lnTo>
                                  <a:pt x="75416" y="140773"/>
                                </a:lnTo>
                                <a:lnTo>
                                  <a:pt x="106012" y="106012"/>
                                </a:lnTo>
                                <a:lnTo>
                                  <a:pt x="140773" y="75416"/>
                                </a:lnTo>
                                <a:lnTo>
                                  <a:pt x="179266" y="49416"/>
                                </a:lnTo>
                                <a:lnTo>
                                  <a:pt x="221062" y="28443"/>
                                </a:lnTo>
                                <a:lnTo>
                                  <a:pt x="265729" y="12929"/>
                                </a:lnTo>
                                <a:lnTo>
                                  <a:pt x="312835" y="3304"/>
                                </a:lnTo>
                                <a:lnTo>
                                  <a:pt x="361949" y="0"/>
                                </a:lnTo>
                                <a:lnTo>
                                  <a:pt x="3113778" y="0"/>
                                </a:lnTo>
                                <a:lnTo>
                                  <a:pt x="3162893" y="3304"/>
                                </a:lnTo>
                                <a:lnTo>
                                  <a:pt x="3209999" y="12929"/>
                                </a:lnTo>
                                <a:lnTo>
                                  <a:pt x="3254666" y="28443"/>
                                </a:lnTo>
                                <a:lnTo>
                                  <a:pt x="3296461" y="49416"/>
                                </a:lnTo>
                                <a:lnTo>
                                  <a:pt x="3334955" y="75416"/>
                                </a:lnTo>
                                <a:lnTo>
                                  <a:pt x="3369716" y="106012"/>
                                </a:lnTo>
                                <a:lnTo>
                                  <a:pt x="3400311" y="140773"/>
                                </a:lnTo>
                                <a:lnTo>
                                  <a:pt x="3426311" y="179266"/>
                                </a:lnTo>
                                <a:lnTo>
                                  <a:pt x="3447284" y="221062"/>
                                </a:lnTo>
                                <a:lnTo>
                                  <a:pt x="3462799" y="265729"/>
                                </a:lnTo>
                                <a:lnTo>
                                  <a:pt x="3472424" y="312835"/>
                                </a:lnTo>
                                <a:lnTo>
                                  <a:pt x="3475728" y="361949"/>
                                </a:lnTo>
                                <a:lnTo>
                                  <a:pt x="3475728" y="804855"/>
                                </a:lnTo>
                                <a:lnTo>
                                  <a:pt x="3472424" y="853970"/>
                                </a:lnTo>
                                <a:lnTo>
                                  <a:pt x="3462799" y="901076"/>
                                </a:lnTo>
                                <a:lnTo>
                                  <a:pt x="3447284" y="945742"/>
                                </a:lnTo>
                                <a:lnTo>
                                  <a:pt x="3426311" y="987538"/>
                                </a:lnTo>
                                <a:lnTo>
                                  <a:pt x="3400311" y="1026032"/>
                                </a:lnTo>
                                <a:lnTo>
                                  <a:pt x="3369716" y="1060792"/>
                                </a:lnTo>
                                <a:lnTo>
                                  <a:pt x="3334955" y="1091388"/>
                                </a:lnTo>
                                <a:lnTo>
                                  <a:pt x="3296461" y="1117388"/>
                                </a:lnTo>
                                <a:lnTo>
                                  <a:pt x="3254666" y="1138361"/>
                                </a:lnTo>
                                <a:lnTo>
                                  <a:pt x="3209999" y="1153876"/>
                                </a:lnTo>
                                <a:lnTo>
                                  <a:pt x="3162893" y="1163501"/>
                                </a:lnTo>
                                <a:lnTo>
                                  <a:pt x="3113778" y="1166805"/>
                                </a:lnTo>
                                <a:close/>
                              </a:path>
                            </a:pathLst>
                          </a:custGeom>
                          <a:solidFill>
                            <a:srgbClr val="FFAFC7">
                              <a:alpha val="55999"/>
                            </a:srgbClr>
                          </a:solidFill>
                        </wps:spPr>
                        <wps:bodyPr wrap="square" lIns="0" tIns="0" rIns="0" bIns="0" rtlCol="0">
                          <a:prstTxWarp prst="textNoShape">
                            <a:avLst/>
                          </a:prstTxWarp>
                          <a:noAutofit/>
                        </wps:bodyPr>
                      </wps:wsp>
                      <wps:wsp>
                        <wps:cNvPr id="125" name="Textbox 125"/>
                        <wps:cNvSpPr txBox="1"/>
                        <wps:spPr>
                          <a:xfrm>
                            <a:off x="0" y="0"/>
                            <a:ext cx="3475990" cy="1167130"/>
                          </a:xfrm>
                          <a:prstGeom prst="rect">
                            <a:avLst/>
                          </a:prstGeom>
                        </wps:spPr>
                        <wps:txbx>
                          <w:txbxContent>
                            <w:p>
                              <w:pPr>
                                <w:spacing w:before="108"/>
                                <w:ind w:left="202" w:right="0" w:firstLine="0"/>
                                <w:jc w:val="left"/>
                                <w:rPr>
                                  <w:b/>
                                  <w:i/>
                                  <w:sz w:val="34"/>
                                </w:rPr>
                              </w:pPr>
                              <w:r>
                                <w:rPr>
                                  <w:b/>
                                  <w:i/>
                                  <w:spacing w:val="11"/>
                                  <w:w w:val="130"/>
                                  <w:sz w:val="34"/>
                                </w:rPr>
                                <w:t>LEGISLATION</w:t>
                              </w:r>
                            </w:p>
                            <w:p>
                              <w:pPr>
                                <w:spacing w:line="564" w:lineRule="auto" w:before="52"/>
                                <w:ind w:left="289" w:right="0" w:firstLine="0"/>
                                <w:jc w:val="left"/>
                                <w:rPr>
                                  <w:rFonts w:ascii="Georgia"/>
                                  <w:sz w:val="18"/>
                                </w:rPr>
                              </w:pPr>
                              <w:r>
                                <w:rPr>
                                  <w:rFonts w:ascii="Georgia"/>
                                  <w:spacing w:val="-2"/>
                                  <w:w w:val="105"/>
                                  <w:sz w:val="18"/>
                                </w:rPr>
                                <w:t>S.114:</w:t>
                              </w:r>
                              <w:r>
                                <w:rPr>
                                  <w:rFonts w:ascii="Georgia"/>
                                  <w:spacing w:val="-8"/>
                                  <w:w w:val="105"/>
                                  <w:sz w:val="18"/>
                                </w:rPr>
                                <w:t> </w:t>
                              </w:r>
                              <w:r>
                                <w:rPr>
                                  <w:rFonts w:ascii="Georgia"/>
                                  <w:spacing w:val="-2"/>
                                  <w:w w:val="105"/>
                                  <w:sz w:val="18"/>
                                </w:rPr>
                                <w:t>Universal</w:t>
                              </w:r>
                              <w:r>
                                <w:rPr>
                                  <w:rFonts w:ascii="Georgia"/>
                                  <w:spacing w:val="-8"/>
                                  <w:w w:val="105"/>
                                  <w:sz w:val="18"/>
                                </w:rPr>
                                <w:t> </w:t>
                              </w:r>
                              <w:r>
                                <w:rPr>
                                  <w:rFonts w:ascii="Georgia"/>
                                  <w:spacing w:val="-2"/>
                                  <w:w w:val="105"/>
                                  <w:sz w:val="18"/>
                                </w:rPr>
                                <w:t>Basic</w:t>
                              </w:r>
                              <w:r>
                                <w:rPr>
                                  <w:rFonts w:ascii="Georgia"/>
                                  <w:spacing w:val="-8"/>
                                  <w:w w:val="105"/>
                                  <w:sz w:val="18"/>
                                </w:rPr>
                                <w:t> </w:t>
                              </w:r>
                              <w:r>
                                <w:rPr>
                                  <w:rFonts w:ascii="Georgia"/>
                                  <w:spacing w:val="-2"/>
                                  <w:w w:val="105"/>
                                  <w:sz w:val="18"/>
                                </w:rPr>
                                <w:t>Income</w:t>
                              </w:r>
                              <w:r>
                                <w:rPr>
                                  <w:rFonts w:ascii="Georgia"/>
                                  <w:spacing w:val="-8"/>
                                  <w:w w:val="105"/>
                                  <w:sz w:val="18"/>
                                </w:rPr>
                                <w:t> </w:t>
                              </w:r>
                              <w:r>
                                <w:rPr>
                                  <w:rFonts w:ascii="Georgia"/>
                                  <w:spacing w:val="-2"/>
                                  <w:w w:val="105"/>
                                  <w:sz w:val="18"/>
                                </w:rPr>
                                <w:t>for</w:t>
                              </w:r>
                              <w:r>
                                <w:rPr>
                                  <w:rFonts w:ascii="Georgia"/>
                                  <w:spacing w:val="-8"/>
                                  <w:w w:val="105"/>
                                  <w:sz w:val="18"/>
                                </w:rPr>
                                <w:t> </w:t>
                              </w:r>
                              <w:r>
                                <w:rPr>
                                  <w:rFonts w:ascii="Georgia"/>
                                  <w:spacing w:val="-2"/>
                                  <w:w w:val="105"/>
                                  <w:sz w:val="18"/>
                                </w:rPr>
                                <w:t>Transition-Aged</w:t>
                              </w:r>
                              <w:r>
                                <w:rPr>
                                  <w:rFonts w:ascii="Georgia"/>
                                  <w:spacing w:val="-8"/>
                                  <w:w w:val="105"/>
                                  <w:sz w:val="18"/>
                                </w:rPr>
                                <w:t> </w:t>
                              </w:r>
                              <w:r>
                                <w:rPr>
                                  <w:rFonts w:ascii="Georgia"/>
                                  <w:spacing w:val="-2"/>
                                  <w:w w:val="105"/>
                                  <w:sz w:val="18"/>
                                </w:rPr>
                                <w:t>Youth </w:t>
                              </w:r>
                              <w:r>
                                <w:rPr>
                                  <w:rFonts w:ascii="Georgia"/>
                                  <w:w w:val="105"/>
                                  <w:sz w:val="18"/>
                                </w:rPr>
                                <w:t>S.68/H.164: Bill of Rights for Children in Foster Care</w:t>
                              </w:r>
                            </w:p>
                            <w:p>
                              <w:pPr>
                                <w:spacing w:line="203" w:lineRule="exact" w:before="0"/>
                                <w:ind w:left="289" w:right="0" w:firstLine="0"/>
                                <w:jc w:val="left"/>
                                <w:rPr>
                                  <w:rFonts w:ascii="Georgia"/>
                                  <w:sz w:val="18"/>
                                </w:rPr>
                              </w:pPr>
                              <w:r>
                                <w:rPr>
                                  <w:rFonts w:ascii="Georgia"/>
                                  <w:spacing w:val="-2"/>
                                  <w:sz w:val="18"/>
                                </w:rPr>
                                <w:t>S.947/H.1713:</w:t>
                              </w:r>
                              <w:r>
                                <w:rPr>
                                  <w:rFonts w:ascii="Georgia"/>
                                  <w:spacing w:val="7"/>
                                  <w:sz w:val="18"/>
                                </w:rPr>
                                <w:t> </w:t>
                              </w:r>
                              <w:r>
                                <w:rPr>
                                  <w:rFonts w:ascii="Georgia"/>
                                  <w:spacing w:val="-2"/>
                                  <w:sz w:val="18"/>
                                </w:rPr>
                                <w:t>Massachusetts</w:t>
                              </w:r>
                              <w:r>
                                <w:rPr>
                                  <w:rFonts w:ascii="Georgia"/>
                                  <w:spacing w:val="8"/>
                                  <w:sz w:val="18"/>
                                </w:rPr>
                                <w:t> </w:t>
                              </w:r>
                              <w:r>
                                <w:rPr>
                                  <w:rFonts w:ascii="Georgia"/>
                                  <w:spacing w:val="-2"/>
                                  <w:sz w:val="18"/>
                                </w:rPr>
                                <w:t>Parentage</w:t>
                              </w:r>
                              <w:r>
                                <w:rPr>
                                  <w:rFonts w:ascii="Georgia"/>
                                  <w:spacing w:val="8"/>
                                  <w:sz w:val="18"/>
                                </w:rPr>
                                <w:t> </w:t>
                              </w:r>
                              <w:r>
                                <w:rPr>
                                  <w:rFonts w:ascii="Georgia"/>
                                  <w:spacing w:val="-5"/>
                                  <w:sz w:val="18"/>
                                </w:rPr>
                                <w:t>Act</w:t>
                              </w:r>
                            </w:p>
                          </w:txbxContent>
                        </wps:txbx>
                        <wps:bodyPr wrap="square" lIns="0" tIns="0" rIns="0" bIns="0" rtlCol="0">
                          <a:noAutofit/>
                        </wps:bodyPr>
                      </wps:wsp>
                    </wpg:wgp>
                  </a:graphicData>
                </a:graphic>
              </wp:inline>
            </w:drawing>
          </mc:Choice>
          <mc:Fallback>
            <w:pict>
              <v:group style="width:273.7pt;height:91.9pt;mso-position-horizontal-relative:char;mso-position-vertical-relative:line" id="docshapegroup104" coordorigin="0,0" coordsize="5474,1838">
                <v:shape style="position:absolute;left:0;top:0;width:5474;height:1838" id="docshape105" coordorigin="0,0" coordsize="5474,1838" path="m4904,1837l570,1837,493,1832,418,1817,348,1793,282,1760,222,1719,167,1671,119,1616,78,1555,45,1489,20,1419,5,1345,0,1267,0,570,5,493,20,418,45,348,78,282,119,222,167,167,222,119,282,78,348,45,418,20,493,5,570,0,4904,0,4981,5,5055,20,5125,45,5191,78,5252,119,5307,167,5355,222,5396,282,5429,348,5453,418,5468,493,5474,570,5474,1267,5468,1345,5453,1419,5429,1489,5396,1555,5355,1616,5307,1671,5252,1719,5191,1760,5125,1793,5055,1817,4981,1832,4904,1837xe" filled="true" fillcolor="#ffafc7" stroked="false">
                  <v:path arrowok="t"/>
                  <v:fill opacity="36700f" type="solid"/>
                </v:shape>
                <v:shape style="position:absolute;left:0;top:0;width:5474;height:1838" type="#_x0000_t202" id="docshape106" filled="false" stroked="false">
                  <v:textbox inset="0,0,0,0">
                    <w:txbxContent>
                      <w:p>
                        <w:pPr>
                          <w:spacing w:before="108"/>
                          <w:ind w:left="202" w:right="0" w:firstLine="0"/>
                          <w:jc w:val="left"/>
                          <w:rPr>
                            <w:b/>
                            <w:i/>
                            <w:sz w:val="34"/>
                          </w:rPr>
                        </w:pPr>
                        <w:r>
                          <w:rPr>
                            <w:b/>
                            <w:i/>
                            <w:spacing w:val="11"/>
                            <w:w w:val="130"/>
                            <w:sz w:val="34"/>
                          </w:rPr>
                          <w:t>LEGISLATION</w:t>
                        </w:r>
                      </w:p>
                      <w:p>
                        <w:pPr>
                          <w:spacing w:line="564" w:lineRule="auto" w:before="52"/>
                          <w:ind w:left="289" w:right="0" w:firstLine="0"/>
                          <w:jc w:val="left"/>
                          <w:rPr>
                            <w:rFonts w:ascii="Georgia"/>
                            <w:sz w:val="18"/>
                          </w:rPr>
                        </w:pPr>
                        <w:r>
                          <w:rPr>
                            <w:rFonts w:ascii="Georgia"/>
                            <w:spacing w:val="-2"/>
                            <w:w w:val="105"/>
                            <w:sz w:val="18"/>
                          </w:rPr>
                          <w:t>S.114:</w:t>
                        </w:r>
                        <w:r>
                          <w:rPr>
                            <w:rFonts w:ascii="Georgia"/>
                            <w:spacing w:val="-8"/>
                            <w:w w:val="105"/>
                            <w:sz w:val="18"/>
                          </w:rPr>
                          <w:t> </w:t>
                        </w:r>
                        <w:r>
                          <w:rPr>
                            <w:rFonts w:ascii="Georgia"/>
                            <w:spacing w:val="-2"/>
                            <w:w w:val="105"/>
                            <w:sz w:val="18"/>
                          </w:rPr>
                          <w:t>Universal</w:t>
                        </w:r>
                        <w:r>
                          <w:rPr>
                            <w:rFonts w:ascii="Georgia"/>
                            <w:spacing w:val="-8"/>
                            <w:w w:val="105"/>
                            <w:sz w:val="18"/>
                          </w:rPr>
                          <w:t> </w:t>
                        </w:r>
                        <w:r>
                          <w:rPr>
                            <w:rFonts w:ascii="Georgia"/>
                            <w:spacing w:val="-2"/>
                            <w:w w:val="105"/>
                            <w:sz w:val="18"/>
                          </w:rPr>
                          <w:t>Basic</w:t>
                        </w:r>
                        <w:r>
                          <w:rPr>
                            <w:rFonts w:ascii="Georgia"/>
                            <w:spacing w:val="-8"/>
                            <w:w w:val="105"/>
                            <w:sz w:val="18"/>
                          </w:rPr>
                          <w:t> </w:t>
                        </w:r>
                        <w:r>
                          <w:rPr>
                            <w:rFonts w:ascii="Georgia"/>
                            <w:spacing w:val="-2"/>
                            <w:w w:val="105"/>
                            <w:sz w:val="18"/>
                          </w:rPr>
                          <w:t>Income</w:t>
                        </w:r>
                        <w:r>
                          <w:rPr>
                            <w:rFonts w:ascii="Georgia"/>
                            <w:spacing w:val="-8"/>
                            <w:w w:val="105"/>
                            <w:sz w:val="18"/>
                          </w:rPr>
                          <w:t> </w:t>
                        </w:r>
                        <w:r>
                          <w:rPr>
                            <w:rFonts w:ascii="Georgia"/>
                            <w:spacing w:val="-2"/>
                            <w:w w:val="105"/>
                            <w:sz w:val="18"/>
                          </w:rPr>
                          <w:t>for</w:t>
                        </w:r>
                        <w:r>
                          <w:rPr>
                            <w:rFonts w:ascii="Georgia"/>
                            <w:spacing w:val="-8"/>
                            <w:w w:val="105"/>
                            <w:sz w:val="18"/>
                          </w:rPr>
                          <w:t> </w:t>
                        </w:r>
                        <w:r>
                          <w:rPr>
                            <w:rFonts w:ascii="Georgia"/>
                            <w:spacing w:val="-2"/>
                            <w:w w:val="105"/>
                            <w:sz w:val="18"/>
                          </w:rPr>
                          <w:t>Transition-Aged</w:t>
                        </w:r>
                        <w:r>
                          <w:rPr>
                            <w:rFonts w:ascii="Georgia"/>
                            <w:spacing w:val="-8"/>
                            <w:w w:val="105"/>
                            <w:sz w:val="18"/>
                          </w:rPr>
                          <w:t> </w:t>
                        </w:r>
                        <w:r>
                          <w:rPr>
                            <w:rFonts w:ascii="Georgia"/>
                            <w:spacing w:val="-2"/>
                            <w:w w:val="105"/>
                            <w:sz w:val="18"/>
                          </w:rPr>
                          <w:t>Youth </w:t>
                        </w:r>
                        <w:r>
                          <w:rPr>
                            <w:rFonts w:ascii="Georgia"/>
                            <w:w w:val="105"/>
                            <w:sz w:val="18"/>
                          </w:rPr>
                          <w:t>S.68/H.164: Bill of Rights for Children in Foster Care</w:t>
                        </w:r>
                      </w:p>
                      <w:p>
                        <w:pPr>
                          <w:spacing w:line="203" w:lineRule="exact" w:before="0"/>
                          <w:ind w:left="289" w:right="0" w:firstLine="0"/>
                          <w:jc w:val="left"/>
                          <w:rPr>
                            <w:rFonts w:ascii="Georgia"/>
                            <w:sz w:val="18"/>
                          </w:rPr>
                        </w:pPr>
                        <w:r>
                          <w:rPr>
                            <w:rFonts w:ascii="Georgia"/>
                            <w:spacing w:val="-2"/>
                            <w:sz w:val="18"/>
                          </w:rPr>
                          <w:t>S.947/H.1713:</w:t>
                        </w:r>
                        <w:r>
                          <w:rPr>
                            <w:rFonts w:ascii="Georgia"/>
                            <w:spacing w:val="7"/>
                            <w:sz w:val="18"/>
                          </w:rPr>
                          <w:t> </w:t>
                        </w:r>
                        <w:r>
                          <w:rPr>
                            <w:rFonts w:ascii="Georgia"/>
                            <w:spacing w:val="-2"/>
                            <w:sz w:val="18"/>
                          </w:rPr>
                          <w:t>Massachusetts</w:t>
                        </w:r>
                        <w:r>
                          <w:rPr>
                            <w:rFonts w:ascii="Georgia"/>
                            <w:spacing w:val="8"/>
                            <w:sz w:val="18"/>
                          </w:rPr>
                          <w:t> </w:t>
                        </w:r>
                        <w:r>
                          <w:rPr>
                            <w:rFonts w:ascii="Georgia"/>
                            <w:spacing w:val="-2"/>
                            <w:sz w:val="18"/>
                          </w:rPr>
                          <w:t>Parentage</w:t>
                        </w:r>
                        <w:r>
                          <w:rPr>
                            <w:rFonts w:ascii="Georgia"/>
                            <w:spacing w:val="8"/>
                            <w:sz w:val="18"/>
                          </w:rPr>
                          <w:t> </w:t>
                        </w:r>
                        <w:r>
                          <w:rPr>
                            <w:rFonts w:ascii="Georgia"/>
                            <w:spacing w:val="-5"/>
                            <w:sz w:val="18"/>
                          </w:rPr>
                          <w:t>Act</w:t>
                        </w:r>
                      </w:p>
                    </w:txbxContent>
                  </v:textbox>
                  <w10:wrap type="none"/>
                </v:shape>
              </v:group>
            </w:pict>
          </mc:Fallback>
        </mc:AlternateContent>
      </w:r>
      <w:r>
        <w:rPr>
          <w:rFonts w:ascii="Georgia"/>
          <w:sz w:val="20"/>
        </w:rPr>
      </w:r>
    </w:p>
    <w:p>
      <w:pPr>
        <w:spacing w:after="0"/>
        <w:rPr>
          <w:rFonts w:ascii="Georgia"/>
          <w:sz w:val="20"/>
        </w:rPr>
        <w:sectPr>
          <w:type w:val="continuous"/>
          <w:pgSz w:w="12240" w:h="15840"/>
          <w:pgMar w:header="0" w:footer="0" w:top="1420" w:bottom="280" w:left="940" w:right="1320"/>
        </w:sectPr>
      </w:pPr>
    </w:p>
    <w:p>
      <w:pPr>
        <w:spacing w:before="306"/>
        <w:ind w:left="464" w:right="0" w:firstLine="0"/>
        <w:jc w:val="left"/>
        <w:rPr>
          <w:sz w:val="38"/>
        </w:rPr>
      </w:pPr>
      <w:bookmarkStart w:name="FY 2025 - Uplifting Education in Schools" w:id="135"/>
      <w:bookmarkEnd w:id="135"/>
      <w:r>
        <w:rPr/>
      </w:r>
      <w:bookmarkStart w:name="_bookmark39" w:id="136"/>
      <w:bookmarkEnd w:id="136"/>
      <w:r>
        <w:rPr/>
      </w:r>
      <w:hyperlink w:history="true" w:anchor="_bookmark2">
        <w:r>
          <w:rPr>
            <w:color w:val="365F91"/>
            <w:spacing w:val="-8"/>
            <w:sz w:val="38"/>
          </w:rPr>
          <w:t>Belonging</w:t>
        </w:r>
        <w:r>
          <w:rPr>
            <w:color w:val="365F91"/>
            <w:spacing w:val="-5"/>
            <w:sz w:val="38"/>
          </w:rPr>
          <w:t> </w:t>
        </w:r>
        <w:r>
          <w:rPr>
            <w:color w:val="365F91"/>
            <w:spacing w:val="-8"/>
            <w:sz w:val="38"/>
          </w:rPr>
          <w:t>in</w:t>
        </w:r>
        <w:r>
          <w:rPr>
            <w:color w:val="365F91"/>
            <w:spacing w:val="-5"/>
            <w:sz w:val="38"/>
          </w:rPr>
          <w:t> </w:t>
        </w:r>
        <w:r>
          <w:rPr>
            <w:color w:val="365F91"/>
            <w:spacing w:val="-8"/>
            <w:sz w:val="38"/>
          </w:rPr>
          <w:t>Education:</w:t>
        </w:r>
        <w:r>
          <w:rPr>
            <w:color w:val="365F91"/>
            <w:spacing w:val="-4"/>
            <w:sz w:val="38"/>
          </w:rPr>
          <w:t> </w:t>
        </w:r>
        <w:r>
          <w:rPr>
            <w:color w:val="365F91"/>
            <w:spacing w:val="-8"/>
            <w:sz w:val="38"/>
          </w:rPr>
          <w:t>Supporting</w:t>
        </w:r>
        <w:r>
          <w:rPr>
            <w:color w:val="365F91"/>
            <w:spacing w:val="-5"/>
            <w:sz w:val="38"/>
          </w:rPr>
          <w:t> </w:t>
        </w:r>
        <w:r>
          <w:rPr>
            <w:color w:val="365F91"/>
            <w:spacing w:val="-8"/>
            <w:sz w:val="38"/>
          </w:rPr>
          <w:t>LGBTQ</w:t>
        </w:r>
        <w:r>
          <w:rPr>
            <w:color w:val="365F91"/>
            <w:spacing w:val="-5"/>
            <w:sz w:val="38"/>
          </w:rPr>
          <w:t> </w:t>
        </w:r>
        <w:r>
          <w:rPr>
            <w:color w:val="365F91"/>
            <w:spacing w:val="-8"/>
            <w:sz w:val="38"/>
          </w:rPr>
          <w:t>Youth</w:t>
        </w:r>
        <w:r>
          <w:rPr>
            <w:color w:val="365F91"/>
            <w:spacing w:val="-3"/>
            <w:sz w:val="38"/>
          </w:rPr>
          <w:t> </w:t>
        </w:r>
        <w:r>
          <w:rPr>
            <w:color w:val="365F91"/>
            <w:spacing w:val="-8"/>
            <w:sz w:val="38"/>
          </w:rPr>
          <w:t>in</w:t>
        </w:r>
        <w:r>
          <w:rPr>
            <w:color w:val="365F91"/>
            <w:spacing w:val="-3"/>
            <w:sz w:val="38"/>
          </w:rPr>
          <w:t> </w:t>
        </w:r>
        <w:r>
          <w:rPr>
            <w:color w:val="365F91"/>
            <w:spacing w:val="-8"/>
            <w:sz w:val="38"/>
          </w:rPr>
          <w:t>Schools</w:t>
        </w:r>
      </w:hyperlink>
    </w:p>
    <w:p>
      <w:pPr>
        <w:spacing w:before="239"/>
        <w:ind w:left="464" w:right="0" w:firstLine="0"/>
        <w:jc w:val="left"/>
        <w:rPr>
          <w:sz w:val="28"/>
        </w:rPr>
      </w:pPr>
      <w:bookmarkStart w:name="Introduction" w:id="137"/>
      <w:bookmarkEnd w:id="137"/>
      <w:r>
        <w:rPr/>
      </w:r>
      <w:r>
        <w:rPr>
          <w:color w:val="365F91"/>
          <w:spacing w:val="-2"/>
          <w:sz w:val="28"/>
        </w:rPr>
        <w:t>Introduction</w:t>
      </w:r>
    </w:p>
    <w:p>
      <w:pPr>
        <w:pStyle w:val="BodyText"/>
        <w:spacing w:before="10"/>
        <w:rPr>
          <w:sz w:val="3"/>
        </w:rPr>
      </w:pPr>
      <w:r>
        <w:rPr/>
        <mc:AlternateContent>
          <mc:Choice Requires="wps">
            <w:drawing>
              <wp:anchor distT="0" distB="0" distL="0" distR="0" allowOverlap="1" layoutInCell="1" locked="0" behindDoc="1" simplePos="0" relativeHeight="487601664">
                <wp:simplePos x="0" y="0"/>
                <wp:positionH relativeFrom="page">
                  <wp:posOffset>986789</wp:posOffset>
                </wp:positionH>
                <wp:positionV relativeFrom="paragraph">
                  <wp:posOffset>45107</wp:posOffset>
                </wp:positionV>
                <wp:extent cx="5799455" cy="6350"/>
                <wp:effectExtent l="0" t="0" r="0" b="0"/>
                <wp:wrapTopAndBottom/>
                <wp:docPr id="129" name="Graphic 129"/>
                <wp:cNvGraphicFramePr>
                  <a:graphicFrameLocks/>
                </wp:cNvGraphicFramePr>
                <a:graphic>
                  <a:graphicData uri="http://schemas.microsoft.com/office/word/2010/wordprocessingShape">
                    <wps:wsp>
                      <wps:cNvPr id="129" name="Graphic 129"/>
                      <wps:cNvSpPr/>
                      <wps:spPr>
                        <a:xfrm>
                          <a:off x="0" y="0"/>
                          <a:ext cx="5799455" cy="6350"/>
                        </a:xfrm>
                        <a:custGeom>
                          <a:avLst/>
                          <a:gdLst/>
                          <a:ahLst/>
                          <a:cxnLst/>
                          <a:rect l="l" t="t" r="r" b="b"/>
                          <a:pathLst>
                            <a:path w="5799455" h="6350">
                              <a:moveTo>
                                <a:pt x="5798832" y="0"/>
                              </a:moveTo>
                              <a:lnTo>
                                <a:pt x="0" y="0"/>
                              </a:lnTo>
                              <a:lnTo>
                                <a:pt x="0" y="6096"/>
                              </a:lnTo>
                              <a:lnTo>
                                <a:pt x="5798832" y="6096"/>
                              </a:lnTo>
                              <a:lnTo>
                                <a:pt x="5798832" y="0"/>
                              </a:lnTo>
                              <a:close/>
                            </a:path>
                          </a:pathLst>
                        </a:custGeom>
                        <a:solidFill>
                          <a:srgbClr val="4F81BC"/>
                        </a:solidFill>
                      </wps:spPr>
                      <wps:bodyPr wrap="square" lIns="0" tIns="0" rIns="0" bIns="0" rtlCol="0">
                        <a:prstTxWarp prst="textNoShape">
                          <a:avLst/>
                        </a:prstTxWarp>
                        <a:noAutofit/>
                      </wps:bodyPr>
                    </wps:wsp>
                  </a:graphicData>
                </a:graphic>
              </wp:anchor>
            </w:drawing>
          </mc:Choice>
          <mc:Fallback>
            <w:pict>
              <v:rect style="position:absolute;margin-left:77.699997pt;margin-top:3.551797pt;width:456.601pt;height:.48pt;mso-position-horizontal-relative:page;mso-position-vertical-relative:paragraph;z-index:-15714816;mso-wrap-distance-left:0;mso-wrap-distance-right:0" id="docshape110" filled="true" fillcolor="#4f81bc" stroked="false">
                <v:fill type="solid"/>
                <w10:wrap type="topAndBottom"/>
              </v:rect>
            </w:pict>
          </mc:Fallback>
        </mc:AlternateContent>
      </w:r>
    </w:p>
    <w:p>
      <w:pPr>
        <w:pStyle w:val="BodyText"/>
        <w:spacing w:line="276" w:lineRule="auto" w:before="241"/>
        <w:ind w:left="464" w:right="400"/>
        <w:jc w:val="both"/>
      </w:pPr>
      <w:r>
        <w:rPr/>
        <w:t>Following</w:t>
      </w:r>
      <w:r>
        <w:rPr>
          <w:spacing w:val="-9"/>
        </w:rPr>
        <w:t> </w:t>
      </w:r>
      <w:r>
        <w:rPr/>
        <w:t>the</w:t>
      </w:r>
      <w:r>
        <w:rPr>
          <w:spacing w:val="-9"/>
        </w:rPr>
        <w:t> </w:t>
      </w:r>
      <w:r>
        <w:rPr/>
        <w:t>Commission’s</w:t>
      </w:r>
      <w:r>
        <w:rPr>
          <w:spacing w:val="-9"/>
        </w:rPr>
        <w:t> </w:t>
      </w:r>
      <w:r>
        <w:rPr/>
        <w:t>report</w:t>
      </w:r>
      <w:r>
        <w:rPr>
          <w:spacing w:val="-9"/>
        </w:rPr>
        <w:t> </w:t>
      </w:r>
      <w:r>
        <w:rPr/>
        <w:t>on</w:t>
      </w:r>
      <w:r>
        <w:rPr>
          <w:spacing w:val="-9"/>
        </w:rPr>
        <w:t> </w:t>
      </w:r>
      <w:r>
        <w:rPr/>
        <w:t>child</w:t>
      </w:r>
      <w:r>
        <w:rPr>
          <w:spacing w:val="-10"/>
        </w:rPr>
        <w:t> </w:t>
      </w:r>
      <w:r>
        <w:rPr/>
        <w:t>welfare</w:t>
      </w:r>
      <w:r>
        <w:rPr>
          <w:spacing w:val="-10"/>
        </w:rPr>
        <w:t> </w:t>
      </w:r>
      <w:r>
        <w:rPr/>
        <w:t>and</w:t>
      </w:r>
      <w:r>
        <w:rPr>
          <w:spacing w:val="-10"/>
        </w:rPr>
        <w:t> </w:t>
      </w:r>
      <w:r>
        <w:rPr/>
        <w:t>well-being,</w:t>
      </w:r>
      <w:r>
        <w:rPr>
          <w:spacing w:val="-8"/>
        </w:rPr>
        <w:t> </w:t>
      </w:r>
      <w:r>
        <w:rPr/>
        <w:t>this</w:t>
      </w:r>
      <w:r>
        <w:rPr>
          <w:spacing w:val="-9"/>
        </w:rPr>
        <w:t> </w:t>
      </w:r>
      <w:r>
        <w:rPr/>
        <w:t>report</w:t>
      </w:r>
      <w:r>
        <w:rPr>
          <w:spacing w:val="-9"/>
        </w:rPr>
        <w:t> </w:t>
      </w:r>
      <w:r>
        <w:rPr/>
        <w:t>on</w:t>
      </w:r>
      <w:r>
        <w:rPr>
          <w:spacing w:val="-9"/>
        </w:rPr>
        <w:t> </w:t>
      </w:r>
      <w:r>
        <w:rPr/>
        <w:t>education</w:t>
      </w:r>
      <w:r>
        <w:rPr>
          <w:spacing w:val="-8"/>
        </w:rPr>
        <w:t> </w:t>
      </w:r>
      <w:r>
        <w:rPr/>
        <w:t>highlights key local and national findings that illustrate proven methods to create safer and supportive schools for LGBTQ youth, families, and educators.</w:t>
      </w:r>
    </w:p>
    <w:p>
      <w:pPr>
        <w:spacing w:line="276" w:lineRule="auto" w:before="240"/>
        <w:ind w:left="423" w:right="360" w:firstLine="0"/>
        <w:jc w:val="center"/>
        <w:rPr>
          <w:i/>
          <w:sz w:val="22"/>
        </w:rPr>
      </w:pPr>
      <w:r>
        <w:rPr>
          <w:i/>
          <w:color w:val="1F487C"/>
          <w:sz w:val="22"/>
        </w:rPr>
        <w:t>"School</w:t>
      </w:r>
      <w:r>
        <w:rPr>
          <w:i/>
          <w:color w:val="1F487C"/>
          <w:spacing w:val="-2"/>
          <w:sz w:val="22"/>
        </w:rPr>
        <w:t> </w:t>
      </w:r>
      <w:r>
        <w:rPr>
          <w:i/>
          <w:color w:val="1F487C"/>
          <w:sz w:val="22"/>
        </w:rPr>
        <w:t>should</w:t>
      </w:r>
      <w:r>
        <w:rPr>
          <w:i/>
          <w:color w:val="1F487C"/>
          <w:spacing w:val="-3"/>
          <w:sz w:val="22"/>
        </w:rPr>
        <w:t> </w:t>
      </w:r>
      <w:r>
        <w:rPr>
          <w:i/>
          <w:color w:val="1F487C"/>
          <w:sz w:val="22"/>
        </w:rPr>
        <w:t>be</w:t>
      </w:r>
      <w:r>
        <w:rPr>
          <w:i/>
          <w:color w:val="1F487C"/>
          <w:spacing w:val="-4"/>
          <w:sz w:val="22"/>
        </w:rPr>
        <w:t> </w:t>
      </w:r>
      <w:r>
        <w:rPr>
          <w:i/>
          <w:color w:val="1F487C"/>
          <w:sz w:val="22"/>
        </w:rPr>
        <w:t>a</w:t>
      </w:r>
      <w:r>
        <w:rPr>
          <w:i/>
          <w:color w:val="1F487C"/>
          <w:spacing w:val="-2"/>
          <w:sz w:val="22"/>
        </w:rPr>
        <w:t> </w:t>
      </w:r>
      <w:r>
        <w:rPr>
          <w:i/>
          <w:color w:val="1F487C"/>
          <w:sz w:val="22"/>
        </w:rPr>
        <w:t>place</w:t>
      </w:r>
      <w:r>
        <w:rPr>
          <w:i/>
          <w:color w:val="1F487C"/>
          <w:spacing w:val="-1"/>
          <w:sz w:val="22"/>
        </w:rPr>
        <w:t> </w:t>
      </w:r>
      <w:r>
        <w:rPr>
          <w:i/>
          <w:color w:val="1F487C"/>
          <w:sz w:val="22"/>
        </w:rPr>
        <w:t>where</w:t>
      </w:r>
      <w:r>
        <w:rPr>
          <w:i/>
          <w:color w:val="1F487C"/>
          <w:spacing w:val="-2"/>
          <w:sz w:val="22"/>
        </w:rPr>
        <w:t> </w:t>
      </w:r>
      <w:r>
        <w:rPr>
          <w:i/>
          <w:color w:val="1F487C"/>
          <w:sz w:val="22"/>
        </w:rPr>
        <w:t>all</w:t>
      </w:r>
      <w:r>
        <w:rPr>
          <w:i/>
          <w:color w:val="1F487C"/>
          <w:spacing w:val="-2"/>
          <w:sz w:val="22"/>
        </w:rPr>
        <w:t> </w:t>
      </w:r>
      <w:r>
        <w:rPr>
          <w:i/>
          <w:color w:val="1F487C"/>
          <w:sz w:val="22"/>
        </w:rPr>
        <w:t>students</w:t>
      </w:r>
      <w:r>
        <w:rPr>
          <w:i/>
          <w:color w:val="1F487C"/>
          <w:spacing w:val="-3"/>
          <w:sz w:val="22"/>
        </w:rPr>
        <w:t> </w:t>
      </w:r>
      <w:r>
        <w:rPr>
          <w:i/>
          <w:color w:val="1F487C"/>
          <w:sz w:val="22"/>
        </w:rPr>
        <w:t>feel</w:t>
      </w:r>
      <w:r>
        <w:rPr>
          <w:i/>
          <w:color w:val="1F487C"/>
          <w:spacing w:val="-2"/>
          <w:sz w:val="22"/>
        </w:rPr>
        <w:t> </w:t>
      </w:r>
      <w:r>
        <w:rPr>
          <w:i/>
          <w:color w:val="1F487C"/>
          <w:sz w:val="22"/>
        </w:rPr>
        <w:t>seen,</w:t>
      </w:r>
      <w:r>
        <w:rPr>
          <w:i/>
          <w:color w:val="1F487C"/>
          <w:spacing w:val="-3"/>
          <w:sz w:val="22"/>
        </w:rPr>
        <w:t> </w:t>
      </w:r>
      <w:r>
        <w:rPr>
          <w:i/>
          <w:color w:val="1F487C"/>
          <w:sz w:val="22"/>
        </w:rPr>
        <w:t>heard,</w:t>
      </w:r>
      <w:r>
        <w:rPr>
          <w:i/>
          <w:color w:val="1F487C"/>
          <w:spacing w:val="-3"/>
          <w:sz w:val="22"/>
        </w:rPr>
        <w:t> </w:t>
      </w:r>
      <w:r>
        <w:rPr>
          <w:i/>
          <w:color w:val="1F487C"/>
          <w:sz w:val="22"/>
        </w:rPr>
        <w:t>and</w:t>
      </w:r>
      <w:r>
        <w:rPr>
          <w:i/>
          <w:color w:val="1F487C"/>
          <w:spacing w:val="-2"/>
          <w:sz w:val="22"/>
        </w:rPr>
        <w:t> </w:t>
      </w:r>
      <w:r>
        <w:rPr>
          <w:i/>
          <w:color w:val="1F487C"/>
          <w:sz w:val="22"/>
        </w:rPr>
        <w:t>valued</w:t>
      </w:r>
      <w:r>
        <w:rPr>
          <w:i/>
          <w:color w:val="1F487C"/>
          <w:spacing w:val="-3"/>
          <w:sz w:val="22"/>
        </w:rPr>
        <w:t> </w:t>
      </w:r>
      <w:r>
        <w:rPr>
          <w:i/>
          <w:color w:val="1F487C"/>
          <w:sz w:val="22"/>
        </w:rPr>
        <w:t>for</w:t>
      </w:r>
      <w:r>
        <w:rPr>
          <w:i/>
          <w:color w:val="1F487C"/>
          <w:spacing w:val="-3"/>
          <w:sz w:val="22"/>
        </w:rPr>
        <w:t> </w:t>
      </w:r>
      <w:r>
        <w:rPr>
          <w:i/>
          <w:color w:val="1F487C"/>
          <w:sz w:val="22"/>
        </w:rPr>
        <w:t>who</w:t>
      </w:r>
      <w:r>
        <w:rPr>
          <w:i/>
          <w:color w:val="1F487C"/>
          <w:spacing w:val="-3"/>
          <w:sz w:val="22"/>
        </w:rPr>
        <w:t> </w:t>
      </w:r>
      <w:r>
        <w:rPr>
          <w:i/>
          <w:color w:val="1F487C"/>
          <w:sz w:val="22"/>
        </w:rPr>
        <w:t>they</w:t>
      </w:r>
      <w:r>
        <w:rPr>
          <w:i/>
          <w:color w:val="1F487C"/>
          <w:spacing w:val="-2"/>
          <w:sz w:val="22"/>
        </w:rPr>
        <w:t> </w:t>
      </w:r>
      <w:r>
        <w:rPr>
          <w:i/>
          <w:color w:val="1F487C"/>
          <w:sz w:val="22"/>
        </w:rPr>
        <w:t>are.</w:t>
      </w:r>
      <w:r>
        <w:rPr>
          <w:i/>
          <w:color w:val="1F487C"/>
          <w:spacing w:val="-1"/>
          <w:sz w:val="22"/>
        </w:rPr>
        <w:t> </w:t>
      </w:r>
      <w:r>
        <w:rPr>
          <w:i/>
          <w:color w:val="1F487C"/>
          <w:sz w:val="22"/>
        </w:rPr>
        <w:t>As</w:t>
      </w:r>
      <w:r>
        <w:rPr>
          <w:i/>
          <w:color w:val="1F487C"/>
          <w:spacing w:val="-3"/>
          <w:sz w:val="22"/>
        </w:rPr>
        <w:t> </w:t>
      </w:r>
      <w:r>
        <w:rPr>
          <w:i/>
          <w:color w:val="1F487C"/>
          <w:sz w:val="22"/>
        </w:rPr>
        <w:t>a</w:t>
      </w:r>
      <w:r>
        <w:rPr>
          <w:i/>
          <w:color w:val="1F487C"/>
          <w:spacing w:val="-2"/>
          <w:sz w:val="22"/>
        </w:rPr>
        <w:t> </w:t>
      </w:r>
      <w:r>
        <w:rPr>
          <w:i/>
          <w:color w:val="1F487C"/>
          <w:sz w:val="22"/>
        </w:rPr>
        <w:t>trans</w:t>
      </w:r>
      <w:r>
        <w:rPr>
          <w:i/>
          <w:color w:val="1F487C"/>
          <w:sz w:val="22"/>
        </w:rPr>
        <w:t> and black student, I want a school that celebrates diversity, promotes equity, and ensures that everyone belongs. Education should empower us, not alienate us."</w:t>
      </w:r>
    </w:p>
    <w:p>
      <w:pPr>
        <w:spacing w:before="240"/>
        <w:ind w:left="1161" w:right="1102" w:firstLine="0"/>
        <w:jc w:val="center"/>
        <w:rPr>
          <w:i/>
          <w:sz w:val="22"/>
        </w:rPr>
      </w:pPr>
      <w:r>
        <w:rPr>
          <w:i/>
          <w:color w:val="1F487C"/>
          <w:sz w:val="22"/>
        </w:rPr>
        <w:t>-</w:t>
      </w:r>
      <w:r>
        <w:rPr>
          <w:i/>
          <w:color w:val="1F487C"/>
          <w:spacing w:val="-9"/>
          <w:sz w:val="22"/>
        </w:rPr>
        <w:t> </w:t>
      </w:r>
      <w:r>
        <w:rPr>
          <w:i/>
          <w:color w:val="1F487C"/>
          <w:sz w:val="22"/>
        </w:rPr>
        <w:t>11th</w:t>
      </w:r>
      <w:r>
        <w:rPr>
          <w:i/>
          <w:color w:val="1F487C"/>
          <w:spacing w:val="-8"/>
          <w:sz w:val="22"/>
        </w:rPr>
        <w:t> </w:t>
      </w:r>
      <w:r>
        <w:rPr>
          <w:i/>
          <w:color w:val="1F487C"/>
          <w:sz w:val="22"/>
        </w:rPr>
        <w:t>Grade</w:t>
      </w:r>
      <w:r>
        <w:rPr>
          <w:i/>
          <w:color w:val="1F487C"/>
          <w:spacing w:val="-6"/>
          <w:sz w:val="22"/>
        </w:rPr>
        <w:t> </w:t>
      </w:r>
      <w:r>
        <w:rPr>
          <w:i/>
          <w:color w:val="1F487C"/>
          <w:sz w:val="22"/>
        </w:rPr>
        <w:t>Massachusetts</w:t>
      </w:r>
      <w:r>
        <w:rPr>
          <w:i/>
          <w:color w:val="1F487C"/>
          <w:spacing w:val="-9"/>
          <w:sz w:val="22"/>
        </w:rPr>
        <w:t> </w:t>
      </w:r>
      <w:r>
        <w:rPr>
          <w:i/>
          <w:color w:val="1F487C"/>
          <w:spacing w:val="-2"/>
          <w:sz w:val="22"/>
        </w:rPr>
        <w:t>Student</w:t>
      </w:r>
    </w:p>
    <w:p>
      <w:pPr>
        <w:pStyle w:val="BodyText"/>
        <w:spacing w:before="11"/>
        <w:rPr>
          <w:i/>
        </w:rPr>
      </w:pPr>
    </w:p>
    <w:p>
      <w:pPr>
        <w:pStyle w:val="BodyText"/>
        <w:spacing w:line="276" w:lineRule="auto"/>
        <w:ind w:left="464" w:right="403"/>
        <w:jc w:val="both"/>
      </w:pPr>
      <w:r>
        <w:rPr/>
        <w:t>The Commission and the Department of Elementary and Secondary Education (DESE) jointly sponsor the</w:t>
      </w:r>
      <w:r>
        <w:rPr>
          <w:spacing w:val="-10"/>
        </w:rPr>
        <w:t> </w:t>
      </w:r>
      <w:r>
        <w:rPr/>
        <w:t>Safe</w:t>
      </w:r>
      <w:r>
        <w:rPr>
          <w:spacing w:val="-10"/>
        </w:rPr>
        <w:t> </w:t>
      </w:r>
      <w:r>
        <w:rPr/>
        <w:t>Schools</w:t>
      </w:r>
      <w:r>
        <w:rPr>
          <w:spacing w:val="-11"/>
        </w:rPr>
        <w:t> </w:t>
      </w:r>
      <w:r>
        <w:rPr/>
        <w:t>Program</w:t>
      </w:r>
      <w:r>
        <w:rPr>
          <w:spacing w:val="-12"/>
        </w:rPr>
        <w:t> </w:t>
      </w:r>
      <w:r>
        <w:rPr/>
        <w:t>for</w:t>
      </w:r>
      <w:r>
        <w:rPr>
          <w:spacing w:val="-11"/>
        </w:rPr>
        <w:t> </w:t>
      </w:r>
      <w:r>
        <w:rPr/>
        <w:t>LGBTQ</w:t>
      </w:r>
      <w:r>
        <w:rPr>
          <w:spacing w:val="-10"/>
        </w:rPr>
        <w:t> </w:t>
      </w:r>
      <w:r>
        <w:rPr/>
        <w:t>Students,</w:t>
      </w:r>
      <w:r>
        <w:rPr>
          <w:spacing w:val="-11"/>
        </w:rPr>
        <w:t> </w:t>
      </w:r>
      <w:r>
        <w:rPr/>
        <w:t>a</w:t>
      </w:r>
      <w:r>
        <w:rPr>
          <w:spacing w:val="-10"/>
        </w:rPr>
        <w:t> </w:t>
      </w:r>
      <w:r>
        <w:rPr/>
        <w:t>program</w:t>
      </w:r>
      <w:r>
        <w:rPr>
          <w:spacing w:val="-12"/>
        </w:rPr>
        <w:t> </w:t>
      </w:r>
      <w:r>
        <w:rPr/>
        <w:t>which</w:t>
      </w:r>
      <w:r>
        <w:rPr>
          <w:spacing w:val="-10"/>
        </w:rPr>
        <w:t> </w:t>
      </w:r>
      <w:r>
        <w:rPr/>
        <w:t>offers</w:t>
      </w:r>
      <w:r>
        <w:rPr>
          <w:spacing w:val="-11"/>
        </w:rPr>
        <w:t> </w:t>
      </w:r>
      <w:r>
        <w:rPr/>
        <w:t>direct</w:t>
      </w:r>
      <w:r>
        <w:rPr>
          <w:spacing w:val="-11"/>
        </w:rPr>
        <w:t> </w:t>
      </w:r>
      <w:r>
        <w:rPr/>
        <w:t>support</w:t>
      </w:r>
      <w:r>
        <w:rPr>
          <w:spacing w:val="-11"/>
        </w:rPr>
        <w:t> </w:t>
      </w:r>
      <w:r>
        <w:rPr/>
        <w:t>to</w:t>
      </w:r>
      <w:r>
        <w:rPr>
          <w:spacing w:val="-11"/>
        </w:rPr>
        <w:t> </w:t>
      </w:r>
      <w:r>
        <w:rPr/>
        <w:t>districts</w:t>
      </w:r>
      <w:r>
        <w:rPr>
          <w:spacing w:val="-11"/>
        </w:rPr>
        <w:t> </w:t>
      </w:r>
      <w:r>
        <w:rPr/>
        <w:t>across Massachusetts on policy, training, technical assistance, and student leadership.</w:t>
      </w:r>
    </w:p>
    <w:p>
      <w:pPr>
        <w:spacing w:before="241"/>
        <w:ind w:left="464" w:right="0" w:firstLine="0"/>
        <w:jc w:val="both"/>
        <w:rPr>
          <w:sz w:val="28"/>
        </w:rPr>
      </w:pPr>
      <w:bookmarkStart w:name="FY 2025 Recommendations to the Governor " w:id="138"/>
      <w:bookmarkEnd w:id="138"/>
      <w:r>
        <w:rPr/>
      </w:r>
      <w:r>
        <w:rPr>
          <w:color w:val="365F91"/>
          <w:sz w:val="28"/>
        </w:rPr>
        <w:t>FY</w:t>
      </w:r>
      <w:r>
        <w:rPr>
          <w:color w:val="365F91"/>
          <w:spacing w:val="-10"/>
          <w:sz w:val="28"/>
        </w:rPr>
        <w:t> </w:t>
      </w:r>
      <w:r>
        <w:rPr>
          <w:color w:val="365F91"/>
          <w:sz w:val="28"/>
        </w:rPr>
        <w:t>2025</w:t>
      </w:r>
      <w:r>
        <w:rPr>
          <w:color w:val="365F91"/>
          <w:spacing w:val="-9"/>
          <w:sz w:val="28"/>
        </w:rPr>
        <w:t> </w:t>
      </w:r>
      <w:r>
        <w:rPr>
          <w:color w:val="365F91"/>
          <w:sz w:val="28"/>
        </w:rPr>
        <w:t>Recommendations</w:t>
      </w:r>
      <w:r>
        <w:rPr>
          <w:color w:val="365F91"/>
          <w:spacing w:val="-10"/>
          <w:sz w:val="28"/>
        </w:rPr>
        <w:t> </w:t>
      </w:r>
      <w:r>
        <w:rPr>
          <w:color w:val="365F91"/>
          <w:sz w:val="28"/>
        </w:rPr>
        <w:t>to</w:t>
      </w:r>
      <w:r>
        <w:rPr>
          <w:color w:val="365F91"/>
          <w:spacing w:val="-8"/>
          <w:sz w:val="28"/>
        </w:rPr>
        <w:t> </w:t>
      </w:r>
      <w:r>
        <w:rPr>
          <w:color w:val="365F91"/>
          <w:sz w:val="28"/>
        </w:rPr>
        <w:t>the</w:t>
      </w:r>
      <w:r>
        <w:rPr>
          <w:color w:val="365F91"/>
          <w:spacing w:val="-10"/>
          <w:sz w:val="28"/>
        </w:rPr>
        <w:t> </w:t>
      </w:r>
      <w:r>
        <w:rPr>
          <w:color w:val="365F91"/>
          <w:sz w:val="28"/>
        </w:rPr>
        <w:t>Governor</w:t>
      </w:r>
      <w:r>
        <w:rPr>
          <w:color w:val="365F91"/>
          <w:spacing w:val="-10"/>
          <w:sz w:val="28"/>
        </w:rPr>
        <w:t> </w:t>
      </w:r>
      <w:r>
        <w:rPr>
          <w:color w:val="365F91"/>
          <w:sz w:val="28"/>
        </w:rPr>
        <w:t>and</w:t>
      </w:r>
      <w:r>
        <w:rPr>
          <w:color w:val="365F91"/>
          <w:spacing w:val="-10"/>
          <w:sz w:val="28"/>
        </w:rPr>
        <w:t> </w:t>
      </w:r>
      <w:r>
        <w:rPr>
          <w:color w:val="365F91"/>
          <w:sz w:val="28"/>
        </w:rPr>
        <w:t>Legislature</w:t>
      </w:r>
      <w:r>
        <w:rPr>
          <w:color w:val="365F91"/>
          <w:spacing w:val="-10"/>
          <w:sz w:val="28"/>
        </w:rPr>
        <w:t> </w:t>
      </w:r>
      <w:r>
        <w:rPr>
          <w:color w:val="365F91"/>
          <w:sz w:val="28"/>
        </w:rPr>
        <w:t>on</w:t>
      </w:r>
      <w:r>
        <w:rPr>
          <w:color w:val="365F91"/>
          <w:spacing w:val="-10"/>
          <w:sz w:val="28"/>
        </w:rPr>
        <w:t> </w:t>
      </w:r>
      <w:r>
        <w:rPr>
          <w:color w:val="365F91"/>
          <w:spacing w:val="-2"/>
          <w:sz w:val="28"/>
        </w:rPr>
        <w:t>Education</w:t>
      </w:r>
    </w:p>
    <w:p>
      <w:pPr>
        <w:pStyle w:val="BodyText"/>
        <w:spacing w:before="9"/>
        <w:rPr>
          <w:sz w:val="3"/>
        </w:rPr>
      </w:pPr>
      <w:r>
        <w:rPr/>
        <mc:AlternateContent>
          <mc:Choice Requires="wps">
            <w:drawing>
              <wp:anchor distT="0" distB="0" distL="0" distR="0" allowOverlap="1" layoutInCell="1" locked="0" behindDoc="1" simplePos="0" relativeHeight="487602176">
                <wp:simplePos x="0" y="0"/>
                <wp:positionH relativeFrom="page">
                  <wp:posOffset>986789</wp:posOffset>
                </wp:positionH>
                <wp:positionV relativeFrom="paragraph">
                  <wp:posOffset>44546</wp:posOffset>
                </wp:positionV>
                <wp:extent cx="5799455" cy="6350"/>
                <wp:effectExtent l="0" t="0" r="0" b="0"/>
                <wp:wrapTopAndBottom/>
                <wp:docPr id="130" name="Graphic 130"/>
                <wp:cNvGraphicFramePr>
                  <a:graphicFrameLocks/>
                </wp:cNvGraphicFramePr>
                <a:graphic>
                  <a:graphicData uri="http://schemas.microsoft.com/office/word/2010/wordprocessingShape">
                    <wps:wsp>
                      <wps:cNvPr id="130" name="Graphic 130"/>
                      <wps:cNvSpPr/>
                      <wps:spPr>
                        <a:xfrm>
                          <a:off x="0" y="0"/>
                          <a:ext cx="5799455" cy="6350"/>
                        </a:xfrm>
                        <a:custGeom>
                          <a:avLst/>
                          <a:gdLst/>
                          <a:ahLst/>
                          <a:cxnLst/>
                          <a:rect l="l" t="t" r="r" b="b"/>
                          <a:pathLst>
                            <a:path w="5799455" h="6350">
                              <a:moveTo>
                                <a:pt x="5798832" y="0"/>
                              </a:moveTo>
                              <a:lnTo>
                                <a:pt x="0" y="0"/>
                              </a:lnTo>
                              <a:lnTo>
                                <a:pt x="0" y="6096"/>
                              </a:lnTo>
                              <a:lnTo>
                                <a:pt x="5798832" y="6096"/>
                              </a:lnTo>
                              <a:lnTo>
                                <a:pt x="5798832" y="0"/>
                              </a:lnTo>
                              <a:close/>
                            </a:path>
                          </a:pathLst>
                        </a:custGeom>
                        <a:solidFill>
                          <a:srgbClr val="4F81BC"/>
                        </a:solidFill>
                      </wps:spPr>
                      <wps:bodyPr wrap="square" lIns="0" tIns="0" rIns="0" bIns="0" rtlCol="0">
                        <a:prstTxWarp prst="textNoShape">
                          <a:avLst/>
                        </a:prstTxWarp>
                        <a:noAutofit/>
                      </wps:bodyPr>
                    </wps:wsp>
                  </a:graphicData>
                </a:graphic>
              </wp:anchor>
            </w:drawing>
          </mc:Choice>
          <mc:Fallback>
            <w:pict>
              <v:rect style="position:absolute;margin-left:77.699997pt;margin-top:3.507637pt;width:456.601pt;height:.48pt;mso-position-horizontal-relative:page;mso-position-vertical-relative:paragraph;z-index:-15714304;mso-wrap-distance-left:0;mso-wrap-distance-right:0" id="docshape111" filled="true" fillcolor="#4f81bc" stroked="false">
                <v:fill type="solid"/>
                <w10:wrap type="topAndBottom"/>
              </v:rect>
            </w:pict>
          </mc:Fallback>
        </mc:AlternateContent>
      </w:r>
    </w:p>
    <w:p>
      <w:pPr>
        <w:numPr>
          <w:ilvl w:val="0"/>
          <w:numId w:val="16"/>
        </w:numPr>
        <w:tabs>
          <w:tab w:pos="461" w:val="left" w:leader="none"/>
          <w:tab w:pos="463" w:val="left" w:leader="none"/>
        </w:tabs>
        <w:spacing w:line="276" w:lineRule="auto" w:before="241"/>
        <w:ind w:left="463" w:right="400" w:hanging="360"/>
        <w:jc w:val="both"/>
        <w:rPr>
          <w:b/>
          <w:sz w:val="22"/>
        </w:rPr>
      </w:pPr>
      <w:r>
        <w:rPr>
          <w:b/>
          <w:sz w:val="22"/>
        </w:rPr>
        <w:t>Support efforts for all schools in the Commonwealth to receive comprehensive training and professional development to increase the capacity of educators and administrators to support LGBTQ students, including BIPOC LGBTQ students.</w:t>
      </w:r>
    </w:p>
    <w:p>
      <w:pPr>
        <w:pStyle w:val="BodyText"/>
        <w:spacing w:line="276" w:lineRule="auto" w:before="240"/>
        <w:ind w:left="463" w:right="403"/>
        <w:jc w:val="both"/>
      </w:pPr>
      <w:r>
        <w:rPr/>
        <w:t>The Commission recommends that schools at all levels provide training for all staff and educators on empathy building, inclusive curriculum, skill development for support, student leadership and development,</w:t>
      </w:r>
      <w:r>
        <w:rPr>
          <w:spacing w:val="-3"/>
        </w:rPr>
        <w:t> </w:t>
      </w:r>
      <w:r>
        <w:rPr/>
        <w:t>and</w:t>
      </w:r>
      <w:r>
        <w:rPr>
          <w:spacing w:val="-3"/>
        </w:rPr>
        <w:t> </w:t>
      </w:r>
      <w:r>
        <w:rPr/>
        <w:t>policy</w:t>
      </w:r>
      <w:r>
        <w:rPr>
          <w:spacing w:val="-3"/>
        </w:rPr>
        <w:t> </w:t>
      </w:r>
      <w:r>
        <w:rPr/>
        <w:t>creation.</w:t>
      </w:r>
      <w:r>
        <w:rPr>
          <w:spacing w:val="-3"/>
        </w:rPr>
        <w:t> </w:t>
      </w:r>
      <w:r>
        <w:rPr/>
        <w:t>This</w:t>
      </w:r>
      <w:r>
        <w:rPr>
          <w:spacing w:val="-1"/>
        </w:rPr>
        <w:t> </w:t>
      </w:r>
      <w:r>
        <w:rPr/>
        <w:t>training</w:t>
      </w:r>
      <w:r>
        <w:rPr>
          <w:spacing w:val="-2"/>
        </w:rPr>
        <w:t> </w:t>
      </w:r>
      <w:r>
        <w:rPr/>
        <w:t>should</w:t>
      </w:r>
      <w:r>
        <w:rPr>
          <w:spacing w:val="-3"/>
        </w:rPr>
        <w:t> </w:t>
      </w:r>
      <w:r>
        <w:rPr/>
        <w:t>specifically</w:t>
      </w:r>
      <w:r>
        <w:rPr>
          <w:spacing w:val="-1"/>
        </w:rPr>
        <w:t> </w:t>
      </w:r>
      <w:r>
        <w:rPr/>
        <w:t>address</w:t>
      </w:r>
      <w:r>
        <w:rPr>
          <w:spacing w:val="-2"/>
        </w:rPr>
        <w:t> </w:t>
      </w:r>
      <w:r>
        <w:rPr/>
        <w:t>the</w:t>
      </w:r>
      <w:r>
        <w:rPr>
          <w:spacing w:val="-2"/>
        </w:rPr>
        <w:t> </w:t>
      </w:r>
      <w:r>
        <w:rPr/>
        <w:t>unique</w:t>
      </w:r>
      <w:r>
        <w:rPr>
          <w:spacing w:val="-2"/>
        </w:rPr>
        <w:t> </w:t>
      </w:r>
      <w:r>
        <w:rPr/>
        <w:t>needs</w:t>
      </w:r>
      <w:r>
        <w:rPr>
          <w:spacing w:val="-1"/>
        </w:rPr>
        <w:t> </w:t>
      </w:r>
      <w:r>
        <w:rPr/>
        <w:t>of</w:t>
      </w:r>
      <w:r>
        <w:rPr>
          <w:spacing w:val="-3"/>
        </w:rPr>
        <w:t> </w:t>
      </w:r>
      <w:r>
        <w:rPr/>
        <w:t>BIPOC LGBTQ students and include current information on the role of schools in preventing sexual violence against LGBTQ students.</w:t>
      </w:r>
    </w:p>
    <w:p>
      <w:pPr>
        <w:pStyle w:val="BodyText"/>
        <w:spacing w:line="276" w:lineRule="auto" w:before="240"/>
        <w:ind w:left="463" w:right="404"/>
        <w:jc w:val="both"/>
      </w:pPr>
      <w:r>
        <w:rPr/>
        <w:t>Moreover, the Commission advises that these trainings include interactive components on how to intervene in bullying incidents and educate youth on preventing bullying and discrimination, with special attention to supporting neurodivergent and disabled students. Additional recommendations on bullying are detailed in the public health section of this annual report.</w:t>
      </w:r>
    </w:p>
    <w:p>
      <w:pPr>
        <w:numPr>
          <w:ilvl w:val="0"/>
          <w:numId w:val="16"/>
        </w:numPr>
        <w:tabs>
          <w:tab w:pos="461" w:val="left" w:leader="none"/>
          <w:tab w:pos="463" w:val="left" w:leader="none"/>
        </w:tabs>
        <w:spacing w:line="276" w:lineRule="auto" w:before="240"/>
        <w:ind w:left="463" w:right="402" w:hanging="360"/>
        <w:jc w:val="both"/>
        <w:rPr>
          <w:b/>
          <w:sz w:val="22"/>
        </w:rPr>
      </w:pPr>
      <w:r>
        <w:rPr>
          <w:b/>
          <w:sz w:val="22"/>
        </w:rPr>
        <w:t>Provide</w:t>
      </w:r>
      <w:r>
        <w:rPr>
          <w:b/>
          <w:spacing w:val="-13"/>
          <w:sz w:val="22"/>
        </w:rPr>
        <w:t> </w:t>
      </w:r>
      <w:r>
        <w:rPr>
          <w:b/>
          <w:sz w:val="22"/>
        </w:rPr>
        <w:t>professional</w:t>
      </w:r>
      <w:r>
        <w:rPr>
          <w:b/>
          <w:spacing w:val="-12"/>
          <w:sz w:val="22"/>
        </w:rPr>
        <w:t> </w:t>
      </w:r>
      <w:r>
        <w:rPr>
          <w:b/>
          <w:sz w:val="22"/>
        </w:rPr>
        <w:t>development,</w:t>
      </w:r>
      <w:r>
        <w:rPr>
          <w:b/>
          <w:spacing w:val="-13"/>
          <w:sz w:val="22"/>
        </w:rPr>
        <w:t> </w:t>
      </w:r>
      <w:r>
        <w:rPr>
          <w:b/>
          <w:sz w:val="22"/>
        </w:rPr>
        <w:t>mentorship,</w:t>
      </w:r>
      <w:r>
        <w:rPr>
          <w:b/>
          <w:spacing w:val="-12"/>
          <w:sz w:val="22"/>
        </w:rPr>
        <w:t> </w:t>
      </w:r>
      <w:r>
        <w:rPr>
          <w:b/>
          <w:sz w:val="22"/>
        </w:rPr>
        <w:t>and</w:t>
      </w:r>
      <w:r>
        <w:rPr>
          <w:b/>
          <w:spacing w:val="-13"/>
          <w:sz w:val="22"/>
        </w:rPr>
        <w:t> </w:t>
      </w:r>
      <w:r>
        <w:rPr>
          <w:b/>
          <w:sz w:val="22"/>
        </w:rPr>
        <w:t>support</w:t>
      </w:r>
      <w:r>
        <w:rPr>
          <w:b/>
          <w:spacing w:val="-12"/>
          <w:sz w:val="22"/>
        </w:rPr>
        <w:t> </w:t>
      </w:r>
      <w:r>
        <w:rPr>
          <w:b/>
          <w:sz w:val="22"/>
        </w:rPr>
        <w:t>for</w:t>
      </w:r>
      <w:r>
        <w:rPr>
          <w:b/>
          <w:spacing w:val="-13"/>
          <w:sz w:val="22"/>
        </w:rPr>
        <w:t> </w:t>
      </w:r>
      <w:r>
        <w:rPr>
          <w:b/>
          <w:sz w:val="22"/>
        </w:rPr>
        <w:t>advisors</w:t>
      </w:r>
      <w:r>
        <w:rPr>
          <w:b/>
          <w:spacing w:val="-12"/>
          <w:sz w:val="22"/>
        </w:rPr>
        <w:t> </w:t>
      </w:r>
      <w:r>
        <w:rPr>
          <w:b/>
          <w:sz w:val="22"/>
        </w:rPr>
        <w:t>of</w:t>
      </w:r>
      <w:r>
        <w:rPr>
          <w:b/>
          <w:spacing w:val="-12"/>
          <w:sz w:val="22"/>
        </w:rPr>
        <w:t> </w:t>
      </w:r>
      <w:r>
        <w:rPr>
          <w:b/>
          <w:sz w:val="22"/>
        </w:rPr>
        <w:t>GSAs,</w:t>
      </w:r>
      <w:r>
        <w:rPr>
          <w:b/>
          <w:spacing w:val="-13"/>
          <w:sz w:val="22"/>
        </w:rPr>
        <w:t> </w:t>
      </w:r>
      <w:r>
        <w:rPr>
          <w:b/>
          <w:sz w:val="22"/>
        </w:rPr>
        <w:t>affinity</w:t>
      </w:r>
      <w:r>
        <w:rPr>
          <w:b/>
          <w:spacing w:val="-12"/>
          <w:sz w:val="22"/>
        </w:rPr>
        <w:t> </w:t>
      </w:r>
      <w:r>
        <w:rPr>
          <w:b/>
          <w:sz w:val="22"/>
        </w:rPr>
        <w:t>spaces</w:t>
      </w:r>
      <w:r>
        <w:rPr>
          <w:b/>
          <w:spacing w:val="-13"/>
          <w:sz w:val="22"/>
        </w:rPr>
        <w:t> </w:t>
      </w:r>
      <w:r>
        <w:rPr>
          <w:b/>
          <w:sz w:val="22"/>
        </w:rPr>
        <w:t>and similar student clubs, focusing on: creating consistent, affirming, resource-rich environments responsive</w:t>
      </w:r>
      <w:r>
        <w:rPr>
          <w:b/>
          <w:spacing w:val="-3"/>
          <w:sz w:val="22"/>
        </w:rPr>
        <w:t> </w:t>
      </w:r>
      <w:r>
        <w:rPr>
          <w:b/>
          <w:sz w:val="22"/>
        </w:rPr>
        <w:t>to</w:t>
      </w:r>
      <w:r>
        <w:rPr>
          <w:b/>
          <w:spacing w:val="-4"/>
          <w:sz w:val="22"/>
        </w:rPr>
        <w:t> </w:t>
      </w:r>
      <w:r>
        <w:rPr>
          <w:b/>
          <w:sz w:val="22"/>
        </w:rPr>
        <w:t>student</w:t>
      </w:r>
      <w:r>
        <w:rPr>
          <w:b/>
          <w:spacing w:val="-3"/>
          <w:sz w:val="22"/>
        </w:rPr>
        <w:t> </w:t>
      </w:r>
      <w:r>
        <w:rPr>
          <w:b/>
          <w:sz w:val="22"/>
        </w:rPr>
        <w:t>needs;</w:t>
      </w:r>
      <w:r>
        <w:rPr>
          <w:b/>
          <w:spacing w:val="-3"/>
          <w:sz w:val="22"/>
        </w:rPr>
        <w:t> </w:t>
      </w:r>
      <w:r>
        <w:rPr>
          <w:b/>
          <w:sz w:val="22"/>
        </w:rPr>
        <w:t>supporting</w:t>
      </w:r>
      <w:r>
        <w:rPr>
          <w:b/>
          <w:spacing w:val="-4"/>
          <w:sz w:val="22"/>
        </w:rPr>
        <w:t> </w:t>
      </w:r>
      <w:r>
        <w:rPr>
          <w:b/>
          <w:sz w:val="22"/>
        </w:rPr>
        <w:t>youth</w:t>
      </w:r>
      <w:r>
        <w:rPr>
          <w:b/>
          <w:spacing w:val="-4"/>
          <w:sz w:val="22"/>
        </w:rPr>
        <w:t> </w:t>
      </w:r>
      <w:r>
        <w:rPr>
          <w:b/>
          <w:sz w:val="22"/>
        </w:rPr>
        <w:t>leadership</w:t>
      </w:r>
      <w:r>
        <w:rPr>
          <w:b/>
          <w:spacing w:val="-3"/>
          <w:sz w:val="22"/>
        </w:rPr>
        <w:t> </w:t>
      </w:r>
      <w:r>
        <w:rPr>
          <w:b/>
          <w:sz w:val="22"/>
        </w:rPr>
        <w:t>and</w:t>
      </w:r>
      <w:r>
        <w:rPr>
          <w:b/>
          <w:spacing w:val="-3"/>
          <w:sz w:val="22"/>
        </w:rPr>
        <w:t> </w:t>
      </w:r>
      <w:r>
        <w:rPr>
          <w:b/>
          <w:sz w:val="22"/>
        </w:rPr>
        <w:t>advocacy;</w:t>
      </w:r>
      <w:r>
        <w:rPr>
          <w:b/>
          <w:spacing w:val="-2"/>
          <w:sz w:val="22"/>
        </w:rPr>
        <w:t> </w:t>
      </w:r>
      <w:r>
        <w:rPr>
          <w:b/>
          <w:sz w:val="22"/>
        </w:rPr>
        <w:t>and</w:t>
      </w:r>
      <w:r>
        <w:rPr>
          <w:b/>
          <w:spacing w:val="-4"/>
          <w:sz w:val="22"/>
        </w:rPr>
        <w:t> </w:t>
      </w:r>
      <w:r>
        <w:rPr>
          <w:b/>
          <w:sz w:val="22"/>
        </w:rPr>
        <w:t>providing</w:t>
      </w:r>
      <w:r>
        <w:rPr>
          <w:b/>
          <w:spacing w:val="-3"/>
          <w:sz w:val="22"/>
        </w:rPr>
        <w:t> </w:t>
      </w:r>
      <w:r>
        <w:rPr>
          <w:b/>
          <w:sz w:val="22"/>
        </w:rPr>
        <w:t>structure</w:t>
      </w:r>
      <w:r>
        <w:rPr>
          <w:b/>
          <w:spacing w:val="-3"/>
          <w:sz w:val="22"/>
        </w:rPr>
        <w:t> </w:t>
      </w:r>
      <w:r>
        <w:rPr>
          <w:b/>
          <w:sz w:val="22"/>
        </w:rPr>
        <w:t>to </w:t>
      </w:r>
      <w:r>
        <w:rPr>
          <w:b/>
          <w:spacing w:val="-2"/>
          <w:sz w:val="22"/>
        </w:rPr>
        <w:t>meetings.</w:t>
      </w:r>
    </w:p>
    <w:p>
      <w:pPr>
        <w:pStyle w:val="BodyText"/>
        <w:spacing w:line="276" w:lineRule="auto" w:before="240"/>
        <w:ind w:left="463" w:right="403"/>
        <w:jc w:val="both"/>
      </w:pPr>
      <w:r>
        <w:rPr/>
        <w:t>It is essential for advisors of all student clubs to possess knowledge and skills in best practices for supporting youth leadership, running effective meetings, and creating supportive environments for young</w:t>
      </w:r>
      <w:r>
        <w:rPr>
          <w:spacing w:val="-6"/>
        </w:rPr>
        <w:t> </w:t>
      </w:r>
      <w:r>
        <w:rPr/>
        <w:t>people.</w:t>
      </w:r>
      <w:r>
        <w:rPr>
          <w:spacing w:val="-6"/>
        </w:rPr>
        <w:t> </w:t>
      </w:r>
      <w:r>
        <w:rPr/>
        <w:t>However,</w:t>
      </w:r>
      <w:r>
        <w:rPr>
          <w:spacing w:val="-5"/>
        </w:rPr>
        <w:t> </w:t>
      </w:r>
      <w:r>
        <w:rPr/>
        <w:t>this</w:t>
      </w:r>
      <w:r>
        <w:rPr>
          <w:spacing w:val="-5"/>
        </w:rPr>
        <w:t> </w:t>
      </w:r>
      <w:r>
        <w:rPr/>
        <w:t>is</w:t>
      </w:r>
      <w:r>
        <w:rPr>
          <w:spacing w:val="-5"/>
        </w:rPr>
        <w:t> </w:t>
      </w:r>
      <w:r>
        <w:rPr/>
        <w:t>especially</w:t>
      </w:r>
      <w:r>
        <w:rPr>
          <w:spacing w:val="-5"/>
        </w:rPr>
        <w:t> </w:t>
      </w:r>
      <w:r>
        <w:rPr/>
        <w:t>important</w:t>
      </w:r>
      <w:r>
        <w:rPr>
          <w:spacing w:val="-6"/>
        </w:rPr>
        <w:t> </w:t>
      </w:r>
      <w:r>
        <w:rPr/>
        <w:t>for</w:t>
      </w:r>
      <w:r>
        <w:rPr>
          <w:spacing w:val="-5"/>
        </w:rPr>
        <w:t> </w:t>
      </w:r>
      <w:r>
        <w:rPr/>
        <w:t>advisors</w:t>
      </w:r>
      <w:r>
        <w:rPr>
          <w:spacing w:val="-5"/>
        </w:rPr>
        <w:t> </w:t>
      </w:r>
      <w:r>
        <w:rPr/>
        <w:t>of</w:t>
      </w:r>
      <w:r>
        <w:rPr>
          <w:spacing w:val="-6"/>
        </w:rPr>
        <w:t> </w:t>
      </w:r>
      <w:r>
        <w:rPr/>
        <w:t>identity-based</w:t>
      </w:r>
      <w:r>
        <w:rPr>
          <w:spacing w:val="-6"/>
        </w:rPr>
        <w:t> </w:t>
      </w:r>
      <w:r>
        <w:rPr/>
        <w:t>clubs,</w:t>
      </w:r>
      <w:r>
        <w:rPr>
          <w:spacing w:val="-5"/>
        </w:rPr>
        <w:t> </w:t>
      </w:r>
      <w:r>
        <w:rPr/>
        <w:t>such</w:t>
      </w:r>
      <w:r>
        <w:rPr>
          <w:spacing w:val="-4"/>
        </w:rPr>
        <w:t> </w:t>
      </w:r>
      <w:r>
        <w:rPr/>
        <w:t>as</w:t>
      </w:r>
      <w:r>
        <w:rPr>
          <w:spacing w:val="-5"/>
        </w:rPr>
        <w:t> </w:t>
      </w:r>
      <w:r>
        <w:rPr/>
        <w:t>GSAs,</w:t>
      </w:r>
    </w:p>
    <w:p>
      <w:pPr>
        <w:spacing w:after="0" w:line="276" w:lineRule="auto"/>
        <w:jc w:val="both"/>
        <w:sectPr>
          <w:headerReference w:type="default" r:id="rId101"/>
          <w:footerReference w:type="default" r:id="rId102"/>
          <w:pgSz w:w="12240" w:h="15840"/>
          <w:pgMar w:header="763" w:footer="1041" w:top="1140" w:bottom="1240" w:left="1120" w:right="1180"/>
          <w:pgNumType w:start="31"/>
        </w:sectPr>
      </w:pPr>
    </w:p>
    <w:p>
      <w:pPr>
        <w:pStyle w:val="BodyText"/>
        <w:spacing w:line="276" w:lineRule="auto" w:before="66"/>
        <w:ind w:left="463" w:right="404"/>
        <w:jc w:val="both"/>
      </w:pPr>
      <w:r>
        <w:rPr/>
        <w:t>who are responsible for creating co-curricular spaces that foster belonging and community for marginalized students. Therefore, the Commission recommends providing training, mentorship, and support for GSA advisors in these areas, as well as allocating dedicated planning time during their workday specifically for club-related activities.</w:t>
      </w:r>
    </w:p>
    <w:p>
      <w:pPr>
        <w:numPr>
          <w:ilvl w:val="0"/>
          <w:numId w:val="16"/>
        </w:numPr>
        <w:tabs>
          <w:tab w:pos="461" w:val="left" w:leader="none"/>
          <w:tab w:pos="463" w:val="left" w:leader="none"/>
        </w:tabs>
        <w:spacing w:line="276" w:lineRule="auto" w:before="239"/>
        <w:ind w:left="463" w:right="400" w:hanging="360"/>
        <w:jc w:val="both"/>
        <w:rPr>
          <w:b/>
          <w:sz w:val="22"/>
        </w:rPr>
      </w:pPr>
      <w:r>
        <w:rPr>
          <w:b/>
          <w:sz w:val="22"/>
        </w:rPr>
        <w:t>Encourage administrators</w:t>
      </w:r>
      <w:r>
        <w:rPr>
          <w:b/>
          <w:spacing w:val="-2"/>
          <w:sz w:val="22"/>
        </w:rPr>
        <w:t> </w:t>
      </w:r>
      <w:r>
        <w:rPr>
          <w:b/>
          <w:sz w:val="22"/>
        </w:rPr>
        <w:t>and</w:t>
      </w:r>
      <w:r>
        <w:rPr>
          <w:b/>
          <w:spacing w:val="-1"/>
          <w:sz w:val="22"/>
        </w:rPr>
        <w:t> </w:t>
      </w:r>
      <w:r>
        <w:rPr>
          <w:b/>
          <w:sz w:val="22"/>
        </w:rPr>
        <w:t>educators to</w:t>
      </w:r>
      <w:r>
        <w:rPr>
          <w:b/>
          <w:spacing w:val="-1"/>
          <w:sz w:val="22"/>
        </w:rPr>
        <w:t> </w:t>
      </w:r>
      <w:r>
        <w:rPr>
          <w:b/>
          <w:sz w:val="22"/>
        </w:rPr>
        <w:t>actively</w:t>
      </w:r>
      <w:r>
        <w:rPr>
          <w:b/>
          <w:spacing w:val="-1"/>
          <w:sz w:val="22"/>
        </w:rPr>
        <w:t> </w:t>
      </w:r>
      <w:r>
        <w:rPr>
          <w:b/>
          <w:sz w:val="22"/>
        </w:rPr>
        <w:t>express their</w:t>
      </w:r>
      <w:r>
        <w:rPr>
          <w:b/>
          <w:spacing w:val="-2"/>
          <w:sz w:val="22"/>
        </w:rPr>
        <w:t> </w:t>
      </w:r>
      <w:r>
        <w:rPr>
          <w:b/>
          <w:sz w:val="22"/>
        </w:rPr>
        <w:t>support</w:t>
      </w:r>
      <w:r>
        <w:rPr>
          <w:b/>
          <w:spacing w:val="-1"/>
          <w:sz w:val="22"/>
        </w:rPr>
        <w:t> </w:t>
      </w:r>
      <w:r>
        <w:rPr>
          <w:b/>
          <w:sz w:val="22"/>
        </w:rPr>
        <w:t>for materials on</w:t>
      </w:r>
      <w:r>
        <w:rPr>
          <w:b/>
          <w:spacing w:val="-1"/>
          <w:sz w:val="22"/>
        </w:rPr>
        <w:t> </w:t>
      </w:r>
      <w:r>
        <w:rPr>
          <w:b/>
          <w:sz w:val="22"/>
        </w:rPr>
        <w:t>race and LGBTQ topics and establish statewide guidelines and best practices for addressing challenged curricula and conducting book reviews.</w:t>
      </w:r>
    </w:p>
    <w:p>
      <w:pPr>
        <w:pStyle w:val="BodyText"/>
        <w:spacing w:line="276" w:lineRule="auto" w:before="240"/>
        <w:ind w:left="463" w:right="402"/>
        <w:jc w:val="both"/>
      </w:pPr>
      <w:r>
        <w:rPr/>
        <w:t>As the trend of attacking school-based content related to race and LGBTQ+ topics continues throughout the Commonwealth, a concerted effort should be made to develop strategies and best practices for addressing challenges related to curricula and books, and to provide support and resources to administrators, educators, and librarians. The Commission recommends that administrators proactively voice their support of LGBTQ materials, in line with the Principles for Ensuring</w:t>
      </w:r>
      <w:r>
        <w:rPr>
          <w:spacing w:val="-1"/>
        </w:rPr>
        <w:t> </w:t>
      </w:r>
      <w:r>
        <w:rPr/>
        <w:t>Safe</w:t>
      </w:r>
      <w:r>
        <w:rPr>
          <w:spacing w:val="-2"/>
        </w:rPr>
        <w:t> </w:t>
      </w:r>
      <w:r>
        <w:rPr/>
        <w:t>and</w:t>
      </w:r>
      <w:r>
        <w:rPr>
          <w:spacing w:val="-2"/>
        </w:rPr>
        <w:t> </w:t>
      </w:r>
      <w:r>
        <w:rPr/>
        <w:t>Supportive</w:t>
      </w:r>
      <w:r>
        <w:rPr>
          <w:spacing w:val="-3"/>
        </w:rPr>
        <w:t> </w:t>
      </w:r>
      <w:r>
        <w:rPr/>
        <w:t>Learning</w:t>
      </w:r>
      <w:r>
        <w:rPr>
          <w:spacing w:val="-2"/>
        </w:rPr>
        <w:t> </w:t>
      </w:r>
      <w:r>
        <w:rPr/>
        <w:t>Environments</w:t>
      </w:r>
      <w:r>
        <w:rPr>
          <w:spacing w:val="-1"/>
        </w:rPr>
        <w:t> </w:t>
      </w:r>
      <w:r>
        <w:rPr/>
        <w:t>for</w:t>
      </w:r>
      <w:r>
        <w:rPr>
          <w:spacing w:val="-3"/>
        </w:rPr>
        <w:t> </w:t>
      </w:r>
      <w:r>
        <w:rPr/>
        <w:t>LGBTQ</w:t>
      </w:r>
      <w:r>
        <w:rPr>
          <w:spacing w:val="-2"/>
        </w:rPr>
        <w:t> </w:t>
      </w:r>
      <w:r>
        <w:rPr/>
        <w:t>Students</w:t>
      </w:r>
      <w:hyperlink w:history="true" w:anchor="_bookmark40">
        <w:r>
          <w:rPr>
            <w:vertAlign w:val="superscript"/>
          </w:rPr>
          <w:t>1</w:t>
        </w:r>
      </w:hyperlink>
      <w:r>
        <w:rPr>
          <w:vertAlign w:val="baseline"/>
        </w:rPr>
        <w:t>.</w:t>
      </w:r>
      <w:r>
        <w:rPr>
          <w:spacing w:val="-3"/>
          <w:vertAlign w:val="baseline"/>
        </w:rPr>
        <w:t> </w:t>
      </w:r>
      <w:r>
        <w:rPr>
          <w:vertAlign w:val="baseline"/>
        </w:rPr>
        <w:t>Furthermore,</w:t>
      </w:r>
      <w:r>
        <w:rPr>
          <w:spacing w:val="-3"/>
          <w:vertAlign w:val="baseline"/>
        </w:rPr>
        <w:t> </w:t>
      </w:r>
      <w:r>
        <w:rPr>
          <w:vertAlign w:val="baseline"/>
        </w:rPr>
        <w:t>as</w:t>
      </w:r>
      <w:r>
        <w:rPr>
          <w:spacing w:val="-1"/>
          <w:vertAlign w:val="baseline"/>
        </w:rPr>
        <w:t> </w:t>
      </w:r>
      <w:r>
        <w:rPr>
          <w:vertAlign w:val="baseline"/>
        </w:rPr>
        <w:t>discussed throughout this annual report, schools and libraries are seeing an unprecedented increase in book challenges, particularly against LGBTQ and BIPOC affirming books and materials. The Commission recommends</w:t>
      </w:r>
      <w:r>
        <w:rPr>
          <w:spacing w:val="-10"/>
          <w:vertAlign w:val="baseline"/>
        </w:rPr>
        <w:t> </w:t>
      </w:r>
      <w:r>
        <w:rPr>
          <w:vertAlign w:val="baseline"/>
        </w:rPr>
        <w:t>that</w:t>
      </w:r>
      <w:r>
        <w:rPr>
          <w:spacing w:val="-10"/>
          <w:vertAlign w:val="baseline"/>
        </w:rPr>
        <w:t> </w:t>
      </w:r>
      <w:r>
        <w:rPr>
          <w:vertAlign w:val="baseline"/>
        </w:rPr>
        <w:t>the</w:t>
      </w:r>
      <w:r>
        <w:rPr>
          <w:spacing w:val="-10"/>
          <w:vertAlign w:val="baseline"/>
        </w:rPr>
        <w:t> </w:t>
      </w:r>
      <w:r>
        <w:rPr>
          <w:vertAlign w:val="baseline"/>
        </w:rPr>
        <w:t>state</w:t>
      </w:r>
      <w:r>
        <w:rPr>
          <w:spacing w:val="-10"/>
          <w:vertAlign w:val="baseline"/>
        </w:rPr>
        <w:t> </w:t>
      </w:r>
      <w:r>
        <w:rPr>
          <w:vertAlign w:val="baseline"/>
        </w:rPr>
        <w:t>determine</w:t>
      </w:r>
      <w:r>
        <w:rPr>
          <w:spacing w:val="-11"/>
          <w:vertAlign w:val="baseline"/>
        </w:rPr>
        <w:t> </w:t>
      </w:r>
      <w:r>
        <w:rPr>
          <w:vertAlign w:val="baseline"/>
        </w:rPr>
        <w:t>thoughtful</w:t>
      </w:r>
      <w:r>
        <w:rPr>
          <w:spacing w:val="-10"/>
          <w:vertAlign w:val="baseline"/>
        </w:rPr>
        <w:t> </w:t>
      </w:r>
      <w:r>
        <w:rPr>
          <w:vertAlign w:val="baseline"/>
        </w:rPr>
        <w:t>processes</w:t>
      </w:r>
      <w:r>
        <w:rPr>
          <w:spacing w:val="-11"/>
          <w:vertAlign w:val="baseline"/>
        </w:rPr>
        <w:t> </w:t>
      </w:r>
      <w:r>
        <w:rPr>
          <w:vertAlign w:val="baseline"/>
        </w:rPr>
        <w:t>for</w:t>
      </w:r>
      <w:r>
        <w:rPr>
          <w:spacing w:val="-11"/>
          <w:vertAlign w:val="baseline"/>
        </w:rPr>
        <w:t> </w:t>
      </w:r>
      <w:r>
        <w:rPr>
          <w:vertAlign w:val="baseline"/>
        </w:rPr>
        <w:t>reviewing</w:t>
      </w:r>
      <w:r>
        <w:rPr>
          <w:spacing w:val="-11"/>
          <w:vertAlign w:val="baseline"/>
        </w:rPr>
        <w:t> </w:t>
      </w:r>
      <w:r>
        <w:rPr>
          <w:vertAlign w:val="baseline"/>
        </w:rPr>
        <w:t>any</w:t>
      </w:r>
      <w:r>
        <w:rPr>
          <w:spacing w:val="-11"/>
          <w:vertAlign w:val="baseline"/>
        </w:rPr>
        <w:t> </w:t>
      </w:r>
      <w:r>
        <w:rPr>
          <w:vertAlign w:val="baseline"/>
        </w:rPr>
        <w:t>books</w:t>
      </w:r>
      <w:r>
        <w:rPr>
          <w:spacing w:val="-11"/>
          <w:vertAlign w:val="baseline"/>
        </w:rPr>
        <w:t> </w:t>
      </w:r>
      <w:r>
        <w:rPr>
          <w:vertAlign w:val="baseline"/>
        </w:rPr>
        <w:t>and</w:t>
      </w:r>
      <w:r>
        <w:rPr>
          <w:spacing w:val="-10"/>
          <w:vertAlign w:val="baseline"/>
        </w:rPr>
        <w:t> </w:t>
      </w:r>
      <w:r>
        <w:rPr>
          <w:vertAlign w:val="baseline"/>
        </w:rPr>
        <w:t>curricula</w:t>
      </w:r>
      <w:r>
        <w:rPr>
          <w:spacing w:val="-10"/>
          <w:vertAlign w:val="baseline"/>
        </w:rPr>
        <w:t> </w:t>
      </w:r>
      <w:r>
        <w:rPr>
          <w:vertAlign w:val="baseline"/>
        </w:rPr>
        <w:t>that are challenged.</w:t>
      </w:r>
    </w:p>
    <w:p>
      <w:pPr>
        <w:numPr>
          <w:ilvl w:val="0"/>
          <w:numId w:val="16"/>
        </w:numPr>
        <w:tabs>
          <w:tab w:pos="462" w:val="left" w:leader="none"/>
          <w:tab w:pos="464" w:val="left" w:leader="none"/>
        </w:tabs>
        <w:spacing w:line="276" w:lineRule="auto" w:before="241"/>
        <w:ind w:left="464" w:right="402" w:hanging="360"/>
        <w:jc w:val="both"/>
        <w:rPr>
          <w:b/>
          <w:sz w:val="22"/>
        </w:rPr>
      </w:pPr>
      <w:r>
        <w:rPr>
          <w:b/>
          <w:sz w:val="22"/>
        </w:rPr>
        <w:t>Ensure that all subject areas are reflective of LGBTQ &amp; BIPOC individuals, historical events, and </w:t>
      </w:r>
      <w:r>
        <w:rPr>
          <w:b/>
          <w:spacing w:val="-2"/>
          <w:sz w:val="22"/>
        </w:rPr>
        <w:t>concepts.</w:t>
      </w:r>
    </w:p>
    <w:p>
      <w:pPr>
        <w:pStyle w:val="BodyText"/>
        <w:spacing w:line="276" w:lineRule="auto" w:before="240"/>
        <w:ind w:left="464" w:right="401"/>
        <w:jc w:val="both"/>
      </w:pPr>
      <w:r>
        <w:rPr/>
        <w:t>The Commission recommends that policymakers and educators broaden their focus on gender, sexuality, and race inclusive curricula and materials by ensuring that all state subject frameworks include LGBTQ and BIPOC individuals, historical events, and social concepts. In particular, the Commission highlights the necessity of updating arts, and music curricula frameworks to include LGBTQ and BIPOC contributions. The Commission supports An Act Relative to LGBTQ+ Inclusive Curriculum (S.259/H.498), though highlights the limitations of the bill as its current filed draft only targets inclusivity in history curriculum. Additionally, the Commission advises that schools - preK-12 and</w:t>
      </w:r>
      <w:r>
        <w:rPr>
          <w:spacing w:val="-2"/>
        </w:rPr>
        <w:t> </w:t>
      </w:r>
      <w:r>
        <w:rPr/>
        <w:t>colleges</w:t>
      </w:r>
      <w:r>
        <w:rPr>
          <w:spacing w:val="-1"/>
        </w:rPr>
        <w:t> </w:t>
      </w:r>
      <w:r>
        <w:rPr/>
        <w:t>-</w:t>
      </w:r>
      <w:r>
        <w:rPr>
          <w:spacing w:val="-2"/>
        </w:rPr>
        <w:t> </w:t>
      </w:r>
      <w:r>
        <w:rPr/>
        <w:t>should</w:t>
      </w:r>
      <w:r>
        <w:rPr>
          <w:spacing w:val="-2"/>
        </w:rPr>
        <w:t> </w:t>
      </w:r>
      <w:r>
        <w:rPr/>
        <w:t>provide</w:t>
      </w:r>
      <w:r>
        <w:rPr>
          <w:spacing w:val="-2"/>
        </w:rPr>
        <w:t> </w:t>
      </w:r>
      <w:r>
        <w:rPr/>
        <w:t>resources and</w:t>
      </w:r>
      <w:r>
        <w:rPr>
          <w:spacing w:val="-2"/>
        </w:rPr>
        <w:t> </w:t>
      </w:r>
      <w:r>
        <w:rPr/>
        <w:t>professional</w:t>
      </w:r>
      <w:r>
        <w:rPr>
          <w:spacing w:val="-2"/>
        </w:rPr>
        <w:t> </w:t>
      </w:r>
      <w:r>
        <w:rPr/>
        <w:t>development</w:t>
      </w:r>
      <w:r>
        <w:rPr>
          <w:spacing w:val="-2"/>
        </w:rPr>
        <w:t> </w:t>
      </w:r>
      <w:r>
        <w:rPr/>
        <w:t>opportunities</w:t>
      </w:r>
      <w:r>
        <w:rPr>
          <w:spacing w:val="-1"/>
        </w:rPr>
        <w:t> </w:t>
      </w:r>
      <w:r>
        <w:rPr/>
        <w:t>for</w:t>
      </w:r>
      <w:r>
        <w:rPr>
          <w:spacing w:val="-1"/>
        </w:rPr>
        <w:t> </w:t>
      </w:r>
      <w:r>
        <w:rPr/>
        <w:t>educators</w:t>
      </w:r>
      <w:r>
        <w:rPr>
          <w:spacing w:val="-1"/>
        </w:rPr>
        <w:t> </w:t>
      </w:r>
      <w:r>
        <w:rPr/>
        <w:t>to support instruction in these areas. This includes integrating LGBTQ topics and narratives across all subjects and grade levels to foster a more inclusive and supportive educational environment for all </w:t>
      </w:r>
      <w:r>
        <w:rPr>
          <w:spacing w:val="-2"/>
        </w:rPr>
        <w:t>students.</w:t>
      </w:r>
    </w:p>
    <w:p>
      <w:pPr>
        <w:numPr>
          <w:ilvl w:val="0"/>
          <w:numId w:val="16"/>
        </w:numPr>
        <w:tabs>
          <w:tab w:pos="462" w:val="left" w:leader="none"/>
          <w:tab w:pos="464" w:val="left" w:leader="none"/>
        </w:tabs>
        <w:spacing w:line="276" w:lineRule="auto" w:before="239"/>
        <w:ind w:left="464" w:right="403" w:hanging="360"/>
        <w:jc w:val="both"/>
        <w:rPr>
          <w:b/>
          <w:sz w:val="22"/>
        </w:rPr>
      </w:pPr>
      <w:r>
        <w:rPr>
          <w:b/>
          <w:sz w:val="22"/>
        </w:rPr>
        <w:t>Invest in resources for family liaisons and provide professional development opportunities for all school staff related to family engagement and acceptance.</w:t>
      </w:r>
    </w:p>
    <w:p>
      <w:pPr>
        <w:pStyle w:val="BodyText"/>
        <w:spacing w:line="276" w:lineRule="auto" w:before="239"/>
        <w:ind w:left="464" w:right="402"/>
        <w:jc w:val="both"/>
      </w:pPr>
      <w:r>
        <w:rPr/>
        <w:t>Family engagement and LGBTQ acceptance are crucial for a positive school climate, leading to improved</w:t>
      </w:r>
      <w:r>
        <w:rPr>
          <w:spacing w:val="-3"/>
        </w:rPr>
        <w:t> </w:t>
      </w:r>
      <w:r>
        <w:rPr/>
        <w:t>student</w:t>
      </w:r>
      <w:r>
        <w:rPr>
          <w:spacing w:val="-2"/>
        </w:rPr>
        <w:t> </w:t>
      </w:r>
      <w:r>
        <w:rPr/>
        <w:t>outcomes</w:t>
      </w:r>
      <w:r>
        <w:rPr>
          <w:spacing w:val="-2"/>
        </w:rPr>
        <w:t> </w:t>
      </w:r>
      <w:r>
        <w:rPr/>
        <w:t>such</w:t>
      </w:r>
      <w:r>
        <w:rPr>
          <w:spacing w:val="-3"/>
        </w:rPr>
        <w:t> </w:t>
      </w:r>
      <w:r>
        <w:rPr/>
        <w:t>as</w:t>
      </w:r>
      <w:r>
        <w:rPr>
          <w:spacing w:val="-2"/>
        </w:rPr>
        <w:t> </w:t>
      </w:r>
      <w:r>
        <w:rPr/>
        <w:t>higher</w:t>
      </w:r>
      <w:r>
        <w:rPr>
          <w:spacing w:val="-3"/>
        </w:rPr>
        <w:t> </w:t>
      </w:r>
      <w:r>
        <w:rPr/>
        <w:t>academic</w:t>
      </w:r>
      <w:r>
        <w:rPr>
          <w:spacing w:val="-2"/>
        </w:rPr>
        <w:t> </w:t>
      </w:r>
      <w:r>
        <w:rPr/>
        <w:t>achievement,</w:t>
      </w:r>
      <w:r>
        <w:rPr>
          <w:spacing w:val="-3"/>
        </w:rPr>
        <w:t> </w:t>
      </w:r>
      <w:r>
        <w:rPr/>
        <w:t>better</w:t>
      </w:r>
      <w:r>
        <w:rPr>
          <w:spacing w:val="-3"/>
        </w:rPr>
        <w:t> </w:t>
      </w:r>
      <w:r>
        <w:rPr/>
        <w:t>attendance,</w:t>
      </w:r>
      <w:r>
        <w:rPr>
          <w:spacing w:val="-3"/>
        </w:rPr>
        <w:t> </w:t>
      </w:r>
      <w:r>
        <w:rPr/>
        <w:t>and</w:t>
      </w:r>
      <w:r>
        <w:rPr>
          <w:spacing w:val="-3"/>
        </w:rPr>
        <w:t> </w:t>
      </w:r>
      <w:r>
        <w:rPr/>
        <w:t>enhanced social-emotional well-being. Schools that actively promote LGBTQ acceptance create safer and more inclusive environments, reducing bullying and discrimination. Specialized training should be provided on best practices in family engagement, particularly for diverse families, including those with LGBTQ members.</w:t>
      </w:r>
      <w:r>
        <w:rPr>
          <w:spacing w:val="21"/>
        </w:rPr>
        <w:t> </w:t>
      </w:r>
      <w:r>
        <w:rPr/>
        <w:t>Additionally,</w:t>
      </w:r>
      <w:r>
        <w:rPr>
          <w:spacing w:val="22"/>
        </w:rPr>
        <w:t> </w:t>
      </w:r>
      <w:r>
        <w:rPr/>
        <w:t>mandatory</w:t>
      </w:r>
      <w:r>
        <w:rPr>
          <w:spacing w:val="22"/>
        </w:rPr>
        <w:t> </w:t>
      </w:r>
      <w:r>
        <w:rPr/>
        <w:t>professional</w:t>
      </w:r>
      <w:r>
        <w:rPr>
          <w:spacing w:val="22"/>
        </w:rPr>
        <w:t> </w:t>
      </w:r>
      <w:r>
        <w:rPr/>
        <w:t>development</w:t>
      </w:r>
      <w:r>
        <w:rPr>
          <w:spacing w:val="21"/>
        </w:rPr>
        <w:t> </w:t>
      </w:r>
      <w:r>
        <w:rPr/>
        <w:t>for</w:t>
      </w:r>
      <w:r>
        <w:rPr>
          <w:spacing w:val="23"/>
        </w:rPr>
        <w:t> </w:t>
      </w:r>
      <w:r>
        <w:rPr/>
        <w:t>school</w:t>
      </w:r>
      <w:r>
        <w:rPr>
          <w:spacing w:val="22"/>
        </w:rPr>
        <w:t> </w:t>
      </w:r>
      <w:r>
        <w:rPr/>
        <w:t>staff</w:t>
      </w:r>
      <w:r>
        <w:rPr>
          <w:spacing w:val="23"/>
        </w:rPr>
        <w:t> </w:t>
      </w:r>
      <w:r>
        <w:rPr/>
        <w:t>should</w:t>
      </w:r>
      <w:r>
        <w:rPr>
          <w:spacing w:val="21"/>
        </w:rPr>
        <w:t> </w:t>
      </w:r>
      <w:r>
        <w:rPr/>
        <w:t>cover</w:t>
      </w:r>
      <w:r>
        <w:rPr>
          <w:spacing w:val="23"/>
        </w:rPr>
        <w:t> </w:t>
      </w:r>
      <w:r>
        <w:rPr/>
        <w:t>cultural</w:t>
      </w:r>
    </w:p>
    <w:p>
      <w:pPr>
        <w:spacing w:after="0" w:line="276" w:lineRule="auto"/>
        <w:jc w:val="both"/>
        <w:sectPr>
          <w:pgSz w:w="12240" w:h="15840"/>
          <w:pgMar w:header="763" w:footer="1041" w:top="1140" w:bottom="1240" w:left="1120" w:right="1180"/>
        </w:sectPr>
      </w:pPr>
    </w:p>
    <w:p>
      <w:pPr>
        <w:pStyle w:val="BodyText"/>
        <w:spacing w:line="276" w:lineRule="auto" w:before="66"/>
        <w:ind w:left="463" w:right="403"/>
        <w:jc w:val="both"/>
      </w:pPr>
      <w:r>
        <w:rPr/>
        <w:t>competence,</w:t>
      </w:r>
      <w:r>
        <w:rPr>
          <w:spacing w:val="-13"/>
        </w:rPr>
        <w:t> </w:t>
      </w:r>
      <w:r>
        <w:rPr/>
        <w:t>family</w:t>
      </w:r>
      <w:r>
        <w:rPr>
          <w:spacing w:val="-12"/>
        </w:rPr>
        <w:t> </w:t>
      </w:r>
      <w:r>
        <w:rPr/>
        <w:t>engagement</w:t>
      </w:r>
      <w:r>
        <w:rPr>
          <w:spacing w:val="-13"/>
        </w:rPr>
        <w:t> </w:t>
      </w:r>
      <w:r>
        <w:rPr/>
        <w:t>strategies,</w:t>
      </w:r>
      <w:r>
        <w:rPr>
          <w:spacing w:val="-12"/>
        </w:rPr>
        <w:t> </w:t>
      </w:r>
      <w:r>
        <w:rPr/>
        <w:t>and</w:t>
      </w:r>
      <w:r>
        <w:rPr>
          <w:spacing w:val="-13"/>
        </w:rPr>
        <w:t> </w:t>
      </w:r>
      <w:r>
        <w:rPr/>
        <w:t>LGBTQ</w:t>
      </w:r>
      <w:r>
        <w:rPr>
          <w:spacing w:val="-12"/>
        </w:rPr>
        <w:t> </w:t>
      </w:r>
      <w:r>
        <w:rPr/>
        <w:t>acceptance.</w:t>
      </w:r>
      <w:r>
        <w:rPr>
          <w:spacing w:val="-13"/>
        </w:rPr>
        <w:t> </w:t>
      </w:r>
      <w:r>
        <w:rPr/>
        <w:t>Schools</w:t>
      </w:r>
      <w:r>
        <w:rPr>
          <w:spacing w:val="-12"/>
        </w:rPr>
        <w:t> </w:t>
      </w:r>
      <w:r>
        <w:rPr/>
        <w:t>should</w:t>
      </w:r>
      <w:r>
        <w:rPr>
          <w:spacing w:val="-12"/>
        </w:rPr>
        <w:t> </w:t>
      </w:r>
      <w:r>
        <w:rPr/>
        <w:t>review</w:t>
      </w:r>
      <w:r>
        <w:rPr>
          <w:spacing w:val="-13"/>
        </w:rPr>
        <w:t> </w:t>
      </w:r>
      <w:r>
        <w:rPr/>
        <w:t>and</w:t>
      </w:r>
      <w:r>
        <w:rPr>
          <w:spacing w:val="-12"/>
        </w:rPr>
        <w:t> </w:t>
      </w:r>
      <w:r>
        <w:rPr/>
        <w:t>update their policies to explicitly support family engagement and LGBTQ inclusion, provide guidance on effective implementation, and integrate LGBTQ-inclusive content into the curriculum to emphasize diversity and acceptance in all subjects.</w:t>
      </w:r>
    </w:p>
    <w:p>
      <w:pPr>
        <w:numPr>
          <w:ilvl w:val="0"/>
          <w:numId w:val="16"/>
        </w:numPr>
        <w:tabs>
          <w:tab w:pos="461" w:val="left" w:leader="none"/>
          <w:tab w:pos="463" w:val="left" w:leader="none"/>
        </w:tabs>
        <w:spacing w:line="276" w:lineRule="auto" w:before="239"/>
        <w:ind w:left="463" w:right="402" w:hanging="360"/>
        <w:jc w:val="both"/>
        <w:rPr>
          <w:b/>
          <w:sz w:val="22"/>
        </w:rPr>
      </w:pPr>
      <w:r>
        <w:rPr>
          <w:b/>
          <w:sz w:val="22"/>
        </w:rPr>
        <w:t>Collect data to better understand the experiences of LGBTQ BIPOC students, who are disproportionately represented and involved in multiple systems, and often lack comprehensive, aligned support.</w:t>
      </w:r>
    </w:p>
    <w:p>
      <w:pPr>
        <w:pStyle w:val="BodyText"/>
        <w:spacing w:line="276" w:lineRule="auto" w:before="240"/>
        <w:ind w:left="463" w:right="399"/>
        <w:jc w:val="both"/>
      </w:pPr>
      <w:r>
        <w:rPr/>
        <w:t>Education agencies should prioritize collecting comprehensive data to better understand the unique experiences of LGBTQ BIPOC students, who are disproportionately represented and often involved in multiple systems. These students frequently lack comprehensive and aligned support, which can impact their academic and social-emotional well-being. By gathering detailed and nuanced data, education agencies can identify the specific needs and challenges faced by these students, enabling the development of targeted interventions and resources. This data-driven approach will help create more equitable and supportive educational environments for LGBTQ BIPOC students.</w:t>
      </w:r>
    </w:p>
    <w:p>
      <w:pPr>
        <w:numPr>
          <w:ilvl w:val="0"/>
          <w:numId w:val="16"/>
        </w:numPr>
        <w:tabs>
          <w:tab w:pos="461" w:val="left" w:leader="none"/>
          <w:tab w:pos="463" w:val="left" w:leader="none"/>
        </w:tabs>
        <w:spacing w:line="276" w:lineRule="auto" w:before="240"/>
        <w:ind w:left="463" w:right="403" w:hanging="360"/>
        <w:jc w:val="both"/>
        <w:rPr>
          <w:b/>
          <w:sz w:val="22"/>
        </w:rPr>
      </w:pPr>
      <w:r>
        <w:rPr>
          <w:b/>
          <w:sz w:val="22"/>
        </w:rPr>
        <w:t>Support education efforts to expand policies and update guidance surrounding support for transgender and nonbinary students.</w:t>
      </w:r>
    </w:p>
    <w:p>
      <w:pPr>
        <w:pStyle w:val="BodyText"/>
        <w:spacing w:line="276" w:lineRule="auto" w:before="241"/>
        <w:ind w:left="463" w:right="400"/>
        <w:jc w:val="both"/>
      </w:pPr>
      <w:r>
        <w:rPr/>
        <w:t>Education agencies should support efforts to expand policies and update guidance to better support transgender</w:t>
      </w:r>
      <w:r>
        <w:rPr>
          <w:spacing w:val="-4"/>
        </w:rPr>
        <w:t> </w:t>
      </w:r>
      <w:r>
        <w:rPr/>
        <w:t>and</w:t>
      </w:r>
      <w:r>
        <w:rPr>
          <w:spacing w:val="-5"/>
        </w:rPr>
        <w:t> </w:t>
      </w:r>
      <w:r>
        <w:rPr/>
        <w:t>nonbinary</w:t>
      </w:r>
      <w:r>
        <w:rPr>
          <w:spacing w:val="-5"/>
        </w:rPr>
        <w:t> </w:t>
      </w:r>
      <w:r>
        <w:rPr/>
        <w:t>students.</w:t>
      </w:r>
      <w:r>
        <w:rPr>
          <w:spacing w:val="-5"/>
        </w:rPr>
        <w:t> </w:t>
      </w:r>
      <w:r>
        <w:rPr/>
        <w:t>This</w:t>
      </w:r>
      <w:r>
        <w:rPr>
          <w:spacing w:val="-5"/>
        </w:rPr>
        <w:t> </w:t>
      </w:r>
      <w:r>
        <w:rPr/>
        <w:t>includes</w:t>
      </w:r>
      <w:r>
        <w:rPr>
          <w:spacing w:val="-5"/>
        </w:rPr>
        <w:t> </w:t>
      </w:r>
      <w:r>
        <w:rPr/>
        <w:t>implementing</w:t>
      </w:r>
      <w:r>
        <w:rPr>
          <w:spacing w:val="-4"/>
        </w:rPr>
        <w:t> </w:t>
      </w:r>
      <w:r>
        <w:rPr/>
        <w:t>comprehensive</w:t>
      </w:r>
      <w:r>
        <w:rPr>
          <w:spacing w:val="-5"/>
        </w:rPr>
        <w:t> </w:t>
      </w:r>
      <w:r>
        <w:rPr/>
        <w:t>policies</w:t>
      </w:r>
      <w:r>
        <w:rPr>
          <w:spacing w:val="-5"/>
        </w:rPr>
        <w:t> </w:t>
      </w:r>
      <w:r>
        <w:rPr/>
        <w:t>that</w:t>
      </w:r>
      <w:r>
        <w:rPr>
          <w:spacing w:val="-5"/>
        </w:rPr>
        <w:t> </w:t>
      </w:r>
      <w:r>
        <w:rPr/>
        <w:t>protect the rights and well-being of these students, ensuring access to gender-affirming facilities and resources, and providing professional development for staff on gender inclusivity and sensitivity. By creating a safe and inclusive environment, education agencies can promote the academic and social- emotional well-being of transgender and nonbinary students, fostering a school climate of belonging that values and respects all identities.</w:t>
      </w:r>
    </w:p>
    <w:p>
      <w:pPr>
        <w:numPr>
          <w:ilvl w:val="0"/>
          <w:numId w:val="16"/>
        </w:numPr>
        <w:tabs>
          <w:tab w:pos="461" w:val="left" w:leader="none"/>
          <w:tab w:pos="463" w:val="left" w:leader="none"/>
        </w:tabs>
        <w:spacing w:line="276" w:lineRule="auto" w:before="239"/>
        <w:ind w:left="463" w:right="402" w:hanging="360"/>
        <w:jc w:val="both"/>
        <w:rPr>
          <w:b/>
          <w:sz w:val="22"/>
        </w:rPr>
      </w:pPr>
      <w:r>
        <w:rPr>
          <w:b/>
          <w:sz w:val="22"/>
        </w:rPr>
        <w:t>Support an annual convening of education agencies, including the Department of Early Education and Care, Massachusetts Department of Elementary and Secondary Education, and Massachusetts Department of Higher Education, to collaboratively explore a continuum of support for LGBTQ students and families as they progress through the education systems in the Commonwealth.</w:t>
      </w:r>
    </w:p>
    <w:p>
      <w:pPr>
        <w:pStyle w:val="BodyText"/>
        <w:spacing w:line="276" w:lineRule="auto" w:before="240"/>
        <w:ind w:left="463" w:right="401"/>
        <w:jc w:val="both"/>
      </w:pPr>
      <w:r>
        <w:rPr/>
        <w:t>Support</w:t>
      </w:r>
      <w:r>
        <w:rPr>
          <w:spacing w:val="-3"/>
        </w:rPr>
        <w:t> </w:t>
      </w:r>
      <w:r>
        <w:rPr/>
        <w:t>an</w:t>
      </w:r>
      <w:r>
        <w:rPr>
          <w:spacing w:val="-3"/>
        </w:rPr>
        <w:t> </w:t>
      </w:r>
      <w:r>
        <w:rPr/>
        <w:t>annual</w:t>
      </w:r>
      <w:r>
        <w:rPr>
          <w:spacing w:val="-3"/>
        </w:rPr>
        <w:t> </w:t>
      </w:r>
      <w:r>
        <w:rPr/>
        <w:t>convening</w:t>
      </w:r>
      <w:r>
        <w:rPr>
          <w:spacing w:val="-3"/>
        </w:rPr>
        <w:t> </w:t>
      </w:r>
      <w:r>
        <w:rPr/>
        <w:t>of</w:t>
      </w:r>
      <w:r>
        <w:rPr>
          <w:spacing w:val="-4"/>
        </w:rPr>
        <w:t> </w:t>
      </w:r>
      <w:r>
        <w:rPr/>
        <w:t>education</w:t>
      </w:r>
      <w:r>
        <w:rPr>
          <w:spacing w:val="-4"/>
        </w:rPr>
        <w:t> </w:t>
      </w:r>
      <w:r>
        <w:rPr/>
        <w:t>agencies,</w:t>
      </w:r>
      <w:r>
        <w:rPr>
          <w:spacing w:val="-2"/>
        </w:rPr>
        <w:t> </w:t>
      </w:r>
      <w:r>
        <w:rPr/>
        <w:t>including</w:t>
      </w:r>
      <w:r>
        <w:rPr>
          <w:spacing w:val="-3"/>
        </w:rPr>
        <w:t> </w:t>
      </w:r>
      <w:r>
        <w:rPr/>
        <w:t>the</w:t>
      </w:r>
      <w:r>
        <w:rPr>
          <w:spacing w:val="-2"/>
        </w:rPr>
        <w:t> </w:t>
      </w:r>
      <w:r>
        <w:rPr/>
        <w:t>Department</w:t>
      </w:r>
      <w:r>
        <w:rPr>
          <w:spacing w:val="-2"/>
        </w:rPr>
        <w:t> </w:t>
      </w:r>
      <w:r>
        <w:rPr/>
        <w:t>of</w:t>
      </w:r>
      <w:r>
        <w:rPr>
          <w:spacing w:val="-4"/>
        </w:rPr>
        <w:t> </w:t>
      </w:r>
      <w:r>
        <w:rPr/>
        <w:t>Early</w:t>
      </w:r>
      <w:r>
        <w:rPr>
          <w:spacing w:val="-3"/>
        </w:rPr>
        <w:t> </w:t>
      </w:r>
      <w:r>
        <w:rPr/>
        <w:t>Education</w:t>
      </w:r>
      <w:r>
        <w:rPr>
          <w:spacing w:val="-4"/>
        </w:rPr>
        <w:t> </w:t>
      </w:r>
      <w:r>
        <w:rPr/>
        <w:t>and Care,</w:t>
      </w:r>
      <w:r>
        <w:rPr>
          <w:spacing w:val="-7"/>
        </w:rPr>
        <w:t> </w:t>
      </w:r>
      <w:r>
        <w:rPr/>
        <w:t>the</w:t>
      </w:r>
      <w:r>
        <w:rPr>
          <w:spacing w:val="-6"/>
        </w:rPr>
        <w:t> </w:t>
      </w:r>
      <w:r>
        <w:rPr/>
        <w:t>Massachusetts</w:t>
      </w:r>
      <w:r>
        <w:rPr>
          <w:spacing w:val="-6"/>
        </w:rPr>
        <w:t> </w:t>
      </w:r>
      <w:r>
        <w:rPr/>
        <w:t>Department</w:t>
      </w:r>
      <w:r>
        <w:rPr>
          <w:spacing w:val="-7"/>
        </w:rPr>
        <w:t> </w:t>
      </w:r>
      <w:r>
        <w:rPr/>
        <w:t>of</w:t>
      </w:r>
      <w:r>
        <w:rPr>
          <w:spacing w:val="-7"/>
        </w:rPr>
        <w:t> </w:t>
      </w:r>
      <w:r>
        <w:rPr/>
        <w:t>Elementary</w:t>
      </w:r>
      <w:r>
        <w:rPr>
          <w:spacing w:val="-7"/>
        </w:rPr>
        <w:t> </w:t>
      </w:r>
      <w:r>
        <w:rPr/>
        <w:t>and</w:t>
      </w:r>
      <w:r>
        <w:rPr>
          <w:spacing w:val="-7"/>
        </w:rPr>
        <w:t> </w:t>
      </w:r>
      <w:r>
        <w:rPr/>
        <w:t>Secondary</w:t>
      </w:r>
      <w:r>
        <w:rPr>
          <w:spacing w:val="-7"/>
        </w:rPr>
        <w:t> </w:t>
      </w:r>
      <w:r>
        <w:rPr/>
        <w:t>Education,</w:t>
      </w:r>
      <w:r>
        <w:rPr>
          <w:spacing w:val="-7"/>
        </w:rPr>
        <w:t> </w:t>
      </w:r>
      <w:r>
        <w:rPr/>
        <w:t>and</w:t>
      </w:r>
      <w:r>
        <w:rPr>
          <w:spacing w:val="-7"/>
        </w:rPr>
        <w:t> </w:t>
      </w:r>
      <w:r>
        <w:rPr/>
        <w:t>the</w:t>
      </w:r>
      <w:r>
        <w:rPr>
          <w:spacing w:val="-6"/>
        </w:rPr>
        <w:t> </w:t>
      </w:r>
      <w:r>
        <w:rPr/>
        <w:t>Massachusetts Department of Higher Education, to collaboratively explore and develop a continuum of support for LGBTQ</w:t>
      </w:r>
      <w:r>
        <w:rPr>
          <w:spacing w:val="-13"/>
        </w:rPr>
        <w:t> </w:t>
      </w:r>
      <w:r>
        <w:rPr/>
        <w:t>students</w:t>
      </w:r>
      <w:r>
        <w:rPr>
          <w:spacing w:val="-12"/>
        </w:rPr>
        <w:t> </w:t>
      </w:r>
      <w:r>
        <w:rPr/>
        <w:t>and</w:t>
      </w:r>
      <w:r>
        <w:rPr>
          <w:spacing w:val="-12"/>
        </w:rPr>
        <w:t> </w:t>
      </w:r>
      <w:r>
        <w:rPr/>
        <w:t>their</w:t>
      </w:r>
      <w:r>
        <w:rPr>
          <w:spacing w:val="-11"/>
        </w:rPr>
        <w:t> </w:t>
      </w:r>
      <w:r>
        <w:rPr/>
        <w:t>families</w:t>
      </w:r>
      <w:r>
        <w:rPr>
          <w:spacing w:val="-12"/>
        </w:rPr>
        <w:t> </w:t>
      </w:r>
      <w:r>
        <w:rPr/>
        <w:t>as</w:t>
      </w:r>
      <w:r>
        <w:rPr>
          <w:spacing w:val="-11"/>
        </w:rPr>
        <w:t> </w:t>
      </w:r>
      <w:r>
        <w:rPr/>
        <w:t>they</w:t>
      </w:r>
      <w:r>
        <w:rPr>
          <w:spacing w:val="-12"/>
        </w:rPr>
        <w:t> </w:t>
      </w:r>
      <w:r>
        <w:rPr/>
        <w:t>move</w:t>
      </w:r>
      <w:r>
        <w:rPr>
          <w:spacing w:val="-12"/>
        </w:rPr>
        <w:t> </w:t>
      </w:r>
      <w:r>
        <w:rPr/>
        <w:t>through</w:t>
      </w:r>
      <w:r>
        <w:rPr>
          <w:spacing w:val="-12"/>
        </w:rPr>
        <w:t> </w:t>
      </w:r>
      <w:r>
        <w:rPr/>
        <w:t>the</w:t>
      </w:r>
      <w:r>
        <w:rPr>
          <w:spacing w:val="-12"/>
        </w:rPr>
        <w:t> </w:t>
      </w:r>
      <w:r>
        <w:rPr/>
        <w:t>education</w:t>
      </w:r>
      <w:r>
        <w:rPr>
          <w:spacing w:val="-13"/>
        </w:rPr>
        <w:t> </w:t>
      </w:r>
      <w:r>
        <w:rPr/>
        <w:t>systems</w:t>
      </w:r>
      <w:r>
        <w:rPr>
          <w:spacing w:val="-11"/>
        </w:rPr>
        <w:t> </w:t>
      </w:r>
      <w:r>
        <w:rPr/>
        <w:t>in</w:t>
      </w:r>
      <w:r>
        <w:rPr>
          <w:spacing w:val="-13"/>
        </w:rPr>
        <w:t> </w:t>
      </w:r>
      <w:r>
        <w:rPr/>
        <w:t>the</w:t>
      </w:r>
      <w:r>
        <w:rPr>
          <w:spacing w:val="-12"/>
        </w:rPr>
        <w:t> </w:t>
      </w:r>
      <w:r>
        <w:rPr/>
        <w:t>Commonwealth. This convening should focus on identifying and addressing the unique challenges faced by LGBTQ students at each educational level, ensuring seamless support and resources from early education through higher education. By fostering collaboration and sharing best practices, these agencies can create</w:t>
      </w:r>
      <w:r>
        <w:rPr>
          <w:spacing w:val="-3"/>
        </w:rPr>
        <w:t> </w:t>
      </w:r>
      <w:r>
        <w:rPr/>
        <w:t>a</w:t>
      </w:r>
      <w:r>
        <w:rPr>
          <w:spacing w:val="-2"/>
        </w:rPr>
        <w:t> </w:t>
      </w:r>
      <w:r>
        <w:rPr/>
        <w:t>cohesive</w:t>
      </w:r>
      <w:r>
        <w:rPr>
          <w:spacing w:val="-4"/>
        </w:rPr>
        <w:t> </w:t>
      </w:r>
      <w:r>
        <w:rPr/>
        <w:t>and</w:t>
      </w:r>
      <w:r>
        <w:rPr>
          <w:spacing w:val="-3"/>
        </w:rPr>
        <w:t> </w:t>
      </w:r>
      <w:r>
        <w:rPr/>
        <w:t>inclusive</w:t>
      </w:r>
      <w:r>
        <w:rPr>
          <w:spacing w:val="-4"/>
        </w:rPr>
        <w:t> </w:t>
      </w:r>
      <w:r>
        <w:rPr/>
        <w:t>educational</w:t>
      </w:r>
      <w:r>
        <w:rPr>
          <w:spacing w:val="-4"/>
        </w:rPr>
        <w:t> </w:t>
      </w:r>
      <w:r>
        <w:rPr/>
        <w:t>environment</w:t>
      </w:r>
      <w:r>
        <w:rPr>
          <w:spacing w:val="-3"/>
        </w:rPr>
        <w:t> </w:t>
      </w:r>
      <w:r>
        <w:rPr/>
        <w:t>that</w:t>
      </w:r>
      <w:r>
        <w:rPr>
          <w:spacing w:val="-3"/>
        </w:rPr>
        <w:t> </w:t>
      </w:r>
      <w:r>
        <w:rPr/>
        <w:t>promotes</w:t>
      </w:r>
      <w:r>
        <w:rPr>
          <w:spacing w:val="-4"/>
        </w:rPr>
        <w:t> </w:t>
      </w:r>
      <w:r>
        <w:rPr/>
        <w:t>the</w:t>
      </w:r>
      <w:r>
        <w:rPr>
          <w:spacing w:val="-3"/>
        </w:rPr>
        <w:t> </w:t>
      </w:r>
      <w:r>
        <w:rPr/>
        <w:t>well-being</w:t>
      </w:r>
      <w:r>
        <w:rPr>
          <w:spacing w:val="-4"/>
        </w:rPr>
        <w:t> </w:t>
      </w:r>
      <w:r>
        <w:rPr/>
        <w:t>and</w:t>
      </w:r>
      <w:r>
        <w:rPr>
          <w:spacing w:val="-4"/>
        </w:rPr>
        <w:t> </w:t>
      </w:r>
      <w:r>
        <w:rPr/>
        <w:t>success</w:t>
      </w:r>
      <w:r>
        <w:rPr>
          <w:spacing w:val="-4"/>
        </w:rPr>
        <w:t> </w:t>
      </w:r>
      <w:r>
        <w:rPr/>
        <w:t>of LGBTQ students throughout their academic journeys.</w:t>
      </w:r>
    </w:p>
    <w:p>
      <w:pPr>
        <w:spacing w:after="0" w:line="276" w:lineRule="auto"/>
        <w:jc w:val="both"/>
        <w:sectPr>
          <w:pgSz w:w="12240" w:h="15840"/>
          <w:pgMar w:header="763" w:footer="1041" w:top="1140" w:bottom="1240" w:left="1120" w:right="1180"/>
        </w:sectPr>
      </w:pPr>
    </w:p>
    <w:p>
      <w:pPr>
        <w:spacing w:before="65"/>
        <w:ind w:left="464" w:right="0" w:firstLine="0"/>
        <w:jc w:val="left"/>
        <w:rPr>
          <w:sz w:val="28"/>
        </w:rPr>
      </w:pPr>
      <w:bookmarkStart w:name="Research: Uplifting LGBTQ Youth in Schoo" w:id="139"/>
      <w:bookmarkEnd w:id="139"/>
      <w:r>
        <w:rPr/>
      </w:r>
      <w:r>
        <w:rPr>
          <w:color w:val="365F91"/>
          <w:sz w:val="28"/>
        </w:rPr>
        <w:t>Research:</w:t>
      </w:r>
      <w:r>
        <w:rPr>
          <w:color w:val="365F91"/>
          <w:spacing w:val="-9"/>
          <w:sz w:val="28"/>
        </w:rPr>
        <w:t> </w:t>
      </w:r>
      <w:r>
        <w:rPr>
          <w:color w:val="365F91"/>
          <w:sz w:val="28"/>
        </w:rPr>
        <w:t>Uplifting</w:t>
      </w:r>
      <w:r>
        <w:rPr>
          <w:color w:val="365F91"/>
          <w:spacing w:val="-9"/>
          <w:sz w:val="28"/>
        </w:rPr>
        <w:t> </w:t>
      </w:r>
      <w:r>
        <w:rPr>
          <w:color w:val="365F91"/>
          <w:sz w:val="28"/>
        </w:rPr>
        <w:t>LGBTQ</w:t>
      </w:r>
      <w:r>
        <w:rPr>
          <w:color w:val="365F91"/>
          <w:spacing w:val="-10"/>
          <w:sz w:val="28"/>
        </w:rPr>
        <w:t> </w:t>
      </w:r>
      <w:r>
        <w:rPr>
          <w:color w:val="365F91"/>
          <w:sz w:val="28"/>
        </w:rPr>
        <w:t>Youth</w:t>
      </w:r>
      <w:r>
        <w:rPr>
          <w:color w:val="365F91"/>
          <w:spacing w:val="-10"/>
          <w:sz w:val="28"/>
        </w:rPr>
        <w:t> </w:t>
      </w:r>
      <w:r>
        <w:rPr>
          <w:color w:val="365F91"/>
          <w:sz w:val="28"/>
        </w:rPr>
        <w:t>in</w:t>
      </w:r>
      <w:r>
        <w:rPr>
          <w:color w:val="365F91"/>
          <w:spacing w:val="-10"/>
          <w:sz w:val="28"/>
        </w:rPr>
        <w:t> </w:t>
      </w:r>
      <w:r>
        <w:rPr>
          <w:color w:val="365F91"/>
          <w:spacing w:val="-2"/>
          <w:sz w:val="28"/>
        </w:rPr>
        <w:t>Schools</w:t>
      </w:r>
    </w:p>
    <w:p>
      <w:pPr>
        <w:pStyle w:val="BodyText"/>
        <w:spacing w:before="9"/>
        <w:rPr>
          <w:sz w:val="3"/>
        </w:rPr>
      </w:pPr>
      <w:r>
        <w:rPr/>
        <mc:AlternateContent>
          <mc:Choice Requires="wps">
            <w:drawing>
              <wp:anchor distT="0" distB="0" distL="0" distR="0" allowOverlap="1" layoutInCell="1" locked="0" behindDoc="1" simplePos="0" relativeHeight="487602688">
                <wp:simplePos x="0" y="0"/>
                <wp:positionH relativeFrom="page">
                  <wp:posOffset>986789</wp:posOffset>
                </wp:positionH>
                <wp:positionV relativeFrom="paragraph">
                  <wp:posOffset>44769</wp:posOffset>
                </wp:positionV>
                <wp:extent cx="5799455" cy="6350"/>
                <wp:effectExtent l="0" t="0" r="0" b="0"/>
                <wp:wrapTopAndBottom/>
                <wp:docPr id="131" name="Graphic 131"/>
                <wp:cNvGraphicFramePr>
                  <a:graphicFrameLocks/>
                </wp:cNvGraphicFramePr>
                <a:graphic>
                  <a:graphicData uri="http://schemas.microsoft.com/office/word/2010/wordprocessingShape">
                    <wps:wsp>
                      <wps:cNvPr id="131" name="Graphic 131"/>
                      <wps:cNvSpPr/>
                      <wps:spPr>
                        <a:xfrm>
                          <a:off x="0" y="0"/>
                          <a:ext cx="5799455" cy="6350"/>
                        </a:xfrm>
                        <a:custGeom>
                          <a:avLst/>
                          <a:gdLst/>
                          <a:ahLst/>
                          <a:cxnLst/>
                          <a:rect l="l" t="t" r="r" b="b"/>
                          <a:pathLst>
                            <a:path w="5799455" h="6350">
                              <a:moveTo>
                                <a:pt x="5798832" y="0"/>
                              </a:moveTo>
                              <a:lnTo>
                                <a:pt x="0" y="0"/>
                              </a:lnTo>
                              <a:lnTo>
                                <a:pt x="0" y="6096"/>
                              </a:lnTo>
                              <a:lnTo>
                                <a:pt x="5798832" y="6096"/>
                              </a:lnTo>
                              <a:lnTo>
                                <a:pt x="5798832" y="0"/>
                              </a:lnTo>
                              <a:close/>
                            </a:path>
                          </a:pathLst>
                        </a:custGeom>
                        <a:solidFill>
                          <a:srgbClr val="4F81BC"/>
                        </a:solidFill>
                      </wps:spPr>
                      <wps:bodyPr wrap="square" lIns="0" tIns="0" rIns="0" bIns="0" rtlCol="0">
                        <a:prstTxWarp prst="textNoShape">
                          <a:avLst/>
                        </a:prstTxWarp>
                        <a:noAutofit/>
                      </wps:bodyPr>
                    </wps:wsp>
                  </a:graphicData>
                </a:graphic>
              </wp:anchor>
            </w:drawing>
          </mc:Choice>
          <mc:Fallback>
            <w:pict>
              <v:rect style="position:absolute;margin-left:77.699997pt;margin-top:3.525156pt;width:456.601pt;height:.48pt;mso-position-horizontal-relative:page;mso-position-vertical-relative:paragraph;z-index:-15713792;mso-wrap-distance-left:0;mso-wrap-distance-right:0" id="docshape112" filled="true" fillcolor="#4f81bc" stroked="false">
                <v:fill type="solid"/>
                <w10:wrap type="topAndBottom"/>
              </v:rect>
            </w:pict>
          </mc:Fallback>
        </mc:AlternateContent>
      </w:r>
    </w:p>
    <w:p>
      <w:pPr>
        <w:spacing w:line="276" w:lineRule="auto" w:before="241"/>
        <w:ind w:left="502" w:right="439" w:hanging="1"/>
        <w:jc w:val="center"/>
        <w:rPr>
          <w:i/>
          <w:sz w:val="22"/>
        </w:rPr>
      </w:pPr>
      <w:r>
        <w:rPr>
          <w:i/>
          <w:color w:val="1F487C"/>
          <w:sz w:val="22"/>
        </w:rPr>
        <w:t>"The attacks on LGBTQ content has made me feel invisible and unwelcome in my own school. It’s</w:t>
      </w:r>
      <w:r>
        <w:rPr>
          <w:i/>
          <w:color w:val="1F487C"/>
          <w:sz w:val="22"/>
        </w:rPr>
        <w:t> disheartening</w:t>
      </w:r>
      <w:r>
        <w:rPr>
          <w:i/>
          <w:color w:val="1F487C"/>
          <w:spacing w:val="-2"/>
          <w:sz w:val="22"/>
        </w:rPr>
        <w:t> </w:t>
      </w:r>
      <w:r>
        <w:rPr>
          <w:i/>
          <w:color w:val="1F487C"/>
          <w:sz w:val="22"/>
        </w:rPr>
        <w:t>to</w:t>
      </w:r>
      <w:r>
        <w:rPr>
          <w:i/>
          <w:color w:val="1F487C"/>
          <w:spacing w:val="-2"/>
          <w:sz w:val="22"/>
        </w:rPr>
        <w:t> </w:t>
      </w:r>
      <w:r>
        <w:rPr>
          <w:i/>
          <w:color w:val="1F487C"/>
          <w:sz w:val="22"/>
        </w:rPr>
        <w:t>see</w:t>
      </w:r>
      <w:r>
        <w:rPr>
          <w:i/>
          <w:color w:val="1F487C"/>
          <w:spacing w:val="-2"/>
          <w:sz w:val="22"/>
        </w:rPr>
        <w:t> </w:t>
      </w:r>
      <w:r>
        <w:rPr>
          <w:i/>
          <w:color w:val="1F487C"/>
          <w:sz w:val="22"/>
        </w:rPr>
        <w:t>parts</w:t>
      </w:r>
      <w:r>
        <w:rPr>
          <w:i/>
          <w:color w:val="1F487C"/>
          <w:spacing w:val="-1"/>
          <w:sz w:val="22"/>
        </w:rPr>
        <w:t> </w:t>
      </w:r>
      <w:r>
        <w:rPr>
          <w:i/>
          <w:color w:val="1F487C"/>
          <w:sz w:val="22"/>
        </w:rPr>
        <w:t>of</w:t>
      </w:r>
      <w:r>
        <w:rPr>
          <w:i/>
          <w:color w:val="1F487C"/>
          <w:spacing w:val="-3"/>
          <w:sz w:val="22"/>
        </w:rPr>
        <w:t> </w:t>
      </w:r>
      <w:r>
        <w:rPr>
          <w:i/>
          <w:color w:val="1F487C"/>
          <w:sz w:val="22"/>
        </w:rPr>
        <w:t>my</w:t>
      </w:r>
      <w:r>
        <w:rPr>
          <w:i/>
          <w:color w:val="1F487C"/>
          <w:spacing w:val="-3"/>
          <w:sz w:val="22"/>
        </w:rPr>
        <w:t> </w:t>
      </w:r>
      <w:r>
        <w:rPr>
          <w:i/>
          <w:color w:val="1F487C"/>
          <w:sz w:val="22"/>
        </w:rPr>
        <w:t>identity</w:t>
      </w:r>
      <w:r>
        <w:rPr>
          <w:i/>
          <w:color w:val="1F487C"/>
          <w:spacing w:val="-3"/>
          <w:sz w:val="22"/>
        </w:rPr>
        <w:t> </w:t>
      </w:r>
      <w:r>
        <w:rPr>
          <w:i/>
          <w:color w:val="1F487C"/>
          <w:sz w:val="22"/>
        </w:rPr>
        <w:t>erased</w:t>
      </w:r>
      <w:r>
        <w:rPr>
          <w:i/>
          <w:color w:val="1F487C"/>
          <w:spacing w:val="-2"/>
          <w:sz w:val="22"/>
        </w:rPr>
        <w:t> </w:t>
      </w:r>
      <w:r>
        <w:rPr>
          <w:i/>
          <w:color w:val="1F487C"/>
          <w:sz w:val="22"/>
        </w:rPr>
        <w:t>from</w:t>
      </w:r>
      <w:r>
        <w:rPr>
          <w:i/>
          <w:color w:val="1F487C"/>
          <w:spacing w:val="-2"/>
          <w:sz w:val="22"/>
        </w:rPr>
        <w:t> </w:t>
      </w:r>
      <w:r>
        <w:rPr>
          <w:i/>
          <w:color w:val="1F487C"/>
          <w:sz w:val="22"/>
        </w:rPr>
        <w:t>the</w:t>
      </w:r>
      <w:r>
        <w:rPr>
          <w:i/>
          <w:color w:val="1F487C"/>
          <w:spacing w:val="-4"/>
          <w:sz w:val="22"/>
        </w:rPr>
        <w:t> </w:t>
      </w:r>
      <w:r>
        <w:rPr>
          <w:i/>
          <w:color w:val="1F487C"/>
          <w:sz w:val="22"/>
        </w:rPr>
        <w:t>curriculum,</w:t>
      </w:r>
      <w:r>
        <w:rPr>
          <w:i/>
          <w:color w:val="1F487C"/>
          <w:spacing w:val="-3"/>
          <w:sz w:val="22"/>
        </w:rPr>
        <w:t> </w:t>
      </w:r>
      <w:r>
        <w:rPr>
          <w:i/>
          <w:color w:val="1F487C"/>
          <w:sz w:val="22"/>
        </w:rPr>
        <w:t>making</w:t>
      </w:r>
      <w:r>
        <w:rPr>
          <w:i/>
          <w:color w:val="1F487C"/>
          <w:spacing w:val="-2"/>
          <w:sz w:val="22"/>
        </w:rPr>
        <w:t> </w:t>
      </w:r>
      <w:r>
        <w:rPr>
          <w:i/>
          <w:color w:val="1F487C"/>
          <w:sz w:val="22"/>
        </w:rPr>
        <w:t>it</w:t>
      </w:r>
      <w:r>
        <w:rPr>
          <w:i/>
          <w:color w:val="1F487C"/>
          <w:spacing w:val="-1"/>
          <w:sz w:val="22"/>
        </w:rPr>
        <w:t> </w:t>
      </w:r>
      <w:r>
        <w:rPr>
          <w:i/>
          <w:color w:val="1F487C"/>
          <w:sz w:val="22"/>
        </w:rPr>
        <w:t>harder</w:t>
      </w:r>
      <w:r>
        <w:rPr>
          <w:i/>
          <w:color w:val="1F487C"/>
          <w:spacing w:val="-3"/>
          <w:sz w:val="22"/>
        </w:rPr>
        <w:t> </w:t>
      </w:r>
      <w:r>
        <w:rPr>
          <w:i/>
          <w:color w:val="1F487C"/>
          <w:sz w:val="22"/>
        </w:rPr>
        <w:t>for</w:t>
      </w:r>
      <w:r>
        <w:rPr>
          <w:i/>
          <w:color w:val="1F487C"/>
          <w:spacing w:val="-2"/>
          <w:sz w:val="22"/>
        </w:rPr>
        <w:t> </w:t>
      </w:r>
      <w:r>
        <w:rPr>
          <w:i/>
          <w:color w:val="1F487C"/>
          <w:sz w:val="22"/>
        </w:rPr>
        <w:t>me</w:t>
      </w:r>
      <w:r>
        <w:rPr>
          <w:i/>
          <w:color w:val="1F487C"/>
          <w:spacing w:val="-4"/>
          <w:sz w:val="22"/>
        </w:rPr>
        <w:t> </w:t>
      </w:r>
      <w:r>
        <w:rPr>
          <w:i/>
          <w:color w:val="1F487C"/>
          <w:sz w:val="22"/>
        </w:rPr>
        <w:t>and</w:t>
      </w:r>
      <w:r>
        <w:rPr>
          <w:i/>
          <w:color w:val="1F487C"/>
          <w:spacing w:val="-3"/>
          <w:sz w:val="22"/>
        </w:rPr>
        <w:t> </w:t>
      </w:r>
      <w:r>
        <w:rPr>
          <w:i/>
          <w:color w:val="1F487C"/>
          <w:sz w:val="22"/>
        </w:rPr>
        <w:t>my friends to learn about and understand ourselves and each other. These attacks not only affect our education but also our mental health and sense of belonging."</w:t>
      </w:r>
    </w:p>
    <w:p>
      <w:pPr>
        <w:spacing w:before="241"/>
        <w:ind w:left="1161" w:right="1102" w:firstLine="0"/>
        <w:jc w:val="center"/>
        <w:rPr>
          <w:i/>
          <w:sz w:val="22"/>
        </w:rPr>
      </w:pPr>
      <w:r>
        <w:rPr>
          <w:i/>
          <w:color w:val="1F487C"/>
          <w:sz w:val="22"/>
        </w:rPr>
        <w:t>-10th</w:t>
      </w:r>
      <w:r>
        <w:rPr>
          <w:i/>
          <w:color w:val="1F487C"/>
          <w:spacing w:val="-11"/>
          <w:sz w:val="22"/>
        </w:rPr>
        <w:t> </w:t>
      </w:r>
      <w:r>
        <w:rPr>
          <w:i/>
          <w:color w:val="1F487C"/>
          <w:sz w:val="22"/>
        </w:rPr>
        <w:t>Grade</w:t>
      </w:r>
      <w:r>
        <w:rPr>
          <w:i/>
          <w:color w:val="1F487C"/>
          <w:spacing w:val="-11"/>
          <w:sz w:val="22"/>
        </w:rPr>
        <w:t> </w:t>
      </w:r>
      <w:r>
        <w:rPr>
          <w:i/>
          <w:color w:val="1F487C"/>
          <w:sz w:val="22"/>
        </w:rPr>
        <w:t>Massachusetts</w:t>
      </w:r>
      <w:r>
        <w:rPr>
          <w:i/>
          <w:color w:val="1F487C"/>
          <w:spacing w:val="-12"/>
          <w:sz w:val="22"/>
        </w:rPr>
        <w:t> </w:t>
      </w:r>
      <w:r>
        <w:rPr>
          <w:i/>
          <w:color w:val="1F487C"/>
          <w:spacing w:val="-2"/>
          <w:sz w:val="22"/>
        </w:rPr>
        <w:t>Student</w:t>
      </w:r>
    </w:p>
    <w:p>
      <w:pPr>
        <w:pStyle w:val="BodyText"/>
        <w:spacing w:before="10"/>
        <w:rPr>
          <w:i/>
        </w:rPr>
      </w:pPr>
    </w:p>
    <w:p>
      <w:pPr>
        <w:spacing w:before="1"/>
        <w:ind w:left="464" w:right="0" w:firstLine="0"/>
        <w:jc w:val="left"/>
        <w:rPr>
          <w:sz w:val="28"/>
        </w:rPr>
      </w:pPr>
      <w:bookmarkStart w:name="Policy" w:id="140"/>
      <w:bookmarkEnd w:id="140"/>
      <w:r>
        <w:rPr/>
      </w:r>
      <w:r>
        <w:rPr>
          <w:color w:val="365F91"/>
          <w:spacing w:val="-2"/>
          <w:sz w:val="28"/>
        </w:rPr>
        <w:t>Policy</w:t>
      </w:r>
    </w:p>
    <w:p>
      <w:pPr>
        <w:pStyle w:val="BodyText"/>
        <w:spacing w:line="276" w:lineRule="auto" w:before="292"/>
        <w:ind w:left="463" w:right="401"/>
        <w:jc w:val="both"/>
      </w:pPr>
      <w:r>
        <w:rPr/>
        <w:t>An analysis of Youth Risk Behavior Survey data from 22 states between 2005-2015, indicated that lesbian, gay, bisexual, and questioning youth, especially cisgender boys 15 and younger, experienced lower rates of bullying victimization in states with general or enumerated anti-bullying laws.</w:t>
      </w:r>
      <w:r>
        <w:rPr>
          <w:spacing w:val="-6"/>
        </w:rPr>
        <w:t> </w:t>
      </w:r>
      <w:hyperlink w:history="true" w:anchor="_bookmark41">
        <w:r>
          <w:rPr>
            <w:vertAlign w:val="superscript"/>
          </w:rPr>
          <w:t>2</w:t>
        </w:r>
      </w:hyperlink>
      <w:r>
        <w:rPr>
          <w:vertAlign w:val="baseline"/>
        </w:rPr>
        <w:t> Additionally, a 2020 study found that LGBTQ-focused policies were more strongly associated with student</w:t>
      </w:r>
      <w:r>
        <w:rPr>
          <w:spacing w:val="-3"/>
          <w:vertAlign w:val="baseline"/>
        </w:rPr>
        <w:t> </w:t>
      </w:r>
      <w:r>
        <w:rPr>
          <w:vertAlign w:val="baseline"/>
        </w:rPr>
        <w:t>perceptions</w:t>
      </w:r>
      <w:r>
        <w:rPr>
          <w:spacing w:val="-4"/>
          <w:vertAlign w:val="baseline"/>
        </w:rPr>
        <w:t> </w:t>
      </w:r>
      <w:r>
        <w:rPr>
          <w:vertAlign w:val="baseline"/>
        </w:rPr>
        <w:t>of</w:t>
      </w:r>
      <w:r>
        <w:rPr>
          <w:spacing w:val="-3"/>
          <w:vertAlign w:val="baseline"/>
        </w:rPr>
        <w:t> </w:t>
      </w:r>
      <w:r>
        <w:rPr>
          <w:vertAlign w:val="baseline"/>
        </w:rPr>
        <w:t>teacher</w:t>
      </w:r>
      <w:r>
        <w:rPr>
          <w:spacing w:val="-4"/>
          <w:vertAlign w:val="baseline"/>
        </w:rPr>
        <w:t> </w:t>
      </w:r>
      <w:r>
        <w:rPr>
          <w:vertAlign w:val="baseline"/>
        </w:rPr>
        <w:t>support</w:t>
      </w:r>
      <w:hyperlink w:history="true" w:anchor="_bookmark42">
        <w:r>
          <w:rPr>
            <w:vertAlign w:val="superscript"/>
          </w:rPr>
          <w:t>3</w:t>
        </w:r>
      </w:hyperlink>
      <w:r>
        <w:rPr>
          <w:spacing w:val="-3"/>
          <w:vertAlign w:val="baseline"/>
        </w:rPr>
        <w:t> </w:t>
      </w:r>
      <w:r>
        <w:rPr>
          <w:vertAlign w:val="baseline"/>
        </w:rPr>
        <w:t>and</w:t>
      </w:r>
      <w:r>
        <w:rPr>
          <w:spacing w:val="-3"/>
          <w:vertAlign w:val="baseline"/>
        </w:rPr>
        <w:t> </w:t>
      </w:r>
      <w:r>
        <w:rPr>
          <w:vertAlign w:val="baseline"/>
        </w:rPr>
        <w:t>GLSEN’s</w:t>
      </w:r>
      <w:r>
        <w:rPr>
          <w:spacing w:val="-4"/>
          <w:vertAlign w:val="baseline"/>
        </w:rPr>
        <w:t> </w:t>
      </w:r>
      <w:r>
        <w:rPr>
          <w:vertAlign w:val="baseline"/>
        </w:rPr>
        <w:t>2021</w:t>
      </w:r>
      <w:r>
        <w:rPr>
          <w:spacing w:val="-4"/>
          <w:vertAlign w:val="baseline"/>
        </w:rPr>
        <w:t> </w:t>
      </w:r>
      <w:r>
        <w:rPr>
          <w:vertAlign w:val="baseline"/>
        </w:rPr>
        <w:t>National</w:t>
      </w:r>
      <w:r>
        <w:rPr>
          <w:spacing w:val="-4"/>
          <w:vertAlign w:val="baseline"/>
        </w:rPr>
        <w:t> </w:t>
      </w:r>
      <w:r>
        <w:rPr>
          <w:vertAlign w:val="baseline"/>
        </w:rPr>
        <w:t>School</w:t>
      </w:r>
      <w:r>
        <w:rPr>
          <w:spacing w:val="-4"/>
          <w:vertAlign w:val="baseline"/>
        </w:rPr>
        <w:t> </w:t>
      </w:r>
      <w:r>
        <w:rPr>
          <w:vertAlign w:val="baseline"/>
        </w:rPr>
        <w:t>Climate</w:t>
      </w:r>
      <w:r>
        <w:rPr>
          <w:spacing w:val="-3"/>
          <w:vertAlign w:val="baseline"/>
        </w:rPr>
        <w:t> </w:t>
      </w:r>
      <w:r>
        <w:rPr>
          <w:vertAlign w:val="baseline"/>
        </w:rPr>
        <w:t>Survey</w:t>
      </w:r>
      <w:r>
        <w:rPr>
          <w:spacing w:val="-2"/>
          <w:vertAlign w:val="baseline"/>
        </w:rPr>
        <w:t> </w:t>
      </w:r>
      <w:r>
        <w:rPr>
          <w:vertAlign w:val="baseline"/>
        </w:rPr>
        <w:t>found</w:t>
      </w:r>
      <w:r>
        <w:rPr>
          <w:spacing w:val="-3"/>
          <w:vertAlign w:val="baseline"/>
        </w:rPr>
        <w:t> </w:t>
      </w:r>
      <w:r>
        <w:rPr>
          <w:vertAlign w:val="baseline"/>
        </w:rPr>
        <w:t>that students in schools with anti-bullying policies that protect sexual orientation and gender expression experienced</w:t>
      </w:r>
      <w:r>
        <w:rPr>
          <w:spacing w:val="-11"/>
          <w:vertAlign w:val="baseline"/>
        </w:rPr>
        <w:t> </w:t>
      </w:r>
      <w:r>
        <w:rPr>
          <w:vertAlign w:val="baseline"/>
        </w:rPr>
        <w:t>less</w:t>
      </w:r>
      <w:r>
        <w:rPr>
          <w:spacing w:val="-11"/>
          <w:vertAlign w:val="baseline"/>
        </w:rPr>
        <w:t> </w:t>
      </w:r>
      <w:r>
        <w:rPr>
          <w:vertAlign w:val="baseline"/>
        </w:rPr>
        <w:t>anti-LGBTQ</w:t>
      </w:r>
      <w:r>
        <w:rPr>
          <w:spacing w:val="-11"/>
          <w:vertAlign w:val="baseline"/>
        </w:rPr>
        <w:t> </w:t>
      </w:r>
      <w:r>
        <w:rPr>
          <w:vertAlign w:val="baseline"/>
        </w:rPr>
        <w:t>remarks</w:t>
      </w:r>
      <w:r>
        <w:rPr>
          <w:spacing w:val="-10"/>
          <w:vertAlign w:val="baseline"/>
        </w:rPr>
        <w:t> </w:t>
      </w:r>
      <w:r>
        <w:rPr>
          <w:vertAlign w:val="baseline"/>
        </w:rPr>
        <w:t>and</w:t>
      </w:r>
      <w:r>
        <w:rPr>
          <w:spacing w:val="-11"/>
          <w:vertAlign w:val="baseline"/>
        </w:rPr>
        <w:t> </w:t>
      </w:r>
      <w:r>
        <w:rPr>
          <w:vertAlign w:val="baseline"/>
        </w:rPr>
        <w:t>victimization,</w:t>
      </w:r>
      <w:r>
        <w:rPr>
          <w:spacing w:val="-11"/>
          <w:vertAlign w:val="baseline"/>
        </w:rPr>
        <w:t> </w:t>
      </w:r>
      <w:r>
        <w:rPr>
          <w:vertAlign w:val="baseline"/>
        </w:rPr>
        <w:t>missed</w:t>
      </w:r>
      <w:r>
        <w:rPr>
          <w:spacing w:val="-11"/>
          <w:vertAlign w:val="baseline"/>
        </w:rPr>
        <w:t> </w:t>
      </w:r>
      <w:r>
        <w:rPr>
          <w:vertAlign w:val="baseline"/>
        </w:rPr>
        <w:t>school</w:t>
      </w:r>
      <w:r>
        <w:rPr>
          <w:spacing w:val="-11"/>
          <w:vertAlign w:val="baseline"/>
        </w:rPr>
        <w:t> </w:t>
      </w:r>
      <w:r>
        <w:rPr>
          <w:vertAlign w:val="baseline"/>
        </w:rPr>
        <w:t>less</w:t>
      </w:r>
      <w:r>
        <w:rPr>
          <w:spacing w:val="-11"/>
          <w:vertAlign w:val="baseline"/>
        </w:rPr>
        <w:t> </w:t>
      </w:r>
      <w:r>
        <w:rPr>
          <w:vertAlign w:val="baseline"/>
        </w:rPr>
        <w:t>often</w:t>
      </w:r>
      <w:r>
        <w:rPr>
          <w:spacing w:val="-10"/>
          <w:vertAlign w:val="baseline"/>
        </w:rPr>
        <w:t> </w:t>
      </w:r>
      <w:r>
        <w:rPr>
          <w:vertAlign w:val="baseline"/>
        </w:rPr>
        <w:t>due</w:t>
      </w:r>
      <w:r>
        <w:rPr>
          <w:spacing w:val="-10"/>
          <w:vertAlign w:val="baseline"/>
        </w:rPr>
        <w:t> </w:t>
      </w:r>
      <w:r>
        <w:rPr>
          <w:vertAlign w:val="baseline"/>
        </w:rPr>
        <w:t>to</w:t>
      </w:r>
      <w:r>
        <w:rPr>
          <w:spacing w:val="-11"/>
          <w:vertAlign w:val="baseline"/>
        </w:rPr>
        <w:t> </w:t>
      </w:r>
      <w:r>
        <w:rPr>
          <w:vertAlign w:val="baseline"/>
        </w:rPr>
        <w:t>feeling</w:t>
      </w:r>
      <w:r>
        <w:rPr>
          <w:spacing w:val="-11"/>
          <w:vertAlign w:val="baseline"/>
        </w:rPr>
        <w:t> </w:t>
      </w:r>
      <w:r>
        <w:rPr>
          <w:vertAlign w:val="baseline"/>
        </w:rPr>
        <w:t>unsafe, and were more likely to feel they belonged at school.</w:t>
      </w:r>
      <w:hyperlink w:history="true" w:anchor="_bookmark43">
        <w:r>
          <w:rPr>
            <w:vertAlign w:val="superscript"/>
          </w:rPr>
          <w:t>4</w:t>
        </w:r>
      </w:hyperlink>
      <w:r>
        <w:rPr>
          <w:spacing w:val="-2"/>
          <w:vertAlign w:val="baseline"/>
        </w:rPr>
        <w:t> </w:t>
      </w:r>
      <w:r>
        <w:rPr>
          <w:vertAlign w:val="baseline"/>
        </w:rPr>
        <w:t>Given this, it is imperative that educators and school administrators make known state laws that mandate district non-discrimination policies to include gender identity and</w:t>
      </w:r>
      <w:r>
        <w:rPr>
          <w:spacing w:val="-1"/>
          <w:vertAlign w:val="baseline"/>
        </w:rPr>
        <w:t> </w:t>
      </w:r>
      <w:r>
        <w:rPr>
          <w:vertAlign w:val="baseline"/>
        </w:rPr>
        <w:t>sexual orientation</w:t>
      </w:r>
      <w:hyperlink w:history="true" w:anchor="_bookmark44">
        <w:r>
          <w:rPr>
            <w:vertAlign w:val="superscript"/>
          </w:rPr>
          <w:t>5</w:t>
        </w:r>
      </w:hyperlink>
      <w:r>
        <w:rPr>
          <w:spacing w:val="-3"/>
          <w:vertAlign w:val="baseline"/>
        </w:rPr>
        <w:t> </w:t>
      </w:r>
      <w:r>
        <w:rPr>
          <w:vertAlign w:val="baseline"/>
        </w:rPr>
        <w:t>so that</w:t>
      </w:r>
      <w:r>
        <w:rPr>
          <w:spacing w:val="-1"/>
          <w:vertAlign w:val="baseline"/>
        </w:rPr>
        <w:t> </w:t>
      </w:r>
      <w:r>
        <w:rPr>
          <w:vertAlign w:val="baseline"/>
        </w:rPr>
        <w:t>students and</w:t>
      </w:r>
      <w:r>
        <w:rPr>
          <w:spacing w:val="-1"/>
          <w:vertAlign w:val="baseline"/>
        </w:rPr>
        <w:t> </w:t>
      </w:r>
      <w:r>
        <w:rPr>
          <w:vertAlign w:val="baseline"/>
        </w:rPr>
        <w:t>families are</w:t>
      </w:r>
      <w:r>
        <w:rPr>
          <w:spacing w:val="-1"/>
          <w:vertAlign w:val="baseline"/>
        </w:rPr>
        <w:t> </w:t>
      </w:r>
      <w:r>
        <w:rPr>
          <w:vertAlign w:val="baseline"/>
        </w:rPr>
        <w:t>aware</w:t>
      </w:r>
      <w:r>
        <w:rPr>
          <w:spacing w:val="-1"/>
          <w:vertAlign w:val="baseline"/>
        </w:rPr>
        <w:t> </w:t>
      </w:r>
      <w:r>
        <w:rPr>
          <w:vertAlign w:val="baseline"/>
        </w:rPr>
        <w:t>of their rights and protections.</w:t>
      </w:r>
    </w:p>
    <w:p>
      <w:pPr>
        <w:spacing w:before="239"/>
        <w:ind w:left="464" w:right="0" w:firstLine="0"/>
        <w:jc w:val="left"/>
        <w:rPr>
          <w:sz w:val="26"/>
        </w:rPr>
      </w:pPr>
      <w:bookmarkStart w:name="District Policies" w:id="141"/>
      <w:bookmarkEnd w:id="141"/>
      <w:r>
        <w:rPr/>
      </w:r>
      <w:r>
        <w:rPr>
          <w:color w:val="404040"/>
          <w:sz w:val="26"/>
        </w:rPr>
        <w:t>District</w:t>
      </w:r>
      <w:r>
        <w:rPr>
          <w:color w:val="404040"/>
          <w:spacing w:val="-5"/>
          <w:sz w:val="26"/>
        </w:rPr>
        <w:t> </w:t>
      </w:r>
      <w:r>
        <w:rPr>
          <w:color w:val="404040"/>
          <w:spacing w:val="-2"/>
          <w:sz w:val="26"/>
        </w:rPr>
        <w:t>Policies</w:t>
      </w:r>
    </w:p>
    <w:p>
      <w:pPr>
        <w:pStyle w:val="BodyText"/>
        <w:spacing w:line="276" w:lineRule="auto" w:before="289"/>
        <w:ind w:left="464" w:right="403"/>
        <w:jc w:val="both"/>
      </w:pPr>
      <w:r>
        <w:rPr/>
        <w:t>In 2022, the Commission published a special report on LGBTQ inclusive education policy, which examined</w:t>
      </w:r>
      <w:r>
        <w:rPr>
          <w:spacing w:val="-4"/>
        </w:rPr>
        <w:t> </w:t>
      </w:r>
      <w:r>
        <w:rPr/>
        <w:t>whether</w:t>
      </w:r>
      <w:r>
        <w:rPr>
          <w:spacing w:val="-2"/>
        </w:rPr>
        <w:t> </w:t>
      </w:r>
      <w:r>
        <w:rPr/>
        <w:t>more</w:t>
      </w:r>
      <w:r>
        <w:rPr>
          <w:spacing w:val="-4"/>
        </w:rPr>
        <w:t> </w:t>
      </w:r>
      <w:r>
        <w:rPr/>
        <w:t>than</w:t>
      </w:r>
      <w:r>
        <w:rPr>
          <w:spacing w:val="-4"/>
        </w:rPr>
        <w:t> </w:t>
      </w:r>
      <w:r>
        <w:rPr/>
        <w:t>1,700</w:t>
      </w:r>
      <w:r>
        <w:rPr>
          <w:spacing w:val="-4"/>
        </w:rPr>
        <w:t> </w:t>
      </w:r>
      <w:r>
        <w:rPr/>
        <w:t>Massachusetts</w:t>
      </w:r>
      <w:r>
        <w:rPr>
          <w:spacing w:val="-2"/>
        </w:rPr>
        <w:t> </w:t>
      </w:r>
      <w:r>
        <w:rPr/>
        <w:t>public</w:t>
      </w:r>
      <w:r>
        <w:rPr>
          <w:spacing w:val="-4"/>
        </w:rPr>
        <w:t> </w:t>
      </w:r>
      <w:r>
        <w:rPr/>
        <w:t>schools</w:t>
      </w:r>
      <w:r>
        <w:rPr>
          <w:spacing w:val="-3"/>
        </w:rPr>
        <w:t> </w:t>
      </w:r>
      <w:r>
        <w:rPr/>
        <w:t>include</w:t>
      </w:r>
      <w:r>
        <w:rPr>
          <w:spacing w:val="-4"/>
        </w:rPr>
        <w:t> </w:t>
      </w:r>
      <w:r>
        <w:rPr/>
        <w:t>LGBTQ-specific</w:t>
      </w:r>
      <w:r>
        <w:rPr>
          <w:spacing w:val="-4"/>
        </w:rPr>
        <w:t> </w:t>
      </w:r>
      <w:r>
        <w:rPr/>
        <w:t>language</w:t>
      </w:r>
      <w:r>
        <w:rPr>
          <w:spacing w:val="-4"/>
        </w:rPr>
        <w:t> </w:t>
      </w:r>
      <w:r>
        <w:rPr/>
        <w:t>in their 2021-2022 student/caregiver handbooks. The review found that about one-fifth of</w:t>
      </w:r>
      <w:r>
        <w:rPr>
          <w:spacing w:val="40"/>
        </w:rPr>
        <w:t> </w:t>
      </w:r>
      <w:r>
        <w:rPr/>
        <w:t>include “gender</w:t>
      </w:r>
      <w:r>
        <w:rPr>
          <w:spacing w:val="35"/>
        </w:rPr>
        <w:t> </w:t>
      </w:r>
      <w:r>
        <w:rPr/>
        <w:t>identity”</w:t>
      </w:r>
      <w:r>
        <w:rPr>
          <w:spacing w:val="34"/>
        </w:rPr>
        <w:t> </w:t>
      </w:r>
      <w:r>
        <w:rPr/>
        <w:t>as</w:t>
      </w:r>
      <w:r>
        <w:rPr>
          <w:spacing w:val="35"/>
        </w:rPr>
        <w:t> </w:t>
      </w:r>
      <w:r>
        <w:rPr/>
        <w:t>a</w:t>
      </w:r>
      <w:r>
        <w:rPr>
          <w:spacing w:val="34"/>
        </w:rPr>
        <w:t> </w:t>
      </w:r>
      <w:r>
        <w:rPr/>
        <w:t>protected</w:t>
      </w:r>
      <w:r>
        <w:rPr>
          <w:spacing w:val="34"/>
        </w:rPr>
        <w:t> </w:t>
      </w:r>
      <w:r>
        <w:rPr/>
        <w:t>class</w:t>
      </w:r>
      <w:r>
        <w:rPr>
          <w:spacing w:val="34"/>
        </w:rPr>
        <w:t> </w:t>
      </w:r>
      <w:r>
        <w:rPr/>
        <w:t>in</w:t>
      </w:r>
      <w:r>
        <w:rPr>
          <w:spacing w:val="34"/>
        </w:rPr>
        <w:t> </w:t>
      </w:r>
      <w:r>
        <w:rPr/>
        <w:t>their</w:t>
      </w:r>
      <w:r>
        <w:rPr>
          <w:spacing w:val="35"/>
        </w:rPr>
        <w:t> </w:t>
      </w:r>
      <w:r>
        <w:rPr/>
        <w:t>handbooks.</w:t>
      </w:r>
      <w:r>
        <w:rPr>
          <w:spacing w:val="33"/>
        </w:rPr>
        <w:t> </w:t>
      </w:r>
      <w:r>
        <w:rPr/>
        <w:t>In</w:t>
      </w:r>
      <w:r>
        <w:rPr>
          <w:spacing w:val="33"/>
        </w:rPr>
        <w:t> </w:t>
      </w:r>
      <w:r>
        <w:rPr/>
        <w:t>2023,</w:t>
      </w:r>
      <w:r>
        <w:rPr>
          <w:spacing w:val="34"/>
        </w:rPr>
        <w:t> </w:t>
      </w:r>
      <w:r>
        <w:rPr/>
        <w:t>a</w:t>
      </w:r>
      <w:r>
        <w:rPr>
          <w:spacing w:val="34"/>
        </w:rPr>
        <w:t> </w:t>
      </w:r>
      <w:r>
        <w:rPr/>
        <w:t>follow-up</w:t>
      </w:r>
      <w:r>
        <w:rPr>
          <w:spacing w:val="33"/>
        </w:rPr>
        <w:t> </w:t>
      </w:r>
      <w:r>
        <w:rPr/>
        <w:t>review</w:t>
      </w:r>
      <w:r>
        <w:rPr>
          <w:spacing w:val="35"/>
        </w:rPr>
        <w:t> </w:t>
      </w:r>
      <w:r>
        <w:rPr/>
        <w:t>examined</w:t>
      </w:r>
    </w:p>
    <w:p>
      <w:pPr>
        <w:pStyle w:val="BodyText"/>
        <w:tabs>
          <w:tab w:pos="7232" w:val="left" w:leader="none"/>
          <w:tab w:pos="8565" w:val="left" w:leader="none"/>
        </w:tabs>
        <w:spacing w:line="276" w:lineRule="auto"/>
        <w:ind w:left="5735" w:right="401"/>
        <w:jc w:val="both"/>
      </w:pPr>
      <w:r>
        <w:rPr/>
        <w:drawing>
          <wp:anchor distT="0" distB="0" distL="0" distR="0" allowOverlap="1" layoutInCell="1" locked="0" behindDoc="0" simplePos="0" relativeHeight="15744000">
            <wp:simplePos x="0" y="0"/>
            <wp:positionH relativeFrom="page">
              <wp:posOffset>1038225</wp:posOffset>
            </wp:positionH>
            <wp:positionV relativeFrom="paragraph">
              <wp:posOffset>145968</wp:posOffset>
            </wp:positionV>
            <wp:extent cx="3195954" cy="1378580"/>
            <wp:effectExtent l="0" t="0" r="0" b="0"/>
            <wp:wrapNone/>
            <wp:docPr id="132" name="Image 132" descr="A row of books with text  Description automatically generated "/>
            <wp:cNvGraphicFramePr>
              <a:graphicFrameLocks/>
            </wp:cNvGraphicFramePr>
            <a:graphic>
              <a:graphicData uri="http://schemas.openxmlformats.org/drawingml/2006/picture">
                <pic:pic>
                  <pic:nvPicPr>
                    <pic:cNvPr id="132" name="Image 132" descr="A row of books with text  Description automatically generated "/>
                    <pic:cNvPicPr/>
                  </pic:nvPicPr>
                  <pic:blipFill>
                    <a:blip r:embed="rId103" cstate="print"/>
                    <a:stretch>
                      <a:fillRect/>
                    </a:stretch>
                  </pic:blipFill>
                  <pic:spPr>
                    <a:xfrm>
                      <a:off x="0" y="0"/>
                      <a:ext cx="3195954" cy="1378580"/>
                    </a:xfrm>
                    <a:prstGeom prst="rect">
                      <a:avLst/>
                    </a:prstGeom>
                  </pic:spPr>
                </pic:pic>
              </a:graphicData>
            </a:graphic>
          </wp:anchor>
        </w:drawing>
      </w:r>
      <w:r>
        <w:rPr/>
        <w:t>whether district-level policies of Massachusetts public schools include </w:t>
      </w:r>
      <w:r>
        <w:rPr>
          <w:spacing w:val="-2"/>
        </w:rPr>
        <w:t>guidance</w:t>
      </w:r>
      <w:r>
        <w:rPr/>
        <w:tab/>
      </w:r>
      <w:r>
        <w:rPr>
          <w:spacing w:val="-2"/>
        </w:rPr>
        <w:t>around</w:t>
      </w:r>
      <w:r>
        <w:rPr/>
        <w:tab/>
      </w:r>
      <w:r>
        <w:rPr>
          <w:spacing w:val="-2"/>
        </w:rPr>
        <w:t>supporting </w:t>
      </w:r>
      <w:r>
        <w:rPr/>
        <w:t>transgender/nonbinary students. These policies provide language beyond the required inclusion of “gender identity” in the district’s anti-discrimination statutes, or</w:t>
      </w:r>
      <w:r>
        <w:rPr>
          <w:spacing w:val="74"/>
          <w:w w:val="150"/>
        </w:rPr>
        <w:t>  </w:t>
      </w:r>
      <w:r>
        <w:rPr/>
        <w:t>the</w:t>
      </w:r>
      <w:r>
        <w:rPr>
          <w:spacing w:val="74"/>
          <w:w w:val="150"/>
        </w:rPr>
        <w:t>  </w:t>
      </w:r>
      <w:r>
        <w:rPr/>
        <w:t>commonplace</w:t>
      </w:r>
      <w:r>
        <w:rPr>
          <w:spacing w:val="75"/>
          <w:w w:val="150"/>
        </w:rPr>
        <w:t>  </w:t>
      </w:r>
      <w:r>
        <w:rPr/>
        <w:t>anti-</w:t>
      </w:r>
      <w:r>
        <w:rPr>
          <w:spacing w:val="-2"/>
        </w:rPr>
        <w:t>bullying</w:t>
      </w:r>
    </w:p>
    <w:p>
      <w:pPr>
        <w:pStyle w:val="BodyText"/>
        <w:spacing w:line="276" w:lineRule="auto"/>
        <w:ind w:left="463" w:right="402"/>
        <w:jc w:val="both"/>
      </w:pPr>
      <w:r>
        <w:rPr>
          <w:spacing w:val="-2"/>
        </w:rPr>
        <w:t>provision that acknowledges the disproportionate rates of bullying among LGBTQ students. This review </w:t>
      </w:r>
      <w:r>
        <w:rPr/>
        <w:t>was able to locate 1,842 of 1,851 (99%) Massachusetts public schools’ district policies for the 2022- 2023 school year. 358 of 1,842 schools (19.4%) are subject to specific district-level policies related to gender identity and supporting trans/nonbinary students; these policies are maintained by 25 public school districts and 8 public charter schools/districts across the Commonwealth.</w:t>
      </w:r>
    </w:p>
    <w:p>
      <w:pPr>
        <w:spacing w:after="0" w:line="276" w:lineRule="auto"/>
        <w:jc w:val="both"/>
        <w:sectPr>
          <w:pgSz w:w="12240" w:h="15840"/>
          <w:pgMar w:header="763" w:footer="1041" w:top="1140" w:bottom="1240" w:left="1120" w:right="1180"/>
        </w:sectPr>
      </w:pPr>
    </w:p>
    <w:p>
      <w:pPr>
        <w:pStyle w:val="BodyText"/>
        <w:spacing w:line="276" w:lineRule="auto" w:before="66"/>
        <w:ind w:left="463" w:right="400"/>
        <w:jc w:val="both"/>
      </w:pPr>
      <w:r>
        <w:rPr/>
        <w:t>Several studies, as described above, found a correlation between lower bullying rates and the existence</w:t>
      </w:r>
      <w:r>
        <w:rPr>
          <w:spacing w:val="-8"/>
        </w:rPr>
        <w:t> </w:t>
      </w:r>
      <w:r>
        <w:rPr/>
        <w:t>of school anti-discrimination and harassment policies,</w:t>
      </w:r>
      <w:r>
        <w:rPr>
          <w:vertAlign w:val="superscript"/>
        </w:rPr>
        <w:t>1,</w:t>
      </w:r>
      <w:r>
        <w:rPr>
          <w:spacing w:val="-13"/>
          <w:vertAlign w:val="baseline"/>
        </w:rPr>
        <w:t> </w:t>
      </w:r>
      <w:r>
        <w:rPr>
          <w:vertAlign w:val="superscript"/>
        </w:rPr>
        <w:t>2,</w:t>
      </w:r>
      <w:r>
        <w:rPr>
          <w:spacing w:val="-12"/>
          <w:vertAlign w:val="baseline"/>
        </w:rPr>
        <w:t> </w:t>
      </w:r>
      <w:r>
        <w:rPr>
          <w:vertAlign w:val="superscript"/>
        </w:rPr>
        <w:t>3</w:t>
      </w:r>
      <w:r>
        <w:rPr>
          <w:vertAlign w:val="baseline"/>
        </w:rPr>
        <w:t> it is important to note that some studies found no correlation.</w:t>
      </w:r>
      <w:r>
        <w:rPr>
          <w:vertAlign w:val="superscript"/>
        </w:rPr>
        <w:t>1,</w:t>
      </w:r>
      <w:r>
        <w:rPr>
          <w:spacing w:val="-13"/>
          <w:vertAlign w:val="baseline"/>
        </w:rPr>
        <w:t> </w:t>
      </w:r>
      <w:hyperlink w:history="true" w:anchor="_bookmark45">
        <w:r>
          <w:rPr>
            <w:vertAlign w:val="superscript"/>
          </w:rPr>
          <w:t>6</w:t>
        </w:r>
      </w:hyperlink>
      <w:r>
        <w:rPr>
          <w:vertAlign w:val="baseline"/>
        </w:rPr>
        <w:t> This means that enumerated policies that are inclusive of sexual orientation, gender identity, and gender expression are useful, but cannot be the only mechanism in place to support LGBTQ students in our schools. LGBTQ-inclusive curriculum and a positive school climate for marginalized students are among other areas that require the attention of policymakers, school administrators, educators, and support staff.</w:t>
      </w:r>
    </w:p>
    <w:p>
      <w:pPr>
        <w:spacing w:before="238"/>
        <w:ind w:left="464" w:right="0" w:firstLine="0"/>
        <w:jc w:val="both"/>
        <w:rPr>
          <w:sz w:val="26"/>
        </w:rPr>
      </w:pPr>
      <w:bookmarkStart w:name="LGBTQ-Inclusive Curriculum" w:id="142"/>
      <w:bookmarkEnd w:id="142"/>
      <w:r>
        <w:rPr/>
      </w:r>
      <w:r>
        <w:rPr>
          <w:color w:val="404040"/>
          <w:sz w:val="26"/>
        </w:rPr>
        <w:t>LGBTQ-Inclusive</w:t>
      </w:r>
      <w:r>
        <w:rPr>
          <w:color w:val="404040"/>
          <w:spacing w:val="-9"/>
          <w:sz w:val="26"/>
        </w:rPr>
        <w:t> </w:t>
      </w:r>
      <w:r>
        <w:rPr>
          <w:color w:val="404040"/>
          <w:spacing w:val="-2"/>
          <w:sz w:val="26"/>
        </w:rPr>
        <w:t>Curriculum</w:t>
      </w:r>
    </w:p>
    <w:p>
      <w:pPr>
        <w:pStyle w:val="BodyText"/>
        <w:spacing w:line="276" w:lineRule="auto" w:before="289"/>
        <w:ind w:left="464" w:right="4967"/>
        <w:jc w:val="both"/>
      </w:pPr>
      <w:r>
        <w:rPr/>
        <w:drawing>
          <wp:anchor distT="0" distB="0" distL="0" distR="0" allowOverlap="1" layoutInCell="1" locked="0" behindDoc="0" simplePos="0" relativeHeight="15745024">
            <wp:simplePos x="0" y="0"/>
            <wp:positionH relativeFrom="page">
              <wp:posOffset>3981450</wp:posOffset>
            </wp:positionH>
            <wp:positionV relativeFrom="paragraph">
              <wp:posOffset>189262</wp:posOffset>
            </wp:positionV>
            <wp:extent cx="2859278" cy="1904352"/>
            <wp:effectExtent l="0" t="0" r="0" b="0"/>
            <wp:wrapNone/>
            <wp:docPr id="133" name="Image 133" descr="A pie chart with text and words  Description automatically generated "/>
            <wp:cNvGraphicFramePr>
              <a:graphicFrameLocks/>
            </wp:cNvGraphicFramePr>
            <a:graphic>
              <a:graphicData uri="http://schemas.openxmlformats.org/drawingml/2006/picture">
                <pic:pic>
                  <pic:nvPicPr>
                    <pic:cNvPr id="133" name="Image 133" descr="A pie chart with text and words  Description automatically generated "/>
                    <pic:cNvPicPr/>
                  </pic:nvPicPr>
                  <pic:blipFill>
                    <a:blip r:embed="rId104" cstate="print"/>
                    <a:stretch>
                      <a:fillRect/>
                    </a:stretch>
                  </pic:blipFill>
                  <pic:spPr>
                    <a:xfrm>
                      <a:off x="0" y="0"/>
                      <a:ext cx="2859278" cy="1904352"/>
                    </a:xfrm>
                    <a:prstGeom prst="rect">
                      <a:avLst/>
                    </a:prstGeom>
                  </pic:spPr>
                </pic:pic>
              </a:graphicData>
            </a:graphic>
          </wp:anchor>
        </w:drawing>
      </w:r>
      <w:r>
        <w:rPr/>
        <w:t>GLSEN’s 2021 National School Climate Survey found</w:t>
      </w:r>
      <w:r>
        <w:rPr>
          <w:spacing w:val="-9"/>
        </w:rPr>
        <w:t> </w:t>
      </w:r>
      <w:r>
        <w:rPr/>
        <w:t>that</w:t>
      </w:r>
      <w:r>
        <w:rPr>
          <w:spacing w:val="-9"/>
        </w:rPr>
        <w:t> </w:t>
      </w:r>
      <w:r>
        <w:rPr/>
        <w:t>LGBTQ</w:t>
      </w:r>
      <w:r>
        <w:rPr>
          <w:spacing w:val="-10"/>
        </w:rPr>
        <w:t> </w:t>
      </w:r>
      <w:r>
        <w:rPr/>
        <w:t>students</w:t>
      </w:r>
      <w:r>
        <w:rPr>
          <w:spacing w:val="-8"/>
        </w:rPr>
        <w:t> </w:t>
      </w:r>
      <w:r>
        <w:rPr/>
        <w:t>in</w:t>
      </w:r>
      <w:r>
        <w:rPr>
          <w:spacing w:val="-9"/>
        </w:rPr>
        <w:t> </w:t>
      </w:r>
      <w:r>
        <w:rPr/>
        <w:t>schools</w:t>
      </w:r>
      <w:r>
        <w:rPr>
          <w:spacing w:val="-9"/>
        </w:rPr>
        <w:t> </w:t>
      </w:r>
      <w:r>
        <w:rPr/>
        <w:t>with</w:t>
      </w:r>
      <w:r>
        <w:rPr>
          <w:spacing w:val="-9"/>
        </w:rPr>
        <w:t> </w:t>
      </w:r>
      <w:r>
        <w:rPr/>
        <w:t>LGBTQ- inclusive curriculum experienced a variety of positive</w:t>
      </w:r>
      <w:r>
        <w:rPr>
          <w:spacing w:val="-11"/>
        </w:rPr>
        <w:t> </w:t>
      </w:r>
      <w:r>
        <w:rPr/>
        <w:t>outcomes</w:t>
      </w:r>
      <w:r>
        <w:rPr>
          <w:spacing w:val="-10"/>
        </w:rPr>
        <w:t> </w:t>
      </w:r>
      <w:r>
        <w:rPr/>
        <w:t>compared</w:t>
      </w:r>
      <w:r>
        <w:rPr>
          <w:spacing w:val="-11"/>
        </w:rPr>
        <w:t> </w:t>
      </w:r>
      <w:r>
        <w:rPr/>
        <w:t>to</w:t>
      </w:r>
      <w:r>
        <w:rPr>
          <w:spacing w:val="-10"/>
        </w:rPr>
        <w:t> </w:t>
      </w:r>
      <w:r>
        <w:rPr/>
        <w:t>LGBTQ</w:t>
      </w:r>
      <w:r>
        <w:rPr>
          <w:spacing w:val="-10"/>
        </w:rPr>
        <w:t> </w:t>
      </w:r>
      <w:r>
        <w:rPr/>
        <w:t>students</w:t>
      </w:r>
      <w:r>
        <w:rPr>
          <w:spacing w:val="-10"/>
        </w:rPr>
        <w:t> </w:t>
      </w:r>
      <w:r>
        <w:rPr/>
        <w:t>in schools without LGBTQ-inclusive curriculum. For instance,</w:t>
      </w:r>
      <w:r>
        <w:rPr>
          <w:spacing w:val="-7"/>
        </w:rPr>
        <w:t> </w:t>
      </w:r>
      <w:r>
        <w:rPr/>
        <w:t>they</w:t>
      </w:r>
      <w:r>
        <w:rPr>
          <w:spacing w:val="-8"/>
        </w:rPr>
        <w:t> </w:t>
      </w:r>
      <w:r>
        <w:rPr/>
        <w:t>were</w:t>
      </w:r>
      <w:r>
        <w:rPr>
          <w:spacing w:val="-9"/>
        </w:rPr>
        <w:t> </w:t>
      </w:r>
      <w:r>
        <w:rPr/>
        <w:t>less</w:t>
      </w:r>
      <w:r>
        <w:rPr>
          <w:spacing w:val="-8"/>
        </w:rPr>
        <w:t> </w:t>
      </w:r>
      <w:r>
        <w:rPr/>
        <w:t>likely</w:t>
      </w:r>
      <w:r>
        <w:rPr>
          <w:spacing w:val="-8"/>
        </w:rPr>
        <w:t> </w:t>
      </w:r>
      <w:r>
        <w:rPr/>
        <w:t>to</w:t>
      </w:r>
      <w:r>
        <w:rPr>
          <w:spacing w:val="-7"/>
        </w:rPr>
        <w:t> </w:t>
      </w:r>
      <w:r>
        <w:rPr/>
        <w:t>hear</w:t>
      </w:r>
      <w:r>
        <w:rPr>
          <w:spacing w:val="-8"/>
        </w:rPr>
        <w:t> </w:t>
      </w:r>
      <w:r>
        <w:rPr/>
        <w:t>homophobic comments, had less absenteeism as a result of feeling unsafe or uncomfortable, they felt an increased sense of belonging to their school communities,</w:t>
      </w:r>
      <w:r>
        <w:rPr>
          <w:spacing w:val="20"/>
        </w:rPr>
        <w:t> </w:t>
      </w:r>
      <w:r>
        <w:rPr/>
        <w:t>and</w:t>
      </w:r>
      <w:r>
        <w:rPr>
          <w:spacing w:val="20"/>
        </w:rPr>
        <w:t> </w:t>
      </w:r>
      <w:r>
        <w:rPr/>
        <w:t>reported</w:t>
      </w:r>
      <w:r>
        <w:rPr>
          <w:spacing w:val="19"/>
        </w:rPr>
        <w:t> </w:t>
      </w:r>
      <w:r>
        <w:rPr/>
        <w:t>better</w:t>
      </w:r>
      <w:r>
        <w:rPr>
          <w:spacing w:val="20"/>
        </w:rPr>
        <w:t> </w:t>
      </w:r>
      <w:r>
        <w:rPr/>
        <w:t>mental</w:t>
      </w:r>
      <w:r>
        <w:rPr>
          <w:spacing w:val="20"/>
        </w:rPr>
        <w:t> </w:t>
      </w:r>
      <w:r>
        <w:rPr>
          <w:spacing w:val="-2"/>
        </w:rPr>
        <w:t>health</w:t>
      </w:r>
    </w:p>
    <w:p>
      <w:pPr>
        <w:pStyle w:val="BodyText"/>
        <w:spacing w:line="276" w:lineRule="auto"/>
        <w:ind w:left="463" w:right="401"/>
        <w:jc w:val="both"/>
      </w:pPr>
      <w:r>
        <w:rPr/>
        <w:t>experiences (higher self-esteem, lower rates of depression, and lower rates of suicidality).</w:t>
      </w:r>
      <w:r>
        <w:rPr>
          <w:vertAlign w:val="superscript"/>
        </w:rPr>
        <w:t>3</w:t>
      </w:r>
      <w:r>
        <w:rPr>
          <w:vertAlign w:val="baseline"/>
        </w:rPr>
        <w:t> Massachusetts-specific data from the same survey found that in the Commonwealth, only 31% of LGBTQ students surveyed were taught positive representations of LGBTQ+ people, history, or events (“inclusive curriculum”), 54% said they had access to inclusive library resources, and 15% of LGBTQ+ students in Massachusetts reported receiving LGBTQ+-inclusive sex education at school.</w:t>
      </w:r>
      <w:hyperlink w:history="true" w:anchor="_bookmark46">
        <w:r>
          <w:rPr>
            <w:vertAlign w:val="superscript"/>
          </w:rPr>
          <w:t>7</w:t>
        </w:r>
      </w:hyperlink>
    </w:p>
    <w:p>
      <w:pPr>
        <w:pStyle w:val="BodyText"/>
        <w:spacing w:line="276" w:lineRule="auto" w:before="240"/>
        <w:ind w:left="463" w:right="400"/>
        <w:jc w:val="both"/>
      </w:pPr>
      <w:r>
        <w:rPr/>
        <w:t>However,</w:t>
      </w:r>
      <w:r>
        <w:rPr>
          <w:spacing w:val="-4"/>
        </w:rPr>
        <w:t> </w:t>
      </w:r>
      <w:r>
        <w:rPr/>
        <w:t>mere</w:t>
      </w:r>
      <w:r>
        <w:rPr>
          <w:spacing w:val="-4"/>
        </w:rPr>
        <w:t> </w:t>
      </w:r>
      <w:r>
        <w:rPr/>
        <w:t>inclusion</w:t>
      </w:r>
      <w:r>
        <w:rPr>
          <w:spacing w:val="-4"/>
        </w:rPr>
        <w:t> </w:t>
      </w:r>
      <w:r>
        <w:rPr/>
        <w:t>of</w:t>
      </w:r>
      <w:r>
        <w:rPr>
          <w:spacing w:val="-4"/>
        </w:rPr>
        <w:t> </w:t>
      </w:r>
      <w:r>
        <w:rPr/>
        <w:t>LGBTQ</w:t>
      </w:r>
      <w:r>
        <w:rPr>
          <w:spacing w:val="-4"/>
        </w:rPr>
        <w:t> </w:t>
      </w:r>
      <w:r>
        <w:rPr/>
        <w:t>perspectives,</w:t>
      </w:r>
      <w:r>
        <w:rPr>
          <w:spacing w:val="-4"/>
        </w:rPr>
        <w:t> </w:t>
      </w:r>
      <w:r>
        <w:rPr/>
        <w:t>people,</w:t>
      </w:r>
      <w:r>
        <w:rPr>
          <w:spacing w:val="-4"/>
        </w:rPr>
        <w:t> </w:t>
      </w:r>
      <w:r>
        <w:rPr/>
        <w:t>topics,</w:t>
      </w:r>
      <w:r>
        <w:rPr>
          <w:spacing w:val="-4"/>
        </w:rPr>
        <w:t> </w:t>
      </w:r>
      <w:r>
        <w:rPr/>
        <w:t>etc.</w:t>
      </w:r>
      <w:r>
        <w:rPr>
          <w:spacing w:val="-4"/>
        </w:rPr>
        <w:t> </w:t>
      </w:r>
      <w:r>
        <w:rPr/>
        <w:t>is</w:t>
      </w:r>
      <w:r>
        <w:rPr>
          <w:spacing w:val="-4"/>
        </w:rPr>
        <w:t> </w:t>
      </w:r>
      <w:r>
        <w:rPr/>
        <w:t>not</w:t>
      </w:r>
      <w:r>
        <w:rPr>
          <w:spacing w:val="-4"/>
        </w:rPr>
        <w:t> </w:t>
      </w:r>
      <w:r>
        <w:rPr/>
        <w:t>sufficient</w:t>
      </w:r>
      <w:r>
        <w:rPr>
          <w:spacing w:val="-4"/>
        </w:rPr>
        <w:t> </w:t>
      </w:r>
      <w:r>
        <w:rPr/>
        <w:t>to</w:t>
      </w:r>
      <w:r>
        <w:rPr>
          <w:spacing w:val="-3"/>
        </w:rPr>
        <w:t> </w:t>
      </w:r>
      <w:r>
        <w:rPr/>
        <w:t>make</w:t>
      </w:r>
      <w:r>
        <w:rPr>
          <w:spacing w:val="-3"/>
        </w:rPr>
        <w:t> </w:t>
      </w:r>
      <w:r>
        <w:rPr/>
        <w:t>the</w:t>
      </w:r>
      <w:r>
        <w:rPr>
          <w:spacing w:val="-4"/>
        </w:rPr>
        <w:t> </w:t>
      </w:r>
      <w:r>
        <w:rPr/>
        <w:t>type of liberatory educational change the Commission advocates for. Intersectional curricular inclusion of queer and trans perspectives (i.e., curricular content that examines the intersections of race, class, gender, sexuality, ability, immigration status, etc.) is required to work towards schools as liberatory environments for all LGBTQ students,</w:t>
      </w:r>
      <w:hyperlink w:history="true" w:anchor="_bookmark47">
        <w:r>
          <w:rPr>
            <w:vertAlign w:val="superscript"/>
          </w:rPr>
          <w:t>8</w:t>
        </w:r>
      </w:hyperlink>
      <w:r>
        <w:rPr>
          <w:spacing w:val="-3"/>
          <w:vertAlign w:val="baseline"/>
        </w:rPr>
        <w:t> </w:t>
      </w:r>
      <w:r>
        <w:rPr>
          <w:vertAlign w:val="baseline"/>
        </w:rPr>
        <w:t>including populations such as BIPOC LGBTQ students, LGBTQ students who are immigrants, disabled LGBTQ students, and LGBTQ students with multiple marginalized</w:t>
      </w:r>
      <w:r>
        <w:rPr>
          <w:spacing w:val="-3"/>
          <w:vertAlign w:val="baseline"/>
        </w:rPr>
        <w:t> </w:t>
      </w:r>
      <w:r>
        <w:rPr>
          <w:vertAlign w:val="baseline"/>
        </w:rPr>
        <w:t>identities.</w:t>
      </w:r>
      <w:r>
        <w:rPr>
          <w:spacing w:val="-4"/>
          <w:vertAlign w:val="baseline"/>
        </w:rPr>
        <w:t> </w:t>
      </w:r>
      <w:r>
        <w:rPr>
          <w:vertAlign w:val="baseline"/>
        </w:rPr>
        <w:t>As</w:t>
      </w:r>
      <w:r>
        <w:rPr>
          <w:spacing w:val="-2"/>
          <w:vertAlign w:val="baseline"/>
        </w:rPr>
        <w:t> </w:t>
      </w:r>
      <w:r>
        <w:rPr>
          <w:vertAlign w:val="baseline"/>
        </w:rPr>
        <w:t>such,</w:t>
      </w:r>
      <w:r>
        <w:rPr>
          <w:spacing w:val="-5"/>
          <w:vertAlign w:val="baseline"/>
        </w:rPr>
        <w:t> </w:t>
      </w:r>
      <w:r>
        <w:rPr>
          <w:vertAlign w:val="baseline"/>
        </w:rPr>
        <w:t>administrators</w:t>
      </w:r>
      <w:r>
        <w:rPr>
          <w:spacing w:val="-5"/>
          <w:vertAlign w:val="baseline"/>
        </w:rPr>
        <w:t> </w:t>
      </w:r>
      <w:r>
        <w:rPr>
          <w:vertAlign w:val="baseline"/>
        </w:rPr>
        <w:t>should</w:t>
      </w:r>
      <w:r>
        <w:rPr>
          <w:spacing w:val="-5"/>
          <w:vertAlign w:val="baseline"/>
        </w:rPr>
        <w:t> </w:t>
      </w:r>
      <w:r>
        <w:rPr>
          <w:vertAlign w:val="baseline"/>
        </w:rPr>
        <w:t>proactively</w:t>
      </w:r>
      <w:r>
        <w:rPr>
          <w:spacing w:val="-3"/>
          <w:vertAlign w:val="baseline"/>
        </w:rPr>
        <w:t> </w:t>
      </w:r>
      <w:r>
        <w:rPr>
          <w:vertAlign w:val="baseline"/>
        </w:rPr>
        <w:t>voice</w:t>
      </w:r>
      <w:r>
        <w:rPr>
          <w:spacing w:val="-4"/>
          <w:vertAlign w:val="baseline"/>
        </w:rPr>
        <w:t> </w:t>
      </w:r>
      <w:r>
        <w:rPr>
          <w:vertAlign w:val="baseline"/>
        </w:rPr>
        <w:t>their</w:t>
      </w:r>
      <w:r>
        <w:rPr>
          <w:spacing w:val="-4"/>
          <w:vertAlign w:val="baseline"/>
        </w:rPr>
        <w:t> </w:t>
      </w:r>
      <w:r>
        <w:rPr>
          <w:vertAlign w:val="baseline"/>
        </w:rPr>
        <w:t>support</w:t>
      </w:r>
      <w:r>
        <w:rPr>
          <w:spacing w:val="-6"/>
          <w:vertAlign w:val="baseline"/>
        </w:rPr>
        <w:t> </w:t>
      </w:r>
      <w:r>
        <w:rPr>
          <w:vertAlign w:val="baseline"/>
        </w:rPr>
        <w:t>of</w:t>
      </w:r>
      <w:r>
        <w:rPr>
          <w:spacing w:val="-4"/>
          <w:vertAlign w:val="baseline"/>
        </w:rPr>
        <w:t> </w:t>
      </w:r>
      <w:r>
        <w:rPr>
          <w:vertAlign w:val="baseline"/>
        </w:rPr>
        <w:t>and</w:t>
      </w:r>
      <w:r>
        <w:rPr>
          <w:spacing w:val="-3"/>
          <w:vertAlign w:val="baseline"/>
        </w:rPr>
        <w:t> </w:t>
      </w:r>
      <w:r>
        <w:rPr>
          <w:vertAlign w:val="baseline"/>
        </w:rPr>
        <w:t>seek</w:t>
      </w:r>
      <w:r>
        <w:rPr>
          <w:spacing w:val="-5"/>
          <w:vertAlign w:val="baseline"/>
        </w:rPr>
        <w:t> </w:t>
      </w:r>
      <w:r>
        <w:rPr>
          <w:vertAlign w:val="baseline"/>
        </w:rPr>
        <w:t>out intersectional LGBTQ-affirming curriculum and educational materials, as supported by the Principles for Ensuring Safe and Supportive Learning Environments for LGBTQ Students.</w:t>
      </w:r>
      <w:hyperlink w:history="true" w:anchor="_bookmark48">
        <w:r>
          <w:rPr>
            <w:vertAlign w:val="superscript"/>
          </w:rPr>
          <w:t>9</w:t>
        </w:r>
      </w:hyperlink>
    </w:p>
    <w:p>
      <w:pPr>
        <w:pStyle w:val="BodyText"/>
        <w:spacing w:before="8"/>
        <w:rPr>
          <w:sz w:val="17"/>
        </w:rPr>
      </w:pPr>
      <w:r>
        <w:rPr/>
        <w:drawing>
          <wp:anchor distT="0" distB="0" distL="0" distR="0" allowOverlap="1" layoutInCell="1" locked="0" behindDoc="1" simplePos="0" relativeHeight="487603712">
            <wp:simplePos x="0" y="0"/>
            <wp:positionH relativeFrom="page">
              <wp:posOffset>1005839</wp:posOffset>
            </wp:positionH>
            <wp:positionV relativeFrom="paragraph">
              <wp:posOffset>152431</wp:posOffset>
            </wp:positionV>
            <wp:extent cx="5915237" cy="731519"/>
            <wp:effectExtent l="0" t="0" r="0" b="0"/>
            <wp:wrapTopAndBottom/>
            <wp:docPr id="134" name="Image 134" descr="A close up of a text  Description automatically generated "/>
            <wp:cNvGraphicFramePr>
              <a:graphicFrameLocks/>
            </wp:cNvGraphicFramePr>
            <a:graphic>
              <a:graphicData uri="http://schemas.openxmlformats.org/drawingml/2006/picture">
                <pic:pic>
                  <pic:nvPicPr>
                    <pic:cNvPr id="134" name="Image 134" descr="A close up of a text  Description automatically generated "/>
                    <pic:cNvPicPr/>
                  </pic:nvPicPr>
                  <pic:blipFill>
                    <a:blip r:embed="rId105" cstate="print"/>
                    <a:stretch>
                      <a:fillRect/>
                    </a:stretch>
                  </pic:blipFill>
                  <pic:spPr>
                    <a:xfrm>
                      <a:off x="0" y="0"/>
                      <a:ext cx="5915237" cy="731519"/>
                    </a:xfrm>
                    <a:prstGeom prst="rect">
                      <a:avLst/>
                    </a:prstGeom>
                  </pic:spPr>
                </pic:pic>
              </a:graphicData>
            </a:graphic>
          </wp:anchor>
        </w:drawing>
      </w:r>
    </w:p>
    <w:p>
      <w:pPr>
        <w:pStyle w:val="BodyText"/>
        <w:spacing w:before="31"/>
      </w:pPr>
    </w:p>
    <w:p>
      <w:pPr>
        <w:pStyle w:val="BodyText"/>
        <w:spacing w:line="276" w:lineRule="auto" w:before="1"/>
        <w:ind w:left="464" w:right="403"/>
        <w:jc w:val="both"/>
      </w:pPr>
      <w:r>
        <w:rPr/>
        <w:t>Furthermore, policymakers and educators should ensure that the contributions of LGBTQ people be included</w:t>
      </w:r>
      <w:r>
        <w:rPr>
          <w:spacing w:val="29"/>
        </w:rPr>
        <w:t> </w:t>
      </w:r>
      <w:r>
        <w:rPr/>
        <w:t>in</w:t>
      </w:r>
      <w:r>
        <w:rPr>
          <w:spacing w:val="29"/>
        </w:rPr>
        <w:t> </w:t>
      </w:r>
      <w:r>
        <w:rPr/>
        <w:t>all</w:t>
      </w:r>
      <w:r>
        <w:rPr>
          <w:spacing w:val="29"/>
        </w:rPr>
        <w:t> </w:t>
      </w:r>
      <w:r>
        <w:rPr/>
        <w:t>subject</w:t>
      </w:r>
      <w:r>
        <w:rPr>
          <w:spacing w:val="28"/>
        </w:rPr>
        <w:t> </w:t>
      </w:r>
      <w:r>
        <w:rPr/>
        <w:t>areas</w:t>
      </w:r>
      <w:r>
        <w:rPr>
          <w:spacing w:val="29"/>
        </w:rPr>
        <w:t> </w:t>
      </w:r>
      <w:r>
        <w:rPr/>
        <w:t>through</w:t>
      </w:r>
      <w:r>
        <w:rPr>
          <w:spacing w:val="30"/>
        </w:rPr>
        <w:t> </w:t>
      </w:r>
      <w:r>
        <w:rPr/>
        <w:t>the</w:t>
      </w:r>
      <w:r>
        <w:rPr>
          <w:spacing w:val="28"/>
        </w:rPr>
        <w:t> </w:t>
      </w:r>
      <w:r>
        <w:rPr/>
        <w:t>statewide</w:t>
      </w:r>
      <w:r>
        <w:rPr>
          <w:spacing w:val="30"/>
        </w:rPr>
        <w:t> </w:t>
      </w:r>
      <w:r>
        <w:rPr/>
        <w:t>frameworks,</w:t>
      </w:r>
      <w:r>
        <w:rPr>
          <w:spacing w:val="29"/>
        </w:rPr>
        <w:t> </w:t>
      </w:r>
      <w:r>
        <w:rPr/>
        <w:t>and</w:t>
      </w:r>
      <w:r>
        <w:rPr>
          <w:spacing w:val="29"/>
        </w:rPr>
        <w:t> </w:t>
      </w:r>
      <w:r>
        <w:rPr/>
        <w:t>that</w:t>
      </w:r>
      <w:r>
        <w:rPr>
          <w:spacing w:val="28"/>
        </w:rPr>
        <w:t> </w:t>
      </w:r>
      <w:r>
        <w:rPr/>
        <w:t>BIPOC</w:t>
      </w:r>
      <w:r>
        <w:rPr>
          <w:spacing w:val="29"/>
        </w:rPr>
        <w:t> </w:t>
      </w:r>
      <w:r>
        <w:rPr/>
        <w:t>perspectives</w:t>
      </w:r>
      <w:r>
        <w:rPr>
          <w:spacing w:val="29"/>
        </w:rPr>
        <w:t> </w:t>
      </w:r>
      <w:r>
        <w:rPr/>
        <w:t>and</w:t>
      </w:r>
    </w:p>
    <w:p>
      <w:pPr>
        <w:spacing w:after="0" w:line="276" w:lineRule="auto"/>
        <w:jc w:val="both"/>
        <w:sectPr>
          <w:pgSz w:w="12240" w:h="15840"/>
          <w:pgMar w:header="763" w:footer="1041" w:top="1140" w:bottom="1240" w:left="1120" w:right="1180"/>
        </w:sectPr>
      </w:pPr>
    </w:p>
    <w:p>
      <w:pPr>
        <w:pStyle w:val="BodyText"/>
        <w:spacing w:line="276" w:lineRule="auto" w:before="66"/>
        <w:ind w:left="464" w:right="400"/>
        <w:jc w:val="both"/>
      </w:pPr>
      <w:r>
        <w:rPr/>
        <w:t>histories</w:t>
      </w:r>
      <w:r>
        <w:rPr>
          <w:spacing w:val="-6"/>
        </w:rPr>
        <w:t> </w:t>
      </w:r>
      <w:r>
        <w:rPr/>
        <w:t>are</w:t>
      </w:r>
      <w:r>
        <w:rPr>
          <w:spacing w:val="-5"/>
        </w:rPr>
        <w:t> </w:t>
      </w:r>
      <w:r>
        <w:rPr/>
        <w:t>represented</w:t>
      </w:r>
      <w:r>
        <w:rPr>
          <w:spacing w:val="-6"/>
        </w:rPr>
        <w:t> </w:t>
      </w:r>
      <w:r>
        <w:rPr/>
        <w:t>accurately</w:t>
      </w:r>
      <w:r>
        <w:rPr>
          <w:spacing w:val="-5"/>
        </w:rPr>
        <w:t> </w:t>
      </w:r>
      <w:r>
        <w:rPr/>
        <w:t>in</w:t>
      </w:r>
      <w:r>
        <w:rPr>
          <w:spacing w:val="-6"/>
        </w:rPr>
        <w:t> </w:t>
      </w:r>
      <w:r>
        <w:rPr/>
        <w:t>all</w:t>
      </w:r>
      <w:r>
        <w:rPr>
          <w:spacing w:val="-7"/>
        </w:rPr>
        <w:t> </w:t>
      </w:r>
      <w:r>
        <w:rPr/>
        <w:t>subject</w:t>
      </w:r>
      <w:r>
        <w:rPr>
          <w:spacing w:val="-6"/>
        </w:rPr>
        <w:t> </w:t>
      </w:r>
      <w:r>
        <w:rPr/>
        <w:t>areas.</w:t>
      </w:r>
      <w:r>
        <w:rPr>
          <w:spacing w:val="36"/>
        </w:rPr>
        <w:t> </w:t>
      </w:r>
      <w:r>
        <w:rPr/>
        <w:t>An</w:t>
      </w:r>
      <w:r>
        <w:rPr>
          <w:spacing w:val="-6"/>
        </w:rPr>
        <w:t> </w:t>
      </w:r>
      <w:r>
        <w:rPr/>
        <w:t>Act</w:t>
      </w:r>
      <w:r>
        <w:rPr>
          <w:spacing w:val="-6"/>
        </w:rPr>
        <w:t> </w:t>
      </w:r>
      <w:r>
        <w:rPr/>
        <w:t>relative</w:t>
      </w:r>
      <w:r>
        <w:rPr>
          <w:spacing w:val="-7"/>
        </w:rPr>
        <w:t> </w:t>
      </w:r>
      <w:r>
        <w:rPr/>
        <w:t>to</w:t>
      </w:r>
      <w:r>
        <w:rPr>
          <w:spacing w:val="-5"/>
        </w:rPr>
        <w:t> </w:t>
      </w:r>
      <w:r>
        <w:rPr/>
        <w:t>LGBTQ</w:t>
      </w:r>
      <w:r>
        <w:rPr>
          <w:spacing w:val="-7"/>
        </w:rPr>
        <w:t> </w:t>
      </w:r>
      <w:r>
        <w:rPr/>
        <w:t>inclusive</w:t>
      </w:r>
      <w:r>
        <w:rPr>
          <w:spacing w:val="-5"/>
        </w:rPr>
        <w:t> </w:t>
      </w:r>
      <w:r>
        <w:rPr/>
        <w:t>curriculum would</w:t>
      </w:r>
      <w:r>
        <w:rPr>
          <w:spacing w:val="-4"/>
        </w:rPr>
        <w:t> </w:t>
      </w:r>
      <w:r>
        <w:rPr/>
        <w:t>ensure</w:t>
      </w:r>
      <w:r>
        <w:rPr>
          <w:spacing w:val="-3"/>
        </w:rPr>
        <w:t> </w:t>
      </w:r>
      <w:r>
        <w:rPr/>
        <w:t>that</w:t>
      </w:r>
      <w:r>
        <w:rPr>
          <w:spacing w:val="-4"/>
        </w:rPr>
        <w:t> </w:t>
      </w:r>
      <w:r>
        <w:rPr/>
        <w:t>all</w:t>
      </w:r>
      <w:r>
        <w:rPr>
          <w:spacing w:val="-3"/>
        </w:rPr>
        <w:t> </w:t>
      </w:r>
      <w:r>
        <w:rPr/>
        <w:t>students</w:t>
      </w:r>
      <w:r>
        <w:rPr>
          <w:spacing w:val="-4"/>
        </w:rPr>
        <w:t> </w:t>
      </w:r>
      <w:r>
        <w:rPr/>
        <w:t>receive</w:t>
      </w:r>
      <w:r>
        <w:rPr>
          <w:spacing w:val="-4"/>
        </w:rPr>
        <w:t> </w:t>
      </w:r>
      <w:r>
        <w:rPr/>
        <w:t>"sufficient</w:t>
      </w:r>
      <w:r>
        <w:rPr>
          <w:spacing w:val="-4"/>
        </w:rPr>
        <w:t> </w:t>
      </w:r>
      <w:r>
        <w:rPr/>
        <w:t>instruction</w:t>
      </w:r>
      <w:r>
        <w:rPr>
          <w:spacing w:val="-3"/>
        </w:rPr>
        <w:t> </w:t>
      </w:r>
      <w:r>
        <w:rPr/>
        <w:t>on</w:t>
      </w:r>
      <w:r>
        <w:rPr>
          <w:spacing w:val="-4"/>
        </w:rPr>
        <w:t> </w:t>
      </w:r>
      <w:r>
        <w:rPr/>
        <w:t>the</w:t>
      </w:r>
      <w:r>
        <w:rPr>
          <w:spacing w:val="-3"/>
        </w:rPr>
        <w:t> </w:t>
      </w:r>
      <w:r>
        <w:rPr/>
        <w:t>histories,</w:t>
      </w:r>
      <w:r>
        <w:rPr>
          <w:spacing w:val="-4"/>
        </w:rPr>
        <w:t> </w:t>
      </w:r>
      <w:r>
        <w:rPr/>
        <w:t>roles,</w:t>
      </w:r>
      <w:r>
        <w:rPr>
          <w:spacing w:val="-4"/>
        </w:rPr>
        <w:t> </w:t>
      </w:r>
      <w:r>
        <w:rPr/>
        <w:t>and</w:t>
      </w:r>
      <w:r>
        <w:rPr>
          <w:spacing w:val="-4"/>
        </w:rPr>
        <w:t> </w:t>
      </w:r>
      <w:r>
        <w:rPr/>
        <w:t>contributions of lesbian, gay, bisexual, transgender, and queer people in the history of this country and this </w:t>
      </w:r>
      <w:r>
        <w:rPr>
          <w:spacing w:val="-2"/>
        </w:rPr>
        <w:t>Commonwealth."</w:t>
      </w:r>
    </w:p>
    <w:p>
      <w:pPr>
        <w:pStyle w:val="BodyText"/>
        <w:spacing w:line="276" w:lineRule="auto" w:before="239"/>
        <w:ind w:left="463" w:right="401"/>
        <w:jc w:val="both"/>
      </w:pPr>
      <w:r>
        <w:rPr/>
        <w:t>Intersectional LGBTQ-affirming curriculum refers not only to classroom content, but also to books available</w:t>
      </w:r>
      <w:r>
        <w:rPr>
          <w:spacing w:val="-8"/>
        </w:rPr>
        <w:t> </w:t>
      </w:r>
      <w:r>
        <w:rPr/>
        <w:t>in</w:t>
      </w:r>
      <w:r>
        <w:rPr>
          <w:spacing w:val="-6"/>
        </w:rPr>
        <w:t> </w:t>
      </w:r>
      <w:r>
        <w:rPr/>
        <w:t>the</w:t>
      </w:r>
      <w:r>
        <w:rPr>
          <w:spacing w:val="-7"/>
        </w:rPr>
        <w:t> </w:t>
      </w:r>
      <w:r>
        <w:rPr/>
        <w:t>library</w:t>
      </w:r>
      <w:r>
        <w:rPr>
          <w:spacing w:val="-8"/>
        </w:rPr>
        <w:t> </w:t>
      </w:r>
      <w:r>
        <w:rPr/>
        <w:t>and</w:t>
      </w:r>
      <w:r>
        <w:rPr>
          <w:spacing w:val="-7"/>
        </w:rPr>
        <w:t> </w:t>
      </w:r>
      <w:r>
        <w:rPr/>
        <w:t>posters,</w:t>
      </w:r>
      <w:r>
        <w:rPr>
          <w:spacing w:val="-6"/>
        </w:rPr>
        <w:t> </w:t>
      </w:r>
      <w:r>
        <w:rPr/>
        <w:t>bulletin</w:t>
      </w:r>
      <w:r>
        <w:rPr>
          <w:spacing w:val="-7"/>
        </w:rPr>
        <w:t> </w:t>
      </w:r>
      <w:r>
        <w:rPr/>
        <w:t>boards,</w:t>
      </w:r>
      <w:r>
        <w:rPr>
          <w:spacing w:val="-7"/>
        </w:rPr>
        <w:t> </w:t>
      </w:r>
      <w:r>
        <w:rPr/>
        <w:t>and</w:t>
      </w:r>
      <w:r>
        <w:rPr>
          <w:spacing w:val="-7"/>
        </w:rPr>
        <w:t> </w:t>
      </w:r>
      <w:r>
        <w:rPr/>
        <w:t>other</w:t>
      </w:r>
      <w:r>
        <w:rPr>
          <w:spacing w:val="-6"/>
        </w:rPr>
        <w:t> </w:t>
      </w:r>
      <w:r>
        <w:rPr/>
        <w:t>visual</w:t>
      </w:r>
      <w:r>
        <w:rPr>
          <w:spacing w:val="-8"/>
        </w:rPr>
        <w:t> </w:t>
      </w:r>
      <w:r>
        <w:rPr/>
        <w:t>displays</w:t>
      </w:r>
      <w:r>
        <w:rPr>
          <w:spacing w:val="-6"/>
        </w:rPr>
        <w:t> </w:t>
      </w:r>
      <w:r>
        <w:rPr/>
        <w:t>found</w:t>
      </w:r>
      <w:r>
        <w:rPr>
          <w:spacing w:val="-7"/>
        </w:rPr>
        <w:t> </w:t>
      </w:r>
      <w:r>
        <w:rPr/>
        <w:t>around</w:t>
      </w:r>
      <w:r>
        <w:rPr>
          <w:spacing w:val="-6"/>
        </w:rPr>
        <w:t> </w:t>
      </w:r>
      <w:r>
        <w:rPr/>
        <w:t>the</w:t>
      </w:r>
      <w:r>
        <w:rPr>
          <w:spacing w:val="-8"/>
        </w:rPr>
        <w:t> </w:t>
      </w:r>
      <w:r>
        <w:rPr/>
        <w:t>school. For</w:t>
      </w:r>
      <w:r>
        <w:rPr>
          <w:spacing w:val="-13"/>
        </w:rPr>
        <w:t> </w:t>
      </w:r>
      <w:r>
        <w:rPr/>
        <w:t>example,</w:t>
      </w:r>
      <w:r>
        <w:rPr>
          <w:spacing w:val="-12"/>
        </w:rPr>
        <w:t> </w:t>
      </w:r>
      <w:r>
        <w:rPr/>
        <w:t>according</w:t>
      </w:r>
      <w:r>
        <w:rPr>
          <w:spacing w:val="-13"/>
        </w:rPr>
        <w:t> </w:t>
      </w:r>
      <w:r>
        <w:rPr/>
        <w:t>to</w:t>
      </w:r>
      <w:r>
        <w:rPr>
          <w:spacing w:val="-12"/>
        </w:rPr>
        <w:t> </w:t>
      </w:r>
      <w:r>
        <w:rPr/>
        <w:t>GLSEN,</w:t>
      </w:r>
      <w:r>
        <w:rPr>
          <w:spacing w:val="-13"/>
        </w:rPr>
        <w:t> </w:t>
      </w:r>
      <w:r>
        <w:rPr/>
        <w:t>LGBTQ</w:t>
      </w:r>
      <w:r>
        <w:rPr>
          <w:spacing w:val="-12"/>
        </w:rPr>
        <w:t> </w:t>
      </w:r>
      <w:r>
        <w:rPr/>
        <w:t>students</w:t>
      </w:r>
      <w:r>
        <w:rPr>
          <w:spacing w:val="-13"/>
        </w:rPr>
        <w:t> </w:t>
      </w:r>
      <w:r>
        <w:rPr/>
        <w:t>who</w:t>
      </w:r>
      <w:r>
        <w:rPr>
          <w:spacing w:val="-12"/>
        </w:rPr>
        <w:t> </w:t>
      </w:r>
      <w:r>
        <w:rPr/>
        <w:t>reported</w:t>
      </w:r>
      <w:r>
        <w:rPr>
          <w:spacing w:val="-12"/>
        </w:rPr>
        <w:t> </w:t>
      </w:r>
      <w:r>
        <w:rPr/>
        <w:t>seeing</w:t>
      </w:r>
      <w:r>
        <w:rPr>
          <w:spacing w:val="-13"/>
        </w:rPr>
        <w:t> </w:t>
      </w:r>
      <w:r>
        <w:rPr/>
        <w:t>Safe</w:t>
      </w:r>
      <w:r>
        <w:rPr>
          <w:spacing w:val="-12"/>
        </w:rPr>
        <w:t> </w:t>
      </w:r>
      <w:r>
        <w:rPr/>
        <w:t>Space</w:t>
      </w:r>
      <w:r>
        <w:rPr>
          <w:spacing w:val="-13"/>
        </w:rPr>
        <w:t> </w:t>
      </w:r>
      <w:r>
        <w:rPr/>
        <w:t>stickers</w:t>
      </w:r>
      <w:r>
        <w:rPr>
          <w:spacing w:val="-12"/>
        </w:rPr>
        <w:t> </w:t>
      </w:r>
      <w:r>
        <w:rPr/>
        <w:t>and</w:t>
      </w:r>
      <w:r>
        <w:rPr>
          <w:spacing w:val="-13"/>
        </w:rPr>
        <w:t> </w:t>
      </w:r>
      <w:r>
        <w:rPr/>
        <w:t>posters in their schools were more likely to report having one or more supportive adults at school, as well as had more positive mental health outcomes.</w:t>
      </w:r>
      <w:r>
        <w:rPr>
          <w:vertAlign w:val="superscript"/>
        </w:rPr>
        <w:t>3</w:t>
      </w:r>
      <w:r>
        <w:rPr>
          <w:spacing w:val="-13"/>
          <w:vertAlign w:val="baseline"/>
        </w:rPr>
        <w:t> </w:t>
      </w:r>
      <w:r>
        <w:rPr>
          <w:vertAlign w:val="baseline"/>
        </w:rPr>
        <w:t>Given the efficacy of this approach, it is concerning that some schools and school committees have provided unclear or oppositional guidance to staff about affirming displays, such as a recent (unanimously rejected) proposal to the Pembroke School Committee</w:t>
      </w:r>
      <w:r>
        <w:rPr>
          <w:spacing w:val="-4"/>
          <w:vertAlign w:val="baseline"/>
        </w:rPr>
        <w:t> </w:t>
      </w:r>
      <w:r>
        <w:rPr>
          <w:vertAlign w:val="baseline"/>
        </w:rPr>
        <w:t>that</w:t>
      </w:r>
      <w:r>
        <w:rPr>
          <w:spacing w:val="-5"/>
          <w:vertAlign w:val="baseline"/>
        </w:rPr>
        <w:t> </w:t>
      </w:r>
      <w:r>
        <w:rPr>
          <w:vertAlign w:val="baseline"/>
        </w:rPr>
        <w:t>would’ve</w:t>
      </w:r>
      <w:r>
        <w:rPr>
          <w:spacing w:val="-4"/>
          <w:vertAlign w:val="baseline"/>
        </w:rPr>
        <w:t> </w:t>
      </w:r>
      <w:r>
        <w:rPr>
          <w:vertAlign w:val="baseline"/>
        </w:rPr>
        <w:t>prohibited</w:t>
      </w:r>
      <w:r>
        <w:rPr>
          <w:spacing w:val="-5"/>
          <w:vertAlign w:val="baseline"/>
        </w:rPr>
        <w:t> </w:t>
      </w:r>
      <w:r>
        <w:rPr>
          <w:vertAlign w:val="baseline"/>
        </w:rPr>
        <w:t>educators</w:t>
      </w:r>
      <w:r>
        <w:rPr>
          <w:spacing w:val="-5"/>
          <w:vertAlign w:val="baseline"/>
        </w:rPr>
        <w:t> </w:t>
      </w:r>
      <w:r>
        <w:rPr>
          <w:vertAlign w:val="baseline"/>
        </w:rPr>
        <w:t>from</w:t>
      </w:r>
      <w:r>
        <w:rPr>
          <w:spacing w:val="-3"/>
          <w:vertAlign w:val="baseline"/>
        </w:rPr>
        <w:t> </w:t>
      </w:r>
      <w:r>
        <w:rPr>
          <w:vertAlign w:val="baseline"/>
        </w:rPr>
        <w:t>displaying</w:t>
      </w:r>
      <w:r>
        <w:rPr>
          <w:spacing w:val="-4"/>
          <w:vertAlign w:val="baseline"/>
        </w:rPr>
        <w:t> </w:t>
      </w:r>
      <w:r>
        <w:rPr>
          <w:vertAlign w:val="baseline"/>
        </w:rPr>
        <w:t>Pride</w:t>
      </w:r>
      <w:r>
        <w:rPr>
          <w:spacing w:val="-5"/>
          <w:vertAlign w:val="baseline"/>
        </w:rPr>
        <w:t> </w:t>
      </w:r>
      <w:r>
        <w:rPr>
          <w:vertAlign w:val="baseline"/>
        </w:rPr>
        <w:t>flags</w:t>
      </w:r>
      <w:r>
        <w:rPr>
          <w:spacing w:val="-4"/>
          <w:vertAlign w:val="baseline"/>
        </w:rPr>
        <w:t> </w:t>
      </w:r>
      <w:r>
        <w:rPr>
          <w:vertAlign w:val="baseline"/>
        </w:rPr>
        <w:t>or</w:t>
      </w:r>
      <w:r>
        <w:rPr>
          <w:spacing w:val="-5"/>
          <w:vertAlign w:val="baseline"/>
        </w:rPr>
        <w:t> </w:t>
      </w:r>
      <w:r>
        <w:rPr>
          <w:vertAlign w:val="baseline"/>
        </w:rPr>
        <w:t>other</w:t>
      </w:r>
      <w:r>
        <w:rPr>
          <w:spacing w:val="-5"/>
          <w:vertAlign w:val="baseline"/>
        </w:rPr>
        <w:t> </w:t>
      </w:r>
      <w:r>
        <w:rPr>
          <w:vertAlign w:val="baseline"/>
        </w:rPr>
        <w:t>activist</w:t>
      </w:r>
      <w:r>
        <w:rPr>
          <w:spacing w:val="-4"/>
          <w:vertAlign w:val="baseline"/>
        </w:rPr>
        <w:t> </w:t>
      </w:r>
      <w:r>
        <w:rPr>
          <w:vertAlign w:val="baseline"/>
        </w:rPr>
        <w:t>symbols</w:t>
      </w:r>
      <w:r>
        <w:rPr>
          <w:spacing w:val="-5"/>
          <w:vertAlign w:val="baseline"/>
        </w:rPr>
        <w:t> </w:t>
      </w:r>
      <w:r>
        <w:rPr>
          <w:vertAlign w:val="baseline"/>
        </w:rPr>
        <w:t>in their</w:t>
      </w:r>
      <w:r>
        <w:rPr>
          <w:spacing w:val="-11"/>
          <w:vertAlign w:val="baseline"/>
        </w:rPr>
        <w:t> </w:t>
      </w:r>
      <w:r>
        <w:rPr>
          <w:vertAlign w:val="baseline"/>
        </w:rPr>
        <w:t>classrooms.</w:t>
      </w:r>
      <w:hyperlink w:history="true" w:anchor="_bookmark49">
        <w:r>
          <w:rPr>
            <w:vertAlign w:val="superscript"/>
          </w:rPr>
          <w:t>10</w:t>
        </w:r>
      </w:hyperlink>
      <w:r>
        <w:rPr>
          <w:spacing w:val="-3"/>
          <w:vertAlign w:val="baseline"/>
        </w:rPr>
        <w:t> </w:t>
      </w:r>
      <w:r>
        <w:rPr>
          <w:vertAlign w:val="baseline"/>
        </w:rPr>
        <w:t>Such</w:t>
      </w:r>
      <w:r>
        <w:rPr>
          <w:spacing w:val="-13"/>
          <w:vertAlign w:val="baseline"/>
        </w:rPr>
        <w:t> </w:t>
      </w:r>
      <w:r>
        <w:rPr>
          <w:vertAlign w:val="baseline"/>
        </w:rPr>
        <w:t>an</w:t>
      </w:r>
      <w:r>
        <w:rPr>
          <w:spacing w:val="-11"/>
          <w:vertAlign w:val="baseline"/>
        </w:rPr>
        <w:t> </w:t>
      </w:r>
      <w:r>
        <w:rPr>
          <w:vertAlign w:val="baseline"/>
        </w:rPr>
        <w:t>example</w:t>
      </w:r>
      <w:r>
        <w:rPr>
          <w:spacing w:val="-12"/>
          <w:vertAlign w:val="baseline"/>
        </w:rPr>
        <w:t> </w:t>
      </w:r>
      <w:r>
        <w:rPr>
          <w:vertAlign w:val="baseline"/>
        </w:rPr>
        <w:t>from</w:t>
      </w:r>
      <w:r>
        <w:rPr>
          <w:spacing w:val="-12"/>
          <w:vertAlign w:val="baseline"/>
        </w:rPr>
        <w:t> </w:t>
      </w:r>
      <w:r>
        <w:rPr>
          <w:vertAlign w:val="baseline"/>
        </w:rPr>
        <w:t>the</w:t>
      </w:r>
      <w:r>
        <w:rPr>
          <w:spacing w:val="-13"/>
          <w:vertAlign w:val="baseline"/>
        </w:rPr>
        <w:t> </w:t>
      </w:r>
      <w:r>
        <w:rPr>
          <w:vertAlign w:val="baseline"/>
        </w:rPr>
        <w:t>Pembroke</w:t>
      </w:r>
      <w:r>
        <w:rPr>
          <w:spacing w:val="-12"/>
          <w:vertAlign w:val="baseline"/>
        </w:rPr>
        <w:t> </w:t>
      </w:r>
      <w:r>
        <w:rPr>
          <w:vertAlign w:val="baseline"/>
        </w:rPr>
        <w:t>School</w:t>
      </w:r>
      <w:r>
        <w:rPr>
          <w:spacing w:val="-13"/>
          <w:vertAlign w:val="baseline"/>
        </w:rPr>
        <w:t> </w:t>
      </w:r>
      <w:r>
        <w:rPr>
          <w:vertAlign w:val="baseline"/>
        </w:rPr>
        <w:t>Committee</w:t>
      </w:r>
      <w:r>
        <w:rPr>
          <w:spacing w:val="-12"/>
          <w:vertAlign w:val="baseline"/>
        </w:rPr>
        <w:t> </w:t>
      </w:r>
      <w:r>
        <w:rPr>
          <w:vertAlign w:val="baseline"/>
        </w:rPr>
        <w:t>is</w:t>
      </w:r>
      <w:r>
        <w:rPr>
          <w:spacing w:val="-12"/>
          <w:vertAlign w:val="baseline"/>
        </w:rPr>
        <w:t> </w:t>
      </w:r>
      <w:r>
        <w:rPr>
          <w:vertAlign w:val="baseline"/>
        </w:rPr>
        <w:t>only</w:t>
      </w:r>
      <w:r>
        <w:rPr>
          <w:spacing w:val="-11"/>
          <w:vertAlign w:val="baseline"/>
        </w:rPr>
        <w:t> </w:t>
      </w:r>
      <w:r>
        <w:rPr>
          <w:vertAlign w:val="baseline"/>
        </w:rPr>
        <w:t>one</w:t>
      </w:r>
      <w:r>
        <w:rPr>
          <w:spacing w:val="-13"/>
          <w:vertAlign w:val="baseline"/>
        </w:rPr>
        <w:t> </w:t>
      </w:r>
      <w:r>
        <w:rPr>
          <w:vertAlign w:val="baseline"/>
        </w:rPr>
        <w:t>instance</w:t>
      </w:r>
      <w:r>
        <w:rPr>
          <w:spacing w:val="-9"/>
          <w:vertAlign w:val="baseline"/>
        </w:rPr>
        <w:t> </w:t>
      </w:r>
      <w:r>
        <w:rPr>
          <w:vertAlign w:val="baseline"/>
        </w:rPr>
        <w:t>among dozens of challenges that Massachusetts school districts have seen in the last couple of years.</w:t>
      </w:r>
    </w:p>
    <w:p>
      <w:pPr>
        <w:pStyle w:val="BodyText"/>
        <w:spacing w:line="276" w:lineRule="auto" w:before="241"/>
        <w:ind w:left="463" w:right="398"/>
        <w:jc w:val="both"/>
      </w:pPr>
      <w:r>
        <w:rPr/>
        <w:t>Given the national climate of anti-LGBTQ legislation, policy, and rhetoric, it is critical that the state respond to the rise of anti-LGBTQ efforts in Massachusetts. Earlier this year, the Boston Globe conducted a survey of 291 public school districts in Massachusetts about book challenges they’ve experienced over the last five years. They found that eight books account for almost a third of all challenges</w:t>
      </w:r>
      <w:r>
        <w:rPr>
          <w:spacing w:val="-13"/>
        </w:rPr>
        <w:t> </w:t>
      </w:r>
      <w:r>
        <w:rPr/>
        <w:t>received,</w:t>
      </w:r>
      <w:r>
        <w:rPr>
          <w:spacing w:val="-12"/>
        </w:rPr>
        <w:t> </w:t>
      </w:r>
      <w:r>
        <w:rPr/>
        <w:t>and</w:t>
      </w:r>
      <w:r>
        <w:rPr>
          <w:spacing w:val="-13"/>
        </w:rPr>
        <w:t> </w:t>
      </w:r>
      <w:r>
        <w:rPr/>
        <w:t>a</w:t>
      </w:r>
      <w:r>
        <w:rPr>
          <w:spacing w:val="-12"/>
        </w:rPr>
        <w:t> </w:t>
      </w:r>
      <w:r>
        <w:rPr/>
        <w:t>majority</w:t>
      </w:r>
      <w:r>
        <w:rPr>
          <w:spacing w:val="-13"/>
        </w:rPr>
        <w:t> </w:t>
      </w:r>
      <w:r>
        <w:rPr/>
        <w:t>of</w:t>
      </w:r>
      <w:r>
        <w:rPr>
          <w:spacing w:val="-12"/>
        </w:rPr>
        <w:t> </w:t>
      </w:r>
      <w:r>
        <w:rPr/>
        <w:t>these</w:t>
      </w:r>
      <w:r>
        <w:rPr>
          <w:spacing w:val="-13"/>
        </w:rPr>
        <w:t> </w:t>
      </w:r>
      <w:r>
        <w:rPr/>
        <w:t>eight</w:t>
      </w:r>
      <w:r>
        <w:rPr>
          <w:spacing w:val="-12"/>
        </w:rPr>
        <w:t> </w:t>
      </w:r>
      <w:r>
        <w:rPr/>
        <w:t>texts</w:t>
      </w:r>
      <w:r>
        <w:rPr>
          <w:spacing w:val="-12"/>
        </w:rPr>
        <w:t> </w:t>
      </w:r>
      <w:r>
        <w:rPr/>
        <w:t>are</w:t>
      </w:r>
      <w:r>
        <w:rPr>
          <w:spacing w:val="-13"/>
        </w:rPr>
        <w:t> </w:t>
      </w:r>
      <w:r>
        <w:rPr/>
        <w:t>graphic</w:t>
      </w:r>
      <w:r>
        <w:rPr>
          <w:spacing w:val="-12"/>
        </w:rPr>
        <w:t> </w:t>
      </w:r>
      <w:r>
        <w:rPr/>
        <w:t>novels</w:t>
      </w:r>
      <w:r>
        <w:rPr>
          <w:spacing w:val="-13"/>
        </w:rPr>
        <w:t> </w:t>
      </w:r>
      <w:r>
        <w:rPr/>
        <w:t>that</w:t>
      </w:r>
      <w:r>
        <w:rPr>
          <w:spacing w:val="-12"/>
        </w:rPr>
        <w:t> </w:t>
      </w:r>
      <w:r>
        <w:rPr/>
        <w:t>address</w:t>
      </w:r>
      <w:r>
        <w:rPr>
          <w:spacing w:val="-13"/>
        </w:rPr>
        <w:t> </w:t>
      </w:r>
      <w:r>
        <w:rPr/>
        <w:t>issues</w:t>
      </w:r>
      <w:r>
        <w:rPr>
          <w:spacing w:val="-12"/>
        </w:rPr>
        <w:t> </w:t>
      </w:r>
      <w:r>
        <w:rPr/>
        <w:t>of</w:t>
      </w:r>
      <w:r>
        <w:rPr>
          <w:spacing w:val="-12"/>
        </w:rPr>
        <w:t> </w:t>
      </w:r>
      <w:r>
        <w:rPr/>
        <w:t>gender and sexuality.</w:t>
      </w:r>
      <w:r>
        <w:rPr>
          <w:spacing w:val="-13"/>
        </w:rPr>
        <w:t> </w:t>
      </w:r>
      <w:hyperlink w:history="true" w:anchor="_bookmark50">
        <w:r>
          <w:rPr>
            <w:vertAlign w:val="superscript"/>
          </w:rPr>
          <w:t>11</w:t>
        </w:r>
      </w:hyperlink>
      <w:r>
        <w:rPr>
          <w:vertAlign w:val="baseline"/>
        </w:rPr>
        <w:t> For instance, in December 2023, police officers searched a classroom in a Great Barrington middle school after a complaint from a school staff member about an LGBTQ educator teaching the book </w:t>
      </w:r>
      <w:r>
        <w:rPr>
          <w:i/>
          <w:vertAlign w:val="baseline"/>
        </w:rPr>
        <w:t>Gender Queer</w:t>
      </w:r>
      <w:r>
        <w:rPr>
          <w:vertAlign w:val="baseline"/>
        </w:rPr>
        <w:t>, alleging it was pornographic.</w:t>
      </w:r>
      <w:hyperlink w:history="true" w:anchor="_bookmark51">
        <w:r>
          <w:rPr>
            <w:vertAlign w:val="superscript"/>
          </w:rPr>
          <w:t>12</w:t>
        </w:r>
      </w:hyperlink>
      <w:r>
        <w:rPr>
          <w:spacing w:val="-2"/>
          <w:vertAlign w:val="baseline"/>
        </w:rPr>
        <w:t> </w:t>
      </w:r>
      <w:r>
        <w:rPr>
          <w:vertAlign w:val="baseline"/>
        </w:rPr>
        <w:t>Furthermore, in July 2023, the Joint Task Force for Intellectual Freedom (which includes members from a variety of library associations around</w:t>
      </w:r>
      <w:r>
        <w:rPr>
          <w:spacing w:val="-6"/>
          <w:vertAlign w:val="baseline"/>
        </w:rPr>
        <w:t> </w:t>
      </w:r>
      <w:r>
        <w:rPr>
          <w:vertAlign w:val="baseline"/>
        </w:rPr>
        <w:t>Massachusetts),</w:t>
      </w:r>
      <w:r>
        <w:rPr>
          <w:spacing w:val="-6"/>
          <w:vertAlign w:val="baseline"/>
        </w:rPr>
        <w:t> </w:t>
      </w:r>
      <w:r>
        <w:rPr>
          <w:vertAlign w:val="baseline"/>
        </w:rPr>
        <w:t>conducted</w:t>
      </w:r>
      <w:r>
        <w:rPr>
          <w:spacing w:val="-5"/>
          <w:vertAlign w:val="baseline"/>
        </w:rPr>
        <w:t> </w:t>
      </w:r>
      <w:r>
        <w:rPr>
          <w:vertAlign w:val="baseline"/>
        </w:rPr>
        <w:t>a</w:t>
      </w:r>
      <w:r>
        <w:rPr>
          <w:spacing w:val="-5"/>
          <w:vertAlign w:val="baseline"/>
        </w:rPr>
        <w:t> </w:t>
      </w:r>
      <w:r>
        <w:rPr>
          <w:vertAlign w:val="baseline"/>
        </w:rPr>
        <w:t>survey</w:t>
      </w:r>
      <w:r>
        <w:rPr>
          <w:spacing w:val="-5"/>
          <w:vertAlign w:val="baseline"/>
        </w:rPr>
        <w:t> </w:t>
      </w:r>
      <w:r>
        <w:rPr>
          <w:vertAlign w:val="baseline"/>
        </w:rPr>
        <w:t>to</w:t>
      </w:r>
      <w:r>
        <w:rPr>
          <w:spacing w:val="-5"/>
          <w:vertAlign w:val="baseline"/>
        </w:rPr>
        <w:t> </w:t>
      </w:r>
      <w:r>
        <w:rPr>
          <w:vertAlign w:val="baseline"/>
        </w:rPr>
        <w:t>understand</w:t>
      </w:r>
      <w:r>
        <w:rPr>
          <w:spacing w:val="-5"/>
          <w:vertAlign w:val="baseline"/>
        </w:rPr>
        <w:t> </w:t>
      </w:r>
      <w:r>
        <w:rPr>
          <w:vertAlign w:val="baseline"/>
        </w:rPr>
        <w:t>the</w:t>
      </w:r>
      <w:r>
        <w:rPr>
          <w:spacing w:val="-5"/>
          <w:vertAlign w:val="baseline"/>
        </w:rPr>
        <w:t> </w:t>
      </w:r>
      <w:r>
        <w:rPr>
          <w:vertAlign w:val="baseline"/>
        </w:rPr>
        <w:t>impact</w:t>
      </w:r>
      <w:r>
        <w:rPr>
          <w:spacing w:val="-6"/>
          <w:vertAlign w:val="baseline"/>
        </w:rPr>
        <w:t> </w:t>
      </w:r>
      <w:r>
        <w:rPr>
          <w:vertAlign w:val="baseline"/>
        </w:rPr>
        <w:t>of</w:t>
      </w:r>
      <w:r>
        <w:rPr>
          <w:spacing w:val="-5"/>
          <w:vertAlign w:val="baseline"/>
        </w:rPr>
        <w:t> </w:t>
      </w:r>
      <w:r>
        <w:rPr>
          <w:vertAlign w:val="baseline"/>
        </w:rPr>
        <w:t>book</w:t>
      </w:r>
      <w:r>
        <w:rPr>
          <w:spacing w:val="-5"/>
          <w:vertAlign w:val="baseline"/>
        </w:rPr>
        <w:t> </w:t>
      </w:r>
      <w:r>
        <w:rPr>
          <w:vertAlign w:val="baseline"/>
        </w:rPr>
        <w:t>challenges.</w:t>
      </w:r>
      <w:r>
        <w:rPr>
          <w:spacing w:val="-4"/>
          <w:vertAlign w:val="baseline"/>
        </w:rPr>
        <w:t> </w:t>
      </w:r>
      <w:r>
        <w:rPr>
          <w:vertAlign w:val="baseline"/>
        </w:rPr>
        <w:t>They</w:t>
      </w:r>
      <w:r>
        <w:rPr>
          <w:spacing w:val="-5"/>
          <w:vertAlign w:val="baseline"/>
        </w:rPr>
        <w:t> </w:t>
      </w:r>
      <w:r>
        <w:rPr>
          <w:vertAlign w:val="baseline"/>
        </w:rPr>
        <w:t>found nearly 25% of school and public librarian respondents reported being harassed on social media, 22% reported being harassed via email, and 18% reported being harassed in-person regarding book or program</w:t>
      </w:r>
      <w:r>
        <w:rPr>
          <w:spacing w:val="-13"/>
          <w:vertAlign w:val="baseline"/>
        </w:rPr>
        <w:t> </w:t>
      </w:r>
      <w:r>
        <w:rPr>
          <w:vertAlign w:val="baseline"/>
        </w:rPr>
        <w:t>challenges.</w:t>
      </w:r>
      <w:r>
        <w:rPr>
          <w:spacing w:val="-12"/>
          <w:vertAlign w:val="baseline"/>
        </w:rPr>
        <w:t> </w:t>
      </w:r>
      <w:r>
        <w:rPr>
          <w:vertAlign w:val="baseline"/>
        </w:rPr>
        <w:t>Additionally,</w:t>
      </w:r>
      <w:r>
        <w:rPr>
          <w:spacing w:val="-13"/>
          <w:vertAlign w:val="baseline"/>
        </w:rPr>
        <w:t> </w:t>
      </w:r>
      <w:r>
        <w:rPr>
          <w:vertAlign w:val="baseline"/>
        </w:rPr>
        <w:t>48.5%</w:t>
      </w:r>
      <w:r>
        <w:rPr>
          <w:spacing w:val="-12"/>
          <w:vertAlign w:val="baseline"/>
        </w:rPr>
        <w:t> </w:t>
      </w:r>
      <w:r>
        <w:rPr>
          <w:vertAlign w:val="baseline"/>
        </w:rPr>
        <w:t>of</w:t>
      </w:r>
      <w:r>
        <w:rPr>
          <w:spacing w:val="-13"/>
          <w:vertAlign w:val="baseline"/>
        </w:rPr>
        <w:t> </w:t>
      </w:r>
      <w:r>
        <w:rPr>
          <w:vertAlign w:val="baseline"/>
        </w:rPr>
        <w:t>school</w:t>
      </w:r>
      <w:r>
        <w:rPr>
          <w:spacing w:val="-12"/>
          <w:vertAlign w:val="baseline"/>
        </w:rPr>
        <w:t> </w:t>
      </w:r>
      <w:r>
        <w:rPr>
          <w:vertAlign w:val="baseline"/>
        </w:rPr>
        <w:t>library</w:t>
      </w:r>
      <w:r>
        <w:rPr>
          <w:spacing w:val="-13"/>
          <w:vertAlign w:val="baseline"/>
        </w:rPr>
        <w:t> </w:t>
      </w:r>
      <w:r>
        <w:rPr>
          <w:vertAlign w:val="baseline"/>
        </w:rPr>
        <w:t>respondents</w:t>
      </w:r>
      <w:r>
        <w:rPr>
          <w:spacing w:val="-12"/>
          <w:vertAlign w:val="baseline"/>
        </w:rPr>
        <w:t> </w:t>
      </w:r>
      <w:r>
        <w:rPr>
          <w:vertAlign w:val="baseline"/>
        </w:rPr>
        <w:t>reported</w:t>
      </w:r>
      <w:r>
        <w:rPr>
          <w:spacing w:val="-12"/>
          <w:vertAlign w:val="baseline"/>
        </w:rPr>
        <w:t> </w:t>
      </w:r>
      <w:r>
        <w:rPr>
          <w:vertAlign w:val="baseline"/>
        </w:rPr>
        <w:t>reconsidering</w:t>
      </w:r>
      <w:r>
        <w:rPr>
          <w:spacing w:val="-13"/>
          <w:vertAlign w:val="baseline"/>
        </w:rPr>
        <w:t> </w:t>
      </w:r>
      <w:r>
        <w:rPr>
          <w:vertAlign w:val="baseline"/>
        </w:rPr>
        <w:t>displays, books,</w:t>
      </w:r>
      <w:r>
        <w:rPr>
          <w:spacing w:val="-11"/>
          <w:vertAlign w:val="baseline"/>
        </w:rPr>
        <w:t> </w:t>
      </w:r>
      <w:r>
        <w:rPr>
          <w:vertAlign w:val="baseline"/>
        </w:rPr>
        <w:t>or</w:t>
      </w:r>
      <w:r>
        <w:rPr>
          <w:spacing w:val="-11"/>
          <w:vertAlign w:val="baseline"/>
        </w:rPr>
        <w:t> </w:t>
      </w:r>
      <w:r>
        <w:rPr>
          <w:vertAlign w:val="baseline"/>
        </w:rPr>
        <w:t>featured</w:t>
      </w:r>
      <w:r>
        <w:rPr>
          <w:spacing w:val="-11"/>
          <w:vertAlign w:val="baseline"/>
        </w:rPr>
        <w:t> </w:t>
      </w:r>
      <w:r>
        <w:rPr>
          <w:vertAlign w:val="baseline"/>
        </w:rPr>
        <w:t>items</w:t>
      </w:r>
      <w:r>
        <w:rPr>
          <w:spacing w:val="-10"/>
          <w:vertAlign w:val="baseline"/>
        </w:rPr>
        <w:t> </w:t>
      </w:r>
      <w:r>
        <w:rPr>
          <w:vertAlign w:val="baseline"/>
        </w:rPr>
        <w:t>due</w:t>
      </w:r>
      <w:r>
        <w:rPr>
          <w:spacing w:val="-11"/>
          <w:vertAlign w:val="baseline"/>
        </w:rPr>
        <w:t> </w:t>
      </w:r>
      <w:r>
        <w:rPr>
          <w:vertAlign w:val="baseline"/>
        </w:rPr>
        <w:t>to</w:t>
      </w:r>
      <w:r>
        <w:rPr>
          <w:spacing w:val="-11"/>
          <w:vertAlign w:val="baseline"/>
        </w:rPr>
        <w:t> </w:t>
      </w:r>
      <w:r>
        <w:rPr>
          <w:vertAlign w:val="baseline"/>
        </w:rPr>
        <w:t>negativity</w:t>
      </w:r>
      <w:r>
        <w:rPr>
          <w:spacing w:val="-12"/>
          <w:vertAlign w:val="baseline"/>
        </w:rPr>
        <w:t> </w:t>
      </w:r>
      <w:r>
        <w:rPr>
          <w:vertAlign w:val="baseline"/>
        </w:rPr>
        <w:t>and</w:t>
      </w:r>
      <w:r>
        <w:rPr>
          <w:spacing w:val="-9"/>
          <w:vertAlign w:val="baseline"/>
        </w:rPr>
        <w:t> </w:t>
      </w:r>
      <w:r>
        <w:rPr>
          <w:vertAlign w:val="baseline"/>
        </w:rPr>
        <w:t>controversy</w:t>
      </w:r>
      <w:r>
        <w:rPr>
          <w:spacing w:val="-11"/>
          <w:vertAlign w:val="baseline"/>
        </w:rPr>
        <w:t> </w:t>
      </w:r>
      <w:r>
        <w:rPr>
          <w:vertAlign w:val="baseline"/>
        </w:rPr>
        <w:t>around</w:t>
      </w:r>
      <w:r>
        <w:rPr>
          <w:spacing w:val="-11"/>
          <w:vertAlign w:val="baseline"/>
        </w:rPr>
        <w:t> </w:t>
      </w:r>
      <w:r>
        <w:rPr>
          <w:vertAlign w:val="baseline"/>
        </w:rPr>
        <w:t>book</w:t>
      </w:r>
      <w:r>
        <w:rPr>
          <w:spacing w:val="-12"/>
          <w:vertAlign w:val="baseline"/>
        </w:rPr>
        <w:t> </w:t>
      </w:r>
      <w:r>
        <w:rPr>
          <w:vertAlign w:val="baseline"/>
        </w:rPr>
        <w:t>challenges.</w:t>
      </w:r>
      <w:hyperlink w:history="true" w:anchor="_bookmark52">
        <w:r>
          <w:rPr>
            <w:vertAlign w:val="superscript"/>
          </w:rPr>
          <w:t>13</w:t>
        </w:r>
      </w:hyperlink>
      <w:r>
        <w:rPr>
          <w:spacing w:val="-2"/>
          <w:vertAlign w:val="baseline"/>
        </w:rPr>
        <w:t> </w:t>
      </w:r>
      <w:r>
        <w:rPr>
          <w:vertAlign w:val="baseline"/>
        </w:rPr>
        <w:t>The</w:t>
      </w:r>
      <w:r>
        <w:rPr>
          <w:spacing w:val="-11"/>
          <w:vertAlign w:val="baseline"/>
        </w:rPr>
        <w:t> </w:t>
      </w:r>
      <w:r>
        <w:rPr>
          <w:vertAlign w:val="baseline"/>
        </w:rPr>
        <w:t>Safe</w:t>
      </w:r>
      <w:r>
        <w:rPr>
          <w:spacing w:val="-11"/>
          <w:vertAlign w:val="baseline"/>
        </w:rPr>
        <w:t> </w:t>
      </w:r>
      <w:r>
        <w:rPr>
          <w:vertAlign w:val="baseline"/>
        </w:rPr>
        <w:t>Schools Program</w:t>
      </w:r>
      <w:r>
        <w:rPr>
          <w:spacing w:val="-12"/>
          <w:vertAlign w:val="baseline"/>
        </w:rPr>
        <w:t> </w:t>
      </w:r>
      <w:r>
        <w:rPr>
          <w:vertAlign w:val="baseline"/>
        </w:rPr>
        <w:t>for</w:t>
      </w:r>
      <w:r>
        <w:rPr>
          <w:spacing w:val="-11"/>
          <w:vertAlign w:val="baseline"/>
        </w:rPr>
        <w:t> </w:t>
      </w:r>
      <w:r>
        <w:rPr>
          <w:vertAlign w:val="baseline"/>
        </w:rPr>
        <w:t>LGBTQ</w:t>
      </w:r>
      <w:r>
        <w:rPr>
          <w:spacing w:val="-10"/>
          <w:vertAlign w:val="baseline"/>
        </w:rPr>
        <w:t> </w:t>
      </w:r>
      <w:r>
        <w:rPr>
          <w:vertAlign w:val="baseline"/>
        </w:rPr>
        <w:t>Students</w:t>
      </w:r>
      <w:r>
        <w:rPr>
          <w:spacing w:val="-11"/>
          <w:vertAlign w:val="baseline"/>
        </w:rPr>
        <w:t> </w:t>
      </w:r>
      <w:r>
        <w:rPr>
          <w:vertAlign w:val="baseline"/>
        </w:rPr>
        <w:t>provided</w:t>
      </w:r>
      <w:r>
        <w:rPr>
          <w:spacing w:val="-10"/>
          <w:vertAlign w:val="baseline"/>
        </w:rPr>
        <w:t> </w:t>
      </w:r>
      <w:r>
        <w:rPr>
          <w:vertAlign w:val="baseline"/>
        </w:rPr>
        <w:t>support</w:t>
      </w:r>
      <w:r>
        <w:rPr>
          <w:spacing w:val="-11"/>
          <w:vertAlign w:val="baseline"/>
        </w:rPr>
        <w:t> </w:t>
      </w:r>
      <w:r>
        <w:rPr>
          <w:vertAlign w:val="baseline"/>
        </w:rPr>
        <w:t>to</w:t>
      </w:r>
      <w:r>
        <w:rPr>
          <w:spacing w:val="-11"/>
          <w:vertAlign w:val="baseline"/>
        </w:rPr>
        <w:t> </w:t>
      </w:r>
      <w:r>
        <w:rPr>
          <w:vertAlign w:val="baseline"/>
        </w:rPr>
        <w:t>several</w:t>
      </w:r>
      <w:r>
        <w:rPr>
          <w:spacing w:val="-11"/>
          <w:vertAlign w:val="baseline"/>
        </w:rPr>
        <w:t> </w:t>
      </w:r>
      <w:r>
        <w:rPr>
          <w:vertAlign w:val="baseline"/>
        </w:rPr>
        <w:t>districts</w:t>
      </w:r>
      <w:r>
        <w:rPr>
          <w:spacing w:val="-11"/>
          <w:vertAlign w:val="baseline"/>
        </w:rPr>
        <w:t> </w:t>
      </w:r>
      <w:r>
        <w:rPr>
          <w:vertAlign w:val="baseline"/>
        </w:rPr>
        <w:t>in</w:t>
      </w:r>
      <w:r>
        <w:rPr>
          <w:spacing w:val="-12"/>
          <w:vertAlign w:val="baseline"/>
        </w:rPr>
        <w:t> </w:t>
      </w:r>
      <w:r>
        <w:rPr>
          <w:vertAlign w:val="baseline"/>
        </w:rPr>
        <w:t>the</w:t>
      </w:r>
      <w:r>
        <w:rPr>
          <w:spacing w:val="-12"/>
          <w:vertAlign w:val="baseline"/>
        </w:rPr>
        <w:t> </w:t>
      </w:r>
      <w:r>
        <w:rPr>
          <w:vertAlign w:val="baseline"/>
        </w:rPr>
        <w:t>2023-2024</w:t>
      </w:r>
      <w:r>
        <w:rPr>
          <w:spacing w:val="-11"/>
          <w:vertAlign w:val="baseline"/>
        </w:rPr>
        <w:t> </w:t>
      </w:r>
      <w:r>
        <w:rPr>
          <w:vertAlign w:val="baseline"/>
        </w:rPr>
        <w:t>school</w:t>
      </w:r>
      <w:r>
        <w:rPr>
          <w:spacing w:val="-11"/>
          <w:vertAlign w:val="baseline"/>
        </w:rPr>
        <w:t> </w:t>
      </w:r>
      <w:r>
        <w:rPr>
          <w:vertAlign w:val="baseline"/>
        </w:rPr>
        <w:t>year</w:t>
      </w:r>
      <w:r>
        <w:rPr>
          <w:spacing w:val="-11"/>
          <w:vertAlign w:val="baseline"/>
        </w:rPr>
        <w:t> </w:t>
      </w:r>
      <w:r>
        <w:rPr>
          <w:vertAlign w:val="baseline"/>
        </w:rPr>
        <w:t>around the issue of book bans. However, some school districts do not have a clear review policy; school committees</w:t>
      </w:r>
      <w:r>
        <w:rPr>
          <w:spacing w:val="-10"/>
          <w:vertAlign w:val="baseline"/>
        </w:rPr>
        <w:t> </w:t>
      </w:r>
      <w:r>
        <w:rPr>
          <w:vertAlign w:val="baseline"/>
        </w:rPr>
        <w:t>and</w:t>
      </w:r>
      <w:r>
        <w:rPr>
          <w:spacing w:val="-11"/>
          <w:vertAlign w:val="baseline"/>
        </w:rPr>
        <w:t> </w:t>
      </w:r>
      <w:r>
        <w:rPr>
          <w:vertAlign w:val="baseline"/>
        </w:rPr>
        <w:t>superintendents</w:t>
      </w:r>
      <w:r>
        <w:rPr>
          <w:spacing w:val="-10"/>
          <w:vertAlign w:val="baseline"/>
        </w:rPr>
        <w:t> </w:t>
      </w:r>
      <w:r>
        <w:rPr>
          <w:vertAlign w:val="baseline"/>
        </w:rPr>
        <w:t>should</w:t>
      </w:r>
      <w:r>
        <w:rPr>
          <w:spacing w:val="-11"/>
          <w:vertAlign w:val="baseline"/>
        </w:rPr>
        <w:t> </w:t>
      </w:r>
      <w:r>
        <w:rPr>
          <w:vertAlign w:val="baseline"/>
        </w:rPr>
        <w:t>assist</w:t>
      </w:r>
      <w:r>
        <w:rPr>
          <w:spacing w:val="-11"/>
          <w:vertAlign w:val="baseline"/>
        </w:rPr>
        <w:t> </w:t>
      </w:r>
      <w:r>
        <w:rPr>
          <w:vertAlign w:val="baseline"/>
        </w:rPr>
        <w:t>school</w:t>
      </w:r>
      <w:r>
        <w:rPr>
          <w:spacing w:val="-11"/>
          <w:vertAlign w:val="baseline"/>
        </w:rPr>
        <w:t> </w:t>
      </w:r>
      <w:r>
        <w:rPr>
          <w:vertAlign w:val="baseline"/>
        </w:rPr>
        <w:t>districts</w:t>
      </w:r>
      <w:r>
        <w:rPr>
          <w:spacing w:val="-10"/>
          <w:vertAlign w:val="baseline"/>
        </w:rPr>
        <w:t> </w:t>
      </w:r>
      <w:r>
        <w:rPr>
          <w:vertAlign w:val="baseline"/>
        </w:rPr>
        <w:t>and</w:t>
      </w:r>
      <w:r>
        <w:rPr>
          <w:spacing w:val="-10"/>
          <w:vertAlign w:val="baseline"/>
        </w:rPr>
        <w:t> </w:t>
      </w:r>
      <w:r>
        <w:rPr>
          <w:vertAlign w:val="baseline"/>
        </w:rPr>
        <w:t>determine</w:t>
      </w:r>
      <w:r>
        <w:rPr>
          <w:spacing w:val="-10"/>
          <w:vertAlign w:val="baseline"/>
        </w:rPr>
        <w:t> </w:t>
      </w:r>
      <w:r>
        <w:rPr>
          <w:vertAlign w:val="baseline"/>
        </w:rPr>
        <w:t>thoughtful</w:t>
      </w:r>
      <w:r>
        <w:rPr>
          <w:spacing w:val="-10"/>
          <w:vertAlign w:val="baseline"/>
        </w:rPr>
        <w:t> </w:t>
      </w:r>
      <w:r>
        <w:rPr>
          <w:vertAlign w:val="baseline"/>
        </w:rPr>
        <w:t>processes</w:t>
      </w:r>
      <w:r>
        <w:rPr>
          <w:spacing w:val="-10"/>
          <w:vertAlign w:val="baseline"/>
        </w:rPr>
        <w:t> </w:t>
      </w:r>
      <w:r>
        <w:rPr>
          <w:vertAlign w:val="baseline"/>
        </w:rPr>
        <w:t>for reviewing any books that are challenged.</w:t>
      </w:r>
    </w:p>
    <w:p>
      <w:pPr>
        <w:spacing w:before="238"/>
        <w:ind w:left="464" w:right="0" w:firstLine="0"/>
        <w:jc w:val="both"/>
        <w:rPr>
          <w:sz w:val="26"/>
        </w:rPr>
      </w:pPr>
      <w:bookmarkStart w:name="School Climate" w:id="143"/>
      <w:bookmarkEnd w:id="143"/>
      <w:r>
        <w:rPr/>
      </w:r>
      <w:r>
        <w:rPr>
          <w:color w:val="404040"/>
          <w:sz w:val="26"/>
        </w:rPr>
        <w:t>School</w:t>
      </w:r>
      <w:r>
        <w:rPr>
          <w:color w:val="404040"/>
          <w:spacing w:val="-3"/>
          <w:sz w:val="26"/>
        </w:rPr>
        <w:t> </w:t>
      </w:r>
      <w:r>
        <w:rPr>
          <w:color w:val="404040"/>
          <w:spacing w:val="-2"/>
          <w:sz w:val="26"/>
        </w:rPr>
        <w:t>Climate</w:t>
      </w:r>
    </w:p>
    <w:p>
      <w:pPr>
        <w:pStyle w:val="BodyText"/>
        <w:spacing w:line="276" w:lineRule="auto" w:before="290"/>
        <w:ind w:left="463" w:right="402"/>
        <w:jc w:val="both"/>
      </w:pPr>
      <w:r>
        <w:rPr/>
        <w:t>An extensive review of literature on protective factors for LGBTQ youth in schools revealed seven support systems that have positive impacts on LGBTQ youth’s socioemotional, behavioral, and educational outcomes: family, curriculum, school professionals and teachers, peers, school policies, GSAs and programs, and school climate.</w:t>
      </w:r>
      <w:hyperlink w:history="true" w:anchor="_bookmark53">
        <w:r>
          <w:rPr>
            <w:vertAlign w:val="superscript"/>
          </w:rPr>
          <w:t>14</w:t>
        </w:r>
      </w:hyperlink>
      <w:r>
        <w:rPr>
          <w:spacing w:val="-2"/>
          <w:vertAlign w:val="baseline"/>
        </w:rPr>
        <w:t> </w:t>
      </w:r>
      <w:r>
        <w:rPr>
          <w:vertAlign w:val="baseline"/>
        </w:rPr>
        <w:t>School climate is defined as “the quality and character of school life…based on patterns of students’, parents’, and school personnel’s experience of school life and</w:t>
      </w:r>
      <w:r>
        <w:rPr>
          <w:spacing w:val="25"/>
          <w:vertAlign w:val="baseline"/>
        </w:rPr>
        <w:t> </w:t>
      </w:r>
      <w:r>
        <w:rPr>
          <w:vertAlign w:val="baseline"/>
        </w:rPr>
        <w:t>reflects</w:t>
      </w:r>
      <w:r>
        <w:rPr>
          <w:spacing w:val="27"/>
          <w:vertAlign w:val="baseline"/>
        </w:rPr>
        <w:t> </w:t>
      </w:r>
      <w:r>
        <w:rPr>
          <w:vertAlign w:val="baseline"/>
        </w:rPr>
        <w:t>norms,</w:t>
      </w:r>
      <w:r>
        <w:rPr>
          <w:spacing w:val="26"/>
          <w:vertAlign w:val="baseline"/>
        </w:rPr>
        <w:t> </w:t>
      </w:r>
      <w:r>
        <w:rPr>
          <w:vertAlign w:val="baseline"/>
        </w:rPr>
        <w:t>goals,</w:t>
      </w:r>
      <w:r>
        <w:rPr>
          <w:spacing w:val="25"/>
          <w:vertAlign w:val="baseline"/>
        </w:rPr>
        <w:t> </w:t>
      </w:r>
      <w:r>
        <w:rPr>
          <w:vertAlign w:val="baseline"/>
        </w:rPr>
        <w:t>values,</w:t>
      </w:r>
      <w:r>
        <w:rPr>
          <w:spacing w:val="26"/>
          <w:vertAlign w:val="baseline"/>
        </w:rPr>
        <w:t> </w:t>
      </w:r>
      <w:r>
        <w:rPr>
          <w:vertAlign w:val="baseline"/>
        </w:rPr>
        <w:t>interpersonal</w:t>
      </w:r>
      <w:r>
        <w:rPr>
          <w:spacing w:val="25"/>
          <w:vertAlign w:val="baseline"/>
        </w:rPr>
        <w:t> </w:t>
      </w:r>
      <w:r>
        <w:rPr>
          <w:vertAlign w:val="baseline"/>
        </w:rPr>
        <w:t>relationships,</w:t>
      </w:r>
      <w:r>
        <w:rPr>
          <w:spacing w:val="26"/>
          <w:vertAlign w:val="baseline"/>
        </w:rPr>
        <w:t> </w:t>
      </w:r>
      <w:r>
        <w:rPr>
          <w:vertAlign w:val="baseline"/>
        </w:rPr>
        <w:t>teaching</w:t>
      </w:r>
      <w:r>
        <w:rPr>
          <w:spacing w:val="26"/>
          <w:vertAlign w:val="baseline"/>
        </w:rPr>
        <w:t> </w:t>
      </w:r>
      <w:r>
        <w:rPr>
          <w:vertAlign w:val="baseline"/>
        </w:rPr>
        <w:t>and</w:t>
      </w:r>
      <w:r>
        <w:rPr>
          <w:spacing w:val="25"/>
          <w:vertAlign w:val="baseline"/>
        </w:rPr>
        <w:t> </w:t>
      </w:r>
      <w:r>
        <w:rPr>
          <w:vertAlign w:val="baseline"/>
        </w:rPr>
        <w:t>learning</w:t>
      </w:r>
      <w:r>
        <w:rPr>
          <w:spacing w:val="25"/>
          <w:vertAlign w:val="baseline"/>
        </w:rPr>
        <w:t> </w:t>
      </w:r>
      <w:r>
        <w:rPr>
          <w:vertAlign w:val="baseline"/>
        </w:rPr>
        <w:t>practices,</w:t>
      </w:r>
      <w:r>
        <w:rPr>
          <w:spacing w:val="26"/>
          <w:vertAlign w:val="baseline"/>
        </w:rPr>
        <w:t> </w:t>
      </w:r>
      <w:r>
        <w:rPr>
          <w:vertAlign w:val="baseline"/>
        </w:rPr>
        <w:t>and</w:t>
      </w:r>
    </w:p>
    <w:p>
      <w:pPr>
        <w:spacing w:after="0" w:line="276" w:lineRule="auto"/>
        <w:jc w:val="both"/>
        <w:sectPr>
          <w:pgSz w:w="12240" w:h="15840"/>
          <w:pgMar w:header="763" w:footer="1041" w:top="1140" w:bottom="1240" w:left="1120" w:right="1180"/>
        </w:sectPr>
      </w:pPr>
    </w:p>
    <w:p>
      <w:pPr>
        <w:pStyle w:val="BodyText"/>
        <w:spacing w:line="276" w:lineRule="auto" w:before="66"/>
        <w:ind w:left="464" w:right="401" w:hanging="1"/>
        <w:jc w:val="both"/>
      </w:pPr>
      <w:r>
        <w:rPr/>
        <w:t>organizational</w:t>
      </w:r>
      <w:r>
        <w:rPr>
          <w:spacing w:val="-13"/>
        </w:rPr>
        <w:t> </w:t>
      </w:r>
      <w:r>
        <w:rPr/>
        <w:t>structures”</w:t>
      </w:r>
      <w:hyperlink w:history="true" w:anchor="_bookmark54">
        <w:r>
          <w:rPr>
            <w:vertAlign w:val="superscript"/>
          </w:rPr>
          <w:t>15</w:t>
        </w:r>
      </w:hyperlink>
      <w:r>
        <w:rPr>
          <w:spacing w:val="-8"/>
          <w:vertAlign w:val="baseline"/>
        </w:rPr>
        <w:t> </w:t>
      </w:r>
      <w:r>
        <w:rPr>
          <w:vertAlign w:val="baseline"/>
        </w:rPr>
        <w:t>Educators,</w:t>
      </w:r>
      <w:r>
        <w:rPr>
          <w:spacing w:val="-12"/>
          <w:vertAlign w:val="baseline"/>
        </w:rPr>
        <w:t> </w:t>
      </w:r>
      <w:r>
        <w:rPr>
          <w:vertAlign w:val="baseline"/>
        </w:rPr>
        <w:t>administrators,</w:t>
      </w:r>
      <w:r>
        <w:rPr>
          <w:spacing w:val="-13"/>
          <w:vertAlign w:val="baseline"/>
        </w:rPr>
        <w:t> </w:t>
      </w:r>
      <w:r>
        <w:rPr>
          <w:vertAlign w:val="baseline"/>
        </w:rPr>
        <w:t>and</w:t>
      </w:r>
      <w:r>
        <w:rPr>
          <w:spacing w:val="-12"/>
          <w:vertAlign w:val="baseline"/>
        </w:rPr>
        <w:t> </w:t>
      </w:r>
      <w:r>
        <w:rPr>
          <w:vertAlign w:val="baseline"/>
        </w:rPr>
        <w:t>policymakers</w:t>
      </w:r>
      <w:r>
        <w:rPr>
          <w:spacing w:val="-13"/>
          <w:vertAlign w:val="baseline"/>
        </w:rPr>
        <w:t> </w:t>
      </w:r>
      <w:r>
        <w:rPr>
          <w:vertAlign w:val="baseline"/>
        </w:rPr>
        <w:t>should</w:t>
      </w:r>
      <w:r>
        <w:rPr>
          <w:spacing w:val="-12"/>
          <w:vertAlign w:val="baseline"/>
        </w:rPr>
        <w:t> </w:t>
      </w:r>
      <w:r>
        <w:rPr>
          <w:vertAlign w:val="baseline"/>
        </w:rPr>
        <w:t>actively</w:t>
      </w:r>
      <w:r>
        <w:rPr>
          <w:spacing w:val="-12"/>
          <w:vertAlign w:val="baseline"/>
        </w:rPr>
        <w:t> </w:t>
      </w:r>
      <w:r>
        <w:rPr>
          <w:vertAlign w:val="baseline"/>
        </w:rPr>
        <w:t>work</w:t>
      </w:r>
      <w:r>
        <w:rPr>
          <w:spacing w:val="-13"/>
          <w:vertAlign w:val="baseline"/>
        </w:rPr>
        <w:t> </w:t>
      </w:r>
      <w:r>
        <w:rPr>
          <w:vertAlign w:val="baseline"/>
        </w:rPr>
        <w:t>towards creating</w:t>
      </w:r>
      <w:r>
        <w:rPr>
          <w:spacing w:val="-5"/>
          <w:vertAlign w:val="baseline"/>
        </w:rPr>
        <w:t> </w:t>
      </w:r>
      <w:r>
        <w:rPr>
          <w:vertAlign w:val="baseline"/>
        </w:rPr>
        <w:t>positive</w:t>
      </w:r>
      <w:r>
        <w:rPr>
          <w:spacing w:val="-5"/>
          <w:vertAlign w:val="baseline"/>
        </w:rPr>
        <w:t> </w:t>
      </w:r>
      <w:r>
        <w:rPr>
          <w:vertAlign w:val="baseline"/>
        </w:rPr>
        <w:t>school</w:t>
      </w:r>
      <w:r>
        <w:rPr>
          <w:spacing w:val="-5"/>
          <w:vertAlign w:val="baseline"/>
        </w:rPr>
        <w:t> </w:t>
      </w:r>
      <w:r>
        <w:rPr>
          <w:vertAlign w:val="baseline"/>
        </w:rPr>
        <w:t>climates</w:t>
      </w:r>
      <w:r>
        <w:rPr>
          <w:spacing w:val="-5"/>
          <w:vertAlign w:val="baseline"/>
        </w:rPr>
        <w:t> </w:t>
      </w:r>
      <w:r>
        <w:rPr>
          <w:vertAlign w:val="baseline"/>
        </w:rPr>
        <w:t>for</w:t>
      </w:r>
      <w:r>
        <w:rPr>
          <w:spacing w:val="-5"/>
          <w:vertAlign w:val="baseline"/>
        </w:rPr>
        <w:t> </w:t>
      </w:r>
      <w:r>
        <w:rPr>
          <w:vertAlign w:val="baseline"/>
        </w:rPr>
        <w:t>all</w:t>
      </w:r>
      <w:r>
        <w:rPr>
          <w:spacing w:val="-4"/>
          <w:vertAlign w:val="baseline"/>
        </w:rPr>
        <w:t> </w:t>
      </w:r>
      <w:r>
        <w:rPr>
          <w:vertAlign w:val="baseline"/>
        </w:rPr>
        <w:t>marginalized</w:t>
      </w:r>
      <w:r>
        <w:rPr>
          <w:spacing w:val="-4"/>
          <w:vertAlign w:val="baseline"/>
        </w:rPr>
        <w:t> </w:t>
      </w:r>
      <w:r>
        <w:rPr>
          <w:vertAlign w:val="baseline"/>
        </w:rPr>
        <w:t>students</w:t>
      </w:r>
      <w:r>
        <w:rPr>
          <w:spacing w:val="-5"/>
          <w:vertAlign w:val="baseline"/>
        </w:rPr>
        <w:t> </w:t>
      </w:r>
      <w:r>
        <w:rPr>
          <w:vertAlign w:val="baseline"/>
        </w:rPr>
        <w:t>because</w:t>
      </w:r>
      <w:r>
        <w:rPr>
          <w:spacing w:val="-5"/>
          <w:vertAlign w:val="baseline"/>
        </w:rPr>
        <w:t> </w:t>
      </w:r>
      <w:r>
        <w:rPr>
          <w:vertAlign w:val="baseline"/>
        </w:rPr>
        <w:t>LGBTQ</w:t>
      </w:r>
      <w:r>
        <w:rPr>
          <w:spacing w:val="-5"/>
          <w:vertAlign w:val="baseline"/>
        </w:rPr>
        <w:t> </w:t>
      </w:r>
      <w:r>
        <w:rPr>
          <w:vertAlign w:val="baseline"/>
        </w:rPr>
        <w:t>youth</w:t>
      </w:r>
      <w:r>
        <w:rPr>
          <w:spacing w:val="-5"/>
          <w:vertAlign w:val="baseline"/>
        </w:rPr>
        <w:t> </w:t>
      </w:r>
      <w:r>
        <w:rPr>
          <w:vertAlign w:val="baseline"/>
        </w:rPr>
        <w:t>experience</w:t>
      </w:r>
      <w:r>
        <w:rPr>
          <w:spacing w:val="-5"/>
          <w:vertAlign w:val="baseline"/>
        </w:rPr>
        <w:t> </w:t>
      </w:r>
      <w:r>
        <w:rPr>
          <w:vertAlign w:val="baseline"/>
        </w:rPr>
        <w:t>lower risk of suicidality and fewer depressive symptoms when in schools with positive climates.</w:t>
      </w:r>
      <w:hyperlink w:history="true" w:anchor="_bookmark55">
        <w:r>
          <w:rPr>
            <w:vertAlign w:val="superscript"/>
          </w:rPr>
          <w:t>16</w:t>
        </w:r>
      </w:hyperlink>
    </w:p>
    <w:p>
      <w:pPr>
        <w:pStyle w:val="BodyText"/>
        <w:spacing w:line="276" w:lineRule="auto" w:before="240"/>
        <w:ind w:left="463" w:right="402"/>
        <w:jc w:val="both"/>
      </w:pPr>
      <w:r>
        <w:rPr/>
        <w:t>Specific attention should be paid to the needs and experiences of BIPOC LGBTQ youth in creating a positive school climate. Recent GLSEN research on LGBTQ youth of color in K-12 public schools demonstrates that BIPOC LGBTQ youth experience feeling a lack of safety in school because of their sexual orientation, </w:t>
      </w:r>
      <w:r>
        <w:rPr>
          <w:i/>
        </w:rPr>
        <w:t>and </w:t>
      </w:r>
      <w:r>
        <w:rPr/>
        <w:t>race or ethnicity. For example:</w:t>
      </w:r>
    </w:p>
    <w:p>
      <w:pPr>
        <w:pStyle w:val="ListParagraph"/>
        <w:numPr>
          <w:ilvl w:val="0"/>
          <w:numId w:val="17"/>
        </w:numPr>
        <w:tabs>
          <w:tab w:pos="1183" w:val="left" w:leader="none"/>
        </w:tabs>
        <w:spacing w:line="276" w:lineRule="auto" w:before="238" w:after="0"/>
        <w:ind w:left="1183" w:right="403" w:hanging="360"/>
        <w:jc w:val="both"/>
        <w:rPr>
          <w:sz w:val="22"/>
        </w:rPr>
      </w:pPr>
      <w:r>
        <w:rPr>
          <w:sz w:val="22"/>
        </w:rPr>
        <w:t>54.9% of Latine students felt unsafe at school because of their sexual orientation, 44.2% because of their gender expression, and 22.3% because of their race or ethnicity</w:t>
      </w:r>
      <w:r>
        <w:rPr>
          <w:sz w:val="22"/>
          <w:vertAlign w:val="superscript"/>
        </w:rPr>
        <w:t>21</w:t>
      </w:r>
    </w:p>
    <w:p>
      <w:pPr>
        <w:pStyle w:val="ListParagraph"/>
        <w:numPr>
          <w:ilvl w:val="0"/>
          <w:numId w:val="17"/>
        </w:numPr>
        <w:tabs>
          <w:tab w:pos="1183" w:val="left" w:leader="none"/>
        </w:tabs>
        <w:spacing w:line="276" w:lineRule="auto" w:before="1" w:after="0"/>
        <w:ind w:left="1183" w:right="401" w:hanging="360"/>
        <w:jc w:val="both"/>
        <w:rPr>
          <w:sz w:val="22"/>
        </w:rPr>
      </w:pPr>
      <w:r>
        <w:rPr>
          <w:sz w:val="22"/>
        </w:rPr>
        <w:t>Latine LGBTQ students born outside the US were more likely to feel unsafe about their race/ethnicity than those born in the US (29.1% vs 21.8%)</w:t>
      </w:r>
      <w:r>
        <w:rPr>
          <w:sz w:val="22"/>
          <w:vertAlign w:val="superscript"/>
        </w:rPr>
        <w:t>21</w:t>
      </w:r>
    </w:p>
    <w:p>
      <w:pPr>
        <w:pStyle w:val="ListParagraph"/>
        <w:numPr>
          <w:ilvl w:val="0"/>
          <w:numId w:val="17"/>
        </w:numPr>
        <w:tabs>
          <w:tab w:pos="1183" w:val="left" w:leader="none"/>
        </w:tabs>
        <w:spacing w:line="276" w:lineRule="auto" w:before="0" w:after="0"/>
        <w:ind w:left="1183" w:right="401" w:hanging="360"/>
        <w:jc w:val="both"/>
        <w:rPr>
          <w:sz w:val="22"/>
        </w:rPr>
      </w:pPr>
      <w:r>
        <w:rPr>
          <w:sz w:val="22"/>
        </w:rPr>
        <w:t>65% of Native LGBTQ students felt unsafe at school because of their sexual orientation, 51% felt</w:t>
      </w:r>
      <w:r>
        <w:rPr>
          <w:spacing w:val="-3"/>
          <w:sz w:val="22"/>
        </w:rPr>
        <w:t> </w:t>
      </w:r>
      <w:r>
        <w:rPr>
          <w:sz w:val="22"/>
        </w:rPr>
        <w:t>unsafe</w:t>
      </w:r>
      <w:r>
        <w:rPr>
          <w:spacing w:val="-3"/>
          <w:sz w:val="22"/>
        </w:rPr>
        <w:t> </w:t>
      </w:r>
      <w:r>
        <w:rPr>
          <w:sz w:val="22"/>
        </w:rPr>
        <w:t>because</w:t>
      </w:r>
      <w:r>
        <w:rPr>
          <w:spacing w:val="-3"/>
          <w:sz w:val="22"/>
        </w:rPr>
        <w:t> </w:t>
      </w:r>
      <w:r>
        <w:rPr>
          <w:sz w:val="22"/>
        </w:rPr>
        <w:t>of</w:t>
      </w:r>
      <w:r>
        <w:rPr>
          <w:spacing w:val="-3"/>
          <w:sz w:val="22"/>
        </w:rPr>
        <w:t> </w:t>
      </w:r>
      <w:r>
        <w:rPr>
          <w:sz w:val="22"/>
        </w:rPr>
        <w:t>their</w:t>
      </w:r>
      <w:r>
        <w:rPr>
          <w:spacing w:val="-1"/>
          <w:sz w:val="22"/>
        </w:rPr>
        <w:t> </w:t>
      </w:r>
      <w:r>
        <w:rPr>
          <w:sz w:val="22"/>
        </w:rPr>
        <w:t>gender</w:t>
      </w:r>
      <w:r>
        <w:rPr>
          <w:spacing w:val="-1"/>
          <w:sz w:val="22"/>
        </w:rPr>
        <w:t> </w:t>
      </w:r>
      <w:r>
        <w:rPr>
          <w:sz w:val="22"/>
        </w:rPr>
        <w:t>expression,</w:t>
      </w:r>
      <w:r>
        <w:rPr>
          <w:spacing w:val="-3"/>
          <w:sz w:val="22"/>
        </w:rPr>
        <w:t> </w:t>
      </w:r>
      <w:r>
        <w:rPr>
          <w:sz w:val="22"/>
        </w:rPr>
        <w:t>and</w:t>
      </w:r>
      <w:r>
        <w:rPr>
          <w:spacing w:val="-3"/>
          <w:sz w:val="22"/>
        </w:rPr>
        <w:t> </w:t>
      </w:r>
      <w:r>
        <w:rPr>
          <w:sz w:val="22"/>
        </w:rPr>
        <w:t>19.7%</w:t>
      </w:r>
      <w:r>
        <w:rPr>
          <w:spacing w:val="-3"/>
          <w:sz w:val="22"/>
        </w:rPr>
        <w:t> </w:t>
      </w:r>
      <w:r>
        <w:rPr>
          <w:sz w:val="22"/>
        </w:rPr>
        <w:t>felt</w:t>
      </w:r>
      <w:r>
        <w:rPr>
          <w:spacing w:val="-3"/>
          <w:sz w:val="22"/>
        </w:rPr>
        <w:t> </w:t>
      </w:r>
      <w:r>
        <w:rPr>
          <w:sz w:val="22"/>
        </w:rPr>
        <w:t>unsafe</w:t>
      </w:r>
      <w:r>
        <w:rPr>
          <w:spacing w:val="-3"/>
          <w:sz w:val="22"/>
        </w:rPr>
        <w:t> </w:t>
      </w:r>
      <w:r>
        <w:rPr>
          <w:sz w:val="22"/>
        </w:rPr>
        <w:t>because</w:t>
      </w:r>
      <w:r>
        <w:rPr>
          <w:spacing w:val="-2"/>
          <w:sz w:val="22"/>
        </w:rPr>
        <w:t> </w:t>
      </w:r>
      <w:r>
        <w:rPr>
          <w:sz w:val="22"/>
        </w:rPr>
        <w:t>of</w:t>
      </w:r>
      <w:r>
        <w:rPr>
          <w:spacing w:val="-3"/>
          <w:sz w:val="22"/>
        </w:rPr>
        <w:t> </w:t>
      </w:r>
      <w:r>
        <w:rPr>
          <w:sz w:val="22"/>
        </w:rPr>
        <w:t>their</w:t>
      </w:r>
      <w:r>
        <w:rPr>
          <w:spacing w:val="-3"/>
          <w:sz w:val="22"/>
        </w:rPr>
        <w:t> </w:t>
      </w:r>
      <w:r>
        <w:rPr>
          <w:sz w:val="22"/>
        </w:rPr>
        <w:t>race</w:t>
      </w:r>
      <w:r>
        <w:rPr>
          <w:spacing w:val="-2"/>
          <w:sz w:val="22"/>
        </w:rPr>
        <w:t> </w:t>
      </w:r>
      <w:r>
        <w:rPr>
          <w:sz w:val="22"/>
        </w:rPr>
        <w:t>or </w:t>
      </w:r>
      <w:r>
        <w:rPr>
          <w:spacing w:val="-2"/>
          <w:sz w:val="22"/>
        </w:rPr>
        <w:t>ethnicity</w:t>
      </w:r>
      <w:r>
        <w:rPr>
          <w:spacing w:val="-2"/>
          <w:sz w:val="22"/>
          <w:vertAlign w:val="superscript"/>
        </w:rPr>
        <w:t>32</w:t>
      </w:r>
    </w:p>
    <w:p>
      <w:pPr>
        <w:pStyle w:val="ListParagraph"/>
        <w:numPr>
          <w:ilvl w:val="0"/>
          <w:numId w:val="17"/>
        </w:numPr>
        <w:tabs>
          <w:tab w:pos="1183" w:val="left" w:leader="none"/>
        </w:tabs>
        <w:spacing w:line="276" w:lineRule="auto" w:before="0" w:after="0"/>
        <w:ind w:left="1183" w:right="398" w:hanging="360"/>
        <w:jc w:val="both"/>
        <w:rPr>
          <w:sz w:val="22"/>
        </w:rPr>
      </w:pPr>
      <w:r>
        <w:rPr>
          <w:sz w:val="22"/>
        </w:rPr>
        <w:t>Feelings</w:t>
      </w:r>
      <w:r>
        <w:rPr>
          <w:spacing w:val="-13"/>
          <w:sz w:val="22"/>
        </w:rPr>
        <w:t> </w:t>
      </w:r>
      <w:r>
        <w:rPr>
          <w:sz w:val="22"/>
        </w:rPr>
        <w:t>of</w:t>
      </w:r>
      <w:r>
        <w:rPr>
          <w:spacing w:val="-12"/>
          <w:sz w:val="22"/>
        </w:rPr>
        <w:t> </w:t>
      </w:r>
      <w:r>
        <w:rPr>
          <w:sz w:val="22"/>
        </w:rPr>
        <w:t>unsafety</w:t>
      </w:r>
      <w:r>
        <w:rPr>
          <w:spacing w:val="-13"/>
          <w:sz w:val="22"/>
        </w:rPr>
        <w:t> </w:t>
      </w:r>
      <w:r>
        <w:rPr>
          <w:sz w:val="22"/>
        </w:rPr>
        <w:t>based</w:t>
      </w:r>
      <w:r>
        <w:rPr>
          <w:spacing w:val="-12"/>
          <w:sz w:val="22"/>
        </w:rPr>
        <w:t> </w:t>
      </w:r>
      <w:r>
        <w:rPr>
          <w:sz w:val="22"/>
        </w:rPr>
        <w:t>on</w:t>
      </w:r>
      <w:r>
        <w:rPr>
          <w:spacing w:val="-13"/>
          <w:sz w:val="22"/>
        </w:rPr>
        <w:t> </w:t>
      </w:r>
      <w:r>
        <w:rPr>
          <w:sz w:val="22"/>
        </w:rPr>
        <w:t>race/ethnicity</w:t>
      </w:r>
      <w:r>
        <w:rPr>
          <w:spacing w:val="-12"/>
          <w:sz w:val="22"/>
        </w:rPr>
        <w:t> </w:t>
      </w:r>
      <w:r>
        <w:rPr>
          <w:sz w:val="22"/>
        </w:rPr>
        <w:t>differed</w:t>
      </w:r>
      <w:r>
        <w:rPr>
          <w:spacing w:val="-13"/>
          <w:sz w:val="22"/>
        </w:rPr>
        <w:t> </w:t>
      </w:r>
      <w:r>
        <w:rPr>
          <w:sz w:val="22"/>
        </w:rPr>
        <w:t>significantly</w:t>
      </w:r>
      <w:r>
        <w:rPr>
          <w:spacing w:val="-12"/>
          <w:sz w:val="22"/>
        </w:rPr>
        <w:t> </w:t>
      </w:r>
      <w:r>
        <w:rPr>
          <w:sz w:val="22"/>
        </w:rPr>
        <w:t>among</w:t>
      </w:r>
      <w:r>
        <w:rPr>
          <w:spacing w:val="-12"/>
          <w:sz w:val="22"/>
        </w:rPr>
        <w:t> </w:t>
      </w:r>
      <w:r>
        <w:rPr>
          <w:sz w:val="22"/>
        </w:rPr>
        <w:t>Native</w:t>
      </w:r>
      <w:r>
        <w:rPr>
          <w:spacing w:val="-13"/>
          <w:sz w:val="22"/>
        </w:rPr>
        <w:t> </w:t>
      </w:r>
      <w:r>
        <w:rPr>
          <w:sz w:val="22"/>
        </w:rPr>
        <w:t>students.</w:t>
      </w:r>
      <w:r>
        <w:rPr>
          <w:spacing w:val="-12"/>
          <w:sz w:val="22"/>
        </w:rPr>
        <w:t> </w:t>
      </w:r>
      <w:r>
        <w:rPr>
          <w:sz w:val="22"/>
        </w:rPr>
        <w:t>5.9% of</w:t>
      </w:r>
      <w:r>
        <w:rPr>
          <w:spacing w:val="-1"/>
          <w:sz w:val="22"/>
        </w:rPr>
        <w:t> </w:t>
      </w:r>
      <w:r>
        <w:rPr>
          <w:sz w:val="22"/>
        </w:rPr>
        <w:t>students</w:t>
      </w:r>
      <w:r>
        <w:rPr>
          <w:spacing w:val="-1"/>
          <w:sz w:val="22"/>
        </w:rPr>
        <w:t> </w:t>
      </w:r>
      <w:r>
        <w:rPr>
          <w:sz w:val="22"/>
        </w:rPr>
        <w:t>who</w:t>
      </w:r>
      <w:r>
        <w:rPr>
          <w:spacing w:val="-1"/>
          <w:sz w:val="22"/>
        </w:rPr>
        <w:t> </w:t>
      </w:r>
      <w:r>
        <w:rPr>
          <w:sz w:val="22"/>
        </w:rPr>
        <w:t>identify</w:t>
      </w:r>
      <w:r>
        <w:rPr>
          <w:spacing w:val="-2"/>
          <w:sz w:val="22"/>
        </w:rPr>
        <w:t> </w:t>
      </w:r>
      <w:r>
        <w:rPr>
          <w:sz w:val="22"/>
        </w:rPr>
        <w:t>as white and</w:t>
      </w:r>
      <w:r>
        <w:rPr>
          <w:spacing w:val="-1"/>
          <w:sz w:val="22"/>
        </w:rPr>
        <w:t> </w:t>
      </w:r>
      <w:r>
        <w:rPr>
          <w:sz w:val="22"/>
        </w:rPr>
        <w:t>Native</w:t>
      </w:r>
      <w:r>
        <w:rPr>
          <w:spacing w:val="-2"/>
          <w:sz w:val="22"/>
        </w:rPr>
        <w:t> </w:t>
      </w:r>
      <w:r>
        <w:rPr>
          <w:sz w:val="22"/>
        </w:rPr>
        <w:t>felt</w:t>
      </w:r>
      <w:r>
        <w:rPr>
          <w:spacing w:val="-1"/>
          <w:sz w:val="22"/>
        </w:rPr>
        <w:t> </w:t>
      </w:r>
      <w:r>
        <w:rPr>
          <w:sz w:val="22"/>
        </w:rPr>
        <w:t>unsafe</w:t>
      </w:r>
      <w:r>
        <w:rPr>
          <w:spacing w:val="-2"/>
          <w:sz w:val="22"/>
        </w:rPr>
        <w:t> </w:t>
      </w:r>
      <w:r>
        <w:rPr>
          <w:sz w:val="22"/>
        </w:rPr>
        <w:t>because of</w:t>
      </w:r>
      <w:r>
        <w:rPr>
          <w:spacing w:val="-1"/>
          <w:sz w:val="22"/>
        </w:rPr>
        <w:t> </w:t>
      </w:r>
      <w:r>
        <w:rPr>
          <w:sz w:val="22"/>
        </w:rPr>
        <w:t>race/ethnicity, compared to 18.9% of students who identified as only Native, and 34.4% of other multiracial Native </w:t>
      </w:r>
      <w:r>
        <w:rPr>
          <w:spacing w:val="-2"/>
          <w:sz w:val="22"/>
        </w:rPr>
        <w:t>students.</w:t>
      </w:r>
      <w:r>
        <w:rPr>
          <w:spacing w:val="-2"/>
          <w:sz w:val="22"/>
          <w:vertAlign w:val="superscript"/>
        </w:rPr>
        <w:t>32</w:t>
      </w:r>
    </w:p>
    <w:p>
      <w:pPr>
        <w:pStyle w:val="ListParagraph"/>
        <w:numPr>
          <w:ilvl w:val="0"/>
          <w:numId w:val="17"/>
        </w:numPr>
        <w:tabs>
          <w:tab w:pos="1183" w:val="left" w:leader="none"/>
        </w:tabs>
        <w:spacing w:line="276" w:lineRule="auto" w:before="0" w:after="0"/>
        <w:ind w:left="1183" w:right="403" w:hanging="360"/>
        <w:jc w:val="both"/>
        <w:rPr>
          <w:sz w:val="22"/>
        </w:rPr>
      </w:pPr>
      <w:r>
        <w:rPr>
          <w:sz w:val="22"/>
        </w:rPr>
        <w:t>51.6%</w:t>
      </w:r>
      <w:r>
        <w:rPr>
          <w:spacing w:val="-5"/>
          <w:sz w:val="22"/>
        </w:rPr>
        <w:t> </w:t>
      </w:r>
      <w:r>
        <w:rPr>
          <w:sz w:val="22"/>
        </w:rPr>
        <w:t>of</w:t>
      </w:r>
      <w:r>
        <w:rPr>
          <w:spacing w:val="-5"/>
          <w:sz w:val="22"/>
        </w:rPr>
        <w:t> </w:t>
      </w:r>
      <w:r>
        <w:rPr>
          <w:sz w:val="22"/>
        </w:rPr>
        <w:t>Black</w:t>
      </w:r>
      <w:r>
        <w:rPr>
          <w:spacing w:val="-5"/>
          <w:sz w:val="22"/>
        </w:rPr>
        <w:t> </w:t>
      </w:r>
      <w:r>
        <w:rPr>
          <w:sz w:val="22"/>
        </w:rPr>
        <w:t>LGBTQ</w:t>
      </w:r>
      <w:r>
        <w:rPr>
          <w:spacing w:val="-5"/>
          <w:sz w:val="22"/>
        </w:rPr>
        <w:t> </w:t>
      </w:r>
      <w:r>
        <w:rPr>
          <w:sz w:val="22"/>
        </w:rPr>
        <w:t>students</w:t>
      </w:r>
      <w:r>
        <w:rPr>
          <w:spacing w:val="-5"/>
          <w:sz w:val="22"/>
        </w:rPr>
        <w:t> </w:t>
      </w:r>
      <w:r>
        <w:rPr>
          <w:sz w:val="22"/>
        </w:rPr>
        <w:t>felt</w:t>
      </w:r>
      <w:r>
        <w:rPr>
          <w:spacing w:val="-4"/>
          <w:sz w:val="22"/>
        </w:rPr>
        <w:t> </w:t>
      </w:r>
      <w:r>
        <w:rPr>
          <w:sz w:val="22"/>
        </w:rPr>
        <w:t>unsafe</w:t>
      </w:r>
      <w:r>
        <w:rPr>
          <w:spacing w:val="-5"/>
          <w:sz w:val="22"/>
        </w:rPr>
        <w:t> </w:t>
      </w:r>
      <w:r>
        <w:rPr>
          <w:sz w:val="22"/>
        </w:rPr>
        <w:t>because</w:t>
      </w:r>
      <w:r>
        <w:rPr>
          <w:spacing w:val="-5"/>
          <w:sz w:val="22"/>
        </w:rPr>
        <w:t> </w:t>
      </w:r>
      <w:r>
        <w:rPr>
          <w:sz w:val="22"/>
        </w:rPr>
        <w:t>of</w:t>
      </w:r>
      <w:r>
        <w:rPr>
          <w:spacing w:val="-4"/>
          <w:sz w:val="22"/>
        </w:rPr>
        <w:t> </w:t>
      </w:r>
      <w:r>
        <w:rPr>
          <w:sz w:val="22"/>
        </w:rPr>
        <w:t>their</w:t>
      </w:r>
      <w:r>
        <w:rPr>
          <w:spacing w:val="-5"/>
          <w:sz w:val="22"/>
        </w:rPr>
        <w:t> </w:t>
      </w:r>
      <w:r>
        <w:rPr>
          <w:sz w:val="22"/>
        </w:rPr>
        <w:t>sexual</w:t>
      </w:r>
      <w:r>
        <w:rPr>
          <w:spacing w:val="-4"/>
          <w:sz w:val="22"/>
        </w:rPr>
        <w:t> </w:t>
      </w:r>
      <w:r>
        <w:rPr>
          <w:sz w:val="22"/>
        </w:rPr>
        <w:t>orientation,</w:t>
      </w:r>
      <w:r>
        <w:rPr>
          <w:spacing w:val="-5"/>
          <w:sz w:val="22"/>
        </w:rPr>
        <w:t> </w:t>
      </w:r>
      <w:r>
        <w:rPr>
          <w:sz w:val="22"/>
        </w:rPr>
        <w:t>40.2%</w:t>
      </w:r>
      <w:r>
        <w:rPr>
          <w:spacing w:val="-5"/>
          <w:sz w:val="22"/>
        </w:rPr>
        <w:t> </w:t>
      </w:r>
      <w:r>
        <w:rPr>
          <w:sz w:val="22"/>
        </w:rPr>
        <w:t>because of their gender expression, and 30.6% because of their race or ethnicity</w:t>
      </w:r>
      <w:r>
        <w:rPr>
          <w:sz w:val="22"/>
          <w:vertAlign w:val="superscript"/>
        </w:rPr>
        <w:t>31</w:t>
      </w:r>
    </w:p>
    <w:p>
      <w:pPr>
        <w:pStyle w:val="ListParagraph"/>
        <w:numPr>
          <w:ilvl w:val="0"/>
          <w:numId w:val="17"/>
        </w:numPr>
        <w:tabs>
          <w:tab w:pos="1183" w:val="left" w:leader="none"/>
        </w:tabs>
        <w:spacing w:line="276" w:lineRule="auto" w:before="0" w:after="0"/>
        <w:ind w:left="1183" w:right="402" w:hanging="360"/>
        <w:jc w:val="both"/>
        <w:rPr>
          <w:sz w:val="22"/>
        </w:rPr>
      </w:pPr>
      <w:r>
        <w:rPr>
          <w:sz w:val="22"/>
        </w:rPr>
        <w:t>30.4% of Black LGBTQ students reported missing at least one day of school in the last month because they felt unsafe or uncomfortable</w:t>
      </w:r>
      <w:r>
        <w:rPr>
          <w:sz w:val="22"/>
          <w:vertAlign w:val="superscript"/>
        </w:rPr>
        <w:t>31</w:t>
      </w:r>
    </w:p>
    <w:p>
      <w:pPr>
        <w:pStyle w:val="BodyText"/>
        <w:spacing w:line="276" w:lineRule="auto" w:before="239"/>
        <w:ind w:left="463" w:right="402"/>
        <w:jc w:val="both"/>
      </w:pPr>
      <w:r>
        <w:rPr/>
        <w:t>These intersections of oppression, based specifically on sexual orientation, gender expression, and race/ethnicity, and their cumulative impacts are experienced differently or not at all by white LGBTQ students and thus deserve specific consideration. Educators and administrators should engage in consistent professional development (i.e., trainings, workshops, professional learning communities, etc.) related to gender, sexuality, race, ethnicity, and their intersections, including self-reflection and skill building for supporting BIPOC LGBTQ students.</w:t>
      </w:r>
    </w:p>
    <w:p>
      <w:pPr>
        <w:pStyle w:val="BodyText"/>
        <w:spacing w:line="276" w:lineRule="auto" w:before="241"/>
        <w:ind w:left="464" w:right="399"/>
        <w:jc w:val="both"/>
      </w:pPr>
      <w:r>
        <w:rPr/>
        <w:t>Additionally, inclusive policies should be crafted with BIPOC and other marginalized LGBTQ youth in mind, striving to create safe, affirming, and celebratory educational environments for the most marginalized students. According to the National Education Association and Centers for Disease Control</w:t>
      </w:r>
      <w:r>
        <w:rPr>
          <w:spacing w:val="-1"/>
        </w:rPr>
        <w:t> </w:t>
      </w:r>
      <w:r>
        <w:rPr/>
        <w:t>and Prevention respectively, culturally responsive</w:t>
      </w:r>
      <w:r>
        <w:rPr>
          <w:spacing w:val="-1"/>
        </w:rPr>
        <w:t> </w:t>
      </w:r>
      <w:r>
        <w:rPr/>
        <w:t>and racially inclusive education benefits </w:t>
      </w:r>
      <w:r>
        <w:rPr>
          <w:i/>
        </w:rPr>
        <w:t>all</w:t>
      </w:r>
      <w:r>
        <w:rPr>
          <w:i/>
        </w:rPr>
        <w:t> </w:t>
      </w:r>
      <w:r>
        <w:rPr/>
        <w:t>students</w:t>
      </w:r>
      <w:hyperlink w:history="true" w:anchor="_bookmark56">
        <w:r>
          <w:rPr>
            <w:vertAlign w:val="superscript"/>
          </w:rPr>
          <w:t>17</w:t>
        </w:r>
      </w:hyperlink>
      <w:r>
        <w:rPr>
          <w:spacing w:val="-3"/>
          <w:vertAlign w:val="baseline"/>
        </w:rPr>
        <w:t> </w:t>
      </w:r>
      <w:r>
        <w:rPr>
          <w:vertAlign w:val="baseline"/>
        </w:rPr>
        <w:t>and in schools with LGBTQ supportive policies and practices, </w:t>
      </w:r>
      <w:r>
        <w:rPr>
          <w:i/>
          <w:vertAlign w:val="baseline"/>
        </w:rPr>
        <w:t>all </w:t>
      </w:r>
      <w:r>
        <w:rPr>
          <w:vertAlign w:val="baseline"/>
        </w:rPr>
        <w:t>students experience less emotional distress, less violence and harassment, and less suicidal thoughts and behaviors.</w:t>
      </w:r>
      <w:r>
        <w:rPr>
          <w:spacing w:val="-13"/>
          <w:vertAlign w:val="baseline"/>
        </w:rPr>
        <w:t> </w:t>
      </w:r>
      <w:hyperlink w:history="true" w:anchor="_bookmark57">
        <w:r>
          <w:rPr>
            <w:vertAlign w:val="superscript"/>
          </w:rPr>
          <w:t>18</w:t>
        </w:r>
      </w:hyperlink>
      <w:r>
        <w:rPr>
          <w:vertAlign w:val="baseline"/>
        </w:rPr>
        <w:t> If Massachusetts</w:t>
      </w:r>
      <w:r>
        <w:rPr>
          <w:spacing w:val="-7"/>
          <w:vertAlign w:val="baseline"/>
        </w:rPr>
        <w:t> </w:t>
      </w:r>
      <w:r>
        <w:rPr>
          <w:vertAlign w:val="baseline"/>
        </w:rPr>
        <w:t>schools</w:t>
      </w:r>
      <w:r>
        <w:rPr>
          <w:spacing w:val="-7"/>
          <w:vertAlign w:val="baseline"/>
        </w:rPr>
        <w:t> </w:t>
      </w:r>
      <w:r>
        <w:rPr>
          <w:vertAlign w:val="baseline"/>
        </w:rPr>
        <w:t>are</w:t>
      </w:r>
      <w:r>
        <w:rPr>
          <w:spacing w:val="-8"/>
          <w:vertAlign w:val="baseline"/>
        </w:rPr>
        <w:t> </w:t>
      </w:r>
      <w:r>
        <w:rPr>
          <w:vertAlign w:val="baseline"/>
        </w:rPr>
        <w:t>welcoming</w:t>
      </w:r>
      <w:r>
        <w:rPr>
          <w:spacing w:val="-8"/>
          <w:vertAlign w:val="baseline"/>
        </w:rPr>
        <w:t> </w:t>
      </w:r>
      <w:r>
        <w:rPr>
          <w:vertAlign w:val="baseline"/>
        </w:rPr>
        <w:t>for</w:t>
      </w:r>
      <w:r>
        <w:rPr>
          <w:spacing w:val="-7"/>
          <w:vertAlign w:val="baseline"/>
        </w:rPr>
        <w:t> </w:t>
      </w:r>
      <w:r>
        <w:rPr>
          <w:vertAlign w:val="baseline"/>
        </w:rPr>
        <w:t>BIPOC,</w:t>
      </w:r>
      <w:r>
        <w:rPr>
          <w:spacing w:val="-7"/>
          <w:vertAlign w:val="baseline"/>
        </w:rPr>
        <w:t> </w:t>
      </w:r>
      <w:r>
        <w:rPr>
          <w:vertAlign w:val="baseline"/>
        </w:rPr>
        <w:t>disabled,</w:t>
      </w:r>
      <w:r>
        <w:rPr>
          <w:spacing w:val="-7"/>
          <w:vertAlign w:val="baseline"/>
        </w:rPr>
        <w:t> </w:t>
      </w:r>
      <w:r>
        <w:rPr>
          <w:vertAlign w:val="baseline"/>
        </w:rPr>
        <w:t>poor,</w:t>
      </w:r>
      <w:r>
        <w:rPr>
          <w:spacing w:val="-7"/>
          <w:vertAlign w:val="baseline"/>
        </w:rPr>
        <w:t> </w:t>
      </w:r>
      <w:r>
        <w:rPr>
          <w:vertAlign w:val="baseline"/>
        </w:rPr>
        <w:t>and/or</w:t>
      </w:r>
      <w:r>
        <w:rPr>
          <w:spacing w:val="-7"/>
          <w:vertAlign w:val="baseline"/>
        </w:rPr>
        <w:t> </w:t>
      </w:r>
      <w:r>
        <w:rPr>
          <w:vertAlign w:val="baseline"/>
        </w:rPr>
        <w:t>immigrant</w:t>
      </w:r>
      <w:r>
        <w:rPr>
          <w:spacing w:val="-8"/>
          <w:vertAlign w:val="baseline"/>
        </w:rPr>
        <w:t> </w:t>
      </w:r>
      <w:r>
        <w:rPr>
          <w:vertAlign w:val="baseline"/>
        </w:rPr>
        <w:t>LGBTQ</w:t>
      </w:r>
      <w:r>
        <w:rPr>
          <w:spacing w:val="-8"/>
          <w:vertAlign w:val="baseline"/>
        </w:rPr>
        <w:t> </w:t>
      </w:r>
      <w:r>
        <w:rPr>
          <w:vertAlign w:val="baseline"/>
        </w:rPr>
        <w:t>youth,</w:t>
      </w:r>
      <w:r>
        <w:rPr>
          <w:spacing w:val="-7"/>
          <w:vertAlign w:val="baseline"/>
        </w:rPr>
        <w:t> </w:t>
      </w:r>
      <w:r>
        <w:rPr>
          <w:vertAlign w:val="baseline"/>
        </w:rPr>
        <w:t>they will be welcoming for all students. However, not much is known about the specific experiences of BIPOC</w:t>
      </w:r>
      <w:r>
        <w:rPr>
          <w:spacing w:val="-6"/>
          <w:vertAlign w:val="baseline"/>
        </w:rPr>
        <w:t> </w:t>
      </w:r>
      <w:r>
        <w:rPr>
          <w:vertAlign w:val="baseline"/>
        </w:rPr>
        <w:t>LGBTQ</w:t>
      </w:r>
      <w:r>
        <w:rPr>
          <w:spacing w:val="-5"/>
          <w:vertAlign w:val="baseline"/>
        </w:rPr>
        <w:t> </w:t>
      </w:r>
      <w:r>
        <w:rPr>
          <w:vertAlign w:val="baseline"/>
        </w:rPr>
        <w:t>youth</w:t>
      </w:r>
      <w:r>
        <w:rPr>
          <w:spacing w:val="-5"/>
          <w:vertAlign w:val="baseline"/>
        </w:rPr>
        <w:t> </w:t>
      </w:r>
      <w:r>
        <w:rPr>
          <w:vertAlign w:val="baseline"/>
        </w:rPr>
        <w:t>in</w:t>
      </w:r>
      <w:r>
        <w:rPr>
          <w:spacing w:val="-5"/>
          <w:vertAlign w:val="baseline"/>
        </w:rPr>
        <w:t> </w:t>
      </w:r>
      <w:r>
        <w:rPr>
          <w:vertAlign w:val="baseline"/>
        </w:rPr>
        <w:t>the</w:t>
      </w:r>
      <w:r>
        <w:rPr>
          <w:spacing w:val="-4"/>
          <w:vertAlign w:val="baseline"/>
        </w:rPr>
        <w:t> </w:t>
      </w:r>
      <w:r>
        <w:rPr>
          <w:vertAlign w:val="baseline"/>
        </w:rPr>
        <w:t>Commonwealth.</w:t>
      </w:r>
      <w:r>
        <w:rPr>
          <w:spacing w:val="-5"/>
          <w:vertAlign w:val="baseline"/>
        </w:rPr>
        <w:t> </w:t>
      </w:r>
      <w:r>
        <w:rPr>
          <w:vertAlign w:val="baseline"/>
        </w:rPr>
        <w:t>As</w:t>
      </w:r>
      <w:r>
        <w:rPr>
          <w:spacing w:val="-6"/>
          <w:vertAlign w:val="baseline"/>
        </w:rPr>
        <w:t> </w:t>
      </w:r>
      <w:r>
        <w:rPr>
          <w:vertAlign w:val="baseline"/>
        </w:rPr>
        <w:t>such,</w:t>
      </w:r>
      <w:r>
        <w:rPr>
          <w:spacing w:val="-5"/>
          <w:vertAlign w:val="baseline"/>
        </w:rPr>
        <w:t> </w:t>
      </w:r>
      <w:r>
        <w:rPr>
          <w:vertAlign w:val="baseline"/>
        </w:rPr>
        <w:t>administrators</w:t>
      </w:r>
      <w:r>
        <w:rPr>
          <w:spacing w:val="-5"/>
          <w:vertAlign w:val="baseline"/>
        </w:rPr>
        <w:t> </w:t>
      </w:r>
      <w:r>
        <w:rPr>
          <w:vertAlign w:val="baseline"/>
        </w:rPr>
        <w:t>and</w:t>
      </w:r>
      <w:r>
        <w:rPr>
          <w:spacing w:val="-5"/>
          <w:vertAlign w:val="baseline"/>
        </w:rPr>
        <w:t> </w:t>
      </w:r>
      <w:r>
        <w:rPr>
          <w:vertAlign w:val="baseline"/>
        </w:rPr>
        <w:t>policymakers</w:t>
      </w:r>
      <w:r>
        <w:rPr>
          <w:spacing w:val="-6"/>
          <w:vertAlign w:val="baseline"/>
        </w:rPr>
        <w:t> </w:t>
      </w:r>
      <w:r>
        <w:rPr>
          <w:vertAlign w:val="baseline"/>
        </w:rPr>
        <w:t>should</w:t>
      </w:r>
      <w:r>
        <w:rPr>
          <w:spacing w:val="-4"/>
          <w:vertAlign w:val="baseline"/>
        </w:rPr>
        <w:t> </w:t>
      </w:r>
      <w:r>
        <w:rPr>
          <w:vertAlign w:val="baseline"/>
        </w:rPr>
        <w:t>dedicate resources to collecting data on these students’ experiences with school climate in Massachusetts so that they can be better understood and addressed.</w:t>
      </w:r>
    </w:p>
    <w:p>
      <w:pPr>
        <w:spacing w:after="0" w:line="276" w:lineRule="auto"/>
        <w:jc w:val="both"/>
        <w:sectPr>
          <w:pgSz w:w="12240" w:h="15840"/>
          <w:pgMar w:header="763" w:footer="1041" w:top="1140" w:bottom="1240" w:left="1120" w:right="1180"/>
        </w:sectPr>
      </w:pPr>
    </w:p>
    <w:p>
      <w:pPr>
        <w:pStyle w:val="BodyText"/>
        <w:spacing w:line="276" w:lineRule="auto" w:before="66"/>
        <w:ind w:left="463" w:right="401"/>
        <w:jc w:val="both"/>
      </w:pPr>
      <w:r>
        <w:rPr/>
        <w:t>Although BIPOC LGBTQ youth have a higher chance of being at risk for negative mental and physical health outcomes than white LGBTQ youth, it is critically important to note that Black LGBTQ+ youth (and BIPOC LGBTQ+ youth in general) are not only victims, but are fully agentic, even when intentionally</w:t>
      </w:r>
      <w:r>
        <w:rPr>
          <w:spacing w:val="-5"/>
        </w:rPr>
        <w:t> </w:t>
      </w:r>
      <w:r>
        <w:rPr/>
        <w:t>deciding</w:t>
      </w:r>
      <w:r>
        <w:rPr>
          <w:spacing w:val="-5"/>
        </w:rPr>
        <w:t> </w:t>
      </w:r>
      <w:r>
        <w:rPr/>
        <w:t>to</w:t>
      </w:r>
      <w:r>
        <w:rPr>
          <w:spacing w:val="-5"/>
        </w:rPr>
        <w:t> </w:t>
      </w:r>
      <w:r>
        <w:rPr/>
        <w:t>conceal</w:t>
      </w:r>
      <w:r>
        <w:rPr>
          <w:spacing w:val="-5"/>
        </w:rPr>
        <w:t> </w:t>
      </w:r>
      <w:r>
        <w:rPr/>
        <w:t>their</w:t>
      </w:r>
      <w:r>
        <w:rPr>
          <w:spacing w:val="-5"/>
        </w:rPr>
        <w:t> </w:t>
      </w:r>
      <w:r>
        <w:rPr/>
        <w:t>queer</w:t>
      </w:r>
      <w:r>
        <w:rPr>
          <w:spacing w:val="-6"/>
        </w:rPr>
        <w:t> </w:t>
      </w:r>
      <w:r>
        <w:rPr/>
        <w:t>and</w:t>
      </w:r>
      <w:r>
        <w:rPr>
          <w:spacing w:val="-5"/>
        </w:rPr>
        <w:t> </w:t>
      </w:r>
      <w:r>
        <w:rPr/>
        <w:t>trans</w:t>
      </w:r>
      <w:r>
        <w:rPr>
          <w:spacing w:val="-6"/>
        </w:rPr>
        <w:t> </w:t>
      </w:r>
      <w:r>
        <w:rPr/>
        <w:t>identities</w:t>
      </w:r>
      <w:r>
        <w:rPr>
          <w:spacing w:val="-5"/>
        </w:rPr>
        <w:t> </w:t>
      </w:r>
      <w:r>
        <w:rPr/>
        <w:t>at</w:t>
      </w:r>
      <w:r>
        <w:rPr>
          <w:spacing w:val="-6"/>
        </w:rPr>
        <w:t> </w:t>
      </w:r>
      <w:r>
        <w:rPr/>
        <w:t>school</w:t>
      </w:r>
      <w:r>
        <w:rPr>
          <w:spacing w:val="-6"/>
        </w:rPr>
        <w:t> </w:t>
      </w:r>
      <w:r>
        <w:rPr/>
        <w:t>for</w:t>
      </w:r>
      <w:r>
        <w:rPr>
          <w:spacing w:val="-6"/>
        </w:rPr>
        <w:t> </w:t>
      </w:r>
      <w:r>
        <w:rPr/>
        <w:t>safety</w:t>
      </w:r>
      <w:r>
        <w:rPr>
          <w:spacing w:val="-6"/>
        </w:rPr>
        <w:t> </w:t>
      </w:r>
      <w:r>
        <w:rPr/>
        <w:t>and</w:t>
      </w:r>
      <w:r>
        <w:rPr>
          <w:spacing w:val="-6"/>
        </w:rPr>
        <w:t> </w:t>
      </w:r>
      <w:r>
        <w:rPr/>
        <w:t>security.</w:t>
      </w:r>
      <w:r>
        <w:rPr>
          <w:spacing w:val="-5"/>
        </w:rPr>
        <w:t> </w:t>
      </w:r>
      <w:r>
        <w:rPr/>
        <w:t>One study</w:t>
      </w:r>
      <w:r>
        <w:rPr>
          <w:spacing w:val="-3"/>
        </w:rPr>
        <w:t> </w:t>
      </w:r>
      <w:r>
        <w:rPr/>
        <w:t>found</w:t>
      </w:r>
      <w:r>
        <w:rPr>
          <w:spacing w:val="-2"/>
        </w:rPr>
        <w:t> </w:t>
      </w:r>
      <w:r>
        <w:rPr/>
        <w:t>that</w:t>
      </w:r>
      <w:r>
        <w:rPr>
          <w:spacing w:val="-3"/>
        </w:rPr>
        <w:t> </w:t>
      </w:r>
      <w:r>
        <w:rPr/>
        <w:t>when</w:t>
      </w:r>
      <w:r>
        <w:rPr>
          <w:spacing w:val="-3"/>
        </w:rPr>
        <w:t> </w:t>
      </w:r>
      <w:r>
        <w:rPr/>
        <w:t>able</w:t>
      </w:r>
      <w:r>
        <w:rPr>
          <w:spacing w:val="-3"/>
        </w:rPr>
        <w:t> </w:t>
      </w:r>
      <w:r>
        <w:rPr/>
        <w:t>to</w:t>
      </w:r>
      <w:r>
        <w:rPr>
          <w:spacing w:val="-2"/>
        </w:rPr>
        <w:t> </w:t>
      </w:r>
      <w:r>
        <w:rPr/>
        <w:t>exist</w:t>
      </w:r>
      <w:r>
        <w:rPr>
          <w:spacing w:val="-2"/>
        </w:rPr>
        <w:t> </w:t>
      </w:r>
      <w:r>
        <w:rPr/>
        <w:t>in</w:t>
      </w:r>
      <w:r>
        <w:rPr>
          <w:spacing w:val="-3"/>
        </w:rPr>
        <w:t> </w:t>
      </w:r>
      <w:r>
        <w:rPr/>
        <w:t>spaces</w:t>
      </w:r>
      <w:r>
        <w:rPr>
          <w:spacing w:val="-3"/>
        </w:rPr>
        <w:t> </w:t>
      </w:r>
      <w:r>
        <w:rPr/>
        <w:t>outside</w:t>
      </w:r>
      <w:r>
        <w:rPr>
          <w:spacing w:val="-2"/>
        </w:rPr>
        <w:t> </w:t>
      </w:r>
      <w:r>
        <w:rPr/>
        <w:t>of</w:t>
      </w:r>
      <w:r>
        <w:rPr>
          <w:spacing w:val="-3"/>
        </w:rPr>
        <w:t> </w:t>
      </w:r>
      <w:r>
        <w:rPr/>
        <w:t>those</w:t>
      </w:r>
      <w:r>
        <w:rPr>
          <w:spacing w:val="-2"/>
        </w:rPr>
        <w:t> </w:t>
      </w:r>
      <w:r>
        <w:rPr/>
        <w:t>governed</w:t>
      </w:r>
      <w:r>
        <w:rPr>
          <w:spacing w:val="-2"/>
        </w:rPr>
        <w:t> </w:t>
      </w:r>
      <w:r>
        <w:rPr/>
        <w:t>by</w:t>
      </w:r>
      <w:r>
        <w:rPr>
          <w:spacing w:val="-3"/>
        </w:rPr>
        <w:t> </w:t>
      </w:r>
      <w:r>
        <w:rPr/>
        <w:t>whiteness,</w:t>
      </w:r>
      <w:r>
        <w:rPr>
          <w:spacing w:val="-3"/>
        </w:rPr>
        <w:t> </w:t>
      </w:r>
      <w:r>
        <w:rPr/>
        <w:t>cisnormativity, heteronormativity, etc., such as in ballroom spaces, Black LGBTQ+ youth can access “a radical Black LGBTQ+ creative imagination” (p. 113) that is transformative for themselves and others.</w:t>
      </w:r>
      <w:hyperlink w:history="true" w:anchor="_bookmark58">
        <w:r>
          <w:rPr>
            <w:vertAlign w:val="superscript"/>
          </w:rPr>
          <w:t>19</w:t>
        </w:r>
      </w:hyperlink>
    </w:p>
    <w:p>
      <w:pPr>
        <w:pStyle w:val="BodyText"/>
        <w:spacing w:line="276" w:lineRule="auto" w:before="239"/>
        <w:ind w:left="463" w:right="401"/>
        <w:jc w:val="both"/>
      </w:pPr>
      <w:r>
        <w:rPr/>
        <w:t>Another</w:t>
      </w:r>
      <w:r>
        <w:rPr>
          <w:spacing w:val="-11"/>
        </w:rPr>
        <w:t> </w:t>
      </w:r>
      <w:r>
        <w:rPr/>
        <w:t>primary</w:t>
      </w:r>
      <w:r>
        <w:rPr>
          <w:spacing w:val="-12"/>
        </w:rPr>
        <w:t> </w:t>
      </w:r>
      <w:r>
        <w:rPr/>
        <w:t>area</w:t>
      </w:r>
      <w:r>
        <w:rPr>
          <w:spacing w:val="-12"/>
        </w:rPr>
        <w:t> </w:t>
      </w:r>
      <w:r>
        <w:rPr/>
        <w:t>of</w:t>
      </w:r>
      <w:r>
        <w:rPr>
          <w:spacing w:val="-12"/>
        </w:rPr>
        <w:t> </w:t>
      </w:r>
      <w:r>
        <w:rPr/>
        <w:t>concern</w:t>
      </w:r>
      <w:r>
        <w:rPr>
          <w:spacing w:val="-11"/>
        </w:rPr>
        <w:t> </w:t>
      </w:r>
      <w:r>
        <w:rPr/>
        <w:t>in</w:t>
      </w:r>
      <w:r>
        <w:rPr>
          <w:spacing w:val="-11"/>
        </w:rPr>
        <w:t> </w:t>
      </w:r>
      <w:r>
        <w:rPr/>
        <w:t>current</w:t>
      </w:r>
      <w:r>
        <w:rPr>
          <w:spacing w:val="-13"/>
        </w:rPr>
        <w:t> </w:t>
      </w:r>
      <w:r>
        <w:rPr/>
        <w:t>literature</w:t>
      </w:r>
      <w:r>
        <w:rPr>
          <w:spacing w:val="-10"/>
        </w:rPr>
        <w:t> </w:t>
      </w:r>
      <w:r>
        <w:rPr/>
        <w:t>is</w:t>
      </w:r>
      <w:r>
        <w:rPr>
          <w:spacing w:val="-12"/>
        </w:rPr>
        <w:t> </w:t>
      </w:r>
      <w:r>
        <w:rPr/>
        <w:t>LGBTQ</w:t>
      </w:r>
      <w:r>
        <w:rPr>
          <w:spacing w:val="-11"/>
        </w:rPr>
        <w:t> </w:t>
      </w:r>
      <w:r>
        <w:rPr/>
        <w:t>youth’s</w:t>
      </w:r>
      <w:r>
        <w:rPr>
          <w:spacing w:val="-12"/>
        </w:rPr>
        <w:t> </w:t>
      </w:r>
      <w:r>
        <w:rPr/>
        <w:t>experience</w:t>
      </w:r>
      <w:r>
        <w:rPr>
          <w:spacing w:val="-12"/>
        </w:rPr>
        <w:t> </w:t>
      </w:r>
      <w:r>
        <w:rPr/>
        <w:t>with</w:t>
      </w:r>
      <w:r>
        <w:rPr>
          <w:spacing w:val="-12"/>
        </w:rPr>
        <w:t> </w:t>
      </w:r>
      <w:r>
        <w:rPr/>
        <w:t>sexual</w:t>
      </w:r>
      <w:r>
        <w:rPr>
          <w:spacing w:val="-12"/>
        </w:rPr>
        <w:t> </w:t>
      </w:r>
      <w:r>
        <w:rPr/>
        <w:t>violence and the role schools play in not only in interrupting this violence, but also in supporting survivors. LGBTQ youth experience higher rates of sexual</w:t>
      </w:r>
      <w:r>
        <w:rPr>
          <w:spacing w:val="-1"/>
        </w:rPr>
        <w:t> </w:t>
      </w:r>
      <w:r>
        <w:rPr/>
        <w:t>violence than their heterosexual and cisgender peers, with transgender and gender non-conforming students at the highest risk.</w:t>
      </w:r>
      <w:r>
        <w:rPr>
          <w:spacing w:val="-13"/>
        </w:rPr>
        <w:t> </w:t>
      </w:r>
      <w:hyperlink w:history="true" w:anchor="_bookmark59">
        <w:r>
          <w:rPr>
            <w:vertAlign w:val="superscript"/>
          </w:rPr>
          <w:t>20</w:t>
        </w:r>
      </w:hyperlink>
      <w:r>
        <w:rPr>
          <w:vertAlign w:val="superscript"/>
        </w:rPr>
        <w:t>,</w:t>
      </w:r>
      <w:hyperlink w:history="true" w:anchor="_bookmark60">
        <w:r>
          <w:rPr>
            <w:vertAlign w:val="superscript"/>
          </w:rPr>
          <w:t>21</w:t>
        </w:r>
      </w:hyperlink>
      <w:r>
        <w:rPr>
          <w:vertAlign w:val="baseline"/>
        </w:rPr>
        <w:t> A survey of 39,126 LGBTQ youth between the ages of 13-24 in the U.S. found that 11% of LGBTQ youth who were in a relationship</w:t>
      </w:r>
      <w:r>
        <w:rPr>
          <w:spacing w:val="-13"/>
          <w:vertAlign w:val="baseline"/>
        </w:rPr>
        <w:t> </w:t>
      </w:r>
      <w:r>
        <w:rPr>
          <w:vertAlign w:val="baseline"/>
        </w:rPr>
        <w:t>in</w:t>
      </w:r>
      <w:r>
        <w:rPr>
          <w:spacing w:val="-12"/>
          <w:vertAlign w:val="baseline"/>
        </w:rPr>
        <w:t> </w:t>
      </w:r>
      <w:r>
        <w:rPr>
          <w:vertAlign w:val="baseline"/>
        </w:rPr>
        <w:t>the</w:t>
      </w:r>
      <w:r>
        <w:rPr>
          <w:spacing w:val="-13"/>
          <w:vertAlign w:val="baseline"/>
        </w:rPr>
        <w:t> </w:t>
      </w:r>
      <w:r>
        <w:rPr>
          <w:vertAlign w:val="baseline"/>
        </w:rPr>
        <w:t>past</w:t>
      </w:r>
      <w:r>
        <w:rPr>
          <w:spacing w:val="-12"/>
          <w:vertAlign w:val="baseline"/>
        </w:rPr>
        <w:t> </w:t>
      </w:r>
      <w:r>
        <w:rPr>
          <w:vertAlign w:val="baseline"/>
        </w:rPr>
        <w:t>year</w:t>
      </w:r>
      <w:r>
        <w:rPr>
          <w:spacing w:val="-13"/>
          <w:vertAlign w:val="baseline"/>
        </w:rPr>
        <w:t> </w:t>
      </w:r>
      <w:r>
        <w:rPr>
          <w:vertAlign w:val="baseline"/>
        </w:rPr>
        <w:t>experienced</w:t>
      </w:r>
      <w:r>
        <w:rPr>
          <w:spacing w:val="-12"/>
          <w:vertAlign w:val="baseline"/>
        </w:rPr>
        <w:t> </w:t>
      </w:r>
      <w:r>
        <w:rPr>
          <w:vertAlign w:val="baseline"/>
        </w:rPr>
        <w:t>physical</w:t>
      </w:r>
      <w:r>
        <w:rPr>
          <w:spacing w:val="-13"/>
          <w:vertAlign w:val="baseline"/>
        </w:rPr>
        <w:t> </w:t>
      </w:r>
      <w:r>
        <w:rPr>
          <w:vertAlign w:val="baseline"/>
        </w:rPr>
        <w:t>dating</w:t>
      </w:r>
      <w:r>
        <w:rPr>
          <w:spacing w:val="-12"/>
          <w:vertAlign w:val="baseline"/>
        </w:rPr>
        <w:t> </w:t>
      </w:r>
      <w:r>
        <w:rPr>
          <w:vertAlign w:val="baseline"/>
        </w:rPr>
        <w:t>violence</w:t>
      </w:r>
      <w:r>
        <w:rPr>
          <w:spacing w:val="-12"/>
          <w:vertAlign w:val="baseline"/>
        </w:rPr>
        <w:t> </w:t>
      </w:r>
      <w:r>
        <w:rPr>
          <w:vertAlign w:val="baseline"/>
        </w:rPr>
        <w:t>victimization</w:t>
      </w:r>
      <w:r>
        <w:rPr>
          <w:spacing w:val="-13"/>
          <w:vertAlign w:val="baseline"/>
        </w:rPr>
        <w:t> </w:t>
      </w:r>
      <w:r>
        <w:rPr>
          <w:vertAlign w:val="baseline"/>
        </w:rPr>
        <w:t>and</w:t>
      </w:r>
      <w:r>
        <w:rPr>
          <w:spacing w:val="-12"/>
          <w:vertAlign w:val="baseline"/>
        </w:rPr>
        <w:t> </w:t>
      </w:r>
      <w:r>
        <w:rPr>
          <w:vertAlign w:val="baseline"/>
        </w:rPr>
        <w:t>that</w:t>
      </w:r>
      <w:r>
        <w:rPr>
          <w:spacing w:val="-13"/>
          <w:vertAlign w:val="baseline"/>
        </w:rPr>
        <w:t> </w:t>
      </w:r>
      <w:r>
        <w:rPr>
          <w:vertAlign w:val="baseline"/>
        </w:rPr>
        <w:t>physical</w:t>
      </w:r>
      <w:r>
        <w:rPr>
          <w:spacing w:val="-12"/>
          <w:vertAlign w:val="baseline"/>
        </w:rPr>
        <w:t> </w:t>
      </w:r>
      <w:r>
        <w:rPr>
          <w:vertAlign w:val="baseline"/>
        </w:rPr>
        <w:t>dating violence victimization in the past year was associated with nearly 4 times rate of suicide attempts in the past year. LGBTQ youth with multiple marginalized identities, including being BIPOC and/or poor, were at increased risk to experience dating violence.</w:t>
      </w:r>
      <w:hyperlink w:history="true" w:anchor="_bookmark61">
        <w:r>
          <w:rPr>
            <w:vertAlign w:val="superscript"/>
          </w:rPr>
          <w:t>22</w:t>
        </w:r>
      </w:hyperlink>
    </w:p>
    <w:p>
      <w:pPr>
        <w:pStyle w:val="BodyText"/>
        <w:spacing w:line="276" w:lineRule="auto" w:before="241"/>
        <w:ind w:left="463" w:right="401"/>
        <w:jc w:val="both"/>
      </w:pPr>
      <w:r>
        <w:rPr/>
        <w:t>To best support the most at-risk LGBTQ+ students, educators and school staff need intersectional training around gender, sexuality, sexual violence, and sex trading. This training should include “trauma-informed, healing-focused, and affirming approaches; having an understanding of sexual exploitation; responding in a nonjudgmental and non-pathologizing manner; and deconstructing and challenging dominant narratives and expectations of gender and sexuality (p. 506).”</w:t>
      </w:r>
      <w:hyperlink w:history="true" w:anchor="_bookmark62">
        <w:r>
          <w:rPr>
            <w:vertAlign w:val="superscript"/>
          </w:rPr>
          <w:t>23</w:t>
        </w:r>
      </w:hyperlink>
      <w:r>
        <w:rPr>
          <w:spacing w:val="-3"/>
          <w:vertAlign w:val="baseline"/>
        </w:rPr>
        <w:t> </w:t>
      </w:r>
      <w:r>
        <w:rPr>
          <w:vertAlign w:val="baseline"/>
        </w:rPr>
        <w:t>A recent study of</w:t>
      </w:r>
      <w:r>
        <w:rPr>
          <w:spacing w:val="-3"/>
          <w:vertAlign w:val="baseline"/>
        </w:rPr>
        <w:t> </w:t>
      </w:r>
      <w:r>
        <w:rPr>
          <w:vertAlign w:val="baseline"/>
        </w:rPr>
        <w:t>high</w:t>
      </w:r>
      <w:r>
        <w:rPr>
          <w:spacing w:val="-3"/>
          <w:vertAlign w:val="baseline"/>
        </w:rPr>
        <w:t> </w:t>
      </w:r>
      <w:r>
        <w:rPr>
          <w:vertAlign w:val="baseline"/>
        </w:rPr>
        <w:t>school</w:t>
      </w:r>
      <w:r>
        <w:rPr>
          <w:spacing w:val="-3"/>
          <w:vertAlign w:val="baseline"/>
        </w:rPr>
        <w:t> </w:t>
      </w:r>
      <w:r>
        <w:rPr>
          <w:vertAlign w:val="baseline"/>
        </w:rPr>
        <w:t>youth</w:t>
      </w:r>
      <w:r>
        <w:rPr>
          <w:spacing w:val="-3"/>
          <w:vertAlign w:val="baseline"/>
        </w:rPr>
        <w:t> </w:t>
      </w:r>
      <w:r>
        <w:rPr>
          <w:vertAlign w:val="baseline"/>
        </w:rPr>
        <w:t>in</w:t>
      </w:r>
      <w:r>
        <w:rPr>
          <w:spacing w:val="-3"/>
          <w:vertAlign w:val="baseline"/>
        </w:rPr>
        <w:t> </w:t>
      </w:r>
      <w:r>
        <w:rPr>
          <w:vertAlign w:val="baseline"/>
        </w:rPr>
        <w:t>Minnesota</w:t>
      </w:r>
      <w:r>
        <w:rPr>
          <w:spacing w:val="-3"/>
          <w:vertAlign w:val="baseline"/>
        </w:rPr>
        <w:t> </w:t>
      </w:r>
      <w:r>
        <w:rPr>
          <w:vertAlign w:val="baseline"/>
        </w:rPr>
        <w:t>found</w:t>
      </w:r>
      <w:r>
        <w:rPr>
          <w:spacing w:val="-3"/>
          <w:vertAlign w:val="baseline"/>
        </w:rPr>
        <w:t> </w:t>
      </w:r>
      <w:r>
        <w:rPr>
          <w:vertAlign w:val="baseline"/>
        </w:rPr>
        <w:t>that</w:t>
      </w:r>
      <w:r>
        <w:rPr>
          <w:spacing w:val="-2"/>
          <w:vertAlign w:val="baseline"/>
        </w:rPr>
        <w:t> </w:t>
      </w:r>
      <w:r>
        <w:rPr>
          <w:vertAlign w:val="baseline"/>
        </w:rPr>
        <w:t>for</w:t>
      </w:r>
      <w:r>
        <w:rPr>
          <w:spacing w:val="-3"/>
          <w:vertAlign w:val="baseline"/>
        </w:rPr>
        <w:t> </w:t>
      </w:r>
      <w:r>
        <w:rPr>
          <w:vertAlign w:val="baseline"/>
        </w:rPr>
        <w:t>9th</w:t>
      </w:r>
      <w:r>
        <w:rPr>
          <w:spacing w:val="-2"/>
          <w:vertAlign w:val="baseline"/>
        </w:rPr>
        <w:t> </w:t>
      </w:r>
      <w:r>
        <w:rPr>
          <w:vertAlign w:val="baseline"/>
        </w:rPr>
        <w:t>and</w:t>
      </w:r>
      <w:r>
        <w:rPr>
          <w:spacing w:val="-3"/>
          <w:vertAlign w:val="baseline"/>
        </w:rPr>
        <w:t> </w:t>
      </w:r>
      <w:r>
        <w:rPr>
          <w:vertAlign w:val="baseline"/>
        </w:rPr>
        <w:t>11th</w:t>
      </w:r>
      <w:r>
        <w:rPr>
          <w:spacing w:val="-2"/>
          <w:vertAlign w:val="baseline"/>
        </w:rPr>
        <w:t> </w:t>
      </w:r>
      <w:r>
        <w:rPr>
          <w:vertAlign w:val="baseline"/>
        </w:rPr>
        <w:t>graders</w:t>
      </w:r>
      <w:r>
        <w:rPr>
          <w:spacing w:val="-3"/>
          <w:vertAlign w:val="baseline"/>
        </w:rPr>
        <w:t> </w:t>
      </w:r>
      <w:r>
        <w:rPr>
          <w:vertAlign w:val="baseline"/>
        </w:rPr>
        <w:t>who</w:t>
      </w:r>
      <w:r>
        <w:rPr>
          <w:spacing w:val="-2"/>
          <w:vertAlign w:val="baseline"/>
        </w:rPr>
        <w:t> </w:t>
      </w:r>
      <w:r>
        <w:rPr>
          <w:vertAlign w:val="baseline"/>
        </w:rPr>
        <w:t>completed</w:t>
      </w:r>
      <w:r>
        <w:rPr>
          <w:spacing w:val="-2"/>
          <w:vertAlign w:val="baseline"/>
        </w:rPr>
        <w:t> </w:t>
      </w:r>
      <w:r>
        <w:rPr>
          <w:vertAlign w:val="baseline"/>
        </w:rPr>
        <w:t>the</w:t>
      </w:r>
      <w:r>
        <w:rPr>
          <w:spacing w:val="-2"/>
          <w:vertAlign w:val="baseline"/>
        </w:rPr>
        <w:t> </w:t>
      </w:r>
      <w:r>
        <w:rPr>
          <w:vertAlign w:val="baseline"/>
        </w:rPr>
        <w:t>Minnesota Student Survey (similar to the youth risk behavior survey), 1.2% of cisgender boys, 1.3% of cisgender girls,</w:t>
      </w:r>
      <w:r>
        <w:rPr>
          <w:spacing w:val="-1"/>
          <w:vertAlign w:val="baseline"/>
        </w:rPr>
        <w:t> </w:t>
      </w:r>
      <w:r>
        <w:rPr>
          <w:vertAlign w:val="baseline"/>
        </w:rPr>
        <w:t>and</w:t>
      </w:r>
      <w:r>
        <w:rPr>
          <w:spacing w:val="-1"/>
          <w:vertAlign w:val="baseline"/>
        </w:rPr>
        <w:t> </w:t>
      </w:r>
      <w:r>
        <w:rPr>
          <w:vertAlign w:val="baseline"/>
        </w:rPr>
        <w:t>5.9%</w:t>
      </w:r>
      <w:r>
        <w:rPr>
          <w:spacing w:val="-2"/>
          <w:vertAlign w:val="baseline"/>
        </w:rPr>
        <w:t> </w:t>
      </w:r>
      <w:r>
        <w:rPr>
          <w:vertAlign w:val="baseline"/>
        </w:rPr>
        <w:t>of trans</w:t>
      </w:r>
      <w:r>
        <w:rPr>
          <w:spacing w:val="-1"/>
          <w:vertAlign w:val="baseline"/>
        </w:rPr>
        <w:t> </w:t>
      </w:r>
      <w:r>
        <w:rPr>
          <w:vertAlign w:val="baseline"/>
        </w:rPr>
        <w:t>and</w:t>
      </w:r>
      <w:r>
        <w:rPr>
          <w:spacing w:val="-2"/>
          <w:vertAlign w:val="baseline"/>
        </w:rPr>
        <w:t> </w:t>
      </w:r>
      <w:r>
        <w:rPr>
          <w:vertAlign w:val="baseline"/>
        </w:rPr>
        <w:t>gender diverse</w:t>
      </w:r>
      <w:r>
        <w:rPr>
          <w:spacing w:val="-2"/>
          <w:vertAlign w:val="baseline"/>
        </w:rPr>
        <w:t> </w:t>
      </w:r>
      <w:r>
        <w:rPr>
          <w:vertAlign w:val="baseline"/>
        </w:rPr>
        <w:t>youth</w:t>
      </w:r>
      <w:r>
        <w:rPr>
          <w:spacing w:val="-1"/>
          <w:vertAlign w:val="baseline"/>
        </w:rPr>
        <w:t> </w:t>
      </w:r>
      <w:r>
        <w:rPr>
          <w:vertAlign w:val="baseline"/>
        </w:rPr>
        <w:t>reported</w:t>
      </w:r>
      <w:r>
        <w:rPr>
          <w:spacing w:val="-1"/>
          <w:vertAlign w:val="baseline"/>
        </w:rPr>
        <w:t> </w:t>
      </w:r>
      <w:r>
        <w:rPr>
          <w:vertAlign w:val="baseline"/>
        </w:rPr>
        <w:t>trading</w:t>
      </w:r>
      <w:r>
        <w:rPr>
          <w:spacing w:val="-1"/>
          <w:vertAlign w:val="baseline"/>
        </w:rPr>
        <w:t> </w:t>
      </w:r>
      <w:r>
        <w:rPr>
          <w:vertAlign w:val="baseline"/>
        </w:rPr>
        <w:t>sex</w:t>
      </w:r>
      <w:r>
        <w:rPr>
          <w:spacing w:val="-1"/>
          <w:vertAlign w:val="baseline"/>
        </w:rPr>
        <w:t> </w:t>
      </w:r>
      <w:r>
        <w:rPr>
          <w:vertAlign w:val="baseline"/>
        </w:rPr>
        <w:t>(exchanging</w:t>
      </w:r>
      <w:r>
        <w:rPr>
          <w:spacing w:val="-2"/>
          <w:vertAlign w:val="baseline"/>
        </w:rPr>
        <w:t> </w:t>
      </w:r>
      <w:r>
        <w:rPr>
          <w:vertAlign w:val="baseline"/>
        </w:rPr>
        <w:t>sexual</w:t>
      </w:r>
      <w:r>
        <w:rPr>
          <w:spacing w:val="-1"/>
          <w:vertAlign w:val="baseline"/>
        </w:rPr>
        <w:t> </w:t>
      </w:r>
      <w:r>
        <w:rPr>
          <w:vertAlign w:val="baseline"/>
        </w:rPr>
        <w:t>services</w:t>
      </w:r>
      <w:r>
        <w:rPr>
          <w:spacing w:val="-1"/>
          <w:vertAlign w:val="baseline"/>
        </w:rPr>
        <w:t> </w:t>
      </w:r>
      <w:r>
        <w:rPr>
          <w:vertAlign w:val="baseline"/>
        </w:rPr>
        <w:t>for money, food, drugs/alcohol, shelter, etc.). Of the trans and gender diverse students who traded sex, over</w:t>
      </w:r>
      <w:r>
        <w:rPr>
          <w:spacing w:val="-6"/>
          <w:vertAlign w:val="baseline"/>
        </w:rPr>
        <w:t> </w:t>
      </w:r>
      <w:r>
        <w:rPr>
          <w:vertAlign w:val="baseline"/>
        </w:rPr>
        <w:t>three</w:t>
      </w:r>
      <w:r>
        <w:rPr>
          <w:spacing w:val="-5"/>
          <w:vertAlign w:val="baseline"/>
        </w:rPr>
        <w:t> </w:t>
      </w:r>
      <w:r>
        <w:rPr>
          <w:vertAlign w:val="baseline"/>
        </w:rPr>
        <w:t>quarters</w:t>
      </w:r>
      <w:r>
        <w:rPr>
          <w:spacing w:val="-6"/>
          <w:vertAlign w:val="baseline"/>
        </w:rPr>
        <w:t> </w:t>
      </w:r>
      <w:r>
        <w:rPr>
          <w:vertAlign w:val="baseline"/>
        </w:rPr>
        <w:t>(75.9%)</w:t>
      </w:r>
      <w:r>
        <w:rPr>
          <w:spacing w:val="-6"/>
          <w:vertAlign w:val="baseline"/>
        </w:rPr>
        <w:t> </w:t>
      </w:r>
      <w:r>
        <w:rPr>
          <w:vertAlign w:val="baseline"/>
        </w:rPr>
        <w:t>reported</w:t>
      </w:r>
      <w:r>
        <w:rPr>
          <w:spacing w:val="-5"/>
          <w:vertAlign w:val="baseline"/>
        </w:rPr>
        <w:t> </w:t>
      </w:r>
      <w:r>
        <w:rPr>
          <w:vertAlign w:val="baseline"/>
        </w:rPr>
        <w:t>a</w:t>
      </w:r>
      <w:r>
        <w:rPr>
          <w:spacing w:val="-6"/>
          <w:vertAlign w:val="baseline"/>
        </w:rPr>
        <w:t> </w:t>
      </w:r>
      <w:r>
        <w:rPr>
          <w:vertAlign w:val="baseline"/>
        </w:rPr>
        <w:t>lifetime</w:t>
      </w:r>
      <w:r>
        <w:rPr>
          <w:spacing w:val="-5"/>
          <w:vertAlign w:val="baseline"/>
        </w:rPr>
        <w:t> </w:t>
      </w:r>
      <w:r>
        <w:rPr>
          <w:vertAlign w:val="baseline"/>
        </w:rPr>
        <w:t>suicide</w:t>
      </w:r>
      <w:r>
        <w:rPr>
          <w:spacing w:val="-7"/>
          <w:vertAlign w:val="baseline"/>
        </w:rPr>
        <w:t> </w:t>
      </w:r>
      <w:r>
        <w:rPr>
          <w:vertAlign w:val="baseline"/>
        </w:rPr>
        <w:t>attempt,</w:t>
      </w:r>
      <w:r>
        <w:rPr>
          <w:spacing w:val="-6"/>
          <w:vertAlign w:val="baseline"/>
        </w:rPr>
        <w:t> </w:t>
      </w:r>
      <w:r>
        <w:rPr>
          <w:vertAlign w:val="baseline"/>
        </w:rPr>
        <w:t>and</w:t>
      </w:r>
      <w:r>
        <w:rPr>
          <w:spacing w:val="-7"/>
          <w:vertAlign w:val="baseline"/>
        </w:rPr>
        <w:t> </w:t>
      </w:r>
      <w:r>
        <w:rPr>
          <w:vertAlign w:val="baseline"/>
        </w:rPr>
        <w:t>86.2%</w:t>
      </w:r>
      <w:r>
        <w:rPr>
          <w:spacing w:val="-5"/>
          <w:vertAlign w:val="baseline"/>
        </w:rPr>
        <w:t> </w:t>
      </w:r>
      <w:r>
        <w:rPr>
          <w:vertAlign w:val="baseline"/>
        </w:rPr>
        <w:t>reported</w:t>
      </w:r>
      <w:r>
        <w:rPr>
          <w:spacing w:val="-5"/>
          <w:vertAlign w:val="baseline"/>
        </w:rPr>
        <w:t> </w:t>
      </w:r>
      <w:r>
        <w:rPr>
          <w:vertAlign w:val="baseline"/>
        </w:rPr>
        <w:t>non-suicidal</w:t>
      </w:r>
      <w:r>
        <w:rPr>
          <w:spacing w:val="-7"/>
          <w:vertAlign w:val="baseline"/>
        </w:rPr>
        <w:t> </w:t>
      </w:r>
      <w:r>
        <w:rPr>
          <w:vertAlign w:val="baseline"/>
        </w:rPr>
        <w:t>self- injury.</w:t>
      </w:r>
      <w:r>
        <w:rPr>
          <w:spacing w:val="-5"/>
          <w:vertAlign w:val="baseline"/>
        </w:rPr>
        <w:t> </w:t>
      </w:r>
      <w:r>
        <w:rPr>
          <w:vertAlign w:val="baseline"/>
        </w:rPr>
        <w:t>Trans</w:t>
      </w:r>
      <w:r>
        <w:rPr>
          <w:spacing w:val="-4"/>
          <w:vertAlign w:val="baseline"/>
        </w:rPr>
        <w:t> </w:t>
      </w:r>
      <w:r>
        <w:rPr>
          <w:vertAlign w:val="baseline"/>
        </w:rPr>
        <w:t>and</w:t>
      </w:r>
      <w:r>
        <w:rPr>
          <w:spacing w:val="-6"/>
          <w:vertAlign w:val="baseline"/>
        </w:rPr>
        <w:t> </w:t>
      </w:r>
      <w:r>
        <w:rPr>
          <w:vertAlign w:val="baseline"/>
        </w:rPr>
        <w:t>gender</w:t>
      </w:r>
      <w:r>
        <w:rPr>
          <w:spacing w:val="-5"/>
          <w:vertAlign w:val="baseline"/>
        </w:rPr>
        <w:t> </w:t>
      </w:r>
      <w:r>
        <w:rPr>
          <w:vertAlign w:val="baseline"/>
        </w:rPr>
        <w:t>diverse</w:t>
      </w:r>
      <w:r>
        <w:rPr>
          <w:spacing w:val="-6"/>
          <w:vertAlign w:val="baseline"/>
        </w:rPr>
        <w:t> </w:t>
      </w:r>
      <w:r>
        <w:rPr>
          <w:vertAlign w:val="baseline"/>
        </w:rPr>
        <w:t>young</w:t>
      </w:r>
      <w:r>
        <w:rPr>
          <w:spacing w:val="-3"/>
          <w:vertAlign w:val="baseline"/>
        </w:rPr>
        <w:t> </w:t>
      </w:r>
      <w:r>
        <w:rPr>
          <w:vertAlign w:val="baseline"/>
        </w:rPr>
        <w:t>people</w:t>
      </w:r>
      <w:r>
        <w:rPr>
          <w:spacing w:val="-4"/>
          <w:vertAlign w:val="baseline"/>
        </w:rPr>
        <w:t> </w:t>
      </w:r>
      <w:r>
        <w:rPr>
          <w:vertAlign w:val="baseline"/>
        </w:rPr>
        <w:t>who</w:t>
      </w:r>
      <w:r>
        <w:rPr>
          <w:spacing w:val="-5"/>
          <w:vertAlign w:val="baseline"/>
        </w:rPr>
        <w:t> </w:t>
      </w:r>
      <w:r>
        <w:rPr>
          <w:vertAlign w:val="baseline"/>
        </w:rPr>
        <w:t>reported</w:t>
      </w:r>
      <w:r>
        <w:rPr>
          <w:spacing w:val="-4"/>
          <w:vertAlign w:val="baseline"/>
        </w:rPr>
        <w:t> </w:t>
      </w:r>
      <w:r>
        <w:rPr>
          <w:vertAlign w:val="baseline"/>
        </w:rPr>
        <w:t>trading</w:t>
      </w:r>
      <w:r>
        <w:rPr>
          <w:spacing w:val="-6"/>
          <w:vertAlign w:val="baseline"/>
        </w:rPr>
        <w:t> </w:t>
      </w:r>
      <w:r>
        <w:rPr>
          <w:vertAlign w:val="baseline"/>
        </w:rPr>
        <w:t>sex</w:t>
      </w:r>
      <w:r>
        <w:rPr>
          <w:spacing w:val="-6"/>
          <w:vertAlign w:val="baseline"/>
        </w:rPr>
        <w:t> </w:t>
      </w:r>
      <w:r>
        <w:rPr>
          <w:vertAlign w:val="baseline"/>
        </w:rPr>
        <w:t>were</w:t>
      </w:r>
      <w:r>
        <w:rPr>
          <w:spacing w:val="-4"/>
          <w:vertAlign w:val="baseline"/>
        </w:rPr>
        <w:t> </w:t>
      </w:r>
      <w:r>
        <w:rPr>
          <w:vertAlign w:val="baseline"/>
        </w:rPr>
        <w:t>more</w:t>
      </w:r>
      <w:r>
        <w:rPr>
          <w:spacing w:val="-6"/>
          <w:vertAlign w:val="baseline"/>
        </w:rPr>
        <w:t> </w:t>
      </w:r>
      <w:r>
        <w:rPr>
          <w:vertAlign w:val="baseline"/>
        </w:rPr>
        <w:t>likely</w:t>
      </w:r>
      <w:r>
        <w:rPr>
          <w:spacing w:val="-4"/>
          <w:vertAlign w:val="baseline"/>
        </w:rPr>
        <w:t> </w:t>
      </w:r>
      <w:r>
        <w:rPr>
          <w:vertAlign w:val="baseline"/>
        </w:rPr>
        <w:t>to</w:t>
      </w:r>
      <w:r>
        <w:rPr>
          <w:spacing w:val="-5"/>
          <w:vertAlign w:val="baseline"/>
        </w:rPr>
        <w:t> </w:t>
      </w:r>
      <w:r>
        <w:rPr>
          <w:vertAlign w:val="baseline"/>
        </w:rPr>
        <w:t>be</w:t>
      </w:r>
      <w:r>
        <w:rPr>
          <w:spacing w:val="-4"/>
          <w:vertAlign w:val="baseline"/>
        </w:rPr>
        <w:t> </w:t>
      </w:r>
      <w:r>
        <w:rPr>
          <w:vertAlign w:val="baseline"/>
        </w:rPr>
        <w:t>BIPOC (23.3%</w:t>
      </w:r>
      <w:r>
        <w:rPr>
          <w:spacing w:val="-9"/>
          <w:vertAlign w:val="baseline"/>
        </w:rPr>
        <w:t> </w:t>
      </w:r>
      <w:r>
        <w:rPr>
          <w:vertAlign w:val="baseline"/>
        </w:rPr>
        <w:t>Native,</w:t>
      </w:r>
      <w:r>
        <w:rPr>
          <w:spacing w:val="-8"/>
          <w:vertAlign w:val="baseline"/>
        </w:rPr>
        <w:t> </w:t>
      </w:r>
      <w:r>
        <w:rPr>
          <w:vertAlign w:val="baseline"/>
        </w:rPr>
        <w:t>10%</w:t>
      </w:r>
      <w:r>
        <w:rPr>
          <w:spacing w:val="-9"/>
          <w:vertAlign w:val="baseline"/>
        </w:rPr>
        <w:t> </w:t>
      </w:r>
      <w:r>
        <w:rPr>
          <w:vertAlign w:val="baseline"/>
        </w:rPr>
        <w:t>Black),</w:t>
      </w:r>
      <w:r>
        <w:rPr>
          <w:spacing w:val="-8"/>
          <w:vertAlign w:val="baseline"/>
        </w:rPr>
        <w:t> </w:t>
      </w:r>
      <w:r>
        <w:rPr>
          <w:vertAlign w:val="baseline"/>
        </w:rPr>
        <w:t>to</w:t>
      </w:r>
      <w:r>
        <w:rPr>
          <w:spacing w:val="-8"/>
          <w:vertAlign w:val="baseline"/>
        </w:rPr>
        <w:t> </w:t>
      </w:r>
      <w:r>
        <w:rPr>
          <w:vertAlign w:val="baseline"/>
        </w:rPr>
        <w:t>identify</w:t>
      </w:r>
      <w:r>
        <w:rPr>
          <w:spacing w:val="-9"/>
          <w:vertAlign w:val="baseline"/>
        </w:rPr>
        <w:t> </w:t>
      </w:r>
      <w:r>
        <w:rPr>
          <w:vertAlign w:val="baseline"/>
        </w:rPr>
        <w:t>as</w:t>
      </w:r>
      <w:r>
        <w:rPr>
          <w:spacing w:val="-7"/>
          <w:vertAlign w:val="baseline"/>
        </w:rPr>
        <w:t> </w:t>
      </w:r>
      <w:r>
        <w:rPr>
          <w:vertAlign w:val="baseline"/>
        </w:rPr>
        <w:t>LGBQ</w:t>
      </w:r>
      <w:r>
        <w:rPr>
          <w:spacing w:val="-9"/>
          <w:vertAlign w:val="baseline"/>
        </w:rPr>
        <w:t> </w:t>
      </w:r>
      <w:r>
        <w:rPr>
          <w:vertAlign w:val="baseline"/>
        </w:rPr>
        <w:t>(26.7%</w:t>
      </w:r>
      <w:r>
        <w:rPr>
          <w:spacing w:val="-7"/>
          <w:vertAlign w:val="baseline"/>
        </w:rPr>
        <w:t> </w:t>
      </w:r>
      <w:r>
        <w:rPr>
          <w:vertAlign w:val="baseline"/>
        </w:rPr>
        <w:t>pansexual,</w:t>
      </w:r>
      <w:r>
        <w:rPr>
          <w:spacing w:val="-8"/>
          <w:vertAlign w:val="baseline"/>
        </w:rPr>
        <w:t> </w:t>
      </w:r>
      <w:r>
        <w:rPr>
          <w:vertAlign w:val="baseline"/>
        </w:rPr>
        <w:t>25%</w:t>
      </w:r>
      <w:r>
        <w:rPr>
          <w:spacing w:val="-9"/>
          <w:vertAlign w:val="baseline"/>
        </w:rPr>
        <w:t> </w:t>
      </w:r>
      <w:r>
        <w:rPr>
          <w:vertAlign w:val="baseline"/>
        </w:rPr>
        <w:t>bisexual),</w:t>
      </w:r>
      <w:r>
        <w:rPr>
          <w:spacing w:val="-7"/>
          <w:vertAlign w:val="baseline"/>
        </w:rPr>
        <w:t> </w:t>
      </w:r>
      <w:r>
        <w:rPr>
          <w:vertAlign w:val="baseline"/>
        </w:rPr>
        <w:t>and</w:t>
      </w:r>
      <w:r>
        <w:rPr>
          <w:spacing w:val="-9"/>
          <w:vertAlign w:val="baseline"/>
        </w:rPr>
        <w:t> </w:t>
      </w:r>
      <w:r>
        <w:rPr>
          <w:vertAlign w:val="baseline"/>
        </w:rPr>
        <w:t>have</w:t>
      </w:r>
      <w:r>
        <w:rPr>
          <w:spacing w:val="-9"/>
          <w:vertAlign w:val="baseline"/>
        </w:rPr>
        <w:t> </w:t>
      </w:r>
      <w:r>
        <w:rPr>
          <w:vertAlign w:val="baseline"/>
        </w:rPr>
        <w:t>experienced unstable housing. Cisgender and transgender youth who reported trading sex attended metropolitan and non-metropolitan schools at equal rates.</w:t>
      </w:r>
      <w:r>
        <w:rPr>
          <w:vertAlign w:val="superscript"/>
        </w:rPr>
        <w:t>19</w:t>
      </w:r>
    </w:p>
    <w:p>
      <w:pPr>
        <w:pStyle w:val="BodyText"/>
        <w:spacing w:line="276" w:lineRule="auto" w:before="240"/>
        <w:ind w:left="464" w:right="402"/>
        <w:jc w:val="both"/>
      </w:pPr>
      <w:r>
        <w:rPr/>
        <w:t>One study found that LGBTQ students recommend the following for schools to better address and prevent</w:t>
      </w:r>
      <w:r>
        <w:rPr>
          <w:spacing w:val="-1"/>
        </w:rPr>
        <w:t> </w:t>
      </w:r>
      <w:r>
        <w:rPr/>
        <w:t>sexual</w:t>
      </w:r>
      <w:r>
        <w:rPr>
          <w:spacing w:val="-2"/>
        </w:rPr>
        <w:t> </w:t>
      </w:r>
      <w:r>
        <w:rPr/>
        <w:t>violence:</w:t>
      </w:r>
      <w:r>
        <w:rPr>
          <w:spacing w:val="-1"/>
        </w:rPr>
        <w:t> </w:t>
      </w:r>
      <w:r>
        <w:rPr/>
        <w:t>(1)</w:t>
      </w:r>
      <w:r>
        <w:rPr>
          <w:spacing w:val="-2"/>
        </w:rPr>
        <w:t> </w:t>
      </w:r>
      <w:r>
        <w:rPr/>
        <w:t>access</w:t>
      </w:r>
      <w:r>
        <w:rPr>
          <w:spacing w:val="-1"/>
        </w:rPr>
        <w:t> </w:t>
      </w:r>
      <w:r>
        <w:rPr/>
        <w:t>to</w:t>
      </w:r>
      <w:r>
        <w:rPr>
          <w:spacing w:val="-1"/>
        </w:rPr>
        <w:t> </w:t>
      </w:r>
      <w:r>
        <w:rPr/>
        <w:t>gender-neutral</w:t>
      </w:r>
      <w:r>
        <w:rPr>
          <w:spacing w:val="-2"/>
        </w:rPr>
        <w:t> </w:t>
      </w:r>
      <w:r>
        <w:rPr/>
        <w:t>spaces</w:t>
      </w:r>
      <w:r>
        <w:rPr>
          <w:spacing w:val="-2"/>
        </w:rPr>
        <w:t> </w:t>
      </w:r>
      <w:r>
        <w:rPr/>
        <w:t>such</w:t>
      </w:r>
      <w:r>
        <w:rPr>
          <w:spacing w:val="-1"/>
        </w:rPr>
        <w:t> </w:t>
      </w:r>
      <w:r>
        <w:rPr/>
        <w:t>as</w:t>
      </w:r>
      <w:r>
        <w:rPr>
          <w:spacing w:val="-2"/>
        </w:rPr>
        <w:t> </w:t>
      </w:r>
      <w:r>
        <w:rPr/>
        <w:t>bathrooms</w:t>
      </w:r>
      <w:r>
        <w:rPr>
          <w:spacing w:val="-1"/>
        </w:rPr>
        <w:t> </w:t>
      </w:r>
      <w:r>
        <w:rPr/>
        <w:t>and</w:t>
      </w:r>
      <w:r>
        <w:rPr>
          <w:spacing w:val="-1"/>
        </w:rPr>
        <w:t> </w:t>
      </w:r>
      <w:r>
        <w:rPr/>
        <w:t>locker</w:t>
      </w:r>
      <w:r>
        <w:rPr>
          <w:spacing w:val="-1"/>
        </w:rPr>
        <w:t> </w:t>
      </w:r>
      <w:r>
        <w:rPr/>
        <w:t>rooms;</w:t>
      </w:r>
      <w:r>
        <w:rPr>
          <w:spacing w:val="-2"/>
        </w:rPr>
        <w:t> </w:t>
      </w:r>
      <w:r>
        <w:rPr/>
        <w:t>(2) LGBTQ competency training for all school staff; (3) enforcement of school policies regarding sexual violence, anti-bullying, etc.; (4) mental health support that is LGBTQ competent; and, (5) comprehensive sexual health education that includes information about LGBTQ identities and experiences and sexual violence.</w:t>
      </w:r>
      <w:r>
        <w:rPr>
          <w:vertAlign w:val="superscript"/>
        </w:rPr>
        <w:t>16</w:t>
      </w:r>
      <w:r>
        <w:rPr>
          <w:spacing w:val="40"/>
          <w:vertAlign w:val="baseline"/>
        </w:rPr>
        <w:t> </w:t>
      </w:r>
      <w:r>
        <w:rPr>
          <w:vertAlign w:val="baseline"/>
        </w:rPr>
        <w:t>As mentioned throughout this report, incorporating these recommendations into school policy, practice, and culture benefits all students, not only those who are</w:t>
      </w:r>
      <w:r>
        <w:rPr>
          <w:spacing w:val="-7"/>
          <w:vertAlign w:val="baseline"/>
        </w:rPr>
        <w:t> </w:t>
      </w:r>
      <w:r>
        <w:rPr>
          <w:vertAlign w:val="baseline"/>
        </w:rPr>
        <w:t>LGBTQ.</w:t>
      </w:r>
      <w:r>
        <w:rPr>
          <w:spacing w:val="-6"/>
          <w:vertAlign w:val="baseline"/>
        </w:rPr>
        <w:t> </w:t>
      </w:r>
      <w:r>
        <w:rPr>
          <w:vertAlign w:val="baseline"/>
        </w:rPr>
        <w:t>In</w:t>
      </w:r>
      <w:r>
        <w:rPr>
          <w:spacing w:val="-6"/>
          <w:vertAlign w:val="baseline"/>
        </w:rPr>
        <w:t> </w:t>
      </w:r>
      <w:r>
        <w:rPr>
          <w:vertAlign w:val="baseline"/>
        </w:rPr>
        <w:t>FY</w:t>
      </w:r>
      <w:r>
        <w:rPr>
          <w:spacing w:val="-6"/>
          <w:vertAlign w:val="baseline"/>
        </w:rPr>
        <w:t> </w:t>
      </w:r>
      <w:r>
        <w:rPr>
          <w:vertAlign w:val="baseline"/>
        </w:rPr>
        <w:t>2024,</w:t>
      </w:r>
      <w:r>
        <w:rPr>
          <w:spacing w:val="-6"/>
          <w:vertAlign w:val="baseline"/>
        </w:rPr>
        <w:t> </w:t>
      </w:r>
      <w:r>
        <w:rPr>
          <w:vertAlign w:val="baseline"/>
        </w:rPr>
        <w:t>the</w:t>
      </w:r>
      <w:r>
        <w:rPr>
          <w:spacing w:val="-5"/>
          <w:vertAlign w:val="baseline"/>
        </w:rPr>
        <w:t> </w:t>
      </w:r>
      <w:r>
        <w:rPr>
          <w:vertAlign w:val="baseline"/>
        </w:rPr>
        <w:t>Commission</w:t>
      </w:r>
      <w:r>
        <w:rPr>
          <w:spacing w:val="-7"/>
          <w:vertAlign w:val="baseline"/>
        </w:rPr>
        <w:t> </w:t>
      </w:r>
      <w:r>
        <w:rPr>
          <w:vertAlign w:val="baseline"/>
        </w:rPr>
        <w:t>was</w:t>
      </w:r>
      <w:r>
        <w:rPr>
          <w:spacing w:val="-6"/>
          <w:vertAlign w:val="baseline"/>
        </w:rPr>
        <w:t> </w:t>
      </w:r>
      <w:r>
        <w:rPr>
          <w:vertAlign w:val="baseline"/>
        </w:rPr>
        <w:t>pleased</w:t>
      </w:r>
      <w:r>
        <w:rPr>
          <w:spacing w:val="-6"/>
          <w:vertAlign w:val="baseline"/>
        </w:rPr>
        <w:t> </w:t>
      </w:r>
      <w:r>
        <w:rPr>
          <w:vertAlign w:val="baseline"/>
        </w:rPr>
        <w:t>to</w:t>
      </w:r>
      <w:r>
        <w:rPr>
          <w:spacing w:val="-6"/>
          <w:vertAlign w:val="baseline"/>
        </w:rPr>
        <w:t> </w:t>
      </w:r>
      <w:r>
        <w:rPr>
          <w:vertAlign w:val="baseline"/>
        </w:rPr>
        <w:t>see</w:t>
      </w:r>
      <w:r>
        <w:rPr>
          <w:spacing w:val="-7"/>
          <w:vertAlign w:val="baseline"/>
        </w:rPr>
        <w:t> </w:t>
      </w:r>
      <w:r>
        <w:rPr>
          <w:vertAlign w:val="baseline"/>
        </w:rPr>
        <w:t>updates</w:t>
      </w:r>
      <w:r>
        <w:rPr>
          <w:spacing w:val="-6"/>
          <w:vertAlign w:val="baseline"/>
        </w:rPr>
        <w:t> </w:t>
      </w:r>
      <w:r>
        <w:rPr>
          <w:vertAlign w:val="baseline"/>
        </w:rPr>
        <w:t>from</w:t>
      </w:r>
      <w:r>
        <w:rPr>
          <w:spacing w:val="-7"/>
          <w:vertAlign w:val="baseline"/>
        </w:rPr>
        <w:t> </w:t>
      </w:r>
      <w:r>
        <w:rPr>
          <w:vertAlign w:val="baseline"/>
        </w:rPr>
        <w:t>the</w:t>
      </w:r>
      <w:r>
        <w:rPr>
          <w:spacing w:val="-7"/>
          <w:vertAlign w:val="baseline"/>
        </w:rPr>
        <w:t> </w:t>
      </w:r>
      <w:r>
        <w:rPr>
          <w:vertAlign w:val="baseline"/>
        </w:rPr>
        <w:t>Massachusetts</w:t>
      </w:r>
      <w:r>
        <w:rPr>
          <w:spacing w:val="-5"/>
          <w:vertAlign w:val="baseline"/>
        </w:rPr>
        <w:t> </w:t>
      </w:r>
      <w:r>
        <w:rPr>
          <w:vertAlign w:val="baseline"/>
        </w:rPr>
        <w:t>Plumbing Board</w:t>
      </w:r>
      <w:r>
        <w:rPr>
          <w:spacing w:val="-3"/>
          <w:vertAlign w:val="baseline"/>
        </w:rPr>
        <w:t> </w:t>
      </w:r>
      <w:r>
        <w:rPr>
          <w:vertAlign w:val="baseline"/>
        </w:rPr>
        <w:t>making</w:t>
      </w:r>
      <w:r>
        <w:rPr>
          <w:spacing w:val="-3"/>
          <w:vertAlign w:val="baseline"/>
        </w:rPr>
        <w:t> </w:t>
      </w:r>
      <w:r>
        <w:rPr>
          <w:vertAlign w:val="baseline"/>
        </w:rPr>
        <w:t>long-awaited</w:t>
      </w:r>
      <w:r>
        <w:rPr>
          <w:spacing w:val="-3"/>
          <w:vertAlign w:val="baseline"/>
        </w:rPr>
        <w:t> </w:t>
      </w:r>
      <w:r>
        <w:rPr>
          <w:vertAlign w:val="baseline"/>
        </w:rPr>
        <w:t>and</w:t>
      </w:r>
      <w:r>
        <w:rPr>
          <w:spacing w:val="-2"/>
          <w:vertAlign w:val="baseline"/>
        </w:rPr>
        <w:t> </w:t>
      </w:r>
      <w:r>
        <w:rPr>
          <w:vertAlign w:val="baseline"/>
        </w:rPr>
        <w:t>much-needed</w:t>
      </w:r>
      <w:r>
        <w:rPr>
          <w:spacing w:val="-3"/>
          <w:vertAlign w:val="baseline"/>
        </w:rPr>
        <w:t> </w:t>
      </w:r>
      <w:r>
        <w:rPr>
          <w:vertAlign w:val="baseline"/>
        </w:rPr>
        <w:t>updates</w:t>
      </w:r>
      <w:r>
        <w:rPr>
          <w:spacing w:val="-2"/>
          <w:vertAlign w:val="baseline"/>
        </w:rPr>
        <w:t> </w:t>
      </w:r>
      <w:r>
        <w:rPr>
          <w:vertAlign w:val="baseline"/>
        </w:rPr>
        <w:t>to</w:t>
      </w:r>
      <w:r>
        <w:rPr>
          <w:spacing w:val="-1"/>
          <w:vertAlign w:val="baseline"/>
        </w:rPr>
        <w:t> </w:t>
      </w:r>
      <w:r>
        <w:rPr>
          <w:vertAlign w:val="baseline"/>
        </w:rPr>
        <w:t>the</w:t>
      </w:r>
      <w:r>
        <w:rPr>
          <w:spacing w:val="-2"/>
          <w:vertAlign w:val="baseline"/>
        </w:rPr>
        <w:t> </w:t>
      </w:r>
      <w:r>
        <w:rPr>
          <w:vertAlign w:val="baseline"/>
        </w:rPr>
        <w:t>state’s</w:t>
      </w:r>
      <w:r>
        <w:rPr>
          <w:spacing w:val="-2"/>
          <w:vertAlign w:val="baseline"/>
        </w:rPr>
        <w:t> </w:t>
      </w:r>
      <w:r>
        <w:rPr>
          <w:vertAlign w:val="baseline"/>
        </w:rPr>
        <w:t>plumbing</w:t>
      </w:r>
      <w:r>
        <w:rPr>
          <w:spacing w:val="-2"/>
          <w:vertAlign w:val="baseline"/>
        </w:rPr>
        <w:t> </w:t>
      </w:r>
      <w:r>
        <w:rPr>
          <w:vertAlign w:val="baseline"/>
        </w:rPr>
        <w:t>code</w:t>
      </w:r>
      <w:r>
        <w:rPr>
          <w:spacing w:val="-2"/>
          <w:vertAlign w:val="baseline"/>
        </w:rPr>
        <w:t> </w:t>
      </w:r>
      <w:r>
        <w:rPr>
          <w:vertAlign w:val="baseline"/>
        </w:rPr>
        <w:t>which</w:t>
      </w:r>
      <w:r>
        <w:rPr>
          <w:spacing w:val="-1"/>
          <w:vertAlign w:val="baseline"/>
        </w:rPr>
        <w:t> </w:t>
      </w:r>
      <w:r>
        <w:rPr>
          <w:vertAlign w:val="baseline"/>
        </w:rPr>
        <w:t>will</w:t>
      </w:r>
      <w:r>
        <w:rPr>
          <w:spacing w:val="-3"/>
          <w:vertAlign w:val="baseline"/>
        </w:rPr>
        <w:t> </w:t>
      </w:r>
      <w:r>
        <w:rPr>
          <w:vertAlign w:val="baseline"/>
        </w:rPr>
        <w:t>better allow for the creation of gender-neutral bathrooms in new and existing buildings.</w:t>
      </w:r>
    </w:p>
    <w:p>
      <w:pPr>
        <w:spacing w:after="0" w:line="276" w:lineRule="auto"/>
        <w:jc w:val="both"/>
        <w:sectPr>
          <w:pgSz w:w="12240" w:h="15840"/>
          <w:pgMar w:header="763" w:footer="1041" w:top="1140" w:bottom="1240" w:left="1120" w:right="1180"/>
        </w:sectPr>
      </w:pPr>
    </w:p>
    <w:p>
      <w:pPr>
        <w:spacing w:before="65"/>
        <w:ind w:left="464" w:right="0" w:firstLine="0"/>
        <w:jc w:val="both"/>
        <w:rPr>
          <w:sz w:val="26"/>
        </w:rPr>
      </w:pPr>
      <w:bookmarkStart w:name="School Supports for LGBTQ Students" w:id="144"/>
      <w:bookmarkEnd w:id="144"/>
      <w:r>
        <w:rPr/>
      </w:r>
      <w:r>
        <w:rPr>
          <w:color w:val="404040"/>
          <w:sz w:val="26"/>
        </w:rPr>
        <w:t>School</w:t>
      </w:r>
      <w:r>
        <w:rPr>
          <w:color w:val="404040"/>
          <w:spacing w:val="-4"/>
          <w:sz w:val="26"/>
        </w:rPr>
        <w:t> </w:t>
      </w:r>
      <w:r>
        <w:rPr>
          <w:color w:val="404040"/>
          <w:sz w:val="26"/>
        </w:rPr>
        <w:t>Supports</w:t>
      </w:r>
      <w:r>
        <w:rPr>
          <w:color w:val="404040"/>
          <w:spacing w:val="-4"/>
          <w:sz w:val="26"/>
        </w:rPr>
        <w:t> </w:t>
      </w:r>
      <w:r>
        <w:rPr>
          <w:color w:val="404040"/>
          <w:sz w:val="26"/>
        </w:rPr>
        <w:t>for</w:t>
      </w:r>
      <w:r>
        <w:rPr>
          <w:color w:val="404040"/>
          <w:spacing w:val="-3"/>
          <w:sz w:val="26"/>
        </w:rPr>
        <w:t> </w:t>
      </w:r>
      <w:r>
        <w:rPr>
          <w:color w:val="404040"/>
          <w:sz w:val="26"/>
        </w:rPr>
        <w:t>LGBTQ</w:t>
      </w:r>
      <w:r>
        <w:rPr>
          <w:color w:val="404040"/>
          <w:spacing w:val="-5"/>
          <w:sz w:val="26"/>
        </w:rPr>
        <w:t> </w:t>
      </w:r>
      <w:r>
        <w:rPr>
          <w:color w:val="404040"/>
          <w:spacing w:val="-2"/>
          <w:sz w:val="26"/>
        </w:rPr>
        <w:t>Students</w:t>
      </w:r>
    </w:p>
    <w:p>
      <w:pPr>
        <w:pStyle w:val="BodyText"/>
        <w:spacing w:line="276" w:lineRule="auto" w:before="288"/>
        <w:ind w:left="464" w:right="400"/>
        <w:jc w:val="both"/>
      </w:pPr>
      <w:r>
        <w:rPr/>
        <w:t>Another factor associated with a decrease in sexual violence for LGBTQ students is the presence of Gender-Sexuality</w:t>
      </w:r>
      <w:r>
        <w:rPr>
          <w:spacing w:val="-4"/>
        </w:rPr>
        <w:t> </w:t>
      </w:r>
      <w:r>
        <w:rPr/>
        <w:t>Alliance</w:t>
      </w:r>
      <w:r>
        <w:rPr>
          <w:spacing w:val="-2"/>
        </w:rPr>
        <w:t> </w:t>
      </w:r>
      <w:r>
        <w:rPr/>
        <w:t>(GSA)</w:t>
      </w:r>
      <w:r>
        <w:rPr>
          <w:spacing w:val="-3"/>
        </w:rPr>
        <w:t> </w:t>
      </w:r>
      <w:r>
        <w:rPr/>
        <w:t>clubs</w:t>
      </w:r>
      <w:r>
        <w:rPr>
          <w:spacing w:val="-4"/>
        </w:rPr>
        <w:t> </w:t>
      </w:r>
      <w:r>
        <w:rPr/>
        <w:t>in</w:t>
      </w:r>
      <w:r>
        <w:rPr>
          <w:spacing w:val="-3"/>
        </w:rPr>
        <w:t> </w:t>
      </w:r>
      <w:r>
        <w:rPr/>
        <w:t>schools.</w:t>
      </w:r>
      <w:r>
        <w:rPr>
          <w:spacing w:val="-3"/>
        </w:rPr>
        <w:t> </w:t>
      </w:r>
      <w:r>
        <w:rPr/>
        <w:t>Research</w:t>
      </w:r>
      <w:r>
        <w:rPr>
          <w:spacing w:val="-3"/>
        </w:rPr>
        <w:t> </w:t>
      </w:r>
      <w:r>
        <w:rPr/>
        <w:t>demonstrates</w:t>
      </w:r>
      <w:r>
        <w:rPr>
          <w:spacing w:val="-4"/>
        </w:rPr>
        <w:t> </w:t>
      </w:r>
      <w:r>
        <w:rPr/>
        <w:t>that</w:t>
      </w:r>
      <w:r>
        <w:rPr>
          <w:spacing w:val="-3"/>
        </w:rPr>
        <w:t> </w:t>
      </w:r>
      <w:r>
        <w:rPr/>
        <w:t>the</w:t>
      </w:r>
      <w:r>
        <w:rPr>
          <w:spacing w:val="-4"/>
        </w:rPr>
        <w:t> </w:t>
      </w:r>
      <w:r>
        <w:rPr/>
        <w:t>existence</w:t>
      </w:r>
      <w:r>
        <w:rPr>
          <w:spacing w:val="-2"/>
        </w:rPr>
        <w:t> </w:t>
      </w:r>
      <w:r>
        <w:rPr/>
        <w:t>of</w:t>
      </w:r>
      <w:r>
        <w:rPr>
          <w:spacing w:val="-4"/>
        </w:rPr>
        <w:t> </w:t>
      </w:r>
      <w:r>
        <w:rPr/>
        <w:t>GSAs</w:t>
      </w:r>
      <w:r>
        <w:rPr>
          <w:spacing w:val="-2"/>
        </w:rPr>
        <w:t> </w:t>
      </w:r>
      <w:r>
        <w:rPr/>
        <w:t>is associated with reduced rates of forced sex for lesbian, gay, bisexual students.</w:t>
      </w:r>
      <w:r>
        <w:rPr>
          <w:vertAlign w:val="superscript"/>
        </w:rPr>
        <w:t>17</w:t>
      </w:r>
      <w:r>
        <w:rPr>
          <w:spacing w:val="-7"/>
          <w:vertAlign w:val="baseline"/>
        </w:rPr>
        <w:t> </w:t>
      </w:r>
      <w:r>
        <w:rPr>
          <w:vertAlign w:val="baseline"/>
        </w:rPr>
        <w:t>Additionally, GSAs empower LGBTQ youth to build resilience, hope, and positive support networks, and tend to actively improve</w:t>
      </w:r>
      <w:r>
        <w:rPr>
          <w:spacing w:val="-1"/>
          <w:vertAlign w:val="baseline"/>
        </w:rPr>
        <w:t> </w:t>
      </w:r>
      <w:r>
        <w:rPr>
          <w:vertAlign w:val="baseline"/>
        </w:rPr>
        <w:t>school</w:t>
      </w:r>
      <w:r>
        <w:rPr>
          <w:spacing w:val="-1"/>
          <w:vertAlign w:val="baseline"/>
        </w:rPr>
        <w:t> </w:t>
      </w:r>
      <w:r>
        <w:rPr>
          <w:vertAlign w:val="baseline"/>
        </w:rPr>
        <w:t>culture. GLSEN found that</w:t>
      </w:r>
      <w:r>
        <w:rPr>
          <w:spacing w:val="-1"/>
          <w:vertAlign w:val="baseline"/>
        </w:rPr>
        <w:t> </w:t>
      </w:r>
      <w:r>
        <w:rPr>
          <w:vertAlign w:val="baseline"/>
        </w:rPr>
        <w:t>students with active GSAs experienced nearly half as much in-person victimization for their sexual orientation or gender expression as their peers.</w:t>
      </w:r>
    </w:p>
    <w:p>
      <w:pPr>
        <w:pStyle w:val="BodyText"/>
        <w:spacing w:line="276" w:lineRule="auto" w:before="240"/>
        <w:ind w:left="463" w:right="401"/>
        <w:jc w:val="both"/>
      </w:pPr>
      <w:r>
        <w:rPr/>
        <w:t>Given</w:t>
      </w:r>
      <w:r>
        <w:rPr>
          <w:spacing w:val="-3"/>
        </w:rPr>
        <w:t> </w:t>
      </w:r>
      <w:r>
        <w:rPr/>
        <w:t>the</w:t>
      </w:r>
      <w:r>
        <w:rPr>
          <w:spacing w:val="-3"/>
        </w:rPr>
        <w:t> </w:t>
      </w:r>
      <w:r>
        <w:rPr/>
        <w:t>positive</w:t>
      </w:r>
      <w:r>
        <w:rPr>
          <w:spacing w:val="-4"/>
        </w:rPr>
        <w:t> </w:t>
      </w:r>
      <w:r>
        <w:rPr/>
        <w:t>impact</w:t>
      </w:r>
      <w:r>
        <w:rPr>
          <w:spacing w:val="-3"/>
        </w:rPr>
        <w:t> </w:t>
      </w:r>
      <w:r>
        <w:rPr/>
        <w:t>that</w:t>
      </w:r>
      <w:r>
        <w:rPr>
          <w:spacing w:val="-5"/>
        </w:rPr>
        <w:t> </w:t>
      </w:r>
      <w:r>
        <w:rPr/>
        <w:t>GSAs</w:t>
      </w:r>
      <w:r>
        <w:rPr>
          <w:spacing w:val="-4"/>
        </w:rPr>
        <w:t> </w:t>
      </w:r>
      <w:r>
        <w:rPr/>
        <w:t>can</w:t>
      </w:r>
      <w:r>
        <w:rPr>
          <w:spacing w:val="-2"/>
        </w:rPr>
        <w:t> </w:t>
      </w:r>
      <w:r>
        <w:rPr/>
        <w:t>have</w:t>
      </w:r>
      <w:r>
        <w:rPr>
          <w:spacing w:val="-4"/>
        </w:rPr>
        <w:t> </w:t>
      </w:r>
      <w:r>
        <w:rPr/>
        <w:t>on</w:t>
      </w:r>
      <w:r>
        <w:rPr>
          <w:spacing w:val="-4"/>
        </w:rPr>
        <w:t> </w:t>
      </w:r>
      <w:r>
        <w:rPr/>
        <w:t>mental</w:t>
      </w:r>
      <w:r>
        <w:rPr>
          <w:spacing w:val="-4"/>
        </w:rPr>
        <w:t> </w:t>
      </w:r>
      <w:r>
        <w:rPr/>
        <w:t>health</w:t>
      </w:r>
      <w:r>
        <w:rPr>
          <w:spacing w:val="-4"/>
        </w:rPr>
        <w:t> </w:t>
      </w:r>
      <w:r>
        <w:rPr/>
        <w:t>outcomes</w:t>
      </w:r>
      <w:r>
        <w:rPr>
          <w:spacing w:val="-4"/>
        </w:rPr>
        <w:t> </w:t>
      </w:r>
      <w:r>
        <w:rPr/>
        <w:t>for</w:t>
      </w:r>
      <w:r>
        <w:rPr>
          <w:spacing w:val="-4"/>
        </w:rPr>
        <w:t> </w:t>
      </w:r>
      <w:r>
        <w:rPr/>
        <w:t>LGBTQ</w:t>
      </w:r>
      <w:r>
        <w:rPr>
          <w:spacing w:val="-4"/>
        </w:rPr>
        <w:t> </w:t>
      </w:r>
      <w:r>
        <w:rPr/>
        <w:t>youth</w:t>
      </w:r>
      <w:r>
        <w:rPr>
          <w:spacing w:val="-3"/>
        </w:rPr>
        <w:t> </w:t>
      </w:r>
      <w:r>
        <w:rPr/>
        <w:t>it</w:t>
      </w:r>
      <w:r>
        <w:rPr>
          <w:spacing w:val="-5"/>
        </w:rPr>
        <w:t> </w:t>
      </w:r>
      <w:r>
        <w:rPr/>
        <w:t>is</w:t>
      </w:r>
      <w:r>
        <w:rPr>
          <w:spacing w:val="-4"/>
        </w:rPr>
        <w:t> </w:t>
      </w:r>
      <w:r>
        <w:rPr/>
        <w:t>critical that all LGBTQ have access to GSAs or other spaces that fulfill similar goals. GLSEN studies found that Black and Latine students who attended majority-white schools were more likely to have a GSA than those in majority-Latine schools.</w:t>
      </w:r>
      <w:hyperlink w:history="true" w:anchor="_bookmark63">
        <w:r>
          <w:rPr>
            <w:vertAlign w:val="superscript"/>
          </w:rPr>
          <w:t>24</w:t>
        </w:r>
      </w:hyperlink>
      <w:r>
        <w:rPr>
          <w:spacing w:val="-3"/>
          <w:vertAlign w:val="baseline"/>
        </w:rPr>
        <w:t> </w:t>
      </w:r>
      <w:r>
        <w:rPr>
          <w:vertAlign w:val="baseline"/>
        </w:rPr>
        <w:t>Given this disparity, the Commission recommends that the State looks to invest more intentional support and resources to create safe and supportive spaces, as well as to foster and develop LGBTQ student leadership in schools that are not majority-white. Furthermore, the State should provide more intersectional professional development opportunities for educators to better foster learning on how to be effective advisors of school clubs.</w:t>
      </w:r>
    </w:p>
    <w:p>
      <w:pPr>
        <w:pStyle w:val="BodyText"/>
        <w:spacing w:line="276" w:lineRule="auto" w:before="240"/>
        <w:ind w:left="463" w:right="402"/>
        <w:jc w:val="both"/>
      </w:pPr>
      <w:r>
        <w:rPr/>
        <w:t>However,</w:t>
      </w:r>
      <w:r>
        <w:rPr>
          <w:spacing w:val="-3"/>
        </w:rPr>
        <w:t> </w:t>
      </w:r>
      <w:r>
        <w:rPr/>
        <w:t>we</w:t>
      </w:r>
      <w:r>
        <w:rPr>
          <w:spacing w:val="-3"/>
        </w:rPr>
        <w:t> </w:t>
      </w:r>
      <w:r>
        <w:rPr/>
        <w:t>must</w:t>
      </w:r>
      <w:r>
        <w:rPr>
          <w:spacing w:val="-3"/>
        </w:rPr>
        <w:t> </w:t>
      </w:r>
      <w:r>
        <w:rPr/>
        <w:t>look</w:t>
      </w:r>
      <w:r>
        <w:rPr>
          <w:spacing w:val="-3"/>
        </w:rPr>
        <w:t> </w:t>
      </w:r>
      <w:r>
        <w:rPr/>
        <w:t>beyond</w:t>
      </w:r>
      <w:r>
        <w:rPr>
          <w:spacing w:val="-3"/>
        </w:rPr>
        <w:t> </w:t>
      </w:r>
      <w:r>
        <w:rPr/>
        <w:t>simply</w:t>
      </w:r>
      <w:r>
        <w:rPr>
          <w:spacing w:val="-3"/>
        </w:rPr>
        <w:t> </w:t>
      </w:r>
      <w:r>
        <w:rPr/>
        <w:t>whether</w:t>
      </w:r>
      <w:r>
        <w:rPr>
          <w:spacing w:val="-3"/>
        </w:rPr>
        <w:t> </w:t>
      </w:r>
      <w:r>
        <w:rPr/>
        <w:t>youth</w:t>
      </w:r>
      <w:r>
        <w:rPr>
          <w:spacing w:val="-3"/>
        </w:rPr>
        <w:t> </w:t>
      </w:r>
      <w:r>
        <w:rPr/>
        <w:t>have</w:t>
      </w:r>
      <w:r>
        <w:rPr>
          <w:spacing w:val="-3"/>
        </w:rPr>
        <w:t> </w:t>
      </w:r>
      <w:r>
        <w:rPr/>
        <w:t>access</w:t>
      </w:r>
      <w:r>
        <w:rPr>
          <w:spacing w:val="-3"/>
        </w:rPr>
        <w:t> </w:t>
      </w:r>
      <w:r>
        <w:rPr/>
        <w:t>to</w:t>
      </w:r>
      <w:r>
        <w:rPr>
          <w:spacing w:val="-3"/>
        </w:rPr>
        <w:t> </w:t>
      </w:r>
      <w:r>
        <w:rPr/>
        <w:t>or</w:t>
      </w:r>
      <w:r>
        <w:rPr>
          <w:spacing w:val="-3"/>
        </w:rPr>
        <w:t> </w:t>
      </w:r>
      <w:r>
        <w:rPr/>
        <w:t>attend</w:t>
      </w:r>
      <w:r>
        <w:rPr>
          <w:spacing w:val="-3"/>
        </w:rPr>
        <w:t> </w:t>
      </w:r>
      <w:r>
        <w:rPr/>
        <w:t>GSA</w:t>
      </w:r>
      <w:r>
        <w:rPr>
          <w:spacing w:val="-3"/>
        </w:rPr>
        <w:t> </w:t>
      </w:r>
      <w:r>
        <w:rPr/>
        <w:t>meetings</w:t>
      </w:r>
      <w:r>
        <w:rPr>
          <w:spacing w:val="-3"/>
        </w:rPr>
        <w:t> </w:t>
      </w:r>
      <w:r>
        <w:rPr/>
        <w:t>but</w:t>
      </w:r>
      <w:r>
        <w:rPr>
          <w:spacing w:val="-3"/>
        </w:rPr>
        <w:t> </w:t>
      </w:r>
      <w:r>
        <w:rPr/>
        <w:t>pay attention to the specific happenings of those meetings to have a greater understanding of mental health</w:t>
      </w:r>
      <w:r>
        <w:rPr>
          <w:spacing w:val="-5"/>
        </w:rPr>
        <w:t> </w:t>
      </w:r>
      <w:r>
        <w:rPr/>
        <w:t>outcomes</w:t>
      </w:r>
      <w:r>
        <w:rPr>
          <w:spacing w:val="-5"/>
        </w:rPr>
        <w:t> </w:t>
      </w:r>
      <w:r>
        <w:rPr/>
        <w:t>for</w:t>
      </w:r>
      <w:r>
        <w:rPr>
          <w:spacing w:val="-5"/>
        </w:rPr>
        <w:t> </w:t>
      </w:r>
      <w:r>
        <w:rPr/>
        <w:t>LGBTQ</w:t>
      </w:r>
      <w:r>
        <w:rPr>
          <w:spacing w:val="-5"/>
        </w:rPr>
        <w:t> </w:t>
      </w:r>
      <w:r>
        <w:rPr/>
        <w:t>young</w:t>
      </w:r>
      <w:r>
        <w:rPr>
          <w:spacing w:val="-5"/>
        </w:rPr>
        <w:t> </w:t>
      </w:r>
      <w:r>
        <w:rPr/>
        <w:t>people.</w:t>
      </w:r>
      <w:r>
        <w:rPr>
          <w:spacing w:val="-6"/>
        </w:rPr>
        <w:t> </w:t>
      </w:r>
      <w:r>
        <w:rPr/>
        <w:t>For</w:t>
      </w:r>
      <w:r>
        <w:rPr>
          <w:spacing w:val="-5"/>
        </w:rPr>
        <w:t> </w:t>
      </w:r>
      <w:r>
        <w:rPr/>
        <w:t>example,</w:t>
      </w:r>
      <w:r>
        <w:rPr>
          <w:spacing w:val="-5"/>
        </w:rPr>
        <w:t> </w:t>
      </w:r>
      <w:r>
        <w:rPr/>
        <w:t>youth</w:t>
      </w:r>
      <w:r>
        <w:rPr>
          <w:spacing w:val="-5"/>
        </w:rPr>
        <w:t> </w:t>
      </w:r>
      <w:r>
        <w:rPr/>
        <w:t>reported</w:t>
      </w:r>
      <w:r>
        <w:rPr>
          <w:spacing w:val="-5"/>
        </w:rPr>
        <w:t> </w:t>
      </w:r>
      <w:r>
        <w:rPr/>
        <w:t>feeling</w:t>
      </w:r>
      <w:r>
        <w:rPr>
          <w:spacing w:val="-5"/>
        </w:rPr>
        <w:t> </w:t>
      </w:r>
      <w:r>
        <w:rPr/>
        <w:t>greater</w:t>
      </w:r>
      <w:r>
        <w:rPr>
          <w:spacing w:val="-4"/>
        </w:rPr>
        <w:t> </w:t>
      </w:r>
      <w:r>
        <w:rPr/>
        <w:t>positive</w:t>
      </w:r>
      <w:r>
        <w:rPr>
          <w:spacing w:val="-5"/>
        </w:rPr>
        <w:t> </w:t>
      </w:r>
      <w:r>
        <w:rPr/>
        <w:t>affect and decreased negative affect after GSA meetings where they were more behaviorally engaged, compared to meetings where they were less engaged. Furthermore, youth reported less negative affect after meetings where their GSA advisor was more involved and responsive.</w:t>
      </w:r>
      <w:hyperlink w:history="true" w:anchor="_bookmark64">
        <w:r>
          <w:rPr>
            <w:vertAlign w:val="superscript"/>
          </w:rPr>
          <w:t>25</w:t>
        </w:r>
      </w:hyperlink>
      <w:r>
        <w:rPr>
          <w:vertAlign w:val="baseline"/>
        </w:rPr>
        <w:t> However, GSA advisors report receiving no training or mentorship of how to serve in this role.</w:t>
      </w:r>
      <w:hyperlink w:history="true" w:anchor="_bookmark65">
        <w:r>
          <w:rPr>
            <w:vertAlign w:val="superscript"/>
          </w:rPr>
          <w:t>26</w:t>
        </w:r>
      </w:hyperlink>
      <w:r>
        <w:rPr>
          <w:spacing w:val="-2"/>
          <w:vertAlign w:val="baseline"/>
        </w:rPr>
        <w:t> </w:t>
      </w:r>
      <w:r>
        <w:rPr>
          <w:vertAlign w:val="baseline"/>
        </w:rPr>
        <w:t>Furthermore, the Commission has received reports from students and educators about GSAs, particularly those in smaller schools, struggling with attendance and engagement, as well as support from school </w:t>
      </w:r>
      <w:r>
        <w:rPr>
          <w:spacing w:val="-2"/>
          <w:vertAlign w:val="baseline"/>
        </w:rPr>
        <w:t>administration.</w:t>
      </w:r>
    </w:p>
    <w:p>
      <w:pPr>
        <w:pStyle w:val="BodyText"/>
        <w:spacing w:line="276" w:lineRule="auto" w:before="241"/>
        <w:ind w:left="463" w:right="399"/>
        <w:jc w:val="both"/>
      </w:pPr>
      <w:r>
        <w:rPr/>
        <w:t>A longer number of years as an advisor, increased time given to the GSA on a weekly basis, and more structured</w:t>
      </w:r>
      <w:r>
        <w:rPr>
          <w:spacing w:val="-7"/>
        </w:rPr>
        <w:t> </w:t>
      </w:r>
      <w:r>
        <w:rPr/>
        <w:t>meetings</w:t>
      </w:r>
      <w:r>
        <w:rPr>
          <w:spacing w:val="-6"/>
        </w:rPr>
        <w:t> </w:t>
      </w:r>
      <w:r>
        <w:rPr/>
        <w:t>yielded</w:t>
      </w:r>
      <w:r>
        <w:rPr>
          <w:spacing w:val="-7"/>
        </w:rPr>
        <w:t> </w:t>
      </w:r>
      <w:r>
        <w:rPr/>
        <w:t>greater</w:t>
      </w:r>
      <w:r>
        <w:rPr>
          <w:spacing w:val="-6"/>
        </w:rPr>
        <w:t> </w:t>
      </w:r>
      <w:r>
        <w:rPr/>
        <w:t>increases</w:t>
      </w:r>
      <w:r>
        <w:rPr>
          <w:spacing w:val="-6"/>
        </w:rPr>
        <w:t> </w:t>
      </w:r>
      <w:r>
        <w:rPr/>
        <w:t>in</w:t>
      </w:r>
      <w:r>
        <w:rPr>
          <w:spacing w:val="-7"/>
        </w:rPr>
        <w:t> </w:t>
      </w:r>
      <w:r>
        <w:rPr/>
        <w:t>advocacy</w:t>
      </w:r>
      <w:r>
        <w:rPr>
          <w:spacing w:val="-6"/>
        </w:rPr>
        <w:t> </w:t>
      </w:r>
      <w:r>
        <w:rPr/>
        <w:t>from</w:t>
      </w:r>
      <w:r>
        <w:rPr>
          <w:spacing w:val="-7"/>
        </w:rPr>
        <w:t> </w:t>
      </w:r>
      <w:r>
        <w:rPr/>
        <w:t>LGBTQ</w:t>
      </w:r>
      <w:r>
        <w:rPr>
          <w:spacing w:val="-7"/>
        </w:rPr>
        <w:t> </w:t>
      </w:r>
      <w:r>
        <w:rPr/>
        <w:t>students</w:t>
      </w:r>
      <w:r>
        <w:rPr>
          <w:spacing w:val="-6"/>
        </w:rPr>
        <w:t> </w:t>
      </w:r>
      <w:r>
        <w:rPr/>
        <w:t>in</w:t>
      </w:r>
      <w:r>
        <w:rPr>
          <w:spacing w:val="-7"/>
        </w:rPr>
        <w:t> </w:t>
      </w:r>
      <w:r>
        <w:rPr/>
        <w:t>the</w:t>
      </w:r>
      <w:r>
        <w:rPr>
          <w:spacing w:val="-5"/>
        </w:rPr>
        <w:t> </w:t>
      </w:r>
      <w:r>
        <w:rPr/>
        <w:t>GSA</w:t>
      </w:r>
      <w:r>
        <w:rPr>
          <w:spacing w:val="-5"/>
        </w:rPr>
        <w:t> </w:t>
      </w:r>
      <w:r>
        <w:rPr/>
        <w:t>during</w:t>
      </w:r>
      <w:r>
        <w:rPr>
          <w:spacing w:val="-5"/>
        </w:rPr>
        <w:t> </w:t>
      </w:r>
      <w:r>
        <w:rPr/>
        <w:t>the year.</w:t>
      </w:r>
      <w:r>
        <w:rPr>
          <w:vertAlign w:val="superscript"/>
        </w:rPr>
        <w:t>23</w:t>
      </w:r>
      <w:r>
        <w:rPr>
          <w:spacing w:val="-11"/>
          <w:vertAlign w:val="baseline"/>
        </w:rPr>
        <w:t> </w:t>
      </w:r>
      <w:r>
        <w:rPr>
          <w:vertAlign w:val="baseline"/>
        </w:rPr>
        <w:t>In</w:t>
      </w:r>
      <w:r>
        <w:rPr>
          <w:spacing w:val="-10"/>
          <w:vertAlign w:val="baseline"/>
        </w:rPr>
        <w:t> </w:t>
      </w:r>
      <w:r>
        <w:rPr>
          <w:vertAlign w:val="baseline"/>
        </w:rPr>
        <w:t>addition,</w:t>
      </w:r>
      <w:r>
        <w:rPr>
          <w:spacing w:val="-10"/>
          <w:vertAlign w:val="baseline"/>
        </w:rPr>
        <w:t> </w:t>
      </w:r>
      <w:r>
        <w:rPr>
          <w:vertAlign w:val="baseline"/>
        </w:rPr>
        <w:t>although</w:t>
      </w:r>
      <w:r>
        <w:rPr>
          <w:spacing w:val="-10"/>
          <w:vertAlign w:val="baseline"/>
        </w:rPr>
        <w:t> </w:t>
      </w:r>
      <w:r>
        <w:rPr>
          <w:vertAlign w:val="baseline"/>
        </w:rPr>
        <w:t>research</w:t>
      </w:r>
      <w:r>
        <w:rPr>
          <w:spacing w:val="-10"/>
          <w:vertAlign w:val="baseline"/>
        </w:rPr>
        <w:t> </w:t>
      </w:r>
      <w:r>
        <w:rPr>
          <w:vertAlign w:val="baseline"/>
        </w:rPr>
        <w:t>shows</w:t>
      </w:r>
      <w:r>
        <w:rPr>
          <w:spacing w:val="-10"/>
          <w:vertAlign w:val="baseline"/>
        </w:rPr>
        <w:t> </w:t>
      </w:r>
      <w:r>
        <w:rPr>
          <w:vertAlign w:val="baseline"/>
        </w:rPr>
        <w:t>that</w:t>
      </w:r>
      <w:r>
        <w:rPr>
          <w:spacing w:val="-11"/>
          <w:vertAlign w:val="baseline"/>
        </w:rPr>
        <w:t> </w:t>
      </w:r>
      <w:r>
        <w:rPr>
          <w:vertAlign w:val="baseline"/>
        </w:rPr>
        <w:t>GSAs</w:t>
      </w:r>
      <w:r>
        <w:rPr>
          <w:spacing w:val="-10"/>
          <w:vertAlign w:val="baseline"/>
        </w:rPr>
        <w:t> </w:t>
      </w:r>
      <w:r>
        <w:rPr>
          <w:vertAlign w:val="baseline"/>
        </w:rPr>
        <w:t>are</w:t>
      </w:r>
      <w:r>
        <w:rPr>
          <w:spacing w:val="-10"/>
          <w:vertAlign w:val="baseline"/>
        </w:rPr>
        <w:t> </w:t>
      </w:r>
      <w:r>
        <w:rPr>
          <w:vertAlign w:val="baseline"/>
        </w:rPr>
        <w:t>effective</w:t>
      </w:r>
      <w:r>
        <w:rPr>
          <w:spacing w:val="-10"/>
          <w:vertAlign w:val="baseline"/>
        </w:rPr>
        <w:t> </w:t>
      </w:r>
      <w:r>
        <w:rPr>
          <w:vertAlign w:val="baseline"/>
        </w:rPr>
        <w:t>mental</w:t>
      </w:r>
      <w:r>
        <w:rPr>
          <w:spacing w:val="-10"/>
          <w:vertAlign w:val="baseline"/>
        </w:rPr>
        <w:t> </w:t>
      </w:r>
      <w:r>
        <w:rPr>
          <w:vertAlign w:val="baseline"/>
        </w:rPr>
        <w:t>health</w:t>
      </w:r>
      <w:r>
        <w:rPr>
          <w:spacing w:val="-10"/>
          <w:vertAlign w:val="baseline"/>
        </w:rPr>
        <w:t> </w:t>
      </w:r>
      <w:r>
        <w:rPr>
          <w:vertAlign w:val="baseline"/>
        </w:rPr>
        <w:t>interventions,</w:t>
      </w:r>
      <w:r>
        <w:rPr>
          <w:spacing w:val="-10"/>
          <w:vertAlign w:val="baseline"/>
        </w:rPr>
        <w:t> </w:t>
      </w:r>
      <w:r>
        <w:rPr>
          <w:vertAlign w:val="baseline"/>
        </w:rPr>
        <w:t>many school staff are minimally compensated for advising GSAs (if they are compensated at all), creating issues with retaining advisors and keeping clubs operational.</w:t>
      </w:r>
      <w:r>
        <w:rPr>
          <w:vertAlign w:val="superscript"/>
        </w:rPr>
        <w:t>23</w:t>
      </w:r>
      <w:r>
        <w:rPr>
          <w:vertAlign w:val="baseline"/>
        </w:rPr>
        <w:t> As such, schools should give GSA advisors</w:t>
      </w:r>
      <w:r>
        <w:rPr>
          <w:spacing w:val="-8"/>
          <w:vertAlign w:val="baseline"/>
        </w:rPr>
        <w:t> </w:t>
      </w:r>
      <w:r>
        <w:rPr>
          <w:vertAlign w:val="baseline"/>
        </w:rPr>
        <w:t>time</w:t>
      </w:r>
      <w:r>
        <w:rPr>
          <w:spacing w:val="-9"/>
          <w:vertAlign w:val="baseline"/>
        </w:rPr>
        <w:t> </w:t>
      </w:r>
      <w:r>
        <w:rPr>
          <w:vertAlign w:val="baseline"/>
        </w:rPr>
        <w:t>during</w:t>
      </w:r>
      <w:r>
        <w:rPr>
          <w:spacing w:val="-8"/>
          <w:vertAlign w:val="baseline"/>
        </w:rPr>
        <w:t> </w:t>
      </w:r>
      <w:r>
        <w:rPr>
          <w:vertAlign w:val="baseline"/>
        </w:rPr>
        <w:t>their</w:t>
      </w:r>
      <w:r>
        <w:rPr>
          <w:spacing w:val="-7"/>
          <w:vertAlign w:val="baseline"/>
        </w:rPr>
        <w:t> </w:t>
      </w:r>
      <w:r>
        <w:rPr>
          <w:vertAlign w:val="baseline"/>
        </w:rPr>
        <w:t>work</w:t>
      </w:r>
      <w:r>
        <w:rPr>
          <w:spacing w:val="-9"/>
          <w:vertAlign w:val="baseline"/>
        </w:rPr>
        <w:t> </w:t>
      </w:r>
      <w:r>
        <w:rPr>
          <w:vertAlign w:val="baseline"/>
        </w:rPr>
        <w:t>day</w:t>
      </w:r>
      <w:r>
        <w:rPr>
          <w:spacing w:val="-9"/>
          <w:vertAlign w:val="baseline"/>
        </w:rPr>
        <w:t> </w:t>
      </w:r>
      <w:r>
        <w:rPr>
          <w:vertAlign w:val="baseline"/>
        </w:rPr>
        <w:t>to</w:t>
      </w:r>
      <w:r>
        <w:rPr>
          <w:spacing w:val="-8"/>
          <w:vertAlign w:val="baseline"/>
        </w:rPr>
        <w:t> </w:t>
      </w:r>
      <w:r>
        <w:rPr>
          <w:vertAlign w:val="baseline"/>
        </w:rPr>
        <w:t>devote</w:t>
      </w:r>
      <w:r>
        <w:rPr>
          <w:spacing w:val="-9"/>
          <w:vertAlign w:val="baseline"/>
        </w:rPr>
        <w:t> </w:t>
      </w:r>
      <w:r>
        <w:rPr>
          <w:vertAlign w:val="baseline"/>
        </w:rPr>
        <w:t>to</w:t>
      </w:r>
      <w:r>
        <w:rPr>
          <w:spacing w:val="-8"/>
          <w:vertAlign w:val="baseline"/>
        </w:rPr>
        <w:t> </w:t>
      </w:r>
      <w:r>
        <w:rPr>
          <w:vertAlign w:val="baseline"/>
        </w:rPr>
        <w:t>the</w:t>
      </w:r>
      <w:r>
        <w:rPr>
          <w:spacing w:val="-8"/>
          <w:vertAlign w:val="baseline"/>
        </w:rPr>
        <w:t> </w:t>
      </w:r>
      <w:r>
        <w:rPr>
          <w:vertAlign w:val="baseline"/>
        </w:rPr>
        <w:t>GSA,</w:t>
      </w:r>
      <w:r>
        <w:rPr>
          <w:spacing w:val="-8"/>
          <w:vertAlign w:val="baseline"/>
        </w:rPr>
        <w:t> </w:t>
      </w:r>
      <w:r>
        <w:rPr>
          <w:vertAlign w:val="baseline"/>
        </w:rPr>
        <w:t>as</w:t>
      </w:r>
      <w:r>
        <w:rPr>
          <w:spacing w:val="-8"/>
          <w:vertAlign w:val="baseline"/>
        </w:rPr>
        <w:t> </w:t>
      </w:r>
      <w:r>
        <w:rPr>
          <w:vertAlign w:val="baseline"/>
        </w:rPr>
        <w:t>well</w:t>
      </w:r>
      <w:r>
        <w:rPr>
          <w:spacing w:val="-9"/>
          <w:vertAlign w:val="baseline"/>
        </w:rPr>
        <w:t> </w:t>
      </w:r>
      <w:r>
        <w:rPr>
          <w:vertAlign w:val="baseline"/>
        </w:rPr>
        <w:t>as</w:t>
      </w:r>
      <w:r>
        <w:rPr>
          <w:spacing w:val="-8"/>
          <w:vertAlign w:val="baseline"/>
        </w:rPr>
        <w:t> </w:t>
      </w:r>
      <w:r>
        <w:rPr>
          <w:vertAlign w:val="baseline"/>
        </w:rPr>
        <w:t>provide</w:t>
      </w:r>
      <w:r>
        <w:rPr>
          <w:spacing w:val="-9"/>
          <w:vertAlign w:val="baseline"/>
        </w:rPr>
        <w:t> </w:t>
      </w:r>
      <w:r>
        <w:rPr>
          <w:vertAlign w:val="baseline"/>
        </w:rPr>
        <w:t>professional</w:t>
      </w:r>
      <w:r>
        <w:rPr>
          <w:spacing w:val="-9"/>
          <w:vertAlign w:val="baseline"/>
        </w:rPr>
        <w:t> </w:t>
      </w:r>
      <w:r>
        <w:rPr>
          <w:vertAlign w:val="baseline"/>
        </w:rPr>
        <w:t>development and mentorship related to supporting LGBTQ youth, youth leadership development, and how to structure GSA meetings.</w:t>
      </w:r>
    </w:p>
    <w:p>
      <w:pPr>
        <w:pStyle w:val="BodyText"/>
        <w:spacing w:line="276" w:lineRule="auto" w:before="240"/>
        <w:ind w:left="464" w:right="401"/>
        <w:jc w:val="both"/>
      </w:pPr>
      <w:r>
        <w:rPr/>
        <w:t>In addition to in-school, in-person supports for LGBTQ students such as GSAs, research on the impact of</w:t>
      </w:r>
      <w:r>
        <w:rPr>
          <w:spacing w:val="-10"/>
        </w:rPr>
        <w:t> </w:t>
      </w:r>
      <w:r>
        <w:rPr/>
        <w:t>COVID</w:t>
      </w:r>
      <w:r>
        <w:rPr>
          <w:spacing w:val="-9"/>
        </w:rPr>
        <w:t> </w:t>
      </w:r>
      <w:r>
        <w:rPr/>
        <w:t>on</w:t>
      </w:r>
      <w:r>
        <w:rPr>
          <w:spacing w:val="-9"/>
        </w:rPr>
        <w:t> </w:t>
      </w:r>
      <w:r>
        <w:rPr/>
        <w:t>the</w:t>
      </w:r>
      <w:r>
        <w:rPr>
          <w:spacing w:val="-10"/>
        </w:rPr>
        <w:t> </w:t>
      </w:r>
      <w:r>
        <w:rPr/>
        <w:t>mental</w:t>
      </w:r>
      <w:r>
        <w:rPr>
          <w:spacing w:val="-9"/>
        </w:rPr>
        <w:t> </w:t>
      </w:r>
      <w:r>
        <w:rPr/>
        <w:t>health</w:t>
      </w:r>
      <w:r>
        <w:rPr>
          <w:spacing w:val="-10"/>
        </w:rPr>
        <w:t> </w:t>
      </w:r>
      <w:r>
        <w:rPr/>
        <w:t>of</w:t>
      </w:r>
      <w:r>
        <w:rPr>
          <w:spacing w:val="-10"/>
        </w:rPr>
        <w:t> </w:t>
      </w:r>
      <w:r>
        <w:rPr/>
        <w:t>LGBTQ</w:t>
      </w:r>
      <w:r>
        <w:rPr>
          <w:spacing w:val="-9"/>
        </w:rPr>
        <w:t> </w:t>
      </w:r>
      <w:r>
        <w:rPr/>
        <w:t>youth</w:t>
      </w:r>
      <w:r>
        <w:rPr>
          <w:spacing w:val="-9"/>
        </w:rPr>
        <w:t> </w:t>
      </w:r>
      <w:r>
        <w:rPr/>
        <w:t>demonstrates</w:t>
      </w:r>
      <w:r>
        <w:rPr>
          <w:spacing w:val="-9"/>
        </w:rPr>
        <w:t> </w:t>
      </w:r>
      <w:r>
        <w:rPr/>
        <w:t>the</w:t>
      </w:r>
      <w:r>
        <w:rPr>
          <w:spacing w:val="-9"/>
        </w:rPr>
        <w:t> </w:t>
      </w:r>
      <w:r>
        <w:rPr/>
        <w:t>effectiveness</w:t>
      </w:r>
      <w:r>
        <w:rPr>
          <w:spacing w:val="-9"/>
        </w:rPr>
        <w:t> </w:t>
      </w:r>
      <w:r>
        <w:rPr/>
        <w:t>of</w:t>
      </w:r>
      <w:r>
        <w:rPr>
          <w:spacing w:val="-10"/>
        </w:rPr>
        <w:t> </w:t>
      </w:r>
      <w:r>
        <w:rPr/>
        <w:t>alternative</w:t>
      </w:r>
      <w:r>
        <w:rPr>
          <w:spacing w:val="-9"/>
        </w:rPr>
        <w:t> </w:t>
      </w:r>
      <w:r>
        <w:rPr/>
        <w:t>supports provided by schools. Between 2019 and 2021, rates of substance use among LGB youth decreased. While</w:t>
      </w:r>
      <w:r>
        <w:rPr>
          <w:spacing w:val="-10"/>
        </w:rPr>
        <w:t> </w:t>
      </w:r>
      <w:r>
        <w:rPr/>
        <w:t>more</w:t>
      </w:r>
      <w:r>
        <w:rPr>
          <w:spacing w:val="-11"/>
        </w:rPr>
        <w:t> </w:t>
      </w:r>
      <w:r>
        <w:rPr/>
        <w:t>research</w:t>
      </w:r>
      <w:r>
        <w:rPr>
          <w:spacing w:val="-11"/>
        </w:rPr>
        <w:t> </w:t>
      </w:r>
      <w:r>
        <w:rPr/>
        <w:t>is</w:t>
      </w:r>
      <w:r>
        <w:rPr>
          <w:spacing w:val="-10"/>
        </w:rPr>
        <w:t> </w:t>
      </w:r>
      <w:r>
        <w:rPr/>
        <w:t>needed,</w:t>
      </w:r>
      <w:r>
        <w:rPr>
          <w:spacing w:val="-10"/>
        </w:rPr>
        <w:t> </w:t>
      </w:r>
      <w:r>
        <w:rPr/>
        <w:t>these</w:t>
      </w:r>
      <w:r>
        <w:rPr>
          <w:spacing w:val="-10"/>
        </w:rPr>
        <w:t> </w:t>
      </w:r>
      <w:r>
        <w:rPr/>
        <w:t>findings</w:t>
      </w:r>
      <w:r>
        <w:rPr>
          <w:spacing w:val="-10"/>
        </w:rPr>
        <w:t> </w:t>
      </w:r>
      <w:r>
        <w:rPr/>
        <w:t>suggest</w:t>
      </w:r>
      <w:r>
        <w:rPr>
          <w:spacing w:val="-12"/>
        </w:rPr>
        <w:t> </w:t>
      </w:r>
      <w:r>
        <w:rPr/>
        <w:t>in-person</w:t>
      </w:r>
      <w:r>
        <w:rPr>
          <w:spacing w:val="-11"/>
        </w:rPr>
        <w:t> </w:t>
      </w:r>
      <w:r>
        <w:rPr/>
        <w:t>social</w:t>
      </w:r>
      <w:r>
        <w:rPr>
          <w:spacing w:val="-11"/>
        </w:rPr>
        <w:t> </w:t>
      </w:r>
      <w:r>
        <w:rPr/>
        <w:t>experiences</w:t>
      </w:r>
      <w:r>
        <w:rPr>
          <w:spacing w:val="-11"/>
        </w:rPr>
        <w:t> </w:t>
      </w:r>
      <w:r>
        <w:rPr/>
        <w:t>and</w:t>
      </w:r>
      <w:r>
        <w:rPr>
          <w:spacing w:val="-10"/>
        </w:rPr>
        <w:t> </w:t>
      </w:r>
      <w:r>
        <w:rPr/>
        <w:t>peer</w:t>
      </w:r>
      <w:r>
        <w:rPr>
          <w:spacing w:val="-11"/>
        </w:rPr>
        <w:t> </w:t>
      </w:r>
      <w:r>
        <w:rPr/>
        <w:t>influence may</w:t>
      </w:r>
      <w:r>
        <w:rPr>
          <w:spacing w:val="-6"/>
        </w:rPr>
        <w:t> </w:t>
      </w:r>
      <w:r>
        <w:rPr/>
        <w:t>have</w:t>
      </w:r>
      <w:r>
        <w:rPr>
          <w:spacing w:val="-5"/>
        </w:rPr>
        <w:t> </w:t>
      </w:r>
      <w:r>
        <w:rPr/>
        <w:t>a</w:t>
      </w:r>
      <w:r>
        <w:rPr>
          <w:spacing w:val="-5"/>
        </w:rPr>
        <w:t> </w:t>
      </w:r>
      <w:r>
        <w:rPr/>
        <w:t>greater</w:t>
      </w:r>
      <w:r>
        <w:rPr>
          <w:spacing w:val="-6"/>
        </w:rPr>
        <w:t> </w:t>
      </w:r>
      <w:r>
        <w:rPr/>
        <w:t>impact</w:t>
      </w:r>
      <w:r>
        <w:rPr>
          <w:spacing w:val="-6"/>
        </w:rPr>
        <w:t> </w:t>
      </w:r>
      <w:r>
        <w:rPr/>
        <w:t>on</w:t>
      </w:r>
      <w:r>
        <w:rPr>
          <w:spacing w:val="-6"/>
        </w:rPr>
        <w:t> </w:t>
      </w:r>
      <w:r>
        <w:rPr/>
        <w:t>substance</w:t>
      </w:r>
      <w:r>
        <w:rPr>
          <w:spacing w:val="-5"/>
        </w:rPr>
        <w:t> </w:t>
      </w:r>
      <w:r>
        <w:rPr/>
        <w:t>use</w:t>
      </w:r>
      <w:r>
        <w:rPr>
          <w:spacing w:val="-5"/>
        </w:rPr>
        <w:t> </w:t>
      </w:r>
      <w:r>
        <w:rPr/>
        <w:t>than</w:t>
      </w:r>
      <w:r>
        <w:rPr>
          <w:spacing w:val="-6"/>
        </w:rPr>
        <w:t> </w:t>
      </w:r>
      <w:r>
        <w:rPr/>
        <w:t>mental</w:t>
      </w:r>
      <w:r>
        <w:rPr>
          <w:spacing w:val="-5"/>
        </w:rPr>
        <w:t> </w:t>
      </w:r>
      <w:r>
        <w:rPr/>
        <w:t>health</w:t>
      </w:r>
      <w:r>
        <w:rPr>
          <w:spacing w:val="-7"/>
        </w:rPr>
        <w:t> </w:t>
      </w:r>
      <w:r>
        <w:rPr/>
        <w:t>factors.</w:t>
      </w:r>
      <w:hyperlink w:history="true" w:anchor="_bookmark66">
        <w:r>
          <w:rPr>
            <w:vertAlign w:val="superscript"/>
          </w:rPr>
          <w:t>27</w:t>
        </w:r>
      </w:hyperlink>
      <w:r>
        <w:rPr>
          <w:spacing w:val="-3"/>
          <w:vertAlign w:val="baseline"/>
        </w:rPr>
        <w:t> </w:t>
      </w:r>
      <w:r>
        <w:rPr>
          <w:vertAlign w:val="baseline"/>
        </w:rPr>
        <w:t>We</w:t>
      </w:r>
      <w:r>
        <w:rPr>
          <w:spacing w:val="-5"/>
          <w:vertAlign w:val="baseline"/>
        </w:rPr>
        <w:t> </w:t>
      </w:r>
      <w:r>
        <w:rPr>
          <w:vertAlign w:val="baseline"/>
        </w:rPr>
        <w:t>interpret</w:t>
      </w:r>
      <w:r>
        <w:rPr>
          <w:spacing w:val="-6"/>
          <w:vertAlign w:val="baseline"/>
        </w:rPr>
        <w:t> </w:t>
      </w:r>
      <w:r>
        <w:rPr>
          <w:vertAlign w:val="baseline"/>
        </w:rPr>
        <w:t>these</w:t>
      </w:r>
      <w:r>
        <w:rPr>
          <w:spacing w:val="-5"/>
          <w:vertAlign w:val="baseline"/>
        </w:rPr>
        <w:t> </w:t>
      </w:r>
      <w:r>
        <w:rPr>
          <w:vertAlign w:val="baseline"/>
        </w:rPr>
        <w:t>findings</w:t>
      </w:r>
    </w:p>
    <w:p>
      <w:pPr>
        <w:spacing w:after="0" w:line="276" w:lineRule="auto"/>
        <w:jc w:val="both"/>
        <w:sectPr>
          <w:pgSz w:w="12240" w:h="15840"/>
          <w:pgMar w:header="763" w:footer="1041" w:top="1140" w:bottom="1240" w:left="1120" w:right="1180"/>
        </w:sectPr>
      </w:pPr>
    </w:p>
    <w:p>
      <w:pPr>
        <w:pStyle w:val="BodyText"/>
        <w:spacing w:line="276" w:lineRule="auto" w:before="66"/>
        <w:ind w:left="464" w:right="401"/>
        <w:jc w:val="both"/>
      </w:pPr>
      <w:r>
        <w:rPr/>
        <w:t>not</w:t>
      </w:r>
      <w:r>
        <w:rPr>
          <w:spacing w:val="-6"/>
        </w:rPr>
        <w:t> </w:t>
      </w:r>
      <w:r>
        <w:rPr/>
        <w:t>as</w:t>
      </w:r>
      <w:r>
        <w:rPr>
          <w:spacing w:val="-5"/>
        </w:rPr>
        <w:t> </w:t>
      </w:r>
      <w:r>
        <w:rPr/>
        <w:t>a</w:t>
      </w:r>
      <w:r>
        <w:rPr>
          <w:spacing w:val="-5"/>
        </w:rPr>
        <w:t> </w:t>
      </w:r>
      <w:r>
        <w:rPr/>
        <w:t>call</w:t>
      </w:r>
      <w:r>
        <w:rPr>
          <w:spacing w:val="-5"/>
        </w:rPr>
        <w:t> </w:t>
      </w:r>
      <w:r>
        <w:rPr/>
        <w:t>for</w:t>
      </w:r>
      <w:r>
        <w:rPr>
          <w:spacing w:val="-5"/>
        </w:rPr>
        <w:t> </w:t>
      </w:r>
      <w:r>
        <w:rPr/>
        <w:t>a</w:t>
      </w:r>
      <w:r>
        <w:rPr>
          <w:spacing w:val="-5"/>
        </w:rPr>
        <w:t> </w:t>
      </w:r>
      <w:r>
        <w:rPr/>
        <w:t>decrease</w:t>
      </w:r>
      <w:r>
        <w:rPr>
          <w:spacing w:val="-4"/>
        </w:rPr>
        <w:t> </w:t>
      </w:r>
      <w:r>
        <w:rPr/>
        <w:t>of</w:t>
      </w:r>
      <w:r>
        <w:rPr>
          <w:spacing w:val="-5"/>
        </w:rPr>
        <w:t> </w:t>
      </w:r>
      <w:r>
        <w:rPr/>
        <w:t>in-person</w:t>
      </w:r>
      <w:r>
        <w:rPr>
          <w:spacing w:val="-4"/>
        </w:rPr>
        <w:t> </w:t>
      </w:r>
      <w:r>
        <w:rPr/>
        <w:t>social</w:t>
      </w:r>
      <w:r>
        <w:rPr>
          <w:spacing w:val="-5"/>
        </w:rPr>
        <w:t> </w:t>
      </w:r>
      <w:r>
        <w:rPr/>
        <w:t>interaction,</w:t>
      </w:r>
      <w:r>
        <w:rPr>
          <w:spacing w:val="-5"/>
        </w:rPr>
        <w:t> </w:t>
      </w:r>
      <w:r>
        <w:rPr/>
        <w:t>but</w:t>
      </w:r>
      <w:r>
        <w:rPr>
          <w:spacing w:val="-6"/>
        </w:rPr>
        <w:t> </w:t>
      </w:r>
      <w:r>
        <w:rPr/>
        <w:t>as</w:t>
      </w:r>
      <w:r>
        <w:rPr>
          <w:spacing w:val="-5"/>
        </w:rPr>
        <w:t> </w:t>
      </w:r>
      <w:r>
        <w:rPr/>
        <w:t>a</w:t>
      </w:r>
      <w:r>
        <w:rPr>
          <w:spacing w:val="-4"/>
        </w:rPr>
        <w:t> </w:t>
      </w:r>
      <w:r>
        <w:rPr/>
        <w:t>reminder</w:t>
      </w:r>
      <w:r>
        <w:rPr>
          <w:spacing w:val="-4"/>
        </w:rPr>
        <w:t> </w:t>
      </w:r>
      <w:r>
        <w:rPr/>
        <w:t>that</w:t>
      </w:r>
      <w:r>
        <w:rPr>
          <w:spacing w:val="-6"/>
        </w:rPr>
        <w:t> </w:t>
      </w:r>
      <w:r>
        <w:rPr/>
        <w:t>LGBTQ</w:t>
      </w:r>
      <w:r>
        <w:rPr>
          <w:spacing w:val="-6"/>
        </w:rPr>
        <w:t> </w:t>
      </w:r>
      <w:r>
        <w:rPr/>
        <w:t>youth</w:t>
      </w:r>
      <w:r>
        <w:rPr>
          <w:spacing w:val="-6"/>
        </w:rPr>
        <w:t> </w:t>
      </w:r>
      <w:r>
        <w:rPr/>
        <w:t>(and</w:t>
      </w:r>
      <w:r>
        <w:rPr>
          <w:spacing w:val="-6"/>
        </w:rPr>
        <w:t> </w:t>
      </w:r>
      <w:r>
        <w:rPr/>
        <w:t>all youth)</w:t>
      </w:r>
      <w:r>
        <w:rPr>
          <w:spacing w:val="-13"/>
        </w:rPr>
        <w:t> </w:t>
      </w:r>
      <w:r>
        <w:rPr/>
        <w:t>need</w:t>
      </w:r>
      <w:r>
        <w:rPr>
          <w:spacing w:val="-12"/>
        </w:rPr>
        <w:t> </w:t>
      </w:r>
      <w:r>
        <w:rPr/>
        <w:t>a</w:t>
      </w:r>
      <w:r>
        <w:rPr>
          <w:spacing w:val="-13"/>
        </w:rPr>
        <w:t> </w:t>
      </w:r>
      <w:r>
        <w:rPr/>
        <w:t>variety</w:t>
      </w:r>
      <w:r>
        <w:rPr>
          <w:spacing w:val="-12"/>
        </w:rPr>
        <w:t> </w:t>
      </w:r>
      <w:r>
        <w:rPr/>
        <w:t>of</w:t>
      </w:r>
      <w:r>
        <w:rPr>
          <w:spacing w:val="-13"/>
        </w:rPr>
        <w:t> </w:t>
      </w:r>
      <w:r>
        <w:rPr/>
        <w:t>potential</w:t>
      </w:r>
      <w:r>
        <w:rPr>
          <w:spacing w:val="-12"/>
        </w:rPr>
        <w:t> </w:t>
      </w:r>
      <w:r>
        <w:rPr/>
        <w:t>entry</w:t>
      </w:r>
      <w:r>
        <w:rPr>
          <w:spacing w:val="-13"/>
        </w:rPr>
        <w:t> </w:t>
      </w:r>
      <w:r>
        <w:rPr/>
        <w:t>points</w:t>
      </w:r>
      <w:r>
        <w:rPr>
          <w:spacing w:val="-12"/>
        </w:rPr>
        <w:t> </w:t>
      </w:r>
      <w:r>
        <w:rPr/>
        <w:t>into</w:t>
      </w:r>
      <w:r>
        <w:rPr>
          <w:spacing w:val="-12"/>
        </w:rPr>
        <w:t> </w:t>
      </w:r>
      <w:r>
        <w:rPr/>
        <w:t>social</w:t>
      </w:r>
      <w:r>
        <w:rPr>
          <w:spacing w:val="-13"/>
        </w:rPr>
        <w:t> </w:t>
      </w:r>
      <w:r>
        <w:rPr/>
        <w:t>interaction</w:t>
      </w:r>
      <w:r>
        <w:rPr>
          <w:spacing w:val="-12"/>
        </w:rPr>
        <w:t> </w:t>
      </w:r>
      <w:r>
        <w:rPr/>
        <w:t>and</w:t>
      </w:r>
      <w:r>
        <w:rPr>
          <w:spacing w:val="-13"/>
        </w:rPr>
        <w:t> </w:t>
      </w:r>
      <w:r>
        <w:rPr/>
        <w:t>relationships</w:t>
      </w:r>
      <w:r>
        <w:rPr>
          <w:spacing w:val="-12"/>
        </w:rPr>
        <w:t> </w:t>
      </w:r>
      <w:r>
        <w:rPr/>
        <w:t>in</w:t>
      </w:r>
      <w:r>
        <w:rPr>
          <w:spacing w:val="-13"/>
        </w:rPr>
        <w:t> </w:t>
      </w:r>
      <w:r>
        <w:rPr/>
        <w:t>order</w:t>
      </w:r>
      <w:r>
        <w:rPr>
          <w:spacing w:val="-12"/>
        </w:rPr>
        <w:t> </w:t>
      </w:r>
      <w:r>
        <w:rPr/>
        <w:t>to</w:t>
      </w:r>
      <w:r>
        <w:rPr>
          <w:spacing w:val="-12"/>
        </w:rPr>
        <w:t> </w:t>
      </w:r>
      <w:r>
        <w:rPr/>
        <w:t>make the best and healthiest choices for themselves.</w:t>
      </w:r>
    </w:p>
    <w:p>
      <w:pPr>
        <w:pStyle w:val="BodyText"/>
        <w:spacing w:line="276" w:lineRule="auto" w:before="240"/>
        <w:ind w:left="463" w:right="403"/>
        <w:jc w:val="both"/>
      </w:pPr>
      <w:r>
        <w:rPr/>
        <w:t>Through the isolation of COVID-19, we learned the importance of “synchronous, text-based online platforms</w:t>
      </w:r>
      <w:r>
        <w:rPr>
          <w:spacing w:val="-2"/>
        </w:rPr>
        <w:t> </w:t>
      </w:r>
      <w:r>
        <w:rPr/>
        <w:t>to enable</w:t>
      </w:r>
      <w:r>
        <w:rPr>
          <w:spacing w:val="-1"/>
        </w:rPr>
        <w:t> </w:t>
      </w:r>
      <w:r>
        <w:rPr/>
        <w:t>LGBTQ</w:t>
      </w:r>
      <w:r>
        <w:rPr>
          <w:spacing w:val="-2"/>
        </w:rPr>
        <w:t> </w:t>
      </w:r>
      <w:r>
        <w:rPr/>
        <w:t>youth</w:t>
      </w:r>
      <w:r>
        <w:rPr>
          <w:spacing w:val="-2"/>
        </w:rPr>
        <w:t> </w:t>
      </w:r>
      <w:r>
        <w:rPr/>
        <w:t>to feel</w:t>
      </w:r>
      <w:r>
        <w:rPr>
          <w:spacing w:val="-2"/>
        </w:rPr>
        <w:t> </w:t>
      </w:r>
      <w:r>
        <w:rPr/>
        <w:t>safe</w:t>
      </w:r>
      <w:r>
        <w:rPr>
          <w:spacing w:val="-2"/>
        </w:rPr>
        <w:t> </w:t>
      </w:r>
      <w:r>
        <w:rPr/>
        <w:t>to seek</w:t>
      </w:r>
      <w:r>
        <w:rPr>
          <w:spacing w:val="-2"/>
        </w:rPr>
        <w:t> </w:t>
      </w:r>
      <w:r>
        <w:rPr/>
        <w:t>support</w:t>
      </w:r>
      <w:r>
        <w:rPr>
          <w:spacing w:val="-2"/>
        </w:rPr>
        <w:t> </w:t>
      </w:r>
      <w:r>
        <w:rPr/>
        <w:t>while</w:t>
      </w:r>
      <w:r>
        <w:rPr>
          <w:spacing w:val="-2"/>
        </w:rPr>
        <w:t> </w:t>
      </w:r>
      <w:r>
        <w:rPr/>
        <w:t>at</w:t>
      </w:r>
      <w:r>
        <w:rPr>
          <w:spacing w:val="-1"/>
        </w:rPr>
        <w:t> </w:t>
      </w:r>
      <w:r>
        <w:rPr/>
        <w:t>home”</w:t>
      </w:r>
      <w:r>
        <w:rPr>
          <w:spacing w:val="-2"/>
        </w:rPr>
        <w:t> </w:t>
      </w:r>
      <w:r>
        <w:rPr/>
        <w:t>(p.</w:t>
      </w:r>
      <w:r>
        <w:rPr>
          <w:spacing w:val="-2"/>
        </w:rPr>
        <w:t> </w:t>
      </w:r>
      <w:r>
        <w:rPr/>
        <w:t>480).</w:t>
      </w:r>
      <w:hyperlink w:history="true" w:anchor="_bookmark67">
        <w:r>
          <w:rPr>
            <w:vertAlign w:val="superscript"/>
          </w:rPr>
          <w:t>28</w:t>
        </w:r>
      </w:hyperlink>
      <w:r>
        <w:rPr>
          <w:spacing w:val="-2"/>
          <w:vertAlign w:val="baseline"/>
        </w:rPr>
        <w:t> </w:t>
      </w:r>
      <w:r>
        <w:rPr>
          <w:vertAlign w:val="baseline"/>
        </w:rPr>
        <w:t>While</w:t>
      </w:r>
      <w:r>
        <w:rPr>
          <w:spacing w:val="-2"/>
          <w:vertAlign w:val="baseline"/>
        </w:rPr>
        <w:t> </w:t>
      </w:r>
      <w:r>
        <w:rPr>
          <w:vertAlign w:val="baseline"/>
        </w:rPr>
        <w:t>we</w:t>
      </w:r>
      <w:r>
        <w:rPr>
          <w:spacing w:val="-1"/>
          <w:vertAlign w:val="baseline"/>
        </w:rPr>
        <w:t> </w:t>
      </w:r>
      <w:r>
        <w:rPr>
          <w:vertAlign w:val="baseline"/>
        </w:rPr>
        <w:t>are no longer confined to our houses, there are many LGBTQ youth who are still living with unsupportive parents</w:t>
      </w:r>
      <w:r>
        <w:rPr>
          <w:spacing w:val="-13"/>
          <w:vertAlign w:val="baseline"/>
        </w:rPr>
        <w:t> </w:t>
      </w:r>
      <w:r>
        <w:rPr>
          <w:vertAlign w:val="baseline"/>
        </w:rPr>
        <w:t>and</w:t>
      </w:r>
      <w:r>
        <w:rPr>
          <w:spacing w:val="-12"/>
          <w:vertAlign w:val="baseline"/>
        </w:rPr>
        <w:t> </w:t>
      </w:r>
      <w:r>
        <w:rPr>
          <w:vertAlign w:val="baseline"/>
        </w:rPr>
        <w:t>who</w:t>
      </w:r>
      <w:r>
        <w:rPr>
          <w:spacing w:val="-13"/>
          <w:vertAlign w:val="baseline"/>
        </w:rPr>
        <w:t> </w:t>
      </w:r>
      <w:r>
        <w:rPr>
          <w:vertAlign w:val="baseline"/>
        </w:rPr>
        <w:t>would</w:t>
      </w:r>
      <w:r>
        <w:rPr>
          <w:spacing w:val="-12"/>
          <w:vertAlign w:val="baseline"/>
        </w:rPr>
        <w:t> </w:t>
      </w:r>
      <w:r>
        <w:rPr>
          <w:vertAlign w:val="baseline"/>
        </w:rPr>
        <w:t>benefit</w:t>
      </w:r>
      <w:r>
        <w:rPr>
          <w:spacing w:val="-13"/>
          <w:vertAlign w:val="baseline"/>
        </w:rPr>
        <w:t> </w:t>
      </w:r>
      <w:r>
        <w:rPr>
          <w:vertAlign w:val="baseline"/>
        </w:rPr>
        <w:t>from</w:t>
      </w:r>
      <w:r>
        <w:rPr>
          <w:spacing w:val="-12"/>
          <w:vertAlign w:val="baseline"/>
        </w:rPr>
        <w:t> </w:t>
      </w:r>
      <w:r>
        <w:rPr>
          <w:vertAlign w:val="baseline"/>
        </w:rPr>
        <w:t>resources</w:t>
      </w:r>
      <w:r>
        <w:rPr>
          <w:spacing w:val="-13"/>
          <w:vertAlign w:val="baseline"/>
        </w:rPr>
        <w:t> </w:t>
      </w:r>
      <w:r>
        <w:rPr>
          <w:vertAlign w:val="baseline"/>
        </w:rPr>
        <w:t>similar</w:t>
      </w:r>
      <w:r>
        <w:rPr>
          <w:spacing w:val="-12"/>
          <w:vertAlign w:val="baseline"/>
        </w:rPr>
        <w:t> </w:t>
      </w:r>
      <w:r>
        <w:rPr>
          <w:vertAlign w:val="baseline"/>
        </w:rPr>
        <w:t>to</w:t>
      </w:r>
      <w:r>
        <w:rPr>
          <w:spacing w:val="-12"/>
          <w:vertAlign w:val="baseline"/>
        </w:rPr>
        <w:t> </w:t>
      </w:r>
      <w:r>
        <w:rPr>
          <w:vertAlign w:val="baseline"/>
        </w:rPr>
        <w:t>those</w:t>
      </w:r>
      <w:r>
        <w:rPr>
          <w:spacing w:val="-13"/>
          <w:vertAlign w:val="baseline"/>
        </w:rPr>
        <w:t> </w:t>
      </w:r>
      <w:r>
        <w:rPr>
          <w:vertAlign w:val="baseline"/>
        </w:rPr>
        <w:t>offered</w:t>
      </w:r>
      <w:r>
        <w:rPr>
          <w:spacing w:val="-12"/>
          <w:vertAlign w:val="baseline"/>
        </w:rPr>
        <w:t> </w:t>
      </w:r>
      <w:r>
        <w:rPr>
          <w:vertAlign w:val="baseline"/>
        </w:rPr>
        <w:t>during</w:t>
      </w:r>
      <w:r>
        <w:rPr>
          <w:spacing w:val="-11"/>
          <w:vertAlign w:val="baseline"/>
        </w:rPr>
        <w:t> </w:t>
      </w:r>
      <w:r>
        <w:rPr>
          <w:vertAlign w:val="baseline"/>
        </w:rPr>
        <w:t>COVID</w:t>
      </w:r>
      <w:r>
        <w:rPr>
          <w:spacing w:val="-12"/>
          <w:vertAlign w:val="baseline"/>
        </w:rPr>
        <w:t> </w:t>
      </w:r>
      <w:r>
        <w:rPr>
          <w:vertAlign w:val="baseline"/>
        </w:rPr>
        <w:t>such</w:t>
      </w:r>
      <w:r>
        <w:rPr>
          <w:spacing w:val="-13"/>
          <w:vertAlign w:val="baseline"/>
        </w:rPr>
        <w:t> </w:t>
      </w:r>
      <w:r>
        <w:rPr>
          <w:vertAlign w:val="baseline"/>
        </w:rPr>
        <w:t>as</w:t>
      </w:r>
      <w:r>
        <w:rPr>
          <w:spacing w:val="-12"/>
          <w:vertAlign w:val="baseline"/>
        </w:rPr>
        <w:t> </w:t>
      </w:r>
      <w:r>
        <w:rPr>
          <w:vertAlign w:val="baseline"/>
        </w:rPr>
        <w:t>In-person and online mental health supports, text-based mental health-focused platforms, and virtual communities.</w:t>
      </w:r>
      <w:hyperlink w:history="true" w:anchor="_bookmark68">
        <w:r>
          <w:rPr>
            <w:vertAlign w:val="superscript"/>
          </w:rPr>
          <w:t>29</w:t>
        </w:r>
      </w:hyperlink>
      <w:r>
        <w:rPr>
          <w:spacing w:val="-3"/>
          <w:vertAlign w:val="baseline"/>
        </w:rPr>
        <w:t> </w:t>
      </w:r>
      <w:r>
        <w:rPr>
          <w:vertAlign w:val="baseline"/>
        </w:rPr>
        <w:t>Therefore, schools should have</w:t>
      </w:r>
      <w:r>
        <w:rPr>
          <w:spacing w:val="-1"/>
          <w:vertAlign w:val="baseline"/>
        </w:rPr>
        <w:t> </w:t>
      </w:r>
      <w:r>
        <w:rPr>
          <w:vertAlign w:val="baseline"/>
        </w:rPr>
        <w:t>both in-person</w:t>
      </w:r>
      <w:r>
        <w:rPr>
          <w:spacing w:val="-1"/>
          <w:vertAlign w:val="baseline"/>
        </w:rPr>
        <w:t> </w:t>
      </w:r>
      <w:r>
        <w:rPr>
          <w:vertAlign w:val="baseline"/>
        </w:rPr>
        <w:t>and text-based</w:t>
      </w:r>
      <w:r>
        <w:rPr>
          <w:spacing w:val="-1"/>
          <w:vertAlign w:val="baseline"/>
        </w:rPr>
        <w:t> </w:t>
      </w:r>
      <w:r>
        <w:rPr>
          <w:vertAlign w:val="baseline"/>
        </w:rPr>
        <w:t>online</w:t>
      </w:r>
      <w:r>
        <w:rPr>
          <w:spacing w:val="-1"/>
          <w:vertAlign w:val="baseline"/>
        </w:rPr>
        <w:t> </w:t>
      </w:r>
      <w:r>
        <w:rPr>
          <w:vertAlign w:val="baseline"/>
        </w:rPr>
        <w:t>support options</w:t>
      </w:r>
    </w:p>
    <w:p>
      <w:pPr>
        <w:pStyle w:val="BodyText"/>
        <w:spacing w:line="276" w:lineRule="auto"/>
        <w:ind w:left="463" w:right="401"/>
        <w:jc w:val="both"/>
      </w:pPr>
      <w:r>
        <w:rPr/>
        <w:t>/ communities available to students so that LGBTQ youth in a variety of settings with differing social and support needs can be well-resourced.</w:t>
      </w:r>
    </w:p>
    <w:p>
      <w:pPr>
        <w:spacing w:before="239"/>
        <w:ind w:left="464" w:right="0" w:firstLine="0"/>
        <w:jc w:val="left"/>
        <w:rPr>
          <w:sz w:val="28"/>
        </w:rPr>
      </w:pPr>
      <w:bookmarkStart w:name="Athletics" w:id="145"/>
      <w:bookmarkEnd w:id="145"/>
      <w:r>
        <w:rPr/>
      </w:r>
      <w:r>
        <w:rPr>
          <w:color w:val="404040"/>
          <w:spacing w:val="-2"/>
          <w:sz w:val="28"/>
        </w:rPr>
        <w:t>Athletics</w:t>
      </w:r>
    </w:p>
    <w:p>
      <w:pPr>
        <w:pStyle w:val="BodyText"/>
        <w:spacing w:line="276" w:lineRule="auto" w:before="292"/>
        <w:ind w:left="464" w:right="401"/>
        <w:jc w:val="both"/>
      </w:pPr>
      <w:r>
        <w:rPr/>
        <w:t>LGBTQ youth who participate in school sports demonstrate increased well-being and higher rates of school belonging. However, LGBTQ youth report wanting to participate in sports, but avoid doing so because of homophobic comments and feeling unsafe.</w:t>
      </w:r>
      <w:hyperlink w:history="true" w:anchor="_bookmark69">
        <w:r>
          <w:rPr>
            <w:vertAlign w:val="superscript"/>
          </w:rPr>
          <w:t>30</w:t>
        </w:r>
      </w:hyperlink>
      <w:r>
        <w:rPr>
          <w:vertAlign w:val="baseline"/>
        </w:rPr>
        <w:t> Participation in sports has been linked to higher self-esteem and school belonging and less depressive symptoms. Notably, the same research suggests</w:t>
      </w:r>
      <w:r>
        <w:rPr>
          <w:spacing w:val="-5"/>
          <w:vertAlign w:val="baseline"/>
        </w:rPr>
        <w:t> </w:t>
      </w:r>
      <w:r>
        <w:rPr>
          <w:vertAlign w:val="baseline"/>
        </w:rPr>
        <w:t>that</w:t>
      </w:r>
      <w:r>
        <w:rPr>
          <w:spacing w:val="-4"/>
          <w:vertAlign w:val="baseline"/>
        </w:rPr>
        <w:t> </w:t>
      </w:r>
      <w:r>
        <w:rPr>
          <w:vertAlign w:val="baseline"/>
        </w:rPr>
        <w:t>gender</w:t>
      </w:r>
      <w:r>
        <w:rPr>
          <w:spacing w:val="-5"/>
          <w:vertAlign w:val="baseline"/>
        </w:rPr>
        <w:t> </w:t>
      </w:r>
      <w:r>
        <w:rPr>
          <w:vertAlign w:val="baseline"/>
        </w:rPr>
        <w:t>expansive</w:t>
      </w:r>
      <w:r>
        <w:rPr>
          <w:spacing w:val="-7"/>
          <w:vertAlign w:val="baseline"/>
        </w:rPr>
        <w:t> </w:t>
      </w:r>
      <w:r>
        <w:rPr>
          <w:vertAlign w:val="baseline"/>
        </w:rPr>
        <w:t>youth</w:t>
      </w:r>
      <w:r>
        <w:rPr>
          <w:spacing w:val="-5"/>
          <w:vertAlign w:val="baseline"/>
        </w:rPr>
        <w:t> </w:t>
      </w:r>
      <w:r>
        <w:rPr>
          <w:vertAlign w:val="baseline"/>
        </w:rPr>
        <w:t>do</w:t>
      </w:r>
      <w:r>
        <w:rPr>
          <w:spacing w:val="-5"/>
          <w:vertAlign w:val="baseline"/>
        </w:rPr>
        <w:t> </w:t>
      </w:r>
      <w:r>
        <w:rPr>
          <w:vertAlign w:val="baseline"/>
        </w:rPr>
        <w:t>not</w:t>
      </w:r>
      <w:r>
        <w:rPr>
          <w:spacing w:val="-7"/>
          <w:vertAlign w:val="baseline"/>
        </w:rPr>
        <w:t> </w:t>
      </w:r>
      <w:r>
        <w:rPr>
          <w:vertAlign w:val="baseline"/>
        </w:rPr>
        <w:t>always</w:t>
      </w:r>
      <w:r>
        <w:rPr>
          <w:spacing w:val="-5"/>
          <w:vertAlign w:val="baseline"/>
        </w:rPr>
        <w:t> </w:t>
      </w:r>
      <w:r>
        <w:rPr>
          <w:vertAlign w:val="baseline"/>
        </w:rPr>
        <w:t>know</w:t>
      </w:r>
      <w:r>
        <w:rPr>
          <w:spacing w:val="-6"/>
          <w:vertAlign w:val="baseline"/>
        </w:rPr>
        <w:t> </w:t>
      </w:r>
      <w:r>
        <w:rPr>
          <w:vertAlign w:val="baseline"/>
        </w:rPr>
        <w:t>that</w:t>
      </w:r>
      <w:r>
        <w:rPr>
          <w:spacing w:val="-7"/>
          <w:vertAlign w:val="baseline"/>
        </w:rPr>
        <w:t> </w:t>
      </w:r>
      <w:r>
        <w:rPr>
          <w:vertAlign w:val="baseline"/>
        </w:rPr>
        <w:t>local</w:t>
      </w:r>
      <w:r>
        <w:rPr>
          <w:spacing w:val="-6"/>
          <w:vertAlign w:val="baseline"/>
        </w:rPr>
        <w:t> </w:t>
      </w:r>
      <w:r>
        <w:rPr>
          <w:vertAlign w:val="baseline"/>
        </w:rPr>
        <w:t>and</w:t>
      </w:r>
      <w:r>
        <w:rPr>
          <w:spacing w:val="-5"/>
          <w:vertAlign w:val="baseline"/>
        </w:rPr>
        <w:t> </w:t>
      </w:r>
      <w:r>
        <w:rPr>
          <w:vertAlign w:val="baseline"/>
        </w:rPr>
        <w:t>state</w:t>
      </w:r>
      <w:r>
        <w:rPr>
          <w:spacing w:val="-5"/>
          <w:vertAlign w:val="baseline"/>
        </w:rPr>
        <w:t> </w:t>
      </w:r>
      <w:r>
        <w:rPr>
          <w:vertAlign w:val="baseline"/>
        </w:rPr>
        <w:t>policies</w:t>
      </w:r>
      <w:r>
        <w:rPr>
          <w:spacing w:val="-6"/>
          <w:vertAlign w:val="baseline"/>
        </w:rPr>
        <w:t> </w:t>
      </w:r>
      <w:r>
        <w:rPr>
          <w:vertAlign w:val="baseline"/>
        </w:rPr>
        <w:t>already</w:t>
      </w:r>
      <w:r>
        <w:rPr>
          <w:spacing w:val="-4"/>
          <w:vertAlign w:val="baseline"/>
        </w:rPr>
        <w:t> </w:t>
      </w:r>
      <w:r>
        <w:rPr>
          <w:vertAlign w:val="baseline"/>
        </w:rPr>
        <w:t>protect </w:t>
      </w:r>
      <w:r>
        <w:rPr>
          <w:spacing w:val="-2"/>
          <w:vertAlign w:val="baseline"/>
        </w:rPr>
        <w:t>them.</w:t>
      </w:r>
      <w:r>
        <w:rPr>
          <w:spacing w:val="-2"/>
          <w:vertAlign w:val="superscript"/>
        </w:rPr>
        <w:t>26</w:t>
      </w:r>
    </w:p>
    <w:p>
      <w:pPr>
        <w:pStyle w:val="BodyText"/>
        <w:spacing w:line="276" w:lineRule="auto" w:before="241"/>
        <w:ind w:left="463" w:right="401"/>
        <w:jc w:val="both"/>
      </w:pPr>
      <w:r>
        <w:rPr/>
        <w:t>LGBTQ students reported their desire for increased coed sport options, gender-inclusive changing facilities / safer changing facilities, the ability to wear uniforms that are gender-affirming, and increased LGBTQ competency training for physical education teachers.</w:t>
      </w:r>
      <w:hyperlink w:history="true" w:anchor="_bookmark70">
        <w:r>
          <w:rPr>
            <w:vertAlign w:val="superscript"/>
          </w:rPr>
          <w:t>31</w:t>
        </w:r>
      </w:hyperlink>
      <w:r>
        <w:rPr>
          <w:spacing w:val="-3"/>
          <w:vertAlign w:val="baseline"/>
        </w:rPr>
        <w:t> </w:t>
      </w:r>
      <w:r>
        <w:rPr>
          <w:vertAlign w:val="baseline"/>
        </w:rPr>
        <w:t>Coaches and administrators can play a supportive role by ensuring that policies are clear, publicly known, and enforced. For example, MIAA has developed a supportive policy that asserts that students should be able to participate</w:t>
      </w:r>
      <w:r>
        <w:rPr>
          <w:spacing w:val="-5"/>
          <w:vertAlign w:val="baseline"/>
        </w:rPr>
        <w:t> </w:t>
      </w:r>
      <w:r>
        <w:rPr>
          <w:vertAlign w:val="baseline"/>
        </w:rPr>
        <w:t>in</w:t>
      </w:r>
      <w:r>
        <w:rPr>
          <w:spacing w:val="-6"/>
          <w:vertAlign w:val="baseline"/>
        </w:rPr>
        <w:t> </w:t>
      </w:r>
      <w:r>
        <w:rPr>
          <w:vertAlign w:val="baseline"/>
        </w:rPr>
        <w:t>the</w:t>
      </w:r>
      <w:r>
        <w:rPr>
          <w:spacing w:val="-7"/>
          <w:vertAlign w:val="baseline"/>
        </w:rPr>
        <w:t> </w:t>
      </w:r>
      <w:r>
        <w:rPr>
          <w:vertAlign w:val="baseline"/>
        </w:rPr>
        <w:t>sports</w:t>
      </w:r>
      <w:r>
        <w:rPr>
          <w:spacing w:val="-5"/>
          <w:vertAlign w:val="baseline"/>
        </w:rPr>
        <w:t> </w:t>
      </w:r>
      <w:r>
        <w:rPr>
          <w:vertAlign w:val="baseline"/>
        </w:rPr>
        <w:t>team</w:t>
      </w:r>
      <w:r>
        <w:rPr>
          <w:spacing w:val="-7"/>
          <w:vertAlign w:val="baseline"/>
        </w:rPr>
        <w:t> </w:t>
      </w:r>
      <w:r>
        <w:rPr>
          <w:vertAlign w:val="baseline"/>
        </w:rPr>
        <w:t>that</w:t>
      </w:r>
      <w:r>
        <w:rPr>
          <w:spacing w:val="-6"/>
          <w:vertAlign w:val="baseline"/>
        </w:rPr>
        <w:t> </w:t>
      </w:r>
      <w:r>
        <w:rPr>
          <w:vertAlign w:val="baseline"/>
        </w:rPr>
        <w:t>aligns</w:t>
      </w:r>
      <w:r>
        <w:rPr>
          <w:spacing w:val="-6"/>
          <w:vertAlign w:val="baseline"/>
        </w:rPr>
        <w:t> </w:t>
      </w:r>
      <w:r>
        <w:rPr>
          <w:vertAlign w:val="baseline"/>
        </w:rPr>
        <w:t>with</w:t>
      </w:r>
      <w:r>
        <w:rPr>
          <w:spacing w:val="-6"/>
          <w:vertAlign w:val="baseline"/>
        </w:rPr>
        <w:t> </w:t>
      </w:r>
      <w:r>
        <w:rPr>
          <w:vertAlign w:val="baseline"/>
        </w:rPr>
        <w:t>their</w:t>
      </w:r>
      <w:r>
        <w:rPr>
          <w:spacing w:val="-5"/>
          <w:vertAlign w:val="baseline"/>
        </w:rPr>
        <w:t> </w:t>
      </w:r>
      <w:r>
        <w:rPr>
          <w:vertAlign w:val="baseline"/>
        </w:rPr>
        <w:t>gender</w:t>
      </w:r>
      <w:r>
        <w:rPr>
          <w:spacing w:val="-5"/>
          <w:vertAlign w:val="baseline"/>
        </w:rPr>
        <w:t> </w:t>
      </w:r>
      <w:r>
        <w:rPr>
          <w:vertAlign w:val="baseline"/>
        </w:rPr>
        <w:t>identity.</w:t>
      </w:r>
      <w:hyperlink w:history="true" w:anchor="_bookmark71">
        <w:r>
          <w:rPr>
            <w:vertAlign w:val="superscript"/>
          </w:rPr>
          <w:t>32</w:t>
        </w:r>
      </w:hyperlink>
      <w:r>
        <w:rPr>
          <w:spacing w:val="-3"/>
          <w:vertAlign w:val="baseline"/>
        </w:rPr>
        <w:t> </w:t>
      </w:r>
      <w:r>
        <w:rPr>
          <w:vertAlign w:val="baseline"/>
        </w:rPr>
        <w:t>Administrators</w:t>
      </w:r>
      <w:r>
        <w:rPr>
          <w:spacing w:val="-6"/>
          <w:vertAlign w:val="baseline"/>
        </w:rPr>
        <w:t> </w:t>
      </w:r>
      <w:r>
        <w:rPr>
          <w:vertAlign w:val="baseline"/>
        </w:rPr>
        <w:t>and</w:t>
      </w:r>
      <w:r>
        <w:rPr>
          <w:spacing w:val="-7"/>
          <w:vertAlign w:val="baseline"/>
        </w:rPr>
        <w:t> </w:t>
      </w:r>
      <w:r>
        <w:rPr>
          <w:vertAlign w:val="baseline"/>
        </w:rPr>
        <w:t>athletic</w:t>
      </w:r>
      <w:r>
        <w:rPr>
          <w:spacing w:val="-6"/>
          <w:vertAlign w:val="baseline"/>
        </w:rPr>
        <w:t> </w:t>
      </w:r>
      <w:r>
        <w:rPr>
          <w:vertAlign w:val="baseline"/>
        </w:rPr>
        <w:t>staff should make sure this policy is adhered to.</w:t>
      </w:r>
    </w:p>
    <w:p>
      <w:pPr>
        <w:spacing w:before="238"/>
        <w:ind w:left="464" w:right="0" w:firstLine="0"/>
        <w:jc w:val="left"/>
        <w:rPr>
          <w:sz w:val="28"/>
        </w:rPr>
      </w:pPr>
      <w:bookmarkStart w:name="Training and Professional Development fo" w:id="146"/>
      <w:bookmarkEnd w:id="146"/>
      <w:r>
        <w:rPr/>
      </w:r>
      <w:r>
        <w:rPr>
          <w:color w:val="365F91"/>
          <w:sz w:val="28"/>
        </w:rPr>
        <w:t>Training</w:t>
      </w:r>
      <w:r>
        <w:rPr>
          <w:color w:val="365F91"/>
          <w:spacing w:val="-12"/>
          <w:sz w:val="28"/>
        </w:rPr>
        <w:t> </w:t>
      </w:r>
      <w:r>
        <w:rPr>
          <w:color w:val="365F91"/>
          <w:sz w:val="28"/>
        </w:rPr>
        <w:t>and</w:t>
      </w:r>
      <w:r>
        <w:rPr>
          <w:color w:val="365F91"/>
          <w:spacing w:val="-12"/>
          <w:sz w:val="28"/>
        </w:rPr>
        <w:t> </w:t>
      </w:r>
      <w:r>
        <w:rPr>
          <w:color w:val="365F91"/>
          <w:sz w:val="28"/>
        </w:rPr>
        <w:t>Professional</w:t>
      </w:r>
      <w:r>
        <w:rPr>
          <w:color w:val="365F91"/>
          <w:spacing w:val="-11"/>
          <w:sz w:val="28"/>
        </w:rPr>
        <w:t> </w:t>
      </w:r>
      <w:r>
        <w:rPr>
          <w:color w:val="365F91"/>
          <w:sz w:val="28"/>
        </w:rPr>
        <w:t>Development</w:t>
      </w:r>
      <w:r>
        <w:rPr>
          <w:color w:val="365F91"/>
          <w:spacing w:val="-12"/>
          <w:sz w:val="28"/>
        </w:rPr>
        <w:t> </w:t>
      </w:r>
      <w:r>
        <w:rPr>
          <w:color w:val="365F91"/>
          <w:sz w:val="28"/>
        </w:rPr>
        <w:t>for</w:t>
      </w:r>
      <w:r>
        <w:rPr>
          <w:color w:val="365F91"/>
          <w:spacing w:val="-12"/>
          <w:sz w:val="28"/>
        </w:rPr>
        <w:t> </w:t>
      </w:r>
      <w:r>
        <w:rPr>
          <w:color w:val="365F91"/>
          <w:spacing w:val="-2"/>
          <w:sz w:val="28"/>
        </w:rPr>
        <w:t>Educators</w:t>
      </w:r>
    </w:p>
    <w:p>
      <w:pPr>
        <w:pStyle w:val="BodyText"/>
        <w:spacing w:line="276" w:lineRule="auto" w:before="293"/>
        <w:ind w:left="464" w:right="402"/>
        <w:jc w:val="both"/>
      </w:pPr>
      <w:r>
        <w:rPr/>
        <w:t>The</w:t>
      </w:r>
      <w:r>
        <w:rPr>
          <w:spacing w:val="-2"/>
        </w:rPr>
        <w:t> </w:t>
      </w:r>
      <w:r>
        <w:rPr/>
        <w:t>Safe</w:t>
      </w:r>
      <w:r>
        <w:rPr>
          <w:spacing w:val="-2"/>
        </w:rPr>
        <w:t> </w:t>
      </w:r>
      <w:r>
        <w:rPr/>
        <w:t>Schools</w:t>
      </w:r>
      <w:r>
        <w:rPr>
          <w:spacing w:val="-1"/>
        </w:rPr>
        <w:t> </w:t>
      </w:r>
      <w:r>
        <w:rPr/>
        <w:t>Program</w:t>
      </w:r>
      <w:r>
        <w:rPr>
          <w:spacing w:val="-2"/>
        </w:rPr>
        <w:t> </w:t>
      </w:r>
      <w:r>
        <w:rPr/>
        <w:t>for</w:t>
      </w:r>
      <w:r>
        <w:rPr>
          <w:spacing w:val="-2"/>
        </w:rPr>
        <w:t> </w:t>
      </w:r>
      <w:r>
        <w:rPr/>
        <w:t>LGBTQ</w:t>
      </w:r>
      <w:r>
        <w:rPr>
          <w:spacing w:val="-2"/>
        </w:rPr>
        <w:t> </w:t>
      </w:r>
      <w:r>
        <w:rPr/>
        <w:t>Students</w:t>
      </w:r>
      <w:r>
        <w:rPr>
          <w:spacing w:val="-1"/>
        </w:rPr>
        <w:t> </w:t>
      </w:r>
      <w:r>
        <w:rPr/>
        <w:t>will</w:t>
      </w:r>
      <w:r>
        <w:rPr>
          <w:spacing w:val="-2"/>
        </w:rPr>
        <w:t> </w:t>
      </w:r>
      <w:r>
        <w:rPr/>
        <w:t>provide</w:t>
      </w:r>
      <w:r>
        <w:rPr>
          <w:spacing w:val="-2"/>
        </w:rPr>
        <w:t> </w:t>
      </w:r>
      <w:r>
        <w:rPr/>
        <w:t>over</w:t>
      </w:r>
      <w:r>
        <w:rPr>
          <w:spacing w:val="-2"/>
        </w:rPr>
        <w:t> </w:t>
      </w:r>
      <w:r>
        <w:rPr/>
        <w:t>150</w:t>
      </w:r>
      <w:r>
        <w:rPr>
          <w:spacing w:val="-2"/>
        </w:rPr>
        <w:t> </w:t>
      </w:r>
      <w:r>
        <w:rPr/>
        <w:t>trainings</w:t>
      </w:r>
      <w:r>
        <w:rPr>
          <w:spacing w:val="-1"/>
        </w:rPr>
        <w:t> </w:t>
      </w:r>
      <w:r>
        <w:rPr/>
        <w:t>to schools</w:t>
      </w:r>
      <w:r>
        <w:rPr>
          <w:spacing w:val="-1"/>
        </w:rPr>
        <w:t> </w:t>
      </w:r>
      <w:r>
        <w:rPr/>
        <w:t>by</w:t>
      </w:r>
      <w:r>
        <w:rPr>
          <w:spacing w:val="-2"/>
        </w:rPr>
        <w:t> </w:t>
      </w:r>
      <w:r>
        <w:rPr/>
        <w:t>the</w:t>
      </w:r>
      <w:r>
        <w:rPr>
          <w:spacing w:val="-2"/>
        </w:rPr>
        <w:t> </w:t>
      </w:r>
      <w:r>
        <w:rPr/>
        <w:t>end</w:t>
      </w:r>
      <w:r>
        <w:rPr>
          <w:spacing w:val="-2"/>
        </w:rPr>
        <w:t> </w:t>
      </w:r>
      <w:r>
        <w:rPr/>
        <w:t>of the 2023-2024 school year, as well as over 175 technical assistance requests.</w:t>
      </w:r>
    </w:p>
    <w:p>
      <w:pPr>
        <w:pStyle w:val="BodyText"/>
        <w:spacing w:before="7"/>
        <w:rPr>
          <w:sz w:val="17"/>
        </w:rPr>
      </w:pPr>
      <w:r>
        <w:rPr/>
        <w:drawing>
          <wp:anchor distT="0" distB="0" distL="0" distR="0" allowOverlap="1" layoutInCell="1" locked="0" behindDoc="1" simplePos="0" relativeHeight="487604736">
            <wp:simplePos x="0" y="0"/>
            <wp:positionH relativeFrom="page">
              <wp:posOffset>1005839</wp:posOffset>
            </wp:positionH>
            <wp:positionV relativeFrom="paragraph">
              <wp:posOffset>151753</wp:posOffset>
            </wp:positionV>
            <wp:extent cx="5956504" cy="762381"/>
            <wp:effectExtent l="0" t="0" r="0" b="0"/>
            <wp:wrapTopAndBottom/>
            <wp:docPr id="135" name="Image 135"/>
            <wp:cNvGraphicFramePr>
              <a:graphicFrameLocks/>
            </wp:cNvGraphicFramePr>
            <a:graphic>
              <a:graphicData uri="http://schemas.openxmlformats.org/drawingml/2006/picture">
                <pic:pic>
                  <pic:nvPicPr>
                    <pic:cNvPr id="135" name="Image 135"/>
                    <pic:cNvPicPr/>
                  </pic:nvPicPr>
                  <pic:blipFill>
                    <a:blip r:embed="rId106" cstate="print"/>
                    <a:stretch>
                      <a:fillRect/>
                    </a:stretch>
                  </pic:blipFill>
                  <pic:spPr>
                    <a:xfrm>
                      <a:off x="0" y="0"/>
                      <a:ext cx="5956504" cy="762381"/>
                    </a:xfrm>
                    <a:prstGeom prst="rect">
                      <a:avLst/>
                    </a:prstGeom>
                  </pic:spPr>
                </pic:pic>
              </a:graphicData>
            </a:graphic>
          </wp:anchor>
        </w:drawing>
      </w:r>
    </w:p>
    <w:p>
      <w:pPr>
        <w:pStyle w:val="BodyText"/>
        <w:spacing w:before="11"/>
      </w:pPr>
    </w:p>
    <w:p>
      <w:pPr>
        <w:pStyle w:val="BodyText"/>
        <w:spacing w:line="276" w:lineRule="auto"/>
        <w:ind w:left="463" w:right="402"/>
        <w:jc w:val="both"/>
      </w:pPr>
      <w:r>
        <w:rPr/>
        <w:t>Training and professional development (PD) for educators, administrators, and staff is critical to making safer school environments for LGBTQ students. One study found that training elementary school educators on LGBTQ-inclusive practices leads to lower rates of discipline for all students. This same study found that while schools with higher rates of low-income BIPOC students were less likely</w:t>
      </w:r>
    </w:p>
    <w:p>
      <w:pPr>
        <w:spacing w:after="0" w:line="276" w:lineRule="auto"/>
        <w:jc w:val="both"/>
        <w:sectPr>
          <w:pgSz w:w="12240" w:h="15840"/>
          <w:pgMar w:header="763" w:footer="1041" w:top="1140" w:bottom="1240" w:left="1120" w:right="1180"/>
        </w:sectPr>
      </w:pPr>
    </w:p>
    <w:p>
      <w:pPr>
        <w:pStyle w:val="BodyText"/>
        <w:spacing w:line="276" w:lineRule="auto" w:before="66"/>
        <w:ind w:left="464" w:right="401"/>
        <w:jc w:val="both"/>
      </w:pPr>
      <w:r>
        <w:rPr/>
        <w:t>to offer LGBTQ-inclusivity trainings for their staff, these schools also saw a decrease in disciplinary rates when trainings did occur.</w:t>
      </w:r>
      <w:r>
        <w:rPr>
          <w:vertAlign w:val="superscript"/>
        </w:rPr>
        <w:t>29</w:t>
      </w:r>
      <w:r>
        <w:rPr>
          <w:vertAlign w:val="baseline"/>
        </w:rPr>
        <w:t> Providing professional development for schools serving low-income BIPOC students is a priority for the Safe Schools Programs for LGBTQ Students for the 2024-2025 academic year.</w:t>
      </w:r>
    </w:p>
    <w:p>
      <w:pPr>
        <w:pStyle w:val="BodyText"/>
        <w:spacing w:line="276" w:lineRule="auto" w:before="239"/>
        <w:ind w:left="463" w:right="399"/>
        <w:jc w:val="both"/>
      </w:pPr>
      <w:r>
        <w:rPr/>
        <w:t>Current literature demonstrates that educators need increased opportunities for training that addresses the needs and experiences of LGBTQ youth.</w:t>
      </w:r>
      <w:hyperlink w:history="true" w:anchor="_bookmark72">
        <w:r>
          <w:rPr>
            <w:vertAlign w:val="superscript"/>
          </w:rPr>
          <w:t>33</w:t>
        </w:r>
      </w:hyperlink>
      <w:r>
        <w:rPr>
          <w:vertAlign w:val="baseline"/>
        </w:rPr>
        <w:t> As mentioned throughout this report, an intersectional</w:t>
      </w:r>
      <w:r>
        <w:rPr>
          <w:spacing w:val="-8"/>
          <w:vertAlign w:val="baseline"/>
        </w:rPr>
        <w:t> </w:t>
      </w:r>
      <w:r>
        <w:rPr>
          <w:vertAlign w:val="baseline"/>
        </w:rPr>
        <w:t>approach</w:t>
      </w:r>
      <w:r>
        <w:rPr>
          <w:spacing w:val="-8"/>
          <w:vertAlign w:val="baseline"/>
        </w:rPr>
        <w:t> </w:t>
      </w:r>
      <w:r>
        <w:rPr>
          <w:vertAlign w:val="baseline"/>
        </w:rPr>
        <w:t>to</w:t>
      </w:r>
      <w:r>
        <w:rPr>
          <w:spacing w:val="-7"/>
          <w:vertAlign w:val="baseline"/>
        </w:rPr>
        <w:t> </w:t>
      </w:r>
      <w:r>
        <w:rPr>
          <w:vertAlign w:val="baseline"/>
        </w:rPr>
        <w:t>LGBTQ</w:t>
      </w:r>
      <w:r>
        <w:rPr>
          <w:spacing w:val="-8"/>
          <w:vertAlign w:val="baseline"/>
        </w:rPr>
        <w:t> </w:t>
      </w:r>
      <w:r>
        <w:rPr>
          <w:vertAlign w:val="baseline"/>
        </w:rPr>
        <w:t>justice</w:t>
      </w:r>
      <w:r>
        <w:rPr>
          <w:spacing w:val="-9"/>
          <w:vertAlign w:val="baseline"/>
        </w:rPr>
        <w:t> </w:t>
      </w:r>
      <w:r>
        <w:rPr>
          <w:vertAlign w:val="baseline"/>
        </w:rPr>
        <w:t>is</w:t>
      </w:r>
      <w:r>
        <w:rPr>
          <w:spacing w:val="-7"/>
          <w:vertAlign w:val="baseline"/>
        </w:rPr>
        <w:t> </w:t>
      </w:r>
      <w:r>
        <w:rPr>
          <w:vertAlign w:val="baseline"/>
        </w:rPr>
        <w:t>critical.</w:t>
      </w:r>
      <w:r>
        <w:rPr>
          <w:spacing w:val="-8"/>
          <w:vertAlign w:val="baseline"/>
        </w:rPr>
        <w:t> </w:t>
      </w:r>
      <w:r>
        <w:rPr>
          <w:vertAlign w:val="baseline"/>
        </w:rPr>
        <w:t>Data</w:t>
      </w:r>
      <w:r>
        <w:rPr>
          <w:spacing w:val="-9"/>
          <w:vertAlign w:val="baseline"/>
        </w:rPr>
        <w:t> </w:t>
      </w:r>
      <w:r>
        <w:rPr>
          <w:vertAlign w:val="baseline"/>
        </w:rPr>
        <w:t>shows</w:t>
      </w:r>
      <w:r>
        <w:rPr>
          <w:spacing w:val="-7"/>
          <w:vertAlign w:val="baseline"/>
        </w:rPr>
        <w:t> </w:t>
      </w:r>
      <w:r>
        <w:rPr>
          <w:vertAlign w:val="baseline"/>
        </w:rPr>
        <w:t>that</w:t>
      </w:r>
      <w:r>
        <w:rPr>
          <w:spacing w:val="-9"/>
          <w:vertAlign w:val="baseline"/>
        </w:rPr>
        <w:t> </w:t>
      </w:r>
      <w:r>
        <w:rPr>
          <w:vertAlign w:val="baseline"/>
        </w:rPr>
        <w:t>students</w:t>
      </w:r>
      <w:r>
        <w:rPr>
          <w:spacing w:val="-8"/>
          <w:vertAlign w:val="baseline"/>
        </w:rPr>
        <w:t> </w:t>
      </w:r>
      <w:r>
        <w:rPr>
          <w:vertAlign w:val="baseline"/>
        </w:rPr>
        <w:t>of</w:t>
      </w:r>
      <w:r>
        <w:rPr>
          <w:spacing w:val="-8"/>
          <w:vertAlign w:val="baseline"/>
        </w:rPr>
        <w:t> </w:t>
      </w:r>
      <w:r>
        <w:rPr>
          <w:vertAlign w:val="baseline"/>
        </w:rPr>
        <w:t>color</w:t>
      </w:r>
      <w:r>
        <w:rPr>
          <w:spacing w:val="-9"/>
          <w:vertAlign w:val="baseline"/>
        </w:rPr>
        <w:t> </w:t>
      </w:r>
      <w:r>
        <w:rPr>
          <w:vertAlign w:val="baseline"/>
        </w:rPr>
        <w:t>often</w:t>
      </w:r>
      <w:r>
        <w:rPr>
          <w:spacing w:val="-8"/>
          <w:vertAlign w:val="baseline"/>
        </w:rPr>
        <w:t> </w:t>
      </w:r>
      <w:r>
        <w:rPr>
          <w:vertAlign w:val="baseline"/>
        </w:rPr>
        <w:t>feel</w:t>
      </w:r>
      <w:r>
        <w:rPr>
          <w:spacing w:val="-8"/>
          <w:vertAlign w:val="baseline"/>
        </w:rPr>
        <w:t> </w:t>
      </w:r>
      <w:r>
        <w:rPr>
          <w:vertAlign w:val="baseline"/>
        </w:rPr>
        <w:t>unsafe at school because of their sexual orientation, gender identity, </w:t>
      </w:r>
      <w:r>
        <w:rPr>
          <w:i/>
          <w:vertAlign w:val="baseline"/>
        </w:rPr>
        <w:t>and </w:t>
      </w:r>
      <w:r>
        <w:rPr>
          <w:vertAlign w:val="baseline"/>
        </w:rPr>
        <w:t>race/ethnicity.</w:t>
      </w:r>
      <w:r>
        <w:rPr>
          <w:vertAlign w:val="superscript"/>
        </w:rPr>
        <w:t>20,</w:t>
      </w:r>
      <w:r>
        <w:rPr>
          <w:spacing w:val="-13"/>
          <w:vertAlign w:val="baseline"/>
        </w:rPr>
        <w:t> </w:t>
      </w:r>
      <w:hyperlink w:history="true" w:anchor="_bookmark73">
        <w:r>
          <w:rPr>
            <w:vertAlign w:val="superscript"/>
          </w:rPr>
          <w:t>34</w:t>
        </w:r>
      </w:hyperlink>
      <w:r>
        <w:rPr>
          <w:vertAlign w:val="superscript"/>
        </w:rPr>
        <w:t>,</w:t>
      </w:r>
      <w:r>
        <w:rPr>
          <w:spacing w:val="-12"/>
          <w:vertAlign w:val="baseline"/>
        </w:rPr>
        <w:t> </w:t>
      </w:r>
      <w:hyperlink w:history="true" w:anchor="_bookmark74">
        <w:r>
          <w:rPr>
            <w:vertAlign w:val="superscript"/>
          </w:rPr>
          <w:t>35</w:t>
        </w:r>
      </w:hyperlink>
      <w:r>
        <w:rPr>
          <w:spacing w:val="-1"/>
          <w:vertAlign w:val="baseline"/>
        </w:rPr>
        <w:t> </w:t>
      </w:r>
      <w:r>
        <w:rPr>
          <w:vertAlign w:val="baseline"/>
        </w:rPr>
        <w:t>The Safe Schools Program for LGBTQ Students recommends training for all educators in the Commonwealth that highlights the experiences of BIPOC LGBTQ students. To provide the best care for all LGBTQ students, educators must be able to support BIPOC LGBTQ students in culturally competent and sustainable ways.</w:t>
      </w:r>
    </w:p>
    <w:p>
      <w:pPr>
        <w:pStyle w:val="BodyText"/>
        <w:spacing w:line="276" w:lineRule="auto" w:before="240"/>
        <w:ind w:left="463" w:right="402"/>
        <w:jc w:val="both"/>
      </w:pPr>
      <w:r>
        <w:rPr/>
        <w:t>According to research, key elements of successful gender and sexuality-focused PD for educators include</w:t>
      </w:r>
      <w:r>
        <w:rPr>
          <w:spacing w:val="-12"/>
        </w:rPr>
        <w:t> </w:t>
      </w:r>
      <w:r>
        <w:rPr/>
        <w:t>having</w:t>
      </w:r>
      <w:r>
        <w:rPr>
          <w:spacing w:val="-12"/>
        </w:rPr>
        <w:t> </w:t>
      </w:r>
      <w:r>
        <w:rPr/>
        <w:t>the</w:t>
      </w:r>
      <w:r>
        <w:rPr>
          <w:spacing w:val="-11"/>
        </w:rPr>
        <w:t> </w:t>
      </w:r>
      <w:r>
        <w:rPr/>
        <w:t>entire</w:t>
      </w:r>
      <w:r>
        <w:rPr>
          <w:spacing w:val="-12"/>
        </w:rPr>
        <w:t> </w:t>
      </w:r>
      <w:r>
        <w:rPr/>
        <w:t>school</w:t>
      </w:r>
      <w:r>
        <w:rPr>
          <w:spacing w:val="-11"/>
        </w:rPr>
        <w:t> </w:t>
      </w:r>
      <w:r>
        <w:rPr/>
        <w:t>and</w:t>
      </w:r>
      <w:r>
        <w:rPr>
          <w:spacing w:val="-11"/>
        </w:rPr>
        <w:t> </w:t>
      </w:r>
      <w:r>
        <w:rPr/>
        <w:t>community</w:t>
      </w:r>
      <w:r>
        <w:rPr>
          <w:spacing w:val="-11"/>
        </w:rPr>
        <w:t> </w:t>
      </w:r>
      <w:r>
        <w:rPr/>
        <w:t>involved,</w:t>
      </w:r>
      <w:r>
        <w:rPr>
          <w:spacing w:val="-11"/>
        </w:rPr>
        <w:t> </w:t>
      </w:r>
      <w:r>
        <w:rPr/>
        <w:t>active</w:t>
      </w:r>
      <w:r>
        <w:rPr>
          <w:spacing w:val="-12"/>
        </w:rPr>
        <w:t> </w:t>
      </w:r>
      <w:r>
        <w:rPr/>
        <w:t>learning</w:t>
      </w:r>
      <w:r>
        <w:rPr>
          <w:spacing w:val="-12"/>
        </w:rPr>
        <w:t> </w:t>
      </w:r>
      <w:r>
        <w:rPr/>
        <w:t>such</w:t>
      </w:r>
      <w:r>
        <w:rPr>
          <w:spacing w:val="-11"/>
        </w:rPr>
        <w:t> </w:t>
      </w:r>
      <w:r>
        <w:rPr/>
        <w:t>as</w:t>
      </w:r>
      <w:r>
        <w:rPr>
          <w:spacing w:val="-11"/>
        </w:rPr>
        <w:t> </w:t>
      </w:r>
      <w:r>
        <w:rPr/>
        <w:t>small</w:t>
      </w:r>
      <w:r>
        <w:rPr>
          <w:spacing w:val="-11"/>
        </w:rPr>
        <w:t> </w:t>
      </w:r>
      <w:r>
        <w:rPr/>
        <w:t>group</w:t>
      </w:r>
      <w:r>
        <w:rPr>
          <w:spacing w:val="-12"/>
        </w:rPr>
        <w:t> </w:t>
      </w:r>
      <w:r>
        <w:rPr/>
        <w:t>work</w:t>
      </w:r>
      <w:r>
        <w:rPr>
          <w:spacing w:val="-12"/>
        </w:rPr>
        <w:t> </w:t>
      </w:r>
      <w:r>
        <w:rPr/>
        <w:t>and activities,</w:t>
      </w:r>
      <w:r>
        <w:rPr>
          <w:spacing w:val="-9"/>
        </w:rPr>
        <w:t> </w:t>
      </w:r>
      <w:r>
        <w:rPr/>
        <w:t>and</w:t>
      </w:r>
      <w:r>
        <w:rPr>
          <w:spacing w:val="-9"/>
        </w:rPr>
        <w:t> </w:t>
      </w:r>
      <w:r>
        <w:rPr/>
        <w:t>having</w:t>
      </w:r>
      <w:r>
        <w:rPr>
          <w:spacing w:val="-10"/>
        </w:rPr>
        <w:t> </w:t>
      </w:r>
      <w:r>
        <w:rPr/>
        <w:t>a</w:t>
      </w:r>
      <w:r>
        <w:rPr>
          <w:spacing w:val="-7"/>
        </w:rPr>
        <w:t> </w:t>
      </w:r>
      <w:r>
        <w:rPr/>
        <w:t>curriculum</w:t>
      </w:r>
      <w:r>
        <w:rPr>
          <w:spacing w:val="-9"/>
        </w:rPr>
        <w:t> </w:t>
      </w:r>
      <w:r>
        <w:rPr/>
        <w:t>that</w:t>
      </w:r>
      <w:r>
        <w:rPr>
          <w:spacing w:val="-11"/>
        </w:rPr>
        <w:t> </w:t>
      </w:r>
      <w:r>
        <w:rPr/>
        <w:t>occurs</w:t>
      </w:r>
      <w:r>
        <w:rPr>
          <w:spacing w:val="-9"/>
        </w:rPr>
        <w:t> </w:t>
      </w:r>
      <w:r>
        <w:rPr/>
        <w:t>over</w:t>
      </w:r>
      <w:r>
        <w:rPr>
          <w:spacing w:val="-10"/>
        </w:rPr>
        <w:t> </w:t>
      </w:r>
      <w:r>
        <w:rPr/>
        <w:t>an</w:t>
      </w:r>
      <w:r>
        <w:rPr>
          <w:spacing w:val="-8"/>
        </w:rPr>
        <w:t> </w:t>
      </w:r>
      <w:r>
        <w:rPr/>
        <w:t>extended</w:t>
      </w:r>
      <w:r>
        <w:rPr>
          <w:spacing w:val="-8"/>
        </w:rPr>
        <w:t> </w:t>
      </w:r>
      <w:r>
        <w:rPr/>
        <w:t>period</w:t>
      </w:r>
      <w:r>
        <w:rPr>
          <w:spacing w:val="-10"/>
        </w:rPr>
        <w:t> </w:t>
      </w:r>
      <w:r>
        <w:rPr/>
        <w:t>of</w:t>
      </w:r>
      <w:r>
        <w:rPr>
          <w:spacing w:val="-9"/>
        </w:rPr>
        <w:t> </w:t>
      </w:r>
      <w:r>
        <w:rPr/>
        <w:t>time.</w:t>
      </w:r>
      <w:hyperlink w:history="true" w:anchor="_bookmark75">
        <w:r>
          <w:rPr>
            <w:vertAlign w:val="superscript"/>
          </w:rPr>
          <w:t>36</w:t>
        </w:r>
      </w:hyperlink>
      <w:r>
        <w:rPr>
          <w:spacing w:val="-2"/>
          <w:vertAlign w:val="baseline"/>
        </w:rPr>
        <w:t> </w:t>
      </w:r>
      <w:r>
        <w:rPr>
          <w:vertAlign w:val="baseline"/>
        </w:rPr>
        <w:t>While</w:t>
      </w:r>
      <w:r>
        <w:rPr>
          <w:spacing w:val="-9"/>
          <w:vertAlign w:val="baseline"/>
        </w:rPr>
        <w:t> </w:t>
      </w:r>
      <w:r>
        <w:rPr>
          <w:vertAlign w:val="baseline"/>
        </w:rPr>
        <w:t>it</w:t>
      </w:r>
      <w:r>
        <w:rPr>
          <w:spacing w:val="-9"/>
          <w:vertAlign w:val="baseline"/>
        </w:rPr>
        <w:t> </w:t>
      </w:r>
      <w:r>
        <w:rPr>
          <w:vertAlign w:val="baseline"/>
        </w:rPr>
        <w:t>is</w:t>
      </w:r>
      <w:r>
        <w:rPr>
          <w:spacing w:val="-9"/>
          <w:vertAlign w:val="baseline"/>
        </w:rPr>
        <w:t> </w:t>
      </w:r>
      <w:r>
        <w:rPr>
          <w:vertAlign w:val="baseline"/>
        </w:rPr>
        <w:t>not</w:t>
      </w:r>
      <w:r>
        <w:rPr>
          <w:spacing w:val="-9"/>
          <w:vertAlign w:val="baseline"/>
        </w:rPr>
        <w:t> </w:t>
      </w:r>
      <w:r>
        <w:rPr>
          <w:vertAlign w:val="baseline"/>
        </w:rPr>
        <w:t>always possible for schools to adopt longitudinal training programs, the Safe Schools Program for LGBTQ Students operates with a goal of developing sustainable and lasting relationships with schools and districts</w:t>
      </w:r>
      <w:r>
        <w:rPr>
          <w:spacing w:val="-6"/>
          <w:vertAlign w:val="baseline"/>
        </w:rPr>
        <w:t> </w:t>
      </w:r>
      <w:r>
        <w:rPr>
          <w:vertAlign w:val="baseline"/>
        </w:rPr>
        <w:t>so</w:t>
      </w:r>
      <w:r>
        <w:rPr>
          <w:spacing w:val="-6"/>
          <w:vertAlign w:val="baseline"/>
        </w:rPr>
        <w:t> </w:t>
      </w:r>
      <w:r>
        <w:rPr>
          <w:vertAlign w:val="baseline"/>
        </w:rPr>
        <w:t>that</w:t>
      </w:r>
      <w:r>
        <w:rPr>
          <w:spacing w:val="-7"/>
          <w:vertAlign w:val="baseline"/>
        </w:rPr>
        <w:t> </w:t>
      </w:r>
      <w:r>
        <w:rPr>
          <w:vertAlign w:val="baseline"/>
        </w:rPr>
        <w:t>training</w:t>
      </w:r>
      <w:r>
        <w:rPr>
          <w:spacing w:val="-7"/>
          <w:vertAlign w:val="baseline"/>
        </w:rPr>
        <w:t> </w:t>
      </w:r>
      <w:r>
        <w:rPr>
          <w:vertAlign w:val="baseline"/>
        </w:rPr>
        <w:t>is</w:t>
      </w:r>
      <w:r>
        <w:rPr>
          <w:spacing w:val="-5"/>
          <w:vertAlign w:val="baseline"/>
        </w:rPr>
        <w:t> </w:t>
      </w:r>
      <w:r>
        <w:rPr>
          <w:vertAlign w:val="baseline"/>
        </w:rPr>
        <w:t>offered</w:t>
      </w:r>
      <w:r>
        <w:rPr>
          <w:spacing w:val="-8"/>
          <w:vertAlign w:val="baseline"/>
        </w:rPr>
        <w:t> </w:t>
      </w:r>
      <w:r>
        <w:rPr>
          <w:vertAlign w:val="baseline"/>
        </w:rPr>
        <w:t>on</w:t>
      </w:r>
      <w:r>
        <w:rPr>
          <w:spacing w:val="-7"/>
          <w:vertAlign w:val="baseline"/>
        </w:rPr>
        <w:t> </w:t>
      </w:r>
      <w:r>
        <w:rPr>
          <w:vertAlign w:val="baseline"/>
        </w:rPr>
        <w:t>an</w:t>
      </w:r>
      <w:r>
        <w:rPr>
          <w:spacing w:val="-7"/>
          <w:vertAlign w:val="baseline"/>
        </w:rPr>
        <w:t> </w:t>
      </w:r>
      <w:r>
        <w:rPr>
          <w:vertAlign w:val="baseline"/>
        </w:rPr>
        <w:t>annual</w:t>
      </w:r>
      <w:r>
        <w:rPr>
          <w:spacing w:val="-7"/>
          <w:vertAlign w:val="baseline"/>
        </w:rPr>
        <w:t> </w:t>
      </w:r>
      <w:r>
        <w:rPr>
          <w:vertAlign w:val="baseline"/>
        </w:rPr>
        <w:t>basis</w:t>
      </w:r>
      <w:r>
        <w:rPr>
          <w:spacing w:val="-6"/>
          <w:vertAlign w:val="baseline"/>
        </w:rPr>
        <w:t> </w:t>
      </w:r>
      <w:r>
        <w:rPr>
          <w:vertAlign w:val="baseline"/>
        </w:rPr>
        <w:t>and</w:t>
      </w:r>
      <w:r>
        <w:rPr>
          <w:spacing w:val="-7"/>
          <w:vertAlign w:val="baseline"/>
        </w:rPr>
        <w:t> </w:t>
      </w:r>
      <w:r>
        <w:rPr>
          <w:vertAlign w:val="baseline"/>
        </w:rPr>
        <w:t>technical</w:t>
      </w:r>
      <w:r>
        <w:rPr>
          <w:spacing w:val="-7"/>
          <w:vertAlign w:val="baseline"/>
        </w:rPr>
        <w:t> </w:t>
      </w:r>
      <w:r>
        <w:rPr>
          <w:vertAlign w:val="baseline"/>
        </w:rPr>
        <w:t>assistance</w:t>
      </w:r>
      <w:r>
        <w:rPr>
          <w:spacing w:val="-7"/>
          <w:vertAlign w:val="baseline"/>
        </w:rPr>
        <w:t> </w:t>
      </w:r>
      <w:r>
        <w:rPr>
          <w:vertAlign w:val="baseline"/>
        </w:rPr>
        <w:t>is</w:t>
      </w:r>
      <w:r>
        <w:rPr>
          <w:spacing w:val="-5"/>
          <w:vertAlign w:val="baseline"/>
        </w:rPr>
        <w:t> </w:t>
      </w:r>
      <w:r>
        <w:rPr>
          <w:vertAlign w:val="baseline"/>
        </w:rPr>
        <w:t>sought</w:t>
      </w:r>
      <w:r>
        <w:rPr>
          <w:spacing w:val="-7"/>
          <w:vertAlign w:val="baseline"/>
        </w:rPr>
        <w:t> </w:t>
      </w:r>
      <w:r>
        <w:rPr>
          <w:vertAlign w:val="baseline"/>
        </w:rPr>
        <w:t>out</w:t>
      </w:r>
      <w:r>
        <w:rPr>
          <w:spacing w:val="-7"/>
          <w:vertAlign w:val="baseline"/>
        </w:rPr>
        <w:t> </w:t>
      </w:r>
      <w:r>
        <w:rPr>
          <w:vertAlign w:val="baseline"/>
        </w:rPr>
        <w:t>as</w:t>
      </w:r>
      <w:r>
        <w:rPr>
          <w:spacing w:val="-7"/>
          <w:vertAlign w:val="baseline"/>
        </w:rPr>
        <w:t> </w:t>
      </w:r>
      <w:r>
        <w:rPr>
          <w:vertAlign w:val="baseline"/>
        </w:rPr>
        <w:t>needed.</w:t>
      </w:r>
    </w:p>
    <w:p>
      <w:pPr>
        <w:pStyle w:val="BodyText"/>
        <w:spacing w:line="276" w:lineRule="auto" w:before="240"/>
        <w:ind w:left="464" w:right="398"/>
        <w:jc w:val="both"/>
      </w:pPr>
      <w:r>
        <w:rPr/>
        <w:t>Survey evaluations collected by the Safe Schools Program for LGBTQ Students following professional development sessions for schools and districts show that participants learn to better understand the experiences</w:t>
      </w:r>
      <w:r>
        <w:rPr>
          <w:spacing w:val="-6"/>
        </w:rPr>
        <w:t> </w:t>
      </w:r>
      <w:r>
        <w:rPr/>
        <w:t>of</w:t>
      </w:r>
      <w:r>
        <w:rPr>
          <w:spacing w:val="-9"/>
        </w:rPr>
        <w:t> </w:t>
      </w:r>
      <w:r>
        <w:rPr/>
        <w:t>LGBTQ</w:t>
      </w:r>
      <w:r>
        <w:rPr>
          <w:spacing w:val="-8"/>
        </w:rPr>
        <w:t> </w:t>
      </w:r>
      <w:r>
        <w:rPr/>
        <w:t>youth</w:t>
      </w:r>
      <w:r>
        <w:rPr>
          <w:spacing w:val="-9"/>
        </w:rPr>
        <w:t> </w:t>
      </w:r>
      <w:r>
        <w:rPr/>
        <w:t>and</w:t>
      </w:r>
      <w:r>
        <w:rPr>
          <w:spacing w:val="-8"/>
        </w:rPr>
        <w:t> </w:t>
      </w:r>
      <w:r>
        <w:rPr/>
        <w:t>often</w:t>
      </w:r>
      <w:r>
        <w:rPr>
          <w:spacing w:val="-7"/>
        </w:rPr>
        <w:t> </w:t>
      </w:r>
      <w:r>
        <w:rPr/>
        <w:t>walk</w:t>
      </w:r>
      <w:r>
        <w:rPr>
          <w:spacing w:val="-9"/>
        </w:rPr>
        <w:t> </w:t>
      </w:r>
      <w:r>
        <w:rPr/>
        <w:t>away</w:t>
      </w:r>
      <w:r>
        <w:rPr>
          <w:spacing w:val="-9"/>
        </w:rPr>
        <w:t> </w:t>
      </w:r>
      <w:r>
        <w:rPr/>
        <w:t>with</w:t>
      </w:r>
      <w:r>
        <w:rPr>
          <w:spacing w:val="-8"/>
        </w:rPr>
        <w:t> </w:t>
      </w:r>
      <w:r>
        <w:rPr/>
        <w:t>concrete</w:t>
      </w:r>
      <w:r>
        <w:rPr>
          <w:spacing w:val="-8"/>
        </w:rPr>
        <w:t> </w:t>
      </w:r>
      <w:r>
        <w:rPr/>
        <w:t>tools</w:t>
      </w:r>
      <w:r>
        <w:rPr>
          <w:spacing w:val="-8"/>
        </w:rPr>
        <w:t> </w:t>
      </w:r>
      <w:r>
        <w:rPr/>
        <w:t>and</w:t>
      </w:r>
      <w:r>
        <w:rPr>
          <w:spacing w:val="-9"/>
        </w:rPr>
        <w:t> </w:t>
      </w:r>
      <w:r>
        <w:rPr/>
        <w:t>strategies</w:t>
      </w:r>
      <w:r>
        <w:rPr>
          <w:spacing w:val="-7"/>
        </w:rPr>
        <w:t> </w:t>
      </w:r>
      <w:r>
        <w:rPr/>
        <w:t>to</w:t>
      </w:r>
      <w:r>
        <w:rPr>
          <w:spacing w:val="-8"/>
        </w:rPr>
        <w:t> </w:t>
      </w:r>
      <w:r>
        <w:rPr/>
        <w:t>support</w:t>
      </w:r>
      <w:r>
        <w:rPr>
          <w:spacing w:val="-9"/>
        </w:rPr>
        <w:t> </w:t>
      </w:r>
      <w:r>
        <w:rPr/>
        <w:t>LGBTQ youth in their classrooms and schools. This knowledge acquisition is demonstrated through written comments provided by educators:</w:t>
      </w:r>
    </w:p>
    <w:p>
      <w:pPr>
        <w:pStyle w:val="ListParagraph"/>
        <w:numPr>
          <w:ilvl w:val="0"/>
          <w:numId w:val="18"/>
        </w:numPr>
        <w:tabs>
          <w:tab w:pos="1400" w:val="left" w:leader="none"/>
        </w:tabs>
        <w:spacing w:line="276" w:lineRule="auto" w:before="240" w:after="0"/>
        <w:ind w:left="1400" w:right="401" w:hanging="360"/>
        <w:jc w:val="both"/>
        <w:rPr>
          <w:sz w:val="22"/>
        </w:rPr>
      </w:pPr>
      <w:r>
        <w:rPr>
          <w:sz w:val="22"/>
        </w:rPr>
        <w:t>"The</w:t>
      </w:r>
      <w:r>
        <w:rPr>
          <w:spacing w:val="-5"/>
          <w:sz w:val="22"/>
        </w:rPr>
        <w:t> </w:t>
      </w:r>
      <w:r>
        <w:rPr>
          <w:sz w:val="22"/>
        </w:rPr>
        <w:t>session</w:t>
      </w:r>
      <w:r>
        <w:rPr>
          <w:spacing w:val="-4"/>
          <w:sz w:val="22"/>
        </w:rPr>
        <w:t> </w:t>
      </w:r>
      <w:r>
        <w:rPr>
          <w:sz w:val="22"/>
        </w:rPr>
        <w:t>provided</w:t>
      </w:r>
      <w:r>
        <w:rPr>
          <w:spacing w:val="-5"/>
          <w:sz w:val="22"/>
        </w:rPr>
        <w:t> </w:t>
      </w:r>
      <w:r>
        <w:rPr>
          <w:b/>
          <w:sz w:val="22"/>
        </w:rPr>
        <w:t>practical</w:t>
      </w:r>
      <w:r>
        <w:rPr>
          <w:b/>
          <w:spacing w:val="-5"/>
          <w:sz w:val="22"/>
        </w:rPr>
        <w:t> </w:t>
      </w:r>
      <w:r>
        <w:rPr>
          <w:b/>
          <w:sz w:val="22"/>
        </w:rPr>
        <w:t>strategies</w:t>
      </w:r>
      <w:r>
        <w:rPr>
          <w:b/>
          <w:spacing w:val="-4"/>
          <w:sz w:val="22"/>
        </w:rPr>
        <w:t> </w:t>
      </w:r>
      <w:r>
        <w:rPr>
          <w:sz w:val="22"/>
        </w:rPr>
        <w:t>and</w:t>
      </w:r>
      <w:r>
        <w:rPr>
          <w:spacing w:val="-5"/>
          <w:sz w:val="22"/>
        </w:rPr>
        <w:t> </w:t>
      </w:r>
      <w:r>
        <w:rPr>
          <w:b/>
          <w:sz w:val="22"/>
        </w:rPr>
        <w:t>resources</w:t>
      </w:r>
      <w:r>
        <w:rPr>
          <w:b/>
          <w:spacing w:val="-5"/>
          <w:sz w:val="22"/>
        </w:rPr>
        <w:t> </w:t>
      </w:r>
      <w:r>
        <w:rPr>
          <w:sz w:val="22"/>
        </w:rPr>
        <w:t>that</w:t>
      </w:r>
      <w:r>
        <w:rPr>
          <w:spacing w:val="-5"/>
          <w:sz w:val="22"/>
        </w:rPr>
        <w:t> </w:t>
      </w:r>
      <w:r>
        <w:rPr>
          <w:sz w:val="22"/>
        </w:rPr>
        <w:t>I</w:t>
      </w:r>
      <w:r>
        <w:rPr>
          <w:spacing w:val="-4"/>
          <w:sz w:val="22"/>
        </w:rPr>
        <w:t> </w:t>
      </w:r>
      <w:r>
        <w:rPr>
          <w:sz w:val="22"/>
        </w:rPr>
        <w:t>can</w:t>
      </w:r>
      <w:r>
        <w:rPr>
          <w:spacing w:val="-4"/>
          <w:sz w:val="22"/>
        </w:rPr>
        <w:t> </w:t>
      </w:r>
      <w:r>
        <w:rPr>
          <w:sz w:val="22"/>
        </w:rPr>
        <w:t>immediately</w:t>
      </w:r>
      <w:r>
        <w:rPr>
          <w:spacing w:val="-5"/>
          <w:sz w:val="22"/>
        </w:rPr>
        <w:t> </w:t>
      </w:r>
      <w:r>
        <w:rPr>
          <w:sz w:val="22"/>
        </w:rPr>
        <w:t>implement to create a more </w:t>
      </w:r>
      <w:r>
        <w:rPr>
          <w:b/>
          <w:sz w:val="22"/>
        </w:rPr>
        <w:t>inclusive and supportive environment </w:t>
      </w:r>
      <w:r>
        <w:rPr>
          <w:sz w:val="22"/>
        </w:rPr>
        <w:t>for all students, particularly those who identify as LGBTQ."</w:t>
      </w:r>
    </w:p>
    <w:p>
      <w:pPr>
        <w:pStyle w:val="ListParagraph"/>
        <w:numPr>
          <w:ilvl w:val="0"/>
          <w:numId w:val="18"/>
        </w:numPr>
        <w:tabs>
          <w:tab w:pos="1399" w:val="left" w:leader="none"/>
        </w:tabs>
        <w:spacing w:line="240" w:lineRule="auto" w:before="0" w:after="0"/>
        <w:ind w:left="1399" w:right="0" w:hanging="359"/>
        <w:jc w:val="both"/>
        <w:rPr>
          <w:b/>
          <w:sz w:val="22"/>
        </w:rPr>
      </w:pPr>
      <w:r>
        <w:rPr>
          <w:spacing w:val="-2"/>
          <w:sz w:val="22"/>
        </w:rPr>
        <w:t>"I</w:t>
      </w:r>
      <w:r>
        <w:rPr>
          <w:spacing w:val="-3"/>
          <w:sz w:val="22"/>
        </w:rPr>
        <w:t> </w:t>
      </w:r>
      <w:r>
        <w:rPr>
          <w:spacing w:val="-2"/>
          <w:sz w:val="22"/>
        </w:rPr>
        <w:t>learned</w:t>
      </w:r>
      <w:r>
        <w:rPr>
          <w:spacing w:val="-3"/>
          <w:sz w:val="22"/>
        </w:rPr>
        <w:t> </w:t>
      </w:r>
      <w:r>
        <w:rPr>
          <w:spacing w:val="-2"/>
          <w:sz w:val="22"/>
        </w:rPr>
        <w:t>valuable </w:t>
      </w:r>
      <w:r>
        <w:rPr>
          <w:b/>
          <w:spacing w:val="-2"/>
          <w:sz w:val="22"/>
        </w:rPr>
        <w:t>communication techniques </w:t>
      </w:r>
      <w:r>
        <w:rPr>
          <w:spacing w:val="-2"/>
          <w:sz w:val="22"/>
        </w:rPr>
        <w:t>to better</w:t>
      </w:r>
      <w:r>
        <w:rPr>
          <w:spacing w:val="-3"/>
          <w:sz w:val="22"/>
        </w:rPr>
        <w:t> </w:t>
      </w:r>
      <w:r>
        <w:rPr>
          <w:b/>
          <w:spacing w:val="-2"/>
          <w:sz w:val="22"/>
        </w:rPr>
        <w:t>engage with</w:t>
      </w:r>
      <w:r>
        <w:rPr>
          <w:b/>
          <w:spacing w:val="-3"/>
          <w:sz w:val="22"/>
        </w:rPr>
        <w:t> </w:t>
      </w:r>
      <w:r>
        <w:rPr>
          <w:b/>
          <w:spacing w:val="-2"/>
          <w:sz w:val="22"/>
        </w:rPr>
        <w:t>students and</w:t>
      </w:r>
      <w:r>
        <w:rPr>
          <w:b/>
          <w:spacing w:val="-3"/>
          <w:sz w:val="22"/>
        </w:rPr>
        <w:t> </w:t>
      </w:r>
      <w:r>
        <w:rPr>
          <w:b/>
          <w:spacing w:val="-2"/>
          <w:sz w:val="22"/>
        </w:rPr>
        <w:t>parents</w:t>
      </w:r>
    </w:p>
    <w:p>
      <w:pPr>
        <w:pStyle w:val="BodyText"/>
        <w:spacing w:before="41"/>
        <w:ind w:left="1400"/>
        <w:jc w:val="both"/>
      </w:pPr>
      <w:r>
        <w:rPr/>
        <w:t>on</w:t>
      </w:r>
      <w:r>
        <w:rPr>
          <w:spacing w:val="-8"/>
        </w:rPr>
        <w:t> </w:t>
      </w:r>
      <w:r>
        <w:rPr/>
        <w:t>sensitive</w:t>
      </w:r>
      <w:r>
        <w:rPr>
          <w:spacing w:val="-7"/>
        </w:rPr>
        <w:t> </w:t>
      </w:r>
      <w:r>
        <w:rPr/>
        <w:t>topics</w:t>
      </w:r>
      <w:r>
        <w:rPr>
          <w:spacing w:val="-7"/>
        </w:rPr>
        <w:t> </w:t>
      </w:r>
      <w:r>
        <w:rPr/>
        <w:t>related</w:t>
      </w:r>
      <w:r>
        <w:rPr>
          <w:spacing w:val="-7"/>
        </w:rPr>
        <w:t> </w:t>
      </w:r>
      <w:r>
        <w:rPr/>
        <w:t>to</w:t>
      </w:r>
      <w:r>
        <w:rPr>
          <w:spacing w:val="-7"/>
        </w:rPr>
        <w:t> </w:t>
      </w:r>
      <w:r>
        <w:rPr/>
        <w:t>gender</w:t>
      </w:r>
      <w:r>
        <w:rPr>
          <w:spacing w:val="-7"/>
        </w:rPr>
        <w:t> </w:t>
      </w:r>
      <w:r>
        <w:rPr/>
        <w:t>identity.</w:t>
      </w:r>
      <w:r>
        <w:rPr>
          <w:spacing w:val="-7"/>
        </w:rPr>
        <w:t> </w:t>
      </w:r>
      <w:r>
        <w:rPr>
          <w:spacing w:val="-10"/>
        </w:rPr>
        <w:t>“</w:t>
      </w:r>
    </w:p>
    <w:p>
      <w:pPr>
        <w:pStyle w:val="ListParagraph"/>
        <w:numPr>
          <w:ilvl w:val="0"/>
          <w:numId w:val="18"/>
        </w:numPr>
        <w:tabs>
          <w:tab w:pos="1400" w:val="left" w:leader="none"/>
        </w:tabs>
        <w:spacing w:line="276" w:lineRule="auto" w:before="40" w:after="0"/>
        <w:ind w:left="1400" w:right="403" w:hanging="360"/>
        <w:jc w:val="both"/>
        <w:rPr>
          <w:sz w:val="22"/>
        </w:rPr>
      </w:pPr>
      <w:r>
        <w:rPr>
          <w:sz w:val="22"/>
        </w:rPr>
        <w:t>"The</w:t>
      </w:r>
      <w:r>
        <w:rPr>
          <w:spacing w:val="-7"/>
          <w:sz w:val="22"/>
        </w:rPr>
        <w:t> </w:t>
      </w:r>
      <w:r>
        <w:rPr>
          <w:sz w:val="22"/>
        </w:rPr>
        <w:t>workshop</w:t>
      </w:r>
      <w:r>
        <w:rPr>
          <w:spacing w:val="-8"/>
          <w:sz w:val="22"/>
        </w:rPr>
        <w:t> </w:t>
      </w:r>
      <w:r>
        <w:rPr>
          <w:sz w:val="22"/>
        </w:rPr>
        <w:t>clarified</w:t>
      </w:r>
      <w:r>
        <w:rPr>
          <w:spacing w:val="-8"/>
          <w:sz w:val="22"/>
        </w:rPr>
        <w:t> </w:t>
      </w:r>
      <w:r>
        <w:rPr>
          <w:sz w:val="22"/>
        </w:rPr>
        <w:t>our</w:t>
      </w:r>
      <w:r>
        <w:rPr>
          <w:spacing w:val="-7"/>
          <w:sz w:val="22"/>
        </w:rPr>
        <w:t> </w:t>
      </w:r>
      <w:r>
        <w:rPr>
          <w:b/>
          <w:sz w:val="22"/>
        </w:rPr>
        <w:t>school's</w:t>
      </w:r>
      <w:r>
        <w:rPr>
          <w:b/>
          <w:spacing w:val="-8"/>
          <w:sz w:val="22"/>
        </w:rPr>
        <w:t> </w:t>
      </w:r>
      <w:r>
        <w:rPr>
          <w:b/>
          <w:sz w:val="22"/>
        </w:rPr>
        <w:t>policies</w:t>
      </w:r>
      <w:r>
        <w:rPr>
          <w:b/>
          <w:spacing w:val="-8"/>
          <w:sz w:val="22"/>
        </w:rPr>
        <w:t> </w:t>
      </w:r>
      <w:r>
        <w:rPr>
          <w:b/>
          <w:sz w:val="22"/>
        </w:rPr>
        <w:t>and</w:t>
      </w:r>
      <w:r>
        <w:rPr>
          <w:b/>
          <w:spacing w:val="-8"/>
          <w:sz w:val="22"/>
        </w:rPr>
        <w:t> </w:t>
      </w:r>
      <w:r>
        <w:rPr>
          <w:b/>
          <w:sz w:val="22"/>
        </w:rPr>
        <w:t>legal</w:t>
      </w:r>
      <w:r>
        <w:rPr>
          <w:b/>
          <w:spacing w:val="-7"/>
          <w:sz w:val="22"/>
        </w:rPr>
        <w:t> </w:t>
      </w:r>
      <w:r>
        <w:rPr>
          <w:b/>
          <w:sz w:val="22"/>
        </w:rPr>
        <w:t>obligations</w:t>
      </w:r>
      <w:r>
        <w:rPr>
          <w:b/>
          <w:spacing w:val="-8"/>
          <w:sz w:val="22"/>
        </w:rPr>
        <w:t> </w:t>
      </w:r>
      <w:r>
        <w:rPr>
          <w:sz w:val="22"/>
        </w:rPr>
        <w:t>regarding</w:t>
      </w:r>
      <w:r>
        <w:rPr>
          <w:spacing w:val="-7"/>
          <w:sz w:val="22"/>
        </w:rPr>
        <w:t> </w:t>
      </w:r>
      <w:r>
        <w:rPr>
          <w:sz w:val="22"/>
        </w:rPr>
        <w:t>the</w:t>
      </w:r>
      <w:r>
        <w:rPr>
          <w:spacing w:val="-8"/>
          <w:sz w:val="22"/>
        </w:rPr>
        <w:t> </w:t>
      </w:r>
      <w:r>
        <w:rPr>
          <w:sz w:val="22"/>
        </w:rPr>
        <w:t>protection of LGBTQ students. I feel more confident in my role and my ability to uphold these policies</w:t>
      </w:r>
    </w:p>
    <w:p>
      <w:pPr>
        <w:spacing w:before="0"/>
        <w:ind w:left="1400" w:right="0" w:firstLine="0"/>
        <w:jc w:val="both"/>
        <w:rPr>
          <w:sz w:val="22"/>
        </w:rPr>
      </w:pPr>
      <w:r>
        <w:rPr>
          <w:sz w:val="22"/>
        </w:rPr>
        <w:t>—</w:t>
      </w:r>
      <w:r>
        <w:rPr>
          <w:spacing w:val="-7"/>
          <w:sz w:val="22"/>
        </w:rPr>
        <w:t> </w:t>
      </w:r>
      <w:r>
        <w:rPr>
          <w:sz w:val="22"/>
        </w:rPr>
        <w:t>while</w:t>
      </w:r>
      <w:r>
        <w:rPr>
          <w:spacing w:val="-6"/>
          <w:sz w:val="22"/>
        </w:rPr>
        <w:t> </w:t>
      </w:r>
      <w:r>
        <w:rPr>
          <w:sz w:val="22"/>
        </w:rPr>
        <w:t>also</w:t>
      </w:r>
      <w:r>
        <w:rPr>
          <w:spacing w:val="-5"/>
          <w:sz w:val="22"/>
        </w:rPr>
        <w:t> </w:t>
      </w:r>
      <w:r>
        <w:rPr>
          <w:b/>
          <w:sz w:val="22"/>
        </w:rPr>
        <w:t>advocating</w:t>
      </w:r>
      <w:r>
        <w:rPr>
          <w:b/>
          <w:spacing w:val="-6"/>
          <w:sz w:val="22"/>
        </w:rPr>
        <w:t> </w:t>
      </w:r>
      <w:r>
        <w:rPr>
          <w:sz w:val="22"/>
        </w:rPr>
        <w:t>for</w:t>
      </w:r>
      <w:r>
        <w:rPr>
          <w:spacing w:val="-7"/>
          <w:sz w:val="22"/>
        </w:rPr>
        <w:t> </w:t>
      </w:r>
      <w:r>
        <w:rPr>
          <w:spacing w:val="-2"/>
          <w:sz w:val="22"/>
        </w:rPr>
        <w:t>students.”</w:t>
      </w:r>
    </w:p>
    <w:p>
      <w:pPr>
        <w:pStyle w:val="ListParagraph"/>
        <w:numPr>
          <w:ilvl w:val="0"/>
          <w:numId w:val="18"/>
        </w:numPr>
        <w:tabs>
          <w:tab w:pos="1400" w:val="left" w:leader="none"/>
        </w:tabs>
        <w:spacing w:line="276" w:lineRule="auto" w:before="39" w:after="0"/>
        <w:ind w:left="1400" w:right="403" w:hanging="360"/>
        <w:jc w:val="both"/>
        <w:rPr>
          <w:sz w:val="22"/>
        </w:rPr>
      </w:pPr>
      <w:r>
        <w:rPr>
          <w:sz w:val="22"/>
        </w:rPr>
        <w:t>"I left the workshop feeling empowered to take the needed steps in promoting a </w:t>
      </w:r>
      <w:r>
        <w:rPr>
          <w:b/>
          <w:sz w:val="22"/>
        </w:rPr>
        <w:t>safe and affirming</w:t>
      </w:r>
      <w:r>
        <w:rPr>
          <w:b/>
          <w:spacing w:val="-6"/>
          <w:sz w:val="22"/>
        </w:rPr>
        <w:t> </w:t>
      </w:r>
      <w:r>
        <w:rPr>
          <w:sz w:val="22"/>
        </w:rPr>
        <w:t>school</w:t>
      </w:r>
      <w:r>
        <w:rPr>
          <w:spacing w:val="-8"/>
          <w:sz w:val="22"/>
        </w:rPr>
        <w:t> </w:t>
      </w:r>
      <w:r>
        <w:rPr>
          <w:sz w:val="22"/>
        </w:rPr>
        <w:t>culture.</w:t>
      </w:r>
      <w:r>
        <w:rPr>
          <w:spacing w:val="-7"/>
          <w:sz w:val="22"/>
        </w:rPr>
        <w:t> </w:t>
      </w:r>
      <w:r>
        <w:rPr>
          <w:sz w:val="22"/>
        </w:rPr>
        <w:t>The</w:t>
      </w:r>
      <w:r>
        <w:rPr>
          <w:spacing w:val="-7"/>
          <w:sz w:val="22"/>
        </w:rPr>
        <w:t> </w:t>
      </w:r>
      <w:r>
        <w:rPr>
          <w:sz w:val="22"/>
        </w:rPr>
        <w:t>training</w:t>
      </w:r>
      <w:r>
        <w:rPr>
          <w:spacing w:val="-8"/>
          <w:sz w:val="22"/>
        </w:rPr>
        <w:t> </w:t>
      </w:r>
      <w:r>
        <w:rPr>
          <w:sz w:val="22"/>
        </w:rPr>
        <w:t>inspired</w:t>
      </w:r>
      <w:r>
        <w:rPr>
          <w:spacing w:val="-7"/>
          <w:sz w:val="22"/>
        </w:rPr>
        <w:t> </w:t>
      </w:r>
      <w:r>
        <w:rPr>
          <w:sz w:val="22"/>
        </w:rPr>
        <w:t>me</w:t>
      </w:r>
      <w:r>
        <w:rPr>
          <w:spacing w:val="-6"/>
          <w:sz w:val="22"/>
        </w:rPr>
        <w:t> </w:t>
      </w:r>
      <w:r>
        <w:rPr>
          <w:sz w:val="22"/>
        </w:rPr>
        <w:t>to</w:t>
      </w:r>
      <w:r>
        <w:rPr>
          <w:spacing w:val="-5"/>
          <w:sz w:val="22"/>
        </w:rPr>
        <w:t> </w:t>
      </w:r>
      <w:r>
        <w:rPr>
          <w:b/>
          <w:sz w:val="22"/>
        </w:rPr>
        <w:t>take</w:t>
      </w:r>
      <w:r>
        <w:rPr>
          <w:b/>
          <w:spacing w:val="-5"/>
          <w:sz w:val="22"/>
        </w:rPr>
        <w:t> </w:t>
      </w:r>
      <w:r>
        <w:rPr>
          <w:b/>
          <w:sz w:val="22"/>
        </w:rPr>
        <w:t>on</w:t>
      </w:r>
      <w:r>
        <w:rPr>
          <w:b/>
          <w:spacing w:val="-7"/>
          <w:sz w:val="22"/>
        </w:rPr>
        <w:t> </w:t>
      </w:r>
      <w:r>
        <w:rPr>
          <w:b/>
          <w:sz w:val="22"/>
        </w:rPr>
        <w:t>initiatives</w:t>
      </w:r>
      <w:r>
        <w:rPr>
          <w:b/>
          <w:spacing w:val="-6"/>
          <w:sz w:val="22"/>
        </w:rPr>
        <w:t> </w:t>
      </w:r>
      <w:r>
        <w:rPr>
          <w:sz w:val="22"/>
        </w:rPr>
        <w:t>that</w:t>
      </w:r>
      <w:r>
        <w:rPr>
          <w:spacing w:val="-8"/>
          <w:sz w:val="22"/>
        </w:rPr>
        <w:t> </w:t>
      </w:r>
      <w:r>
        <w:rPr>
          <w:sz w:val="22"/>
        </w:rPr>
        <w:t>support</w:t>
      </w:r>
      <w:r>
        <w:rPr>
          <w:spacing w:val="-8"/>
          <w:sz w:val="22"/>
        </w:rPr>
        <w:t> </w:t>
      </w:r>
      <w:r>
        <w:rPr>
          <w:sz w:val="22"/>
        </w:rPr>
        <w:t>LGBTQ </w:t>
      </w:r>
      <w:r>
        <w:rPr>
          <w:spacing w:val="-2"/>
          <w:sz w:val="22"/>
        </w:rPr>
        <w:t>students."</w:t>
      </w:r>
    </w:p>
    <w:p>
      <w:pPr>
        <w:pStyle w:val="BodyText"/>
        <w:spacing w:line="276" w:lineRule="auto" w:before="241"/>
        <w:ind w:left="463" w:right="403"/>
        <w:jc w:val="both"/>
      </w:pPr>
      <w:r>
        <w:rPr/>
        <w:t>In addition to receiving professional development on the aforementioned topics, educators should also be trained on the current trends and challenges facing LGBTQ+ youth, trans youth in particular, and the ways the political climate can contribute to increased stress and other mental health challenges.</w:t>
      </w:r>
      <w:r>
        <w:rPr>
          <w:vertAlign w:val="superscript"/>
        </w:rPr>
        <w:t>29</w:t>
      </w:r>
      <w:r>
        <w:rPr>
          <w:vertAlign w:val="baseline"/>
        </w:rPr>
        <w:t> At</w:t>
      </w:r>
      <w:r>
        <w:rPr>
          <w:spacing w:val="29"/>
          <w:vertAlign w:val="baseline"/>
        </w:rPr>
        <w:t> </w:t>
      </w:r>
      <w:r>
        <w:rPr>
          <w:vertAlign w:val="baseline"/>
        </w:rPr>
        <w:t>the</w:t>
      </w:r>
      <w:r>
        <w:rPr>
          <w:spacing w:val="30"/>
          <w:vertAlign w:val="baseline"/>
        </w:rPr>
        <w:t> </w:t>
      </w:r>
      <w:r>
        <w:rPr>
          <w:vertAlign w:val="baseline"/>
        </w:rPr>
        <w:t>time</w:t>
      </w:r>
      <w:r>
        <w:rPr>
          <w:spacing w:val="31"/>
          <w:vertAlign w:val="baseline"/>
        </w:rPr>
        <w:t> </w:t>
      </w:r>
      <w:r>
        <w:rPr>
          <w:vertAlign w:val="baseline"/>
        </w:rPr>
        <w:t>of</w:t>
      </w:r>
      <w:r>
        <w:rPr>
          <w:spacing w:val="30"/>
          <w:vertAlign w:val="baseline"/>
        </w:rPr>
        <w:t> </w:t>
      </w:r>
      <w:r>
        <w:rPr>
          <w:vertAlign w:val="baseline"/>
        </w:rPr>
        <w:t>writing</w:t>
      </w:r>
      <w:r>
        <w:rPr>
          <w:spacing w:val="31"/>
          <w:vertAlign w:val="baseline"/>
        </w:rPr>
        <w:t> </w:t>
      </w:r>
      <w:r>
        <w:rPr>
          <w:vertAlign w:val="baseline"/>
        </w:rPr>
        <w:t>this</w:t>
      </w:r>
      <w:r>
        <w:rPr>
          <w:spacing w:val="30"/>
          <w:vertAlign w:val="baseline"/>
        </w:rPr>
        <w:t> </w:t>
      </w:r>
      <w:r>
        <w:rPr>
          <w:vertAlign w:val="baseline"/>
        </w:rPr>
        <w:t>report</w:t>
      </w:r>
      <w:r>
        <w:rPr>
          <w:spacing w:val="29"/>
          <w:vertAlign w:val="baseline"/>
        </w:rPr>
        <w:t> </w:t>
      </w:r>
      <w:r>
        <w:rPr>
          <w:vertAlign w:val="baseline"/>
        </w:rPr>
        <w:t>in</w:t>
      </w:r>
      <w:r>
        <w:rPr>
          <w:spacing w:val="31"/>
          <w:vertAlign w:val="baseline"/>
        </w:rPr>
        <w:t> </w:t>
      </w:r>
      <w:r>
        <w:rPr>
          <w:vertAlign w:val="baseline"/>
        </w:rPr>
        <w:t>May</w:t>
      </w:r>
      <w:r>
        <w:rPr>
          <w:spacing w:val="30"/>
          <w:vertAlign w:val="baseline"/>
        </w:rPr>
        <w:t> </w:t>
      </w:r>
      <w:r>
        <w:rPr>
          <w:vertAlign w:val="baseline"/>
        </w:rPr>
        <w:t>2024,</w:t>
      </w:r>
      <w:r>
        <w:rPr>
          <w:spacing w:val="30"/>
          <w:vertAlign w:val="baseline"/>
        </w:rPr>
        <w:t> </w:t>
      </w:r>
      <w:r>
        <w:rPr>
          <w:vertAlign w:val="baseline"/>
        </w:rPr>
        <w:t>the</w:t>
      </w:r>
      <w:r>
        <w:rPr>
          <w:spacing w:val="30"/>
          <w:vertAlign w:val="baseline"/>
        </w:rPr>
        <w:t> </w:t>
      </w:r>
      <w:r>
        <w:rPr>
          <w:vertAlign w:val="baseline"/>
        </w:rPr>
        <w:t>American</w:t>
      </w:r>
      <w:r>
        <w:rPr>
          <w:spacing w:val="31"/>
          <w:vertAlign w:val="baseline"/>
        </w:rPr>
        <w:t> </w:t>
      </w:r>
      <w:r>
        <w:rPr>
          <w:vertAlign w:val="baseline"/>
        </w:rPr>
        <w:t>Civil</w:t>
      </w:r>
      <w:r>
        <w:rPr>
          <w:spacing w:val="30"/>
          <w:vertAlign w:val="baseline"/>
        </w:rPr>
        <w:t> </w:t>
      </w:r>
      <w:r>
        <w:rPr>
          <w:vertAlign w:val="baseline"/>
        </w:rPr>
        <w:t>Liberties</w:t>
      </w:r>
      <w:r>
        <w:rPr>
          <w:spacing w:val="30"/>
          <w:vertAlign w:val="baseline"/>
        </w:rPr>
        <w:t> </w:t>
      </w:r>
      <w:r>
        <w:rPr>
          <w:vertAlign w:val="baseline"/>
        </w:rPr>
        <w:t>Union</w:t>
      </w:r>
      <w:r>
        <w:rPr>
          <w:spacing w:val="30"/>
          <w:vertAlign w:val="baseline"/>
        </w:rPr>
        <w:t> </w:t>
      </w:r>
      <w:r>
        <w:rPr>
          <w:vertAlign w:val="baseline"/>
        </w:rPr>
        <w:t>is</w:t>
      </w:r>
    </w:p>
    <w:p>
      <w:pPr>
        <w:spacing w:after="0" w:line="276" w:lineRule="auto"/>
        <w:jc w:val="both"/>
        <w:sectPr>
          <w:pgSz w:w="12240" w:h="15840"/>
          <w:pgMar w:header="763" w:footer="1041" w:top="1140" w:bottom="1240" w:left="1120" w:right="1180"/>
        </w:sectPr>
      </w:pPr>
    </w:p>
    <w:p>
      <w:pPr>
        <w:pStyle w:val="BodyText"/>
        <w:spacing w:line="276" w:lineRule="auto" w:before="66"/>
        <w:ind w:left="463" w:right="401"/>
        <w:jc w:val="both"/>
      </w:pPr>
      <w:r>
        <w:rPr/>
        <w:t>tracking</w:t>
      </w:r>
      <w:r>
        <w:rPr>
          <w:spacing w:val="-12"/>
        </w:rPr>
        <w:t> </w:t>
      </w:r>
      <w:r>
        <w:rPr/>
        <w:t>515</w:t>
      </w:r>
      <w:r>
        <w:rPr>
          <w:spacing w:val="-9"/>
        </w:rPr>
        <w:t> </w:t>
      </w:r>
      <w:r>
        <w:rPr/>
        <w:t>anti-LGBTQ</w:t>
      </w:r>
      <w:r>
        <w:rPr>
          <w:spacing w:val="-10"/>
        </w:rPr>
        <w:t> </w:t>
      </w:r>
      <w:r>
        <w:rPr/>
        <w:t>bills</w:t>
      </w:r>
      <w:r>
        <w:rPr>
          <w:spacing w:val="-11"/>
        </w:rPr>
        <w:t> </w:t>
      </w:r>
      <w:r>
        <w:rPr/>
        <w:t>in</w:t>
      </w:r>
      <w:r>
        <w:rPr>
          <w:spacing w:val="-11"/>
        </w:rPr>
        <w:t> </w:t>
      </w:r>
      <w:r>
        <w:rPr/>
        <w:t>state</w:t>
      </w:r>
      <w:r>
        <w:rPr>
          <w:spacing w:val="-10"/>
        </w:rPr>
        <w:t> </w:t>
      </w:r>
      <w:r>
        <w:rPr/>
        <w:t>legislatures</w:t>
      </w:r>
      <w:r>
        <w:rPr>
          <w:spacing w:val="-11"/>
        </w:rPr>
        <w:t> </w:t>
      </w:r>
      <w:r>
        <w:rPr/>
        <w:t>across</w:t>
      </w:r>
      <w:r>
        <w:rPr>
          <w:spacing w:val="-11"/>
        </w:rPr>
        <w:t> </w:t>
      </w:r>
      <w:r>
        <w:rPr/>
        <w:t>the</w:t>
      </w:r>
      <w:r>
        <w:rPr>
          <w:spacing w:val="-10"/>
        </w:rPr>
        <w:t> </w:t>
      </w:r>
      <w:r>
        <w:rPr/>
        <w:t>U.S.,</w:t>
      </w:r>
      <w:r>
        <w:rPr>
          <w:spacing w:val="-11"/>
        </w:rPr>
        <w:t> </w:t>
      </w:r>
      <w:r>
        <w:rPr/>
        <w:t>203</w:t>
      </w:r>
      <w:r>
        <w:rPr>
          <w:spacing w:val="-11"/>
        </w:rPr>
        <w:t> </w:t>
      </w:r>
      <w:r>
        <w:rPr/>
        <w:t>of</w:t>
      </w:r>
      <w:r>
        <w:rPr>
          <w:spacing w:val="-11"/>
        </w:rPr>
        <w:t> </w:t>
      </w:r>
      <w:r>
        <w:rPr/>
        <w:t>which</w:t>
      </w:r>
      <w:r>
        <w:rPr>
          <w:spacing w:val="-10"/>
        </w:rPr>
        <w:t> </w:t>
      </w:r>
      <w:r>
        <w:rPr/>
        <w:t>are</w:t>
      </w:r>
      <w:r>
        <w:rPr>
          <w:spacing w:val="-11"/>
        </w:rPr>
        <w:t> </w:t>
      </w:r>
      <w:r>
        <w:rPr/>
        <w:t>related</w:t>
      </w:r>
      <w:r>
        <w:rPr>
          <w:spacing w:val="-10"/>
        </w:rPr>
        <w:t> </w:t>
      </w:r>
      <w:r>
        <w:rPr/>
        <w:t>to</w:t>
      </w:r>
      <w:r>
        <w:rPr>
          <w:spacing w:val="-11"/>
        </w:rPr>
        <w:t> </w:t>
      </w:r>
      <w:r>
        <w:rPr/>
        <w:t>restricting student and educator rights.</w:t>
      </w:r>
      <w:r>
        <w:rPr>
          <w:spacing w:val="-13"/>
        </w:rPr>
        <w:t> </w:t>
      </w:r>
      <w:hyperlink w:history="true" w:anchor="_bookmark76">
        <w:r>
          <w:rPr>
            <w:vertAlign w:val="superscript"/>
          </w:rPr>
          <w:t>37</w:t>
        </w:r>
      </w:hyperlink>
      <w:r>
        <w:rPr>
          <w:vertAlign w:val="baseline"/>
        </w:rPr>
        <w:t> The impact of the current political climate on LGBTQ youth and supportive educators is significant.</w:t>
      </w:r>
    </w:p>
    <w:p>
      <w:pPr>
        <w:spacing w:before="239"/>
        <w:ind w:left="464" w:right="0" w:firstLine="0"/>
        <w:jc w:val="left"/>
        <w:rPr>
          <w:sz w:val="28"/>
        </w:rPr>
      </w:pPr>
      <w:bookmarkStart w:name="Anti-Bullying" w:id="147"/>
      <w:bookmarkEnd w:id="147"/>
      <w:r>
        <w:rPr/>
      </w:r>
      <w:r>
        <w:rPr>
          <w:color w:val="365F91"/>
          <w:spacing w:val="-2"/>
          <w:sz w:val="28"/>
        </w:rPr>
        <w:t>Anti-Bullying</w:t>
      </w:r>
    </w:p>
    <w:p>
      <w:pPr>
        <w:pStyle w:val="BodyText"/>
        <w:spacing w:line="276" w:lineRule="auto" w:before="291"/>
        <w:ind w:left="463" w:right="401"/>
        <w:jc w:val="both"/>
      </w:pPr>
      <w:r>
        <w:rPr/>
        <w:t>Implementation</w:t>
      </w:r>
      <w:r>
        <w:rPr>
          <w:spacing w:val="-8"/>
        </w:rPr>
        <w:t> </w:t>
      </w:r>
      <w:r>
        <w:rPr/>
        <w:t>of</w:t>
      </w:r>
      <w:r>
        <w:rPr>
          <w:spacing w:val="-8"/>
        </w:rPr>
        <w:t> </w:t>
      </w:r>
      <w:r>
        <w:rPr/>
        <w:t>the</w:t>
      </w:r>
      <w:r>
        <w:rPr>
          <w:spacing w:val="-7"/>
        </w:rPr>
        <w:t> </w:t>
      </w:r>
      <w:r>
        <w:rPr/>
        <w:t>state’s</w:t>
      </w:r>
      <w:r>
        <w:rPr>
          <w:spacing w:val="-7"/>
        </w:rPr>
        <w:t> </w:t>
      </w:r>
      <w:r>
        <w:rPr/>
        <w:t>anti-bullying</w:t>
      </w:r>
      <w:r>
        <w:rPr>
          <w:spacing w:val="-8"/>
        </w:rPr>
        <w:t> </w:t>
      </w:r>
      <w:r>
        <w:rPr/>
        <w:t>plan</w:t>
      </w:r>
      <w:r>
        <w:rPr>
          <w:spacing w:val="-7"/>
        </w:rPr>
        <w:t> </w:t>
      </w:r>
      <w:r>
        <w:rPr/>
        <w:t>has</w:t>
      </w:r>
      <w:r>
        <w:rPr>
          <w:spacing w:val="-7"/>
        </w:rPr>
        <w:t> </w:t>
      </w:r>
      <w:r>
        <w:rPr/>
        <w:t>been</w:t>
      </w:r>
      <w:r>
        <w:rPr>
          <w:spacing w:val="-8"/>
        </w:rPr>
        <w:t> </w:t>
      </w:r>
      <w:r>
        <w:rPr/>
        <w:t>a</w:t>
      </w:r>
      <w:r>
        <w:rPr>
          <w:spacing w:val="-6"/>
        </w:rPr>
        <w:t> </w:t>
      </w:r>
      <w:r>
        <w:rPr/>
        <w:t>key</w:t>
      </w:r>
      <w:r>
        <w:rPr>
          <w:spacing w:val="-8"/>
        </w:rPr>
        <w:t> </w:t>
      </w:r>
      <w:r>
        <w:rPr/>
        <w:t>part</w:t>
      </w:r>
      <w:r>
        <w:rPr>
          <w:spacing w:val="-8"/>
        </w:rPr>
        <w:t> </w:t>
      </w:r>
      <w:r>
        <w:rPr/>
        <w:t>of</w:t>
      </w:r>
      <w:r>
        <w:rPr>
          <w:spacing w:val="-8"/>
        </w:rPr>
        <w:t> </w:t>
      </w:r>
      <w:r>
        <w:rPr/>
        <w:t>the</w:t>
      </w:r>
      <w:r>
        <w:rPr>
          <w:spacing w:val="-8"/>
        </w:rPr>
        <w:t> </w:t>
      </w:r>
      <w:r>
        <w:rPr/>
        <w:t>Commission’s</w:t>
      </w:r>
      <w:r>
        <w:rPr>
          <w:spacing w:val="-7"/>
        </w:rPr>
        <w:t> </w:t>
      </w:r>
      <w:r>
        <w:rPr/>
        <w:t>work</w:t>
      </w:r>
      <w:r>
        <w:rPr>
          <w:spacing w:val="-8"/>
        </w:rPr>
        <w:t> </w:t>
      </w:r>
      <w:r>
        <w:rPr/>
        <w:t>and</w:t>
      </w:r>
      <w:r>
        <w:rPr>
          <w:spacing w:val="-7"/>
        </w:rPr>
        <w:t> </w:t>
      </w:r>
      <w:r>
        <w:rPr/>
        <w:t>the cornerstone of its programming for many years. Data on anti-LGBTQ bullying from the 2021 MYRBS (2023</w:t>
      </w:r>
      <w:r>
        <w:rPr>
          <w:spacing w:val="-13"/>
        </w:rPr>
        <w:t> </w:t>
      </w:r>
      <w:r>
        <w:rPr/>
        <w:t>MYRBS</w:t>
      </w:r>
      <w:r>
        <w:rPr>
          <w:spacing w:val="-12"/>
        </w:rPr>
        <w:t> </w:t>
      </w:r>
      <w:r>
        <w:rPr/>
        <w:t>data</w:t>
      </w:r>
      <w:r>
        <w:rPr>
          <w:spacing w:val="-11"/>
        </w:rPr>
        <w:t> </w:t>
      </w:r>
      <w:r>
        <w:rPr/>
        <w:t>is</w:t>
      </w:r>
      <w:r>
        <w:rPr>
          <w:spacing w:val="-12"/>
        </w:rPr>
        <w:t> </w:t>
      </w:r>
      <w:r>
        <w:rPr/>
        <w:t>not</w:t>
      </w:r>
      <w:r>
        <w:rPr>
          <w:spacing w:val="-12"/>
        </w:rPr>
        <w:t> </w:t>
      </w:r>
      <w:r>
        <w:rPr/>
        <w:t>yet</w:t>
      </w:r>
      <w:r>
        <w:rPr>
          <w:spacing w:val="-13"/>
        </w:rPr>
        <w:t> </w:t>
      </w:r>
      <w:r>
        <w:rPr/>
        <w:t>available)</w:t>
      </w:r>
      <w:r>
        <w:rPr>
          <w:spacing w:val="-11"/>
        </w:rPr>
        <w:t> </w:t>
      </w:r>
      <w:r>
        <w:rPr/>
        <w:t>demonstrates</w:t>
      </w:r>
      <w:r>
        <w:rPr>
          <w:spacing w:val="-11"/>
        </w:rPr>
        <w:t> </w:t>
      </w:r>
      <w:r>
        <w:rPr/>
        <w:t>the</w:t>
      </w:r>
      <w:r>
        <w:rPr>
          <w:spacing w:val="-12"/>
        </w:rPr>
        <w:t> </w:t>
      </w:r>
      <w:r>
        <w:rPr/>
        <w:t>continued</w:t>
      </w:r>
      <w:r>
        <w:rPr>
          <w:spacing w:val="-13"/>
        </w:rPr>
        <w:t> </w:t>
      </w:r>
      <w:r>
        <w:rPr/>
        <w:t>need</w:t>
      </w:r>
      <w:r>
        <w:rPr>
          <w:spacing w:val="-12"/>
        </w:rPr>
        <w:t> </w:t>
      </w:r>
      <w:r>
        <w:rPr/>
        <w:t>to</w:t>
      </w:r>
      <w:r>
        <w:rPr>
          <w:spacing w:val="-12"/>
        </w:rPr>
        <w:t> </w:t>
      </w:r>
      <w:r>
        <w:rPr/>
        <w:t>address</w:t>
      </w:r>
      <w:r>
        <w:rPr>
          <w:spacing w:val="-12"/>
        </w:rPr>
        <w:t> </w:t>
      </w:r>
      <w:r>
        <w:rPr/>
        <w:t>this</w:t>
      </w:r>
      <w:r>
        <w:rPr>
          <w:spacing w:val="-11"/>
        </w:rPr>
        <w:t> </w:t>
      </w:r>
      <w:r>
        <w:rPr/>
        <w:t>bias</w:t>
      </w:r>
      <w:r>
        <w:rPr>
          <w:spacing w:val="-12"/>
        </w:rPr>
        <w:t> </w:t>
      </w:r>
      <w:r>
        <w:rPr/>
        <w:t>in</w:t>
      </w:r>
      <w:r>
        <w:rPr>
          <w:spacing w:val="-13"/>
        </w:rPr>
        <w:t> </w:t>
      </w:r>
      <w:r>
        <w:rPr/>
        <w:t>schools to protect vulnerable students, prevent the negative health consequences of bullying, and improve educational outcomes. However, the Commission believes that the Commonwealth’s anti-bullying laws need to be strengthened.</w:t>
      </w:r>
    </w:p>
    <w:p>
      <w:pPr>
        <w:pStyle w:val="BodyText"/>
        <w:spacing w:line="276" w:lineRule="auto" w:before="241"/>
        <w:ind w:left="463" w:right="403"/>
        <w:jc w:val="both"/>
      </w:pPr>
      <w:r>
        <w:rPr/>
        <w:t>School districts need more funding and clearly defined mandatory requirements for how to counter bullying and proactively build more inclusive communities. These requirements should explicitly address LGBTQ students and, as mentioned above, mandate that districts make LGBTQ trainings available</w:t>
      </w:r>
      <w:r>
        <w:rPr>
          <w:spacing w:val="-2"/>
        </w:rPr>
        <w:t> </w:t>
      </w:r>
      <w:r>
        <w:rPr/>
        <w:t>to</w:t>
      </w:r>
      <w:r>
        <w:rPr>
          <w:spacing w:val="-1"/>
        </w:rPr>
        <w:t> </w:t>
      </w:r>
      <w:r>
        <w:rPr/>
        <w:t>all</w:t>
      </w:r>
      <w:r>
        <w:rPr>
          <w:spacing w:val="-2"/>
        </w:rPr>
        <w:t> </w:t>
      </w:r>
      <w:r>
        <w:rPr/>
        <w:t>staff</w:t>
      </w:r>
      <w:r>
        <w:rPr>
          <w:spacing w:val="-2"/>
        </w:rPr>
        <w:t> </w:t>
      </w:r>
      <w:r>
        <w:rPr/>
        <w:t>on</w:t>
      </w:r>
      <w:r>
        <w:rPr>
          <w:spacing w:val="-2"/>
        </w:rPr>
        <w:t> </w:t>
      </w:r>
      <w:r>
        <w:rPr/>
        <w:t>a</w:t>
      </w:r>
      <w:r>
        <w:rPr>
          <w:spacing w:val="-2"/>
        </w:rPr>
        <w:t> </w:t>
      </w:r>
      <w:r>
        <w:rPr/>
        <w:t>regular</w:t>
      </w:r>
      <w:r>
        <w:rPr>
          <w:spacing w:val="-2"/>
        </w:rPr>
        <w:t> </w:t>
      </w:r>
      <w:r>
        <w:rPr/>
        <w:t>basis.</w:t>
      </w:r>
      <w:r>
        <w:rPr>
          <w:spacing w:val="-2"/>
        </w:rPr>
        <w:t> </w:t>
      </w:r>
      <w:r>
        <w:rPr/>
        <w:t>Given</w:t>
      </w:r>
      <w:r>
        <w:rPr>
          <w:spacing w:val="-2"/>
        </w:rPr>
        <w:t> </w:t>
      </w:r>
      <w:r>
        <w:rPr/>
        <w:t>the</w:t>
      </w:r>
      <w:r>
        <w:rPr>
          <w:spacing w:val="-2"/>
        </w:rPr>
        <w:t> </w:t>
      </w:r>
      <w:r>
        <w:rPr/>
        <w:t>intersection</w:t>
      </w:r>
      <w:r>
        <w:rPr>
          <w:spacing w:val="-2"/>
        </w:rPr>
        <w:t> </w:t>
      </w:r>
      <w:r>
        <w:rPr/>
        <w:t>between</w:t>
      </w:r>
      <w:r>
        <w:rPr>
          <w:spacing w:val="-2"/>
        </w:rPr>
        <w:t> </w:t>
      </w:r>
      <w:r>
        <w:rPr/>
        <w:t>anti-LGBTQ</w:t>
      </w:r>
      <w:r>
        <w:rPr>
          <w:spacing w:val="-2"/>
        </w:rPr>
        <w:t> </w:t>
      </w:r>
      <w:r>
        <w:rPr/>
        <w:t>bias</w:t>
      </w:r>
      <w:r>
        <w:rPr>
          <w:spacing w:val="-1"/>
        </w:rPr>
        <w:t> </w:t>
      </w:r>
      <w:r>
        <w:rPr/>
        <w:t>and</w:t>
      </w:r>
      <w:r>
        <w:rPr>
          <w:spacing w:val="-2"/>
        </w:rPr>
        <w:t> </w:t>
      </w:r>
      <w:r>
        <w:rPr/>
        <w:t>racial</w:t>
      </w:r>
      <w:r>
        <w:rPr>
          <w:spacing w:val="-2"/>
        </w:rPr>
        <w:t> </w:t>
      </w:r>
      <w:r>
        <w:rPr/>
        <w:t>and ethnic biases, and thus the specific experiences and needs of BIPOC LGBTQ youth, the Commission recommends that these trainings be approached using an intersectional antiracist framework.</w:t>
      </w:r>
    </w:p>
    <w:p>
      <w:pPr>
        <w:pStyle w:val="BodyText"/>
        <w:spacing w:line="276" w:lineRule="auto" w:before="240"/>
        <w:ind w:left="463" w:right="402"/>
        <w:jc w:val="both"/>
      </w:pPr>
      <w:r>
        <w:rPr/>
        <w:t>Beyond</w:t>
      </w:r>
      <w:r>
        <w:rPr>
          <w:spacing w:val="-2"/>
        </w:rPr>
        <w:t> </w:t>
      </w:r>
      <w:r>
        <w:rPr/>
        <w:t>staff training,</w:t>
      </w:r>
      <w:r>
        <w:rPr>
          <w:spacing w:val="-1"/>
        </w:rPr>
        <w:t> </w:t>
      </w:r>
      <w:r>
        <w:rPr/>
        <w:t>students</w:t>
      </w:r>
      <w:r>
        <w:rPr>
          <w:spacing w:val="-2"/>
        </w:rPr>
        <w:t> </w:t>
      </w:r>
      <w:r>
        <w:rPr/>
        <w:t>also</w:t>
      </w:r>
      <w:r>
        <w:rPr>
          <w:spacing w:val="-1"/>
        </w:rPr>
        <w:t> </w:t>
      </w:r>
      <w:r>
        <w:rPr/>
        <w:t>need</w:t>
      </w:r>
      <w:r>
        <w:rPr>
          <w:spacing w:val="-2"/>
        </w:rPr>
        <w:t> </w:t>
      </w:r>
      <w:r>
        <w:rPr/>
        <w:t>more</w:t>
      </w:r>
      <w:r>
        <w:rPr>
          <w:spacing w:val="-2"/>
        </w:rPr>
        <w:t> </w:t>
      </w:r>
      <w:r>
        <w:rPr/>
        <w:t>education</w:t>
      </w:r>
      <w:r>
        <w:rPr>
          <w:spacing w:val="-2"/>
        </w:rPr>
        <w:t> </w:t>
      </w:r>
      <w:r>
        <w:rPr/>
        <w:t>to</w:t>
      </w:r>
      <w:r>
        <w:rPr>
          <w:spacing w:val="-1"/>
        </w:rPr>
        <w:t> </w:t>
      </w:r>
      <w:r>
        <w:rPr/>
        <w:t>prepare</w:t>
      </w:r>
      <w:r>
        <w:rPr>
          <w:spacing w:val="-2"/>
        </w:rPr>
        <w:t> </w:t>
      </w:r>
      <w:r>
        <w:rPr/>
        <w:t>them</w:t>
      </w:r>
      <w:r>
        <w:rPr>
          <w:spacing w:val="-2"/>
        </w:rPr>
        <w:t> </w:t>
      </w:r>
      <w:r>
        <w:rPr/>
        <w:t>to</w:t>
      </w:r>
      <w:r>
        <w:rPr>
          <w:spacing w:val="-1"/>
        </w:rPr>
        <w:t> </w:t>
      </w:r>
      <w:r>
        <w:rPr/>
        <w:t>prevent</w:t>
      </w:r>
      <w:r>
        <w:rPr>
          <w:spacing w:val="-2"/>
        </w:rPr>
        <w:t> </w:t>
      </w:r>
      <w:r>
        <w:rPr/>
        <w:t>and</w:t>
      </w:r>
      <w:r>
        <w:rPr>
          <w:spacing w:val="-2"/>
        </w:rPr>
        <w:t> </w:t>
      </w:r>
      <w:r>
        <w:rPr/>
        <w:t>respond</w:t>
      </w:r>
      <w:r>
        <w:rPr>
          <w:spacing w:val="-2"/>
        </w:rPr>
        <w:t> </w:t>
      </w:r>
      <w:r>
        <w:rPr/>
        <w:t>to bullying, bias, and mistreatment. The Commonwealth should also strengthen existing requirements that schools provide age-appropriate instruction on bullying prevention, to ensure that the state is monitoring evidence-based instruction at every level.</w:t>
      </w:r>
    </w:p>
    <w:p>
      <w:pPr>
        <w:pStyle w:val="BodyText"/>
        <w:spacing w:line="276" w:lineRule="auto" w:before="239"/>
        <w:ind w:left="5559" w:right="401"/>
        <w:jc w:val="both"/>
      </w:pPr>
      <w:r>
        <w:rPr/>
        <w:drawing>
          <wp:anchor distT="0" distB="0" distL="0" distR="0" allowOverlap="1" layoutInCell="1" locked="0" behindDoc="0" simplePos="0" relativeHeight="15746048">
            <wp:simplePos x="0" y="0"/>
            <wp:positionH relativeFrom="page">
              <wp:posOffset>1002664</wp:posOffset>
            </wp:positionH>
            <wp:positionV relativeFrom="paragraph">
              <wp:posOffset>215544</wp:posOffset>
            </wp:positionV>
            <wp:extent cx="3115114" cy="1795373"/>
            <wp:effectExtent l="0" t="0" r="0" b="0"/>
            <wp:wrapNone/>
            <wp:docPr id="136" name="Image 136"/>
            <wp:cNvGraphicFramePr>
              <a:graphicFrameLocks/>
            </wp:cNvGraphicFramePr>
            <a:graphic>
              <a:graphicData uri="http://schemas.openxmlformats.org/drawingml/2006/picture">
                <pic:pic>
                  <pic:nvPicPr>
                    <pic:cNvPr id="136" name="Image 136"/>
                    <pic:cNvPicPr/>
                  </pic:nvPicPr>
                  <pic:blipFill>
                    <a:blip r:embed="rId107" cstate="print"/>
                    <a:stretch>
                      <a:fillRect/>
                    </a:stretch>
                  </pic:blipFill>
                  <pic:spPr>
                    <a:xfrm>
                      <a:off x="0" y="0"/>
                      <a:ext cx="3115114" cy="1795373"/>
                    </a:xfrm>
                    <a:prstGeom prst="rect">
                      <a:avLst/>
                    </a:prstGeom>
                  </pic:spPr>
                </pic:pic>
              </a:graphicData>
            </a:graphic>
          </wp:anchor>
        </w:drawing>
      </w:r>
      <w:r>
        <w:rPr/>
        <w:t>Furthermore,</w:t>
      </w:r>
      <w:r>
        <w:rPr>
          <w:spacing w:val="-4"/>
        </w:rPr>
        <w:t> </w:t>
      </w:r>
      <w:r>
        <w:rPr/>
        <w:t>in</w:t>
      </w:r>
      <w:r>
        <w:rPr>
          <w:spacing w:val="-5"/>
        </w:rPr>
        <w:t> </w:t>
      </w:r>
      <w:r>
        <w:rPr/>
        <w:t>a</w:t>
      </w:r>
      <w:r>
        <w:rPr>
          <w:spacing w:val="-4"/>
        </w:rPr>
        <w:t> </w:t>
      </w:r>
      <w:r>
        <w:rPr/>
        <w:t>series</w:t>
      </w:r>
      <w:r>
        <w:rPr>
          <w:spacing w:val="-4"/>
        </w:rPr>
        <w:t> </w:t>
      </w:r>
      <w:r>
        <w:rPr/>
        <w:t>of</w:t>
      </w:r>
      <w:r>
        <w:rPr>
          <w:spacing w:val="-3"/>
        </w:rPr>
        <w:t> </w:t>
      </w:r>
      <w:r>
        <w:rPr/>
        <w:t>listening</w:t>
      </w:r>
      <w:r>
        <w:rPr>
          <w:spacing w:val="-5"/>
        </w:rPr>
        <w:t> </w:t>
      </w:r>
      <w:r>
        <w:rPr/>
        <w:t>sessions that</w:t>
      </w:r>
      <w:r>
        <w:rPr>
          <w:spacing w:val="-6"/>
        </w:rPr>
        <w:t> </w:t>
      </w:r>
      <w:r>
        <w:rPr/>
        <w:t>were</w:t>
      </w:r>
      <w:r>
        <w:rPr>
          <w:spacing w:val="-6"/>
        </w:rPr>
        <w:t> </w:t>
      </w:r>
      <w:r>
        <w:rPr/>
        <w:t>hosted</w:t>
      </w:r>
      <w:r>
        <w:rPr>
          <w:spacing w:val="-6"/>
        </w:rPr>
        <w:t> </w:t>
      </w:r>
      <w:r>
        <w:rPr/>
        <w:t>by</w:t>
      </w:r>
      <w:r>
        <w:rPr>
          <w:spacing w:val="-6"/>
        </w:rPr>
        <w:t> </w:t>
      </w:r>
      <w:r>
        <w:rPr/>
        <w:t>the</w:t>
      </w:r>
      <w:r>
        <w:rPr>
          <w:spacing w:val="-6"/>
        </w:rPr>
        <w:t> </w:t>
      </w:r>
      <w:r>
        <w:rPr/>
        <w:t>Commission</w:t>
      </w:r>
      <w:r>
        <w:rPr>
          <w:spacing w:val="-6"/>
        </w:rPr>
        <w:t> </w:t>
      </w:r>
      <w:r>
        <w:rPr/>
        <w:t>in</w:t>
      </w:r>
      <w:r>
        <w:rPr>
          <w:spacing w:val="-6"/>
        </w:rPr>
        <w:t> </w:t>
      </w:r>
      <w:r>
        <w:rPr/>
        <w:t>April and</w:t>
      </w:r>
      <w:r>
        <w:rPr>
          <w:spacing w:val="-3"/>
        </w:rPr>
        <w:t> </w:t>
      </w:r>
      <w:r>
        <w:rPr/>
        <w:t>May</w:t>
      </w:r>
      <w:r>
        <w:rPr>
          <w:spacing w:val="-2"/>
        </w:rPr>
        <w:t> </w:t>
      </w:r>
      <w:r>
        <w:rPr/>
        <w:t>2024,</w:t>
      </w:r>
      <w:r>
        <w:rPr>
          <w:spacing w:val="-2"/>
        </w:rPr>
        <w:t> </w:t>
      </w:r>
      <w:r>
        <w:rPr/>
        <w:t>20</w:t>
      </w:r>
      <w:r>
        <w:rPr>
          <w:spacing w:val="-2"/>
        </w:rPr>
        <w:t> </w:t>
      </w:r>
      <w:r>
        <w:rPr/>
        <w:t>students</w:t>
      </w:r>
      <w:r>
        <w:rPr>
          <w:spacing w:val="-2"/>
        </w:rPr>
        <w:t> </w:t>
      </w:r>
      <w:r>
        <w:rPr/>
        <w:t>attending</w:t>
      </w:r>
      <w:r>
        <w:rPr>
          <w:spacing w:val="-1"/>
        </w:rPr>
        <w:t> </w:t>
      </w:r>
      <w:r>
        <w:rPr/>
        <w:t>a K-12 school</w:t>
      </w:r>
      <w:r>
        <w:rPr>
          <w:spacing w:val="-3"/>
        </w:rPr>
        <w:t> </w:t>
      </w:r>
      <w:r>
        <w:rPr/>
        <w:t>from</w:t>
      </w:r>
      <w:r>
        <w:rPr>
          <w:spacing w:val="-4"/>
        </w:rPr>
        <w:t> </w:t>
      </w:r>
      <w:r>
        <w:rPr/>
        <w:t>Springfield</w:t>
      </w:r>
      <w:r>
        <w:rPr>
          <w:spacing w:val="-4"/>
        </w:rPr>
        <w:t> </w:t>
      </w:r>
      <w:r>
        <w:rPr/>
        <w:t>to</w:t>
      </w:r>
      <w:r>
        <w:rPr>
          <w:spacing w:val="-2"/>
        </w:rPr>
        <w:t> </w:t>
      </w:r>
      <w:r>
        <w:rPr/>
        <w:t>Medford</w:t>
      </w:r>
      <w:r>
        <w:rPr>
          <w:spacing w:val="-4"/>
        </w:rPr>
        <w:t> </w:t>
      </w:r>
      <w:r>
        <w:rPr/>
        <w:t>to</w:t>
      </w:r>
      <w:r>
        <w:rPr>
          <w:spacing w:val="-3"/>
        </w:rPr>
        <w:t> </w:t>
      </w:r>
      <w:r>
        <w:rPr/>
        <w:t>South Hadley all expressed significant concerns about bullying from their peers and a significant lack of response from school administration. Additionally, several students at the sessions shared that even though</w:t>
      </w:r>
      <w:r>
        <w:rPr>
          <w:spacing w:val="36"/>
        </w:rPr>
        <w:t> </w:t>
      </w:r>
      <w:r>
        <w:rPr/>
        <w:t>they</w:t>
      </w:r>
      <w:r>
        <w:rPr>
          <w:spacing w:val="35"/>
        </w:rPr>
        <w:t> </w:t>
      </w:r>
      <w:r>
        <w:rPr/>
        <w:t>had</w:t>
      </w:r>
      <w:r>
        <w:rPr>
          <w:spacing w:val="35"/>
        </w:rPr>
        <w:t> </w:t>
      </w:r>
      <w:r>
        <w:rPr/>
        <w:t>reported</w:t>
      </w:r>
      <w:r>
        <w:rPr>
          <w:spacing w:val="36"/>
        </w:rPr>
        <w:t> </w:t>
      </w:r>
      <w:r>
        <w:rPr/>
        <w:t>bullying</w:t>
      </w:r>
      <w:r>
        <w:rPr>
          <w:spacing w:val="34"/>
        </w:rPr>
        <w:t> </w:t>
      </w:r>
      <w:r>
        <w:rPr>
          <w:spacing w:val="-2"/>
        </w:rPr>
        <w:t>several</w:t>
      </w:r>
    </w:p>
    <w:p>
      <w:pPr>
        <w:pStyle w:val="BodyText"/>
        <w:spacing w:line="276" w:lineRule="auto"/>
        <w:ind w:left="464" w:right="402"/>
        <w:jc w:val="both"/>
      </w:pPr>
      <w:r>
        <w:rPr/>
        <w:t>times to their schools, little to no action was taken by the school - nor did the school support the student when they faced significant retaliation from their peers for reporting the bullying. Schools must have clear antibullying policies that address these noted issues and ensure that a system of transparency and accountability is in place.</w:t>
      </w:r>
    </w:p>
    <w:p>
      <w:pPr>
        <w:spacing w:after="0" w:line="276" w:lineRule="auto"/>
        <w:jc w:val="both"/>
        <w:sectPr>
          <w:pgSz w:w="12240" w:h="15840"/>
          <w:pgMar w:header="763" w:footer="1041" w:top="1140" w:bottom="1240" w:left="1120" w:right="1180"/>
        </w:sectPr>
      </w:pPr>
    </w:p>
    <w:p>
      <w:pPr>
        <w:spacing w:before="65"/>
        <w:ind w:left="464" w:right="0" w:firstLine="0"/>
        <w:jc w:val="both"/>
        <w:rPr>
          <w:sz w:val="28"/>
        </w:rPr>
      </w:pPr>
      <w:bookmarkStart w:name="Early Childhood Education, Higher Educat" w:id="148"/>
      <w:bookmarkEnd w:id="148"/>
      <w:r>
        <w:rPr/>
      </w:r>
      <w:r>
        <w:rPr>
          <w:color w:val="365F91"/>
          <w:sz w:val="28"/>
        </w:rPr>
        <w:t>Early</w:t>
      </w:r>
      <w:r>
        <w:rPr>
          <w:color w:val="365F91"/>
          <w:spacing w:val="-10"/>
          <w:sz w:val="28"/>
        </w:rPr>
        <w:t> </w:t>
      </w:r>
      <w:r>
        <w:rPr>
          <w:color w:val="365F91"/>
          <w:sz w:val="28"/>
        </w:rPr>
        <w:t>Childhood</w:t>
      </w:r>
      <w:r>
        <w:rPr>
          <w:color w:val="365F91"/>
          <w:spacing w:val="-11"/>
          <w:sz w:val="28"/>
        </w:rPr>
        <w:t> </w:t>
      </w:r>
      <w:r>
        <w:rPr>
          <w:color w:val="365F91"/>
          <w:sz w:val="28"/>
        </w:rPr>
        <w:t>Education,</w:t>
      </w:r>
      <w:r>
        <w:rPr>
          <w:color w:val="365F91"/>
          <w:spacing w:val="-9"/>
          <w:sz w:val="28"/>
        </w:rPr>
        <w:t> </w:t>
      </w:r>
      <w:r>
        <w:rPr>
          <w:color w:val="365F91"/>
          <w:sz w:val="28"/>
        </w:rPr>
        <w:t>Higher</w:t>
      </w:r>
      <w:r>
        <w:rPr>
          <w:color w:val="365F91"/>
          <w:spacing w:val="-11"/>
          <w:sz w:val="28"/>
        </w:rPr>
        <w:t> </w:t>
      </w:r>
      <w:r>
        <w:rPr>
          <w:color w:val="365F91"/>
          <w:sz w:val="28"/>
        </w:rPr>
        <w:t>Education,</w:t>
      </w:r>
      <w:r>
        <w:rPr>
          <w:color w:val="365F91"/>
          <w:spacing w:val="-9"/>
          <w:sz w:val="28"/>
        </w:rPr>
        <w:t> </w:t>
      </w:r>
      <w:r>
        <w:rPr>
          <w:color w:val="365F91"/>
          <w:sz w:val="28"/>
        </w:rPr>
        <w:t>and</w:t>
      </w:r>
      <w:r>
        <w:rPr>
          <w:color w:val="365F91"/>
          <w:spacing w:val="-11"/>
          <w:sz w:val="28"/>
        </w:rPr>
        <w:t> </w:t>
      </w:r>
      <w:r>
        <w:rPr>
          <w:color w:val="365F91"/>
          <w:sz w:val="28"/>
        </w:rPr>
        <w:t>a</w:t>
      </w:r>
      <w:r>
        <w:rPr>
          <w:color w:val="365F91"/>
          <w:spacing w:val="-10"/>
          <w:sz w:val="28"/>
        </w:rPr>
        <w:t> </w:t>
      </w:r>
      <w:r>
        <w:rPr>
          <w:color w:val="365F91"/>
          <w:sz w:val="28"/>
        </w:rPr>
        <w:t>Continuum</w:t>
      </w:r>
      <w:r>
        <w:rPr>
          <w:color w:val="365F91"/>
          <w:spacing w:val="-9"/>
          <w:sz w:val="28"/>
        </w:rPr>
        <w:t> </w:t>
      </w:r>
      <w:r>
        <w:rPr>
          <w:color w:val="365F91"/>
          <w:sz w:val="28"/>
        </w:rPr>
        <w:t>of</w:t>
      </w:r>
      <w:r>
        <w:rPr>
          <w:color w:val="365F91"/>
          <w:spacing w:val="-10"/>
          <w:sz w:val="28"/>
        </w:rPr>
        <w:t> </w:t>
      </w:r>
      <w:r>
        <w:rPr>
          <w:color w:val="365F91"/>
          <w:spacing w:val="-4"/>
          <w:sz w:val="28"/>
        </w:rPr>
        <w:t>Care</w:t>
      </w:r>
    </w:p>
    <w:p>
      <w:pPr>
        <w:pStyle w:val="BodyText"/>
        <w:spacing w:line="276" w:lineRule="auto" w:before="292"/>
        <w:ind w:left="464" w:right="399"/>
        <w:jc w:val="both"/>
      </w:pPr>
      <w:r>
        <w:rPr/>
        <w:t>The Commission envisions an education system in the Commonwealth, including early childhood education (ECE) through higher education, where LGBTQ students feel safe, affirmed, and have what they</w:t>
      </w:r>
      <w:r>
        <w:rPr>
          <w:spacing w:val="-1"/>
        </w:rPr>
        <w:t> </w:t>
      </w:r>
      <w:r>
        <w:rPr/>
        <w:t>need</w:t>
      </w:r>
      <w:r>
        <w:rPr>
          <w:spacing w:val="-1"/>
        </w:rPr>
        <w:t> </w:t>
      </w:r>
      <w:r>
        <w:rPr/>
        <w:t>to do</w:t>
      </w:r>
      <w:r>
        <w:rPr>
          <w:spacing w:val="-1"/>
        </w:rPr>
        <w:t> </w:t>
      </w:r>
      <w:r>
        <w:rPr/>
        <w:t>their best learning.</w:t>
      </w:r>
      <w:r>
        <w:rPr>
          <w:spacing w:val="-1"/>
        </w:rPr>
        <w:t> </w:t>
      </w:r>
      <w:r>
        <w:rPr/>
        <w:t>While</w:t>
      </w:r>
      <w:r>
        <w:rPr>
          <w:spacing w:val="-2"/>
        </w:rPr>
        <w:t> </w:t>
      </w:r>
      <w:r>
        <w:rPr/>
        <w:t>it</w:t>
      </w:r>
      <w:r>
        <w:rPr>
          <w:spacing w:val="-2"/>
        </w:rPr>
        <w:t> </w:t>
      </w:r>
      <w:r>
        <w:rPr/>
        <w:t>is important</w:t>
      </w:r>
      <w:r>
        <w:rPr>
          <w:spacing w:val="-1"/>
        </w:rPr>
        <w:t> </w:t>
      </w:r>
      <w:r>
        <w:rPr/>
        <w:t>to</w:t>
      </w:r>
      <w:r>
        <w:rPr>
          <w:spacing w:val="-1"/>
        </w:rPr>
        <w:t> </w:t>
      </w:r>
      <w:r>
        <w:rPr/>
        <w:t>focus on</w:t>
      </w:r>
      <w:r>
        <w:rPr>
          <w:spacing w:val="-2"/>
        </w:rPr>
        <w:t> </w:t>
      </w:r>
      <w:r>
        <w:rPr/>
        <w:t>providing</w:t>
      </w:r>
      <w:r>
        <w:rPr>
          <w:spacing w:val="-1"/>
        </w:rPr>
        <w:t> </w:t>
      </w:r>
      <w:r>
        <w:rPr/>
        <w:t>safe</w:t>
      </w:r>
      <w:r>
        <w:rPr>
          <w:spacing w:val="-2"/>
        </w:rPr>
        <w:t> </w:t>
      </w:r>
      <w:r>
        <w:rPr/>
        <w:t>and</w:t>
      </w:r>
      <w:r>
        <w:rPr>
          <w:spacing w:val="-1"/>
        </w:rPr>
        <w:t> </w:t>
      </w:r>
      <w:r>
        <w:rPr/>
        <w:t>welcoming</w:t>
      </w:r>
      <w:r>
        <w:rPr>
          <w:spacing w:val="-1"/>
        </w:rPr>
        <w:t> </w:t>
      </w:r>
      <w:r>
        <w:rPr/>
        <w:t>K- 12 school environments for LGBTQ students and families, it is also critical that attention be given to early childhood and higher education to work towards seamless transitions for students and families as they move from ECE to K-12 to higher education in the Commonwealth.</w:t>
      </w:r>
    </w:p>
    <w:p>
      <w:pPr>
        <w:pStyle w:val="BodyText"/>
        <w:spacing w:line="276" w:lineRule="auto" w:before="240"/>
        <w:ind w:left="463" w:right="402"/>
        <w:jc w:val="both"/>
      </w:pPr>
      <w:r>
        <w:rPr/>
        <w:t>Much of the rhetoric being used in current attacks on LGBTQ-inclusive education claims that young children are being taught about gender and sexuality in ways that are not age appropriate. However, according to the Mayo Clinic, children can label their own</w:t>
      </w:r>
      <w:r>
        <w:rPr>
          <w:spacing w:val="-1"/>
        </w:rPr>
        <w:t> </w:t>
      </w:r>
      <w:r>
        <w:rPr/>
        <w:t>gender around the age of 3.</w:t>
      </w:r>
      <w:hyperlink w:history="true" w:anchor="_bookmark77">
        <w:r>
          <w:rPr>
            <w:vertAlign w:val="superscript"/>
          </w:rPr>
          <w:t>38</w:t>
        </w:r>
      </w:hyperlink>
      <w:r>
        <w:rPr>
          <w:spacing w:val="-3"/>
          <w:vertAlign w:val="baseline"/>
        </w:rPr>
        <w:t> </w:t>
      </w:r>
      <w:r>
        <w:rPr>
          <w:vertAlign w:val="baseline"/>
        </w:rPr>
        <w:t>This is not to suggest that all transgender people know they are trans at the age of 3. Rather, it is to demonstrate that children are aware of and thinking about gender during early childhood years, thus it is developmentally appropriate for ECE programs to engage with age-appropriate material on topics of gender. One of the Commission’s goals for the 2024-2025 academic year is to deepen relationships with ECE centers and providers around Massachusetts to continue to provide training and technical assistance for educators, administrators, students, and families.</w:t>
      </w:r>
    </w:p>
    <w:p>
      <w:pPr>
        <w:pStyle w:val="BodyText"/>
        <w:spacing w:line="276" w:lineRule="auto" w:before="240"/>
        <w:ind w:left="463" w:right="403"/>
        <w:jc w:val="both"/>
      </w:pPr>
      <w:r>
        <w:rPr/>
        <w:t>While many strides have been made at colleges and universities across the country, trans and nonbinary students, as well as BIPOC LGBTQ students, still report lower rates of belonging and have lower</w:t>
      </w:r>
      <w:r>
        <w:rPr>
          <w:spacing w:val="-3"/>
        </w:rPr>
        <w:t> </w:t>
      </w:r>
      <w:r>
        <w:rPr/>
        <w:t>graduation</w:t>
      </w:r>
      <w:r>
        <w:rPr>
          <w:spacing w:val="-3"/>
        </w:rPr>
        <w:t> </w:t>
      </w:r>
      <w:r>
        <w:rPr/>
        <w:t>rates.</w:t>
      </w:r>
      <w:r>
        <w:rPr>
          <w:spacing w:val="-3"/>
        </w:rPr>
        <w:t> </w:t>
      </w:r>
      <w:r>
        <w:rPr/>
        <w:t>However,</w:t>
      </w:r>
      <w:r>
        <w:rPr>
          <w:spacing w:val="-3"/>
        </w:rPr>
        <w:t> </w:t>
      </w:r>
      <w:r>
        <w:rPr/>
        <w:t>there</w:t>
      </w:r>
      <w:r>
        <w:rPr>
          <w:spacing w:val="-2"/>
        </w:rPr>
        <w:t> </w:t>
      </w:r>
      <w:r>
        <w:rPr/>
        <w:t>is</w:t>
      </w:r>
      <w:r>
        <w:rPr>
          <w:spacing w:val="-2"/>
        </w:rPr>
        <w:t> </w:t>
      </w:r>
      <w:r>
        <w:rPr/>
        <w:t>incredible</w:t>
      </w:r>
      <w:r>
        <w:rPr>
          <w:spacing w:val="-2"/>
        </w:rPr>
        <w:t> </w:t>
      </w:r>
      <w:r>
        <w:rPr/>
        <w:t>work</w:t>
      </w:r>
      <w:r>
        <w:rPr>
          <w:spacing w:val="-3"/>
        </w:rPr>
        <w:t> </w:t>
      </w:r>
      <w:r>
        <w:rPr/>
        <w:t>being</w:t>
      </w:r>
      <w:r>
        <w:rPr>
          <w:spacing w:val="-3"/>
        </w:rPr>
        <w:t> </w:t>
      </w:r>
      <w:r>
        <w:rPr/>
        <w:t>done</w:t>
      </w:r>
      <w:r>
        <w:rPr>
          <w:spacing w:val="-3"/>
        </w:rPr>
        <w:t> </w:t>
      </w:r>
      <w:r>
        <w:rPr/>
        <w:t>at</w:t>
      </w:r>
      <w:r>
        <w:rPr>
          <w:spacing w:val="-3"/>
        </w:rPr>
        <w:t> </w:t>
      </w:r>
      <w:r>
        <w:rPr/>
        <w:t>higher</w:t>
      </w:r>
      <w:r>
        <w:rPr>
          <w:spacing w:val="-3"/>
        </w:rPr>
        <w:t> </w:t>
      </w:r>
      <w:r>
        <w:rPr/>
        <w:t>education</w:t>
      </w:r>
      <w:r>
        <w:rPr>
          <w:spacing w:val="-3"/>
        </w:rPr>
        <w:t> </w:t>
      </w:r>
      <w:r>
        <w:rPr/>
        <w:t>institutions in the Commonwealth by faculty and staff to support these students to have equitable educational opportunities as they are</w:t>
      </w:r>
      <w:r>
        <w:rPr>
          <w:spacing w:val="-1"/>
        </w:rPr>
        <w:t> </w:t>
      </w:r>
      <w:r>
        <w:rPr/>
        <w:t>afforded</w:t>
      </w:r>
      <w:r>
        <w:rPr>
          <w:spacing w:val="-1"/>
        </w:rPr>
        <w:t> </w:t>
      </w:r>
      <w:r>
        <w:rPr/>
        <w:t>to white</w:t>
      </w:r>
      <w:r>
        <w:rPr>
          <w:spacing w:val="-1"/>
        </w:rPr>
        <w:t> </w:t>
      </w:r>
      <w:r>
        <w:rPr/>
        <w:t>and/or non-LGBTQ students.</w:t>
      </w:r>
      <w:r>
        <w:rPr>
          <w:spacing w:val="-1"/>
        </w:rPr>
        <w:t> </w:t>
      </w:r>
      <w:r>
        <w:rPr/>
        <w:t>To bridge the gaps between ECE, K-12, and higher education, the Commission advocates for an annual convening of the Department</w:t>
      </w:r>
      <w:r>
        <w:rPr>
          <w:spacing w:val="-13"/>
        </w:rPr>
        <w:t> </w:t>
      </w:r>
      <w:r>
        <w:rPr/>
        <w:t>of</w:t>
      </w:r>
      <w:r>
        <w:rPr>
          <w:spacing w:val="-12"/>
        </w:rPr>
        <w:t> </w:t>
      </w:r>
      <w:r>
        <w:rPr/>
        <w:t>Early</w:t>
      </w:r>
      <w:r>
        <w:rPr>
          <w:spacing w:val="-13"/>
        </w:rPr>
        <w:t> </w:t>
      </w:r>
      <w:r>
        <w:rPr/>
        <w:t>Education</w:t>
      </w:r>
      <w:r>
        <w:rPr>
          <w:spacing w:val="-12"/>
        </w:rPr>
        <w:t> </w:t>
      </w:r>
      <w:r>
        <w:rPr/>
        <w:t>and</w:t>
      </w:r>
      <w:r>
        <w:rPr>
          <w:spacing w:val="-13"/>
        </w:rPr>
        <w:t> </w:t>
      </w:r>
      <w:r>
        <w:rPr/>
        <w:t>Care,</w:t>
      </w:r>
      <w:r>
        <w:rPr>
          <w:spacing w:val="-12"/>
        </w:rPr>
        <w:t> </w:t>
      </w:r>
      <w:r>
        <w:rPr/>
        <w:t>the</w:t>
      </w:r>
      <w:r>
        <w:rPr>
          <w:spacing w:val="-13"/>
        </w:rPr>
        <w:t> </w:t>
      </w:r>
      <w:r>
        <w:rPr/>
        <w:t>Massachusetts</w:t>
      </w:r>
      <w:r>
        <w:rPr>
          <w:spacing w:val="-12"/>
        </w:rPr>
        <w:t> </w:t>
      </w:r>
      <w:r>
        <w:rPr/>
        <w:t>Department</w:t>
      </w:r>
      <w:r>
        <w:rPr>
          <w:spacing w:val="-12"/>
        </w:rPr>
        <w:t> </w:t>
      </w:r>
      <w:r>
        <w:rPr/>
        <w:t>of</w:t>
      </w:r>
      <w:r>
        <w:rPr>
          <w:spacing w:val="-13"/>
        </w:rPr>
        <w:t> </w:t>
      </w:r>
      <w:r>
        <w:rPr/>
        <w:t>Elementary</w:t>
      </w:r>
      <w:r>
        <w:rPr>
          <w:spacing w:val="-12"/>
        </w:rPr>
        <w:t> </w:t>
      </w:r>
      <w:r>
        <w:rPr/>
        <w:t>and</w:t>
      </w:r>
      <w:r>
        <w:rPr>
          <w:spacing w:val="-13"/>
        </w:rPr>
        <w:t> </w:t>
      </w:r>
      <w:r>
        <w:rPr/>
        <w:t>Secondary Education, and the Massachusetts Department of Higher Education to develop and sustain a continuum</w:t>
      </w:r>
      <w:r>
        <w:rPr>
          <w:spacing w:val="-3"/>
        </w:rPr>
        <w:t> </w:t>
      </w:r>
      <w:r>
        <w:rPr/>
        <w:t>of</w:t>
      </w:r>
      <w:r>
        <w:rPr>
          <w:spacing w:val="-3"/>
        </w:rPr>
        <w:t> </w:t>
      </w:r>
      <w:r>
        <w:rPr/>
        <w:t>support</w:t>
      </w:r>
      <w:r>
        <w:rPr>
          <w:spacing w:val="-3"/>
        </w:rPr>
        <w:t> </w:t>
      </w:r>
      <w:r>
        <w:rPr/>
        <w:t>for</w:t>
      </w:r>
      <w:r>
        <w:rPr>
          <w:spacing w:val="-4"/>
        </w:rPr>
        <w:t> </w:t>
      </w:r>
      <w:r>
        <w:rPr/>
        <w:t>LGBTQ</w:t>
      </w:r>
      <w:r>
        <w:rPr>
          <w:spacing w:val="-3"/>
        </w:rPr>
        <w:t> </w:t>
      </w:r>
      <w:r>
        <w:rPr/>
        <w:t>students</w:t>
      </w:r>
      <w:r>
        <w:rPr>
          <w:spacing w:val="-4"/>
        </w:rPr>
        <w:t> </w:t>
      </w:r>
      <w:r>
        <w:rPr/>
        <w:t>and</w:t>
      </w:r>
      <w:r>
        <w:rPr>
          <w:spacing w:val="-3"/>
        </w:rPr>
        <w:t> </w:t>
      </w:r>
      <w:r>
        <w:rPr/>
        <w:t>families</w:t>
      </w:r>
      <w:r>
        <w:rPr>
          <w:spacing w:val="-4"/>
        </w:rPr>
        <w:t> </w:t>
      </w:r>
      <w:r>
        <w:rPr/>
        <w:t>as</w:t>
      </w:r>
      <w:r>
        <w:rPr>
          <w:spacing w:val="-4"/>
        </w:rPr>
        <w:t> </w:t>
      </w:r>
      <w:r>
        <w:rPr/>
        <w:t>they</w:t>
      </w:r>
      <w:r>
        <w:rPr>
          <w:spacing w:val="-3"/>
        </w:rPr>
        <w:t> </w:t>
      </w:r>
      <w:r>
        <w:rPr/>
        <w:t>move</w:t>
      </w:r>
      <w:r>
        <w:rPr>
          <w:spacing w:val="-4"/>
        </w:rPr>
        <w:t> </w:t>
      </w:r>
      <w:r>
        <w:rPr/>
        <w:t>through</w:t>
      </w:r>
      <w:r>
        <w:rPr>
          <w:spacing w:val="-3"/>
        </w:rPr>
        <w:t> </w:t>
      </w:r>
      <w:r>
        <w:rPr/>
        <w:t>the</w:t>
      </w:r>
      <w:r>
        <w:rPr>
          <w:spacing w:val="-3"/>
        </w:rPr>
        <w:t> </w:t>
      </w:r>
      <w:r>
        <w:rPr/>
        <w:t>education</w:t>
      </w:r>
      <w:r>
        <w:rPr>
          <w:spacing w:val="-3"/>
        </w:rPr>
        <w:t> </w:t>
      </w:r>
      <w:r>
        <w:rPr/>
        <w:t>system</w:t>
      </w:r>
      <w:r>
        <w:rPr>
          <w:spacing w:val="-4"/>
        </w:rPr>
        <w:t> </w:t>
      </w:r>
      <w:r>
        <w:rPr/>
        <w:t>in </w:t>
      </w:r>
      <w:r>
        <w:rPr>
          <w:spacing w:val="-2"/>
        </w:rPr>
        <w:t>Massachusetts.</w:t>
      </w:r>
    </w:p>
    <w:p>
      <w:pPr>
        <w:pStyle w:val="BodyText"/>
        <w:spacing w:before="130"/>
      </w:pPr>
    </w:p>
    <w:p>
      <w:pPr>
        <w:spacing w:before="0"/>
        <w:ind w:left="464" w:right="0" w:firstLine="0"/>
        <w:jc w:val="both"/>
        <w:rPr>
          <w:sz w:val="28"/>
        </w:rPr>
      </w:pPr>
      <w:r>
        <w:rPr/>
        <mc:AlternateContent>
          <mc:Choice Requires="wps">
            <w:drawing>
              <wp:anchor distT="0" distB="0" distL="0" distR="0" allowOverlap="1" layoutInCell="1" locked="0" behindDoc="1" simplePos="0" relativeHeight="487605760">
                <wp:simplePos x="0" y="0"/>
                <wp:positionH relativeFrom="page">
                  <wp:posOffset>986789</wp:posOffset>
                </wp:positionH>
                <wp:positionV relativeFrom="paragraph">
                  <wp:posOffset>230251</wp:posOffset>
                </wp:positionV>
                <wp:extent cx="5890895" cy="6350"/>
                <wp:effectExtent l="0" t="0" r="0" b="0"/>
                <wp:wrapTopAndBottom/>
                <wp:docPr id="137" name="Graphic 137"/>
                <wp:cNvGraphicFramePr>
                  <a:graphicFrameLocks/>
                </wp:cNvGraphicFramePr>
                <a:graphic>
                  <a:graphicData uri="http://schemas.microsoft.com/office/word/2010/wordprocessingShape">
                    <wps:wsp>
                      <wps:cNvPr id="137" name="Graphic 137"/>
                      <wps:cNvSpPr/>
                      <wps:spPr>
                        <a:xfrm>
                          <a:off x="0" y="0"/>
                          <a:ext cx="5890895" cy="6350"/>
                        </a:xfrm>
                        <a:custGeom>
                          <a:avLst/>
                          <a:gdLst/>
                          <a:ahLst/>
                          <a:cxnLst/>
                          <a:rect l="l" t="t" r="r" b="b"/>
                          <a:pathLst>
                            <a:path w="5890895" h="6350">
                              <a:moveTo>
                                <a:pt x="5890272" y="0"/>
                              </a:moveTo>
                              <a:lnTo>
                                <a:pt x="0" y="0"/>
                              </a:lnTo>
                              <a:lnTo>
                                <a:pt x="0" y="6096"/>
                              </a:lnTo>
                              <a:lnTo>
                                <a:pt x="5890272" y="6096"/>
                              </a:lnTo>
                              <a:lnTo>
                                <a:pt x="5890272" y="0"/>
                              </a:lnTo>
                              <a:close/>
                            </a:path>
                          </a:pathLst>
                        </a:custGeom>
                        <a:solidFill>
                          <a:srgbClr val="4F81BC"/>
                        </a:solidFill>
                      </wps:spPr>
                      <wps:bodyPr wrap="square" lIns="0" tIns="0" rIns="0" bIns="0" rtlCol="0">
                        <a:prstTxWarp prst="textNoShape">
                          <a:avLst/>
                        </a:prstTxWarp>
                        <a:noAutofit/>
                      </wps:bodyPr>
                    </wps:wsp>
                  </a:graphicData>
                </a:graphic>
              </wp:anchor>
            </w:drawing>
          </mc:Choice>
          <mc:Fallback>
            <w:pict>
              <v:rect style="position:absolute;margin-left:77.699997pt;margin-top:18.130058pt;width:463.801pt;height:.48pt;mso-position-horizontal-relative:page;mso-position-vertical-relative:paragraph;z-index:-15710720;mso-wrap-distance-left:0;mso-wrap-distance-right:0" id="docshape113" filled="true" fillcolor="#4f81bc" stroked="false">
                <v:fill type="solid"/>
                <w10:wrap type="topAndBottom"/>
              </v:rect>
            </w:pict>
          </mc:Fallback>
        </mc:AlternateContent>
      </w:r>
      <w:bookmarkStart w:name="Acknowledgments &amp; Citations" w:id="149"/>
      <w:bookmarkEnd w:id="149"/>
      <w:r>
        <w:rPr/>
      </w:r>
      <w:r>
        <w:rPr>
          <w:color w:val="365F91"/>
          <w:sz w:val="28"/>
        </w:rPr>
        <w:t>Acknowledgments</w:t>
      </w:r>
      <w:r>
        <w:rPr>
          <w:color w:val="365F91"/>
          <w:spacing w:val="-15"/>
          <w:sz w:val="28"/>
        </w:rPr>
        <w:t> </w:t>
      </w:r>
      <w:r>
        <w:rPr>
          <w:color w:val="365F91"/>
          <w:sz w:val="28"/>
        </w:rPr>
        <w:t>&amp;</w:t>
      </w:r>
      <w:r>
        <w:rPr>
          <w:color w:val="365F91"/>
          <w:spacing w:val="-14"/>
          <w:sz w:val="28"/>
        </w:rPr>
        <w:t> </w:t>
      </w:r>
      <w:r>
        <w:rPr>
          <w:color w:val="365F91"/>
          <w:spacing w:val="-2"/>
          <w:sz w:val="28"/>
        </w:rPr>
        <w:t>Citations</w:t>
      </w:r>
    </w:p>
    <w:p>
      <w:pPr>
        <w:pStyle w:val="BodyText"/>
        <w:spacing w:before="175"/>
        <w:rPr>
          <w:sz w:val="21"/>
        </w:rPr>
      </w:pPr>
    </w:p>
    <w:p>
      <w:pPr>
        <w:spacing w:before="0"/>
        <w:ind w:left="464" w:right="0" w:firstLine="0"/>
        <w:jc w:val="left"/>
        <w:rPr>
          <w:rFonts w:ascii="Cambria"/>
          <w:i/>
          <w:sz w:val="21"/>
        </w:rPr>
      </w:pPr>
      <w:r>
        <w:rPr>
          <w:rFonts w:ascii="Cambria"/>
          <w:i/>
          <w:sz w:val="21"/>
        </w:rPr>
        <w:t>Acknowledgments:</w:t>
      </w:r>
      <w:r>
        <w:rPr>
          <w:rFonts w:ascii="Cambria"/>
          <w:i/>
          <w:spacing w:val="-6"/>
          <w:sz w:val="21"/>
        </w:rPr>
        <w:t> </w:t>
      </w:r>
      <w:r>
        <w:rPr>
          <w:rFonts w:ascii="Cambria"/>
          <w:i/>
          <w:sz w:val="21"/>
        </w:rPr>
        <w:t>Hillary</w:t>
      </w:r>
      <w:r>
        <w:rPr>
          <w:rFonts w:ascii="Cambria"/>
          <w:i/>
          <w:spacing w:val="-3"/>
          <w:sz w:val="21"/>
        </w:rPr>
        <w:t> </w:t>
      </w:r>
      <w:r>
        <w:rPr>
          <w:rFonts w:ascii="Cambria"/>
          <w:i/>
          <w:sz w:val="21"/>
        </w:rPr>
        <w:t>Montague-Asp,</w:t>
      </w:r>
      <w:r>
        <w:rPr>
          <w:rFonts w:ascii="Cambria"/>
          <w:i/>
          <w:spacing w:val="-3"/>
          <w:sz w:val="21"/>
        </w:rPr>
        <w:t> </w:t>
      </w:r>
      <w:r>
        <w:rPr>
          <w:rFonts w:ascii="Cambria"/>
          <w:i/>
          <w:sz w:val="21"/>
        </w:rPr>
        <w:t>lead</w:t>
      </w:r>
      <w:r>
        <w:rPr>
          <w:rFonts w:ascii="Cambria"/>
          <w:i/>
          <w:spacing w:val="-4"/>
          <w:sz w:val="21"/>
        </w:rPr>
        <w:t> </w:t>
      </w:r>
      <w:r>
        <w:rPr>
          <w:rFonts w:ascii="Cambria"/>
          <w:i/>
          <w:sz w:val="21"/>
        </w:rPr>
        <w:t>researcher</w:t>
      </w:r>
      <w:r>
        <w:rPr>
          <w:rFonts w:ascii="Cambria"/>
          <w:i/>
          <w:spacing w:val="-4"/>
          <w:sz w:val="21"/>
        </w:rPr>
        <w:t> </w:t>
      </w:r>
      <w:r>
        <w:rPr>
          <w:rFonts w:ascii="Cambria"/>
          <w:i/>
          <w:sz w:val="21"/>
        </w:rPr>
        <w:t>and</w:t>
      </w:r>
      <w:r>
        <w:rPr>
          <w:rFonts w:ascii="Cambria"/>
          <w:i/>
          <w:spacing w:val="-3"/>
          <w:sz w:val="21"/>
        </w:rPr>
        <w:t> </w:t>
      </w:r>
      <w:r>
        <w:rPr>
          <w:rFonts w:ascii="Cambria"/>
          <w:i/>
          <w:spacing w:val="-2"/>
          <w:sz w:val="21"/>
        </w:rPr>
        <w:t>author</w:t>
      </w:r>
    </w:p>
    <w:p>
      <w:pPr>
        <w:pStyle w:val="BodyText"/>
        <w:spacing w:before="144"/>
        <w:rPr>
          <w:rFonts w:ascii="Cambria"/>
          <w:i/>
          <w:sz w:val="21"/>
        </w:rPr>
      </w:pPr>
    </w:p>
    <w:p>
      <w:pPr>
        <w:spacing w:before="0"/>
        <w:ind w:left="464" w:right="435" w:firstLine="0"/>
        <w:jc w:val="left"/>
        <w:rPr>
          <w:sz w:val="18"/>
        </w:rPr>
      </w:pPr>
      <w:bookmarkStart w:name="_bookmark40" w:id="150"/>
      <w:bookmarkEnd w:id="150"/>
      <w:r>
        <w:rPr/>
      </w:r>
      <w:r>
        <w:rPr>
          <w:sz w:val="18"/>
          <w:vertAlign w:val="superscript"/>
        </w:rPr>
        <w:t>1</w:t>
      </w:r>
      <w:r>
        <w:rPr>
          <w:sz w:val="18"/>
          <w:vertAlign w:val="baseline"/>
        </w:rPr>
        <w:t> Massachusetts Board of Elementary and Secondary Education. (2015). Principles for Ensuring Safe and Supportive</w:t>
      </w:r>
      <w:r>
        <w:rPr>
          <w:spacing w:val="40"/>
          <w:sz w:val="18"/>
          <w:vertAlign w:val="baseline"/>
        </w:rPr>
        <w:t> </w:t>
      </w:r>
      <w:r>
        <w:rPr>
          <w:sz w:val="18"/>
          <w:vertAlign w:val="baseline"/>
        </w:rPr>
        <w:t>Learning</w:t>
      </w:r>
      <w:r>
        <w:rPr>
          <w:spacing w:val="-3"/>
          <w:sz w:val="18"/>
          <w:vertAlign w:val="baseline"/>
        </w:rPr>
        <w:t> </w:t>
      </w:r>
      <w:r>
        <w:rPr>
          <w:sz w:val="18"/>
          <w:vertAlign w:val="baseline"/>
        </w:rPr>
        <w:t>Environments</w:t>
      </w:r>
      <w:r>
        <w:rPr>
          <w:spacing w:val="-3"/>
          <w:sz w:val="18"/>
          <w:vertAlign w:val="baseline"/>
        </w:rPr>
        <w:t> </w:t>
      </w:r>
      <w:r>
        <w:rPr>
          <w:sz w:val="18"/>
          <w:vertAlign w:val="baseline"/>
        </w:rPr>
        <w:t>for</w:t>
      </w:r>
      <w:r>
        <w:rPr>
          <w:spacing w:val="-4"/>
          <w:sz w:val="18"/>
          <w:vertAlign w:val="baseline"/>
        </w:rPr>
        <w:t> </w:t>
      </w:r>
      <w:r>
        <w:rPr>
          <w:sz w:val="18"/>
          <w:vertAlign w:val="baseline"/>
        </w:rPr>
        <w:t>Lesbian,</w:t>
      </w:r>
      <w:r>
        <w:rPr>
          <w:spacing w:val="-4"/>
          <w:sz w:val="18"/>
          <w:vertAlign w:val="baseline"/>
        </w:rPr>
        <w:t> </w:t>
      </w:r>
      <w:r>
        <w:rPr>
          <w:sz w:val="18"/>
          <w:vertAlign w:val="baseline"/>
        </w:rPr>
        <w:t>Gay,</w:t>
      </w:r>
      <w:r>
        <w:rPr>
          <w:spacing w:val="-4"/>
          <w:sz w:val="18"/>
          <w:vertAlign w:val="baseline"/>
        </w:rPr>
        <w:t> </w:t>
      </w:r>
      <w:r>
        <w:rPr>
          <w:sz w:val="18"/>
          <w:vertAlign w:val="baseline"/>
        </w:rPr>
        <w:t>Bisexual,</w:t>
      </w:r>
      <w:r>
        <w:rPr>
          <w:spacing w:val="-4"/>
          <w:sz w:val="18"/>
          <w:vertAlign w:val="baseline"/>
        </w:rPr>
        <w:t> </w:t>
      </w:r>
      <w:r>
        <w:rPr>
          <w:sz w:val="18"/>
          <w:vertAlign w:val="baseline"/>
        </w:rPr>
        <w:t>Transgender,</w:t>
      </w:r>
      <w:r>
        <w:rPr>
          <w:spacing w:val="-4"/>
          <w:sz w:val="18"/>
          <w:vertAlign w:val="baseline"/>
        </w:rPr>
        <w:t> </w:t>
      </w:r>
      <w:r>
        <w:rPr>
          <w:sz w:val="18"/>
          <w:vertAlign w:val="baseline"/>
        </w:rPr>
        <w:t>Queer,</w:t>
      </w:r>
      <w:r>
        <w:rPr>
          <w:spacing w:val="-4"/>
          <w:sz w:val="18"/>
          <w:vertAlign w:val="baseline"/>
        </w:rPr>
        <w:t> </w:t>
      </w:r>
      <w:r>
        <w:rPr>
          <w:sz w:val="18"/>
          <w:vertAlign w:val="baseline"/>
        </w:rPr>
        <w:t>and</w:t>
      </w:r>
      <w:r>
        <w:rPr>
          <w:spacing w:val="-3"/>
          <w:sz w:val="18"/>
          <w:vertAlign w:val="baseline"/>
        </w:rPr>
        <w:t> </w:t>
      </w:r>
      <w:r>
        <w:rPr>
          <w:sz w:val="18"/>
          <w:vertAlign w:val="baseline"/>
        </w:rPr>
        <w:t>Questioning</w:t>
      </w:r>
      <w:r>
        <w:rPr>
          <w:spacing w:val="-3"/>
          <w:sz w:val="18"/>
          <w:vertAlign w:val="baseline"/>
        </w:rPr>
        <w:t> </w:t>
      </w:r>
      <w:r>
        <w:rPr>
          <w:sz w:val="18"/>
          <w:vertAlign w:val="baseline"/>
        </w:rPr>
        <w:t>(LGBTQ)</w:t>
      </w:r>
      <w:r>
        <w:rPr>
          <w:spacing w:val="-3"/>
          <w:sz w:val="18"/>
          <w:vertAlign w:val="baseline"/>
        </w:rPr>
        <w:t> </w:t>
      </w:r>
      <w:r>
        <w:rPr>
          <w:sz w:val="18"/>
          <w:vertAlign w:val="baseline"/>
        </w:rPr>
        <w:t>Students.</w:t>
      </w:r>
      <w:r>
        <w:rPr>
          <w:spacing w:val="-3"/>
          <w:sz w:val="18"/>
          <w:vertAlign w:val="baseline"/>
        </w:rPr>
        <w:t> </w:t>
      </w:r>
      <w:r>
        <w:rPr>
          <w:sz w:val="18"/>
          <w:vertAlign w:val="baseline"/>
        </w:rPr>
        <w:t>Accessed</w:t>
      </w:r>
      <w:r>
        <w:rPr>
          <w:spacing w:val="-3"/>
          <w:sz w:val="18"/>
          <w:vertAlign w:val="baseline"/>
        </w:rPr>
        <w:t> </w:t>
      </w:r>
      <w:r>
        <w:rPr>
          <w:sz w:val="18"/>
          <w:vertAlign w:val="baseline"/>
        </w:rPr>
        <w:t>May</w:t>
      </w:r>
      <w:r>
        <w:rPr>
          <w:spacing w:val="-3"/>
          <w:sz w:val="18"/>
          <w:vertAlign w:val="baseline"/>
        </w:rPr>
        <w:t> </w:t>
      </w:r>
      <w:r>
        <w:rPr>
          <w:sz w:val="18"/>
          <w:vertAlign w:val="baseline"/>
        </w:rPr>
        <w:t>2, </w:t>
      </w:r>
      <w:r>
        <w:rPr>
          <w:spacing w:val="-2"/>
          <w:sz w:val="18"/>
          <w:vertAlign w:val="baseline"/>
        </w:rPr>
        <w:t>2024.</w:t>
      </w:r>
    </w:p>
    <w:p>
      <w:pPr>
        <w:spacing w:before="1"/>
        <w:ind w:left="464" w:right="565" w:hanging="1"/>
        <w:jc w:val="left"/>
        <w:rPr>
          <w:sz w:val="18"/>
        </w:rPr>
      </w:pPr>
      <w:bookmarkStart w:name="_bookmark41" w:id="151"/>
      <w:bookmarkEnd w:id="151"/>
      <w:r>
        <w:rPr/>
      </w:r>
      <w:r>
        <w:rPr>
          <w:sz w:val="18"/>
          <w:vertAlign w:val="superscript"/>
        </w:rPr>
        <w:t>2</w:t>
      </w:r>
      <w:r>
        <w:rPr>
          <w:spacing w:val="-2"/>
          <w:sz w:val="18"/>
          <w:vertAlign w:val="baseline"/>
        </w:rPr>
        <w:t> </w:t>
      </w:r>
      <w:r>
        <w:rPr>
          <w:sz w:val="18"/>
          <w:vertAlign w:val="baseline"/>
        </w:rPr>
        <w:t>Seelman,</w:t>
      </w:r>
      <w:r>
        <w:rPr>
          <w:spacing w:val="-3"/>
          <w:sz w:val="18"/>
          <w:vertAlign w:val="baseline"/>
        </w:rPr>
        <w:t> </w:t>
      </w:r>
      <w:r>
        <w:rPr>
          <w:sz w:val="18"/>
          <w:vertAlign w:val="baseline"/>
        </w:rPr>
        <w:t>K.</w:t>
      </w:r>
      <w:r>
        <w:rPr>
          <w:spacing w:val="-2"/>
          <w:sz w:val="18"/>
          <w:vertAlign w:val="baseline"/>
        </w:rPr>
        <w:t> </w:t>
      </w:r>
      <w:r>
        <w:rPr>
          <w:sz w:val="18"/>
          <w:vertAlign w:val="baseline"/>
        </w:rPr>
        <w:t>L.,</w:t>
      </w:r>
      <w:r>
        <w:rPr>
          <w:spacing w:val="-4"/>
          <w:sz w:val="18"/>
          <w:vertAlign w:val="baseline"/>
        </w:rPr>
        <w:t> </w:t>
      </w:r>
      <w:r>
        <w:rPr>
          <w:sz w:val="18"/>
          <w:vertAlign w:val="baseline"/>
        </w:rPr>
        <w:t>&amp;</w:t>
      </w:r>
      <w:r>
        <w:rPr>
          <w:spacing w:val="-3"/>
          <w:sz w:val="18"/>
          <w:vertAlign w:val="baseline"/>
        </w:rPr>
        <w:t> </w:t>
      </w:r>
      <w:r>
        <w:rPr>
          <w:sz w:val="18"/>
          <w:vertAlign w:val="baseline"/>
        </w:rPr>
        <w:t>Walker,</w:t>
      </w:r>
      <w:r>
        <w:rPr>
          <w:spacing w:val="-2"/>
          <w:sz w:val="18"/>
          <w:vertAlign w:val="baseline"/>
        </w:rPr>
        <w:t> </w:t>
      </w:r>
      <w:r>
        <w:rPr>
          <w:sz w:val="18"/>
          <w:vertAlign w:val="baseline"/>
        </w:rPr>
        <w:t>M.</w:t>
      </w:r>
      <w:r>
        <w:rPr>
          <w:spacing w:val="-2"/>
          <w:sz w:val="18"/>
          <w:vertAlign w:val="baseline"/>
        </w:rPr>
        <w:t> </w:t>
      </w:r>
      <w:r>
        <w:rPr>
          <w:sz w:val="18"/>
          <w:vertAlign w:val="baseline"/>
        </w:rPr>
        <w:t>B.</w:t>
      </w:r>
      <w:r>
        <w:rPr>
          <w:spacing w:val="-2"/>
          <w:sz w:val="18"/>
          <w:vertAlign w:val="baseline"/>
        </w:rPr>
        <w:t> </w:t>
      </w:r>
      <w:r>
        <w:rPr>
          <w:sz w:val="18"/>
          <w:vertAlign w:val="baseline"/>
        </w:rPr>
        <w:t>(2018).</w:t>
      </w:r>
      <w:r>
        <w:rPr>
          <w:spacing w:val="-2"/>
          <w:sz w:val="18"/>
          <w:vertAlign w:val="baseline"/>
        </w:rPr>
        <w:t> </w:t>
      </w:r>
      <w:r>
        <w:rPr>
          <w:sz w:val="18"/>
          <w:vertAlign w:val="baseline"/>
        </w:rPr>
        <w:t>Do</w:t>
      </w:r>
      <w:r>
        <w:rPr>
          <w:spacing w:val="-2"/>
          <w:sz w:val="18"/>
          <w:vertAlign w:val="baseline"/>
        </w:rPr>
        <w:t> </w:t>
      </w:r>
      <w:r>
        <w:rPr>
          <w:sz w:val="18"/>
          <w:vertAlign w:val="baseline"/>
        </w:rPr>
        <w:t>anti-bullying</w:t>
      </w:r>
      <w:r>
        <w:rPr>
          <w:spacing w:val="-2"/>
          <w:sz w:val="18"/>
          <w:vertAlign w:val="baseline"/>
        </w:rPr>
        <w:t> </w:t>
      </w:r>
      <w:r>
        <w:rPr>
          <w:sz w:val="18"/>
          <w:vertAlign w:val="baseline"/>
        </w:rPr>
        <w:t>laws</w:t>
      </w:r>
      <w:r>
        <w:rPr>
          <w:spacing w:val="-2"/>
          <w:sz w:val="18"/>
          <w:vertAlign w:val="baseline"/>
        </w:rPr>
        <w:t> </w:t>
      </w:r>
      <w:r>
        <w:rPr>
          <w:sz w:val="18"/>
          <w:vertAlign w:val="baseline"/>
        </w:rPr>
        <w:t>reduce</w:t>
      </w:r>
      <w:r>
        <w:rPr>
          <w:spacing w:val="-2"/>
          <w:sz w:val="18"/>
          <w:vertAlign w:val="baseline"/>
        </w:rPr>
        <w:t> </w:t>
      </w:r>
      <w:r>
        <w:rPr>
          <w:sz w:val="18"/>
          <w:vertAlign w:val="baseline"/>
        </w:rPr>
        <w:t>in-school</w:t>
      </w:r>
      <w:r>
        <w:rPr>
          <w:spacing w:val="-3"/>
          <w:sz w:val="18"/>
          <w:vertAlign w:val="baseline"/>
        </w:rPr>
        <w:t> </w:t>
      </w:r>
      <w:r>
        <w:rPr>
          <w:sz w:val="18"/>
          <w:vertAlign w:val="baseline"/>
        </w:rPr>
        <w:t>victimization,</w:t>
      </w:r>
      <w:r>
        <w:rPr>
          <w:spacing w:val="-3"/>
          <w:sz w:val="18"/>
          <w:vertAlign w:val="baseline"/>
        </w:rPr>
        <w:t> </w:t>
      </w:r>
      <w:r>
        <w:rPr>
          <w:sz w:val="18"/>
          <w:vertAlign w:val="baseline"/>
        </w:rPr>
        <w:t>fear-based</w:t>
      </w:r>
      <w:r>
        <w:rPr>
          <w:spacing w:val="-3"/>
          <w:sz w:val="18"/>
          <w:vertAlign w:val="baseline"/>
        </w:rPr>
        <w:t> </w:t>
      </w:r>
      <w:r>
        <w:rPr>
          <w:sz w:val="18"/>
          <w:vertAlign w:val="baseline"/>
        </w:rPr>
        <w:t>absenteeism,</w:t>
      </w:r>
      <w:r>
        <w:rPr>
          <w:spacing w:val="-3"/>
          <w:sz w:val="18"/>
          <w:vertAlign w:val="baseline"/>
        </w:rPr>
        <w:t> </w:t>
      </w:r>
      <w:r>
        <w:rPr>
          <w:sz w:val="18"/>
          <w:vertAlign w:val="baseline"/>
        </w:rPr>
        <w:t>and suicidality for lesbian, gay, bisexual, and questioning youth? </w:t>
      </w:r>
      <w:r>
        <w:rPr>
          <w:i/>
          <w:sz w:val="18"/>
          <w:vertAlign w:val="baseline"/>
        </w:rPr>
        <w:t>Journal of Youth and Adolescence, 47</w:t>
      </w:r>
      <w:r>
        <w:rPr>
          <w:sz w:val="18"/>
          <w:vertAlign w:val="baseline"/>
        </w:rPr>
        <w:t>, 2301-2319. </w:t>
      </w:r>
      <w:r>
        <w:rPr>
          <w:spacing w:val="-2"/>
          <w:sz w:val="18"/>
          <w:vertAlign w:val="baseline"/>
        </w:rPr>
        <w:t>https://doi.org/10.1007/s10964-018-0904-8</w:t>
      </w:r>
    </w:p>
    <w:p>
      <w:pPr>
        <w:spacing w:before="0"/>
        <w:ind w:left="464" w:right="565" w:hanging="1"/>
        <w:jc w:val="left"/>
        <w:rPr>
          <w:sz w:val="18"/>
        </w:rPr>
      </w:pPr>
      <w:bookmarkStart w:name="_bookmark42" w:id="152"/>
      <w:bookmarkEnd w:id="152"/>
      <w:r>
        <w:rPr/>
      </w:r>
      <w:r>
        <w:rPr>
          <w:sz w:val="18"/>
          <w:vertAlign w:val="superscript"/>
        </w:rPr>
        <w:t>3</w:t>
      </w:r>
      <w:r>
        <w:rPr>
          <w:spacing w:val="-2"/>
          <w:sz w:val="18"/>
          <w:vertAlign w:val="baseline"/>
        </w:rPr>
        <w:t> </w:t>
      </w:r>
      <w:r>
        <w:rPr>
          <w:sz w:val="18"/>
          <w:vertAlign w:val="baseline"/>
        </w:rPr>
        <w:t>Day,</w:t>
      </w:r>
      <w:r>
        <w:rPr>
          <w:spacing w:val="-3"/>
          <w:sz w:val="18"/>
          <w:vertAlign w:val="baseline"/>
        </w:rPr>
        <w:t> </w:t>
      </w:r>
      <w:r>
        <w:rPr>
          <w:sz w:val="18"/>
          <w:vertAlign w:val="baseline"/>
        </w:rPr>
        <w:t>J.</w:t>
      </w:r>
      <w:r>
        <w:rPr>
          <w:spacing w:val="-2"/>
          <w:sz w:val="18"/>
          <w:vertAlign w:val="baseline"/>
        </w:rPr>
        <w:t> </w:t>
      </w:r>
      <w:r>
        <w:rPr>
          <w:sz w:val="18"/>
          <w:vertAlign w:val="baseline"/>
        </w:rPr>
        <w:t>K.,</w:t>
      </w:r>
      <w:r>
        <w:rPr>
          <w:spacing w:val="-3"/>
          <w:sz w:val="18"/>
          <w:vertAlign w:val="baseline"/>
        </w:rPr>
        <w:t> </w:t>
      </w:r>
      <w:r>
        <w:rPr>
          <w:sz w:val="18"/>
          <w:vertAlign w:val="baseline"/>
        </w:rPr>
        <w:t>Fish,</w:t>
      </w:r>
      <w:r>
        <w:rPr>
          <w:spacing w:val="-3"/>
          <w:sz w:val="18"/>
          <w:vertAlign w:val="baseline"/>
        </w:rPr>
        <w:t> </w:t>
      </w:r>
      <w:r>
        <w:rPr>
          <w:sz w:val="18"/>
          <w:vertAlign w:val="baseline"/>
        </w:rPr>
        <w:t>J.</w:t>
      </w:r>
      <w:r>
        <w:rPr>
          <w:spacing w:val="-2"/>
          <w:sz w:val="18"/>
          <w:vertAlign w:val="baseline"/>
        </w:rPr>
        <w:t> </w:t>
      </w:r>
      <w:r>
        <w:rPr>
          <w:sz w:val="18"/>
          <w:vertAlign w:val="baseline"/>
        </w:rPr>
        <w:t>N.,</w:t>
      </w:r>
      <w:r>
        <w:rPr>
          <w:spacing w:val="-3"/>
          <w:sz w:val="18"/>
          <w:vertAlign w:val="baseline"/>
        </w:rPr>
        <w:t> </w:t>
      </w:r>
      <w:r>
        <w:rPr>
          <w:sz w:val="18"/>
          <w:vertAlign w:val="baseline"/>
        </w:rPr>
        <w:t>Grossman,</w:t>
      </w:r>
      <w:r>
        <w:rPr>
          <w:spacing w:val="-4"/>
          <w:sz w:val="18"/>
          <w:vertAlign w:val="baseline"/>
        </w:rPr>
        <w:t> </w:t>
      </w:r>
      <w:r>
        <w:rPr>
          <w:sz w:val="18"/>
          <w:vertAlign w:val="baseline"/>
        </w:rPr>
        <w:t>A.</w:t>
      </w:r>
      <w:r>
        <w:rPr>
          <w:spacing w:val="-2"/>
          <w:sz w:val="18"/>
          <w:vertAlign w:val="baseline"/>
        </w:rPr>
        <w:t> </w:t>
      </w:r>
      <w:r>
        <w:rPr>
          <w:sz w:val="18"/>
          <w:vertAlign w:val="baseline"/>
        </w:rPr>
        <w:t>H.,</w:t>
      </w:r>
      <w:r>
        <w:rPr>
          <w:spacing w:val="-3"/>
          <w:sz w:val="18"/>
          <w:vertAlign w:val="baseline"/>
        </w:rPr>
        <w:t> </w:t>
      </w:r>
      <w:r>
        <w:rPr>
          <w:sz w:val="18"/>
          <w:vertAlign w:val="baseline"/>
        </w:rPr>
        <w:t>&amp;</w:t>
      </w:r>
      <w:r>
        <w:rPr>
          <w:spacing w:val="-3"/>
          <w:sz w:val="18"/>
          <w:vertAlign w:val="baseline"/>
        </w:rPr>
        <w:t> </w:t>
      </w:r>
      <w:r>
        <w:rPr>
          <w:sz w:val="18"/>
          <w:vertAlign w:val="baseline"/>
        </w:rPr>
        <w:t>Russell,</w:t>
      </w:r>
      <w:r>
        <w:rPr>
          <w:spacing w:val="-2"/>
          <w:sz w:val="18"/>
          <w:vertAlign w:val="baseline"/>
        </w:rPr>
        <w:t> </w:t>
      </w:r>
      <w:r>
        <w:rPr>
          <w:sz w:val="18"/>
          <w:vertAlign w:val="baseline"/>
        </w:rPr>
        <w:t>S.</w:t>
      </w:r>
      <w:r>
        <w:rPr>
          <w:spacing w:val="-2"/>
          <w:sz w:val="18"/>
          <w:vertAlign w:val="baseline"/>
        </w:rPr>
        <w:t> </w:t>
      </w:r>
      <w:r>
        <w:rPr>
          <w:sz w:val="18"/>
          <w:vertAlign w:val="baseline"/>
        </w:rPr>
        <w:t>T.</w:t>
      </w:r>
      <w:r>
        <w:rPr>
          <w:spacing w:val="-2"/>
          <w:sz w:val="18"/>
          <w:vertAlign w:val="baseline"/>
        </w:rPr>
        <w:t> </w:t>
      </w:r>
      <w:r>
        <w:rPr>
          <w:sz w:val="18"/>
          <w:vertAlign w:val="baseline"/>
        </w:rPr>
        <w:t>(2020).</w:t>
      </w:r>
      <w:r>
        <w:rPr>
          <w:spacing w:val="-2"/>
          <w:sz w:val="18"/>
          <w:vertAlign w:val="baseline"/>
        </w:rPr>
        <w:t> </w:t>
      </w:r>
      <w:r>
        <w:rPr>
          <w:sz w:val="18"/>
          <w:vertAlign w:val="baseline"/>
        </w:rPr>
        <w:t>Gay-straight</w:t>
      </w:r>
      <w:r>
        <w:rPr>
          <w:spacing w:val="-3"/>
          <w:sz w:val="18"/>
          <w:vertAlign w:val="baseline"/>
        </w:rPr>
        <w:t> </w:t>
      </w:r>
      <w:r>
        <w:rPr>
          <w:sz w:val="18"/>
          <w:vertAlign w:val="baseline"/>
        </w:rPr>
        <w:t>alliances,</w:t>
      </w:r>
      <w:r>
        <w:rPr>
          <w:spacing w:val="-3"/>
          <w:sz w:val="18"/>
          <w:vertAlign w:val="baseline"/>
        </w:rPr>
        <w:t> </w:t>
      </w:r>
      <w:r>
        <w:rPr>
          <w:sz w:val="18"/>
          <w:vertAlign w:val="baseline"/>
        </w:rPr>
        <w:t>inclusive</w:t>
      </w:r>
      <w:r>
        <w:rPr>
          <w:spacing w:val="-2"/>
          <w:sz w:val="18"/>
          <w:vertAlign w:val="baseline"/>
        </w:rPr>
        <w:t> </w:t>
      </w:r>
      <w:r>
        <w:rPr>
          <w:sz w:val="18"/>
          <w:vertAlign w:val="baseline"/>
        </w:rPr>
        <w:t>policy,</w:t>
      </w:r>
      <w:r>
        <w:rPr>
          <w:spacing w:val="-3"/>
          <w:sz w:val="18"/>
          <w:vertAlign w:val="baseline"/>
        </w:rPr>
        <w:t> </w:t>
      </w:r>
      <w:r>
        <w:rPr>
          <w:sz w:val="18"/>
          <w:vertAlign w:val="baseline"/>
        </w:rPr>
        <w:t>and</w:t>
      </w:r>
      <w:r>
        <w:rPr>
          <w:spacing w:val="-2"/>
          <w:sz w:val="18"/>
          <w:vertAlign w:val="baseline"/>
        </w:rPr>
        <w:t> </w:t>
      </w:r>
      <w:r>
        <w:rPr>
          <w:sz w:val="18"/>
          <w:vertAlign w:val="baseline"/>
        </w:rPr>
        <w:t>school</w:t>
      </w:r>
      <w:r>
        <w:rPr>
          <w:spacing w:val="-3"/>
          <w:sz w:val="18"/>
          <w:vertAlign w:val="baseline"/>
        </w:rPr>
        <w:t> </w:t>
      </w:r>
      <w:r>
        <w:rPr>
          <w:sz w:val="18"/>
          <w:vertAlign w:val="baseline"/>
        </w:rPr>
        <w:t>climate: LGBTQ youths’ experiences of social support and bullying. </w:t>
      </w:r>
      <w:r>
        <w:rPr>
          <w:i/>
          <w:sz w:val="18"/>
          <w:vertAlign w:val="baseline"/>
        </w:rPr>
        <w:t>Journal of Research on Adolescence</w:t>
      </w:r>
      <w:r>
        <w:rPr>
          <w:sz w:val="18"/>
          <w:vertAlign w:val="baseline"/>
        </w:rPr>
        <w:t>, </w:t>
      </w:r>
      <w:r>
        <w:rPr>
          <w:i/>
          <w:sz w:val="18"/>
          <w:vertAlign w:val="baseline"/>
        </w:rPr>
        <w:t>30</w:t>
      </w:r>
      <w:r>
        <w:rPr>
          <w:sz w:val="18"/>
          <w:vertAlign w:val="baseline"/>
        </w:rPr>
        <w:t>(S2), 418–430. </w:t>
      </w:r>
      <w:r>
        <w:rPr>
          <w:spacing w:val="-2"/>
          <w:sz w:val="18"/>
          <w:vertAlign w:val="baseline"/>
        </w:rPr>
        <w:t>https://doi.org/10.1111/jora.12487</w:t>
      </w:r>
    </w:p>
    <w:p>
      <w:pPr>
        <w:spacing w:before="0"/>
        <w:ind w:left="464" w:right="3416" w:firstLine="0"/>
        <w:jc w:val="left"/>
        <w:rPr>
          <w:sz w:val="18"/>
        </w:rPr>
      </w:pPr>
      <w:bookmarkStart w:name="_bookmark43" w:id="153"/>
      <w:bookmarkEnd w:id="153"/>
      <w:r>
        <w:rPr/>
      </w:r>
      <w:r>
        <w:rPr>
          <w:sz w:val="18"/>
          <w:vertAlign w:val="superscript"/>
        </w:rPr>
        <w:t>4</w:t>
      </w:r>
      <w:r>
        <w:rPr>
          <w:spacing w:val="-3"/>
          <w:sz w:val="18"/>
          <w:vertAlign w:val="baseline"/>
        </w:rPr>
        <w:t> </w:t>
      </w:r>
      <w:r>
        <w:rPr>
          <w:sz w:val="18"/>
          <w:vertAlign w:val="baseline"/>
        </w:rPr>
        <w:t>GLSEN,</w:t>
      </w:r>
      <w:r>
        <w:rPr>
          <w:spacing w:val="-4"/>
          <w:sz w:val="18"/>
          <w:vertAlign w:val="baseline"/>
        </w:rPr>
        <w:t> </w:t>
      </w:r>
      <w:r>
        <w:rPr>
          <w:sz w:val="18"/>
          <w:vertAlign w:val="baseline"/>
        </w:rPr>
        <w:t>“The</w:t>
      </w:r>
      <w:r>
        <w:rPr>
          <w:spacing w:val="-3"/>
          <w:sz w:val="18"/>
          <w:vertAlign w:val="baseline"/>
        </w:rPr>
        <w:t> </w:t>
      </w:r>
      <w:r>
        <w:rPr>
          <w:sz w:val="18"/>
          <w:vertAlign w:val="baseline"/>
        </w:rPr>
        <w:t>2021</w:t>
      </w:r>
      <w:r>
        <w:rPr>
          <w:spacing w:val="-3"/>
          <w:sz w:val="18"/>
          <w:vertAlign w:val="baseline"/>
        </w:rPr>
        <w:t> </w:t>
      </w:r>
      <w:r>
        <w:rPr>
          <w:sz w:val="18"/>
          <w:vertAlign w:val="baseline"/>
        </w:rPr>
        <w:t>National</w:t>
      </w:r>
      <w:r>
        <w:rPr>
          <w:spacing w:val="-4"/>
          <w:sz w:val="18"/>
          <w:vertAlign w:val="baseline"/>
        </w:rPr>
        <w:t> </w:t>
      </w:r>
      <w:r>
        <w:rPr>
          <w:sz w:val="18"/>
          <w:vertAlign w:val="baseline"/>
        </w:rPr>
        <w:t>School</w:t>
      </w:r>
      <w:r>
        <w:rPr>
          <w:spacing w:val="-4"/>
          <w:sz w:val="18"/>
          <w:vertAlign w:val="baseline"/>
        </w:rPr>
        <w:t> </w:t>
      </w:r>
      <w:r>
        <w:rPr>
          <w:sz w:val="18"/>
          <w:vertAlign w:val="baseline"/>
        </w:rPr>
        <w:t>Climate</w:t>
      </w:r>
      <w:r>
        <w:rPr>
          <w:spacing w:val="-3"/>
          <w:sz w:val="18"/>
          <w:vertAlign w:val="baseline"/>
        </w:rPr>
        <w:t> </w:t>
      </w:r>
      <w:r>
        <w:rPr>
          <w:sz w:val="18"/>
          <w:vertAlign w:val="baseline"/>
        </w:rPr>
        <w:t>Survey,”</w:t>
      </w:r>
      <w:r>
        <w:rPr>
          <w:spacing w:val="-3"/>
          <w:sz w:val="18"/>
          <w:vertAlign w:val="baseline"/>
        </w:rPr>
        <w:t> </w:t>
      </w:r>
      <w:r>
        <w:rPr>
          <w:sz w:val="18"/>
          <w:vertAlign w:val="baseline"/>
        </w:rPr>
        <w:t>GLSEN,</w:t>
      </w:r>
      <w:r>
        <w:rPr>
          <w:spacing w:val="-4"/>
          <w:sz w:val="18"/>
          <w:vertAlign w:val="baseline"/>
        </w:rPr>
        <w:t> </w:t>
      </w:r>
      <w:r>
        <w:rPr>
          <w:sz w:val="18"/>
          <w:vertAlign w:val="baseline"/>
        </w:rPr>
        <w:t>accessed</w:t>
      </w:r>
      <w:r>
        <w:rPr>
          <w:spacing w:val="-3"/>
          <w:sz w:val="18"/>
          <w:vertAlign w:val="baseline"/>
        </w:rPr>
        <w:t> </w:t>
      </w:r>
      <w:r>
        <w:rPr>
          <w:sz w:val="18"/>
          <w:vertAlign w:val="baseline"/>
        </w:rPr>
        <w:t>May</w:t>
      </w:r>
      <w:r>
        <w:rPr>
          <w:spacing w:val="-3"/>
          <w:sz w:val="18"/>
          <w:vertAlign w:val="baseline"/>
        </w:rPr>
        <w:t> </w:t>
      </w:r>
      <w:r>
        <w:rPr>
          <w:sz w:val="18"/>
          <w:vertAlign w:val="baseline"/>
        </w:rPr>
        <w:t>1,</w:t>
      </w:r>
      <w:r>
        <w:rPr>
          <w:spacing w:val="-4"/>
          <w:sz w:val="18"/>
          <w:vertAlign w:val="baseline"/>
        </w:rPr>
        <w:t> </w:t>
      </w:r>
      <w:r>
        <w:rPr>
          <w:sz w:val="18"/>
          <w:vertAlign w:val="baseline"/>
        </w:rPr>
        <w:t>2024 </w:t>
      </w:r>
      <w:r>
        <w:rPr>
          <w:spacing w:val="-2"/>
          <w:sz w:val="18"/>
          <w:vertAlign w:val="baseline"/>
        </w:rPr>
        <w:t>https://</w:t>
      </w:r>
      <w:hyperlink r:id="rId108">
        <w:r>
          <w:rPr>
            <w:spacing w:val="-2"/>
            <w:sz w:val="18"/>
            <w:vertAlign w:val="baseline"/>
          </w:rPr>
          <w:t>www.glsen.org/sites/default/files/2022-10/NSCS-2021-Full-Report.pdf</w:t>
        </w:r>
      </w:hyperlink>
    </w:p>
    <w:p>
      <w:pPr>
        <w:spacing w:after="0"/>
        <w:jc w:val="left"/>
        <w:rPr>
          <w:sz w:val="18"/>
        </w:rPr>
        <w:sectPr>
          <w:pgSz w:w="12240" w:h="15840"/>
          <w:pgMar w:header="763" w:footer="1041" w:top="1140" w:bottom="1240" w:left="1120" w:right="1180"/>
        </w:sectPr>
      </w:pPr>
    </w:p>
    <w:p>
      <w:pPr>
        <w:pStyle w:val="BodyText"/>
        <w:spacing w:before="92"/>
        <w:rPr>
          <w:sz w:val="18"/>
        </w:rPr>
      </w:pPr>
    </w:p>
    <w:p>
      <w:pPr>
        <w:spacing w:before="0"/>
        <w:ind w:left="464" w:right="565" w:firstLine="0"/>
        <w:jc w:val="left"/>
        <w:rPr>
          <w:sz w:val="18"/>
        </w:rPr>
      </w:pPr>
      <w:bookmarkStart w:name="_bookmark44" w:id="154"/>
      <w:bookmarkEnd w:id="154"/>
      <w:r>
        <w:rPr/>
      </w:r>
      <w:r>
        <w:rPr>
          <w:sz w:val="18"/>
          <w:vertAlign w:val="superscript"/>
        </w:rPr>
        <w:t>5</w:t>
      </w:r>
      <w:r>
        <w:rPr>
          <w:spacing w:val="-3"/>
          <w:sz w:val="18"/>
          <w:vertAlign w:val="baseline"/>
        </w:rPr>
        <w:t> </w:t>
      </w:r>
      <w:r>
        <w:rPr>
          <w:sz w:val="18"/>
          <w:vertAlign w:val="baseline"/>
        </w:rPr>
        <w:t>Massachusetts</w:t>
      </w:r>
      <w:r>
        <w:rPr>
          <w:spacing w:val="-4"/>
          <w:sz w:val="18"/>
          <w:vertAlign w:val="baseline"/>
        </w:rPr>
        <w:t> </w:t>
      </w:r>
      <w:r>
        <w:rPr>
          <w:sz w:val="18"/>
          <w:vertAlign w:val="baseline"/>
        </w:rPr>
        <w:t>Department</w:t>
      </w:r>
      <w:r>
        <w:rPr>
          <w:spacing w:val="-4"/>
          <w:sz w:val="18"/>
          <w:vertAlign w:val="baseline"/>
        </w:rPr>
        <w:t> </w:t>
      </w:r>
      <w:r>
        <w:rPr>
          <w:sz w:val="18"/>
          <w:vertAlign w:val="baseline"/>
        </w:rPr>
        <w:t>of</w:t>
      </w:r>
      <w:r>
        <w:rPr>
          <w:spacing w:val="-3"/>
          <w:sz w:val="18"/>
          <w:vertAlign w:val="baseline"/>
        </w:rPr>
        <w:t> </w:t>
      </w:r>
      <w:r>
        <w:rPr>
          <w:sz w:val="18"/>
          <w:vertAlign w:val="baseline"/>
        </w:rPr>
        <w:t>Elementary</w:t>
      </w:r>
      <w:r>
        <w:rPr>
          <w:spacing w:val="-3"/>
          <w:sz w:val="18"/>
          <w:vertAlign w:val="baseline"/>
        </w:rPr>
        <w:t> </w:t>
      </w:r>
      <w:r>
        <w:rPr>
          <w:sz w:val="18"/>
          <w:vertAlign w:val="baseline"/>
        </w:rPr>
        <w:t>and</w:t>
      </w:r>
      <w:r>
        <w:rPr>
          <w:spacing w:val="-3"/>
          <w:sz w:val="18"/>
          <w:vertAlign w:val="baseline"/>
        </w:rPr>
        <w:t> </w:t>
      </w:r>
      <w:r>
        <w:rPr>
          <w:sz w:val="18"/>
          <w:vertAlign w:val="baseline"/>
        </w:rPr>
        <w:t>Secondary</w:t>
      </w:r>
      <w:r>
        <w:rPr>
          <w:spacing w:val="-3"/>
          <w:sz w:val="18"/>
          <w:vertAlign w:val="baseline"/>
        </w:rPr>
        <w:t> </w:t>
      </w:r>
      <w:r>
        <w:rPr>
          <w:sz w:val="18"/>
          <w:vertAlign w:val="baseline"/>
        </w:rPr>
        <w:t>Education.</w:t>
      </w:r>
      <w:r>
        <w:rPr>
          <w:spacing w:val="-3"/>
          <w:sz w:val="18"/>
          <w:vertAlign w:val="baseline"/>
        </w:rPr>
        <w:t> </w:t>
      </w:r>
      <w:r>
        <w:rPr>
          <w:sz w:val="18"/>
          <w:vertAlign w:val="baseline"/>
        </w:rPr>
        <w:t>(2014).</w:t>
      </w:r>
      <w:r>
        <w:rPr>
          <w:spacing w:val="-3"/>
          <w:sz w:val="18"/>
          <w:vertAlign w:val="baseline"/>
        </w:rPr>
        <w:t> </w:t>
      </w:r>
      <w:r>
        <w:rPr>
          <w:color w:val="212121"/>
          <w:sz w:val="18"/>
          <w:vertAlign w:val="baseline"/>
        </w:rPr>
        <w:t>Information</w:t>
      </w:r>
      <w:r>
        <w:rPr>
          <w:color w:val="212121"/>
          <w:spacing w:val="-3"/>
          <w:sz w:val="18"/>
          <w:vertAlign w:val="baseline"/>
        </w:rPr>
        <w:t> </w:t>
      </w:r>
      <w:r>
        <w:rPr>
          <w:color w:val="212121"/>
          <w:sz w:val="18"/>
          <w:vertAlign w:val="baseline"/>
        </w:rPr>
        <w:t>on</w:t>
      </w:r>
      <w:r>
        <w:rPr>
          <w:color w:val="212121"/>
          <w:spacing w:val="-3"/>
          <w:sz w:val="18"/>
          <w:vertAlign w:val="baseline"/>
        </w:rPr>
        <w:t> </w:t>
      </w:r>
      <w:r>
        <w:rPr>
          <w:color w:val="212121"/>
          <w:sz w:val="18"/>
          <w:vertAlign w:val="baseline"/>
        </w:rPr>
        <w:t>State</w:t>
      </w:r>
      <w:r>
        <w:rPr>
          <w:color w:val="212121"/>
          <w:spacing w:val="-3"/>
          <w:sz w:val="18"/>
          <w:vertAlign w:val="baseline"/>
        </w:rPr>
        <w:t> </w:t>
      </w:r>
      <w:r>
        <w:rPr>
          <w:color w:val="212121"/>
          <w:sz w:val="18"/>
          <w:vertAlign w:val="baseline"/>
        </w:rPr>
        <w:t>Laws</w:t>
      </w:r>
      <w:r>
        <w:rPr>
          <w:color w:val="212121"/>
          <w:spacing w:val="-3"/>
          <w:sz w:val="18"/>
          <w:vertAlign w:val="baseline"/>
        </w:rPr>
        <w:t> </w:t>
      </w:r>
      <w:r>
        <w:rPr>
          <w:color w:val="212121"/>
          <w:sz w:val="18"/>
          <w:vertAlign w:val="baseline"/>
        </w:rPr>
        <w:t>and</w:t>
      </w:r>
      <w:r>
        <w:rPr>
          <w:color w:val="212121"/>
          <w:spacing w:val="-4"/>
          <w:sz w:val="18"/>
          <w:vertAlign w:val="baseline"/>
        </w:rPr>
        <w:t> </w:t>
      </w:r>
      <w:r>
        <w:rPr>
          <w:color w:val="212121"/>
          <w:sz w:val="18"/>
          <w:vertAlign w:val="baseline"/>
        </w:rPr>
        <w:t>Policies Regarding LGBTQ Students and the Amended Massachusetts Anti-Bullying Law, accessed May 1, 2024. </w:t>
      </w:r>
      <w:r>
        <w:rPr>
          <w:color w:val="212121"/>
          <w:spacing w:val="-2"/>
          <w:sz w:val="18"/>
          <w:vertAlign w:val="baseline"/>
        </w:rPr>
        <w:t>https:</w:t>
      </w:r>
      <w:hyperlink r:id="rId109">
        <w:r>
          <w:rPr>
            <w:color w:val="212121"/>
            <w:spacing w:val="-2"/>
            <w:sz w:val="18"/>
            <w:vertAlign w:val="baseline"/>
          </w:rPr>
          <w:t>//www.doe.mass.edu/sfs/lgbtq/LawsInfo.html</w:t>
        </w:r>
      </w:hyperlink>
    </w:p>
    <w:p>
      <w:pPr>
        <w:spacing w:before="0"/>
        <w:ind w:left="464" w:right="413" w:hanging="1"/>
        <w:jc w:val="left"/>
        <w:rPr>
          <w:sz w:val="18"/>
        </w:rPr>
      </w:pPr>
      <w:bookmarkStart w:name="_bookmark45" w:id="155"/>
      <w:bookmarkEnd w:id="155"/>
      <w:r>
        <w:rPr/>
      </w:r>
      <w:r>
        <w:rPr>
          <w:sz w:val="18"/>
          <w:vertAlign w:val="superscript"/>
        </w:rPr>
        <w:t>6</w:t>
      </w:r>
      <w:r>
        <w:rPr>
          <w:sz w:val="18"/>
          <w:vertAlign w:val="baseline"/>
        </w:rPr>
        <w:t> Cruz, T. H., Ross-Reed, D. E., Fitzgerald, C. A., Overton, K., Landrau, E., &amp; Schiff, M. (2023). Effects of school policies and programs</w:t>
      </w:r>
      <w:r>
        <w:rPr>
          <w:spacing w:val="-2"/>
          <w:sz w:val="18"/>
          <w:vertAlign w:val="baseline"/>
        </w:rPr>
        <w:t> </w:t>
      </w:r>
      <w:r>
        <w:rPr>
          <w:sz w:val="18"/>
          <w:vertAlign w:val="baseline"/>
        </w:rPr>
        <w:t>on</w:t>
      </w:r>
      <w:r>
        <w:rPr>
          <w:spacing w:val="-2"/>
          <w:sz w:val="18"/>
          <w:vertAlign w:val="baseline"/>
        </w:rPr>
        <w:t> </w:t>
      </w:r>
      <w:r>
        <w:rPr>
          <w:sz w:val="18"/>
          <w:vertAlign w:val="baseline"/>
        </w:rPr>
        <w:t>violence</w:t>
      </w:r>
      <w:r>
        <w:rPr>
          <w:spacing w:val="-2"/>
          <w:sz w:val="18"/>
          <w:vertAlign w:val="baseline"/>
        </w:rPr>
        <w:t> </w:t>
      </w:r>
      <w:r>
        <w:rPr>
          <w:sz w:val="18"/>
          <w:vertAlign w:val="baseline"/>
        </w:rPr>
        <w:t>among</w:t>
      </w:r>
      <w:r>
        <w:rPr>
          <w:spacing w:val="-2"/>
          <w:sz w:val="18"/>
          <w:vertAlign w:val="baseline"/>
        </w:rPr>
        <w:t> </w:t>
      </w:r>
      <w:r>
        <w:rPr>
          <w:sz w:val="18"/>
          <w:vertAlign w:val="baseline"/>
        </w:rPr>
        <w:t>all</w:t>
      </w:r>
      <w:r>
        <w:rPr>
          <w:spacing w:val="-3"/>
          <w:sz w:val="18"/>
          <w:vertAlign w:val="baseline"/>
        </w:rPr>
        <w:t> </w:t>
      </w:r>
      <w:r>
        <w:rPr>
          <w:sz w:val="18"/>
          <w:vertAlign w:val="baseline"/>
        </w:rPr>
        <w:t>high</w:t>
      </w:r>
      <w:r>
        <w:rPr>
          <w:spacing w:val="-2"/>
          <w:sz w:val="18"/>
          <w:vertAlign w:val="baseline"/>
        </w:rPr>
        <w:t> </w:t>
      </w:r>
      <w:r>
        <w:rPr>
          <w:sz w:val="18"/>
          <w:vertAlign w:val="baseline"/>
        </w:rPr>
        <w:t>school</w:t>
      </w:r>
      <w:r>
        <w:rPr>
          <w:spacing w:val="-3"/>
          <w:sz w:val="18"/>
          <w:vertAlign w:val="baseline"/>
        </w:rPr>
        <w:t> </w:t>
      </w:r>
      <w:r>
        <w:rPr>
          <w:sz w:val="18"/>
          <w:vertAlign w:val="baseline"/>
        </w:rPr>
        <w:t>students</w:t>
      </w:r>
      <w:r>
        <w:rPr>
          <w:spacing w:val="-2"/>
          <w:sz w:val="18"/>
          <w:vertAlign w:val="baseline"/>
        </w:rPr>
        <w:t> </w:t>
      </w:r>
      <w:r>
        <w:rPr>
          <w:sz w:val="18"/>
          <w:vertAlign w:val="baseline"/>
        </w:rPr>
        <w:t>and</w:t>
      </w:r>
      <w:r>
        <w:rPr>
          <w:spacing w:val="-3"/>
          <w:sz w:val="18"/>
          <w:vertAlign w:val="baseline"/>
        </w:rPr>
        <w:t> </w:t>
      </w:r>
      <w:r>
        <w:rPr>
          <w:sz w:val="18"/>
          <w:vertAlign w:val="baseline"/>
        </w:rPr>
        <w:t>sexual</w:t>
      </w:r>
      <w:r>
        <w:rPr>
          <w:spacing w:val="-4"/>
          <w:sz w:val="18"/>
          <w:vertAlign w:val="baseline"/>
        </w:rPr>
        <w:t> </w:t>
      </w:r>
      <w:r>
        <w:rPr>
          <w:sz w:val="18"/>
          <w:vertAlign w:val="baseline"/>
        </w:rPr>
        <w:t>and</w:t>
      </w:r>
      <w:r>
        <w:rPr>
          <w:spacing w:val="-2"/>
          <w:sz w:val="18"/>
          <w:vertAlign w:val="baseline"/>
        </w:rPr>
        <w:t> </w:t>
      </w:r>
      <w:r>
        <w:rPr>
          <w:sz w:val="18"/>
          <w:vertAlign w:val="baseline"/>
        </w:rPr>
        <w:t>gender</w:t>
      </w:r>
      <w:r>
        <w:rPr>
          <w:spacing w:val="-3"/>
          <w:sz w:val="18"/>
          <w:vertAlign w:val="baseline"/>
        </w:rPr>
        <w:t> </w:t>
      </w:r>
      <w:r>
        <w:rPr>
          <w:sz w:val="18"/>
          <w:vertAlign w:val="baseline"/>
        </w:rPr>
        <w:t>minority</w:t>
      </w:r>
      <w:r>
        <w:rPr>
          <w:spacing w:val="-2"/>
          <w:sz w:val="18"/>
          <w:vertAlign w:val="baseline"/>
        </w:rPr>
        <w:t> </w:t>
      </w:r>
      <w:r>
        <w:rPr>
          <w:sz w:val="18"/>
          <w:vertAlign w:val="baseline"/>
        </w:rPr>
        <w:t>students.</w:t>
      </w:r>
      <w:r>
        <w:rPr>
          <w:spacing w:val="-2"/>
          <w:sz w:val="18"/>
          <w:vertAlign w:val="baseline"/>
        </w:rPr>
        <w:t> </w:t>
      </w:r>
      <w:r>
        <w:rPr>
          <w:i/>
          <w:sz w:val="18"/>
          <w:vertAlign w:val="baseline"/>
        </w:rPr>
        <w:t>Journal</w:t>
      </w:r>
      <w:r>
        <w:rPr>
          <w:i/>
          <w:spacing w:val="-3"/>
          <w:sz w:val="18"/>
          <w:vertAlign w:val="baseline"/>
        </w:rPr>
        <w:t> </w:t>
      </w:r>
      <w:r>
        <w:rPr>
          <w:i/>
          <w:sz w:val="18"/>
          <w:vertAlign w:val="baseline"/>
        </w:rPr>
        <w:t>of</w:t>
      </w:r>
      <w:r>
        <w:rPr>
          <w:i/>
          <w:spacing w:val="-2"/>
          <w:sz w:val="18"/>
          <w:vertAlign w:val="baseline"/>
        </w:rPr>
        <w:t> </w:t>
      </w:r>
      <w:r>
        <w:rPr>
          <w:i/>
          <w:sz w:val="18"/>
          <w:vertAlign w:val="baseline"/>
        </w:rPr>
        <w:t>School</w:t>
      </w:r>
      <w:r>
        <w:rPr>
          <w:i/>
          <w:spacing w:val="-2"/>
          <w:sz w:val="18"/>
          <w:vertAlign w:val="baseline"/>
        </w:rPr>
        <w:t> </w:t>
      </w:r>
      <w:r>
        <w:rPr>
          <w:i/>
          <w:sz w:val="18"/>
          <w:vertAlign w:val="baseline"/>
        </w:rPr>
        <w:t>Health,</w:t>
      </w:r>
      <w:r>
        <w:rPr>
          <w:i/>
          <w:spacing w:val="-3"/>
          <w:sz w:val="18"/>
          <w:vertAlign w:val="baseline"/>
        </w:rPr>
        <w:t> </w:t>
      </w:r>
      <w:r>
        <w:rPr>
          <w:i/>
          <w:sz w:val="18"/>
          <w:vertAlign w:val="baseline"/>
        </w:rPr>
        <w:t>93,</w:t>
      </w:r>
      <w:r>
        <w:rPr>
          <w:i/>
          <w:sz w:val="18"/>
          <w:vertAlign w:val="baseline"/>
        </w:rPr>
        <w:t> </w:t>
      </w:r>
      <w:r>
        <w:rPr>
          <w:sz w:val="18"/>
          <w:vertAlign w:val="baseline"/>
        </w:rPr>
        <w:t>679-689. https://doi.org/10.1111/josh.13297</w:t>
      </w:r>
    </w:p>
    <w:p>
      <w:pPr>
        <w:spacing w:before="0"/>
        <w:ind w:left="464" w:right="434" w:firstLine="0"/>
        <w:jc w:val="left"/>
        <w:rPr>
          <w:sz w:val="18"/>
        </w:rPr>
      </w:pPr>
      <w:bookmarkStart w:name="_bookmark46" w:id="156"/>
      <w:bookmarkEnd w:id="156"/>
      <w:r>
        <w:rPr/>
      </w:r>
      <w:r>
        <w:rPr>
          <w:sz w:val="18"/>
          <w:vertAlign w:val="superscript"/>
        </w:rPr>
        <w:t>7</w:t>
      </w:r>
      <w:r>
        <w:rPr>
          <w:spacing w:val="-1"/>
          <w:sz w:val="18"/>
          <w:vertAlign w:val="baseline"/>
        </w:rPr>
        <w:t> </w:t>
      </w:r>
      <w:r>
        <w:rPr>
          <w:sz w:val="18"/>
          <w:vertAlign w:val="baseline"/>
        </w:rPr>
        <w:t>GLSEN.</w:t>
      </w:r>
      <w:r>
        <w:rPr>
          <w:spacing w:val="-1"/>
          <w:sz w:val="18"/>
          <w:vertAlign w:val="baseline"/>
        </w:rPr>
        <w:t> </w:t>
      </w:r>
      <w:r>
        <w:rPr>
          <w:sz w:val="18"/>
          <w:vertAlign w:val="baseline"/>
        </w:rPr>
        <w:t>(2023).</w:t>
      </w:r>
      <w:r>
        <w:rPr>
          <w:spacing w:val="-2"/>
          <w:sz w:val="18"/>
          <w:vertAlign w:val="baseline"/>
        </w:rPr>
        <w:t> </w:t>
      </w:r>
      <w:r>
        <w:rPr>
          <w:sz w:val="18"/>
          <w:vertAlign w:val="baseline"/>
        </w:rPr>
        <w:t>2021</w:t>
      </w:r>
      <w:r>
        <w:rPr>
          <w:spacing w:val="-1"/>
          <w:sz w:val="18"/>
          <w:vertAlign w:val="baseline"/>
        </w:rPr>
        <w:t> </w:t>
      </w:r>
      <w:r>
        <w:rPr>
          <w:sz w:val="18"/>
          <w:vertAlign w:val="baseline"/>
        </w:rPr>
        <w:t>national</w:t>
      </w:r>
      <w:r>
        <w:rPr>
          <w:spacing w:val="-2"/>
          <w:sz w:val="18"/>
          <w:vertAlign w:val="baseline"/>
        </w:rPr>
        <w:t> </w:t>
      </w:r>
      <w:r>
        <w:rPr>
          <w:sz w:val="18"/>
          <w:vertAlign w:val="baseline"/>
        </w:rPr>
        <w:t>school</w:t>
      </w:r>
      <w:r>
        <w:rPr>
          <w:spacing w:val="-2"/>
          <w:sz w:val="18"/>
          <w:vertAlign w:val="baseline"/>
        </w:rPr>
        <w:t> </w:t>
      </w:r>
      <w:r>
        <w:rPr>
          <w:sz w:val="18"/>
          <w:vertAlign w:val="baseline"/>
        </w:rPr>
        <w:t>climate</w:t>
      </w:r>
      <w:r>
        <w:rPr>
          <w:spacing w:val="-1"/>
          <w:sz w:val="18"/>
          <w:vertAlign w:val="baseline"/>
        </w:rPr>
        <w:t> </w:t>
      </w:r>
      <w:r>
        <w:rPr>
          <w:sz w:val="18"/>
          <w:vertAlign w:val="baseline"/>
        </w:rPr>
        <w:t>survey</w:t>
      </w:r>
      <w:r>
        <w:rPr>
          <w:spacing w:val="-1"/>
          <w:sz w:val="18"/>
          <w:vertAlign w:val="baseline"/>
        </w:rPr>
        <w:t> </w:t>
      </w:r>
      <w:r>
        <w:rPr>
          <w:sz w:val="18"/>
          <w:vertAlign w:val="baseline"/>
        </w:rPr>
        <w:t>state</w:t>
      </w:r>
      <w:r>
        <w:rPr>
          <w:spacing w:val="-2"/>
          <w:sz w:val="18"/>
          <w:vertAlign w:val="baseline"/>
        </w:rPr>
        <w:t> </w:t>
      </w:r>
      <w:r>
        <w:rPr>
          <w:sz w:val="18"/>
          <w:vertAlign w:val="baseline"/>
        </w:rPr>
        <w:t>snapshot:</w:t>
      </w:r>
      <w:r>
        <w:rPr>
          <w:spacing w:val="-1"/>
          <w:sz w:val="18"/>
          <w:vertAlign w:val="baseline"/>
        </w:rPr>
        <w:t> </w:t>
      </w:r>
      <w:r>
        <w:rPr>
          <w:sz w:val="18"/>
          <w:vertAlign w:val="baseline"/>
        </w:rPr>
        <w:t>School</w:t>
      </w:r>
      <w:r>
        <w:rPr>
          <w:spacing w:val="-2"/>
          <w:sz w:val="18"/>
          <w:vertAlign w:val="baseline"/>
        </w:rPr>
        <w:t> </w:t>
      </w:r>
      <w:r>
        <w:rPr>
          <w:sz w:val="18"/>
          <w:vertAlign w:val="baseline"/>
        </w:rPr>
        <w:t>climate</w:t>
      </w:r>
      <w:r>
        <w:rPr>
          <w:spacing w:val="-1"/>
          <w:sz w:val="18"/>
          <w:vertAlign w:val="baseline"/>
        </w:rPr>
        <w:t> </w:t>
      </w:r>
      <w:r>
        <w:rPr>
          <w:sz w:val="18"/>
          <w:vertAlign w:val="baseline"/>
        </w:rPr>
        <w:t>for</w:t>
      </w:r>
      <w:r>
        <w:rPr>
          <w:spacing w:val="-2"/>
          <w:sz w:val="18"/>
          <w:vertAlign w:val="baseline"/>
        </w:rPr>
        <w:t> </w:t>
      </w:r>
      <w:r>
        <w:rPr>
          <w:sz w:val="18"/>
          <w:vertAlign w:val="baseline"/>
        </w:rPr>
        <w:t>LGBTQ+</w:t>
      </w:r>
      <w:r>
        <w:rPr>
          <w:spacing w:val="-2"/>
          <w:sz w:val="18"/>
          <w:vertAlign w:val="baseline"/>
        </w:rPr>
        <w:t> </w:t>
      </w:r>
      <w:r>
        <w:rPr>
          <w:sz w:val="18"/>
          <w:vertAlign w:val="baseline"/>
        </w:rPr>
        <w:t>students</w:t>
      </w:r>
      <w:r>
        <w:rPr>
          <w:spacing w:val="-1"/>
          <w:sz w:val="18"/>
          <w:vertAlign w:val="baseline"/>
        </w:rPr>
        <w:t> </w:t>
      </w:r>
      <w:r>
        <w:rPr>
          <w:sz w:val="18"/>
          <w:vertAlign w:val="baseline"/>
        </w:rPr>
        <w:t>in</w:t>
      </w:r>
      <w:r>
        <w:rPr>
          <w:spacing w:val="-1"/>
          <w:sz w:val="18"/>
          <w:vertAlign w:val="baseline"/>
        </w:rPr>
        <w:t> </w:t>
      </w:r>
      <w:r>
        <w:rPr>
          <w:sz w:val="18"/>
          <w:vertAlign w:val="baseline"/>
        </w:rPr>
        <w:t>Massachusetts. Accessed</w:t>
      </w:r>
      <w:r>
        <w:rPr>
          <w:spacing w:val="-10"/>
          <w:sz w:val="18"/>
          <w:vertAlign w:val="baseline"/>
        </w:rPr>
        <w:t> </w:t>
      </w:r>
      <w:r>
        <w:rPr>
          <w:sz w:val="18"/>
          <w:vertAlign w:val="baseline"/>
        </w:rPr>
        <w:t>May</w:t>
      </w:r>
      <w:r>
        <w:rPr>
          <w:spacing w:val="-9"/>
          <w:sz w:val="18"/>
          <w:vertAlign w:val="baseline"/>
        </w:rPr>
        <w:t> </w:t>
      </w:r>
      <w:r>
        <w:rPr>
          <w:sz w:val="18"/>
          <w:vertAlign w:val="baseline"/>
        </w:rPr>
        <w:t>2,</w:t>
      </w:r>
      <w:r>
        <w:rPr>
          <w:spacing w:val="-11"/>
          <w:sz w:val="18"/>
          <w:vertAlign w:val="baseline"/>
        </w:rPr>
        <w:t> </w:t>
      </w:r>
      <w:r>
        <w:rPr>
          <w:sz w:val="18"/>
          <w:vertAlign w:val="baseline"/>
        </w:rPr>
        <w:t>2024.</w:t>
      </w:r>
      <w:r>
        <w:rPr>
          <w:spacing w:val="-9"/>
          <w:sz w:val="18"/>
          <w:vertAlign w:val="baseline"/>
        </w:rPr>
        <w:t> </w:t>
      </w:r>
      <w:r>
        <w:rPr>
          <w:sz w:val="18"/>
          <w:vertAlign w:val="baseline"/>
        </w:rPr>
        <w:t>https://maps.glsen.org/wp-content/uploads/2023/02/GLSEN_2021_NSCS_State_Snapshots_MA.pdf </w:t>
      </w:r>
      <w:bookmarkStart w:name="_bookmark47" w:id="157"/>
      <w:bookmarkEnd w:id="157"/>
      <w:r>
        <w:rPr>
          <w:sz w:val="18"/>
          <w:vertAlign w:val="baseline"/>
        </w:rPr>
      </w:r>
      <w:r>
        <w:rPr>
          <w:sz w:val="18"/>
          <w:vertAlign w:val="superscript"/>
        </w:rPr>
        <w:t>8</w:t>
      </w:r>
      <w:r>
        <w:rPr>
          <w:sz w:val="18"/>
          <w:vertAlign w:val="baseline"/>
        </w:rPr>
        <w:t> Schey, R. (2022). Literacy (dis)orientations in a secondary classroom: Possibilities and limits of an intersectional LGBTQ+- inclusive curriculum. </w:t>
      </w:r>
      <w:r>
        <w:rPr>
          <w:i/>
          <w:sz w:val="18"/>
          <w:vertAlign w:val="baseline"/>
        </w:rPr>
        <w:t>Reading Research Quarterly, 58</w:t>
      </w:r>
      <w:r>
        <w:rPr>
          <w:sz w:val="18"/>
          <w:vertAlign w:val="baseline"/>
        </w:rPr>
        <w:t>(1), 25-43. https://doi.org/10.1002/rrq.485</w:t>
      </w:r>
    </w:p>
    <w:p>
      <w:pPr>
        <w:spacing w:before="0"/>
        <w:ind w:left="464" w:right="432" w:firstLine="0"/>
        <w:jc w:val="left"/>
        <w:rPr>
          <w:sz w:val="18"/>
        </w:rPr>
      </w:pPr>
      <w:bookmarkStart w:name="_bookmark48" w:id="158"/>
      <w:bookmarkEnd w:id="158"/>
      <w:r>
        <w:rPr/>
      </w:r>
      <w:r>
        <w:rPr>
          <w:sz w:val="18"/>
          <w:vertAlign w:val="superscript"/>
        </w:rPr>
        <w:t>9</w:t>
      </w:r>
      <w:r>
        <w:rPr>
          <w:spacing w:val="40"/>
          <w:sz w:val="18"/>
          <w:vertAlign w:val="baseline"/>
        </w:rPr>
        <w:t> </w:t>
      </w:r>
      <w:r>
        <w:rPr>
          <w:sz w:val="18"/>
          <w:vertAlign w:val="baseline"/>
        </w:rPr>
        <w:t>Massachusetts Board of Elementary and Secondary Education. (2015). Principles for Ensuring Safe and Supportive Learning</w:t>
      </w:r>
      <w:r>
        <w:rPr>
          <w:spacing w:val="-3"/>
          <w:sz w:val="18"/>
          <w:vertAlign w:val="baseline"/>
        </w:rPr>
        <w:t> </w:t>
      </w:r>
      <w:r>
        <w:rPr>
          <w:sz w:val="18"/>
          <w:vertAlign w:val="baseline"/>
        </w:rPr>
        <w:t>Environments</w:t>
      </w:r>
      <w:r>
        <w:rPr>
          <w:spacing w:val="-3"/>
          <w:sz w:val="18"/>
          <w:vertAlign w:val="baseline"/>
        </w:rPr>
        <w:t> </w:t>
      </w:r>
      <w:r>
        <w:rPr>
          <w:sz w:val="18"/>
          <w:vertAlign w:val="baseline"/>
        </w:rPr>
        <w:t>for</w:t>
      </w:r>
      <w:r>
        <w:rPr>
          <w:spacing w:val="-4"/>
          <w:sz w:val="18"/>
          <w:vertAlign w:val="baseline"/>
        </w:rPr>
        <w:t> </w:t>
      </w:r>
      <w:r>
        <w:rPr>
          <w:sz w:val="18"/>
          <w:vertAlign w:val="baseline"/>
        </w:rPr>
        <w:t>Lesbian,</w:t>
      </w:r>
      <w:r>
        <w:rPr>
          <w:spacing w:val="-4"/>
          <w:sz w:val="18"/>
          <w:vertAlign w:val="baseline"/>
        </w:rPr>
        <w:t> </w:t>
      </w:r>
      <w:r>
        <w:rPr>
          <w:sz w:val="18"/>
          <w:vertAlign w:val="baseline"/>
        </w:rPr>
        <w:t>Gay,</w:t>
      </w:r>
      <w:r>
        <w:rPr>
          <w:spacing w:val="-4"/>
          <w:sz w:val="18"/>
          <w:vertAlign w:val="baseline"/>
        </w:rPr>
        <w:t> </w:t>
      </w:r>
      <w:r>
        <w:rPr>
          <w:sz w:val="18"/>
          <w:vertAlign w:val="baseline"/>
        </w:rPr>
        <w:t>Bisexual,</w:t>
      </w:r>
      <w:r>
        <w:rPr>
          <w:spacing w:val="-4"/>
          <w:sz w:val="18"/>
          <w:vertAlign w:val="baseline"/>
        </w:rPr>
        <w:t> </w:t>
      </w:r>
      <w:r>
        <w:rPr>
          <w:sz w:val="18"/>
          <w:vertAlign w:val="baseline"/>
        </w:rPr>
        <w:t>Transgender,</w:t>
      </w:r>
      <w:r>
        <w:rPr>
          <w:spacing w:val="-4"/>
          <w:sz w:val="18"/>
          <w:vertAlign w:val="baseline"/>
        </w:rPr>
        <w:t> </w:t>
      </w:r>
      <w:r>
        <w:rPr>
          <w:sz w:val="18"/>
          <w:vertAlign w:val="baseline"/>
        </w:rPr>
        <w:t>Queer,</w:t>
      </w:r>
      <w:r>
        <w:rPr>
          <w:spacing w:val="-4"/>
          <w:sz w:val="18"/>
          <w:vertAlign w:val="baseline"/>
        </w:rPr>
        <w:t> </w:t>
      </w:r>
      <w:r>
        <w:rPr>
          <w:sz w:val="18"/>
          <w:vertAlign w:val="baseline"/>
        </w:rPr>
        <w:t>and</w:t>
      </w:r>
      <w:r>
        <w:rPr>
          <w:spacing w:val="-3"/>
          <w:sz w:val="18"/>
          <w:vertAlign w:val="baseline"/>
        </w:rPr>
        <w:t> </w:t>
      </w:r>
      <w:r>
        <w:rPr>
          <w:sz w:val="18"/>
          <w:vertAlign w:val="baseline"/>
        </w:rPr>
        <w:t>Questioning</w:t>
      </w:r>
      <w:r>
        <w:rPr>
          <w:spacing w:val="-3"/>
          <w:sz w:val="18"/>
          <w:vertAlign w:val="baseline"/>
        </w:rPr>
        <w:t> </w:t>
      </w:r>
      <w:r>
        <w:rPr>
          <w:sz w:val="18"/>
          <w:vertAlign w:val="baseline"/>
        </w:rPr>
        <w:t>(LGBTQ)</w:t>
      </w:r>
      <w:r>
        <w:rPr>
          <w:spacing w:val="-3"/>
          <w:sz w:val="18"/>
          <w:vertAlign w:val="baseline"/>
        </w:rPr>
        <w:t> </w:t>
      </w:r>
      <w:r>
        <w:rPr>
          <w:sz w:val="18"/>
          <w:vertAlign w:val="baseline"/>
        </w:rPr>
        <w:t>Students.</w:t>
      </w:r>
      <w:r>
        <w:rPr>
          <w:spacing w:val="-3"/>
          <w:sz w:val="18"/>
          <w:vertAlign w:val="baseline"/>
        </w:rPr>
        <w:t> </w:t>
      </w:r>
      <w:r>
        <w:rPr>
          <w:sz w:val="18"/>
          <w:vertAlign w:val="baseline"/>
        </w:rPr>
        <w:t>Accessed</w:t>
      </w:r>
      <w:r>
        <w:rPr>
          <w:spacing w:val="-3"/>
          <w:sz w:val="18"/>
          <w:vertAlign w:val="baseline"/>
        </w:rPr>
        <w:t> </w:t>
      </w:r>
      <w:r>
        <w:rPr>
          <w:sz w:val="18"/>
          <w:vertAlign w:val="baseline"/>
        </w:rPr>
        <w:t>May</w:t>
      </w:r>
      <w:r>
        <w:rPr>
          <w:spacing w:val="-3"/>
          <w:sz w:val="18"/>
          <w:vertAlign w:val="baseline"/>
        </w:rPr>
        <w:t> </w:t>
      </w:r>
      <w:r>
        <w:rPr>
          <w:sz w:val="18"/>
          <w:vertAlign w:val="baseline"/>
        </w:rPr>
        <w:t>2, </w:t>
      </w:r>
      <w:bookmarkStart w:name="_bookmark49" w:id="159"/>
      <w:bookmarkEnd w:id="159"/>
      <w:r>
        <w:rPr>
          <w:sz w:val="18"/>
          <w:vertAlign w:val="baseline"/>
        </w:rPr>
        <w:t>2024</w:t>
      </w:r>
      <w:r>
        <w:rPr>
          <w:sz w:val="18"/>
          <w:vertAlign w:val="baseline"/>
        </w:rPr>
        <w:t>. https://</w:t>
      </w:r>
      <w:hyperlink r:id="rId110">
        <w:r>
          <w:rPr>
            <w:sz w:val="18"/>
            <w:vertAlign w:val="baseline"/>
          </w:rPr>
          <w:t>www.doe.mass.edu/sfs/lgbtq/Principles-SafeEnvironment.html</w:t>
        </w:r>
      </w:hyperlink>
    </w:p>
    <w:p>
      <w:pPr>
        <w:spacing w:before="0"/>
        <w:ind w:left="464" w:right="787" w:firstLine="0"/>
        <w:jc w:val="left"/>
        <w:rPr>
          <w:sz w:val="18"/>
        </w:rPr>
      </w:pPr>
      <w:r>
        <w:rPr>
          <w:sz w:val="18"/>
          <w:vertAlign w:val="superscript"/>
        </w:rPr>
        <w:t>10</w:t>
      </w:r>
      <w:r>
        <w:rPr>
          <w:sz w:val="18"/>
          <w:vertAlign w:val="baseline"/>
        </w:rPr>
        <w:t> Adame, D. (2024). Pembroke schools reject effort that would ban Pride flags. Accessed May 2, 2024. </w:t>
      </w:r>
      <w:r>
        <w:rPr>
          <w:spacing w:val="-2"/>
          <w:sz w:val="18"/>
          <w:vertAlign w:val="baseline"/>
        </w:rPr>
        <w:t>https:</w:t>
      </w:r>
      <w:hyperlink r:id="rId111">
        <w:r>
          <w:rPr>
            <w:spacing w:val="-2"/>
            <w:sz w:val="18"/>
            <w:vertAlign w:val="baseline"/>
          </w:rPr>
          <w:t>//www.wgbh.org/news/education-news/2024-01-17/pembroke-schools-reject-effort-that-would-ban-pride-flags</w:t>
        </w:r>
      </w:hyperlink>
      <w:r>
        <w:rPr>
          <w:spacing w:val="80"/>
          <w:w w:val="150"/>
          <w:sz w:val="18"/>
          <w:vertAlign w:val="baseline"/>
        </w:rPr>
        <w:t> </w:t>
      </w:r>
      <w:bookmarkStart w:name="_bookmark50" w:id="160"/>
      <w:bookmarkEnd w:id="160"/>
      <w:r>
        <w:rPr>
          <w:sz w:val="18"/>
          <w:vertAlign w:val="baseline"/>
        </w:rPr>
      </w:r>
      <w:r>
        <w:rPr>
          <w:sz w:val="18"/>
          <w:vertAlign w:val="superscript"/>
        </w:rPr>
        <w:t>11</w:t>
      </w:r>
      <w:r>
        <w:rPr>
          <w:spacing w:val="-1"/>
          <w:sz w:val="18"/>
          <w:vertAlign w:val="baseline"/>
        </w:rPr>
        <w:t> </w:t>
      </w:r>
      <w:r>
        <w:rPr>
          <w:sz w:val="18"/>
          <w:vertAlign w:val="baseline"/>
        </w:rPr>
        <w:t>Huffaker,</w:t>
      </w:r>
      <w:r>
        <w:rPr>
          <w:spacing w:val="-2"/>
          <w:sz w:val="18"/>
          <w:vertAlign w:val="baseline"/>
        </w:rPr>
        <w:t> </w:t>
      </w:r>
      <w:r>
        <w:rPr>
          <w:sz w:val="18"/>
          <w:vertAlign w:val="baseline"/>
        </w:rPr>
        <w:t>C.</w:t>
      </w:r>
      <w:r>
        <w:rPr>
          <w:spacing w:val="-1"/>
          <w:sz w:val="18"/>
          <w:vertAlign w:val="baseline"/>
        </w:rPr>
        <w:t> </w:t>
      </w:r>
      <w:r>
        <w:rPr>
          <w:sz w:val="18"/>
          <w:vertAlign w:val="baseline"/>
        </w:rPr>
        <w:t>(2024,</w:t>
      </w:r>
      <w:r>
        <w:rPr>
          <w:spacing w:val="-2"/>
          <w:sz w:val="18"/>
          <w:vertAlign w:val="baseline"/>
        </w:rPr>
        <w:t> </w:t>
      </w:r>
      <w:r>
        <w:rPr>
          <w:sz w:val="18"/>
          <w:vertAlign w:val="baseline"/>
        </w:rPr>
        <w:t>January</w:t>
      </w:r>
      <w:r>
        <w:rPr>
          <w:spacing w:val="-1"/>
          <w:sz w:val="18"/>
          <w:vertAlign w:val="baseline"/>
        </w:rPr>
        <w:t> </w:t>
      </w:r>
      <w:r>
        <w:rPr>
          <w:sz w:val="18"/>
          <w:vertAlign w:val="baseline"/>
        </w:rPr>
        <w:t>17).</w:t>
      </w:r>
      <w:r>
        <w:rPr>
          <w:spacing w:val="-2"/>
          <w:sz w:val="18"/>
          <w:vertAlign w:val="baseline"/>
        </w:rPr>
        <w:t> </w:t>
      </w:r>
      <w:r>
        <w:rPr>
          <w:sz w:val="18"/>
          <w:vertAlign w:val="baseline"/>
        </w:rPr>
        <w:t>Charts:</w:t>
      </w:r>
      <w:r>
        <w:rPr>
          <w:spacing w:val="-1"/>
          <w:sz w:val="18"/>
          <w:vertAlign w:val="baseline"/>
        </w:rPr>
        <w:t> </w:t>
      </w:r>
      <w:r>
        <w:rPr>
          <w:sz w:val="18"/>
          <w:vertAlign w:val="baseline"/>
        </w:rPr>
        <w:t>See</w:t>
      </w:r>
      <w:r>
        <w:rPr>
          <w:spacing w:val="-1"/>
          <w:sz w:val="18"/>
          <w:vertAlign w:val="baseline"/>
        </w:rPr>
        <w:t> </w:t>
      </w:r>
      <w:r>
        <w:rPr>
          <w:sz w:val="18"/>
          <w:vertAlign w:val="baseline"/>
        </w:rPr>
        <w:t>which</w:t>
      </w:r>
      <w:r>
        <w:rPr>
          <w:spacing w:val="-1"/>
          <w:sz w:val="18"/>
          <w:vertAlign w:val="baseline"/>
        </w:rPr>
        <w:t> </w:t>
      </w:r>
      <w:r>
        <w:rPr>
          <w:sz w:val="18"/>
          <w:vertAlign w:val="baseline"/>
        </w:rPr>
        <w:t>Mass.</w:t>
      </w:r>
      <w:r>
        <w:rPr>
          <w:spacing w:val="-1"/>
          <w:sz w:val="18"/>
          <w:vertAlign w:val="baseline"/>
        </w:rPr>
        <w:t> </w:t>
      </w:r>
      <w:r>
        <w:rPr>
          <w:sz w:val="18"/>
          <w:vertAlign w:val="baseline"/>
        </w:rPr>
        <w:t>districts</w:t>
      </w:r>
      <w:r>
        <w:rPr>
          <w:spacing w:val="-1"/>
          <w:sz w:val="18"/>
          <w:vertAlign w:val="baseline"/>
        </w:rPr>
        <w:t> </w:t>
      </w:r>
      <w:r>
        <w:rPr>
          <w:sz w:val="18"/>
          <w:vertAlign w:val="baseline"/>
        </w:rPr>
        <w:t>have</w:t>
      </w:r>
      <w:r>
        <w:rPr>
          <w:spacing w:val="-1"/>
          <w:sz w:val="18"/>
          <w:vertAlign w:val="baseline"/>
        </w:rPr>
        <w:t> </w:t>
      </w:r>
      <w:r>
        <w:rPr>
          <w:sz w:val="18"/>
          <w:vertAlign w:val="baseline"/>
        </w:rPr>
        <w:t>banned</w:t>
      </w:r>
      <w:r>
        <w:rPr>
          <w:spacing w:val="-2"/>
          <w:sz w:val="18"/>
          <w:vertAlign w:val="baseline"/>
        </w:rPr>
        <w:t> </w:t>
      </w:r>
      <w:r>
        <w:rPr>
          <w:sz w:val="18"/>
          <w:vertAlign w:val="baseline"/>
        </w:rPr>
        <w:t>books,</w:t>
      </w:r>
      <w:r>
        <w:rPr>
          <w:spacing w:val="-2"/>
          <w:sz w:val="18"/>
          <w:vertAlign w:val="baseline"/>
        </w:rPr>
        <w:t> </w:t>
      </w:r>
      <w:r>
        <w:rPr>
          <w:sz w:val="18"/>
          <w:vertAlign w:val="baseline"/>
        </w:rPr>
        <w:t>what</w:t>
      </w:r>
      <w:r>
        <w:rPr>
          <w:spacing w:val="-2"/>
          <w:sz w:val="18"/>
          <w:vertAlign w:val="baseline"/>
        </w:rPr>
        <w:t> </w:t>
      </w:r>
      <w:r>
        <w:rPr>
          <w:sz w:val="18"/>
          <w:vertAlign w:val="baseline"/>
        </w:rPr>
        <w:t>books</w:t>
      </w:r>
      <w:r>
        <w:rPr>
          <w:spacing w:val="-1"/>
          <w:sz w:val="18"/>
          <w:vertAlign w:val="baseline"/>
        </w:rPr>
        <w:t> </w:t>
      </w:r>
      <w:r>
        <w:rPr>
          <w:sz w:val="18"/>
          <w:vertAlign w:val="baseline"/>
        </w:rPr>
        <w:t>are</w:t>
      </w:r>
      <w:r>
        <w:rPr>
          <w:spacing w:val="-1"/>
          <w:sz w:val="18"/>
          <w:vertAlign w:val="baseline"/>
        </w:rPr>
        <w:t> </w:t>
      </w:r>
      <w:r>
        <w:rPr>
          <w:sz w:val="18"/>
          <w:vertAlign w:val="baseline"/>
        </w:rPr>
        <w:t>most</w:t>
      </w:r>
      <w:r>
        <w:rPr>
          <w:spacing w:val="-2"/>
          <w:sz w:val="18"/>
          <w:vertAlign w:val="baseline"/>
        </w:rPr>
        <w:t> </w:t>
      </w:r>
      <w:r>
        <w:rPr>
          <w:sz w:val="18"/>
          <w:vertAlign w:val="baseline"/>
        </w:rPr>
        <w:t>common targets of challenges. </w:t>
      </w:r>
      <w:r>
        <w:rPr>
          <w:i/>
          <w:sz w:val="18"/>
          <w:vertAlign w:val="baseline"/>
        </w:rPr>
        <w:t>The Boston Globe. </w:t>
      </w:r>
      <w:r>
        <w:rPr>
          <w:sz w:val="18"/>
          <w:vertAlign w:val="baseline"/>
        </w:rPr>
        <w:t>Accessed May 2, 2024. </w:t>
      </w:r>
      <w:r>
        <w:rPr>
          <w:spacing w:val="-2"/>
          <w:sz w:val="18"/>
          <w:vertAlign w:val="baseline"/>
        </w:rPr>
        <w:t>https://</w:t>
      </w:r>
      <w:hyperlink r:id="rId112">
        <w:r>
          <w:rPr>
            <w:spacing w:val="-2"/>
            <w:sz w:val="18"/>
            <w:vertAlign w:val="baseline"/>
          </w:rPr>
          <w:t>www.bostonglobe.com/2024/01/17/metro/banned-books-charts/</w:t>
        </w:r>
      </w:hyperlink>
    </w:p>
    <w:p>
      <w:pPr>
        <w:spacing w:before="0"/>
        <w:ind w:left="463" w:right="484" w:firstLine="0"/>
        <w:jc w:val="left"/>
        <w:rPr>
          <w:sz w:val="18"/>
        </w:rPr>
      </w:pPr>
      <w:bookmarkStart w:name="_bookmark51" w:id="161"/>
      <w:bookmarkEnd w:id="161"/>
      <w:r>
        <w:rPr/>
      </w:r>
      <w:r>
        <w:rPr>
          <w:sz w:val="18"/>
          <w:vertAlign w:val="superscript"/>
        </w:rPr>
        <w:t>12</w:t>
      </w:r>
      <w:r>
        <w:rPr>
          <w:spacing w:val="-2"/>
          <w:sz w:val="18"/>
          <w:vertAlign w:val="baseline"/>
        </w:rPr>
        <w:t> </w:t>
      </w:r>
      <w:r>
        <w:rPr>
          <w:sz w:val="18"/>
          <w:vertAlign w:val="baseline"/>
        </w:rPr>
        <w:t>Bellow,</w:t>
      </w:r>
      <w:r>
        <w:rPr>
          <w:spacing w:val="-3"/>
          <w:sz w:val="18"/>
          <w:vertAlign w:val="baseline"/>
        </w:rPr>
        <w:t> </w:t>
      </w:r>
      <w:r>
        <w:rPr>
          <w:sz w:val="18"/>
          <w:vertAlign w:val="baseline"/>
        </w:rPr>
        <w:t>H.</w:t>
      </w:r>
      <w:r>
        <w:rPr>
          <w:spacing w:val="-2"/>
          <w:sz w:val="18"/>
          <w:vertAlign w:val="baseline"/>
        </w:rPr>
        <w:t> </w:t>
      </w:r>
      <w:r>
        <w:rPr>
          <w:sz w:val="18"/>
          <w:vertAlign w:val="baseline"/>
        </w:rPr>
        <w:t>(2024).</w:t>
      </w:r>
      <w:r>
        <w:rPr>
          <w:spacing w:val="-2"/>
          <w:sz w:val="18"/>
          <w:vertAlign w:val="baseline"/>
        </w:rPr>
        <w:t> </w:t>
      </w:r>
      <w:r>
        <w:rPr>
          <w:sz w:val="18"/>
          <w:vertAlign w:val="baseline"/>
        </w:rPr>
        <w:t>A</w:t>
      </w:r>
      <w:r>
        <w:rPr>
          <w:spacing w:val="-2"/>
          <w:sz w:val="18"/>
          <w:vertAlign w:val="baseline"/>
        </w:rPr>
        <w:t> </w:t>
      </w:r>
      <w:r>
        <w:rPr>
          <w:sz w:val="18"/>
          <w:vertAlign w:val="baseline"/>
        </w:rPr>
        <w:t>custodian</w:t>
      </w:r>
      <w:r>
        <w:rPr>
          <w:spacing w:val="-3"/>
          <w:sz w:val="18"/>
          <w:vertAlign w:val="baseline"/>
        </w:rPr>
        <w:t> </w:t>
      </w:r>
      <w:r>
        <w:rPr>
          <w:sz w:val="18"/>
          <w:vertAlign w:val="baseline"/>
        </w:rPr>
        <w:t>was</w:t>
      </w:r>
      <w:r>
        <w:rPr>
          <w:spacing w:val="-2"/>
          <w:sz w:val="18"/>
          <w:vertAlign w:val="baseline"/>
        </w:rPr>
        <w:t> </w:t>
      </w:r>
      <w:r>
        <w:rPr>
          <w:sz w:val="18"/>
          <w:vertAlign w:val="baseline"/>
        </w:rPr>
        <w:t>behind</w:t>
      </w:r>
      <w:r>
        <w:rPr>
          <w:spacing w:val="-2"/>
          <w:sz w:val="18"/>
          <w:vertAlign w:val="baseline"/>
        </w:rPr>
        <w:t> </w:t>
      </w:r>
      <w:r>
        <w:rPr>
          <w:sz w:val="18"/>
          <w:vertAlign w:val="baseline"/>
        </w:rPr>
        <w:t>the</w:t>
      </w:r>
      <w:r>
        <w:rPr>
          <w:spacing w:val="-4"/>
          <w:sz w:val="18"/>
          <w:vertAlign w:val="baseline"/>
        </w:rPr>
        <w:t> </w:t>
      </w:r>
      <w:r>
        <w:rPr>
          <w:sz w:val="18"/>
          <w:vertAlign w:val="baseline"/>
        </w:rPr>
        <w:t>complaint</w:t>
      </w:r>
      <w:r>
        <w:rPr>
          <w:spacing w:val="-3"/>
          <w:sz w:val="18"/>
          <w:vertAlign w:val="baseline"/>
        </w:rPr>
        <w:t> </w:t>
      </w:r>
      <w:r>
        <w:rPr>
          <w:sz w:val="18"/>
          <w:vertAlign w:val="baseline"/>
        </w:rPr>
        <w:t>about</w:t>
      </w:r>
      <w:r>
        <w:rPr>
          <w:spacing w:val="-1"/>
          <w:sz w:val="18"/>
          <w:vertAlign w:val="baseline"/>
        </w:rPr>
        <w:t> </w:t>
      </w:r>
      <w:r>
        <w:rPr>
          <w:sz w:val="18"/>
          <w:vertAlign w:val="baseline"/>
        </w:rPr>
        <w:t>the</w:t>
      </w:r>
      <w:r>
        <w:rPr>
          <w:spacing w:val="-2"/>
          <w:sz w:val="18"/>
          <w:vertAlign w:val="baseline"/>
        </w:rPr>
        <w:t> </w:t>
      </w:r>
      <w:r>
        <w:rPr>
          <w:sz w:val="18"/>
          <w:vertAlign w:val="baseline"/>
        </w:rPr>
        <w:t>book</w:t>
      </w:r>
      <w:r>
        <w:rPr>
          <w:spacing w:val="-3"/>
          <w:sz w:val="18"/>
          <w:vertAlign w:val="baseline"/>
        </w:rPr>
        <w:t> </w:t>
      </w:r>
      <w:r>
        <w:rPr>
          <w:sz w:val="18"/>
          <w:vertAlign w:val="baseline"/>
        </w:rPr>
        <w:t>‘Gender</w:t>
      </w:r>
      <w:r>
        <w:rPr>
          <w:spacing w:val="-3"/>
          <w:sz w:val="18"/>
          <w:vertAlign w:val="baseline"/>
        </w:rPr>
        <w:t> </w:t>
      </w:r>
      <w:r>
        <w:rPr>
          <w:sz w:val="18"/>
          <w:vertAlign w:val="baseline"/>
        </w:rPr>
        <w:t>Queer’</w:t>
      </w:r>
      <w:r>
        <w:rPr>
          <w:spacing w:val="-3"/>
          <w:sz w:val="18"/>
          <w:vertAlign w:val="baseline"/>
        </w:rPr>
        <w:t> </w:t>
      </w:r>
      <w:r>
        <w:rPr>
          <w:sz w:val="18"/>
          <w:vertAlign w:val="baseline"/>
        </w:rPr>
        <w:t>that</w:t>
      </w:r>
      <w:r>
        <w:rPr>
          <w:spacing w:val="-3"/>
          <w:sz w:val="18"/>
          <w:vertAlign w:val="baseline"/>
        </w:rPr>
        <w:t> </w:t>
      </w:r>
      <w:r>
        <w:rPr>
          <w:sz w:val="18"/>
          <w:vertAlign w:val="baseline"/>
        </w:rPr>
        <w:t>led</w:t>
      </w:r>
      <w:r>
        <w:rPr>
          <w:spacing w:val="-2"/>
          <w:sz w:val="18"/>
          <w:vertAlign w:val="baseline"/>
        </w:rPr>
        <w:t> </w:t>
      </w:r>
      <w:r>
        <w:rPr>
          <w:sz w:val="18"/>
          <w:vertAlign w:val="baseline"/>
        </w:rPr>
        <w:t>Great</w:t>
      </w:r>
      <w:r>
        <w:rPr>
          <w:spacing w:val="-3"/>
          <w:sz w:val="18"/>
          <w:vertAlign w:val="baseline"/>
        </w:rPr>
        <w:t> </w:t>
      </w:r>
      <w:r>
        <w:rPr>
          <w:sz w:val="18"/>
          <w:vertAlign w:val="baseline"/>
        </w:rPr>
        <w:t>Barrington</w:t>
      </w:r>
      <w:r>
        <w:rPr>
          <w:spacing w:val="-2"/>
          <w:sz w:val="18"/>
          <w:vertAlign w:val="baseline"/>
        </w:rPr>
        <w:t> </w:t>
      </w:r>
      <w:r>
        <w:rPr>
          <w:sz w:val="18"/>
          <w:vertAlign w:val="baseline"/>
        </w:rPr>
        <w:t>police to search a classroom. The Berkshire Eagle. Accessed May 2, 2024. https:</w:t>
      </w:r>
      <w:hyperlink r:id="rId113">
        <w:r>
          <w:rPr>
            <w:sz w:val="18"/>
            <w:vertAlign w:val="baseline"/>
          </w:rPr>
          <w:t>//www.berkshireeagle.com/breaking/gender-</w:t>
        </w:r>
      </w:hyperlink>
      <w:r>
        <w:rPr>
          <w:sz w:val="18"/>
          <w:vertAlign w:val="baseline"/>
        </w:rPr>
        <w:t> </w:t>
      </w:r>
      <w:r>
        <w:rPr>
          <w:spacing w:val="-2"/>
          <w:sz w:val="18"/>
          <w:vertAlign w:val="baseline"/>
        </w:rPr>
        <w:t>queer-school-police-book-search-banned-great-barrington-du-bois/article_c3b94f20-cd0a-11ee-9238-cff55cef40ab.html</w:t>
      </w:r>
    </w:p>
    <w:p>
      <w:pPr>
        <w:spacing w:before="0"/>
        <w:ind w:left="464" w:right="528" w:firstLine="0"/>
        <w:jc w:val="left"/>
        <w:rPr>
          <w:sz w:val="18"/>
        </w:rPr>
      </w:pPr>
      <w:bookmarkStart w:name="_bookmark52" w:id="162"/>
      <w:bookmarkEnd w:id="162"/>
      <w:r>
        <w:rPr/>
      </w:r>
      <w:r>
        <w:rPr>
          <w:sz w:val="18"/>
          <w:vertAlign w:val="superscript"/>
        </w:rPr>
        <w:t>13</w:t>
      </w:r>
      <w:r>
        <w:rPr>
          <w:spacing w:val="-2"/>
          <w:sz w:val="18"/>
          <w:vertAlign w:val="baseline"/>
        </w:rPr>
        <w:t> </w:t>
      </w:r>
      <w:r>
        <w:rPr>
          <w:sz w:val="18"/>
          <w:vertAlign w:val="baseline"/>
        </w:rPr>
        <w:t>Bruno,</w:t>
      </w:r>
      <w:r>
        <w:rPr>
          <w:spacing w:val="-3"/>
          <w:sz w:val="18"/>
          <w:vertAlign w:val="baseline"/>
        </w:rPr>
        <w:t> </w:t>
      </w:r>
      <w:r>
        <w:rPr>
          <w:sz w:val="18"/>
          <w:vertAlign w:val="baseline"/>
        </w:rPr>
        <w:t>C.</w:t>
      </w:r>
      <w:r>
        <w:rPr>
          <w:spacing w:val="-2"/>
          <w:sz w:val="18"/>
          <w:vertAlign w:val="baseline"/>
        </w:rPr>
        <w:t> </w:t>
      </w:r>
      <w:r>
        <w:rPr>
          <w:sz w:val="18"/>
          <w:vertAlign w:val="baseline"/>
        </w:rPr>
        <w:t>(2023).</w:t>
      </w:r>
      <w:r>
        <w:rPr>
          <w:spacing w:val="-2"/>
          <w:sz w:val="18"/>
          <w:vertAlign w:val="baseline"/>
        </w:rPr>
        <w:t> </w:t>
      </w:r>
      <w:r>
        <w:rPr>
          <w:sz w:val="18"/>
          <w:vertAlign w:val="baseline"/>
        </w:rPr>
        <w:t>Beyond</w:t>
      </w:r>
      <w:r>
        <w:rPr>
          <w:spacing w:val="-3"/>
          <w:sz w:val="18"/>
          <w:vertAlign w:val="baseline"/>
        </w:rPr>
        <w:t> </w:t>
      </w:r>
      <w:r>
        <w:rPr>
          <w:sz w:val="18"/>
          <w:vertAlign w:val="baseline"/>
        </w:rPr>
        <w:t>book</w:t>
      </w:r>
      <w:r>
        <w:rPr>
          <w:spacing w:val="-3"/>
          <w:sz w:val="18"/>
          <w:vertAlign w:val="baseline"/>
        </w:rPr>
        <w:t> </w:t>
      </w:r>
      <w:r>
        <w:rPr>
          <w:sz w:val="18"/>
          <w:vertAlign w:val="baseline"/>
        </w:rPr>
        <w:t>bans:</w:t>
      </w:r>
      <w:r>
        <w:rPr>
          <w:spacing w:val="-2"/>
          <w:sz w:val="18"/>
          <w:vertAlign w:val="baseline"/>
        </w:rPr>
        <w:t> </w:t>
      </w:r>
      <w:r>
        <w:rPr>
          <w:sz w:val="18"/>
          <w:vertAlign w:val="baseline"/>
        </w:rPr>
        <w:t>How</w:t>
      </w:r>
      <w:r>
        <w:rPr>
          <w:spacing w:val="-3"/>
          <w:sz w:val="18"/>
          <w:vertAlign w:val="baseline"/>
        </w:rPr>
        <w:t> </w:t>
      </w:r>
      <w:r>
        <w:rPr>
          <w:sz w:val="18"/>
          <w:vertAlign w:val="baseline"/>
        </w:rPr>
        <w:t>book</w:t>
      </w:r>
      <w:r>
        <w:rPr>
          <w:spacing w:val="-3"/>
          <w:sz w:val="18"/>
          <w:vertAlign w:val="baseline"/>
        </w:rPr>
        <w:t> </w:t>
      </w:r>
      <w:r>
        <w:rPr>
          <w:sz w:val="18"/>
          <w:vertAlign w:val="baseline"/>
        </w:rPr>
        <w:t>challenges</w:t>
      </w:r>
      <w:r>
        <w:rPr>
          <w:spacing w:val="-2"/>
          <w:sz w:val="18"/>
          <w:vertAlign w:val="baseline"/>
        </w:rPr>
        <w:t> </w:t>
      </w:r>
      <w:r>
        <w:rPr>
          <w:sz w:val="18"/>
          <w:vertAlign w:val="baseline"/>
        </w:rPr>
        <w:t>are</w:t>
      </w:r>
      <w:r>
        <w:rPr>
          <w:spacing w:val="-3"/>
          <w:sz w:val="18"/>
          <w:vertAlign w:val="baseline"/>
        </w:rPr>
        <w:t> </w:t>
      </w:r>
      <w:r>
        <w:rPr>
          <w:sz w:val="18"/>
          <w:vertAlign w:val="baseline"/>
        </w:rPr>
        <w:t>impacting</w:t>
      </w:r>
      <w:r>
        <w:rPr>
          <w:spacing w:val="-2"/>
          <w:sz w:val="18"/>
          <w:vertAlign w:val="baseline"/>
        </w:rPr>
        <w:t> </w:t>
      </w:r>
      <w:r>
        <w:rPr>
          <w:sz w:val="18"/>
          <w:vertAlign w:val="baseline"/>
        </w:rPr>
        <w:t>librarians</w:t>
      </w:r>
      <w:r>
        <w:rPr>
          <w:spacing w:val="-2"/>
          <w:sz w:val="18"/>
          <w:vertAlign w:val="baseline"/>
        </w:rPr>
        <w:t> </w:t>
      </w:r>
      <w:r>
        <w:rPr>
          <w:sz w:val="18"/>
          <w:vertAlign w:val="baseline"/>
        </w:rPr>
        <w:t>and</w:t>
      </w:r>
      <w:r>
        <w:rPr>
          <w:spacing w:val="-2"/>
          <w:sz w:val="18"/>
          <w:vertAlign w:val="baseline"/>
        </w:rPr>
        <w:t> </w:t>
      </w:r>
      <w:r>
        <w:rPr>
          <w:sz w:val="18"/>
          <w:vertAlign w:val="baseline"/>
        </w:rPr>
        <w:t>libraries</w:t>
      </w:r>
      <w:r>
        <w:rPr>
          <w:spacing w:val="-2"/>
          <w:sz w:val="18"/>
          <w:vertAlign w:val="baseline"/>
        </w:rPr>
        <w:t> </w:t>
      </w:r>
      <w:r>
        <w:rPr>
          <w:sz w:val="18"/>
          <w:vertAlign w:val="baseline"/>
        </w:rPr>
        <w:t>in</w:t>
      </w:r>
      <w:r>
        <w:rPr>
          <w:spacing w:val="-2"/>
          <w:sz w:val="18"/>
          <w:vertAlign w:val="baseline"/>
        </w:rPr>
        <w:t> </w:t>
      </w:r>
      <w:r>
        <w:rPr>
          <w:sz w:val="18"/>
          <w:vertAlign w:val="baseline"/>
        </w:rPr>
        <w:t>Massachusetts.</w:t>
      </w:r>
      <w:r>
        <w:rPr>
          <w:spacing w:val="-5"/>
          <w:sz w:val="18"/>
          <w:vertAlign w:val="baseline"/>
        </w:rPr>
        <w:t> </w:t>
      </w:r>
      <w:r>
        <w:rPr>
          <w:sz w:val="18"/>
          <w:vertAlign w:val="baseline"/>
        </w:rPr>
        <w:t>MBLC Blog. Accessed May 2, 2024. https://mblc.state.ma.us/mblc_blog/2023/09/12/beyond-book-bans-how-book-challenges- </w:t>
      </w:r>
      <w:r>
        <w:rPr>
          <w:spacing w:val="-2"/>
          <w:sz w:val="18"/>
          <w:vertAlign w:val="baseline"/>
        </w:rPr>
        <w:t>are-impacting-librarians-and-libraries-in-massachusetts/</w:t>
      </w:r>
    </w:p>
    <w:p>
      <w:pPr>
        <w:spacing w:before="0"/>
        <w:ind w:left="464" w:right="813" w:firstLine="0"/>
        <w:jc w:val="left"/>
        <w:rPr>
          <w:sz w:val="18"/>
        </w:rPr>
      </w:pPr>
      <w:bookmarkStart w:name="_bookmark53" w:id="163"/>
      <w:bookmarkEnd w:id="163"/>
      <w:r>
        <w:rPr/>
      </w:r>
      <w:r>
        <w:rPr>
          <w:sz w:val="18"/>
          <w:vertAlign w:val="superscript"/>
        </w:rPr>
        <w:t>14</w:t>
      </w:r>
      <w:r>
        <w:rPr>
          <w:sz w:val="18"/>
          <w:vertAlign w:val="baseline"/>
        </w:rPr>
        <w:t> Leung, E., Kassel-Gomez, G., Sullivan, S., Murahara, F., &amp; Flanagan, T. (2022). Social support in schools and related outcomes</w:t>
      </w:r>
      <w:r>
        <w:rPr>
          <w:spacing w:val="-4"/>
          <w:sz w:val="18"/>
          <w:vertAlign w:val="baseline"/>
        </w:rPr>
        <w:t> </w:t>
      </w:r>
      <w:r>
        <w:rPr>
          <w:sz w:val="18"/>
          <w:vertAlign w:val="baseline"/>
        </w:rPr>
        <w:t>for</w:t>
      </w:r>
      <w:r>
        <w:rPr>
          <w:spacing w:val="-5"/>
          <w:sz w:val="18"/>
          <w:vertAlign w:val="baseline"/>
        </w:rPr>
        <w:t> </w:t>
      </w:r>
      <w:r>
        <w:rPr>
          <w:sz w:val="18"/>
          <w:vertAlign w:val="baseline"/>
        </w:rPr>
        <w:t>LGBTQ</w:t>
      </w:r>
      <w:r>
        <w:rPr>
          <w:spacing w:val="-4"/>
          <w:sz w:val="18"/>
          <w:vertAlign w:val="baseline"/>
        </w:rPr>
        <w:t> </w:t>
      </w:r>
      <w:r>
        <w:rPr>
          <w:sz w:val="18"/>
          <w:vertAlign w:val="baseline"/>
        </w:rPr>
        <w:t>youth:</w:t>
      </w:r>
      <w:r>
        <w:rPr>
          <w:spacing w:val="-4"/>
          <w:sz w:val="18"/>
          <w:vertAlign w:val="baseline"/>
        </w:rPr>
        <w:t> </w:t>
      </w:r>
      <w:r>
        <w:rPr>
          <w:sz w:val="18"/>
          <w:vertAlign w:val="baseline"/>
        </w:rPr>
        <w:t>A</w:t>
      </w:r>
      <w:r>
        <w:rPr>
          <w:spacing w:val="-4"/>
          <w:sz w:val="18"/>
          <w:vertAlign w:val="baseline"/>
        </w:rPr>
        <w:t> </w:t>
      </w:r>
      <w:r>
        <w:rPr>
          <w:sz w:val="18"/>
          <w:vertAlign w:val="baseline"/>
        </w:rPr>
        <w:t>scoping</w:t>
      </w:r>
      <w:r>
        <w:rPr>
          <w:spacing w:val="-4"/>
          <w:sz w:val="18"/>
          <w:vertAlign w:val="baseline"/>
        </w:rPr>
        <w:t> </w:t>
      </w:r>
      <w:r>
        <w:rPr>
          <w:sz w:val="18"/>
          <w:vertAlign w:val="baseline"/>
        </w:rPr>
        <w:t>review.</w:t>
      </w:r>
      <w:r>
        <w:rPr>
          <w:spacing w:val="-4"/>
          <w:sz w:val="18"/>
          <w:vertAlign w:val="baseline"/>
        </w:rPr>
        <w:t> </w:t>
      </w:r>
      <w:r>
        <w:rPr>
          <w:i/>
          <w:sz w:val="18"/>
          <w:vertAlign w:val="baseline"/>
        </w:rPr>
        <w:t>Discover</w:t>
      </w:r>
      <w:r>
        <w:rPr>
          <w:i/>
          <w:spacing w:val="-5"/>
          <w:sz w:val="18"/>
          <w:vertAlign w:val="baseline"/>
        </w:rPr>
        <w:t> </w:t>
      </w:r>
      <w:r>
        <w:rPr>
          <w:i/>
          <w:sz w:val="18"/>
          <w:vertAlign w:val="baseline"/>
        </w:rPr>
        <w:t>Education,</w:t>
      </w:r>
      <w:r>
        <w:rPr>
          <w:i/>
          <w:spacing w:val="-5"/>
          <w:sz w:val="18"/>
          <w:vertAlign w:val="baseline"/>
        </w:rPr>
        <w:t> </w:t>
      </w:r>
      <w:r>
        <w:rPr>
          <w:i/>
          <w:sz w:val="18"/>
          <w:vertAlign w:val="baseline"/>
        </w:rPr>
        <w:t>1</w:t>
      </w:r>
      <w:r>
        <w:rPr>
          <w:sz w:val="18"/>
          <w:vertAlign w:val="baseline"/>
        </w:rPr>
        <w:t>(18).</w:t>
      </w:r>
      <w:r>
        <w:rPr>
          <w:spacing w:val="-4"/>
          <w:sz w:val="18"/>
          <w:vertAlign w:val="baseline"/>
        </w:rPr>
        <w:t> </w:t>
      </w:r>
      <w:r>
        <w:rPr>
          <w:sz w:val="18"/>
          <w:vertAlign w:val="baseline"/>
        </w:rPr>
        <w:t>https://doi.org/10.1007/s44217-022-00016-9 </w:t>
      </w:r>
      <w:bookmarkStart w:name="_bookmark54" w:id="164"/>
      <w:bookmarkEnd w:id="164"/>
      <w:r>
        <w:rPr>
          <w:sz w:val="18"/>
          <w:vertAlign w:val="baseline"/>
        </w:rPr>
      </w:r>
      <w:r>
        <w:rPr>
          <w:sz w:val="18"/>
          <w:vertAlign w:val="superscript"/>
        </w:rPr>
        <w:t>15</w:t>
      </w:r>
      <w:r>
        <w:rPr>
          <w:sz w:val="18"/>
          <w:vertAlign w:val="baseline"/>
        </w:rPr>
        <w:t> National School Climate Center. (n.d.). What is school climate and why is it important? Accessed May 6, 2024. </w:t>
      </w:r>
      <w:r>
        <w:rPr>
          <w:spacing w:val="-2"/>
          <w:sz w:val="18"/>
          <w:vertAlign w:val="baseline"/>
        </w:rPr>
        <w:t>https://schoolclimate.org/school-climate/</w:t>
      </w:r>
    </w:p>
    <w:p>
      <w:pPr>
        <w:spacing w:before="0"/>
        <w:ind w:left="463" w:right="565" w:firstLine="0"/>
        <w:jc w:val="left"/>
        <w:rPr>
          <w:sz w:val="18"/>
        </w:rPr>
      </w:pPr>
      <w:bookmarkStart w:name="_bookmark55" w:id="165"/>
      <w:bookmarkEnd w:id="165"/>
      <w:r>
        <w:rPr/>
      </w:r>
      <w:r>
        <w:rPr>
          <w:sz w:val="18"/>
          <w:vertAlign w:val="superscript"/>
        </w:rPr>
        <w:t>16</w:t>
      </w:r>
      <w:r>
        <w:rPr>
          <w:spacing w:val="-2"/>
          <w:sz w:val="18"/>
          <w:vertAlign w:val="baseline"/>
        </w:rPr>
        <w:t> </w:t>
      </w:r>
      <w:r>
        <w:rPr>
          <w:sz w:val="18"/>
          <w:vertAlign w:val="baseline"/>
        </w:rPr>
        <w:t>Ancheta,</w:t>
      </w:r>
      <w:r>
        <w:rPr>
          <w:spacing w:val="-3"/>
          <w:sz w:val="18"/>
          <w:vertAlign w:val="baseline"/>
        </w:rPr>
        <w:t> </w:t>
      </w:r>
      <w:r>
        <w:rPr>
          <w:sz w:val="18"/>
          <w:vertAlign w:val="baseline"/>
        </w:rPr>
        <w:t>A.</w:t>
      </w:r>
      <w:r>
        <w:rPr>
          <w:spacing w:val="-2"/>
          <w:sz w:val="18"/>
          <w:vertAlign w:val="baseline"/>
        </w:rPr>
        <w:t> </w:t>
      </w:r>
      <w:r>
        <w:rPr>
          <w:sz w:val="18"/>
          <w:vertAlign w:val="baseline"/>
        </w:rPr>
        <w:t>J.,</w:t>
      </w:r>
      <w:r>
        <w:rPr>
          <w:spacing w:val="-4"/>
          <w:sz w:val="18"/>
          <w:vertAlign w:val="baseline"/>
        </w:rPr>
        <w:t> </w:t>
      </w:r>
      <w:r>
        <w:rPr>
          <w:sz w:val="18"/>
          <w:vertAlign w:val="baseline"/>
        </w:rPr>
        <w:t>MPhil,</w:t>
      </w:r>
      <w:r>
        <w:rPr>
          <w:spacing w:val="-3"/>
          <w:sz w:val="18"/>
          <w:vertAlign w:val="baseline"/>
        </w:rPr>
        <w:t> </w:t>
      </w:r>
      <w:r>
        <w:rPr>
          <w:sz w:val="18"/>
          <w:vertAlign w:val="baseline"/>
        </w:rPr>
        <w:t>Bruzzese,</w:t>
      </w:r>
      <w:r>
        <w:rPr>
          <w:spacing w:val="-3"/>
          <w:sz w:val="18"/>
          <w:vertAlign w:val="baseline"/>
        </w:rPr>
        <w:t> </w:t>
      </w:r>
      <w:r>
        <w:rPr>
          <w:sz w:val="18"/>
          <w:vertAlign w:val="baseline"/>
        </w:rPr>
        <w:t>J.-M.,</w:t>
      </w:r>
      <w:r>
        <w:rPr>
          <w:spacing w:val="-3"/>
          <w:sz w:val="18"/>
          <w:vertAlign w:val="baseline"/>
        </w:rPr>
        <w:t> </w:t>
      </w:r>
      <w:r>
        <w:rPr>
          <w:sz w:val="18"/>
          <w:vertAlign w:val="baseline"/>
        </w:rPr>
        <w:t>&amp;</w:t>
      </w:r>
      <w:r>
        <w:rPr>
          <w:spacing w:val="-3"/>
          <w:sz w:val="18"/>
          <w:vertAlign w:val="baseline"/>
        </w:rPr>
        <w:t> </w:t>
      </w:r>
      <w:r>
        <w:rPr>
          <w:sz w:val="18"/>
          <w:vertAlign w:val="baseline"/>
        </w:rPr>
        <w:t>Hughes,</w:t>
      </w:r>
      <w:r>
        <w:rPr>
          <w:spacing w:val="-3"/>
          <w:sz w:val="18"/>
          <w:vertAlign w:val="baseline"/>
        </w:rPr>
        <w:t> </w:t>
      </w:r>
      <w:r>
        <w:rPr>
          <w:sz w:val="18"/>
          <w:vertAlign w:val="baseline"/>
        </w:rPr>
        <w:t>T.</w:t>
      </w:r>
      <w:r>
        <w:rPr>
          <w:spacing w:val="-2"/>
          <w:sz w:val="18"/>
          <w:vertAlign w:val="baseline"/>
        </w:rPr>
        <w:t> </w:t>
      </w:r>
      <w:r>
        <w:rPr>
          <w:sz w:val="18"/>
          <w:vertAlign w:val="baseline"/>
        </w:rPr>
        <w:t>L.</w:t>
      </w:r>
      <w:r>
        <w:rPr>
          <w:spacing w:val="-2"/>
          <w:sz w:val="18"/>
          <w:vertAlign w:val="baseline"/>
        </w:rPr>
        <w:t> </w:t>
      </w:r>
      <w:r>
        <w:rPr>
          <w:sz w:val="18"/>
          <w:vertAlign w:val="baseline"/>
        </w:rPr>
        <w:t>(2021).</w:t>
      </w:r>
      <w:r>
        <w:rPr>
          <w:spacing w:val="-2"/>
          <w:sz w:val="18"/>
          <w:vertAlign w:val="baseline"/>
        </w:rPr>
        <w:t> </w:t>
      </w:r>
      <w:r>
        <w:rPr>
          <w:sz w:val="18"/>
          <w:vertAlign w:val="baseline"/>
        </w:rPr>
        <w:t>The</w:t>
      </w:r>
      <w:r>
        <w:rPr>
          <w:spacing w:val="-2"/>
          <w:sz w:val="18"/>
          <w:vertAlign w:val="baseline"/>
        </w:rPr>
        <w:t> </w:t>
      </w:r>
      <w:r>
        <w:rPr>
          <w:sz w:val="18"/>
          <w:vertAlign w:val="baseline"/>
        </w:rPr>
        <w:t>impact</w:t>
      </w:r>
      <w:r>
        <w:rPr>
          <w:spacing w:val="-3"/>
          <w:sz w:val="18"/>
          <w:vertAlign w:val="baseline"/>
        </w:rPr>
        <w:t> </w:t>
      </w:r>
      <w:r>
        <w:rPr>
          <w:sz w:val="18"/>
          <w:vertAlign w:val="baseline"/>
        </w:rPr>
        <w:t>of</w:t>
      </w:r>
      <w:r>
        <w:rPr>
          <w:spacing w:val="-2"/>
          <w:sz w:val="18"/>
          <w:vertAlign w:val="baseline"/>
        </w:rPr>
        <w:t> </w:t>
      </w:r>
      <w:r>
        <w:rPr>
          <w:sz w:val="18"/>
          <w:vertAlign w:val="baseline"/>
        </w:rPr>
        <w:t>positive</w:t>
      </w:r>
      <w:r>
        <w:rPr>
          <w:spacing w:val="-2"/>
          <w:sz w:val="18"/>
          <w:vertAlign w:val="baseline"/>
        </w:rPr>
        <w:t> </w:t>
      </w:r>
      <w:r>
        <w:rPr>
          <w:sz w:val="18"/>
          <w:vertAlign w:val="baseline"/>
        </w:rPr>
        <w:t>school</w:t>
      </w:r>
      <w:r>
        <w:rPr>
          <w:spacing w:val="-3"/>
          <w:sz w:val="18"/>
          <w:vertAlign w:val="baseline"/>
        </w:rPr>
        <w:t> </w:t>
      </w:r>
      <w:r>
        <w:rPr>
          <w:sz w:val="18"/>
          <w:vertAlign w:val="baseline"/>
        </w:rPr>
        <w:t>climate</w:t>
      </w:r>
      <w:r>
        <w:rPr>
          <w:spacing w:val="-2"/>
          <w:sz w:val="18"/>
          <w:vertAlign w:val="baseline"/>
        </w:rPr>
        <w:t> </w:t>
      </w:r>
      <w:r>
        <w:rPr>
          <w:sz w:val="18"/>
          <w:vertAlign w:val="baseline"/>
        </w:rPr>
        <w:t>on</w:t>
      </w:r>
      <w:r>
        <w:rPr>
          <w:spacing w:val="-2"/>
          <w:sz w:val="18"/>
          <w:vertAlign w:val="baseline"/>
        </w:rPr>
        <w:t> </w:t>
      </w:r>
      <w:r>
        <w:rPr>
          <w:sz w:val="18"/>
          <w:vertAlign w:val="baseline"/>
        </w:rPr>
        <w:t>suicidality</w:t>
      </w:r>
      <w:r>
        <w:rPr>
          <w:spacing w:val="-2"/>
          <w:sz w:val="18"/>
          <w:vertAlign w:val="baseline"/>
        </w:rPr>
        <w:t> </w:t>
      </w:r>
      <w:r>
        <w:rPr>
          <w:sz w:val="18"/>
          <w:vertAlign w:val="baseline"/>
        </w:rPr>
        <w:t>and mental health among LGBTQ adolescents: A systematic review. </w:t>
      </w:r>
      <w:r>
        <w:rPr>
          <w:i/>
          <w:sz w:val="18"/>
          <w:vertAlign w:val="baseline"/>
        </w:rPr>
        <w:t>The Journal of School Nursing, 37</w:t>
      </w:r>
      <w:r>
        <w:rPr>
          <w:sz w:val="18"/>
          <w:vertAlign w:val="baseline"/>
        </w:rPr>
        <w:t>(2), 75-86. </w:t>
      </w:r>
      <w:r>
        <w:rPr>
          <w:spacing w:val="-2"/>
          <w:sz w:val="18"/>
          <w:vertAlign w:val="baseline"/>
        </w:rPr>
        <w:t>https://doi.org/10.1177/1059840520970847</w:t>
      </w:r>
    </w:p>
    <w:p>
      <w:pPr>
        <w:spacing w:before="0"/>
        <w:ind w:left="463" w:right="432" w:firstLine="0"/>
        <w:jc w:val="left"/>
        <w:rPr>
          <w:sz w:val="18"/>
        </w:rPr>
      </w:pPr>
      <w:bookmarkStart w:name="_bookmark56" w:id="166"/>
      <w:bookmarkEnd w:id="166"/>
      <w:r>
        <w:rPr/>
      </w:r>
      <w:r>
        <w:rPr>
          <w:sz w:val="18"/>
          <w:vertAlign w:val="superscript"/>
        </w:rPr>
        <w:t>17</w:t>
      </w:r>
      <w:r>
        <w:rPr>
          <w:sz w:val="18"/>
          <w:vertAlign w:val="baseline"/>
        </w:rPr>
        <w:t> National Education Association. (2022, September 29). </w:t>
      </w:r>
      <w:r>
        <w:rPr>
          <w:i/>
          <w:sz w:val="18"/>
          <w:vertAlign w:val="baseline"/>
        </w:rPr>
        <w:t>New report: Culturally responsive &amp; racially inclusive education is</w:t>
      </w:r>
      <w:r>
        <w:rPr>
          <w:i/>
          <w:sz w:val="18"/>
          <w:vertAlign w:val="baseline"/>
        </w:rPr>
        <w:t> legal</w:t>
      </w:r>
      <w:r>
        <w:rPr>
          <w:i/>
          <w:spacing w:val="-5"/>
          <w:sz w:val="18"/>
          <w:vertAlign w:val="baseline"/>
        </w:rPr>
        <w:t> </w:t>
      </w:r>
      <w:r>
        <w:rPr>
          <w:i/>
          <w:sz w:val="18"/>
          <w:vertAlign w:val="baseline"/>
        </w:rPr>
        <w:t>and</w:t>
      </w:r>
      <w:r>
        <w:rPr>
          <w:i/>
          <w:spacing w:val="-5"/>
          <w:sz w:val="18"/>
          <w:vertAlign w:val="baseline"/>
        </w:rPr>
        <w:t> </w:t>
      </w:r>
      <w:r>
        <w:rPr>
          <w:i/>
          <w:sz w:val="18"/>
          <w:vertAlign w:val="baseline"/>
        </w:rPr>
        <w:t>benefits</w:t>
      </w:r>
      <w:r>
        <w:rPr>
          <w:i/>
          <w:spacing w:val="-5"/>
          <w:sz w:val="18"/>
          <w:vertAlign w:val="baseline"/>
        </w:rPr>
        <w:t> </w:t>
      </w:r>
      <w:r>
        <w:rPr>
          <w:i/>
          <w:sz w:val="18"/>
          <w:vertAlign w:val="baseline"/>
        </w:rPr>
        <w:t>all</w:t>
      </w:r>
      <w:r>
        <w:rPr>
          <w:i/>
          <w:spacing w:val="-4"/>
          <w:sz w:val="18"/>
          <w:vertAlign w:val="baseline"/>
        </w:rPr>
        <w:t> </w:t>
      </w:r>
      <w:r>
        <w:rPr>
          <w:i/>
          <w:sz w:val="18"/>
          <w:vertAlign w:val="baseline"/>
        </w:rPr>
        <w:t>students.</w:t>
      </w:r>
      <w:r>
        <w:rPr>
          <w:i/>
          <w:spacing w:val="-4"/>
          <w:sz w:val="18"/>
          <w:vertAlign w:val="baseline"/>
        </w:rPr>
        <w:t> </w:t>
      </w:r>
      <w:r>
        <w:rPr>
          <w:sz w:val="18"/>
          <w:vertAlign w:val="baseline"/>
        </w:rPr>
        <w:t>Accessed</w:t>
      </w:r>
      <w:r>
        <w:rPr>
          <w:spacing w:val="-4"/>
          <w:sz w:val="18"/>
          <w:vertAlign w:val="baseline"/>
        </w:rPr>
        <w:t> </w:t>
      </w:r>
      <w:r>
        <w:rPr>
          <w:sz w:val="18"/>
          <w:vertAlign w:val="baseline"/>
        </w:rPr>
        <w:t>May</w:t>
      </w:r>
      <w:r>
        <w:rPr>
          <w:spacing w:val="-4"/>
          <w:sz w:val="18"/>
          <w:vertAlign w:val="baseline"/>
        </w:rPr>
        <w:t> </w:t>
      </w:r>
      <w:r>
        <w:rPr>
          <w:sz w:val="18"/>
          <w:vertAlign w:val="baseline"/>
        </w:rPr>
        <w:t>18,</w:t>
      </w:r>
      <w:r>
        <w:rPr>
          <w:spacing w:val="-6"/>
          <w:sz w:val="18"/>
          <w:vertAlign w:val="baseline"/>
        </w:rPr>
        <w:t> </w:t>
      </w:r>
      <w:r>
        <w:rPr>
          <w:sz w:val="18"/>
          <w:vertAlign w:val="baseline"/>
        </w:rPr>
        <w:t>2024.</w:t>
      </w:r>
      <w:r>
        <w:rPr>
          <w:spacing w:val="-4"/>
          <w:sz w:val="18"/>
          <w:vertAlign w:val="baseline"/>
        </w:rPr>
        <w:t> </w:t>
      </w:r>
      <w:r>
        <w:rPr>
          <w:sz w:val="18"/>
          <w:vertAlign w:val="baseline"/>
        </w:rPr>
        <w:t>https:</w:t>
      </w:r>
      <w:hyperlink r:id="rId114">
        <w:r>
          <w:rPr>
            <w:sz w:val="18"/>
            <w:vertAlign w:val="baseline"/>
          </w:rPr>
          <w:t>//www.nea.org/about-nea/media-center/press-releases/new-</w:t>
        </w:r>
      </w:hyperlink>
      <w:r>
        <w:rPr>
          <w:sz w:val="18"/>
          <w:vertAlign w:val="baseline"/>
        </w:rPr>
        <w:t> </w:t>
      </w:r>
      <w:r>
        <w:rPr>
          <w:spacing w:val="-2"/>
          <w:sz w:val="18"/>
          <w:vertAlign w:val="baseline"/>
        </w:rPr>
        <w:t>report-culturally-responsive-racially-inclusive-education-legal-and-benefits-all-students</w:t>
      </w:r>
    </w:p>
    <w:p>
      <w:pPr>
        <w:spacing w:before="0"/>
        <w:ind w:left="464" w:right="413" w:hanging="1"/>
        <w:jc w:val="left"/>
        <w:rPr>
          <w:sz w:val="18"/>
        </w:rPr>
      </w:pPr>
      <w:bookmarkStart w:name="_bookmark57" w:id="167"/>
      <w:bookmarkEnd w:id="167"/>
      <w:r>
        <w:rPr/>
      </w:r>
      <w:r>
        <w:rPr>
          <w:sz w:val="18"/>
          <w:vertAlign w:val="superscript"/>
        </w:rPr>
        <w:t>18</w:t>
      </w:r>
      <w:r>
        <w:rPr>
          <w:spacing w:val="-2"/>
          <w:sz w:val="18"/>
          <w:vertAlign w:val="baseline"/>
        </w:rPr>
        <w:t> </w:t>
      </w:r>
      <w:r>
        <w:rPr>
          <w:sz w:val="18"/>
          <w:vertAlign w:val="baseline"/>
        </w:rPr>
        <w:t>Centers</w:t>
      </w:r>
      <w:r>
        <w:rPr>
          <w:spacing w:val="-2"/>
          <w:sz w:val="18"/>
          <w:vertAlign w:val="baseline"/>
        </w:rPr>
        <w:t> </w:t>
      </w:r>
      <w:r>
        <w:rPr>
          <w:sz w:val="18"/>
          <w:vertAlign w:val="baseline"/>
        </w:rPr>
        <w:t>for</w:t>
      </w:r>
      <w:r>
        <w:rPr>
          <w:spacing w:val="-3"/>
          <w:sz w:val="18"/>
          <w:vertAlign w:val="baseline"/>
        </w:rPr>
        <w:t> </w:t>
      </w:r>
      <w:r>
        <w:rPr>
          <w:sz w:val="18"/>
          <w:vertAlign w:val="baseline"/>
        </w:rPr>
        <w:t>Disease</w:t>
      </w:r>
      <w:r>
        <w:rPr>
          <w:spacing w:val="-2"/>
          <w:sz w:val="18"/>
          <w:vertAlign w:val="baseline"/>
        </w:rPr>
        <w:t> </w:t>
      </w:r>
      <w:r>
        <w:rPr>
          <w:sz w:val="18"/>
          <w:vertAlign w:val="baseline"/>
        </w:rPr>
        <w:t>Control</w:t>
      </w:r>
      <w:r>
        <w:rPr>
          <w:spacing w:val="-3"/>
          <w:sz w:val="18"/>
          <w:vertAlign w:val="baseline"/>
        </w:rPr>
        <w:t> </w:t>
      </w:r>
      <w:r>
        <w:rPr>
          <w:sz w:val="18"/>
          <w:vertAlign w:val="baseline"/>
        </w:rPr>
        <w:t>and</w:t>
      </w:r>
      <w:r>
        <w:rPr>
          <w:spacing w:val="-3"/>
          <w:sz w:val="18"/>
          <w:vertAlign w:val="baseline"/>
        </w:rPr>
        <w:t> </w:t>
      </w:r>
      <w:r>
        <w:rPr>
          <w:sz w:val="18"/>
          <w:vertAlign w:val="baseline"/>
        </w:rPr>
        <w:t>Prevention.</w:t>
      </w:r>
      <w:r>
        <w:rPr>
          <w:spacing w:val="-3"/>
          <w:sz w:val="18"/>
          <w:vertAlign w:val="baseline"/>
        </w:rPr>
        <w:t> </w:t>
      </w:r>
      <w:r>
        <w:rPr>
          <w:sz w:val="18"/>
          <w:vertAlign w:val="baseline"/>
        </w:rPr>
        <w:t>(2022,</w:t>
      </w:r>
      <w:r>
        <w:rPr>
          <w:spacing w:val="-3"/>
          <w:sz w:val="18"/>
          <w:vertAlign w:val="baseline"/>
        </w:rPr>
        <w:t> </w:t>
      </w:r>
      <w:r>
        <w:rPr>
          <w:sz w:val="18"/>
          <w:vertAlign w:val="baseline"/>
        </w:rPr>
        <w:t>June</w:t>
      </w:r>
      <w:r>
        <w:rPr>
          <w:spacing w:val="-2"/>
          <w:sz w:val="18"/>
          <w:vertAlign w:val="baseline"/>
        </w:rPr>
        <w:t> </w:t>
      </w:r>
      <w:r>
        <w:rPr>
          <w:sz w:val="18"/>
          <w:vertAlign w:val="baseline"/>
        </w:rPr>
        <w:t>27).</w:t>
      </w:r>
      <w:r>
        <w:rPr>
          <w:spacing w:val="-3"/>
          <w:sz w:val="18"/>
          <w:vertAlign w:val="baseline"/>
        </w:rPr>
        <w:t> </w:t>
      </w:r>
      <w:r>
        <w:rPr>
          <w:i/>
          <w:sz w:val="18"/>
          <w:vertAlign w:val="baseline"/>
        </w:rPr>
        <w:t>Inclusive</w:t>
      </w:r>
      <w:r>
        <w:rPr>
          <w:i/>
          <w:spacing w:val="-2"/>
          <w:sz w:val="18"/>
          <w:vertAlign w:val="baseline"/>
        </w:rPr>
        <w:t> </w:t>
      </w:r>
      <w:r>
        <w:rPr>
          <w:i/>
          <w:sz w:val="18"/>
          <w:vertAlign w:val="baseline"/>
        </w:rPr>
        <w:t>practices</w:t>
      </w:r>
      <w:r>
        <w:rPr>
          <w:i/>
          <w:spacing w:val="-3"/>
          <w:sz w:val="18"/>
          <w:vertAlign w:val="baseline"/>
        </w:rPr>
        <w:t> </w:t>
      </w:r>
      <w:r>
        <w:rPr>
          <w:i/>
          <w:sz w:val="18"/>
          <w:vertAlign w:val="baseline"/>
        </w:rPr>
        <w:t>help</w:t>
      </w:r>
      <w:r>
        <w:rPr>
          <w:i/>
          <w:spacing w:val="-2"/>
          <w:sz w:val="18"/>
          <w:vertAlign w:val="baseline"/>
        </w:rPr>
        <w:t> </w:t>
      </w:r>
      <w:r>
        <w:rPr>
          <w:i/>
          <w:sz w:val="18"/>
          <w:vertAlign w:val="baseline"/>
        </w:rPr>
        <w:t>all</w:t>
      </w:r>
      <w:r>
        <w:rPr>
          <w:i/>
          <w:spacing w:val="-2"/>
          <w:sz w:val="18"/>
          <w:vertAlign w:val="baseline"/>
        </w:rPr>
        <w:t> </w:t>
      </w:r>
      <w:r>
        <w:rPr>
          <w:i/>
          <w:sz w:val="18"/>
          <w:vertAlign w:val="baseline"/>
        </w:rPr>
        <w:t>students</w:t>
      </w:r>
      <w:r>
        <w:rPr>
          <w:i/>
          <w:spacing w:val="-3"/>
          <w:sz w:val="18"/>
          <w:vertAlign w:val="baseline"/>
        </w:rPr>
        <w:t> </w:t>
      </w:r>
      <w:r>
        <w:rPr>
          <w:i/>
          <w:sz w:val="18"/>
          <w:vertAlign w:val="baseline"/>
        </w:rPr>
        <w:t>thrive.</w:t>
      </w:r>
      <w:r>
        <w:rPr>
          <w:i/>
          <w:spacing w:val="-2"/>
          <w:sz w:val="18"/>
          <w:vertAlign w:val="baseline"/>
        </w:rPr>
        <w:t> </w:t>
      </w:r>
      <w:r>
        <w:rPr>
          <w:sz w:val="18"/>
          <w:vertAlign w:val="baseline"/>
        </w:rPr>
        <w:t>Accessed</w:t>
      </w:r>
      <w:r>
        <w:rPr>
          <w:spacing w:val="-2"/>
          <w:sz w:val="18"/>
          <w:vertAlign w:val="baseline"/>
        </w:rPr>
        <w:t> </w:t>
      </w:r>
      <w:r>
        <w:rPr>
          <w:sz w:val="18"/>
          <w:vertAlign w:val="baseline"/>
        </w:rPr>
        <w:t>May</w:t>
      </w:r>
      <w:r>
        <w:rPr>
          <w:spacing w:val="-2"/>
          <w:sz w:val="18"/>
          <w:vertAlign w:val="baseline"/>
        </w:rPr>
        <w:t> </w:t>
      </w:r>
      <w:r>
        <w:rPr>
          <w:sz w:val="18"/>
          <w:vertAlign w:val="baseline"/>
        </w:rPr>
        <w:t>18, 2024. https:</w:t>
      </w:r>
      <w:hyperlink r:id="rId115">
        <w:r>
          <w:rPr>
            <w:sz w:val="18"/>
            <w:vertAlign w:val="baseline"/>
          </w:rPr>
          <w:t>//www.cdc.gov/healthyyouth/safe-supportive-environments/LGBTQ-policies-practices.htm</w:t>
        </w:r>
      </w:hyperlink>
    </w:p>
    <w:p>
      <w:pPr>
        <w:spacing w:before="0"/>
        <w:ind w:left="464" w:right="565" w:firstLine="0"/>
        <w:jc w:val="left"/>
        <w:rPr>
          <w:sz w:val="18"/>
        </w:rPr>
      </w:pPr>
      <w:bookmarkStart w:name="_bookmark58" w:id="168"/>
      <w:bookmarkEnd w:id="168"/>
      <w:r>
        <w:rPr/>
      </w:r>
      <w:r>
        <w:rPr>
          <w:sz w:val="18"/>
          <w:vertAlign w:val="superscript"/>
        </w:rPr>
        <w:t>19</w:t>
      </w:r>
      <w:r>
        <w:rPr>
          <w:spacing w:val="-2"/>
          <w:sz w:val="18"/>
          <w:vertAlign w:val="baseline"/>
        </w:rPr>
        <w:t> </w:t>
      </w:r>
      <w:r>
        <w:rPr>
          <w:sz w:val="18"/>
          <w:vertAlign w:val="baseline"/>
        </w:rPr>
        <w:t>Reid,</w:t>
      </w:r>
      <w:r>
        <w:rPr>
          <w:spacing w:val="-3"/>
          <w:sz w:val="18"/>
          <w:vertAlign w:val="baseline"/>
        </w:rPr>
        <w:t> </w:t>
      </w:r>
      <w:r>
        <w:rPr>
          <w:sz w:val="18"/>
          <w:vertAlign w:val="baseline"/>
        </w:rPr>
        <w:t>S.</w:t>
      </w:r>
      <w:r>
        <w:rPr>
          <w:spacing w:val="-2"/>
          <w:sz w:val="18"/>
          <w:vertAlign w:val="baseline"/>
        </w:rPr>
        <w:t> </w:t>
      </w:r>
      <w:r>
        <w:rPr>
          <w:sz w:val="18"/>
          <w:vertAlign w:val="baseline"/>
        </w:rPr>
        <w:t>(2022).</w:t>
      </w:r>
      <w:r>
        <w:rPr>
          <w:spacing w:val="-3"/>
          <w:sz w:val="18"/>
          <w:vertAlign w:val="baseline"/>
        </w:rPr>
        <w:t> </w:t>
      </w:r>
      <w:r>
        <w:rPr>
          <w:sz w:val="18"/>
          <w:vertAlign w:val="baseline"/>
        </w:rPr>
        <w:t>Exploring</w:t>
      </w:r>
      <w:r>
        <w:rPr>
          <w:spacing w:val="-2"/>
          <w:sz w:val="18"/>
          <w:vertAlign w:val="baseline"/>
        </w:rPr>
        <w:t> </w:t>
      </w:r>
      <w:r>
        <w:rPr>
          <w:sz w:val="18"/>
          <w:vertAlign w:val="baseline"/>
        </w:rPr>
        <w:t>the</w:t>
      </w:r>
      <w:r>
        <w:rPr>
          <w:spacing w:val="-2"/>
          <w:sz w:val="18"/>
          <w:vertAlign w:val="baseline"/>
        </w:rPr>
        <w:t> </w:t>
      </w:r>
      <w:r>
        <w:rPr>
          <w:sz w:val="18"/>
          <w:vertAlign w:val="baseline"/>
        </w:rPr>
        <w:t>agency</w:t>
      </w:r>
      <w:r>
        <w:rPr>
          <w:spacing w:val="-2"/>
          <w:sz w:val="18"/>
          <w:vertAlign w:val="baseline"/>
        </w:rPr>
        <w:t> </w:t>
      </w:r>
      <w:r>
        <w:rPr>
          <w:sz w:val="18"/>
          <w:vertAlign w:val="baseline"/>
        </w:rPr>
        <w:t>of</w:t>
      </w:r>
      <w:r>
        <w:rPr>
          <w:spacing w:val="-2"/>
          <w:sz w:val="18"/>
          <w:vertAlign w:val="baseline"/>
        </w:rPr>
        <w:t> </w:t>
      </w:r>
      <w:r>
        <w:rPr>
          <w:sz w:val="18"/>
          <w:vertAlign w:val="baseline"/>
        </w:rPr>
        <w:t>Black</w:t>
      </w:r>
      <w:r>
        <w:rPr>
          <w:spacing w:val="-3"/>
          <w:sz w:val="18"/>
          <w:vertAlign w:val="baseline"/>
        </w:rPr>
        <w:t> </w:t>
      </w:r>
      <w:r>
        <w:rPr>
          <w:sz w:val="18"/>
          <w:vertAlign w:val="baseline"/>
        </w:rPr>
        <w:t>LGBTQ+</w:t>
      </w:r>
      <w:r>
        <w:rPr>
          <w:spacing w:val="-2"/>
          <w:sz w:val="18"/>
          <w:vertAlign w:val="baseline"/>
        </w:rPr>
        <w:t> </w:t>
      </w:r>
      <w:r>
        <w:rPr>
          <w:sz w:val="18"/>
          <w:vertAlign w:val="baseline"/>
        </w:rPr>
        <w:t>youth</w:t>
      </w:r>
      <w:r>
        <w:rPr>
          <w:spacing w:val="-2"/>
          <w:sz w:val="18"/>
          <w:vertAlign w:val="baseline"/>
        </w:rPr>
        <w:t> </w:t>
      </w:r>
      <w:r>
        <w:rPr>
          <w:sz w:val="18"/>
          <w:vertAlign w:val="baseline"/>
        </w:rPr>
        <w:t>in</w:t>
      </w:r>
      <w:r>
        <w:rPr>
          <w:spacing w:val="-2"/>
          <w:sz w:val="18"/>
          <w:vertAlign w:val="baseline"/>
        </w:rPr>
        <w:t> </w:t>
      </w:r>
      <w:r>
        <w:rPr>
          <w:sz w:val="18"/>
          <w:vertAlign w:val="baseline"/>
        </w:rPr>
        <w:t>schools</w:t>
      </w:r>
      <w:r>
        <w:rPr>
          <w:spacing w:val="-2"/>
          <w:sz w:val="18"/>
          <w:vertAlign w:val="baseline"/>
        </w:rPr>
        <w:t> </w:t>
      </w:r>
      <w:r>
        <w:rPr>
          <w:sz w:val="18"/>
          <w:vertAlign w:val="baseline"/>
        </w:rPr>
        <w:t>and</w:t>
      </w:r>
      <w:r>
        <w:rPr>
          <w:spacing w:val="-2"/>
          <w:sz w:val="18"/>
          <w:vertAlign w:val="baseline"/>
        </w:rPr>
        <w:t> </w:t>
      </w:r>
      <w:r>
        <w:rPr>
          <w:sz w:val="18"/>
          <w:vertAlign w:val="baseline"/>
        </w:rPr>
        <w:t>in</w:t>
      </w:r>
      <w:r>
        <w:rPr>
          <w:spacing w:val="-2"/>
          <w:sz w:val="18"/>
          <w:vertAlign w:val="baseline"/>
        </w:rPr>
        <w:t> </w:t>
      </w:r>
      <w:r>
        <w:rPr>
          <w:sz w:val="18"/>
          <w:vertAlign w:val="baseline"/>
        </w:rPr>
        <w:t>NYC’s</w:t>
      </w:r>
      <w:r>
        <w:rPr>
          <w:spacing w:val="-2"/>
          <w:sz w:val="18"/>
          <w:vertAlign w:val="baseline"/>
        </w:rPr>
        <w:t> </w:t>
      </w:r>
      <w:r>
        <w:rPr>
          <w:sz w:val="18"/>
          <w:vertAlign w:val="baseline"/>
        </w:rPr>
        <w:t>ballroom</w:t>
      </w:r>
      <w:r>
        <w:rPr>
          <w:spacing w:val="-2"/>
          <w:sz w:val="18"/>
          <w:vertAlign w:val="baseline"/>
        </w:rPr>
        <w:t> </w:t>
      </w:r>
      <w:r>
        <w:rPr>
          <w:sz w:val="18"/>
          <w:vertAlign w:val="baseline"/>
        </w:rPr>
        <w:t>culture.</w:t>
      </w:r>
      <w:r>
        <w:rPr>
          <w:spacing w:val="-2"/>
          <w:sz w:val="18"/>
          <w:vertAlign w:val="baseline"/>
        </w:rPr>
        <w:t> </w:t>
      </w:r>
      <w:r>
        <w:rPr>
          <w:i/>
          <w:sz w:val="18"/>
          <w:vertAlign w:val="baseline"/>
        </w:rPr>
        <w:t>Teachers</w:t>
      </w:r>
      <w:r>
        <w:rPr>
          <w:i/>
          <w:spacing w:val="-3"/>
          <w:sz w:val="18"/>
          <w:vertAlign w:val="baseline"/>
        </w:rPr>
        <w:t> </w:t>
      </w:r>
      <w:r>
        <w:rPr>
          <w:i/>
          <w:sz w:val="18"/>
          <w:vertAlign w:val="baseline"/>
        </w:rPr>
        <w:t>College</w:t>
      </w:r>
      <w:r>
        <w:rPr>
          <w:i/>
          <w:sz w:val="18"/>
          <w:vertAlign w:val="baseline"/>
        </w:rPr>
        <w:t> Record, 124</w:t>
      </w:r>
      <w:r>
        <w:rPr>
          <w:sz w:val="18"/>
          <w:vertAlign w:val="baseline"/>
        </w:rPr>
        <w:t>(6), 92-117. https://doi.org/10.1177/01614681221111072</w:t>
      </w:r>
    </w:p>
    <w:p>
      <w:pPr>
        <w:spacing w:before="0"/>
        <w:ind w:left="464" w:right="565" w:firstLine="0"/>
        <w:jc w:val="left"/>
        <w:rPr>
          <w:sz w:val="18"/>
        </w:rPr>
      </w:pPr>
      <w:bookmarkStart w:name="_bookmark59" w:id="169"/>
      <w:bookmarkEnd w:id="169"/>
      <w:r>
        <w:rPr/>
      </w:r>
      <w:r>
        <w:rPr>
          <w:sz w:val="18"/>
          <w:vertAlign w:val="superscript"/>
        </w:rPr>
        <w:t>20</w:t>
      </w:r>
      <w:r>
        <w:rPr>
          <w:spacing w:val="-2"/>
          <w:sz w:val="18"/>
          <w:vertAlign w:val="baseline"/>
        </w:rPr>
        <w:t> </w:t>
      </w:r>
      <w:r>
        <w:rPr>
          <w:sz w:val="18"/>
          <w:vertAlign w:val="baseline"/>
        </w:rPr>
        <w:t>Adhia,</w:t>
      </w:r>
      <w:r>
        <w:rPr>
          <w:spacing w:val="-3"/>
          <w:sz w:val="18"/>
          <w:vertAlign w:val="baseline"/>
        </w:rPr>
        <w:t> </w:t>
      </w:r>
      <w:r>
        <w:rPr>
          <w:sz w:val="18"/>
          <w:vertAlign w:val="baseline"/>
        </w:rPr>
        <w:t>A.,</w:t>
      </w:r>
      <w:r>
        <w:rPr>
          <w:spacing w:val="-3"/>
          <w:sz w:val="18"/>
          <w:vertAlign w:val="baseline"/>
        </w:rPr>
        <w:t> </w:t>
      </w:r>
      <w:r>
        <w:rPr>
          <w:sz w:val="18"/>
          <w:vertAlign w:val="baseline"/>
        </w:rPr>
        <w:t>Pugh,</w:t>
      </w:r>
      <w:r>
        <w:rPr>
          <w:spacing w:val="-4"/>
          <w:sz w:val="18"/>
          <w:vertAlign w:val="baseline"/>
        </w:rPr>
        <w:t> </w:t>
      </w:r>
      <w:r>
        <w:rPr>
          <w:sz w:val="18"/>
          <w:vertAlign w:val="baseline"/>
        </w:rPr>
        <w:t>D.,</w:t>
      </w:r>
      <w:r>
        <w:rPr>
          <w:spacing w:val="-3"/>
          <w:sz w:val="18"/>
          <w:vertAlign w:val="baseline"/>
        </w:rPr>
        <w:t> </w:t>
      </w:r>
      <w:r>
        <w:rPr>
          <w:sz w:val="18"/>
          <w:vertAlign w:val="baseline"/>
        </w:rPr>
        <w:t>Lucas,</w:t>
      </w:r>
      <w:r>
        <w:rPr>
          <w:spacing w:val="-3"/>
          <w:sz w:val="18"/>
          <w:vertAlign w:val="baseline"/>
        </w:rPr>
        <w:t> </w:t>
      </w:r>
      <w:r>
        <w:rPr>
          <w:sz w:val="18"/>
          <w:vertAlign w:val="baseline"/>
        </w:rPr>
        <w:t>R.,</w:t>
      </w:r>
      <w:r>
        <w:rPr>
          <w:spacing w:val="-3"/>
          <w:sz w:val="18"/>
          <w:vertAlign w:val="baseline"/>
        </w:rPr>
        <w:t> </w:t>
      </w:r>
      <w:r>
        <w:rPr>
          <w:sz w:val="18"/>
          <w:vertAlign w:val="baseline"/>
        </w:rPr>
        <w:t>Kelley,</w:t>
      </w:r>
      <w:r>
        <w:rPr>
          <w:spacing w:val="-3"/>
          <w:sz w:val="18"/>
          <w:vertAlign w:val="baseline"/>
        </w:rPr>
        <w:t> </w:t>
      </w:r>
      <w:r>
        <w:rPr>
          <w:sz w:val="18"/>
          <w:vertAlign w:val="baseline"/>
        </w:rPr>
        <w:t>J.,</w:t>
      </w:r>
      <w:r>
        <w:rPr>
          <w:spacing w:val="-3"/>
          <w:sz w:val="18"/>
          <w:vertAlign w:val="baseline"/>
        </w:rPr>
        <w:t> </w:t>
      </w:r>
      <w:r>
        <w:rPr>
          <w:sz w:val="18"/>
          <w:vertAlign w:val="baseline"/>
        </w:rPr>
        <w:t>&amp;</w:t>
      </w:r>
      <w:r>
        <w:rPr>
          <w:spacing w:val="-3"/>
          <w:sz w:val="18"/>
          <w:vertAlign w:val="baseline"/>
        </w:rPr>
        <w:t> </w:t>
      </w:r>
      <w:r>
        <w:rPr>
          <w:sz w:val="18"/>
          <w:vertAlign w:val="baseline"/>
        </w:rPr>
        <w:t>Bekemeier,</w:t>
      </w:r>
      <w:r>
        <w:rPr>
          <w:spacing w:val="-3"/>
          <w:sz w:val="18"/>
          <w:vertAlign w:val="baseline"/>
        </w:rPr>
        <w:t> </w:t>
      </w:r>
      <w:r>
        <w:rPr>
          <w:sz w:val="18"/>
          <w:vertAlign w:val="baseline"/>
        </w:rPr>
        <w:t>B.</w:t>
      </w:r>
      <w:r>
        <w:rPr>
          <w:spacing w:val="-2"/>
          <w:sz w:val="18"/>
          <w:vertAlign w:val="baseline"/>
        </w:rPr>
        <w:t> </w:t>
      </w:r>
      <w:r>
        <w:rPr>
          <w:sz w:val="18"/>
          <w:vertAlign w:val="baseline"/>
        </w:rPr>
        <w:t>(2023).</w:t>
      </w:r>
      <w:r>
        <w:rPr>
          <w:spacing w:val="-3"/>
          <w:sz w:val="18"/>
          <w:vertAlign w:val="baseline"/>
        </w:rPr>
        <w:t> </w:t>
      </w:r>
      <w:r>
        <w:rPr>
          <w:sz w:val="18"/>
          <w:vertAlign w:val="baseline"/>
        </w:rPr>
        <w:t>Improving</w:t>
      </w:r>
      <w:r>
        <w:rPr>
          <w:spacing w:val="-2"/>
          <w:sz w:val="18"/>
          <w:vertAlign w:val="baseline"/>
        </w:rPr>
        <w:t> </w:t>
      </w:r>
      <w:r>
        <w:rPr>
          <w:sz w:val="18"/>
          <w:vertAlign w:val="baseline"/>
        </w:rPr>
        <w:t>school</w:t>
      </w:r>
      <w:r>
        <w:rPr>
          <w:spacing w:val="-3"/>
          <w:sz w:val="18"/>
          <w:vertAlign w:val="baseline"/>
        </w:rPr>
        <w:t> </w:t>
      </w:r>
      <w:r>
        <w:rPr>
          <w:sz w:val="18"/>
          <w:vertAlign w:val="baseline"/>
        </w:rPr>
        <w:t>environments</w:t>
      </w:r>
      <w:r>
        <w:rPr>
          <w:spacing w:val="-2"/>
          <w:sz w:val="18"/>
          <w:vertAlign w:val="baseline"/>
        </w:rPr>
        <w:t> </w:t>
      </w:r>
      <w:r>
        <w:rPr>
          <w:sz w:val="18"/>
          <w:vertAlign w:val="baseline"/>
        </w:rPr>
        <w:t>for</w:t>
      </w:r>
      <w:r>
        <w:rPr>
          <w:spacing w:val="-3"/>
          <w:sz w:val="18"/>
          <w:vertAlign w:val="baseline"/>
        </w:rPr>
        <w:t> </w:t>
      </w:r>
      <w:r>
        <w:rPr>
          <w:sz w:val="18"/>
          <w:vertAlign w:val="baseline"/>
        </w:rPr>
        <w:t>preventing</w:t>
      </w:r>
      <w:r>
        <w:rPr>
          <w:spacing w:val="-2"/>
          <w:sz w:val="18"/>
          <w:vertAlign w:val="baseline"/>
        </w:rPr>
        <w:t> </w:t>
      </w:r>
      <w:r>
        <w:rPr>
          <w:sz w:val="18"/>
          <w:vertAlign w:val="baseline"/>
        </w:rPr>
        <w:t>sexual violence among LGBTQ+ youth. </w:t>
      </w:r>
      <w:r>
        <w:rPr>
          <w:i/>
          <w:sz w:val="18"/>
          <w:vertAlign w:val="baseline"/>
        </w:rPr>
        <w:t>Journal of School Health, 94</w:t>
      </w:r>
      <w:r>
        <w:rPr>
          <w:sz w:val="18"/>
          <w:vertAlign w:val="baseline"/>
        </w:rPr>
        <w:t>(3), 243-250.</w:t>
      </w:r>
    </w:p>
    <w:p>
      <w:pPr>
        <w:spacing w:before="0"/>
        <w:ind w:left="464" w:right="565" w:hanging="1"/>
        <w:jc w:val="left"/>
        <w:rPr>
          <w:sz w:val="18"/>
        </w:rPr>
      </w:pPr>
      <w:bookmarkStart w:name="_bookmark60" w:id="170"/>
      <w:bookmarkEnd w:id="170"/>
      <w:r>
        <w:rPr/>
      </w:r>
      <w:r>
        <w:rPr>
          <w:sz w:val="18"/>
          <w:vertAlign w:val="superscript"/>
        </w:rPr>
        <w:t>21</w:t>
      </w:r>
      <w:r>
        <w:rPr>
          <w:spacing w:val="-2"/>
          <w:sz w:val="18"/>
          <w:vertAlign w:val="baseline"/>
        </w:rPr>
        <w:t> </w:t>
      </w:r>
      <w:r>
        <w:rPr>
          <w:sz w:val="18"/>
          <w:vertAlign w:val="baseline"/>
        </w:rPr>
        <w:t>Cruz,</w:t>
      </w:r>
      <w:r>
        <w:rPr>
          <w:spacing w:val="-3"/>
          <w:sz w:val="18"/>
          <w:vertAlign w:val="baseline"/>
        </w:rPr>
        <w:t> </w:t>
      </w:r>
      <w:r>
        <w:rPr>
          <w:sz w:val="18"/>
          <w:vertAlign w:val="baseline"/>
        </w:rPr>
        <w:t>T.</w:t>
      </w:r>
      <w:r>
        <w:rPr>
          <w:spacing w:val="-2"/>
          <w:sz w:val="18"/>
          <w:vertAlign w:val="baseline"/>
        </w:rPr>
        <w:t> </w:t>
      </w:r>
      <w:r>
        <w:rPr>
          <w:sz w:val="18"/>
          <w:vertAlign w:val="baseline"/>
        </w:rPr>
        <w:t>H.,</w:t>
      </w:r>
      <w:r>
        <w:rPr>
          <w:spacing w:val="-2"/>
          <w:sz w:val="18"/>
          <w:vertAlign w:val="baseline"/>
        </w:rPr>
        <w:t> </w:t>
      </w:r>
      <w:r>
        <w:rPr>
          <w:sz w:val="18"/>
          <w:vertAlign w:val="baseline"/>
        </w:rPr>
        <w:t>Ross-Reed,</w:t>
      </w:r>
      <w:r>
        <w:rPr>
          <w:spacing w:val="-3"/>
          <w:sz w:val="18"/>
          <w:vertAlign w:val="baseline"/>
        </w:rPr>
        <w:t> </w:t>
      </w:r>
      <w:r>
        <w:rPr>
          <w:sz w:val="18"/>
          <w:vertAlign w:val="baseline"/>
        </w:rPr>
        <w:t>D.</w:t>
      </w:r>
      <w:r>
        <w:rPr>
          <w:spacing w:val="-2"/>
          <w:sz w:val="18"/>
          <w:vertAlign w:val="baseline"/>
        </w:rPr>
        <w:t> </w:t>
      </w:r>
      <w:r>
        <w:rPr>
          <w:sz w:val="18"/>
          <w:vertAlign w:val="baseline"/>
        </w:rPr>
        <w:t>E.,</w:t>
      </w:r>
      <w:r>
        <w:rPr>
          <w:spacing w:val="-3"/>
          <w:sz w:val="18"/>
          <w:vertAlign w:val="baseline"/>
        </w:rPr>
        <w:t> </w:t>
      </w:r>
      <w:r>
        <w:rPr>
          <w:sz w:val="18"/>
          <w:vertAlign w:val="baseline"/>
        </w:rPr>
        <w:t>FitzGerald,</w:t>
      </w:r>
      <w:r>
        <w:rPr>
          <w:spacing w:val="-3"/>
          <w:sz w:val="18"/>
          <w:vertAlign w:val="baseline"/>
        </w:rPr>
        <w:t> </w:t>
      </w:r>
      <w:r>
        <w:rPr>
          <w:sz w:val="18"/>
          <w:vertAlign w:val="baseline"/>
        </w:rPr>
        <w:t>C.</w:t>
      </w:r>
      <w:r>
        <w:rPr>
          <w:spacing w:val="-2"/>
          <w:sz w:val="18"/>
          <w:vertAlign w:val="baseline"/>
        </w:rPr>
        <w:t> </w:t>
      </w:r>
      <w:r>
        <w:rPr>
          <w:sz w:val="18"/>
          <w:vertAlign w:val="baseline"/>
        </w:rPr>
        <w:t>A.,</w:t>
      </w:r>
      <w:r>
        <w:rPr>
          <w:spacing w:val="-3"/>
          <w:sz w:val="18"/>
          <w:vertAlign w:val="baseline"/>
        </w:rPr>
        <w:t> </w:t>
      </w:r>
      <w:r>
        <w:rPr>
          <w:sz w:val="18"/>
          <w:vertAlign w:val="baseline"/>
        </w:rPr>
        <w:t>Overton,</w:t>
      </w:r>
      <w:r>
        <w:rPr>
          <w:spacing w:val="-3"/>
          <w:sz w:val="18"/>
          <w:vertAlign w:val="baseline"/>
        </w:rPr>
        <w:t> </w:t>
      </w:r>
      <w:r>
        <w:rPr>
          <w:sz w:val="18"/>
          <w:vertAlign w:val="baseline"/>
        </w:rPr>
        <w:t>K.,</w:t>
      </w:r>
      <w:r>
        <w:rPr>
          <w:spacing w:val="-3"/>
          <w:sz w:val="18"/>
          <w:vertAlign w:val="baseline"/>
        </w:rPr>
        <w:t> </w:t>
      </w:r>
      <w:r>
        <w:rPr>
          <w:sz w:val="18"/>
          <w:vertAlign w:val="baseline"/>
        </w:rPr>
        <w:t>Landrau-Cribbs,</w:t>
      </w:r>
      <w:r>
        <w:rPr>
          <w:spacing w:val="-3"/>
          <w:sz w:val="18"/>
          <w:vertAlign w:val="baseline"/>
        </w:rPr>
        <w:t> </w:t>
      </w:r>
      <w:r>
        <w:rPr>
          <w:sz w:val="18"/>
          <w:vertAlign w:val="baseline"/>
        </w:rPr>
        <w:t>E.,</w:t>
      </w:r>
      <w:r>
        <w:rPr>
          <w:spacing w:val="-3"/>
          <w:sz w:val="18"/>
          <w:vertAlign w:val="baseline"/>
        </w:rPr>
        <w:t> </w:t>
      </w:r>
      <w:r>
        <w:rPr>
          <w:sz w:val="18"/>
          <w:vertAlign w:val="baseline"/>
        </w:rPr>
        <w:t>Schiff,</w:t>
      </w:r>
      <w:r>
        <w:rPr>
          <w:spacing w:val="-3"/>
          <w:sz w:val="18"/>
          <w:vertAlign w:val="baseline"/>
        </w:rPr>
        <w:t> </w:t>
      </w:r>
      <w:r>
        <w:rPr>
          <w:sz w:val="18"/>
          <w:vertAlign w:val="baseline"/>
        </w:rPr>
        <w:t>M.</w:t>
      </w:r>
      <w:r>
        <w:rPr>
          <w:spacing w:val="-2"/>
          <w:sz w:val="18"/>
          <w:vertAlign w:val="baseline"/>
        </w:rPr>
        <w:t> </w:t>
      </w:r>
      <w:r>
        <w:rPr>
          <w:sz w:val="18"/>
          <w:vertAlign w:val="baseline"/>
        </w:rPr>
        <w:t>(2023).</w:t>
      </w:r>
      <w:r>
        <w:rPr>
          <w:spacing w:val="-2"/>
          <w:sz w:val="18"/>
          <w:vertAlign w:val="baseline"/>
        </w:rPr>
        <w:t> </w:t>
      </w:r>
      <w:r>
        <w:rPr>
          <w:sz w:val="18"/>
          <w:vertAlign w:val="baseline"/>
        </w:rPr>
        <w:t>Effects</w:t>
      </w:r>
      <w:r>
        <w:rPr>
          <w:spacing w:val="-2"/>
          <w:sz w:val="18"/>
          <w:vertAlign w:val="baseline"/>
        </w:rPr>
        <w:t> </w:t>
      </w:r>
      <w:r>
        <w:rPr>
          <w:sz w:val="18"/>
          <w:vertAlign w:val="baseline"/>
        </w:rPr>
        <w:t>of</w:t>
      </w:r>
      <w:r>
        <w:rPr>
          <w:spacing w:val="-2"/>
          <w:sz w:val="18"/>
          <w:vertAlign w:val="baseline"/>
        </w:rPr>
        <w:t> </w:t>
      </w:r>
      <w:r>
        <w:rPr>
          <w:sz w:val="18"/>
          <w:vertAlign w:val="baseline"/>
        </w:rPr>
        <w:t>school</w:t>
      </w:r>
      <w:r>
        <w:rPr>
          <w:spacing w:val="-3"/>
          <w:sz w:val="18"/>
          <w:vertAlign w:val="baseline"/>
        </w:rPr>
        <w:t> </w:t>
      </w:r>
      <w:r>
        <w:rPr>
          <w:sz w:val="18"/>
          <w:vertAlign w:val="baseline"/>
        </w:rPr>
        <w:t>policies and programs on violence among all high school students and sexual and gender minority students. </w:t>
      </w:r>
      <w:r>
        <w:rPr>
          <w:i/>
          <w:sz w:val="18"/>
          <w:vertAlign w:val="baseline"/>
        </w:rPr>
        <w:t>Journal of School</w:t>
      </w:r>
      <w:r>
        <w:rPr>
          <w:i/>
          <w:sz w:val="18"/>
          <w:vertAlign w:val="baseline"/>
        </w:rPr>
        <w:t> Health, 93</w:t>
      </w:r>
      <w:r>
        <w:rPr>
          <w:sz w:val="18"/>
          <w:vertAlign w:val="baseline"/>
        </w:rPr>
        <w:t>(8), 679-689.</w:t>
      </w:r>
    </w:p>
    <w:p>
      <w:pPr>
        <w:spacing w:before="0"/>
        <w:ind w:left="464" w:right="0" w:firstLine="0"/>
        <w:jc w:val="left"/>
        <w:rPr>
          <w:sz w:val="18"/>
        </w:rPr>
      </w:pPr>
      <w:bookmarkStart w:name="_bookmark61" w:id="171"/>
      <w:bookmarkEnd w:id="171"/>
      <w:r>
        <w:rPr/>
      </w:r>
      <w:r>
        <w:rPr>
          <w:sz w:val="18"/>
          <w:vertAlign w:val="superscript"/>
        </w:rPr>
        <w:t>22</w:t>
      </w:r>
      <w:r>
        <w:rPr>
          <w:spacing w:val="-2"/>
          <w:sz w:val="18"/>
          <w:vertAlign w:val="baseline"/>
        </w:rPr>
        <w:t> </w:t>
      </w:r>
      <w:r>
        <w:rPr>
          <w:sz w:val="18"/>
          <w:vertAlign w:val="baseline"/>
        </w:rPr>
        <w:t>Price,</w:t>
      </w:r>
      <w:r>
        <w:rPr>
          <w:spacing w:val="-3"/>
          <w:sz w:val="18"/>
          <w:vertAlign w:val="baseline"/>
        </w:rPr>
        <w:t> </w:t>
      </w:r>
      <w:r>
        <w:rPr>
          <w:sz w:val="18"/>
          <w:vertAlign w:val="baseline"/>
        </w:rPr>
        <w:t>M.</w:t>
      </w:r>
      <w:r>
        <w:rPr>
          <w:spacing w:val="-2"/>
          <w:sz w:val="18"/>
          <w:vertAlign w:val="baseline"/>
        </w:rPr>
        <w:t> </w:t>
      </w:r>
      <w:r>
        <w:rPr>
          <w:sz w:val="18"/>
          <w:vertAlign w:val="baseline"/>
        </w:rPr>
        <w:t>N.,</w:t>
      </w:r>
      <w:r>
        <w:rPr>
          <w:spacing w:val="-3"/>
          <w:sz w:val="18"/>
          <w:vertAlign w:val="baseline"/>
        </w:rPr>
        <w:t> </w:t>
      </w:r>
      <w:r>
        <w:rPr>
          <w:sz w:val="18"/>
          <w:vertAlign w:val="baseline"/>
        </w:rPr>
        <w:t>Green,</w:t>
      </w:r>
      <w:r>
        <w:rPr>
          <w:spacing w:val="-3"/>
          <w:sz w:val="18"/>
          <w:vertAlign w:val="baseline"/>
        </w:rPr>
        <w:t> </w:t>
      </w:r>
      <w:r>
        <w:rPr>
          <w:sz w:val="18"/>
          <w:vertAlign w:val="baseline"/>
        </w:rPr>
        <w:t>A.</w:t>
      </w:r>
      <w:r>
        <w:rPr>
          <w:spacing w:val="-2"/>
          <w:sz w:val="18"/>
          <w:vertAlign w:val="baseline"/>
        </w:rPr>
        <w:t> </w:t>
      </w:r>
      <w:r>
        <w:rPr>
          <w:sz w:val="18"/>
          <w:vertAlign w:val="baseline"/>
        </w:rPr>
        <w:t>E.,</w:t>
      </w:r>
      <w:r>
        <w:rPr>
          <w:spacing w:val="-3"/>
          <w:sz w:val="18"/>
          <w:vertAlign w:val="baseline"/>
        </w:rPr>
        <w:t> </w:t>
      </w:r>
      <w:r>
        <w:rPr>
          <w:sz w:val="18"/>
          <w:vertAlign w:val="baseline"/>
        </w:rPr>
        <w:t>DeChants,</w:t>
      </w:r>
      <w:r>
        <w:rPr>
          <w:spacing w:val="-3"/>
          <w:sz w:val="18"/>
          <w:vertAlign w:val="baseline"/>
        </w:rPr>
        <w:t> </w:t>
      </w:r>
      <w:r>
        <w:rPr>
          <w:sz w:val="18"/>
          <w:vertAlign w:val="baseline"/>
        </w:rPr>
        <w:t>J.</w:t>
      </w:r>
      <w:r>
        <w:rPr>
          <w:spacing w:val="-2"/>
          <w:sz w:val="18"/>
          <w:vertAlign w:val="baseline"/>
        </w:rPr>
        <w:t> </w:t>
      </w:r>
      <w:r>
        <w:rPr>
          <w:sz w:val="18"/>
          <w:vertAlign w:val="baseline"/>
        </w:rPr>
        <w:t>P.,</w:t>
      </w:r>
      <w:r>
        <w:rPr>
          <w:spacing w:val="-3"/>
          <w:sz w:val="18"/>
          <w:vertAlign w:val="baseline"/>
        </w:rPr>
        <w:t> </w:t>
      </w:r>
      <w:r>
        <w:rPr>
          <w:sz w:val="18"/>
          <w:vertAlign w:val="baseline"/>
        </w:rPr>
        <w:t>Davis,</w:t>
      </w:r>
      <w:r>
        <w:rPr>
          <w:spacing w:val="-3"/>
          <w:sz w:val="18"/>
          <w:vertAlign w:val="baseline"/>
        </w:rPr>
        <w:t> </w:t>
      </w:r>
      <w:r>
        <w:rPr>
          <w:sz w:val="18"/>
          <w:vertAlign w:val="baseline"/>
        </w:rPr>
        <w:t>C.</w:t>
      </w:r>
      <w:r>
        <w:rPr>
          <w:spacing w:val="-2"/>
          <w:sz w:val="18"/>
          <w:vertAlign w:val="baseline"/>
        </w:rPr>
        <w:t> </w:t>
      </w:r>
      <w:r>
        <w:rPr>
          <w:sz w:val="18"/>
          <w:vertAlign w:val="baseline"/>
        </w:rPr>
        <w:t>K.</w:t>
      </w:r>
      <w:r>
        <w:rPr>
          <w:spacing w:val="-2"/>
          <w:sz w:val="18"/>
          <w:vertAlign w:val="baseline"/>
        </w:rPr>
        <w:t> </w:t>
      </w:r>
      <w:r>
        <w:rPr>
          <w:sz w:val="18"/>
          <w:vertAlign w:val="baseline"/>
        </w:rPr>
        <w:t>(2023).</w:t>
      </w:r>
      <w:r>
        <w:rPr>
          <w:spacing w:val="-2"/>
          <w:sz w:val="18"/>
          <w:vertAlign w:val="baseline"/>
        </w:rPr>
        <w:t> </w:t>
      </w:r>
      <w:r>
        <w:rPr>
          <w:sz w:val="18"/>
          <w:vertAlign w:val="baseline"/>
        </w:rPr>
        <w:t>Physical</w:t>
      </w:r>
      <w:r>
        <w:rPr>
          <w:spacing w:val="-3"/>
          <w:sz w:val="18"/>
          <w:vertAlign w:val="baseline"/>
        </w:rPr>
        <w:t> </w:t>
      </w:r>
      <w:r>
        <w:rPr>
          <w:sz w:val="18"/>
          <w:vertAlign w:val="baseline"/>
        </w:rPr>
        <w:t>dating</w:t>
      </w:r>
      <w:r>
        <w:rPr>
          <w:spacing w:val="-2"/>
          <w:sz w:val="18"/>
          <w:vertAlign w:val="baseline"/>
        </w:rPr>
        <w:t> </w:t>
      </w:r>
      <w:r>
        <w:rPr>
          <w:sz w:val="18"/>
          <w:vertAlign w:val="baseline"/>
        </w:rPr>
        <w:t>violence</w:t>
      </w:r>
      <w:r>
        <w:rPr>
          <w:spacing w:val="-2"/>
          <w:sz w:val="18"/>
          <w:vertAlign w:val="baseline"/>
        </w:rPr>
        <w:t> </w:t>
      </w:r>
      <w:r>
        <w:rPr>
          <w:sz w:val="18"/>
          <w:vertAlign w:val="baseline"/>
        </w:rPr>
        <w:t>victimization</w:t>
      </w:r>
      <w:r>
        <w:rPr>
          <w:spacing w:val="-2"/>
          <w:sz w:val="18"/>
          <w:vertAlign w:val="baseline"/>
        </w:rPr>
        <w:t> </w:t>
      </w:r>
      <w:r>
        <w:rPr>
          <w:sz w:val="18"/>
          <w:vertAlign w:val="baseline"/>
        </w:rPr>
        <w:t>among</w:t>
      </w:r>
      <w:r>
        <w:rPr>
          <w:spacing w:val="-2"/>
          <w:sz w:val="18"/>
          <w:vertAlign w:val="baseline"/>
        </w:rPr>
        <w:t> </w:t>
      </w:r>
      <w:r>
        <w:rPr>
          <w:sz w:val="18"/>
          <w:vertAlign w:val="baseline"/>
        </w:rPr>
        <w:t>LGBTQ</w:t>
      </w:r>
      <w:r>
        <w:rPr>
          <w:spacing w:val="-2"/>
          <w:sz w:val="18"/>
          <w:vertAlign w:val="baseline"/>
        </w:rPr>
        <w:t> </w:t>
      </w:r>
      <w:r>
        <w:rPr>
          <w:sz w:val="18"/>
          <w:vertAlign w:val="baseline"/>
        </w:rPr>
        <w:t>youth: Disclosure and association with mental health. </w:t>
      </w:r>
      <w:r>
        <w:rPr>
          <w:i/>
          <w:sz w:val="18"/>
          <w:vertAlign w:val="baseline"/>
        </w:rPr>
        <w:t>Journal of Interpersonal Violence, 38</w:t>
      </w:r>
      <w:r>
        <w:rPr>
          <w:sz w:val="18"/>
          <w:vertAlign w:val="baseline"/>
        </w:rPr>
        <w:t>(15-16), 9059-9085. </w:t>
      </w:r>
      <w:r>
        <w:rPr>
          <w:spacing w:val="-2"/>
          <w:sz w:val="18"/>
          <w:vertAlign w:val="baseline"/>
        </w:rPr>
        <w:t>https://doi.org/10.1177/08862605231162655</w:t>
      </w:r>
    </w:p>
    <w:p>
      <w:pPr>
        <w:spacing w:before="0"/>
        <w:ind w:left="464" w:right="413" w:hanging="1"/>
        <w:jc w:val="left"/>
        <w:rPr>
          <w:sz w:val="18"/>
        </w:rPr>
      </w:pPr>
      <w:bookmarkStart w:name="_bookmark62" w:id="172"/>
      <w:bookmarkEnd w:id="172"/>
      <w:r>
        <w:rPr/>
      </w:r>
      <w:r>
        <w:rPr>
          <w:sz w:val="18"/>
          <w:vertAlign w:val="superscript"/>
        </w:rPr>
        <w:t>23</w:t>
      </w:r>
      <w:r>
        <w:rPr>
          <w:spacing w:val="-1"/>
          <w:sz w:val="18"/>
          <w:vertAlign w:val="baseline"/>
        </w:rPr>
        <w:t> </w:t>
      </w:r>
      <w:r>
        <w:rPr>
          <w:sz w:val="18"/>
          <w:vertAlign w:val="baseline"/>
        </w:rPr>
        <w:t>Rider,</w:t>
      </w:r>
      <w:r>
        <w:rPr>
          <w:spacing w:val="-2"/>
          <w:sz w:val="18"/>
          <w:vertAlign w:val="baseline"/>
        </w:rPr>
        <w:t> </w:t>
      </w:r>
      <w:r>
        <w:rPr>
          <w:sz w:val="18"/>
          <w:vertAlign w:val="baseline"/>
        </w:rPr>
        <w:t>G.</w:t>
      </w:r>
      <w:r>
        <w:rPr>
          <w:spacing w:val="-1"/>
          <w:sz w:val="18"/>
          <w:vertAlign w:val="baseline"/>
        </w:rPr>
        <w:t> </w:t>
      </w:r>
      <w:r>
        <w:rPr>
          <w:sz w:val="18"/>
          <w:vertAlign w:val="baseline"/>
        </w:rPr>
        <w:t>N.,</w:t>
      </w:r>
      <w:r>
        <w:rPr>
          <w:spacing w:val="-2"/>
          <w:sz w:val="18"/>
          <w:vertAlign w:val="baseline"/>
        </w:rPr>
        <w:t> </w:t>
      </w:r>
      <w:r>
        <w:rPr>
          <w:sz w:val="18"/>
          <w:vertAlign w:val="baseline"/>
        </w:rPr>
        <w:t>McMorris,</w:t>
      </w:r>
      <w:r>
        <w:rPr>
          <w:spacing w:val="-2"/>
          <w:sz w:val="18"/>
          <w:vertAlign w:val="baseline"/>
        </w:rPr>
        <w:t> </w:t>
      </w:r>
      <w:r>
        <w:rPr>
          <w:sz w:val="18"/>
          <w:vertAlign w:val="baseline"/>
        </w:rPr>
        <w:t>B.</w:t>
      </w:r>
      <w:r>
        <w:rPr>
          <w:spacing w:val="-1"/>
          <w:sz w:val="18"/>
          <w:vertAlign w:val="baseline"/>
        </w:rPr>
        <w:t> </w:t>
      </w:r>
      <w:r>
        <w:rPr>
          <w:sz w:val="18"/>
          <w:vertAlign w:val="baseline"/>
        </w:rPr>
        <w:t>J.,</w:t>
      </w:r>
      <w:r>
        <w:rPr>
          <w:spacing w:val="-2"/>
          <w:sz w:val="18"/>
          <w:vertAlign w:val="baseline"/>
        </w:rPr>
        <w:t> </w:t>
      </w:r>
      <w:r>
        <w:rPr>
          <w:sz w:val="18"/>
          <w:vertAlign w:val="baseline"/>
        </w:rPr>
        <w:t>Brown,</w:t>
      </w:r>
      <w:r>
        <w:rPr>
          <w:spacing w:val="-2"/>
          <w:sz w:val="18"/>
          <w:vertAlign w:val="baseline"/>
        </w:rPr>
        <w:t> </w:t>
      </w:r>
      <w:r>
        <w:rPr>
          <w:sz w:val="18"/>
          <w:vertAlign w:val="baseline"/>
        </w:rPr>
        <w:t>C.,</w:t>
      </w:r>
      <w:r>
        <w:rPr>
          <w:spacing w:val="-2"/>
          <w:sz w:val="18"/>
          <w:vertAlign w:val="baseline"/>
        </w:rPr>
        <w:t> </w:t>
      </w:r>
      <w:r>
        <w:rPr>
          <w:sz w:val="18"/>
          <w:vertAlign w:val="baseline"/>
        </w:rPr>
        <w:t>Eisenberg,</w:t>
      </w:r>
      <w:r>
        <w:rPr>
          <w:spacing w:val="-2"/>
          <w:sz w:val="18"/>
          <w:vertAlign w:val="baseline"/>
        </w:rPr>
        <w:t> </w:t>
      </w:r>
      <w:r>
        <w:rPr>
          <w:sz w:val="18"/>
          <w:vertAlign w:val="baseline"/>
        </w:rPr>
        <w:t>M.</w:t>
      </w:r>
      <w:r>
        <w:rPr>
          <w:spacing w:val="-1"/>
          <w:sz w:val="18"/>
          <w:vertAlign w:val="baseline"/>
        </w:rPr>
        <w:t> </w:t>
      </w:r>
      <w:r>
        <w:rPr>
          <w:sz w:val="18"/>
          <w:vertAlign w:val="baseline"/>
        </w:rPr>
        <w:t>E.,</w:t>
      </w:r>
      <w:r>
        <w:rPr>
          <w:spacing w:val="-2"/>
          <w:sz w:val="18"/>
          <w:vertAlign w:val="baseline"/>
        </w:rPr>
        <w:t> </w:t>
      </w:r>
      <w:r>
        <w:rPr>
          <w:sz w:val="18"/>
          <w:vertAlign w:val="baseline"/>
        </w:rPr>
        <w:t>Gower,</w:t>
      </w:r>
      <w:r>
        <w:rPr>
          <w:spacing w:val="-1"/>
          <w:sz w:val="18"/>
          <w:vertAlign w:val="baseline"/>
        </w:rPr>
        <w:t> </w:t>
      </w:r>
      <w:r>
        <w:rPr>
          <w:sz w:val="18"/>
          <w:vertAlign w:val="baseline"/>
        </w:rPr>
        <w:t>A.</w:t>
      </w:r>
      <w:r>
        <w:rPr>
          <w:spacing w:val="-1"/>
          <w:sz w:val="18"/>
          <w:vertAlign w:val="baseline"/>
        </w:rPr>
        <w:t> </w:t>
      </w:r>
      <w:r>
        <w:rPr>
          <w:sz w:val="18"/>
          <w:vertAlign w:val="baseline"/>
        </w:rPr>
        <w:t>L.,</w:t>
      </w:r>
      <w:r>
        <w:rPr>
          <w:spacing w:val="-2"/>
          <w:sz w:val="18"/>
          <w:vertAlign w:val="baseline"/>
        </w:rPr>
        <w:t> </w:t>
      </w:r>
      <w:r>
        <w:rPr>
          <w:sz w:val="18"/>
          <w:vertAlign w:val="baseline"/>
        </w:rPr>
        <w:t>Johnston-Goodstar,</w:t>
      </w:r>
      <w:r>
        <w:rPr>
          <w:spacing w:val="-2"/>
          <w:sz w:val="18"/>
          <w:vertAlign w:val="baseline"/>
        </w:rPr>
        <w:t> </w:t>
      </w:r>
      <w:r>
        <w:rPr>
          <w:sz w:val="18"/>
          <w:vertAlign w:val="baseline"/>
        </w:rPr>
        <w:t>K.,</w:t>
      </w:r>
      <w:r>
        <w:rPr>
          <w:spacing w:val="-2"/>
          <w:sz w:val="18"/>
          <w:vertAlign w:val="baseline"/>
        </w:rPr>
        <w:t> </w:t>
      </w:r>
      <w:r>
        <w:rPr>
          <w:sz w:val="18"/>
          <w:vertAlign w:val="baseline"/>
        </w:rPr>
        <w:t>Filoteo,</w:t>
      </w:r>
      <w:r>
        <w:rPr>
          <w:spacing w:val="-2"/>
          <w:sz w:val="18"/>
          <w:vertAlign w:val="baseline"/>
        </w:rPr>
        <w:t> </w:t>
      </w:r>
      <w:r>
        <w:rPr>
          <w:sz w:val="18"/>
          <w:vertAlign w:val="baseline"/>
        </w:rPr>
        <w:t>M.,</w:t>
      </w:r>
      <w:r>
        <w:rPr>
          <w:spacing w:val="-2"/>
          <w:sz w:val="18"/>
          <w:vertAlign w:val="baseline"/>
        </w:rPr>
        <w:t> </w:t>
      </w:r>
      <w:r>
        <w:rPr>
          <w:sz w:val="18"/>
          <w:vertAlign w:val="baseline"/>
        </w:rPr>
        <w:t>Singergouse,</w:t>
      </w:r>
      <w:r>
        <w:rPr>
          <w:spacing w:val="-2"/>
          <w:sz w:val="18"/>
          <w:vertAlign w:val="baseline"/>
        </w:rPr>
        <w:t> </w:t>
      </w:r>
      <w:r>
        <w:rPr>
          <w:sz w:val="18"/>
          <w:vertAlign w:val="baseline"/>
        </w:rPr>
        <w:t>E., &amp; Martin, L. (2022). Mental health and protective factors for transgender and gender-diverse youths who trade sex: A Minnesota statewide school-based study, 2019. </w:t>
      </w:r>
      <w:r>
        <w:rPr>
          <w:i/>
          <w:sz w:val="18"/>
          <w:vertAlign w:val="baseline"/>
        </w:rPr>
        <w:t>American Journal of Public Health, 112</w:t>
      </w:r>
      <w:r>
        <w:rPr>
          <w:sz w:val="18"/>
          <w:vertAlign w:val="baseline"/>
        </w:rPr>
        <w:t>(3), 499-508. </w:t>
      </w:r>
      <w:r>
        <w:rPr>
          <w:spacing w:val="-2"/>
          <w:sz w:val="18"/>
          <w:vertAlign w:val="baseline"/>
        </w:rPr>
        <w:t>https://doi.org/10.2105/AJPH.2021.306623</w:t>
      </w:r>
    </w:p>
    <w:p>
      <w:pPr>
        <w:spacing w:before="0"/>
        <w:ind w:left="464" w:right="438" w:hanging="1"/>
        <w:jc w:val="left"/>
        <w:rPr>
          <w:sz w:val="18"/>
        </w:rPr>
      </w:pPr>
      <w:bookmarkStart w:name="_bookmark63" w:id="173"/>
      <w:bookmarkEnd w:id="173"/>
      <w:r>
        <w:rPr/>
      </w:r>
      <w:r>
        <w:rPr>
          <w:sz w:val="18"/>
          <w:vertAlign w:val="superscript"/>
        </w:rPr>
        <w:t>24</w:t>
      </w:r>
      <w:r>
        <w:rPr>
          <w:spacing w:val="-2"/>
          <w:sz w:val="18"/>
          <w:vertAlign w:val="baseline"/>
        </w:rPr>
        <w:t> </w:t>
      </w:r>
      <w:r>
        <w:rPr>
          <w:sz w:val="18"/>
          <w:vertAlign w:val="baseline"/>
        </w:rPr>
        <w:t>Zongrone,</w:t>
      </w:r>
      <w:r>
        <w:rPr>
          <w:spacing w:val="-3"/>
          <w:sz w:val="18"/>
          <w:vertAlign w:val="baseline"/>
        </w:rPr>
        <w:t> </w:t>
      </w:r>
      <w:r>
        <w:rPr>
          <w:sz w:val="18"/>
          <w:vertAlign w:val="baseline"/>
        </w:rPr>
        <w:t>A.</w:t>
      </w:r>
      <w:r>
        <w:rPr>
          <w:spacing w:val="-2"/>
          <w:sz w:val="18"/>
          <w:vertAlign w:val="baseline"/>
        </w:rPr>
        <w:t> </w:t>
      </w:r>
      <w:r>
        <w:rPr>
          <w:sz w:val="18"/>
          <w:vertAlign w:val="baseline"/>
        </w:rPr>
        <w:t>D.,</w:t>
      </w:r>
      <w:r>
        <w:rPr>
          <w:spacing w:val="-3"/>
          <w:sz w:val="18"/>
          <w:vertAlign w:val="baseline"/>
        </w:rPr>
        <w:t> </w:t>
      </w:r>
      <w:r>
        <w:rPr>
          <w:sz w:val="18"/>
          <w:vertAlign w:val="baseline"/>
        </w:rPr>
        <w:t>Truong,</w:t>
      </w:r>
      <w:r>
        <w:rPr>
          <w:spacing w:val="-3"/>
          <w:sz w:val="18"/>
          <w:vertAlign w:val="baseline"/>
        </w:rPr>
        <w:t> </w:t>
      </w:r>
      <w:r>
        <w:rPr>
          <w:sz w:val="18"/>
          <w:vertAlign w:val="baseline"/>
        </w:rPr>
        <w:t>N.</w:t>
      </w:r>
      <w:r>
        <w:rPr>
          <w:spacing w:val="-2"/>
          <w:sz w:val="18"/>
          <w:vertAlign w:val="baseline"/>
        </w:rPr>
        <w:t> </w:t>
      </w:r>
      <w:r>
        <w:rPr>
          <w:sz w:val="18"/>
          <w:vertAlign w:val="baseline"/>
        </w:rPr>
        <w:t>L.,</w:t>
      </w:r>
      <w:r>
        <w:rPr>
          <w:spacing w:val="-3"/>
          <w:sz w:val="18"/>
          <w:vertAlign w:val="baseline"/>
        </w:rPr>
        <w:t> </w:t>
      </w:r>
      <w:r>
        <w:rPr>
          <w:sz w:val="18"/>
          <w:vertAlign w:val="baseline"/>
        </w:rPr>
        <w:t>&amp;</w:t>
      </w:r>
      <w:r>
        <w:rPr>
          <w:spacing w:val="-3"/>
          <w:sz w:val="18"/>
          <w:vertAlign w:val="baseline"/>
        </w:rPr>
        <w:t> </w:t>
      </w:r>
      <w:r>
        <w:rPr>
          <w:sz w:val="18"/>
          <w:vertAlign w:val="baseline"/>
        </w:rPr>
        <w:t>Kosciw,</w:t>
      </w:r>
      <w:r>
        <w:rPr>
          <w:spacing w:val="-3"/>
          <w:sz w:val="18"/>
          <w:vertAlign w:val="baseline"/>
        </w:rPr>
        <w:t> </w:t>
      </w:r>
      <w:r>
        <w:rPr>
          <w:sz w:val="18"/>
          <w:vertAlign w:val="baseline"/>
        </w:rPr>
        <w:t>J.</w:t>
      </w:r>
      <w:r>
        <w:rPr>
          <w:spacing w:val="-2"/>
          <w:sz w:val="18"/>
          <w:vertAlign w:val="baseline"/>
        </w:rPr>
        <w:t> </w:t>
      </w:r>
      <w:r>
        <w:rPr>
          <w:sz w:val="18"/>
          <w:vertAlign w:val="baseline"/>
        </w:rPr>
        <w:t>G.</w:t>
      </w:r>
      <w:r>
        <w:rPr>
          <w:spacing w:val="-2"/>
          <w:sz w:val="18"/>
          <w:vertAlign w:val="baseline"/>
        </w:rPr>
        <w:t> </w:t>
      </w:r>
      <w:r>
        <w:rPr>
          <w:sz w:val="18"/>
          <w:vertAlign w:val="baseline"/>
        </w:rPr>
        <w:t>(2020).</w:t>
      </w:r>
      <w:r>
        <w:rPr>
          <w:spacing w:val="-2"/>
          <w:sz w:val="18"/>
          <w:vertAlign w:val="baseline"/>
        </w:rPr>
        <w:t> </w:t>
      </w:r>
      <w:r>
        <w:rPr>
          <w:sz w:val="18"/>
          <w:vertAlign w:val="baseline"/>
        </w:rPr>
        <w:t>Erasure</w:t>
      </w:r>
      <w:r>
        <w:rPr>
          <w:spacing w:val="-2"/>
          <w:sz w:val="18"/>
          <w:vertAlign w:val="baseline"/>
        </w:rPr>
        <w:t> </w:t>
      </w:r>
      <w:r>
        <w:rPr>
          <w:sz w:val="18"/>
          <w:vertAlign w:val="baseline"/>
        </w:rPr>
        <w:t>and</w:t>
      </w:r>
      <w:r>
        <w:rPr>
          <w:spacing w:val="-3"/>
          <w:sz w:val="18"/>
          <w:vertAlign w:val="baseline"/>
        </w:rPr>
        <w:t> </w:t>
      </w:r>
      <w:r>
        <w:rPr>
          <w:sz w:val="18"/>
          <w:vertAlign w:val="baseline"/>
        </w:rPr>
        <w:t>resilience:</w:t>
      </w:r>
      <w:r>
        <w:rPr>
          <w:spacing w:val="-2"/>
          <w:sz w:val="18"/>
          <w:vertAlign w:val="baseline"/>
        </w:rPr>
        <w:t> </w:t>
      </w:r>
      <w:r>
        <w:rPr>
          <w:sz w:val="18"/>
          <w:vertAlign w:val="baseline"/>
        </w:rPr>
        <w:t>The</w:t>
      </w:r>
      <w:r>
        <w:rPr>
          <w:spacing w:val="-2"/>
          <w:sz w:val="18"/>
          <w:vertAlign w:val="baseline"/>
        </w:rPr>
        <w:t> </w:t>
      </w:r>
      <w:r>
        <w:rPr>
          <w:sz w:val="18"/>
          <w:vertAlign w:val="baseline"/>
        </w:rPr>
        <w:t>experiences</w:t>
      </w:r>
      <w:r>
        <w:rPr>
          <w:spacing w:val="-2"/>
          <w:sz w:val="18"/>
          <w:vertAlign w:val="baseline"/>
        </w:rPr>
        <w:t> </w:t>
      </w:r>
      <w:r>
        <w:rPr>
          <w:sz w:val="18"/>
          <w:vertAlign w:val="baseline"/>
        </w:rPr>
        <w:t>of</w:t>
      </w:r>
      <w:r>
        <w:rPr>
          <w:spacing w:val="-2"/>
          <w:sz w:val="18"/>
          <w:vertAlign w:val="baseline"/>
        </w:rPr>
        <w:t> </w:t>
      </w:r>
      <w:r>
        <w:rPr>
          <w:sz w:val="18"/>
          <w:vertAlign w:val="baseline"/>
        </w:rPr>
        <w:t>LGBTQ</w:t>
      </w:r>
      <w:r>
        <w:rPr>
          <w:spacing w:val="-2"/>
          <w:sz w:val="18"/>
          <w:vertAlign w:val="baseline"/>
        </w:rPr>
        <w:t> </w:t>
      </w:r>
      <w:r>
        <w:rPr>
          <w:sz w:val="18"/>
          <w:vertAlign w:val="baseline"/>
        </w:rPr>
        <w:t>students</w:t>
      </w:r>
      <w:r>
        <w:rPr>
          <w:spacing w:val="-2"/>
          <w:sz w:val="18"/>
          <w:vertAlign w:val="baseline"/>
        </w:rPr>
        <w:t> </w:t>
      </w:r>
      <w:r>
        <w:rPr>
          <w:sz w:val="18"/>
          <w:vertAlign w:val="baseline"/>
        </w:rPr>
        <w:t>of</w:t>
      </w:r>
      <w:r>
        <w:rPr>
          <w:spacing w:val="-3"/>
          <w:sz w:val="18"/>
          <w:vertAlign w:val="baseline"/>
        </w:rPr>
        <w:t> </w:t>
      </w:r>
      <w:r>
        <w:rPr>
          <w:sz w:val="18"/>
          <w:vertAlign w:val="baseline"/>
        </w:rPr>
        <w:t>color</w:t>
      </w:r>
      <w:r>
        <w:rPr>
          <w:spacing w:val="-3"/>
          <w:sz w:val="18"/>
          <w:vertAlign w:val="baseline"/>
        </w:rPr>
        <w:t> </w:t>
      </w:r>
      <w:r>
        <w:rPr>
          <w:sz w:val="18"/>
          <w:vertAlign w:val="baseline"/>
        </w:rPr>
        <w:t>- Latinx LGBTQ youth in U.S. schools. Accessed May 10, 2024. https:</w:t>
      </w:r>
      <w:hyperlink r:id="rId116">
        <w:r>
          <w:rPr>
            <w:sz w:val="18"/>
            <w:vertAlign w:val="baseline"/>
          </w:rPr>
          <w:t>//www.glsen.org/sites/default/files/2020-06/Erasure-</w:t>
        </w:r>
      </w:hyperlink>
      <w:r>
        <w:rPr>
          <w:sz w:val="18"/>
          <w:vertAlign w:val="baseline"/>
        </w:rPr>
        <w:t> </w:t>
      </w:r>
      <w:r>
        <w:rPr>
          <w:spacing w:val="-2"/>
          <w:sz w:val="18"/>
          <w:vertAlign w:val="baseline"/>
        </w:rPr>
        <w:t>and-Resilience-Latinx-2020.pdf</w:t>
      </w:r>
    </w:p>
    <w:p>
      <w:pPr>
        <w:spacing w:before="0"/>
        <w:ind w:left="464" w:right="0" w:firstLine="0"/>
        <w:jc w:val="left"/>
        <w:rPr>
          <w:sz w:val="18"/>
        </w:rPr>
      </w:pPr>
      <w:bookmarkStart w:name="_bookmark64" w:id="174"/>
      <w:bookmarkEnd w:id="174"/>
      <w:r>
        <w:rPr/>
      </w:r>
      <w:r>
        <w:rPr>
          <w:sz w:val="18"/>
          <w:vertAlign w:val="superscript"/>
        </w:rPr>
        <w:t>25</w:t>
      </w:r>
      <w:r>
        <w:rPr>
          <w:spacing w:val="-4"/>
          <w:sz w:val="18"/>
          <w:vertAlign w:val="baseline"/>
        </w:rPr>
        <w:t> </w:t>
      </w:r>
      <w:r>
        <w:rPr>
          <w:sz w:val="18"/>
          <w:vertAlign w:val="baseline"/>
        </w:rPr>
        <w:t>Poteat,</w:t>
      </w:r>
      <w:r>
        <w:rPr>
          <w:spacing w:val="-2"/>
          <w:sz w:val="18"/>
          <w:vertAlign w:val="baseline"/>
        </w:rPr>
        <w:t> </w:t>
      </w:r>
      <w:r>
        <w:rPr>
          <w:sz w:val="18"/>
          <w:vertAlign w:val="baseline"/>
        </w:rPr>
        <w:t>V.</w:t>
      </w:r>
      <w:r>
        <w:rPr>
          <w:spacing w:val="-2"/>
          <w:sz w:val="18"/>
          <w:vertAlign w:val="baseline"/>
        </w:rPr>
        <w:t> </w:t>
      </w:r>
      <w:r>
        <w:rPr>
          <w:sz w:val="18"/>
          <w:vertAlign w:val="baseline"/>
        </w:rPr>
        <w:t>P.,</w:t>
      </w:r>
      <w:r>
        <w:rPr>
          <w:spacing w:val="-2"/>
          <w:sz w:val="18"/>
          <w:vertAlign w:val="baseline"/>
        </w:rPr>
        <w:t> </w:t>
      </w:r>
      <w:r>
        <w:rPr>
          <w:sz w:val="18"/>
          <w:vertAlign w:val="baseline"/>
        </w:rPr>
        <w:t>Yoshikawa,</w:t>
      </w:r>
      <w:r>
        <w:rPr>
          <w:spacing w:val="-2"/>
          <w:sz w:val="18"/>
          <w:vertAlign w:val="baseline"/>
        </w:rPr>
        <w:t> </w:t>
      </w:r>
      <w:r>
        <w:rPr>
          <w:sz w:val="18"/>
          <w:vertAlign w:val="baseline"/>
        </w:rPr>
        <w:t>H.,</w:t>
      </w:r>
      <w:r>
        <w:rPr>
          <w:spacing w:val="-3"/>
          <w:sz w:val="18"/>
          <w:vertAlign w:val="baseline"/>
        </w:rPr>
        <w:t> </w:t>
      </w:r>
      <w:r>
        <w:rPr>
          <w:sz w:val="18"/>
          <w:vertAlign w:val="baseline"/>
        </w:rPr>
        <w:t>Marx,</w:t>
      </w:r>
      <w:r>
        <w:rPr>
          <w:spacing w:val="-2"/>
          <w:sz w:val="18"/>
          <w:vertAlign w:val="baseline"/>
        </w:rPr>
        <w:t> </w:t>
      </w:r>
      <w:r>
        <w:rPr>
          <w:sz w:val="18"/>
          <w:vertAlign w:val="baseline"/>
        </w:rPr>
        <w:t>R.</w:t>
      </w:r>
      <w:r>
        <w:rPr>
          <w:spacing w:val="-1"/>
          <w:sz w:val="18"/>
          <w:vertAlign w:val="baseline"/>
        </w:rPr>
        <w:t> </w:t>
      </w:r>
      <w:r>
        <w:rPr>
          <w:sz w:val="18"/>
          <w:vertAlign w:val="baseline"/>
        </w:rPr>
        <w:t>A.,</w:t>
      </w:r>
      <w:r>
        <w:rPr>
          <w:spacing w:val="-3"/>
          <w:sz w:val="18"/>
          <w:vertAlign w:val="baseline"/>
        </w:rPr>
        <w:t> </w:t>
      </w:r>
      <w:r>
        <w:rPr>
          <w:sz w:val="18"/>
          <w:vertAlign w:val="baseline"/>
        </w:rPr>
        <w:t>Sherwood,</w:t>
      </w:r>
      <w:r>
        <w:rPr>
          <w:spacing w:val="-2"/>
          <w:sz w:val="18"/>
          <w:vertAlign w:val="baseline"/>
        </w:rPr>
        <w:t> </w:t>
      </w:r>
      <w:r>
        <w:rPr>
          <w:sz w:val="18"/>
          <w:vertAlign w:val="baseline"/>
        </w:rPr>
        <w:t>S.</w:t>
      </w:r>
      <w:r>
        <w:rPr>
          <w:spacing w:val="-1"/>
          <w:sz w:val="18"/>
          <w:vertAlign w:val="baseline"/>
        </w:rPr>
        <w:t> </w:t>
      </w:r>
      <w:r>
        <w:rPr>
          <w:sz w:val="18"/>
          <w:vertAlign w:val="baseline"/>
        </w:rPr>
        <w:t>H.,</w:t>
      </w:r>
      <w:r>
        <w:rPr>
          <w:spacing w:val="-3"/>
          <w:sz w:val="18"/>
          <w:vertAlign w:val="baseline"/>
        </w:rPr>
        <w:t> </w:t>
      </w:r>
      <w:r>
        <w:rPr>
          <w:sz w:val="18"/>
          <w:vertAlign w:val="baseline"/>
        </w:rPr>
        <w:t>Richburg,</w:t>
      </w:r>
      <w:r>
        <w:rPr>
          <w:spacing w:val="-2"/>
          <w:sz w:val="18"/>
          <w:vertAlign w:val="baseline"/>
        </w:rPr>
        <w:t> </w:t>
      </w:r>
      <w:r>
        <w:rPr>
          <w:sz w:val="18"/>
          <w:vertAlign w:val="baseline"/>
        </w:rPr>
        <w:t>A.,</w:t>
      </w:r>
      <w:r>
        <w:rPr>
          <w:spacing w:val="-2"/>
          <w:sz w:val="18"/>
          <w:vertAlign w:val="baseline"/>
        </w:rPr>
        <w:t> </w:t>
      </w:r>
      <w:r>
        <w:rPr>
          <w:sz w:val="18"/>
          <w:vertAlign w:val="baseline"/>
        </w:rPr>
        <w:t>Murchison,</w:t>
      </w:r>
      <w:r>
        <w:rPr>
          <w:spacing w:val="-3"/>
          <w:sz w:val="18"/>
          <w:vertAlign w:val="baseline"/>
        </w:rPr>
        <w:t> </w:t>
      </w:r>
      <w:r>
        <w:rPr>
          <w:sz w:val="18"/>
          <w:vertAlign w:val="baseline"/>
        </w:rPr>
        <w:t>G.</w:t>
      </w:r>
      <w:r>
        <w:rPr>
          <w:spacing w:val="-1"/>
          <w:sz w:val="18"/>
          <w:vertAlign w:val="baseline"/>
        </w:rPr>
        <w:t> </w:t>
      </w:r>
      <w:r>
        <w:rPr>
          <w:sz w:val="18"/>
          <w:vertAlign w:val="baseline"/>
        </w:rPr>
        <w:t>R.,</w:t>
      </w:r>
      <w:r>
        <w:rPr>
          <w:spacing w:val="-2"/>
          <w:sz w:val="18"/>
          <w:vertAlign w:val="baseline"/>
        </w:rPr>
        <w:t> </w:t>
      </w:r>
      <w:r>
        <w:rPr>
          <w:sz w:val="18"/>
          <w:vertAlign w:val="baseline"/>
        </w:rPr>
        <w:t>Lipkin,</w:t>
      </w:r>
      <w:r>
        <w:rPr>
          <w:spacing w:val="-3"/>
          <w:sz w:val="18"/>
          <w:vertAlign w:val="baseline"/>
        </w:rPr>
        <w:t> </w:t>
      </w:r>
      <w:r>
        <w:rPr>
          <w:sz w:val="18"/>
          <w:vertAlign w:val="baseline"/>
        </w:rPr>
        <w:t>A.,</w:t>
      </w:r>
      <w:r>
        <w:rPr>
          <w:spacing w:val="-2"/>
          <w:sz w:val="18"/>
          <w:vertAlign w:val="baseline"/>
        </w:rPr>
        <w:t> </w:t>
      </w:r>
      <w:r>
        <w:rPr>
          <w:sz w:val="18"/>
          <w:vertAlign w:val="baseline"/>
        </w:rPr>
        <w:t>Yang,</w:t>
      </w:r>
      <w:r>
        <w:rPr>
          <w:spacing w:val="-2"/>
          <w:sz w:val="18"/>
          <w:vertAlign w:val="baseline"/>
        </w:rPr>
        <w:t> </w:t>
      </w:r>
      <w:r>
        <w:rPr>
          <w:sz w:val="18"/>
          <w:vertAlign w:val="baseline"/>
        </w:rPr>
        <w:t>M.</w:t>
      </w:r>
      <w:r>
        <w:rPr>
          <w:spacing w:val="-2"/>
          <w:sz w:val="18"/>
          <w:vertAlign w:val="baseline"/>
        </w:rPr>
        <w:t> </w:t>
      </w:r>
      <w:r>
        <w:rPr>
          <w:sz w:val="18"/>
          <w:vertAlign w:val="baseline"/>
        </w:rPr>
        <w:t>K.,</w:t>
      </w:r>
      <w:r>
        <w:rPr>
          <w:spacing w:val="-2"/>
          <w:sz w:val="18"/>
          <w:vertAlign w:val="baseline"/>
        </w:rPr>
        <w:t> </w:t>
      </w:r>
      <w:r>
        <w:rPr>
          <w:sz w:val="18"/>
          <w:vertAlign w:val="baseline"/>
        </w:rPr>
        <w:t>&amp;</w:t>
      </w:r>
      <w:r>
        <w:rPr>
          <w:spacing w:val="-2"/>
          <w:sz w:val="18"/>
          <w:vertAlign w:val="baseline"/>
        </w:rPr>
        <w:t> </w:t>
      </w:r>
      <w:r>
        <w:rPr>
          <w:sz w:val="18"/>
          <w:vertAlign w:val="baseline"/>
        </w:rPr>
        <w:t>Calzo,</w:t>
      </w:r>
      <w:r>
        <w:rPr>
          <w:spacing w:val="-4"/>
          <w:sz w:val="18"/>
          <w:vertAlign w:val="baseline"/>
        </w:rPr>
        <w:t> </w:t>
      </w:r>
      <w:r>
        <w:rPr>
          <w:spacing w:val="-5"/>
          <w:sz w:val="18"/>
          <w:vertAlign w:val="baseline"/>
        </w:rPr>
        <w:t>J.</w:t>
      </w:r>
    </w:p>
    <w:p>
      <w:pPr>
        <w:spacing w:before="0"/>
        <w:ind w:left="464" w:right="565" w:hanging="1"/>
        <w:jc w:val="left"/>
        <w:rPr>
          <w:sz w:val="18"/>
        </w:rPr>
      </w:pPr>
      <w:r>
        <w:rPr>
          <w:sz w:val="18"/>
        </w:rPr>
        <w:t>P.</w:t>
      </w:r>
      <w:r>
        <w:rPr>
          <w:spacing w:val="-3"/>
          <w:sz w:val="18"/>
        </w:rPr>
        <w:t> </w:t>
      </w:r>
      <w:r>
        <w:rPr>
          <w:sz w:val="18"/>
        </w:rPr>
        <w:t>(2023).</w:t>
      </w:r>
      <w:r>
        <w:rPr>
          <w:spacing w:val="-3"/>
          <w:sz w:val="18"/>
        </w:rPr>
        <w:t> </w:t>
      </w:r>
      <w:r>
        <w:rPr>
          <w:sz w:val="18"/>
        </w:rPr>
        <w:t>Engagement</w:t>
      </w:r>
      <w:r>
        <w:rPr>
          <w:spacing w:val="-4"/>
          <w:sz w:val="18"/>
        </w:rPr>
        <w:t> </w:t>
      </w:r>
      <w:r>
        <w:rPr>
          <w:sz w:val="18"/>
        </w:rPr>
        <w:t>in</w:t>
      </w:r>
      <w:r>
        <w:rPr>
          <w:spacing w:val="-3"/>
          <w:sz w:val="18"/>
        </w:rPr>
        <w:t> </w:t>
      </w:r>
      <w:r>
        <w:rPr>
          <w:sz w:val="18"/>
        </w:rPr>
        <w:t>gender-sexuality</w:t>
      </w:r>
      <w:r>
        <w:rPr>
          <w:spacing w:val="-3"/>
          <w:sz w:val="18"/>
        </w:rPr>
        <w:t> </w:t>
      </w:r>
      <w:r>
        <w:rPr>
          <w:sz w:val="18"/>
        </w:rPr>
        <w:t>alliances</w:t>
      </w:r>
      <w:r>
        <w:rPr>
          <w:spacing w:val="-3"/>
          <w:sz w:val="18"/>
        </w:rPr>
        <w:t> </w:t>
      </w:r>
      <w:r>
        <w:rPr>
          <w:sz w:val="18"/>
        </w:rPr>
        <w:t>predicts</w:t>
      </w:r>
      <w:r>
        <w:rPr>
          <w:spacing w:val="-3"/>
          <w:sz w:val="18"/>
        </w:rPr>
        <w:t> </w:t>
      </w:r>
      <w:r>
        <w:rPr>
          <w:sz w:val="18"/>
        </w:rPr>
        <w:t>youth’s</w:t>
      </w:r>
      <w:r>
        <w:rPr>
          <w:spacing w:val="-3"/>
          <w:sz w:val="18"/>
        </w:rPr>
        <w:t> </w:t>
      </w:r>
      <w:r>
        <w:rPr>
          <w:sz w:val="18"/>
        </w:rPr>
        <w:t>positive</w:t>
      </w:r>
      <w:r>
        <w:rPr>
          <w:spacing w:val="-3"/>
          <w:sz w:val="18"/>
        </w:rPr>
        <w:t> </w:t>
      </w:r>
      <w:r>
        <w:rPr>
          <w:sz w:val="18"/>
        </w:rPr>
        <w:t>and</w:t>
      </w:r>
      <w:r>
        <w:rPr>
          <w:spacing w:val="-4"/>
          <w:sz w:val="18"/>
        </w:rPr>
        <w:t> </w:t>
      </w:r>
      <w:r>
        <w:rPr>
          <w:sz w:val="18"/>
        </w:rPr>
        <w:t>negative</w:t>
      </w:r>
      <w:r>
        <w:rPr>
          <w:spacing w:val="-3"/>
          <w:sz w:val="18"/>
        </w:rPr>
        <w:t> </w:t>
      </w:r>
      <w:r>
        <w:rPr>
          <w:sz w:val="18"/>
        </w:rPr>
        <w:t>affect:</w:t>
      </w:r>
      <w:r>
        <w:rPr>
          <w:spacing w:val="-3"/>
          <w:sz w:val="18"/>
        </w:rPr>
        <w:t> </w:t>
      </w:r>
      <w:r>
        <w:rPr>
          <w:sz w:val="18"/>
        </w:rPr>
        <w:t>An</w:t>
      </w:r>
      <w:r>
        <w:rPr>
          <w:spacing w:val="-3"/>
          <w:sz w:val="18"/>
        </w:rPr>
        <w:t> </w:t>
      </w:r>
      <w:r>
        <w:rPr>
          <w:sz w:val="18"/>
        </w:rPr>
        <w:t>8-week</w:t>
      </w:r>
      <w:r>
        <w:rPr>
          <w:spacing w:val="-4"/>
          <w:sz w:val="18"/>
        </w:rPr>
        <w:t> </w:t>
      </w:r>
      <w:r>
        <w:rPr>
          <w:sz w:val="18"/>
        </w:rPr>
        <w:t>weekly</w:t>
      </w:r>
      <w:r>
        <w:rPr>
          <w:spacing w:val="-3"/>
          <w:sz w:val="18"/>
        </w:rPr>
        <w:t> </w:t>
      </w:r>
      <w:r>
        <w:rPr>
          <w:sz w:val="18"/>
        </w:rPr>
        <w:t>diary study. </w:t>
      </w:r>
      <w:r>
        <w:rPr>
          <w:i/>
          <w:sz w:val="18"/>
        </w:rPr>
        <w:t>Journal of Youth and Adolescence, 52</w:t>
      </w:r>
      <w:r>
        <w:rPr>
          <w:sz w:val="18"/>
        </w:rPr>
        <w:t>, 1-14. https://doi.org/10.1007/s10964-022-01692-4</w:t>
      </w:r>
    </w:p>
    <w:p>
      <w:pPr>
        <w:spacing w:before="0"/>
        <w:ind w:left="463" w:right="565" w:firstLine="0"/>
        <w:jc w:val="left"/>
        <w:rPr>
          <w:sz w:val="18"/>
        </w:rPr>
      </w:pPr>
      <w:bookmarkStart w:name="_bookmark65" w:id="175"/>
      <w:bookmarkEnd w:id="175"/>
      <w:r>
        <w:rPr/>
      </w:r>
      <w:r>
        <w:rPr>
          <w:sz w:val="18"/>
          <w:vertAlign w:val="superscript"/>
        </w:rPr>
        <w:t>26</w:t>
      </w:r>
      <w:r>
        <w:rPr>
          <w:spacing w:val="-2"/>
          <w:sz w:val="18"/>
          <w:vertAlign w:val="baseline"/>
        </w:rPr>
        <w:t> </w:t>
      </w:r>
      <w:r>
        <w:rPr>
          <w:sz w:val="18"/>
          <w:vertAlign w:val="baseline"/>
        </w:rPr>
        <w:t>Poteat,</w:t>
      </w:r>
      <w:r>
        <w:rPr>
          <w:spacing w:val="-3"/>
          <w:sz w:val="18"/>
          <w:vertAlign w:val="baseline"/>
        </w:rPr>
        <w:t> </w:t>
      </w:r>
      <w:r>
        <w:rPr>
          <w:sz w:val="18"/>
          <w:vertAlign w:val="baseline"/>
        </w:rPr>
        <w:t>V.</w:t>
      </w:r>
      <w:r>
        <w:rPr>
          <w:spacing w:val="-2"/>
          <w:sz w:val="18"/>
          <w:vertAlign w:val="baseline"/>
        </w:rPr>
        <w:t> </w:t>
      </w:r>
      <w:r>
        <w:rPr>
          <w:sz w:val="18"/>
          <w:vertAlign w:val="baseline"/>
        </w:rPr>
        <w:t>P.,</w:t>
      </w:r>
      <w:r>
        <w:rPr>
          <w:spacing w:val="-3"/>
          <w:sz w:val="18"/>
          <w:vertAlign w:val="baseline"/>
        </w:rPr>
        <w:t> </w:t>
      </w:r>
      <w:r>
        <w:rPr>
          <w:sz w:val="18"/>
          <w:vertAlign w:val="baseline"/>
        </w:rPr>
        <w:t>O’Brien,</w:t>
      </w:r>
      <w:r>
        <w:rPr>
          <w:spacing w:val="-3"/>
          <w:sz w:val="18"/>
          <w:vertAlign w:val="baseline"/>
        </w:rPr>
        <w:t> </w:t>
      </w:r>
      <w:r>
        <w:rPr>
          <w:sz w:val="18"/>
          <w:vertAlign w:val="baseline"/>
        </w:rPr>
        <w:t>M.</w:t>
      </w:r>
      <w:r>
        <w:rPr>
          <w:spacing w:val="-2"/>
          <w:sz w:val="18"/>
          <w:vertAlign w:val="baseline"/>
        </w:rPr>
        <w:t> </w:t>
      </w:r>
      <w:r>
        <w:rPr>
          <w:sz w:val="18"/>
          <w:vertAlign w:val="baseline"/>
        </w:rPr>
        <w:t>D.,</w:t>
      </w:r>
      <w:r>
        <w:rPr>
          <w:spacing w:val="-3"/>
          <w:sz w:val="18"/>
          <w:vertAlign w:val="baseline"/>
        </w:rPr>
        <w:t> </w:t>
      </w:r>
      <w:r>
        <w:rPr>
          <w:sz w:val="18"/>
          <w:vertAlign w:val="baseline"/>
        </w:rPr>
        <w:t>Yang,</w:t>
      </w:r>
      <w:r>
        <w:rPr>
          <w:spacing w:val="-3"/>
          <w:sz w:val="18"/>
          <w:vertAlign w:val="baseline"/>
        </w:rPr>
        <w:t> </w:t>
      </w:r>
      <w:r>
        <w:rPr>
          <w:sz w:val="18"/>
          <w:vertAlign w:val="baseline"/>
        </w:rPr>
        <w:t>M.</w:t>
      </w:r>
      <w:r>
        <w:rPr>
          <w:spacing w:val="-2"/>
          <w:sz w:val="18"/>
          <w:vertAlign w:val="baseline"/>
        </w:rPr>
        <w:t> </w:t>
      </w:r>
      <w:r>
        <w:rPr>
          <w:sz w:val="18"/>
          <w:vertAlign w:val="baseline"/>
        </w:rPr>
        <w:t>K.,</w:t>
      </w:r>
      <w:r>
        <w:rPr>
          <w:spacing w:val="-3"/>
          <w:sz w:val="18"/>
          <w:vertAlign w:val="baseline"/>
        </w:rPr>
        <w:t> </w:t>
      </w:r>
      <w:r>
        <w:rPr>
          <w:sz w:val="18"/>
          <w:vertAlign w:val="baseline"/>
        </w:rPr>
        <w:t>Rosenbach,</w:t>
      </w:r>
      <w:r>
        <w:rPr>
          <w:spacing w:val="-3"/>
          <w:sz w:val="18"/>
          <w:vertAlign w:val="baseline"/>
        </w:rPr>
        <w:t> </w:t>
      </w:r>
      <w:r>
        <w:rPr>
          <w:sz w:val="18"/>
          <w:vertAlign w:val="baseline"/>
        </w:rPr>
        <w:t>S.</w:t>
      </w:r>
      <w:r>
        <w:rPr>
          <w:spacing w:val="-2"/>
          <w:sz w:val="18"/>
          <w:vertAlign w:val="baseline"/>
        </w:rPr>
        <w:t> </w:t>
      </w:r>
      <w:r>
        <w:rPr>
          <w:sz w:val="18"/>
          <w:vertAlign w:val="baseline"/>
        </w:rPr>
        <w:t>B.,</w:t>
      </w:r>
      <w:r>
        <w:rPr>
          <w:spacing w:val="-3"/>
          <w:sz w:val="18"/>
          <w:vertAlign w:val="baseline"/>
        </w:rPr>
        <w:t> </w:t>
      </w:r>
      <w:r>
        <w:rPr>
          <w:sz w:val="18"/>
          <w:vertAlign w:val="baseline"/>
        </w:rPr>
        <w:t>&amp;</w:t>
      </w:r>
      <w:r>
        <w:rPr>
          <w:spacing w:val="-3"/>
          <w:sz w:val="18"/>
          <w:vertAlign w:val="baseline"/>
        </w:rPr>
        <w:t> </w:t>
      </w:r>
      <w:r>
        <w:rPr>
          <w:sz w:val="18"/>
          <w:vertAlign w:val="baseline"/>
        </w:rPr>
        <w:t>Lipkin,</w:t>
      </w:r>
      <w:r>
        <w:rPr>
          <w:spacing w:val="-3"/>
          <w:sz w:val="18"/>
          <w:vertAlign w:val="baseline"/>
        </w:rPr>
        <w:t> </w:t>
      </w:r>
      <w:r>
        <w:rPr>
          <w:sz w:val="18"/>
          <w:vertAlign w:val="baseline"/>
        </w:rPr>
        <w:t>A.</w:t>
      </w:r>
      <w:r>
        <w:rPr>
          <w:spacing w:val="-2"/>
          <w:sz w:val="18"/>
          <w:vertAlign w:val="baseline"/>
        </w:rPr>
        <w:t> </w:t>
      </w:r>
      <w:r>
        <w:rPr>
          <w:sz w:val="18"/>
          <w:vertAlign w:val="baseline"/>
        </w:rPr>
        <w:t>(2022).</w:t>
      </w:r>
      <w:r>
        <w:rPr>
          <w:spacing w:val="-2"/>
          <w:sz w:val="18"/>
          <w:vertAlign w:val="baseline"/>
        </w:rPr>
        <w:t> </w:t>
      </w:r>
      <w:r>
        <w:rPr>
          <w:sz w:val="18"/>
          <w:vertAlign w:val="baseline"/>
        </w:rPr>
        <w:t>Youth</w:t>
      </w:r>
      <w:r>
        <w:rPr>
          <w:spacing w:val="-2"/>
          <w:sz w:val="18"/>
          <w:vertAlign w:val="baseline"/>
        </w:rPr>
        <w:t> </w:t>
      </w:r>
      <w:r>
        <w:rPr>
          <w:sz w:val="18"/>
          <w:vertAlign w:val="baseline"/>
        </w:rPr>
        <w:t>advocacy</w:t>
      </w:r>
      <w:r>
        <w:rPr>
          <w:spacing w:val="-2"/>
          <w:sz w:val="18"/>
          <w:vertAlign w:val="baseline"/>
        </w:rPr>
        <w:t> </w:t>
      </w:r>
      <w:r>
        <w:rPr>
          <w:sz w:val="18"/>
          <w:vertAlign w:val="baseline"/>
        </w:rPr>
        <w:t>varies</w:t>
      </w:r>
      <w:r>
        <w:rPr>
          <w:spacing w:val="-2"/>
          <w:sz w:val="18"/>
          <w:vertAlign w:val="baseline"/>
        </w:rPr>
        <w:t> </w:t>
      </w:r>
      <w:r>
        <w:rPr>
          <w:sz w:val="18"/>
          <w:vertAlign w:val="baseline"/>
        </w:rPr>
        <w:t>in</w:t>
      </w:r>
      <w:r>
        <w:rPr>
          <w:spacing w:val="-2"/>
          <w:sz w:val="18"/>
          <w:vertAlign w:val="baseline"/>
        </w:rPr>
        <w:t> </w:t>
      </w:r>
      <w:r>
        <w:rPr>
          <w:sz w:val="18"/>
          <w:vertAlign w:val="baseline"/>
        </w:rPr>
        <w:t>relation</w:t>
      </w:r>
      <w:r>
        <w:rPr>
          <w:spacing w:val="-2"/>
          <w:sz w:val="18"/>
          <w:vertAlign w:val="baseline"/>
        </w:rPr>
        <w:t> </w:t>
      </w:r>
      <w:r>
        <w:rPr>
          <w:sz w:val="18"/>
          <w:vertAlign w:val="baseline"/>
        </w:rPr>
        <w:t>to</w:t>
      </w:r>
      <w:r>
        <w:rPr>
          <w:spacing w:val="-2"/>
          <w:sz w:val="18"/>
          <w:vertAlign w:val="baseline"/>
        </w:rPr>
        <w:t> </w:t>
      </w:r>
      <w:r>
        <w:rPr>
          <w:sz w:val="18"/>
          <w:vertAlign w:val="baseline"/>
        </w:rPr>
        <w:t>adult advisor characteristics and practices in gender-sexuality alliances. </w:t>
      </w:r>
      <w:r>
        <w:rPr>
          <w:i/>
          <w:sz w:val="18"/>
          <w:vertAlign w:val="baseline"/>
        </w:rPr>
        <w:t>Applied Developmental Science, 26</w:t>
      </w:r>
      <w:r>
        <w:rPr>
          <w:sz w:val="18"/>
          <w:vertAlign w:val="baseline"/>
        </w:rPr>
        <w:t>(3), 460-470. </w:t>
      </w:r>
      <w:r>
        <w:rPr>
          <w:spacing w:val="-2"/>
          <w:sz w:val="18"/>
          <w:vertAlign w:val="baseline"/>
        </w:rPr>
        <w:t>https://doi.org/10.1080/10888691.2020.1861945</w:t>
      </w:r>
    </w:p>
    <w:p>
      <w:pPr>
        <w:spacing w:after="0"/>
        <w:jc w:val="left"/>
        <w:rPr>
          <w:sz w:val="18"/>
        </w:rPr>
        <w:sectPr>
          <w:pgSz w:w="12240" w:h="15840"/>
          <w:pgMar w:header="763" w:footer="1041" w:top="1140" w:bottom="1240" w:left="1120" w:right="1180"/>
        </w:sectPr>
      </w:pPr>
    </w:p>
    <w:p>
      <w:pPr>
        <w:pStyle w:val="BodyText"/>
        <w:spacing w:before="92"/>
        <w:rPr>
          <w:sz w:val="18"/>
        </w:rPr>
      </w:pPr>
    </w:p>
    <w:p>
      <w:pPr>
        <w:spacing w:before="0"/>
        <w:ind w:left="464" w:right="538" w:firstLine="0"/>
        <w:jc w:val="both"/>
        <w:rPr>
          <w:sz w:val="18"/>
        </w:rPr>
      </w:pPr>
      <w:bookmarkStart w:name="_bookmark66" w:id="176"/>
      <w:bookmarkEnd w:id="176"/>
      <w:r>
        <w:rPr/>
      </w:r>
      <w:r>
        <w:rPr>
          <w:sz w:val="18"/>
          <w:vertAlign w:val="superscript"/>
        </w:rPr>
        <w:t>27</w:t>
      </w:r>
      <w:r>
        <w:rPr>
          <w:spacing w:val="-2"/>
          <w:sz w:val="18"/>
          <w:vertAlign w:val="baseline"/>
        </w:rPr>
        <w:t> </w:t>
      </w:r>
      <w:r>
        <w:rPr>
          <w:sz w:val="18"/>
          <w:vertAlign w:val="baseline"/>
        </w:rPr>
        <w:t>Lee,</w:t>
      </w:r>
      <w:r>
        <w:rPr>
          <w:spacing w:val="-3"/>
          <w:sz w:val="18"/>
          <w:vertAlign w:val="baseline"/>
        </w:rPr>
        <w:t> </w:t>
      </w:r>
      <w:r>
        <w:rPr>
          <w:sz w:val="18"/>
          <w:vertAlign w:val="baseline"/>
        </w:rPr>
        <w:t>J.,</w:t>
      </w:r>
      <w:r>
        <w:rPr>
          <w:spacing w:val="-3"/>
          <w:sz w:val="18"/>
          <w:vertAlign w:val="baseline"/>
        </w:rPr>
        <w:t> </w:t>
      </w:r>
      <w:r>
        <w:rPr>
          <w:sz w:val="18"/>
          <w:vertAlign w:val="baseline"/>
        </w:rPr>
        <w:t>Hayes,</w:t>
      </w:r>
      <w:r>
        <w:rPr>
          <w:spacing w:val="-3"/>
          <w:sz w:val="18"/>
          <w:vertAlign w:val="baseline"/>
        </w:rPr>
        <w:t> </w:t>
      </w:r>
      <w:r>
        <w:rPr>
          <w:sz w:val="18"/>
          <w:vertAlign w:val="baseline"/>
        </w:rPr>
        <w:t>E.,</w:t>
      </w:r>
      <w:r>
        <w:rPr>
          <w:spacing w:val="-3"/>
          <w:sz w:val="18"/>
          <w:vertAlign w:val="baseline"/>
        </w:rPr>
        <w:t> </w:t>
      </w:r>
      <w:r>
        <w:rPr>
          <w:sz w:val="18"/>
          <w:vertAlign w:val="baseline"/>
        </w:rPr>
        <w:t>&amp;</w:t>
      </w:r>
      <w:r>
        <w:rPr>
          <w:spacing w:val="-3"/>
          <w:sz w:val="18"/>
          <w:vertAlign w:val="baseline"/>
        </w:rPr>
        <w:t> </w:t>
      </w:r>
      <w:r>
        <w:rPr>
          <w:sz w:val="18"/>
          <w:vertAlign w:val="baseline"/>
        </w:rPr>
        <w:t>Wyatt,</w:t>
      </w:r>
      <w:r>
        <w:rPr>
          <w:spacing w:val="-3"/>
          <w:sz w:val="18"/>
          <w:vertAlign w:val="baseline"/>
        </w:rPr>
        <w:t> </w:t>
      </w:r>
      <w:r>
        <w:rPr>
          <w:sz w:val="18"/>
          <w:vertAlign w:val="baseline"/>
        </w:rPr>
        <w:t>A.</w:t>
      </w:r>
      <w:r>
        <w:rPr>
          <w:spacing w:val="-2"/>
          <w:sz w:val="18"/>
          <w:vertAlign w:val="baseline"/>
        </w:rPr>
        <w:t> </w:t>
      </w:r>
      <w:r>
        <w:rPr>
          <w:sz w:val="18"/>
          <w:vertAlign w:val="baseline"/>
        </w:rPr>
        <w:t>(2023).</w:t>
      </w:r>
      <w:r>
        <w:rPr>
          <w:spacing w:val="-2"/>
          <w:sz w:val="18"/>
          <w:vertAlign w:val="baseline"/>
        </w:rPr>
        <w:t> </w:t>
      </w:r>
      <w:r>
        <w:rPr>
          <w:sz w:val="18"/>
          <w:vertAlign w:val="baseline"/>
        </w:rPr>
        <w:t>Prevalence</w:t>
      </w:r>
      <w:r>
        <w:rPr>
          <w:spacing w:val="-3"/>
          <w:sz w:val="18"/>
          <w:vertAlign w:val="baseline"/>
        </w:rPr>
        <w:t> </w:t>
      </w:r>
      <w:r>
        <w:rPr>
          <w:sz w:val="18"/>
          <w:vertAlign w:val="baseline"/>
        </w:rPr>
        <w:t>of</w:t>
      </w:r>
      <w:r>
        <w:rPr>
          <w:spacing w:val="-2"/>
          <w:sz w:val="18"/>
          <w:vertAlign w:val="baseline"/>
        </w:rPr>
        <w:t> </w:t>
      </w:r>
      <w:r>
        <w:rPr>
          <w:sz w:val="18"/>
          <w:vertAlign w:val="baseline"/>
        </w:rPr>
        <w:t>substance</w:t>
      </w:r>
      <w:r>
        <w:rPr>
          <w:spacing w:val="-3"/>
          <w:sz w:val="18"/>
          <w:vertAlign w:val="baseline"/>
        </w:rPr>
        <w:t> </w:t>
      </w:r>
      <w:r>
        <w:rPr>
          <w:sz w:val="18"/>
          <w:vertAlign w:val="baseline"/>
        </w:rPr>
        <w:t>use</w:t>
      </w:r>
      <w:r>
        <w:rPr>
          <w:spacing w:val="-2"/>
          <w:sz w:val="18"/>
          <w:vertAlign w:val="baseline"/>
        </w:rPr>
        <w:t> </w:t>
      </w:r>
      <w:r>
        <w:rPr>
          <w:sz w:val="18"/>
          <w:vertAlign w:val="baseline"/>
        </w:rPr>
        <w:t>among</w:t>
      </w:r>
      <w:r>
        <w:rPr>
          <w:spacing w:val="-2"/>
          <w:sz w:val="18"/>
          <w:vertAlign w:val="baseline"/>
        </w:rPr>
        <w:t> </w:t>
      </w:r>
      <w:r>
        <w:rPr>
          <w:sz w:val="18"/>
          <w:vertAlign w:val="baseline"/>
        </w:rPr>
        <w:t>lesbian,</w:t>
      </w:r>
      <w:r>
        <w:rPr>
          <w:spacing w:val="-3"/>
          <w:sz w:val="18"/>
          <w:vertAlign w:val="baseline"/>
        </w:rPr>
        <w:t> </w:t>
      </w:r>
      <w:r>
        <w:rPr>
          <w:sz w:val="18"/>
          <w:vertAlign w:val="baseline"/>
        </w:rPr>
        <w:t>gay,</w:t>
      </w:r>
      <w:r>
        <w:rPr>
          <w:spacing w:val="-3"/>
          <w:sz w:val="18"/>
          <w:vertAlign w:val="baseline"/>
        </w:rPr>
        <w:t> </w:t>
      </w:r>
      <w:r>
        <w:rPr>
          <w:sz w:val="18"/>
          <w:vertAlign w:val="baseline"/>
        </w:rPr>
        <w:t>and</w:t>
      </w:r>
      <w:r>
        <w:rPr>
          <w:spacing w:val="-2"/>
          <w:sz w:val="18"/>
          <w:vertAlign w:val="baseline"/>
        </w:rPr>
        <w:t> </w:t>
      </w:r>
      <w:r>
        <w:rPr>
          <w:sz w:val="18"/>
          <w:vertAlign w:val="baseline"/>
        </w:rPr>
        <w:t>bisexual</w:t>
      </w:r>
      <w:r>
        <w:rPr>
          <w:spacing w:val="-3"/>
          <w:sz w:val="18"/>
          <w:vertAlign w:val="baseline"/>
        </w:rPr>
        <w:t> </w:t>
      </w:r>
      <w:r>
        <w:rPr>
          <w:sz w:val="18"/>
          <w:vertAlign w:val="baseline"/>
        </w:rPr>
        <w:t>high</w:t>
      </w:r>
      <w:r>
        <w:rPr>
          <w:spacing w:val="-2"/>
          <w:sz w:val="18"/>
          <w:vertAlign w:val="baseline"/>
        </w:rPr>
        <w:t> </w:t>
      </w:r>
      <w:r>
        <w:rPr>
          <w:sz w:val="18"/>
          <w:vertAlign w:val="baseline"/>
        </w:rPr>
        <w:t>school</w:t>
      </w:r>
      <w:r>
        <w:rPr>
          <w:spacing w:val="-3"/>
          <w:sz w:val="18"/>
          <w:vertAlign w:val="baseline"/>
        </w:rPr>
        <w:t> </w:t>
      </w:r>
      <w:r>
        <w:rPr>
          <w:sz w:val="18"/>
          <w:vertAlign w:val="baseline"/>
        </w:rPr>
        <w:t>students in 2019 vs 2021. </w:t>
      </w:r>
      <w:r>
        <w:rPr>
          <w:i/>
          <w:sz w:val="18"/>
          <w:vertAlign w:val="baseline"/>
        </w:rPr>
        <w:t>Nursing and Health Science Research Journal, 6</w:t>
      </w:r>
      <w:r>
        <w:rPr>
          <w:sz w:val="18"/>
          <w:vertAlign w:val="baseline"/>
        </w:rPr>
        <w:t>(1), 80-88.</w:t>
      </w:r>
    </w:p>
    <w:p>
      <w:pPr>
        <w:spacing w:before="0"/>
        <w:ind w:left="463" w:right="765" w:firstLine="0"/>
        <w:jc w:val="both"/>
        <w:rPr>
          <w:sz w:val="18"/>
        </w:rPr>
      </w:pPr>
      <w:bookmarkStart w:name="_bookmark67" w:id="177"/>
      <w:bookmarkEnd w:id="177"/>
      <w:r>
        <w:rPr/>
      </w:r>
      <w:r>
        <w:rPr>
          <w:sz w:val="18"/>
          <w:vertAlign w:val="superscript"/>
        </w:rPr>
        <w:t>28</w:t>
      </w:r>
      <w:r>
        <w:rPr>
          <w:spacing w:val="-1"/>
          <w:sz w:val="18"/>
          <w:vertAlign w:val="baseline"/>
        </w:rPr>
        <w:t> </w:t>
      </w:r>
      <w:r>
        <w:rPr>
          <w:sz w:val="18"/>
          <w:vertAlign w:val="baseline"/>
        </w:rPr>
        <w:t>Fish,</w:t>
      </w:r>
      <w:r>
        <w:rPr>
          <w:spacing w:val="-2"/>
          <w:sz w:val="18"/>
          <w:vertAlign w:val="baseline"/>
        </w:rPr>
        <w:t> </w:t>
      </w:r>
      <w:r>
        <w:rPr>
          <w:sz w:val="18"/>
          <w:vertAlign w:val="baseline"/>
        </w:rPr>
        <w:t>J.</w:t>
      </w:r>
      <w:r>
        <w:rPr>
          <w:spacing w:val="-1"/>
          <w:sz w:val="18"/>
          <w:vertAlign w:val="baseline"/>
        </w:rPr>
        <w:t> </w:t>
      </w:r>
      <w:r>
        <w:rPr>
          <w:sz w:val="18"/>
          <w:vertAlign w:val="baseline"/>
        </w:rPr>
        <w:t>N.,</w:t>
      </w:r>
      <w:r>
        <w:rPr>
          <w:spacing w:val="-2"/>
          <w:sz w:val="18"/>
          <w:vertAlign w:val="baseline"/>
        </w:rPr>
        <w:t> </w:t>
      </w:r>
      <w:r>
        <w:rPr>
          <w:sz w:val="18"/>
          <w:vertAlign w:val="baseline"/>
        </w:rPr>
        <w:t>McInroy,</w:t>
      </w:r>
      <w:r>
        <w:rPr>
          <w:spacing w:val="-2"/>
          <w:sz w:val="18"/>
          <w:vertAlign w:val="baseline"/>
        </w:rPr>
        <w:t> </w:t>
      </w:r>
      <w:r>
        <w:rPr>
          <w:sz w:val="18"/>
          <w:vertAlign w:val="baseline"/>
        </w:rPr>
        <w:t>L.</w:t>
      </w:r>
      <w:r>
        <w:rPr>
          <w:spacing w:val="-1"/>
          <w:sz w:val="18"/>
          <w:vertAlign w:val="baseline"/>
        </w:rPr>
        <w:t> </w:t>
      </w:r>
      <w:r>
        <w:rPr>
          <w:sz w:val="18"/>
          <w:vertAlign w:val="baseline"/>
        </w:rPr>
        <w:t>B.,</w:t>
      </w:r>
      <w:r>
        <w:rPr>
          <w:spacing w:val="-2"/>
          <w:sz w:val="18"/>
          <w:vertAlign w:val="baseline"/>
        </w:rPr>
        <w:t> </w:t>
      </w:r>
      <w:r>
        <w:rPr>
          <w:sz w:val="18"/>
          <w:vertAlign w:val="baseline"/>
        </w:rPr>
        <w:t>Paceley,</w:t>
      </w:r>
      <w:r>
        <w:rPr>
          <w:spacing w:val="-2"/>
          <w:sz w:val="18"/>
          <w:vertAlign w:val="baseline"/>
        </w:rPr>
        <w:t> </w:t>
      </w:r>
      <w:r>
        <w:rPr>
          <w:sz w:val="18"/>
          <w:vertAlign w:val="baseline"/>
        </w:rPr>
        <w:t>M.</w:t>
      </w:r>
      <w:r>
        <w:rPr>
          <w:spacing w:val="-1"/>
          <w:sz w:val="18"/>
          <w:vertAlign w:val="baseline"/>
        </w:rPr>
        <w:t> </w:t>
      </w:r>
      <w:r>
        <w:rPr>
          <w:sz w:val="18"/>
          <w:vertAlign w:val="baseline"/>
        </w:rPr>
        <w:t>S.,</w:t>
      </w:r>
      <w:r>
        <w:rPr>
          <w:spacing w:val="-2"/>
          <w:sz w:val="18"/>
          <w:vertAlign w:val="baseline"/>
        </w:rPr>
        <w:t> </w:t>
      </w:r>
      <w:r>
        <w:rPr>
          <w:sz w:val="18"/>
          <w:vertAlign w:val="baseline"/>
        </w:rPr>
        <w:t>Williams,</w:t>
      </w:r>
      <w:r>
        <w:rPr>
          <w:spacing w:val="-2"/>
          <w:sz w:val="18"/>
          <w:vertAlign w:val="baseline"/>
        </w:rPr>
        <w:t> </w:t>
      </w:r>
      <w:r>
        <w:rPr>
          <w:sz w:val="18"/>
          <w:vertAlign w:val="baseline"/>
        </w:rPr>
        <w:t>N.</w:t>
      </w:r>
      <w:r>
        <w:rPr>
          <w:spacing w:val="-1"/>
          <w:sz w:val="18"/>
          <w:vertAlign w:val="baseline"/>
        </w:rPr>
        <w:t> </w:t>
      </w:r>
      <w:r>
        <w:rPr>
          <w:sz w:val="18"/>
          <w:vertAlign w:val="baseline"/>
        </w:rPr>
        <w:t>D.,</w:t>
      </w:r>
      <w:r>
        <w:rPr>
          <w:spacing w:val="-2"/>
          <w:sz w:val="18"/>
          <w:vertAlign w:val="baseline"/>
        </w:rPr>
        <w:t> </w:t>
      </w:r>
      <w:r>
        <w:rPr>
          <w:sz w:val="18"/>
          <w:vertAlign w:val="baseline"/>
        </w:rPr>
        <w:t>Henderson,</w:t>
      </w:r>
      <w:r>
        <w:rPr>
          <w:spacing w:val="-2"/>
          <w:sz w:val="18"/>
          <w:vertAlign w:val="baseline"/>
        </w:rPr>
        <w:t> </w:t>
      </w:r>
      <w:r>
        <w:rPr>
          <w:sz w:val="18"/>
          <w:vertAlign w:val="baseline"/>
        </w:rPr>
        <w:t>S.,</w:t>
      </w:r>
      <w:r>
        <w:rPr>
          <w:spacing w:val="-2"/>
          <w:sz w:val="18"/>
          <w:vertAlign w:val="baseline"/>
        </w:rPr>
        <w:t> </w:t>
      </w:r>
      <w:r>
        <w:rPr>
          <w:sz w:val="18"/>
          <w:vertAlign w:val="baseline"/>
        </w:rPr>
        <w:t>Levine,</w:t>
      </w:r>
      <w:r>
        <w:rPr>
          <w:spacing w:val="-2"/>
          <w:sz w:val="18"/>
          <w:vertAlign w:val="baseline"/>
        </w:rPr>
        <w:t> </w:t>
      </w:r>
      <w:r>
        <w:rPr>
          <w:sz w:val="18"/>
          <w:vertAlign w:val="baseline"/>
        </w:rPr>
        <w:t>D.</w:t>
      </w:r>
      <w:r>
        <w:rPr>
          <w:spacing w:val="-1"/>
          <w:sz w:val="18"/>
          <w:vertAlign w:val="baseline"/>
        </w:rPr>
        <w:t> </w:t>
      </w:r>
      <w:r>
        <w:rPr>
          <w:sz w:val="18"/>
          <w:vertAlign w:val="baseline"/>
        </w:rPr>
        <w:t>S.,</w:t>
      </w:r>
      <w:r>
        <w:rPr>
          <w:spacing w:val="-2"/>
          <w:sz w:val="18"/>
          <w:vertAlign w:val="baseline"/>
        </w:rPr>
        <w:t> </w:t>
      </w:r>
      <w:r>
        <w:rPr>
          <w:sz w:val="18"/>
          <w:vertAlign w:val="baseline"/>
        </w:rPr>
        <w:t>&amp;</w:t>
      </w:r>
      <w:r>
        <w:rPr>
          <w:spacing w:val="-2"/>
          <w:sz w:val="18"/>
          <w:vertAlign w:val="baseline"/>
        </w:rPr>
        <w:t> </w:t>
      </w:r>
      <w:r>
        <w:rPr>
          <w:sz w:val="18"/>
          <w:vertAlign w:val="baseline"/>
        </w:rPr>
        <w:t>Edsall,</w:t>
      </w:r>
      <w:r>
        <w:rPr>
          <w:spacing w:val="-2"/>
          <w:sz w:val="18"/>
          <w:vertAlign w:val="baseline"/>
        </w:rPr>
        <w:t> </w:t>
      </w:r>
      <w:r>
        <w:rPr>
          <w:sz w:val="18"/>
          <w:vertAlign w:val="baseline"/>
        </w:rPr>
        <w:t>R.</w:t>
      </w:r>
      <w:r>
        <w:rPr>
          <w:spacing w:val="-1"/>
          <w:sz w:val="18"/>
          <w:vertAlign w:val="baseline"/>
        </w:rPr>
        <w:t> </w:t>
      </w:r>
      <w:r>
        <w:rPr>
          <w:sz w:val="18"/>
          <w:vertAlign w:val="baseline"/>
        </w:rPr>
        <w:t>N.</w:t>
      </w:r>
      <w:r>
        <w:rPr>
          <w:spacing w:val="-1"/>
          <w:sz w:val="18"/>
          <w:vertAlign w:val="baseline"/>
        </w:rPr>
        <w:t> </w:t>
      </w:r>
      <w:r>
        <w:rPr>
          <w:sz w:val="18"/>
          <w:vertAlign w:val="baseline"/>
        </w:rPr>
        <w:t>(2020).</w:t>
      </w:r>
      <w:r>
        <w:rPr>
          <w:spacing w:val="-2"/>
          <w:sz w:val="18"/>
          <w:vertAlign w:val="baseline"/>
        </w:rPr>
        <w:t> </w:t>
      </w:r>
      <w:r>
        <w:rPr>
          <w:sz w:val="18"/>
          <w:vertAlign w:val="baseline"/>
        </w:rPr>
        <w:t>“I’m</w:t>
      </w:r>
      <w:r>
        <w:rPr>
          <w:spacing w:val="-1"/>
          <w:sz w:val="18"/>
          <w:vertAlign w:val="baseline"/>
        </w:rPr>
        <w:t> </w:t>
      </w:r>
      <w:r>
        <w:rPr>
          <w:sz w:val="18"/>
          <w:vertAlign w:val="baseline"/>
        </w:rPr>
        <w:t>kinda stuck</w:t>
      </w:r>
      <w:r>
        <w:rPr>
          <w:spacing w:val="-3"/>
          <w:sz w:val="18"/>
          <w:vertAlign w:val="baseline"/>
        </w:rPr>
        <w:t> </w:t>
      </w:r>
      <w:r>
        <w:rPr>
          <w:sz w:val="18"/>
          <w:vertAlign w:val="baseline"/>
        </w:rPr>
        <w:t>at</w:t>
      </w:r>
      <w:r>
        <w:rPr>
          <w:spacing w:val="-3"/>
          <w:sz w:val="18"/>
          <w:vertAlign w:val="baseline"/>
        </w:rPr>
        <w:t> </w:t>
      </w:r>
      <w:r>
        <w:rPr>
          <w:sz w:val="18"/>
          <w:vertAlign w:val="baseline"/>
        </w:rPr>
        <w:t>home</w:t>
      </w:r>
      <w:r>
        <w:rPr>
          <w:spacing w:val="-2"/>
          <w:sz w:val="18"/>
          <w:vertAlign w:val="baseline"/>
        </w:rPr>
        <w:t> </w:t>
      </w:r>
      <w:r>
        <w:rPr>
          <w:sz w:val="18"/>
          <w:vertAlign w:val="baseline"/>
        </w:rPr>
        <w:t>with</w:t>
      </w:r>
      <w:r>
        <w:rPr>
          <w:spacing w:val="-2"/>
          <w:sz w:val="18"/>
          <w:vertAlign w:val="baseline"/>
        </w:rPr>
        <w:t> </w:t>
      </w:r>
      <w:r>
        <w:rPr>
          <w:sz w:val="18"/>
          <w:vertAlign w:val="baseline"/>
        </w:rPr>
        <w:t>unsupportive</w:t>
      </w:r>
      <w:r>
        <w:rPr>
          <w:spacing w:val="-2"/>
          <w:sz w:val="18"/>
          <w:vertAlign w:val="baseline"/>
        </w:rPr>
        <w:t> </w:t>
      </w:r>
      <w:r>
        <w:rPr>
          <w:sz w:val="18"/>
          <w:vertAlign w:val="baseline"/>
        </w:rPr>
        <w:t>parents</w:t>
      </w:r>
      <w:r>
        <w:rPr>
          <w:spacing w:val="-2"/>
          <w:sz w:val="18"/>
          <w:vertAlign w:val="baseline"/>
        </w:rPr>
        <w:t> </w:t>
      </w:r>
      <w:r>
        <w:rPr>
          <w:sz w:val="18"/>
          <w:vertAlign w:val="baseline"/>
        </w:rPr>
        <w:t>right</w:t>
      </w:r>
      <w:r>
        <w:rPr>
          <w:spacing w:val="-3"/>
          <w:sz w:val="18"/>
          <w:vertAlign w:val="baseline"/>
        </w:rPr>
        <w:t> </w:t>
      </w:r>
      <w:r>
        <w:rPr>
          <w:sz w:val="18"/>
          <w:vertAlign w:val="baseline"/>
        </w:rPr>
        <w:t>now”:</w:t>
      </w:r>
      <w:r>
        <w:rPr>
          <w:spacing w:val="-2"/>
          <w:sz w:val="18"/>
          <w:vertAlign w:val="baseline"/>
        </w:rPr>
        <w:t> </w:t>
      </w:r>
      <w:r>
        <w:rPr>
          <w:sz w:val="18"/>
          <w:vertAlign w:val="baseline"/>
        </w:rPr>
        <w:t>LGBTQ</w:t>
      </w:r>
      <w:r>
        <w:rPr>
          <w:spacing w:val="-2"/>
          <w:sz w:val="18"/>
          <w:vertAlign w:val="baseline"/>
        </w:rPr>
        <w:t> </w:t>
      </w:r>
      <w:r>
        <w:rPr>
          <w:sz w:val="18"/>
          <w:vertAlign w:val="baseline"/>
        </w:rPr>
        <w:t>youths’</w:t>
      </w:r>
      <w:r>
        <w:rPr>
          <w:spacing w:val="-3"/>
          <w:sz w:val="18"/>
          <w:vertAlign w:val="baseline"/>
        </w:rPr>
        <w:t> </w:t>
      </w:r>
      <w:r>
        <w:rPr>
          <w:sz w:val="18"/>
          <w:vertAlign w:val="baseline"/>
        </w:rPr>
        <w:t>experiences</w:t>
      </w:r>
      <w:r>
        <w:rPr>
          <w:spacing w:val="-3"/>
          <w:sz w:val="18"/>
          <w:vertAlign w:val="baseline"/>
        </w:rPr>
        <w:t> </w:t>
      </w:r>
      <w:r>
        <w:rPr>
          <w:sz w:val="18"/>
          <w:vertAlign w:val="baseline"/>
        </w:rPr>
        <w:t>with</w:t>
      </w:r>
      <w:r>
        <w:rPr>
          <w:spacing w:val="-2"/>
          <w:sz w:val="18"/>
          <w:vertAlign w:val="baseline"/>
        </w:rPr>
        <w:t> </w:t>
      </w:r>
      <w:r>
        <w:rPr>
          <w:sz w:val="18"/>
          <w:vertAlign w:val="baseline"/>
        </w:rPr>
        <w:t>COVID-19</w:t>
      </w:r>
      <w:r>
        <w:rPr>
          <w:spacing w:val="-2"/>
          <w:sz w:val="18"/>
          <w:vertAlign w:val="baseline"/>
        </w:rPr>
        <w:t> </w:t>
      </w:r>
      <w:r>
        <w:rPr>
          <w:sz w:val="18"/>
          <w:vertAlign w:val="baseline"/>
        </w:rPr>
        <w:t>and</w:t>
      </w:r>
      <w:r>
        <w:rPr>
          <w:spacing w:val="-2"/>
          <w:sz w:val="18"/>
          <w:vertAlign w:val="baseline"/>
        </w:rPr>
        <w:t> </w:t>
      </w:r>
      <w:r>
        <w:rPr>
          <w:sz w:val="18"/>
          <w:vertAlign w:val="baseline"/>
        </w:rPr>
        <w:t>the</w:t>
      </w:r>
      <w:r>
        <w:rPr>
          <w:spacing w:val="-2"/>
          <w:sz w:val="18"/>
          <w:vertAlign w:val="baseline"/>
        </w:rPr>
        <w:t> </w:t>
      </w:r>
      <w:r>
        <w:rPr>
          <w:sz w:val="18"/>
          <w:vertAlign w:val="baseline"/>
        </w:rPr>
        <w:t>importance</w:t>
      </w:r>
      <w:r>
        <w:rPr>
          <w:spacing w:val="-2"/>
          <w:sz w:val="18"/>
          <w:vertAlign w:val="baseline"/>
        </w:rPr>
        <w:t> </w:t>
      </w:r>
      <w:r>
        <w:rPr>
          <w:sz w:val="18"/>
          <w:vertAlign w:val="baseline"/>
        </w:rPr>
        <w:t>of online support. </w:t>
      </w:r>
      <w:r>
        <w:rPr>
          <w:i/>
          <w:sz w:val="18"/>
          <w:vertAlign w:val="baseline"/>
        </w:rPr>
        <w:t>Journal of Adolescent Health, 67, </w:t>
      </w:r>
      <w:r>
        <w:rPr>
          <w:sz w:val="18"/>
          <w:vertAlign w:val="baseline"/>
        </w:rPr>
        <w:t>450-452.</w:t>
      </w:r>
    </w:p>
    <w:p>
      <w:pPr>
        <w:spacing w:before="0"/>
        <w:ind w:left="464" w:right="682" w:hanging="1"/>
        <w:jc w:val="both"/>
        <w:rPr>
          <w:sz w:val="18"/>
        </w:rPr>
      </w:pPr>
      <w:bookmarkStart w:name="_bookmark68" w:id="178"/>
      <w:bookmarkEnd w:id="178"/>
      <w:r>
        <w:rPr/>
      </w:r>
      <w:r>
        <w:rPr>
          <w:sz w:val="18"/>
          <w:vertAlign w:val="superscript"/>
        </w:rPr>
        <w:t>29</w:t>
      </w:r>
      <w:r>
        <w:rPr>
          <w:spacing w:val="-2"/>
          <w:sz w:val="18"/>
          <w:vertAlign w:val="baseline"/>
        </w:rPr>
        <w:t> </w:t>
      </w:r>
      <w:r>
        <w:rPr>
          <w:sz w:val="18"/>
          <w:vertAlign w:val="baseline"/>
        </w:rPr>
        <w:t>Ormiston,</w:t>
      </w:r>
      <w:r>
        <w:rPr>
          <w:spacing w:val="-3"/>
          <w:sz w:val="18"/>
          <w:vertAlign w:val="baseline"/>
        </w:rPr>
        <w:t> </w:t>
      </w:r>
      <w:r>
        <w:rPr>
          <w:sz w:val="18"/>
          <w:vertAlign w:val="baseline"/>
        </w:rPr>
        <w:t>C.</w:t>
      </w:r>
      <w:r>
        <w:rPr>
          <w:spacing w:val="-2"/>
          <w:sz w:val="18"/>
          <w:vertAlign w:val="baseline"/>
        </w:rPr>
        <w:t> </w:t>
      </w:r>
      <w:r>
        <w:rPr>
          <w:sz w:val="18"/>
          <w:vertAlign w:val="baseline"/>
        </w:rPr>
        <w:t>K.,</w:t>
      </w:r>
      <w:r>
        <w:rPr>
          <w:spacing w:val="-2"/>
          <w:sz w:val="18"/>
          <w:vertAlign w:val="baseline"/>
        </w:rPr>
        <w:t> </w:t>
      </w:r>
      <w:r>
        <w:rPr>
          <w:sz w:val="18"/>
          <w:vertAlign w:val="baseline"/>
        </w:rPr>
        <w:t>&amp;</w:t>
      </w:r>
      <w:r>
        <w:rPr>
          <w:spacing w:val="-3"/>
          <w:sz w:val="18"/>
          <w:vertAlign w:val="baseline"/>
        </w:rPr>
        <w:t> </w:t>
      </w:r>
      <w:r>
        <w:rPr>
          <w:sz w:val="18"/>
          <w:vertAlign w:val="baseline"/>
        </w:rPr>
        <w:t>Williams,</w:t>
      </w:r>
      <w:r>
        <w:rPr>
          <w:spacing w:val="-3"/>
          <w:sz w:val="18"/>
          <w:vertAlign w:val="baseline"/>
        </w:rPr>
        <w:t> </w:t>
      </w:r>
      <w:r>
        <w:rPr>
          <w:sz w:val="18"/>
          <w:vertAlign w:val="baseline"/>
        </w:rPr>
        <w:t>F.</w:t>
      </w:r>
      <w:r>
        <w:rPr>
          <w:spacing w:val="-2"/>
          <w:sz w:val="18"/>
          <w:vertAlign w:val="baseline"/>
        </w:rPr>
        <w:t> </w:t>
      </w:r>
      <w:r>
        <w:rPr>
          <w:sz w:val="18"/>
          <w:vertAlign w:val="baseline"/>
        </w:rPr>
        <w:t>(2021).</w:t>
      </w:r>
      <w:r>
        <w:rPr>
          <w:spacing w:val="-2"/>
          <w:sz w:val="18"/>
          <w:vertAlign w:val="baseline"/>
        </w:rPr>
        <w:t> </w:t>
      </w:r>
      <w:r>
        <w:rPr>
          <w:sz w:val="18"/>
          <w:vertAlign w:val="baseline"/>
        </w:rPr>
        <w:t>LGBTQ</w:t>
      </w:r>
      <w:r>
        <w:rPr>
          <w:spacing w:val="-4"/>
          <w:sz w:val="18"/>
          <w:vertAlign w:val="baseline"/>
        </w:rPr>
        <w:t> </w:t>
      </w:r>
      <w:r>
        <w:rPr>
          <w:sz w:val="18"/>
          <w:vertAlign w:val="baseline"/>
        </w:rPr>
        <w:t>youth</w:t>
      </w:r>
      <w:r>
        <w:rPr>
          <w:spacing w:val="-2"/>
          <w:sz w:val="18"/>
          <w:vertAlign w:val="baseline"/>
        </w:rPr>
        <w:t> </w:t>
      </w:r>
      <w:r>
        <w:rPr>
          <w:sz w:val="18"/>
          <w:vertAlign w:val="baseline"/>
        </w:rPr>
        <w:t>mental</w:t>
      </w:r>
      <w:r>
        <w:rPr>
          <w:spacing w:val="-3"/>
          <w:sz w:val="18"/>
          <w:vertAlign w:val="baseline"/>
        </w:rPr>
        <w:t> </w:t>
      </w:r>
      <w:r>
        <w:rPr>
          <w:sz w:val="18"/>
          <w:vertAlign w:val="baseline"/>
        </w:rPr>
        <w:t>health</w:t>
      </w:r>
      <w:r>
        <w:rPr>
          <w:spacing w:val="-3"/>
          <w:sz w:val="18"/>
          <w:vertAlign w:val="baseline"/>
        </w:rPr>
        <w:t> </w:t>
      </w:r>
      <w:r>
        <w:rPr>
          <w:sz w:val="18"/>
          <w:vertAlign w:val="baseline"/>
        </w:rPr>
        <w:t>during</w:t>
      </w:r>
      <w:r>
        <w:rPr>
          <w:spacing w:val="-2"/>
          <w:sz w:val="18"/>
          <w:vertAlign w:val="baseline"/>
        </w:rPr>
        <w:t> </w:t>
      </w:r>
      <w:r>
        <w:rPr>
          <w:sz w:val="18"/>
          <w:vertAlign w:val="baseline"/>
        </w:rPr>
        <w:t>COVID-19:</w:t>
      </w:r>
      <w:r>
        <w:rPr>
          <w:spacing w:val="-2"/>
          <w:sz w:val="18"/>
          <w:vertAlign w:val="baseline"/>
        </w:rPr>
        <w:t> </w:t>
      </w:r>
      <w:r>
        <w:rPr>
          <w:sz w:val="18"/>
          <w:vertAlign w:val="baseline"/>
        </w:rPr>
        <w:t>Unmet</w:t>
      </w:r>
      <w:r>
        <w:rPr>
          <w:spacing w:val="-3"/>
          <w:sz w:val="18"/>
          <w:vertAlign w:val="baseline"/>
        </w:rPr>
        <w:t> </w:t>
      </w:r>
      <w:r>
        <w:rPr>
          <w:sz w:val="18"/>
          <w:vertAlign w:val="baseline"/>
        </w:rPr>
        <w:t>needs</w:t>
      </w:r>
      <w:r>
        <w:rPr>
          <w:spacing w:val="-3"/>
          <w:sz w:val="18"/>
          <w:vertAlign w:val="baseline"/>
        </w:rPr>
        <w:t> </w:t>
      </w:r>
      <w:r>
        <w:rPr>
          <w:sz w:val="18"/>
          <w:vertAlign w:val="baseline"/>
        </w:rPr>
        <w:t>in</w:t>
      </w:r>
      <w:r>
        <w:rPr>
          <w:spacing w:val="-2"/>
          <w:sz w:val="18"/>
          <w:vertAlign w:val="baseline"/>
        </w:rPr>
        <w:t> </w:t>
      </w:r>
      <w:r>
        <w:rPr>
          <w:sz w:val="18"/>
          <w:vertAlign w:val="baseline"/>
        </w:rPr>
        <w:t>public</w:t>
      </w:r>
      <w:r>
        <w:rPr>
          <w:spacing w:val="-3"/>
          <w:sz w:val="18"/>
          <w:vertAlign w:val="baseline"/>
        </w:rPr>
        <w:t> </w:t>
      </w:r>
      <w:r>
        <w:rPr>
          <w:sz w:val="18"/>
          <w:vertAlign w:val="baseline"/>
        </w:rPr>
        <w:t>health</w:t>
      </w:r>
      <w:r>
        <w:rPr>
          <w:spacing w:val="-2"/>
          <w:sz w:val="18"/>
          <w:vertAlign w:val="baseline"/>
        </w:rPr>
        <w:t> </w:t>
      </w:r>
      <w:r>
        <w:rPr>
          <w:sz w:val="18"/>
          <w:vertAlign w:val="baseline"/>
        </w:rPr>
        <w:t>and policy. </w:t>
      </w:r>
      <w:r>
        <w:rPr>
          <w:i/>
          <w:sz w:val="18"/>
          <w:vertAlign w:val="baseline"/>
        </w:rPr>
        <w:t>The Lancet, 399, </w:t>
      </w:r>
      <w:r>
        <w:rPr>
          <w:sz w:val="18"/>
          <w:vertAlign w:val="baseline"/>
        </w:rPr>
        <w:t>501-503. https://doi.org/10.1016/S0140-6736(21)02872-5</w:t>
      </w:r>
    </w:p>
    <w:p>
      <w:pPr>
        <w:spacing w:before="0"/>
        <w:ind w:left="464" w:right="565" w:firstLine="0"/>
        <w:jc w:val="left"/>
        <w:rPr>
          <w:sz w:val="18"/>
        </w:rPr>
      </w:pPr>
      <w:bookmarkStart w:name="_bookmark69" w:id="179"/>
      <w:bookmarkEnd w:id="179"/>
      <w:r>
        <w:rPr/>
      </w:r>
      <w:r>
        <w:rPr>
          <w:sz w:val="18"/>
          <w:vertAlign w:val="superscript"/>
        </w:rPr>
        <w:t>30</w:t>
      </w:r>
      <w:r>
        <w:rPr>
          <w:sz w:val="18"/>
          <w:vertAlign w:val="baseline"/>
        </w:rPr>
        <w:t> Clark, C. M., &amp; Kosciw, J. G. (2022). Engaged or excluded: LGBTQ youth’s participation in school sports and their relationship</w:t>
      </w:r>
      <w:r>
        <w:rPr>
          <w:spacing w:val="-4"/>
          <w:sz w:val="18"/>
          <w:vertAlign w:val="baseline"/>
        </w:rPr>
        <w:t> </w:t>
      </w:r>
      <w:r>
        <w:rPr>
          <w:sz w:val="18"/>
          <w:vertAlign w:val="baseline"/>
        </w:rPr>
        <w:t>to</w:t>
      </w:r>
      <w:r>
        <w:rPr>
          <w:spacing w:val="-4"/>
          <w:sz w:val="18"/>
          <w:vertAlign w:val="baseline"/>
        </w:rPr>
        <w:t> </w:t>
      </w:r>
      <w:r>
        <w:rPr>
          <w:sz w:val="18"/>
          <w:vertAlign w:val="baseline"/>
        </w:rPr>
        <w:t>psychological</w:t>
      </w:r>
      <w:r>
        <w:rPr>
          <w:spacing w:val="-5"/>
          <w:sz w:val="18"/>
          <w:vertAlign w:val="baseline"/>
        </w:rPr>
        <w:t> </w:t>
      </w:r>
      <w:r>
        <w:rPr>
          <w:sz w:val="18"/>
          <w:vertAlign w:val="baseline"/>
        </w:rPr>
        <w:t>well-being.</w:t>
      </w:r>
      <w:r>
        <w:rPr>
          <w:spacing w:val="-5"/>
          <w:sz w:val="18"/>
          <w:vertAlign w:val="baseline"/>
        </w:rPr>
        <w:t> </w:t>
      </w:r>
      <w:r>
        <w:rPr>
          <w:i/>
          <w:sz w:val="18"/>
          <w:vertAlign w:val="baseline"/>
        </w:rPr>
        <w:t>Psychology</w:t>
      </w:r>
      <w:r>
        <w:rPr>
          <w:i/>
          <w:spacing w:val="-4"/>
          <w:sz w:val="18"/>
          <w:vertAlign w:val="baseline"/>
        </w:rPr>
        <w:t> </w:t>
      </w:r>
      <w:r>
        <w:rPr>
          <w:i/>
          <w:sz w:val="18"/>
          <w:vertAlign w:val="baseline"/>
        </w:rPr>
        <w:t>in</w:t>
      </w:r>
      <w:r>
        <w:rPr>
          <w:i/>
          <w:spacing w:val="-5"/>
          <w:sz w:val="18"/>
          <w:vertAlign w:val="baseline"/>
        </w:rPr>
        <w:t> </w:t>
      </w:r>
      <w:r>
        <w:rPr>
          <w:i/>
          <w:sz w:val="18"/>
          <w:vertAlign w:val="baseline"/>
        </w:rPr>
        <w:t>the</w:t>
      </w:r>
      <w:r>
        <w:rPr>
          <w:i/>
          <w:spacing w:val="-4"/>
          <w:sz w:val="18"/>
          <w:vertAlign w:val="baseline"/>
        </w:rPr>
        <w:t> </w:t>
      </w:r>
      <w:r>
        <w:rPr>
          <w:i/>
          <w:sz w:val="18"/>
          <w:vertAlign w:val="baseline"/>
        </w:rPr>
        <w:t>Schools,</w:t>
      </w:r>
      <w:r>
        <w:rPr>
          <w:i/>
          <w:spacing w:val="-5"/>
          <w:sz w:val="18"/>
          <w:vertAlign w:val="baseline"/>
        </w:rPr>
        <w:t> </w:t>
      </w:r>
      <w:r>
        <w:rPr>
          <w:i/>
          <w:sz w:val="18"/>
          <w:vertAlign w:val="baseline"/>
        </w:rPr>
        <w:t>59,</w:t>
      </w:r>
      <w:r>
        <w:rPr>
          <w:i/>
          <w:spacing w:val="-5"/>
          <w:sz w:val="18"/>
          <w:vertAlign w:val="baseline"/>
        </w:rPr>
        <w:t> </w:t>
      </w:r>
      <w:r>
        <w:rPr>
          <w:sz w:val="18"/>
          <w:vertAlign w:val="baseline"/>
        </w:rPr>
        <w:t>95-114.</w:t>
      </w:r>
      <w:r>
        <w:rPr>
          <w:spacing w:val="-4"/>
          <w:sz w:val="18"/>
          <w:vertAlign w:val="baseline"/>
        </w:rPr>
        <w:t> </w:t>
      </w:r>
      <w:r>
        <w:rPr>
          <w:sz w:val="18"/>
          <w:vertAlign w:val="baseline"/>
        </w:rPr>
        <w:t>https://doi.org/10.1002/pits.22500</w:t>
      </w:r>
    </w:p>
    <w:p>
      <w:pPr>
        <w:spacing w:before="0"/>
        <w:ind w:left="464" w:right="480" w:firstLine="0"/>
        <w:jc w:val="left"/>
        <w:rPr>
          <w:sz w:val="18"/>
        </w:rPr>
      </w:pPr>
      <w:bookmarkStart w:name="_bookmark70" w:id="180"/>
      <w:bookmarkEnd w:id="180"/>
      <w:r>
        <w:rPr/>
      </w:r>
      <w:r>
        <w:rPr>
          <w:sz w:val="18"/>
          <w:vertAlign w:val="superscript"/>
        </w:rPr>
        <w:t>31</w:t>
      </w:r>
      <w:r>
        <w:rPr>
          <w:spacing w:val="-2"/>
          <w:sz w:val="18"/>
          <w:vertAlign w:val="baseline"/>
        </w:rPr>
        <w:t> </w:t>
      </w:r>
      <w:r>
        <w:rPr>
          <w:sz w:val="18"/>
          <w:vertAlign w:val="baseline"/>
        </w:rPr>
        <w:t>Greenspan,</w:t>
      </w:r>
      <w:r>
        <w:rPr>
          <w:spacing w:val="-3"/>
          <w:sz w:val="18"/>
          <w:vertAlign w:val="baseline"/>
        </w:rPr>
        <w:t> </w:t>
      </w:r>
      <w:r>
        <w:rPr>
          <w:sz w:val="18"/>
          <w:vertAlign w:val="baseline"/>
        </w:rPr>
        <w:t>S.</w:t>
      </w:r>
      <w:r>
        <w:rPr>
          <w:spacing w:val="-2"/>
          <w:sz w:val="18"/>
          <w:vertAlign w:val="baseline"/>
        </w:rPr>
        <w:t> </w:t>
      </w:r>
      <w:r>
        <w:rPr>
          <w:sz w:val="18"/>
          <w:vertAlign w:val="baseline"/>
        </w:rPr>
        <w:t>B.,</w:t>
      </w:r>
      <w:r>
        <w:rPr>
          <w:spacing w:val="-3"/>
          <w:sz w:val="18"/>
          <w:vertAlign w:val="baseline"/>
        </w:rPr>
        <w:t> </w:t>
      </w:r>
      <w:r>
        <w:rPr>
          <w:sz w:val="18"/>
          <w:vertAlign w:val="baseline"/>
        </w:rPr>
        <w:t>Griffith,</w:t>
      </w:r>
      <w:r>
        <w:rPr>
          <w:spacing w:val="-3"/>
          <w:sz w:val="18"/>
          <w:vertAlign w:val="baseline"/>
        </w:rPr>
        <w:t> </w:t>
      </w:r>
      <w:r>
        <w:rPr>
          <w:sz w:val="18"/>
          <w:vertAlign w:val="baseline"/>
        </w:rPr>
        <w:t>C.,</w:t>
      </w:r>
      <w:r>
        <w:rPr>
          <w:spacing w:val="-2"/>
          <w:sz w:val="18"/>
          <w:vertAlign w:val="baseline"/>
        </w:rPr>
        <w:t> </w:t>
      </w:r>
      <w:r>
        <w:rPr>
          <w:sz w:val="18"/>
          <w:vertAlign w:val="baseline"/>
        </w:rPr>
        <w:t>Hayes,</w:t>
      </w:r>
      <w:r>
        <w:rPr>
          <w:spacing w:val="-3"/>
          <w:sz w:val="18"/>
          <w:vertAlign w:val="baseline"/>
        </w:rPr>
        <w:t> </w:t>
      </w:r>
      <w:r>
        <w:rPr>
          <w:sz w:val="18"/>
          <w:vertAlign w:val="baseline"/>
        </w:rPr>
        <w:t>C.</w:t>
      </w:r>
      <w:r>
        <w:rPr>
          <w:spacing w:val="-2"/>
          <w:sz w:val="18"/>
          <w:vertAlign w:val="baseline"/>
        </w:rPr>
        <w:t> </w:t>
      </w:r>
      <w:r>
        <w:rPr>
          <w:sz w:val="18"/>
          <w:vertAlign w:val="baseline"/>
        </w:rPr>
        <w:t>R.,</w:t>
      </w:r>
      <w:r>
        <w:rPr>
          <w:spacing w:val="-3"/>
          <w:sz w:val="18"/>
          <w:vertAlign w:val="baseline"/>
        </w:rPr>
        <w:t> </w:t>
      </w:r>
      <w:r>
        <w:rPr>
          <w:sz w:val="18"/>
          <w:vertAlign w:val="baseline"/>
        </w:rPr>
        <w:t>&amp;</w:t>
      </w:r>
      <w:r>
        <w:rPr>
          <w:spacing w:val="-3"/>
          <w:sz w:val="18"/>
          <w:vertAlign w:val="baseline"/>
        </w:rPr>
        <w:t> </w:t>
      </w:r>
      <w:r>
        <w:rPr>
          <w:sz w:val="18"/>
          <w:vertAlign w:val="baseline"/>
        </w:rPr>
        <w:t>Murtagh,</w:t>
      </w:r>
      <w:r>
        <w:rPr>
          <w:spacing w:val="-3"/>
          <w:sz w:val="18"/>
          <w:vertAlign w:val="baseline"/>
        </w:rPr>
        <w:t> </w:t>
      </w:r>
      <w:r>
        <w:rPr>
          <w:sz w:val="18"/>
          <w:vertAlign w:val="baseline"/>
        </w:rPr>
        <w:t>E.</w:t>
      </w:r>
      <w:r>
        <w:rPr>
          <w:spacing w:val="-2"/>
          <w:sz w:val="18"/>
          <w:vertAlign w:val="baseline"/>
        </w:rPr>
        <w:t> </w:t>
      </w:r>
      <w:r>
        <w:rPr>
          <w:sz w:val="18"/>
          <w:vertAlign w:val="baseline"/>
        </w:rPr>
        <w:t>F.</w:t>
      </w:r>
      <w:r>
        <w:rPr>
          <w:spacing w:val="-2"/>
          <w:sz w:val="18"/>
          <w:vertAlign w:val="baseline"/>
        </w:rPr>
        <w:t> </w:t>
      </w:r>
      <w:r>
        <w:rPr>
          <w:sz w:val="18"/>
          <w:vertAlign w:val="baseline"/>
        </w:rPr>
        <w:t>(2019).</w:t>
      </w:r>
      <w:r>
        <w:rPr>
          <w:spacing w:val="-2"/>
          <w:sz w:val="18"/>
          <w:vertAlign w:val="baseline"/>
        </w:rPr>
        <w:t> </w:t>
      </w:r>
      <w:r>
        <w:rPr>
          <w:sz w:val="18"/>
          <w:vertAlign w:val="baseline"/>
        </w:rPr>
        <w:t>LGBTQ+</w:t>
      </w:r>
      <w:r>
        <w:rPr>
          <w:spacing w:val="-2"/>
          <w:sz w:val="18"/>
          <w:vertAlign w:val="baseline"/>
        </w:rPr>
        <w:t> </w:t>
      </w:r>
      <w:r>
        <w:rPr>
          <w:sz w:val="18"/>
          <w:vertAlign w:val="baseline"/>
        </w:rPr>
        <w:t>and</w:t>
      </w:r>
      <w:r>
        <w:rPr>
          <w:spacing w:val="-3"/>
          <w:sz w:val="18"/>
          <w:vertAlign w:val="baseline"/>
        </w:rPr>
        <w:t> </w:t>
      </w:r>
      <w:r>
        <w:rPr>
          <w:sz w:val="18"/>
          <w:vertAlign w:val="baseline"/>
        </w:rPr>
        <w:t>ally</w:t>
      </w:r>
      <w:r>
        <w:rPr>
          <w:spacing w:val="-2"/>
          <w:sz w:val="18"/>
          <w:vertAlign w:val="baseline"/>
        </w:rPr>
        <w:t> </w:t>
      </w:r>
      <w:r>
        <w:rPr>
          <w:sz w:val="18"/>
          <w:vertAlign w:val="baseline"/>
        </w:rPr>
        <w:t>youths’</w:t>
      </w:r>
      <w:r>
        <w:rPr>
          <w:spacing w:val="-3"/>
          <w:sz w:val="18"/>
          <w:vertAlign w:val="baseline"/>
        </w:rPr>
        <w:t> </w:t>
      </w:r>
      <w:r>
        <w:rPr>
          <w:sz w:val="18"/>
          <w:vertAlign w:val="baseline"/>
        </w:rPr>
        <w:t>school</w:t>
      </w:r>
      <w:r>
        <w:rPr>
          <w:spacing w:val="-2"/>
          <w:sz w:val="18"/>
          <w:vertAlign w:val="baseline"/>
        </w:rPr>
        <w:t> </w:t>
      </w:r>
      <w:r>
        <w:rPr>
          <w:sz w:val="18"/>
          <w:vertAlign w:val="baseline"/>
        </w:rPr>
        <w:t>athletics</w:t>
      </w:r>
      <w:r>
        <w:rPr>
          <w:spacing w:val="-2"/>
          <w:sz w:val="18"/>
          <w:vertAlign w:val="baseline"/>
        </w:rPr>
        <w:t> </w:t>
      </w:r>
      <w:r>
        <w:rPr>
          <w:sz w:val="18"/>
          <w:vertAlign w:val="baseline"/>
        </w:rPr>
        <w:t>perspectives: A mixed-methods analysis. </w:t>
      </w:r>
      <w:r>
        <w:rPr>
          <w:i/>
          <w:sz w:val="18"/>
          <w:vertAlign w:val="baseline"/>
        </w:rPr>
        <w:t>Journal of LGBT Youth, 16</w:t>
      </w:r>
      <w:r>
        <w:rPr>
          <w:sz w:val="18"/>
          <w:vertAlign w:val="baseline"/>
        </w:rPr>
        <w:t>(4), 403-434. https://doi.org/10.1080/19361653.2019.1595988</w:t>
      </w:r>
    </w:p>
    <w:p>
      <w:pPr>
        <w:spacing w:before="0"/>
        <w:ind w:left="464" w:right="480" w:firstLine="0"/>
        <w:jc w:val="left"/>
        <w:rPr>
          <w:sz w:val="18"/>
        </w:rPr>
      </w:pPr>
      <w:bookmarkStart w:name="_bookmark71" w:id="181"/>
      <w:bookmarkEnd w:id="181"/>
      <w:r>
        <w:rPr/>
      </w:r>
      <w:r>
        <w:rPr>
          <w:sz w:val="18"/>
          <w:vertAlign w:val="superscript"/>
        </w:rPr>
        <w:t>32</w:t>
      </w:r>
      <w:r>
        <w:rPr>
          <w:sz w:val="18"/>
          <w:vertAlign w:val="baseline"/>
        </w:rPr>
        <w:t> Massachusetts Interscholastic Athletic Association. Rules and regulations governing athletics: A handbook for principals </w:t>
      </w:r>
      <w:bookmarkStart w:name="_bookmark72" w:id="182"/>
      <w:bookmarkEnd w:id="182"/>
      <w:r>
        <w:rPr>
          <w:sz w:val="18"/>
          <w:vertAlign w:val="baseline"/>
        </w:rPr>
        <w:t>and</w:t>
      </w:r>
      <w:r>
        <w:rPr>
          <w:spacing w:val="-6"/>
          <w:sz w:val="18"/>
          <w:vertAlign w:val="baseline"/>
        </w:rPr>
        <w:t> </w:t>
      </w:r>
      <w:r>
        <w:rPr>
          <w:sz w:val="18"/>
          <w:vertAlign w:val="baseline"/>
        </w:rPr>
        <w:t>athletic</w:t>
      </w:r>
      <w:r>
        <w:rPr>
          <w:spacing w:val="-6"/>
          <w:sz w:val="18"/>
          <w:vertAlign w:val="baseline"/>
        </w:rPr>
        <w:t> </w:t>
      </w:r>
      <w:r>
        <w:rPr>
          <w:sz w:val="18"/>
          <w:vertAlign w:val="baseline"/>
        </w:rPr>
        <w:t>directors.</w:t>
      </w:r>
      <w:r>
        <w:rPr>
          <w:spacing w:val="-6"/>
          <w:sz w:val="18"/>
          <w:vertAlign w:val="baseline"/>
        </w:rPr>
        <w:t> </w:t>
      </w:r>
      <w:r>
        <w:rPr>
          <w:sz w:val="18"/>
          <w:vertAlign w:val="baseline"/>
        </w:rPr>
        <w:t>Accessed</w:t>
      </w:r>
      <w:r>
        <w:rPr>
          <w:spacing w:val="-6"/>
          <w:sz w:val="18"/>
          <w:vertAlign w:val="baseline"/>
        </w:rPr>
        <w:t> </w:t>
      </w:r>
      <w:r>
        <w:rPr>
          <w:sz w:val="18"/>
          <w:vertAlign w:val="baseline"/>
        </w:rPr>
        <w:t>May</w:t>
      </w:r>
      <w:r>
        <w:rPr>
          <w:spacing w:val="-6"/>
          <w:sz w:val="18"/>
          <w:vertAlign w:val="baseline"/>
        </w:rPr>
        <w:t> </w:t>
      </w:r>
      <w:r>
        <w:rPr>
          <w:sz w:val="18"/>
          <w:vertAlign w:val="baseline"/>
        </w:rPr>
        <w:t>10,</w:t>
      </w:r>
      <w:r>
        <w:rPr>
          <w:spacing w:val="-6"/>
          <w:sz w:val="18"/>
          <w:vertAlign w:val="baseline"/>
        </w:rPr>
        <w:t> </w:t>
      </w:r>
      <w:r>
        <w:rPr>
          <w:sz w:val="18"/>
          <w:vertAlign w:val="baseline"/>
        </w:rPr>
        <w:t>2024.</w:t>
      </w:r>
      <w:r>
        <w:rPr>
          <w:spacing w:val="-6"/>
          <w:sz w:val="18"/>
          <w:vertAlign w:val="baseline"/>
        </w:rPr>
        <w:t> </w:t>
      </w:r>
      <w:r>
        <w:rPr>
          <w:sz w:val="18"/>
          <w:vertAlign w:val="baseline"/>
        </w:rPr>
        <w:t>https://miaa.net/wp-content/uploads/2023/07/MIAA-Handbook-23-25.pdf </w:t>
      </w:r>
      <w:r>
        <w:rPr>
          <w:sz w:val="18"/>
          <w:vertAlign w:val="superscript"/>
        </w:rPr>
        <w:t>33</w:t>
      </w:r>
      <w:r>
        <w:rPr>
          <w:sz w:val="18"/>
          <w:vertAlign w:val="baseline"/>
        </w:rPr>
        <w:t> Owens, M, &amp; Mattheus, D. (2022). Addressing health disparities in LGBTQ youth through professional development of middle school staff. </w:t>
      </w:r>
      <w:r>
        <w:rPr>
          <w:i/>
          <w:sz w:val="18"/>
          <w:vertAlign w:val="baseline"/>
        </w:rPr>
        <w:t>Journal of School Health, 92</w:t>
      </w:r>
      <w:r>
        <w:rPr>
          <w:sz w:val="18"/>
          <w:vertAlign w:val="baseline"/>
        </w:rPr>
        <w:t>(12), 1148-1154. https://doi.org/10.1111/josh.13244</w:t>
      </w:r>
    </w:p>
    <w:p>
      <w:pPr>
        <w:spacing w:before="0"/>
        <w:ind w:left="464" w:right="0" w:firstLine="0"/>
        <w:jc w:val="left"/>
        <w:rPr>
          <w:sz w:val="18"/>
        </w:rPr>
      </w:pPr>
      <w:bookmarkStart w:name="_bookmark73" w:id="183"/>
      <w:bookmarkEnd w:id="183"/>
      <w:r>
        <w:rPr/>
      </w:r>
      <w:r>
        <w:rPr>
          <w:sz w:val="18"/>
          <w:vertAlign w:val="superscript"/>
        </w:rPr>
        <w:t>34</w:t>
      </w:r>
      <w:r>
        <w:rPr>
          <w:spacing w:val="-4"/>
          <w:sz w:val="18"/>
          <w:vertAlign w:val="baseline"/>
        </w:rPr>
        <w:t> </w:t>
      </w:r>
      <w:r>
        <w:rPr>
          <w:sz w:val="18"/>
          <w:vertAlign w:val="baseline"/>
        </w:rPr>
        <w:t>Truong,</w:t>
      </w:r>
      <w:r>
        <w:rPr>
          <w:spacing w:val="-3"/>
          <w:sz w:val="18"/>
          <w:vertAlign w:val="baseline"/>
        </w:rPr>
        <w:t> </w:t>
      </w:r>
      <w:r>
        <w:rPr>
          <w:sz w:val="18"/>
          <w:vertAlign w:val="baseline"/>
        </w:rPr>
        <w:t>N.</w:t>
      </w:r>
      <w:r>
        <w:rPr>
          <w:spacing w:val="-2"/>
          <w:sz w:val="18"/>
          <w:vertAlign w:val="baseline"/>
        </w:rPr>
        <w:t> </w:t>
      </w:r>
      <w:r>
        <w:rPr>
          <w:sz w:val="18"/>
          <w:vertAlign w:val="baseline"/>
        </w:rPr>
        <w:t>L.,</w:t>
      </w:r>
      <w:r>
        <w:rPr>
          <w:spacing w:val="-3"/>
          <w:sz w:val="18"/>
          <w:vertAlign w:val="baseline"/>
        </w:rPr>
        <w:t> </w:t>
      </w:r>
      <w:r>
        <w:rPr>
          <w:sz w:val="18"/>
          <w:vertAlign w:val="baseline"/>
        </w:rPr>
        <w:t>Zongrone,</w:t>
      </w:r>
      <w:r>
        <w:rPr>
          <w:spacing w:val="-3"/>
          <w:sz w:val="18"/>
          <w:vertAlign w:val="baseline"/>
        </w:rPr>
        <w:t> </w:t>
      </w:r>
      <w:r>
        <w:rPr>
          <w:sz w:val="18"/>
          <w:vertAlign w:val="baseline"/>
        </w:rPr>
        <w:t>A.,</w:t>
      </w:r>
      <w:r>
        <w:rPr>
          <w:spacing w:val="-3"/>
          <w:sz w:val="18"/>
          <w:vertAlign w:val="baseline"/>
        </w:rPr>
        <w:t> </w:t>
      </w:r>
      <w:r>
        <w:rPr>
          <w:sz w:val="18"/>
          <w:vertAlign w:val="baseline"/>
        </w:rPr>
        <w:t>D.,</w:t>
      </w:r>
      <w:r>
        <w:rPr>
          <w:spacing w:val="-2"/>
          <w:sz w:val="18"/>
          <w:vertAlign w:val="baseline"/>
        </w:rPr>
        <w:t> </w:t>
      </w:r>
      <w:r>
        <w:rPr>
          <w:sz w:val="18"/>
          <w:vertAlign w:val="baseline"/>
        </w:rPr>
        <w:t>&amp;</w:t>
      </w:r>
      <w:r>
        <w:rPr>
          <w:spacing w:val="-3"/>
          <w:sz w:val="18"/>
          <w:vertAlign w:val="baseline"/>
        </w:rPr>
        <w:t> </w:t>
      </w:r>
      <w:r>
        <w:rPr>
          <w:sz w:val="18"/>
          <w:vertAlign w:val="baseline"/>
        </w:rPr>
        <w:t>Kosciw,</w:t>
      </w:r>
      <w:r>
        <w:rPr>
          <w:spacing w:val="-3"/>
          <w:sz w:val="18"/>
          <w:vertAlign w:val="baseline"/>
        </w:rPr>
        <w:t> </w:t>
      </w:r>
      <w:r>
        <w:rPr>
          <w:sz w:val="18"/>
          <w:vertAlign w:val="baseline"/>
        </w:rPr>
        <w:t>J.</w:t>
      </w:r>
      <w:r>
        <w:rPr>
          <w:spacing w:val="-2"/>
          <w:sz w:val="18"/>
          <w:vertAlign w:val="baseline"/>
        </w:rPr>
        <w:t> </w:t>
      </w:r>
      <w:r>
        <w:rPr>
          <w:sz w:val="18"/>
          <w:vertAlign w:val="baseline"/>
        </w:rPr>
        <w:t>G.</w:t>
      </w:r>
      <w:r>
        <w:rPr>
          <w:spacing w:val="-2"/>
          <w:sz w:val="18"/>
          <w:vertAlign w:val="baseline"/>
        </w:rPr>
        <w:t> </w:t>
      </w:r>
      <w:r>
        <w:rPr>
          <w:sz w:val="18"/>
          <w:vertAlign w:val="baseline"/>
        </w:rPr>
        <w:t>(2020).</w:t>
      </w:r>
      <w:r>
        <w:rPr>
          <w:spacing w:val="-2"/>
          <w:sz w:val="18"/>
          <w:vertAlign w:val="baseline"/>
        </w:rPr>
        <w:t> </w:t>
      </w:r>
      <w:r>
        <w:rPr>
          <w:sz w:val="18"/>
          <w:vertAlign w:val="baseline"/>
        </w:rPr>
        <w:t>Erasure</w:t>
      </w:r>
      <w:r>
        <w:rPr>
          <w:spacing w:val="-2"/>
          <w:sz w:val="18"/>
          <w:vertAlign w:val="baseline"/>
        </w:rPr>
        <w:t> </w:t>
      </w:r>
      <w:r>
        <w:rPr>
          <w:sz w:val="18"/>
          <w:vertAlign w:val="baseline"/>
        </w:rPr>
        <w:t>and</w:t>
      </w:r>
      <w:r>
        <w:rPr>
          <w:spacing w:val="-1"/>
          <w:sz w:val="18"/>
          <w:vertAlign w:val="baseline"/>
        </w:rPr>
        <w:t> </w:t>
      </w:r>
      <w:r>
        <w:rPr>
          <w:sz w:val="18"/>
          <w:vertAlign w:val="baseline"/>
        </w:rPr>
        <w:t>resilience:</w:t>
      </w:r>
      <w:r>
        <w:rPr>
          <w:spacing w:val="-2"/>
          <w:sz w:val="18"/>
          <w:vertAlign w:val="baseline"/>
        </w:rPr>
        <w:t> </w:t>
      </w:r>
      <w:r>
        <w:rPr>
          <w:sz w:val="18"/>
          <w:vertAlign w:val="baseline"/>
        </w:rPr>
        <w:t>The</w:t>
      </w:r>
      <w:r>
        <w:rPr>
          <w:spacing w:val="-2"/>
          <w:sz w:val="18"/>
          <w:vertAlign w:val="baseline"/>
        </w:rPr>
        <w:t> </w:t>
      </w:r>
      <w:r>
        <w:rPr>
          <w:sz w:val="18"/>
          <w:vertAlign w:val="baseline"/>
        </w:rPr>
        <w:t>experiences</w:t>
      </w:r>
      <w:r>
        <w:rPr>
          <w:spacing w:val="-2"/>
          <w:sz w:val="18"/>
          <w:vertAlign w:val="baseline"/>
        </w:rPr>
        <w:t> </w:t>
      </w:r>
      <w:r>
        <w:rPr>
          <w:sz w:val="18"/>
          <w:vertAlign w:val="baseline"/>
        </w:rPr>
        <w:t>of</w:t>
      </w:r>
      <w:r>
        <w:rPr>
          <w:spacing w:val="-3"/>
          <w:sz w:val="18"/>
          <w:vertAlign w:val="baseline"/>
        </w:rPr>
        <w:t> </w:t>
      </w:r>
      <w:r>
        <w:rPr>
          <w:sz w:val="18"/>
          <w:vertAlign w:val="baseline"/>
        </w:rPr>
        <w:t>LGBTQ</w:t>
      </w:r>
      <w:r>
        <w:rPr>
          <w:spacing w:val="-2"/>
          <w:sz w:val="18"/>
          <w:vertAlign w:val="baseline"/>
        </w:rPr>
        <w:t> </w:t>
      </w:r>
      <w:r>
        <w:rPr>
          <w:sz w:val="18"/>
          <w:vertAlign w:val="baseline"/>
        </w:rPr>
        <w:t>students</w:t>
      </w:r>
      <w:r>
        <w:rPr>
          <w:spacing w:val="-3"/>
          <w:sz w:val="18"/>
          <w:vertAlign w:val="baseline"/>
        </w:rPr>
        <w:t> </w:t>
      </w:r>
      <w:r>
        <w:rPr>
          <w:sz w:val="18"/>
          <w:vertAlign w:val="baseline"/>
        </w:rPr>
        <w:t>of</w:t>
      </w:r>
      <w:r>
        <w:rPr>
          <w:spacing w:val="-1"/>
          <w:sz w:val="18"/>
          <w:vertAlign w:val="baseline"/>
        </w:rPr>
        <w:t> </w:t>
      </w:r>
      <w:r>
        <w:rPr>
          <w:spacing w:val="-2"/>
          <w:sz w:val="18"/>
          <w:vertAlign w:val="baseline"/>
        </w:rPr>
        <w:t>color</w:t>
      </w:r>
    </w:p>
    <w:p>
      <w:pPr>
        <w:spacing w:before="0"/>
        <w:ind w:left="464" w:right="645" w:hanging="1"/>
        <w:jc w:val="left"/>
        <w:rPr>
          <w:sz w:val="18"/>
        </w:rPr>
      </w:pPr>
      <w:r>
        <w:rPr>
          <w:sz w:val="18"/>
        </w:rPr>
        <w:t>-</w:t>
      </w:r>
      <w:r>
        <w:rPr>
          <w:spacing w:val="-4"/>
          <w:sz w:val="18"/>
        </w:rPr>
        <w:t> </w:t>
      </w:r>
      <w:r>
        <w:rPr>
          <w:sz w:val="18"/>
        </w:rPr>
        <w:t>Black</w:t>
      </w:r>
      <w:r>
        <w:rPr>
          <w:spacing w:val="-5"/>
          <w:sz w:val="18"/>
        </w:rPr>
        <w:t> </w:t>
      </w:r>
      <w:r>
        <w:rPr>
          <w:sz w:val="18"/>
        </w:rPr>
        <w:t>LGBTQ</w:t>
      </w:r>
      <w:r>
        <w:rPr>
          <w:spacing w:val="-4"/>
          <w:sz w:val="18"/>
        </w:rPr>
        <w:t> </w:t>
      </w:r>
      <w:r>
        <w:rPr>
          <w:sz w:val="18"/>
        </w:rPr>
        <w:t>youth</w:t>
      </w:r>
      <w:r>
        <w:rPr>
          <w:spacing w:val="-4"/>
          <w:sz w:val="18"/>
        </w:rPr>
        <w:t> </w:t>
      </w:r>
      <w:r>
        <w:rPr>
          <w:sz w:val="18"/>
        </w:rPr>
        <w:t>in</w:t>
      </w:r>
      <w:r>
        <w:rPr>
          <w:spacing w:val="-4"/>
          <w:sz w:val="18"/>
        </w:rPr>
        <w:t> </w:t>
      </w:r>
      <w:r>
        <w:rPr>
          <w:sz w:val="18"/>
        </w:rPr>
        <w:t>U.S.</w:t>
      </w:r>
      <w:r>
        <w:rPr>
          <w:spacing w:val="-4"/>
          <w:sz w:val="18"/>
        </w:rPr>
        <w:t> </w:t>
      </w:r>
      <w:r>
        <w:rPr>
          <w:sz w:val="18"/>
        </w:rPr>
        <w:t>schools.</w:t>
      </w:r>
      <w:r>
        <w:rPr>
          <w:spacing w:val="-4"/>
          <w:sz w:val="18"/>
        </w:rPr>
        <w:t> </w:t>
      </w:r>
      <w:r>
        <w:rPr>
          <w:sz w:val="18"/>
        </w:rPr>
        <w:t>Accessed</w:t>
      </w:r>
      <w:r>
        <w:rPr>
          <w:spacing w:val="-4"/>
          <w:sz w:val="18"/>
        </w:rPr>
        <w:t> </w:t>
      </w:r>
      <w:r>
        <w:rPr>
          <w:sz w:val="18"/>
        </w:rPr>
        <w:t>May</w:t>
      </w:r>
      <w:r>
        <w:rPr>
          <w:spacing w:val="-4"/>
          <w:sz w:val="18"/>
        </w:rPr>
        <w:t> </w:t>
      </w:r>
      <w:r>
        <w:rPr>
          <w:sz w:val="18"/>
        </w:rPr>
        <w:t>10,</w:t>
      </w:r>
      <w:r>
        <w:rPr>
          <w:spacing w:val="-5"/>
          <w:sz w:val="18"/>
        </w:rPr>
        <w:t> </w:t>
      </w:r>
      <w:r>
        <w:rPr>
          <w:sz w:val="18"/>
        </w:rPr>
        <w:t>2024.</w:t>
      </w:r>
      <w:r>
        <w:rPr>
          <w:spacing w:val="-4"/>
          <w:sz w:val="18"/>
        </w:rPr>
        <w:t> </w:t>
      </w:r>
      <w:r>
        <w:rPr>
          <w:sz w:val="18"/>
        </w:rPr>
        <w:t>https:</w:t>
      </w:r>
      <w:hyperlink r:id="rId116">
        <w:r>
          <w:rPr>
            <w:sz w:val="18"/>
          </w:rPr>
          <w:t>//www.glsen.org/sites/default/files/2020-06/Erasure-</w:t>
        </w:r>
      </w:hyperlink>
      <w:r>
        <w:rPr>
          <w:sz w:val="18"/>
        </w:rPr>
        <w:t> </w:t>
      </w:r>
      <w:r>
        <w:rPr>
          <w:spacing w:val="-2"/>
          <w:sz w:val="18"/>
        </w:rPr>
        <w:t>and-Resilience-Black-2020.pdf</w:t>
      </w:r>
    </w:p>
    <w:p>
      <w:pPr>
        <w:spacing w:before="0"/>
        <w:ind w:left="464" w:right="600" w:hanging="1"/>
        <w:jc w:val="left"/>
        <w:rPr>
          <w:sz w:val="18"/>
        </w:rPr>
      </w:pPr>
      <w:bookmarkStart w:name="_bookmark74" w:id="184"/>
      <w:bookmarkEnd w:id="184"/>
      <w:r>
        <w:rPr/>
      </w:r>
      <w:r>
        <w:rPr>
          <w:sz w:val="18"/>
          <w:vertAlign w:val="superscript"/>
        </w:rPr>
        <w:t>35</w:t>
      </w:r>
      <w:r>
        <w:rPr>
          <w:spacing w:val="-2"/>
          <w:sz w:val="18"/>
          <w:vertAlign w:val="baseline"/>
        </w:rPr>
        <w:t> </w:t>
      </w:r>
      <w:r>
        <w:rPr>
          <w:sz w:val="18"/>
          <w:vertAlign w:val="baseline"/>
        </w:rPr>
        <w:t>Zongrone,</w:t>
      </w:r>
      <w:r>
        <w:rPr>
          <w:spacing w:val="-3"/>
          <w:sz w:val="18"/>
          <w:vertAlign w:val="baseline"/>
        </w:rPr>
        <w:t> </w:t>
      </w:r>
      <w:r>
        <w:rPr>
          <w:sz w:val="18"/>
          <w:vertAlign w:val="baseline"/>
        </w:rPr>
        <w:t>A.</w:t>
      </w:r>
      <w:r>
        <w:rPr>
          <w:spacing w:val="-2"/>
          <w:sz w:val="18"/>
          <w:vertAlign w:val="baseline"/>
        </w:rPr>
        <w:t> </w:t>
      </w:r>
      <w:r>
        <w:rPr>
          <w:sz w:val="18"/>
          <w:vertAlign w:val="baseline"/>
        </w:rPr>
        <w:t>D.,</w:t>
      </w:r>
      <w:r>
        <w:rPr>
          <w:spacing w:val="-3"/>
          <w:sz w:val="18"/>
          <w:vertAlign w:val="baseline"/>
        </w:rPr>
        <w:t> </w:t>
      </w:r>
      <w:r>
        <w:rPr>
          <w:sz w:val="18"/>
          <w:vertAlign w:val="baseline"/>
        </w:rPr>
        <w:t>Truong,</w:t>
      </w:r>
      <w:r>
        <w:rPr>
          <w:spacing w:val="-3"/>
          <w:sz w:val="18"/>
          <w:vertAlign w:val="baseline"/>
        </w:rPr>
        <w:t> </w:t>
      </w:r>
      <w:r>
        <w:rPr>
          <w:sz w:val="18"/>
          <w:vertAlign w:val="baseline"/>
        </w:rPr>
        <w:t>N.</w:t>
      </w:r>
      <w:r>
        <w:rPr>
          <w:spacing w:val="-2"/>
          <w:sz w:val="18"/>
          <w:vertAlign w:val="baseline"/>
        </w:rPr>
        <w:t> </w:t>
      </w:r>
      <w:r>
        <w:rPr>
          <w:sz w:val="18"/>
          <w:vertAlign w:val="baseline"/>
        </w:rPr>
        <w:t>L.,</w:t>
      </w:r>
      <w:r>
        <w:rPr>
          <w:spacing w:val="-3"/>
          <w:sz w:val="18"/>
          <w:vertAlign w:val="baseline"/>
        </w:rPr>
        <w:t> </w:t>
      </w:r>
      <w:r>
        <w:rPr>
          <w:sz w:val="18"/>
          <w:vertAlign w:val="baseline"/>
        </w:rPr>
        <w:t>Kosciw,</w:t>
      </w:r>
      <w:r>
        <w:rPr>
          <w:spacing w:val="-3"/>
          <w:sz w:val="18"/>
          <w:vertAlign w:val="baseline"/>
        </w:rPr>
        <w:t> </w:t>
      </w:r>
      <w:r>
        <w:rPr>
          <w:sz w:val="18"/>
          <w:vertAlign w:val="baseline"/>
        </w:rPr>
        <w:t>J.</w:t>
      </w:r>
      <w:r>
        <w:rPr>
          <w:spacing w:val="-2"/>
          <w:sz w:val="18"/>
          <w:vertAlign w:val="baseline"/>
        </w:rPr>
        <w:t> </w:t>
      </w:r>
      <w:r>
        <w:rPr>
          <w:sz w:val="18"/>
          <w:vertAlign w:val="baseline"/>
        </w:rPr>
        <w:t>G.</w:t>
      </w:r>
      <w:r>
        <w:rPr>
          <w:spacing w:val="-2"/>
          <w:sz w:val="18"/>
          <w:vertAlign w:val="baseline"/>
        </w:rPr>
        <w:t> </w:t>
      </w:r>
      <w:r>
        <w:rPr>
          <w:sz w:val="18"/>
          <w:vertAlign w:val="baseline"/>
        </w:rPr>
        <w:t>(2020).</w:t>
      </w:r>
      <w:r>
        <w:rPr>
          <w:spacing w:val="-2"/>
          <w:sz w:val="18"/>
          <w:vertAlign w:val="baseline"/>
        </w:rPr>
        <w:t> </w:t>
      </w:r>
      <w:r>
        <w:rPr>
          <w:sz w:val="18"/>
          <w:vertAlign w:val="baseline"/>
        </w:rPr>
        <w:t>Erasure</w:t>
      </w:r>
      <w:r>
        <w:rPr>
          <w:spacing w:val="-2"/>
          <w:sz w:val="18"/>
          <w:vertAlign w:val="baseline"/>
        </w:rPr>
        <w:t> </w:t>
      </w:r>
      <w:r>
        <w:rPr>
          <w:sz w:val="18"/>
          <w:vertAlign w:val="baseline"/>
        </w:rPr>
        <w:t>and</w:t>
      </w:r>
      <w:r>
        <w:rPr>
          <w:spacing w:val="-2"/>
          <w:sz w:val="18"/>
          <w:vertAlign w:val="baseline"/>
        </w:rPr>
        <w:t> </w:t>
      </w:r>
      <w:r>
        <w:rPr>
          <w:sz w:val="18"/>
          <w:vertAlign w:val="baseline"/>
        </w:rPr>
        <w:t>resilience:</w:t>
      </w:r>
      <w:r>
        <w:rPr>
          <w:spacing w:val="-2"/>
          <w:sz w:val="18"/>
          <w:vertAlign w:val="baseline"/>
        </w:rPr>
        <w:t> </w:t>
      </w:r>
      <w:r>
        <w:rPr>
          <w:sz w:val="18"/>
          <w:vertAlign w:val="baseline"/>
        </w:rPr>
        <w:t>The</w:t>
      </w:r>
      <w:r>
        <w:rPr>
          <w:spacing w:val="-2"/>
          <w:sz w:val="18"/>
          <w:vertAlign w:val="baseline"/>
        </w:rPr>
        <w:t> </w:t>
      </w:r>
      <w:r>
        <w:rPr>
          <w:sz w:val="18"/>
          <w:vertAlign w:val="baseline"/>
        </w:rPr>
        <w:t>experiences</w:t>
      </w:r>
      <w:r>
        <w:rPr>
          <w:spacing w:val="-2"/>
          <w:sz w:val="18"/>
          <w:vertAlign w:val="baseline"/>
        </w:rPr>
        <w:t> </w:t>
      </w:r>
      <w:r>
        <w:rPr>
          <w:sz w:val="18"/>
          <w:vertAlign w:val="baseline"/>
        </w:rPr>
        <w:t>of</w:t>
      </w:r>
      <w:r>
        <w:rPr>
          <w:spacing w:val="-2"/>
          <w:sz w:val="18"/>
          <w:vertAlign w:val="baseline"/>
        </w:rPr>
        <w:t> </w:t>
      </w:r>
      <w:r>
        <w:rPr>
          <w:sz w:val="18"/>
          <w:vertAlign w:val="baseline"/>
        </w:rPr>
        <w:t>LGBTQ</w:t>
      </w:r>
      <w:r>
        <w:rPr>
          <w:spacing w:val="-2"/>
          <w:sz w:val="18"/>
          <w:vertAlign w:val="baseline"/>
        </w:rPr>
        <w:t> </w:t>
      </w:r>
      <w:r>
        <w:rPr>
          <w:sz w:val="18"/>
          <w:vertAlign w:val="baseline"/>
        </w:rPr>
        <w:t>students</w:t>
      </w:r>
      <w:r>
        <w:rPr>
          <w:spacing w:val="-2"/>
          <w:sz w:val="18"/>
          <w:vertAlign w:val="baseline"/>
        </w:rPr>
        <w:t> </w:t>
      </w:r>
      <w:r>
        <w:rPr>
          <w:sz w:val="18"/>
          <w:vertAlign w:val="baseline"/>
        </w:rPr>
        <w:t>of</w:t>
      </w:r>
      <w:r>
        <w:rPr>
          <w:spacing w:val="-3"/>
          <w:sz w:val="18"/>
          <w:vertAlign w:val="baseline"/>
        </w:rPr>
        <w:t> </w:t>
      </w:r>
      <w:r>
        <w:rPr>
          <w:sz w:val="18"/>
          <w:vertAlign w:val="baseline"/>
        </w:rPr>
        <w:t>color</w:t>
      </w:r>
      <w:r>
        <w:rPr>
          <w:spacing w:val="-3"/>
          <w:sz w:val="18"/>
          <w:vertAlign w:val="baseline"/>
        </w:rPr>
        <w:t> </w:t>
      </w:r>
      <w:r>
        <w:rPr>
          <w:sz w:val="18"/>
          <w:vertAlign w:val="baseline"/>
        </w:rPr>
        <w:t>- Native American, American Indian, and Alaska Native LGBTQ youth in U.S. schools. Accessed May 10, 2024. </w:t>
      </w:r>
      <w:r>
        <w:rPr>
          <w:spacing w:val="-2"/>
          <w:sz w:val="18"/>
          <w:vertAlign w:val="baseline"/>
        </w:rPr>
        <w:t>https://</w:t>
      </w:r>
      <w:hyperlink r:id="rId117">
        <w:r>
          <w:rPr>
            <w:spacing w:val="-2"/>
            <w:sz w:val="18"/>
            <w:vertAlign w:val="baseline"/>
          </w:rPr>
          <w:t>www.glsen.org/sites/default/files/2020-06/Erasure-and-Resilience-Native-2020.pdf</w:t>
        </w:r>
      </w:hyperlink>
    </w:p>
    <w:p>
      <w:pPr>
        <w:spacing w:before="0"/>
        <w:ind w:left="464" w:right="434" w:hanging="1"/>
        <w:jc w:val="left"/>
        <w:rPr>
          <w:sz w:val="18"/>
        </w:rPr>
      </w:pPr>
      <w:bookmarkStart w:name="_bookmark75" w:id="185"/>
      <w:bookmarkEnd w:id="185"/>
      <w:r>
        <w:rPr/>
      </w:r>
      <w:r>
        <w:rPr>
          <w:sz w:val="18"/>
          <w:vertAlign w:val="superscript"/>
        </w:rPr>
        <w:t>36</w:t>
      </w:r>
      <w:r>
        <w:rPr>
          <w:spacing w:val="-2"/>
          <w:sz w:val="18"/>
          <w:vertAlign w:val="baseline"/>
        </w:rPr>
        <w:t> </w:t>
      </w:r>
      <w:r>
        <w:rPr>
          <w:sz w:val="18"/>
          <w:vertAlign w:val="baseline"/>
        </w:rPr>
        <w:t>McQuillan,</w:t>
      </w:r>
      <w:r>
        <w:rPr>
          <w:spacing w:val="-3"/>
          <w:sz w:val="18"/>
          <w:vertAlign w:val="baseline"/>
        </w:rPr>
        <w:t> </w:t>
      </w:r>
      <w:r>
        <w:rPr>
          <w:sz w:val="18"/>
          <w:vertAlign w:val="baseline"/>
        </w:rPr>
        <w:t>M.</w:t>
      </w:r>
      <w:r>
        <w:rPr>
          <w:spacing w:val="-2"/>
          <w:sz w:val="18"/>
          <w:vertAlign w:val="baseline"/>
        </w:rPr>
        <w:t> </w:t>
      </w:r>
      <w:r>
        <w:rPr>
          <w:sz w:val="18"/>
          <w:vertAlign w:val="baseline"/>
        </w:rPr>
        <w:t>T.,</w:t>
      </w:r>
      <w:r>
        <w:rPr>
          <w:spacing w:val="-3"/>
          <w:sz w:val="18"/>
          <w:vertAlign w:val="baseline"/>
        </w:rPr>
        <w:t> </w:t>
      </w:r>
      <w:r>
        <w:rPr>
          <w:sz w:val="18"/>
          <w:vertAlign w:val="baseline"/>
        </w:rPr>
        <w:t>Gill,</w:t>
      </w:r>
      <w:r>
        <w:rPr>
          <w:spacing w:val="-3"/>
          <w:sz w:val="18"/>
          <w:vertAlign w:val="baseline"/>
        </w:rPr>
        <w:t> </w:t>
      </w:r>
      <w:r>
        <w:rPr>
          <w:sz w:val="18"/>
          <w:vertAlign w:val="baseline"/>
        </w:rPr>
        <w:t>E.</w:t>
      </w:r>
      <w:r>
        <w:rPr>
          <w:spacing w:val="-2"/>
          <w:sz w:val="18"/>
          <w:vertAlign w:val="baseline"/>
        </w:rPr>
        <w:t> </w:t>
      </w:r>
      <w:r>
        <w:rPr>
          <w:sz w:val="18"/>
          <w:vertAlign w:val="baseline"/>
        </w:rPr>
        <w:t>K.,</w:t>
      </w:r>
      <w:r>
        <w:rPr>
          <w:spacing w:val="-3"/>
          <w:sz w:val="18"/>
          <w:vertAlign w:val="baseline"/>
        </w:rPr>
        <w:t> </w:t>
      </w:r>
      <w:r>
        <w:rPr>
          <w:sz w:val="18"/>
          <w:vertAlign w:val="baseline"/>
        </w:rPr>
        <w:t>&amp;</w:t>
      </w:r>
      <w:r>
        <w:rPr>
          <w:spacing w:val="-3"/>
          <w:sz w:val="18"/>
          <w:vertAlign w:val="baseline"/>
        </w:rPr>
        <w:t> </w:t>
      </w:r>
      <w:r>
        <w:rPr>
          <w:sz w:val="18"/>
          <w:vertAlign w:val="baseline"/>
        </w:rPr>
        <w:t>Gong,</w:t>
      </w:r>
      <w:r>
        <w:rPr>
          <w:spacing w:val="-3"/>
          <w:sz w:val="18"/>
          <w:vertAlign w:val="baseline"/>
        </w:rPr>
        <w:t> </w:t>
      </w:r>
      <w:r>
        <w:rPr>
          <w:sz w:val="18"/>
          <w:vertAlign w:val="baseline"/>
        </w:rPr>
        <w:t>X.</w:t>
      </w:r>
      <w:r>
        <w:rPr>
          <w:spacing w:val="-2"/>
          <w:sz w:val="18"/>
          <w:vertAlign w:val="baseline"/>
        </w:rPr>
        <w:t> </w:t>
      </w:r>
      <w:r>
        <w:rPr>
          <w:sz w:val="18"/>
          <w:vertAlign w:val="baseline"/>
        </w:rPr>
        <w:t>(2023).</w:t>
      </w:r>
      <w:r>
        <w:rPr>
          <w:spacing w:val="-2"/>
          <w:sz w:val="18"/>
          <w:vertAlign w:val="baseline"/>
        </w:rPr>
        <w:t> </w:t>
      </w:r>
      <w:r>
        <w:rPr>
          <w:i/>
          <w:sz w:val="18"/>
          <w:vertAlign w:val="baseline"/>
        </w:rPr>
        <w:t>Journal</w:t>
      </w:r>
      <w:r>
        <w:rPr>
          <w:i/>
          <w:spacing w:val="-3"/>
          <w:sz w:val="18"/>
          <w:vertAlign w:val="baseline"/>
        </w:rPr>
        <w:t> </w:t>
      </w:r>
      <w:r>
        <w:rPr>
          <w:i/>
          <w:sz w:val="18"/>
          <w:vertAlign w:val="baseline"/>
        </w:rPr>
        <w:t>of</w:t>
      </w:r>
      <w:r>
        <w:rPr>
          <w:i/>
          <w:spacing w:val="-2"/>
          <w:sz w:val="18"/>
          <w:vertAlign w:val="baseline"/>
        </w:rPr>
        <w:t> </w:t>
      </w:r>
      <w:r>
        <w:rPr>
          <w:i/>
          <w:sz w:val="18"/>
          <w:vertAlign w:val="baseline"/>
        </w:rPr>
        <w:t>School</w:t>
      </w:r>
      <w:r>
        <w:rPr>
          <w:i/>
          <w:spacing w:val="-3"/>
          <w:sz w:val="18"/>
          <w:vertAlign w:val="baseline"/>
        </w:rPr>
        <w:t> </w:t>
      </w:r>
      <w:r>
        <w:rPr>
          <w:i/>
          <w:sz w:val="18"/>
          <w:vertAlign w:val="baseline"/>
        </w:rPr>
        <w:t>Leadership,</w:t>
      </w:r>
      <w:r>
        <w:rPr>
          <w:i/>
          <w:spacing w:val="-3"/>
          <w:sz w:val="18"/>
          <w:vertAlign w:val="baseline"/>
        </w:rPr>
        <w:t> </w:t>
      </w:r>
      <w:r>
        <w:rPr>
          <w:i/>
          <w:sz w:val="18"/>
          <w:vertAlign w:val="baseline"/>
        </w:rPr>
        <w:t>33</w:t>
      </w:r>
      <w:r>
        <w:rPr>
          <w:sz w:val="18"/>
          <w:vertAlign w:val="baseline"/>
        </w:rPr>
        <w:t>(4),</w:t>
      </w:r>
      <w:r>
        <w:rPr>
          <w:spacing w:val="-3"/>
          <w:sz w:val="18"/>
          <w:vertAlign w:val="baseline"/>
        </w:rPr>
        <w:t> </w:t>
      </w:r>
      <w:r>
        <w:rPr>
          <w:sz w:val="18"/>
          <w:vertAlign w:val="baseline"/>
        </w:rPr>
        <w:t>382-408. </w:t>
      </w:r>
      <w:r>
        <w:rPr>
          <w:spacing w:val="-2"/>
          <w:sz w:val="18"/>
          <w:vertAlign w:val="baseline"/>
        </w:rPr>
        <w:t>https://doi.org/10.1177/10526846231174051</w:t>
      </w:r>
    </w:p>
    <w:p>
      <w:pPr>
        <w:spacing w:before="0"/>
        <w:ind w:left="463" w:right="565" w:firstLine="0"/>
        <w:jc w:val="left"/>
        <w:rPr>
          <w:sz w:val="18"/>
        </w:rPr>
      </w:pPr>
      <w:bookmarkStart w:name="_bookmark76" w:id="186"/>
      <w:bookmarkEnd w:id="186"/>
      <w:r>
        <w:rPr/>
      </w:r>
      <w:r>
        <w:rPr>
          <w:sz w:val="18"/>
          <w:vertAlign w:val="superscript"/>
        </w:rPr>
        <w:t>37</w:t>
      </w:r>
      <w:r>
        <w:rPr>
          <w:spacing w:val="-2"/>
          <w:sz w:val="18"/>
          <w:vertAlign w:val="baseline"/>
        </w:rPr>
        <w:t> </w:t>
      </w:r>
      <w:r>
        <w:rPr>
          <w:sz w:val="18"/>
          <w:vertAlign w:val="baseline"/>
        </w:rPr>
        <w:t>American</w:t>
      </w:r>
      <w:r>
        <w:rPr>
          <w:spacing w:val="-2"/>
          <w:sz w:val="18"/>
          <w:vertAlign w:val="baseline"/>
        </w:rPr>
        <w:t> </w:t>
      </w:r>
      <w:r>
        <w:rPr>
          <w:sz w:val="18"/>
          <w:vertAlign w:val="baseline"/>
        </w:rPr>
        <w:t>Civil</w:t>
      </w:r>
      <w:r>
        <w:rPr>
          <w:spacing w:val="-3"/>
          <w:sz w:val="18"/>
          <w:vertAlign w:val="baseline"/>
        </w:rPr>
        <w:t> </w:t>
      </w:r>
      <w:r>
        <w:rPr>
          <w:sz w:val="18"/>
          <w:vertAlign w:val="baseline"/>
        </w:rPr>
        <w:t>Liberties</w:t>
      </w:r>
      <w:r>
        <w:rPr>
          <w:spacing w:val="-2"/>
          <w:sz w:val="18"/>
          <w:vertAlign w:val="baseline"/>
        </w:rPr>
        <w:t> </w:t>
      </w:r>
      <w:r>
        <w:rPr>
          <w:sz w:val="18"/>
          <w:vertAlign w:val="baseline"/>
        </w:rPr>
        <w:t>Union.</w:t>
      </w:r>
      <w:r>
        <w:rPr>
          <w:spacing w:val="-2"/>
          <w:sz w:val="18"/>
          <w:vertAlign w:val="baseline"/>
        </w:rPr>
        <w:t> </w:t>
      </w:r>
      <w:r>
        <w:rPr>
          <w:sz w:val="18"/>
          <w:vertAlign w:val="baseline"/>
        </w:rPr>
        <w:t>2024</w:t>
      </w:r>
      <w:r>
        <w:rPr>
          <w:spacing w:val="-2"/>
          <w:sz w:val="18"/>
          <w:vertAlign w:val="baseline"/>
        </w:rPr>
        <w:t> </w:t>
      </w:r>
      <w:r>
        <w:rPr>
          <w:sz w:val="18"/>
          <w:vertAlign w:val="baseline"/>
        </w:rPr>
        <w:t>Legislative</w:t>
      </w:r>
      <w:r>
        <w:rPr>
          <w:spacing w:val="-2"/>
          <w:sz w:val="18"/>
          <w:vertAlign w:val="baseline"/>
        </w:rPr>
        <w:t> </w:t>
      </w:r>
      <w:r>
        <w:rPr>
          <w:sz w:val="18"/>
          <w:vertAlign w:val="baseline"/>
        </w:rPr>
        <w:t>Session:</w:t>
      </w:r>
      <w:r>
        <w:rPr>
          <w:spacing w:val="-2"/>
          <w:sz w:val="18"/>
          <w:vertAlign w:val="baseline"/>
        </w:rPr>
        <w:t> </w:t>
      </w:r>
      <w:r>
        <w:rPr>
          <w:sz w:val="18"/>
          <w:vertAlign w:val="baseline"/>
        </w:rPr>
        <w:t>The</w:t>
      </w:r>
      <w:r>
        <w:rPr>
          <w:spacing w:val="-2"/>
          <w:sz w:val="18"/>
          <w:vertAlign w:val="baseline"/>
        </w:rPr>
        <w:t> </w:t>
      </w:r>
      <w:r>
        <w:rPr>
          <w:sz w:val="18"/>
          <w:vertAlign w:val="baseline"/>
        </w:rPr>
        <w:t>ACLU</w:t>
      </w:r>
      <w:r>
        <w:rPr>
          <w:spacing w:val="-3"/>
          <w:sz w:val="18"/>
          <w:vertAlign w:val="baseline"/>
        </w:rPr>
        <w:t> </w:t>
      </w:r>
      <w:r>
        <w:rPr>
          <w:sz w:val="18"/>
          <w:vertAlign w:val="baseline"/>
        </w:rPr>
        <w:t>is</w:t>
      </w:r>
      <w:r>
        <w:rPr>
          <w:spacing w:val="-2"/>
          <w:sz w:val="18"/>
          <w:vertAlign w:val="baseline"/>
        </w:rPr>
        <w:t> </w:t>
      </w:r>
      <w:r>
        <w:rPr>
          <w:sz w:val="18"/>
          <w:vertAlign w:val="baseline"/>
        </w:rPr>
        <w:t>currently</w:t>
      </w:r>
      <w:r>
        <w:rPr>
          <w:spacing w:val="-2"/>
          <w:sz w:val="18"/>
          <w:vertAlign w:val="baseline"/>
        </w:rPr>
        <w:t> </w:t>
      </w:r>
      <w:r>
        <w:rPr>
          <w:sz w:val="18"/>
          <w:vertAlign w:val="baseline"/>
        </w:rPr>
        <w:t>tracking</w:t>
      </w:r>
      <w:r>
        <w:rPr>
          <w:spacing w:val="-2"/>
          <w:sz w:val="18"/>
          <w:vertAlign w:val="baseline"/>
        </w:rPr>
        <w:t> </w:t>
      </w:r>
      <w:r>
        <w:rPr>
          <w:sz w:val="18"/>
          <w:vertAlign w:val="baseline"/>
        </w:rPr>
        <w:t>515</w:t>
      </w:r>
      <w:r>
        <w:rPr>
          <w:spacing w:val="-2"/>
          <w:sz w:val="18"/>
          <w:vertAlign w:val="baseline"/>
        </w:rPr>
        <w:t> </w:t>
      </w:r>
      <w:r>
        <w:rPr>
          <w:sz w:val="18"/>
          <w:vertAlign w:val="baseline"/>
        </w:rPr>
        <w:t>anti-LGBTQ</w:t>
      </w:r>
      <w:r>
        <w:rPr>
          <w:spacing w:val="-2"/>
          <w:sz w:val="18"/>
          <w:vertAlign w:val="baseline"/>
        </w:rPr>
        <w:t> </w:t>
      </w:r>
      <w:r>
        <w:rPr>
          <w:sz w:val="18"/>
          <w:vertAlign w:val="baseline"/>
        </w:rPr>
        <w:t>bills</w:t>
      </w:r>
      <w:r>
        <w:rPr>
          <w:spacing w:val="-2"/>
          <w:sz w:val="18"/>
          <w:vertAlign w:val="baseline"/>
        </w:rPr>
        <w:t> </w:t>
      </w:r>
      <w:r>
        <w:rPr>
          <w:sz w:val="18"/>
          <w:vertAlign w:val="baseline"/>
        </w:rPr>
        <w:t>in</w:t>
      </w:r>
      <w:r>
        <w:rPr>
          <w:spacing w:val="-2"/>
          <w:sz w:val="18"/>
          <w:vertAlign w:val="baseline"/>
        </w:rPr>
        <w:t> </w:t>
      </w:r>
      <w:r>
        <w:rPr>
          <w:sz w:val="18"/>
          <w:vertAlign w:val="baseline"/>
        </w:rPr>
        <w:t>the</w:t>
      </w:r>
      <w:r>
        <w:rPr>
          <w:spacing w:val="-2"/>
          <w:sz w:val="18"/>
          <w:vertAlign w:val="baseline"/>
        </w:rPr>
        <w:t> </w:t>
      </w:r>
      <w:r>
        <w:rPr>
          <w:sz w:val="18"/>
          <w:vertAlign w:val="baseline"/>
        </w:rPr>
        <w:t>U.S. Accessed May 16, 2024. https:</w:t>
      </w:r>
      <w:hyperlink r:id="rId118">
        <w:r>
          <w:rPr>
            <w:sz w:val="18"/>
            <w:vertAlign w:val="baseline"/>
          </w:rPr>
          <w:t>//www.aclu.org/legislative-attacks-on-lgbtq-rights-2024</w:t>
        </w:r>
      </w:hyperlink>
    </w:p>
    <w:p>
      <w:pPr>
        <w:spacing w:before="0"/>
        <w:ind w:left="464" w:right="967" w:hanging="1"/>
        <w:jc w:val="left"/>
        <w:rPr>
          <w:sz w:val="18"/>
        </w:rPr>
      </w:pPr>
      <w:bookmarkStart w:name="_bookmark77" w:id="187"/>
      <w:bookmarkEnd w:id="187"/>
      <w:r>
        <w:rPr/>
      </w:r>
      <w:r>
        <w:rPr>
          <w:sz w:val="18"/>
          <w:vertAlign w:val="superscript"/>
        </w:rPr>
        <w:t>38</w:t>
      </w:r>
      <w:r>
        <w:rPr>
          <w:sz w:val="18"/>
          <w:vertAlign w:val="baseline"/>
        </w:rPr>
        <w:t> Mayo Clinic. (n.d.). </w:t>
      </w:r>
      <w:r>
        <w:rPr>
          <w:i/>
          <w:sz w:val="18"/>
          <w:vertAlign w:val="baseline"/>
        </w:rPr>
        <w:t>Children and gender identity: Supporting your child. </w:t>
      </w:r>
      <w:r>
        <w:rPr>
          <w:sz w:val="18"/>
          <w:vertAlign w:val="baseline"/>
        </w:rPr>
        <w:t>Accessed May 18, 2024. </w:t>
      </w:r>
      <w:r>
        <w:rPr>
          <w:spacing w:val="-2"/>
          <w:sz w:val="18"/>
          <w:vertAlign w:val="baseline"/>
        </w:rPr>
        <w:t>https:</w:t>
      </w:r>
      <w:hyperlink r:id="rId119">
        <w:r>
          <w:rPr>
            <w:spacing w:val="-2"/>
            <w:sz w:val="18"/>
            <w:vertAlign w:val="baseline"/>
          </w:rPr>
          <w:t>//www.mayoclinic.org/healthy-lifestyle/childrens-health/in-depth/children-and-gender-identity/art-20266811</w:t>
        </w:r>
      </w:hyperlink>
    </w:p>
    <w:p>
      <w:pPr>
        <w:spacing w:after="0"/>
        <w:jc w:val="left"/>
        <w:rPr>
          <w:sz w:val="18"/>
        </w:rPr>
        <w:sectPr>
          <w:pgSz w:w="12240" w:h="15840"/>
          <w:pgMar w:header="763" w:footer="1041" w:top="1140" w:bottom="1240" w:left="1120" w:right="1180"/>
        </w:sectPr>
      </w:pPr>
    </w:p>
    <w:p>
      <w:pPr>
        <w:pStyle w:val="BodyText"/>
        <w:rPr>
          <w:sz w:val="34"/>
        </w:rPr>
      </w:pPr>
    </w:p>
    <w:p>
      <w:pPr>
        <w:pStyle w:val="BodyText"/>
        <w:spacing w:before="243"/>
        <w:rPr>
          <w:sz w:val="34"/>
        </w:rPr>
      </w:pPr>
    </w:p>
    <w:p>
      <w:pPr>
        <w:spacing w:line="359" w:lineRule="exact" w:before="1"/>
        <w:ind w:left="874" w:right="0" w:firstLine="0"/>
        <w:jc w:val="left"/>
        <w:rPr>
          <w:sz w:val="34"/>
        </w:rPr>
      </w:pPr>
      <w:r>
        <w:rPr>
          <w:color w:val="FFFFFF"/>
          <w:w w:val="120"/>
          <w:sz w:val="34"/>
        </w:rPr>
        <w:t>COMMISSION</w:t>
      </w:r>
      <w:r>
        <w:rPr>
          <w:color w:val="FFFFFF"/>
          <w:spacing w:val="17"/>
          <w:w w:val="120"/>
          <w:sz w:val="34"/>
        </w:rPr>
        <w:t> </w:t>
      </w:r>
      <w:r>
        <w:rPr>
          <w:color w:val="FFFFFF"/>
          <w:w w:val="120"/>
          <w:sz w:val="34"/>
        </w:rPr>
        <w:t>ON</w:t>
      </w:r>
      <w:r>
        <w:rPr>
          <w:color w:val="FFFFFF"/>
          <w:spacing w:val="17"/>
          <w:w w:val="120"/>
          <w:sz w:val="34"/>
        </w:rPr>
        <w:t> </w:t>
      </w:r>
      <w:r>
        <w:rPr>
          <w:color w:val="FFFFFF"/>
          <w:w w:val="120"/>
          <w:sz w:val="34"/>
        </w:rPr>
        <w:t>LGBTQ</w:t>
      </w:r>
      <w:r>
        <w:rPr>
          <w:color w:val="FFFFFF"/>
          <w:spacing w:val="17"/>
          <w:w w:val="120"/>
          <w:sz w:val="34"/>
        </w:rPr>
        <w:t> </w:t>
      </w:r>
      <w:r>
        <w:rPr>
          <w:color w:val="FFFFFF"/>
          <w:spacing w:val="-2"/>
          <w:w w:val="120"/>
          <w:sz w:val="34"/>
        </w:rPr>
        <w:t>YOUTH</w:t>
      </w:r>
    </w:p>
    <w:p>
      <w:pPr>
        <w:pStyle w:val="Heading1"/>
        <w:spacing w:line="187" w:lineRule="auto"/>
        <w:ind w:left="874"/>
      </w:pPr>
      <w:r>
        <w:rPr>
          <w:color w:val="FFFFFF"/>
          <w:spacing w:val="-26"/>
        </w:rPr>
        <w:t>UPLIFTING </w:t>
      </w:r>
      <w:r>
        <w:rPr>
          <w:color w:val="FFFFFF"/>
          <w:spacing w:val="-2"/>
          <w:w w:val="90"/>
        </w:rPr>
        <w:t>EDUCATION</w:t>
      </w:r>
    </w:p>
    <w:p>
      <w:pPr>
        <w:pStyle w:val="BodyText"/>
        <w:rPr>
          <w:rFonts w:ascii="Arial Black"/>
          <w:sz w:val="20"/>
        </w:rPr>
      </w:pPr>
    </w:p>
    <w:p>
      <w:pPr>
        <w:pStyle w:val="BodyText"/>
        <w:rPr>
          <w:rFonts w:ascii="Arial Black"/>
          <w:sz w:val="20"/>
        </w:rPr>
      </w:pPr>
    </w:p>
    <w:p>
      <w:pPr>
        <w:pStyle w:val="BodyText"/>
        <w:rPr>
          <w:rFonts w:ascii="Arial Black"/>
          <w:sz w:val="20"/>
        </w:rPr>
      </w:pPr>
    </w:p>
    <w:p>
      <w:pPr>
        <w:pStyle w:val="BodyText"/>
        <w:spacing w:before="115"/>
        <w:rPr>
          <w:rFonts w:ascii="Arial Black"/>
          <w:sz w:val="20"/>
        </w:rPr>
      </w:pPr>
    </w:p>
    <w:p>
      <w:pPr>
        <w:spacing w:after="0"/>
        <w:rPr>
          <w:rFonts w:ascii="Arial Black"/>
          <w:sz w:val="20"/>
        </w:rPr>
        <w:sectPr>
          <w:headerReference w:type="default" r:id="rId120"/>
          <w:footerReference w:type="default" r:id="rId121"/>
          <w:pgSz w:w="12240" w:h="15840"/>
          <w:pgMar w:header="0" w:footer="0" w:top="0" w:bottom="280" w:left="720" w:right="1260"/>
        </w:sectPr>
      </w:pPr>
    </w:p>
    <w:p>
      <w:pPr>
        <w:pStyle w:val="Heading9"/>
        <w:ind w:left="357"/>
        <w:jc w:val="left"/>
        <w:rPr>
          <w:i/>
        </w:rPr>
      </w:pPr>
      <w:r>
        <w:rPr>
          <w:i/>
          <w:spacing w:val="11"/>
          <w:w w:val="125"/>
        </w:rPr>
        <w:t>ABOUT</w:t>
      </w:r>
    </w:p>
    <w:p>
      <w:pPr>
        <w:spacing w:line="268" w:lineRule="auto" w:before="45"/>
        <w:ind w:left="523" w:right="0" w:firstLine="0"/>
        <w:jc w:val="left"/>
        <w:rPr>
          <w:rFonts w:ascii="Georgia"/>
          <w:sz w:val="24"/>
        </w:rPr>
      </w:pPr>
      <w:r>
        <w:rPr>
          <w:rFonts w:ascii="Georgia"/>
          <w:sz w:val="24"/>
        </w:rPr>
        <w:t>This report highlights key findings both locally and nationally that illustrate what is proven to create safer, more supportive schools for LGBTQ+</w:t>
      </w:r>
      <w:r>
        <w:rPr>
          <w:rFonts w:ascii="Georgia"/>
          <w:spacing w:val="-2"/>
          <w:sz w:val="24"/>
        </w:rPr>
        <w:t> </w:t>
      </w:r>
      <w:r>
        <w:rPr>
          <w:rFonts w:ascii="Georgia"/>
          <w:sz w:val="24"/>
        </w:rPr>
        <w:t>youth,</w:t>
      </w:r>
      <w:r>
        <w:rPr>
          <w:rFonts w:ascii="Georgia"/>
          <w:spacing w:val="-2"/>
          <w:sz w:val="24"/>
        </w:rPr>
        <w:t> </w:t>
      </w:r>
      <w:r>
        <w:rPr>
          <w:rFonts w:ascii="Georgia"/>
          <w:sz w:val="24"/>
        </w:rPr>
        <w:t>educators,</w:t>
      </w:r>
      <w:r>
        <w:rPr>
          <w:rFonts w:ascii="Georgia"/>
          <w:spacing w:val="-2"/>
          <w:sz w:val="24"/>
        </w:rPr>
        <w:t> </w:t>
      </w:r>
      <w:r>
        <w:rPr>
          <w:rFonts w:ascii="Georgia"/>
          <w:sz w:val="24"/>
        </w:rPr>
        <w:t>and</w:t>
      </w:r>
      <w:r>
        <w:rPr>
          <w:rFonts w:ascii="Georgia"/>
          <w:spacing w:val="-2"/>
          <w:sz w:val="24"/>
        </w:rPr>
        <w:t> </w:t>
      </w:r>
      <w:r>
        <w:rPr>
          <w:rFonts w:ascii="Georgia"/>
          <w:sz w:val="24"/>
        </w:rPr>
        <w:t>families</w:t>
      </w:r>
      <w:r>
        <w:rPr>
          <w:rFonts w:ascii="Georgia"/>
          <w:spacing w:val="-2"/>
          <w:sz w:val="24"/>
        </w:rPr>
        <w:t> </w:t>
      </w:r>
      <w:r>
        <w:rPr>
          <w:rFonts w:ascii="Georgia"/>
          <w:sz w:val="24"/>
        </w:rPr>
        <w:t>so</w:t>
      </w:r>
      <w:r>
        <w:rPr>
          <w:rFonts w:ascii="Georgia"/>
          <w:spacing w:val="-2"/>
          <w:sz w:val="24"/>
        </w:rPr>
        <w:t> </w:t>
      </w:r>
      <w:r>
        <w:rPr>
          <w:rFonts w:ascii="Georgia"/>
          <w:sz w:val="24"/>
        </w:rPr>
        <w:t>they can access joy, well-being, and successful </w:t>
      </w:r>
      <w:r>
        <w:rPr>
          <w:rFonts w:ascii="Georgia"/>
          <w:spacing w:val="-2"/>
          <w:sz w:val="24"/>
        </w:rPr>
        <w:t>futures.</w:t>
      </w:r>
    </w:p>
    <w:p>
      <w:pPr>
        <w:pStyle w:val="BodyText"/>
        <w:rPr>
          <w:rFonts w:ascii="Georgia"/>
          <w:sz w:val="24"/>
        </w:rPr>
      </w:pPr>
    </w:p>
    <w:p>
      <w:pPr>
        <w:pStyle w:val="BodyText"/>
        <w:spacing w:before="115"/>
        <w:rPr>
          <w:rFonts w:ascii="Georgia"/>
          <w:sz w:val="24"/>
        </w:rPr>
      </w:pPr>
    </w:p>
    <w:p>
      <w:pPr>
        <w:pStyle w:val="Heading9"/>
        <w:spacing w:before="0"/>
        <w:ind w:left="357"/>
        <w:jc w:val="left"/>
        <w:rPr>
          <w:i/>
        </w:rPr>
      </w:pPr>
      <w:r>
        <w:rPr>
          <w:i/>
          <w:spacing w:val="13"/>
          <w:w w:val="125"/>
        </w:rPr>
        <w:t>RECOMMENDATIONS</w:t>
      </w:r>
    </w:p>
    <w:p>
      <w:pPr>
        <w:spacing w:line="278" w:lineRule="auto" w:before="97"/>
        <w:ind w:left="1083" w:right="0" w:firstLine="0"/>
        <w:jc w:val="left"/>
        <w:rPr>
          <w:rFonts w:ascii="Georgia"/>
          <w:sz w:val="19"/>
        </w:rPr>
      </w:pPr>
      <w:r>
        <w:rPr>
          <w:rFonts w:ascii="Georgia"/>
          <w:w w:val="105"/>
          <w:sz w:val="19"/>
        </w:rPr>
        <w:t>Advise</w:t>
      </w:r>
      <w:r>
        <w:rPr>
          <w:rFonts w:ascii="Georgia"/>
          <w:spacing w:val="-11"/>
          <w:w w:val="105"/>
          <w:sz w:val="19"/>
        </w:rPr>
        <w:t> </w:t>
      </w:r>
      <w:r>
        <w:rPr>
          <w:rFonts w:ascii="Georgia"/>
          <w:w w:val="105"/>
          <w:sz w:val="19"/>
        </w:rPr>
        <w:t>administrators</w:t>
      </w:r>
      <w:r>
        <w:rPr>
          <w:rFonts w:ascii="Georgia"/>
          <w:spacing w:val="-11"/>
          <w:w w:val="105"/>
          <w:sz w:val="19"/>
        </w:rPr>
        <w:t> </w:t>
      </w:r>
      <w:r>
        <w:rPr>
          <w:rFonts w:ascii="Georgia"/>
          <w:w w:val="105"/>
          <w:sz w:val="19"/>
        </w:rPr>
        <w:t>and</w:t>
      </w:r>
      <w:r>
        <w:rPr>
          <w:rFonts w:ascii="Georgia"/>
          <w:spacing w:val="-11"/>
          <w:w w:val="105"/>
          <w:sz w:val="19"/>
        </w:rPr>
        <w:t> </w:t>
      </w:r>
      <w:r>
        <w:rPr>
          <w:rFonts w:ascii="Georgia"/>
          <w:w w:val="105"/>
          <w:sz w:val="19"/>
        </w:rPr>
        <w:t>educators</w:t>
      </w:r>
      <w:r>
        <w:rPr>
          <w:rFonts w:ascii="Georgia"/>
          <w:spacing w:val="-11"/>
          <w:w w:val="105"/>
          <w:sz w:val="19"/>
        </w:rPr>
        <w:t> </w:t>
      </w:r>
      <w:r>
        <w:rPr>
          <w:rFonts w:ascii="Georgia"/>
          <w:w w:val="105"/>
          <w:sz w:val="19"/>
        </w:rPr>
        <w:t>to</w:t>
      </w:r>
      <w:r>
        <w:rPr>
          <w:rFonts w:ascii="Georgia"/>
          <w:spacing w:val="-11"/>
          <w:w w:val="105"/>
          <w:sz w:val="19"/>
        </w:rPr>
        <w:t> </w:t>
      </w:r>
      <w:r>
        <w:rPr>
          <w:rFonts w:ascii="Georgia"/>
          <w:w w:val="105"/>
          <w:sz w:val="19"/>
        </w:rPr>
        <w:t>proactively voice support of LGBTQ materials, and establish statewide process guidelines for challenged book </w:t>
      </w:r>
      <w:r>
        <w:rPr>
          <w:rFonts w:ascii="Georgia"/>
          <w:spacing w:val="-2"/>
          <w:w w:val="105"/>
          <w:sz w:val="19"/>
        </w:rPr>
        <w:t>reviews.</w:t>
      </w:r>
    </w:p>
    <w:p>
      <w:pPr>
        <w:spacing w:line="1080" w:lineRule="exact" w:before="332"/>
        <w:ind w:left="330" w:right="76" w:firstLine="0"/>
        <w:jc w:val="center"/>
        <w:rPr>
          <w:rFonts w:ascii="Arial Black"/>
          <w:sz w:val="77"/>
        </w:rPr>
      </w:pPr>
      <w:r>
        <w:rPr/>
        <w:br w:type="column"/>
      </w:r>
      <w:r>
        <w:rPr>
          <w:rFonts w:ascii="Arial Black"/>
          <w:emboss/>
          <w:color w:val="EC3105"/>
          <w:spacing w:val="8"/>
          <w:sz w:val="77"/>
        </w:rPr>
        <w:t>56%</w:t>
      </w:r>
    </w:p>
    <w:p>
      <w:pPr>
        <w:pStyle w:val="BodyText"/>
        <w:spacing w:line="266" w:lineRule="auto"/>
        <w:ind w:left="380" w:right="124"/>
        <w:jc w:val="center"/>
        <w:rPr>
          <w:rFonts w:ascii="Georgia"/>
        </w:rPr>
      </w:pPr>
      <w:r>
        <w:rPr>
          <w:rFonts w:ascii="Georgia"/>
        </w:rPr>
        <w:t>of LGBTQ students reported </w:t>
      </w:r>
      <w:r>
        <w:rPr>
          <w:rFonts w:ascii="Georgia"/>
        </w:rPr>
        <w:t>hearing homophobic remarks from teachers and staff</w:t>
      </w:r>
    </w:p>
    <w:p>
      <w:pPr>
        <w:pStyle w:val="BodyText"/>
        <w:spacing w:before="242"/>
        <w:rPr>
          <w:rFonts w:ascii="Georgia"/>
        </w:rPr>
      </w:pPr>
    </w:p>
    <w:p>
      <w:pPr>
        <w:pStyle w:val="Heading4"/>
        <w:ind w:left="330"/>
        <w:jc w:val="center"/>
      </w:pPr>
      <w:r>
        <w:rPr>
          <w:emboss/>
          <w:color w:val="EC3105"/>
          <w:spacing w:val="13"/>
        </w:rPr>
        <w:t>70%</w:t>
      </w:r>
    </w:p>
    <w:p>
      <w:pPr>
        <w:pStyle w:val="BodyText"/>
        <w:spacing w:line="266" w:lineRule="auto" w:before="36"/>
        <w:ind w:left="330" w:right="74"/>
        <w:jc w:val="center"/>
        <w:rPr>
          <w:rFonts w:ascii="Georgia"/>
        </w:rPr>
      </w:pPr>
      <w:r>
        <w:rPr>
          <w:rFonts w:ascii="Georgia"/>
        </w:rPr>
        <w:t>of LGBTQ+ students report being </w:t>
      </w:r>
      <w:r>
        <w:rPr>
          <w:rFonts w:ascii="Georgia"/>
        </w:rPr>
        <w:t>the </w:t>
      </w:r>
      <w:r>
        <w:rPr>
          <w:rFonts w:ascii="Georgia"/>
          <w:w w:val="105"/>
        </w:rPr>
        <w:t>victim of bullying</w:t>
      </w:r>
    </w:p>
    <w:p>
      <w:pPr>
        <w:spacing w:after="0" w:line="266" w:lineRule="auto"/>
        <w:jc w:val="center"/>
        <w:rPr>
          <w:rFonts w:ascii="Georgia"/>
        </w:rPr>
        <w:sectPr>
          <w:type w:val="continuous"/>
          <w:pgSz w:w="12240" w:h="15840"/>
          <w:pgMar w:header="0" w:footer="0" w:top="1420" w:bottom="280" w:left="720" w:right="1260"/>
          <w:cols w:num="2" w:equalWidth="0">
            <w:col w:w="5598" w:space="537"/>
            <w:col w:w="4125"/>
          </w:cols>
        </w:sectPr>
      </w:pPr>
    </w:p>
    <w:p>
      <w:pPr>
        <w:pStyle w:val="BodyText"/>
        <w:spacing w:before="1"/>
        <w:rPr>
          <w:rFonts w:ascii="Georgia"/>
          <w:sz w:val="12"/>
        </w:rPr>
      </w:pPr>
    </w:p>
    <w:p>
      <w:pPr>
        <w:spacing w:after="0"/>
        <w:rPr>
          <w:rFonts w:ascii="Georgia"/>
          <w:sz w:val="12"/>
        </w:rPr>
        <w:sectPr>
          <w:type w:val="continuous"/>
          <w:pgSz w:w="12240" w:h="15840"/>
          <w:pgMar w:header="0" w:footer="0" w:top="1420" w:bottom="280" w:left="720" w:right="1260"/>
        </w:sectPr>
      </w:pPr>
    </w:p>
    <w:p>
      <w:pPr>
        <w:spacing w:line="278" w:lineRule="auto" w:before="103"/>
        <w:ind w:left="1083" w:right="0" w:firstLine="0"/>
        <w:jc w:val="left"/>
        <w:rPr>
          <w:rFonts w:ascii="Georgia"/>
          <w:sz w:val="19"/>
        </w:rPr>
      </w:pPr>
      <w:r>
        <w:rPr>
          <w:rFonts w:ascii="Georgia"/>
          <w:w w:val="105"/>
          <w:sz w:val="19"/>
        </w:rPr>
        <w:t>Ensure that all subject areas are reflective of </w:t>
      </w:r>
      <w:r>
        <w:rPr>
          <w:rFonts w:ascii="Georgia"/>
          <w:spacing w:val="-2"/>
          <w:w w:val="105"/>
          <w:sz w:val="19"/>
        </w:rPr>
        <w:t>LGBTQ</w:t>
      </w:r>
      <w:r>
        <w:rPr>
          <w:rFonts w:ascii="Georgia"/>
          <w:spacing w:val="-7"/>
          <w:w w:val="105"/>
          <w:sz w:val="19"/>
        </w:rPr>
        <w:t> </w:t>
      </w:r>
      <w:r>
        <w:rPr>
          <w:rFonts w:ascii="Georgia"/>
          <w:spacing w:val="-2"/>
          <w:w w:val="105"/>
          <w:sz w:val="19"/>
        </w:rPr>
        <w:t>&amp;</w:t>
      </w:r>
      <w:r>
        <w:rPr>
          <w:rFonts w:ascii="Georgia"/>
          <w:spacing w:val="-7"/>
          <w:w w:val="105"/>
          <w:sz w:val="19"/>
        </w:rPr>
        <w:t> </w:t>
      </w:r>
      <w:r>
        <w:rPr>
          <w:rFonts w:ascii="Georgia"/>
          <w:spacing w:val="-2"/>
          <w:w w:val="105"/>
          <w:sz w:val="19"/>
        </w:rPr>
        <w:t>BIPOC</w:t>
      </w:r>
      <w:r>
        <w:rPr>
          <w:rFonts w:ascii="Georgia"/>
          <w:spacing w:val="-7"/>
          <w:w w:val="105"/>
          <w:sz w:val="19"/>
        </w:rPr>
        <w:t> </w:t>
      </w:r>
      <w:r>
        <w:rPr>
          <w:rFonts w:ascii="Georgia"/>
          <w:spacing w:val="-2"/>
          <w:w w:val="105"/>
          <w:sz w:val="19"/>
        </w:rPr>
        <w:t>individuals,</w:t>
      </w:r>
      <w:r>
        <w:rPr>
          <w:rFonts w:ascii="Georgia"/>
          <w:spacing w:val="-7"/>
          <w:w w:val="105"/>
          <w:sz w:val="19"/>
        </w:rPr>
        <w:t> </w:t>
      </w:r>
      <w:r>
        <w:rPr>
          <w:rFonts w:ascii="Georgia"/>
          <w:spacing w:val="-2"/>
          <w:w w:val="105"/>
          <w:sz w:val="19"/>
        </w:rPr>
        <w:t>historical</w:t>
      </w:r>
      <w:r>
        <w:rPr>
          <w:rFonts w:ascii="Georgia"/>
          <w:spacing w:val="-7"/>
          <w:w w:val="105"/>
          <w:sz w:val="19"/>
        </w:rPr>
        <w:t> </w:t>
      </w:r>
      <w:r>
        <w:rPr>
          <w:rFonts w:ascii="Georgia"/>
          <w:spacing w:val="-2"/>
          <w:w w:val="105"/>
          <w:sz w:val="19"/>
        </w:rPr>
        <w:t>events,</w:t>
      </w:r>
      <w:r>
        <w:rPr>
          <w:rFonts w:ascii="Georgia"/>
          <w:spacing w:val="-7"/>
          <w:w w:val="105"/>
          <w:sz w:val="19"/>
        </w:rPr>
        <w:t> </w:t>
      </w:r>
      <w:r>
        <w:rPr>
          <w:rFonts w:ascii="Georgia"/>
          <w:spacing w:val="-2"/>
          <w:w w:val="105"/>
          <w:sz w:val="19"/>
        </w:rPr>
        <w:t>and concepts.</w:t>
      </w:r>
    </w:p>
    <w:p>
      <w:pPr>
        <w:pStyle w:val="BodyText"/>
        <w:spacing w:before="182"/>
        <w:rPr>
          <w:rFonts w:ascii="Georgia"/>
          <w:sz w:val="19"/>
        </w:rPr>
      </w:pPr>
    </w:p>
    <w:p>
      <w:pPr>
        <w:spacing w:line="278" w:lineRule="auto" w:before="0"/>
        <w:ind w:left="1083" w:right="0" w:firstLine="0"/>
        <w:jc w:val="left"/>
        <w:rPr>
          <w:rFonts w:ascii="Georgia"/>
          <w:sz w:val="19"/>
        </w:rPr>
      </w:pPr>
      <w:r>
        <w:rPr>
          <w:rFonts w:ascii="Georgia"/>
          <w:spacing w:val="-2"/>
          <w:w w:val="105"/>
          <w:sz w:val="19"/>
        </w:rPr>
        <w:t>Mandate annual professional development for </w:t>
      </w:r>
      <w:r>
        <w:rPr>
          <w:rFonts w:ascii="Georgia"/>
          <w:spacing w:val="-2"/>
          <w:w w:val="105"/>
          <w:sz w:val="19"/>
        </w:rPr>
        <w:t>all educators.</w:t>
      </w:r>
    </w:p>
    <w:p>
      <w:pPr>
        <w:spacing w:before="75"/>
        <w:ind w:left="852" w:right="16" w:firstLine="0"/>
        <w:jc w:val="center"/>
        <w:rPr>
          <w:rFonts w:ascii="Arial Black"/>
          <w:sz w:val="75"/>
        </w:rPr>
      </w:pPr>
      <w:r>
        <w:rPr/>
        <w:br w:type="column"/>
      </w:r>
      <w:r>
        <w:rPr>
          <w:rFonts w:ascii="Arial Black"/>
          <w:emboss/>
          <w:color w:val="EC3105"/>
          <w:spacing w:val="19"/>
          <w:w w:val="95"/>
          <w:sz w:val="75"/>
        </w:rPr>
        <w:t>82%</w:t>
      </w:r>
    </w:p>
    <w:p>
      <w:pPr>
        <w:pStyle w:val="BodyText"/>
        <w:spacing w:line="266" w:lineRule="auto" w:before="34"/>
        <w:ind w:left="852" w:right="14"/>
        <w:jc w:val="center"/>
        <w:rPr>
          <w:rFonts w:ascii="Georgia"/>
        </w:rPr>
      </w:pPr>
      <w:r>
        <w:rPr>
          <w:rFonts w:ascii="Georgia"/>
        </w:rPr>
        <w:t>of LGBTQ+ youth report not </w:t>
      </w:r>
      <w:r>
        <w:rPr>
          <w:rFonts w:ascii="Georgia"/>
        </w:rPr>
        <w:t>feeling </w:t>
      </w:r>
      <w:r>
        <w:rPr>
          <w:rFonts w:ascii="Georgia"/>
          <w:w w:val="105"/>
        </w:rPr>
        <w:t>safe</w:t>
      </w:r>
      <w:r>
        <w:rPr>
          <w:rFonts w:ascii="Georgia"/>
          <w:spacing w:val="-3"/>
          <w:w w:val="105"/>
        </w:rPr>
        <w:t> </w:t>
      </w:r>
      <w:r>
        <w:rPr>
          <w:rFonts w:ascii="Georgia"/>
          <w:w w:val="105"/>
        </w:rPr>
        <w:t>in</w:t>
      </w:r>
      <w:r>
        <w:rPr>
          <w:rFonts w:ascii="Georgia"/>
          <w:spacing w:val="-3"/>
          <w:w w:val="105"/>
        </w:rPr>
        <w:t> </w:t>
      </w:r>
      <w:r>
        <w:rPr>
          <w:rFonts w:ascii="Georgia"/>
          <w:w w:val="105"/>
        </w:rPr>
        <w:t>school</w:t>
      </w:r>
      <w:r>
        <w:rPr>
          <w:rFonts w:ascii="Georgia"/>
          <w:spacing w:val="-3"/>
          <w:w w:val="105"/>
        </w:rPr>
        <w:t> </w:t>
      </w:r>
      <w:r>
        <w:rPr>
          <w:rFonts w:ascii="Georgia"/>
          <w:w w:val="105"/>
        </w:rPr>
        <w:t>due</w:t>
      </w:r>
      <w:r>
        <w:rPr>
          <w:rFonts w:ascii="Georgia"/>
          <w:spacing w:val="-3"/>
          <w:w w:val="105"/>
        </w:rPr>
        <w:t> </w:t>
      </w:r>
      <w:r>
        <w:rPr>
          <w:rFonts w:ascii="Georgia"/>
          <w:w w:val="105"/>
        </w:rPr>
        <w:t>to</w:t>
      </w:r>
      <w:r>
        <w:rPr>
          <w:rFonts w:ascii="Georgia"/>
          <w:spacing w:val="-3"/>
          <w:w w:val="105"/>
        </w:rPr>
        <w:t> </w:t>
      </w:r>
      <w:r>
        <w:rPr>
          <w:rFonts w:ascii="Georgia"/>
          <w:w w:val="105"/>
        </w:rPr>
        <w:t>their</w:t>
      </w:r>
      <w:r>
        <w:rPr>
          <w:rFonts w:ascii="Georgia"/>
          <w:spacing w:val="-3"/>
          <w:w w:val="105"/>
        </w:rPr>
        <w:t> </w:t>
      </w:r>
      <w:r>
        <w:rPr>
          <w:rFonts w:ascii="Georgia"/>
          <w:w w:val="105"/>
        </w:rPr>
        <w:t>physical </w:t>
      </w:r>
      <w:r>
        <w:rPr>
          <w:rFonts w:ascii="Georgia"/>
          <w:spacing w:val="-2"/>
          <w:w w:val="105"/>
        </w:rPr>
        <w:t>appearance</w:t>
      </w:r>
    </w:p>
    <w:p>
      <w:pPr>
        <w:spacing w:after="0" w:line="266" w:lineRule="auto"/>
        <w:jc w:val="center"/>
        <w:rPr>
          <w:rFonts w:ascii="Georgia"/>
        </w:rPr>
        <w:sectPr>
          <w:type w:val="continuous"/>
          <w:pgSz w:w="12240" w:h="15840"/>
          <w:pgMar w:header="0" w:footer="0" w:top="1420" w:bottom="280" w:left="720" w:right="1260"/>
          <w:cols w:num="2" w:equalWidth="0">
            <w:col w:w="5514" w:space="40"/>
            <w:col w:w="4706"/>
          </w:cols>
        </w:sectPr>
      </w:pPr>
    </w:p>
    <w:p>
      <w:pPr>
        <w:pStyle w:val="BodyText"/>
        <w:spacing w:before="73"/>
        <w:rPr>
          <w:rFonts w:ascii="Georgia"/>
          <w:sz w:val="20"/>
        </w:rPr>
      </w:pPr>
      <w:r>
        <w:rPr/>
        <mc:AlternateContent>
          <mc:Choice Requires="wps">
            <w:drawing>
              <wp:anchor distT="0" distB="0" distL="0" distR="0" allowOverlap="1" layoutInCell="1" locked="0" behindDoc="1" simplePos="0" relativeHeight="482569216">
                <wp:simplePos x="0" y="0"/>
                <wp:positionH relativeFrom="page">
                  <wp:posOffset>0</wp:posOffset>
                </wp:positionH>
                <wp:positionV relativeFrom="page">
                  <wp:posOffset>0</wp:posOffset>
                </wp:positionV>
                <wp:extent cx="7772400" cy="7299325"/>
                <wp:effectExtent l="0" t="0" r="0" b="0"/>
                <wp:wrapNone/>
                <wp:docPr id="138" name="Group 138"/>
                <wp:cNvGraphicFramePr>
                  <a:graphicFrameLocks/>
                </wp:cNvGraphicFramePr>
                <a:graphic>
                  <a:graphicData uri="http://schemas.microsoft.com/office/word/2010/wordprocessingGroup">
                    <wpg:wgp>
                      <wpg:cNvPr id="138" name="Group 138"/>
                      <wpg:cNvGrpSpPr/>
                      <wpg:grpSpPr>
                        <a:xfrm>
                          <a:off x="0" y="0"/>
                          <a:ext cx="7772400" cy="7299325"/>
                          <a:chExt cx="7772400" cy="7299325"/>
                        </a:xfrm>
                      </wpg:grpSpPr>
                      <pic:pic>
                        <pic:nvPicPr>
                          <pic:cNvPr id="139" name="Image 139"/>
                          <pic:cNvPicPr/>
                        </pic:nvPicPr>
                        <pic:blipFill>
                          <a:blip r:embed="rId122" cstate="print"/>
                          <a:stretch>
                            <a:fillRect/>
                          </a:stretch>
                        </pic:blipFill>
                        <pic:spPr>
                          <a:xfrm>
                            <a:off x="0" y="0"/>
                            <a:ext cx="7772400" cy="3174273"/>
                          </a:xfrm>
                          <a:prstGeom prst="rect">
                            <a:avLst/>
                          </a:prstGeom>
                        </pic:spPr>
                      </pic:pic>
                      <pic:pic>
                        <pic:nvPicPr>
                          <pic:cNvPr id="140" name="Image 140"/>
                          <pic:cNvPicPr/>
                        </pic:nvPicPr>
                        <pic:blipFill>
                          <a:blip r:embed="rId98" cstate="print"/>
                          <a:stretch>
                            <a:fillRect/>
                          </a:stretch>
                        </pic:blipFill>
                        <pic:spPr>
                          <a:xfrm>
                            <a:off x="4978373" y="735421"/>
                            <a:ext cx="1480888" cy="1480632"/>
                          </a:xfrm>
                          <a:prstGeom prst="rect">
                            <a:avLst/>
                          </a:prstGeom>
                        </pic:spPr>
                      </pic:pic>
                      <wps:wsp>
                        <wps:cNvPr id="141" name="Graphic 141"/>
                        <wps:cNvSpPr/>
                        <wps:spPr>
                          <a:xfrm>
                            <a:off x="4964628" y="721667"/>
                            <a:ext cx="1508125" cy="1508125"/>
                          </a:xfrm>
                          <a:custGeom>
                            <a:avLst/>
                            <a:gdLst/>
                            <a:ahLst/>
                            <a:cxnLst/>
                            <a:rect l="l" t="t" r="r" b="b"/>
                            <a:pathLst>
                              <a:path w="1508125" h="1508125">
                                <a:moveTo>
                                  <a:pt x="754061" y="1508119"/>
                                </a:moveTo>
                                <a:lnTo>
                                  <a:pt x="706443" y="1506633"/>
                                </a:lnTo>
                                <a:lnTo>
                                  <a:pt x="659603" y="1502233"/>
                                </a:lnTo>
                                <a:lnTo>
                                  <a:pt x="613628" y="1495009"/>
                                </a:lnTo>
                                <a:lnTo>
                                  <a:pt x="568609" y="1485050"/>
                                </a:lnTo>
                                <a:lnTo>
                                  <a:pt x="524634" y="1472444"/>
                                </a:lnTo>
                                <a:lnTo>
                                  <a:pt x="481792" y="1457281"/>
                                </a:lnTo>
                                <a:lnTo>
                                  <a:pt x="440173" y="1439650"/>
                                </a:lnTo>
                                <a:lnTo>
                                  <a:pt x="399864" y="1419640"/>
                                </a:lnTo>
                                <a:lnTo>
                                  <a:pt x="360956" y="1397339"/>
                                </a:lnTo>
                                <a:lnTo>
                                  <a:pt x="323537" y="1372837"/>
                                </a:lnTo>
                                <a:lnTo>
                                  <a:pt x="287696" y="1346223"/>
                                </a:lnTo>
                                <a:lnTo>
                                  <a:pt x="253523" y="1317586"/>
                                </a:lnTo>
                                <a:lnTo>
                                  <a:pt x="221106" y="1287014"/>
                                </a:lnTo>
                                <a:lnTo>
                                  <a:pt x="190534" y="1254598"/>
                                </a:lnTo>
                                <a:lnTo>
                                  <a:pt x="161896" y="1220425"/>
                                </a:lnTo>
                                <a:lnTo>
                                  <a:pt x="135282" y="1184585"/>
                                </a:lnTo>
                                <a:lnTo>
                                  <a:pt x="110780" y="1147166"/>
                                </a:lnTo>
                                <a:lnTo>
                                  <a:pt x="88479" y="1108259"/>
                                </a:lnTo>
                                <a:lnTo>
                                  <a:pt x="68468" y="1067951"/>
                                </a:lnTo>
                                <a:lnTo>
                                  <a:pt x="50770" y="1026142"/>
                                </a:lnTo>
                                <a:lnTo>
                                  <a:pt x="35669" y="983473"/>
                                </a:lnTo>
                                <a:lnTo>
                                  <a:pt x="23075" y="939517"/>
                                </a:lnTo>
                                <a:lnTo>
                                  <a:pt x="13118" y="894499"/>
                                </a:lnTo>
                                <a:lnTo>
                                  <a:pt x="5894" y="848526"/>
                                </a:lnTo>
                                <a:lnTo>
                                  <a:pt x="1491" y="801686"/>
                                </a:lnTo>
                                <a:lnTo>
                                  <a:pt x="0" y="754070"/>
                                </a:lnTo>
                                <a:lnTo>
                                  <a:pt x="1494" y="706368"/>
                                </a:lnTo>
                                <a:lnTo>
                                  <a:pt x="5906" y="659480"/>
                                </a:lnTo>
                                <a:lnTo>
                                  <a:pt x="13140" y="613502"/>
                                </a:lnTo>
                                <a:lnTo>
                                  <a:pt x="23094" y="568530"/>
                                </a:lnTo>
                                <a:lnTo>
                                  <a:pt x="35676" y="524643"/>
                                </a:lnTo>
                                <a:lnTo>
                                  <a:pt x="50851" y="481801"/>
                                </a:lnTo>
                                <a:lnTo>
                                  <a:pt x="68470" y="440181"/>
                                </a:lnTo>
                                <a:lnTo>
                                  <a:pt x="88480" y="399872"/>
                                </a:lnTo>
                                <a:lnTo>
                                  <a:pt x="110781" y="360964"/>
                                </a:lnTo>
                                <a:lnTo>
                                  <a:pt x="135284" y="323544"/>
                                </a:lnTo>
                                <a:lnTo>
                                  <a:pt x="161898" y="287703"/>
                                </a:lnTo>
                                <a:lnTo>
                                  <a:pt x="190536" y="253529"/>
                                </a:lnTo>
                                <a:lnTo>
                                  <a:pt x="221108" y="221111"/>
                                </a:lnTo>
                                <a:lnTo>
                                  <a:pt x="253526" y="190539"/>
                                </a:lnTo>
                                <a:lnTo>
                                  <a:pt x="287699" y="161901"/>
                                </a:lnTo>
                                <a:lnTo>
                                  <a:pt x="323540" y="135286"/>
                                </a:lnTo>
                                <a:lnTo>
                                  <a:pt x="360959" y="110783"/>
                                </a:lnTo>
                                <a:lnTo>
                                  <a:pt x="399867" y="88482"/>
                                </a:lnTo>
                                <a:lnTo>
                                  <a:pt x="440175" y="68471"/>
                                </a:lnTo>
                                <a:lnTo>
                                  <a:pt x="481795" y="50839"/>
                                </a:lnTo>
                                <a:lnTo>
                                  <a:pt x="524636" y="35676"/>
                                </a:lnTo>
                                <a:lnTo>
                                  <a:pt x="568611" y="23070"/>
                                </a:lnTo>
                                <a:lnTo>
                                  <a:pt x="613630" y="13110"/>
                                </a:lnTo>
                                <a:lnTo>
                                  <a:pt x="659604" y="5886"/>
                                </a:lnTo>
                                <a:lnTo>
                                  <a:pt x="706444" y="1486"/>
                                </a:lnTo>
                                <a:lnTo>
                                  <a:pt x="754061" y="0"/>
                                </a:lnTo>
                                <a:lnTo>
                                  <a:pt x="801678" y="1486"/>
                                </a:lnTo>
                                <a:lnTo>
                                  <a:pt x="848519" y="5886"/>
                                </a:lnTo>
                                <a:lnTo>
                                  <a:pt x="894494" y="13110"/>
                                </a:lnTo>
                                <a:lnTo>
                                  <a:pt x="939513" y="23070"/>
                                </a:lnTo>
                                <a:lnTo>
                                  <a:pt x="954942" y="27493"/>
                                </a:lnTo>
                                <a:lnTo>
                                  <a:pt x="754061" y="27493"/>
                                </a:lnTo>
                                <a:lnTo>
                                  <a:pt x="706360" y="29041"/>
                                </a:lnTo>
                                <a:lnTo>
                                  <a:pt x="659472" y="33622"/>
                                </a:lnTo>
                                <a:lnTo>
                                  <a:pt x="613495" y="41139"/>
                                </a:lnTo>
                                <a:lnTo>
                                  <a:pt x="568524" y="51496"/>
                                </a:lnTo>
                                <a:lnTo>
                                  <a:pt x="524656" y="64596"/>
                                </a:lnTo>
                                <a:lnTo>
                                  <a:pt x="481987" y="80342"/>
                                </a:lnTo>
                                <a:lnTo>
                                  <a:pt x="440615" y="98639"/>
                                </a:lnTo>
                                <a:lnTo>
                                  <a:pt x="400634" y="119389"/>
                                </a:lnTo>
                                <a:lnTo>
                                  <a:pt x="362143" y="142496"/>
                                </a:lnTo>
                                <a:lnTo>
                                  <a:pt x="325237" y="167865"/>
                                </a:lnTo>
                                <a:lnTo>
                                  <a:pt x="290013" y="195397"/>
                                </a:lnTo>
                                <a:lnTo>
                                  <a:pt x="256567" y="224997"/>
                                </a:lnTo>
                                <a:lnTo>
                                  <a:pt x="224996" y="256569"/>
                                </a:lnTo>
                                <a:lnTo>
                                  <a:pt x="195396" y="290015"/>
                                </a:lnTo>
                                <a:lnTo>
                                  <a:pt x="167863" y="325240"/>
                                </a:lnTo>
                                <a:lnTo>
                                  <a:pt x="142496" y="362147"/>
                                </a:lnTo>
                                <a:lnTo>
                                  <a:pt x="119388" y="400639"/>
                                </a:lnTo>
                                <a:lnTo>
                                  <a:pt x="98638" y="440619"/>
                                </a:lnTo>
                                <a:lnTo>
                                  <a:pt x="80342" y="481993"/>
                                </a:lnTo>
                                <a:lnTo>
                                  <a:pt x="64597" y="524662"/>
                                </a:lnTo>
                                <a:lnTo>
                                  <a:pt x="51475" y="568619"/>
                                </a:lnTo>
                                <a:lnTo>
                                  <a:pt x="41117" y="613638"/>
                                </a:lnTo>
                                <a:lnTo>
                                  <a:pt x="33609" y="659613"/>
                                </a:lnTo>
                                <a:lnTo>
                                  <a:pt x="29039" y="706453"/>
                                </a:lnTo>
                                <a:lnTo>
                                  <a:pt x="27493" y="754070"/>
                                </a:lnTo>
                                <a:lnTo>
                                  <a:pt x="29047" y="801771"/>
                                </a:lnTo>
                                <a:lnTo>
                                  <a:pt x="33631" y="848659"/>
                                </a:lnTo>
                                <a:lnTo>
                                  <a:pt x="41148" y="894637"/>
                                </a:lnTo>
                                <a:lnTo>
                                  <a:pt x="51502" y="939608"/>
                                </a:lnTo>
                                <a:lnTo>
                                  <a:pt x="64602" y="983492"/>
                                </a:lnTo>
                                <a:lnTo>
                                  <a:pt x="80341" y="1026142"/>
                                </a:lnTo>
                                <a:lnTo>
                                  <a:pt x="98638" y="1067517"/>
                                </a:lnTo>
                                <a:lnTo>
                                  <a:pt x="119388" y="1107497"/>
                                </a:lnTo>
                                <a:lnTo>
                                  <a:pt x="142496" y="1145988"/>
                                </a:lnTo>
                                <a:lnTo>
                                  <a:pt x="167864" y="1182894"/>
                                </a:lnTo>
                                <a:lnTo>
                                  <a:pt x="195396" y="1218118"/>
                                </a:lnTo>
                                <a:lnTo>
                                  <a:pt x="224996" y="1251564"/>
                                </a:lnTo>
                                <a:lnTo>
                                  <a:pt x="256567" y="1283135"/>
                                </a:lnTo>
                                <a:lnTo>
                                  <a:pt x="290013" y="1312734"/>
                                </a:lnTo>
                                <a:lnTo>
                                  <a:pt x="325237" y="1340266"/>
                                </a:lnTo>
                                <a:lnTo>
                                  <a:pt x="362143" y="1365634"/>
                                </a:lnTo>
                                <a:lnTo>
                                  <a:pt x="400635" y="1388741"/>
                                </a:lnTo>
                                <a:lnTo>
                                  <a:pt x="440615" y="1409491"/>
                                </a:lnTo>
                                <a:lnTo>
                                  <a:pt x="481988" y="1427787"/>
                                </a:lnTo>
                                <a:lnTo>
                                  <a:pt x="524656" y="1443533"/>
                                </a:lnTo>
                                <a:lnTo>
                                  <a:pt x="568524" y="1456632"/>
                                </a:lnTo>
                                <a:lnTo>
                                  <a:pt x="613495" y="1466989"/>
                                </a:lnTo>
                                <a:lnTo>
                                  <a:pt x="659473" y="1474506"/>
                                </a:lnTo>
                                <a:lnTo>
                                  <a:pt x="706361" y="1479087"/>
                                </a:lnTo>
                                <a:lnTo>
                                  <a:pt x="754061" y="1480635"/>
                                </a:lnTo>
                                <a:lnTo>
                                  <a:pt x="954914" y="1480635"/>
                                </a:lnTo>
                                <a:lnTo>
                                  <a:pt x="939512" y="1485050"/>
                                </a:lnTo>
                                <a:lnTo>
                                  <a:pt x="894493" y="1495009"/>
                                </a:lnTo>
                                <a:lnTo>
                                  <a:pt x="848519" y="1502233"/>
                                </a:lnTo>
                                <a:lnTo>
                                  <a:pt x="801678" y="1506633"/>
                                </a:lnTo>
                                <a:lnTo>
                                  <a:pt x="754061" y="1508119"/>
                                </a:lnTo>
                                <a:close/>
                              </a:path>
                              <a:path w="1508125" h="1508125">
                                <a:moveTo>
                                  <a:pt x="954914" y="1480635"/>
                                </a:moveTo>
                                <a:lnTo>
                                  <a:pt x="754061" y="1480635"/>
                                </a:lnTo>
                                <a:lnTo>
                                  <a:pt x="801761" y="1479087"/>
                                </a:lnTo>
                                <a:lnTo>
                                  <a:pt x="848648" y="1474506"/>
                                </a:lnTo>
                                <a:lnTo>
                                  <a:pt x="894626" y="1466989"/>
                                </a:lnTo>
                                <a:lnTo>
                                  <a:pt x="939597" y="1456632"/>
                                </a:lnTo>
                                <a:lnTo>
                                  <a:pt x="983465" y="1443532"/>
                                </a:lnTo>
                                <a:lnTo>
                                  <a:pt x="1026134" y="1427786"/>
                                </a:lnTo>
                                <a:lnTo>
                                  <a:pt x="1067507" y="1409490"/>
                                </a:lnTo>
                                <a:lnTo>
                                  <a:pt x="1107487" y="1388740"/>
                                </a:lnTo>
                                <a:lnTo>
                                  <a:pt x="1145979" y="1365633"/>
                                </a:lnTo>
                                <a:lnTo>
                                  <a:pt x="1182885" y="1340265"/>
                                </a:lnTo>
                                <a:lnTo>
                                  <a:pt x="1218110" y="1312732"/>
                                </a:lnTo>
                                <a:lnTo>
                                  <a:pt x="1251556" y="1283133"/>
                                </a:lnTo>
                                <a:lnTo>
                                  <a:pt x="1283128" y="1251562"/>
                                </a:lnTo>
                                <a:lnTo>
                                  <a:pt x="1312728" y="1218116"/>
                                </a:lnTo>
                                <a:lnTo>
                                  <a:pt x="1340261" y="1182892"/>
                                </a:lnTo>
                                <a:lnTo>
                                  <a:pt x="1365629" y="1145986"/>
                                </a:lnTo>
                                <a:lnTo>
                                  <a:pt x="1388737" y="1107494"/>
                                </a:lnTo>
                                <a:lnTo>
                                  <a:pt x="1409488" y="1067514"/>
                                </a:lnTo>
                                <a:lnTo>
                                  <a:pt x="1427785" y="1026142"/>
                                </a:lnTo>
                                <a:lnTo>
                                  <a:pt x="1443530" y="983473"/>
                                </a:lnTo>
                                <a:lnTo>
                                  <a:pt x="1456652" y="939517"/>
                                </a:lnTo>
                                <a:lnTo>
                                  <a:pt x="1467010" y="894499"/>
                                </a:lnTo>
                                <a:lnTo>
                                  <a:pt x="1474518" y="848526"/>
                                </a:lnTo>
                                <a:lnTo>
                                  <a:pt x="1479089" y="801686"/>
                                </a:lnTo>
                                <a:lnTo>
                                  <a:pt x="1480635" y="754070"/>
                                </a:lnTo>
                                <a:lnTo>
                                  <a:pt x="1479081" y="706368"/>
                                </a:lnTo>
                                <a:lnTo>
                                  <a:pt x="1474497" y="659480"/>
                                </a:lnTo>
                                <a:lnTo>
                                  <a:pt x="1466979" y="613502"/>
                                </a:lnTo>
                                <a:lnTo>
                                  <a:pt x="1456625" y="568530"/>
                                </a:lnTo>
                                <a:lnTo>
                                  <a:pt x="1443524" y="524643"/>
                                </a:lnTo>
                                <a:lnTo>
                                  <a:pt x="1427785" y="481993"/>
                                </a:lnTo>
                                <a:lnTo>
                                  <a:pt x="1409488" y="440619"/>
                                </a:lnTo>
                                <a:lnTo>
                                  <a:pt x="1388737" y="400639"/>
                                </a:lnTo>
                                <a:lnTo>
                                  <a:pt x="1365630" y="362147"/>
                                </a:lnTo>
                                <a:lnTo>
                                  <a:pt x="1340261" y="325240"/>
                                </a:lnTo>
                                <a:lnTo>
                                  <a:pt x="1312729" y="290015"/>
                                </a:lnTo>
                                <a:lnTo>
                                  <a:pt x="1283128" y="256569"/>
                                </a:lnTo>
                                <a:lnTo>
                                  <a:pt x="1251557" y="224997"/>
                                </a:lnTo>
                                <a:lnTo>
                                  <a:pt x="1218110" y="195397"/>
                                </a:lnTo>
                                <a:lnTo>
                                  <a:pt x="1182886" y="167865"/>
                                </a:lnTo>
                                <a:lnTo>
                                  <a:pt x="1145979" y="142496"/>
                                </a:lnTo>
                                <a:lnTo>
                                  <a:pt x="1107487" y="119389"/>
                                </a:lnTo>
                                <a:lnTo>
                                  <a:pt x="1067507" y="98639"/>
                                </a:lnTo>
                                <a:lnTo>
                                  <a:pt x="1026134" y="80342"/>
                                </a:lnTo>
                                <a:lnTo>
                                  <a:pt x="983465" y="64596"/>
                                </a:lnTo>
                                <a:lnTo>
                                  <a:pt x="939597" y="51496"/>
                                </a:lnTo>
                                <a:lnTo>
                                  <a:pt x="894626" y="41139"/>
                                </a:lnTo>
                                <a:lnTo>
                                  <a:pt x="848649" y="33622"/>
                                </a:lnTo>
                                <a:lnTo>
                                  <a:pt x="801762" y="29041"/>
                                </a:lnTo>
                                <a:lnTo>
                                  <a:pt x="754061" y="27493"/>
                                </a:lnTo>
                                <a:lnTo>
                                  <a:pt x="954942" y="27493"/>
                                </a:lnTo>
                                <a:lnTo>
                                  <a:pt x="1026330" y="50839"/>
                                </a:lnTo>
                                <a:lnTo>
                                  <a:pt x="1067949" y="68471"/>
                                </a:lnTo>
                                <a:lnTo>
                                  <a:pt x="1108258" y="88482"/>
                                </a:lnTo>
                                <a:lnTo>
                                  <a:pt x="1147166" y="110784"/>
                                </a:lnTo>
                                <a:lnTo>
                                  <a:pt x="1184585" y="135287"/>
                                </a:lnTo>
                                <a:lnTo>
                                  <a:pt x="1220425" y="161902"/>
                                </a:lnTo>
                                <a:lnTo>
                                  <a:pt x="1254599" y="190540"/>
                                </a:lnTo>
                                <a:lnTo>
                                  <a:pt x="1287016" y="221113"/>
                                </a:lnTo>
                                <a:lnTo>
                                  <a:pt x="1317588" y="253530"/>
                                </a:lnTo>
                                <a:lnTo>
                                  <a:pt x="1346225" y="287704"/>
                                </a:lnTo>
                                <a:lnTo>
                                  <a:pt x="1372840" y="323546"/>
                                </a:lnTo>
                                <a:lnTo>
                                  <a:pt x="1397342" y="360965"/>
                                </a:lnTo>
                                <a:lnTo>
                                  <a:pt x="1419643" y="399874"/>
                                </a:lnTo>
                                <a:lnTo>
                                  <a:pt x="1439653" y="440182"/>
                                </a:lnTo>
                                <a:lnTo>
                                  <a:pt x="1457352" y="481993"/>
                                </a:lnTo>
                                <a:lnTo>
                                  <a:pt x="1472452" y="524662"/>
                                </a:lnTo>
                                <a:lnTo>
                                  <a:pt x="1485047" y="568619"/>
                                </a:lnTo>
                                <a:lnTo>
                                  <a:pt x="1495003" y="613638"/>
                                </a:lnTo>
                                <a:lnTo>
                                  <a:pt x="1502228" y="659613"/>
                                </a:lnTo>
                                <a:lnTo>
                                  <a:pt x="1506630" y="706453"/>
                                </a:lnTo>
                                <a:lnTo>
                                  <a:pt x="1508122" y="754070"/>
                                </a:lnTo>
                                <a:lnTo>
                                  <a:pt x="1506628" y="801771"/>
                                </a:lnTo>
                                <a:lnTo>
                                  <a:pt x="1502215" y="848659"/>
                                </a:lnTo>
                                <a:lnTo>
                                  <a:pt x="1494982" y="894637"/>
                                </a:lnTo>
                                <a:lnTo>
                                  <a:pt x="1485027" y="939608"/>
                                </a:lnTo>
                                <a:lnTo>
                                  <a:pt x="1472446" y="983492"/>
                                </a:lnTo>
                                <a:lnTo>
                                  <a:pt x="1457271" y="1026333"/>
                                </a:lnTo>
                                <a:lnTo>
                                  <a:pt x="1439652" y="1067952"/>
                                </a:lnTo>
                                <a:lnTo>
                                  <a:pt x="1419642" y="1108260"/>
                                </a:lnTo>
                                <a:lnTo>
                                  <a:pt x="1397341" y="1147168"/>
                                </a:lnTo>
                                <a:lnTo>
                                  <a:pt x="1372839" y="1184586"/>
                                </a:lnTo>
                                <a:lnTo>
                                  <a:pt x="1346224" y="1220426"/>
                                </a:lnTo>
                                <a:lnTo>
                                  <a:pt x="1317587" y="1254599"/>
                                </a:lnTo>
                                <a:lnTo>
                                  <a:pt x="1287015" y="1287016"/>
                                </a:lnTo>
                                <a:lnTo>
                                  <a:pt x="1254598" y="1317587"/>
                                </a:lnTo>
                                <a:lnTo>
                                  <a:pt x="1220424" y="1346224"/>
                                </a:lnTo>
                                <a:lnTo>
                                  <a:pt x="1184584" y="1372838"/>
                                </a:lnTo>
                                <a:lnTo>
                                  <a:pt x="1147165" y="1397340"/>
                                </a:lnTo>
                                <a:lnTo>
                                  <a:pt x="1108257" y="1419641"/>
                                </a:lnTo>
                                <a:lnTo>
                                  <a:pt x="1067948" y="1439651"/>
                                </a:lnTo>
                                <a:lnTo>
                                  <a:pt x="1026329" y="1457282"/>
                                </a:lnTo>
                                <a:lnTo>
                                  <a:pt x="983487" y="1472445"/>
                                </a:lnTo>
                                <a:lnTo>
                                  <a:pt x="954914" y="1480635"/>
                                </a:lnTo>
                                <a:close/>
                              </a:path>
                            </a:pathLst>
                          </a:custGeom>
                          <a:solidFill>
                            <a:srgbClr val="FFFFFF"/>
                          </a:solidFill>
                        </wps:spPr>
                        <wps:bodyPr wrap="square" lIns="0" tIns="0" rIns="0" bIns="0" rtlCol="0">
                          <a:prstTxWarp prst="textNoShape">
                            <a:avLst/>
                          </a:prstTxWarp>
                          <a:noAutofit/>
                        </wps:bodyPr>
                      </wps:wsp>
                      <wps:wsp>
                        <wps:cNvPr id="142" name="Graphic 142"/>
                        <wps:cNvSpPr/>
                        <wps:spPr>
                          <a:xfrm>
                            <a:off x="4724031" y="4619942"/>
                            <a:ext cx="885825" cy="28575"/>
                          </a:xfrm>
                          <a:custGeom>
                            <a:avLst/>
                            <a:gdLst/>
                            <a:ahLst/>
                            <a:cxnLst/>
                            <a:rect l="l" t="t" r="r" b="b"/>
                            <a:pathLst>
                              <a:path w="885825" h="28575">
                                <a:moveTo>
                                  <a:pt x="85725" y="0"/>
                                </a:moveTo>
                                <a:lnTo>
                                  <a:pt x="0" y="0"/>
                                </a:lnTo>
                                <a:lnTo>
                                  <a:pt x="0" y="28575"/>
                                </a:lnTo>
                                <a:lnTo>
                                  <a:pt x="85725" y="28575"/>
                                </a:lnTo>
                                <a:lnTo>
                                  <a:pt x="85725" y="0"/>
                                </a:lnTo>
                                <a:close/>
                              </a:path>
                              <a:path w="885825" h="28575">
                                <a:moveTo>
                                  <a:pt x="200025" y="0"/>
                                </a:moveTo>
                                <a:lnTo>
                                  <a:pt x="114300" y="0"/>
                                </a:lnTo>
                                <a:lnTo>
                                  <a:pt x="114300" y="28575"/>
                                </a:lnTo>
                                <a:lnTo>
                                  <a:pt x="200025" y="28575"/>
                                </a:lnTo>
                                <a:lnTo>
                                  <a:pt x="200025" y="0"/>
                                </a:lnTo>
                                <a:close/>
                              </a:path>
                              <a:path w="885825" h="28575">
                                <a:moveTo>
                                  <a:pt x="314325" y="0"/>
                                </a:moveTo>
                                <a:lnTo>
                                  <a:pt x="228600" y="0"/>
                                </a:lnTo>
                                <a:lnTo>
                                  <a:pt x="228600" y="28575"/>
                                </a:lnTo>
                                <a:lnTo>
                                  <a:pt x="314325" y="28575"/>
                                </a:lnTo>
                                <a:lnTo>
                                  <a:pt x="314325" y="0"/>
                                </a:lnTo>
                                <a:close/>
                              </a:path>
                              <a:path w="885825" h="28575">
                                <a:moveTo>
                                  <a:pt x="428625" y="0"/>
                                </a:moveTo>
                                <a:lnTo>
                                  <a:pt x="342900" y="0"/>
                                </a:lnTo>
                                <a:lnTo>
                                  <a:pt x="342900" y="28575"/>
                                </a:lnTo>
                                <a:lnTo>
                                  <a:pt x="428625" y="28575"/>
                                </a:lnTo>
                                <a:lnTo>
                                  <a:pt x="428625" y="0"/>
                                </a:lnTo>
                                <a:close/>
                              </a:path>
                              <a:path w="885825" h="28575">
                                <a:moveTo>
                                  <a:pt x="542925" y="0"/>
                                </a:moveTo>
                                <a:lnTo>
                                  <a:pt x="457200" y="0"/>
                                </a:lnTo>
                                <a:lnTo>
                                  <a:pt x="457200" y="28575"/>
                                </a:lnTo>
                                <a:lnTo>
                                  <a:pt x="542925" y="28575"/>
                                </a:lnTo>
                                <a:lnTo>
                                  <a:pt x="542925" y="0"/>
                                </a:lnTo>
                                <a:close/>
                              </a:path>
                              <a:path w="885825" h="28575">
                                <a:moveTo>
                                  <a:pt x="657225" y="0"/>
                                </a:moveTo>
                                <a:lnTo>
                                  <a:pt x="571500" y="0"/>
                                </a:lnTo>
                                <a:lnTo>
                                  <a:pt x="571500" y="28575"/>
                                </a:lnTo>
                                <a:lnTo>
                                  <a:pt x="657225" y="28575"/>
                                </a:lnTo>
                                <a:lnTo>
                                  <a:pt x="657225" y="0"/>
                                </a:lnTo>
                                <a:close/>
                              </a:path>
                              <a:path w="885825" h="28575">
                                <a:moveTo>
                                  <a:pt x="771525" y="0"/>
                                </a:moveTo>
                                <a:lnTo>
                                  <a:pt x="685800" y="0"/>
                                </a:lnTo>
                                <a:lnTo>
                                  <a:pt x="685800" y="28575"/>
                                </a:lnTo>
                                <a:lnTo>
                                  <a:pt x="771525" y="28575"/>
                                </a:lnTo>
                                <a:lnTo>
                                  <a:pt x="771525" y="0"/>
                                </a:lnTo>
                                <a:close/>
                              </a:path>
                              <a:path w="885825" h="28575">
                                <a:moveTo>
                                  <a:pt x="885825" y="0"/>
                                </a:moveTo>
                                <a:lnTo>
                                  <a:pt x="800100" y="0"/>
                                </a:lnTo>
                                <a:lnTo>
                                  <a:pt x="800100" y="28575"/>
                                </a:lnTo>
                                <a:lnTo>
                                  <a:pt x="885825" y="28575"/>
                                </a:lnTo>
                                <a:lnTo>
                                  <a:pt x="885825" y="0"/>
                                </a:lnTo>
                                <a:close/>
                              </a:path>
                            </a:pathLst>
                          </a:custGeom>
                          <a:solidFill>
                            <a:srgbClr val="EC3105"/>
                          </a:solidFill>
                        </wps:spPr>
                        <wps:bodyPr wrap="square" lIns="0" tIns="0" rIns="0" bIns="0" rtlCol="0">
                          <a:prstTxWarp prst="textNoShape">
                            <a:avLst/>
                          </a:prstTxWarp>
                          <a:noAutofit/>
                        </wps:bodyPr>
                      </wps:wsp>
                      <pic:pic>
                        <pic:nvPicPr>
                          <pic:cNvPr id="143" name="Image 143"/>
                          <pic:cNvPicPr/>
                        </pic:nvPicPr>
                        <pic:blipFill>
                          <a:blip r:embed="rId123" cstate="print"/>
                          <a:stretch>
                            <a:fillRect/>
                          </a:stretch>
                        </pic:blipFill>
                        <pic:spPr>
                          <a:xfrm>
                            <a:off x="533119" y="2957588"/>
                            <a:ext cx="4162339" cy="4341271"/>
                          </a:xfrm>
                          <a:prstGeom prst="rect">
                            <a:avLst/>
                          </a:prstGeom>
                        </pic:spPr>
                      </pic:pic>
                      <wps:wsp>
                        <wps:cNvPr id="144" name="Graphic 144"/>
                        <wps:cNvSpPr/>
                        <wps:spPr>
                          <a:xfrm>
                            <a:off x="5638431" y="4619942"/>
                            <a:ext cx="1516380" cy="28575"/>
                          </a:xfrm>
                          <a:custGeom>
                            <a:avLst/>
                            <a:gdLst/>
                            <a:ahLst/>
                            <a:cxnLst/>
                            <a:rect l="l" t="t" r="r" b="b"/>
                            <a:pathLst>
                              <a:path w="1516380" h="28575">
                                <a:moveTo>
                                  <a:pt x="85725" y="0"/>
                                </a:moveTo>
                                <a:lnTo>
                                  <a:pt x="0" y="0"/>
                                </a:lnTo>
                                <a:lnTo>
                                  <a:pt x="0" y="28575"/>
                                </a:lnTo>
                                <a:lnTo>
                                  <a:pt x="85725" y="28575"/>
                                </a:lnTo>
                                <a:lnTo>
                                  <a:pt x="85725" y="0"/>
                                </a:lnTo>
                                <a:close/>
                              </a:path>
                              <a:path w="1516380" h="28575">
                                <a:moveTo>
                                  <a:pt x="200025" y="0"/>
                                </a:moveTo>
                                <a:lnTo>
                                  <a:pt x="114300" y="0"/>
                                </a:lnTo>
                                <a:lnTo>
                                  <a:pt x="114300" y="28575"/>
                                </a:lnTo>
                                <a:lnTo>
                                  <a:pt x="200025" y="28575"/>
                                </a:lnTo>
                                <a:lnTo>
                                  <a:pt x="200025" y="0"/>
                                </a:lnTo>
                                <a:close/>
                              </a:path>
                              <a:path w="1516380" h="28575">
                                <a:moveTo>
                                  <a:pt x="314325" y="0"/>
                                </a:moveTo>
                                <a:lnTo>
                                  <a:pt x="228600" y="0"/>
                                </a:lnTo>
                                <a:lnTo>
                                  <a:pt x="228600" y="28575"/>
                                </a:lnTo>
                                <a:lnTo>
                                  <a:pt x="314325" y="28575"/>
                                </a:lnTo>
                                <a:lnTo>
                                  <a:pt x="314325" y="0"/>
                                </a:lnTo>
                                <a:close/>
                              </a:path>
                              <a:path w="1516380" h="28575">
                                <a:moveTo>
                                  <a:pt x="428625" y="0"/>
                                </a:moveTo>
                                <a:lnTo>
                                  <a:pt x="342900" y="0"/>
                                </a:lnTo>
                                <a:lnTo>
                                  <a:pt x="342900" y="28575"/>
                                </a:lnTo>
                                <a:lnTo>
                                  <a:pt x="428625" y="28575"/>
                                </a:lnTo>
                                <a:lnTo>
                                  <a:pt x="428625" y="0"/>
                                </a:lnTo>
                                <a:close/>
                              </a:path>
                              <a:path w="1516380" h="28575">
                                <a:moveTo>
                                  <a:pt x="542925" y="0"/>
                                </a:moveTo>
                                <a:lnTo>
                                  <a:pt x="457200" y="0"/>
                                </a:lnTo>
                                <a:lnTo>
                                  <a:pt x="457200" y="28575"/>
                                </a:lnTo>
                                <a:lnTo>
                                  <a:pt x="542925" y="28575"/>
                                </a:lnTo>
                                <a:lnTo>
                                  <a:pt x="542925" y="0"/>
                                </a:lnTo>
                                <a:close/>
                              </a:path>
                              <a:path w="1516380" h="28575">
                                <a:moveTo>
                                  <a:pt x="657225" y="0"/>
                                </a:moveTo>
                                <a:lnTo>
                                  <a:pt x="571500" y="0"/>
                                </a:lnTo>
                                <a:lnTo>
                                  <a:pt x="571500" y="28575"/>
                                </a:lnTo>
                                <a:lnTo>
                                  <a:pt x="657225" y="28575"/>
                                </a:lnTo>
                                <a:lnTo>
                                  <a:pt x="657225" y="0"/>
                                </a:lnTo>
                                <a:close/>
                              </a:path>
                              <a:path w="1516380" h="28575">
                                <a:moveTo>
                                  <a:pt x="771525" y="0"/>
                                </a:moveTo>
                                <a:lnTo>
                                  <a:pt x="685800" y="0"/>
                                </a:lnTo>
                                <a:lnTo>
                                  <a:pt x="685800" y="28575"/>
                                </a:lnTo>
                                <a:lnTo>
                                  <a:pt x="771525" y="28575"/>
                                </a:lnTo>
                                <a:lnTo>
                                  <a:pt x="771525" y="0"/>
                                </a:lnTo>
                                <a:close/>
                              </a:path>
                              <a:path w="1516380" h="28575">
                                <a:moveTo>
                                  <a:pt x="885825" y="0"/>
                                </a:moveTo>
                                <a:lnTo>
                                  <a:pt x="800100" y="0"/>
                                </a:lnTo>
                                <a:lnTo>
                                  <a:pt x="800100" y="28575"/>
                                </a:lnTo>
                                <a:lnTo>
                                  <a:pt x="885825" y="28575"/>
                                </a:lnTo>
                                <a:lnTo>
                                  <a:pt x="885825" y="0"/>
                                </a:lnTo>
                                <a:close/>
                              </a:path>
                              <a:path w="1516380" h="28575">
                                <a:moveTo>
                                  <a:pt x="1000125" y="0"/>
                                </a:moveTo>
                                <a:lnTo>
                                  <a:pt x="914400" y="0"/>
                                </a:lnTo>
                                <a:lnTo>
                                  <a:pt x="914400" y="28575"/>
                                </a:lnTo>
                                <a:lnTo>
                                  <a:pt x="1000125" y="28575"/>
                                </a:lnTo>
                                <a:lnTo>
                                  <a:pt x="1000125" y="0"/>
                                </a:lnTo>
                                <a:close/>
                              </a:path>
                              <a:path w="1516380" h="28575">
                                <a:moveTo>
                                  <a:pt x="1114425" y="0"/>
                                </a:moveTo>
                                <a:lnTo>
                                  <a:pt x="1028700" y="0"/>
                                </a:lnTo>
                                <a:lnTo>
                                  <a:pt x="1028700" y="28575"/>
                                </a:lnTo>
                                <a:lnTo>
                                  <a:pt x="1114425" y="28575"/>
                                </a:lnTo>
                                <a:lnTo>
                                  <a:pt x="1114425" y="0"/>
                                </a:lnTo>
                                <a:close/>
                              </a:path>
                              <a:path w="1516380" h="28575">
                                <a:moveTo>
                                  <a:pt x="1228725" y="0"/>
                                </a:moveTo>
                                <a:lnTo>
                                  <a:pt x="1143000" y="0"/>
                                </a:lnTo>
                                <a:lnTo>
                                  <a:pt x="1143000" y="28575"/>
                                </a:lnTo>
                                <a:lnTo>
                                  <a:pt x="1228725" y="28575"/>
                                </a:lnTo>
                                <a:lnTo>
                                  <a:pt x="1228725" y="0"/>
                                </a:lnTo>
                                <a:close/>
                              </a:path>
                              <a:path w="1516380" h="28575">
                                <a:moveTo>
                                  <a:pt x="1343025" y="0"/>
                                </a:moveTo>
                                <a:lnTo>
                                  <a:pt x="1257300" y="0"/>
                                </a:lnTo>
                                <a:lnTo>
                                  <a:pt x="1257300" y="28575"/>
                                </a:lnTo>
                                <a:lnTo>
                                  <a:pt x="1343025" y="28575"/>
                                </a:lnTo>
                                <a:lnTo>
                                  <a:pt x="1343025" y="0"/>
                                </a:lnTo>
                                <a:close/>
                              </a:path>
                              <a:path w="1516380" h="28575">
                                <a:moveTo>
                                  <a:pt x="1457325" y="0"/>
                                </a:moveTo>
                                <a:lnTo>
                                  <a:pt x="1371600" y="0"/>
                                </a:lnTo>
                                <a:lnTo>
                                  <a:pt x="1371600" y="28575"/>
                                </a:lnTo>
                                <a:lnTo>
                                  <a:pt x="1457325" y="28575"/>
                                </a:lnTo>
                                <a:lnTo>
                                  <a:pt x="1457325" y="0"/>
                                </a:lnTo>
                                <a:close/>
                              </a:path>
                              <a:path w="1516380" h="28575">
                                <a:moveTo>
                                  <a:pt x="1516291" y="0"/>
                                </a:moveTo>
                                <a:lnTo>
                                  <a:pt x="1485900" y="0"/>
                                </a:lnTo>
                                <a:lnTo>
                                  <a:pt x="1485900" y="28575"/>
                                </a:lnTo>
                                <a:lnTo>
                                  <a:pt x="1516291" y="28575"/>
                                </a:lnTo>
                                <a:lnTo>
                                  <a:pt x="1516291" y="0"/>
                                </a:lnTo>
                                <a:close/>
                              </a:path>
                            </a:pathLst>
                          </a:custGeom>
                          <a:solidFill>
                            <a:srgbClr val="EC3105"/>
                          </a:solidFill>
                        </wps:spPr>
                        <wps:bodyPr wrap="square" lIns="0" tIns="0" rIns="0" bIns="0" rtlCol="0">
                          <a:prstTxWarp prst="textNoShape">
                            <a:avLst/>
                          </a:prstTxWarp>
                          <a:noAutofit/>
                        </wps:bodyPr>
                      </wps:wsp>
                      <wps:wsp>
                        <wps:cNvPr id="145" name="Graphic 145"/>
                        <wps:cNvSpPr/>
                        <wps:spPr>
                          <a:xfrm>
                            <a:off x="4356887" y="6026641"/>
                            <a:ext cx="2773680" cy="1270"/>
                          </a:xfrm>
                          <a:custGeom>
                            <a:avLst/>
                            <a:gdLst/>
                            <a:ahLst/>
                            <a:cxnLst/>
                            <a:rect l="l" t="t" r="r" b="b"/>
                            <a:pathLst>
                              <a:path w="2773680" h="0">
                                <a:moveTo>
                                  <a:pt x="0" y="0"/>
                                </a:moveTo>
                                <a:lnTo>
                                  <a:pt x="2773600" y="0"/>
                                </a:lnTo>
                              </a:path>
                            </a:pathLst>
                          </a:custGeom>
                          <a:ln w="28574">
                            <a:solidFill>
                              <a:srgbClr val="EC3105"/>
                            </a:solidFill>
                            <a:prstDash val="sysDash"/>
                          </a:ln>
                        </wps:spPr>
                        <wps:bodyPr wrap="square" lIns="0" tIns="0" rIns="0" bIns="0" rtlCol="0">
                          <a:prstTxWarp prst="textNoShape">
                            <a:avLst/>
                          </a:prstTxWarp>
                          <a:noAutofit/>
                        </wps:bodyPr>
                      </wps:wsp>
                      <wps:wsp>
                        <wps:cNvPr id="146" name="Graphic 146"/>
                        <wps:cNvSpPr/>
                        <wps:spPr>
                          <a:xfrm>
                            <a:off x="4220407" y="2806056"/>
                            <a:ext cx="1212215" cy="524510"/>
                          </a:xfrm>
                          <a:custGeom>
                            <a:avLst/>
                            <a:gdLst/>
                            <a:ahLst/>
                            <a:cxnLst/>
                            <a:rect l="l" t="t" r="r" b="b"/>
                            <a:pathLst>
                              <a:path w="1212215" h="524510">
                                <a:moveTo>
                                  <a:pt x="685089" y="524065"/>
                                </a:moveTo>
                                <a:lnTo>
                                  <a:pt x="3548" y="391748"/>
                                </a:lnTo>
                                <a:lnTo>
                                  <a:pt x="1653" y="389193"/>
                                </a:lnTo>
                                <a:lnTo>
                                  <a:pt x="0" y="382989"/>
                                </a:lnTo>
                                <a:lnTo>
                                  <a:pt x="4639" y="375328"/>
                                </a:lnTo>
                                <a:lnTo>
                                  <a:pt x="21621" y="368401"/>
                                </a:lnTo>
                                <a:lnTo>
                                  <a:pt x="21621" y="181598"/>
                                </a:lnTo>
                                <a:lnTo>
                                  <a:pt x="18072" y="180546"/>
                                </a:lnTo>
                                <a:lnTo>
                                  <a:pt x="10650" y="177065"/>
                                </a:lnTo>
                                <a:lnTo>
                                  <a:pt x="4196" y="170665"/>
                                </a:lnTo>
                                <a:lnTo>
                                  <a:pt x="3548" y="160859"/>
                                </a:lnTo>
                                <a:lnTo>
                                  <a:pt x="545687" y="0"/>
                                </a:lnTo>
                                <a:lnTo>
                                  <a:pt x="1167851" y="114165"/>
                                </a:lnTo>
                                <a:lnTo>
                                  <a:pt x="1179806" y="130600"/>
                                </a:lnTo>
                                <a:lnTo>
                                  <a:pt x="1201528" y="175609"/>
                                </a:lnTo>
                                <a:lnTo>
                                  <a:pt x="1211802" y="242753"/>
                                </a:lnTo>
                                <a:lnTo>
                                  <a:pt x="1189412" y="325589"/>
                                </a:lnTo>
                                <a:lnTo>
                                  <a:pt x="1050711" y="379587"/>
                                </a:lnTo>
                                <a:lnTo>
                                  <a:pt x="884006" y="445259"/>
                                </a:lnTo>
                                <a:lnTo>
                                  <a:pt x="743923" y="500715"/>
                                </a:lnTo>
                                <a:lnTo>
                                  <a:pt x="685089" y="524065"/>
                                </a:lnTo>
                                <a:close/>
                              </a:path>
                            </a:pathLst>
                          </a:custGeom>
                          <a:solidFill>
                            <a:srgbClr val="5C85BD"/>
                          </a:solidFill>
                        </wps:spPr>
                        <wps:bodyPr wrap="square" lIns="0" tIns="0" rIns="0" bIns="0" rtlCol="0">
                          <a:prstTxWarp prst="textNoShape">
                            <a:avLst/>
                          </a:prstTxWarp>
                          <a:noAutofit/>
                        </wps:bodyPr>
                      </wps:wsp>
                      <wps:wsp>
                        <wps:cNvPr id="147" name="Graphic 147"/>
                        <wps:cNvSpPr/>
                        <wps:spPr>
                          <a:xfrm>
                            <a:off x="4927362" y="3034772"/>
                            <a:ext cx="194945" cy="265430"/>
                          </a:xfrm>
                          <a:custGeom>
                            <a:avLst/>
                            <a:gdLst/>
                            <a:ahLst/>
                            <a:cxnLst/>
                            <a:rect l="l" t="t" r="r" b="b"/>
                            <a:pathLst>
                              <a:path w="194945" h="265430">
                                <a:moveTo>
                                  <a:pt x="2800" y="265089"/>
                                </a:moveTo>
                                <a:lnTo>
                                  <a:pt x="29067" y="185677"/>
                                </a:lnTo>
                                <a:lnTo>
                                  <a:pt x="25137" y="119836"/>
                                </a:lnTo>
                                <a:lnTo>
                                  <a:pt x="9338" y="74932"/>
                                </a:lnTo>
                                <a:lnTo>
                                  <a:pt x="0" y="58327"/>
                                </a:lnTo>
                                <a:lnTo>
                                  <a:pt x="16978" y="52354"/>
                                </a:lnTo>
                                <a:lnTo>
                                  <a:pt x="58278" y="37712"/>
                                </a:lnTo>
                                <a:lnTo>
                                  <a:pt x="109444" y="19317"/>
                                </a:lnTo>
                                <a:lnTo>
                                  <a:pt x="156019" y="2083"/>
                                </a:lnTo>
                                <a:lnTo>
                                  <a:pt x="166761" y="0"/>
                                </a:lnTo>
                                <a:lnTo>
                                  <a:pt x="192580" y="77084"/>
                                </a:lnTo>
                                <a:lnTo>
                                  <a:pt x="194623" y="138978"/>
                                </a:lnTo>
                                <a:lnTo>
                                  <a:pt x="186135" y="180163"/>
                                </a:lnTo>
                                <a:lnTo>
                                  <a:pt x="180362" y="195118"/>
                                </a:lnTo>
                                <a:lnTo>
                                  <a:pt x="2800" y="265089"/>
                                </a:lnTo>
                                <a:close/>
                              </a:path>
                            </a:pathLst>
                          </a:custGeom>
                          <a:solidFill>
                            <a:srgbClr val="3F5882"/>
                          </a:solidFill>
                        </wps:spPr>
                        <wps:bodyPr wrap="square" lIns="0" tIns="0" rIns="0" bIns="0" rtlCol="0">
                          <a:prstTxWarp prst="textNoShape">
                            <a:avLst/>
                          </a:prstTxWarp>
                          <a:noAutofit/>
                        </wps:bodyPr>
                      </wps:wsp>
                      <wps:wsp>
                        <wps:cNvPr id="148" name="Graphic 148"/>
                        <wps:cNvSpPr/>
                        <wps:spPr>
                          <a:xfrm>
                            <a:off x="4237547" y="2987654"/>
                            <a:ext cx="691515" cy="311785"/>
                          </a:xfrm>
                          <a:custGeom>
                            <a:avLst/>
                            <a:gdLst/>
                            <a:ahLst/>
                            <a:cxnLst/>
                            <a:rect l="l" t="t" r="r" b="b"/>
                            <a:pathLst>
                              <a:path w="691515" h="311785">
                                <a:moveTo>
                                  <a:pt x="662593" y="311328"/>
                                </a:moveTo>
                                <a:lnTo>
                                  <a:pt x="0" y="186803"/>
                                </a:lnTo>
                                <a:lnTo>
                                  <a:pt x="0" y="0"/>
                                </a:lnTo>
                                <a:lnTo>
                                  <a:pt x="64067" y="9364"/>
                                </a:lnTo>
                                <a:lnTo>
                                  <a:pt x="226063" y="34052"/>
                                </a:lnTo>
                                <a:lnTo>
                                  <a:pt x="440675" y="68953"/>
                                </a:lnTo>
                                <a:lnTo>
                                  <a:pt x="662593" y="108961"/>
                                </a:lnTo>
                                <a:lnTo>
                                  <a:pt x="691092" y="194210"/>
                                </a:lnTo>
                                <a:lnTo>
                                  <a:pt x="687926" y="257815"/>
                                </a:lnTo>
                                <a:lnTo>
                                  <a:pt x="672093" y="297585"/>
                                </a:lnTo>
                                <a:lnTo>
                                  <a:pt x="662593" y="311328"/>
                                </a:lnTo>
                                <a:close/>
                              </a:path>
                            </a:pathLst>
                          </a:custGeom>
                          <a:solidFill>
                            <a:srgbClr val="F1F1F1"/>
                          </a:solidFill>
                        </wps:spPr>
                        <wps:bodyPr wrap="square" lIns="0" tIns="0" rIns="0" bIns="0" rtlCol="0">
                          <a:prstTxWarp prst="textNoShape">
                            <a:avLst/>
                          </a:prstTxWarp>
                          <a:noAutofit/>
                        </wps:bodyPr>
                      </wps:wsp>
                      <wps:wsp>
                        <wps:cNvPr id="149" name="Graphic 149"/>
                        <wps:cNvSpPr/>
                        <wps:spPr>
                          <a:xfrm>
                            <a:off x="4237547" y="2987654"/>
                            <a:ext cx="692785" cy="311785"/>
                          </a:xfrm>
                          <a:custGeom>
                            <a:avLst/>
                            <a:gdLst/>
                            <a:ahLst/>
                            <a:cxnLst/>
                            <a:rect l="l" t="t" r="r" b="b"/>
                            <a:pathLst>
                              <a:path w="692785" h="311785">
                                <a:moveTo>
                                  <a:pt x="662593" y="311328"/>
                                </a:moveTo>
                                <a:lnTo>
                                  <a:pt x="0" y="186803"/>
                                </a:lnTo>
                                <a:lnTo>
                                  <a:pt x="0" y="0"/>
                                </a:lnTo>
                                <a:lnTo>
                                  <a:pt x="122786" y="18160"/>
                                </a:lnTo>
                                <a:lnTo>
                                  <a:pt x="251940" y="38118"/>
                                </a:lnTo>
                                <a:lnTo>
                                  <a:pt x="404643" y="62889"/>
                                </a:lnTo>
                                <a:lnTo>
                                  <a:pt x="526473" y="111202"/>
                                </a:lnTo>
                                <a:lnTo>
                                  <a:pt x="599521" y="97021"/>
                                </a:lnTo>
                                <a:lnTo>
                                  <a:pt x="662593" y="108961"/>
                                </a:lnTo>
                                <a:lnTo>
                                  <a:pt x="686058" y="168121"/>
                                </a:lnTo>
                                <a:lnTo>
                                  <a:pt x="692616" y="217971"/>
                                </a:lnTo>
                                <a:lnTo>
                                  <a:pt x="687920" y="257840"/>
                                </a:lnTo>
                                <a:lnTo>
                                  <a:pt x="677601" y="287122"/>
                                </a:lnTo>
                                <a:lnTo>
                                  <a:pt x="667283" y="305168"/>
                                </a:lnTo>
                                <a:lnTo>
                                  <a:pt x="662593" y="311328"/>
                                </a:lnTo>
                                <a:close/>
                              </a:path>
                            </a:pathLst>
                          </a:custGeom>
                          <a:solidFill>
                            <a:srgbClr val="D9D9D6"/>
                          </a:solidFill>
                        </wps:spPr>
                        <wps:bodyPr wrap="square" lIns="0" tIns="0" rIns="0" bIns="0" rtlCol="0">
                          <a:prstTxWarp prst="textNoShape">
                            <a:avLst/>
                          </a:prstTxWarp>
                          <a:noAutofit/>
                        </wps:bodyPr>
                      </wps:wsp>
                      <wps:wsp>
                        <wps:cNvPr id="150" name="Graphic 150"/>
                        <wps:cNvSpPr/>
                        <wps:spPr>
                          <a:xfrm>
                            <a:off x="4237312" y="2574791"/>
                            <a:ext cx="1212215" cy="524510"/>
                          </a:xfrm>
                          <a:custGeom>
                            <a:avLst/>
                            <a:gdLst/>
                            <a:ahLst/>
                            <a:cxnLst/>
                            <a:rect l="l" t="t" r="r" b="b"/>
                            <a:pathLst>
                              <a:path w="1212215" h="524510">
                                <a:moveTo>
                                  <a:pt x="526708" y="524065"/>
                                </a:moveTo>
                                <a:lnTo>
                                  <a:pt x="467876" y="500717"/>
                                </a:lnTo>
                                <a:lnTo>
                                  <a:pt x="327795" y="445263"/>
                                </a:lnTo>
                                <a:lnTo>
                                  <a:pt x="161090" y="379591"/>
                                </a:lnTo>
                                <a:lnTo>
                                  <a:pt x="22385" y="325589"/>
                                </a:lnTo>
                                <a:lnTo>
                                  <a:pt x="0" y="242757"/>
                                </a:lnTo>
                                <a:lnTo>
                                  <a:pt x="10273" y="175613"/>
                                </a:lnTo>
                                <a:lnTo>
                                  <a:pt x="31993" y="130601"/>
                                </a:lnTo>
                                <a:lnTo>
                                  <a:pt x="43946" y="114165"/>
                                </a:lnTo>
                                <a:lnTo>
                                  <a:pt x="666110" y="0"/>
                                </a:lnTo>
                                <a:lnTo>
                                  <a:pt x="1208249" y="169312"/>
                                </a:lnTo>
                                <a:lnTo>
                                  <a:pt x="1207606" y="178758"/>
                                </a:lnTo>
                                <a:lnTo>
                                  <a:pt x="1201151" y="184363"/>
                                </a:lnTo>
                                <a:lnTo>
                                  <a:pt x="1193727" y="187050"/>
                                </a:lnTo>
                                <a:lnTo>
                                  <a:pt x="1190176" y="187741"/>
                                </a:lnTo>
                                <a:lnTo>
                                  <a:pt x="1190176" y="368401"/>
                                </a:lnTo>
                                <a:lnTo>
                                  <a:pt x="1207163" y="375329"/>
                                </a:lnTo>
                                <a:lnTo>
                                  <a:pt x="1211801" y="382994"/>
                                </a:lnTo>
                                <a:lnTo>
                                  <a:pt x="1210146" y="389201"/>
                                </a:lnTo>
                                <a:lnTo>
                                  <a:pt x="1208249" y="391758"/>
                                </a:lnTo>
                                <a:lnTo>
                                  <a:pt x="526708" y="524065"/>
                                </a:lnTo>
                                <a:close/>
                              </a:path>
                            </a:pathLst>
                          </a:custGeom>
                          <a:solidFill>
                            <a:srgbClr val="ECB348"/>
                          </a:solidFill>
                        </wps:spPr>
                        <wps:bodyPr wrap="square" lIns="0" tIns="0" rIns="0" bIns="0" rtlCol="0">
                          <a:prstTxWarp prst="textNoShape">
                            <a:avLst/>
                          </a:prstTxWarp>
                          <a:noAutofit/>
                        </wps:bodyPr>
                      </wps:wsp>
                      <wps:wsp>
                        <wps:cNvPr id="151" name="Graphic 151"/>
                        <wps:cNvSpPr/>
                        <wps:spPr>
                          <a:xfrm>
                            <a:off x="4263907" y="2711474"/>
                            <a:ext cx="1166495" cy="365760"/>
                          </a:xfrm>
                          <a:custGeom>
                            <a:avLst/>
                            <a:gdLst/>
                            <a:ahLst/>
                            <a:cxnLst/>
                            <a:rect l="l" t="t" r="r" b="b"/>
                            <a:pathLst>
                              <a:path w="1166495" h="365760">
                                <a:moveTo>
                                  <a:pt x="497990" y="365379"/>
                                </a:moveTo>
                                <a:lnTo>
                                  <a:pt x="14953" y="175643"/>
                                </a:lnTo>
                                <a:lnTo>
                                  <a:pt x="8878" y="161144"/>
                                </a:lnTo>
                                <a:lnTo>
                                  <a:pt x="0" y="122341"/>
                                </a:lnTo>
                                <a:lnTo>
                                  <a:pt x="2337" y="66279"/>
                                </a:lnTo>
                                <a:lnTo>
                                  <a:pt x="29910" y="0"/>
                                </a:lnTo>
                                <a:lnTo>
                                  <a:pt x="144584" y="41385"/>
                                </a:lnTo>
                                <a:lnTo>
                                  <a:pt x="303912" y="95806"/>
                                </a:lnTo>
                                <a:lnTo>
                                  <a:pt x="445365" y="143182"/>
                                </a:lnTo>
                                <a:lnTo>
                                  <a:pt x="506412" y="163436"/>
                                </a:lnTo>
                                <a:lnTo>
                                  <a:pt x="1166391" y="50554"/>
                                </a:lnTo>
                                <a:lnTo>
                                  <a:pt x="1166391" y="231718"/>
                                </a:lnTo>
                                <a:lnTo>
                                  <a:pt x="497990" y="365379"/>
                                </a:lnTo>
                                <a:close/>
                              </a:path>
                            </a:pathLst>
                          </a:custGeom>
                          <a:solidFill>
                            <a:srgbClr val="F1F1F1"/>
                          </a:solidFill>
                        </wps:spPr>
                        <wps:bodyPr wrap="square" lIns="0" tIns="0" rIns="0" bIns="0" rtlCol="0">
                          <a:prstTxWarp prst="textNoShape">
                            <a:avLst/>
                          </a:prstTxWarp>
                          <a:noAutofit/>
                        </wps:bodyPr>
                      </wps:wsp>
                      <wps:wsp>
                        <wps:cNvPr id="152" name="Graphic 152"/>
                        <wps:cNvSpPr/>
                        <wps:spPr>
                          <a:xfrm>
                            <a:off x="4262715" y="2730801"/>
                            <a:ext cx="508000" cy="346075"/>
                          </a:xfrm>
                          <a:custGeom>
                            <a:avLst/>
                            <a:gdLst/>
                            <a:ahLst/>
                            <a:cxnLst/>
                            <a:rect l="l" t="t" r="r" b="b"/>
                            <a:pathLst>
                              <a:path w="508000" h="346075">
                                <a:moveTo>
                                  <a:pt x="499183" y="346052"/>
                                </a:moveTo>
                                <a:lnTo>
                                  <a:pt x="16146" y="156316"/>
                                </a:lnTo>
                                <a:lnTo>
                                  <a:pt x="2518" y="112368"/>
                                </a:lnTo>
                                <a:lnTo>
                                  <a:pt x="0" y="82246"/>
                                </a:lnTo>
                                <a:lnTo>
                                  <a:pt x="997" y="63404"/>
                                </a:lnTo>
                                <a:lnTo>
                                  <a:pt x="4322" y="43249"/>
                                </a:lnTo>
                                <a:lnTo>
                                  <a:pt x="10476" y="22031"/>
                                </a:lnTo>
                                <a:lnTo>
                                  <a:pt x="19959" y="0"/>
                                </a:lnTo>
                                <a:lnTo>
                                  <a:pt x="161307" y="27445"/>
                                </a:lnTo>
                                <a:lnTo>
                                  <a:pt x="277207" y="67055"/>
                                </a:lnTo>
                                <a:lnTo>
                                  <a:pt x="389381" y="104783"/>
                                </a:lnTo>
                                <a:lnTo>
                                  <a:pt x="474093" y="133007"/>
                                </a:lnTo>
                                <a:lnTo>
                                  <a:pt x="507605" y="144109"/>
                                </a:lnTo>
                                <a:lnTo>
                                  <a:pt x="499183" y="346052"/>
                                </a:lnTo>
                                <a:close/>
                              </a:path>
                            </a:pathLst>
                          </a:custGeom>
                          <a:solidFill>
                            <a:srgbClr val="D9D9D6"/>
                          </a:solidFill>
                        </wps:spPr>
                        <wps:bodyPr wrap="square" lIns="0" tIns="0" rIns="0" bIns="0" rtlCol="0">
                          <a:prstTxWarp prst="textNoShape">
                            <a:avLst/>
                          </a:prstTxWarp>
                          <a:noAutofit/>
                        </wps:bodyPr>
                      </wps:wsp>
                      <wps:wsp>
                        <wps:cNvPr id="153" name="Graphic 153"/>
                        <wps:cNvSpPr/>
                        <wps:spPr>
                          <a:xfrm>
                            <a:off x="4237231" y="2330925"/>
                            <a:ext cx="1212215" cy="524510"/>
                          </a:xfrm>
                          <a:custGeom>
                            <a:avLst/>
                            <a:gdLst/>
                            <a:ahLst/>
                            <a:cxnLst/>
                            <a:rect l="l" t="t" r="r" b="b"/>
                            <a:pathLst>
                              <a:path w="1212215" h="524510">
                                <a:moveTo>
                                  <a:pt x="685089" y="524055"/>
                                </a:moveTo>
                                <a:lnTo>
                                  <a:pt x="3548" y="391748"/>
                                </a:lnTo>
                                <a:lnTo>
                                  <a:pt x="1653" y="389191"/>
                                </a:lnTo>
                                <a:lnTo>
                                  <a:pt x="0" y="382984"/>
                                </a:lnTo>
                                <a:lnTo>
                                  <a:pt x="4639" y="375320"/>
                                </a:lnTo>
                                <a:lnTo>
                                  <a:pt x="21621" y="368391"/>
                                </a:lnTo>
                                <a:lnTo>
                                  <a:pt x="21621" y="181598"/>
                                </a:lnTo>
                                <a:lnTo>
                                  <a:pt x="18072" y="180545"/>
                                </a:lnTo>
                                <a:lnTo>
                                  <a:pt x="10650" y="177060"/>
                                </a:lnTo>
                                <a:lnTo>
                                  <a:pt x="4196" y="170657"/>
                                </a:lnTo>
                                <a:lnTo>
                                  <a:pt x="3548" y="160849"/>
                                </a:lnTo>
                                <a:lnTo>
                                  <a:pt x="545687" y="0"/>
                                </a:lnTo>
                                <a:lnTo>
                                  <a:pt x="1167851" y="114155"/>
                                </a:lnTo>
                                <a:lnTo>
                                  <a:pt x="1179806" y="130591"/>
                                </a:lnTo>
                                <a:lnTo>
                                  <a:pt x="1201528" y="175603"/>
                                </a:lnTo>
                                <a:lnTo>
                                  <a:pt x="1211802" y="242747"/>
                                </a:lnTo>
                                <a:lnTo>
                                  <a:pt x="1189412" y="325579"/>
                                </a:lnTo>
                                <a:lnTo>
                                  <a:pt x="1050711" y="379581"/>
                                </a:lnTo>
                                <a:lnTo>
                                  <a:pt x="884006" y="445253"/>
                                </a:lnTo>
                                <a:lnTo>
                                  <a:pt x="743923" y="500707"/>
                                </a:lnTo>
                                <a:lnTo>
                                  <a:pt x="685089" y="524055"/>
                                </a:lnTo>
                                <a:close/>
                              </a:path>
                            </a:pathLst>
                          </a:custGeom>
                          <a:solidFill>
                            <a:srgbClr val="46AC95"/>
                          </a:solidFill>
                        </wps:spPr>
                        <wps:bodyPr wrap="square" lIns="0" tIns="0" rIns="0" bIns="0" rtlCol="0">
                          <a:prstTxWarp prst="textNoShape">
                            <a:avLst/>
                          </a:prstTxWarp>
                          <a:noAutofit/>
                        </wps:bodyPr>
                      </wps:wsp>
                      <wps:wsp>
                        <wps:cNvPr id="154" name="Graphic 154"/>
                        <wps:cNvSpPr/>
                        <wps:spPr>
                          <a:xfrm>
                            <a:off x="4782919" y="2330925"/>
                            <a:ext cx="260985" cy="48260"/>
                          </a:xfrm>
                          <a:custGeom>
                            <a:avLst/>
                            <a:gdLst/>
                            <a:ahLst/>
                            <a:cxnLst/>
                            <a:rect l="l" t="t" r="r" b="b"/>
                            <a:pathLst>
                              <a:path w="260985" h="48260">
                                <a:moveTo>
                                  <a:pt x="260721" y="47838"/>
                                </a:moveTo>
                                <a:lnTo>
                                  <a:pt x="0" y="0"/>
                                </a:lnTo>
                                <a:lnTo>
                                  <a:pt x="260721" y="47838"/>
                                </a:lnTo>
                                <a:close/>
                              </a:path>
                            </a:pathLst>
                          </a:custGeom>
                          <a:solidFill>
                            <a:srgbClr val="FFFFFF"/>
                          </a:solidFill>
                        </wps:spPr>
                        <wps:bodyPr wrap="square" lIns="0" tIns="0" rIns="0" bIns="0" rtlCol="0">
                          <a:prstTxWarp prst="textNoShape">
                            <a:avLst/>
                          </a:prstTxWarp>
                          <a:noAutofit/>
                        </wps:bodyPr>
                      </wps:wsp>
                      <wps:wsp>
                        <wps:cNvPr id="155" name="Graphic 155"/>
                        <wps:cNvSpPr/>
                        <wps:spPr>
                          <a:xfrm>
                            <a:off x="4240014" y="2330925"/>
                            <a:ext cx="803910" cy="181610"/>
                          </a:xfrm>
                          <a:custGeom>
                            <a:avLst/>
                            <a:gdLst/>
                            <a:ahLst/>
                            <a:cxnLst/>
                            <a:rect l="l" t="t" r="r" b="b"/>
                            <a:pathLst>
                              <a:path w="803910" h="181610">
                                <a:moveTo>
                                  <a:pt x="18839" y="181598"/>
                                </a:moveTo>
                                <a:lnTo>
                                  <a:pt x="0" y="177391"/>
                                </a:lnTo>
                                <a:lnTo>
                                  <a:pt x="19" y="163841"/>
                                </a:lnTo>
                                <a:lnTo>
                                  <a:pt x="255" y="162399"/>
                                </a:lnTo>
                                <a:lnTo>
                                  <a:pt x="766" y="160849"/>
                                </a:lnTo>
                                <a:lnTo>
                                  <a:pt x="542905" y="0"/>
                                </a:lnTo>
                                <a:lnTo>
                                  <a:pt x="803626" y="47838"/>
                                </a:lnTo>
                                <a:lnTo>
                                  <a:pt x="18839" y="181598"/>
                                </a:lnTo>
                                <a:close/>
                              </a:path>
                            </a:pathLst>
                          </a:custGeom>
                          <a:solidFill>
                            <a:srgbClr val="61BEA8"/>
                          </a:solidFill>
                        </wps:spPr>
                        <wps:bodyPr wrap="square" lIns="0" tIns="0" rIns="0" bIns="0" rtlCol="0">
                          <a:prstTxWarp prst="textNoShape">
                            <a:avLst/>
                          </a:prstTxWarp>
                          <a:noAutofit/>
                        </wps:bodyPr>
                      </wps:wsp>
                      <wps:wsp>
                        <wps:cNvPr id="156" name="Graphic 156"/>
                        <wps:cNvSpPr/>
                        <wps:spPr>
                          <a:xfrm>
                            <a:off x="4254371" y="2512524"/>
                            <a:ext cx="691515" cy="311785"/>
                          </a:xfrm>
                          <a:custGeom>
                            <a:avLst/>
                            <a:gdLst/>
                            <a:ahLst/>
                            <a:cxnLst/>
                            <a:rect l="l" t="t" r="r" b="b"/>
                            <a:pathLst>
                              <a:path w="691515" h="311785">
                                <a:moveTo>
                                  <a:pt x="662593" y="311318"/>
                                </a:moveTo>
                                <a:lnTo>
                                  <a:pt x="0" y="186793"/>
                                </a:lnTo>
                                <a:lnTo>
                                  <a:pt x="0" y="0"/>
                                </a:lnTo>
                                <a:lnTo>
                                  <a:pt x="64067" y="9364"/>
                                </a:lnTo>
                                <a:lnTo>
                                  <a:pt x="226063" y="34052"/>
                                </a:lnTo>
                                <a:lnTo>
                                  <a:pt x="440675" y="68953"/>
                                </a:lnTo>
                                <a:lnTo>
                                  <a:pt x="662593" y="108961"/>
                                </a:lnTo>
                                <a:lnTo>
                                  <a:pt x="691092" y="194209"/>
                                </a:lnTo>
                                <a:lnTo>
                                  <a:pt x="687926" y="257810"/>
                                </a:lnTo>
                                <a:lnTo>
                                  <a:pt x="672093" y="297576"/>
                                </a:lnTo>
                                <a:lnTo>
                                  <a:pt x="662593" y="311318"/>
                                </a:lnTo>
                                <a:close/>
                              </a:path>
                            </a:pathLst>
                          </a:custGeom>
                          <a:solidFill>
                            <a:srgbClr val="F1F1F1"/>
                          </a:solidFill>
                        </wps:spPr>
                        <wps:bodyPr wrap="square" lIns="0" tIns="0" rIns="0" bIns="0" rtlCol="0">
                          <a:prstTxWarp prst="textNoShape">
                            <a:avLst/>
                          </a:prstTxWarp>
                          <a:noAutofit/>
                        </wps:bodyPr>
                      </wps:wsp>
                      <wps:wsp>
                        <wps:cNvPr id="157" name="Graphic 157"/>
                        <wps:cNvSpPr/>
                        <wps:spPr>
                          <a:xfrm>
                            <a:off x="4944186" y="2560708"/>
                            <a:ext cx="197485" cy="263525"/>
                          </a:xfrm>
                          <a:custGeom>
                            <a:avLst/>
                            <a:gdLst/>
                            <a:ahLst/>
                            <a:cxnLst/>
                            <a:rect l="l" t="t" r="r" b="b"/>
                            <a:pathLst>
                              <a:path w="197485" h="263525">
                                <a:moveTo>
                                  <a:pt x="2800" y="263134"/>
                                </a:moveTo>
                                <a:lnTo>
                                  <a:pt x="29067" y="183722"/>
                                </a:lnTo>
                                <a:lnTo>
                                  <a:pt x="25137" y="117881"/>
                                </a:lnTo>
                                <a:lnTo>
                                  <a:pt x="9338" y="72976"/>
                                </a:lnTo>
                                <a:lnTo>
                                  <a:pt x="0" y="56371"/>
                                </a:lnTo>
                                <a:lnTo>
                                  <a:pt x="19490" y="49544"/>
                                </a:lnTo>
                                <a:lnTo>
                                  <a:pt x="66187" y="33467"/>
                                </a:lnTo>
                                <a:lnTo>
                                  <a:pt x="122429" y="14749"/>
                                </a:lnTo>
                                <a:lnTo>
                                  <a:pt x="170554" y="0"/>
                                </a:lnTo>
                                <a:lnTo>
                                  <a:pt x="196336" y="77523"/>
                                </a:lnTo>
                                <a:lnTo>
                                  <a:pt x="197013" y="139576"/>
                                </a:lnTo>
                                <a:lnTo>
                                  <a:pt x="186913" y="180763"/>
                                </a:lnTo>
                                <a:lnTo>
                                  <a:pt x="180362" y="195691"/>
                                </a:lnTo>
                                <a:lnTo>
                                  <a:pt x="2800" y="263134"/>
                                </a:lnTo>
                                <a:close/>
                              </a:path>
                            </a:pathLst>
                          </a:custGeom>
                          <a:solidFill>
                            <a:srgbClr val="9DDAC7"/>
                          </a:solidFill>
                        </wps:spPr>
                        <wps:bodyPr wrap="square" lIns="0" tIns="0" rIns="0" bIns="0" rtlCol="0">
                          <a:prstTxWarp prst="textNoShape">
                            <a:avLst/>
                          </a:prstTxWarp>
                          <a:noAutofit/>
                        </wps:bodyPr>
                      </wps:wsp>
                    </wpg:wgp>
                  </a:graphicData>
                </a:graphic>
              </wp:anchor>
            </w:drawing>
          </mc:Choice>
          <mc:Fallback>
            <w:pict>
              <v:group style="position:absolute;margin-left:.000028pt;margin-top:-.00003pt;width:612pt;height:574.75pt;mso-position-horizontal-relative:page;mso-position-vertical-relative:page;z-index:-20747264" id="docshapegroup114" coordorigin="0,0" coordsize="12240,11495">
                <v:shape style="position:absolute;left:0;top:0;width:12240;height:4999" type="#_x0000_t75" id="docshape115" stroked="false">
                  <v:imagedata r:id="rId122" o:title=""/>
                </v:shape>
                <v:shape style="position:absolute;left:7839;top:1158;width:2333;height:2332" type="#_x0000_t75" id="docshape116" stroked="false">
                  <v:imagedata r:id="rId98" o:title=""/>
                </v:shape>
                <v:shape style="position:absolute;left:7818;top:1136;width:2375;height:2375" id="docshape117" coordorigin="7818,1136" coordsize="2375,2375" path="m9006,3511l8931,3509,8857,3502,8785,3491,8714,3475,8645,3455,8577,3431,8511,3404,8448,3372,8387,3337,8328,3298,8271,3257,8218,3211,8167,3163,8118,3112,8073,3058,8031,3002,7993,2943,7958,2882,7926,2818,7898,2752,7874,2685,7855,2616,7839,2545,7828,2473,7821,2399,7818,2324,7821,2249,7828,2175,7839,2103,7855,2032,7874,1963,7898,1895,7926,1830,7958,1766,7993,1705,8031,1646,8073,1590,8118,1536,8167,1485,8218,1437,8271,1391,8328,1350,8387,1311,8448,1276,8512,1244,8577,1217,8645,1193,8714,1173,8785,1157,8857,1146,8931,1139,9006,1136,9081,1139,9155,1146,9227,1157,9298,1173,9322,1180,9006,1180,8931,1182,8857,1189,8784,1201,8714,1218,8645,1238,8577,1263,8512,1292,8449,1324,8389,1361,8330,1401,8275,1444,8222,1491,8173,1541,8126,1593,8083,1649,8043,1707,8006,1767,7974,1830,7945,1896,7920,1963,7899,2032,7883,2103,7871,2175,7864,2249,7862,2324,7864,2399,7871,2473,7883,2545,7899,2616,7920,2685,7945,2752,7974,2818,8006,2881,8043,2941,8083,2999,8126,3055,8173,3107,8222,3157,8275,3204,8330,3247,8389,3287,8449,3323,8512,3356,8577,3385,8645,3410,8714,3430,8784,3447,8857,3459,8931,3466,9006,3468,9322,3468,9298,3475,9227,3491,9155,3502,9081,3509,9006,3511xm9322,3468l9006,3468,9081,3466,9155,3459,9227,3447,9298,3430,9367,3410,9434,3385,9499,3356,9562,3323,9623,3287,9681,3247,9737,3204,9789,3157,9839,3107,9886,3055,9929,2999,9969,2941,10005,2881,10038,2818,10067,2752,10092,2685,10112,2616,10129,2545,10140,2473,10148,2399,10150,2324,10148,2249,10140,2175,10129,2103,10112,2032,10092,1963,10067,1896,10038,1830,10005,1767,9969,1707,9929,1649,9886,1593,9839,1541,9789,1491,9737,1444,9681,1401,9623,1361,9562,1324,9499,1292,9434,1263,9367,1238,9298,1218,9227,1201,9155,1189,9081,1182,9006,1180,9322,1180,9367,1193,9435,1217,9500,1244,9564,1276,9625,1311,9684,1350,9740,1391,9794,1437,9845,1485,9893,1536,9938,1590,9980,1646,10019,1705,10054,1766,10085,1830,10113,1896,10137,1963,10157,2032,10173,2103,10184,2175,10191,2249,10193,2324,10191,2399,10184,2473,10173,2545,10157,2616,10137,2685,10113,2753,10085,2818,10054,2882,10019,2943,9980,3002,9938,3058,9893,3112,9845,3163,9794,3211,9740,3257,9684,3298,9625,3337,9564,3372,9500,3404,9435,3431,9367,3455,9322,3468xe" filled="true" fillcolor="#ffffff" stroked="false">
                  <v:path arrowok="t"/>
                  <v:fill type="solid"/>
                </v:shape>
                <v:shape style="position:absolute;left:7439;top:7275;width:1395;height:45" id="docshape118" coordorigin="7439,7275" coordsize="1395,45" path="m7574,7275l7439,7275,7439,7320,7574,7320,7574,7275xm7754,7275l7619,7275,7619,7320,7754,7320,7754,7275xm7934,7275l7799,7275,7799,7320,7934,7320,7934,7275xm8114,7275l7979,7275,7979,7320,8114,7320,8114,7275xm8294,7275l8159,7275,8159,7320,8294,7320,8294,7275xm8474,7275l8339,7275,8339,7320,8474,7320,8474,7275xm8654,7275l8519,7275,8519,7320,8654,7320,8654,7275xm8834,7275l8699,7275,8699,7320,8834,7320,8834,7275xe" filled="true" fillcolor="#ec3105" stroked="false">
                  <v:path arrowok="t"/>
                  <v:fill type="solid"/>
                </v:shape>
                <v:shape style="position:absolute;left:839;top:4657;width:6555;height:6837" type="#_x0000_t75" id="docshape119" stroked="false">
                  <v:imagedata r:id="rId123" o:title=""/>
                </v:shape>
                <v:shape style="position:absolute;left:8879;top:7275;width:2388;height:45" id="docshape120" coordorigin="8879,7275" coordsize="2388,45" path="m9014,7275l8879,7275,8879,7320,9014,7320,9014,7275xm9194,7275l9059,7275,9059,7320,9194,7320,9194,7275xm9374,7275l9239,7275,9239,7320,9374,7320,9374,7275xm9554,7275l9419,7275,9419,7320,9554,7320,9554,7275xm9734,7275l9599,7275,9599,7320,9734,7320,9734,7275xm9914,7275l9779,7275,9779,7320,9914,7320,9914,7275xm10094,7275l9959,7275,9959,7320,10094,7320,10094,7275xm10274,7275l10139,7275,10139,7320,10274,7320,10274,7275xm10454,7275l10319,7275,10319,7320,10454,7320,10454,7275xm10634,7275l10499,7275,10499,7320,10634,7320,10634,7275xm10814,7275l10679,7275,10679,7320,10814,7320,10814,7275xm10994,7275l10859,7275,10859,7320,10994,7320,10994,7275xm11174,7275l11039,7275,11039,7320,11174,7320,11174,7275xm11267,7275l11219,7275,11219,7320,11267,7320,11267,7275xe" filled="true" fillcolor="#ec3105" stroked="false">
                  <v:path arrowok="t"/>
                  <v:fill type="solid"/>
                </v:shape>
                <v:line style="position:absolute" from="6861,9491" to="11229,9491" stroked="true" strokeweight="2.25pt" strokecolor="#ec3105">
                  <v:stroke dashstyle="shortdash"/>
                </v:line>
                <v:shape style="position:absolute;left:6646;top:4418;width:1909;height:826" id="docshape121" coordorigin="6646,4419" coordsize="1909,826" path="m7725,5244l6652,5036,6649,5032,6646,5022,6654,5010,6680,4999,6680,4705,6675,4703,6663,4698,6653,4688,6652,4672,7506,4419,8485,4599,8504,4625,8538,4696,8555,4801,8519,4932,8301,5017,8038,5120,7818,5208,7725,5244xe" filled="true" fillcolor="#5c85bd" stroked="false">
                  <v:path arrowok="t"/>
                  <v:fill type="solid"/>
                </v:shape>
                <v:shape style="position:absolute;left:7759;top:4779;width:307;height:418" id="docshape122" coordorigin="7760,4779" coordsize="307,418" path="m7764,5197l7805,5072,7799,4968,7774,4897,7760,4871,7786,4862,7851,4839,7932,4810,8005,4782,8022,4779,8063,4901,8066,4998,8053,5063,8044,5086,7764,5197xe" filled="true" fillcolor="#3f5882" stroked="false">
                  <v:path arrowok="t"/>
                  <v:fill type="solid"/>
                </v:shape>
                <v:shape style="position:absolute;left:6673;top:4704;width:1089;height:491" id="docshape123" coordorigin="6673,4705" coordsize="1089,491" path="m7717,5195l6673,4999,6673,4705,6774,4720,7029,4759,7367,4814,7717,4877,7762,5011,7757,5111,7732,5174,7717,5195xe" filled="true" fillcolor="#f1f1f1" stroked="false">
                  <v:path arrowok="t"/>
                  <v:fill type="solid"/>
                </v:shape>
                <v:shape style="position:absolute;left:6673;top:4704;width:1091;height:491" id="docshape124" coordorigin="6673,4705" coordsize="1091,491" path="m7717,5195l6673,4999,6673,4705,6867,4734,7070,4765,7311,4804,7502,4880,7617,4858,7717,4877,7754,4970,7764,5048,7757,5111,7740,5157,7724,5186,7717,5195xe" filled="true" fillcolor="#d9d9d6" stroked="false">
                  <v:path arrowok="t"/>
                  <v:fill type="solid"/>
                </v:shape>
                <v:shape style="position:absolute;left:6672;top:4054;width:1909;height:826" id="docshape125" coordorigin="6673,4055" coordsize="1909,826" path="m7502,4880l7410,4843,7189,4756,6927,4653,6708,4568,6673,4437,6689,4331,6723,4260,6742,4235,7722,4055,8576,4321,8575,4336,8565,4345,8553,4349,8547,4350,8547,4635,8574,4646,8581,4658,8579,4668,8576,4672,7502,4880xe" filled="true" fillcolor="#ecb348" stroked="false">
                  <v:path arrowok="t"/>
                  <v:fill type="solid"/>
                </v:shape>
                <v:shape style="position:absolute;left:6714;top:4270;width:1837;height:576" id="docshape126" coordorigin="6715,4270" coordsize="1837,576" path="m7499,4845l6738,4547,6729,4524,6715,4463,6718,4374,6762,4270,6943,4335,7193,4421,7416,4496,7512,4527,8552,4350,8552,4635,7499,4845xe" filled="true" fillcolor="#f1f1f1" stroked="false">
                  <v:path arrowok="t"/>
                  <v:fill type="solid"/>
                </v:shape>
                <v:shape style="position:absolute;left:6712;top:4300;width:800;height:545" id="docshape127" coordorigin="6713,4300" coordsize="800,545" path="m7499,4845l6738,4547,6717,4477,6713,4430,6715,4400,6720,4369,6729,4335,6744,4300,6967,4344,7149,4406,7326,4465,7460,4510,7512,4527,7499,4845xe" filled="true" fillcolor="#d9d9d6" stroked="false">
                  <v:path arrowok="t"/>
                  <v:fill type="solid"/>
                </v:shape>
                <v:shape style="position:absolute;left:6672;top:3670;width:1909;height:826" id="docshape128" coordorigin="6673,3671" coordsize="1909,826" path="m7752,4496l6678,4288,6675,4284,6673,4274,6680,4262,6707,4251,6707,3957,6701,3955,6690,3950,6679,3940,6678,3924,7532,3671,8512,3851,8531,3876,8565,3947,8581,4053,8546,4183,8327,4269,8065,4372,7844,4459,7752,4496xe" filled="true" fillcolor="#46ac95" stroked="false">
                  <v:path arrowok="t"/>
                  <v:fill type="solid"/>
                </v:shape>
                <v:shape style="position:absolute;left:7532;top:3670;width:411;height:76" id="docshape129" coordorigin="7532,3671" coordsize="411,76" path="m7943,3746l7532,3671,7943,3746xe" filled="true" fillcolor="#ffffff" stroked="false">
                  <v:path arrowok="t"/>
                  <v:fill type="solid"/>
                </v:shape>
                <v:shape style="position:absolute;left:6677;top:3670;width:1266;height:286" id="docshape130" coordorigin="6677,3671" coordsize="1266,286" path="m6707,3957l6677,3950,6677,3929,6678,3926,6678,3924,7532,3671,7943,3746,6707,3957xe" filled="true" fillcolor="#61bea8" stroked="false">
                  <v:path arrowok="t"/>
                  <v:fill type="solid"/>
                </v:shape>
                <v:shape style="position:absolute;left:6699;top:3956;width:1089;height:491" id="docshape131" coordorigin="6700,3957" coordsize="1089,491" path="m7743,4447l6700,4251,6700,3957,6801,3971,7056,4010,7394,4065,7743,4128,7788,4263,7783,4363,7758,4425,7743,4447xe" filled="true" fillcolor="#f1f1f1" stroked="false">
                  <v:path arrowok="t"/>
                  <v:fill type="solid"/>
                </v:shape>
                <v:shape style="position:absolute;left:7786;top:4032;width:311;height:415" id="docshape132" coordorigin="7786,4033" coordsize="311,415" path="m7791,4447l7832,4322,7826,4218,7801,4148,7786,4121,7817,4111,7890,4085,7979,4056,8055,4033,8095,4155,8096,4252,8080,4317,8070,4341,7791,4447xe" filled="true" fillcolor="#9ddac7" stroked="false">
                  <v:path arrowok="t"/>
                  <v:fill type="solid"/>
                </v:shape>
                <w10:wrap type="none"/>
              </v:group>
            </w:pict>
          </mc:Fallback>
        </mc:AlternateContent>
      </w:r>
      <w:r>
        <w:rPr/>
        <mc:AlternateContent>
          <mc:Choice Requires="wps">
            <w:drawing>
              <wp:anchor distT="0" distB="0" distL="0" distR="0" allowOverlap="1" layoutInCell="1" locked="0" behindDoc="0" simplePos="0" relativeHeight="15748096">
                <wp:simplePos x="0" y="0"/>
                <wp:positionH relativeFrom="page">
                  <wp:posOffset>4056110</wp:posOffset>
                </wp:positionH>
                <wp:positionV relativeFrom="page">
                  <wp:posOffset>7475406</wp:posOffset>
                </wp:positionV>
                <wp:extent cx="3425825" cy="2207260"/>
                <wp:effectExtent l="0" t="0" r="0" b="0"/>
                <wp:wrapNone/>
                <wp:docPr id="158" name="Group 158"/>
                <wp:cNvGraphicFramePr>
                  <a:graphicFrameLocks/>
                </wp:cNvGraphicFramePr>
                <a:graphic>
                  <a:graphicData uri="http://schemas.microsoft.com/office/word/2010/wordprocessingGroup">
                    <wpg:wgp>
                      <wpg:cNvPr id="158" name="Group 158"/>
                      <wpg:cNvGrpSpPr/>
                      <wpg:grpSpPr>
                        <a:xfrm>
                          <a:off x="0" y="0"/>
                          <a:ext cx="3425825" cy="2207260"/>
                          <a:chExt cx="3425825" cy="2207260"/>
                        </a:xfrm>
                      </wpg:grpSpPr>
                      <pic:pic>
                        <pic:nvPicPr>
                          <pic:cNvPr id="159" name="Image 159"/>
                          <pic:cNvPicPr/>
                        </pic:nvPicPr>
                        <pic:blipFill>
                          <a:blip r:embed="rId124" cstate="print"/>
                          <a:stretch>
                            <a:fillRect/>
                          </a:stretch>
                        </pic:blipFill>
                        <pic:spPr>
                          <a:xfrm>
                            <a:off x="0" y="0"/>
                            <a:ext cx="3324224" cy="1762124"/>
                          </a:xfrm>
                          <a:prstGeom prst="rect">
                            <a:avLst/>
                          </a:prstGeom>
                        </pic:spPr>
                      </pic:pic>
                      <wps:wsp>
                        <wps:cNvPr id="160" name="Graphic 160"/>
                        <wps:cNvSpPr/>
                        <wps:spPr>
                          <a:xfrm>
                            <a:off x="2102449" y="978106"/>
                            <a:ext cx="1323340" cy="1228725"/>
                          </a:xfrm>
                          <a:custGeom>
                            <a:avLst/>
                            <a:gdLst/>
                            <a:ahLst/>
                            <a:cxnLst/>
                            <a:rect l="l" t="t" r="r" b="b"/>
                            <a:pathLst>
                              <a:path w="1323340" h="1228725">
                                <a:moveTo>
                                  <a:pt x="1322743" y="0"/>
                                </a:moveTo>
                                <a:lnTo>
                                  <a:pt x="12" y="1228712"/>
                                </a:lnTo>
                                <a:lnTo>
                                  <a:pt x="1322743" y="1228725"/>
                                </a:lnTo>
                                <a:lnTo>
                                  <a:pt x="1322743" y="819404"/>
                                </a:lnTo>
                                <a:lnTo>
                                  <a:pt x="1322743" y="0"/>
                                </a:lnTo>
                                <a:close/>
                              </a:path>
                            </a:pathLst>
                          </a:custGeom>
                          <a:solidFill>
                            <a:srgbClr val="F7CD4D"/>
                          </a:solidFill>
                        </wps:spPr>
                        <wps:bodyPr wrap="square" lIns="0" tIns="0" rIns="0" bIns="0" rtlCol="0">
                          <a:prstTxWarp prst="textNoShape">
                            <a:avLst/>
                          </a:prstTxWarp>
                          <a:noAutofit/>
                        </wps:bodyPr>
                      </wps:wsp>
                      <wps:wsp>
                        <wps:cNvPr id="161" name="Graphic 161"/>
                        <wps:cNvSpPr/>
                        <wps:spPr>
                          <a:xfrm>
                            <a:off x="2102426" y="978100"/>
                            <a:ext cx="1323340" cy="1229360"/>
                          </a:xfrm>
                          <a:custGeom>
                            <a:avLst/>
                            <a:gdLst/>
                            <a:ahLst/>
                            <a:cxnLst/>
                            <a:rect l="l" t="t" r="r" b="b"/>
                            <a:pathLst>
                              <a:path w="1323340" h="1229360">
                                <a:moveTo>
                                  <a:pt x="0" y="1228749"/>
                                </a:moveTo>
                                <a:lnTo>
                                  <a:pt x="1322774" y="0"/>
                                </a:lnTo>
                                <a:lnTo>
                                  <a:pt x="1322774" y="197071"/>
                                </a:lnTo>
                                <a:lnTo>
                                  <a:pt x="0" y="1228749"/>
                                </a:lnTo>
                                <a:close/>
                              </a:path>
                            </a:pathLst>
                          </a:custGeom>
                          <a:solidFill>
                            <a:srgbClr val="B079CC"/>
                          </a:solidFill>
                        </wps:spPr>
                        <wps:bodyPr wrap="square" lIns="0" tIns="0" rIns="0" bIns="0" rtlCol="0">
                          <a:prstTxWarp prst="textNoShape">
                            <a:avLst/>
                          </a:prstTxWarp>
                          <a:noAutofit/>
                        </wps:bodyPr>
                      </wps:wsp>
                      <wps:wsp>
                        <wps:cNvPr id="162" name="Graphic 162"/>
                        <wps:cNvSpPr/>
                        <wps:spPr>
                          <a:xfrm>
                            <a:off x="2102428" y="1175171"/>
                            <a:ext cx="1323340" cy="1031875"/>
                          </a:xfrm>
                          <a:custGeom>
                            <a:avLst/>
                            <a:gdLst/>
                            <a:ahLst/>
                            <a:cxnLst/>
                            <a:rect l="l" t="t" r="r" b="b"/>
                            <a:pathLst>
                              <a:path w="1323340" h="1031875">
                                <a:moveTo>
                                  <a:pt x="0" y="1031679"/>
                                </a:moveTo>
                                <a:lnTo>
                                  <a:pt x="1322772" y="0"/>
                                </a:lnTo>
                                <a:lnTo>
                                  <a:pt x="1322772" y="207443"/>
                                </a:lnTo>
                                <a:lnTo>
                                  <a:pt x="0" y="1031679"/>
                                </a:lnTo>
                                <a:close/>
                              </a:path>
                            </a:pathLst>
                          </a:custGeom>
                          <a:solidFill>
                            <a:srgbClr val="3C81DA"/>
                          </a:solidFill>
                        </wps:spPr>
                        <wps:bodyPr wrap="square" lIns="0" tIns="0" rIns="0" bIns="0" rtlCol="0">
                          <a:prstTxWarp prst="textNoShape">
                            <a:avLst/>
                          </a:prstTxWarp>
                          <a:noAutofit/>
                        </wps:bodyPr>
                      </wps:wsp>
                      <wps:wsp>
                        <wps:cNvPr id="163" name="Graphic 163"/>
                        <wps:cNvSpPr/>
                        <wps:spPr>
                          <a:xfrm>
                            <a:off x="2102402" y="1382615"/>
                            <a:ext cx="1323340" cy="824230"/>
                          </a:xfrm>
                          <a:custGeom>
                            <a:avLst/>
                            <a:gdLst/>
                            <a:ahLst/>
                            <a:cxnLst/>
                            <a:rect l="l" t="t" r="r" b="b"/>
                            <a:pathLst>
                              <a:path w="1323340" h="824230">
                                <a:moveTo>
                                  <a:pt x="213" y="824132"/>
                                </a:moveTo>
                                <a:lnTo>
                                  <a:pt x="1322798" y="0"/>
                                </a:lnTo>
                                <a:lnTo>
                                  <a:pt x="1322798" y="207443"/>
                                </a:lnTo>
                                <a:lnTo>
                                  <a:pt x="213" y="824132"/>
                                </a:lnTo>
                                <a:close/>
                              </a:path>
                              <a:path w="1323340" h="824230">
                                <a:moveTo>
                                  <a:pt x="81" y="824214"/>
                                </a:moveTo>
                                <a:lnTo>
                                  <a:pt x="213" y="824132"/>
                                </a:lnTo>
                                <a:lnTo>
                                  <a:pt x="81" y="824214"/>
                                </a:lnTo>
                                <a:close/>
                              </a:path>
                              <a:path w="1323340" h="824230">
                                <a:moveTo>
                                  <a:pt x="0" y="824232"/>
                                </a:moveTo>
                                <a:close/>
                              </a:path>
                            </a:pathLst>
                          </a:custGeom>
                          <a:solidFill>
                            <a:srgbClr val="4D9E53"/>
                          </a:solidFill>
                        </wps:spPr>
                        <wps:bodyPr wrap="square" lIns="0" tIns="0" rIns="0" bIns="0" rtlCol="0">
                          <a:prstTxWarp prst="textNoShape">
                            <a:avLst/>
                          </a:prstTxWarp>
                          <a:noAutofit/>
                        </wps:bodyPr>
                      </wps:wsp>
                      <wps:wsp>
                        <wps:cNvPr id="164" name="Graphic 164"/>
                        <wps:cNvSpPr/>
                        <wps:spPr>
                          <a:xfrm>
                            <a:off x="2102381" y="1590059"/>
                            <a:ext cx="1323340" cy="617220"/>
                          </a:xfrm>
                          <a:custGeom>
                            <a:avLst/>
                            <a:gdLst/>
                            <a:ahLst/>
                            <a:cxnLst/>
                            <a:rect l="l" t="t" r="r" b="b"/>
                            <a:pathLst>
                              <a:path w="1323340" h="617220">
                                <a:moveTo>
                                  <a:pt x="127" y="616745"/>
                                </a:moveTo>
                                <a:lnTo>
                                  <a:pt x="1322818" y="0"/>
                                </a:lnTo>
                                <a:lnTo>
                                  <a:pt x="1322818" y="207444"/>
                                </a:lnTo>
                                <a:lnTo>
                                  <a:pt x="127" y="616745"/>
                                </a:lnTo>
                                <a:close/>
                              </a:path>
                              <a:path w="1323340" h="617220">
                                <a:moveTo>
                                  <a:pt x="72" y="616771"/>
                                </a:moveTo>
                                <a:close/>
                              </a:path>
                              <a:path w="1323340" h="617220">
                                <a:moveTo>
                                  <a:pt x="0" y="616784"/>
                                </a:moveTo>
                                <a:close/>
                              </a:path>
                            </a:pathLst>
                          </a:custGeom>
                          <a:solidFill>
                            <a:srgbClr val="F7CD4D"/>
                          </a:solidFill>
                        </wps:spPr>
                        <wps:bodyPr wrap="square" lIns="0" tIns="0" rIns="0" bIns="0" rtlCol="0">
                          <a:prstTxWarp prst="textNoShape">
                            <a:avLst/>
                          </a:prstTxWarp>
                          <a:noAutofit/>
                        </wps:bodyPr>
                      </wps:wsp>
                      <wps:wsp>
                        <wps:cNvPr id="165" name="Graphic 165"/>
                        <wps:cNvSpPr/>
                        <wps:spPr>
                          <a:xfrm>
                            <a:off x="2102377" y="1797503"/>
                            <a:ext cx="1323340" cy="409575"/>
                          </a:xfrm>
                          <a:custGeom>
                            <a:avLst/>
                            <a:gdLst/>
                            <a:ahLst/>
                            <a:cxnLst/>
                            <a:rect l="l" t="t" r="r" b="b"/>
                            <a:pathLst>
                              <a:path w="1323340" h="409575">
                                <a:moveTo>
                                  <a:pt x="0" y="409336"/>
                                </a:moveTo>
                                <a:lnTo>
                                  <a:pt x="1322823" y="0"/>
                                </a:lnTo>
                                <a:lnTo>
                                  <a:pt x="1322823" y="202257"/>
                                </a:lnTo>
                                <a:lnTo>
                                  <a:pt x="0" y="409336"/>
                                </a:lnTo>
                                <a:close/>
                              </a:path>
                            </a:pathLst>
                          </a:custGeom>
                          <a:solidFill>
                            <a:srgbClr val="F67B28"/>
                          </a:solidFill>
                        </wps:spPr>
                        <wps:bodyPr wrap="square" lIns="0" tIns="0" rIns="0" bIns="0" rtlCol="0">
                          <a:prstTxWarp prst="textNoShape">
                            <a:avLst/>
                          </a:prstTxWarp>
                          <a:noAutofit/>
                        </wps:bodyPr>
                      </wps:wsp>
                      <wps:wsp>
                        <wps:cNvPr id="166" name="Graphic 166"/>
                        <wps:cNvSpPr/>
                        <wps:spPr>
                          <a:xfrm>
                            <a:off x="2102365" y="2206830"/>
                            <a:ext cx="1235075" cy="1270"/>
                          </a:xfrm>
                          <a:custGeom>
                            <a:avLst/>
                            <a:gdLst/>
                            <a:ahLst/>
                            <a:cxnLst/>
                            <a:rect l="l" t="t" r="r" b="b"/>
                            <a:pathLst>
                              <a:path w="1235075" h="0">
                                <a:moveTo>
                                  <a:pt x="0" y="4"/>
                                </a:moveTo>
                                <a:lnTo>
                                  <a:pt x="1234646" y="0"/>
                                </a:lnTo>
                                <a:lnTo>
                                  <a:pt x="0" y="4"/>
                                </a:lnTo>
                                <a:close/>
                              </a:path>
                            </a:pathLst>
                          </a:custGeom>
                          <a:solidFill>
                            <a:srgbClr val="DD2954"/>
                          </a:solidFill>
                        </wps:spPr>
                        <wps:bodyPr wrap="square" lIns="0" tIns="0" rIns="0" bIns="0" rtlCol="0">
                          <a:prstTxWarp prst="textNoShape">
                            <a:avLst/>
                          </a:prstTxWarp>
                          <a:noAutofit/>
                        </wps:bodyPr>
                      </wps:wsp>
                    </wpg:wgp>
                  </a:graphicData>
                </a:graphic>
              </wp:anchor>
            </w:drawing>
          </mc:Choice>
          <mc:Fallback>
            <w:pict>
              <v:group style="position:absolute;margin-left:319.378815pt;margin-top:588.614685pt;width:269.75pt;height:173.8pt;mso-position-horizontal-relative:page;mso-position-vertical-relative:page;z-index:15748096" id="docshapegroup133" coordorigin="6388,11772" coordsize="5395,3476">
                <v:shape style="position:absolute;left:6387;top:11772;width:5235;height:2775" type="#_x0000_t75" id="docshape134" stroked="false">
                  <v:imagedata r:id="rId124" o:title=""/>
                </v:shape>
                <v:shape style="position:absolute;left:9698;top:13312;width:2084;height:1935" id="docshape135" coordorigin="9699,13313" coordsize="2084,1935" path="m11782,13313l9699,15248,11782,15248,11782,14603,11782,13313xe" filled="true" fillcolor="#f7cd4d" stroked="false">
                  <v:path arrowok="t"/>
                  <v:fill type="solid"/>
                </v:shape>
                <v:shape style="position:absolute;left:9698;top:13312;width:2084;height:1936" id="docshape136" coordorigin="9698,13313" coordsize="2084,1936" path="m9698,15248l11782,13313,11782,13623,9698,15248xe" filled="true" fillcolor="#b079cc" stroked="false">
                  <v:path arrowok="t"/>
                  <v:fill type="solid"/>
                </v:shape>
                <v:shape style="position:absolute;left:9698;top:13622;width:2084;height:1625" id="docshape137" coordorigin="9698,13623" coordsize="2084,1625" path="m9698,15248l11782,13623,11782,13950,9698,15248xe" filled="true" fillcolor="#3c81da" stroked="false">
                  <v:path arrowok="t"/>
                  <v:fill type="solid"/>
                </v:shape>
                <v:shape style="position:absolute;left:9698;top:13949;width:2084;height:1298" id="docshape138" coordorigin="9698,13950" coordsize="2084,1298" path="m9699,15247l11782,13950,11782,14276,9699,15247xm9699,15248l9699,15248,9699,15247,9699,15248xm9698,15248l9698,15248,9699,15248,9698,15248xe" filled="true" fillcolor="#4d9e53" stroked="false">
                  <v:path arrowok="t"/>
                  <v:fill type="solid"/>
                </v:shape>
                <v:shape style="position:absolute;left:9698;top:14276;width:2084;height:972" id="docshape139" coordorigin="9698,14276" coordsize="2084,972" path="m9699,15248l11782,14276,11782,14603,9699,15248xm9699,15248l9698,15248,9699,15248,9699,15248xm9698,15248l9698,15248,9698,15248,9698,15248xe" filled="true" fillcolor="#f7cd4d" stroked="false">
                  <v:path arrowok="t"/>
                  <v:fill type="solid"/>
                </v:shape>
                <v:shape style="position:absolute;left:9698;top:14603;width:2084;height:645" id="docshape140" coordorigin="9698,14603" coordsize="2084,645" path="m9698,15248l11782,14603,11782,14922,9698,15248xe" filled="true" fillcolor="#f67b28" stroked="false">
                  <v:path arrowok="t"/>
                  <v:fill type="solid"/>
                </v:shape>
                <v:shape style="position:absolute;left:9698;top:15247;width:1945;height:2" id="docshape141" coordorigin="9698,15248" coordsize="1945,0" path="m9698,15248l11643,15248,9698,15248xe" filled="true" fillcolor="#dd2954" stroked="false">
                  <v:path arrowok="t"/>
                  <v:fill type="solid"/>
                </v:shape>
                <w10:wrap type="none"/>
              </v:group>
            </w:pict>
          </mc:Fallback>
        </mc:AlternateContent>
      </w:r>
    </w:p>
    <w:p>
      <w:pPr>
        <w:pStyle w:val="BodyText"/>
        <w:ind w:left="119"/>
        <w:rPr>
          <w:rFonts w:ascii="Georgia"/>
          <w:sz w:val="20"/>
        </w:rPr>
      </w:pPr>
      <w:r>
        <w:rPr>
          <w:rFonts w:ascii="Georgia"/>
          <w:sz w:val="20"/>
        </w:rPr>
        <mc:AlternateContent>
          <mc:Choice Requires="wps">
            <w:drawing>
              <wp:inline distT="0" distB="0" distL="0" distR="0">
                <wp:extent cx="3475990" cy="1821180"/>
                <wp:effectExtent l="0" t="0" r="0" b="7619"/>
                <wp:docPr id="167" name="Group 167"/>
                <wp:cNvGraphicFramePr>
                  <a:graphicFrameLocks/>
                </wp:cNvGraphicFramePr>
                <a:graphic>
                  <a:graphicData uri="http://schemas.microsoft.com/office/word/2010/wordprocessingGroup">
                    <wpg:wgp>
                      <wpg:cNvPr id="167" name="Group 167"/>
                      <wpg:cNvGrpSpPr/>
                      <wpg:grpSpPr>
                        <a:xfrm>
                          <a:off x="0" y="0"/>
                          <a:ext cx="3475990" cy="1821180"/>
                          <a:chExt cx="3475990" cy="1821180"/>
                        </a:xfrm>
                      </wpg:grpSpPr>
                      <wps:wsp>
                        <wps:cNvPr id="168" name="Graphic 168"/>
                        <wps:cNvSpPr/>
                        <wps:spPr>
                          <a:xfrm>
                            <a:off x="0" y="0"/>
                            <a:ext cx="3475990" cy="1821180"/>
                          </a:xfrm>
                          <a:custGeom>
                            <a:avLst/>
                            <a:gdLst/>
                            <a:ahLst/>
                            <a:cxnLst/>
                            <a:rect l="l" t="t" r="r" b="b"/>
                            <a:pathLst>
                              <a:path w="3475990" h="1821180">
                                <a:moveTo>
                                  <a:pt x="3113779" y="1821059"/>
                                </a:moveTo>
                                <a:lnTo>
                                  <a:pt x="361950" y="1821059"/>
                                </a:lnTo>
                                <a:lnTo>
                                  <a:pt x="312835" y="1817755"/>
                                </a:lnTo>
                                <a:lnTo>
                                  <a:pt x="265729" y="1808130"/>
                                </a:lnTo>
                                <a:lnTo>
                                  <a:pt x="221062" y="1792615"/>
                                </a:lnTo>
                                <a:lnTo>
                                  <a:pt x="179266" y="1771642"/>
                                </a:lnTo>
                                <a:lnTo>
                                  <a:pt x="140773" y="1745642"/>
                                </a:lnTo>
                                <a:lnTo>
                                  <a:pt x="106012" y="1715047"/>
                                </a:lnTo>
                                <a:lnTo>
                                  <a:pt x="75416" y="1680286"/>
                                </a:lnTo>
                                <a:lnTo>
                                  <a:pt x="49416" y="1641792"/>
                                </a:lnTo>
                                <a:lnTo>
                                  <a:pt x="28443" y="1599996"/>
                                </a:lnTo>
                                <a:lnTo>
                                  <a:pt x="12929" y="1555330"/>
                                </a:lnTo>
                                <a:lnTo>
                                  <a:pt x="3304" y="1508224"/>
                                </a:lnTo>
                                <a:lnTo>
                                  <a:pt x="0" y="1459109"/>
                                </a:lnTo>
                                <a:lnTo>
                                  <a:pt x="0" y="361950"/>
                                </a:lnTo>
                                <a:lnTo>
                                  <a:pt x="3304" y="312835"/>
                                </a:lnTo>
                                <a:lnTo>
                                  <a:pt x="12929" y="265729"/>
                                </a:lnTo>
                                <a:lnTo>
                                  <a:pt x="28443" y="221062"/>
                                </a:lnTo>
                                <a:lnTo>
                                  <a:pt x="49416" y="179266"/>
                                </a:lnTo>
                                <a:lnTo>
                                  <a:pt x="75416" y="140773"/>
                                </a:lnTo>
                                <a:lnTo>
                                  <a:pt x="106012" y="106012"/>
                                </a:lnTo>
                                <a:lnTo>
                                  <a:pt x="140773" y="75416"/>
                                </a:lnTo>
                                <a:lnTo>
                                  <a:pt x="179266" y="49416"/>
                                </a:lnTo>
                                <a:lnTo>
                                  <a:pt x="221062" y="28443"/>
                                </a:lnTo>
                                <a:lnTo>
                                  <a:pt x="265729" y="12929"/>
                                </a:lnTo>
                                <a:lnTo>
                                  <a:pt x="312835" y="3304"/>
                                </a:lnTo>
                                <a:lnTo>
                                  <a:pt x="361950" y="0"/>
                                </a:lnTo>
                                <a:lnTo>
                                  <a:pt x="3113779" y="0"/>
                                </a:lnTo>
                                <a:lnTo>
                                  <a:pt x="3162893" y="3304"/>
                                </a:lnTo>
                                <a:lnTo>
                                  <a:pt x="3209999" y="12929"/>
                                </a:lnTo>
                                <a:lnTo>
                                  <a:pt x="3254666" y="28443"/>
                                </a:lnTo>
                                <a:lnTo>
                                  <a:pt x="3296462" y="49416"/>
                                </a:lnTo>
                                <a:lnTo>
                                  <a:pt x="3334955" y="75416"/>
                                </a:lnTo>
                                <a:lnTo>
                                  <a:pt x="3369716" y="106012"/>
                                </a:lnTo>
                                <a:lnTo>
                                  <a:pt x="3400312" y="140773"/>
                                </a:lnTo>
                                <a:lnTo>
                                  <a:pt x="3426312" y="179266"/>
                                </a:lnTo>
                                <a:lnTo>
                                  <a:pt x="3447285" y="221062"/>
                                </a:lnTo>
                                <a:lnTo>
                                  <a:pt x="3462799" y="265729"/>
                                </a:lnTo>
                                <a:lnTo>
                                  <a:pt x="3472424" y="312835"/>
                                </a:lnTo>
                                <a:lnTo>
                                  <a:pt x="3475729" y="361950"/>
                                </a:lnTo>
                                <a:lnTo>
                                  <a:pt x="3475729" y="1459109"/>
                                </a:lnTo>
                                <a:lnTo>
                                  <a:pt x="3472424" y="1508224"/>
                                </a:lnTo>
                                <a:lnTo>
                                  <a:pt x="3462799" y="1555330"/>
                                </a:lnTo>
                                <a:lnTo>
                                  <a:pt x="3447285" y="1599996"/>
                                </a:lnTo>
                                <a:lnTo>
                                  <a:pt x="3426312" y="1641792"/>
                                </a:lnTo>
                                <a:lnTo>
                                  <a:pt x="3400312" y="1680286"/>
                                </a:lnTo>
                                <a:lnTo>
                                  <a:pt x="3369716" y="1715047"/>
                                </a:lnTo>
                                <a:lnTo>
                                  <a:pt x="3334955" y="1745642"/>
                                </a:lnTo>
                                <a:lnTo>
                                  <a:pt x="3296462" y="1771642"/>
                                </a:lnTo>
                                <a:lnTo>
                                  <a:pt x="3254666" y="1792615"/>
                                </a:lnTo>
                                <a:lnTo>
                                  <a:pt x="3209999" y="1808130"/>
                                </a:lnTo>
                                <a:lnTo>
                                  <a:pt x="3162893" y="1817755"/>
                                </a:lnTo>
                                <a:lnTo>
                                  <a:pt x="3113779" y="1821059"/>
                                </a:lnTo>
                                <a:close/>
                              </a:path>
                            </a:pathLst>
                          </a:custGeom>
                          <a:solidFill>
                            <a:srgbClr val="F4E2D4">
                              <a:alpha val="55999"/>
                            </a:srgbClr>
                          </a:solidFill>
                        </wps:spPr>
                        <wps:bodyPr wrap="square" lIns="0" tIns="0" rIns="0" bIns="0" rtlCol="0">
                          <a:prstTxWarp prst="textNoShape">
                            <a:avLst/>
                          </a:prstTxWarp>
                          <a:noAutofit/>
                        </wps:bodyPr>
                      </wps:wsp>
                      <wps:wsp>
                        <wps:cNvPr id="169" name="Textbox 169"/>
                        <wps:cNvSpPr txBox="1"/>
                        <wps:spPr>
                          <a:xfrm>
                            <a:off x="0" y="0"/>
                            <a:ext cx="3475990" cy="1821180"/>
                          </a:xfrm>
                          <a:prstGeom prst="rect">
                            <a:avLst/>
                          </a:prstGeom>
                        </wps:spPr>
                        <wps:txbx>
                          <w:txbxContent>
                            <w:p>
                              <w:pPr>
                                <w:spacing w:before="158"/>
                                <w:ind w:left="238" w:right="0" w:firstLine="0"/>
                                <w:jc w:val="left"/>
                                <w:rPr>
                                  <w:b/>
                                  <w:i/>
                                  <w:sz w:val="34"/>
                                </w:rPr>
                              </w:pPr>
                              <w:r>
                                <w:rPr>
                                  <w:b/>
                                  <w:i/>
                                  <w:spacing w:val="11"/>
                                  <w:w w:val="130"/>
                                  <w:sz w:val="34"/>
                                </w:rPr>
                                <w:t>LEGISLATION</w:t>
                              </w:r>
                            </w:p>
                            <w:p>
                              <w:pPr>
                                <w:spacing w:line="532" w:lineRule="auto" w:before="236"/>
                                <w:ind w:left="238" w:right="0" w:firstLine="0"/>
                                <w:jc w:val="left"/>
                                <w:rPr>
                                  <w:rFonts w:ascii="Georgia"/>
                                  <w:sz w:val="22"/>
                                </w:rPr>
                              </w:pPr>
                              <w:r>
                                <w:rPr>
                                  <w:rFonts w:ascii="Georgia"/>
                                  <w:spacing w:val="-4"/>
                                  <w:sz w:val="22"/>
                                </w:rPr>
                                <w:t>S.259/H.498: LGBTQ+ Inclusive </w:t>
                              </w:r>
                              <w:r>
                                <w:rPr>
                                  <w:rFonts w:ascii="Georgia"/>
                                  <w:spacing w:val="-4"/>
                                  <w:sz w:val="22"/>
                                </w:rPr>
                                <w:t>Curriculum </w:t>
                              </w:r>
                              <w:r>
                                <w:rPr>
                                  <w:rFonts w:ascii="Georgia"/>
                                  <w:sz w:val="22"/>
                                </w:rPr>
                                <w:t>S.311/H.549: Educator Diversity</w:t>
                              </w:r>
                            </w:p>
                            <w:p>
                              <w:pPr>
                                <w:spacing w:line="249" w:lineRule="exact" w:before="0"/>
                                <w:ind w:left="238" w:right="0" w:firstLine="0"/>
                                <w:jc w:val="left"/>
                                <w:rPr>
                                  <w:rFonts w:ascii="Georgia"/>
                                  <w:sz w:val="22"/>
                                </w:rPr>
                              </w:pPr>
                              <w:r>
                                <w:rPr>
                                  <w:rFonts w:ascii="Georgia"/>
                                  <w:sz w:val="22"/>
                                </w:rPr>
                                <w:t>S.346:</w:t>
                              </w:r>
                              <w:r>
                                <w:rPr>
                                  <w:rFonts w:ascii="Georgia"/>
                                  <w:spacing w:val="-9"/>
                                  <w:sz w:val="22"/>
                                </w:rPr>
                                <w:t> </w:t>
                              </w:r>
                              <w:r>
                                <w:rPr>
                                  <w:rFonts w:ascii="Georgia"/>
                                  <w:sz w:val="22"/>
                                </w:rPr>
                                <w:t>Mental</w:t>
                              </w:r>
                              <w:r>
                                <w:rPr>
                                  <w:rFonts w:ascii="Georgia"/>
                                  <w:spacing w:val="-9"/>
                                  <w:sz w:val="22"/>
                                </w:rPr>
                                <w:t> </w:t>
                              </w:r>
                              <w:r>
                                <w:rPr>
                                  <w:rFonts w:ascii="Georgia"/>
                                  <w:sz w:val="22"/>
                                </w:rPr>
                                <w:t>Health</w:t>
                              </w:r>
                              <w:r>
                                <w:rPr>
                                  <w:rFonts w:ascii="Georgia"/>
                                  <w:spacing w:val="-9"/>
                                  <w:sz w:val="22"/>
                                </w:rPr>
                                <w:t> </w:t>
                              </w:r>
                              <w:r>
                                <w:rPr>
                                  <w:rFonts w:ascii="Georgia"/>
                                  <w:sz w:val="22"/>
                                </w:rPr>
                                <w:t>Supports</w:t>
                              </w:r>
                              <w:r>
                                <w:rPr>
                                  <w:rFonts w:ascii="Georgia"/>
                                  <w:spacing w:val="-9"/>
                                  <w:sz w:val="22"/>
                                </w:rPr>
                                <w:t> </w:t>
                              </w:r>
                              <w:r>
                                <w:rPr>
                                  <w:rFonts w:ascii="Georgia"/>
                                  <w:sz w:val="22"/>
                                </w:rPr>
                                <w:t>for</w:t>
                              </w:r>
                              <w:r>
                                <w:rPr>
                                  <w:rFonts w:ascii="Georgia"/>
                                  <w:spacing w:val="-9"/>
                                  <w:sz w:val="22"/>
                                </w:rPr>
                                <w:t> </w:t>
                              </w:r>
                              <w:r>
                                <w:rPr>
                                  <w:rFonts w:ascii="Georgia"/>
                                  <w:sz w:val="22"/>
                                </w:rPr>
                                <w:t>K-12</w:t>
                              </w:r>
                              <w:r>
                                <w:rPr>
                                  <w:rFonts w:ascii="Georgia"/>
                                  <w:spacing w:val="-9"/>
                                  <w:sz w:val="22"/>
                                </w:rPr>
                                <w:t> </w:t>
                              </w:r>
                              <w:r>
                                <w:rPr>
                                  <w:rFonts w:ascii="Georgia"/>
                                  <w:spacing w:val="-2"/>
                                  <w:sz w:val="22"/>
                                </w:rPr>
                                <w:t>Schools</w:t>
                              </w:r>
                            </w:p>
                          </w:txbxContent>
                        </wps:txbx>
                        <wps:bodyPr wrap="square" lIns="0" tIns="0" rIns="0" bIns="0" rtlCol="0">
                          <a:noAutofit/>
                        </wps:bodyPr>
                      </wps:wsp>
                    </wpg:wgp>
                  </a:graphicData>
                </a:graphic>
              </wp:inline>
            </w:drawing>
          </mc:Choice>
          <mc:Fallback>
            <w:pict>
              <v:group style="width:273.7pt;height:143.4pt;mso-position-horizontal-relative:char;mso-position-vertical-relative:line" id="docshapegroup142" coordorigin="0,0" coordsize="5474,2868">
                <v:shape style="position:absolute;left:0;top:0;width:5474;height:2868" id="docshape143" coordorigin="0,0" coordsize="5474,2868" path="m4904,2868l570,2868,493,2863,418,2847,348,2823,282,2790,222,2749,167,2701,119,2646,78,2586,45,2520,20,2449,5,2375,0,2298,0,570,5,493,20,418,45,348,78,282,119,222,167,167,222,119,282,78,348,45,418,20,493,5,570,0,4904,0,4981,5,5055,20,5125,45,5191,78,5252,119,5307,167,5355,222,5396,282,5429,348,5453,418,5468,493,5474,570,5474,2298,5468,2375,5453,2449,5429,2520,5396,2586,5355,2646,5307,2701,5252,2749,5191,2790,5125,2823,5055,2847,4981,2863,4904,2868xe" filled="true" fillcolor="#f4e2d4" stroked="false">
                  <v:path arrowok="t"/>
                  <v:fill opacity="36700f" type="solid"/>
                </v:shape>
                <v:shape style="position:absolute;left:0;top:0;width:5474;height:2868" type="#_x0000_t202" id="docshape144" filled="false" stroked="false">
                  <v:textbox inset="0,0,0,0">
                    <w:txbxContent>
                      <w:p>
                        <w:pPr>
                          <w:spacing w:before="158"/>
                          <w:ind w:left="238" w:right="0" w:firstLine="0"/>
                          <w:jc w:val="left"/>
                          <w:rPr>
                            <w:b/>
                            <w:i/>
                            <w:sz w:val="34"/>
                          </w:rPr>
                        </w:pPr>
                        <w:r>
                          <w:rPr>
                            <w:b/>
                            <w:i/>
                            <w:spacing w:val="11"/>
                            <w:w w:val="130"/>
                            <w:sz w:val="34"/>
                          </w:rPr>
                          <w:t>LEGISLATION</w:t>
                        </w:r>
                      </w:p>
                      <w:p>
                        <w:pPr>
                          <w:spacing w:line="532" w:lineRule="auto" w:before="236"/>
                          <w:ind w:left="238" w:right="0" w:firstLine="0"/>
                          <w:jc w:val="left"/>
                          <w:rPr>
                            <w:rFonts w:ascii="Georgia"/>
                            <w:sz w:val="22"/>
                          </w:rPr>
                        </w:pPr>
                        <w:r>
                          <w:rPr>
                            <w:rFonts w:ascii="Georgia"/>
                            <w:spacing w:val="-4"/>
                            <w:sz w:val="22"/>
                          </w:rPr>
                          <w:t>S.259/H.498: LGBTQ+ Inclusive </w:t>
                        </w:r>
                        <w:r>
                          <w:rPr>
                            <w:rFonts w:ascii="Georgia"/>
                            <w:spacing w:val="-4"/>
                            <w:sz w:val="22"/>
                          </w:rPr>
                          <w:t>Curriculum </w:t>
                        </w:r>
                        <w:r>
                          <w:rPr>
                            <w:rFonts w:ascii="Georgia"/>
                            <w:sz w:val="22"/>
                          </w:rPr>
                          <w:t>S.311/H.549: Educator Diversity</w:t>
                        </w:r>
                      </w:p>
                      <w:p>
                        <w:pPr>
                          <w:spacing w:line="249" w:lineRule="exact" w:before="0"/>
                          <w:ind w:left="238" w:right="0" w:firstLine="0"/>
                          <w:jc w:val="left"/>
                          <w:rPr>
                            <w:rFonts w:ascii="Georgia"/>
                            <w:sz w:val="22"/>
                          </w:rPr>
                        </w:pPr>
                        <w:r>
                          <w:rPr>
                            <w:rFonts w:ascii="Georgia"/>
                            <w:sz w:val="22"/>
                          </w:rPr>
                          <w:t>S.346:</w:t>
                        </w:r>
                        <w:r>
                          <w:rPr>
                            <w:rFonts w:ascii="Georgia"/>
                            <w:spacing w:val="-9"/>
                            <w:sz w:val="22"/>
                          </w:rPr>
                          <w:t> </w:t>
                        </w:r>
                        <w:r>
                          <w:rPr>
                            <w:rFonts w:ascii="Georgia"/>
                            <w:sz w:val="22"/>
                          </w:rPr>
                          <w:t>Mental</w:t>
                        </w:r>
                        <w:r>
                          <w:rPr>
                            <w:rFonts w:ascii="Georgia"/>
                            <w:spacing w:val="-9"/>
                            <w:sz w:val="22"/>
                          </w:rPr>
                          <w:t> </w:t>
                        </w:r>
                        <w:r>
                          <w:rPr>
                            <w:rFonts w:ascii="Georgia"/>
                            <w:sz w:val="22"/>
                          </w:rPr>
                          <w:t>Health</w:t>
                        </w:r>
                        <w:r>
                          <w:rPr>
                            <w:rFonts w:ascii="Georgia"/>
                            <w:spacing w:val="-9"/>
                            <w:sz w:val="22"/>
                          </w:rPr>
                          <w:t> </w:t>
                        </w:r>
                        <w:r>
                          <w:rPr>
                            <w:rFonts w:ascii="Georgia"/>
                            <w:sz w:val="22"/>
                          </w:rPr>
                          <w:t>Supports</w:t>
                        </w:r>
                        <w:r>
                          <w:rPr>
                            <w:rFonts w:ascii="Georgia"/>
                            <w:spacing w:val="-9"/>
                            <w:sz w:val="22"/>
                          </w:rPr>
                          <w:t> </w:t>
                        </w:r>
                        <w:r>
                          <w:rPr>
                            <w:rFonts w:ascii="Georgia"/>
                            <w:sz w:val="22"/>
                          </w:rPr>
                          <w:t>for</w:t>
                        </w:r>
                        <w:r>
                          <w:rPr>
                            <w:rFonts w:ascii="Georgia"/>
                            <w:spacing w:val="-9"/>
                            <w:sz w:val="22"/>
                          </w:rPr>
                          <w:t> </w:t>
                        </w:r>
                        <w:r>
                          <w:rPr>
                            <w:rFonts w:ascii="Georgia"/>
                            <w:sz w:val="22"/>
                          </w:rPr>
                          <w:t>K-12</w:t>
                        </w:r>
                        <w:r>
                          <w:rPr>
                            <w:rFonts w:ascii="Georgia"/>
                            <w:spacing w:val="-9"/>
                            <w:sz w:val="22"/>
                          </w:rPr>
                          <w:t> </w:t>
                        </w:r>
                        <w:r>
                          <w:rPr>
                            <w:rFonts w:ascii="Georgia"/>
                            <w:spacing w:val="-2"/>
                            <w:sz w:val="22"/>
                          </w:rPr>
                          <w:t>Schools</w:t>
                        </w:r>
                      </w:p>
                    </w:txbxContent>
                  </v:textbox>
                  <w10:wrap type="none"/>
                </v:shape>
              </v:group>
            </w:pict>
          </mc:Fallback>
        </mc:AlternateContent>
      </w:r>
      <w:r>
        <w:rPr>
          <w:rFonts w:ascii="Georgia"/>
          <w:sz w:val="20"/>
        </w:rPr>
      </w:r>
    </w:p>
    <w:p>
      <w:pPr>
        <w:spacing w:after="0"/>
        <w:rPr>
          <w:rFonts w:ascii="Georgia"/>
          <w:sz w:val="20"/>
        </w:rPr>
        <w:sectPr>
          <w:type w:val="continuous"/>
          <w:pgSz w:w="12240" w:h="15840"/>
          <w:pgMar w:header="0" w:footer="0" w:top="1420" w:bottom="280" w:left="720" w:right="1260"/>
        </w:sectPr>
      </w:pPr>
    </w:p>
    <w:p>
      <w:pPr>
        <w:pStyle w:val="Heading7"/>
        <w:spacing w:before="68"/>
        <w:ind w:left="319"/>
      </w:pPr>
      <w:r>
        <w:rPr/>
        <mc:AlternateContent>
          <mc:Choice Requires="wps">
            <w:drawing>
              <wp:anchor distT="0" distB="0" distL="0" distR="0" allowOverlap="1" layoutInCell="1" locked="0" behindDoc="1" simplePos="0" relativeHeight="487607808">
                <wp:simplePos x="0" y="0"/>
                <wp:positionH relativeFrom="page">
                  <wp:posOffset>889000</wp:posOffset>
                </wp:positionH>
                <wp:positionV relativeFrom="paragraph">
                  <wp:posOffset>391718</wp:posOffset>
                </wp:positionV>
                <wp:extent cx="6350" cy="12700"/>
                <wp:effectExtent l="0" t="0" r="0" b="0"/>
                <wp:wrapTopAndBottom/>
                <wp:docPr id="173" name="Graphic 173"/>
                <wp:cNvGraphicFramePr>
                  <a:graphicFrameLocks/>
                </wp:cNvGraphicFramePr>
                <a:graphic>
                  <a:graphicData uri="http://schemas.microsoft.com/office/word/2010/wordprocessingShape">
                    <wps:wsp>
                      <wps:cNvPr id="173" name="Graphic 173"/>
                      <wps:cNvSpPr/>
                      <wps:spPr>
                        <a:xfrm>
                          <a:off x="0" y="0"/>
                          <a:ext cx="6350" cy="12700"/>
                        </a:xfrm>
                        <a:custGeom>
                          <a:avLst/>
                          <a:gdLst/>
                          <a:ahLst/>
                          <a:cxnLst/>
                          <a:rect l="l" t="t" r="r" b="b"/>
                          <a:pathLst>
                            <a:path w="6350" h="12700">
                              <a:moveTo>
                                <a:pt x="6337" y="0"/>
                              </a:moveTo>
                              <a:lnTo>
                                <a:pt x="0" y="0"/>
                              </a:lnTo>
                              <a:lnTo>
                                <a:pt x="0" y="12217"/>
                              </a:lnTo>
                              <a:lnTo>
                                <a:pt x="6337" y="12217"/>
                              </a:lnTo>
                              <a:lnTo>
                                <a:pt x="6337" y="0"/>
                              </a:lnTo>
                              <a:close/>
                            </a:path>
                          </a:pathLst>
                        </a:custGeom>
                        <a:solidFill>
                          <a:srgbClr val="0F6DC5"/>
                        </a:solidFill>
                      </wps:spPr>
                      <wps:bodyPr wrap="square" lIns="0" tIns="0" rIns="0" bIns="0" rtlCol="0">
                        <a:prstTxWarp prst="textNoShape">
                          <a:avLst/>
                        </a:prstTxWarp>
                        <a:noAutofit/>
                      </wps:bodyPr>
                    </wps:wsp>
                  </a:graphicData>
                </a:graphic>
              </wp:anchor>
            </w:drawing>
          </mc:Choice>
          <mc:Fallback>
            <w:pict>
              <v:rect style="position:absolute;margin-left:70pt;margin-top:30.844pt;width:.499pt;height:.962pt;mso-position-horizontal-relative:page;mso-position-vertical-relative:paragraph;z-index:-15708672;mso-wrap-distance-left:0;mso-wrap-distance-right:0" id="docshape148" filled="true" fillcolor="#0f6dc5" stroked="false">
                <v:fill type="solid"/>
                <w10:wrap type="topAndBottom"/>
              </v:rect>
            </w:pict>
          </mc:Fallback>
        </mc:AlternateContent>
      </w:r>
      <w:r>
        <w:rPr/>
        <mc:AlternateContent>
          <mc:Choice Requires="wps">
            <w:drawing>
              <wp:anchor distT="0" distB="0" distL="0" distR="0" allowOverlap="1" layoutInCell="1" locked="0" behindDoc="1" simplePos="0" relativeHeight="487608320">
                <wp:simplePos x="0" y="0"/>
                <wp:positionH relativeFrom="page">
                  <wp:posOffset>889000</wp:posOffset>
                </wp:positionH>
                <wp:positionV relativeFrom="paragraph">
                  <wp:posOffset>491870</wp:posOffset>
                </wp:positionV>
                <wp:extent cx="6350" cy="12700"/>
                <wp:effectExtent l="0" t="0" r="0" b="0"/>
                <wp:wrapTopAndBottom/>
                <wp:docPr id="174" name="Graphic 174"/>
                <wp:cNvGraphicFramePr>
                  <a:graphicFrameLocks/>
                </wp:cNvGraphicFramePr>
                <a:graphic>
                  <a:graphicData uri="http://schemas.microsoft.com/office/word/2010/wordprocessingShape">
                    <wps:wsp>
                      <wps:cNvPr id="174" name="Graphic 174"/>
                      <wps:cNvSpPr/>
                      <wps:spPr>
                        <a:xfrm>
                          <a:off x="0" y="0"/>
                          <a:ext cx="6350" cy="12700"/>
                        </a:xfrm>
                        <a:custGeom>
                          <a:avLst/>
                          <a:gdLst/>
                          <a:ahLst/>
                          <a:cxnLst/>
                          <a:rect l="l" t="t" r="r" b="b"/>
                          <a:pathLst>
                            <a:path w="6350" h="12700">
                              <a:moveTo>
                                <a:pt x="6337" y="0"/>
                              </a:moveTo>
                              <a:lnTo>
                                <a:pt x="0" y="0"/>
                              </a:lnTo>
                              <a:lnTo>
                                <a:pt x="0" y="12179"/>
                              </a:lnTo>
                              <a:lnTo>
                                <a:pt x="6337" y="12179"/>
                              </a:lnTo>
                              <a:lnTo>
                                <a:pt x="6337" y="0"/>
                              </a:lnTo>
                              <a:close/>
                            </a:path>
                          </a:pathLst>
                        </a:custGeom>
                        <a:solidFill>
                          <a:srgbClr val="0F6DC5"/>
                        </a:solidFill>
                      </wps:spPr>
                      <wps:bodyPr wrap="square" lIns="0" tIns="0" rIns="0" bIns="0" rtlCol="0">
                        <a:prstTxWarp prst="textNoShape">
                          <a:avLst/>
                        </a:prstTxWarp>
                        <a:noAutofit/>
                      </wps:bodyPr>
                    </wps:wsp>
                  </a:graphicData>
                </a:graphic>
              </wp:anchor>
            </w:drawing>
          </mc:Choice>
          <mc:Fallback>
            <w:pict>
              <v:rect style="position:absolute;margin-left:70pt;margin-top:38.730pt;width:.499pt;height:.959pt;mso-position-horizontal-relative:page;mso-position-vertical-relative:paragraph;z-index:-15708160;mso-wrap-distance-left:0;mso-wrap-distance-right:0" id="docshape149" filled="true" fillcolor="#0f6dc5" stroked="false">
                <v:fill type="solid"/>
                <w10:wrap type="topAndBottom"/>
              </v:rect>
            </w:pict>
          </mc:Fallback>
        </mc:AlternateContent>
      </w:r>
      <w:bookmarkStart w:name="FY 2025 - Public Health - Final.pdf" w:id="188"/>
      <w:bookmarkEnd w:id="188"/>
      <w:r>
        <w:rPr/>
      </w:r>
      <w:bookmarkStart w:name="_bookmark78" w:id="189"/>
      <w:bookmarkEnd w:id="189"/>
      <w:r>
        <w:rPr/>
      </w:r>
      <w:hyperlink w:history="true" w:anchor="_bookmark3">
        <w:r>
          <w:rPr>
            <w:color w:val="365F91"/>
            <w:spacing w:val="-10"/>
          </w:rPr>
          <w:t>Destigmatizing</w:t>
        </w:r>
        <w:r>
          <w:rPr>
            <w:color w:val="365F91"/>
            <w:spacing w:val="2"/>
          </w:rPr>
          <w:t> </w:t>
        </w:r>
        <w:r>
          <w:rPr>
            <w:color w:val="365F91"/>
            <w:spacing w:val="-10"/>
          </w:rPr>
          <w:t>Public</w:t>
        </w:r>
        <w:r>
          <w:rPr>
            <w:color w:val="365F91"/>
            <w:spacing w:val="5"/>
          </w:rPr>
          <w:t> </w:t>
        </w:r>
        <w:r>
          <w:rPr>
            <w:color w:val="365F91"/>
            <w:spacing w:val="-10"/>
          </w:rPr>
          <w:t>Health</w:t>
        </w:r>
      </w:hyperlink>
    </w:p>
    <w:p>
      <w:pPr>
        <w:pStyle w:val="BodyText"/>
        <w:spacing w:before="4"/>
        <w:rPr>
          <w:sz w:val="9"/>
        </w:rPr>
      </w:pPr>
    </w:p>
    <w:p>
      <w:pPr>
        <w:spacing w:before="280" w:after="20"/>
        <w:ind w:left="319" w:right="0" w:firstLine="0"/>
        <w:jc w:val="left"/>
        <w:rPr>
          <w:sz w:val="28"/>
        </w:rPr>
      </w:pPr>
      <w:bookmarkStart w:name="Introduction" w:id="190"/>
      <w:bookmarkEnd w:id="190"/>
      <w:r>
        <w:rPr/>
      </w:r>
      <w:r>
        <w:rPr>
          <w:color w:val="365F91"/>
          <w:spacing w:val="-2"/>
          <w:sz w:val="28"/>
        </w:rPr>
        <w:t>Introduction</w:t>
      </w:r>
    </w:p>
    <w:p>
      <w:pPr>
        <w:pStyle w:val="BodyText"/>
        <w:spacing w:line="20" w:lineRule="exact"/>
        <w:ind w:left="289"/>
        <w:rPr>
          <w:sz w:val="2"/>
        </w:rPr>
      </w:pPr>
      <w:r>
        <w:rPr>
          <w:sz w:val="2"/>
        </w:rPr>
        <mc:AlternateContent>
          <mc:Choice Requires="wps">
            <w:drawing>
              <wp:inline distT="0" distB="0" distL="0" distR="0">
                <wp:extent cx="6115050" cy="6350"/>
                <wp:effectExtent l="0" t="0" r="0" b="0"/>
                <wp:docPr id="175" name="Group 175"/>
                <wp:cNvGraphicFramePr>
                  <a:graphicFrameLocks/>
                </wp:cNvGraphicFramePr>
                <a:graphic>
                  <a:graphicData uri="http://schemas.microsoft.com/office/word/2010/wordprocessingGroup">
                    <wpg:wgp>
                      <wpg:cNvPr id="175" name="Group 175"/>
                      <wpg:cNvGrpSpPr/>
                      <wpg:grpSpPr>
                        <a:xfrm>
                          <a:off x="0" y="0"/>
                          <a:ext cx="6115050" cy="6350"/>
                          <a:chExt cx="6115050" cy="6350"/>
                        </a:xfrm>
                      </wpg:grpSpPr>
                      <wps:wsp>
                        <wps:cNvPr id="176" name="Graphic 176"/>
                        <wps:cNvSpPr/>
                        <wps:spPr>
                          <a:xfrm>
                            <a:off x="0" y="0"/>
                            <a:ext cx="6115050" cy="6350"/>
                          </a:xfrm>
                          <a:custGeom>
                            <a:avLst/>
                            <a:gdLst/>
                            <a:ahLst/>
                            <a:cxnLst/>
                            <a:rect l="l" t="t" r="r" b="b"/>
                            <a:pathLst>
                              <a:path w="6115050" h="6350">
                                <a:moveTo>
                                  <a:pt x="6115050" y="0"/>
                                </a:moveTo>
                                <a:lnTo>
                                  <a:pt x="0" y="0"/>
                                </a:lnTo>
                                <a:lnTo>
                                  <a:pt x="0" y="6096"/>
                                </a:lnTo>
                                <a:lnTo>
                                  <a:pt x="6115050" y="6096"/>
                                </a:lnTo>
                                <a:lnTo>
                                  <a:pt x="6115050" y="0"/>
                                </a:lnTo>
                                <a:close/>
                              </a:path>
                            </a:pathLst>
                          </a:custGeom>
                          <a:solidFill>
                            <a:srgbClr val="4F81BC"/>
                          </a:solidFill>
                        </wps:spPr>
                        <wps:bodyPr wrap="square" lIns="0" tIns="0" rIns="0" bIns="0" rtlCol="0">
                          <a:prstTxWarp prst="textNoShape">
                            <a:avLst/>
                          </a:prstTxWarp>
                          <a:noAutofit/>
                        </wps:bodyPr>
                      </wps:wsp>
                    </wpg:wgp>
                  </a:graphicData>
                </a:graphic>
              </wp:inline>
            </w:drawing>
          </mc:Choice>
          <mc:Fallback>
            <w:pict>
              <v:group style="width:481.5pt;height:.5pt;mso-position-horizontal-relative:char;mso-position-vertical-relative:line" id="docshapegroup150" coordorigin="0,0" coordsize="9630,10">
                <v:rect style="position:absolute;left:0;top:0;width:9630;height:10" id="docshape151" filled="true" fillcolor="#4f81bc" stroked="false">
                  <v:fill type="solid"/>
                </v:rect>
              </v:group>
            </w:pict>
          </mc:Fallback>
        </mc:AlternateContent>
      </w:r>
      <w:r>
        <w:rPr>
          <w:sz w:val="2"/>
        </w:rPr>
      </w:r>
    </w:p>
    <w:p>
      <w:pPr>
        <w:spacing w:line="264" w:lineRule="auto" w:before="71"/>
        <w:ind w:left="319" w:right="311" w:firstLine="0"/>
        <w:jc w:val="left"/>
        <w:rPr>
          <w:i/>
          <w:sz w:val="22"/>
        </w:rPr>
      </w:pPr>
      <w:bookmarkStart w:name="(first published in FY 2024 Annual Recom" w:id="191"/>
      <w:bookmarkEnd w:id="191"/>
      <w:r>
        <w:rPr/>
      </w:r>
      <w:r>
        <w:rPr>
          <w:i/>
          <w:sz w:val="22"/>
        </w:rPr>
        <w:t>(first</w:t>
      </w:r>
      <w:r>
        <w:rPr>
          <w:i/>
          <w:spacing w:val="-4"/>
          <w:sz w:val="22"/>
        </w:rPr>
        <w:t> </w:t>
      </w:r>
      <w:r>
        <w:rPr>
          <w:i/>
          <w:sz w:val="22"/>
        </w:rPr>
        <w:t>published</w:t>
      </w:r>
      <w:r>
        <w:rPr>
          <w:i/>
          <w:spacing w:val="-4"/>
          <w:sz w:val="22"/>
        </w:rPr>
        <w:t> </w:t>
      </w:r>
      <w:r>
        <w:rPr>
          <w:i/>
          <w:sz w:val="22"/>
        </w:rPr>
        <w:t>in</w:t>
      </w:r>
      <w:r>
        <w:rPr>
          <w:i/>
          <w:spacing w:val="-3"/>
          <w:sz w:val="22"/>
        </w:rPr>
        <w:t> </w:t>
      </w:r>
      <w:r>
        <w:rPr>
          <w:i/>
          <w:sz w:val="22"/>
        </w:rPr>
        <w:t>FY</w:t>
      </w:r>
      <w:r>
        <w:rPr>
          <w:i/>
          <w:spacing w:val="-4"/>
          <w:sz w:val="22"/>
        </w:rPr>
        <w:t> </w:t>
      </w:r>
      <w:r>
        <w:rPr>
          <w:i/>
          <w:sz w:val="22"/>
        </w:rPr>
        <w:t>2024</w:t>
      </w:r>
      <w:r>
        <w:rPr>
          <w:i/>
          <w:spacing w:val="-1"/>
          <w:sz w:val="22"/>
        </w:rPr>
        <w:t> </w:t>
      </w:r>
      <w:r>
        <w:rPr>
          <w:i/>
          <w:sz w:val="22"/>
        </w:rPr>
        <w:t>Annual</w:t>
      </w:r>
      <w:r>
        <w:rPr>
          <w:i/>
          <w:spacing w:val="-3"/>
          <w:sz w:val="22"/>
        </w:rPr>
        <w:t> </w:t>
      </w:r>
      <w:r>
        <w:rPr>
          <w:i/>
          <w:sz w:val="22"/>
        </w:rPr>
        <w:t>Recommendations</w:t>
      </w:r>
      <w:r>
        <w:rPr>
          <w:i/>
          <w:spacing w:val="-4"/>
          <w:sz w:val="22"/>
        </w:rPr>
        <w:t> </w:t>
      </w:r>
      <w:r>
        <w:rPr>
          <w:i/>
          <w:sz w:val="22"/>
        </w:rPr>
        <w:t>Report,</w:t>
      </w:r>
      <w:r>
        <w:rPr>
          <w:i/>
          <w:spacing w:val="-2"/>
          <w:sz w:val="22"/>
        </w:rPr>
        <w:t> </w:t>
      </w:r>
      <w:r>
        <w:rPr>
          <w:i/>
          <w:sz w:val="22"/>
        </w:rPr>
        <w:t>minor</w:t>
      </w:r>
      <w:r>
        <w:rPr>
          <w:i/>
          <w:spacing w:val="-4"/>
          <w:sz w:val="22"/>
        </w:rPr>
        <w:t> </w:t>
      </w:r>
      <w:r>
        <w:rPr>
          <w:i/>
          <w:sz w:val="22"/>
        </w:rPr>
        <w:t>updates</w:t>
      </w:r>
      <w:r>
        <w:rPr>
          <w:i/>
          <w:spacing w:val="-4"/>
          <w:sz w:val="22"/>
        </w:rPr>
        <w:t> </w:t>
      </w:r>
      <w:r>
        <w:rPr>
          <w:i/>
          <w:sz w:val="22"/>
        </w:rPr>
        <w:t>made</w:t>
      </w:r>
      <w:r>
        <w:rPr>
          <w:i/>
          <w:spacing w:val="-3"/>
          <w:sz w:val="22"/>
        </w:rPr>
        <w:t> </w:t>
      </w:r>
      <w:r>
        <w:rPr>
          <w:i/>
          <w:sz w:val="22"/>
        </w:rPr>
        <w:t>to</w:t>
      </w:r>
      <w:r>
        <w:rPr>
          <w:i/>
          <w:spacing w:val="-3"/>
          <w:sz w:val="22"/>
        </w:rPr>
        <w:t> </w:t>
      </w:r>
      <w:r>
        <w:rPr>
          <w:i/>
          <w:sz w:val="22"/>
        </w:rPr>
        <w:t>bring</w:t>
      </w:r>
      <w:r>
        <w:rPr>
          <w:i/>
          <w:spacing w:val="-3"/>
          <w:sz w:val="22"/>
        </w:rPr>
        <w:t> </w:t>
      </w:r>
      <w:r>
        <w:rPr>
          <w:i/>
          <w:sz w:val="22"/>
        </w:rPr>
        <w:t>current</w:t>
      </w:r>
      <w:r>
        <w:rPr>
          <w:i/>
          <w:spacing w:val="-3"/>
          <w:sz w:val="22"/>
        </w:rPr>
        <w:t> </w:t>
      </w:r>
      <w:r>
        <w:rPr>
          <w:i/>
          <w:sz w:val="22"/>
        </w:rPr>
        <w:t>to</w:t>
      </w:r>
      <w:r>
        <w:rPr>
          <w:i/>
          <w:spacing w:val="-3"/>
          <w:sz w:val="22"/>
        </w:rPr>
        <w:t> </w:t>
      </w:r>
      <w:r>
        <w:rPr>
          <w:i/>
          <w:sz w:val="22"/>
        </w:rPr>
        <w:t>FY</w:t>
      </w:r>
      <w:r>
        <w:rPr>
          <w:i/>
          <w:sz w:val="22"/>
        </w:rPr>
        <w:t> </w:t>
      </w:r>
      <w:r>
        <w:rPr>
          <w:i/>
          <w:spacing w:val="-2"/>
          <w:sz w:val="22"/>
        </w:rPr>
        <w:t>2025)</w:t>
      </w:r>
    </w:p>
    <w:p>
      <w:pPr>
        <w:pStyle w:val="BodyText"/>
        <w:spacing w:line="276" w:lineRule="auto" w:before="240"/>
        <w:ind w:left="463" w:right="280"/>
        <w:jc w:val="both"/>
      </w:pPr>
      <w:r>
        <w:rPr/>
        <w:t>The public health crises facing LGBTQ youth are largely not because of individual risk factors, but rather systemic</w:t>
      </w:r>
      <w:r>
        <w:rPr>
          <w:spacing w:val="-6"/>
        </w:rPr>
        <w:t> </w:t>
      </w:r>
      <w:r>
        <w:rPr/>
        <w:t>issues</w:t>
      </w:r>
      <w:r>
        <w:rPr>
          <w:spacing w:val="-6"/>
        </w:rPr>
        <w:t> </w:t>
      </w:r>
      <w:r>
        <w:rPr/>
        <w:t>that</w:t>
      </w:r>
      <w:r>
        <w:rPr>
          <w:spacing w:val="-7"/>
        </w:rPr>
        <w:t> </w:t>
      </w:r>
      <w:r>
        <w:rPr/>
        <w:t>affect</w:t>
      </w:r>
      <w:r>
        <w:rPr>
          <w:spacing w:val="-5"/>
        </w:rPr>
        <w:t> </w:t>
      </w:r>
      <w:r>
        <w:rPr/>
        <w:t>how</w:t>
      </w:r>
      <w:r>
        <w:rPr>
          <w:spacing w:val="-6"/>
        </w:rPr>
        <w:t> </w:t>
      </w:r>
      <w:r>
        <w:rPr/>
        <w:t>LGBTQ</w:t>
      </w:r>
      <w:r>
        <w:rPr>
          <w:spacing w:val="-7"/>
        </w:rPr>
        <w:t> </w:t>
      </w:r>
      <w:r>
        <w:rPr/>
        <w:t>youth</w:t>
      </w:r>
      <w:r>
        <w:rPr>
          <w:spacing w:val="-6"/>
        </w:rPr>
        <w:t> </w:t>
      </w:r>
      <w:r>
        <w:rPr/>
        <w:t>navigate</w:t>
      </w:r>
      <w:r>
        <w:rPr>
          <w:spacing w:val="-7"/>
        </w:rPr>
        <w:t> </w:t>
      </w:r>
      <w:r>
        <w:rPr/>
        <w:t>the</w:t>
      </w:r>
      <w:r>
        <w:rPr>
          <w:spacing w:val="-7"/>
        </w:rPr>
        <w:t> </w:t>
      </w:r>
      <w:r>
        <w:rPr/>
        <w:t>spaces</w:t>
      </w:r>
      <w:r>
        <w:rPr>
          <w:spacing w:val="-6"/>
        </w:rPr>
        <w:t> </w:t>
      </w:r>
      <w:r>
        <w:rPr/>
        <w:t>in</w:t>
      </w:r>
      <w:r>
        <w:rPr>
          <w:spacing w:val="-7"/>
        </w:rPr>
        <w:t> </w:t>
      </w:r>
      <w:r>
        <w:rPr/>
        <w:t>which</w:t>
      </w:r>
      <w:r>
        <w:rPr>
          <w:spacing w:val="-6"/>
        </w:rPr>
        <w:t> </w:t>
      </w:r>
      <w:r>
        <w:rPr/>
        <w:t>they</w:t>
      </w:r>
      <w:r>
        <w:rPr>
          <w:spacing w:val="-5"/>
        </w:rPr>
        <w:t> </w:t>
      </w:r>
      <w:r>
        <w:rPr/>
        <w:t>exist.</w:t>
      </w:r>
      <w:r>
        <w:rPr>
          <w:spacing w:val="-6"/>
        </w:rPr>
        <w:t> </w:t>
      </w:r>
      <w:r>
        <w:rPr/>
        <w:t>LGBTQ</w:t>
      </w:r>
      <w:r>
        <w:rPr>
          <w:spacing w:val="-6"/>
        </w:rPr>
        <w:t> </w:t>
      </w:r>
      <w:r>
        <w:rPr/>
        <w:t>youth</w:t>
      </w:r>
      <w:r>
        <w:rPr>
          <w:spacing w:val="-7"/>
        </w:rPr>
        <w:t> </w:t>
      </w:r>
      <w:r>
        <w:rPr/>
        <w:t>often live in environments hostile to their existence, whether because of the current political climate, unsupportive families, or a lack of LGBTQ community and role models. The future is uncertain for many youths, and</w:t>
      </w:r>
      <w:r>
        <w:rPr>
          <w:spacing w:val="-1"/>
        </w:rPr>
        <w:t> </w:t>
      </w:r>
      <w:r>
        <w:rPr/>
        <w:t>it can</w:t>
      </w:r>
      <w:r>
        <w:rPr>
          <w:spacing w:val="-1"/>
        </w:rPr>
        <w:t> </w:t>
      </w:r>
      <w:r>
        <w:rPr/>
        <w:t>be</w:t>
      </w:r>
      <w:r>
        <w:rPr>
          <w:spacing w:val="-1"/>
        </w:rPr>
        <w:t> </w:t>
      </w:r>
      <w:r>
        <w:rPr/>
        <w:t>difficult</w:t>
      </w:r>
      <w:r>
        <w:rPr>
          <w:spacing w:val="-1"/>
        </w:rPr>
        <w:t> </w:t>
      </w:r>
      <w:r>
        <w:rPr/>
        <w:t>for them to envision</w:t>
      </w:r>
      <w:r>
        <w:rPr>
          <w:spacing w:val="-1"/>
        </w:rPr>
        <w:t> </w:t>
      </w:r>
      <w:r>
        <w:rPr/>
        <w:t>a world</w:t>
      </w:r>
      <w:r>
        <w:rPr>
          <w:spacing w:val="-1"/>
        </w:rPr>
        <w:t> </w:t>
      </w:r>
      <w:r>
        <w:rPr/>
        <w:t>where they are</w:t>
      </w:r>
      <w:r>
        <w:rPr>
          <w:spacing w:val="-1"/>
        </w:rPr>
        <w:t> </w:t>
      </w:r>
      <w:r>
        <w:rPr/>
        <w:t>able to exist</w:t>
      </w:r>
      <w:r>
        <w:rPr>
          <w:spacing w:val="-1"/>
        </w:rPr>
        <w:t> </w:t>
      </w:r>
      <w:r>
        <w:rPr/>
        <w:t>freely and</w:t>
      </w:r>
      <w:r>
        <w:rPr>
          <w:spacing w:val="-1"/>
        </w:rPr>
        <w:t> </w:t>
      </w:r>
      <w:r>
        <w:rPr/>
        <w:t>safely as</w:t>
      </w:r>
      <w:r>
        <w:rPr>
          <w:spacing w:val="-7"/>
        </w:rPr>
        <w:t> </w:t>
      </w:r>
      <w:r>
        <w:rPr/>
        <w:t>queer</w:t>
      </w:r>
      <w:r>
        <w:rPr>
          <w:spacing w:val="-7"/>
        </w:rPr>
        <w:t> </w:t>
      </w:r>
      <w:r>
        <w:rPr/>
        <w:t>and</w:t>
      </w:r>
      <w:r>
        <w:rPr>
          <w:spacing w:val="-7"/>
        </w:rPr>
        <w:t> </w:t>
      </w:r>
      <w:r>
        <w:rPr/>
        <w:t>trans</w:t>
      </w:r>
      <w:r>
        <w:rPr>
          <w:spacing w:val="-7"/>
        </w:rPr>
        <w:t> </w:t>
      </w:r>
      <w:r>
        <w:rPr/>
        <w:t>adults.</w:t>
      </w:r>
      <w:r>
        <w:rPr>
          <w:spacing w:val="-5"/>
        </w:rPr>
        <w:t> </w:t>
      </w:r>
      <w:r>
        <w:rPr/>
        <w:t>However,</w:t>
      </w:r>
      <w:r>
        <w:rPr>
          <w:spacing w:val="-7"/>
        </w:rPr>
        <w:t> </w:t>
      </w:r>
      <w:r>
        <w:rPr/>
        <w:t>despite</w:t>
      </w:r>
      <w:r>
        <w:rPr>
          <w:spacing w:val="-6"/>
        </w:rPr>
        <w:t> </w:t>
      </w:r>
      <w:r>
        <w:rPr/>
        <w:t>the</w:t>
      </w:r>
      <w:r>
        <w:rPr>
          <w:spacing w:val="-6"/>
        </w:rPr>
        <w:t> </w:t>
      </w:r>
      <w:r>
        <w:rPr/>
        <w:t>hostility,</w:t>
      </w:r>
      <w:r>
        <w:rPr>
          <w:spacing w:val="-7"/>
        </w:rPr>
        <w:t> </w:t>
      </w:r>
      <w:r>
        <w:rPr/>
        <w:t>LGBTQ</w:t>
      </w:r>
      <w:r>
        <w:rPr>
          <w:spacing w:val="-8"/>
        </w:rPr>
        <w:t> </w:t>
      </w:r>
      <w:r>
        <w:rPr/>
        <w:t>youth</w:t>
      </w:r>
      <w:r>
        <w:rPr>
          <w:spacing w:val="-7"/>
        </w:rPr>
        <w:t> </w:t>
      </w:r>
      <w:r>
        <w:rPr/>
        <w:t>continue</w:t>
      </w:r>
      <w:r>
        <w:rPr>
          <w:spacing w:val="-8"/>
        </w:rPr>
        <w:t> </w:t>
      </w:r>
      <w:r>
        <w:rPr/>
        <w:t>to</w:t>
      </w:r>
      <w:r>
        <w:rPr>
          <w:spacing w:val="-7"/>
        </w:rPr>
        <w:t> </w:t>
      </w:r>
      <w:r>
        <w:rPr/>
        <w:t>resist,</w:t>
      </w:r>
      <w:r>
        <w:rPr>
          <w:spacing w:val="-6"/>
        </w:rPr>
        <w:t> </w:t>
      </w:r>
      <w:r>
        <w:rPr/>
        <w:t>challenge,</w:t>
      </w:r>
      <w:r>
        <w:rPr>
          <w:spacing w:val="-7"/>
        </w:rPr>
        <w:t> </w:t>
      </w:r>
      <w:r>
        <w:rPr/>
        <w:t>and change the relationships, communities, institutions, and systems that act as oppressive forces.</w:t>
      </w:r>
      <w:hyperlink w:history="true" w:anchor="_bookmark79">
        <w:r>
          <w:rPr>
            <w:vertAlign w:val="superscript"/>
          </w:rPr>
          <w:t>1</w:t>
        </w:r>
      </w:hyperlink>
      <w:r>
        <w:rPr>
          <w:vertAlign w:val="baseline"/>
        </w:rPr>
        <w:t> Public health has an obligation to support and uplift LGBTQ youth as they resist unjust and oppressive structures</w:t>
      </w:r>
      <w:hyperlink w:history="true" w:anchor="_bookmark79">
        <w:r>
          <w:rPr>
            <w:vertAlign w:val="baseline"/>
          </w:rPr>
          <w:t>.</w:t>
        </w:r>
        <w:r>
          <w:rPr>
            <w:vertAlign w:val="superscript"/>
          </w:rPr>
          <w:t>2</w:t>
        </w:r>
      </w:hyperlink>
      <w:r>
        <w:rPr>
          <w:vertAlign w:val="baseline"/>
        </w:rPr>
        <w:t> In doing so, policymakers, providers, and educators can better pave the way for a future where all LGBTQ youth thrive.</w:t>
      </w:r>
    </w:p>
    <w:p>
      <w:pPr>
        <w:pStyle w:val="BodyText"/>
        <w:spacing w:line="276" w:lineRule="auto" w:before="239"/>
        <w:ind w:left="463" w:right="283"/>
        <w:jc w:val="both"/>
      </w:pPr>
      <w:r>
        <w:rPr/>
        <w:t>When working to develop policies and programs to address public health concerns, it is essential to understand that many of the issues highlighted in this section are compounded by intersecting systems of oppression, including poverty, racism, homophobia, transphobia, and ableism that must simultaneously be addressed. Tackling such large structural issues may seem unfathomable, however, there are actions that can be taken in the meantime to continue providing support to LGBTQ youth and begin shifting the cultural norms that will eventually improve health outcomes for all communities.</w:t>
      </w:r>
    </w:p>
    <w:p>
      <w:pPr>
        <w:pStyle w:val="BodyText"/>
        <w:spacing w:before="192"/>
        <w:rPr>
          <w:sz w:val="20"/>
        </w:rPr>
      </w:pPr>
      <w:r>
        <w:rPr/>
        <mc:AlternateContent>
          <mc:Choice Requires="wps">
            <w:drawing>
              <wp:anchor distT="0" distB="0" distL="0" distR="0" allowOverlap="1" layoutInCell="1" locked="0" behindDoc="1" simplePos="0" relativeHeight="487609344">
                <wp:simplePos x="0" y="0"/>
                <wp:positionH relativeFrom="page">
                  <wp:posOffset>889000</wp:posOffset>
                </wp:positionH>
                <wp:positionV relativeFrom="paragraph">
                  <wp:posOffset>292464</wp:posOffset>
                </wp:positionV>
                <wp:extent cx="6350" cy="12700"/>
                <wp:effectExtent l="0" t="0" r="0" b="0"/>
                <wp:wrapTopAndBottom/>
                <wp:docPr id="177" name="Graphic 177"/>
                <wp:cNvGraphicFramePr>
                  <a:graphicFrameLocks/>
                </wp:cNvGraphicFramePr>
                <a:graphic>
                  <a:graphicData uri="http://schemas.microsoft.com/office/word/2010/wordprocessingShape">
                    <wps:wsp>
                      <wps:cNvPr id="177" name="Graphic 177"/>
                      <wps:cNvSpPr/>
                      <wps:spPr>
                        <a:xfrm>
                          <a:off x="0" y="0"/>
                          <a:ext cx="6350" cy="12700"/>
                        </a:xfrm>
                        <a:custGeom>
                          <a:avLst/>
                          <a:gdLst/>
                          <a:ahLst/>
                          <a:cxnLst/>
                          <a:rect l="l" t="t" r="r" b="b"/>
                          <a:pathLst>
                            <a:path w="6350" h="12700">
                              <a:moveTo>
                                <a:pt x="6337" y="0"/>
                              </a:moveTo>
                              <a:lnTo>
                                <a:pt x="0" y="0"/>
                              </a:lnTo>
                              <a:lnTo>
                                <a:pt x="0" y="12191"/>
                              </a:lnTo>
                              <a:lnTo>
                                <a:pt x="6337" y="12191"/>
                              </a:lnTo>
                              <a:lnTo>
                                <a:pt x="6337" y="0"/>
                              </a:lnTo>
                              <a:close/>
                            </a:path>
                          </a:pathLst>
                        </a:custGeom>
                        <a:solidFill>
                          <a:srgbClr val="0F6DC5"/>
                        </a:solidFill>
                      </wps:spPr>
                      <wps:bodyPr wrap="square" lIns="0" tIns="0" rIns="0" bIns="0" rtlCol="0">
                        <a:prstTxWarp prst="textNoShape">
                          <a:avLst/>
                        </a:prstTxWarp>
                        <a:noAutofit/>
                      </wps:bodyPr>
                    </wps:wsp>
                  </a:graphicData>
                </a:graphic>
              </wp:anchor>
            </w:drawing>
          </mc:Choice>
          <mc:Fallback>
            <w:pict>
              <v:rect style="position:absolute;margin-left:70pt;margin-top:23.028671pt;width:.499pt;height:.96pt;mso-position-horizontal-relative:page;mso-position-vertical-relative:paragraph;z-index:-15707136;mso-wrap-distance-left:0;mso-wrap-distance-right:0" id="docshape152" filled="true" fillcolor="#0f6dc5" stroked="false">
                <v:fill type="solid"/>
                <w10:wrap type="topAndBottom"/>
              </v:rect>
            </w:pict>
          </mc:Fallback>
        </mc:AlternateContent>
      </w:r>
    </w:p>
    <w:p>
      <w:pPr>
        <w:spacing w:before="121"/>
        <w:ind w:left="319" w:right="0" w:firstLine="0"/>
        <w:jc w:val="left"/>
        <w:rPr>
          <w:sz w:val="28"/>
        </w:rPr>
      </w:pPr>
      <w:bookmarkStart w:name="FY2025 Recommendations to the Governor a" w:id="192"/>
      <w:bookmarkEnd w:id="192"/>
      <w:r>
        <w:rPr/>
      </w:r>
      <w:r>
        <w:rPr>
          <w:color w:val="365F91"/>
          <w:sz w:val="28"/>
        </w:rPr>
        <w:t>FY2025</w:t>
      </w:r>
      <w:r>
        <w:rPr>
          <w:color w:val="365F91"/>
          <w:spacing w:val="-11"/>
          <w:sz w:val="28"/>
        </w:rPr>
        <w:t> </w:t>
      </w:r>
      <w:r>
        <w:rPr>
          <w:color w:val="365F91"/>
          <w:sz w:val="28"/>
        </w:rPr>
        <w:t>Recommendations</w:t>
      </w:r>
      <w:r>
        <w:rPr>
          <w:color w:val="365F91"/>
          <w:spacing w:val="-10"/>
          <w:sz w:val="28"/>
        </w:rPr>
        <w:t> </w:t>
      </w:r>
      <w:r>
        <w:rPr>
          <w:color w:val="365F91"/>
          <w:sz w:val="28"/>
        </w:rPr>
        <w:t>to</w:t>
      </w:r>
      <w:r>
        <w:rPr>
          <w:color w:val="365F91"/>
          <w:spacing w:val="-11"/>
          <w:sz w:val="28"/>
        </w:rPr>
        <w:t> </w:t>
      </w:r>
      <w:r>
        <w:rPr>
          <w:color w:val="365F91"/>
          <w:sz w:val="28"/>
        </w:rPr>
        <w:t>the</w:t>
      </w:r>
      <w:r>
        <w:rPr>
          <w:color w:val="365F91"/>
          <w:spacing w:val="-10"/>
          <w:sz w:val="28"/>
        </w:rPr>
        <w:t> </w:t>
      </w:r>
      <w:r>
        <w:rPr>
          <w:color w:val="365F91"/>
          <w:sz w:val="28"/>
        </w:rPr>
        <w:t>Governor</w:t>
      </w:r>
      <w:r>
        <w:rPr>
          <w:color w:val="365F91"/>
          <w:spacing w:val="-12"/>
          <w:sz w:val="28"/>
        </w:rPr>
        <w:t> </w:t>
      </w:r>
      <w:r>
        <w:rPr>
          <w:color w:val="365F91"/>
          <w:sz w:val="28"/>
        </w:rPr>
        <w:t>and</w:t>
      </w:r>
      <w:r>
        <w:rPr>
          <w:color w:val="365F91"/>
          <w:spacing w:val="-11"/>
          <w:sz w:val="28"/>
        </w:rPr>
        <w:t> </w:t>
      </w:r>
      <w:r>
        <w:rPr>
          <w:color w:val="365F91"/>
          <w:sz w:val="28"/>
        </w:rPr>
        <w:t>Legislature</w:t>
      </w:r>
      <w:r>
        <w:rPr>
          <w:color w:val="365F91"/>
          <w:spacing w:val="-11"/>
          <w:sz w:val="28"/>
        </w:rPr>
        <w:t> </w:t>
      </w:r>
      <w:r>
        <w:rPr>
          <w:color w:val="365F91"/>
          <w:sz w:val="28"/>
        </w:rPr>
        <w:t>on</w:t>
      </w:r>
      <w:r>
        <w:rPr>
          <w:color w:val="365F91"/>
          <w:spacing w:val="-10"/>
          <w:sz w:val="28"/>
        </w:rPr>
        <w:t> </w:t>
      </w:r>
      <w:r>
        <w:rPr>
          <w:color w:val="365F91"/>
          <w:sz w:val="28"/>
        </w:rPr>
        <w:t>Public</w:t>
      </w:r>
      <w:r>
        <w:rPr>
          <w:color w:val="365F91"/>
          <w:spacing w:val="-11"/>
          <w:sz w:val="28"/>
        </w:rPr>
        <w:t> </w:t>
      </w:r>
      <w:r>
        <w:rPr>
          <w:color w:val="365F91"/>
          <w:spacing w:val="-2"/>
          <w:sz w:val="28"/>
        </w:rPr>
        <w:t>Health</w:t>
      </w:r>
    </w:p>
    <w:p>
      <w:pPr>
        <w:pStyle w:val="BodyText"/>
        <w:spacing w:before="9"/>
        <w:rPr>
          <w:sz w:val="3"/>
        </w:rPr>
      </w:pPr>
      <w:r>
        <w:rPr/>
        <mc:AlternateContent>
          <mc:Choice Requires="wps">
            <w:drawing>
              <wp:anchor distT="0" distB="0" distL="0" distR="0" allowOverlap="1" layoutInCell="1" locked="0" behindDoc="1" simplePos="0" relativeHeight="487609856">
                <wp:simplePos x="0" y="0"/>
                <wp:positionH relativeFrom="page">
                  <wp:posOffset>806195</wp:posOffset>
                </wp:positionH>
                <wp:positionV relativeFrom="paragraph">
                  <wp:posOffset>44451</wp:posOffset>
                </wp:positionV>
                <wp:extent cx="6115050" cy="6350"/>
                <wp:effectExtent l="0" t="0" r="0" b="0"/>
                <wp:wrapTopAndBottom/>
                <wp:docPr id="178" name="Graphic 178"/>
                <wp:cNvGraphicFramePr>
                  <a:graphicFrameLocks/>
                </wp:cNvGraphicFramePr>
                <a:graphic>
                  <a:graphicData uri="http://schemas.microsoft.com/office/word/2010/wordprocessingShape">
                    <wps:wsp>
                      <wps:cNvPr id="178" name="Graphic 178"/>
                      <wps:cNvSpPr/>
                      <wps:spPr>
                        <a:xfrm>
                          <a:off x="0" y="0"/>
                          <a:ext cx="6115050" cy="6350"/>
                        </a:xfrm>
                        <a:custGeom>
                          <a:avLst/>
                          <a:gdLst/>
                          <a:ahLst/>
                          <a:cxnLst/>
                          <a:rect l="l" t="t" r="r" b="b"/>
                          <a:pathLst>
                            <a:path w="6115050" h="6350">
                              <a:moveTo>
                                <a:pt x="6115050" y="0"/>
                              </a:moveTo>
                              <a:lnTo>
                                <a:pt x="0" y="0"/>
                              </a:lnTo>
                              <a:lnTo>
                                <a:pt x="0" y="6096"/>
                              </a:lnTo>
                              <a:lnTo>
                                <a:pt x="6115050" y="6096"/>
                              </a:lnTo>
                              <a:lnTo>
                                <a:pt x="6115050" y="0"/>
                              </a:lnTo>
                              <a:close/>
                            </a:path>
                          </a:pathLst>
                        </a:custGeom>
                        <a:solidFill>
                          <a:srgbClr val="4F81BC"/>
                        </a:solidFill>
                      </wps:spPr>
                      <wps:bodyPr wrap="square" lIns="0" tIns="0" rIns="0" bIns="0" rtlCol="0">
                        <a:prstTxWarp prst="textNoShape">
                          <a:avLst/>
                        </a:prstTxWarp>
                        <a:noAutofit/>
                      </wps:bodyPr>
                    </wps:wsp>
                  </a:graphicData>
                </a:graphic>
              </wp:anchor>
            </w:drawing>
          </mc:Choice>
          <mc:Fallback>
            <w:pict>
              <v:rect style="position:absolute;margin-left:63.48pt;margin-top:3.500156pt;width:481.5pt;height:.48pt;mso-position-horizontal-relative:page;mso-position-vertical-relative:paragraph;z-index:-15706624;mso-wrap-distance-left:0;mso-wrap-distance-right:0" id="docshape153" filled="true" fillcolor="#4f81bc" stroked="false">
                <v:fill type="solid"/>
                <w10:wrap type="topAndBottom"/>
              </v:rect>
            </w:pict>
          </mc:Fallback>
        </mc:AlternateContent>
      </w:r>
    </w:p>
    <w:p>
      <w:pPr>
        <w:numPr>
          <w:ilvl w:val="0"/>
          <w:numId w:val="19"/>
        </w:numPr>
        <w:tabs>
          <w:tab w:pos="461" w:val="left" w:leader="none"/>
          <w:tab w:pos="463" w:val="left" w:leader="none"/>
        </w:tabs>
        <w:spacing w:line="276" w:lineRule="auto" w:before="241"/>
        <w:ind w:left="463" w:right="283" w:hanging="360"/>
        <w:jc w:val="left"/>
        <w:rPr>
          <w:b/>
          <w:sz w:val="22"/>
        </w:rPr>
      </w:pPr>
      <w:bookmarkStart w:name="1. Create and expand community-based pub" w:id="193"/>
      <w:bookmarkEnd w:id="193"/>
      <w:r>
        <w:rPr>
          <w:b/>
          <w:sz w:val="22"/>
        </w:rPr>
        <w:t>C</w:t>
      </w:r>
      <w:r>
        <w:rPr>
          <w:b/>
          <w:sz w:val="22"/>
        </w:rPr>
        <w:t>reate and expand community-based public health programming that is accessible and engaging to youth with the most barriers to access, with specific attention to youth in rural communities.</w:t>
      </w:r>
    </w:p>
    <w:p>
      <w:pPr>
        <w:pStyle w:val="BodyText"/>
        <w:spacing w:line="276" w:lineRule="auto" w:before="241"/>
        <w:ind w:left="463" w:right="281"/>
        <w:jc w:val="both"/>
      </w:pPr>
      <w:r>
        <w:rPr/>
        <w:t>The Commission recommends that Massachusetts continue to explore and develop accessible programming for youth to eliminate public health disparities, with particular attention to youth in rural areas, Deaf and hard of hearing youth, multilingual youth, and QTBIPOC youth. As detailed below, Massachusetts employs a wide array of programming services to support public health, including harm reduction,</w:t>
      </w:r>
      <w:r>
        <w:rPr>
          <w:spacing w:val="-12"/>
        </w:rPr>
        <w:t> </w:t>
      </w:r>
      <w:r>
        <w:rPr/>
        <w:t>prevention,</w:t>
      </w:r>
      <w:r>
        <w:rPr>
          <w:spacing w:val="-12"/>
        </w:rPr>
        <w:t> </w:t>
      </w:r>
      <w:r>
        <w:rPr/>
        <w:t>and</w:t>
      </w:r>
      <w:r>
        <w:rPr>
          <w:spacing w:val="-11"/>
        </w:rPr>
        <w:t> </w:t>
      </w:r>
      <w:r>
        <w:rPr/>
        <w:t>recovery</w:t>
      </w:r>
      <w:r>
        <w:rPr>
          <w:spacing w:val="-12"/>
        </w:rPr>
        <w:t> </w:t>
      </w:r>
      <w:r>
        <w:rPr/>
        <w:t>services,</w:t>
      </w:r>
      <w:r>
        <w:rPr>
          <w:spacing w:val="-12"/>
        </w:rPr>
        <w:t> </w:t>
      </w:r>
      <w:r>
        <w:rPr/>
        <w:t>as</w:t>
      </w:r>
      <w:r>
        <w:rPr>
          <w:spacing w:val="-12"/>
        </w:rPr>
        <w:t> </w:t>
      </w:r>
      <w:r>
        <w:rPr/>
        <w:t>well</w:t>
      </w:r>
      <w:r>
        <w:rPr>
          <w:spacing w:val="-12"/>
        </w:rPr>
        <w:t> </w:t>
      </w:r>
      <w:r>
        <w:rPr/>
        <w:t>as</w:t>
      </w:r>
      <w:r>
        <w:rPr>
          <w:spacing w:val="-12"/>
        </w:rPr>
        <w:t> </w:t>
      </w:r>
      <w:r>
        <w:rPr/>
        <w:t>support</w:t>
      </w:r>
      <w:r>
        <w:rPr>
          <w:spacing w:val="-13"/>
        </w:rPr>
        <w:t> </w:t>
      </w:r>
      <w:r>
        <w:rPr/>
        <w:t>for</w:t>
      </w:r>
      <w:r>
        <w:rPr>
          <w:spacing w:val="-11"/>
        </w:rPr>
        <w:t> </w:t>
      </w:r>
      <w:r>
        <w:rPr/>
        <w:t>survivors</w:t>
      </w:r>
      <w:r>
        <w:rPr>
          <w:spacing w:val="-13"/>
        </w:rPr>
        <w:t> </w:t>
      </w:r>
      <w:r>
        <w:rPr/>
        <w:t>of</w:t>
      </w:r>
      <w:r>
        <w:rPr>
          <w:spacing w:val="-12"/>
        </w:rPr>
        <w:t> </w:t>
      </w:r>
      <w:r>
        <w:rPr/>
        <w:t>intimate</w:t>
      </w:r>
      <w:r>
        <w:rPr>
          <w:spacing w:val="-12"/>
        </w:rPr>
        <w:t> </w:t>
      </w:r>
      <w:r>
        <w:rPr/>
        <w:t>partner</w:t>
      </w:r>
      <w:r>
        <w:rPr>
          <w:spacing w:val="-12"/>
        </w:rPr>
        <w:t> </w:t>
      </w:r>
      <w:r>
        <w:rPr/>
        <w:t>violence and sexual exploitation. The need for trauma-informed and culturally aware is essential, particularly for QTBIPOC</w:t>
      </w:r>
      <w:r>
        <w:rPr>
          <w:spacing w:val="-13"/>
        </w:rPr>
        <w:t> </w:t>
      </w:r>
      <w:r>
        <w:rPr/>
        <w:t>youth</w:t>
      </w:r>
      <w:r>
        <w:rPr>
          <w:spacing w:val="-12"/>
        </w:rPr>
        <w:t> </w:t>
      </w:r>
      <w:r>
        <w:rPr/>
        <w:t>who</w:t>
      </w:r>
      <w:r>
        <w:rPr>
          <w:spacing w:val="-13"/>
        </w:rPr>
        <w:t> </w:t>
      </w:r>
      <w:r>
        <w:rPr/>
        <w:t>often</w:t>
      </w:r>
      <w:r>
        <w:rPr>
          <w:spacing w:val="-12"/>
        </w:rPr>
        <w:t> </w:t>
      </w:r>
      <w:r>
        <w:rPr/>
        <w:t>lack</w:t>
      </w:r>
      <w:r>
        <w:rPr>
          <w:spacing w:val="-13"/>
        </w:rPr>
        <w:t> </w:t>
      </w:r>
      <w:r>
        <w:rPr/>
        <w:t>sufficient</w:t>
      </w:r>
      <w:r>
        <w:rPr>
          <w:spacing w:val="-12"/>
        </w:rPr>
        <w:t> </w:t>
      </w:r>
      <w:r>
        <w:rPr/>
        <w:t>access</w:t>
      </w:r>
      <w:r>
        <w:rPr>
          <w:spacing w:val="-13"/>
        </w:rPr>
        <w:t> </w:t>
      </w:r>
      <w:r>
        <w:rPr/>
        <w:t>to</w:t>
      </w:r>
      <w:r>
        <w:rPr>
          <w:spacing w:val="-12"/>
        </w:rPr>
        <w:t> </w:t>
      </w:r>
      <w:r>
        <w:rPr/>
        <w:t>programs</w:t>
      </w:r>
      <w:r>
        <w:rPr>
          <w:spacing w:val="-12"/>
        </w:rPr>
        <w:t> </w:t>
      </w:r>
      <w:r>
        <w:rPr/>
        <w:t>that</w:t>
      </w:r>
      <w:r>
        <w:rPr>
          <w:spacing w:val="-13"/>
        </w:rPr>
        <w:t> </w:t>
      </w:r>
      <w:r>
        <w:rPr/>
        <w:t>are</w:t>
      </w:r>
      <w:r>
        <w:rPr>
          <w:spacing w:val="-12"/>
        </w:rPr>
        <w:t> </w:t>
      </w:r>
      <w:r>
        <w:rPr/>
        <w:t>both</w:t>
      </w:r>
      <w:r>
        <w:rPr>
          <w:spacing w:val="-13"/>
        </w:rPr>
        <w:t> </w:t>
      </w:r>
      <w:r>
        <w:rPr/>
        <w:t>LGBTQ-</w:t>
      </w:r>
      <w:r>
        <w:rPr>
          <w:spacing w:val="-12"/>
        </w:rPr>
        <w:t> </w:t>
      </w:r>
      <w:r>
        <w:rPr/>
        <w:t>affirming,</w:t>
      </w:r>
      <w:r>
        <w:rPr>
          <w:spacing w:val="-13"/>
        </w:rPr>
        <w:t> </w:t>
      </w:r>
      <w:r>
        <w:rPr/>
        <w:t>multilingual, and anti-racist. Additionally, by creating more peer-led education programs, it is more likely that youth will become engaged and build skills needed to address public health disparities in their own </w:t>
      </w:r>
      <w:r>
        <w:rPr>
          <w:spacing w:val="-2"/>
        </w:rPr>
        <w:t>communities.</w:t>
      </w:r>
    </w:p>
    <w:p>
      <w:pPr>
        <w:spacing w:line="276" w:lineRule="auto" w:before="240"/>
        <w:ind w:left="463" w:right="282" w:firstLine="0"/>
        <w:jc w:val="both"/>
        <w:rPr>
          <w:sz w:val="22"/>
        </w:rPr>
      </w:pPr>
      <w:r>
        <w:rPr>
          <w:sz w:val="22"/>
        </w:rPr>
        <w:t>Furthermore,</w:t>
      </w:r>
      <w:r>
        <w:rPr>
          <w:spacing w:val="-3"/>
          <w:sz w:val="22"/>
        </w:rPr>
        <w:t> </w:t>
      </w:r>
      <w:r>
        <w:rPr>
          <w:sz w:val="22"/>
        </w:rPr>
        <w:t>the</w:t>
      </w:r>
      <w:r>
        <w:rPr>
          <w:spacing w:val="-2"/>
          <w:sz w:val="22"/>
        </w:rPr>
        <w:t> </w:t>
      </w:r>
      <w:r>
        <w:rPr>
          <w:sz w:val="22"/>
        </w:rPr>
        <w:t>Commission</w:t>
      </w:r>
      <w:r>
        <w:rPr>
          <w:spacing w:val="-3"/>
          <w:sz w:val="22"/>
        </w:rPr>
        <w:t> </w:t>
      </w:r>
      <w:r>
        <w:rPr>
          <w:sz w:val="22"/>
        </w:rPr>
        <w:t>recommends</w:t>
      </w:r>
      <w:r>
        <w:rPr>
          <w:spacing w:val="-1"/>
          <w:sz w:val="22"/>
        </w:rPr>
        <w:t> </w:t>
      </w:r>
      <w:r>
        <w:rPr>
          <w:sz w:val="22"/>
        </w:rPr>
        <w:t>that</w:t>
      </w:r>
      <w:r>
        <w:rPr>
          <w:spacing w:val="-2"/>
          <w:sz w:val="22"/>
        </w:rPr>
        <w:t> </w:t>
      </w:r>
      <w:r>
        <w:rPr>
          <w:sz w:val="22"/>
        </w:rPr>
        <w:t>Massachusetts</w:t>
      </w:r>
      <w:r>
        <w:rPr>
          <w:spacing w:val="-1"/>
          <w:sz w:val="22"/>
        </w:rPr>
        <w:t> </w:t>
      </w:r>
      <w:r>
        <w:rPr>
          <w:sz w:val="22"/>
        </w:rPr>
        <w:t>improve</w:t>
      </w:r>
      <w:r>
        <w:rPr>
          <w:spacing w:val="-3"/>
          <w:sz w:val="22"/>
        </w:rPr>
        <w:t> </w:t>
      </w:r>
      <w:r>
        <w:rPr>
          <w:sz w:val="22"/>
        </w:rPr>
        <w:t>the</w:t>
      </w:r>
      <w:r>
        <w:rPr>
          <w:spacing w:val="-3"/>
          <w:sz w:val="22"/>
        </w:rPr>
        <w:t> </w:t>
      </w:r>
      <w:r>
        <w:rPr>
          <w:sz w:val="22"/>
        </w:rPr>
        <w:t>accessibility</w:t>
      </w:r>
      <w:r>
        <w:rPr>
          <w:spacing w:val="-3"/>
          <w:sz w:val="22"/>
        </w:rPr>
        <w:t> </w:t>
      </w:r>
      <w:r>
        <w:rPr>
          <w:sz w:val="22"/>
        </w:rPr>
        <w:t>of</w:t>
      </w:r>
      <w:r>
        <w:rPr>
          <w:spacing w:val="-2"/>
          <w:sz w:val="22"/>
        </w:rPr>
        <w:t> </w:t>
      </w:r>
      <w:r>
        <w:rPr>
          <w:sz w:val="22"/>
        </w:rPr>
        <w:t>holistic</w:t>
      </w:r>
      <w:r>
        <w:rPr>
          <w:spacing w:val="-3"/>
          <w:sz w:val="22"/>
        </w:rPr>
        <w:t> </w:t>
      </w:r>
      <w:r>
        <w:rPr>
          <w:sz w:val="22"/>
        </w:rPr>
        <w:t>and community-based substance use reduction, prevention, and recovery programs. The Commission supports </w:t>
      </w:r>
      <w:r>
        <w:rPr>
          <w:i/>
          <w:sz w:val="22"/>
        </w:rPr>
        <w:t>An Act Relative to Preventing Overdose Deaths and Increasing Access to Treatment</w:t>
      </w:r>
      <w:r>
        <w:rPr>
          <w:i/>
          <w:sz w:val="22"/>
        </w:rPr>
        <w:t> </w:t>
      </w:r>
      <w:r>
        <w:rPr>
          <w:sz w:val="22"/>
        </w:rPr>
        <w:t>(</w:t>
      </w:r>
      <w:hyperlink r:id="rId127">
        <w:r>
          <w:rPr>
            <w:color w:val="1153CC"/>
            <w:sz w:val="22"/>
            <w:u w:val="single" w:color="1153CC"/>
          </w:rPr>
          <w:t>S.1242</w:t>
        </w:r>
      </w:hyperlink>
      <w:r>
        <w:rPr>
          <w:sz w:val="22"/>
          <w:u w:val="none"/>
        </w:rPr>
        <w:t>/</w:t>
      </w:r>
      <w:hyperlink r:id="rId128">
        <w:r>
          <w:rPr>
            <w:color w:val="1153CC"/>
            <w:sz w:val="22"/>
            <w:u w:val="single" w:color="1153CC"/>
          </w:rPr>
          <w:t>H.1981</w:t>
        </w:r>
      </w:hyperlink>
      <w:r>
        <w:rPr>
          <w:sz w:val="22"/>
          <w:u w:val="none"/>
        </w:rPr>
        <w:t>), which would allow for the creation of a 10-year pilot program establishing overdose</w:t>
      </w:r>
    </w:p>
    <w:p>
      <w:pPr>
        <w:spacing w:after="0" w:line="276" w:lineRule="auto"/>
        <w:jc w:val="both"/>
        <w:rPr>
          <w:sz w:val="22"/>
        </w:rPr>
        <w:sectPr>
          <w:headerReference w:type="default" r:id="rId125"/>
          <w:footerReference w:type="default" r:id="rId126"/>
          <w:pgSz w:w="11910" w:h="16840"/>
          <w:pgMar w:header="804" w:footer="1230" w:top="1080" w:bottom="1420" w:left="980" w:right="900"/>
          <w:pgNumType w:start="47"/>
        </w:sectPr>
      </w:pPr>
    </w:p>
    <w:p>
      <w:pPr>
        <w:pStyle w:val="BodyText"/>
        <w:spacing w:line="276" w:lineRule="auto" w:before="69"/>
        <w:ind w:left="463" w:right="282" w:hanging="1"/>
        <w:jc w:val="both"/>
      </w:pPr>
      <w:r>
        <w:rPr/>
        <w:t>prevention centers - also known as supervised consumption sites or harm reduction sites - to increase access to health and education services. In Massachusetts, Somerville is exploring and has released a proposal to open the state’s first overdose prevention site.</w:t>
      </w:r>
    </w:p>
    <w:p>
      <w:pPr>
        <w:numPr>
          <w:ilvl w:val="0"/>
          <w:numId w:val="19"/>
        </w:numPr>
        <w:tabs>
          <w:tab w:pos="461" w:val="left" w:leader="none"/>
        </w:tabs>
        <w:spacing w:before="240"/>
        <w:ind w:left="461" w:right="0" w:hanging="358"/>
        <w:jc w:val="left"/>
        <w:rPr>
          <w:b/>
          <w:sz w:val="22"/>
        </w:rPr>
      </w:pPr>
      <w:bookmarkStart w:name="2. Increase funding to organizations tha" w:id="194"/>
      <w:bookmarkEnd w:id="194"/>
      <w:r>
        <w:rPr>
          <w:b/>
          <w:sz w:val="22"/>
        </w:rPr>
        <w:t>I</w:t>
      </w:r>
      <w:r>
        <w:rPr>
          <w:b/>
          <w:sz w:val="22"/>
        </w:rPr>
        <w:t>ncrease</w:t>
      </w:r>
      <w:r>
        <w:rPr>
          <w:b/>
          <w:spacing w:val="-9"/>
          <w:sz w:val="22"/>
        </w:rPr>
        <w:t> </w:t>
      </w:r>
      <w:r>
        <w:rPr>
          <w:b/>
          <w:sz w:val="22"/>
        </w:rPr>
        <w:t>funding</w:t>
      </w:r>
      <w:r>
        <w:rPr>
          <w:b/>
          <w:spacing w:val="-9"/>
          <w:sz w:val="22"/>
        </w:rPr>
        <w:t> </w:t>
      </w:r>
      <w:r>
        <w:rPr>
          <w:b/>
          <w:sz w:val="22"/>
        </w:rPr>
        <w:t>to</w:t>
      </w:r>
      <w:r>
        <w:rPr>
          <w:b/>
          <w:spacing w:val="-9"/>
          <w:sz w:val="22"/>
        </w:rPr>
        <w:t> </w:t>
      </w:r>
      <w:r>
        <w:rPr>
          <w:b/>
          <w:sz w:val="22"/>
        </w:rPr>
        <w:t>organizations</w:t>
      </w:r>
      <w:r>
        <w:rPr>
          <w:b/>
          <w:spacing w:val="-9"/>
          <w:sz w:val="22"/>
        </w:rPr>
        <w:t> </w:t>
      </w:r>
      <w:r>
        <w:rPr>
          <w:b/>
          <w:sz w:val="22"/>
        </w:rPr>
        <w:t>that</w:t>
      </w:r>
      <w:r>
        <w:rPr>
          <w:b/>
          <w:spacing w:val="-9"/>
          <w:sz w:val="22"/>
        </w:rPr>
        <w:t> </w:t>
      </w:r>
      <w:r>
        <w:rPr>
          <w:b/>
          <w:sz w:val="22"/>
        </w:rPr>
        <w:t>support</w:t>
      </w:r>
      <w:r>
        <w:rPr>
          <w:b/>
          <w:spacing w:val="-9"/>
          <w:sz w:val="22"/>
        </w:rPr>
        <w:t> </w:t>
      </w:r>
      <w:r>
        <w:rPr>
          <w:b/>
          <w:sz w:val="22"/>
        </w:rPr>
        <w:t>LGBTQ</w:t>
      </w:r>
      <w:r>
        <w:rPr>
          <w:b/>
          <w:spacing w:val="-9"/>
          <w:sz w:val="22"/>
        </w:rPr>
        <w:t> </w:t>
      </w:r>
      <w:r>
        <w:rPr>
          <w:b/>
          <w:sz w:val="22"/>
        </w:rPr>
        <w:t>survivors</w:t>
      </w:r>
      <w:r>
        <w:rPr>
          <w:b/>
          <w:spacing w:val="-9"/>
          <w:sz w:val="22"/>
        </w:rPr>
        <w:t> </w:t>
      </w:r>
      <w:r>
        <w:rPr>
          <w:b/>
          <w:sz w:val="22"/>
        </w:rPr>
        <w:t>of</w:t>
      </w:r>
      <w:r>
        <w:rPr>
          <w:b/>
          <w:spacing w:val="-9"/>
          <w:sz w:val="22"/>
        </w:rPr>
        <w:t> </w:t>
      </w:r>
      <w:r>
        <w:rPr>
          <w:b/>
          <w:sz w:val="22"/>
        </w:rPr>
        <w:t>intimate</w:t>
      </w:r>
      <w:r>
        <w:rPr>
          <w:b/>
          <w:spacing w:val="-9"/>
          <w:sz w:val="22"/>
        </w:rPr>
        <w:t> </w:t>
      </w:r>
      <w:r>
        <w:rPr>
          <w:b/>
          <w:sz w:val="22"/>
        </w:rPr>
        <w:t>partner</w:t>
      </w:r>
      <w:r>
        <w:rPr>
          <w:b/>
          <w:spacing w:val="-9"/>
          <w:sz w:val="22"/>
        </w:rPr>
        <w:t> </w:t>
      </w:r>
      <w:r>
        <w:rPr>
          <w:b/>
          <w:spacing w:val="-2"/>
          <w:sz w:val="22"/>
        </w:rPr>
        <w:t>violence.</w:t>
      </w:r>
    </w:p>
    <w:p>
      <w:pPr>
        <w:pStyle w:val="BodyText"/>
        <w:spacing w:before="11"/>
        <w:rPr>
          <w:b/>
        </w:rPr>
      </w:pPr>
    </w:p>
    <w:p>
      <w:pPr>
        <w:pStyle w:val="BodyText"/>
        <w:spacing w:line="276" w:lineRule="auto"/>
        <w:ind w:left="463" w:right="282"/>
        <w:jc w:val="both"/>
      </w:pPr>
      <w:r>
        <w:rPr/>
        <w:t>The Commission recommends that Massachusetts continue to increase funding to organizations that support LGBTQ youth who are survivors of intimate partner violence and ensure that laws and services currently</w:t>
      </w:r>
      <w:r>
        <w:rPr>
          <w:spacing w:val="-10"/>
        </w:rPr>
        <w:t> </w:t>
      </w:r>
      <w:r>
        <w:rPr/>
        <w:t>in</w:t>
      </w:r>
      <w:r>
        <w:rPr>
          <w:spacing w:val="-9"/>
        </w:rPr>
        <w:t> </w:t>
      </w:r>
      <w:r>
        <w:rPr/>
        <w:t>place</w:t>
      </w:r>
      <w:r>
        <w:rPr>
          <w:spacing w:val="-10"/>
        </w:rPr>
        <w:t> </w:t>
      </w:r>
      <w:r>
        <w:rPr/>
        <w:t>are</w:t>
      </w:r>
      <w:r>
        <w:rPr>
          <w:spacing w:val="-9"/>
        </w:rPr>
        <w:t> </w:t>
      </w:r>
      <w:r>
        <w:rPr/>
        <w:t>working</w:t>
      </w:r>
      <w:r>
        <w:rPr>
          <w:spacing w:val="-10"/>
        </w:rPr>
        <w:t> </w:t>
      </w:r>
      <w:r>
        <w:rPr/>
        <w:t>as</w:t>
      </w:r>
      <w:r>
        <w:rPr>
          <w:spacing w:val="-10"/>
        </w:rPr>
        <w:t> </w:t>
      </w:r>
      <w:r>
        <w:rPr/>
        <w:t>intended</w:t>
      </w:r>
      <w:r>
        <w:rPr>
          <w:spacing w:val="-9"/>
        </w:rPr>
        <w:t> </w:t>
      </w:r>
      <w:r>
        <w:rPr/>
        <w:t>to</w:t>
      </w:r>
      <w:r>
        <w:rPr>
          <w:spacing w:val="-10"/>
        </w:rPr>
        <w:t> </w:t>
      </w:r>
      <w:r>
        <w:rPr/>
        <w:t>protect</w:t>
      </w:r>
      <w:r>
        <w:rPr>
          <w:spacing w:val="-8"/>
        </w:rPr>
        <w:t> </w:t>
      </w:r>
      <w:r>
        <w:rPr/>
        <w:t>and</w:t>
      </w:r>
      <w:r>
        <w:rPr>
          <w:spacing w:val="-11"/>
        </w:rPr>
        <w:t> </w:t>
      </w:r>
      <w:r>
        <w:rPr/>
        <w:t>support</w:t>
      </w:r>
      <w:r>
        <w:rPr>
          <w:spacing w:val="-11"/>
        </w:rPr>
        <w:t> </w:t>
      </w:r>
      <w:r>
        <w:rPr/>
        <w:t>survivors,</w:t>
      </w:r>
      <w:r>
        <w:rPr>
          <w:spacing w:val="-10"/>
        </w:rPr>
        <w:t> </w:t>
      </w:r>
      <w:r>
        <w:rPr/>
        <w:t>rather</w:t>
      </w:r>
      <w:r>
        <w:rPr>
          <w:spacing w:val="-10"/>
        </w:rPr>
        <w:t> </w:t>
      </w:r>
      <w:r>
        <w:rPr/>
        <w:t>than</w:t>
      </w:r>
      <w:r>
        <w:rPr>
          <w:spacing w:val="-9"/>
        </w:rPr>
        <w:t> </w:t>
      </w:r>
      <w:r>
        <w:rPr/>
        <w:t>placing</w:t>
      </w:r>
      <w:r>
        <w:rPr>
          <w:spacing w:val="-10"/>
        </w:rPr>
        <w:t> </w:t>
      </w:r>
      <w:r>
        <w:rPr/>
        <w:t>an</w:t>
      </w:r>
      <w:r>
        <w:rPr>
          <w:spacing w:val="-9"/>
        </w:rPr>
        <w:t> </w:t>
      </w:r>
      <w:r>
        <w:rPr/>
        <w:t>undue burden on them. As further explained below, LGBTQ survivors of intimate partner violence most desire support from services that are respectful, safe, and affirming.</w:t>
      </w:r>
    </w:p>
    <w:p>
      <w:pPr>
        <w:pStyle w:val="ListParagraph"/>
        <w:numPr>
          <w:ilvl w:val="0"/>
          <w:numId w:val="19"/>
        </w:numPr>
        <w:tabs>
          <w:tab w:pos="461" w:val="left" w:leader="none"/>
          <w:tab w:pos="463" w:val="left" w:leader="none"/>
        </w:tabs>
        <w:spacing w:line="271" w:lineRule="auto" w:before="241" w:after="0"/>
        <w:ind w:left="463" w:right="283" w:hanging="361"/>
        <w:jc w:val="left"/>
        <w:rPr>
          <w:sz w:val="22"/>
        </w:rPr>
      </w:pPr>
      <w:r>
        <w:rPr>
          <w:b/>
          <w:sz w:val="21"/>
        </w:rPr>
        <w:t>Ensure</w:t>
      </w:r>
      <w:r>
        <w:rPr>
          <w:b/>
          <w:spacing w:val="-9"/>
          <w:sz w:val="21"/>
        </w:rPr>
        <w:t> </w:t>
      </w:r>
      <w:r>
        <w:rPr>
          <w:b/>
          <w:sz w:val="21"/>
        </w:rPr>
        <w:t>that</w:t>
      </w:r>
      <w:r>
        <w:rPr>
          <w:b/>
          <w:spacing w:val="-8"/>
          <w:sz w:val="21"/>
        </w:rPr>
        <w:t> </w:t>
      </w:r>
      <w:r>
        <w:rPr>
          <w:b/>
          <w:sz w:val="21"/>
        </w:rPr>
        <w:t>public</w:t>
      </w:r>
      <w:r>
        <w:rPr>
          <w:b/>
          <w:spacing w:val="-9"/>
          <w:sz w:val="21"/>
        </w:rPr>
        <w:t> </w:t>
      </w:r>
      <w:r>
        <w:rPr>
          <w:b/>
          <w:sz w:val="21"/>
        </w:rPr>
        <w:t>schools,</w:t>
      </w:r>
      <w:r>
        <w:rPr>
          <w:b/>
          <w:spacing w:val="-9"/>
          <w:sz w:val="21"/>
        </w:rPr>
        <w:t> </w:t>
      </w:r>
      <w:r>
        <w:rPr>
          <w:b/>
          <w:sz w:val="21"/>
        </w:rPr>
        <w:t>colleges,</w:t>
      </w:r>
      <w:r>
        <w:rPr>
          <w:b/>
          <w:spacing w:val="-9"/>
          <w:sz w:val="21"/>
        </w:rPr>
        <w:t> </w:t>
      </w:r>
      <w:r>
        <w:rPr>
          <w:b/>
          <w:sz w:val="21"/>
        </w:rPr>
        <w:t>and</w:t>
      </w:r>
      <w:r>
        <w:rPr>
          <w:b/>
          <w:spacing w:val="-9"/>
          <w:sz w:val="21"/>
        </w:rPr>
        <w:t> </w:t>
      </w:r>
      <w:r>
        <w:rPr>
          <w:b/>
          <w:sz w:val="21"/>
        </w:rPr>
        <w:t>universities</w:t>
      </w:r>
      <w:r>
        <w:rPr>
          <w:b/>
          <w:spacing w:val="-8"/>
          <w:sz w:val="21"/>
        </w:rPr>
        <w:t> </w:t>
      </w:r>
      <w:r>
        <w:rPr>
          <w:b/>
          <w:sz w:val="21"/>
        </w:rPr>
        <w:t>have</w:t>
      </w:r>
      <w:r>
        <w:rPr>
          <w:b/>
          <w:spacing w:val="-9"/>
          <w:sz w:val="21"/>
        </w:rPr>
        <w:t> </w:t>
      </w:r>
      <w:r>
        <w:rPr>
          <w:b/>
          <w:sz w:val="21"/>
        </w:rPr>
        <w:t>comprehensive</w:t>
      </w:r>
      <w:r>
        <w:rPr>
          <w:b/>
          <w:spacing w:val="-9"/>
          <w:sz w:val="21"/>
        </w:rPr>
        <w:t> </w:t>
      </w:r>
      <w:r>
        <w:rPr>
          <w:b/>
          <w:sz w:val="21"/>
        </w:rPr>
        <w:t>anti-bullying,</w:t>
      </w:r>
      <w:r>
        <w:rPr>
          <w:b/>
          <w:spacing w:val="-9"/>
          <w:sz w:val="21"/>
        </w:rPr>
        <w:t> </w:t>
      </w:r>
      <w:r>
        <w:rPr>
          <w:b/>
          <w:sz w:val="21"/>
        </w:rPr>
        <w:t>anti-</w:t>
      </w:r>
      <w:r>
        <w:rPr>
          <w:b/>
          <w:spacing w:val="-8"/>
          <w:sz w:val="21"/>
        </w:rPr>
        <w:t> </w:t>
      </w:r>
      <w:r>
        <w:rPr>
          <w:b/>
          <w:sz w:val="21"/>
        </w:rPr>
        <w:t>cyberbullying, and anti-harassment policies.</w:t>
      </w:r>
    </w:p>
    <w:p>
      <w:pPr>
        <w:pStyle w:val="BodyText"/>
        <w:spacing w:line="276" w:lineRule="auto" w:before="245"/>
        <w:ind w:left="463" w:right="278"/>
        <w:jc w:val="both"/>
      </w:pPr>
      <w:r>
        <w:rPr/>
        <w:t>Despite the adverse physical, emotional, mental, social, and educational outcomes that can occur from youth</w:t>
      </w:r>
      <w:r>
        <w:rPr>
          <w:spacing w:val="-3"/>
        </w:rPr>
        <w:t> </w:t>
      </w:r>
      <w:r>
        <w:rPr/>
        <w:t>who</w:t>
      </w:r>
      <w:r>
        <w:rPr>
          <w:spacing w:val="-2"/>
        </w:rPr>
        <w:t> </w:t>
      </w:r>
      <w:r>
        <w:rPr/>
        <w:t>are</w:t>
      </w:r>
      <w:r>
        <w:rPr>
          <w:spacing w:val="-4"/>
        </w:rPr>
        <w:t> </w:t>
      </w:r>
      <w:r>
        <w:rPr/>
        <w:t>victims</w:t>
      </w:r>
      <w:r>
        <w:rPr>
          <w:spacing w:val="-2"/>
        </w:rPr>
        <w:t> </w:t>
      </w:r>
      <w:r>
        <w:rPr/>
        <w:t>of</w:t>
      </w:r>
      <w:r>
        <w:rPr>
          <w:spacing w:val="-3"/>
        </w:rPr>
        <w:t> </w:t>
      </w:r>
      <w:r>
        <w:rPr/>
        <w:t>bullying,</w:t>
      </w:r>
      <w:r>
        <w:rPr>
          <w:spacing w:val="-3"/>
        </w:rPr>
        <w:t> </w:t>
      </w:r>
      <w:r>
        <w:rPr/>
        <w:t>confusion</w:t>
      </w:r>
      <w:r>
        <w:rPr>
          <w:spacing w:val="-4"/>
        </w:rPr>
        <w:t> </w:t>
      </w:r>
      <w:r>
        <w:rPr/>
        <w:t>remains</w:t>
      </w:r>
      <w:r>
        <w:rPr>
          <w:spacing w:val="-1"/>
        </w:rPr>
        <w:t> </w:t>
      </w:r>
      <w:r>
        <w:rPr/>
        <w:t>on</w:t>
      </w:r>
      <w:r>
        <w:rPr>
          <w:spacing w:val="-4"/>
        </w:rPr>
        <w:t> </w:t>
      </w:r>
      <w:r>
        <w:rPr/>
        <w:t>the</w:t>
      </w:r>
      <w:r>
        <w:rPr>
          <w:spacing w:val="-3"/>
        </w:rPr>
        <w:t> </w:t>
      </w:r>
      <w:r>
        <w:rPr/>
        <w:t>recourse</w:t>
      </w:r>
      <w:r>
        <w:rPr>
          <w:spacing w:val="-4"/>
        </w:rPr>
        <w:t> </w:t>
      </w:r>
      <w:r>
        <w:rPr/>
        <w:t>that</w:t>
      </w:r>
      <w:r>
        <w:rPr>
          <w:spacing w:val="-3"/>
        </w:rPr>
        <w:t> </w:t>
      </w:r>
      <w:r>
        <w:rPr/>
        <w:t>many</w:t>
      </w:r>
      <w:r>
        <w:rPr>
          <w:spacing w:val="-2"/>
        </w:rPr>
        <w:t> </w:t>
      </w:r>
      <w:r>
        <w:rPr/>
        <w:t>students</w:t>
      </w:r>
      <w:r>
        <w:rPr>
          <w:spacing w:val="-4"/>
        </w:rPr>
        <w:t> </w:t>
      </w:r>
      <w:r>
        <w:rPr/>
        <w:t>and</w:t>
      </w:r>
      <w:r>
        <w:rPr>
          <w:spacing w:val="-2"/>
        </w:rPr>
        <w:t> </w:t>
      </w:r>
      <w:r>
        <w:rPr/>
        <w:t>educators have to address incidents of bullying. The Commission recommends that public schools, college, and universities examine their anti-bullying and anti-harassment policies to ensure that: 1) there is a clear and</w:t>
      </w:r>
      <w:r>
        <w:rPr>
          <w:spacing w:val="-7"/>
        </w:rPr>
        <w:t> </w:t>
      </w:r>
      <w:r>
        <w:rPr/>
        <w:t>detailed</w:t>
      </w:r>
      <w:r>
        <w:rPr>
          <w:spacing w:val="-7"/>
        </w:rPr>
        <w:t> </w:t>
      </w:r>
      <w:r>
        <w:rPr/>
        <w:t>plan</w:t>
      </w:r>
      <w:r>
        <w:rPr>
          <w:spacing w:val="-7"/>
        </w:rPr>
        <w:t> </w:t>
      </w:r>
      <w:r>
        <w:rPr/>
        <w:t>that</w:t>
      </w:r>
      <w:r>
        <w:rPr>
          <w:spacing w:val="-7"/>
        </w:rPr>
        <w:t> </w:t>
      </w:r>
      <w:r>
        <w:rPr/>
        <w:t>supports</w:t>
      </w:r>
      <w:r>
        <w:rPr>
          <w:spacing w:val="-7"/>
        </w:rPr>
        <w:t> </w:t>
      </w:r>
      <w:r>
        <w:rPr/>
        <w:t>victims</w:t>
      </w:r>
      <w:r>
        <w:rPr>
          <w:spacing w:val="-5"/>
        </w:rPr>
        <w:t> </w:t>
      </w:r>
      <w:r>
        <w:rPr/>
        <w:t>of</w:t>
      </w:r>
      <w:r>
        <w:rPr>
          <w:spacing w:val="-8"/>
        </w:rPr>
        <w:t> </w:t>
      </w:r>
      <w:r>
        <w:rPr/>
        <w:t>bullying,</w:t>
      </w:r>
      <w:r>
        <w:rPr>
          <w:spacing w:val="-7"/>
        </w:rPr>
        <w:t> </w:t>
      </w:r>
      <w:r>
        <w:rPr/>
        <w:t>and</w:t>
      </w:r>
      <w:r>
        <w:rPr>
          <w:spacing w:val="-8"/>
        </w:rPr>
        <w:t> </w:t>
      </w:r>
      <w:r>
        <w:rPr/>
        <w:t>offers</w:t>
      </w:r>
      <w:r>
        <w:rPr>
          <w:spacing w:val="-6"/>
        </w:rPr>
        <w:t> </w:t>
      </w:r>
      <w:r>
        <w:rPr/>
        <w:t>training</w:t>
      </w:r>
      <w:r>
        <w:rPr>
          <w:spacing w:val="-7"/>
        </w:rPr>
        <w:t> </w:t>
      </w:r>
      <w:r>
        <w:rPr/>
        <w:t>and</w:t>
      </w:r>
      <w:r>
        <w:rPr>
          <w:spacing w:val="-7"/>
        </w:rPr>
        <w:t> </w:t>
      </w:r>
      <w:r>
        <w:rPr/>
        <w:t>appropriate</w:t>
      </w:r>
      <w:r>
        <w:rPr>
          <w:spacing w:val="-7"/>
        </w:rPr>
        <w:t> </w:t>
      </w:r>
      <w:r>
        <w:rPr/>
        <w:t>consequences</w:t>
      </w:r>
      <w:r>
        <w:rPr>
          <w:spacing w:val="-7"/>
        </w:rPr>
        <w:t> </w:t>
      </w:r>
      <w:r>
        <w:rPr/>
        <w:t>for perpetrators of bullying; 2) there is a clear definition of the role of school staff and educators on addressing</w:t>
      </w:r>
      <w:r>
        <w:rPr>
          <w:spacing w:val="-11"/>
        </w:rPr>
        <w:t> </w:t>
      </w:r>
      <w:r>
        <w:rPr/>
        <w:t>bullying,</w:t>
      </w:r>
      <w:r>
        <w:rPr>
          <w:spacing w:val="-12"/>
        </w:rPr>
        <w:t> </w:t>
      </w:r>
      <w:r>
        <w:rPr/>
        <w:t>and</w:t>
      </w:r>
      <w:r>
        <w:rPr>
          <w:spacing w:val="-13"/>
        </w:rPr>
        <w:t> </w:t>
      </w:r>
      <w:r>
        <w:rPr/>
        <w:t>recurring</w:t>
      </w:r>
      <w:r>
        <w:rPr>
          <w:spacing w:val="-12"/>
        </w:rPr>
        <w:t> </w:t>
      </w:r>
      <w:r>
        <w:rPr/>
        <w:t>scenario-based</w:t>
      </w:r>
      <w:r>
        <w:rPr>
          <w:spacing w:val="-12"/>
        </w:rPr>
        <w:t> </w:t>
      </w:r>
      <w:r>
        <w:rPr/>
        <w:t>professional</w:t>
      </w:r>
      <w:r>
        <w:rPr>
          <w:spacing w:val="-12"/>
        </w:rPr>
        <w:t> </w:t>
      </w:r>
      <w:r>
        <w:rPr/>
        <w:t>development</w:t>
      </w:r>
      <w:r>
        <w:rPr>
          <w:spacing w:val="-12"/>
        </w:rPr>
        <w:t> </w:t>
      </w:r>
      <w:r>
        <w:rPr/>
        <w:t>trainings</w:t>
      </w:r>
      <w:r>
        <w:rPr>
          <w:spacing w:val="-12"/>
        </w:rPr>
        <w:t> </w:t>
      </w:r>
      <w:r>
        <w:rPr/>
        <w:t>are</w:t>
      </w:r>
      <w:r>
        <w:rPr>
          <w:spacing w:val="-11"/>
        </w:rPr>
        <w:t> </w:t>
      </w:r>
      <w:r>
        <w:rPr/>
        <w:t>available</w:t>
      </w:r>
      <w:r>
        <w:rPr>
          <w:spacing w:val="-12"/>
        </w:rPr>
        <w:t> </w:t>
      </w:r>
      <w:r>
        <w:rPr/>
        <w:t>on</w:t>
      </w:r>
      <w:r>
        <w:rPr>
          <w:spacing w:val="-13"/>
        </w:rPr>
        <w:t> </w:t>
      </w:r>
      <w:r>
        <w:rPr/>
        <w:t>an annual basis; 3) there is a clear and impartial review process to examine disciplinary incidents occurring from</w:t>
      </w:r>
      <w:r>
        <w:rPr>
          <w:spacing w:val="-13"/>
        </w:rPr>
        <w:t> </w:t>
      </w:r>
      <w:r>
        <w:rPr/>
        <w:t>bullying;</w:t>
      </w:r>
      <w:r>
        <w:rPr>
          <w:spacing w:val="-11"/>
        </w:rPr>
        <w:t> </w:t>
      </w:r>
      <w:r>
        <w:rPr/>
        <w:t>4)</w:t>
      </w:r>
      <w:r>
        <w:rPr>
          <w:spacing w:val="-12"/>
        </w:rPr>
        <w:t> </w:t>
      </w:r>
      <w:r>
        <w:rPr/>
        <w:t>bullying</w:t>
      </w:r>
      <w:r>
        <w:rPr>
          <w:spacing w:val="-13"/>
        </w:rPr>
        <w:t> </w:t>
      </w:r>
      <w:r>
        <w:rPr/>
        <w:t>policies</w:t>
      </w:r>
      <w:r>
        <w:rPr>
          <w:spacing w:val="-11"/>
        </w:rPr>
        <w:t> </w:t>
      </w:r>
      <w:r>
        <w:rPr/>
        <w:t>include</w:t>
      </w:r>
      <w:r>
        <w:rPr>
          <w:spacing w:val="-12"/>
        </w:rPr>
        <w:t> </w:t>
      </w:r>
      <w:r>
        <w:rPr/>
        <w:t>anti-cyberbullying</w:t>
      </w:r>
      <w:r>
        <w:rPr>
          <w:spacing w:val="-13"/>
        </w:rPr>
        <w:t> </w:t>
      </w:r>
      <w:r>
        <w:rPr/>
        <w:t>provisions</w:t>
      </w:r>
      <w:r>
        <w:rPr>
          <w:spacing w:val="-11"/>
        </w:rPr>
        <w:t> </w:t>
      </w:r>
      <w:r>
        <w:rPr/>
        <w:t>with</w:t>
      </w:r>
      <w:r>
        <w:rPr>
          <w:spacing w:val="-12"/>
        </w:rPr>
        <w:t> </w:t>
      </w:r>
      <w:r>
        <w:rPr/>
        <w:t>lessons</w:t>
      </w:r>
      <w:r>
        <w:rPr>
          <w:spacing w:val="-12"/>
        </w:rPr>
        <w:t> </w:t>
      </w:r>
      <w:r>
        <w:rPr/>
        <w:t>available</w:t>
      </w:r>
      <w:r>
        <w:rPr>
          <w:spacing w:val="-12"/>
        </w:rPr>
        <w:t> </w:t>
      </w:r>
      <w:r>
        <w:rPr/>
        <w:t>for</w:t>
      </w:r>
      <w:r>
        <w:rPr>
          <w:spacing w:val="-12"/>
        </w:rPr>
        <w:t> </w:t>
      </w:r>
      <w:r>
        <w:rPr/>
        <w:t>students and educators on appropriate technology usage.</w:t>
      </w:r>
    </w:p>
    <w:p>
      <w:pPr>
        <w:pStyle w:val="ListParagraph"/>
        <w:numPr>
          <w:ilvl w:val="0"/>
          <w:numId w:val="19"/>
        </w:numPr>
        <w:tabs>
          <w:tab w:pos="463" w:val="left" w:leader="none"/>
        </w:tabs>
        <w:spacing w:line="276" w:lineRule="auto" w:before="241" w:after="0"/>
        <w:ind w:left="463" w:right="283" w:hanging="360"/>
        <w:jc w:val="left"/>
        <w:rPr>
          <w:b/>
          <w:sz w:val="21"/>
        </w:rPr>
      </w:pPr>
      <w:r>
        <w:rPr>
          <w:b/>
          <w:sz w:val="21"/>
        </w:rPr>
        <w:t>Decriminalize sex work and increase resources to programs working with youth at risk of commercial sex </w:t>
      </w:r>
      <w:r>
        <w:rPr>
          <w:b/>
          <w:spacing w:val="-2"/>
          <w:sz w:val="21"/>
        </w:rPr>
        <w:t>trafficking.</w:t>
      </w:r>
    </w:p>
    <w:p>
      <w:pPr>
        <w:pStyle w:val="BodyText"/>
        <w:spacing w:line="276" w:lineRule="auto" w:before="239"/>
        <w:ind w:left="463" w:right="280"/>
        <w:jc w:val="both"/>
      </w:pPr>
      <w:r>
        <w:rPr/>
        <w:t>As highlighted in several sections of this annual report, the Commission continues to recommend the decriminalization of sex work for youth over the age of 18 to better address public health disparities, increase housing access, and reduce criminal legal system involvement for LGBTQ youth. By decriminalizing</w:t>
      </w:r>
      <w:r>
        <w:rPr>
          <w:spacing w:val="-4"/>
        </w:rPr>
        <w:t> </w:t>
      </w:r>
      <w:r>
        <w:rPr/>
        <w:t>sex</w:t>
      </w:r>
      <w:r>
        <w:rPr>
          <w:spacing w:val="-4"/>
        </w:rPr>
        <w:t> </w:t>
      </w:r>
      <w:r>
        <w:rPr/>
        <w:t>work,</w:t>
      </w:r>
      <w:r>
        <w:rPr>
          <w:spacing w:val="-2"/>
        </w:rPr>
        <w:t> </w:t>
      </w:r>
      <w:r>
        <w:rPr/>
        <w:t>resources</w:t>
      </w:r>
      <w:r>
        <w:rPr>
          <w:spacing w:val="-4"/>
        </w:rPr>
        <w:t> </w:t>
      </w:r>
      <w:r>
        <w:rPr/>
        <w:t>are</w:t>
      </w:r>
      <w:r>
        <w:rPr>
          <w:spacing w:val="-4"/>
        </w:rPr>
        <w:t> </w:t>
      </w:r>
      <w:r>
        <w:rPr/>
        <w:t>better</w:t>
      </w:r>
      <w:r>
        <w:rPr>
          <w:spacing w:val="-4"/>
        </w:rPr>
        <w:t> </w:t>
      </w:r>
      <w:r>
        <w:rPr/>
        <w:t>diverted</w:t>
      </w:r>
      <w:r>
        <w:rPr>
          <w:spacing w:val="-4"/>
        </w:rPr>
        <w:t> </w:t>
      </w:r>
      <w:r>
        <w:rPr/>
        <w:t>to</w:t>
      </w:r>
      <w:r>
        <w:rPr>
          <w:spacing w:val="-3"/>
        </w:rPr>
        <w:t> </w:t>
      </w:r>
      <w:r>
        <w:rPr/>
        <w:t>effectively</w:t>
      </w:r>
      <w:r>
        <w:rPr>
          <w:spacing w:val="-4"/>
        </w:rPr>
        <w:t> </w:t>
      </w:r>
      <w:r>
        <w:rPr/>
        <w:t>address</w:t>
      </w:r>
      <w:r>
        <w:rPr>
          <w:spacing w:val="-4"/>
        </w:rPr>
        <w:t> </w:t>
      </w:r>
      <w:r>
        <w:rPr/>
        <w:t>supporting</w:t>
      </w:r>
      <w:r>
        <w:rPr>
          <w:spacing w:val="-4"/>
        </w:rPr>
        <w:t> </w:t>
      </w:r>
      <w:r>
        <w:rPr/>
        <w:t>youth</w:t>
      </w:r>
      <w:r>
        <w:rPr>
          <w:spacing w:val="-4"/>
        </w:rPr>
        <w:t> </w:t>
      </w:r>
      <w:r>
        <w:rPr/>
        <w:t>at</w:t>
      </w:r>
      <w:r>
        <w:rPr>
          <w:spacing w:val="-4"/>
        </w:rPr>
        <w:t> </w:t>
      </w:r>
      <w:r>
        <w:rPr/>
        <w:t>risk</w:t>
      </w:r>
      <w:r>
        <w:rPr>
          <w:spacing w:val="-4"/>
        </w:rPr>
        <w:t> </w:t>
      </w:r>
      <w:r>
        <w:rPr/>
        <w:t>of commercial</w:t>
      </w:r>
      <w:r>
        <w:rPr>
          <w:spacing w:val="-3"/>
        </w:rPr>
        <w:t> </w:t>
      </w:r>
      <w:r>
        <w:rPr/>
        <w:t>sexual</w:t>
      </w:r>
      <w:r>
        <w:rPr>
          <w:spacing w:val="-3"/>
        </w:rPr>
        <w:t> </w:t>
      </w:r>
      <w:r>
        <w:rPr/>
        <w:t>exploitation</w:t>
      </w:r>
      <w:r>
        <w:rPr>
          <w:spacing w:val="-3"/>
        </w:rPr>
        <w:t> </w:t>
      </w:r>
      <w:r>
        <w:rPr/>
        <w:t>and</w:t>
      </w:r>
      <w:r>
        <w:rPr>
          <w:spacing w:val="-3"/>
        </w:rPr>
        <w:t> </w:t>
      </w:r>
      <w:r>
        <w:rPr/>
        <w:t>trafficking.</w:t>
      </w:r>
      <w:r>
        <w:rPr>
          <w:spacing w:val="-3"/>
        </w:rPr>
        <w:t> </w:t>
      </w:r>
      <w:r>
        <w:rPr/>
        <w:t>As</w:t>
      </w:r>
      <w:r>
        <w:rPr>
          <w:spacing w:val="-3"/>
        </w:rPr>
        <w:t> </w:t>
      </w:r>
      <w:r>
        <w:rPr/>
        <w:t>noted</w:t>
      </w:r>
      <w:r>
        <w:rPr>
          <w:spacing w:val="-3"/>
        </w:rPr>
        <w:t> </w:t>
      </w:r>
      <w:r>
        <w:rPr/>
        <w:t>below,</w:t>
      </w:r>
      <w:r>
        <w:rPr>
          <w:spacing w:val="-3"/>
        </w:rPr>
        <w:t> </w:t>
      </w:r>
      <w:r>
        <w:rPr/>
        <w:t>the</w:t>
      </w:r>
      <w:r>
        <w:rPr>
          <w:spacing w:val="-3"/>
        </w:rPr>
        <w:t> </w:t>
      </w:r>
      <w:r>
        <w:rPr/>
        <w:t>incorrect</w:t>
      </w:r>
      <w:r>
        <w:rPr>
          <w:spacing w:val="-2"/>
        </w:rPr>
        <w:t> </w:t>
      </w:r>
      <w:r>
        <w:rPr/>
        <w:t>conflation</w:t>
      </w:r>
      <w:r>
        <w:rPr>
          <w:spacing w:val="-3"/>
        </w:rPr>
        <w:t> </w:t>
      </w:r>
      <w:r>
        <w:rPr/>
        <w:t>of</w:t>
      </w:r>
      <w:r>
        <w:rPr>
          <w:spacing w:val="-3"/>
        </w:rPr>
        <w:t> </w:t>
      </w:r>
      <w:r>
        <w:rPr/>
        <w:t>sex</w:t>
      </w:r>
      <w:r>
        <w:rPr>
          <w:spacing w:val="-3"/>
        </w:rPr>
        <w:t> </w:t>
      </w:r>
      <w:r>
        <w:rPr/>
        <w:t>work</w:t>
      </w:r>
      <w:r>
        <w:rPr>
          <w:spacing w:val="-3"/>
        </w:rPr>
        <w:t> </w:t>
      </w:r>
      <w:r>
        <w:rPr/>
        <w:t>and sex</w:t>
      </w:r>
      <w:r>
        <w:rPr>
          <w:spacing w:val="-12"/>
        </w:rPr>
        <w:t> </w:t>
      </w:r>
      <w:r>
        <w:rPr/>
        <w:t>trafficking</w:t>
      </w:r>
      <w:r>
        <w:rPr>
          <w:spacing w:val="-12"/>
        </w:rPr>
        <w:t> </w:t>
      </w:r>
      <w:r>
        <w:rPr/>
        <w:t>sets</w:t>
      </w:r>
      <w:r>
        <w:rPr>
          <w:spacing w:val="-10"/>
        </w:rPr>
        <w:t> </w:t>
      </w:r>
      <w:r>
        <w:rPr/>
        <w:t>up</w:t>
      </w:r>
      <w:r>
        <w:rPr>
          <w:spacing w:val="-10"/>
        </w:rPr>
        <w:t> </w:t>
      </w:r>
      <w:r>
        <w:rPr/>
        <w:t>ineffective</w:t>
      </w:r>
      <w:r>
        <w:rPr>
          <w:spacing w:val="-10"/>
        </w:rPr>
        <w:t> </w:t>
      </w:r>
      <w:r>
        <w:rPr/>
        <w:t>and</w:t>
      </w:r>
      <w:r>
        <w:rPr>
          <w:spacing w:val="-10"/>
        </w:rPr>
        <w:t> </w:t>
      </w:r>
      <w:r>
        <w:rPr/>
        <w:t>inefficient</w:t>
      </w:r>
      <w:r>
        <w:rPr>
          <w:spacing w:val="-11"/>
        </w:rPr>
        <w:t> </w:t>
      </w:r>
      <w:r>
        <w:rPr/>
        <w:t>programs</w:t>
      </w:r>
      <w:r>
        <w:rPr>
          <w:spacing w:val="-11"/>
        </w:rPr>
        <w:t> </w:t>
      </w:r>
      <w:r>
        <w:rPr/>
        <w:t>to</w:t>
      </w:r>
      <w:r>
        <w:rPr>
          <w:spacing w:val="-11"/>
        </w:rPr>
        <w:t> </w:t>
      </w:r>
      <w:r>
        <w:rPr/>
        <w:t>often</w:t>
      </w:r>
      <w:r>
        <w:rPr>
          <w:spacing w:val="-10"/>
        </w:rPr>
        <w:t> </w:t>
      </w:r>
      <w:r>
        <w:rPr/>
        <w:t>treat</w:t>
      </w:r>
      <w:r>
        <w:rPr>
          <w:spacing w:val="-11"/>
        </w:rPr>
        <w:t> </w:t>
      </w:r>
      <w:r>
        <w:rPr/>
        <w:t>incidents</w:t>
      </w:r>
      <w:r>
        <w:rPr>
          <w:spacing w:val="-11"/>
        </w:rPr>
        <w:t> </w:t>
      </w:r>
      <w:r>
        <w:rPr/>
        <w:t>of</w:t>
      </w:r>
      <w:r>
        <w:rPr>
          <w:spacing w:val="-10"/>
        </w:rPr>
        <w:t> </w:t>
      </w:r>
      <w:r>
        <w:rPr/>
        <w:t>consensual</w:t>
      </w:r>
      <w:r>
        <w:rPr>
          <w:spacing w:val="-11"/>
        </w:rPr>
        <w:t> </w:t>
      </w:r>
      <w:r>
        <w:rPr/>
        <w:t>sex</w:t>
      </w:r>
      <w:r>
        <w:rPr>
          <w:spacing w:val="-10"/>
        </w:rPr>
        <w:t> </w:t>
      </w:r>
      <w:r>
        <w:rPr/>
        <w:t>work as trafficking, while also sometimes simultaneously punishing sexually exploited victims as criminalized sex workers.</w:t>
      </w:r>
    </w:p>
    <w:p>
      <w:pPr>
        <w:pStyle w:val="BodyText"/>
        <w:spacing w:line="276" w:lineRule="auto" w:before="240"/>
        <w:ind w:left="463" w:right="282"/>
        <w:jc w:val="both"/>
      </w:pPr>
      <w:r>
        <w:rPr/>
        <w:t>Additionally, the Commission advises that the state invest more resources to programs specifically working with youth at risk of commercial sexual exploitation, with particular attention to LGBTQ youth and cisgender boys who are often left out of conversations around sexual exploitation and trafficking. Furthermore, the Commission recommends that the state broaden its understanding of how to reduce incidents of youth exchanging sex to meet their financial or material needs. For example, programs providing</w:t>
      </w:r>
      <w:r>
        <w:rPr>
          <w:spacing w:val="-4"/>
        </w:rPr>
        <w:t> </w:t>
      </w:r>
      <w:r>
        <w:rPr/>
        <w:t>gender-affirming</w:t>
      </w:r>
      <w:r>
        <w:rPr>
          <w:spacing w:val="-3"/>
        </w:rPr>
        <w:t> </w:t>
      </w:r>
      <w:r>
        <w:rPr/>
        <w:t>care</w:t>
      </w:r>
      <w:r>
        <w:rPr>
          <w:spacing w:val="-4"/>
        </w:rPr>
        <w:t> </w:t>
      </w:r>
      <w:r>
        <w:rPr/>
        <w:t>products</w:t>
      </w:r>
      <w:r>
        <w:rPr>
          <w:spacing w:val="-4"/>
        </w:rPr>
        <w:t> </w:t>
      </w:r>
      <w:r>
        <w:rPr/>
        <w:t>have</w:t>
      </w:r>
      <w:r>
        <w:rPr>
          <w:spacing w:val="-4"/>
        </w:rPr>
        <w:t> </w:t>
      </w:r>
      <w:r>
        <w:rPr/>
        <w:t>the</w:t>
      </w:r>
      <w:r>
        <w:rPr>
          <w:spacing w:val="-4"/>
        </w:rPr>
        <w:t> </w:t>
      </w:r>
      <w:r>
        <w:rPr/>
        <w:t>potential</w:t>
      </w:r>
      <w:r>
        <w:rPr>
          <w:spacing w:val="-3"/>
        </w:rPr>
        <w:t> </w:t>
      </w:r>
      <w:r>
        <w:rPr/>
        <w:t>to</w:t>
      </w:r>
      <w:r>
        <w:rPr>
          <w:spacing w:val="-3"/>
        </w:rPr>
        <w:t> </w:t>
      </w:r>
      <w:r>
        <w:rPr/>
        <w:t>reduce</w:t>
      </w:r>
      <w:r>
        <w:rPr>
          <w:spacing w:val="-4"/>
        </w:rPr>
        <w:t> </w:t>
      </w:r>
      <w:r>
        <w:rPr/>
        <w:t>risk</w:t>
      </w:r>
      <w:r>
        <w:rPr>
          <w:spacing w:val="-4"/>
        </w:rPr>
        <w:t> </w:t>
      </w:r>
      <w:r>
        <w:rPr/>
        <w:t>of</w:t>
      </w:r>
      <w:r>
        <w:rPr>
          <w:spacing w:val="-4"/>
        </w:rPr>
        <w:t> </w:t>
      </w:r>
      <w:r>
        <w:rPr/>
        <w:t>engaging</w:t>
      </w:r>
      <w:r>
        <w:rPr>
          <w:spacing w:val="-4"/>
        </w:rPr>
        <w:t> </w:t>
      </w:r>
      <w:r>
        <w:rPr/>
        <w:t>in</w:t>
      </w:r>
      <w:r>
        <w:rPr>
          <w:spacing w:val="-4"/>
        </w:rPr>
        <w:t> </w:t>
      </w:r>
      <w:r>
        <w:rPr/>
        <w:t>sex</w:t>
      </w:r>
      <w:r>
        <w:rPr>
          <w:spacing w:val="-3"/>
        </w:rPr>
        <w:t> </w:t>
      </w:r>
      <w:r>
        <w:rPr/>
        <w:t>work</w:t>
      </w:r>
      <w:r>
        <w:rPr>
          <w:spacing w:val="-4"/>
        </w:rPr>
        <w:t> </w:t>
      </w:r>
      <w:r>
        <w:rPr/>
        <w:t>-</w:t>
      </w:r>
      <w:r>
        <w:rPr>
          <w:spacing w:val="-3"/>
        </w:rPr>
        <w:t> </w:t>
      </w:r>
      <w:r>
        <w:rPr/>
        <w:t>and thus also decreasing</w:t>
      </w:r>
      <w:r>
        <w:rPr>
          <w:spacing w:val="-1"/>
        </w:rPr>
        <w:t> </w:t>
      </w:r>
      <w:r>
        <w:rPr/>
        <w:t>risks of commercial</w:t>
      </w:r>
      <w:r>
        <w:rPr>
          <w:spacing w:val="-1"/>
        </w:rPr>
        <w:t> </w:t>
      </w:r>
      <w:r>
        <w:rPr/>
        <w:t>sexual</w:t>
      </w:r>
      <w:r>
        <w:rPr>
          <w:spacing w:val="-1"/>
        </w:rPr>
        <w:t> </w:t>
      </w:r>
      <w:r>
        <w:rPr/>
        <w:t>exploitation</w:t>
      </w:r>
      <w:r>
        <w:rPr>
          <w:spacing w:val="-1"/>
        </w:rPr>
        <w:t> </w:t>
      </w:r>
      <w:r>
        <w:rPr/>
        <w:t>- by supporting trans and</w:t>
      </w:r>
      <w:r>
        <w:rPr>
          <w:spacing w:val="-1"/>
        </w:rPr>
        <w:t> </w:t>
      </w:r>
      <w:r>
        <w:rPr/>
        <w:t>gender expansive youth who may engage in sex work for funds to purchase items such as wigs, binders, packers, and makeup.</w:t>
      </w:r>
      <w:r>
        <w:rPr>
          <w:spacing w:val="25"/>
        </w:rPr>
        <w:t> </w:t>
      </w:r>
      <w:r>
        <w:rPr/>
        <w:t>Programs</w:t>
      </w:r>
      <w:r>
        <w:rPr>
          <w:spacing w:val="25"/>
        </w:rPr>
        <w:t> </w:t>
      </w:r>
      <w:r>
        <w:rPr/>
        <w:t>that</w:t>
      </w:r>
      <w:r>
        <w:rPr>
          <w:spacing w:val="25"/>
        </w:rPr>
        <w:t> </w:t>
      </w:r>
      <w:r>
        <w:rPr/>
        <w:t>already</w:t>
      </w:r>
      <w:r>
        <w:rPr>
          <w:spacing w:val="25"/>
        </w:rPr>
        <w:t> </w:t>
      </w:r>
      <w:r>
        <w:rPr/>
        <w:t>receive</w:t>
      </w:r>
      <w:r>
        <w:rPr>
          <w:spacing w:val="25"/>
        </w:rPr>
        <w:t> </w:t>
      </w:r>
      <w:r>
        <w:rPr/>
        <w:t>funding</w:t>
      </w:r>
      <w:r>
        <w:rPr>
          <w:spacing w:val="26"/>
        </w:rPr>
        <w:t> </w:t>
      </w:r>
      <w:r>
        <w:rPr/>
        <w:t>to</w:t>
      </w:r>
      <w:r>
        <w:rPr>
          <w:spacing w:val="27"/>
        </w:rPr>
        <w:t> </w:t>
      </w:r>
      <w:r>
        <w:rPr/>
        <w:t>address</w:t>
      </w:r>
      <w:r>
        <w:rPr>
          <w:spacing w:val="26"/>
        </w:rPr>
        <w:t> </w:t>
      </w:r>
      <w:r>
        <w:rPr/>
        <w:t>human</w:t>
      </w:r>
      <w:r>
        <w:rPr>
          <w:spacing w:val="25"/>
        </w:rPr>
        <w:t> </w:t>
      </w:r>
      <w:r>
        <w:rPr/>
        <w:t>sexual</w:t>
      </w:r>
      <w:r>
        <w:rPr>
          <w:spacing w:val="26"/>
        </w:rPr>
        <w:t> </w:t>
      </w:r>
      <w:r>
        <w:rPr/>
        <w:t>exploitation,</w:t>
      </w:r>
      <w:r>
        <w:rPr>
          <w:spacing w:val="25"/>
        </w:rPr>
        <w:t> </w:t>
      </w:r>
      <w:r>
        <w:rPr/>
        <w:t>or</w:t>
      </w:r>
      <w:r>
        <w:rPr>
          <w:spacing w:val="26"/>
        </w:rPr>
        <w:t> </w:t>
      </w:r>
      <w:r>
        <w:rPr/>
        <w:t>funding</w:t>
      </w:r>
      <w:r>
        <w:rPr>
          <w:spacing w:val="26"/>
        </w:rPr>
        <w:t> </w:t>
      </w:r>
      <w:r>
        <w:rPr/>
        <w:t>to</w:t>
      </w:r>
    </w:p>
    <w:p>
      <w:pPr>
        <w:spacing w:after="0" w:line="276" w:lineRule="auto"/>
        <w:jc w:val="both"/>
        <w:sectPr>
          <w:pgSz w:w="11910" w:h="16840"/>
          <w:pgMar w:header="804" w:footer="1230" w:top="1080" w:bottom="1480" w:left="980" w:right="900"/>
        </w:sectPr>
      </w:pPr>
    </w:p>
    <w:p>
      <w:pPr>
        <w:pStyle w:val="BodyText"/>
        <w:spacing w:line="276" w:lineRule="auto" w:before="69"/>
        <w:ind w:left="463" w:right="283"/>
        <w:jc w:val="both"/>
      </w:pPr>
      <w:r>
        <w:rPr/>
        <w:t>support</w:t>
      </w:r>
      <w:r>
        <w:rPr>
          <w:spacing w:val="-4"/>
        </w:rPr>
        <w:t> </w:t>
      </w:r>
      <w:r>
        <w:rPr/>
        <w:t>youth</w:t>
      </w:r>
      <w:r>
        <w:rPr>
          <w:spacing w:val="-4"/>
        </w:rPr>
        <w:t> </w:t>
      </w:r>
      <w:r>
        <w:rPr/>
        <w:t>at</w:t>
      </w:r>
      <w:r>
        <w:rPr>
          <w:spacing w:val="-4"/>
        </w:rPr>
        <w:t> </w:t>
      </w:r>
      <w:r>
        <w:rPr/>
        <w:t>risk,</w:t>
      </w:r>
      <w:r>
        <w:rPr>
          <w:spacing w:val="-4"/>
        </w:rPr>
        <w:t> </w:t>
      </w:r>
      <w:r>
        <w:rPr/>
        <w:t>should</w:t>
      </w:r>
      <w:r>
        <w:rPr>
          <w:spacing w:val="-4"/>
        </w:rPr>
        <w:t> </w:t>
      </w:r>
      <w:r>
        <w:rPr/>
        <w:t>explore</w:t>
      </w:r>
      <w:r>
        <w:rPr>
          <w:spacing w:val="-4"/>
        </w:rPr>
        <w:t> </w:t>
      </w:r>
      <w:r>
        <w:rPr/>
        <w:t>plans</w:t>
      </w:r>
      <w:r>
        <w:rPr>
          <w:spacing w:val="-4"/>
        </w:rPr>
        <w:t> </w:t>
      </w:r>
      <w:r>
        <w:rPr/>
        <w:t>to</w:t>
      </w:r>
      <w:r>
        <w:rPr>
          <w:spacing w:val="-3"/>
        </w:rPr>
        <w:t> </w:t>
      </w:r>
      <w:r>
        <w:rPr/>
        <w:t>increase</w:t>
      </w:r>
      <w:r>
        <w:rPr>
          <w:spacing w:val="-4"/>
        </w:rPr>
        <w:t> </w:t>
      </w:r>
      <w:r>
        <w:rPr/>
        <w:t>funding</w:t>
      </w:r>
      <w:r>
        <w:rPr>
          <w:spacing w:val="-3"/>
        </w:rPr>
        <w:t> </w:t>
      </w:r>
      <w:r>
        <w:rPr/>
        <w:t>to</w:t>
      </w:r>
      <w:r>
        <w:rPr>
          <w:spacing w:val="-2"/>
        </w:rPr>
        <w:t> </w:t>
      </w:r>
      <w:r>
        <w:rPr/>
        <w:t>services</w:t>
      </w:r>
      <w:r>
        <w:rPr>
          <w:spacing w:val="-4"/>
        </w:rPr>
        <w:t> </w:t>
      </w:r>
      <w:r>
        <w:rPr/>
        <w:t>that</w:t>
      </w:r>
      <w:r>
        <w:rPr>
          <w:spacing w:val="-3"/>
        </w:rPr>
        <w:t> </w:t>
      </w:r>
      <w:r>
        <w:rPr/>
        <w:t>provide</w:t>
      </w:r>
      <w:r>
        <w:rPr>
          <w:spacing w:val="-4"/>
        </w:rPr>
        <w:t> </w:t>
      </w:r>
      <w:r>
        <w:rPr/>
        <w:t>gender-affirming products to LGBTQ youth.</w:t>
      </w:r>
    </w:p>
    <w:p>
      <w:pPr>
        <w:numPr>
          <w:ilvl w:val="0"/>
          <w:numId w:val="19"/>
        </w:numPr>
        <w:tabs>
          <w:tab w:pos="461" w:val="left" w:leader="none"/>
          <w:tab w:pos="463" w:val="left" w:leader="none"/>
        </w:tabs>
        <w:spacing w:line="276" w:lineRule="auto" w:before="239"/>
        <w:ind w:left="463" w:right="284" w:hanging="360"/>
        <w:jc w:val="left"/>
        <w:rPr>
          <w:b/>
          <w:sz w:val="22"/>
        </w:rPr>
      </w:pPr>
      <w:bookmarkStart w:name="5. Decriminalize consensual teen sex/sex" w:id="195"/>
      <w:bookmarkEnd w:id="195"/>
      <w:r>
        <w:rPr>
          <w:b/>
          <w:sz w:val="22"/>
        </w:rPr>
        <w:t>D</w:t>
      </w:r>
      <w:r>
        <w:rPr>
          <w:b/>
          <w:sz w:val="22"/>
        </w:rPr>
        <w:t>ecriminalize</w:t>
      </w:r>
      <w:r>
        <w:rPr>
          <w:b/>
          <w:spacing w:val="33"/>
          <w:sz w:val="22"/>
        </w:rPr>
        <w:t> </w:t>
      </w:r>
      <w:r>
        <w:rPr>
          <w:b/>
          <w:sz w:val="22"/>
        </w:rPr>
        <w:t>consensual</w:t>
      </w:r>
      <w:r>
        <w:rPr>
          <w:b/>
          <w:spacing w:val="35"/>
          <w:sz w:val="22"/>
        </w:rPr>
        <w:t> </w:t>
      </w:r>
      <w:r>
        <w:rPr>
          <w:b/>
          <w:sz w:val="22"/>
        </w:rPr>
        <w:t>teen</w:t>
      </w:r>
      <w:r>
        <w:rPr>
          <w:b/>
          <w:spacing w:val="34"/>
          <w:sz w:val="22"/>
        </w:rPr>
        <w:t> </w:t>
      </w:r>
      <w:r>
        <w:rPr>
          <w:b/>
          <w:sz w:val="22"/>
        </w:rPr>
        <w:t>sex/sexting</w:t>
      </w:r>
      <w:r>
        <w:rPr>
          <w:b/>
          <w:spacing w:val="35"/>
          <w:sz w:val="22"/>
        </w:rPr>
        <w:t> </w:t>
      </w:r>
      <w:r>
        <w:rPr>
          <w:b/>
          <w:sz w:val="22"/>
        </w:rPr>
        <w:t>and</w:t>
      </w:r>
      <w:r>
        <w:rPr>
          <w:b/>
          <w:spacing w:val="34"/>
          <w:sz w:val="22"/>
        </w:rPr>
        <w:t> </w:t>
      </w:r>
      <w:r>
        <w:rPr>
          <w:b/>
          <w:sz w:val="22"/>
        </w:rPr>
        <w:t>adjust</w:t>
      </w:r>
      <w:r>
        <w:rPr>
          <w:b/>
          <w:spacing w:val="34"/>
          <w:sz w:val="22"/>
        </w:rPr>
        <w:t> </w:t>
      </w:r>
      <w:r>
        <w:rPr>
          <w:b/>
          <w:sz w:val="22"/>
        </w:rPr>
        <w:t>the</w:t>
      </w:r>
      <w:r>
        <w:rPr>
          <w:b/>
          <w:spacing w:val="33"/>
          <w:sz w:val="22"/>
        </w:rPr>
        <w:t> </w:t>
      </w:r>
      <w:r>
        <w:rPr>
          <w:b/>
          <w:sz w:val="22"/>
        </w:rPr>
        <w:t>current</w:t>
      </w:r>
      <w:r>
        <w:rPr>
          <w:b/>
          <w:spacing w:val="34"/>
          <w:sz w:val="22"/>
        </w:rPr>
        <w:t> </w:t>
      </w:r>
      <w:r>
        <w:rPr>
          <w:b/>
          <w:sz w:val="22"/>
        </w:rPr>
        <w:t>age</w:t>
      </w:r>
      <w:r>
        <w:rPr>
          <w:b/>
          <w:spacing w:val="36"/>
          <w:sz w:val="22"/>
        </w:rPr>
        <w:t> </w:t>
      </w:r>
      <w:r>
        <w:rPr>
          <w:b/>
          <w:sz w:val="22"/>
        </w:rPr>
        <w:t>of</w:t>
      </w:r>
      <w:r>
        <w:rPr>
          <w:b/>
          <w:spacing w:val="33"/>
          <w:sz w:val="22"/>
        </w:rPr>
        <w:t> </w:t>
      </w:r>
      <w:r>
        <w:rPr>
          <w:b/>
          <w:sz w:val="22"/>
        </w:rPr>
        <w:t>consent</w:t>
      </w:r>
      <w:r>
        <w:rPr>
          <w:b/>
          <w:spacing w:val="34"/>
          <w:sz w:val="22"/>
        </w:rPr>
        <w:t> </w:t>
      </w:r>
      <w:r>
        <w:rPr>
          <w:b/>
          <w:sz w:val="22"/>
        </w:rPr>
        <w:t>laws</w:t>
      </w:r>
      <w:r>
        <w:rPr>
          <w:b/>
          <w:spacing w:val="36"/>
          <w:sz w:val="22"/>
        </w:rPr>
        <w:t> </w:t>
      </w:r>
      <w:r>
        <w:rPr>
          <w:b/>
          <w:sz w:val="22"/>
        </w:rPr>
        <w:t>for</w:t>
      </w:r>
      <w:r>
        <w:rPr>
          <w:b/>
          <w:spacing w:val="33"/>
          <w:sz w:val="22"/>
        </w:rPr>
        <w:t> </w:t>
      </w:r>
      <w:r>
        <w:rPr>
          <w:b/>
          <w:sz w:val="22"/>
        </w:rPr>
        <w:t>minors engaging in consensual sexual activity.</w:t>
      </w:r>
    </w:p>
    <w:p>
      <w:pPr>
        <w:pStyle w:val="BodyText"/>
        <w:spacing w:line="276" w:lineRule="auto" w:before="241"/>
        <w:ind w:left="463" w:right="280"/>
        <w:jc w:val="both"/>
      </w:pPr>
      <w:r>
        <w:rPr/>
        <w:t>As discussed more thoroughly below, there are a number of ways to address sexual exploitation and inequitable</w:t>
      </w:r>
      <w:r>
        <w:rPr>
          <w:spacing w:val="-6"/>
        </w:rPr>
        <w:t> </w:t>
      </w:r>
      <w:r>
        <w:rPr/>
        <w:t>penalties</w:t>
      </w:r>
      <w:r>
        <w:rPr>
          <w:spacing w:val="-7"/>
        </w:rPr>
        <w:t> </w:t>
      </w:r>
      <w:r>
        <w:rPr/>
        <w:t>against</w:t>
      </w:r>
      <w:r>
        <w:rPr>
          <w:spacing w:val="-8"/>
        </w:rPr>
        <w:t> </w:t>
      </w:r>
      <w:r>
        <w:rPr/>
        <w:t>youth</w:t>
      </w:r>
      <w:r>
        <w:rPr>
          <w:spacing w:val="-8"/>
        </w:rPr>
        <w:t> </w:t>
      </w:r>
      <w:r>
        <w:rPr/>
        <w:t>who</w:t>
      </w:r>
      <w:r>
        <w:rPr>
          <w:spacing w:val="-6"/>
        </w:rPr>
        <w:t> </w:t>
      </w:r>
      <w:r>
        <w:rPr/>
        <w:t>are</w:t>
      </w:r>
      <w:r>
        <w:rPr>
          <w:spacing w:val="-8"/>
        </w:rPr>
        <w:t> </w:t>
      </w:r>
      <w:r>
        <w:rPr/>
        <w:t>victims</w:t>
      </w:r>
      <w:r>
        <w:rPr>
          <w:spacing w:val="-7"/>
        </w:rPr>
        <w:t> </w:t>
      </w:r>
      <w:r>
        <w:rPr/>
        <w:t>of</w:t>
      </w:r>
      <w:r>
        <w:rPr>
          <w:spacing w:val="-6"/>
        </w:rPr>
        <w:t> </w:t>
      </w:r>
      <w:r>
        <w:rPr/>
        <w:t>exploitation.</w:t>
      </w:r>
      <w:r>
        <w:rPr>
          <w:spacing w:val="-7"/>
        </w:rPr>
        <w:t> </w:t>
      </w:r>
      <w:r>
        <w:rPr/>
        <w:t>Currently,</w:t>
      </w:r>
      <w:r>
        <w:rPr>
          <w:spacing w:val="-7"/>
        </w:rPr>
        <w:t> </w:t>
      </w:r>
      <w:r>
        <w:rPr/>
        <w:t>while</w:t>
      </w:r>
      <w:r>
        <w:rPr>
          <w:spacing w:val="-8"/>
        </w:rPr>
        <w:t> </w:t>
      </w:r>
      <w:r>
        <w:rPr/>
        <w:t>Massachusetts</w:t>
      </w:r>
      <w:r>
        <w:rPr>
          <w:spacing w:val="-7"/>
        </w:rPr>
        <w:t> </w:t>
      </w:r>
      <w:r>
        <w:rPr/>
        <w:t>does not</w:t>
      </w:r>
      <w:r>
        <w:rPr>
          <w:spacing w:val="-13"/>
        </w:rPr>
        <w:t> </w:t>
      </w:r>
      <w:r>
        <w:rPr/>
        <w:t>have</w:t>
      </w:r>
      <w:r>
        <w:rPr>
          <w:spacing w:val="-12"/>
        </w:rPr>
        <w:t> </w:t>
      </w:r>
      <w:r>
        <w:rPr/>
        <w:t>explicit</w:t>
      </w:r>
      <w:r>
        <w:rPr>
          <w:spacing w:val="-13"/>
        </w:rPr>
        <w:t> </w:t>
      </w:r>
      <w:r>
        <w:rPr/>
        <w:t>laws</w:t>
      </w:r>
      <w:r>
        <w:rPr>
          <w:spacing w:val="-12"/>
        </w:rPr>
        <w:t> </w:t>
      </w:r>
      <w:r>
        <w:rPr/>
        <w:t>against</w:t>
      </w:r>
      <w:r>
        <w:rPr>
          <w:spacing w:val="-13"/>
        </w:rPr>
        <w:t> </w:t>
      </w:r>
      <w:r>
        <w:rPr/>
        <w:t>sexting,</w:t>
      </w:r>
      <w:r>
        <w:rPr>
          <w:spacing w:val="-12"/>
        </w:rPr>
        <w:t> </w:t>
      </w:r>
      <w:r>
        <w:rPr/>
        <w:t>child</w:t>
      </w:r>
      <w:r>
        <w:rPr>
          <w:spacing w:val="-13"/>
        </w:rPr>
        <w:t> </w:t>
      </w:r>
      <w:r>
        <w:rPr/>
        <w:t>pornography</w:t>
      </w:r>
      <w:r>
        <w:rPr>
          <w:spacing w:val="-12"/>
        </w:rPr>
        <w:t> </w:t>
      </w:r>
      <w:r>
        <w:rPr/>
        <w:t>laws</w:t>
      </w:r>
      <w:r>
        <w:rPr>
          <w:spacing w:val="-12"/>
        </w:rPr>
        <w:t> </w:t>
      </w:r>
      <w:r>
        <w:rPr/>
        <w:t>do</w:t>
      </w:r>
      <w:r>
        <w:rPr>
          <w:spacing w:val="-13"/>
        </w:rPr>
        <w:t> </w:t>
      </w:r>
      <w:r>
        <w:rPr/>
        <w:t>prohibit</w:t>
      </w:r>
      <w:r>
        <w:rPr>
          <w:spacing w:val="-12"/>
        </w:rPr>
        <w:t> </w:t>
      </w:r>
      <w:r>
        <w:rPr/>
        <w:t>the</w:t>
      </w:r>
      <w:r>
        <w:rPr>
          <w:spacing w:val="-13"/>
        </w:rPr>
        <w:t> </w:t>
      </w:r>
      <w:r>
        <w:rPr/>
        <w:t>exchange</w:t>
      </w:r>
      <w:r>
        <w:rPr>
          <w:spacing w:val="-12"/>
        </w:rPr>
        <w:t> </w:t>
      </w:r>
      <w:r>
        <w:rPr/>
        <w:t>of</w:t>
      </w:r>
      <w:r>
        <w:rPr>
          <w:spacing w:val="-13"/>
        </w:rPr>
        <w:t> </w:t>
      </w:r>
      <w:r>
        <w:rPr/>
        <w:t>sexually</w:t>
      </w:r>
      <w:r>
        <w:rPr>
          <w:spacing w:val="-12"/>
        </w:rPr>
        <w:t> </w:t>
      </w:r>
      <w:r>
        <w:rPr/>
        <w:t>explicit images</w:t>
      </w:r>
      <w:r>
        <w:rPr>
          <w:spacing w:val="-3"/>
        </w:rPr>
        <w:t> </w:t>
      </w:r>
      <w:r>
        <w:rPr/>
        <w:t>of</w:t>
      </w:r>
      <w:r>
        <w:rPr>
          <w:spacing w:val="-2"/>
        </w:rPr>
        <w:t> </w:t>
      </w:r>
      <w:r>
        <w:rPr/>
        <w:t>minors</w:t>
      </w:r>
      <w:r>
        <w:rPr>
          <w:spacing w:val="-3"/>
        </w:rPr>
        <w:t> </w:t>
      </w:r>
      <w:r>
        <w:rPr/>
        <w:t>-</w:t>
      </w:r>
      <w:r>
        <w:rPr>
          <w:spacing w:val="-2"/>
        </w:rPr>
        <w:t> </w:t>
      </w:r>
      <w:r>
        <w:rPr/>
        <w:t>no</w:t>
      </w:r>
      <w:r>
        <w:rPr>
          <w:spacing w:val="-1"/>
        </w:rPr>
        <w:t> </w:t>
      </w:r>
      <w:r>
        <w:rPr/>
        <w:t>matter</w:t>
      </w:r>
      <w:r>
        <w:rPr>
          <w:spacing w:val="-2"/>
        </w:rPr>
        <w:t> </w:t>
      </w:r>
      <w:r>
        <w:rPr/>
        <w:t>the</w:t>
      </w:r>
      <w:r>
        <w:rPr>
          <w:spacing w:val="-2"/>
        </w:rPr>
        <w:t> </w:t>
      </w:r>
      <w:r>
        <w:rPr/>
        <w:t>age</w:t>
      </w:r>
      <w:r>
        <w:rPr>
          <w:spacing w:val="-2"/>
        </w:rPr>
        <w:t> </w:t>
      </w:r>
      <w:r>
        <w:rPr/>
        <w:t>of</w:t>
      </w:r>
      <w:r>
        <w:rPr>
          <w:spacing w:val="-3"/>
        </w:rPr>
        <w:t> </w:t>
      </w:r>
      <w:r>
        <w:rPr/>
        <w:t>the</w:t>
      </w:r>
      <w:r>
        <w:rPr>
          <w:spacing w:val="-2"/>
        </w:rPr>
        <w:t> </w:t>
      </w:r>
      <w:r>
        <w:rPr/>
        <w:t>recipient.</w:t>
      </w:r>
      <w:r>
        <w:rPr>
          <w:spacing w:val="-2"/>
        </w:rPr>
        <w:t> </w:t>
      </w:r>
      <w:r>
        <w:rPr/>
        <w:t>Therefore,</w:t>
      </w:r>
      <w:r>
        <w:rPr>
          <w:spacing w:val="-1"/>
        </w:rPr>
        <w:t> </w:t>
      </w:r>
      <w:r>
        <w:rPr/>
        <w:t>teens</w:t>
      </w:r>
      <w:r>
        <w:rPr>
          <w:spacing w:val="-1"/>
        </w:rPr>
        <w:t> </w:t>
      </w:r>
      <w:r>
        <w:rPr/>
        <w:t>under</w:t>
      </w:r>
      <w:r>
        <w:rPr>
          <w:spacing w:val="-2"/>
        </w:rPr>
        <w:t> </w:t>
      </w:r>
      <w:r>
        <w:rPr/>
        <w:t>the</w:t>
      </w:r>
      <w:r>
        <w:rPr>
          <w:spacing w:val="-3"/>
        </w:rPr>
        <w:t> </w:t>
      </w:r>
      <w:r>
        <w:rPr/>
        <w:t>age</w:t>
      </w:r>
      <w:r>
        <w:rPr>
          <w:spacing w:val="-2"/>
        </w:rPr>
        <w:t> </w:t>
      </w:r>
      <w:r>
        <w:rPr/>
        <w:t>of</w:t>
      </w:r>
      <w:r>
        <w:rPr>
          <w:spacing w:val="-3"/>
        </w:rPr>
        <w:t> </w:t>
      </w:r>
      <w:r>
        <w:rPr/>
        <w:t>16 who</w:t>
      </w:r>
      <w:r>
        <w:rPr>
          <w:spacing w:val="-2"/>
        </w:rPr>
        <w:t> </w:t>
      </w:r>
      <w:r>
        <w:rPr/>
        <w:t>engage in</w:t>
      </w:r>
      <w:r>
        <w:rPr>
          <w:spacing w:val="-7"/>
        </w:rPr>
        <w:t> </w:t>
      </w:r>
      <w:r>
        <w:rPr/>
        <w:t>consensual</w:t>
      </w:r>
      <w:r>
        <w:rPr>
          <w:spacing w:val="-5"/>
        </w:rPr>
        <w:t> </w:t>
      </w:r>
      <w:r>
        <w:rPr/>
        <w:t>sexting</w:t>
      </w:r>
      <w:r>
        <w:rPr>
          <w:spacing w:val="-7"/>
        </w:rPr>
        <w:t> </w:t>
      </w:r>
      <w:r>
        <w:rPr/>
        <w:t>with</w:t>
      </w:r>
      <w:r>
        <w:rPr>
          <w:spacing w:val="-4"/>
        </w:rPr>
        <w:t> </w:t>
      </w:r>
      <w:r>
        <w:rPr/>
        <w:t>another</w:t>
      </w:r>
      <w:r>
        <w:rPr>
          <w:spacing w:val="-5"/>
        </w:rPr>
        <w:t> </w:t>
      </w:r>
      <w:r>
        <w:rPr/>
        <w:t>teen</w:t>
      </w:r>
      <w:r>
        <w:rPr>
          <w:spacing w:val="-4"/>
        </w:rPr>
        <w:t> </w:t>
      </w:r>
      <w:r>
        <w:rPr/>
        <w:t>could</w:t>
      </w:r>
      <w:r>
        <w:rPr>
          <w:spacing w:val="-5"/>
        </w:rPr>
        <w:t> </w:t>
      </w:r>
      <w:r>
        <w:rPr/>
        <w:t>potentially</w:t>
      </w:r>
      <w:r>
        <w:rPr>
          <w:spacing w:val="-6"/>
        </w:rPr>
        <w:t> </w:t>
      </w:r>
      <w:r>
        <w:rPr/>
        <w:t>face</w:t>
      </w:r>
      <w:r>
        <w:rPr>
          <w:spacing w:val="-7"/>
        </w:rPr>
        <w:t> </w:t>
      </w:r>
      <w:r>
        <w:rPr/>
        <w:t>legal</w:t>
      </w:r>
      <w:r>
        <w:rPr>
          <w:spacing w:val="-5"/>
        </w:rPr>
        <w:t> </w:t>
      </w:r>
      <w:r>
        <w:rPr/>
        <w:t>ramifications</w:t>
      </w:r>
      <w:r>
        <w:rPr>
          <w:spacing w:val="-6"/>
        </w:rPr>
        <w:t> </w:t>
      </w:r>
      <w:r>
        <w:rPr/>
        <w:t>for</w:t>
      </w:r>
      <w:r>
        <w:rPr>
          <w:spacing w:val="-6"/>
        </w:rPr>
        <w:t> </w:t>
      </w:r>
      <w:r>
        <w:rPr/>
        <w:t>their</w:t>
      </w:r>
      <w:r>
        <w:rPr>
          <w:spacing w:val="-5"/>
        </w:rPr>
        <w:t> </w:t>
      </w:r>
      <w:r>
        <w:rPr/>
        <w:t>decisions.</w:t>
      </w:r>
      <w:r>
        <w:rPr>
          <w:spacing w:val="-7"/>
        </w:rPr>
        <w:t> </w:t>
      </w:r>
      <w:r>
        <w:rPr/>
        <w:t>The Commission</w:t>
      </w:r>
      <w:r>
        <w:rPr>
          <w:spacing w:val="-11"/>
        </w:rPr>
        <w:t> </w:t>
      </w:r>
      <w:r>
        <w:rPr/>
        <w:t>recommends</w:t>
      </w:r>
      <w:r>
        <w:rPr>
          <w:spacing w:val="-10"/>
        </w:rPr>
        <w:t> </w:t>
      </w:r>
      <w:r>
        <w:rPr/>
        <w:t>that</w:t>
      </w:r>
      <w:r>
        <w:rPr>
          <w:spacing w:val="-10"/>
        </w:rPr>
        <w:t> </w:t>
      </w:r>
      <w:r>
        <w:rPr/>
        <w:t>the</w:t>
      </w:r>
      <w:r>
        <w:rPr>
          <w:spacing w:val="-10"/>
        </w:rPr>
        <w:t> </w:t>
      </w:r>
      <w:r>
        <w:rPr/>
        <w:t>legislature</w:t>
      </w:r>
      <w:r>
        <w:rPr>
          <w:spacing w:val="-11"/>
        </w:rPr>
        <w:t> </w:t>
      </w:r>
      <w:r>
        <w:rPr/>
        <w:t>adjust</w:t>
      </w:r>
      <w:r>
        <w:rPr>
          <w:spacing w:val="-10"/>
        </w:rPr>
        <w:t> </w:t>
      </w:r>
      <w:r>
        <w:rPr/>
        <w:t>legal</w:t>
      </w:r>
      <w:r>
        <w:rPr>
          <w:spacing w:val="-11"/>
        </w:rPr>
        <w:t> </w:t>
      </w:r>
      <w:r>
        <w:rPr/>
        <w:t>protections</w:t>
      </w:r>
      <w:r>
        <w:rPr>
          <w:spacing w:val="-11"/>
        </w:rPr>
        <w:t> </w:t>
      </w:r>
      <w:r>
        <w:rPr/>
        <w:t>to</w:t>
      </w:r>
      <w:r>
        <w:rPr>
          <w:spacing w:val="-11"/>
        </w:rPr>
        <w:t> </w:t>
      </w:r>
      <w:r>
        <w:rPr/>
        <w:t>appropriately</w:t>
      </w:r>
      <w:r>
        <w:rPr>
          <w:spacing w:val="-10"/>
        </w:rPr>
        <w:t> </w:t>
      </w:r>
      <w:r>
        <w:rPr/>
        <w:t>support</w:t>
      </w:r>
      <w:r>
        <w:rPr>
          <w:spacing w:val="-12"/>
        </w:rPr>
        <w:t> </w:t>
      </w:r>
      <w:r>
        <w:rPr/>
        <w:t>minors</w:t>
      </w:r>
      <w:r>
        <w:rPr>
          <w:spacing w:val="-11"/>
        </w:rPr>
        <w:t> </w:t>
      </w:r>
      <w:r>
        <w:rPr/>
        <w:t>as technology</w:t>
      </w:r>
      <w:r>
        <w:rPr>
          <w:spacing w:val="-5"/>
        </w:rPr>
        <w:t> </w:t>
      </w:r>
      <w:r>
        <w:rPr/>
        <w:t>and</w:t>
      </w:r>
      <w:r>
        <w:rPr>
          <w:spacing w:val="-4"/>
        </w:rPr>
        <w:t> </w:t>
      </w:r>
      <w:r>
        <w:rPr/>
        <w:t>teen</w:t>
      </w:r>
      <w:r>
        <w:rPr>
          <w:spacing w:val="-4"/>
        </w:rPr>
        <w:t> </w:t>
      </w:r>
      <w:r>
        <w:rPr/>
        <w:t>dating</w:t>
      </w:r>
      <w:r>
        <w:rPr>
          <w:spacing w:val="-4"/>
        </w:rPr>
        <w:t> </w:t>
      </w:r>
      <w:r>
        <w:rPr/>
        <w:t>culture</w:t>
      </w:r>
      <w:r>
        <w:rPr>
          <w:spacing w:val="-4"/>
        </w:rPr>
        <w:t> </w:t>
      </w:r>
      <w:r>
        <w:rPr/>
        <w:t>shifts,</w:t>
      </w:r>
      <w:r>
        <w:rPr>
          <w:spacing w:val="-5"/>
        </w:rPr>
        <w:t> </w:t>
      </w:r>
      <w:r>
        <w:rPr/>
        <w:t>rather</w:t>
      </w:r>
      <w:r>
        <w:rPr>
          <w:spacing w:val="-3"/>
        </w:rPr>
        <w:t> </w:t>
      </w:r>
      <w:r>
        <w:rPr/>
        <w:t>than</w:t>
      </w:r>
      <w:r>
        <w:rPr>
          <w:spacing w:val="-4"/>
        </w:rPr>
        <w:t> </w:t>
      </w:r>
      <w:r>
        <w:rPr/>
        <w:t>criminalizing</w:t>
      </w:r>
      <w:r>
        <w:rPr>
          <w:spacing w:val="-4"/>
        </w:rPr>
        <w:t> </w:t>
      </w:r>
      <w:r>
        <w:rPr/>
        <w:t>teens</w:t>
      </w:r>
      <w:r>
        <w:rPr>
          <w:spacing w:val="-4"/>
        </w:rPr>
        <w:t> </w:t>
      </w:r>
      <w:r>
        <w:rPr/>
        <w:t>who</w:t>
      </w:r>
      <w:r>
        <w:rPr>
          <w:spacing w:val="-2"/>
        </w:rPr>
        <w:t> </w:t>
      </w:r>
      <w:r>
        <w:rPr/>
        <w:t>engage</w:t>
      </w:r>
      <w:r>
        <w:rPr>
          <w:spacing w:val="-4"/>
        </w:rPr>
        <w:t> </w:t>
      </w:r>
      <w:r>
        <w:rPr/>
        <w:t>in</w:t>
      </w:r>
      <w:r>
        <w:rPr>
          <w:spacing w:val="-4"/>
        </w:rPr>
        <w:t> </w:t>
      </w:r>
      <w:r>
        <w:rPr/>
        <w:t>sexting</w:t>
      </w:r>
      <w:r>
        <w:rPr>
          <w:spacing w:val="-4"/>
        </w:rPr>
        <w:t> </w:t>
      </w:r>
      <w:r>
        <w:rPr/>
        <w:t>without fully understanding any legal consequences that may occur.</w:t>
      </w:r>
    </w:p>
    <w:p>
      <w:pPr>
        <w:pStyle w:val="BodyText"/>
        <w:spacing w:line="276" w:lineRule="auto" w:before="239"/>
        <w:ind w:left="463" w:right="283"/>
        <w:jc w:val="both"/>
      </w:pPr>
      <w:r>
        <w:rPr/>
        <w:t>Furthermore, the Commission additionally recommends that the legislature better understand and address any gaps in legal protections that may exist for victims of revenge porn and sexual deepfakes, particularly for those who are adults. Presumably, child pornography laws would protect and provide legal support for victims of revenge porn or deepfakes under the age of 16, however, legal supports for those over the age of consent remain unclear.</w:t>
      </w:r>
    </w:p>
    <w:p>
      <w:pPr>
        <w:numPr>
          <w:ilvl w:val="0"/>
          <w:numId w:val="19"/>
        </w:numPr>
        <w:tabs>
          <w:tab w:pos="461" w:val="left" w:leader="none"/>
        </w:tabs>
        <w:spacing w:before="240"/>
        <w:ind w:left="461" w:right="0" w:hanging="358"/>
        <w:jc w:val="left"/>
        <w:rPr>
          <w:b/>
          <w:sz w:val="22"/>
        </w:rPr>
      </w:pPr>
      <w:bookmarkStart w:name="6. Continue to increase access to sexual" w:id="196"/>
      <w:bookmarkEnd w:id="196"/>
      <w:r>
        <w:rPr>
          <w:b/>
          <w:sz w:val="22"/>
        </w:rPr>
        <w:t>C</w:t>
      </w:r>
      <w:r>
        <w:rPr>
          <w:b/>
          <w:sz w:val="22"/>
        </w:rPr>
        <w:t>ontinue</w:t>
      </w:r>
      <w:r>
        <w:rPr>
          <w:b/>
          <w:spacing w:val="-10"/>
          <w:sz w:val="22"/>
        </w:rPr>
        <w:t> </w:t>
      </w:r>
      <w:r>
        <w:rPr>
          <w:b/>
          <w:sz w:val="22"/>
        </w:rPr>
        <w:t>to</w:t>
      </w:r>
      <w:r>
        <w:rPr>
          <w:b/>
          <w:spacing w:val="-9"/>
          <w:sz w:val="22"/>
        </w:rPr>
        <w:t> </w:t>
      </w:r>
      <w:r>
        <w:rPr>
          <w:b/>
          <w:sz w:val="22"/>
        </w:rPr>
        <w:t>increase</w:t>
      </w:r>
      <w:r>
        <w:rPr>
          <w:b/>
          <w:spacing w:val="-9"/>
          <w:sz w:val="22"/>
        </w:rPr>
        <w:t> </w:t>
      </w:r>
      <w:r>
        <w:rPr>
          <w:b/>
          <w:sz w:val="22"/>
        </w:rPr>
        <w:t>access</w:t>
      </w:r>
      <w:r>
        <w:rPr>
          <w:b/>
          <w:spacing w:val="-10"/>
          <w:sz w:val="22"/>
        </w:rPr>
        <w:t> </w:t>
      </w:r>
      <w:r>
        <w:rPr>
          <w:b/>
          <w:sz w:val="22"/>
        </w:rPr>
        <w:t>to</w:t>
      </w:r>
      <w:r>
        <w:rPr>
          <w:b/>
          <w:spacing w:val="-10"/>
          <w:sz w:val="22"/>
        </w:rPr>
        <w:t> </w:t>
      </w:r>
      <w:r>
        <w:rPr>
          <w:b/>
          <w:sz w:val="22"/>
        </w:rPr>
        <w:t>sexually</w:t>
      </w:r>
      <w:r>
        <w:rPr>
          <w:b/>
          <w:spacing w:val="-8"/>
          <w:sz w:val="22"/>
        </w:rPr>
        <w:t> </w:t>
      </w:r>
      <w:r>
        <w:rPr>
          <w:b/>
          <w:sz w:val="22"/>
        </w:rPr>
        <w:t>transmitted</w:t>
      </w:r>
      <w:r>
        <w:rPr>
          <w:b/>
          <w:spacing w:val="-8"/>
          <w:sz w:val="22"/>
        </w:rPr>
        <w:t> </w:t>
      </w:r>
      <w:r>
        <w:rPr>
          <w:b/>
          <w:sz w:val="22"/>
        </w:rPr>
        <w:t>infection</w:t>
      </w:r>
      <w:r>
        <w:rPr>
          <w:b/>
          <w:spacing w:val="-9"/>
          <w:sz w:val="22"/>
        </w:rPr>
        <w:t> </w:t>
      </w:r>
      <w:r>
        <w:rPr>
          <w:b/>
          <w:sz w:val="22"/>
        </w:rPr>
        <w:t>screenings,</w:t>
      </w:r>
      <w:r>
        <w:rPr>
          <w:b/>
          <w:spacing w:val="-10"/>
          <w:sz w:val="22"/>
        </w:rPr>
        <w:t> </w:t>
      </w:r>
      <w:r>
        <w:rPr>
          <w:b/>
          <w:sz w:val="22"/>
        </w:rPr>
        <w:t>prevention,</w:t>
      </w:r>
      <w:r>
        <w:rPr>
          <w:b/>
          <w:spacing w:val="-9"/>
          <w:sz w:val="22"/>
        </w:rPr>
        <w:t> </w:t>
      </w:r>
      <w:r>
        <w:rPr>
          <w:b/>
          <w:sz w:val="22"/>
        </w:rPr>
        <w:t>and</w:t>
      </w:r>
      <w:r>
        <w:rPr>
          <w:b/>
          <w:spacing w:val="-10"/>
          <w:sz w:val="22"/>
        </w:rPr>
        <w:t> </w:t>
      </w:r>
      <w:r>
        <w:rPr>
          <w:b/>
          <w:spacing w:val="-2"/>
          <w:sz w:val="22"/>
        </w:rPr>
        <w:t>treatment.</w:t>
      </w:r>
    </w:p>
    <w:p>
      <w:pPr>
        <w:pStyle w:val="BodyText"/>
        <w:spacing w:before="11"/>
        <w:rPr>
          <w:b/>
        </w:rPr>
      </w:pPr>
    </w:p>
    <w:p>
      <w:pPr>
        <w:pStyle w:val="BodyText"/>
        <w:spacing w:line="276" w:lineRule="auto" w:before="1"/>
        <w:ind w:left="463" w:right="282"/>
        <w:jc w:val="both"/>
      </w:pPr>
      <w:r>
        <w:rPr/>
        <w:t>The Commission appreciates the dedication that Massachusetts policymakers, agencies, and advocates have given to increasing access to PrEP and PEP for LGBTQ youth across the state; HIV rates have continued to lower for Massachusetts youth aged 0-29 over the last decade. However, other STI transmission</w:t>
      </w:r>
      <w:r>
        <w:rPr>
          <w:spacing w:val="-3"/>
        </w:rPr>
        <w:t> </w:t>
      </w:r>
      <w:r>
        <w:rPr/>
        <w:t>rates</w:t>
      </w:r>
      <w:r>
        <w:rPr>
          <w:spacing w:val="-4"/>
        </w:rPr>
        <w:t> </w:t>
      </w:r>
      <w:r>
        <w:rPr/>
        <w:t>have</w:t>
      </w:r>
      <w:r>
        <w:rPr>
          <w:spacing w:val="-3"/>
        </w:rPr>
        <w:t> </w:t>
      </w:r>
      <w:r>
        <w:rPr/>
        <w:t>risen</w:t>
      </w:r>
      <w:r>
        <w:rPr>
          <w:spacing w:val="-4"/>
        </w:rPr>
        <w:t> </w:t>
      </w:r>
      <w:r>
        <w:rPr/>
        <w:t>for</w:t>
      </w:r>
      <w:r>
        <w:rPr>
          <w:spacing w:val="-3"/>
        </w:rPr>
        <w:t> </w:t>
      </w:r>
      <w:r>
        <w:rPr/>
        <w:t>youth</w:t>
      </w:r>
      <w:r>
        <w:rPr>
          <w:spacing w:val="-2"/>
        </w:rPr>
        <w:t> </w:t>
      </w:r>
      <w:r>
        <w:rPr/>
        <w:t>across</w:t>
      </w:r>
      <w:r>
        <w:rPr>
          <w:spacing w:val="-4"/>
        </w:rPr>
        <w:t> </w:t>
      </w:r>
      <w:r>
        <w:rPr/>
        <w:t>the</w:t>
      </w:r>
      <w:r>
        <w:rPr>
          <w:spacing w:val="-3"/>
        </w:rPr>
        <w:t> </w:t>
      </w:r>
      <w:r>
        <w:rPr/>
        <w:t>Commonwealth,</w:t>
      </w:r>
      <w:r>
        <w:rPr>
          <w:spacing w:val="-4"/>
        </w:rPr>
        <w:t> </w:t>
      </w:r>
      <w:r>
        <w:rPr/>
        <w:t>and</w:t>
      </w:r>
      <w:r>
        <w:rPr>
          <w:spacing w:val="-3"/>
        </w:rPr>
        <w:t> </w:t>
      </w:r>
      <w:r>
        <w:rPr/>
        <w:t>barriers</w:t>
      </w:r>
      <w:r>
        <w:rPr>
          <w:spacing w:val="-2"/>
        </w:rPr>
        <w:t> </w:t>
      </w:r>
      <w:r>
        <w:rPr/>
        <w:t>to</w:t>
      </w:r>
      <w:r>
        <w:rPr>
          <w:spacing w:val="-2"/>
        </w:rPr>
        <w:t> </w:t>
      </w:r>
      <w:r>
        <w:rPr/>
        <w:t>accessing</w:t>
      </w:r>
      <w:r>
        <w:rPr>
          <w:spacing w:val="-2"/>
        </w:rPr>
        <w:t> </w:t>
      </w:r>
      <w:r>
        <w:rPr/>
        <w:t>prevention and screening for HIV continues to occur. The Commission recommends that the state boost its partnerships with community organizations to create more grantee and sub-grantee agreements to increase access to screening and prescriptions for PrEP and PEP. While the focus should be holistic, we are</w:t>
      </w:r>
      <w:r>
        <w:rPr>
          <w:spacing w:val="-11"/>
        </w:rPr>
        <w:t> </w:t>
      </w:r>
      <w:r>
        <w:rPr/>
        <w:t>seeing</w:t>
      </w:r>
      <w:r>
        <w:rPr>
          <w:spacing w:val="-10"/>
        </w:rPr>
        <w:t> </w:t>
      </w:r>
      <w:r>
        <w:rPr/>
        <w:t>a</w:t>
      </w:r>
      <w:r>
        <w:rPr>
          <w:spacing w:val="-11"/>
        </w:rPr>
        <w:t> </w:t>
      </w:r>
      <w:r>
        <w:rPr/>
        <w:t>rise</w:t>
      </w:r>
      <w:r>
        <w:rPr>
          <w:spacing w:val="-11"/>
        </w:rPr>
        <w:t> </w:t>
      </w:r>
      <w:r>
        <w:rPr/>
        <w:t>in</w:t>
      </w:r>
      <w:r>
        <w:rPr>
          <w:spacing w:val="-10"/>
        </w:rPr>
        <w:t> </w:t>
      </w:r>
      <w:r>
        <w:rPr/>
        <w:t>STI</w:t>
      </w:r>
      <w:r>
        <w:rPr>
          <w:spacing w:val="-10"/>
        </w:rPr>
        <w:t> </w:t>
      </w:r>
      <w:r>
        <w:rPr/>
        <w:t>rates</w:t>
      </w:r>
      <w:r>
        <w:rPr>
          <w:spacing w:val="-10"/>
        </w:rPr>
        <w:t> </w:t>
      </w:r>
      <w:r>
        <w:rPr/>
        <w:t>in</w:t>
      </w:r>
      <w:r>
        <w:rPr>
          <w:spacing w:val="-10"/>
        </w:rPr>
        <w:t> </w:t>
      </w:r>
      <w:r>
        <w:rPr/>
        <w:t>the</w:t>
      </w:r>
      <w:r>
        <w:rPr>
          <w:spacing w:val="-10"/>
        </w:rPr>
        <w:t> </w:t>
      </w:r>
      <w:r>
        <w:rPr/>
        <w:t>LGBTQ</w:t>
      </w:r>
      <w:r>
        <w:rPr>
          <w:spacing w:val="-10"/>
        </w:rPr>
        <w:t> </w:t>
      </w:r>
      <w:r>
        <w:rPr/>
        <w:t>community</w:t>
      </w:r>
      <w:r>
        <w:rPr>
          <w:spacing w:val="-10"/>
        </w:rPr>
        <w:t> </w:t>
      </w:r>
      <w:r>
        <w:rPr/>
        <w:t>across</w:t>
      </w:r>
      <w:r>
        <w:rPr>
          <w:spacing w:val="-11"/>
        </w:rPr>
        <w:t> </w:t>
      </w:r>
      <w:r>
        <w:rPr/>
        <w:t>the</w:t>
      </w:r>
      <w:r>
        <w:rPr>
          <w:spacing w:val="-10"/>
        </w:rPr>
        <w:t> </w:t>
      </w:r>
      <w:r>
        <w:rPr/>
        <w:t>Commonwealth</w:t>
      </w:r>
      <w:r>
        <w:rPr>
          <w:spacing w:val="-10"/>
        </w:rPr>
        <w:t> </w:t>
      </w:r>
      <w:r>
        <w:rPr/>
        <w:t>and</w:t>
      </w:r>
      <w:r>
        <w:rPr>
          <w:spacing w:val="-10"/>
        </w:rPr>
        <w:t> </w:t>
      </w:r>
      <w:r>
        <w:rPr/>
        <w:t>therefore</w:t>
      </w:r>
      <w:r>
        <w:rPr>
          <w:spacing w:val="-11"/>
        </w:rPr>
        <w:t> </w:t>
      </w:r>
      <w:r>
        <w:rPr/>
        <w:t>resources should not be diverted from meaningful STI screening, prevention, and treatment.</w:t>
      </w:r>
    </w:p>
    <w:p>
      <w:pPr>
        <w:spacing w:before="240"/>
        <w:ind w:left="463" w:right="0" w:firstLine="0"/>
        <w:jc w:val="both"/>
        <w:rPr>
          <w:sz w:val="28"/>
        </w:rPr>
      </w:pPr>
      <w:bookmarkStart w:name="Research: Destigmatizing Public Health &amp;" w:id="197"/>
      <w:bookmarkEnd w:id="197"/>
      <w:r>
        <w:rPr/>
      </w:r>
      <w:r>
        <w:rPr>
          <w:color w:val="365F91"/>
          <w:sz w:val="28"/>
        </w:rPr>
        <w:t>Research:</w:t>
      </w:r>
      <w:r>
        <w:rPr>
          <w:color w:val="365F91"/>
          <w:spacing w:val="-11"/>
          <w:sz w:val="28"/>
        </w:rPr>
        <w:t> </w:t>
      </w:r>
      <w:r>
        <w:rPr>
          <w:color w:val="365F91"/>
          <w:sz w:val="28"/>
        </w:rPr>
        <w:t>Destigmatizing</w:t>
      </w:r>
      <w:r>
        <w:rPr>
          <w:color w:val="365F91"/>
          <w:spacing w:val="-12"/>
          <w:sz w:val="28"/>
        </w:rPr>
        <w:t> </w:t>
      </w:r>
      <w:r>
        <w:rPr>
          <w:color w:val="365F91"/>
          <w:sz w:val="28"/>
        </w:rPr>
        <w:t>Public</w:t>
      </w:r>
      <w:r>
        <w:rPr>
          <w:color w:val="365F91"/>
          <w:spacing w:val="-13"/>
          <w:sz w:val="28"/>
        </w:rPr>
        <w:t> </w:t>
      </w:r>
      <w:r>
        <w:rPr>
          <w:color w:val="365F91"/>
          <w:sz w:val="28"/>
        </w:rPr>
        <w:t>Health</w:t>
      </w:r>
      <w:r>
        <w:rPr>
          <w:color w:val="365F91"/>
          <w:spacing w:val="-12"/>
          <w:sz w:val="28"/>
        </w:rPr>
        <w:t> </w:t>
      </w:r>
      <w:r>
        <w:rPr>
          <w:color w:val="365F91"/>
          <w:sz w:val="28"/>
        </w:rPr>
        <w:t>&amp;</w:t>
      </w:r>
      <w:r>
        <w:rPr>
          <w:color w:val="365F91"/>
          <w:spacing w:val="-12"/>
          <w:sz w:val="28"/>
        </w:rPr>
        <w:t> </w:t>
      </w:r>
      <w:r>
        <w:rPr>
          <w:color w:val="365F91"/>
          <w:spacing w:val="-2"/>
          <w:sz w:val="28"/>
        </w:rPr>
        <w:t>Interventions</w:t>
      </w:r>
    </w:p>
    <w:p>
      <w:pPr>
        <w:pStyle w:val="BodyText"/>
        <w:spacing w:before="10"/>
        <w:rPr>
          <w:sz w:val="3"/>
        </w:rPr>
      </w:pPr>
      <w:r>
        <w:rPr/>
        <mc:AlternateContent>
          <mc:Choice Requires="wps">
            <w:drawing>
              <wp:anchor distT="0" distB="0" distL="0" distR="0" allowOverlap="1" layoutInCell="1" locked="0" behindDoc="1" simplePos="0" relativeHeight="487610368">
                <wp:simplePos x="0" y="0"/>
                <wp:positionH relativeFrom="page">
                  <wp:posOffset>897636</wp:posOffset>
                </wp:positionH>
                <wp:positionV relativeFrom="paragraph">
                  <wp:posOffset>44899</wp:posOffset>
                </wp:positionV>
                <wp:extent cx="5932170" cy="6350"/>
                <wp:effectExtent l="0" t="0" r="0" b="0"/>
                <wp:wrapTopAndBottom/>
                <wp:docPr id="179" name="Graphic 179"/>
                <wp:cNvGraphicFramePr>
                  <a:graphicFrameLocks/>
                </wp:cNvGraphicFramePr>
                <a:graphic>
                  <a:graphicData uri="http://schemas.microsoft.com/office/word/2010/wordprocessingShape">
                    <wps:wsp>
                      <wps:cNvPr id="179" name="Graphic 179"/>
                      <wps:cNvSpPr/>
                      <wps:spPr>
                        <a:xfrm>
                          <a:off x="0" y="0"/>
                          <a:ext cx="5932170" cy="6350"/>
                        </a:xfrm>
                        <a:custGeom>
                          <a:avLst/>
                          <a:gdLst/>
                          <a:ahLst/>
                          <a:cxnLst/>
                          <a:rect l="l" t="t" r="r" b="b"/>
                          <a:pathLst>
                            <a:path w="5932170" h="6350">
                              <a:moveTo>
                                <a:pt x="5932170" y="0"/>
                              </a:moveTo>
                              <a:lnTo>
                                <a:pt x="0" y="0"/>
                              </a:lnTo>
                              <a:lnTo>
                                <a:pt x="0" y="6096"/>
                              </a:lnTo>
                              <a:lnTo>
                                <a:pt x="5932170" y="6096"/>
                              </a:lnTo>
                              <a:lnTo>
                                <a:pt x="5932170" y="0"/>
                              </a:lnTo>
                              <a:close/>
                            </a:path>
                          </a:pathLst>
                        </a:custGeom>
                        <a:solidFill>
                          <a:srgbClr val="4F81BC"/>
                        </a:solidFill>
                      </wps:spPr>
                      <wps:bodyPr wrap="square" lIns="0" tIns="0" rIns="0" bIns="0" rtlCol="0">
                        <a:prstTxWarp prst="textNoShape">
                          <a:avLst/>
                        </a:prstTxWarp>
                        <a:noAutofit/>
                      </wps:bodyPr>
                    </wps:wsp>
                  </a:graphicData>
                </a:graphic>
              </wp:anchor>
            </w:drawing>
          </mc:Choice>
          <mc:Fallback>
            <w:pict>
              <v:rect style="position:absolute;margin-left:70.680pt;margin-top:3.53543pt;width:467.1pt;height:.48pt;mso-position-horizontal-relative:page;mso-position-vertical-relative:paragraph;z-index:-15706112;mso-wrap-distance-left:0;mso-wrap-distance-right:0" id="docshape154" filled="true" fillcolor="#4f81bc" stroked="false">
                <v:fill type="solid"/>
                <w10:wrap type="topAndBottom"/>
              </v:rect>
            </w:pict>
          </mc:Fallback>
        </mc:AlternateContent>
      </w:r>
    </w:p>
    <w:p>
      <w:pPr>
        <w:pStyle w:val="BodyText"/>
        <w:spacing w:line="276" w:lineRule="auto" w:before="241"/>
        <w:ind w:left="463" w:right="283"/>
        <w:jc w:val="both"/>
      </w:pPr>
      <w:bookmarkStart w:name="_bookmark79" w:id="198"/>
      <w:bookmarkEnd w:id="198"/>
      <w:r>
        <w:rPr/>
      </w:r>
      <w:r>
        <w:rPr/>
        <w:t>The</w:t>
      </w:r>
      <w:r>
        <w:rPr>
          <w:spacing w:val="-4"/>
        </w:rPr>
        <w:t> </w:t>
      </w:r>
      <w:r>
        <w:rPr/>
        <w:t>social-ecological</w:t>
      </w:r>
      <w:r>
        <w:rPr>
          <w:spacing w:val="-4"/>
        </w:rPr>
        <w:t> </w:t>
      </w:r>
      <w:r>
        <w:rPr/>
        <w:t>model,</w:t>
      </w:r>
      <w:r>
        <w:rPr>
          <w:spacing w:val="-4"/>
        </w:rPr>
        <w:t> </w:t>
      </w:r>
      <w:r>
        <w:rPr/>
        <w:t>sometimes</w:t>
      </w:r>
      <w:r>
        <w:rPr>
          <w:spacing w:val="-4"/>
        </w:rPr>
        <w:t> </w:t>
      </w:r>
      <w:r>
        <w:rPr/>
        <w:t>known</w:t>
      </w:r>
      <w:r>
        <w:rPr>
          <w:spacing w:val="-4"/>
        </w:rPr>
        <w:t> </w:t>
      </w:r>
      <w:r>
        <w:rPr/>
        <w:t>as</w:t>
      </w:r>
      <w:r>
        <w:rPr>
          <w:spacing w:val="-4"/>
        </w:rPr>
        <w:t> </w:t>
      </w:r>
      <w:r>
        <w:rPr/>
        <w:t>the</w:t>
      </w:r>
      <w:r>
        <w:rPr>
          <w:spacing w:val="-4"/>
        </w:rPr>
        <w:t> </w:t>
      </w:r>
      <w:r>
        <w:rPr/>
        <w:t>socioecological</w:t>
      </w:r>
      <w:r>
        <w:rPr>
          <w:spacing w:val="-4"/>
        </w:rPr>
        <w:t> </w:t>
      </w:r>
      <w:r>
        <w:rPr/>
        <w:t>model</w:t>
      </w:r>
      <w:r>
        <w:rPr>
          <w:spacing w:val="-3"/>
        </w:rPr>
        <w:t> </w:t>
      </w:r>
      <w:r>
        <w:rPr/>
        <w:t>or</w:t>
      </w:r>
      <w:r>
        <w:rPr>
          <w:spacing w:val="-4"/>
        </w:rPr>
        <w:t> </w:t>
      </w:r>
      <w:r>
        <w:rPr/>
        <w:t>SEM,</w:t>
      </w:r>
      <w:r>
        <w:rPr>
          <w:spacing w:val="-4"/>
        </w:rPr>
        <w:t> </w:t>
      </w:r>
      <w:r>
        <w:rPr/>
        <w:t>is</w:t>
      </w:r>
      <w:r>
        <w:rPr>
          <w:spacing w:val="-4"/>
        </w:rPr>
        <w:t> </w:t>
      </w:r>
      <w:r>
        <w:rPr/>
        <w:t>becoming</w:t>
      </w:r>
      <w:r>
        <w:rPr>
          <w:spacing w:val="-4"/>
        </w:rPr>
        <w:t> </w:t>
      </w:r>
      <w:r>
        <w:rPr/>
        <w:t>one</w:t>
      </w:r>
      <w:r>
        <w:rPr>
          <w:spacing w:val="-4"/>
        </w:rPr>
        <w:t> </w:t>
      </w:r>
      <w:r>
        <w:rPr/>
        <w:t>of the most popular models of public health intervention strategy within the field. Proposed in 1998 by McLeroy,</w:t>
      </w:r>
      <w:r>
        <w:rPr>
          <w:spacing w:val="-1"/>
        </w:rPr>
        <w:t> </w:t>
      </w:r>
      <w:r>
        <w:rPr/>
        <w:t>Bibeau,</w:t>
      </w:r>
      <w:r>
        <w:rPr>
          <w:spacing w:val="-1"/>
        </w:rPr>
        <w:t> </w:t>
      </w:r>
      <w:r>
        <w:rPr/>
        <w:t>Steckler, and</w:t>
      </w:r>
      <w:r>
        <w:rPr>
          <w:spacing w:val="-1"/>
        </w:rPr>
        <w:t> </w:t>
      </w:r>
      <w:r>
        <w:rPr/>
        <w:t>Glanz</w:t>
      </w:r>
      <w:hyperlink w:history="true" w:anchor="_bookmark79">
        <w:r>
          <w:rPr/>
          <w:t>,</w:t>
        </w:r>
        <w:r>
          <w:rPr>
            <w:vertAlign w:val="superscript"/>
          </w:rPr>
          <w:t>4</w:t>
        </w:r>
      </w:hyperlink>
      <w:r>
        <w:rPr>
          <w:spacing w:val="-1"/>
          <w:vertAlign w:val="baseline"/>
        </w:rPr>
        <w:t> </w:t>
      </w:r>
      <w:r>
        <w:rPr>
          <w:vertAlign w:val="baseline"/>
        </w:rPr>
        <w:t>the</w:t>
      </w:r>
      <w:r>
        <w:rPr>
          <w:spacing w:val="-2"/>
          <w:vertAlign w:val="baseline"/>
        </w:rPr>
        <w:t> </w:t>
      </w:r>
      <w:r>
        <w:rPr>
          <w:vertAlign w:val="baseline"/>
        </w:rPr>
        <w:t>SEM</w:t>
      </w:r>
      <w:r>
        <w:rPr>
          <w:spacing w:val="-1"/>
          <w:vertAlign w:val="baseline"/>
        </w:rPr>
        <w:t> </w:t>
      </w:r>
      <w:r>
        <w:rPr>
          <w:vertAlign w:val="baseline"/>
        </w:rPr>
        <w:t>proposes</w:t>
      </w:r>
      <w:r>
        <w:rPr>
          <w:spacing w:val="-1"/>
          <w:vertAlign w:val="baseline"/>
        </w:rPr>
        <w:t> </w:t>
      </w:r>
      <w:r>
        <w:rPr>
          <w:vertAlign w:val="baseline"/>
        </w:rPr>
        <w:t>that</w:t>
      </w:r>
      <w:r>
        <w:rPr>
          <w:spacing w:val="-2"/>
          <w:vertAlign w:val="baseline"/>
        </w:rPr>
        <w:t> </w:t>
      </w:r>
      <w:r>
        <w:rPr>
          <w:vertAlign w:val="baseline"/>
        </w:rPr>
        <w:t>health</w:t>
      </w:r>
      <w:r>
        <w:rPr>
          <w:spacing w:val="-2"/>
          <w:vertAlign w:val="baseline"/>
        </w:rPr>
        <w:t> </w:t>
      </w:r>
      <w:r>
        <w:rPr>
          <w:vertAlign w:val="baseline"/>
        </w:rPr>
        <w:t>is</w:t>
      </w:r>
      <w:r>
        <w:rPr>
          <w:spacing w:val="-1"/>
          <w:vertAlign w:val="baseline"/>
        </w:rPr>
        <w:t> </w:t>
      </w:r>
      <w:r>
        <w:rPr>
          <w:vertAlign w:val="baseline"/>
        </w:rPr>
        <w:t>not</w:t>
      </w:r>
      <w:r>
        <w:rPr>
          <w:spacing w:val="-1"/>
          <w:vertAlign w:val="baseline"/>
        </w:rPr>
        <w:t> </w:t>
      </w:r>
      <w:r>
        <w:rPr>
          <w:vertAlign w:val="baseline"/>
        </w:rPr>
        <w:t>solely</w:t>
      </w:r>
      <w:r>
        <w:rPr>
          <w:spacing w:val="-1"/>
          <w:vertAlign w:val="baseline"/>
        </w:rPr>
        <w:t> </w:t>
      </w:r>
      <w:r>
        <w:rPr>
          <w:vertAlign w:val="baseline"/>
        </w:rPr>
        <w:t>an</w:t>
      </w:r>
      <w:r>
        <w:rPr>
          <w:spacing w:val="-2"/>
          <w:vertAlign w:val="baseline"/>
        </w:rPr>
        <w:t> </w:t>
      </w:r>
      <w:r>
        <w:rPr>
          <w:vertAlign w:val="baseline"/>
        </w:rPr>
        <w:t>individual</w:t>
      </w:r>
      <w:r>
        <w:rPr>
          <w:spacing w:val="-2"/>
          <w:vertAlign w:val="baseline"/>
        </w:rPr>
        <w:t> </w:t>
      </w:r>
      <w:r>
        <w:rPr>
          <w:vertAlign w:val="baseline"/>
        </w:rPr>
        <w:t>concern, but rather a series of interwoven factors that influence an individual at interpersonal, institutional, community</w:t>
      </w:r>
      <w:r>
        <w:rPr>
          <w:spacing w:val="-13"/>
          <w:vertAlign w:val="baseline"/>
        </w:rPr>
        <w:t> </w:t>
      </w:r>
      <w:r>
        <w:rPr>
          <w:vertAlign w:val="baseline"/>
        </w:rPr>
        <w:t>and</w:t>
      </w:r>
      <w:r>
        <w:rPr>
          <w:spacing w:val="-12"/>
          <w:vertAlign w:val="baseline"/>
        </w:rPr>
        <w:t> </w:t>
      </w:r>
      <w:r>
        <w:rPr>
          <w:vertAlign w:val="baseline"/>
        </w:rPr>
        <w:t>societal</w:t>
      </w:r>
      <w:r>
        <w:rPr>
          <w:spacing w:val="-13"/>
          <w:vertAlign w:val="baseline"/>
        </w:rPr>
        <w:t> </w:t>
      </w:r>
      <w:r>
        <w:rPr>
          <w:vertAlign w:val="baseline"/>
        </w:rPr>
        <w:t>levels.</w:t>
      </w:r>
      <w:r>
        <w:rPr>
          <w:spacing w:val="-12"/>
          <w:vertAlign w:val="baseline"/>
        </w:rPr>
        <w:t> </w:t>
      </w:r>
      <w:r>
        <w:rPr>
          <w:vertAlign w:val="baseline"/>
        </w:rPr>
        <w:t>While</w:t>
      </w:r>
      <w:r>
        <w:rPr>
          <w:spacing w:val="-13"/>
          <w:vertAlign w:val="baseline"/>
        </w:rPr>
        <w:t> </w:t>
      </w:r>
      <w:r>
        <w:rPr>
          <w:vertAlign w:val="baseline"/>
        </w:rPr>
        <w:t>public</w:t>
      </w:r>
      <w:r>
        <w:rPr>
          <w:spacing w:val="-12"/>
          <w:vertAlign w:val="baseline"/>
        </w:rPr>
        <w:t> </w:t>
      </w:r>
      <w:r>
        <w:rPr>
          <w:vertAlign w:val="baseline"/>
        </w:rPr>
        <w:t>health</w:t>
      </w:r>
      <w:r>
        <w:rPr>
          <w:spacing w:val="-11"/>
          <w:vertAlign w:val="baseline"/>
        </w:rPr>
        <w:t> </w:t>
      </w:r>
      <w:r>
        <w:rPr>
          <w:vertAlign w:val="baseline"/>
        </w:rPr>
        <w:t>traditionally</w:t>
      </w:r>
      <w:r>
        <w:rPr>
          <w:spacing w:val="-13"/>
          <w:vertAlign w:val="baseline"/>
        </w:rPr>
        <w:t> </w:t>
      </w:r>
      <w:r>
        <w:rPr>
          <w:vertAlign w:val="baseline"/>
        </w:rPr>
        <w:t>focused</w:t>
      </w:r>
      <w:r>
        <w:rPr>
          <w:spacing w:val="-12"/>
          <w:vertAlign w:val="baseline"/>
        </w:rPr>
        <w:t> </w:t>
      </w:r>
      <w:r>
        <w:rPr>
          <w:vertAlign w:val="baseline"/>
        </w:rPr>
        <w:t>on</w:t>
      </w:r>
      <w:r>
        <w:rPr>
          <w:spacing w:val="-12"/>
          <w:vertAlign w:val="baseline"/>
        </w:rPr>
        <w:t> </w:t>
      </w:r>
      <w:r>
        <w:rPr>
          <w:vertAlign w:val="baseline"/>
        </w:rPr>
        <w:t>changing</w:t>
      </w:r>
      <w:r>
        <w:rPr>
          <w:spacing w:val="-13"/>
          <w:vertAlign w:val="baseline"/>
        </w:rPr>
        <w:t> </w:t>
      </w:r>
      <w:r>
        <w:rPr>
          <w:vertAlign w:val="baseline"/>
        </w:rPr>
        <w:t>individual</w:t>
      </w:r>
      <w:r>
        <w:rPr>
          <w:spacing w:val="-12"/>
          <w:vertAlign w:val="baseline"/>
        </w:rPr>
        <w:t> </w:t>
      </w:r>
      <w:r>
        <w:rPr>
          <w:vertAlign w:val="baseline"/>
        </w:rPr>
        <w:t>behaviors to promote health, practitioners began to realize that individual health could not be achieved without creating a supporting environment in which individual behaviors occur</w:t>
      </w:r>
      <w:hyperlink w:history="true" w:anchor="_bookmark79">
        <w:r>
          <w:rPr>
            <w:vertAlign w:val="baseline"/>
          </w:rPr>
          <w:t>.</w:t>
        </w:r>
        <w:r>
          <w:rPr>
            <w:vertAlign w:val="superscript"/>
          </w:rPr>
          <w:t>5</w:t>
        </w:r>
      </w:hyperlink>
      <w:r>
        <w:rPr>
          <w:vertAlign w:val="baseline"/>
        </w:rPr>
        <w:t> When creating public health interventions, it is often simply not enough to alter an individual’s behavior, but rather taking a holistic approach that investigates and remedies higher-order concerns may serve as a better and more sustainable solution</w:t>
      </w:r>
    </w:p>
    <w:p>
      <w:pPr>
        <w:spacing w:after="0" w:line="276" w:lineRule="auto"/>
        <w:jc w:val="both"/>
        <w:sectPr>
          <w:pgSz w:w="11910" w:h="16840"/>
          <w:pgMar w:header="804" w:footer="1230" w:top="1080" w:bottom="1480" w:left="980" w:right="900"/>
        </w:sect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spacing w:before="93"/>
        <w:rPr>
          <w:sz w:val="14"/>
        </w:rPr>
      </w:pPr>
    </w:p>
    <w:p>
      <w:pPr>
        <w:spacing w:before="0"/>
        <w:ind w:left="0" w:right="281" w:firstLine="0"/>
        <w:jc w:val="right"/>
        <w:rPr>
          <w:sz w:val="14"/>
        </w:rPr>
      </w:pPr>
      <w:r>
        <w:rPr/>
        <w:drawing>
          <wp:anchor distT="0" distB="0" distL="0" distR="0" allowOverlap="1" layoutInCell="1" locked="0" behindDoc="0" simplePos="0" relativeHeight="15751680">
            <wp:simplePos x="0" y="0"/>
            <wp:positionH relativeFrom="page">
              <wp:posOffset>1068071</wp:posOffset>
            </wp:positionH>
            <wp:positionV relativeFrom="paragraph">
              <wp:posOffset>-2129159</wp:posOffset>
            </wp:positionV>
            <wp:extent cx="5363196" cy="2184252"/>
            <wp:effectExtent l="0" t="0" r="0" b="0"/>
            <wp:wrapNone/>
            <wp:docPr id="180" name="Image 180"/>
            <wp:cNvGraphicFramePr>
              <a:graphicFrameLocks/>
            </wp:cNvGraphicFramePr>
            <a:graphic>
              <a:graphicData uri="http://schemas.openxmlformats.org/drawingml/2006/picture">
                <pic:pic>
                  <pic:nvPicPr>
                    <pic:cNvPr id="180" name="Image 180"/>
                    <pic:cNvPicPr/>
                  </pic:nvPicPr>
                  <pic:blipFill>
                    <a:blip r:embed="rId129" cstate="print"/>
                    <a:stretch>
                      <a:fillRect/>
                    </a:stretch>
                  </pic:blipFill>
                  <pic:spPr>
                    <a:xfrm>
                      <a:off x="0" y="0"/>
                      <a:ext cx="5363196" cy="2184252"/>
                    </a:xfrm>
                    <a:prstGeom prst="rect">
                      <a:avLst/>
                    </a:prstGeom>
                  </pic:spPr>
                </pic:pic>
              </a:graphicData>
            </a:graphic>
          </wp:anchor>
        </w:drawing>
      </w:r>
      <w:bookmarkStart w:name="_bookmark80" w:id="199"/>
      <w:bookmarkEnd w:id="199"/>
      <w:r>
        <w:rPr/>
      </w:r>
      <w:hyperlink w:history="true" w:anchor="_bookmark79">
        <w:r>
          <w:rPr>
            <w:spacing w:val="-10"/>
            <w:sz w:val="14"/>
          </w:rPr>
          <w:t>6</w:t>
        </w:r>
      </w:hyperlink>
    </w:p>
    <w:p>
      <w:pPr>
        <w:pStyle w:val="BodyText"/>
        <w:spacing w:before="334"/>
        <w:rPr>
          <w:sz w:val="28"/>
        </w:rPr>
      </w:pPr>
    </w:p>
    <w:p>
      <w:pPr>
        <w:spacing w:before="0"/>
        <w:ind w:left="463" w:right="0" w:firstLine="0"/>
        <w:jc w:val="both"/>
        <w:rPr>
          <w:sz w:val="28"/>
        </w:rPr>
      </w:pPr>
      <w:bookmarkStart w:name="Data Limitations" w:id="200"/>
      <w:bookmarkEnd w:id="200"/>
      <w:r>
        <w:rPr/>
      </w:r>
      <w:bookmarkStart w:name="_bookmark81" w:id="201"/>
      <w:bookmarkEnd w:id="201"/>
      <w:r>
        <w:rPr/>
      </w:r>
      <w:r>
        <w:rPr>
          <w:color w:val="365F91"/>
          <w:sz w:val="28"/>
        </w:rPr>
        <w:t>Data</w:t>
      </w:r>
      <w:r>
        <w:rPr>
          <w:color w:val="365F91"/>
          <w:spacing w:val="-8"/>
          <w:sz w:val="28"/>
        </w:rPr>
        <w:t> </w:t>
      </w:r>
      <w:r>
        <w:rPr>
          <w:color w:val="365F91"/>
          <w:spacing w:val="-2"/>
          <w:sz w:val="28"/>
        </w:rPr>
        <w:t>Limitations</w:t>
      </w:r>
    </w:p>
    <w:p>
      <w:pPr>
        <w:pStyle w:val="BodyText"/>
        <w:spacing w:line="276" w:lineRule="auto" w:before="241"/>
        <w:ind w:left="463" w:right="282"/>
        <w:jc w:val="both"/>
      </w:pPr>
      <w:bookmarkStart w:name="_bookmark82" w:id="202"/>
      <w:bookmarkEnd w:id="202"/>
      <w:r>
        <w:rPr/>
      </w:r>
      <w:r>
        <w:rPr/>
        <w:t>Unfortunately, when it comes to the health outcomes of LGBTQ youth, there are glaring data gaps in most</w:t>
      </w:r>
      <w:r>
        <w:rPr>
          <w:spacing w:val="-3"/>
        </w:rPr>
        <w:t> </w:t>
      </w:r>
      <w:r>
        <w:rPr/>
        <w:t>surveys</w:t>
      </w:r>
      <w:r>
        <w:rPr>
          <w:spacing w:val="-3"/>
        </w:rPr>
        <w:t> </w:t>
      </w:r>
      <w:r>
        <w:rPr/>
        <w:t>and</w:t>
      </w:r>
      <w:r>
        <w:rPr>
          <w:spacing w:val="-3"/>
        </w:rPr>
        <w:t> </w:t>
      </w:r>
      <w:r>
        <w:rPr/>
        <w:t>studies.</w:t>
      </w:r>
      <w:r>
        <w:rPr>
          <w:spacing w:val="-3"/>
        </w:rPr>
        <w:t> </w:t>
      </w:r>
      <w:r>
        <w:rPr/>
        <w:t>Few,</w:t>
      </w:r>
      <w:r>
        <w:rPr>
          <w:spacing w:val="-3"/>
        </w:rPr>
        <w:t> </w:t>
      </w:r>
      <w:r>
        <w:rPr/>
        <w:t>if</w:t>
      </w:r>
      <w:r>
        <w:rPr>
          <w:spacing w:val="-3"/>
        </w:rPr>
        <w:t> </w:t>
      </w:r>
      <w:r>
        <w:rPr/>
        <w:t>any,</w:t>
      </w:r>
      <w:r>
        <w:rPr>
          <w:spacing w:val="-3"/>
        </w:rPr>
        <w:t> </w:t>
      </w:r>
      <w:r>
        <w:rPr/>
        <w:t>surveys</w:t>
      </w:r>
      <w:r>
        <w:rPr>
          <w:spacing w:val="-3"/>
        </w:rPr>
        <w:t> </w:t>
      </w:r>
      <w:r>
        <w:rPr/>
        <w:t>include</w:t>
      </w:r>
      <w:r>
        <w:rPr>
          <w:spacing w:val="-3"/>
        </w:rPr>
        <w:t> </w:t>
      </w:r>
      <w:r>
        <w:rPr/>
        <w:t>data</w:t>
      </w:r>
      <w:r>
        <w:rPr>
          <w:spacing w:val="-3"/>
        </w:rPr>
        <w:t> </w:t>
      </w:r>
      <w:r>
        <w:rPr/>
        <w:t>about</w:t>
      </w:r>
      <w:r>
        <w:rPr>
          <w:spacing w:val="-3"/>
        </w:rPr>
        <w:t> </w:t>
      </w:r>
      <w:r>
        <w:rPr/>
        <w:t>intersex</w:t>
      </w:r>
      <w:r>
        <w:rPr>
          <w:spacing w:val="-3"/>
        </w:rPr>
        <w:t> </w:t>
      </w:r>
      <w:r>
        <w:rPr/>
        <w:t>youth</w:t>
      </w:r>
      <w:r>
        <w:rPr>
          <w:spacing w:val="-3"/>
        </w:rPr>
        <w:t> </w:t>
      </w:r>
      <w:r>
        <w:rPr/>
        <w:t>outside</w:t>
      </w:r>
      <w:r>
        <w:rPr>
          <w:spacing w:val="-3"/>
        </w:rPr>
        <w:t> </w:t>
      </w:r>
      <w:r>
        <w:rPr/>
        <w:t>of</w:t>
      </w:r>
      <w:r>
        <w:rPr>
          <w:spacing w:val="-3"/>
        </w:rPr>
        <w:t> </w:t>
      </w:r>
      <w:r>
        <w:rPr/>
        <w:t>a</w:t>
      </w:r>
      <w:r>
        <w:rPr>
          <w:spacing w:val="-2"/>
        </w:rPr>
        <w:t> </w:t>
      </w:r>
      <w:r>
        <w:rPr/>
        <w:t>biomedical and medicalized context. Aromantic, asexual, and pansexual youth are largely left out of survey data, although some organizations have begun to include a more inclusive array of sexualities for study participants to choose from. Most studies have a very small number of non-white participants. Data regarding disability and neurodiversity is rarely, if ever, collected in surveys. Many data sets simply do not consider the intersecting identities that LGBTQ youth may hold nor the intersecting systems of oppression</w:t>
      </w:r>
      <w:r>
        <w:rPr>
          <w:spacing w:val="-13"/>
        </w:rPr>
        <w:t> </w:t>
      </w:r>
      <w:r>
        <w:rPr/>
        <w:t>that</w:t>
      </w:r>
      <w:r>
        <w:rPr>
          <w:spacing w:val="-12"/>
        </w:rPr>
        <w:t> </w:t>
      </w:r>
      <w:r>
        <w:rPr/>
        <w:t>LGBTQ</w:t>
      </w:r>
      <w:r>
        <w:rPr>
          <w:spacing w:val="-13"/>
        </w:rPr>
        <w:t> </w:t>
      </w:r>
      <w:r>
        <w:rPr/>
        <w:t>youths</w:t>
      </w:r>
      <w:r>
        <w:rPr>
          <w:spacing w:val="-11"/>
        </w:rPr>
        <w:t> </w:t>
      </w:r>
      <w:r>
        <w:rPr/>
        <w:t>may</w:t>
      </w:r>
      <w:r>
        <w:rPr>
          <w:spacing w:val="-11"/>
        </w:rPr>
        <w:t> </w:t>
      </w:r>
      <w:r>
        <w:rPr/>
        <w:t>live</w:t>
      </w:r>
      <w:r>
        <w:rPr>
          <w:spacing w:val="-12"/>
        </w:rPr>
        <w:t> </w:t>
      </w:r>
      <w:r>
        <w:rPr/>
        <w:t>under.</w:t>
      </w:r>
      <w:r>
        <w:rPr>
          <w:spacing w:val="-12"/>
        </w:rPr>
        <w:t> </w:t>
      </w:r>
      <w:r>
        <w:rPr/>
        <w:t>LGBTQ</w:t>
      </w:r>
      <w:r>
        <w:rPr>
          <w:spacing w:val="-10"/>
        </w:rPr>
        <w:t> </w:t>
      </w:r>
      <w:r>
        <w:rPr/>
        <w:t>youths</w:t>
      </w:r>
      <w:r>
        <w:rPr>
          <w:spacing w:val="-12"/>
        </w:rPr>
        <w:t> </w:t>
      </w:r>
      <w:r>
        <w:rPr/>
        <w:t>are</w:t>
      </w:r>
      <w:r>
        <w:rPr>
          <w:spacing w:val="-12"/>
        </w:rPr>
        <w:t> </w:t>
      </w:r>
      <w:r>
        <w:rPr/>
        <w:t>often</w:t>
      </w:r>
      <w:r>
        <w:rPr>
          <w:spacing w:val="-12"/>
        </w:rPr>
        <w:t> </w:t>
      </w:r>
      <w:r>
        <w:rPr/>
        <w:t>treated</w:t>
      </w:r>
      <w:r>
        <w:rPr>
          <w:spacing w:val="-12"/>
        </w:rPr>
        <w:t> </w:t>
      </w:r>
      <w:r>
        <w:rPr/>
        <w:t>as</w:t>
      </w:r>
      <w:r>
        <w:rPr>
          <w:spacing w:val="-12"/>
        </w:rPr>
        <w:t> </w:t>
      </w:r>
      <w:r>
        <w:rPr/>
        <w:t>a</w:t>
      </w:r>
      <w:r>
        <w:rPr>
          <w:spacing w:val="-11"/>
        </w:rPr>
        <w:t> </w:t>
      </w:r>
      <w:r>
        <w:rPr/>
        <w:t>monolith,</w:t>
      </w:r>
      <w:r>
        <w:rPr>
          <w:spacing w:val="-10"/>
        </w:rPr>
        <w:t> </w:t>
      </w:r>
      <w:r>
        <w:rPr/>
        <w:t>rather</w:t>
      </w:r>
      <w:r>
        <w:rPr>
          <w:spacing w:val="-11"/>
        </w:rPr>
        <w:t> </w:t>
      </w:r>
      <w:r>
        <w:rPr/>
        <w:t>than a group of unique individuals with their own identities, risk factors, and protective factors.</w:t>
      </w:r>
    </w:p>
    <w:p>
      <w:pPr>
        <w:pStyle w:val="BodyText"/>
        <w:spacing w:line="276" w:lineRule="auto" w:before="240"/>
        <w:ind w:left="463" w:right="280"/>
        <w:jc w:val="both"/>
      </w:pPr>
      <w:bookmarkStart w:name="_bookmark83" w:id="203"/>
      <w:bookmarkEnd w:id="203"/>
      <w:r>
        <w:rPr/>
      </w:r>
      <w:r>
        <w:rPr/>
        <w:t>To</w:t>
      </w:r>
      <w:r>
        <w:rPr>
          <w:spacing w:val="-2"/>
        </w:rPr>
        <w:t> </w:t>
      </w:r>
      <w:r>
        <w:rPr/>
        <w:t>combat</w:t>
      </w:r>
      <w:r>
        <w:rPr>
          <w:spacing w:val="-2"/>
        </w:rPr>
        <w:t> </w:t>
      </w:r>
      <w:r>
        <w:rPr/>
        <w:t>these</w:t>
      </w:r>
      <w:r>
        <w:rPr>
          <w:spacing w:val="-3"/>
        </w:rPr>
        <w:t> </w:t>
      </w:r>
      <w:r>
        <w:rPr/>
        <w:t>gaps,</w:t>
      </w:r>
      <w:r>
        <w:rPr>
          <w:spacing w:val="-3"/>
        </w:rPr>
        <w:t> </w:t>
      </w:r>
      <w:r>
        <w:rPr/>
        <w:t>public</w:t>
      </w:r>
      <w:r>
        <w:rPr>
          <w:spacing w:val="-3"/>
        </w:rPr>
        <w:t> </w:t>
      </w:r>
      <w:r>
        <w:rPr/>
        <w:t>health</w:t>
      </w:r>
      <w:r>
        <w:rPr>
          <w:spacing w:val="-2"/>
        </w:rPr>
        <w:t> </w:t>
      </w:r>
      <w:r>
        <w:rPr/>
        <w:t>research</w:t>
      </w:r>
      <w:r>
        <w:rPr>
          <w:spacing w:val="-2"/>
        </w:rPr>
        <w:t> </w:t>
      </w:r>
      <w:r>
        <w:rPr/>
        <w:t>must</w:t>
      </w:r>
      <w:r>
        <w:rPr>
          <w:spacing w:val="-2"/>
        </w:rPr>
        <w:t> </w:t>
      </w:r>
      <w:r>
        <w:rPr/>
        <w:t>be</w:t>
      </w:r>
      <w:r>
        <w:rPr>
          <w:spacing w:val="-3"/>
        </w:rPr>
        <w:t> </w:t>
      </w:r>
      <w:r>
        <w:rPr/>
        <w:t>deliberate</w:t>
      </w:r>
      <w:r>
        <w:rPr>
          <w:spacing w:val="-2"/>
        </w:rPr>
        <w:t> </w:t>
      </w:r>
      <w:r>
        <w:rPr/>
        <w:t>in</w:t>
      </w:r>
      <w:r>
        <w:rPr>
          <w:spacing w:val="-3"/>
        </w:rPr>
        <w:t> </w:t>
      </w:r>
      <w:r>
        <w:rPr/>
        <w:t>its</w:t>
      </w:r>
      <w:r>
        <w:rPr>
          <w:spacing w:val="-1"/>
        </w:rPr>
        <w:t> </w:t>
      </w:r>
      <w:r>
        <w:rPr/>
        <w:t>data</w:t>
      </w:r>
      <w:r>
        <w:rPr>
          <w:spacing w:val="-1"/>
        </w:rPr>
        <w:t> </w:t>
      </w:r>
      <w:r>
        <w:rPr/>
        <w:t>collection.</w:t>
      </w:r>
      <w:r>
        <w:rPr>
          <w:spacing w:val="-2"/>
        </w:rPr>
        <w:t> </w:t>
      </w:r>
      <w:r>
        <w:rPr/>
        <w:t>There</w:t>
      </w:r>
      <w:r>
        <w:rPr>
          <w:spacing w:val="-2"/>
        </w:rPr>
        <w:t> </w:t>
      </w:r>
      <w:r>
        <w:rPr/>
        <w:t>are</w:t>
      </w:r>
      <w:r>
        <w:rPr>
          <w:spacing w:val="-3"/>
        </w:rPr>
        <w:t> </w:t>
      </w:r>
      <w:r>
        <w:rPr/>
        <w:t>several professional and non-profit organizations that have produced recommendations, including the Juvenile Justice Policy and Data Board</w:t>
      </w:r>
      <w:hyperlink w:history="true" w:anchor="_bookmark79">
        <w:r>
          <w:rPr/>
          <w:t>,</w:t>
        </w:r>
        <w:r>
          <w:rPr>
            <w:vertAlign w:val="superscript"/>
          </w:rPr>
          <w:t>7</w:t>
        </w:r>
      </w:hyperlink>
      <w:r>
        <w:rPr>
          <w:vertAlign w:val="baseline"/>
        </w:rPr>
        <w:t> the Human Rights Campaign,</w:t>
      </w:r>
      <w:r>
        <w:rPr>
          <w:vertAlign w:val="superscript"/>
        </w:rPr>
        <w:t>8</w:t>
      </w:r>
      <w:r>
        <w:rPr>
          <w:vertAlign w:val="baseline"/>
        </w:rPr>
        <w:t> and the National LGBTQIA+ Health Education Center. </w:t>
      </w:r>
      <w:hyperlink w:history="true" w:anchor="_bookmark80">
        <w:r>
          <w:rPr>
            <w:vertAlign w:val="superscript"/>
          </w:rPr>
          <w:t>9</w:t>
        </w:r>
      </w:hyperlink>
      <w:r>
        <w:rPr>
          <w:vertAlign w:val="baseline"/>
        </w:rPr>
        <w:t> Beyond just collecting SOGIE (sexual orientation and gender identity/expression) data, it is also extremely important to collect data regarding program participation.</w:t>
      </w:r>
    </w:p>
    <w:p>
      <w:pPr>
        <w:pStyle w:val="BodyText"/>
        <w:spacing w:before="11"/>
      </w:pPr>
    </w:p>
    <w:p>
      <w:pPr>
        <w:spacing w:before="0"/>
        <w:ind w:left="180" w:right="1" w:firstLine="0"/>
        <w:jc w:val="center"/>
        <w:rPr>
          <w:sz w:val="24"/>
        </w:rPr>
      </w:pPr>
      <w:bookmarkStart w:name="_bookmark84" w:id="204"/>
      <w:bookmarkEnd w:id="204"/>
      <w:r>
        <w:rPr/>
      </w:r>
      <w:r>
        <w:rPr>
          <w:color w:val="0F6DC5"/>
          <w:sz w:val="24"/>
        </w:rPr>
        <w:t>Which</w:t>
      </w:r>
      <w:r>
        <w:rPr>
          <w:color w:val="0F6DC5"/>
          <w:spacing w:val="-5"/>
          <w:sz w:val="24"/>
        </w:rPr>
        <w:t> </w:t>
      </w:r>
      <w:r>
        <w:rPr>
          <w:color w:val="0F6DC5"/>
          <w:sz w:val="24"/>
        </w:rPr>
        <w:t>youths</w:t>
      </w:r>
      <w:r>
        <w:rPr>
          <w:color w:val="0F6DC5"/>
          <w:spacing w:val="-3"/>
          <w:sz w:val="24"/>
        </w:rPr>
        <w:t> </w:t>
      </w:r>
      <w:r>
        <w:rPr>
          <w:color w:val="0F6DC5"/>
          <w:sz w:val="24"/>
        </w:rPr>
        <w:t>are</w:t>
      </w:r>
      <w:r>
        <w:rPr>
          <w:color w:val="0F6DC5"/>
          <w:spacing w:val="-1"/>
          <w:sz w:val="24"/>
        </w:rPr>
        <w:t> </w:t>
      </w:r>
      <w:r>
        <w:rPr>
          <w:color w:val="0F6DC5"/>
          <w:sz w:val="24"/>
        </w:rPr>
        <w:t>engaging</w:t>
      </w:r>
      <w:r>
        <w:rPr>
          <w:color w:val="0F6DC5"/>
          <w:spacing w:val="-3"/>
          <w:sz w:val="24"/>
        </w:rPr>
        <w:t> </w:t>
      </w:r>
      <w:r>
        <w:rPr>
          <w:color w:val="0F6DC5"/>
          <w:sz w:val="24"/>
        </w:rPr>
        <w:t>in</w:t>
      </w:r>
      <w:r>
        <w:rPr>
          <w:color w:val="0F6DC5"/>
          <w:spacing w:val="-2"/>
          <w:sz w:val="24"/>
        </w:rPr>
        <w:t> </w:t>
      </w:r>
      <w:r>
        <w:rPr>
          <w:color w:val="0F6DC5"/>
          <w:sz w:val="24"/>
        </w:rPr>
        <w:t>public</w:t>
      </w:r>
      <w:r>
        <w:rPr>
          <w:color w:val="0F6DC5"/>
          <w:spacing w:val="-2"/>
          <w:sz w:val="24"/>
        </w:rPr>
        <w:t> </w:t>
      </w:r>
      <w:r>
        <w:rPr>
          <w:color w:val="0F6DC5"/>
          <w:sz w:val="24"/>
        </w:rPr>
        <w:t>health</w:t>
      </w:r>
      <w:r>
        <w:rPr>
          <w:color w:val="0F6DC5"/>
          <w:spacing w:val="-2"/>
          <w:sz w:val="24"/>
        </w:rPr>
        <w:t> programming?</w:t>
      </w:r>
    </w:p>
    <w:p>
      <w:pPr>
        <w:pStyle w:val="BodyText"/>
        <w:spacing w:before="17"/>
        <w:rPr>
          <w:sz w:val="24"/>
        </w:rPr>
      </w:pPr>
    </w:p>
    <w:p>
      <w:pPr>
        <w:spacing w:before="0"/>
        <w:ind w:left="180" w:right="0" w:firstLine="0"/>
        <w:jc w:val="center"/>
        <w:rPr>
          <w:sz w:val="24"/>
        </w:rPr>
      </w:pPr>
      <w:bookmarkStart w:name="_bookmark85" w:id="205"/>
      <w:bookmarkEnd w:id="205"/>
      <w:r>
        <w:rPr/>
      </w:r>
      <w:r>
        <w:rPr>
          <w:color w:val="0F6DC5"/>
          <w:sz w:val="24"/>
        </w:rPr>
        <w:t>Which</w:t>
      </w:r>
      <w:r>
        <w:rPr>
          <w:color w:val="0F6DC5"/>
          <w:spacing w:val="-3"/>
          <w:sz w:val="24"/>
        </w:rPr>
        <w:t> </w:t>
      </w:r>
      <w:r>
        <w:rPr>
          <w:color w:val="0F6DC5"/>
          <w:sz w:val="24"/>
        </w:rPr>
        <w:t>youths</w:t>
      </w:r>
      <w:r>
        <w:rPr>
          <w:color w:val="0F6DC5"/>
          <w:spacing w:val="-2"/>
          <w:sz w:val="24"/>
        </w:rPr>
        <w:t> </w:t>
      </w:r>
      <w:r>
        <w:rPr>
          <w:color w:val="0F6DC5"/>
          <w:sz w:val="24"/>
        </w:rPr>
        <w:t>are</w:t>
      </w:r>
      <w:r>
        <w:rPr>
          <w:color w:val="0F6DC5"/>
          <w:spacing w:val="-1"/>
          <w:sz w:val="24"/>
        </w:rPr>
        <w:t> </w:t>
      </w:r>
      <w:r>
        <w:rPr>
          <w:color w:val="0F6DC5"/>
          <w:sz w:val="24"/>
        </w:rPr>
        <w:t>falling</w:t>
      </w:r>
      <w:r>
        <w:rPr>
          <w:color w:val="0F6DC5"/>
          <w:spacing w:val="-3"/>
          <w:sz w:val="24"/>
        </w:rPr>
        <w:t> </w:t>
      </w:r>
      <w:r>
        <w:rPr>
          <w:color w:val="0F6DC5"/>
          <w:sz w:val="24"/>
        </w:rPr>
        <w:t>through</w:t>
      </w:r>
      <w:r>
        <w:rPr>
          <w:color w:val="0F6DC5"/>
          <w:spacing w:val="-2"/>
          <w:sz w:val="24"/>
        </w:rPr>
        <w:t> </w:t>
      </w:r>
      <w:r>
        <w:rPr>
          <w:color w:val="0F6DC5"/>
          <w:sz w:val="24"/>
        </w:rPr>
        <w:t>the</w:t>
      </w:r>
      <w:r>
        <w:rPr>
          <w:color w:val="0F6DC5"/>
          <w:spacing w:val="-1"/>
          <w:sz w:val="24"/>
        </w:rPr>
        <w:t> </w:t>
      </w:r>
      <w:r>
        <w:rPr>
          <w:color w:val="0F6DC5"/>
          <w:spacing w:val="-2"/>
          <w:sz w:val="24"/>
        </w:rPr>
        <w:t>cracks?</w:t>
      </w:r>
    </w:p>
    <w:p>
      <w:pPr>
        <w:pStyle w:val="BodyText"/>
        <w:spacing w:before="4"/>
        <w:rPr>
          <w:sz w:val="24"/>
        </w:rPr>
      </w:pPr>
    </w:p>
    <w:p>
      <w:pPr>
        <w:pStyle w:val="BodyText"/>
        <w:spacing w:line="276" w:lineRule="auto"/>
        <w:ind w:left="463" w:right="281"/>
        <w:jc w:val="both"/>
      </w:pPr>
      <w:bookmarkStart w:name="_bookmark86" w:id="206"/>
      <w:bookmarkEnd w:id="206"/>
      <w:r>
        <w:rPr/>
      </w:r>
      <w:r>
        <w:rPr/>
        <w:t>Without capturing this vital data, it is incredibly difficult to understand whether interventions and resources are appropriately serving LGBTQ youth. Without knowing this information, public health practitioners cannot successfully implement improved interventions. Of course, </w:t>
      </w:r>
      <w:r>
        <w:rPr>
          <w:color w:val="000000"/>
          <w:shd w:fill="FAFAFA" w:color="auto" w:val="clear"/>
        </w:rPr>
        <w:t>not every</w:t>
      </w:r>
      <w:r>
        <w:rPr>
          <w:color w:val="000000"/>
        </w:rPr>
        <w:t> </w:t>
      </w:r>
      <w:r>
        <w:rPr>
          <w:color w:val="000000"/>
          <w:shd w:fill="FAFAFA" w:color="auto" w:val="clear"/>
        </w:rPr>
        <w:t>intervention</w:t>
      </w:r>
      <w:r>
        <w:rPr>
          <w:color w:val="000000"/>
        </w:rPr>
        <w:t> </w:t>
      </w:r>
      <w:r>
        <w:rPr>
          <w:color w:val="000000"/>
          <w:shd w:fill="FAFAFA" w:color="auto" w:val="clear"/>
        </w:rPr>
        <w:t>will</w:t>
      </w:r>
      <w:r>
        <w:rPr>
          <w:color w:val="000000"/>
          <w:spacing w:val="-11"/>
          <w:shd w:fill="FAFAFA" w:color="auto" w:val="clear"/>
        </w:rPr>
        <w:t> </w:t>
      </w:r>
      <w:r>
        <w:rPr>
          <w:color w:val="000000"/>
          <w:shd w:fill="FAFAFA" w:color="auto" w:val="clear"/>
        </w:rPr>
        <w:t>be</w:t>
      </w:r>
      <w:r>
        <w:rPr>
          <w:color w:val="000000"/>
          <w:spacing w:val="-11"/>
          <w:shd w:fill="FAFAFA" w:color="auto" w:val="clear"/>
        </w:rPr>
        <w:t> </w:t>
      </w:r>
      <w:r>
        <w:rPr>
          <w:color w:val="000000"/>
          <w:shd w:fill="FAFAFA" w:color="auto" w:val="clear"/>
        </w:rPr>
        <w:t>appropriate</w:t>
      </w:r>
      <w:r>
        <w:rPr>
          <w:color w:val="000000"/>
          <w:spacing w:val="-11"/>
          <w:shd w:fill="FAFAFA" w:color="auto" w:val="clear"/>
        </w:rPr>
        <w:t> </w:t>
      </w:r>
      <w:r>
        <w:rPr>
          <w:color w:val="000000"/>
          <w:shd w:fill="FAFAFA" w:color="auto" w:val="clear"/>
        </w:rPr>
        <w:t>for</w:t>
      </w:r>
      <w:r>
        <w:rPr>
          <w:color w:val="000000"/>
          <w:spacing w:val="-11"/>
          <w:shd w:fill="FAFAFA" w:color="auto" w:val="clear"/>
        </w:rPr>
        <w:t> </w:t>
      </w:r>
      <w:r>
        <w:rPr>
          <w:color w:val="000000"/>
          <w:shd w:fill="FAFAFA" w:color="auto" w:val="clear"/>
        </w:rPr>
        <w:t>every</w:t>
      </w:r>
      <w:r>
        <w:rPr>
          <w:color w:val="000000"/>
          <w:spacing w:val="-11"/>
          <w:shd w:fill="FAFAFA" w:color="auto" w:val="clear"/>
        </w:rPr>
        <w:t> </w:t>
      </w:r>
      <w:r>
        <w:rPr>
          <w:color w:val="000000"/>
          <w:shd w:fill="FAFAFA" w:color="auto" w:val="clear"/>
        </w:rPr>
        <w:t>youth,</w:t>
      </w:r>
      <w:r>
        <w:rPr>
          <w:color w:val="000000"/>
          <w:spacing w:val="-11"/>
          <w:shd w:fill="FAFAFA" w:color="auto" w:val="clear"/>
        </w:rPr>
        <w:t> </w:t>
      </w:r>
      <w:r>
        <w:rPr>
          <w:color w:val="000000"/>
          <w:shd w:fill="FAFAFA" w:color="auto" w:val="clear"/>
        </w:rPr>
        <w:t>but</w:t>
      </w:r>
      <w:r>
        <w:rPr>
          <w:color w:val="000000"/>
          <w:spacing w:val="-10"/>
          <w:shd w:fill="FAFAFA" w:color="auto" w:val="clear"/>
        </w:rPr>
        <w:t> </w:t>
      </w:r>
      <w:r>
        <w:rPr>
          <w:color w:val="000000"/>
          <w:shd w:fill="FAFAFA" w:color="auto" w:val="clear"/>
        </w:rPr>
        <w:t>programming</w:t>
      </w:r>
      <w:r>
        <w:rPr>
          <w:color w:val="000000"/>
          <w:spacing w:val="-10"/>
          <w:shd w:fill="FAFAFA" w:color="auto" w:val="clear"/>
        </w:rPr>
        <w:t> </w:t>
      </w:r>
      <w:r>
        <w:rPr>
          <w:color w:val="000000"/>
          <w:shd w:fill="FAFAFA" w:color="auto" w:val="clear"/>
        </w:rPr>
        <w:t>and</w:t>
      </w:r>
      <w:r>
        <w:rPr>
          <w:color w:val="000000"/>
          <w:spacing w:val="-11"/>
          <w:shd w:fill="FAFAFA" w:color="auto" w:val="clear"/>
        </w:rPr>
        <w:t> </w:t>
      </w:r>
      <w:r>
        <w:rPr>
          <w:color w:val="000000"/>
          <w:shd w:fill="FAFAFA" w:color="auto" w:val="clear"/>
        </w:rPr>
        <w:t>community</w:t>
      </w:r>
      <w:r>
        <w:rPr>
          <w:color w:val="000000"/>
          <w:spacing w:val="-11"/>
          <w:shd w:fill="FAFAFA" w:color="auto" w:val="clear"/>
        </w:rPr>
        <w:t> </w:t>
      </w:r>
      <w:r>
        <w:rPr>
          <w:color w:val="000000"/>
          <w:shd w:fill="FAFAFA" w:color="auto" w:val="clear"/>
        </w:rPr>
        <w:t>resources</w:t>
      </w:r>
      <w:r>
        <w:rPr>
          <w:color w:val="000000"/>
          <w:spacing w:val="-10"/>
          <w:shd w:fill="FAFAFA" w:color="auto" w:val="clear"/>
        </w:rPr>
        <w:t> </w:t>
      </w:r>
      <w:r>
        <w:rPr>
          <w:color w:val="000000"/>
          <w:shd w:fill="FAFAFA" w:color="auto" w:val="clear"/>
        </w:rPr>
        <w:t>should</w:t>
      </w:r>
      <w:r>
        <w:rPr>
          <w:color w:val="000000"/>
          <w:spacing w:val="-10"/>
        </w:rPr>
        <w:t> </w:t>
      </w:r>
      <w:r>
        <w:rPr>
          <w:color w:val="000000"/>
          <w:shd w:fill="FAFAFA" w:color="auto" w:val="clear"/>
        </w:rPr>
        <w:t>be</w:t>
      </w:r>
      <w:r>
        <w:rPr>
          <w:color w:val="000000"/>
          <w:spacing w:val="-11"/>
          <w:shd w:fill="FAFAFA" w:color="auto" w:val="clear"/>
        </w:rPr>
        <w:t> </w:t>
      </w:r>
      <w:r>
        <w:rPr>
          <w:color w:val="000000"/>
          <w:shd w:fill="FAFAFA" w:color="auto" w:val="clear"/>
        </w:rPr>
        <w:t>designed</w:t>
      </w:r>
      <w:r>
        <w:rPr>
          <w:color w:val="000000"/>
          <w:spacing w:val="-11"/>
          <w:shd w:fill="FAFAFA" w:color="auto" w:val="clear"/>
        </w:rPr>
        <w:t> </w:t>
      </w:r>
      <w:r>
        <w:rPr>
          <w:color w:val="000000"/>
          <w:shd w:fill="FAFAFA" w:color="auto" w:val="clear"/>
        </w:rPr>
        <w:t>with</w:t>
      </w:r>
      <w:r>
        <w:rPr>
          <w:color w:val="000000"/>
        </w:rPr>
        <w:t> </w:t>
      </w:r>
      <w:r>
        <w:rPr>
          <w:color w:val="000000"/>
          <w:shd w:fill="FAFAFA" w:color="auto" w:val="clear"/>
        </w:rPr>
        <w:t>the needs of the youth with</w:t>
      </w:r>
      <w:r>
        <w:rPr>
          <w:color w:val="000000"/>
          <w:spacing w:val="-1"/>
          <w:shd w:fill="FAFAFA" w:color="auto" w:val="clear"/>
        </w:rPr>
        <w:t> </w:t>
      </w:r>
      <w:r>
        <w:rPr>
          <w:color w:val="000000"/>
          <w:shd w:fill="FAFAFA" w:color="auto" w:val="clear"/>
        </w:rPr>
        <w:t>the most barriers to access in mind. Keeping them</w:t>
      </w:r>
      <w:r>
        <w:rPr>
          <w:color w:val="000000"/>
          <w:spacing w:val="-1"/>
          <w:shd w:fill="FAFAFA" w:color="auto" w:val="clear"/>
        </w:rPr>
        <w:t> </w:t>
      </w:r>
      <w:r>
        <w:rPr>
          <w:color w:val="000000"/>
          <w:shd w:fill="FAFAFA" w:color="auto" w:val="clear"/>
        </w:rPr>
        <w:t>at</w:t>
      </w:r>
      <w:r>
        <w:rPr>
          <w:color w:val="000000"/>
        </w:rPr>
        <w:t> </w:t>
      </w:r>
      <w:r>
        <w:rPr>
          <w:color w:val="000000"/>
          <w:shd w:fill="FAFAFA" w:color="auto" w:val="clear"/>
        </w:rPr>
        <w:t>the core of any public</w:t>
      </w:r>
      <w:r>
        <w:rPr>
          <w:color w:val="000000"/>
        </w:rPr>
        <w:t> </w:t>
      </w:r>
      <w:r>
        <w:rPr>
          <w:color w:val="000000"/>
          <w:shd w:fill="FAFAFA" w:color="auto" w:val="clear"/>
        </w:rPr>
        <w:t>health intervention will allow the maximum number of youth to be supported.</w:t>
      </w:r>
    </w:p>
    <w:p>
      <w:pPr>
        <w:spacing w:after="0" w:line="276" w:lineRule="auto"/>
        <w:jc w:val="both"/>
        <w:sectPr>
          <w:pgSz w:w="11910" w:h="16840"/>
          <w:pgMar w:header="804" w:footer="1230" w:top="1080" w:bottom="1480" w:left="980" w:right="900"/>
        </w:sectPr>
      </w:pPr>
    </w:p>
    <w:p>
      <w:pPr>
        <w:spacing w:before="108"/>
        <w:ind w:left="463" w:right="0" w:firstLine="0"/>
        <w:jc w:val="both"/>
        <w:rPr>
          <w:sz w:val="28"/>
        </w:rPr>
      </w:pPr>
      <w:bookmarkStart w:name="Intimate Partner Violence" w:id="207"/>
      <w:bookmarkEnd w:id="207"/>
      <w:r>
        <w:rPr/>
      </w:r>
      <w:bookmarkStart w:name="_bookmark87" w:id="208"/>
      <w:bookmarkEnd w:id="208"/>
      <w:r>
        <w:rPr/>
      </w:r>
      <w:r>
        <w:rPr>
          <w:color w:val="365F91"/>
          <w:sz w:val="28"/>
        </w:rPr>
        <w:t>Intimate</w:t>
      </w:r>
      <w:r>
        <w:rPr>
          <w:color w:val="365F91"/>
          <w:spacing w:val="-13"/>
          <w:sz w:val="28"/>
        </w:rPr>
        <w:t> </w:t>
      </w:r>
      <w:r>
        <w:rPr>
          <w:color w:val="365F91"/>
          <w:sz w:val="28"/>
        </w:rPr>
        <w:t>Partner</w:t>
      </w:r>
      <w:r>
        <w:rPr>
          <w:color w:val="365F91"/>
          <w:spacing w:val="-13"/>
          <w:sz w:val="28"/>
        </w:rPr>
        <w:t> </w:t>
      </w:r>
      <w:r>
        <w:rPr>
          <w:color w:val="365F91"/>
          <w:spacing w:val="-2"/>
          <w:sz w:val="28"/>
        </w:rPr>
        <w:t>Violence</w:t>
      </w:r>
    </w:p>
    <w:p>
      <w:pPr>
        <w:pStyle w:val="BodyText"/>
        <w:spacing w:line="276" w:lineRule="auto" w:before="293"/>
        <w:ind w:left="463" w:right="282"/>
        <w:jc w:val="both"/>
      </w:pPr>
      <w:bookmarkStart w:name="_bookmark88" w:id="209"/>
      <w:bookmarkEnd w:id="209"/>
      <w:r>
        <w:rPr/>
      </w:r>
      <w:r>
        <w:rPr/>
        <w:t>Intimate partner violence, also known as relationship violence, dating violence, or domestic violence, affects</w:t>
      </w:r>
      <w:r>
        <w:rPr>
          <w:spacing w:val="-7"/>
        </w:rPr>
        <w:t> </w:t>
      </w:r>
      <w:r>
        <w:rPr/>
        <w:t>an</w:t>
      </w:r>
      <w:r>
        <w:rPr>
          <w:spacing w:val="-8"/>
        </w:rPr>
        <w:t> </w:t>
      </w:r>
      <w:r>
        <w:rPr/>
        <w:t>alarming</w:t>
      </w:r>
      <w:r>
        <w:rPr>
          <w:spacing w:val="-7"/>
        </w:rPr>
        <w:t> </w:t>
      </w:r>
      <w:r>
        <w:rPr/>
        <w:t>percentage</w:t>
      </w:r>
      <w:r>
        <w:rPr>
          <w:spacing w:val="-7"/>
        </w:rPr>
        <w:t> </w:t>
      </w:r>
      <w:r>
        <w:rPr/>
        <w:t>of</w:t>
      </w:r>
      <w:r>
        <w:rPr>
          <w:spacing w:val="-8"/>
        </w:rPr>
        <w:t> </w:t>
      </w:r>
      <w:r>
        <w:rPr/>
        <w:t>LGBTQ</w:t>
      </w:r>
      <w:r>
        <w:rPr>
          <w:spacing w:val="-8"/>
        </w:rPr>
        <w:t> </w:t>
      </w:r>
      <w:r>
        <w:rPr/>
        <w:t>youth.</w:t>
      </w:r>
      <w:r>
        <w:rPr>
          <w:spacing w:val="-7"/>
        </w:rPr>
        <w:t> </w:t>
      </w:r>
      <w:r>
        <w:rPr/>
        <w:t>Intimate</w:t>
      </w:r>
      <w:r>
        <w:rPr>
          <w:spacing w:val="-7"/>
        </w:rPr>
        <w:t> </w:t>
      </w:r>
      <w:r>
        <w:rPr/>
        <w:t>partner</w:t>
      </w:r>
      <w:r>
        <w:rPr>
          <w:spacing w:val="-6"/>
        </w:rPr>
        <w:t> </w:t>
      </w:r>
      <w:r>
        <w:rPr/>
        <w:t>violence</w:t>
      </w:r>
      <w:r>
        <w:rPr>
          <w:spacing w:val="-7"/>
        </w:rPr>
        <w:t> </w:t>
      </w:r>
      <w:r>
        <w:rPr/>
        <w:t>is</w:t>
      </w:r>
      <w:r>
        <w:rPr>
          <w:spacing w:val="-7"/>
        </w:rPr>
        <w:t> </w:t>
      </w:r>
      <w:r>
        <w:rPr/>
        <w:t>a</w:t>
      </w:r>
      <w:r>
        <w:rPr>
          <w:spacing w:val="-6"/>
        </w:rPr>
        <w:t> </w:t>
      </w:r>
      <w:r>
        <w:rPr/>
        <w:t>serious</w:t>
      </w:r>
      <w:r>
        <w:rPr>
          <w:spacing w:val="-7"/>
        </w:rPr>
        <w:t> </w:t>
      </w:r>
      <w:r>
        <w:rPr/>
        <w:t>public</w:t>
      </w:r>
      <w:r>
        <w:rPr>
          <w:spacing w:val="-6"/>
        </w:rPr>
        <w:t> </w:t>
      </w:r>
      <w:r>
        <w:rPr/>
        <w:t>health</w:t>
      </w:r>
      <w:r>
        <w:rPr>
          <w:spacing w:val="-7"/>
        </w:rPr>
        <w:t> </w:t>
      </w:r>
      <w:r>
        <w:rPr/>
        <w:t>issue that</w:t>
      </w:r>
      <w:r>
        <w:rPr>
          <w:spacing w:val="-9"/>
        </w:rPr>
        <w:t> </w:t>
      </w:r>
      <w:r>
        <w:rPr/>
        <w:t>can</w:t>
      </w:r>
      <w:r>
        <w:rPr>
          <w:spacing w:val="-9"/>
        </w:rPr>
        <w:t> </w:t>
      </w:r>
      <w:r>
        <w:rPr/>
        <w:t>have</w:t>
      </w:r>
      <w:r>
        <w:rPr>
          <w:spacing w:val="-9"/>
        </w:rPr>
        <w:t> </w:t>
      </w:r>
      <w:r>
        <w:rPr/>
        <w:t>long-term</w:t>
      </w:r>
      <w:r>
        <w:rPr>
          <w:spacing w:val="-9"/>
        </w:rPr>
        <w:t> </w:t>
      </w:r>
      <w:r>
        <w:rPr/>
        <w:t>negative</w:t>
      </w:r>
      <w:r>
        <w:rPr>
          <w:spacing w:val="-10"/>
        </w:rPr>
        <w:t> </w:t>
      </w:r>
      <w:r>
        <w:rPr/>
        <w:t>effects</w:t>
      </w:r>
      <w:r>
        <w:rPr>
          <w:spacing w:val="-8"/>
        </w:rPr>
        <w:t> </w:t>
      </w:r>
      <w:r>
        <w:rPr/>
        <w:t>on</w:t>
      </w:r>
      <w:r>
        <w:rPr>
          <w:spacing w:val="-10"/>
        </w:rPr>
        <w:t> </w:t>
      </w:r>
      <w:r>
        <w:rPr/>
        <w:t>survivors’</w:t>
      </w:r>
      <w:r>
        <w:rPr>
          <w:spacing w:val="-10"/>
        </w:rPr>
        <w:t> </w:t>
      </w:r>
      <w:r>
        <w:rPr/>
        <w:t>physical,</w:t>
      </w:r>
      <w:r>
        <w:rPr>
          <w:spacing w:val="-10"/>
        </w:rPr>
        <w:t> </w:t>
      </w:r>
      <w:r>
        <w:rPr/>
        <w:t>emotional,</w:t>
      </w:r>
      <w:r>
        <w:rPr>
          <w:spacing w:val="-10"/>
        </w:rPr>
        <w:t> </w:t>
      </w:r>
      <w:r>
        <w:rPr/>
        <w:t>mental,</w:t>
      </w:r>
      <w:r>
        <w:rPr>
          <w:spacing w:val="-10"/>
        </w:rPr>
        <w:t> </w:t>
      </w:r>
      <w:r>
        <w:rPr/>
        <w:t>and</w:t>
      </w:r>
      <w:r>
        <w:rPr>
          <w:spacing w:val="-10"/>
        </w:rPr>
        <w:t> </w:t>
      </w:r>
      <w:r>
        <w:rPr/>
        <w:t>social</w:t>
      </w:r>
      <w:r>
        <w:rPr>
          <w:spacing w:val="-9"/>
        </w:rPr>
        <w:t> </w:t>
      </w:r>
      <w:r>
        <w:rPr/>
        <w:t>well-being. For</w:t>
      </w:r>
      <w:r>
        <w:rPr>
          <w:spacing w:val="-10"/>
        </w:rPr>
        <w:t> </w:t>
      </w:r>
      <w:r>
        <w:rPr/>
        <w:t>youth,</w:t>
      </w:r>
      <w:r>
        <w:rPr>
          <w:spacing w:val="-10"/>
        </w:rPr>
        <w:t> </w:t>
      </w:r>
      <w:r>
        <w:rPr/>
        <w:t>experiencing</w:t>
      </w:r>
      <w:r>
        <w:rPr>
          <w:spacing w:val="-9"/>
        </w:rPr>
        <w:t> </w:t>
      </w:r>
      <w:r>
        <w:rPr/>
        <w:t>intimate</w:t>
      </w:r>
      <w:r>
        <w:rPr>
          <w:spacing w:val="-9"/>
        </w:rPr>
        <w:t> </w:t>
      </w:r>
      <w:r>
        <w:rPr/>
        <w:t>partner</w:t>
      </w:r>
      <w:r>
        <w:rPr>
          <w:spacing w:val="-10"/>
        </w:rPr>
        <w:t> </w:t>
      </w:r>
      <w:r>
        <w:rPr/>
        <w:t>violence</w:t>
      </w:r>
      <w:r>
        <w:rPr>
          <w:spacing w:val="-10"/>
        </w:rPr>
        <w:t> </w:t>
      </w:r>
      <w:r>
        <w:rPr/>
        <w:t>at</w:t>
      </w:r>
      <w:r>
        <w:rPr>
          <w:spacing w:val="-9"/>
        </w:rPr>
        <w:t> </w:t>
      </w:r>
      <w:r>
        <w:rPr/>
        <w:t>a</w:t>
      </w:r>
      <w:r>
        <w:rPr>
          <w:spacing w:val="-10"/>
        </w:rPr>
        <w:t> </w:t>
      </w:r>
      <w:r>
        <w:rPr/>
        <w:t>young</w:t>
      </w:r>
      <w:r>
        <w:rPr>
          <w:spacing w:val="-10"/>
        </w:rPr>
        <w:t> </w:t>
      </w:r>
      <w:r>
        <w:rPr/>
        <w:t>age</w:t>
      </w:r>
      <w:r>
        <w:rPr>
          <w:spacing w:val="-9"/>
        </w:rPr>
        <w:t> </w:t>
      </w:r>
      <w:r>
        <w:rPr/>
        <w:t>can</w:t>
      </w:r>
      <w:r>
        <w:rPr>
          <w:spacing w:val="-10"/>
        </w:rPr>
        <w:t> </w:t>
      </w:r>
      <w:r>
        <w:rPr/>
        <w:t>affect</w:t>
      </w:r>
      <w:r>
        <w:rPr>
          <w:spacing w:val="-9"/>
        </w:rPr>
        <w:t> </w:t>
      </w:r>
      <w:r>
        <w:rPr/>
        <w:t>“lifelong</w:t>
      </w:r>
      <w:r>
        <w:rPr>
          <w:spacing w:val="-10"/>
        </w:rPr>
        <w:t> </w:t>
      </w:r>
      <w:r>
        <w:rPr/>
        <w:t>health,</w:t>
      </w:r>
      <w:r>
        <w:rPr>
          <w:spacing w:val="-10"/>
        </w:rPr>
        <w:t> </w:t>
      </w:r>
      <w:r>
        <w:rPr/>
        <w:t>opportunity, and well-being”</w:t>
      </w:r>
      <w:hyperlink w:history="true" w:anchor="_bookmark80">
        <w:r>
          <w:rPr>
            <w:vertAlign w:val="superscript"/>
          </w:rPr>
          <w:t>10</w:t>
        </w:r>
      </w:hyperlink>
      <w:r>
        <w:rPr>
          <w:vertAlign w:val="baseline"/>
        </w:rPr>
        <w:t> and make youth survivors more vulnerable to intimate partner violence as adults.</w:t>
      </w:r>
    </w:p>
    <w:p>
      <w:pPr>
        <w:pStyle w:val="BodyText"/>
        <w:spacing w:line="276" w:lineRule="auto" w:before="239"/>
        <w:ind w:left="463" w:right="280"/>
        <w:jc w:val="both"/>
      </w:pPr>
      <w:bookmarkStart w:name="_bookmark89" w:id="210"/>
      <w:bookmarkEnd w:id="210"/>
      <w:r>
        <w:rPr/>
      </w:r>
      <w:r>
        <w:rPr/>
        <w:t>According to the 2021 Massachusetts Youth Risk Behavior Survey (MYRBS), an annual survey that examines</w:t>
      </w:r>
      <w:r>
        <w:rPr>
          <w:spacing w:val="-6"/>
        </w:rPr>
        <w:t> </w:t>
      </w:r>
      <w:r>
        <w:rPr/>
        <w:t>the</w:t>
      </w:r>
      <w:r>
        <w:rPr>
          <w:spacing w:val="-6"/>
        </w:rPr>
        <w:t> </w:t>
      </w:r>
      <w:r>
        <w:rPr/>
        <w:t>health</w:t>
      </w:r>
      <w:r>
        <w:rPr>
          <w:spacing w:val="-6"/>
        </w:rPr>
        <w:t> </w:t>
      </w:r>
      <w:r>
        <w:rPr/>
        <w:t>behaviors</w:t>
      </w:r>
      <w:r>
        <w:rPr>
          <w:spacing w:val="-6"/>
        </w:rPr>
        <w:t> </w:t>
      </w:r>
      <w:r>
        <w:rPr/>
        <w:t>of</w:t>
      </w:r>
      <w:r>
        <w:rPr>
          <w:spacing w:val="-6"/>
        </w:rPr>
        <w:t> </w:t>
      </w:r>
      <w:r>
        <w:rPr/>
        <w:t>youth</w:t>
      </w:r>
      <w:r>
        <w:rPr>
          <w:spacing w:val="-7"/>
        </w:rPr>
        <w:t> </w:t>
      </w:r>
      <w:r>
        <w:rPr/>
        <w:t>in</w:t>
      </w:r>
      <w:r>
        <w:rPr>
          <w:spacing w:val="-7"/>
        </w:rPr>
        <w:t> </w:t>
      </w:r>
      <w:r>
        <w:rPr/>
        <w:t>grades</w:t>
      </w:r>
      <w:r>
        <w:rPr>
          <w:spacing w:val="-6"/>
        </w:rPr>
        <w:t> </w:t>
      </w:r>
      <w:r>
        <w:rPr/>
        <w:t>9</w:t>
      </w:r>
      <w:r>
        <w:rPr>
          <w:spacing w:val="-6"/>
        </w:rPr>
        <w:t> </w:t>
      </w:r>
      <w:r>
        <w:rPr/>
        <w:t>through</w:t>
      </w:r>
      <w:r>
        <w:rPr>
          <w:spacing w:val="-7"/>
        </w:rPr>
        <w:t> </w:t>
      </w:r>
      <w:r>
        <w:rPr/>
        <w:t>12,</w:t>
      </w:r>
      <w:r>
        <w:rPr>
          <w:spacing w:val="-6"/>
        </w:rPr>
        <w:t> </w:t>
      </w:r>
      <w:r>
        <w:rPr/>
        <w:t>17.8%</w:t>
      </w:r>
      <w:r>
        <w:rPr>
          <w:spacing w:val="-6"/>
        </w:rPr>
        <w:t> </w:t>
      </w:r>
      <w:r>
        <w:rPr/>
        <w:t>of</w:t>
      </w:r>
      <w:r>
        <w:rPr>
          <w:spacing w:val="-6"/>
        </w:rPr>
        <w:t> </w:t>
      </w:r>
      <w:r>
        <w:rPr/>
        <w:t>LGBTQ</w:t>
      </w:r>
      <w:r>
        <w:rPr>
          <w:spacing w:val="-7"/>
        </w:rPr>
        <w:t> </w:t>
      </w:r>
      <w:r>
        <w:rPr/>
        <w:t>youth</w:t>
      </w:r>
      <w:r>
        <w:rPr>
          <w:spacing w:val="-7"/>
        </w:rPr>
        <w:t> </w:t>
      </w:r>
      <w:r>
        <w:rPr/>
        <w:t>have</w:t>
      </w:r>
      <w:r>
        <w:rPr>
          <w:spacing w:val="-7"/>
        </w:rPr>
        <w:t> </w:t>
      </w:r>
      <w:r>
        <w:rPr/>
        <w:t>experienced sexual dating violence within the last twelve months, and 13.9% of LGBTQ youth experienced physical dating violence within the last twelve months</w:t>
      </w:r>
      <w:hyperlink w:history="true" w:anchor="_bookmark80">
        <w:r>
          <w:rPr/>
          <w:t>.</w:t>
        </w:r>
        <w:r>
          <w:rPr>
            <w:vertAlign w:val="superscript"/>
          </w:rPr>
          <w:t>11</w:t>
        </w:r>
      </w:hyperlink>
      <w:r>
        <w:rPr>
          <w:vertAlign w:val="baseline"/>
        </w:rPr>
        <w:t> Among LGBTQ youth of color, 17.8% have experienced sexual dating violence within the last twelve months, with the highest rates among Hispanic/Latinx (25.0%) and multiracial Hispanic/Latinx (20.3%) respondents; and 13.8% have experienced physical dating</w:t>
      </w:r>
      <w:r>
        <w:rPr>
          <w:spacing w:val="-6"/>
          <w:vertAlign w:val="baseline"/>
        </w:rPr>
        <w:t> </w:t>
      </w:r>
      <w:r>
        <w:rPr>
          <w:vertAlign w:val="baseline"/>
        </w:rPr>
        <w:t>violence</w:t>
      </w:r>
      <w:r>
        <w:rPr>
          <w:spacing w:val="-5"/>
          <w:vertAlign w:val="baseline"/>
        </w:rPr>
        <w:t> </w:t>
      </w:r>
      <w:r>
        <w:rPr>
          <w:vertAlign w:val="baseline"/>
        </w:rPr>
        <w:t>within</w:t>
      </w:r>
      <w:r>
        <w:rPr>
          <w:spacing w:val="-6"/>
          <w:vertAlign w:val="baseline"/>
        </w:rPr>
        <w:t> </w:t>
      </w:r>
      <w:r>
        <w:rPr>
          <w:vertAlign w:val="baseline"/>
        </w:rPr>
        <w:t>the</w:t>
      </w:r>
      <w:r>
        <w:rPr>
          <w:spacing w:val="-5"/>
          <w:vertAlign w:val="baseline"/>
        </w:rPr>
        <w:t> </w:t>
      </w:r>
      <w:r>
        <w:rPr>
          <w:vertAlign w:val="baseline"/>
        </w:rPr>
        <w:t>last</w:t>
      </w:r>
      <w:r>
        <w:rPr>
          <w:spacing w:val="-7"/>
          <w:vertAlign w:val="baseline"/>
        </w:rPr>
        <w:t> </w:t>
      </w:r>
      <w:r>
        <w:rPr>
          <w:vertAlign w:val="baseline"/>
        </w:rPr>
        <w:t>twelve</w:t>
      </w:r>
      <w:r>
        <w:rPr>
          <w:spacing w:val="-5"/>
          <w:vertAlign w:val="baseline"/>
        </w:rPr>
        <w:t> </w:t>
      </w:r>
      <w:r>
        <w:rPr>
          <w:vertAlign w:val="baseline"/>
        </w:rPr>
        <w:t>months,</w:t>
      </w:r>
      <w:r>
        <w:rPr>
          <w:spacing w:val="-6"/>
          <w:vertAlign w:val="baseline"/>
        </w:rPr>
        <w:t> </w:t>
      </w:r>
      <w:r>
        <w:rPr>
          <w:vertAlign w:val="baseline"/>
        </w:rPr>
        <w:t>with</w:t>
      </w:r>
      <w:r>
        <w:rPr>
          <w:spacing w:val="-6"/>
          <w:vertAlign w:val="baseline"/>
        </w:rPr>
        <w:t> </w:t>
      </w:r>
      <w:r>
        <w:rPr>
          <w:vertAlign w:val="baseline"/>
        </w:rPr>
        <w:t>the</w:t>
      </w:r>
      <w:r>
        <w:rPr>
          <w:spacing w:val="-5"/>
          <w:vertAlign w:val="baseline"/>
        </w:rPr>
        <w:t> </w:t>
      </w:r>
      <w:r>
        <w:rPr>
          <w:vertAlign w:val="baseline"/>
        </w:rPr>
        <w:t>highest</w:t>
      </w:r>
      <w:r>
        <w:rPr>
          <w:spacing w:val="-6"/>
          <w:vertAlign w:val="baseline"/>
        </w:rPr>
        <w:t> </w:t>
      </w:r>
      <w:r>
        <w:rPr>
          <w:vertAlign w:val="baseline"/>
        </w:rPr>
        <w:t>rates</w:t>
      </w:r>
      <w:r>
        <w:rPr>
          <w:spacing w:val="-6"/>
          <w:vertAlign w:val="baseline"/>
        </w:rPr>
        <w:t> </w:t>
      </w:r>
      <w:r>
        <w:rPr>
          <w:vertAlign w:val="baseline"/>
        </w:rPr>
        <w:t>among</w:t>
      </w:r>
      <w:r>
        <w:rPr>
          <w:spacing w:val="-6"/>
          <w:vertAlign w:val="baseline"/>
        </w:rPr>
        <w:t> </w:t>
      </w:r>
      <w:r>
        <w:rPr>
          <w:vertAlign w:val="baseline"/>
        </w:rPr>
        <w:t>Hispanic/Latinx</w:t>
      </w:r>
      <w:r>
        <w:rPr>
          <w:spacing w:val="-6"/>
          <w:vertAlign w:val="baseline"/>
        </w:rPr>
        <w:t> </w:t>
      </w:r>
      <w:r>
        <w:rPr>
          <w:vertAlign w:val="baseline"/>
        </w:rPr>
        <w:t>(27.8%)</w:t>
      </w:r>
      <w:r>
        <w:rPr>
          <w:spacing w:val="-6"/>
          <w:vertAlign w:val="baseline"/>
        </w:rPr>
        <w:t> </w:t>
      </w:r>
      <w:r>
        <w:rPr>
          <w:vertAlign w:val="baseline"/>
        </w:rPr>
        <w:t>and multiracial non-Hispanic/Latinx (20.0%) respondents</w:t>
      </w:r>
      <w:hyperlink w:history="true" w:anchor="_bookmark80">
        <w:r>
          <w:rPr>
            <w:vertAlign w:val="baseline"/>
          </w:rPr>
          <w:t>.</w:t>
        </w:r>
        <w:r>
          <w:rPr>
            <w:vertAlign w:val="superscript"/>
          </w:rPr>
          <w:t>12</w:t>
        </w:r>
      </w:hyperlink>
    </w:p>
    <w:p>
      <w:pPr>
        <w:pStyle w:val="BodyText"/>
        <w:spacing w:line="276" w:lineRule="auto" w:before="240"/>
        <w:ind w:left="463" w:right="282"/>
        <w:jc w:val="both"/>
      </w:pPr>
      <w:bookmarkStart w:name="_bookmark90" w:id="211"/>
      <w:bookmarkEnd w:id="211"/>
      <w:r>
        <w:rPr/>
      </w:r>
      <w:r>
        <w:rPr/>
        <w:t>For</w:t>
      </w:r>
      <w:r>
        <w:rPr>
          <w:spacing w:val="-3"/>
        </w:rPr>
        <w:t> </w:t>
      </w:r>
      <w:r>
        <w:rPr/>
        <w:t>trans</w:t>
      </w:r>
      <w:r>
        <w:rPr>
          <w:spacing w:val="-3"/>
        </w:rPr>
        <w:t> </w:t>
      </w:r>
      <w:r>
        <w:rPr/>
        <w:t>and</w:t>
      </w:r>
      <w:r>
        <w:rPr>
          <w:spacing w:val="-2"/>
        </w:rPr>
        <w:t> </w:t>
      </w:r>
      <w:r>
        <w:rPr/>
        <w:t>gender</w:t>
      </w:r>
      <w:r>
        <w:rPr>
          <w:spacing w:val="-2"/>
        </w:rPr>
        <w:t> </w:t>
      </w:r>
      <w:r>
        <w:rPr/>
        <w:t>expansive</w:t>
      </w:r>
      <w:r>
        <w:rPr>
          <w:spacing w:val="-3"/>
        </w:rPr>
        <w:t> </w:t>
      </w:r>
      <w:r>
        <w:rPr/>
        <w:t>individuals,</w:t>
      </w:r>
      <w:r>
        <w:rPr>
          <w:spacing w:val="-3"/>
        </w:rPr>
        <w:t> </w:t>
      </w:r>
      <w:r>
        <w:rPr/>
        <w:t>the</w:t>
      </w:r>
      <w:r>
        <w:rPr>
          <w:spacing w:val="-2"/>
        </w:rPr>
        <w:t> </w:t>
      </w:r>
      <w:r>
        <w:rPr/>
        <w:t>numbers</w:t>
      </w:r>
      <w:r>
        <w:rPr>
          <w:spacing w:val="-3"/>
        </w:rPr>
        <w:t> </w:t>
      </w:r>
      <w:r>
        <w:rPr/>
        <w:t>of</w:t>
      </w:r>
      <w:r>
        <w:rPr>
          <w:spacing w:val="-3"/>
        </w:rPr>
        <w:t> </w:t>
      </w:r>
      <w:r>
        <w:rPr/>
        <w:t>intimate</w:t>
      </w:r>
      <w:r>
        <w:rPr>
          <w:spacing w:val="-3"/>
        </w:rPr>
        <w:t> </w:t>
      </w:r>
      <w:r>
        <w:rPr/>
        <w:t>partner</w:t>
      </w:r>
      <w:r>
        <w:rPr>
          <w:spacing w:val="-3"/>
        </w:rPr>
        <w:t> </w:t>
      </w:r>
      <w:r>
        <w:rPr/>
        <w:t>violence</w:t>
      </w:r>
      <w:r>
        <w:rPr>
          <w:spacing w:val="-2"/>
        </w:rPr>
        <w:t> </w:t>
      </w:r>
      <w:r>
        <w:rPr/>
        <w:t>and</w:t>
      </w:r>
      <w:r>
        <w:rPr>
          <w:spacing w:val="-2"/>
        </w:rPr>
        <w:t> </w:t>
      </w:r>
      <w:r>
        <w:rPr/>
        <w:t>sexual</w:t>
      </w:r>
      <w:r>
        <w:rPr>
          <w:spacing w:val="-3"/>
        </w:rPr>
        <w:t> </w:t>
      </w:r>
      <w:r>
        <w:rPr/>
        <w:t>assault are even higher. According to the 2015 U.S. Transgender survey (more detailed data having yet to be released from the 2022 version), which collects data for transgender and gender-nonconforming individuals ages 16 and up, 47% of transgender and gender-nonconforming individuals have ever experienced</w:t>
      </w:r>
      <w:r>
        <w:rPr>
          <w:spacing w:val="-13"/>
        </w:rPr>
        <w:t> </w:t>
      </w:r>
      <w:r>
        <w:rPr/>
        <w:t>sexual</w:t>
      </w:r>
      <w:r>
        <w:rPr>
          <w:spacing w:val="-12"/>
        </w:rPr>
        <w:t> </w:t>
      </w:r>
      <w:r>
        <w:rPr/>
        <w:t>assault</w:t>
      </w:r>
      <w:r>
        <w:rPr>
          <w:spacing w:val="-12"/>
        </w:rPr>
        <w:t> </w:t>
      </w:r>
      <w:r>
        <w:rPr/>
        <w:t>during</w:t>
      </w:r>
      <w:r>
        <w:rPr>
          <w:spacing w:val="-10"/>
        </w:rPr>
        <w:t> </w:t>
      </w:r>
      <w:r>
        <w:rPr/>
        <w:t>their</w:t>
      </w:r>
      <w:r>
        <w:rPr>
          <w:spacing w:val="-12"/>
        </w:rPr>
        <w:t> </w:t>
      </w:r>
      <w:r>
        <w:rPr/>
        <w:t>lifetime</w:t>
      </w:r>
      <w:hyperlink w:history="true" w:anchor="_bookmark80">
        <w:r>
          <w:rPr/>
          <w:t>.</w:t>
        </w:r>
        <w:r>
          <w:rPr>
            <w:vertAlign w:val="superscript"/>
          </w:rPr>
          <w:t>13</w:t>
        </w:r>
      </w:hyperlink>
      <w:r>
        <w:rPr>
          <w:spacing w:val="-12"/>
          <w:vertAlign w:val="baseline"/>
        </w:rPr>
        <w:t> </w:t>
      </w:r>
      <w:r>
        <w:rPr>
          <w:vertAlign w:val="baseline"/>
        </w:rPr>
        <w:t>Nonbinary</w:t>
      </w:r>
      <w:r>
        <w:rPr>
          <w:spacing w:val="-12"/>
          <w:vertAlign w:val="baseline"/>
        </w:rPr>
        <w:t> </w:t>
      </w:r>
      <w:r>
        <w:rPr>
          <w:vertAlign w:val="baseline"/>
        </w:rPr>
        <w:t>people</w:t>
      </w:r>
      <w:r>
        <w:rPr>
          <w:spacing w:val="-13"/>
          <w:vertAlign w:val="baseline"/>
        </w:rPr>
        <w:t> </w:t>
      </w:r>
      <w:r>
        <w:rPr>
          <w:vertAlign w:val="baseline"/>
        </w:rPr>
        <w:t>assigned</w:t>
      </w:r>
      <w:r>
        <w:rPr>
          <w:spacing w:val="-12"/>
          <w:vertAlign w:val="baseline"/>
        </w:rPr>
        <w:t> </w:t>
      </w:r>
      <w:r>
        <w:rPr>
          <w:vertAlign w:val="baseline"/>
        </w:rPr>
        <w:t>female</w:t>
      </w:r>
      <w:r>
        <w:rPr>
          <w:spacing w:val="-13"/>
          <w:vertAlign w:val="baseline"/>
        </w:rPr>
        <w:t> </w:t>
      </w:r>
      <w:r>
        <w:rPr>
          <w:vertAlign w:val="baseline"/>
        </w:rPr>
        <w:t>at</w:t>
      </w:r>
      <w:r>
        <w:rPr>
          <w:spacing w:val="-12"/>
          <w:vertAlign w:val="baseline"/>
        </w:rPr>
        <w:t> </w:t>
      </w:r>
      <w:r>
        <w:rPr>
          <w:vertAlign w:val="baseline"/>
        </w:rPr>
        <w:t>birth</w:t>
      </w:r>
      <w:r>
        <w:rPr>
          <w:spacing w:val="-12"/>
          <w:vertAlign w:val="baseline"/>
        </w:rPr>
        <w:t> </w:t>
      </w:r>
      <w:r>
        <w:rPr>
          <w:vertAlign w:val="baseline"/>
        </w:rPr>
        <w:t>(58%),</w:t>
      </w:r>
      <w:r>
        <w:rPr>
          <w:spacing w:val="-13"/>
          <w:vertAlign w:val="baseline"/>
        </w:rPr>
        <w:t> </w:t>
      </w:r>
      <w:r>
        <w:rPr>
          <w:vertAlign w:val="baseline"/>
        </w:rPr>
        <w:t>trans men</w:t>
      </w:r>
      <w:r>
        <w:rPr>
          <w:spacing w:val="-2"/>
          <w:vertAlign w:val="baseline"/>
        </w:rPr>
        <w:t> </w:t>
      </w:r>
      <w:r>
        <w:rPr>
          <w:vertAlign w:val="baseline"/>
        </w:rPr>
        <w:t>(51%),</w:t>
      </w:r>
      <w:r>
        <w:rPr>
          <w:spacing w:val="-1"/>
          <w:vertAlign w:val="baseline"/>
        </w:rPr>
        <w:t> </w:t>
      </w:r>
      <w:r>
        <w:rPr>
          <w:vertAlign w:val="baseline"/>
        </w:rPr>
        <w:t>and</w:t>
      </w:r>
      <w:r>
        <w:rPr>
          <w:spacing w:val="-2"/>
          <w:vertAlign w:val="baseline"/>
        </w:rPr>
        <w:t> </w:t>
      </w:r>
      <w:r>
        <w:rPr>
          <w:vertAlign w:val="baseline"/>
        </w:rPr>
        <w:t>American</w:t>
      </w:r>
      <w:r>
        <w:rPr>
          <w:spacing w:val="-1"/>
          <w:vertAlign w:val="baseline"/>
        </w:rPr>
        <w:t> </w:t>
      </w:r>
      <w:r>
        <w:rPr>
          <w:vertAlign w:val="baseline"/>
        </w:rPr>
        <w:t>Indian</w:t>
      </w:r>
      <w:r>
        <w:rPr>
          <w:spacing w:val="-2"/>
          <w:vertAlign w:val="baseline"/>
        </w:rPr>
        <w:t> </w:t>
      </w:r>
      <w:r>
        <w:rPr>
          <w:vertAlign w:val="baseline"/>
        </w:rPr>
        <w:t>(65%),</w:t>
      </w:r>
      <w:r>
        <w:rPr>
          <w:spacing w:val="-1"/>
          <w:vertAlign w:val="baseline"/>
        </w:rPr>
        <w:t> </w:t>
      </w:r>
      <w:r>
        <w:rPr>
          <w:vertAlign w:val="baseline"/>
        </w:rPr>
        <w:t>Middle</w:t>
      </w:r>
      <w:r>
        <w:rPr>
          <w:spacing w:val="-2"/>
          <w:vertAlign w:val="baseline"/>
        </w:rPr>
        <w:t> </w:t>
      </w:r>
      <w:r>
        <w:rPr>
          <w:vertAlign w:val="baseline"/>
        </w:rPr>
        <w:t>Eastern</w:t>
      </w:r>
      <w:r>
        <w:rPr>
          <w:spacing w:val="-2"/>
          <w:vertAlign w:val="baseline"/>
        </w:rPr>
        <w:t> </w:t>
      </w:r>
      <w:r>
        <w:rPr>
          <w:vertAlign w:val="baseline"/>
        </w:rPr>
        <w:t>(59%),</w:t>
      </w:r>
      <w:r>
        <w:rPr>
          <w:spacing w:val="-1"/>
          <w:vertAlign w:val="baseline"/>
        </w:rPr>
        <w:t> </w:t>
      </w:r>
      <w:r>
        <w:rPr>
          <w:vertAlign w:val="baseline"/>
        </w:rPr>
        <w:t>and</w:t>
      </w:r>
      <w:r>
        <w:rPr>
          <w:spacing w:val="-2"/>
          <w:vertAlign w:val="baseline"/>
        </w:rPr>
        <w:t> </w:t>
      </w:r>
      <w:r>
        <w:rPr>
          <w:vertAlign w:val="baseline"/>
        </w:rPr>
        <w:t>Multiracial</w:t>
      </w:r>
      <w:r>
        <w:rPr>
          <w:spacing w:val="-2"/>
          <w:vertAlign w:val="baseline"/>
        </w:rPr>
        <w:t> </w:t>
      </w:r>
      <w:r>
        <w:rPr>
          <w:vertAlign w:val="baseline"/>
        </w:rPr>
        <w:t>(58%)</w:t>
      </w:r>
      <w:r>
        <w:rPr>
          <w:spacing w:val="-1"/>
          <w:vertAlign w:val="baseline"/>
        </w:rPr>
        <w:t> </w:t>
      </w:r>
      <w:r>
        <w:rPr>
          <w:vertAlign w:val="baseline"/>
        </w:rPr>
        <w:t>individuals</w:t>
      </w:r>
      <w:r>
        <w:rPr>
          <w:spacing w:val="-1"/>
          <w:vertAlign w:val="baseline"/>
        </w:rPr>
        <w:t> </w:t>
      </w:r>
      <w:r>
        <w:rPr>
          <w:vertAlign w:val="baseline"/>
        </w:rPr>
        <w:t>had</w:t>
      </w:r>
      <w:r>
        <w:rPr>
          <w:spacing w:val="-2"/>
          <w:vertAlign w:val="baseline"/>
        </w:rPr>
        <w:t> </w:t>
      </w:r>
      <w:r>
        <w:rPr>
          <w:vertAlign w:val="baseline"/>
        </w:rPr>
        <w:t>the highest rates of experiencing sexual assault. </w:t>
      </w:r>
      <w:hyperlink w:history="true" w:anchor="_bookmark80">
        <w:r>
          <w:rPr>
            <w:vertAlign w:val="superscript"/>
          </w:rPr>
          <w:t>14</w:t>
        </w:r>
      </w:hyperlink>
      <w:r>
        <w:rPr>
          <w:vertAlign w:val="baseline"/>
        </w:rPr>
        <w:t> Additionally, transgender and gender-nonconforming individuals who had participated in sex work (72%), had ever been unhoused (65%), and are disabled (61%) had the highest rates of experiencing sexual assault</w:t>
      </w:r>
      <w:hyperlink w:history="true" w:anchor="_bookmark80">
        <w:r>
          <w:rPr>
            <w:vertAlign w:val="baseline"/>
          </w:rPr>
          <w:t>.</w:t>
        </w:r>
        <w:r>
          <w:rPr>
            <w:vertAlign w:val="superscript"/>
          </w:rPr>
          <w:t>15</w:t>
        </w:r>
      </w:hyperlink>
      <w:r>
        <w:rPr>
          <w:vertAlign w:val="baseline"/>
        </w:rPr>
        <w:t> Furthermore, 54% of respondents to the survey</w:t>
      </w:r>
      <w:r>
        <w:rPr>
          <w:spacing w:val="-2"/>
          <w:vertAlign w:val="baseline"/>
        </w:rPr>
        <w:t> </w:t>
      </w:r>
      <w:r>
        <w:rPr>
          <w:vertAlign w:val="baseline"/>
        </w:rPr>
        <w:t>indicated</w:t>
      </w:r>
      <w:r>
        <w:rPr>
          <w:spacing w:val="-1"/>
          <w:vertAlign w:val="baseline"/>
        </w:rPr>
        <w:t> </w:t>
      </w:r>
      <w:r>
        <w:rPr>
          <w:vertAlign w:val="baseline"/>
        </w:rPr>
        <w:t>that</w:t>
      </w:r>
      <w:r>
        <w:rPr>
          <w:spacing w:val="-1"/>
          <w:vertAlign w:val="baseline"/>
        </w:rPr>
        <w:t> </w:t>
      </w:r>
      <w:r>
        <w:rPr>
          <w:vertAlign w:val="baseline"/>
        </w:rPr>
        <w:t>they have</w:t>
      </w:r>
      <w:r>
        <w:rPr>
          <w:spacing w:val="-2"/>
          <w:vertAlign w:val="baseline"/>
        </w:rPr>
        <w:t> </w:t>
      </w:r>
      <w:r>
        <w:rPr>
          <w:vertAlign w:val="baseline"/>
        </w:rPr>
        <w:t>experienced</w:t>
      </w:r>
      <w:r>
        <w:rPr>
          <w:spacing w:val="-1"/>
          <w:vertAlign w:val="baseline"/>
        </w:rPr>
        <w:t> </w:t>
      </w:r>
      <w:r>
        <w:rPr>
          <w:vertAlign w:val="baseline"/>
        </w:rPr>
        <w:t>some</w:t>
      </w:r>
      <w:r>
        <w:rPr>
          <w:spacing w:val="-2"/>
          <w:vertAlign w:val="baseline"/>
        </w:rPr>
        <w:t> </w:t>
      </w:r>
      <w:r>
        <w:rPr>
          <w:vertAlign w:val="baseline"/>
        </w:rPr>
        <w:t>form</w:t>
      </w:r>
      <w:r>
        <w:rPr>
          <w:spacing w:val="-2"/>
          <w:vertAlign w:val="baseline"/>
        </w:rPr>
        <w:t> </w:t>
      </w:r>
      <w:r>
        <w:rPr>
          <w:vertAlign w:val="baseline"/>
        </w:rPr>
        <w:t>of</w:t>
      </w:r>
      <w:r>
        <w:rPr>
          <w:spacing w:val="-1"/>
          <w:vertAlign w:val="baseline"/>
        </w:rPr>
        <w:t> </w:t>
      </w:r>
      <w:r>
        <w:rPr>
          <w:vertAlign w:val="baseline"/>
        </w:rPr>
        <w:t>intimate</w:t>
      </w:r>
      <w:r>
        <w:rPr>
          <w:spacing w:val="-2"/>
          <w:vertAlign w:val="baseline"/>
        </w:rPr>
        <w:t> </w:t>
      </w:r>
      <w:r>
        <w:rPr>
          <w:vertAlign w:val="baseline"/>
        </w:rPr>
        <w:t>partner</w:t>
      </w:r>
      <w:r>
        <w:rPr>
          <w:spacing w:val="-1"/>
          <w:vertAlign w:val="baseline"/>
        </w:rPr>
        <w:t> </w:t>
      </w:r>
      <w:r>
        <w:rPr>
          <w:vertAlign w:val="baseline"/>
        </w:rPr>
        <w:t>violence in</w:t>
      </w:r>
      <w:r>
        <w:rPr>
          <w:spacing w:val="-1"/>
          <w:vertAlign w:val="baseline"/>
        </w:rPr>
        <w:t> </w:t>
      </w:r>
      <w:r>
        <w:rPr>
          <w:vertAlign w:val="baseline"/>
        </w:rPr>
        <w:t>their</w:t>
      </w:r>
      <w:r>
        <w:rPr>
          <w:spacing w:val="-1"/>
          <w:vertAlign w:val="baseline"/>
        </w:rPr>
        <w:t> </w:t>
      </w:r>
      <w:r>
        <w:rPr>
          <w:vertAlign w:val="baseline"/>
        </w:rPr>
        <w:t>lifetimes</w:t>
      </w:r>
      <w:hyperlink w:history="true" w:anchor="_bookmark80">
        <w:r>
          <w:rPr>
            <w:vertAlign w:val="baseline"/>
          </w:rPr>
          <w:t>.</w:t>
        </w:r>
        <w:r>
          <w:rPr>
            <w:vertAlign w:val="superscript"/>
          </w:rPr>
          <w:t>16</w:t>
        </w:r>
      </w:hyperlink>
      <w:r>
        <w:rPr>
          <w:vertAlign w:val="baseline"/>
        </w:rPr>
        <w:t> Transgender and gender-nonconforming individuals who had participated in sex work (77%), had ever been unhoused (72%), are undocumented (68%), or are disabled (61%) had extremely high rates of experiencing intimate partner violence</w:t>
      </w:r>
      <w:hyperlink w:history="true" w:anchor="_bookmark80">
        <w:r>
          <w:rPr>
            <w:vertAlign w:val="baseline"/>
          </w:rPr>
          <w:t>.</w:t>
        </w:r>
        <w:r>
          <w:rPr>
            <w:vertAlign w:val="superscript"/>
          </w:rPr>
          <w:t>17</w:t>
        </w:r>
      </w:hyperlink>
    </w:p>
    <w:p>
      <w:pPr>
        <w:pStyle w:val="BodyText"/>
        <w:spacing w:line="276" w:lineRule="auto" w:before="240"/>
        <w:ind w:left="463" w:right="280"/>
        <w:jc w:val="both"/>
      </w:pPr>
      <w:bookmarkStart w:name="_bookmark91" w:id="212"/>
      <w:bookmarkEnd w:id="212"/>
      <w:r>
        <w:rPr/>
      </w:r>
      <w:r>
        <w:rPr/>
        <w:t>Like with sexual assault, American Indian (73%), Middle Eastern (62%), and Multiracial (62%) trans and gender-nonconforming</w:t>
      </w:r>
      <w:r>
        <w:rPr>
          <w:spacing w:val="-7"/>
        </w:rPr>
        <w:t> </w:t>
      </w:r>
      <w:r>
        <w:rPr/>
        <w:t>individuals</w:t>
      </w:r>
      <w:r>
        <w:rPr>
          <w:spacing w:val="-6"/>
        </w:rPr>
        <w:t> </w:t>
      </w:r>
      <w:r>
        <w:rPr/>
        <w:t>had</w:t>
      </w:r>
      <w:r>
        <w:rPr>
          <w:spacing w:val="-4"/>
        </w:rPr>
        <w:t> </w:t>
      </w:r>
      <w:r>
        <w:rPr/>
        <w:t>the</w:t>
      </w:r>
      <w:r>
        <w:rPr>
          <w:spacing w:val="-5"/>
        </w:rPr>
        <w:t> </w:t>
      </w:r>
      <w:r>
        <w:rPr/>
        <w:t>highest</w:t>
      </w:r>
      <w:r>
        <w:rPr>
          <w:spacing w:val="-7"/>
        </w:rPr>
        <w:t> </w:t>
      </w:r>
      <w:r>
        <w:rPr/>
        <w:t>rates</w:t>
      </w:r>
      <w:r>
        <w:rPr>
          <w:spacing w:val="-6"/>
        </w:rPr>
        <w:t> </w:t>
      </w:r>
      <w:r>
        <w:rPr/>
        <w:t>of</w:t>
      </w:r>
      <w:r>
        <w:rPr>
          <w:spacing w:val="-6"/>
        </w:rPr>
        <w:t> </w:t>
      </w:r>
      <w:r>
        <w:rPr/>
        <w:t>experiencing</w:t>
      </w:r>
      <w:r>
        <w:rPr>
          <w:spacing w:val="-7"/>
        </w:rPr>
        <w:t> </w:t>
      </w:r>
      <w:r>
        <w:rPr/>
        <w:t>intimate</w:t>
      </w:r>
      <w:r>
        <w:rPr>
          <w:spacing w:val="-7"/>
        </w:rPr>
        <w:t> </w:t>
      </w:r>
      <w:r>
        <w:rPr/>
        <w:t>partner</w:t>
      </w:r>
      <w:r>
        <w:rPr>
          <w:spacing w:val="-6"/>
        </w:rPr>
        <w:t> </w:t>
      </w:r>
      <w:r>
        <w:rPr/>
        <w:t>violence.</w:t>
      </w:r>
      <w:hyperlink w:history="true" w:anchor="_bookmark81">
        <w:r>
          <w:rPr>
            <w:vertAlign w:val="superscript"/>
          </w:rPr>
          <w:t>18</w:t>
        </w:r>
      </w:hyperlink>
      <w:r>
        <w:rPr>
          <w:spacing w:val="-5"/>
          <w:vertAlign w:val="baseline"/>
        </w:rPr>
        <w:t> </w:t>
      </w:r>
      <w:r>
        <w:rPr>
          <w:vertAlign w:val="baseline"/>
        </w:rPr>
        <w:t>For youth</w:t>
      </w:r>
      <w:r>
        <w:rPr>
          <w:spacing w:val="-7"/>
          <w:vertAlign w:val="baseline"/>
        </w:rPr>
        <w:t> </w:t>
      </w:r>
      <w:r>
        <w:rPr>
          <w:vertAlign w:val="baseline"/>
        </w:rPr>
        <w:t>attending</w:t>
      </w:r>
      <w:r>
        <w:rPr>
          <w:spacing w:val="-7"/>
          <w:vertAlign w:val="baseline"/>
        </w:rPr>
        <w:t> </w:t>
      </w:r>
      <w:r>
        <w:rPr>
          <w:vertAlign w:val="baseline"/>
        </w:rPr>
        <w:t>2-</w:t>
      </w:r>
      <w:r>
        <w:rPr>
          <w:spacing w:val="-6"/>
          <w:vertAlign w:val="baseline"/>
        </w:rPr>
        <w:t> </w:t>
      </w:r>
      <w:r>
        <w:rPr>
          <w:vertAlign w:val="baseline"/>
        </w:rPr>
        <w:t>and</w:t>
      </w:r>
      <w:r>
        <w:rPr>
          <w:spacing w:val="-7"/>
          <w:vertAlign w:val="baseline"/>
        </w:rPr>
        <w:t> </w:t>
      </w:r>
      <w:r>
        <w:rPr>
          <w:vertAlign w:val="baseline"/>
        </w:rPr>
        <w:t>4-year</w:t>
      </w:r>
      <w:r>
        <w:rPr>
          <w:spacing w:val="-6"/>
          <w:vertAlign w:val="baseline"/>
        </w:rPr>
        <w:t> </w:t>
      </w:r>
      <w:r>
        <w:rPr>
          <w:vertAlign w:val="baseline"/>
        </w:rPr>
        <w:t>undergraduate</w:t>
      </w:r>
      <w:r>
        <w:rPr>
          <w:spacing w:val="-7"/>
          <w:vertAlign w:val="baseline"/>
        </w:rPr>
        <w:t> </w:t>
      </w:r>
      <w:r>
        <w:rPr>
          <w:vertAlign w:val="baseline"/>
        </w:rPr>
        <w:t>institutions,</w:t>
      </w:r>
      <w:r>
        <w:rPr>
          <w:spacing w:val="-6"/>
          <w:vertAlign w:val="baseline"/>
        </w:rPr>
        <w:t> </w:t>
      </w:r>
      <w:r>
        <w:rPr>
          <w:vertAlign w:val="baseline"/>
        </w:rPr>
        <w:t>transgender</w:t>
      </w:r>
      <w:r>
        <w:rPr>
          <w:spacing w:val="-6"/>
          <w:vertAlign w:val="baseline"/>
        </w:rPr>
        <w:t> </w:t>
      </w:r>
      <w:r>
        <w:rPr>
          <w:vertAlign w:val="baseline"/>
        </w:rPr>
        <w:t>and</w:t>
      </w:r>
      <w:r>
        <w:rPr>
          <w:spacing w:val="-5"/>
          <w:vertAlign w:val="baseline"/>
        </w:rPr>
        <w:t> </w:t>
      </w:r>
      <w:r>
        <w:rPr>
          <w:vertAlign w:val="baseline"/>
        </w:rPr>
        <w:t>gender</w:t>
      </w:r>
      <w:r>
        <w:rPr>
          <w:spacing w:val="-6"/>
          <w:vertAlign w:val="baseline"/>
        </w:rPr>
        <w:t> </w:t>
      </w:r>
      <w:r>
        <w:rPr>
          <w:vertAlign w:val="baseline"/>
        </w:rPr>
        <w:t>expansive</w:t>
      </w:r>
      <w:r>
        <w:rPr>
          <w:spacing w:val="-7"/>
          <w:vertAlign w:val="baseline"/>
        </w:rPr>
        <w:t> </w:t>
      </w:r>
      <w:r>
        <w:rPr>
          <w:vertAlign w:val="baseline"/>
        </w:rPr>
        <w:t>individuals consistently experience intimate partner violence at higher rates than their cisgender peers. According </w:t>
      </w:r>
      <w:r>
        <w:rPr>
          <w:spacing w:val="-2"/>
          <w:vertAlign w:val="baseline"/>
        </w:rPr>
        <w:t>to the National College Health Assessment, conducted by the American College Health Association, 10.8% </w:t>
      </w:r>
      <w:r>
        <w:rPr>
          <w:vertAlign w:val="baseline"/>
        </w:rPr>
        <w:t>of trans and gender-nonconforming undergraduate students have experienced emotional or verbal intimate partner violence, 3.8% have experienced physical intimate partner violence, and 5.7% have experienced sexual intimate partner violence</w:t>
      </w:r>
      <w:hyperlink w:history="true" w:anchor="_bookmark81">
        <w:r>
          <w:rPr>
            <w:vertAlign w:val="baseline"/>
          </w:rPr>
          <w:t>.</w:t>
        </w:r>
        <w:r>
          <w:rPr>
            <w:vertAlign w:val="superscript"/>
          </w:rPr>
          <w:t>19</w:t>
        </w:r>
      </w:hyperlink>
    </w:p>
    <w:p>
      <w:pPr>
        <w:spacing w:before="239"/>
        <w:ind w:left="463" w:right="0" w:firstLine="0"/>
        <w:jc w:val="both"/>
        <w:rPr>
          <w:sz w:val="28"/>
        </w:rPr>
      </w:pPr>
      <w:bookmarkStart w:name="Types of Intimate Partner Violence and I" w:id="213"/>
      <w:bookmarkEnd w:id="213"/>
      <w:r>
        <w:rPr/>
      </w:r>
      <w:bookmarkStart w:name="_bookmark92" w:id="214"/>
      <w:bookmarkEnd w:id="214"/>
      <w:r>
        <w:rPr/>
      </w:r>
      <w:r>
        <w:rPr>
          <w:color w:val="365F91"/>
          <w:sz w:val="28"/>
        </w:rPr>
        <w:t>Types</w:t>
      </w:r>
      <w:r>
        <w:rPr>
          <w:color w:val="365F91"/>
          <w:spacing w:val="-9"/>
          <w:sz w:val="28"/>
        </w:rPr>
        <w:t> </w:t>
      </w:r>
      <w:r>
        <w:rPr>
          <w:color w:val="365F91"/>
          <w:sz w:val="28"/>
        </w:rPr>
        <w:t>of</w:t>
      </w:r>
      <w:r>
        <w:rPr>
          <w:color w:val="365F91"/>
          <w:spacing w:val="-9"/>
          <w:sz w:val="28"/>
        </w:rPr>
        <w:t> </w:t>
      </w:r>
      <w:r>
        <w:rPr>
          <w:color w:val="365F91"/>
          <w:sz w:val="28"/>
        </w:rPr>
        <w:t>Intimate</w:t>
      </w:r>
      <w:r>
        <w:rPr>
          <w:color w:val="365F91"/>
          <w:spacing w:val="-9"/>
          <w:sz w:val="28"/>
        </w:rPr>
        <w:t> </w:t>
      </w:r>
      <w:r>
        <w:rPr>
          <w:color w:val="365F91"/>
          <w:sz w:val="28"/>
        </w:rPr>
        <w:t>Partner</w:t>
      </w:r>
      <w:r>
        <w:rPr>
          <w:color w:val="365F91"/>
          <w:spacing w:val="-9"/>
          <w:sz w:val="28"/>
        </w:rPr>
        <w:t> </w:t>
      </w:r>
      <w:r>
        <w:rPr>
          <w:color w:val="365F91"/>
          <w:sz w:val="28"/>
        </w:rPr>
        <w:t>Violence</w:t>
      </w:r>
      <w:r>
        <w:rPr>
          <w:color w:val="365F91"/>
          <w:spacing w:val="-9"/>
          <w:sz w:val="28"/>
        </w:rPr>
        <w:t> </w:t>
      </w:r>
      <w:r>
        <w:rPr>
          <w:color w:val="365F91"/>
          <w:sz w:val="28"/>
        </w:rPr>
        <w:t>and</w:t>
      </w:r>
      <w:r>
        <w:rPr>
          <w:color w:val="365F91"/>
          <w:spacing w:val="-10"/>
          <w:sz w:val="28"/>
        </w:rPr>
        <w:t> </w:t>
      </w:r>
      <w:r>
        <w:rPr>
          <w:color w:val="365F91"/>
          <w:spacing w:val="-2"/>
          <w:sz w:val="28"/>
        </w:rPr>
        <w:t>Interventions</w:t>
      </w:r>
    </w:p>
    <w:p>
      <w:pPr>
        <w:pStyle w:val="BodyText"/>
        <w:spacing w:line="276" w:lineRule="auto" w:before="293"/>
        <w:ind w:left="463" w:right="280"/>
        <w:jc w:val="both"/>
      </w:pPr>
      <w:r>
        <w:rPr/>
        <w:t>Intimate partner violence is often depicted as physical violence, </w:t>
      </w:r>
      <w:bookmarkStart w:name="_bookmark93" w:id="215"/>
      <w:bookmarkEnd w:id="215"/>
      <w:r>
        <w:rPr/>
        <w:t>but</w:t>
      </w:r>
      <w:r>
        <w:rPr/>
        <w:t> intimate partner violence can manifest</w:t>
      </w:r>
      <w:r>
        <w:rPr>
          <w:spacing w:val="26"/>
        </w:rPr>
        <w:t> </w:t>
      </w:r>
      <w:r>
        <w:rPr/>
        <w:t>in</w:t>
      </w:r>
      <w:r>
        <w:rPr>
          <w:spacing w:val="26"/>
        </w:rPr>
        <w:t> </w:t>
      </w:r>
      <w:r>
        <w:rPr/>
        <w:t>a</w:t>
      </w:r>
      <w:r>
        <w:rPr>
          <w:spacing w:val="28"/>
        </w:rPr>
        <w:t> </w:t>
      </w:r>
      <w:r>
        <w:rPr/>
        <w:t>variety</w:t>
      </w:r>
      <w:r>
        <w:rPr>
          <w:spacing w:val="27"/>
        </w:rPr>
        <w:t> </w:t>
      </w:r>
      <w:r>
        <w:rPr/>
        <w:t>of</w:t>
      </w:r>
      <w:r>
        <w:rPr>
          <w:spacing w:val="26"/>
        </w:rPr>
        <w:t> </w:t>
      </w:r>
      <w:r>
        <w:rPr/>
        <w:t>forms</w:t>
      </w:r>
      <w:r>
        <w:rPr>
          <w:spacing w:val="27"/>
        </w:rPr>
        <w:t> </w:t>
      </w:r>
      <w:r>
        <w:rPr/>
        <w:t>beyond</w:t>
      </w:r>
      <w:r>
        <w:rPr>
          <w:spacing w:val="27"/>
        </w:rPr>
        <w:t> </w:t>
      </w:r>
      <w:r>
        <w:rPr/>
        <w:t>the</w:t>
      </w:r>
      <w:r>
        <w:rPr>
          <w:spacing w:val="27"/>
        </w:rPr>
        <w:t> </w:t>
      </w:r>
      <w:r>
        <w:rPr/>
        <w:t>physical.</w:t>
      </w:r>
      <w:r>
        <w:rPr>
          <w:spacing w:val="27"/>
        </w:rPr>
        <w:t> </w:t>
      </w:r>
      <w:r>
        <w:rPr/>
        <w:t>For</w:t>
      </w:r>
      <w:r>
        <w:rPr>
          <w:spacing w:val="27"/>
        </w:rPr>
        <w:t> </w:t>
      </w:r>
      <w:r>
        <w:rPr/>
        <w:t>young</w:t>
      </w:r>
      <w:r>
        <w:rPr>
          <w:spacing w:val="27"/>
        </w:rPr>
        <w:t> </w:t>
      </w:r>
      <w:r>
        <w:rPr/>
        <w:t>people</w:t>
      </w:r>
      <w:r>
        <w:rPr>
          <w:spacing w:val="26"/>
        </w:rPr>
        <w:t> </w:t>
      </w:r>
      <w:r>
        <w:rPr/>
        <w:t>in</w:t>
      </w:r>
      <w:r>
        <w:rPr>
          <w:spacing w:val="27"/>
        </w:rPr>
        <w:t> </w:t>
      </w:r>
      <w:r>
        <w:rPr/>
        <w:t>particular,</w:t>
      </w:r>
      <w:r>
        <w:rPr>
          <w:spacing w:val="27"/>
        </w:rPr>
        <w:t> </w:t>
      </w:r>
      <w:r>
        <w:rPr/>
        <w:t>intimate</w:t>
      </w:r>
      <w:r>
        <w:rPr>
          <w:spacing w:val="26"/>
        </w:rPr>
        <w:t> </w:t>
      </w:r>
      <w:r>
        <w:rPr/>
        <w:t>partner</w:t>
      </w:r>
    </w:p>
    <w:p>
      <w:pPr>
        <w:spacing w:after="0" w:line="276" w:lineRule="auto"/>
        <w:jc w:val="both"/>
        <w:sectPr>
          <w:pgSz w:w="11910" w:h="16840"/>
          <w:pgMar w:header="804" w:footer="1230" w:top="1080" w:bottom="1480" w:left="980" w:right="900"/>
        </w:sectPr>
      </w:pPr>
    </w:p>
    <w:p>
      <w:pPr>
        <w:pStyle w:val="BodyText"/>
        <w:spacing w:line="276" w:lineRule="auto" w:before="69"/>
        <w:ind w:left="463" w:right="285"/>
        <w:jc w:val="both"/>
        <w:rPr>
          <w:i/>
        </w:rPr>
      </w:pPr>
      <w:r>
        <w:rPr/>
        <w:t>violence often presents as emotional, verbal, or psychological abuse, with an increasing amount of harassment and violence taking place on digital platforms</w:t>
      </w:r>
      <w:hyperlink w:history="true" w:anchor="_bookmark82">
        <w:r>
          <w:rPr/>
          <w:t>.</w:t>
        </w:r>
        <w:r>
          <w:rPr>
            <w:i/>
            <w:vertAlign w:val="superscript"/>
          </w:rPr>
          <w:t>20</w:t>
        </w:r>
      </w:hyperlink>
    </w:p>
    <w:p>
      <w:pPr>
        <w:pStyle w:val="BodyText"/>
        <w:spacing w:line="276" w:lineRule="auto" w:before="239"/>
        <w:ind w:left="463" w:right="281"/>
        <w:jc w:val="both"/>
      </w:pPr>
      <w:r>
        <w:rPr/>
        <w:t>Intimate partner violence is a multi-faceted issue that r</w:t>
      </w:r>
      <w:bookmarkStart w:name="_bookmark94" w:id="216"/>
      <w:bookmarkEnd w:id="216"/>
      <w:r>
        <w:rPr/>
        <w:t>e</w:t>
      </w:r>
      <w:r>
        <w:rPr/>
        <w:t>quires intervention on numerous fronts. Generally, these interventions occur at the individual or interpersonal levels of the SEM, with the long- term goal of shifting cultural norms and values around intimate partner violence perpetration and victimization. The majority of successful youth intimate partner violence interventions fall under one of three categories: 1) school-based dating violence interventions, 2) community-based gender equity interventions, or 3) parent-focused relationship-building interventions. </w:t>
      </w:r>
      <w:hyperlink w:history="true" w:anchor="_bookmark82">
        <w:r>
          <w:rPr>
            <w:vertAlign w:val="superscript"/>
          </w:rPr>
          <w:t>21</w:t>
        </w:r>
      </w:hyperlink>
      <w:r>
        <w:rPr>
          <w:vertAlign w:val="baseline"/>
        </w:rPr>
        <w:t> Additionally, results from meta-analyses show that long-term programs with multiple sessions and multiple methods of </w:t>
      </w:r>
      <w:r>
        <w:rPr>
          <w:spacing w:val="-2"/>
          <w:vertAlign w:val="baseline"/>
        </w:rPr>
        <w:t>engagement are</w:t>
      </w:r>
      <w:r>
        <w:rPr>
          <w:spacing w:val="-3"/>
          <w:vertAlign w:val="baseline"/>
        </w:rPr>
        <w:t> </w:t>
      </w:r>
      <w:r>
        <w:rPr>
          <w:spacing w:val="-2"/>
          <w:vertAlign w:val="baseline"/>
        </w:rPr>
        <w:t>more</w:t>
      </w:r>
      <w:r>
        <w:rPr>
          <w:spacing w:val="-3"/>
          <w:vertAlign w:val="baseline"/>
        </w:rPr>
        <w:t> </w:t>
      </w:r>
      <w:r>
        <w:rPr>
          <w:spacing w:val="-2"/>
          <w:vertAlign w:val="baseline"/>
        </w:rPr>
        <w:t>successful</w:t>
      </w:r>
      <w:r>
        <w:rPr>
          <w:spacing w:val="-3"/>
          <w:vertAlign w:val="baseline"/>
        </w:rPr>
        <w:t> </w:t>
      </w:r>
      <w:r>
        <w:rPr>
          <w:spacing w:val="-2"/>
          <w:vertAlign w:val="baseline"/>
        </w:rPr>
        <w:t>than</w:t>
      </w:r>
      <w:r>
        <w:rPr>
          <w:spacing w:val="-3"/>
          <w:vertAlign w:val="baseline"/>
        </w:rPr>
        <w:t> </w:t>
      </w:r>
      <w:r>
        <w:rPr>
          <w:spacing w:val="-2"/>
          <w:vertAlign w:val="baseline"/>
        </w:rPr>
        <w:t>single- day,</w:t>
      </w:r>
      <w:r>
        <w:rPr>
          <w:spacing w:val="-3"/>
          <w:vertAlign w:val="baseline"/>
        </w:rPr>
        <w:t> </w:t>
      </w:r>
      <w:r>
        <w:rPr>
          <w:spacing w:val="-2"/>
          <w:vertAlign w:val="baseline"/>
        </w:rPr>
        <w:t>single-method interventions. </w:t>
      </w:r>
      <w:hyperlink w:history="true" w:anchor="_bookmark82">
        <w:r>
          <w:rPr>
            <w:spacing w:val="-2"/>
            <w:vertAlign w:val="superscript"/>
          </w:rPr>
          <w:t>22</w:t>
        </w:r>
      </w:hyperlink>
      <w:r>
        <w:rPr>
          <w:spacing w:val="-3"/>
          <w:vertAlign w:val="baseline"/>
        </w:rPr>
        <w:t> </w:t>
      </w:r>
      <w:r>
        <w:rPr>
          <w:spacing w:val="-2"/>
          <w:vertAlign w:val="baseline"/>
        </w:rPr>
        <w:t>By</w:t>
      </w:r>
      <w:r>
        <w:rPr>
          <w:spacing w:val="-3"/>
          <w:vertAlign w:val="baseline"/>
        </w:rPr>
        <w:t> </w:t>
      </w:r>
      <w:r>
        <w:rPr>
          <w:spacing w:val="-2"/>
          <w:vertAlign w:val="baseline"/>
        </w:rPr>
        <w:t>far the most</w:t>
      </w:r>
      <w:r>
        <w:rPr>
          <w:spacing w:val="-3"/>
          <w:vertAlign w:val="baseline"/>
        </w:rPr>
        <w:t> </w:t>
      </w:r>
      <w:r>
        <w:rPr>
          <w:spacing w:val="-2"/>
          <w:vertAlign w:val="baseline"/>
        </w:rPr>
        <w:t>popular </w:t>
      </w:r>
      <w:r>
        <w:rPr>
          <w:vertAlign w:val="baseline"/>
        </w:rPr>
        <w:t>type of intervention is a school-based dating violence intervention, which may take the form of group education, peer mentorship, and/or bystander intervention training.</w:t>
      </w:r>
      <w:hyperlink w:history="true" w:anchor="_bookmark82">
        <w:r>
          <w:rPr>
            <w:vertAlign w:val="superscript"/>
          </w:rPr>
          <w:t>23</w:t>
        </w:r>
      </w:hyperlink>
    </w:p>
    <w:p>
      <w:pPr>
        <w:pStyle w:val="BodyText"/>
        <w:spacing w:line="276" w:lineRule="auto" w:before="121"/>
        <w:ind w:left="463" w:right="281"/>
        <w:jc w:val="both"/>
      </w:pPr>
      <w:bookmarkStart w:name="_bookmark95" w:id="217"/>
      <w:bookmarkEnd w:id="217"/>
      <w:r>
        <w:rPr/>
      </w:r>
      <w:r>
        <w:rPr/>
        <w:t>These interventions have shown promising results, such as reductions in physical, psychological, and sexual violence perpetration; increased knowledge of the different types of intimate partner violence; decreased acceptance of intimate partner violence; improved conflict resolution skills; and a greater likelihood to act as active bystanders in situations of bullying or dating violence</w:t>
      </w:r>
      <w:hyperlink w:history="true" w:anchor="_bookmark82">
        <w:r>
          <w:rPr/>
          <w:t>.</w:t>
        </w:r>
        <w:r>
          <w:rPr>
            <w:vertAlign w:val="superscript"/>
          </w:rPr>
          <w:t>24</w:t>
        </w:r>
      </w:hyperlink>
      <w:hyperlink w:history="true" w:anchor="_bookmark82">
        <w:r>
          <w:rPr>
            <w:vertAlign w:val="superscript"/>
          </w:rPr>
          <w:t>,25</w:t>
        </w:r>
      </w:hyperlink>
      <w:hyperlink w:history="true" w:anchor="_bookmark82">
        <w:r>
          <w:rPr>
            <w:vertAlign w:val="superscript"/>
          </w:rPr>
          <w:t>,26</w:t>
        </w:r>
      </w:hyperlink>
      <w:r>
        <w:rPr>
          <w:vertAlign w:val="baseline"/>
        </w:rPr>
        <w:t> Oftentimes, relationship</w:t>
      </w:r>
      <w:r>
        <w:rPr>
          <w:spacing w:val="-7"/>
          <w:vertAlign w:val="baseline"/>
        </w:rPr>
        <w:t> </w:t>
      </w:r>
      <w:r>
        <w:rPr>
          <w:vertAlign w:val="baseline"/>
        </w:rPr>
        <w:t>skill-building</w:t>
      </w:r>
      <w:r>
        <w:rPr>
          <w:spacing w:val="-6"/>
          <w:vertAlign w:val="baseline"/>
        </w:rPr>
        <w:t> </w:t>
      </w:r>
      <w:r>
        <w:rPr>
          <w:vertAlign w:val="baseline"/>
        </w:rPr>
        <w:t>and</w:t>
      </w:r>
      <w:r>
        <w:rPr>
          <w:spacing w:val="-8"/>
          <w:vertAlign w:val="baseline"/>
        </w:rPr>
        <w:t> </w:t>
      </w:r>
      <w:r>
        <w:rPr>
          <w:vertAlign w:val="baseline"/>
        </w:rPr>
        <w:t>relationship</w:t>
      </w:r>
      <w:r>
        <w:rPr>
          <w:spacing w:val="-8"/>
          <w:vertAlign w:val="baseline"/>
        </w:rPr>
        <w:t> </w:t>
      </w:r>
      <w:r>
        <w:rPr>
          <w:vertAlign w:val="baseline"/>
        </w:rPr>
        <w:t>violence</w:t>
      </w:r>
      <w:r>
        <w:rPr>
          <w:spacing w:val="-6"/>
          <w:vertAlign w:val="baseline"/>
        </w:rPr>
        <w:t> </w:t>
      </w:r>
      <w:r>
        <w:rPr>
          <w:vertAlign w:val="baseline"/>
        </w:rPr>
        <w:t>prevention</w:t>
      </w:r>
      <w:r>
        <w:rPr>
          <w:spacing w:val="-7"/>
          <w:vertAlign w:val="baseline"/>
        </w:rPr>
        <w:t> </w:t>
      </w:r>
      <w:r>
        <w:rPr>
          <w:vertAlign w:val="baseline"/>
        </w:rPr>
        <w:t>will</w:t>
      </w:r>
      <w:r>
        <w:rPr>
          <w:spacing w:val="-5"/>
          <w:vertAlign w:val="baseline"/>
        </w:rPr>
        <w:t> </w:t>
      </w:r>
      <w:r>
        <w:rPr>
          <w:vertAlign w:val="baseline"/>
        </w:rPr>
        <w:t>be</w:t>
      </w:r>
      <w:r>
        <w:rPr>
          <w:spacing w:val="-7"/>
          <w:vertAlign w:val="baseline"/>
        </w:rPr>
        <w:t> </w:t>
      </w:r>
      <w:r>
        <w:rPr>
          <w:vertAlign w:val="baseline"/>
        </w:rPr>
        <w:t>built</w:t>
      </w:r>
      <w:r>
        <w:rPr>
          <w:spacing w:val="-8"/>
          <w:vertAlign w:val="baseline"/>
        </w:rPr>
        <w:t> </w:t>
      </w:r>
      <w:r>
        <w:rPr>
          <w:vertAlign w:val="baseline"/>
        </w:rPr>
        <w:t>into</w:t>
      </w:r>
      <w:r>
        <w:rPr>
          <w:spacing w:val="-6"/>
          <w:vertAlign w:val="baseline"/>
        </w:rPr>
        <w:t> </w:t>
      </w:r>
      <w:r>
        <w:rPr>
          <w:vertAlign w:val="baseline"/>
        </w:rPr>
        <w:t>comprehensive</w:t>
      </w:r>
      <w:r>
        <w:rPr>
          <w:spacing w:val="-7"/>
          <w:vertAlign w:val="baseline"/>
        </w:rPr>
        <w:t> </w:t>
      </w:r>
      <w:r>
        <w:rPr>
          <w:vertAlign w:val="baseline"/>
        </w:rPr>
        <w:t>sexuality education</w:t>
      </w:r>
      <w:r>
        <w:rPr>
          <w:spacing w:val="-13"/>
          <w:vertAlign w:val="baseline"/>
        </w:rPr>
        <w:t> </w:t>
      </w:r>
      <w:r>
        <w:rPr>
          <w:vertAlign w:val="baseline"/>
        </w:rPr>
        <w:t>programs,</w:t>
      </w:r>
      <w:r>
        <w:rPr>
          <w:spacing w:val="-12"/>
          <w:vertAlign w:val="baseline"/>
        </w:rPr>
        <w:t> </w:t>
      </w:r>
      <w:r>
        <w:rPr>
          <w:vertAlign w:val="baseline"/>
        </w:rPr>
        <w:t>which</w:t>
      </w:r>
      <w:r>
        <w:rPr>
          <w:spacing w:val="-13"/>
          <w:vertAlign w:val="baseline"/>
        </w:rPr>
        <w:t> </w:t>
      </w:r>
      <w:r>
        <w:rPr>
          <w:vertAlign w:val="baseline"/>
        </w:rPr>
        <w:t>have</w:t>
      </w:r>
      <w:r>
        <w:rPr>
          <w:spacing w:val="-12"/>
          <w:vertAlign w:val="baseline"/>
        </w:rPr>
        <w:t> </w:t>
      </w:r>
      <w:r>
        <w:rPr>
          <w:vertAlign w:val="baseline"/>
        </w:rPr>
        <w:t>also</w:t>
      </w:r>
      <w:r>
        <w:rPr>
          <w:spacing w:val="-13"/>
          <w:vertAlign w:val="baseline"/>
        </w:rPr>
        <w:t> </w:t>
      </w:r>
      <w:r>
        <w:rPr>
          <w:vertAlign w:val="baseline"/>
        </w:rPr>
        <w:t>shown</w:t>
      </w:r>
      <w:r>
        <w:rPr>
          <w:spacing w:val="-12"/>
          <w:vertAlign w:val="baseline"/>
        </w:rPr>
        <w:t> </w:t>
      </w:r>
      <w:r>
        <w:rPr>
          <w:vertAlign w:val="baseline"/>
        </w:rPr>
        <w:t>promising</w:t>
      </w:r>
      <w:r>
        <w:rPr>
          <w:spacing w:val="-13"/>
          <w:vertAlign w:val="baseline"/>
        </w:rPr>
        <w:t> </w:t>
      </w:r>
      <w:r>
        <w:rPr>
          <w:vertAlign w:val="baseline"/>
        </w:rPr>
        <w:t>results,</w:t>
      </w:r>
      <w:r>
        <w:rPr>
          <w:spacing w:val="-12"/>
          <w:vertAlign w:val="baseline"/>
        </w:rPr>
        <w:t> </w:t>
      </w:r>
      <w:r>
        <w:rPr>
          <w:vertAlign w:val="baseline"/>
        </w:rPr>
        <w:t>including</w:t>
      </w:r>
      <w:r>
        <w:rPr>
          <w:spacing w:val="-12"/>
          <w:vertAlign w:val="baseline"/>
        </w:rPr>
        <w:t> </w:t>
      </w:r>
      <w:r>
        <w:rPr>
          <w:vertAlign w:val="baseline"/>
        </w:rPr>
        <w:t>increased</w:t>
      </w:r>
      <w:r>
        <w:rPr>
          <w:spacing w:val="-13"/>
          <w:vertAlign w:val="baseline"/>
        </w:rPr>
        <w:t> </w:t>
      </w:r>
      <w:r>
        <w:rPr>
          <w:vertAlign w:val="baseline"/>
        </w:rPr>
        <w:t>awareness</w:t>
      </w:r>
      <w:r>
        <w:rPr>
          <w:spacing w:val="-12"/>
          <w:vertAlign w:val="baseline"/>
        </w:rPr>
        <w:t> </w:t>
      </w:r>
      <w:r>
        <w:rPr>
          <w:vertAlign w:val="baseline"/>
        </w:rPr>
        <w:t>of</w:t>
      </w:r>
      <w:r>
        <w:rPr>
          <w:spacing w:val="-13"/>
          <w:vertAlign w:val="baseline"/>
        </w:rPr>
        <w:t> </w:t>
      </w:r>
      <w:r>
        <w:rPr>
          <w:vertAlign w:val="baseline"/>
        </w:rPr>
        <w:t>intimate partner violence as a serious issue, decreased tolerance of abusive behaviors by peers, improved communication skills, decreased intimate partner violence perpetration, and increased positive bystander behaviors.</w:t>
      </w:r>
      <w:hyperlink w:history="true" w:anchor="_bookmark83">
        <w:r>
          <w:rPr>
            <w:vertAlign w:val="superscript"/>
          </w:rPr>
          <w:t>2</w:t>
        </w:r>
      </w:hyperlink>
      <w:r>
        <w:rPr>
          <w:vertAlign w:val="baseline"/>
        </w:rPr>
        <w:t> Unfortunately, there is no consistency across Massachusetts as to what kind of dating violence intervention students receive; some school districts have adopted the 3R’s (Rights, Respect, Responsibility) programming, which is a comprehensive sexuality education curriculum that includes</w:t>
      </w:r>
      <w:r>
        <w:rPr>
          <w:spacing w:val="-1"/>
          <w:vertAlign w:val="baseline"/>
        </w:rPr>
        <w:t> </w:t>
      </w:r>
      <w:r>
        <w:rPr>
          <w:vertAlign w:val="baseline"/>
        </w:rPr>
        <w:t>education</w:t>
      </w:r>
      <w:r>
        <w:rPr>
          <w:spacing w:val="-2"/>
          <w:vertAlign w:val="baseline"/>
        </w:rPr>
        <w:t> </w:t>
      </w:r>
      <w:r>
        <w:rPr>
          <w:vertAlign w:val="baseline"/>
        </w:rPr>
        <w:t>on</w:t>
      </w:r>
      <w:r>
        <w:rPr>
          <w:spacing w:val="-1"/>
          <w:vertAlign w:val="baseline"/>
        </w:rPr>
        <w:t> </w:t>
      </w:r>
      <w:r>
        <w:rPr>
          <w:vertAlign w:val="baseline"/>
        </w:rPr>
        <w:t>consent</w:t>
      </w:r>
      <w:r>
        <w:rPr>
          <w:spacing w:val="-1"/>
          <w:vertAlign w:val="baseline"/>
        </w:rPr>
        <w:t> </w:t>
      </w:r>
      <w:r>
        <w:rPr>
          <w:vertAlign w:val="baseline"/>
        </w:rPr>
        <w:t>and</w:t>
      </w:r>
      <w:r>
        <w:rPr>
          <w:spacing w:val="-1"/>
          <w:vertAlign w:val="baseline"/>
        </w:rPr>
        <w:t> </w:t>
      </w:r>
      <w:r>
        <w:rPr>
          <w:vertAlign w:val="baseline"/>
        </w:rPr>
        <w:t>healthy</w:t>
      </w:r>
      <w:r>
        <w:rPr>
          <w:spacing w:val="-2"/>
          <w:vertAlign w:val="baseline"/>
        </w:rPr>
        <w:t> </w:t>
      </w:r>
      <w:r>
        <w:rPr>
          <w:vertAlign w:val="baseline"/>
        </w:rPr>
        <w:t>relationships.</w:t>
      </w:r>
      <w:r>
        <w:rPr>
          <w:spacing w:val="-1"/>
          <w:vertAlign w:val="baseline"/>
        </w:rPr>
        <w:t> </w:t>
      </w:r>
      <w:hyperlink w:history="true" w:anchor="_bookmark83">
        <w:r>
          <w:rPr>
            <w:vertAlign w:val="superscript"/>
          </w:rPr>
          <w:t>28</w:t>
        </w:r>
      </w:hyperlink>
      <w:r>
        <w:rPr>
          <w:spacing w:val="-1"/>
          <w:vertAlign w:val="baseline"/>
        </w:rPr>
        <w:t> </w:t>
      </w:r>
      <w:r>
        <w:rPr>
          <w:vertAlign w:val="baseline"/>
        </w:rPr>
        <w:t>Although</w:t>
      </w:r>
      <w:r>
        <w:rPr>
          <w:spacing w:val="-2"/>
          <w:vertAlign w:val="baseline"/>
        </w:rPr>
        <w:t> </w:t>
      </w:r>
      <w:r>
        <w:rPr>
          <w:vertAlign w:val="baseline"/>
        </w:rPr>
        <w:t>this</w:t>
      </w:r>
      <w:r>
        <w:rPr>
          <w:spacing w:val="-1"/>
          <w:vertAlign w:val="baseline"/>
        </w:rPr>
        <w:t> </w:t>
      </w:r>
      <w:r>
        <w:rPr>
          <w:vertAlign w:val="baseline"/>
        </w:rPr>
        <w:t>program</w:t>
      </w:r>
      <w:r>
        <w:rPr>
          <w:spacing w:val="-2"/>
          <w:vertAlign w:val="baseline"/>
        </w:rPr>
        <w:t> </w:t>
      </w:r>
      <w:r>
        <w:rPr>
          <w:vertAlign w:val="baseline"/>
        </w:rPr>
        <w:t>is one</w:t>
      </w:r>
      <w:r>
        <w:rPr>
          <w:spacing w:val="-2"/>
          <w:vertAlign w:val="baseline"/>
        </w:rPr>
        <w:t> </w:t>
      </w:r>
      <w:r>
        <w:rPr>
          <w:vertAlign w:val="baseline"/>
        </w:rPr>
        <w:t>of the</w:t>
      </w:r>
      <w:r>
        <w:rPr>
          <w:spacing w:val="-2"/>
          <w:vertAlign w:val="baseline"/>
        </w:rPr>
        <w:t> </w:t>
      </w:r>
      <w:r>
        <w:rPr>
          <w:vertAlign w:val="baseline"/>
        </w:rPr>
        <w:t>premier comprehensive sexuality education curriculums, it has yet to be implemented at a state-wide level; as highlighted in the sexual health section of this annual report, the Healthy Youth Act (</w:t>
      </w:r>
      <w:hyperlink r:id="rId130">
        <w:r>
          <w:rPr>
            <w:u w:val="single"/>
            <w:vertAlign w:val="baseline"/>
          </w:rPr>
          <w:t>S.268</w:t>
        </w:r>
      </w:hyperlink>
      <w:r>
        <w:rPr>
          <w:u w:val="none"/>
          <w:vertAlign w:val="baseline"/>
        </w:rPr>
        <w:t>/</w:t>
      </w:r>
      <w:hyperlink r:id="rId131">
        <w:r>
          <w:rPr>
            <w:u w:val="single"/>
            <w:vertAlign w:val="baseline"/>
          </w:rPr>
          <w:t>H.544</w:t>
        </w:r>
      </w:hyperlink>
      <w:r>
        <w:rPr>
          <w:u w:val="none"/>
          <w:vertAlign w:val="baseline"/>
        </w:rPr>
        <w:t>) is an opportunity for Massachusetts legislators to ensure that Massachusetts youth have access to medically accurate, inclusive, culturally appropriate sexual health education</w:t>
      </w:r>
      <w:hyperlink w:history="true" w:anchor="_bookmark83">
        <w:r>
          <w:rPr>
            <w:u w:val="none"/>
            <w:vertAlign w:val="baseline"/>
          </w:rPr>
          <w:t>.</w:t>
        </w:r>
        <w:r>
          <w:rPr>
            <w:u w:val="none"/>
            <w:vertAlign w:val="superscript"/>
          </w:rPr>
          <w:t>29</w:t>
        </w:r>
      </w:hyperlink>
    </w:p>
    <w:p>
      <w:pPr>
        <w:pStyle w:val="BodyText"/>
      </w:pPr>
    </w:p>
    <w:p>
      <w:pPr>
        <w:pStyle w:val="BodyText"/>
        <w:spacing w:before="37"/>
      </w:pPr>
    </w:p>
    <w:p>
      <w:pPr>
        <w:spacing w:before="0"/>
        <w:ind w:left="463" w:right="0" w:firstLine="0"/>
        <w:jc w:val="both"/>
        <w:rPr>
          <w:sz w:val="28"/>
        </w:rPr>
      </w:pPr>
      <w:bookmarkStart w:name="Intimate Partner Violence Definitions" w:id="218"/>
      <w:bookmarkEnd w:id="218"/>
      <w:r>
        <w:rPr/>
      </w:r>
      <w:r>
        <w:rPr>
          <w:color w:val="365F91"/>
          <w:sz w:val="28"/>
        </w:rPr>
        <w:t>Intimate</w:t>
      </w:r>
      <w:r>
        <w:rPr>
          <w:color w:val="365F91"/>
          <w:spacing w:val="-13"/>
          <w:sz w:val="28"/>
        </w:rPr>
        <w:t> </w:t>
      </w:r>
      <w:r>
        <w:rPr>
          <w:color w:val="365F91"/>
          <w:sz w:val="28"/>
        </w:rPr>
        <w:t>Partner</w:t>
      </w:r>
      <w:r>
        <w:rPr>
          <w:color w:val="365F91"/>
          <w:spacing w:val="-12"/>
          <w:sz w:val="28"/>
        </w:rPr>
        <w:t> </w:t>
      </w:r>
      <w:r>
        <w:rPr>
          <w:color w:val="365F91"/>
          <w:sz w:val="28"/>
        </w:rPr>
        <w:t>Violence</w:t>
      </w:r>
      <w:r>
        <w:rPr>
          <w:color w:val="365F91"/>
          <w:spacing w:val="-12"/>
          <w:sz w:val="28"/>
        </w:rPr>
        <w:t> </w:t>
      </w:r>
      <w:r>
        <w:rPr>
          <w:color w:val="365F91"/>
          <w:spacing w:val="-2"/>
          <w:sz w:val="28"/>
        </w:rPr>
        <w:t>Definitions</w:t>
      </w:r>
    </w:p>
    <w:p>
      <w:pPr>
        <w:spacing w:before="241"/>
        <w:ind w:left="1039" w:right="0" w:firstLine="0"/>
        <w:jc w:val="both"/>
        <w:rPr>
          <w:sz w:val="20"/>
        </w:rPr>
      </w:pPr>
      <w:r>
        <w:rPr>
          <w:sz w:val="20"/>
          <w:u w:val="single"/>
        </w:rPr>
        <w:t>Physical</w:t>
      </w:r>
      <w:r>
        <w:rPr>
          <w:spacing w:val="-7"/>
          <w:sz w:val="20"/>
          <w:u w:val="single"/>
        </w:rPr>
        <w:t> </w:t>
      </w:r>
      <w:r>
        <w:rPr>
          <w:spacing w:val="-2"/>
          <w:sz w:val="20"/>
          <w:u w:val="single"/>
        </w:rPr>
        <w:t>Abuse:</w:t>
      </w:r>
    </w:p>
    <w:p>
      <w:pPr>
        <w:spacing w:line="276" w:lineRule="auto" w:before="36"/>
        <w:ind w:left="1039" w:right="858" w:firstLine="0"/>
        <w:jc w:val="both"/>
        <w:rPr>
          <w:sz w:val="20"/>
        </w:rPr>
      </w:pPr>
      <w:r>
        <w:rPr>
          <w:sz w:val="20"/>
        </w:rPr>
        <w:t>Physical assault including punching, kicking, slapping, or choking; physical assault with a weapon; harming loved ones or pets; threats of suicide or self-harm; denying medical care or medication; forced consumption of alcohol and/or other drugs.</w:t>
      </w:r>
    </w:p>
    <w:p>
      <w:pPr>
        <w:spacing w:before="0"/>
        <w:ind w:left="1039" w:right="0" w:firstLine="0"/>
        <w:jc w:val="both"/>
        <w:rPr>
          <w:sz w:val="20"/>
        </w:rPr>
      </w:pPr>
      <w:r>
        <w:rPr>
          <w:sz w:val="20"/>
          <w:u w:val="single"/>
        </w:rPr>
        <w:t>Emotional,</w:t>
      </w:r>
      <w:r>
        <w:rPr>
          <w:spacing w:val="-6"/>
          <w:sz w:val="20"/>
          <w:u w:val="single"/>
        </w:rPr>
        <w:t> </w:t>
      </w:r>
      <w:r>
        <w:rPr>
          <w:sz w:val="20"/>
          <w:u w:val="single"/>
        </w:rPr>
        <w:t>Verbal,</w:t>
      </w:r>
      <w:r>
        <w:rPr>
          <w:spacing w:val="-6"/>
          <w:sz w:val="20"/>
          <w:u w:val="single"/>
        </w:rPr>
        <w:t> </w:t>
      </w:r>
      <w:r>
        <w:rPr>
          <w:sz w:val="20"/>
          <w:u w:val="single"/>
        </w:rPr>
        <w:t>and</w:t>
      </w:r>
      <w:r>
        <w:rPr>
          <w:spacing w:val="-5"/>
          <w:sz w:val="20"/>
          <w:u w:val="single"/>
        </w:rPr>
        <w:t> </w:t>
      </w:r>
      <w:r>
        <w:rPr>
          <w:sz w:val="20"/>
          <w:u w:val="single"/>
        </w:rPr>
        <w:t>Psychological</w:t>
      </w:r>
      <w:r>
        <w:rPr>
          <w:spacing w:val="-6"/>
          <w:sz w:val="20"/>
          <w:u w:val="single"/>
        </w:rPr>
        <w:t> </w:t>
      </w:r>
      <w:r>
        <w:rPr>
          <w:spacing w:val="-2"/>
          <w:sz w:val="20"/>
          <w:u w:val="single"/>
        </w:rPr>
        <w:t>Abuse:</w:t>
      </w:r>
    </w:p>
    <w:p>
      <w:pPr>
        <w:spacing w:line="276" w:lineRule="auto" w:before="37"/>
        <w:ind w:left="1039" w:right="858" w:firstLine="0"/>
        <w:jc w:val="both"/>
        <w:rPr>
          <w:sz w:val="20"/>
        </w:rPr>
      </w:pPr>
      <w:r>
        <w:rPr>
          <w:sz w:val="20"/>
        </w:rPr>
        <w:t>Threats of physical assault, with or without a weapon; destroying physical property; humiliation, constant criticism, name-calling; isolation from or controlling contact with family and friends; gaslighting; forced outing; purposeful misgendering.</w:t>
      </w:r>
    </w:p>
    <w:p>
      <w:pPr>
        <w:spacing w:line="243" w:lineRule="exact" w:before="0"/>
        <w:ind w:left="1039" w:right="0" w:firstLine="0"/>
        <w:jc w:val="both"/>
        <w:rPr>
          <w:sz w:val="20"/>
        </w:rPr>
      </w:pPr>
      <w:r>
        <w:rPr>
          <w:sz w:val="20"/>
          <w:u w:val="single"/>
        </w:rPr>
        <w:t>Sexual</w:t>
      </w:r>
      <w:r>
        <w:rPr>
          <w:spacing w:val="-6"/>
          <w:sz w:val="20"/>
          <w:u w:val="single"/>
        </w:rPr>
        <w:t> </w:t>
      </w:r>
      <w:r>
        <w:rPr>
          <w:sz w:val="20"/>
          <w:u w:val="single"/>
        </w:rPr>
        <w:t>Abuse,</w:t>
      </w:r>
      <w:r>
        <w:rPr>
          <w:spacing w:val="-4"/>
          <w:sz w:val="20"/>
          <w:u w:val="single"/>
        </w:rPr>
        <w:t> </w:t>
      </w:r>
      <w:r>
        <w:rPr>
          <w:sz w:val="20"/>
          <w:u w:val="single"/>
        </w:rPr>
        <w:t>Sexual</w:t>
      </w:r>
      <w:r>
        <w:rPr>
          <w:spacing w:val="-4"/>
          <w:sz w:val="20"/>
          <w:u w:val="single"/>
        </w:rPr>
        <w:t> </w:t>
      </w:r>
      <w:r>
        <w:rPr>
          <w:sz w:val="20"/>
          <w:u w:val="single"/>
        </w:rPr>
        <w:t>and</w:t>
      </w:r>
      <w:r>
        <w:rPr>
          <w:spacing w:val="-4"/>
          <w:sz w:val="20"/>
          <w:u w:val="single"/>
        </w:rPr>
        <w:t> </w:t>
      </w:r>
      <w:r>
        <w:rPr>
          <w:sz w:val="20"/>
          <w:u w:val="single"/>
        </w:rPr>
        <w:t>Reproductive</w:t>
      </w:r>
      <w:r>
        <w:rPr>
          <w:spacing w:val="-3"/>
          <w:sz w:val="20"/>
          <w:u w:val="single"/>
        </w:rPr>
        <w:t> </w:t>
      </w:r>
      <w:r>
        <w:rPr>
          <w:spacing w:val="-2"/>
          <w:sz w:val="20"/>
          <w:u w:val="single"/>
        </w:rPr>
        <w:t>Coercion:</w:t>
      </w:r>
    </w:p>
    <w:p>
      <w:pPr>
        <w:spacing w:after="0" w:line="243" w:lineRule="exact"/>
        <w:jc w:val="both"/>
        <w:rPr>
          <w:sz w:val="20"/>
        </w:rPr>
        <w:sectPr>
          <w:pgSz w:w="11910" w:h="16840"/>
          <w:pgMar w:header="804" w:footer="1230" w:top="1080" w:bottom="1480" w:left="980" w:right="900"/>
        </w:sectPr>
      </w:pPr>
    </w:p>
    <w:p>
      <w:pPr>
        <w:spacing w:line="276" w:lineRule="auto" w:before="69"/>
        <w:ind w:left="1039" w:right="856" w:firstLine="0"/>
        <w:jc w:val="both"/>
        <w:rPr>
          <w:sz w:val="20"/>
        </w:rPr>
      </w:pPr>
      <w:r>
        <w:rPr>
          <w:sz w:val="20"/>
        </w:rPr>
        <w:t>Refusing</w:t>
      </w:r>
      <w:r>
        <w:rPr>
          <w:spacing w:val="-3"/>
          <w:sz w:val="20"/>
        </w:rPr>
        <w:t> </w:t>
      </w:r>
      <w:r>
        <w:rPr>
          <w:sz w:val="20"/>
        </w:rPr>
        <w:t>to</w:t>
      </w:r>
      <w:r>
        <w:rPr>
          <w:spacing w:val="-3"/>
          <w:sz w:val="20"/>
        </w:rPr>
        <w:t> </w:t>
      </w:r>
      <w:r>
        <w:rPr>
          <w:sz w:val="20"/>
        </w:rPr>
        <w:t>use</w:t>
      </w:r>
      <w:r>
        <w:rPr>
          <w:spacing w:val="-2"/>
          <w:sz w:val="20"/>
        </w:rPr>
        <w:t> </w:t>
      </w:r>
      <w:r>
        <w:rPr>
          <w:sz w:val="20"/>
        </w:rPr>
        <w:t>safer</w:t>
      </w:r>
      <w:r>
        <w:rPr>
          <w:spacing w:val="-3"/>
          <w:sz w:val="20"/>
        </w:rPr>
        <w:t> </w:t>
      </w:r>
      <w:r>
        <w:rPr>
          <w:sz w:val="20"/>
        </w:rPr>
        <w:t>sex</w:t>
      </w:r>
      <w:r>
        <w:rPr>
          <w:spacing w:val="-2"/>
          <w:sz w:val="20"/>
        </w:rPr>
        <w:t> </w:t>
      </w:r>
      <w:r>
        <w:rPr>
          <w:sz w:val="20"/>
        </w:rPr>
        <w:t>supplies</w:t>
      </w:r>
      <w:r>
        <w:rPr>
          <w:spacing w:val="-2"/>
          <w:sz w:val="20"/>
        </w:rPr>
        <w:t> </w:t>
      </w:r>
      <w:r>
        <w:rPr>
          <w:sz w:val="20"/>
        </w:rPr>
        <w:t>including</w:t>
      </w:r>
      <w:r>
        <w:rPr>
          <w:spacing w:val="-3"/>
          <w:sz w:val="20"/>
        </w:rPr>
        <w:t> </w:t>
      </w:r>
      <w:r>
        <w:rPr>
          <w:sz w:val="20"/>
        </w:rPr>
        <w:t>condoms,</w:t>
      </w:r>
      <w:r>
        <w:rPr>
          <w:spacing w:val="-3"/>
          <w:sz w:val="20"/>
        </w:rPr>
        <w:t> </w:t>
      </w:r>
      <w:r>
        <w:rPr>
          <w:sz w:val="20"/>
        </w:rPr>
        <w:t>dental</w:t>
      </w:r>
      <w:r>
        <w:rPr>
          <w:spacing w:val="-2"/>
          <w:sz w:val="20"/>
        </w:rPr>
        <w:t> </w:t>
      </w:r>
      <w:r>
        <w:rPr>
          <w:sz w:val="20"/>
        </w:rPr>
        <w:t>dams,</w:t>
      </w:r>
      <w:r>
        <w:rPr>
          <w:spacing w:val="-3"/>
          <w:sz w:val="20"/>
        </w:rPr>
        <w:t> </w:t>
      </w:r>
      <w:r>
        <w:rPr>
          <w:sz w:val="20"/>
        </w:rPr>
        <w:t>or</w:t>
      </w:r>
      <w:r>
        <w:rPr>
          <w:spacing w:val="-3"/>
          <w:sz w:val="20"/>
        </w:rPr>
        <w:t> </w:t>
      </w:r>
      <w:r>
        <w:rPr>
          <w:sz w:val="20"/>
        </w:rPr>
        <w:t>PrEP;</w:t>
      </w:r>
      <w:r>
        <w:rPr>
          <w:spacing w:val="-2"/>
          <w:sz w:val="20"/>
        </w:rPr>
        <w:t> </w:t>
      </w:r>
      <w:r>
        <w:rPr>
          <w:sz w:val="20"/>
        </w:rPr>
        <w:t>sabotaging</w:t>
      </w:r>
      <w:r>
        <w:rPr>
          <w:spacing w:val="-4"/>
          <w:sz w:val="20"/>
        </w:rPr>
        <w:t> </w:t>
      </w:r>
      <w:r>
        <w:rPr>
          <w:sz w:val="20"/>
        </w:rPr>
        <w:t>birth</w:t>
      </w:r>
      <w:r>
        <w:rPr>
          <w:spacing w:val="-3"/>
          <w:sz w:val="20"/>
        </w:rPr>
        <w:t> </w:t>
      </w:r>
      <w:r>
        <w:rPr>
          <w:sz w:val="20"/>
        </w:rPr>
        <w:t>control or</w:t>
      </w:r>
      <w:r>
        <w:rPr>
          <w:spacing w:val="-7"/>
          <w:sz w:val="20"/>
        </w:rPr>
        <w:t> </w:t>
      </w:r>
      <w:r>
        <w:rPr>
          <w:sz w:val="20"/>
        </w:rPr>
        <w:t>preventing</w:t>
      </w:r>
      <w:r>
        <w:rPr>
          <w:spacing w:val="-8"/>
          <w:sz w:val="20"/>
        </w:rPr>
        <w:t> </w:t>
      </w:r>
      <w:r>
        <w:rPr>
          <w:sz w:val="20"/>
        </w:rPr>
        <w:t>the</w:t>
      </w:r>
      <w:r>
        <w:rPr>
          <w:spacing w:val="-7"/>
          <w:sz w:val="20"/>
        </w:rPr>
        <w:t> </w:t>
      </w:r>
      <w:r>
        <w:rPr>
          <w:sz w:val="20"/>
        </w:rPr>
        <w:t>use</w:t>
      </w:r>
      <w:r>
        <w:rPr>
          <w:spacing w:val="-8"/>
          <w:sz w:val="20"/>
        </w:rPr>
        <w:t> </w:t>
      </w:r>
      <w:r>
        <w:rPr>
          <w:sz w:val="20"/>
        </w:rPr>
        <w:t>of</w:t>
      </w:r>
      <w:r>
        <w:rPr>
          <w:spacing w:val="-8"/>
          <w:sz w:val="20"/>
        </w:rPr>
        <w:t> </w:t>
      </w:r>
      <w:r>
        <w:rPr>
          <w:sz w:val="20"/>
        </w:rPr>
        <w:t>birth</w:t>
      </w:r>
      <w:r>
        <w:rPr>
          <w:spacing w:val="-8"/>
          <w:sz w:val="20"/>
        </w:rPr>
        <w:t> </w:t>
      </w:r>
      <w:r>
        <w:rPr>
          <w:sz w:val="20"/>
        </w:rPr>
        <w:t>control;</w:t>
      </w:r>
      <w:r>
        <w:rPr>
          <w:spacing w:val="-8"/>
          <w:sz w:val="20"/>
        </w:rPr>
        <w:t> </w:t>
      </w:r>
      <w:r>
        <w:rPr>
          <w:sz w:val="20"/>
        </w:rPr>
        <w:t>pressure</w:t>
      </w:r>
      <w:r>
        <w:rPr>
          <w:spacing w:val="-7"/>
          <w:sz w:val="20"/>
        </w:rPr>
        <w:t> </w:t>
      </w:r>
      <w:r>
        <w:rPr>
          <w:sz w:val="20"/>
        </w:rPr>
        <w:t>to</w:t>
      </w:r>
      <w:r>
        <w:rPr>
          <w:spacing w:val="-7"/>
          <w:sz w:val="20"/>
        </w:rPr>
        <w:t> </w:t>
      </w:r>
      <w:r>
        <w:rPr>
          <w:sz w:val="20"/>
        </w:rPr>
        <w:t>engage</w:t>
      </w:r>
      <w:r>
        <w:rPr>
          <w:spacing w:val="-7"/>
          <w:sz w:val="20"/>
        </w:rPr>
        <w:t> </w:t>
      </w:r>
      <w:r>
        <w:rPr>
          <w:sz w:val="20"/>
        </w:rPr>
        <w:t>in</w:t>
      </w:r>
      <w:r>
        <w:rPr>
          <w:spacing w:val="-8"/>
          <w:sz w:val="20"/>
        </w:rPr>
        <w:t> </w:t>
      </w:r>
      <w:r>
        <w:rPr>
          <w:sz w:val="20"/>
        </w:rPr>
        <w:t>a</w:t>
      </w:r>
      <w:r>
        <w:rPr>
          <w:spacing w:val="-7"/>
          <w:sz w:val="20"/>
        </w:rPr>
        <w:t> </w:t>
      </w:r>
      <w:r>
        <w:rPr>
          <w:sz w:val="20"/>
        </w:rPr>
        <w:t>particular</w:t>
      </w:r>
      <w:r>
        <w:rPr>
          <w:spacing w:val="-8"/>
          <w:sz w:val="20"/>
        </w:rPr>
        <w:t> </w:t>
      </w:r>
      <w:r>
        <w:rPr>
          <w:sz w:val="20"/>
        </w:rPr>
        <w:t>sex</w:t>
      </w:r>
      <w:r>
        <w:rPr>
          <w:spacing w:val="-7"/>
          <w:sz w:val="20"/>
        </w:rPr>
        <w:t> </w:t>
      </w:r>
      <w:r>
        <w:rPr>
          <w:sz w:val="20"/>
        </w:rPr>
        <w:t>act;</w:t>
      </w:r>
      <w:r>
        <w:rPr>
          <w:spacing w:val="-8"/>
          <w:sz w:val="20"/>
        </w:rPr>
        <w:t> </w:t>
      </w:r>
      <w:r>
        <w:rPr>
          <w:sz w:val="20"/>
        </w:rPr>
        <w:t>using</w:t>
      </w:r>
      <w:r>
        <w:rPr>
          <w:spacing w:val="-6"/>
          <w:sz w:val="20"/>
        </w:rPr>
        <w:t> </w:t>
      </w:r>
      <w:r>
        <w:rPr>
          <w:sz w:val="20"/>
        </w:rPr>
        <w:t>alcohol</w:t>
      </w:r>
      <w:r>
        <w:rPr>
          <w:spacing w:val="-7"/>
          <w:sz w:val="20"/>
        </w:rPr>
        <w:t> </w:t>
      </w:r>
      <w:r>
        <w:rPr>
          <w:sz w:val="20"/>
        </w:rPr>
        <w:t>and/or other drugs to facilitate sexual intercourse; sexual assault; becoming volatile when denied sex.</w:t>
      </w:r>
    </w:p>
    <w:p>
      <w:pPr>
        <w:spacing w:before="0"/>
        <w:ind w:left="1039" w:right="0" w:firstLine="0"/>
        <w:jc w:val="both"/>
        <w:rPr>
          <w:sz w:val="20"/>
        </w:rPr>
      </w:pPr>
      <w:r>
        <w:rPr>
          <w:sz w:val="20"/>
          <w:u w:val="single"/>
        </w:rPr>
        <w:t>Financial</w:t>
      </w:r>
      <w:r>
        <w:rPr>
          <w:spacing w:val="-3"/>
          <w:sz w:val="20"/>
          <w:u w:val="single"/>
        </w:rPr>
        <w:t> </w:t>
      </w:r>
      <w:r>
        <w:rPr>
          <w:spacing w:val="-2"/>
          <w:sz w:val="20"/>
          <w:u w:val="single"/>
        </w:rPr>
        <w:t>Abuse:</w:t>
      </w:r>
    </w:p>
    <w:p>
      <w:pPr>
        <w:spacing w:line="276" w:lineRule="auto" w:before="37"/>
        <w:ind w:left="1039" w:right="857" w:firstLine="0"/>
        <w:jc w:val="both"/>
        <w:rPr>
          <w:sz w:val="20"/>
        </w:rPr>
      </w:pPr>
      <w:r>
        <w:rPr>
          <w:sz w:val="20"/>
        </w:rPr>
        <w:t>Stealing money or paychecks; controlling how much, when, and where money is spent; prohibiting, limiting, or controlling work opportunities.</w:t>
      </w:r>
    </w:p>
    <w:p>
      <w:pPr>
        <w:spacing w:line="243" w:lineRule="exact" w:before="0"/>
        <w:ind w:left="1039" w:right="0" w:firstLine="0"/>
        <w:jc w:val="both"/>
        <w:rPr>
          <w:sz w:val="20"/>
        </w:rPr>
      </w:pPr>
      <w:r>
        <w:rPr>
          <w:sz w:val="20"/>
          <w:u w:val="single"/>
        </w:rPr>
        <w:t>Digital</w:t>
      </w:r>
      <w:r>
        <w:rPr>
          <w:spacing w:val="-6"/>
          <w:sz w:val="20"/>
          <w:u w:val="single"/>
        </w:rPr>
        <w:t> </w:t>
      </w:r>
      <w:r>
        <w:rPr>
          <w:spacing w:val="-2"/>
          <w:sz w:val="20"/>
          <w:u w:val="single"/>
        </w:rPr>
        <w:t>Abuse:</w:t>
      </w:r>
    </w:p>
    <w:p>
      <w:pPr>
        <w:spacing w:line="276" w:lineRule="auto" w:before="37"/>
        <w:ind w:left="1039" w:right="858" w:firstLine="0"/>
        <w:jc w:val="both"/>
        <w:rPr>
          <w:sz w:val="20"/>
        </w:rPr>
      </w:pPr>
      <w:r>
        <w:rPr>
          <w:sz w:val="20"/>
        </w:rPr>
        <w:t>Revenge porn and sextortion; sending threats via text, email, or social media DM; using a tracking device or service to monitor location; monitoring texts, emails, or social media DMs; becoming volatile when denied constant digital contact; stealing or demanding passwords.</w:t>
      </w:r>
    </w:p>
    <w:p>
      <w:pPr>
        <w:spacing w:before="0"/>
        <w:ind w:left="1039" w:right="0" w:firstLine="0"/>
        <w:jc w:val="left"/>
        <w:rPr>
          <w:sz w:val="20"/>
        </w:rPr>
      </w:pPr>
      <w:r>
        <w:rPr>
          <w:spacing w:val="-2"/>
          <w:sz w:val="20"/>
          <w:u w:val="single"/>
        </w:rPr>
        <w:t>Stalking:</w:t>
      </w:r>
    </w:p>
    <w:p>
      <w:pPr>
        <w:spacing w:line="276" w:lineRule="auto" w:before="36"/>
        <w:ind w:left="1039" w:right="801" w:firstLine="0"/>
        <w:jc w:val="left"/>
        <w:rPr>
          <w:sz w:val="20"/>
        </w:rPr>
      </w:pPr>
      <w:r>
        <w:rPr>
          <w:sz w:val="20"/>
        </w:rPr>
        <w:t>Showing</w:t>
      </w:r>
      <w:r>
        <w:rPr>
          <w:spacing w:val="-2"/>
          <w:sz w:val="20"/>
        </w:rPr>
        <w:t> </w:t>
      </w:r>
      <w:r>
        <w:rPr>
          <w:sz w:val="20"/>
        </w:rPr>
        <w:t>up</w:t>
      </w:r>
      <w:r>
        <w:rPr>
          <w:spacing w:val="-3"/>
          <w:sz w:val="20"/>
        </w:rPr>
        <w:t> </w:t>
      </w:r>
      <w:r>
        <w:rPr>
          <w:sz w:val="20"/>
        </w:rPr>
        <w:t>uninvited</w:t>
      </w:r>
      <w:r>
        <w:rPr>
          <w:spacing w:val="-2"/>
          <w:sz w:val="20"/>
        </w:rPr>
        <w:t> </w:t>
      </w:r>
      <w:r>
        <w:rPr>
          <w:sz w:val="20"/>
        </w:rPr>
        <w:t>and</w:t>
      </w:r>
      <w:r>
        <w:rPr>
          <w:spacing w:val="-3"/>
          <w:sz w:val="20"/>
        </w:rPr>
        <w:t> </w:t>
      </w:r>
      <w:r>
        <w:rPr>
          <w:sz w:val="20"/>
        </w:rPr>
        <w:t>unannounced</w:t>
      </w:r>
      <w:r>
        <w:rPr>
          <w:spacing w:val="-2"/>
          <w:sz w:val="20"/>
        </w:rPr>
        <w:t> </w:t>
      </w:r>
      <w:r>
        <w:rPr>
          <w:sz w:val="20"/>
        </w:rPr>
        <w:t>to</w:t>
      </w:r>
      <w:r>
        <w:rPr>
          <w:spacing w:val="-3"/>
          <w:sz w:val="20"/>
        </w:rPr>
        <w:t> </w:t>
      </w:r>
      <w:r>
        <w:rPr>
          <w:sz w:val="20"/>
        </w:rPr>
        <w:t>home,</w:t>
      </w:r>
      <w:r>
        <w:rPr>
          <w:spacing w:val="-2"/>
          <w:sz w:val="20"/>
        </w:rPr>
        <w:t> </w:t>
      </w:r>
      <w:r>
        <w:rPr>
          <w:sz w:val="20"/>
        </w:rPr>
        <w:t>school,</w:t>
      </w:r>
      <w:r>
        <w:rPr>
          <w:spacing w:val="-3"/>
          <w:sz w:val="20"/>
        </w:rPr>
        <w:t> </w:t>
      </w:r>
      <w:r>
        <w:rPr>
          <w:sz w:val="20"/>
        </w:rPr>
        <w:t>or</w:t>
      </w:r>
      <w:r>
        <w:rPr>
          <w:spacing w:val="-2"/>
          <w:sz w:val="20"/>
        </w:rPr>
        <w:t> </w:t>
      </w:r>
      <w:r>
        <w:rPr>
          <w:sz w:val="20"/>
        </w:rPr>
        <w:t>work;</w:t>
      </w:r>
      <w:r>
        <w:rPr>
          <w:spacing w:val="-2"/>
          <w:sz w:val="20"/>
        </w:rPr>
        <w:t> </w:t>
      </w:r>
      <w:r>
        <w:rPr>
          <w:sz w:val="20"/>
        </w:rPr>
        <w:t>using</w:t>
      </w:r>
      <w:r>
        <w:rPr>
          <w:spacing w:val="-3"/>
          <w:sz w:val="20"/>
        </w:rPr>
        <w:t> </w:t>
      </w:r>
      <w:r>
        <w:rPr>
          <w:sz w:val="20"/>
        </w:rPr>
        <w:t>a</w:t>
      </w:r>
      <w:r>
        <w:rPr>
          <w:spacing w:val="-2"/>
          <w:sz w:val="20"/>
        </w:rPr>
        <w:t> </w:t>
      </w:r>
      <w:r>
        <w:rPr>
          <w:sz w:val="20"/>
        </w:rPr>
        <w:t>tracking</w:t>
      </w:r>
      <w:r>
        <w:rPr>
          <w:spacing w:val="-2"/>
          <w:sz w:val="20"/>
        </w:rPr>
        <w:t> </w:t>
      </w:r>
      <w:r>
        <w:rPr>
          <w:sz w:val="20"/>
        </w:rPr>
        <w:t>device</w:t>
      </w:r>
      <w:r>
        <w:rPr>
          <w:spacing w:val="-2"/>
          <w:sz w:val="20"/>
        </w:rPr>
        <w:t> </w:t>
      </w:r>
      <w:r>
        <w:rPr>
          <w:sz w:val="20"/>
        </w:rPr>
        <w:t>or</w:t>
      </w:r>
      <w:r>
        <w:rPr>
          <w:spacing w:val="-2"/>
          <w:sz w:val="20"/>
        </w:rPr>
        <w:t> </w:t>
      </w:r>
      <w:r>
        <w:rPr>
          <w:sz w:val="20"/>
        </w:rPr>
        <w:t>service to monitor location; constant text messages, emails, or social media DMs; sending unwanted gifts.</w:t>
      </w:r>
    </w:p>
    <w:p>
      <w:pPr>
        <w:pStyle w:val="BodyText"/>
        <w:spacing w:line="276" w:lineRule="auto" w:before="239"/>
        <w:ind w:left="458" w:right="530"/>
        <w:jc w:val="both"/>
      </w:pPr>
      <w:r>
        <w:rPr/>
        <w:t>In addition to school-based education, studies have shown that access to LGBTQ-inclusive support resources</w:t>
      </w:r>
      <w:r>
        <w:rPr>
          <w:spacing w:val="-13"/>
        </w:rPr>
        <w:t> </w:t>
      </w:r>
      <w:r>
        <w:rPr/>
        <w:t>are</w:t>
      </w:r>
      <w:r>
        <w:rPr>
          <w:spacing w:val="-12"/>
        </w:rPr>
        <w:t> </w:t>
      </w:r>
      <w:r>
        <w:rPr/>
        <w:t>key</w:t>
      </w:r>
      <w:r>
        <w:rPr>
          <w:spacing w:val="-13"/>
        </w:rPr>
        <w:t> </w:t>
      </w:r>
      <w:r>
        <w:rPr/>
        <w:t>in</w:t>
      </w:r>
      <w:r>
        <w:rPr>
          <w:spacing w:val="-12"/>
        </w:rPr>
        <w:t> </w:t>
      </w:r>
      <w:r>
        <w:rPr/>
        <w:t>supporting</w:t>
      </w:r>
      <w:r>
        <w:rPr>
          <w:spacing w:val="-13"/>
        </w:rPr>
        <w:t> </w:t>
      </w:r>
      <w:r>
        <w:rPr/>
        <w:t>survivors</w:t>
      </w:r>
      <w:r>
        <w:rPr>
          <w:spacing w:val="-12"/>
        </w:rPr>
        <w:t> </w:t>
      </w:r>
      <w:r>
        <w:rPr/>
        <w:t>of</w:t>
      </w:r>
      <w:r>
        <w:rPr>
          <w:spacing w:val="-13"/>
        </w:rPr>
        <w:t> </w:t>
      </w:r>
      <w:r>
        <w:rPr/>
        <w:t>intimate</w:t>
      </w:r>
      <w:r>
        <w:rPr>
          <w:spacing w:val="-12"/>
        </w:rPr>
        <w:t> </w:t>
      </w:r>
      <w:r>
        <w:rPr/>
        <w:t>partner</w:t>
      </w:r>
      <w:r>
        <w:rPr>
          <w:spacing w:val="-12"/>
        </w:rPr>
        <w:t> </w:t>
      </w:r>
      <w:r>
        <w:rPr/>
        <w:t>violence</w:t>
      </w:r>
      <w:hyperlink w:history="true" w:anchor="_bookmark83">
        <w:r>
          <w:rPr/>
          <w:t>.</w:t>
        </w:r>
        <w:r>
          <w:rPr>
            <w:vertAlign w:val="superscript"/>
          </w:rPr>
          <w:t>30</w:t>
        </w:r>
      </w:hyperlink>
      <w:r>
        <w:rPr>
          <w:spacing w:val="-13"/>
          <w:vertAlign w:val="baseline"/>
        </w:rPr>
        <w:t> </w:t>
      </w:r>
      <w:r>
        <w:rPr>
          <w:vertAlign w:val="baseline"/>
        </w:rPr>
        <w:t>According</w:t>
      </w:r>
      <w:r>
        <w:rPr>
          <w:spacing w:val="-12"/>
          <w:vertAlign w:val="baseline"/>
        </w:rPr>
        <w:t> </w:t>
      </w:r>
      <w:r>
        <w:rPr>
          <w:vertAlign w:val="baseline"/>
        </w:rPr>
        <w:t>to</w:t>
      </w:r>
      <w:r>
        <w:rPr>
          <w:spacing w:val="-13"/>
          <w:vertAlign w:val="baseline"/>
        </w:rPr>
        <w:t> </w:t>
      </w:r>
      <w:r>
        <w:rPr>
          <w:vertAlign w:val="baseline"/>
        </w:rPr>
        <w:t>a</w:t>
      </w:r>
      <w:r>
        <w:rPr>
          <w:spacing w:val="-12"/>
          <w:vertAlign w:val="baseline"/>
        </w:rPr>
        <w:t> </w:t>
      </w:r>
      <w:r>
        <w:rPr>
          <w:vertAlign w:val="baseline"/>
        </w:rPr>
        <w:t>survey</w:t>
      </w:r>
      <w:r>
        <w:rPr>
          <w:spacing w:val="-13"/>
          <w:vertAlign w:val="baseline"/>
        </w:rPr>
        <w:t> </w:t>
      </w:r>
      <w:r>
        <w:rPr>
          <w:vertAlign w:val="baseline"/>
        </w:rPr>
        <w:t>of</w:t>
      </w:r>
      <w:r>
        <w:rPr>
          <w:spacing w:val="-12"/>
          <w:vertAlign w:val="baseline"/>
        </w:rPr>
        <w:t> </w:t>
      </w:r>
      <w:r>
        <w:rPr>
          <w:vertAlign w:val="baseline"/>
        </w:rPr>
        <w:t>queer and</w:t>
      </w:r>
      <w:r>
        <w:rPr>
          <w:spacing w:val="-8"/>
          <w:vertAlign w:val="baseline"/>
        </w:rPr>
        <w:t> </w:t>
      </w:r>
      <w:r>
        <w:rPr>
          <w:vertAlign w:val="baseline"/>
        </w:rPr>
        <w:t>trans</w:t>
      </w:r>
      <w:r>
        <w:rPr>
          <w:spacing w:val="-7"/>
          <w:vertAlign w:val="baseline"/>
        </w:rPr>
        <w:t> </w:t>
      </w:r>
      <w:r>
        <w:rPr>
          <w:vertAlign w:val="baseline"/>
        </w:rPr>
        <w:t>Massachusetts</w:t>
      </w:r>
      <w:r>
        <w:rPr>
          <w:spacing w:val="-7"/>
          <w:vertAlign w:val="baseline"/>
        </w:rPr>
        <w:t> </w:t>
      </w:r>
      <w:r>
        <w:rPr>
          <w:vertAlign w:val="baseline"/>
        </w:rPr>
        <w:t>survivors,</w:t>
      </w:r>
      <w:r>
        <w:rPr>
          <w:spacing w:val="-7"/>
          <w:vertAlign w:val="baseline"/>
        </w:rPr>
        <w:t> </w:t>
      </w:r>
      <w:r>
        <w:rPr>
          <w:vertAlign w:val="baseline"/>
        </w:rPr>
        <w:t>survivors</w:t>
      </w:r>
      <w:r>
        <w:rPr>
          <w:spacing w:val="-7"/>
          <w:vertAlign w:val="baseline"/>
        </w:rPr>
        <w:t> </w:t>
      </w:r>
      <w:r>
        <w:rPr>
          <w:vertAlign w:val="baseline"/>
        </w:rPr>
        <w:t>want</w:t>
      </w:r>
      <w:r>
        <w:rPr>
          <w:spacing w:val="-8"/>
          <w:vertAlign w:val="baseline"/>
        </w:rPr>
        <w:t> </w:t>
      </w:r>
      <w:r>
        <w:rPr>
          <w:vertAlign w:val="baseline"/>
        </w:rPr>
        <w:t>support</w:t>
      </w:r>
      <w:r>
        <w:rPr>
          <w:spacing w:val="-8"/>
          <w:vertAlign w:val="baseline"/>
        </w:rPr>
        <w:t> </w:t>
      </w:r>
      <w:r>
        <w:rPr>
          <w:vertAlign w:val="baseline"/>
        </w:rPr>
        <w:t>from</w:t>
      </w:r>
      <w:r>
        <w:rPr>
          <w:spacing w:val="-8"/>
          <w:vertAlign w:val="baseline"/>
        </w:rPr>
        <w:t> </w:t>
      </w:r>
      <w:r>
        <w:rPr>
          <w:vertAlign w:val="baseline"/>
        </w:rPr>
        <w:t>resources</w:t>
      </w:r>
      <w:r>
        <w:rPr>
          <w:spacing w:val="-7"/>
          <w:vertAlign w:val="baseline"/>
        </w:rPr>
        <w:t> </w:t>
      </w:r>
      <w:r>
        <w:rPr>
          <w:vertAlign w:val="baseline"/>
        </w:rPr>
        <w:t>where</w:t>
      </w:r>
      <w:r>
        <w:rPr>
          <w:spacing w:val="-8"/>
          <w:vertAlign w:val="baseline"/>
        </w:rPr>
        <w:t> </w:t>
      </w:r>
      <w:r>
        <w:rPr>
          <w:vertAlign w:val="baseline"/>
        </w:rPr>
        <w:t>they</w:t>
      </w:r>
      <w:r>
        <w:rPr>
          <w:spacing w:val="-7"/>
          <w:vertAlign w:val="baseline"/>
        </w:rPr>
        <w:t> </w:t>
      </w:r>
      <w:r>
        <w:rPr>
          <w:vertAlign w:val="baseline"/>
        </w:rPr>
        <w:t>feel</w:t>
      </w:r>
      <w:r>
        <w:rPr>
          <w:spacing w:val="-8"/>
          <w:vertAlign w:val="baseline"/>
        </w:rPr>
        <w:t> </w:t>
      </w:r>
      <w:r>
        <w:rPr>
          <w:vertAlign w:val="baseline"/>
        </w:rPr>
        <w:t>respected, safe, and comfortable, and where they will not have to explain their identities or face discrimination from a service provider</w:t>
      </w:r>
      <w:hyperlink w:history="true" w:anchor="_bookmark83">
        <w:r>
          <w:rPr>
            <w:vertAlign w:val="baseline"/>
          </w:rPr>
          <w:t>.</w:t>
        </w:r>
        <w:r>
          <w:rPr>
            <w:vertAlign w:val="superscript"/>
          </w:rPr>
          <w:t>31</w:t>
        </w:r>
      </w:hyperlink>
      <w:r>
        <w:rPr>
          <w:vertAlign w:val="baseline"/>
        </w:rPr>
        <w:t> Black survivors and trans survivors, in particular, expressed a desire for LGBTQ-specific resources, stating that they appreciate when support resources understand their identities and offer culturally competent support. </w:t>
      </w:r>
      <w:hyperlink w:history="true" w:anchor="_bookmark83">
        <w:r>
          <w:rPr>
            <w:vertAlign w:val="superscript"/>
          </w:rPr>
          <w:t>32</w:t>
        </w:r>
      </w:hyperlink>
      <w:r>
        <w:rPr>
          <w:vertAlign w:val="baseline"/>
        </w:rPr>
        <w:t> Although LGBTQ individuals tend to experience intimate partner violence at slightly higher rates than the general population, there are few organizations</w:t>
      </w:r>
      <w:r>
        <w:rPr>
          <w:spacing w:val="-1"/>
          <w:vertAlign w:val="baseline"/>
        </w:rPr>
        <w:t> </w:t>
      </w:r>
      <w:r>
        <w:rPr>
          <w:vertAlign w:val="baseline"/>
        </w:rPr>
        <w:t>that</w:t>
      </w:r>
      <w:r>
        <w:rPr>
          <w:spacing w:val="-2"/>
          <w:vertAlign w:val="baseline"/>
        </w:rPr>
        <w:t> </w:t>
      </w:r>
      <w:r>
        <w:rPr>
          <w:vertAlign w:val="baseline"/>
        </w:rPr>
        <w:t>are</w:t>
      </w:r>
      <w:r>
        <w:rPr>
          <w:spacing w:val="-2"/>
          <w:vertAlign w:val="baseline"/>
        </w:rPr>
        <w:t> </w:t>
      </w:r>
      <w:r>
        <w:rPr>
          <w:vertAlign w:val="baseline"/>
        </w:rPr>
        <w:t>dedicated</w:t>
      </w:r>
      <w:r>
        <w:rPr>
          <w:spacing w:val="-1"/>
          <w:vertAlign w:val="baseline"/>
        </w:rPr>
        <w:t> </w:t>
      </w:r>
      <w:r>
        <w:rPr>
          <w:vertAlign w:val="baseline"/>
        </w:rPr>
        <w:t>to</w:t>
      </w:r>
      <w:r>
        <w:rPr>
          <w:spacing w:val="-1"/>
          <w:vertAlign w:val="baseline"/>
        </w:rPr>
        <w:t> </w:t>
      </w:r>
      <w:r>
        <w:rPr>
          <w:vertAlign w:val="baseline"/>
        </w:rPr>
        <w:t>serving</w:t>
      </w:r>
      <w:r>
        <w:rPr>
          <w:spacing w:val="-2"/>
          <w:vertAlign w:val="baseline"/>
        </w:rPr>
        <w:t> </w:t>
      </w:r>
      <w:r>
        <w:rPr>
          <w:vertAlign w:val="baseline"/>
        </w:rPr>
        <w:t>LGBTQ</w:t>
      </w:r>
      <w:r>
        <w:rPr>
          <w:spacing w:val="-2"/>
          <w:vertAlign w:val="baseline"/>
        </w:rPr>
        <w:t> </w:t>
      </w:r>
      <w:r>
        <w:rPr>
          <w:vertAlign w:val="baseline"/>
        </w:rPr>
        <w:t>individuals,</w:t>
      </w:r>
      <w:r>
        <w:rPr>
          <w:spacing w:val="-1"/>
          <w:vertAlign w:val="baseline"/>
        </w:rPr>
        <w:t> </w:t>
      </w:r>
      <w:r>
        <w:rPr>
          <w:vertAlign w:val="baseline"/>
        </w:rPr>
        <w:t>and</w:t>
      </w:r>
      <w:r>
        <w:rPr>
          <w:spacing w:val="-2"/>
          <w:vertAlign w:val="baseline"/>
        </w:rPr>
        <w:t> </w:t>
      </w:r>
      <w:r>
        <w:rPr>
          <w:vertAlign w:val="baseline"/>
        </w:rPr>
        <w:t>fewer</w:t>
      </w:r>
      <w:r>
        <w:rPr>
          <w:spacing w:val="-1"/>
          <w:vertAlign w:val="baseline"/>
        </w:rPr>
        <w:t> </w:t>
      </w:r>
      <w:r>
        <w:rPr>
          <w:vertAlign w:val="baseline"/>
        </w:rPr>
        <w:t>still</w:t>
      </w:r>
      <w:r>
        <w:rPr>
          <w:spacing w:val="-2"/>
          <w:vertAlign w:val="baseline"/>
        </w:rPr>
        <w:t> </w:t>
      </w:r>
      <w:r>
        <w:rPr>
          <w:vertAlign w:val="baseline"/>
        </w:rPr>
        <w:t>that</w:t>
      </w:r>
      <w:r>
        <w:rPr>
          <w:spacing w:val="-2"/>
          <w:vertAlign w:val="baseline"/>
        </w:rPr>
        <w:t> </w:t>
      </w:r>
      <w:r>
        <w:rPr>
          <w:vertAlign w:val="baseline"/>
        </w:rPr>
        <w:t>can</w:t>
      </w:r>
      <w:r>
        <w:rPr>
          <w:spacing w:val="-2"/>
          <w:vertAlign w:val="baseline"/>
        </w:rPr>
        <w:t> </w:t>
      </w:r>
      <w:r>
        <w:rPr>
          <w:vertAlign w:val="baseline"/>
        </w:rPr>
        <w:t>offer</w:t>
      </w:r>
      <w:r>
        <w:rPr>
          <w:spacing w:val="-1"/>
          <w:vertAlign w:val="baseline"/>
        </w:rPr>
        <w:t> </w:t>
      </w:r>
      <w:r>
        <w:rPr>
          <w:vertAlign w:val="baseline"/>
        </w:rPr>
        <w:t>culturally humble</w:t>
      </w:r>
      <w:r>
        <w:rPr>
          <w:spacing w:val="-2"/>
          <w:vertAlign w:val="baseline"/>
        </w:rPr>
        <w:t> </w:t>
      </w:r>
      <w:r>
        <w:rPr>
          <w:vertAlign w:val="baseline"/>
        </w:rPr>
        <w:t>support</w:t>
      </w:r>
      <w:r>
        <w:rPr>
          <w:spacing w:val="-2"/>
          <w:vertAlign w:val="baseline"/>
        </w:rPr>
        <w:t> </w:t>
      </w:r>
      <w:r>
        <w:rPr>
          <w:vertAlign w:val="baseline"/>
        </w:rPr>
        <w:t>services to</w:t>
      </w:r>
      <w:r>
        <w:rPr>
          <w:spacing w:val="-1"/>
          <w:vertAlign w:val="baseline"/>
        </w:rPr>
        <w:t> </w:t>
      </w:r>
      <w:r>
        <w:rPr>
          <w:vertAlign w:val="baseline"/>
        </w:rPr>
        <w:t>LGBTQ</w:t>
      </w:r>
      <w:r>
        <w:rPr>
          <w:spacing w:val="-1"/>
          <w:vertAlign w:val="baseline"/>
        </w:rPr>
        <w:t> </w:t>
      </w:r>
      <w:r>
        <w:rPr>
          <w:vertAlign w:val="baseline"/>
        </w:rPr>
        <w:t>survivors</w:t>
      </w:r>
      <w:r>
        <w:rPr>
          <w:spacing w:val="-1"/>
          <w:vertAlign w:val="baseline"/>
        </w:rPr>
        <w:t> </w:t>
      </w:r>
      <w:r>
        <w:rPr>
          <w:vertAlign w:val="baseline"/>
        </w:rPr>
        <w:t>of</w:t>
      </w:r>
      <w:r>
        <w:rPr>
          <w:spacing w:val="-2"/>
          <w:vertAlign w:val="baseline"/>
        </w:rPr>
        <w:t> </w:t>
      </w:r>
      <w:r>
        <w:rPr>
          <w:vertAlign w:val="baseline"/>
        </w:rPr>
        <w:t>color.</w:t>
      </w:r>
      <w:r>
        <w:rPr>
          <w:spacing w:val="-2"/>
          <w:vertAlign w:val="baseline"/>
        </w:rPr>
        <w:t> </w:t>
      </w:r>
      <w:r>
        <w:rPr>
          <w:vertAlign w:val="baseline"/>
        </w:rPr>
        <w:t>Additionally, many</w:t>
      </w:r>
      <w:r>
        <w:rPr>
          <w:spacing w:val="-2"/>
          <w:vertAlign w:val="baseline"/>
        </w:rPr>
        <w:t> </w:t>
      </w:r>
      <w:r>
        <w:rPr>
          <w:vertAlign w:val="baseline"/>
        </w:rPr>
        <w:t>intimate</w:t>
      </w:r>
      <w:r>
        <w:rPr>
          <w:spacing w:val="-2"/>
          <w:vertAlign w:val="baseline"/>
        </w:rPr>
        <w:t> </w:t>
      </w:r>
      <w:r>
        <w:rPr>
          <w:vertAlign w:val="baseline"/>
        </w:rPr>
        <w:t>partner</w:t>
      </w:r>
      <w:r>
        <w:rPr>
          <w:spacing w:val="-2"/>
          <w:vertAlign w:val="baseline"/>
        </w:rPr>
        <w:t> </w:t>
      </w:r>
      <w:r>
        <w:rPr>
          <w:vertAlign w:val="baseline"/>
        </w:rPr>
        <w:t>violence</w:t>
      </w:r>
      <w:r>
        <w:rPr>
          <w:spacing w:val="-1"/>
          <w:vertAlign w:val="baseline"/>
        </w:rPr>
        <w:t> </w:t>
      </w:r>
      <w:r>
        <w:rPr>
          <w:vertAlign w:val="baseline"/>
        </w:rPr>
        <w:t>or sexual violence support resources are located in larger cities, making them largely inaccessible to LGBTQ youth who lack consistent access to transportation and/or who are living in more rural areas of</w:t>
      </w:r>
      <w:r>
        <w:rPr>
          <w:spacing w:val="-7"/>
          <w:vertAlign w:val="baseline"/>
        </w:rPr>
        <w:t> </w:t>
      </w:r>
      <w:r>
        <w:rPr>
          <w:vertAlign w:val="baseline"/>
        </w:rPr>
        <w:t>the</w:t>
      </w:r>
      <w:r>
        <w:rPr>
          <w:spacing w:val="-8"/>
          <w:vertAlign w:val="baseline"/>
        </w:rPr>
        <w:t> </w:t>
      </w:r>
      <w:r>
        <w:rPr>
          <w:vertAlign w:val="baseline"/>
        </w:rPr>
        <w:t>state.</w:t>
      </w:r>
      <w:r>
        <w:rPr>
          <w:spacing w:val="-5"/>
          <w:vertAlign w:val="baseline"/>
        </w:rPr>
        <w:t> </w:t>
      </w:r>
      <w:r>
        <w:rPr>
          <w:vertAlign w:val="baseline"/>
        </w:rPr>
        <w:t>Oftentimes,</w:t>
      </w:r>
      <w:r>
        <w:rPr>
          <w:spacing w:val="-6"/>
          <w:vertAlign w:val="baseline"/>
        </w:rPr>
        <w:t> </w:t>
      </w:r>
      <w:r>
        <w:rPr>
          <w:vertAlign w:val="baseline"/>
        </w:rPr>
        <w:t>these</w:t>
      </w:r>
      <w:r>
        <w:rPr>
          <w:spacing w:val="-8"/>
          <w:vertAlign w:val="baseline"/>
        </w:rPr>
        <w:t> </w:t>
      </w:r>
      <w:r>
        <w:rPr>
          <w:vertAlign w:val="baseline"/>
        </w:rPr>
        <w:t>organizations</w:t>
      </w:r>
      <w:r>
        <w:rPr>
          <w:spacing w:val="-7"/>
          <w:vertAlign w:val="baseline"/>
        </w:rPr>
        <w:t> </w:t>
      </w:r>
      <w:r>
        <w:rPr>
          <w:vertAlign w:val="baseline"/>
        </w:rPr>
        <w:t>are</w:t>
      </w:r>
      <w:r>
        <w:rPr>
          <w:spacing w:val="-8"/>
          <w:vertAlign w:val="baseline"/>
        </w:rPr>
        <w:t> </w:t>
      </w:r>
      <w:r>
        <w:rPr>
          <w:vertAlign w:val="baseline"/>
        </w:rPr>
        <w:t>chronically</w:t>
      </w:r>
      <w:r>
        <w:rPr>
          <w:spacing w:val="-6"/>
          <w:vertAlign w:val="baseline"/>
        </w:rPr>
        <w:t> </w:t>
      </w:r>
      <w:r>
        <w:rPr>
          <w:vertAlign w:val="baseline"/>
        </w:rPr>
        <w:t>under-funded</w:t>
      </w:r>
      <w:r>
        <w:rPr>
          <w:spacing w:val="-7"/>
          <w:vertAlign w:val="baseline"/>
        </w:rPr>
        <w:t> </w:t>
      </w:r>
      <w:r>
        <w:rPr>
          <w:vertAlign w:val="baseline"/>
        </w:rPr>
        <w:t>and</w:t>
      </w:r>
      <w:r>
        <w:rPr>
          <w:spacing w:val="-7"/>
          <w:vertAlign w:val="baseline"/>
        </w:rPr>
        <w:t> </w:t>
      </w:r>
      <w:r>
        <w:rPr>
          <w:vertAlign w:val="baseline"/>
        </w:rPr>
        <w:t>do</w:t>
      </w:r>
      <w:r>
        <w:rPr>
          <w:spacing w:val="-7"/>
          <w:vertAlign w:val="baseline"/>
        </w:rPr>
        <w:t> </w:t>
      </w:r>
      <w:r>
        <w:rPr>
          <w:vertAlign w:val="baseline"/>
        </w:rPr>
        <w:t>not</w:t>
      </w:r>
      <w:r>
        <w:rPr>
          <w:spacing w:val="-8"/>
          <w:vertAlign w:val="baseline"/>
        </w:rPr>
        <w:t> </w:t>
      </w:r>
      <w:r>
        <w:rPr>
          <w:vertAlign w:val="baseline"/>
        </w:rPr>
        <w:t>receive</w:t>
      </w:r>
      <w:r>
        <w:rPr>
          <w:spacing w:val="-7"/>
          <w:vertAlign w:val="baseline"/>
        </w:rPr>
        <w:t> </w:t>
      </w:r>
      <w:r>
        <w:rPr>
          <w:vertAlign w:val="baseline"/>
        </w:rPr>
        <w:t>enough support at the state level. This prevents organizations from doing targeted outreach to underserved </w:t>
      </w:r>
      <w:r>
        <w:rPr>
          <w:spacing w:val="-2"/>
          <w:vertAlign w:val="baseline"/>
        </w:rPr>
        <w:t>populations.</w:t>
      </w:r>
    </w:p>
    <w:p>
      <w:pPr>
        <w:pStyle w:val="BodyText"/>
        <w:rPr>
          <w:sz w:val="20"/>
        </w:rPr>
      </w:pPr>
    </w:p>
    <w:p>
      <w:pPr>
        <w:pStyle w:val="BodyText"/>
        <w:spacing w:before="21"/>
        <w:rPr>
          <w:sz w:val="20"/>
        </w:rPr>
      </w:pPr>
    </w:p>
    <w:tbl>
      <w:tblPr>
        <w:tblW w:w="0" w:type="auto"/>
        <w:jc w:val="left"/>
        <w:tblInd w:w="6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765"/>
        <w:gridCol w:w="2971"/>
        <w:gridCol w:w="2904"/>
      </w:tblGrid>
      <w:tr>
        <w:trPr>
          <w:trHeight w:val="807" w:hRule="atLeast"/>
        </w:trPr>
        <w:tc>
          <w:tcPr>
            <w:tcW w:w="2765" w:type="dxa"/>
            <w:shd w:val="clear" w:color="auto" w:fill="C5E0F8"/>
          </w:tcPr>
          <w:p>
            <w:pPr>
              <w:pStyle w:val="TableParagraph"/>
              <w:ind w:left="228"/>
              <w:rPr>
                <w:b/>
                <w:sz w:val="21"/>
              </w:rPr>
            </w:pPr>
            <w:bookmarkStart w:name="_bookmark96" w:id="219"/>
            <w:bookmarkEnd w:id="219"/>
            <w:r>
              <w:rPr/>
            </w:r>
            <w:r>
              <w:rPr>
                <w:b/>
                <w:color w:val="095292"/>
                <w:sz w:val="21"/>
              </w:rPr>
              <w:t>Organizations</w:t>
            </w:r>
            <w:r>
              <w:rPr>
                <w:b/>
                <w:color w:val="095292"/>
                <w:spacing w:val="-4"/>
                <w:sz w:val="21"/>
              </w:rPr>
              <w:t> </w:t>
            </w:r>
            <w:r>
              <w:rPr>
                <w:b/>
                <w:color w:val="095292"/>
                <w:sz w:val="21"/>
              </w:rPr>
              <w:t>with</w:t>
            </w:r>
            <w:r>
              <w:rPr>
                <w:b/>
                <w:color w:val="095292"/>
                <w:spacing w:val="-4"/>
                <w:sz w:val="21"/>
              </w:rPr>
              <w:t> LGBTQ</w:t>
            </w:r>
          </w:p>
          <w:p>
            <w:pPr>
              <w:pStyle w:val="TableParagraph"/>
              <w:spacing w:before="149"/>
              <w:ind w:left="279"/>
              <w:rPr>
                <w:b/>
                <w:sz w:val="21"/>
              </w:rPr>
            </w:pPr>
            <w:bookmarkStart w:name="_bookmark97" w:id="220"/>
            <w:bookmarkEnd w:id="220"/>
            <w:r>
              <w:rPr/>
            </w:r>
            <w:r>
              <w:rPr>
                <w:b/>
                <w:color w:val="095292"/>
                <w:sz w:val="21"/>
              </w:rPr>
              <w:t>Youth-Specific</w:t>
            </w:r>
            <w:r>
              <w:rPr>
                <w:b/>
                <w:color w:val="095292"/>
                <w:spacing w:val="-6"/>
                <w:sz w:val="21"/>
              </w:rPr>
              <w:t> </w:t>
            </w:r>
            <w:r>
              <w:rPr>
                <w:b/>
                <w:color w:val="095292"/>
                <w:spacing w:val="-2"/>
                <w:sz w:val="21"/>
              </w:rPr>
              <w:t>Resources</w:t>
            </w:r>
          </w:p>
        </w:tc>
        <w:tc>
          <w:tcPr>
            <w:tcW w:w="2971" w:type="dxa"/>
            <w:shd w:val="clear" w:color="auto" w:fill="C5E0F8"/>
          </w:tcPr>
          <w:p>
            <w:pPr>
              <w:pStyle w:val="TableParagraph"/>
              <w:ind w:left="81" w:right="1"/>
              <w:jc w:val="center"/>
              <w:rPr>
                <w:b/>
                <w:sz w:val="21"/>
              </w:rPr>
            </w:pPr>
            <w:r>
              <w:rPr>
                <w:b/>
                <w:color w:val="095292"/>
                <w:sz w:val="21"/>
              </w:rPr>
              <w:t>Programs</w:t>
            </w:r>
            <w:r>
              <w:rPr>
                <w:b/>
                <w:color w:val="095292"/>
                <w:spacing w:val="-4"/>
                <w:sz w:val="21"/>
              </w:rPr>
              <w:t> </w:t>
            </w:r>
            <w:r>
              <w:rPr>
                <w:b/>
                <w:color w:val="095292"/>
                <w:sz w:val="21"/>
              </w:rPr>
              <w:t>with</w:t>
            </w:r>
            <w:r>
              <w:rPr>
                <w:b/>
                <w:color w:val="095292"/>
                <w:spacing w:val="-3"/>
                <w:sz w:val="21"/>
              </w:rPr>
              <w:t> </w:t>
            </w:r>
            <w:r>
              <w:rPr>
                <w:b/>
                <w:color w:val="095292"/>
                <w:sz w:val="21"/>
              </w:rPr>
              <w:t>LGBTQ</w:t>
            </w:r>
            <w:r>
              <w:rPr>
                <w:b/>
                <w:color w:val="095292"/>
                <w:spacing w:val="-3"/>
                <w:sz w:val="21"/>
              </w:rPr>
              <w:t> </w:t>
            </w:r>
            <w:r>
              <w:rPr>
                <w:b/>
                <w:color w:val="095292"/>
                <w:spacing w:val="-2"/>
                <w:sz w:val="21"/>
              </w:rPr>
              <w:t>Youth-</w:t>
            </w:r>
          </w:p>
          <w:p>
            <w:pPr>
              <w:pStyle w:val="TableParagraph"/>
              <w:spacing w:before="149"/>
              <w:ind w:left="81" w:right="3"/>
              <w:jc w:val="center"/>
              <w:rPr>
                <w:b/>
                <w:sz w:val="21"/>
              </w:rPr>
            </w:pPr>
            <w:r>
              <w:rPr>
                <w:b/>
                <w:color w:val="095292"/>
                <w:sz w:val="21"/>
              </w:rPr>
              <w:t>Specific</w:t>
            </w:r>
            <w:r>
              <w:rPr>
                <w:b/>
                <w:color w:val="095292"/>
                <w:spacing w:val="-5"/>
                <w:sz w:val="21"/>
              </w:rPr>
              <w:t> </w:t>
            </w:r>
            <w:r>
              <w:rPr>
                <w:b/>
                <w:color w:val="095292"/>
                <w:spacing w:val="-2"/>
                <w:sz w:val="21"/>
              </w:rPr>
              <w:t>Resources</w:t>
            </w:r>
          </w:p>
        </w:tc>
        <w:tc>
          <w:tcPr>
            <w:tcW w:w="2904" w:type="dxa"/>
            <w:shd w:val="clear" w:color="auto" w:fill="C5E0F8"/>
          </w:tcPr>
          <w:p>
            <w:pPr>
              <w:pStyle w:val="TableParagraph"/>
              <w:ind w:left="3" w:right="3"/>
              <w:jc w:val="center"/>
              <w:rPr>
                <w:b/>
                <w:sz w:val="21"/>
              </w:rPr>
            </w:pPr>
            <w:r>
              <w:rPr>
                <w:b/>
                <w:color w:val="095292"/>
                <w:sz w:val="21"/>
              </w:rPr>
              <w:t>Hotlines</w:t>
            </w:r>
            <w:r>
              <w:rPr>
                <w:b/>
                <w:color w:val="095292"/>
                <w:spacing w:val="-2"/>
                <w:sz w:val="21"/>
              </w:rPr>
              <w:t> </w:t>
            </w:r>
            <w:r>
              <w:rPr>
                <w:b/>
                <w:color w:val="095292"/>
                <w:sz w:val="21"/>
              </w:rPr>
              <w:t>with</w:t>
            </w:r>
            <w:r>
              <w:rPr>
                <w:b/>
                <w:color w:val="095292"/>
                <w:spacing w:val="-3"/>
                <w:sz w:val="21"/>
              </w:rPr>
              <w:t> </w:t>
            </w:r>
            <w:r>
              <w:rPr>
                <w:b/>
                <w:color w:val="095292"/>
                <w:sz w:val="21"/>
              </w:rPr>
              <w:t>LGBTQ</w:t>
            </w:r>
            <w:r>
              <w:rPr>
                <w:b/>
                <w:color w:val="095292"/>
                <w:spacing w:val="-1"/>
                <w:sz w:val="21"/>
              </w:rPr>
              <w:t> </w:t>
            </w:r>
            <w:r>
              <w:rPr>
                <w:b/>
                <w:color w:val="095292"/>
                <w:spacing w:val="-2"/>
                <w:sz w:val="21"/>
              </w:rPr>
              <w:t>Youth-</w:t>
            </w:r>
          </w:p>
          <w:p>
            <w:pPr>
              <w:pStyle w:val="TableParagraph"/>
              <w:spacing w:before="149"/>
              <w:ind w:left="3" w:right="3"/>
              <w:jc w:val="center"/>
              <w:rPr>
                <w:b/>
                <w:sz w:val="21"/>
              </w:rPr>
            </w:pPr>
            <w:r>
              <w:rPr>
                <w:b/>
                <w:color w:val="095292"/>
                <w:sz w:val="21"/>
              </w:rPr>
              <w:t>Specific</w:t>
            </w:r>
            <w:r>
              <w:rPr>
                <w:b/>
                <w:color w:val="095292"/>
                <w:spacing w:val="-5"/>
                <w:sz w:val="21"/>
              </w:rPr>
              <w:t> </w:t>
            </w:r>
            <w:r>
              <w:rPr>
                <w:b/>
                <w:color w:val="095292"/>
                <w:spacing w:val="-2"/>
                <w:sz w:val="21"/>
              </w:rPr>
              <w:t>Resources</w:t>
            </w:r>
          </w:p>
        </w:tc>
      </w:tr>
      <w:tr>
        <w:trPr>
          <w:trHeight w:val="808" w:hRule="atLeast"/>
        </w:trPr>
        <w:tc>
          <w:tcPr>
            <w:tcW w:w="2765" w:type="dxa"/>
          </w:tcPr>
          <w:p>
            <w:pPr>
              <w:pStyle w:val="TableParagraph"/>
              <w:ind w:left="85" w:right="2"/>
              <w:jc w:val="center"/>
              <w:rPr>
                <w:sz w:val="21"/>
              </w:rPr>
            </w:pPr>
            <w:r>
              <w:rPr>
                <w:color w:val="095292"/>
                <w:sz w:val="21"/>
              </w:rPr>
              <w:t>The</w:t>
            </w:r>
            <w:r>
              <w:rPr>
                <w:color w:val="095292"/>
                <w:spacing w:val="-3"/>
                <w:sz w:val="21"/>
              </w:rPr>
              <w:t> </w:t>
            </w:r>
            <w:r>
              <w:rPr>
                <w:color w:val="095292"/>
                <w:sz w:val="21"/>
              </w:rPr>
              <w:t>Network/La</w:t>
            </w:r>
            <w:r>
              <w:rPr>
                <w:color w:val="095292"/>
                <w:spacing w:val="-2"/>
                <w:sz w:val="21"/>
              </w:rPr>
              <w:t> </w:t>
            </w:r>
            <w:r>
              <w:rPr>
                <w:color w:val="095292"/>
                <w:spacing w:val="-5"/>
                <w:sz w:val="21"/>
              </w:rPr>
              <w:t>Red</w:t>
            </w:r>
          </w:p>
        </w:tc>
        <w:tc>
          <w:tcPr>
            <w:tcW w:w="2971" w:type="dxa"/>
          </w:tcPr>
          <w:p>
            <w:pPr>
              <w:pStyle w:val="TableParagraph"/>
              <w:ind w:left="81" w:right="3"/>
              <w:jc w:val="center"/>
              <w:rPr>
                <w:sz w:val="21"/>
              </w:rPr>
            </w:pPr>
            <w:r>
              <w:rPr>
                <w:color w:val="095292"/>
                <w:sz w:val="21"/>
              </w:rPr>
              <w:t>Fenway</w:t>
            </w:r>
            <w:r>
              <w:rPr>
                <w:color w:val="095292"/>
                <w:spacing w:val="-3"/>
                <w:sz w:val="21"/>
              </w:rPr>
              <w:t> </w:t>
            </w:r>
            <w:r>
              <w:rPr>
                <w:color w:val="095292"/>
                <w:sz w:val="21"/>
              </w:rPr>
              <w:t>Violence</w:t>
            </w:r>
            <w:r>
              <w:rPr>
                <w:color w:val="095292"/>
                <w:spacing w:val="-2"/>
                <w:sz w:val="21"/>
              </w:rPr>
              <w:t> Recovery</w:t>
            </w:r>
          </w:p>
          <w:p>
            <w:pPr>
              <w:pStyle w:val="TableParagraph"/>
              <w:spacing w:before="151"/>
              <w:ind w:left="81"/>
              <w:jc w:val="center"/>
              <w:rPr>
                <w:sz w:val="21"/>
              </w:rPr>
            </w:pPr>
            <w:bookmarkStart w:name="_bookmark98" w:id="221"/>
            <w:bookmarkEnd w:id="221"/>
            <w:r>
              <w:rPr/>
            </w:r>
            <w:r>
              <w:rPr>
                <w:color w:val="095292"/>
                <w:spacing w:val="-2"/>
                <w:sz w:val="21"/>
              </w:rPr>
              <w:t>Program</w:t>
            </w:r>
          </w:p>
        </w:tc>
        <w:tc>
          <w:tcPr>
            <w:tcW w:w="2904" w:type="dxa"/>
          </w:tcPr>
          <w:p>
            <w:pPr>
              <w:pStyle w:val="TableParagraph"/>
              <w:ind w:right="3"/>
              <w:jc w:val="center"/>
              <w:rPr>
                <w:sz w:val="21"/>
              </w:rPr>
            </w:pPr>
            <w:r>
              <w:rPr>
                <w:color w:val="095292"/>
                <w:sz w:val="21"/>
              </w:rPr>
              <w:t>The</w:t>
            </w:r>
            <w:r>
              <w:rPr>
                <w:color w:val="095292"/>
                <w:spacing w:val="-2"/>
                <w:sz w:val="21"/>
              </w:rPr>
              <w:t> </w:t>
            </w:r>
            <w:r>
              <w:rPr>
                <w:color w:val="095292"/>
                <w:sz w:val="21"/>
              </w:rPr>
              <w:t>National</w:t>
            </w:r>
            <w:r>
              <w:rPr>
                <w:color w:val="095292"/>
                <w:spacing w:val="-2"/>
                <w:sz w:val="21"/>
              </w:rPr>
              <w:t> Domestic</w:t>
            </w:r>
          </w:p>
          <w:p>
            <w:pPr>
              <w:pStyle w:val="TableParagraph"/>
              <w:spacing w:before="151"/>
              <w:ind w:left="3" w:right="3"/>
              <w:jc w:val="center"/>
              <w:rPr>
                <w:sz w:val="21"/>
              </w:rPr>
            </w:pPr>
            <w:r>
              <w:rPr>
                <w:color w:val="095292"/>
                <w:sz w:val="21"/>
              </w:rPr>
              <w:t>Violence</w:t>
            </w:r>
            <w:r>
              <w:rPr>
                <w:color w:val="095292"/>
                <w:spacing w:val="-4"/>
                <w:sz w:val="21"/>
              </w:rPr>
              <w:t> </w:t>
            </w:r>
            <w:r>
              <w:rPr>
                <w:color w:val="095292"/>
                <w:spacing w:val="-2"/>
                <w:sz w:val="21"/>
              </w:rPr>
              <w:t>Hotline</w:t>
            </w:r>
          </w:p>
        </w:tc>
      </w:tr>
      <w:tr>
        <w:trPr>
          <w:trHeight w:val="807" w:hRule="atLeast"/>
        </w:trPr>
        <w:tc>
          <w:tcPr>
            <w:tcW w:w="2765" w:type="dxa"/>
            <w:shd w:val="clear" w:color="auto" w:fill="C5E0F8"/>
          </w:tcPr>
          <w:p>
            <w:pPr>
              <w:pStyle w:val="TableParagraph"/>
              <w:ind w:left="85" w:right="2"/>
              <w:jc w:val="center"/>
              <w:rPr>
                <w:sz w:val="21"/>
              </w:rPr>
            </w:pPr>
            <w:bookmarkStart w:name="_bookmark99" w:id="222"/>
            <w:bookmarkEnd w:id="222"/>
            <w:r>
              <w:rPr/>
            </w:r>
            <w:r>
              <w:rPr>
                <w:color w:val="095292"/>
                <w:sz w:val="21"/>
              </w:rPr>
              <w:t>love</w:t>
            </w:r>
            <w:r>
              <w:rPr>
                <w:color w:val="095292"/>
                <w:spacing w:val="-3"/>
                <w:sz w:val="21"/>
              </w:rPr>
              <w:t> </w:t>
            </w:r>
            <w:r>
              <w:rPr>
                <w:color w:val="095292"/>
                <w:sz w:val="21"/>
              </w:rPr>
              <w:t>is</w:t>
            </w:r>
            <w:r>
              <w:rPr>
                <w:color w:val="095292"/>
                <w:spacing w:val="-2"/>
                <w:sz w:val="21"/>
              </w:rPr>
              <w:t> respect</w:t>
            </w:r>
          </w:p>
        </w:tc>
        <w:tc>
          <w:tcPr>
            <w:tcW w:w="2971" w:type="dxa"/>
            <w:shd w:val="clear" w:color="auto" w:fill="C5E0F8"/>
          </w:tcPr>
          <w:p>
            <w:pPr>
              <w:pStyle w:val="TableParagraph"/>
              <w:ind w:left="81" w:right="1"/>
              <w:jc w:val="center"/>
              <w:rPr>
                <w:sz w:val="21"/>
              </w:rPr>
            </w:pPr>
            <w:r>
              <w:rPr>
                <w:color w:val="095292"/>
                <w:sz w:val="21"/>
              </w:rPr>
              <w:t>Start</w:t>
            </w:r>
            <w:r>
              <w:rPr>
                <w:color w:val="095292"/>
                <w:spacing w:val="-2"/>
                <w:sz w:val="21"/>
              </w:rPr>
              <w:t> Strong</w:t>
            </w:r>
          </w:p>
        </w:tc>
        <w:tc>
          <w:tcPr>
            <w:tcW w:w="2904" w:type="dxa"/>
            <w:shd w:val="clear" w:color="auto" w:fill="C5E0F8"/>
          </w:tcPr>
          <w:p>
            <w:pPr>
              <w:pStyle w:val="TableParagraph"/>
              <w:ind w:left="3" w:right="3"/>
              <w:jc w:val="center"/>
              <w:rPr>
                <w:sz w:val="21"/>
              </w:rPr>
            </w:pPr>
            <w:r>
              <w:rPr>
                <w:color w:val="095292"/>
                <w:sz w:val="21"/>
              </w:rPr>
              <w:t>The</w:t>
            </w:r>
            <w:r>
              <w:rPr>
                <w:color w:val="095292"/>
                <w:spacing w:val="-2"/>
                <w:sz w:val="21"/>
              </w:rPr>
              <w:t> </w:t>
            </w:r>
            <w:r>
              <w:rPr>
                <w:color w:val="095292"/>
                <w:sz w:val="21"/>
              </w:rPr>
              <w:t>National</w:t>
            </w:r>
            <w:r>
              <w:rPr>
                <w:color w:val="095292"/>
                <w:spacing w:val="-3"/>
                <w:sz w:val="21"/>
              </w:rPr>
              <w:t> </w:t>
            </w:r>
            <w:r>
              <w:rPr>
                <w:color w:val="095292"/>
                <w:sz w:val="21"/>
              </w:rPr>
              <w:t>Sexual</w:t>
            </w:r>
            <w:r>
              <w:rPr>
                <w:color w:val="095292"/>
                <w:spacing w:val="-1"/>
                <w:sz w:val="21"/>
              </w:rPr>
              <w:t> </w:t>
            </w:r>
            <w:r>
              <w:rPr>
                <w:color w:val="095292"/>
                <w:spacing w:val="-2"/>
                <w:sz w:val="21"/>
              </w:rPr>
              <w:t>Assault</w:t>
            </w:r>
          </w:p>
          <w:p>
            <w:pPr>
              <w:pStyle w:val="TableParagraph"/>
              <w:spacing w:before="149"/>
              <w:ind w:left="3" w:right="3"/>
              <w:jc w:val="center"/>
              <w:rPr>
                <w:sz w:val="21"/>
              </w:rPr>
            </w:pPr>
            <w:r>
              <w:rPr>
                <w:color w:val="095292"/>
                <w:spacing w:val="-2"/>
                <w:sz w:val="21"/>
              </w:rPr>
              <w:t>Hotline</w:t>
            </w:r>
          </w:p>
        </w:tc>
      </w:tr>
      <w:tr>
        <w:trPr>
          <w:trHeight w:val="252" w:hRule="atLeast"/>
        </w:trPr>
        <w:tc>
          <w:tcPr>
            <w:tcW w:w="2765" w:type="dxa"/>
          </w:tcPr>
          <w:p>
            <w:pPr>
              <w:pStyle w:val="TableParagraph"/>
              <w:spacing w:line="232" w:lineRule="exact"/>
              <w:ind w:left="85"/>
              <w:jc w:val="center"/>
              <w:rPr>
                <w:sz w:val="21"/>
              </w:rPr>
            </w:pPr>
            <w:bookmarkStart w:name="_bookmark100" w:id="223"/>
            <w:bookmarkEnd w:id="223"/>
            <w:r>
              <w:rPr/>
            </w:r>
            <w:r>
              <w:rPr>
                <w:color w:val="095292"/>
                <w:sz w:val="21"/>
              </w:rPr>
              <w:t>One</w:t>
            </w:r>
            <w:r>
              <w:rPr>
                <w:color w:val="095292"/>
                <w:spacing w:val="-2"/>
                <w:sz w:val="21"/>
              </w:rPr>
              <w:t> </w:t>
            </w:r>
            <w:r>
              <w:rPr>
                <w:color w:val="095292"/>
                <w:spacing w:val="-4"/>
                <w:sz w:val="21"/>
              </w:rPr>
              <w:t>Love</w:t>
            </w:r>
          </w:p>
        </w:tc>
        <w:tc>
          <w:tcPr>
            <w:tcW w:w="2971" w:type="dxa"/>
          </w:tcPr>
          <w:p>
            <w:pPr>
              <w:pStyle w:val="TableParagraph"/>
              <w:spacing w:line="232" w:lineRule="exact"/>
              <w:ind w:left="81" w:right="1"/>
              <w:jc w:val="center"/>
              <w:rPr>
                <w:sz w:val="21"/>
              </w:rPr>
            </w:pPr>
            <w:r>
              <w:rPr>
                <w:color w:val="095292"/>
                <w:spacing w:val="-2"/>
                <w:sz w:val="21"/>
              </w:rPr>
              <w:t>RESPECTfully</w:t>
            </w:r>
          </w:p>
        </w:tc>
        <w:tc>
          <w:tcPr>
            <w:tcW w:w="2904" w:type="dxa"/>
          </w:tcPr>
          <w:p>
            <w:pPr>
              <w:pStyle w:val="TableParagraph"/>
              <w:spacing w:line="232" w:lineRule="exact"/>
              <w:ind w:left="175"/>
              <w:rPr>
                <w:sz w:val="21"/>
              </w:rPr>
            </w:pPr>
            <w:r>
              <w:rPr>
                <w:color w:val="095292"/>
                <w:sz w:val="21"/>
              </w:rPr>
              <w:t>LGBT</w:t>
            </w:r>
            <w:r>
              <w:rPr>
                <w:color w:val="095292"/>
                <w:spacing w:val="-2"/>
                <w:sz w:val="21"/>
              </w:rPr>
              <w:t> </w:t>
            </w:r>
            <w:r>
              <w:rPr>
                <w:color w:val="095292"/>
                <w:sz w:val="21"/>
              </w:rPr>
              <w:t>National</w:t>
            </w:r>
            <w:r>
              <w:rPr>
                <w:color w:val="095292"/>
                <w:spacing w:val="-2"/>
                <w:sz w:val="21"/>
              </w:rPr>
              <w:t> </w:t>
            </w:r>
            <w:r>
              <w:rPr>
                <w:color w:val="095292"/>
                <w:sz w:val="21"/>
              </w:rPr>
              <w:t>Youth</w:t>
            </w:r>
            <w:r>
              <w:rPr>
                <w:color w:val="095292"/>
                <w:spacing w:val="-2"/>
                <w:sz w:val="21"/>
              </w:rPr>
              <w:t> Hotline</w:t>
            </w:r>
          </w:p>
        </w:tc>
      </w:tr>
    </w:tbl>
    <w:p>
      <w:pPr>
        <w:spacing w:after="0" w:line="232" w:lineRule="exact"/>
        <w:rPr>
          <w:sz w:val="21"/>
        </w:rPr>
        <w:sectPr>
          <w:pgSz w:w="11910" w:h="16840"/>
          <w:pgMar w:header="804" w:footer="1230" w:top="1080" w:bottom="1480" w:left="980" w:right="900"/>
        </w:sectPr>
      </w:pPr>
    </w:p>
    <w:p>
      <w:pPr>
        <w:spacing w:before="108"/>
        <w:ind w:left="463" w:right="0" w:firstLine="0"/>
        <w:jc w:val="both"/>
        <w:rPr>
          <w:sz w:val="28"/>
        </w:rPr>
      </w:pPr>
      <w:bookmarkStart w:name="Sexually Transmitted Infections and PrEP" w:id="224"/>
      <w:bookmarkEnd w:id="224"/>
      <w:r>
        <w:rPr/>
      </w:r>
      <w:bookmarkStart w:name="_bookmark101" w:id="225"/>
      <w:bookmarkEnd w:id="225"/>
      <w:r>
        <w:rPr/>
      </w:r>
      <w:r>
        <w:rPr>
          <w:color w:val="365F91"/>
          <w:sz w:val="28"/>
        </w:rPr>
        <w:t>Sexually</w:t>
      </w:r>
      <w:r>
        <w:rPr>
          <w:color w:val="365F91"/>
          <w:spacing w:val="-12"/>
          <w:sz w:val="28"/>
        </w:rPr>
        <w:t> </w:t>
      </w:r>
      <w:r>
        <w:rPr>
          <w:color w:val="365F91"/>
          <w:sz w:val="28"/>
        </w:rPr>
        <w:t>Transmitted</w:t>
      </w:r>
      <w:r>
        <w:rPr>
          <w:color w:val="365F91"/>
          <w:spacing w:val="-12"/>
          <w:sz w:val="28"/>
        </w:rPr>
        <w:t> </w:t>
      </w:r>
      <w:r>
        <w:rPr>
          <w:color w:val="365F91"/>
          <w:sz w:val="28"/>
        </w:rPr>
        <w:t>Infections</w:t>
      </w:r>
      <w:r>
        <w:rPr>
          <w:color w:val="365F91"/>
          <w:spacing w:val="-11"/>
          <w:sz w:val="28"/>
        </w:rPr>
        <w:t> </w:t>
      </w:r>
      <w:r>
        <w:rPr>
          <w:color w:val="365F91"/>
          <w:sz w:val="28"/>
        </w:rPr>
        <w:t>and</w:t>
      </w:r>
      <w:r>
        <w:rPr>
          <w:color w:val="365F91"/>
          <w:spacing w:val="-12"/>
          <w:sz w:val="28"/>
        </w:rPr>
        <w:t> </w:t>
      </w:r>
      <w:r>
        <w:rPr>
          <w:color w:val="365F91"/>
          <w:sz w:val="28"/>
        </w:rPr>
        <w:t>PrEP</w:t>
      </w:r>
      <w:r>
        <w:rPr>
          <w:color w:val="365F91"/>
          <w:spacing w:val="-12"/>
          <w:sz w:val="28"/>
        </w:rPr>
        <w:t> </w:t>
      </w:r>
      <w:r>
        <w:rPr>
          <w:color w:val="365F91"/>
          <w:spacing w:val="-2"/>
          <w:sz w:val="28"/>
        </w:rPr>
        <w:t>Interventions</w:t>
      </w:r>
    </w:p>
    <w:p>
      <w:pPr>
        <w:pStyle w:val="BodyText"/>
        <w:spacing w:line="276" w:lineRule="auto" w:before="241"/>
        <w:ind w:left="463" w:right="282"/>
        <w:jc w:val="both"/>
      </w:pPr>
      <w:bookmarkStart w:name="_bookmark102" w:id="226"/>
      <w:bookmarkEnd w:id="226"/>
      <w:r>
        <w:rPr/>
      </w:r>
      <w:r>
        <w:rPr/>
        <w:t>Sexually transmitted infections (STIs – also known as sexually transmitted diseases or STDs) have long been considered a public health crisis, particularly for the 15 to 24 age group. According to the Centers for Disease Control and Prevention, nationally, youths ages 15 to 24 make up almost half of new STI infections each year</w:t>
      </w:r>
      <w:hyperlink w:history="true" w:anchor="_bookmark84">
        <w:r>
          <w:rPr/>
          <w:t>.</w:t>
        </w:r>
        <w:r>
          <w:rPr>
            <w:vertAlign w:val="superscript"/>
          </w:rPr>
          <w:t>33</w:t>
        </w:r>
      </w:hyperlink>
      <w:r>
        <w:rPr>
          <w:vertAlign w:val="baseline"/>
        </w:rPr>
        <w:t> In Massachusetts, chlamydia and gonorrhea are the two most common STIs for this</w:t>
      </w:r>
      <w:r>
        <w:rPr>
          <w:spacing w:val="-5"/>
          <w:vertAlign w:val="baseline"/>
        </w:rPr>
        <w:t> </w:t>
      </w:r>
      <w:r>
        <w:rPr>
          <w:vertAlign w:val="baseline"/>
        </w:rPr>
        <w:t>age</w:t>
      </w:r>
      <w:r>
        <w:rPr>
          <w:spacing w:val="-4"/>
          <w:vertAlign w:val="baseline"/>
        </w:rPr>
        <w:t> </w:t>
      </w:r>
      <w:r>
        <w:rPr>
          <w:vertAlign w:val="baseline"/>
        </w:rPr>
        <w:t>group,</w:t>
      </w:r>
      <w:r>
        <w:rPr>
          <w:spacing w:val="-5"/>
          <w:vertAlign w:val="baseline"/>
        </w:rPr>
        <w:t> </w:t>
      </w:r>
      <w:r>
        <w:rPr>
          <w:vertAlign w:val="baseline"/>
        </w:rPr>
        <w:t>although</w:t>
      </w:r>
      <w:r>
        <w:rPr>
          <w:spacing w:val="-5"/>
          <w:vertAlign w:val="baseline"/>
        </w:rPr>
        <w:t> </w:t>
      </w:r>
      <w:r>
        <w:rPr>
          <w:vertAlign w:val="baseline"/>
        </w:rPr>
        <w:t>public</w:t>
      </w:r>
      <w:r>
        <w:rPr>
          <w:spacing w:val="-4"/>
          <w:vertAlign w:val="baseline"/>
        </w:rPr>
        <w:t> </w:t>
      </w:r>
      <w:r>
        <w:rPr>
          <w:vertAlign w:val="baseline"/>
        </w:rPr>
        <w:t>health</w:t>
      </w:r>
      <w:r>
        <w:rPr>
          <w:spacing w:val="-5"/>
          <w:vertAlign w:val="baseline"/>
        </w:rPr>
        <w:t> </w:t>
      </w:r>
      <w:r>
        <w:rPr>
          <w:vertAlign w:val="baseline"/>
        </w:rPr>
        <w:t>officials</w:t>
      </w:r>
      <w:r>
        <w:rPr>
          <w:spacing w:val="-5"/>
          <w:vertAlign w:val="baseline"/>
        </w:rPr>
        <w:t> </w:t>
      </w:r>
      <w:r>
        <w:rPr>
          <w:vertAlign w:val="baseline"/>
        </w:rPr>
        <w:t>closely</w:t>
      </w:r>
      <w:r>
        <w:rPr>
          <w:spacing w:val="-4"/>
          <w:vertAlign w:val="baseline"/>
        </w:rPr>
        <w:t> </w:t>
      </w:r>
      <w:r>
        <w:rPr>
          <w:vertAlign w:val="baseline"/>
        </w:rPr>
        <w:t>monitor</w:t>
      </w:r>
      <w:r>
        <w:rPr>
          <w:spacing w:val="-5"/>
          <w:vertAlign w:val="baseline"/>
        </w:rPr>
        <w:t> </w:t>
      </w:r>
      <w:r>
        <w:rPr>
          <w:vertAlign w:val="baseline"/>
        </w:rPr>
        <w:t>rates</w:t>
      </w:r>
      <w:r>
        <w:rPr>
          <w:spacing w:val="-5"/>
          <w:vertAlign w:val="baseline"/>
        </w:rPr>
        <w:t> </w:t>
      </w:r>
      <w:r>
        <w:rPr>
          <w:vertAlign w:val="baseline"/>
        </w:rPr>
        <w:t>of</w:t>
      </w:r>
      <w:r>
        <w:rPr>
          <w:spacing w:val="-5"/>
          <w:vertAlign w:val="baseline"/>
        </w:rPr>
        <w:t> </w:t>
      </w:r>
      <w:r>
        <w:rPr>
          <w:vertAlign w:val="baseline"/>
        </w:rPr>
        <w:t>HIV,</w:t>
      </w:r>
      <w:r>
        <w:rPr>
          <w:spacing w:val="-5"/>
          <w:vertAlign w:val="baseline"/>
        </w:rPr>
        <w:t> </w:t>
      </w:r>
      <w:r>
        <w:rPr>
          <w:vertAlign w:val="baseline"/>
        </w:rPr>
        <w:t>Hepatitis</w:t>
      </w:r>
      <w:r>
        <w:rPr>
          <w:spacing w:val="-5"/>
          <w:vertAlign w:val="baseline"/>
        </w:rPr>
        <w:t> </w:t>
      </w:r>
      <w:r>
        <w:rPr>
          <w:vertAlign w:val="baseline"/>
        </w:rPr>
        <w:t>A-B-C,</w:t>
      </w:r>
      <w:r>
        <w:rPr>
          <w:spacing w:val="-5"/>
          <w:vertAlign w:val="baseline"/>
        </w:rPr>
        <w:t> </w:t>
      </w:r>
      <w:r>
        <w:rPr>
          <w:vertAlign w:val="baseline"/>
        </w:rPr>
        <w:t>and</w:t>
      </w:r>
      <w:r>
        <w:rPr>
          <w:spacing w:val="-5"/>
          <w:vertAlign w:val="baseline"/>
        </w:rPr>
        <w:t> </w:t>
      </w:r>
      <w:r>
        <w:rPr>
          <w:vertAlign w:val="baseline"/>
        </w:rPr>
        <w:t>syphilis, as</w:t>
      </w:r>
      <w:r>
        <w:rPr>
          <w:spacing w:val="-11"/>
          <w:vertAlign w:val="baseline"/>
        </w:rPr>
        <w:t> </w:t>
      </w:r>
      <w:r>
        <w:rPr>
          <w:vertAlign w:val="baseline"/>
        </w:rPr>
        <w:t>well.</w:t>
      </w:r>
      <w:r>
        <w:rPr>
          <w:spacing w:val="-12"/>
          <w:vertAlign w:val="baseline"/>
        </w:rPr>
        <w:t> </w:t>
      </w:r>
      <w:hyperlink w:history="true" w:anchor="_bookmark84">
        <w:r>
          <w:rPr>
            <w:vertAlign w:val="superscript"/>
          </w:rPr>
          <w:t>34</w:t>
        </w:r>
      </w:hyperlink>
      <w:r>
        <w:rPr>
          <w:spacing w:val="-11"/>
          <w:vertAlign w:val="baseline"/>
        </w:rPr>
        <w:t> </w:t>
      </w:r>
      <w:r>
        <w:rPr>
          <w:vertAlign w:val="baseline"/>
        </w:rPr>
        <w:t>If</w:t>
      </w:r>
      <w:r>
        <w:rPr>
          <w:spacing w:val="-11"/>
          <w:vertAlign w:val="baseline"/>
        </w:rPr>
        <w:t> </w:t>
      </w:r>
      <w:r>
        <w:rPr>
          <w:vertAlign w:val="baseline"/>
        </w:rPr>
        <w:t>left</w:t>
      </w:r>
      <w:r>
        <w:rPr>
          <w:spacing w:val="-12"/>
          <w:vertAlign w:val="baseline"/>
        </w:rPr>
        <w:t> </w:t>
      </w:r>
      <w:r>
        <w:rPr>
          <w:vertAlign w:val="baseline"/>
        </w:rPr>
        <w:t>untreated,</w:t>
      </w:r>
      <w:r>
        <w:rPr>
          <w:spacing w:val="-11"/>
          <w:vertAlign w:val="baseline"/>
        </w:rPr>
        <w:t> </w:t>
      </w:r>
      <w:r>
        <w:rPr>
          <w:vertAlign w:val="baseline"/>
        </w:rPr>
        <w:t>STIs</w:t>
      </w:r>
      <w:r>
        <w:rPr>
          <w:spacing w:val="-11"/>
          <w:vertAlign w:val="baseline"/>
        </w:rPr>
        <w:t> </w:t>
      </w:r>
      <w:r>
        <w:rPr>
          <w:vertAlign w:val="baseline"/>
        </w:rPr>
        <w:t>can</w:t>
      </w:r>
      <w:r>
        <w:rPr>
          <w:spacing w:val="-11"/>
          <w:vertAlign w:val="baseline"/>
        </w:rPr>
        <w:t> </w:t>
      </w:r>
      <w:r>
        <w:rPr>
          <w:vertAlign w:val="baseline"/>
        </w:rPr>
        <w:t>cause</w:t>
      </w:r>
      <w:r>
        <w:rPr>
          <w:spacing w:val="-12"/>
          <w:vertAlign w:val="baseline"/>
        </w:rPr>
        <w:t> </w:t>
      </w:r>
      <w:r>
        <w:rPr>
          <w:vertAlign w:val="baseline"/>
        </w:rPr>
        <w:t>several</w:t>
      </w:r>
      <w:r>
        <w:rPr>
          <w:spacing w:val="-11"/>
          <w:vertAlign w:val="baseline"/>
        </w:rPr>
        <w:t> </w:t>
      </w:r>
      <w:r>
        <w:rPr>
          <w:vertAlign w:val="baseline"/>
        </w:rPr>
        <w:t>long-term</w:t>
      </w:r>
      <w:r>
        <w:rPr>
          <w:spacing w:val="-11"/>
          <w:vertAlign w:val="baseline"/>
        </w:rPr>
        <w:t> </w:t>
      </w:r>
      <w:r>
        <w:rPr>
          <w:vertAlign w:val="baseline"/>
        </w:rPr>
        <w:t>health</w:t>
      </w:r>
      <w:r>
        <w:rPr>
          <w:spacing w:val="-11"/>
          <w:vertAlign w:val="baseline"/>
        </w:rPr>
        <w:t> </w:t>
      </w:r>
      <w:r>
        <w:rPr>
          <w:vertAlign w:val="baseline"/>
        </w:rPr>
        <w:t>conditions,</w:t>
      </w:r>
      <w:r>
        <w:rPr>
          <w:spacing w:val="-11"/>
          <w:vertAlign w:val="baseline"/>
        </w:rPr>
        <w:t> </w:t>
      </w:r>
      <w:r>
        <w:rPr>
          <w:vertAlign w:val="baseline"/>
        </w:rPr>
        <w:t>making</w:t>
      </w:r>
      <w:r>
        <w:rPr>
          <w:spacing w:val="-11"/>
          <w:vertAlign w:val="baseline"/>
        </w:rPr>
        <w:t> </w:t>
      </w:r>
      <w:r>
        <w:rPr>
          <w:vertAlign w:val="baseline"/>
        </w:rPr>
        <w:t>STI</w:t>
      </w:r>
      <w:r>
        <w:rPr>
          <w:spacing w:val="-11"/>
          <w:vertAlign w:val="baseline"/>
        </w:rPr>
        <w:t> </w:t>
      </w:r>
      <w:r>
        <w:rPr>
          <w:vertAlign w:val="baseline"/>
        </w:rPr>
        <w:t>prevention</w:t>
      </w:r>
      <w:r>
        <w:rPr>
          <w:spacing w:val="-11"/>
          <w:vertAlign w:val="baseline"/>
        </w:rPr>
        <w:t> </w:t>
      </w:r>
      <w:r>
        <w:rPr>
          <w:vertAlign w:val="baseline"/>
        </w:rPr>
        <w:t>and treatment of particular interest to public health officials. Unfortunately, although STIs are largely preventable and treatable, many LGBTQ youths are not able to access STI testing, treatment, or prophylactic</w:t>
      </w:r>
      <w:r>
        <w:rPr>
          <w:spacing w:val="-2"/>
          <w:vertAlign w:val="baseline"/>
        </w:rPr>
        <w:t> </w:t>
      </w:r>
      <w:r>
        <w:rPr>
          <w:vertAlign w:val="baseline"/>
        </w:rPr>
        <w:t>measures.</w:t>
      </w:r>
      <w:r>
        <w:rPr>
          <w:spacing w:val="-4"/>
          <w:vertAlign w:val="baseline"/>
        </w:rPr>
        <w:t> </w:t>
      </w:r>
      <w:r>
        <w:rPr>
          <w:vertAlign w:val="baseline"/>
        </w:rPr>
        <w:t>LGBTQ</w:t>
      </w:r>
      <w:r>
        <w:rPr>
          <w:spacing w:val="-4"/>
          <w:vertAlign w:val="baseline"/>
        </w:rPr>
        <w:t> </w:t>
      </w:r>
      <w:r>
        <w:rPr>
          <w:vertAlign w:val="baseline"/>
        </w:rPr>
        <w:t>youth</w:t>
      </w:r>
      <w:r>
        <w:rPr>
          <w:spacing w:val="-3"/>
          <w:vertAlign w:val="baseline"/>
        </w:rPr>
        <w:t> </w:t>
      </w:r>
      <w:r>
        <w:rPr>
          <w:vertAlign w:val="baseline"/>
        </w:rPr>
        <w:t>of</w:t>
      </w:r>
      <w:r>
        <w:rPr>
          <w:spacing w:val="-4"/>
          <w:vertAlign w:val="baseline"/>
        </w:rPr>
        <w:t> </w:t>
      </w:r>
      <w:r>
        <w:rPr>
          <w:vertAlign w:val="baseline"/>
        </w:rPr>
        <w:t>color,</w:t>
      </w:r>
      <w:r>
        <w:rPr>
          <w:spacing w:val="-4"/>
          <w:vertAlign w:val="baseline"/>
        </w:rPr>
        <w:t> </w:t>
      </w:r>
      <w:r>
        <w:rPr>
          <w:vertAlign w:val="baseline"/>
        </w:rPr>
        <w:t>transgender</w:t>
      </w:r>
      <w:r>
        <w:rPr>
          <w:spacing w:val="-3"/>
          <w:vertAlign w:val="baseline"/>
        </w:rPr>
        <w:t> </w:t>
      </w:r>
      <w:r>
        <w:rPr>
          <w:vertAlign w:val="baseline"/>
        </w:rPr>
        <w:t>youth,</w:t>
      </w:r>
      <w:r>
        <w:rPr>
          <w:spacing w:val="-1"/>
          <w:vertAlign w:val="baseline"/>
        </w:rPr>
        <w:t> </w:t>
      </w:r>
      <w:r>
        <w:rPr>
          <w:vertAlign w:val="baseline"/>
        </w:rPr>
        <w:t>low-income</w:t>
      </w:r>
      <w:r>
        <w:rPr>
          <w:spacing w:val="-3"/>
          <w:vertAlign w:val="baseline"/>
        </w:rPr>
        <w:t> </w:t>
      </w:r>
      <w:r>
        <w:rPr>
          <w:vertAlign w:val="baseline"/>
        </w:rPr>
        <w:t>LGBTQ</w:t>
      </w:r>
      <w:r>
        <w:rPr>
          <w:spacing w:val="-3"/>
          <w:vertAlign w:val="baseline"/>
        </w:rPr>
        <w:t> </w:t>
      </w:r>
      <w:r>
        <w:rPr>
          <w:vertAlign w:val="baseline"/>
        </w:rPr>
        <w:t>youth,</w:t>
      </w:r>
      <w:r>
        <w:rPr>
          <w:spacing w:val="-2"/>
          <w:vertAlign w:val="baseline"/>
        </w:rPr>
        <w:t> </w:t>
      </w:r>
      <w:r>
        <w:rPr>
          <w:vertAlign w:val="baseline"/>
        </w:rPr>
        <w:t>and</w:t>
      </w:r>
      <w:r>
        <w:rPr>
          <w:spacing w:val="-4"/>
          <w:vertAlign w:val="baseline"/>
        </w:rPr>
        <w:t> </w:t>
      </w:r>
      <w:r>
        <w:rPr>
          <w:vertAlign w:val="baseline"/>
        </w:rPr>
        <w:t>LGBTQ youth at the intersection of these identities, are at an increased risk for STI infection and lack of access to</w:t>
      </w:r>
      <w:r>
        <w:rPr>
          <w:spacing w:val="-4"/>
          <w:vertAlign w:val="baseline"/>
        </w:rPr>
        <w:t> </w:t>
      </w:r>
      <w:r>
        <w:rPr>
          <w:vertAlign w:val="baseline"/>
        </w:rPr>
        <w:t>testing</w:t>
      </w:r>
      <w:r>
        <w:rPr>
          <w:spacing w:val="-3"/>
          <w:vertAlign w:val="baseline"/>
        </w:rPr>
        <w:t> </w:t>
      </w:r>
      <w:r>
        <w:rPr>
          <w:vertAlign w:val="baseline"/>
        </w:rPr>
        <w:t>and</w:t>
      </w:r>
      <w:r>
        <w:rPr>
          <w:spacing w:val="-4"/>
          <w:vertAlign w:val="baseline"/>
        </w:rPr>
        <w:t> </w:t>
      </w:r>
      <w:r>
        <w:rPr>
          <w:vertAlign w:val="baseline"/>
        </w:rPr>
        <w:t>treatment.</w:t>
      </w:r>
      <w:r>
        <w:rPr>
          <w:spacing w:val="-3"/>
          <w:vertAlign w:val="baseline"/>
        </w:rPr>
        <w:t> </w:t>
      </w:r>
      <w:hyperlink w:history="true" w:anchor="_bookmark85">
        <w:r>
          <w:rPr>
            <w:vertAlign w:val="superscript"/>
          </w:rPr>
          <w:t>35</w:t>
        </w:r>
      </w:hyperlink>
      <w:r>
        <w:rPr>
          <w:spacing w:val="-4"/>
          <w:vertAlign w:val="baseline"/>
        </w:rPr>
        <w:t> </w:t>
      </w:r>
      <w:r>
        <w:rPr>
          <w:vertAlign w:val="baseline"/>
        </w:rPr>
        <w:t>According</w:t>
      </w:r>
      <w:r>
        <w:rPr>
          <w:spacing w:val="-3"/>
          <w:vertAlign w:val="baseline"/>
        </w:rPr>
        <w:t> </w:t>
      </w:r>
      <w:r>
        <w:rPr>
          <w:vertAlign w:val="baseline"/>
        </w:rPr>
        <w:t>to</w:t>
      </w:r>
      <w:r>
        <w:rPr>
          <w:spacing w:val="-4"/>
          <w:vertAlign w:val="baseline"/>
        </w:rPr>
        <w:t> </w:t>
      </w:r>
      <w:r>
        <w:rPr>
          <w:vertAlign w:val="baseline"/>
        </w:rPr>
        <w:t>the</w:t>
      </w:r>
      <w:r>
        <w:rPr>
          <w:spacing w:val="-3"/>
          <w:vertAlign w:val="baseline"/>
        </w:rPr>
        <w:t> </w:t>
      </w:r>
      <w:r>
        <w:rPr>
          <w:vertAlign w:val="baseline"/>
        </w:rPr>
        <w:t>2021</w:t>
      </w:r>
      <w:r>
        <w:rPr>
          <w:spacing w:val="-4"/>
          <w:vertAlign w:val="baseline"/>
        </w:rPr>
        <w:t> </w:t>
      </w:r>
      <w:r>
        <w:rPr>
          <w:vertAlign w:val="baseline"/>
        </w:rPr>
        <w:t>Massachusetts</w:t>
      </w:r>
      <w:r>
        <w:rPr>
          <w:spacing w:val="-3"/>
          <w:vertAlign w:val="baseline"/>
        </w:rPr>
        <w:t> </w:t>
      </w:r>
      <w:r>
        <w:rPr>
          <w:vertAlign w:val="baseline"/>
        </w:rPr>
        <w:t>Youth</w:t>
      </w:r>
      <w:r>
        <w:rPr>
          <w:spacing w:val="-3"/>
          <w:vertAlign w:val="baseline"/>
        </w:rPr>
        <w:t> </w:t>
      </w:r>
      <w:r>
        <w:rPr>
          <w:vertAlign w:val="baseline"/>
        </w:rPr>
        <w:t>Risk</w:t>
      </w:r>
      <w:r>
        <w:rPr>
          <w:spacing w:val="-3"/>
          <w:vertAlign w:val="baseline"/>
        </w:rPr>
        <w:t> </w:t>
      </w:r>
      <w:r>
        <w:rPr>
          <w:vertAlign w:val="baseline"/>
        </w:rPr>
        <w:t>Behavior</w:t>
      </w:r>
      <w:r>
        <w:rPr>
          <w:spacing w:val="-4"/>
          <w:vertAlign w:val="baseline"/>
        </w:rPr>
        <w:t> </w:t>
      </w:r>
      <w:r>
        <w:rPr>
          <w:vertAlign w:val="baseline"/>
        </w:rPr>
        <w:t>Survey,</w:t>
      </w:r>
      <w:r>
        <w:rPr>
          <w:spacing w:val="-4"/>
          <w:vertAlign w:val="baseline"/>
        </w:rPr>
        <w:t> </w:t>
      </w:r>
      <w:r>
        <w:rPr>
          <w:vertAlign w:val="baseline"/>
        </w:rPr>
        <w:t>only</w:t>
      </w:r>
      <w:r>
        <w:rPr>
          <w:spacing w:val="-4"/>
          <w:vertAlign w:val="baseline"/>
        </w:rPr>
        <w:t> </w:t>
      </w:r>
      <w:r>
        <w:rPr>
          <w:vertAlign w:val="baseline"/>
        </w:rPr>
        <w:t>6.8% of LGBTQ</w:t>
      </w:r>
      <w:r>
        <w:rPr>
          <w:spacing w:val="-1"/>
          <w:vertAlign w:val="baseline"/>
        </w:rPr>
        <w:t> </w:t>
      </w:r>
      <w:r>
        <w:rPr>
          <w:vertAlign w:val="baseline"/>
        </w:rPr>
        <w:t>youth have ever been tested for an STI other than HIV (including gonorrhea and chlamydia).</w:t>
      </w:r>
      <w:hyperlink w:history="true" w:anchor="_bookmark86">
        <w:r>
          <w:rPr>
            <w:vertAlign w:val="superscript"/>
          </w:rPr>
          <w:t>36</w:t>
        </w:r>
      </w:hyperlink>
      <w:r>
        <w:rPr>
          <w:vertAlign w:val="baseline"/>
        </w:rPr>
        <w:t> Among high school-age LGBTQ youth of color, only 10.9% of respondents have ever been tested for an </w:t>
      </w:r>
      <w:r>
        <w:rPr>
          <w:spacing w:val="-2"/>
          <w:vertAlign w:val="baseline"/>
        </w:rPr>
        <w:t>STI other than HIV</w:t>
      </w:r>
      <w:hyperlink w:history="true" w:anchor="_bookmark86">
        <w:r>
          <w:rPr>
            <w:spacing w:val="-2"/>
            <w:vertAlign w:val="baseline"/>
          </w:rPr>
          <w:t>.</w:t>
        </w:r>
        <w:r>
          <w:rPr>
            <w:spacing w:val="-2"/>
            <w:vertAlign w:val="superscript"/>
          </w:rPr>
          <w:t>37</w:t>
        </w:r>
      </w:hyperlink>
      <w:r>
        <w:rPr>
          <w:spacing w:val="-2"/>
          <w:vertAlign w:val="baseline"/>
        </w:rPr>
        <w:t> Testing rates were lowest amongst Asian (6.5%) and multi-racial non-Hispanic/Latinx </w:t>
      </w:r>
      <w:r>
        <w:rPr>
          <w:vertAlign w:val="baseline"/>
        </w:rPr>
        <w:t>(11.6%) respondents</w:t>
      </w:r>
      <w:hyperlink w:history="true" w:anchor="_bookmark86">
        <w:r>
          <w:rPr>
            <w:vertAlign w:val="baseline"/>
          </w:rPr>
          <w:t>.</w:t>
        </w:r>
        <w:r>
          <w:rPr>
            <w:vertAlign w:val="superscript"/>
          </w:rPr>
          <w:t>38</w:t>
        </w:r>
      </w:hyperlink>
    </w:p>
    <w:p>
      <w:pPr>
        <w:pStyle w:val="BodyText"/>
        <w:spacing w:line="276" w:lineRule="auto" w:before="238"/>
        <w:ind w:left="463" w:right="281"/>
        <w:jc w:val="both"/>
      </w:pPr>
      <w:r>
        <w:rPr/>
        <w:t>There are a number of reasons why STI rates remain so high among youths aged 15 to 24. One such reason</w:t>
      </w:r>
      <w:r>
        <w:rPr>
          <w:spacing w:val="-7"/>
        </w:rPr>
        <w:t> </w:t>
      </w:r>
      <w:r>
        <w:rPr/>
        <w:t>is</w:t>
      </w:r>
      <w:r>
        <w:rPr>
          <w:spacing w:val="-6"/>
        </w:rPr>
        <w:t> </w:t>
      </w:r>
      <w:r>
        <w:rPr/>
        <w:t>a</w:t>
      </w:r>
      <w:r>
        <w:rPr>
          <w:spacing w:val="-6"/>
        </w:rPr>
        <w:t> </w:t>
      </w:r>
      <w:r>
        <w:rPr/>
        <w:t>lack</w:t>
      </w:r>
      <w:r>
        <w:rPr>
          <w:spacing w:val="-7"/>
        </w:rPr>
        <w:t> </w:t>
      </w:r>
      <w:r>
        <w:rPr/>
        <w:t>of</w:t>
      </w:r>
      <w:r>
        <w:rPr>
          <w:spacing w:val="-5"/>
        </w:rPr>
        <w:t> </w:t>
      </w:r>
      <w:r>
        <w:rPr/>
        <w:t>knowledge</w:t>
      </w:r>
      <w:r>
        <w:rPr>
          <w:spacing w:val="-7"/>
        </w:rPr>
        <w:t> </w:t>
      </w:r>
      <w:r>
        <w:rPr/>
        <w:t>about</w:t>
      </w:r>
      <w:r>
        <w:rPr>
          <w:spacing w:val="-7"/>
        </w:rPr>
        <w:t> </w:t>
      </w:r>
      <w:r>
        <w:rPr/>
        <w:t>STIs</w:t>
      </w:r>
      <w:r>
        <w:rPr>
          <w:spacing w:val="-6"/>
        </w:rPr>
        <w:t> </w:t>
      </w:r>
      <w:r>
        <w:rPr/>
        <w:t>and</w:t>
      </w:r>
      <w:r>
        <w:rPr>
          <w:spacing w:val="-7"/>
        </w:rPr>
        <w:t> </w:t>
      </w:r>
      <w:r>
        <w:rPr/>
        <w:t>how</w:t>
      </w:r>
      <w:r>
        <w:rPr>
          <w:spacing w:val="-5"/>
        </w:rPr>
        <w:t> </w:t>
      </w:r>
      <w:r>
        <w:rPr/>
        <w:t>to</w:t>
      </w:r>
      <w:r>
        <w:rPr>
          <w:spacing w:val="-5"/>
        </w:rPr>
        <w:t> </w:t>
      </w:r>
      <w:r>
        <w:rPr/>
        <w:t>prevent</w:t>
      </w:r>
      <w:r>
        <w:rPr>
          <w:spacing w:val="-6"/>
        </w:rPr>
        <w:t> </w:t>
      </w:r>
      <w:r>
        <w:rPr/>
        <w:t>them</w:t>
      </w:r>
      <w:hyperlink w:history="true" w:anchor="_bookmark86">
        <w:r>
          <w:rPr/>
          <w:t>.</w:t>
        </w:r>
        <w:r>
          <w:rPr>
            <w:vertAlign w:val="superscript"/>
          </w:rPr>
          <w:t>39</w:t>
        </w:r>
      </w:hyperlink>
      <w:r>
        <w:rPr>
          <w:spacing w:val="-7"/>
          <w:vertAlign w:val="baseline"/>
        </w:rPr>
        <w:t> </w:t>
      </w:r>
      <w:r>
        <w:rPr>
          <w:vertAlign w:val="baseline"/>
        </w:rPr>
        <w:t>Like</w:t>
      </w:r>
      <w:r>
        <w:rPr>
          <w:spacing w:val="-7"/>
          <w:vertAlign w:val="baseline"/>
        </w:rPr>
        <w:t> </w:t>
      </w:r>
      <w:r>
        <w:rPr>
          <w:vertAlign w:val="baseline"/>
        </w:rPr>
        <w:t>with</w:t>
      </w:r>
      <w:r>
        <w:rPr>
          <w:spacing w:val="-7"/>
          <w:vertAlign w:val="baseline"/>
        </w:rPr>
        <w:t> </w:t>
      </w:r>
      <w:r>
        <w:rPr>
          <w:vertAlign w:val="baseline"/>
        </w:rPr>
        <w:t>intimate</w:t>
      </w:r>
      <w:r>
        <w:rPr>
          <w:spacing w:val="-7"/>
          <w:vertAlign w:val="baseline"/>
        </w:rPr>
        <w:t> </w:t>
      </w:r>
      <w:r>
        <w:rPr>
          <w:vertAlign w:val="baseline"/>
        </w:rPr>
        <w:t>partner</w:t>
      </w:r>
      <w:r>
        <w:rPr>
          <w:spacing w:val="-6"/>
          <w:vertAlign w:val="baseline"/>
        </w:rPr>
        <w:t> </w:t>
      </w:r>
      <w:r>
        <w:rPr>
          <w:vertAlign w:val="baseline"/>
        </w:rPr>
        <w:t>violence, LGBTQ</w:t>
      </w:r>
      <w:r>
        <w:rPr>
          <w:spacing w:val="-2"/>
          <w:vertAlign w:val="baseline"/>
        </w:rPr>
        <w:t> </w:t>
      </w:r>
      <w:r>
        <w:rPr>
          <w:vertAlign w:val="baseline"/>
        </w:rPr>
        <w:t>youth</w:t>
      </w:r>
      <w:r>
        <w:rPr>
          <w:spacing w:val="-1"/>
          <w:vertAlign w:val="baseline"/>
        </w:rPr>
        <w:t> </w:t>
      </w:r>
      <w:r>
        <w:rPr>
          <w:vertAlign w:val="baseline"/>
        </w:rPr>
        <w:t>are</w:t>
      </w:r>
      <w:r>
        <w:rPr>
          <w:spacing w:val="-3"/>
          <w:vertAlign w:val="baseline"/>
        </w:rPr>
        <w:t> </w:t>
      </w:r>
      <w:r>
        <w:rPr>
          <w:vertAlign w:val="baseline"/>
        </w:rPr>
        <w:t>simply</w:t>
      </w:r>
      <w:r>
        <w:rPr>
          <w:spacing w:val="-2"/>
          <w:vertAlign w:val="baseline"/>
        </w:rPr>
        <w:t> </w:t>
      </w:r>
      <w:r>
        <w:rPr>
          <w:vertAlign w:val="baseline"/>
        </w:rPr>
        <w:t>not</w:t>
      </w:r>
      <w:r>
        <w:rPr>
          <w:spacing w:val="-3"/>
          <w:vertAlign w:val="baseline"/>
        </w:rPr>
        <w:t> </w:t>
      </w:r>
      <w:r>
        <w:rPr>
          <w:vertAlign w:val="baseline"/>
        </w:rPr>
        <w:t>receiving</w:t>
      </w:r>
      <w:r>
        <w:rPr>
          <w:spacing w:val="-2"/>
          <w:vertAlign w:val="baseline"/>
        </w:rPr>
        <w:t> </w:t>
      </w:r>
      <w:r>
        <w:rPr>
          <w:vertAlign w:val="baseline"/>
        </w:rPr>
        <w:t>the</w:t>
      </w:r>
      <w:r>
        <w:rPr>
          <w:spacing w:val="-3"/>
          <w:vertAlign w:val="baseline"/>
        </w:rPr>
        <w:t> </w:t>
      </w:r>
      <w:r>
        <w:rPr>
          <w:vertAlign w:val="baseline"/>
        </w:rPr>
        <w:t>quality</w:t>
      </w:r>
      <w:r>
        <w:rPr>
          <w:spacing w:val="-2"/>
          <w:vertAlign w:val="baseline"/>
        </w:rPr>
        <w:t> </w:t>
      </w:r>
      <w:r>
        <w:rPr>
          <w:vertAlign w:val="baseline"/>
        </w:rPr>
        <w:t>education</w:t>
      </w:r>
      <w:r>
        <w:rPr>
          <w:spacing w:val="-2"/>
          <w:vertAlign w:val="baseline"/>
        </w:rPr>
        <w:t> </w:t>
      </w:r>
      <w:r>
        <w:rPr>
          <w:vertAlign w:val="baseline"/>
        </w:rPr>
        <w:t>that</w:t>
      </w:r>
      <w:r>
        <w:rPr>
          <w:spacing w:val="-2"/>
          <w:vertAlign w:val="baseline"/>
        </w:rPr>
        <w:t> </w:t>
      </w:r>
      <w:r>
        <w:rPr>
          <w:vertAlign w:val="baseline"/>
        </w:rPr>
        <w:t>they</w:t>
      </w:r>
      <w:r>
        <w:rPr>
          <w:spacing w:val="-3"/>
          <w:vertAlign w:val="baseline"/>
        </w:rPr>
        <w:t> </w:t>
      </w:r>
      <w:r>
        <w:rPr>
          <w:vertAlign w:val="baseline"/>
        </w:rPr>
        <w:t>need</w:t>
      </w:r>
      <w:r>
        <w:rPr>
          <w:spacing w:val="-2"/>
          <w:vertAlign w:val="baseline"/>
        </w:rPr>
        <w:t> </w:t>
      </w:r>
      <w:r>
        <w:rPr>
          <w:vertAlign w:val="baseline"/>
        </w:rPr>
        <w:t>to</w:t>
      </w:r>
      <w:r>
        <w:rPr>
          <w:spacing w:val="-2"/>
          <w:vertAlign w:val="baseline"/>
        </w:rPr>
        <w:t> </w:t>
      </w:r>
      <w:r>
        <w:rPr>
          <w:vertAlign w:val="baseline"/>
        </w:rPr>
        <w:t>be</w:t>
      </w:r>
      <w:r>
        <w:rPr>
          <w:spacing w:val="-2"/>
          <w:vertAlign w:val="baseline"/>
        </w:rPr>
        <w:t> </w:t>
      </w:r>
      <w:r>
        <w:rPr>
          <w:vertAlign w:val="baseline"/>
        </w:rPr>
        <w:t>able</w:t>
      </w:r>
      <w:r>
        <w:rPr>
          <w:spacing w:val="-2"/>
          <w:vertAlign w:val="baseline"/>
        </w:rPr>
        <w:t> </w:t>
      </w:r>
      <w:r>
        <w:rPr>
          <w:vertAlign w:val="baseline"/>
        </w:rPr>
        <w:t>to</w:t>
      </w:r>
      <w:r>
        <w:rPr>
          <w:spacing w:val="-1"/>
          <w:vertAlign w:val="baseline"/>
        </w:rPr>
        <w:t> </w:t>
      </w:r>
      <w:r>
        <w:rPr>
          <w:vertAlign w:val="baseline"/>
        </w:rPr>
        <w:t>make</w:t>
      </w:r>
      <w:r>
        <w:rPr>
          <w:spacing w:val="-2"/>
          <w:vertAlign w:val="baseline"/>
        </w:rPr>
        <w:t> </w:t>
      </w:r>
      <w:r>
        <w:rPr>
          <w:vertAlign w:val="baseline"/>
        </w:rPr>
        <w:t>informed and</w:t>
      </w:r>
      <w:r>
        <w:rPr>
          <w:spacing w:val="-3"/>
          <w:vertAlign w:val="baseline"/>
        </w:rPr>
        <w:t> </w:t>
      </w:r>
      <w:r>
        <w:rPr>
          <w:vertAlign w:val="baseline"/>
        </w:rPr>
        <w:t>safe</w:t>
      </w:r>
      <w:r>
        <w:rPr>
          <w:spacing w:val="-2"/>
          <w:vertAlign w:val="baseline"/>
        </w:rPr>
        <w:t> </w:t>
      </w:r>
      <w:r>
        <w:rPr>
          <w:vertAlign w:val="baseline"/>
        </w:rPr>
        <w:t>decisions</w:t>
      </w:r>
      <w:r>
        <w:rPr>
          <w:spacing w:val="-3"/>
          <w:vertAlign w:val="baseline"/>
        </w:rPr>
        <w:t> </w:t>
      </w:r>
      <w:r>
        <w:rPr>
          <w:vertAlign w:val="baseline"/>
        </w:rPr>
        <w:t>about</w:t>
      </w:r>
      <w:r>
        <w:rPr>
          <w:spacing w:val="-2"/>
          <w:vertAlign w:val="baseline"/>
        </w:rPr>
        <w:t> </w:t>
      </w:r>
      <w:r>
        <w:rPr>
          <w:vertAlign w:val="baseline"/>
        </w:rPr>
        <w:t>their</w:t>
      </w:r>
      <w:r>
        <w:rPr>
          <w:spacing w:val="-3"/>
          <w:vertAlign w:val="baseline"/>
        </w:rPr>
        <w:t> </w:t>
      </w:r>
      <w:r>
        <w:rPr>
          <w:vertAlign w:val="baseline"/>
        </w:rPr>
        <w:t>sexual</w:t>
      </w:r>
      <w:r>
        <w:rPr>
          <w:spacing w:val="-2"/>
          <w:vertAlign w:val="baseline"/>
        </w:rPr>
        <w:t> </w:t>
      </w:r>
      <w:r>
        <w:rPr>
          <w:vertAlign w:val="baseline"/>
        </w:rPr>
        <w:t>health.</w:t>
      </w:r>
      <w:r>
        <w:rPr>
          <w:spacing w:val="-2"/>
          <w:vertAlign w:val="baseline"/>
        </w:rPr>
        <w:t> </w:t>
      </w:r>
      <w:r>
        <w:rPr>
          <w:vertAlign w:val="baseline"/>
        </w:rPr>
        <w:t>LGBTQ</w:t>
      </w:r>
      <w:r>
        <w:rPr>
          <w:spacing w:val="-1"/>
          <w:vertAlign w:val="baseline"/>
        </w:rPr>
        <w:t> </w:t>
      </w:r>
      <w:r>
        <w:rPr>
          <w:vertAlign w:val="baseline"/>
        </w:rPr>
        <w:t>youth</w:t>
      </w:r>
      <w:r>
        <w:rPr>
          <w:spacing w:val="-3"/>
          <w:vertAlign w:val="baseline"/>
        </w:rPr>
        <w:t> </w:t>
      </w:r>
      <w:r>
        <w:rPr>
          <w:vertAlign w:val="baseline"/>
        </w:rPr>
        <w:t>are</w:t>
      </w:r>
      <w:r>
        <w:rPr>
          <w:spacing w:val="-2"/>
          <w:vertAlign w:val="baseline"/>
        </w:rPr>
        <w:t> </w:t>
      </w:r>
      <w:r>
        <w:rPr>
          <w:vertAlign w:val="baseline"/>
        </w:rPr>
        <w:t>at</w:t>
      </w:r>
      <w:r>
        <w:rPr>
          <w:spacing w:val="-1"/>
          <w:vertAlign w:val="baseline"/>
        </w:rPr>
        <w:t> </w:t>
      </w:r>
      <w:r>
        <w:rPr>
          <w:vertAlign w:val="baseline"/>
        </w:rPr>
        <w:t>a</w:t>
      </w:r>
      <w:r>
        <w:rPr>
          <w:spacing w:val="-3"/>
          <w:vertAlign w:val="baseline"/>
        </w:rPr>
        <w:t> </w:t>
      </w:r>
      <w:r>
        <w:rPr>
          <w:vertAlign w:val="baseline"/>
        </w:rPr>
        <w:t>particular</w:t>
      </w:r>
      <w:r>
        <w:rPr>
          <w:spacing w:val="-2"/>
          <w:vertAlign w:val="baseline"/>
        </w:rPr>
        <w:t> </w:t>
      </w:r>
      <w:r>
        <w:rPr>
          <w:vertAlign w:val="baseline"/>
        </w:rPr>
        <w:t>disadvantage,</w:t>
      </w:r>
      <w:r>
        <w:rPr>
          <w:spacing w:val="-1"/>
          <w:vertAlign w:val="baseline"/>
        </w:rPr>
        <w:t> </w:t>
      </w:r>
      <w:r>
        <w:rPr>
          <w:vertAlign w:val="baseline"/>
        </w:rPr>
        <w:t>as</w:t>
      </w:r>
      <w:r>
        <w:rPr>
          <w:spacing w:val="-3"/>
          <w:vertAlign w:val="baseline"/>
        </w:rPr>
        <w:t> </w:t>
      </w:r>
      <w:r>
        <w:rPr>
          <w:vertAlign w:val="baseline"/>
        </w:rPr>
        <w:t>only</w:t>
      </w:r>
      <w:r>
        <w:rPr>
          <w:spacing w:val="-3"/>
          <w:vertAlign w:val="baseline"/>
        </w:rPr>
        <w:t> </w:t>
      </w:r>
      <w:r>
        <w:rPr>
          <w:vertAlign w:val="baseline"/>
        </w:rPr>
        <w:t>6.7% of youth nationally report receiving LGBTQ-inclusive sex education in school.</w:t>
      </w:r>
      <w:hyperlink w:history="true" w:anchor="_bookmark86">
        <w:r>
          <w:rPr>
            <w:vertAlign w:val="superscript"/>
          </w:rPr>
          <w:t>40</w:t>
        </w:r>
      </w:hyperlink>
      <w:r>
        <w:rPr>
          <w:vertAlign w:val="baseline"/>
        </w:rPr>
        <w:t> In Massachusetts, only 40.2% of LGBTQ youth have ever received education in school about how to correctly use a condom.</w:t>
      </w:r>
      <w:hyperlink w:history="true" w:anchor="_bookmark86">
        <w:r>
          <w:rPr>
            <w:vertAlign w:val="superscript"/>
          </w:rPr>
          <w:t>41</w:t>
        </w:r>
      </w:hyperlink>
      <w:r>
        <w:rPr>
          <w:vertAlign w:val="baseline"/>
        </w:rPr>
        <w:t> While school is not the only place that youth may learn about safer sex practices, this lack of education likely contributes to low rates of prophylactic use. Among Massachusetts LGBTQ youth of color, only 38.9% of respondents used a condom during the last time they had sexual intercourse</w:t>
      </w:r>
      <w:hyperlink w:history="true" w:anchor="_bookmark86">
        <w:r>
          <w:rPr>
            <w:vertAlign w:val="baseline"/>
          </w:rPr>
          <w:t>.</w:t>
        </w:r>
        <w:r>
          <w:rPr>
            <w:vertAlign w:val="superscript"/>
          </w:rPr>
          <w:t>42</w:t>
        </w:r>
      </w:hyperlink>
      <w:r>
        <w:rPr>
          <w:vertAlign w:val="baseline"/>
        </w:rPr>
        <w:t> Condom use was lowest among Hispanic/Latinx (28.6%) and multiracial Hispanic/Latinx (16.3%) respondents</w:t>
      </w:r>
      <w:hyperlink w:history="true" w:anchor="_bookmark80">
        <w:r>
          <w:rPr>
            <w:vertAlign w:val="baseline"/>
          </w:rPr>
          <w:t>.</w:t>
        </w:r>
        <w:r>
          <w:rPr>
            <w:vertAlign w:val="superscript"/>
          </w:rPr>
          <w:t>43</w:t>
        </w:r>
      </w:hyperlink>
    </w:p>
    <w:p>
      <w:pPr>
        <w:pStyle w:val="BodyText"/>
        <w:spacing w:line="276" w:lineRule="auto" w:before="242"/>
        <w:ind w:left="463" w:right="282"/>
        <w:jc w:val="both"/>
      </w:pPr>
      <w:r>
        <w:rPr/>
        <w:t>At the individual and interpersonal levels, the most effective intervention has been comprehensive sexuality</w:t>
      </w:r>
      <w:r>
        <w:rPr>
          <w:spacing w:val="-10"/>
        </w:rPr>
        <w:t> </w:t>
      </w:r>
      <w:r>
        <w:rPr/>
        <w:t>education</w:t>
      </w:r>
      <w:r>
        <w:rPr>
          <w:spacing w:val="-10"/>
        </w:rPr>
        <w:t> </w:t>
      </w:r>
      <w:r>
        <w:rPr/>
        <w:t>that</w:t>
      </w:r>
      <w:r>
        <w:rPr>
          <w:spacing w:val="-11"/>
        </w:rPr>
        <w:t> </w:t>
      </w:r>
      <w:r>
        <w:rPr/>
        <w:t>includes</w:t>
      </w:r>
      <w:r>
        <w:rPr>
          <w:spacing w:val="-10"/>
        </w:rPr>
        <w:t> </w:t>
      </w:r>
      <w:r>
        <w:rPr/>
        <w:t>not</w:t>
      </w:r>
      <w:r>
        <w:rPr>
          <w:spacing w:val="-11"/>
        </w:rPr>
        <w:t> </w:t>
      </w:r>
      <w:r>
        <w:rPr/>
        <w:t>only</w:t>
      </w:r>
      <w:r>
        <w:rPr>
          <w:spacing w:val="-11"/>
        </w:rPr>
        <w:t> </w:t>
      </w:r>
      <w:r>
        <w:rPr/>
        <w:t>information</w:t>
      </w:r>
      <w:r>
        <w:rPr>
          <w:spacing w:val="-12"/>
        </w:rPr>
        <w:t> </w:t>
      </w:r>
      <w:r>
        <w:rPr/>
        <w:t>about</w:t>
      </w:r>
      <w:r>
        <w:rPr>
          <w:spacing w:val="-12"/>
        </w:rPr>
        <w:t> </w:t>
      </w:r>
      <w:r>
        <w:rPr/>
        <w:t>STIs,</w:t>
      </w:r>
      <w:r>
        <w:rPr>
          <w:spacing w:val="-10"/>
        </w:rPr>
        <w:t> </w:t>
      </w:r>
      <w:r>
        <w:rPr/>
        <w:t>barrier</w:t>
      </w:r>
      <w:r>
        <w:rPr>
          <w:spacing w:val="-11"/>
        </w:rPr>
        <w:t> </w:t>
      </w:r>
      <w:r>
        <w:rPr/>
        <w:t>methods,</w:t>
      </w:r>
      <w:r>
        <w:rPr>
          <w:spacing w:val="-11"/>
        </w:rPr>
        <w:t> </w:t>
      </w:r>
      <w:r>
        <w:rPr/>
        <w:t>PrEP,</w:t>
      </w:r>
      <w:r>
        <w:rPr>
          <w:spacing w:val="-11"/>
        </w:rPr>
        <w:t> </w:t>
      </w:r>
      <w:r>
        <w:rPr/>
        <w:t>and</w:t>
      </w:r>
      <w:r>
        <w:rPr>
          <w:spacing w:val="-12"/>
        </w:rPr>
        <w:t> </w:t>
      </w:r>
      <w:r>
        <w:rPr/>
        <w:t>testing,</w:t>
      </w:r>
      <w:r>
        <w:rPr>
          <w:spacing w:val="-10"/>
        </w:rPr>
        <w:t> </w:t>
      </w:r>
      <w:r>
        <w:rPr/>
        <w:t>but also information and skill building around how to negotiate safer sex with a partner</w:t>
      </w:r>
      <w:hyperlink w:history="true" w:anchor="_bookmark80">
        <w:r>
          <w:rPr/>
          <w:t>.</w:t>
        </w:r>
        <w:r>
          <w:rPr>
            <w:vertAlign w:val="superscript"/>
          </w:rPr>
          <w:t>44</w:t>
        </w:r>
      </w:hyperlink>
      <w:r>
        <w:rPr>
          <w:vertAlign w:val="baseline"/>
        </w:rPr>
        <w:t> However,</w:t>
      </w:r>
    </w:p>
    <w:p>
      <w:pPr>
        <w:pStyle w:val="BodyText"/>
        <w:spacing w:line="276" w:lineRule="auto" w:before="120"/>
        <w:ind w:left="463" w:right="282"/>
        <w:jc w:val="both"/>
      </w:pPr>
      <w:r>
        <w:rPr/>
        <w:drawing>
          <wp:anchor distT="0" distB="0" distL="0" distR="0" allowOverlap="1" layoutInCell="1" locked="0" behindDoc="0" simplePos="0" relativeHeight="15752192">
            <wp:simplePos x="0" y="0"/>
            <wp:positionH relativeFrom="page">
              <wp:posOffset>825500</wp:posOffset>
            </wp:positionH>
            <wp:positionV relativeFrom="paragraph">
              <wp:posOffset>89282</wp:posOffset>
            </wp:positionV>
            <wp:extent cx="2527134" cy="2003419"/>
            <wp:effectExtent l="0" t="0" r="0" b="0"/>
            <wp:wrapNone/>
            <wp:docPr id="181" name="Image 181" descr="A calendar with contraceptive pills and contraceptives  Description automatically generated "/>
            <wp:cNvGraphicFramePr>
              <a:graphicFrameLocks/>
            </wp:cNvGraphicFramePr>
            <a:graphic>
              <a:graphicData uri="http://schemas.openxmlformats.org/drawingml/2006/picture">
                <pic:pic>
                  <pic:nvPicPr>
                    <pic:cNvPr id="181" name="Image 181" descr="A calendar with contraceptive pills and contraceptives  Description automatically generated "/>
                    <pic:cNvPicPr/>
                  </pic:nvPicPr>
                  <pic:blipFill>
                    <a:blip r:embed="rId132" cstate="print"/>
                    <a:stretch>
                      <a:fillRect/>
                    </a:stretch>
                  </pic:blipFill>
                  <pic:spPr>
                    <a:xfrm>
                      <a:off x="0" y="0"/>
                      <a:ext cx="2527134" cy="2003419"/>
                    </a:xfrm>
                    <a:prstGeom prst="rect">
                      <a:avLst/>
                    </a:prstGeom>
                  </pic:spPr>
                </pic:pic>
              </a:graphicData>
            </a:graphic>
          </wp:anchor>
        </w:drawing>
      </w:r>
      <w:r>
        <w:rPr/>
        <w:t>high rates of STIs are not only due to individual knowledge, but also due to structural access issues. As further discussed in the sexual health section, LGBTQ youth may know how and when to use particular safer sex supplies, however they may find the cost of these prophylactic measures to be prohibitive.</w:t>
      </w:r>
      <w:hyperlink w:history="true" w:anchor="_bookmark80">
        <w:r>
          <w:rPr>
            <w:vertAlign w:val="superscript"/>
          </w:rPr>
          <w:t>45</w:t>
        </w:r>
      </w:hyperlink>
      <w:r>
        <w:rPr>
          <w:vertAlign w:val="baseline"/>
        </w:rPr>
        <w:t> When</w:t>
      </w:r>
      <w:r>
        <w:rPr>
          <w:spacing w:val="-12"/>
          <w:vertAlign w:val="baseline"/>
        </w:rPr>
        <w:t> </w:t>
      </w:r>
      <w:r>
        <w:rPr>
          <w:vertAlign w:val="baseline"/>
        </w:rPr>
        <w:t>they</w:t>
      </w:r>
      <w:r>
        <w:rPr>
          <w:spacing w:val="-11"/>
          <w:vertAlign w:val="baseline"/>
        </w:rPr>
        <w:t> </w:t>
      </w:r>
      <w:r>
        <w:rPr>
          <w:vertAlign w:val="baseline"/>
        </w:rPr>
        <w:t>are</w:t>
      </w:r>
      <w:r>
        <w:rPr>
          <w:spacing w:val="-13"/>
          <w:vertAlign w:val="baseline"/>
        </w:rPr>
        <w:t> </w:t>
      </w:r>
      <w:r>
        <w:rPr>
          <w:vertAlign w:val="baseline"/>
        </w:rPr>
        <w:t>able</w:t>
      </w:r>
      <w:r>
        <w:rPr>
          <w:spacing w:val="-10"/>
          <w:vertAlign w:val="baseline"/>
        </w:rPr>
        <w:t> </w:t>
      </w:r>
      <w:r>
        <w:rPr>
          <w:vertAlign w:val="baseline"/>
        </w:rPr>
        <w:t>to</w:t>
      </w:r>
      <w:r>
        <w:rPr>
          <w:spacing w:val="-12"/>
          <w:vertAlign w:val="baseline"/>
        </w:rPr>
        <w:t> </w:t>
      </w:r>
      <w:r>
        <w:rPr>
          <w:vertAlign w:val="baseline"/>
        </w:rPr>
        <w:t>find</w:t>
      </w:r>
      <w:r>
        <w:rPr>
          <w:spacing w:val="-10"/>
          <w:vertAlign w:val="baseline"/>
        </w:rPr>
        <w:t> </w:t>
      </w:r>
      <w:r>
        <w:rPr>
          <w:vertAlign w:val="baseline"/>
        </w:rPr>
        <w:t>safer</w:t>
      </w:r>
      <w:r>
        <w:rPr>
          <w:spacing w:val="-12"/>
          <w:vertAlign w:val="baseline"/>
        </w:rPr>
        <w:t> </w:t>
      </w:r>
      <w:r>
        <w:rPr>
          <w:vertAlign w:val="baseline"/>
        </w:rPr>
        <w:t>sex</w:t>
      </w:r>
      <w:r>
        <w:rPr>
          <w:spacing w:val="-12"/>
          <w:vertAlign w:val="baseline"/>
        </w:rPr>
        <w:t> </w:t>
      </w:r>
      <w:r>
        <w:rPr>
          <w:vertAlign w:val="baseline"/>
        </w:rPr>
        <w:t>supplies</w:t>
      </w:r>
      <w:r>
        <w:rPr>
          <w:spacing w:val="-12"/>
          <w:vertAlign w:val="baseline"/>
        </w:rPr>
        <w:t> </w:t>
      </w:r>
      <w:r>
        <w:rPr>
          <w:vertAlign w:val="baseline"/>
        </w:rPr>
        <w:t>for</w:t>
      </w:r>
      <w:r>
        <w:rPr>
          <w:spacing w:val="-11"/>
          <w:vertAlign w:val="baseline"/>
        </w:rPr>
        <w:t> </w:t>
      </w:r>
      <w:r>
        <w:rPr>
          <w:vertAlign w:val="baseline"/>
        </w:rPr>
        <w:t>free</w:t>
      </w:r>
      <w:r>
        <w:rPr>
          <w:spacing w:val="-10"/>
          <w:vertAlign w:val="baseline"/>
        </w:rPr>
        <w:t> </w:t>
      </w:r>
      <w:r>
        <w:rPr>
          <w:vertAlign w:val="baseline"/>
        </w:rPr>
        <w:t>at</w:t>
      </w:r>
      <w:r>
        <w:rPr>
          <w:spacing w:val="-13"/>
          <w:vertAlign w:val="baseline"/>
        </w:rPr>
        <w:t> </w:t>
      </w:r>
      <w:r>
        <w:rPr>
          <w:vertAlign w:val="baseline"/>
        </w:rPr>
        <w:t>a</w:t>
      </w:r>
      <w:r>
        <w:rPr>
          <w:spacing w:val="-10"/>
          <w:vertAlign w:val="baseline"/>
        </w:rPr>
        <w:t> </w:t>
      </w:r>
      <w:r>
        <w:rPr>
          <w:vertAlign w:val="baseline"/>
        </w:rPr>
        <w:t>local</w:t>
      </w:r>
      <w:r>
        <w:rPr>
          <w:spacing w:val="-12"/>
          <w:vertAlign w:val="baseline"/>
        </w:rPr>
        <w:t> </w:t>
      </w:r>
      <w:r>
        <w:rPr>
          <w:vertAlign w:val="baseline"/>
        </w:rPr>
        <w:t>community</w:t>
      </w:r>
      <w:r>
        <w:rPr>
          <w:spacing w:val="-11"/>
          <w:vertAlign w:val="baseline"/>
        </w:rPr>
        <w:t> </w:t>
      </w:r>
      <w:r>
        <w:rPr>
          <w:vertAlign w:val="baseline"/>
        </w:rPr>
        <w:t>health</w:t>
      </w:r>
      <w:r>
        <w:rPr>
          <w:spacing w:val="-12"/>
          <w:vertAlign w:val="baseline"/>
        </w:rPr>
        <w:t> </w:t>
      </w:r>
      <w:r>
        <w:rPr>
          <w:vertAlign w:val="baseline"/>
        </w:rPr>
        <w:t>clinic</w:t>
      </w:r>
      <w:r>
        <w:rPr>
          <w:spacing w:val="-12"/>
          <w:vertAlign w:val="baseline"/>
        </w:rPr>
        <w:t> </w:t>
      </w:r>
      <w:r>
        <w:rPr>
          <w:vertAlign w:val="baseline"/>
        </w:rPr>
        <w:t>or</w:t>
      </w:r>
      <w:r>
        <w:rPr>
          <w:spacing w:val="-12"/>
          <w:vertAlign w:val="baseline"/>
        </w:rPr>
        <w:t> </w:t>
      </w:r>
      <w:r>
        <w:rPr>
          <w:vertAlign w:val="baseline"/>
        </w:rPr>
        <w:t>youth</w:t>
      </w:r>
      <w:r>
        <w:rPr>
          <w:spacing w:val="-12"/>
          <w:vertAlign w:val="baseline"/>
        </w:rPr>
        <w:t> </w:t>
      </w:r>
      <w:r>
        <w:rPr>
          <w:vertAlign w:val="baseline"/>
        </w:rPr>
        <w:t>program, those</w:t>
      </w:r>
      <w:r>
        <w:rPr>
          <w:spacing w:val="-2"/>
          <w:vertAlign w:val="baseline"/>
        </w:rPr>
        <w:t> </w:t>
      </w:r>
      <w:r>
        <w:rPr>
          <w:vertAlign w:val="baseline"/>
        </w:rPr>
        <w:t>facilities</w:t>
      </w:r>
      <w:r>
        <w:rPr>
          <w:spacing w:val="-1"/>
          <w:vertAlign w:val="baseline"/>
        </w:rPr>
        <w:t> </w:t>
      </w:r>
      <w:r>
        <w:rPr>
          <w:vertAlign w:val="baseline"/>
        </w:rPr>
        <w:t>may</w:t>
      </w:r>
      <w:r>
        <w:rPr>
          <w:spacing w:val="-2"/>
          <w:vertAlign w:val="baseline"/>
        </w:rPr>
        <w:t> </w:t>
      </w:r>
      <w:r>
        <w:rPr>
          <w:vertAlign w:val="baseline"/>
        </w:rPr>
        <w:t>not</w:t>
      </w:r>
      <w:r>
        <w:rPr>
          <w:spacing w:val="-1"/>
          <w:vertAlign w:val="baseline"/>
        </w:rPr>
        <w:t> </w:t>
      </w:r>
      <w:r>
        <w:rPr>
          <w:vertAlign w:val="baseline"/>
        </w:rPr>
        <w:t>stock</w:t>
      </w:r>
      <w:r>
        <w:rPr>
          <w:spacing w:val="-1"/>
          <w:vertAlign w:val="baseline"/>
        </w:rPr>
        <w:t> </w:t>
      </w:r>
      <w:r>
        <w:rPr>
          <w:vertAlign w:val="baseline"/>
        </w:rPr>
        <w:t>the</w:t>
      </w:r>
      <w:r>
        <w:rPr>
          <w:spacing w:val="-1"/>
          <w:vertAlign w:val="baseline"/>
        </w:rPr>
        <w:t> </w:t>
      </w:r>
      <w:r>
        <w:rPr>
          <w:vertAlign w:val="baseline"/>
        </w:rPr>
        <w:t>kinds of</w:t>
      </w:r>
      <w:r>
        <w:rPr>
          <w:spacing w:val="-2"/>
          <w:vertAlign w:val="baseline"/>
        </w:rPr>
        <w:t> </w:t>
      </w:r>
      <w:r>
        <w:rPr>
          <w:vertAlign w:val="baseline"/>
        </w:rPr>
        <w:t>safer</w:t>
      </w:r>
      <w:r>
        <w:rPr>
          <w:spacing w:val="-2"/>
          <w:vertAlign w:val="baseline"/>
        </w:rPr>
        <w:t> </w:t>
      </w:r>
      <w:r>
        <w:rPr>
          <w:vertAlign w:val="baseline"/>
        </w:rPr>
        <w:t>sex</w:t>
      </w:r>
      <w:r>
        <w:rPr>
          <w:spacing w:val="-2"/>
          <w:vertAlign w:val="baseline"/>
        </w:rPr>
        <w:t> </w:t>
      </w:r>
      <w:r>
        <w:rPr>
          <w:vertAlign w:val="baseline"/>
        </w:rPr>
        <w:t>supplies LGBTQ</w:t>
      </w:r>
      <w:r>
        <w:rPr>
          <w:spacing w:val="-2"/>
          <w:vertAlign w:val="baseline"/>
        </w:rPr>
        <w:t> </w:t>
      </w:r>
      <w:r>
        <w:rPr>
          <w:vertAlign w:val="baseline"/>
        </w:rPr>
        <w:t>youth</w:t>
      </w:r>
      <w:r>
        <w:rPr>
          <w:spacing w:val="-2"/>
          <w:vertAlign w:val="baseline"/>
        </w:rPr>
        <w:t> </w:t>
      </w:r>
      <w:r>
        <w:rPr>
          <w:vertAlign w:val="baseline"/>
        </w:rPr>
        <w:t>are</w:t>
      </w:r>
      <w:r>
        <w:rPr>
          <w:spacing w:val="-1"/>
          <w:vertAlign w:val="baseline"/>
        </w:rPr>
        <w:t> </w:t>
      </w:r>
      <w:r>
        <w:rPr>
          <w:vertAlign w:val="baseline"/>
        </w:rPr>
        <w:t>looking</w:t>
      </w:r>
      <w:r>
        <w:rPr>
          <w:spacing w:val="-2"/>
          <w:vertAlign w:val="baseline"/>
        </w:rPr>
        <w:t> </w:t>
      </w:r>
      <w:r>
        <w:rPr>
          <w:vertAlign w:val="baseline"/>
        </w:rPr>
        <w:t>for,</w:t>
      </w:r>
      <w:r>
        <w:rPr>
          <w:spacing w:val="-1"/>
          <w:vertAlign w:val="baseline"/>
        </w:rPr>
        <w:t> </w:t>
      </w:r>
      <w:r>
        <w:rPr>
          <w:vertAlign w:val="baseline"/>
        </w:rPr>
        <w:t>such</w:t>
      </w:r>
      <w:r>
        <w:rPr>
          <w:spacing w:val="-2"/>
          <w:vertAlign w:val="baseline"/>
        </w:rPr>
        <w:t> </w:t>
      </w:r>
      <w:r>
        <w:rPr>
          <w:vertAlign w:val="baseline"/>
        </w:rPr>
        <w:t>as dental </w:t>
      </w:r>
      <w:r>
        <w:rPr>
          <w:spacing w:val="-2"/>
          <w:vertAlign w:val="baseline"/>
        </w:rPr>
        <w:t>dams</w:t>
      </w:r>
      <w:hyperlink w:history="true" w:anchor="_bookmark87">
        <w:r>
          <w:rPr>
            <w:spacing w:val="-2"/>
            <w:vertAlign w:val="baseline"/>
          </w:rPr>
          <w:t>.</w:t>
        </w:r>
        <w:r>
          <w:rPr>
            <w:spacing w:val="-2"/>
            <w:vertAlign w:val="superscript"/>
          </w:rPr>
          <w:t>46</w:t>
        </w:r>
      </w:hyperlink>
    </w:p>
    <w:p>
      <w:pPr>
        <w:pStyle w:val="BodyText"/>
        <w:spacing w:line="276" w:lineRule="auto" w:before="120"/>
        <w:ind w:left="463" w:right="280"/>
        <w:jc w:val="both"/>
      </w:pPr>
      <w:r>
        <w:rPr/>
        <w:t>Having access to free or reduced-price safer sex supplies allows LGBTQ youth to make decisions about their sexual health, without being limited by monetary cost.</w:t>
      </w:r>
    </w:p>
    <w:p>
      <w:pPr>
        <w:pStyle w:val="BodyText"/>
        <w:spacing w:line="276" w:lineRule="auto" w:before="121"/>
        <w:ind w:left="463" w:right="282"/>
        <w:jc w:val="both"/>
      </w:pPr>
      <w:r>
        <w:rPr/>
        <w:t>Access to STI testing and treatment may be equally as prohibitive.</w:t>
      </w:r>
      <w:hyperlink w:history="true" w:anchor="_bookmark88">
        <w:r>
          <w:rPr>
            <w:vertAlign w:val="superscript"/>
          </w:rPr>
          <w:t>47</w:t>
        </w:r>
      </w:hyperlink>
      <w:r>
        <w:rPr>
          <w:vertAlign w:val="baseline"/>
        </w:rPr>
        <w:t> LGBTQ youth, particularly, low- income youth, unhoused youth, undocumented youth, and rural youth, may lack consistent access to healthcare</w:t>
      </w:r>
      <w:hyperlink w:history="true" w:anchor="_bookmark88">
        <w:r>
          <w:rPr>
            <w:vertAlign w:val="baseline"/>
          </w:rPr>
          <w:t>.</w:t>
        </w:r>
        <w:r>
          <w:rPr>
            <w:vertAlign w:val="superscript"/>
          </w:rPr>
          <w:t>48</w:t>
        </w:r>
      </w:hyperlink>
      <w:r>
        <w:rPr>
          <w:vertAlign w:val="baseline"/>
        </w:rPr>
        <w:t> LGBTQ youth who are still on their parents’ health insurance may be reluctant to seek STI testing and treatment due to fear of being outed to their parents or due to the stigma of receiving STI testing</w:t>
      </w:r>
      <w:hyperlink w:history="true" w:anchor="_bookmark88">
        <w:r>
          <w:rPr>
            <w:vertAlign w:val="baseline"/>
          </w:rPr>
          <w:t>.</w:t>
        </w:r>
        <w:r>
          <w:rPr>
            <w:vertAlign w:val="superscript"/>
          </w:rPr>
          <w:t>49</w:t>
        </w:r>
      </w:hyperlink>
      <w:hyperlink w:history="true" w:anchor="_bookmark88">
        <w:r>
          <w:rPr>
            <w:vertAlign w:val="superscript"/>
          </w:rPr>
          <w:t>,50</w:t>
        </w:r>
      </w:hyperlink>
      <w:r>
        <w:rPr>
          <w:spacing w:val="25"/>
          <w:vertAlign w:val="baseline"/>
        </w:rPr>
        <w:t> </w:t>
      </w:r>
      <w:r>
        <w:rPr>
          <w:vertAlign w:val="baseline"/>
        </w:rPr>
        <w:t>In</w:t>
      </w:r>
      <w:r>
        <w:rPr>
          <w:spacing w:val="24"/>
          <w:vertAlign w:val="baseline"/>
        </w:rPr>
        <w:t> </w:t>
      </w:r>
      <w:r>
        <w:rPr>
          <w:vertAlign w:val="baseline"/>
        </w:rPr>
        <w:t>Massachusetts,</w:t>
      </w:r>
      <w:r>
        <w:rPr>
          <w:spacing w:val="24"/>
          <w:vertAlign w:val="baseline"/>
        </w:rPr>
        <w:t> </w:t>
      </w:r>
      <w:r>
        <w:rPr>
          <w:vertAlign w:val="baseline"/>
        </w:rPr>
        <w:t>all</w:t>
      </w:r>
      <w:r>
        <w:rPr>
          <w:spacing w:val="24"/>
          <w:vertAlign w:val="baseline"/>
        </w:rPr>
        <w:t> </w:t>
      </w:r>
      <w:r>
        <w:rPr>
          <w:vertAlign w:val="baseline"/>
        </w:rPr>
        <w:t>youth</w:t>
      </w:r>
      <w:r>
        <w:rPr>
          <w:spacing w:val="24"/>
          <w:vertAlign w:val="baseline"/>
        </w:rPr>
        <w:t> </w:t>
      </w:r>
      <w:r>
        <w:rPr>
          <w:vertAlign w:val="baseline"/>
        </w:rPr>
        <w:t>over</w:t>
      </w:r>
      <w:r>
        <w:rPr>
          <w:spacing w:val="24"/>
          <w:vertAlign w:val="baseline"/>
        </w:rPr>
        <w:t> </w:t>
      </w:r>
      <w:r>
        <w:rPr>
          <w:vertAlign w:val="baseline"/>
        </w:rPr>
        <w:t>the</w:t>
      </w:r>
      <w:r>
        <w:rPr>
          <w:spacing w:val="24"/>
          <w:vertAlign w:val="baseline"/>
        </w:rPr>
        <w:t> </w:t>
      </w:r>
      <w:r>
        <w:rPr>
          <w:vertAlign w:val="baseline"/>
        </w:rPr>
        <w:t>age</w:t>
      </w:r>
      <w:r>
        <w:rPr>
          <w:spacing w:val="24"/>
          <w:vertAlign w:val="baseline"/>
        </w:rPr>
        <w:t> </w:t>
      </w:r>
      <w:r>
        <w:rPr>
          <w:vertAlign w:val="baseline"/>
        </w:rPr>
        <w:t>of</w:t>
      </w:r>
      <w:r>
        <w:rPr>
          <w:spacing w:val="24"/>
          <w:vertAlign w:val="baseline"/>
        </w:rPr>
        <w:t> </w:t>
      </w:r>
      <w:r>
        <w:rPr>
          <w:vertAlign w:val="baseline"/>
        </w:rPr>
        <w:t>thirteen</w:t>
      </w:r>
      <w:r>
        <w:rPr>
          <w:spacing w:val="24"/>
          <w:vertAlign w:val="baseline"/>
        </w:rPr>
        <w:t> </w:t>
      </w:r>
      <w:r>
        <w:rPr>
          <w:vertAlign w:val="baseline"/>
        </w:rPr>
        <w:t>have</w:t>
      </w:r>
      <w:r>
        <w:rPr>
          <w:spacing w:val="24"/>
          <w:vertAlign w:val="baseline"/>
        </w:rPr>
        <w:t> </w:t>
      </w:r>
      <w:r>
        <w:rPr>
          <w:vertAlign w:val="baseline"/>
        </w:rPr>
        <w:t>the</w:t>
      </w:r>
      <w:r>
        <w:rPr>
          <w:spacing w:val="24"/>
          <w:vertAlign w:val="baseline"/>
        </w:rPr>
        <w:t> </w:t>
      </w:r>
      <w:r>
        <w:rPr>
          <w:vertAlign w:val="baseline"/>
        </w:rPr>
        <w:t>right</w:t>
      </w:r>
      <w:r>
        <w:rPr>
          <w:spacing w:val="24"/>
          <w:vertAlign w:val="baseline"/>
        </w:rPr>
        <w:t> </w:t>
      </w:r>
      <w:r>
        <w:rPr>
          <w:vertAlign w:val="baseline"/>
        </w:rPr>
        <w:t>to</w:t>
      </w:r>
      <w:r>
        <w:rPr>
          <w:spacing w:val="25"/>
          <w:vertAlign w:val="baseline"/>
        </w:rPr>
        <w:t> </w:t>
      </w:r>
      <w:r>
        <w:rPr>
          <w:vertAlign w:val="baseline"/>
        </w:rPr>
        <w:t>receive</w:t>
      </w:r>
      <w:r>
        <w:rPr>
          <w:spacing w:val="24"/>
          <w:vertAlign w:val="baseline"/>
        </w:rPr>
        <w:t> </w:t>
      </w:r>
      <w:r>
        <w:rPr>
          <w:vertAlign w:val="baseline"/>
        </w:rPr>
        <w:t>STI</w:t>
      </w:r>
      <w:r>
        <w:rPr>
          <w:spacing w:val="24"/>
          <w:vertAlign w:val="baseline"/>
        </w:rPr>
        <w:t> </w:t>
      </w:r>
      <w:r>
        <w:rPr>
          <w:vertAlign w:val="baseline"/>
        </w:rPr>
        <w:t>testing</w:t>
      </w:r>
    </w:p>
    <w:p>
      <w:pPr>
        <w:spacing w:after="0" w:line="276" w:lineRule="auto"/>
        <w:jc w:val="both"/>
        <w:sectPr>
          <w:pgSz w:w="11910" w:h="16840"/>
          <w:pgMar w:header="804" w:footer="1230" w:top="1080" w:bottom="1480" w:left="980" w:right="900"/>
        </w:sectPr>
      </w:pPr>
    </w:p>
    <w:p>
      <w:pPr>
        <w:pStyle w:val="BodyText"/>
        <w:spacing w:line="276" w:lineRule="auto" w:before="69"/>
        <w:ind w:left="463" w:right="281"/>
        <w:jc w:val="both"/>
      </w:pPr>
      <w:r>
        <w:rPr/>
        <w:t>without parental consent</w:t>
      </w:r>
      <w:hyperlink w:history="true" w:anchor="_bookmark88">
        <w:r>
          <w:rPr/>
          <w:t>.</w:t>
        </w:r>
        <w:r>
          <w:rPr>
            <w:vertAlign w:val="superscript"/>
          </w:rPr>
          <w:t>51</w:t>
        </w:r>
      </w:hyperlink>
      <w:r>
        <w:rPr>
          <w:vertAlign w:val="baseline"/>
        </w:rPr>
        <w:t> However, this service is not widely advertised, and many youths may not take</w:t>
      </w:r>
      <w:r>
        <w:rPr>
          <w:spacing w:val="-1"/>
          <w:vertAlign w:val="baseline"/>
        </w:rPr>
        <w:t> </w:t>
      </w:r>
      <w:r>
        <w:rPr>
          <w:vertAlign w:val="baseline"/>
        </w:rPr>
        <w:t>advantage</w:t>
      </w:r>
      <w:r>
        <w:rPr>
          <w:spacing w:val="-1"/>
          <w:vertAlign w:val="baseline"/>
        </w:rPr>
        <w:t> </w:t>
      </w:r>
      <w:r>
        <w:rPr>
          <w:vertAlign w:val="baseline"/>
        </w:rPr>
        <w:t>of this important</w:t>
      </w:r>
      <w:r>
        <w:rPr>
          <w:spacing w:val="-1"/>
          <w:vertAlign w:val="baseline"/>
        </w:rPr>
        <w:t> </w:t>
      </w:r>
      <w:r>
        <w:rPr>
          <w:vertAlign w:val="baseline"/>
        </w:rPr>
        <w:t>service.</w:t>
      </w:r>
      <w:r>
        <w:rPr>
          <w:spacing w:val="-1"/>
          <w:vertAlign w:val="baseline"/>
        </w:rPr>
        <w:t> </w:t>
      </w:r>
      <w:r>
        <w:rPr>
          <w:vertAlign w:val="baseline"/>
        </w:rPr>
        <w:t>LGBTQ youth may also avoid</w:t>
      </w:r>
      <w:r>
        <w:rPr>
          <w:spacing w:val="-1"/>
          <w:vertAlign w:val="baseline"/>
        </w:rPr>
        <w:t> </w:t>
      </w:r>
      <w:r>
        <w:rPr>
          <w:vertAlign w:val="baseline"/>
        </w:rPr>
        <w:t>seeking testing or treatment</w:t>
      </w:r>
      <w:r>
        <w:rPr>
          <w:spacing w:val="-1"/>
          <w:vertAlign w:val="baseline"/>
        </w:rPr>
        <w:t> </w:t>
      </w:r>
      <w:r>
        <w:rPr>
          <w:vertAlign w:val="baseline"/>
        </w:rPr>
        <w:t>due to prior negative experiences with a healthcare provider</w:t>
      </w:r>
      <w:hyperlink w:history="true" w:anchor="_bookmark89">
        <w:r>
          <w:rPr>
            <w:vertAlign w:val="baseline"/>
          </w:rPr>
          <w:t>.</w:t>
        </w:r>
        <w:r>
          <w:rPr>
            <w:vertAlign w:val="superscript"/>
          </w:rPr>
          <w:t>52</w:t>
        </w:r>
      </w:hyperlink>
      <w:r>
        <w:rPr>
          <w:vertAlign w:val="baseline"/>
        </w:rPr>
        <w:t> If healthcare providers are unwilling to acknowledge the identities of their LGBTQ patients or simply make assumptions about the kinds of sex their LGBTQ patients are having, LGBTQ youths are unlikely to feel comfortable discussing STI risk reduction</w:t>
      </w:r>
      <w:r>
        <w:rPr>
          <w:spacing w:val="-13"/>
          <w:vertAlign w:val="baseline"/>
        </w:rPr>
        <w:t> </w:t>
      </w:r>
      <w:r>
        <w:rPr>
          <w:vertAlign w:val="baseline"/>
        </w:rPr>
        <w:t>and</w:t>
      </w:r>
      <w:r>
        <w:rPr>
          <w:spacing w:val="-12"/>
          <w:vertAlign w:val="baseline"/>
        </w:rPr>
        <w:t> </w:t>
      </w:r>
      <w:r>
        <w:rPr>
          <w:vertAlign w:val="baseline"/>
        </w:rPr>
        <w:t>testing</w:t>
      </w:r>
      <w:r>
        <w:rPr>
          <w:spacing w:val="-13"/>
          <w:vertAlign w:val="baseline"/>
        </w:rPr>
        <w:t> </w:t>
      </w:r>
      <w:r>
        <w:rPr>
          <w:vertAlign w:val="baseline"/>
        </w:rPr>
        <w:t>options.</w:t>
      </w:r>
      <w:r>
        <w:rPr>
          <w:spacing w:val="-12"/>
          <w:vertAlign w:val="baseline"/>
        </w:rPr>
        <w:t> </w:t>
      </w:r>
      <w:hyperlink w:history="true" w:anchor="_bookmark89">
        <w:r>
          <w:rPr>
            <w:vertAlign w:val="superscript"/>
          </w:rPr>
          <w:t>53</w:t>
        </w:r>
      </w:hyperlink>
      <w:r>
        <w:rPr>
          <w:spacing w:val="-13"/>
          <w:vertAlign w:val="baseline"/>
        </w:rPr>
        <w:t> </w:t>
      </w:r>
      <w:r>
        <w:rPr>
          <w:vertAlign w:val="baseline"/>
        </w:rPr>
        <w:t>One</w:t>
      </w:r>
      <w:r>
        <w:rPr>
          <w:spacing w:val="-12"/>
          <w:vertAlign w:val="baseline"/>
        </w:rPr>
        <w:t> </w:t>
      </w:r>
      <w:r>
        <w:rPr>
          <w:vertAlign w:val="baseline"/>
        </w:rPr>
        <w:t>possible</w:t>
      </w:r>
      <w:r>
        <w:rPr>
          <w:spacing w:val="-13"/>
          <w:vertAlign w:val="baseline"/>
        </w:rPr>
        <w:t> </w:t>
      </w:r>
      <w:r>
        <w:rPr>
          <w:vertAlign w:val="baseline"/>
        </w:rPr>
        <w:t>solution</w:t>
      </w:r>
      <w:r>
        <w:rPr>
          <w:spacing w:val="-12"/>
          <w:vertAlign w:val="baseline"/>
        </w:rPr>
        <w:t> </w:t>
      </w:r>
      <w:r>
        <w:rPr>
          <w:vertAlign w:val="baseline"/>
        </w:rPr>
        <w:t>to</w:t>
      </w:r>
      <w:r>
        <w:rPr>
          <w:spacing w:val="-12"/>
          <w:vertAlign w:val="baseline"/>
        </w:rPr>
        <w:t> </w:t>
      </w:r>
      <w:r>
        <w:rPr>
          <w:vertAlign w:val="baseline"/>
        </w:rPr>
        <w:t>this</w:t>
      </w:r>
      <w:r>
        <w:rPr>
          <w:spacing w:val="-13"/>
          <w:vertAlign w:val="baseline"/>
        </w:rPr>
        <w:t> </w:t>
      </w:r>
      <w:r>
        <w:rPr>
          <w:vertAlign w:val="baseline"/>
        </w:rPr>
        <w:t>is</w:t>
      </w:r>
      <w:r>
        <w:rPr>
          <w:spacing w:val="-12"/>
          <w:vertAlign w:val="baseline"/>
        </w:rPr>
        <w:t> </w:t>
      </w:r>
      <w:r>
        <w:rPr>
          <w:vertAlign w:val="baseline"/>
        </w:rPr>
        <w:t>offering</w:t>
      </w:r>
      <w:r>
        <w:rPr>
          <w:spacing w:val="-13"/>
          <w:vertAlign w:val="baseline"/>
        </w:rPr>
        <w:t> </w:t>
      </w:r>
      <w:r>
        <w:rPr>
          <w:vertAlign w:val="baseline"/>
        </w:rPr>
        <w:t>STI</w:t>
      </w:r>
      <w:r>
        <w:rPr>
          <w:spacing w:val="-12"/>
          <w:vertAlign w:val="baseline"/>
        </w:rPr>
        <w:t> </w:t>
      </w:r>
      <w:r>
        <w:rPr>
          <w:vertAlign w:val="baseline"/>
        </w:rPr>
        <w:t>testing</w:t>
      </w:r>
      <w:r>
        <w:rPr>
          <w:spacing w:val="-13"/>
          <w:vertAlign w:val="baseline"/>
        </w:rPr>
        <w:t> </w:t>
      </w:r>
      <w:r>
        <w:rPr>
          <w:vertAlign w:val="baseline"/>
        </w:rPr>
        <w:t>outside</w:t>
      </w:r>
      <w:r>
        <w:rPr>
          <w:spacing w:val="-12"/>
          <w:vertAlign w:val="baseline"/>
        </w:rPr>
        <w:t> </w:t>
      </w:r>
      <w:r>
        <w:rPr>
          <w:vertAlign w:val="baseline"/>
        </w:rPr>
        <w:t>of</w:t>
      </w:r>
      <w:r>
        <w:rPr>
          <w:spacing w:val="-12"/>
          <w:vertAlign w:val="baseline"/>
        </w:rPr>
        <w:t> </w:t>
      </w:r>
      <w:r>
        <w:rPr>
          <w:vertAlign w:val="baseline"/>
        </w:rPr>
        <w:t>a</w:t>
      </w:r>
      <w:r>
        <w:rPr>
          <w:spacing w:val="-13"/>
          <w:vertAlign w:val="baseline"/>
        </w:rPr>
        <w:t> </w:t>
      </w:r>
      <w:r>
        <w:rPr>
          <w:vertAlign w:val="baseline"/>
        </w:rPr>
        <w:t>traditional healthcare setting, such as through mobile testing vans, community-based testing sites, or mobile technologies and telehealth.</w:t>
      </w:r>
      <w:hyperlink w:history="true" w:anchor="_bookmark89">
        <w:r>
          <w:rPr>
            <w:vertAlign w:val="superscript"/>
          </w:rPr>
          <w:t>54</w:t>
        </w:r>
      </w:hyperlink>
      <w:r>
        <w:rPr>
          <w:vertAlign w:val="baseline"/>
        </w:rPr>
        <w:t> Further ensuring that clinics have youth-focused services and LGBTQ- competent clinicians can increase the likelihood that LGBTQ youth are able to access testing and treatment options on their own terms in a safe space</w:t>
      </w:r>
      <w:hyperlink w:history="true" w:anchor="_bookmark89">
        <w:r>
          <w:rPr>
            <w:vertAlign w:val="baseline"/>
          </w:rPr>
          <w:t>.</w:t>
        </w:r>
        <w:r>
          <w:rPr>
            <w:vertAlign w:val="superscript"/>
          </w:rPr>
          <w:t>55</w:t>
        </w:r>
      </w:hyperlink>
    </w:p>
    <w:p>
      <w:pPr>
        <w:pStyle w:val="BodyText"/>
        <w:spacing w:line="276" w:lineRule="auto" w:before="238"/>
        <w:ind w:left="463" w:right="282"/>
        <w:jc w:val="both"/>
      </w:pPr>
      <w:r>
        <w:rPr/>
        <w:t>Pre-Exposure Prophylaxis (PrEP) is another widely underutilized and highly successful HIV prevention method.</w:t>
      </w:r>
      <w:r>
        <w:rPr>
          <w:spacing w:val="-7"/>
        </w:rPr>
        <w:t> </w:t>
      </w:r>
      <w:r>
        <w:rPr/>
        <w:t>PrEP</w:t>
      </w:r>
      <w:r>
        <w:rPr>
          <w:spacing w:val="-6"/>
        </w:rPr>
        <w:t> </w:t>
      </w:r>
      <w:r>
        <w:rPr/>
        <w:t>is</w:t>
      </w:r>
      <w:r>
        <w:rPr>
          <w:spacing w:val="-6"/>
        </w:rPr>
        <w:t> </w:t>
      </w:r>
      <w:r>
        <w:rPr/>
        <w:t>approved</w:t>
      </w:r>
      <w:r>
        <w:rPr>
          <w:spacing w:val="-7"/>
        </w:rPr>
        <w:t> </w:t>
      </w:r>
      <w:r>
        <w:rPr/>
        <w:t>for</w:t>
      </w:r>
      <w:r>
        <w:rPr>
          <w:spacing w:val="-6"/>
        </w:rPr>
        <w:t> </w:t>
      </w:r>
      <w:r>
        <w:rPr/>
        <w:t>use</w:t>
      </w:r>
      <w:r>
        <w:rPr>
          <w:spacing w:val="-6"/>
        </w:rPr>
        <w:t> </w:t>
      </w:r>
      <w:r>
        <w:rPr/>
        <w:t>by</w:t>
      </w:r>
      <w:r>
        <w:rPr>
          <w:spacing w:val="-5"/>
        </w:rPr>
        <w:t> </w:t>
      </w:r>
      <w:r>
        <w:rPr/>
        <w:t>the</w:t>
      </w:r>
      <w:r>
        <w:rPr>
          <w:spacing w:val="-4"/>
        </w:rPr>
        <w:t> </w:t>
      </w:r>
      <w:r>
        <w:rPr/>
        <w:t>FDA</w:t>
      </w:r>
      <w:r>
        <w:rPr>
          <w:spacing w:val="-6"/>
        </w:rPr>
        <w:t> </w:t>
      </w:r>
      <w:r>
        <w:rPr/>
        <w:t>for</w:t>
      </w:r>
      <w:r>
        <w:rPr>
          <w:spacing w:val="-6"/>
        </w:rPr>
        <w:t> </w:t>
      </w:r>
      <w:r>
        <w:rPr/>
        <w:t>anyone</w:t>
      </w:r>
      <w:r>
        <w:rPr>
          <w:spacing w:val="-7"/>
        </w:rPr>
        <w:t> </w:t>
      </w:r>
      <w:r>
        <w:rPr/>
        <w:t>over</w:t>
      </w:r>
      <w:r>
        <w:rPr>
          <w:spacing w:val="-5"/>
        </w:rPr>
        <w:t> </w:t>
      </w:r>
      <w:r>
        <w:rPr/>
        <w:t>twelve</w:t>
      </w:r>
      <w:r>
        <w:rPr>
          <w:spacing w:val="-7"/>
        </w:rPr>
        <w:t> </w:t>
      </w:r>
      <w:r>
        <w:rPr/>
        <w:t>years</w:t>
      </w:r>
      <w:r>
        <w:rPr>
          <w:spacing w:val="-6"/>
        </w:rPr>
        <w:t> </w:t>
      </w:r>
      <w:r>
        <w:rPr/>
        <w:t>of</w:t>
      </w:r>
      <w:r>
        <w:rPr>
          <w:spacing w:val="-5"/>
        </w:rPr>
        <w:t> </w:t>
      </w:r>
      <w:r>
        <w:rPr/>
        <w:t>age</w:t>
      </w:r>
      <w:r>
        <w:rPr>
          <w:spacing w:val="-5"/>
        </w:rPr>
        <w:t> </w:t>
      </w:r>
      <w:r>
        <w:rPr/>
        <w:t>weighing</w:t>
      </w:r>
      <w:r>
        <w:rPr>
          <w:spacing w:val="-6"/>
        </w:rPr>
        <w:t> </w:t>
      </w:r>
      <w:r>
        <w:rPr/>
        <w:t>77</w:t>
      </w:r>
      <w:r>
        <w:rPr>
          <w:spacing w:val="-4"/>
        </w:rPr>
        <w:t> </w:t>
      </w:r>
      <w:r>
        <w:rPr/>
        <w:t>pounds</w:t>
      </w:r>
      <w:r>
        <w:rPr>
          <w:spacing w:val="-6"/>
        </w:rPr>
        <w:t> </w:t>
      </w:r>
      <w:r>
        <w:rPr/>
        <w:t>or more.</w:t>
      </w:r>
      <w:hyperlink w:history="true" w:anchor="_bookmark89">
        <w:r>
          <w:rPr>
            <w:vertAlign w:val="superscript"/>
          </w:rPr>
          <w:t>56</w:t>
        </w:r>
      </w:hyperlink>
      <w:r>
        <w:rPr>
          <w:spacing w:val="-3"/>
          <w:vertAlign w:val="baseline"/>
        </w:rPr>
        <w:t> </w:t>
      </w:r>
      <w:r>
        <w:rPr>
          <w:vertAlign w:val="baseline"/>
        </w:rPr>
        <w:t>PrEP,</w:t>
      </w:r>
      <w:r>
        <w:rPr>
          <w:spacing w:val="-4"/>
          <w:vertAlign w:val="baseline"/>
        </w:rPr>
        <w:t> </w:t>
      </w:r>
      <w:r>
        <w:rPr>
          <w:vertAlign w:val="baseline"/>
        </w:rPr>
        <w:t>since</w:t>
      </w:r>
      <w:r>
        <w:rPr>
          <w:spacing w:val="-4"/>
          <w:vertAlign w:val="baseline"/>
        </w:rPr>
        <w:t> </w:t>
      </w:r>
      <w:r>
        <w:rPr>
          <w:vertAlign w:val="baseline"/>
        </w:rPr>
        <w:t>it</w:t>
      </w:r>
      <w:r>
        <w:rPr>
          <w:spacing w:val="-3"/>
          <w:vertAlign w:val="baseline"/>
        </w:rPr>
        <w:t> </w:t>
      </w:r>
      <w:r>
        <w:rPr>
          <w:vertAlign w:val="baseline"/>
        </w:rPr>
        <w:t>must</w:t>
      </w:r>
      <w:r>
        <w:rPr>
          <w:spacing w:val="-2"/>
          <w:vertAlign w:val="baseline"/>
        </w:rPr>
        <w:t> </w:t>
      </w:r>
      <w:r>
        <w:rPr>
          <w:vertAlign w:val="baseline"/>
        </w:rPr>
        <w:t>be</w:t>
      </w:r>
      <w:r>
        <w:rPr>
          <w:spacing w:val="-3"/>
          <w:vertAlign w:val="baseline"/>
        </w:rPr>
        <w:t> </w:t>
      </w:r>
      <w:r>
        <w:rPr>
          <w:vertAlign w:val="baseline"/>
        </w:rPr>
        <w:t>prescribed</w:t>
      </w:r>
      <w:r>
        <w:rPr>
          <w:spacing w:val="-3"/>
          <w:vertAlign w:val="baseline"/>
        </w:rPr>
        <w:t> </w:t>
      </w:r>
      <w:r>
        <w:rPr>
          <w:vertAlign w:val="baseline"/>
        </w:rPr>
        <w:t>by</w:t>
      </w:r>
      <w:r>
        <w:rPr>
          <w:spacing w:val="-3"/>
          <w:vertAlign w:val="baseline"/>
        </w:rPr>
        <w:t> </w:t>
      </w:r>
      <w:r>
        <w:rPr>
          <w:vertAlign w:val="baseline"/>
        </w:rPr>
        <w:t>a</w:t>
      </w:r>
      <w:r>
        <w:rPr>
          <w:spacing w:val="-3"/>
          <w:vertAlign w:val="baseline"/>
        </w:rPr>
        <w:t> </w:t>
      </w:r>
      <w:r>
        <w:rPr>
          <w:vertAlign w:val="baseline"/>
        </w:rPr>
        <w:t>health</w:t>
      </w:r>
      <w:r>
        <w:rPr>
          <w:spacing w:val="-2"/>
          <w:vertAlign w:val="baseline"/>
        </w:rPr>
        <w:t> </w:t>
      </w:r>
      <w:r>
        <w:rPr>
          <w:vertAlign w:val="baseline"/>
        </w:rPr>
        <w:t>care</w:t>
      </w:r>
      <w:r>
        <w:rPr>
          <w:spacing w:val="-4"/>
          <w:vertAlign w:val="baseline"/>
        </w:rPr>
        <w:t> </w:t>
      </w:r>
      <w:r>
        <w:rPr>
          <w:vertAlign w:val="baseline"/>
        </w:rPr>
        <w:t>provider,</w:t>
      </w:r>
      <w:r>
        <w:rPr>
          <w:spacing w:val="-3"/>
          <w:vertAlign w:val="baseline"/>
        </w:rPr>
        <w:t> </w:t>
      </w:r>
      <w:r>
        <w:rPr>
          <w:vertAlign w:val="baseline"/>
        </w:rPr>
        <w:t>can</w:t>
      </w:r>
      <w:r>
        <w:rPr>
          <w:spacing w:val="-3"/>
          <w:vertAlign w:val="baseline"/>
        </w:rPr>
        <w:t> </w:t>
      </w:r>
      <w:r>
        <w:rPr>
          <w:vertAlign w:val="baseline"/>
        </w:rPr>
        <w:t>be</w:t>
      </w:r>
      <w:r>
        <w:rPr>
          <w:spacing w:val="-3"/>
          <w:vertAlign w:val="baseline"/>
        </w:rPr>
        <w:t> </w:t>
      </w:r>
      <w:r>
        <w:rPr>
          <w:vertAlign w:val="baseline"/>
        </w:rPr>
        <w:t>particularly</w:t>
      </w:r>
      <w:r>
        <w:rPr>
          <w:spacing w:val="-4"/>
          <w:vertAlign w:val="baseline"/>
        </w:rPr>
        <w:t> </w:t>
      </w:r>
      <w:r>
        <w:rPr>
          <w:vertAlign w:val="baseline"/>
        </w:rPr>
        <w:t>difficult</w:t>
      </w:r>
      <w:r>
        <w:rPr>
          <w:spacing w:val="-5"/>
          <w:vertAlign w:val="baseline"/>
        </w:rPr>
        <w:t> </w:t>
      </w:r>
      <w:r>
        <w:rPr>
          <w:vertAlign w:val="baseline"/>
        </w:rPr>
        <w:t>for</w:t>
      </w:r>
      <w:r>
        <w:rPr>
          <w:spacing w:val="-4"/>
          <w:vertAlign w:val="baseline"/>
        </w:rPr>
        <w:t> </w:t>
      </w:r>
      <w:r>
        <w:rPr>
          <w:vertAlign w:val="baseline"/>
        </w:rPr>
        <w:t>youth to access – although 93% of healthcare providers are aware that PrEP exists, only 64.8% prescribe PrEP to</w:t>
      </w:r>
      <w:r>
        <w:rPr>
          <w:spacing w:val="-13"/>
          <w:vertAlign w:val="baseline"/>
        </w:rPr>
        <w:t> </w:t>
      </w:r>
      <w:r>
        <w:rPr>
          <w:vertAlign w:val="baseline"/>
        </w:rPr>
        <w:t>adolescents</w:t>
      </w:r>
      <w:hyperlink w:history="true" w:anchor="_bookmark89">
        <w:r>
          <w:rPr>
            <w:vertAlign w:val="baseline"/>
          </w:rPr>
          <w:t>.</w:t>
        </w:r>
        <w:r>
          <w:rPr>
            <w:vertAlign w:val="superscript"/>
          </w:rPr>
          <w:t>57</w:t>
        </w:r>
      </w:hyperlink>
      <w:r>
        <w:rPr>
          <w:spacing w:val="-12"/>
          <w:vertAlign w:val="baseline"/>
        </w:rPr>
        <w:t> </w:t>
      </w:r>
      <w:r>
        <w:rPr>
          <w:vertAlign w:val="baseline"/>
        </w:rPr>
        <w:t>Additionally,</w:t>
      </w:r>
      <w:r>
        <w:rPr>
          <w:spacing w:val="-13"/>
          <w:vertAlign w:val="baseline"/>
        </w:rPr>
        <w:t> </w:t>
      </w:r>
      <w:r>
        <w:rPr>
          <w:vertAlign w:val="baseline"/>
        </w:rPr>
        <w:t>although</w:t>
      </w:r>
      <w:r>
        <w:rPr>
          <w:spacing w:val="-12"/>
          <w:vertAlign w:val="baseline"/>
        </w:rPr>
        <w:t> </w:t>
      </w:r>
      <w:r>
        <w:rPr>
          <w:vertAlign w:val="baseline"/>
        </w:rPr>
        <w:t>the</w:t>
      </w:r>
      <w:r>
        <w:rPr>
          <w:spacing w:val="-13"/>
          <w:vertAlign w:val="baseline"/>
        </w:rPr>
        <w:t> </w:t>
      </w:r>
      <w:r>
        <w:rPr>
          <w:vertAlign w:val="baseline"/>
        </w:rPr>
        <w:t>rates</w:t>
      </w:r>
      <w:r>
        <w:rPr>
          <w:spacing w:val="-12"/>
          <w:vertAlign w:val="baseline"/>
        </w:rPr>
        <w:t> </w:t>
      </w:r>
      <w:r>
        <w:rPr>
          <w:vertAlign w:val="baseline"/>
        </w:rPr>
        <w:t>of</w:t>
      </w:r>
      <w:r>
        <w:rPr>
          <w:spacing w:val="-13"/>
          <w:vertAlign w:val="baseline"/>
        </w:rPr>
        <w:t> </w:t>
      </w:r>
      <w:r>
        <w:rPr>
          <w:vertAlign w:val="baseline"/>
        </w:rPr>
        <w:t>PrEP</w:t>
      </w:r>
      <w:r>
        <w:rPr>
          <w:spacing w:val="-12"/>
          <w:vertAlign w:val="baseline"/>
        </w:rPr>
        <w:t> </w:t>
      </w:r>
      <w:r>
        <w:rPr>
          <w:vertAlign w:val="baseline"/>
        </w:rPr>
        <w:t>use</w:t>
      </w:r>
      <w:r>
        <w:rPr>
          <w:spacing w:val="-12"/>
          <w:vertAlign w:val="baseline"/>
        </w:rPr>
        <w:t> </w:t>
      </w:r>
      <w:r>
        <w:rPr>
          <w:vertAlign w:val="baseline"/>
        </w:rPr>
        <w:t>have</w:t>
      </w:r>
      <w:r>
        <w:rPr>
          <w:spacing w:val="-13"/>
          <w:vertAlign w:val="baseline"/>
        </w:rPr>
        <w:t> </w:t>
      </w:r>
      <w:r>
        <w:rPr>
          <w:vertAlign w:val="baseline"/>
        </w:rPr>
        <w:t>not</w:t>
      </w:r>
      <w:r>
        <w:rPr>
          <w:spacing w:val="-12"/>
          <w:vertAlign w:val="baseline"/>
        </w:rPr>
        <w:t> </w:t>
      </w:r>
      <w:r>
        <w:rPr>
          <w:vertAlign w:val="baseline"/>
        </w:rPr>
        <w:t>been</w:t>
      </w:r>
      <w:r>
        <w:rPr>
          <w:spacing w:val="-13"/>
          <w:vertAlign w:val="baseline"/>
        </w:rPr>
        <w:t> </w:t>
      </w:r>
      <w:r>
        <w:rPr>
          <w:vertAlign w:val="baseline"/>
        </w:rPr>
        <w:t>studied</w:t>
      </w:r>
      <w:r>
        <w:rPr>
          <w:spacing w:val="-12"/>
          <w:vertAlign w:val="baseline"/>
        </w:rPr>
        <w:t> </w:t>
      </w:r>
      <w:r>
        <w:rPr>
          <w:vertAlign w:val="baseline"/>
        </w:rPr>
        <w:t>specifically</w:t>
      </w:r>
      <w:r>
        <w:rPr>
          <w:spacing w:val="-13"/>
          <w:vertAlign w:val="baseline"/>
        </w:rPr>
        <w:t> </w:t>
      </w:r>
      <w:r>
        <w:rPr>
          <w:vertAlign w:val="baseline"/>
        </w:rPr>
        <w:t>for</w:t>
      </w:r>
      <w:r>
        <w:rPr>
          <w:spacing w:val="-12"/>
          <w:vertAlign w:val="baseline"/>
        </w:rPr>
        <w:t> </w:t>
      </w:r>
      <w:r>
        <w:rPr>
          <w:vertAlign w:val="baseline"/>
        </w:rPr>
        <w:t>LGBTQ youth, studies of the general LGBTQ population indicate that PrEP use is lowest among Black, Hispanic/Latinx, and Asian individuals and cisgender women. </w:t>
      </w:r>
      <w:hyperlink w:history="true" w:anchor="_bookmark89">
        <w:r>
          <w:rPr>
            <w:vertAlign w:val="superscript"/>
          </w:rPr>
          <w:t>58</w:t>
        </w:r>
      </w:hyperlink>
      <w:r>
        <w:rPr>
          <w:vertAlign w:val="baseline"/>
        </w:rPr>
        <w:t> Stigma and discrimination may prevent LGBTQ youth from accessing PrEP or continuing PrEP once they have started a regimen</w:t>
      </w:r>
      <w:hyperlink w:history="true" w:anchor="_bookmark89">
        <w:r>
          <w:rPr>
            <w:vertAlign w:val="baseline"/>
          </w:rPr>
          <w:t>.</w:t>
        </w:r>
        <w:r>
          <w:rPr>
            <w:vertAlign w:val="superscript"/>
          </w:rPr>
          <w:t>59</w:t>
        </w:r>
      </w:hyperlink>
      <w:r>
        <w:rPr>
          <w:vertAlign w:val="baseline"/>
        </w:rPr>
        <w:t> LGBTQ youth of</w:t>
      </w:r>
      <w:r>
        <w:rPr>
          <w:spacing w:val="-6"/>
          <w:vertAlign w:val="baseline"/>
        </w:rPr>
        <w:t> </w:t>
      </w:r>
      <w:r>
        <w:rPr>
          <w:vertAlign w:val="baseline"/>
        </w:rPr>
        <w:t>color</w:t>
      </w:r>
      <w:r>
        <w:rPr>
          <w:spacing w:val="-6"/>
          <w:vertAlign w:val="baseline"/>
        </w:rPr>
        <w:t> </w:t>
      </w:r>
      <w:r>
        <w:rPr>
          <w:vertAlign w:val="baseline"/>
        </w:rPr>
        <w:t>may</w:t>
      </w:r>
      <w:r>
        <w:rPr>
          <w:spacing w:val="-6"/>
          <w:vertAlign w:val="baseline"/>
        </w:rPr>
        <w:t> </w:t>
      </w:r>
      <w:r>
        <w:rPr>
          <w:vertAlign w:val="baseline"/>
        </w:rPr>
        <w:t>face</w:t>
      </w:r>
      <w:r>
        <w:rPr>
          <w:spacing w:val="-7"/>
          <w:vertAlign w:val="baseline"/>
        </w:rPr>
        <w:t> </w:t>
      </w:r>
      <w:r>
        <w:rPr>
          <w:vertAlign w:val="baseline"/>
        </w:rPr>
        <w:t>additional</w:t>
      </w:r>
      <w:r>
        <w:rPr>
          <w:spacing w:val="-7"/>
          <w:vertAlign w:val="baseline"/>
        </w:rPr>
        <w:t> </w:t>
      </w:r>
      <w:r>
        <w:rPr>
          <w:vertAlign w:val="baseline"/>
        </w:rPr>
        <w:t>medical</w:t>
      </w:r>
      <w:r>
        <w:rPr>
          <w:spacing w:val="-7"/>
          <w:vertAlign w:val="baseline"/>
        </w:rPr>
        <w:t> </w:t>
      </w:r>
      <w:r>
        <w:rPr>
          <w:vertAlign w:val="baseline"/>
        </w:rPr>
        <w:t>discrimination</w:t>
      </w:r>
      <w:r>
        <w:rPr>
          <w:spacing w:val="-7"/>
          <w:vertAlign w:val="baseline"/>
        </w:rPr>
        <w:t> </w:t>
      </w:r>
      <w:r>
        <w:rPr>
          <w:vertAlign w:val="baseline"/>
        </w:rPr>
        <w:t>due</w:t>
      </w:r>
      <w:r>
        <w:rPr>
          <w:spacing w:val="-7"/>
          <w:vertAlign w:val="baseline"/>
        </w:rPr>
        <w:t> </w:t>
      </w:r>
      <w:r>
        <w:rPr>
          <w:vertAlign w:val="baseline"/>
        </w:rPr>
        <w:t>to</w:t>
      </w:r>
      <w:r>
        <w:rPr>
          <w:spacing w:val="-6"/>
          <w:vertAlign w:val="baseline"/>
        </w:rPr>
        <w:t> </w:t>
      </w:r>
      <w:r>
        <w:rPr>
          <w:vertAlign w:val="baseline"/>
        </w:rPr>
        <w:t>their</w:t>
      </w:r>
      <w:r>
        <w:rPr>
          <w:spacing w:val="-6"/>
          <w:vertAlign w:val="baseline"/>
        </w:rPr>
        <w:t> </w:t>
      </w:r>
      <w:r>
        <w:rPr>
          <w:vertAlign w:val="baseline"/>
        </w:rPr>
        <w:t>race</w:t>
      </w:r>
      <w:r>
        <w:rPr>
          <w:spacing w:val="-7"/>
          <w:vertAlign w:val="baseline"/>
        </w:rPr>
        <w:t> </w:t>
      </w:r>
      <w:r>
        <w:rPr>
          <w:vertAlign w:val="baseline"/>
        </w:rPr>
        <w:t>or</w:t>
      </w:r>
      <w:r>
        <w:rPr>
          <w:spacing w:val="-6"/>
          <w:vertAlign w:val="baseline"/>
        </w:rPr>
        <w:t> </w:t>
      </w:r>
      <w:r>
        <w:rPr>
          <w:vertAlign w:val="baseline"/>
        </w:rPr>
        <w:t>ethnicity,</w:t>
      </w:r>
      <w:r>
        <w:rPr>
          <w:spacing w:val="-6"/>
          <w:vertAlign w:val="baseline"/>
        </w:rPr>
        <w:t> </w:t>
      </w:r>
      <w:r>
        <w:rPr>
          <w:vertAlign w:val="baseline"/>
        </w:rPr>
        <w:t>and</w:t>
      </w:r>
      <w:r>
        <w:rPr>
          <w:spacing w:val="-7"/>
          <w:vertAlign w:val="baseline"/>
        </w:rPr>
        <w:t> </w:t>
      </w:r>
      <w:r>
        <w:rPr>
          <w:vertAlign w:val="baseline"/>
        </w:rPr>
        <w:t>a</w:t>
      </w:r>
      <w:r>
        <w:rPr>
          <w:spacing w:val="-6"/>
          <w:vertAlign w:val="baseline"/>
        </w:rPr>
        <w:t> </w:t>
      </w:r>
      <w:r>
        <w:rPr>
          <w:vertAlign w:val="baseline"/>
        </w:rPr>
        <w:t>lack</w:t>
      </w:r>
      <w:r>
        <w:rPr>
          <w:spacing w:val="-7"/>
          <w:vertAlign w:val="baseline"/>
        </w:rPr>
        <w:t> </w:t>
      </w:r>
      <w:r>
        <w:rPr>
          <w:vertAlign w:val="baseline"/>
        </w:rPr>
        <w:t>of</w:t>
      </w:r>
      <w:r>
        <w:rPr>
          <w:spacing w:val="-6"/>
          <w:vertAlign w:val="baseline"/>
        </w:rPr>
        <w:t> </w:t>
      </w:r>
      <w:r>
        <w:rPr>
          <w:vertAlign w:val="baseline"/>
        </w:rPr>
        <w:t>culturally- relevant</w:t>
      </w:r>
      <w:r>
        <w:rPr>
          <w:spacing w:val="-1"/>
          <w:vertAlign w:val="baseline"/>
        </w:rPr>
        <w:t> </w:t>
      </w:r>
      <w:r>
        <w:rPr>
          <w:vertAlign w:val="baseline"/>
        </w:rPr>
        <w:t>materials about</w:t>
      </w:r>
      <w:r>
        <w:rPr>
          <w:spacing w:val="-1"/>
          <w:vertAlign w:val="baseline"/>
        </w:rPr>
        <w:t> </w:t>
      </w:r>
      <w:r>
        <w:rPr>
          <w:vertAlign w:val="baseline"/>
        </w:rPr>
        <w:t>PrEP may increase</w:t>
      </w:r>
      <w:r>
        <w:rPr>
          <w:spacing w:val="-1"/>
          <w:vertAlign w:val="baseline"/>
        </w:rPr>
        <w:t> </w:t>
      </w:r>
      <w:r>
        <w:rPr>
          <w:vertAlign w:val="baseline"/>
        </w:rPr>
        <w:t>mistrust</w:t>
      </w:r>
      <w:r>
        <w:rPr>
          <w:spacing w:val="-1"/>
          <w:vertAlign w:val="baseline"/>
        </w:rPr>
        <w:t> </w:t>
      </w:r>
      <w:r>
        <w:rPr>
          <w:vertAlign w:val="baseline"/>
        </w:rPr>
        <w:t>in</w:t>
      </w:r>
      <w:r>
        <w:rPr>
          <w:spacing w:val="-1"/>
          <w:vertAlign w:val="baseline"/>
        </w:rPr>
        <w:t> </w:t>
      </w:r>
      <w:r>
        <w:rPr>
          <w:vertAlign w:val="baseline"/>
        </w:rPr>
        <w:t>the drug. </w:t>
      </w:r>
      <w:hyperlink w:history="true" w:anchor="_bookmark89">
        <w:r>
          <w:rPr>
            <w:vertAlign w:val="superscript"/>
          </w:rPr>
          <w:t>60</w:t>
        </w:r>
      </w:hyperlink>
      <w:r>
        <w:rPr>
          <w:vertAlign w:val="baseline"/>
        </w:rPr>
        <w:t> </w:t>
      </w:r>
      <w:r>
        <w:rPr>
          <w:vertAlign w:val="superscript"/>
        </w:rPr>
        <w:t>,</w:t>
      </w:r>
      <w:r>
        <w:rPr>
          <w:spacing w:val="-1"/>
          <w:vertAlign w:val="baseline"/>
        </w:rPr>
        <w:t> </w:t>
      </w:r>
      <w:hyperlink w:history="true" w:anchor="_bookmark90">
        <w:r>
          <w:rPr>
            <w:vertAlign w:val="superscript"/>
          </w:rPr>
          <w:t>61</w:t>
        </w:r>
      </w:hyperlink>
      <w:r>
        <w:rPr>
          <w:spacing w:val="-1"/>
          <w:vertAlign w:val="baseline"/>
        </w:rPr>
        <w:t> </w:t>
      </w:r>
      <w:r>
        <w:rPr>
          <w:vertAlign w:val="baseline"/>
        </w:rPr>
        <w:t>Digital, peer-led</w:t>
      </w:r>
      <w:r>
        <w:rPr>
          <w:spacing w:val="-1"/>
          <w:vertAlign w:val="baseline"/>
        </w:rPr>
        <w:t> </w:t>
      </w:r>
      <w:r>
        <w:rPr>
          <w:vertAlign w:val="baseline"/>
        </w:rPr>
        <w:t>interventions via social media platforms have proven successful in increasing PrEP use, positive attitudes towards using PrEP, and adherence to a PrEP regimen</w:t>
      </w:r>
      <w:hyperlink w:history="true" w:anchor="_bookmark90">
        <w:r>
          <w:rPr>
            <w:vertAlign w:val="baseline"/>
          </w:rPr>
          <w:t>.</w:t>
        </w:r>
        <w:r>
          <w:rPr>
            <w:vertAlign w:val="superscript"/>
          </w:rPr>
          <w:t>62</w:t>
        </w:r>
      </w:hyperlink>
      <w:r>
        <w:rPr>
          <w:vertAlign w:val="baseline"/>
        </w:rPr>
        <w:t> Digital interventions are additionally helpful for advertising locations to acquire PrEP, particularly community-based locations</w:t>
      </w:r>
      <w:hyperlink w:history="true" w:anchor="_bookmark90">
        <w:r>
          <w:rPr>
            <w:vertAlign w:val="baseline"/>
          </w:rPr>
          <w:t>.</w:t>
        </w:r>
        <w:r>
          <w:rPr>
            <w:vertAlign w:val="superscript"/>
          </w:rPr>
          <w:t>63</w:t>
        </w:r>
      </w:hyperlink>
    </w:p>
    <w:p>
      <w:pPr>
        <w:pStyle w:val="BodyText"/>
        <w:spacing w:line="276" w:lineRule="auto" w:before="242"/>
        <w:ind w:left="463" w:right="280"/>
        <w:jc w:val="both"/>
      </w:pPr>
      <w:r>
        <w:rPr/>
        <w:t>It is equally important that any PrEP materials should be culturally relevant, community-created, avoid stigmatizing</w:t>
      </w:r>
      <w:r>
        <w:rPr>
          <w:spacing w:val="-1"/>
        </w:rPr>
        <w:t> </w:t>
      </w:r>
      <w:r>
        <w:rPr/>
        <w:t>language,</w:t>
      </w:r>
      <w:r>
        <w:rPr>
          <w:spacing w:val="-1"/>
        </w:rPr>
        <w:t> </w:t>
      </w:r>
      <w:r>
        <w:rPr/>
        <w:t>and</w:t>
      </w:r>
      <w:r>
        <w:rPr>
          <w:spacing w:val="-1"/>
        </w:rPr>
        <w:t> </w:t>
      </w:r>
      <w:r>
        <w:rPr/>
        <w:t>include</w:t>
      </w:r>
      <w:r>
        <w:rPr>
          <w:spacing w:val="-2"/>
        </w:rPr>
        <w:t> </w:t>
      </w:r>
      <w:r>
        <w:rPr/>
        <w:t>identity-labels</w:t>
      </w:r>
      <w:r>
        <w:rPr>
          <w:spacing w:val="-1"/>
        </w:rPr>
        <w:t> </w:t>
      </w:r>
      <w:r>
        <w:rPr/>
        <w:t>that</w:t>
      </w:r>
      <w:r>
        <w:rPr>
          <w:spacing w:val="-2"/>
        </w:rPr>
        <w:t> </w:t>
      </w:r>
      <w:r>
        <w:rPr/>
        <w:t>are</w:t>
      </w:r>
      <w:r>
        <w:rPr>
          <w:spacing w:val="-2"/>
        </w:rPr>
        <w:t> </w:t>
      </w:r>
      <w:r>
        <w:rPr/>
        <w:t>commonly</w:t>
      </w:r>
      <w:r>
        <w:rPr>
          <w:spacing w:val="-1"/>
        </w:rPr>
        <w:t> </w:t>
      </w:r>
      <w:r>
        <w:rPr/>
        <w:t>used</w:t>
      </w:r>
      <w:r>
        <w:rPr>
          <w:spacing w:val="-1"/>
        </w:rPr>
        <w:t> </w:t>
      </w:r>
      <w:r>
        <w:rPr/>
        <w:t>by</w:t>
      </w:r>
      <w:r>
        <w:rPr>
          <w:spacing w:val="-1"/>
        </w:rPr>
        <w:t> </w:t>
      </w:r>
      <w:r>
        <w:rPr/>
        <w:t>the</w:t>
      </w:r>
      <w:r>
        <w:rPr>
          <w:spacing w:val="-2"/>
        </w:rPr>
        <w:t> </w:t>
      </w:r>
      <w:r>
        <w:rPr/>
        <w:t>priority populations</w:t>
      </w:r>
      <w:hyperlink w:history="true" w:anchor="_bookmark90">
        <w:r>
          <w:rPr/>
          <w:t>.</w:t>
        </w:r>
        <w:r>
          <w:rPr>
            <w:vertAlign w:val="superscript"/>
          </w:rPr>
          <w:t>64</w:t>
        </w:r>
      </w:hyperlink>
      <w:r>
        <w:rPr>
          <w:vertAlign w:val="baseline"/>
        </w:rPr>
        <w:t> By using inclusive language and avoiding negative language about PrEP use, LGBTQ youth will be more likely</w:t>
      </w:r>
      <w:r>
        <w:rPr>
          <w:spacing w:val="-1"/>
          <w:vertAlign w:val="baseline"/>
        </w:rPr>
        <w:t> </w:t>
      </w:r>
      <w:r>
        <w:rPr>
          <w:vertAlign w:val="baseline"/>
        </w:rPr>
        <w:t>to seek out</w:t>
      </w:r>
      <w:r>
        <w:rPr>
          <w:spacing w:val="-1"/>
          <w:vertAlign w:val="baseline"/>
        </w:rPr>
        <w:t> </w:t>
      </w:r>
      <w:r>
        <w:rPr>
          <w:vertAlign w:val="baseline"/>
        </w:rPr>
        <w:t>PrEP, adhere</w:t>
      </w:r>
      <w:r>
        <w:rPr>
          <w:spacing w:val="-1"/>
          <w:vertAlign w:val="baseline"/>
        </w:rPr>
        <w:t> </w:t>
      </w:r>
      <w:r>
        <w:rPr>
          <w:vertAlign w:val="baseline"/>
        </w:rPr>
        <w:t>to a PrEP regimen, and discuss PrEP use</w:t>
      </w:r>
      <w:r>
        <w:rPr>
          <w:spacing w:val="-1"/>
          <w:vertAlign w:val="baseline"/>
        </w:rPr>
        <w:t> </w:t>
      </w:r>
      <w:r>
        <w:rPr>
          <w:vertAlign w:val="baseline"/>
        </w:rPr>
        <w:t>positively with</w:t>
      </w:r>
      <w:r>
        <w:rPr>
          <w:spacing w:val="-1"/>
          <w:vertAlign w:val="baseline"/>
        </w:rPr>
        <w:t> </w:t>
      </w:r>
      <w:r>
        <w:rPr>
          <w:vertAlign w:val="baseline"/>
        </w:rPr>
        <w:t>friends and</w:t>
      </w:r>
      <w:r>
        <w:rPr>
          <w:spacing w:val="-1"/>
          <w:vertAlign w:val="baseline"/>
        </w:rPr>
        <w:t> </w:t>
      </w:r>
      <w:r>
        <w:rPr>
          <w:vertAlign w:val="baseline"/>
        </w:rPr>
        <w:t>other LGBTQ youth</w:t>
      </w:r>
      <w:hyperlink w:history="true" w:anchor="_bookmark90">
        <w:r>
          <w:rPr>
            <w:vertAlign w:val="baseline"/>
          </w:rPr>
          <w:t>.</w:t>
        </w:r>
        <w:r>
          <w:rPr>
            <w:vertAlign w:val="superscript"/>
          </w:rPr>
          <w:t>65</w:t>
        </w:r>
      </w:hyperlink>
    </w:p>
    <w:p>
      <w:pPr>
        <w:pStyle w:val="BodyText"/>
      </w:pPr>
    </w:p>
    <w:p>
      <w:pPr>
        <w:pStyle w:val="BodyText"/>
        <w:spacing w:before="87"/>
      </w:pPr>
    </w:p>
    <w:p>
      <w:pPr>
        <w:spacing w:before="0"/>
        <w:ind w:left="463" w:right="0" w:firstLine="0"/>
        <w:jc w:val="both"/>
        <w:rPr>
          <w:sz w:val="28"/>
        </w:rPr>
      </w:pPr>
      <w:bookmarkStart w:name="Bullying and Cyberbullying Interventions" w:id="227"/>
      <w:bookmarkEnd w:id="227"/>
      <w:r>
        <w:rPr/>
      </w:r>
      <w:r>
        <w:rPr>
          <w:color w:val="365F91"/>
          <w:sz w:val="28"/>
        </w:rPr>
        <w:t>Bullying</w:t>
      </w:r>
      <w:r>
        <w:rPr>
          <w:color w:val="365F91"/>
          <w:spacing w:val="-12"/>
          <w:sz w:val="28"/>
        </w:rPr>
        <w:t> </w:t>
      </w:r>
      <w:r>
        <w:rPr>
          <w:color w:val="365F91"/>
          <w:sz w:val="28"/>
        </w:rPr>
        <w:t>and</w:t>
      </w:r>
      <w:r>
        <w:rPr>
          <w:color w:val="365F91"/>
          <w:spacing w:val="-13"/>
          <w:sz w:val="28"/>
        </w:rPr>
        <w:t> </w:t>
      </w:r>
      <w:r>
        <w:rPr>
          <w:color w:val="365F91"/>
          <w:sz w:val="28"/>
        </w:rPr>
        <w:t>Cyberbullying</w:t>
      </w:r>
      <w:r>
        <w:rPr>
          <w:color w:val="365F91"/>
          <w:spacing w:val="-12"/>
          <w:sz w:val="28"/>
        </w:rPr>
        <w:t> </w:t>
      </w:r>
      <w:r>
        <w:rPr>
          <w:color w:val="365F91"/>
          <w:spacing w:val="-2"/>
          <w:sz w:val="28"/>
        </w:rPr>
        <w:t>Interventions</w:t>
      </w:r>
    </w:p>
    <w:p>
      <w:pPr>
        <w:pStyle w:val="BodyText"/>
        <w:spacing w:line="276" w:lineRule="auto" w:before="241"/>
        <w:ind w:left="463" w:right="279"/>
        <w:jc w:val="both"/>
      </w:pPr>
      <w:r>
        <w:rPr/>
        <w:t>Bullying and cyberbullying are another significant issue faced by LGBTQ youth and a major concern for public health practitioners. Like intimate partner violence, bullying and cyberbullying can have severe and lifelong consequences. Bullying can lead to adverse physical, emotional, mental, social, and educational outcomes, as well as increase the likelihood of substance use, suicidal ideation, and experiencing violence later in life</w:t>
      </w:r>
      <w:hyperlink w:history="true" w:anchor="_bookmark90">
        <w:r>
          <w:rPr/>
          <w:t>.</w:t>
        </w:r>
        <w:r>
          <w:rPr>
            <w:vertAlign w:val="superscript"/>
          </w:rPr>
          <w:t>66</w:t>
        </w:r>
      </w:hyperlink>
      <w:r>
        <w:rPr>
          <w:vertAlign w:val="baseline"/>
        </w:rPr>
        <w:t> Bullying can take the form of verbal, physical, or psychological aggression, with an increasing amount of bullying occurring digitally. As further discussed in the education section of this annual report, in Massachusetts, 54% of LGBTQ students have experienced verbal harassment due to their sexuality, 17% have experienced physical harassment, and 8% have experienced physical assault</w:t>
      </w:r>
      <w:hyperlink w:history="true" w:anchor="_bookmark90">
        <w:r>
          <w:rPr>
            <w:vertAlign w:val="baseline"/>
          </w:rPr>
          <w:t>.</w:t>
        </w:r>
        <w:r>
          <w:rPr>
            <w:vertAlign w:val="superscript"/>
          </w:rPr>
          <w:t>67</w:t>
        </w:r>
      </w:hyperlink>
    </w:p>
    <w:p>
      <w:pPr>
        <w:spacing w:after="0" w:line="276" w:lineRule="auto"/>
        <w:jc w:val="both"/>
        <w:sectPr>
          <w:pgSz w:w="11910" w:h="16840"/>
          <w:pgMar w:header="804" w:footer="1230" w:top="1080" w:bottom="1480" w:left="980" w:right="900"/>
        </w:sectPr>
      </w:pPr>
    </w:p>
    <w:p>
      <w:pPr>
        <w:pStyle w:val="BodyText"/>
        <w:spacing w:line="276" w:lineRule="auto" w:before="68"/>
        <w:ind w:left="4776" w:right="281"/>
        <w:jc w:val="both"/>
      </w:pPr>
      <w:r>
        <w:rPr/>
        <w:drawing>
          <wp:anchor distT="0" distB="0" distL="0" distR="0" allowOverlap="1" layoutInCell="1" locked="0" behindDoc="0" simplePos="0" relativeHeight="15752704">
            <wp:simplePos x="0" y="0"/>
            <wp:positionH relativeFrom="page">
              <wp:posOffset>892811</wp:posOffset>
            </wp:positionH>
            <wp:positionV relativeFrom="paragraph">
              <wp:posOffset>204844</wp:posOffset>
            </wp:positionV>
            <wp:extent cx="2640392" cy="2245988"/>
            <wp:effectExtent l="0" t="0" r="0" b="0"/>
            <wp:wrapNone/>
            <wp:docPr id="182" name="Image 182" descr="A pie chart with text and numbers  Description automatically generated "/>
            <wp:cNvGraphicFramePr>
              <a:graphicFrameLocks/>
            </wp:cNvGraphicFramePr>
            <a:graphic>
              <a:graphicData uri="http://schemas.openxmlformats.org/drawingml/2006/picture">
                <pic:pic>
                  <pic:nvPicPr>
                    <pic:cNvPr id="182" name="Image 182" descr="A pie chart with text and numbers  Description automatically generated "/>
                    <pic:cNvPicPr/>
                  </pic:nvPicPr>
                  <pic:blipFill>
                    <a:blip r:embed="rId133" cstate="print"/>
                    <a:stretch>
                      <a:fillRect/>
                    </a:stretch>
                  </pic:blipFill>
                  <pic:spPr>
                    <a:xfrm>
                      <a:off x="0" y="0"/>
                      <a:ext cx="2640392" cy="2245988"/>
                    </a:xfrm>
                    <a:prstGeom prst="rect">
                      <a:avLst/>
                    </a:prstGeom>
                  </pic:spPr>
                </pic:pic>
              </a:graphicData>
            </a:graphic>
          </wp:anchor>
        </w:drawing>
      </w:r>
      <w:r>
        <w:rPr/>
        <w:t>Additionally, 46% of Massachusetts LGBTQ students have experienced verbal harassment due to their gender, with 14% having experienced physical harassment and 7% having experienced physical assault</w:t>
      </w:r>
      <w:hyperlink w:history="true" w:anchor="_bookmark90">
        <w:r>
          <w:rPr/>
          <w:t>;</w:t>
        </w:r>
        <w:r>
          <w:rPr>
            <w:vertAlign w:val="superscript"/>
          </w:rPr>
          <w:t>68</w:t>
        </w:r>
      </w:hyperlink>
      <w:r>
        <w:rPr>
          <w:vertAlign w:val="baseline"/>
        </w:rPr>
        <w:t> 68% of Massachusetts students regularly heard homophobic remarks, and 64% regularly heard negative remarks about transgender people. </w:t>
      </w:r>
      <w:hyperlink w:history="true" w:anchor="_bookmark90">
        <w:r>
          <w:rPr>
            <w:vertAlign w:val="superscript"/>
          </w:rPr>
          <w:t>69</w:t>
        </w:r>
      </w:hyperlink>
      <w:r>
        <w:rPr>
          <w:vertAlign w:val="baseline"/>
        </w:rPr>
        <w:t> Furthermore, 49.5% of students nationally frequently heard negative comments regarding ability, and 32.1% frequently heard racist comments. </w:t>
      </w:r>
      <w:hyperlink w:history="true" w:anchor="_bookmark90">
        <w:r>
          <w:rPr>
            <w:vertAlign w:val="superscript"/>
          </w:rPr>
          <w:t>70</w:t>
        </w:r>
      </w:hyperlink>
    </w:p>
    <w:p>
      <w:pPr>
        <w:pStyle w:val="BodyText"/>
        <w:spacing w:line="276" w:lineRule="auto" w:before="154"/>
        <w:ind w:left="4776" w:right="279"/>
        <w:jc w:val="both"/>
      </w:pPr>
      <w:r>
        <w:rPr/>
        <w:t>When it comes to cyberbullying nationally, in 2021 47.1%</w:t>
      </w:r>
      <w:r>
        <w:rPr>
          <w:spacing w:val="35"/>
        </w:rPr>
        <w:t> </w:t>
      </w:r>
      <w:r>
        <w:rPr/>
        <w:t>of</w:t>
      </w:r>
      <w:r>
        <w:rPr>
          <w:spacing w:val="35"/>
        </w:rPr>
        <w:t> </w:t>
      </w:r>
      <w:r>
        <w:rPr/>
        <w:t>LGBTQ</w:t>
      </w:r>
      <w:r>
        <w:rPr>
          <w:spacing w:val="34"/>
        </w:rPr>
        <w:t> </w:t>
      </w:r>
      <w:r>
        <w:rPr/>
        <w:t>students</w:t>
      </w:r>
      <w:r>
        <w:rPr>
          <w:spacing w:val="35"/>
        </w:rPr>
        <w:t> </w:t>
      </w:r>
      <w:r>
        <w:rPr/>
        <w:t>experienced</w:t>
      </w:r>
      <w:r>
        <w:rPr>
          <w:spacing w:val="34"/>
        </w:rPr>
        <w:t> </w:t>
      </w:r>
      <w:r>
        <w:rPr/>
        <w:t>some</w:t>
      </w:r>
      <w:r>
        <w:rPr>
          <w:spacing w:val="34"/>
        </w:rPr>
        <w:t> </w:t>
      </w:r>
      <w:r>
        <w:rPr/>
        <w:t>form</w:t>
      </w:r>
      <w:r>
        <w:rPr>
          <w:spacing w:val="35"/>
        </w:rPr>
        <w:t> </w:t>
      </w:r>
      <w:r>
        <w:rPr>
          <w:spacing w:val="-5"/>
        </w:rPr>
        <w:t>of</w:t>
      </w:r>
    </w:p>
    <w:p>
      <w:pPr>
        <w:pStyle w:val="BodyText"/>
        <w:spacing w:line="276" w:lineRule="auto"/>
        <w:ind w:left="463" w:right="284"/>
        <w:jc w:val="both"/>
      </w:pPr>
      <w:r>
        <w:rPr/>
        <w:t>online harassment, with 34.6% of these students indicating that the harassment took place via social media direct message (DM), 20.4% indicating that the harassment took place via text, and 19.1% indicating that the harassment took place via a public social media post</w:t>
      </w:r>
      <w:hyperlink w:history="true" w:anchor="_bookmark91">
        <w:r>
          <w:rPr/>
          <w:t>.</w:t>
        </w:r>
        <w:r>
          <w:rPr>
            <w:vertAlign w:val="superscript"/>
          </w:rPr>
          <w:t>71</w:t>
        </w:r>
      </w:hyperlink>
    </w:p>
    <w:p>
      <w:pPr>
        <w:pStyle w:val="BodyText"/>
        <w:spacing w:line="276" w:lineRule="auto" w:before="240"/>
        <w:ind w:left="463" w:right="278"/>
        <w:jc w:val="both"/>
      </w:pPr>
      <w:r>
        <w:rPr/>
        <w:t>Individuals who were out as transgender or perceived as transgender faced significant amounts of mistreatment and harassment. Initial findings from the 2022 </w:t>
      </w:r>
      <w:r>
        <w:rPr>
          <w:color w:val="000000"/>
          <w:highlight w:val="magenta"/>
        </w:rPr>
        <w:t>U.S. Transgender Survey indicates that -</w:t>
      </w:r>
      <w:r>
        <w:rPr>
          <w:color w:val="000000"/>
        </w:rPr>
        <w:t> </w:t>
      </w:r>
      <w:r>
        <w:rPr>
          <w:color w:val="000000"/>
          <w:highlight w:val="magenta"/>
        </w:rPr>
        <w:t>nationally - 60% of 16 and 17 year-olds who were out or perceived as transgender experienced one or</w:t>
      </w:r>
      <w:r>
        <w:rPr>
          <w:color w:val="000000"/>
        </w:rPr>
        <w:t> </w:t>
      </w:r>
      <w:r>
        <w:rPr>
          <w:color w:val="000000"/>
          <w:highlight w:val="magenta"/>
        </w:rPr>
        <w:t>more form of mistreatment or negative experience in their K-12 schools.</w:t>
      </w:r>
      <w:r>
        <w:rPr>
          <w:color w:val="000000"/>
        </w:rPr>
        <w:t> In the 2015 U.S. Transgender Survey: Massachusetts State Report, 73% of respondents experienced verbal, physical, and/or sexual mistreatment or harassment at some point between kindergarten and Grade 12, with 11% of respondents</w:t>
      </w:r>
      <w:r>
        <w:rPr>
          <w:color w:val="000000"/>
          <w:spacing w:val="-10"/>
        </w:rPr>
        <w:t> </w:t>
      </w:r>
      <w:r>
        <w:rPr>
          <w:color w:val="000000"/>
        </w:rPr>
        <w:t>reporting</w:t>
      </w:r>
      <w:r>
        <w:rPr>
          <w:color w:val="000000"/>
          <w:spacing w:val="-10"/>
        </w:rPr>
        <w:t> </w:t>
      </w:r>
      <w:r>
        <w:rPr>
          <w:color w:val="000000"/>
        </w:rPr>
        <w:t>that</w:t>
      </w:r>
      <w:r>
        <w:rPr>
          <w:color w:val="000000"/>
          <w:spacing w:val="-12"/>
        </w:rPr>
        <w:t> </w:t>
      </w:r>
      <w:r>
        <w:rPr>
          <w:color w:val="000000"/>
        </w:rPr>
        <w:t>they</w:t>
      </w:r>
      <w:r>
        <w:rPr>
          <w:color w:val="000000"/>
          <w:spacing w:val="-10"/>
        </w:rPr>
        <w:t> </w:t>
      </w:r>
      <w:r>
        <w:rPr>
          <w:color w:val="000000"/>
        </w:rPr>
        <w:t>had</w:t>
      </w:r>
      <w:r>
        <w:rPr>
          <w:color w:val="000000"/>
          <w:spacing w:val="-12"/>
        </w:rPr>
        <w:t> </w:t>
      </w:r>
      <w:r>
        <w:rPr>
          <w:color w:val="000000"/>
        </w:rPr>
        <w:t>to</w:t>
      </w:r>
      <w:r>
        <w:rPr>
          <w:color w:val="000000"/>
          <w:spacing w:val="-11"/>
        </w:rPr>
        <w:t> </w:t>
      </w:r>
      <w:r>
        <w:rPr>
          <w:color w:val="000000"/>
        </w:rPr>
        <w:t>leave</w:t>
      </w:r>
      <w:r>
        <w:rPr>
          <w:color w:val="000000"/>
          <w:spacing w:val="-12"/>
        </w:rPr>
        <w:t> </w:t>
      </w:r>
      <w:r>
        <w:rPr>
          <w:color w:val="000000"/>
        </w:rPr>
        <w:t>the</w:t>
      </w:r>
      <w:r>
        <w:rPr>
          <w:color w:val="000000"/>
          <w:spacing w:val="-12"/>
        </w:rPr>
        <w:t> </w:t>
      </w:r>
      <w:r>
        <w:rPr>
          <w:color w:val="000000"/>
        </w:rPr>
        <w:t>school</w:t>
      </w:r>
      <w:r>
        <w:rPr>
          <w:color w:val="000000"/>
          <w:spacing w:val="-11"/>
        </w:rPr>
        <w:t> </w:t>
      </w:r>
      <w:r>
        <w:rPr>
          <w:color w:val="000000"/>
        </w:rPr>
        <w:t>due</w:t>
      </w:r>
      <w:r>
        <w:rPr>
          <w:color w:val="000000"/>
          <w:spacing w:val="-12"/>
        </w:rPr>
        <w:t> </w:t>
      </w:r>
      <w:r>
        <w:rPr>
          <w:color w:val="000000"/>
        </w:rPr>
        <w:t>to</w:t>
      </w:r>
      <w:r>
        <w:rPr>
          <w:color w:val="000000"/>
          <w:spacing w:val="-11"/>
        </w:rPr>
        <w:t> </w:t>
      </w:r>
      <w:r>
        <w:rPr>
          <w:color w:val="000000"/>
        </w:rPr>
        <w:t>the</w:t>
      </w:r>
      <w:r>
        <w:rPr>
          <w:color w:val="000000"/>
          <w:spacing w:val="-10"/>
        </w:rPr>
        <w:t> </w:t>
      </w:r>
      <w:r>
        <w:rPr>
          <w:color w:val="000000"/>
        </w:rPr>
        <w:t>severity</w:t>
      </w:r>
      <w:r>
        <w:rPr>
          <w:color w:val="000000"/>
          <w:spacing w:val="-11"/>
        </w:rPr>
        <w:t> </w:t>
      </w:r>
      <w:r>
        <w:rPr>
          <w:color w:val="000000"/>
        </w:rPr>
        <w:t>of</w:t>
      </w:r>
      <w:r>
        <w:rPr>
          <w:color w:val="000000"/>
          <w:spacing w:val="-11"/>
        </w:rPr>
        <w:t> </w:t>
      </w:r>
      <w:r>
        <w:rPr>
          <w:color w:val="000000"/>
        </w:rPr>
        <w:t>the</w:t>
      </w:r>
      <w:r>
        <w:rPr>
          <w:color w:val="000000"/>
          <w:spacing w:val="-12"/>
        </w:rPr>
        <w:t> </w:t>
      </w:r>
      <w:r>
        <w:rPr>
          <w:color w:val="000000"/>
        </w:rPr>
        <w:t>incidents.</w:t>
      </w:r>
      <w:r>
        <w:rPr>
          <w:color w:val="000000"/>
          <w:spacing w:val="-9"/>
        </w:rPr>
        <w:t> </w:t>
      </w:r>
      <w:hyperlink w:history="true" w:anchor="_bookmark91">
        <w:r>
          <w:rPr>
            <w:color w:val="000000"/>
            <w:vertAlign w:val="superscript"/>
          </w:rPr>
          <w:t>72</w:t>
        </w:r>
      </w:hyperlink>
      <w:r>
        <w:rPr>
          <w:color w:val="000000"/>
          <w:spacing w:val="-11"/>
          <w:vertAlign w:val="baseline"/>
        </w:rPr>
        <w:t> </w:t>
      </w:r>
      <w:r>
        <w:rPr>
          <w:color w:val="000000"/>
          <w:vertAlign w:val="baseline"/>
        </w:rPr>
        <w:t>For</w:t>
      </w:r>
      <w:r>
        <w:rPr>
          <w:color w:val="000000"/>
          <w:spacing w:val="-11"/>
          <w:vertAlign w:val="baseline"/>
        </w:rPr>
        <w:t> </w:t>
      </w:r>
      <w:r>
        <w:rPr>
          <w:color w:val="000000"/>
          <w:vertAlign w:val="baseline"/>
        </w:rPr>
        <w:t>slightly older individuals in college or vocational school, around 24% of respondents experienced some kind of verbal,</w:t>
      </w:r>
      <w:r>
        <w:rPr>
          <w:color w:val="000000"/>
          <w:spacing w:val="-3"/>
          <w:vertAlign w:val="baseline"/>
        </w:rPr>
        <w:t> </w:t>
      </w:r>
      <w:r>
        <w:rPr>
          <w:color w:val="000000"/>
          <w:vertAlign w:val="baseline"/>
        </w:rPr>
        <w:t>physical,</w:t>
      </w:r>
      <w:r>
        <w:rPr>
          <w:color w:val="000000"/>
          <w:spacing w:val="-3"/>
          <w:vertAlign w:val="baseline"/>
        </w:rPr>
        <w:t> </w:t>
      </w:r>
      <w:r>
        <w:rPr>
          <w:color w:val="000000"/>
          <w:vertAlign w:val="baseline"/>
        </w:rPr>
        <w:t>or</w:t>
      </w:r>
      <w:r>
        <w:rPr>
          <w:color w:val="000000"/>
          <w:spacing w:val="-3"/>
          <w:vertAlign w:val="baseline"/>
        </w:rPr>
        <w:t> </w:t>
      </w:r>
      <w:r>
        <w:rPr>
          <w:color w:val="000000"/>
          <w:vertAlign w:val="baseline"/>
        </w:rPr>
        <w:t>sexual</w:t>
      </w:r>
      <w:r>
        <w:rPr>
          <w:color w:val="000000"/>
          <w:spacing w:val="-2"/>
          <w:vertAlign w:val="baseline"/>
        </w:rPr>
        <w:t> </w:t>
      </w:r>
      <w:r>
        <w:rPr>
          <w:color w:val="000000"/>
          <w:vertAlign w:val="baseline"/>
        </w:rPr>
        <w:t>harassment</w:t>
      </w:r>
      <w:r>
        <w:rPr>
          <w:color w:val="000000"/>
          <w:spacing w:val="-3"/>
          <w:vertAlign w:val="baseline"/>
        </w:rPr>
        <w:t> </w:t>
      </w:r>
      <w:r>
        <w:rPr>
          <w:color w:val="000000"/>
          <w:vertAlign w:val="baseline"/>
        </w:rPr>
        <w:t>during</w:t>
      </w:r>
      <w:r>
        <w:rPr>
          <w:color w:val="000000"/>
          <w:spacing w:val="-2"/>
          <w:vertAlign w:val="baseline"/>
        </w:rPr>
        <w:t> </w:t>
      </w:r>
      <w:r>
        <w:rPr>
          <w:color w:val="000000"/>
          <w:vertAlign w:val="baseline"/>
        </w:rPr>
        <w:t>their</w:t>
      </w:r>
      <w:r>
        <w:rPr>
          <w:color w:val="000000"/>
          <w:spacing w:val="-2"/>
          <w:vertAlign w:val="baseline"/>
        </w:rPr>
        <w:t> </w:t>
      </w:r>
      <w:r>
        <w:rPr>
          <w:color w:val="000000"/>
          <w:vertAlign w:val="baseline"/>
        </w:rPr>
        <w:t>time</w:t>
      </w:r>
      <w:r>
        <w:rPr>
          <w:color w:val="000000"/>
          <w:spacing w:val="-3"/>
          <w:vertAlign w:val="baseline"/>
        </w:rPr>
        <w:t> </w:t>
      </w:r>
      <w:r>
        <w:rPr>
          <w:color w:val="000000"/>
          <w:vertAlign w:val="baseline"/>
        </w:rPr>
        <w:t>at</w:t>
      </w:r>
      <w:r>
        <w:rPr>
          <w:color w:val="000000"/>
          <w:spacing w:val="-2"/>
          <w:vertAlign w:val="baseline"/>
        </w:rPr>
        <w:t> </w:t>
      </w:r>
      <w:r>
        <w:rPr>
          <w:color w:val="000000"/>
          <w:vertAlign w:val="baseline"/>
        </w:rPr>
        <w:t>their</w:t>
      </w:r>
      <w:r>
        <w:rPr>
          <w:color w:val="000000"/>
          <w:spacing w:val="-2"/>
          <w:vertAlign w:val="baseline"/>
        </w:rPr>
        <w:t> </w:t>
      </w:r>
      <w:r>
        <w:rPr>
          <w:color w:val="000000"/>
          <w:vertAlign w:val="baseline"/>
        </w:rPr>
        <w:t>institution</w:t>
      </w:r>
      <w:hyperlink w:history="true" w:anchor="_bookmark91">
        <w:r>
          <w:rPr>
            <w:color w:val="000000"/>
            <w:vertAlign w:val="baseline"/>
          </w:rPr>
          <w:t>.</w:t>
        </w:r>
        <w:r>
          <w:rPr>
            <w:color w:val="000000"/>
            <w:vertAlign w:val="superscript"/>
          </w:rPr>
          <w:t>73</w:t>
        </w:r>
      </w:hyperlink>
      <w:r>
        <w:rPr>
          <w:color w:val="000000"/>
          <w:spacing w:val="-3"/>
          <w:vertAlign w:val="baseline"/>
        </w:rPr>
        <w:t> </w:t>
      </w:r>
      <w:r>
        <w:rPr>
          <w:color w:val="000000"/>
          <w:vertAlign w:val="baseline"/>
        </w:rPr>
        <w:t>LGBTQ</w:t>
      </w:r>
      <w:r>
        <w:rPr>
          <w:color w:val="000000"/>
          <w:spacing w:val="-3"/>
          <w:vertAlign w:val="baseline"/>
        </w:rPr>
        <w:t> </w:t>
      </w:r>
      <w:r>
        <w:rPr>
          <w:color w:val="000000"/>
          <w:vertAlign w:val="baseline"/>
        </w:rPr>
        <w:t>youth</w:t>
      </w:r>
      <w:r>
        <w:rPr>
          <w:color w:val="000000"/>
          <w:spacing w:val="-2"/>
          <w:vertAlign w:val="baseline"/>
        </w:rPr>
        <w:t> </w:t>
      </w:r>
      <w:r>
        <w:rPr>
          <w:color w:val="000000"/>
          <w:vertAlign w:val="baseline"/>
        </w:rPr>
        <w:t>of</w:t>
      </w:r>
      <w:r>
        <w:rPr>
          <w:color w:val="000000"/>
          <w:spacing w:val="-3"/>
          <w:vertAlign w:val="baseline"/>
        </w:rPr>
        <w:t> </w:t>
      </w:r>
      <w:r>
        <w:rPr>
          <w:color w:val="000000"/>
          <w:vertAlign w:val="baseline"/>
        </w:rPr>
        <w:t>color</w:t>
      </w:r>
      <w:r>
        <w:rPr>
          <w:color w:val="000000"/>
          <w:spacing w:val="-3"/>
          <w:vertAlign w:val="baseline"/>
        </w:rPr>
        <w:t> </w:t>
      </w:r>
      <w:r>
        <w:rPr>
          <w:color w:val="000000"/>
          <w:vertAlign w:val="baseline"/>
        </w:rPr>
        <w:t>were particularly vulnerable to identity-based</w:t>
      </w:r>
      <w:r>
        <w:rPr>
          <w:color w:val="000000"/>
          <w:spacing w:val="-1"/>
          <w:vertAlign w:val="baseline"/>
        </w:rPr>
        <w:t> </w:t>
      </w:r>
      <w:r>
        <w:rPr>
          <w:color w:val="000000"/>
          <w:vertAlign w:val="baseline"/>
        </w:rPr>
        <w:t>bullying. According to GLSEN’s National</w:t>
      </w:r>
      <w:r>
        <w:rPr>
          <w:color w:val="000000"/>
          <w:spacing w:val="-1"/>
          <w:vertAlign w:val="baseline"/>
        </w:rPr>
        <w:t> </w:t>
      </w:r>
      <w:r>
        <w:rPr>
          <w:color w:val="000000"/>
          <w:vertAlign w:val="baseline"/>
        </w:rPr>
        <w:t>School Climate Survey, LGBTQ</w:t>
      </w:r>
      <w:r>
        <w:rPr>
          <w:color w:val="000000"/>
          <w:spacing w:val="-13"/>
          <w:vertAlign w:val="baseline"/>
        </w:rPr>
        <w:t> </w:t>
      </w:r>
      <w:r>
        <w:rPr>
          <w:color w:val="000000"/>
          <w:vertAlign w:val="baseline"/>
        </w:rPr>
        <w:t>Native</w:t>
      </w:r>
      <w:r>
        <w:rPr>
          <w:color w:val="000000"/>
          <w:spacing w:val="-12"/>
          <w:vertAlign w:val="baseline"/>
        </w:rPr>
        <w:t> </w:t>
      </w:r>
      <w:r>
        <w:rPr>
          <w:color w:val="000000"/>
          <w:vertAlign w:val="baseline"/>
        </w:rPr>
        <w:t>American</w:t>
      </w:r>
      <w:r>
        <w:rPr>
          <w:color w:val="000000"/>
          <w:spacing w:val="-13"/>
          <w:vertAlign w:val="baseline"/>
        </w:rPr>
        <w:t> </w:t>
      </w:r>
      <w:r>
        <w:rPr>
          <w:color w:val="000000"/>
          <w:vertAlign w:val="baseline"/>
        </w:rPr>
        <w:t>and</w:t>
      </w:r>
      <w:r>
        <w:rPr>
          <w:color w:val="000000"/>
          <w:spacing w:val="-12"/>
          <w:vertAlign w:val="baseline"/>
        </w:rPr>
        <w:t> </w:t>
      </w:r>
      <w:r>
        <w:rPr>
          <w:color w:val="000000"/>
          <w:vertAlign w:val="baseline"/>
        </w:rPr>
        <w:t>Indigenous</w:t>
      </w:r>
      <w:r>
        <w:rPr>
          <w:color w:val="000000"/>
          <w:spacing w:val="-13"/>
          <w:vertAlign w:val="baseline"/>
        </w:rPr>
        <w:t> </w:t>
      </w:r>
      <w:r>
        <w:rPr>
          <w:color w:val="000000"/>
          <w:vertAlign w:val="baseline"/>
        </w:rPr>
        <w:t>students</w:t>
      </w:r>
      <w:r>
        <w:rPr>
          <w:color w:val="000000"/>
          <w:spacing w:val="-12"/>
          <w:vertAlign w:val="baseline"/>
        </w:rPr>
        <w:t> </w:t>
      </w:r>
      <w:r>
        <w:rPr>
          <w:color w:val="000000"/>
          <w:vertAlign w:val="baseline"/>
        </w:rPr>
        <w:t>had</w:t>
      </w:r>
      <w:r>
        <w:rPr>
          <w:color w:val="000000"/>
          <w:spacing w:val="-13"/>
          <w:vertAlign w:val="baseline"/>
        </w:rPr>
        <w:t> </w:t>
      </w:r>
      <w:r>
        <w:rPr>
          <w:color w:val="000000"/>
          <w:vertAlign w:val="baseline"/>
        </w:rPr>
        <w:t>the</w:t>
      </w:r>
      <w:r>
        <w:rPr>
          <w:color w:val="000000"/>
          <w:spacing w:val="-12"/>
          <w:vertAlign w:val="baseline"/>
        </w:rPr>
        <w:t> </w:t>
      </w:r>
      <w:r>
        <w:rPr>
          <w:color w:val="000000"/>
          <w:vertAlign w:val="baseline"/>
        </w:rPr>
        <w:t>highest</w:t>
      </w:r>
      <w:r>
        <w:rPr>
          <w:color w:val="000000"/>
          <w:spacing w:val="-12"/>
          <w:vertAlign w:val="baseline"/>
        </w:rPr>
        <w:t> </w:t>
      </w:r>
      <w:r>
        <w:rPr>
          <w:color w:val="000000"/>
          <w:vertAlign w:val="baseline"/>
        </w:rPr>
        <w:t>rates</w:t>
      </w:r>
      <w:r>
        <w:rPr>
          <w:color w:val="000000"/>
          <w:spacing w:val="-13"/>
          <w:vertAlign w:val="baseline"/>
        </w:rPr>
        <w:t> </w:t>
      </w:r>
      <w:r>
        <w:rPr>
          <w:color w:val="000000"/>
          <w:vertAlign w:val="baseline"/>
        </w:rPr>
        <w:t>of</w:t>
      </w:r>
      <w:r>
        <w:rPr>
          <w:color w:val="000000"/>
          <w:spacing w:val="-12"/>
          <w:vertAlign w:val="baseline"/>
        </w:rPr>
        <w:t> </w:t>
      </w:r>
      <w:r>
        <w:rPr>
          <w:color w:val="000000"/>
          <w:vertAlign w:val="baseline"/>
        </w:rPr>
        <w:t>in-person</w:t>
      </w:r>
      <w:r>
        <w:rPr>
          <w:color w:val="000000"/>
          <w:spacing w:val="-13"/>
          <w:vertAlign w:val="baseline"/>
        </w:rPr>
        <w:t> </w:t>
      </w:r>
      <w:r>
        <w:rPr>
          <w:color w:val="000000"/>
          <w:vertAlign w:val="baseline"/>
        </w:rPr>
        <w:t>victimization</w:t>
      </w:r>
      <w:r>
        <w:rPr>
          <w:color w:val="000000"/>
          <w:spacing w:val="-12"/>
          <w:vertAlign w:val="baseline"/>
        </w:rPr>
        <w:t> </w:t>
      </w:r>
      <w:r>
        <w:rPr>
          <w:color w:val="000000"/>
          <w:vertAlign w:val="baseline"/>
        </w:rPr>
        <w:t>for</w:t>
      </w:r>
      <w:r>
        <w:rPr>
          <w:color w:val="000000"/>
          <w:spacing w:val="-13"/>
          <w:vertAlign w:val="baseline"/>
        </w:rPr>
        <w:t> </w:t>
      </w:r>
      <w:r>
        <w:rPr>
          <w:color w:val="000000"/>
          <w:vertAlign w:val="baseline"/>
        </w:rPr>
        <w:t>both sexual</w:t>
      </w:r>
      <w:r>
        <w:rPr>
          <w:color w:val="000000"/>
          <w:spacing w:val="-7"/>
          <w:vertAlign w:val="baseline"/>
        </w:rPr>
        <w:t> </w:t>
      </w:r>
      <w:r>
        <w:rPr>
          <w:color w:val="000000"/>
          <w:vertAlign w:val="baseline"/>
        </w:rPr>
        <w:t>orientation</w:t>
      </w:r>
      <w:r>
        <w:rPr>
          <w:color w:val="000000"/>
          <w:spacing w:val="-7"/>
          <w:vertAlign w:val="baseline"/>
        </w:rPr>
        <w:t> </w:t>
      </w:r>
      <w:r>
        <w:rPr>
          <w:color w:val="000000"/>
          <w:vertAlign w:val="baseline"/>
        </w:rPr>
        <w:t>(86.0%)</w:t>
      </w:r>
      <w:r>
        <w:rPr>
          <w:color w:val="000000"/>
          <w:spacing w:val="-6"/>
          <w:vertAlign w:val="baseline"/>
        </w:rPr>
        <w:t> </w:t>
      </w:r>
      <w:r>
        <w:rPr>
          <w:color w:val="000000"/>
          <w:vertAlign w:val="baseline"/>
        </w:rPr>
        <w:t>and</w:t>
      </w:r>
      <w:r>
        <w:rPr>
          <w:color w:val="000000"/>
          <w:spacing w:val="-6"/>
          <w:vertAlign w:val="baseline"/>
        </w:rPr>
        <w:t> </w:t>
      </w:r>
      <w:r>
        <w:rPr>
          <w:color w:val="000000"/>
          <w:vertAlign w:val="baseline"/>
        </w:rPr>
        <w:t>gender</w:t>
      </w:r>
      <w:r>
        <w:rPr>
          <w:color w:val="000000"/>
          <w:spacing w:val="-5"/>
          <w:vertAlign w:val="baseline"/>
        </w:rPr>
        <w:t> </w:t>
      </w:r>
      <w:r>
        <w:rPr>
          <w:color w:val="000000"/>
          <w:vertAlign w:val="baseline"/>
        </w:rPr>
        <w:t>expression</w:t>
      </w:r>
      <w:r>
        <w:rPr>
          <w:color w:val="000000"/>
          <w:spacing w:val="-7"/>
          <w:vertAlign w:val="baseline"/>
        </w:rPr>
        <w:t> </w:t>
      </w:r>
      <w:r>
        <w:rPr>
          <w:color w:val="000000"/>
          <w:vertAlign w:val="baseline"/>
        </w:rPr>
        <w:t>(82.8%),</w:t>
      </w:r>
      <w:r>
        <w:rPr>
          <w:color w:val="000000"/>
          <w:spacing w:val="-6"/>
          <w:vertAlign w:val="baseline"/>
        </w:rPr>
        <w:t> </w:t>
      </w:r>
      <w:r>
        <w:rPr>
          <w:color w:val="000000"/>
          <w:vertAlign w:val="baseline"/>
        </w:rPr>
        <w:t>followed</w:t>
      </w:r>
      <w:r>
        <w:rPr>
          <w:color w:val="000000"/>
          <w:spacing w:val="-7"/>
          <w:vertAlign w:val="baseline"/>
        </w:rPr>
        <w:t> </w:t>
      </w:r>
      <w:r>
        <w:rPr>
          <w:color w:val="000000"/>
          <w:vertAlign w:val="baseline"/>
        </w:rPr>
        <w:t>by</w:t>
      </w:r>
      <w:r>
        <w:rPr>
          <w:color w:val="000000"/>
          <w:spacing w:val="-5"/>
          <w:vertAlign w:val="baseline"/>
        </w:rPr>
        <w:t> </w:t>
      </w:r>
      <w:r>
        <w:rPr>
          <w:color w:val="000000"/>
          <w:vertAlign w:val="baseline"/>
        </w:rPr>
        <w:t>LGBTQ</w:t>
      </w:r>
      <w:r>
        <w:rPr>
          <w:color w:val="000000"/>
          <w:spacing w:val="-4"/>
          <w:vertAlign w:val="baseline"/>
        </w:rPr>
        <w:t> </w:t>
      </w:r>
      <w:r>
        <w:rPr>
          <w:color w:val="000000"/>
          <w:vertAlign w:val="baseline"/>
        </w:rPr>
        <w:t>Middle</w:t>
      </w:r>
      <w:r>
        <w:rPr>
          <w:color w:val="000000"/>
          <w:spacing w:val="-6"/>
          <w:vertAlign w:val="baseline"/>
        </w:rPr>
        <w:t> </w:t>
      </w:r>
      <w:r>
        <w:rPr>
          <w:color w:val="000000"/>
          <w:vertAlign w:val="baseline"/>
        </w:rPr>
        <w:t>Eastern</w:t>
      </w:r>
      <w:r>
        <w:rPr>
          <w:color w:val="000000"/>
          <w:spacing w:val="-7"/>
          <w:vertAlign w:val="baseline"/>
        </w:rPr>
        <w:t> </w:t>
      </w:r>
      <w:r>
        <w:rPr>
          <w:color w:val="000000"/>
          <w:vertAlign w:val="baseline"/>
        </w:rPr>
        <w:t>and</w:t>
      </w:r>
      <w:r>
        <w:rPr>
          <w:color w:val="000000"/>
          <w:spacing w:val="-6"/>
          <w:vertAlign w:val="baseline"/>
        </w:rPr>
        <w:t> </w:t>
      </w:r>
      <w:r>
        <w:rPr>
          <w:color w:val="000000"/>
          <w:vertAlign w:val="baseline"/>
        </w:rPr>
        <w:t>North African</w:t>
      </w:r>
      <w:r>
        <w:rPr>
          <w:color w:val="000000"/>
          <w:spacing w:val="-1"/>
          <w:vertAlign w:val="baseline"/>
        </w:rPr>
        <w:t> </w:t>
      </w:r>
      <w:r>
        <w:rPr>
          <w:color w:val="000000"/>
          <w:vertAlign w:val="baseline"/>
        </w:rPr>
        <w:t>(MENA) students (67.7% and</w:t>
      </w:r>
      <w:r>
        <w:rPr>
          <w:color w:val="000000"/>
          <w:spacing w:val="-1"/>
          <w:vertAlign w:val="baseline"/>
        </w:rPr>
        <w:t> </w:t>
      </w:r>
      <w:r>
        <w:rPr>
          <w:color w:val="000000"/>
          <w:vertAlign w:val="baseline"/>
        </w:rPr>
        <w:t>61.5%, respectively) and</w:t>
      </w:r>
      <w:r>
        <w:rPr>
          <w:color w:val="000000"/>
          <w:spacing w:val="-1"/>
          <w:vertAlign w:val="baseline"/>
        </w:rPr>
        <w:t> </w:t>
      </w:r>
      <w:r>
        <w:rPr>
          <w:color w:val="000000"/>
          <w:vertAlign w:val="baseline"/>
        </w:rPr>
        <w:t>LGBTQ</w:t>
      </w:r>
      <w:r>
        <w:rPr>
          <w:color w:val="000000"/>
          <w:spacing w:val="-1"/>
          <w:vertAlign w:val="baseline"/>
        </w:rPr>
        <w:t> </w:t>
      </w:r>
      <w:r>
        <w:rPr>
          <w:color w:val="000000"/>
          <w:vertAlign w:val="baseline"/>
        </w:rPr>
        <w:t>Latinx</w:t>
      </w:r>
      <w:r>
        <w:rPr>
          <w:color w:val="000000"/>
          <w:spacing w:val="-1"/>
          <w:vertAlign w:val="baseline"/>
        </w:rPr>
        <w:t> </w:t>
      </w:r>
      <w:r>
        <w:rPr>
          <w:color w:val="000000"/>
          <w:vertAlign w:val="baseline"/>
        </w:rPr>
        <w:t>students (63.4% and</w:t>
      </w:r>
      <w:r>
        <w:rPr>
          <w:color w:val="000000"/>
          <w:spacing w:val="-1"/>
          <w:vertAlign w:val="baseline"/>
        </w:rPr>
        <w:t> </w:t>
      </w:r>
      <w:r>
        <w:rPr>
          <w:color w:val="000000"/>
          <w:vertAlign w:val="baseline"/>
        </w:rPr>
        <w:t>60.9%, respectively)</w:t>
      </w:r>
      <w:hyperlink w:history="true" w:anchor="_bookmark91">
        <w:r>
          <w:rPr>
            <w:color w:val="000000"/>
            <w:vertAlign w:val="baseline"/>
          </w:rPr>
          <w:t>.</w:t>
        </w:r>
        <w:r>
          <w:rPr>
            <w:color w:val="000000"/>
            <w:vertAlign w:val="superscript"/>
          </w:rPr>
          <w:t>74</w:t>
        </w:r>
      </w:hyperlink>
      <w:r>
        <w:rPr>
          <w:color w:val="000000"/>
          <w:vertAlign w:val="baseline"/>
        </w:rPr>
        <w:t> LGBTQ Native American and Indigenous students experienced the highest rates of in- person</w:t>
      </w:r>
      <w:r>
        <w:rPr>
          <w:color w:val="000000"/>
          <w:spacing w:val="-6"/>
          <w:vertAlign w:val="baseline"/>
        </w:rPr>
        <w:t> </w:t>
      </w:r>
      <w:r>
        <w:rPr>
          <w:color w:val="000000"/>
          <w:vertAlign w:val="baseline"/>
        </w:rPr>
        <w:t>victimization</w:t>
      </w:r>
      <w:r>
        <w:rPr>
          <w:color w:val="000000"/>
          <w:spacing w:val="-5"/>
          <w:vertAlign w:val="baseline"/>
        </w:rPr>
        <w:t> </w:t>
      </w:r>
      <w:r>
        <w:rPr>
          <w:color w:val="000000"/>
          <w:vertAlign w:val="baseline"/>
        </w:rPr>
        <w:t>based</w:t>
      </w:r>
      <w:r>
        <w:rPr>
          <w:color w:val="000000"/>
          <w:spacing w:val="-3"/>
          <w:vertAlign w:val="baseline"/>
        </w:rPr>
        <w:t> </w:t>
      </w:r>
      <w:r>
        <w:rPr>
          <w:color w:val="000000"/>
          <w:vertAlign w:val="baseline"/>
        </w:rPr>
        <w:t>on</w:t>
      </w:r>
      <w:r>
        <w:rPr>
          <w:color w:val="000000"/>
          <w:spacing w:val="-6"/>
          <w:vertAlign w:val="baseline"/>
        </w:rPr>
        <w:t> </w:t>
      </w:r>
      <w:r>
        <w:rPr>
          <w:color w:val="000000"/>
          <w:vertAlign w:val="baseline"/>
        </w:rPr>
        <w:t>race</w:t>
      </w:r>
      <w:r>
        <w:rPr>
          <w:color w:val="000000"/>
          <w:spacing w:val="-4"/>
          <w:vertAlign w:val="baseline"/>
        </w:rPr>
        <w:t> </w:t>
      </w:r>
      <w:r>
        <w:rPr>
          <w:color w:val="000000"/>
          <w:vertAlign w:val="baseline"/>
        </w:rPr>
        <w:t>and</w:t>
      </w:r>
      <w:r>
        <w:rPr>
          <w:color w:val="000000"/>
          <w:spacing w:val="-4"/>
          <w:vertAlign w:val="baseline"/>
        </w:rPr>
        <w:t> </w:t>
      </w:r>
      <w:r>
        <w:rPr>
          <w:color w:val="000000"/>
          <w:vertAlign w:val="baseline"/>
        </w:rPr>
        <w:t>ethnicity</w:t>
      </w:r>
      <w:r>
        <w:rPr>
          <w:color w:val="000000"/>
          <w:spacing w:val="-4"/>
          <w:vertAlign w:val="baseline"/>
        </w:rPr>
        <w:t> </w:t>
      </w:r>
      <w:r>
        <w:rPr>
          <w:color w:val="000000"/>
          <w:vertAlign w:val="baseline"/>
        </w:rPr>
        <w:t>(63.8%),</w:t>
      </w:r>
      <w:r>
        <w:rPr>
          <w:color w:val="000000"/>
          <w:spacing w:val="-5"/>
          <w:vertAlign w:val="baseline"/>
        </w:rPr>
        <w:t> </w:t>
      </w:r>
      <w:r>
        <w:rPr>
          <w:color w:val="000000"/>
          <w:vertAlign w:val="baseline"/>
        </w:rPr>
        <w:t>followed</w:t>
      </w:r>
      <w:r>
        <w:rPr>
          <w:color w:val="000000"/>
          <w:spacing w:val="-4"/>
          <w:vertAlign w:val="baseline"/>
        </w:rPr>
        <w:t> </w:t>
      </w:r>
      <w:r>
        <w:rPr>
          <w:color w:val="000000"/>
          <w:vertAlign w:val="baseline"/>
        </w:rPr>
        <w:t>by</w:t>
      </w:r>
      <w:r>
        <w:rPr>
          <w:color w:val="000000"/>
          <w:spacing w:val="-5"/>
          <w:vertAlign w:val="baseline"/>
        </w:rPr>
        <w:t> </w:t>
      </w:r>
      <w:r>
        <w:rPr>
          <w:color w:val="000000"/>
          <w:vertAlign w:val="baseline"/>
        </w:rPr>
        <w:t>LGBTQ</w:t>
      </w:r>
      <w:r>
        <w:rPr>
          <w:color w:val="000000"/>
          <w:spacing w:val="-4"/>
          <w:vertAlign w:val="baseline"/>
        </w:rPr>
        <w:t> </w:t>
      </w:r>
      <w:r>
        <w:rPr>
          <w:color w:val="000000"/>
          <w:vertAlign w:val="baseline"/>
        </w:rPr>
        <w:t>Asian</w:t>
      </w:r>
      <w:r>
        <w:rPr>
          <w:color w:val="000000"/>
          <w:spacing w:val="-6"/>
          <w:vertAlign w:val="baseline"/>
        </w:rPr>
        <w:t> </w:t>
      </w:r>
      <w:r>
        <w:rPr>
          <w:color w:val="000000"/>
          <w:vertAlign w:val="baseline"/>
        </w:rPr>
        <w:t>American</w:t>
      </w:r>
      <w:r>
        <w:rPr>
          <w:color w:val="000000"/>
          <w:spacing w:val="-3"/>
          <w:vertAlign w:val="baseline"/>
        </w:rPr>
        <w:t> </w:t>
      </w:r>
      <w:r>
        <w:rPr>
          <w:color w:val="000000"/>
          <w:vertAlign w:val="baseline"/>
        </w:rPr>
        <w:t>and</w:t>
      </w:r>
      <w:r>
        <w:rPr>
          <w:color w:val="000000"/>
          <w:spacing w:val="-6"/>
          <w:vertAlign w:val="baseline"/>
        </w:rPr>
        <w:t> </w:t>
      </w:r>
      <w:r>
        <w:rPr>
          <w:color w:val="000000"/>
          <w:vertAlign w:val="baseline"/>
        </w:rPr>
        <w:t>Pacific Islander (AAPI) students (62.8%) and LGBTQ Black students (55.2%). </w:t>
      </w:r>
      <w:hyperlink w:history="true" w:anchor="_bookmark91">
        <w:r>
          <w:rPr>
            <w:color w:val="000000"/>
            <w:vertAlign w:val="superscript"/>
          </w:rPr>
          <w:t>75</w:t>
        </w:r>
      </w:hyperlink>
      <w:r>
        <w:rPr>
          <w:color w:val="000000"/>
          <w:vertAlign w:val="baseline"/>
        </w:rPr>
        <w:t> Online, LGBTQ Native American and Indigenous students experienced victimization based on sexual orientation (60.8%) and gender expression (59.7%) at significantly higher rates than any other racial or ethnic group</w:t>
      </w:r>
      <w:hyperlink w:history="true" w:anchor="_bookmark91">
        <w:r>
          <w:rPr>
            <w:color w:val="000000"/>
            <w:vertAlign w:val="baseline"/>
          </w:rPr>
          <w:t>.</w:t>
        </w:r>
        <w:r>
          <w:rPr>
            <w:color w:val="000000"/>
            <w:vertAlign w:val="superscript"/>
          </w:rPr>
          <w:t>76</w:t>
        </w:r>
      </w:hyperlink>
    </w:p>
    <w:p>
      <w:pPr>
        <w:pStyle w:val="BodyText"/>
        <w:spacing w:line="276" w:lineRule="auto" w:before="240"/>
        <w:ind w:left="463" w:right="281"/>
        <w:jc w:val="both"/>
      </w:pPr>
      <w:r>
        <w:rPr/>
        <w:t>R egarding digital technology, social media is a multi-faceted and complex tool that can affect LGBTQ youth</w:t>
      </w:r>
      <w:r>
        <w:rPr>
          <w:spacing w:val="-4"/>
        </w:rPr>
        <w:t> </w:t>
      </w:r>
      <w:r>
        <w:rPr/>
        <w:t>both</w:t>
      </w:r>
      <w:r>
        <w:rPr>
          <w:spacing w:val="-4"/>
        </w:rPr>
        <w:t> </w:t>
      </w:r>
      <w:r>
        <w:rPr/>
        <w:t>positively</w:t>
      </w:r>
      <w:r>
        <w:rPr>
          <w:spacing w:val="-5"/>
        </w:rPr>
        <w:t> </w:t>
      </w:r>
      <w:r>
        <w:rPr/>
        <w:t>and</w:t>
      </w:r>
      <w:r>
        <w:rPr>
          <w:spacing w:val="-3"/>
        </w:rPr>
        <w:t> </w:t>
      </w:r>
      <w:r>
        <w:rPr/>
        <w:t>negatively.</w:t>
      </w:r>
      <w:r>
        <w:rPr>
          <w:spacing w:val="-4"/>
        </w:rPr>
        <w:t> </w:t>
      </w:r>
      <w:r>
        <w:rPr/>
        <w:t>According</w:t>
      </w:r>
      <w:r>
        <w:rPr>
          <w:spacing w:val="-4"/>
        </w:rPr>
        <w:t> </w:t>
      </w:r>
      <w:r>
        <w:rPr/>
        <w:t>to</w:t>
      </w:r>
      <w:r>
        <w:rPr>
          <w:spacing w:val="-3"/>
        </w:rPr>
        <w:t> </w:t>
      </w:r>
      <w:r>
        <w:rPr/>
        <w:t>the</w:t>
      </w:r>
      <w:r>
        <w:rPr>
          <w:spacing w:val="-4"/>
        </w:rPr>
        <w:t> </w:t>
      </w:r>
      <w:r>
        <w:rPr/>
        <w:t>Trevor</w:t>
      </w:r>
      <w:r>
        <w:rPr>
          <w:spacing w:val="-5"/>
        </w:rPr>
        <w:t> </w:t>
      </w:r>
      <w:r>
        <w:rPr/>
        <w:t>Project’s</w:t>
      </w:r>
      <w:r>
        <w:rPr>
          <w:spacing w:val="-5"/>
        </w:rPr>
        <w:t> </w:t>
      </w:r>
      <w:r>
        <w:rPr/>
        <w:t>2021</w:t>
      </w:r>
      <w:r>
        <w:rPr>
          <w:spacing w:val="-4"/>
        </w:rPr>
        <w:t> </w:t>
      </w:r>
      <w:r>
        <w:rPr/>
        <w:t>National</w:t>
      </w:r>
      <w:r>
        <w:rPr>
          <w:spacing w:val="-5"/>
        </w:rPr>
        <w:t> </w:t>
      </w:r>
      <w:r>
        <w:rPr/>
        <w:t>Survey</w:t>
      </w:r>
      <w:r>
        <w:rPr>
          <w:spacing w:val="-5"/>
        </w:rPr>
        <w:t> </w:t>
      </w:r>
      <w:r>
        <w:rPr/>
        <w:t>on</w:t>
      </w:r>
      <w:r>
        <w:rPr>
          <w:spacing w:val="-4"/>
        </w:rPr>
        <w:t> </w:t>
      </w:r>
      <w:r>
        <w:rPr/>
        <w:t>LGBTQ+ Youth</w:t>
      </w:r>
      <w:r>
        <w:rPr>
          <w:spacing w:val="-13"/>
        </w:rPr>
        <w:t> </w:t>
      </w:r>
      <w:r>
        <w:rPr/>
        <w:t>Mental</w:t>
      </w:r>
      <w:r>
        <w:rPr>
          <w:spacing w:val="-12"/>
        </w:rPr>
        <w:t> </w:t>
      </w:r>
      <w:r>
        <w:rPr/>
        <w:t>Health,</w:t>
      </w:r>
      <w:r>
        <w:rPr>
          <w:spacing w:val="-13"/>
        </w:rPr>
        <w:t> </w:t>
      </w:r>
      <w:r>
        <w:rPr/>
        <w:t>LGBTQ</w:t>
      </w:r>
      <w:r>
        <w:rPr>
          <w:spacing w:val="-12"/>
        </w:rPr>
        <w:t> </w:t>
      </w:r>
      <w:r>
        <w:rPr/>
        <w:t>youth</w:t>
      </w:r>
      <w:r>
        <w:rPr>
          <w:spacing w:val="-13"/>
        </w:rPr>
        <w:t> </w:t>
      </w:r>
      <w:r>
        <w:rPr/>
        <w:t>stated</w:t>
      </w:r>
      <w:r>
        <w:rPr>
          <w:spacing w:val="-12"/>
        </w:rPr>
        <w:t> </w:t>
      </w:r>
      <w:r>
        <w:rPr/>
        <w:t>that</w:t>
      </w:r>
      <w:r>
        <w:rPr>
          <w:spacing w:val="-13"/>
        </w:rPr>
        <w:t> </w:t>
      </w:r>
      <w:r>
        <w:rPr/>
        <w:t>social</w:t>
      </w:r>
      <w:r>
        <w:rPr>
          <w:spacing w:val="-12"/>
        </w:rPr>
        <w:t> </w:t>
      </w:r>
      <w:r>
        <w:rPr/>
        <w:t>media</w:t>
      </w:r>
      <w:r>
        <w:rPr>
          <w:spacing w:val="-12"/>
        </w:rPr>
        <w:t> </w:t>
      </w:r>
      <w:r>
        <w:rPr/>
        <w:t>had</w:t>
      </w:r>
      <w:r>
        <w:rPr>
          <w:spacing w:val="-13"/>
        </w:rPr>
        <w:t> </w:t>
      </w:r>
      <w:r>
        <w:rPr/>
        <w:t>both</w:t>
      </w:r>
      <w:r>
        <w:rPr>
          <w:spacing w:val="-12"/>
        </w:rPr>
        <w:t> </w:t>
      </w:r>
      <w:r>
        <w:rPr/>
        <w:t>“positive</w:t>
      </w:r>
      <w:r>
        <w:rPr>
          <w:spacing w:val="-13"/>
        </w:rPr>
        <w:t> </w:t>
      </w:r>
      <w:r>
        <w:rPr/>
        <w:t>(96%)</w:t>
      </w:r>
      <w:r>
        <w:rPr>
          <w:spacing w:val="-12"/>
        </w:rPr>
        <w:t> </w:t>
      </w:r>
      <w:r>
        <w:rPr/>
        <w:t>and</w:t>
      </w:r>
      <w:r>
        <w:rPr>
          <w:spacing w:val="-13"/>
        </w:rPr>
        <w:t> </w:t>
      </w:r>
      <w:r>
        <w:rPr/>
        <w:t>negative</w:t>
      </w:r>
      <w:r>
        <w:rPr>
          <w:spacing w:val="-12"/>
        </w:rPr>
        <w:t> </w:t>
      </w:r>
      <w:r>
        <w:rPr/>
        <w:t>(88%)” effects on their mental health, though this variable has not yet been updated in subsequent surveys</w:t>
      </w:r>
      <w:hyperlink w:history="true" w:anchor="_bookmark91">
        <w:r>
          <w:rPr/>
          <w:t>.</w:t>
        </w:r>
        <w:r>
          <w:rPr>
            <w:vertAlign w:val="superscript"/>
          </w:rPr>
          <w:t>77</w:t>
        </w:r>
      </w:hyperlink>
      <w:r>
        <w:rPr>
          <w:vertAlign w:val="baseline"/>
        </w:rPr>
        <w:t> On</w:t>
      </w:r>
      <w:r>
        <w:rPr>
          <w:spacing w:val="-7"/>
          <w:vertAlign w:val="baseline"/>
        </w:rPr>
        <w:t> </w:t>
      </w:r>
      <w:r>
        <w:rPr>
          <w:vertAlign w:val="baseline"/>
        </w:rPr>
        <w:t>one</w:t>
      </w:r>
      <w:r>
        <w:rPr>
          <w:spacing w:val="-6"/>
          <w:vertAlign w:val="baseline"/>
        </w:rPr>
        <w:t> </w:t>
      </w:r>
      <w:r>
        <w:rPr>
          <w:vertAlign w:val="baseline"/>
        </w:rPr>
        <w:t>hand,</w:t>
      </w:r>
      <w:r>
        <w:rPr>
          <w:spacing w:val="-5"/>
          <w:vertAlign w:val="baseline"/>
        </w:rPr>
        <w:t> </w:t>
      </w:r>
      <w:r>
        <w:rPr>
          <w:vertAlign w:val="baseline"/>
        </w:rPr>
        <w:t>social</w:t>
      </w:r>
      <w:r>
        <w:rPr>
          <w:spacing w:val="-5"/>
          <w:vertAlign w:val="baseline"/>
        </w:rPr>
        <w:t> </w:t>
      </w:r>
      <w:r>
        <w:rPr>
          <w:vertAlign w:val="baseline"/>
        </w:rPr>
        <w:t>media</w:t>
      </w:r>
      <w:r>
        <w:rPr>
          <w:spacing w:val="-4"/>
          <w:vertAlign w:val="baseline"/>
        </w:rPr>
        <w:t> </w:t>
      </w:r>
      <w:r>
        <w:rPr>
          <w:vertAlign w:val="baseline"/>
        </w:rPr>
        <w:t>allows</w:t>
      </w:r>
      <w:r>
        <w:rPr>
          <w:spacing w:val="-6"/>
          <w:vertAlign w:val="baseline"/>
        </w:rPr>
        <w:t> </w:t>
      </w:r>
      <w:r>
        <w:rPr>
          <w:vertAlign w:val="baseline"/>
        </w:rPr>
        <w:t>youth</w:t>
      </w:r>
      <w:r>
        <w:rPr>
          <w:spacing w:val="-6"/>
          <w:vertAlign w:val="baseline"/>
        </w:rPr>
        <w:t> </w:t>
      </w:r>
      <w:r>
        <w:rPr>
          <w:vertAlign w:val="baseline"/>
        </w:rPr>
        <w:t>to</w:t>
      </w:r>
      <w:r>
        <w:rPr>
          <w:spacing w:val="-6"/>
          <w:vertAlign w:val="baseline"/>
        </w:rPr>
        <w:t> </w:t>
      </w:r>
      <w:r>
        <w:rPr>
          <w:vertAlign w:val="baseline"/>
        </w:rPr>
        <w:t>connect</w:t>
      </w:r>
      <w:r>
        <w:rPr>
          <w:spacing w:val="-7"/>
          <w:vertAlign w:val="baseline"/>
        </w:rPr>
        <w:t> </w:t>
      </w:r>
      <w:r>
        <w:rPr>
          <w:vertAlign w:val="baseline"/>
        </w:rPr>
        <w:t>with</w:t>
      </w:r>
      <w:r>
        <w:rPr>
          <w:spacing w:val="-7"/>
          <w:vertAlign w:val="baseline"/>
        </w:rPr>
        <w:t> </w:t>
      </w:r>
      <w:r>
        <w:rPr>
          <w:vertAlign w:val="baseline"/>
        </w:rPr>
        <w:t>LGBTQ</w:t>
      </w:r>
      <w:r>
        <w:rPr>
          <w:spacing w:val="-6"/>
          <w:vertAlign w:val="baseline"/>
        </w:rPr>
        <w:t> </w:t>
      </w:r>
      <w:r>
        <w:rPr>
          <w:vertAlign w:val="baseline"/>
        </w:rPr>
        <w:t>peers</w:t>
      </w:r>
      <w:r>
        <w:rPr>
          <w:spacing w:val="-6"/>
          <w:vertAlign w:val="baseline"/>
        </w:rPr>
        <w:t> </w:t>
      </w:r>
      <w:r>
        <w:rPr>
          <w:vertAlign w:val="baseline"/>
        </w:rPr>
        <w:t>when</w:t>
      </w:r>
      <w:r>
        <w:rPr>
          <w:spacing w:val="-6"/>
          <w:vertAlign w:val="baseline"/>
        </w:rPr>
        <w:t> </w:t>
      </w:r>
      <w:r>
        <w:rPr>
          <w:vertAlign w:val="baseline"/>
        </w:rPr>
        <w:t>they</w:t>
      </w:r>
      <w:r>
        <w:rPr>
          <w:spacing w:val="-5"/>
          <w:vertAlign w:val="baseline"/>
        </w:rPr>
        <w:t> </w:t>
      </w:r>
      <w:r>
        <w:rPr>
          <w:vertAlign w:val="baseline"/>
        </w:rPr>
        <w:t>may</w:t>
      </w:r>
      <w:r>
        <w:rPr>
          <w:spacing w:val="-6"/>
          <w:vertAlign w:val="baseline"/>
        </w:rPr>
        <w:t> </w:t>
      </w:r>
      <w:r>
        <w:rPr>
          <w:vertAlign w:val="baseline"/>
        </w:rPr>
        <w:t>otherwise</w:t>
      </w:r>
      <w:r>
        <w:rPr>
          <w:spacing w:val="-7"/>
          <w:vertAlign w:val="baseline"/>
        </w:rPr>
        <w:t> </w:t>
      </w:r>
      <w:r>
        <w:rPr>
          <w:vertAlign w:val="baseline"/>
        </w:rPr>
        <w:t>have</w:t>
      </w:r>
      <w:r>
        <w:rPr>
          <w:spacing w:val="-5"/>
          <w:vertAlign w:val="baseline"/>
        </w:rPr>
        <w:t> </w:t>
      </w:r>
      <w:r>
        <w:rPr>
          <w:vertAlign w:val="baseline"/>
        </w:rPr>
        <w:t>no safe</w:t>
      </w:r>
      <w:r>
        <w:rPr>
          <w:spacing w:val="-9"/>
          <w:vertAlign w:val="baseline"/>
        </w:rPr>
        <w:t> </w:t>
      </w:r>
      <w:r>
        <w:rPr>
          <w:vertAlign w:val="baseline"/>
        </w:rPr>
        <w:t>physical</w:t>
      </w:r>
      <w:r>
        <w:rPr>
          <w:spacing w:val="-8"/>
          <w:vertAlign w:val="baseline"/>
        </w:rPr>
        <w:t> </w:t>
      </w:r>
      <w:r>
        <w:rPr>
          <w:vertAlign w:val="baseline"/>
        </w:rPr>
        <w:t>space</w:t>
      </w:r>
      <w:r>
        <w:rPr>
          <w:spacing w:val="-9"/>
          <w:vertAlign w:val="baseline"/>
        </w:rPr>
        <w:t> </w:t>
      </w:r>
      <w:r>
        <w:rPr>
          <w:vertAlign w:val="baseline"/>
        </w:rPr>
        <w:t>to</w:t>
      </w:r>
      <w:r>
        <w:rPr>
          <w:spacing w:val="-8"/>
          <w:vertAlign w:val="baseline"/>
        </w:rPr>
        <w:t> </w:t>
      </w:r>
      <w:r>
        <w:rPr>
          <w:vertAlign w:val="baseline"/>
        </w:rPr>
        <w:t>engage</w:t>
      </w:r>
      <w:r>
        <w:rPr>
          <w:spacing w:val="-9"/>
          <w:vertAlign w:val="baseline"/>
        </w:rPr>
        <w:t> </w:t>
      </w:r>
      <w:r>
        <w:rPr>
          <w:vertAlign w:val="baseline"/>
        </w:rPr>
        <w:t>with</w:t>
      </w:r>
      <w:r>
        <w:rPr>
          <w:spacing w:val="-9"/>
          <w:vertAlign w:val="baseline"/>
        </w:rPr>
        <w:t> </w:t>
      </w:r>
      <w:r>
        <w:rPr>
          <w:vertAlign w:val="baseline"/>
        </w:rPr>
        <w:t>their</w:t>
      </w:r>
      <w:r>
        <w:rPr>
          <w:spacing w:val="-7"/>
          <w:vertAlign w:val="baseline"/>
        </w:rPr>
        <w:t> </w:t>
      </w:r>
      <w:r>
        <w:rPr>
          <w:vertAlign w:val="baseline"/>
        </w:rPr>
        <w:t>community.</w:t>
      </w:r>
      <w:r>
        <w:rPr>
          <w:spacing w:val="-8"/>
          <w:vertAlign w:val="baseline"/>
        </w:rPr>
        <w:t> </w:t>
      </w:r>
      <w:r>
        <w:rPr>
          <w:vertAlign w:val="baseline"/>
        </w:rPr>
        <w:t>For</w:t>
      </w:r>
      <w:r>
        <w:rPr>
          <w:spacing w:val="-9"/>
          <w:vertAlign w:val="baseline"/>
        </w:rPr>
        <w:t> </w:t>
      </w:r>
      <w:r>
        <w:rPr>
          <w:vertAlign w:val="baseline"/>
        </w:rPr>
        <w:t>example,</w:t>
      </w:r>
      <w:r>
        <w:rPr>
          <w:spacing w:val="-8"/>
          <w:vertAlign w:val="baseline"/>
        </w:rPr>
        <w:t> </w:t>
      </w:r>
      <w:r>
        <w:rPr>
          <w:vertAlign w:val="baseline"/>
        </w:rPr>
        <w:t>youth</w:t>
      </w:r>
      <w:r>
        <w:rPr>
          <w:spacing w:val="-9"/>
          <w:vertAlign w:val="baseline"/>
        </w:rPr>
        <w:t> </w:t>
      </w:r>
      <w:r>
        <w:rPr>
          <w:vertAlign w:val="baseline"/>
        </w:rPr>
        <w:t>may</w:t>
      </w:r>
      <w:r>
        <w:rPr>
          <w:spacing w:val="-7"/>
          <w:vertAlign w:val="baseline"/>
        </w:rPr>
        <w:t> </w:t>
      </w:r>
      <w:r>
        <w:rPr>
          <w:vertAlign w:val="baseline"/>
        </w:rPr>
        <w:t>use</w:t>
      </w:r>
      <w:r>
        <w:rPr>
          <w:spacing w:val="-8"/>
          <w:vertAlign w:val="baseline"/>
        </w:rPr>
        <w:t> </w:t>
      </w:r>
      <w:r>
        <w:rPr>
          <w:vertAlign w:val="baseline"/>
        </w:rPr>
        <w:t>social</w:t>
      </w:r>
      <w:r>
        <w:rPr>
          <w:spacing w:val="-9"/>
          <w:vertAlign w:val="baseline"/>
        </w:rPr>
        <w:t> </w:t>
      </w:r>
      <w:r>
        <w:rPr>
          <w:vertAlign w:val="baseline"/>
        </w:rPr>
        <w:t>media</w:t>
      </w:r>
      <w:r>
        <w:rPr>
          <w:spacing w:val="-7"/>
          <w:vertAlign w:val="baseline"/>
        </w:rPr>
        <w:t> </w:t>
      </w:r>
      <w:r>
        <w:rPr>
          <w:vertAlign w:val="baseline"/>
        </w:rPr>
        <w:t>to</w:t>
      </w:r>
      <w:r>
        <w:rPr>
          <w:spacing w:val="-8"/>
          <w:vertAlign w:val="baseline"/>
        </w:rPr>
        <w:t> </w:t>
      </w:r>
      <w:r>
        <w:rPr>
          <w:vertAlign w:val="baseline"/>
        </w:rPr>
        <w:t>explore their</w:t>
      </w:r>
      <w:r>
        <w:rPr>
          <w:spacing w:val="-11"/>
          <w:vertAlign w:val="baseline"/>
        </w:rPr>
        <w:t> </w:t>
      </w:r>
      <w:r>
        <w:rPr>
          <w:vertAlign w:val="baseline"/>
        </w:rPr>
        <w:t>identities,</w:t>
      </w:r>
      <w:r>
        <w:rPr>
          <w:spacing w:val="-11"/>
          <w:vertAlign w:val="baseline"/>
        </w:rPr>
        <w:t> </w:t>
      </w:r>
      <w:r>
        <w:rPr>
          <w:vertAlign w:val="baseline"/>
        </w:rPr>
        <w:t>chat</w:t>
      </w:r>
      <w:r>
        <w:rPr>
          <w:spacing w:val="-12"/>
          <w:vertAlign w:val="baseline"/>
        </w:rPr>
        <w:t> </w:t>
      </w:r>
      <w:r>
        <w:rPr>
          <w:vertAlign w:val="baseline"/>
        </w:rPr>
        <w:t>with</w:t>
      </w:r>
      <w:r>
        <w:rPr>
          <w:spacing w:val="-12"/>
          <w:vertAlign w:val="baseline"/>
        </w:rPr>
        <w:t> </w:t>
      </w:r>
      <w:r>
        <w:rPr>
          <w:vertAlign w:val="baseline"/>
        </w:rPr>
        <w:t>other</w:t>
      </w:r>
      <w:r>
        <w:rPr>
          <w:spacing w:val="-11"/>
          <w:vertAlign w:val="baseline"/>
        </w:rPr>
        <w:t> </w:t>
      </w:r>
      <w:r>
        <w:rPr>
          <w:vertAlign w:val="baseline"/>
        </w:rPr>
        <w:t>LGBTQ</w:t>
      </w:r>
      <w:r>
        <w:rPr>
          <w:spacing w:val="-12"/>
          <w:vertAlign w:val="baseline"/>
        </w:rPr>
        <w:t> </w:t>
      </w:r>
      <w:r>
        <w:rPr>
          <w:vertAlign w:val="baseline"/>
        </w:rPr>
        <w:t>youth,</w:t>
      </w:r>
      <w:r>
        <w:rPr>
          <w:spacing w:val="-11"/>
          <w:vertAlign w:val="baseline"/>
        </w:rPr>
        <w:t> </w:t>
      </w:r>
      <w:r>
        <w:rPr>
          <w:vertAlign w:val="baseline"/>
        </w:rPr>
        <w:t>or</w:t>
      </w:r>
      <w:r>
        <w:rPr>
          <w:spacing w:val="-11"/>
          <w:vertAlign w:val="baseline"/>
        </w:rPr>
        <w:t> </w:t>
      </w:r>
      <w:r>
        <w:rPr>
          <w:vertAlign w:val="baseline"/>
        </w:rPr>
        <w:t>find</w:t>
      </w:r>
      <w:r>
        <w:rPr>
          <w:spacing w:val="-11"/>
          <w:vertAlign w:val="baseline"/>
        </w:rPr>
        <w:t> </w:t>
      </w:r>
      <w:r>
        <w:rPr>
          <w:vertAlign w:val="baseline"/>
        </w:rPr>
        <w:t>reprieve</w:t>
      </w:r>
      <w:r>
        <w:rPr>
          <w:spacing w:val="-11"/>
          <w:vertAlign w:val="baseline"/>
        </w:rPr>
        <w:t> </w:t>
      </w:r>
      <w:r>
        <w:rPr>
          <w:vertAlign w:val="baseline"/>
        </w:rPr>
        <w:t>from</w:t>
      </w:r>
      <w:r>
        <w:rPr>
          <w:spacing w:val="-10"/>
          <w:vertAlign w:val="baseline"/>
        </w:rPr>
        <w:t> </w:t>
      </w:r>
      <w:r>
        <w:rPr>
          <w:vertAlign w:val="baseline"/>
        </w:rPr>
        <w:t>a</w:t>
      </w:r>
      <w:r>
        <w:rPr>
          <w:spacing w:val="-11"/>
          <w:vertAlign w:val="baseline"/>
        </w:rPr>
        <w:t> </w:t>
      </w:r>
      <w:r>
        <w:rPr>
          <w:vertAlign w:val="baseline"/>
        </w:rPr>
        <w:t>stressful</w:t>
      </w:r>
      <w:r>
        <w:rPr>
          <w:spacing w:val="-11"/>
          <w:vertAlign w:val="baseline"/>
        </w:rPr>
        <w:t> </w:t>
      </w:r>
      <w:r>
        <w:rPr>
          <w:vertAlign w:val="baseline"/>
        </w:rPr>
        <w:t>home</w:t>
      </w:r>
      <w:r>
        <w:rPr>
          <w:spacing w:val="-11"/>
          <w:vertAlign w:val="baseline"/>
        </w:rPr>
        <w:t> </w:t>
      </w:r>
      <w:r>
        <w:rPr>
          <w:vertAlign w:val="baseline"/>
        </w:rPr>
        <w:t>or</w:t>
      </w:r>
      <w:r>
        <w:rPr>
          <w:spacing w:val="-11"/>
          <w:vertAlign w:val="baseline"/>
        </w:rPr>
        <w:t> </w:t>
      </w:r>
      <w:r>
        <w:rPr>
          <w:vertAlign w:val="baseline"/>
        </w:rPr>
        <w:t>school</w:t>
      </w:r>
      <w:r>
        <w:rPr>
          <w:spacing w:val="-10"/>
          <w:vertAlign w:val="baseline"/>
        </w:rPr>
        <w:t> </w:t>
      </w:r>
      <w:r>
        <w:rPr>
          <w:vertAlign w:val="baseline"/>
        </w:rPr>
        <w:t>situation.</w:t>
      </w:r>
      <w:hyperlink w:history="true" w:anchor="_bookmark91">
        <w:r>
          <w:rPr>
            <w:vertAlign w:val="superscript"/>
          </w:rPr>
          <w:t>78</w:t>
        </w:r>
      </w:hyperlink>
      <w:r>
        <w:rPr>
          <w:vertAlign w:val="baseline"/>
        </w:rPr>
        <w:t> LGBTQ</w:t>
      </w:r>
      <w:r>
        <w:rPr>
          <w:spacing w:val="-2"/>
          <w:vertAlign w:val="baseline"/>
        </w:rPr>
        <w:t> </w:t>
      </w:r>
      <w:r>
        <w:rPr>
          <w:vertAlign w:val="baseline"/>
        </w:rPr>
        <w:t>youth</w:t>
      </w:r>
      <w:r>
        <w:rPr>
          <w:spacing w:val="-1"/>
          <w:vertAlign w:val="baseline"/>
        </w:rPr>
        <w:t> </w:t>
      </w:r>
      <w:r>
        <w:rPr>
          <w:vertAlign w:val="baseline"/>
        </w:rPr>
        <w:t>living</w:t>
      </w:r>
      <w:r>
        <w:rPr>
          <w:spacing w:val="-2"/>
          <w:vertAlign w:val="baseline"/>
        </w:rPr>
        <w:t> </w:t>
      </w:r>
      <w:r>
        <w:rPr>
          <w:vertAlign w:val="baseline"/>
        </w:rPr>
        <w:t>in</w:t>
      </w:r>
      <w:r>
        <w:rPr>
          <w:spacing w:val="-2"/>
          <w:vertAlign w:val="baseline"/>
        </w:rPr>
        <w:t> </w:t>
      </w:r>
      <w:r>
        <w:rPr>
          <w:vertAlign w:val="baseline"/>
        </w:rPr>
        <w:t>rural</w:t>
      </w:r>
      <w:r>
        <w:rPr>
          <w:spacing w:val="-1"/>
          <w:vertAlign w:val="baseline"/>
        </w:rPr>
        <w:t> </w:t>
      </w:r>
      <w:r>
        <w:rPr>
          <w:vertAlign w:val="baseline"/>
        </w:rPr>
        <w:t>or</w:t>
      </w:r>
      <w:r>
        <w:rPr>
          <w:spacing w:val="-2"/>
          <w:vertAlign w:val="baseline"/>
        </w:rPr>
        <w:t> </w:t>
      </w:r>
      <w:r>
        <w:rPr>
          <w:vertAlign w:val="baseline"/>
        </w:rPr>
        <w:t>remote</w:t>
      </w:r>
      <w:r>
        <w:rPr>
          <w:spacing w:val="-2"/>
          <w:vertAlign w:val="baseline"/>
        </w:rPr>
        <w:t> </w:t>
      </w:r>
      <w:r>
        <w:rPr>
          <w:vertAlign w:val="baseline"/>
        </w:rPr>
        <w:t>areas,</w:t>
      </w:r>
      <w:r>
        <w:rPr>
          <w:spacing w:val="-2"/>
          <w:vertAlign w:val="baseline"/>
        </w:rPr>
        <w:t> </w:t>
      </w:r>
      <w:r>
        <w:rPr>
          <w:vertAlign w:val="baseline"/>
        </w:rPr>
        <w:t>in</w:t>
      </w:r>
      <w:r>
        <w:rPr>
          <w:spacing w:val="-2"/>
          <w:vertAlign w:val="baseline"/>
        </w:rPr>
        <w:t> </w:t>
      </w:r>
      <w:r>
        <w:rPr>
          <w:vertAlign w:val="baseline"/>
        </w:rPr>
        <w:t>particular,</w:t>
      </w:r>
      <w:r>
        <w:rPr>
          <w:spacing w:val="-2"/>
          <w:vertAlign w:val="baseline"/>
        </w:rPr>
        <w:t> </w:t>
      </w:r>
      <w:r>
        <w:rPr>
          <w:vertAlign w:val="baseline"/>
        </w:rPr>
        <w:t>expressed</w:t>
      </w:r>
      <w:r>
        <w:rPr>
          <w:spacing w:val="-2"/>
          <w:vertAlign w:val="baseline"/>
        </w:rPr>
        <w:t> </w:t>
      </w:r>
      <w:r>
        <w:rPr>
          <w:vertAlign w:val="baseline"/>
        </w:rPr>
        <w:t>that</w:t>
      </w:r>
      <w:r>
        <w:rPr>
          <w:spacing w:val="-2"/>
          <w:vertAlign w:val="baseline"/>
        </w:rPr>
        <w:t> </w:t>
      </w:r>
      <w:r>
        <w:rPr>
          <w:vertAlign w:val="baseline"/>
        </w:rPr>
        <w:t>social</w:t>
      </w:r>
      <w:r>
        <w:rPr>
          <w:spacing w:val="-1"/>
          <w:vertAlign w:val="baseline"/>
        </w:rPr>
        <w:t> </w:t>
      </w:r>
      <w:r>
        <w:rPr>
          <w:vertAlign w:val="baseline"/>
        </w:rPr>
        <w:t>media</w:t>
      </w:r>
      <w:r>
        <w:rPr>
          <w:spacing w:val="-2"/>
          <w:vertAlign w:val="baseline"/>
        </w:rPr>
        <w:t> </w:t>
      </w:r>
      <w:r>
        <w:rPr>
          <w:vertAlign w:val="baseline"/>
        </w:rPr>
        <w:t>was</w:t>
      </w:r>
      <w:r>
        <w:rPr>
          <w:spacing w:val="-1"/>
          <w:vertAlign w:val="baseline"/>
        </w:rPr>
        <w:t> </w:t>
      </w:r>
      <w:r>
        <w:rPr>
          <w:vertAlign w:val="baseline"/>
        </w:rPr>
        <w:t>a vital</w:t>
      </w:r>
      <w:r>
        <w:rPr>
          <w:spacing w:val="-2"/>
          <w:vertAlign w:val="baseline"/>
        </w:rPr>
        <w:t> </w:t>
      </w:r>
      <w:r>
        <w:rPr>
          <w:vertAlign w:val="baseline"/>
        </w:rPr>
        <w:t>tool</w:t>
      </w:r>
      <w:r>
        <w:rPr>
          <w:spacing w:val="-2"/>
          <w:vertAlign w:val="baseline"/>
        </w:rPr>
        <w:t> </w:t>
      </w:r>
      <w:r>
        <w:rPr>
          <w:vertAlign w:val="baseline"/>
        </w:rPr>
        <w:t>to avoid feelings of isolation. </w:t>
      </w:r>
      <w:hyperlink w:history="true" w:anchor="_bookmark92">
        <w:r>
          <w:rPr>
            <w:vertAlign w:val="superscript"/>
          </w:rPr>
          <w:t>79</w:t>
        </w:r>
      </w:hyperlink>
      <w:r>
        <w:rPr>
          <w:vertAlign w:val="baseline"/>
        </w:rPr>
        <w:t> Additionally, meta-analysis has shown that positive social media use can lead to a reduction in mental illness symptoms and improvement in overall well-being.</w:t>
      </w:r>
      <w:hyperlink w:history="true" w:anchor="_bookmark92">
        <w:r>
          <w:rPr>
            <w:vertAlign w:val="superscript"/>
          </w:rPr>
          <w:t>80</w:t>
        </w:r>
      </w:hyperlink>
      <w:r>
        <w:rPr>
          <w:vertAlign w:val="baseline"/>
        </w:rPr>
        <w:t> On the other hand, social media allows bullies easy access to vulnerable youth.</w:t>
      </w:r>
    </w:p>
    <w:p>
      <w:pPr>
        <w:spacing w:after="0" w:line="276" w:lineRule="auto"/>
        <w:jc w:val="both"/>
        <w:sectPr>
          <w:pgSz w:w="11910" w:h="16840"/>
          <w:pgMar w:header="804" w:footer="1230" w:top="1080" w:bottom="1420" w:left="980" w:right="900"/>
        </w:sectPr>
      </w:pPr>
    </w:p>
    <w:p>
      <w:pPr>
        <w:pStyle w:val="BodyText"/>
        <w:spacing w:line="276" w:lineRule="auto" w:before="69"/>
        <w:ind w:left="463" w:right="281"/>
        <w:jc w:val="both"/>
      </w:pPr>
      <w:r>
        <w:rPr/>
        <w:t>There</w:t>
      </w:r>
      <w:r>
        <w:rPr>
          <w:spacing w:val="-10"/>
        </w:rPr>
        <w:t> </w:t>
      </w:r>
      <w:r>
        <w:rPr/>
        <w:t>are</w:t>
      </w:r>
      <w:r>
        <w:rPr>
          <w:spacing w:val="-10"/>
        </w:rPr>
        <w:t> </w:t>
      </w:r>
      <w:r>
        <w:rPr/>
        <w:t>a</w:t>
      </w:r>
      <w:r>
        <w:rPr>
          <w:spacing w:val="-10"/>
        </w:rPr>
        <w:t> </w:t>
      </w:r>
      <w:r>
        <w:rPr/>
        <w:t>number</w:t>
      </w:r>
      <w:r>
        <w:rPr>
          <w:spacing w:val="-10"/>
        </w:rPr>
        <w:t> </w:t>
      </w:r>
      <w:r>
        <w:rPr/>
        <w:t>of</w:t>
      </w:r>
      <w:r>
        <w:rPr>
          <w:spacing w:val="-10"/>
        </w:rPr>
        <w:t> </w:t>
      </w:r>
      <w:r>
        <w:rPr/>
        <w:t>interventions</w:t>
      </w:r>
      <w:r>
        <w:rPr>
          <w:spacing w:val="-10"/>
        </w:rPr>
        <w:t> </w:t>
      </w:r>
      <w:r>
        <w:rPr/>
        <w:t>that</w:t>
      </w:r>
      <w:r>
        <w:rPr>
          <w:spacing w:val="-11"/>
        </w:rPr>
        <w:t> </w:t>
      </w:r>
      <w:r>
        <w:rPr/>
        <w:t>can</w:t>
      </w:r>
      <w:r>
        <w:rPr>
          <w:spacing w:val="-10"/>
        </w:rPr>
        <w:t> </w:t>
      </w:r>
      <w:r>
        <w:rPr/>
        <w:t>be</w:t>
      </w:r>
      <w:r>
        <w:rPr>
          <w:spacing w:val="-9"/>
        </w:rPr>
        <w:t> </w:t>
      </w:r>
      <w:r>
        <w:rPr/>
        <w:t>taken</w:t>
      </w:r>
      <w:r>
        <w:rPr>
          <w:spacing w:val="-10"/>
        </w:rPr>
        <w:t> </w:t>
      </w:r>
      <w:r>
        <w:rPr/>
        <w:t>to</w:t>
      </w:r>
      <w:r>
        <w:rPr>
          <w:spacing w:val="-10"/>
        </w:rPr>
        <w:t> </w:t>
      </w:r>
      <w:r>
        <w:rPr/>
        <w:t>both</w:t>
      </w:r>
      <w:r>
        <w:rPr>
          <w:spacing w:val="-10"/>
        </w:rPr>
        <w:t> </w:t>
      </w:r>
      <w:r>
        <w:rPr/>
        <w:t>prevent</w:t>
      </w:r>
      <w:r>
        <w:rPr>
          <w:spacing w:val="-11"/>
        </w:rPr>
        <w:t> </w:t>
      </w:r>
      <w:r>
        <w:rPr/>
        <w:t>bullying</w:t>
      </w:r>
      <w:r>
        <w:rPr>
          <w:spacing w:val="-9"/>
        </w:rPr>
        <w:t> </w:t>
      </w:r>
      <w:r>
        <w:rPr/>
        <w:t>and</w:t>
      </w:r>
      <w:r>
        <w:rPr>
          <w:spacing w:val="-10"/>
        </w:rPr>
        <w:t> </w:t>
      </w:r>
      <w:r>
        <w:rPr/>
        <w:t>cyberbullying,</w:t>
      </w:r>
      <w:r>
        <w:rPr>
          <w:spacing w:val="-10"/>
        </w:rPr>
        <w:t> </w:t>
      </w:r>
      <w:r>
        <w:rPr/>
        <w:t>as</w:t>
      </w:r>
      <w:r>
        <w:rPr>
          <w:spacing w:val="-10"/>
        </w:rPr>
        <w:t> </w:t>
      </w:r>
      <w:r>
        <w:rPr/>
        <w:t>well as mitigate their negative long-term effects. Because bullying and cyberbullying involve so many actors (the bullies, the bullied, and the bystanders), these issues are often tackled through interventions at multiple levels of the SEM. Fostering an inclusive school climate is widely regarded as a crucial primary component</w:t>
      </w:r>
      <w:r>
        <w:rPr>
          <w:spacing w:val="-2"/>
        </w:rPr>
        <w:t> </w:t>
      </w:r>
      <w:r>
        <w:rPr/>
        <w:t>to</w:t>
      </w:r>
      <w:r>
        <w:rPr>
          <w:spacing w:val="-1"/>
        </w:rPr>
        <w:t> </w:t>
      </w:r>
      <w:r>
        <w:rPr/>
        <w:t>bullying</w:t>
      </w:r>
      <w:r>
        <w:rPr>
          <w:spacing w:val="-2"/>
        </w:rPr>
        <w:t> </w:t>
      </w:r>
      <w:r>
        <w:rPr/>
        <w:t>prevention.</w:t>
      </w:r>
      <w:r>
        <w:rPr>
          <w:spacing w:val="-2"/>
        </w:rPr>
        <w:t> </w:t>
      </w:r>
      <w:r>
        <w:rPr/>
        <w:t>This</w:t>
      </w:r>
      <w:r>
        <w:rPr>
          <w:spacing w:val="-1"/>
        </w:rPr>
        <w:t> </w:t>
      </w:r>
      <w:r>
        <w:rPr/>
        <w:t>can</w:t>
      </w:r>
      <w:r>
        <w:rPr>
          <w:spacing w:val="-2"/>
        </w:rPr>
        <w:t> </w:t>
      </w:r>
      <w:r>
        <w:rPr/>
        <w:t>be</w:t>
      </w:r>
      <w:r>
        <w:rPr>
          <w:spacing w:val="-2"/>
        </w:rPr>
        <w:t> </w:t>
      </w:r>
      <w:r>
        <w:rPr/>
        <w:t>done</w:t>
      </w:r>
      <w:r>
        <w:rPr>
          <w:spacing w:val="-2"/>
        </w:rPr>
        <w:t> </w:t>
      </w:r>
      <w:r>
        <w:rPr/>
        <w:t>through</w:t>
      </w:r>
      <w:r>
        <w:rPr>
          <w:spacing w:val="-2"/>
        </w:rPr>
        <w:t> </w:t>
      </w:r>
      <w:r>
        <w:rPr/>
        <w:t>a</w:t>
      </w:r>
      <w:r>
        <w:rPr>
          <w:spacing w:val="-1"/>
        </w:rPr>
        <w:t> </w:t>
      </w:r>
      <w:r>
        <w:rPr/>
        <w:t>variety</w:t>
      </w:r>
      <w:r>
        <w:rPr>
          <w:spacing w:val="-1"/>
        </w:rPr>
        <w:t> </w:t>
      </w:r>
      <w:r>
        <w:rPr/>
        <w:t>of</w:t>
      </w:r>
      <w:r>
        <w:rPr>
          <w:spacing w:val="-1"/>
        </w:rPr>
        <w:t> </w:t>
      </w:r>
      <w:r>
        <w:rPr/>
        <w:t>methods,</w:t>
      </w:r>
      <w:r>
        <w:rPr>
          <w:spacing w:val="-1"/>
        </w:rPr>
        <w:t> </w:t>
      </w:r>
      <w:r>
        <w:rPr/>
        <w:t>including</w:t>
      </w:r>
      <w:r>
        <w:rPr>
          <w:spacing w:val="-1"/>
        </w:rPr>
        <w:t> </w:t>
      </w:r>
      <w:r>
        <w:rPr/>
        <w:t>supporting GSAs, implementing anti-bullying policies and inclusive practices, and providing anti-bullying training to students,</w:t>
      </w:r>
      <w:r>
        <w:rPr>
          <w:spacing w:val="-2"/>
        </w:rPr>
        <w:t> </w:t>
      </w:r>
      <w:r>
        <w:rPr/>
        <w:t>faculty,</w:t>
      </w:r>
      <w:r>
        <w:rPr>
          <w:spacing w:val="-2"/>
        </w:rPr>
        <w:t> </w:t>
      </w:r>
      <w:r>
        <w:rPr/>
        <w:t>and</w:t>
      </w:r>
      <w:r>
        <w:rPr>
          <w:spacing w:val="-2"/>
        </w:rPr>
        <w:t> </w:t>
      </w:r>
      <w:r>
        <w:rPr/>
        <w:t>staff.</w:t>
      </w:r>
      <w:r>
        <w:rPr>
          <w:spacing w:val="-2"/>
        </w:rPr>
        <w:t> </w:t>
      </w:r>
      <w:r>
        <w:rPr/>
        <w:t>Although</w:t>
      </w:r>
      <w:r>
        <w:rPr>
          <w:spacing w:val="-2"/>
        </w:rPr>
        <w:t> </w:t>
      </w:r>
      <w:r>
        <w:rPr/>
        <w:t>teachers</w:t>
      </w:r>
      <w:r>
        <w:rPr>
          <w:spacing w:val="-1"/>
        </w:rPr>
        <w:t> </w:t>
      </w:r>
      <w:r>
        <w:rPr/>
        <w:t>are</w:t>
      </w:r>
      <w:r>
        <w:rPr>
          <w:spacing w:val="-2"/>
        </w:rPr>
        <w:t> </w:t>
      </w:r>
      <w:r>
        <w:rPr/>
        <w:t>in</w:t>
      </w:r>
      <w:r>
        <w:rPr>
          <w:spacing w:val="-1"/>
        </w:rPr>
        <w:t> </w:t>
      </w:r>
      <w:r>
        <w:rPr/>
        <w:t>a</w:t>
      </w:r>
      <w:r>
        <w:rPr>
          <w:spacing w:val="-2"/>
        </w:rPr>
        <w:t> </w:t>
      </w:r>
      <w:r>
        <w:rPr/>
        <w:t>prime</w:t>
      </w:r>
      <w:r>
        <w:rPr>
          <w:spacing w:val="-2"/>
        </w:rPr>
        <w:t> </w:t>
      </w:r>
      <w:r>
        <w:rPr/>
        <w:t>position</w:t>
      </w:r>
      <w:r>
        <w:rPr>
          <w:spacing w:val="-2"/>
        </w:rPr>
        <w:t> </w:t>
      </w:r>
      <w:r>
        <w:rPr/>
        <w:t>to</w:t>
      </w:r>
      <w:r>
        <w:rPr>
          <w:spacing w:val="-1"/>
        </w:rPr>
        <w:t> </w:t>
      </w:r>
      <w:r>
        <w:rPr/>
        <w:t>intervene</w:t>
      </w:r>
      <w:r>
        <w:rPr>
          <w:spacing w:val="-2"/>
        </w:rPr>
        <w:t> </w:t>
      </w:r>
      <w:r>
        <w:rPr/>
        <w:t>and</w:t>
      </w:r>
      <w:r>
        <w:rPr>
          <w:spacing w:val="-2"/>
        </w:rPr>
        <w:t> </w:t>
      </w:r>
      <w:r>
        <w:rPr/>
        <w:t>prevent</w:t>
      </w:r>
      <w:r>
        <w:rPr>
          <w:spacing w:val="-2"/>
        </w:rPr>
        <w:t> </w:t>
      </w:r>
      <w:r>
        <w:rPr/>
        <w:t>bullying, very</w:t>
      </w:r>
      <w:r>
        <w:rPr>
          <w:spacing w:val="-9"/>
        </w:rPr>
        <w:t> </w:t>
      </w:r>
      <w:r>
        <w:rPr/>
        <w:t>few</w:t>
      </w:r>
      <w:r>
        <w:rPr>
          <w:spacing w:val="-8"/>
        </w:rPr>
        <w:t> </w:t>
      </w:r>
      <w:r>
        <w:rPr/>
        <w:t>have</w:t>
      </w:r>
      <w:r>
        <w:rPr>
          <w:spacing w:val="-9"/>
        </w:rPr>
        <w:t> </w:t>
      </w:r>
      <w:r>
        <w:rPr/>
        <w:t>received</w:t>
      </w:r>
      <w:r>
        <w:rPr>
          <w:spacing w:val="-8"/>
        </w:rPr>
        <w:t> </w:t>
      </w:r>
      <w:r>
        <w:rPr/>
        <w:t>LGBTQ-specific</w:t>
      </w:r>
      <w:r>
        <w:rPr>
          <w:spacing w:val="-8"/>
        </w:rPr>
        <w:t> </w:t>
      </w:r>
      <w:r>
        <w:rPr/>
        <w:t>training</w:t>
      </w:r>
      <w:r>
        <w:rPr>
          <w:spacing w:val="-8"/>
        </w:rPr>
        <w:t> </w:t>
      </w:r>
      <w:r>
        <w:rPr/>
        <w:t>or</w:t>
      </w:r>
      <w:r>
        <w:rPr>
          <w:spacing w:val="-9"/>
        </w:rPr>
        <w:t> </w:t>
      </w:r>
      <w:r>
        <w:rPr/>
        <w:t>support.</w:t>
      </w:r>
      <w:r>
        <w:rPr>
          <w:spacing w:val="-8"/>
        </w:rPr>
        <w:t> </w:t>
      </w:r>
      <w:hyperlink w:history="true" w:anchor="_bookmark92">
        <w:r>
          <w:rPr>
            <w:vertAlign w:val="superscript"/>
          </w:rPr>
          <w:t>81</w:t>
        </w:r>
      </w:hyperlink>
      <w:r>
        <w:rPr>
          <w:spacing w:val="-8"/>
          <w:vertAlign w:val="baseline"/>
        </w:rPr>
        <w:t> </w:t>
      </w:r>
      <w:r>
        <w:rPr>
          <w:vertAlign w:val="baseline"/>
        </w:rPr>
        <w:t>Nationally,</w:t>
      </w:r>
      <w:r>
        <w:rPr>
          <w:spacing w:val="-9"/>
          <w:vertAlign w:val="baseline"/>
        </w:rPr>
        <w:t> </w:t>
      </w:r>
      <w:r>
        <w:rPr>
          <w:vertAlign w:val="baseline"/>
        </w:rPr>
        <w:t>69.6%</w:t>
      </w:r>
      <w:r>
        <w:rPr>
          <w:spacing w:val="-8"/>
          <w:vertAlign w:val="baseline"/>
        </w:rPr>
        <w:t> </w:t>
      </w:r>
      <w:r>
        <w:rPr>
          <w:vertAlign w:val="baseline"/>
        </w:rPr>
        <w:t>of</w:t>
      </w:r>
      <w:r>
        <w:rPr>
          <w:spacing w:val="-9"/>
          <w:vertAlign w:val="baseline"/>
        </w:rPr>
        <w:t> </w:t>
      </w:r>
      <w:r>
        <w:rPr>
          <w:vertAlign w:val="baseline"/>
        </w:rPr>
        <w:t>students</w:t>
      </w:r>
      <w:r>
        <w:rPr>
          <w:spacing w:val="-7"/>
          <w:vertAlign w:val="baseline"/>
        </w:rPr>
        <w:t> </w:t>
      </w:r>
      <w:r>
        <w:rPr>
          <w:vertAlign w:val="baseline"/>
        </w:rPr>
        <w:t>reported</w:t>
      </w:r>
      <w:r>
        <w:rPr>
          <w:spacing w:val="-8"/>
          <w:vertAlign w:val="baseline"/>
        </w:rPr>
        <w:t> </w:t>
      </w:r>
      <w:r>
        <w:rPr>
          <w:vertAlign w:val="baseline"/>
        </w:rPr>
        <w:t>that they did not report an incident of harassment or bullying due to a lack of confidence in school staff responding appropriately to the report</w:t>
      </w:r>
      <w:hyperlink w:history="true" w:anchor="_bookmark93">
        <w:r>
          <w:rPr>
            <w:vertAlign w:val="baseline"/>
          </w:rPr>
          <w:t>.</w:t>
        </w:r>
        <w:r>
          <w:rPr>
            <w:vertAlign w:val="superscript"/>
          </w:rPr>
          <w:t>82</w:t>
        </w:r>
      </w:hyperlink>
      <w:r>
        <w:rPr>
          <w:vertAlign w:val="baseline"/>
        </w:rPr>
        <w:t> Nationally, only a third of teachers have received training in how</w:t>
      </w:r>
      <w:r>
        <w:rPr>
          <w:spacing w:val="-13"/>
          <w:vertAlign w:val="baseline"/>
        </w:rPr>
        <w:t> </w:t>
      </w:r>
      <w:r>
        <w:rPr>
          <w:vertAlign w:val="baseline"/>
        </w:rPr>
        <w:t>to</w:t>
      </w:r>
      <w:r>
        <w:rPr>
          <w:spacing w:val="-12"/>
          <w:vertAlign w:val="baseline"/>
        </w:rPr>
        <w:t> </w:t>
      </w:r>
      <w:r>
        <w:rPr>
          <w:vertAlign w:val="baseline"/>
        </w:rPr>
        <w:t>support</w:t>
      </w:r>
      <w:r>
        <w:rPr>
          <w:spacing w:val="-13"/>
          <w:vertAlign w:val="baseline"/>
        </w:rPr>
        <w:t> </w:t>
      </w:r>
      <w:r>
        <w:rPr>
          <w:vertAlign w:val="baseline"/>
        </w:rPr>
        <w:t>LGBTQ</w:t>
      </w:r>
      <w:r>
        <w:rPr>
          <w:spacing w:val="-12"/>
          <w:vertAlign w:val="baseline"/>
        </w:rPr>
        <w:t> </w:t>
      </w:r>
      <w:r>
        <w:rPr>
          <w:vertAlign w:val="baseline"/>
        </w:rPr>
        <w:t>students</w:t>
      </w:r>
      <w:r>
        <w:rPr>
          <w:spacing w:val="-13"/>
          <w:vertAlign w:val="baseline"/>
        </w:rPr>
        <w:t> </w:t>
      </w:r>
      <w:r>
        <w:rPr>
          <w:vertAlign w:val="baseline"/>
        </w:rPr>
        <w:t>and</w:t>
      </w:r>
      <w:r>
        <w:rPr>
          <w:spacing w:val="-12"/>
          <w:vertAlign w:val="baseline"/>
        </w:rPr>
        <w:t> </w:t>
      </w:r>
      <w:r>
        <w:rPr>
          <w:vertAlign w:val="baseline"/>
        </w:rPr>
        <w:t>only</w:t>
      </w:r>
      <w:r>
        <w:rPr>
          <w:spacing w:val="-13"/>
          <w:vertAlign w:val="baseline"/>
        </w:rPr>
        <w:t> </w:t>
      </w:r>
      <w:r>
        <w:rPr>
          <w:vertAlign w:val="baseline"/>
        </w:rPr>
        <w:t>a</w:t>
      </w:r>
      <w:r>
        <w:rPr>
          <w:spacing w:val="-12"/>
          <w:vertAlign w:val="baseline"/>
        </w:rPr>
        <w:t> </w:t>
      </w:r>
      <w:r>
        <w:rPr>
          <w:vertAlign w:val="baseline"/>
        </w:rPr>
        <w:t>quarter</w:t>
      </w:r>
      <w:r>
        <w:rPr>
          <w:spacing w:val="-12"/>
          <w:vertAlign w:val="baseline"/>
        </w:rPr>
        <w:t> </w:t>
      </w:r>
      <w:r>
        <w:rPr>
          <w:vertAlign w:val="baseline"/>
        </w:rPr>
        <w:t>have</w:t>
      </w:r>
      <w:r>
        <w:rPr>
          <w:spacing w:val="-13"/>
          <w:vertAlign w:val="baseline"/>
        </w:rPr>
        <w:t> </w:t>
      </w:r>
      <w:r>
        <w:rPr>
          <w:vertAlign w:val="baseline"/>
        </w:rPr>
        <w:t>received</w:t>
      </w:r>
      <w:r>
        <w:rPr>
          <w:spacing w:val="-12"/>
          <w:vertAlign w:val="baseline"/>
        </w:rPr>
        <w:t> </w:t>
      </w:r>
      <w:r>
        <w:rPr>
          <w:vertAlign w:val="baseline"/>
        </w:rPr>
        <w:t>a</w:t>
      </w:r>
      <w:r>
        <w:rPr>
          <w:spacing w:val="-13"/>
          <w:vertAlign w:val="baseline"/>
        </w:rPr>
        <w:t> </w:t>
      </w:r>
      <w:r>
        <w:rPr>
          <w:vertAlign w:val="baseline"/>
        </w:rPr>
        <w:t>similar</w:t>
      </w:r>
      <w:r>
        <w:rPr>
          <w:spacing w:val="-12"/>
          <w:vertAlign w:val="baseline"/>
        </w:rPr>
        <w:t> </w:t>
      </w:r>
      <w:r>
        <w:rPr>
          <w:vertAlign w:val="baseline"/>
        </w:rPr>
        <w:t>training</w:t>
      </w:r>
      <w:r>
        <w:rPr>
          <w:spacing w:val="-13"/>
          <w:vertAlign w:val="baseline"/>
        </w:rPr>
        <w:t> </w:t>
      </w:r>
      <w:r>
        <w:rPr>
          <w:vertAlign w:val="baseline"/>
        </w:rPr>
        <w:t>regarding</w:t>
      </w:r>
      <w:r>
        <w:rPr>
          <w:spacing w:val="-12"/>
          <w:vertAlign w:val="baseline"/>
        </w:rPr>
        <w:t> </w:t>
      </w:r>
      <w:r>
        <w:rPr>
          <w:vertAlign w:val="baseline"/>
        </w:rPr>
        <w:t>transgender students, </w:t>
      </w:r>
      <w:r>
        <w:rPr>
          <w:color w:val="000000"/>
          <w:shd w:fill="FAFAFA" w:color="auto" w:val="clear"/>
          <w:vertAlign w:val="baseline"/>
        </w:rPr>
        <w:t>leaving the majority of teachers unaware</w:t>
      </w:r>
      <w:r>
        <w:rPr>
          <w:color w:val="000000"/>
          <w:vertAlign w:val="baseline"/>
        </w:rPr>
        <w:t> </w:t>
      </w:r>
      <w:r>
        <w:rPr>
          <w:color w:val="000000"/>
          <w:shd w:fill="FAFAFA" w:color="auto" w:val="clear"/>
          <w:vertAlign w:val="baseline"/>
        </w:rPr>
        <w:t>of how to appropriately support students who may</w:t>
      </w:r>
      <w:r>
        <w:rPr>
          <w:color w:val="000000"/>
          <w:vertAlign w:val="baseline"/>
        </w:rPr>
        <w:t> </w:t>
      </w:r>
      <w:r>
        <w:rPr>
          <w:color w:val="000000"/>
          <w:shd w:fill="FAFAFA" w:color="auto" w:val="clear"/>
          <w:vertAlign w:val="baseline"/>
        </w:rPr>
        <w:t>come forward to report bullying.</w:t>
      </w:r>
      <w:hyperlink w:history="true" w:anchor="_bookmark87">
        <w:r>
          <w:rPr>
            <w:color w:val="000000"/>
            <w:vertAlign w:val="superscript"/>
          </w:rPr>
          <w:t>83</w:t>
        </w:r>
      </w:hyperlink>
    </w:p>
    <w:p>
      <w:pPr>
        <w:pStyle w:val="BodyText"/>
        <w:rPr>
          <w:sz w:val="20"/>
        </w:rPr>
      </w:pPr>
    </w:p>
    <w:p>
      <w:pPr>
        <w:pStyle w:val="BodyText"/>
        <w:rPr>
          <w:sz w:val="20"/>
        </w:rPr>
      </w:pPr>
    </w:p>
    <w:p>
      <w:pPr>
        <w:pStyle w:val="BodyText"/>
        <w:spacing w:before="153"/>
        <w:rPr>
          <w:sz w:val="20"/>
        </w:rPr>
      </w:pPr>
      <w:r>
        <w:rPr/>
        <w:drawing>
          <wp:anchor distT="0" distB="0" distL="0" distR="0" allowOverlap="1" layoutInCell="1" locked="0" behindDoc="1" simplePos="0" relativeHeight="487612416">
            <wp:simplePos x="0" y="0"/>
            <wp:positionH relativeFrom="page">
              <wp:posOffset>925207</wp:posOffset>
            </wp:positionH>
            <wp:positionV relativeFrom="paragraph">
              <wp:posOffset>267885</wp:posOffset>
            </wp:positionV>
            <wp:extent cx="5743801" cy="3804570"/>
            <wp:effectExtent l="0" t="0" r="0" b="0"/>
            <wp:wrapTopAndBottom/>
            <wp:docPr id="183" name="Image 183" descr="A diagram of bullying and cyberbullying in massachusetts  Description automatically generated "/>
            <wp:cNvGraphicFramePr>
              <a:graphicFrameLocks/>
            </wp:cNvGraphicFramePr>
            <a:graphic>
              <a:graphicData uri="http://schemas.openxmlformats.org/drawingml/2006/picture">
                <pic:pic>
                  <pic:nvPicPr>
                    <pic:cNvPr id="183" name="Image 183" descr="A diagram of bullying and cyberbullying in massachusetts  Description automatically generated "/>
                    <pic:cNvPicPr/>
                  </pic:nvPicPr>
                  <pic:blipFill>
                    <a:blip r:embed="rId134" cstate="print"/>
                    <a:stretch>
                      <a:fillRect/>
                    </a:stretch>
                  </pic:blipFill>
                  <pic:spPr>
                    <a:xfrm>
                      <a:off x="0" y="0"/>
                      <a:ext cx="5743801" cy="3804570"/>
                    </a:xfrm>
                    <a:prstGeom prst="rect">
                      <a:avLst/>
                    </a:prstGeom>
                  </pic:spPr>
                </pic:pic>
              </a:graphicData>
            </a:graphic>
          </wp:anchor>
        </w:drawing>
      </w:r>
    </w:p>
    <w:p>
      <w:pPr>
        <w:pStyle w:val="BodyText"/>
      </w:pPr>
    </w:p>
    <w:p>
      <w:pPr>
        <w:pStyle w:val="BodyText"/>
      </w:pPr>
    </w:p>
    <w:p>
      <w:pPr>
        <w:pStyle w:val="BodyText"/>
        <w:spacing w:before="2"/>
      </w:pPr>
    </w:p>
    <w:p>
      <w:pPr>
        <w:pStyle w:val="BodyText"/>
        <w:spacing w:line="276" w:lineRule="auto"/>
        <w:ind w:left="458" w:right="531"/>
        <w:jc w:val="both"/>
      </w:pPr>
      <w:r>
        <w:rPr>
          <w:color w:val="000000"/>
          <w:shd w:fill="FAFAFA" w:color="auto" w:val="clear"/>
        </w:rPr>
        <w:t>This</w:t>
      </w:r>
      <w:r>
        <w:rPr>
          <w:color w:val="000000"/>
          <w:spacing w:val="-3"/>
          <w:shd w:fill="FAFAFA" w:color="auto" w:val="clear"/>
        </w:rPr>
        <w:t> </w:t>
      </w:r>
      <w:r>
        <w:rPr>
          <w:color w:val="000000"/>
          <w:shd w:fill="FAFAFA" w:color="auto" w:val="clear"/>
        </w:rPr>
        <w:t>lack</w:t>
      </w:r>
      <w:r>
        <w:rPr>
          <w:color w:val="000000"/>
          <w:spacing w:val="-3"/>
          <w:shd w:fill="FAFAFA" w:color="auto" w:val="clear"/>
        </w:rPr>
        <w:t> </w:t>
      </w:r>
      <w:r>
        <w:rPr>
          <w:color w:val="000000"/>
          <w:shd w:fill="FAFAFA" w:color="auto" w:val="clear"/>
        </w:rPr>
        <w:t>of</w:t>
      </w:r>
      <w:r>
        <w:rPr>
          <w:color w:val="000000"/>
          <w:spacing w:val="-2"/>
          <w:shd w:fill="FAFAFA" w:color="auto" w:val="clear"/>
        </w:rPr>
        <w:t> </w:t>
      </w:r>
      <w:r>
        <w:rPr>
          <w:color w:val="000000"/>
          <w:shd w:fill="FAFAFA" w:color="auto" w:val="clear"/>
        </w:rPr>
        <w:t>knowledge</w:t>
      </w:r>
      <w:r>
        <w:rPr>
          <w:color w:val="000000"/>
          <w:spacing w:val="-2"/>
          <w:shd w:fill="FAFAFA" w:color="auto" w:val="clear"/>
        </w:rPr>
        <w:t> </w:t>
      </w:r>
      <w:r>
        <w:rPr>
          <w:color w:val="000000"/>
          <w:shd w:fill="FAFAFA" w:color="auto" w:val="clear"/>
        </w:rPr>
        <w:t>is</w:t>
      </w:r>
      <w:r>
        <w:rPr>
          <w:color w:val="000000"/>
          <w:spacing w:val="-1"/>
          <w:shd w:fill="FAFAFA" w:color="auto" w:val="clear"/>
        </w:rPr>
        <w:t> </w:t>
      </w:r>
      <w:r>
        <w:rPr>
          <w:color w:val="000000"/>
          <w:shd w:fill="FAFAFA" w:color="auto" w:val="clear"/>
        </w:rPr>
        <w:t>multiplied</w:t>
      </w:r>
      <w:r>
        <w:rPr>
          <w:color w:val="000000"/>
          <w:spacing w:val="-2"/>
          <w:shd w:fill="FAFAFA" w:color="auto" w:val="clear"/>
        </w:rPr>
        <w:t> </w:t>
      </w:r>
      <w:r>
        <w:rPr>
          <w:color w:val="000000"/>
          <w:shd w:fill="FAFAFA" w:color="auto" w:val="clear"/>
        </w:rPr>
        <w:t>for</w:t>
      </w:r>
      <w:r>
        <w:rPr>
          <w:color w:val="000000"/>
          <w:spacing w:val="-3"/>
          <w:shd w:fill="FAFAFA" w:color="auto" w:val="clear"/>
        </w:rPr>
        <w:t> </w:t>
      </w:r>
      <w:r>
        <w:rPr>
          <w:color w:val="000000"/>
          <w:shd w:fill="FAFAFA" w:color="auto" w:val="clear"/>
        </w:rPr>
        <w:t>LGBTQ</w:t>
      </w:r>
      <w:r>
        <w:rPr>
          <w:color w:val="000000"/>
          <w:spacing w:val="-3"/>
          <w:shd w:fill="FAFAFA" w:color="auto" w:val="clear"/>
        </w:rPr>
        <w:t> </w:t>
      </w:r>
      <w:r>
        <w:rPr>
          <w:color w:val="000000"/>
          <w:shd w:fill="FAFAFA" w:color="auto" w:val="clear"/>
        </w:rPr>
        <w:t>students</w:t>
      </w:r>
      <w:r>
        <w:rPr>
          <w:color w:val="000000"/>
          <w:spacing w:val="-3"/>
          <w:shd w:fill="FAFAFA" w:color="auto" w:val="clear"/>
        </w:rPr>
        <w:t> </w:t>
      </w:r>
      <w:r>
        <w:rPr>
          <w:color w:val="000000"/>
          <w:shd w:fill="FAFAFA" w:color="auto" w:val="clear"/>
        </w:rPr>
        <w:t>of</w:t>
      </w:r>
      <w:r>
        <w:rPr>
          <w:color w:val="000000"/>
          <w:spacing w:val="-2"/>
          <w:shd w:fill="FAFAFA" w:color="auto" w:val="clear"/>
        </w:rPr>
        <w:t> </w:t>
      </w:r>
      <w:r>
        <w:rPr>
          <w:color w:val="000000"/>
          <w:shd w:fill="FAFAFA" w:color="auto" w:val="clear"/>
        </w:rPr>
        <w:t>color,</w:t>
      </w:r>
      <w:r>
        <w:rPr>
          <w:color w:val="000000"/>
          <w:spacing w:val="-3"/>
          <w:shd w:fill="FAFAFA" w:color="auto" w:val="clear"/>
        </w:rPr>
        <w:t> </w:t>
      </w:r>
      <w:r>
        <w:rPr>
          <w:color w:val="000000"/>
          <w:shd w:fill="FAFAFA" w:color="auto" w:val="clear"/>
        </w:rPr>
        <w:t>who</w:t>
      </w:r>
      <w:r>
        <w:rPr>
          <w:color w:val="000000"/>
          <w:spacing w:val="-2"/>
          <w:shd w:fill="FAFAFA" w:color="auto" w:val="clear"/>
        </w:rPr>
        <w:t> </w:t>
      </w:r>
      <w:r>
        <w:rPr>
          <w:color w:val="000000"/>
          <w:shd w:fill="FAFAFA" w:color="auto" w:val="clear"/>
        </w:rPr>
        <w:t>feel</w:t>
      </w:r>
      <w:r>
        <w:rPr>
          <w:color w:val="000000"/>
          <w:spacing w:val="-2"/>
          <w:shd w:fill="FAFAFA" w:color="auto" w:val="clear"/>
        </w:rPr>
        <w:t> </w:t>
      </w:r>
      <w:r>
        <w:rPr>
          <w:color w:val="000000"/>
          <w:shd w:fill="FAFAFA" w:color="auto" w:val="clear"/>
        </w:rPr>
        <w:t>even</w:t>
      </w:r>
      <w:r>
        <w:rPr>
          <w:color w:val="000000"/>
          <w:spacing w:val="-3"/>
          <w:shd w:fill="FAFAFA" w:color="auto" w:val="clear"/>
        </w:rPr>
        <w:t> </w:t>
      </w:r>
      <w:r>
        <w:rPr>
          <w:color w:val="000000"/>
          <w:shd w:fill="FAFAFA" w:color="auto" w:val="clear"/>
        </w:rPr>
        <w:t>less</w:t>
      </w:r>
      <w:r>
        <w:rPr>
          <w:color w:val="000000"/>
          <w:spacing w:val="-3"/>
          <w:shd w:fill="FAFAFA" w:color="auto" w:val="clear"/>
        </w:rPr>
        <w:t> </w:t>
      </w:r>
      <w:r>
        <w:rPr>
          <w:color w:val="000000"/>
          <w:shd w:fill="FAFAFA" w:color="auto" w:val="clear"/>
        </w:rPr>
        <w:t>supported</w:t>
      </w:r>
      <w:r>
        <w:rPr>
          <w:color w:val="000000"/>
          <w:spacing w:val="-2"/>
          <w:shd w:fill="FAFAFA" w:color="auto" w:val="clear"/>
        </w:rPr>
        <w:t> </w:t>
      </w:r>
      <w:r>
        <w:rPr>
          <w:color w:val="000000"/>
          <w:shd w:fill="FAFAFA" w:color="auto" w:val="clear"/>
        </w:rPr>
        <w:t>due</w:t>
      </w:r>
      <w:r>
        <w:rPr>
          <w:color w:val="000000"/>
          <w:spacing w:val="-2"/>
          <w:shd w:fill="FAFAFA" w:color="auto" w:val="clear"/>
        </w:rPr>
        <w:t> </w:t>
      </w:r>
      <w:r>
        <w:rPr>
          <w:color w:val="000000"/>
          <w:shd w:fill="FAFAFA" w:color="auto" w:val="clear"/>
        </w:rPr>
        <w:t>to</w:t>
      </w:r>
      <w:r>
        <w:rPr>
          <w:color w:val="000000"/>
        </w:rPr>
        <w:t> </w:t>
      </w:r>
      <w:r>
        <w:rPr>
          <w:color w:val="000000"/>
          <w:shd w:fill="FAFAFA" w:color="auto" w:val="clear"/>
        </w:rPr>
        <w:t>having to explain both their sexual orientation and/or gender identity, as well as their racial and/or</w:t>
      </w:r>
      <w:r>
        <w:rPr>
          <w:color w:val="000000"/>
        </w:rPr>
        <w:t> </w:t>
      </w:r>
      <w:r>
        <w:rPr>
          <w:color w:val="000000"/>
          <w:shd w:fill="FAFAFA" w:color="auto" w:val="clear"/>
        </w:rPr>
        <w:t>ethnic identity to faculty and staff members before receiving assistance. </w:t>
      </w:r>
      <w:hyperlink w:history="true" w:anchor="_bookmark87">
        <w:r>
          <w:rPr>
            <w:color w:val="000000"/>
            <w:vertAlign w:val="superscript"/>
          </w:rPr>
          <w:t>84</w:t>
        </w:r>
      </w:hyperlink>
      <w:r>
        <w:rPr>
          <w:color w:val="000000"/>
          <w:vertAlign w:val="baseline"/>
        </w:rPr>
        <w:t> The Massachusetts Department</w:t>
      </w:r>
      <w:r>
        <w:rPr>
          <w:color w:val="000000"/>
          <w:spacing w:val="-3"/>
          <w:vertAlign w:val="baseline"/>
        </w:rPr>
        <w:t> </w:t>
      </w:r>
      <w:r>
        <w:rPr>
          <w:color w:val="000000"/>
          <w:vertAlign w:val="baseline"/>
        </w:rPr>
        <w:t>of</w:t>
      </w:r>
      <w:r>
        <w:rPr>
          <w:color w:val="000000"/>
          <w:spacing w:val="-4"/>
          <w:vertAlign w:val="baseline"/>
        </w:rPr>
        <w:t> </w:t>
      </w:r>
      <w:r>
        <w:rPr>
          <w:color w:val="000000"/>
          <w:vertAlign w:val="baseline"/>
        </w:rPr>
        <w:t>Elementary</w:t>
      </w:r>
      <w:r>
        <w:rPr>
          <w:color w:val="000000"/>
          <w:spacing w:val="-4"/>
          <w:vertAlign w:val="baseline"/>
        </w:rPr>
        <w:t> </w:t>
      </w:r>
      <w:r>
        <w:rPr>
          <w:color w:val="000000"/>
          <w:vertAlign w:val="baseline"/>
        </w:rPr>
        <w:t>and</w:t>
      </w:r>
      <w:r>
        <w:rPr>
          <w:color w:val="000000"/>
          <w:spacing w:val="-4"/>
          <w:vertAlign w:val="baseline"/>
        </w:rPr>
        <w:t> </w:t>
      </w:r>
      <w:r>
        <w:rPr>
          <w:color w:val="000000"/>
          <w:vertAlign w:val="baseline"/>
        </w:rPr>
        <w:t>Secondary</w:t>
      </w:r>
      <w:r>
        <w:rPr>
          <w:color w:val="000000"/>
          <w:spacing w:val="-4"/>
          <w:vertAlign w:val="baseline"/>
        </w:rPr>
        <w:t> </w:t>
      </w:r>
      <w:r>
        <w:rPr>
          <w:color w:val="000000"/>
          <w:vertAlign w:val="baseline"/>
        </w:rPr>
        <w:t>Education</w:t>
      </w:r>
      <w:r>
        <w:rPr>
          <w:color w:val="000000"/>
          <w:spacing w:val="-3"/>
          <w:vertAlign w:val="baseline"/>
        </w:rPr>
        <w:t> </w:t>
      </w:r>
      <w:r>
        <w:rPr>
          <w:color w:val="000000"/>
          <w:vertAlign w:val="baseline"/>
        </w:rPr>
        <w:t>(DESE)</w:t>
      </w:r>
      <w:r>
        <w:rPr>
          <w:color w:val="000000"/>
          <w:spacing w:val="-3"/>
          <w:vertAlign w:val="baseline"/>
        </w:rPr>
        <w:t> </w:t>
      </w:r>
      <w:r>
        <w:rPr>
          <w:color w:val="000000"/>
          <w:vertAlign w:val="baseline"/>
        </w:rPr>
        <w:t>and</w:t>
      </w:r>
      <w:r>
        <w:rPr>
          <w:color w:val="000000"/>
          <w:spacing w:val="-4"/>
          <w:vertAlign w:val="baseline"/>
        </w:rPr>
        <w:t> </w:t>
      </w:r>
      <w:r>
        <w:rPr>
          <w:color w:val="000000"/>
          <w:vertAlign w:val="baseline"/>
        </w:rPr>
        <w:t>the</w:t>
      </w:r>
      <w:r>
        <w:rPr>
          <w:color w:val="000000"/>
          <w:spacing w:val="-4"/>
          <w:vertAlign w:val="baseline"/>
        </w:rPr>
        <w:t> </w:t>
      </w:r>
      <w:r>
        <w:rPr>
          <w:color w:val="000000"/>
          <w:vertAlign w:val="baseline"/>
        </w:rPr>
        <w:t>Commission</w:t>
      </w:r>
      <w:r>
        <w:rPr>
          <w:color w:val="000000"/>
          <w:spacing w:val="-4"/>
          <w:vertAlign w:val="baseline"/>
        </w:rPr>
        <w:t> </w:t>
      </w:r>
      <w:r>
        <w:rPr>
          <w:color w:val="000000"/>
          <w:vertAlign w:val="baseline"/>
        </w:rPr>
        <w:t>jointly</w:t>
      </w:r>
      <w:r>
        <w:rPr>
          <w:color w:val="000000"/>
          <w:spacing w:val="-4"/>
          <w:vertAlign w:val="baseline"/>
        </w:rPr>
        <w:t> </w:t>
      </w:r>
      <w:r>
        <w:rPr>
          <w:color w:val="000000"/>
          <w:vertAlign w:val="baseline"/>
        </w:rPr>
        <w:t>host</w:t>
      </w:r>
      <w:r>
        <w:rPr>
          <w:color w:val="000000"/>
          <w:spacing w:val="-4"/>
          <w:vertAlign w:val="baseline"/>
        </w:rPr>
        <w:t> </w:t>
      </w:r>
      <w:r>
        <w:rPr>
          <w:color w:val="000000"/>
          <w:vertAlign w:val="baseline"/>
        </w:rPr>
        <w:t>the</w:t>
      </w:r>
      <w:r>
        <w:rPr>
          <w:color w:val="000000"/>
          <w:spacing w:val="-4"/>
          <w:vertAlign w:val="baseline"/>
        </w:rPr>
        <w:t> </w:t>
      </w:r>
      <w:r>
        <w:rPr>
          <w:color w:val="000000"/>
          <w:vertAlign w:val="baseline"/>
        </w:rPr>
        <w:t>Safe Schools Program for LGBTQ Students, which supports schools through curriculum development, professional trainings, and management of the Massachusetts Gender and Sexuality Alliance (GSA) Student Leadership Council.</w:t>
      </w:r>
      <w:r>
        <w:rPr>
          <w:color w:val="000000"/>
          <w:vertAlign w:val="superscript"/>
        </w:rPr>
        <w:t>85</w:t>
      </w:r>
      <w:r>
        <w:rPr>
          <w:color w:val="000000"/>
          <w:vertAlign w:val="baseline"/>
        </w:rPr>
        <w:t> Although the training content and length varies from school to school, students</w:t>
      </w:r>
      <w:r>
        <w:rPr>
          <w:color w:val="000000"/>
          <w:spacing w:val="-6"/>
          <w:vertAlign w:val="baseline"/>
        </w:rPr>
        <w:t> </w:t>
      </w:r>
      <w:r>
        <w:rPr>
          <w:color w:val="000000"/>
          <w:vertAlign w:val="baseline"/>
        </w:rPr>
        <w:t>whose</w:t>
      </w:r>
      <w:r>
        <w:rPr>
          <w:color w:val="000000"/>
          <w:spacing w:val="-7"/>
          <w:vertAlign w:val="baseline"/>
        </w:rPr>
        <w:t> </w:t>
      </w:r>
      <w:r>
        <w:rPr>
          <w:color w:val="000000"/>
          <w:vertAlign w:val="baseline"/>
        </w:rPr>
        <w:t>teachers</w:t>
      </w:r>
      <w:r>
        <w:rPr>
          <w:color w:val="000000"/>
          <w:spacing w:val="-6"/>
          <w:vertAlign w:val="baseline"/>
        </w:rPr>
        <w:t> </w:t>
      </w:r>
      <w:r>
        <w:rPr>
          <w:color w:val="000000"/>
          <w:vertAlign w:val="baseline"/>
        </w:rPr>
        <w:t>received</w:t>
      </w:r>
      <w:r>
        <w:rPr>
          <w:color w:val="000000"/>
          <w:spacing w:val="-5"/>
          <w:vertAlign w:val="baseline"/>
        </w:rPr>
        <w:t> </w:t>
      </w:r>
      <w:r>
        <w:rPr>
          <w:color w:val="000000"/>
          <w:vertAlign w:val="baseline"/>
        </w:rPr>
        <w:t>Safe</w:t>
      </w:r>
      <w:r>
        <w:rPr>
          <w:color w:val="000000"/>
          <w:spacing w:val="-4"/>
          <w:vertAlign w:val="baseline"/>
        </w:rPr>
        <w:t> </w:t>
      </w:r>
      <w:r>
        <w:rPr>
          <w:color w:val="000000"/>
          <w:vertAlign w:val="baseline"/>
        </w:rPr>
        <w:t>Schools</w:t>
      </w:r>
      <w:r>
        <w:rPr>
          <w:color w:val="000000"/>
          <w:spacing w:val="-6"/>
          <w:vertAlign w:val="baseline"/>
        </w:rPr>
        <w:t> </w:t>
      </w:r>
      <w:r>
        <w:rPr>
          <w:color w:val="000000"/>
          <w:vertAlign w:val="baseline"/>
        </w:rPr>
        <w:t>Program</w:t>
      </w:r>
      <w:r>
        <w:rPr>
          <w:color w:val="000000"/>
          <w:spacing w:val="-7"/>
          <w:vertAlign w:val="baseline"/>
        </w:rPr>
        <w:t> </w:t>
      </w:r>
      <w:r>
        <w:rPr>
          <w:color w:val="000000"/>
          <w:vertAlign w:val="baseline"/>
        </w:rPr>
        <w:t>training</w:t>
      </w:r>
      <w:r>
        <w:rPr>
          <w:color w:val="000000"/>
          <w:spacing w:val="-5"/>
          <w:vertAlign w:val="baseline"/>
        </w:rPr>
        <w:t> </w:t>
      </w:r>
      <w:r>
        <w:rPr>
          <w:color w:val="000000"/>
          <w:vertAlign w:val="baseline"/>
        </w:rPr>
        <w:t>did</w:t>
      </w:r>
      <w:r>
        <w:rPr>
          <w:color w:val="000000"/>
          <w:spacing w:val="-7"/>
          <w:vertAlign w:val="baseline"/>
        </w:rPr>
        <w:t> </w:t>
      </w:r>
      <w:r>
        <w:rPr>
          <w:color w:val="000000"/>
          <w:vertAlign w:val="baseline"/>
        </w:rPr>
        <w:t>report</w:t>
      </w:r>
      <w:r>
        <w:rPr>
          <w:color w:val="000000"/>
          <w:spacing w:val="-6"/>
          <w:vertAlign w:val="baseline"/>
        </w:rPr>
        <w:t> </w:t>
      </w:r>
      <w:r>
        <w:rPr>
          <w:color w:val="000000"/>
          <w:vertAlign w:val="baseline"/>
        </w:rPr>
        <w:t>feeling</w:t>
      </w:r>
      <w:r>
        <w:rPr>
          <w:color w:val="000000"/>
          <w:spacing w:val="-5"/>
          <w:vertAlign w:val="baseline"/>
        </w:rPr>
        <w:t> </w:t>
      </w:r>
      <w:r>
        <w:rPr>
          <w:color w:val="000000"/>
          <w:vertAlign w:val="baseline"/>
        </w:rPr>
        <w:t>more</w:t>
      </w:r>
      <w:r>
        <w:rPr>
          <w:color w:val="000000"/>
          <w:spacing w:val="-7"/>
          <w:vertAlign w:val="baseline"/>
        </w:rPr>
        <w:t> </w:t>
      </w:r>
      <w:r>
        <w:rPr>
          <w:color w:val="000000"/>
          <w:vertAlign w:val="baseline"/>
        </w:rPr>
        <w:t>supported.</w:t>
      </w:r>
      <w:r>
        <w:rPr>
          <w:color w:val="000000"/>
          <w:vertAlign w:val="superscript"/>
        </w:rPr>
        <w:t>86</w:t>
      </w:r>
    </w:p>
    <w:p>
      <w:pPr>
        <w:spacing w:after="0" w:line="276" w:lineRule="auto"/>
        <w:jc w:val="both"/>
        <w:sectPr>
          <w:pgSz w:w="11910" w:h="16840"/>
          <w:pgMar w:header="804" w:footer="1230" w:top="1080" w:bottom="1440" w:left="980" w:right="900"/>
        </w:sectPr>
      </w:pPr>
    </w:p>
    <w:p>
      <w:pPr>
        <w:pStyle w:val="BodyText"/>
        <w:spacing w:line="276" w:lineRule="auto" w:before="69"/>
        <w:ind w:left="458" w:right="529"/>
        <w:jc w:val="both"/>
      </w:pPr>
      <w:r>
        <w:rPr/>
        <w:t>However, Massachusetts students indicated that they wish that faculty and staff received more intersectional training, stating that faculty and staff members were often not aware of the specific vulnerabilities faced by students with multiple marginalized identities. </w:t>
      </w:r>
      <w:r>
        <w:rPr>
          <w:vertAlign w:val="superscript"/>
        </w:rPr>
        <w:t>87</w:t>
      </w:r>
      <w:r>
        <w:rPr>
          <w:vertAlign w:val="baseline"/>
        </w:rPr>
        <w:t> </w:t>
      </w:r>
      <w:r>
        <w:rPr>
          <w:color w:val="000000"/>
          <w:shd w:fill="FAFAFA" w:color="auto" w:val="clear"/>
          <w:vertAlign w:val="baseline"/>
        </w:rPr>
        <w:t>This issue became more</w:t>
      </w:r>
      <w:r>
        <w:rPr>
          <w:color w:val="000000"/>
          <w:vertAlign w:val="baseline"/>
        </w:rPr>
        <w:t> p</w:t>
      </w:r>
      <w:r>
        <w:rPr>
          <w:color w:val="000000"/>
          <w:shd w:fill="FAFAFA" w:color="auto" w:val="clear"/>
          <w:vertAlign w:val="baseline"/>
        </w:rPr>
        <w:t>rominent at institutions where faculty and staff members do not share similar identities to their</w:t>
      </w:r>
      <w:r>
        <w:rPr>
          <w:color w:val="000000"/>
          <w:vertAlign w:val="baseline"/>
        </w:rPr>
        <w:t> </w:t>
      </w:r>
      <w:r>
        <w:rPr>
          <w:color w:val="000000"/>
          <w:spacing w:val="-2"/>
          <w:shd w:fill="FAFAFA" w:color="auto" w:val="clear"/>
          <w:vertAlign w:val="baseline"/>
        </w:rPr>
        <w:t>students.</w:t>
      </w:r>
      <w:r>
        <w:rPr>
          <w:color w:val="000000"/>
          <w:spacing w:val="-2"/>
          <w:vertAlign w:val="superscript"/>
        </w:rPr>
        <w:t>88</w:t>
      </w:r>
    </w:p>
    <w:p>
      <w:pPr>
        <w:pStyle w:val="BodyText"/>
        <w:spacing w:line="276" w:lineRule="auto" w:before="238"/>
        <w:ind w:left="458" w:right="531"/>
        <w:jc w:val="both"/>
      </w:pPr>
      <w:r>
        <w:rPr/>
        <w:t>Likewise, GSAs have been shown to have a profoundly positive impact on LGBTQ youth, particularly trans and gender expansive youth, and serve as protective factors against a variety of public health concerns</w:t>
      </w:r>
      <w:hyperlink w:history="true" w:anchor="_bookmark94">
        <w:r>
          <w:rPr/>
          <w:t>.</w:t>
        </w:r>
        <w:r>
          <w:rPr>
            <w:vertAlign w:val="superscript"/>
          </w:rPr>
          <w:t>89</w:t>
        </w:r>
      </w:hyperlink>
      <w:hyperlink w:history="true" w:anchor="_bookmark94">
        <w:r>
          <w:rPr>
            <w:vertAlign w:val="superscript"/>
          </w:rPr>
          <w:t>,90</w:t>
        </w:r>
      </w:hyperlink>
      <w:r>
        <w:rPr>
          <w:vertAlign w:val="baseline"/>
        </w:rPr>
        <w:t> GSAs have been shown to make schools safer for LGBTQ students by creating positive changes</w:t>
      </w:r>
      <w:r>
        <w:rPr>
          <w:spacing w:val="-4"/>
          <w:vertAlign w:val="baseline"/>
        </w:rPr>
        <w:t> </w:t>
      </w:r>
      <w:r>
        <w:rPr>
          <w:vertAlign w:val="baseline"/>
        </w:rPr>
        <w:t>to</w:t>
      </w:r>
      <w:r>
        <w:rPr>
          <w:spacing w:val="-4"/>
          <w:vertAlign w:val="baseline"/>
        </w:rPr>
        <w:t> </w:t>
      </w:r>
      <w:r>
        <w:rPr>
          <w:vertAlign w:val="baseline"/>
        </w:rPr>
        <w:t>school</w:t>
      </w:r>
      <w:r>
        <w:rPr>
          <w:spacing w:val="-6"/>
          <w:vertAlign w:val="baseline"/>
        </w:rPr>
        <w:t> </w:t>
      </w:r>
      <w:r>
        <w:rPr>
          <w:vertAlign w:val="baseline"/>
        </w:rPr>
        <w:t>climate,</w:t>
      </w:r>
      <w:r>
        <w:rPr>
          <w:spacing w:val="-3"/>
          <w:vertAlign w:val="baseline"/>
        </w:rPr>
        <w:t> </w:t>
      </w:r>
      <w:r>
        <w:rPr>
          <w:vertAlign w:val="baseline"/>
        </w:rPr>
        <w:t>allow</w:t>
      </w:r>
      <w:r>
        <w:rPr>
          <w:spacing w:val="-5"/>
          <w:vertAlign w:val="baseline"/>
        </w:rPr>
        <w:t> </w:t>
      </w:r>
      <w:r>
        <w:rPr>
          <w:vertAlign w:val="baseline"/>
        </w:rPr>
        <w:t>students</w:t>
      </w:r>
      <w:r>
        <w:rPr>
          <w:spacing w:val="-5"/>
          <w:vertAlign w:val="baseline"/>
        </w:rPr>
        <w:t> </w:t>
      </w:r>
      <w:r>
        <w:rPr>
          <w:vertAlign w:val="baseline"/>
        </w:rPr>
        <w:t>to</w:t>
      </w:r>
      <w:r>
        <w:rPr>
          <w:spacing w:val="-4"/>
          <w:vertAlign w:val="baseline"/>
        </w:rPr>
        <w:t> </w:t>
      </w:r>
      <w:r>
        <w:rPr>
          <w:vertAlign w:val="baseline"/>
        </w:rPr>
        <w:t>more</w:t>
      </w:r>
      <w:r>
        <w:rPr>
          <w:spacing w:val="-4"/>
          <w:vertAlign w:val="baseline"/>
        </w:rPr>
        <w:t> </w:t>
      </w:r>
      <w:r>
        <w:rPr>
          <w:vertAlign w:val="baseline"/>
        </w:rPr>
        <w:t>easily</w:t>
      </w:r>
      <w:r>
        <w:rPr>
          <w:spacing w:val="-5"/>
          <w:vertAlign w:val="baseline"/>
        </w:rPr>
        <w:t> </w:t>
      </w:r>
      <w:r>
        <w:rPr>
          <w:vertAlign w:val="baseline"/>
        </w:rPr>
        <w:t>identify</w:t>
      </w:r>
      <w:r>
        <w:rPr>
          <w:spacing w:val="-4"/>
          <w:vertAlign w:val="baseline"/>
        </w:rPr>
        <w:t> </w:t>
      </w:r>
      <w:r>
        <w:rPr>
          <w:vertAlign w:val="baseline"/>
        </w:rPr>
        <w:t>safe</w:t>
      </w:r>
      <w:r>
        <w:rPr>
          <w:spacing w:val="-6"/>
          <w:vertAlign w:val="baseline"/>
        </w:rPr>
        <w:t> </w:t>
      </w:r>
      <w:r>
        <w:rPr>
          <w:vertAlign w:val="baseline"/>
        </w:rPr>
        <w:t>and</w:t>
      </w:r>
      <w:r>
        <w:rPr>
          <w:spacing w:val="-4"/>
          <w:vertAlign w:val="baseline"/>
        </w:rPr>
        <w:t> </w:t>
      </w:r>
      <w:r>
        <w:rPr>
          <w:vertAlign w:val="baseline"/>
        </w:rPr>
        <w:t>supportive</w:t>
      </w:r>
      <w:r>
        <w:rPr>
          <w:spacing w:val="-6"/>
          <w:vertAlign w:val="baseline"/>
        </w:rPr>
        <w:t> </w:t>
      </w:r>
      <w:r>
        <w:rPr>
          <w:vertAlign w:val="baseline"/>
        </w:rPr>
        <w:t>faculty</w:t>
      </w:r>
      <w:r>
        <w:rPr>
          <w:spacing w:val="-4"/>
          <w:vertAlign w:val="baseline"/>
        </w:rPr>
        <w:t> </w:t>
      </w:r>
      <w:r>
        <w:rPr>
          <w:vertAlign w:val="baseline"/>
        </w:rPr>
        <w:t>and</w:t>
      </w:r>
      <w:r>
        <w:rPr>
          <w:spacing w:val="-4"/>
          <w:vertAlign w:val="baseline"/>
        </w:rPr>
        <w:t> </w:t>
      </w:r>
      <w:r>
        <w:rPr>
          <w:vertAlign w:val="baseline"/>
        </w:rPr>
        <w:t>staff members, and lower the frequency of absenteeism due to harassment or discrimination</w:t>
      </w:r>
      <w:hyperlink w:history="true" w:anchor="_bookmark94">
        <w:r>
          <w:rPr>
            <w:vertAlign w:val="baseline"/>
          </w:rPr>
          <w:t>.</w:t>
        </w:r>
        <w:r>
          <w:rPr>
            <w:vertAlign w:val="superscript"/>
          </w:rPr>
          <w:t>91</w:t>
        </w:r>
      </w:hyperlink>
      <w:r>
        <w:rPr>
          <w:vertAlign w:val="baseline"/>
        </w:rPr>
        <w:t> The Safe Schools</w:t>
      </w:r>
      <w:r>
        <w:rPr>
          <w:spacing w:val="-3"/>
          <w:vertAlign w:val="baseline"/>
        </w:rPr>
        <w:t> </w:t>
      </w:r>
      <w:r>
        <w:rPr>
          <w:vertAlign w:val="baseline"/>
        </w:rPr>
        <w:t>Program</w:t>
      </w:r>
      <w:r>
        <w:rPr>
          <w:spacing w:val="-3"/>
          <w:vertAlign w:val="baseline"/>
        </w:rPr>
        <w:t> </w:t>
      </w:r>
      <w:r>
        <w:rPr>
          <w:vertAlign w:val="baseline"/>
        </w:rPr>
        <w:t>has</w:t>
      </w:r>
      <w:r>
        <w:rPr>
          <w:spacing w:val="-3"/>
          <w:vertAlign w:val="baseline"/>
        </w:rPr>
        <w:t> </w:t>
      </w:r>
      <w:r>
        <w:rPr>
          <w:vertAlign w:val="baseline"/>
        </w:rPr>
        <w:t>already</w:t>
      </w:r>
      <w:r>
        <w:rPr>
          <w:spacing w:val="-3"/>
          <w:vertAlign w:val="baseline"/>
        </w:rPr>
        <w:t> </w:t>
      </w:r>
      <w:r>
        <w:rPr>
          <w:vertAlign w:val="baseline"/>
        </w:rPr>
        <w:t>done</w:t>
      </w:r>
      <w:r>
        <w:rPr>
          <w:spacing w:val="-2"/>
          <w:vertAlign w:val="baseline"/>
        </w:rPr>
        <w:t> </w:t>
      </w:r>
      <w:r>
        <w:rPr>
          <w:vertAlign w:val="baseline"/>
        </w:rPr>
        <w:t>an</w:t>
      </w:r>
      <w:r>
        <w:rPr>
          <w:spacing w:val="-2"/>
          <w:vertAlign w:val="baseline"/>
        </w:rPr>
        <w:t> </w:t>
      </w:r>
      <w:r>
        <w:rPr>
          <w:vertAlign w:val="baseline"/>
        </w:rPr>
        <w:t>excellent</w:t>
      </w:r>
      <w:r>
        <w:rPr>
          <w:spacing w:val="-2"/>
          <w:vertAlign w:val="baseline"/>
        </w:rPr>
        <w:t> </w:t>
      </w:r>
      <w:r>
        <w:rPr>
          <w:vertAlign w:val="baseline"/>
        </w:rPr>
        <w:t>job</w:t>
      </w:r>
      <w:r>
        <w:rPr>
          <w:spacing w:val="-2"/>
          <w:vertAlign w:val="baseline"/>
        </w:rPr>
        <w:t> </w:t>
      </w:r>
      <w:r>
        <w:rPr>
          <w:vertAlign w:val="baseline"/>
        </w:rPr>
        <w:t>creating,</w:t>
      </w:r>
      <w:r>
        <w:rPr>
          <w:spacing w:val="-1"/>
          <w:vertAlign w:val="baseline"/>
        </w:rPr>
        <w:t> </w:t>
      </w:r>
      <w:r>
        <w:rPr>
          <w:vertAlign w:val="baseline"/>
        </w:rPr>
        <w:t>promoting,</w:t>
      </w:r>
      <w:r>
        <w:rPr>
          <w:spacing w:val="-3"/>
          <w:vertAlign w:val="baseline"/>
        </w:rPr>
        <w:t> </w:t>
      </w:r>
      <w:r>
        <w:rPr>
          <w:vertAlign w:val="baseline"/>
        </w:rPr>
        <w:t>and</w:t>
      </w:r>
      <w:r>
        <w:rPr>
          <w:spacing w:val="-3"/>
          <w:vertAlign w:val="baseline"/>
        </w:rPr>
        <w:t> </w:t>
      </w:r>
      <w:r>
        <w:rPr>
          <w:vertAlign w:val="baseline"/>
        </w:rPr>
        <w:t>engaging</w:t>
      </w:r>
      <w:r>
        <w:rPr>
          <w:spacing w:val="-2"/>
          <w:vertAlign w:val="baseline"/>
        </w:rPr>
        <w:t> </w:t>
      </w:r>
      <w:r>
        <w:rPr>
          <w:vertAlign w:val="baseline"/>
        </w:rPr>
        <w:t>local</w:t>
      </w:r>
      <w:r>
        <w:rPr>
          <w:spacing w:val="-2"/>
          <w:vertAlign w:val="baseline"/>
        </w:rPr>
        <w:t> </w:t>
      </w:r>
      <w:r>
        <w:rPr>
          <w:vertAlign w:val="baseline"/>
        </w:rPr>
        <w:t>GSAs,</w:t>
      </w:r>
      <w:r>
        <w:rPr>
          <w:spacing w:val="-3"/>
          <w:vertAlign w:val="baseline"/>
        </w:rPr>
        <w:t> </w:t>
      </w:r>
      <w:r>
        <w:rPr>
          <w:vertAlign w:val="baseline"/>
        </w:rPr>
        <w:t>but there are still many public high schools that do not have GSAs, and even fewer public middle and elementary</w:t>
      </w:r>
      <w:r>
        <w:rPr>
          <w:spacing w:val="-10"/>
          <w:vertAlign w:val="baseline"/>
        </w:rPr>
        <w:t> </w:t>
      </w:r>
      <w:r>
        <w:rPr>
          <w:vertAlign w:val="baseline"/>
        </w:rPr>
        <w:t>schools</w:t>
      </w:r>
      <w:r>
        <w:rPr>
          <w:spacing w:val="-9"/>
          <w:vertAlign w:val="baseline"/>
        </w:rPr>
        <w:t> </w:t>
      </w:r>
      <w:r>
        <w:rPr>
          <w:vertAlign w:val="baseline"/>
        </w:rPr>
        <w:t>that</w:t>
      </w:r>
      <w:r>
        <w:rPr>
          <w:spacing w:val="-10"/>
          <w:vertAlign w:val="baseline"/>
        </w:rPr>
        <w:t> </w:t>
      </w:r>
      <w:r>
        <w:rPr>
          <w:vertAlign w:val="baseline"/>
        </w:rPr>
        <w:t>have</w:t>
      </w:r>
      <w:r>
        <w:rPr>
          <w:spacing w:val="-10"/>
          <w:vertAlign w:val="baseline"/>
        </w:rPr>
        <w:t> </w:t>
      </w:r>
      <w:r>
        <w:rPr>
          <w:vertAlign w:val="baseline"/>
        </w:rPr>
        <w:t>GSAs.</w:t>
      </w:r>
      <w:r>
        <w:rPr>
          <w:spacing w:val="-10"/>
          <w:vertAlign w:val="baseline"/>
        </w:rPr>
        <w:t> </w:t>
      </w:r>
      <w:r>
        <w:rPr>
          <w:vertAlign w:val="baseline"/>
        </w:rPr>
        <w:t>Although</w:t>
      </w:r>
      <w:r>
        <w:rPr>
          <w:spacing w:val="-10"/>
          <w:vertAlign w:val="baseline"/>
        </w:rPr>
        <w:t> </w:t>
      </w:r>
      <w:r>
        <w:rPr>
          <w:vertAlign w:val="baseline"/>
        </w:rPr>
        <w:t>more</w:t>
      </w:r>
      <w:r>
        <w:rPr>
          <w:spacing w:val="-9"/>
          <w:vertAlign w:val="baseline"/>
        </w:rPr>
        <w:t> </w:t>
      </w:r>
      <w:r>
        <w:rPr>
          <w:vertAlign w:val="baseline"/>
        </w:rPr>
        <w:t>difficult,</w:t>
      </w:r>
      <w:r>
        <w:rPr>
          <w:spacing w:val="-10"/>
          <w:vertAlign w:val="baseline"/>
        </w:rPr>
        <w:t> </w:t>
      </w:r>
      <w:r>
        <w:rPr>
          <w:vertAlign w:val="baseline"/>
        </w:rPr>
        <w:t>it</w:t>
      </w:r>
      <w:r>
        <w:rPr>
          <w:spacing w:val="-10"/>
          <w:vertAlign w:val="baseline"/>
        </w:rPr>
        <w:t> </w:t>
      </w:r>
      <w:r>
        <w:rPr>
          <w:vertAlign w:val="baseline"/>
        </w:rPr>
        <w:t>would</w:t>
      </w:r>
      <w:r>
        <w:rPr>
          <w:spacing w:val="-10"/>
          <w:vertAlign w:val="baseline"/>
        </w:rPr>
        <w:t> </w:t>
      </w:r>
      <w:r>
        <w:rPr>
          <w:vertAlign w:val="baseline"/>
        </w:rPr>
        <w:t>also</w:t>
      </w:r>
      <w:r>
        <w:rPr>
          <w:spacing w:val="-9"/>
          <w:vertAlign w:val="baseline"/>
        </w:rPr>
        <w:t> </w:t>
      </w:r>
      <w:r>
        <w:rPr>
          <w:vertAlign w:val="baseline"/>
        </w:rPr>
        <w:t>be</w:t>
      </w:r>
      <w:r>
        <w:rPr>
          <w:spacing w:val="-10"/>
          <w:vertAlign w:val="baseline"/>
        </w:rPr>
        <w:t> </w:t>
      </w:r>
      <w:r>
        <w:rPr>
          <w:vertAlign w:val="baseline"/>
        </w:rPr>
        <w:t>worthwhile</w:t>
      </w:r>
      <w:r>
        <w:rPr>
          <w:spacing w:val="-10"/>
          <w:vertAlign w:val="baseline"/>
        </w:rPr>
        <w:t> </w:t>
      </w:r>
      <w:r>
        <w:rPr>
          <w:vertAlign w:val="baseline"/>
        </w:rPr>
        <w:t>for</w:t>
      </w:r>
      <w:r>
        <w:rPr>
          <w:spacing w:val="-9"/>
          <w:vertAlign w:val="baseline"/>
        </w:rPr>
        <w:t> </w:t>
      </w:r>
      <w:r>
        <w:rPr>
          <w:vertAlign w:val="baseline"/>
        </w:rPr>
        <w:t>programs to explore doing outreach to private and charter schools to promote the creation of GSAs at their institution.</w:t>
      </w:r>
      <w:r>
        <w:rPr>
          <w:spacing w:val="-2"/>
          <w:vertAlign w:val="baseline"/>
        </w:rPr>
        <w:t> </w:t>
      </w:r>
      <w:r>
        <w:rPr>
          <w:vertAlign w:val="baseline"/>
        </w:rPr>
        <w:t>Another</w:t>
      </w:r>
      <w:r>
        <w:rPr>
          <w:spacing w:val="-1"/>
          <w:vertAlign w:val="baseline"/>
        </w:rPr>
        <w:t> </w:t>
      </w:r>
      <w:r>
        <w:rPr>
          <w:vertAlign w:val="baseline"/>
        </w:rPr>
        <w:t>important</w:t>
      </w:r>
      <w:r>
        <w:rPr>
          <w:spacing w:val="-2"/>
          <w:vertAlign w:val="baseline"/>
        </w:rPr>
        <w:t> </w:t>
      </w:r>
      <w:r>
        <w:rPr>
          <w:vertAlign w:val="baseline"/>
        </w:rPr>
        <w:t>factor</w:t>
      </w:r>
      <w:r>
        <w:rPr>
          <w:spacing w:val="-3"/>
          <w:vertAlign w:val="baseline"/>
        </w:rPr>
        <w:t> </w:t>
      </w:r>
      <w:r>
        <w:rPr>
          <w:vertAlign w:val="baseline"/>
        </w:rPr>
        <w:t>to</w:t>
      </w:r>
      <w:r>
        <w:rPr>
          <w:spacing w:val="-1"/>
          <w:vertAlign w:val="baseline"/>
        </w:rPr>
        <w:t> </w:t>
      </w:r>
      <w:r>
        <w:rPr>
          <w:vertAlign w:val="baseline"/>
        </w:rPr>
        <w:t>consider</w:t>
      </w:r>
      <w:r>
        <w:rPr>
          <w:spacing w:val="-1"/>
          <w:vertAlign w:val="baseline"/>
        </w:rPr>
        <w:t> </w:t>
      </w:r>
      <w:r>
        <w:rPr>
          <w:vertAlign w:val="baseline"/>
        </w:rPr>
        <w:t>is</w:t>
      </w:r>
      <w:r>
        <w:rPr>
          <w:spacing w:val="-1"/>
          <w:vertAlign w:val="baseline"/>
        </w:rPr>
        <w:t> </w:t>
      </w:r>
      <w:r>
        <w:rPr>
          <w:vertAlign w:val="baseline"/>
        </w:rPr>
        <w:t>that</w:t>
      </w:r>
      <w:r>
        <w:rPr>
          <w:spacing w:val="-2"/>
          <w:vertAlign w:val="baseline"/>
        </w:rPr>
        <w:t> </w:t>
      </w:r>
      <w:r>
        <w:rPr>
          <w:vertAlign w:val="baseline"/>
        </w:rPr>
        <w:t>GSAs</w:t>
      </w:r>
      <w:r>
        <w:rPr>
          <w:spacing w:val="-1"/>
          <w:vertAlign w:val="baseline"/>
        </w:rPr>
        <w:t> </w:t>
      </w:r>
      <w:r>
        <w:rPr>
          <w:vertAlign w:val="baseline"/>
        </w:rPr>
        <w:t>have</w:t>
      </w:r>
      <w:r>
        <w:rPr>
          <w:spacing w:val="-3"/>
          <w:vertAlign w:val="baseline"/>
        </w:rPr>
        <w:t> </w:t>
      </w:r>
      <w:r>
        <w:rPr>
          <w:vertAlign w:val="baseline"/>
        </w:rPr>
        <w:t>historically served</w:t>
      </w:r>
      <w:r>
        <w:rPr>
          <w:spacing w:val="-3"/>
          <w:vertAlign w:val="baseline"/>
        </w:rPr>
        <w:t> </w:t>
      </w:r>
      <w:r>
        <w:rPr>
          <w:vertAlign w:val="baseline"/>
        </w:rPr>
        <w:t>larger numbers of</w:t>
      </w:r>
      <w:r>
        <w:rPr>
          <w:spacing w:val="-13"/>
          <w:vertAlign w:val="baseline"/>
        </w:rPr>
        <w:t> </w:t>
      </w:r>
      <w:r>
        <w:rPr>
          <w:vertAlign w:val="baseline"/>
        </w:rPr>
        <w:t>white</w:t>
      </w:r>
      <w:r>
        <w:rPr>
          <w:spacing w:val="-12"/>
          <w:vertAlign w:val="baseline"/>
        </w:rPr>
        <w:t> </w:t>
      </w:r>
      <w:r>
        <w:rPr>
          <w:vertAlign w:val="baseline"/>
        </w:rPr>
        <w:t>youth,</w:t>
      </w:r>
      <w:r>
        <w:rPr>
          <w:spacing w:val="-13"/>
          <w:vertAlign w:val="baseline"/>
        </w:rPr>
        <w:t> </w:t>
      </w:r>
      <w:r>
        <w:rPr>
          <w:vertAlign w:val="baseline"/>
        </w:rPr>
        <w:t>while</w:t>
      </w:r>
      <w:r>
        <w:rPr>
          <w:spacing w:val="-12"/>
          <w:vertAlign w:val="baseline"/>
        </w:rPr>
        <w:t> </w:t>
      </w:r>
      <w:r>
        <w:rPr>
          <w:vertAlign w:val="baseline"/>
        </w:rPr>
        <w:t>community-based</w:t>
      </w:r>
      <w:r>
        <w:rPr>
          <w:spacing w:val="-13"/>
          <w:vertAlign w:val="baseline"/>
        </w:rPr>
        <w:t> </w:t>
      </w:r>
      <w:r>
        <w:rPr>
          <w:vertAlign w:val="baseline"/>
        </w:rPr>
        <w:t>organizations</w:t>
      </w:r>
      <w:r>
        <w:rPr>
          <w:spacing w:val="-12"/>
          <w:vertAlign w:val="baseline"/>
        </w:rPr>
        <w:t> </w:t>
      </w:r>
      <w:r>
        <w:rPr>
          <w:vertAlign w:val="baseline"/>
        </w:rPr>
        <w:t>have</w:t>
      </w:r>
      <w:r>
        <w:rPr>
          <w:spacing w:val="-13"/>
          <w:vertAlign w:val="baseline"/>
        </w:rPr>
        <w:t> </w:t>
      </w:r>
      <w:r>
        <w:rPr>
          <w:vertAlign w:val="baseline"/>
        </w:rPr>
        <w:t>historically</w:t>
      </w:r>
      <w:r>
        <w:rPr>
          <w:spacing w:val="-12"/>
          <w:vertAlign w:val="baseline"/>
        </w:rPr>
        <w:t> </w:t>
      </w:r>
      <w:r>
        <w:rPr>
          <w:vertAlign w:val="baseline"/>
        </w:rPr>
        <w:t>served</w:t>
      </w:r>
      <w:r>
        <w:rPr>
          <w:spacing w:val="-12"/>
          <w:vertAlign w:val="baseline"/>
        </w:rPr>
        <w:t> </w:t>
      </w:r>
      <w:r>
        <w:rPr>
          <w:vertAlign w:val="baseline"/>
        </w:rPr>
        <w:t>larger</w:t>
      </w:r>
      <w:r>
        <w:rPr>
          <w:spacing w:val="-13"/>
          <w:vertAlign w:val="baseline"/>
        </w:rPr>
        <w:t> </w:t>
      </w:r>
      <w:r>
        <w:rPr>
          <w:vertAlign w:val="baseline"/>
        </w:rPr>
        <w:t>numbers</w:t>
      </w:r>
      <w:r>
        <w:rPr>
          <w:spacing w:val="-12"/>
          <w:vertAlign w:val="baseline"/>
        </w:rPr>
        <w:t> </w:t>
      </w:r>
      <w:r>
        <w:rPr>
          <w:vertAlign w:val="baseline"/>
        </w:rPr>
        <w:t>of</w:t>
      </w:r>
      <w:r>
        <w:rPr>
          <w:spacing w:val="-13"/>
          <w:vertAlign w:val="baseline"/>
        </w:rPr>
        <w:t> </w:t>
      </w:r>
      <w:r>
        <w:rPr>
          <w:vertAlign w:val="baseline"/>
        </w:rPr>
        <w:t>youth of</w:t>
      </w:r>
      <w:r>
        <w:rPr>
          <w:spacing w:val="-13"/>
          <w:vertAlign w:val="baseline"/>
        </w:rPr>
        <w:t> </w:t>
      </w:r>
      <w:r>
        <w:rPr>
          <w:vertAlign w:val="baseline"/>
        </w:rPr>
        <w:t>color</w:t>
      </w:r>
      <w:hyperlink w:history="true" w:anchor="_bookmark94">
        <w:r>
          <w:rPr>
            <w:vertAlign w:val="baseline"/>
          </w:rPr>
          <w:t>.</w:t>
        </w:r>
        <w:r>
          <w:rPr>
            <w:vertAlign w:val="superscript"/>
          </w:rPr>
          <w:t>92</w:t>
        </w:r>
      </w:hyperlink>
      <w:r>
        <w:rPr>
          <w:spacing w:val="-12"/>
          <w:vertAlign w:val="baseline"/>
        </w:rPr>
        <w:t> </w:t>
      </w:r>
      <w:r>
        <w:rPr>
          <w:vertAlign w:val="baseline"/>
        </w:rPr>
        <w:t>Ensuring</w:t>
      </w:r>
      <w:r>
        <w:rPr>
          <w:spacing w:val="-13"/>
          <w:vertAlign w:val="baseline"/>
        </w:rPr>
        <w:t> </w:t>
      </w:r>
      <w:r>
        <w:rPr>
          <w:vertAlign w:val="baseline"/>
        </w:rPr>
        <w:t>that</w:t>
      </w:r>
      <w:r>
        <w:rPr>
          <w:spacing w:val="-12"/>
          <w:vertAlign w:val="baseline"/>
        </w:rPr>
        <w:t> </w:t>
      </w:r>
      <w:r>
        <w:rPr>
          <w:vertAlign w:val="baseline"/>
        </w:rPr>
        <w:t>all</w:t>
      </w:r>
      <w:r>
        <w:rPr>
          <w:spacing w:val="-12"/>
          <w:vertAlign w:val="baseline"/>
        </w:rPr>
        <w:t> </w:t>
      </w:r>
      <w:r>
        <w:rPr>
          <w:vertAlign w:val="baseline"/>
        </w:rPr>
        <w:t>LGBTQ</w:t>
      </w:r>
      <w:r>
        <w:rPr>
          <w:spacing w:val="-12"/>
          <w:vertAlign w:val="baseline"/>
        </w:rPr>
        <w:t> </w:t>
      </w:r>
      <w:r>
        <w:rPr>
          <w:vertAlign w:val="baseline"/>
        </w:rPr>
        <w:t>youth</w:t>
      </w:r>
      <w:r>
        <w:rPr>
          <w:spacing w:val="-10"/>
          <w:vertAlign w:val="baseline"/>
        </w:rPr>
        <w:t> </w:t>
      </w:r>
      <w:r>
        <w:rPr>
          <w:vertAlign w:val="baseline"/>
        </w:rPr>
        <w:t>have</w:t>
      </w:r>
      <w:r>
        <w:rPr>
          <w:spacing w:val="-13"/>
          <w:vertAlign w:val="baseline"/>
        </w:rPr>
        <w:t> </w:t>
      </w:r>
      <w:r>
        <w:rPr>
          <w:vertAlign w:val="baseline"/>
        </w:rPr>
        <w:t>spaces</w:t>
      </w:r>
      <w:r>
        <w:rPr>
          <w:spacing w:val="-11"/>
          <w:vertAlign w:val="baseline"/>
        </w:rPr>
        <w:t> </w:t>
      </w:r>
      <w:r>
        <w:rPr>
          <w:vertAlign w:val="baseline"/>
        </w:rPr>
        <w:t>to</w:t>
      </w:r>
      <w:r>
        <w:rPr>
          <w:spacing w:val="-12"/>
          <w:vertAlign w:val="baseline"/>
        </w:rPr>
        <w:t> </w:t>
      </w:r>
      <w:r>
        <w:rPr>
          <w:vertAlign w:val="baseline"/>
        </w:rPr>
        <w:t>explore</w:t>
      </w:r>
      <w:r>
        <w:rPr>
          <w:spacing w:val="-12"/>
          <w:vertAlign w:val="baseline"/>
        </w:rPr>
        <w:t> </w:t>
      </w:r>
      <w:r>
        <w:rPr>
          <w:vertAlign w:val="baseline"/>
        </w:rPr>
        <w:t>their</w:t>
      </w:r>
      <w:r>
        <w:rPr>
          <w:spacing w:val="-12"/>
          <w:vertAlign w:val="baseline"/>
        </w:rPr>
        <w:t> </w:t>
      </w:r>
      <w:r>
        <w:rPr>
          <w:vertAlign w:val="baseline"/>
        </w:rPr>
        <w:t>identities</w:t>
      </w:r>
      <w:r>
        <w:rPr>
          <w:spacing w:val="-11"/>
          <w:vertAlign w:val="baseline"/>
        </w:rPr>
        <w:t> </w:t>
      </w:r>
      <w:r>
        <w:rPr>
          <w:vertAlign w:val="baseline"/>
        </w:rPr>
        <w:t>and</w:t>
      </w:r>
      <w:r>
        <w:rPr>
          <w:spacing w:val="-13"/>
          <w:vertAlign w:val="baseline"/>
        </w:rPr>
        <w:t> </w:t>
      </w:r>
      <w:r>
        <w:rPr>
          <w:vertAlign w:val="baseline"/>
        </w:rPr>
        <w:t>connect</w:t>
      </w:r>
      <w:r>
        <w:rPr>
          <w:spacing w:val="-12"/>
          <w:vertAlign w:val="baseline"/>
        </w:rPr>
        <w:t> </w:t>
      </w:r>
      <w:r>
        <w:rPr>
          <w:vertAlign w:val="baseline"/>
        </w:rPr>
        <w:t>with</w:t>
      </w:r>
      <w:r>
        <w:rPr>
          <w:spacing w:val="-13"/>
          <w:vertAlign w:val="baseline"/>
        </w:rPr>
        <w:t> </w:t>
      </w:r>
      <w:r>
        <w:rPr>
          <w:vertAlign w:val="baseline"/>
        </w:rPr>
        <w:t>other LGBTQ youth will be key in fostering inclusive school environments.</w:t>
      </w:r>
    </w:p>
    <w:p>
      <w:pPr>
        <w:pStyle w:val="BodyText"/>
        <w:spacing w:line="276" w:lineRule="auto" w:before="240"/>
        <w:ind w:left="458" w:right="530"/>
        <w:jc w:val="both"/>
      </w:pPr>
      <w:r>
        <w:rPr/>
        <w:drawing>
          <wp:anchor distT="0" distB="0" distL="0" distR="0" allowOverlap="1" layoutInCell="1" locked="0" behindDoc="1" simplePos="0" relativeHeight="482575360">
            <wp:simplePos x="0" y="0"/>
            <wp:positionH relativeFrom="page">
              <wp:posOffset>3719829</wp:posOffset>
            </wp:positionH>
            <wp:positionV relativeFrom="paragraph">
              <wp:posOffset>1330704</wp:posOffset>
            </wp:positionV>
            <wp:extent cx="3002913" cy="2364100"/>
            <wp:effectExtent l="0" t="0" r="0" b="0"/>
            <wp:wrapNone/>
            <wp:docPr id="184" name="Image 184" descr="A graph of a health survey  Description automatically generated "/>
            <wp:cNvGraphicFramePr>
              <a:graphicFrameLocks/>
            </wp:cNvGraphicFramePr>
            <a:graphic>
              <a:graphicData uri="http://schemas.openxmlformats.org/drawingml/2006/picture">
                <pic:pic>
                  <pic:nvPicPr>
                    <pic:cNvPr id="184" name="Image 184" descr="A graph of a health survey  Description automatically generated "/>
                    <pic:cNvPicPr/>
                  </pic:nvPicPr>
                  <pic:blipFill>
                    <a:blip r:embed="rId135" cstate="print"/>
                    <a:stretch>
                      <a:fillRect/>
                    </a:stretch>
                  </pic:blipFill>
                  <pic:spPr>
                    <a:xfrm>
                      <a:off x="0" y="0"/>
                      <a:ext cx="3002913" cy="2364100"/>
                    </a:xfrm>
                    <a:prstGeom prst="rect">
                      <a:avLst/>
                    </a:prstGeom>
                  </pic:spPr>
                </pic:pic>
              </a:graphicData>
            </a:graphic>
          </wp:anchor>
        </w:drawing>
      </w:r>
      <w:r>
        <w:rPr/>
        <w:t>Furthermore, it is extremely important to have comprehensive anti-bullying policies, as well as comprehensive LGBTQ inclusion policies in place in schools, as these play a key role in promoting a school climate that is welcoming towards LGBTQ students</w:t>
      </w:r>
      <w:hyperlink w:history="true" w:anchor="_bookmark94">
        <w:r>
          <w:rPr/>
          <w:t>.</w:t>
        </w:r>
        <w:r>
          <w:rPr>
            <w:vertAlign w:val="superscript"/>
          </w:rPr>
          <w:t>93</w:t>
        </w:r>
      </w:hyperlink>
      <w:hyperlink w:history="true" w:anchor="_bookmark94">
        <w:r>
          <w:rPr>
            <w:vertAlign w:val="superscript"/>
          </w:rPr>
          <w:t>,94</w:t>
        </w:r>
      </w:hyperlink>
      <w:r>
        <w:rPr>
          <w:vertAlign w:val="baseline"/>
        </w:rPr>
        <w:t> This is equally important in both K-12 education settings, as well as higher education. For example, many colleges and universities have recently begun streamlining the process for submitting a name change in university systems, making it easier for transgender and gender expansive students to have their names recognized. Many institutions</w:t>
      </w:r>
      <w:r>
        <w:rPr>
          <w:spacing w:val="40"/>
          <w:vertAlign w:val="baseline"/>
        </w:rPr>
        <w:t> </w:t>
      </w:r>
      <w:r>
        <w:rPr>
          <w:vertAlign w:val="baseline"/>
        </w:rPr>
        <w:t>have</w:t>
      </w:r>
      <w:r>
        <w:rPr>
          <w:spacing w:val="40"/>
          <w:vertAlign w:val="baseline"/>
        </w:rPr>
        <w:t> </w:t>
      </w:r>
      <w:r>
        <w:rPr>
          <w:vertAlign w:val="baseline"/>
        </w:rPr>
        <w:t>begun</w:t>
      </w:r>
      <w:r>
        <w:rPr>
          <w:spacing w:val="40"/>
          <w:vertAlign w:val="baseline"/>
        </w:rPr>
        <w:t> </w:t>
      </w:r>
      <w:r>
        <w:rPr>
          <w:vertAlign w:val="baseline"/>
        </w:rPr>
        <w:t>requiring</w:t>
      </w:r>
      <w:r>
        <w:rPr>
          <w:spacing w:val="40"/>
          <w:vertAlign w:val="baseline"/>
        </w:rPr>
        <w:t> </w:t>
      </w:r>
      <w:r>
        <w:rPr>
          <w:vertAlign w:val="baseline"/>
        </w:rPr>
        <w:t>mandatory</w:t>
      </w:r>
    </w:p>
    <w:p>
      <w:pPr>
        <w:pStyle w:val="BodyText"/>
        <w:spacing w:line="276" w:lineRule="auto" w:before="1"/>
        <w:ind w:left="458" w:right="5328"/>
        <w:jc w:val="both"/>
      </w:pPr>
      <w:r>
        <w:rPr/>
        <w:t>diversity and inclusion training to both new students and new employees. All schools that receive federal funding are required to have a Title</w:t>
      </w:r>
      <w:r>
        <w:rPr>
          <w:spacing w:val="-13"/>
        </w:rPr>
        <w:t> </w:t>
      </w:r>
      <w:r>
        <w:rPr/>
        <w:t>IX</w:t>
      </w:r>
      <w:r>
        <w:rPr>
          <w:spacing w:val="-12"/>
        </w:rPr>
        <w:t> </w:t>
      </w:r>
      <w:r>
        <w:rPr/>
        <w:t>policy,</w:t>
      </w:r>
      <w:r>
        <w:rPr>
          <w:spacing w:val="-13"/>
        </w:rPr>
        <w:t> </w:t>
      </w:r>
      <w:r>
        <w:rPr/>
        <w:t>which</w:t>
      </w:r>
      <w:r>
        <w:rPr>
          <w:spacing w:val="-12"/>
        </w:rPr>
        <w:t> </w:t>
      </w:r>
      <w:r>
        <w:rPr/>
        <w:t>prohibits</w:t>
      </w:r>
      <w:r>
        <w:rPr>
          <w:spacing w:val="-13"/>
        </w:rPr>
        <w:t> </w:t>
      </w:r>
      <w:r>
        <w:rPr/>
        <w:t>discrimination</w:t>
      </w:r>
      <w:r>
        <w:rPr>
          <w:spacing w:val="-12"/>
        </w:rPr>
        <w:t> </w:t>
      </w:r>
      <w:r>
        <w:rPr/>
        <w:t>on the basis of sex, and the majority of schools have</w:t>
      </w:r>
      <w:r>
        <w:rPr>
          <w:spacing w:val="-4"/>
        </w:rPr>
        <w:t> </w:t>
      </w:r>
      <w:r>
        <w:rPr/>
        <w:t>some</w:t>
      </w:r>
      <w:r>
        <w:rPr>
          <w:spacing w:val="-4"/>
        </w:rPr>
        <w:t> </w:t>
      </w:r>
      <w:r>
        <w:rPr/>
        <w:t>kind</w:t>
      </w:r>
      <w:r>
        <w:rPr>
          <w:spacing w:val="-4"/>
        </w:rPr>
        <w:t> </w:t>
      </w:r>
      <w:r>
        <w:rPr/>
        <w:t>of</w:t>
      </w:r>
      <w:r>
        <w:rPr>
          <w:spacing w:val="-3"/>
        </w:rPr>
        <w:t> </w:t>
      </w:r>
      <w:r>
        <w:rPr/>
        <w:t>anti-discrimination</w:t>
      </w:r>
      <w:r>
        <w:rPr>
          <w:spacing w:val="-4"/>
        </w:rPr>
        <w:t> </w:t>
      </w:r>
      <w:r>
        <w:rPr/>
        <w:t>or</w:t>
      </w:r>
      <w:r>
        <w:rPr>
          <w:spacing w:val="-3"/>
        </w:rPr>
        <w:t> </w:t>
      </w:r>
      <w:r>
        <w:rPr/>
        <w:t>equity policy</w:t>
      </w:r>
      <w:r>
        <w:rPr>
          <w:spacing w:val="-8"/>
        </w:rPr>
        <w:t> </w:t>
      </w:r>
      <w:r>
        <w:rPr/>
        <w:t>that</w:t>
      </w:r>
      <w:r>
        <w:rPr>
          <w:spacing w:val="-9"/>
        </w:rPr>
        <w:t> </w:t>
      </w:r>
      <w:r>
        <w:rPr/>
        <w:t>covers</w:t>
      </w:r>
      <w:r>
        <w:rPr>
          <w:spacing w:val="-9"/>
        </w:rPr>
        <w:t> </w:t>
      </w:r>
      <w:r>
        <w:rPr/>
        <w:t>conduct</w:t>
      </w:r>
      <w:r>
        <w:rPr>
          <w:spacing w:val="-7"/>
        </w:rPr>
        <w:t> </w:t>
      </w:r>
      <w:r>
        <w:rPr/>
        <w:t>not</w:t>
      </w:r>
      <w:r>
        <w:rPr>
          <w:spacing w:val="-10"/>
        </w:rPr>
        <w:t> </w:t>
      </w:r>
      <w:r>
        <w:rPr/>
        <w:t>addressed</w:t>
      </w:r>
      <w:r>
        <w:rPr>
          <w:spacing w:val="-10"/>
        </w:rPr>
        <w:t> </w:t>
      </w:r>
      <w:r>
        <w:rPr/>
        <w:t>under Title IX. By implementing policies like these, schools, colleges, and universities can ensure that their campus climates are inclusive of and welcoming to LGBTQ youth.</w:t>
      </w:r>
    </w:p>
    <w:p>
      <w:pPr>
        <w:spacing w:before="159"/>
        <w:ind w:left="458" w:right="0" w:firstLine="0"/>
        <w:jc w:val="both"/>
        <w:rPr>
          <w:sz w:val="28"/>
        </w:rPr>
      </w:pPr>
      <w:bookmarkStart w:name="Substance Use and Interventions" w:id="228"/>
      <w:bookmarkEnd w:id="228"/>
      <w:r>
        <w:rPr/>
      </w:r>
      <w:r>
        <w:rPr>
          <w:color w:val="365F91"/>
          <w:sz w:val="28"/>
        </w:rPr>
        <w:t>Substance</w:t>
      </w:r>
      <w:r>
        <w:rPr>
          <w:color w:val="365F91"/>
          <w:spacing w:val="-9"/>
          <w:sz w:val="28"/>
        </w:rPr>
        <w:t> </w:t>
      </w:r>
      <w:r>
        <w:rPr>
          <w:color w:val="365F91"/>
          <w:sz w:val="28"/>
        </w:rPr>
        <w:t>Use</w:t>
      </w:r>
      <w:r>
        <w:rPr>
          <w:color w:val="365F91"/>
          <w:spacing w:val="-9"/>
          <w:sz w:val="28"/>
        </w:rPr>
        <w:t> </w:t>
      </w:r>
      <w:r>
        <w:rPr>
          <w:color w:val="365F91"/>
          <w:sz w:val="28"/>
        </w:rPr>
        <w:t>and</w:t>
      </w:r>
      <w:r>
        <w:rPr>
          <w:color w:val="365F91"/>
          <w:spacing w:val="-10"/>
          <w:sz w:val="28"/>
        </w:rPr>
        <w:t> </w:t>
      </w:r>
      <w:r>
        <w:rPr>
          <w:color w:val="365F91"/>
          <w:spacing w:val="-2"/>
          <w:sz w:val="28"/>
        </w:rPr>
        <w:t>Interventions</w:t>
      </w:r>
    </w:p>
    <w:p>
      <w:pPr>
        <w:pStyle w:val="BodyText"/>
        <w:spacing w:line="276" w:lineRule="auto" w:before="241"/>
        <w:ind w:left="458" w:right="531"/>
        <w:jc w:val="both"/>
      </w:pPr>
      <w:r>
        <w:rPr/>
        <w:t>Substance</w:t>
      </w:r>
      <w:r>
        <w:rPr>
          <w:spacing w:val="-7"/>
        </w:rPr>
        <w:t> </w:t>
      </w:r>
      <w:r>
        <w:rPr/>
        <w:t>use</w:t>
      </w:r>
      <w:r>
        <w:rPr>
          <w:spacing w:val="-7"/>
        </w:rPr>
        <w:t> </w:t>
      </w:r>
      <w:r>
        <w:rPr/>
        <w:t>is</w:t>
      </w:r>
      <w:r>
        <w:rPr>
          <w:spacing w:val="-6"/>
        </w:rPr>
        <w:t> </w:t>
      </w:r>
      <w:r>
        <w:rPr/>
        <w:t>a</w:t>
      </w:r>
      <w:r>
        <w:rPr>
          <w:spacing w:val="-6"/>
        </w:rPr>
        <w:t> </w:t>
      </w:r>
      <w:r>
        <w:rPr/>
        <w:t>major</w:t>
      </w:r>
      <w:r>
        <w:rPr>
          <w:spacing w:val="-6"/>
        </w:rPr>
        <w:t> </w:t>
      </w:r>
      <w:r>
        <w:rPr/>
        <w:t>public</w:t>
      </w:r>
      <w:r>
        <w:rPr>
          <w:spacing w:val="-6"/>
        </w:rPr>
        <w:t> </w:t>
      </w:r>
      <w:r>
        <w:rPr/>
        <w:t>health</w:t>
      </w:r>
      <w:r>
        <w:rPr>
          <w:spacing w:val="-6"/>
        </w:rPr>
        <w:t> </w:t>
      </w:r>
      <w:r>
        <w:rPr/>
        <w:t>crisis</w:t>
      </w:r>
      <w:r>
        <w:rPr>
          <w:spacing w:val="-6"/>
        </w:rPr>
        <w:t> </w:t>
      </w:r>
      <w:r>
        <w:rPr/>
        <w:t>in</w:t>
      </w:r>
      <w:r>
        <w:rPr>
          <w:spacing w:val="-7"/>
        </w:rPr>
        <w:t> </w:t>
      </w:r>
      <w:r>
        <w:rPr/>
        <w:t>Massachusetts.</w:t>
      </w:r>
      <w:r>
        <w:rPr>
          <w:spacing w:val="-7"/>
        </w:rPr>
        <w:t> </w:t>
      </w:r>
      <w:r>
        <w:rPr/>
        <w:t>In</w:t>
      </w:r>
      <w:r>
        <w:rPr>
          <w:spacing w:val="-7"/>
        </w:rPr>
        <w:t> </w:t>
      </w:r>
      <w:r>
        <w:rPr/>
        <w:t>2022</w:t>
      </w:r>
      <w:r>
        <w:rPr>
          <w:spacing w:val="-6"/>
        </w:rPr>
        <w:t> </w:t>
      </w:r>
      <w:r>
        <w:rPr/>
        <w:t>alone,</w:t>
      </w:r>
      <w:r>
        <w:rPr>
          <w:spacing w:val="-6"/>
        </w:rPr>
        <w:t> </w:t>
      </w:r>
      <w:r>
        <w:rPr/>
        <w:t>there</w:t>
      </w:r>
      <w:r>
        <w:rPr>
          <w:spacing w:val="-7"/>
        </w:rPr>
        <w:t> </w:t>
      </w:r>
      <w:r>
        <w:rPr/>
        <w:t>were</w:t>
      </w:r>
      <w:r>
        <w:rPr>
          <w:spacing w:val="-7"/>
        </w:rPr>
        <w:t> </w:t>
      </w:r>
      <w:r>
        <w:rPr/>
        <w:t>1,340</w:t>
      </w:r>
      <w:r>
        <w:rPr>
          <w:spacing w:val="-6"/>
        </w:rPr>
        <w:t> </w:t>
      </w:r>
      <w:r>
        <w:rPr/>
        <w:t>deaths due</w:t>
      </w:r>
      <w:r>
        <w:rPr>
          <w:spacing w:val="-12"/>
        </w:rPr>
        <w:t> </w:t>
      </w:r>
      <w:r>
        <w:rPr/>
        <w:t>to</w:t>
      </w:r>
      <w:r>
        <w:rPr>
          <w:spacing w:val="-12"/>
        </w:rPr>
        <w:t> </w:t>
      </w:r>
      <w:r>
        <w:rPr/>
        <w:t>opioid</w:t>
      </w:r>
      <w:r>
        <w:rPr>
          <w:spacing w:val="-12"/>
        </w:rPr>
        <w:t> </w:t>
      </w:r>
      <w:r>
        <w:rPr/>
        <w:t>overdose,</w:t>
      </w:r>
      <w:r>
        <w:rPr>
          <w:spacing w:val="-12"/>
        </w:rPr>
        <w:t> </w:t>
      </w:r>
      <w:r>
        <w:rPr/>
        <w:t>and</w:t>
      </w:r>
      <w:r>
        <w:rPr>
          <w:spacing w:val="-13"/>
        </w:rPr>
        <w:t> </w:t>
      </w:r>
      <w:r>
        <w:rPr/>
        <w:t>almost</w:t>
      </w:r>
      <w:r>
        <w:rPr>
          <w:spacing w:val="-12"/>
        </w:rPr>
        <w:t> </w:t>
      </w:r>
      <w:r>
        <w:rPr/>
        <w:t>10%</w:t>
      </w:r>
      <w:r>
        <w:rPr>
          <w:spacing w:val="-11"/>
        </w:rPr>
        <w:t> </w:t>
      </w:r>
      <w:r>
        <w:rPr/>
        <w:t>of</w:t>
      </w:r>
      <w:r>
        <w:rPr>
          <w:spacing w:val="-13"/>
        </w:rPr>
        <w:t> </w:t>
      </w:r>
      <w:r>
        <w:rPr/>
        <w:t>deaths</w:t>
      </w:r>
      <w:r>
        <w:rPr>
          <w:spacing w:val="-11"/>
        </w:rPr>
        <w:t> </w:t>
      </w:r>
      <w:r>
        <w:rPr/>
        <w:t>in</w:t>
      </w:r>
      <w:r>
        <w:rPr>
          <w:spacing w:val="-12"/>
        </w:rPr>
        <w:t> </w:t>
      </w:r>
      <w:r>
        <w:rPr/>
        <w:t>youths</w:t>
      </w:r>
      <w:r>
        <w:rPr>
          <w:spacing w:val="-12"/>
        </w:rPr>
        <w:t> </w:t>
      </w:r>
      <w:r>
        <w:rPr/>
        <w:t>under</w:t>
      </w:r>
      <w:r>
        <w:rPr>
          <w:spacing w:val="-11"/>
        </w:rPr>
        <w:t> </w:t>
      </w:r>
      <w:r>
        <w:rPr/>
        <w:t>the</w:t>
      </w:r>
      <w:r>
        <w:rPr>
          <w:spacing w:val="-13"/>
        </w:rPr>
        <w:t> </w:t>
      </w:r>
      <w:r>
        <w:rPr/>
        <w:t>age</w:t>
      </w:r>
      <w:r>
        <w:rPr>
          <w:spacing w:val="-12"/>
        </w:rPr>
        <w:t> </w:t>
      </w:r>
      <w:r>
        <w:rPr/>
        <w:t>of</w:t>
      </w:r>
      <w:r>
        <w:rPr>
          <w:spacing w:val="-13"/>
        </w:rPr>
        <w:t> </w:t>
      </w:r>
      <w:r>
        <w:rPr/>
        <w:t>25</w:t>
      </w:r>
      <w:r>
        <w:rPr>
          <w:spacing w:val="-9"/>
        </w:rPr>
        <w:t> </w:t>
      </w:r>
      <w:r>
        <w:rPr/>
        <w:t>were</w:t>
      </w:r>
      <w:r>
        <w:rPr>
          <w:spacing w:val="-13"/>
        </w:rPr>
        <w:t> </w:t>
      </w:r>
      <w:r>
        <w:rPr/>
        <w:t>caused</w:t>
      </w:r>
      <w:r>
        <w:rPr>
          <w:spacing w:val="-11"/>
        </w:rPr>
        <w:t> </w:t>
      </w:r>
      <w:r>
        <w:rPr/>
        <w:t>by</w:t>
      </w:r>
      <w:r>
        <w:rPr>
          <w:spacing w:val="-12"/>
        </w:rPr>
        <w:t> </w:t>
      </w:r>
      <w:r>
        <w:rPr/>
        <w:t>opioid overdose. </w:t>
      </w:r>
      <w:hyperlink w:history="true" w:anchor="_bookmark94">
        <w:r>
          <w:rPr>
            <w:vertAlign w:val="superscript"/>
          </w:rPr>
          <w:t>95</w:t>
        </w:r>
      </w:hyperlink>
      <w:r>
        <w:rPr>
          <w:vertAlign w:val="baseline"/>
        </w:rPr>
        <w:t> Although there is no data regarding the gender identities or sexualities of these individuals, it is likely that several of them were LGBTQ youth. Beyond opioids, public health practitioners have been pushing for more regulation on the tobacco and alcohol industries for decades,</w:t>
      </w:r>
      <w:r>
        <w:rPr>
          <w:spacing w:val="-5"/>
          <w:vertAlign w:val="baseline"/>
        </w:rPr>
        <w:t> </w:t>
      </w:r>
      <w:r>
        <w:rPr>
          <w:vertAlign w:val="baseline"/>
        </w:rPr>
        <w:t>in</w:t>
      </w:r>
      <w:r>
        <w:rPr>
          <w:spacing w:val="-5"/>
          <w:vertAlign w:val="baseline"/>
        </w:rPr>
        <w:t> </w:t>
      </w:r>
      <w:r>
        <w:rPr>
          <w:vertAlign w:val="baseline"/>
        </w:rPr>
        <w:t>the</w:t>
      </w:r>
      <w:r>
        <w:rPr>
          <w:spacing w:val="-5"/>
          <w:vertAlign w:val="baseline"/>
        </w:rPr>
        <w:t> </w:t>
      </w:r>
      <w:r>
        <w:rPr>
          <w:vertAlign w:val="baseline"/>
        </w:rPr>
        <w:t>hopes</w:t>
      </w:r>
      <w:r>
        <w:rPr>
          <w:spacing w:val="-6"/>
          <w:vertAlign w:val="baseline"/>
        </w:rPr>
        <w:t> </w:t>
      </w:r>
      <w:r>
        <w:rPr>
          <w:vertAlign w:val="baseline"/>
        </w:rPr>
        <w:t>of</w:t>
      </w:r>
      <w:r>
        <w:rPr>
          <w:spacing w:val="-5"/>
          <w:vertAlign w:val="baseline"/>
        </w:rPr>
        <w:t> </w:t>
      </w:r>
      <w:r>
        <w:rPr>
          <w:vertAlign w:val="baseline"/>
        </w:rPr>
        <w:t>mitigating</w:t>
      </w:r>
      <w:r>
        <w:rPr>
          <w:spacing w:val="-5"/>
          <w:vertAlign w:val="baseline"/>
        </w:rPr>
        <w:t> </w:t>
      </w:r>
      <w:r>
        <w:rPr>
          <w:vertAlign w:val="baseline"/>
        </w:rPr>
        <w:t>both</w:t>
      </w:r>
      <w:r>
        <w:rPr>
          <w:spacing w:val="-5"/>
          <w:vertAlign w:val="baseline"/>
        </w:rPr>
        <w:t> </w:t>
      </w:r>
      <w:r>
        <w:rPr>
          <w:vertAlign w:val="baseline"/>
        </w:rPr>
        <w:t>the</w:t>
      </w:r>
      <w:r>
        <w:rPr>
          <w:spacing w:val="-5"/>
          <w:vertAlign w:val="baseline"/>
        </w:rPr>
        <w:t> </w:t>
      </w:r>
      <w:r>
        <w:rPr>
          <w:vertAlign w:val="baseline"/>
        </w:rPr>
        <w:t>short-term</w:t>
      </w:r>
      <w:r>
        <w:rPr>
          <w:spacing w:val="-5"/>
          <w:vertAlign w:val="baseline"/>
        </w:rPr>
        <w:t> </w:t>
      </w:r>
      <w:r>
        <w:rPr>
          <w:vertAlign w:val="baseline"/>
        </w:rPr>
        <w:t>consequences</w:t>
      </w:r>
      <w:r>
        <w:rPr>
          <w:spacing w:val="-5"/>
          <w:vertAlign w:val="baseline"/>
        </w:rPr>
        <w:t> </w:t>
      </w:r>
      <w:r>
        <w:rPr>
          <w:vertAlign w:val="baseline"/>
        </w:rPr>
        <w:t>(such</w:t>
      </w:r>
      <w:r>
        <w:rPr>
          <w:spacing w:val="-5"/>
          <w:vertAlign w:val="baseline"/>
        </w:rPr>
        <w:t> </w:t>
      </w:r>
      <w:r>
        <w:rPr>
          <w:vertAlign w:val="baseline"/>
        </w:rPr>
        <w:t>as</w:t>
      </w:r>
      <w:r>
        <w:rPr>
          <w:spacing w:val="-6"/>
          <w:vertAlign w:val="baseline"/>
        </w:rPr>
        <w:t> </w:t>
      </w:r>
      <w:r>
        <w:rPr>
          <w:vertAlign w:val="baseline"/>
        </w:rPr>
        <w:t>drunk</w:t>
      </w:r>
      <w:r>
        <w:rPr>
          <w:spacing w:val="-5"/>
          <w:vertAlign w:val="baseline"/>
        </w:rPr>
        <w:t> </w:t>
      </w:r>
      <w:r>
        <w:rPr>
          <w:vertAlign w:val="baseline"/>
        </w:rPr>
        <w:t>driving),</w:t>
      </w:r>
      <w:r>
        <w:rPr>
          <w:spacing w:val="-6"/>
          <w:vertAlign w:val="baseline"/>
        </w:rPr>
        <w:t> </w:t>
      </w:r>
      <w:r>
        <w:rPr>
          <w:vertAlign w:val="baseline"/>
        </w:rPr>
        <w:t>as</w:t>
      </w:r>
      <w:r>
        <w:rPr>
          <w:spacing w:val="-6"/>
          <w:vertAlign w:val="baseline"/>
        </w:rPr>
        <w:t> </w:t>
      </w:r>
      <w:r>
        <w:rPr>
          <w:vertAlign w:val="baseline"/>
        </w:rPr>
        <w:t>well</w:t>
      </w:r>
    </w:p>
    <w:p>
      <w:pPr>
        <w:spacing w:after="0" w:line="276" w:lineRule="auto"/>
        <w:jc w:val="both"/>
        <w:sectPr>
          <w:pgSz w:w="11910" w:h="16840"/>
          <w:pgMar w:header="804" w:footer="1230" w:top="1080" w:bottom="1460" w:left="980" w:right="900"/>
        </w:sectPr>
      </w:pPr>
    </w:p>
    <w:p>
      <w:pPr>
        <w:pStyle w:val="BodyText"/>
        <w:spacing w:line="276" w:lineRule="auto" w:before="69"/>
        <w:ind w:left="458" w:right="532"/>
        <w:jc w:val="both"/>
      </w:pPr>
      <w:r>
        <w:rPr/>
        <w:t>as the long-term (such as lung cancer from secondhand smoke) for youths and adults. Substance use and substance use disorders stem from a variety of factors including </w:t>
      </w:r>
      <w:r>
        <w:rPr>
          <w:color w:val="000000"/>
          <w:shd w:fill="FAFAFA" w:color="auto" w:val="clear"/>
        </w:rPr>
        <w:t>victimization (experiencing</w:t>
      </w:r>
      <w:r>
        <w:rPr>
          <w:color w:val="000000"/>
        </w:rPr>
        <w:t> </w:t>
      </w:r>
      <w:r>
        <w:rPr>
          <w:color w:val="000000"/>
          <w:shd w:fill="FAFAFA" w:color="auto" w:val="clear"/>
        </w:rPr>
        <w:t>harassment,</w:t>
      </w:r>
      <w:r>
        <w:rPr>
          <w:color w:val="000000"/>
          <w:spacing w:val="-8"/>
          <w:shd w:fill="FAFAFA" w:color="auto" w:val="clear"/>
        </w:rPr>
        <w:t> </w:t>
      </w:r>
      <w:r>
        <w:rPr>
          <w:color w:val="000000"/>
          <w:shd w:fill="FAFAFA" w:color="auto" w:val="clear"/>
        </w:rPr>
        <w:t>discrimination,</w:t>
      </w:r>
      <w:r>
        <w:rPr>
          <w:color w:val="000000"/>
          <w:spacing w:val="-9"/>
          <w:shd w:fill="FAFAFA" w:color="auto" w:val="clear"/>
        </w:rPr>
        <w:t> </w:t>
      </w:r>
      <w:r>
        <w:rPr>
          <w:color w:val="000000"/>
          <w:shd w:fill="FAFAFA" w:color="auto" w:val="clear"/>
        </w:rPr>
        <w:t>or</w:t>
      </w:r>
      <w:r>
        <w:rPr>
          <w:color w:val="000000"/>
          <w:spacing w:val="-9"/>
          <w:shd w:fill="FAFAFA" w:color="auto" w:val="clear"/>
        </w:rPr>
        <w:t> </w:t>
      </w:r>
      <w:r>
        <w:rPr>
          <w:color w:val="000000"/>
          <w:shd w:fill="FAFAFA" w:color="auto" w:val="clear"/>
        </w:rPr>
        <w:t>physical</w:t>
      </w:r>
      <w:r>
        <w:rPr>
          <w:color w:val="000000"/>
          <w:spacing w:val="-9"/>
          <w:shd w:fill="FAFAFA" w:color="auto" w:val="clear"/>
        </w:rPr>
        <w:t> </w:t>
      </w:r>
      <w:r>
        <w:rPr>
          <w:color w:val="000000"/>
          <w:shd w:fill="FAFAFA" w:color="auto" w:val="clear"/>
        </w:rPr>
        <w:t>violence),</w:t>
      </w:r>
      <w:r>
        <w:rPr>
          <w:color w:val="000000"/>
          <w:spacing w:val="-9"/>
          <w:shd w:fill="FAFAFA" w:color="auto" w:val="clear"/>
        </w:rPr>
        <w:t> </w:t>
      </w:r>
      <w:r>
        <w:rPr>
          <w:color w:val="000000"/>
          <w:shd w:fill="FAFAFA" w:color="auto" w:val="clear"/>
        </w:rPr>
        <w:t>a</w:t>
      </w:r>
      <w:r>
        <w:rPr>
          <w:color w:val="000000"/>
          <w:spacing w:val="-9"/>
          <w:shd w:fill="FAFAFA" w:color="auto" w:val="clear"/>
        </w:rPr>
        <w:t> </w:t>
      </w:r>
      <w:r>
        <w:rPr>
          <w:color w:val="000000"/>
          <w:shd w:fill="FAFAFA" w:color="auto" w:val="clear"/>
        </w:rPr>
        <w:t>lack</w:t>
      </w:r>
      <w:r>
        <w:rPr>
          <w:color w:val="000000"/>
          <w:spacing w:val="-9"/>
          <w:shd w:fill="FAFAFA" w:color="auto" w:val="clear"/>
        </w:rPr>
        <w:t> </w:t>
      </w:r>
      <w:r>
        <w:rPr>
          <w:color w:val="000000"/>
          <w:shd w:fill="FAFAFA" w:color="auto" w:val="clear"/>
        </w:rPr>
        <w:t>of</w:t>
      </w:r>
      <w:r>
        <w:rPr>
          <w:color w:val="000000"/>
          <w:spacing w:val="-9"/>
          <w:shd w:fill="FAFAFA" w:color="auto" w:val="clear"/>
        </w:rPr>
        <w:t> </w:t>
      </w:r>
      <w:r>
        <w:rPr>
          <w:color w:val="000000"/>
          <w:shd w:fill="FAFAFA" w:color="auto" w:val="clear"/>
        </w:rPr>
        <w:t>support</w:t>
      </w:r>
      <w:r>
        <w:rPr>
          <w:color w:val="000000"/>
          <w:spacing w:val="-9"/>
          <w:shd w:fill="FAFAFA" w:color="auto" w:val="clear"/>
        </w:rPr>
        <w:t> </w:t>
      </w:r>
      <w:r>
        <w:rPr>
          <w:color w:val="000000"/>
          <w:shd w:fill="FAFAFA" w:color="auto" w:val="clear"/>
        </w:rPr>
        <w:t>for</w:t>
      </w:r>
      <w:r>
        <w:rPr>
          <w:color w:val="000000"/>
          <w:spacing w:val="-9"/>
          <w:shd w:fill="FAFAFA" w:color="auto" w:val="clear"/>
        </w:rPr>
        <w:t> </w:t>
      </w:r>
      <w:r>
        <w:rPr>
          <w:color w:val="000000"/>
          <w:shd w:fill="FAFAFA" w:color="auto" w:val="clear"/>
        </w:rPr>
        <w:t>LGBTQ</w:t>
      </w:r>
      <w:r>
        <w:rPr>
          <w:color w:val="000000"/>
          <w:spacing w:val="-9"/>
          <w:shd w:fill="FAFAFA" w:color="auto" w:val="clear"/>
        </w:rPr>
        <w:t> </w:t>
      </w:r>
      <w:r>
        <w:rPr>
          <w:color w:val="000000"/>
          <w:shd w:fill="FAFAFA" w:color="auto" w:val="clear"/>
        </w:rPr>
        <w:t>identity</w:t>
      </w:r>
      <w:r>
        <w:rPr>
          <w:color w:val="000000"/>
          <w:spacing w:val="-9"/>
          <w:shd w:fill="FAFAFA" w:color="auto" w:val="clear"/>
        </w:rPr>
        <w:t> </w:t>
      </w:r>
      <w:r>
        <w:rPr>
          <w:color w:val="000000"/>
          <w:shd w:fill="FAFAFA" w:color="auto" w:val="clear"/>
        </w:rPr>
        <w:t>(at</w:t>
      </w:r>
      <w:r>
        <w:rPr>
          <w:color w:val="000000"/>
          <w:spacing w:val="-9"/>
          <w:shd w:fill="FAFAFA" w:color="auto" w:val="clear"/>
        </w:rPr>
        <w:t> </w:t>
      </w:r>
      <w:r>
        <w:rPr>
          <w:color w:val="000000"/>
          <w:shd w:fill="FAFAFA" w:color="auto" w:val="clear"/>
        </w:rPr>
        <w:t>home,</w:t>
      </w:r>
      <w:r>
        <w:rPr>
          <w:color w:val="000000"/>
          <w:spacing w:val="-9"/>
          <w:shd w:fill="FAFAFA" w:color="auto" w:val="clear"/>
        </w:rPr>
        <w:t> </w:t>
      </w:r>
      <w:r>
        <w:rPr>
          <w:color w:val="000000"/>
          <w:shd w:fill="FAFAFA" w:color="auto" w:val="clear"/>
        </w:rPr>
        <w:t>in</w:t>
      </w:r>
      <w:r>
        <w:rPr>
          <w:color w:val="000000"/>
          <w:spacing w:val="-9"/>
          <w:shd w:fill="FAFAFA" w:color="auto" w:val="clear"/>
        </w:rPr>
        <w:t> </w:t>
      </w:r>
      <w:r>
        <w:rPr>
          <w:color w:val="000000"/>
          <w:shd w:fill="FAFAFA" w:color="auto" w:val="clear"/>
        </w:rPr>
        <w:t>the</w:t>
      </w:r>
      <w:r>
        <w:rPr>
          <w:color w:val="000000"/>
        </w:rPr>
        <w:t> </w:t>
      </w:r>
      <w:r>
        <w:rPr>
          <w:color w:val="000000"/>
          <w:shd w:fill="FAFAFA" w:color="auto" w:val="clear"/>
        </w:rPr>
        <w:t>community, or at school), psychological stress due to personal experiences or current events, and a</w:t>
      </w:r>
      <w:r>
        <w:rPr>
          <w:color w:val="000000"/>
        </w:rPr>
        <w:t> </w:t>
      </w:r>
      <w:r>
        <w:rPr>
          <w:color w:val="000000"/>
          <w:shd w:fill="FAFAFA" w:color="auto" w:val="clear"/>
        </w:rPr>
        <w:t>lack of secure and stable housing. </w:t>
      </w:r>
      <w:hyperlink w:history="true" w:anchor="_bookmark94">
        <w:r>
          <w:rPr>
            <w:color w:val="000000"/>
            <w:vertAlign w:val="superscript"/>
          </w:rPr>
          <w:t>96</w:t>
        </w:r>
      </w:hyperlink>
      <w:r>
        <w:rPr>
          <w:color w:val="000000"/>
          <w:vertAlign w:val="baseline"/>
        </w:rPr>
        <w:t> Transgender and gender expansive youth are particularly vulnerable to these factors due to increased victimization and discrimination</w:t>
      </w:r>
      <w:hyperlink w:history="true" w:anchor="_bookmark94">
        <w:r>
          <w:rPr>
            <w:color w:val="000000"/>
            <w:vertAlign w:val="baseline"/>
          </w:rPr>
          <w:t>.</w:t>
        </w:r>
        <w:r>
          <w:rPr>
            <w:color w:val="000000"/>
            <w:vertAlign w:val="superscript"/>
          </w:rPr>
          <w:t>97</w:t>
        </w:r>
      </w:hyperlink>
      <w:r>
        <w:rPr>
          <w:color w:val="000000"/>
          <w:vertAlign w:val="baseline"/>
        </w:rPr>
        <w:t> In regard to tobacco products,</w:t>
      </w:r>
      <w:r>
        <w:rPr>
          <w:color w:val="000000"/>
          <w:spacing w:val="-6"/>
          <w:vertAlign w:val="baseline"/>
        </w:rPr>
        <w:t> </w:t>
      </w:r>
      <w:r>
        <w:rPr>
          <w:color w:val="000000"/>
          <w:vertAlign w:val="baseline"/>
        </w:rPr>
        <w:t>17.0%</w:t>
      </w:r>
      <w:r>
        <w:rPr>
          <w:color w:val="000000"/>
          <w:spacing w:val="-8"/>
          <w:vertAlign w:val="baseline"/>
        </w:rPr>
        <w:t> </w:t>
      </w:r>
      <w:r>
        <w:rPr>
          <w:color w:val="000000"/>
          <w:vertAlign w:val="baseline"/>
        </w:rPr>
        <w:t>of</w:t>
      </w:r>
      <w:r>
        <w:rPr>
          <w:color w:val="000000"/>
          <w:spacing w:val="-8"/>
          <w:vertAlign w:val="baseline"/>
        </w:rPr>
        <w:t> </w:t>
      </w:r>
      <w:r>
        <w:rPr>
          <w:color w:val="000000"/>
          <w:vertAlign w:val="baseline"/>
        </w:rPr>
        <w:t>Massachusetts</w:t>
      </w:r>
      <w:r>
        <w:rPr>
          <w:color w:val="000000"/>
          <w:spacing w:val="-6"/>
          <w:vertAlign w:val="baseline"/>
        </w:rPr>
        <w:t> </w:t>
      </w:r>
      <w:r>
        <w:rPr>
          <w:color w:val="000000"/>
          <w:vertAlign w:val="baseline"/>
        </w:rPr>
        <w:t>LGBTQ</w:t>
      </w:r>
      <w:r>
        <w:rPr>
          <w:color w:val="000000"/>
          <w:spacing w:val="-8"/>
          <w:vertAlign w:val="baseline"/>
        </w:rPr>
        <w:t> </w:t>
      </w:r>
      <w:r>
        <w:rPr>
          <w:color w:val="000000"/>
          <w:vertAlign w:val="baseline"/>
        </w:rPr>
        <w:t>youth</w:t>
      </w:r>
      <w:r>
        <w:rPr>
          <w:color w:val="000000"/>
          <w:spacing w:val="-8"/>
          <w:vertAlign w:val="baseline"/>
        </w:rPr>
        <w:t> </w:t>
      </w:r>
      <w:r>
        <w:rPr>
          <w:color w:val="000000"/>
          <w:vertAlign w:val="baseline"/>
        </w:rPr>
        <w:t>in</w:t>
      </w:r>
      <w:r>
        <w:rPr>
          <w:color w:val="000000"/>
          <w:spacing w:val="-7"/>
          <w:vertAlign w:val="baseline"/>
        </w:rPr>
        <w:t> </w:t>
      </w:r>
      <w:r>
        <w:rPr>
          <w:color w:val="000000"/>
          <w:vertAlign w:val="baseline"/>
        </w:rPr>
        <w:t>grades</w:t>
      </w:r>
      <w:r>
        <w:rPr>
          <w:color w:val="000000"/>
          <w:spacing w:val="-7"/>
          <w:vertAlign w:val="baseline"/>
        </w:rPr>
        <w:t> </w:t>
      </w:r>
      <w:r>
        <w:rPr>
          <w:color w:val="000000"/>
          <w:vertAlign w:val="baseline"/>
        </w:rPr>
        <w:t>9-12</w:t>
      </w:r>
      <w:r>
        <w:rPr>
          <w:color w:val="000000"/>
          <w:spacing w:val="-8"/>
          <w:vertAlign w:val="baseline"/>
        </w:rPr>
        <w:t> </w:t>
      </w:r>
      <w:r>
        <w:rPr>
          <w:color w:val="000000"/>
          <w:vertAlign w:val="baseline"/>
        </w:rPr>
        <w:t>report</w:t>
      </w:r>
      <w:r>
        <w:rPr>
          <w:color w:val="000000"/>
          <w:spacing w:val="-8"/>
          <w:vertAlign w:val="baseline"/>
        </w:rPr>
        <w:t> </w:t>
      </w:r>
      <w:r>
        <w:rPr>
          <w:color w:val="000000"/>
          <w:vertAlign w:val="baseline"/>
        </w:rPr>
        <w:t>having</w:t>
      </w:r>
      <w:r>
        <w:rPr>
          <w:color w:val="000000"/>
          <w:spacing w:val="-7"/>
          <w:vertAlign w:val="baseline"/>
        </w:rPr>
        <w:t> </w:t>
      </w:r>
      <w:r>
        <w:rPr>
          <w:color w:val="000000"/>
          <w:vertAlign w:val="baseline"/>
        </w:rPr>
        <w:t>ever</w:t>
      </w:r>
      <w:r>
        <w:rPr>
          <w:color w:val="000000"/>
          <w:spacing w:val="-8"/>
          <w:vertAlign w:val="baseline"/>
        </w:rPr>
        <w:t> </w:t>
      </w:r>
      <w:r>
        <w:rPr>
          <w:color w:val="000000"/>
          <w:vertAlign w:val="baseline"/>
        </w:rPr>
        <w:t>smoked</w:t>
      </w:r>
      <w:r>
        <w:rPr>
          <w:color w:val="000000"/>
          <w:spacing w:val="-7"/>
          <w:vertAlign w:val="baseline"/>
        </w:rPr>
        <w:t> </w:t>
      </w:r>
      <w:r>
        <w:rPr>
          <w:color w:val="000000"/>
          <w:vertAlign w:val="baseline"/>
        </w:rPr>
        <w:t>a</w:t>
      </w:r>
      <w:r>
        <w:rPr>
          <w:color w:val="000000"/>
          <w:spacing w:val="-6"/>
          <w:vertAlign w:val="baseline"/>
        </w:rPr>
        <w:t> </w:t>
      </w:r>
      <w:r>
        <w:rPr>
          <w:color w:val="000000"/>
          <w:vertAlign w:val="baseline"/>
        </w:rPr>
        <w:t>cigarette, while 35.4% reporting having ever used a vape product</w:t>
      </w:r>
      <w:hyperlink w:history="true" w:anchor="_bookmark94">
        <w:r>
          <w:rPr>
            <w:color w:val="000000"/>
            <w:vertAlign w:val="baseline"/>
          </w:rPr>
          <w:t>.</w:t>
        </w:r>
        <w:r>
          <w:rPr>
            <w:color w:val="000000"/>
            <w:vertAlign w:val="superscript"/>
          </w:rPr>
          <w:t>98</w:t>
        </w:r>
      </w:hyperlink>
      <w:r>
        <w:rPr>
          <w:color w:val="000000"/>
          <w:vertAlign w:val="baseline"/>
        </w:rPr>
        <w:t> Likewise, 24.5% of LGBTQ youth reported drinking alcohol within the last 30 days, and 32.4% of LGBTQ reported ever having used marijuana</w:t>
      </w:r>
      <w:hyperlink w:history="true" w:anchor="_bookmark94">
        <w:r>
          <w:rPr>
            <w:color w:val="000000"/>
            <w:vertAlign w:val="baseline"/>
          </w:rPr>
          <w:t>.</w:t>
        </w:r>
        <w:r>
          <w:rPr>
            <w:color w:val="000000"/>
            <w:vertAlign w:val="superscript"/>
          </w:rPr>
          <w:t>99</w:t>
        </w:r>
      </w:hyperlink>
    </w:p>
    <w:p>
      <w:pPr>
        <w:pStyle w:val="BodyText"/>
        <w:spacing w:line="276" w:lineRule="auto" w:before="240"/>
        <w:ind w:left="4538" w:right="533"/>
        <w:jc w:val="both"/>
      </w:pPr>
      <w:r>
        <w:rPr/>
        <w:drawing>
          <wp:anchor distT="0" distB="0" distL="0" distR="0" allowOverlap="1" layoutInCell="1" locked="0" behindDoc="0" simplePos="0" relativeHeight="15754240">
            <wp:simplePos x="0" y="0"/>
            <wp:positionH relativeFrom="page">
              <wp:posOffset>914400</wp:posOffset>
            </wp:positionH>
            <wp:positionV relativeFrom="paragraph">
              <wp:posOffset>508380</wp:posOffset>
            </wp:positionV>
            <wp:extent cx="2336164" cy="3371211"/>
            <wp:effectExtent l="0" t="0" r="0" b="0"/>
            <wp:wrapNone/>
            <wp:docPr id="185" name="Image 185" descr="A screenshot of a cell phone  Description automatically generated "/>
            <wp:cNvGraphicFramePr>
              <a:graphicFrameLocks/>
            </wp:cNvGraphicFramePr>
            <a:graphic>
              <a:graphicData uri="http://schemas.openxmlformats.org/drawingml/2006/picture">
                <pic:pic>
                  <pic:nvPicPr>
                    <pic:cNvPr id="185" name="Image 185" descr="A screenshot of a cell phone  Description automatically generated "/>
                    <pic:cNvPicPr/>
                  </pic:nvPicPr>
                  <pic:blipFill>
                    <a:blip r:embed="rId136" cstate="print"/>
                    <a:stretch>
                      <a:fillRect/>
                    </a:stretch>
                  </pic:blipFill>
                  <pic:spPr>
                    <a:xfrm>
                      <a:off x="0" y="0"/>
                      <a:ext cx="2336164" cy="3371211"/>
                    </a:xfrm>
                    <a:prstGeom prst="rect">
                      <a:avLst/>
                    </a:prstGeom>
                  </pic:spPr>
                </pic:pic>
              </a:graphicData>
            </a:graphic>
          </wp:anchor>
        </w:drawing>
      </w:r>
      <w:r>
        <w:rPr/>
        <w:t>Among</w:t>
      </w:r>
      <w:r>
        <w:rPr>
          <w:spacing w:val="-4"/>
        </w:rPr>
        <w:t> </w:t>
      </w:r>
      <w:r>
        <w:rPr/>
        <w:t>Massachusetts</w:t>
      </w:r>
      <w:r>
        <w:rPr>
          <w:spacing w:val="-3"/>
        </w:rPr>
        <w:t> </w:t>
      </w:r>
      <w:r>
        <w:rPr/>
        <w:t>LGBTQ</w:t>
      </w:r>
      <w:r>
        <w:rPr>
          <w:spacing w:val="-4"/>
        </w:rPr>
        <w:t> </w:t>
      </w:r>
      <w:r>
        <w:rPr/>
        <w:t>youth</w:t>
      </w:r>
      <w:r>
        <w:rPr>
          <w:spacing w:val="-4"/>
        </w:rPr>
        <w:t> </w:t>
      </w:r>
      <w:r>
        <w:rPr/>
        <w:t>of</w:t>
      </w:r>
      <w:r>
        <w:rPr>
          <w:spacing w:val="-2"/>
        </w:rPr>
        <w:t> </w:t>
      </w:r>
      <w:r>
        <w:rPr/>
        <w:t>color</w:t>
      </w:r>
      <w:r>
        <w:rPr>
          <w:spacing w:val="-3"/>
        </w:rPr>
        <w:t> </w:t>
      </w:r>
      <w:r>
        <w:rPr/>
        <w:t>ages</w:t>
      </w:r>
      <w:r>
        <w:rPr>
          <w:spacing w:val="-3"/>
        </w:rPr>
        <w:t> </w:t>
      </w:r>
      <w:r>
        <w:rPr/>
        <w:t>13</w:t>
      </w:r>
      <w:r>
        <w:rPr>
          <w:spacing w:val="-3"/>
        </w:rPr>
        <w:t> </w:t>
      </w:r>
      <w:r>
        <w:rPr/>
        <w:t>to 25 who responded to the Our Health Matters Survey, </w:t>
      </w:r>
      <w:r>
        <w:rPr>
          <w:spacing w:val="-2"/>
        </w:rPr>
        <w:t>37.9%</w:t>
      </w:r>
      <w:r>
        <w:rPr>
          <w:spacing w:val="-5"/>
        </w:rPr>
        <w:t> </w:t>
      </w:r>
      <w:r>
        <w:rPr>
          <w:spacing w:val="-2"/>
        </w:rPr>
        <w:t>reported</w:t>
      </w:r>
      <w:r>
        <w:rPr>
          <w:spacing w:val="-5"/>
        </w:rPr>
        <w:t> </w:t>
      </w:r>
      <w:r>
        <w:rPr>
          <w:spacing w:val="-2"/>
        </w:rPr>
        <w:t>having</w:t>
      </w:r>
      <w:r>
        <w:rPr>
          <w:spacing w:val="-3"/>
        </w:rPr>
        <w:t> </w:t>
      </w:r>
      <w:r>
        <w:rPr>
          <w:spacing w:val="-2"/>
        </w:rPr>
        <w:t>smoked</w:t>
      </w:r>
      <w:r>
        <w:rPr>
          <w:spacing w:val="-5"/>
        </w:rPr>
        <w:t> </w:t>
      </w:r>
      <w:r>
        <w:rPr>
          <w:spacing w:val="-2"/>
        </w:rPr>
        <w:t>cigarettes</w:t>
      </w:r>
      <w:r>
        <w:rPr>
          <w:spacing w:val="-5"/>
        </w:rPr>
        <w:t> </w:t>
      </w:r>
      <w:r>
        <w:rPr>
          <w:spacing w:val="-2"/>
        </w:rPr>
        <w:t>within</w:t>
      </w:r>
      <w:r>
        <w:rPr>
          <w:spacing w:val="-3"/>
        </w:rPr>
        <w:t> </w:t>
      </w:r>
      <w:r>
        <w:rPr>
          <w:spacing w:val="-2"/>
        </w:rPr>
        <w:t>the</w:t>
      </w:r>
      <w:r>
        <w:rPr>
          <w:spacing w:val="-5"/>
        </w:rPr>
        <w:t> </w:t>
      </w:r>
      <w:r>
        <w:rPr>
          <w:spacing w:val="-2"/>
        </w:rPr>
        <w:t>last </w:t>
      </w:r>
      <w:r>
        <w:rPr/>
        <w:t>30 days, with 13.9% of those respondents reporting smoking</w:t>
      </w:r>
      <w:r>
        <w:rPr>
          <w:spacing w:val="-8"/>
        </w:rPr>
        <w:t> </w:t>
      </w:r>
      <w:r>
        <w:rPr/>
        <w:t>10-19</w:t>
      </w:r>
      <w:r>
        <w:rPr>
          <w:spacing w:val="-8"/>
        </w:rPr>
        <w:t> </w:t>
      </w:r>
      <w:r>
        <w:rPr/>
        <w:t>days</w:t>
      </w:r>
      <w:r>
        <w:rPr>
          <w:spacing w:val="-8"/>
        </w:rPr>
        <w:t> </w:t>
      </w:r>
      <w:r>
        <w:rPr/>
        <w:t>out</w:t>
      </w:r>
      <w:r>
        <w:rPr>
          <w:spacing w:val="-8"/>
        </w:rPr>
        <w:t> </w:t>
      </w:r>
      <w:r>
        <w:rPr/>
        <w:t>of</w:t>
      </w:r>
      <w:r>
        <w:rPr>
          <w:spacing w:val="-7"/>
        </w:rPr>
        <w:t> </w:t>
      </w:r>
      <w:r>
        <w:rPr/>
        <w:t>the</w:t>
      </w:r>
      <w:r>
        <w:rPr>
          <w:spacing w:val="-7"/>
        </w:rPr>
        <w:t> </w:t>
      </w:r>
      <w:r>
        <w:rPr/>
        <w:t>past</w:t>
      </w:r>
      <w:r>
        <w:rPr>
          <w:spacing w:val="-8"/>
        </w:rPr>
        <w:t> </w:t>
      </w:r>
      <w:r>
        <w:rPr/>
        <w:t>30</w:t>
      </w:r>
      <w:r>
        <w:rPr>
          <w:spacing w:val="-7"/>
        </w:rPr>
        <w:t> </w:t>
      </w:r>
      <w:r>
        <w:rPr/>
        <w:t>days.</w:t>
      </w:r>
      <w:hyperlink w:history="true" w:anchor="_bookmark94">
        <w:r>
          <w:rPr>
            <w:vertAlign w:val="superscript"/>
          </w:rPr>
          <w:t>100</w:t>
        </w:r>
      </w:hyperlink>
      <w:r>
        <w:rPr>
          <w:spacing w:val="-8"/>
          <w:vertAlign w:val="baseline"/>
        </w:rPr>
        <w:t> </w:t>
      </w:r>
      <w:r>
        <w:rPr>
          <w:vertAlign w:val="baseline"/>
        </w:rPr>
        <w:t>In</w:t>
      </w:r>
      <w:r>
        <w:rPr>
          <w:spacing w:val="-8"/>
          <w:vertAlign w:val="baseline"/>
        </w:rPr>
        <w:t> </w:t>
      </w:r>
      <w:r>
        <w:rPr>
          <w:vertAlign w:val="baseline"/>
        </w:rPr>
        <w:t>regard to alcohol, 51.9% of respondents reported binge drinking in the last 30 days</w:t>
      </w:r>
      <w:hyperlink w:history="true" w:anchor="_bookmark94">
        <w:r>
          <w:rPr>
            <w:vertAlign w:val="baseline"/>
          </w:rPr>
          <w:t>.</w:t>
        </w:r>
        <w:r>
          <w:rPr>
            <w:vertAlign w:val="superscript"/>
          </w:rPr>
          <w:t>101</w:t>
        </w:r>
      </w:hyperlink>
      <w:r>
        <w:rPr>
          <w:vertAlign w:val="baseline"/>
        </w:rPr>
        <w:t> Similarly, 53.0% of respondents reported smoking marijuana within the </w:t>
      </w:r>
      <w:r>
        <w:rPr>
          <w:spacing w:val="-2"/>
          <w:vertAlign w:val="baseline"/>
        </w:rPr>
        <w:t>past</w:t>
      </w:r>
      <w:r>
        <w:rPr>
          <w:spacing w:val="-6"/>
          <w:vertAlign w:val="baseline"/>
        </w:rPr>
        <w:t> </w:t>
      </w:r>
      <w:r>
        <w:rPr>
          <w:spacing w:val="-2"/>
          <w:vertAlign w:val="baseline"/>
        </w:rPr>
        <w:t>30</w:t>
      </w:r>
      <w:r>
        <w:rPr>
          <w:spacing w:val="-5"/>
          <w:vertAlign w:val="baseline"/>
        </w:rPr>
        <w:t> </w:t>
      </w:r>
      <w:r>
        <w:rPr>
          <w:spacing w:val="-2"/>
          <w:vertAlign w:val="baseline"/>
        </w:rPr>
        <w:t>days,</w:t>
      </w:r>
      <w:r>
        <w:rPr>
          <w:spacing w:val="-4"/>
          <w:vertAlign w:val="baseline"/>
        </w:rPr>
        <w:t> </w:t>
      </w:r>
      <w:r>
        <w:rPr>
          <w:spacing w:val="-2"/>
          <w:vertAlign w:val="baseline"/>
        </w:rPr>
        <w:t>with</w:t>
      </w:r>
      <w:r>
        <w:rPr>
          <w:spacing w:val="-5"/>
          <w:vertAlign w:val="baseline"/>
        </w:rPr>
        <w:t> </w:t>
      </w:r>
      <w:r>
        <w:rPr>
          <w:spacing w:val="-2"/>
          <w:vertAlign w:val="baseline"/>
        </w:rPr>
        <w:t>13.2%</w:t>
      </w:r>
      <w:r>
        <w:rPr>
          <w:spacing w:val="-6"/>
          <w:vertAlign w:val="baseline"/>
        </w:rPr>
        <w:t> </w:t>
      </w:r>
      <w:r>
        <w:rPr>
          <w:spacing w:val="-2"/>
          <w:vertAlign w:val="baseline"/>
        </w:rPr>
        <w:t>of</w:t>
      </w:r>
      <w:r>
        <w:rPr>
          <w:spacing w:val="-5"/>
          <w:vertAlign w:val="baseline"/>
        </w:rPr>
        <w:t> </w:t>
      </w:r>
      <w:r>
        <w:rPr>
          <w:spacing w:val="-2"/>
          <w:vertAlign w:val="baseline"/>
        </w:rPr>
        <w:t>those</w:t>
      </w:r>
      <w:r>
        <w:rPr>
          <w:spacing w:val="-5"/>
          <w:vertAlign w:val="baseline"/>
        </w:rPr>
        <w:t> </w:t>
      </w:r>
      <w:r>
        <w:rPr>
          <w:spacing w:val="-2"/>
          <w:vertAlign w:val="baseline"/>
        </w:rPr>
        <w:t>respondents</w:t>
      </w:r>
      <w:r>
        <w:rPr>
          <w:spacing w:val="-4"/>
          <w:vertAlign w:val="baseline"/>
        </w:rPr>
        <w:t> </w:t>
      </w:r>
      <w:r>
        <w:rPr>
          <w:spacing w:val="-2"/>
          <w:vertAlign w:val="baseline"/>
        </w:rPr>
        <w:t>reporting </w:t>
      </w:r>
      <w:r>
        <w:rPr>
          <w:vertAlign w:val="baseline"/>
        </w:rPr>
        <w:t>smoking 40 or more times during the past 30 days</w:t>
      </w:r>
      <w:hyperlink w:history="true" w:anchor="_bookmark94">
        <w:r>
          <w:rPr>
            <w:vertAlign w:val="baseline"/>
          </w:rPr>
          <w:t>.</w:t>
        </w:r>
        <w:r>
          <w:rPr>
            <w:vertAlign w:val="superscript"/>
          </w:rPr>
          <w:t>102</w:t>
        </w:r>
      </w:hyperlink>
      <w:r>
        <w:rPr>
          <w:vertAlign w:val="baseline"/>
        </w:rPr>
        <w:t> 21.4% of respondents reported misusing prescription drugs within the last 30 days</w:t>
      </w:r>
      <w:hyperlink w:history="true" w:anchor="_bookmark94">
        <w:r>
          <w:rPr>
            <w:vertAlign w:val="baseline"/>
          </w:rPr>
          <w:t>.</w:t>
        </w:r>
        <w:r>
          <w:rPr>
            <w:vertAlign w:val="superscript"/>
          </w:rPr>
          <w:t>103</w:t>
        </w:r>
      </w:hyperlink>
      <w:r>
        <w:rPr>
          <w:vertAlign w:val="baseline"/>
        </w:rPr>
        <w:t> For controlled substances, 18.5% of youth had ever used MDMA (ecstasy),</w:t>
      </w:r>
      <w:r>
        <w:rPr>
          <w:spacing w:val="-2"/>
          <w:vertAlign w:val="baseline"/>
        </w:rPr>
        <w:t> </w:t>
      </w:r>
      <w:r>
        <w:rPr>
          <w:vertAlign w:val="baseline"/>
        </w:rPr>
        <w:t>19.2%</w:t>
      </w:r>
      <w:r>
        <w:rPr>
          <w:spacing w:val="-2"/>
          <w:vertAlign w:val="baseline"/>
        </w:rPr>
        <w:t> </w:t>
      </w:r>
      <w:r>
        <w:rPr>
          <w:vertAlign w:val="baseline"/>
        </w:rPr>
        <w:t>of</w:t>
      </w:r>
      <w:r>
        <w:rPr>
          <w:spacing w:val="-2"/>
          <w:vertAlign w:val="baseline"/>
        </w:rPr>
        <w:t> </w:t>
      </w:r>
      <w:r>
        <w:rPr>
          <w:vertAlign w:val="baseline"/>
        </w:rPr>
        <w:t>youth</w:t>
      </w:r>
      <w:r>
        <w:rPr>
          <w:spacing w:val="-2"/>
          <w:vertAlign w:val="baseline"/>
        </w:rPr>
        <w:t> </w:t>
      </w:r>
      <w:r>
        <w:rPr>
          <w:vertAlign w:val="baseline"/>
        </w:rPr>
        <w:t>had</w:t>
      </w:r>
      <w:r>
        <w:rPr>
          <w:spacing w:val="-3"/>
          <w:vertAlign w:val="baseline"/>
        </w:rPr>
        <w:t> </w:t>
      </w:r>
      <w:r>
        <w:rPr>
          <w:vertAlign w:val="baseline"/>
        </w:rPr>
        <w:t>ever</w:t>
      </w:r>
      <w:r>
        <w:rPr>
          <w:spacing w:val="-1"/>
          <w:vertAlign w:val="baseline"/>
        </w:rPr>
        <w:t> </w:t>
      </w:r>
      <w:r>
        <w:rPr>
          <w:vertAlign w:val="baseline"/>
        </w:rPr>
        <w:t>used</w:t>
      </w:r>
      <w:r>
        <w:rPr>
          <w:spacing w:val="-3"/>
          <w:vertAlign w:val="baseline"/>
        </w:rPr>
        <w:t> </w:t>
      </w:r>
      <w:r>
        <w:rPr>
          <w:vertAlign w:val="baseline"/>
        </w:rPr>
        <w:t>cocaine,</w:t>
      </w:r>
      <w:r>
        <w:rPr>
          <w:spacing w:val="-1"/>
          <w:vertAlign w:val="baseline"/>
        </w:rPr>
        <w:t> </w:t>
      </w:r>
      <w:r>
        <w:rPr>
          <w:vertAlign w:val="baseline"/>
        </w:rPr>
        <w:t>13.6% had ever used methamphetamine, and 10.1% had ever used heroin. </w:t>
      </w:r>
      <w:hyperlink w:history="true" w:anchor="_bookmark94">
        <w:r>
          <w:rPr>
            <w:vertAlign w:val="superscript"/>
          </w:rPr>
          <w:t>104</w:t>
        </w:r>
      </w:hyperlink>
      <w:r>
        <w:rPr>
          <w:vertAlign w:val="baseline"/>
        </w:rPr>
        <w:t> Respondents to this survey ages 13-18 had the lowest rates of substance use.</w:t>
      </w:r>
      <w:hyperlink w:history="true" w:anchor="_bookmark94">
        <w:r>
          <w:rPr>
            <w:vertAlign w:val="superscript"/>
          </w:rPr>
          <w:t>105</w:t>
        </w:r>
      </w:hyperlink>
      <w:r>
        <w:rPr>
          <w:vertAlign w:val="baseline"/>
        </w:rPr>
        <w:t> However, </w:t>
      </w:r>
      <w:r>
        <w:rPr>
          <w:spacing w:val="-2"/>
          <w:vertAlign w:val="baseline"/>
        </w:rPr>
        <w:t>though</w:t>
      </w:r>
      <w:r>
        <w:rPr>
          <w:spacing w:val="-4"/>
          <w:vertAlign w:val="baseline"/>
        </w:rPr>
        <w:t> </w:t>
      </w:r>
      <w:r>
        <w:rPr>
          <w:spacing w:val="-2"/>
          <w:vertAlign w:val="baseline"/>
        </w:rPr>
        <w:t>access</w:t>
      </w:r>
      <w:r>
        <w:rPr>
          <w:spacing w:val="-5"/>
          <w:vertAlign w:val="baseline"/>
        </w:rPr>
        <w:t> </w:t>
      </w:r>
      <w:r>
        <w:rPr>
          <w:spacing w:val="-2"/>
          <w:vertAlign w:val="baseline"/>
        </w:rPr>
        <w:t>to</w:t>
      </w:r>
      <w:r>
        <w:rPr>
          <w:spacing w:val="-4"/>
          <w:vertAlign w:val="baseline"/>
        </w:rPr>
        <w:t> </w:t>
      </w:r>
      <w:r>
        <w:rPr>
          <w:spacing w:val="-2"/>
          <w:vertAlign w:val="baseline"/>
        </w:rPr>
        <w:t>medications</w:t>
      </w:r>
      <w:r>
        <w:rPr>
          <w:spacing w:val="-5"/>
          <w:vertAlign w:val="baseline"/>
        </w:rPr>
        <w:t> </w:t>
      </w:r>
      <w:r>
        <w:rPr>
          <w:spacing w:val="-2"/>
          <w:vertAlign w:val="baseline"/>
        </w:rPr>
        <w:t>like</w:t>
      </w:r>
      <w:r>
        <w:rPr>
          <w:spacing w:val="-5"/>
          <w:vertAlign w:val="baseline"/>
        </w:rPr>
        <w:t> </w:t>
      </w:r>
      <w:r>
        <w:rPr>
          <w:spacing w:val="-2"/>
          <w:vertAlign w:val="baseline"/>
        </w:rPr>
        <w:t>buprenorphine</w:t>
      </w:r>
      <w:r>
        <w:rPr>
          <w:spacing w:val="-4"/>
          <w:vertAlign w:val="baseline"/>
        </w:rPr>
        <w:t> </w:t>
      </w:r>
      <w:r>
        <w:rPr>
          <w:spacing w:val="-2"/>
          <w:vertAlign w:val="baseline"/>
        </w:rPr>
        <w:t>can</w:t>
      </w:r>
      <w:r>
        <w:rPr>
          <w:spacing w:val="-5"/>
          <w:vertAlign w:val="baseline"/>
        </w:rPr>
        <w:t> </w:t>
      </w:r>
      <w:r>
        <w:rPr>
          <w:spacing w:val="-2"/>
          <w:vertAlign w:val="baseline"/>
        </w:rPr>
        <w:t>be </w:t>
      </w:r>
      <w:r>
        <w:rPr>
          <w:vertAlign w:val="baseline"/>
        </w:rPr>
        <w:t>beneficial to LGBTQ youth, a 2022 study reported that patients</w:t>
      </w:r>
      <w:r>
        <w:rPr>
          <w:spacing w:val="-1"/>
          <w:vertAlign w:val="baseline"/>
        </w:rPr>
        <w:t> </w:t>
      </w:r>
      <w:r>
        <w:rPr>
          <w:vertAlign w:val="baseline"/>
        </w:rPr>
        <w:t>who were younger,</w:t>
      </w:r>
      <w:r>
        <w:rPr>
          <w:spacing w:val="-1"/>
          <w:vertAlign w:val="baseline"/>
        </w:rPr>
        <w:t> </w:t>
      </w:r>
      <w:r>
        <w:rPr>
          <w:vertAlign w:val="baseline"/>
        </w:rPr>
        <w:t>Black,</w:t>
      </w:r>
      <w:r>
        <w:rPr>
          <w:spacing w:val="-1"/>
          <w:vertAlign w:val="baseline"/>
        </w:rPr>
        <w:t> </w:t>
      </w:r>
      <w:r>
        <w:rPr>
          <w:vertAlign w:val="baseline"/>
        </w:rPr>
        <w:t>and/or</w:t>
      </w:r>
      <w:r>
        <w:rPr>
          <w:spacing w:val="-1"/>
          <w:vertAlign w:val="baseline"/>
        </w:rPr>
        <w:t> </w:t>
      </w:r>
      <w:r>
        <w:rPr>
          <w:vertAlign w:val="baseline"/>
        </w:rPr>
        <w:t>female were less likely to receive buprenorphine treatment</w:t>
      </w:r>
      <w:hyperlink w:history="true" w:anchor="_bookmark94">
        <w:r>
          <w:rPr>
            <w:vertAlign w:val="baseline"/>
          </w:rPr>
          <w:t>.</w:t>
        </w:r>
        <w:r>
          <w:rPr>
            <w:vertAlign w:val="superscript"/>
          </w:rPr>
          <w:t>106</w:t>
        </w:r>
      </w:hyperlink>
    </w:p>
    <w:p>
      <w:pPr>
        <w:pStyle w:val="BodyText"/>
        <w:spacing w:line="276" w:lineRule="auto" w:before="239"/>
        <w:ind w:left="458" w:right="529"/>
        <w:jc w:val="both"/>
      </w:pPr>
      <w:r>
        <w:rPr/>
        <w:t>Despite</w:t>
      </w:r>
      <w:r>
        <w:rPr>
          <w:spacing w:val="-3"/>
        </w:rPr>
        <w:t> </w:t>
      </w:r>
      <w:r>
        <w:rPr/>
        <w:t>a</w:t>
      </w:r>
      <w:r>
        <w:rPr>
          <w:spacing w:val="-1"/>
        </w:rPr>
        <w:t> </w:t>
      </w:r>
      <w:r>
        <w:rPr/>
        <w:t>higher</w:t>
      </w:r>
      <w:r>
        <w:rPr>
          <w:spacing w:val="-2"/>
        </w:rPr>
        <w:t> </w:t>
      </w:r>
      <w:r>
        <w:rPr/>
        <w:t>than</w:t>
      </w:r>
      <w:r>
        <w:rPr>
          <w:spacing w:val="-2"/>
        </w:rPr>
        <w:t> </w:t>
      </w:r>
      <w:r>
        <w:rPr/>
        <w:t>average</w:t>
      </w:r>
      <w:r>
        <w:rPr>
          <w:spacing w:val="-3"/>
        </w:rPr>
        <w:t> </w:t>
      </w:r>
      <w:r>
        <w:rPr/>
        <w:t>risk,</w:t>
      </w:r>
      <w:r>
        <w:rPr>
          <w:spacing w:val="-1"/>
        </w:rPr>
        <w:t> </w:t>
      </w:r>
      <w:r>
        <w:rPr/>
        <w:t>LGBTQ</w:t>
      </w:r>
      <w:r>
        <w:rPr>
          <w:spacing w:val="-3"/>
        </w:rPr>
        <w:t> </w:t>
      </w:r>
      <w:r>
        <w:rPr/>
        <w:t>youth</w:t>
      </w:r>
      <w:r>
        <w:rPr>
          <w:spacing w:val="-2"/>
        </w:rPr>
        <w:t> </w:t>
      </w:r>
      <w:r>
        <w:rPr/>
        <w:t>have</w:t>
      </w:r>
      <w:r>
        <w:rPr>
          <w:spacing w:val="-3"/>
        </w:rPr>
        <w:t> </w:t>
      </w:r>
      <w:r>
        <w:rPr/>
        <w:t>a</w:t>
      </w:r>
      <w:r>
        <w:rPr>
          <w:spacing w:val="-1"/>
        </w:rPr>
        <w:t> </w:t>
      </w:r>
      <w:r>
        <w:rPr/>
        <w:t>number</w:t>
      </w:r>
      <w:r>
        <w:rPr>
          <w:spacing w:val="-2"/>
        </w:rPr>
        <w:t> </w:t>
      </w:r>
      <w:r>
        <w:rPr/>
        <w:t>of</w:t>
      </w:r>
      <w:r>
        <w:rPr>
          <w:spacing w:val="-3"/>
        </w:rPr>
        <w:t> </w:t>
      </w:r>
      <w:r>
        <w:rPr/>
        <w:t>protective</w:t>
      </w:r>
      <w:r>
        <w:rPr>
          <w:spacing w:val="-2"/>
        </w:rPr>
        <w:t> </w:t>
      </w:r>
      <w:r>
        <w:rPr/>
        <w:t>factors</w:t>
      </w:r>
      <w:r>
        <w:rPr>
          <w:spacing w:val="-3"/>
        </w:rPr>
        <w:t> </w:t>
      </w:r>
      <w:r>
        <w:rPr/>
        <w:t>that</w:t>
      </w:r>
      <w:r>
        <w:rPr>
          <w:spacing w:val="-2"/>
        </w:rPr>
        <w:t> </w:t>
      </w:r>
      <w:r>
        <w:rPr/>
        <w:t>can</w:t>
      </w:r>
      <w:r>
        <w:rPr>
          <w:spacing w:val="-3"/>
        </w:rPr>
        <w:t> </w:t>
      </w:r>
      <w:r>
        <w:rPr/>
        <w:t>reduce their risk of substance use</w:t>
      </w:r>
      <w:hyperlink w:history="true" w:anchor="_bookmark95">
        <w:r>
          <w:rPr/>
          <w:t>.</w:t>
        </w:r>
        <w:r>
          <w:rPr>
            <w:vertAlign w:val="superscript"/>
          </w:rPr>
          <w:t>107</w:t>
        </w:r>
      </w:hyperlink>
      <w:r>
        <w:rPr>
          <w:vertAlign w:val="baseline"/>
        </w:rPr>
        <w:t> For example, fostering a supportive and inclusive school environment, including</w:t>
      </w:r>
      <w:r>
        <w:rPr>
          <w:spacing w:val="-2"/>
          <w:vertAlign w:val="baseline"/>
        </w:rPr>
        <w:t> </w:t>
      </w:r>
      <w:r>
        <w:rPr>
          <w:vertAlign w:val="baseline"/>
        </w:rPr>
        <w:t>positive</w:t>
      </w:r>
      <w:r>
        <w:rPr>
          <w:spacing w:val="-3"/>
          <w:vertAlign w:val="baseline"/>
        </w:rPr>
        <w:t> </w:t>
      </w:r>
      <w:r>
        <w:rPr>
          <w:vertAlign w:val="baseline"/>
        </w:rPr>
        <w:t>teacher-student</w:t>
      </w:r>
      <w:r>
        <w:rPr>
          <w:spacing w:val="-3"/>
          <w:vertAlign w:val="baseline"/>
        </w:rPr>
        <w:t> </w:t>
      </w:r>
      <w:r>
        <w:rPr>
          <w:vertAlign w:val="baseline"/>
        </w:rPr>
        <w:t>mentoring</w:t>
      </w:r>
      <w:r>
        <w:rPr>
          <w:spacing w:val="-3"/>
          <w:vertAlign w:val="baseline"/>
        </w:rPr>
        <w:t> </w:t>
      </w:r>
      <w:r>
        <w:rPr>
          <w:vertAlign w:val="baseline"/>
        </w:rPr>
        <w:t>relationships,</w:t>
      </w:r>
      <w:r>
        <w:rPr>
          <w:spacing w:val="-2"/>
          <w:vertAlign w:val="baseline"/>
        </w:rPr>
        <w:t> </w:t>
      </w:r>
      <w:r>
        <w:rPr>
          <w:vertAlign w:val="baseline"/>
        </w:rPr>
        <w:t>is</w:t>
      </w:r>
      <w:r>
        <w:rPr>
          <w:spacing w:val="-2"/>
          <w:vertAlign w:val="baseline"/>
        </w:rPr>
        <w:t> </w:t>
      </w:r>
      <w:r>
        <w:rPr>
          <w:vertAlign w:val="baseline"/>
        </w:rPr>
        <w:t>associated</w:t>
      </w:r>
      <w:r>
        <w:rPr>
          <w:spacing w:val="-2"/>
          <w:vertAlign w:val="baseline"/>
        </w:rPr>
        <w:t> </w:t>
      </w:r>
      <w:r>
        <w:rPr>
          <w:vertAlign w:val="baseline"/>
        </w:rPr>
        <w:t>with</w:t>
      </w:r>
      <w:r>
        <w:rPr>
          <w:spacing w:val="-2"/>
          <w:vertAlign w:val="baseline"/>
        </w:rPr>
        <w:t> </w:t>
      </w:r>
      <w:r>
        <w:rPr>
          <w:vertAlign w:val="baseline"/>
        </w:rPr>
        <w:t>lower</w:t>
      </w:r>
      <w:r>
        <w:rPr>
          <w:spacing w:val="-3"/>
          <w:vertAlign w:val="baseline"/>
        </w:rPr>
        <w:t> </w:t>
      </w:r>
      <w:r>
        <w:rPr>
          <w:vertAlign w:val="baseline"/>
        </w:rPr>
        <w:t>rates</w:t>
      </w:r>
      <w:r>
        <w:rPr>
          <w:spacing w:val="-2"/>
          <w:vertAlign w:val="baseline"/>
        </w:rPr>
        <w:t> </w:t>
      </w:r>
      <w:r>
        <w:rPr>
          <w:vertAlign w:val="baseline"/>
        </w:rPr>
        <w:t>of</w:t>
      </w:r>
      <w:r>
        <w:rPr>
          <w:spacing w:val="-3"/>
          <w:vertAlign w:val="baseline"/>
        </w:rPr>
        <w:t> </w:t>
      </w:r>
      <w:r>
        <w:rPr>
          <w:vertAlign w:val="baseline"/>
        </w:rPr>
        <w:t>tobacco, alcohol, and marijuana use. </w:t>
      </w:r>
      <w:hyperlink w:history="true" w:anchor="_bookmark95">
        <w:r>
          <w:rPr>
            <w:vertAlign w:val="superscript"/>
          </w:rPr>
          <w:t>108</w:t>
        </w:r>
      </w:hyperlink>
      <w:r>
        <w:rPr>
          <w:vertAlign w:val="baseline"/>
        </w:rPr>
        <w:t> Youth-focused organizations, whether in-school (like GSAs) or community-based,</w:t>
      </w:r>
      <w:r>
        <w:rPr>
          <w:spacing w:val="-11"/>
          <w:vertAlign w:val="baseline"/>
        </w:rPr>
        <w:t> </w:t>
      </w:r>
      <w:r>
        <w:rPr>
          <w:vertAlign w:val="baseline"/>
        </w:rPr>
        <w:t>foster</w:t>
      </w:r>
      <w:r>
        <w:rPr>
          <w:spacing w:val="-10"/>
          <w:vertAlign w:val="baseline"/>
        </w:rPr>
        <w:t> </w:t>
      </w:r>
      <w:r>
        <w:rPr>
          <w:vertAlign w:val="baseline"/>
        </w:rPr>
        <w:t>connections</w:t>
      </w:r>
      <w:r>
        <w:rPr>
          <w:spacing w:val="-11"/>
          <w:vertAlign w:val="baseline"/>
        </w:rPr>
        <w:t> </w:t>
      </w:r>
      <w:r>
        <w:rPr>
          <w:vertAlign w:val="baseline"/>
        </w:rPr>
        <w:t>between</w:t>
      </w:r>
      <w:r>
        <w:rPr>
          <w:spacing w:val="-10"/>
          <w:vertAlign w:val="baseline"/>
        </w:rPr>
        <w:t> </w:t>
      </w:r>
      <w:r>
        <w:rPr>
          <w:vertAlign w:val="baseline"/>
        </w:rPr>
        <w:t>LGBTQ</w:t>
      </w:r>
      <w:r>
        <w:rPr>
          <w:spacing w:val="-11"/>
          <w:vertAlign w:val="baseline"/>
        </w:rPr>
        <w:t> </w:t>
      </w:r>
      <w:r>
        <w:rPr>
          <w:vertAlign w:val="baseline"/>
        </w:rPr>
        <w:t>youths</w:t>
      </w:r>
      <w:r>
        <w:rPr>
          <w:spacing w:val="-11"/>
          <w:vertAlign w:val="baseline"/>
        </w:rPr>
        <w:t> </w:t>
      </w:r>
      <w:r>
        <w:rPr>
          <w:vertAlign w:val="baseline"/>
        </w:rPr>
        <w:t>and</w:t>
      </w:r>
      <w:r>
        <w:rPr>
          <w:spacing w:val="-10"/>
          <w:vertAlign w:val="baseline"/>
        </w:rPr>
        <w:t> </w:t>
      </w:r>
      <w:r>
        <w:rPr>
          <w:vertAlign w:val="baseline"/>
        </w:rPr>
        <w:t>give</w:t>
      </w:r>
      <w:r>
        <w:rPr>
          <w:spacing w:val="-11"/>
          <w:vertAlign w:val="baseline"/>
        </w:rPr>
        <w:t> </w:t>
      </w:r>
      <w:r>
        <w:rPr>
          <w:vertAlign w:val="baseline"/>
        </w:rPr>
        <w:t>LGBTQ</w:t>
      </w:r>
      <w:r>
        <w:rPr>
          <w:spacing w:val="-10"/>
          <w:vertAlign w:val="baseline"/>
        </w:rPr>
        <w:t> </w:t>
      </w:r>
      <w:r>
        <w:rPr>
          <w:vertAlign w:val="baseline"/>
        </w:rPr>
        <w:t>youths</w:t>
      </w:r>
      <w:r>
        <w:rPr>
          <w:spacing w:val="-10"/>
          <w:vertAlign w:val="baseline"/>
        </w:rPr>
        <w:t> </w:t>
      </w:r>
      <w:r>
        <w:rPr>
          <w:vertAlign w:val="baseline"/>
        </w:rPr>
        <w:t>the</w:t>
      </w:r>
      <w:r>
        <w:rPr>
          <w:spacing w:val="-10"/>
          <w:vertAlign w:val="baseline"/>
        </w:rPr>
        <w:t> </w:t>
      </w:r>
      <w:r>
        <w:rPr>
          <w:vertAlign w:val="baseline"/>
        </w:rPr>
        <w:t>opportunity to engage with their peers in a sober space</w:t>
      </w:r>
      <w:hyperlink w:history="true" w:anchor="_bookmark95">
        <w:r>
          <w:rPr>
            <w:vertAlign w:val="baseline"/>
          </w:rPr>
          <w:t>.</w:t>
        </w:r>
        <w:r>
          <w:rPr>
            <w:vertAlign w:val="superscript"/>
          </w:rPr>
          <w:t>109</w:t>
        </w:r>
      </w:hyperlink>
      <w:r>
        <w:rPr>
          <w:vertAlign w:val="baseline"/>
        </w:rPr>
        <w:t> These organizations can also be used to foster youth- adult</w:t>
      </w:r>
      <w:r>
        <w:rPr>
          <w:spacing w:val="-1"/>
          <w:vertAlign w:val="baseline"/>
        </w:rPr>
        <w:t> </w:t>
      </w:r>
      <w:r>
        <w:rPr>
          <w:vertAlign w:val="baseline"/>
        </w:rPr>
        <w:t>mentorship</w:t>
      </w:r>
      <w:r>
        <w:rPr>
          <w:spacing w:val="-2"/>
          <w:vertAlign w:val="baseline"/>
        </w:rPr>
        <w:t> </w:t>
      </w:r>
      <w:r>
        <w:rPr>
          <w:vertAlign w:val="baseline"/>
        </w:rPr>
        <w:t>relationships,</w:t>
      </w:r>
      <w:r>
        <w:rPr>
          <w:spacing w:val="-1"/>
          <w:vertAlign w:val="baseline"/>
        </w:rPr>
        <w:t> </w:t>
      </w:r>
      <w:r>
        <w:rPr>
          <w:vertAlign w:val="baseline"/>
        </w:rPr>
        <w:t>as</w:t>
      </w:r>
      <w:r>
        <w:rPr>
          <w:spacing w:val="-1"/>
          <w:vertAlign w:val="baseline"/>
        </w:rPr>
        <w:t> </w:t>
      </w:r>
      <w:r>
        <w:rPr>
          <w:vertAlign w:val="baseline"/>
        </w:rPr>
        <w:t>well.</w:t>
      </w:r>
      <w:r>
        <w:rPr>
          <w:spacing w:val="-1"/>
          <w:vertAlign w:val="baseline"/>
        </w:rPr>
        <w:t> </w:t>
      </w:r>
      <w:r>
        <w:rPr>
          <w:vertAlign w:val="baseline"/>
        </w:rPr>
        <w:t>Additionally, research</w:t>
      </w:r>
      <w:r>
        <w:rPr>
          <w:spacing w:val="-1"/>
          <w:vertAlign w:val="baseline"/>
        </w:rPr>
        <w:t> </w:t>
      </w:r>
      <w:r>
        <w:rPr>
          <w:vertAlign w:val="baseline"/>
        </w:rPr>
        <w:t>has shown</w:t>
      </w:r>
      <w:r>
        <w:rPr>
          <w:spacing w:val="-2"/>
          <w:vertAlign w:val="baseline"/>
        </w:rPr>
        <w:t> </w:t>
      </w:r>
      <w:r>
        <w:rPr>
          <w:vertAlign w:val="baseline"/>
        </w:rPr>
        <w:t>that</w:t>
      </w:r>
      <w:r>
        <w:rPr>
          <w:spacing w:val="-1"/>
          <w:vertAlign w:val="baseline"/>
        </w:rPr>
        <w:t> </w:t>
      </w:r>
      <w:r>
        <w:rPr>
          <w:vertAlign w:val="baseline"/>
        </w:rPr>
        <w:t>the</w:t>
      </w:r>
      <w:r>
        <w:rPr>
          <w:spacing w:val="-2"/>
          <w:vertAlign w:val="baseline"/>
        </w:rPr>
        <w:t> </w:t>
      </w:r>
      <w:r>
        <w:rPr>
          <w:vertAlign w:val="baseline"/>
        </w:rPr>
        <w:t>higher the number of LGBTQ specific school and community resources available to LGBTQ youth, the lower the rate of substance</w:t>
      </w:r>
      <w:r>
        <w:rPr>
          <w:spacing w:val="-9"/>
          <w:vertAlign w:val="baseline"/>
        </w:rPr>
        <w:t> </w:t>
      </w:r>
      <w:r>
        <w:rPr>
          <w:vertAlign w:val="baseline"/>
        </w:rPr>
        <w:t>use</w:t>
      </w:r>
      <w:r>
        <w:rPr>
          <w:spacing w:val="-10"/>
          <w:vertAlign w:val="baseline"/>
        </w:rPr>
        <w:t> </w:t>
      </w:r>
      <w:r>
        <w:rPr>
          <w:vertAlign w:val="baseline"/>
        </w:rPr>
        <w:t>among</w:t>
      </w:r>
      <w:r>
        <w:rPr>
          <w:spacing w:val="-10"/>
          <w:vertAlign w:val="baseline"/>
        </w:rPr>
        <w:t> </w:t>
      </w:r>
      <w:r>
        <w:rPr>
          <w:vertAlign w:val="baseline"/>
        </w:rPr>
        <w:t>LGBTQ</w:t>
      </w:r>
      <w:r>
        <w:rPr>
          <w:spacing w:val="-10"/>
          <w:vertAlign w:val="baseline"/>
        </w:rPr>
        <w:t> </w:t>
      </w:r>
      <w:r>
        <w:rPr>
          <w:vertAlign w:val="baseline"/>
        </w:rPr>
        <w:t>youth</w:t>
      </w:r>
      <w:hyperlink w:history="true" w:anchor="_bookmark95">
        <w:r>
          <w:rPr>
            <w:vertAlign w:val="baseline"/>
          </w:rPr>
          <w:t>.</w:t>
        </w:r>
        <w:r>
          <w:rPr>
            <w:vertAlign w:val="superscript"/>
          </w:rPr>
          <w:t>110</w:t>
        </w:r>
      </w:hyperlink>
      <w:r>
        <w:rPr>
          <w:spacing w:val="-8"/>
          <w:vertAlign w:val="baseline"/>
        </w:rPr>
        <w:t> </w:t>
      </w:r>
      <w:r>
        <w:rPr>
          <w:vertAlign w:val="baseline"/>
        </w:rPr>
        <w:t>Whether</w:t>
      </w:r>
      <w:r>
        <w:rPr>
          <w:spacing w:val="-10"/>
          <w:vertAlign w:val="baseline"/>
        </w:rPr>
        <w:t> </w:t>
      </w:r>
      <w:r>
        <w:rPr>
          <w:vertAlign w:val="baseline"/>
        </w:rPr>
        <w:t>or</w:t>
      </w:r>
      <w:r>
        <w:rPr>
          <w:spacing w:val="-9"/>
          <w:vertAlign w:val="baseline"/>
        </w:rPr>
        <w:t> </w:t>
      </w:r>
      <w:r>
        <w:rPr>
          <w:vertAlign w:val="baseline"/>
        </w:rPr>
        <w:t>not</w:t>
      </w:r>
      <w:r>
        <w:rPr>
          <w:spacing w:val="-11"/>
          <w:vertAlign w:val="baseline"/>
        </w:rPr>
        <w:t> </w:t>
      </w:r>
      <w:r>
        <w:rPr>
          <w:vertAlign w:val="baseline"/>
        </w:rPr>
        <w:t>youths</w:t>
      </w:r>
      <w:r>
        <w:rPr>
          <w:spacing w:val="-10"/>
          <w:vertAlign w:val="baseline"/>
        </w:rPr>
        <w:t> </w:t>
      </w:r>
      <w:r>
        <w:rPr>
          <w:vertAlign w:val="baseline"/>
        </w:rPr>
        <w:t>actually</w:t>
      </w:r>
      <w:r>
        <w:rPr>
          <w:spacing w:val="-10"/>
          <w:vertAlign w:val="baseline"/>
        </w:rPr>
        <w:t> </w:t>
      </w:r>
      <w:r>
        <w:rPr>
          <w:vertAlign w:val="baseline"/>
        </w:rPr>
        <w:t>use</w:t>
      </w:r>
      <w:r>
        <w:rPr>
          <w:spacing w:val="-9"/>
          <w:vertAlign w:val="baseline"/>
        </w:rPr>
        <w:t> </w:t>
      </w:r>
      <w:r>
        <w:rPr>
          <w:vertAlign w:val="baseline"/>
        </w:rPr>
        <w:t>the</w:t>
      </w:r>
      <w:r>
        <w:rPr>
          <w:spacing w:val="-8"/>
          <w:vertAlign w:val="baseline"/>
        </w:rPr>
        <w:t> </w:t>
      </w:r>
      <w:r>
        <w:rPr>
          <w:vertAlign w:val="baseline"/>
        </w:rPr>
        <w:t>resources,</w:t>
      </w:r>
      <w:r>
        <w:rPr>
          <w:spacing w:val="-10"/>
          <w:vertAlign w:val="baseline"/>
        </w:rPr>
        <w:t> </w:t>
      </w:r>
      <w:r>
        <w:rPr>
          <w:vertAlign w:val="baseline"/>
        </w:rPr>
        <w:t>just</w:t>
      </w:r>
      <w:r>
        <w:rPr>
          <w:spacing w:val="-11"/>
          <w:vertAlign w:val="baseline"/>
        </w:rPr>
        <w:t> </w:t>
      </w:r>
      <w:r>
        <w:rPr>
          <w:vertAlign w:val="baseline"/>
        </w:rPr>
        <w:t>knowing that there is a strong community network and that there are supportive resources readily available serves as a key protective factor against substance use</w:t>
      </w:r>
      <w:hyperlink w:history="true" w:anchor="_bookmark95">
        <w:r>
          <w:rPr>
            <w:vertAlign w:val="baseline"/>
          </w:rPr>
          <w:t>.</w:t>
        </w:r>
        <w:r>
          <w:rPr>
            <w:vertAlign w:val="superscript"/>
          </w:rPr>
          <w:t>111</w:t>
        </w:r>
      </w:hyperlink>
    </w:p>
    <w:p>
      <w:pPr>
        <w:pStyle w:val="BodyText"/>
        <w:spacing w:line="276" w:lineRule="auto" w:before="241"/>
        <w:ind w:left="458" w:right="530"/>
        <w:jc w:val="both"/>
      </w:pPr>
      <w:r>
        <w:rPr/>
        <w:t>When asked, LGBTQ youth of color additionally expressed interest in community-based healing, LGBTQ</w:t>
      </w:r>
      <w:r>
        <w:rPr>
          <w:spacing w:val="24"/>
        </w:rPr>
        <w:t> </w:t>
      </w:r>
      <w:r>
        <w:rPr/>
        <w:t>youth-specific</w:t>
      </w:r>
      <w:r>
        <w:rPr>
          <w:spacing w:val="25"/>
        </w:rPr>
        <w:t> </w:t>
      </w:r>
      <w:r>
        <w:rPr/>
        <w:t>treatment</w:t>
      </w:r>
      <w:r>
        <w:rPr>
          <w:spacing w:val="24"/>
        </w:rPr>
        <w:t> </w:t>
      </w:r>
      <w:r>
        <w:rPr/>
        <w:t>and</w:t>
      </w:r>
      <w:r>
        <w:rPr>
          <w:spacing w:val="24"/>
        </w:rPr>
        <w:t> </w:t>
      </w:r>
      <w:r>
        <w:rPr/>
        <w:t>healing</w:t>
      </w:r>
      <w:r>
        <w:rPr>
          <w:spacing w:val="24"/>
        </w:rPr>
        <w:t> </w:t>
      </w:r>
      <w:r>
        <w:rPr/>
        <w:t>spaces,</w:t>
      </w:r>
      <w:r>
        <w:rPr>
          <w:spacing w:val="24"/>
        </w:rPr>
        <w:t> </w:t>
      </w:r>
      <w:r>
        <w:rPr/>
        <w:t>and</w:t>
      </w:r>
      <w:r>
        <w:rPr>
          <w:spacing w:val="24"/>
        </w:rPr>
        <w:t> </w:t>
      </w:r>
      <w:r>
        <w:rPr/>
        <w:t>more</w:t>
      </w:r>
      <w:r>
        <w:rPr>
          <w:spacing w:val="25"/>
        </w:rPr>
        <w:t> </w:t>
      </w:r>
      <w:r>
        <w:rPr/>
        <w:t>holistic/less</w:t>
      </w:r>
      <w:r>
        <w:rPr>
          <w:spacing w:val="24"/>
        </w:rPr>
        <w:t> </w:t>
      </w:r>
      <w:r>
        <w:rPr/>
        <w:t>medicalized</w:t>
      </w:r>
      <w:r>
        <w:rPr>
          <w:spacing w:val="25"/>
        </w:rPr>
        <w:t> </w:t>
      </w:r>
      <w:r>
        <w:rPr/>
        <w:t>treatment</w:t>
      </w:r>
    </w:p>
    <w:p>
      <w:pPr>
        <w:spacing w:after="0" w:line="276" w:lineRule="auto"/>
        <w:jc w:val="both"/>
        <w:sectPr>
          <w:pgSz w:w="11910" w:h="16840"/>
          <w:pgMar w:header="804" w:footer="1230" w:top="1080" w:bottom="1480" w:left="980" w:right="900"/>
        </w:sectPr>
      </w:pPr>
    </w:p>
    <w:p>
      <w:pPr>
        <w:pStyle w:val="BodyText"/>
        <w:spacing w:line="276" w:lineRule="auto" w:before="69"/>
        <w:ind w:left="458" w:right="530"/>
        <w:jc w:val="both"/>
      </w:pPr>
      <w:r>
        <w:rPr/>
        <w:t>options</w:t>
      </w:r>
      <w:hyperlink w:history="true" w:anchor="_bookmark95">
        <w:r>
          <w:rPr/>
          <w:t>.</w:t>
        </w:r>
        <w:r>
          <w:rPr>
            <w:vertAlign w:val="superscript"/>
          </w:rPr>
          <w:t>112</w:t>
        </w:r>
      </w:hyperlink>
      <w:r>
        <w:rPr>
          <w:vertAlign w:val="baseline"/>
        </w:rPr>
        <w:t> Low-income youth and undocumented youth in particular may have trouble accessing traditional, clinic-based substance use disorder recovery care</w:t>
      </w:r>
      <w:hyperlink w:history="true" w:anchor="_bookmark95">
        <w:r>
          <w:rPr>
            <w:vertAlign w:val="baseline"/>
          </w:rPr>
          <w:t>.</w:t>
        </w:r>
        <w:r>
          <w:rPr>
            <w:vertAlign w:val="superscript"/>
          </w:rPr>
          <w:t>113</w:t>
        </w:r>
      </w:hyperlink>
      <w:r>
        <w:rPr>
          <w:vertAlign w:val="baseline"/>
        </w:rPr>
        <w:t> While not studied specifically for LGBTQ youth, both peer-led substance use recovery and prevention programming are highly successful</w:t>
      </w:r>
      <w:r>
        <w:rPr>
          <w:spacing w:val="-13"/>
          <w:vertAlign w:val="baseline"/>
        </w:rPr>
        <w:t> </w:t>
      </w:r>
      <w:r>
        <w:rPr>
          <w:vertAlign w:val="baseline"/>
        </w:rPr>
        <w:t>and</w:t>
      </w:r>
      <w:r>
        <w:rPr>
          <w:spacing w:val="-12"/>
          <w:vertAlign w:val="baseline"/>
        </w:rPr>
        <w:t> </w:t>
      </w:r>
      <w:r>
        <w:rPr>
          <w:vertAlign w:val="baseline"/>
        </w:rPr>
        <w:t>more</w:t>
      </w:r>
      <w:r>
        <w:rPr>
          <w:spacing w:val="-13"/>
          <w:vertAlign w:val="baseline"/>
        </w:rPr>
        <w:t> </w:t>
      </w:r>
      <w:r>
        <w:rPr>
          <w:vertAlign w:val="baseline"/>
        </w:rPr>
        <w:t>effective</w:t>
      </w:r>
      <w:r>
        <w:rPr>
          <w:spacing w:val="-12"/>
          <w:vertAlign w:val="baseline"/>
        </w:rPr>
        <w:t> </w:t>
      </w:r>
      <w:r>
        <w:rPr>
          <w:vertAlign w:val="baseline"/>
        </w:rPr>
        <w:t>than</w:t>
      </w:r>
      <w:r>
        <w:rPr>
          <w:spacing w:val="-13"/>
          <w:vertAlign w:val="baseline"/>
        </w:rPr>
        <w:t> </w:t>
      </w:r>
      <w:r>
        <w:rPr>
          <w:vertAlign w:val="baseline"/>
        </w:rPr>
        <w:t>adult-led</w:t>
      </w:r>
      <w:r>
        <w:rPr>
          <w:spacing w:val="-12"/>
          <w:vertAlign w:val="baseline"/>
        </w:rPr>
        <w:t> </w:t>
      </w:r>
      <w:r>
        <w:rPr>
          <w:vertAlign w:val="baseline"/>
        </w:rPr>
        <w:t>programming.</w:t>
      </w:r>
      <w:hyperlink w:history="true" w:anchor="_bookmark95">
        <w:r>
          <w:rPr>
            <w:vertAlign w:val="superscript"/>
          </w:rPr>
          <w:t>114</w:t>
        </w:r>
      </w:hyperlink>
      <w:r>
        <w:rPr>
          <w:spacing w:val="-13"/>
          <w:vertAlign w:val="baseline"/>
        </w:rPr>
        <w:t> </w:t>
      </w:r>
      <w:r>
        <w:rPr>
          <w:vertAlign w:val="baseline"/>
        </w:rPr>
        <w:t>Youths</w:t>
      </w:r>
      <w:r>
        <w:rPr>
          <w:spacing w:val="-12"/>
          <w:vertAlign w:val="baseline"/>
        </w:rPr>
        <w:t> </w:t>
      </w:r>
      <w:r>
        <w:rPr>
          <w:vertAlign w:val="baseline"/>
        </w:rPr>
        <w:t>expressed</w:t>
      </w:r>
      <w:r>
        <w:rPr>
          <w:spacing w:val="-12"/>
          <w:vertAlign w:val="baseline"/>
        </w:rPr>
        <w:t> </w:t>
      </w:r>
      <w:r>
        <w:rPr>
          <w:vertAlign w:val="baseline"/>
        </w:rPr>
        <w:t>that</w:t>
      </w:r>
      <w:r>
        <w:rPr>
          <w:spacing w:val="-13"/>
          <w:vertAlign w:val="baseline"/>
        </w:rPr>
        <w:t> </w:t>
      </w:r>
      <w:r>
        <w:rPr>
          <w:vertAlign w:val="baseline"/>
        </w:rPr>
        <w:t>they</w:t>
      </w:r>
      <w:r>
        <w:rPr>
          <w:spacing w:val="-12"/>
          <w:vertAlign w:val="baseline"/>
        </w:rPr>
        <w:t> </w:t>
      </w:r>
      <w:r>
        <w:rPr>
          <w:vertAlign w:val="baseline"/>
        </w:rPr>
        <w:t>found</w:t>
      </w:r>
      <w:r>
        <w:rPr>
          <w:spacing w:val="-13"/>
          <w:vertAlign w:val="baseline"/>
        </w:rPr>
        <w:t> </w:t>
      </w:r>
      <w:r>
        <w:rPr>
          <w:vertAlign w:val="baseline"/>
        </w:rPr>
        <w:t>“peer- led sessions more enjoyable,” and were more willing to actively engage with peers, rather than adults</w:t>
      </w:r>
      <w:hyperlink w:history="true" w:anchor="_bookmark95">
        <w:r>
          <w:rPr>
            <w:vertAlign w:val="baseline"/>
          </w:rPr>
          <w:t>.</w:t>
        </w:r>
        <w:r>
          <w:rPr>
            <w:vertAlign w:val="superscript"/>
          </w:rPr>
          <w:t>115</w:t>
        </w:r>
      </w:hyperlink>
      <w:r>
        <w:rPr>
          <w:vertAlign w:val="baseline"/>
        </w:rPr>
        <w:t> Youths additionally stressed the importance of culturally-competent treatment options, as well as interventions that promote harm-reduction</w:t>
      </w:r>
      <w:hyperlink w:history="true" w:anchor="_bookmark95">
        <w:r>
          <w:rPr>
            <w:vertAlign w:val="baseline"/>
          </w:rPr>
          <w:t>.</w:t>
        </w:r>
        <w:r>
          <w:rPr>
            <w:vertAlign w:val="superscript"/>
          </w:rPr>
          <w:t>116</w:t>
        </w:r>
      </w:hyperlink>
      <w:r>
        <w:rPr>
          <w:vertAlign w:val="baseline"/>
        </w:rPr>
        <w:t> For example, ensuring that LGBTQ youth have access to community-based safe consumption sites and needle exchange programs can reduce the number of overdoses, as well as the number of cases of HIV and Hepatitis C.</w:t>
      </w:r>
      <w:r>
        <w:rPr>
          <w:vertAlign w:val="superscript"/>
        </w:rPr>
        <w:t>117</w:t>
      </w:r>
      <w:r>
        <w:rPr>
          <w:vertAlign w:val="baseline"/>
        </w:rPr>
        <w:t> These have shown great promise in many cities and towns across Massachusetts, but are oftentimes inaccessible to young people, especially those who are still in school or who live in more rural areas of the state, including parts of central Massachusetts.</w:t>
      </w:r>
      <w:r>
        <w:rPr>
          <w:vertAlign w:val="superscript"/>
        </w:rPr>
        <w:t>118,119</w:t>
      </w:r>
      <w:r>
        <w:rPr>
          <w:vertAlign w:val="baseline"/>
        </w:rPr>
        <w:t> Many youths already engage informally with harm- reduction strategies, so ensuring that prevention and recovery programming support this goal is important to ensuring that youth actually participate in the programs.</w:t>
      </w:r>
      <w:r>
        <w:rPr>
          <w:vertAlign w:val="superscript"/>
        </w:rPr>
        <w:t>120</w:t>
      </w:r>
    </w:p>
    <w:p>
      <w:pPr>
        <w:spacing w:before="159"/>
        <w:ind w:left="458" w:right="0" w:firstLine="0"/>
        <w:jc w:val="both"/>
        <w:rPr>
          <w:sz w:val="28"/>
        </w:rPr>
      </w:pPr>
      <w:bookmarkStart w:name="Commercial Sexual Exploitation &amp; Sex Wor" w:id="229"/>
      <w:bookmarkEnd w:id="229"/>
      <w:r>
        <w:rPr/>
      </w:r>
      <w:r>
        <w:rPr>
          <w:color w:val="365F91"/>
          <w:sz w:val="28"/>
        </w:rPr>
        <w:t>Commercial</w:t>
      </w:r>
      <w:r>
        <w:rPr>
          <w:color w:val="365F91"/>
          <w:spacing w:val="-11"/>
          <w:sz w:val="28"/>
        </w:rPr>
        <w:t> </w:t>
      </w:r>
      <w:r>
        <w:rPr>
          <w:color w:val="365F91"/>
          <w:sz w:val="28"/>
        </w:rPr>
        <w:t>Sexual</w:t>
      </w:r>
      <w:r>
        <w:rPr>
          <w:color w:val="365F91"/>
          <w:spacing w:val="-11"/>
          <w:sz w:val="28"/>
        </w:rPr>
        <w:t> </w:t>
      </w:r>
      <w:r>
        <w:rPr>
          <w:color w:val="365F91"/>
          <w:sz w:val="28"/>
        </w:rPr>
        <w:t>Exploitation</w:t>
      </w:r>
      <w:r>
        <w:rPr>
          <w:color w:val="365F91"/>
          <w:spacing w:val="-11"/>
          <w:sz w:val="28"/>
        </w:rPr>
        <w:t> </w:t>
      </w:r>
      <w:r>
        <w:rPr>
          <w:color w:val="365F91"/>
          <w:sz w:val="28"/>
        </w:rPr>
        <w:t>&amp;</w:t>
      </w:r>
      <w:r>
        <w:rPr>
          <w:color w:val="365F91"/>
          <w:spacing w:val="-11"/>
          <w:sz w:val="28"/>
        </w:rPr>
        <w:t> </w:t>
      </w:r>
      <w:r>
        <w:rPr>
          <w:color w:val="365F91"/>
          <w:sz w:val="28"/>
        </w:rPr>
        <w:t>Sex</w:t>
      </w:r>
      <w:r>
        <w:rPr>
          <w:color w:val="365F91"/>
          <w:spacing w:val="-11"/>
          <w:sz w:val="28"/>
        </w:rPr>
        <w:t> </w:t>
      </w:r>
      <w:r>
        <w:rPr>
          <w:color w:val="365F91"/>
          <w:spacing w:val="-4"/>
          <w:sz w:val="28"/>
        </w:rPr>
        <w:t>Work</w:t>
      </w:r>
    </w:p>
    <w:p>
      <w:pPr>
        <w:pStyle w:val="BodyText"/>
        <w:spacing w:line="276" w:lineRule="auto" w:before="239"/>
        <w:ind w:left="458" w:right="530"/>
        <w:jc w:val="both"/>
      </w:pPr>
      <w:r>
        <w:rPr/>
        <w:t>Traffickers often target marginalized individuals who have previously experienced violent victimization, who lack</w:t>
      </w:r>
      <w:r>
        <w:rPr>
          <w:spacing w:val="-1"/>
        </w:rPr>
        <w:t> </w:t>
      </w:r>
      <w:r>
        <w:rPr/>
        <w:t>strong</w:t>
      </w:r>
      <w:r>
        <w:rPr>
          <w:spacing w:val="-2"/>
        </w:rPr>
        <w:t> </w:t>
      </w:r>
      <w:r>
        <w:rPr/>
        <w:t>family or friend</w:t>
      </w:r>
      <w:r>
        <w:rPr>
          <w:spacing w:val="-2"/>
        </w:rPr>
        <w:t> </w:t>
      </w:r>
      <w:r>
        <w:rPr/>
        <w:t>support,</w:t>
      </w:r>
      <w:r>
        <w:rPr>
          <w:spacing w:val="-1"/>
        </w:rPr>
        <w:t> </w:t>
      </w:r>
      <w:r>
        <w:rPr/>
        <w:t>or</w:t>
      </w:r>
      <w:r>
        <w:rPr>
          <w:spacing w:val="-1"/>
        </w:rPr>
        <w:t> </w:t>
      </w:r>
      <w:r>
        <w:rPr/>
        <w:t>who are</w:t>
      </w:r>
      <w:r>
        <w:rPr>
          <w:spacing w:val="-2"/>
        </w:rPr>
        <w:t> </w:t>
      </w:r>
      <w:r>
        <w:rPr/>
        <w:t>experiencing</w:t>
      </w:r>
      <w:r>
        <w:rPr>
          <w:spacing w:val="-2"/>
        </w:rPr>
        <w:t> </w:t>
      </w:r>
      <w:r>
        <w:rPr/>
        <w:t>financial hardship.</w:t>
      </w:r>
      <w:r>
        <w:rPr>
          <w:vertAlign w:val="superscript"/>
        </w:rPr>
        <w:t>121</w:t>
      </w:r>
      <w:r>
        <w:rPr>
          <w:vertAlign w:val="baseline"/>
        </w:rPr>
        <w:t> Some youth are exploited by romantic partners, while others are exploited by family members or employers. </w:t>
      </w:r>
      <w:r>
        <w:rPr>
          <w:vertAlign w:val="superscript"/>
        </w:rPr>
        <w:t>122</w:t>
      </w:r>
      <w:r>
        <w:rPr>
          <w:vertAlign w:val="baseline"/>
        </w:rPr>
        <w:t> Youth who have experienced intimate partner or sexual violence, bullying or discrimination, and involvement in the child welfare system are particularly vulnerable. </w:t>
      </w:r>
      <w:r>
        <w:rPr>
          <w:vertAlign w:val="superscript"/>
        </w:rPr>
        <w:t>123</w:t>
      </w:r>
      <w:r>
        <w:rPr>
          <w:vertAlign w:val="baseline"/>
        </w:rPr>
        <w:t> Additionally,</w:t>
      </w:r>
      <w:r>
        <w:rPr>
          <w:spacing w:val="-8"/>
          <w:vertAlign w:val="baseline"/>
        </w:rPr>
        <w:t> </w:t>
      </w:r>
      <w:r>
        <w:rPr>
          <w:vertAlign w:val="baseline"/>
        </w:rPr>
        <w:t>unhoused</w:t>
      </w:r>
      <w:r>
        <w:rPr>
          <w:spacing w:val="-10"/>
          <w:vertAlign w:val="baseline"/>
        </w:rPr>
        <w:t> </w:t>
      </w:r>
      <w:r>
        <w:rPr>
          <w:vertAlign w:val="baseline"/>
        </w:rPr>
        <w:t>youth,</w:t>
      </w:r>
      <w:r>
        <w:rPr>
          <w:spacing w:val="-10"/>
          <w:vertAlign w:val="baseline"/>
        </w:rPr>
        <w:t> </w:t>
      </w:r>
      <w:r>
        <w:rPr>
          <w:vertAlign w:val="baseline"/>
        </w:rPr>
        <w:t>transgender</w:t>
      </w:r>
      <w:r>
        <w:rPr>
          <w:spacing w:val="-11"/>
          <w:vertAlign w:val="baseline"/>
        </w:rPr>
        <w:t> </w:t>
      </w:r>
      <w:r>
        <w:rPr>
          <w:vertAlign w:val="baseline"/>
        </w:rPr>
        <w:t>youth</w:t>
      </w:r>
      <w:r>
        <w:rPr>
          <w:spacing w:val="-10"/>
          <w:vertAlign w:val="baseline"/>
        </w:rPr>
        <w:t> </w:t>
      </w:r>
      <w:r>
        <w:rPr>
          <w:vertAlign w:val="baseline"/>
        </w:rPr>
        <w:t>of</w:t>
      </w:r>
      <w:r>
        <w:rPr>
          <w:spacing w:val="-10"/>
          <w:vertAlign w:val="baseline"/>
        </w:rPr>
        <w:t> </w:t>
      </w:r>
      <w:r>
        <w:rPr>
          <w:vertAlign w:val="baseline"/>
        </w:rPr>
        <w:t>color,</w:t>
      </w:r>
      <w:r>
        <w:rPr>
          <w:spacing w:val="-11"/>
          <w:vertAlign w:val="baseline"/>
        </w:rPr>
        <w:t> </w:t>
      </w:r>
      <w:r>
        <w:rPr>
          <w:vertAlign w:val="baseline"/>
        </w:rPr>
        <w:t>and</w:t>
      </w:r>
      <w:r>
        <w:rPr>
          <w:spacing w:val="-11"/>
          <w:vertAlign w:val="baseline"/>
        </w:rPr>
        <w:t> </w:t>
      </w:r>
      <w:r>
        <w:rPr>
          <w:vertAlign w:val="baseline"/>
        </w:rPr>
        <w:t>youth</w:t>
      </w:r>
      <w:r>
        <w:rPr>
          <w:spacing w:val="-10"/>
          <w:vertAlign w:val="baseline"/>
        </w:rPr>
        <w:t> </w:t>
      </w:r>
      <w:r>
        <w:rPr>
          <w:vertAlign w:val="baseline"/>
        </w:rPr>
        <w:t>with</w:t>
      </w:r>
      <w:r>
        <w:rPr>
          <w:spacing w:val="-10"/>
          <w:vertAlign w:val="baseline"/>
        </w:rPr>
        <w:t> </w:t>
      </w:r>
      <w:r>
        <w:rPr>
          <w:vertAlign w:val="baseline"/>
        </w:rPr>
        <w:t>substance</w:t>
      </w:r>
      <w:r>
        <w:rPr>
          <w:spacing w:val="-10"/>
          <w:vertAlign w:val="baseline"/>
        </w:rPr>
        <w:t> </w:t>
      </w:r>
      <w:r>
        <w:rPr>
          <w:vertAlign w:val="baseline"/>
        </w:rPr>
        <w:t>use</w:t>
      </w:r>
      <w:r>
        <w:rPr>
          <w:spacing w:val="-10"/>
          <w:vertAlign w:val="baseline"/>
        </w:rPr>
        <w:t> </w:t>
      </w:r>
      <w:r>
        <w:rPr>
          <w:vertAlign w:val="baseline"/>
        </w:rPr>
        <w:t>disorders</w:t>
      </w:r>
      <w:r>
        <w:rPr>
          <w:spacing w:val="-11"/>
          <w:vertAlign w:val="baseline"/>
        </w:rPr>
        <w:t> </w:t>
      </w:r>
      <w:r>
        <w:rPr>
          <w:vertAlign w:val="baseline"/>
        </w:rPr>
        <w:t>are at an increased risk for sexual exploitation.</w:t>
      </w:r>
      <w:r>
        <w:rPr>
          <w:vertAlign w:val="superscript"/>
        </w:rPr>
        <w:t>124</w:t>
      </w:r>
      <w:r>
        <w:rPr>
          <w:vertAlign w:val="baseline"/>
        </w:rPr>
        <w:t> Some LGBTQ youth may fall into one or all of these categories, increasing their risk of commercial sexual exploitation. Although there is little data regarding the number of LGBTQ youths who experience commercial sexual exploitation each year, experts estimate that it is likely extremely underreported. </w:t>
      </w:r>
      <w:r>
        <w:rPr>
          <w:vertAlign w:val="superscript"/>
        </w:rPr>
        <w:t>125</w:t>
      </w:r>
      <w:r>
        <w:rPr>
          <w:vertAlign w:val="baseline"/>
        </w:rPr>
        <w:t> An estimated 19-41% of unhoused LGBTQ</w:t>
      </w:r>
      <w:r>
        <w:rPr>
          <w:spacing w:val="-10"/>
          <w:vertAlign w:val="baseline"/>
        </w:rPr>
        <w:t> </w:t>
      </w:r>
      <w:r>
        <w:rPr>
          <w:vertAlign w:val="baseline"/>
        </w:rPr>
        <w:t>youth</w:t>
      </w:r>
      <w:r>
        <w:rPr>
          <w:spacing w:val="-10"/>
          <w:vertAlign w:val="baseline"/>
        </w:rPr>
        <w:t> </w:t>
      </w:r>
      <w:r>
        <w:rPr>
          <w:vertAlign w:val="baseline"/>
        </w:rPr>
        <w:t>have</w:t>
      </w:r>
      <w:r>
        <w:rPr>
          <w:spacing w:val="-11"/>
          <w:vertAlign w:val="baseline"/>
        </w:rPr>
        <w:t> </w:t>
      </w:r>
      <w:r>
        <w:rPr>
          <w:vertAlign w:val="baseline"/>
        </w:rPr>
        <w:t>experienced</w:t>
      </w:r>
      <w:r>
        <w:rPr>
          <w:spacing w:val="-10"/>
          <w:vertAlign w:val="baseline"/>
        </w:rPr>
        <w:t> </w:t>
      </w:r>
      <w:r>
        <w:rPr>
          <w:vertAlign w:val="baseline"/>
        </w:rPr>
        <w:t>commercial</w:t>
      </w:r>
      <w:r>
        <w:rPr>
          <w:spacing w:val="-11"/>
          <w:vertAlign w:val="baseline"/>
        </w:rPr>
        <w:t> </w:t>
      </w:r>
      <w:r>
        <w:rPr>
          <w:vertAlign w:val="baseline"/>
        </w:rPr>
        <w:t>sexual</w:t>
      </w:r>
      <w:r>
        <w:rPr>
          <w:spacing w:val="-11"/>
          <w:vertAlign w:val="baseline"/>
        </w:rPr>
        <w:t> </w:t>
      </w:r>
      <w:r>
        <w:rPr>
          <w:vertAlign w:val="baseline"/>
        </w:rPr>
        <w:t>exploitation.</w:t>
      </w:r>
      <w:r>
        <w:rPr>
          <w:vertAlign w:val="superscript"/>
        </w:rPr>
        <w:t>126</w:t>
      </w:r>
      <w:r>
        <w:rPr>
          <w:spacing w:val="-10"/>
          <w:vertAlign w:val="baseline"/>
        </w:rPr>
        <w:t> </w:t>
      </w:r>
      <w:r>
        <w:rPr>
          <w:vertAlign w:val="baseline"/>
        </w:rPr>
        <w:t>Among</w:t>
      </w:r>
      <w:r>
        <w:rPr>
          <w:spacing w:val="-11"/>
          <w:vertAlign w:val="baseline"/>
        </w:rPr>
        <w:t> </w:t>
      </w:r>
      <w:r>
        <w:rPr>
          <w:vertAlign w:val="baseline"/>
        </w:rPr>
        <w:t>LGBTQ</w:t>
      </w:r>
      <w:r>
        <w:rPr>
          <w:spacing w:val="-11"/>
          <w:vertAlign w:val="baseline"/>
        </w:rPr>
        <w:t> </w:t>
      </w:r>
      <w:r>
        <w:rPr>
          <w:vertAlign w:val="baseline"/>
        </w:rPr>
        <w:t>youth</w:t>
      </w:r>
      <w:r>
        <w:rPr>
          <w:spacing w:val="-10"/>
          <w:vertAlign w:val="baseline"/>
        </w:rPr>
        <w:t> </w:t>
      </w:r>
      <w:r>
        <w:rPr>
          <w:vertAlign w:val="baseline"/>
        </w:rPr>
        <w:t>of</w:t>
      </w:r>
      <w:r>
        <w:rPr>
          <w:spacing w:val="-11"/>
          <w:vertAlign w:val="baseline"/>
        </w:rPr>
        <w:t> </w:t>
      </w:r>
      <w:r>
        <w:rPr>
          <w:vertAlign w:val="baseline"/>
        </w:rPr>
        <w:t>color,</w:t>
      </w:r>
      <w:r>
        <w:rPr>
          <w:spacing w:val="-11"/>
          <w:vertAlign w:val="baseline"/>
        </w:rPr>
        <w:t> </w:t>
      </w:r>
      <w:r>
        <w:rPr>
          <w:vertAlign w:val="baseline"/>
        </w:rPr>
        <w:t>Black youth of any gender are most likely to be criminalized and arrested for being sexually exploited.</w:t>
      </w:r>
      <w:r>
        <w:rPr>
          <w:vertAlign w:val="superscript"/>
        </w:rPr>
        <w:t>127</w:t>
      </w:r>
      <w:r>
        <w:rPr>
          <w:vertAlign w:val="baseline"/>
        </w:rPr>
        <w:t> Additionally, while</w:t>
      </w:r>
      <w:r>
        <w:rPr>
          <w:spacing w:val="-2"/>
          <w:vertAlign w:val="baseline"/>
        </w:rPr>
        <w:t> </w:t>
      </w:r>
      <w:r>
        <w:rPr>
          <w:vertAlign w:val="baseline"/>
        </w:rPr>
        <w:t>LGBTQ</w:t>
      </w:r>
      <w:r>
        <w:rPr>
          <w:spacing w:val="-1"/>
          <w:vertAlign w:val="baseline"/>
        </w:rPr>
        <w:t> </w:t>
      </w:r>
      <w:r>
        <w:rPr>
          <w:vertAlign w:val="baseline"/>
        </w:rPr>
        <w:t>youth</w:t>
      </w:r>
      <w:r>
        <w:rPr>
          <w:spacing w:val="-2"/>
          <w:vertAlign w:val="baseline"/>
        </w:rPr>
        <w:t> </w:t>
      </w:r>
      <w:r>
        <w:rPr>
          <w:vertAlign w:val="baseline"/>
        </w:rPr>
        <w:t>likely make</w:t>
      </w:r>
      <w:r>
        <w:rPr>
          <w:spacing w:val="-2"/>
          <w:vertAlign w:val="baseline"/>
        </w:rPr>
        <w:t> </w:t>
      </w:r>
      <w:r>
        <w:rPr>
          <w:vertAlign w:val="baseline"/>
        </w:rPr>
        <w:t>up</w:t>
      </w:r>
      <w:r>
        <w:rPr>
          <w:spacing w:val="-2"/>
          <w:vertAlign w:val="baseline"/>
        </w:rPr>
        <w:t> </w:t>
      </w:r>
      <w:r>
        <w:rPr>
          <w:vertAlign w:val="baseline"/>
        </w:rPr>
        <w:t>a</w:t>
      </w:r>
      <w:r>
        <w:rPr>
          <w:spacing w:val="-1"/>
          <w:vertAlign w:val="baseline"/>
        </w:rPr>
        <w:t> </w:t>
      </w:r>
      <w:r>
        <w:rPr>
          <w:vertAlign w:val="baseline"/>
        </w:rPr>
        <w:t>high</w:t>
      </w:r>
      <w:r>
        <w:rPr>
          <w:spacing w:val="-2"/>
          <w:vertAlign w:val="baseline"/>
        </w:rPr>
        <w:t> </w:t>
      </w:r>
      <w:r>
        <w:rPr>
          <w:vertAlign w:val="baseline"/>
        </w:rPr>
        <w:t>percentage</w:t>
      </w:r>
      <w:r>
        <w:rPr>
          <w:spacing w:val="-2"/>
          <w:vertAlign w:val="baseline"/>
        </w:rPr>
        <w:t> </w:t>
      </w:r>
      <w:r>
        <w:rPr>
          <w:vertAlign w:val="baseline"/>
        </w:rPr>
        <w:t>of</w:t>
      </w:r>
      <w:r>
        <w:rPr>
          <w:spacing w:val="-1"/>
          <w:vertAlign w:val="baseline"/>
        </w:rPr>
        <w:t> </w:t>
      </w:r>
      <w:r>
        <w:rPr>
          <w:vertAlign w:val="baseline"/>
        </w:rPr>
        <w:t>sexually exploited</w:t>
      </w:r>
      <w:r>
        <w:rPr>
          <w:spacing w:val="-2"/>
          <w:vertAlign w:val="baseline"/>
        </w:rPr>
        <w:t> </w:t>
      </w:r>
      <w:r>
        <w:rPr>
          <w:vertAlign w:val="baseline"/>
        </w:rPr>
        <w:t>minors,</w:t>
      </w:r>
      <w:r>
        <w:rPr>
          <w:spacing w:val="-1"/>
          <w:vertAlign w:val="baseline"/>
        </w:rPr>
        <w:t> </w:t>
      </w:r>
      <w:r>
        <w:rPr>
          <w:vertAlign w:val="baseline"/>
        </w:rPr>
        <w:t>there are very few services that focus on the particular support needs of LGBTQ youth.</w:t>
      </w:r>
      <w:r>
        <w:rPr>
          <w:vertAlign w:val="superscript"/>
        </w:rPr>
        <w:t>128</w:t>
      </w:r>
    </w:p>
    <w:p>
      <w:pPr>
        <w:pStyle w:val="BodyText"/>
        <w:spacing w:line="276" w:lineRule="auto" w:before="241"/>
        <w:ind w:left="458" w:right="531"/>
        <w:jc w:val="both"/>
      </w:pPr>
      <w:r>
        <w:rPr/>
        <w:t>However,</w:t>
      </w:r>
      <w:r>
        <w:rPr>
          <w:spacing w:val="-11"/>
        </w:rPr>
        <w:t> </w:t>
      </w:r>
      <w:r>
        <w:rPr/>
        <w:t>when</w:t>
      </w:r>
      <w:r>
        <w:rPr>
          <w:spacing w:val="-10"/>
        </w:rPr>
        <w:t> </w:t>
      </w:r>
      <w:r>
        <w:rPr/>
        <w:t>considering</w:t>
      </w:r>
      <w:r>
        <w:rPr>
          <w:spacing w:val="-11"/>
        </w:rPr>
        <w:t> </w:t>
      </w:r>
      <w:r>
        <w:rPr/>
        <w:t>interventions</w:t>
      </w:r>
      <w:r>
        <w:rPr>
          <w:spacing w:val="-11"/>
        </w:rPr>
        <w:t> </w:t>
      </w:r>
      <w:r>
        <w:rPr/>
        <w:t>to</w:t>
      </w:r>
      <w:r>
        <w:rPr>
          <w:spacing w:val="-11"/>
        </w:rPr>
        <w:t> </w:t>
      </w:r>
      <w:r>
        <w:rPr/>
        <w:t>address</w:t>
      </w:r>
      <w:r>
        <w:rPr>
          <w:spacing w:val="-10"/>
        </w:rPr>
        <w:t> </w:t>
      </w:r>
      <w:r>
        <w:rPr/>
        <w:t>sexual</w:t>
      </w:r>
      <w:r>
        <w:rPr>
          <w:spacing w:val="-11"/>
        </w:rPr>
        <w:t> </w:t>
      </w:r>
      <w:r>
        <w:rPr/>
        <w:t>exploitation</w:t>
      </w:r>
      <w:r>
        <w:rPr>
          <w:spacing w:val="-11"/>
        </w:rPr>
        <w:t> </w:t>
      </w:r>
      <w:r>
        <w:rPr/>
        <w:t>and</w:t>
      </w:r>
      <w:r>
        <w:rPr>
          <w:spacing w:val="-10"/>
        </w:rPr>
        <w:t> </w:t>
      </w:r>
      <w:r>
        <w:rPr/>
        <w:t>trafficking</w:t>
      </w:r>
      <w:r>
        <w:rPr>
          <w:spacing w:val="-11"/>
        </w:rPr>
        <w:t> </w:t>
      </w:r>
      <w:r>
        <w:rPr/>
        <w:t>for</w:t>
      </w:r>
      <w:r>
        <w:rPr>
          <w:spacing w:val="-11"/>
        </w:rPr>
        <w:t> </w:t>
      </w:r>
      <w:r>
        <w:rPr/>
        <w:t>youth</w:t>
      </w:r>
      <w:r>
        <w:rPr>
          <w:spacing w:val="-10"/>
        </w:rPr>
        <w:t> </w:t>
      </w:r>
      <w:r>
        <w:rPr/>
        <w:t>over the age of 18, it is essential to avoid conflating exploitation/trafficking with sex work. As noted throughout this report, the Commission defines ‘youth’ as under 25, but when discussing sex work, the</w:t>
      </w:r>
      <w:r>
        <w:rPr>
          <w:spacing w:val="-10"/>
        </w:rPr>
        <w:t> </w:t>
      </w:r>
      <w:r>
        <w:rPr/>
        <w:t>Commission</w:t>
      </w:r>
      <w:r>
        <w:rPr>
          <w:spacing w:val="-12"/>
        </w:rPr>
        <w:t> </w:t>
      </w:r>
      <w:r>
        <w:rPr/>
        <w:t>is</w:t>
      </w:r>
      <w:r>
        <w:rPr>
          <w:spacing w:val="-11"/>
        </w:rPr>
        <w:t> </w:t>
      </w:r>
      <w:r>
        <w:rPr/>
        <w:t>discussing</w:t>
      </w:r>
      <w:r>
        <w:rPr>
          <w:spacing w:val="-12"/>
        </w:rPr>
        <w:t> </w:t>
      </w:r>
      <w:r>
        <w:rPr/>
        <w:t>youth</w:t>
      </w:r>
      <w:r>
        <w:rPr>
          <w:spacing w:val="-10"/>
        </w:rPr>
        <w:t> </w:t>
      </w:r>
      <w:r>
        <w:rPr/>
        <w:t>18</w:t>
      </w:r>
      <w:r>
        <w:rPr>
          <w:spacing w:val="-11"/>
        </w:rPr>
        <w:t> </w:t>
      </w:r>
      <w:r>
        <w:rPr/>
        <w:t>and</w:t>
      </w:r>
      <w:r>
        <w:rPr>
          <w:spacing w:val="-12"/>
        </w:rPr>
        <w:t> </w:t>
      </w:r>
      <w:r>
        <w:rPr/>
        <w:t>over;</w:t>
      </w:r>
      <w:r>
        <w:rPr>
          <w:spacing w:val="-10"/>
        </w:rPr>
        <w:t> </w:t>
      </w:r>
      <w:r>
        <w:rPr/>
        <w:t>any</w:t>
      </w:r>
      <w:r>
        <w:rPr>
          <w:spacing w:val="-10"/>
        </w:rPr>
        <w:t> </w:t>
      </w:r>
      <w:r>
        <w:rPr/>
        <w:t>instance</w:t>
      </w:r>
      <w:r>
        <w:rPr>
          <w:spacing w:val="-10"/>
        </w:rPr>
        <w:t> </w:t>
      </w:r>
      <w:r>
        <w:rPr/>
        <w:t>of</w:t>
      </w:r>
      <w:r>
        <w:rPr>
          <w:spacing w:val="-11"/>
        </w:rPr>
        <w:t> </w:t>
      </w:r>
      <w:r>
        <w:rPr/>
        <w:t>youth</w:t>
      </w:r>
      <w:r>
        <w:rPr>
          <w:spacing w:val="-10"/>
        </w:rPr>
        <w:t> </w:t>
      </w:r>
      <w:r>
        <w:rPr/>
        <w:t>under</w:t>
      </w:r>
      <w:r>
        <w:rPr>
          <w:spacing w:val="-10"/>
        </w:rPr>
        <w:t> </w:t>
      </w:r>
      <w:r>
        <w:rPr/>
        <w:t>18</w:t>
      </w:r>
      <w:r>
        <w:rPr>
          <w:spacing w:val="-10"/>
        </w:rPr>
        <w:t> </w:t>
      </w:r>
      <w:r>
        <w:rPr/>
        <w:t>trading</w:t>
      </w:r>
      <w:r>
        <w:rPr>
          <w:spacing w:val="-10"/>
        </w:rPr>
        <w:t> </w:t>
      </w:r>
      <w:r>
        <w:rPr/>
        <w:t>sexual</w:t>
      </w:r>
      <w:r>
        <w:rPr>
          <w:spacing w:val="-11"/>
        </w:rPr>
        <w:t> </w:t>
      </w:r>
      <w:r>
        <w:rPr/>
        <w:t>contact for a fee is trafficking, and interventions should be targeted accordingly while centering minors with support and resources rather than punitive measures. While the age of consent in Massachusetts is set</w:t>
      </w:r>
      <w:r>
        <w:rPr>
          <w:spacing w:val="-5"/>
        </w:rPr>
        <w:t> </w:t>
      </w:r>
      <w:r>
        <w:rPr/>
        <w:t>at</w:t>
      </w:r>
      <w:r>
        <w:rPr>
          <w:spacing w:val="-5"/>
        </w:rPr>
        <w:t> </w:t>
      </w:r>
      <w:r>
        <w:rPr/>
        <w:t>16,</w:t>
      </w:r>
      <w:r>
        <w:rPr>
          <w:spacing w:val="-5"/>
        </w:rPr>
        <w:t> </w:t>
      </w:r>
      <w:r>
        <w:rPr/>
        <w:t>federal</w:t>
      </w:r>
      <w:r>
        <w:rPr>
          <w:spacing w:val="-5"/>
        </w:rPr>
        <w:t> </w:t>
      </w:r>
      <w:r>
        <w:rPr/>
        <w:t>law</w:t>
      </w:r>
      <w:r>
        <w:rPr>
          <w:spacing w:val="-5"/>
        </w:rPr>
        <w:t> </w:t>
      </w:r>
      <w:r>
        <w:rPr/>
        <w:t>defines</w:t>
      </w:r>
      <w:r>
        <w:rPr>
          <w:spacing w:val="-5"/>
        </w:rPr>
        <w:t> </w:t>
      </w:r>
      <w:r>
        <w:rPr/>
        <w:t>youth</w:t>
      </w:r>
      <w:r>
        <w:rPr>
          <w:spacing w:val="-5"/>
        </w:rPr>
        <w:t> </w:t>
      </w:r>
      <w:r>
        <w:rPr/>
        <w:t>under</w:t>
      </w:r>
      <w:r>
        <w:rPr>
          <w:spacing w:val="-5"/>
        </w:rPr>
        <w:t> </w:t>
      </w:r>
      <w:r>
        <w:rPr/>
        <w:t>18</w:t>
      </w:r>
      <w:r>
        <w:rPr>
          <w:spacing w:val="-5"/>
        </w:rPr>
        <w:t> </w:t>
      </w:r>
      <w:r>
        <w:rPr/>
        <w:t>as</w:t>
      </w:r>
      <w:r>
        <w:rPr>
          <w:spacing w:val="-5"/>
        </w:rPr>
        <w:t> </w:t>
      </w:r>
      <w:r>
        <w:rPr/>
        <w:t>victims</w:t>
      </w:r>
      <w:r>
        <w:rPr>
          <w:spacing w:val="-5"/>
        </w:rPr>
        <w:t> </w:t>
      </w:r>
      <w:r>
        <w:rPr/>
        <w:t>of</w:t>
      </w:r>
      <w:r>
        <w:rPr>
          <w:spacing w:val="-5"/>
        </w:rPr>
        <w:t> </w:t>
      </w:r>
      <w:r>
        <w:rPr/>
        <w:t>trafficking.</w:t>
      </w:r>
      <w:r>
        <w:rPr>
          <w:vertAlign w:val="superscript"/>
        </w:rPr>
        <w:t>129</w:t>
      </w:r>
      <w:r>
        <w:rPr>
          <w:spacing w:val="-4"/>
          <w:vertAlign w:val="baseline"/>
        </w:rPr>
        <w:t> </w:t>
      </w:r>
      <w:r>
        <w:rPr>
          <w:vertAlign w:val="baseline"/>
        </w:rPr>
        <w:t>The</w:t>
      </w:r>
      <w:r>
        <w:rPr>
          <w:spacing w:val="-5"/>
          <w:vertAlign w:val="baseline"/>
        </w:rPr>
        <w:t> </w:t>
      </w:r>
      <w:r>
        <w:rPr>
          <w:vertAlign w:val="baseline"/>
        </w:rPr>
        <w:t>Commission</w:t>
      </w:r>
      <w:r>
        <w:rPr>
          <w:spacing w:val="-5"/>
          <w:vertAlign w:val="baseline"/>
        </w:rPr>
        <w:t> </w:t>
      </w:r>
      <w:r>
        <w:rPr>
          <w:vertAlign w:val="baseline"/>
        </w:rPr>
        <w:t>understands the reality that there are minors exchanging sexual contact with other minors for money or goods, which is a nuanced conversation currently outside of the scope of this report, and is legally still unlawful. Per Massachusetts law (</w:t>
      </w:r>
      <w:hyperlink r:id="rId137">
        <w:r>
          <w:rPr>
            <w:color w:val="1153CC"/>
            <w:u w:val="single" w:color="1153CC"/>
            <w:vertAlign w:val="baseline"/>
          </w:rPr>
          <w:t>MGL c.265, § 23</w:t>
        </w:r>
      </w:hyperlink>
      <w:r>
        <w:rPr>
          <w:u w:val="none"/>
          <w:vertAlign w:val="baseline"/>
        </w:rPr>
        <w:t>) - as noted later in the criminal justice section of this report - it is unlawful for persons under 16 to engage in sexual intercourse, even if the other person is also under the age of 16.</w:t>
      </w:r>
      <w:r>
        <w:rPr>
          <w:u w:val="none"/>
          <w:vertAlign w:val="superscript"/>
        </w:rPr>
        <w:t>130</w:t>
      </w:r>
    </w:p>
    <w:p>
      <w:pPr>
        <w:pStyle w:val="BodyText"/>
        <w:spacing w:line="276" w:lineRule="auto" w:before="239"/>
        <w:ind w:left="460" w:right="535"/>
        <w:jc w:val="both"/>
      </w:pPr>
      <w:r>
        <w:rPr/>
        <w:t>The Commission finds it necessary to define the differences between the terms trafficking and sex work,</w:t>
      </w:r>
      <w:r>
        <w:rPr>
          <w:spacing w:val="33"/>
        </w:rPr>
        <w:t> </w:t>
      </w:r>
      <w:r>
        <w:rPr/>
        <w:t>as</w:t>
      </w:r>
      <w:r>
        <w:rPr>
          <w:spacing w:val="33"/>
        </w:rPr>
        <w:t> </w:t>
      </w:r>
      <w:r>
        <w:rPr/>
        <w:t>many</w:t>
      </w:r>
      <w:r>
        <w:rPr>
          <w:spacing w:val="33"/>
        </w:rPr>
        <w:t> </w:t>
      </w:r>
      <w:r>
        <w:rPr/>
        <w:t>advocacy</w:t>
      </w:r>
      <w:r>
        <w:rPr>
          <w:spacing w:val="34"/>
        </w:rPr>
        <w:t> </w:t>
      </w:r>
      <w:r>
        <w:rPr/>
        <w:t>materials</w:t>
      </w:r>
      <w:r>
        <w:rPr>
          <w:spacing w:val="33"/>
        </w:rPr>
        <w:t> </w:t>
      </w:r>
      <w:r>
        <w:rPr/>
        <w:t>and</w:t>
      </w:r>
      <w:r>
        <w:rPr>
          <w:spacing w:val="32"/>
        </w:rPr>
        <w:t> </w:t>
      </w:r>
      <w:r>
        <w:rPr/>
        <w:t>media</w:t>
      </w:r>
      <w:r>
        <w:rPr>
          <w:spacing w:val="33"/>
        </w:rPr>
        <w:t> </w:t>
      </w:r>
      <w:r>
        <w:rPr/>
        <w:t>use</w:t>
      </w:r>
      <w:r>
        <w:rPr>
          <w:spacing w:val="33"/>
        </w:rPr>
        <w:t> </w:t>
      </w:r>
      <w:r>
        <w:rPr/>
        <w:t>the</w:t>
      </w:r>
      <w:r>
        <w:rPr>
          <w:spacing w:val="34"/>
        </w:rPr>
        <w:t> </w:t>
      </w:r>
      <w:r>
        <w:rPr/>
        <w:t>terms</w:t>
      </w:r>
      <w:r>
        <w:rPr>
          <w:spacing w:val="33"/>
        </w:rPr>
        <w:t> </w:t>
      </w:r>
      <w:r>
        <w:rPr/>
        <w:t>interchangeably,</w:t>
      </w:r>
      <w:r>
        <w:rPr>
          <w:spacing w:val="33"/>
        </w:rPr>
        <w:t> </w:t>
      </w:r>
      <w:r>
        <w:rPr/>
        <w:t>which</w:t>
      </w:r>
      <w:r>
        <w:rPr>
          <w:spacing w:val="32"/>
        </w:rPr>
        <w:t> </w:t>
      </w:r>
      <w:r>
        <w:rPr/>
        <w:t>inaccurately</w:t>
      </w:r>
    </w:p>
    <w:p>
      <w:pPr>
        <w:spacing w:after="0" w:line="276" w:lineRule="auto"/>
        <w:jc w:val="both"/>
        <w:sectPr>
          <w:pgSz w:w="11910" w:h="16840"/>
          <w:pgMar w:header="804" w:footer="1230" w:top="1080" w:bottom="1460" w:left="980" w:right="900"/>
        </w:sectPr>
      </w:pPr>
    </w:p>
    <w:p>
      <w:pPr>
        <w:pStyle w:val="BodyText"/>
        <w:spacing w:before="69"/>
        <w:ind w:left="460"/>
        <w:jc w:val="both"/>
      </w:pPr>
      <w:r>
        <w:rPr/>
        <w:t>captures</w:t>
      </w:r>
      <w:r>
        <w:rPr>
          <w:spacing w:val="14"/>
        </w:rPr>
        <w:t> </w:t>
      </w:r>
      <w:r>
        <w:rPr/>
        <w:t>and</w:t>
      </w:r>
      <w:r>
        <w:rPr>
          <w:spacing w:val="16"/>
        </w:rPr>
        <w:t> </w:t>
      </w:r>
      <w:r>
        <w:rPr/>
        <w:t>conflates</w:t>
      </w:r>
      <w:r>
        <w:rPr>
          <w:spacing w:val="15"/>
        </w:rPr>
        <w:t> </w:t>
      </w:r>
      <w:r>
        <w:rPr/>
        <w:t>the</w:t>
      </w:r>
      <w:r>
        <w:rPr>
          <w:spacing w:val="14"/>
        </w:rPr>
        <w:t> </w:t>
      </w:r>
      <w:r>
        <w:rPr/>
        <w:t>disparate</w:t>
      </w:r>
      <w:r>
        <w:rPr>
          <w:spacing w:val="13"/>
        </w:rPr>
        <w:t> </w:t>
      </w:r>
      <w:r>
        <w:rPr/>
        <w:t>realities</w:t>
      </w:r>
      <w:r>
        <w:rPr>
          <w:spacing w:val="15"/>
        </w:rPr>
        <w:t> </w:t>
      </w:r>
      <w:r>
        <w:rPr/>
        <w:t>faced</w:t>
      </w:r>
      <w:r>
        <w:rPr>
          <w:spacing w:val="15"/>
        </w:rPr>
        <w:t> </w:t>
      </w:r>
      <w:r>
        <w:rPr/>
        <w:t>by</w:t>
      </w:r>
      <w:r>
        <w:rPr>
          <w:spacing w:val="15"/>
        </w:rPr>
        <w:t> </w:t>
      </w:r>
      <w:r>
        <w:rPr/>
        <w:t>those</w:t>
      </w:r>
      <w:r>
        <w:rPr>
          <w:spacing w:val="14"/>
        </w:rPr>
        <w:t> </w:t>
      </w:r>
      <w:r>
        <w:rPr/>
        <w:t>engaging</w:t>
      </w:r>
      <w:r>
        <w:rPr>
          <w:spacing w:val="13"/>
        </w:rPr>
        <w:t> </w:t>
      </w:r>
      <w:r>
        <w:rPr/>
        <w:t>in</w:t>
      </w:r>
      <w:r>
        <w:rPr>
          <w:spacing w:val="14"/>
        </w:rPr>
        <w:t> </w:t>
      </w:r>
      <w:r>
        <w:rPr/>
        <w:t>sex</w:t>
      </w:r>
      <w:r>
        <w:rPr>
          <w:spacing w:val="15"/>
        </w:rPr>
        <w:t> </w:t>
      </w:r>
      <w:r>
        <w:rPr/>
        <w:t>work</w:t>
      </w:r>
      <w:r>
        <w:rPr>
          <w:spacing w:val="14"/>
        </w:rPr>
        <w:t> </w:t>
      </w:r>
      <w:r>
        <w:rPr/>
        <w:t>over</w:t>
      </w:r>
      <w:r>
        <w:rPr>
          <w:spacing w:val="15"/>
        </w:rPr>
        <w:t> </w:t>
      </w:r>
      <w:r>
        <w:rPr/>
        <w:t>the</w:t>
      </w:r>
      <w:r>
        <w:rPr>
          <w:spacing w:val="13"/>
        </w:rPr>
        <w:t> </w:t>
      </w:r>
      <w:r>
        <w:rPr/>
        <w:t>age</w:t>
      </w:r>
      <w:r>
        <w:rPr>
          <w:spacing w:val="14"/>
        </w:rPr>
        <w:t> </w:t>
      </w:r>
      <w:r>
        <w:rPr>
          <w:spacing w:val="-5"/>
        </w:rPr>
        <w:t>of</w:t>
      </w:r>
    </w:p>
    <w:p>
      <w:pPr>
        <w:pStyle w:val="BodyText"/>
        <w:spacing w:line="276" w:lineRule="auto" w:before="36"/>
        <w:ind w:left="459" w:right="533"/>
        <w:jc w:val="both"/>
      </w:pPr>
      <w:r>
        <w:rPr/>
        <w:t>18.</w:t>
      </w:r>
      <w:r>
        <w:rPr>
          <w:position w:val="8"/>
          <w:sz w:val="14"/>
        </w:rPr>
        <w:t>131</w:t>
      </w:r>
      <w:r>
        <w:rPr>
          <w:spacing w:val="-8"/>
          <w:position w:val="8"/>
          <w:sz w:val="14"/>
        </w:rPr>
        <w:t> </w:t>
      </w:r>
      <w:r>
        <w:rPr/>
        <w:t>Sex</w:t>
      </w:r>
      <w:r>
        <w:rPr>
          <w:spacing w:val="-12"/>
        </w:rPr>
        <w:t> </w:t>
      </w:r>
      <w:r>
        <w:rPr/>
        <w:t>work,</w:t>
      </w:r>
      <w:r>
        <w:rPr>
          <w:spacing w:val="-11"/>
        </w:rPr>
        <w:t> </w:t>
      </w:r>
      <w:r>
        <w:rPr/>
        <w:t>by</w:t>
      </w:r>
      <w:r>
        <w:rPr>
          <w:spacing w:val="-11"/>
        </w:rPr>
        <w:t> </w:t>
      </w:r>
      <w:r>
        <w:rPr/>
        <w:t>definition,</w:t>
      </w:r>
      <w:r>
        <w:rPr>
          <w:spacing w:val="-11"/>
        </w:rPr>
        <w:t> </w:t>
      </w:r>
      <w:r>
        <w:rPr/>
        <w:t>is</w:t>
      </w:r>
      <w:r>
        <w:rPr>
          <w:spacing w:val="-11"/>
        </w:rPr>
        <w:t> </w:t>
      </w:r>
      <w:r>
        <w:rPr/>
        <w:t>consensual,</w:t>
      </w:r>
      <w:r>
        <w:rPr>
          <w:spacing w:val="-11"/>
        </w:rPr>
        <w:t> </w:t>
      </w:r>
      <w:r>
        <w:rPr/>
        <w:t>though</w:t>
      </w:r>
      <w:r>
        <w:rPr>
          <w:spacing w:val="-12"/>
        </w:rPr>
        <w:t> </w:t>
      </w:r>
      <w:r>
        <w:rPr/>
        <w:t>many</w:t>
      </w:r>
      <w:r>
        <w:rPr>
          <w:spacing w:val="-11"/>
        </w:rPr>
        <w:t> </w:t>
      </w:r>
      <w:r>
        <w:rPr/>
        <w:t>individuals</w:t>
      </w:r>
      <w:r>
        <w:rPr>
          <w:spacing w:val="-11"/>
        </w:rPr>
        <w:t> </w:t>
      </w:r>
      <w:r>
        <w:rPr/>
        <w:t>who</w:t>
      </w:r>
      <w:r>
        <w:rPr>
          <w:spacing w:val="-11"/>
        </w:rPr>
        <w:t> </w:t>
      </w:r>
      <w:r>
        <w:rPr/>
        <w:t>engage</w:t>
      </w:r>
      <w:r>
        <w:rPr>
          <w:spacing w:val="-12"/>
        </w:rPr>
        <w:t> </w:t>
      </w:r>
      <w:r>
        <w:rPr/>
        <w:t>in</w:t>
      </w:r>
      <w:r>
        <w:rPr>
          <w:spacing w:val="-12"/>
        </w:rPr>
        <w:t> </w:t>
      </w:r>
      <w:r>
        <w:rPr/>
        <w:t>sex</w:t>
      </w:r>
      <w:r>
        <w:rPr>
          <w:spacing w:val="-12"/>
        </w:rPr>
        <w:t> </w:t>
      </w:r>
      <w:r>
        <w:rPr/>
        <w:t>work</w:t>
      </w:r>
      <w:r>
        <w:rPr>
          <w:spacing w:val="-12"/>
        </w:rPr>
        <w:t> </w:t>
      </w:r>
      <w:r>
        <w:rPr/>
        <w:t>may</w:t>
      </w:r>
      <w:r>
        <w:rPr>
          <w:spacing w:val="-11"/>
        </w:rPr>
        <w:t> </w:t>
      </w:r>
      <w:r>
        <w:rPr/>
        <w:t>also be victims of trafficking and exploitation.</w:t>
      </w:r>
      <w:r>
        <w:rPr>
          <w:vertAlign w:val="superscript"/>
        </w:rPr>
        <w:t>132</w:t>
      </w:r>
      <w:r>
        <w:rPr>
          <w:vertAlign w:val="baseline"/>
        </w:rPr>
        <w:t> LGBTQ youth over the age of 18 may engage in sex work to</w:t>
      </w:r>
      <w:r>
        <w:rPr>
          <w:spacing w:val="-2"/>
          <w:vertAlign w:val="baseline"/>
        </w:rPr>
        <w:t> </w:t>
      </w:r>
      <w:r>
        <w:rPr>
          <w:vertAlign w:val="baseline"/>
        </w:rPr>
        <w:t>meet</w:t>
      </w:r>
      <w:r>
        <w:rPr>
          <w:spacing w:val="-3"/>
          <w:vertAlign w:val="baseline"/>
        </w:rPr>
        <w:t> </w:t>
      </w:r>
      <w:r>
        <w:rPr>
          <w:vertAlign w:val="baseline"/>
        </w:rPr>
        <w:t>their</w:t>
      </w:r>
      <w:r>
        <w:rPr>
          <w:spacing w:val="-2"/>
          <w:vertAlign w:val="baseline"/>
        </w:rPr>
        <w:t> </w:t>
      </w:r>
      <w:r>
        <w:rPr>
          <w:vertAlign w:val="baseline"/>
        </w:rPr>
        <w:t>needs</w:t>
      </w:r>
      <w:r>
        <w:rPr>
          <w:spacing w:val="-1"/>
          <w:vertAlign w:val="baseline"/>
        </w:rPr>
        <w:t> </w:t>
      </w:r>
      <w:r>
        <w:rPr>
          <w:vertAlign w:val="baseline"/>
        </w:rPr>
        <w:t>due</w:t>
      </w:r>
      <w:r>
        <w:rPr>
          <w:spacing w:val="-2"/>
          <w:vertAlign w:val="baseline"/>
        </w:rPr>
        <w:t> </w:t>
      </w:r>
      <w:r>
        <w:rPr>
          <w:vertAlign w:val="baseline"/>
        </w:rPr>
        <w:t>to</w:t>
      </w:r>
      <w:r>
        <w:rPr>
          <w:spacing w:val="-1"/>
          <w:vertAlign w:val="baseline"/>
        </w:rPr>
        <w:t> </w:t>
      </w:r>
      <w:r>
        <w:rPr>
          <w:vertAlign w:val="baseline"/>
        </w:rPr>
        <w:t>financial</w:t>
      </w:r>
      <w:r>
        <w:rPr>
          <w:spacing w:val="-2"/>
          <w:vertAlign w:val="baseline"/>
        </w:rPr>
        <w:t> </w:t>
      </w:r>
      <w:r>
        <w:rPr>
          <w:vertAlign w:val="baseline"/>
        </w:rPr>
        <w:t>necessity,</w:t>
      </w:r>
      <w:r>
        <w:rPr>
          <w:spacing w:val="-3"/>
          <w:vertAlign w:val="baseline"/>
        </w:rPr>
        <w:t> </w:t>
      </w:r>
      <w:r>
        <w:rPr>
          <w:vertAlign w:val="baseline"/>
        </w:rPr>
        <w:t>particularly</w:t>
      </w:r>
      <w:r>
        <w:rPr>
          <w:spacing w:val="-3"/>
          <w:vertAlign w:val="baseline"/>
        </w:rPr>
        <w:t> </w:t>
      </w:r>
      <w:r>
        <w:rPr>
          <w:vertAlign w:val="baseline"/>
        </w:rPr>
        <w:t>if</w:t>
      </w:r>
      <w:r>
        <w:rPr>
          <w:spacing w:val="-3"/>
          <w:vertAlign w:val="baseline"/>
        </w:rPr>
        <w:t> </w:t>
      </w:r>
      <w:r>
        <w:rPr>
          <w:vertAlign w:val="baseline"/>
        </w:rPr>
        <w:t>they</w:t>
      </w:r>
      <w:r>
        <w:rPr>
          <w:spacing w:val="-2"/>
          <w:vertAlign w:val="baseline"/>
        </w:rPr>
        <w:t> </w:t>
      </w:r>
      <w:r>
        <w:rPr>
          <w:vertAlign w:val="baseline"/>
        </w:rPr>
        <w:t>have</w:t>
      </w:r>
      <w:r>
        <w:rPr>
          <w:spacing w:val="-3"/>
          <w:vertAlign w:val="baseline"/>
        </w:rPr>
        <w:t> </w:t>
      </w:r>
      <w:r>
        <w:rPr>
          <w:vertAlign w:val="baseline"/>
        </w:rPr>
        <w:t>been</w:t>
      </w:r>
      <w:r>
        <w:rPr>
          <w:spacing w:val="-2"/>
          <w:vertAlign w:val="baseline"/>
        </w:rPr>
        <w:t> </w:t>
      </w:r>
      <w:r>
        <w:rPr>
          <w:vertAlign w:val="baseline"/>
        </w:rPr>
        <w:t>kicked</w:t>
      </w:r>
      <w:r>
        <w:rPr>
          <w:spacing w:val="-3"/>
          <w:vertAlign w:val="baseline"/>
        </w:rPr>
        <w:t> </w:t>
      </w:r>
      <w:r>
        <w:rPr>
          <w:vertAlign w:val="baseline"/>
        </w:rPr>
        <w:t>out</w:t>
      </w:r>
      <w:r>
        <w:rPr>
          <w:spacing w:val="-3"/>
          <w:vertAlign w:val="baseline"/>
        </w:rPr>
        <w:t> </w:t>
      </w:r>
      <w:r>
        <w:rPr>
          <w:vertAlign w:val="baseline"/>
        </w:rPr>
        <w:t>of</w:t>
      </w:r>
      <w:r>
        <w:rPr>
          <w:spacing w:val="-3"/>
          <w:vertAlign w:val="baseline"/>
        </w:rPr>
        <w:t> </w:t>
      </w:r>
      <w:r>
        <w:rPr>
          <w:vertAlign w:val="baseline"/>
        </w:rPr>
        <w:t>their</w:t>
      </w:r>
      <w:r>
        <w:rPr>
          <w:spacing w:val="-3"/>
          <w:vertAlign w:val="baseline"/>
        </w:rPr>
        <w:t> </w:t>
      </w:r>
      <w:r>
        <w:rPr>
          <w:vertAlign w:val="baseline"/>
        </w:rPr>
        <w:t>home due to their gender identity or sexuality or have</w:t>
      </w:r>
      <w:r>
        <w:rPr>
          <w:spacing w:val="-1"/>
          <w:vertAlign w:val="baseline"/>
        </w:rPr>
        <w:t> </w:t>
      </w:r>
      <w:r>
        <w:rPr>
          <w:vertAlign w:val="baseline"/>
        </w:rPr>
        <w:t>been</w:t>
      </w:r>
      <w:r>
        <w:rPr>
          <w:spacing w:val="-1"/>
          <w:vertAlign w:val="baseline"/>
        </w:rPr>
        <w:t> </w:t>
      </w:r>
      <w:r>
        <w:rPr>
          <w:vertAlign w:val="baseline"/>
        </w:rPr>
        <w:t>unable to find</w:t>
      </w:r>
      <w:r>
        <w:rPr>
          <w:spacing w:val="-1"/>
          <w:vertAlign w:val="baseline"/>
        </w:rPr>
        <w:t> </w:t>
      </w:r>
      <w:r>
        <w:rPr>
          <w:vertAlign w:val="baseline"/>
        </w:rPr>
        <w:t>employment due to harassment or discrimination.</w:t>
      </w:r>
      <w:r>
        <w:rPr>
          <w:vertAlign w:val="superscript"/>
        </w:rPr>
        <w:t>133,134</w:t>
      </w:r>
    </w:p>
    <w:p>
      <w:pPr>
        <w:pStyle w:val="BodyText"/>
        <w:spacing w:line="276" w:lineRule="auto" w:before="239"/>
        <w:ind w:left="458" w:right="530"/>
        <w:jc w:val="both"/>
      </w:pPr>
      <w:r>
        <w:rPr/>
        <w:t>According to the 2015 U.S. Transgender Survey (not yet shared in the 2022 version), among </w:t>
      </w:r>
      <w:r>
        <w:rPr>
          <w:spacing w:val="-2"/>
        </w:rPr>
        <w:t>transgender and gender-nonconforming individuals aged 16 and older, 12% reported ever having done </w:t>
      </w:r>
      <w:r>
        <w:rPr/>
        <w:t>sex work (including, but not limited to, dancing in clubs, virtual webcam work on platforms such as OnlyFans,</w:t>
      </w:r>
      <w:r>
        <w:rPr>
          <w:spacing w:val="-7"/>
        </w:rPr>
        <w:t> </w:t>
      </w:r>
      <w:r>
        <w:rPr/>
        <w:t>or</w:t>
      </w:r>
      <w:r>
        <w:rPr>
          <w:spacing w:val="-6"/>
        </w:rPr>
        <w:t> </w:t>
      </w:r>
      <w:r>
        <w:rPr/>
        <w:t>filming</w:t>
      </w:r>
      <w:r>
        <w:rPr>
          <w:spacing w:val="-7"/>
        </w:rPr>
        <w:t> </w:t>
      </w:r>
      <w:r>
        <w:rPr/>
        <w:t>pornography</w:t>
      </w:r>
      <w:r>
        <w:rPr>
          <w:spacing w:val="-7"/>
        </w:rPr>
        <w:t> </w:t>
      </w:r>
      <w:r>
        <w:rPr/>
        <w:t>for</w:t>
      </w:r>
      <w:r>
        <w:rPr>
          <w:spacing w:val="-6"/>
        </w:rPr>
        <w:t> </w:t>
      </w:r>
      <w:r>
        <w:rPr/>
        <w:t>wide</w:t>
      </w:r>
      <w:r>
        <w:rPr>
          <w:spacing w:val="-8"/>
        </w:rPr>
        <w:t> </w:t>
      </w:r>
      <w:r>
        <w:rPr/>
        <w:t>release)</w:t>
      </w:r>
      <w:r>
        <w:rPr>
          <w:spacing w:val="-7"/>
        </w:rPr>
        <w:t> </w:t>
      </w:r>
      <w:r>
        <w:rPr/>
        <w:t>for</w:t>
      </w:r>
      <w:r>
        <w:rPr>
          <w:spacing w:val="-7"/>
        </w:rPr>
        <w:t> </w:t>
      </w:r>
      <w:r>
        <w:rPr/>
        <w:t>income</w:t>
      </w:r>
      <w:r>
        <w:rPr>
          <w:spacing w:val="-6"/>
        </w:rPr>
        <w:t> </w:t>
      </w:r>
      <w:r>
        <w:rPr/>
        <w:t>during</w:t>
      </w:r>
      <w:r>
        <w:rPr>
          <w:spacing w:val="-7"/>
        </w:rPr>
        <w:t> </w:t>
      </w:r>
      <w:r>
        <w:rPr/>
        <w:t>their</w:t>
      </w:r>
      <w:r>
        <w:rPr>
          <w:spacing w:val="-6"/>
        </w:rPr>
        <w:t> </w:t>
      </w:r>
      <w:r>
        <w:rPr/>
        <w:t>lifetimes.</w:t>
      </w:r>
      <w:r>
        <w:rPr>
          <w:vertAlign w:val="superscript"/>
        </w:rPr>
        <w:t>135</w:t>
      </w:r>
      <w:r>
        <w:rPr>
          <w:spacing w:val="-7"/>
          <w:vertAlign w:val="baseline"/>
        </w:rPr>
        <w:t> </w:t>
      </w:r>
      <w:r>
        <w:rPr>
          <w:vertAlign w:val="baseline"/>
        </w:rPr>
        <w:t>Among</w:t>
      </w:r>
      <w:r>
        <w:rPr>
          <w:spacing w:val="-8"/>
          <w:vertAlign w:val="baseline"/>
        </w:rPr>
        <w:t> </w:t>
      </w:r>
      <w:r>
        <w:rPr>
          <w:vertAlign w:val="baseline"/>
        </w:rPr>
        <w:t>survey participants</w:t>
      </w:r>
      <w:r>
        <w:rPr>
          <w:spacing w:val="-6"/>
          <w:vertAlign w:val="baseline"/>
        </w:rPr>
        <w:t> </w:t>
      </w:r>
      <w:r>
        <w:rPr>
          <w:vertAlign w:val="baseline"/>
        </w:rPr>
        <w:t>who</w:t>
      </w:r>
      <w:r>
        <w:rPr>
          <w:spacing w:val="-8"/>
          <w:vertAlign w:val="baseline"/>
        </w:rPr>
        <w:t> </w:t>
      </w:r>
      <w:r>
        <w:rPr>
          <w:vertAlign w:val="baseline"/>
        </w:rPr>
        <w:t>reported</w:t>
      </w:r>
      <w:r>
        <w:rPr>
          <w:spacing w:val="-8"/>
          <w:vertAlign w:val="baseline"/>
        </w:rPr>
        <w:t> </w:t>
      </w:r>
      <w:r>
        <w:rPr>
          <w:vertAlign w:val="baseline"/>
        </w:rPr>
        <w:t>participating</w:t>
      </w:r>
      <w:r>
        <w:rPr>
          <w:spacing w:val="-7"/>
          <w:vertAlign w:val="baseline"/>
        </w:rPr>
        <w:t> </w:t>
      </w:r>
      <w:r>
        <w:rPr>
          <w:vertAlign w:val="baseline"/>
        </w:rPr>
        <w:t>in</w:t>
      </w:r>
      <w:r>
        <w:rPr>
          <w:spacing w:val="-9"/>
          <w:vertAlign w:val="baseline"/>
        </w:rPr>
        <w:t> </w:t>
      </w:r>
      <w:r>
        <w:rPr>
          <w:vertAlign w:val="baseline"/>
        </w:rPr>
        <w:t>income-based</w:t>
      </w:r>
      <w:r>
        <w:rPr>
          <w:spacing w:val="-9"/>
          <w:vertAlign w:val="baseline"/>
        </w:rPr>
        <w:t> </w:t>
      </w:r>
      <w:r>
        <w:rPr>
          <w:vertAlign w:val="baseline"/>
        </w:rPr>
        <w:t>sex</w:t>
      </w:r>
      <w:r>
        <w:rPr>
          <w:spacing w:val="-8"/>
          <w:vertAlign w:val="baseline"/>
        </w:rPr>
        <w:t> </w:t>
      </w:r>
      <w:r>
        <w:rPr>
          <w:vertAlign w:val="baseline"/>
        </w:rPr>
        <w:t>work,</w:t>
      </w:r>
      <w:r>
        <w:rPr>
          <w:spacing w:val="-7"/>
          <w:vertAlign w:val="baseline"/>
        </w:rPr>
        <w:t> </w:t>
      </w:r>
      <w:r>
        <w:rPr>
          <w:vertAlign w:val="baseline"/>
        </w:rPr>
        <w:t>50%</w:t>
      </w:r>
      <w:r>
        <w:rPr>
          <w:spacing w:val="-7"/>
          <w:vertAlign w:val="baseline"/>
        </w:rPr>
        <w:t> </w:t>
      </w:r>
      <w:r>
        <w:rPr>
          <w:vertAlign w:val="baseline"/>
        </w:rPr>
        <w:t>were</w:t>
      </w:r>
      <w:r>
        <w:rPr>
          <w:spacing w:val="-8"/>
          <w:vertAlign w:val="baseline"/>
        </w:rPr>
        <w:t> </w:t>
      </w:r>
      <w:r>
        <w:rPr>
          <w:vertAlign w:val="baseline"/>
        </w:rPr>
        <w:t>trans</w:t>
      </w:r>
      <w:r>
        <w:rPr>
          <w:spacing w:val="-8"/>
          <w:vertAlign w:val="baseline"/>
        </w:rPr>
        <w:t> </w:t>
      </w:r>
      <w:r>
        <w:rPr>
          <w:vertAlign w:val="baseline"/>
        </w:rPr>
        <w:t>women,</w:t>
      </w:r>
      <w:r>
        <w:rPr>
          <w:spacing w:val="-9"/>
          <w:vertAlign w:val="baseline"/>
        </w:rPr>
        <w:t> </w:t>
      </w:r>
      <w:r>
        <w:rPr>
          <w:vertAlign w:val="baseline"/>
        </w:rPr>
        <w:t>23%</w:t>
      </w:r>
      <w:r>
        <w:rPr>
          <w:spacing w:val="-9"/>
          <w:vertAlign w:val="baseline"/>
        </w:rPr>
        <w:t> </w:t>
      </w:r>
      <w:r>
        <w:rPr>
          <w:vertAlign w:val="baseline"/>
        </w:rPr>
        <w:t>were nonbinary</w:t>
      </w:r>
      <w:r>
        <w:rPr>
          <w:spacing w:val="-9"/>
          <w:vertAlign w:val="baseline"/>
        </w:rPr>
        <w:t> </w:t>
      </w:r>
      <w:r>
        <w:rPr>
          <w:vertAlign w:val="baseline"/>
        </w:rPr>
        <w:t>people</w:t>
      </w:r>
      <w:r>
        <w:rPr>
          <w:spacing w:val="-10"/>
          <w:vertAlign w:val="baseline"/>
        </w:rPr>
        <w:t> </w:t>
      </w:r>
      <w:r>
        <w:rPr>
          <w:vertAlign w:val="baseline"/>
        </w:rPr>
        <w:t>assigned</w:t>
      </w:r>
      <w:r>
        <w:rPr>
          <w:spacing w:val="-9"/>
          <w:vertAlign w:val="baseline"/>
        </w:rPr>
        <w:t> </w:t>
      </w:r>
      <w:r>
        <w:rPr>
          <w:vertAlign w:val="baseline"/>
        </w:rPr>
        <w:t>female</w:t>
      </w:r>
      <w:r>
        <w:rPr>
          <w:spacing w:val="-9"/>
          <w:vertAlign w:val="baseline"/>
        </w:rPr>
        <w:t> </w:t>
      </w:r>
      <w:r>
        <w:rPr>
          <w:vertAlign w:val="baseline"/>
        </w:rPr>
        <w:t>at</w:t>
      </w:r>
      <w:r>
        <w:rPr>
          <w:spacing w:val="-9"/>
          <w:vertAlign w:val="baseline"/>
        </w:rPr>
        <w:t> </w:t>
      </w:r>
      <w:r>
        <w:rPr>
          <w:vertAlign w:val="baseline"/>
        </w:rPr>
        <w:t>birth,</w:t>
      </w:r>
      <w:r>
        <w:rPr>
          <w:spacing w:val="-10"/>
          <w:vertAlign w:val="baseline"/>
        </w:rPr>
        <w:t> </w:t>
      </w:r>
      <w:r>
        <w:rPr>
          <w:vertAlign w:val="baseline"/>
        </w:rPr>
        <w:t>and</w:t>
      </w:r>
      <w:r>
        <w:rPr>
          <w:spacing w:val="-10"/>
          <w:vertAlign w:val="baseline"/>
        </w:rPr>
        <w:t> </w:t>
      </w:r>
      <w:r>
        <w:rPr>
          <w:vertAlign w:val="baseline"/>
        </w:rPr>
        <w:t>19%</w:t>
      </w:r>
      <w:r>
        <w:rPr>
          <w:spacing w:val="-7"/>
          <w:vertAlign w:val="baseline"/>
        </w:rPr>
        <w:t> </w:t>
      </w:r>
      <w:r>
        <w:rPr>
          <w:vertAlign w:val="baseline"/>
        </w:rPr>
        <w:t>were</w:t>
      </w:r>
      <w:r>
        <w:rPr>
          <w:spacing w:val="-10"/>
          <w:vertAlign w:val="baseline"/>
        </w:rPr>
        <w:t> </w:t>
      </w:r>
      <w:r>
        <w:rPr>
          <w:vertAlign w:val="baseline"/>
        </w:rPr>
        <w:t>trans</w:t>
      </w:r>
      <w:r>
        <w:rPr>
          <w:spacing w:val="-8"/>
          <w:vertAlign w:val="baseline"/>
        </w:rPr>
        <w:t> </w:t>
      </w:r>
      <w:r>
        <w:rPr>
          <w:vertAlign w:val="baseline"/>
        </w:rPr>
        <w:t>men.</w:t>
      </w:r>
      <w:r>
        <w:rPr>
          <w:spacing w:val="-9"/>
          <w:vertAlign w:val="baseline"/>
        </w:rPr>
        <w:t> </w:t>
      </w:r>
      <w:r>
        <w:rPr>
          <w:vertAlign w:val="baseline"/>
        </w:rPr>
        <w:t>Individuals</w:t>
      </w:r>
      <w:r>
        <w:rPr>
          <w:spacing w:val="-9"/>
          <w:vertAlign w:val="baseline"/>
        </w:rPr>
        <w:t> </w:t>
      </w:r>
      <w:r>
        <w:rPr>
          <w:vertAlign w:val="baseline"/>
        </w:rPr>
        <w:t>living</w:t>
      </w:r>
      <w:r>
        <w:rPr>
          <w:spacing w:val="-9"/>
          <w:vertAlign w:val="baseline"/>
        </w:rPr>
        <w:t> </w:t>
      </w:r>
      <w:r>
        <w:rPr>
          <w:vertAlign w:val="baseline"/>
        </w:rPr>
        <w:t>with</w:t>
      </w:r>
      <w:r>
        <w:rPr>
          <w:spacing w:val="-9"/>
          <w:vertAlign w:val="baseline"/>
        </w:rPr>
        <w:t> </w:t>
      </w:r>
      <w:r>
        <w:rPr>
          <w:vertAlign w:val="baseline"/>
        </w:rPr>
        <w:t>HIV</w:t>
      </w:r>
      <w:r>
        <w:rPr>
          <w:spacing w:val="-10"/>
          <w:vertAlign w:val="baseline"/>
        </w:rPr>
        <w:t> </w:t>
      </w:r>
      <w:r>
        <w:rPr>
          <w:vertAlign w:val="baseline"/>
        </w:rPr>
        <w:t>(32%), undocumented</w:t>
      </w:r>
      <w:r>
        <w:rPr>
          <w:spacing w:val="-7"/>
          <w:vertAlign w:val="baseline"/>
        </w:rPr>
        <w:t> </w:t>
      </w:r>
      <w:r>
        <w:rPr>
          <w:vertAlign w:val="baseline"/>
        </w:rPr>
        <w:t>individuals</w:t>
      </w:r>
      <w:r>
        <w:rPr>
          <w:spacing w:val="-6"/>
          <w:vertAlign w:val="baseline"/>
        </w:rPr>
        <w:t> </w:t>
      </w:r>
      <w:r>
        <w:rPr>
          <w:vertAlign w:val="baseline"/>
        </w:rPr>
        <w:t>(29%),</w:t>
      </w:r>
      <w:r>
        <w:rPr>
          <w:spacing w:val="-6"/>
          <w:vertAlign w:val="baseline"/>
        </w:rPr>
        <w:t> </w:t>
      </w:r>
      <w:r>
        <w:rPr>
          <w:vertAlign w:val="baseline"/>
        </w:rPr>
        <w:t>and</w:t>
      </w:r>
      <w:r>
        <w:rPr>
          <w:spacing w:val="-7"/>
          <w:vertAlign w:val="baseline"/>
        </w:rPr>
        <w:t> </w:t>
      </w:r>
      <w:r>
        <w:rPr>
          <w:vertAlign w:val="baseline"/>
        </w:rPr>
        <w:t>Black</w:t>
      </w:r>
      <w:r>
        <w:rPr>
          <w:spacing w:val="-6"/>
          <w:vertAlign w:val="baseline"/>
        </w:rPr>
        <w:t> </w:t>
      </w:r>
      <w:r>
        <w:rPr>
          <w:vertAlign w:val="baseline"/>
        </w:rPr>
        <w:t>trans</w:t>
      </w:r>
      <w:r>
        <w:rPr>
          <w:spacing w:val="-6"/>
          <w:vertAlign w:val="baseline"/>
        </w:rPr>
        <w:t> </w:t>
      </w:r>
      <w:r>
        <w:rPr>
          <w:vertAlign w:val="baseline"/>
        </w:rPr>
        <w:t>women</w:t>
      </w:r>
      <w:r>
        <w:rPr>
          <w:spacing w:val="-6"/>
          <w:vertAlign w:val="baseline"/>
        </w:rPr>
        <w:t> </w:t>
      </w:r>
      <w:r>
        <w:rPr>
          <w:vertAlign w:val="baseline"/>
        </w:rPr>
        <w:t>(24%)</w:t>
      </w:r>
      <w:r>
        <w:rPr>
          <w:spacing w:val="-6"/>
          <w:vertAlign w:val="baseline"/>
        </w:rPr>
        <w:t> </w:t>
      </w:r>
      <w:r>
        <w:rPr>
          <w:vertAlign w:val="baseline"/>
        </w:rPr>
        <w:t>reported</w:t>
      </w:r>
      <w:r>
        <w:rPr>
          <w:spacing w:val="-6"/>
          <w:vertAlign w:val="baseline"/>
        </w:rPr>
        <w:t> </w:t>
      </w:r>
      <w:r>
        <w:rPr>
          <w:vertAlign w:val="baseline"/>
        </w:rPr>
        <w:t>participating</w:t>
      </w:r>
      <w:r>
        <w:rPr>
          <w:spacing w:val="-6"/>
          <w:vertAlign w:val="baseline"/>
        </w:rPr>
        <w:t> </w:t>
      </w:r>
      <w:r>
        <w:rPr>
          <w:vertAlign w:val="baseline"/>
        </w:rPr>
        <w:t>in</w:t>
      </w:r>
      <w:r>
        <w:rPr>
          <w:spacing w:val="-6"/>
          <w:vertAlign w:val="baseline"/>
        </w:rPr>
        <w:t> </w:t>
      </w:r>
      <w:r>
        <w:rPr>
          <w:vertAlign w:val="baseline"/>
        </w:rPr>
        <w:t>sex</w:t>
      </w:r>
      <w:r>
        <w:rPr>
          <w:spacing w:val="-5"/>
          <w:vertAlign w:val="baseline"/>
        </w:rPr>
        <w:t> </w:t>
      </w:r>
      <w:r>
        <w:rPr>
          <w:vertAlign w:val="baseline"/>
        </w:rPr>
        <w:t>work</w:t>
      </w:r>
      <w:r>
        <w:rPr>
          <w:spacing w:val="-7"/>
          <w:vertAlign w:val="baseline"/>
        </w:rPr>
        <w:t> </w:t>
      </w:r>
      <w:r>
        <w:rPr>
          <w:vertAlign w:val="baseline"/>
        </w:rPr>
        <w:t>for income within the past year at the highest rates.</w:t>
      </w:r>
      <w:r>
        <w:rPr>
          <w:vertAlign w:val="superscript"/>
        </w:rPr>
        <w:t>136</w:t>
      </w:r>
      <w:r>
        <w:rPr>
          <w:vertAlign w:val="baseline"/>
        </w:rPr>
        <w:t> Reaching out for support if they have a bad experience with a client may be particularly difficult for older LGBTQ youth, due to a fear of criminal persecution or a fear of not being believed.</w:t>
      </w:r>
      <w:r>
        <w:rPr>
          <w:vertAlign w:val="superscript"/>
        </w:rPr>
        <w:t>137</w:t>
      </w:r>
    </w:p>
    <w:p>
      <w:pPr>
        <w:pStyle w:val="BodyText"/>
        <w:spacing w:line="276" w:lineRule="auto" w:before="241"/>
        <w:ind w:left="458" w:right="531"/>
        <w:jc w:val="both"/>
      </w:pPr>
      <w:r>
        <w:rPr/>
        <w:t>Historically,</w:t>
      </w:r>
      <w:r>
        <w:rPr>
          <w:spacing w:val="-3"/>
        </w:rPr>
        <w:t> </w:t>
      </w:r>
      <w:r>
        <w:rPr/>
        <w:t>sexually</w:t>
      </w:r>
      <w:r>
        <w:rPr>
          <w:spacing w:val="-3"/>
        </w:rPr>
        <w:t> </w:t>
      </w:r>
      <w:r>
        <w:rPr/>
        <w:t>exploited</w:t>
      </w:r>
      <w:r>
        <w:rPr>
          <w:spacing w:val="-3"/>
        </w:rPr>
        <w:t> </w:t>
      </w:r>
      <w:r>
        <w:rPr/>
        <w:t>youths</w:t>
      </w:r>
      <w:r>
        <w:rPr>
          <w:spacing w:val="-2"/>
        </w:rPr>
        <w:t> </w:t>
      </w:r>
      <w:r>
        <w:rPr/>
        <w:t>have</w:t>
      </w:r>
      <w:r>
        <w:rPr>
          <w:spacing w:val="-3"/>
        </w:rPr>
        <w:t> </w:t>
      </w:r>
      <w:r>
        <w:rPr/>
        <w:t>been</w:t>
      </w:r>
      <w:r>
        <w:rPr>
          <w:spacing w:val="-2"/>
        </w:rPr>
        <w:t> </w:t>
      </w:r>
      <w:r>
        <w:rPr/>
        <w:t>treated</w:t>
      </w:r>
      <w:r>
        <w:rPr>
          <w:spacing w:val="-3"/>
        </w:rPr>
        <w:t> </w:t>
      </w:r>
      <w:r>
        <w:rPr/>
        <w:t>as</w:t>
      </w:r>
      <w:r>
        <w:rPr>
          <w:spacing w:val="-2"/>
        </w:rPr>
        <w:t> </w:t>
      </w:r>
      <w:r>
        <w:rPr/>
        <w:t>perpetrators</w:t>
      </w:r>
      <w:r>
        <w:rPr>
          <w:spacing w:val="-2"/>
        </w:rPr>
        <w:t> </w:t>
      </w:r>
      <w:r>
        <w:rPr/>
        <w:t>and</w:t>
      </w:r>
      <w:r>
        <w:rPr>
          <w:spacing w:val="-3"/>
        </w:rPr>
        <w:t> </w:t>
      </w:r>
      <w:r>
        <w:rPr/>
        <w:t>criminals</w:t>
      </w:r>
      <w:r>
        <w:rPr>
          <w:spacing w:val="-2"/>
        </w:rPr>
        <w:t> </w:t>
      </w:r>
      <w:r>
        <w:rPr/>
        <w:t>in</w:t>
      </w:r>
      <w:r>
        <w:rPr>
          <w:spacing w:val="-2"/>
        </w:rPr>
        <w:t> </w:t>
      </w:r>
      <w:r>
        <w:rPr/>
        <w:t>the</w:t>
      </w:r>
      <w:r>
        <w:rPr>
          <w:spacing w:val="-2"/>
        </w:rPr>
        <w:t> </w:t>
      </w:r>
      <w:r>
        <w:rPr/>
        <w:t>juvenile justice</w:t>
      </w:r>
      <w:r>
        <w:rPr>
          <w:spacing w:val="-2"/>
        </w:rPr>
        <w:t> </w:t>
      </w:r>
      <w:r>
        <w:rPr/>
        <w:t>system,</w:t>
      </w:r>
      <w:r>
        <w:rPr>
          <w:spacing w:val="-3"/>
        </w:rPr>
        <w:t> </w:t>
      </w:r>
      <w:r>
        <w:rPr/>
        <w:t>rather</w:t>
      </w:r>
      <w:r>
        <w:rPr>
          <w:spacing w:val="-2"/>
        </w:rPr>
        <w:t> </w:t>
      </w:r>
      <w:r>
        <w:rPr/>
        <w:t>than</w:t>
      </w:r>
      <w:r>
        <w:rPr>
          <w:spacing w:val="-3"/>
        </w:rPr>
        <w:t> </w:t>
      </w:r>
      <w:r>
        <w:rPr/>
        <w:t>victims</w:t>
      </w:r>
      <w:r>
        <w:rPr>
          <w:spacing w:val="-3"/>
        </w:rPr>
        <w:t> </w:t>
      </w:r>
      <w:r>
        <w:rPr/>
        <w:t>and</w:t>
      </w:r>
      <w:r>
        <w:rPr>
          <w:spacing w:val="-2"/>
        </w:rPr>
        <w:t> </w:t>
      </w:r>
      <w:r>
        <w:rPr/>
        <w:t>survivors</w:t>
      </w:r>
      <w:r>
        <w:rPr>
          <w:spacing w:val="-3"/>
        </w:rPr>
        <w:t> </w:t>
      </w:r>
      <w:r>
        <w:rPr/>
        <w:t>in</w:t>
      </w:r>
      <w:r>
        <w:rPr>
          <w:spacing w:val="-2"/>
        </w:rPr>
        <w:t> </w:t>
      </w:r>
      <w:r>
        <w:rPr/>
        <w:t>need</w:t>
      </w:r>
      <w:r>
        <w:rPr>
          <w:spacing w:val="-2"/>
        </w:rPr>
        <w:t> </w:t>
      </w:r>
      <w:r>
        <w:rPr/>
        <w:t>of</w:t>
      </w:r>
      <w:r>
        <w:rPr>
          <w:spacing w:val="-3"/>
        </w:rPr>
        <w:t> </w:t>
      </w:r>
      <w:r>
        <w:rPr/>
        <w:t>care.</w:t>
      </w:r>
      <w:r>
        <w:rPr>
          <w:vertAlign w:val="superscript"/>
        </w:rPr>
        <w:t>138</w:t>
      </w:r>
      <w:r>
        <w:rPr>
          <w:spacing w:val="-3"/>
          <w:vertAlign w:val="baseline"/>
        </w:rPr>
        <w:t> </w:t>
      </w:r>
      <w:r>
        <w:rPr>
          <w:vertAlign w:val="baseline"/>
        </w:rPr>
        <w:t>This</w:t>
      </w:r>
      <w:r>
        <w:rPr>
          <w:spacing w:val="-3"/>
          <w:vertAlign w:val="baseline"/>
        </w:rPr>
        <w:t> </w:t>
      </w:r>
      <w:r>
        <w:rPr>
          <w:vertAlign w:val="baseline"/>
        </w:rPr>
        <w:t>practice</w:t>
      </w:r>
      <w:r>
        <w:rPr>
          <w:spacing w:val="-3"/>
          <w:vertAlign w:val="baseline"/>
        </w:rPr>
        <w:t> </w:t>
      </w:r>
      <w:r>
        <w:rPr>
          <w:vertAlign w:val="baseline"/>
        </w:rPr>
        <w:t>stems</w:t>
      </w:r>
      <w:r>
        <w:rPr>
          <w:spacing w:val="-3"/>
          <w:vertAlign w:val="baseline"/>
        </w:rPr>
        <w:t> </w:t>
      </w:r>
      <w:r>
        <w:rPr>
          <w:vertAlign w:val="baseline"/>
        </w:rPr>
        <w:t>from</w:t>
      </w:r>
      <w:r>
        <w:rPr>
          <w:spacing w:val="-3"/>
          <w:vertAlign w:val="baseline"/>
        </w:rPr>
        <w:t> </w:t>
      </w:r>
      <w:r>
        <w:rPr>
          <w:vertAlign w:val="baseline"/>
        </w:rPr>
        <w:t>a</w:t>
      </w:r>
      <w:r>
        <w:rPr>
          <w:spacing w:val="-1"/>
          <w:vertAlign w:val="baseline"/>
        </w:rPr>
        <w:t> </w:t>
      </w:r>
      <w:r>
        <w:rPr>
          <w:vertAlign w:val="baseline"/>
        </w:rPr>
        <w:t>culture of control, where both sexually exploited youth and adults engaging in sex work were viewed as deviants in need of reform</w:t>
      </w:r>
      <w:hyperlink w:history="true" w:anchor="_bookmark96">
        <w:r>
          <w:rPr>
            <w:vertAlign w:val="baseline"/>
          </w:rPr>
          <w:t>.</w:t>
        </w:r>
        <w:r>
          <w:rPr>
            <w:vertAlign w:val="superscript"/>
          </w:rPr>
          <w:t>139</w:t>
        </w:r>
      </w:hyperlink>
      <w:r>
        <w:rPr>
          <w:vertAlign w:val="baseline"/>
        </w:rPr>
        <w:t> Decriminalizing sex work has long been thought to be a major part of the solution to end sex trafficking and commercial sexual exploitation. By decriminalizing sex work, youth who are experiencing commercial sexual exploitation will be able to come forward, report any abuse, and receive care without fear of being criminally prosecuted</w:t>
      </w:r>
      <w:hyperlink w:history="true" w:anchor="_bookmark96">
        <w:r>
          <w:rPr>
            <w:vertAlign w:val="baseline"/>
          </w:rPr>
          <w:t>.</w:t>
        </w:r>
        <w:r>
          <w:rPr>
            <w:vertAlign w:val="superscript"/>
          </w:rPr>
          <w:t>140</w:t>
        </w:r>
      </w:hyperlink>
      <w:r>
        <w:rPr>
          <w:vertAlign w:val="baseline"/>
        </w:rPr>
        <w:t> Furthermore, youth who are engaging</w:t>
      </w:r>
      <w:r>
        <w:rPr>
          <w:spacing w:val="-1"/>
          <w:vertAlign w:val="baseline"/>
        </w:rPr>
        <w:t> </w:t>
      </w:r>
      <w:r>
        <w:rPr>
          <w:vertAlign w:val="baseline"/>
        </w:rPr>
        <w:t>sex work</w:t>
      </w:r>
      <w:r>
        <w:rPr>
          <w:spacing w:val="-1"/>
          <w:vertAlign w:val="baseline"/>
        </w:rPr>
        <w:t> </w:t>
      </w:r>
      <w:r>
        <w:rPr>
          <w:vertAlign w:val="baseline"/>
        </w:rPr>
        <w:t>to meet their needs will</w:t>
      </w:r>
      <w:r>
        <w:rPr>
          <w:spacing w:val="-1"/>
          <w:vertAlign w:val="baseline"/>
        </w:rPr>
        <w:t> </w:t>
      </w:r>
      <w:r>
        <w:rPr>
          <w:vertAlign w:val="baseline"/>
        </w:rPr>
        <w:t>be able to report</w:t>
      </w:r>
      <w:r>
        <w:rPr>
          <w:spacing w:val="-1"/>
          <w:vertAlign w:val="baseline"/>
        </w:rPr>
        <w:t> </w:t>
      </w:r>
      <w:r>
        <w:rPr>
          <w:vertAlign w:val="baseline"/>
        </w:rPr>
        <w:t>any violence they experience</w:t>
      </w:r>
      <w:r>
        <w:rPr>
          <w:spacing w:val="-1"/>
          <w:vertAlign w:val="baseline"/>
        </w:rPr>
        <w:t> </w:t>
      </w:r>
      <w:r>
        <w:rPr>
          <w:vertAlign w:val="baseline"/>
        </w:rPr>
        <w:t>from</w:t>
      </w:r>
      <w:r>
        <w:rPr>
          <w:spacing w:val="-1"/>
          <w:vertAlign w:val="baseline"/>
        </w:rPr>
        <w:t> </w:t>
      </w:r>
      <w:r>
        <w:rPr>
          <w:vertAlign w:val="baseline"/>
        </w:rPr>
        <w:t>their clients, rather than being silenced out of fear of prosecution for engaging in sex work. Decriminalization</w:t>
      </w:r>
      <w:r>
        <w:rPr>
          <w:spacing w:val="-5"/>
          <w:vertAlign w:val="baseline"/>
        </w:rPr>
        <w:t> </w:t>
      </w:r>
      <w:r>
        <w:rPr>
          <w:vertAlign w:val="baseline"/>
        </w:rPr>
        <w:t>further</w:t>
      </w:r>
      <w:r>
        <w:rPr>
          <w:spacing w:val="-4"/>
          <w:vertAlign w:val="baseline"/>
        </w:rPr>
        <w:t> </w:t>
      </w:r>
      <w:r>
        <w:rPr>
          <w:vertAlign w:val="baseline"/>
        </w:rPr>
        <w:t>destigmatizes</w:t>
      </w:r>
      <w:r>
        <w:rPr>
          <w:spacing w:val="-4"/>
          <w:vertAlign w:val="baseline"/>
        </w:rPr>
        <w:t> </w:t>
      </w:r>
      <w:r>
        <w:rPr>
          <w:vertAlign w:val="baseline"/>
        </w:rPr>
        <w:t>sex</w:t>
      </w:r>
      <w:r>
        <w:rPr>
          <w:spacing w:val="-5"/>
          <w:vertAlign w:val="baseline"/>
        </w:rPr>
        <w:t> </w:t>
      </w:r>
      <w:r>
        <w:rPr>
          <w:vertAlign w:val="baseline"/>
        </w:rPr>
        <w:t>work</w:t>
      </w:r>
      <w:r>
        <w:rPr>
          <w:spacing w:val="-5"/>
          <w:vertAlign w:val="baseline"/>
        </w:rPr>
        <w:t> </w:t>
      </w:r>
      <w:r>
        <w:rPr>
          <w:vertAlign w:val="baseline"/>
        </w:rPr>
        <w:t>and</w:t>
      </w:r>
      <w:r>
        <w:rPr>
          <w:spacing w:val="-3"/>
          <w:vertAlign w:val="baseline"/>
        </w:rPr>
        <w:t> </w:t>
      </w:r>
      <w:r>
        <w:rPr>
          <w:vertAlign w:val="baseline"/>
        </w:rPr>
        <w:t>helps</w:t>
      </w:r>
      <w:r>
        <w:rPr>
          <w:spacing w:val="-5"/>
          <w:vertAlign w:val="baseline"/>
        </w:rPr>
        <w:t> </w:t>
      </w:r>
      <w:r>
        <w:rPr>
          <w:vertAlign w:val="baseline"/>
        </w:rPr>
        <w:t>youth</w:t>
      </w:r>
      <w:r>
        <w:rPr>
          <w:spacing w:val="-4"/>
          <w:vertAlign w:val="baseline"/>
        </w:rPr>
        <w:t> </w:t>
      </w:r>
      <w:r>
        <w:rPr>
          <w:vertAlign w:val="baseline"/>
        </w:rPr>
        <w:t>who</w:t>
      </w:r>
      <w:r>
        <w:rPr>
          <w:spacing w:val="-5"/>
          <w:vertAlign w:val="baseline"/>
        </w:rPr>
        <w:t> </w:t>
      </w:r>
      <w:r>
        <w:rPr>
          <w:vertAlign w:val="baseline"/>
        </w:rPr>
        <w:t>may</w:t>
      </w:r>
      <w:r>
        <w:rPr>
          <w:spacing w:val="-5"/>
          <w:vertAlign w:val="baseline"/>
        </w:rPr>
        <w:t> </w:t>
      </w:r>
      <w:r>
        <w:rPr>
          <w:vertAlign w:val="baseline"/>
        </w:rPr>
        <w:t>have</w:t>
      </w:r>
      <w:r>
        <w:rPr>
          <w:spacing w:val="-5"/>
          <w:vertAlign w:val="baseline"/>
        </w:rPr>
        <w:t> </w:t>
      </w:r>
      <w:r>
        <w:rPr>
          <w:vertAlign w:val="baseline"/>
        </w:rPr>
        <w:t>had</w:t>
      </w:r>
      <w:r>
        <w:rPr>
          <w:spacing w:val="-4"/>
          <w:vertAlign w:val="baseline"/>
        </w:rPr>
        <w:t> </w:t>
      </w:r>
      <w:r>
        <w:rPr>
          <w:vertAlign w:val="baseline"/>
        </w:rPr>
        <w:t>to</w:t>
      </w:r>
      <w:r>
        <w:rPr>
          <w:spacing w:val="-5"/>
          <w:vertAlign w:val="baseline"/>
        </w:rPr>
        <w:t> </w:t>
      </w:r>
      <w:r>
        <w:rPr>
          <w:vertAlign w:val="baseline"/>
        </w:rPr>
        <w:t>participate</w:t>
      </w:r>
      <w:r>
        <w:rPr>
          <w:spacing w:val="-4"/>
          <w:vertAlign w:val="baseline"/>
        </w:rPr>
        <w:t> </w:t>
      </w:r>
      <w:r>
        <w:rPr>
          <w:vertAlign w:val="baseline"/>
        </w:rPr>
        <w:t>in survival sex work resist further marginalization.</w:t>
      </w:r>
      <w:hyperlink w:history="true" w:anchor="_bookmark97">
        <w:r>
          <w:rPr>
            <w:vertAlign w:val="superscript"/>
          </w:rPr>
          <w:t>141</w:t>
        </w:r>
      </w:hyperlink>
    </w:p>
    <w:p>
      <w:pPr>
        <w:pStyle w:val="BodyText"/>
        <w:spacing w:line="276" w:lineRule="auto" w:before="241"/>
        <w:ind w:left="458" w:right="530"/>
        <w:jc w:val="both"/>
      </w:pPr>
      <w:r>
        <w:rPr/>
        <w:t>Furthermore, despite having laws that punish youth under 16 for engaging in consensual sexting, Massachusetts does not have any laws that protect victims over the age of 16 against revenge porn (the purposeful, non-consensual spreading of explicit images by the receiving party), sextortion (extortion for money with threats of sharing explicit images), or sexual deepfakes (edited photos or videos</w:t>
      </w:r>
      <w:r>
        <w:rPr>
          <w:spacing w:val="-11"/>
        </w:rPr>
        <w:t> </w:t>
      </w:r>
      <w:r>
        <w:rPr/>
        <w:t>that</w:t>
      </w:r>
      <w:r>
        <w:rPr>
          <w:spacing w:val="-12"/>
        </w:rPr>
        <w:t> </w:t>
      </w:r>
      <w:r>
        <w:rPr/>
        <w:t>falsely</w:t>
      </w:r>
      <w:r>
        <w:rPr>
          <w:spacing w:val="-11"/>
        </w:rPr>
        <w:t> </w:t>
      </w:r>
      <w:r>
        <w:rPr/>
        <w:t>show</w:t>
      </w:r>
      <w:r>
        <w:rPr>
          <w:spacing w:val="-11"/>
        </w:rPr>
        <w:t> </w:t>
      </w:r>
      <w:r>
        <w:rPr/>
        <w:t>a</w:t>
      </w:r>
      <w:r>
        <w:rPr>
          <w:spacing w:val="-11"/>
        </w:rPr>
        <w:t> </w:t>
      </w:r>
      <w:r>
        <w:rPr/>
        <w:t>person</w:t>
      </w:r>
      <w:r>
        <w:rPr>
          <w:spacing w:val="-12"/>
        </w:rPr>
        <w:t> </w:t>
      </w:r>
      <w:r>
        <w:rPr/>
        <w:t>engaging</w:t>
      </w:r>
      <w:r>
        <w:rPr>
          <w:spacing w:val="-12"/>
        </w:rPr>
        <w:t> </w:t>
      </w:r>
      <w:r>
        <w:rPr/>
        <w:t>in</w:t>
      </w:r>
      <w:r>
        <w:rPr>
          <w:spacing w:val="-10"/>
        </w:rPr>
        <w:t> </w:t>
      </w:r>
      <w:r>
        <w:rPr/>
        <w:t>a</w:t>
      </w:r>
      <w:r>
        <w:rPr>
          <w:spacing w:val="-11"/>
        </w:rPr>
        <w:t> </w:t>
      </w:r>
      <w:r>
        <w:rPr/>
        <w:t>sex</w:t>
      </w:r>
      <w:r>
        <w:rPr>
          <w:spacing w:val="-12"/>
        </w:rPr>
        <w:t> </w:t>
      </w:r>
      <w:r>
        <w:rPr/>
        <w:t>act)</w:t>
      </w:r>
      <w:hyperlink w:history="true" w:anchor="_bookmark97">
        <w:r>
          <w:rPr/>
          <w:t>.</w:t>
        </w:r>
        <w:r>
          <w:rPr>
            <w:vertAlign w:val="superscript"/>
          </w:rPr>
          <w:t>142</w:t>
        </w:r>
      </w:hyperlink>
      <w:r>
        <w:rPr>
          <w:spacing w:val="-12"/>
          <w:vertAlign w:val="baseline"/>
        </w:rPr>
        <w:t> </w:t>
      </w:r>
      <w:r>
        <w:rPr>
          <w:vertAlign w:val="baseline"/>
        </w:rPr>
        <w:t>For</w:t>
      </w:r>
      <w:r>
        <w:rPr>
          <w:spacing w:val="-11"/>
          <w:vertAlign w:val="baseline"/>
        </w:rPr>
        <w:t> </w:t>
      </w:r>
      <w:r>
        <w:rPr>
          <w:vertAlign w:val="baseline"/>
        </w:rPr>
        <w:t>example,</w:t>
      </w:r>
      <w:r>
        <w:rPr>
          <w:spacing w:val="-11"/>
          <w:vertAlign w:val="baseline"/>
        </w:rPr>
        <w:t> </w:t>
      </w:r>
      <w:r>
        <w:rPr>
          <w:vertAlign w:val="baseline"/>
        </w:rPr>
        <w:t>minors</w:t>
      </w:r>
      <w:r>
        <w:rPr>
          <w:spacing w:val="-11"/>
          <w:vertAlign w:val="baseline"/>
        </w:rPr>
        <w:t> </w:t>
      </w:r>
      <w:r>
        <w:rPr>
          <w:vertAlign w:val="baseline"/>
        </w:rPr>
        <w:t>who</w:t>
      </w:r>
      <w:r>
        <w:rPr>
          <w:spacing w:val="-11"/>
          <w:vertAlign w:val="baseline"/>
        </w:rPr>
        <w:t> </w:t>
      </w:r>
      <w:r>
        <w:rPr>
          <w:vertAlign w:val="baseline"/>
        </w:rPr>
        <w:t>consensually</w:t>
      </w:r>
      <w:r>
        <w:rPr>
          <w:spacing w:val="-11"/>
          <w:vertAlign w:val="baseline"/>
        </w:rPr>
        <w:t> </w:t>
      </w:r>
      <w:r>
        <w:rPr>
          <w:vertAlign w:val="baseline"/>
        </w:rPr>
        <w:t>send explicit images to each other will likely face equal punishment as a minor who purposefully and non- consensually</w:t>
      </w:r>
      <w:r>
        <w:rPr>
          <w:spacing w:val="-4"/>
          <w:vertAlign w:val="baseline"/>
        </w:rPr>
        <w:t> </w:t>
      </w:r>
      <w:r>
        <w:rPr>
          <w:vertAlign w:val="baseline"/>
        </w:rPr>
        <w:t>shares</w:t>
      </w:r>
      <w:r>
        <w:rPr>
          <w:spacing w:val="-5"/>
          <w:vertAlign w:val="baseline"/>
        </w:rPr>
        <w:t> </w:t>
      </w:r>
      <w:r>
        <w:rPr>
          <w:vertAlign w:val="baseline"/>
        </w:rPr>
        <w:t>another</w:t>
      </w:r>
      <w:r>
        <w:rPr>
          <w:spacing w:val="-5"/>
          <w:vertAlign w:val="baseline"/>
        </w:rPr>
        <w:t> </w:t>
      </w:r>
      <w:r>
        <w:rPr>
          <w:vertAlign w:val="baseline"/>
        </w:rPr>
        <w:t>minor’s</w:t>
      </w:r>
      <w:r>
        <w:rPr>
          <w:spacing w:val="-5"/>
          <w:vertAlign w:val="baseline"/>
        </w:rPr>
        <w:t> </w:t>
      </w:r>
      <w:r>
        <w:rPr>
          <w:vertAlign w:val="baseline"/>
        </w:rPr>
        <w:t>explicit</w:t>
      </w:r>
      <w:r>
        <w:rPr>
          <w:spacing w:val="-4"/>
          <w:vertAlign w:val="baseline"/>
        </w:rPr>
        <w:t> </w:t>
      </w:r>
      <w:r>
        <w:rPr>
          <w:vertAlign w:val="baseline"/>
        </w:rPr>
        <w:t>images,</w:t>
      </w:r>
      <w:r>
        <w:rPr>
          <w:spacing w:val="-4"/>
          <w:vertAlign w:val="baseline"/>
        </w:rPr>
        <w:t> </w:t>
      </w:r>
      <w:r>
        <w:rPr>
          <w:vertAlign w:val="baseline"/>
        </w:rPr>
        <w:t>or</w:t>
      </w:r>
      <w:r>
        <w:rPr>
          <w:spacing w:val="-5"/>
          <w:vertAlign w:val="baseline"/>
        </w:rPr>
        <w:t> </w:t>
      </w:r>
      <w:r>
        <w:rPr>
          <w:vertAlign w:val="baseline"/>
        </w:rPr>
        <w:t>an</w:t>
      </w:r>
      <w:r>
        <w:rPr>
          <w:spacing w:val="-5"/>
          <w:vertAlign w:val="baseline"/>
        </w:rPr>
        <w:t> </w:t>
      </w:r>
      <w:r>
        <w:rPr>
          <w:vertAlign w:val="baseline"/>
        </w:rPr>
        <w:t>adult</w:t>
      </w:r>
      <w:r>
        <w:rPr>
          <w:spacing w:val="-5"/>
          <w:vertAlign w:val="baseline"/>
        </w:rPr>
        <w:t> </w:t>
      </w:r>
      <w:r>
        <w:rPr>
          <w:vertAlign w:val="baseline"/>
        </w:rPr>
        <w:t>who</w:t>
      </w:r>
      <w:r>
        <w:rPr>
          <w:spacing w:val="-5"/>
          <w:vertAlign w:val="baseline"/>
        </w:rPr>
        <w:t> </w:t>
      </w:r>
      <w:r>
        <w:rPr>
          <w:vertAlign w:val="baseline"/>
        </w:rPr>
        <w:t>digitally</w:t>
      </w:r>
      <w:r>
        <w:rPr>
          <w:spacing w:val="-5"/>
          <w:vertAlign w:val="baseline"/>
        </w:rPr>
        <w:t> </w:t>
      </w:r>
      <w:r>
        <w:rPr>
          <w:vertAlign w:val="baseline"/>
        </w:rPr>
        <w:t>exploits</w:t>
      </w:r>
      <w:r>
        <w:rPr>
          <w:spacing w:val="-5"/>
          <w:vertAlign w:val="baseline"/>
        </w:rPr>
        <w:t> </w:t>
      </w:r>
      <w:r>
        <w:rPr>
          <w:vertAlign w:val="baseline"/>
        </w:rPr>
        <w:t>minors</w:t>
      </w:r>
      <w:hyperlink w:history="true" w:anchor="_bookmark98">
        <w:r>
          <w:rPr>
            <w:vertAlign w:val="baseline"/>
          </w:rPr>
          <w:t>.</w:t>
        </w:r>
        <w:r>
          <w:rPr>
            <w:vertAlign w:val="superscript"/>
          </w:rPr>
          <w:t>143</w:t>
        </w:r>
      </w:hyperlink>
      <w:r>
        <w:rPr>
          <w:spacing w:val="-5"/>
          <w:vertAlign w:val="baseline"/>
        </w:rPr>
        <w:t> </w:t>
      </w:r>
      <w:r>
        <w:rPr>
          <w:vertAlign w:val="baseline"/>
        </w:rPr>
        <w:t>Even worse,</w:t>
      </w:r>
      <w:r>
        <w:rPr>
          <w:spacing w:val="-5"/>
          <w:vertAlign w:val="baseline"/>
        </w:rPr>
        <w:t> </w:t>
      </w:r>
      <w:r>
        <w:rPr>
          <w:vertAlign w:val="baseline"/>
        </w:rPr>
        <w:t>victims</w:t>
      </w:r>
      <w:r>
        <w:rPr>
          <w:spacing w:val="-5"/>
          <w:vertAlign w:val="baseline"/>
        </w:rPr>
        <w:t> </w:t>
      </w:r>
      <w:r>
        <w:rPr>
          <w:vertAlign w:val="baseline"/>
        </w:rPr>
        <w:t>of</w:t>
      </w:r>
      <w:r>
        <w:rPr>
          <w:spacing w:val="-5"/>
          <w:vertAlign w:val="baseline"/>
        </w:rPr>
        <w:t> </w:t>
      </w:r>
      <w:r>
        <w:rPr>
          <w:vertAlign w:val="baseline"/>
        </w:rPr>
        <w:t>revenge</w:t>
      </w:r>
      <w:r>
        <w:rPr>
          <w:spacing w:val="-3"/>
          <w:vertAlign w:val="baseline"/>
        </w:rPr>
        <w:t> </w:t>
      </w:r>
      <w:r>
        <w:rPr>
          <w:vertAlign w:val="baseline"/>
        </w:rPr>
        <w:t>porn</w:t>
      </w:r>
      <w:r>
        <w:rPr>
          <w:spacing w:val="-5"/>
          <w:vertAlign w:val="baseline"/>
        </w:rPr>
        <w:t> </w:t>
      </w:r>
      <w:r>
        <w:rPr>
          <w:vertAlign w:val="baseline"/>
        </w:rPr>
        <w:t>and</w:t>
      </w:r>
      <w:r>
        <w:rPr>
          <w:spacing w:val="-3"/>
          <w:vertAlign w:val="baseline"/>
        </w:rPr>
        <w:t> </w:t>
      </w:r>
      <w:r>
        <w:rPr>
          <w:vertAlign w:val="baseline"/>
        </w:rPr>
        <w:t>digital</w:t>
      </w:r>
      <w:r>
        <w:rPr>
          <w:spacing w:val="-4"/>
          <w:vertAlign w:val="baseline"/>
        </w:rPr>
        <w:t> </w:t>
      </w:r>
      <w:r>
        <w:rPr>
          <w:vertAlign w:val="baseline"/>
        </w:rPr>
        <w:t>commercial</w:t>
      </w:r>
      <w:r>
        <w:rPr>
          <w:spacing w:val="-5"/>
          <w:vertAlign w:val="baseline"/>
        </w:rPr>
        <w:t> </w:t>
      </w:r>
      <w:r>
        <w:rPr>
          <w:vertAlign w:val="baseline"/>
        </w:rPr>
        <w:t>sexual</w:t>
      </w:r>
      <w:r>
        <w:rPr>
          <w:spacing w:val="-4"/>
          <w:vertAlign w:val="baseline"/>
        </w:rPr>
        <w:t> </w:t>
      </w:r>
      <w:r>
        <w:rPr>
          <w:vertAlign w:val="baseline"/>
        </w:rPr>
        <w:t>exploitation</w:t>
      </w:r>
      <w:r>
        <w:rPr>
          <w:spacing w:val="-5"/>
          <w:vertAlign w:val="baseline"/>
        </w:rPr>
        <w:t> </w:t>
      </w:r>
      <w:r>
        <w:rPr>
          <w:vertAlign w:val="baseline"/>
        </w:rPr>
        <w:t>are</w:t>
      </w:r>
      <w:r>
        <w:rPr>
          <w:spacing w:val="-4"/>
          <w:vertAlign w:val="baseline"/>
        </w:rPr>
        <w:t> </w:t>
      </w:r>
      <w:r>
        <w:rPr>
          <w:vertAlign w:val="baseline"/>
        </w:rPr>
        <w:t>usually</w:t>
      </w:r>
      <w:r>
        <w:rPr>
          <w:spacing w:val="-5"/>
          <w:vertAlign w:val="baseline"/>
        </w:rPr>
        <w:t> </w:t>
      </w:r>
      <w:r>
        <w:rPr>
          <w:vertAlign w:val="baseline"/>
        </w:rPr>
        <w:t>punished</w:t>
      </w:r>
      <w:r>
        <w:rPr>
          <w:spacing w:val="-4"/>
          <w:vertAlign w:val="baseline"/>
        </w:rPr>
        <w:t> </w:t>
      </w:r>
      <w:r>
        <w:rPr>
          <w:vertAlign w:val="baseline"/>
        </w:rPr>
        <w:t>to</w:t>
      </w:r>
      <w:r>
        <w:rPr>
          <w:spacing w:val="-3"/>
          <w:vertAlign w:val="baseline"/>
        </w:rPr>
        <w:t> </w:t>
      </w:r>
      <w:r>
        <w:rPr>
          <w:vertAlign w:val="baseline"/>
        </w:rPr>
        <w:t>the same,</w:t>
      </w:r>
      <w:r>
        <w:rPr>
          <w:spacing w:val="-3"/>
          <w:vertAlign w:val="baseline"/>
        </w:rPr>
        <w:t> </w:t>
      </w:r>
      <w:r>
        <w:rPr>
          <w:vertAlign w:val="baseline"/>
        </w:rPr>
        <w:t>or</w:t>
      </w:r>
      <w:r>
        <w:rPr>
          <w:spacing w:val="-3"/>
          <w:vertAlign w:val="baseline"/>
        </w:rPr>
        <w:t> </w:t>
      </w:r>
      <w:r>
        <w:rPr>
          <w:vertAlign w:val="baseline"/>
        </w:rPr>
        <w:t>sometimes</w:t>
      </w:r>
      <w:r>
        <w:rPr>
          <w:spacing w:val="-2"/>
          <w:vertAlign w:val="baseline"/>
        </w:rPr>
        <w:t> </w:t>
      </w:r>
      <w:r>
        <w:rPr>
          <w:vertAlign w:val="baseline"/>
        </w:rPr>
        <w:t>even</w:t>
      </w:r>
      <w:r>
        <w:rPr>
          <w:spacing w:val="-2"/>
          <w:vertAlign w:val="baseline"/>
        </w:rPr>
        <w:t> </w:t>
      </w:r>
      <w:r>
        <w:rPr>
          <w:vertAlign w:val="baseline"/>
        </w:rPr>
        <w:t>greater,</w:t>
      </w:r>
      <w:r>
        <w:rPr>
          <w:spacing w:val="-3"/>
          <w:vertAlign w:val="baseline"/>
        </w:rPr>
        <w:t> </w:t>
      </w:r>
      <w:r>
        <w:rPr>
          <w:vertAlign w:val="baseline"/>
        </w:rPr>
        <w:t>extent</w:t>
      </w:r>
      <w:r>
        <w:rPr>
          <w:spacing w:val="-3"/>
          <w:vertAlign w:val="baseline"/>
        </w:rPr>
        <w:t> </w:t>
      </w:r>
      <w:r>
        <w:rPr>
          <w:vertAlign w:val="baseline"/>
        </w:rPr>
        <w:t>as</w:t>
      </w:r>
      <w:r>
        <w:rPr>
          <w:spacing w:val="-2"/>
          <w:vertAlign w:val="baseline"/>
        </w:rPr>
        <w:t> </w:t>
      </w:r>
      <w:r>
        <w:rPr>
          <w:vertAlign w:val="baseline"/>
        </w:rPr>
        <w:t>the</w:t>
      </w:r>
      <w:r>
        <w:rPr>
          <w:spacing w:val="-3"/>
          <w:vertAlign w:val="baseline"/>
        </w:rPr>
        <w:t> </w:t>
      </w:r>
      <w:r>
        <w:rPr>
          <w:vertAlign w:val="baseline"/>
        </w:rPr>
        <w:t>perpetrator</w:t>
      </w:r>
      <w:hyperlink w:history="true" w:anchor="_bookmark99">
        <w:r>
          <w:rPr>
            <w:vertAlign w:val="baseline"/>
          </w:rPr>
          <w:t>.</w:t>
        </w:r>
        <w:r>
          <w:rPr>
            <w:vertAlign w:val="superscript"/>
          </w:rPr>
          <w:t>144</w:t>
        </w:r>
      </w:hyperlink>
      <w:r>
        <w:rPr>
          <w:spacing w:val="-3"/>
          <w:vertAlign w:val="baseline"/>
        </w:rPr>
        <w:t> </w:t>
      </w:r>
      <w:r>
        <w:rPr>
          <w:vertAlign w:val="baseline"/>
        </w:rPr>
        <w:t>Although</w:t>
      </w:r>
      <w:r>
        <w:rPr>
          <w:spacing w:val="-2"/>
          <w:vertAlign w:val="baseline"/>
        </w:rPr>
        <w:t> </w:t>
      </w:r>
      <w:r>
        <w:rPr>
          <w:vertAlign w:val="baseline"/>
        </w:rPr>
        <w:t>these</w:t>
      </w:r>
      <w:r>
        <w:rPr>
          <w:spacing w:val="-3"/>
          <w:vertAlign w:val="baseline"/>
        </w:rPr>
        <w:t> </w:t>
      </w:r>
      <w:r>
        <w:rPr>
          <w:vertAlign w:val="baseline"/>
        </w:rPr>
        <w:t>kinds</w:t>
      </w:r>
      <w:r>
        <w:rPr>
          <w:spacing w:val="-2"/>
          <w:vertAlign w:val="baseline"/>
        </w:rPr>
        <w:t> </w:t>
      </w:r>
      <w:r>
        <w:rPr>
          <w:vertAlign w:val="baseline"/>
        </w:rPr>
        <w:t>of</w:t>
      </w:r>
      <w:r>
        <w:rPr>
          <w:spacing w:val="-3"/>
          <w:vertAlign w:val="baseline"/>
        </w:rPr>
        <w:t> </w:t>
      </w:r>
      <w:r>
        <w:rPr>
          <w:vertAlign w:val="baseline"/>
        </w:rPr>
        <w:t>laws</w:t>
      </w:r>
      <w:r>
        <w:rPr>
          <w:spacing w:val="-2"/>
          <w:vertAlign w:val="baseline"/>
        </w:rPr>
        <w:t> </w:t>
      </w:r>
      <w:r>
        <w:rPr>
          <w:vertAlign w:val="baseline"/>
        </w:rPr>
        <w:t>may</w:t>
      </w:r>
      <w:r>
        <w:rPr>
          <w:spacing w:val="-3"/>
          <w:vertAlign w:val="baseline"/>
        </w:rPr>
        <w:t> </w:t>
      </w:r>
      <w:r>
        <w:rPr>
          <w:vertAlign w:val="baseline"/>
        </w:rPr>
        <w:t>not seem directly related to commercial sexual exploitation, they foster a hostile environment around sexuality and make youth feel uncomfortable or even unsafe coming forward to reveal sexual exploitation or sexual violence for fear of punishment and criminalization.</w:t>
      </w:r>
    </w:p>
    <w:p>
      <w:pPr>
        <w:pStyle w:val="BodyText"/>
        <w:spacing w:line="276" w:lineRule="auto" w:before="238"/>
        <w:ind w:left="458" w:right="533"/>
        <w:jc w:val="both"/>
      </w:pPr>
      <w:r>
        <w:rPr/>
        <w:t>When examining interventions to prevent commercial youth sexual exploitation and support survivors/victims,</w:t>
      </w:r>
      <w:r>
        <w:rPr>
          <w:spacing w:val="-13"/>
        </w:rPr>
        <w:t> </w:t>
      </w:r>
      <w:r>
        <w:rPr/>
        <w:t>there</w:t>
      </w:r>
      <w:r>
        <w:rPr>
          <w:spacing w:val="-12"/>
        </w:rPr>
        <w:t> </w:t>
      </w:r>
      <w:r>
        <w:rPr/>
        <w:t>are</w:t>
      </w:r>
      <w:r>
        <w:rPr>
          <w:spacing w:val="-13"/>
        </w:rPr>
        <w:t> </w:t>
      </w:r>
      <w:r>
        <w:rPr/>
        <w:t>notable</w:t>
      </w:r>
      <w:r>
        <w:rPr>
          <w:spacing w:val="-12"/>
        </w:rPr>
        <w:t> </w:t>
      </w:r>
      <w:r>
        <w:rPr/>
        <w:t>gaps</w:t>
      </w:r>
      <w:r>
        <w:rPr>
          <w:spacing w:val="-11"/>
        </w:rPr>
        <w:t> </w:t>
      </w:r>
      <w:r>
        <w:rPr/>
        <w:t>in</w:t>
      </w:r>
      <w:r>
        <w:rPr>
          <w:spacing w:val="-13"/>
        </w:rPr>
        <w:t> </w:t>
      </w:r>
      <w:r>
        <w:rPr/>
        <w:t>Boston</w:t>
      </w:r>
      <w:r>
        <w:rPr>
          <w:spacing w:val="-12"/>
        </w:rPr>
        <w:t> </w:t>
      </w:r>
      <w:r>
        <w:rPr/>
        <w:t>when</w:t>
      </w:r>
      <w:r>
        <w:rPr>
          <w:spacing w:val="-13"/>
        </w:rPr>
        <w:t> </w:t>
      </w:r>
      <w:r>
        <w:rPr/>
        <w:t>it</w:t>
      </w:r>
      <w:r>
        <w:rPr>
          <w:spacing w:val="-12"/>
        </w:rPr>
        <w:t> </w:t>
      </w:r>
      <w:r>
        <w:rPr/>
        <w:t>comes</w:t>
      </w:r>
      <w:r>
        <w:rPr>
          <w:spacing w:val="-11"/>
        </w:rPr>
        <w:t> </w:t>
      </w:r>
      <w:r>
        <w:rPr/>
        <w:t>to</w:t>
      </w:r>
      <w:r>
        <w:rPr>
          <w:spacing w:val="-12"/>
        </w:rPr>
        <w:t> </w:t>
      </w:r>
      <w:r>
        <w:rPr/>
        <w:t>trauma-informed</w:t>
      </w:r>
      <w:r>
        <w:rPr>
          <w:spacing w:val="-12"/>
        </w:rPr>
        <w:t> </w:t>
      </w:r>
      <w:r>
        <w:rPr/>
        <w:t>health</w:t>
      </w:r>
      <w:r>
        <w:rPr>
          <w:spacing w:val="-12"/>
        </w:rPr>
        <w:t> </w:t>
      </w:r>
      <w:r>
        <w:rPr/>
        <w:t>care</w:t>
      </w:r>
      <w:r>
        <w:rPr>
          <w:spacing w:val="-13"/>
        </w:rPr>
        <w:t> </w:t>
      </w:r>
      <w:r>
        <w:rPr/>
        <w:t>and </w:t>
      </w:r>
      <w:r>
        <w:rPr>
          <w:spacing w:val="-2"/>
        </w:rPr>
        <w:t>access</w:t>
      </w:r>
      <w:r>
        <w:rPr>
          <w:spacing w:val="-6"/>
        </w:rPr>
        <w:t> </w:t>
      </w:r>
      <w:r>
        <w:rPr>
          <w:spacing w:val="-2"/>
        </w:rPr>
        <w:t>to</w:t>
      </w:r>
      <w:r>
        <w:rPr>
          <w:spacing w:val="-4"/>
        </w:rPr>
        <w:t> </w:t>
      </w:r>
      <w:r>
        <w:rPr>
          <w:spacing w:val="-2"/>
        </w:rPr>
        <w:t>mental</w:t>
      </w:r>
      <w:r>
        <w:rPr>
          <w:spacing w:val="-6"/>
        </w:rPr>
        <w:t> </w:t>
      </w:r>
      <w:r>
        <w:rPr>
          <w:spacing w:val="-2"/>
        </w:rPr>
        <w:t>health</w:t>
      </w:r>
      <w:r>
        <w:rPr>
          <w:spacing w:val="-5"/>
        </w:rPr>
        <w:t> </w:t>
      </w:r>
      <w:r>
        <w:rPr>
          <w:spacing w:val="-2"/>
        </w:rPr>
        <w:t>services</w:t>
      </w:r>
      <w:r>
        <w:rPr>
          <w:spacing w:val="-5"/>
        </w:rPr>
        <w:t> </w:t>
      </w:r>
      <w:r>
        <w:rPr>
          <w:spacing w:val="-2"/>
        </w:rPr>
        <w:t>that</w:t>
      </w:r>
      <w:r>
        <w:rPr>
          <w:spacing w:val="-7"/>
        </w:rPr>
        <w:t> </w:t>
      </w:r>
      <w:r>
        <w:rPr>
          <w:spacing w:val="-2"/>
        </w:rPr>
        <w:t>specialize</w:t>
      </w:r>
      <w:r>
        <w:rPr>
          <w:spacing w:val="-5"/>
        </w:rPr>
        <w:t> </w:t>
      </w:r>
      <w:r>
        <w:rPr>
          <w:spacing w:val="-2"/>
        </w:rPr>
        <w:t>in</w:t>
      </w:r>
      <w:r>
        <w:rPr>
          <w:spacing w:val="-6"/>
        </w:rPr>
        <w:t> </w:t>
      </w:r>
      <w:r>
        <w:rPr>
          <w:spacing w:val="-2"/>
        </w:rPr>
        <w:t>supporting</w:t>
      </w:r>
      <w:r>
        <w:rPr>
          <w:spacing w:val="-5"/>
        </w:rPr>
        <w:t> </w:t>
      </w:r>
      <w:r>
        <w:rPr>
          <w:spacing w:val="-2"/>
        </w:rPr>
        <w:t>commercially</w:t>
      </w:r>
      <w:r>
        <w:rPr>
          <w:spacing w:val="-4"/>
        </w:rPr>
        <w:t> </w:t>
      </w:r>
      <w:r>
        <w:rPr>
          <w:spacing w:val="-2"/>
        </w:rPr>
        <w:t>sexually</w:t>
      </w:r>
      <w:r>
        <w:rPr>
          <w:spacing w:val="-7"/>
        </w:rPr>
        <w:t> </w:t>
      </w:r>
      <w:r>
        <w:rPr>
          <w:spacing w:val="-2"/>
        </w:rPr>
        <w:t>exploited</w:t>
      </w:r>
      <w:r>
        <w:rPr>
          <w:spacing w:val="-6"/>
        </w:rPr>
        <w:t> </w:t>
      </w:r>
      <w:r>
        <w:rPr>
          <w:spacing w:val="-2"/>
        </w:rPr>
        <w:t>youth.</w:t>
      </w:r>
      <w:hyperlink w:history="true" w:anchor="_bookmark100">
        <w:r>
          <w:rPr>
            <w:spacing w:val="-2"/>
            <w:vertAlign w:val="superscript"/>
          </w:rPr>
          <w:t>145</w:t>
        </w:r>
      </w:hyperlink>
    </w:p>
    <w:p>
      <w:pPr>
        <w:pStyle w:val="BodyText"/>
        <w:spacing w:line="268" w:lineRule="exact"/>
        <w:ind w:left="289"/>
        <w:jc w:val="both"/>
      </w:pPr>
      <w:r>
        <w:rPr>
          <w:spacing w:val="74"/>
          <w:w w:val="150"/>
          <w:u w:val="single" w:color="D9D9D9"/>
        </w:rPr>
        <w:t> </w:t>
      </w:r>
      <w:r>
        <w:rPr>
          <w:u w:val="single" w:color="D9D9D9"/>
        </w:rPr>
        <w:t>Care</w:t>
      </w:r>
      <w:r>
        <w:rPr>
          <w:spacing w:val="-6"/>
          <w:u w:val="single" w:color="D9D9D9"/>
        </w:rPr>
        <w:t> </w:t>
      </w:r>
      <w:r>
        <w:rPr>
          <w:u w:val="single" w:color="D9D9D9"/>
        </w:rPr>
        <w:t>providers</w:t>
      </w:r>
      <w:r>
        <w:rPr>
          <w:spacing w:val="-6"/>
          <w:u w:val="single" w:color="D9D9D9"/>
        </w:rPr>
        <w:t> </w:t>
      </w:r>
      <w:r>
        <w:rPr>
          <w:u w:val="single" w:color="D9D9D9"/>
        </w:rPr>
        <w:t>need</w:t>
      </w:r>
      <w:r>
        <w:rPr>
          <w:spacing w:val="-6"/>
          <w:u w:val="single" w:color="D9D9D9"/>
        </w:rPr>
        <w:t> </w:t>
      </w:r>
      <w:r>
        <w:rPr>
          <w:u w:val="single" w:color="D9D9D9"/>
        </w:rPr>
        <w:t>more</w:t>
      </w:r>
      <w:r>
        <w:rPr>
          <w:spacing w:val="-4"/>
          <w:u w:val="single" w:color="D9D9D9"/>
        </w:rPr>
        <w:t> </w:t>
      </w:r>
      <w:r>
        <w:rPr>
          <w:u w:val="single" w:color="D9D9D9"/>
        </w:rPr>
        <w:t>training,</w:t>
      </w:r>
      <w:r>
        <w:rPr>
          <w:spacing w:val="-5"/>
          <w:u w:val="single" w:color="D9D9D9"/>
        </w:rPr>
        <w:t> </w:t>
      </w:r>
      <w:r>
        <w:rPr>
          <w:u w:val="single" w:color="D9D9D9"/>
        </w:rPr>
        <w:t>as</w:t>
      </w:r>
      <w:r>
        <w:rPr>
          <w:spacing w:val="-6"/>
          <w:u w:val="single" w:color="D9D9D9"/>
        </w:rPr>
        <w:t> </w:t>
      </w:r>
      <w:r>
        <w:rPr>
          <w:u w:val="single" w:color="D9D9D9"/>
        </w:rPr>
        <w:t>well</w:t>
      </w:r>
      <w:r>
        <w:rPr>
          <w:spacing w:val="-6"/>
          <w:u w:val="single" w:color="D9D9D9"/>
        </w:rPr>
        <w:t> </w:t>
      </w:r>
      <w:r>
        <w:rPr>
          <w:u w:val="single" w:color="D9D9D9"/>
        </w:rPr>
        <w:t>as</w:t>
      </w:r>
      <w:r>
        <w:rPr>
          <w:spacing w:val="-5"/>
          <w:u w:val="single" w:color="D9D9D9"/>
        </w:rPr>
        <w:t> </w:t>
      </w:r>
      <w:r>
        <w:rPr>
          <w:u w:val="single" w:color="D9D9D9"/>
        </w:rPr>
        <w:t>more</w:t>
      </w:r>
      <w:r>
        <w:rPr>
          <w:spacing w:val="-5"/>
          <w:u w:val="single" w:color="D9D9D9"/>
        </w:rPr>
        <w:t> </w:t>
      </w:r>
      <w:r>
        <w:rPr>
          <w:u w:val="single" w:color="D9D9D9"/>
        </w:rPr>
        <w:t>funding,</w:t>
      </w:r>
      <w:r>
        <w:rPr>
          <w:spacing w:val="-5"/>
          <w:u w:val="single" w:color="D9D9D9"/>
        </w:rPr>
        <w:t> </w:t>
      </w:r>
      <w:r>
        <w:rPr>
          <w:u w:val="single" w:color="D9D9D9"/>
        </w:rPr>
        <w:t>to</w:t>
      </w:r>
      <w:r>
        <w:rPr>
          <w:spacing w:val="-4"/>
          <w:u w:val="single" w:color="D9D9D9"/>
        </w:rPr>
        <w:t> </w:t>
      </w:r>
      <w:r>
        <w:rPr>
          <w:u w:val="single" w:color="D9D9D9"/>
        </w:rPr>
        <w:t>appropriately</w:t>
      </w:r>
      <w:r>
        <w:rPr>
          <w:spacing w:val="-7"/>
          <w:u w:val="single" w:color="D9D9D9"/>
        </w:rPr>
        <w:t> </w:t>
      </w:r>
      <w:r>
        <w:rPr>
          <w:u w:val="single" w:color="D9D9D9"/>
        </w:rPr>
        <w:t>and</w:t>
      </w:r>
      <w:r>
        <w:rPr>
          <w:spacing w:val="-6"/>
          <w:u w:val="single" w:color="D9D9D9"/>
        </w:rPr>
        <w:t> </w:t>
      </w:r>
      <w:r>
        <w:rPr>
          <w:u w:val="single" w:color="D9D9D9"/>
        </w:rPr>
        <w:t>adequately</w:t>
      </w:r>
      <w:r>
        <w:rPr>
          <w:spacing w:val="-4"/>
          <w:u w:val="single" w:color="D9D9D9"/>
        </w:rPr>
        <w:t> </w:t>
      </w:r>
      <w:r>
        <w:rPr>
          <w:spacing w:val="-2"/>
          <w:u w:val="single" w:color="D9D9D9"/>
        </w:rPr>
        <w:t>support</w:t>
      </w:r>
      <w:r>
        <w:rPr>
          <w:spacing w:val="80"/>
          <w:u w:val="single" w:color="D9D9D9"/>
        </w:rPr>
        <w:t>   </w:t>
      </w:r>
    </w:p>
    <w:p>
      <w:pPr>
        <w:spacing w:after="0" w:line="268" w:lineRule="exact"/>
        <w:jc w:val="both"/>
        <w:sectPr>
          <w:headerReference w:type="default" r:id="rId138"/>
          <w:footerReference w:type="default" r:id="rId139"/>
          <w:pgSz w:w="11910" w:h="16840"/>
          <w:pgMar w:header="804" w:footer="1210" w:top="1080" w:bottom="1400" w:left="980" w:right="900"/>
        </w:sectPr>
      </w:pPr>
    </w:p>
    <w:p>
      <w:pPr>
        <w:pStyle w:val="BodyText"/>
        <w:spacing w:line="276" w:lineRule="auto" w:before="69"/>
        <w:ind w:left="458" w:right="529"/>
        <w:jc w:val="both"/>
      </w:pPr>
      <w:r>
        <w:rPr/>
        <w:t>sexually exploited youth;</w:t>
      </w:r>
      <w:hyperlink w:history="true" w:anchor="_bookmark101">
        <w:r>
          <w:rPr>
            <w:vertAlign w:val="superscript"/>
          </w:rPr>
          <w:t>146</w:t>
        </w:r>
      </w:hyperlink>
      <w:r>
        <w:rPr>
          <w:vertAlign w:val="baseline"/>
        </w:rPr>
        <w:t> training service providers on how to better support survivors of sexual exploitation is also key to ending stigma</w:t>
      </w:r>
      <w:hyperlink w:history="true" w:anchor="_bookmark101">
        <w:r>
          <w:rPr>
            <w:vertAlign w:val="baseline"/>
          </w:rPr>
          <w:t>.</w:t>
        </w:r>
        <w:r>
          <w:rPr>
            <w:vertAlign w:val="superscript"/>
          </w:rPr>
          <w:t>147</w:t>
        </w:r>
      </w:hyperlink>
      <w:r>
        <w:rPr>
          <w:vertAlign w:val="baseline"/>
        </w:rPr>
        <w:t> Instead of taking a carceral view of youth commercial sexual exploitation, a cultural shift must occur in how providers view survivors/victims of sexual exploitation and how victims/survivors are supported and connected with resources, rather than criminalized</w:t>
      </w:r>
      <w:r>
        <w:rPr>
          <w:spacing w:val="-3"/>
          <w:vertAlign w:val="baseline"/>
        </w:rPr>
        <w:t> </w:t>
      </w:r>
      <w:r>
        <w:rPr>
          <w:vertAlign w:val="baseline"/>
        </w:rPr>
        <w:t>and</w:t>
      </w:r>
      <w:r>
        <w:rPr>
          <w:spacing w:val="-4"/>
          <w:vertAlign w:val="baseline"/>
        </w:rPr>
        <w:t> </w:t>
      </w:r>
      <w:r>
        <w:rPr>
          <w:vertAlign w:val="baseline"/>
        </w:rPr>
        <w:t>punished</w:t>
      </w:r>
      <w:hyperlink w:history="true" w:anchor="_bookmark102">
        <w:r>
          <w:rPr>
            <w:vertAlign w:val="baseline"/>
          </w:rPr>
          <w:t>.</w:t>
        </w:r>
        <w:r>
          <w:rPr>
            <w:vertAlign w:val="superscript"/>
          </w:rPr>
          <w:t>148</w:t>
        </w:r>
      </w:hyperlink>
      <w:r>
        <w:rPr>
          <w:spacing w:val="-4"/>
          <w:vertAlign w:val="baseline"/>
        </w:rPr>
        <w:t> </w:t>
      </w:r>
      <w:r>
        <w:rPr>
          <w:vertAlign w:val="baseline"/>
        </w:rPr>
        <w:t>Furthermore,</w:t>
      </w:r>
      <w:r>
        <w:rPr>
          <w:spacing w:val="-5"/>
          <w:vertAlign w:val="baseline"/>
        </w:rPr>
        <w:t> </w:t>
      </w:r>
      <w:r>
        <w:rPr>
          <w:vertAlign w:val="baseline"/>
        </w:rPr>
        <w:t>it</w:t>
      </w:r>
      <w:r>
        <w:rPr>
          <w:spacing w:val="-4"/>
          <w:vertAlign w:val="baseline"/>
        </w:rPr>
        <w:t> </w:t>
      </w:r>
      <w:r>
        <w:rPr>
          <w:vertAlign w:val="baseline"/>
        </w:rPr>
        <w:t>is</w:t>
      </w:r>
      <w:r>
        <w:rPr>
          <w:spacing w:val="-4"/>
          <w:vertAlign w:val="baseline"/>
        </w:rPr>
        <w:t> </w:t>
      </w:r>
      <w:r>
        <w:rPr>
          <w:vertAlign w:val="baseline"/>
        </w:rPr>
        <w:t>important</w:t>
      </w:r>
      <w:r>
        <w:rPr>
          <w:spacing w:val="-4"/>
          <w:vertAlign w:val="baseline"/>
        </w:rPr>
        <w:t> </w:t>
      </w:r>
      <w:r>
        <w:rPr>
          <w:vertAlign w:val="baseline"/>
        </w:rPr>
        <w:t>to</w:t>
      </w:r>
      <w:r>
        <w:rPr>
          <w:spacing w:val="-3"/>
          <w:vertAlign w:val="baseline"/>
        </w:rPr>
        <w:t> </w:t>
      </w:r>
      <w:r>
        <w:rPr>
          <w:vertAlign w:val="baseline"/>
        </w:rPr>
        <w:t>involve</w:t>
      </w:r>
      <w:r>
        <w:rPr>
          <w:spacing w:val="-5"/>
          <w:vertAlign w:val="baseline"/>
        </w:rPr>
        <w:t> </w:t>
      </w:r>
      <w:r>
        <w:rPr>
          <w:vertAlign w:val="baseline"/>
        </w:rPr>
        <w:t>survivors/victims</w:t>
      </w:r>
      <w:r>
        <w:rPr>
          <w:spacing w:val="-3"/>
          <w:vertAlign w:val="baseline"/>
        </w:rPr>
        <w:t> </w:t>
      </w:r>
      <w:r>
        <w:rPr>
          <w:vertAlign w:val="baseline"/>
        </w:rPr>
        <w:t>in</w:t>
      </w:r>
      <w:r>
        <w:rPr>
          <w:spacing w:val="-4"/>
          <w:vertAlign w:val="baseline"/>
        </w:rPr>
        <w:t> </w:t>
      </w:r>
      <w:r>
        <w:rPr>
          <w:vertAlign w:val="baseline"/>
        </w:rPr>
        <w:t>intervention creation,</w:t>
      </w:r>
      <w:r>
        <w:rPr>
          <w:spacing w:val="-4"/>
          <w:vertAlign w:val="baseline"/>
        </w:rPr>
        <w:t> </w:t>
      </w:r>
      <w:r>
        <w:rPr>
          <w:vertAlign w:val="baseline"/>
        </w:rPr>
        <w:t>as</w:t>
      </w:r>
      <w:r>
        <w:rPr>
          <w:spacing w:val="-5"/>
          <w:vertAlign w:val="baseline"/>
        </w:rPr>
        <w:t> </w:t>
      </w:r>
      <w:r>
        <w:rPr>
          <w:vertAlign w:val="baseline"/>
        </w:rPr>
        <w:t>survivors/victims</w:t>
      </w:r>
      <w:r>
        <w:rPr>
          <w:spacing w:val="-5"/>
          <w:vertAlign w:val="baseline"/>
        </w:rPr>
        <w:t> </w:t>
      </w:r>
      <w:r>
        <w:rPr>
          <w:vertAlign w:val="baseline"/>
        </w:rPr>
        <w:t>have</w:t>
      </w:r>
      <w:r>
        <w:rPr>
          <w:spacing w:val="-4"/>
          <w:vertAlign w:val="baseline"/>
        </w:rPr>
        <w:t> </w:t>
      </w:r>
      <w:r>
        <w:rPr>
          <w:vertAlign w:val="baseline"/>
        </w:rPr>
        <w:t>largely</w:t>
      </w:r>
      <w:r>
        <w:rPr>
          <w:spacing w:val="-5"/>
          <w:vertAlign w:val="baseline"/>
        </w:rPr>
        <w:t> </w:t>
      </w:r>
      <w:r>
        <w:rPr>
          <w:vertAlign w:val="baseline"/>
        </w:rPr>
        <w:t>been</w:t>
      </w:r>
      <w:r>
        <w:rPr>
          <w:spacing w:val="-4"/>
          <w:vertAlign w:val="baseline"/>
        </w:rPr>
        <w:t> </w:t>
      </w:r>
      <w:r>
        <w:rPr>
          <w:vertAlign w:val="baseline"/>
        </w:rPr>
        <w:t>left</w:t>
      </w:r>
      <w:r>
        <w:rPr>
          <w:spacing w:val="-3"/>
          <w:vertAlign w:val="baseline"/>
        </w:rPr>
        <w:t> </w:t>
      </w:r>
      <w:r>
        <w:rPr>
          <w:vertAlign w:val="baseline"/>
        </w:rPr>
        <w:t>out</w:t>
      </w:r>
      <w:r>
        <w:rPr>
          <w:spacing w:val="-6"/>
          <w:vertAlign w:val="baseline"/>
        </w:rPr>
        <w:t> </w:t>
      </w:r>
      <w:r>
        <w:rPr>
          <w:vertAlign w:val="baseline"/>
        </w:rPr>
        <w:t>of</w:t>
      </w:r>
      <w:r>
        <w:rPr>
          <w:spacing w:val="-4"/>
          <w:vertAlign w:val="baseline"/>
        </w:rPr>
        <w:t> </w:t>
      </w:r>
      <w:r>
        <w:rPr>
          <w:vertAlign w:val="baseline"/>
        </w:rPr>
        <w:t>leadership</w:t>
      </w:r>
      <w:r>
        <w:rPr>
          <w:spacing w:val="-4"/>
          <w:vertAlign w:val="baseline"/>
        </w:rPr>
        <w:t> </w:t>
      </w:r>
      <w:r>
        <w:rPr>
          <w:vertAlign w:val="baseline"/>
        </w:rPr>
        <w:t>positions</w:t>
      </w:r>
      <w:r>
        <w:rPr>
          <w:spacing w:val="-5"/>
          <w:vertAlign w:val="baseline"/>
        </w:rPr>
        <w:t> </w:t>
      </w:r>
      <w:r>
        <w:rPr>
          <w:vertAlign w:val="baseline"/>
        </w:rPr>
        <w:t>and</w:t>
      </w:r>
      <w:r>
        <w:rPr>
          <w:spacing w:val="-4"/>
          <w:vertAlign w:val="baseline"/>
        </w:rPr>
        <w:t> </w:t>
      </w:r>
      <w:r>
        <w:rPr>
          <w:vertAlign w:val="baseline"/>
        </w:rPr>
        <w:t>have</w:t>
      </w:r>
      <w:r>
        <w:rPr>
          <w:spacing w:val="-4"/>
          <w:vertAlign w:val="baseline"/>
        </w:rPr>
        <w:t> </w:t>
      </w:r>
      <w:r>
        <w:rPr>
          <w:vertAlign w:val="baseline"/>
        </w:rPr>
        <w:t>been</w:t>
      </w:r>
      <w:r>
        <w:rPr>
          <w:spacing w:val="-6"/>
          <w:vertAlign w:val="baseline"/>
        </w:rPr>
        <w:t> </w:t>
      </w:r>
      <w:r>
        <w:rPr>
          <w:vertAlign w:val="baseline"/>
        </w:rPr>
        <w:t>further exploited as talking-points for organizations, rather than uplifted and supported</w:t>
      </w:r>
      <w:hyperlink w:history="true" w:anchor="_bookmark102">
        <w:r>
          <w:rPr>
            <w:vertAlign w:val="baseline"/>
          </w:rPr>
          <w:t>.</w:t>
        </w:r>
        <w:r>
          <w:rPr>
            <w:vertAlign w:val="superscript"/>
          </w:rPr>
          <w:t>149</w:t>
        </w:r>
      </w:hyperlink>
      <w:r>
        <w:rPr>
          <w:vertAlign w:val="baseline"/>
        </w:rPr>
        <w:t> Without considering the needs of victims/survivors, it will be impossible to create successful outreach </w:t>
      </w:r>
      <w:r>
        <w:rPr>
          <w:spacing w:val="-2"/>
          <w:vertAlign w:val="baseline"/>
        </w:rPr>
        <w:t>programs.</w:t>
      </w:r>
    </w:p>
    <w:p>
      <w:pPr>
        <w:spacing w:before="159"/>
        <w:ind w:left="458" w:right="0" w:firstLine="0"/>
        <w:jc w:val="both"/>
        <w:rPr>
          <w:sz w:val="28"/>
        </w:rPr>
      </w:pPr>
      <w:bookmarkStart w:name="Engaging LGBTQ Youth" w:id="230"/>
      <w:bookmarkEnd w:id="230"/>
      <w:r>
        <w:rPr/>
      </w:r>
      <w:r>
        <w:rPr>
          <w:color w:val="365F91"/>
          <w:sz w:val="28"/>
        </w:rPr>
        <w:t>Engaging</w:t>
      </w:r>
      <w:r>
        <w:rPr>
          <w:color w:val="365F91"/>
          <w:spacing w:val="-10"/>
          <w:sz w:val="28"/>
        </w:rPr>
        <w:t> </w:t>
      </w:r>
      <w:r>
        <w:rPr>
          <w:color w:val="365F91"/>
          <w:sz w:val="28"/>
        </w:rPr>
        <w:t>LGBTQ</w:t>
      </w:r>
      <w:r>
        <w:rPr>
          <w:color w:val="365F91"/>
          <w:spacing w:val="-10"/>
          <w:sz w:val="28"/>
        </w:rPr>
        <w:t> </w:t>
      </w:r>
      <w:r>
        <w:rPr>
          <w:color w:val="365F91"/>
          <w:spacing w:val="-2"/>
          <w:sz w:val="28"/>
        </w:rPr>
        <w:t>Youth</w:t>
      </w:r>
    </w:p>
    <w:p>
      <w:pPr>
        <w:pStyle w:val="BodyText"/>
        <w:spacing w:line="276" w:lineRule="auto" w:before="238"/>
        <w:ind w:left="458" w:right="533"/>
        <w:jc w:val="both"/>
      </w:pPr>
      <w:r>
        <w:rPr/>
        <w:t>LGBTQ</w:t>
      </w:r>
      <w:r>
        <w:rPr>
          <w:spacing w:val="-2"/>
        </w:rPr>
        <w:t> </w:t>
      </w:r>
      <w:r>
        <w:rPr/>
        <w:t>youth</w:t>
      </w:r>
      <w:r>
        <w:rPr>
          <w:spacing w:val="-1"/>
        </w:rPr>
        <w:t> </w:t>
      </w:r>
      <w:r>
        <w:rPr/>
        <w:t>have</w:t>
      </w:r>
      <w:r>
        <w:rPr>
          <w:spacing w:val="-2"/>
        </w:rPr>
        <w:t> </w:t>
      </w:r>
      <w:r>
        <w:rPr/>
        <w:t>a</w:t>
      </w:r>
      <w:r>
        <w:rPr>
          <w:spacing w:val="-2"/>
        </w:rPr>
        <w:t> </w:t>
      </w:r>
      <w:r>
        <w:rPr/>
        <w:t>right</w:t>
      </w:r>
      <w:r>
        <w:rPr>
          <w:spacing w:val="-1"/>
        </w:rPr>
        <w:t> </w:t>
      </w:r>
      <w:r>
        <w:rPr/>
        <w:t>to</w:t>
      </w:r>
      <w:r>
        <w:rPr>
          <w:spacing w:val="-1"/>
        </w:rPr>
        <w:t> </w:t>
      </w:r>
      <w:r>
        <w:rPr/>
        <w:t>be</w:t>
      </w:r>
      <w:r>
        <w:rPr>
          <w:spacing w:val="-2"/>
        </w:rPr>
        <w:t> </w:t>
      </w:r>
      <w:r>
        <w:rPr/>
        <w:t>involved</w:t>
      </w:r>
      <w:r>
        <w:rPr>
          <w:spacing w:val="-1"/>
        </w:rPr>
        <w:t> </w:t>
      </w:r>
      <w:r>
        <w:rPr/>
        <w:t>in</w:t>
      </w:r>
      <w:r>
        <w:rPr>
          <w:spacing w:val="-2"/>
        </w:rPr>
        <w:t> </w:t>
      </w:r>
      <w:r>
        <w:rPr/>
        <w:t>the</w:t>
      </w:r>
      <w:r>
        <w:rPr>
          <w:spacing w:val="-2"/>
        </w:rPr>
        <w:t> </w:t>
      </w:r>
      <w:r>
        <w:rPr/>
        <w:t>creation</w:t>
      </w:r>
      <w:r>
        <w:rPr>
          <w:spacing w:val="-2"/>
        </w:rPr>
        <w:t> </w:t>
      </w:r>
      <w:r>
        <w:rPr/>
        <w:t>of</w:t>
      </w:r>
      <w:r>
        <w:rPr>
          <w:spacing w:val="-2"/>
        </w:rPr>
        <w:t> </w:t>
      </w:r>
      <w:r>
        <w:rPr/>
        <w:t>the</w:t>
      </w:r>
      <w:r>
        <w:rPr>
          <w:spacing w:val="-2"/>
        </w:rPr>
        <w:t> </w:t>
      </w:r>
      <w:r>
        <w:rPr/>
        <w:t>programs</w:t>
      </w:r>
      <w:r>
        <w:rPr>
          <w:spacing w:val="-1"/>
        </w:rPr>
        <w:t> </w:t>
      </w:r>
      <w:r>
        <w:rPr/>
        <w:t>meant</w:t>
      </w:r>
      <w:r>
        <w:rPr>
          <w:spacing w:val="-1"/>
        </w:rPr>
        <w:t> </w:t>
      </w:r>
      <w:r>
        <w:rPr/>
        <w:t>to</w:t>
      </w:r>
      <w:r>
        <w:rPr>
          <w:spacing w:val="-1"/>
        </w:rPr>
        <w:t> </w:t>
      </w:r>
      <w:r>
        <w:rPr/>
        <w:t>support</w:t>
      </w:r>
      <w:r>
        <w:rPr>
          <w:spacing w:val="-1"/>
        </w:rPr>
        <w:t> </w:t>
      </w:r>
      <w:r>
        <w:rPr/>
        <w:t>their</w:t>
      </w:r>
      <w:r>
        <w:rPr>
          <w:spacing w:val="-2"/>
        </w:rPr>
        <w:t> </w:t>
      </w:r>
      <w:r>
        <w:rPr/>
        <w:t>well- being. No matter the public health issue, it is important that the voices and opinions of LGBTQ youth are</w:t>
      </w:r>
      <w:r>
        <w:rPr>
          <w:spacing w:val="-4"/>
        </w:rPr>
        <w:t> </w:t>
      </w:r>
      <w:r>
        <w:rPr/>
        <w:t>included</w:t>
      </w:r>
      <w:r>
        <w:rPr>
          <w:spacing w:val="-4"/>
        </w:rPr>
        <w:t> </w:t>
      </w:r>
      <w:r>
        <w:rPr/>
        <w:t>in</w:t>
      </w:r>
      <w:r>
        <w:rPr>
          <w:spacing w:val="-4"/>
        </w:rPr>
        <w:t> </w:t>
      </w:r>
      <w:r>
        <w:rPr/>
        <w:t>any</w:t>
      </w:r>
      <w:r>
        <w:rPr>
          <w:spacing w:val="-4"/>
        </w:rPr>
        <w:t> </w:t>
      </w:r>
      <w:r>
        <w:rPr/>
        <w:t>kind</w:t>
      </w:r>
      <w:r>
        <w:rPr>
          <w:spacing w:val="-4"/>
        </w:rPr>
        <w:t> </w:t>
      </w:r>
      <w:r>
        <w:rPr/>
        <w:t>of</w:t>
      </w:r>
      <w:r>
        <w:rPr>
          <w:spacing w:val="-4"/>
        </w:rPr>
        <w:t> </w:t>
      </w:r>
      <w:r>
        <w:rPr/>
        <w:t>program</w:t>
      </w:r>
      <w:r>
        <w:rPr>
          <w:spacing w:val="-4"/>
        </w:rPr>
        <w:t> </w:t>
      </w:r>
      <w:r>
        <w:rPr/>
        <w:t>development</w:t>
      </w:r>
      <w:r>
        <w:rPr>
          <w:spacing w:val="-4"/>
        </w:rPr>
        <w:t> </w:t>
      </w:r>
      <w:r>
        <w:rPr/>
        <w:t>and</w:t>
      </w:r>
      <w:r>
        <w:rPr>
          <w:spacing w:val="-4"/>
        </w:rPr>
        <w:t> </w:t>
      </w:r>
      <w:r>
        <w:rPr/>
        <w:t>implementation.</w:t>
      </w:r>
      <w:r>
        <w:rPr>
          <w:spacing w:val="-4"/>
        </w:rPr>
        <w:t> </w:t>
      </w:r>
      <w:r>
        <w:rPr/>
        <w:t>LGBTQ</w:t>
      </w:r>
      <w:r>
        <w:rPr>
          <w:spacing w:val="-3"/>
        </w:rPr>
        <w:t> </w:t>
      </w:r>
      <w:r>
        <w:rPr/>
        <w:t>youth</w:t>
      </w:r>
      <w:r>
        <w:rPr>
          <w:spacing w:val="-4"/>
        </w:rPr>
        <w:t> </w:t>
      </w:r>
      <w:r>
        <w:rPr/>
        <w:t>know</w:t>
      </w:r>
      <w:r>
        <w:rPr>
          <w:spacing w:val="-4"/>
        </w:rPr>
        <w:t> </w:t>
      </w:r>
      <w:r>
        <w:rPr/>
        <w:t>best</w:t>
      </w:r>
      <w:r>
        <w:rPr>
          <w:spacing w:val="-4"/>
        </w:rPr>
        <w:t> </w:t>
      </w:r>
      <w:r>
        <w:rPr/>
        <w:t>what resources</w:t>
      </w:r>
      <w:r>
        <w:rPr>
          <w:spacing w:val="-6"/>
        </w:rPr>
        <w:t> </w:t>
      </w:r>
      <w:r>
        <w:rPr/>
        <w:t>they</w:t>
      </w:r>
      <w:r>
        <w:rPr>
          <w:spacing w:val="-6"/>
        </w:rPr>
        <w:t> </w:t>
      </w:r>
      <w:r>
        <w:rPr/>
        <w:t>need</w:t>
      </w:r>
      <w:r>
        <w:rPr>
          <w:spacing w:val="-7"/>
        </w:rPr>
        <w:t> </w:t>
      </w:r>
      <w:r>
        <w:rPr/>
        <w:t>and</w:t>
      </w:r>
      <w:r>
        <w:rPr>
          <w:spacing w:val="-6"/>
        </w:rPr>
        <w:t> </w:t>
      </w:r>
      <w:r>
        <w:rPr/>
        <w:t>how</w:t>
      </w:r>
      <w:r>
        <w:rPr>
          <w:spacing w:val="-6"/>
        </w:rPr>
        <w:t> </w:t>
      </w:r>
      <w:r>
        <w:rPr/>
        <w:t>they</w:t>
      </w:r>
      <w:r>
        <w:rPr>
          <w:spacing w:val="-5"/>
        </w:rPr>
        <w:t> </w:t>
      </w:r>
      <w:r>
        <w:rPr/>
        <w:t>can</w:t>
      </w:r>
      <w:r>
        <w:rPr>
          <w:spacing w:val="-4"/>
        </w:rPr>
        <w:t> </w:t>
      </w:r>
      <w:r>
        <w:rPr/>
        <w:t>best</w:t>
      </w:r>
      <w:r>
        <w:rPr>
          <w:spacing w:val="-6"/>
        </w:rPr>
        <w:t> </w:t>
      </w:r>
      <w:r>
        <w:rPr/>
        <w:t>be</w:t>
      </w:r>
      <w:r>
        <w:rPr>
          <w:spacing w:val="-7"/>
        </w:rPr>
        <w:t> </w:t>
      </w:r>
      <w:r>
        <w:rPr/>
        <w:t>supported,</w:t>
      </w:r>
      <w:r>
        <w:rPr>
          <w:spacing w:val="-6"/>
        </w:rPr>
        <w:t> </w:t>
      </w:r>
      <w:r>
        <w:rPr/>
        <w:t>oftentimes</w:t>
      </w:r>
      <w:r>
        <w:rPr>
          <w:spacing w:val="-6"/>
        </w:rPr>
        <w:t> </w:t>
      </w:r>
      <w:r>
        <w:rPr/>
        <w:t>more</w:t>
      </w:r>
      <w:r>
        <w:rPr>
          <w:spacing w:val="-5"/>
        </w:rPr>
        <w:t> </w:t>
      </w:r>
      <w:r>
        <w:rPr/>
        <w:t>so</w:t>
      </w:r>
      <w:r>
        <w:rPr>
          <w:spacing w:val="-5"/>
        </w:rPr>
        <w:t> </w:t>
      </w:r>
      <w:r>
        <w:rPr/>
        <w:t>than</w:t>
      </w:r>
      <w:r>
        <w:rPr>
          <w:spacing w:val="-6"/>
        </w:rPr>
        <w:t> </w:t>
      </w:r>
      <w:r>
        <w:rPr/>
        <w:t>the</w:t>
      </w:r>
      <w:r>
        <w:rPr>
          <w:spacing w:val="-5"/>
        </w:rPr>
        <w:t> </w:t>
      </w:r>
      <w:r>
        <w:rPr/>
        <w:t>adults</w:t>
      </w:r>
      <w:r>
        <w:rPr>
          <w:spacing w:val="-6"/>
        </w:rPr>
        <w:t> </w:t>
      </w:r>
      <w:r>
        <w:rPr/>
        <w:t>in</w:t>
      </w:r>
      <w:r>
        <w:rPr>
          <w:spacing w:val="-6"/>
        </w:rPr>
        <w:t> </w:t>
      </w:r>
      <w:r>
        <w:rPr/>
        <w:t>their lives who may be unaware or uninformed about the issues faced by LGBTQ youth</w:t>
      </w:r>
      <w:hyperlink w:history="true" w:anchor="_bookmark102">
        <w:r>
          <w:rPr/>
          <w:t>.</w:t>
        </w:r>
        <w:r>
          <w:rPr>
            <w:vertAlign w:val="superscript"/>
          </w:rPr>
          <w:t>150</w:t>
        </w:r>
      </w:hyperlink>
      <w:r>
        <w:rPr>
          <w:vertAlign w:val="baseline"/>
        </w:rPr>
        <w:t> Peer health education programs, whether for dating violence, substance use, or bullying, have been highly successful</w:t>
      </w:r>
      <w:hyperlink w:history="true" w:anchor="_bookmark102">
        <w:r>
          <w:rPr>
            <w:vertAlign w:val="baseline"/>
          </w:rPr>
          <w:t>.</w:t>
        </w:r>
        <w:r>
          <w:rPr>
            <w:vertAlign w:val="superscript"/>
          </w:rPr>
          <w:t>151</w:t>
        </w:r>
      </w:hyperlink>
      <w:r>
        <w:rPr>
          <w:vertAlign w:val="baseline"/>
        </w:rPr>
        <w:t> Peer education finds its success in the fact that peer-to-peer education is often less awkward, and peer educators understand the current social, cultural, and political landscape that youths navigate on a day-to-day basis.</w:t>
      </w:r>
      <w:hyperlink w:history="true" w:anchor="_bookmark102">
        <w:r>
          <w:rPr>
            <w:vertAlign w:val="superscript"/>
          </w:rPr>
          <w:t>152</w:t>
        </w:r>
      </w:hyperlink>
      <w:r>
        <w:rPr>
          <w:vertAlign w:val="baseline"/>
        </w:rPr>
        <w:t> Beyond peer support, peer education programs and youth- led advocacy allow peer health educators to become content experts for a particular public health topic,</w:t>
      </w:r>
      <w:r>
        <w:rPr>
          <w:spacing w:val="-11"/>
          <w:vertAlign w:val="baseline"/>
        </w:rPr>
        <w:t> </w:t>
      </w:r>
      <w:r>
        <w:rPr>
          <w:vertAlign w:val="baseline"/>
        </w:rPr>
        <w:t>increase</w:t>
      </w:r>
      <w:r>
        <w:rPr>
          <w:spacing w:val="-12"/>
          <w:vertAlign w:val="baseline"/>
        </w:rPr>
        <w:t> </w:t>
      </w:r>
      <w:r>
        <w:rPr>
          <w:vertAlign w:val="baseline"/>
        </w:rPr>
        <w:t>communication</w:t>
      </w:r>
      <w:r>
        <w:rPr>
          <w:spacing w:val="-12"/>
          <w:vertAlign w:val="baseline"/>
        </w:rPr>
        <w:t> </w:t>
      </w:r>
      <w:r>
        <w:rPr>
          <w:vertAlign w:val="baseline"/>
        </w:rPr>
        <w:t>with</w:t>
      </w:r>
      <w:r>
        <w:rPr>
          <w:spacing w:val="-12"/>
          <w:vertAlign w:val="baseline"/>
        </w:rPr>
        <w:t> </w:t>
      </w:r>
      <w:r>
        <w:rPr>
          <w:vertAlign w:val="baseline"/>
        </w:rPr>
        <w:t>parents</w:t>
      </w:r>
      <w:r>
        <w:rPr>
          <w:spacing w:val="-11"/>
          <w:vertAlign w:val="baseline"/>
        </w:rPr>
        <w:t> </w:t>
      </w:r>
      <w:r>
        <w:rPr>
          <w:vertAlign w:val="baseline"/>
        </w:rPr>
        <w:t>and</w:t>
      </w:r>
      <w:r>
        <w:rPr>
          <w:spacing w:val="-10"/>
          <w:vertAlign w:val="baseline"/>
        </w:rPr>
        <w:t> </w:t>
      </w:r>
      <w:r>
        <w:rPr>
          <w:vertAlign w:val="baseline"/>
        </w:rPr>
        <w:t>other</w:t>
      </w:r>
      <w:r>
        <w:rPr>
          <w:spacing w:val="-11"/>
          <w:vertAlign w:val="baseline"/>
        </w:rPr>
        <w:t> </w:t>
      </w:r>
      <w:r>
        <w:rPr>
          <w:vertAlign w:val="baseline"/>
        </w:rPr>
        <w:t>adults,</w:t>
      </w:r>
      <w:r>
        <w:rPr>
          <w:spacing w:val="-11"/>
          <w:vertAlign w:val="baseline"/>
        </w:rPr>
        <w:t> </w:t>
      </w:r>
      <w:r>
        <w:rPr>
          <w:vertAlign w:val="baseline"/>
        </w:rPr>
        <w:t>and</w:t>
      </w:r>
      <w:r>
        <w:rPr>
          <w:spacing w:val="-10"/>
          <w:vertAlign w:val="baseline"/>
        </w:rPr>
        <w:t> </w:t>
      </w:r>
      <w:r>
        <w:rPr>
          <w:vertAlign w:val="baseline"/>
        </w:rPr>
        <w:t>inspire</w:t>
      </w:r>
      <w:r>
        <w:rPr>
          <w:spacing w:val="-12"/>
          <w:vertAlign w:val="baseline"/>
        </w:rPr>
        <w:t> </w:t>
      </w:r>
      <w:r>
        <w:rPr>
          <w:vertAlign w:val="baseline"/>
        </w:rPr>
        <w:t>peer</w:t>
      </w:r>
      <w:r>
        <w:rPr>
          <w:spacing w:val="-11"/>
          <w:vertAlign w:val="baseline"/>
        </w:rPr>
        <w:t> </w:t>
      </w:r>
      <w:r>
        <w:rPr>
          <w:vertAlign w:val="baseline"/>
        </w:rPr>
        <w:t>educators</w:t>
      </w:r>
      <w:r>
        <w:rPr>
          <w:spacing w:val="-11"/>
          <w:vertAlign w:val="baseline"/>
        </w:rPr>
        <w:t> </w:t>
      </w:r>
      <w:r>
        <w:rPr>
          <w:vertAlign w:val="baseline"/>
        </w:rPr>
        <w:t>to</w:t>
      </w:r>
      <w:r>
        <w:rPr>
          <w:spacing w:val="-10"/>
          <w:vertAlign w:val="baseline"/>
        </w:rPr>
        <w:t> </w:t>
      </w:r>
      <w:r>
        <w:rPr>
          <w:vertAlign w:val="baseline"/>
        </w:rPr>
        <w:t>play</w:t>
      </w:r>
      <w:r>
        <w:rPr>
          <w:spacing w:val="-11"/>
          <w:vertAlign w:val="baseline"/>
        </w:rPr>
        <w:t> </w:t>
      </w:r>
      <w:r>
        <w:rPr>
          <w:vertAlign w:val="baseline"/>
        </w:rPr>
        <w:t>a</w:t>
      </w:r>
      <w:r>
        <w:rPr>
          <w:spacing w:val="-11"/>
          <w:vertAlign w:val="baseline"/>
        </w:rPr>
        <w:t> </w:t>
      </w:r>
      <w:r>
        <w:rPr>
          <w:vertAlign w:val="baseline"/>
        </w:rPr>
        <w:t>role in their community’s long-term wellness</w:t>
      </w:r>
      <w:hyperlink w:history="true" w:anchor="_bookmark102">
        <w:r>
          <w:rPr>
            <w:vertAlign w:val="baseline"/>
          </w:rPr>
          <w:t>.</w:t>
        </w:r>
        <w:r>
          <w:rPr>
            <w:vertAlign w:val="superscript"/>
          </w:rPr>
          <w:t>153</w:t>
        </w:r>
      </w:hyperlink>
    </w:p>
    <w:p>
      <w:pPr>
        <w:pStyle w:val="BodyText"/>
        <w:spacing w:line="276" w:lineRule="auto" w:before="240"/>
        <w:ind w:left="458" w:right="533"/>
        <w:jc w:val="both"/>
      </w:pPr>
      <w:r>
        <w:rPr/>
        <w:t>There</w:t>
      </w:r>
      <w:r>
        <w:rPr>
          <w:spacing w:val="-13"/>
        </w:rPr>
        <w:t> </w:t>
      </w:r>
      <w:r>
        <w:rPr/>
        <w:t>are</w:t>
      </w:r>
      <w:r>
        <w:rPr>
          <w:spacing w:val="-12"/>
        </w:rPr>
        <w:t> </w:t>
      </w:r>
      <w:r>
        <w:rPr/>
        <w:t>already</w:t>
      </w:r>
      <w:r>
        <w:rPr>
          <w:spacing w:val="-13"/>
        </w:rPr>
        <w:t> </w:t>
      </w:r>
      <w:r>
        <w:rPr/>
        <w:t>a</w:t>
      </w:r>
      <w:r>
        <w:rPr>
          <w:spacing w:val="-12"/>
        </w:rPr>
        <w:t> </w:t>
      </w:r>
      <w:r>
        <w:rPr/>
        <w:t>number</w:t>
      </w:r>
      <w:r>
        <w:rPr>
          <w:spacing w:val="-13"/>
        </w:rPr>
        <w:t> </w:t>
      </w:r>
      <w:r>
        <w:rPr/>
        <w:t>of</w:t>
      </w:r>
      <w:r>
        <w:rPr>
          <w:spacing w:val="-12"/>
        </w:rPr>
        <w:t> </w:t>
      </w:r>
      <w:r>
        <w:rPr/>
        <w:t>models</w:t>
      </w:r>
      <w:r>
        <w:rPr>
          <w:spacing w:val="-13"/>
        </w:rPr>
        <w:t> </w:t>
      </w:r>
      <w:r>
        <w:rPr/>
        <w:t>for</w:t>
      </w:r>
      <w:r>
        <w:rPr>
          <w:spacing w:val="-12"/>
        </w:rPr>
        <w:t> </w:t>
      </w:r>
      <w:r>
        <w:rPr/>
        <w:t>incorporating</w:t>
      </w:r>
      <w:r>
        <w:rPr>
          <w:spacing w:val="-12"/>
        </w:rPr>
        <w:t> </w:t>
      </w:r>
      <w:r>
        <w:rPr/>
        <w:t>youths</w:t>
      </w:r>
      <w:r>
        <w:rPr>
          <w:spacing w:val="-13"/>
        </w:rPr>
        <w:t> </w:t>
      </w:r>
      <w:r>
        <w:rPr/>
        <w:t>into</w:t>
      </w:r>
      <w:r>
        <w:rPr>
          <w:spacing w:val="-12"/>
        </w:rPr>
        <w:t> </w:t>
      </w:r>
      <w:r>
        <w:rPr/>
        <w:t>advocacy</w:t>
      </w:r>
      <w:r>
        <w:rPr>
          <w:spacing w:val="-13"/>
        </w:rPr>
        <w:t> </w:t>
      </w:r>
      <w:r>
        <w:rPr/>
        <w:t>efforts,</w:t>
      </w:r>
      <w:r>
        <w:rPr>
          <w:spacing w:val="-12"/>
        </w:rPr>
        <w:t> </w:t>
      </w:r>
      <w:r>
        <w:rPr/>
        <w:t>from</w:t>
      </w:r>
      <w:r>
        <w:rPr>
          <w:spacing w:val="-13"/>
        </w:rPr>
        <w:t> </w:t>
      </w:r>
      <w:r>
        <w:rPr/>
        <w:t>peer</w:t>
      </w:r>
      <w:r>
        <w:rPr>
          <w:spacing w:val="-12"/>
        </w:rPr>
        <w:t> </w:t>
      </w:r>
      <w:r>
        <w:rPr/>
        <w:t>health education</w:t>
      </w:r>
      <w:r>
        <w:rPr>
          <w:spacing w:val="-4"/>
        </w:rPr>
        <w:t> </w:t>
      </w:r>
      <w:r>
        <w:rPr/>
        <w:t>programs</w:t>
      </w:r>
      <w:r>
        <w:rPr>
          <w:spacing w:val="-3"/>
        </w:rPr>
        <w:t> </w:t>
      </w:r>
      <w:r>
        <w:rPr/>
        <w:t>to</w:t>
      </w:r>
      <w:r>
        <w:rPr>
          <w:spacing w:val="-3"/>
        </w:rPr>
        <w:t> </w:t>
      </w:r>
      <w:r>
        <w:rPr/>
        <w:t>youth</w:t>
      </w:r>
      <w:r>
        <w:rPr>
          <w:spacing w:val="-4"/>
        </w:rPr>
        <w:t> </w:t>
      </w:r>
      <w:r>
        <w:rPr/>
        <w:t>representatives</w:t>
      </w:r>
      <w:r>
        <w:rPr>
          <w:spacing w:val="-3"/>
        </w:rPr>
        <w:t> </w:t>
      </w:r>
      <w:r>
        <w:rPr/>
        <w:t>and</w:t>
      </w:r>
      <w:r>
        <w:rPr>
          <w:spacing w:val="-4"/>
        </w:rPr>
        <w:t> </w:t>
      </w:r>
      <w:r>
        <w:rPr/>
        <w:t>councils</w:t>
      </w:r>
      <w:hyperlink w:history="true" w:anchor="_bookmark102">
        <w:r>
          <w:rPr/>
          <w:t>.</w:t>
        </w:r>
        <w:r>
          <w:rPr>
            <w:vertAlign w:val="superscript"/>
          </w:rPr>
          <w:t>154</w:t>
        </w:r>
      </w:hyperlink>
      <w:r>
        <w:rPr>
          <w:spacing w:val="-4"/>
          <w:vertAlign w:val="baseline"/>
        </w:rPr>
        <w:t> </w:t>
      </w:r>
      <w:r>
        <w:rPr>
          <w:vertAlign w:val="baseline"/>
        </w:rPr>
        <w:t>For</w:t>
      </w:r>
      <w:r>
        <w:rPr>
          <w:spacing w:val="-2"/>
          <w:vertAlign w:val="baseline"/>
        </w:rPr>
        <w:t> </w:t>
      </w:r>
      <w:r>
        <w:rPr>
          <w:vertAlign w:val="baseline"/>
        </w:rPr>
        <w:t>example,</w:t>
      </w:r>
      <w:r>
        <w:rPr>
          <w:spacing w:val="-2"/>
          <w:vertAlign w:val="baseline"/>
        </w:rPr>
        <w:t> </w:t>
      </w:r>
      <w:r>
        <w:rPr>
          <w:vertAlign w:val="baseline"/>
        </w:rPr>
        <w:t>the</w:t>
      </w:r>
      <w:r>
        <w:rPr>
          <w:spacing w:val="-3"/>
          <w:vertAlign w:val="baseline"/>
        </w:rPr>
        <w:t> </w:t>
      </w:r>
      <w:r>
        <w:rPr>
          <w:vertAlign w:val="baseline"/>
        </w:rPr>
        <w:t>International</w:t>
      </w:r>
      <w:r>
        <w:rPr>
          <w:spacing w:val="-3"/>
          <w:vertAlign w:val="baseline"/>
        </w:rPr>
        <w:t> </w:t>
      </w:r>
      <w:r>
        <w:rPr>
          <w:vertAlign w:val="baseline"/>
        </w:rPr>
        <w:t>Planned Parenthood Federation passed a resolution in 2001 that strongly encouraged member organizations to aim for at least 20% youth participation in their leadership structures.</w:t>
      </w:r>
      <w:r>
        <w:rPr>
          <w:vertAlign w:val="superscript"/>
        </w:rPr>
        <w:t>155</w:t>
      </w:r>
      <w:r>
        <w:rPr>
          <w:vertAlign w:val="baseline"/>
        </w:rPr>
        <w:t> Across Massachusetts, some</w:t>
      </w:r>
      <w:r>
        <w:rPr>
          <w:spacing w:val="-7"/>
          <w:vertAlign w:val="baseline"/>
        </w:rPr>
        <w:t> </w:t>
      </w:r>
      <w:r>
        <w:rPr>
          <w:vertAlign w:val="baseline"/>
        </w:rPr>
        <w:t>examples</w:t>
      </w:r>
      <w:r>
        <w:rPr>
          <w:spacing w:val="-6"/>
          <w:vertAlign w:val="baseline"/>
        </w:rPr>
        <w:t> </w:t>
      </w:r>
      <w:r>
        <w:rPr>
          <w:vertAlign w:val="baseline"/>
        </w:rPr>
        <w:t>-</w:t>
      </w:r>
      <w:r>
        <w:rPr>
          <w:spacing w:val="-7"/>
          <w:vertAlign w:val="baseline"/>
        </w:rPr>
        <w:t> </w:t>
      </w:r>
      <w:r>
        <w:rPr>
          <w:vertAlign w:val="baseline"/>
        </w:rPr>
        <w:t>though</w:t>
      </w:r>
      <w:r>
        <w:rPr>
          <w:spacing w:val="-7"/>
          <w:vertAlign w:val="baseline"/>
        </w:rPr>
        <w:t> </w:t>
      </w:r>
      <w:r>
        <w:rPr>
          <w:vertAlign w:val="baseline"/>
        </w:rPr>
        <w:t>not</w:t>
      </w:r>
      <w:r>
        <w:rPr>
          <w:spacing w:val="-7"/>
          <w:vertAlign w:val="baseline"/>
        </w:rPr>
        <w:t> </w:t>
      </w:r>
      <w:r>
        <w:rPr>
          <w:vertAlign w:val="baseline"/>
        </w:rPr>
        <w:t>the</w:t>
      </w:r>
      <w:r>
        <w:rPr>
          <w:spacing w:val="-7"/>
          <w:vertAlign w:val="baseline"/>
        </w:rPr>
        <w:t> </w:t>
      </w:r>
      <w:r>
        <w:rPr>
          <w:vertAlign w:val="baseline"/>
        </w:rPr>
        <w:t>only</w:t>
      </w:r>
      <w:r>
        <w:rPr>
          <w:spacing w:val="-6"/>
          <w:vertAlign w:val="baseline"/>
        </w:rPr>
        <w:t> </w:t>
      </w:r>
      <w:r>
        <w:rPr>
          <w:vertAlign w:val="baseline"/>
        </w:rPr>
        <w:t>-</w:t>
      </w:r>
      <w:r>
        <w:rPr>
          <w:spacing w:val="-5"/>
          <w:vertAlign w:val="baseline"/>
        </w:rPr>
        <w:t> </w:t>
      </w:r>
      <w:r>
        <w:rPr>
          <w:vertAlign w:val="baseline"/>
        </w:rPr>
        <w:t>of</w:t>
      </w:r>
      <w:r>
        <w:rPr>
          <w:spacing w:val="-6"/>
          <w:vertAlign w:val="baseline"/>
        </w:rPr>
        <w:t> </w:t>
      </w:r>
      <w:r>
        <w:rPr>
          <w:vertAlign w:val="baseline"/>
        </w:rPr>
        <w:t>this</w:t>
      </w:r>
      <w:r>
        <w:rPr>
          <w:spacing w:val="-6"/>
          <w:vertAlign w:val="baseline"/>
        </w:rPr>
        <w:t> </w:t>
      </w:r>
      <w:r>
        <w:rPr>
          <w:vertAlign w:val="baseline"/>
        </w:rPr>
        <w:t>model</w:t>
      </w:r>
      <w:r>
        <w:rPr>
          <w:spacing w:val="-5"/>
          <w:vertAlign w:val="baseline"/>
        </w:rPr>
        <w:t> </w:t>
      </w:r>
      <w:r>
        <w:rPr>
          <w:vertAlign w:val="baseline"/>
        </w:rPr>
        <w:t>would</w:t>
      </w:r>
      <w:r>
        <w:rPr>
          <w:spacing w:val="-7"/>
          <w:vertAlign w:val="baseline"/>
        </w:rPr>
        <w:t> </w:t>
      </w:r>
      <w:r>
        <w:rPr>
          <w:vertAlign w:val="baseline"/>
        </w:rPr>
        <w:t>be</w:t>
      </w:r>
      <w:r>
        <w:rPr>
          <w:spacing w:val="-6"/>
          <w:vertAlign w:val="baseline"/>
        </w:rPr>
        <w:t> </w:t>
      </w:r>
      <w:r>
        <w:rPr>
          <w:vertAlign w:val="baseline"/>
        </w:rPr>
        <w:t>the</w:t>
      </w:r>
      <w:r>
        <w:rPr>
          <w:spacing w:val="-6"/>
          <w:vertAlign w:val="baseline"/>
        </w:rPr>
        <w:t> </w:t>
      </w:r>
      <w:r>
        <w:rPr>
          <w:vertAlign w:val="baseline"/>
        </w:rPr>
        <w:t>Start</w:t>
      </w:r>
      <w:r>
        <w:rPr>
          <w:spacing w:val="-7"/>
          <w:vertAlign w:val="baseline"/>
        </w:rPr>
        <w:t> </w:t>
      </w:r>
      <w:r>
        <w:rPr>
          <w:vertAlign w:val="baseline"/>
        </w:rPr>
        <w:t>Strong</w:t>
      </w:r>
      <w:r>
        <w:rPr>
          <w:spacing w:val="-7"/>
          <w:vertAlign w:val="baseline"/>
        </w:rPr>
        <w:t> </w:t>
      </w:r>
      <w:r>
        <w:rPr>
          <w:vertAlign w:val="baseline"/>
        </w:rPr>
        <w:t>program</w:t>
      </w:r>
      <w:r>
        <w:rPr>
          <w:spacing w:val="-7"/>
          <w:vertAlign w:val="baseline"/>
        </w:rPr>
        <w:t> </w:t>
      </w:r>
      <w:r>
        <w:rPr>
          <w:vertAlign w:val="baseline"/>
        </w:rPr>
        <w:t>hosted</w:t>
      </w:r>
      <w:r>
        <w:rPr>
          <w:spacing w:val="-7"/>
          <w:vertAlign w:val="baseline"/>
        </w:rPr>
        <w:t> </w:t>
      </w:r>
      <w:r>
        <w:rPr>
          <w:vertAlign w:val="baseline"/>
        </w:rPr>
        <w:t>by</w:t>
      </w:r>
      <w:r>
        <w:rPr>
          <w:spacing w:val="-6"/>
          <w:vertAlign w:val="baseline"/>
        </w:rPr>
        <w:t> </w:t>
      </w:r>
      <w:r>
        <w:rPr>
          <w:vertAlign w:val="baseline"/>
        </w:rPr>
        <w:t>the Boston</w:t>
      </w:r>
      <w:r>
        <w:rPr>
          <w:spacing w:val="-13"/>
          <w:vertAlign w:val="baseline"/>
        </w:rPr>
        <w:t> </w:t>
      </w:r>
      <w:r>
        <w:rPr>
          <w:vertAlign w:val="baseline"/>
        </w:rPr>
        <w:t>Public</w:t>
      </w:r>
      <w:r>
        <w:rPr>
          <w:spacing w:val="-12"/>
          <w:vertAlign w:val="baseline"/>
        </w:rPr>
        <w:t> </w:t>
      </w:r>
      <w:r>
        <w:rPr>
          <w:vertAlign w:val="baseline"/>
        </w:rPr>
        <w:t>Health</w:t>
      </w:r>
      <w:r>
        <w:rPr>
          <w:spacing w:val="-13"/>
          <w:vertAlign w:val="baseline"/>
        </w:rPr>
        <w:t> </w:t>
      </w:r>
      <w:r>
        <w:rPr>
          <w:vertAlign w:val="baseline"/>
        </w:rPr>
        <w:t>Commission,</w:t>
      </w:r>
      <w:r>
        <w:rPr>
          <w:spacing w:val="-12"/>
          <w:vertAlign w:val="baseline"/>
        </w:rPr>
        <w:t> </w:t>
      </w:r>
      <w:r>
        <w:rPr>
          <w:vertAlign w:val="baseline"/>
        </w:rPr>
        <w:t>a</w:t>
      </w:r>
      <w:r>
        <w:rPr>
          <w:spacing w:val="-13"/>
          <w:vertAlign w:val="baseline"/>
        </w:rPr>
        <w:t> </w:t>
      </w:r>
      <w:r>
        <w:rPr>
          <w:vertAlign w:val="baseline"/>
        </w:rPr>
        <w:t>high</w:t>
      </w:r>
      <w:r>
        <w:rPr>
          <w:spacing w:val="-12"/>
          <w:vertAlign w:val="baseline"/>
        </w:rPr>
        <w:t> </w:t>
      </w:r>
      <w:r>
        <w:rPr>
          <w:vertAlign w:val="baseline"/>
        </w:rPr>
        <w:t>school</w:t>
      </w:r>
      <w:r>
        <w:rPr>
          <w:spacing w:val="-13"/>
          <w:vertAlign w:val="baseline"/>
        </w:rPr>
        <w:t> </w:t>
      </w:r>
      <w:r>
        <w:rPr>
          <w:vertAlign w:val="baseline"/>
        </w:rPr>
        <w:t>peer</w:t>
      </w:r>
      <w:r>
        <w:rPr>
          <w:spacing w:val="-12"/>
          <w:vertAlign w:val="baseline"/>
        </w:rPr>
        <w:t> </w:t>
      </w:r>
      <w:r>
        <w:rPr>
          <w:vertAlign w:val="baseline"/>
        </w:rPr>
        <w:t>leadership</w:t>
      </w:r>
      <w:r>
        <w:rPr>
          <w:spacing w:val="-12"/>
          <w:vertAlign w:val="baseline"/>
        </w:rPr>
        <w:t> </w:t>
      </w:r>
      <w:r>
        <w:rPr>
          <w:vertAlign w:val="baseline"/>
        </w:rPr>
        <w:t>program</w:t>
      </w:r>
      <w:r>
        <w:rPr>
          <w:spacing w:val="-13"/>
          <w:vertAlign w:val="baseline"/>
        </w:rPr>
        <w:t> </w:t>
      </w:r>
      <w:r>
        <w:rPr>
          <w:vertAlign w:val="baseline"/>
        </w:rPr>
        <w:t>designed</w:t>
      </w:r>
      <w:r>
        <w:rPr>
          <w:spacing w:val="-12"/>
          <w:vertAlign w:val="baseline"/>
        </w:rPr>
        <w:t> </w:t>
      </w:r>
      <w:r>
        <w:rPr>
          <w:vertAlign w:val="baseline"/>
        </w:rPr>
        <w:t>to</w:t>
      </w:r>
      <w:r>
        <w:rPr>
          <w:spacing w:val="-13"/>
          <w:vertAlign w:val="baseline"/>
        </w:rPr>
        <w:t> </w:t>
      </w:r>
      <w:r>
        <w:rPr>
          <w:vertAlign w:val="baseline"/>
        </w:rPr>
        <w:t>promote</w:t>
      </w:r>
      <w:r>
        <w:rPr>
          <w:spacing w:val="-12"/>
          <w:vertAlign w:val="baseline"/>
        </w:rPr>
        <w:t> </w:t>
      </w:r>
      <w:r>
        <w:rPr>
          <w:vertAlign w:val="baseline"/>
        </w:rPr>
        <w:t>healthy relationships and change attitudes towards teen dating violence through peer education. </w:t>
      </w:r>
      <w:r>
        <w:rPr>
          <w:vertAlign w:val="superscript"/>
        </w:rPr>
        <w:t>156</w:t>
      </w:r>
      <w:r>
        <w:rPr>
          <w:vertAlign w:val="baseline"/>
        </w:rPr>
        <w:t> Advocates</w:t>
      </w:r>
      <w:r>
        <w:rPr>
          <w:spacing w:val="-13"/>
          <w:vertAlign w:val="baseline"/>
        </w:rPr>
        <w:t> </w:t>
      </w:r>
      <w:r>
        <w:rPr>
          <w:vertAlign w:val="baseline"/>
        </w:rPr>
        <w:t>for</w:t>
      </w:r>
      <w:r>
        <w:rPr>
          <w:spacing w:val="-12"/>
          <w:vertAlign w:val="baseline"/>
        </w:rPr>
        <w:t> </w:t>
      </w:r>
      <w:r>
        <w:rPr>
          <w:vertAlign w:val="baseline"/>
        </w:rPr>
        <w:t>Youth,</w:t>
      </w:r>
      <w:r>
        <w:rPr>
          <w:spacing w:val="-13"/>
          <w:vertAlign w:val="baseline"/>
        </w:rPr>
        <w:t> </w:t>
      </w:r>
      <w:r>
        <w:rPr>
          <w:vertAlign w:val="baseline"/>
        </w:rPr>
        <w:t>a</w:t>
      </w:r>
      <w:r>
        <w:rPr>
          <w:spacing w:val="-12"/>
          <w:vertAlign w:val="baseline"/>
        </w:rPr>
        <w:t> </w:t>
      </w:r>
      <w:r>
        <w:rPr>
          <w:vertAlign w:val="baseline"/>
        </w:rPr>
        <w:t>youth-led</w:t>
      </w:r>
      <w:r>
        <w:rPr>
          <w:spacing w:val="-13"/>
          <w:vertAlign w:val="baseline"/>
        </w:rPr>
        <w:t> </w:t>
      </w:r>
      <w:r>
        <w:rPr>
          <w:vertAlign w:val="baseline"/>
        </w:rPr>
        <w:t>and</w:t>
      </w:r>
      <w:r>
        <w:rPr>
          <w:spacing w:val="-12"/>
          <w:vertAlign w:val="baseline"/>
        </w:rPr>
        <w:t> </w:t>
      </w:r>
      <w:r>
        <w:rPr>
          <w:vertAlign w:val="baseline"/>
        </w:rPr>
        <w:t>adult-supported</w:t>
      </w:r>
      <w:r>
        <w:rPr>
          <w:spacing w:val="-13"/>
          <w:vertAlign w:val="baseline"/>
        </w:rPr>
        <w:t> </w:t>
      </w:r>
      <w:r>
        <w:rPr>
          <w:vertAlign w:val="baseline"/>
        </w:rPr>
        <w:t>sexual</w:t>
      </w:r>
      <w:r>
        <w:rPr>
          <w:spacing w:val="-12"/>
          <w:vertAlign w:val="baseline"/>
        </w:rPr>
        <w:t> </w:t>
      </w:r>
      <w:r>
        <w:rPr>
          <w:vertAlign w:val="baseline"/>
        </w:rPr>
        <w:t>health</w:t>
      </w:r>
      <w:r>
        <w:rPr>
          <w:spacing w:val="-12"/>
          <w:vertAlign w:val="baseline"/>
        </w:rPr>
        <w:t> </w:t>
      </w:r>
      <w:r>
        <w:rPr>
          <w:vertAlign w:val="baseline"/>
        </w:rPr>
        <w:t>and</w:t>
      </w:r>
      <w:r>
        <w:rPr>
          <w:spacing w:val="-13"/>
          <w:vertAlign w:val="baseline"/>
        </w:rPr>
        <w:t> </w:t>
      </w:r>
      <w:r>
        <w:rPr>
          <w:vertAlign w:val="baseline"/>
        </w:rPr>
        <w:t>reproductive</w:t>
      </w:r>
      <w:r>
        <w:rPr>
          <w:spacing w:val="-12"/>
          <w:vertAlign w:val="baseline"/>
        </w:rPr>
        <w:t> </w:t>
      </w:r>
      <w:r>
        <w:rPr>
          <w:vertAlign w:val="baseline"/>
        </w:rPr>
        <w:t>justice</w:t>
      </w:r>
      <w:r>
        <w:rPr>
          <w:spacing w:val="-13"/>
          <w:vertAlign w:val="baseline"/>
        </w:rPr>
        <w:t> </w:t>
      </w:r>
      <w:r>
        <w:rPr>
          <w:vertAlign w:val="baseline"/>
        </w:rPr>
        <w:t>advocacy group,</w:t>
      </w:r>
      <w:r>
        <w:rPr>
          <w:spacing w:val="-7"/>
          <w:vertAlign w:val="baseline"/>
        </w:rPr>
        <w:t> </w:t>
      </w:r>
      <w:r>
        <w:rPr>
          <w:vertAlign w:val="baseline"/>
        </w:rPr>
        <w:t>continues</w:t>
      </w:r>
      <w:r>
        <w:rPr>
          <w:spacing w:val="-7"/>
          <w:vertAlign w:val="baseline"/>
        </w:rPr>
        <w:t> </w:t>
      </w:r>
      <w:r>
        <w:rPr>
          <w:vertAlign w:val="baseline"/>
        </w:rPr>
        <w:t>to</w:t>
      </w:r>
      <w:r>
        <w:rPr>
          <w:spacing w:val="-7"/>
          <w:vertAlign w:val="baseline"/>
        </w:rPr>
        <w:t> </w:t>
      </w:r>
      <w:r>
        <w:rPr>
          <w:vertAlign w:val="baseline"/>
        </w:rPr>
        <w:t>lead</w:t>
      </w:r>
      <w:r>
        <w:rPr>
          <w:spacing w:val="-8"/>
          <w:vertAlign w:val="baseline"/>
        </w:rPr>
        <w:t> </w:t>
      </w:r>
      <w:r>
        <w:rPr>
          <w:vertAlign w:val="baseline"/>
        </w:rPr>
        <w:t>the</w:t>
      </w:r>
      <w:r>
        <w:rPr>
          <w:spacing w:val="-8"/>
          <w:vertAlign w:val="baseline"/>
        </w:rPr>
        <w:t> </w:t>
      </w:r>
      <w:r>
        <w:rPr>
          <w:vertAlign w:val="baseline"/>
        </w:rPr>
        <w:t>charge</w:t>
      </w:r>
      <w:r>
        <w:rPr>
          <w:spacing w:val="-8"/>
          <w:vertAlign w:val="baseline"/>
        </w:rPr>
        <w:t> </w:t>
      </w:r>
      <w:r>
        <w:rPr>
          <w:vertAlign w:val="baseline"/>
        </w:rPr>
        <w:t>on</w:t>
      </w:r>
      <w:r>
        <w:rPr>
          <w:spacing w:val="-7"/>
          <w:vertAlign w:val="baseline"/>
        </w:rPr>
        <w:t> </w:t>
      </w:r>
      <w:r>
        <w:rPr>
          <w:vertAlign w:val="baseline"/>
        </w:rPr>
        <w:t>today’s</w:t>
      </w:r>
      <w:r>
        <w:rPr>
          <w:spacing w:val="-7"/>
          <w:vertAlign w:val="baseline"/>
        </w:rPr>
        <w:t> </w:t>
      </w:r>
      <w:r>
        <w:rPr>
          <w:vertAlign w:val="baseline"/>
        </w:rPr>
        <w:t>most</w:t>
      </w:r>
      <w:r>
        <w:rPr>
          <w:spacing w:val="-8"/>
          <w:vertAlign w:val="baseline"/>
        </w:rPr>
        <w:t> </w:t>
      </w:r>
      <w:r>
        <w:rPr>
          <w:vertAlign w:val="baseline"/>
        </w:rPr>
        <w:t>relevant</w:t>
      </w:r>
      <w:r>
        <w:rPr>
          <w:spacing w:val="-8"/>
          <w:vertAlign w:val="baseline"/>
        </w:rPr>
        <w:t> </w:t>
      </w:r>
      <w:r>
        <w:rPr>
          <w:vertAlign w:val="baseline"/>
        </w:rPr>
        <w:t>and</w:t>
      </w:r>
      <w:r>
        <w:rPr>
          <w:spacing w:val="-8"/>
          <w:vertAlign w:val="baseline"/>
        </w:rPr>
        <w:t> </w:t>
      </w:r>
      <w:r>
        <w:rPr>
          <w:vertAlign w:val="baseline"/>
        </w:rPr>
        <w:t>pressing</w:t>
      </w:r>
      <w:r>
        <w:rPr>
          <w:spacing w:val="-8"/>
          <w:vertAlign w:val="baseline"/>
        </w:rPr>
        <w:t> </w:t>
      </w:r>
      <w:r>
        <w:rPr>
          <w:vertAlign w:val="baseline"/>
        </w:rPr>
        <w:t>reproductive</w:t>
      </w:r>
      <w:r>
        <w:rPr>
          <w:spacing w:val="-8"/>
          <w:vertAlign w:val="baseline"/>
        </w:rPr>
        <w:t> </w:t>
      </w:r>
      <w:r>
        <w:rPr>
          <w:vertAlign w:val="baseline"/>
        </w:rPr>
        <w:t>justice</w:t>
      </w:r>
      <w:r>
        <w:rPr>
          <w:spacing w:val="-8"/>
          <w:vertAlign w:val="baseline"/>
        </w:rPr>
        <w:t> </w:t>
      </w:r>
      <w:r>
        <w:rPr>
          <w:vertAlign w:val="baseline"/>
        </w:rPr>
        <w:t>issues. </w:t>
      </w:r>
      <w:r>
        <w:rPr>
          <w:vertAlign w:val="superscript"/>
        </w:rPr>
        <w:t>157</w:t>
      </w:r>
      <w:r>
        <w:rPr>
          <w:vertAlign w:val="baseline"/>
        </w:rPr>
        <w:t> Lastly, Winthrop CASA, a local organization that supports youth through community engagement, has</w:t>
      </w:r>
      <w:r>
        <w:rPr>
          <w:spacing w:val="-7"/>
          <w:vertAlign w:val="baseline"/>
        </w:rPr>
        <w:t> </w:t>
      </w:r>
      <w:r>
        <w:rPr>
          <w:vertAlign w:val="baseline"/>
        </w:rPr>
        <w:t>a</w:t>
      </w:r>
      <w:r>
        <w:rPr>
          <w:spacing w:val="-7"/>
          <w:vertAlign w:val="baseline"/>
        </w:rPr>
        <w:t> </w:t>
      </w:r>
      <w:r>
        <w:rPr>
          <w:vertAlign w:val="baseline"/>
        </w:rPr>
        <w:t>public</w:t>
      </w:r>
      <w:r>
        <w:rPr>
          <w:spacing w:val="-7"/>
          <w:vertAlign w:val="baseline"/>
        </w:rPr>
        <w:t> </w:t>
      </w:r>
      <w:r>
        <w:rPr>
          <w:vertAlign w:val="baseline"/>
        </w:rPr>
        <w:t>health</w:t>
      </w:r>
      <w:r>
        <w:rPr>
          <w:spacing w:val="-7"/>
          <w:vertAlign w:val="baseline"/>
        </w:rPr>
        <w:t> </w:t>
      </w:r>
      <w:r>
        <w:rPr>
          <w:vertAlign w:val="baseline"/>
        </w:rPr>
        <w:t>Youth</w:t>
      </w:r>
      <w:r>
        <w:rPr>
          <w:spacing w:val="-7"/>
          <w:vertAlign w:val="baseline"/>
        </w:rPr>
        <w:t> </w:t>
      </w:r>
      <w:r>
        <w:rPr>
          <w:vertAlign w:val="baseline"/>
        </w:rPr>
        <w:t>Advisory</w:t>
      </w:r>
      <w:r>
        <w:rPr>
          <w:spacing w:val="-7"/>
          <w:vertAlign w:val="baseline"/>
        </w:rPr>
        <w:t> </w:t>
      </w:r>
      <w:r>
        <w:rPr>
          <w:vertAlign w:val="baseline"/>
        </w:rPr>
        <w:t>Board</w:t>
      </w:r>
      <w:r>
        <w:rPr>
          <w:spacing w:val="-9"/>
          <w:vertAlign w:val="baseline"/>
        </w:rPr>
        <w:t> </w:t>
      </w:r>
      <w:r>
        <w:rPr>
          <w:vertAlign w:val="baseline"/>
        </w:rPr>
        <w:t>that</w:t>
      </w:r>
      <w:r>
        <w:rPr>
          <w:spacing w:val="-7"/>
          <w:vertAlign w:val="baseline"/>
        </w:rPr>
        <w:t> </w:t>
      </w:r>
      <w:r>
        <w:rPr>
          <w:vertAlign w:val="baseline"/>
        </w:rPr>
        <w:t>helps</w:t>
      </w:r>
      <w:r>
        <w:rPr>
          <w:spacing w:val="-7"/>
          <w:vertAlign w:val="baseline"/>
        </w:rPr>
        <w:t> </w:t>
      </w:r>
      <w:r>
        <w:rPr>
          <w:vertAlign w:val="baseline"/>
        </w:rPr>
        <w:t>develop</w:t>
      </w:r>
      <w:r>
        <w:rPr>
          <w:spacing w:val="-8"/>
          <w:vertAlign w:val="baseline"/>
        </w:rPr>
        <w:t> </w:t>
      </w:r>
      <w:r>
        <w:rPr>
          <w:vertAlign w:val="baseline"/>
        </w:rPr>
        <w:t>CASA’s</w:t>
      </w:r>
      <w:r>
        <w:rPr>
          <w:spacing w:val="-6"/>
          <w:vertAlign w:val="baseline"/>
        </w:rPr>
        <w:t> </w:t>
      </w:r>
      <w:r>
        <w:rPr>
          <w:vertAlign w:val="baseline"/>
        </w:rPr>
        <w:t>programming.</w:t>
      </w:r>
      <w:r>
        <w:rPr>
          <w:vertAlign w:val="superscript"/>
        </w:rPr>
        <w:t>158</w:t>
      </w:r>
      <w:r>
        <w:rPr>
          <w:spacing w:val="-8"/>
          <w:vertAlign w:val="baseline"/>
        </w:rPr>
        <w:t> </w:t>
      </w:r>
      <w:r>
        <w:rPr>
          <w:vertAlign w:val="baseline"/>
        </w:rPr>
        <w:t>The</w:t>
      </w:r>
      <w:r>
        <w:rPr>
          <w:spacing w:val="-8"/>
          <w:vertAlign w:val="baseline"/>
        </w:rPr>
        <w:t> </w:t>
      </w:r>
      <w:r>
        <w:rPr>
          <w:vertAlign w:val="baseline"/>
        </w:rPr>
        <w:t>Commission highlights the important need of funding and supporting LGBTQ-specific youth groups and advocacy organizations, as there remain very few in the more rural and underserved areas of the state.</w:t>
      </w:r>
    </w:p>
    <w:p>
      <w:pPr>
        <w:pStyle w:val="BodyText"/>
        <w:spacing w:line="276" w:lineRule="auto" w:before="241"/>
        <w:ind w:left="460" w:right="531"/>
        <w:jc w:val="both"/>
      </w:pPr>
      <w:r>
        <w:rPr/>
        <w:t>The following table illustrates some of the organizations that are currently serving LGBTQ youths in Massachusetts, from social clubs and family support networks to advocacy groups and legal counsel. Many of these organizations rely on peer education, peer mentorship, or youth leadership council </w:t>
      </w:r>
      <w:r>
        <w:rPr>
          <w:spacing w:val="-2"/>
        </w:rPr>
        <w:t>models.</w:t>
      </w:r>
    </w:p>
    <w:p>
      <w:pPr>
        <w:spacing w:after="0" w:line="276" w:lineRule="auto"/>
        <w:jc w:val="both"/>
        <w:sectPr>
          <w:headerReference w:type="default" r:id="rId140"/>
          <w:footerReference w:type="default" r:id="rId141"/>
          <w:pgSz w:w="11910" w:h="16840"/>
          <w:pgMar w:header="804" w:footer="1277" w:top="1080" w:bottom="1460" w:left="980" w:right="900"/>
        </w:sectPr>
      </w:pPr>
    </w:p>
    <w:p>
      <w:pPr>
        <w:pStyle w:val="BodyText"/>
        <w:rPr>
          <w:sz w:val="20"/>
        </w:rPr>
      </w:pPr>
    </w:p>
    <w:p>
      <w:pPr>
        <w:pStyle w:val="BodyText"/>
        <w:spacing w:before="9"/>
        <w:rPr>
          <w:sz w:val="20"/>
        </w:rPr>
      </w:pPr>
    </w:p>
    <w:tbl>
      <w:tblPr>
        <w:tblW w:w="0" w:type="auto"/>
        <w:jc w:val="left"/>
        <w:tblInd w:w="4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065"/>
        <w:gridCol w:w="3953"/>
      </w:tblGrid>
      <w:tr>
        <w:trPr>
          <w:trHeight w:val="429" w:hRule="atLeast"/>
        </w:trPr>
        <w:tc>
          <w:tcPr>
            <w:tcW w:w="9018" w:type="dxa"/>
            <w:gridSpan w:val="2"/>
            <w:tcBorders>
              <w:top w:val="single" w:sz="4" w:space="0" w:color="000000"/>
              <w:left w:val="single" w:sz="4" w:space="0" w:color="000000"/>
              <w:right w:val="single" w:sz="4" w:space="0" w:color="000000"/>
            </w:tcBorders>
            <w:shd w:val="clear" w:color="auto" w:fill="C5E0F8"/>
          </w:tcPr>
          <w:p>
            <w:pPr>
              <w:pStyle w:val="TableParagraph"/>
              <w:ind w:left="16"/>
              <w:jc w:val="center"/>
              <w:rPr>
                <w:b/>
                <w:sz w:val="22"/>
              </w:rPr>
            </w:pPr>
            <w:r>
              <w:rPr>
                <w:b/>
                <w:color w:val="095292"/>
                <w:sz w:val="22"/>
              </w:rPr>
              <w:t>Local</w:t>
            </w:r>
            <w:r>
              <w:rPr>
                <w:b/>
                <w:color w:val="095292"/>
                <w:spacing w:val="-8"/>
                <w:sz w:val="22"/>
              </w:rPr>
              <w:t> </w:t>
            </w:r>
            <w:r>
              <w:rPr>
                <w:b/>
                <w:color w:val="095292"/>
                <w:sz w:val="22"/>
              </w:rPr>
              <w:t>and</w:t>
            </w:r>
            <w:r>
              <w:rPr>
                <w:b/>
                <w:color w:val="095292"/>
                <w:spacing w:val="-9"/>
                <w:sz w:val="22"/>
              </w:rPr>
              <w:t> </w:t>
            </w:r>
            <w:r>
              <w:rPr>
                <w:b/>
                <w:color w:val="095292"/>
                <w:sz w:val="22"/>
              </w:rPr>
              <w:t>National</w:t>
            </w:r>
            <w:r>
              <w:rPr>
                <w:b/>
                <w:color w:val="095292"/>
                <w:spacing w:val="-8"/>
                <w:sz w:val="22"/>
              </w:rPr>
              <w:t> </w:t>
            </w:r>
            <w:r>
              <w:rPr>
                <w:b/>
                <w:color w:val="095292"/>
                <w:sz w:val="22"/>
              </w:rPr>
              <w:t>LGBTQ</w:t>
            </w:r>
            <w:r>
              <w:rPr>
                <w:b/>
                <w:color w:val="095292"/>
                <w:spacing w:val="-8"/>
                <w:sz w:val="22"/>
              </w:rPr>
              <w:t> </w:t>
            </w:r>
            <w:r>
              <w:rPr>
                <w:b/>
                <w:color w:val="095292"/>
                <w:sz w:val="22"/>
              </w:rPr>
              <w:t>Youth</w:t>
            </w:r>
            <w:r>
              <w:rPr>
                <w:b/>
                <w:color w:val="095292"/>
                <w:spacing w:val="-9"/>
                <w:sz w:val="22"/>
              </w:rPr>
              <w:t> </w:t>
            </w:r>
            <w:r>
              <w:rPr>
                <w:b/>
                <w:color w:val="095292"/>
                <w:sz w:val="22"/>
              </w:rPr>
              <w:t>Support</w:t>
            </w:r>
            <w:r>
              <w:rPr>
                <w:b/>
                <w:color w:val="095292"/>
                <w:spacing w:val="-9"/>
                <w:sz w:val="22"/>
              </w:rPr>
              <w:t> </w:t>
            </w:r>
            <w:r>
              <w:rPr>
                <w:b/>
                <w:color w:val="095292"/>
                <w:spacing w:val="-2"/>
                <w:sz w:val="22"/>
              </w:rPr>
              <w:t>Resources</w:t>
            </w:r>
          </w:p>
        </w:tc>
      </w:tr>
      <w:tr>
        <w:trPr>
          <w:trHeight w:val="428" w:hRule="atLeast"/>
        </w:trPr>
        <w:tc>
          <w:tcPr>
            <w:tcW w:w="5065" w:type="dxa"/>
            <w:tcBorders>
              <w:left w:val="single" w:sz="4" w:space="0" w:color="000000"/>
            </w:tcBorders>
          </w:tcPr>
          <w:p>
            <w:pPr>
              <w:pStyle w:val="TableParagraph"/>
              <w:ind w:left="4" w:right="10"/>
              <w:jc w:val="center"/>
              <w:rPr>
                <w:sz w:val="22"/>
              </w:rPr>
            </w:pPr>
            <w:r>
              <w:rPr>
                <w:color w:val="095292"/>
                <w:sz w:val="22"/>
              </w:rPr>
              <w:t>Advocates</w:t>
            </w:r>
            <w:r>
              <w:rPr>
                <w:color w:val="095292"/>
                <w:spacing w:val="-9"/>
                <w:sz w:val="22"/>
              </w:rPr>
              <w:t> </w:t>
            </w:r>
            <w:r>
              <w:rPr>
                <w:color w:val="095292"/>
                <w:sz w:val="22"/>
              </w:rPr>
              <w:t>for</w:t>
            </w:r>
            <w:r>
              <w:rPr>
                <w:color w:val="095292"/>
                <w:spacing w:val="-8"/>
                <w:sz w:val="22"/>
              </w:rPr>
              <w:t> </w:t>
            </w:r>
            <w:r>
              <w:rPr>
                <w:color w:val="095292"/>
                <w:spacing w:val="-4"/>
                <w:sz w:val="22"/>
              </w:rPr>
              <w:t>Youth</w:t>
            </w:r>
          </w:p>
        </w:tc>
        <w:tc>
          <w:tcPr>
            <w:tcW w:w="3953" w:type="dxa"/>
            <w:tcBorders>
              <w:right w:val="single" w:sz="4" w:space="0" w:color="000000"/>
            </w:tcBorders>
          </w:tcPr>
          <w:p>
            <w:pPr>
              <w:pStyle w:val="TableParagraph"/>
              <w:ind w:left="3" w:right="3"/>
              <w:jc w:val="center"/>
              <w:rPr>
                <w:sz w:val="22"/>
              </w:rPr>
            </w:pPr>
            <w:r>
              <w:rPr>
                <w:color w:val="095292"/>
                <w:sz w:val="22"/>
              </w:rPr>
              <w:t>Hispanic</w:t>
            </w:r>
            <w:r>
              <w:rPr>
                <w:color w:val="095292"/>
                <w:spacing w:val="-9"/>
                <w:sz w:val="22"/>
              </w:rPr>
              <w:t> </w:t>
            </w:r>
            <w:r>
              <w:rPr>
                <w:color w:val="095292"/>
                <w:sz w:val="22"/>
              </w:rPr>
              <w:t>Black</w:t>
            </w:r>
            <w:r>
              <w:rPr>
                <w:color w:val="095292"/>
                <w:spacing w:val="-8"/>
                <w:sz w:val="22"/>
              </w:rPr>
              <w:t> </w:t>
            </w:r>
            <w:r>
              <w:rPr>
                <w:color w:val="095292"/>
                <w:sz w:val="22"/>
              </w:rPr>
              <w:t>Gay</w:t>
            </w:r>
            <w:r>
              <w:rPr>
                <w:color w:val="095292"/>
                <w:spacing w:val="-6"/>
                <w:sz w:val="22"/>
              </w:rPr>
              <w:t> </w:t>
            </w:r>
            <w:r>
              <w:rPr>
                <w:color w:val="095292"/>
                <w:sz w:val="22"/>
              </w:rPr>
              <w:t>Coalition</w:t>
            </w:r>
            <w:r>
              <w:rPr>
                <w:color w:val="095292"/>
                <w:spacing w:val="-8"/>
                <w:sz w:val="22"/>
              </w:rPr>
              <w:t> </w:t>
            </w:r>
            <w:r>
              <w:rPr>
                <w:color w:val="095292"/>
                <w:spacing w:val="-2"/>
                <w:sz w:val="22"/>
              </w:rPr>
              <w:t>(HBGC)</w:t>
            </w:r>
          </w:p>
        </w:tc>
      </w:tr>
      <w:tr>
        <w:trPr>
          <w:trHeight w:val="428" w:hRule="atLeast"/>
        </w:trPr>
        <w:tc>
          <w:tcPr>
            <w:tcW w:w="5065" w:type="dxa"/>
            <w:tcBorders>
              <w:left w:val="single" w:sz="4" w:space="0" w:color="000000"/>
            </w:tcBorders>
            <w:shd w:val="clear" w:color="auto" w:fill="C5E0F8"/>
          </w:tcPr>
          <w:p>
            <w:pPr>
              <w:pStyle w:val="TableParagraph"/>
              <w:ind w:left="4" w:right="10"/>
              <w:jc w:val="center"/>
              <w:rPr>
                <w:sz w:val="22"/>
              </w:rPr>
            </w:pPr>
            <w:r>
              <w:rPr>
                <w:color w:val="095292"/>
                <w:sz w:val="22"/>
              </w:rPr>
              <w:t>AIDS</w:t>
            </w:r>
            <w:r>
              <w:rPr>
                <w:color w:val="095292"/>
                <w:spacing w:val="-10"/>
                <w:sz w:val="22"/>
              </w:rPr>
              <w:t> </w:t>
            </w:r>
            <w:r>
              <w:rPr>
                <w:color w:val="095292"/>
                <w:sz w:val="22"/>
              </w:rPr>
              <w:t>Action</w:t>
            </w:r>
            <w:r>
              <w:rPr>
                <w:color w:val="095292"/>
                <w:spacing w:val="-9"/>
                <w:sz w:val="22"/>
              </w:rPr>
              <w:t> </w:t>
            </w:r>
            <w:r>
              <w:rPr>
                <w:color w:val="095292"/>
                <w:sz w:val="22"/>
              </w:rPr>
              <w:t>Committee</w:t>
            </w:r>
            <w:r>
              <w:rPr>
                <w:color w:val="095292"/>
                <w:spacing w:val="-9"/>
                <w:sz w:val="22"/>
              </w:rPr>
              <w:t> </w:t>
            </w:r>
            <w:r>
              <w:rPr>
                <w:color w:val="095292"/>
                <w:spacing w:val="-2"/>
                <w:sz w:val="22"/>
              </w:rPr>
              <w:t>Massachusetts</w:t>
            </w:r>
          </w:p>
        </w:tc>
        <w:tc>
          <w:tcPr>
            <w:tcW w:w="3953" w:type="dxa"/>
            <w:tcBorders>
              <w:right w:val="single" w:sz="4" w:space="0" w:color="000000"/>
            </w:tcBorders>
            <w:shd w:val="clear" w:color="auto" w:fill="C5E0F8"/>
          </w:tcPr>
          <w:p>
            <w:pPr>
              <w:pStyle w:val="TableParagraph"/>
              <w:ind w:left="3" w:right="2"/>
              <w:jc w:val="center"/>
              <w:rPr>
                <w:sz w:val="22"/>
              </w:rPr>
            </w:pPr>
            <w:r>
              <w:rPr>
                <w:color w:val="095292"/>
                <w:sz w:val="22"/>
              </w:rPr>
              <w:t>It</w:t>
            </w:r>
            <w:r>
              <w:rPr>
                <w:color w:val="095292"/>
                <w:spacing w:val="-6"/>
                <w:sz w:val="22"/>
              </w:rPr>
              <w:t> </w:t>
            </w:r>
            <w:r>
              <w:rPr>
                <w:color w:val="095292"/>
                <w:sz w:val="22"/>
              </w:rPr>
              <w:t>Gets</w:t>
            </w:r>
            <w:r>
              <w:rPr>
                <w:color w:val="095292"/>
                <w:spacing w:val="-7"/>
                <w:sz w:val="22"/>
              </w:rPr>
              <w:t> </w:t>
            </w:r>
            <w:r>
              <w:rPr>
                <w:color w:val="095292"/>
                <w:sz w:val="22"/>
              </w:rPr>
              <w:t>Better</w:t>
            </w:r>
            <w:r>
              <w:rPr>
                <w:color w:val="095292"/>
                <w:spacing w:val="-5"/>
                <w:sz w:val="22"/>
              </w:rPr>
              <w:t> </w:t>
            </w:r>
            <w:r>
              <w:rPr>
                <w:color w:val="095292"/>
                <w:spacing w:val="-2"/>
                <w:sz w:val="22"/>
              </w:rPr>
              <w:t>Project</w:t>
            </w:r>
          </w:p>
        </w:tc>
      </w:tr>
      <w:tr>
        <w:trPr>
          <w:trHeight w:val="429" w:hRule="atLeast"/>
        </w:trPr>
        <w:tc>
          <w:tcPr>
            <w:tcW w:w="5065" w:type="dxa"/>
            <w:tcBorders>
              <w:left w:val="single" w:sz="4" w:space="0" w:color="000000"/>
            </w:tcBorders>
          </w:tcPr>
          <w:p>
            <w:pPr>
              <w:pStyle w:val="TableParagraph"/>
              <w:ind w:left="5" w:right="10"/>
              <w:jc w:val="center"/>
              <w:rPr>
                <w:sz w:val="22"/>
              </w:rPr>
            </w:pPr>
            <w:r>
              <w:rPr>
                <w:color w:val="095292"/>
                <w:sz w:val="22"/>
              </w:rPr>
              <w:t>AIDS</w:t>
            </w:r>
            <w:r>
              <w:rPr>
                <w:color w:val="095292"/>
                <w:spacing w:val="-10"/>
                <w:sz w:val="22"/>
              </w:rPr>
              <w:t> </w:t>
            </w:r>
            <w:r>
              <w:rPr>
                <w:color w:val="095292"/>
                <w:sz w:val="22"/>
              </w:rPr>
              <w:t>Project</w:t>
            </w:r>
            <w:r>
              <w:rPr>
                <w:color w:val="095292"/>
                <w:spacing w:val="-9"/>
                <w:sz w:val="22"/>
              </w:rPr>
              <w:t> </w:t>
            </w:r>
            <w:r>
              <w:rPr>
                <w:color w:val="095292"/>
                <w:sz w:val="22"/>
              </w:rPr>
              <w:t>Worcester</w:t>
            </w:r>
            <w:r>
              <w:rPr>
                <w:color w:val="095292"/>
                <w:spacing w:val="-10"/>
                <w:sz w:val="22"/>
              </w:rPr>
              <w:t> </w:t>
            </w:r>
            <w:r>
              <w:rPr>
                <w:color w:val="095292"/>
                <w:spacing w:val="-2"/>
                <w:sz w:val="22"/>
              </w:rPr>
              <w:t>(APW)</w:t>
            </w:r>
          </w:p>
        </w:tc>
        <w:tc>
          <w:tcPr>
            <w:tcW w:w="3953" w:type="dxa"/>
            <w:tcBorders>
              <w:right w:val="single" w:sz="4" w:space="0" w:color="000000"/>
            </w:tcBorders>
          </w:tcPr>
          <w:p>
            <w:pPr>
              <w:pStyle w:val="TableParagraph"/>
              <w:ind w:left="3" w:right="2"/>
              <w:jc w:val="center"/>
              <w:rPr>
                <w:sz w:val="22"/>
              </w:rPr>
            </w:pPr>
            <w:r>
              <w:rPr>
                <w:color w:val="095292"/>
                <w:sz w:val="22"/>
              </w:rPr>
              <w:t>Lesbians</w:t>
            </w:r>
            <w:r>
              <w:rPr>
                <w:color w:val="095292"/>
                <w:spacing w:val="-9"/>
                <w:sz w:val="22"/>
              </w:rPr>
              <w:t> </w:t>
            </w:r>
            <w:r>
              <w:rPr>
                <w:color w:val="095292"/>
                <w:sz w:val="22"/>
              </w:rPr>
              <w:t>of</w:t>
            </w:r>
            <w:r>
              <w:rPr>
                <w:color w:val="095292"/>
                <w:spacing w:val="-8"/>
                <w:sz w:val="22"/>
              </w:rPr>
              <w:t> </w:t>
            </w:r>
            <w:r>
              <w:rPr>
                <w:color w:val="095292"/>
                <w:sz w:val="22"/>
              </w:rPr>
              <w:t>Color</w:t>
            </w:r>
            <w:r>
              <w:rPr>
                <w:color w:val="095292"/>
                <w:spacing w:val="-9"/>
                <w:sz w:val="22"/>
              </w:rPr>
              <w:t> </w:t>
            </w:r>
            <w:r>
              <w:rPr>
                <w:color w:val="095292"/>
                <w:sz w:val="22"/>
              </w:rPr>
              <w:t>Symposium</w:t>
            </w:r>
            <w:r>
              <w:rPr>
                <w:color w:val="095292"/>
                <w:spacing w:val="-8"/>
                <w:sz w:val="22"/>
              </w:rPr>
              <w:t> </w:t>
            </w:r>
            <w:r>
              <w:rPr>
                <w:color w:val="095292"/>
                <w:spacing w:val="-2"/>
                <w:sz w:val="22"/>
              </w:rPr>
              <w:t>(LOCS)</w:t>
            </w:r>
          </w:p>
        </w:tc>
      </w:tr>
      <w:tr>
        <w:trPr>
          <w:trHeight w:val="858" w:hRule="atLeast"/>
        </w:trPr>
        <w:tc>
          <w:tcPr>
            <w:tcW w:w="5065" w:type="dxa"/>
            <w:tcBorders>
              <w:left w:val="single" w:sz="4" w:space="0" w:color="000000"/>
            </w:tcBorders>
            <w:shd w:val="clear" w:color="auto" w:fill="C5E0F8"/>
          </w:tcPr>
          <w:p>
            <w:pPr>
              <w:pStyle w:val="TableParagraph"/>
              <w:ind w:left="2" w:right="10"/>
              <w:jc w:val="center"/>
              <w:rPr>
                <w:sz w:val="22"/>
              </w:rPr>
            </w:pPr>
            <w:r>
              <w:rPr>
                <w:color w:val="095292"/>
                <w:sz w:val="22"/>
              </w:rPr>
              <w:t>BAGLY</w:t>
            </w:r>
            <w:r>
              <w:rPr>
                <w:color w:val="095292"/>
                <w:spacing w:val="-8"/>
                <w:sz w:val="22"/>
              </w:rPr>
              <w:t> </w:t>
            </w:r>
            <w:r>
              <w:rPr>
                <w:color w:val="095292"/>
                <w:sz w:val="22"/>
              </w:rPr>
              <w:t>(The</w:t>
            </w:r>
            <w:r>
              <w:rPr>
                <w:color w:val="095292"/>
                <w:spacing w:val="-7"/>
                <w:sz w:val="22"/>
              </w:rPr>
              <w:t> </w:t>
            </w:r>
            <w:r>
              <w:rPr>
                <w:color w:val="095292"/>
                <w:sz w:val="22"/>
              </w:rPr>
              <w:t>Boston</w:t>
            </w:r>
            <w:r>
              <w:rPr>
                <w:color w:val="095292"/>
                <w:spacing w:val="-7"/>
                <w:sz w:val="22"/>
              </w:rPr>
              <w:t> </w:t>
            </w:r>
            <w:r>
              <w:rPr>
                <w:color w:val="095292"/>
                <w:sz w:val="22"/>
              </w:rPr>
              <w:t>Alliance</w:t>
            </w:r>
            <w:r>
              <w:rPr>
                <w:color w:val="095292"/>
                <w:spacing w:val="-7"/>
                <w:sz w:val="22"/>
              </w:rPr>
              <w:t> </w:t>
            </w:r>
            <w:r>
              <w:rPr>
                <w:color w:val="095292"/>
                <w:sz w:val="22"/>
              </w:rPr>
              <w:t>of</w:t>
            </w:r>
            <w:r>
              <w:rPr>
                <w:color w:val="095292"/>
                <w:spacing w:val="-7"/>
                <w:sz w:val="22"/>
              </w:rPr>
              <w:t> </w:t>
            </w:r>
            <w:r>
              <w:rPr>
                <w:color w:val="095292"/>
                <w:sz w:val="22"/>
              </w:rPr>
              <w:t>Gay,</w:t>
            </w:r>
            <w:r>
              <w:rPr>
                <w:color w:val="095292"/>
                <w:spacing w:val="-8"/>
                <w:sz w:val="22"/>
              </w:rPr>
              <w:t> </w:t>
            </w:r>
            <w:r>
              <w:rPr>
                <w:color w:val="095292"/>
                <w:sz w:val="22"/>
              </w:rPr>
              <w:t>Lesbian,</w:t>
            </w:r>
            <w:r>
              <w:rPr>
                <w:color w:val="095292"/>
                <w:spacing w:val="-7"/>
                <w:sz w:val="22"/>
              </w:rPr>
              <w:t> </w:t>
            </w:r>
            <w:r>
              <w:rPr>
                <w:color w:val="095292"/>
                <w:spacing w:val="-2"/>
                <w:sz w:val="22"/>
              </w:rPr>
              <w:t>Bisexual</w:t>
            </w:r>
          </w:p>
          <w:p>
            <w:pPr>
              <w:pStyle w:val="TableParagraph"/>
              <w:spacing w:before="160"/>
              <w:ind w:left="2" w:right="10"/>
              <w:jc w:val="center"/>
              <w:rPr>
                <w:sz w:val="22"/>
              </w:rPr>
            </w:pPr>
            <w:r>
              <w:rPr>
                <w:color w:val="095292"/>
                <w:sz w:val="22"/>
              </w:rPr>
              <w:t>and</w:t>
            </w:r>
            <w:r>
              <w:rPr>
                <w:color w:val="095292"/>
                <w:spacing w:val="-11"/>
                <w:sz w:val="22"/>
              </w:rPr>
              <w:t> </w:t>
            </w:r>
            <w:r>
              <w:rPr>
                <w:color w:val="095292"/>
                <w:sz w:val="22"/>
              </w:rPr>
              <w:t>Transgender</w:t>
            </w:r>
            <w:r>
              <w:rPr>
                <w:color w:val="095292"/>
                <w:spacing w:val="-10"/>
                <w:sz w:val="22"/>
              </w:rPr>
              <w:t> </w:t>
            </w:r>
            <w:r>
              <w:rPr>
                <w:color w:val="095292"/>
                <w:spacing w:val="-2"/>
                <w:sz w:val="22"/>
              </w:rPr>
              <w:t>Youth)</w:t>
            </w:r>
          </w:p>
        </w:tc>
        <w:tc>
          <w:tcPr>
            <w:tcW w:w="3953" w:type="dxa"/>
            <w:tcBorders>
              <w:right w:val="single" w:sz="4" w:space="0" w:color="000000"/>
            </w:tcBorders>
            <w:shd w:val="clear" w:color="auto" w:fill="C5E0F8"/>
          </w:tcPr>
          <w:p>
            <w:pPr>
              <w:pStyle w:val="TableParagraph"/>
              <w:ind w:left="3" w:right="4"/>
              <w:jc w:val="center"/>
              <w:rPr>
                <w:sz w:val="22"/>
              </w:rPr>
            </w:pPr>
            <w:r>
              <w:rPr>
                <w:color w:val="095292"/>
                <w:sz w:val="22"/>
              </w:rPr>
              <w:t>MAP</w:t>
            </w:r>
            <w:r>
              <w:rPr>
                <w:color w:val="095292"/>
                <w:spacing w:val="-9"/>
                <w:sz w:val="22"/>
              </w:rPr>
              <w:t> </w:t>
            </w:r>
            <w:r>
              <w:rPr>
                <w:color w:val="095292"/>
                <w:sz w:val="22"/>
              </w:rPr>
              <w:t>(Massachusetts</w:t>
            </w:r>
            <w:r>
              <w:rPr>
                <w:color w:val="095292"/>
                <w:spacing w:val="-7"/>
                <w:sz w:val="22"/>
              </w:rPr>
              <w:t> </w:t>
            </w:r>
            <w:r>
              <w:rPr>
                <w:color w:val="095292"/>
                <w:sz w:val="22"/>
              </w:rPr>
              <w:t>Asian</w:t>
            </w:r>
            <w:r>
              <w:rPr>
                <w:color w:val="095292"/>
                <w:spacing w:val="-9"/>
                <w:sz w:val="22"/>
              </w:rPr>
              <w:t> </w:t>
            </w:r>
            <w:r>
              <w:rPr>
                <w:color w:val="095292"/>
                <w:sz w:val="22"/>
              </w:rPr>
              <w:t>+</w:t>
            </w:r>
            <w:r>
              <w:rPr>
                <w:color w:val="095292"/>
                <w:spacing w:val="-9"/>
                <w:sz w:val="22"/>
              </w:rPr>
              <w:t> </w:t>
            </w:r>
            <w:r>
              <w:rPr>
                <w:color w:val="095292"/>
                <w:spacing w:val="-2"/>
                <w:sz w:val="22"/>
              </w:rPr>
              <w:t>Pacific</w:t>
            </w:r>
          </w:p>
          <w:p>
            <w:pPr>
              <w:pStyle w:val="TableParagraph"/>
              <w:spacing w:before="160"/>
              <w:ind w:left="3" w:right="2"/>
              <w:jc w:val="center"/>
              <w:rPr>
                <w:sz w:val="22"/>
              </w:rPr>
            </w:pPr>
            <w:r>
              <w:rPr>
                <w:color w:val="095292"/>
                <w:sz w:val="22"/>
              </w:rPr>
              <w:t>Islanders)</w:t>
            </w:r>
            <w:r>
              <w:rPr>
                <w:color w:val="095292"/>
                <w:spacing w:val="-7"/>
                <w:sz w:val="22"/>
              </w:rPr>
              <w:t> </w:t>
            </w:r>
            <w:r>
              <w:rPr>
                <w:color w:val="095292"/>
                <w:sz w:val="22"/>
              </w:rPr>
              <w:t>for</w:t>
            </w:r>
            <w:r>
              <w:rPr>
                <w:color w:val="095292"/>
                <w:spacing w:val="-8"/>
                <w:sz w:val="22"/>
              </w:rPr>
              <w:t> </w:t>
            </w:r>
            <w:r>
              <w:rPr>
                <w:color w:val="095292"/>
                <w:spacing w:val="-2"/>
                <w:sz w:val="22"/>
              </w:rPr>
              <w:t>Health</w:t>
            </w:r>
          </w:p>
        </w:tc>
      </w:tr>
      <w:tr>
        <w:trPr>
          <w:trHeight w:val="428" w:hRule="atLeast"/>
        </w:trPr>
        <w:tc>
          <w:tcPr>
            <w:tcW w:w="5065" w:type="dxa"/>
            <w:tcBorders>
              <w:left w:val="single" w:sz="4" w:space="0" w:color="000000"/>
            </w:tcBorders>
          </w:tcPr>
          <w:p>
            <w:pPr>
              <w:pStyle w:val="TableParagraph"/>
              <w:ind w:left="4" w:right="10"/>
              <w:jc w:val="center"/>
              <w:rPr>
                <w:sz w:val="22"/>
              </w:rPr>
            </w:pPr>
            <w:r>
              <w:rPr>
                <w:color w:val="095292"/>
                <w:sz w:val="22"/>
              </w:rPr>
              <w:t>Boston</w:t>
            </w:r>
            <w:r>
              <w:rPr>
                <w:color w:val="095292"/>
                <w:spacing w:val="-12"/>
                <w:sz w:val="22"/>
              </w:rPr>
              <w:t> </w:t>
            </w:r>
            <w:r>
              <w:rPr>
                <w:color w:val="095292"/>
                <w:sz w:val="22"/>
              </w:rPr>
              <w:t>Area</w:t>
            </w:r>
            <w:r>
              <w:rPr>
                <w:color w:val="095292"/>
                <w:spacing w:val="-11"/>
                <w:sz w:val="22"/>
              </w:rPr>
              <w:t> </w:t>
            </w:r>
            <w:r>
              <w:rPr>
                <w:color w:val="095292"/>
                <w:sz w:val="22"/>
              </w:rPr>
              <w:t>Transgender</w:t>
            </w:r>
            <w:r>
              <w:rPr>
                <w:color w:val="095292"/>
                <w:spacing w:val="-9"/>
                <w:sz w:val="22"/>
              </w:rPr>
              <w:t> </w:t>
            </w:r>
            <w:r>
              <w:rPr>
                <w:color w:val="095292"/>
                <w:sz w:val="22"/>
              </w:rPr>
              <w:t>Support</w:t>
            </w:r>
            <w:r>
              <w:rPr>
                <w:color w:val="095292"/>
                <w:spacing w:val="-10"/>
                <w:sz w:val="22"/>
              </w:rPr>
              <w:t> </w:t>
            </w:r>
            <w:r>
              <w:rPr>
                <w:color w:val="095292"/>
                <w:spacing w:val="-2"/>
                <w:sz w:val="22"/>
              </w:rPr>
              <w:t>(BATS)</w:t>
            </w:r>
          </w:p>
        </w:tc>
        <w:tc>
          <w:tcPr>
            <w:tcW w:w="3953" w:type="dxa"/>
            <w:tcBorders>
              <w:right w:val="single" w:sz="4" w:space="0" w:color="000000"/>
            </w:tcBorders>
          </w:tcPr>
          <w:p>
            <w:pPr>
              <w:pStyle w:val="TableParagraph"/>
              <w:ind w:left="3" w:right="3"/>
              <w:jc w:val="center"/>
              <w:rPr>
                <w:sz w:val="22"/>
              </w:rPr>
            </w:pPr>
            <w:r>
              <w:rPr>
                <w:color w:val="095292"/>
                <w:sz w:val="22"/>
              </w:rPr>
              <w:t>Out</w:t>
            </w:r>
            <w:r>
              <w:rPr>
                <w:color w:val="095292"/>
                <w:spacing w:val="-6"/>
                <w:sz w:val="22"/>
              </w:rPr>
              <w:t> </w:t>
            </w:r>
            <w:r>
              <w:rPr>
                <w:color w:val="095292"/>
                <w:spacing w:val="-5"/>
                <w:sz w:val="22"/>
              </w:rPr>
              <w:t>Now</w:t>
            </w:r>
          </w:p>
        </w:tc>
      </w:tr>
      <w:tr>
        <w:trPr>
          <w:trHeight w:val="428" w:hRule="atLeast"/>
        </w:trPr>
        <w:tc>
          <w:tcPr>
            <w:tcW w:w="5065" w:type="dxa"/>
            <w:tcBorders>
              <w:left w:val="single" w:sz="4" w:space="0" w:color="000000"/>
            </w:tcBorders>
            <w:shd w:val="clear" w:color="auto" w:fill="C5E0F8"/>
          </w:tcPr>
          <w:p>
            <w:pPr>
              <w:pStyle w:val="TableParagraph"/>
              <w:ind w:left="5" w:right="10"/>
              <w:jc w:val="center"/>
              <w:rPr>
                <w:sz w:val="22"/>
              </w:rPr>
            </w:pPr>
            <w:r>
              <w:rPr>
                <w:color w:val="095292"/>
                <w:sz w:val="22"/>
              </w:rPr>
              <w:t>Boston</w:t>
            </w:r>
            <w:r>
              <w:rPr>
                <w:color w:val="095292"/>
                <w:spacing w:val="-9"/>
                <w:sz w:val="22"/>
              </w:rPr>
              <w:t> </w:t>
            </w:r>
            <w:r>
              <w:rPr>
                <w:color w:val="095292"/>
                <w:spacing w:val="-2"/>
                <w:sz w:val="22"/>
              </w:rPr>
              <w:t>GLASS</w:t>
            </w:r>
          </w:p>
        </w:tc>
        <w:tc>
          <w:tcPr>
            <w:tcW w:w="3953" w:type="dxa"/>
            <w:tcBorders>
              <w:right w:val="single" w:sz="4" w:space="0" w:color="000000"/>
            </w:tcBorders>
            <w:shd w:val="clear" w:color="auto" w:fill="C5E0F8"/>
          </w:tcPr>
          <w:p>
            <w:pPr>
              <w:pStyle w:val="TableParagraph"/>
              <w:ind w:left="3" w:right="1"/>
              <w:jc w:val="center"/>
              <w:rPr>
                <w:sz w:val="22"/>
              </w:rPr>
            </w:pPr>
            <w:r>
              <w:rPr>
                <w:color w:val="095292"/>
                <w:sz w:val="22"/>
              </w:rPr>
              <w:t>Peer</w:t>
            </w:r>
            <w:r>
              <w:rPr>
                <w:color w:val="095292"/>
                <w:spacing w:val="-10"/>
                <w:sz w:val="22"/>
              </w:rPr>
              <w:t> </w:t>
            </w:r>
            <w:r>
              <w:rPr>
                <w:color w:val="095292"/>
                <w:sz w:val="22"/>
              </w:rPr>
              <w:t>Health</w:t>
            </w:r>
            <w:r>
              <w:rPr>
                <w:color w:val="095292"/>
                <w:spacing w:val="-6"/>
                <w:sz w:val="22"/>
              </w:rPr>
              <w:t> </w:t>
            </w:r>
            <w:r>
              <w:rPr>
                <w:color w:val="095292"/>
                <w:spacing w:val="-2"/>
                <w:sz w:val="22"/>
              </w:rPr>
              <w:t>Exchange</w:t>
            </w:r>
          </w:p>
        </w:tc>
      </w:tr>
      <w:tr>
        <w:trPr>
          <w:trHeight w:val="858" w:hRule="atLeast"/>
        </w:trPr>
        <w:tc>
          <w:tcPr>
            <w:tcW w:w="5065" w:type="dxa"/>
            <w:tcBorders>
              <w:left w:val="single" w:sz="4" w:space="0" w:color="000000"/>
            </w:tcBorders>
          </w:tcPr>
          <w:p>
            <w:pPr>
              <w:pStyle w:val="TableParagraph"/>
              <w:ind w:right="10"/>
              <w:jc w:val="center"/>
              <w:rPr>
                <w:sz w:val="22"/>
              </w:rPr>
            </w:pPr>
            <w:r>
              <w:rPr>
                <w:color w:val="095292"/>
                <w:sz w:val="22"/>
              </w:rPr>
              <w:t>Cape</w:t>
            </w:r>
            <w:r>
              <w:rPr>
                <w:color w:val="095292"/>
                <w:spacing w:val="-7"/>
                <w:sz w:val="22"/>
              </w:rPr>
              <w:t> </w:t>
            </w:r>
            <w:r>
              <w:rPr>
                <w:color w:val="095292"/>
                <w:sz w:val="22"/>
              </w:rPr>
              <w:t>and</w:t>
            </w:r>
            <w:r>
              <w:rPr>
                <w:color w:val="095292"/>
                <w:spacing w:val="-6"/>
                <w:sz w:val="22"/>
              </w:rPr>
              <w:t> </w:t>
            </w:r>
            <w:r>
              <w:rPr>
                <w:color w:val="095292"/>
                <w:sz w:val="22"/>
              </w:rPr>
              <w:t>Islands</w:t>
            </w:r>
            <w:r>
              <w:rPr>
                <w:color w:val="095292"/>
                <w:spacing w:val="-7"/>
                <w:sz w:val="22"/>
              </w:rPr>
              <w:t> </w:t>
            </w:r>
            <w:r>
              <w:rPr>
                <w:color w:val="095292"/>
                <w:sz w:val="22"/>
              </w:rPr>
              <w:t>Gay</w:t>
            </w:r>
            <w:r>
              <w:rPr>
                <w:color w:val="095292"/>
                <w:spacing w:val="-6"/>
                <w:sz w:val="22"/>
              </w:rPr>
              <w:t> </w:t>
            </w:r>
            <w:r>
              <w:rPr>
                <w:color w:val="095292"/>
                <w:sz w:val="22"/>
              </w:rPr>
              <w:t>&amp;</w:t>
            </w:r>
            <w:r>
              <w:rPr>
                <w:color w:val="095292"/>
                <w:spacing w:val="-7"/>
                <w:sz w:val="22"/>
              </w:rPr>
              <w:t> </w:t>
            </w:r>
            <w:r>
              <w:rPr>
                <w:color w:val="095292"/>
                <w:sz w:val="22"/>
              </w:rPr>
              <w:t>Straight</w:t>
            </w:r>
            <w:r>
              <w:rPr>
                <w:color w:val="095292"/>
                <w:spacing w:val="-6"/>
                <w:sz w:val="22"/>
              </w:rPr>
              <w:t> </w:t>
            </w:r>
            <w:r>
              <w:rPr>
                <w:color w:val="095292"/>
                <w:sz w:val="22"/>
              </w:rPr>
              <w:t>Youth</w:t>
            </w:r>
            <w:r>
              <w:rPr>
                <w:color w:val="095292"/>
                <w:spacing w:val="-6"/>
                <w:sz w:val="22"/>
              </w:rPr>
              <w:t> </w:t>
            </w:r>
            <w:r>
              <w:rPr>
                <w:color w:val="095292"/>
                <w:spacing w:val="-2"/>
                <w:sz w:val="22"/>
              </w:rPr>
              <w:t>Alliance</w:t>
            </w:r>
          </w:p>
          <w:p>
            <w:pPr>
              <w:pStyle w:val="TableParagraph"/>
              <w:spacing w:before="161"/>
              <w:ind w:left="2" w:right="10"/>
              <w:jc w:val="center"/>
              <w:rPr>
                <w:sz w:val="22"/>
              </w:rPr>
            </w:pPr>
            <w:r>
              <w:rPr>
                <w:color w:val="095292"/>
                <w:spacing w:val="-2"/>
                <w:sz w:val="22"/>
              </w:rPr>
              <w:t>(CIGSYA)</w:t>
            </w:r>
          </w:p>
        </w:tc>
        <w:tc>
          <w:tcPr>
            <w:tcW w:w="3953" w:type="dxa"/>
            <w:tcBorders>
              <w:right w:val="single" w:sz="4" w:space="0" w:color="000000"/>
            </w:tcBorders>
          </w:tcPr>
          <w:p>
            <w:pPr>
              <w:pStyle w:val="TableParagraph"/>
              <w:ind w:left="3" w:right="1"/>
              <w:jc w:val="center"/>
              <w:rPr>
                <w:sz w:val="22"/>
              </w:rPr>
            </w:pPr>
            <w:r>
              <w:rPr>
                <w:color w:val="095292"/>
                <w:spacing w:val="-4"/>
                <w:sz w:val="22"/>
              </w:rPr>
              <w:t>PFLAG</w:t>
            </w:r>
          </w:p>
        </w:tc>
      </w:tr>
      <w:tr>
        <w:trPr>
          <w:trHeight w:val="428" w:hRule="atLeast"/>
        </w:trPr>
        <w:tc>
          <w:tcPr>
            <w:tcW w:w="5065" w:type="dxa"/>
            <w:tcBorders>
              <w:left w:val="single" w:sz="4" w:space="0" w:color="000000"/>
            </w:tcBorders>
            <w:shd w:val="clear" w:color="auto" w:fill="C5E0F8"/>
          </w:tcPr>
          <w:p>
            <w:pPr>
              <w:pStyle w:val="TableParagraph"/>
              <w:ind w:left="2" w:right="10"/>
              <w:jc w:val="center"/>
              <w:rPr>
                <w:sz w:val="22"/>
              </w:rPr>
            </w:pPr>
            <w:r>
              <w:rPr>
                <w:color w:val="095292"/>
                <w:spacing w:val="-2"/>
                <w:sz w:val="22"/>
              </w:rPr>
              <w:t>Gender-Sexuality</w:t>
            </w:r>
            <w:r>
              <w:rPr>
                <w:color w:val="095292"/>
                <w:spacing w:val="9"/>
                <w:sz w:val="22"/>
              </w:rPr>
              <w:t> </w:t>
            </w:r>
            <w:r>
              <w:rPr>
                <w:color w:val="095292"/>
                <w:spacing w:val="-2"/>
                <w:sz w:val="22"/>
              </w:rPr>
              <w:t>Alliances</w:t>
            </w:r>
            <w:r>
              <w:rPr>
                <w:color w:val="095292"/>
                <w:spacing w:val="12"/>
                <w:sz w:val="22"/>
              </w:rPr>
              <w:t> </w:t>
            </w:r>
            <w:r>
              <w:rPr>
                <w:color w:val="095292"/>
                <w:spacing w:val="-2"/>
                <w:sz w:val="22"/>
              </w:rPr>
              <w:t>(GSAs)</w:t>
            </w:r>
          </w:p>
        </w:tc>
        <w:tc>
          <w:tcPr>
            <w:tcW w:w="3953" w:type="dxa"/>
            <w:tcBorders>
              <w:right w:val="single" w:sz="4" w:space="0" w:color="000000"/>
            </w:tcBorders>
            <w:shd w:val="clear" w:color="auto" w:fill="C5E0F8"/>
          </w:tcPr>
          <w:p>
            <w:pPr>
              <w:pStyle w:val="TableParagraph"/>
              <w:ind w:left="3" w:right="2"/>
              <w:jc w:val="center"/>
              <w:rPr>
                <w:sz w:val="22"/>
              </w:rPr>
            </w:pPr>
            <w:r>
              <w:rPr>
                <w:color w:val="095292"/>
                <w:sz w:val="22"/>
              </w:rPr>
              <w:t>Roxbury</w:t>
            </w:r>
            <w:r>
              <w:rPr>
                <w:color w:val="095292"/>
                <w:spacing w:val="-10"/>
                <w:sz w:val="22"/>
              </w:rPr>
              <w:t> </w:t>
            </w:r>
            <w:r>
              <w:rPr>
                <w:color w:val="095292"/>
                <w:sz w:val="22"/>
              </w:rPr>
              <w:t>Youth</w:t>
            </w:r>
            <w:r>
              <w:rPr>
                <w:color w:val="095292"/>
                <w:spacing w:val="-10"/>
                <w:sz w:val="22"/>
              </w:rPr>
              <w:t> </w:t>
            </w:r>
            <w:r>
              <w:rPr>
                <w:color w:val="095292"/>
                <w:spacing w:val="-2"/>
                <w:sz w:val="22"/>
              </w:rPr>
              <w:t>Works</w:t>
            </w:r>
          </w:p>
        </w:tc>
      </w:tr>
      <w:tr>
        <w:trPr>
          <w:trHeight w:val="429" w:hRule="atLeast"/>
        </w:trPr>
        <w:tc>
          <w:tcPr>
            <w:tcW w:w="5065" w:type="dxa"/>
            <w:tcBorders>
              <w:left w:val="single" w:sz="4" w:space="0" w:color="000000"/>
            </w:tcBorders>
          </w:tcPr>
          <w:p>
            <w:pPr>
              <w:pStyle w:val="TableParagraph"/>
              <w:ind w:left="7" w:right="10"/>
              <w:jc w:val="center"/>
              <w:rPr>
                <w:sz w:val="22"/>
              </w:rPr>
            </w:pPr>
            <w:r>
              <w:rPr>
                <w:color w:val="095292"/>
                <w:spacing w:val="-2"/>
                <w:sz w:val="22"/>
              </w:rPr>
              <w:t>Generation</w:t>
            </w:r>
            <w:r>
              <w:rPr>
                <w:color w:val="095292"/>
                <w:spacing w:val="5"/>
                <w:sz w:val="22"/>
              </w:rPr>
              <w:t> </w:t>
            </w:r>
            <w:r>
              <w:rPr>
                <w:color w:val="095292"/>
                <w:spacing w:val="-10"/>
                <w:sz w:val="22"/>
              </w:rPr>
              <w:t>Q</w:t>
            </w:r>
          </w:p>
        </w:tc>
        <w:tc>
          <w:tcPr>
            <w:tcW w:w="3953" w:type="dxa"/>
            <w:tcBorders>
              <w:right w:val="single" w:sz="4" w:space="0" w:color="000000"/>
            </w:tcBorders>
          </w:tcPr>
          <w:p>
            <w:pPr>
              <w:pStyle w:val="TableParagraph"/>
              <w:ind w:left="3" w:right="2"/>
              <w:jc w:val="center"/>
              <w:rPr>
                <w:sz w:val="22"/>
              </w:rPr>
            </w:pPr>
            <w:r>
              <w:rPr>
                <w:color w:val="095292"/>
                <w:sz w:val="22"/>
              </w:rPr>
              <w:t>Safe</w:t>
            </w:r>
            <w:r>
              <w:rPr>
                <w:color w:val="095292"/>
                <w:spacing w:val="-10"/>
                <w:sz w:val="22"/>
              </w:rPr>
              <w:t> </w:t>
            </w:r>
            <w:r>
              <w:rPr>
                <w:color w:val="095292"/>
                <w:sz w:val="22"/>
              </w:rPr>
              <w:t>Homes/The</w:t>
            </w:r>
            <w:r>
              <w:rPr>
                <w:color w:val="095292"/>
                <w:spacing w:val="-10"/>
                <w:sz w:val="22"/>
              </w:rPr>
              <w:t> </w:t>
            </w:r>
            <w:r>
              <w:rPr>
                <w:color w:val="095292"/>
                <w:spacing w:val="-2"/>
                <w:sz w:val="22"/>
              </w:rPr>
              <w:t>Bridge</w:t>
            </w:r>
          </w:p>
        </w:tc>
      </w:tr>
      <w:tr>
        <w:trPr>
          <w:trHeight w:val="428" w:hRule="atLeast"/>
        </w:trPr>
        <w:tc>
          <w:tcPr>
            <w:tcW w:w="5065" w:type="dxa"/>
            <w:tcBorders>
              <w:left w:val="single" w:sz="4" w:space="0" w:color="000000"/>
            </w:tcBorders>
            <w:shd w:val="clear" w:color="auto" w:fill="C5E0F8"/>
          </w:tcPr>
          <w:p>
            <w:pPr>
              <w:pStyle w:val="TableParagraph"/>
              <w:ind w:left="5" w:right="10"/>
              <w:jc w:val="center"/>
              <w:rPr>
                <w:sz w:val="22"/>
              </w:rPr>
            </w:pPr>
            <w:r>
              <w:rPr>
                <w:color w:val="095292"/>
                <w:sz w:val="22"/>
              </w:rPr>
              <w:t>Getting</w:t>
            </w:r>
            <w:r>
              <w:rPr>
                <w:color w:val="095292"/>
                <w:spacing w:val="-6"/>
                <w:sz w:val="22"/>
              </w:rPr>
              <w:t> </w:t>
            </w:r>
            <w:r>
              <w:rPr>
                <w:color w:val="095292"/>
                <w:sz w:val="22"/>
              </w:rPr>
              <w:t>to</w:t>
            </w:r>
            <w:r>
              <w:rPr>
                <w:color w:val="095292"/>
                <w:spacing w:val="-6"/>
                <w:sz w:val="22"/>
              </w:rPr>
              <w:t> </w:t>
            </w:r>
            <w:r>
              <w:rPr>
                <w:color w:val="095292"/>
                <w:sz w:val="22"/>
              </w:rPr>
              <w:t>Zero</w:t>
            </w:r>
            <w:r>
              <w:rPr>
                <w:color w:val="095292"/>
                <w:spacing w:val="-5"/>
                <w:sz w:val="22"/>
              </w:rPr>
              <w:t> MA</w:t>
            </w:r>
          </w:p>
        </w:tc>
        <w:tc>
          <w:tcPr>
            <w:tcW w:w="3953" w:type="dxa"/>
            <w:tcBorders>
              <w:right w:val="single" w:sz="4" w:space="0" w:color="000000"/>
            </w:tcBorders>
            <w:shd w:val="clear" w:color="auto" w:fill="C5E0F8"/>
          </w:tcPr>
          <w:p>
            <w:pPr>
              <w:pStyle w:val="TableParagraph"/>
              <w:ind w:left="3" w:right="3"/>
              <w:jc w:val="center"/>
              <w:rPr>
                <w:sz w:val="22"/>
              </w:rPr>
            </w:pPr>
            <w:r>
              <w:rPr>
                <w:color w:val="095292"/>
                <w:sz w:val="22"/>
              </w:rPr>
              <w:t>Start</w:t>
            </w:r>
            <w:r>
              <w:rPr>
                <w:color w:val="095292"/>
                <w:spacing w:val="-8"/>
                <w:sz w:val="22"/>
              </w:rPr>
              <w:t> </w:t>
            </w:r>
            <w:r>
              <w:rPr>
                <w:color w:val="095292"/>
                <w:spacing w:val="-2"/>
                <w:sz w:val="22"/>
              </w:rPr>
              <w:t>Strong</w:t>
            </w:r>
          </w:p>
        </w:tc>
      </w:tr>
      <w:tr>
        <w:trPr>
          <w:trHeight w:val="428" w:hRule="atLeast"/>
        </w:trPr>
        <w:tc>
          <w:tcPr>
            <w:tcW w:w="5065" w:type="dxa"/>
            <w:tcBorders>
              <w:left w:val="single" w:sz="4" w:space="0" w:color="000000"/>
            </w:tcBorders>
          </w:tcPr>
          <w:p>
            <w:pPr>
              <w:pStyle w:val="TableParagraph"/>
              <w:ind w:left="4" w:right="10"/>
              <w:jc w:val="center"/>
              <w:rPr>
                <w:sz w:val="22"/>
              </w:rPr>
            </w:pPr>
            <w:r>
              <w:rPr>
                <w:color w:val="095292"/>
                <w:sz w:val="22"/>
              </w:rPr>
              <w:t>GLAD</w:t>
            </w:r>
            <w:r>
              <w:rPr>
                <w:color w:val="095292"/>
                <w:spacing w:val="-8"/>
                <w:sz w:val="22"/>
              </w:rPr>
              <w:t> </w:t>
            </w:r>
            <w:r>
              <w:rPr>
                <w:color w:val="095292"/>
                <w:sz w:val="22"/>
              </w:rPr>
              <w:t>(GLBTQ</w:t>
            </w:r>
            <w:r>
              <w:rPr>
                <w:color w:val="095292"/>
                <w:spacing w:val="-7"/>
                <w:sz w:val="22"/>
              </w:rPr>
              <w:t> </w:t>
            </w:r>
            <w:r>
              <w:rPr>
                <w:color w:val="095292"/>
                <w:sz w:val="22"/>
              </w:rPr>
              <w:t>Legal</w:t>
            </w:r>
            <w:r>
              <w:rPr>
                <w:color w:val="095292"/>
                <w:spacing w:val="-7"/>
                <w:sz w:val="22"/>
              </w:rPr>
              <w:t> </w:t>
            </w:r>
            <w:r>
              <w:rPr>
                <w:color w:val="095292"/>
                <w:sz w:val="22"/>
              </w:rPr>
              <w:t>Advocates</w:t>
            </w:r>
            <w:r>
              <w:rPr>
                <w:color w:val="095292"/>
                <w:spacing w:val="-8"/>
                <w:sz w:val="22"/>
              </w:rPr>
              <w:t> </w:t>
            </w:r>
            <w:r>
              <w:rPr>
                <w:color w:val="095292"/>
                <w:sz w:val="22"/>
              </w:rPr>
              <w:t>&amp;</w:t>
            </w:r>
            <w:r>
              <w:rPr>
                <w:color w:val="095292"/>
                <w:spacing w:val="-8"/>
                <w:sz w:val="22"/>
              </w:rPr>
              <w:t> </w:t>
            </w:r>
            <w:r>
              <w:rPr>
                <w:color w:val="095292"/>
                <w:spacing w:val="-2"/>
                <w:sz w:val="22"/>
              </w:rPr>
              <w:t>Defenders)</w:t>
            </w:r>
          </w:p>
        </w:tc>
        <w:tc>
          <w:tcPr>
            <w:tcW w:w="3953" w:type="dxa"/>
            <w:tcBorders>
              <w:right w:val="single" w:sz="4" w:space="0" w:color="000000"/>
            </w:tcBorders>
          </w:tcPr>
          <w:p>
            <w:pPr>
              <w:pStyle w:val="TableParagraph"/>
              <w:ind w:left="3" w:right="3"/>
              <w:jc w:val="center"/>
              <w:rPr>
                <w:sz w:val="22"/>
              </w:rPr>
            </w:pPr>
            <w:r>
              <w:rPr>
                <w:color w:val="095292"/>
                <w:sz w:val="22"/>
              </w:rPr>
              <w:t>The</w:t>
            </w:r>
            <w:r>
              <w:rPr>
                <w:color w:val="095292"/>
                <w:spacing w:val="-7"/>
                <w:sz w:val="22"/>
              </w:rPr>
              <w:t> </w:t>
            </w:r>
            <w:r>
              <w:rPr>
                <w:color w:val="095292"/>
                <w:sz w:val="22"/>
              </w:rPr>
              <w:t>Trevor</w:t>
            </w:r>
            <w:r>
              <w:rPr>
                <w:color w:val="095292"/>
                <w:spacing w:val="-8"/>
                <w:sz w:val="22"/>
              </w:rPr>
              <w:t> </w:t>
            </w:r>
            <w:r>
              <w:rPr>
                <w:color w:val="095292"/>
                <w:spacing w:val="-2"/>
                <w:sz w:val="22"/>
              </w:rPr>
              <w:t>Project</w:t>
            </w:r>
          </w:p>
        </w:tc>
      </w:tr>
      <w:tr>
        <w:trPr>
          <w:trHeight w:val="857" w:hRule="atLeast"/>
        </w:trPr>
        <w:tc>
          <w:tcPr>
            <w:tcW w:w="5065" w:type="dxa"/>
            <w:tcBorders>
              <w:left w:val="single" w:sz="4" w:space="0" w:color="000000"/>
            </w:tcBorders>
            <w:shd w:val="clear" w:color="auto" w:fill="C5E0F8"/>
          </w:tcPr>
          <w:p>
            <w:pPr>
              <w:pStyle w:val="TableParagraph"/>
              <w:ind w:left="6" w:right="10"/>
              <w:jc w:val="center"/>
              <w:rPr>
                <w:sz w:val="22"/>
              </w:rPr>
            </w:pPr>
            <w:r>
              <w:rPr>
                <w:color w:val="095292"/>
                <w:sz w:val="22"/>
              </w:rPr>
              <w:t>GLBT</w:t>
            </w:r>
            <w:r>
              <w:rPr>
                <w:color w:val="095292"/>
                <w:spacing w:val="-7"/>
                <w:sz w:val="22"/>
              </w:rPr>
              <w:t> </w:t>
            </w:r>
            <w:r>
              <w:rPr>
                <w:color w:val="095292"/>
                <w:sz w:val="22"/>
              </w:rPr>
              <w:t>Youth</w:t>
            </w:r>
            <w:r>
              <w:rPr>
                <w:color w:val="095292"/>
                <w:spacing w:val="-6"/>
                <w:sz w:val="22"/>
              </w:rPr>
              <w:t> </w:t>
            </w:r>
            <w:r>
              <w:rPr>
                <w:color w:val="095292"/>
                <w:sz w:val="22"/>
              </w:rPr>
              <w:t>Group</w:t>
            </w:r>
            <w:r>
              <w:rPr>
                <w:color w:val="095292"/>
                <w:spacing w:val="-7"/>
                <w:sz w:val="22"/>
              </w:rPr>
              <w:t> </w:t>
            </w:r>
            <w:r>
              <w:rPr>
                <w:color w:val="095292"/>
                <w:sz w:val="22"/>
              </w:rPr>
              <w:t>Network</w:t>
            </w:r>
            <w:r>
              <w:rPr>
                <w:color w:val="095292"/>
                <w:spacing w:val="-7"/>
                <w:sz w:val="22"/>
              </w:rPr>
              <w:t> </w:t>
            </w:r>
            <w:r>
              <w:rPr>
                <w:color w:val="095292"/>
                <w:sz w:val="22"/>
              </w:rPr>
              <w:t>of</w:t>
            </w:r>
            <w:r>
              <w:rPr>
                <w:color w:val="095292"/>
                <w:spacing w:val="-8"/>
                <w:sz w:val="22"/>
              </w:rPr>
              <w:t> </w:t>
            </w:r>
            <w:r>
              <w:rPr>
                <w:color w:val="095292"/>
                <w:spacing w:val="-5"/>
                <w:sz w:val="22"/>
              </w:rPr>
              <w:t>MA</w:t>
            </w:r>
          </w:p>
        </w:tc>
        <w:tc>
          <w:tcPr>
            <w:tcW w:w="3953" w:type="dxa"/>
            <w:tcBorders>
              <w:right w:val="single" w:sz="4" w:space="0" w:color="000000"/>
            </w:tcBorders>
            <w:shd w:val="clear" w:color="auto" w:fill="C5E0F8"/>
          </w:tcPr>
          <w:p>
            <w:pPr>
              <w:pStyle w:val="TableParagraph"/>
              <w:ind w:left="3" w:right="4"/>
              <w:jc w:val="center"/>
              <w:rPr>
                <w:sz w:val="22"/>
              </w:rPr>
            </w:pPr>
            <w:r>
              <w:rPr>
                <w:color w:val="095292"/>
                <w:sz w:val="22"/>
              </w:rPr>
              <w:t>Winthrop</w:t>
            </w:r>
            <w:r>
              <w:rPr>
                <w:color w:val="095292"/>
                <w:spacing w:val="-13"/>
                <w:sz w:val="22"/>
              </w:rPr>
              <w:t> </w:t>
            </w:r>
            <w:r>
              <w:rPr>
                <w:color w:val="095292"/>
                <w:sz w:val="22"/>
              </w:rPr>
              <w:t>CASA</w:t>
            </w:r>
            <w:r>
              <w:rPr>
                <w:color w:val="095292"/>
                <w:spacing w:val="-11"/>
                <w:sz w:val="22"/>
              </w:rPr>
              <w:t> </w:t>
            </w:r>
            <w:r>
              <w:rPr>
                <w:color w:val="095292"/>
                <w:sz w:val="22"/>
              </w:rPr>
              <w:t>(Community</w:t>
            </w:r>
            <w:r>
              <w:rPr>
                <w:color w:val="095292"/>
                <w:spacing w:val="-11"/>
                <w:sz w:val="22"/>
              </w:rPr>
              <w:t> </w:t>
            </w:r>
            <w:r>
              <w:rPr>
                <w:color w:val="095292"/>
                <w:sz w:val="22"/>
              </w:rPr>
              <w:t>Actions</w:t>
            </w:r>
            <w:r>
              <w:rPr>
                <w:color w:val="095292"/>
                <w:spacing w:val="-11"/>
                <w:sz w:val="22"/>
              </w:rPr>
              <w:t> </w:t>
            </w:r>
            <w:r>
              <w:rPr>
                <w:color w:val="095292"/>
                <w:spacing w:val="-5"/>
                <w:sz w:val="22"/>
              </w:rPr>
              <w:t>for</w:t>
            </w:r>
          </w:p>
          <w:p>
            <w:pPr>
              <w:pStyle w:val="TableParagraph"/>
              <w:spacing w:before="161"/>
              <w:ind w:left="4" w:right="1"/>
              <w:jc w:val="center"/>
              <w:rPr>
                <w:sz w:val="22"/>
              </w:rPr>
            </w:pPr>
            <w:r>
              <w:rPr>
                <w:color w:val="095292"/>
                <w:sz w:val="22"/>
              </w:rPr>
              <w:t>Safe</w:t>
            </w:r>
            <w:r>
              <w:rPr>
                <w:color w:val="095292"/>
                <w:spacing w:val="-5"/>
                <w:sz w:val="22"/>
              </w:rPr>
              <w:t> </w:t>
            </w:r>
            <w:r>
              <w:rPr>
                <w:color w:val="095292"/>
                <w:spacing w:val="-2"/>
                <w:sz w:val="22"/>
              </w:rPr>
              <w:t>Alternatives)</w:t>
            </w:r>
          </w:p>
        </w:tc>
      </w:tr>
      <w:tr>
        <w:trPr>
          <w:trHeight w:val="429" w:hRule="atLeast"/>
        </w:trPr>
        <w:tc>
          <w:tcPr>
            <w:tcW w:w="5065" w:type="dxa"/>
            <w:tcBorders>
              <w:left w:val="single" w:sz="4" w:space="0" w:color="000000"/>
              <w:bottom w:val="single" w:sz="4" w:space="0" w:color="000000"/>
            </w:tcBorders>
          </w:tcPr>
          <w:p>
            <w:pPr>
              <w:pStyle w:val="TableParagraph"/>
              <w:ind w:left="7" w:right="10"/>
              <w:jc w:val="center"/>
              <w:rPr>
                <w:sz w:val="22"/>
              </w:rPr>
            </w:pPr>
            <w:r>
              <w:rPr>
                <w:color w:val="095292"/>
                <w:spacing w:val="-4"/>
                <w:sz w:val="22"/>
              </w:rPr>
              <w:t>GLSEN</w:t>
            </w:r>
          </w:p>
        </w:tc>
        <w:tc>
          <w:tcPr>
            <w:tcW w:w="3953" w:type="dxa"/>
            <w:tcBorders>
              <w:bottom w:val="single" w:sz="4" w:space="0" w:color="000000"/>
              <w:right w:val="single" w:sz="4" w:space="0" w:color="000000"/>
            </w:tcBorders>
          </w:tcPr>
          <w:p>
            <w:pPr>
              <w:pStyle w:val="TableParagraph"/>
              <w:ind w:left="3" w:right="3"/>
              <w:jc w:val="center"/>
              <w:rPr>
                <w:sz w:val="22"/>
              </w:rPr>
            </w:pPr>
            <w:r>
              <w:rPr>
                <w:color w:val="095292"/>
                <w:sz w:val="22"/>
              </w:rPr>
              <w:t>Youth</w:t>
            </w:r>
            <w:r>
              <w:rPr>
                <w:color w:val="095292"/>
                <w:spacing w:val="-7"/>
                <w:sz w:val="22"/>
              </w:rPr>
              <w:t> </w:t>
            </w:r>
            <w:r>
              <w:rPr>
                <w:color w:val="095292"/>
                <w:sz w:val="22"/>
              </w:rPr>
              <w:t>on</w:t>
            </w:r>
            <w:r>
              <w:rPr>
                <w:color w:val="095292"/>
                <w:spacing w:val="-5"/>
                <w:sz w:val="22"/>
              </w:rPr>
              <w:t> </w:t>
            </w:r>
            <w:r>
              <w:rPr>
                <w:color w:val="095292"/>
                <w:spacing w:val="-4"/>
                <w:sz w:val="22"/>
              </w:rPr>
              <w:t>Fire</w:t>
            </w:r>
          </w:p>
        </w:tc>
      </w:tr>
    </w:tbl>
    <w:p>
      <w:pPr>
        <w:pStyle w:val="BodyText"/>
        <w:spacing w:before="185"/>
      </w:pPr>
    </w:p>
    <w:p>
      <w:pPr>
        <w:pStyle w:val="BodyText"/>
        <w:spacing w:line="276" w:lineRule="auto"/>
        <w:ind w:left="458" w:right="532"/>
        <w:jc w:val="both"/>
      </w:pPr>
      <w:r>
        <w:rPr/>
        <w:t>Finally, as we have learned throughout the COVID pandemic, expanding programming and support services</w:t>
      </w:r>
      <w:r>
        <w:rPr>
          <w:spacing w:val="-3"/>
        </w:rPr>
        <w:t> </w:t>
      </w:r>
      <w:r>
        <w:rPr/>
        <w:t>to</w:t>
      </w:r>
      <w:r>
        <w:rPr>
          <w:spacing w:val="-1"/>
        </w:rPr>
        <w:t> </w:t>
      </w:r>
      <w:r>
        <w:rPr/>
        <w:t>a</w:t>
      </w:r>
      <w:r>
        <w:rPr>
          <w:spacing w:val="-1"/>
        </w:rPr>
        <w:t> </w:t>
      </w:r>
      <w:r>
        <w:rPr/>
        <w:t>virtual</w:t>
      </w:r>
      <w:r>
        <w:rPr>
          <w:spacing w:val="-3"/>
        </w:rPr>
        <w:t> </w:t>
      </w:r>
      <w:r>
        <w:rPr/>
        <w:t>format</w:t>
      </w:r>
      <w:r>
        <w:rPr>
          <w:spacing w:val="-2"/>
        </w:rPr>
        <w:t> </w:t>
      </w:r>
      <w:r>
        <w:rPr/>
        <w:t>can</w:t>
      </w:r>
      <w:r>
        <w:rPr>
          <w:spacing w:val="-2"/>
        </w:rPr>
        <w:t> </w:t>
      </w:r>
      <w:r>
        <w:rPr/>
        <w:t>have</w:t>
      </w:r>
      <w:r>
        <w:rPr>
          <w:spacing w:val="-2"/>
        </w:rPr>
        <w:t> </w:t>
      </w:r>
      <w:r>
        <w:rPr/>
        <w:t>a</w:t>
      </w:r>
      <w:r>
        <w:rPr>
          <w:spacing w:val="-3"/>
        </w:rPr>
        <w:t> </w:t>
      </w:r>
      <w:r>
        <w:rPr/>
        <w:t>significant</w:t>
      </w:r>
      <w:r>
        <w:rPr>
          <w:spacing w:val="-2"/>
        </w:rPr>
        <w:t> </w:t>
      </w:r>
      <w:r>
        <w:rPr/>
        <w:t>impact</w:t>
      </w:r>
      <w:r>
        <w:rPr>
          <w:spacing w:val="-2"/>
        </w:rPr>
        <w:t> </w:t>
      </w:r>
      <w:r>
        <w:rPr/>
        <w:t>on</w:t>
      </w:r>
      <w:r>
        <w:rPr>
          <w:spacing w:val="-3"/>
        </w:rPr>
        <w:t> </w:t>
      </w:r>
      <w:r>
        <w:rPr/>
        <w:t>youth</w:t>
      </w:r>
      <w:r>
        <w:rPr>
          <w:spacing w:val="-1"/>
        </w:rPr>
        <w:t> </w:t>
      </w:r>
      <w:r>
        <w:rPr/>
        <w:t>who</w:t>
      </w:r>
      <w:r>
        <w:rPr>
          <w:spacing w:val="-2"/>
        </w:rPr>
        <w:t> </w:t>
      </w:r>
      <w:r>
        <w:rPr/>
        <w:t>would</w:t>
      </w:r>
      <w:r>
        <w:rPr>
          <w:spacing w:val="-2"/>
        </w:rPr>
        <w:t> </w:t>
      </w:r>
      <w:r>
        <w:rPr/>
        <w:t>otherwise</w:t>
      </w:r>
      <w:r>
        <w:rPr>
          <w:spacing w:val="-2"/>
        </w:rPr>
        <w:t> </w:t>
      </w:r>
      <w:r>
        <w:rPr/>
        <w:t>be</w:t>
      </w:r>
      <w:r>
        <w:rPr>
          <w:spacing w:val="-2"/>
        </w:rPr>
        <w:t> </w:t>
      </w:r>
      <w:r>
        <w:rPr/>
        <w:t>unable</w:t>
      </w:r>
      <w:r>
        <w:rPr>
          <w:spacing w:val="-2"/>
        </w:rPr>
        <w:t> </w:t>
      </w:r>
      <w:r>
        <w:rPr/>
        <w:t>to engage with critical resources.</w:t>
      </w:r>
      <w:r>
        <w:rPr>
          <w:vertAlign w:val="superscript"/>
        </w:rPr>
        <w:t>159</w:t>
      </w:r>
      <w:r>
        <w:rPr>
          <w:vertAlign w:val="baseline"/>
        </w:rPr>
        <w:t> Rural LGBTQ youth and LGBTQ youth with disabilities, in particular, may find virtual resources particularly helpful. Moving forward, public health professionals should embrace the technology that was developed and improved upon over the course of the pandemic to better</w:t>
      </w:r>
      <w:r>
        <w:rPr>
          <w:spacing w:val="-10"/>
          <w:vertAlign w:val="baseline"/>
        </w:rPr>
        <w:t> </w:t>
      </w:r>
      <w:r>
        <w:rPr>
          <w:vertAlign w:val="baseline"/>
        </w:rPr>
        <w:t>serve</w:t>
      </w:r>
      <w:r>
        <w:rPr>
          <w:spacing w:val="-8"/>
          <w:vertAlign w:val="baseline"/>
        </w:rPr>
        <w:t> </w:t>
      </w:r>
      <w:r>
        <w:rPr>
          <w:vertAlign w:val="baseline"/>
        </w:rPr>
        <w:t>diverse</w:t>
      </w:r>
      <w:r>
        <w:rPr>
          <w:spacing w:val="-10"/>
          <w:vertAlign w:val="baseline"/>
        </w:rPr>
        <w:t> </w:t>
      </w:r>
      <w:r>
        <w:rPr>
          <w:vertAlign w:val="baseline"/>
        </w:rPr>
        <w:t>populations</w:t>
      </w:r>
      <w:r>
        <w:rPr>
          <w:spacing w:val="-10"/>
          <w:vertAlign w:val="baseline"/>
        </w:rPr>
        <w:t> </w:t>
      </w:r>
      <w:r>
        <w:rPr>
          <w:vertAlign w:val="baseline"/>
        </w:rPr>
        <w:t>of</w:t>
      </w:r>
      <w:r>
        <w:rPr>
          <w:spacing w:val="-10"/>
          <w:vertAlign w:val="baseline"/>
        </w:rPr>
        <w:t> </w:t>
      </w:r>
      <w:r>
        <w:rPr>
          <w:vertAlign w:val="baseline"/>
        </w:rPr>
        <w:t>LGBTQ</w:t>
      </w:r>
      <w:r>
        <w:rPr>
          <w:spacing w:val="-9"/>
          <w:vertAlign w:val="baseline"/>
        </w:rPr>
        <w:t> </w:t>
      </w:r>
      <w:r>
        <w:rPr>
          <w:vertAlign w:val="baseline"/>
        </w:rPr>
        <w:t>youth.</w:t>
      </w:r>
      <w:r>
        <w:rPr>
          <w:spacing w:val="-9"/>
          <w:vertAlign w:val="baseline"/>
        </w:rPr>
        <w:t> </w:t>
      </w:r>
      <w:r>
        <w:rPr>
          <w:vertAlign w:val="baseline"/>
        </w:rPr>
        <w:t>Ultimately,</w:t>
      </w:r>
      <w:r>
        <w:rPr>
          <w:spacing w:val="-9"/>
          <w:vertAlign w:val="baseline"/>
        </w:rPr>
        <w:t> </w:t>
      </w:r>
      <w:r>
        <w:rPr>
          <w:vertAlign w:val="baseline"/>
        </w:rPr>
        <w:t>LGBTQ</w:t>
      </w:r>
      <w:r>
        <w:rPr>
          <w:spacing w:val="-10"/>
          <w:vertAlign w:val="baseline"/>
        </w:rPr>
        <w:t> </w:t>
      </w:r>
      <w:r>
        <w:rPr>
          <w:vertAlign w:val="baseline"/>
        </w:rPr>
        <w:t>youth</w:t>
      </w:r>
      <w:r>
        <w:rPr>
          <w:spacing w:val="-9"/>
          <w:vertAlign w:val="baseline"/>
        </w:rPr>
        <w:t> </w:t>
      </w:r>
      <w:r>
        <w:rPr>
          <w:vertAlign w:val="baseline"/>
        </w:rPr>
        <w:t>are</w:t>
      </w:r>
      <w:r>
        <w:rPr>
          <w:spacing w:val="-9"/>
          <w:vertAlign w:val="baseline"/>
        </w:rPr>
        <w:t> </w:t>
      </w:r>
      <w:r>
        <w:rPr>
          <w:vertAlign w:val="baseline"/>
        </w:rPr>
        <w:t>the</w:t>
      </w:r>
      <w:r>
        <w:rPr>
          <w:spacing w:val="-10"/>
          <w:vertAlign w:val="baseline"/>
        </w:rPr>
        <w:t> </w:t>
      </w:r>
      <w:r>
        <w:rPr>
          <w:vertAlign w:val="baseline"/>
        </w:rPr>
        <w:t>future,</w:t>
      </w:r>
      <w:r>
        <w:rPr>
          <w:spacing w:val="-9"/>
          <w:vertAlign w:val="baseline"/>
        </w:rPr>
        <w:t> </w:t>
      </w:r>
      <w:r>
        <w:rPr>
          <w:vertAlign w:val="baseline"/>
        </w:rPr>
        <w:t>but</w:t>
      </w:r>
      <w:r>
        <w:rPr>
          <w:spacing w:val="-11"/>
          <w:vertAlign w:val="baseline"/>
        </w:rPr>
        <w:t> </w:t>
      </w:r>
      <w:r>
        <w:rPr>
          <w:vertAlign w:val="baseline"/>
        </w:rPr>
        <w:t>without support,</w:t>
      </w:r>
      <w:r>
        <w:rPr>
          <w:spacing w:val="-4"/>
          <w:vertAlign w:val="baseline"/>
        </w:rPr>
        <w:t> </w:t>
      </w:r>
      <w:r>
        <w:rPr>
          <w:vertAlign w:val="baseline"/>
        </w:rPr>
        <w:t>it</w:t>
      </w:r>
      <w:r>
        <w:rPr>
          <w:spacing w:val="-3"/>
          <w:vertAlign w:val="baseline"/>
        </w:rPr>
        <w:t> </w:t>
      </w:r>
      <w:r>
        <w:rPr>
          <w:vertAlign w:val="baseline"/>
        </w:rPr>
        <w:t>can</w:t>
      </w:r>
      <w:r>
        <w:rPr>
          <w:spacing w:val="-4"/>
          <w:vertAlign w:val="baseline"/>
        </w:rPr>
        <w:t> </w:t>
      </w:r>
      <w:r>
        <w:rPr>
          <w:vertAlign w:val="baseline"/>
        </w:rPr>
        <w:t>be</w:t>
      </w:r>
      <w:r>
        <w:rPr>
          <w:spacing w:val="-3"/>
          <w:vertAlign w:val="baseline"/>
        </w:rPr>
        <w:t> </w:t>
      </w:r>
      <w:r>
        <w:rPr>
          <w:vertAlign w:val="baseline"/>
        </w:rPr>
        <w:t>hard</w:t>
      </w:r>
      <w:r>
        <w:rPr>
          <w:spacing w:val="-4"/>
          <w:vertAlign w:val="baseline"/>
        </w:rPr>
        <w:t> </w:t>
      </w:r>
      <w:r>
        <w:rPr>
          <w:vertAlign w:val="baseline"/>
        </w:rPr>
        <w:t>for</w:t>
      </w:r>
      <w:r>
        <w:rPr>
          <w:spacing w:val="-3"/>
          <w:vertAlign w:val="baseline"/>
        </w:rPr>
        <w:t> </w:t>
      </w:r>
      <w:r>
        <w:rPr>
          <w:vertAlign w:val="baseline"/>
        </w:rPr>
        <w:t>them</w:t>
      </w:r>
      <w:r>
        <w:rPr>
          <w:spacing w:val="-3"/>
          <w:vertAlign w:val="baseline"/>
        </w:rPr>
        <w:t> </w:t>
      </w:r>
      <w:r>
        <w:rPr>
          <w:vertAlign w:val="baseline"/>
        </w:rPr>
        <w:t>to</w:t>
      </w:r>
      <w:r>
        <w:rPr>
          <w:spacing w:val="-4"/>
          <w:vertAlign w:val="baseline"/>
        </w:rPr>
        <w:t> </w:t>
      </w:r>
      <w:r>
        <w:rPr>
          <w:vertAlign w:val="baseline"/>
        </w:rPr>
        <w:t>envision</w:t>
      </w:r>
      <w:r>
        <w:rPr>
          <w:spacing w:val="-4"/>
          <w:vertAlign w:val="baseline"/>
        </w:rPr>
        <w:t> </w:t>
      </w:r>
      <w:r>
        <w:rPr>
          <w:vertAlign w:val="baseline"/>
        </w:rPr>
        <w:t>a</w:t>
      </w:r>
      <w:r>
        <w:rPr>
          <w:spacing w:val="-4"/>
          <w:vertAlign w:val="baseline"/>
        </w:rPr>
        <w:t> </w:t>
      </w:r>
      <w:r>
        <w:rPr>
          <w:vertAlign w:val="baseline"/>
        </w:rPr>
        <w:t>world</w:t>
      </w:r>
      <w:r>
        <w:rPr>
          <w:spacing w:val="-4"/>
          <w:vertAlign w:val="baseline"/>
        </w:rPr>
        <w:t> </w:t>
      </w:r>
      <w:r>
        <w:rPr>
          <w:vertAlign w:val="baseline"/>
        </w:rPr>
        <w:t>with</w:t>
      </w:r>
      <w:r>
        <w:rPr>
          <w:spacing w:val="-4"/>
          <w:vertAlign w:val="baseline"/>
        </w:rPr>
        <w:t> </w:t>
      </w:r>
      <w:r>
        <w:rPr>
          <w:vertAlign w:val="baseline"/>
        </w:rPr>
        <w:t>them</w:t>
      </w:r>
      <w:r>
        <w:rPr>
          <w:spacing w:val="-3"/>
          <w:vertAlign w:val="baseline"/>
        </w:rPr>
        <w:t> </w:t>
      </w:r>
      <w:r>
        <w:rPr>
          <w:vertAlign w:val="baseline"/>
        </w:rPr>
        <w:t>in</w:t>
      </w:r>
      <w:r>
        <w:rPr>
          <w:spacing w:val="-4"/>
          <w:vertAlign w:val="baseline"/>
        </w:rPr>
        <w:t> </w:t>
      </w:r>
      <w:r>
        <w:rPr>
          <w:vertAlign w:val="baseline"/>
        </w:rPr>
        <w:t>it.</w:t>
      </w:r>
      <w:r>
        <w:rPr>
          <w:spacing w:val="-3"/>
          <w:vertAlign w:val="baseline"/>
        </w:rPr>
        <w:t> </w:t>
      </w:r>
      <w:r>
        <w:rPr>
          <w:vertAlign w:val="baseline"/>
        </w:rPr>
        <w:t>Public</w:t>
      </w:r>
      <w:r>
        <w:rPr>
          <w:spacing w:val="-3"/>
          <w:vertAlign w:val="baseline"/>
        </w:rPr>
        <w:t> </w:t>
      </w:r>
      <w:r>
        <w:rPr>
          <w:vertAlign w:val="baseline"/>
        </w:rPr>
        <w:t>health</w:t>
      </w:r>
      <w:r>
        <w:rPr>
          <w:spacing w:val="-3"/>
          <w:vertAlign w:val="baseline"/>
        </w:rPr>
        <w:t> </w:t>
      </w:r>
      <w:r>
        <w:rPr>
          <w:vertAlign w:val="baseline"/>
        </w:rPr>
        <w:t>has</w:t>
      </w:r>
      <w:r>
        <w:rPr>
          <w:spacing w:val="-4"/>
          <w:vertAlign w:val="baseline"/>
        </w:rPr>
        <w:t> </w:t>
      </w:r>
      <w:r>
        <w:rPr>
          <w:vertAlign w:val="baseline"/>
        </w:rPr>
        <w:t>the</w:t>
      </w:r>
      <w:r>
        <w:rPr>
          <w:spacing w:val="-4"/>
          <w:vertAlign w:val="baseline"/>
        </w:rPr>
        <w:t> </w:t>
      </w:r>
      <w:r>
        <w:rPr>
          <w:vertAlign w:val="baseline"/>
        </w:rPr>
        <w:t>opportunity to support LGBTQ youth as they resist, challenge, and change the structures that prevent them from fully attaining physical, mental, and emotional wellness.</w:t>
      </w:r>
    </w:p>
    <w:p>
      <w:pPr>
        <w:pStyle w:val="BodyText"/>
        <w:spacing w:before="130"/>
      </w:pPr>
    </w:p>
    <w:p>
      <w:pPr>
        <w:tabs>
          <w:tab w:pos="9919" w:val="left" w:leader="none"/>
        </w:tabs>
        <w:spacing w:before="1"/>
        <w:ind w:left="428" w:right="0" w:firstLine="0"/>
        <w:jc w:val="left"/>
        <w:rPr>
          <w:rFonts w:ascii="Cambria"/>
          <w:sz w:val="32"/>
        </w:rPr>
      </w:pPr>
      <w:bookmarkStart w:name="Acknowledgments &amp; Citations" w:id="231"/>
      <w:bookmarkEnd w:id="231"/>
      <w:r>
        <w:rPr/>
      </w:r>
      <w:r>
        <w:rPr>
          <w:rFonts w:ascii="Cambria"/>
          <w:color w:val="365F91"/>
          <w:spacing w:val="-41"/>
          <w:sz w:val="32"/>
          <w:u w:val="single" w:color="4F81BC"/>
        </w:rPr>
        <w:t> </w:t>
      </w:r>
      <w:r>
        <w:rPr>
          <w:rFonts w:ascii="Cambria"/>
          <w:color w:val="365F91"/>
          <w:sz w:val="32"/>
          <w:u w:val="single" w:color="4F81BC"/>
        </w:rPr>
        <w:t>Acknowledgments</w:t>
      </w:r>
      <w:r>
        <w:rPr>
          <w:rFonts w:ascii="Cambria"/>
          <w:color w:val="365F91"/>
          <w:spacing w:val="-6"/>
          <w:sz w:val="32"/>
          <w:u w:val="single" w:color="4F81BC"/>
        </w:rPr>
        <w:t> </w:t>
      </w:r>
      <w:r>
        <w:rPr>
          <w:rFonts w:ascii="Cambria"/>
          <w:color w:val="365F91"/>
          <w:sz w:val="32"/>
          <w:u w:val="single" w:color="4F81BC"/>
        </w:rPr>
        <w:t>&amp;</w:t>
      </w:r>
      <w:r>
        <w:rPr>
          <w:rFonts w:ascii="Cambria"/>
          <w:color w:val="365F91"/>
          <w:spacing w:val="-4"/>
          <w:sz w:val="32"/>
          <w:u w:val="single" w:color="4F81BC"/>
        </w:rPr>
        <w:t> </w:t>
      </w:r>
      <w:r>
        <w:rPr>
          <w:rFonts w:ascii="Cambria"/>
          <w:color w:val="365F91"/>
          <w:spacing w:val="-2"/>
          <w:sz w:val="32"/>
          <w:u w:val="single" w:color="4F81BC"/>
        </w:rPr>
        <w:t>Citations</w:t>
      </w:r>
      <w:r>
        <w:rPr>
          <w:rFonts w:ascii="Cambria"/>
          <w:color w:val="365F91"/>
          <w:sz w:val="32"/>
          <w:u w:val="single" w:color="4F81BC"/>
        </w:rPr>
        <w:tab/>
      </w:r>
    </w:p>
    <w:p>
      <w:pPr>
        <w:pStyle w:val="BodyText"/>
        <w:spacing w:before="23"/>
        <w:rPr>
          <w:rFonts w:ascii="Cambria"/>
          <w:sz w:val="21"/>
        </w:rPr>
      </w:pPr>
    </w:p>
    <w:p>
      <w:pPr>
        <w:spacing w:before="1"/>
        <w:ind w:left="460" w:right="0" w:firstLine="0"/>
        <w:jc w:val="left"/>
        <w:rPr>
          <w:i/>
          <w:sz w:val="21"/>
        </w:rPr>
      </w:pPr>
      <w:r>
        <w:rPr>
          <w:i/>
          <w:sz w:val="21"/>
        </w:rPr>
        <w:t>Acknowledgments:</w:t>
      </w:r>
      <w:r>
        <w:rPr>
          <w:i/>
          <w:spacing w:val="-3"/>
          <w:sz w:val="21"/>
        </w:rPr>
        <w:t> </w:t>
      </w:r>
      <w:r>
        <w:rPr>
          <w:i/>
          <w:sz w:val="21"/>
        </w:rPr>
        <w:t>Alexandra</w:t>
      </w:r>
      <w:r>
        <w:rPr>
          <w:i/>
          <w:spacing w:val="-2"/>
          <w:sz w:val="21"/>
        </w:rPr>
        <w:t> </w:t>
      </w:r>
      <w:r>
        <w:rPr>
          <w:i/>
          <w:sz w:val="21"/>
        </w:rPr>
        <w:t>Gago,</w:t>
      </w:r>
      <w:r>
        <w:rPr>
          <w:i/>
          <w:spacing w:val="-2"/>
          <w:sz w:val="21"/>
        </w:rPr>
        <w:t> </w:t>
      </w:r>
      <w:r>
        <w:rPr>
          <w:i/>
          <w:sz w:val="21"/>
        </w:rPr>
        <w:t>lead</w:t>
      </w:r>
      <w:r>
        <w:rPr>
          <w:i/>
          <w:spacing w:val="-3"/>
          <w:sz w:val="21"/>
        </w:rPr>
        <w:t> </w:t>
      </w:r>
      <w:r>
        <w:rPr>
          <w:i/>
          <w:sz w:val="21"/>
        </w:rPr>
        <w:t>researcher</w:t>
      </w:r>
      <w:r>
        <w:rPr>
          <w:i/>
          <w:spacing w:val="-4"/>
          <w:sz w:val="21"/>
        </w:rPr>
        <w:t> </w:t>
      </w:r>
      <w:r>
        <w:rPr>
          <w:i/>
          <w:sz w:val="21"/>
        </w:rPr>
        <w:t>and</w:t>
      </w:r>
      <w:r>
        <w:rPr>
          <w:i/>
          <w:spacing w:val="-3"/>
          <w:sz w:val="21"/>
        </w:rPr>
        <w:t> </w:t>
      </w:r>
      <w:r>
        <w:rPr>
          <w:i/>
          <w:sz w:val="21"/>
        </w:rPr>
        <w:t>author</w:t>
      </w:r>
      <w:r>
        <w:rPr>
          <w:i/>
          <w:spacing w:val="-3"/>
          <w:sz w:val="21"/>
        </w:rPr>
        <w:t> </w:t>
      </w:r>
      <w:r>
        <w:rPr>
          <w:i/>
          <w:spacing w:val="-2"/>
          <w:sz w:val="21"/>
        </w:rPr>
        <w:t>(2023)</w:t>
      </w:r>
    </w:p>
    <w:p>
      <w:pPr>
        <w:pStyle w:val="BodyText"/>
        <w:spacing w:before="188"/>
        <w:rPr>
          <w:i/>
          <w:sz w:val="21"/>
        </w:rPr>
      </w:pPr>
    </w:p>
    <w:p>
      <w:pPr>
        <w:spacing w:line="273" w:lineRule="auto" w:before="1"/>
        <w:ind w:left="463" w:right="0" w:firstLine="0"/>
        <w:jc w:val="left"/>
        <w:rPr>
          <w:sz w:val="18"/>
        </w:rPr>
      </w:pPr>
      <w:r>
        <w:rPr>
          <w:sz w:val="18"/>
          <w:vertAlign w:val="superscript"/>
        </w:rPr>
        <w:t>1</w:t>
      </w:r>
      <w:r>
        <w:rPr>
          <w:spacing w:val="-12"/>
          <w:sz w:val="18"/>
          <w:vertAlign w:val="baseline"/>
        </w:rPr>
        <w:t> </w:t>
      </w:r>
      <w:r>
        <w:rPr>
          <w:sz w:val="18"/>
          <w:vertAlign w:val="baseline"/>
        </w:rPr>
        <w:t>Brandon</w:t>
      </w:r>
      <w:r>
        <w:rPr>
          <w:spacing w:val="-3"/>
          <w:sz w:val="18"/>
          <w:vertAlign w:val="baseline"/>
        </w:rPr>
        <w:t> </w:t>
      </w:r>
      <w:r>
        <w:rPr>
          <w:sz w:val="18"/>
          <w:vertAlign w:val="baseline"/>
        </w:rPr>
        <w:t>Andrew</w:t>
      </w:r>
      <w:r>
        <w:rPr>
          <w:spacing w:val="-3"/>
          <w:sz w:val="18"/>
          <w:vertAlign w:val="baseline"/>
        </w:rPr>
        <w:t> </w:t>
      </w:r>
      <w:r>
        <w:rPr>
          <w:sz w:val="18"/>
          <w:vertAlign w:val="baseline"/>
        </w:rPr>
        <w:t>Robinson</w:t>
      </w:r>
      <w:r>
        <w:rPr>
          <w:spacing w:val="-2"/>
          <w:sz w:val="18"/>
          <w:vertAlign w:val="baseline"/>
        </w:rPr>
        <w:t> </w:t>
      </w:r>
      <w:r>
        <w:rPr>
          <w:sz w:val="18"/>
          <w:vertAlign w:val="baseline"/>
        </w:rPr>
        <w:t>and</w:t>
      </w:r>
      <w:r>
        <w:rPr>
          <w:spacing w:val="-2"/>
          <w:sz w:val="18"/>
          <w:vertAlign w:val="baseline"/>
        </w:rPr>
        <w:t> </w:t>
      </w:r>
      <w:r>
        <w:rPr>
          <w:sz w:val="18"/>
          <w:vertAlign w:val="baseline"/>
        </w:rPr>
        <w:t>Rachel</w:t>
      </w:r>
      <w:r>
        <w:rPr>
          <w:spacing w:val="-3"/>
          <w:sz w:val="18"/>
          <w:vertAlign w:val="baseline"/>
        </w:rPr>
        <w:t> </w:t>
      </w:r>
      <w:r>
        <w:rPr>
          <w:sz w:val="18"/>
          <w:vertAlign w:val="baseline"/>
        </w:rPr>
        <w:t>M.</w:t>
      </w:r>
      <w:r>
        <w:rPr>
          <w:spacing w:val="-2"/>
          <w:sz w:val="18"/>
          <w:vertAlign w:val="baseline"/>
        </w:rPr>
        <w:t> </w:t>
      </w:r>
      <w:r>
        <w:rPr>
          <w:sz w:val="18"/>
          <w:vertAlign w:val="baseline"/>
        </w:rPr>
        <w:t>Schmitz,</w:t>
      </w:r>
      <w:r>
        <w:rPr>
          <w:spacing w:val="-3"/>
          <w:sz w:val="18"/>
          <w:vertAlign w:val="baseline"/>
        </w:rPr>
        <w:t> </w:t>
      </w:r>
      <w:r>
        <w:rPr>
          <w:sz w:val="18"/>
          <w:vertAlign w:val="baseline"/>
        </w:rPr>
        <w:t>“Beyond</w:t>
      </w:r>
      <w:r>
        <w:rPr>
          <w:spacing w:val="-2"/>
          <w:sz w:val="18"/>
          <w:vertAlign w:val="baseline"/>
        </w:rPr>
        <w:t> </w:t>
      </w:r>
      <w:r>
        <w:rPr>
          <w:sz w:val="18"/>
          <w:vertAlign w:val="baseline"/>
        </w:rPr>
        <w:t>Resilience:</w:t>
      </w:r>
      <w:r>
        <w:rPr>
          <w:spacing w:val="-2"/>
          <w:sz w:val="18"/>
          <w:vertAlign w:val="baseline"/>
        </w:rPr>
        <w:t> </w:t>
      </w:r>
      <w:r>
        <w:rPr>
          <w:sz w:val="18"/>
          <w:vertAlign w:val="baseline"/>
        </w:rPr>
        <w:t>Resistance</w:t>
      </w:r>
      <w:r>
        <w:rPr>
          <w:spacing w:val="-2"/>
          <w:sz w:val="18"/>
          <w:vertAlign w:val="baseline"/>
        </w:rPr>
        <w:t> </w:t>
      </w:r>
      <w:r>
        <w:rPr>
          <w:sz w:val="18"/>
          <w:vertAlign w:val="baseline"/>
        </w:rPr>
        <w:t>in</w:t>
      </w:r>
      <w:r>
        <w:rPr>
          <w:spacing w:val="-2"/>
          <w:sz w:val="18"/>
          <w:vertAlign w:val="baseline"/>
        </w:rPr>
        <w:t> </w:t>
      </w:r>
      <w:r>
        <w:rPr>
          <w:sz w:val="18"/>
          <w:vertAlign w:val="baseline"/>
        </w:rPr>
        <w:t>the</w:t>
      </w:r>
      <w:r>
        <w:rPr>
          <w:spacing w:val="-2"/>
          <w:sz w:val="18"/>
          <w:vertAlign w:val="baseline"/>
        </w:rPr>
        <w:t> </w:t>
      </w:r>
      <w:r>
        <w:rPr>
          <w:sz w:val="18"/>
          <w:vertAlign w:val="baseline"/>
        </w:rPr>
        <w:t>Lives</w:t>
      </w:r>
      <w:r>
        <w:rPr>
          <w:spacing w:val="-2"/>
          <w:sz w:val="18"/>
          <w:vertAlign w:val="baseline"/>
        </w:rPr>
        <w:t> </w:t>
      </w:r>
      <w:r>
        <w:rPr>
          <w:sz w:val="18"/>
          <w:vertAlign w:val="baseline"/>
        </w:rPr>
        <w:t>of</w:t>
      </w:r>
      <w:r>
        <w:rPr>
          <w:spacing w:val="-5"/>
          <w:sz w:val="18"/>
          <w:vertAlign w:val="baseline"/>
        </w:rPr>
        <w:t> </w:t>
      </w:r>
      <w:r>
        <w:rPr>
          <w:sz w:val="18"/>
          <w:vertAlign w:val="baseline"/>
        </w:rPr>
        <w:t>LGBTQ</w:t>
      </w:r>
      <w:r>
        <w:rPr>
          <w:spacing w:val="-2"/>
          <w:sz w:val="18"/>
          <w:vertAlign w:val="baseline"/>
        </w:rPr>
        <w:t> </w:t>
      </w:r>
      <w:r>
        <w:rPr>
          <w:sz w:val="18"/>
          <w:vertAlign w:val="baseline"/>
        </w:rPr>
        <w:t>Youth,”</w:t>
      </w:r>
      <w:r>
        <w:rPr>
          <w:spacing w:val="-2"/>
          <w:sz w:val="18"/>
          <w:vertAlign w:val="baseline"/>
        </w:rPr>
        <w:t> </w:t>
      </w:r>
      <w:r>
        <w:rPr>
          <w:i/>
          <w:sz w:val="18"/>
          <w:vertAlign w:val="baseline"/>
        </w:rPr>
        <w:t>Sociology</w:t>
      </w:r>
      <w:r>
        <w:rPr>
          <w:i/>
          <w:sz w:val="18"/>
          <w:vertAlign w:val="baseline"/>
        </w:rPr>
        <w:t> Compass </w:t>
      </w:r>
      <w:r>
        <w:rPr>
          <w:sz w:val="18"/>
          <w:vertAlign w:val="baseline"/>
        </w:rPr>
        <w:t>15, no. 12 (2021): e12947, https://doi.org/10.1111/soc4.12947.</w:t>
      </w:r>
    </w:p>
    <w:p>
      <w:pPr>
        <w:spacing w:line="212" w:lineRule="exact" w:before="0"/>
        <w:ind w:left="463" w:right="0" w:firstLine="0"/>
        <w:jc w:val="left"/>
        <w:rPr>
          <w:sz w:val="18"/>
        </w:rPr>
      </w:pPr>
      <w:r>
        <w:rPr>
          <w:sz w:val="18"/>
          <w:vertAlign w:val="superscript"/>
        </w:rPr>
        <w:t>2</w:t>
      </w:r>
      <w:r>
        <w:rPr>
          <w:spacing w:val="-12"/>
          <w:sz w:val="18"/>
          <w:vertAlign w:val="baseline"/>
        </w:rPr>
        <w:t> </w:t>
      </w:r>
      <w:r>
        <w:rPr>
          <w:sz w:val="18"/>
          <w:vertAlign w:val="baseline"/>
        </w:rPr>
        <w:t>Robinson and </w:t>
      </w:r>
      <w:r>
        <w:rPr>
          <w:spacing w:val="-2"/>
          <w:sz w:val="18"/>
          <w:vertAlign w:val="baseline"/>
        </w:rPr>
        <w:t>Schmitz.</w:t>
      </w:r>
    </w:p>
    <w:p>
      <w:pPr>
        <w:spacing w:line="273" w:lineRule="auto" w:before="20"/>
        <w:ind w:left="463" w:right="311" w:hanging="1"/>
        <w:jc w:val="left"/>
        <w:rPr>
          <w:sz w:val="18"/>
        </w:rPr>
      </w:pPr>
      <w:r>
        <w:rPr>
          <w:sz w:val="18"/>
          <w:vertAlign w:val="superscript"/>
        </w:rPr>
        <w:t>3</w:t>
      </w:r>
      <w:r>
        <w:rPr>
          <w:spacing w:val="-12"/>
          <w:sz w:val="18"/>
          <w:vertAlign w:val="baseline"/>
        </w:rPr>
        <w:t> </w:t>
      </w:r>
      <w:r>
        <w:rPr>
          <w:sz w:val="18"/>
          <w:vertAlign w:val="baseline"/>
        </w:rPr>
        <w:t>“Somerville</w:t>
      </w:r>
      <w:r>
        <w:rPr>
          <w:spacing w:val="-3"/>
          <w:sz w:val="18"/>
          <w:vertAlign w:val="baseline"/>
        </w:rPr>
        <w:t> </w:t>
      </w:r>
      <w:r>
        <w:rPr>
          <w:sz w:val="18"/>
          <w:vertAlign w:val="baseline"/>
        </w:rPr>
        <w:t>Maps</w:t>
      </w:r>
      <w:r>
        <w:rPr>
          <w:spacing w:val="-2"/>
          <w:sz w:val="18"/>
          <w:vertAlign w:val="baseline"/>
        </w:rPr>
        <w:t> </w:t>
      </w:r>
      <w:r>
        <w:rPr>
          <w:sz w:val="18"/>
          <w:vertAlign w:val="baseline"/>
        </w:rPr>
        <w:t>Fastest</w:t>
      </w:r>
      <w:r>
        <w:rPr>
          <w:spacing w:val="-3"/>
          <w:sz w:val="18"/>
          <w:vertAlign w:val="baseline"/>
        </w:rPr>
        <w:t> </w:t>
      </w:r>
      <w:r>
        <w:rPr>
          <w:sz w:val="18"/>
          <w:vertAlign w:val="baseline"/>
        </w:rPr>
        <w:t>Path</w:t>
      </w:r>
      <w:r>
        <w:rPr>
          <w:spacing w:val="-2"/>
          <w:sz w:val="18"/>
          <w:vertAlign w:val="baseline"/>
        </w:rPr>
        <w:t> </w:t>
      </w:r>
      <w:r>
        <w:rPr>
          <w:sz w:val="18"/>
          <w:vertAlign w:val="baseline"/>
        </w:rPr>
        <w:t>to</w:t>
      </w:r>
      <w:r>
        <w:rPr>
          <w:spacing w:val="-2"/>
          <w:sz w:val="18"/>
          <w:vertAlign w:val="baseline"/>
        </w:rPr>
        <w:t> </w:t>
      </w:r>
      <w:r>
        <w:rPr>
          <w:sz w:val="18"/>
          <w:vertAlign w:val="baseline"/>
        </w:rPr>
        <w:t>State’s</w:t>
      </w:r>
      <w:r>
        <w:rPr>
          <w:spacing w:val="-2"/>
          <w:sz w:val="18"/>
          <w:vertAlign w:val="baseline"/>
        </w:rPr>
        <w:t> </w:t>
      </w:r>
      <w:r>
        <w:rPr>
          <w:sz w:val="18"/>
          <w:vertAlign w:val="baseline"/>
        </w:rPr>
        <w:t>First</w:t>
      </w:r>
      <w:r>
        <w:rPr>
          <w:spacing w:val="-3"/>
          <w:sz w:val="18"/>
          <w:vertAlign w:val="baseline"/>
        </w:rPr>
        <w:t> </w:t>
      </w:r>
      <w:r>
        <w:rPr>
          <w:sz w:val="18"/>
          <w:vertAlign w:val="baseline"/>
        </w:rPr>
        <w:t>Supervised</w:t>
      </w:r>
      <w:r>
        <w:rPr>
          <w:spacing w:val="-2"/>
          <w:sz w:val="18"/>
          <w:vertAlign w:val="baseline"/>
        </w:rPr>
        <w:t> </w:t>
      </w:r>
      <w:r>
        <w:rPr>
          <w:sz w:val="18"/>
          <w:vertAlign w:val="baseline"/>
        </w:rPr>
        <w:t>Consumption</w:t>
      </w:r>
      <w:r>
        <w:rPr>
          <w:spacing w:val="-2"/>
          <w:sz w:val="18"/>
          <w:vertAlign w:val="baseline"/>
        </w:rPr>
        <w:t> </w:t>
      </w:r>
      <w:r>
        <w:rPr>
          <w:sz w:val="18"/>
          <w:vertAlign w:val="baseline"/>
        </w:rPr>
        <w:t>Clinic</w:t>
      </w:r>
      <w:r>
        <w:rPr>
          <w:spacing w:val="-3"/>
          <w:sz w:val="18"/>
          <w:vertAlign w:val="baseline"/>
        </w:rPr>
        <w:t> </w:t>
      </w:r>
      <w:r>
        <w:rPr>
          <w:sz w:val="18"/>
          <w:vertAlign w:val="baseline"/>
        </w:rPr>
        <w:t>—</w:t>
      </w:r>
      <w:r>
        <w:rPr>
          <w:spacing w:val="-2"/>
          <w:sz w:val="18"/>
          <w:vertAlign w:val="baseline"/>
        </w:rPr>
        <w:t> </w:t>
      </w:r>
      <w:r>
        <w:rPr>
          <w:sz w:val="18"/>
          <w:vertAlign w:val="baseline"/>
        </w:rPr>
        <w:t>Starting</w:t>
      </w:r>
      <w:r>
        <w:rPr>
          <w:spacing w:val="-2"/>
          <w:sz w:val="18"/>
          <w:vertAlign w:val="baseline"/>
        </w:rPr>
        <w:t> </w:t>
      </w:r>
      <w:r>
        <w:rPr>
          <w:sz w:val="18"/>
          <w:vertAlign w:val="baseline"/>
        </w:rPr>
        <w:t>in</w:t>
      </w:r>
      <w:r>
        <w:rPr>
          <w:spacing w:val="-2"/>
          <w:sz w:val="18"/>
          <w:vertAlign w:val="baseline"/>
        </w:rPr>
        <w:t> </w:t>
      </w:r>
      <w:r>
        <w:rPr>
          <w:sz w:val="18"/>
          <w:vertAlign w:val="baseline"/>
        </w:rPr>
        <w:t>a</w:t>
      </w:r>
      <w:r>
        <w:rPr>
          <w:spacing w:val="-2"/>
          <w:sz w:val="18"/>
          <w:vertAlign w:val="baseline"/>
        </w:rPr>
        <w:t> </w:t>
      </w:r>
      <w:r>
        <w:rPr>
          <w:sz w:val="18"/>
          <w:vertAlign w:val="baseline"/>
        </w:rPr>
        <w:t>Parking</w:t>
      </w:r>
      <w:r>
        <w:rPr>
          <w:spacing w:val="-2"/>
          <w:sz w:val="18"/>
          <w:vertAlign w:val="baseline"/>
        </w:rPr>
        <w:t> </w:t>
      </w:r>
      <w:r>
        <w:rPr>
          <w:sz w:val="18"/>
          <w:vertAlign w:val="baseline"/>
        </w:rPr>
        <w:t>Lot,”</w:t>
      </w:r>
      <w:r>
        <w:rPr>
          <w:spacing w:val="-2"/>
          <w:sz w:val="18"/>
          <w:vertAlign w:val="baseline"/>
        </w:rPr>
        <w:t> </w:t>
      </w:r>
      <w:r>
        <w:rPr>
          <w:sz w:val="18"/>
          <w:vertAlign w:val="baseline"/>
        </w:rPr>
        <w:t>accessed</w:t>
      </w:r>
      <w:r>
        <w:rPr>
          <w:spacing w:val="-2"/>
          <w:sz w:val="18"/>
          <w:vertAlign w:val="baseline"/>
        </w:rPr>
        <w:t> </w:t>
      </w:r>
      <w:r>
        <w:rPr>
          <w:sz w:val="18"/>
          <w:vertAlign w:val="baseline"/>
        </w:rPr>
        <w:t>April</w:t>
      </w:r>
      <w:r>
        <w:rPr>
          <w:spacing w:val="-3"/>
          <w:sz w:val="18"/>
          <w:vertAlign w:val="baseline"/>
        </w:rPr>
        <w:t> </w:t>
      </w:r>
      <w:r>
        <w:rPr>
          <w:sz w:val="18"/>
          <w:vertAlign w:val="baseline"/>
        </w:rPr>
        <w:t>24, 2023,</w:t>
      </w:r>
      <w:r>
        <w:rPr>
          <w:spacing w:val="-2"/>
          <w:sz w:val="18"/>
          <w:vertAlign w:val="baseline"/>
        </w:rPr>
        <w:t> </w:t>
      </w:r>
      <w:r>
        <w:rPr>
          <w:sz w:val="18"/>
          <w:vertAlign w:val="baseline"/>
        </w:rPr>
        <w:t>https://</w:t>
      </w:r>
      <w:hyperlink r:id="rId142">
        <w:r>
          <w:rPr>
            <w:sz w:val="18"/>
            <w:vertAlign w:val="baseline"/>
          </w:rPr>
          <w:t>www.wbur.org/news/2022/07/29/massachusetts-supervised-drug-site-somerville-plan.</w:t>
        </w:r>
      </w:hyperlink>
    </w:p>
    <w:p>
      <w:pPr>
        <w:spacing w:after="0" w:line="273" w:lineRule="auto"/>
        <w:jc w:val="left"/>
        <w:rPr>
          <w:sz w:val="18"/>
        </w:rPr>
        <w:sectPr>
          <w:pgSz w:w="11910" w:h="16840"/>
          <w:pgMar w:header="804" w:footer="1277" w:top="1080" w:bottom="1480" w:left="980" w:right="900"/>
        </w:sectPr>
      </w:pPr>
    </w:p>
    <w:p>
      <w:pPr>
        <w:spacing w:line="268" w:lineRule="auto" w:before="88"/>
        <w:ind w:left="463" w:right="300" w:firstLine="0"/>
        <w:jc w:val="left"/>
        <w:rPr>
          <w:sz w:val="18"/>
        </w:rPr>
      </w:pPr>
      <w:r>
        <w:rPr>
          <w:sz w:val="18"/>
          <w:vertAlign w:val="superscript"/>
        </w:rPr>
        <w:t>4</w:t>
      </w:r>
      <w:r>
        <w:rPr>
          <w:spacing w:val="-8"/>
          <w:sz w:val="18"/>
          <w:vertAlign w:val="baseline"/>
        </w:rPr>
        <w:t> </w:t>
      </w:r>
      <w:r>
        <w:rPr>
          <w:sz w:val="18"/>
          <w:vertAlign w:val="baseline"/>
        </w:rPr>
        <w:t>Shelley D. Golden and Jo Anne L. Earp, “Social Ecological Approaches to Individuals and Their Contexts: Twenty Years of Health</w:t>
      </w:r>
      <w:r>
        <w:rPr>
          <w:spacing w:val="-2"/>
          <w:sz w:val="18"/>
          <w:vertAlign w:val="baseline"/>
        </w:rPr>
        <w:t> </w:t>
      </w:r>
      <w:r>
        <w:rPr>
          <w:sz w:val="18"/>
          <w:vertAlign w:val="baseline"/>
        </w:rPr>
        <w:t>Education</w:t>
      </w:r>
      <w:r>
        <w:rPr>
          <w:spacing w:val="-2"/>
          <w:sz w:val="18"/>
          <w:vertAlign w:val="baseline"/>
        </w:rPr>
        <w:t> </w:t>
      </w:r>
      <w:r>
        <w:rPr>
          <w:sz w:val="18"/>
          <w:vertAlign w:val="baseline"/>
        </w:rPr>
        <w:t>&amp;</w:t>
      </w:r>
      <w:r>
        <w:rPr>
          <w:spacing w:val="-3"/>
          <w:sz w:val="18"/>
          <w:vertAlign w:val="baseline"/>
        </w:rPr>
        <w:t> </w:t>
      </w:r>
      <w:r>
        <w:rPr>
          <w:sz w:val="18"/>
          <w:vertAlign w:val="baseline"/>
        </w:rPr>
        <w:t>Behavior</w:t>
      </w:r>
      <w:r>
        <w:rPr>
          <w:spacing w:val="-3"/>
          <w:sz w:val="18"/>
          <w:vertAlign w:val="baseline"/>
        </w:rPr>
        <w:t> </w:t>
      </w:r>
      <w:r>
        <w:rPr>
          <w:sz w:val="18"/>
          <w:vertAlign w:val="baseline"/>
        </w:rPr>
        <w:t>Health</w:t>
      </w:r>
      <w:r>
        <w:rPr>
          <w:spacing w:val="-2"/>
          <w:sz w:val="18"/>
          <w:vertAlign w:val="baseline"/>
        </w:rPr>
        <w:t> </w:t>
      </w:r>
      <w:r>
        <w:rPr>
          <w:sz w:val="18"/>
          <w:vertAlign w:val="baseline"/>
        </w:rPr>
        <w:t>Promotion</w:t>
      </w:r>
      <w:r>
        <w:rPr>
          <w:spacing w:val="-2"/>
          <w:sz w:val="18"/>
          <w:vertAlign w:val="baseline"/>
        </w:rPr>
        <w:t> </w:t>
      </w:r>
      <w:r>
        <w:rPr>
          <w:sz w:val="18"/>
          <w:vertAlign w:val="baseline"/>
        </w:rPr>
        <w:t>Interventions,”</w:t>
      </w:r>
      <w:r>
        <w:rPr>
          <w:spacing w:val="-2"/>
          <w:sz w:val="18"/>
          <w:vertAlign w:val="baseline"/>
        </w:rPr>
        <w:t> </w:t>
      </w:r>
      <w:r>
        <w:rPr>
          <w:i/>
          <w:sz w:val="18"/>
          <w:vertAlign w:val="baseline"/>
        </w:rPr>
        <w:t>Health</w:t>
      </w:r>
      <w:r>
        <w:rPr>
          <w:i/>
          <w:spacing w:val="-3"/>
          <w:sz w:val="18"/>
          <w:vertAlign w:val="baseline"/>
        </w:rPr>
        <w:t> </w:t>
      </w:r>
      <w:r>
        <w:rPr>
          <w:i/>
          <w:sz w:val="18"/>
          <w:vertAlign w:val="baseline"/>
        </w:rPr>
        <w:t>Education</w:t>
      </w:r>
      <w:r>
        <w:rPr>
          <w:i/>
          <w:spacing w:val="-1"/>
          <w:sz w:val="18"/>
          <w:vertAlign w:val="baseline"/>
        </w:rPr>
        <w:t> </w:t>
      </w:r>
      <w:r>
        <w:rPr>
          <w:i/>
          <w:sz w:val="18"/>
          <w:vertAlign w:val="baseline"/>
        </w:rPr>
        <w:t>&amp;</w:t>
      </w:r>
      <w:r>
        <w:rPr>
          <w:i/>
          <w:spacing w:val="-3"/>
          <w:sz w:val="18"/>
          <w:vertAlign w:val="baseline"/>
        </w:rPr>
        <w:t> </w:t>
      </w:r>
      <w:r>
        <w:rPr>
          <w:i/>
          <w:sz w:val="18"/>
          <w:vertAlign w:val="baseline"/>
        </w:rPr>
        <w:t>Behavior</w:t>
      </w:r>
      <w:r>
        <w:rPr>
          <w:i/>
          <w:spacing w:val="-3"/>
          <w:sz w:val="18"/>
          <w:vertAlign w:val="baseline"/>
        </w:rPr>
        <w:t> </w:t>
      </w:r>
      <w:r>
        <w:rPr>
          <w:sz w:val="18"/>
          <w:vertAlign w:val="baseline"/>
        </w:rPr>
        <w:t>39,</w:t>
      </w:r>
      <w:r>
        <w:rPr>
          <w:spacing w:val="-3"/>
          <w:sz w:val="18"/>
          <w:vertAlign w:val="baseline"/>
        </w:rPr>
        <w:t> </w:t>
      </w:r>
      <w:r>
        <w:rPr>
          <w:sz w:val="18"/>
          <w:vertAlign w:val="baseline"/>
        </w:rPr>
        <w:t>no.</w:t>
      </w:r>
      <w:r>
        <w:rPr>
          <w:spacing w:val="-2"/>
          <w:sz w:val="18"/>
          <w:vertAlign w:val="baseline"/>
        </w:rPr>
        <w:t> </w:t>
      </w:r>
      <w:r>
        <w:rPr>
          <w:sz w:val="18"/>
          <w:vertAlign w:val="baseline"/>
        </w:rPr>
        <w:t>3</w:t>
      </w:r>
      <w:r>
        <w:rPr>
          <w:spacing w:val="-2"/>
          <w:sz w:val="18"/>
          <w:vertAlign w:val="baseline"/>
        </w:rPr>
        <w:t> </w:t>
      </w:r>
      <w:r>
        <w:rPr>
          <w:sz w:val="18"/>
          <w:vertAlign w:val="baseline"/>
        </w:rPr>
        <w:t>(June</w:t>
      </w:r>
      <w:r>
        <w:rPr>
          <w:spacing w:val="-2"/>
          <w:sz w:val="18"/>
          <w:vertAlign w:val="baseline"/>
        </w:rPr>
        <w:t> </w:t>
      </w:r>
      <w:r>
        <w:rPr>
          <w:sz w:val="18"/>
          <w:vertAlign w:val="baseline"/>
        </w:rPr>
        <w:t>1,</w:t>
      </w:r>
      <w:r>
        <w:rPr>
          <w:spacing w:val="-3"/>
          <w:sz w:val="18"/>
          <w:vertAlign w:val="baseline"/>
        </w:rPr>
        <w:t> </w:t>
      </w:r>
      <w:r>
        <w:rPr>
          <w:sz w:val="18"/>
          <w:vertAlign w:val="baseline"/>
        </w:rPr>
        <w:t>2012):</w:t>
      </w:r>
      <w:r>
        <w:rPr>
          <w:spacing w:val="-2"/>
          <w:sz w:val="18"/>
          <w:vertAlign w:val="baseline"/>
        </w:rPr>
        <w:t> </w:t>
      </w:r>
      <w:r>
        <w:rPr>
          <w:sz w:val="18"/>
          <w:vertAlign w:val="baseline"/>
        </w:rPr>
        <w:t>364–</w:t>
      </w:r>
      <w:r>
        <w:rPr>
          <w:spacing w:val="-3"/>
          <w:sz w:val="18"/>
          <w:vertAlign w:val="baseline"/>
        </w:rPr>
        <w:t> </w:t>
      </w:r>
      <w:r>
        <w:rPr>
          <w:sz w:val="18"/>
          <w:vertAlign w:val="baseline"/>
        </w:rPr>
        <w:t>72, </w:t>
      </w:r>
      <w:r>
        <w:rPr>
          <w:spacing w:val="-2"/>
          <w:sz w:val="18"/>
          <w:vertAlign w:val="baseline"/>
        </w:rPr>
        <w:t>https://doi.org/10.1177/1090198111418634.</w:t>
      </w:r>
    </w:p>
    <w:p>
      <w:pPr>
        <w:spacing w:before="13"/>
        <w:ind w:left="463" w:right="0" w:firstLine="0"/>
        <w:jc w:val="left"/>
        <w:rPr>
          <w:sz w:val="18"/>
        </w:rPr>
      </w:pPr>
      <w:r>
        <w:rPr>
          <w:sz w:val="18"/>
          <w:vertAlign w:val="superscript"/>
        </w:rPr>
        <w:t>5</w:t>
      </w:r>
      <w:r>
        <w:rPr>
          <w:spacing w:val="-12"/>
          <w:sz w:val="18"/>
          <w:vertAlign w:val="baseline"/>
        </w:rPr>
        <w:t> </w:t>
      </w:r>
      <w:r>
        <w:rPr>
          <w:sz w:val="18"/>
          <w:vertAlign w:val="baseline"/>
        </w:rPr>
        <w:t>Golden</w:t>
      </w:r>
      <w:r>
        <w:rPr>
          <w:spacing w:val="1"/>
          <w:sz w:val="18"/>
          <w:vertAlign w:val="baseline"/>
        </w:rPr>
        <w:t> </w:t>
      </w:r>
      <w:r>
        <w:rPr>
          <w:sz w:val="18"/>
          <w:vertAlign w:val="baseline"/>
        </w:rPr>
        <w:t>and</w:t>
      </w:r>
      <w:r>
        <w:rPr>
          <w:spacing w:val="1"/>
          <w:sz w:val="18"/>
          <w:vertAlign w:val="baseline"/>
        </w:rPr>
        <w:t> </w:t>
      </w:r>
      <w:r>
        <w:rPr>
          <w:spacing w:val="-2"/>
          <w:sz w:val="18"/>
          <w:vertAlign w:val="baseline"/>
        </w:rPr>
        <w:t>Earp.</w:t>
      </w:r>
    </w:p>
    <w:p>
      <w:pPr>
        <w:spacing w:line="273" w:lineRule="auto" w:before="49"/>
        <w:ind w:left="463" w:right="0" w:firstLine="0"/>
        <w:jc w:val="left"/>
        <w:rPr>
          <w:sz w:val="18"/>
        </w:rPr>
      </w:pPr>
      <w:r>
        <w:rPr>
          <w:sz w:val="18"/>
          <w:vertAlign w:val="superscript"/>
        </w:rPr>
        <w:t>6</w:t>
      </w:r>
      <w:r>
        <w:rPr>
          <w:spacing w:val="-12"/>
          <w:sz w:val="18"/>
          <w:vertAlign w:val="baseline"/>
        </w:rPr>
        <w:t> </w:t>
      </w:r>
      <w:r>
        <w:rPr>
          <w:sz w:val="18"/>
          <w:vertAlign w:val="baseline"/>
        </w:rPr>
        <w:t>American</w:t>
      </w:r>
      <w:r>
        <w:rPr>
          <w:spacing w:val="-5"/>
          <w:sz w:val="18"/>
          <w:vertAlign w:val="baseline"/>
        </w:rPr>
        <w:t> </w:t>
      </w:r>
      <w:r>
        <w:rPr>
          <w:sz w:val="18"/>
          <w:vertAlign w:val="baseline"/>
        </w:rPr>
        <w:t>College</w:t>
      </w:r>
      <w:r>
        <w:rPr>
          <w:spacing w:val="-3"/>
          <w:sz w:val="18"/>
          <w:vertAlign w:val="baseline"/>
        </w:rPr>
        <w:t> </w:t>
      </w:r>
      <w:r>
        <w:rPr>
          <w:sz w:val="18"/>
          <w:vertAlign w:val="baseline"/>
        </w:rPr>
        <w:t>Health</w:t>
      </w:r>
      <w:r>
        <w:rPr>
          <w:spacing w:val="-3"/>
          <w:sz w:val="18"/>
          <w:vertAlign w:val="baseline"/>
        </w:rPr>
        <w:t> </w:t>
      </w:r>
      <w:r>
        <w:rPr>
          <w:sz w:val="18"/>
          <w:vertAlign w:val="baseline"/>
        </w:rPr>
        <w:t>Association,</w:t>
      </w:r>
      <w:r>
        <w:rPr>
          <w:spacing w:val="-4"/>
          <w:sz w:val="18"/>
          <w:vertAlign w:val="baseline"/>
        </w:rPr>
        <w:t> </w:t>
      </w:r>
      <w:r>
        <w:rPr>
          <w:sz w:val="18"/>
          <w:vertAlign w:val="baseline"/>
        </w:rPr>
        <w:t>“Ecological</w:t>
      </w:r>
      <w:r>
        <w:rPr>
          <w:spacing w:val="-4"/>
          <w:sz w:val="18"/>
          <w:vertAlign w:val="baseline"/>
        </w:rPr>
        <w:t> </w:t>
      </w:r>
      <w:r>
        <w:rPr>
          <w:sz w:val="18"/>
          <w:vertAlign w:val="baseline"/>
        </w:rPr>
        <w:t>Model,”</w:t>
      </w:r>
      <w:r>
        <w:rPr>
          <w:spacing w:val="-3"/>
          <w:sz w:val="18"/>
          <w:vertAlign w:val="baseline"/>
        </w:rPr>
        <w:t> </w:t>
      </w:r>
      <w:r>
        <w:rPr>
          <w:sz w:val="18"/>
          <w:vertAlign w:val="baseline"/>
        </w:rPr>
        <w:t>Healthy</w:t>
      </w:r>
      <w:r>
        <w:rPr>
          <w:spacing w:val="-3"/>
          <w:sz w:val="18"/>
          <w:vertAlign w:val="baseline"/>
        </w:rPr>
        <w:t> </w:t>
      </w:r>
      <w:r>
        <w:rPr>
          <w:sz w:val="18"/>
          <w:vertAlign w:val="baseline"/>
        </w:rPr>
        <w:t>Campus,</w:t>
      </w:r>
      <w:r>
        <w:rPr>
          <w:spacing w:val="-4"/>
          <w:sz w:val="18"/>
          <w:vertAlign w:val="baseline"/>
        </w:rPr>
        <w:t> </w:t>
      </w:r>
      <w:r>
        <w:rPr>
          <w:sz w:val="18"/>
          <w:vertAlign w:val="baseline"/>
        </w:rPr>
        <w:t>accessed</w:t>
      </w:r>
      <w:r>
        <w:rPr>
          <w:spacing w:val="-3"/>
          <w:sz w:val="18"/>
          <w:vertAlign w:val="baseline"/>
        </w:rPr>
        <w:t> </w:t>
      </w:r>
      <w:r>
        <w:rPr>
          <w:sz w:val="18"/>
          <w:vertAlign w:val="baseline"/>
        </w:rPr>
        <w:t>December</w:t>
      </w:r>
      <w:r>
        <w:rPr>
          <w:spacing w:val="-4"/>
          <w:sz w:val="18"/>
          <w:vertAlign w:val="baseline"/>
        </w:rPr>
        <w:t> </w:t>
      </w:r>
      <w:r>
        <w:rPr>
          <w:sz w:val="18"/>
          <w:vertAlign w:val="baseline"/>
        </w:rPr>
        <w:t>17,</w:t>
      </w:r>
      <w:r>
        <w:rPr>
          <w:spacing w:val="-4"/>
          <w:sz w:val="18"/>
          <w:vertAlign w:val="baseline"/>
        </w:rPr>
        <w:t> </w:t>
      </w:r>
      <w:r>
        <w:rPr>
          <w:sz w:val="18"/>
          <w:vertAlign w:val="baseline"/>
        </w:rPr>
        <w:t>2022, </w:t>
      </w:r>
      <w:r>
        <w:rPr>
          <w:spacing w:val="-2"/>
          <w:sz w:val="18"/>
          <w:vertAlign w:val="baseline"/>
        </w:rPr>
        <w:t>https</w:t>
      </w:r>
      <w:hyperlink r:id="rId143">
        <w:r>
          <w:rPr>
            <w:spacing w:val="-2"/>
            <w:sz w:val="18"/>
            <w:vertAlign w:val="baseline"/>
          </w:rPr>
          <w:t>://www.acha.org/HealthyCampus/HealthyCampus/Ecological_Model.aspx.</w:t>
        </w:r>
      </w:hyperlink>
    </w:p>
    <w:p>
      <w:pPr>
        <w:spacing w:line="268" w:lineRule="auto" w:before="9"/>
        <w:ind w:left="463" w:right="311" w:firstLine="0"/>
        <w:jc w:val="left"/>
        <w:rPr>
          <w:sz w:val="18"/>
        </w:rPr>
      </w:pPr>
      <w:r>
        <w:rPr>
          <w:sz w:val="18"/>
          <w:vertAlign w:val="superscript"/>
        </w:rPr>
        <w:t>7</w:t>
      </w:r>
      <w:r>
        <w:rPr>
          <w:spacing w:val="-12"/>
          <w:sz w:val="18"/>
          <w:vertAlign w:val="baseline"/>
        </w:rPr>
        <w:t> </w:t>
      </w:r>
      <w:r>
        <w:rPr>
          <w:sz w:val="18"/>
          <w:vertAlign w:val="baseline"/>
        </w:rPr>
        <w:t>“Recommended</w:t>
      </w:r>
      <w:r>
        <w:rPr>
          <w:spacing w:val="-4"/>
          <w:sz w:val="18"/>
          <w:vertAlign w:val="baseline"/>
        </w:rPr>
        <w:t> </w:t>
      </w:r>
      <w:r>
        <w:rPr>
          <w:sz w:val="18"/>
          <w:vertAlign w:val="baseline"/>
        </w:rPr>
        <w:t>Data</w:t>
      </w:r>
      <w:r>
        <w:rPr>
          <w:spacing w:val="-3"/>
          <w:sz w:val="18"/>
          <w:vertAlign w:val="baseline"/>
        </w:rPr>
        <w:t> </w:t>
      </w:r>
      <w:r>
        <w:rPr>
          <w:sz w:val="18"/>
          <w:vertAlign w:val="baseline"/>
        </w:rPr>
        <w:t>Reporting</w:t>
      </w:r>
      <w:r>
        <w:rPr>
          <w:spacing w:val="-3"/>
          <w:sz w:val="18"/>
          <w:vertAlign w:val="baseline"/>
        </w:rPr>
        <w:t> </w:t>
      </w:r>
      <w:r>
        <w:rPr>
          <w:sz w:val="18"/>
          <w:vertAlign w:val="baseline"/>
        </w:rPr>
        <w:t>Standards:</w:t>
      </w:r>
      <w:r>
        <w:rPr>
          <w:spacing w:val="-3"/>
          <w:sz w:val="18"/>
          <w:vertAlign w:val="baseline"/>
        </w:rPr>
        <w:t> </w:t>
      </w:r>
      <w:r>
        <w:rPr>
          <w:sz w:val="18"/>
          <w:vertAlign w:val="baseline"/>
        </w:rPr>
        <w:t>Recommendations</w:t>
      </w:r>
      <w:r>
        <w:rPr>
          <w:spacing w:val="-3"/>
          <w:sz w:val="18"/>
          <w:vertAlign w:val="baseline"/>
        </w:rPr>
        <w:t> </w:t>
      </w:r>
      <w:r>
        <w:rPr>
          <w:sz w:val="18"/>
          <w:vertAlign w:val="baseline"/>
        </w:rPr>
        <w:t>for</w:t>
      </w:r>
      <w:r>
        <w:rPr>
          <w:spacing w:val="-4"/>
          <w:sz w:val="18"/>
          <w:vertAlign w:val="baseline"/>
        </w:rPr>
        <w:t> </w:t>
      </w:r>
      <w:r>
        <w:rPr>
          <w:sz w:val="18"/>
          <w:vertAlign w:val="baseline"/>
        </w:rPr>
        <w:t>Reporting</w:t>
      </w:r>
      <w:r>
        <w:rPr>
          <w:spacing w:val="-3"/>
          <w:sz w:val="18"/>
          <w:vertAlign w:val="baseline"/>
        </w:rPr>
        <w:t> </w:t>
      </w:r>
      <w:r>
        <w:rPr>
          <w:sz w:val="18"/>
          <w:vertAlign w:val="baseline"/>
        </w:rPr>
        <w:t>on</w:t>
      </w:r>
      <w:r>
        <w:rPr>
          <w:spacing w:val="-3"/>
          <w:sz w:val="18"/>
          <w:vertAlign w:val="baseline"/>
        </w:rPr>
        <w:t> </w:t>
      </w:r>
      <w:r>
        <w:rPr>
          <w:sz w:val="18"/>
          <w:vertAlign w:val="baseline"/>
        </w:rPr>
        <w:t>Race,</w:t>
      </w:r>
      <w:r>
        <w:rPr>
          <w:spacing w:val="-4"/>
          <w:sz w:val="18"/>
          <w:vertAlign w:val="baseline"/>
        </w:rPr>
        <w:t> </w:t>
      </w:r>
      <w:r>
        <w:rPr>
          <w:sz w:val="18"/>
          <w:vertAlign w:val="baseline"/>
        </w:rPr>
        <w:t>Ethnicity,</w:t>
      </w:r>
      <w:r>
        <w:rPr>
          <w:spacing w:val="-3"/>
          <w:sz w:val="18"/>
          <w:vertAlign w:val="baseline"/>
        </w:rPr>
        <w:t> </w:t>
      </w:r>
      <w:r>
        <w:rPr>
          <w:sz w:val="18"/>
          <w:vertAlign w:val="baseline"/>
        </w:rPr>
        <w:t>Sexual</w:t>
      </w:r>
      <w:r>
        <w:rPr>
          <w:spacing w:val="-4"/>
          <w:sz w:val="18"/>
          <w:vertAlign w:val="baseline"/>
        </w:rPr>
        <w:t> </w:t>
      </w:r>
      <w:r>
        <w:rPr>
          <w:sz w:val="18"/>
          <w:vertAlign w:val="baseline"/>
        </w:rPr>
        <w:t>Orientation</w:t>
      </w:r>
      <w:r>
        <w:rPr>
          <w:spacing w:val="-3"/>
          <w:sz w:val="18"/>
          <w:vertAlign w:val="baseline"/>
        </w:rPr>
        <w:t> </w:t>
      </w:r>
      <w:r>
        <w:rPr>
          <w:sz w:val="18"/>
          <w:vertAlign w:val="baseline"/>
        </w:rPr>
        <w:t>and Gender Identity” (Massachusetts: The Juvenile Justice Policy and Data Board, November 2020), </w:t>
      </w:r>
      <w:r>
        <w:rPr>
          <w:spacing w:val="-2"/>
          <w:sz w:val="18"/>
          <w:vertAlign w:val="baseline"/>
        </w:rPr>
        <w:t>https://drive.google.com/drive/u/2/folders/18_t2Wa0JjoIyKMPhwpJLiKhzK0G6VdNJ.</w:t>
      </w:r>
    </w:p>
    <w:p>
      <w:pPr>
        <w:spacing w:line="273" w:lineRule="auto" w:before="14"/>
        <w:ind w:left="463" w:right="311" w:firstLine="0"/>
        <w:jc w:val="left"/>
        <w:rPr>
          <w:sz w:val="18"/>
        </w:rPr>
      </w:pPr>
      <w:r>
        <w:rPr>
          <w:sz w:val="18"/>
          <w:vertAlign w:val="superscript"/>
        </w:rPr>
        <w:t>8</w:t>
      </w:r>
      <w:r>
        <w:rPr>
          <w:spacing w:val="-12"/>
          <w:sz w:val="18"/>
          <w:vertAlign w:val="baseline"/>
        </w:rPr>
        <w:t> </w:t>
      </w:r>
      <w:r>
        <w:rPr>
          <w:sz w:val="18"/>
          <w:vertAlign w:val="baseline"/>
        </w:rPr>
        <w:t>Alison</w:t>
      </w:r>
      <w:r>
        <w:rPr>
          <w:spacing w:val="-4"/>
          <w:sz w:val="18"/>
          <w:vertAlign w:val="baseline"/>
        </w:rPr>
        <w:t> </w:t>
      </w:r>
      <w:r>
        <w:rPr>
          <w:sz w:val="18"/>
          <w:vertAlign w:val="baseline"/>
        </w:rPr>
        <w:t>Delpercio</w:t>
      </w:r>
      <w:r>
        <w:rPr>
          <w:spacing w:val="-3"/>
          <w:sz w:val="18"/>
          <w:vertAlign w:val="baseline"/>
        </w:rPr>
        <w:t> </w:t>
      </w:r>
      <w:r>
        <w:rPr>
          <w:sz w:val="18"/>
          <w:vertAlign w:val="baseline"/>
        </w:rPr>
        <w:t>and</w:t>
      </w:r>
      <w:r>
        <w:rPr>
          <w:spacing w:val="-3"/>
          <w:sz w:val="18"/>
          <w:vertAlign w:val="baseline"/>
        </w:rPr>
        <w:t> </w:t>
      </w:r>
      <w:r>
        <w:rPr>
          <w:sz w:val="18"/>
          <w:vertAlign w:val="baseline"/>
        </w:rPr>
        <w:t>Gabe</w:t>
      </w:r>
      <w:r>
        <w:rPr>
          <w:spacing w:val="-3"/>
          <w:sz w:val="18"/>
          <w:vertAlign w:val="baseline"/>
        </w:rPr>
        <w:t> </w:t>
      </w:r>
      <w:r>
        <w:rPr>
          <w:sz w:val="18"/>
          <w:vertAlign w:val="baseline"/>
        </w:rPr>
        <w:t>Murchison,</w:t>
      </w:r>
      <w:r>
        <w:rPr>
          <w:spacing w:val="-4"/>
          <w:sz w:val="18"/>
          <w:vertAlign w:val="baseline"/>
        </w:rPr>
        <w:t> </w:t>
      </w:r>
      <w:r>
        <w:rPr>
          <w:sz w:val="18"/>
          <w:vertAlign w:val="baseline"/>
        </w:rPr>
        <w:t>“SOGIE*</w:t>
      </w:r>
      <w:r>
        <w:rPr>
          <w:spacing w:val="-3"/>
          <w:sz w:val="18"/>
          <w:vertAlign w:val="baseline"/>
        </w:rPr>
        <w:t> </w:t>
      </w:r>
      <w:r>
        <w:rPr>
          <w:sz w:val="18"/>
          <w:vertAlign w:val="baseline"/>
        </w:rPr>
        <w:t>Data</w:t>
      </w:r>
      <w:r>
        <w:rPr>
          <w:spacing w:val="-3"/>
          <w:sz w:val="18"/>
          <w:vertAlign w:val="baseline"/>
        </w:rPr>
        <w:t> </w:t>
      </w:r>
      <w:r>
        <w:rPr>
          <w:sz w:val="18"/>
          <w:vertAlign w:val="baseline"/>
        </w:rPr>
        <w:t>Collection”</w:t>
      </w:r>
      <w:r>
        <w:rPr>
          <w:spacing w:val="-3"/>
          <w:sz w:val="18"/>
          <w:vertAlign w:val="baseline"/>
        </w:rPr>
        <w:t> </w:t>
      </w:r>
      <w:r>
        <w:rPr>
          <w:sz w:val="18"/>
          <w:vertAlign w:val="baseline"/>
        </w:rPr>
        <w:t>(Washington,</w:t>
      </w:r>
      <w:r>
        <w:rPr>
          <w:spacing w:val="-4"/>
          <w:sz w:val="18"/>
          <w:vertAlign w:val="baseline"/>
        </w:rPr>
        <w:t> </w:t>
      </w:r>
      <w:r>
        <w:rPr>
          <w:sz w:val="18"/>
          <w:vertAlign w:val="baseline"/>
        </w:rPr>
        <w:t>D.C.:</w:t>
      </w:r>
      <w:r>
        <w:rPr>
          <w:spacing w:val="-3"/>
          <w:sz w:val="18"/>
          <w:vertAlign w:val="baseline"/>
        </w:rPr>
        <w:t> </w:t>
      </w:r>
      <w:r>
        <w:rPr>
          <w:sz w:val="18"/>
          <w:vertAlign w:val="baseline"/>
        </w:rPr>
        <w:t>Human</w:t>
      </w:r>
      <w:r>
        <w:rPr>
          <w:spacing w:val="-3"/>
          <w:sz w:val="18"/>
          <w:vertAlign w:val="baseline"/>
        </w:rPr>
        <w:t> </w:t>
      </w:r>
      <w:r>
        <w:rPr>
          <w:sz w:val="18"/>
          <w:vertAlign w:val="baseline"/>
        </w:rPr>
        <w:t>Rights</w:t>
      </w:r>
      <w:r>
        <w:rPr>
          <w:spacing w:val="-3"/>
          <w:sz w:val="18"/>
          <w:vertAlign w:val="baseline"/>
        </w:rPr>
        <w:t> </w:t>
      </w:r>
      <w:r>
        <w:rPr>
          <w:sz w:val="18"/>
          <w:vertAlign w:val="baseline"/>
        </w:rPr>
        <w:t>Campaign</w:t>
      </w:r>
      <w:r>
        <w:rPr>
          <w:spacing w:val="-3"/>
          <w:sz w:val="18"/>
          <w:vertAlign w:val="baseline"/>
        </w:rPr>
        <w:t> </w:t>
      </w:r>
      <w:r>
        <w:rPr>
          <w:sz w:val="18"/>
          <w:vertAlign w:val="baseline"/>
        </w:rPr>
        <w:t>Foundation, 2017),</w:t>
      </w:r>
      <w:r>
        <w:rPr>
          <w:spacing w:val="-2"/>
          <w:sz w:val="18"/>
          <w:vertAlign w:val="baseline"/>
        </w:rPr>
        <w:t> </w:t>
      </w:r>
      <w:hyperlink r:id="rId144">
        <w:r>
          <w:rPr>
            <w:sz w:val="18"/>
            <w:vertAlign w:val="baseline"/>
          </w:rPr>
          <w:t>http://assets2.hrc.org/files/assets/resources/HRC_ACAF_SOGIE_Data_Collection_Guide.pdf</w:t>
        </w:r>
      </w:hyperlink>
    </w:p>
    <w:p>
      <w:pPr>
        <w:spacing w:line="266" w:lineRule="auto" w:before="9"/>
        <w:ind w:left="463" w:right="449" w:hanging="1"/>
        <w:jc w:val="left"/>
        <w:rPr>
          <w:sz w:val="18"/>
        </w:rPr>
      </w:pPr>
      <w:r>
        <w:rPr>
          <w:sz w:val="18"/>
          <w:vertAlign w:val="superscript"/>
        </w:rPr>
        <w:t>9</w:t>
      </w:r>
      <w:r>
        <w:rPr>
          <w:spacing w:val="-7"/>
          <w:sz w:val="18"/>
          <w:vertAlign w:val="baseline"/>
        </w:rPr>
        <w:t> </w:t>
      </w:r>
      <w:r>
        <w:rPr>
          <w:sz w:val="18"/>
          <w:vertAlign w:val="baseline"/>
        </w:rPr>
        <w:t>“Ready, Set, Go! Guidelines and Tips For Collecting Patient Data on Sexual Orientation and Gender Identity (SOGI) – 2022 Update” (Boston, Massachusetts: National LGBTQIA+ Health Education Center - A Program of the Fenway Institute, May 5, 2022),</w:t>
      </w:r>
      <w:r>
        <w:rPr>
          <w:spacing w:val="-11"/>
          <w:sz w:val="18"/>
          <w:vertAlign w:val="baseline"/>
        </w:rPr>
        <w:t> </w:t>
      </w:r>
      <w:r>
        <w:rPr>
          <w:sz w:val="18"/>
          <w:vertAlign w:val="baseline"/>
        </w:rPr>
        <w:t>https://</w:t>
      </w:r>
      <w:hyperlink r:id="rId145">
        <w:r>
          <w:rPr>
            <w:sz w:val="18"/>
            <w:vertAlign w:val="baseline"/>
          </w:rPr>
          <w:t>www.lgbtqiahealtheducation.org/publication/ready-set-go-a-guide-for-collecting-data-on-sexual-</w:t>
        </w:r>
      </w:hyperlink>
      <w:r>
        <w:rPr>
          <w:spacing w:val="-10"/>
          <w:sz w:val="18"/>
          <w:vertAlign w:val="baseline"/>
        </w:rPr>
        <w:t> </w:t>
      </w:r>
      <w:r>
        <w:rPr>
          <w:sz w:val="18"/>
          <w:vertAlign w:val="baseline"/>
        </w:rPr>
        <w:t>orientation- </w:t>
      </w:r>
      <w:r>
        <w:rPr>
          <w:spacing w:val="-2"/>
          <w:sz w:val="18"/>
          <w:vertAlign w:val="baseline"/>
        </w:rPr>
        <w:t>and-gender-identity-2022-update/.</w:t>
      </w:r>
    </w:p>
    <w:p>
      <w:pPr>
        <w:spacing w:line="273" w:lineRule="auto" w:before="18"/>
        <w:ind w:left="463" w:right="300" w:hanging="1"/>
        <w:jc w:val="left"/>
        <w:rPr>
          <w:sz w:val="18"/>
        </w:rPr>
      </w:pPr>
      <w:r>
        <w:rPr>
          <w:sz w:val="18"/>
          <w:vertAlign w:val="superscript"/>
        </w:rPr>
        <w:t>10</w:t>
      </w:r>
      <w:r>
        <w:rPr>
          <w:spacing w:val="-12"/>
          <w:sz w:val="18"/>
          <w:vertAlign w:val="baseline"/>
        </w:rPr>
        <w:t> </w:t>
      </w:r>
      <w:r>
        <w:rPr>
          <w:sz w:val="18"/>
          <w:vertAlign w:val="baseline"/>
        </w:rPr>
        <w:t>“Fast</w:t>
      </w:r>
      <w:r>
        <w:rPr>
          <w:spacing w:val="-3"/>
          <w:sz w:val="18"/>
          <w:vertAlign w:val="baseline"/>
        </w:rPr>
        <w:t> </w:t>
      </w:r>
      <w:r>
        <w:rPr>
          <w:sz w:val="18"/>
          <w:vertAlign w:val="baseline"/>
        </w:rPr>
        <w:t>Facts:</w:t>
      </w:r>
      <w:r>
        <w:rPr>
          <w:spacing w:val="-2"/>
          <w:sz w:val="18"/>
          <w:vertAlign w:val="baseline"/>
        </w:rPr>
        <w:t> </w:t>
      </w:r>
      <w:r>
        <w:rPr>
          <w:sz w:val="18"/>
          <w:vertAlign w:val="baseline"/>
        </w:rPr>
        <w:t>Preventing</w:t>
      </w:r>
      <w:r>
        <w:rPr>
          <w:spacing w:val="-2"/>
          <w:sz w:val="18"/>
          <w:vertAlign w:val="baseline"/>
        </w:rPr>
        <w:t> </w:t>
      </w:r>
      <w:r>
        <w:rPr>
          <w:sz w:val="18"/>
          <w:vertAlign w:val="baseline"/>
        </w:rPr>
        <w:t>Teen</w:t>
      </w:r>
      <w:r>
        <w:rPr>
          <w:spacing w:val="-2"/>
          <w:sz w:val="18"/>
          <w:vertAlign w:val="baseline"/>
        </w:rPr>
        <w:t> </w:t>
      </w:r>
      <w:r>
        <w:rPr>
          <w:sz w:val="18"/>
          <w:vertAlign w:val="baseline"/>
        </w:rPr>
        <w:t>Dating</w:t>
      </w:r>
      <w:r>
        <w:rPr>
          <w:spacing w:val="-2"/>
          <w:sz w:val="18"/>
          <w:vertAlign w:val="baseline"/>
        </w:rPr>
        <w:t> </w:t>
      </w:r>
      <w:r>
        <w:rPr>
          <w:sz w:val="18"/>
          <w:vertAlign w:val="baseline"/>
        </w:rPr>
        <w:t>Violence,”</w:t>
      </w:r>
      <w:r>
        <w:rPr>
          <w:spacing w:val="-2"/>
          <w:sz w:val="18"/>
          <w:vertAlign w:val="baseline"/>
        </w:rPr>
        <w:t> </w:t>
      </w:r>
      <w:r>
        <w:rPr>
          <w:sz w:val="18"/>
          <w:vertAlign w:val="baseline"/>
        </w:rPr>
        <w:t>Centers</w:t>
      </w:r>
      <w:r>
        <w:rPr>
          <w:spacing w:val="-2"/>
          <w:sz w:val="18"/>
          <w:vertAlign w:val="baseline"/>
        </w:rPr>
        <w:t> </w:t>
      </w:r>
      <w:r>
        <w:rPr>
          <w:sz w:val="18"/>
          <w:vertAlign w:val="baseline"/>
        </w:rPr>
        <w:t>for</w:t>
      </w:r>
      <w:r>
        <w:rPr>
          <w:spacing w:val="-3"/>
          <w:sz w:val="18"/>
          <w:vertAlign w:val="baseline"/>
        </w:rPr>
        <w:t> </w:t>
      </w:r>
      <w:r>
        <w:rPr>
          <w:sz w:val="18"/>
          <w:vertAlign w:val="baseline"/>
        </w:rPr>
        <w:t>Disease</w:t>
      </w:r>
      <w:r>
        <w:rPr>
          <w:spacing w:val="-2"/>
          <w:sz w:val="18"/>
          <w:vertAlign w:val="baseline"/>
        </w:rPr>
        <w:t> </w:t>
      </w:r>
      <w:r>
        <w:rPr>
          <w:sz w:val="18"/>
          <w:vertAlign w:val="baseline"/>
        </w:rPr>
        <w:t>Control</w:t>
      </w:r>
      <w:r>
        <w:rPr>
          <w:spacing w:val="-3"/>
          <w:sz w:val="18"/>
          <w:vertAlign w:val="baseline"/>
        </w:rPr>
        <w:t> </w:t>
      </w:r>
      <w:r>
        <w:rPr>
          <w:sz w:val="18"/>
          <w:vertAlign w:val="baseline"/>
        </w:rPr>
        <w:t>and</w:t>
      </w:r>
      <w:r>
        <w:rPr>
          <w:spacing w:val="-3"/>
          <w:sz w:val="18"/>
          <w:vertAlign w:val="baseline"/>
        </w:rPr>
        <w:t> </w:t>
      </w:r>
      <w:r>
        <w:rPr>
          <w:sz w:val="18"/>
          <w:vertAlign w:val="baseline"/>
        </w:rPr>
        <w:t>Prevention</w:t>
      </w:r>
      <w:r>
        <w:rPr>
          <w:spacing w:val="-2"/>
          <w:sz w:val="18"/>
          <w:vertAlign w:val="baseline"/>
        </w:rPr>
        <w:t> </w:t>
      </w:r>
      <w:r>
        <w:rPr>
          <w:sz w:val="18"/>
          <w:vertAlign w:val="baseline"/>
        </w:rPr>
        <w:t>-</w:t>
      </w:r>
      <w:r>
        <w:rPr>
          <w:spacing w:val="-4"/>
          <w:sz w:val="18"/>
          <w:vertAlign w:val="baseline"/>
        </w:rPr>
        <w:t> </w:t>
      </w:r>
      <w:r>
        <w:rPr>
          <w:sz w:val="18"/>
          <w:vertAlign w:val="baseline"/>
        </w:rPr>
        <w:t>Violence</w:t>
      </w:r>
      <w:r>
        <w:rPr>
          <w:spacing w:val="-2"/>
          <w:sz w:val="18"/>
          <w:vertAlign w:val="baseline"/>
        </w:rPr>
        <w:t> </w:t>
      </w:r>
      <w:r>
        <w:rPr>
          <w:sz w:val="18"/>
          <w:vertAlign w:val="baseline"/>
        </w:rPr>
        <w:t>Prevention,</w:t>
      </w:r>
      <w:r>
        <w:rPr>
          <w:spacing w:val="-3"/>
          <w:sz w:val="18"/>
          <w:vertAlign w:val="baseline"/>
        </w:rPr>
        <w:t> </w:t>
      </w:r>
      <w:r>
        <w:rPr>
          <w:sz w:val="18"/>
          <w:vertAlign w:val="baseline"/>
        </w:rPr>
        <w:t>February</w:t>
      </w:r>
      <w:r>
        <w:rPr>
          <w:spacing w:val="-2"/>
          <w:sz w:val="18"/>
          <w:vertAlign w:val="baseline"/>
        </w:rPr>
        <w:t> </w:t>
      </w:r>
      <w:r>
        <w:rPr>
          <w:sz w:val="18"/>
          <w:vertAlign w:val="baseline"/>
        </w:rPr>
        <w:t>8, 2023,</w:t>
      </w:r>
      <w:r>
        <w:rPr>
          <w:spacing w:val="-2"/>
          <w:sz w:val="18"/>
          <w:vertAlign w:val="baseline"/>
        </w:rPr>
        <w:t> </w:t>
      </w:r>
      <w:r>
        <w:rPr>
          <w:sz w:val="18"/>
          <w:vertAlign w:val="baseline"/>
        </w:rPr>
        <w:t>https://</w:t>
      </w:r>
      <w:hyperlink r:id="rId146">
        <w:r>
          <w:rPr>
            <w:sz w:val="18"/>
            <w:vertAlign w:val="baseline"/>
          </w:rPr>
          <w:t>www.cdc.gov/violenceprevention/intimatepartnerviolence/teendatingviolence/fastfact.html.</w:t>
        </w:r>
      </w:hyperlink>
    </w:p>
    <w:p>
      <w:pPr>
        <w:spacing w:line="212" w:lineRule="exact" w:before="0"/>
        <w:ind w:left="463" w:right="0" w:firstLine="0"/>
        <w:jc w:val="left"/>
        <w:rPr>
          <w:sz w:val="18"/>
        </w:rPr>
      </w:pPr>
      <w:r>
        <w:rPr>
          <w:sz w:val="18"/>
          <w:vertAlign w:val="superscript"/>
        </w:rPr>
        <w:t>11</w:t>
      </w:r>
      <w:r>
        <w:rPr>
          <w:spacing w:val="-12"/>
          <w:sz w:val="18"/>
          <w:vertAlign w:val="baseline"/>
        </w:rPr>
        <w:t> </w:t>
      </w:r>
      <w:r>
        <w:rPr>
          <w:sz w:val="18"/>
          <w:vertAlign w:val="baseline"/>
        </w:rPr>
        <w:t>“2021</w:t>
      </w:r>
      <w:r>
        <w:rPr>
          <w:spacing w:val="-3"/>
          <w:sz w:val="18"/>
          <w:vertAlign w:val="baseline"/>
        </w:rPr>
        <w:t> </w:t>
      </w:r>
      <w:r>
        <w:rPr>
          <w:sz w:val="18"/>
          <w:vertAlign w:val="baseline"/>
        </w:rPr>
        <w:t>Massachusetts</w:t>
      </w:r>
      <w:r>
        <w:rPr>
          <w:spacing w:val="-2"/>
          <w:sz w:val="18"/>
          <w:vertAlign w:val="baseline"/>
        </w:rPr>
        <w:t> </w:t>
      </w:r>
      <w:r>
        <w:rPr>
          <w:sz w:val="18"/>
          <w:vertAlign w:val="baseline"/>
        </w:rPr>
        <w:t>Youth</w:t>
      </w:r>
      <w:r>
        <w:rPr>
          <w:spacing w:val="-1"/>
          <w:sz w:val="18"/>
          <w:vertAlign w:val="baseline"/>
        </w:rPr>
        <w:t> </w:t>
      </w:r>
      <w:r>
        <w:rPr>
          <w:sz w:val="18"/>
          <w:vertAlign w:val="baseline"/>
        </w:rPr>
        <w:t>Risk</w:t>
      </w:r>
      <w:r>
        <w:rPr>
          <w:spacing w:val="-3"/>
          <w:sz w:val="18"/>
          <w:vertAlign w:val="baseline"/>
        </w:rPr>
        <w:t> </w:t>
      </w:r>
      <w:r>
        <w:rPr>
          <w:sz w:val="18"/>
          <w:vertAlign w:val="baseline"/>
        </w:rPr>
        <w:t>Behavior</w:t>
      </w:r>
      <w:r>
        <w:rPr>
          <w:spacing w:val="-2"/>
          <w:sz w:val="18"/>
          <w:vertAlign w:val="baseline"/>
        </w:rPr>
        <w:t> </w:t>
      </w:r>
      <w:r>
        <w:rPr>
          <w:sz w:val="18"/>
          <w:vertAlign w:val="baseline"/>
        </w:rPr>
        <w:t>Survey</w:t>
      </w:r>
      <w:r>
        <w:rPr>
          <w:spacing w:val="-1"/>
          <w:sz w:val="18"/>
          <w:vertAlign w:val="baseline"/>
        </w:rPr>
        <w:t> </w:t>
      </w:r>
      <w:r>
        <w:rPr>
          <w:sz w:val="18"/>
          <w:vertAlign w:val="baseline"/>
        </w:rPr>
        <w:t>Data,”</w:t>
      </w:r>
      <w:r>
        <w:rPr>
          <w:spacing w:val="-2"/>
          <w:sz w:val="18"/>
          <w:vertAlign w:val="baseline"/>
        </w:rPr>
        <w:t> </w:t>
      </w:r>
      <w:r>
        <w:rPr>
          <w:spacing w:val="-4"/>
          <w:sz w:val="18"/>
          <w:vertAlign w:val="baseline"/>
        </w:rPr>
        <w:t>n.d.</w:t>
      </w:r>
    </w:p>
    <w:p>
      <w:pPr>
        <w:spacing w:before="4"/>
        <w:ind w:left="463" w:right="0" w:firstLine="0"/>
        <w:jc w:val="left"/>
        <w:rPr>
          <w:sz w:val="18"/>
        </w:rPr>
      </w:pPr>
      <w:r>
        <w:rPr>
          <w:sz w:val="18"/>
          <w:vertAlign w:val="superscript"/>
        </w:rPr>
        <w:t>12</w:t>
      </w:r>
      <w:r>
        <w:rPr>
          <w:spacing w:val="-12"/>
          <w:sz w:val="18"/>
          <w:vertAlign w:val="baseline"/>
        </w:rPr>
        <w:t> </w:t>
      </w:r>
      <w:r>
        <w:rPr>
          <w:sz w:val="18"/>
          <w:vertAlign w:val="baseline"/>
        </w:rPr>
        <w:t>“2021</w:t>
      </w:r>
      <w:r>
        <w:rPr>
          <w:spacing w:val="-3"/>
          <w:sz w:val="18"/>
          <w:vertAlign w:val="baseline"/>
        </w:rPr>
        <w:t> </w:t>
      </w:r>
      <w:r>
        <w:rPr>
          <w:sz w:val="18"/>
          <w:vertAlign w:val="baseline"/>
        </w:rPr>
        <w:t>Massachusetts</w:t>
      </w:r>
      <w:r>
        <w:rPr>
          <w:spacing w:val="-1"/>
          <w:sz w:val="18"/>
          <w:vertAlign w:val="baseline"/>
        </w:rPr>
        <w:t> </w:t>
      </w:r>
      <w:r>
        <w:rPr>
          <w:sz w:val="18"/>
          <w:vertAlign w:val="baseline"/>
        </w:rPr>
        <w:t>Youth</w:t>
      </w:r>
      <w:r>
        <w:rPr>
          <w:spacing w:val="-1"/>
          <w:sz w:val="18"/>
          <w:vertAlign w:val="baseline"/>
        </w:rPr>
        <w:t> </w:t>
      </w:r>
      <w:r>
        <w:rPr>
          <w:sz w:val="18"/>
          <w:vertAlign w:val="baseline"/>
        </w:rPr>
        <w:t>Risk</w:t>
      </w:r>
      <w:r>
        <w:rPr>
          <w:spacing w:val="-2"/>
          <w:sz w:val="18"/>
          <w:vertAlign w:val="baseline"/>
        </w:rPr>
        <w:t> </w:t>
      </w:r>
      <w:r>
        <w:rPr>
          <w:sz w:val="18"/>
          <w:vertAlign w:val="baseline"/>
        </w:rPr>
        <w:t>Behavior</w:t>
      </w:r>
      <w:r>
        <w:rPr>
          <w:spacing w:val="-3"/>
          <w:sz w:val="18"/>
          <w:vertAlign w:val="baseline"/>
        </w:rPr>
        <w:t> </w:t>
      </w:r>
      <w:r>
        <w:rPr>
          <w:sz w:val="18"/>
          <w:vertAlign w:val="baseline"/>
        </w:rPr>
        <w:t>Survey</w:t>
      </w:r>
      <w:r>
        <w:rPr>
          <w:spacing w:val="-1"/>
          <w:sz w:val="18"/>
          <w:vertAlign w:val="baseline"/>
        </w:rPr>
        <w:t> </w:t>
      </w:r>
      <w:r>
        <w:rPr>
          <w:spacing w:val="-2"/>
          <w:sz w:val="18"/>
          <w:vertAlign w:val="baseline"/>
        </w:rPr>
        <w:t>Data.”</w:t>
      </w:r>
    </w:p>
    <w:p>
      <w:pPr>
        <w:spacing w:line="268" w:lineRule="auto" w:before="20"/>
        <w:ind w:left="463" w:right="605" w:hanging="1"/>
        <w:jc w:val="both"/>
        <w:rPr>
          <w:sz w:val="18"/>
        </w:rPr>
      </w:pPr>
      <w:r>
        <w:rPr>
          <w:sz w:val="18"/>
          <w:vertAlign w:val="superscript"/>
        </w:rPr>
        <w:t>13</w:t>
      </w:r>
      <w:r>
        <w:rPr>
          <w:spacing w:val="-11"/>
          <w:sz w:val="18"/>
          <w:vertAlign w:val="baseline"/>
        </w:rPr>
        <w:t> </w:t>
      </w:r>
      <w:r>
        <w:rPr>
          <w:sz w:val="18"/>
          <w:vertAlign w:val="baseline"/>
        </w:rPr>
        <w:t>S. E. James et</w:t>
      </w:r>
      <w:r>
        <w:rPr>
          <w:spacing w:val="-1"/>
          <w:sz w:val="18"/>
          <w:vertAlign w:val="baseline"/>
        </w:rPr>
        <w:t> </w:t>
      </w:r>
      <w:r>
        <w:rPr>
          <w:sz w:val="18"/>
          <w:vertAlign w:val="baseline"/>
        </w:rPr>
        <w:t>al., “The Report of the 2015 U.S. Transgender Survey” (Washington, D.C.: National Center for Transgender Equality</w:t>
      </w:r>
      <w:r>
        <w:rPr>
          <w:spacing w:val="-4"/>
          <w:sz w:val="18"/>
          <w:vertAlign w:val="baseline"/>
        </w:rPr>
        <w:t> </w:t>
      </w:r>
      <w:r>
        <w:rPr>
          <w:sz w:val="18"/>
          <w:vertAlign w:val="baseline"/>
        </w:rPr>
        <w:t>and</w:t>
      </w:r>
      <w:r>
        <w:rPr>
          <w:spacing w:val="-4"/>
          <w:sz w:val="18"/>
          <w:vertAlign w:val="baseline"/>
        </w:rPr>
        <w:t> </w:t>
      </w:r>
      <w:r>
        <w:rPr>
          <w:sz w:val="18"/>
          <w:vertAlign w:val="baseline"/>
        </w:rPr>
        <w:t>National</w:t>
      </w:r>
      <w:r>
        <w:rPr>
          <w:spacing w:val="-5"/>
          <w:sz w:val="18"/>
          <w:vertAlign w:val="baseline"/>
        </w:rPr>
        <w:t> </w:t>
      </w:r>
      <w:r>
        <w:rPr>
          <w:sz w:val="18"/>
          <w:vertAlign w:val="baseline"/>
        </w:rPr>
        <w:t>Gay</w:t>
      </w:r>
      <w:r>
        <w:rPr>
          <w:spacing w:val="-4"/>
          <w:sz w:val="18"/>
          <w:vertAlign w:val="baseline"/>
        </w:rPr>
        <w:t> </w:t>
      </w:r>
      <w:r>
        <w:rPr>
          <w:sz w:val="18"/>
          <w:vertAlign w:val="baseline"/>
        </w:rPr>
        <w:t>and</w:t>
      </w:r>
      <w:r>
        <w:rPr>
          <w:spacing w:val="-4"/>
          <w:sz w:val="18"/>
          <w:vertAlign w:val="baseline"/>
        </w:rPr>
        <w:t> </w:t>
      </w:r>
      <w:r>
        <w:rPr>
          <w:sz w:val="18"/>
          <w:vertAlign w:val="baseline"/>
        </w:rPr>
        <w:t>Lesbian</w:t>
      </w:r>
      <w:r>
        <w:rPr>
          <w:spacing w:val="-4"/>
          <w:sz w:val="18"/>
          <w:vertAlign w:val="baseline"/>
        </w:rPr>
        <w:t> </w:t>
      </w:r>
      <w:r>
        <w:rPr>
          <w:sz w:val="18"/>
          <w:vertAlign w:val="baseline"/>
        </w:rPr>
        <w:t>Task</w:t>
      </w:r>
      <w:r>
        <w:rPr>
          <w:spacing w:val="-5"/>
          <w:sz w:val="18"/>
          <w:vertAlign w:val="baseline"/>
        </w:rPr>
        <w:t> </w:t>
      </w:r>
      <w:r>
        <w:rPr>
          <w:sz w:val="18"/>
          <w:vertAlign w:val="baseline"/>
        </w:rPr>
        <w:t>Force,</w:t>
      </w:r>
      <w:r>
        <w:rPr>
          <w:spacing w:val="-5"/>
          <w:sz w:val="18"/>
          <w:vertAlign w:val="baseline"/>
        </w:rPr>
        <w:t> </w:t>
      </w:r>
      <w:r>
        <w:rPr>
          <w:sz w:val="18"/>
          <w:vertAlign w:val="baseline"/>
        </w:rPr>
        <w:t>2016),</w:t>
      </w:r>
      <w:r>
        <w:rPr>
          <w:spacing w:val="-5"/>
          <w:sz w:val="18"/>
          <w:vertAlign w:val="baseline"/>
        </w:rPr>
        <w:t> </w:t>
      </w:r>
      <w:r>
        <w:rPr>
          <w:sz w:val="18"/>
          <w:vertAlign w:val="baseline"/>
        </w:rPr>
        <w:t>https://transequality.org/sites/default/files/docs/usts/USTS-Full- </w:t>
      </w:r>
      <w:r>
        <w:rPr>
          <w:spacing w:val="-2"/>
          <w:sz w:val="18"/>
          <w:vertAlign w:val="baseline"/>
        </w:rPr>
        <w:t>Report-Dec17.pdf.</w:t>
      </w:r>
    </w:p>
    <w:p>
      <w:pPr>
        <w:spacing w:line="215" w:lineRule="exact" w:before="0"/>
        <w:ind w:left="463" w:right="0" w:firstLine="0"/>
        <w:jc w:val="both"/>
        <w:rPr>
          <w:sz w:val="18"/>
        </w:rPr>
      </w:pPr>
      <w:r>
        <w:rPr>
          <w:sz w:val="18"/>
          <w:vertAlign w:val="superscript"/>
        </w:rPr>
        <w:t>14</w:t>
      </w:r>
      <w:r>
        <w:rPr>
          <w:spacing w:val="-10"/>
          <w:sz w:val="18"/>
          <w:vertAlign w:val="baseline"/>
        </w:rPr>
        <w:t> </w:t>
      </w:r>
      <w:r>
        <w:rPr>
          <w:sz w:val="18"/>
          <w:vertAlign w:val="baseline"/>
        </w:rPr>
        <w:t>James</w:t>
      </w:r>
      <w:r>
        <w:rPr>
          <w:spacing w:val="3"/>
          <w:sz w:val="18"/>
          <w:vertAlign w:val="baseline"/>
        </w:rPr>
        <w:t> </w:t>
      </w:r>
      <w:r>
        <w:rPr>
          <w:sz w:val="18"/>
          <w:vertAlign w:val="baseline"/>
        </w:rPr>
        <w:t>et</w:t>
      </w:r>
      <w:r>
        <w:rPr>
          <w:spacing w:val="2"/>
          <w:sz w:val="18"/>
          <w:vertAlign w:val="baseline"/>
        </w:rPr>
        <w:t> </w:t>
      </w:r>
      <w:r>
        <w:rPr>
          <w:spacing w:val="-5"/>
          <w:sz w:val="18"/>
          <w:vertAlign w:val="baseline"/>
        </w:rPr>
        <w:t>al.</w:t>
      </w:r>
    </w:p>
    <w:p>
      <w:pPr>
        <w:spacing w:before="20"/>
        <w:ind w:left="463" w:right="0" w:firstLine="0"/>
        <w:jc w:val="left"/>
        <w:rPr>
          <w:sz w:val="18"/>
        </w:rPr>
      </w:pPr>
      <w:r>
        <w:rPr>
          <w:sz w:val="18"/>
          <w:vertAlign w:val="superscript"/>
        </w:rPr>
        <w:t>15</w:t>
      </w:r>
      <w:r>
        <w:rPr>
          <w:spacing w:val="-10"/>
          <w:sz w:val="18"/>
          <w:vertAlign w:val="baseline"/>
        </w:rPr>
        <w:t> </w:t>
      </w:r>
      <w:r>
        <w:rPr>
          <w:sz w:val="18"/>
          <w:vertAlign w:val="baseline"/>
        </w:rPr>
        <w:t>James</w:t>
      </w:r>
      <w:r>
        <w:rPr>
          <w:spacing w:val="3"/>
          <w:sz w:val="18"/>
          <w:vertAlign w:val="baseline"/>
        </w:rPr>
        <w:t> </w:t>
      </w:r>
      <w:r>
        <w:rPr>
          <w:sz w:val="18"/>
          <w:vertAlign w:val="baseline"/>
        </w:rPr>
        <w:t>et</w:t>
      </w:r>
      <w:r>
        <w:rPr>
          <w:spacing w:val="2"/>
          <w:sz w:val="18"/>
          <w:vertAlign w:val="baseline"/>
        </w:rPr>
        <w:t> </w:t>
      </w:r>
      <w:r>
        <w:rPr>
          <w:spacing w:val="-5"/>
          <w:sz w:val="18"/>
          <w:vertAlign w:val="baseline"/>
        </w:rPr>
        <w:t>al.</w:t>
      </w:r>
    </w:p>
    <w:p>
      <w:pPr>
        <w:spacing w:before="33"/>
        <w:ind w:left="463" w:right="0" w:firstLine="0"/>
        <w:jc w:val="left"/>
        <w:rPr>
          <w:sz w:val="18"/>
        </w:rPr>
      </w:pPr>
      <w:r>
        <w:rPr>
          <w:sz w:val="18"/>
          <w:vertAlign w:val="superscript"/>
        </w:rPr>
        <w:t>16</w:t>
      </w:r>
      <w:r>
        <w:rPr>
          <w:spacing w:val="-10"/>
          <w:sz w:val="18"/>
          <w:vertAlign w:val="baseline"/>
        </w:rPr>
        <w:t> </w:t>
      </w:r>
      <w:r>
        <w:rPr>
          <w:sz w:val="18"/>
          <w:vertAlign w:val="baseline"/>
        </w:rPr>
        <w:t>James</w:t>
      </w:r>
      <w:r>
        <w:rPr>
          <w:spacing w:val="3"/>
          <w:sz w:val="18"/>
          <w:vertAlign w:val="baseline"/>
        </w:rPr>
        <w:t> </w:t>
      </w:r>
      <w:r>
        <w:rPr>
          <w:sz w:val="18"/>
          <w:vertAlign w:val="baseline"/>
        </w:rPr>
        <w:t>et</w:t>
      </w:r>
      <w:r>
        <w:rPr>
          <w:spacing w:val="2"/>
          <w:sz w:val="18"/>
          <w:vertAlign w:val="baseline"/>
        </w:rPr>
        <w:t> </w:t>
      </w:r>
      <w:r>
        <w:rPr>
          <w:spacing w:val="-5"/>
          <w:sz w:val="18"/>
          <w:vertAlign w:val="baseline"/>
        </w:rPr>
        <w:t>al.</w:t>
      </w:r>
    </w:p>
    <w:p>
      <w:pPr>
        <w:spacing w:before="2"/>
        <w:ind w:left="463" w:right="0" w:firstLine="0"/>
        <w:jc w:val="left"/>
        <w:rPr>
          <w:sz w:val="18"/>
        </w:rPr>
      </w:pPr>
      <w:r>
        <w:rPr>
          <w:sz w:val="18"/>
          <w:vertAlign w:val="superscript"/>
        </w:rPr>
        <w:t>17</w:t>
      </w:r>
      <w:r>
        <w:rPr>
          <w:spacing w:val="-10"/>
          <w:sz w:val="18"/>
          <w:vertAlign w:val="baseline"/>
        </w:rPr>
        <w:t> </w:t>
      </w:r>
      <w:r>
        <w:rPr>
          <w:sz w:val="18"/>
          <w:vertAlign w:val="baseline"/>
        </w:rPr>
        <w:t>James</w:t>
      </w:r>
      <w:r>
        <w:rPr>
          <w:spacing w:val="3"/>
          <w:sz w:val="18"/>
          <w:vertAlign w:val="baseline"/>
        </w:rPr>
        <w:t> </w:t>
      </w:r>
      <w:r>
        <w:rPr>
          <w:sz w:val="18"/>
          <w:vertAlign w:val="baseline"/>
        </w:rPr>
        <w:t>et</w:t>
      </w:r>
      <w:r>
        <w:rPr>
          <w:spacing w:val="2"/>
          <w:sz w:val="18"/>
          <w:vertAlign w:val="baseline"/>
        </w:rPr>
        <w:t> </w:t>
      </w:r>
      <w:r>
        <w:rPr>
          <w:spacing w:val="-5"/>
          <w:sz w:val="18"/>
          <w:vertAlign w:val="baseline"/>
        </w:rPr>
        <w:t>al.</w:t>
      </w:r>
    </w:p>
    <w:p>
      <w:pPr>
        <w:spacing w:before="3"/>
        <w:ind w:left="463" w:right="0" w:firstLine="0"/>
        <w:jc w:val="left"/>
        <w:rPr>
          <w:sz w:val="18"/>
        </w:rPr>
      </w:pPr>
      <w:r>
        <w:rPr>
          <w:sz w:val="18"/>
          <w:vertAlign w:val="superscript"/>
        </w:rPr>
        <w:t>18</w:t>
      </w:r>
      <w:r>
        <w:rPr>
          <w:spacing w:val="-10"/>
          <w:sz w:val="18"/>
          <w:vertAlign w:val="baseline"/>
        </w:rPr>
        <w:t> </w:t>
      </w:r>
      <w:r>
        <w:rPr>
          <w:sz w:val="18"/>
          <w:vertAlign w:val="baseline"/>
        </w:rPr>
        <w:t>James</w:t>
      </w:r>
      <w:r>
        <w:rPr>
          <w:spacing w:val="3"/>
          <w:sz w:val="18"/>
          <w:vertAlign w:val="baseline"/>
        </w:rPr>
        <w:t> </w:t>
      </w:r>
      <w:r>
        <w:rPr>
          <w:sz w:val="18"/>
          <w:vertAlign w:val="baseline"/>
        </w:rPr>
        <w:t>et</w:t>
      </w:r>
      <w:r>
        <w:rPr>
          <w:spacing w:val="2"/>
          <w:sz w:val="18"/>
          <w:vertAlign w:val="baseline"/>
        </w:rPr>
        <w:t> </w:t>
      </w:r>
      <w:r>
        <w:rPr>
          <w:spacing w:val="-5"/>
          <w:sz w:val="18"/>
          <w:vertAlign w:val="baseline"/>
        </w:rPr>
        <w:t>al.</w:t>
      </w:r>
    </w:p>
    <w:p>
      <w:pPr>
        <w:spacing w:line="266" w:lineRule="auto" w:before="21"/>
        <w:ind w:left="463" w:right="0" w:hanging="1"/>
        <w:jc w:val="left"/>
        <w:rPr>
          <w:sz w:val="18"/>
        </w:rPr>
      </w:pPr>
      <w:r>
        <w:rPr>
          <w:sz w:val="18"/>
          <w:vertAlign w:val="superscript"/>
        </w:rPr>
        <w:t>19</w:t>
      </w:r>
      <w:r>
        <w:rPr>
          <w:spacing w:val="-5"/>
          <w:sz w:val="18"/>
          <w:vertAlign w:val="baseline"/>
        </w:rPr>
        <w:t> </w:t>
      </w:r>
      <w:r>
        <w:rPr>
          <w:sz w:val="18"/>
          <w:vertAlign w:val="baseline"/>
        </w:rPr>
        <w:t>American College Health Association, “American College Health Association-National College Health Assessment III: Undergraduate</w:t>
      </w:r>
      <w:r>
        <w:rPr>
          <w:spacing w:val="-4"/>
          <w:sz w:val="18"/>
          <w:vertAlign w:val="baseline"/>
        </w:rPr>
        <w:t> </w:t>
      </w:r>
      <w:r>
        <w:rPr>
          <w:sz w:val="18"/>
          <w:vertAlign w:val="baseline"/>
        </w:rPr>
        <w:t>Student</w:t>
      </w:r>
      <w:r>
        <w:rPr>
          <w:spacing w:val="-4"/>
          <w:sz w:val="18"/>
          <w:vertAlign w:val="baseline"/>
        </w:rPr>
        <w:t> </w:t>
      </w:r>
      <w:r>
        <w:rPr>
          <w:sz w:val="18"/>
          <w:vertAlign w:val="baseline"/>
        </w:rPr>
        <w:t>Reference</w:t>
      </w:r>
      <w:r>
        <w:rPr>
          <w:spacing w:val="-3"/>
          <w:sz w:val="18"/>
          <w:vertAlign w:val="baseline"/>
        </w:rPr>
        <w:t> </w:t>
      </w:r>
      <w:r>
        <w:rPr>
          <w:sz w:val="18"/>
          <w:vertAlign w:val="baseline"/>
        </w:rPr>
        <w:t>Group</w:t>
      </w:r>
      <w:r>
        <w:rPr>
          <w:spacing w:val="-3"/>
          <w:sz w:val="18"/>
          <w:vertAlign w:val="baseline"/>
        </w:rPr>
        <w:t> </w:t>
      </w:r>
      <w:r>
        <w:rPr>
          <w:sz w:val="18"/>
          <w:vertAlign w:val="baseline"/>
        </w:rPr>
        <w:t>Executive</w:t>
      </w:r>
      <w:r>
        <w:rPr>
          <w:spacing w:val="-3"/>
          <w:sz w:val="18"/>
          <w:vertAlign w:val="baseline"/>
        </w:rPr>
        <w:t> </w:t>
      </w:r>
      <w:r>
        <w:rPr>
          <w:sz w:val="18"/>
          <w:vertAlign w:val="baseline"/>
        </w:rPr>
        <w:t>Summary</w:t>
      </w:r>
      <w:r>
        <w:rPr>
          <w:spacing w:val="-3"/>
          <w:sz w:val="18"/>
          <w:vertAlign w:val="baseline"/>
        </w:rPr>
        <w:t> </w:t>
      </w:r>
      <w:r>
        <w:rPr>
          <w:sz w:val="18"/>
          <w:vertAlign w:val="baseline"/>
        </w:rPr>
        <w:t>Spring</w:t>
      </w:r>
      <w:r>
        <w:rPr>
          <w:spacing w:val="-3"/>
          <w:sz w:val="18"/>
          <w:vertAlign w:val="baseline"/>
        </w:rPr>
        <w:t> </w:t>
      </w:r>
      <w:r>
        <w:rPr>
          <w:sz w:val="18"/>
          <w:vertAlign w:val="baseline"/>
        </w:rPr>
        <w:t>2022”</w:t>
      </w:r>
      <w:r>
        <w:rPr>
          <w:spacing w:val="-3"/>
          <w:sz w:val="18"/>
          <w:vertAlign w:val="baseline"/>
        </w:rPr>
        <w:t> </w:t>
      </w:r>
      <w:r>
        <w:rPr>
          <w:sz w:val="18"/>
          <w:vertAlign w:val="baseline"/>
        </w:rPr>
        <w:t>(Silver</w:t>
      </w:r>
      <w:r>
        <w:rPr>
          <w:spacing w:val="-4"/>
          <w:sz w:val="18"/>
          <w:vertAlign w:val="baseline"/>
        </w:rPr>
        <w:t> </w:t>
      </w:r>
      <w:r>
        <w:rPr>
          <w:sz w:val="18"/>
          <w:vertAlign w:val="baseline"/>
        </w:rPr>
        <w:t>Springs,</w:t>
      </w:r>
      <w:r>
        <w:rPr>
          <w:spacing w:val="-4"/>
          <w:sz w:val="18"/>
          <w:vertAlign w:val="baseline"/>
        </w:rPr>
        <w:t> </w:t>
      </w:r>
      <w:r>
        <w:rPr>
          <w:sz w:val="18"/>
          <w:vertAlign w:val="baseline"/>
        </w:rPr>
        <w:t>MD:</w:t>
      </w:r>
      <w:r>
        <w:rPr>
          <w:spacing w:val="-3"/>
          <w:sz w:val="18"/>
          <w:vertAlign w:val="baseline"/>
        </w:rPr>
        <w:t> </w:t>
      </w:r>
      <w:r>
        <w:rPr>
          <w:sz w:val="18"/>
          <w:vertAlign w:val="baseline"/>
        </w:rPr>
        <w:t>American</w:t>
      </w:r>
      <w:r>
        <w:rPr>
          <w:spacing w:val="-3"/>
          <w:sz w:val="18"/>
          <w:vertAlign w:val="baseline"/>
        </w:rPr>
        <w:t> </w:t>
      </w:r>
      <w:r>
        <w:rPr>
          <w:sz w:val="18"/>
          <w:vertAlign w:val="baseline"/>
        </w:rPr>
        <w:t>College</w:t>
      </w:r>
      <w:r>
        <w:rPr>
          <w:spacing w:val="-3"/>
          <w:sz w:val="18"/>
          <w:vertAlign w:val="baseline"/>
        </w:rPr>
        <w:t> </w:t>
      </w:r>
      <w:r>
        <w:rPr>
          <w:sz w:val="18"/>
          <w:vertAlign w:val="baseline"/>
        </w:rPr>
        <w:t>Health Association, 2022), https://</w:t>
      </w:r>
      <w:hyperlink r:id="rId147">
        <w:r>
          <w:rPr>
            <w:sz w:val="18"/>
            <w:vertAlign w:val="baseline"/>
          </w:rPr>
          <w:t>www.acha.org/documents/ncha/NCHA-</w:t>
        </w:r>
      </w:hyperlink>
      <w:r>
        <w:rPr>
          <w:sz w:val="18"/>
          <w:vertAlign w:val="baseline"/>
        </w:rPr>
        <w:t> </w:t>
      </w:r>
      <w:r>
        <w:rPr>
          <w:spacing w:val="-2"/>
          <w:sz w:val="18"/>
          <w:vertAlign w:val="baseline"/>
        </w:rPr>
        <w:t>III_SPRING_2022_UNDERGRAD_REFERENCE_GROUP_EXECUTIVE_SUMMARY.pdf.</w:t>
      </w:r>
    </w:p>
    <w:p>
      <w:pPr>
        <w:spacing w:line="273" w:lineRule="auto" w:before="18"/>
        <w:ind w:left="463" w:right="2561" w:hanging="1"/>
        <w:jc w:val="left"/>
        <w:rPr>
          <w:sz w:val="18"/>
        </w:rPr>
      </w:pPr>
      <w:r>
        <w:rPr>
          <w:sz w:val="18"/>
          <w:vertAlign w:val="superscript"/>
        </w:rPr>
        <w:t>20</w:t>
      </w:r>
      <w:r>
        <w:rPr>
          <w:spacing w:val="-12"/>
          <w:sz w:val="18"/>
          <w:vertAlign w:val="baseline"/>
        </w:rPr>
        <w:t> </w:t>
      </w:r>
      <w:r>
        <w:rPr>
          <w:sz w:val="18"/>
          <w:vertAlign w:val="baseline"/>
        </w:rPr>
        <w:t>National</w:t>
      </w:r>
      <w:r>
        <w:rPr>
          <w:spacing w:val="-4"/>
          <w:sz w:val="18"/>
          <w:vertAlign w:val="baseline"/>
        </w:rPr>
        <w:t> </w:t>
      </w:r>
      <w:r>
        <w:rPr>
          <w:sz w:val="18"/>
          <w:vertAlign w:val="baseline"/>
        </w:rPr>
        <w:t>Domestic</w:t>
      </w:r>
      <w:r>
        <w:rPr>
          <w:spacing w:val="-3"/>
          <w:sz w:val="18"/>
          <w:vertAlign w:val="baseline"/>
        </w:rPr>
        <w:t> </w:t>
      </w:r>
      <w:r>
        <w:rPr>
          <w:sz w:val="18"/>
          <w:vertAlign w:val="baseline"/>
        </w:rPr>
        <w:t>Violence</w:t>
      </w:r>
      <w:r>
        <w:rPr>
          <w:spacing w:val="-2"/>
          <w:sz w:val="18"/>
          <w:vertAlign w:val="baseline"/>
        </w:rPr>
        <w:t> </w:t>
      </w:r>
      <w:r>
        <w:rPr>
          <w:sz w:val="18"/>
          <w:vertAlign w:val="baseline"/>
        </w:rPr>
        <w:t>Hotline,</w:t>
      </w:r>
      <w:r>
        <w:rPr>
          <w:spacing w:val="-3"/>
          <w:sz w:val="18"/>
          <w:vertAlign w:val="baseline"/>
        </w:rPr>
        <w:t> </w:t>
      </w:r>
      <w:r>
        <w:rPr>
          <w:sz w:val="18"/>
          <w:vertAlign w:val="baseline"/>
        </w:rPr>
        <w:t>“Types</w:t>
      </w:r>
      <w:r>
        <w:rPr>
          <w:spacing w:val="-2"/>
          <w:sz w:val="18"/>
          <w:vertAlign w:val="baseline"/>
        </w:rPr>
        <w:t> </w:t>
      </w:r>
      <w:r>
        <w:rPr>
          <w:sz w:val="18"/>
          <w:vertAlign w:val="baseline"/>
        </w:rPr>
        <w:t>of</w:t>
      </w:r>
      <w:r>
        <w:rPr>
          <w:spacing w:val="-2"/>
          <w:sz w:val="18"/>
          <w:vertAlign w:val="baseline"/>
        </w:rPr>
        <w:t> </w:t>
      </w:r>
      <w:r>
        <w:rPr>
          <w:sz w:val="18"/>
          <w:vertAlign w:val="baseline"/>
        </w:rPr>
        <w:t>Abuse,”</w:t>
      </w:r>
      <w:r>
        <w:rPr>
          <w:spacing w:val="-2"/>
          <w:sz w:val="18"/>
          <w:vertAlign w:val="baseline"/>
        </w:rPr>
        <w:t> </w:t>
      </w:r>
      <w:r>
        <w:rPr>
          <w:sz w:val="18"/>
          <w:vertAlign w:val="baseline"/>
        </w:rPr>
        <w:t>The</w:t>
      </w:r>
      <w:r>
        <w:rPr>
          <w:spacing w:val="-2"/>
          <w:sz w:val="18"/>
          <w:vertAlign w:val="baseline"/>
        </w:rPr>
        <w:t> </w:t>
      </w:r>
      <w:r>
        <w:rPr>
          <w:sz w:val="18"/>
          <w:vertAlign w:val="baseline"/>
        </w:rPr>
        <w:t>Hotline,</w:t>
      </w:r>
      <w:r>
        <w:rPr>
          <w:spacing w:val="-3"/>
          <w:sz w:val="18"/>
          <w:vertAlign w:val="baseline"/>
        </w:rPr>
        <w:t> </w:t>
      </w:r>
      <w:r>
        <w:rPr>
          <w:sz w:val="18"/>
          <w:vertAlign w:val="baseline"/>
        </w:rPr>
        <w:t>accessed</w:t>
      </w:r>
      <w:r>
        <w:rPr>
          <w:spacing w:val="-2"/>
          <w:sz w:val="18"/>
          <w:vertAlign w:val="baseline"/>
        </w:rPr>
        <w:t> </w:t>
      </w:r>
      <w:r>
        <w:rPr>
          <w:sz w:val="18"/>
          <w:vertAlign w:val="baseline"/>
        </w:rPr>
        <w:t>January</w:t>
      </w:r>
      <w:r>
        <w:rPr>
          <w:spacing w:val="-2"/>
          <w:sz w:val="18"/>
          <w:vertAlign w:val="baseline"/>
        </w:rPr>
        <w:t> </w:t>
      </w:r>
      <w:r>
        <w:rPr>
          <w:sz w:val="18"/>
          <w:vertAlign w:val="baseline"/>
        </w:rPr>
        <w:t>4,</w:t>
      </w:r>
      <w:r>
        <w:rPr>
          <w:spacing w:val="-3"/>
          <w:sz w:val="18"/>
          <w:vertAlign w:val="baseline"/>
        </w:rPr>
        <w:t> </w:t>
      </w:r>
      <w:r>
        <w:rPr>
          <w:sz w:val="18"/>
          <w:vertAlign w:val="baseline"/>
        </w:rPr>
        <w:t>2023, </w:t>
      </w:r>
      <w:r>
        <w:rPr>
          <w:spacing w:val="-2"/>
          <w:sz w:val="18"/>
          <w:vertAlign w:val="baseline"/>
        </w:rPr>
        <w:t>https://</w:t>
      </w:r>
      <w:hyperlink r:id="rId148">
        <w:r>
          <w:rPr>
            <w:spacing w:val="-2"/>
            <w:sz w:val="18"/>
            <w:vertAlign w:val="baseline"/>
          </w:rPr>
          <w:t>www.thehotline.org/resources/types-of-abuse/.</w:t>
        </w:r>
      </w:hyperlink>
    </w:p>
    <w:p>
      <w:pPr>
        <w:spacing w:line="268" w:lineRule="auto" w:before="9"/>
        <w:ind w:left="463" w:right="0" w:hanging="1"/>
        <w:jc w:val="left"/>
        <w:rPr>
          <w:sz w:val="18"/>
        </w:rPr>
      </w:pPr>
      <w:r>
        <w:rPr>
          <w:sz w:val="18"/>
          <w:vertAlign w:val="superscript"/>
        </w:rPr>
        <w:t>21</w:t>
      </w:r>
      <w:r>
        <w:rPr>
          <w:spacing w:val="-12"/>
          <w:sz w:val="18"/>
          <w:vertAlign w:val="baseline"/>
        </w:rPr>
        <w:t> </w:t>
      </w:r>
      <w:r>
        <w:rPr>
          <w:sz w:val="18"/>
          <w:vertAlign w:val="baseline"/>
        </w:rPr>
        <w:t>Rebecka</w:t>
      </w:r>
      <w:r>
        <w:rPr>
          <w:spacing w:val="-3"/>
          <w:sz w:val="18"/>
          <w:vertAlign w:val="baseline"/>
        </w:rPr>
        <w:t> </w:t>
      </w:r>
      <w:r>
        <w:rPr>
          <w:sz w:val="18"/>
          <w:vertAlign w:val="baseline"/>
        </w:rPr>
        <w:t>Lundgren</w:t>
      </w:r>
      <w:r>
        <w:rPr>
          <w:spacing w:val="-2"/>
          <w:sz w:val="18"/>
          <w:vertAlign w:val="baseline"/>
        </w:rPr>
        <w:t> </w:t>
      </w:r>
      <w:r>
        <w:rPr>
          <w:sz w:val="18"/>
          <w:vertAlign w:val="baseline"/>
        </w:rPr>
        <w:t>and</w:t>
      </w:r>
      <w:r>
        <w:rPr>
          <w:spacing w:val="-3"/>
          <w:sz w:val="18"/>
          <w:vertAlign w:val="baseline"/>
        </w:rPr>
        <w:t> </w:t>
      </w:r>
      <w:r>
        <w:rPr>
          <w:sz w:val="18"/>
          <w:vertAlign w:val="baseline"/>
        </w:rPr>
        <w:t>Avni</w:t>
      </w:r>
      <w:r>
        <w:rPr>
          <w:spacing w:val="-3"/>
          <w:sz w:val="18"/>
          <w:vertAlign w:val="baseline"/>
        </w:rPr>
        <w:t> </w:t>
      </w:r>
      <w:r>
        <w:rPr>
          <w:sz w:val="18"/>
          <w:vertAlign w:val="baseline"/>
        </w:rPr>
        <w:t>Amin,</w:t>
      </w:r>
      <w:r>
        <w:rPr>
          <w:spacing w:val="-3"/>
          <w:sz w:val="18"/>
          <w:vertAlign w:val="baseline"/>
        </w:rPr>
        <w:t> </w:t>
      </w:r>
      <w:r>
        <w:rPr>
          <w:sz w:val="18"/>
          <w:vertAlign w:val="baseline"/>
        </w:rPr>
        <w:t>“Addressing</w:t>
      </w:r>
      <w:r>
        <w:rPr>
          <w:spacing w:val="-2"/>
          <w:sz w:val="18"/>
          <w:vertAlign w:val="baseline"/>
        </w:rPr>
        <w:t> </w:t>
      </w:r>
      <w:r>
        <w:rPr>
          <w:sz w:val="18"/>
          <w:vertAlign w:val="baseline"/>
        </w:rPr>
        <w:t>Intimate</w:t>
      </w:r>
      <w:r>
        <w:rPr>
          <w:spacing w:val="-2"/>
          <w:sz w:val="18"/>
          <w:vertAlign w:val="baseline"/>
        </w:rPr>
        <w:t> </w:t>
      </w:r>
      <w:r>
        <w:rPr>
          <w:sz w:val="18"/>
          <w:vertAlign w:val="baseline"/>
        </w:rPr>
        <w:t>Partner</w:t>
      </w:r>
      <w:r>
        <w:rPr>
          <w:spacing w:val="-3"/>
          <w:sz w:val="18"/>
          <w:vertAlign w:val="baseline"/>
        </w:rPr>
        <w:t> </w:t>
      </w:r>
      <w:r>
        <w:rPr>
          <w:sz w:val="18"/>
          <w:vertAlign w:val="baseline"/>
        </w:rPr>
        <w:t>Violence</w:t>
      </w:r>
      <w:r>
        <w:rPr>
          <w:spacing w:val="-2"/>
          <w:sz w:val="18"/>
          <w:vertAlign w:val="baseline"/>
        </w:rPr>
        <w:t> </w:t>
      </w:r>
      <w:r>
        <w:rPr>
          <w:sz w:val="18"/>
          <w:vertAlign w:val="baseline"/>
        </w:rPr>
        <w:t>and</w:t>
      </w:r>
      <w:r>
        <w:rPr>
          <w:spacing w:val="-2"/>
          <w:sz w:val="18"/>
          <w:vertAlign w:val="baseline"/>
        </w:rPr>
        <w:t> </w:t>
      </w:r>
      <w:r>
        <w:rPr>
          <w:sz w:val="18"/>
          <w:vertAlign w:val="baseline"/>
        </w:rPr>
        <w:t>Sexual</w:t>
      </w:r>
      <w:r>
        <w:rPr>
          <w:spacing w:val="-3"/>
          <w:sz w:val="18"/>
          <w:vertAlign w:val="baseline"/>
        </w:rPr>
        <w:t> </w:t>
      </w:r>
      <w:r>
        <w:rPr>
          <w:sz w:val="18"/>
          <w:vertAlign w:val="baseline"/>
        </w:rPr>
        <w:t>Violence</w:t>
      </w:r>
      <w:r>
        <w:rPr>
          <w:spacing w:val="-2"/>
          <w:sz w:val="18"/>
          <w:vertAlign w:val="baseline"/>
        </w:rPr>
        <w:t> </w:t>
      </w:r>
      <w:r>
        <w:rPr>
          <w:sz w:val="18"/>
          <w:vertAlign w:val="baseline"/>
        </w:rPr>
        <w:t>Among</w:t>
      </w:r>
      <w:r>
        <w:rPr>
          <w:spacing w:val="-2"/>
          <w:sz w:val="18"/>
          <w:vertAlign w:val="baseline"/>
        </w:rPr>
        <w:t> </w:t>
      </w:r>
      <w:r>
        <w:rPr>
          <w:sz w:val="18"/>
          <w:vertAlign w:val="baseline"/>
        </w:rPr>
        <w:t>Adolescents:</w:t>
      </w:r>
      <w:r>
        <w:rPr>
          <w:spacing w:val="-2"/>
          <w:sz w:val="18"/>
          <w:vertAlign w:val="baseline"/>
        </w:rPr>
        <w:t> </w:t>
      </w:r>
      <w:r>
        <w:rPr>
          <w:sz w:val="18"/>
          <w:vertAlign w:val="baseline"/>
        </w:rPr>
        <w:t>Emerging Evidence of Effectiveness,” </w:t>
      </w:r>
      <w:r>
        <w:rPr>
          <w:i/>
          <w:sz w:val="18"/>
          <w:vertAlign w:val="baseline"/>
        </w:rPr>
        <w:t>Journal of Adolescent Health</w:t>
      </w:r>
      <w:r>
        <w:rPr>
          <w:sz w:val="18"/>
          <w:vertAlign w:val="baseline"/>
        </w:rPr>
        <w:t>, International Conference on Population and Development, 56, no. 1, Supplement (January 1, 2015): S42–50, https://doi.org/10.1016/j.jadohealth.2014.08.012.</w:t>
      </w:r>
    </w:p>
    <w:p>
      <w:pPr>
        <w:spacing w:line="216" w:lineRule="exact" w:before="0"/>
        <w:ind w:left="463" w:right="0" w:firstLine="0"/>
        <w:jc w:val="left"/>
        <w:rPr>
          <w:sz w:val="18"/>
        </w:rPr>
      </w:pPr>
      <w:r>
        <w:rPr>
          <w:sz w:val="18"/>
          <w:vertAlign w:val="superscript"/>
        </w:rPr>
        <w:t>22</w:t>
      </w:r>
      <w:r>
        <w:rPr>
          <w:spacing w:val="-11"/>
          <w:sz w:val="18"/>
          <w:vertAlign w:val="baseline"/>
        </w:rPr>
        <w:t> </w:t>
      </w:r>
      <w:r>
        <w:rPr>
          <w:sz w:val="18"/>
          <w:vertAlign w:val="baseline"/>
        </w:rPr>
        <w:t>Lundgren</w:t>
      </w:r>
      <w:r>
        <w:rPr>
          <w:spacing w:val="2"/>
          <w:sz w:val="18"/>
          <w:vertAlign w:val="baseline"/>
        </w:rPr>
        <w:t> </w:t>
      </w:r>
      <w:r>
        <w:rPr>
          <w:sz w:val="18"/>
          <w:vertAlign w:val="baseline"/>
        </w:rPr>
        <w:t>and</w:t>
      </w:r>
      <w:r>
        <w:rPr>
          <w:spacing w:val="1"/>
          <w:sz w:val="18"/>
          <w:vertAlign w:val="baseline"/>
        </w:rPr>
        <w:t> </w:t>
      </w:r>
      <w:r>
        <w:rPr>
          <w:spacing w:val="-2"/>
          <w:sz w:val="18"/>
          <w:vertAlign w:val="baseline"/>
        </w:rPr>
        <w:t>Amin.</w:t>
      </w:r>
    </w:p>
    <w:p>
      <w:pPr>
        <w:spacing w:before="2"/>
        <w:ind w:left="463" w:right="0" w:firstLine="0"/>
        <w:jc w:val="left"/>
        <w:rPr>
          <w:sz w:val="18"/>
        </w:rPr>
      </w:pPr>
      <w:r>
        <w:rPr>
          <w:sz w:val="18"/>
          <w:vertAlign w:val="superscript"/>
        </w:rPr>
        <w:t>23</w:t>
      </w:r>
      <w:r>
        <w:rPr>
          <w:spacing w:val="-11"/>
          <w:sz w:val="18"/>
          <w:vertAlign w:val="baseline"/>
        </w:rPr>
        <w:t> </w:t>
      </w:r>
      <w:r>
        <w:rPr>
          <w:sz w:val="18"/>
          <w:vertAlign w:val="baseline"/>
        </w:rPr>
        <w:t>Lundgren</w:t>
      </w:r>
      <w:r>
        <w:rPr>
          <w:spacing w:val="2"/>
          <w:sz w:val="18"/>
          <w:vertAlign w:val="baseline"/>
        </w:rPr>
        <w:t> </w:t>
      </w:r>
      <w:r>
        <w:rPr>
          <w:sz w:val="18"/>
          <w:vertAlign w:val="baseline"/>
        </w:rPr>
        <w:t>and</w:t>
      </w:r>
      <w:r>
        <w:rPr>
          <w:spacing w:val="1"/>
          <w:sz w:val="18"/>
          <w:vertAlign w:val="baseline"/>
        </w:rPr>
        <w:t> </w:t>
      </w:r>
      <w:r>
        <w:rPr>
          <w:spacing w:val="-2"/>
          <w:sz w:val="18"/>
          <w:vertAlign w:val="baseline"/>
        </w:rPr>
        <w:t>Amin.</w:t>
      </w:r>
    </w:p>
    <w:p>
      <w:pPr>
        <w:spacing w:line="273" w:lineRule="auto" w:before="20"/>
        <w:ind w:left="463" w:right="311" w:firstLine="0"/>
        <w:jc w:val="left"/>
        <w:rPr>
          <w:sz w:val="18"/>
        </w:rPr>
      </w:pPr>
      <w:r>
        <w:rPr>
          <w:sz w:val="18"/>
          <w:vertAlign w:val="superscript"/>
        </w:rPr>
        <w:t>24</w:t>
      </w:r>
      <w:r>
        <w:rPr>
          <w:spacing w:val="-7"/>
          <w:sz w:val="18"/>
          <w:vertAlign w:val="baseline"/>
        </w:rPr>
        <w:t> </w:t>
      </w:r>
      <w:r>
        <w:rPr>
          <w:sz w:val="18"/>
          <w:vertAlign w:val="baseline"/>
        </w:rPr>
        <w:t>Katie M. Edwards, Ryan C. Shorey, and Kalei Glozier, “Primary Prevention of Intitmate Partner Violence Among Sexual and Gender Minorities,” in </w:t>
      </w:r>
      <w:r>
        <w:rPr>
          <w:i/>
          <w:sz w:val="18"/>
          <w:vertAlign w:val="baseline"/>
        </w:rPr>
        <w:t>Intimate Partner Violence and the LGBTQ+ Community: Understanding Power Dynamics </w:t>
      </w:r>
      <w:r>
        <w:rPr>
          <w:sz w:val="18"/>
          <w:vertAlign w:val="baseline"/>
        </w:rPr>
        <w:t>(Switzerland: Springer,</w:t>
      </w:r>
      <w:r>
        <w:rPr>
          <w:spacing w:val="-7"/>
          <w:sz w:val="18"/>
          <w:vertAlign w:val="baseline"/>
        </w:rPr>
        <w:t> </w:t>
      </w:r>
      <w:r>
        <w:rPr>
          <w:sz w:val="18"/>
          <w:vertAlign w:val="baseline"/>
        </w:rPr>
        <w:t>2020),</w:t>
      </w:r>
      <w:r>
        <w:rPr>
          <w:spacing w:val="-4"/>
          <w:sz w:val="18"/>
          <w:vertAlign w:val="baseline"/>
        </w:rPr>
        <w:t> </w:t>
      </w:r>
      <w:r>
        <w:rPr>
          <w:sz w:val="18"/>
          <w:vertAlign w:val="baseline"/>
        </w:rPr>
        <w:t>161–76,</w:t>
      </w:r>
      <w:r>
        <w:rPr>
          <w:spacing w:val="-4"/>
          <w:sz w:val="18"/>
          <w:vertAlign w:val="baseline"/>
        </w:rPr>
        <w:t> </w:t>
      </w:r>
      <w:r>
        <w:rPr>
          <w:sz w:val="18"/>
          <w:vertAlign w:val="baseline"/>
        </w:rPr>
        <w:t>https://link.springer.com/content/pdf/10.1007/978-3-030-44762-5.pdf?pdf=button.</w:t>
      </w:r>
      <w:r>
        <w:rPr>
          <w:spacing w:val="-3"/>
          <w:sz w:val="18"/>
          <w:vertAlign w:val="baseline"/>
        </w:rPr>
        <w:t> </w:t>
      </w:r>
      <w:r>
        <w:rPr>
          <w:sz w:val="18"/>
          <w:vertAlign w:val="superscript"/>
        </w:rPr>
        <w:t>25</w:t>
      </w:r>
      <w:r>
        <w:rPr>
          <w:spacing w:val="-12"/>
          <w:sz w:val="18"/>
          <w:vertAlign w:val="baseline"/>
        </w:rPr>
        <w:t> </w:t>
      </w:r>
      <w:r>
        <w:rPr>
          <w:sz w:val="18"/>
          <w:vertAlign w:val="baseline"/>
        </w:rPr>
        <w:t>Lisa</w:t>
      </w:r>
      <w:r>
        <w:rPr>
          <w:spacing w:val="-3"/>
          <w:sz w:val="18"/>
          <w:vertAlign w:val="baseline"/>
        </w:rPr>
        <w:t> </w:t>
      </w:r>
      <w:r>
        <w:rPr>
          <w:sz w:val="18"/>
          <w:vertAlign w:val="baseline"/>
        </w:rPr>
        <w:t>De</w:t>
      </w:r>
      <w:r>
        <w:rPr>
          <w:spacing w:val="-3"/>
          <w:sz w:val="18"/>
          <w:vertAlign w:val="baseline"/>
        </w:rPr>
        <w:t> </w:t>
      </w:r>
      <w:r>
        <w:rPr>
          <w:sz w:val="18"/>
          <w:vertAlign w:val="baseline"/>
        </w:rPr>
        <w:t>La</w:t>
      </w:r>
      <w:r>
        <w:rPr>
          <w:spacing w:val="-3"/>
          <w:sz w:val="18"/>
          <w:vertAlign w:val="baseline"/>
        </w:rPr>
        <w:t> </w:t>
      </w:r>
      <w:r>
        <w:rPr>
          <w:sz w:val="18"/>
          <w:vertAlign w:val="baseline"/>
        </w:rPr>
        <w:t>Rue et al., “A Meta-Analysis of School-Based Interventions Aimed to Prevent or Reduce Violence in Teen Dating Relationships,” </w:t>
      </w:r>
      <w:r>
        <w:rPr>
          <w:i/>
          <w:sz w:val="18"/>
          <w:vertAlign w:val="baseline"/>
        </w:rPr>
        <w:t>Review of Educational Research </w:t>
      </w:r>
      <w:r>
        <w:rPr>
          <w:sz w:val="18"/>
          <w:vertAlign w:val="baseline"/>
        </w:rPr>
        <w:t>87, no. 1 (February 1, 2017): 7–34, https://doi.org/10.3102/0034654316632061.</w:t>
      </w:r>
    </w:p>
    <w:p>
      <w:pPr>
        <w:spacing w:line="213" w:lineRule="exact" w:before="0"/>
        <w:ind w:left="463" w:right="0" w:firstLine="0"/>
        <w:jc w:val="left"/>
        <w:rPr>
          <w:sz w:val="18"/>
        </w:rPr>
      </w:pPr>
      <w:r>
        <w:rPr>
          <w:sz w:val="18"/>
          <w:vertAlign w:val="superscript"/>
        </w:rPr>
        <w:t>26</w:t>
      </w:r>
      <w:r>
        <w:rPr>
          <w:spacing w:val="-12"/>
          <w:sz w:val="18"/>
          <w:vertAlign w:val="baseline"/>
        </w:rPr>
        <w:t> </w:t>
      </w:r>
      <w:r>
        <w:rPr>
          <w:sz w:val="18"/>
          <w:vertAlign w:val="baseline"/>
        </w:rPr>
        <w:t>Lundgren</w:t>
      </w:r>
      <w:r>
        <w:rPr>
          <w:spacing w:val="-3"/>
          <w:sz w:val="18"/>
          <w:vertAlign w:val="baseline"/>
        </w:rPr>
        <w:t> </w:t>
      </w:r>
      <w:r>
        <w:rPr>
          <w:sz w:val="18"/>
          <w:vertAlign w:val="baseline"/>
        </w:rPr>
        <w:t>and</w:t>
      </w:r>
      <w:r>
        <w:rPr>
          <w:spacing w:val="-2"/>
          <w:sz w:val="18"/>
          <w:vertAlign w:val="baseline"/>
        </w:rPr>
        <w:t> </w:t>
      </w:r>
      <w:r>
        <w:rPr>
          <w:sz w:val="18"/>
          <w:vertAlign w:val="baseline"/>
        </w:rPr>
        <w:t>Amin,</w:t>
      </w:r>
      <w:r>
        <w:rPr>
          <w:spacing w:val="-2"/>
          <w:sz w:val="18"/>
          <w:vertAlign w:val="baseline"/>
        </w:rPr>
        <w:t> </w:t>
      </w:r>
      <w:r>
        <w:rPr>
          <w:sz w:val="18"/>
          <w:vertAlign w:val="baseline"/>
        </w:rPr>
        <w:t>“Addressing</w:t>
      </w:r>
      <w:r>
        <w:rPr>
          <w:spacing w:val="-2"/>
          <w:sz w:val="18"/>
          <w:vertAlign w:val="baseline"/>
        </w:rPr>
        <w:t> </w:t>
      </w:r>
      <w:r>
        <w:rPr>
          <w:sz w:val="18"/>
          <w:vertAlign w:val="baseline"/>
        </w:rPr>
        <w:t>Intimate</w:t>
      </w:r>
      <w:r>
        <w:rPr>
          <w:spacing w:val="-1"/>
          <w:sz w:val="18"/>
          <w:vertAlign w:val="baseline"/>
        </w:rPr>
        <w:t> </w:t>
      </w:r>
      <w:r>
        <w:rPr>
          <w:sz w:val="18"/>
          <w:vertAlign w:val="baseline"/>
        </w:rPr>
        <w:t>Partner</w:t>
      </w:r>
      <w:r>
        <w:rPr>
          <w:spacing w:val="-2"/>
          <w:sz w:val="18"/>
          <w:vertAlign w:val="baseline"/>
        </w:rPr>
        <w:t> </w:t>
      </w:r>
      <w:r>
        <w:rPr>
          <w:sz w:val="18"/>
          <w:vertAlign w:val="baseline"/>
        </w:rPr>
        <w:t>Violence</w:t>
      </w:r>
      <w:r>
        <w:rPr>
          <w:spacing w:val="-2"/>
          <w:sz w:val="18"/>
          <w:vertAlign w:val="baseline"/>
        </w:rPr>
        <w:t> </w:t>
      </w:r>
      <w:r>
        <w:rPr>
          <w:sz w:val="18"/>
          <w:vertAlign w:val="baseline"/>
        </w:rPr>
        <w:t>and</w:t>
      </w:r>
      <w:r>
        <w:rPr>
          <w:spacing w:val="-1"/>
          <w:sz w:val="18"/>
          <w:vertAlign w:val="baseline"/>
        </w:rPr>
        <w:t> </w:t>
      </w:r>
      <w:r>
        <w:rPr>
          <w:sz w:val="18"/>
          <w:vertAlign w:val="baseline"/>
        </w:rPr>
        <w:t>Sexual</w:t>
      </w:r>
      <w:r>
        <w:rPr>
          <w:spacing w:val="-2"/>
          <w:sz w:val="18"/>
          <w:vertAlign w:val="baseline"/>
        </w:rPr>
        <w:t> </w:t>
      </w:r>
      <w:r>
        <w:rPr>
          <w:sz w:val="18"/>
          <w:vertAlign w:val="baseline"/>
        </w:rPr>
        <w:t>Violence</w:t>
      </w:r>
      <w:r>
        <w:rPr>
          <w:spacing w:val="-2"/>
          <w:sz w:val="18"/>
          <w:vertAlign w:val="baseline"/>
        </w:rPr>
        <w:t> </w:t>
      </w:r>
      <w:r>
        <w:rPr>
          <w:sz w:val="18"/>
          <w:vertAlign w:val="baseline"/>
        </w:rPr>
        <w:t>Among</w:t>
      </w:r>
      <w:r>
        <w:rPr>
          <w:spacing w:val="-2"/>
          <w:sz w:val="18"/>
          <w:vertAlign w:val="baseline"/>
        </w:rPr>
        <w:t> Adolescents.”</w:t>
      </w:r>
    </w:p>
    <w:p>
      <w:pPr>
        <w:spacing w:line="271" w:lineRule="auto" w:before="20"/>
        <w:ind w:left="463" w:right="0" w:hanging="1"/>
        <w:jc w:val="left"/>
        <w:rPr>
          <w:sz w:val="18"/>
        </w:rPr>
      </w:pPr>
      <w:r>
        <w:rPr>
          <w:sz w:val="18"/>
          <w:vertAlign w:val="superscript"/>
        </w:rPr>
        <w:t>27</w:t>
      </w:r>
      <w:r>
        <w:rPr>
          <w:spacing w:val="-12"/>
          <w:sz w:val="18"/>
          <w:vertAlign w:val="baseline"/>
        </w:rPr>
        <w:t> </w:t>
      </w:r>
      <w:r>
        <w:rPr>
          <w:sz w:val="18"/>
          <w:vertAlign w:val="baseline"/>
        </w:rPr>
        <w:t>Eva</w:t>
      </w:r>
      <w:r>
        <w:rPr>
          <w:spacing w:val="-2"/>
          <w:sz w:val="18"/>
          <w:vertAlign w:val="baseline"/>
        </w:rPr>
        <w:t> </w:t>
      </w:r>
      <w:r>
        <w:rPr>
          <w:sz w:val="18"/>
          <w:vertAlign w:val="baseline"/>
        </w:rPr>
        <w:t>S.</w:t>
      </w:r>
      <w:r>
        <w:rPr>
          <w:spacing w:val="-2"/>
          <w:sz w:val="18"/>
          <w:vertAlign w:val="baseline"/>
        </w:rPr>
        <w:t> </w:t>
      </w:r>
      <w:r>
        <w:rPr>
          <w:sz w:val="18"/>
          <w:vertAlign w:val="baseline"/>
        </w:rPr>
        <w:t>Goldfarb</w:t>
      </w:r>
      <w:r>
        <w:rPr>
          <w:spacing w:val="-2"/>
          <w:sz w:val="18"/>
          <w:vertAlign w:val="baseline"/>
        </w:rPr>
        <w:t> </w:t>
      </w:r>
      <w:r>
        <w:rPr>
          <w:sz w:val="18"/>
          <w:vertAlign w:val="baseline"/>
        </w:rPr>
        <w:t>and</w:t>
      </w:r>
      <w:r>
        <w:rPr>
          <w:spacing w:val="-2"/>
          <w:sz w:val="18"/>
          <w:vertAlign w:val="baseline"/>
        </w:rPr>
        <w:t> </w:t>
      </w:r>
      <w:r>
        <w:rPr>
          <w:sz w:val="18"/>
          <w:vertAlign w:val="baseline"/>
        </w:rPr>
        <w:t>Lisa</w:t>
      </w:r>
      <w:r>
        <w:rPr>
          <w:spacing w:val="-2"/>
          <w:sz w:val="18"/>
          <w:vertAlign w:val="baseline"/>
        </w:rPr>
        <w:t> </w:t>
      </w:r>
      <w:r>
        <w:rPr>
          <w:sz w:val="18"/>
          <w:vertAlign w:val="baseline"/>
        </w:rPr>
        <w:t>D.</w:t>
      </w:r>
      <w:r>
        <w:rPr>
          <w:spacing w:val="-2"/>
          <w:sz w:val="18"/>
          <w:vertAlign w:val="baseline"/>
        </w:rPr>
        <w:t> </w:t>
      </w:r>
      <w:r>
        <w:rPr>
          <w:sz w:val="18"/>
          <w:vertAlign w:val="baseline"/>
        </w:rPr>
        <w:t>Lieberman,</w:t>
      </w:r>
      <w:r>
        <w:rPr>
          <w:spacing w:val="-3"/>
          <w:sz w:val="18"/>
          <w:vertAlign w:val="baseline"/>
        </w:rPr>
        <w:t> </w:t>
      </w:r>
      <w:r>
        <w:rPr>
          <w:sz w:val="18"/>
          <w:vertAlign w:val="baseline"/>
        </w:rPr>
        <w:t>“Three</w:t>
      </w:r>
      <w:r>
        <w:rPr>
          <w:spacing w:val="-3"/>
          <w:sz w:val="18"/>
          <w:vertAlign w:val="baseline"/>
        </w:rPr>
        <w:t> </w:t>
      </w:r>
      <w:r>
        <w:rPr>
          <w:sz w:val="18"/>
          <w:vertAlign w:val="baseline"/>
        </w:rPr>
        <w:t>Decades</w:t>
      </w:r>
      <w:r>
        <w:rPr>
          <w:spacing w:val="-2"/>
          <w:sz w:val="18"/>
          <w:vertAlign w:val="baseline"/>
        </w:rPr>
        <w:t> </w:t>
      </w:r>
      <w:r>
        <w:rPr>
          <w:sz w:val="18"/>
          <w:vertAlign w:val="baseline"/>
        </w:rPr>
        <w:t>of</w:t>
      </w:r>
      <w:r>
        <w:rPr>
          <w:spacing w:val="-2"/>
          <w:sz w:val="18"/>
          <w:vertAlign w:val="baseline"/>
        </w:rPr>
        <w:t> </w:t>
      </w:r>
      <w:r>
        <w:rPr>
          <w:sz w:val="18"/>
          <w:vertAlign w:val="baseline"/>
        </w:rPr>
        <w:t>Research:</w:t>
      </w:r>
      <w:r>
        <w:rPr>
          <w:spacing w:val="-2"/>
          <w:sz w:val="18"/>
          <w:vertAlign w:val="baseline"/>
        </w:rPr>
        <w:t> </w:t>
      </w:r>
      <w:r>
        <w:rPr>
          <w:sz w:val="18"/>
          <w:vertAlign w:val="baseline"/>
        </w:rPr>
        <w:t>The</w:t>
      </w:r>
      <w:r>
        <w:rPr>
          <w:spacing w:val="-2"/>
          <w:sz w:val="18"/>
          <w:vertAlign w:val="baseline"/>
        </w:rPr>
        <w:t> </w:t>
      </w:r>
      <w:r>
        <w:rPr>
          <w:sz w:val="18"/>
          <w:vertAlign w:val="baseline"/>
        </w:rPr>
        <w:t>Case</w:t>
      </w:r>
      <w:r>
        <w:rPr>
          <w:spacing w:val="-2"/>
          <w:sz w:val="18"/>
          <w:vertAlign w:val="baseline"/>
        </w:rPr>
        <w:t> </w:t>
      </w:r>
      <w:r>
        <w:rPr>
          <w:sz w:val="18"/>
          <w:vertAlign w:val="baseline"/>
        </w:rPr>
        <w:t>for</w:t>
      </w:r>
      <w:r>
        <w:rPr>
          <w:spacing w:val="-3"/>
          <w:sz w:val="18"/>
          <w:vertAlign w:val="baseline"/>
        </w:rPr>
        <w:t> </w:t>
      </w:r>
      <w:r>
        <w:rPr>
          <w:sz w:val="18"/>
          <w:vertAlign w:val="baseline"/>
        </w:rPr>
        <w:t>Comprehensive</w:t>
      </w:r>
      <w:r>
        <w:rPr>
          <w:spacing w:val="-2"/>
          <w:sz w:val="18"/>
          <w:vertAlign w:val="baseline"/>
        </w:rPr>
        <w:t> </w:t>
      </w:r>
      <w:r>
        <w:rPr>
          <w:sz w:val="18"/>
          <w:vertAlign w:val="baseline"/>
        </w:rPr>
        <w:t>Sex</w:t>
      </w:r>
      <w:r>
        <w:rPr>
          <w:spacing w:val="-2"/>
          <w:sz w:val="18"/>
          <w:vertAlign w:val="baseline"/>
        </w:rPr>
        <w:t> </w:t>
      </w:r>
      <w:r>
        <w:rPr>
          <w:sz w:val="18"/>
          <w:vertAlign w:val="baseline"/>
        </w:rPr>
        <w:t>Education,”</w:t>
      </w:r>
      <w:r>
        <w:rPr>
          <w:spacing w:val="-2"/>
          <w:sz w:val="18"/>
          <w:vertAlign w:val="baseline"/>
        </w:rPr>
        <w:t> </w:t>
      </w:r>
      <w:r>
        <w:rPr>
          <w:i/>
          <w:sz w:val="18"/>
          <w:vertAlign w:val="baseline"/>
        </w:rPr>
        <w:t>Journal</w:t>
      </w:r>
      <w:r>
        <w:rPr>
          <w:i/>
          <w:spacing w:val="-3"/>
          <w:sz w:val="18"/>
          <w:vertAlign w:val="baseline"/>
        </w:rPr>
        <w:t> </w:t>
      </w:r>
      <w:r>
        <w:rPr>
          <w:i/>
          <w:sz w:val="18"/>
          <w:vertAlign w:val="baseline"/>
        </w:rPr>
        <w:t>of</w:t>
      </w:r>
      <w:r>
        <w:rPr>
          <w:i/>
          <w:sz w:val="18"/>
          <w:vertAlign w:val="baseline"/>
        </w:rPr>
        <w:t> Adolescent Health </w:t>
      </w:r>
      <w:r>
        <w:rPr>
          <w:sz w:val="18"/>
          <w:vertAlign w:val="baseline"/>
        </w:rPr>
        <w:t>68, no. 1 (January 1, 2021): 13–27, https://doi.org/10.1016/j.jadohealth.2020.07.036.</w:t>
      </w:r>
    </w:p>
    <w:p>
      <w:pPr>
        <w:spacing w:before="14"/>
        <w:ind w:left="463" w:right="0" w:firstLine="0"/>
        <w:jc w:val="left"/>
        <w:rPr>
          <w:sz w:val="18"/>
        </w:rPr>
      </w:pPr>
      <w:r>
        <w:rPr>
          <w:sz w:val="18"/>
          <w:vertAlign w:val="superscript"/>
        </w:rPr>
        <w:t>28</w:t>
      </w:r>
      <w:r>
        <w:rPr>
          <w:spacing w:val="-12"/>
          <w:sz w:val="18"/>
          <w:vertAlign w:val="baseline"/>
        </w:rPr>
        <w:t> </w:t>
      </w:r>
      <w:r>
        <w:rPr>
          <w:sz w:val="18"/>
          <w:vertAlign w:val="baseline"/>
        </w:rPr>
        <w:t>“Healthy</w:t>
      </w:r>
      <w:r>
        <w:rPr>
          <w:spacing w:val="-4"/>
          <w:sz w:val="18"/>
          <w:vertAlign w:val="baseline"/>
        </w:rPr>
        <w:t> </w:t>
      </w:r>
      <w:r>
        <w:rPr>
          <w:sz w:val="18"/>
          <w:vertAlign w:val="baseline"/>
        </w:rPr>
        <w:t>Youth</w:t>
      </w:r>
      <w:r>
        <w:rPr>
          <w:spacing w:val="-2"/>
          <w:sz w:val="18"/>
          <w:vertAlign w:val="baseline"/>
        </w:rPr>
        <w:t> </w:t>
      </w:r>
      <w:r>
        <w:rPr>
          <w:sz w:val="18"/>
          <w:vertAlign w:val="baseline"/>
        </w:rPr>
        <w:t>Act</w:t>
      </w:r>
      <w:r>
        <w:rPr>
          <w:spacing w:val="-3"/>
          <w:sz w:val="18"/>
          <w:vertAlign w:val="baseline"/>
        </w:rPr>
        <w:t> </w:t>
      </w:r>
      <w:r>
        <w:rPr>
          <w:sz w:val="18"/>
          <w:vertAlign w:val="baseline"/>
        </w:rPr>
        <w:t>Coalition,”</w:t>
      </w:r>
      <w:r>
        <w:rPr>
          <w:spacing w:val="-1"/>
          <w:sz w:val="18"/>
          <w:vertAlign w:val="baseline"/>
        </w:rPr>
        <w:t> </w:t>
      </w:r>
      <w:r>
        <w:rPr>
          <w:sz w:val="18"/>
          <w:vertAlign w:val="baseline"/>
        </w:rPr>
        <w:t>Healthy</w:t>
      </w:r>
      <w:r>
        <w:rPr>
          <w:spacing w:val="-2"/>
          <w:sz w:val="18"/>
          <w:vertAlign w:val="baseline"/>
        </w:rPr>
        <w:t> </w:t>
      </w:r>
      <w:r>
        <w:rPr>
          <w:sz w:val="18"/>
          <w:vertAlign w:val="baseline"/>
        </w:rPr>
        <w:t>Youth</w:t>
      </w:r>
      <w:r>
        <w:rPr>
          <w:spacing w:val="-2"/>
          <w:sz w:val="18"/>
          <w:vertAlign w:val="baseline"/>
        </w:rPr>
        <w:t> </w:t>
      </w:r>
      <w:r>
        <w:rPr>
          <w:sz w:val="18"/>
          <w:vertAlign w:val="baseline"/>
        </w:rPr>
        <w:t>Act</w:t>
      </w:r>
      <w:r>
        <w:rPr>
          <w:spacing w:val="-2"/>
          <w:sz w:val="18"/>
          <w:vertAlign w:val="baseline"/>
        </w:rPr>
        <w:t> </w:t>
      </w:r>
      <w:r>
        <w:rPr>
          <w:sz w:val="18"/>
          <w:vertAlign w:val="baseline"/>
        </w:rPr>
        <w:t>Coalition,</w:t>
      </w:r>
      <w:r>
        <w:rPr>
          <w:spacing w:val="-3"/>
          <w:sz w:val="18"/>
          <w:vertAlign w:val="baseline"/>
        </w:rPr>
        <w:t> </w:t>
      </w:r>
      <w:r>
        <w:rPr>
          <w:sz w:val="18"/>
          <w:vertAlign w:val="baseline"/>
        </w:rPr>
        <w:t>accessed</w:t>
      </w:r>
      <w:r>
        <w:rPr>
          <w:spacing w:val="-2"/>
          <w:sz w:val="18"/>
          <w:vertAlign w:val="baseline"/>
        </w:rPr>
        <w:t> </w:t>
      </w:r>
      <w:r>
        <w:rPr>
          <w:sz w:val="18"/>
          <w:vertAlign w:val="baseline"/>
        </w:rPr>
        <w:t>January</w:t>
      </w:r>
      <w:r>
        <w:rPr>
          <w:spacing w:val="-2"/>
          <w:sz w:val="18"/>
          <w:vertAlign w:val="baseline"/>
        </w:rPr>
        <w:t> </w:t>
      </w:r>
      <w:r>
        <w:rPr>
          <w:sz w:val="18"/>
          <w:vertAlign w:val="baseline"/>
        </w:rPr>
        <w:t>11,</w:t>
      </w:r>
      <w:r>
        <w:rPr>
          <w:spacing w:val="-3"/>
          <w:sz w:val="18"/>
          <w:vertAlign w:val="baseline"/>
        </w:rPr>
        <w:t> </w:t>
      </w:r>
      <w:r>
        <w:rPr>
          <w:sz w:val="18"/>
          <w:vertAlign w:val="baseline"/>
        </w:rPr>
        <w:t>2023,</w:t>
      </w:r>
      <w:r>
        <w:rPr>
          <w:spacing w:val="-3"/>
          <w:sz w:val="18"/>
          <w:vertAlign w:val="baseline"/>
        </w:rPr>
        <w:t> </w:t>
      </w:r>
      <w:r>
        <w:rPr>
          <w:spacing w:val="-2"/>
          <w:sz w:val="18"/>
          <w:vertAlign w:val="baseline"/>
        </w:rPr>
        <w:t>https://</w:t>
      </w:r>
      <w:hyperlink r:id="rId149">
        <w:r>
          <w:rPr>
            <w:spacing w:val="-2"/>
            <w:sz w:val="18"/>
            <w:vertAlign w:val="baseline"/>
          </w:rPr>
          <w:t>www.healthyyouthact.org/.</w:t>
        </w:r>
      </w:hyperlink>
    </w:p>
    <w:p>
      <w:pPr>
        <w:spacing w:before="31"/>
        <w:ind w:left="463" w:right="0" w:firstLine="0"/>
        <w:jc w:val="left"/>
        <w:rPr>
          <w:sz w:val="18"/>
        </w:rPr>
      </w:pPr>
      <w:r>
        <w:rPr>
          <w:sz w:val="18"/>
          <w:vertAlign w:val="superscript"/>
        </w:rPr>
        <w:t>29</w:t>
      </w:r>
      <w:r>
        <w:rPr>
          <w:spacing w:val="-12"/>
          <w:sz w:val="18"/>
          <w:vertAlign w:val="baseline"/>
        </w:rPr>
        <w:t> </w:t>
      </w:r>
      <w:r>
        <w:rPr>
          <w:sz w:val="18"/>
          <w:vertAlign w:val="baseline"/>
        </w:rPr>
        <w:t>“Healthy</w:t>
      </w:r>
      <w:r>
        <w:rPr>
          <w:spacing w:val="1"/>
          <w:sz w:val="18"/>
          <w:vertAlign w:val="baseline"/>
        </w:rPr>
        <w:t> </w:t>
      </w:r>
      <w:r>
        <w:rPr>
          <w:sz w:val="18"/>
          <w:vertAlign w:val="baseline"/>
        </w:rPr>
        <w:t>Youth Act </w:t>
      </w:r>
      <w:r>
        <w:rPr>
          <w:spacing w:val="-2"/>
          <w:sz w:val="18"/>
          <w:vertAlign w:val="baseline"/>
        </w:rPr>
        <w:t>Coalition.”</w:t>
      </w:r>
    </w:p>
    <w:p>
      <w:pPr>
        <w:spacing w:line="273" w:lineRule="auto" w:before="20"/>
        <w:ind w:left="463" w:right="300" w:hanging="1"/>
        <w:jc w:val="left"/>
        <w:rPr>
          <w:sz w:val="18"/>
        </w:rPr>
      </w:pPr>
      <w:r>
        <w:rPr>
          <w:sz w:val="18"/>
          <w:vertAlign w:val="superscript"/>
        </w:rPr>
        <w:t>30</w:t>
      </w:r>
      <w:r>
        <w:rPr>
          <w:spacing w:val="-12"/>
          <w:sz w:val="18"/>
          <w:vertAlign w:val="baseline"/>
        </w:rPr>
        <w:t> </w:t>
      </w:r>
      <w:r>
        <w:rPr>
          <w:sz w:val="18"/>
          <w:vertAlign w:val="baseline"/>
        </w:rPr>
        <w:t>Beth</w:t>
      </w:r>
      <w:r>
        <w:rPr>
          <w:spacing w:val="-3"/>
          <w:sz w:val="18"/>
          <w:vertAlign w:val="baseline"/>
        </w:rPr>
        <w:t> </w:t>
      </w:r>
      <w:r>
        <w:rPr>
          <w:sz w:val="18"/>
          <w:vertAlign w:val="baseline"/>
        </w:rPr>
        <w:t>Leventhal,</w:t>
      </w:r>
      <w:r>
        <w:rPr>
          <w:spacing w:val="-3"/>
          <w:sz w:val="18"/>
          <w:vertAlign w:val="baseline"/>
        </w:rPr>
        <w:t> </w:t>
      </w:r>
      <w:r>
        <w:rPr>
          <w:sz w:val="18"/>
          <w:vertAlign w:val="baseline"/>
        </w:rPr>
        <w:t>Charly</w:t>
      </w:r>
      <w:r>
        <w:rPr>
          <w:spacing w:val="-2"/>
          <w:sz w:val="18"/>
          <w:vertAlign w:val="baseline"/>
        </w:rPr>
        <w:t> </w:t>
      </w:r>
      <w:r>
        <w:rPr>
          <w:sz w:val="18"/>
          <w:vertAlign w:val="baseline"/>
        </w:rPr>
        <w:t>Robles,</w:t>
      </w:r>
      <w:r>
        <w:rPr>
          <w:spacing w:val="-3"/>
          <w:sz w:val="18"/>
          <w:vertAlign w:val="baseline"/>
        </w:rPr>
        <w:t> </w:t>
      </w:r>
      <w:r>
        <w:rPr>
          <w:sz w:val="18"/>
          <w:vertAlign w:val="baseline"/>
        </w:rPr>
        <w:t>and</w:t>
      </w:r>
      <w:r>
        <w:rPr>
          <w:spacing w:val="-2"/>
          <w:sz w:val="18"/>
          <w:vertAlign w:val="baseline"/>
        </w:rPr>
        <w:t> </w:t>
      </w:r>
      <w:r>
        <w:rPr>
          <w:sz w:val="18"/>
          <w:vertAlign w:val="baseline"/>
        </w:rPr>
        <w:t>Jenn</w:t>
      </w:r>
      <w:r>
        <w:rPr>
          <w:spacing w:val="-2"/>
          <w:sz w:val="18"/>
          <w:vertAlign w:val="baseline"/>
        </w:rPr>
        <w:t> </w:t>
      </w:r>
      <w:r>
        <w:rPr>
          <w:sz w:val="18"/>
          <w:vertAlign w:val="baseline"/>
        </w:rPr>
        <w:t>Ho,</w:t>
      </w:r>
      <w:r>
        <w:rPr>
          <w:spacing w:val="-3"/>
          <w:sz w:val="18"/>
          <w:vertAlign w:val="baseline"/>
        </w:rPr>
        <w:t> </w:t>
      </w:r>
      <w:r>
        <w:rPr>
          <w:sz w:val="18"/>
          <w:vertAlign w:val="baseline"/>
        </w:rPr>
        <w:t>“Survivor</w:t>
      </w:r>
      <w:r>
        <w:rPr>
          <w:spacing w:val="-3"/>
          <w:sz w:val="18"/>
          <w:vertAlign w:val="baseline"/>
        </w:rPr>
        <w:t> </w:t>
      </w:r>
      <w:r>
        <w:rPr>
          <w:sz w:val="18"/>
          <w:vertAlign w:val="baseline"/>
        </w:rPr>
        <w:t>Stories:</w:t>
      </w:r>
      <w:r>
        <w:rPr>
          <w:spacing w:val="-2"/>
          <w:sz w:val="18"/>
          <w:vertAlign w:val="baseline"/>
        </w:rPr>
        <w:t> </w:t>
      </w:r>
      <w:r>
        <w:rPr>
          <w:sz w:val="18"/>
          <w:vertAlign w:val="baseline"/>
        </w:rPr>
        <w:t>Learning</w:t>
      </w:r>
      <w:r>
        <w:rPr>
          <w:spacing w:val="-2"/>
          <w:sz w:val="18"/>
          <w:vertAlign w:val="baseline"/>
        </w:rPr>
        <w:t> </w:t>
      </w:r>
      <w:r>
        <w:rPr>
          <w:sz w:val="18"/>
          <w:vertAlign w:val="baseline"/>
        </w:rPr>
        <w:t>from</w:t>
      </w:r>
      <w:r>
        <w:rPr>
          <w:spacing w:val="-2"/>
          <w:sz w:val="18"/>
          <w:vertAlign w:val="baseline"/>
        </w:rPr>
        <w:t> </w:t>
      </w:r>
      <w:r>
        <w:rPr>
          <w:sz w:val="18"/>
          <w:vertAlign w:val="baseline"/>
        </w:rPr>
        <w:t>LGBQ/T</w:t>
      </w:r>
      <w:r>
        <w:rPr>
          <w:spacing w:val="-2"/>
          <w:sz w:val="18"/>
          <w:vertAlign w:val="baseline"/>
        </w:rPr>
        <w:t> </w:t>
      </w:r>
      <w:r>
        <w:rPr>
          <w:sz w:val="18"/>
          <w:vertAlign w:val="baseline"/>
        </w:rPr>
        <w:t>Communities</w:t>
      </w:r>
      <w:r>
        <w:rPr>
          <w:spacing w:val="-2"/>
          <w:sz w:val="18"/>
          <w:vertAlign w:val="baseline"/>
        </w:rPr>
        <w:t> </w:t>
      </w:r>
      <w:r>
        <w:rPr>
          <w:sz w:val="18"/>
          <w:vertAlign w:val="baseline"/>
        </w:rPr>
        <w:t>in</w:t>
      </w:r>
      <w:r>
        <w:rPr>
          <w:spacing w:val="-2"/>
          <w:sz w:val="18"/>
          <w:vertAlign w:val="baseline"/>
        </w:rPr>
        <w:t> </w:t>
      </w:r>
      <w:r>
        <w:rPr>
          <w:sz w:val="18"/>
          <w:vertAlign w:val="baseline"/>
        </w:rPr>
        <w:t>MA”</w:t>
      </w:r>
      <w:r>
        <w:rPr>
          <w:spacing w:val="-2"/>
          <w:sz w:val="18"/>
          <w:vertAlign w:val="baseline"/>
        </w:rPr>
        <w:t> </w:t>
      </w:r>
      <w:r>
        <w:rPr>
          <w:sz w:val="18"/>
          <w:vertAlign w:val="baseline"/>
        </w:rPr>
        <w:t>(Boston, Massachusetts: The Network/La Red, 2020), https://</w:t>
      </w:r>
      <w:hyperlink r:id="rId150">
        <w:r>
          <w:rPr>
            <w:sz w:val="18"/>
            <w:vertAlign w:val="baseline"/>
          </w:rPr>
          <w:t>www.tnlr.org/wp-content/uploads/CNA-w-cover-Final.pdf.</w:t>
        </w:r>
      </w:hyperlink>
    </w:p>
    <w:p>
      <w:pPr>
        <w:spacing w:line="212" w:lineRule="exact" w:before="0"/>
        <w:ind w:left="463" w:right="0" w:firstLine="0"/>
        <w:jc w:val="left"/>
        <w:rPr>
          <w:sz w:val="18"/>
        </w:rPr>
      </w:pPr>
      <w:r>
        <w:rPr>
          <w:sz w:val="18"/>
          <w:vertAlign w:val="superscript"/>
        </w:rPr>
        <w:t>31</w:t>
      </w:r>
      <w:r>
        <w:rPr>
          <w:spacing w:val="-12"/>
          <w:sz w:val="18"/>
          <w:vertAlign w:val="baseline"/>
        </w:rPr>
        <w:t> </w:t>
      </w:r>
      <w:r>
        <w:rPr>
          <w:sz w:val="18"/>
          <w:vertAlign w:val="baseline"/>
        </w:rPr>
        <w:t>Leventhal, Robles,</w:t>
      </w:r>
      <w:r>
        <w:rPr>
          <w:spacing w:val="-1"/>
          <w:sz w:val="18"/>
          <w:vertAlign w:val="baseline"/>
        </w:rPr>
        <w:t> </w:t>
      </w:r>
      <w:r>
        <w:rPr>
          <w:sz w:val="18"/>
          <w:vertAlign w:val="baseline"/>
        </w:rPr>
        <w:t>and</w:t>
      </w:r>
      <w:r>
        <w:rPr>
          <w:spacing w:val="1"/>
          <w:sz w:val="18"/>
          <w:vertAlign w:val="baseline"/>
        </w:rPr>
        <w:t> </w:t>
      </w:r>
      <w:r>
        <w:rPr>
          <w:spacing w:val="-5"/>
          <w:sz w:val="18"/>
          <w:vertAlign w:val="baseline"/>
        </w:rPr>
        <w:t>Ho.</w:t>
      </w:r>
    </w:p>
    <w:p>
      <w:pPr>
        <w:spacing w:before="4"/>
        <w:ind w:left="463" w:right="0" w:firstLine="0"/>
        <w:jc w:val="left"/>
        <w:rPr>
          <w:sz w:val="18"/>
        </w:rPr>
      </w:pPr>
      <w:r>
        <w:rPr>
          <w:sz w:val="18"/>
          <w:vertAlign w:val="superscript"/>
        </w:rPr>
        <w:t>32</w:t>
      </w:r>
      <w:r>
        <w:rPr>
          <w:spacing w:val="-12"/>
          <w:sz w:val="18"/>
          <w:vertAlign w:val="baseline"/>
        </w:rPr>
        <w:t> </w:t>
      </w:r>
      <w:r>
        <w:rPr>
          <w:sz w:val="18"/>
          <w:vertAlign w:val="baseline"/>
        </w:rPr>
        <w:t>Leventhal, Robles,</w:t>
      </w:r>
      <w:r>
        <w:rPr>
          <w:spacing w:val="-1"/>
          <w:sz w:val="18"/>
          <w:vertAlign w:val="baseline"/>
        </w:rPr>
        <w:t> </w:t>
      </w:r>
      <w:r>
        <w:rPr>
          <w:sz w:val="18"/>
          <w:vertAlign w:val="baseline"/>
        </w:rPr>
        <w:t>and</w:t>
      </w:r>
      <w:r>
        <w:rPr>
          <w:spacing w:val="1"/>
          <w:sz w:val="18"/>
          <w:vertAlign w:val="baseline"/>
        </w:rPr>
        <w:t> </w:t>
      </w:r>
      <w:r>
        <w:rPr>
          <w:spacing w:val="-5"/>
          <w:sz w:val="18"/>
          <w:vertAlign w:val="baseline"/>
        </w:rPr>
        <w:t>Ho.</w:t>
      </w:r>
    </w:p>
    <w:p>
      <w:pPr>
        <w:spacing w:line="273" w:lineRule="auto" w:before="20"/>
        <w:ind w:left="463" w:right="2402" w:hanging="1"/>
        <w:jc w:val="left"/>
        <w:rPr>
          <w:sz w:val="18"/>
        </w:rPr>
      </w:pPr>
      <w:r>
        <w:rPr>
          <w:sz w:val="18"/>
          <w:vertAlign w:val="superscript"/>
        </w:rPr>
        <w:t>33</w:t>
      </w:r>
      <w:r>
        <w:rPr>
          <w:spacing w:val="-12"/>
          <w:sz w:val="18"/>
          <w:vertAlign w:val="baseline"/>
        </w:rPr>
        <w:t> </w:t>
      </w:r>
      <w:r>
        <w:rPr>
          <w:sz w:val="18"/>
          <w:vertAlign w:val="baseline"/>
        </w:rPr>
        <w:t>“Adolescents</w:t>
      </w:r>
      <w:r>
        <w:rPr>
          <w:spacing w:val="-4"/>
          <w:sz w:val="18"/>
          <w:vertAlign w:val="baseline"/>
        </w:rPr>
        <w:t> </w:t>
      </w:r>
      <w:r>
        <w:rPr>
          <w:sz w:val="18"/>
          <w:vertAlign w:val="baseline"/>
        </w:rPr>
        <w:t>and</w:t>
      </w:r>
      <w:r>
        <w:rPr>
          <w:spacing w:val="-2"/>
          <w:sz w:val="18"/>
          <w:vertAlign w:val="baseline"/>
        </w:rPr>
        <w:t> </w:t>
      </w:r>
      <w:r>
        <w:rPr>
          <w:sz w:val="18"/>
          <w:vertAlign w:val="baseline"/>
        </w:rPr>
        <w:t>Young</w:t>
      </w:r>
      <w:r>
        <w:rPr>
          <w:spacing w:val="-3"/>
          <w:sz w:val="18"/>
          <w:vertAlign w:val="baseline"/>
        </w:rPr>
        <w:t> </w:t>
      </w:r>
      <w:r>
        <w:rPr>
          <w:sz w:val="18"/>
          <w:vertAlign w:val="baseline"/>
        </w:rPr>
        <w:t>Adults,”</w:t>
      </w:r>
      <w:r>
        <w:rPr>
          <w:spacing w:val="-2"/>
          <w:sz w:val="18"/>
          <w:vertAlign w:val="baseline"/>
        </w:rPr>
        <w:t> </w:t>
      </w:r>
      <w:r>
        <w:rPr>
          <w:sz w:val="18"/>
          <w:vertAlign w:val="baseline"/>
        </w:rPr>
        <w:t>Centers</w:t>
      </w:r>
      <w:r>
        <w:rPr>
          <w:spacing w:val="-2"/>
          <w:sz w:val="18"/>
          <w:vertAlign w:val="baseline"/>
        </w:rPr>
        <w:t> </w:t>
      </w:r>
      <w:r>
        <w:rPr>
          <w:sz w:val="18"/>
          <w:vertAlign w:val="baseline"/>
        </w:rPr>
        <w:t>for</w:t>
      </w:r>
      <w:r>
        <w:rPr>
          <w:spacing w:val="-3"/>
          <w:sz w:val="18"/>
          <w:vertAlign w:val="baseline"/>
        </w:rPr>
        <w:t> </w:t>
      </w:r>
      <w:r>
        <w:rPr>
          <w:sz w:val="18"/>
          <w:vertAlign w:val="baseline"/>
        </w:rPr>
        <w:t>Disease</w:t>
      </w:r>
      <w:r>
        <w:rPr>
          <w:spacing w:val="-2"/>
          <w:sz w:val="18"/>
          <w:vertAlign w:val="baseline"/>
        </w:rPr>
        <w:t> </w:t>
      </w:r>
      <w:r>
        <w:rPr>
          <w:sz w:val="18"/>
          <w:vertAlign w:val="baseline"/>
        </w:rPr>
        <w:t>Control</w:t>
      </w:r>
      <w:r>
        <w:rPr>
          <w:spacing w:val="-3"/>
          <w:sz w:val="18"/>
          <w:vertAlign w:val="baseline"/>
        </w:rPr>
        <w:t> </w:t>
      </w:r>
      <w:r>
        <w:rPr>
          <w:sz w:val="18"/>
          <w:vertAlign w:val="baseline"/>
        </w:rPr>
        <w:t>and</w:t>
      </w:r>
      <w:r>
        <w:rPr>
          <w:spacing w:val="-2"/>
          <w:sz w:val="18"/>
          <w:vertAlign w:val="baseline"/>
        </w:rPr>
        <w:t> </w:t>
      </w:r>
      <w:r>
        <w:rPr>
          <w:sz w:val="18"/>
          <w:vertAlign w:val="baseline"/>
        </w:rPr>
        <w:t>Prevention,</w:t>
      </w:r>
      <w:r>
        <w:rPr>
          <w:spacing w:val="-3"/>
          <w:sz w:val="18"/>
          <w:vertAlign w:val="baseline"/>
        </w:rPr>
        <w:t> </w:t>
      </w:r>
      <w:r>
        <w:rPr>
          <w:sz w:val="18"/>
          <w:vertAlign w:val="baseline"/>
        </w:rPr>
        <w:t>October</w:t>
      </w:r>
      <w:r>
        <w:rPr>
          <w:spacing w:val="-3"/>
          <w:sz w:val="18"/>
          <w:vertAlign w:val="baseline"/>
        </w:rPr>
        <w:t> </w:t>
      </w:r>
      <w:r>
        <w:rPr>
          <w:sz w:val="18"/>
          <w:vertAlign w:val="baseline"/>
        </w:rPr>
        <w:t>18,</w:t>
      </w:r>
      <w:r>
        <w:rPr>
          <w:spacing w:val="-3"/>
          <w:sz w:val="18"/>
          <w:vertAlign w:val="baseline"/>
        </w:rPr>
        <w:t> </w:t>
      </w:r>
      <w:r>
        <w:rPr>
          <w:sz w:val="18"/>
          <w:vertAlign w:val="baseline"/>
        </w:rPr>
        <w:t>2022, </w:t>
      </w:r>
      <w:r>
        <w:rPr>
          <w:spacing w:val="-2"/>
          <w:sz w:val="18"/>
          <w:vertAlign w:val="baseline"/>
        </w:rPr>
        <w:t>https://</w:t>
      </w:r>
      <w:hyperlink r:id="rId151">
        <w:r>
          <w:rPr>
            <w:spacing w:val="-2"/>
            <w:sz w:val="18"/>
            <w:vertAlign w:val="baseline"/>
          </w:rPr>
          <w:t>www.cdc.gov/std/life-stages-populations/adolescents-youngadults.htm.</w:t>
        </w:r>
      </w:hyperlink>
    </w:p>
    <w:p>
      <w:pPr>
        <w:spacing w:line="273" w:lineRule="auto" w:before="9"/>
        <w:ind w:left="463" w:right="311" w:hanging="1"/>
        <w:jc w:val="left"/>
        <w:rPr>
          <w:sz w:val="18"/>
        </w:rPr>
      </w:pPr>
      <w:r>
        <w:rPr>
          <w:sz w:val="18"/>
          <w:vertAlign w:val="superscript"/>
        </w:rPr>
        <w:t>34</w:t>
      </w:r>
      <w:r>
        <w:rPr>
          <w:spacing w:val="-12"/>
          <w:sz w:val="18"/>
          <w:vertAlign w:val="baseline"/>
        </w:rPr>
        <w:t> </w:t>
      </w:r>
      <w:r>
        <w:rPr>
          <w:sz w:val="18"/>
          <w:vertAlign w:val="baseline"/>
        </w:rPr>
        <w:t>“2021</w:t>
      </w:r>
      <w:r>
        <w:rPr>
          <w:spacing w:val="-3"/>
          <w:sz w:val="18"/>
          <w:vertAlign w:val="baseline"/>
        </w:rPr>
        <w:t> </w:t>
      </w:r>
      <w:r>
        <w:rPr>
          <w:sz w:val="18"/>
          <w:vertAlign w:val="baseline"/>
        </w:rPr>
        <w:t>Massachusetts</w:t>
      </w:r>
      <w:r>
        <w:rPr>
          <w:spacing w:val="-2"/>
          <w:sz w:val="18"/>
          <w:vertAlign w:val="baseline"/>
        </w:rPr>
        <w:t> </w:t>
      </w:r>
      <w:r>
        <w:rPr>
          <w:sz w:val="18"/>
          <w:vertAlign w:val="baseline"/>
        </w:rPr>
        <w:t>Integrated</w:t>
      </w:r>
      <w:r>
        <w:rPr>
          <w:spacing w:val="-2"/>
          <w:sz w:val="18"/>
          <w:vertAlign w:val="baseline"/>
        </w:rPr>
        <w:t> </w:t>
      </w:r>
      <w:r>
        <w:rPr>
          <w:sz w:val="18"/>
          <w:vertAlign w:val="baseline"/>
        </w:rPr>
        <w:t>HIV,</w:t>
      </w:r>
      <w:r>
        <w:rPr>
          <w:spacing w:val="-3"/>
          <w:sz w:val="18"/>
          <w:vertAlign w:val="baseline"/>
        </w:rPr>
        <w:t> </w:t>
      </w:r>
      <w:r>
        <w:rPr>
          <w:sz w:val="18"/>
          <w:vertAlign w:val="baseline"/>
        </w:rPr>
        <w:t>STD</w:t>
      </w:r>
      <w:r>
        <w:rPr>
          <w:spacing w:val="-3"/>
          <w:sz w:val="18"/>
          <w:vertAlign w:val="baseline"/>
        </w:rPr>
        <w:t> </w:t>
      </w:r>
      <w:r>
        <w:rPr>
          <w:sz w:val="18"/>
          <w:vertAlign w:val="baseline"/>
        </w:rPr>
        <w:t>and</w:t>
      </w:r>
      <w:r>
        <w:rPr>
          <w:spacing w:val="-2"/>
          <w:sz w:val="18"/>
          <w:vertAlign w:val="baseline"/>
        </w:rPr>
        <w:t> </w:t>
      </w:r>
      <w:r>
        <w:rPr>
          <w:sz w:val="18"/>
          <w:vertAlign w:val="baseline"/>
        </w:rPr>
        <w:t>Viral</w:t>
      </w:r>
      <w:r>
        <w:rPr>
          <w:spacing w:val="-3"/>
          <w:sz w:val="18"/>
          <w:vertAlign w:val="baseline"/>
        </w:rPr>
        <w:t> </w:t>
      </w:r>
      <w:r>
        <w:rPr>
          <w:sz w:val="18"/>
          <w:vertAlign w:val="baseline"/>
        </w:rPr>
        <w:t>Hepatitis</w:t>
      </w:r>
      <w:r>
        <w:rPr>
          <w:spacing w:val="-2"/>
          <w:sz w:val="18"/>
          <w:vertAlign w:val="baseline"/>
        </w:rPr>
        <w:t> </w:t>
      </w:r>
      <w:r>
        <w:rPr>
          <w:sz w:val="18"/>
          <w:vertAlign w:val="baseline"/>
        </w:rPr>
        <w:t>Surveillance</w:t>
      </w:r>
      <w:r>
        <w:rPr>
          <w:spacing w:val="-2"/>
          <w:sz w:val="18"/>
          <w:vertAlign w:val="baseline"/>
        </w:rPr>
        <w:t> </w:t>
      </w:r>
      <w:r>
        <w:rPr>
          <w:sz w:val="18"/>
          <w:vertAlign w:val="baseline"/>
        </w:rPr>
        <w:t>Report”</w:t>
      </w:r>
      <w:r>
        <w:rPr>
          <w:spacing w:val="-2"/>
          <w:sz w:val="18"/>
          <w:vertAlign w:val="baseline"/>
        </w:rPr>
        <w:t> </w:t>
      </w:r>
      <w:r>
        <w:rPr>
          <w:sz w:val="18"/>
          <w:vertAlign w:val="baseline"/>
        </w:rPr>
        <w:t>(Jamaica</w:t>
      </w:r>
      <w:r>
        <w:rPr>
          <w:spacing w:val="-2"/>
          <w:sz w:val="18"/>
          <w:vertAlign w:val="baseline"/>
        </w:rPr>
        <w:t> </w:t>
      </w:r>
      <w:r>
        <w:rPr>
          <w:sz w:val="18"/>
          <w:vertAlign w:val="baseline"/>
        </w:rPr>
        <w:t>Plain,</w:t>
      </w:r>
      <w:r>
        <w:rPr>
          <w:spacing w:val="-3"/>
          <w:sz w:val="18"/>
          <w:vertAlign w:val="baseline"/>
        </w:rPr>
        <w:t> </w:t>
      </w:r>
      <w:r>
        <w:rPr>
          <w:sz w:val="18"/>
          <w:vertAlign w:val="baseline"/>
        </w:rPr>
        <w:t>MA:</w:t>
      </w:r>
      <w:r>
        <w:rPr>
          <w:spacing w:val="-2"/>
          <w:sz w:val="18"/>
          <w:vertAlign w:val="baseline"/>
        </w:rPr>
        <w:t> </w:t>
      </w:r>
      <w:r>
        <w:rPr>
          <w:sz w:val="18"/>
          <w:vertAlign w:val="baseline"/>
        </w:rPr>
        <w:t>Massachusetts Department of Public Health, Bureau of Infectious Disease and Laboratory Sciences, 2022).</w:t>
      </w:r>
    </w:p>
    <w:p>
      <w:pPr>
        <w:spacing w:line="212" w:lineRule="exact" w:before="0"/>
        <w:ind w:left="463" w:right="0" w:firstLine="0"/>
        <w:jc w:val="left"/>
        <w:rPr>
          <w:i/>
          <w:sz w:val="18"/>
        </w:rPr>
      </w:pPr>
      <w:r>
        <w:rPr>
          <w:sz w:val="18"/>
          <w:vertAlign w:val="superscript"/>
        </w:rPr>
        <w:t>35</w:t>
      </w:r>
      <w:r>
        <w:rPr>
          <w:spacing w:val="-12"/>
          <w:sz w:val="18"/>
          <w:vertAlign w:val="baseline"/>
        </w:rPr>
        <w:t> </w:t>
      </w:r>
      <w:r>
        <w:rPr>
          <w:sz w:val="18"/>
          <w:vertAlign w:val="baseline"/>
        </w:rPr>
        <w:t>Elizabeth</w:t>
      </w:r>
      <w:r>
        <w:rPr>
          <w:spacing w:val="-4"/>
          <w:sz w:val="18"/>
          <w:vertAlign w:val="baseline"/>
        </w:rPr>
        <w:t> </w:t>
      </w:r>
      <w:r>
        <w:rPr>
          <w:sz w:val="18"/>
          <w:vertAlign w:val="baseline"/>
        </w:rPr>
        <w:t>Campanella</w:t>
      </w:r>
      <w:r>
        <w:rPr>
          <w:spacing w:val="-2"/>
          <w:sz w:val="18"/>
          <w:vertAlign w:val="baseline"/>
        </w:rPr>
        <w:t> </w:t>
      </w:r>
      <w:r>
        <w:rPr>
          <w:sz w:val="18"/>
          <w:vertAlign w:val="baseline"/>
        </w:rPr>
        <w:t>Day,</w:t>
      </w:r>
      <w:r>
        <w:rPr>
          <w:spacing w:val="-3"/>
          <w:sz w:val="18"/>
          <w:vertAlign w:val="baseline"/>
        </w:rPr>
        <w:t> </w:t>
      </w:r>
      <w:r>
        <w:rPr>
          <w:sz w:val="18"/>
          <w:vertAlign w:val="baseline"/>
        </w:rPr>
        <w:t>“Communicating</w:t>
      </w:r>
      <w:r>
        <w:rPr>
          <w:spacing w:val="-2"/>
          <w:sz w:val="18"/>
          <w:vertAlign w:val="baseline"/>
        </w:rPr>
        <w:t> </w:t>
      </w:r>
      <w:r>
        <w:rPr>
          <w:sz w:val="18"/>
          <w:vertAlign w:val="baseline"/>
        </w:rPr>
        <w:t>with</w:t>
      </w:r>
      <w:r>
        <w:rPr>
          <w:spacing w:val="-2"/>
          <w:sz w:val="18"/>
          <w:vertAlign w:val="baseline"/>
        </w:rPr>
        <w:t> </w:t>
      </w:r>
      <w:r>
        <w:rPr>
          <w:sz w:val="18"/>
          <w:vertAlign w:val="baseline"/>
        </w:rPr>
        <w:t>LGBTQ</w:t>
      </w:r>
      <w:r>
        <w:rPr>
          <w:spacing w:val="-2"/>
          <w:sz w:val="18"/>
          <w:vertAlign w:val="baseline"/>
        </w:rPr>
        <w:t> </w:t>
      </w:r>
      <w:r>
        <w:rPr>
          <w:sz w:val="18"/>
          <w:vertAlign w:val="baseline"/>
        </w:rPr>
        <w:t>Adolescents:</w:t>
      </w:r>
      <w:r>
        <w:rPr>
          <w:spacing w:val="-2"/>
          <w:sz w:val="18"/>
          <w:vertAlign w:val="baseline"/>
        </w:rPr>
        <w:t> </w:t>
      </w:r>
      <w:r>
        <w:rPr>
          <w:sz w:val="18"/>
          <w:vertAlign w:val="baseline"/>
        </w:rPr>
        <w:t>Preventing</w:t>
      </w:r>
      <w:r>
        <w:rPr>
          <w:spacing w:val="-2"/>
          <w:sz w:val="18"/>
          <w:vertAlign w:val="baseline"/>
        </w:rPr>
        <w:t> </w:t>
      </w:r>
      <w:r>
        <w:rPr>
          <w:sz w:val="18"/>
          <w:vertAlign w:val="baseline"/>
        </w:rPr>
        <w:t>HIV</w:t>
      </w:r>
      <w:r>
        <w:rPr>
          <w:spacing w:val="-2"/>
          <w:sz w:val="18"/>
          <w:vertAlign w:val="baseline"/>
        </w:rPr>
        <w:t> </w:t>
      </w:r>
      <w:r>
        <w:rPr>
          <w:sz w:val="18"/>
          <w:vertAlign w:val="baseline"/>
        </w:rPr>
        <w:t>and</w:t>
      </w:r>
      <w:r>
        <w:rPr>
          <w:spacing w:val="-2"/>
          <w:sz w:val="18"/>
          <w:vertAlign w:val="baseline"/>
        </w:rPr>
        <w:t> </w:t>
      </w:r>
      <w:r>
        <w:rPr>
          <w:sz w:val="18"/>
          <w:vertAlign w:val="baseline"/>
        </w:rPr>
        <w:t>Other</w:t>
      </w:r>
      <w:r>
        <w:rPr>
          <w:spacing w:val="-4"/>
          <w:sz w:val="18"/>
          <w:vertAlign w:val="baseline"/>
        </w:rPr>
        <w:t> </w:t>
      </w:r>
      <w:r>
        <w:rPr>
          <w:sz w:val="18"/>
          <w:vertAlign w:val="baseline"/>
        </w:rPr>
        <w:t>STIs.,”</w:t>
      </w:r>
      <w:r>
        <w:rPr>
          <w:spacing w:val="-2"/>
          <w:sz w:val="18"/>
          <w:vertAlign w:val="baseline"/>
        </w:rPr>
        <w:t> </w:t>
      </w:r>
      <w:r>
        <w:rPr>
          <w:i/>
          <w:sz w:val="18"/>
          <w:vertAlign w:val="baseline"/>
        </w:rPr>
        <w:t>Pediatric</w:t>
      </w:r>
      <w:r>
        <w:rPr>
          <w:i/>
          <w:spacing w:val="-2"/>
          <w:sz w:val="18"/>
          <w:vertAlign w:val="baseline"/>
        </w:rPr>
        <w:t> Nursing</w:t>
      </w:r>
    </w:p>
    <w:p>
      <w:pPr>
        <w:spacing w:after="0" w:line="212" w:lineRule="exact"/>
        <w:jc w:val="left"/>
        <w:rPr>
          <w:sz w:val="18"/>
        </w:rPr>
        <w:sectPr>
          <w:pgSz w:w="11910" w:h="16840"/>
          <w:pgMar w:header="804" w:footer="1277" w:top="1080" w:bottom="1480" w:left="980" w:right="900"/>
        </w:sectPr>
      </w:pPr>
    </w:p>
    <w:p>
      <w:pPr>
        <w:spacing w:line="218" w:lineRule="exact" w:before="53"/>
        <w:ind w:left="463" w:right="0" w:firstLine="0"/>
        <w:jc w:val="left"/>
        <w:rPr>
          <w:sz w:val="18"/>
        </w:rPr>
      </w:pPr>
      <w:r>
        <w:rPr>
          <w:sz w:val="18"/>
        </w:rPr>
        <w:t>48,</w:t>
      </w:r>
      <w:r>
        <w:rPr>
          <w:spacing w:val="-2"/>
          <w:sz w:val="18"/>
        </w:rPr>
        <w:t> </w:t>
      </w:r>
      <w:r>
        <w:rPr>
          <w:sz w:val="18"/>
        </w:rPr>
        <w:t>no.</w:t>
      </w:r>
      <w:r>
        <w:rPr>
          <w:spacing w:val="-1"/>
          <w:sz w:val="18"/>
        </w:rPr>
        <w:t> </w:t>
      </w:r>
      <w:r>
        <w:rPr>
          <w:sz w:val="18"/>
        </w:rPr>
        <w:t>4</w:t>
      </w:r>
      <w:r>
        <w:rPr>
          <w:spacing w:val="-1"/>
          <w:sz w:val="18"/>
        </w:rPr>
        <w:t> </w:t>
      </w:r>
      <w:r>
        <w:rPr>
          <w:sz w:val="18"/>
        </w:rPr>
        <w:t>(July</w:t>
      </w:r>
      <w:r>
        <w:rPr>
          <w:spacing w:val="-1"/>
          <w:sz w:val="18"/>
        </w:rPr>
        <w:t> </w:t>
      </w:r>
      <w:r>
        <w:rPr>
          <w:sz w:val="18"/>
        </w:rPr>
        <w:t>1,</w:t>
      </w:r>
      <w:r>
        <w:rPr>
          <w:spacing w:val="-2"/>
          <w:sz w:val="18"/>
        </w:rPr>
        <w:t> </w:t>
      </w:r>
      <w:r>
        <w:rPr>
          <w:sz w:val="18"/>
        </w:rPr>
        <w:t>2022):</w:t>
      </w:r>
      <w:r>
        <w:rPr>
          <w:spacing w:val="-1"/>
          <w:sz w:val="18"/>
        </w:rPr>
        <w:t> </w:t>
      </w:r>
      <w:r>
        <w:rPr>
          <w:spacing w:val="-2"/>
          <w:sz w:val="18"/>
        </w:rPr>
        <w:t>163–67.</w:t>
      </w:r>
    </w:p>
    <w:p>
      <w:pPr>
        <w:spacing w:line="218" w:lineRule="exact" w:before="0"/>
        <w:ind w:left="463" w:right="0" w:firstLine="0"/>
        <w:jc w:val="left"/>
        <w:rPr>
          <w:sz w:val="18"/>
        </w:rPr>
      </w:pPr>
      <w:r>
        <w:rPr>
          <w:sz w:val="18"/>
          <w:vertAlign w:val="superscript"/>
        </w:rPr>
        <w:t>36</w:t>
      </w:r>
      <w:r>
        <w:rPr>
          <w:spacing w:val="-12"/>
          <w:sz w:val="18"/>
          <w:vertAlign w:val="baseline"/>
        </w:rPr>
        <w:t> </w:t>
      </w:r>
      <w:r>
        <w:rPr>
          <w:sz w:val="18"/>
          <w:vertAlign w:val="baseline"/>
        </w:rPr>
        <w:t>“2021</w:t>
      </w:r>
      <w:r>
        <w:rPr>
          <w:spacing w:val="-3"/>
          <w:sz w:val="18"/>
          <w:vertAlign w:val="baseline"/>
        </w:rPr>
        <w:t> </w:t>
      </w:r>
      <w:r>
        <w:rPr>
          <w:sz w:val="18"/>
          <w:vertAlign w:val="baseline"/>
        </w:rPr>
        <w:t>Massachusetts</w:t>
      </w:r>
      <w:r>
        <w:rPr>
          <w:spacing w:val="-1"/>
          <w:sz w:val="18"/>
          <w:vertAlign w:val="baseline"/>
        </w:rPr>
        <w:t> </w:t>
      </w:r>
      <w:r>
        <w:rPr>
          <w:sz w:val="18"/>
          <w:vertAlign w:val="baseline"/>
        </w:rPr>
        <w:t>Youth</w:t>
      </w:r>
      <w:r>
        <w:rPr>
          <w:spacing w:val="-1"/>
          <w:sz w:val="18"/>
          <w:vertAlign w:val="baseline"/>
        </w:rPr>
        <w:t> </w:t>
      </w:r>
      <w:r>
        <w:rPr>
          <w:sz w:val="18"/>
          <w:vertAlign w:val="baseline"/>
        </w:rPr>
        <w:t>Risk</w:t>
      </w:r>
      <w:r>
        <w:rPr>
          <w:spacing w:val="-2"/>
          <w:sz w:val="18"/>
          <w:vertAlign w:val="baseline"/>
        </w:rPr>
        <w:t> </w:t>
      </w:r>
      <w:r>
        <w:rPr>
          <w:sz w:val="18"/>
          <w:vertAlign w:val="baseline"/>
        </w:rPr>
        <w:t>Behavior</w:t>
      </w:r>
      <w:r>
        <w:rPr>
          <w:spacing w:val="-3"/>
          <w:sz w:val="18"/>
          <w:vertAlign w:val="baseline"/>
        </w:rPr>
        <w:t> </w:t>
      </w:r>
      <w:r>
        <w:rPr>
          <w:sz w:val="18"/>
          <w:vertAlign w:val="baseline"/>
        </w:rPr>
        <w:t>Survey</w:t>
      </w:r>
      <w:r>
        <w:rPr>
          <w:spacing w:val="-1"/>
          <w:sz w:val="18"/>
          <w:vertAlign w:val="baseline"/>
        </w:rPr>
        <w:t> </w:t>
      </w:r>
      <w:r>
        <w:rPr>
          <w:spacing w:val="-2"/>
          <w:sz w:val="18"/>
          <w:vertAlign w:val="baseline"/>
        </w:rPr>
        <w:t>Data.”</w:t>
      </w:r>
    </w:p>
    <w:p>
      <w:pPr>
        <w:spacing w:before="21"/>
        <w:ind w:left="463" w:right="0" w:firstLine="0"/>
        <w:jc w:val="left"/>
        <w:rPr>
          <w:sz w:val="18"/>
        </w:rPr>
      </w:pPr>
      <w:r>
        <w:rPr>
          <w:sz w:val="18"/>
          <w:vertAlign w:val="superscript"/>
        </w:rPr>
        <w:t>37</w:t>
      </w:r>
      <w:r>
        <w:rPr>
          <w:spacing w:val="-12"/>
          <w:sz w:val="18"/>
          <w:vertAlign w:val="baseline"/>
        </w:rPr>
        <w:t> </w:t>
      </w:r>
      <w:r>
        <w:rPr>
          <w:sz w:val="18"/>
          <w:vertAlign w:val="baseline"/>
        </w:rPr>
        <w:t>“2021</w:t>
      </w:r>
      <w:r>
        <w:rPr>
          <w:spacing w:val="-3"/>
          <w:sz w:val="18"/>
          <w:vertAlign w:val="baseline"/>
        </w:rPr>
        <w:t> </w:t>
      </w:r>
      <w:r>
        <w:rPr>
          <w:sz w:val="18"/>
          <w:vertAlign w:val="baseline"/>
        </w:rPr>
        <w:t>Massachusetts</w:t>
      </w:r>
      <w:r>
        <w:rPr>
          <w:spacing w:val="-1"/>
          <w:sz w:val="18"/>
          <w:vertAlign w:val="baseline"/>
        </w:rPr>
        <w:t> </w:t>
      </w:r>
      <w:r>
        <w:rPr>
          <w:sz w:val="18"/>
          <w:vertAlign w:val="baseline"/>
        </w:rPr>
        <w:t>Youth</w:t>
      </w:r>
      <w:r>
        <w:rPr>
          <w:spacing w:val="-1"/>
          <w:sz w:val="18"/>
          <w:vertAlign w:val="baseline"/>
        </w:rPr>
        <w:t> </w:t>
      </w:r>
      <w:r>
        <w:rPr>
          <w:sz w:val="18"/>
          <w:vertAlign w:val="baseline"/>
        </w:rPr>
        <w:t>Risk</w:t>
      </w:r>
      <w:r>
        <w:rPr>
          <w:spacing w:val="-2"/>
          <w:sz w:val="18"/>
          <w:vertAlign w:val="baseline"/>
        </w:rPr>
        <w:t> </w:t>
      </w:r>
      <w:r>
        <w:rPr>
          <w:sz w:val="18"/>
          <w:vertAlign w:val="baseline"/>
        </w:rPr>
        <w:t>Behavior</w:t>
      </w:r>
      <w:r>
        <w:rPr>
          <w:spacing w:val="-3"/>
          <w:sz w:val="18"/>
          <w:vertAlign w:val="baseline"/>
        </w:rPr>
        <w:t> </w:t>
      </w:r>
      <w:r>
        <w:rPr>
          <w:sz w:val="18"/>
          <w:vertAlign w:val="baseline"/>
        </w:rPr>
        <w:t>Survey</w:t>
      </w:r>
      <w:r>
        <w:rPr>
          <w:spacing w:val="-1"/>
          <w:sz w:val="18"/>
          <w:vertAlign w:val="baseline"/>
        </w:rPr>
        <w:t> </w:t>
      </w:r>
      <w:r>
        <w:rPr>
          <w:spacing w:val="-2"/>
          <w:sz w:val="18"/>
          <w:vertAlign w:val="baseline"/>
        </w:rPr>
        <w:t>Data.”</w:t>
      </w:r>
    </w:p>
    <w:p>
      <w:pPr>
        <w:spacing w:before="32"/>
        <w:ind w:left="463" w:right="0" w:firstLine="0"/>
        <w:jc w:val="left"/>
        <w:rPr>
          <w:sz w:val="18"/>
        </w:rPr>
      </w:pPr>
      <w:r>
        <w:rPr>
          <w:sz w:val="18"/>
          <w:vertAlign w:val="superscript"/>
        </w:rPr>
        <w:t>38</w:t>
      </w:r>
      <w:r>
        <w:rPr>
          <w:spacing w:val="-12"/>
          <w:sz w:val="18"/>
          <w:vertAlign w:val="baseline"/>
        </w:rPr>
        <w:t> </w:t>
      </w:r>
      <w:r>
        <w:rPr>
          <w:sz w:val="18"/>
          <w:vertAlign w:val="baseline"/>
        </w:rPr>
        <w:t>“2021</w:t>
      </w:r>
      <w:r>
        <w:rPr>
          <w:spacing w:val="-3"/>
          <w:sz w:val="18"/>
          <w:vertAlign w:val="baseline"/>
        </w:rPr>
        <w:t> </w:t>
      </w:r>
      <w:r>
        <w:rPr>
          <w:sz w:val="18"/>
          <w:vertAlign w:val="baseline"/>
        </w:rPr>
        <w:t>Massachusetts</w:t>
      </w:r>
      <w:r>
        <w:rPr>
          <w:spacing w:val="-1"/>
          <w:sz w:val="18"/>
          <w:vertAlign w:val="baseline"/>
        </w:rPr>
        <w:t> </w:t>
      </w:r>
      <w:r>
        <w:rPr>
          <w:sz w:val="18"/>
          <w:vertAlign w:val="baseline"/>
        </w:rPr>
        <w:t>Youth</w:t>
      </w:r>
      <w:r>
        <w:rPr>
          <w:spacing w:val="-1"/>
          <w:sz w:val="18"/>
          <w:vertAlign w:val="baseline"/>
        </w:rPr>
        <w:t> </w:t>
      </w:r>
      <w:r>
        <w:rPr>
          <w:sz w:val="18"/>
          <w:vertAlign w:val="baseline"/>
        </w:rPr>
        <w:t>Risk</w:t>
      </w:r>
      <w:r>
        <w:rPr>
          <w:spacing w:val="-2"/>
          <w:sz w:val="18"/>
          <w:vertAlign w:val="baseline"/>
        </w:rPr>
        <w:t> </w:t>
      </w:r>
      <w:r>
        <w:rPr>
          <w:sz w:val="18"/>
          <w:vertAlign w:val="baseline"/>
        </w:rPr>
        <w:t>Behavior</w:t>
      </w:r>
      <w:r>
        <w:rPr>
          <w:spacing w:val="-3"/>
          <w:sz w:val="18"/>
          <w:vertAlign w:val="baseline"/>
        </w:rPr>
        <w:t> </w:t>
      </w:r>
      <w:r>
        <w:rPr>
          <w:sz w:val="18"/>
          <w:vertAlign w:val="baseline"/>
        </w:rPr>
        <w:t>Survey</w:t>
      </w:r>
      <w:r>
        <w:rPr>
          <w:spacing w:val="-1"/>
          <w:sz w:val="18"/>
          <w:vertAlign w:val="baseline"/>
        </w:rPr>
        <w:t> </w:t>
      </w:r>
      <w:r>
        <w:rPr>
          <w:spacing w:val="-2"/>
          <w:sz w:val="18"/>
          <w:vertAlign w:val="baseline"/>
        </w:rPr>
        <w:t>Data.”</w:t>
      </w:r>
    </w:p>
    <w:p>
      <w:pPr>
        <w:spacing w:line="273" w:lineRule="auto" w:before="20"/>
        <w:ind w:left="463" w:right="1299" w:hanging="1"/>
        <w:jc w:val="left"/>
        <w:rPr>
          <w:sz w:val="18"/>
        </w:rPr>
      </w:pPr>
      <w:r>
        <w:rPr>
          <w:sz w:val="18"/>
          <w:vertAlign w:val="superscript"/>
        </w:rPr>
        <w:t>39</w:t>
      </w:r>
      <w:r>
        <w:rPr>
          <w:spacing w:val="-12"/>
          <w:sz w:val="18"/>
          <w:vertAlign w:val="baseline"/>
        </w:rPr>
        <w:t> </w:t>
      </w:r>
      <w:r>
        <w:rPr>
          <w:sz w:val="18"/>
          <w:vertAlign w:val="baseline"/>
        </w:rPr>
        <w:t>“Youth</w:t>
      </w:r>
      <w:r>
        <w:rPr>
          <w:spacing w:val="-2"/>
          <w:sz w:val="18"/>
          <w:vertAlign w:val="baseline"/>
        </w:rPr>
        <w:t> </w:t>
      </w:r>
      <w:r>
        <w:rPr>
          <w:sz w:val="18"/>
          <w:vertAlign w:val="baseline"/>
        </w:rPr>
        <w:t>STIs:</w:t>
      </w:r>
      <w:r>
        <w:rPr>
          <w:spacing w:val="-1"/>
          <w:sz w:val="18"/>
          <w:vertAlign w:val="baseline"/>
        </w:rPr>
        <w:t> </w:t>
      </w:r>
      <w:r>
        <w:rPr>
          <w:sz w:val="18"/>
          <w:vertAlign w:val="baseline"/>
        </w:rPr>
        <w:t>An</w:t>
      </w:r>
      <w:r>
        <w:rPr>
          <w:spacing w:val="-1"/>
          <w:sz w:val="18"/>
          <w:vertAlign w:val="baseline"/>
        </w:rPr>
        <w:t> </w:t>
      </w:r>
      <w:r>
        <w:rPr>
          <w:sz w:val="18"/>
          <w:vertAlign w:val="baseline"/>
        </w:rPr>
        <w:t>Epidemic</w:t>
      </w:r>
      <w:r>
        <w:rPr>
          <w:spacing w:val="-2"/>
          <w:sz w:val="18"/>
          <w:vertAlign w:val="baseline"/>
        </w:rPr>
        <w:t> </w:t>
      </w:r>
      <w:r>
        <w:rPr>
          <w:sz w:val="18"/>
          <w:vertAlign w:val="baseline"/>
        </w:rPr>
        <w:t>Fuelled</w:t>
      </w:r>
      <w:r>
        <w:rPr>
          <w:spacing w:val="-1"/>
          <w:sz w:val="18"/>
          <w:vertAlign w:val="baseline"/>
        </w:rPr>
        <w:t> </w:t>
      </w:r>
      <w:r>
        <w:rPr>
          <w:sz w:val="18"/>
          <w:vertAlign w:val="baseline"/>
        </w:rPr>
        <w:t>by</w:t>
      </w:r>
      <w:r>
        <w:rPr>
          <w:spacing w:val="-1"/>
          <w:sz w:val="18"/>
          <w:vertAlign w:val="baseline"/>
        </w:rPr>
        <w:t> </w:t>
      </w:r>
      <w:r>
        <w:rPr>
          <w:sz w:val="18"/>
          <w:vertAlign w:val="baseline"/>
        </w:rPr>
        <w:t>Shame,”</w:t>
      </w:r>
      <w:r>
        <w:rPr>
          <w:spacing w:val="-1"/>
          <w:sz w:val="18"/>
          <w:vertAlign w:val="baseline"/>
        </w:rPr>
        <w:t> </w:t>
      </w:r>
      <w:r>
        <w:rPr>
          <w:i/>
          <w:sz w:val="18"/>
          <w:vertAlign w:val="baseline"/>
        </w:rPr>
        <w:t>The</w:t>
      </w:r>
      <w:r>
        <w:rPr>
          <w:i/>
          <w:spacing w:val="-1"/>
          <w:sz w:val="18"/>
          <w:vertAlign w:val="baseline"/>
        </w:rPr>
        <w:t> </w:t>
      </w:r>
      <w:r>
        <w:rPr>
          <w:i/>
          <w:sz w:val="18"/>
          <w:vertAlign w:val="baseline"/>
        </w:rPr>
        <w:t>Lancet</w:t>
      </w:r>
      <w:r>
        <w:rPr>
          <w:i/>
          <w:spacing w:val="-2"/>
          <w:sz w:val="18"/>
          <w:vertAlign w:val="baseline"/>
        </w:rPr>
        <w:t> </w:t>
      </w:r>
      <w:r>
        <w:rPr>
          <w:i/>
          <w:sz w:val="18"/>
          <w:vertAlign w:val="baseline"/>
        </w:rPr>
        <w:t>Child &amp;</w:t>
      </w:r>
      <w:r>
        <w:rPr>
          <w:i/>
          <w:spacing w:val="-2"/>
          <w:sz w:val="18"/>
          <w:vertAlign w:val="baseline"/>
        </w:rPr>
        <w:t> </w:t>
      </w:r>
      <w:r>
        <w:rPr>
          <w:i/>
          <w:sz w:val="18"/>
          <w:vertAlign w:val="baseline"/>
        </w:rPr>
        <w:t>Adolescent</w:t>
      </w:r>
      <w:r>
        <w:rPr>
          <w:i/>
          <w:spacing w:val="-2"/>
          <w:sz w:val="18"/>
          <w:vertAlign w:val="baseline"/>
        </w:rPr>
        <w:t> </w:t>
      </w:r>
      <w:r>
        <w:rPr>
          <w:i/>
          <w:sz w:val="18"/>
          <w:vertAlign w:val="baseline"/>
        </w:rPr>
        <w:t>Health</w:t>
      </w:r>
      <w:r>
        <w:rPr>
          <w:i/>
          <w:spacing w:val="-2"/>
          <w:sz w:val="18"/>
          <w:vertAlign w:val="baseline"/>
        </w:rPr>
        <w:t> </w:t>
      </w:r>
      <w:r>
        <w:rPr>
          <w:sz w:val="18"/>
          <w:vertAlign w:val="baseline"/>
        </w:rPr>
        <w:t>6,</w:t>
      </w:r>
      <w:r>
        <w:rPr>
          <w:spacing w:val="-2"/>
          <w:sz w:val="18"/>
          <w:vertAlign w:val="baseline"/>
        </w:rPr>
        <w:t> </w:t>
      </w:r>
      <w:r>
        <w:rPr>
          <w:sz w:val="18"/>
          <w:vertAlign w:val="baseline"/>
        </w:rPr>
        <w:t>no.</w:t>
      </w:r>
      <w:r>
        <w:rPr>
          <w:spacing w:val="-1"/>
          <w:sz w:val="18"/>
          <w:vertAlign w:val="baseline"/>
        </w:rPr>
        <w:t> </w:t>
      </w:r>
      <w:r>
        <w:rPr>
          <w:sz w:val="18"/>
          <w:vertAlign w:val="baseline"/>
        </w:rPr>
        <w:t>6</w:t>
      </w:r>
      <w:r>
        <w:rPr>
          <w:spacing w:val="-1"/>
          <w:sz w:val="18"/>
          <w:vertAlign w:val="baseline"/>
        </w:rPr>
        <w:t> </w:t>
      </w:r>
      <w:r>
        <w:rPr>
          <w:sz w:val="18"/>
          <w:vertAlign w:val="baseline"/>
        </w:rPr>
        <w:t>(June</w:t>
      </w:r>
      <w:r>
        <w:rPr>
          <w:spacing w:val="-1"/>
          <w:sz w:val="18"/>
          <w:vertAlign w:val="baseline"/>
        </w:rPr>
        <w:t> </w:t>
      </w:r>
      <w:r>
        <w:rPr>
          <w:sz w:val="18"/>
          <w:vertAlign w:val="baseline"/>
        </w:rPr>
        <w:t>1,</w:t>
      </w:r>
      <w:r>
        <w:rPr>
          <w:spacing w:val="-2"/>
          <w:sz w:val="18"/>
          <w:vertAlign w:val="baseline"/>
        </w:rPr>
        <w:t> </w:t>
      </w:r>
      <w:r>
        <w:rPr>
          <w:sz w:val="18"/>
          <w:vertAlign w:val="baseline"/>
        </w:rPr>
        <w:t>2022):</w:t>
      </w:r>
      <w:r>
        <w:rPr>
          <w:spacing w:val="-1"/>
          <w:sz w:val="18"/>
          <w:vertAlign w:val="baseline"/>
        </w:rPr>
        <w:t> </w:t>
      </w:r>
      <w:r>
        <w:rPr>
          <w:sz w:val="18"/>
          <w:vertAlign w:val="baseline"/>
        </w:rPr>
        <w:t>353, </w:t>
      </w:r>
      <w:r>
        <w:rPr>
          <w:spacing w:val="-2"/>
          <w:sz w:val="18"/>
          <w:vertAlign w:val="baseline"/>
        </w:rPr>
        <w:t>https://doi.org/10.1016/S2352-4642(22)00128-6.</w:t>
      </w:r>
    </w:p>
    <w:p>
      <w:pPr>
        <w:spacing w:line="273" w:lineRule="auto" w:before="9"/>
        <w:ind w:left="463" w:right="801" w:hanging="1"/>
        <w:jc w:val="left"/>
        <w:rPr>
          <w:sz w:val="18"/>
        </w:rPr>
      </w:pPr>
      <w:r>
        <w:rPr>
          <w:sz w:val="18"/>
          <w:vertAlign w:val="superscript"/>
        </w:rPr>
        <w:t>40</w:t>
      </w:r>
      <w:r>
        <w:rPr>
          <w:spacing w:val="-12"/>
          <w:sz w:val="18"/>
          <w:vertAlign w:val="baseline"/>
        </w:rPr>
        <w:t> </w:t>
      </w:r>
      <w:r>
        <w:rPr>
          <w:sz w:val="18"/>
          <w:vertAlign w:val="baseline"/>
        </w:rPr>
        <w:t>Ashley</w:t>
      </w:r>
      <w:r>
        <w:rPr>
          <w:spacing w:val="-2"/>
          <w:sz w:val="18"/>
          <w:vertAlign w:val="baseline"/>
        </w:rPr>
        <w:t> </w:t>
      </w:r>
      <w:r>
        <w:rPr>
          <w:sz w:val="18"/>
          <w:vertAlign w:val="baseline"/>
        </w:rPr>
        <w:t>B.</w:t>
      </w:r>
      <w:r>
        <w:rPr>
          <w:spacing w:val="-2"/>
          <w:sz w:val="18"/>
          <w:vertAlign w:val="baseline"/>
        </w:rPr>
        <w:t> </w:t>
      </w:r>
      <w:r>
        <w:rPr>
          <w:sz w:val="18"/>
          <w:vertAlign w:val="baseline"/>
        </w:rPr>
        <w:t>Woolweaver</w:t>
      </w:r>
      <w:r>
        <w:rPr>
          <w:spacing w:val="-3"/>
          <w:sz w:val="18"/>
          <w:vertAlign w:val="baseline"/>
        </w:rPr>
        <w:t> </w:t>
      </w:r>
      <w:r>
        <w:rPr>
          <w:sz w:val="18"/>
          <w:vertAlign w:val="baseline"/>
        </w:rPr>
        <w:t>et</w:t>
      </w:r>
      <w:r>
        <w:rPr>
          <w:spacing w:val="-3"/>
          <w:sz w:val="18"/>
          <w:vertAlign w:val="baseline"/>
        </w:rPr>
        <w:t> </w:t>
      </w:r>
      <w:r>
        <w:rPr>
          <w:sz w:val="18"/>
          <w:vertAlign w:val="baseline"/>
        </w:rPr>
        <w:t>al.,</w:t>
      </w:r>
      <w:r>
        <w:rPr>
          <w:spacing w:val="-3"/>
          <w:sz w:val="18"/>
          <w:vertAlign w:val="baseline"/>
        </w:rPr>
        <w:t> </w:t>
      </w:r>
      <w:r>
        <w:rPr>
          <w:sz w:val="18"/>
          <w:vertAlign w:val="baseline"/>
        </w:rPr>
        <w:t>“Leveraging</w:t>
      </w:r>
      <w:r>
        <w:rPr>
          <w:spacing w:val="-3"/>
          <w:sz w:val="18"/>
          <w:vertAlign w:val="baseline"/>
        </w:rPr>
        <w:t> </w:t>
      </w:r>
      <w:r>
        <w:rPr>
          <w:sz w:val="18"/>
          <w:vertAlign w:val="baseline"/>
        </w:rPr>
        <w:t>Comprehensive</w:t>
      </w:r>
      <w:r>
        <w:rPr>
          <w:spacing w:val="-3"/>
          <w:sz w:val="18"/>
          <w:vertAlign w:val="baseline"/>
        </w:rPr>
        <w:t> </w:t>
      </w:r>
      <w:r>
        <w:rPr>
          <w:sz w:val="18"/>
          <w:vertAlign w:val="baseline"/>
        </w:rPr>
        <w:t>Sexuality</w:t>
      </w:r>
      <w:r>
        <w:rPr>
          <w:spacing w:val="-2"/>
          <w:sz w:val="18"/>
          <w:vertAlign w:val="baseline"/>
        </w:rPr>
        <w:t> </w:t>
      </w:r>
      <w:r>
        <w:rPr>
          <w:sz w:val="18"/>
          <w:vertAlign w:val="baseline"/>
        </w:rPr>
        <w:t>Education</w:t>
      </w:r>
      <w:r>
        <w:rPr>
          <w:spacing w:val="-2"/>
          <w:sz w:val="18"/>
          <w:vertAlign w:val="baseline"/>
        </w:rPr>
        <w:t> </w:t>
      </w:r>
      <w:r>
        <w:rPr>
          <w:sz w:val="18"/>
          <w:vertAlign w:val="baseline"/>
        </w:rPr>
        <w:t>as</w:t>
      </w:r>
      <w:r>
        <w:rPr>
          <w:spacing w:val="-2"/>
          <w:sz w:val="18"/>
          <w:vertAlign w:val="baseline"/>
        </w:rPr>
        <w:t> </w:t>
      </w:r>
      <w:r>
        <w:rPr>
          <w:sz w:val="18"/>
          <w:vertAlign w:val="baseline"/>
        </w:rPr>
        <w:t>a</w:t>
      </w:r>
      <w:r>
        <w:rPr>
          <w:spacing w:val="-2"/>
          <w:sz w:val="18"/>
          <w:vertAlign w:val="baseline"/>
        </w:rPr>
        <w:t> </w:t>
      </w:r>
      <w:r>
        <w:rPr>
          <w:sz w:val="18"/>
          <w:vertAlign w:val="baseline"/>
        </w:rPr>
        <w:t>Tool</w:t>
      </w:r>
      <w:r>
        <w:rPr>
          <w:spacing w:val="-3"/>
          <w:sz w:val="18"/>
          <w:vertAlign w:val="baseline"/>
        </w:rPr>
        <w:t> </w:t>
      </w:r>
      <w:r>
        <w:rPr>
          <w:sz w:val="18"/>
          <w:vertAlign w:val="baseline"/>
        </w:rPr>
        <w:t>for</w:t>
      </w:r>
      <w:r>
        <w:rPr>
          <w:spacing w:val="-3"/>
          <w:sz w:val="18"/>
          <w:vertAlign w:val="baseline"/>
        </w:rPr>
        <w:t> </w:t>
      </w:r>
      <w:r>
        <w:rPr>
          <w:sz w:val="18"/>
          <w:vertAlign w:val="baseline"/>
        </w:rPr>
        <w:t>Knowledge,</w:t>
      </w:r>
      <w:r>
        <w:rPr>
          <w:spacing w:val="-3"/>
          <w:sz w:val="18"/>
          <w:vertAlign w:val="baseline"/>
        </w:rPr>
        <w:t> </w:t>
      </w:r>
      <w:r>
        <w:rPr>
          <w:sz w:val="18"/>
          <w:vertAlign w:val="baseline"/>
        </w:rPr>
        <w:t>Equity,</w:t>
      </w:r>
      <w:r>
        <w:rPr>
          <w:spacing w:val="-3"/>
          <w:sz w:val="18"/>
          <w:vertAlign w:val="baseline"/>
        </w:rPr>
        <w:t> </w:t>
      </w:r>
      <w:r>
        <w:rPr>
          <w:sz w:val="18"/>
          <w:vertAlign w:val="baseline"/>
        </w:rPr>
        <w:t>and Inclusion,” </w:t>
      </w:r>
      <w:r>
        <w:rPr>
          <w:i/>
          <w:sz w:val="18"/>
          <w:vertAlign w:val="baseline"/>
        </w:rPr>
        <w:t>Journal of School Health</w:t>
      </w:r>
      <w:r>
        <w:rPr>
          <w:sz w:val="18"/>
          <w:vertAlign w:val="baseline"/>
        </w:rPr>
        <w:t>, November 20, 2022, https://doi.org/10.1111/josh.13276.</w:t>
      </w:r>
    </w:p>
    <w:p>
      <w:pPr>
        <w:spacing w:line="212" w:lineRule="exact" w:before="0"/>
        <w:ind w:left="463" w:right="0" w:firstLine="0"/>
        <w:jc w:val="left"/>
        <w:rPr>
          <w:sz w:val="18"/>
        </w:rPr>
      </w:pPr>
      <w:r>
        <w:rPr>
          <w:sz w:val="18"/>
          <w:vertAlign w:val="superscript"/>
        </w:rPr>
        <w:t>41</w:t>
      </w:r>
      <w:r>
        <w:rPr>
          <w:spacing w:val="-12"/>
          <w:sz w:val="18"/>
          <w:vertAlign w:val="baseline"/>
        </w:rPr>
        <w:t> </w:t>
      </w:r>
      <w:r>
        <w:rPr>
          <w:sz w:val="18"/>
          <w:vertAlign w:val="baseline"/>
        </w:rPr>
        <w:t>“2021</w:t>
      </w:r>
      <w:r>
        <w:rPr>
          <w:spacing w:val="-3"/>
          <w:sz w:val="18"/>
          <w:vertAlign w:val="baseline"/>
        </w:rPr>
        <w:t> </w:t>
      </w:r>
      <w:r>
        <w:rPr>
          <w:sz w:val="18"/>
          <w:vertAlign w:val="baseline"/>
        </w:rPr>
        <w:t>Massachusetts</w:t>
      </w:r>
      <w:r>
        <w:rPr>
          <w:spacing w:val="-1"/>
          <w:sz w:val="18"/>
          <w:vertAlign w:val="baseline"/>
        </w:rPr>
        <w:t> </w:t>
      </w:r>
      <w:r>
        <w:rPr>
          <w:sz w:val="18"/>
          <w:vertAlign w:val="baseline"/>
        </w:rPr>
        <w:t>Youth</w:t>
      </w:r>
      <w:r>
        <w:rPr>
          <w:spacing w:val="-1"/>
          <w:sz w:val="18"/>
          <w:vertAlign w:val="baseline"/>
        </w:rPr>
        <w:t> </w:t>
      </w:r>
      <w:r>
        <w:rPr>
          <w:sz w:val="18"/>
          <w:vertAlign w:val="baseline"/>
        </w:rPr>
        <w:t>Risk</w:t>
      </w:r>
      <w:r>
        <w:rPr>
          <w:spacing w:val="-2"/>
          <w:sz w:val="18"/>
          <w:vertAlign w:val="baseline"/>
        </w:rPr>
        <w:t> </w:t>
      </w:r>
      <w:r>
        <w:rPr>
          <w:sz w:val="18"/>
          <w:vertAlign w:val="baseline"/>
        </w:rPr>
        <w:t>Behavior</w:t>
      </w:r>
      <w:r>
        <w:rPr>
          <w:spacing w:val="-3"/>
          <w:sz w:val="18"/>
          <w:vertAlign w:val="baseline"/>
        </w:rPr>
        <w:t> </w:t>
      </w:r>
      <w:r>
        <w:rPr>
          <w:sz w:val="18"/>
          <w:vertAlign w:val="baseline"/>
        </w:rPr>
        <w:t>Survey</w:t>
      </w:r>
      <w:r>
        <w:rPr>
          <w:spacing w:val="-1"/>
          <w:sz w:val="18"/>
          <w:vertAlign w:val="baseline"/>
        </w:rPr>
        <w:t> </w:t>
      </w:r>
      <w:r>
        <w:rPr>
          <w:spacing w:val="-2"/>
          <w:sz w:val="18"/>
          <w:vertAlign w:val="baseline"/>
        </w:rPr>
        <w:t>Data.”</w:t>
      </w:r>
    </w:p>
    <w:p>
      <w:pPr>
        <w:spacing w:before="4"/>
        <w:ind w:left="463" w:right="0" w:firstLine="0"/>
        <w:jc w:val="left"/>
        <w:rPr>
          <w:sz w:val="18"/>
        </w:rPr>
      </w:pPr>
      <w:r>
        <w:rPr>
          <w:sz w:val="18"/>
          <w:vertAlign w:val="superscript"/>
        </w:rPr>
        <w:t>42</w:t>
      </w:r>
      <w:r>
        <w:rPr>
          <w:spacing w:val="-12"/>
          <w:sz w:val="18"/>
          <w:vertAlign w:val="baseline"/>
        </w:rPr>
        <w:t> </w:t>
      </w:r>
      <w:r>
        <w:rPr>
          <w:sz w:val="18"/>
          <w:vertAlign w:val="baseline"/>
        </w:rPr>
        <w:t>“2021</w:t>
      </w:r>
      <w:r>
        <w:rPr>
          <w:spacing w:val="-3"/>
          <w:sz w:val="18"/>
          <w:vertAlign w:val="baseline"/>
        </w:rPr>
        <w:t> </w:t>
      </w:r>
      <w:r>
        <w:rPr>
          <w:sz w:val="18"/>
          <w:vertAlign w:val="baseline"/>
        </w:rPr>
        <w:t>Massachusetts</w:t>
      </w:r>
      <w:r>
        <w:rPr>
          <w:spacing w:val="-1"/>
          <w:sz w:val="18"/>
          <w:vertAlign w:val="baseline"/>
        </w:rPr>
        <w:t> </w:t>
      </w:r>
      <w:r>
        <w:rPr>
          <w:sz w:val="18"/>
          <w:vertAlign w:val="baseline"/>
        </w:rPr>
        <w:t>Youth</w:t>
      </w:r>
      <w:r>
        <w:rPr>
          <w:spacing w:val="-1"/>
          <w:sz w:val="18"/>
          <w:vertAlign w:val="baseline"/>
        </w:rPr>
        <w:t> </w:t>
      </w:r>
      <w:r>
        <w:rPr>
          <w:sz w:val="18"/>
          <w:vertAlign w:val="baseline"/>
        </w:rPr>
        <w:t>Risk</w:t>
      </w:r>
      <w:r>
        <w:rPr>
          <w:spacing w:val="-2"/>
          <w:sz w:val="18"/>
          <w:vertAlign w:val="baseline"/>
        </w:rPr>
        <w:t> </w:t>
      </w:r>
      <w:r>
        <w:rPr>
          <w:sz w:val="18"/>
          <w:vertAlign w:val="baseline"/>
        </w:rPr>
        <w:t>Behavior</w:t>
      </w:r>
      <w:r>
        <w:rPr>
          <w:spacing w:val="-3"/>
          <w:sz w:val="18"/>
          <w:vertAlign w:val="baseline"/>
        </w:rPr>
        <w:t> </w:t>
      </w:r>
      <w:r>
        <w:rPr>
          <w:sz w:val="18"/>
          <w:vertAlign w:val="baseline"/>
        </w:rPr>
        <w:t>Survey</w:t>
      </w:r>
      <w:r>
        <w:rPr>
          <w:spacing w:val="-1"/>
          <w:sz w:val="18"/>
          <w:vertAlign w:val="baseline"/>
        </w:rPr>
        <w:t> </w:t>
      </w:r>
      <w:r>
        <w:rPr>
          <w:spacing w:val="-2"/>
          <w:sz w:val="18"/>
          <w:vertAlign w:val="baseline"/>
        </w:rPr>
        <w:t>Data.”</w:t>
      </w:r>
    </w:p>
    <w:p>
      <w:pPr>
        <w:spacing w:before="2"/>
        <w:ind w:left="463" w:right="0" w:firstLine="0"/>
        <w:jc w:val="left"/>
        <w:rPr>
          <w:sz w:val="18"/>
        </w:rPr>
      </w:pPr>
      <w:r>
        <w:rPr>
          <w:sz w:val="18"/>
          <w:vertAlign w:val="superscript"/>
        </w:rPr>
        <w:t>43</w:t>
      </w:r>
      <w:r>
        <w:rPr>
          <w:spacing w:val="-12"/>
          <w:sz w:val="18"/>
          <w:vertAlign w:val="baseline"/>
        </w:rPr>
        <w:t> </w:t>
      </w:r>
      <w:r>
        <w:rPr>
          <w:sz w:val="18"/>
          <w:vertAlign w:val="baseline"/>
        </w:rPr>
        <w:t>“2021</w:t>
      </w:r>
      <w:r>
        <w:rPr>
          <w:spacing w:val="-3"/>
          <w:sz w:val="18"/>
          <w:vertAlign w:val="baseline"/>
        </w:rPr>
        <w:t> </w:t>
      </w:r>
      <w:r>
        <w:rPr>
          <w:sz w:val="18"/>
          <w:vertAlign w:val="baseline"/>
        </w:rPr>
        <w:t>Massachusetts</w:t>
      </w:r>
      <w:r>
        <w:rPr>
          <w:spacing w:val="-1"/>
          <w:sz w:val="18"/>
          <w:vertAlign w:val="baseline"/>
        </w:rPr>
        <w:t> </w:t>
      </w:r>
      <w:r>
        <w:rPr>
          <w:sz w:val="18"/>
          <w:vertAlign w:val="baseline"/>
        </w:rPr>
        <w:t>Youth</w:t>
      </w:r>
      <w:r>
        <w:rPr>
          <w:spacing w:val="-1"/>
          <w:sz w:val="18"/>
          <w:vertAlign w:val="baseline"/>
        </w:rPr>
        <w:t> </w:t>
      </w:r>
      <w:r>
        <w:rPr>
          <w:sz w:val="18"/>
          <w:vertAlign w:val="baseline"/>
        </w:rPr>
        <w:t>Risk</w:t>
      </w:r>
      <w:r>
        <w:rPr>
          <w:spacing w:val="-2"/>
          <w:sz w:val="18"/>
          <w:vertAlign w:val="baseline"/>
        </w:rPr>
        <w:t> </w:t>
      </w:r>
      <w:r>
        <w:rPr>
          <w:sz w:val="18"/>
          <w:vertAlign w:val="baseline"/>
        </w:rPr>
        <w:t>Behavior</w:t>
      </w:r>
      <w:r>
        <w:rPr>
          <w:spacing w:val="-3"/>
          <w:sz w:val="18"/>
          <w:vertAlign w:val="baseline"/>
        </w:rPr>
        <w:t> </w:t>
      </w:r>
      <w:r>
        <w:rPr>
          <w:sz w:val="18"/>
          <w:vertAlign w:val="baseline"/>
        </w:rPr>
        <w:t>Survey</w:t>
      </w:r>
      <w:r>
        <w:rPr>
          <w:spacing w:val="-1"/>
          <w:sz w:val="18"/>
          <w:vertAlign w:val="baseline"/>
        </w:rPr>
        <w:t> </w:t>
      </w:r>
      <w:r>
        <w:rPr>
          <w:spacing w:val="-2"/>
          <w:sz w:val="18"/>
          <w:vertAlign w:val="baseline"/>
        </w:rPr>
        <w:t>Data.”</w:t>
      </w:r>
    </w:p>
    <w:p>
      <w:pPr>
        <w:spacing w:before="20"/>
        <w:ind w:left="463" w:right="0" w:firstLine="0"/>
        <w:jc w:val="left"/>
        <w:rPr>
          <w:sz w:val="18"/>
        </w:rPr>
      </w:pPr>
      <w:r>
        <w:rPr>
          <w:sz w:val="18"/>
          <w:vertAlign w:val="superscript"/>
        </w:rPr>
        <w:t>44</w:t>
      </w:r>
      <w:r>
        <w:rPr>
          <w:spacing w:val="-12"/>
          <w:sz w:val="18"/>
          <w:vertAlign w:val="baseline"/>
        </w:rPr>
        <w:t> </w:t>
      </w:r>
      <w:r>
        <w:rPr>
          <w:sz w:val="18"/>
          <w:vertAlign w:val="baseline"/>
        </w:rPr>
        <w:t>Goldfarb</w:t>
      </w:r>
      <w:r>
        <w:rPr>
          <w:spacing w:val="-1"/>
          <w:sz w:val="18"/>
          <w:vertAlign w:val="baseline"/>
        </w:rPr>
        <w:t> </w:t>
      </w:r>
      <w:r>
        <w:rPr>
          <w:sz w:val="18"/>
          <w:vertAlign w:val="baseline"/>
        </w:rPr>
        <w:t>and</w:t>
      </w:r>
      <w:r>
        <w:rPr>
          <w:spacing w:val="-2"/>
          <w:sz w:val="18"/>
          <w:vertAlign w:val="baseline"/>
        </w:rPr>
        <w:t> </w:t>
      </w:r>
      <w:r>
        <w:rPr>
          <w:sz w:val="18"/>
          <w:vertAlign w:val="baseline"/>
        </w:rPr>
        <w:t>Lieberman,</w:t>
      </w:r>
      <w:r>
        <w:rPr>
          <w:spacing w:val="-1"/>
          <w:sz w:val="18"/>
          <w:vertAlign w:val="baseline"/>
        </w:rPr>
        <w:t> </w:t>
      </w:r>
      <w:r>
        <w:rPr>
          <w:sz w:val="18"/>
          <w:vertAlign w:val="baseline"/>
        </w:rPr>
        <w:t>“Three</w:t>
      </w:r>
      <w:r>
        <w:rPr>
          <w:spacing w:val="-1"/>
          <w:sz w:val="18"/>
          <w:vertAlign w:val="baseline"/>
        </w:rPr>
        <w:t> </w:t>
      </w:r>
      <w:r>
        <w:rPr>
          <w:sz w:val="18"/>
          <w:vertAlign w:val="baseline"/>
        </w:rPr>
        <w:t>Decades of</w:t>
      </w:r>
      <w:r>
        <w:rPr>
          <w:spacing w:val="-1"/>
          <w:sz w:val="18"/>
          <w:vertAlign w:val="baseline"/>
        </w:rPr>
        <w:t> </w:t>
      </w:r>
      <w:r>
        <w:rPr>
          <w:spacing w:val="-2"/>
          <w:sz w:val="18"/>
          <w:vertAlign w:val="baseline"/>
        </w:rPr>
        <w:t>Research.”</w:t>
      </w:r>
    </w:p>
    <w:p>
      <w:pPr>
        <w:spacing w:line="268" w:lineRule="auto" w:before="49"/>
        <w:ind w:left="463" w:right="582" w:hanging="1"/>
        <w:jc w:val="left"/>
        <w:rPr>
          <w:sz w:val="18"/>
        </w:rPr>
      </w:pPr>
      <w:r>
        <w:rPr>
          <w:sz w:val="18"/>
          <w:vertAlign w:val="superscript"/>
        </w:rPr>
        <w:t>45</w:t>
      </w:r>
      <w:r>
        <w:rPr>
          <w:spacing w:val="-12"/>
          <w:sz w:val="18"/>
          <w:vertAlign w:val="baseline"/>
        </w:rPr>
        <w:t> </w:t>
      </w:r>
      <w:r>
        <w:rPr>
          <w:sz w:val="18"/>
          <w:vertAlign w:val="baseline"/>
        </w:rPr>
        <w:t>Meredith</w:t>
      </w:r>
      <w:r>
        <w:rPr>
          <w:spacing w:val="-2"/>
          <w:sz w:val="18"/>
          <w:vertAlign w:val="baseline"/>
        </w:rPr>
        <w:t> </w:t>
      </w:r>
      <w:r>
        <w:rPr>
          <w:sz w:val="18"/>
          <w:vertAlign w:val="baseline"/>
        </w:rPr>
        <w:t>Dank,</w:t>
      </w:r>
      <w:r>
        <w:rPr>
          <w:spacing w:val="-2"/>
          <w:sz w:val="18"/>
          <w:vertAlign w:val="baseline"/>
        </w:rPr>
        <w:t> </w:t>
      </w:r>
      <w:r>
        <w:rPr>
          <w:sz w:val="18"/>
          <w:vertAlign w:val="baseline"/>
        </w:rPr>
        <w:t>Lilly</w:t>
      </w:r>
      <w:r>
        <w:rPr>
          <w:spacing w:val="-1"/>
          <w:sz w:val="18"/>
          <w:vertAlign w:val="baseline"/>
        </w:rPr>
        <w:t> </w:t>
      </w:r>
      <w:r>
        <w:rPr>
          <w:sz w:val="18"/>
          <w:vertAlign w:val="baseline"/>
        </w:rPr>
        <w:t>Yu,</w:t>
      </w:r>
      <w:r>
        <w:rPr>
          <w:spacing w:val="-2"/>
          <w:sz w:val="18"/>
          <w:vertAlign w:val="baseline"/>
        </w:rPr>
        <w:t> </w:t>
      </w:r>
      <w:r>
        <w:rPr>
          <w:sz w:val="18"/>
          <w:vertAlign w:val="baseline"/>
        </w:rPr>
        <w:t>and</w:t>
      </w:r>
      <w:r>
        <w:rPr>
          <w:spacing w:val="-1"/>
          <w:sz w:val="18"/>
          <w:vertAlign w:val="baseline"/>
        </w:rPr>
        <w:t> </w:t>
      </w:r>
      <w:r>
        <w:rPr>
          <w:sz w:val="18"/>
          <w:vertAlign w:val="baseline"/>
        </w:rPr>
        <w:t>Jennifer</w:t>
      </w:r>
      <w:r>
        <w:rPr>
          <w:spacing w:val="-2"/>
          <w:sz w:val="18"/>
          <w:vertAlign w:val="baseline"/>
        </w:rPr>
        <w:t> </w:t>
      </w:r>
      <w:r>
        <w:rPr>
          <w:sz w:val="18"/>
          <w:vertAlign w:val="baseline"/>
        </w:rPr>
        <w:t>Yahner,</w:t>
      </w:r>
      <w:r>
        <w:rPr>
          <w:spacing w:val="-2"/>
          <w:sz w:val="18"/>
          <w:vertAlign w:val="baseline"/>
        </w:rPr>
        <w:t> </w:t>
      </w:r>
      <w:r>
        <w:rPr>
          <w:sz w:val="18"/>
          <w:vertAlign w:val="baseline"/>
        </w:rPr>
        <w:t>“Access</w:t>
      </w:r>
      <w:r>
        <w:rPr>
          <w:spacing w:val="-1"/>
          <w:sz w:val="18"/>
          <w:vertAlign w:val="baseline"/>
        </w:rPr>
        <w:t> </w:t>
      </w:r>
      <w:r>
        <w:rPr>
          <w:sz w:val="18"/>
          <w:vertAlign w:val="baseline"/>
        </w:rPr>
        <w:t>to</w:t>
      </w:r>
      <w:r>
        <w:rPr>
          <w:spacing w:val="-1"/>
          <w:sz w:val="18"/>
          <w:vertAlign w:val="baseline"/>
        </w:rPr>
        <w:t> </w:t>
      </w:r>
      <w:r>
        <w:rPr>
          <w:sz w:val="18"/>
          <w:vertAlign w:val="baseline"/>
        </w:rPr>
        <w:t>Safety:</w:t>
      </w:r>
      <w:r>
        <w:rPr>
          <w:spacing w:val="-3"/>
          <w:sz w:val="18"/>
          <w:vertAlign w:val="baseline"/>
        </w:rPr>
        <w:t> </w:t>
      </w:r>
      <w:r>
        <w:rPr>
          <w:sz w:val="18"/>
          <w:vertAlign w:val="baseline"/>
        </w:rPr>
        <w:t>Health</w:t>
      </w:r>
      <w:r>
        <w:rPr>
          <w:spacing w:val="-1"/>
          <w:sz w:val="18"/>
          <w:vertAlign w:val="baseline"/>
        </w:rPr>
        <w:t> </w:t>
      </w:r>
      <w:r>
        <w:rPr>
          <w:sz w:val="18"/>
          <w:vertAlign w:val="baseline"/>
        </w:rPr>
        <w:t>Outcomes,</w:t>
      </w:r>
      <w:r>
        <w:rPr>
          <w:spacing w:val="-2"/>
          <w:sz w:val="18"/>
          <w:vertAlign w:val="baseline"/>
        </w:rPr>
        <w:t> </w:t>
      </w:r>
      <w:r>
        <w:rPr>
          <w:sz w:val="18"/>
          <w:vertAlign w:val="baseline"/>
        </w:rPr>
        <w:t>Substance</w:t>
      </w:r>
      <w:r>
        <w:rPr>
          <w:spacing w:val="-1"/>
          <w:sz w:val="18"/>
          <w:vertAlign w:val="baseline"/>
        </w:rPr>
        <w:t> </w:t>
      </w:r>
      <w:r>
        <w:rPr>
          <w:sz w:val="18"/>
          <w:vertAlign w:val="baseline"/>
        </w:rPr>
        <w:t>Use</w:t>
      </w:r>
      <w:r>
        <w:rPr>
          <w:spacing w:val="-1"/>
          <w:sz w:val="18"/>
          <w:vertAlign w:val="baseline"/>
        </w:rPr>
        <w:t> </w:t>
      </w:r>
      <w:r>
        <w:rPr>
          <w:sz w:val="18"/>
          <w:vertAlign w:val="baseline"/>
        </w:rPr>
        <w:t>and</w:t>
      </w:r>
      <w:r>
        <w:rPr>
          <w:spacing w:val="-1"/>
          <w:sz w:val="18"/>
          <w:vertAlign w:val="baseline"/>
        </w:rPr>
        <w:t> </w:t>
      </w:r>
      <w:r>
        <w:rPr>
          <w:sz w:val="18"/>
          <w:vertAlign w:val="baseline"/>
        </w:rPr>
        <w:t>Abuse,</w:t>
      </w:r>
      <w:r>
        <w:rPr>
          <w:spacing w:val="-2"/>
          <w:sz w:val="18"/>
          <w:vertAlign w:val="baseline"/>
        </w:rPr>
        <w:t> </w:t>
      </w:r>
      <w:r>
        <w:rPr>
          <w:sz w:val="18"/>
          <w:vertAlign w:val="baseline"/>
        </w:rPr>
        <w:t>and</w:t>
      </w:r>
      <w:r>
        <w:rPr>
          <w:spacing w:val="-1"/>
          <w:sz w:val="18"/>
          <w:vertAlign w:val="baseline"/>
        </w:rPr>
        <w:t> </w:t>
      </w:r>
      <w:r>
        <w:rPr>
          <w:sz w:val="18"/>
          <w:vertAlign w:val="baseline"/>
        </w:rPr>
        <w:t>Service Provision for LGBTQ Youth, YMSM, and YWSW Who Engage in Survival Sex” (Urban Institute, February 2016), </w:t>
      </w:r>
      <w:r>
        <w:rPr>
          <w:spacing w:val="-2"/>
          <w:sz w:val="18"/>
          <w:vertAlign w:val="baseline"/>
        </w:rPr>
        <w:t>https://</w:t>
      </w:r>
      <w:hyperlink r:id="rId152">
        <w:r>
          <w:rPr>
            <w:spacing w:val="-2"/>
            <w:sz w:val="18"/>
            <w:vertAlign w:val="baseline"/>
          </w:rPr>
          <w:t>www.urban.org/research/publication/access-safety-health-outcomes-substance-use-and-abuse-and-service-</w:t>
        </w:r>
      </w:hyperlink>
    </w:p>
    <w:p>
      <w:pPr>
        <w:spacing w:line="199" w:lineRule="exact" w:before="0"/>
        <w:ind w:left="463" w:right="0" w:firstLine="0"/>
        <w:jc w:val="left"/>
        <w:rPr>
          <w:sz w:val="18"/>
        </w:rPr>
      </w:pPr>
      <w:r>
        <w:rPr>
          <w:spacing w:val="70"/>
          <w:w w:val="150"/>
          <w:sz w:val="18"/>
          <w:u w:val="single"/>
        </w:rPr>
        <w:t> </w:t>
      </w:r>
      <w:r>
        <w:rPr>
          <w:spacing w:val="-2"/>
          <w:sz w:val="18"/>
          <w:u w:val="single"/>
        </w:rPr>
        <w:t>provision-lgbtq-youth-ymsm-and-ywsw-who-engage-survival-</w:t>
      </w:r>
      <w:r>
        <w:rPr>
          <w:spacing w:val="-4"/>
          <w:sz w:val="18"/>
          <w:u w:val="single"/>
        </w:rPr>
        <w:t>sex.</w:t>
      </w:r>
    </w:p>
    <w:p>
      <w:pPr>
        <w:spacing w:before="15"/>
        <w:ind w:left="463" w:right="0" w:firstLine="0"/>
        <w:jc w:val="left"/>
        <w:rPr>
          <w:sz w:val="18"/>
        </w:rPr>
      </w:pPr>
      <w:r>
        <w:rPr>
          <w:sz w:val="18"/>
          <w:vertAlign w:val="superscript"/>
        </w:rPr>
        <w:t>46</w:t>
      </w:r>
      <w:r>
        <w:rPr>
          <w:spacing w:val="-11"/>
          <w:sz w:val="18"/>
          <w:vertAlign w:val="baseline"/>
        </w:rPr>
        <w:t> </w:t>
      </w:r>
      <w:r>
        <w:rPr>
          <w:sz w:val="18"/>
          <w:vertAlign w:val="baseline"/>
        </w:rPr>
        <w:t>Dank, Yu,</w:t>
      </w:r>
      <w:r>
        <w:rPr>
          <w:spacing w:val="1"/>
          <w:sz w:val="18"/>
          <w:vertAlign w:val="baseline"/>
        </w:rPr>
        <w:t> </w:t>
      </w:r>
      <w:r>
        <w:rPr>
          <w:sz w:val="18"/>
          <w:vertAlign w:val="baseline"/>
        </w:rPr>
        <w:t>and</w:t>
      </w:r>
      <w:r>
        <w:rPr>
          <w:spacing w:val="1"/>
          <w:sz w:val="18"/>
          <w:vertAlign w:val="baseline"/>
        </w:rPr>
        <w:t> </w:t>
      </w:r>
      <w:r>
        <w:rPr>
          <w:spacing w:val="-2"/>
          <w:sz w:val="18"/>
          <w:vertAlign w:val="baseline"/>
        </w:rPr>
        <w:t>Yahner.</w:t>
      </w:r>
    </w:p>
    <w:p>
      <w:pPr>
        <w:spacing w:before="31"/>
        <w:ind w:left="463" w:right="0" w:firstLine="0"/>
        <w:jc w:val="left"/>
        <w:rPr>
          <w:sz w:val="18"/>
        </w:rPr>
      </w:pPr>
      <w:r>
        <w:rPr>
          <w:sz w:val="18"/>
          <w:vertAlign w:val="superscript"/>
        </w:rPr>
        <w:t>47</w:t>
      </w:r>
      <w:r>
        <w:rPr>
          <w:spacing w:val="-10"/>
          <w:sz w:val="18"/>
          <w:vertAlign w:val="baseline"/>
        </w:rPr>
        <w:t> </w:t>
      </w:r>
      <w:r>
        <w:rPr>
          <w:sz w:val="18"/>
          <w:vertAlign w:val="baseline"/>
        </w:rPr>
        <w:t>“Youth</w:t>
      </w:r>
      <w:r>
        <w:rPr>
          <w:spacing w:val="3"/>
          <w:sz w:val="18"/>
          <w:vertAlign w:val="baseline"/>
        </w:rPr>
        <w:t> </w:t>
      </w:r>
      <w:r>
        <w:rPr>
          <w:spacing w:val="-2"/>
          <w:sz w:val="18"/>
          <w:vertAlign w:val="baseline"/>
        </w:rPr>
        <w:t>STIs.”</w:t>
      </w:r>
    </w:p>
    <w:p>
      <w:pPr>
        <w:spacing w:line="273" w:lineRule="auto" w:before="20"/>
        <w:ind w:left="463" w:right="311" w:firstLine="0"/>
        <w:jc w:val="left"/>
        <w:rPr>
          <w:sz w:val="18"/>
        </w:rPr>
      </w:pPr>
      <w:r>
        <w:rPr>
          <w:sz w:val="18"/>
          <w:vertAlign w:val="superscript"/>
        </w:rPr>
        <w:t>48</w:t>
      </w:r>
      <w:r>
        <w:rPr>
          <w:spacing w:val="-6"/>
          <w:sz w:val="18"/>
          <w:vertAlign w:val="baseline"/>
        </w:rPr>
        <w:t> </w:t>
      </w:r>
      <w:r>
        <w:rPr>
          <w:sz w:val="18"/>
          <w:vertAlign w:val="baseline"/>
        </w:rPr>
        <w:t>Mary Jane Rotheram-Borus, Sung-Jae Lee, and Dallas Swendeman, “Getting to Zero HIV Among Youth: Moving Beyond Medical</w:t>
      </w:r>
      <w:r>
        <w:rPr>
          <w:spacing w:val="-4"/>
          <w:sz w:val="18"/>
          <w:vertAlign w:val="baseline"/>
        </w:rPr>
        <w:t> </w:t>
      </w:r>
      <w:r>
        <w:rPr>
          <w:sz w:val="18"/>
          <w:vertAlign w:val="baseline"/>
        </w:rPr>
        <w:t>Sites,”</w:t>
      </w:r>
      <w:r>
        <w:rPr>
          <w:spacing w:val="-3"/>
          <w:sz w:val="18"/>
          <w:vertAlign w:val="baseline"/>
        </w:rPr>
        <w:t> </w:t>
      </w:r>
      <w:r>
        <w:rPr>
          <w:i/>
          <w:sz w:val="18"/>
          <w:vertAlign w:val="baseline"/>
        </w:rPr>
        <w:t>JAMA</w:t>
      </w:r>
      <w:r>
        <w:rPr>
          <w:i/>
          <w:spacing w:val="-3"/>
          <w:sz w:val="18"/>
          <w:vertAlign w:val="baseline"/>
        </w:rPr>
        <w:t> </w:t>
      </w:r>
      <w:r>
        <w:rPr>
          <w:i/>
          <w:sz w:val="18"/>
          <w:vertAlign w:val="baseline"/>
        </w:rPr>
        <w:t>Pediatrics</w:t>
      </w:r>
      <w:r>
        <w:rPr>
          <w:i/>
          <w:spacing w:val="-2"/>
          <w:sz w:val="18"/>
          <w:vertAlign w:val="baseline"/>
        </w:rPr>
        <w:t> </w:t>
      </w:r>
      <w:r>
        <w:rPr>
          <w:sz w:val="18"/>
          <w:vertAlign w:val="baseline"/>
        </w:rPr>
        <w:t>172,</w:t>
      </w:r>
      <w:r>
        <w:rPr>
          <w:spacing w:val="-4"/>
          <w:sz w:val="18"/>
          <w:vertAlign w:val="baseline"/>
        </w:rPr>
        <w:t> </w:t>
      </w:r>
      <w:r>
        <w:rPr>
          <w:sz w:val="18"/>
          <w:vertAlign w:val="baseline"/>
        </w:rPr>
        <w:t>no.</w:t>
      </w:r>
      <w:r>
        <w:rPr>
          <w:spacing w:val="-3"/>
          <w:sz w:val="18"/>
          <w:vertAlign w:val="baseline"/>
        </w:rPr>
        <w:t> </w:t>
      </w:r>
      <w:r>
        <w:rPr>
          <w:sz w:val="18"/>
          <w:vertAlign w:val="baseline"/>
        </w:rPr>
        <w:t>12</w:t>
      </w:r>
      <w:r>
        <w:rPr>
          <w:spacing w:val="-3"/>
          <w:sz w:val="18"/>
          <w:vertAlign w:val="baseline"/>
        </w:rPr>
        <w:t> </w:t>
      </w:r>
      <w:r>
        <w:rPr>
          <w:sz w:val="18"/>
          <w:vertAlign w:val="baseline"/>
        </w:rPr>
        <w:t>(December</w:t>
      </w:r>
      <w:r>
        <w:rPr>
          <w:spacing w:val="-4"/>
          <w:sz w:val="18"/>
          <w:vertAlign w:val="baseline"/>
        </w:rPr>
        <w:t> </w:t>
      </w:r>
      <w:r>
        <w:rPr>
          <w:sz w:val="18"/>
          <w:vertAlign w:val="baseline"/>
        </w:rPr>
        <w:t>1,</w:t>
      </w:r>
      <w:r>
        <w:rPr>
          <w:spacing w:val="-4"/>
          <w:sz w:val="18"/>
          <w:vertAlign w:val="baseline"/>
        </w:rPr>
        <w:t> </w:t>
      </w:r>
      <w:r>
        <w:rPr>
          <w:sz w:val="18"/>
          <w:vertAlign w:val="baseline"/>
        </w:rPr>
        <w:t>2018):</w:t>
      </w:r>
      <w:r>
        <w:rPr>
          <w:spacing w:val="-5"/>
          <w:sz w:val="18"/>
          <w:vertAlign w:val="baseline"/>
        </w:rPr>
        <w:t> </w:t>
      </w:r>
      <w:r>
        <w:rPr>
          <w:sz w:val="18"/>
          <w:vertAlign w:val="baseline"/>
        </w:rPr>
        <w:t>1117–18,</w:t>
      </w:r>
      <w:r>
        <w:rPr>
          <w:spacing w:val="-4"/>
          <w:sz w:val="18"/>
          <w:vertAlign w:val="baseline"/>
        </w:rPr>
        <w:t> </w:t>
      </w:r>
      <w:r>
        <w:rPr>
          <w:sz w:val="18"/>
          <w:vertAlign w:val="baseline"/>
        </w:rPr>
        <w:t>https://doi.org/10.1001/jamapediatrics.2018.3672.</w:t>
      </w:r>
    </w:p>
    <w:p>
      <w:pPr>
        <w:spacing w:before="10"/>
        <w:ind w:left="463" w:right="0" w:firstLine="0"/>
        <w:jc w:val="left"/>
        <w:rPr>
          <w:sz w:val="18"/>
        </w:rPr>
      </w:pPr>
      <w:r>
        <w:rPr>
          <w:sz w:val="18"/>
          <w:vertAlign w:val="superscript"/>
        </w:rPr>
        <w:t>49</w:t>
      </w:r>
      <w:r>
        <w:rPr>
          <w:spacing w:val="-10"/>
          <w:sz w:val="18"/>
          <w:vertAlign w:val="baseline"/>
        </w:rPr>
        <w:t> </w:t>
      </w:r>
      <w:r>
        <w:rPr>
          <w:sz w:val="18"/>
          <w:vertAlign w:val="baseline"/>
        </w:rPr>
        <w:t>“Youth</w:t>
      </w:r>
      <w:r>
        <w:rPr>
          <w:spacing w:val="3"/>
          <w:sz w:val="18"/>
          <w:vertAlign w:val="baseline"/>
        </w:rPr>
        <w:t> </w:t>
      </w:r>
      <w:r>
        <w:rPr>
          <w:spacing w:val="-2"/>
          <w:sz w:val="18"/>
          <w:vertAlign w:val="baseline"/>
        </w:rPr>
        <w:t>STIs.”</w:t>
      </w:r>
    </w:p>
    <w:p>
      <w:pPr>
        <w:spacing w:line="276" w:lineRule="auto" w:before="48"/>
        <w:ind w:left="463" w:right="451" w:firstLine="0"/>
        <w:jc w:val="left"/>
        <w:rPr>
          <w:sz w:val="18"/>
        </w:rPr>
      </w:pPr>
      <w:r>
        <w:rPr>
          <w:sz w:val="18"/>
          <w:vertAlign w:val="superscript"/>
        </w:rPr>
        <w:t>50</w:t>
      </w:r>
      <w:r>
        <w:rPr>
          <w:spacing w:val="-7"/>
          <w:sz w:val="18"/>
          <w:vertAlign w:val="baseline"/>
        </w:rPr>
        <w:t> </w:t>
      </w:r>
      <w:r>
        <w:rPr>
          <w:sz w:val="18"/>
          <w:vertAlign w:val="baseline"/>
        </w:rPr>
        <w:t>C. L. Shannon and J. D. Klausner, “The Growing Epidemic of Sexually Transmitted Infections in Adolescents: A Neglected Population,”</w:t>
      </w:r>
      <w:r>
        <w:rPr>
          <w:spacing w:val="-3"/>
          <w:sz w:val="18"/>
          <w:vertAlign w:val="baseline"/>
        </w:rPr>
        <w:t> </w:t>
      </w:r>
      <w:r>
        <w:rPr>
          <w:i/>
          <w:sz w:val="18"/>
          <w:vertAlign w:val="baseline"/>
        </w:rPr>
        <w:t>Current</w:t>
      </w:r>
      <w:r>
        <w:rPr>
          <w:i/>
          <w:spacing w:val="-4"/>
          <w:sz w:val="18"/>
          <w:vertAlign w:val="baseline"/>
        </w:rPr>
        <w:t> </w:t>
      </w:r>
      <w:r>
        <w:rPr>
          <w:i/>
          <w:sz w:val="18"/>
          <w:vertAlign w:val="baseline"/>
        </w:rPr>
        <w:t>Opinion</w:t>
      </w:r>
      <w:r>
        <w:rPr>
          <w:i/>
          <w:spacing w:val="-4"/>
          <w:sz w:val="18"/>
          <w:vertAlign w:val="baseline"/>
        </w:rPr>
        <w:t> </w:t>
      </w:r>
      <w:r>
        <w:rPr>
          <w:i/>
          <w:sz w:val="18"/>
          <w:vertAlign w:val="baseline"/>
        </w:rPr>
        <w:t>in</w:t>
      </w:r>
      <w:r>
        <w:rPr>
          <w:i/>
          <w:spacing w:val="-4"/>
          <w:sz w:val="18"/>
          <w:vertAlign w:val="baseline"/>
        </w:rPr>
        <w:t> </w:t>
      </w:r>
      <w:r>
        <w:rPr>
          <w:i/>
          <w:sz w:val="18"/>
          <w:vertAlign w:val="baseline"/>
        </w:rPr>
        <w:t>Pediatrics</w:t>
      </w:r>
      <w:r>
        <w:rPr>
          <w:i/>
          <w:spacing w:val="-4"/>
          <w:sz w:val="18"/>
          <w:vertAlign w:val="baseline"/>
        </w:rPr>
        <w:t> </w:t>
      </w:r>
      <w:r>
        <w:rPr>
          <w:sz w:val="18"/>
          <w:vertAlign w:val="baseline"/>
        </w:rPr>
        <w:t>30,</w:t>
      </w:r>
      <w:r>
        <w:rPr>
          <w:spacing w:val="-4"/>
          <w:sz w:val="18"/>
          <w:vertAlign w:val="baseline"/>
        </w:rPr>
        <w:t> </w:t>
      </w:r>
      <w:r>
        <w:rPr>
          <w:sz w:val="18"/>
          <w:vertAlign w:val="baseline"/>
        </w:rPr>
        <w:t>no.</w:t>
      </w:r>
      <w:r>
        <w:rPr>
          <w:spacing w:val="-3"/>
          <w:sz w:val="18"/>
          <w:vertAlign w:val="baseline"/>
        </w:rPr>
        <w:t> </w:t>
      </w:r>
      <w:r>
        <w:rPr>
          <w:sz w:val="18"/>
          <w:vertAlign w:val="baseline"/>
        </w:rPr>
        <w:t>1</w:t>
      </w:r>
      <w:r>
        <w:rPr>
          <w:spacing w:val="-3"/>
          <w:sz w:val="18"/>
          <w:vertAlign w:val="baseline"/>
        </w:rPr>
        <w:t> </w:t>
      </w:r>
      <w:r>
        <w:rPr>
          <w:sz w:val="18"/>
          <w:vertAlign w:val="baseline"/>
        </w:rPr>
        <w:t>(February</w:t>
      </w:r>
      <w:r>
        <w:rPr>
          <w:spacing w:val="-3"/>
          <w:sz w:val="18"/>
          <w:vertAlign w:val="baseline"/>
        </w:rPr>
        <w:t> </w:t>
      </w:r>
      <w:r>
        <w:rPr>
          <w:sz w:val="18"/>
          <w:vertAlign w:val="baseline"/>
        </w:rPr>
        <w:t>2018):</w:t>
      </w:r>
      <w:r>
        <w:rPr>
          <w:spacing w:val="-3"/>
          <w:sz w:val="18"/>
          <w:vertAlign w:val="baseline"/>
        </w:rPr>
        <w:t> </w:t>
      </w:r>
      <w:r>
        <w:rPr>
          <w:sz w:val="18"/>
          <w:vertAlign w:val="baseline"/>
        </w:rPr>
        <w:t>137,</w:t>
      </w:r>
      <w:r>
        <w:rPr>
          <w:spacing w:val="-4"/>
          <w:sz w:val="18"/>
          <w:vertAlign w:val="baseline"/>
        </w:rPr>
        <w:t> </w:t>
      </w:r>
      <w:r>
        <w:rPr>
          <w:sz w:val="18"/>
          <w:vertAlign w:val="baseline"/>
        </w:rPr>
        <w:t>https://doi.org/10.1097/MOP.0000000000000578. </w:t>
      </w:r>
      <w:r>
        <w:rPr>
          <w:sz w:val="18"/>
          <w:vertAlign w:val="superscript"/>
        </w:rPr>
        <w:t>51</w:t>
      </w:r>
      <w:r>
        <w:rPr>
          <w:spacing w:val="-4"/>
          <w:sz w:val="18"/>
          <w:vertAlign w:val="baseline"/>
        </w:rPr>
        <w:t> </w:t>
      </w:r>
      <w:r>
        <w:rPr>
          <w:sz w:val="18"/>
          <w:vertAlign w:val="baseline"/>
        </w:rPr>
        <w:t>“Minors’ Access to STI Services,” Guttmacher Institute, February 1, 2023, https://</w:t>
      </w:r>
      <w:hyperlink r:id="rId153">
        <w:r>
          <w:rPr>
            <w:sz w:val="18"/>
            <w:vertAlign w:val="baseline"/>
          </w:rPr>
          <w:t>www.guttmacher.org/state-</w:t>
        </w:r>
      </w:hyperlink>
      <w:r>
        <w:rPr>
          <w:sz w:val="18"/>
          <w:vertAlign w:val="baseline"/>
        </w:rPr>
        <w:t> </w:t>
      </w:r>
      <w:r>
        <w:rPr>
          <w:spacing w:val="-2"/>
          <w:sz w:val="18"/>
          <w:vertAlign w:val="baseline"/>
        </w:rPr>
        <w:t>policy/explore/minors-access-sti-services.</w:t>
      </w:r>
    </w:p>
    <w:p>
      <w:pPr>
        <w:spacing w:line="212" w:lineRule="exact" w:before="0"/>
        <w:ind w:left="463" w:right="0" w:firstLine="0"/>
        <w:jc w:val="left"/>
        <w:rPr>
          <w:sz w:val="18"/>
        </w:rPr>
      </w:pPr>
      <w:r>
        <w:rPr>
          <w:sz w:val="18"/>
          <w:vertAlign w:val="superscript"/>
        </w:rPr>
        <w:t>52</w:t>
      </w:r>
      <w:r>
        <w:rPr>
          <w:spacing w:val="-12"/>
          <w:sz w:val="18"/>
          <w:vertAlign w:val="baseline"/>
        </w:rPr>
        <w:t> </w:t>
      </w:r>
      <w:r>
        <w:rPr>
          <w:sz w:val="18"/>
          <w:vertAlign w:val="baseline"/>
        </w:rPr>
        <w:t>Rotheram-Borus,</w:t>
      </w:r>
      <w:r>
        <w:rPr>
          <w:spacing w:val="-3"/>
          <w:sz w:val="18"/>
          <w:vertAlign w:val="baseline"/>
        </w:rPr>
        <w:t> </w:t>
      </w:r>
      <w:r>
        <w:rPr>
          <w:sz w:val="18"/>
          <w:vertAlign w:val="baseline"/>
        </w:rPr>
        <w:t>Lee,</w:t>
      </w:r>
      <w:r>
        <w:rPr>
          <w:spacing w:val="-2"/>
          <w:sz w:val="18"/>
          <w:vertAlign w:val="baseline"/>
        </w:rPr>
        <w:t> </w:t>
      </w:r>
      <w:r>
        <w:rPr>
          <w:sz w:val="18"/>
          <w:vertAlign w:val="baseline"/>
        </w:rPr>
        <w:t>and</w:t>
      </w:r>
      <w:r>
        <w:rPr>
          <w:spacing w:val="-1"/>
          <w:sz w:val="18"/>
          <w:vertAlign w:val="baseline"/>
        </w:rPr>
        <w:t> </w:t>
      </w:r>
      <w:r>
        <w:rPr>
          <w:sz w:val="18"/>
          <w:vertAlign w:val="baseline"/>
        </w:rPr>
        <w:t>Swendeman,</w:t>
      </w:r>
      <w:r>
        <w:rPr>
          <w:spacing w:val="-2"/>
          <w:sz w:val="18"/>
          <w:vertAlign w:val="baseline"/>
        </w:rPr>
        <w:t> </w:t>
      </w:r>
      <w:r>
        <w:rPr>
          <w:sz w:val="18"/>
          <w:vertAlign w:val="baseline"/>
        </w:rPr>
        <w:t>“Getting</w:t>
      </w:r>
      <w:r>
        <w:rPr>
          <w:spacing w:val="-1"/>
          <w:sz w:val="18"/>
          <w:vertAlign w:val="baseline"/>
        </w:rPr>
        <w:t> </w:t>
      </w:r>
      <w:r>
        <w:rPr>
          <w:sz w:val="18"/>
          <w:vertAlign w:val="baseline"/>
        </w:rPr>
        <w:t>to</w:t>
      </w:r>
      <w:r>
        <w:rPr>
          <w:spacing w:val="-1"/>
          <w:sz w:val="18"/>
          <w:vertAlign w:val="baseline"/>
        </w:rPr>
        <w:t> </w:t>
      </w:r>
      <w:r>
        <w:rPr>
          <w:sz w:val="18"/>
          <w:vertAlign w:val="baseline"/>
        </w:rPr>
        <w:t>Zero</w:t>
      </w:r>
      <w:r>
        <w:rPr>
          <w:spacing w:val="-1"/>
          <w:sz w:val="18"/>
          <w:vertAlign w:val="baseline"/>
        </w:rPr>
        <w:t> </w:t>
      </w:r>
      <w:r>
        <w:rPr>
          <w:sz w:val="18"/>
          <w:vertAlign w:val="baseline"/>
        </w:rPr>
        <w:t>HIV</w:t>
      </w:r>
      <w:r>
        <w:rPr>
          <w:spacing w:val="-1"/>
          <w:sz w:val="18"/>
          <w:vertAlign w:val="baseline"/>
        </w:rPr>
        <w:t> </w:t>
      </w:r>
      <w:r>
        <w:rPr>
          <w:sz w:val="18"/>
          <w:vertAlign w:val="baseline"/>
        </w:rPr>
        <w:t>Among</w:t>
      </w:r>
      <w:r>
        <w:rPr>
          <w:spacing w:val="-1"/>
          <w:sz w:val="18"/>
          <w:vertAlign w:val="baseline"/>
        </w:rPr>
        <w:t> </w:t>
      </w:r>
      <w:r>
        <w:rPr>
          <w:spacing w:val="-2"/>
          <w:sz w:val="18"/>
          <w:vertAlign w:val="baseline"/>
        </w:rPr>
        <w:t>Youth.”</w:t>
      </w:r>
    </w:p>
    <w:p>
      <w:pPr>
        <w:spacing w:before="20"/>
        <w:ind w:left="463" w:right="0" w:firstLine="0"/>
        <w:jc w:val="left"/>
        <w:rPr>
          <w:sz w:val="18"/>
        </w:rPr>
      </w:pPr>
      <w:r>
        <w:rPr>
          <w:sz w:val="18"/>
          <w:vertAlign w:val="superscript"/>
        </w:rPr>
        <w:t>53</w:t>
      </w:r>
      <w:r>
        <w:rPr>
          <w:spacing w:val="-12"/>
          <w:sz w:val="18"/>
          <w:vertAlign w:val="baseline"/>
        </w:rPr>
        <w:t> </w:t>
      </w:r>
      <w:r>
        <w:rPr>
          <w:sz w:val="18"/>
          <w:vertAlign w:val="baseline"/>
        </w:rPr>
        <w:t>Rotheram-Borus,</w:t>
      </w:r>
      <w:r>
        <w:rPr>
          <w:spacing w:val="-1"/>
          <w:sz w:val="18"/>
          <w:vertAlign w:val="baseline"/>
        </w:rPr>
        <w:t> </w:t>
      </w:r>
      <w:r>
        <w:rPr>
          <w:sz w:val="18"/>
          <w:vertAlign w:val="baseline"/>
        </w:rPr>
        <w:t>Lee, and </w:t>
      </w:r>
      <w:r>
        <w:rPr>
          <w:spacing w:val="-2"/>
          <w:sz w:val="18"/>
          <w:vertAlign w:val="baseline"/>
        </w:rPr>
        <w:t>Swendeman.</w:t>
      </w:r>
    </w:p>
    <w:p>
      <w:pPr>
        <w:spacing w:before="33"/>
        <w:ind w:left="463" w:right="0" w:firstLine="0"/>
        <w:jc w:val="left"/>
        <w:rPr>
          <w:sz w:val="18"/>
        </w:rPr>
      </w:pPr>
      <w:r>
        <w:rPr>
          <w:sz w:val="18"/>
          <w:vertAlign w:val="superscript"/>
        </w:rPr>
        <w:t>54</w:t>
      </w:r>
      <w:r>
        <w:rPr>
          <w:spacing w:val="-12"/>
          <w:sz w:val="18"/>
          <w:vertAlign w:val="baseline"/>
        </w:rPr>
        <w:t> </w:t>
      </w:r>
      <w:r>
        <w:rPr>
          <w:sz w:val="18"/>
          <w:vertAlign w:val="baseline"/>
        </w:rPr>
        <w:t>Rotheram-Borus,</w:t>
      </w:r>
      <w:r>
        <w:rPr>
          <w:spacing w:val="-1"/>
          <w:sz w:val="18"/>
          <w:vertAlign w:val="baseline"/>
        </w:rPr>
        <w:t> </w:t>
      </w:r>
      <w:r>
        <w:rPr>
          <w:sz w:val="18"/>
          <w:vertAlign w:val="baseline"/>
        </w:rPr>
        <w:t>Lee, and </w:t>
      </w:r>
      <w:r>
        <w:rPr>
          <w:spacing w:val="-2"/>
          <w:sz w:val="18"/>
          <w:vertAlign w:val="baseline"/>
        </w:rPr>
        <w:t>Swendeman.</w:t>
      </w:r>
    </w:p>
    <w:p>
      <w:pPr>
        <w:spacing w:before="3"/>
        <w:ind w:left="463" w:right="0" w:firstLine="0"/>
        <w:jc w:val="left"/>
        <w:rPr>
          <w:sz w:val="18"/>
        </w:rPr>
      </w:pPr>
      <w:r>
        <w:rPr>
          <w:sz w:val="18"/>
          <w:vertAlign w:val="superscript"/>
        </w:rPr>
        <w:t>55</w:t>
      </w:r>
      <w:r>
        <w:rPr>
          <w:spacing w:val="-12"/>
          <w:sz w:val="18"/>
          <w:vertAlign w:val="baseline"/>
        </w:rPr>
        <w:t> </w:t>
      </w:r>
      <w:r>
        <w:rPr>
          <w:sz w:val="18"/>
          <w:vertAlign w:val="baseline"/>
        </w:rPr>
        <w:t>Dank,</w:t>
      </w:r>
      <w:r>
        <w:rPr>
          <w:spacing w:val="-1"/>
          <w:sz w:val="18"/>
          <w:vertAlign w:val="baseline"/>
        </w:rPr>
        <w:t> </w:t>
      </w:r>
      <w:r>
        <w:rPr>
          <w:sz w:val="18"/>
          <w:vertAlign w:val="baseline"/>
        </w:rPr>
        <w:t>Yu,</w:t>
      </w:r>
      <w:r>
        <w:rPr>
          <w:spacing w:val="-1"/>
          <w:sz w:val="18"/>
          <w:vertAlign w:val="baseline"/>
        </w:rPr>
        <w:t> </w:t>
      </w:r>
      <w:r>
        <w:rPr>
          <w:sz w:val="18"/>
          <w:vertAlign w:val="baseline"/>
        </w:rPr>
        <w:t>and Yahner,</w:t>
      </w:r>
      <w:r>
        <w:rPr>
          <w:spacing w:val="-1"/>
          <w:sz w:val="18"/>
          <w:vertAlign w:val="baseline"/>
        </w:rPr>
        <w:t> </w:t>
      </w:r>
      <w:r>
        <w:rPr>
          <w:sz w:val="18"/>
          <w:vertAlign w:val="baseline"/>
        </w:rPr>
        <w:t>“Access</w:t>
      </w:r>
      <w:r>
        <w:rPr>
          <w:spacing w:val="-1"/>
          <w:sz w:val="18"/>
          <w:vertAlign w:val="baseline"/>
        </w:rPr>
        <w:t> </w:t>
      </w:r>
      <w:r>
        <w:rPr>
          <w:sz w:val="18"/>
          <w:vertAlign w:val="baseline"/>
        </w:rPr>
        <w:t>to </w:t>
      </w:r>
      <w:r>
        <w:rPr>
          <w:spacing w:val="-2"/>
          <w:sz w:val="18"/>
          <w:vertAlign w:val="baseline"/>
        </w:rPr>
        <w:t>Safety.”</w:t>
      </w:r>
    </w:p>
    <w:p>
      <w:pPr>
        <w:spacing w:before="2"/>
        <w:ind w:left="463" w:right="0" w:firstLine="0"/>
        <w:jc w:val="left"/>
        <w:rPr>
          <w:sz w:val="18"/>
        </w:rPr>
      </w:pPr>
      <w:r>
        <w:rPr>
          <w:sz w:val="18"/>
          <w:vertAlign w:val="superscript"/>
        </w:rPr>
        <w:t>56</w:t>
      </w:r>
      <w:r>
        <w:rPr>
          <w:spacing w:val="-12"/>
          <w:sz w:val="18"/>
          <w:vertAlign w:val="baseline"/>
        </w:rPr>
        <w:t> </w:t>
      </w:r>
      <w:r>
        <w:rPr>
          <w:sz w:val="18"/>
          <w:vertAlign w:val="baseline"/>
        </w:rPr>
        <w:t>Campanella</w:t>
      </w:r>
      <w:r>
        <w:rPr>
          <w:spacing w:val="-2"/>
          <w:sz w:val="18"/>
          <w:vertAlign w:val="baseline"/>
        </w:rPr>
        <w:t> </w:t>
      </w:r>
      <w:r>
        <w:rPr>
          <w:sz w:val="18"/>
          <w:vertAlign w:val="baseline"/>
        </w:rPr>
        <w:t>Day,</w:t>
      </w:r>
      <w:r>
        <w:rPr>
          <w:spacing w:val="-2"/>
          <w:sz w:val="18"/>
          <w:vertAlign w:val="baseline"/>
        </w:rPr>
        <w:t> </w:t>
      </w:r>
      <w:r>
        <w:rPr>
          <w:sz w:val="18"/>
          <w:vertAlign w:val="baseline"/>
        </w:rPr>
        <w:t>“Communicating with</w:t>
      </w:r>
      <w:r>
        <w:rPr>
          <w:spacing w:val="-1"/>
          <w:sz w:val="18"/>
          <w:vertAlign w:val="baseline"/>
        </w:rPr>
        <w:t> </w:t>
      </w:r>
      <w:r>
        <w:rPr>
          <w:sz w:val="18"/>
          <w:vertAlign w:val="baseline"/>
        </w:rPr>
        <w:t>LGBTQ</w:t>
      </w:r>
      <w:r>
        <w:rPr>
          <w:spacing w:val="-1"/>
          <w:sz w:val="18"/>
          <w:vertAlign w:val="baseline"/>
        </w:rPr>
        <w:t> </w:t>
      </w:r>
      <w:r>
        <w:rPr>
          <w:spacing w:val="-2"/>
          <w:sz w:val="18"/>
          <w:vertAlign w:val="baseline"/>
        </w:rPr>
        <w:t>Adolescents.”</w:t>
      </w:r>
    </w:p>
    <w:p>
      <w:pPr>
        <w:spacing w:before="4"/>
        <w:ind w:left="463" w:right="0" w:firstLine="0"/>
        <w:jc w:val="left"/>
        <w:rPr>
          <w:sz w:val="18"/>
        </w:rPr>
      </w:pPr>
      <w:r>
        <w:rPr>
          <w:sz w:val="18"/>
          <w:vertAlign w:val="superscript"/>
        </w:rPr>
        <w:t>57</w:t>
      </w:r>
      <w:r>
        <w:rPr>
          <w:spacing w:val="-10"/>
          <w:sz w:val="18"/>
          <w:vertAlign w:val="baseline"/>
        </w:rPr>
        <w:t> </w:t>
      </w:r>
      <w:r>
        <w:rPr>
          <w:sz w:val="18"/>
          <w:vertAlign w:val="baseline"/>
        </w:rPr>
        <w:t>Campanella</w:t>
      </w:r>
      <w:r>
        <w:rPr>
          <w:spacing w:val="4"/>
          <w:sz w:val="18"/>
          <w:vertAlign w:val="baseline"/>
        </w:rPr>
        <w:t> </w:t>
      </w:r>
      <w:r>
        <w:rPr>
          <w:spacing w:val="-4"/>
          <w:sz w:val="18"/>
          <w:vertAlign w:val="baseline"/>
        </w:rPr>
        <w:t>Day.</w:t>
      </w:r>
    </w:p>
    <w:p>
      <w:pPr>
        <w:spacing w:before="3"/>
        <w:ind w:left="463" w:right="0" w:firstLine="0"/>
        <w:jc w:val="left"/>
        <w:rPr>
          <w:sz w:val="18"/>
        </w:rPr>
      </w:pPr>
      <w:r>
        <w:rPr>
          <w:sz w:val="18"/>
          <w:vertAlign w:val="superscript"/>
        </w:rPr>
        <w:t>58</w:t>
      </w:r>
      <w:r>
        <w:rPr>
          <w:spacing w:val="-10"/>
          <w:sz w:val="18"/>
          <w:vertAlign w:val="baseline"/>
        </w:rPr>
        <w:t> </w:t>
      </w:r>
      <w:r>
        <w:rPr>
          <w:sz w:val="18"/>
          <w:vertAlign w:val="baseline"/>
        </w:rPr>
        <w:t>Campanella</w:t>
      </w:r>
      <w:r>
        <w:rPr>
          <w:spacing w:val="4"/>
          <w:sz w:val="18"/>
          <w:vertAlign w:val="baseline"/>
        </w:rPr>
        <w:t> </w:t>
      </w:r>
      <w:r>
        <w:rPr>
          <w:spacing w:val="-4"/>
          <w:sz w:val="18"/>
          <w:vertAlign w:val="baseline"/>
        </w:rPr>
        <w:t>Day.</w:t>
      </w:r>
    </w:p>
    <w:p>
      <w:pPr>
        <w:spacing w:line="268" w:lineRule="auto" w:before="20"/>
        <w:ind w:left="463" w:right="455" w:hanging="1"/>
        <w:jc w:val="left"/>
        <w:rPr>
          <w:sz w:val="18"/>
        </w:rPr>
      </w:pPr>
      <w:r>
        <w:rPr>
          <w:sz w:val="18"/>
          <w:vertAlign w:val="superscript"/>
        </w:rPr>
        <w:t>59</w:t>
      </w:r>
      <w:r>
        <w:rPr>
          <w:spacing w:val="-12"/>
          <w:sz w:val="18"/>
          <w:vertAlign w:val="baseline"/>
        </w:rPr>
        <w:t> </w:t>
      </w:r>
      <w:r>
        <w:rPr>
          <w:sz w:val="18"/>
          <w:vertAlign w:val="baseline"/>
        </w:rPr>
        <w:t>Katherine</w:t>
      </w:r>
      <w:r>
        <w:rPr>
          <w:spacing w:val="-2"/>
          <w:sz w:val="18"/>
          <w:vertAlign w:val="baseline"/>
        </w:rPr>
        <w:t> </w:t>
      </w:r>
      <w:r>
        <w:rPr>
          <w:sz w:val="18"/>
          <w:vertAlign w:val="baseline"/>
        </w:rPr>
        <w:t>G.</w:t>
      </w:r>
      <w:r>
        <w:rPr>
          <w:spacing w:val="-4"/>
          <w:sz w:val="18"/>
          <w:vertAlign w:val="baseline"/>
        </w:rPr>
        <w:t> </w:t>
      </w:r>
      <w:r>
        <w:rPr>
          <w:sz w:val="18"/>
          <w:vertAlign w:val="baseline"/>
        </w:rPr>
        <w:t>Quinn</w:t>
      </w:r>
      <w:r>
        <w:rPr>
          <w:spacing w:val="-2"/>
          <w:sz w:val="18"/>
          <w:vertAlign w:val="baseline"/>
        </w:rPr>
        <w:t> </w:t>
      </w:r>
      <w:r>
        <w:rPr>
          <w:sz w:val="18"/>
          <w:vertAlign w:val="baseline"/>
        </w:rPr>
        <w:t>et</w:t>
      </w:r>
      <w:r>
        <w:rPr>
          <w:spacing w:val="-3"/>
          <w:sz w:val="18"/>
          <w:vertAlign w:val="baseline"/>
        </w:rPr>
        <w:t> </w:t>
      </w:r>
      <w:r>
        <w:rPr>
          <w:sz w:val="18"/>
          <w:vertAlign w:val="baseline"/>
        </w:rPr>
        <w:t>al.,</w:t>
      </w:r>
      <w:r>
        <w:rPr>
          <w:spacing w:val="-3"/>
          <w:sz w:val="18"/>
          <w:vertAlign w:val="baseline"/>
        </w:rPr>
        <w:t> </w:t>
      </w:r>
      <w:r>
        <w:rPr>
          <w:sz w:val="18"/>
          <w:vertAlign w:val="baseline"/>
        </w:rPr>
        <w:t>“Intersectional</w:t>
      </w:r>
      <w:r>
        <w:rPr>
          <w:spacing w:val="-3"/>
          <w:sz w:val="18"/>
          <w:vertAlign w:val="baseline"/>
        </w:rPr>
        <w:t> </w:t>
      </w:r>
      <w:r>
        <w:rPr>
          <w:sz w:val="18"/>
          <w:vertAlign w:val="baseline"/>
        </w:rPr>
        <w:t>Discrimination</w:t>
      </w:r>
      <w:r>
        <w:rPr>
          <w:spacing w:val="-2"/>
          <w:sz w:val="18"/>
          <w:vertAlign w:val="baseline"/>
        </w:rPr>
        <w:t> </w:t>
      </w:r>
      <w:r>
        <w:rPr>
          <w:sz w:val="18"/>
          <w:vertAlign w:val="baseline"/>
        </w:rPr>
        <w:t>and</w:t>
      </w:r>
      <w:r>
        <w:rPr>
          <w:spacing w:val="-2"/>
          <w:sz w:val="18"/>
          <w:vertAlign w:val="baseline"/>
        </w:rPr>
        <w:t> </w:t>
      </w:r>
      <w:r>
        <w:rPr>
          <w:sz w:val="18"/>
          <w:vertAlign w:val="baseline"/>
        </w:rPr>
        <w:t>PrEP</w:t>
      </w:r>
      <w:r>
        <w:rPr>
          <w:spacing w:val="-2"/>
          <w:sz w:val="18"/>
          <w:vertAlign w:val="baseline"/>
        </w:rPr>
        <w:t> </w:t>
      </w:r>
      <w:r>
        <w:rPr>
          <w:sz w:val="18"/>
          <w:vertAlign w:val="baseline"/>
        </w:rPr>
        <w:t>USe</w:t>
      </w:r>
      <w:r>
        <w:rPr>
          <w:spacing w:val="-2"/>
          <w:sz w:val="18"/>
          <w:vertAlign w:val="baseline"/>
        </w:rPr>
        <w:t> </w:t>
      </w:r>
      <w:r>
        <w:rPr>
          <w:sz w:val="18"/>
          <w:vertAlign w:val="baseline"/>
        </w:rPr>
        <w:t>Among</w:t>
      </w:r>
      <w:r>
        <w:rPr>
          <w:spacing w:val="-2"/>
          <w:sz w:val="18"/>
          <w:vertAlign w:val="baseline"/>
        </w:rPr>
        <w:t> </w:t>
      </w:r>
      <w:r>
        <w:rPr>
          <w:sz w:val="18"/>
          <w:vertAlign w:val="baseline"/>
        </w:rPr>
        <w:t>Young</w:t>
      </w:r>
      <w:r>
        <w:rPr>
          <w:spacing w:val="-2"/>
          <w:sz w:val="18"/>
          <w:vertAlign w:val="baseline"/>
        </w:rPr>
        <w:t> </w:t>
      </w:r>
      <w:r>
        <w:rPr>
          <w:sz w:val="18"/>
          <w:vertAlign w:val="baseline"/>
        </w:rPr>
        <w:t>Black</w:t>
      </w:r>
      <w:r>
        <w:rPr>
          <w:spacing w:val="-3"/>
          <w:sz w:val="18"/>
          <w:vertAlign w:val="baseline"/>
        </w:rPr>
        <w:t> </w:t>
      </w:r>
      <w:r>
        <w:rPr>
          <w:sz w:val="18"/>
          <w:vertAlign w:val="baseline"/>
        </w:rPr>
        <w:t>Sexual</w:t>
      </w:r>
      <w:r>
        <w:rPr>
          <w:spacing w:val="-3"/>
          <w:sz w:val="18"/>
          <w:vertAlign w:val="baseline"/>
        </w:rPr>
        <w:t> </w:t>
      </w:r>
      <w:r>
        <w:rPr>
          <w:sz w:val="18"/>
          <w:vertAlign w:val="baseline"/>
        </w:rPr>
        <w:t>Minority</w:t>
      </w:r>
      <w:r>
        <w:rPr>
          <w:spacing w:val="-2"/>
          <w:sz w:val="18"/>
          <w:vertAlign w:val="baseline"/>
        </w:rPr>
        <w:t> </w:t>
      </w:r>
      <w:r>
        <w:rPr>
          <w:sz w:val="18"/>
          <w:vertAlign w:val="baseline"/>
        </w:rPr>
        <w:t>Individuals:</w:t>
      </w:r>
      <w:r>
        <w:rPr>
          <w:spacing w:val="-2"/>
          <w:sz w:val="18"/>
          <w:vertAlign w:val="baseline"/>
        </w:rPr>
        <w:t> </w:t>
      </w:r>
      <w:r>
        <w:rPr>
          <w:sz w:val="18"/>
          <w:vertAlign w:val="baseline"/>
        </w:rPr>
        <w:t>The Importance of Black LGBTQ Communities and Social Support,” </w:t>
      </w:r>
      <w:r>
        <w:rPr>
          <w:i/>
          <w:sz w:val="18"/>
          <w:vertAlign w:val="baseline"/>
        </w:rPr>
        <w:t>AIDS and Behavior </w:t>
      </w:r>
      <w:r>
        <w:rPr>
          <w:sz w:val="18"/>
          <w:vertAlign w:val="baseline"/>
        </w:rPr>
        <w:t>27 (2023): 290–302, </w:t>
      </w:r>
      <w:r>
        <w:rPr>
          <w:spacing w:val="-2"/>
          <w:sz w:val="18"/>
          <w:vertAlign w:val="baseline"/>
        </w:rPr>
        <w:t>https://doi.org/10.1007/s10461-022-03763-w.</w:t>
      </w:r>
    </w:p>
    <w:p>
      <w:pPr>
        <w:spacing w:before="13"/>
        <w:ind w:left="463" w:right="0" w:firstLine="0"/>
        <w:jc w:val="left"/>
        <w:rPr>
          <w:sz w:val="18"/>
        </w:rPr>
      </w:pPr>
      <w:r>
        <w:rPr>
          <w:sz w:val="18"/>
          <w:vertAlign w:val="superscript"/>
        </w:rPr>
        <w:t>60</w:t>
      </w:r>
      <w:r>
        <w:rPr>
          <w:spacing w:val="-11"/>
          <w:sz w:val="18"/>
          <w:vertAlign w:val="baseline"/>
        </w:rPr>
        <w:t> </w:t>
      </w:r>
      <w:r>
        <w:rPr>
          <w:sz w:val="18"/>
          <w:vertAlign w:val="baseline"/>
        </w:rPr>
        <w:t>Quinn</w:t>
      </w:r>
      <w:r>
        <w:rPr>
          <w:spacing w:val="3"/>
          <w:sz w:val="18"/>
          <w:vertAlign w:val="baseline"/>
        </w:rPr>
        <w:t> </w:t>
      </w:r>
      <w:r>
        <w:rPr>
          <w:sz w:val="18"/>
          <w:vertAlign w:val="baseline"/>
        </w:rPr>
        <w:t>et</w:t>
      </w:r>
      <w:r>
        <w:rPr>
          <w:spacing w:val="2"/>
          <w:sz w:val="18"/>
          <w:vertAlign w:val="baseline"/>
        </w:rPr>
        <w:t> </w:t>
      </w:r>
      <w:r>
        <w:rPr>
          <w:spacing w:val="-5"/>
          <w:sz w:val="18"/>
          <w:vertAlign w:val="baseline"/>
        </w:rPr>
        <w:t>al.</w:t>
      </w:r>
    </w:p>
    <w:p>
      <w:pPr>
        <w:spacing w:line="273" w:lineRule="auto" w:before="49"/>
        <w:ind w:left="463" w:right="300" w:hanging="1"/>
        <w:jc w:val="left"/>
        <w:rPr>
          <w:sz w:val="18"/>
        </w:rPr>
      </w:pPr>
      <w:r>
        <w:rPr>
          <w:sz w:val="18"/>
          <w:vertAlign w:val="superscript"/>
        </w:rPr>
        <w:t>61</w:t>
      </w:r>
      <w:r>
        <w:rPr>
          <w:spacing w:val="-12"/>
          <w:sz w:val="18"/>
          <w:vertAlign w:val="baseline"/>
        </w:rPr>
        <w:t> </w:t>
      </w:r>
      <w:r>
        <w:rPr>
          <w:sz w:val="18"/>
          <w:vertAlign w:val="baseline"/>
        </w:rPr>
        <w:t>Errol</w:t>
      </w:r>
      <w:r>
        <w:rPr>
          <w:spacing w:val="-3"/>
          <w:sz w:val="18"/>
          <w:vertAlign w:val="baseline"/>
        </w:rPr>
        <w:t> </w:t>
      </w:r>
      <w:r>
        <w:rPr>
          <w:sz w:val="18"/>
          <w:vertAlign w:val="baseline"/>
        </w:rPr>
        <w:t>L.</w:t>
      </w:r>
      <w:r>
        <w:rPr>
          <w:spacing w:val="-2"/>
          <w:sz w:val="18"/>
          <w:vertAlign w:val="baseline"/>
        </w:rPr>
        <w:t> </w:t>
      </w:r>
      <w:r>
        <w:rPr>
          <w:sz w:val="18"/>
          <w:vertAlign w:val="baseline"/>
        </w:rPr>
        <w:t>Fields</w:t>
      </w:r>
      <w:r>
        <w:rPr>
          <w:spacing w:val="-2"/>
          <w:sz w:val="18"/>
          <w:vertAlign w:val="baseline"/>
        </w:rPr>
        <w:t> </w:t>
      </w:r>
      <w:r>
        <w:rPr>
          <w:sz w:val="18"/>
          <w:vertAlign w:val="baseline"/>
        </w:rPr>
        <w:t>et</w:t>
      </w:r>
      <w:r>
        <w:rPr>
          <w:spacing w:val="-3"/>
          <w:sz w:val="18"/>
          <w:vertAlign w:val="baseline"/>
        </w:rPr>
        <w:t> </w:t>
      </w:r>
      <w:r>
        <w:rPr>
          <w:sz w:val="18"/>
          <w:vertAlign w:val="baseline"/>
        </w:rPr>
        <w:t>al.,</w:t>
      </w:r>
      <w:r>
        <w:rPr>
          <w:spacing w:val="-3"/>
          <w:sz w:val="18"/>
          <w:vertAlign w:val="baseline"/>
        </w:rPr>
        <w:t> </w:t>
      </w:r>
      <w:r>
        <w:rPr>
          <w:sz w:val="18"/>
          <w:vertAlign w:val="baseline"/>
        </w:rPr>
        <w:t>“Identifying</w:t>
      </w:r>
      <w:r>
        <w:rPr>
          <w:spacing w:val="-2"/>
          <w:sz w:val="18"/>
          <w:vertAlign w:val="baseline"/>
        </w:rPr>
        <w:t> </w:t>
      </w:r>
      <w:r>
        <w:rPr>
          <w:sz w:val="18"/>
          <w:vertAlign w:val="baseline"/>
        </w:rPr>
        <w:t>Community-Informed</w:t>
      </w:r>
      <w:r>
        <w:rPr>
          <w:spacing w:val="-2"/>
          <w:sz w:val="18"/>
          <w:vertAlign w:val="baseline"/>
        </w:rPr>
        <w:t> </w:t>
      </w:r>
      <w:r>
        <w:rPr>
          <w:sz w:val="18"/>
          <w:vertAlign w:val="baseline"/>
        </w:rPr>
        <w:t>Language</w:t>
      </w:r>
      <w:r>
        <w:rPr>
          <w:spacing w:val="-3"/>
          <w:sz w:val="18"/>
          <w:vertAlign w:val="baseline"/>
        </w:rPr>
        <w:t> </w:t>
      </w:r>
      <w:r>
        <w:rPr>
          <w:sz w:val="18"/>
          <w:vertAlign w:val="baseline"/>
        </w:rPr>
        <w:t>to</w:t>
      </w:r>
      <w:r>
        <w:rPr>
          <w:spacing w:val="-2"/>
          <w:sz w:val="18"/>
          <w:vertAlign w:val="baseline"/>
        </w:rPr>
        <w:t> </w:t>
      </w:r>
      <w:r>
        <w:rPr>
          <w:sz w:val="18"/>
          <w:vertAlign w:val="baseline"/>
        </w:rPr>
        <w:t>Promote</w:t>
      </w:r>
      <w:r>
        <w:rPr>
          <w:spacing w:val="-2"/>
          <w:sz w:val="18"/>
          <w:vertAlign w:val="baseline"/>
        </w:rPr>
        <w:t> </w:t>
      </w:r>
      <w:r>
        <w:rPr>
          <w:sz w:val="18"/>
          <w:vertAlign w:val="baseline"/>
        </w:rPr>
        <w:t>HIV</w:t>
      </w:r>
      <w:r>
        <w:rPr>
          <w:spacing w:val="-2"/>
          <w:sz w:val="18"/>
          <w:vertAlign w:val="baseline"/>
        </w:rPr>
        <w:t> </w:t>
      </w:r>
      <w:r>
        <w:rPr>
          <w:sz w:val="18"/>
          <w:vertAlign w:val="baseline"/>
        </w:rPr>
        <w:t>Preesposure</w:t>
      </w:r>
      <w:r>
        <w:rPr>
          <w:spacing w:val="-3"/>
          <w:sz w:val="18"/>
          <w:vertAlign w:val="baseline"/>
        </w:rPr>
        <w:t> </w:t>
      </w:r>
      <w:r>
        <w:rPr>
          <w:sz w:val="18"/>
          <w:vertAlign w:val="baseline"/>
        </w:rPr>
        <w:t>Prophylaxis</w:t>
      </w:r>
      <w:r>
        <w:rPr>
          <w:spacing w:val="-2"/>
          <w:sz w:val="18"/>
          <w:vertAlign w:val="baseline"/>
        </w:rPr>
        <w:t> </w:t>
      </w:r>
      <w:r>
        <w:rPr>
          <w:sz w:val="18"/>
          <w:vertAlign w:val="baseline"/>
        </w:rPr>
        <w:t>(PrEP)</w:t>
      </w:r>
      <w:r>
        <w:rPr>
          <w:spacing w:val="-2"/>
          <w:sz w:val="18"/>
          <w:vertAlign w:val="baseline"/>
        </w:rPr>
        <w:t> </w:t>
      </w:r>
      <w:r>
        <w:rPr>
          <w:sz w:val="18"/>
          <w:vertAlign w:val="baseline"/>
        </w:rPr>
        <w:t>in</w:t>
      </w:r>
      <w:r>
        <w:rPr>
          <w:spacing w:val="-2"/>
          <w:sz w:val="18"/>
          <w:vertAlign w:val="baseline"/>
        </w:rPr>
        <w:t> </w:t>
      </w:r>
      <w:r>
        <w:rPr>
          <w:sz w:val="18"/>
          <w:vertAlign w:val="baseline"/>
        </w:rPr>
        <w:t>Black LGBTQ Communities in Baltimore,” </w:t>
      </w:r>
      <w:r>
        <w:rPr>
          <w:i/>
          <w:sz w:val="18"/>
          <w:vertAlign w:val="baseline"/>
        </w:rPr>
        <w:t>AIDS Education and Prevention </w:t>
      </w:r>
      <w:r>
        <w:rPr>
          <w:sz w:val="18"/>
          <w:vertAlign w:val="baseline"/>
        </w:rPr>
        <w:t>32, no. 2 (2020): 152–68.</w:t>
      </w:r>
    </w:p>
    <w:p>
      <w:pPr>
        <w:spacing w:line="268" w:lineRule="auto" w:before="9"/>
        <w:ind w:left="463" w:right="300" w:hanging="1"/>
        <w:jc w:val="left"/>
        <w:rPr>
          <w:sz w:val="18"/>
        </w:rPr>
      </w:pPr>
      <w:r>
        <w:rPr>
          <w:sz w:val="18"/>
          <w:vertAlign w:val="superscript"/>
        </w:rPr>
        <w:t>62</w:t>
      </w:r>
      <w:r>
        <w:rPr>
          <w:spacing w:val="-7"/>
          <w:sz w:val="18"/>
          <w:vertAlign w:val="baseline"/>
        </w:rPr>
        <w:t> </w:t>
      </w:r>
      <w:r>
        <w:rPr>
          <w:sz w:val="18"/>
          <w:vertAlign w:val="baseline"/>
        </w:rPr>
        <w:t>Viraj V. Patel et al., “Empowering With PrEP (E-PrEP), a Peer-Led Social Media–Based Intervention to Facilitate HIV Preexposure</w:t>
      </w:r>
      <w:r>
        <w:rPr>
          <w:spacing w:val="-2"/>
          <w:sz w:val="18"/>
          <w:vertAlign w:val="baseline"/>
        </w:rPr>
        <w:t> </w:t>
      </w:r>
      <w:r>
        <w:rPr>
          <w:sz w:val="18"/>
          <w:vertAlign w:val="baseline"/>
        </w:rPr>
        <w:t>Prophylaxis</w:t>
      </w:r>
      <w:r>
        <w:rPr>
          <w:spacing w:val="-2"/>
          <w:sz w:val="18"/>
          <w:vertAlign w:val="baseline"/>
        </w:rPr>
        <w:t> </w:t>
      </w:r>
      <w:r>
        <w:rPr>
          <w:sz w:val="18"/>
          <w:vertAlign w:val="baseline"/>
        </w:rPr>
        <w:t>Adoption</w:t>
      </w:r>
      <w:r>
        <w:rPr>
          <w:spacing w:val="-2"/>
          <w:sz w:val="18"/>
          <w:vertAlign w:val="baseline"/>
        </w:rPr>
        <w:t> </w:t>
      </w:r>
      <w:r>
        <w:rPr>
          <w:sz w:val="18"/>
          <w:vertAlign w:val="baseline"/>
        </w:rPr>
        <w:t>Among</w:t>
      </w:r>
      <w:r>
        <w:rPr>
          <w:spacing w:val="-2"/>
          <w:sz w:val="18"/>
          <w:vertAlign w:val="baseline"/>
        </w:rPr>
        <w:t> </w:t>
      </w:r>
      <w:r>
        <w:rPr>
          <w:sz w:val="18"/>
          <w:vertAlign w:val="baseline"/>
        </w:rPr>
        <w:t>Young</w:t>
      </w:r>
      <w:r>
        <w:rPr>
          <w:spacing w:val="-3"/>
          <w:sz w:val="18"/>
          <w:vertAlign w:val="baseline"/>
        </w:rPr>
        <w:t> </w:t>
      </w:r>
      <w:r>
        <w:rPr>
          <w:sz w:val="18"/>
          <w:vertAlign w:val="baseline"/>
        </w:rPr>
        <w:t>Black</w:t>
      </w:r>
      <w:r>
        <w:rPr>
          <w:spacing w:val="-3"/>
          <w:sz w:val="18"/>
          <w:vertAlign w:val="baseline"/>
        </w:rPr>
        <w:t> </w:t>
      </w:r>
      <w:r>
        <w:rPr>
          <w:sz w:val="18"/>
          <w:vertAlign w:val="baseline"/>
        </w:rPr>
        <w:t>and</w:t>
      </w:r>
      <w:r>
        <w:rPr>
          <w:spacing w:val="-2"/>
          <w:sz w:val="18"/>
          <w:vertAlign w:val="baseline"/>
        </w:rPr>
        <w:t> </w:t>
      </w:r>
      <w:r>
        <w:rPr>
          <w:sz w:val="18"/>
          <w:vertAlign w:val="baseline"/>
        </w:rPr>
        <w:t>Latinx</w:t>
      </w:r>
      <w:r>
        <w:rPr>
          <w:spacing w:val="-2"/>
          <w:sz w:val="18"/>
          <w:vertAlign w:val="baseline"/>
        </w:rPr>
        <w:t> </w:t>
      </w:r>
      <w:r>
        <w:rPr>
          <w:sz w:val="18"/>
          <w:vertAlign w:val="baseline"/>
        </w:rPr>
        <w:t>Gay</w:t>
      </w:r>
      <w:r>
        <w:rPr>
          <w:spacing w:val="-2"/>
          <w:sz w:val="18"/>
          <w:vertAlign w:val="baseline"/>
        </w:rPr>
        <w:t> </w:t>
      </w:r>
      <w:r>
        <w:rPr>
          <w:sz w:val="18"/>
          <w:vertAlign w:val="baseline"/>
        </w:rPr>
        <w:t>and</w:t>
      </w:r>
      <w:r>
        <w:rPr>
          <w:spacing w:val="-3"/>
          <w:sz w:val="18"/>
          <w:vertAlign w:val="baseline"/>
        </w:rPr>
        <w:t> </w:t>
      </w:r>
      <w:r>
        <w:rPr>
          <w:sz w:val="18"/>
          <w:vertAlign w:val="baseline"/>
        </w:rPr>
        <w:t>Bisexual</w:t>
      </w:r>
      <w:r>
        <w:rPr>
          <w:spacing w:val="-3"/>
          <w:sz w:val="18"/>
          <w:vertAlign w:val="baseline"/>
        </w:rPr>
        <w:t> </w:t>
      </w:r>
      <w:r>
        <w:rPr>
          <w:sz w:val="18"/>
          <w:vertAlign w:val="baseline"/>
        </w:rPr>
        <w:t>Men:</w:t>
      </w:r>
      <w:r>
        <w:rPr>
          <w:spacing w:val="-2"/>
          <w:sz w:val="18"/>
          <w:vertAlign w:val="baseline"/>
        </w:rPr>
        <w:t> </w:t>
      </w:r>
      <w:r>
        <w:rPr>
          <w:sz w:val="18"/>
          <w:vertAlign w:val="baseline"/>
        </w:rPr>
        <w:t>Protocol</w:t>
      </w:r>
      <w:r>
        <w:rPr>
          <w:spacing w:val="-3"/>
          <w:sz w:val="18"/>
          <w:vertAlign w:val="baseline"/>
        </w:rPr>
        <w:t> </w:t>
      </w:r>
      <w:r>
        <w:rPr>
          <w:sz w:val="18"/>
          <w:vertAlign w:val="baseline"/>
        </w:rPr>
        <w:t>for</w:t>
      </w:r>
      <w:r>
        <w:rPr>
          <w:spacing w:val="-3"/>
          <w:sz w:val="18"/>
          <w:vertAlign w:val="baseline"/>
        </w:rPr>
        <w:t> </w:t>
      </w:r>
      <w:r>
        <w:rPr>
          <w:sz w:val="18"/>
          <w:vertAlign w:val="baseline"/>
        </w:rPr>
        <w:t>a</w:t>
      </w:r>
      <w:r>
        <w:rPr>
          <w:spacing w:val="-2"/>
          <w:sz w:val="18"/>
          <w:vertAlign w:val="baseline"/>
        </w:rPr>
        <w:t> </w:t>
      </w:r>
      <w:r>
        <w:rPr>
          <w:sz w:val="18"/>
          <w:vertAlign w:val="baseline"/>
        </w:rPr>
        <w:t>Cluster</w:t>
      </w:r>
      <w:r>
        <w:rPr>
          <w:spacing w:val="-3"/>
          <w:sz w:val="18"/>
          <w:vertAlign w:val="baseline"/>
        </w:rPr>
        <w:t> </w:t>
      </w:r>
      <w:r>
        <w:rPr>
          <w:sz w:val="18"/>
          <w:vertAlign w:val="baseline"/>
        </w:rPr>
        <w:t>Randomized Controlled Trial,” </w:t>
      </w:r>
      <w:r>
        <w:rPr>
          <w:i/>
          <w:sz w:val="18"/>
          <w:vertAlign w:val="baseline"/>
        </w:rPr>
        <w:t>JMIR Research Protocols </w:t>
      </w:r>
      <w:r>
        <w:rPr>
          <w:sz w:val="18"/>
          <w:vertAlign w:val="baseline"/>
        </w:rPr>
        <w:t>7, no. 8 (2018): e11375, https://doi.org/10.2196/11375.</w:t>
      </w:r>
    </w:p>
    <w:p>
      <w:pPr>
        <w:spacing w:line="216" w:lineRule="exact" w:before="0"/>
        <w:ind w:left="463" w:right="0" w:firstLine="0"/>
        <w:jc w:val="left"/>
        <w:rPr>
          <w:sz w:val="18"/>
        </w:rPr>
      </w:pPr>
      <w:r>
        <w:rPr>
          <w:sz w:val="18"/>
          <w:vertAlign w:val="superscript"/>
        </w:rPr>
        <w:t>63</w:t>
      </w:r>
      <w:r>
        <w:rPr>
          <w:spacing w:val="-10"/>
          <w:sz w:val="18"/>
          <w:vertAlign w:val="baseline"/>
        </w:rPr>
        <w:t> </w:t>
      </w:r>
      <w:r>
        <w:rPr>
          <w:sz w:val="18"/>
          <w:vertAlign w:val="baseline"/>
        </w:rPr>
        <w:t>Patel</w:t>
      </w:r>
      <w:r>
        <w:rPr>
          <w:spacing w:val="1"/>
          <w:sz w:val="18"/>
          <w:vertAlign w:val="baseline"/>
        </w:rPr>
        <w:t> </w:t>
      </w:r>
      <w:r>
        <w:rPr>
          <w:sz w:val="18"/>
          <w:vertAlign w:val="baseline"/>
        </w:rPr>
        <w:t>et</w:t>
      </w:r>
      <w:r>
        <w:rPr>
          <w:spacing w:val="2"/>
          <w:sz w:val="18"/>
          <w:vertAlign w:val="baseline"/>
        </w:rPr>
        <w:t> </w:t>
      </w:r>
      <w:r>
        <w:rPr>
          <w:spacing w:val="-5"/>
          <w:sz w:val="18"/>
          <w:vertAlign w:val="baseline"/>
        </w:rPr>
        <w:t>al.</w:t>
      </w:r>
    </w:p>
    <w:p>
      <w:pPr>
        <w:spacing w:line="271" w:lineRule="auto" w:before="21"/>
        <w:ind w:left="463" w:right="300" w:hanging="1"/>
        <w:jc w:val="left"/>
        <w:rPr>
          <w:sz w:val="18"/>
        </w:rPr>
      </w:pPr>
      <w:r>
        <w:rPr>
          <w:sz w:val="18"/>
          <w:vertAlign w:val="superscript"/>
        </w:rPr>
        <w:t>64</w:t>
      </w:r>
      <w:r>
        <w:rPr>
          <w:spacing w:val="-12"/>
          <w:sz w:val="18"/>
          <w:vertAlign w:val="baseline"/>
        </w:rPr>
        <w:t> </w:t>
      </w:r>
      <w:r>
        <w:rPr>
          <w:sz w:val="18"/>
          <w:vertAlign w:val="baseline"/>
        </w:rPr>
        <w:t>Fields</w:t>
      </w:r>
      <w:r>
        <w:rPr>
          <w:spacing w:val="-3"/>
          <w:sz w:val="18"/>
          <w:vertAlign w:val="baseline"/>
        </w:rPr>
        <w:t> </w:t>
      </w:r>
      <w:r>
        <w:rPr>
          <w:sz w:val="18"/>
          <w:vertAlign w:val="baseline"/>
        </w:rPr>
        <w:t>et</w:t>
      </w:r>
      <w:r>
        <w:rPr>
          <w:spacing w:val="-3"/>
          <w:sz w:val="18"/>
          <w:vertAlign w:val="baseline"/>
        </w:rPr>
        <w:t> </w:t>
      </w:r>
      <w:r>
        <w:rPr>
          <w:sz w:val="18"/>
          <w:vertAlign w:val="baseline"/>
        </w:rPr>
        <w:t>al.,</w:t>
      </w:r>
      <w:r>
        <w:rPr>
          <w:spacing w:val="-3"/>
          <w:sz w:val="18"/>
          <w:vertAlign w:val="baseline"/>
        </w:rPr>
        <w:t> </w:t>
      </w:r>
      <w:r>
        <w:rPr>
          <w:sz w:val="18"/>
          <w:vertAlign w:val="baseline"/>
        </w:rPr>
        <w:t>“Identifying</w:t>
      </w:r>
      <w:r>
        <w:rPr>
          <w:spacing w:val="-2"/>
          <w:sz w:val="18"/>
          <w:vertAlign w:val="baseline"/>
        </w:rPr>
        <w:t> </w:t>
      </w:r>
      <w:r>
        <w:rPr>
          <w:sz w:val="18"/>
          <w:vertAlign w:val="baseline"/>
        </w:rPr>
        <w:t>Community-Informed</w:t>
      </w:r>
      <w:r>
        <w:rPr>
          <w:spacing w:val="-2"/>
          <w:sz w:val="18"/>
          <w:vertAlign w:val="baseline"/>
        </w:rPr>
        <w:t> </w:t>
      </w:r>
      <w:r>
        <w:rPr>
          <w:sz w:val="18"/>
          <w:vertAlign w:val="baseline"/>
        </w:rPr>
        <w:t>Language</w:t>
      </w:r>
      <w:r>
        <w:rPr>
          <w:spacing w:val="-2"/>
          <w:sz w:val="18"/>
          <w:vertAlign w:val="baseline"/>
        </w:rPr>
        <w:t> </w:t>
      </w:r>
      <w:r>
        <w:rPr>
          <w:sz w:val="18"/>
          <w:vertAlign w:val="baseline"/>
        </w:rPr>
        <w:t>to</w:t>
      </w:r>
      <w:r>
        <w:rPr>
          <w:spacing w:val="-2"/>
          <w:sz w:val="18"/>
          <w:vertAlign w:val="baseline"/>
        </w:rPr>
        <w:t> </w:t>
      </w:r>
      <w:r>
        <w:rPr>
          <w:sz w:val="18"/>
          <w:vertAlign w:val="baseline"/>
        </w:rPr>
        <w:t>Promote</w:t>
      </w:r>
      <w:r>
        <w:rPr>
          <w:spacing w:val="-2"/>
          <w:sz w:val="18"/>
          <w:vertAlign w:val="baseline"/>
        </w:rPr>
        <w:t> </w:t>
      </w:r>
      <w:r>
        <w:rPr>
          <w:sz w:val="18"/>
          <w:vertAlign w:val="baseline"/>
        </w:rPr>
        <w:t>HIV</w:t>
      </w:r>
      <w:r>
        <w:rPr>
          <w:spacing w:val="-2"/>
          <w:sz w:val="18"/>
          <w:vertAlign w:val="baseline"/>
        </w:rPr>
        <w:t> </w:t>
      </w:r>
      <w:r>
        <w:rPr>
          <w:sz w:val="18"/>
          <w:vertAlign w:val="baseline"/>
        </w:rPr>
        <w:t>Preesposure</w:t>
      </w:r>
      <w:r>
        <w:rPr>
          <w:spacing w:val="-3"/>
          <w:sz w:val="18"/>
          <w:vertAlign w:val="baseline"/>
        </w:rPr>
        <w:t> </w:t>
      </w:r>
      <w:r>
        <w:rPr>
          <w:sz w:val="18"/>
          <w:vertAlign w:val="baseline"/>
        </w:rPr>
        <w:t>Prophylaxis</w:t>
      </w:r>
      <w:r>
        <w:rPr>
          <w:spacing w:val="-2"/>
          <w:sz w:val="18"/>
          <w:vertAlign w:val="baseline"/>
        </w:rPr>
        <w:t> </w:t>
      </w:r>
      <w:r>
        <w:rPr>
          <w:sz w:val="18"/>
          <w:vertAlign w:val="baseline"/>
        </w:rPr>
        <w:t>(PrEP)</w:t>
      </w:r>
      <w:r>
        <w:rPr>
          <w:spacing w:val="-2"/>
          <w:sz w:val="18"/>
          <w:vertAlign w:val="baseline"/>
        </w:rPr>
        <w:t> </w:t>
      </w:r>
      <w:r>
        <w:rPr>
          <w:sz w:val="18"/>
          <w:vertAlign w:val="baseline"/>
        </w:rPr>
        <w:t>in</w:t>
      </w:r>
      <w:r>
        <w:rPr>
          <w:spacing w:val="-2"/>
          <w:sz w:val="18"/>
          <w:vertAlign w:val="baseline"/>
        </w:rPr>
        <w:t> </w:t>
      </w:r>
      <w:r>
        <w:rPr>
          <w:sz w:val="18"/>
          <w:vertAlign w:val="baseline"/>
        </w:rPr>
        <w:t>Black</w:t>
      </w:r>
      <w:r>
        <w:rPr>
          <w:spacing w:val="-3"/>
          <w:sz w:val="18"/>
          <w:vertAlign w:val="baseline"/>
        </w:rPr>
        <w:t> </w:t>
      </w:r>
      <w:r>
        <w:rPr>
          <w:sz w:val="18"/>
          <w:vertAlign w:val="baseline"/>
        </w:rPr>
        <w:t>LGBTQ Communities in Baltimore.”</w:t>
      </w:r>
    </w:p>
    <w:p>
      <w:pPr>
        <w:spacing w:line="215" w:lineRule="exact" w:before="0"/>
        <w:ind w:left="463" w:right="0" w:firstLine="0"/>
        <w:jc w:val="left"/>
        <w:rPr>
          <w:sz w:val="18"/>
        </w:rPr>
      </w:pPr>
      <w:r>
        <w:rPr>
          <w:sz w:val="18"/>
          <w:vertAlign w:val="superscript"/>
        </w:rPr>
        <w:t>65</w:t>
      </w:r>
      <w:r>
        <w:rPr>
          <w:spacing w:val="-11"/>
          <w:sz w:val="18"/>
          <w:vertAlign w:val="baseline"/>
        </w:rPr>
        <w:t> </w:t>
      </w:r>
      <w:r>
        <w:rPr>
          <w:sz w:val="18"/>
          <w:vertAlign w:val="baseline"/>
        </w:rPr>
        <w:t>Fields</w:t>
      </w:r>
      <w:r>
        <w:rPr>
          <w:spacing w:val="3"/>
          <w:sz w:val="18"/>
          <w:vertAlign w:val="baseline"/>
        </w:rPr>
        <w:t> </w:t>
      </w:r>
      <w:r>
        <w:rPr>
          <w:sz w:val="18"/>
          <w:vertAlign w:val="baseline"/>
        </w:rPr>
        <w:t>et</w:t>
      </w:r>
      <w:r>
        <w:rPr>
          <w:spacing w:val="1"/>
          <w:sz w:val="18"/>
          <w:vertAlign w:val="baseline"/>
        </w:rPr>
        <w:t> </w:t>
      </w:r>
      <w:r>
        <w:rPr>
          <w:spacing w:val="-5"/>
          <w:sz w:val="18"/>
          <w:vertAlign w:val="baseline"/>
        </w:rPr>
        <w:t>al.</w:t>
      </w:r>
    </w:p>
    <w:p>
      <w:pPr>
        <w:spacing w:line="273" w:lineRule="auto" w:before="20"/>
        <w:ind w:left="463" w:right="300" w:hanging="1"/>
        <w:jc w:val="left"/>
        <w:rPr>
          <w:sz w:val="18"/>
        </w:rPr>
      </w:pPr>
      <w:r>
        <w:rPr>
          <w:sz w:val="18"/>
          <w:vertAlign w:val="superscript"/>
        </w:rPr>
        <w:t>66</w:t>
      </w:r>
      <w:r>
        <w:rPr>
          <w:spacing w:val="-12"/>
          <w:sz w:val="18"/>
          <w:vertAlign w:val="baseline"/>
        </w:rPr>
        <w:t> </w:t>
      </w:r>
      <w:r>
        <w:rPr>
          <w:sz w:val="18"/>
          <w:vertAlign w:val="baseline"/>
        </w:rPr>
        <w:t>“Fast</w:t>
      </w:r>
      <w:r>
        <w:rPr>
          <w:spacing w:val="-4"/>
          <w:sz w:val="18"/>
          <w:vertAlign w:val="baseline"/>
        </w:rPr>
        <w:t> </w:t>
      </w:r>
      <w:r>
        <w:rPr>
          <w:sz w:val="18"/>
          <w:vertAlign w:val="baseline"/>
        </w:rPr>
        <w:t>Fact:</w:t>
      </w:r>
      <w:r>
        <w:rPr>
          <w:spacing w:val="-2"/>
          <w:sz w:val="18"/>
          <w:vertAlign w:val="baseline"/>
        </w:rPr>
        <w:t> </w:t>
      </w:r>
      <w:r>
        <w:rPr>
          <w:sz w:val="18"/>
          <w:vertAlign w:val="baseline"/>
        </w:rPr>
        <w:t>Preventing</w:t>
      </w:r>
      <w:r>
        <w:rPr>
          <w:spacing w:val="-2"/>
          <w:sz w:val="18"/>
          <w:vertAlign w:val="baseline"/>
        </w:rPr>
        <w:t> </w:t>
      </w:r>
      <w:r>
        <w:rPr>
          <w:sz w:val="18"/>
          <w:vertAlign w:val="baseline"/>
        </w:rPr>
        <w:t>Bullying,”</w:t>
      </w:r>
      <w:r>
        <w:rPr>
          <w:spacing w:val="-2"/>
          <w:sz w:val="18"/>
          <w:vertAlign w:val="baseline"/>
        </w:rPr>
        <w:t> </w:t>
      </w:r>
      <w:r>
        <w:rPr>
          <w:sz w:val="18"/>
          <w:vertAlign w:val="baseline"/>
        </w:rPr>
        <w:t>Centers</w:t>
      </w:r>
      <w:r>
        <w:rPr>
          <w:spacing w:val="-2"/>
          <w:sz w:val="18"/>
          <w:vertAlign w:val="baseline"/>
        </w:rPr>
        <w:t> </w:t>
      </w:r>
      <w:r>
        <w:rPr>
          <w:sz w:val="18"/>
          <w:vertAlign w:val="baseline"/>
        </w:rPr>
        <w:t>for</w:t>
      </w:r>
      <w:r>
        <w:rPr>
          <w:spacing w:val="-3"/>
          <w:sz w:val="18"/>
          <w:vertAlign w:val="baseline"/>
        </w:rPr>
        <w:t> </w:t>
      </w:r>
      <w:r>
        <w:rPr>
          <w:sz w:val="18"/>
          <w:vertAlign w:val="baseline"/>
        </w:rPr>
        <w:t>Disease</w:t>
      </w:r>
      <w:r>
        <w:rPr>
          <w:spacing w:val="-2"/>
          <w:sz w:val="18"/>
          <w:vertAlign w:val="baseline"/>
        </w:rPr>
        <w:t> </w:t>
      </w:r>
      <w:r>
        <w:rPr>
          <w:sz w:val="18"/>
          <w:vertAlign w:val="baseline"/>
        </w:rPr>
        <w:t>Control</w:t>
      </w:r>
      <w:r>
        <w:rPr>
          <w:spacing w:val="-3"/>
          <w:sz w:val="18"/>
          <w:vertAlign w:val="baseline"/>
        </w:rPr>
        <w:t> </w:t>
      </w:r>
      <w:r>
        <w:rPr>
          <w:sz w:val="18"/>
          <w:vertAlign w:val="baseline"/>
        </w:rPr>
        <w:t>and</w:t>
      </w:r>
      <w:r>
        <w:rPr>
          <w:spacing w:val="-2"/>
          <w:sz w:val="18"/>
          <w:vertAlign w:val="baseline"/>
        </w:rPr>
        <w:t> </w:t>
      </w:r>
      <w:r>
        <w:rPr>
          <w:sz w:val="18"/>
          <w:vertAlign w:val="baseline"/>
        </w:rPr>
        <w:t>Prevention</w:t>
      </w:r>
      <w:r>
        <w:rPr>
          <w:spacing w:val="-2"/>
          <w:sz w:val="18"/>
          <w:vertAlign w:val="baseline"/>
        </w:rPr>
        <w:t> </w:t>
      </w:r>
      <w:r>
        <w:rPr>
          <w:sz w:val="18"/>
          <w:vertAlign w:val="baseline"/>
        </w:rPr>
        <w:t>-</w:t>
      </w:r>
      <w:r>
        <w:rPr>
          <w:spacing w:val="-3"/>
          <w:sz w:val="18"/>
          <w:vertAlign w:val="baseline"/>
        </w:rPr>
        <w:t> </w:t>
      </w:r>
      <w:r>
        <w:rPr>
          <w:sz w:val="18"/>
          <w:vertAlign w:val="baseline"/>
        </w:rPr>
        <w:t>Violence</w:t>
      </w:r>
      <w:r>
        <w:rPr>
          <w:spacing w:val="-2"/>
          <w:sz w:val="18"/>
          <w:vertAlign w:val="baseline"/>
        </w:rPr>
        <w:t> </w:t>
      </w:r>
      <w:r>
        <w:rPr>
          <w:sz w:val="18"/>
          <w:vertAlign w:val="baseline"/>
        </w:rPr>
        <w:t>Prevention,</w:t>
      </w:r>
      <w:r>
        <w:rPr>
          <w:spacing w:val="-3"/>
          <w:sz w:val="18"/>
          <w:vertAlign w:val="baseline"/>
        </w:rPr>
        <w:t> </w:t>
      </w:r>
      <w:r>
        <w:rPr>
          <w:sz w:val="18"/>
          <w:vertAlign w:val="baseline"/>
        </w:rPr>
        <w:t>April</w:t>
      </w:r>
      <w:r>
        <w:rPr>
          <w:spacing w:val="-3"/>
          <w:sz w:val="18"/>
          <w:vertAlign w:val="baseline"/>
        </w:rPr>
        <w:t> </w:t>
      </w:r>
      <w:r>
        <w:rPr>
          <w:sz w:val="18"/>
          <w:vertAlign w:val="baseline"/>
        </w:rPr>
        <w:t>14,</w:t>
      </w:r>
      <w:r>
        <w:rPr>
          <w:spacing w:val="-3"/>
          <w:sz w:val="18"/>
          <w:vertAlign w:val="baseline"/>
        </w:rPr>
        <w:t> </w:t>
      </w:r>
      <w:r>
        <w:rPr>
          <w:sz w:val="18"/>
          <w:vertAlign w:val="baseline"/>
        </w:rPr>
        <w:t>2022, </w:t>
      </w:r>
      <w:r>
        <w:rPr>
          <w:spacing w:val="-2"/>
          <w:sz w:val="18"/>
          <w:vertAlign w:val="baseline"/>
        </w:rPr>
        <w:t>https://</w:t>
      </w:r>
      <w:hyperlink r:id="rId154">
        <w:r>
          <w:rPr>
            <w:spacing w:val="-2"/>
            <w:sz w:val="18"/>
            <w:vertAlign w:val="baseline"/>
          </w:rPr>
          <w:t>www.cdc.gov/violenceprevention/youthviolence/bullyingresearch/fastfact.html.</w:t>
        </w:r>
      </w:hyperlink>
    </w:p>
    <w:p>
      <w:pPr>
        <w:spacing w:line="271" w:lineRule="auto" w:before="10"/>
        <w:ind w:left="463" w:right="1940" w:hanging="1"/>
        <w:jc w:val="left"/>
        <w:rPr>
          <w:sz w:val="18"/>
        </w:rPr>
      </w:pPr>
      <w:r>
        <w:rPr>
          <w:sz w:val="18"/>
          <w:vertAlign w:val="superscript"/>
        </w:rPr>
        <w:t>67</w:t>
      </w:r>
      <w:r>
        <w:rPr>
          <w:spacing w:val="-12"/>
          <w:sz w:val="18"/>
          <w:vertAlign w:val="baseline"/>
        </w:rPr>
        <w:t> </w:t>
      </w:r>
      <w:r>
        <w:rPr>
          <w:sz w:val="18"/>
          <w:vertAlign w:val="baseline"/>
        </w:rPr>
        <w:t>“School</w:t>
      </w:r>
      <w:r>
        <w:rPr>
          <w:spacing w:val="-4"/>
          <w:sz w:val="18"/>
          <w:vertAlign w:val="baseline"/>
        </w:rPr>
        <w:t> </w:t>
      </w:r>
      <w:r>
        <w:rPr>
          <w:sz w:val="18"/>
          <w:vertAlign w:val="baseline"/>
        </w:rPr>
        <w:t>Climate</w:t>
      </w:r>
      <w:r>
        <w:rPr>
          <w:spacing w:val="-2"/>
          <w:sz w:val="18"/>
          <w:vertAlign w:val="baseline"/>
        </w:rPr>
        <w:t> </w:t>
      </w:r>
      <w:r>
        <w:rPr>
          <w:sz w:val="18"/>
          <w:vertAlign w:val="baseline"/>
        </w:rPr>
        <w:t>for</w:t>
      </w:r>
      <w:r>
        <w:rPr>
          <w:spacing w:val="-3"/>
          <w:sz w:val="18"/>
          <w:vertAlign w:val="baseline"/>
        </w:rPr>
        <w:t> </w:t>
      </w:r>
      <w:r>
        <w:rPr>
          <w:sz w:val="18"/>
          <w:vertAlign w:val="baseline"/>
        </w:rPr>
        <w:t>LGBTQ</w:t>
      </w:r>
      <w:r>
        <w:rPr>
          <w:spacing w:val="-2"/>
          <w:sz w:val="18"/>
          <w:vertAlign w:val="baseline"/>
        </w:rPr>
        <w:t> </w:t>
      </w:r>
      <w:r>
        <w:rPr>
          <w:sz w:val="18"/>
          <w:vertAlign w:val="baseline"/>
        </w:rPr>
        <w:t>Students</w:t>
      </w:r>
      <w:r>
        <w:rPr>
          <w:spacing w:val="-2"/>
          <w:sz w:val="18"/>
          <w:vertAlign w:val="baseline"/>
        </w:rPr>
        <w:t> </w:t>
      </w:r>
      <w:r>
        <w:rPr>
          <w:sz w:val="18"/>
          <w:vertAlign w:val="baseline"/>
        </w:rPr>
        <w:t>in</w:t>
      </w:r>
      <w:r>
        <w:rPr>
          <w:spacing w:val="-2"/>
          <w:sz w:val="18"/>
          <w:vertAlign w:val="baseline"/>
        </w:rPr>
        <w:t> </w:t>
      </w:r>
      <w:r>
        <w:rPr>
          <w:sz w:val="18"/>
          <w:vertAlign w:val="baseline"/>
        </w:rPr>
        <w:t>Massachusetts</w:t>
      </w:r>
      <w:r>
        <w:rPr>
          <w:spacing w:val="-3"/>
          <w:sz w:val="18"/>
          <w:vertAlign w:val="baseline"/>
        </w:rPr>
        <w:t> </w:t>
      </w:r>
      <w:r>
        <w:rPr>
          <w:sz w:val="18"/>
          <w:vertAlign w:val="baseline"/>
        </w:rPr>
        <w:t>(State</w:t>
      </w:r>
      <w:r>
        <w:rPr>
          <w:spacing w:val="-2"/>
          <w:sz w:val="18"/>
          <w:vertAlign w:val="baseline"/>
        </w:rPr>
        <w:t> </w:t>
      </w:r>
      <w:r>
        <w:rPr>
          <w:sz w:val="18"/>
          <w:vertAlign w:val="baseline"/>
        </w:rPr>
        <w:t>Snapshot)”</w:t>
      </w:r>
      <w:r>
        <w:rPr>
          <w:spacing w:val="-3"/>
          <w:sz w:val="18"/>
          <w:vertAlign w:val="baseline"/>
        </w:rPr>
        <w:t> </w:t>
      </w:r>
      <w:r>
        <w:rPr>
          <w:sz w:val="18"/>
          <w:vertAlign w:val="baseline"/>
        </w:rPr>
        <w:t>(New</w:t>
      </w:r>
      <w:r>
        <w:rPr>
          <w:spacing w:val="-4"/>
          <w:sz w:val="18"/>
          <w:vertAlign w:val="baseline"/>
        </w:rPr>
        <w:t> </w:t>
      </w:r>
      <w:r>
        <w:rPr>
          <w:sz w:val="18"/>
          <w:vertAlign w:val="baseline"/>
        </w:rPr>
        <w:t>York,</w:t>
      </w:r>
      <w:r>
        <w:rPr>
          <w:spacing w:val="-3"/>
          <w:sz w:val="18"/>
          <w:vertAlign w:val="baseline"/>
        </w:rPr>
        <w:t> </w:t>
      </w:r>
      <w:r>
        <w:rPr>
          <w:sz w:val="18"/>
          <w:vertAlign w:val="baseline"/>
        </w:rPr>
        <w:t>NY:</w:t>
      </w:r>
      <w:r>
        <w:rPr>
          <w:spacing w:val="-2"/>
          <w:sz w:val="18"/>
          <w:vertAlign w:val="baseline"/>
        </w:rPr>
        <w:t> </w:t>
      </w:r>
      <w:r>
        <w:rPr>
          <w:sz w:val="18"/>
          <w:vertAlign w:val="baseline"/>
        </w:rPr>
        <w:t>GLSEN,</w:t>
      </w:r>
      <w:r>
        <w:rPr>
          <w:spacing w:val="-2"/>
          <w:sz w:val="18"/>
          <w:vertAlign w:val="baseline"/>
        </w:rPr>
        <w:t> </w:t>
      </w:r>
      <w:r>
        <w:rPr>
          <w:sz w:val="18"/>
          <w:vertAlign w:val="baseline"/>
        </w:rPr>
        <w:t>2021), </w:t>
      </w:r>
      <w:r>
        <w:rPr>
          <w:spacing w:val="-2"/>
          <w:sz w:val="18"/>
          <w:vertAlign w:val="baseline"/>
        </w:rPr>
        <w:t>https://</w:t>
      </w:r>
      <w:hyperlink r:id="rId155">
        <w:r>
          <w:rPr>
            <w:spacing w:val="-2"/>
            <w:sz w:val="18"/>
            <w:vertAlign w:val="baseline"/>
          </w:rPr>
          <w:t>www.glsen.org/sites/default/files/2021-01/Massachusetts-Snapshot-2019_1.pdf.</w:t>
        </w:r>
      </w:hyperlink>
    </w:p>
    <w:p>
      <w:pPr>
        <w:spacing w:line="216" w:lineRule="exact" w:before="0"/>
        <w:ind w:left="463" w:right="0" w:firstLine="0"/>
        <w:jc w:val="left"/>
        <w:rPr>
          <w:sz w:val="18"/>
        </w:rPr>
      </w:pPr>
      <w:r>
        <w:rPr>
          <w:sz w:val="18"/>
          <w:vertAlign w:val="superscript"/>
        </w:rPr>
        <w:t>68</w:t>
      </w:r>
      <w:r>
        <w:rPr>
          <w:spacing w:val="-12"/>
          <w:sz w:val="18"/>
          <w:vertAlign w:val="baseline"/>
        </w:rPr>
        <w:t> </w:t>
      </w:r>
      <w:r>
        <w:rPr>
          <w:sz w:val="18"/>
          <w:vertAlign w:val="baseline"/>
        </w:rPr>
        <w:t>“School</w:t>
      </w:r>
      <w:r>
        <w:rPr>
          <w:spacing w:val="-4"/>
          <w:sz w:val="18"/>
          <w:vertAlign w:val="baseline"/>
        </w:rPr>
        <w:t> </w:t>
      </w:r>
      <w:r>
        <w:rPr>
          <w:sz w:val="18"/>
          <w:vertAlign w:val="baseline"/>
        </w:rPr>
        <w:t>Climate</w:t>
      </w:r>
      <w:r>
        <w:rPr>
          <w:spacing w:val="-1"/>
          <w:sz w:val="18"/>
          <w:vertAlign w:val="baseline"/>
        </w:rPr>
        <w:t> </w:t>
      </w:r>
      <w:r>
        <w:rPr>
          <w:sz w:val="18"/>
          <w:vertAlign w:val="baseline"/>
        </w:rPr>
        <w:t>for</w:t>
      </w:r>
      <w:r>
        <w:rPr>
          <w:spacing w:val="-2"/>
          <w:sz w:val="18"/>
          <w:vertAlign w:val="baseline"/>
        </w:rPr>
        <w:t> </w:t>
      </w:r>
      <w:r>
        <w:rPr>
          <w:sz w:val="18"/>
          <w:vertAlign w:val="baseline"/>
        </w:rPr>
        <w:t>LGBTQ</w:t>
      </w:r>
      <w:r>
        <w:rPr>
          <w:spacing w:val="-1"/>
          <w:sz w:val="18"/>
          <w:vertAlign w:val="baseline"/>
        </w:rPr>
        <w:t> </w:t>
      </w:r>
      <w:r>
        <w:rPr>
          <w:sz w:val="18"/>
          <w:vertAlign w:val="baseline"/>
        </w:rPr>
        <w:t>Students</w:t>
      </w:r>
      <w:r>
        <w:rPr>
          <w:spacing w:val="-1"/>
          <w:sz w:val="18"/>
          <w:vertAlign w:val="baseline"/>
        </w:rPr>
        <w:t> </w:t>
      </w:r>
      <w:r>
        <w:rPr>
          <w:sz w:val="18"/>
          <w:vertAlign w:val="baseline"/>
        </w:rPr>
        <w:t>in</w:t>
      </w:r>
      <w:r>
        <w:rPr>
          <w:spacing w:val="-2"/>
          <w:sz w:val="18"/>
          <w:vertAlign w:val="baseline"/>
        </w:rPr>
        <w:t> </w:t>
      </w:r>
      <w:r>
        <w:rPr>
          <w:sz w:val="18"/>
          <w:vertAlign w:val="baseline"/>
        </w:rPr>
        <w:t>Massachusetts</w:t>
      </w:r>
      <w:r>
        <w:rPr>
          <w:spacing w:val="-2"/>
          <w:sz w:val="18"/>
          <w:vertAlign w:val="baseline"/>
        </w:rPr>
        <w:t> </w:t>
      </w:r>
      <w:r>
        <w:rPr>
          <w:sz w:val="18"/>
          <w:vertAlign w:val="baseline"/>
        </w:rPr>
        <w:t>(State</w:t>
      </w:r>
      <w:r>
        <w:rPr>
          <w:spacing w:val="-1"/>
          <w:sz w:val="18"/>
          <w:vertAlign w:val="baseline"/>
        </w:rPr>
        <w:t> </w:t>
      </w:r>
      <w:r>
        <w:rPr>
          <w:spacing w:val="-2"/>
          <w:sz w:val="18"/>
          <w:vertAlign w:val="baseline"/>
        </w:rPr>
        <w:t>Snapshot).”</w:t>
      </w:r>
    </w:p>
    <w:p>
      <w:pPr>
        <w:spacing w:before="3"/>
        <w:ind w:left="463" w:right="0" w:firstLine="0"/>
        <w:jc w:val="left"/>
        <w:rPr>
          <w:sz w:val="18"/>
        </w:rPr>
      </w:pPr>
      <w:r>
        <w:rPr>
          <w:sz w:val="18"/>
          <w:vertAlign w:val="superscript"/>
        </w:rPr>
        <w:t>69</w:t>
      </w:r>
      <w:r>
        <w:rPr>
          <w:spacing w:val="-12"/>
          <w:sz w:val="18"/>
          <w:vertAlign w:val="baseline"/>
        </w:rPr>
        <w:t> </w:t>
      </w:r>
      <w:r>
        <w:rPr>
          <w:sz w:val="18"/>
          <w:vertAlign w:val="baseline"/>
        </w:rPr>
        <w:t>“School</w:t>
      </w:r>
      <w:r>
        <w:rPr>
          <w:spacing w:val="-4"/>
          <w:sz w:val="18"/>
          <w:vertAlign w:val="baseline"/>
        </w:rPr>
        <w:t> </w:t>
      </w:r>
      <w:r>
        <w:rPr>
          <w:sz w:val="18"/>
          <w:vertAlign w:val="baseline"/>
        </w:rPr>
        <w:t>Climate</w:t>
      </w:r>
      <w:r>
        <w:rPr>
          <w:spacing w:val="-1"/>
          <w:sz w:val="18"/>
          <w:vertAlign w:val="baseline"/>
        </w:rPr>
        <w:t> </w:t>
      </w:r>
      <w:r>
        <w:rPr>
          <w:sz w:val="18"/>
          <w:vertAlign w:val="baseline"/>
        </w:rPr>
        <w:t>for</w:t>
      </w:r>
      <w:r>
        <w:rPr>
          <w:spacing w:val="-2"/>
          <w:sz w:val="18"/>
          <w:vertAlign w:val="baseline"/>
        </w:rPr>
        <w:t> </w:t>
      </w:r>
      <w:r>
        <w:rPr>
          <w:sz w:val="18"/>
          <w:vertAlign w:val="baseline"/>
        </w:rPr>
        <w:t>LGBTQ</w:t>
      </w:r>
      <w:r>
        <w:rPr>
          <w:spacing w:val="-1"/>
          <w:sz w:val="18"/>
          <w:vertAlign w:val="baseline"/>
        </w:rPr>
        <w:t> </w:t>
      </w:r>
      <w:r>
        <w:rPr>
          <w:sz w:val="18"/>
          <w:vertAlign w:val="baseline"/>
        </w:rPr>
        <w:t>Students</w:t>
      </w:r>
      <w:r>
        <w:rPr>
          <w:spacing w:val="-1"/>
          <w:sz w:val="18"/>
          <w:vertAlign w:val="baseline"/>
        </w:rPr>
        <w:t> </w:t>
      </w:r>
      <w:r>
        <w:rPr>
          <w:sz w:val="18"/>
          <w:vertAlign w:val="baseline"/>
        </w:rPr>
        <w:t>in</w:t>
      </w:r>
      <w:r>
        <w:rPr>
          <w:spacing w:val="-2"/>
          <w:sz w:val="18"/>
          <w:vertAlign w:val="baseline"/>
        </w:rPr>
        <w:t> </w:t>
      </w:r>
      <w:r>
        <w:rPr>
          <w:sz w:val="18"/>
          <w:vertAlign w:val="baseline"/>
        </w:rPr>
        <w:t>Massachusetts</w:t>
      </w:r>
      <w:r>
        <w:rPr>
          <w:spacing w:val="-2"/>
          <w:sz w:val="18"/>
          <w:vertAlign w:val="baseline"/>
        </w:rPr>
        <w:t> </w:t>
      </w:r>
      <w:r>
        <w:rPr>
          <w:sz w:val="18"/>
          <w:vertAlign w:val="baseline"/>
        </w:rPr>
        <w:t>(State</w:t>
      </w:r>
      <w:r>
        <w:rPr>
          <w:spacing w:val="-1"/>
          <w:sz w:val="18"/>
          <w:vertAlign w:val="baseline"/>
        </w:rPr>
        <w:t> </w:t>
      </w:r>
      <w:r>
        <w:rPr>
          <w:spacing w:val="-2"/>
          <w:sz w:val="18"/>
          <w:vertAlign w:val="baseline"/>
        </w:rPr>
        <w:t>Snapshot).”</w:t>
      </w:r>
    </w:p>
    <w:p>
      <w:pPr>
        <w:spacing w:line="268" w:lineRule="auto" w:before="20"/>
        <w:ind w:left="463" w:right="891" w:hanging="1"/>
        <w:jc w:val="both"/>
        <w:rPr>
          <w:sz w:val="18"/>
        </w:rPr>
      </w:pPr>
      <w:r>
        <w:rPr>
          <w:sz w:val="18"/>
          <w:vertAlign w:val="superscript"/>
        </w:rPr>
        <w:t>70</w:t>
      </w:r>
      <w:r>
        <w:rPr>
          <w:spacing w:val="-11"/>
          <w:sz w:val="18"/>
          <w:vertAlign w:val="baseline"/>
        </w:rPr>
        <w:t> </w:t>
      </w:r>
      <w:r>
        <w:rPr>
          <w:sz w:val="18"/>
          <w:vertAlign w:val="baseline"/>
        </w:rPr>
        <w:t>Joseph</w:t>
      </w:r>
      <w:r>
        <w:rPr>
          <w:spacing w:val="-3"/>
          <w:sz w:val="18"/>
          <w:vertAlign w:val="baseline"/>
        </w:rPr>
        <w:t> </w:t>
      </w:r>
      <w:r>
        <w:rPr>
          <w:sz w:val="18"/>
          <w:vertAlign w:val="baseline"/>
        </w:rPr>
        <w:t>G.</w:t>
      </w:r>
      <w:r>
        <w:rPr>
          <w:spacing w:val="-2"/>
          <w:sz w:val="18"/>
          <w:vertAlign w:val="baseline"/>
        </w:rPr>
        <w:t> </w:t>
      </w:r>
      <w:r>
        <w:rPr>
          <w:sz w:val="18"/>
          <w:vertAlign w:val="baseline"/>
        </w:rPr>
        <w:t>Kosciw,</w:t>
      </w:r>
      <w:r>
        <w:rPr>
          <w:spacing w:val="-2"/>
          <w:sz w:val="18"/>
          <w:vertAlign w:val="baseline"/>
        </w:rPr>
        <w:t> </w:t>
      </w:r>
      <w:r>
        <w:rPr>
          <w:sz w:val="18"/>
          <w:vertAlign w:val="baseline"/>
        </w:rPr>
        <w:t>Caitlin</w:t>
      </w:r>
      <w:r>
        <w:rPr>
          <w:spacing w:val="-1"/>
          <w:sz w:val="18"/>
          <w:vertAlign w:val="baseline"/>
        </w:rPr>
        <w:t> </w:t>
      </w:r>
      <w:r>
        <w:rPr>
          <w:sz w:val="18"/>
          <w:vertAlign w:val="baseline"/>
        </w:rPr>
        <w:t>M.</w:t>
      </w:r>
      <w:r>
        <w:rPr>
          <w:spacing w:val="-1"/>
          <w:sz w:val="18"/>
          <w:vertAlign w:val="baseline"/>
        </w:rPr>
        <w:t> </w:t>
      </w:r>
      <w:r>
        <w:rPr>
          <w:sz w:val="18"/>
          <w:vertAlign w:val="baseline"/>
        </w:rPr>
        <w:t>Clark,</w:t>
      </w:r>
      <w:r>
        <w:rPr>
          <w:spacing w:val="-2"/>
          <w:sz w:val="18"/>
          <w:vertAlign w:val="baseline"/>
        </w:rPr>
        <w:t> </w:t>
      </w:r>
      <w:r>
        <w:rPr>
          <w:sz w:val="18"/>
          <w:vertAlign w:val="baseline"/>
        </w:rPr>
        <w:t>and</w:t>
      </w:r>
      <w:r>
        <w:rPr>
          <w:spacing w:val="-1"/>
          <w:sz w:val="18"/>
          <w:vertAlign w:val="baseline"/>
        </w:rPr>
        <w:t> </w:t>
      </w:r>
      <w:r>
        <w:rPr>
          <w:sz w:val="18"/>
          <w:vertAlign w:val="baseline"/>
        </w:rPr>
        <w:t>Leesh</w:t>
      </w:r>
      <w:r>
        <w:rPr>
          <w:spacing w:val="-2"/>
          <w:sz w:val="18"/>
          <w:vertAlign w:val="baseline"/>
        </w:rPr>
        <w:t> </w:t>
      </w:r>
      <w:r>
        <w:rPr>
          <w:sz w:val="18"/>
          <w:vertAlign w:val="baseline"/>
        </w:rPr>
        <w:t>Menard,</w:t>
      </w:r>
      <w:r>
        <w:rPr>
          <w:spacing w:val="-2"/>
          <w:sz w:val="18"/>
          <w:vertAlign w:val="baseline"/>
        </w:rPr>
        <w:t> </w:t>
      </w:r>
      <w:r>
        <w:rPr>
          <w:sz w:val="18"/>
          <w:vertAlign w:val="baseline"/>
        </w:rPr>
        <w:t>“The</w:t>
      </w:r>
      <w:r>
        <w:rPr>
          <w:spacing w:val="-1"/>
          <w:sz w:val="18"/>
          <w:vertAlign w:val="baseline"/>
        </w:rPr>
        <w:t> </w:t>
      </w:r>
      <w:r>
        <w:rPr>
          <w:sz w:val="18"/>
          <w:vertAlign w:val="baseline"/>
        </w:rPr>
        <w:t>2021</w:t>
      </w:r>
      <w:r>
        <w:rPr>
          <w:spacing w:val="-1"/>
          <w:sz w:val="18"/>
          <w:vertAlign w:val="baseline"/>
        </w:rPr>
        <w:t> </w:t>
      </w:r>
      <w:r>
        <w:rPr>
          <w:sz w:val="18"/>
          <w:vertAlign w:val="baseline"/>
        </w:rPr>
        <w:t>National</w:t>
      </w:r>
      <w:r>
        <w:rPr>
          <w:spacing w:val="-2"/>
          <w:sz w:val="18"/>
          <w:vertAlign w:val="baseline"/>
        </w:rPr>
        <w:t> </w:t>
      </w:r>
      <w:r>
        <w:rPr>
          <w:sz w:val="18"/>
          <w:vertAlign w:val="baseline"/>
        </w:rPr>
        <w:t>School</w:t>
      </w:r>
      <w:r>
        <w:rPr>
          <w:spacing w:val="-2"/>
          <w:sz w:val="18"/>
          <w:vertAlign w:val="baseline"/>
        </w:rPr>
        <w:t> </w:t>
      </w:r>
      <w:r>
        <w:rPr>
          <w:sz w:val="18"/>
          <w:vertAlign w:val="baseline"/>
        </w:rPr>
        <w:t>Climate</w:t>
      </w:r>
      <w:r>
        <w:rPr>
          <w:spacing w:val="-1"/>
          <w:sz w:val="18"/>
          <w:vertAlign w:val="baseline"/>
        </w:rPr>
        <w:t> </w:t>
      </w:r>
      <w:r>
        <w:rPr>
          <w:sz w:val="18"/>
          <w:vertAlign w:val="baseline"/>
        </w:rPr>
        <w:t>Survey:</w:t>
      </w:r>
      <w:r>
        <w:rPr>
          <w:spacing w:val="-1"/>
          <w:sz w:val="18"/>
          <w:vertAlign w:val="baseline"/>
        </w:rPr>
        <w:t> </w:t>
      </w:r>
      <w:r>
        <w:rPr>
          <w:sz w:val="18"/>
          <w:vertAlign w:val="baseline"/>
        </w:rPr>
        <w:t>The</w:t>
      </w:r>
      <w:r>
        <w:rPr>
          <w:spacing w:val="-1"/>
          <w:sz w:val="18"/>
          <w:vertAlign w:val="baseline"/>
        </w:rPr>
        <w:t> </w:t>
      </w:r>
      <w:r>
        <w:rPr>
          <w:sz w:val="18"/>
          <w:vertAlign w:val="baseline"/>
        </w:rPr>
        <w:t>Experiences</w:t>
      </w:r>
      <w:r>
        <w:rPr>
          <w:spacing w:val="-1"/>
          <w:sz w:val="18"/>
          <w:vertAlign w:val="baseline"/>
        </w:rPr>
        <w:t> </w:t>
      </w:r>
      <w:r>
        <w:rPr>
          <w:sz w:val="18"/>
          <w:vertAlign w:val="baseline"/>
        </w:rPr>
        <w:t>of LGBTQ+ Youth in Our</w:t>
      </w:r>
      <w:r>
        <w:rPr>
          <w:spacing w:val="-1"/>
          <w:sz w:val="18"/>
          <w:vertAlign w:val="baseline"/>
        </w:rPr>
        <w:t> </w:t>
      </w:r>
      <w:r>
        <w:rPr>
          <w:sz w:val="18"/>
          <w:vertAlign w:val="baseline"/>
        </w:rPr>
        <w:t>Nation’s Schools” (New</w:t>
      </w:r>
      <w:r>
        <w:rPr>
          <w:spacing w:val="-1"/>
          <w:sz w:val="18"/>
          <w:vertAlign w:val="baseline"/>
        </w:rPr>
        <w:t> </w:t>
      </w:r>
      <w:r>
        <w:rPr>
          <w:sz w:val="18"/>
          <w:vertAlign w:val="baseline"/>
        </w:rPr>
        <w:t>York,</w:t>
      </w:r>
      <w:r>
        <w:rPr>
          <w:spacing w:val="-1"/>
          <w:sz w:val="18"/>
          <w:vertAlign w:val="baseline"/>
        </w:rPr>
        <w:t> </w:t>
      </w:r>
      <w:r>
        <w:rPr>
          <w:sz w:val="18"/>
          <w:vertAlign w:val="baseline"/>
        </w:rPr>
        <w:t>NY: GLSEN,</w:t>
      </w:r>
      <w:r>
        <w:rPr>
          <w:spacing w:val="-1"/>
          <w:sz w:val="18"/>
          <w:vertAlign w:val="baseline"/>
        </w:rPr>
        <w:t> </w:t>
      </w:r>
      <w:r>
        <w:rPr>
          <w:sz w:val="18"/>
          <w:vertAlign w:val="baseline"/>
        </w:rPr>
        <w:t>2022),</w:t>
      </w:r>
      <w:r>
        <w:rPr>
          <w:spacing w:val="-1"/>
          <w:sz w:val="18"/>
          <w:vertAlign w:val="baseline"/>
        </w:rPr>
        <w:t> </w:t>
      </w:r>
      <w:r>
        <w:rPr>
          <w:sz w:val="18"/>
          <w:vertAlign w:val="baseline"/>
        </w:rPr>
        <w:t>https://</w:t>
      </w:r>
      <w:hyperlink r:id="rId156">
        <w:r>
          <w:rPr>
            <w:sz w:val="18"/>
            <w:vertAlign w:val="baseline"/>
          </w:rPr>
          <w:t>www.glsen.org/sites/default/files/2022-</w:t>
        </w:r>
      </w:hyperlink>
      <w:r>
        <w:rPr>
          <w:sz w:val="18"/>
          <w:vertAlign w:val="baseline"/>
        </w:rPr>
        <w:t> </w:t>
      </w:r>
      <w:r>
        <w:rPr>
          <w:spacing w:val="-2"/>
          <w:sz w:val="18"/>
          <w:vertAlign w:val="baseline"/>
        </w:rPr>
        <w:t>10/NSCS-2021-Full-Report.pdf.</w:t>
      </w:r>
    </w:p>
    <w:p>
      <w:pPr>
        <w:spacing w:line="216" w:lineRule="exact" w:before="0"/>
        <w:ind w:left="463" w:right="0" w:firstLine="0"/>
        <w:jc w:val="both"/>
        <w:rPr>
          <w:sz w:val="18"/>
        </w:rPr>
      </w:pPr>
      <w:r>
        <w:rPr>
          <w:sz w:val="18"/>
          <w:vertAlign w:val="superscript"/>
        </w:rPr>
        <w:t>71</w:t>
      </w:r>
      <w:r>
        <w:rPr>
          <w:spacing w:val="-12"/>
          <w:sz w:val="18"/>
          <w:vertAlign w:val="baseline"/>
        </w:rPr>
        <w:t> </w:t>
      </w:r>
      <w:r>
        <w:rPr>
          <w:sz w:val="18"/>
          <w:vertAlign w:val="baseline"/>
        </w:rPr>
        <w:t>Kosciw, Clark, and</w:t>
      </w:r>
      <w:r>
        <w:rPr>
          <w:spacing w:val="1"/>
          <w:sz w:val="18"/>
          <w:vertAlign w:val="baseline"/>
        </w:rPr>
        <w:t> </w:t>
      </w:r>
      <w:r>
        <w:rPr>
          <w:spacing w:val="-2"/>
          <w:sz w:val="18"/>
          <w:vertAlign w:val="baseline"/>
        </w:rPr>
        <w:t>Menard.</w:t>
      </w:r>
    </w:p>
    <w:p>
      <w:pPr>
        <w:spacing w:line="271" w:lineRule="auto" w:before="20"/>
        <w:ind w:left="463" w:right="448" w:hanging="1"/>
        <w:jc w:val="both"/>
        <w:rPr>
          <w:sz w:val="18"/>
        </w:rPr>
      </w:pPr>
      <w:r>
        <w:rPr>
          <w:sz w:val="18"/>
          <w:vertAlign w:val="superscript"/>
        </w:rPr>
        <w:t>72</w:t>
      </w:r>
      <w:r>
        <w:rPr>
          <w:spacing w:val="-11"/>
          <w:sz w:val="18"/>
          <w:vertAlign w:val="baseline"/>
        </w:rPr>
        <w:t> </w:t>
      </w:r>
      <w:r>
        <w:rPr>
          <w:sz w:val="18"/>
          <w:vertAlign w:val="baseline"/>
        </w:rPr>
        <w:t>“2015</w:t>
      </w:r>
      <w:r>
        <w:rPr>
          <w:spacing w:val="-4"/>
          <w:sz w:val="18"/>
          <w:vertAlign w:val="baseline"/>
        </w:rPr>
        <w:t> </w:t>
      </w:r>
      <w:r>
        <w:rPr>
          <w:sz w:val="18"/>
          <w:vertAlign w:val="baseline"/>
        </w:rPr>
        <w:t>U.S.</w:t>
      </w:r>
      <w:r>
        <w:rPr>
          <w:spacing w:val="-2"/>
          <w:sz w:val="18"/>
          <w:vertAlign w:val="baseline"/>
        </w:rPr>
        <w:t> </w:t>
      </w:r>
      <w:r>
        <w:rPr>
          <w:sz w:val="18"/>
          <w:vertAlign w:val="baseline"/>
        </w:rPr>
        <w:t>Transgender</w:t>
      </w:r>
      <w:r>
        <w:rPr>
          <w:spacing w:val="-3"/>
          <w:sz w:val="18"/>
          <w:vertAlign w:val="baseline"/>
        </w:rPr>
        <w:t> </w:t>
      </w:r>
      <w:r>
        <w:rPr>
          <w:sz w:val="18"/>
          <w:vertAlign w:val="baseline"/>
        </w:rPr>
        <w:t>Survey:</w:t>
      </w:r>
      <w:r>
        <w:rPr>
          <w:spacing w:val="-2"/>
          <w:sz w:val="18"/>
          <w:vertAlign w:val="baseline"/>
        </w:rPr>
        <w:t> </w:t>
      </w:r>
      <w:r>
        <w:rPr>
          <w:sz w:val="18"/>
          <w:vertAlign w:val="baseline"/>
        </w:rPr>
        <w:t>Massachusetts</w:t>
      </w:r>
      <w:r>
        <w:rPr>
          <w:spacing w:val="-3"/>
          <w:sz w:val="18"/>
          <w:vertAlign w:val="baseline"/>
        </w:rPr>
        <w:t> </w:t>
      </w:r>
      <w:r>
        <w:rPr>
          <w:sz w:val="18"/>
          <w:vertAlign w:val="baseline"/>
        </w:rPr>
        <w:t>State</w:t>
      </w:r>
      <w:r>
        <w:rPr>
          <w:spacing w:val="-2"/>
          <w:sz w:val="18"/>
          <w:vertAlign w:val="baseline"/>
        </w:rPr>
        <w:t> </w:t>
      </w:r>
      <w:r>
        <w:rPr>
          <w:sz w:val="18"/>
          <w:vertAlign w:val="baseline"/>
        </w:rPr>
        <w:t>Report”</w:t>
      </w:r>
      <w:r>
        <w:rPr>
          <w:spacing w:val="-2"/>
          <w:sz w:val="18"/>
          <w:vertAlign w:val="baseline"/>
        </w:rPr>
        <w:t> </w:t>
      </w:r>
      <w:r>
        <w:rPr>
          <w:sz w:val="18"/>
          <w:vertAlign w:val="baseline"/>
        </w:rPr>
        <w:t>(Washington,</w:t>
      </w:r>
      <w:r>
        <w:rPr>
          <w:spacing w:val="-3"/>
          <w:sz w:val="18"/>
          <w:vertAlign w:val="baseline"/>
        </w:rPr>
        <w:t> </w:t>
      </w:r>
      <w:r>
        <w:rPr>
          <w:sz w:val="18"/>
          <w:vertAlign w:val="baseline"/>
        </w:rPr>
        <w:t>D.C.:</w:t>
      </w:r>
      <w:r>
        <w:rPr>
          <w:spacing w:val="-2"/>
          <w:sz w:val="18"/>
          <w:vertAlign w:val="baseline"/>
        </w:rPr>
        <w:t> </w:t>
      </w:r>
      <w:r>
        <w:rPr>
          <w:sz w:val="18"/>
          <w:vertAlign w:val="baseline"/>
        </w:rPr>
        <w:t>National</w:t>
      </w:r>
      <w:r>
        <w:rPr>
          <w:spacing w:val="-3"/>
          <w:sz w:val="18"/>
          <w:vertAlign w:val="baseline"/>
        </w:rPr>
        <w:t> </w:t>
      </w:r>
      <w:r>
        <w:rPr>
          <w:sz w:val="18"/>
          <w:vertAlign w:val="baseline"/>
        </w:rPr>
        <w:t>Center</w:t>
      </w:r>
      <w:r>
        <w:rPr>
          <w:spacing w:val="-3"/>
          <w:sz w:val="18"/>
          <w:vertAlign w:val="baseline"/>
        </w:rPr>
        <w:t> </w:t>
      </w:r>
      <w:r>
        <w:rPr>
          <w:sz w:val="18"/>
          <w:vertAlign w:val="baseline"/>
        </w:rPr>
        <w:t>for</w:t>
      </w:r>
      <w:r>
        <w:rPr>
          <w:spacing w:val="-3"/>
          <w:sz w:val="18"/>
          <w:vertAlign w:val="baseline"/>
        </w:rPr>
        <w:t> </w:t>
      </w:r>
      <w:r>
        <w:rPr>
          <w:sz w:val="18"/>
          <w:vertAlign w:val="baseline"/>
        </w:rPr>
        <w:t>Transgender</w:t>
      </w:r>
      <w:r>
        <w:rPr>
          <w:spacing w:val="-3"/>
          <w:sz w:val="18"/>
          <w:vertAlign w:val="baseline"/>
        </w:rPr>
        <w:t> </w:t>
      </w:r>
      <w:r>
        <w:rPr>
          <w:sz w:val="18"/>
          <w:vertAlign w:val="baseline"/>
        </w:rPr>
        <w:t>Equality, </w:t>
      </w:r>
      <w:r>
        <w:rPr>
          <w:spacing w:val="-2"/>
          <w:sz w:val="18"/>
          <w:vertAlign w:val="baseline"/>
        </w:rPr>
        <w:t>2017).</w:t>
      </w:r>
    </w:p>
    <w:p>
      <w:pPr>
        <w:spacing w:line="215" w:lineRule="exact" w:before="0"/>
        <w:ind w:left="463" w:right="0" w:firstLine="0"/>
        <w:jc w:val="both"/>
        <w:rPr>
          <w:sz w:val="18"/>
        </w:rPr>
      </w:pPr>
      <w:r>
        <w:rPr>
          <w:sz w:val="18"/>
          <w:vertAlign w:val="superscript"/>
        </w:rPr>
        <w:t>73</w:t>
      </w:r>
      <w:r>
        <w:rPr>
          <w:spacing w:val="-12"/>
          <w:sz w:val="18"/>
          <w:vertAlign w:val="baseline"/>
        </w:rPr>
        <w:t> </w:t>
      </w:r>
      <w:r>
        <w:rPr>
          <w:sz w:val="18"/>
          <w:vertAlign w:val="baseline"/>
        </w:rPr>
        <w:t>“2015</w:t>
      </w:r>
      <w:r>
        <w:rPr>
          <w:spacing w:val="-3"/>
          <w:sz w:val="18"/>
          <w:vertAlign w:val="baseline"/>
        </w:rPr>
        <w:t> </w:t>
      </w:r>
      <w:r>
        <w:rPr>
          <w:sz w:val="18"/>
          <w:vertAlign w:val="baseline"/>
        </w:rPr>
        <w:t>U.S.</w:t>
      </w:r>
      <w:r>
        <w:rPr>
          <w:spacing w:val="-1"/>
          <w:sz w:val="18"/>
          <w:vertAlign w:val="baseline"/>
        </w:rPr>
        <w:t> </w:t>
      </w:r>
      <w:r>
        <w:rPr>
          <w:sz w:val="18"/>
          <w:vertAlign w:val="baseline"/>
        </w:rPr>
        <w:t>Transgender</w:t>
      </w:r>
      <w:r>
        <w:rPr>
          <w:spacing w:val="-2"/>
          <w:sz w:val="18"/>
          <w:vertAlign w:val="baseline"/>
        </w:rPr>
        <w:t> </w:t>
      </w:r>
      <w:r>
        <w:rPr>
          <w:sz w:val="18"/>
          <w:vertAlign w:val="baseline"/>
        </w:rPr>
        <w:t>Survey:</w:t>
      </w:r>
      <w:r>
        <w:rPr>
          <w:spacing w:val="-1"/>
          <w:sz w:val="18"/>
          <w:vertAlign w:val="baseline"/>
        </w:rPr>
        <w:t> </w:t>
      </w:r>
      <w:r>
        <w:rPr>
          <w:sz w:val="18"/>
          <w:vertAlign w:val="baseline"/>
        </w:rPr>
        <w:t>Massachusetts</w:t>
      </w:r>
      <w:r>
        <w:rPr>
          <w:spacing w:val="-3"/>
          <w:sz w:val="18"/>
          <w:vertAlign w:val="baseline"/>
        </w:rPr>
        <w:t> </w:t>
      </w:r>
      <w:r>
        <w:rPr>
          <w:sz w:val="18"/>
          <w:vertAlign w:val="baseline"/>
        </w:rPr>
        <w:t>State</w:t>
      </w:r>
      <w:r>
        <w:rPr>
          <w:spacing w:val="-1"/>
          <w:sz w:val="18"/>
          <w:vertAlign w:val="baseline"/>
        </w:rPr>
        <w:t> </w:t>
      </w:r>
      <w:r>
        <w:rPr>
          <w:spacing w:val="-2"/>
          <w:sz w:val="18"/>
          <w:vertAlign w:val="baseline"/>
        </w:rPr>
        <w:t>Report.”</w:t>
      </w:r>
    </w:p>
    <w:p>
      <w:pPr>
        <w:spacing w:after="0" w:line="215" w:lineRule="exact"/>
        <w:jc w:val="both"/>
        <w:rPr>
          <w:sz w:val="18"/>
        </w:rPr>
        <w:sectPr>
          <w:pgSz w:w="11910" w:h="16840"/>
          <w:pgMar w:header="804" w:footer="1277" w:top="1080" w:bottom="1480" w:left="980" w:right="900"/>
        </w:sectPr>
      </w:pPr>
    </w:p>
    <w:p>
      <w:pPr>
        <w:spacing w:line="271" w:lineRule="auto" w:before="88"/>
        <w:ind w:left="463" w:right="311" w:hanging="1"/>
        <w:jc w:val="left"/>
        <w:rPr>
          <w:sz w:val="18"/>
        </w:rPr>
      </w:pPr>
      <w:r>
        <w:rPr>
          <w:sz w:val="18"/>
          <w:vertAlign w:val="superscript"/>
        </w:rPr>
        <w:t>74</w:t>
      </w:r>
      <w:r>
        <w:rPr>
          <w:spacing w:val="-12"/>
          <w:sz w:val="18"/>
          <w:vertAlign w:val="baseline"/>
        </w:rPr>
        <w:t> </w:t>
      </w:r>
      <w:r>
        <w:rPr>
          <w:sz w:val="18"/>
          <w:vertAlign w:val="baseline"/>
        </w:rPr>
        <w:t>Kosciw,</w:t>
      </w:r>
      <w:r>
        <w:rPr>
          <w:spacing w:val="-3"/>
          <w:sz w:val="18"/>
          <w:vertAlign w:val="baseline"/>
        </w:rPr>
        <w:t> </w:t>
      </w:r>
      <w:r>
        <w:rPr>
          <w:sz w:val="18"/>
          <w:vertAlign w:val="baseline"/>
        </w:rPr>
        <w:t>Clark,</w:t>
      </w:r>
      <w:r>
        <w:rPr>
          <w:spacing w:val="-3"/>
          <w:sz w:val="18"/>
          <w:vertAlign w:val="baseline"/>
        </w:rPr>
        <w:t> </w:t>
      </w:r>
      <w:r>
        <w:rPr>
          <w:sz w:val="18"/>
          <w:vertAlign w:val="baseline"/>
        </w:rPr>
        <w:t>and</w:t>
      </w:r>
      <w:r>
        <w:rPr>
          <w:spacing w:val="-2"/>
          <w:sz w:val="18"/>
          <w:vertAlign w:val="baseline"/>
        </w:rPr>
        <w:t> </w:t>
      </w:r>
      <w:r>
        <w:rPr>
          <w:sz w:val="18"/>
          <w:vertAlign w:val="baseline"/>
        </w:rPr>
        <w:t>Menard,</w:t>
      </w:r>
      <w:r>
        <w:rPr>
          <w:spacing w:val="-3"/>
          <w:sz w:val="18"/>
          <w:vertAlign w:val="baseline"/>
        </w:rPr>
        <w:t> </w:t>
      </w:r>
      <w:r>
        <w:rPr>
          <w:sz w:val="18"/>
          <w:vertAlign w:val="baseline"/>
        </w:rPr>
        <w:t>“The</w:t>
      </w:r>
      <w:r>
        <w:rPr>
          <w:spacing w:val="-2"/>
          <w:sz w:val="18"/>
          <w:vertAlign w:val="baseline"/>
        </w:rPr>
        <w:t> </w:t>
      </w:r>
      <w:r>
        <w:rPr>
          <w:sz w:val="18"/>
          <w:vertAlign w:val="baseline"/>
        </w:rPr>
        <w:t>2021</w:t>
      </w:r>
      <w:r>
        <w:rPr>
          <w:spacing w:val="-2"/>
          <w:sz w:val="18"/>
          <w:vertAlign w:val="baseline"/>
        </w:rPr>
        <w:t> </w:t>
      </w:r>
      <w:r>
        <w:rPr>
          <w:sz w:val="18"/>
          <w:vertAlign w:val="baseline"/>
        </w:rPr>
        <w:t>National</w:t>
      </w:r>
      <w:r>
        <w:rPr>
          <w:spacing w:val="-3"/>
          <w:sz w:val="18"/>
          <w:vertAlign w:val="baseline"/>
        </w:rPr>
        <w:t> </w:t>
      </w:r>
      <w:r>
        <w:rPr>
          <w:sz w:val="18"/>
          <w:vertAlign w:val="baseline"/>
        </w:rPr>
        <w:t>School</w:t>
      </w:r>
      <w:r>
        <w:rPr>
          <w:spacing w:val="-3"/>
          <w:sz w:val="18"/>
          <w:vertAlign w:val="baseline"/>
        </w:rPr>
        <w:t> </w:t>
      </w:r>
      <w:r>
        <w:rPr>
          <w:sz w:val="18"/>
          <w:vertAlign w:val="baseline"/>
        </w:rPr>
        <w:t>Climate</w:t>
      </w:r>
      <w:r>
        <w:rPr>
          <w:spacing w:val="-2"/>
          <w:sz w:val="18"/>
          <w:vertAlign w:val="baseline"/>
        </w:rPr>
        <w:t> </w:t>
      </w:r>
      <w:r>
        <w:rPr>
          <w:sz w:val="18"/>
          <w:vertAlign w:val="baseline"/>
        </w:rPr>
        <w:t>Survey:</w:t>
      </w:r>
      <w:r>
        <w:rPr>
          <w:spacing w:val="-2"/>
          <w:sz w:val="18"/>
          <w:vertAlign w:val="baseline"/>
        </w:rPr>
        <w:t> </w:t>
      </w:r>
      <w:r>
        <w:rPr>
          <w:sz w:val="18"/>
          <w:vertAlign w:val="baseline"/>
        </w:rPr>
        <w:t>The</w:t>
      </w:r>
      <w:r>
        <w:rPr>
          <w:spacing w:val="-2"/>
          <w:sz w:val="18"/>
          <w:vertAlign w:val="baseline"/>
        </w:rPr>
        <w:t> </w:t>
      </w:r>
      <w:r>
        <w:rPr>
          <w:sz w:val="18"/>
          <w:vertAlign w:val="baseline"/>
        </w:rPr>
        <w:t>Experiences</w:t>
      </w:r>
      <w:r>
        <w:rPr>
          <w:spacing w:val="-2"/>
          <w:sz w:val="18"/>
          <w:vertAlign w:val="baseline"/>
        </w:rPr>
        <w:t> </w:t>
      </w:r>
      <w:r>
        <w:rPr>
          <w:sz w:val="18"/>
          <w:vertAlign w:val="baseline"/>
        </w:rPr>
        <w:t>of</w:t>
      </w:r>
      <w:r>
        <w:rPr>
          <w:spacing w:val="-2"/>
          <w:sz w:val="18"/>
          <w:vertAlign w:val="baseline"/>
        </w:rPr>
        <w:t> </w:t>
      </w:r>
      <w:r>
        <w:rPr>
          <w:sz w:val="18"/>
          <w:vertAlign w:val="baseline"/>
        </w:rPr>
        <w:t>LGBTQ+</w:t>
      </w:r>
      <w:r>
        <w:rPr>
          <w:spacing w:val="-2"/>
          <w:sz w:val="18"/>
          <w:vertAlign w:val="baseline"/>
        </w:rPr>
        <w:t> </w:t>
      </w:r>
      <w:r>
        <w:rPr>
          <w:sz w:val="18"/>
          <w:vertAlign w:val="baseline"/>
        </w:rPr>
        <w:t>Youth</w:t>
      </w:r>
      <w:r>
        <w:rPr>
          <w:spacing w:val="-2"/>
          <w:sz w:val="18"/>
          <w:vertAlign w:val="baseline"/>
        </w:rPr>
        <w:t> </w:t>
      </w:r>
      <w:r>
        <w:rPr>
          <w:sz w:val="18"/>
          <w:vertAlign w:val="baseline"/>
        </w:rPr>
        <w:t>in</w:t>
      </w:r>
      <w:r>
        <w:rPr>
          <w:spacing w:val="-2"/>
          <w:sz w:val="18"/>
          <w:vertAlign w:val="baseline"/>
        </w:rPr>
        <w:t> </w:t>
      </w:r>
      <w:r>
        <w:rPr>
          <w:sz w:val="18"/>
          <w:vertAlign w:val="baseline"/>
        </w:rPr>
        <w:t>Our</w:t>
      </w:r>
      <w:r>
        <w:rPr>
          <w:spacing w:val="-3"/>
          <w:sz w:val="18"/>
          <w:vertAlign w:val="baseline"/>
        </w:rPr>
        <w:t> </w:t>
      </w:r>
      <w:r>
        <w:rPr>
          <w:sz w:val="18"/>
          <w:vertAlign w:val="baseline"/>
        </w:rPr>
        <w:t>Nation’s </w:t>
      </w:r>
      <w:r>
        <w:rPr>
          <w:spacing w:val="-2"/>
          <w:sz w:val="18"/>
          <w:vertAlign w:val="baseline"/>
        </w:rPr>
        <w:t>Schools.”</w:t>
      </w:r>
    </w:p>
    <w:p>
      <w:pPr>
        <w:spacing w:line="216" w:lineRule="exact" w:before="0"/>
        <w:ind w:left="463" w:right="0" w:firstLine="0"/>
        <w:jc w:val="left"/>
        <w:rPr>
          <w:sz w:val="18"/>
        </w:rPr>
      </w:pPr>
      <w:r>
        <w:rPr>
          <w:sz w:val="18"/>
          <w:vertAlign w:val="superscript"/>
        </w:rPr>
        <w:t>75</w:t>
      </w:r>
      <w:r>
        <w:rPr>
          <w:spacing w:val="-12"/>
          <w:sz w:val="18"/>
          <w:vertAlign w:val="baseline"/>
        </w:rPr>
        <w:t> </w:t>
      </w:r>
      <w:r>
        <w:rPr>
          <w:sz w:val="18"/>
          <w:vertAlign w:val="baseline"/>
        </w:rPr>
        <w:t>Kosciw, Clark, and</w:t>
      </w:r>
      <w:r>
        <w:rPr>
          <w:spacing w:val="1"/>
          <w:sz w:val="18"/>
          <w:vertAlign w:val="baseline"/>
        </w:rPr>
        <w:t> </w:t>
      </w:r>
      <w:r>
        <w:rPr>
          <w:spacing w:val="-2"/>
          <w:sz w:val="18"/>
          <w:vertAlign w:val="baseline"/>
        </w:rPr>
        <w:t>Menard.</w:t>
      </w:r>
    </w:p>
    <w:p>
      <w:pPr>
        <w:spacing w:before="2"/>
        <w:ind w:left="463" w:right="0" w:firstLine="0"/>
        <w:jc w:val="left"/>
        <w:rPr>
          <w:sz w:val="18"/>
        </w:rPr>
      </w:pPr>
      <w:r>
        <w:rPr>
          <w:sz w:val="18"/>
          <w:vertAlign w:val="superscript"/>
        </w:rPr>
        <w:t>76</w:t>
      </w:r>
      <w:r>
        <w:rPr>
          <w:spacing w:val="-12"/>
          <w:sz w:val="18"/>
          <w:vertAlign w:val="baseline"/>
        </w:rPr>
        <w:t> </w:t>
      </w:r>
      <w:r>
        <w:rPr>
          <w:sz w:val="18"/>
          <w:vertAlign w:val="baseline"/>
        </w:rPr>
        <w:t>Kosciw, Clark, and</w:t>
      </w:r>
      <w:r>
        <w:rPr>
          <w:spacing w:val="1"/>
          <w:sz w:val="18"/>
          <w:vertAlign w:val="baseline"/>
        </w:rPr>
        <w:t> </w:t>
      </w:r>
      <w:r>
        <w:rPr>
          <w:spacing w:val="-2"/>
          <w:sz w:val="18"/>
          <w:vertAlign w:val="baseline"/>
        </w:rPr>
        <w:t>Menard.</w:t>
      </w:r>
    </w:p>
    <w:p>
      <w:pPr>
        <w:spacing w:line="273" w:lineRule="auto" w:before="21"/>
        <w:ind w:left="463" w:right="801" w:hanging="1"/>
        <w:jc w:val="left"/>
        <w:rPr>
          <w:sz w:val="18"/>
        </w:rPr>
      </w:pPr>
      <w:r>
        <w:rPr>
          <w:sz w:val="18"/>
          <w:vertAlign w:val="superscript"/>
        </w:rPr>
        <w:t>77</w:t>
      </w:r>
      <w:r>
        <w:rPr>
          <w:spacing w:val="-6"/>
          <w:sz w:val="18"/>
          <w:vertAlign w:val="baseline"/>
        </w:rPr>
        <w:t> </w:t>
      </w:r>
      <w:r>
        <w:rPr>
          <w:sz w:val="18"/>
          <w:vertAlign w:val="baseline"/>
        </w:rPr>
        <w:t>“2021 National Survey on LGBTQ Youth Mental Health” (West Hollywood, CA: The Trevor Project, 2021), </w:t>
      </w:r>
      <w:r>
        <w:rPr>
          <w:spacing w:val="-2"/>
          <w:sz w:val="18"/>
          <w:vertAlign w:val="baseline"/>
        </w:rPr>
        <w:t>https://</w:t>
      </w:r>
      <w:hyperlink r:id="rId157">
        <w:r>
          <w:rPr>
            <w:spacing w:val="-2"/>
            <w:sz w:val="18"/>
            <w:vertAlign w:val="baseline"/>
          </w:rPr>
          <w:t>www.thetrevorproject.org/wp-content/uploads/2021/05/The-Trevor-Project-National-Survey-Results-2021.pdf.</w:t>
        </w:r>
      </w:hyperlink>
    </w:p>
    <w:p>
      <w:pPr>
        <w:spacing w:line="268" w:lineRule="auto" w:before="9"/>
        <w:ind w:left="463" w:right="300" w:hanging="1"/>
        <w:jc w:val="left"/>
        <w:rPr>
          <w:sz w:val="18"/>
        </w:rPr>
      </w:pPr>
      <w:r>
        <w:rPr>
          <w:sz w:val="18"/>
          <w:vertAlign w:val="superscript"/>
        </w:rPr>
        <w:t>78</w:t>
      </w:r>
      <w:r>
        <w:rPr>
          <w:spacing w:val="-12"/>
          <w:sz w:val="18"/>
          <w:vertAlign w:val="baseline"/>
        </w:rPr>
        <w:t> </w:t>
      </w:r>
      <w:r>
        <w:rPr>
          <w:sz w:val="18"/>
          <w:vertAlign w:val="baseline"/>
        </w:rPr>
        <w:t>Matthew</w:t>
      </w:r>
      <w:r>
        <w:rPr>
          <w:spacing w:val="-3"/>
          <w:sz w:val="18"/>
          <w:vertAlign w:val="baseline"/>
        </w:rPr>
        <w:t> </w:t>
      </w:r>
      <w:r>
        <w:rPr>
          <w:sz w:val="18"/>
          <w:vertAlign w:val="baseline"/>
        </w:rPr>
        <w:t>N</w:t>
      </w:r>
      <w:r>
        <w:rPr>
          <w:spacing w:val="-1"/>
          <w:sz w:val="18"/>
          <w:vertAlign w:val="baseline"/>
        </w:rPr>
        <w:t> </w:t>
      </w:r>
      <w:r>
        <w:rPr>
          <w:sz w:val="18"/>
          <w:vertAlign w:val="baseline"/>
        </w:rPr>
        <w:t>Berger</w:t>
      </w:r>
      <w:r>
        <w:rPr>
          <w:spacing w:val="-2"/>
          <w:sz w:val="18"/>
          <w:vertAlign w:val="baseline"/>
        </w:rPr>
        <w:t> </w:t>
      </w:r>
      <w:r>
        <w:rPr>
          <w:sz w:val="18"/>
          <w:vertAlign w:val="baseline"/>
        </w:rPr>
        <w:t>et</w:t>
      </w:r>
      <w:r>
        <w:rPr>
          <w:spacing w:val="-2"/>
          <w:sz w:val="18"/>
          <w:vertAlign w:val="baseline"/>
        </w:rPr>
        <w:t> </w:t>
      </w:r>
      <w:r>
        <w:rPr>
          <w:sz w:val="18"/>
          <w:vertAlign w:val="baseline"/>
        </w:rPr>
        <w:t>al.,</w:t>
      </w:r>
      <w:r>
        <w:rPr>
          <w:spacing w:val="-2"/>
          <w:sz w:val="18"/>
          <w:vertAlign w:val="baseline"/>
        </w:rPr>
        <w:t> </w:t>
      </w:r>
      <w:r>
        <w:rPr>
          <w:sz w:val="18"/>
          <w:vertAlign w:val="baseline"/>
        </w:rPr>
        <w:t>“Social</w:t>
      </w:r>
      <w:r>
        <w:rPr>
          <w:spacing w:val="-2"/>
          <w:sz w:val="18"/>
          <w:vertAlign w:val="baseline"/>
        </w:rPr>
        <w:t> </w:t>
      </w:r>
      <w:r>
        <w:rPr>
          <w:sz w:val="18"/>
          <w:vertAlign w:val="baseline"/>
        </w:rPr>
        <w:t>Media</w:t>
      </w:r>
      <w:r>
        <w:rPr>
          <w:spacing w:val="-1"/>
          <w:sz w:val="18"/>
          <w:vertAlign w:val="baseline"/>
        </w:rPr>
        <w:t> </w:t>
      </w:r>
      <w:r>
        <w:rPr>
          <w:sz w:val="18"/>
          <w:vertAlign w:val="baseline"/>
        </w:rPr>
        <w:t>Use</w:t>
      </w:r>
      <w:r>
        <w:rPr>
          <w:spacing w:val="-1"/>
          <w:sz w:val="18"/>
          <w:vertAlign w:val="baseline"/>
        </w:rPr>
        <w:t> </w:t>
      </w:r>
      <w:r>
        <w:rPr>
          <w:sz w:val="18"/>
          <w:vertAlign w:val="baseline"/>
        </w:rPr>
        <w:t>and</w:t>
      </w:r>
      <w:r>
        <w:rPr>
          <w:spacing w:val="-1"/>
          <w:sz w:val="18"/>
          <w:vertAlign w:val="baseline"/>
        </w:rPr>
        <w:t> </w:t>
      </w:r>
      <w:r>
        <w:rPr>
          <w:sz w:val="18"/>
          <w:vertAlign w:val="baseline"/>
        </w:rPr>
        <w:t>Health</w:t>
      </w:r>
      <w:r>
        <w:rPr>
          <w:spacing w:val="-1"/>
          <w:sz w:val="18"/>
          <w:vertAlign w:val="baseline"/>
        </w:rPr>
        <w:t> </w:t>
      </w:r>
      <w:r>
        <w:rPr>
          <w:sz w:val="18"/>
          <w:vertAlign w:val="baseline"/>
        </w:rPr>
        <w:t>and</w:t>
      </w:r>
      <w:r>
        <w:rPr>
          <w:spacing w:val="-1"/>
          <w:sz w:val="18"/>
          <w:vertAlign w:val="baseline"/>
        </w:rPr>
        <w:t> </w:t>
      </w:r>
      <w:r>
        <w:rPr>
          <w:sz w:val="18"/>
          <w:vertAlign w:val="baseline"/>
        </w:rPr>
        <w:t>Well-Being</w:t>
      </w:r>
      <w:r>
        <w:rPr>
          <w:spacing w:val="-1"/>
          <w:sz w:val="18"/>
          <w:vertAlign w:val="baseline"/>
        </w:rPr>
        <w:t> </w:t>
      </w:r>
      <w:r>
        <w:rPr>
          <w:sz w:val="18"/>
          <w:vertAlign w:val="baseline"/>
        </w:rPr>
        <w:t>of</w:t>
      </w:r>
      <w:r>
        <w:rPr>
          <w:spacing w:val="-1"/>
          <w:sz w:val="18"/>
          <w:vertAlign w:val="baseline"/>
        </w:rPr>
        <w:t> </w:t>
      </w:r>
      <w:r>
        <w:rPr>
          <w:sz w:val="18"/>
          <w:vertAlign w:val="baseline"/>
        </w:rPr>
        <w:t>Lesbian,</w:t>
      </w:r>
      <w:r>
        <w:rPr>
          <w:spacing w:val="-2"/>
          <w:sz w:val="18"/>
          <w:vertAlign w:val="baseline"/>
        </w:rPr>
        <w:t> </w:t>
      </w:r>
      <w:r>
        <w:rPr>
          <w:sz w:val="18"/>
          <w:vertAlign w:val="baseline"/>
        </w:rPr>
        <w:t>Gay,</w:t>
      </w:r>
      <w:r>
        <w:rPr>
          <w:spacing w:val="-2"/>
          <w:sz w:val="18"/>
          <w:vertAlign w:val="baseline"/>
        </w:rPr>
        <w:t> </w:t>
      </w:r>
      <w:r>
        <w:rPr>
          <w:sz w:val="18"/>
          <w:vertAlign w:val="baseline"/>
        </w:rPr>
        <w:t>Bisexual,</w:t>
      </w:r>
      <w:r>
        <w:rPr>
          <w:spacing w:val="-2"/>
          <w:sz w:val="18"/>
          <w:vertAlign w:val="baseline"/>
        </w:rPr>
        <w:t> </w:t>
      </w:r>
      <w:r>
        <w:rPr>
          <w:sz w:val="18"/>
          <w:vertAlign w:val="baseline"/>
        </w:rPr>
        <w:t>Transgender,</w:t>
      </w:r>
      <w:r>
        <w:rPr>
          <w:spacing w:val="-2"/>
          <w:sz w:val="18"/>
          <w:vertAlign w:val="baseline"/>
        </w:rPr>
        <w:t> </w:t>
      </w:r>
      <w:r>
        <w:rPr>
          <w:sz w:val="18"/>
          <w:vertAlign w:val="baseline"/>
        </w:rPr>
        <w:t>and</w:t>
      </w:r>
      <w:r>
        <w:rPr>
          <w:spacing w:val="-1"/>
          <w:sz w:val="18"/>
          <w:vertAlign w:val="baseline"/>
        </w:rPr>
        <w:t> </w:t>
      </w:r>
      <w:r>
        <w:rPr>
          <w:sz w:val="18"/>
          <w:vertAlign w:val="baseline"/>
        </w:rPr>
        <w:t>Queer Youth: Systematic Review,” </w:t>
      </w:r>
      <w:r>
        <w:rPr>
          <w:i/>
          <w:sz w:val="18"/>
          <w:vertAlign w:val="baseline"/>
        </w:rPr>
        <w:t>Journal of Medical Internet Research </w:t>
      </w:r>
      <w:r>
        <w:rPr>
          <w:sz w:val="18"/>
          <w:vertAlign w:val="baseline"/>
        </w:rPr>
        <w:t>24, no. 9 (September 21, 2022): e38449, </w:t>
      </w:r>
      <w:r>
        <w:rPr>
          <w:spacing w:val="-2"/>
          <w:sz w:val="18"/>
          <w:vertAlign w:val="baseline"/>
        </w:rPr>
        <w:t>https://doi.org/10.2196/38449.</w:t>
      </w:r>
    </w:p>
    <w:p>
      <w:pPr>
        <w:spacing w:line="217" w:lineRule="exact" w:before="0"/>
        <w:ind w:left="463" w:right="0" w:firstLine="0"/>
        <w:jc w:val="left"/>
        <w:rPr>
          <w:sz w:val="18"/>
        </w:rPr>
      </w:pPr>
      <w:r>
        <w:rPr>
          <w:sz w:val="18"/>
          <w:vertAlign w:val="superscript"/>
        </w:rPr>
        <w:t>79</w:t>
      </w:r>
      <w:r>
        <w:rPr>
          <w:spacing w:val="-10"/>
          <w:sz w:val="18"/>
          <w:vertAlign w:val="baseline"/>
        </w:rPr>
        <w:t> </w:t>
      </w:r>
      <w:r>
        <w:rPr>
          <w:sz w:val="18"/>
          <w:vertAlign w:val="baseline"/>
        </w:rPr>
        <w:t>Berger</w:t>
      </w:r>
      <w:r>
        <w:rPr>
          <w:spacing w:val="1"/>
          <w:sz w:val="18"/>
          <w:vertAlign w:val="baseline"/>
        </w:rPr>
        <w:t> </w:t>
      </w:r>
      <w:r>
        <w:rPr>
          <w:sz w:val="18"/>
          <w:vertAlign w:val="baseline"/>
        </w:rPr>
        <w:t>et</w:t>
      </w:r>
      <w:r>
        <w:rPr>
          <w:spacing w:val="2"/>
          <w:sz w:val="18"/>
          <w:vertAlign w:val="baseline"/>
        </w:rPr>
        <w:t> </w:t>
      </w:r>
      <w:r>
        <w:rPr>
          <w:spacing w:val="-5"/>
          <w:sz w:val="18"/>
          <w:vertAlign w:val="baseline"/>
        </w:rPr>
        <w:t>al.</w:t>
      </w:r>
    </w:p>
    <w:p>
      <w:pPr>
        <w:spacing w:before="2"/>
        <w:ind w:left="463" w:right="0" w:firstLine="0"/>
        <w:jc w:val="left"/>
        <w:rPr>
          <w:sz w:val="18"/>
        </w:rPr>
      </w:pPr>
      <w:r>
        <w:rPr>
          <w:sz w:val="18"/>
          <w:vertAlign w:val="superscript"/>
        </w:rPr>
        <w:t>80</w:t>
      </w:r>
      <w:r>
        <w:rPr>
          <w:spacing w:val="-10"/>
          <w:sz w:val="18"/>
          <w:vertAlign w:val="baseline"/>
        </w:rPr>
        <w:t> </w:t>
      </w:r>
      <w:r>
        <w:rPr>
          <w:sz w:val="18"/>
          <w:vertAlign w:val="baseline"/>
        </w:rPr>
        <w:t>Berger</w:t>
      </w:r>
      <w:r>
        <w:rPr>
          <w:spacing w:val="1"/>
          <w:sz w:val="18"/>
          <w:vertAlign w:val="baseline"/>
        </w:rPr>
        <w:t> </w:t>
      </w:r>
      <w:r>
        <w:rPr>
          <w:sz w:val="18"/>
          <w:vertAlign w:val="baseline"/>
        </w:rPr>
        <w:t>et</w:t>
      </w:r>
      <w:r>
        <w:rPr>
          <w:spacing w:val="2"/>
          <w:sz w:val="18"/>
          <w:vertAlign w:val="baseline"/>
        </w:rPr>
        <w:t> </w:t>
      </w:r>
      <w:r>
        <w:rPr>
          <w:spacing w:val="-5"/>
          <w:sz w:val="18"/>
          <w:vertAlign w:val="baseline"/>
        </w:rPr>
        <w:t>al.</w:t>
      </w:r>
    </w:p>
    <w:p>
      <w:pPr>
        <w:spacing w:line="268" w:lineRule="auto" w:before="20"/>
        <w:ind w:left="463" w:right="490" w:hanging="1"/>
        <w:jc w:val="left"/>
        <w:rPr>
          <w:sz w:val="18"/>
        </w:rPr>
      </w:pPr>
      <w:r>
        <w:rPr>
          <w:sz w:val="18"/>
          <w:vertAlign w:val="superscript"/>
        </w:rPr>
        <w:t>81</w:t>
      </w:r>
      <w:r>
        <w:rPr>
          <w:spacing w:val="-7"/>
          <w:sz w:val="18"/>
          <w:vertAlign w:val="baseline"/>
        </w:rPr>
        <w:t> </w:t>
      </w:r>
      <w:r>
        <w:rPr>
          <w:sz w:val="18"/>
          <w:vertAlign w:val="baseline"/>
        </w:rPr>
        <w:t>Elizabeth Bradley et al., “Step In, Speak Up! LGBTQ Youth Bullying Prevention,” in </w:t>
      </w:r>
      <w:r>
        <w:rPr>
          <w:i/>
          <w:sz w:val="18"/>
          <w:vertAlign w:val="baseline"/>
        </w:rPr>
        <w:t>Games and Simulations in Teacher</w:t>
      </w:r>
      <w:r>
        <w:rPr>
          <w:i/>
          <w:sz w:val="18"/>
          <w:vertAlign w:val="baseline"/>
        </w:rPr>
        <w:t> Education</w:t>
      </w:r>
      <w:r>
        <w:rPr>
          <w:sz w:val="18"/>
          <w:vertAlign w:val="baseline"/>
        </w:rPr>
        <w:t>,</w:t>
      </w:r>
      <w:r>
        <w:rPr>
          <w:spacing w:val="-4"/>
          <w:sz w:val="18"/>
          <w:vertAlign w:val="baseline"/>
        </w:rPr>
        <w:t> </w:t>
      </w:r>
      <w:r>
        <w:rPr>
          <w:sz w:val="18"/>
          <w:vertAlign w:val="baseline"/>
        </w:rPr>
        <w:t>ed.</w:t>
      </w:r>
      <w:r>
        <w:rPr>
          <w:spacing w:val="-3"/>
          <w:sz w:val="18"/>
          <w:vertAlign w:val="baseline"/>
        </w:rPr>
        <w:t> </w:t>
      </w:r>
      <w:r>
        <w:rPr>
          <w:sz w:val="18"/>
          <w:vertAlign w:val="baseline"/>
        </w:rPr>
        <w:t>Elizabeth</w:t>
      </w:r>
      <w:r>
        <w:rPr>
          <w:spacing w:val="-3"/>
          <w:sz w:val="18"/>
          <w:vertAlign w:val="baseline"/>
        </w:rPr>
        <w:t> </w:t>
      </w:r>
      <w:r>
        <w:rPr>
          <w:sz w:val="18"/>
          <w:vertAlign w:val="baseline"/>
        </w:rPr>
        <w:t>Bradley,</w:t>
      </w:r>
      <w:r>
        <w:rPr>
          <w:spacing w:val="-4"/>
          <w:sz w:val="18"/>
          <w:vertAlign w:val="baseline"/>
        </w:rPr>
        <w:t> </w:t>
      </w:r>
      <w:r>
        <w:rPr>
          <w:sz w:val="18"/>
          <w:vertAlign w:val="baseline"/>
        </w:rPr>
        <w:t>Advances</w:t>
      </w:r>
      <w:r>
        <w:rPr>
          <w:spacing w:val="-3"/>
          <w:sz w:val="18"/>
          <w:vertAlign w:val="baseline"/>
        </w:rPr>
        <w:t> </w:t>
      </w:r>
      <w:r>
        <w:rPr>
          <w:sz w:val="18"/>
          <w:vertAlign w:val="baseline"/>
        </w:rPr>
        <w:t>in</w:t>
      </w:r>
      <w:r>
        <w:rPr>
          <w:spacing w:val="-4"/>
          <w:sz w:val="18"/>
          <w:vertAlign w:val="baseline"/>
        </w:rPr>
        <w:t> </w:t>
      </w:r>
      <w:r>
        <w:rPr>
          <w:sz w:val="18"/>
          <w:vertAlign w:val="baseline"/>
        </w:rPr>
        <w:t>Game-Based</w:t>
      </w:r>
      <w:r>
        <w:rPr>
          <w:spacing w:val="-3"/>
          <w:sz w:val="18"/>
          <w:vertAlign w:val="baseline"/>
        </w:rPr>
        <w:t> </w:t>
      </w:r>
      <w:r>
        <w:rPr>
          <w:sz w:val="18"/>
          <w:vertAlign w:val="baseline"/>
        </w:rPr>
        <w:t>Learning</w:t>
      </w:r>
      <w:r>
        <w:rPr>
          <w:spacing w:val="-3"/>
          <w:sz w:val="18"/>
          <w:vertAlign w:val="baseline"/>
        </w:rPr>
        <w:t> </w:t>
      </w:r>
      <w:r>
        <w:rPr>
          <w:sz w:val="18"/>
          <w:vertAlign w:val="baseline"/>
        </w:rPr>
        <w:t>(Cham:</w:t>
      </w:r>
      <w:r>
        <w:rPr>
          <w:spacing w:val="-3"/>
          <w:sz w:val="18"/>
          <w:vertAlign w:val="baseline"/>
        </w:rPr>
        <w:t> </w:t>
      </w:r>
      <w:r>
        <w:rPr>
          <w:sz w:val="18"/>
          <w:vertAlign w:val="baseline"/>
        </w:rPr>
        <w:t>Springer</w:t>
      </w:r>
      <w:r>
        <w:rPr>
          <w:spacing w:val="-4"/>
          <w:sz w:val="18"/>
          <w:vertAlign w:val="baseline"/>
        </w:rPr>
        <w:t> </w:t>
      </w:r>
      <w:r>
        <w:rPr>
          <w:sz w:val="18"/>
          <w:vertAlign w:val="baseline"/>
        </w:rPr>
        <w:t>International</w:t>
      </w:r>
      <w:r>
        <w:rPr>
          <w:spacing w:val="-4"/>
          <w:sz w:val="18"/>
          <w:vertAlign w:val="baseline"/>
        </w:rPr>
        <w:t> </w:t>
      </w:r>
      <w:r>
        <w:rPr>
          <w:sz w:val="18"/>
          <w:vertAlign w:val="baseline"/>
        </w:rPr>
        <w:t>Publishing,</w:t>
      </w:r>
      <w:r>
        <w:rPr>
          <w:spacing w:val="-4"/>
          <w:sz w:val="18"/>
          <w:vertAlign w:val="baseline"/>
        </w:rPr>
        <w:t> </w:t>
      </w:r>
      <w:r>
        <w:rPr>
          <w:sz w:val="18"/>
          <w:vertAlign w:val="baseline"/>
        </w:rPr>
        <w:t>2020),</w:t>
      </w:r>
      <w:r>
        <w:rPr>
          <w:spacing w:val="-4"/>
          <w:sz w:val="18"/>
          <w:vertAlign w:val="baseline"/>
        </w:rPr>
        <w:t> </w:t>
      </w:r>
      <w:r>
        <w:rPr>
          <w:sz w:val="18"/>
          <w:vertAlign w:val="baseline"/>
        </w:rPr>
        <w:t>35–</w:t>
      </w:r>
      <w:r>
        <w:rPr>
          <w:spacing w:val="-3"/>
          <w:sz w:val="18"/>
          <w:vertAlign w:val="baseline"/>
        </w:rPr>
        <w:t> </w:t>
      </w:r>
      <w:r>
        <w:rPr>
          <w:sz w:val="18"/>
          <w:vertAlign w:val="baseline"/>
        </w:rPr>
        <w:t>54, </w:t>
      </w:r>
      <w:r>
        <w:rPr>
          <w:spacing w:val="-2"/>
          <w:sz w:val="18"/>
          <w:vertAlign w:val="baseline"/>
        </w:rPr>
        <w:t>https://doi.org/10.1007/978-3-030-44526-3_4.</w:t>
      </w:r>
    </w:p>
    <w:p>
      <w:pPr>
        <w:spacing w:line="273" w:lineRule="auto" w:before="14"/>
        <w:ind w:left="463" w:right="311" w:hanging="1"/>
        <w:jc w:val="left"/>
        <w:rPr>
          <w:sz w:val="18"/>
        </w:rPr>
      </w:pPr>
      <w:r>
        <w:rPr>
          <w:sz w:val="18"/>
          <w:vertAlign w:val="superscript"/>
        </w:rPr>
        <w:t>82</w:t>
      </w:r>
      <w:r>
        <w:rPr>
          <w:spacing w:val="-12"/>
          <w:sz w:val="18"/>
          <w:vertAlign w:val="baseline"/>
        </w:rPr>
        <w:t> </w:t>
      </w:r>
      <w:r>
        <w:rPr>
          <w:sz w:val="18"/>
          <w:vertAlign w:val="baseline"/>
        </w:rPr>
        <w:t>Kosciw,</w:t>
      </w:r>
      <w:r>
        <w:rPr>
          <w:spacing w:val="-3"/>
          <w:sz w:val="18"/>
          <w:vertAlign w:val="baseline"/>
        </w:rPr>
        <w:t> </w:t>
      </w:r>
      <w:r>
        <w:rPr>
          <w:sz w:val="18"/>
          <w:vertAlign w:val="baseline"/>
        </w:rPr>
        <w:t>Clark,</w:t>
      </w:r>
      <w:r>
        <w:rPr>
          <w:spacing w:val="-3"/>
          <w:sz w:val="18"/>
          <w:vertAlign w:val="baseline"/>
        </w:rPr>
        <w:t> </w:t>
      </w:r>
      <w:r>
        <w:rPr>
          <w:sz w:val="18"/>
          <w:vertAlign w:val="baseline"/>
        </w:rPr>
        <w:t>and</w:t>
      </w:r>
      <w:r>
        <w:rPr>
          <w:spacing w:val="-2"/>
          <w:sz w:val="18"/>
          <w:vertAlign w:val="baseline"/>
        </w:rPr>
        <w:t> </w:t>
      </w:r>
      <w:r>
        <w:rPr>
          <w:sz w:val="18"/>
          <w:vertAlign w:val="baseline"/>
        </w:rPr>
        <w:t>Menard,</w:t>
      </w:r>
      <w:r>
        <w:rPr>
          <w:spacing w:val="-3"/>
          <w:sz w:val="18"/>
          <w:vertAlign w:val="baseline"/>
        </w:rPr>
        <w:t> </w:t>
      </w:r>
      <w:r>
        <w:rPr>
          <w:sz w:val="18"/>
          <w:vertAlign w:val="baseline"/>
        </w:rPr>
        <w:t>“The</w:t>
      </w:r>
      <w:r>
        <w:rPr>
          <w:spacing w:val="-2"/>
          <w:sz w:val="18"/>
          <w:vertAlign w:val="baseline"/>
        </w:rPr>
        <w:t> </w:t>
      </w:r>
      <w:r>
        <w:rPr>
          <w:sz w:val="18"/>
          <w:vertAlign w:val="baseline"/>
        </w:rPr>
        <w:t>2021</w:t>
      </w:r>
      <w:r>
        <w:rPr>
          <w:spacing w:val="-2"/>
          <w:sz w:val="18"/>
          <w:vertAlign w:val="baseline"/>
        </w:rPr>
        <w:t> </w:t>
      </w:r>
      <w:r>
        <w:rPr>
          <w:sz w:val="18"/>
          <w:vertAlign w:val="baseline"/>
        </w:rPr>
        <w:t>National</w:t>
      </w:r>
      <w:r>
        <w:rPr>
          <w:spacing w:val="-3"/>
          <w:sz w:val="18"/>
          <w:vertAlign w:val="baseline"/>
        </w:rPr>
        <w:t> </w:t>
      </w:r>
      <w:r>
        <w:rPr>
          <w:sz w:val="18"/>
          <w:vertAlign w:val="baseline"/>
        </w:rPr>
        <w:t>School</w:t>
      </w:r>
      <w:r>
        <w:rPr>
          <w:spacing w:val="-3"/>
          <w:sz w:val="18"/>
          <w:vertAlign w:val="baseline"/>
        </w:rPr>
        <w:t> </w:t>
      </w:r>
      <w:r>
        <w:rPr>
          <w:sz w:val="18"/>
          <w:vertAlign w:val="baseline"/>
        </w:rPr>
        <w:t>Climate</w:t>
      </w:r>
      <w:r>
        <w:rPr>
          <w:spacing w:val="-2"/>
          <w:sz w:val="18"/>
          <w:vertAlign w:val="baseline"/>
        </w:rPr>
        <w:t> </w:t>
      </w:r>
      <w:r>
        <w:rPr>
          <w:sz w:val="18"/>
          <w:vertAlign w:val="baseline"/>
        </w:rPr>
        <w:t>Survey:</w:t>
      </w:r>
      <w:r>
        <w:rPr>
          <w:spacing w:val="-2"/>
          <w:sz w:val="18"/>
          <w:vertAlign w:val="baseline"/>
        </w:rPr>
        <w:t> </w:t>
      </w:r>
      <w:r>
        <w:rPr>
          <w:sz w:val="18"/>
          <w:vertAlign w:val="baseline"/>
        </w:rPr>
        <w:t>The</w:t>
      </w:r>
      <w:r>
        <w:rPr>
          <w:spacing w:val="-2"/>
          <w:sz w:val="18"/>
          <w:vertAlign w:val="baseline"/>
        </w:rPr>
        <w:t> </w:t>
      </w:r>
      <w:r>
        <w:rPr>
          <w:sz w:val="18"/>
          <w:vertAlign w:val="baseline"/>
        </w:rPr>
        <w:t>Experiences</w:t>
      </w:r>
      <w:r>
        <w:rPr>
          <w:spacing w:val="-2"/>
          <w:sz w:val="18"/>
          <w:vertAlign w:val="baseline"/>
        </w:rPr>
        <w:t> </w:t>
      </w:r>
      <w:r>
        <w:rPr>
          <w:sz w:val="18"/>
          <w:vertAlign w:val="baseline"/>
        </w:rPr>
        <w:t>of</w:t>
      </w:r>
      <w:r>
        <w:rPr>
          <w:spacing w:val="-2"/>
          <w:sz w:val="18"/>
          <w:vertAlign w:val="baseline"/>
        </w:rPr>
        <w:t> </w:t>
      </w:r>
      <w:r>
        <w:rPr>
          <w:sz w:val="18"/>
          <w:vertAlign w:val="baseline"/>
        </w:rPr>
        <w:t>LGBTQ+</w:t>
      </w:r>
      <w:r>
        <w:rPr>
          <w:spacing w:val="-2"/>
          <w:sz w:val="18"/>
          <w:vertAlign w:val="baseline"/>
        </w:rPr>
        <w:t> </w:t>
      </w:r>
      <w:r>
        <w:rPr>
          <w:sz w:val="18"/>
          <w:vertAlign w:val="baseline"/>
        </w:rPr>
        <w:t>Youth</w:t>
      </w:r>
      <w:r>
        <w:rPr>
          <w:spacing w:val="-2"/>
          <w:sz w:val="18"/>
          <w:vertAlign w:val="baseline"/>
        </w:rPr>
        <w:t> </w:t>
      </w:r>
      <w:r>
        <w:rPr>
          <w:sz w:val="18"/>
          <w:vertAlign w:val="baseline"/>
        </w:rPr>
        <w:t>in</w:t>
      </w:r>
      <w:r>
        <w:rPr>
          <w:spacing w:val="-2"/>
          <w:sz w:val="18"/>
          <w:vertAlign w:val="baseline"/>
        </w:rPr>
        <w:t> </w:t>
      </w:r>
      <w:r>
        <w:rPr>
          <w:sz w:val="18"/>
          <w:vertAlign w:val="baseline"/>
        </w:rPr>
        <w:t>Our</w:t>
      </w:r>
      <w:r>
        <w:rPr>
          <w:spacing w:val="-3"/>
          <w:sz w:val="18"/>
          <w:vertAlign w:val="baseline"/>
        </w:rPr>
        <w:t> </w:t>
      </w:r>
      <w:r>
        <w:rPr>
          <w:sz w:val="18"/>
          <w:vertAlign w:val="baseline"/>
        </w:rPr>
        <w:t>Nation’s </w:t>
      </w:r>
      <w:r>
        <w:rPr>
          <w:spacing w:val="-2"/>
          <w:sz w:val="18"/>
          <w:vertAlign w:val="baseline"/>
        </w:rPr>
        <w:t>Schools.”</w:t>
      </w:r>
    </w:p>
    <w:p>
      <w:pPr>
        <w:spacing w:line="212" w:lineRule="exact" w:before="0"/>
        <w:ind w:left="463" w:right="0" w:firstLine="0"/>
        <w:jc w:val="left"/>
        <w:rPr>
          <w:sz w:val="18"/>
        </w:rPr>
      </w:pPr>
      <w:r>
        <w:rPr>
          <w:sz w:val="18"/>
          <w:vertAlign w:val="superscript"/>
        </w:rPr>
        <w:t>83</w:t>
      </w:r>
      <w:r>
        <w:rPr>
          <w:spacing w:val="-12"/>
          <w:sz w:val="18"/>
          <w:vertAlign w:val="baseline"/>
        </w:rPr>
        <w:t> </w:t>
      </w:r>
      <w:r>
        <w:rPr>
          <w:sz w:val="18"/>
          <w:vertAlign w:val="baseline"/>
        </w:rPr>
        <w:t>Bradley</w:t>
      </w:r>
      <w:r>
        <w:rPr>
          <w:spacing w:val="-2"/>
          <w:sz w:val="18"/>
          <w:vertAlign w:val="baseline"/>
        </w:rPr>
        <w:t> </w:t>
      </w:r>
      <w:r>
        <w:rPr>
          <w:sz w:val="18"/>
          <w:vertAlign w:val="baseline"/>
        </w:rPr>
        <w:t>et</w:t>
      </w:r>
      <w:r>
        <w:rPr>
          <w:spacing w:val="-1"/>
          <w:sz w:val="18"/>
          <w:vertAlign w:val="baseline"/>
        </w:rPr>
        <w:t> </w:t>
      </w:r>
      <w:r>
        <w:rPr>
          <w:sz w:val="18"/>
          <w:vertAlign w:val="baseline"/>
        </w:rPr>
        <w:t>al.,</w:t>
      </w:r>
      <w:r>
        <w:rPr>
          <w:spacing w:val="-2"/>
          <w:sz w:val="18"/>
          <w:vertAlign w:val="baseline"/>
        </w:rPr>
        <w:t> </w:t>
      </w:r>
      <w:r>
        <w:rPr>
          <w:sz w:val="18"/>
          <w:vertAlign w:val="baseline"/>
        </w:rPr>
        <w:t>“Step In,</w:t>
      </w:r>
      <w:r>
        <w:rPr>
          <w:spacing w:val="-2"/>
          <w:sz w:val="18"/>
          <w:vertAlign w:val="baseline"/>
        </w:rPr>
        <w:t> </w:t>
      </w:r>
      <w:r>
        <w:rPr>
          <w:sz w:val="18"/>
          <w:vertAlign w:val="baseline"/>
        </w:rPr>
        <w:t>Speak</w:t>
      </w:r>
      <w:r>
        <w:rPr>
          <w:spacing w:val="-2"/>
          <w:sz w:val="18"/>
          <w:vertAlign w:val="baseline"/>
        </w:rPr>
        <w:t> </w:t>
      </w:r>
      <w:r>
        <w:rPr>
          <w:sz w:val="18"/>
          <w:vertAlign w:val="baseline"/>
        </w:rPr>
        <w:t>Up! LGBTQ</w:t>
      </w:r>
      <w:r>
        <w:rPr>
          <w:spacing w:val="-1"/>
          <w:sz w:val="18"/>
          <w:vertAlign w:val="baseline"/>
        </w:rPr>
        <w:t> </w:t>
      </w:r>
      <w:r>
        <w:rPr>
          <w:sz w:val="18"/>
          <w:vertAlign w:val="baseline"/>
        </w:rPr>
        <w:t>Youth Bullying</w:t>
      </w:r>
      <w:r>
        <w:rPr>
          <w:spacing w:val="-1"/>
          <w:sz w:val="18"/>
          <w:vertAlign w:val="baseline"/>
        </w:rPr>
        <w:t> </w:t>
      </w:r>
      <w:r>
        <w:rPr>
          <w:spacing w:val="-2"/>
          <w:sz w:val="18"/>
          <w:vertAlign w:val="baseline"/>
        </w:rPr>
        <w:t>Prevention.”</w:t>
      </w:r>
    </w:p>
    <w:p>
      <w:pPr>
        <w:spacing w:line="273" w:lineRule="auto" w:before="21"/>
        <w:ind w:left="463" w:right="300" w:hanging="1"/>
        <w:jc w:val="left"/>
        <w:rPr>
          <w:sz w:val="18"/>
        </w:rPr>
      </w:pPr>
      <w:r>
        <w:rPr>
          <w:sz w:val="18"/>
          <w:vertAlign w:val="superscript"/>
        </w:rPr>
        <w:t>84</w:t>
      </w:r>
      <w:r>
        <w:rPr>
          <w:spacing w:val="-12"/>
          <w:sz w:val="18"/>
          <w:vertAlign w:val="baseline"/>
        </w:rPr>
        <w:t> </w:t>
      </w:r>
      <w:r>
        <w:rPr>
          <w:sz w:val="18"/>
          <w:vertAlign w:val="baseline"/>
        </w:rPr>
        <w:t>Sari</w:t>
      </w:r>
      <w:r>
        <w:rPr>
          <w:spacing w:val="-3"/>
          <w:sz w:val="18"/>
          <w:vertAlign w:val="baseline"/>
        </w:rPr>
        <w:t> </w:t>
      </w:r>
      <w:r>
        <w:rPr>
          <w:sz w:val="18"/>
          <w:vertAlign w:val="baseline"/>
        </w:rPr>
        <w:t>L.</w:t>
      </w:r>
      <w:r>
        <w:rPr>
          <w:spacing w:val="-1"/>
          <w:sz w:val="18"/>
          <w:vertAlign w:val="baseline"/>
        </w:rPr>
        <w:t> </w:t>
      </w:r>
      <w:r>
        <w:rPr>
          <w:sz w:val="18"/>
          <w:vertAlign w:val="baseline"/>
        </w:rPr>
        <w:t>Reisner</w:t>
      </w:r>
      <w:r>
        <w:rPr>
          <w:spacing w:val="-2"/>
          <w:sz w:val="18"/>
          <w:vertAlign w:val="baseline"/>
        </w:rPr>
        <w:t> </w:t>
      </w:r>
      <w:r>
        <w:rPr>
          <w:sz w:val="18"/>
          <w:vertAlign w:val="baseline"/>
        </w:rPr>
        <w:t>et</w:t>
      </w:r>
      <w:r>
        <w:rPr>
          <w:spacing w:val="-2"/>
          <w:sz w:val="18"/>
          <w:vertAlign w:val="baseline"/>
        </w:rPr>
        <w:t> </w:t>
      </w:r>
      <w:r>
        <w:rPr>
          <w:sz w:val="18"/>
          <w:vertAlign w:val="baseline"/>
        </w:rPr>
        <w:t>al.,</w:t>
      </w:r>
      <w:r>
        <w:rPr>
          <w:spacing w:val="-2"/>
          <w:sz w:val="18"/>
          <w:vertAlign w:val="baseline"/>
        </w:rPr>
        <w:t> </w:t>
      </w:r>
      <w:r>
        <w:rPr>
          <w:sz w:val="18"/>
          <w:vertAlign w:val="baseline"/>
        </w:rPr>
        <w:t>“Addressing</w:t>
      </w:r>
      <w:r>
        <w:rPr>
          <w:spacing w:val="-1"/>
          <w:sz w:val="18"/>
          <w:vertAlign w:val="baseline"/>
        </w:rPr>
        <w:t> </w:t>
      </w:r>
      <w:r>
        <w:rPr>
          <w:sz w:val="18"/>
          <w:vertAlign w:val="baseline"/>
        </w:rPr>
        <w:t>LGBTQ</w:t>
      </w:r>
      <w:r>
        <w:rPr>
          <w:spacing w:val="-2"/>
          <w:sz w:val="18"/>
          <w:vertAlign w:val="baseline"/>
        </w:rPr>
        <w:t> </w:t>
      </w:r>
      <w:r>
        <w:rPr>
          <w:sz w:val="18"/>
          <w:vertAlign w:val="baseline"/>
        </w:rPr>
        <w:t>Student</w:t>
      </w:r>
      <w:r>
        <w:rPr>
          <w:spacing w:val="-2"/>
          <w:sz w:val="18"/>
          <w:vertAlign w:val="baseline"/>
        </w:rPr>
        <w:t> </w:t>
      </w:r>
      <w:r>
        <w:rPr>
          <w:sz w:val="18"/>
          <w:vertAlign w:val="baseline"/>
        </w:rPr>
        <w:t>Bullying</w:t>
      </w:r>
      <w:r>
        <w:rPr>
          <w:spacing w:val="-1"/>
          <w:sz w:val="18"/>
          <w:vertAlign w:val="baseline"/>
        </w:rPr>
        <w:t> </w:t>
      </w:r>
      <w:r>
        <w:rPr>
          <w:sz w:val="18"/>
          <w:vertAlign w:val="baseline"/>
        </w:rPr>
        <w:t>in</w:t>
      </w:r>
      <w:r>
        <w:rPr>
          <w:spacing w:val="-2"/>
          <w:sz w:val="18"/>
          <w:vertAlign w:val="baseline"/>
        </w:rPr>
        <w:t> </w:t>
      </w:r>
      <w:r>
        <w:rPr>
          <w:sz w:val="18"/>
          <w:vertAlign w:val="baseline"/>
        </w:rPr>
        <w:t>Massachusetts</w:t>
      </w:r>
      <w:r>
        <w:rPr>
          <w:spacing w:val="-1"/>
          <w:sz w:val="18"/>
          <w:vertAlign w:val="baseline"/>
        </w:rPr>
        <w:t> </w:t>
      </w:r>
      <w:r>
        <w:rPr>
          <w:sz w:val="18"/>
          <w:vertAlign w:val="baseline"/>
        </w:rPr>
        <w:t>Schools:</w:t>
      </w:r>
      <w:r>
        <w:rPr>
          <w:spacing w:val="-2"/>
          <w:sz w:val="18"/>
          <w:vertAlign w:val="baseline"/>
        </w:rPr>
        <w:t> </w:t>
      </w:r>
      <w:r>
        <w:rPr>
          <w:sz w:val="18"/>
          <w:vertAlign w:val="baseline"/>
        </w:rPr>
        <w:t>Perspectives</w:t>
      </w:r>
      <w:r>
        <w:rPr>
          <w:spacing w:val="-1"/>
          <w:sz w:val="18"/>
          <w:vertAlign w:val="baseline"/>
        </w:rPr>
        <w:t> </w:t>
      </w:r>
      <w:r>
        <w:rPr>
          <w:sz w:val="18"/>
          <w:vertAlign w:val="baseline"/>
        </w:rPr>
        <w:t>of</w:t>
      </w:r>
      <w:r>
        <w:rPr>
          <w:spacing w:val="-2"/>
          <w:sz w:val="18"/>
          <w:vertAlign w:val="baseline"/>
        </w:rPr>
        <w:t> </w:t>
      </w:r>
      <w:r>
        <w:rPr>
          <w:sz w:val="18"/>
          <w:vertAlign w:val="baseline"/>
        </w:rPr>
        <w:t>LGBTQ</w:t>
      </w:r>
      <w:r>
        <w:rPr>
          <w:spacing w:val="-1"/>
          <w:sz w:val="18"/>
          <w:vertAlign w:val="baseline"/>
        </w:rPr>
        <w:t> </w:t>
      </w:r>
      <w:r>
        <w:rPr>
          <w:sz w:val="18"/>
          <w:vertAlign w:val="baseline"/>
        </w:rPr>
        <w:t>Students</w:t>
      </w:r>
      <w:r>
        <w:rPr>
          <w:spacing w:val="-2"/>
          <w:sz w:val="18"/>
          <w:vertAlign w:val="baseline"/>
        </w:rPr>
        <w:t> </w:t>
      </w:r>
      <w:r>
        <w:rPr>
          <w:sz w:val="18"/>
          <w:vertAlign w:val="baseline"/>
        </w:rPr>
        <w:t>and School Health Professionals,” </w:t>
      </w:r>
      <w:r>
        <w:rPr>
          <w:i/>
          <w:sz w:val="18"/>
          <w:vertAlign w:val="baseline"/>
        </w:rPr>
        <w:t>Prevention Science </w:t>
      </w:r>
      <w:r>
        <w:rPr>
          <w:sz w:val="18"/>
          <w:vertAlign w:val="baseline"/>
        </w:rPr>
        <w:t>21, no. 3 (April 1, 2020): 408–21, https://doi.org/10.1007/s11121-019-</w:t>
      </w:r>
    </w:p>
    <w:p>
      <w:pPr>
        <w:spacing w:line="194" w:lineRule="exact" w:before="0"/>
        <w:ind w:left="463" w:right="0" w:firstLine="0"/>
        <w:jc w:val="left"/>
        <w:rPr>
          <w:sz w:val="18"/>
        </w:rPr>
      </w:pPr>
      <w:r>
        <w:rPr>
          <w:spacing w:val="6"/>
          <w:sz w:val="18"/>
          <w:u w:val="single"/>
        </w:rPr>
        <w:t> </w:t>
      </w:r>
      <w:r>
        <w:rPr>
          <w:spacing w:val="-2"/>
          <w:sz w:val="18"/>
          <w:u w:val="single"/>
        </w:rPr>
        <w:t>01084-</w:t>
      </w:r>
      <w:r>
        <w:rPr>
          <w:spacing w:val="-5"/>
          <w:sz w:val="18"/>
          <w:u w:val="single"/>
        </w:rPr>
        <w:t>4.</w:t>
      </w:r>
    </w:p>
    <w:p>
      <w:pPr>
        <w:spacing w:line="273" w:lineRule="auto" w:before="15"/>
        <w:ind w:left="463" w:right="300" w:hanging="1"/>
        <w:jc w:val="left"/>
        <w:rPr>
          <w:sz w:val="18"/>
        </w:rPr>
      </w:pPr>
      <w:r>
        <w:rPr>
          <w:sz w:val="18"/>
          <w:vertAlign w:val="superscript"/>
        </w:rPr>
        <w:t>85</w:t>
      </w:r>
      <w:r>
        <w:rPr>
          <w:spacing w:val="-12"/>
          <w:sz w:val="18"/>
          <w:vertAlign w:val="baseline"/>
        </w:rPr>
        <w:t> </w:t>
      </w:r>
      <w:r>
        <w:rPr>
          <w:sz w:val="18"/>
          <w:vertAlign w:val="baseline"/>
        </w:rPr>
        <w:t>“Safe</w:t>
      </w:r>
      <w:r>
        <w:rPr>
          <w:spacing w:val="-3"/>
          <w:sz w:val="18"/>
          <w:vertAlign w:val="baseline"/>
        </w:rPr>
        <w:t> </w:t>
      </w:r>
      <w:r>
        <w:rPr>
          <w:sz w:val="18"/>
          <w:vertAlign w:val="baseline"/>
        </w:rPr>
        <w:t>Schools</w:t>
      </w:r>
      <w:r>
        <w:rPr>
          <w:spacing w:val="-3"/>
          <w:sz w:val="18"/>
          <w:vertAlign w:val="baseline"/>
        </w:rPr>
        <w:t> </w:t>
      </w:r>
      <w:r>
        <w:rPr>
          <w:sz w:val="18"/>
          <w:vertAlign w:val="baseline"/>
        </w:rPr>
        <w:t>Program</w:t>
      </w:r>
      <w:r>
        <w:rPr>
          <w:spacing w:val="-2"/>
          <w:sz w:val="18"/>
          <w:vertAlign w:val="baseline"/>
        </w:rPr>
        <w:t> </w:t>
      </w:r>
      <w:r>
        <w:rPr>
          <w:sz w:val="18"/>
          <w:vertAlign w:val="baseline"/>
        </w:rPr>
        <w:t>for</w:t>
      </w:r>
      <w:r>
        <w:rPr>
          <w:spacing w:val="-3"/>
          <w:sz w:val="18"/>
          <w:vertAlign w:val="baseline"/>
        </w:rPr>
        <w:t> </w:t>
      </w:r>
      <w:r>
        <w:rPr>
          <w:sz w:val="18"/>
          <w:vertAlign w:val="baseline"/>
        </w:rPr>
        <w:t>LGBTQ</w:t>
      </w:r>
      <w:r>
        <w:rPr>
          <w:spacing w:val="-2"/>
          <w:sz w:val="18"/>
          <w:vertAlign w:val="baseline"/>
        </w:rPr>
        <w:t> </w:t>
      </w:r>
      <w:r>
        <w:rPr>
          <w:sz w:val="18"/>
          <w:vertAlign w:val="baseline"/>
        </w:rPr>
        <w:t>Students,”</w:t>
      </w:r>
      <w:r>
        <w:rPr>
          <w:spacing w:val="-2"/>
          <w:sz w:val="18"/>
          <w:vertAlign w:val="baseline"/>
        </w:rPr>
        <w:t> </w:t>
      </w:r>
      <w:r>
        <w:rPr>
          <w:sz w:val="18"/>
          <w:vertAlign w:val="baseline"/>
        </w:rPr>
        <w:t>Massachusetts</w:t>
      </w:r>
      <w:r>
        <w:rPr>
          <w:spacing w:val="-2"/>
          <w:sz w:val="18"/>
          <w:vertAlign w:val="baseline"/>
        </w:rPr>
        <w:t> </w:t>
      </w:r>
      <w:r>
        <w:rPr>
          <w:sz w:val="18"/>
          <w:vertAlign w:val="baseline"/>
        </w:rPr>
        <w:t>Department</w:t>
      </w:r>
      <w:r>
        <w:rPr>
          <w:spacing w:val="-3"/>
          <w:sz w:val="18"/>
          <w:vertAlign w:val="baseline"/>
        </w:rPr>
        <w:t> </w:t>
      </w:r>
      <w:r>
        <w:rPr>
          <w:sz w:val="18"/>
          <w:vertAlign w:val="baseline"/>
        </w:rPr>
        <w:t>of</w:t>
      </w:r>
      <w:r>
        <w:rPr>
          <w:spacing w:val="-2"/>
          <w:sz w:val="18"/>
          <w:vertAlign w:val="baseline"/>
        </w:rPr>
        <w:t> </w:t>
      </w:r>
      <w:r>
        <w:rPr>
          <w:sz w:val="18"/>
          <w:vertAlign w:val="baseline"/>
        </w:rPr>
        <w:t>Elementary</w:t>
      </w:r>
      <w:r>
        <w:rPr>
          <w:spacing w:val="-2"/>
          <w:sz w:val="18"/>
          <w:vertAlign w:val="baseline"/>
        </w:rPr>
        <w:t> </w:t>
      </w:r>
      <w:r>
        <w:rPr>
          <w:sz w:val="18"/>
          <w:vertAlign w:val="baseline"/>
        </w:rPr>
        <w:t>and</w:t>
      </w:r>
      <w:r>
        <w:rPr>
          <w:spacing w:val="-2"/>
          <w:sz w:val="18"/>
          <w:vertAlign w:val="baseline"/>
        </w:rPr>
        <w:t> </w:t>
      </w:r>
      <w:r>
        <w:rPr>
          <w:sz w:val="18"/>
          <w:vertAlign w:val="baseline"/>
        </w:rPr>
        <w:t>Secondary</w:t>
      </w:r>
      <w:r>
        <w:rPr>
          <w:spacing w:val="-2"/>
          <w:sz w:val="18"/>
          <w:vertAlign w:val="baseline"/>
        </w:rPr>
        <w:t> </w:t>
      </w:r>
      <w:r>
        <w:rPr>
          <w:sz w:val="18"/>
          <w:vertAlign w:val="baseline"/>
        </w:rPr>
        <w:t>Education,</w:t>
      </w:r>
      <w:r>
        <w:rPr>
          <w:spacing w:val="-3"/>
          <w:sz w:val="18"/>
          <w:vertAlign w:val="baseline"/>
        </w:rPr>
        <w:t> </w:t>
      </w:r>
      <w:r>
        <w:rPr>
          <w:sz w:val="18"/>
          <w:vertAlign w:val="baseline"/>
        </w:rPr>
        <w:t>accessed January 7, 2023, https://</w:t>
      </w:r>
      <w:hyperlink r:id="rId158">
        <w:r>
          <w:rPr>
            <w:sz w:val="18"/>
            <w:vertAlign w:val="baseline"/>
          </w:rPr>
          <w:t>www.doe.mass.edu/sfs/lgbtq/.</w:t>
        </w:r>
      </w:hyperlink>
    </w:p>
    <w:p>
      <w:pPr>
        <w:spacing w:line="212" w:lineRule="exact" w:before="0"/>
        <w:ind w:left="463" w:right="0" w:firstLine="0"/>
        <w:jc w:val="left"/>
        <w:rPr>
          <w:sz w:val="18"/>
        </w:rPr>
      </w:pPr>
      <w:r>
        <w:rPr>
          <w:sz w:val="18"/>
          <w:vertAlign w:val="superscript"/>
        </w:rPr>
        <w:t>86</w:t>
      </w:r>
      <w:r>
        <w:rPr>
          <w:spacing w:val="-12"/>
          <w:sz w:val="18"/>
          <w:vertAlign w:val="baseline"/>
        </w:rPr>
        <w:t> </w:t>
      </w:r>
      <w:r>
        <w:rPr>
          <w:sz w:val="18"/>
          <w:vertAlign w:val="baseline"/>
        </w:rPr>
        <w:t>Bradley</w:t>
      </w:r>
      <w:r>
        <w:rPr>
          <w:spacing w:val="-2"/>
          <w:sz w:val="18"/>
          <w:vertAlign w:val="baseline"/>
        </w:rPr>
        <w:t> </w:t>
      </w:r>
      <w:r>
        <w:rPr>
          <w:sz w:val="18"/>
          <w:vertAlign w:val="baseline"/>
        </w:rPr>
        <w:t>et</w:t>
      </w:r>
      <w:r>
        <w:rPr>
          <w:spacing w:val="-1"/>
          <w:sz w:val="18"/>
          <w:vertAlign w:val="baseline"/>
        </w:rPr>
        <w:t> </w:t>
      </w:r>
      <w:r>
        <w:rPr>
          <w:sz w:val="18"/>
          <w:vertAlign w:val="baseline"/>
        </w:rPr>
        <w:t>al.,</w:t>
      </w:r>
      <w:r>
        <w:rPr>
          <w:spacing w:val="-2"/>
          <w:sz w:val="18"/>
          <w:vertAlign w:val="baseline"/>
        </w:rPr>
        <w:t> </w:t>
      </w:r>
      <w:r>
        <w:rPr>
          <w:sz w:val="18"/>
          <w:vertAlign w:val="baseline"/>
        </w:rPr>
        <w:t>“Step In,</w:t>
      </w:r>
      <w:r>
        <w:rPr>
          <w:spacing w:val="-2"/>
          <w:sz w:val="18"/>
          <w:vertAlign w:val="baseline"/>
        </w:rPr>
        <w:t> </w:t>
      </w:r>
      <w:r>
        <w:rPr>
          <w:sz w:val="18"/>
          <w:vertAlign w:val="baseline"/>
        </w:rPr>
        <w:t>Speak</w:t>
      </w:r>
      <w:r>
        <w:rPr>
          <w:spacing w:val="-2"/>
          <w:sz w:val="18"/>
          <w:vertAlign w:val="baseline"/>
        </w:rPr>
        <w:t> </w:t>
      </w:r>
      <w:r>
        <w:rPr>
          <w:sz w:val="18"/>
          <w:vertAlign w:val="baseline"/>
        </w:rPr>
        <w:t>Up! LGBTQ</w:t>
      </w:r>
      <w:r>
        <w:rPr>
          <w:spacing w:val="-1"/>
          <w:sz w:val="18"/>
          <w:vertAlign w:val="baseline"/>
        </w:rPr>
        <w:t> </w:t>
      </w:r>
      <w:r>
        <w:rPr>
          <w:sz w:val="18"/>
          <w:vertAlign w:val="baseline"/>
        </w:rPr>
        <w:t>Youth Bullying</w:t>
      </w:r>
      <w:r>
        <w:rPr>
          <w:spacing w:val="-1"/>
          <w:sz w:val="18"/>
          <w:vertAlign w:val="baseline"/>
        </w:rPr>
        <w:t> </w:t>
      </w:r>
      <w:r>
        <w:rPr>
          <w:spacing w:val="-2"/>
          <w:sz w:val="18"/>
          <w:vertAlign w:val="baseline"/>
        </w:rPr>
        <w:t>Prevention.”</w:t>
      </w:r>
    </w:p>
    <w:p>
      <w:pPr>
        <w:spacing w:before="20"/>
        <w:ind w:left="463" w:right="0" w:firstLine="0"/>
        <w:jc w:val="left"/>
        <w:rPr>
          <w:sz w:val="18"/>
        </w:rPr>
      </w:pPr>
      <w:r>
        <w:rPr>
          <w:sz w:val="18"/>
          <w:vertAlign w:val="superscript"/>
        </w:rPr>
        <w:t>87</w:t>
      </w:r>
      <w:r>
        <w:rPr>
          <w:spacing w:val="-12"/>
          <w:sz w:val="18"/>
          <w:vertAlign w:val="baseline"/>
        </w:rPr>
        <w:t> </w:t>
      </w:r>
      <w:r>
        <w:rPr>
          <w:sz w:val="18"/>
          <w:vertAlign w:val="baseline"/>
        </w:rPr>
        <w:t>Reisner</w:t>
      </w:r>
      <w:r>
        <w:rPr>
          <w:spacing w:val="-4"/>
          <w:sz w:val="18"/>
          <w:vertAlign w:val="baseline"/>
        </w:rPr>
        <w:t> </w:t>
      </w:r>
      <w:r>
        <w:rPr>
          <w:sz w:val="18"/>
          <w:vertAlign w:val="baseline"/>
        </w:rPr>
        <w:t>et</w:t>
      </w:r>
      <w:r>
        <w:rPr>
          <w:spacing w:val="-2"/>
          <w:sz w:val="18"/>
          <w:vertAlign w:val="baseline"/>
        </w:rPr>
        <w:t> </w:t>
      </w:r>
      <w:r>
        <w:rPr>
          <w:sz w:val="18"/>
          <w:vertAlign w:val="baseline"/>
        </w:rPr>
        <w:t>al.,</w:t>
      </w:r>
      <w:r>
        <w:rPr>
          <w:spacing w:val="-3"/>
          <w:sz w:val="18"/>
          <w:vertAlign w:val="baseline"/>
        </w:rPr>
        <w:t> </w:t>
      </w:r>
      <w:r>
        <w:rPr>
          <w:sz w:val="18"/>
          <w:vertAlign w:val="baseline"/>
        </w:rPr>
        <w:t>“Addressing</w:t>
      </w:r>
      <w:r>
        <w:rPr>
          <w:spacing w:val="-1"/>
          <w:sz w:val="18"/>
          <w:vertAlign w:val="baseline"/>
        </w:rPr>
        <w:t> </w:t>
      </w:r>
      <w:r>
        <w:rPr>
          <w:sz w:val="18"/>
          <w:vertAlign w:val="baseline"/>
        </w:rPr>
        <w:t>LGBTQ</w:t>
      </w:r>
      <w:r>
        <w:rPr>
          <w:spacing w:val="-1"/>
          <w:sz w:val="18"/>
          <w:vertAlign w:val="baseline"/>
        </w:rPr>
        <w:t> </w:t>
      </w:r>
      <w:r>
        <w:rPr>
          <w:sz w:val="18"/>
          <w:vertAlign w:val="baseline"/>
        </w:rPr>
        <w:t>Student</w:t>
      </w:r>
      <w:r>
        <w:rPr>
          <w:spacing w:val="-3"/>
          <w:sz w:val="18"/>
          <w:vertAlign w:val="baseline"/>
        </w:rPr>
        <w:t> </w:t>
      </w:r>
      <w:r>
        <w:rPr>
          <w:sz w:val="18"/>
          <w:vertAlign w:val="baseline"/>
        </w:rPr>
        <w:t>Bullying</w:t>
      </w:r>
      <w:r>
        <w:rPr>
          <w:spacing w:val="-1"/>
          <w:sz w:val="18"/>
          <w:vertAlign w:val="baseline"/>
        </w:rPr>
        <w:t> </w:t>
      </w:r>
      <w:r>
        <w:rPr>
          <w:sz w:val="18"/>
          <w:vertAlign w:val="baseline"/>
        </w:rPr>
        <w:t>in</w:t>
      </w:r>
      <w:r>
        <w:rPr>
          <w:spacing w:val="-2"/>
          <w:sz w:val="18"/>
          <w:vertAlign w:val="baseline"/>
        </w:rPr>
        <w:t> </w:t>
      </w:r>
      <w:r>
        <w:rPr>
          <w:sz w:val="18"/>
          <w:vertAlign w:val="baseline"/>
        </w:rPr>
        <w:t>Massachusetts</w:t>
      </w:r>
      <w:r>
        <w:rPr>
          <w:spacing w:val="-1"/>
          <w:sz w:val="18"/>
          <w:vertAlign w:val="baseline"/>
        </w:rPr>
        <w:t> </w:t>
      </w:r>
      <w:r>
        <w:rPr>
          <w:spacing w:val="-2"/>
          <w:sz w:val="18"/>
          <w:vertAlign w:val="baseline"/>
        </w:rPr>
        <w:t>Schools.”</w:t>
      </w:r>
    </w:p>
    <w:p>
      <w:pPr>
        <w:spacing w:before="31"/>
        <w:ind w:left="463" w:right="0" w:firstLine="0"/>
        <w:jc w:val="left"/>
        <w:rPr>
          <w:sz w:val="18"/>
        </w:rPr>
      </w:pPr>
      <w:r>
        <w:rPr>
          <w:sz w:val="18"/>
          <w:vertAlign w:val="superscript"/>
        </w:rPr>
        <w:t>88</w:t>
      </w:r>
      <w:r>
        <w:rPr>
          <w:spacing w:val="-11"/>
          <w:sz w:val="18"/>
          <w:vertAlign w:val="baseline"/>
        </w:rPr>
        <w:t> </w:t>
      </w:r>
      <w:r>
        <w:rPr>
          <w:sz w:val="18"/>
          <w:vertAlign w:val="baseline"/>
        </w:rPr>
        <w:t>Reisner</w:t>
      </w:r>
      <w:r>
        <w:rPr>
          <w:spacing w:val="2"/>
          <w:sz w:val="18"/>
          <w:vertAlign w:val="baseline"/>
        </w:rPr>
        <w:t> </w:t>
      </w:r>
      <w:r>
        <w:rPr>
          <w:sz w:val="18"/>
          <w:vertAlign w:val="baseline"/>
        </w:rPr>
        <w:t>et</w:t>
      </w:r>
      <w:r>
        <w:rPr>
          <w:spacing w:val="1"/>
          <w:sz w:val="18"/>
          <w:vertAlign w:val="baseline"/>
        </w:rPr>
        <w:t> </w:t>
      </w:r>
      <w:r>
        <w:rPr>
          <w:spacing w:val="-5"/>
          <w:sz w:val="18"/>
          <w:vertAlign w:val="baseline"/>
        </w:rPr>
        <w:t>al.</w:t>
      </w:r>
    </w:p>
    <w:p>
      <w:pPr>
        <w:spacing w:line="268" w:lineRule="auto" w:before="21"/>
        <w:ind w:left="463" w:right="300" w:hanging="1"/>
        <w:jc w:val="left"/>
        <w:rPr>
          <w:sz w:val="18"/>
        </w:rPr>
      </w:pPr>
      <w:r>
        <w:rPr>
          <w:sz w:val="18"/>
          <w:vertAlign w:val="superscript"/>
        </w:rPr>
        <w:t>89</w:t>
      </w:r>
      <w:r>
        <w:rPr>
          <w:spacing w:val="-5"/>
          <w:sz w:val="18"/>
          <w:vertAlign w:val="baseline"/>
        </w:rPr>
        <w:t> </w:t>
      </w:r>
      <w:r>
        <w:rPr>
          <w:sz w:val="18"/>
          <w:vertAlign w:val="baseline"/>
        </w:rPr>
        <w:t>Tecelli Domínguez-Martínez and Rebeca Robles, “Preventing Transphobic Bullying and Promoting Inclusive Educational Environments:</w:t>
      </w:r>
      <w:r>
        <w:rPr>
          <w:spacing w:val="-3"/>
          <w:sz w:val="18"/>
          <w:vertAlign w:val="baseline"/>
        </w:rPr>
        <w:t> </w:t>
      </w:r>
      <w:r>
        <w:rPr>
          <w:sz w:val="18"/>
          <w:vertAlign w:val="baseline"/>
        </w:rPr>
        <w:t>Literature</w:t>
      </w:r>
      <w:r>
        <w:rPr>
          <w:spacing w:val="-3"/>
          <w:sz w:val="18"/>
          <w:vertAlign w:val="baseline"/>
        </w:rPr>
        <w:t> </w:t>
      </w:r>
      <w:r>
        <w:rPr>
          <w:sz w:val="18"/>
          <w:vertAlign w:val="baseline"/>
        </w:rPr>
        <w:t>Review</w:t>
      </w:r>
      <w:r>
        <w:rPr>
          <w:spacing w:val="-4"/>
          <w:sz w:val="18"/>
          <w:vertAlign w:val="baseline"/>
        </w:rPr>
        <w:t> </w:t>
      </w:r>
      <w:r>
        <w:rPr>
          <w:sz w:val="18"/>
          <w:vertAlign w:val="baseline"/>
        </w:rPr>
        <w:t>and</w:t>
      </w:r>
      <w:r>
        <w:rPr>
          <w:spacing w:val="-3"/>
          <w:sz w:val="18"/>
          <w:vertAlign w:val="baseline"/>
        </w:rPr>
        <w:t> </w:t>
      </w:r>
      <w:r>
        <w:rPr>
          <w:sz w:val="18"/>
          <w:vertAlign w:val="baseline"/>
        </w:rPr>
        <w:t>Implementing</w:t>
      </w:r>
      <w:r>
        <w:rPr>
          <w:spacing w:val="-3"/>
          <w:sz w:val="18"/>
          <w:vertAlign w:val="baseline"/>
        </w:rPr>
        <w:t> </w:t>
      </w:r>
      <w:r>
        <w:rPr>
          <w:sz w:val="18"/>
          <w:vertAlign w:val="baseline"/>
        </w:rPr>
        <w:t>Recommendations,”</w:t>
      </w:r>
      <w:r>
        <w:rPr>
          <w:spacing w:val="-3"/>
          <w:sz w:val="18"/>
          <w:vertAlign w:val="baseline"/>
        </w:rPr>
        <w:t> </w:t>
      </w:r>
      <w:r>
        <w:rPr>
          <w:i/>
          <w:sz w:val="18"/>
          <w:vertAlign w:val="baseline"/>
        </w:rPr>
        <w:t>Archives</w:t>
      </w:r>
      <w:r>
        <w:rPr>
          <w:i/>
          <w:spacing w:val="-3"/>
          <w:sz w:val="18"/>
          <w:vertAlign w:val="baseline"/>
        </w:rPr>
        <w:t> </w:t>
      </w:r>
      <w:r>
        <w:rPr>
          <w:i/>
          <w:sz w:val="18"/>
          <w:vertAlign w:val="baseline"/>
        </w:rPr>
        <w:t>of</w:t>
      </w:r>
      <w:r>
        <w:rPr>
          <w:i/>
          <w:spacing w:val="-3"/>
          <w:sz w:val="18"/>
          <w:vertAlign w:val="baseline"/>
        </w:rPr>
        <w:t> </w:t>
      </w:r>
      <w:r>
        <w:rPr>
          <w:i/>
          <w:sz w:val="18"/>
          <w:vertAlign w:val="baseline"/>
        </w:rPr>
        <w:t>Medical</w:t>
      </w:r>
      <w:r>
        <w:rPr>
          <w:i/>
          <w:spacing w:val="-4"/>
          <w:sz w:val="18"/>
          <w:vertAlign w:val="baseline"/>
        </w:rPr>
        <w:t> </w:t>
      </w:r>
      <w:r>
        <w:rPr>
          <w:i/>
          <w:sz w:val="18"/>
          <w:vertAlign w:val="baseline"/>
        </w:rPr>
        <w:t>Research</w:t>
      </w:r>
      <w:r>
        <w:rPr>
          <w:sz w:val="18"/>
          <w:vertAlign w:val="baseline"/>
        </w:rPr>
        <w:t>,</w:t>
      </w:r>
      <w:r>
        <w:rPr>
          <w:spacing w:val="-4"/>
          <w:sz w:val="18"/>
          <w:vertAlign w:val="baseline"/>
        </w:rPr>
        <w:t> </w:t>
      </w:r>
      <w:r>
        <w:rPr>
          <w:sz w:val="18"/>
          <w:vertAlign w:val="baseline"/>
        </w:rPr>
        <w:t>Special</w:t>
      </w:r>
      <w:r>
        <w:rPr>
          <w:spacing w:val="-4"/>
          <w:sz w:val="18"/>
          <w:vertAlign w:val="baseline"/>
        </w:rPr>
        <w:t> </w:t>
      </w:r>
      <w:r>
        <w:rPr>
          <w:sz w:val="18"/>
          <w:vertAlign w:val="baseline"/>
        </w:rPr>
        <w:t>Issue:</w:t>
      </w:r>
      <w:r>
        <w:rPr>
          <w:spacing w:val="-3"/>
          <w:sz w:val="18"/>
          <w:vertAlign w:val="baseline"/>
        </w:rPr>
        <w:t> </w:t>
      </w:r>
      <w:r>
        <w:rPr>
          <w:sz w:val="18"/>
          <w:vertAlign w:val="baseline"/>
        </w:rPr>
        <w:t>Mental Health, 50, no. 8 (November 1, 2019): 543–55, https://doi.org/10.1016/j.arcmed.2019.10.009.</w:t>
      </w:r>
    </w:p>
    <w:p>
      <w:pPr>
        <w:spacing w:line="268" w:lineRule="auto" w:before="14"/>
        <w:ind w:left="463" w:right="300" w:hanging="1"/>
        <w:jc w:val="left"/>
        <w:rPr>
          <w:sz w:val="18"/>
        </w:rPr>
      </w:pPr>
      <w:r>
        <w:rPr>
          <w:sz w:val="18"/>
          <w:vertAlign w:val="superscript"/>
        </w:rPr>
        <w:t>90</w:t>
      </w:r>
      <w:r>
        <w:rPr>
          <w:spacing w:val="-12"/>
          <w:sz w:val="18"/>
          <w:vertAlign w:val="baseline"/>
        </w:rPr>
        <w:t> </w:t>
      </w:r>
      <w:r>
        <w:rPr>
          <w:sz w:val="18"/>
          <w:vertAlign w:val="baseline"/>
        </w:rPr>
        <w:t>V.</w:t>
      </w:r>
      <w:r>
        <w:rPr>
          <w:spacing w:val="-2"/>
          <w:sz w:val="18"/>
          <w:vertAlign w:val="baseline"/>
        </w:rPr>
        <w:t> </w:t>
      </w:r>
      <w:r>
        <w:rPr>
          <w:sz w:val="18"/>
          <w:vertAlign w:val="baseline"/>
        </w:rPr>
        <w:t>Paul</w:t>
      </w:r>
      <w:r>
        <w:rPr>
          <w:spacing w:val="-2"/>
          <w:sz w:val="18"/>
          <w:vertAlign w:val="baseline"/>
        </w:rPr>
        <w:t> </w:t>
      </w:r>
      <w:r>
        <w:rPr>
          <w:sz w:val="18"/>
          <w:vertAlign w:val="baseline"/>
        </w:rPr>
        <w:t>Poteat</w:t>
      </w:r>
      <w:r>
        <w:rPr>
          <w:spacing w:val="-3"/>
          <w:sz w:val="18"/>
          <w:vertAlign w:val="baseline"/>
        </w:rPr>
        <w:t> </w:t>
      </w:r>
      <w:r>
        <w:rPr>
          <w:sz w:val="18"/>
          <w:vertAlign w:val="baseline"/>
        </w:rPr>
        <w:t>et</w:t>
      </w:r>
      <w:r>
        <w:rPr>
          <w:spacing w:val="-2"/>
          <w:sz w:val="18"/>
          <w:vertAlign w:val="baseline"/>
        </w:rPr>
        <w:t> </w:t>
      </w:r>
      <w:r>
        <w:rPr>
          <w:sz w:val="18"/>
          <w:vertAlign w:val="baseline"/>
        </w:rPr>
        <w:t>al.,</w:t>
      </w:r>
      <w:r>
        <w:rPr>
          <w:spacing w:val="-2"/>
          <w:sz w:val="18"/>
          <w:vertAlign w:val="baseline"/>
        </w:rPr>
        <w:t> </w:t>
      </w:r>
      <w:r>
        <w:rPr>
          <w:sz w:val="18"/>
          <w:vertAlign w:val="baseline"/>
        </w:rPr>
        <w:t>“Greater</w:t>
      </w:r>
      <w:r>
        <w:rPr>
          <w:spacing w:val="-3"/>
          <w:sz w:val="18"/>
          <w:vertAlign w:val="baseline"/>
        </w:rPr>
        <w:t> </w:t>
      </w:r>
      <w:r>
        <w:rPr>
          <w:sz w:val="18"/>
          <w:vertAlign w:val="baseline"/>
        </w:rPr>
        <w:t>Engagement</w:t>
      </w:r>
      <w:r>
        <w:rPr>
          <w:spacing w:val="-2"/>
          <w:sz w:val="18"/>
          <w:vertAlign w:val="baseline"/>
        </w:rPr>
        <w:t> </w:t>
      </w:r>
      <w:r>
        <w:rPr>
          <w:sz w:val="18"/>
          <w:vertAlign w:val="baseline"/>
        </w:rPr>
        <w:t>in</w:t>
      </w:r>
      <w:r>
        <w:rPr>
          <w:spacing w:val="-2"/>
          <w:sz w:val="18"/>
          <w:vertAlign w:val="baseline"/>
        </w:rPr>
        <w:t> </w:t>
      </w:r>
      <w:r>
        <w:rPr>
          <w:sz w:val="18"/>
          <w:vertAlign w:val="baseline"/>
        </w:rPr>
        <w:t>Gender-Sexuality</w:t>
      </w:r>
      <w:r>
        <w:rPr>
          <w:spacing w:val="-1"/>
          <w:sz w:val="18"/>
          <w:vertAlign w:val="baseline"/>
        </w:rPr>
        <w:t> </w:t>
      </w:r>
      <w:r>
        <w:rPr>
          <w:sz w:val="18"/>
          <w:vertAlign w:val="baseline"/>
        </w:rPr>
        <w:t>Alliances</w:t>
      </w:r>
      <w:r>
        <w:rPr>
          <w:spacing w:val="-1"/>
          <w:sz w:val="18"/>
          <w:vertAlign w:val="baseline"/>
        </w:rPr>
        <w:t> </w:t>
      </w:r>
      <w:r>
        <w:rPr>
          <w:sz w:val="18"/>
          <w:vertAlign w:val="baseline"/>
        </w:rPr>
        <w:t>(GSAs)</w:t>
      </w:r>
      <w:r>
        <w:rPr>
          <w:spacing w:val="-1"/>
          <w:sz w:val="18"/>
          <w:vertAlign w:val="baseline"/>
        </w:rPr>
        <w:t> </w:t>
      </w:r>
      <w:r>
        <w:rPr>
          <w:sz w:val="18"/>
          <w:vertAlign w:val="baseline"/>
        </w:rPr>
        <w:t>and</w:t>
      </w:r>
      <w:r>
        <w:rPr>
          <w:spacing w:val="-2"/>
          <w:sz w:val="18"/>
          <w:vertAlign w:val="baseline"/>
        </w:rPr>
        <w:t> </w:t>
      </w:r>
      <w:r>
        <w:rPr>
          <w:sz w:val="18"/>
          <w:vertAlign w:val="baseline"/>
        </w:rPr>
        <w:t>GSA</w:t>
      </w:r>
      <w:r>
        <w:rPr>
          <w:spacing w:val="-1"/>
          <w:sz w:val="18"/>
          <w:vertAlign w:val="baseline"/>
        </w:rPr>
        <w:t> </w:t>
      </w:r>
      <w:r>
        <w:rPr>
          <w:sz w:val="18"/>
          <w:vertAlign w:val="baseline"/>
        </w:rPr>
        <w:t>Characteristics</w:t>
      </w:r>
      <w:r>
        <w:rPr>
          <w:spacing w:val="-1"/>
          <w:sz w:val="18"/>
          <w:vertAlign w:val="baseline"/>
        </w:rPr>
        <w:t> </w:t>
      </w:r>
      <w:r>
        <w:rPr>
          <w:sz w:val="18"/>
          <w:vertAlign w:val="baseline"/>
        </w:rPr>
        <w:t>Predict</w:t>
      </w:r>
      <w:r>
        <w:rPr>
          <w:spacing w:val="-2"/>
          <w:sz w:val="18"/>
          <w:vertAlign w:val="baseline"/>
        </w:rPr>
        <w:t> </w:t>
      </w:r>
      <w:r>
        <w:rPr>
          <w:sz w:val="18"/>
          <w:vertAlign w:val="baseline"/>
        </w:rPr>
        <w:t>Youth Empowerment and Reduced Mental Health Concerns,” </w:t>
      </w:r>
      <w:r>
        <w:rPr>
          <w:i/>
          <w:sz w:val="18"/>
          <w:vertAlign w:val="baseline"/>
        </w:rPr>
        <w:t>Child Development </w:t>
      </w:r>
      <w:r>
        <w:rPr>
          <w:sz w:val="18"/>
          <w:vertAlign w:val="baseline"/>
        </w:rPr>
        <w:t>91, no. 5 (2020): 1509–28, </w:t>
      </w:r>
      <w:r>
        <w:rPr>
          <w:spacing w:val="-2"/>
          <w:sz w:val="18"/>
          <w:vertAlign w:val="baseline"/>
        </w:rPr>
        <w:t>https://doi.org/10.1111/cdev.13345.</w:t>
      </w:r>
    </w:p>
    <w:p>
      <w:pPr>
        <w:spacing w:line="215" w:lineRule="exact" w:before="0"/>
        <w:ind w:left="463" w:right="0" w:firstLine="0"/>
        <w:jc w:val="left"/>
        <w:rPr>
          <w:sz w:val="18"/>
        </w:rPr>
      </w:pPr>
      <w:r>
        <w:rPr>
          <w:sz w:val="18"/>
          <w:vertAlign w:val="superscript"/>
        </w:rPr>
        <w:t>91</w:t>
      </w:r>
      <w:r>
        <w:rPr>
          <w:spacing w:val="-12"/>
          <w:sz w:val="18"/>
          <w:vertAlign w:val="baseline"/>
        </w:rPr>
        <w:t> </w:t>
      </w:r>
      <w:r>
        <w:rPr>
          <w:sz w:val="18"/>
          <w:vertAlign w:val="baseline"/>
        </w:rPr>
        <w:t>Domínguez-Martínez</w:t>
      </w:r>
      <w:r>
        <w:rPr>
          <w:spacing w:val="-6"/>
          <w:sz w:val="18"/>
          <w:vertAlign w:val="baseline"/>
        </w:rPr>
        <w:t> </w:t>
      </w:r>
      <w:r>
        <w:rPr>
          <w:sz w:val="18"/>
          <w:vertAlign w:val="baseline"/>
        </w:rPr>
        <w:t>and</w:t>
      </w:r>
      <w:r>
        <w:rPr>
          <w:spacing w:val="-2"/>
          <w:sz w:val="18"/>
          <w:vertAlign w:val="baseline"/>
        </w:rPr>
        <w:t> </w:t>
      </w:r>
      <w:r>
        <w:rPr>
          <w:sz w:val="18"/>
          <w:vertAlign w:val="baseline"/>
        </w:rPr>
        <w:t>Robles,</w:t>
      </w:r>
      <w:r>
        <w:rPr>
          <w:spacing w:val="-4"/>
          <w:sz w:val="18"/>
          <w:vertAlign w:val="baseline"/>
        </w:rPr>
        <w:t> </w:t>
      </w:r>
      <w:r>
        <w:rPr>
          <w:sz w:val="18"/>
          <w:vertAlign w:val="baseline"/>
        </w:rPr>
        <w:t>“Preventing</w:t>
      </w:r>
      <w:r>
        <w:rPr>
          <w:spacing w:val="-3"/>
          <w:sz w:val="18"/>
          <w:vertAlign w:val="baseline"/>
        </w:rPr>
        <w:t> </w:t>
      </w:r>
      <w:r>
        <w:rPr>
          <w:sz w:val="18"/>
          <w:vertAlign w:val="baseline"/>
        </w:rPr>
        <w:t>Transphobic</w:t>
      </w:r>
      <w:r>
        <w:rPr>
          <w:spacing w:val="-4"/>
          <w:sz w:val="18"/>
          <w:vertAlign w:val="baseline"/>
        </w:rPr>
        <w:t> </w:t>
      </w:r>
      <w:r>
        <w:rPr>
          <w:sz w:val="18"/>
          <w:vertAlign w:val="baseline"/>
        </w:rPr>
        <w:t>Bullying</w:t>
      </w:r>
      <w:r>
        <w:rPr>
          <w:spacing w:val="-2"/>
          <w:sz w:val="18"/>
          <w:vertAlign w:val="baseline"/>
        </w:rPr>
        <w:t> </w:t>
      </w:r>
      <w:r>
        <w:rPr>
          <w:sz w:val="18"/>
          <w:vertAlign w:val="baseline"/>
        </w:rPr>
        <w:t>and</w:t>
      </w:r>
      <w:r>
        <w:rPr>
          <w:spacing w:val="-4"/>
          <w:sz w:val="18"/>
          <w:vertAlign w:val="baseline"/>
        </w:rPr>
        <w:t> </w:t>
      </w:r>
      <w:r>
        <w:rPr>
          <w:sz w:val="18"/>
          <w:vertAlign w:val="baseline"/>
        </w:rPr>
        <w:t>Promoting</w:t>
      </w:r>
      <w:r>
        <w:rPr>
          <w:spacing w:val="-2"/>
          <w:sz w:val="18"/>
          <w:vertAlign w:val="baseline"/>
        </w:rPr>
        <w:t> </w:t>
      </w:r>
      <w:r>
        <w:rPr>
          <w:sz w:val="18"/>
          <w:vertAlign w:val="baseline"/>
        </w:rPr>
        <w:t>Inclusive</w:t>
      </w:r>
      <w:r>
        <w:rPr>
          <w:spacing w:val="-3"/>
          <w:sz w:val="18"/>
          <w:vertAlign w:val="baseline"/>
        </w:rPr>
        <w:t> </w:t>
      </w:r>
      <w:r>
        <w:rPr>
          <w:sz w:val="18"/>
          <w:vertAlign w:val="baseline"/>
        </w:rPr>
        <w:t>Educational</w:t>
      </w:r>
      <w:r>
        <w:rPr>
          <w:spacing w:val="-3"/>
          <w:sz w:val="18"/>
          <w:vertAlign w:val="baseline"/>
        </w:rPr>
        <w:t> </w:t>
      </w:r>
      <w:r>
        <w:rPr>
          <w:spacing w:val="-2"/>
          <w:sz w:val="18"/>
          <w:vertAlign w:val="baseline"/>
        </w:rPr>
        <w:t>Environments.”</w:t>
      </w:r>
    </w:p>
    <w:p>
      <w:pPr>
        <w:spacing w:line="268" w:lineRule="auto" w:before="20"/>
        <w:ind w:left="463" w:right="622" w:firstLine="0"/>
        <w:jc w:val="left"/>
        <w:rPr>
          <w:sz w:val="18"/>
        </w:rPr>
      </w:pPr>
      <w:r>
        <w:rPr>
          <w:sz w:val="18"/>
          <w:vertAlign w:val="superscript"/>
        </w:rPr>
        <w:t>92</w:t>
      </w:r>
      <w:r>
        <w:rPr>
          <w:spacing w:val="-12"/>
          <w:sz w:val="18"/>
          <w:vertAlign w:val="baseline"/>
        </w:rPr>
        <w:t> </w:t>
      </w:r>
      <w:r>
        <w:rPr>
          <w:sz w:val="18"/>
          <w:vertAlign w:val="baseline"/>
        </w:rPr>
        <w:t>Jessica</w:t>
      </w:r>
      <w:r>
        <w:rPr>
          <w:spacing w:val="-2"/>
          <w:sz w:val="18"/>
          <w:vertAlign w:val="baseline"/>
        </w:rPr>
        <w:t> </w:t>
      </w:r>
      <w:r>
        <w:rPr>
          <w:sz w:val="18"/>
          <w:vertAlign w:val="baseline"/>
        </w:rPr>
        <w:t>N.</w:t>
      </w:r>
      <w:r>
        <w:rPr>
          <w:spacing w:val="-2"/>
          <w:sz w:val="18"/>
          <w:vertAlign w:val="baseline"/>
        </w:rPr>
        <w:t> </w:t>
      </w:r>
      <w:r>
        <w:rPr>
          <w:sz w:val="18"/>
          <w:vertAlign w:val="baseline"/>
        </w:rPr>
        <w:t>Fish</w:t>
      </w:r>
      <w:r>
        <w:rPr>
          <w:spacing w:val="-3"/>
          <w:sz w:val="18"/>
          <w:vertAlign w:val="baseline"/>
        </w:rPr>
        <w:t> </w:t>
      </w:r>
      <w:r>
        <w:rPr>
          <w:sz w:val="18"/>
          <w:vertAlign w:val="baseline"/>
        </w:rPr>
        <w:t>et</w:t>
      </w:r>
      <w:r>
        <w:rPr>
          <w:spacing w:val="-3"/>
          <w:sz w:val="18"/>
          <w:vertAlign w:val="baseline"/>
        </w:rPr>
        <w:t> </w:t>
      </w:r>
      <w:r>
        <w:rPr>
          <w:sz w:val="18"/>
          <w:vertAlign w:val="baseline"/>
        </w:rPr>
        <w:t>al.,</w:t>
      </w:r>
      <w:r>
        <w:rPr>
          <w:spacing w:val="-3"/>
          <w:sz w:val="18"/>
          <w:vertAlign w:val="baseline"/>
        </w:rPr>
        <w:t> </w:t>
      </w:r>
      <w:r>
        <w:rPr>
          <w:sz w:val="18"/>
          <w:vertAlign w:val="baseline"/>
        </w:rPr>
        <w:t>“‘I’m</w:t>
      </w:r>
      <w:r>
        <w:rPr>
          <w:spacing w:val="-2"/>
          <w:sz w:val="18"/>
          <w:vertAlign w:val="baseline"/>
        </w:rPr>
        <w:t> </w:t>
      </w:r>
      <w:r>
        <w:rPr>
          <w:sz w:val="18"/>
          <w:vertAlign w:val="baseline"/>
        </w:rPr>
        <w:t>Kinda</w:t>
      </w:r>
      <w:r>
        <w:rPr>
          <w:spacing w:val="-2"/>
          <w:sz w:val="18"/>
          <w:vertAlign w:val="baseline"/>
        </w:rPr>
        <w:t> </w:t>
      </w:r>
      <w:r>
        <w:rPr>
          <w:sz w:val="18"/>
          <w:vertAlign w:val="baseline"/>
        </w:rPr>
        <w:t>Stuck</w:t>
      </w:r>
      <w:r>
        <w:rPr>
          <w:spacing w:val="-3"/>
          <w:sz w:val="18"/>
          <w:vertAlign w:val="baseline"/>
        </w:rPr>
        <w:t> </w:t>
      </w:r>
      <w:r>
        <w:rPr>
          <w:sz w:val="18"/>
          <w:vertAlign w:val="baseline"/>
        </w:rPr>
        <w:t>at</w:t>
      </w:r>
      <w:r>
        <w:rPr>
          <w:spacing w:val="-3"/>
          <w:sz w:val="18"/>
          <w:vertAlign w:val="baseline"/>
        </w:rPr>
        <w:t> </w:t>
      </w:r>
      <w:r>
        <w:rPr>
          <w:sz w:val="18"/>
          <w:vertAlign w:val="baseline"/>
        </w:rPr>
        <w:t>Home</w:t>
      </w:r>
      <w:r>
        <w:rPr>
          <w:spacing w:val="-2"/>
          <w:sz w:val="18"/>
          <w:vertAlign w:val="baseline"/>
        </w:rPr>
        <w:t> </w:t>
      </w:r>
      <w:r>
        <w:rPr>
          <w:sz w:val="18"/>
          <w:vertAlign w:val="baseline"/>
        </w:rPr>
        <w:t>With</w:t>
      </w:r>
      <w:r>
        <w:rPr>
          <w:spacing w:val="-2"/>
          <w:sz w:val="18"/>
          <w:vertAlign w:val="baseline"/>
        </w:rPr>
        <w:t> </w:t>
      </w:r>
      <w:r>
        <w:rPr>
          <w:sz w:val="18"/>
          <w:vertAlign w:val="baseline"/>
        </w:rPr>
        <w:t>Unsupportive</w:t>
      </w:r>
      <w:r>
        <w:rPr>
          <w:spacing w:val="-2"/>
          <w:sz w:val="18"/>
          <w:vertAlign w:val="baseline"/>
        </w:rPr>
        <w:t> </w:t>
      </w:r>
      <w:r>
        <w:rPr>
          <w:sz w:val="18"/>
          <w:vertAlign w:val="baseline"/>
        </w:rPr>
        <w:t>Parents</w:t>
      </w:r>
      <w:r>
        <w:rPr>
          <w:spacing w:val="-2"/>
          <w:sz w:val="18"/>
          <w:vertAlign w:val="baseline"/>
        </w:rPr>
        <w:t> </w:t>
      </w:r>
      <w:r>
        <w:rPr>
          <w:sz w:val="18"/>
          <w:vertAlign w:val="baseline"/>
        </w:rPr>
        <w:t>Right</w:t>
      </w:r>
      <w:r>
        <w:rPr>
          <w:spacing w:val="-3"/>
          <w:sz w:val="18"/>
          <w:vertAlign w:val="baseline"/>
        </w:rPr>
        <w:t> </w:t>
      </w:r>
      <w:r>
        <w:rPr>
          <w:sz w:val="18"/>
          <w:vertAlign w:val="baseline"/>
        </w:rPr>
        <w:t>Now’:</w:t>
      </w:r>
      <w:r>
        <w:rPr>
          <w:spacing w:val="-2"/>
          <w:sz w:val="18"/>
          <w:vertAlign w:val="baseline"/>
        </w:rPr>
        <w:t> </w:t>
      </w:r>
      <w:r>
        <w:rPr>
          <w:sz w:val="18"/>
          <w:vertAlign w:val="baseline"/>
        </w:rPr>
        <w:t>LGBTQ</w:t>
      </w:r>
      <w:r>
        <w:rPr>
          <w:spacing w:val="-2"/>
          <w:sz w:val="18"/>
          <w:vertAlign w:val="baseline"/>
        </w:rPr>
        <w:t> </w:t>
      </w:r>
      <w:r>
        <w:rPr>
          <w:sz w:val="18"/>
          <w:vertAlign w:val="baseline"/>
        </w:rPr>
        <w:t>Youths’</w:t>
      </w:r>
      <w:r>
        <w:rPr>
          <w:spacing w:val="-3"/>
          <w:sz w:val="18"/>
          <w:vertAlign w:val="baseline"/>
        </w:rPr>
        <w:t> </w:t>
      </w:r>
      <w:r>
        <w:rPr>
          <w:sz w:val="18"/>
          <w:vertAlign w:val="baseline"/>
        </w:rPr>
        <w:t>Experiences</w:t>
      </w:r>
      <w:r>
        <w:rPr>
          <w:spacing w:val="-2"/>
          <w:sz w:val="18"/>
          <w:vertAlign w:val="baseline"/>
        </w:rPr>
        <w:t> </w:t>
      </w:r>
      <w:r>
        <w:rPr>
          <w:sz w:val="18"/>
          <w:vertAlign w:val="baseline"/>
        </w:rPr>
        <w:t>With COVID-19 and the Importance of Online Support,” </w:t>
      </w:r>
      <w:r>
        <w:rPr>
          <w:i/>
          <w:sz w:val="18"/>
          <w:vertAlign w:val="baseline"/>
        </w:rPr>
        <w:t>Journal of Adolescent Health </w:t>
      </w:r>
      <w:r>
        <w:rPr>
          <w:sz w:val="18"/>
          <w:vertAlign w:val="baseline"/>
        </w:rPr>
        <w:t>67, no. 3 (September 1, 2020): 450–52, </w:t>
      </w:r>
      <w:r>
        <w:rPr>
          <w:spacing w:val="-2"/>
          <w:sz w:val="18"/>
          <w:vertAlign w:val="baseline"/>
        </w:rPr>
        <w:t>https://doi.org/10.1016/j.jadohealth.2020.06.002.</w:t>
      </w:r>
    </w:p>
    <w:p>
      <w:pPr>
        <w:spacing w:line="217" w:lineRule="exact" w:before="0"/>
        <w:ind w:left="463" w:right="0" w:firstLine="0"/>
        <w:jc w:val="left"/>
        <w:rPr>
          <w:sz w:val="18"/>
        </w:rPr>
      </w:pPr>
      <w:r>
        <w:rPr>
          <w:sz w:val="18"/>
          <w:vertAlign w:val="superscript"/>
        </w:rPr>
        <w:t>93</w:t>
      </w:r>
      <w:r>
        <w:rPr>
          <w:spacing w:val="-12"/>
          <w:sz w:val="18"/>
          <w:vertAlign w:val="baseline"/>
        </w:rPr>
        <w:t> </w:t>
      </w:r>
      <w:r>
        <w:rPr>
          <w:sz w:val="18"/>
          <w:vertAlign w:val="baseline"/>
        </w:rPr>
        <w:t>Domínguez-Martínez</w:t>
      </w:r>
      <w:r>
        <w:rPr>
          <w:spacing w:val="-6"/>
          <w:sz w:val="18"/>
          <w:vertAlign w:val="baseline"/>
        </w:rPr>
        <w:t> </w:t>
      </w:r>
      <w:r>
        <w:rPr>
          <w:sz w:val="18"/>
          <w:vertAlign w:val="baseline"/>
        </w:rPr>
        <w:t>and</w:t>
      </w:r>
      <w:r>
        <w:rPr>
          <w:spacing w:val="-2"/>
          <w:sz w:val="18"/>
          <w:vertAlign w:val="baseline"/>
        </w:rPr>
        <w:t> </w:t>
      </w:r>
      <w:r>
        <w:rPr>
          <w:sz w:val="18"/>
          <w:vertAlign w:val="baseline"/>
        </w:rPr>
        <w:t>Robles,</w:t>
      </w:r>
      <w:r>
        <w:rPr>
          <w:spacing w:val="-4"/>
          <w:sz w:val="18"/>
          <w:vertAlign w:val="baseline"/>
        </w:rPr>
        <w:t> </w:t>
      </w:r>
      <w:r>
        <w:rPr>
          <w:sz w:val="18"/>
          <w:vertAlign w:val="baseline"/>
        </w:rPr>
        <w:t>“Preventing</w:t>
      </w:r>
      <w:r>
        <w:rPr>
          <w:spacing w:val="-3"/>
          <w:sz w:val="18"/>
          <w:vertAlign w:val="baseline"/>
        </w:rPr>
        <w:t> </w:t>
      </w:r>
      <w:r>
        <w:rPr>
          <w:sz w:val="18"/>
          <w:vertAlign w:val="baseline"/>
        </w:rPr>
        <w:t>Transphobic</w:t>
      </w:r>
      <w:r>
        <w:rPr>
          <w:spacing w:val="-4"/>
          <w:sz w:val="18"/>
          <w:vertAlign w:val="baseline"/>
        </w:rPr>
        <w:t> </w:t>
      </w:r>
      <w:r>
        <w:rPr>
          <w:sz w:val="18"/>
          <w:vertAlign w:val="baseline"/>
        </w:rPr>
        <w:t>Bullying</w:t>
      </w:r>
      <w:r>
        <w:rPr>
          <w:spacing w:val="-2"/>
          <w:sz w:val="18"/>
          <w:vertAlign w:val="baseline"/>
        </w:rPr>
        <w:t> </w:t>
      </w:r>
      <w:r>
        <w:rPr>
          <w:sz w:val="18"/>
          <w:vertAlign w:val="baseline"/>
        </w:rPr>
        <w:t>and</w:t>
      </w:r>
      <w:r>
        <w:rPr>
          <w:spacing w:val="-4"/>
          <w:sz w:val="18"/>
          <w:vertAlign w:val="baseline"/>
        </w:rPr>
        <w:t> </w:t>
      </w:r>
      <w:r>
        <w:rPr>
          <w:sz w:val="18"/>
          <w:vertAlign w:val="baseline"/>
        </w:rPr>
        <w:t>Promoting</w:t>
      </w:r>
      <w:r>
        <w:rPr>
          <w:spacing w:val="-2"/>
          <w:sz w:val="18"/>
          <w:vertAlign w:val="baseline"/>
        </w:rPr>
        <w:t> </w:t>
      </w:r>
      <w:r>
        <w:rPr>
          <w:sz w:val="18"/>
          <w:vertAlign w:val="baseline"/>
        </w:rPr>
        <w:t>Inclusive</w:t>
      </w:r>
      <w:r>
        <w:rPr>
          <w:spacing w:val="-3"/>
          <w:sz w:val="18"/>
          <w:vertAlign w:val="baseline"/>
        </w:rPr>
        <w:t> </w:t>
      </w:r>
      <w:r>
        <w:rPr>
          <w:sz w:val="18"/>
          <w:vertAlign w:val="baseline"/>
        </w:rPr>
        <w:t>Educational</w:t>
      </w:r>
      <w:r>
        <w:rPr>
          <w:spacing w:val="-3"/>
          <w:sz w:val="18"/>
          <w:vertAlign w:val="baseline"/>
        </w:rPr>
        <w:t> </w:t>
      </w:r>
      <w:r>
        <w:rPr>
          <w:spacing w:val="-2"/>
          <w:sz w:val="18"/>
          <w:vertAlign w:val="baseline"/>
        </w:rPr>
        <w:t>Environments.”</w:t>
      </w:r>
    </w:p>
    <w:p>
      <w:pPr>
        <w:spacing w:line="273" w:lineRule="auto" w:before="20"/>
        <w:ind w:left="463" w:right="311" w:hanging="1"/>
        <w:jc w:val="left"/>
        <w:rPr>
          <w:sz w:val="18"/>
        </w:rPr>
      </w:pPr>
      <w:r>
        <w:rPr>
          <w:sz w:val="18"/>
          <w:vertAlign w:val="superscript"/>
        </w:rPr>
        <w:t>94</w:t>
      </w:r>
      <w:r>
        <w:rPr>
          <w:spacing w:val="-12"/>
          <w:sz w:val="18"/>
          <w:vertAlign w:val="baseline"/>
        </w:rPr>
        <w:t> </w:t>
      </w:r>
      <w:r>
        <w:rPr>
          <w:sz w:val="18"/>
          <w:vertAlign w:val="baseline"/>
        </w:rPr>
        <w:t>Kosciw,</w:t>
      </w:r>
      <w:r>
        <w:rPr>
          <w:spacing w:val="-3"/>
          <w:sz w:val="18"/>
          <w:vertAlign w:val="baseline"/>
        </w:rPr>
        <w:t> </w:t>
      </w:r>
      <w:r>
        <w:rPr>
          <w:sz w:val="18"/>
          <w:vertAlign w:val="baseline"/>
        </w:rPr>
        <w:t>Clark,</w:t>
      </w:r>
      <w:r>
        <w:rPr>
          <w:spacing w:val="-3"/>
          <w:sz w:val="18"/>
          <w:vertAlign w:val="baseline"/>
        </w:rPr>
        <w:t> </w:t>
      </w:r>
      <w:r>
        <w:rPr>
          <w:sz w:val="18"/>
          <w:vertAlign w:val="baseline"/>
        </w:rPr>
        <w:t>and</w:t>
      </w:r>
      <w:r>
        <w:rPr>
          <w:spacing w:val="-2"/>
          <w:sz w:val="18"/>
          <w:vertAlign w:val="baseline"/>
        </w:rPr>
        <w:t> </w:t>
      </w:r>
      <w:r>
        <w:rPr>
          <w:sz w:val="18"/>
          <w:vertAlign w:val="baseline"/>
        </w:rPr>
        <w:t>Menard,</w:t>
      </w:r>
      <w:r>
        <w:rPr>
          <w:spacing w:val="-3"/>
          <w:sz w:val="18"/>
          <w:vertAlign w:val="baseline"/>
        </w:rPr>
        <w:t> </w:t>
      </w:r>
      <w:r>
        <w:rPr>
          <w:sz w:val="18"/>
          <w:vertAlign w:val="baseline"/>
        </w:rPr>
        <w:t>“The</w:t>
      </w:r>
      <w:r>
        <w:rPr>
          <w:spacing w:val="-2"/>
          <w:sz w:val="18"/>
          <w:vertAlign w:val="baseline"/>
        </w:rPr>
        <w:t> </w:t>
      </w:r>
      <w:r>
        <w:rPr>
          <w:sz w:val="18"/>
          <w:vertAlign w:val="baseline"/>
        </w:rPr>
        <w:t>2021</w:t>
      </w:r>
      <w:r>
        <w:rPr>
          <w:spacing w:val="-2"/>
          <w:sz w:val="18"/>
          <w:vertAlign w:val="baseline"/>
        </w:rPr>
        <w:t> </w:t>
      </w:r>
      <w:r>
        <w:rPr>
          <w:sz w:val="18"/>
          <w:vertAlign w:val="baseline"/>
        </w:rPr>
        <w:t>National</w:t>
      </w:r>
      <w:r>
        <w:rPr>
          <w:spacing w:val="-3"/>
          <w:sz w:val="18"/>
          <w:vertAlign w:val="baseline"/>
        </w:rPr>
        <w:t> </w:t>
      </w:r>
      <w:r>
        <w:rPr>
          <w:sz w:val="18"/>
          <w:vertAlign w:val="baseline"/>
        </w:rPr>
        <w:t>School</w:t>
      </w:r>
      <w:r>
        <w:rPr>
          <w:spacing w:val="-3"/>
          <w:sz w:val="18"/>
          <w:vertAlign w:val="baseline"/>
        </w:rPr>
        <w:t> </w:t>
      </w:r>
      <w:r>
        <w:rPr>
          <w:sz w:val="18"/>
          <w:vertAlign w:val="baseline"/>
        </w:rPr>
        <w:t>Climate</w:t>
      </w:r>
      <w:r>
        <w:rPr>
          <w:spacing w:val="-2"/>
          <w:sz w:val="18"/>
          <w:vertAlign w:val="baseline"/>
        </w:rPr>
        <w:t> </w:t>
      </w:r>
      <w:r>
        <w:rPr>
          <w:sz w:val="18"/>
          <w:vertAlign w:val="baseline"/>
        </w:rPr>
        <w:t>Survey:</w:t>
      </w:r>
      <w:r>
        <w:rPr>
          <w:spacing w:val="-2"/>
          <w:sz w:val="18"/>
          <w:vertAlign w:val="baseline"/>
        </w:rPr>
        <w:t> </w:t>
      </w:r>
      <w:r>
        <w:rPr>
          <w:sz w:val="18"/>
          <w:vertAlign w:val="baseline"/>
        </w:rPr>
        <w:t>The</w:t>
      </w:r>
      <w:r>
        <w:rPr>
          <w:spacing w:val="-2"/>
          <w:sz w:val="18"/>
          <w:vertAlign w:val="baseline"/>
        </w:rPr>
        <w:t> </w:t>
      </w:r>
      <w:r>
        <w:rPr>
          <w:sz w:val="18"/>
          <w:vertAlign w:val="baseline"/>
        </w:rPr>
        <w:t>Experiences</w:t>
      </w:r>
      <w:r>
        <w:rPr>
          <w:spacing w:val="-2"/>
          <w:sz w:val="18"/>
          <w:vertAlign w:val="baseline"/>
        </w:rPr>
        <w:t> </w:t>
      </w:r>
      <w:r>
        <w:rPr>
          <w:sz w:val="18"/>
          <w:vertAlign w:val="baseline"/>
        </w:rPr>
        <w:t>of</w:t>
      </w:r>
      <w:r>
        <w:rPr>
          <w:spacing w:val="-2"/>
          <w:sz w:val="18"/>
          <w:vertAlign w:val="baseline"/>
        </w:rPr>
        <w:t> </w:t>
      </w:r>
      <w:r>
        <w:rPr>
          <w:sz w:val="18"/>
          <w:vertAlign w:val="baseline"/>
        </w:rPr>
        <w:t>LGBTQ+</w:t>
      </w:r>
      <w:r>
        <w:rPr>
          <w:spacing w:val="-2"/>
          <w:sz w:val="18"/>
          <w:vertAlign w:val="baseline"/>
        </w:rPr>
        <w:t> </w:t>
      </w:r>
      <w:r>
        <w:rPr>
          <w:sz w:val="18"/>
          <w:vertAlign w:val="baseline"/>
        </w:rPr>
        <w:t>Youth</w:t>
      </w:r>
      <w:r>
        <w:rPr>
          <w:spacing w:val="-2"/>
          <w:sz w:val="18"/>
          <w:vertAlign w:val="baseline"/>
        </w:rPr>
        <w:t> </w:t>
      </w:r>
      <w:r>
        <w:rPr>
          <w:sz w:val="18"/>
          <w:vertAlign w:val="baseline"/>
        </w:rPr>
        <w:t>in</w:t>
      </w:r>
      <w:r>
        <w:rPr>
          <w:spacing w:val="-2"/>
          <w:sz w:val="18"/>
          <w:vertAlign w:val="baseline"/>
        </w:rPr>
        <w:t> </w:t>
      </w:r>
      <w:r>
        <w:rPr>
          <w:sz w:val="18"/>
          <w:vertAlign w:val="baseline"/>
        </w:rPr>
        <w:t>Our</w:t>
      </w:r>
      <w:r>
        <w:rPr>
          <w:spacing w:val="-3"/>
          <w:sz w:val="18"/>
          <w:vertAlign w:val="baseline"/>
        </w:rPr>
        <w:t> </w:t>
      </w:r>
      <w:r>
        <w:rPr>
          <w:sz w:val="18"/>
          <w:vertAlign w:val="baseline"/>
        </w:rPr>
        <w:t>Nation’s </w:t>
      </w:r>
      <w:r>
        <w:rPr>
          <w:spacing w:val="-2"/>
          <w:sz w:val="18"/>
          <w:vertAlign w:val="baseline"/>
        </w:rPr>
        <w:t>Schools.”</w:t>
      </w:r>
    </w:p>
    <w:p>
      <w:pPr>
        <w:spacing w:line="268" w:lineRule="auto" w:before="9"/>
        <w:ind w:left="463" w:right="300" w:hanging="1"/>
        <w:jc w:val="left"/>
        <w:rPr>
          <w:sz w:val="18"/>
        </w:rPr>
      </w:pPr>
      <w:r>
        <w:rPr>
          <w:sz w:val="18"/>
          <w:vertAlign w:val="superscript"/>
        </w:rPr>
        <w:t>95</w:t>
      </w:r>
      <w:r>
        <w:rPr>
          <w:spacing w:val="-12"/>
          <w:sz w:val="18"/>
          <w:vertAlign w:val="baseline"/>
        </w:rPr>
        <w:t> </w:t>
      </w:r>
      <w:r>
        <w:rPr>
          <w:sz w:val="18"/>
          <w:vertAlign w:val="baseline"/>
        </w:rPr>
        <w:t>“Opioid-Related</w:t>
      </w:r>
      <w:r>
        <w:rPr>
          <w:spacing w:val="-3"/>
          <w:sz w:val="18"/>
          <w:vertAlign w:val="baseline"/>
        </w:rPr>
        <w:t> </w:t>
      </w:r>
      <w:r>
        <w:rPr>
          <w:sz w:val="18"/>
          <w:vertAlign w:val="baseline"/>
        </w:rPr>
        <w:t>Overdose</w:t>
      </w:r>
      <w:r>
        <w:rPr>
          <w:spacing w:val="-3"/>
          <w:sz w:val="18"/>
          <w:vertAlign w:val="baseline"/>
        </w:rPr>
        <w:t> </w:t>
      </w:r>
      <w:r>
        <w:rPr>
          <w:sz w:val="18"/>
          <w:vertAlign w:val="baseline"/>
        </w:rPr>
        <w:t>Deaths,</w:t>
      </w:r>
      <w:r>
        <w:rPr>
          <w:spacing w:val="-3"/>
          <w:sz w:val="18"/>
          <w:vertAlign w:val="baseline"/>
        </w:rPr>
        <w:t> </w:t>
      </w:r>
      <w:r>
        <w:rPr>
          <w:sz w:val="18"/>
          <w:vertAlign w:val="baseline"/>
        </w:rPr>
        <w:t>All</w:t>
      </w:r>
      <w:r>
        <w:rPr>
          <w:spacing w:val="-3"/>
          <w:sz w:val="18"/>
          <w:vertAlign w:val="baseline"/>
        </w:rPr>
        <w:t> </w:t>
      </w:r>
      <w:r>
        <w:rPr>
          <w:sz w:val="18"/>
          <w:vertAlign w:val="baseline"/>
        </w:rPr>
        <w:t>Intents,</w:t>
      </w:r>
      <w:r>
        <w:rPr>
          <w:spacing w:val="-3"/>
          <w:sz w:val="18"/>
          <w:vertAlign w:val="baseline"/>
        </w:rPr>
        <w:t> </w:t>
      </w:r>
      <w:r>
        <w:rPr>
          <w:sz w:val="18"/>
          <w:vertAlign w:val="baseline"/>
        </w:rPr>
        <w:t>MA</w:t>
      </w:r>
      <w:r>
        <w:rPr>
          <w:spacing w:val="-2"/>
          <w:sz w:val="18"/>
          <w:vertAlign w:val="baseline"/>
        </w:rPr>
        <w:t> </w:t>
      </w:r>
      <w:r>
        <w:rPr>
          <w:sz w:val="18"/>
          <w:vertAlign w:val="baseline"/>
        </w:rPr>
        <w:t>Residents</w:t>
      </w:r>
      <w:r>
        <w:rPr>
          <w:spacing w:val="-2"/>
          <w:sz w:val="18"/>
          <w:vertAlign w:val="baseline"/>
        </w:rPr>
        <w:t> </w:t>
      </w:r>
      <w:r>
        <w:rPr>
          <w:sz w:val="18"/>
          <w:vertAlign w:val="baseline"/>
        </w:rPr>
        <w:t>–</w:t>
      </w:r>
      <w:r>
        <w:rPr>
          <w:spacing w:val="-3"/>
          <w:sz w:val="18"/>
          <w:vertAlign w:val="baseline"/>
        </w:rPr>
        <w:t> </w:t>
      </w:r>
      <w:r>
        <w:rPr>
          <w:sz w:val="18"/>
          <w:vertAlign w:val="baseline"/>
        </w:rPr>
        <w:t>Demographic</w:t>
      </w:r>
      <w:r>
        <w:rPr>
          <w:spacing w:val="-3"/>
          <w:sz w:val="18"/>
          <w:vertAlign w:val="baseline"/>
        </w:rPr>
        <w:t> </w:t>
      </w:r>
      <w:r>
        <w:rPr>
          <w:sz w:val="18"/>
          <w:vertAlign w:val="baseline"/>
        </w:rPr>
        <w:t>Data</w:t>
      </w:r>
      <w:r>
        <w:rPr>
          <w:spacing w:val="-2"/>
          <w:sz w:val="18"/>
          <w:vertAlign w:val="baseline"/>
        </w:rPr>
        <w:t> </w:t>
      </w:r>
      <w:r>
        <w:rPr>
          <w:sz w:val="18"/>
          <w:vertAlign w:val="baseline"/>
        </w:rPr>
        <w:t>Highlights”</w:t>
      </w:r>
      <w:r>
        <w:rPr>
          <w:spacing w:val="-2"/>
          <w:sz w:val="18"/>
          <w:vertAlign w:val="baseline"/>
        </w:rPr>
        <w:t> </w:t>
      </w:r>
      <w:r>
        <w:rPr>
          <w:sz w:val="18"/>
          <w:vertAlign w:val="baseline"/>
        </w:rPr>
        <w:t>(Massachusetts</w:t>
      </w:r>
      <w:r>
        <w:rPr>
          <w:spacing w:val="-3"/>
          <w:sz w:val="18"/>
          <w:vertAlign w:val="baseline"/>
        </w:rPr>
        <w:t> </w:t>
      </w:r>
      <w:r>
        <w:rPr>
          <w:sz w:val="18"/>
          <w:vertAlign w:val="baseline"/>
        </w:rPr>
        <w:t>Department</w:t>
      </w:r>
      <w:r>
        <w:rPr>
          <w:spacing w:val="-3"/>
          <w:sz w:val="18"/>
          <w:vertAlign w:val="baseline"/>
        </w:rPr>
        <w:t> </w:t>
      </w:r>
      <w:r>
        <w:rPr>
          <w:sz w:val="18"/>
          <w:vertAlign w:val="baseline"/>
        </w:rPr>
        <w:t>of Public Health, December 2022), https://</w:t>
      </w:r>
      <w:hyperlink r:id="rId159">
        <w:r>
          <w:rPr>
            <w:sz w:val="18"/>
            <w:vertAlign w:val="baseline"/>
          </w:rPr>
          <w:t>www.mass.gov/doc/opioid-related-overdose-deaths-</w:t>
        </w:r>
      </w:hyperlink>
      <w:r>
        <w:rPr>
          <w:sz w:val="18"/>
          <w:vertAlign w:val="baseline"/>
        </w:rPr>
        <w:t> demographics-december- </w:t>
      </w:r>
      <w:r>
        <w:rPr>
          <w:spacing w:val="-2"/>
          <w:sz w:val="18"/>
          <w:vertAlign w:val="baseline"/>
        </w:rPr>
        <w:t>2022/download.</w:t>
      </w:r>
    </w:p>
    <w:p>
      <w:pPr>
        <w:spacing w:before="15"/>
        <w:ind w:left="463" w:right="0" w:firstLine="0"/>
        <w:jc w:val="left"/>
        <w:rPr>
          <w:sz w:val="18"/>
        </w:rPr>
      </w:pPr>
      <w:r>
        <w:rPr>
          <w:sz w:val="18"/>
          <w:vertAlign w:val="superscript"/>
        </w:rPr>
        <w:t>96</w:t>
      </w:r>
      <w:r>
        <w:rPr>
          <w:spacing w:val="-12"/>
          <w:sz w:val="18"/>
          <w:vertAlign w:val="baseline"/>
        </w:rPr>
        <w:t> </w:t>
      </w:r>
      <w:r>
        <w:rPr>
          <w:sz w:val="18"/>
          <w:vertAlign w:val="baseline"/>
        </w:rPr>
        <w:t>Jeremy</w:t>
      </w:r>
      <w:r>
        <w:rPr>
          <w:spacing w:val="-3"/>
          <w:sz w:val="18"/>
          <w:vertAlign w:val="baseline"/>
        </w:rPr>
        <w:t> </w:t>
      </w:r>
      <w:r>
        <w:rPr>
          <w:sz w:val="18"/>
          <w:vertAlign w:val="baseline"/>
        </w:rPr>
        <w:t>T.</w:t>
      </w:r>
      <w:r>
        <w:rPr>
          <w:spacing w:val="-2"/>
          <w:sz w:val="18"/>
          <w:vertAlign w:val="baseline"/>
        </w:rPr>
        <w:t> </w:t>
      </w:r>
      <w:r>
        <w:rPr>
          <w:sz w:val="18"/>
          <w:vertAlign w:val="baseline"/>
        </w:rPr>
        <w:t>Goldbach</w:t>
      </w:r>
      <w:r>
        <w:rPr>
          <w:spacing w:val="-1"/>
          <w:sz w:val="18"/>
          <w:vertAlign w:val="baseline"/>
        </w:rPr>
        <w:t> </w:t>
      </w:r>
      <w:r>
        <w:rPr>
          <w:sz w:val="18"/>
          <w:vertAlign w:val="baseline"/>
        </w:rPr>
        <w:t>et</w:t>
      </w:r>
      <w:r>
        <w:rPr>
          <w:spacing w:val="-3"/>
          <w:sz w:val="18"/>
          <w:vertAlign w:val="baseline"/>
        </w:rPr>
        <w:t> </w:t>
      </w:r>
      <w:r>
        <w:rPr>
          <w:sz w:val="18"/>
          <w:vertAlign w:val="baseline"/>
        </w:rPr>
        <w:t>al.,</w:t>
      </w:r>
      <w:r>
        <w:rPr>
          <w:spacing w:val="-2"/>
          <w:sz w:val="18"/>
          <w:vertAlign w:val="baseline"/>
        </w:rPr>
        <w:t> </w:t>
      </w:r>
      <w:r>
        <w:rPr>
          <w:sz w:val="18"/>
          <w:vertAlign w:val="baseline"/>
        </w:rPr>
        <w:t>“Minority</w:t>
      </w:r>
      <w:r>
        <w:rPr>
          <w:spacing w:val="-2"/>
          <w:sz w:val="18"/>
          <w:vertAlign w:val="baseline"/>
        </w:rPr>
        <w:t> </w:t>
      </w:r>
      <w:r>
        <w:rPr>
          <w:sz w:val="18"/>
          <w:vertAlign w:val="baseline"/>
        </w:rPr>
        <w:t>Stress</w:t>
      </w:r>
      <w:r>
        <w:rPr>
          <w:spacing w:val="-1"/>
          <w:sz w:val="18"/>
          <w:vertAlign w:val="baseline"/>
        </w:rPr>
        <w:t> </w:t>
      </w:r>
      <w:r>
        <w:rPr>
          <w:sz w:val="18"/>
          <w:vertAlign w:val="baseline"/>
        </w:rPr>
        <w:t>and</w:t>
      </w:r>
      <w:r>
        <w:rPr>
          <w:spacing w:val="-2"/>
          <w:sz w:val="18"/>
          <w:vertAlign w:val="baseline"/>
        </w:rPr>
        <w:t> </w:t>
      </w:r>
      <w:r>
        <w:rPr>
          <w:sz w:val="18"/>
          <w:vertAlign w:val="baseline"/>
        </w:rPr>
        <w:t>Substance</w:t>
      </w:r>
      <w:r>
        <w:rPr>
          <w:spacing w:val="-2"/>
          <w:sz w:val="18"/>
          <w:vertAlign w:val="baseline"/>
        </w:rPr>
        <w:t> </w:t>
      </w:r>
      <w:r>
        <w:rPr>
          <w:sz w:val="18"/>
          <w:vertAlign w:val="baseline"/>
        </w:rPr>
        <w:t>Use</w:t>
      </w:r>
      <w:r>
        <w:rPr>
          <w:spacing w:val="-2"/>
          <w:sz w:val="18"/>
          <w:vertAlign w:val="baseline"/>
        </w:rPr>
        <w:t> </w:t>
      </w:r>
      <w:r>
        <w:rPr>
          <w:sz w:val="18"/>
          <w:vertAlign w:val="baseline"/>
        </w:rPr>
        <w:t>in</w:t>
      </w:r>
      <w:r>
        <w:rPr>
          <w:spacing w:val="-1"/>
          <w:sz w:val="18"/>
          <w:vertAlign w:val="baseline"/>
        </w:rPr>
        <w:t> </w:t>
      </w:r>
      <w:r>
        <w:rPr>
          <w:sz w:val="18"/>
          <w:vertAlign w:val="baseline"/>
        </w:rPr>
        <w:t>Sexual</w:t>
      </w:r>
      <w:r>
        <w:rPr>
          <w:spacing w:val="-2"/>
          <w:sz w:val="18"/>
          <w:vertAlign w:val="baseline"/>
        </w:rPr>
        <w:t> </w:t>
      </w:r>
      <w:r>
        <w:rPr>
          <w:sz w:val="18"/>
          <w:vertAlign w:val="baseline"/>
        </w:rPr>
        <w:t>Minority</w:t>
      </w:r>
      <w:r>
        <w:rPr>
          <w:spacing w:val="-2"/>
          <w:sz w:val="18"/>
          <w:vertAlign w:val="baseline"/>
        </w:rPr>
        <w:t> </w:t>
      </w:r>
      <w:r>
        <w:rPr>
          <w:sz w:val="18"/>
          <w:vertAlign w:val="baseline"/>
        </w:rPr>
        <w:t>Adolescents:</w:t>
      </w:r>
      <w:r>
        <w:rPr>
          <w:spacing w:val="-2"/>
          <w:sz w:val="18"/>
          <w:vertAlign w:val="baseline"/>
        </w:rPr>
        <w:t> </w:t>
      </w:r>
      <w:r>
        <w:rPr>
          <w:sz w:val="18"/>
          <w:vertAlign w:val="baseline"/>
        </w:rPr>
        <w:t>A</w:t>
      </w:r>
      <w:r>
        <w:rPr>
          <w:spacing w:val="-2"/>
          <w:sz w:val="18"/>
          <w:vertAlign w:val="baseline"/>
        </w:rPr>
        <w:t> </w:t>
      </w:r>
      <w:r>
        <w:rPr>
          <w:sz w:val="18"/>
          <w:vertAlign w:val="baseline"/>
        </w:rPr>
        <w:t>Meta-</w:t>
      </w:r>
      <w:r>
        <w:rPr>
          <w:spacing w:val="-2"/>
          <w:sz w:val="18"/>
          <w:vertAlign w:val="baseline"/>
        </w:rPr>
        <w:t>Analysis,”</w:t>
      </w:r>
    </w:p>
    <w:p>
      <w:pPr>
        <w:spacing w:before="13"/>
        <w:ind w:left="463" w:right="0" w:firstLine="0"/>
        <w:jc w:val="left"/>
        <w:rPr>
          <w:sz w:val="18"/>
        </w:rPr>
      </w:pPr>
      <w:r>
        <w:rPr>
          <w:i/>
          <w:sz w:val="18"/>
        </w:rPr>
        <w:t>Prevention</w:t>
      </w:r>
      <w:r>
        <w:rPr>
          <w:i/>
          <w:spacing w:val="-7"/>
          <w:sz w:val="18"/>
        </w:rPr>
        <w:t> </w:t>
      </w:r>
      <w:r>
        <w:rPr>
          <w:i/>
          <w:sz w:val="18"/>
        </w:rPr>
        <w:t>Science</w:t>
      </w:r>
      <w:r>
        <w:rPr>
          <w:i/>
          <w:spacing w:val="-4"/>
          <w:sz w:val="18"/>
        </w:rPr>
        <w:t> </w:t>
      </w:r>
      <w:r>
        <w:rPr>
          <w:sz w:val="18"/>
        </w:rPr>
        <w:t>15,</w:t>
      </w:r>
      <w:r>
        <w:rPr>
          <w:spacing w:val="-6"/>
          <w:sz w:val="18"/>
        </w:rPr>
        <w:t> </w:t>
      </w:r>
      <w:r>
        <w:rPr>
          <w:sz w:val="18"/>
        </w:rPr>
        <w:t>no.</w:t>
      </w:r>
      <w:r>
        <w:rPr>
          <w:spacing w:val="-4"/>
          <w:sz w:val="18"/>
        </w:rPr>
        <w:t> </w:t>
      </w:r>
      <w:r>
        <w:rPr>
          <w:sz w:val="18"/>
        </w:rPr>
        <w:t>3</w:t>
      </w:r>
      <w:r>
        <w:rPr>
          <w:spacing w:val="-5"/>
          <w:sz w:val="18"/>
        </w:rPr>
        <w:t> </w:t>
      </w:r>
      <w:r>
        <w:rPr>
          <w:sz w:val="18"/>
        </w:rPr>
        <w:t>(June</w:t>
      </w:r>
      <w:r>
        <w:rPr>
          <w:spacing w:val="-4"/>
          <w:sz w:val="18"/>
        </w:rPr>
        <w:t> </w:t>
      </w:r>
      <w:r>
        <w:rPr>
          <w:sz w:val="18"/>
        </w:rPr>
        <w:t>1,</w:t>
      </w:r>
      <w:r>
        <w:rPr>
          <w:spacing w:val="-6"/>
          <w:sz w:val="18"/>
        </w:rPr>
        <w:t> </w:t>
      </w:r>
      <w:r>
        <w:rPr>
          <w:sz w:val="18"/>
        </w:rPr>
        <w:t>2014):</w:t>
      </w:r>
      <w:r>
        <w:rPr>
          <w:spacing w:val="-4"/>
          <w:sz w:val="18"/>
        </w:rPr>
        <w:t> </w:t>
      </w:r>
      <w:r>
        <w:rPr>
          <w:sz w:val="18"/>
        </w:rPr>
        <w:t>350–63,</w:t>
      </w:r>
      <w:r>
        <w:rPr>
          <w:spacing w:val="-5"/>
          <w:sz w:val="18"/>
        </w:rPr>
        <w:t> </w:t>
      </w:r>
      <w:r>
        <w:rPr>
          <w:sz w:val="18"/>
        </w:rPr>
        <w:t>https://doi.org/10.1007/s11121-013-0393-</w:t>
      </w:r>
      <w:r>
        <w:rPr>
          <w:spacing w:val="-5"/>
          <w:sz w:val="18"/>
        </w:rPr>
        <w:t>7.</w:t>
      </w:r>
    </w:p>
    <w:p>
      <w:pPr>
        <w:spacing w:line="273" w:lineRule="auto" w:before="15"/>
        <w:ind w:left="463" w:right="311" w:hanging="1"/>
        <w:jc w:val="left"/>
        <w:rPr>
          <w:sz w:val="18"/>
        </w:rPr>
      </w:pPr>
      <w:r>
        <w:rPr>
          <w:sz w:val="18"/>
          <w:vertAlign w:val="superscript"/>
        </w:rPr>
        <w:t>97</w:t>
      </w:r>
      <w:r>
        <w:rPr>
          <w:spacing w:val="-12"/>
          <w:sz w:val="18"/>
          <w:vertAlign w:val="baseline"/>
        </w:rPr>
        <w:t> </w:t>
      </w:r>
      <w:r>
        <w:rPr>
          <w:sz w:val="18"/>
          <w:vertAlign w:val="baseline"/>
        </w:rPr>
        <w:t>Jack</w:t>
      </w:r>
      <w:r>
        <w:rPr>
          <w:spacing w:val="-4"/>
          <w:sz w:val="18"/>
          <w:vertAlign w:val="baseline"/>
        </w:rPr>
        <w:t> </w:t>
      </w:r>
      <w:r>
        <w:rPr>
          <w:sz w:val="18"/>
          <w:vertAlign w:val="baseline"/>
        </w:rPr>
        <w:t>K.</w:t>
      </w:r>
      <w:r>
        <w:rPr>
          <w:spacing w:val="-2"/>
          <w:sz w:val="18"/>
          <w:vertAlign w:val="baseline"/>
        </w:rPr>
        <w:t> </w:t>
      </w:r>
      <w:r>
        <w:rPr>
          <w:sz w:val="18"/>
          <w:vertAlign w:val="baseline"/>
        </w:rPr>
        <w:t>Day</w:t>
      </w:r>
      <w:r>
        <w:rPr>
          <w:spacing w:val="-2"/>
          <w:sz w:val="18"/>
          <w:vertAlign w:val="baseline"/>
        </w:rPr>
        <w:t> </w:t>
      </w:r>
      <w:r>
        <w:rPr>
          <w:sz w:val="18"/>
          <w:vertAlign w:val="baseline"/>
        </w:rPr>
        <w:t>et</w:t>
      </w:r>
      <w:r>
        <w:rPr>
          <w:spacing w:val="-3"/>
          <w:sz w:val="18"/>
          <w:vertAlign w:val="baseline"/>
        </w:rPr>
        <w:t> </w:t>
      </w:r>
      <w:r>
        <w:rPr>
          <w:sz w:val="18"/>
          <w:vertAlign w:val="baseline"/>
        </w:rPr>
        <w:t>al.,</w:t>
      </w:r>
      <w:r>
        <w:rPr>
          <w:spacing w:val="-3"/>
          <w:sz w:val="18"/>
          <w:vertAlign w:val="baseline"/>
        </w:rPr>
        <w:t> </w:t>
      </w:r>
      <w:r>
        <w:rPr>
          <w:sz w:val="18"/>
          <w:vertAlign w:val="baseline"/>
        </w:rPr>
        <w:t>“Transgender</w:t>
      </w:r>
      <w:r>
        <w:rPr>
          <w:spacing w:val="-3"/>
          <w:sz w:val="18"/>
          <w:vertAlign w:val="baseline"/>
        </w:rPr>
        <w:t> </w:t>
      </w:r>
      <w:r>
        <w:rPr>
          <w:sz w:val="18"/>
          <w:vertAlign w:val="baseline"/>
        </w:rPr>
        <w:t>Youth</w:t>
      </w:r>
      <w:r>
        <w:rPr>
          <w:spacing w:val="-2"/>
          <w:sz w:val="18"/>
          <w:vertAlign w:val="baseline"/>
        </w:rPr>
        <w:t> </w:t>
      </w:r>
      <w:r>
        <w:rPr>
          <w:sz w:val="18"/>
          <w:vertAlign w:val="baseline"/>
        </w:rPr>
        <w:t>Substance</w:t>
      </w:r>
      <w:r>
        <w:rPr>
          <w:spacing w:val="-2"/>
          <w:sz w:val="18"/>
          <w:vertAlign w:val="baseline"/>
        </w:rPr>
        <w:t> </w:t>
      </w:r>
      <w:r>
        <w:rPr>
          <w:sz w:val="18"/>
          <w:vertAlign w:val="baseline"/>
        </w:rPr>
        <w:t>Use</w:t>
      </w:r>
      <w:r>
        <w:rPr>
          <w:spacing w:val="-2"/>
          <w:sz w:val="18"/>
          <w:vertAlign w:val="baseline"/>
        </w:rPr>
        <w:t> </w:t>
      </w:r>
      <w:r>
        <w:rPr>
          <w:sz w:val="18"/>
          <w:vertAlign w:val="baseline"/>
        </w:rPr>
        <w:t>Disparities:</w:t>
      </w:r>
      <w:r>
        <w:rPr>
          <w:spacing w:val="-2"/>
          <w:sz w:val="18"/>
          <w:vertAlign w:val="baseline"/>
        </w:rPr>
        <w:t> </w:t>
      </w:r>
      <w:r>
        <w:rPr>
          <w:sz w:val="18"/>
          <w:vertAlign w:val="baseline"/>
        </w:rPr>
        <w:t>Results</w:t>
      </w:r>
      <w:r>
        <w:rPr>
          <w:spacing w:val="-2"/>
          <w:sz w:val="18"/>
          <w:vertAlign w:val="baseline"/>
        </w:rPr>
        <w:t> </w:t>
      </w:r>
      <w:r>
        <w:rPr>
          <w:sz w:val="18"/>
          <w:vertAlign w:val="baseline"/>
        </w:rPr>
        <w:t>From</w:t>
      </w:r>
      <w:r>
        <w:rPr>
          <w:spacing w:val="-2"/>
          <w:sz w:val="18"/>
          <w:vertAlign w:val="baseline"/>
        </w:rPr>
        <w:t> </w:t>
      </w:r>
      <w:r>
        <w:rPr>
          <w:sz w:val="18"/>
          <w:vertAlign w:val="baseline"/>
        </w:rPr>
        <w:t>a</w:t>
      </w:r>
      <w:r>
        <w:rPr>
          <w:spacing w:val="-2"/>
          <w:sz w:val="18"/>
          <w:vertAlign w:val="baseline"/>
        </w:rPr>
        <w:t> </w:t>
      </w:r>
      <w:r>
        <w:rPr>
          <w:sz w:val="18"/>
          <w:vertAlign w:val="baseline"/>
        </w:rPr>
        <w:t>Population-Based</w:t>
      </w:r>
      <w:r>
        <w:rPr>
          <w:spacing w:val="-2"/>
          <w:sz w:val="18"/>
          <w:vertAlign w:val="baseline"/>
        </w:rPr>
        <w:t> </w:t>
      </w:r>
      <w:r>
        <w:rPr>
          <w:sz w:val="18"/>
          <w:vertAlign w:val="baseline"/>
        </w:rPr>
        <w:t>Sample,”</w:t>
      </w:r>
      <w:r>
        <w:rPr>
          <w:spacing w:val="-2"/>
          <w:sz w:val="18"/>
          <w:vertAlign w:val="baseline"/>
        </w:rPr>
        <w:t> </w:t>
      </w:r>
      <w:r>
        <w:rPr>
          <w:i/>
          <w:sz w:val="18"/>
          <w:vertAlign w:val="baseline"/>
        </w:rPr>
        <w:t>Journal</w:t>
      </w:r>
      <w:r>
        <w:rPr>
          <w:i/>
          <w:spacing w:val="-3"/>
          <w:sz w:val="18"/>
          <w:vertAlign w:val="baseline"/>
        </w:rPr>
        <w:t> </w:t>
      </w:r>
      <w:r>
        <w:rPr>
          <w:i/>
          <w:sz w:val="18"/>
          <w:vertAlign w:val="baseline"/>
        </w:rPr>
        <w:t>of</w:t>
      </w:r>
      <w:r>
        <w:rPr>
          <w:i/>
          <w:sz w:val="18"/>
          <w:vertAlign w:val="baseline"/>
        </w:rPr>
        <w:t> Adolescent Health </w:t>
      </w:r>
      <w:r>
        <w:rPr>
          <w:sz w:val="18"/>
          <w:vertAlign w:val="baseline"/>
        </w:rPr>
        <w:t>61, no. 6 (December 1, 2017): 729–35, https://doi.org/10.1016/j.jadohealth.2017.06.024.</w:t>
      </w:r>
    </w:p>
    <w:p>
      <w:pPr>
        <w:spacing w:line="268" w:lineRule="auto" w:before="10"/>
        <w:ind w:left="463" w:right="337" w:hanging="1"/>
        <w:jc w:val="left"/>
        <w:rPr>
          <w:sz w:val="18"/>
        </w:rPr>
      </w:pPr>
      <w:r>
        <w:rPr>
          <w:sz w:val="18"/>
          <w:vertAlign w:val="superscript"/>
        </w:rPr>
        <w:t>98</w:t>
      </w:r>
      <w:r>
        <w:rPr>
          <w:spacing w:val="-6"/>
          <w:sz w:val="18"/>
          <w:vertAlign w:val="baseline"/>
        </w:rPr>
        <w:t> </w:t>
      </w:r>
      <w:r>
        <w:rPr>
          <w:sz w:val="18"/>
          <w:vertAlign w:val="baseline"/>
        </w:rPr>
        <w:t>“Results of the Massachusetts Youth Health Survey 2021” (Boston, Massachusetts: Office of Data Management and Outcomes</w:t>
      </w:r>
      <w:r>
        <w:rPr>
          <w:spacing w:val="-3"/>
          <w:sz w:val="18"/>
          <w:vertAlign w:val="baseline"/>
        </w:rPr>
        <w:t> </w:t>
      </w:r>
      <w:r>
        <w:rPr>
          <w:sz w:val="18"/>
          <w:vertAlign w:val="baseline"/>
        </w:rPr>
        <w:t>Assessment,</w:t>
      </w:r>
      <w:r>
        <w:rPr>
          <w:spacing w:val="-4"/>
          <w:sz w:val="18"/>
          <w:vertAlign w:val="baseline"/>
        </w:rPr>
        <w:t> </w:t>
      </w:r>
      <w:r>
        <w:rPr>
          <w:sz w:val="18"/>
          <w:vertAlign w:val="baseline"/>
        </w:rPr>
        <w:t>Massachusetts</w:t>
      </w:r>
      <w:r>
        <w:rPr>
          <w:spacing w:val="-3"/>
          <w:sz w:val="18"/>
          <w:vertAlign w:val="baseline"/>
        </w:rPr>
        <w:t> </w:t>
      </w:r>
      <w:r>
        <w:rPr>
          <w:sz w:val="18"/>
          <w:vertAlign w:val="baseline"/>
        </w:rPr>
        <w:t>Department</w:t>
      </w:r>
      <w:r>
        <w:rPr>
          <w:spacing w:val="-4"/>
          <w:sz w:val="18"/>
          <w:vertAlign w:val="baseline"/>
        </w:rPr>
        <w:t> </w:t>
      </w:r>
      <w:r>
        <w:rPr>
          <w:sz w:val="18"/>
          <w:vertAlign w:val="baseline"/>
        </w:rPr>
        <w:t>of</w:t>
      </w:r>
      <w:r>
        <w:rPr>
          <w:spacing w:val="-3"/>
          <w:sz w:val="18"/>
          <w:vertAlign w:val="baseline"/>
        </w:rPr>
        <w:t> </w:t>
      </w:r>
      <w:r>
        <w:rPr>
          <w:sz w:val="18"/>
          <w:vertAlign w:val="baseline"/>
        </w:rPr>
        <w:t>Public</w:t>
      </w:r>
      <w:r>
        <w:rPr>
          <w:spacing w:val="-4"/>
          <w:sz w:val="18"/>
          <w:vertAlign w:val="baseline"/>
        </w:rPr>
        <w:t> </w:t>
      </w:r>
      <w:r>
        <w:rPr>
          <w:sz w:val="18"/>
          <w:vertAlign w:val="baseline"/>
        </w:rPr>
        <w:t>Health,</w:t>
      </w:r>
      <w:r>
        <w:rPr>
          <w:spacing w:val="-4"/>
          <w:sz w:val="18"/>
          <w:vertAlign w:val="baseline"/>
        </w:rPr>
        <w:t> </w:t>
      </w:r>
      <w:r>
        <w:rPr>
          <w:sz w:val="18"/>
          <w:vertAlign w:val="baseline"/>
        </w:rPr>
        <w:t>October</w:t>
      </w:r>
      <w:r>
        <w:rPr>
          <w:spacing w:val="-4"/>
          <w:sz w:val="18"/>
          <w:vertAlign w:val="baseline"/>
        </w:rPr>
        <w:t> </w:t>
      </w:r>
      <w:r>
        <w:rPr>
          <w:sz w:val="18"/>
          <w:vertAlign w:val="baseline"/>
        </w:rPr>
        <w:t>6,</w:t>
      </w:r>
      <w:r>
        <w:rPr>
          <w:spacing w:val="-4"/>
          <w:sz w:val="18"/>
          <w:vertAlign w:val="baseline"/>
        </w:rPr>
        <w:t> </w:t>
      </w:r>
      <w:r>
        <w:rPr>
          <w:sz w:val="18"/>
          <w:vertAlign w:val="baseline"/>
        </w:rPr>
        <w:t>2022),</w:t>
      </w:r>
      <w:r>
        <w:rPr>
          <w:spacing w:val="-4"/>
          <w:sz w:val="18"/>
          <w:vertAlign w:val="baseline"/>
        </w:rPr>
        <w:t> </w:t>
      </w:r>
      <w:r>
        <w:rPr>
          <w:sz w:val="18"/>
          <w:vertAlign w:val="baseline"/>
        </w:rPr>
        <w:t>https://</w:t>
      </w:r>
      <w:hyperlink r:id="rId160">
        <w:r>
          <w:rPr>
            <w:sz w:val="18"/>
            <w:vertAlign w:val="baseline"/>
          </w:rPr>
          <w:t>www.mass.gov/doc/results-</w:t>
        </w:r>
      </w:hyperlink>
      <w:r>
        <w:rPr>
          <w:spacing w:val="-3"/>
          <w:sz w:val="18"/>
          <w:vertAlign w:val="baseline"/>
        </w:rPr>
        <w:t> </w:t>
      </w:r>
      <w:r>
        <w:rPr>
          <w:sz w:val="18"/>
          <w:vertAlign w:val="baseline"/>
        </w:rPr>
        <w:t>of- </w:t>
      </w:r>
      <w:r>
        <w:rPr>
          <w:spacing w:val="-2"/>
          <w:sz w:val="18"/>
          <w:vertAlign w:val="baseline"/>
        </w:rPr>
        <w:t>the-massachusetts-youth-health-survey-2021/download.</w:t>
      </w:r>
    </w:p>
    <w:p>
      <w:pPr>
        <w:spacing w:line="216" w:lineRule="exact" w:before="0"/>
        <w:ind w:left="463" w:right="0" w:firstLine="0"/>
        <w:jc w:val="left"/>
        <w:rPr>
          <w:sz w:val="18"/>
        </w:rPr>
      </w:pPr>
      <w:r>
        <w:rPr>
          <w:sz w:val="18"/>
          <w:vertAlign w:val="superscript"/>
        </w:rPr>
        <w:t>99</w:t>
      </w:r>
      <w:r>
        <w:rPr>
          <w:spacing w:val="-12"/>
          <w:sz w:val="18"/>
          <w:vertAlign w:val="baseline"/>
        </w:rPr>
        <w:t> </w:t>
      </w:r>
      <w:r>
        <w:rPr>
          <w:sz w:val="18"/>
          <w:vertAlign w:val="baseline"/>
        </w:rPr>
        <w:t>“Results</w:t>
      </w:r>
      <w:r>
        <w:rPr>
          <w:spacing w:val="-2"/>
          <w:sz w:val="18"/>
          <w:vertAlign w:val="baseline"/>
        </w:rPr>
        <w:t> </w:t>
      </w:r>
      <w:r>
        <w:rPr>
          <w:sz w:val="18"/>
          <w:vertAlign w:val="baseline"/>
        </w:rPr>
        <w:t>of</w:t>
      </w:r>
      <w:r>
        <w:rPr>
          <w:spacing w:val="-1"/>
          <w:sz w:val="18"/>
          <w:vertAlign w:val="baseline"/>
        </w:rPr>
        <w:t> </w:t>
      </w:r>
      <w:r>
        <w:rPr>
          <w:sz w:val="18"/>
          <w:vertAlign w:val="baseline"/>
        </w:rPr>
        <w:t>the</w:t>
      </w:r>
      <w:r>
        <w:rPr>
          <w:spacing w:val="-2"/>
          <w:sz w:val="18"/>
          <w:vertAlign w:val="baseline"/>
        </w:rPr>
        <w:t> </w:t>
      </w:r>
      <w:r>
        <w:rPr>
          <w:sz w:val="18"/>
          <w:vertAlign w:val="baseline"/>
        </w:rPr>
        <w:t>Massachusetts</w:t>
      </w:r>
      <w:r>
        <w:rPr>
          <w:spacing w:val="-2"/>
          <w:sz w:val="18"/>
          <w:vertAlign w:val="baseline"/>
        </w:rPr>
        <w:t> </w:t>
      </w:r>
      <w:r>
        <w:rPr>
          <w:sz w:val="18"/>
          <w:vertAlign w:val="baseline"/>
        </w:rPr>
        <w:t>Youth</w:t>
      </w:r>
      <w:r>
        <w:rPr>
          <w:spacing w:val="-1"/>
          <w:sz w:val="18"/>
          <w:vertAlign w:val="baseline"/>
        </w:rPr>
        <w:t> </w:t>
      </w:r>
      <w:r>
        <w:rPr>
          <w:sz w:val="18"/>
          <w:vertAlign w:val="baseline"/>
        </w:rPr>
        <w:t>Health</w:t>
      </w:r>
      <w:r>
        <w:rPr>
          <w:spacing w:val="-1"/>
          <w:sz w:val="18"/>
          <w:vertAlign w:val="baseline"/>
        </w:rPr>
        <w:t> </w:t>
      </w:r>
      <w:r>
        <w:rPr>
          <w:sz w:val="18"/>
          <w:vertAlign w:val="baseline"/>
        </w:rPr>
        <w:t>Survey</w:t>
      </w:r>
      <w:r>
        <w:rPr>
          <w:spacing w:val="-1"/>
          <w:sz w:val="18"/>
          <w:vertAlign w:val="baseline"/>
        </w:rPr>
        <w:t> </w:t>
      </w:r>
      <w:r>
        <w:rPr>
          <w:spacing w:val="-2"/>
          <w:sz w:val="18"/>
          <w:vertAlign w:val="baseline"/>
        </w:rPr>
        <w:t>2021.”</w:t>
      </w:r>
    </w:p>
    <w:p>
      <w:pPr>
        <w:spacing w:line="268" w:lineRule="auto" w:before="21"/>
        <w:ind w:left="463" w:right="737" w:firstLine="0"/>
        <w:jc w:val="both"/>
        <w:rPr>
          <w:sz w:val="18"/>
        </w:rPr>
      </w:pPr>
      <w:r>
        <w:rPr>
          <w:sz w:val="18"/>
          <w:vertAlign w:val="superscript"/>
        </w:rPr>
        <w:t>100</w:t>
      </w:r>
      <w:r>
        <w:rPr>
          <w:spacing w:val="-11"/>
          <w:sz w:val="18"/>
          <w:vertAlign w:val="baseline"/>
        </w:rPr>
        <w:t> </w:t>
      </w:r>
      <w:r>
        <w:rPr>
          <w:sz w:val="18"/>
          <w:vertAlign w:val="baseline"/>
        </w:rPr>
        <w:t>Kerith</w:t>
      </w:r>
      <w:r>
        <w:rPr>
          <w:spacing w:val="-3"/>
          <w:sz w:val="18"/>
          <w:vertAlign w:val="baseline"/>
        </w:rPr>
        <w:t> </w:t>
      </w:r>
      <w:r>
        <w:rPr>
          <w:sz w:val="18"/>
          <w:vertAlign w:val="baseline"/>
        </w:rPr>
        <w:t>Conron</w:t>
      </w:r>
      <w:r>
        <w:rPr>
          <w:spacing w:val="-1"/>
          <w:sz w:val="18"/>
          <w:vertAlign w:val="baseline"/>
        </w:rPr>
        <w:t> </w:t>
      </w:r>
      <w:r>
        <w:rPr>
          <w:sz w:val="18"/>
          <w:vertAlign w:val="baseline"/>
        </w:rPr>
        <w:t>et</w:t>
      </w:r>
      <w:r>
        <w:rPr>
          <w:spacing w:val="-2"/>
          <w:sz w:val="18"/>
          <w:vertAlign w:val="baseline"/>
        </w:rPr>
        <w:t> </w:t>
      </w:r>
      <w:r>
        <w:rPr>
          <w:sz w:val="18"/>
          <w:vertAlign w:val="baseline"/>
        </w:rPr>
        <w:t>al.,</w:t>
      </w:r>
      <w:r>
        <w:rPr>
          <w:spacing w:val="-2"/>
          <w:sz w:val="18"/>
          <w:vertAlign w:val="baseline"/>
        </w:rPr>
        <w:t> </w:t>
      </w:r>
      <w:r>
        <w:rPr>
          <w:sz w:val="18"/>
          <w:vertAlign w:val="baseline"/>
        </w:rPr>
        <w:t>“Our</w:t>
      </w:r>
      <w:r>
        <w:rPr>
          <w:spacing w:val="-2"/>
          <w:sz w:val="18"/>
          <w:vertAlign w:val="baseline"/>
        </w:rPr>
        <w:t> </w:t>
      </w:r>
      <w:r>
        <w:rPr>
          <w:sz w:val="18"/>
          <w:vertAlign w:val="baseline"/>
        </w:rPr>
        <w:t>Health</w:t>
      </w:r>
      <w:r>
        <w:rPr>
          <w:spacing w:val="-1"/>
          <w:sz w:val="18"/>
          <w:vertAlign w:val="baseline"/>
        </w:rPr>
        <w:t> </w:t>
      </w:r>
      <w:r>
        <w:rPr>
          <w:sz w:val="18"/>
          <w:vertAlign w:val="baseline"/>
        </w:rPr>
        <w:t>Matters:</w:t>
      </w:r>
      <w:r>
        <w:rPr>
          <w:spacing w:val="-1"/>
          <w:sz w:val="18"/>
          <w:vertAlign w:val="baseline"/>
        </w:rPr>
        <w:t> </w:t>
      </w:r>
      <w:r>
        <w:rPr>
          <w:sz w:val="18"/>
          <w:vertAlign w:val="baseline"/>
        </w:rPr>
        <w:t>Mental</w:t>
      </w:r>
      <w:r>
        <w:rPr>
          <w:spacing w:val="-2"/>
          <w:sz w:val="18"/>
          <w:vertAlign w:val="baseline"/>
        </w:rPr>
        <w:t> </w:t>
      </w:r>
      <w:r>
        <w:rPr>
          <w:sz w:val="18"/>
          <w:vertAlign w:val="baseline"/>
        </w:rPr>
        <w:t>Health,</w:t>
      </w:r>
      <w:r>
        <w:rPr>
          <w:spacing w:val="-2"/>
          <w:sz w:val="18"/>
          <w:vertAlign w:val="baseline"/>
        </w:rPr>
        <w:t> </w:t>
      </w:r>
      <w:r>
        <w:rPr>
          <w:sz w:val="18"/>
          <w:vertAlign w:val="baseline"/>
        </w:rPr>
        <w:t>Risk,</w:t>
      </w:r>
      <w:r>
        <w:rPr>
          <w:spacing w:val="-2"/>
          <w:sz w:val="18"/>
          <w:vertAlign w:val="baseline"/>
        </w:rPr>
        <w:t> </w:t>
      </w:r>
      <w:r>
        <w:rPr>
          <w:sz w:val="18"/>
          <w:vertAlign w:val="baseline"/>
        </w:rPr>
        <w:t>and</w:t>
      </w:r>
      <w:r>
        <w:rPr>
          <w:spacing w:val="-1"/>
          <w:sz w:val="18"/>
          <w:vertAlign w:val="baseline"/>
        </w:rPr>
        <w:t> </w:t>
      </w:r>
      <w:r>
        <w:rPr>
          <w:sz w:val="18"/>
          <w:vertAlign w:val="baseline"/>
        </w:rPr>
        <w:t>Resilience</w:t>
      </w:r>
      <w:r>
        <w:rPr>
          <w:spacing w:val="-1"/>
          <w:sz w:val="18"/>
          <w:vertAlign w:val="baseline"/>
        </w:rPr>
        <w:t> </w:t>
      </w:r>
      <w:r>
        <w:rPr>
          <w:sz w:val="18"/>
          <w:vertAlign w:val="baseline"/>
        </w:rPr>
        <w:t>among</w:t>
      </w:r>
      <w:r>
        <w:rPr>
          <w:spacing w:val="-1"/>
          <w:sz w:val="18"/>
          <w:vertAlign w:val="baseline"/>
        </w:rPr>
        <w:t> </w:t>
      </w:r>
      <w:r>
        <w:rPr>
          <w:sz w:val="18"/>
          <w:vertAlign w:val="baseline"/>
        </w:rPr>
        <w:t>LGBTQ</w:t>
      </w:r>
      <w:r>
        <w:rPr>
          <w:spacing w:val="-1"/>
          <w:sz w:val="18"/>
          <w:vertAlign w:val="baseline"/>
        </w:rPr>
        <w:t> </w:t>
      </w:r>
      <w:r>
        <w:rPr>
          <w:sz w:val="18"/>
          <w:vertAlign w:val="baseline"/>
        </w:rPr>
        <w:t>Youth</w:t>
      </w:r>
      <w:r>
        <w:rPr>
          <w:spacing w:val="-1"/>
          <w:sz w:val="18"/>
          <w:vertAlign w:val="baseline"/>
        </w:rPr>
        <w:t> </w:t>
      </w:r>
      <w:r>
        <w:rPr>
          <w:sz w:val="18"/>
          <w:vertAlign w:val="baseline"/>
        </w:rPr>
        <w:t>of</w:t>
      </w:r>
      <w:r>
        <w:rPr>
          <w:spacing w:val="-1"/>
          <w:sz w:val="18"/>
          <w:vertAlign w:val="baseline"/>
        </w:rPr>
        <w:t> </w:t>
      </w:r>
      <w:r>
        <w:rPr>
          <w:sz w:val="18"/>
          <w:vertAlign w:val="baseline"/>
        </w:rPr>
        <w:t>Color</w:t>
      </w:r>
      <w:r>
        <w:rPr>
          <w:spacing w:val="-2"/>
          <w:sz w:val="18"/>
          <w:vertAlign w:val="baseline"/>
        </w:rPr>
        <w:t> </w:t>
      </w:r>
      <w:r>
        <w:rPr>
          <w:sz w:val="18"/>
          <w:vertAlign w:val="baseline"/>
        </w:rPr>
        <w:t>Who</w:t>
      </w:r>
      <w:r>
        <w:rPr>
          <w:spacing w:val="-1"/>
          <w:sz w:val="18"/>
          <w:vertAlign w:val="baseline"/>
        </w:rPr>
        <w:t> </w:t>
      </w:r>
      <w:r>
        <w:rPr>
          <w:sz w:val="18"/>
          <w:vertAlign w:val="baseline"/>
        </w:rPr>
        <w:t>Live, Work,</w:t>
      </w:r>
      <w:r>
        <w:rPr>
          <w:spacing w:val="-2"/>
          <w:sz w:val="18"/>
          <w:vertAlign w:val="baseline"/>
        </w:rPr>
        <w:t> </w:t>
      </w:r>
      <w:r>
        <w:rPr>
          <w:sz w:val="18"/>
          <w:vertAlign w:val="baseline"/>
        </w:rPr>
        <w:t>or</w:t>
      </w:r>
      <w:r>
        <w:rPr>
          <w:spacing w:val="-2"/>
          <w:sz w:val="18"/>
          <w:vertAlign w:val="baseline"/>
        </w:rPr>
        <w:t> </w:t>
      </w:r>
      <w:r>
        <w:rPr>
          <w:sz w:val="18"/>
          <w:vertAlign w:val="baseline"/>
        </w:rPr>
        <w:t>Play</w:t>
      </w:r>
      <w:r>
        <w:rPr>
          <w:spacing w:val="-1"/>
          <w:sz w:val="18"/>
          <w:vertAlign w:val="baseline"/>
        </w:rPr>
        <w:t> </w:t>
      </w:r>
      <w:r>
        <w:rPr>
          <w:sz w:val="18"/>
          <w:vertAlign w:val="baseline"/>
        </w:rPr>
        <w:t>in</w:t>
      </w:r>
      <w:r>
        <w:rPr>
          <w:spacing w:val="-1"/>
          <w:sz w:val="18"/>
          <w:vertAlign w:val="baseline"/>
        </w:rPr>
        <w:t> </w:t>
      </w:r>
      <w:r>
        <w:rPr>
          <w:sz w:val="18"/>
          <w:vertAlign w:val="baseline"/>
        </w:rPr>
        <w:t>Boston”</w:t>
      </w:r>
      <w:r>
        <w:rPr>
          <w:spacing w:val="-1"/>
          <w:sz w:val="18"/>
          <w:vertAlign w:val="baseline"/>
        </w:rPr>
        <w:t> </w:t>
      </w:r>
      <w:r>
        <w:rPr>
          <w:sz w:val="18"/>
          <w:vertAlign w:val="baseline"/>
        </w:rPr>
        <w:t>(Boston,</w:t>
      </w:r>
      <w:r>
        <w:rPr>
          <w:spacing w:val="-2"/>
          <w:sz w:val="18"/>
          <w:vertAlign w:val="baseline"/>
        </w:rPr>
        <w:t> </w:t>
      </w:r>
      <w:r>
        <w:rPr>
          <w:sz w:val="18"/>
          <w:vertAlign w:val="baseline"/>
        </w:rPr>
        <w:t>Massachusetts:</w:t>
      </w:r>
      <w:r>
        <w:rPr>
          <w:spacing w:val="-3"/>
          <w:sz w:val="18"/>
          <w:vertAlign w:val="baseline"/>
        </w:rPr>
        <w:t> </w:t>
      </w:r>
      <w:r>
        <w:rPr>
          <w:sz w:val="18"/>
          <w:vertAlign w:val="baseline"/>
        </w:rPr>
        <w:t>The</w:t>
      </w:r>
      <w:r>
        <w:rPr>
          <w:spacing w:val="-1"/>
          <w:sz w:val="18"/>
          <w:vertAlign w:val="baseline"/>
        </w:rPr>
        <w:t> </w:t>
      </w:r>
      <w:r>
        <w:rPr>
          <w:sz w:val="18"/>
          <w:vertAlign w:val="baseline"/>
        </w:rPr>
        <w:t>Fenway</w:t>
      </w:r>
      <w:r>
        <w:rPr>
          <w:spacing w:val="-2"/>
          <w:sz w:val="18"/>
          <w:vertAlign w:val="baseline"/>
        </w:rPr>
        <w:t> </w:t>
      </w:r>
      <w:r>
        <w:rPr>
          <w:sz w:val="18"/>
          <w:vertAlign w:val="baseline"/>
        </w:rPr>
        <w:t>Institute,</w:t>
      </w:r>
      <w:r>
        <w:rPr>
          <w:spacing w:val="-2"/>
          <w:sz w:val="18"/>
          <w:vertAlign w:val="baseline"/>
        </w:rPr>
        <w:t> </w:t>
      </w:r>
      <w:r>
        <w:rPr>
          <w:sz w:val="18"/>
          <w:vertAlign w:val="baseline"/>
        </w:rPr>
        <w:t>November</w:t>
      </w:r>
      <w:r>
        <w:rPr>
          <w:spacing w:val="-2"/>
          <w:sz w:val="18"/>
          <w:vertAlign w:val="baseline"/>
        </w:rPr>
        <w:t> </w:t>
      </w:r>
      <w:r>
        <w:rPr>
          <w:sz w:val="18"/>
          <w:vertAlign w:val="baseline"/>
        </w:rPr>
        <w:t>2015),</w:t>
      </w:r>
      <w:r>
        <w:rPr>
          <w:spacing w:val="-2"/>
          <w:sz w:val="18"/>
          <w:vertAlign w:val="baseline"/>
        </w:rPr>
        <w:t> </w:t>
      </w:r>
      <w:r>
        <w:rPr>
          <w:sz w:val="18"/>
          <w:vertAlign w:val="baseline"/>
        </w:rPr>
        <w:t>https://fenwayhealth.org/wp- </w:t>
      </w:r>
      <w:r>
        <w:rPr>
          <w:spacing w:val="-2"/>
          <w:sz w:val="18"/>
          <w:vertAlign w:val="baseline"/>
        </w:rPr>
        <w:t>content/uploads/our-health-matters.pdf.</w:t>
      </w:r>
    </w:p>
    <w:p>
      <w:pPr>
        <w:spacing w:before="14"/>
        <w:ind w:left="463" w:right="0" w:firstLine="0"/>
        <w:jc w:val="left"/>
        <w:rPr>
          <w:sz w:val="18"/>
        </w:rPr>
      </w:pPr>
      <w:r>
        <w:rPr>
          <w:sz w:val="18"/>
          <w:vertAlign w:val="superscript"/>
        </w:rPr>
        <w:t>101</w:t>
      </w:r>
      <w:r>
        <w:rPr>
          <w:spacing w:val="-10"/>
          <w:sz w:val="18"/>
          <w:vertAlign w:val="baseline"/>
        </w:rPr>
        <w:t> </w:t>
      </w:r>
      <w:r>
        <w:rPr>
          <w:sz w:val="18"/>
          <w:vertAlign w:val="baseline"/>
        </w:rPr>
        <w:t>Conron</w:t>
      </w:r>
      <w:r>
        <w:rPr>
          <w:spacing w:val="4"/>
          <w:sz w:val="18"/>
          <w:vertAlign w:val="baseline"/>
        </w:rPr>
        <w:t> </w:t>
      </w:r>
      <w:r>
        <w:rPr>
          <w:sz w:val="18"/>
          <w:vertAlign w:val="baseline"/>
        </w:rPr>
        <w:t>et</w:t>
      </w:r>
      <w:r>
        <w:rPr>
          <w:spacing w:val="2"/>
          <w:sz w:val="18"/>
          <w:vertAlign w:val="baseline"/>
        </w:rPr>
        <w:t> </w:t>
      </w:r>
      <w:r>
        <w:rPr>
          <w:spacing w:val="-5"/>
          <w:sz w:val="18"/>
          <w:vertAlign w:val="baseline"/>
        </w:rPr>
        <w:t>al.</w:t>
      </w:r>
    </w:p>
    <w:p>
      <w:pPr>
        <w:spacing w:before="31"/>
        <w:ind w:left="463" w:right="0" w:firstLine="0"/>
        <w:jc w:val="left"/>
        <w:rPr>
          <w:sz w:val="18"/>
        </w:rPr>
      </w:pPr>
      <w:r>
        <w:rPr>
          <w:sz w:val="18"/>
          <w:vertAlign w:val="superscript"/>
        </w:rPr>
        <w:t>102</w:t>
      </w:r>
      <w:r>
        <w:rPr>
          <w:spacing w:val="-10"/>
          <w:sz w:val="18"/>
          <w:vertAlign w:val="baseline"/>
        </w:rPr>
        <w:t> </w:t>
      </w:r>
      <w:r>
        <w:rPr>
          <w:sz w:val="18"/>
          <w:vertAlign w:val="baseline"/>
        </w:rPr>
        <w:t>Conron</w:t>
      </w:r>
      <w:r>
        <w:rPr>
          <w:spacing w:val="4"/>
          <w:sz w:val="18"/>
          <w:vertAlign w:val="baseline"/>
        </w:rPr>
        <w:t> </w:t>
      </w:r>
      <w:r>
        <w:rPr>
          <w:sz w:val="18"/>
          <w:vertAlign w:val="baseline"/>
        </w:rPr>
        <w:t>et</w:t>
      </w:r>
      <w:r>
        <w:rPr>
          <w:spacing w:val="2"/>
          <w:sz w:val="18"/>
          <w:vertAlign w:val="baseline"/>
        </w:rPr>
        <w:t> </w:t>
      </w:r>
      <w:r>
        <w:rPr>
          <w:spacing w:val="-5"/>
          <w:sz w:val="18"/>
          <w:vertAlign w:val="baseline"/>
        </w:rPr>
        <w:t>al.</w:t>
      </w:r>
    </w:p>
    <w:p>
      <w:pPr>
        <w:spacing w:before="3"/>
        <w:ind w:left="463" w:right="0" w:firstLine="0"/>
        <w:jc w:val="left"/>
        <w:rPr>
          <w:sz w:val="18"/>
        </w:rPr>
      </w:pPr>
      <w:r>
        <w:rPr>
          <w:sz w:val="18"/>
          <w:vertAlign w:val="superscript"/>
        </w:rPr>
        <w:t>103</w:t>
      </w:r>
      <w:r>
        <w:rPr>
          <w:spacing w:val="-10"/>
          <w:sz w:val="18"/>
          <w:vertAlign w:val="baseline"/>
        </w:rPr>
        <w:t> </w:t>
      </w:r>
      <w:r>
        <w:rPr>
          <w:sz w:val="18"/>
          <w:vertAlign w:val="baseline"/>
        </w:rPr>
        <w:t>Conron</w:t>
      </w:r>
      <w:r>
        <w:rPr>
          <w:spacing w:val="4"/>
          <w:sz w:val="18"/>
          <w:vertAlign w:val="baseline"/>
        </w:rPr>
        <w:t> </w:t>
      </w:r>
      <w:r>
        <w:rPr>
          <w:sz w:val="18"/>
          <w:vertAlign w:val="baseline"/>
        </w:rPr>
        <w:t>et</w:t>
      </w:r>
      <w:r>
        <w:rPr>
          <w:spacing w:val="2"/>
          <w:sz w:val="18"/>
          <w:vertAlign w:val="baseline"/>
        </w:rPr>
        <w:t> </w:t>
      </w:r>
      <w:r>
        <w:rPr>
          <w:spacing w:val="-5"/>
          <w:sz w:val="18"/>
          <w:vertAlign w:val="baseline"/>
        </w:rPr>
        <w:t>al.</w:t>
      </w:r>
    </w:p>
    <w:p>
      <w:pPr>
        <w:spacing w:before="3"/>
        <w:ind w:left="463" w:right="0" w:firstLine="0"/>
        <w:jc w:val="left"/>
        <w:rPr>
          <w:sz w:val="18"/>
        </w:rPr>
      </w:pPr>
      <w:r>
        <w:rPr>
          <w:sz w:val="18"/>
          <w:vertAlign w:val="superscript"/>
        </w:rPr>
        <w:t>104</w:t>
      </w:r>
      <w:r>
        <w:rPr>
          <w:spacing w:val="-10"/>
          <w:sz w:val="18"/>
          <w:vertAlign w:val="baseline"/>
        </w:rPr>
        <w:t> </w:t>
      </w:r>
      <w:r>
        <w:rPr>
          <w:sz w:val="18"/>
          <w:vertAlign w:val="baseline"/>
        </w:rPr>
        <w:t>Conron</w:t>
      </w:r>
      <w:r>
        <w:rPr>
          <w:spacing w:val="4"/>
          <w:sz w:val="18"/>
          <w:vertAlign w:val="baseline"/>
        </w:rPr>
        <w:t> </w:t>
      </w:r>
      <w:r>
        <w:rPr>
          <w:sz w:val="18"/>
          <w:vertAlign w:val="baseline"/>
        </w:rPr>
        <w:t>et</w:t>
      </w:r>
      <w:r>
        <w:rPr>
          <w:spacing w:val="2"/>
          <w:sz w:val="18"/>
          <w:vertAlign w:val="baseline"/>
        </w:rPr>
        <w:t> </w:t>
      </w:r>
      <w:r>
        <w:rPr>
          <w:spacing w:val="-5"/>
          <w:sz w:val="18"/>
          <w:vertAlign w:val="baseline"/>
        </w:rPr>
        <w:t>al.</w:t>
      </w:r>
    </w:p>
    <w:p>
      <w:pPr>
        <w:spacing w:before="3"/>
        <w:ind w:left="463" w:right="0" w:firstLine="0"/>
        <w:jc w:val="left"/>
        <w:rPr>
          <w:sz w:val="18"/>
        </w:rPr>
      </w:pPr>
      <w:r>
        <w:rPr>
          <w:sz w:val="18"/>
          <w:vertAlign w:val="superscript"/>
        </w:rPr>
        <w:t>105</w:t>
      </w:r>
      <w:r>
        <w:rPr>
          <w:spacing w:val="-10"/>
          <w:sz w:val="18"/>
          <w:vertAlign w:val="baseline"/>
        </w:rPr>
        <w:t> </w:t>
      </w:r>
      <w:r>
        <w:rPr>
          <w:sz w:val="18"/>
          <w:vertAlign w:val="baseline"/>
        </w:rPr>
        <w:t>Conron</w:t>
      </w:r>
      <w:r>
        <w:rPr>
          <w:spacing w:val="4"/>
          <w:sz w:val="18"/>
          <w:vertAlign w:val="baseline"/>
        </w:rPr>
        <w:t> </w:t>
      </w:r>
      <w:r>
        <w:rPr>
          <w:sz w:val="18"/>
          <w:vertAlign w:val="baseline"/>
        </w:rPr>
        <w:t>et</w:t>
      </w:r>
      <w:r>
        <w:rPr>
          <w:spacing w:val="2"/>
          <w:sz w:val="18"/>
          <w:vertAlign w:val="baseline"/>
        </w:rPr>
        <w:t> </w:t>
      </w:r>
      <w:r>
        <w:rPr>
          <w:spacing w:val="-5"/>
          <w:sz w:val="18"/>
          <w:vertAlign w:val="baseline"/>
        </w:rPr>
        <w:t>al.</w:t>
      </w:r>
    </w:p>
    <w:p>
      <w:pPr>
        <w:spacing w:after="0"/>
        <w:jc w:val="left"/>
        <w:rPr>
          <w:sz w:val="18"/>
        </w:rPr>
        <w:sectPr>
          <w:pgSz w:w="11910" w:h="16840"/>
          <w:pgMar w:header="804" w:footer="1277" w:top="1080" w:bottom="1480" w:left="980" w:right="900"/>
        </w:sectPr>
      </w:pPr>
    </w:p>
    <w:p>
      <w:pPr>
        <w:spacing w:line="268" w:lineRule="auto" w:before="88"/>
        <w:ind w:left="463" w:right="311" w:firstLine="0"/>
        <w:jc w:val="left"/>
        <w:rPr>
          <w:sz w:val="18"/>
        </w:rPr>
      </w:pPr>
      <w:r>
        <w:rPr>
          <w:sz w:val="18"/>
          <w:vertAlign w:val="superscript"/>
        </w:rPr>
        <w:t>106</w:t>
      </w:r>
      <w:r>
        <w:rPr>
          <w:spacing w:val="-6"/>
          <w:sz w:val="18"/>
          <w:vertAlign w:val="baseline"/>
        </w:rPr>
        <w:t> </w:t>
      </w:r>
      <w:r>
        <w:rPr>
          <w:sz w:val="18"/>
          <w:vertAlign w:val="baseline"/>
        </w:rPr>
        <w:t>Wakeman, Sarah E., Eugene Lambert, Sunny Kung, Nicholas M. Brisbon, Aleta D. Carroll, Thu-Trang Hickman, Charles Covahey,</w:t>
      </w:r>
      <w:r>
        <w:rPr>
          <w:spacing w:val="-3"/>
          <w:sz w:val="18"/>
          <w:vertAlign w:val="baseline"/>
        </w:rPr>
        <w:t> </w:t>
      </w:r>
      <w:r>
        <w:rPr>
          <w:sz w:val="18"/>
          <w:vertAlign w:val="baseline"/>
        </w:rPr>
        <w:t>Thomas</w:t>
      </w:r>
      <w:r>
        <w:rPr>
          <w:spacing w:val="-2"/>
          <w:sz w:val="18"/>
          <w:vertAlign w:val="baseline"/>
        </w:rPr>
        <w:t> </w:t>
      </w:r>
      <w:r>
        <w:rPr>
          <w:sz w:val="18"/>
          <w:vertAlign w:val="baseline"/>
        </w:rPr>
        <w:t>D.</w:t>
      </w:r>
      <w:r>
        <w:rPr>
          <w:spacing w:val="-2"/>
          <w:sz w:val="18"/>
          <w:vertAlign w:val="baseline"/>
        </w:rPr>
        <w:t> </w:t>
      </w:r>
      <w:r>
        <w:rPr>
          <w:sz w:val="18"/>
          <w:vertAlign w:val="baseline"/>
        </w:rPr>
        <w:t>Sequist,</w:t>
      </w:r>
      <w:r>
        <w:rPr>
          <w:spacing w:val="-3"/>
          <w:sz w:val="18"/>
          <w:vertAlign w:val="baseline"/>
        </w:rPr>
        <w:t> </w:t>
      </w:r>
      <w:r>
        <w:rPr>
          <w:sz w:val="18"/>
          <w:vertAlign w:val="baseline"/>
        </w:rPr>
        <w:t>and</w:t>
      </w:r>
      <w:r>
        <w:rPr>
          <w:spacing w:val="-3"/>
          <w:sz w:val="18"/>
          <w:vertAlign w:val="baseline"/>
        </w:rPr>
        <w:t> </w:t>
      </w:r>
      <w:r>
        <w:rPr>
          <w:sz w:val="18"/>
          <w:vertAlign w:val="baseline"/>
        </w:rPr>
        <w:t>Scott</w:t>
      </w:r>
      <w:r>
        <w:rPr>
          <w:spacing w:val="-3"/>
          <w:sz w:val="18"/>
          <w:vertAlign w:val="baseline"/>
        </w:rPr>
        <w:t> </w:t>
      </w:r>
      <w:r>
        <w:rPr>
          <w:sz w:val="18"/>
          <w:vertAlign w:val="baseline"/>
        </w:rPr>
        <w:t>G.</w:t>
      </w:r>
      <w:r>
        <w:rPr>
          <w:spacing w:val="-2"/>
          <w:sz w:val="18"/>
          <w:vertAlign w:val="baseline"/>
        </w:rPr>
        <w:t> </w:t>
      </w:r>
      <w:r>
        <w:rPr>
          <w:sz w:val="18"/>
          <w:vertAlign w:val="baseline"/>
        </w:rPr>
        <w:t>Weiner.</w:t>
      </w:r>
      <w:r>
        <w:rPr>
          <w:spacing w:val="-2"/>
          <w:sz w:val="18"/>
          <w:vertAlign w:val="baseline"/>
        </w:rPr>
        <w:t> </w:t>
      </w:r>
      <w:r>
        <w:rPr>
          <w:sz w:val="18"/>
          <w:vertAlign w:val="baseline"/>
        </w:rPr>
        <w:t>"Trends</w:t>
      </w:r>
      <w:r>
        <w:rPr>
          <w:spacing w:val="-2"/>
          <w:sz w:val="18"/>
          <w:vertAlign w:val="baseline"/>
        </w:rPr>
        <w:t> </w:t>
      </w:r>
      <w:r>
        <w:rPr>
          <w:sz w:val="18"/>
          <w:vertAlign w:val="baseline"/>
        </w:rPr>
        <w:t>in</w:t>
      </w:r>
      <w:r>
        <w:rPr>
          <w:spacing w:val="-2"/>
          <w:sz w:val="18"/>
          <w:vertAlign w:val="baseline"/>
        </w:rPr>
        <w:t> </w:t>
      </w:r>
      <w:r>
        <w:rPr>
          <w:sz w:val="18"/>
          <w:vertAlign w:val="baseline"/>
        </w:rPr>
        <w:t>buprenorphine</w:t>
      </w:r>
      <w:r>
        <w:rPr>
          <w:spacing w:val="-2"/>
          <w:sz w:val="18"/>
          <w:vertAlign w:val="baseline"/>
        </w:rPr>
        <w:t> </w:t>
      </w:r>
      <w:r>
        <w:rPr>
          <w:sz w:val="18"/>
          <w:vertAlign w:val="baseline"/>
        </w:rPr>
        <w:t>treatment</w:t>
      </w:r>
      <w:r>
        <w:rPr>
          <w:spacing w:val="-3"/>
          <w:sz w:val="18"/>
          <w:vertAlign w:val="baseline"/>
        </w:rPr>
        <w:t> </w:t>
      </w:r>
      <w:r>
        <w:rPr>
          <w:sz w:val="18"/>
          <w:vertAlign w:val="baseline"/>
        </w:rPr>
        <w:t>disparities</w:t>
      </w:r>
      <w:r>
        <w:rPr>
          <w:spacing w:val="-2"/>
          <w:sz w:val="18"/>
          <w:vertAlign w:val="baseline"/>
        </w:rPr>
        <w:t> </w:t>
      </w:r>
      <w:r>
        <w:rPr>
          <w:sz w:val="18"/>
          <w:vertAlign w:val="baseline"/>
        </w:rPr>
        <w:t>during</w:t>
      </w:r>
      <w:r>
        <w:rPr>
          <w:spacing w:val="-2"/>
          <w:sz w:val="18"/>
          <w:vertAlign w:val="baseline"/>
        </w:rPr>
        <w:t> </w:t>
      </w:r>
      <w:r>
        <w:rPr>
          <w:sz w:val="18"/>
          <w:vertAlign w:val="baseline"/>
        </w:rPr>
        <w:t>the</w:t>
      </w:r>
      <w:r>
        <w:rPr>
          <w:spacing w:val="-2"/>
          <w:sz w:val="18"/>
          <w:vertAlign w:val="baseline"/>
        </w:rPr>
        <w:t> </w:t>
      </w:r>
      <w:r>
        <w:rPr>
          <w:sz w:val="18"/>
          <w:vertAlign w:val="baseline"/>
        </w:rPr>
        <w:t>COVID</w:t>
      </w:r>
      <w:r>
        <w:rPr>
          <w:spacing w:val="-3"/>
          <w:sz w:val="18"/>
          <w:vertAlign w:val="baseline"/>
        </w:rPr>
        <w:t> </w:t>
      </w:r>
      <w:r>
        <w:rPr>
          <w:sz w:val="18"/>
          <w:vertAlign w:val="baseline"/>
        </w:rPr>
        <w:t>pandemic in Massachusetts." Substance Abuse 43, no. 1 (2022): 1317-1321.</w:t>
      </w:r>
    </w:p>
    <w:p>
      <w:pPr>
        <w:spacing w:line="268" w:lineRule="auto" w:before="13"/>
        <w:ind w:left="463" w:right="311" w:firstLine="0"/>
        <w:jc w:val="left"/>
        <w:rPr>
          <w:sz w:val="18"/>
        </w:rPr>
      </w:pPr>
      <w:r>
        <w:rPr>
          <w:sz w:val="18"/>
          <w:vertAlign w:val="superscript"/>
        </w:rPr>
        <w:t>107</w:t>
      </w:r>
      <w:r>
        <w:rPr>
          <w:spacing w:val="-12"/>
          <w:sz w:val="18"/>
          <w:vertAlign w:val="baseline"/>
        </w:rPr>
        <w:t> </w:t>
      </w:r>
      <w:r>
        <w:rPr>
          <w:sz w:val="18"/>
          <w:vertAlign w:val="baseline"/>
        </w:rPr>
        <w:t>Amy</w:t>
      </w:r>
      <w:r>
        <w:rPr>
          <w:spacing w:val="-2"/>
          <w:sz w:val="18"/>
          <w:vertAlign w:val="baseline"/>
        </w:rPr>
        <w:t> </w:t>
      </w:r>
      <w:r>
        <w:rPr>
          <w:sz w:val="18"/>
          <w:vertAlign w:val="baseline"/>
        </w:rPr>
        <w:t>L.</w:t>
      </w:r>
      <w:r>
        <w:rPr>
          <w:spacing w:val="-1"/>
          <w:sz w:val="18"/>
          <w:vertAlign w:val="baseline"/>
        </w:rPr>
        <w:t> </w:t>
      </w:r>
      <w:r>
        <w:rPr>
          <w:sz w:val="18"/>
          <w:vertAlign w:val="baseline"/>
        </w:rPr>
        <w:t>Gower</w:t>
      </w:r>
      <w:r>
        <w:rPr>
          <w:spacing w:val="-2"/>
          <w:sz w:val="18"/>
          <w:vertAlign w:val="baseline"/>
        </w:rPr>
        <w:t> </w:t>
      </w:r>
      <w:r>
        <w:rPr>
          <w:sz w:val="18"/>
          <w:vertAlign w:val="baseline"/>
        </w:rPr>
        <w:t>et</w:t>
      </w:r>
      <w:r>
        <w:rPr>
          <w:spacing w:val="-2"/>
          <w:sz w:val="18"/>
          <w:vertAlign w:val="baseline"/>
        </w:rPr>
        <w:t> </w:t>
      </w:r>
      <w:r>
        <w:rPr>
          <w:sz w:val="18"/>
          <w:vertAlign w:val="baseline"/>
        </w:rPr>
        <w:t>al.,</w:t>
      </w:r>
      <w:r>
        <w:rPr>
          <w:spacing w:val="-2"/>
          <w:sz w:val="18"/>
          <w:vertAlign w:val="baseline"/>
        </w:rPr>
        <w:t> </w:t>
      </w:r>
      <w:r>
        <w:rPr>
          <w:sz w:val="18"/>
          <w:vertAlign w:val="baseline"/>
        </w:rPr>
        <w:t>“Supporting</w:t>
      </w:r>
      <w:r>
        <w:rPr>
          <w:spacing w:val="-1"/>
          <w:sz w:val="18"/>
          <w:vertAlign w:val="baseline"/>
        </w:rPr>
        <w:t> </w:t>
      </w:r>
      <w:r>
        <w:rPr>
          <w:sz w:val="18"/>
          <w:vertAlign w:val="baseline"/>
        </w:rPr>
        <w:t>Transgender</w:t>
      </w:r>
      <w:r>
        <w:rPr>
          <w:spacing w:val="-3"/>
          <w:sz w:val="18"/>
          <w:vertAlign w:val="baseline"/>
        </w:rPr>
        <w:t> </w:t>
      </w:r>
      <w:r>
        <w:rPr>
          <w:sz w:val="18"/>
          <w:vertAlign w:val="baseline"/>
        </w:rPr>
        <w:t>and</w:t>
      </w:r>
      <w:r>
        <w:rPr>
          <w:spacing w:val="-1"/>
          <w:sz w:val="18"/>
          <w:vertAlign w:val="baseline"/>
        </w:rPr>
        <w:t> </w:t>
      </w:r>
      <w:r>
        <w:rPr>
          <w:sz w:val="18"/>
          <w:vertAlign w:val="baseline"/>
        </w:rPr>
        <w:t>Gender</w:t>
      </w:r>
      <w:r>
        <w:rPr>
          <w:spacing w:val="-2"/>
          <w:sz w:val="18"/>
          <w:vertAlign w:val="baseline"/>
        </w:rPr>
        <w:t> </w:t>
      </w:r>
      <w:r>
        <w:rPr>
          <w:sz w:val="18"/>
          <w:vertAlign w:val="baseline"/>
        </w:rPr>
        <w:t>Diverse</w:t>
      </w:r>
      <w:r>
        <w:rPr>
          <w:spacing w:val="-1"/>
          <w:sz w:val="18"/>
          <w:vertAlign w:val="baseline"/>
        </w:rPr>
        <w:t> </w:t>
      </w:r>
      <w:r>
        <w:rPr>
          <w:sz w:val="18"/>
          <w:vertAlign w:val="baseline"/>
        </w:rPr>
        <w:t>Youth:</w:t>
      </w:r>
      <w:r>
        <w:rPr>
          <w:spacing w:val="-1"/>
          <w:sz w:val="18"/>
          <w:vertAlign w:val="baseline"/>
        </w:rPr>
        <w:t> </w:t>
      </w:r>
      <w:r>
        <w:rPr>
          <w:sz w:val="18"/>
          <w:vertAlign w:val="baseline"/>
        </w:rPr>
        <w:t>Protection</w:t>
      </w:r>
      <w:r>
        <w:rPr>
          <w:spacing w:val="-1"/>
          <w:sz w:val="18"/>
          <w:vertAlign w:val="baseline"/>
        </w:rPr>
        <w:t> </w:t>
      </w:r>
      <w:r>
        <w:rPr>
          <w:sz w:val="18"/>
          <w:vertAlign w:val="baseline"/>
        </w:rPr>
        <w:t>Against</w:t>
      </w:r>
      <w:r>
        <w:rPr>
          <w:spacing w:val="-2"/>
          <w:sz w:val="18"/>
          <w:vertAlign w:val="baseline"/>
        </w:rPr>
        <w:t> </w:t>
      </w:r>
      <w:r>
        <w:rPr>
          <w:sz w:val="18"/>
          <w:vertAlign w:val="baseline"/>
        </w:rPr>
        <w:t>Emotional</w:t>
      </w:r>
      <w:r>
        <w:rPr>
          <w:spacing w:val="-2"/>
          <w:sz w:val="18"/>
          <w:vertAlign w:val="baseline"/>
        </w:rPr>
        <w:t> </w:t>
      </w:r>
      <w:r>
        <w:rPr>
          <w:sz w:val="18"/>
          <w:vertAlign w:val="baseline"/>
        </w:rPr>
        <w:t>Distress</w:t>
      </w:r>
      <w:r>
        <w:rPr>
          <w:spacing w:val="-1"/>
          <w:sz w:val="18"/>
          <w:vertAlign w:val="baseline"/>
        </w:rPr>
        <w:t> </w:t>
      </w:r>
      <w:r>
        <w:rPr>
          <w:sz w:val="18"/>
          <w:vertAlign w:val="baseline"/>
        </w:rPr>
        <w:t>and Substance Use,” </w:t>
      </w:r>
      <w:r>
        <w:rPr>
          <w:i/>
          <w:sz w:val="18"/>
          <w:vertAlign w:val="baseline"/>
        </w:rPr>
        <w:t>American Journal of Preventive Medicine </w:t>
      </w:r>
      <w:r>
        <w:rPr>
          <w:sz w:val="18"/>
          <w:vertAlign w:val="baseline"/>
        </w:rPr>
        <w:t>55, no. 6 (December 1, 2018): 787–94, </w:t>
      </w:r>
      <w:r>
        <w:rPr>
          <w:spacing w:val="-2"/>
          <w:sz w:val="18"/>
          <w:vertAlign w:val="baseline"/>
        </w:rPr>
        <w:t>https://doi.org/10.1016/j.amepre.2018.06.030.</w:t>
      </w:r>
    </w:p>
    <w:p>
      <w:pPr>
        <w:spacing w:before="14"/>
        <w:ind w:left="463" w:right="0" w:firstLine="0"/>
        <w:jc w:val="left"/>
        <w:rPr>
          <w:sz w:val="18"/>
        </w:rPr>
      </w:pPr>
      <w:r>
        <w:rPr>
          <w:sz w:val="18"/>
          <w:vertAlign w:val="superscript"/>
        </w:rPr>
        <w:t>108</w:t>
      </w:r>
      <w:r>
        <w:rPr>
          <w:spacing w:val="-10"/>
          <w:sz w:val="18"/>
          <w:vertAlign w:val="baseline"/>
        </w:rPr>
        <w:t> </w:t>
      </w:r>
      <w:r>
        <w:rPr>
          <w:sz w:val="18"/>
          <w:vertAlign w:val="baseline"/>
        </w:rPr>
        <w:t>Gower</w:t>
      </w:r>
      <w:r>
        <w:rPr>
          <w:spacing w:val="3"/>
          <w:sz w:val="18"/>
          <w:vertAlign w:val="baseline"/>
        </w:rPr>
        <w:t> </w:t>
      </w:r>
      <w:r>
        <w:rPr>
          <w:sz w:val="18"/>
          <w:vertAlign w:val="baseline"/>
        </w:rPr>
        <w:t>et</w:t>
      </w:r>
      <w:r>
        <w:rPr>
          <w:spacing w:val="3"/>
          <w:sz w:val="18"/>
          <w:vertAlign w:val="baseline"/>
        </w:rPr>
        <w:t> </w:t>
      </w:r>
      <w:r>
        <w:rPr>
          <w:spacing w:val="-5"/>
          <w:sz w:val="18"/>
          <w:vertAlign w:val="baseline"/>
        </w:rPr>
        <w:t>al.</w:t>
      </w:r>
    </w:p>
    <w:p>
      <w:pPr>
        <w:spacing w:before="31"/>
        <w:ind w:left="463" w:right="0" w:firstLine="0"/>
        <w:jc w:val="left"/>
        <w:rPr>
          <w:sz w:val="18"/>
        </w:rPr>
      </w:pPr>
      <w:r>
        <w:rPr>
          <w:sz w:val="18"/>
          <w:vertAlign w:val="superscript"/>
        </w:rPr>
        <w:t>109</w:t>
      </w:r>
      <w:r>
        <w:rPr>
          <w:spacing w:val="-10"/>
          <w:sz w:val="18"/>
          <w:vertAlign w:val="baseline"/>
        </w:rPr>
        <w:t> </w:t>
      </w:r>
      <w:r>
        <w:rPr>
          <w:sz w:val="18"/>
          <w:vertAlign w:val="baseline"/>
        </w:rPr>
        <w:t>Gower</w:t>
      </w:r>
      <w:r>
        <w:rPr>
          <w:spacing w:val="3"/>
          <w:sz w:val="18"/>
          <w:vertAlign w:val="baseline"/>
        </w:rPr>
        <w:t> </w:t>
      </w:r>
      <w:r>
        <w:rPr>
          <w:sz w:val="18"/>
          <w:vertAlign w:val="baseline"/>
        </w:rPr>
        <w:t>et</w:t>
      </w:r>
      <w:r>
        <w:rPr>
          <w:spacing w:val="3"/>
          <w:sz w:val="18"/>
          <w:vertAlign w:val="baseline"/>
        </w:rPr>
        <w:t> </w:t>
      </w:r>
      <w:r>
        <w:rPr>
          <w:spacing w:val="-5"/>
          <w:sz w:val="18"/>
          <w:vertAlign w:val="baseline"/>
        </w:rPr>
        <w:t>al.</w:t>
      </w:r>
    </w:p>
    <w:p>
      <w:pPr>
        <w:spacing w:line="268" w:lineRule="auto" w:before="20"/>
        <w:ind w:left="463" w:right="311" w:firstLine="0"/>
        <w:jc w:val="left"/>
        <w:rPr>
          <w:sz w:val="18"/>
        </w:rPr>
      </w:pPr>
      <w:r>
        <w:rPr>
          <w:sz w:val="18"/>
          <w:vertAlign w:val="superscript"/>
        </w:rPr>
        <w:t>110</w:t>
      </w:r>
      <w:r>
        <w:rPr>
          <w:spacing w:val="-7"/>
          <w:sz w:val="18"/>
          <w:vertAlign w:val="baseline"/>
        </w:rPr>
        <w:t> </w:t>
      </w:r>
      <w:r>
        <w:rPr>
          <w:sz w:val="18"/>
          <w:vertAlign w:val="baseline"/>
        </w:rPr>
        <w:t>Marla E. Eisenberg et al., “Supportive Community Resources Are Associated with Lower Risk of Substance Use among Lesbian,</w:t>
      </w:r>
      <w:r>
        <w:rPr>
          <w:spacing w:val="-3"/>
          <w:sz w:val="18"/>
          <w:vertAlign w:val="baseline"/>
        </w:rPr>
        <w:t> </w:t>
      </w:r>
      <w:r>
        <w:rPr>
          <w:sz w:val="18"/>
          <w:vertAlign w:val="baseline"/>
        </w:rPr>
        <w:t>Gay,</w:t>
      </w:r>
      <w:r>
        <w:rPr>
          <w:spacing w:val="-3"/>
          <w:sz w:val="18"/>
          <w:vertAlign w:val="baseline"/>
        </w:rPr>
        <w:t> </w:t>
      </w:r>
      <w:r>
        <w:rPr>
          <w:sz w:val="18"/>
          <w:vertAlign w:val="baseline"/>
        </w:rPr>
        <w:t>Bisexual,</w:t>
      </w:r>
      <w:r>
        <w:rPr>
          <w:spacing w:val="-3"/>
          <w:sz w:val="18"/>
          <w:vertAlign w:val="baseline"/>
        </w:rPr>
        <w:t> </w:t>
      </w:r>
      <w:r>
        <w:rPr>
          <w:sz w:val="18"/>
          <w:vertAlign w:val="baseline"/>
        </w:rPr>
        <w:t>and</w:t>
      </w:r>
      <w:r>
        <w:rPr>
          <w:spacing w:val="-2"/>
          <w:sz w:val="18"/>
          <w:vertAlign w:val="baseline"/>
        </w:rPr>
        <w:t> </w:t>
      </w:r>
      <w:r>
        <w:rPr>
          <w:sz w:val="18"/>
          <w:vertAlign w:val="baseline"/>
        </w:rPr>
        <w:t>Questioning</w:t>
      </w:r>
      <w:r>
        <w:rPr>
          <w:spacing w:val="-2"/>
          <w:sz w:val="18"/>
          <w:vertAlign w:val="baseline"/>
        </w:rPr>
        <w:t> </w:t>
      </w:r>
      <w:r>
        <w:rPr>
          <w:sz w:val="18"/>
          <w:vertAlign w:val="baseline"/>
        </w:rPr>
        <w:t>Adolescents</w:t>
      </w:r>
      <w:r>
        <w:rPr>
          <w:spacing w:val="-2"/>
          <w:sz w:val="18"/>
          <w:vertAlign w:val="baseline"/>
        </w:rPr>
        <w:t> </w:t>
      </w:r>
      <w:r>
        <w:rPr>
          <w:sz w:val="18"/>
          <w:vertAlign w:val="baseline"/>
        </w:rPr>
        <w:t>in</w:t>
      </w:r>
      <w:r>
        <w:rPr>
          <w:spacing w:val="-2"/>
          <w:sz w:val="18"/>
          <w:vertAlign w:val="baseline"/>
        </w:rPr>
        <w:t> </w:t>
      </w:r>
      <w:r>
        <w:rPr>
          <w:sz w:val="18"/>
          <w:vertAlign w:val="baseline"/>
        </w:rPr>
        <w:t>Minnesota,”</w:t>
      </w:r>
      <w:r>
        <w:rPr>
          <w:spacing w:val="-2"/>
          <w:sz w:val="18"/>
          <w:vertAlign w:val="baseline"/>
        </w:rPr>
        <w:t> </w:t>
      </w:r>
      <w:r>
        <w:rPr>
          <w:i/>
          <w:sz w:val="18"/>
          <w:vertAlign w:val="baseline"/>
        </w:rPr>
        <w:t>Journal</w:t>
      </w:r>
      <w:r>
        <w:rPr>
          <w:i/>
          <w:spacing w:val="-3"/>
          <w:sz w:val="18"/>
          <w:vertAlign w:val="baseline"/>
        </w:rPr>
        <w:t> </w:t>
      </w:r>
      <w:r>
        <w:rPr>
          <w:i/>
          <w:sz w:val="18"/>
          <w:vertAlign w:val="baseline"/>
        </w:rPr>
        <w:t>of</w:t>
      </w:r>
      <w:r>
        <w:rPr>
          <w:i/>
          <w:spacing w:val="-2"/>
          <w:sz w:val="18"/>
          <w:vertAlign w:val="baseline"/>
        </w:rPr>
        <w:t> </w:t>
      </w:r>
      <w:r>
        <w:rPr>
          <w:i/>
          <w:sz w:val="18"/>
          <w:vertAlign w:val="baseline"/>
        </w:rPr>
        <w:t>Youth</w:t>
      </w:r>
      <w:r>
        <w:rPr>
          <w:i/>
          <w:spacing w:val="-3"/>
          <w:sz w:val="18"/>
          <w:vertAlign w:val="baseline"/>
        </w:rPr>
        <w:t> </w:t>
      </w:r>
      <w:r>
        <w:rPr>
          <w:i/>
          <w:sz w:val="18"/>
          <w:vertAlign w:val="baseline"/>
        </w:rPr>
        <w:t>and</w:t>
      </w:r>
      <w:r>
        <w:rPr>
          <w:i/>
          <w:spacing w:val="-3"/>
          <w:sz w:val="18"/>
          <w:vertAlign w:val="baseline"/>
        </w:rPr>
        <w:t> </w:t>
      </w:r>
      <w:r>
        <w:rPr>
          <w:i/>
          <w:sz w:val="18"/>
          <w:vertAlign w:val="baseline"/>
        </w:rPr>
        <w:t>Adolescence</w:t>
      </w:r>
      <w:r>
        <w:rPr>
          <w:i/>
          <w:spacing w:val="-2"/>
          <w:sz w:val="18"/>
          <w:vertAlign w:val="baseline"/>
        </w:rPr>
        <w:t> </w:t>
      </w:r>
      <w:r>
        <w:rPr>
          <w:sz w:val="18"/>
          <w:vertAlign w:val="baseline"/>
        </w:rPr>
        <w:t>49,</w:t>
      </w:r>
      <w:r>
        <w:rPr>
          <w:spacing w:val="-3"/>
          <w:sz w:val="18"/>
          <w:vertAlign w:val="baseline"/>
        </w:rPr>
        <w:t> </w:t>
      </w:r>
      <w:r>
        <w:rPr>
          <w:sz w:val="18"/>
          <w:vertAlign w:val="baseline"/>
        </w:rPr>
        <w:t>no.</w:t>
      </w:r>
      <w:r>
        <w:rPr>
          <w:spacing w:val="-2"/>
          <w:sz w:val="18"/>
          <w:vertAlign w:val="baseline"/>
        </w:rPr>
        <w:t> </w:t>
      </w:r>
      <w:r>
        <w:rPr>
          <w:sz w:val="18"/>
          <w:vertAlign w:val="baseline"/>
        </w:rPr>
        <w:t>4</w:t>
      </w:r>
      <w:r>
        <w:rPr>
          <w:spacing w:val="-2"/>
          <w:sz w:val="18"/>
          <w:vertAlign w:val="baseline"/>
        </w:rPr>
        <w:t> </w:t>
      </w:r>
      <w:r>
        <w:rPr>
          <w:sz w:val="18"/>
          <w:vertAlign w:val="baseline"/>
        </w:rPr>
        <w:t>(April</w:t>
      </w:r>
      <w:r>
        <w:rPr>
          <w:spacing w:val="-3"/>
          <w:sz w:val="18"/>
          <w:vertAlign w:val="baseline"/>
        </w:rPr>
        <w:t> </w:t>
      </w:r>
      <w:r>
        <w:rPr>
          <w:sz w:val="18"/>
          <w:vertAlign w:val="baseline"/>
        </w:rPr>
        <w:t>1,</w:t>
      </w:r>
      <w:r>
        <w:rPr>
          <w:spacing w:val="-3"/>
          <w:sz w:val="18"/>
          <w:vertAlign w:val="baseline"/>
        </w:rPr>
        <w:t> </w:t>
      </w:r>
      <w:r>
        <w:rPr>
          <w:sz w:val="18"/>
          <w:vertAlign w:val="baseline"/>
        </w:rPr>
        <w:t>2020): 836–48,</w:t>
      </w:r>
      <w:r>
        <w:rPr>
          <w:spacing w:val="-2"/>
          <w:sz w:val="18"/>
          <w:vertAlign w:val="baseline"/>
        </w:rPr>
        <w:t> </w:t>
      </w:r>
      <w:r>
        <w:rPr>
          <w:sz w:val="18"/>
          <w:vertAlign w:val="baseline"/>
        </w:rPr>
        <w:t>https://doi.org/10.1007/s10964-019-01100-4.</w:t>
      </w:r>
    </w:p>
    <w:p>
      <w:pPr>
        <w:spacing w:line="217" w:lineRule="exact" w:before="0"/>
        <w:ind w:left="463" w:right="0" w:firstLine="0"/>
        <w:jc w:val="left"/>
        <w:rPr>
          <w:sz w:val="18"/>
        </w:rPr>
      </w:pPr>
      <w:r>
        <w:rPr>
          <w:sz w:val="18"/>
          <w:vertAlign w:val="superscript"/>
        </w:rPr>
        <w:t>111</w:t>
      </w:r>
      <w:r>
        <w:rPr>
          <w:spacing w:val="-10"/>
          <w:sz w:val="18"/>
          <w:vertAlign w:val="baseline"/>
        </w:rPr>
        <w:t> </w:t>
      </w:r>
      <w:r>
        <w:rPr>
          <w:sz w:val="18"/>
          <w:vertAlign w:val="baseline"/>
        </w:rPr>
        <w:t>Eisenberg</w:t>
      </w:r>
      <w:r>
        <w:rPr>
          <w:spacing w:val="4"/>
          <w:sz w:val="18"/>
          <w:vertAlign w:val="baseline"/>
        </w:rPr>
        <w:t> </w:t>
      </w:r>
      <w:r>
        <w:rPr>
          <w:sz w:val="18"/>
          <w:vertAlign w:val="baseline"/>
        </w:rPr>
        <w:t>et</w:t>
      </w:r>
      <w:r>
        <w:rPr>
          <w:spacing w:val="1"/>
          <w:sz w:val="18"/>
          <w:vertAlign w:val="baseline"/>
        </w:rPr>
        <w:t> </w:t>
      </w:r>
      <w:r>
        <w:rPr>
          <w:spacing w:val="-5"/>
          <w:sz w:val="18"/>
          <w:vertAlign w:val="baseline"/>
        </w:rPr>
        <w:t>al.</w:t>
      </w:r>
    </w:p>
    <w:p>
      <w:pPr>
        <w:spacing w:line="271" w:lineRule="auto" w:before="21"/>
        <w:ind w:left="463" w:right="311" w:firstLine="0"/>
        <w:jc w:val="left"/>
        <w:rPr>
          <w:sz w:val="18"/>
        </w:rPr>
      </w:pPr>
      <w:r>
        <w:rPr>
          <w:sz w:val="18"/>
          <w:vertAlign w:val="superscript"/>
        </w:rPr>
        <w:t>112</w:t>
      </w:r>
      <w:r>
        <w:rPr>
          <w:spacing w:val="-12"/>
          <w:sz w:val="18"/>
          <w:vertAlign w:val="baseline"/>
        </w:rPr>
        <w:t> </w:t>
      </w:r>
      <w:r>
        <w:rPr>
          <w:sz w:val="18"/>
          <w:vertAlign w:val="baseline"/>
        </w:rPr>
        <w:t>Conron</w:t>
      </w:r>
      <w:r>
        <w:rPr>
          <w:spacing w:val="-2"/>
          <w:sz w:val="18"/>
          <w:vertAlign w:val="baseline"/>
        </w:rPr>
        <w:t> </w:t>
      </w:r>
      <w:r>
        <w:rPr>
          <w:sz w:val="18"/>
          <w:vertAlign w:val="baseline"/>
        </w:rPr>
        <w:t>et</w:t>
      </w:r>
      <w:r>
        <w:rPr>
          <w:spacing w:val="-2"/>
          <w:sz w:val="18"/>
          <w:vertAlign w:val="baseline"/>
        </w:rPr>
        <w:t> </w:t>
      </w:r>
      <w:r>
        <w:rPr>
          <w:sz w:val="18"/>
          <w:vertAlign w:val="baseline"/>
        </w:rPr>
        <w:t>al.,</w:t>
      </w:r>
      <w:r>
        <w:rPr>
          <w:spacing w:val="-1"/>
          <w:sz w:val="18"/>
          <w:vertAlign w:val="baseline"/>
        </w:rPr>
        <w:t> </w:t>
      </w:r>
      <w:r>
        <w:rPr>
          <w:sz w:val="18"/>
          <w:vertAlign w:val="baseline"/>
        </w:rPr>
        <w:t>“Our</w:t>
      </w:r>
      <w:r>
        <w:rPr>
          <w:spacing w:val="-2"/>
          <w:sz w:val="18"/>
          <w:vertAlign w:val="baseline"/>
        </w:rPr>
        <w:t> </w:t>
      </w:r>
      <w:r>
        <w:rPr>
          <w:sz w:val="18"/>
          <w:vertAlign w:val="baseline"/>
        </w:rPr>
        <w:t>Health</w:t>
      </w:r>
      <w:r>
        <w:rPr>
          <w:spacing w:val="-1"/>
          <w:sz w:val="18"/>
          <w:vertAlign w:val="baseline"/>
        </w:rPr>
        <w:t> </w:t>
      </w:r>
      <w:r>
        <w:rPr>
          <w:sz w:val="18"/>
          <w:vertAlign w:val="baseline"/>
        </w:rPr>
        <w:t>Matters:</w:t>
      </w:r>
      <w:r>
        <w:rPr>
          <w:spacing w:val="-1"/>
          <w:sz w:val="18"/>
          <w:vertAlign w:val="baseline"/>
        </w:rPr>
        <w:t> </w:t>
      </w:r>
      <w:r>
        <w:rPr>
          <w:sz w:val="18"/>
          <w:vertAlign w:val="baseline"/>
        </w:rPr>
        <w:t>Mental</w:t>
      </w:r>
      <w:r>
        <w:rPr>
          <w:spacing w:val="-2"/>
          <w:sz w:val="18"/>
          <w:vertAlign w:val="baseline"/>
        </w:rPr>
        <w:t> </w:t>
      </w:r>
      <w:r>
        <w:rPr>
          <w:sz w:val="18"/>
          <w:vertAlign w:val="baseline"/>
        </w:rPr>
        <w:t>Health,</w:t>
      </w:r>
      <w:r>
        <w:rPr>
          <w:spacing w:val="-2"/>
          <w:sz w:val="18"/>
          <w:vertAlign w:val="baseline"/>
        </w:rPr>
        <w:t> </w:t>
      </w:r>
      <w:r>
        <w:rPr>
          <w:sz w:val="18"/>
          <w:vertAlign w:val="baseline"/>
        </w:rPr>
        <w:t>Risk,</w:t>
      </w:r>
      <w:r>
        <w:rPr>
          <w:spacing w:val="-2"/>
          <w:sz w:val="18"/>
          <w:vertAlign w:val="baseline"/>
        </w:rPr>
        <w:t> </w:t>
      </w:r>
      <w:r>
        <w:rPr>
          <w:sz w:val="18"/>
          <w:vertAlign w:val="baseline"/>
        </w:rPr>
        <w:t>and</w:t>
      </w:r>
      <w:r>
        <w:rPr>
          <w:spacing w:val="-1"/>
          <w:sz w:val="18"/>
          <w:vertAlign w:val="baseline"/>
        </w:rPr>
        <w:t> </w:t>
      </w:r>
      <w:r>
        <w:rPr>
          <w:sz w:val="18"/>
          <w:vertAlign w:val="baseline"/>
        </w:rPr>
        <w:t>Resilience</w:t>
      </w:r>
      <w:r>
        <w:rPr>
          <w:spacing w:val="-1"/>
          <w:sz w:val="18"/>
          <w:vertAlign w:val="baseline"/>
        </w:rPr>
        <w:t> </w:t>
      </w:r>
      <w:r>
        <w:rPr>
          <w:sz w:val="18"/>
          <w:vertAlign w:val="baseline"/>
        </w:rPr>
        <w:t>among</w:t>
      </w:r>
      <w:r>
        <w:rPr>
          <w:spacing w:val="-2"/>
          <w:sz w:val="18"/>
          <w:vertAlign w:val="baseline"/>
        </w:rPr>
        <w:t> </w:t>
      </w:r>
      <w:r>
        <w:rPr>
          <w:sz w:val="18"/>
          <w:vertAlign w:val="baseline"/>
        </w:rPr>
        <w:t>LGBTQ</w:t>
      </w:r>
      <w:r>
        <w:rPr>
          <w:spacing w:val="-1"/>
          <w:sz w:val="18"/>
          <w:vertAlign w:val="baseline"/>
        </w:rPr>
        <w:t> </w:t>
      </w:r>
      <w:r>
        <w:rPr>
          <w:sz w:val="18"/>
          <w:vertAlign w:val="baseline"/>
        </w:rPr>
        <w:t>Youth</w:t>
      </w:r>
      <w:r>
        <w:rPr>
          <w:spacing w:val="-1"/>
          <w:sz w:val="18"/>
          <w:vertAlign w:val="baseline"/>
        </w:rPr>
        <w:t> </w:t>
      </w:r>
      <w:r>
        <w:rPr>
          <w:sz w:val="18"/>
          <w:vertAlign w:val="baseline"/>
        </w:rPr>
        <w:t>of</w:t>
      </w:r>
      <w:r>
        <w:rPr>
          <w:spacing w:val="-2"/>
          <w:sz w:val="18"/>
          <w:vertAlign w:val="baseline"/>
        </w:rPr>
        <w:t> </w:t>
      </w:r>
      <w:r>
        <w:rPr>
          <w:sz w:val="18"/>
          <w:vertAlign w:val="baseline"/>
        </w:rPr>
        <w:t>Color</w:t>
      </w:r>
      <w:r>
        <w:rPr>
          <w:spacing w:val="-2"/>
          <w:sz w:val="18"/>
          <w:vertAlign w:val="baseline"/>
        </w:rPr>
        <w:t> </w:t>
      </w:r>
      <w:r>
        <w:rPr>
          <w:sz w:val="18"/>
          <w:vertAlign w:val="baseline"/>
        </w:rPr>
        <w:t>Who</w:t>
      </w:r>
      <w:r>
        <w:rPr>
          <w:spacing w:val="-1"/>
          <w:sz w:val="18"/>
          <w:vertAlign w:val="baseline"/>
        </w:rPr>
        <w:t> </w:t>
      </w:r>
      <w:r>
        <w:rPr>
          <w:sz w:val="18"/>
          <w:vertAlign w:val="baseline"/>
        </w:rPr>
        <w:t>Live,</w:t>
      </w:r>
      <w:r>
        <w:rPr>
          <w:spacing w:val="-2"/>
          <w:sz w:val="18"/>
          <w:vertAlign w:val="baseline"/>
        </w:rPr>
        <w:t> </w:t>
      </w:r>
      <w:r>
        <w:rPr>
          <w:sz w:val="18"/>
          <w:vertAlign w:val="baseline"/>
        </w:rPr>
        <w:t>Work,</w:t>
      </w:r>
      <w:r>
        <w:rPr>
          <w:spacing w:val="-2"/>
          <w:sz w:val="18"/>
          <w:vertAlign w:val="baseline"/>
        </w:rPr>
        <w:t> </w:t>
      </w:r>
      <w:r>
        <w:rPr>
          <w:sz w:val="18"/>
          <w:vertAlign w:val="baseline"/>
        </w:rPr>
        <w:t>or Play in Boston.”</w:t>
      </w:r>
    </w:p>
    <w:p>
      <w:pPr>
        <w:spacing w:line="215" w:lineRule="exact" w:before="0"/>
        <w:ind w:left="463" w:right="0" w:firstLine="0"/>
        <w:jc w:val="left"/>
        <w:rPr>
          <w:sz w:val="18"/>
        </w:rPr>
      </w:pPr>
      <w:r>
        <w:rPr>
          <w:sz w:val="18"/>
          <w:vertAlign w:val="superscript"/>
        </w:rPr>
        <w:t>113</w:t>
      </w:r>
      <w:r>
        <w:rPr>
          <w:spacing w:val="-12"/>
          <w:sz w:val="18"/>
          <w:vertAlign w:val="baseline"/>
        </w:rPr>
        <w:t> </w:t>
      </w:r>
      <w:r>
        <w:rPr>
          <w:sz w:val="18"/>
          <w:vertAlign w:val="baseline"/>
        </w:rPr>
        <w:t>Rotheram-Borus,</w:t>
      </w:r>
      <w:r>
        <w:rPr>
          <w:spacing w:val="-3"/>
          <w:sz w:val="18"/>
          <w:vertAlign w:val="baseline"/>
        </w:rPr>
        <w:t> </w:t>
      </w:r>
      <w:r>
        <w:rPr>
          <w:sz w:val="18"/>
          <w:vertAlign w:val="baseline"/>
        </w:rPr>
        <w:t>Lee,</w:t>
      </w:r>
      <w:r>
        <w:rPr>
          <w:spacing w:val="-1"/>
          <w:sz w:val="18"/>
          <w:vertAlign w:val="baseline"/>
        </w:rPr>
        <w:t> </w:t>
      </w:r>
      <w:r>
        <w:rPr>
          <w:sz w:val="18"/>
          <w:vertAlign w:val="baseline"/>
        </w:rPr>
        <w:t>and</w:t>
      </w:r>
      <w:r>
        <w:rPr>
          <w:spacing w:val="-1"/>
          <w:sz w:val="18"/>
          <w:vertAlign w:val="baseline"/>
        </w:rPr>
        <w:t> </w:t>
      </w:r>
      <w:r>
        <w:rPr>
          <w:sz w:val="18"/>
          <w:vertAlign w:val="baseline"/>
        </w:rPr>
        <w:t>Swendeman,</w:t>
      </w:r>
      <w:r>
        <w:rPr>
          <w:spacing w:val="-1"/>
          <w:sz w:val="18"/>
          <w:vertAlign w:val="baseline"/>
        </w:rPr>
        <w:t> </w:t>
      </w:r>
      <w:r>
        <w:rPr>
          <w:sz w:val="18"/>
          <w:vertAlign w:val="baseline"/>
        </w:rPr>
        <w:t>“Getting</w:t>
      </w:r>
      <w:r>
        <w:rPr>
          <w:spacing w:val="-1"/>
          <w:sz w:val="18"/>
          <w:vertAlign w:val="baseline"/>
        </w:rPr>
        <w:t> </w:t>
      </w:r>
      <w:r>
        <w:rPr>
          <w:sz w:val="18"/>
          <w:vertAlign w:val="baseline"/>
        </w:rPr>
        <w:t>to</w:t>
      </w:r>
      <w:r>
        <w:rPr>
          <w:spacing w:val="-1"/>
          <w:sz w:val="18"/>
          <w:vertAlign w:val="baseline"/>
        </w:rPr>
        <w:t> </w:t>
      </w:r>
      <w:r>
        <w:rPr>
          <w:sz w:val="18"/>
          <w:vertAlign w:val="baseline"/>
        </w:rPr>
        <w:t>Zero HIV</w:t>
      </w:r>
      <w:r>
        <w:rPr>
          <w:spacing w:val="-1"/>
          <w:sz w:val="18"/>
          <w:vertAlign w:val="baseline"/>
        </w:rPr>
        <w:t> </w:t>
      </w:r>
      <w:r>
        <w:rPr>
          <w:sz w:val="18"/>
          <w:vertAlign w:val="baseline"/>
        </w:rPr>
        <w:t>Among</w:t>
      </w:r>
      <w:r>
        <w:rPr>
          <w:spacing w:val="-1"/>
          <w:sz w:val="18"/>
          <w:vertAlign w:val="baseline"/>
        </w:rPr>
        <w:t> </w:t>
      </w:r>
      <w:r>
        <w:rPr>
          <w:spacing w:val="-2"/>
          <w:sz w:val="18"/>
          <w:vertAlign w:val="baseline"/>
        </w:rPr>
        <w:t>Youth.”</w:t>
      </w:r>
    </w:p>
    <w:p>
      <w:pPr>
        <w:spacing w:line="268" w:lineRule="auto" w:before="20"/>
        <w:ind w:left="463" w:right="376" w:hanging="1"/>
        <w:jc w:val="left"/>
        <w:rPr>
          <w:sz w:val="18"/>
        </w:rPr>
      </w:pPr>
      <w:r>
        <w:rPr>
          <w:sz w:val="18"/>
          <w:vertAlign w:val="superscript"/>
        </w:rPr>
        <w:t>114</w:t>
      </w:r>
      <w:r>
        <w:rPr>
          <w:spacing w:val="-12"/>
          <w:sz w:val="18"/>
          <w:vertAlign w:val="baseline"/>
        </w:rPr>
        <w:t> </w:t>
      </w:r>
      <w:r>
        <w:rPr>
          <w:sz w:val="18"/>
          <w:vertAlign w:val="baseline"/>
        </w:rPr>
        <w:t>Keith</w:t>
      </w:r>
      <w:r>
        <w:rPr>
          <w:spacing w:val="-2"/>
          <w:sz w:val="18"/>
          <w:vertAlign w:val="baseline"/>
        </w:rPr>
        <w:t> </w:t>
      </w:r>
      <w:r>
        <w:rPr>
          <w:sz w:val="18"/>
          <w:vertAlign w:val="baseline"/>
        </w:rPr>
        <w:t>James</w:t>
      </w:r>
      <w:r>
        <w:rPr>
          <w:spacing w:val="-1"/>
          <w:sz w:val="18"/>
          <w:vertAlign w:val="baseline"/>
        </w:rPr>
        <w:t> </w:t>
      </w:r>
      <w:r>
        <w:rPr>
          <w:sz w:val="18"/>
          <w:vertAlign w:val="baseline"/>
        </w:rPr>
        <w:t>Topping,</w:t>
      </w:r>
      <w:r>
        <w:rPr>
          <w:spacing w:val="-2"/>
          <w:sz w:val="18"/>
          <w:vertAlign w:val="baseline"/>
        </w:rPr>
        <w:t> </w:t>
      </w:r>
      <w:r>
        <w:rPr>
          <w:sz w:val="18"/>
          <w:vertAlign w:val="baseline"/>
        </w:rPr>
        <w:t>“Peer</w:t>
      </w:r>
      <w:r>
        <w:rPr>
          <w:spacing w:val="-2"/>
          <w:sz w:val="18"/>
          <w:vertAlign w:val="baseline"/>
        </w:rPr>
        <w:t> </w:t>
      </w:r>
      <w:r>
        <w:rPr>
          <w:sz w:val="18"/>
          <w:vertAlign w:val="baseline"/>
        </w:rPr>
        <w:t>Education</w:t>
      </w:r>
      <w:r>
        <w:rPr>
          <w:spacing w:val="-1"/>
          <w:sz w:val="18"/>
          <w:vertAlign w:val="baseline"/>
        </w:rPr>
        <w:t> </w:t>
      </w:r>
      <w:r>
        <w:rPr>
          <w:sz w:val="18"/>
          <w:vertAlign w:val="baseline"/>
        </w:rPr>
        <w:t>and</w:t>
      </w:r>
      <w:r>
        <w:rPr>
          <w:spacing w:val="-1"/>
          <w:sz w:val="18"/>
          <w:vertAlign w:val="baseline"/>
        </w:rPr>
        <w:t> </w:t>
      </w:r>
      <w:r>
        <w:rPr>
          <w:sz w:val="18"/>
          <w:vertAlign w:val="baseline"/>
        </w:rPr>
        <w:t>Peer</w:t>
      </w:r>
      <w:r>
        <w:rPr>
          <w:spacing w:val="-2"/>
          <w:sz w:val="18"/>
          <w:vertAlign w:val="baseline"/>
        </w:rPr>
        <w:t> </w:t>
      </w:r>
      <w:r>
        <w:rPr>
          <w:sz w:val="18"/>
          <w:vertAlign w:val="baseline"/>
        </w:rPr>
        <w:t>Counselling</w:t>
      </w:r>
      <w:r>
        <w:rPr>
          <w:spacing w:val="-1"/>
          <w:sz w:val="18"/>
          <w:vertAlign w:val="baseline"/>
        </w:rPr>
        <w:t> </w:t>
      </w:r>
      <w:r>
        <w:rPr>
          <w:sz w:val="18"/>
          <w:vertAlign w:val="baseline"/>
        </w:rPr>
        <w:t>for</w:t>
      </w:r>
      <w:r>
        <w:rPr>
          <w:spacing w:val="-2"/>
          <w:sz w:val="18"/>
          <w:vertAlign w:val="baseline"/>
        </w:rPr>
        <w:t> </w:t>
      </w:r>
      <w:r>
        <w:rPr>
          <w:sz w:val="18"/>
          <w:vertAlign w:val="baseline"/>
        </w:rPr>
        <w:t>Health</w:t>
      </w:r>
      <w:r>
        <w:rPr>
          <w:spacing w:val="-1"/>
          <w:sz w:val="18"/>
          <w:vertAlign w:val="baseline"/>
        </w:rPr>
        <w:t> </w:t>
      </w:r>
      <w:r>
        <w:rPr>
          <w:sz w:val="18"/>
          <w:vertAlign w:val="baseline"/>
        </w:rPr>
        <w:t>and</w:t>
      </w:r>
      <w:r>
        <w:rPr>
          <w:spacing w:val="-1"/>
          <w:sz w:val="18"/>
          <w:vertAlign w:val="baseline"/>
        </w:rPr>
        <w:t> </w:t>
      </w:r>
      <w:r>
        <w:rPr>
          <w:sz w:val="18"/>
          <w:vertAlign w:val="baseline"/>
        </w:rPr>
        <w:t>Well-Being:</w:t>
      </w:r>
      <w:r>
        <w:rPr>
          <w:spacing w:val="-1"/>
          <w:sz w:val="18"/>
          <w:vertAlign w:val="baseline"/>
        </w:rPr>
        <w:t> </w:t>
      </w:r>
      <w:r>
        <w:rPr>
          <w:sz w:val="18"/>
          <w:vertAlign w:val="baseline"/>
        </w:rPr>
        <w:t>A</w:t>
      </w:r>
      <w:r>
        <w:rPr>
          <w:spacing w:val="-1"/>
          <w:sz w:val="18"/>
          <w:vertAlign w:val="baseline"/>
        </w:rPr>
        <w:t> </w:t>
      </w:r>
      <w:r>
        <w:rPr>
          <w:sz w:val="18"/>
          <w:vertAlign w:val="baseline"/>
        </w:rPr>
        <w:t>Review</w:t>
      </w:r>
      <w:r>
        <w:rPr>
          <w:spacing w:val="-3"/>
          <w:sz w:val="18"/>
          <w:vertAlign w:val="baseline"/>
        </w:rPr>
        <w:t> </w:t>
      </w:r>
      <w:r>
        <w:rPr>
          <w:sz w:val="18"/>
          <w:vertAlign w:val="baseline"/>
        </w:rPr>
        <w:t>of</w:t>
      </w:r>
      <w:r>
        <w:rPr>
          <w:spacing w:val="-1"/>
          <w:sz w:val="18"/>
          <w:vertAlign w:val="baseline"/>
        </w:rPr>
        <w:t> </w:t>
      </w:r>
      <w:r>
        <w:rPr>
          <w:sz w:val="18"/>
          <w:vertAlign w:val="baseline"/>
        </w:rPr>
        <w:t>Reviews,”</w:t>
      </w:r>
      <w:r>
        <w:rPr>
          <w:spacing w:val="-1"/>
          <w:sz w:val="18"/>
          <w:vertAlign w:val="baseline"/>
        </w:rPr>
        <w:t> </w:t>
      </w:r>
      <w:r>
        <w:rPr>
          <w:i/>
          <w:sz w:val="18"/>
          <w:vertAlign w:val="baseline"/>
        </w:rPr>
        <w:t>International</w:t>
      </w:r>
      <w:r>
        <w:rPr>
          <w:i/>
          <w:sz w:val="18"/>
          <w:vertAlign w:val="baseline"/>
        </w:rPr>
        <w:t> Journal of Environmental Research and Public Health </w:t>
      </w:r>
      <w:r>
        <w:rPr>
          <w:sz w:val="18"/>
          <w:vertAlign w:val="baseline"/>
        </w:rPr>
        <w:t>19, no. 10 (January 2022): 6064,</w:t>
      </w:r>
      <w:r>
        <w:rPr>
          <w:spacing w:val="40"/>
          <w:sz w:val="18"/>
          <w:vertAlign w:val="baseline"/>
        </w:rPr>
        <w:t> </w:t>
      </w:r>
      <w:r>
        <w:rPr>
          <w:spacing w:val="-2"/>
          <w:sz w:val="18"/>
          <w:vertAlign w:val="baseline"/>
        </w:rPr>
        <w:t>https://doi.org/10.3390/ijerph19106064.</w:t>
      </w:r>
    </w:p>
    <w:p>
      <w:pPr>
        <w:spacing w:line="217" w:lineRule="exact" w:before="0"/>
        <w:ind w:left="463" w:right="0" w:firstLine="0"/>
        <w:jc w:val="left"/>
        <w:rPr>
          <w:sz w:val="18"/>
        </w:rPr>
      </w:pPr>
      <w:r>
        <w:rPr>
          <w:w w:val="105"/>
          <w:sz w:val="18"/>
          <w:vertAlign w:val="superscript"/>
        </w:rPr>
        <w:t>115</w:t>
      </w:r>
      <w:r>
        <w:rPr>
          <w:spacing w:val="-11"/>
          <w:w w:val="105"/>
          <w:sz w:val="18"/>
          <w:vertAlign w:val="baseline"/>
        </w:rPr>
        <w:t> </w:t>
      </w:r>
      <w:r>
        <w:rPr>
          <w:spacing w:val="-2"/>
          <w:w w:val="105"/>
          <w:sz w:val="18"/>
          <w:vertAlign w:val="baseline"/>
        </w:rPr>
        <w:t>Topping.</w:t>
      </w:r>
    </w:p>
    <w:p>
      <w:pPr>
        <w:spacing w:line="268" w:lineRule="auto" w:before="20"/>
        <w:ind w:left="463" w:right="362" w:firstLine="0"/>
        <w:jc w:val="both"/>
        <w:rPr>
          <w:sz w:val="18"/>
        </w:rPr>
      </w:pPr>
      <w:r>
        <w:rPr>
          <w:sz w:val="18"/>
          <w:vertAlign w:val="superscript"/>
        </w:rPr>
        <w:t>116</w:t>
      </w:r>
      <w:r>
        <w:rPr>
          <w:spacing w:val="-11"/>
          <w:sz w:val="18"/>
          <w:vertAlign w:val="baseline"/>
        </w:rPr>
        <w:t> </w:t>
      </w:r>
      <w:r>
        <w:rPr>
          <w:sz w:val="18"/>
          <w:vertAlign w:val="baseline"/>
        </w:rPr>
        <w:t>Emily</w:t>
      </w:r>
      <w:r>
        <w:rPr>
          <w:spacing w:val="-3"/>
          <w:sz w:val="18"/>
          <w:vertAlign w:val="baseline"/>
        </w:rPr>
        <w:t> </w:t>
      </w:r>
      <w:r>
        <w:rPr>
          <w:sz w:val="18"/>
          <w:vertAlign w:val="baseline"/>
        </w:rPr>
        <w:t>K.</w:t>
      </w:r>
      <w:r>
        <w:rPr>
          <w:spacing w:val="-1"/>
          <w:sz w:val="18"/>
          <w:vertAlign w:val="baseline"/>
        </w:rPr>
        <w:t> </w:t>
      </w:r>
      <w:r>
        <w:rPr>
          <w:sz w:val="18"/>
          <w:vertAlign w:val="baseline"/>
        </w:rPr>
        <w:t>Jenkins,</w:t>
      </w:r>
      <w:r>
        <w:rPr>
          <w:spacing w:val="-2"/>
          <w:sz w:val="18"/>
          <w:vertAlign w:val="baseline"/>
        </w:rPr>
        <w:t> </w:t>
      </w:r>
      <w:r>
        <w:rPr>
          <w:sz w:val="18"/>
          <w:vertAlign w:val="baseline"/>
        </w:rPr>
        <w:t>Allie</w:t>
      </w:r>
      <w:r>
        <w:rPr>
          <w:spacing w:val="-1"/>
          <w:sz w:val="18"/>
          <w:vertAlign w:val="baseline"/>
        </w:rPr>
        <w:t> </w:t>
      </w:r>
      <w:r>
        <w:rPr>
          <w:sz w:val="18"/>
          <w:vertAlign w:val="baseline"/>
        </w:rPr>
        <w:t>Slemon,</w:t>
      </w:r>
      <w:r>
        <w:rPr>
          <w:spacing w:val="-1"/>
          <w:sz w:val="18"/>
          <w:vertAlign w:val="baseline"/>
        </w:rPr>
        <w:t> </w:t>
      </w:r>
      <w:r>
        <w:rPr>
          <w:sz w:val="18"/>
          <w:vertAlign w:val="baseline"/>
        </w:rPr>
        <w:t>and</w:t>
      </w:r>
      <w:r>
        <w:rPr>
          <w:spacing w:val="-1"/>
          <w:sz w:val="18"/>
          <w:vertAlign w:val="baseline"/>
        </w:rPr>
        <w:t> </w:t>
      </w:r>
      <w:r>
        <w:rPr>
          <w:sz w:val="18"/>
          <w:vertAlign w:val="baseline"/>
        </w:rPr>
        <w:t>Rebecca</w:t>
      </w:r>
      <w:r>
        <w:rPr>
          <w:spacing w:val="-1"/>
          <w:sz w:val="18"/>
          <w:vertAlign w:val="baseline"/>
        </w:rPr>
        <w:t> </w:t>
      </w:r>
      <w:r>
        <w:rPr>
          <w:sz w:val="18"/>
          <w:vertAlign w:val="baseline"/>
        </w:rPr>
        <w:t>J.</w:t>
      </w:r>
      <w:r>
        <w:rPr>
          <w:spacing w:val="-2"/>
          <w:sz w:val="18"/>
          <w:vertAlign w:val="baseline"/>
        </w:rPr>
        <w:t> </w:t>
      </w:r>
      <w:r>
        <w:rPr>
          <w:sz w:val="18"/>
          <w:vertAlign w:val="baseline"/>
        </w:rPr>
        <w:t>Haines-Saah,</w:t>
      </w:r>
      <w:r>
        <w:rPr>
          <w:spacing w:val="-2"/>
          <w:sz w:val="18"/>
          <w:vertAlign w:val="baseline"/>
        </w:rPr>
        <w:t> </w:t>
      </w:r>
      <w:r>
        <w:rPr>
          <w:sz w:val="18"/>
          <w:vertAlign w:val="baseline"/>
        </w:rPr>
        <w:t>“Developing</w:t>
      </w:r>
      <w:r>
        <w:rPr>
          <w:spacing w:val="-1"/>
          <w:sz w:val="18"/>
          <w:vertAlign w:val="baseline"/>
        </w:rPr>
        <w:t> </w:t>
      </w:r>
      <w:r>
        <w:rPr>
          <w:sz w:val="18"/>
          <w:vertAlign w:val="baseline"/>
        </w:rPr>
        <w:t>Harm</w:t>
      </w:r>
      <w:r>
        <w:rPr>
          <w:spacing w:val="-2"/>
          <w:sz w:val="18"/>
          <w:vertAlign w:val="baseline"/>
        </w:rPr>
        <w:t> </w:t>
      </w:r>
      <w:r>
        <w:rPr>
          <w:sz w:val="18"/>
          <w:vertAlign w:val="baseline"/>
        </w:rPr>
        <w:t>Reduction</w:t>
      </w:r>
      <w:r>
        <w:rPr>
          <w:spacing w:val="-1"/>
          <w:sz w:val="18"/>
          <w:vertAlign w:val="baseline"/>
        </w:rPr>
        <w:t> </w:t>
      </w:r>
      <w:r>
        <w:rPr>
          <w:sz w:val="18"/>
          <w:vertAlign w:val="baseline"/>
        </w:rPr>
        <w:t>in</w:t>
      </w:r>
      <w:r>
        <w:rPr>
          <w:spacing w:val="-1"/>
          <w:sz w:val="18"/>
          <w:vertAlign w:val="baseline"/>
        </w:rPr>
        <w:t> </w:t>
      </w:r>
      <w:r>
        <w:rPr>
          <w:sz w:val="18"/>
          <w:vertAlign w:val="baseline"/>
        </w:rPr>
        <w:t>the</w:t>
      </w:r>
      <w:r>
        <w:rPr>
          <w:spacing w:val="-1"/>
          <w:sz w:val="18"/>
          <w:vertAlign w:val="baseline"/>
        </w:rPr>
        <w:t> </w:t>
      </w:r>
      <w:r>
        <w:rPr>
          <w:sz w:val="18"/>
          <w:vertAlign w:val="baseline"/>
        </w:rPr>
        <w:t>Context</w:t>
      </w:r>
      <w:r>
        <w:rPr>
          <w:spacing w:val="-2"/>
          <w:sz w:val="18"/>
          <w:vertAlign w:val="baseline"/>
        </w:rPr>
        <w:t> </w:t>
      </w:r>
      <w:r>
        <w:rPr>
          <w:sz w:val="18"/>
          <w:vertAlign w:val="baseline"/>
        </w:rPr>
        <w:t>of</w:t>
      </w:r>
      <w:r>
        <w:rPr>
          <w:spacing w:val="-1"/>
          <w:sz w:val="18"/>
          <w:vertAlign w:val="baseline"/>
        </w:rPr>
        <w:t> </w:t>
      </w:r>
      <w:r>
        <w:rPr>
          <w:sz w:val="18"/>
          <w:vertAlign w:val="baseline"/>
        </w:rPr>
        <w:t>Youth</w:t>
      </w:r>
      <w:r>
        <w:rPr>
          <w:spacing w:val="-1"/>
          <w:sz w:val="18"/>
          <w:vertAlign w:val="baseline"/>
        </w:rPr>
        <w:t> </w:t>
      </w:r>
      <w:r>
        <w:rPr>
          <w:sz w:val="18"/>
          <w:vertAlign w:val="baseline"/>
        </w:rPr>
        <w:t>Substance Use: Insights</w:t>
      </w:r>
      <w:r>
        <w:rPr>
          <w:spacing w:val="-1"/>
          <w:sz w:val="18"/>
          <w:vertAlign w:val="baseline"/>
        </w:rPr>
        <w:t> </w:t>
      </w:r>
      <w:r>
        <w:rPr>
          <w:sz w:val="18"/>
          <w:vertAlign w:val="baseline"/>
        </w:rPr>
        <w:t>from a Multi-Site Qualitative Analysis of Young People’s Harm Minimization Strategies,” </w:t>
      </w:r>
      <w:r>
        <w:rPr>
          <w:i/>
          <w:sz w:val="18"/>
          <w:vertAlign w:val="baseline"/>
        </w:rPr>
        <w:t>Harm Reduction</w:t>
      </w:r>
      <w:r>
        <w:rPr>
          <w:i/>
          <w:spacing w:val="-1"/>
          <w:sz w:val="18"/>
          <w:vertAlign w:val="baseline"/>
        </w:rPr>
        <w:t> </w:t>
      </w:r>
      <w:r>
        <w:rPr>
          <w:i/>
          <w:sz w:val="18"/>
          <w:vertAlign w:val="baseline"/>
        </w:rPr>
        <w:t>Journal</w:t>
      </w:r>
      <w:r>
        <w:rPr>
          <w:i/>
          <w:sz w:val="18"/>
          <w:vertAlign w:val="baseline"/>
        </w:rPr>
        <w:t> </w:t>
      </w:r>
      <w:r>
        <w:rPr>
          <w:sz w:val="18"/>
          <w:vertAlign w:val="baseline"/>
        </w:rPr>
        <w:t>14, no. 1 (July 31, 2017): 53, https://doi.org/10.1186/s12954-017-0180-z.</w:t>
      </w:r>
    </w:p>
    <w:p>
      <w:pPr>
        <w:spacing w:line="273" w:lineRule="auto" w:before="13"/>
        <w:ind w:left="463" w:right="451" w:firstLine="0"/>
        <w:jc w:val="left"/>
        <w:rPr>
          <w:sz w:val="18"/>
        </w:rPr>
      </w:pPr>
      <w:r>
        <w:rPr>
          <w:sz w:val="18"/>
          <w:vertAlign w:val="superscript"/>
        </w:rPr>
        <w:t>117</w:t>
      </w:r>
      <w:r>
        <w:rPr>
          <w:spacing w:val="-12"/>
          <w:sz w:val="18"/>
          <w:vertAlign w:val="baseline"/>
        </w:rPr>
        <w:t> </w:t>
      </w:r>
      <w:r>
        <w:rPr>
          <w:sz w:val="18"/>
          <w:vertAlign w:val="baseline"/>
        </w:rPr>
        <w:t>“LGBTQ</w:t>
      </w:r>
      <w:r>
        <w:rPr>
          <w:spacing w:val="-2"/>
          <w:sz w:val="18"/>
          <w:vertAlign w:val="baseline"/>
        </w:rPr>
        <w:t> </w:t>
      </w:r>
      <w:r>
        <w:rPr>
          <w:sz w:val="18"/>
          <w:vertAlign w:val="baseline"/>
        </w:rPr>
        <w:t>People</w:t>
      </w:r>
      <w:r>
        <w:rPr>
          <w:spacing w:val="-2"/>
          <w:sz w:val="18"/>
          <w:vertAlign w:val="baseline"/>
        </w:rPr>
        <w:t> </w:t>
      </w:r>
      <w:r>
        <w:rPr>
          <w:sz w:val="18"/>
          <w:vertAlign w:val="baseline"/>
        </w:rPr>
        <w:t>and</w:t>
      </w:r>
      <w:r>
        <w:rPr>
          <w:spacing w:val="-2"/>
          <w:sz w:val="18"/>
          <w:vertAlign w:val="baseline"/>
        </w:rPr>
        <w:t> </w:t>
      </w:r>
      <w:r>
        <w:rPr>
          <w:sz w:val="18"/>
          <w:vertAlign w:val="baseline"/>
        </w:rPr>
        <w:t>Syringe</w:t>
      </w:r>
      <w:r>
        <w:rPr>
          <w:spacing w:val="-2"/>
          <w:sz w:val="18"/>
          <w:vertAlign w:val="baseline"/>
        </w:rPr>
        <w:t> </w:t>
      </w:r>
      <w:r>
        <w:rPr>
          <w:sz w:val="18"/>
          <w:vertAlign w:val="baseline"/>
        </w:rPr>
        <w:t>Services</w:t>
      </w:r>
      <w:r>
        <w:rPr>
          <w:spacing w:val="-2"/>
          <w:sz w:val="18"/>
          <w:vertAlign w:val="baseline"/>
        </w:rPr>
        <w:t> </w:t>
      </w:r>
      <w:r>
        <w:rPr>
          <w:sz w:val="18"/>
          <w:vertAlign w:val="baseline"/>
        </w:rPr>
        <w:t>Programs”</w:t>
      </w:r>
      <w:r>
        <w:rPr>
          <w:spacing w:val="-2"/>
          <w:sz w:val="18"/>
          <w:vertAlign w:val="baseline"/>
        </w:rPr>
        <w:t> </w:t>
      </w:r>
      <w:r>
        <w:rPr>
          <w:sz w:val="18"/>
          <w:vertAlign w:val="baseline"/>
        </w:rPr>
        <w:t>(Washington,</w:t>
      </w:r>
      <w:r>
        <w:rPr>
          <w:spacing w:val="-2"/>
          <w:sz w:val="18"/>
          <w:vertAlign w:val="baseline"/>
        </w:rPr>
        <w:t> </w:t>
      </w:r>
      <w:r>
        <w:rPr>
          <w:sz w:val="18"/>
          <w:vertAlign w:val="baseline"/>
        </w:rPr>
        <w:t>D.C.:</w:t>
      </w:r>
      <w:r>
        <w:rPr>
          <w:spacing w:val="-2"/>
          <w:sz w:val="18"/>
          <w:vertAlign w:val="baseline"/>
        </w:rPr>
        <w:t> </w:t>
      </w:r>
      <w:r>
        <w:rPr>
          <w:sz w:val="18"/>
          <w:vertAlign w:val="baseline"/>
        </w:rPr>
        <w:t>National</w:t>
      </w:r>
      <w:r>
        <w:rPr>
          <w:spacing w:val="-2"/>
          <w:sz w:val="18"/>
          <w:vertAlign w:val="baseline"/>
        </w:rPr>
        <w:t> </w:t>
      </w:r>
      <w:r>
        <w:rPr>
          <w:sz w:val="18"/>
          <w:vertAlign w:val="baseline"/>
        </w:rPr>
        <w:t>LGBTQ</w:t>
      </w:r>
      <w:r>
        <w:rPr>
          <w:spacing w:val="-2"/>
          <w:sz w:val="18"/>
          <w:vertAlign w:val="baseline"/>
        </w:rPr>
        <w:t> </w:t>
      </w:r>
      <w:r>
        <w:rPr>
          <w:sz w:val="18"/>
          <w:vertAlign w:val="baseline"/>
        </w:rPr>
        <w:t>Task</w:t>
      </w:r>
      <w:r>
        <w:rPr>
          <w:spacing w:val="-2"/>
          <w:sz w:val="18"/>
          <w:vertAlign w:val="baseline"/>
        </w:rPr>
        <w:t> </w:t>
      </w:r>
      <w:r>
        <w:rPr>
          <w:sz w:val="18"/>
          <w:vertAlign w:val="baseline"/>
        </w:rPr>
        <w:t>Force),</w:t>
      </w:r>
      <w:r>
        <w:rPr>
          <w:spacing w:val="-2"/>
          <w:sz w:val="18"/>
          <w:vertAlign w:val="baseline"/>
        </w:rPr>
        <w:t> </w:t>
      </w:r>
      <w:r>
        <w:rPr>
          <w:sz w:val="18"/>
          <w:vertAlign w:val="baseline"/>
        </w:rPr>
        <w:t>accessed</w:t>
      </w:r>
      <w:r>
        <w:rPr>
          <w:spacing w:val="-2"/>
          <w:sz w:val="18"/>
          <w:vertAlign w:val="baseline"/>
        </w:rPr>
        <w:t> </w:t>
      </w:r>
      <w:r>
        <w:rPr>
          <w:sz w:val="18"/>
          <w:vertAlign w:val="baseline"/>
        </w:rPr>
        <w:t>February</w:t>
      </w:r>
      <w:r>
        <w:rPr>
          <w:spacing w:val="-2"/>
          <w:sz w:val="18"/>
          <w:vertAlign w:val="baseline"/>
        </w:rPr>
        <w:t> </w:t>
      </w:r>
      <w:r>
        <w:rPr>
          <w:sz w:val="18"/>
          <w:vertAlign w:val="baseline"/>
        </w:rPr>
        <w:t>23, 2023,</w:t>
      </w:r>
      <w:r>
        <w:rPr>
          <w:spacing w:val="-2"/>
          <w:sz w:val="18"/>
          <w:vertAlign w:val="baseline"/>
        </w:rPr>
        <w:t> </w:t>
      </w:r>
      <w:r>
        <w:rPr>
          <w:sz w:val="18"/>
          <w:vertAlign w:val="baseline"/>
        </w:rPr>
        <w:t>https://</w:t>
      </w:r>
      <w:hyperlink r:id="rId161">
        <w:r>
          <w:rPr>
            <w:sz w:val="18"/>
            <w:vertAlign w:val="baseline"/>
          </w:rPr>
          <w:t>www.hivlawandpolicy.org/sites/default/files/Syringe%20Access%20LGBT%20Fact%20Sheet.pdf.</w:t>
        </w:r>
      </w:hyperlink>
    </w:p>
    <w:p>
      <w:pPr>
        <w:spacing w:line="271" w:lineRule="auto" w:before="10"/>
        <w:ind w:left="463" w:right="1942" w:firstLine="0"/>
        <w:jc w:val="left"/>
        <w:rPr>
          <w:sz w:val="18"/>
        </w:rPr>
      </w:pPr>
      <w:r>
        <w:rPr>
          <w:sz w:val="18"/>
          <w:vertAlign w:val="superscript"/>
        </w:rPr>
        <w:t>118</w:t>
      </w:r>
      <w:r>
        <w:rPr>
          <w:spacing w:val="-12"/>
          <w:sz w:val="18"/>
          <w:vertAlign w:val="baseline"/>
        </w:rPr>
        <w:t> </w:t>
      </w:r>
      <w:r>
        <w:rPr>
          <w:sz w:val="18"/>
          <w:vertAlign w:val="baseline"/>
        </w:rPr>
        <w:t>“Establishing</w:t>
      </w:r>
      <w:r>
        <w:rPr>
          <w:spacing w:val="-3"/>
          <w:sz w:val="18"/>
          <w:vertAlign w:val="baseline"/>
        </w:rPr>
        <w:t> </w:t>
      </w:r>
      <w:r>
        <w:rPr>
          <w:sz w:val="18"/>
          <w:vertAlign w:val="baseline"/>
        </w:rPr>
        <w:t>a</w:t>
      </w:r>
      <w:r>
        <w:rPr>
          <w:spacing w:val="-2"/>
          <w:sz w:val="18"/>
          <w:vertAlign w:val="baseline"/>
        </w:rPr>
        <w:t> </w:t>
      </w:r>
      <w:r>
        <w:rPr>
          <w:sz w:val="18"/>
          <w:vertAlign w:val="baseline"/>
        </w:rPr>
        <w:t>Syringe</w:t>
      </w:r>
      <w:r>
        <w:rPr>
          <w:spacing w:val="-2"/>
          <w:sz w:val="18"/>
          <w:vertAlign w:val="baseline"/>
        </w:rPr>
        <w:t> </w:t>
      </w:r>
      <w:r>
        <w:rPr>
          <w:sz w:val="18"/>
          <w:vertAlign w:val="baseline"/>
        </w:rPr>
        <w:t>Services</w:t>
      </w:r>
      <w:r>
        <w:rPr>
          <w:spacing w:val="-2"/>
          <w:sz w:val="18"/>
          <w:vertAlign w:val="baseline"/>
        </w:rPr>
        <w:t> </w:t>
      </w:r>
      <w:r>
        <w:rPr>
          <w:sz w:val="18"/>
          <w:vertAlign w:val="baseline"/>
        </w:rPr>
        <w:t>Program</w:t>
      </w:r>
      <w:r>
        <w:rPr>
          <w:spacing w:val="-2"/>
          <w:sz w:val="18"/>
          <w:vertAlign w:val="baseline"/>
        </w:rPr>
        <w:t> </w:t>
      </w:r>
      <w:r>
        <w:rPr>
          <w:sz w:val="18"/>
          <w:vertAlign w:val="baseline"/>
        </w:rPr>
        <w:t>in</w:t>
      </w:r>
      <w:r>
        <w:rPr>
          <w:spacing w:val="-2"/>
          <w:sz w:val="18"/>
          <w:vertAlign w:val="baseline"/>
        </w:rPr>
        <w:t> </w:t>
      </w:r>
      <w:r>
        <w:rPr>
          <w:sz w:val="18"/>
          <w:vertAlign w:val="baseline"/>
        </w:rPr>
        <w:t>Rural</w:t>
      </w:r>
      <w:r>
        <w:rPr>
          <w:spacing w:val="-3"/>
          <w:sz w:val="18"/>
          <w:vertAlign w:val="baseline"/>
        </w:rPr>
        <w:t> </w:t>
      </w:r>
      <w:r>
        <w:rPr>
          <w:sz w:val="18"/>
          <w:vertAlign w:val="baseline"/>
        </w:rPr>
        <w:t>America,”</w:t>
      </w:r>
      <w:r>
        <w:rPr>
          <w:spacing w:val="-2"/>
          <w:sz w:val="18"/>
          <w:vertAlign w:val="baseline"/>
        </w:rPr>
        <w:t> </w:t>
      </w:r>
      <w:r>
        <w:rPr>
          <w:sz w:val="18"/>
          <w:vertAlign w:val="baseline"/>
        </w:rPr>
        <w:t>National</w:t>
      </w:r>
      <w:r>
        <w:rPr>
          <w:spacing w:val="-3"/>
          <w:sz w:val="18"/>
          <w:vertAlign w:val="baseline"/>
        </w:rPr>
        <w:t> </w:t>
      </w:r>
      <w:r>
        <w:rPr>
          <w:sz w:val="18"/>
          <w:vertAlign w:val="baseline"/>
        </w:rPr>
        <w:t>Harm</w:t>
      </w:r>
      <w:r>
        <w:rPr>
          <w:spacing w:val="-2"/>
          <w:sz w:val="18"/>
          <w:vertAlign w:val="baseline"/>
        </w:rPr>
        <w:t> </w:t>
      </w:r>
      <w:r>
        <w:rPr>
          <w:sz w:val="18"/>
          <w:vertAlign w:val="baseline"/>
        </w:rPr>
        <w:t>Reduction</w:t>
      </w:r>
      <w:r>
        <w:rPr>
          <w:spacing w:val="-2"/>
          <w:sz w:val="18"/>
          <w:vertAlign w:val="baseline"/>
        </w:rPr>
        <w:t> </w:t>
      </w:r>
      <w:r>
        <w:rPr>
          <w:sz w:val="18"/>
          <w:vertAlign w:val="baseline"/>
        </w:rPr>
        <w:t>Coalition,</w:t>
      </w:r>
      <w:r>
        <w:rPr>
          <w:spacing w:val="-2"/>
          <w:sz w:val="18"/>
          <w:vertAlign w:val="baseline"/>
        </w:rPr>
        <w:t> </w:t>
      </w:r>
      <w:r>
        <w:rPr>
          <w:sz w:val="18"/>
          <w:vertAlign w:val="baseline"/>
        </w:rPr>
        <w:t>2020, </w:t>
      </w:r>
      <w:hyperlink r:id="rId162">
        <w:r>
          <w:rPr>
            <w:color w:val="1154CC"/>
            <w:spacing w:val="-2"/>
            <w:sz w:val="18"/>
            <w:u w:val="single" w:color="1154CC"/>
            <w:vertAlign w:val="baseline"/>
          </w:rPr>
          <w:t>https://harmreduction.org/issues/establishing-rural-programs/</w:t>
        </w:r>
      </w:hyperlink>
    </w:p>
    <w:p>
      <w:pPr>
        <w:spacing w:line="273" w:lineRule="auto" w:before="14"/>
        <w:ind w:left="463" w:right="892" w:firstLine="0"/>
        <w:jc w:val="left"/>
        <w:rPr>
          <w:sz w:val="18"/>
        </w:rPr>
      </w:pPr>
      <w:r>
        <w:rPr>
          <w:sz w:val="18"/>
          <w:vertAlign w:val="superscript"/>
        </w:rPr>
        <w:t>119</w:t>
      </w:r>
      <w:r>
        <w:rPr>
          <w:spacing w:val="-12"/>
          <w:sz w:val="18"/>
          <w:vertAlign w:val="baseline"/>
        </w:rPr>
        <w:t> </w:t>
      </w:r>
      <w:r>
        <w:rPr>
          <w:sz w:val="18"/>
          <w:vertAlign w:val="baseline"/>
        </w:rPr>
        <w:t>“Syringe</w:t>
      </w:r>
      <w:r>
        <w:rPr>
          <w:spacing w:val="-3"/>
          <w:sz w:val="18"/>
          <w:vertAlign w:val="baseline"/>
        </w:rPr>
        <w:t> </w:t>
      </w:r>
      <w:r>
        <w:rPr>
          <w:sz w:val="18"/>
          <w:vertAlign w:val="baseline"/>
        </w:rPr>
        <w:t>Service</w:t>
      </w:r>
      <w:r>
        <w:rPr>
          <w:spacing w:val="-2"/>
          <w:sz w:val="18"/>
          <w:vertAlign w:val="baseline"/>
        </w:rPr>
        <w:t> </w:t>
      </w:r>
      <w:r>
        <w:rPr>
          <w:sz w:val="18"/>
          <w:vertAlign w:val="baseline"/>
        </w:rPr>
        <w:t>Program</w:t>
      </w:r>
      <w:r>
        <w:rPr>
          <w:spacing w:val="-2"/>
          <w:sz w:val="18"/>
          <w:vertAlign w:val="baseline"/>
        </w:rPr>
        <w:t> </w:t>
      </w:r>
      <w:r>
        <w:rPr>
          <w:sz w:val="18"/>
          <w:vertAlign w:val="baseline"/>
        </w:rPr>
        <w:t>Locator</w:t>
      </w:r>
      <w:r>
        <w:rPr>
          <w:spacing w:val="-3"/>
          <w:sz w:val="18"/>
          <w:vertAlign w:val="baseline"/>
        </w:rPr>
        <w:t> </w:t>
      </w:r>
      <w:r>
        <w:rPr>
          <w:sz w:val="18"/>
          <w:vertAlign w:val="baseline"/>
        </w:rPr>
        <w:t>|</w:t>
      </w:r>
      <w:r>
        <w:rPr>
          <w:spacing w:val="-2"/>
          <w:sz w:val="18"/>
          <w:vertAlign w:val="baseline"/>
        </w:rPr>
        <w:t> </w:t>
      </w:r>
      <w:r>
        <w:rPr>
          <w:sz w:val="18"/>
          <w:vertAlign w:val="baseline"/>
        </w:rPr>
        <w:t>Mass.Gov,”</w:t>
      </w:r>
      <w:r>
        <w:rPr>
          <w:spacing w:val="-2"/>
          <w:sz w:val="18"/>
          <w:vertAlign w:val="baseline"/>
        </w:rPr>
        <w:t> </w:t>
      </w:r>
      <w:r>
        <w:rPr>
          <w:sz w:val="18"/>
          <w:vertAlign w:val="baseline"/>
        </w:rPr>
        <w:t>Mass.gov,</w:t>
      </w:r>
      <w:r>
        <w:rPr>
          <w:spacing w:val="-3"/>
          <w:sz w:val="18"/>
          <w:vertAlign w:val="baseline"/>
        </w:rPr>
        <w:t> </w:t>
      </w:r>
      <w:r>
        <w:rPr>
          <w:sz w:val="18"/>
          <w:vertAlign w:val="baseline"/>
        </w:rPr>
        <w:t>accessed</w:t>
      </w:r>
      <w:r>
        <w:rPr>
          <w:spacing w:val="-2"/>
          <w:sz w:val="18"/>
          <w:vertAlign w:val="baseline"/>
        </w:rPr>
        <w:t> </w:t>
      </w:r>
      <w:r>
        <w:rPr>
          <w:sz w:val="18"/>
          <w:vertAlign w:val="baseline"/>
        </w:rPr>
        <w:t>February</w:t>
      </w:r>
      <w:r>
        <w:rPr>
          <w:spacing w:val="-3"/>
          <w:sz w:val="18"/>
          <w:vertAlign w:val="baseline"/>
        </w:rPr>
        <w:t> </w:t>
      </w:r>
      <w:r>
        <w:rPr>
          <w:sz w:val="18"/>
          <w:vertAlign w:val="baseline"/>
        </w:rPr>
        <w:t>23,</w:t>
      </w:r>
      <w:r>
        <w:rPr>
          <w:spacing w:val="-3"/>
          <w:sz w:val="18"/>
          <w:vertAlign w:val="baseline"/>
        </w:rPr>
        <w:t> </w:t>
      </w:r>
      <w:r>
        <w:rPr>
          <w:sz w:val="18"/>
          <w:vertAlign w:val="baseline"/>
        </w:rPr>
        <w:t>2023,</w:t>
      </w:r>
      <w:r>
        <w:rPr>
          <w:spacing w:val="-3"/>
          <w:sz w:val="18"/>
          <w:vertAlign w:val="baseline"/>
        </w:rPr>
        <w:t> </w:t>
      </w:r>
      <w:r>
        <w:rPr>
          <w:sz w:val="18"/>
          <w:vertAlign w:val="baseline"/>
        </w:rPr>
        <w:t>https://</w:t>
      </w:r>
      <w:hyperlink r:id="rId163">
        <w:r>
          <w:rPr>
            <w:sz w:val="18"/>
            <w:vertAlign w:val="baseline"/>
          </w:rPr>
          <w:t>www.mass.gov/info-</w:t>
        </w:r>
      </w:hyperlink>
      <w:r>
        <w:rPr>
          <w:sz w:val="18"/>
          <w:vertAlign w:val="baseline"/>
        </w:rPr>
        <w:t> </w:t>
      </w:r>
      <w:r>
        <w:rPr>
          <w:spacing w:val="-2"/>
          <w:sz w:val="18"/>
          <w:vertAlign w:val="baseline"/>
        </w:rPr>
        <w:t>details/syringe-service-program-locator.</w:t>
      </w:r>
    </w:p>
    <w:p>
      <w:pPr>
        <w:spacing w:line="212" w:lineRule="exact" w:before="0"/>
        <w:ind w:left="463" w:right="0" w:firstLine="0"/>
        <w:jc w:val="left"/>
        <w:rPr>
          <w:sz w:val="18"/>
        </w:rPr>
      </w:pPr>
      <w:r>
        <w:rPr>
          <w:sz w:val="18"/>
          <w:vertAlign w:val="superscript"/>
        </w:rPr>
        <w:t>120</w:t>
      </w:r>
      <w:r>
        <w:rPr>
          <w:spacing w:val="-12"/>
          <w:sz w:val="18"/>
          <w:vertAlign w:val="baseline"/>
        </w:rPr>
        <w:t> </w:t>
      </w:r>
      <w:r>
        <w:rPr>
          <w:sz w:val="18"/>
          <w:vertAlign w:val="baseline"/>
        </w:rPr>
        <w:t>Jenkins,</w:t>
      </w:r>
      <w:r>
        <w:rPr>
          <w:spacing w:val="-4"/>
          <w:sz w:val="18"/>
          <w:vertAlign w:val="baseline"/>
        </w:rPr>
        <w:t> </w:t>
      </w:r>
      <w:r>
        <w:rPr>
          <w:sz w:val="18"/>
          <w:vertAlign w:val="baseline"/>
        </w:rPr>
        <w:t>Slemon,</w:t>
      </w:r>
      <w:r>
        <w:rPr>
          <w:spacing w:val="-2"/>
          <w:sz w:val="18"/>
          <w:vertAlign w:val="baseline"/>
        </w:rPr>
        <w:t> </w:t>
      </w:r>
      <w:r>
        <w:rPr>
          <w:sz w:val="18"/>
          <w:vertAlign w:val="baseline"/>
        </w:rPr>
        <w:t>and</w:t>
      </w:r>
      <w:r>
        <w:rPr>
          <w:spacing w:val="-1"/>
          <w:sz w:val="18"/>
          <w:vertAlign w:val="baseline"/>
        </w:rPr>
        <w:t> </w:t>
      </w:r>
      <w:r>
        <w:rPr>
          <w:sz w:val="18"/>
          <w:vertAlign w:val="baseline"/>
        </w:rPr>
        <w:t>Haines-Saah,</w:t>
      </w:r>
      <w:r>
        <w:rPr>
          <w:spacing w:val="-2"/>
          <w:sz w:val="18"/>
          <w:vertAlign w:val="baseline"/>
        </w:rPr>
        <w:t> </w:t>
      </w:r>
      <w:r>
        <w:rPr>
          <w:sz w:val="18"/>
          <w:vertAlign w:val="baseline"/>
        </w:rPr>
        <w:t>“Developing</w:t>
      </w:r>
      <w:r>
        <w:rPr>
          <w:spacing w:val="-2"/>
          <w:sz w:val="18"/>
          <w:vertAlign w:val="baseline"/>
        </w:rPr>
        <w:t> </w:t>
      </w:r>
      <w:r>
        <w:rPr>
          <w:sz w:val="18"/>
          <w:vertAlign w:val="baseline"/>
        </w:rPr>
        <w:t>Harm</w:t>
      </w:r>
      <w:r>
        <w:rPr>
          <w:spacing w:val="-1"/>
          <w:sz w:val="18"/>
          <w:vertAlign w:val="baseline"/>
        </w:rPr>
        <w:t> </w:t>
      </w:r>
      <w:r>
        <w:rPr>
          <w:sz w:val="18"/>
          <w:vertAlign w:val="baseline"/>
        </w:rPr>
        <w:t>Reduction</w:t>
      </w:r>
      <w:r>
        <w:rPr>
          <w:spacing w:val="-1"/>
          <w:sz w:val="18"/>
          <w:vertAlign w:val="baseline"/>
        </w:rPr>
        <w:t> </w:t>
      </w:r>
      <w:r>
        <w:rPr>
          <w:sz w:val="18"/>
          <w:vertAlign w:val="baseline"/>
        </w:rPr>
        <w:t>in</w:t>
      </w:r>
      <w:r>
        <w:rPr>
          <w:spacing w:val="-1"/>
          <w:sz w:val="18"/>
          <w:vertAlign w:val="baseline"/>
        </w:rPr>
        <w:t> </w:t>
      </w:r>
      <w:r>
        <w:rPr>
          <w:sz w:val="18"/>
          <w:vertAlign w:val="baseline"/>
        </w:rPr>
        <w:t>the</w:t>
      </w:r>
      <w:r>
        <w:rPr>
          <w:spacing w:val="-2"/>
          <w:sz w:val="18"/>
          <w:vertAlign w:val="baseline"/>
        </w:rPr>
        <w:t> </w:t>
      </w:r>
      <w:r>
        <w:rPr>
          <w:sz w:val="18"/>
          <w:vertAlign w:val="baseline"/>
        </w:rPr>
        <w:t>Context</w:t>
      </w:r>
      <w:r>
        <w:rPr>
          <w:spacing w:val="-3"/>
          <w:sz w:val="18"/>
          <w:vertAlign w:val="baseline"/>
        </w:rPr>
        <w:t> </w:t>
      </w:r>
      <w:r>
        <w:rPr>
          <w:sz w:val="18"/>
          <w:vertAlign w:val="baseline"/>
        </w:rPr>
        <w:t>of</w:t>
      </w:r>
      <w:r>
        <w:rPr>
          <w:spacing w:val="-1"/>
          <w:sz w:val="18"/>
          <w:vertAlign w:val="baseline"/>
        </w:rPr>
        <w:t> </w:t>
      </w:r>
      <w:r>
        <w:rPr>
          <w:sz w:val="18"/>
          <w:vertAlign w:val="baseline"/>
        </w:rPr>
        <w:t>Youth</w:t>
      </w:r>
      <w:r>
        <w:rPr>
          <w:spacing w:val="-1"/>
          <w:sz w:val="18"/>
          <w:vertAlign w:val="baseline"/>
        </w:rPr>
        <w:t> </w:t>
      </w:r>
      <w:r>
        <w:rPr>
          <w:sz w:val="18"/>
          <w:vertAlign w:val="baseline"/>
        </w:rPr>
        <w:t>Substance</w:t>
      </w:r>
      <w:r>
        <w:rPr>
          <w:spacing w:val="-2"/>
          <w:sz w:val="18"/>
          <w:vertAlign w:val="baseline"/>
        </w:rPr>
        <w:t> Use.”</w:t>
      </w:r>
    </w:p>
    <w:p>
      <w:pPr>
        <w:spacing w:line="271" w:lineRule="auto" w:before="20"/>
        <w:ind w:left="463" w:right="1493" w:firstLine="0"/>
        <w:jc w:val="left"/>
        <w:rPr>
          <w:sz w:val="18"/>
        </w:rPr>
      </w:pPr>
      <w:r>
        <w:rPr>
          <w:sz w:val="18"/>
          <w:vertAlign w:val="superscript"/>
        </w:rPr>
        <w:t>121</w:t>
      </w:r>
      <w:r>
        <w:rPr>
          <w:spacing w:val="-12"/>
          <w:sz w:val="18"/>
          <w:vertAlign w:val="baseline"/>
        </w:rPr>
        <w:t> </w:t>
      </w:r>
      <w:r>
        <w:rPr>
          <w:sz w:val="18"/>
          <w:vertAlign w:val="baseline"/>
        </w:rPr>
        <w:t>“Sex</w:t>
      </w:r>
      <w:r>
        <w:rPr>
          <w:spacing w:val="-3"/>
          <w:sz w:val="18"/>
          <w:vertAlign w:val="baseline"/>
        </w:rPr>
        <w:t> </w:t>
      </w:r>
      <w:r>
        <w:rPr>
          <w:sz w:val="18"/>
          <w:vertAlign w:val="baseline"/>
        </w:rPr>
        <w:t>Trafficking</w:t>
      </w:r>
      <w:r>
        <w:rPr>
          <w:spacing w:val="-2"/>
          <w:sz w:val="18"/>
          <w:vertAlign w:val="baseline"/>
        </w:rPr>
        <w:t> </w:t>
      </w:r>
      <w:r>
        <w:rPr>
          <w:sz w:val="18"/>
          <w:vertAlign w:val="baseline"/>
        </w:rPr>
        <w:t>and</w:t>
      </w:r>
      <w:r>
        <w:rPr>
          <w:spacing w:val="-2"/>
          <w:sz w:val="18"/>
          <w:vertAlign w:val="baseline"/>
        </w:rPr>
        <w:t> </w:t>
      </w:r>
      <w:r>
        <w:rPr>
          <w:sz w:val="18"/>
          <w:vertAlign w:val="baseline"/>
        </w:rPr>
        <w:t>LGBTQ+</w:t>
      </w:r>
      <w:r>
        <w:rPr>
          <w:spacing w:val="-3"/>
          <w:sz w:val="18"/>
          <w:vertAlign w:val="baseline"/>
        </w:rPr>
        <w:t> </w:t>
      </w:r>
      <w:r>
        <w:rPr>
          <w:sz w:val="18"/>
          <w:vertAlign w:val="baseline"/>
        </w:rPr>
        <w:t>Youth”</w:t>
      </w:r>
      <w:r>
        <w:rPr>
          <w:spacing w:val="-2"/>
          <w:sz w:val="18"/>
          <w:vertAlign w:val="baseline"/>
        </w:rPr>
        <w:t> </w:t>
      </w:r>
      <w:r>
        <w:rPr>
          <w:sz w:val="18"/>
          <w:vertAlign w:val="baseline"/>
        </w:rPr>
        <w:t>(Washington,</w:t>
      </w:r>
      <w:r>
        <w:rPr>
          <w:spacing w:val="-3"/>
          <w:sz w:val="18"/>
          <w:vertAlign w:val="baseline"/>
        </w:rPr>
        <w:t> </w:t>
      </w:r>
      <w:r>
        <w:rPr>
          <w:sz w:val="18"/>
          <w:vertAlign w:val="baseline"/>
        </w:rPr>
        <w:t>D.C.:</w:t>
      </w:r>
      <w:r>
        <w:rPr>
          <w:spacing w:val="-2"/>
          <w:sz w:val="18"/>
          <w:vertAlign w:val="baseline"/>
        </w:rPr>
        <w:t> </w:t>
      </w:r>
      <w:r>
        <w:rPr>
          <w:sz w:val="18"/>
          <w:vertAlign w:val="baseline"/>
        </w:rPr>
        <w:t>Polaris</w:t>
      </w:r>
      <w:r>
        <w:rPr>
          <w:spacing w:val="-2"/>
          <w:sz w:val="18"/>
          <w:vertAlign w:val="baseline"/>
        </w:rPr>
        <w:t> </w:t>
      </w:r>
      <w:r>
        <w:rPr>
          <w:sz w:val="18"/>
          <w:vertAlign w:val="baseline"/>
        </w:rPr>
        <w:t>Project,</w:t>
      </w:r>
      <w:r>
        <w:rPr>
          <w:spacing w:val="-3"/>
          <w:sz w:val="18"/>
          <w:vertAlign w:val="baseline"/>
        </w:rPr>
        <w:t> </w:t>
      </w:r>
      <w:r>
        <w:rPr>
          <w:sz w:val="18"/>
          <w:vertAlign w:val="baseline"/>
        </w:rPr>
        <w:t>n.d.),</w:t>
      </w:r>
      <w:r>
        <w:rPr>
          <w:spacing w:val="-4"/>
          <w:sz w:val="18"/>
          <w:vertAlign w:val="baseline"/>
        </w:rPr>
        <w:t> </w:t>
      </w:r>
      <w:r>
        <w:rPr>
          <w:sz w:val="18"/>
          <w:vertAlign w:val="baseline"/>
        </w:rPr>
        <w:t>https://polarisproject.org/wp- </w:t>
      </w:r>
      <w:r>
        <w:rPr>
          <w:spacing w:val="-2"/>
          <w:sz w:val="18"/>
          <w:vertAlign w:val="baseline"/>
        </w:rPr>
        <w:t>content/uploads/2019/09/LGBTQ-Sex-Trafficking.pdf.</w:t>
      </w:r>
    </w:p>
    <w:p>
      <w:pPr>
        <w:spacing w:line="216" w:lineRule="exact" w:before="0"/>
        <w:ind w:left="463" w:right="0" w:firstLine="0"/>
        <w:jc w:val="left"/>
        <w:rPr>
          <w:sz w:val="18"/>
        </w:rPr>
      </w:pPr>
      <w:r>
        <w:rPr>
          <w:sz w:val="18"/>
          <w:vertAlign w:val="superscript"/>
        </w:rPr>
        <w:t>122</w:t>
      </w:r>
      <w:r>
        <w:rPr>
          <w:spacing w:val="-12"/>
          <w:sz w:val="18"/>
          <w:vertAlign w:val="baseline"/>
        </w:rPr>
        <w:t> </w:t>
      </w:r>
      <w:r>
        <w:rPr>
          <w:sz w:val="18"/>
          <w:vertAlign w:val="baseline"/>
        </w:rPr>
        <w:t>“Sex</w:t>
      </w:r>
      <w:r>
        <w:rPr>
          <w:spacing w:val="1"/>
          <w:sz w:val="18"/>
          <w:vertAlign w:val="baseline"/>
        </w:rPr>
        <w:t> </w:t>
      </w:r>
      <w:r>
        <w:rPr>
          <w:sz w:val="18"/>
          <w:vertAlign w:val="baseline"/>
        </w:rPr>
        <w:t>Trafficking</w:t>
      </w:r>
      <w:r>
        <w:rPr>
          <w:spacing w:val="1"/>
          <w:sz w:val="18"/>
          <w:vertAlign w:val="baseline"/>
        </w:rPr>
        <w:t> </w:t>
      </w:r>
      <w:r>
        <w:rPr>
          <w:sz w:val="18"/>
          <w:vertAlign w:val="baseline"/>
        </w:rPr>
        <w:t>and</w:t>
      </w:r>
      <w:r>
        <w:rPr>
          <w:spacing w:val="1"/>
          <w:sz w:val="18"/>
          <w:vertAlign w:val="baseline"/>
        </w:rPr>
        <w:t> </w:t>
      </w:r>
      <w:r>
        <w:rPr>
          <w:sz w:val="18"/>
          <w:vertAlign w:val="baseline"/>
        </w:rPr>
        <w:t>LGBTQ+ </w:t>
      </w:r>
      <w:r>
        <w:rPr>
          <w:spacing w:val="-2"/>
          <w:sz w:val="18"/>
          <w:vertAlign w:val="baseline"/>
        </w:rPr>
        <w:t>Youth.”</w:t>
      </w:r>
    </w:p>
    <w:p>
      <w:pPr>
        <w:spacing w:line="271" w:lineRule="auto" w:before="20"/>
        <w:ind w:left="463" w:right="311" w:firstLine="0"/>
        <w:jc w:val="left"/>
        <w:rPr>
          <w:sz w:val="18"/>
        </w:rPr>
      </w:pPr>
      <w:r>
        <w:rPr>
          <w:sz w:val="18"/>
          <w:vertAlign w:val="superscript"/>
        </w:rPr>
        <w:t>123</w:t>
      </w:r>
      <w:r>
        <w:rPr>
          <w:spacing w:val="-12"/>
          <w:sz w:val="18"/>
          <w:vertAlign w:val="baseline"/>
        </w:rPr>
        <w:t> </w:t>
      </w:r>
      <w:r>
        <w:rPr>
          <w:sz w:val="18"/>
          <w:vertAlign w:val="baseline"/>
        </w:rPr>
        <w:t>Meaghan</w:t>
      </w:r>
      <w:r>
        <w:rPr>
          <w:spacing w:val="-2"/>
          <w:sz w:val="18"/>
          <w:vertAlign w:val="baseline"/>
        </w:rPr>
        <w:t> </w:t>
      </w:r>
      <w:r>
        <w:rPr>
          <w:sz w:val="18"/>
          <w:vertAlign w:val="baseline"/>
        </w:rPr>
        <w:t>Tomasiewicz,</w:t>
      </w:r>
      <w:r>
        <w:rPr>
          <w:spacing w:val="-2"/>
          <w:sz w:val="18"/>
          <w:vertAlign w:val="baseline"/>
        </w:rPr>
        <w:t> </w:t>
      </w:r>
      <w:r>
        <w:rPr>
          <w:sz w:val="18"/>
          <w:vertAlign w:val="baseline"/>
        </w:rPr>
        <w:t>“Sex</w:t>
      </w:r>
      <w:r>
        <w:rPr>
          <w:spacing w:val="-1"/>
          <w:sz w:val="18"/>
          <w:vertAlign w:val="baseline"/>
        </w:rPr>
        <w:t> </w:t>
      </w:r>
      <w:r>
        <w:rPr>
          <w:sz w:val="18"/>
          <w:vertAlign w:val="baseline"/>
        </w:rPr>
        <w:t>Trafficking</w:t>
      </w:r>
      <w:r>
        <w:rPr>
          <w:spacing w:val="-1"/>
          <w:sz w:val="18"/>
          <w:vertAlign w:val="baseline"/>
        </w:rPr>
        <w:t> </w:t>
      </w:r>
      <w:r>
        <w:rPr>
          <w:sz w:val="18"/>
          <w:vertAlign w:val="baseline"/>
        </w:rPr>
        <w:t>of</w:t>
      </w:r>
      <w:r>
        <w:rPr>
          <w:spacing w:val="-1"/>
          <w:sz w:val="18"/>
          <w:vertAlign w:val="baseline"/>
        </w:rPr>
        <w:t> </w:t>
      </w:r>
      <w:r>
        <w:rPr>
          <w:sz w:val="18"/>
          <w:vertAlign w:val="baseline"/>
        </w:rPr>
        <w:t>Transgender</w:t>
      </w:r>
      <w:r>
        <w:rPr>
          <w:spacing w:val="-2"/>
          <w:sz w:val="18"/>
          <w:vertAlign w:val="baseline"/>
        </w:rPr>
        <w:t> </w:t>
      </w:r>
      <w:r>
        <w:rPr>
          <w:sz w:val="18"/>
          <w:vertAlign w:val="baseline"/>
        </w:rPr>
        <w:t>and</w:t>
      </w:r>
      <w:r>
        <w:rPr>
          <w:spacing w:val="-2"/>
          <w:sz w:val="18"/>
          <w:vertAlign w:val="baseline"/>
        </w:rPr>
        <w:t> </w:t>
      </w:r>
      <w:r>
        <w:rPr>
          <w:sz w:val="18"/>
          <w:vertAlign w:val="baseline"/>
        </w:rPr>
        <w:t>Gender</w:t>
      </w:r>
      <w:r>
        <w:rPr>
          <w:spacing w:val="-2"/>
          <w:sz w:val="18"/>
          <w:vertAlign w:val="baseline"/>
        </w:rPr>
        <w:t> </w:t>
      </w:r>
      <w:r>
        <w:rPr>
          <w:sz w:val="18"/>
          <w:vertAlign w:val="baseline"/>
        </w:rPr>
        <w:t>Nonconforming</w:t>
      </w:r>
      <w:r>
        <w:rPr>
          <w:spacing w:val="-1"/>
          <w:sz w:val="18"/>
          <w:vertAlign w:val="baseline"/>
        </w:rPr>
        <w:t> </w:t>
      </w:r>
      <w:r>
        <w:rPr>
          <w:sz w:val="18"/>
          <w:vertAlign w:val="baseline"/>
        </w:rPr>
        <w:t>Youth</w:t>
      </w:r>
      <w:r>
        <w:rPr>
          <w:spacing w:val="-1"/>
          <w:sz w:val="18"/>
          <w:vertAlign w:val="baseline"/>
        </w:rPr>
        <w:t> </w:t>
      </w:r>
      <w:r>
        <w:rPr>
          <w:sz w:val="18"/>
          <w:vertAlign w:val="baseline"/>
        </w:rPr>
        <w:t>in</w:t>
      </w:r>
      <w:r>
        <w:rPr>
          <w:spacing w:val="-1"/>
          <w:sz w:val="18"/>
          <w:vertAlign w:val="baseline"/>
        </w:rPr>
        <w:t> </w:t>
      </w:r>
      <w:r>
        <w:rPr>
          <w:sz w:val="18"/>
          <w:vertAlign w:val="baseline"/>
        </w:rPr>
        <w:t>the</w:t>
      </w:r>
      <w:r>
        <w:rPr>
          <w:spacing w:val="-1"/>
          <w:sz w:val="18"/>
          <w:vertAlign w:val="baseline"/>
        </w:rPr>
        <w:t> </w:t>
      </w:r>
      <w:r>
        <w:rPr>
          <w:sz w:val="18"/>
          <w:vertAlign w:val="baseline"/>
        </w:rPr>
        <w:t>United</w:t>
      </w:r>
      <w:r>
        <w:rPr>
          <w:spacing w:val="-1"/>
          <w:sz w:val="18"/>
          <w:vertAlign w:val="baseline"/>
        </w:rPr>
        <w:t> </w:t>
      </w:r>
      <w:r>
        <w:rPr>
          <w:sz w:val="18"/>
          <w:vertAlign w:val="baseline"/>
        </w:rPr>
        <w:t>States,”</w:t>
      </w:r>
      <w:r>
        <w:rPr>
          <w:spacing w:val="-1"/>
          <w:sz w:val="18"/>
          <w:vertAlign w:val="baseline"/>
        </w:rPr>
        <w:t> </w:t>
      </w:r>
      <w:r>
        <w:rPr>
          <w:i/>
          <w:sz w:val="18"/>
          <w:vertAlign w:val="baseline"/>
        </w:rPr>
        <w:t>Center</w:t>
      </w:r>
      <w:r>
        <w:rPr>
          <w:i/>
          <w:spacing w:val="-2"/>
          <w:sz w:val="18"/>
          <w:vertAlign w:val="baseline"/>
        </w:rPr>
        <w:t> </w:t>
      </w:r>
      <w:r>
        <w:rPr>
          <w:i/>
          <w:sz w:val="18"/>
          <w:vertAlign w:val="baseline"/>
        </w:rPr>
        <w:t>for</w:t>
      </w:r>
      <w:r>
        <w:rPr>
          <w:i/>
          <w:sz w:val="18"/>
          <w:vertAlign w:val="baseline"/>
        </w:rPr>
        <w:t> the Human Rights of Children</w:t>
      </w:r>
      <w:r>
        <w:rPr>
          <w:sz w:val="18"/>
          <w:vertAlign w:val="baseline"/>
        </w:rPr>
        <w:t>, May 1, 2018, https://ecommons.luc.edu/chrc/16.</w:t>
      </w:r>
    </w:p>
    <w:p>
      <w:pPr>
        <w:spacing w:line="208" w:lineRule="exact" w:before="0"/>
        <w:ind w:left="463" w:right="0" w:firstLine="0"/>
        <w:jc w:val="left"/>
        <w:rPr>
          <w:sz w:val="18"/>
        </w:rPr>
      </w:pPr>
      <w:r>
        <w:rPr>
          <w:sz w:val="18"/>
          <w:vertAlign w:val="superscript"/>
        </w:rPr>
        <w:t>124</w:t>
      </w:r>
      <w:r>
        <w:rPr>
          <w:spacing w:val="-12"/>
          <w:sz w:val="18"/>
          <w:vertAlign w:val="baseline"/>
        </w:rPr>
        <w:t> </w:t>
      </w:r>
      <w:r>
        <w:rPr>
          <w:sz w:val="18"/>
          <w:vertAlign w:val="baseline"/>
        </w:rPr>
        <w:t>Kimberly</w:t>
      </w:r>
      <w:r>
        <w:rPr>
          <w:spacing w:val="-3"/>
          <w:sz w:val="18"/>
          <w:vertAlign w:val="baseline"/>
        </w:rPr>
        <w:t> </w:t>
      </w:r>
      <w:r>
        <w:rPr>
          <w:sz w:val="18"/>
          <w:vertAlign w:val="baseline"/>
        </w:rPr>
        <w:t>A.</w:t>
      </w:r>
      <w:r>
        <w:rPr>
          <w:spacing w:val="-2"/>
          <w:sz w:val="18"/>
          <w:vertAlign w:val="baseline"/>
        </w:rPr>
        <w:t> </w:t>
      </w:r>
      <w:r>
        <w:rPr>
          <w:sz w:val="18"/>
          <w:vertAlign w:val="baseline"/>
        </w:rPr>
        <w:t>Hogan</w:t>
      </w:r>
      <w:r>
        <w:rPr>
          <w:spacing w:val="-2"/>
          <w:sz w:val="18"/>
          <w:vertAlign w:val="baseline"/>
        </w:rPr>
        <w:t> </w:t>
      </w:r>
      <w:r>
        <w:rPr>
          <w:sz w:val="18"/>
          <w:vertAlign w:val="baseline"/>
        </w:rPr>
        <w:t>and</w:t>
      </w:r>
      <w:r>
        <w:rPr>
          <w:spacing w:val="-1"/>
          <w:sz w:val="18"/>
          <w:vertAlign w:val="baseline"/>
        </w:rPr>
        <w:t> </w:t>
      </w:r>
      <w:r>
        <w:rPr>
          <w:sz w:val="18"/>
          <w:vertAlign w:val="baseline"/>
        </w:rPr>
        <w:t>Dominique</w:t>
      </w:r>
      <w:r>
        <w:rPr>
          <w:spacing w:val="-2"/>
          <w:sz w:val="18"/>
          <w:vertAlign w:val="baseline"/>
        </w:rPr>
        <w:t> </w:t>
      </w:r>
      <w:r>
        <w:rPr>
          <w:sz w:val="18"/>
          <w:vertAlign w:val="baseline"/>
        </w:rPr>
        <w:t>Roe-Sepowitz,</w:t>
      </w:r>
      <w:r>
        <w:rPr>
          <w:spacing w:val="-3"/>
          <w:sz w:val="18"/>
          <w:vertAlign w:val="baseline"/>
        </w:rPr>
        <w:t> </w:t>
      </w:r>
      <w:r>
        <w:rPr>
          <w:sz w:val="18"/>
          <w:vertAlign w:val="baseline"/>
        </w:rPr>
        <w:t>“LGBTQ+</w:t>
      </w:r>
      <w:r>
        <w:rPr>
          <w:spacing w:val="-2"/>
          <w:sz w:val="18"/>
          <w:vertAlign w:val="baseline"/>
        </w:rPr>
        <w:t> </w:t>
      </w:r>
      <w:r>
        <w:rPr>
          <w:sz w:val="18"/>
          <w:vertAlign w:val="baseline"/>
        </w:rPr>
        <w:t>Homeless</w:t>
      </w:r>
      <w:r>
        <w:rPr>
          <w:spacing w:val="-1"/>
          <w:sz w:val="18"/>
          <w:vertAlign w:val="baseline"/>
        </w:rPr>
        <w:t> </w:t>
      </w:r>
      <w:r>
        <w:rPr>
          <w:sz w:val="18"/>
          <w:vertAlign w:val="baseline"/>
        </w:rPr>
        <w:t>Young</w:t>
      </w:r>
      <w:r>
        <w:rPr>
          <w:spacing w:val="-2"/>
          <w:sz w:val="18"/>
          <w:vertAlign w:val="baseline"/>
        </w:rPr>
        <w:t> </w:t>
      </w:r>
      <w:r>
        <w:rPr>
          <w:sz w:val="18"/>
          <w:vertAlign w:val="baseline"/>
        </w:rPr>
        <w:t>Adults</w:t>
      </w:r>
      <w:r>
        <w:rPr>
          <w:spacing w:val="-2"/>
          <w:sz w:val="18"/>
          <w:vertAlign w:val="baseline"/>
        </w:rPr>
        <w:t> </w:t>
      </w:r>
      <w:r>
        <w:rPr>
          <w:sz w:val="18"/>
          <w:vertAlign w:val="baseline"/>
        </w:rPr>
        <w:t>and</w:t>
      </w:r>
      <w:r>
        <w:rPr>
          <w:spacing w:val="-1"/>
          <w:sz w:val="18"/>
          <w:vertAlign w:val="baseline"/>
        </w:rPr>
        <w:t> </w:t>
      </w:r>
      <w:r>
        <w:rPr>
          <w:sz w:val="18"/>
          <w:vertAlign w:val="baseline"/>
        </w:rPr>
        <w:t>Sex</w:t>
      </w:r>
      <w:r>
        <w:rPr>
          <w:spacing w:val="-2"/>
          <w:sz w:val="18"/>
          <w:vertAlign w:val="baseline"/>
        </w:rPr>
        <w:t> </w:t>
      </w:r>
      <w:r>
        <w:rPr>
          <w:sz w:val="18"/>
          <w:vertAlign w:val="baseline"/>
        </w:rPr>
        <w:t>Trafficking</w:t>
      </w:r>
      <w:r>
        <w:rPr>
          <w:spacing w:val="-2"/>
          <w:sz w:val="18"/>
          <w:vertAlign w:val="baseline"/>
        </w:rPr>
        <w:t> Vulnerability,”</w:t>
      </w:r>
    </w:p>
    <w:p>
      <w:pPr>
        <w:spacing w:line="212" w:lineRule="exact" w:before="0"/>
        <w:ind w:left="463" w:right="0" w:firstLine="0"/>
        <w:jc w:val="left"/>
        <w:rPr>
          <w:sz w:val="18"/>
        </w:rPr>
      </w:pPr>
      <w:r>
        <w:rPr>
          <w:i/>
          <w:sz w:val="18"/>
        </w:rPr>
        <w:t>Journal</w:t>
      </w:r>
      <w:r>
        <w:rPr>
          <w:i/>
          <w:spacing w:val="-5"/>
          <w:sz w:val="18"/>
        </w:rPr>
        <w:t> </w:t>
      </w:r>
      <w:r>
        <w:rPr>
          <w:i/>
          <w:sz w:val="18"/>
        </w:rPr>
        <w:t>of</w:t>
      </w:r>
      <w:r>
        <w:rPr>
          <w:i/>
          <w:spacing w:val="-2"/>
          <w:sz w:val="18"/>
        </w:rPr>
        <w:t> </w:t>
      </w:r>
      <w:r>
        <w:rPr>
          <w:i/>
          <w:sz w:val="18"/>
        </w:rPr>
        <w:t>Human</w:t>
      </w:r>
      <w:r>
        <w:rPr>
          <w:i/>
          <w:spacing w:val="-2"/>
          <w:sz w:val="18"/>
        </w:rPr>
        <w:t> </w:t>
      </w:r>
      <w:r>
        <w:rPr>
          <w:i/>
          <w:sz w:val="18"/>
        </w:rPr>
        <w:t>Trafficking</w:t>
      </w:r>
      <w:r>
        <w:rPr>
          <w:i/>
          <w:spacing w:val="-3"/>
          <w:sz w:val="18"/>
        </w:rPr>
        <w:t> </w:t>
      </w:r>
      <w:r>
        <w:rPr>
          <w:sz w:val="18"/>
        </w:rPr>
        <w:t>0,</w:t>
      </w:r>
      <w:r>
        <w:rPr>
          <w:spacing w:val="-3"/>
          <w:sz w:val="18"/>
        </w:rPr>
        <w:t> </w:t>
      </w:r>
      <w:r>
        <w:rPr>
          <w:sz w:val="18"/>
        </w:rPr>
        <w:t>no.</w:t>
      </w:r>
      <w:r>
        <w:rPr>
          <w:spacing w:val="-1"/>
          <w:sz w:val="18"/>
        </w:rPr>
        <w:t> </w:t>
      </w:r>
      <w:r>
        <w:rPr>
          <w:sz w:val="18"/>
        </w:rPr>
        <w:t>0</w:t>
      </w:r>
      <w:r>
        <w:rPr>
          <w:spacing w:val="-2"/>
          <w:sz w:val="18"/>
        </w:rPr>
        <w:t> </w:t>
      </w:r>
      <w:r>
        <w:rPr>
          <w:sz w:val="18"/>
        </w:rPr>
        <w:t>(November</w:t>
      </w:r>
      <w:r>
        <w:rPr>
          <w:spacing w:val="-4"/>
          <w:sz w:val="18"/>
        </w:rPr>
        <w:t> </w:t>
      </w:r>
      <w:r>
        <w:rPr>
          <w:sz w:val="18"/>
        </w:rPr>
        <w:t>11,</w:t>
      </w:r>
      <w:r>
        <w:rPr>
          <w:spacing w:val="-2"/>
          <w:sz w:val="18"/>
        </w:rPr>
        <w:t> </w:t>
      </w:r>
      <w:r>
        <w:rPr>
          <w:sz w:val="18"/>
        </w:rPr>
        <w:t>2020):</w:t>
      </w:r>
      <w:r>
        <w:rPr>
          <w:spacing w:val="-2"/>
          <w:sz w:val="18"/>
        </w:rPr>
        <w:t> </w:t>
      </w:r>
      <w:r>
        <w:rPr>
          <w:sz w:val="18"/>
        </w:rPr>
        <w:t>1–16,</w:t>
      </w:r>
      <w:r>
        <w:rPr>
          <w:spacing w:val="-2"/>
          <w:sz w:val="18"/>
        </w:rPr>
        <w:t> https://doi.org/10.1080/23322705.2020.1841985.</w:t>
      </w:r>
    </w:p>
    <w:p>
      <w:pPr>
        <w:spacing w:line="219" w:lineRule="exact" w:before="0"/>
        <w:ind w:left="463" w:right="0" w:firstLine="0"/>
        <w:jc w:val="left"/>
        <w:rPr>
          <w:sz w:val="18"/>
        </w:rPr>
      </w:pPr>
      <w:r>
        <w:rPr>
          <w:sz w:val="18"/>
          <w:vertAlign w:val="superscript"/>
        </w:rPr>
        <w:t>125</w:t>
      </w:r>
      <w:r>
        <w:rPr>
          <w:spacing w:val="-10"/>
          <w:sz w:val="18"/>
          <w:vertAlign w:val="baseline"/>
        </w:rPr>
        <w:t> </w:t>
      </w:r>
      <w:r>
        <w:rPr>
          <w:sz w:val="18"/>
          <w:vertAlign w:val="baseline"/>
        </w:rPr>
        <w:t>Hogan</w:t>
      </w:r>
      <w:r>
        <w:rPr>
          <w:spacing w:val="3"/>
          <w:sz w:val="18"/>
          <w:vertAlign w:val="baseline"/>
        </w:rPr>
        <w:t> </w:t>
      </w:r>
      <w:r>
        <w:rPr>
          <w:sz w:val="18"/>
          <w:vertAlign w:val="baseline"/>
        </w:rPr>
        <w:t>and</w:t>
      </w:r>
      <w:r>
        <w:rPr>
          <w:spacing w:val="3"/>
          <w:sz w:val="18"/>
          <w:vertAlign w:val="baseline"/>
        </w:rPr>
        <w:t> </w:t>
      </w:r>
      <w:r>
        <w:rPr>
          <w:sz w:val="18"/>
          <w:vertAlign w:val="baseline"/>
        </w:rPr>
        <w:t>Roe-</w:t>
      </w:r>
      <w:r>
        <w:rPr>
          <w:spacing w:val="-2"/>
          <w:sz w:val="18"/>
          <w:vertAlign w:val="baseline"/>
        </w:rPr>
        <w:t>Sepowitz.</w:t>
      </w:r>
    </w:p>
    <w:p>
      <w:pPr>
        <w:spacing w:before="4"/>
        <w:ind w:left="463" w:right="0" w:firstLine="0"/>
        <w:jc w:val="left"/>
        <w:rPr>
          <w:sz w:val="18"/>
        </w:rPr>
      </w:pPr>
      <w:r>
        <w:rPr>
          <w:sz w:val="18"/>
          <w:vertAlign w:val="superscript"/>
        </w:rPr>
        <w:t>126</w:t>
      </w:r>
      <w:r>
        <w:rPr>
          <w:spacing w:val="-10"/>
          <w:sz w:val="18"/>
          <w:vertAlign w:val="baseline"/>
        </w:rPr>
        <w:t> </w:t>
      </w:r>
      <w:r>
        <w:rPr>
          <w:sz w:val="18"/>
          <w:vertAlign w:val="baseline"/>
        </w:rPr>
        <w:t>Hogan</w:t>
      </w:r>
      <w:r>
        <w:rPr>
          <w:spacing w:val="3"/>
          <w:sz w:val="18"/>
          <w:vertAlign w:val="baseline"/>
        </w:rPr>
        <w:t> </w:t>
      </w:r>
      <w:r>
        <w:rPr>
          <w:sz w:val="18"/>
          <w:vertAlign w:val="baseline"/>
        </w:rPr>
        <w:t>and</w:t>
      </w:r>
      <w:r>
        <w:rPr>
          <w:spacing w:val="3"/>
          <w:sz w:val="18"/>
          <w:vertAlign w:val="baseline"/>
        </w:rPr>
        <w:t> </w:t>
      </w:r>
      <w:r>
        <w:rPr>
          <w:sz w:val="18"/>
          <w:vertAlign w:val="baseline"/>
        </w:rPr>
        <w:t>Roe-</w:t>
      </w:r>
      <w:r>
        <w:rPr>
          <w:spacing w:val="-2"/>
          <w:sz w:val="18"/>
          <w:vertAlign w:val="baseline"/>
        </w:rPr>
        <w:t>Sepowitz.</w:t>
      </w:r>
    </w:p>
    <w:p>
      <w:pPr>
        <w:spacing w:before="20"/>
        <w:ind w:left="463" w:right="0" w:firstLine="0"/>
        <w:jc w:val="left"/>
        <w:rPr>
          <w:sz w:val="18"/>
        </w:rPr>
      </w:pPr>
      <w:r>
        <w:rPr>
          <w:sz w:val="18"/>
          <w:vertAlign w:val="superscript"/>
        </w:rPr>
        <w:t>127</w:t>
      </w:r>
      <w:r>
        <w:rPr>
          <w:spacing w:val="-10"/>
          <w:sz w:val="18"/>
          <w:vertAlign w:val="baseline"/>
        </w:rPr>
        <w:t> </w:t>
      </w:r>
      <w:r>
        <w:rPr>
          <w:sz w:val="18"/>
          <w:vertAlign w:val="baseline"/>
        </w:rPr>
        <w:t>Hogan</w:t>
      </w:r>
      <w:r>
        <w:rPr>
          <w:spacing w:val="3"/>
          <w:sz w:val="18"/>
          <w:vertAlign w:val="baseline"/>
        </w:rPr>
        <w:t> </w:t>
      </w:r>
      <w:r>
        <w:rPr>
          <w:sz w:val="18"/>
          <w:vertAlign w:val="baseline"/>
        </w:rPr>
        <w:t>and</w:t>
      </w:r>
      <w:r>
        <w:rPr>
          <w:spacing w:val="3"/>
          <w:sz w:val="18"/>
          <w:vertAlign w:val="baseline"/>
        </w:rPr>
        <w:t> </w:t>
      </w:r>
      <w:r>
        <w:rPr>
          <w:sz w:val="18"/>
          <w:vertAlign w:val="baseline"/>
        </w:rPr>
        <w:t>Roe-</w:t>
      </w:r>
      <w:r>
        <w:rPr>
          <w:spacing w:val="-2"/>
          <w:sz w:val="18"/>
          <w:vertAlign w:val="baseline"/>
        </w:rPr>
        <w:t>Sepowitz.</w:t>
      </w:r>
    </w:p>
    <w:p>
      <w:pPr>
        <w:spacing w:before="31"/>
        <w:ind w:left="463" w:right="0" w:firstLine="0"/>
        <w:jc w:val="left"/>
        <w:rPr>
          <w:sz w:val="18"/>
        </w:rPr>
      </w:pPr>
      <w:r>
        <w:rPr>
          <w:sz w:val="18"/>
          <w:vertAlign w:val="superscript"/>
        </w:rPr>
        <w:t>128</w:t>
      </w:r>
      <w:r>
        <w:rPr>
          <w:spacing w:val="-10"/>
          <w:sz w:val="18"/>
          <w:vertAlign w:val="baseline"/>
        </w:rPr>
        <w:t> </w:t>
      </w:r>
      <w:r>
        <w:rPr>
          <w:sz w:val="18"/>
          <w:vertAlign w:val="baseline"/>
        </w:rPr>
        <w:t>Hogan</w:t>
      </w:r>
      <w:r>
        <w:rPr>
          <w:spacing w:val="3"/>
          <w:sz w:val="18"/>
          <w:vertAlign w:val="baseline"/>
        </w:rPr>
        <w:t> </w:t>
      </w:r>
      <w:r>
        <w:rPr>
          <w:sz w:val="18"/>
          <w:vertAlign w:val="baseline"/>
        </w:rPr>
        <w:t>and</w:t>
      </w:r>
      <w:r>
        <w:rPr>
          <w:spacing w:val="3"/>
          <w:sz w:val="18"/>
          <w:vertAlign w:val="baseline"/>
        </w:rPr>
        <w:t> </w:t>
      </w:r>
      <w:r>
        <w:rPr>
          <w:sz w:val="18"/>
          <w:vertAlign w:val="baseline"/>
        </w:rPr>
        <w:t>Roe-</w:t>
      </w:r>
      <w:r>
        <w:rPr>
          <w:spacing w:val="-2"/>
          <w:sz w:val="18"/>
          <w:vertAlign w:val="baseline"/>
        </w:rPr>
        <w:t>Sepowitz.</w:t>
      </w:r>
    </w:p>
    <w:p>
      <w:pPr>
        <w:spacing w:line="273" w:lineRule="auto" w:before="21"/>
        <w:ind w:left="463" w:right="1210" w:hanging="1"/>
        <w:jc w:val="left"/>
        <w:rPr>
          <w:sz w:val="18"/>
        </w:rPr>
      </w:pPr>
      <w:r>
        <w:rPr>
          <w:sz w:val="18"/>
          <w:vertAlign w:val="superscript"/>
        </w:rPr>
        <w:t>129</w:t>
      </w:r>
      <w:r>
        <w:rPr>
          <w:spacing w:val="-12"/>
          <w:sz w:val="18"/>
          <w:vertAlign w:val="baseline"/>
        </w:rPr>
        <w:t> </w:t>
      </w:r>
      <w:r>
        <w:rPr>
          <w:sz w:val="18"/>
          <w:vertAlign w:val="baseline"/>
        </w:rPr>
        <w:t>“Citizen’s</w:t>
      </w:r>
      <w:r>
        <w:rPr>
          <w:spacing w:val="-3"/>
          <w:sz w:val="18"/>
          <w:vertAlign w:val="baseline"/>
        </w:rPr>
        <w:t> </w:t>
      </w:r>
      <w:r>
        <w:rPr>
          <w:sz w:val="18"/>
          <w:vertAlign w:val="baseline"/>
        </w:rPr>
        <w:t>Guide</w:t>
      </w:r>
      <w:r>
        <w:rPr>
          <w:spacing w:val="-2"/>
          <w:sz w:val="18"/>
          <w:vertAlign w:val="baseline"/>
        </w:rPr>
        <w:t> </w:t>
      </w:r>
      <w:r>
        <w:rPr>
          <w:sz w:val="18"/>
          <w:vertAlign w:val="baseline"/>
        </w:rPr>
        <w:t>To</w:t>
      </w:r>
      <w:r>
        <w:rPr>
          <w:spacing w:val="-2"/>
          <w:sz w:val="18"/>
          <w:vertAlign w:val="baseline"/>
        </w:rPr>
        <w:t> </w:t>
      </w:r>
      <w:r>
        <w:rPr>
          <w:sz w:val="18"/>
          <w:vertAlign w:val="baseline"/>
        </w:rPr>
        <w:t>U.S.</w:t>
      </w:r>
      <w:r>
        <w:rPr>
          <w:spacing w:val="-2"/>
          <w:sz w:val="18"/>
          <w:vertAlign w:val="baseline"/>
        </w:rPr>
        <w:t> </w:t>
      </w:r>
      <w:r>
        <w:rPr>
          <w:sz w:val="18"/>
          <w:vertAlign w:val="baseline"/>
        </w:rPr>
        <w:t>Federal</w:t>
      </w:r>
      <w:r>
        <w:rPr>
          <w:spacing w:val="-3"/>
          <w:sz w:val="18"/>
          <w:vertAlign w:val="baseline"/>
        </w:rPr>
        <w:t> </w:t>
      </w:r>
      <w:r>
        <w:rPr>
          <w:sz w:val="18"/>
          <w:vertAlign w:val="baseline"/>
        </w:rPr>
        <w:t>Law</w:t>
      </w:r>
      <w:r>
        <w:rPr>
          <w:spacing w:val="-3"/>
          <w:sz w:val="18"/>
          <w:vertAlign w:val="baseline"/>
        </w:rPr>
        <w:t> </w:t>
      </w:r>
      <w:r>
        <w:rPr>
          <w:sz w:val="18"/>
          <w:vertAlign w:val="baseline"/>
        </w:rPr>
        <w:t>On</w:t>
      </w:r>
      <w:r>
        <w:rPr>
          <w:spacing w:val="-2"/>
          <w:sz w:val="18"/>
          <w:vertAlign w:val="baseline"/>
        </w:rPr>
        <w:t> </w:t>
      </w:r>
      <w:r>
        <w:rPr>
          <w:sz w:val="18"/>
          <w:vertAlign w:val="baseline"/>
        </w:rPr>
        <w:t>Child</w:t>
      </w:r>
      <w:r>
        <w:rPr>
          <w:spacing w:val="-1"/>
          <w:sz w:val="18"/>
          <w:vertAlign w:val="baseline"/>
        </w:rPr>
        <w:t> </w:t>
      </w:r>
      <w:r>
        <w:rPr>
          <w:sz w:val="18"/>
          <w:vertAlign w:val="baseline"/>
        </w:rPr>
        <w:t>Sex</w:t>
      </w:r>
      <w:r>
        <w:rPr>
          <w:spacing w:val="-2"/>
          <w:sz w:val="18"/>
          <w:vertAlign w:val="baseline"/>
        </w:rPr>
        <w:t> </w:t>
      </w:r>
      <w:r>
        <w:rPr>
          <w:sz w:val="18"/>
          <w:vertAlign w:val="baseline"/>
        </w:rPr>
        <w:t>Trafficking,”</w:t>
      </w:r>
      <w:r>
        <w:rPr>
          <w:spacing w:val="-2"/>
          <w:sz w:val="18"/>
          <w:vertAlign w:val="baseline"/>
        </w:rPr>
        <w:t> </w:t>
      </w:r>
      <w:r>
        <w:rPr>
          <w:sz w:val="18"/>
          <w:vertAlign w:val="baseline"/>
        </w:rPr>
        <w:t>May</w:t>
      </w:r>
      <w:r>
        <w:rPr>
          <w:spacing w:val="-2"/>
          <w:sz w:val="18"/>
          <w:vertAlign w:val="baseline"/>
        </w:rPr>
        <w:t> </w:t>
      </w:r>
      <w:r>
        <w:rPr>
          <w:sz w:val="18"/>
          <w:vertAlign w:val="baseline"/>
        </w:rPr>
        <w:t>26,</w:t>
      </w:r>
      <w:r>
        <w:rPr>
          <w:spacing w:val="-3"/>
          <w:sz w:val="18"/>
          <w:vertAlign w:val="baseline"/>
        </w:rPr>
        <w:t> </w:t>
      </w:r>
      <w:r>
        <w:rPr>
          <w:sz w:val="18"/>
          <w:vertAlign w:val="baseline"/>
        </w:rPr>
        <w:t>2015,</w:t>
      </w:r>
      <w:r>
        <w:rPr>
          <w:spacing w:val="-3"/>
          <w:sz w:val="18"/>
          <w:vertAlign w:val="baseline"/>
        </w:rPr>
        <w:t> </w:t>
      </w:r>
      <w:r>
        <w:rPr>
          <w:sz w:val="18"/>
          <w:vertAlign w:val="baseline"/>
        </w:rPr>
        <w:t>https://</w:t>
      </w:r>
      <w:hyperlink r:id="rId164">
        <w:r>
          <w:rPr>
            <w:sz w:val="18"/>
            <w:vertAlign w:val="baseline"/>
          </w:rPr>
          <w:t>www.justice.gov/criminal-</w:t>
        </w:r>
      </w:hyperlink>
      <w:r>
        <w:rPr>
          <w:sz w:val="18"/>
          <w:vertAlign w:val="baseline"/>
        </w:rPr>
        <w:t> </w:t>
      </w:r>
      <w:r>
        <w:rPr>
          <w:spacing w:val="-2"/>
          <w:sz w:val="18"/>
          <w:vertAlign w:val="baseline"/>
        </w:rPr>
        <w:t>ceos/citizens-guide-us-federal-law-child-sex-trafficking.</w:t>
      </w:r>
    </w:p>
    <w:p>
      <w:pPr>
        <w:spacing w:line="273" w:lineRule="auto" w:before="9"/>
        <w:ind w:left="463" w:right="437" w:hanging="1"/>
        <w:jc w:val="left"/>
        <w:rPr>
          <w:sz w:val="18"/>
        </w:rPr>
      </w:pPr>
      <w:r>
        <w:rPr>
          <w:sz w:val="18"/>
          <w:vertAlign w:val="superscript"/>
        </w:rPr>
        <w:t>130</w:t>
      </w:r>
      <w:r>
        <w:rPr>
          <w:spacing w:val="-12"/>
          <w:sz w:val="18"/>
          <w:vertAlign w:val="baseline"/>
        </w:rPr>
        <w:t> </w:t>
      </w:r>
      <w:r>
        <w:rPr>
          <w:sz w:val="18"/>
          <w:vertAlign w:val="baseline"/>
        </w:rPr>
        <w:t>“Massachusetts</w:t>
      </w:r>
      <w:r>
        <w:rPr>
          <w:spacing w:val="-3"/>
          <w:sz w:val="18"/>
          <w:vertAlign w:val="baseline"/>
        </w:rPr>
        <w:t> </w:t>
      </w:r>
      <w:r>
        <w:rPr>
          <w:sz w:val="18"/>
          <w:vertAlign w:val="baseline"/>
        </w:rPr>
        <w:t>Law</w:t>
      </w:r>
      <w:r>
        <w:rPr>
          <w:spacing w:val="-3"/>
          <w:sz w:val="18"/>
          <w:vertAlign w:val="baseline"/>
        </w:rPr>
        <w:t> </w:t>
      </w:r>
      <w:r>
        <w:rPr>
          <w:sz w:val="18"/>
          <w:vertAlign w:val="baseline"/>
        </w:rPr>
        <w:t>about</w:t>
      </w:r>
      <w:r>
        <w:rPr>
          <w:spacing w:val="-3"/>
          <w:sz w:val="18"/>
          <w:vertAlign w:val="baseline"/>
        </w:rPr>
        <w:t> </w:t>
      </w:r>
      <w:r>
        <w:rPr>
          <w:sz w:val="18"/>
          <w:vertAlign w:val="baseline"/>
        </w:rPr>
        <w:t>Sex</w:t>
      </w:r>
      <w:r>
        <w:rPr>
          <w:spacing w:val="-2"/>
          <w:sz w:val="18"/>
          <w:vertAlign w:val="baseline"/>
        </w:rPr>
        <w:t> </w:t>
      </w:r>
      <w:r>
        <w:rPr>
          <w:sz w:val="18"/>
          <w:vertAlign w:val="baseline"/>
        </w:rPr>
        <w:t>|</w:t>
      </w:r>
      <w:r>
        <w:rPr>
          <w:spacing w:val="-2"/>
          <w:sz w:val="18"/>
          <w:vertAlign w:val="baseline"/>
        </w:rPr>
        <w:t> </w:t>
      </w:r>
      <w:r>
        <w:rPr>
          <w:sz w:val="18"/>
          <w:vertAlign w:val="baseline"/>
        </w:rPr>
        <w:t>Mass.Gov,”</w:t>
      </w:r>
      <w:r>
        <w:rPr>
          <w:spacing w:val="-2"/>
          <w:sz w:val="18"/>
          <w:vertAlign w:val="baseline"/>
        </w:rPr>
        <w:t> </w:t>
      </w:r>
      <w:r>
        <w:rPr>
          <w:sz w:val="18"/>
          <w:vertAlign w:val="baseline"/>
        </w:rPr>
        <w:t>accessed</w:t>
      </w:r>
      <w:r>
        <w:rPr>
          <w:spacing w:val="-2"/>
          <w:sz w:val="18"/>
          <w:vertAlign w:val="baseline"/>
        </w:rPr>
        <w:t> </w:t>
      </w:r>
      <w:r>
        <w:rPr>
          <w:sz w:val="18"/>
          <w:vertAlign w:val="baseline"/>
        </w:rPr>
        <w:t>April</w:t>
      </w:r>
      <w:r>
        <w:rPr>
          <w:spacing w:val="-3"/>
          <w:sz w:val="18"/>
          <w:vertAlign w:val="baseline"/>
        </w:rPr>
        <w:t> </w:t>
      </w:r>
      <w:r>
        <w:rPr>
          <w:sz w:val="18"/>
          <w:vertAlign w:val="baseline"/>
        </w:rPr>
        <w:t>24,</w:t>
      </w:r>
      <w:r>
        <w:rPr>
          <w:spacing w:val="-3"/>
          <w:sz w:val="18"/>
          <w:vertAlign w:val="baseline"/>
        </w:rPr>
        <w:t> </w:t>
      </w:r>
      <w:r>
        <w:rPr>
          <w:sz w:val="18"/>
          <w:vertAlign w:val="baseline"/>
        </w:rPr>
        <w:t>2023,</w:t>
      </w:r>
      <w:r>
        <w:rPr>
          <w:spacing w:val="-3"/>
          <w:sz w:val="18"/>
          <w:vertAlign w:val="baseline"/>
        </w:rPr>
        <w:t> </w:t>
      </w:r>
      <w:r>
        <w:rPr>
          <w:sz w:val="18"/>
          <w:vertAlign w:val="baseline"/>
        </w:rPr>
        <w:t>https://</w:t>
      </w:r>
      <w:hyperlink r:id="rId163">
        <w:r>
          <w:rPr>
            <w:sz w:val="18"/>
            <w:vertAlign w:val="baseline"/>
          </w:rPr>
          <w:t>www.mass.gov/info-</w:t>
        </w:r>
      </w:hyperlink>
      <w:r>
        <w:rPr>
          <w:spacing w:val="-2"/>
          <w:sz w:val="18"/>
          <w:vertAlign w:val="baseline"/>
        </w:rPr>
        <w:t> </w:t>
      </w:r>
      <w:r>
        <w:rPr>
          <w:sz w:val="18"/>
          <w:vertAlign w:val="baseline"/>
        </w:rPr>
        <w:t>details/massachusetts- </w:t>
      </w:r>
      <w:r>
        <w:rPr>
          <w:spacing w:val="-2"/>
          <w:sz w:val="18"/>
          <w:vertAlign w:val="baseline"/>
        </w:rPr>
        <w:t>law-about-sex.</w:t>
      </w:r>
    </w:p>
    <w:p>
      <w:pPr>
        <w:spacing w:line="271" w:lineRule="auto" w:before="10"/>
        <w:ind w:left="463" w:right="0" w:firstLine="0"/>
        <w:jc w:val="left"/>
        <w:rPr>
          <w:sz w:val="18"/>
        </w:rPr>
      </w:pPr>
      <w:r>
        <w:rPr>
          <w:sz w:val="18"/>
          <w:vertAlign w:val="superscript"/>
        </w:rPr>
        <w:t>131</w:t>
      </w:r>
      <w:r>
        <w:rPr>
          <w:sz w:val="18"/>
          <w:vertAlign w:val="baseline"/>
        </w:rPr>
        <w:t>Sex</w:t>
      </w:r>
      <w:r>
        <w:rPr>
          <w:spacing w:val="-1"/>
          <w:sz w:val="18"/>
          <w:vertAlign w:val="baseline"/>
        </w:rPr>
        <w:t> </w:t>
      </w:r>
      <w:r>
        <w:rPr>
          <w:sz w:val="18"/>
          <w:vertAlign w:val="baseline"/>
        </w:rPr>
        <w:t>Workers</w:t>
      </w:r>
      <w:r>
        <w:rPr>
          <w:spacing w:val="-1"/>
          <w:sz w:val="18"/>
          <w:vertAlign w:val="baseline"/>
        </w:rPr>
        <w:t> </w:t>
      </w:r>
      <w:r>
        <w:rPr>
          <w:sz w:val="18"/>
          <w:vertAlign w:val="baseline"/>
        </w:rPr>
        <w:t>and</w:t>
      </w:r>
      <w:r>
        <w:rPr>
          <w:spacing w:val="-1"/>
          <w:sz w:val="18"/>
          <w:vertAlign w:val="baseline"/>
        </w:rPr>
        <w:t> </w:t>
      </w:r>
      <w:r>
        <w:rPr>
          <w:sz w:val="18"/>
          <w:vertAlign w:val="baseline"/>
        </w:rPr>
        <w:t>Allies</w:t>
      </w:r>
      <w:r>
        <w:rPr>
          <w:spacing w:val="-1"/>
          <w:sz w:val="18"/>
          <w:vertAlign w:val="baseline"/>
        </w:rPr>
        <w:t> </w:t>
      </w:r>
      <w:r>
        <w:rPr>
          <w:sz w:val="18"/>
          <w:vertAlign w:val="baseline"/>
        </w:rPr>
        <w:t>Network</w:t>
      </w:r>
      <w:r>
        <w:rPr>
          <w:spacing w:val="-2"/>
          <w:sz w:val="18"/>
          <w:vertAlign w:val="baseline"/>
        </w:rPr>
        <w:t> </w:t>
      </w:r>
      <w:r>
        <w:rPr>
          <w:sz w:val="18"/>
          <w:vertAlign w:val="baseline"/>
        </w:rPr>
        <w:t>and</w:t>
      </w:r>
      <w:r>
        <w:rPr>
          <w:spacing w:val="-1"/>
          <w:sz w:val="18"/>
          <w:vertAlign w:val="baseline"/>
        </w:rPr>
        <w:t> </w:t>
      </w:r>
      <w:r>
        <w:rPr>
          <w:sz w:val="18"/>
          <w:vertAlign w:val="baseline"/>
        </w:rPr>
        <w:t>Yale</w:t>
      </w:r>
      <w:r>
        <w:rPr>
          <w:spacing w:val="-1"/>
          <w:sz w:val="18"/>
          <w:vertAlign w:val="baseline"/>
        </w:rPr>
        <w:t> </w:t>
      </w:r>
      <w:r>
        <w:rPr>
          <w:sz w:val="18"/>
          <w:vertAlign w:val="baseline"/>
        </w:rPr>
        <w:t>Global</w:t>
      </w:r>
      <w:r>
        <w:rPr>
          <w:spacing w:val="-2"/>
          <w:sz w:val="18"/>
          <w:vertAlign w:val="baseline"/>
        </w:rPr>
        <w:t> </w:t>
      </w:r>
      <w:r>
        <w:rPr>
          <w:sz w:val="18"/>
          <w:vertAlign w:val="baseline"/>
        </w:rPr>
        <w:t>Health</w:t>
      </w:r>
      <w:r>
        <w:rPr>
          <w:spacing w:val="-1"/>
          <w:sz w:val="18"/>
          <w:vertAlign w:val="baseline"/>
        </w:rPr>
        <w:t> </w:t>
      </w:r>
      <w:r>
        <w:rPr>
          <w:sz w:val="18"/>
          <w:vertAlign w:val="baseline"/>
        </w:rPr>
        <w:t>Justice</w:t>
      </w:r>
      <w:r>
        <w:rPr>
          <w:spacing w:val="-1"/>
          <w:sz w:val="18"/>
          <w:vertAlign w:val="baseline"/>
        </w:rPr>
        <w:t> </w:t>
      </w:r>
      <w:r>
        <w:rPr>
          <w:sz w:val="18"/>
          <w:vertAlign w:val="baseline"/>
        </w:rPr>
        <w:t>Partnership,</w:t>
      </w:r>
      <w:r>
        <w:rPr>
          <w:spacing w:val="-2"/>
          <w:sz w:val="18"/>
          <w:vertAlign w:val="baseline"/>
        </w:rPr>
        <w:t> </w:t>
      </w:r>
      <w:r>
        <w:rPr>
          <w:sz w:val="18"/>
          <w:vertAlign w:val="baseline"/>
        </w:rPr>
        <w:t>“SEX</w:t>
      </w:r>
      <w:r>
        <w:rPr>
          <w:spacing w:val="-1"/>
          <w:sz w:val="18"/>
          <w:vertAlign w:val="baseline"/>
        </w:rPr>
        <w:t> </w:t>
      </w:r>
      <w:r>
        <w:rPr>
          <w:sz w:val="18"/>
          <w:vertAlign w:val="baseline"/>
        </w:rPr>
        <w:t>WORK</w:t>
      </w:r>
      <w:r>
        <w:rPr>
          <w:spacing w:val="-1"/>
          <w:sz w:val="18"/>
          <w:vertAlign w:val="baseline"/>
        </w:rPr>
        <w:t> </w:t>
      </w:r>
      <w:r>
        <w:rPr>
          <w:sz w:val="18"/>
          <w:vertAlign w:val="baseline"/>
        </w:rPr>
        <w:t>VS</w:t>
      </w:r>
      <w:r>
        <w:rPr>
          <w:spacing w:val="-1"/>
          <w:sz w:val="18"/>
          <w:vertAlign w:val="baseline"/>
        </w:rPr>
        <w:t> </w:t>
      </w:r>
      <w:r>
        <w:rPr>
          <w:sz w:val="18"/>
          <w:vertAlign w:val="baseline"/>
        </w:rPr>
        <w:t>TRAFFICKING:</w:t>
      </w:r>
      <w:r>
        <w:rPr>
          <w:spacing w:val="-1"/>
          <w:sz w:val="18"/>
          <w:vertAlign w:val="baseline"/>
        </w:rPr>
        <w:t> </w:t>
      </w:r>
      <w:r>
        <w:rPr>
          <w:sz w:val="18"/>
          <w:vertAlign w:val="baseline"/>
        </w:rPr>
        <w:t>HOW</w:t>
      </w:r>
      <w:r>
        <w:rPr>
          <w:spacing w:val="-2"/>
          <w:sz w:val="18"/>
          <w:vertAlign w:val="baseline"/>
        </w:rPr>
        <w:t> </w:t>
      </w:r>
      <w:r>
        <w:rPr>
          <w:sz w:val="18"/>
          <w:vertAlign w:val="baseline"/>
        </w:rPr>
        <w:t>THEY</w:t>
      </w:r>
      <w:r>
        <w:rPr>
          <w:spacing w:val="-1"/>
          <w:sz w:val="18"/>
          <w:vertAlign w:val="baseline"/>
        </w:rPr>
        <w:t> </w:t>
      </w:r>
      <w:r>
        <w:rPr>
          <w:sz w:val="18"/>
          <w:vertAlign w:val="baseline"/>
        </w:rPr>
        <w:t>ARE DIFFERENT AND WHY IT MATTERS,” June 2020,</w:t>
      </w:r>
    </w:p>
    <w:p>
      <w:pPr>
        <w:spacing w:line="198" w:lineRule="exact" w:before="0"/>
        <w:ind w:left="463" w:right="0" w:firstLine="0"/>
        <w:jc w:val="left"/>
        <w:rPr>
          <w:sz w:val="18"/>
        </w:rPr>
      </w:pPr>
      <w:r>
        <w:rPr>
          <w:spacing w:val="-2"/>
          <w:sz w:val="18"/>
        </w:rPr>
        <w:t>https://law.yale.edu/sites/default/files/area/center/ghjp/documents/issue_brief_sex_work_vs_trafficking_v2.pdf.</w:t>
      </w:r>
    </w:p>
    <w:p>
      <w:pPr>
        <w:spacing w:line="273" w:lineRule="auto" w:before="15"/>
        <w:ind w:left="463" w:right="678" w:hanging="1"/>
        <w:jc w:val="left"/>
        <w:rPr>
          <w:sz w:val="18"/>
        </w:rPr>
      </w:pPr>
      <w:r>
        <w:rPr>
          <w:sz w:val="18"/>
          <w:vertAlign w:val="superscript"/>
        </w:rPr>
        <w:t>132</w:t>
      </w:r>
      <w:r>
        <w:rPr>
          <w:spacing w:val="-12"/>
          <w:sz w:val="18"/>
          <w:vertAlign w:val="baseline"/>
        </w:rPr>
        <w:t> </w:t>
      </w:r>
      <w:r>
        <w:rPr>
          <w:sz w:val="18"/>
          <w:vertAlign w:val="baseline"/>
        </w:rPr>
        <w:t>“Erased</w:t>
      </w:r>
      <w:r>
        <w:rPr>
          <w:spacing w:val="-2"/>
          <w:sz w:val="18"/>
          <w:vertAlign w:val="baseline"/>
        </w:rPr>
        <w:t> </w:t>
      </w:r>
      <w:r>
        <w:rPr>
          <w:sz w:val="18"/>
          <w:vertAlign w:val="baseline"/>
        </w:rPr>
        <w:t>-</w:t>
      </w:r>
      <w:r>
        <w:rPr>
          <w:spacing w:val="-1"/>
          <w:sz w:val="18"/>
          <w:vertAlign w:val="baseline"/>
        </w:rPr>
        <w:t> </w:t>
      </w:r>
      <w:r>
        <w:rPr>
          <w:sz w:val="18"/>
          <w:vertAlign w:val="baseline"/>
        </w:rPr>
        <w:t>The</w:t>
      </w:r>
      <w:r>
        <w:rPr>
          <w:spacing w:val="-2"/>
          <w:sz w:val="18"/>
          <w:vertAlign w:val="baseline"/>
        </w:rPr>
        <w:t> </w:t>
      </w:r>
      <w:r>
        <w:rPr>
          <w:sz w:val="18"/>
          <w:vertAlign w:val="baseline"/>
        </w:rPr>
        <w:t>Impact</w:t>
      </w:r>
      <w:r>
        <w:rPr>
          <w:spacing w:val="-2"/>
          <w:sz w:val="18"/>
          <w:vertAlign w:val="baseline"/>
        </w:rPr>
        <w:t> </w:t>
      </w:r>
      <w:r>
        <w:rPr>
          <w:sz w:val="18"/>
          <w:vertAlign w:val="baseline"/>
        </w:rPr>
        <w:t>of</w:t>
      </w:r>
      <w:r>
        <w:rPr>
          <w:spacing w:val="-1"/>
          <w:sz w:val="18"/>
          <w:vertAlign w:val="baseline"/>
        </w:rPr>
        <w:t> </w:t>
      </w:r>
      <w:r>
        <w:rPr>
          <w:sz w:val="18"/>
          <w:vertAlign w:val="baseline"/>
        </w:rPr>
        <w:t>FOSTA-SESTA</w:t>
      </w:r>
      <w:r>
        <w:rPr>
          <w:spacing w:val="-1"/>
          <w:sz w:val="18"/>
          <w:vertAlign w:val="baseline"/>
        </w:rPr>
        <w:t> </w:t>
      </w:r>
      <w:r>
        <w:rPr>
          <w:sz w:val="18"/>
          <w:vertAlign w:val="baseline"/>
        </w:rPr>
        <w:t>and</w:t>
      </w:r>
      <w:r>
        <w:rPr>
          <w:spacing w:val="-1"/>
          <w:sz w:val="18"/>
          <w:vertAlign w:val="baseline"/>
        </w:rPr>
        <w:t> </w:t>
      </w:r>
      <w:r>
        <w:rPr>
          <w:sz w:val="18"/>
          <w:vertAlign w:val="baseline"/>
        </w:rPr>
        <w:t>the</w:t>
      </w:r>
      <w:r>
        <w:rPr>
          <w:spacing w:val="-2"/>
          <w:sz w:val="18"/>
          <w:vertAlign w:val="baseline"/>
        </w:rPr>
        <w:t> </w:t>
      </w:r>
      <w:r>
        <w:rPr>
          <w:sz w:val="18"/>
          <w:vertAlign w:val="baseline"/>
        </w:rPr>
        <w:t>Removal</w:t>
      </w:r>
      <w:r>
        <w:rPr>
          <w:spacing w:val="-2"/>
          <w:sz w:val="18"/>
          <w:vertAlign w:val="baseline"/>
        </w:rPr>
        <w:t> </w:t>
      </w:r>
      <w:r>
        <w:rPr>
          <w:sz w:val="18"/>
          <w:vertAlign w:val="baseline"/>
        </w:rPr>
        <w:t>of</w:t>
      </w:r>
      <w:r>
        <w:rPr>
          <w:spacing w:val="-1"/>
          <w:sz w:val="18"/>
          <w:vertAlign w:val="baseline"/>
        </w:rPr>
        <w:t> </w:t>
      </w:r>
      <w:r>
        <w:rPr>
          <w:sz w:val="18"/>
          <w:vertAlign w:val="baseline"/>
        </w:rPr>
        <w:t>Backpage</w:t>
      </w:r>
      <w:r>
        <w:rPr>
          <w:spacing w:val="-1"/>
          <w:sz w:val="18"/>
          <w:vertAlign w:val="baseline"/>
        </w:rPr>
        <w:t> </w:t>
      </w:r>
      <w:r>
        <w:rPr>
          <w:sz w:val="18"/>
          <w:vertAlign w:val="baseline"/>
        </w:rPr>
        <w:t>2020,”</w:t>
      </w:r>
      <w:r>
        <w:rPr>
          <w:spacing w:val="-1"/>
          <w:sz w:val="18"/>
          <w:vertAlign w:val="baseline"/>
        </w:rPr>
        <w:t> </w:t>
      </w:r>
      <w:r>
        <w:rPr>
          <w:sz w:val="18"/>
          <w:vertAlign w:val="baseline"/>
        </w:rPr>
        <w:t>Hacking//Hustling,</w:t>
      </w:r>
      <w:r>
        <w:rPr>
          <w:spacing w:val="-1"/>
          <w:sz w:val="18"/>
          <w:vertAlign w:val="baseline"/>
        </w:rPr>
        <w:t> </w:t>
      </w:r>
      <w:r>
        <w:rPr>
          <w:sz w:val="18"/>
          <w:vertAlign w:val="baseline"/>
        </w:rPr>
        <w:t>accessed</w:t>
      </w:r>
      <w:r>
        <w:rPr>
          <w:spacing w:val="-1"/>
          <w:sz w:val="18"/>
          <w:vertAlign w:val="baseline"/>
        </w:rPr>
        <w:t> </w:t>
      </w:r>
      <w:r>
        <w:rPr>
          <w:sz w:val="18"/>
          <w:vertAlign w:val="baseline"/>
        </w:rPr>
        <w:t>April</w:t>
      </w:r>
      <w:r>
        <w:rPr>
          <w:spacing w:val="-2"/>
          <w:sz w:val="18"/>
          <w:vertAlign w:val="baseline"/>
        </w:rPr>
        <w:t> </w:t>
      </w:r>
      <w:r>
        <w:rPr>
          <w:sz w:val="18"/>
          <w:vertAlign w:val="baseline"/>
        </w:rPr>
        <w:t>24,</w:t>
      </w:r>
      <w:r>
        <w:rPr>
          <w:spacing w:val="-2"/>
          <w:sz w:val="18"/>
          <w:vertAlign w:val="baseline"/>
        </w:rPr>
        <w:t> </w:t>
      </w:r>
      <w:r>
        <w:rPr>
          <w:sz w:val="18"/>
          <w:vertAlign w:val="baseline"/>
        </w:rPr>
        <w:t>2023, </w:t>
      </w:r>
      <w:r>
        <w:rPr>
          <w:spacing w:val="-2"/>
          <w:sz w:val="18"/>
          <w:vertAlign w:val="baseline"/>
        </w:rPr>
        <w:t>https://hackinghustling.org/erased-the-impact-of-fosta-sesta-2020/.</w:t>
      </w:r>
    </w:p>
    <w:p>
      <w:pPr>
        <w:spacing w:line="212" w:lineRule="exact" w:before="0"/>
        <w:ind w:left="463" w:right="0" w:firstLine="0"/>
        <w:jc w:val="left"/>
        <w:rPr>
          <w:sz w:val="18"/>
        </w:rPr>
      </w:pPr>
      <w:r>
        <w:rPr>
          <w:sz w:val="18"/>
          <w:vertAlign w:val="superscript"/>
        </w:rPr>
        <w:t>133</w:t>
      </w:r>
      <w:r>
        <w:rPr>
          <w:spacing w:val="-12"/>
          <w:sz w:val="18"/>
          <w:vertAlign w:val="baseline"/>
        </w:rPr>
        <w:t> </w:t>
      </w:r>
      <w:r>
        <w:rPr>
          <w:sz w:val="18"/>
          <w:vertAlign w:val="baseline"/>
        </w:rPr>
        <w:t>“Sex</w:t>
      </w:r>
      <w:r>
        <w:rPr>
          <w:spacing w:val="1"/>
          <w:sz w:val="18"/>
          <w:vertAlign w:val="baseline"/>
        </w:rPr>
        <w:t> </w:t>
      </w:r>
      <w:r>
        <w:rPr>
          <w:sz w:val="18"/>
          <w:vertAlign w:val="baseline"/>
        </w:rPr>
        <w:t>Trafficking</w:t>
      </w:r>
      <w:r>
        <w:rPr>
          <w:spacing w:val="1"/>
          <w:sz w:val="18"/>
          <w:vertAlign w:val="baseline"/>
        </w:rPr>
        <w:t> </w:t>
      </w:r>
      <w:r>
        <w:rPr>
          <w:sz w:val="18"/>
          <w:vertAlign w:val="baseline"/>
        </w:rPr>
        <w:t>and</w:t>
      </w:r>
      <w:r>
        <w:rPr>
          <w:spacing w:val="1"/>
          <w:sz w:val="18"/>
          <w:vertAlign w:val="baseline"/>
        </w:rPr>
        <w:t> </w:t>
      </w:r>
      <w:r>
        <w:rPr>
          <w:sz w:val="18"/>
          <w:vertAlign w:val="baseline"/>
        </w:rPr>
        <w:t>LGBTQ+ </w:t>
      </w:r>
      <w:r>
        <w:rPr>
          <w:spacing w:val="-2"/>
          <w:sz w:val="18"/>
          <w:vertAlign w:val="baseline"/>
        </w:rPr>
        <w:t>Youth.”</w:t>
      </w:r>
    </w:p>
    <w:p>
      <w:pPr>
        <w:spacing w:line="266" w:lineRule="auto" w:before="21"/>
        <w:ind w:left="463" w:right="382" w:firstLine="0"/>
        <w:jc w:val="left"/>
        <w:rPr>
          <w:sz w:val="18"/>
        </w:rPr>
      </w:pPr>
      <w:r>
        <w:rPr>
          <w:sz w:val="18"/>
          <w:vertAlign w:val="superscript"/>
        </w:rPr>
        <w:t>134</w:t>
      </w:r>
      <w:r>
        <w:rPr>
          <w:spacing w:val="-6"/>
          <w:sz w:val="18"/>
          <w:vertAlign w:val="baseline"/>
        </w:rPr>
        <w:t> </w:t>
      </w:r>
      <w:r>
        <w:rPr>
          <w:sz w:val="18"/>
          <w:vertAlign w:val="baseline"/>
        </w:rPr>
        <w:t>“LGBTQIA+ Youth and Experiences of Human Trafficking: A Healing-Centered Approach | 2021” (Health Resources and Services Administration of the U.S. Department of Health and Human Services, 2021), https://</w:t>
      </w:r>
      <w:hyperlink r:id="rId165">
        <w:r>
          <w:rPr>
            <w:sz w:val="18"/>
            <w:vertAlign w:val="baseline"/>
          </w:rPr>
          <w:t>www.lgbtqiahealtheducation.org/wp-content/uploads/2021/09/Supporting-LGBTQIA-Youth-Who-Have-</w:t>
        </w:r>
      </w:hyperlink>
      <w:r>
        <w:rPr>
          <w:spacing w:val="-11"/>
          <w:sz w:val="18"/>
          <w:vertAlign w:val="baseline"/>
        </w:rPr>
        <w:t> </w:t>
      </w:r>
      <w:r>
        <w:rPr>
          <w:sz w:val="18"/>
          <w:vertAlign w:val="baseline"/>
        </w:rPr>
        <w:t>Experienced- </w:t>
      </w:r>
      <w:r>
        <w:rPr>
          <w:spacing w:val="-2"/>
          <w:sz w:val="18"/>
          <w:vertAlign w:val="baseline"/>
        </w:rPr>
        <w:t>Trafficking.pdf.</w:t>
      </w:r>
    </w:p>
    <w:p>
      <w:pPr>
        <w:spacing w:before="1"/>
        <w:ind w:left="463" w:right="0" w:firstLine="0"/>
        <w:jc w:val="left"/>
        <w:rPr>
          <w:sz w:val="18"/>
        </w:rPr>
      </w:pPr>
      <w:r>
        <w:rPr>
          <w:sz w:val="18"/>
          <w:vertAlign w:val="superscript"/>
        </w:rPr>
        <w:t>135</w:t>
      </w:r>
      <w:r>
        <w:rPr>
          <w:spacing w:val="-12"/>
          <w:sz w:val="18"/>
          <w:vertAlign w:val="baseline"/>
        </w:rPr>
        <w:t> </w:t>
      </w:r>
      <w:r>
        <w:rPr>
          <w:sz w:val="18"/>
          <w:vertAlign w:val="baseline"/>
        </w:rPr>
        <w:t>James</w:t>
      </w:r>
      <w:r>
        <w:rPr>
          <w:spacing w:val="-1"/>
          <w:sz w:val="18"/>
          <w:vertAlign w:val="baseline"/>
        </w:rPr>
        <w:t> </w:t>
      </w:r>
      <w:r>
        <w:rPr>
          <w:sz w:val="18"/>
          <w:vertAlign w:val="baseline"/>
        </w:rPr>
        <w:t>et</w:t>
      </w:r>
      <w:r>
        <w:rPr>
          <w:spacing w:val="-1"/>
          <w:sz w:val="18"/>
          <w:vertAlign w:val="baseline"/>
        </w:rPr>
        <w:t> </w:t>
      </w:r>
      <w:r>
        <w:rPr>
          <w:sz w:val="18"/>
          <w:vertAlign w:val="baseline"/>
        </w:rPr>
        <w:t>al.,</w:t>
      </w:r>
      <w:r>
        <w:rPr>
          <w:spacing w:val="-3"/>
          <w:sz w:val="18"/>
          <w:vertAlign w:val="baseline"/>
        </w:rPr>
        <w:t> </w:t>
      </w:r>
      <w:r>
        <w:rPr>
          <w:sz w:val="18"/>
          <w:vertAlign w:val="baseline"/>
        </w:rPr>
        <w:t>“The Report</w:t>
      </w:r>
      <w:r>
        <w:rPr>
          <w:spacing w:val="-1"/>
          <w:sz w:val="18"/>
          <w:vertAlign w:val="baseline"/>
        </w:rPr>
        <w:t> </w:t>
      </w:r>
      <w:r>
        <w:rPr>
          <w:sz w:val="18"/>
          <w:vertAlign w:val="baseline"/>
        </w:rPr>
        <w:t>of</w:t>
      </w:r>
      <w:r>
        <w:rPr>
          <w:spacing w:val="-1"/>
          <w:sz w:val="18"/>
          <w:vertAlign w:val="baseline"/>
        </w:rPr>
        <w:t> </w:t>
      </w:r>
      <w:r>
        <w:rPr>
          <w:sz w:val="18"/>
          <w:vertAlign w:val="baseline"/>
        </w:rPr>
        <w:t>the 2015 U.S. Transgender</w:t>
      </w:r>
      <w:r>
        <w:rPr>
          <w:spacing w:val="-2"/>
          <w:sz w:val="18"/>
          <w:vertAlign w:val="baseline"/>
        </w:rPr>
        <w:t> Survey.”</w:t>
      </w:r>
    </w:p>
    <w:p>
      <w:pPr>
        <w:spacing w:before="2"/>
        <w:ind w:left="463" w:right="0" w:firstLine="0"/>
        <w:jc w:val="left"/>
        <w:rPr>
          <w:sz w:val="18"/>
        </w:rPr>
      </w:pPr>
      <w:r>
        <w:rPr>
          <w:sz w:val="18"/>
          <w:vertAlign w:val="superscript"/>
        </w:rPr>
        <w:t>136</w:t>
      </w:r>
      <w:r>
        <w:rPr>
          <w:spacing w:val="-9"/>
          <w:sz w:val="18"/>
          <w:vertAlign w:val="baseline"/>
        </w:rPr>
        <w:t> </w:t>
      </w:r>
      <w:r>
        <w:rPr>
          <w:sz w:val="18"/>
          <w:vertAlign w:val="baseline"/>
        </w:rPr>
        <w:t>James</w:t>
      </w:r>
      <w:r>
        <w:rPr>
          <w:spacing w:val="5"/>
          <w:sz w:val="18"/>
          <w:vertAlign w:val="baseline"/>
        </w:rPr>
        <w:t> </w:t>
      </w:r>
      <w:r>
        <w:rPr>
          <w:sz w:val="18"/>
          <w:vertAlign w:val="baseline"/>
        </w:rPr>
        <w:t>et</w:t>
      </w:r>
      <w:r>
        <w:rPr>
          <w:spacing w:val="3"/>
          <w:sz w:val="18"/>
          <w:vertAlign w:val="baseline"/>
        </w:rPr>
        <w:t> </w:t>
      </w:r>
      <w:r>
        <w:rPr>
          <w:spacing w:val="-5"/>
          <w:sz w:val="18"/>
          <w:vertAlign w:val="baseline"/>
        </w:rPr>
        <w:t>al.</w:t>
      </w:r>
    </w:p>
    <w:p>
      <w:pPr>
        <w:spacing w:before="3"/>
        <w:ind w:left="463" w:right="0" w:firstLine="0"/>
        <w:jc w:val="left"/>
        <w:rPr>
          <w:sz w:val="18"/>
        </w:rPr>
      </w:pPr>
      <w:r>
        <w:rPr>
          <w:sz w:val="18"/>
          <w:vertAlign w:val="superscript"/>
        </w:rPr>
        <w:t>137</w:t>
      </w:r>
      <w:r>
        <w:rPr>
          <w:spacing w:val="-12"/>
          <w:sz w:val="18"/>
          <w:vertAlign w:val="baseline"/>
        </w:rPr>
        <w:t> </w:t>
      </w:r>
      <w:r>
        <w:rPr>
          <w:sz w:val="18"/>
          <w:vertAlign w:val="baseline"/>
        </w:rPr>
        <w:t>“Sex</w:t>
      </w:r>
      <w:r>
        <w:rPr>
          <w:spacing w:val="1"/>
          <w:sz w:val="18"/>
          <w:vertAlign w:val="baseline"/>
        </w:rPr>
        <w:t> </w:t>
      </w:r>
      <w:r>
        <w:rPr>
          <w:sz w:val="18"/>
          <w:vertAlign w:val="baseline"/>
        </w:rPr>
        <w:t>Trafficking</w:t>
      </w:r>
      <w:r>
        <w:rPr>
          <w:spacing w:val="1"/>
          <w:sz w:val="18"/>
          <w:vertAlign w:val="baseline"/>
        </w:rPr>
        <w:t> </w:t>
      </w:r>
      <w:r>
        <w:rPr>
          <w:sz w:val="18"/>
          <w:vertAlign w:val="baseline"/>
        </w:rPr>
        <w:t>and</w:t>
      </w:r>
      <w:r>
        <w:rPr>
          <w:spacing w:val="1"/>
          <w:sz w:val="18"/>
          <w:vertAlign w:val="baseline"/>
        </w:rPr>
        <w:t> </w:t>
      </w:r>
      <w:r>
        <w:rPr>
          <w:sz w:val="18"/>
          <w:vertAlign w:val="baseline"/>
        </w:rPr>
        <w:t>LGBTQ+ </w:t>
      </w:r>
      <w:r>
        <w:rPr>
          <w:spacing w:val="-2"/>
          <w:sz w:val="18"/>
          <w:vertAlign w:val="baseline"/>
        </w:rPr>
        <w:t>Youth.”</w:t>
      </w:r>
    </w:p>
    <w:p>
      <w:pPr>
        <w:spacing w:before="3"/>
        <w:ind w:left="463" w:right="0" w:firstLine="0"/>
        <w:jc w:val="left"/>
        <w:rPr>
          <w:sz w:val="18"/>
        </w:rPr>
      </w:pPr>
      <w:r>
        <w:rPr>
          <w:sz w:val="18"/>
          <w:vertAlign w:val="superscript"/>
        </w:rPr>
        <w:t>138</w:t>
      </w:r>
      <w:r>
        <w:rPr>
          <w:spacing w:val="-12"/>
          <w:sz w:val="18"/>
          <w:vertAlign w:val="baseline"/>
        </w:rPr>
        <w:t> </w:t>
      </w:r>
      <w:r>
        <w:rPr>
          <w:sz w:val="18"/>
          <w:vertAlign w:val="baseline"/>
        </w:rPr>
        <w:t>Laura</w:t>
      </w:r>
      <w:r>
        <w:rPr>
          <w:spacing w:val="-2"/>
          <w:sz w:val="18"/>
          <w:vertAlign w:val="baseline"/>
        </w:rPr>
        <w:t> </w:t>
      </w:r>
      <w:r>
        <w:rPr>
          <w:sz w:val="18"/>
          <w:vertAlign w:val="baseline"/>
        </w:rPr>
        <w:t>S</w:t>
      </w:r>
      <w:r>
        <w:rPr>
          <w:spacing w:val="-1"/>
          <w:sz w:val="18"/>
          <w:vertAlign w:val="baseline"/>
        </w:rPr>
        <w:t> </w:t>
      </w:r>
      <w:r>
        <w:rPr>
          <w:sz w:val="18"/>
          <w:vertAlign w:val="baseline"/>
        </w:rPr>
        <w:t>Abrams</w:t>
      </w:r>
      <w:r>
        <w:rPr>
          <w:spacing w:val="-1"/>
          <w:sz w:val="18"/>
          <w:vertAlign w:val="baseline"/>
        </w:rPr>
        <w:t> </w:t>
      </w:r>
      <w:r>
        <w:rPr>
          <w:sz w:val="18"/>
          <w:vertAlign w:val="baseline"/>
        </w:rPr>
        <w:t>et</w:t>
      </w:r>
      <w:r>
        <w:rPr>
          <w:spacing w:val="-2"/>
          <w:sz w:val="18"/>
          <w:vertAlign w:val="baseline"/>
        </w:rPr>
        <w:t> </w:t>
      </w:r>
      <w:r>
        <w:rPr>
          <w:sz w:val="18"/>
          <w:vertAlign w:val="baseline"/>
        </w:rPr>
        <w:t>al.,</w:t>
      </w:r>
      <w:r>
        <w:rPr>
          <w:spacing w:val="-2"/>
          <w:sz w:val="18"/>
          <w:vertAlign w:val="baseline"/>
        </w:rPr>
        <w:t> </w:t>
      </w:r>
      <w:r>
        <w:rPr>
          <w:sz w:val="18"/>
          <w:vertAlign w:val="baseline"/>
        </w:rPr>
        <w:t>“Collaborative</w:t>
      </w:r>
      <w:r>
        <w:rPr>
          <w:spacing w:val="-1"/>
          <w:sz w:val="18"/>
          <w:vertAlign w:val="baseline"/>
        </w:rPr>
        <w:t> </w:t>
      </w:r>
      <w:r>
        <w:rPr>
          <w:sz w:val="18"/>
          <w:vertAlign w:val="baseline"/>
        </w:rPr>
        <w:t>Responses</w:t>
      </w:r>
      <w:r>
        <w:rPr>
          <w:spacing w:val="-1"/>
          <w:sz w:val="18"/>
          <w:vertAlign w:val="baseline"/>
        </w:rPr>
        <w:t> </w:t>
      </w:r>
      <w:r>
        <w:rPr>
          <w:sz w:val="18"/>
          <w:vertAlign w:val="baseline"/>
        </w:rPr>
        <w:t>to</w:t>
      </w:r>
      <w:r>
        <w:rPr>
          <w:spacing w:val="-1"/>
          <w:sz w:val="18"/>
          <w:vertAlign w:val="baseline"/>
        </w:rPr>
        <w:t> </w:t>
      </w:r>
      <w:r>
        <w:rPr>
          <w:sz w:val="18"/>
          <w:vertAlign w:val="baseline"/>
        </w:rPr>
        <w:t>Commercial</w:t>
      </w:r>
      <w:r>
        <w:rPr>
          <w:spacing w:val="-3"/>
          <w:sz w:val="18"/>
          <w:vertAlign w:val="baseline"/>
        </w:rPr>
        <w:t> </w:t>
      </w:r>
      <w:r>
        <w:rPr>
          <w:sz w:val="18"/>
          <w:vertAlign w:val="baseline"/>
        </w:rPr>
        <w:t>Sexual</w:t>
      </w:r>
      <w:r>
        <w:rPr>
          <w:spacing w:val="-2"/>
          <w:sz w:val="18"/>
          <w:vertAlign w:val="baseline"/>
        </w:rPr>
        <w:t> </w:t>
      </w:r>
      <w:r>
        <w:rPr>
          <w:sz w:val="18"/>
          <w:vertAlign w:val="baseline"/>
        </w:rPr>
        <w:t>Exploitation</w:t>
      </w:r>
      <w:r>
        <w:rPr>
          <w:spacing w:val="-1"/>
          <w:sz w:val="18"/>
          <w:vertAlign w:val="baseline"/>
        </w:rPr>
        <w:t> </w:t>
      </w:r>
      <w:r>
        <w:rPr>
          <w:sz w:val="18"/>
          <w:vertAlign w:val="baseline"/>
        </w:rPr>
        <w:t>as</w:t>
      </w:r>
      <w:r>
        <w:rPr>
          <w:spacing w:val="-1"/>
          <w:sz w:val="18"/>
          <w:vertAlign w:val="baseline"/>
        </w:rPr>
        <w:t> </w:t>
      </w:r>
      <w:r>
        <w:rPr>
          <w:sz w:val="18"/>
          <w:vertAlign w:val="baseline"/>
        </w:rPr>
        <w:t>a</w:t>
      </w:r>
      <w:r>
        <w:rPr>
          <w:spacing w:val="-1"/>
          <w:sz w:val="18"/>
          <w:vertAlign w:val="baseline"/>
        </w:rPr>
        <w:t> </w:t>
      </w:r>
      <w:r>
        <w:rPr>
          <w:sz w:val="18"/>
          <w:vertAlign w:val="baseline"/>
        </w:rPr>
        <w:t>Model</w:t>
      </w:r>
      <w:r>
        <w:rPr>
          <w:spacing w:val="-2"/>
          <w:sz w:val="18"/>
          <w:vertAlign w:val="baseline"/>
        </w:rPr>
        <w:t> </w:t>
      </w:r>
      <w:r>
        <w:rPr>
          <w:sz w:val="18"/>
          <w:vertAlign w:val="baseline"/>
        </w:rPr>
        <w:t>of</w:t>
      </w:r>
      <w:r>
        <w:rPr>
          <w:spacing w:val="-1"/>
          <w:sz w:val="18"/>
          <w:vertAlign w:val="baseline"/>
        </w:rPr>
        <w:t> </w:t>
      </w:r>
      <w:r>
        <w:rPr>
          <w:sz w:val="18"/>
          <w:vertAlign w:val="baseline"/>
        </w:rPr>
        <w:t>Smart</w:t>
      </w:r>
      <w:r>
        <w:rPr>
          <w:spacing w:val="-2"/>
          <w:sz w:val="18"/>
          <w:vertAlign w:val="baseline"/>
        </w:rPr>
        <w:t> Decarceration,”</w:t>
      </w:r>
    </w:p>
    <w:p>
      <w:pPr>
        <w:spacing w:after="0"/>
        <w:jc w:val="left"/>
        <w:rPr>
          <w:sz w:val="18"/>
        </w:rPr>
        <w:sectPr>
          <w:pgSz w:w="11910" w:h="16840"/>
          <w:pgMar w:header="804" w:footer="1277" w:top="1080" w:bottom="1460" w:left="980" w:right="900"/>
        </w:sectPr>
      </w:pPr>
    </w:p>
    <w:p>
      <w:pPr>
        <w:spacing w:before="69"/>
        <w:ind w:left="463" w:right="0" w:firstLine="0"/>
        <w:jc w:val="left"/>
        <w:rPr>
          <w:sz w:val="18"/>
        </w:rPr>
      </w:pPr>
      <w:r>
        <w:rPr>
          <w:i/>
          <w:sz w:val="18"/>
        </w:rPr>
        <w:t>Social</w:t>
      </w:r>
      <w:r>
        <w:rPr>
          <w:i/>
          <w:spacing w:val="-3"/>
          <w:sz w:val="18"/>
        </w:rPr>
        <w:t> </w:t>
      </w:r>
      <w:r>
        <w:rPr>
          <w:i/>
          <w:sz w:val="18"/>
        </w:rPr>
        <w:t>Work</w:t>
      </w:r>
      <w:r>
        <w:rPr>
          <w:i/>
          <w:spacing w:val="-2"/>
          <w:sz w:val="18"/>
        </w:rPr>
        <w:t> </w:t>
      </w:r>
      <w:r>
        <w:rPr>
          <w:sz w:val="18"/>
        </w:rPr>
        <w:t>65,</w:t>
      </w:r>
      <w:r>
        <w:rPr>
          <w:spacing w:val="-3"/>
          <w:sz w:val="18"/>
        </w:rPr>
        <w:t> </w:t>
      </w:r>
      <w:r>
        <w:rPr>
          <w:sz w:val="18"/>
        </w:rPr>
        <w:t>no.</w:t>
      </w:r>
      <w:r>
        <w:rPr>
          <w:spacing w:val="-1"/>
          <w:sz w:val="18"/>
        </w:rPr>
        <w:t> </w:t>
      </w:r>
      <w:r>
        <w:rPr>
          <w:sz w:val="18"/>
        </w:rPr>
        <w:t>4</w:t>
      </w:r>
      <w:r>
        <w:rPr>
          <w:spacing w:val="-2"/>
          <w:sz w:val="18"/>
        </w:rPr>
        <w:t> </w:t>
      </w:r>
      <w:r>
        <w:rPr>
          <w:sz w:val="18"/>
        </w:rPr>
        <w:t>(October</w:t>
      </w:r>
      <w:r>
        <w:rPr>
          <w:spacing w:val="-2"/>
          <w:sz w:val="18"/>
        </w:rPr>
        <w:t> </w:t>
      </w:r>
      <w:r>
        <w:rPr>
          <w:sz w:val="18"/>
        </w:rPr>
        <w:t>1,</w:t>
      </w:r>
      <w:r>
        <w:rPr>
          <w:spacing w:val="-3"/>
          <w:sz w:val="18"/>
        </w:rPr>
        <w:t> </w:t>
      </w:r>
      <w:r>
        <w:rPr>
          <w:sz w:val="18"/>
        </w:rPr>
        <w:t>2020):</w:t>
      </w:r>
      <w:r>
        <w:rPr>
          <w:spacing w:val="-1"/>
          <w:sz w:val="18"/>
        </w:rPr>
        <w:t> </w:t>
      </w:r>
      <w:r>
        <w:rPr>
          <w:sz w:val="18"/>
        </w:rPr>
        <w:t>387–96,</w:t>
      </w:r>
      <w:r>
        <w:rPr>
          <w:spacing w:val="-2"/>
          <w:sz w:val="18"/>
        </w:rPr>
        <w:t> https://doi.org/10.1093/sw/swaa040.</w:t>
      </w:r>
    </w:p>
    <w:p>
      <w:pPr>
        <w:spacing w:before="24"/>
        <w:ind w:left="463" w:right="0" w:firstLine="0"/>
        <w:jc w:val="left"/>
        <w:rPr>
          <w:sz w:val="18"/>
        </w:rPr>
      </w:pPr>
      <w:r>
        <w:rPr>
          <w:sz w:val="18"/>
          <w:vertAlign w:val="superscript"/>
        </w:rPr>
        <w:t>139</w:t>
      </w:r>
      <w:r>
        <w:rPr>
          <w:spacing w:val="-9"/>
          <w:sz w:val="18"/>
          <w:vertAlign w:val="baseline"/>
        </w:rPr>
        <w:t> </w:t>
      </w:r>
      <w:r>
        <w:rPr>
          <w:sz w:val="18"/>
          <w:vertAlign w:val="baseline"/>
        </w:rPr>
        <w:t>Abrams</w:t>
      </w:r>
      <w:r>
        <w:rPr>
          <w:spacing w:val="4"/>
          <w:sz w:val="18"/>
          <w:vertAlign w:val="baseline"/>
        </w:rPr>
        <w:t> </w:t>
      </w:r>
      <w:r>
        <w:rPr>
          <w:sz w:val="18"/>
          <w:vertAlign w:val="baseline"/>
        </w:rPr>
        <w:t>et</w:t>
      </w:r>
      <w:r>
        <w:rPr>
          <w:spacing w:val="3"/>
          <w:sz w:val="18"/>
          <w:vertAlign w:val="baseline"/>
        </w:rPr>
        <w:t> </w:t>
      </w:r>
      <w:r>
        <w:rPr>
          <w:spacing w:val="-5"/>
          <w:sz w:val="18"/>
          <w:vertAlign w:val="baseline"/>
        </w:rPr>
        <w:t>al.</w:t>
      </w:r>
    </w:p>
    <w:p>
      <w:pPr>
        <w:spacing w:before="20"/>
        <w:ind w:left="463" w:right="0" w:firstLine="0"/>
        <w:jc w:val="left"/>
        <w:rPr>
          <w:i/>
          <w:sz w:val="18"/>
        </w:rPr>
      </w:pPr>
      <w:r>
        <w:rPr>
          <w:sz w:val="18"/>
          <w:vertAlign w:val="superscript"/>
        </w:rPr>
        <w:t>140</w:t>
      </w:r>
      <w:r>
        <w:rPr>
          <w:spacing w:val="-12"/>
          <w:sz w:val="18"/>
          <w:vertAlign w:val="baseline"/>
        </w:rPr>
        <w:t> </w:t>
      </w:r>
      <w:r>
        <w:rPr>
          <w:sz w:val="18"/>
          <w:vertAlign w:val="baseline"/>
        </w:rPr>
        <w:t>Erin</w:t>
      </w:r>
      <w:r>
        <w:rPr>
          <w:spacing w:val="-3"/>
          <w:sz w:val="18"/>
          <w:vertAlign w:val="baseline"/>
        </w:rPr>
        <w:t> </w:t>
      </w:r>
      <w:r>
        <w:rPr>
          <w:sz w:val="18"/>
          <w:vertAlign w:val="baseline"/>
        </w:rPr>
        <w:t>Albright</w:t>
      </w:r>
      <w:r>
        <w:rPr>
          <w:spacing w:val="-3"/>
          <w:sz w:val="18"/>
          <w:vertAlign w:val="baseline"/>
        </w:rPr>
        <w:t> </w:t>
      </w:r>
      <w:r>
        <w:rPr>
          <w:sz w:val="18"/>
          <w:vertAlign w:val="baseline"/>
        </w:rPr>
        <w:t>and</w:t>
      </w:r>
      <w:r>
        <w:rPr>
          <w:spacing w:val="-2"/>
          <w:sz w:val="18"/>
          <w:vertAlign w:val="baseline"/>
        </w:rPr>
        <w:t> </w:t>
      </w:r>
      <w:r>
        <w:rPr>
          <w:sz w:val="18"/>
          <w:vertAlign w:val="baseline"/>
        </w:rPr>
        <w:t>Kate</w:t>
      </w:r>
      <w:r>
        <w:rPr>
          <w:spacing w:val="-2"/>
          <w:sz w:val="18"/>
          <w:vertAlign w:val="baseline"/>
        </w:rPr>
        <w:t> </w:t>
      </w:r>
      <w:r>
        <w:rPr>
          <w:sz w:val="18"/>
          <w:vertAlign w:val="baseline"/>
        </w:rPr>
        <w:t>Adamo,</w:t>
      </w:r>
      <w:r>
        <w:rPr>
          <w:spacing w:val="-2"/>
          <w:sz w:val="18"/>
          <w:vertAlign w:val="baseline"/>
        </w:rPr>
        <w:t> </w:t>
      </w:r>
      <w:r>
        <w:rPr>
          <w:sz w:val="18"/>
          <w:vertAlign w:val="baseline"/>
        </w:rPr>
        <w:t>“Decreasing</w:t>
      </w:r>
      <w:r>
        <w:rPr>
          <w:spacing w:val="-2"/>
          <w:sz w:val="18"/>
          <w:vertAlign w:val="baseline"/>
        </w:rPr>
        <w:t> </w:t>
      </w:r>
      <w:r>
        <w:rPr>
          <w:sz w:val="18"/>
          <w:vertAlign w:val="baseline"/>
        </w:rPr>
        <w:t>Human</w:t>
      </w:r>
      <w:r>
        <w:rPr>
          <w:spacing w:val="-2"/>
          <w:sz w:val="18"/>
          <w:vertAlign w:val="baseline"/>
        </w:rPr>
        <w:t> </w:t>
      </w:r>
      <w:r>
        <w:rPr>
          <w:sz w:val="18"/>
          <w:vertAlign w:val="baseline"/>
        </w:rPr>
        <w:t>Trafficking</w:t>
      </w:r>
      <w:r>
        <w:rPr>
          <w:spacing w:val="-2"/>
          <w:sz w:val="18"/>
          <w:vertAlign w:val="baseline"/>
        </w:rPr>
        <w:t> </w:t>
      </w:r>
      <w:r>
        <w:rPr>
          <w:sz w:val="18"/>
          <w:vertAlign w:val="baseline"/>
        </w:rPr>
        <w:t>through</w:t>
      </w:r>
      <w:r>
        <w:rPr>
          <w:spacing w:val="-1"/>
          <w:sz w:val="18"/>
          <w:vertAlign w:val="baseline"/>
        </w:rPr>
        <w:t> </w:t>
      </w:r>
      <w:r>
        <w:rPr>
          <w:sz w:val="18"/>
          <w:vertAlign w:val="baseline"/>
        </w:rPr>
        <w:t>Sex</w:t>
      </w:r>
      <w:r>
        <w:rPr>
          <w:spacing w:val="-2"/>
          <w:sz w:val="18"/>
          <w:vertAlign w:val="baseline"/>
        </w:rPr>
        <w:t> </w:t>
      </w:r>
      <w:r>
        <w:rPr>
          <w:sz w:val="18"/>
          <w:vertAlign w:val="baseline"/>
        </w:rPr>
        <w:t>Work</w:t>
      </w:r>
      <w:r>
        <w:rPr>
          <w:spacing w:val="-3"/>
          <w:sz w:val="18"/>
          <w:vertAlign w:val="baseline"/>
        </w:rPr>
        <w:t> </w:t>
      </w:r>
      <w:r>
        <w:rPr>
          <w:sz w:val="18"/>
          <w:vertAlign w:val="baseline"/>
        </w:rPr>
        <w:t>Decriminalization,”</w:t>
      </w:r>
      <w:r>
        <w:rPr>
          <w:spacing w:val="-2"/>
          <w:sz w:val="18"/>
          <w:vertAlign w:val="baseline"/>
        </w:rPr>
        <w:t> </w:t>
      </w:r>
      <w:r>
        <w:rPr>
          <w:i/>
          <w:sz w:val="18"/>
          <w:vertAlign w:val="baseline"/>
        </w:rPr>
        <w:t>AMA</w:t>
      </w:r>
      <w:r>
        <w:rPr>
          <w:i/>
          <w:spacing w:val="-1"/>
          <w:sz w:val="18"/>
          <w:vertAlign w:val="baseline"/>
        </w:rPr>
        <w:t> </w:t>
      </w:r>
      <w:r>
        <w:rPr>
          <w:i/>
          <w:sz w:val="18"/>
          <w:vertAlign w:val="baseline"/>
        </w:rPr>
        <w:t>Journal</w:t>
      </w:r>
      <w:r>
        <w:rPr>
          <w:i/>
          <w:spacing w:val="-3"/>
          <w:sz w:val="18"/>
          <w:vertAlign w:val="baseline"/>
        </w:rPr>
        <w:t> </w:t>
      </w:r>
      <w:r>
        <w:rPr>
          <w:i/>
          <w:sz w:val="18"/>
          <w:vertAlign w:val="baseline"/>
        </w:rPr>
        <w:t>of</w:t>
      </w:r>
      <w:r>
        <w:rPr>
          <w:i/>
          <w:spacing w:val="-2"/>
          <w:sz w:val="18"/>
          <w:vertAlign w:val="baseline"/>
        </w:rPr>
        <w:t> Ethics</w:t>
      </w:r>
    </w:p>
    <w:p>
      <w:pPr>
        <w:spacing w:before="30"/>
        <w:ind w:left="463" w:right="0" w:firstLine="0"/>
        <w:jc w:val="left"/>
        <w:rPr>
          <w:sz w:val="18"/>
        </w:rPr>
      </w:pPr>
      <w:r>
        <w:rPr>
          <w:sz w:val="18"/>
        </w:rPr>
        <w:t>19,</w:t>
      </w:r>
      <w:r>
        <w:rPr>
          <w:spacing w:val="-9"/>
          <w:sz w:val="18"/>
        </w:rPr>
        <w:t> </w:t>
      </w:r>
      <w:r>
        <w:rPr>
          <w:sz w:val="18"/>
        </w:rPr>
        <w:t>no.</w:t>
      </w:r>
      <w:r>
        <w:rPr>
          <w:spacing w:val="-5"/>
          <w:sz w:val="18"/>
        </w:rPr>
        <w:t> </w:t>
      </w:r>
      <w:r>
        <w:rPr>
          <w:sz w:val="18"/>
        </w:rPr>
        <w:t>1</w:t>
      </w:r>
      <w:r>
        <w:rPr>
          <w:spacing w:val="-5"/>
          <w:sz w:val="18"/>
        </w:rPr>
        <w:t> </w:t>
      </w:r>
      <w:r>
        <w:rPr>
          <w:sz w:val="18"/>
        </w:rPr>
        <w:t>(January</w:t>
      </w:r>
      <w:r>
        <w:rPr>
          <w:spacing w:val="-6"/>
          <w:sz w:val="18"/>
        </w:rPr>
        <w:t> </w:t>
      </w:r>
      <w:r>
        <w:rPr>
          <w:sz w:val="18"/>
        </w:rPr>
        <w:t>1,</w:t>
      </w:r>
      <w:r>
        <w:rPr>
          <w:spacing w:val="-6"/>
          <w:sz w:val="18"/>
        </w:rPr>
        <w:t> </w:t>
      </w:r>
      <w:r>
        <w:rPr>
          <w:sz w:val="18"/>
        </w:rPr>
        <w:t>2017):</w:t>
      </w:r>
      <w:r>
        <w:rPr>
          <w:spacing w:val="-5"/>
          <w:sz w:val="18"/>
        </w:rPr>
        <w:t> </w:t>
      </w:r>
      <w:r>
        <w:rPr>
          <w:sz w:val="18"/>
        </w:rPr>
        <w:t>122–26,</w:t>
      </w:r>
      <w:r>
        <w:rPr>
          <w:spacing w:val="-6"/>
          <w:sz w:val="18"/>
        </w:rPr>
        <w:t> </w:t>
      </w:r>
      <w:r>
        <w:rPr>
          <w:sz w:val="18"/>
        </w:rPr>
        <w:t>https://doi.org/10.1001/journalofethics.2017.19.1.sect2-</w:t>
      </w:r>
      <w:r>
        <w:rPr>
          <w:spacing w:val="-2"/>
          <w:sz w:val="18"/>
        </w:rPr>
        <w:t>1701.</w:t>
      </w:r>
    </w:p>
    <w:p>
      <w:pPr>
        <w:spacing w:before="24"/>
        <w:ind w:left="463" w:right="0" w:firstLine="0"/>
        <w:jc w:val="left"/>
        <w:rPr>
          <w:sz w:val="18"/>
        </w:rPr>
      </w:pPr>
      <w:r>
        <w:rPr>
          <w:sz w:val="18"/>
          <w:vertAlign w:val="superscript"/>
        </w:rPr>
        <w:t>141</w:t>
      </w:r>
      <w:r>
        <w:rPr>
          <w:spacing w:val="-10"/>
          <w:sz w:val="18"/>
          <w:vertAlign w:val="baseline"/>
        </w:rPr>
        <w:t> </w:t>
      </w:r>
      <w:r>
        <w:rPr>
          <w:sz w:val="18"/>
          <w:vertAlign w:val="baseline"/>
        </w:rPr>
        <w:t>Albright</w:t>
      </w:r>
      <w:r>
        <w:rPr>
          <w:spacing w:val="3"/>
          <w:sz w:val="18"/>
          <w:vertAlign w:val="baseline"/>
        </w:rPr>
        <w:t> </w:t>
      </w:r>
      <w:r>
        <w:rPr>
          <w:sz w:val="18"/>
          <w:vertAlign w:val="baseline"/>
        </w:rPr>
        <w:t>and</w:t>
      </w:r>
      <w:r>
        <w:rPr>
          <w:spacing w:val="3"/>
          <w:sz w:val="18"/>
          <w:vertAlign w:val="baseline"/>
        </w:rPr>
        <w:t> </w:t>
      </w:r>
      <w:r>
        <w:rPr>
          <w:spacing w:val="-2"/>
          <w:sz w:val="18"/>
          <w:vertAlign w:val="baseline"/>
        </w:rPr>
        <w:t>Adamo.</w:t>
      </w:r>
    </w:p>
    <w:p>
      <w:pPr>
        <w:spacing w:line="271" w:lineRule="auto" w:before="20"/>
        <w:ind w:left="463" w:right="311" w:firstLine="0"/>
        <w:jc w:val="left"/>
        <w:rPr>
          <w:sz w:val="18"/>
        </w:rPr>
      </w:pPr>
      <w:r>
        <w:rPr>
          <w:sz w:val="18"/>
          <w:vertAlign w:val="superscript"/>
        </w:rPr>
        <w:t>142</w:t>
      </w:r>
      <w:r>
        <w:rPr>
          <w:spacing w:val="-12"/>
          <w:sz w:val="18"/>
          <w:vertAlign w:val="baseline"/>
        </w:rPr>
        <w:t> </w:t>
      </w:r>
      <w:r>
        <w:rPr>
          <w:sz w:val="18"/>
          <w:vertAlign w:val="baseline"/>
        </w:rPr>
        <w:t>“Existing</w:t>
      </w:r>
      <w:r>
        <w:rPr>
          <w:spacing w:val="-2"/>
          <w:sz w:val="18"/>
          <w:vertAlign w:val="baseline"/>
        </w:rPr>
        <w:t> </w:t>
      </w:r>
      <w:r>
        <w:rPr>
          <w:sz w:val="18"/>
          <w:vertAlign w:val="baseline"/>
        </w:rPr>
        <w:t>Nonconsensual</w:t>
      </w:r>
      <w:r>
        <w:rPr>
          <w:spacing w:val="-2"/>
          <w:sz w:val="18"/>
          <w:vertAlign w:val="baseline"/>
        </w:rPr>
        <w:t> </w:t>
      </w:r>
      <w:r>
        <w:rPr>
          <w:sz w:val="18"/>
          <w:vertAlign w:val="baseline"/>
        </w:rPr>
        <w:t>Pornography,</w:t>
      </w:r>
      <w:r>
        <w:rPr>
          <w:spacing w:val="-2"/>
          <w:sz w:val="18"/>
          <w:vertAlign w:val="baseline"/>
        </w:rPr>
        <w:t> </w:t>
      </w:r>
      <w:r>
        <w:rPr>
          <w:sz w:val="18"/>
          <w:vertAlign w:val="baseline"/>
        </w:rPr>
        <w:t>Sextortion,</w:t>
      </w:r>
      <w:r>
        <w:rPr>
          <w:spacing w:val="-2"/>
          <w:sz w:val="18"/>
          <w:vertAlign w:val="baseline"/>
        </w:rPr>
        <w:t> </w:t>
      </w:r>
      <w:r>
        <w:rPr>
          <w:sz w:val="18"/>
          <w:vertAlign w:val="baseline"/>
        </w:rPr>
        <w:t>and</w:t>
      </w:r>
      <w:r>
        <w:rPr>
          <w:spacing w:val="-1"/>
          <w:sz w:val="18"/>
          <w:vertAlign w:val="baseline"/>
        </w:rPr>
        <w:t> </w:t>
      </w:r>
      <w:r>
        <w:rPr>
          <w:sz w:val="18"/>
          <w:vertAlign w:val="baseline"/>
        </w:rPr>
        <w:t>Deep</w:t>
      </w:r>
      <w:r>
        <w:rPr>
          <w:spacing w:val="-1"/>
          <w:sz w:val="18"/>
          <w:vertAlign w:val="baseline"/>
        </w:rPr>
        <w:t> </w:t>
      </w:r>
      <w:r>
        <w:rPr>
          <w:sz w:val="18"/>
          <w:vertAlign w:val="baseline"/>
        </w:rPr>
        <w:t>Fake</w:t>
      </w:r>
      <w:r>
        <w:rPr>
          <w:spacing w:val="-1"/>
          <w:sz w:val="18"/>
          <w:vertAlign w:val="baseline"/>
        </w:rPr>
        <w:t> </w:t>
      </w:r>
      <w:r>
        <w:rPr>
          <w:sz w:val="18"/>
          <w:vertAlign w:val="baseline"/>
        </w:rPr>
        <w:t>Laws,”</w:t>
      </w:r>
      <w:r>
        <w:rPr>
          <w:spacing w:val="-1"/>
          <w:sz w:val="18"/>
          <w:vertAlign w:val="baseline"/>
        </w:rPr>
        <w:t> </w:t>
      </w:r>
      <w:r>
        <w:rPr>
          <w:sz w:val="18"/>
          <w:vertAlign w:val="baseline"/>
        </w:rPr>
        <w:t>Cyber</w:t>
      </w:r>
      <w:r>
        <w:rPr>
          <w:spacing w:val="-3"/>
          <w:sz w:val="18"/>
          <w:vertAlign w:val="baseline"/>
        </w:rPr>
        <w:t> </w:t>
      </w:r>
      <w:r>
        <w:rPr>
          <w:sz w:val="18"/>
          <w:vertAlign w:val="baseline"/>
        </w:rPr>
        <w:t>Civil</w:t>
      </w:r>
      <w:r>
        <w:rPr>
          <w:spacing w:val="-2"/>
          <w:sz w:val="18"/>
          <w:vertAlign w:val="baseline"/>
        </w:rPr>
        <w:t> </w:t>
      </w:r>
      <w:r>
        <w:rPr>
          <w:sz w:val="18"/>
          <w:vertAlign w:val="baseline"/>
        </w:rPr>
        <w:t>Rights</w:t>
      </w:r>
      <w:r>
        <w:rPr>
          <w:spacing w:val="-1"/>
          <w:sz w:val="18"/>
          <w:vertAlign w:val="baseline"/>
        </w:rPr>
        <w:t> </w:t>
      </w:r>
      <w:r>
        <w:rPr>
          <w:sz w:val="18"/>
          <w:vertAlign w:val="baseline"/>
        </w:rPr>
        <w:t>Initiative,</w:t>
      </w:r>
      <w:r>
        <w:rPr>
          <w:spacing w:val="-2"/>
          <w:sz w:val="18"/>
          <w:vertAlign w:val="baseline"/>
        </w:rPr>
        <w:t> </w:t>
      </w:r>
      <w:r>
        <w:rPr>
          <w:sz w:val="18"/>
          <w:vertAlign w:val="baseline"/>
        </w:rPr>
        <w:t>accessed</w:t>
      </w:r>
      <w:r>
        <w:rPr>
          <w:spacing w:val="-1"/>
          <w:sz w:val="18"/>
          <w:vertAlign w:val="baseline"/>
        </w:rPr>
        <w:t> </w:t>
      </w:r>
      <w:r>
        <w:rPr>
          <w:sz w:val="18"/>
          <w:vertAlign w:val="baseline"/>
        </w:rPr>
        <w:t>January</w:t>
      </w:r>
      <w:r>
        <w:rPr>
          <w:spacing w:val="-1"/>
          <w:sz w:val="18"/>
          <w:vertAlign w:val="baseline"/>
        </w:rPr>
        <w:t> </w:t>
      </w:r>
      <w:r>
        <w:rPr>
          <w:sz w:val="18"/>
          <w:vertAlign w:val="baseline"/>
        </w:rPr>
        <w:t>7, 2023,</w:t>
      </w:r>
      <w:r>
        <w:rPr>
          <w:spacing w:val="-2"/>
          <w:sz w:val="18"/>
          <w:vertAlign w:val="baseline"/>
        </w:rPr>
        <w:t> </w:t>
      </w:r>
      <w:r>
        <w:rPr>
          <w:sz w:val="18"/>
          <w:vertAlign w:val="baseline"/>
        </w:rPr>
        <w:t>https://cybercivilrights.org/existing-laws/.</w:t>
      </w:r>
    </w:p>
    <w:p>
      <w:pPr>
        <w:spacing w:line="273" w:lineRule="auto" w:before="13"/>
        <w:ind w:left="463" w:right="311" w:firstLine="0"/>
        <w:jc w:val="left"/>
        <w:rPr>
          <w:sz w:val="18"/>
        </w:rPr>
      </w:pPr>
      <w:r>
        <w:rPr>
          <w:sz w:val="18"/>
          <w:vertAlign w:val="superscript"/>
        </w:rPr>
        <w:t>143</w:t>
      </w:r>
      <w:r>
        <w:rPr>
          <w:spacing w:val="-12"/>
          <w:sz w:val="18"/>
          <w:vertAlign w:val="baseline"/>
        </w:rPr>
        <w:t> </w:t>
      </w:r>
      <w:r>
        <w:rPr>
          <w:sz w:val="18"/>
          <w:vertAlign w:val="baseline"/>
        </w:rPr>
        <w:t>Joanna</w:t>
      </w:r>
      <w:r>
        <w:rPr>
          <w:spacing w:val="-3"/>
          <w:sz w:val="18"/>
          <w:vertAlign w:val="baseline"/>
        </w:rPr>
        <w:t> </w:t>
      </w:r>
      <w:r>
        <w:rPr>
          <w:sz w:val="18"/>
          <w:vertAlign w:val="baseline"/>
        </w:rPr>
        <w:t>Lampe,</w:t>
      </w:r>
      <w:r>
        <w:rPr>
          <w:spacing w:val="-3"/>
          <w:sz w:val="18"/>
          <w:vertAlign w:val="baseline"/>
        </w:rPr>
        <w:t> </w:t>
      </w:r>
      <w:r>
        <w:rPr>
          <w:sz w:val="18"/>
          <w:vertAlign w:val="baseline"/>
        </w:rPr>
        <w:t>“A</w:t>
      </w:r>
      <w:r>
        <w:rPr>
          <w:spacing w:val="-2"/>
          <w:sz w:val="18"/>
          <w:vertAlign w:val="baseline"/>
        </w:rPr>
        <w:t> </w:t>
      </w:r>
      <w:r>
        <w:rPr>
          <w:sz w:val="18"/>
          <w:vertAlign w:val="baseline"/>
        </w:rPr>
        <w:t>Victimless</w:t>
      </w:r>
      <w:r>
        <w:rPr>
          <w:spacing w:val="-2"/>
          <w:sz w:val="18"/>
          <w:vertAlign w:val="baseline"/>
        </w:rPr>
        <w:t> </w:t>
      </w:r>
      <w:r>
        <w:rPr>
          <w:sz w:val="18"/>
          <w:vertAlign w:val="baseline"/>
        </w:rPr>
        <w:t>Sex</w:t>
      </w:r>
      <w:r>
        <w:rPr>
          <w:spacing w:val="-2"/>
          <w:sz w:val="18"/>
          <w:vertAlign w:val="baseline"/>
        </w:rPr>
        <w:t> </w:t>
      </w:r>
      <w:r>
        <w:rPr>
          <w:sz w:val="18"/>
          <w:vertAlign w:val="baseline"/>
        </w:rPr>
        <w:t>Crime:</w:t>
      </w:r>
      <w:r>
        <w:rPr>
          <w:spacing w:val="-2"/>
          <w:sz w:val="18"/>
          <w:vertAlign w:val="baseline"/>
        </w:rPr>
        <w:t> </w:t>
      </w:r>
      <w:r>
        <w:rPr>
          <w:sz w:val="18"/>
          <w:vertAlign w:val="baseline"/>
        </w:rPr>
        <w:t>The</w:t>
      </w:r>
      <w:r>
        <w:rPr>
          <w:spacing w:val="-2"/>
          <w:sz w:val="18"/>
          <w:vertAlign w:val="baseline"/>
        </w:rPr>
        <w:t> </w:t>
      </w:r>
      <w:r>
        <w:rPr>
          <w:sz w:val="18"/>
          <w:vertAlign w:val="baseline"/>
        </w:rPr>
        <w:t>Case</w:t>
      </w:r>
      <w:r>
        <w:rPr>
          <w:spacing w:val="-2"/>
          <w:sz w:val="18"/>
          <w:vertAlign w:val="baseline"/>
        </w:rPr>
        <w:t> </w:t>
      </w:r>
      <w:r>
        <w:rPr>
          <w:sz w:val="18"/>
          <w:vertAlign w:val="baseline"/>
        </w:rPr>
        <w:t>for</w:t>
      </w:r>
      <w:r>
        <w:rPr>
          <w:spacing w:val="-3"/>
          <w:sz w:val="18"/>
          <w:vertAlign w:val="baseline"/>
        </w:rPr>
        <w:t> </w:t>
      </w:r>
      <w:r>
        <w:rPr>
          <w:sz w:val="18"/>
          <w:vertAlign w:val="baseline"/>
        </w:rPr>
        <w:t>Decriminalizing</w:t>
      </w:r>
      <w:r>
        <w:rPr>
          <w:spacing w:val="-2"/>
          <w:sz w:val="18"/>
          <w:vertAlign w:val="baseline"/>
        </w:rPr>
        <w:t> </w:t>
      </w:r>
      <w:r>
        <w:rPr>
          <w:sz w:val="18"/>
          <w:vertAlign w:val="baseline"/>
        </w:rPr>
        <w:t>Consensual</w:t>
      </w:r>
      <w:r>
        <w:rPr>
          <w:spacing w:val="-3"/>
          <w:sz w:val="18"/>
          <w:vertAlign w:val="baseline"/>
        </w:rPr>
        <w:t> </w:t>
      </w:r>
      <w:r>
        <w:rPr>
          <w:sz w:val="18"/>
          <w:vertAlign w:val="baseline"/>
        </w:rPr>
        <w:t>Teen</w:t>
      </w:r>
      <w:r>
        <w:rPr>
          <w:spacing w:val="-2"/>
          <w:sz w:val="18"/>
          <w:vertAlign w:val="baseline"/>
        </w:rPr>
        <w:t> </w:t>
      </w:r>
      <w:r>
        <w:rPr>
          <w:sz w:val="18"/>
          <w:vertAlign w:val="baseline"/>
        </w:rPr>
        <w:t>Sexting,”</w:t>
      </w:r>
      <w:r>
        <w:rPr>
          <w:spacing w:val="-3"/>
          <w:sz w:val="18"/>
          <w:vertAlign w:val="baseline"/>
        </w:rPr>
        <w:t> </w:t>
      </w:r>
      <w:r>
        <w:rPr>
          <w:i/>
          <w:sz w:val="18"/>
          <w:vertAlign w:val="baseline"/>
        </w:rPr>
        <w:t>University</w:t>
      </w:r>
      <w:r>
        <w:rPr>
          <w:i/>
          <w:spacing w:val="-2"/>
          <w:sz w:val="18"/>
          <w:vertAlign w:val="baseline"/>
        </w:rPr>
        <w:t> </w:t>
      </w:r>
      <w:r>
        <w:rPr>
          <w:i/>
          <w:sz w:val="18"/>
          <w:vertAlign w:val="baseline"/>
        </w:rPr>
        <w:t>of</w:t>
      </w:r>
      <w:r>
        <w:rPr>
          <w:i/>
          <w:spacing w:val="-2"/>
          <w:sz w:val="18"/>
          <w:vertAlign w:val="baseline"/>
        </w:rPr>
        <w:t> </w:t>
      </w:r>
      <w:r>
        <w:rPr>
          <w:i/>
          <w:sz w:val="18"/>
          <w:vertAlign w:val="baseline"/>
        </w:rPr>
        <w:t>Michigan</w:t>
      </w:r>
      <w:r>
        <w:rPr>
          <w:i/>
          <w:sz w:val="18"/>
          <w:vertAlign w:val="baseline"/>
        </w:rPr>
        <w:t> Journal of Law Reform</w:t>
      </w:r>
      <w:r>
        <w:rPr>
          <w:sz w:val="18"/>
          <w:vertAlign w:val="baseline"/>
        </w:rPr>
        <w:t>, no. 46.2 (2013): 703, https://doi.org/10.36646/mjlr.46.2.victimless.</w:t>
      </w:r>
    </w:p>
    <w:p>
      <w:pPr>
        <w:spacing w:line="232" w:lineRule="exact" w:before="0"/>
        <w:ind w:left="463" w:right="0" w:firstLine="0"/>
        <w:jc w:val="left"/>
        <w:rPr>
          <w:sz w:val="18"/>
          <w:szCs w:val="18"/>
        </w:rPr>
      </w:pPr>
      <w:r>
        <w:rPr>
          <w:spacing w:val="-6"/>
          <w:w w:val="120"/>
          <w:sz w:val="18"/>
          <w:szCs w:val="18"/>
          <w:vertAlign w:val="superscript"/>
        </w:rPr>
        <w:t>144</w:t>
      </w:r>
      <w:r>
        <w:rPr>
          <w:spacing w:val="-21"/>
          <w:w w:val="120"/>
          <w:sz w:val="18"/>
          <w:szCs w:val="18"/>
          <w:vertAlign w:val="baseline"/>
        </w:rPr>
        <w:t> </w:t>
      </w:r>
      <w:r>
        <w:rPr>
          <w:spacing w:val="-6"/>
          <w:w w:val="120"/>
          <w:sz w:val="18"/>
          <w:szCs w:val="18"/>
          <w:vertAlign w:val="baseline"/>
        </w:rPr>
        <w:t>Blaire</w:t>
      </w:r>
      <w:r>
        <w:rPr>
          <w:spacing w:val="-8"/>
          <w:w w:val="120"/>
          <w:sz w:val="18"/>
          <w:szCs w:val="18"/>
          <w:vertAlign w:val="baseline"/>
        </w:rPr>
        <w:t> </w:t>
      </w:r>
      <w:r>
        <w:rPr>
          <w:spacing w:val="-6"/>
          <w:w w:val="120"/>
          <w:sz w:val="18"/>
          <w:szCs w:val="18"/>
          <w:vertAlign w:val="baseline"/>
        </w:rPr>
        <w:t>Bayliss,</w:t>
      </w:r>
      <w:r>
        <w:rPr>
          <w:spacing w:val="-9"/>
          <w:w w:val="120"/>
          <w:sz w:val="18"/>
          <w:szCs w:val="18"/>
          <w:vertAlign w:val="baseline"/>
        </w:rPr>
        <w:t> </w:t>
      </w:r>
      <w:r>
        <w:rPr>
          <w:spacing w:val="-6"/>
          <w:w w:val="120"/>
          <w:sz w:val="18"/>
          <w:szCs w:val="18"/>
          <w:vertAlign w:val="baseline"/>
        </w:rPr>
        <w:t>“The</w:t>
      </w:r>
      <w:r>
        <w:rPr>
          <w:spacing w:val="-8"/>
          <w:w w:val="120"/>
          <w:sz w:val="18"/>
          <w:szCs w:val="18"/>
          <w:vertAlign w:val="baseline"/>
        </w:rPr>
        <w:t> </w:t>
      </w:r>
      <w:r>
        <w:rPr>
          <w:spacing w:val="-6"/>
          <w:w w:val="120"/>
          <w:sz w:val="18"/>
          <w:szCs w:val="18"/>
          <w:vertAlign w:val="baseline"/>
        </w:rPr>
        <w:t>Kids</w:t>
      </w:r>
      <w:r>
        <w:rPr>
          <w:spacing w:val="-8"/>
          <w:w w:val="120"/>
          <w:sz w:val="18"/>
          <w:szCs w:val="18"/>
          <w:vertAlign w:val="baseline"/>
        </w:rPr>
        <w:t> </w:t>
      </w:r>
      <w:r>
        <w:rPr>
          <w:spacing w:val="-6"/>
          <w:w w:val="120"/>
          <w:sz w:val="18"/>
          <w:szCs w:val="18"/>
          <w:vertAlign w:val="baseline"/>
        </w:rPr>
        <w:t>Are</w:t>
      </w:r>
      <w:r>
        <w:rPr>
          <w:spacing w:val="-9"/>
          <w:w w:val="120"/>
          <w:sz w:val="18"/>
          <w:szCs w:val="18"/>
          <w:vertAlign w:val="baseline"/>
        </w:rPr>
        <w:t> </w:t>
      </w:r>
      <w:r>
        <w:rPr>
          <w:spacing w:val="-6"/>
          <w:w w:val="120"/>
          <w:sz w:val="18"/>
          <w:szCs w:val="18"/>
          <w:vertAlign w:val="baseline"/>
        </w:rPr>
        <w:t>Alright</w:t>
      </w:r>
      <w:r>
        <w:rPr>
          <w:spacing w:val="-9"/>
          <w:w w:val="120"/>
          <w:sz w:val="18"/>
          <w:szCs w:val="18"/>
          <w:vertAlign w:val="baseline"/>
        </w:rPr>
        <w:t> </w:t>
      </w:r>
      <w:r>
        <w:rPr>
          <w:rFonts w:ascii="Segoe UI Emoji" w:hAnsi="Segoe UI Emoji" w:cs="Segoe UI Emoji" w:eastAsia="Segoe UI Emoji"/>
          <w:color w:val="3E5FFF"/>
          <w:spacing w:val="-6"/>
          <w:w w:val="170"/>
          <w:sz w:val="18"/>
          <w:szCs w:val="18"/>
          <w:vertAlign w:val="baseline"/>
        </w:rPr>
        <w:t>����</w:t>
      </w:r>
      <w:r>
        <w:rPr>
          <w:rFonts w:ascii="Segoe UI Emoji" w:hAnsi="Segoe UI Emoji" w:cs="Segoe UI Emoji" w:eastAsia="Segoe UI Emoji"/>
          <w:color w:val="3E5FFF"/>
          <w:spacing w:val="-44"/>
          <w:w w:val="170"/>
          <w:sz w:val="18"/>
          <w:szCs w:val="18"/>
          <w:vertAlign w:val="baseline"/>
        </w:rPr>
        <w:t> </w:t>
      </w:r>
      <w:r>
        <w:rPr>
          <w:rFonts w:ascii="Segoe UI Emoji" w:hAnsi="Segoe UI Emoji" w:cs="Segoe UI Emoji" w:eastAsia="Segoe UI Emoji"/>
          <w:color w:val="BBA3EB"/>
          <w:spacing w:val="-6"/>
          <w:w w:val="170"/>
          <w:sz w:val="18"/>
          <w:szCs w:val="18"/>
          <w:vertAlign w:val="baseline"/>
        </w:rPr>
        <w:t>����</w:t>
      </w:r>
      <w:r>
        <w:rPr>
          <w:rFonts w:ascii="Segoe UI Emoji" w:hAnsi="Segoe UI Emoji" w:cs="Segoe UI Emoji" w:eastAsia="Segoe UI Emoji"/>
          <w:color w:val="BBA3EB"/>
          <w:spacing w:val="-43"/>
          <w:w w:val="170"/>
          <w:sz w:val="18"/>
          <w:szCs w:val="18"/>
          <w:vertAlign w:val="baseline"/>
        </w:rPr>
        <w:t> </w:t>
      </w:r>
      <w:r>
        <w:rPr>
          <w:rFonts w:ascii="Segoe UI Emoji" w:hAnsi="Segoe UI Emoji" w:cs="Segoe UI Emoji" w:eastAsia="Segoe UI Emoji"/>
          <w:color w:val="FF6722"/>
          <w:spacing w:val="-6"/>
          <w:w w:val="170"/>
          <w:sz w:val="18"/>
          <w:szCs w:val="18"/>
          <w:vertAlign w:val="baseline"/>
        </w:rPr>
        <w:t>����</w:t>
      </w:r>
      <w:r>
        <w:rPr>
          <w:spacing w:val="-6"/>
          <w:w w:val="170"/>
          <w:sz w:val="18"/>
          <w:szCs w:val="18"/>
          <w:vertAlign w:val="baseline"/>
        </w:rPr>
        <w:t>:</w:t>
      </w:r>
      <w:r>
        <w:rPr>
          <w:spacing w:val="-29"/>
          <w:w w:val="170"/>
          <w:sz w:val="18"/>
          <w:szCs w:val="18"/>
          <w:vertAlign w:val="baseline"/>
        </w:rPr>
        <w:t> </w:t>
      </w:r>
      <w:r>
        <w:rPr>
          <w:spacing w:val="-6"/>
          <w:w w:val="120"/>
          <w:sz w:val="18"/>
          <w:szCs w:val="18"/>
          <w:vertAlign w:val="baseline"/>
        </w:rPr>
        <w:t>Teen</w:t>
      </w:r>
      <w:r>
        <w:rPr>
          <w:spacing w:val="-8"/>
          <w:w w:val="120"/>
          <w:sz w:val="18"/>
          <w:szCs w:val="18"/>
          <w:vertAlign w:val="baseline"/>
        </w:rPr>
        <w:t> </w:t>
      </w:r>
      <w:r>
        <w:rPr>
          <w:spacing w:val="-6"/>
          <w:w w:val="120"/>
          <w:sz w:val="18"/>
          <w:szCs w:val="18"/>
          <w:vertAlign w:val="baseline"/>
        </w:rPr>
        <w:t>Sexting,</w:t>
      </w:r>
      <w:r>
        <w:rPr>
          <w:spacing w:val="-9"/>
          <w:w w:val="120"/>
          <w:sz w:val="18"/>
          <w:szCs w:val="18"/>
          <w:vertAlign w:val="baseline"/>
        </w:rPr>
        <w:t> </w:t>
      </w:r>
      <w:r>
        <w:rPr>
          <w:spacing w:val="-6"/>
          <w:w w:val="120"/>
          <w:sz w:val="18"/>
          <w:szCs w:val="18"/>
          <w:vertAlign w:val="baseline"/>
        </w:rPr>
        <w:t>Child</w:t>
      </w:r>
      <w:r>
        <w:rPr>
          <w:spacing w:val="-8"/>
          <w:w w:val="120"/>
          <w:sz w:val="18"/>
          <w:szCs w:val="18"/>
          <w:vertAlign w:val="baseline"/>
        </w:rPr>
        <w:t> </w:t>
      </w:r>
      <w:r>
        <w:rPr>
          <w:spacing w:val="-6"/>
          <w:w w:val="120"/>
          <w:sz w:val="18"/>
          <w:szCs w:val="18"/>
          <w:vertAlign w:val="baseline"/>
        </w:rPr>
        <w:t>Pornography </w:t>
      </w:r>
      <w:r>
        <w:rPr>
          <w:spacing w:val="-2"/>
          <w:w w:val="120"/>
          <w:sz w:val="18"/>
          <w:szCs w:val="18"/>
          <w:vertAlign w:val="baseline"/>
        </w:rPr>
        <w:t>Charges,</w:t>
      </w:r>
    </w:p>
    <w:p>
      <w:pPr>
        <w:spacing w:before="30"/>
        <w:ind w:left="463" w:right="0" w:firstLine="0"/>
        <w:jc w:val="left"/>
        <w:rPr>
          <w:sz w:val="18"/>
        </w:rPr>
      </w:pPr>
      <w:r>
        <w:rPr>
          <w:sz w:val="18"/>
        </w:rPr>
        <w:t>and</w:t>
      </w:r>
      <w:r>
        <w:rPr>
          <w:spacing w:val="-5"/>
          <w:sz w:val="18"/>
        </w:rPr>
        <w:t> </w:t>
      </w:r>
      <w:r>
        <w:rPr>
          <w:sz w:val="18"/>
        </w:rPr>
        <w:t>the</w:t>
      </w:r>
      <w:r>
        <w:rPr>
          <w:spacing w:val="-3"/>
          <w:sz w:val="18"/>
        </w:rPr>
        <w:t> </w:t>
      </w:r>
      <w:r>
        <w:rPr>
          <w:sz w:val="18"/>
        </w:rPr>
        <w:t>Criminalization</w:t>
      </w:r>
      <w:r>
        <w:rPr>
          <w:spacing w:val="-3"/>
          <w:sz w:val="18"/>
        </w:rPr>
        <w:t> </w:t>
      </w:r>
      <w:r>
        <w:rPr>
          <w:sz w:val="18"/>
        </w:rPr>
        <w:t>of</w:t>
      </w:r>
      <w:r>
        <w:rPr>
          <w:spacing w:val="-2"/>
          <w:sz w:val="18"/>
        </w:rPr>
        <w:t> </w:t>
      </w:r>
      <w:r>
        <w:rPr>
          <w:sz w:val="18"/>
        </w:rPr>
        <w:t>Adolescent</w:t>
      </w:r>
      <w:r>
        <w:rPr>
          <w:spacing w:val="-4"/>
          <w:sz w:val="18"/>
        </w:rPr>
        <w:t> </w:t>
      </w:r>
      <w:r>
        <w:rPr>
          <w:sz w:val="18"/>
        </w:rPr>
        <w:t>Sexuality,”</w:t>
      </w:r>
      <w:r>
        <w:rPr>
          <w:spacing w:val="-3"/>
          <w:sz w:val="18"/>
        </w:rPr>
        <w:t> </w:t>
      </w:r>
      <w:r>
        <w:rPr>
          <w:i/>
          <w:sz w:val="18"/>
        </w:rPr>
        <w:t>University</w:t>
      </w:r>
      <w:r>
        <w:rPr>
          <w:i/>
          <w:spacing w:val="-2"/>
          <w:sz w:val="18"/>
        </w:rPr>
        <w:t> </w:t>
      </w:r>
      <w:r>
        <w:rPr>
          <w:i/>
          <w:sz w:val="18"/>
        </w:rPr>
        <w:t>of</w:t>
      </w:r>
      <w:r>
        <w:rPr>
          <w:i/>
          <w:spacing w:val="-3"/>
          <w:sz w:val="18"/>
        </w:rPr>
        <w:t> </w:t>
      </w:r>
      <w:r>
        <w:rPr>
          <w:i/>
          <w:sz w:val="18"/>
        </w:rPr>
        <w:t>Colorado</w:t>
      </w:r>
      <w:r>
        <w:rPr>
          <w:i/>
          <w:spacing w:val="-3"/>
          <w:sz w:val="18"/>
        </w:rPr>
        <w:t> </w:t>
      </w:r>
      <w:r>
        <w:rPr>
          <w:i/>
          <w:sz w:val="18"/>
        </w:rPr>
        <w:t>Law</w:t>
      </w:r>
      <w:r>
        <w:rPr>
          <w:i/>
          <w:spacing w:val="-3"/>
          <w:sz w:val="18"/>
        </w:rPr>
        <w:t> </w:t>
      </w:r>
      <w:r>
        <w:rPr>
          <w:i/>
          <w:sz w:val="18"/>
        </w:rPr>
        <w:t>Review</w:t>
      </w:r>
      <w:r>
        <w:rPr>
          <w:i/>
          <w:spacing w:val="-4"/>
          <w:sz w:val="18"/>
        </w:rPr>
        <w:t> </w:t>
      </w:r>
      <w:r>
        <w:rPr>
          <w:sz w:val="18"/>
        </w:rPr>
        <w:t>91</w:t>
      </w:r>
      <w:r>
        <w:rPr>
          <w:spacing w:val="-3"/>
          <w:sz w:val="18"/>
        </w:rPr>
        <w:t> </w:t>
      </w:r>
      <w:r>
        <w:rPr>
          <w:sz w:val="18"/>
        </w:rPr>
        <w:t>(2020):</w:t>
      </w:r>
      <w:r>
        <w:rPr>
          <w:spacing w:val="-2"/>
          <w:sz w:val="18"/>
        </w:rPr>
        <w:t> 251–82.</w:t>
      </w:r>
    </w:p>
    <w:p>
      <w:pPr>
        <w:spacing w:line="268" w:lineRule="auto" w:before="41"/>
        <w:ind w:left="463" w:right="311" w:firstLine="0"/>
        <w:jc w:val="left"/>
        <w:rPr>
          <w:sz w:val="18"/>
        </w:rPr>
      </w:pPr>
      <w:r>
        <w:rPr>
          <w:sz w:val="18"/>
          <w:vertAlign w:val="superscript"/>
        </w:rPr>
        <w:t>145</w:t>
      </w:r>
      <w:r>
        <w:rPr>
          <w:spacing w:val="-12"/>
          <w:sz w:val="18"/>
          <w:vertAlign w:val="baseline"/>
        </w:rPr>
        <w:t> </w:t>
      </w:r>
      <w:r>
        <w:rPr>
          <w:sz w:val="18"/>
          <w:vertAlign w:val="baseline"/>
        </w:rPr>
        <w:t>Wendy</w:t>
      </w:r>
      <w:r>
        <w:rPr>
          <w:spacing w:val="-2"/>
          <w:sz w:val="18"/>
          <w:vertAlign w:val="baseline"/>
        </w:rPr>
        <w:t> </w:t>
      </w:r>
      <w:r>
        <w:rPr>
          <w:sz w:val="18"/>
          <w:vertAlign w:val="baseline"/>
        </w:rPr>
        <w:t>L.</w:t>
      </w:r>
      <w:r>
        <w:rPr>
          <w:spacing w:val="-1"/>
          <w:sz w:val="18"/>
          <w:vertAlign w:val="baseline"/>
        </w:rPr>
        <w:t> </w:t>
      </w:r>
      <w:r>
        <w:rPr>
          <w:sz w:val="18"/>
          <w:vertAlign w:val="baseline"/>
        </w:rPr>
        <w:t>Macias-Konstantopoulos</w:t>
      </w:r>
      <w:r>
        <w:rPr>
          <w:spacing w:val="-1"/>
          <w:sz w:val="18"/>
          <w:vertAlign w:val="baseline"/>
        </w:rPr>
        <w:t> </w:t>
      </w:r>
      <w:r>
        <w:rPr>
          <w:sz w:val="18"/>
          <w:vertAlign w:val="baseline"/>
        </w:rPr>
        <w:t>et</w:t>
      </w:r>
      <w:r>
        <w:rPr>
          <w:spacing w:val="-2"/>
          <w:sz w:val="18"/>
          <w:vertAlign w:val="baseline"/>
        </w:rPr>
        <w:t> </w:t>
      </w:r>
      <w:r>
        <w:rPr>
          <w:sz w:val="18"/>
          <w:vertAlign w:val="baseline"/>
        </w:rPr>
        <w:t>al.,</w:t>
      </w:r>
      <w:r>
        <w:rPr>
          <w:spacing w:val="-2"/>
          <w:sz w:val="18"/>
          <w:vertAlign w:val="baseline"/>
        </w:rPr>
        <w:t> </w:t>
      </w:r>
      <w:r>
        <w:rPr>
          <w:sz w:val="18"/>
          <w:vertAlign w:val="baseline"/>
        </w:rPr>
        <w:t>“The</w:t>
      </w:r>
      <w:r>
        <w:rPr>
          <w:spacing w:val="-1"/>
          <w:sz w:val="18"/>
          <w:vertAlign w:val="baseline"/>
        </w:rPr>
        <w:t> </w:t>
      </w:r>
      <w:r>
        <w:rPr>
          <w:sz w:val="18"/>
          <w:vertAlign w:val="baseline"/>
        </w:rPr>
        <w:t>Commercial</w:t>
      </w:r>
      <w:r>
        <w:rPr>
          <w:spacing w:val="-2"/>
          <w:sz w:val="18"/>
          <w:vertAlign w:val="baseline"/>
        </w:rPr>
        <w:t> </w:t>
      </w:r>
      <w:r>
        <w:rPr>
          <w:sz w:val="18"/>
          <w:vertAlign w:val="baseline"/>
        </w:rPr>
        <w:t>Sexual</w:t>
      </w:r>
      <w:r>
        <w:rPr>
          <w:spacing w:val="-2"/>
          <w:sz w:val="18"/>
          <w:vertAlign w:val="baseline"/>
        </w:rPr>
        <w:t> </w:t>
      </w:r>
      <w:r>
        <w:rPr>
          <w:sz w:val="18"/>
          <w:vertAlign w:val="baseline"/>
        </w:rPr>
        <w:t>Exploitation and</w:t>
      </w:r>
      <w:r>
        <w:rPr>
          <w:spacing w:val="-1"/>
          <w:sz w:val="18"/>
          <w:vertAlign w:val="baseline"/>
        </w:rPr>
        <w:t> </w:t>
      </w:r>
      <w:r>
        <w:rPr>
          <w:sz w:val="18"/>
          <w:vertAlign w:val="baseline"/>
        </w:rPr>
        <w:t>Sex</w:t>
      </w:r>
      <w:r>
        <w:rPr>
          <w:spacing w:val="-1"/>
          <w:sz w:val="18"/>
          <w:vertAlign w:val="baseline"/>
        </w:rPr>
        <w:t> </w:t>
      </w:r>
      <w:r>
        <w:rPr>
          <w:sz w:val="18"/>
          <w:vertAlign w:val="baseline"/>
        </w:rPr>
        <w:t>Trafficking</w:t>
      </w:r>
      <w:r>
        <w:rPr>
          <w:spacing w:val="-1"/>
          <w:sz w:val="18"/>
          <w:vertAlign w:val="baseline"/>
        </w:rPr>
        <w:t> </w:t>
      </w:r>
      <w:r>
        <w:rPr>
          <w:sz w:val="18"/>
          <w:vertAlign w:val="baseline"/>
        </w:rPr>
        <w:t>of</w:t>
      </w:r>
      <w:r>
        <w:rPr>
          <w:spacing w:val="-1"/>
          <w:sz w:val="18"/>
          <w:vertAlign w:val="baseline"/>
        </w:rPr>
        <w:t> </w:t>
      </w:r>
      <w:r>
        <w:rPr>
          <w:sz w:val="18"/>
          <w:vertAlign w:val="baseline"/>
        </w:rPr>
        <w:t>Minors</w:t>
      </w:r>
      <w:r>
        <w:rPr>
          <w:spacing w:val="-1"/>
          <w:sz w:val="18"/>
          <w:vertAlign w:val="baseline"/>
        </w:rPr>
        <w:t> </w:t>
      </w:r>
      <w:r>
        <w:rPr>
          <w:sz w:val="18"/>
          <w:vertAlign w:val="baseline"/>
        </w:rPr>
        <w:t>in</w:t>
      </w:r>
      <w:r>
        <w:rPr>
          <w:spacing w:val="-1"/>
          <w:sz w:val="18"/>
          <w:vertAlign w:val="baseline"/>
        </w:rPr>
        <w:t> </w:t>
      </w:r>
      <w:r>
        <w:rPr>
          <w:sz w:val="18"/>
          <w:vertAlign w:val="baseline"/>
        </w:rPr>
        <w:t>the</w:t>
      </w:r>
      <w:r>
        <w:rPr>
          <w:spacing w:val="-1"/>
          <w:sz w:val="18"/>
          <w:vertAlign w:val="baseline"/>
        </w:rPr>
        <w:t> </w:t>
      </w:r>
      <w:r>
        <w:rPr>
          <w:sz w:val="18"/>
          <w:vertAlign w:val="baseline"/>
        </w:rPr>
        <w:t>Boston Metropolitan Area: Experiences and Challenges Faced by Front-Line Providers and Other Stakeholders,” </w:t>
      </w:r>
      <w:r>
        <w:rPr>
          <w:i/>
          <w:sz w:val="18"/>
          <w:vertAlign w:val="baseline"/>
        </w:rPr>
        <w:t>Journal of Applied</w:t>
      </w:r>
      <w:r>
        <w:rPr>
          <w:i/>
          <w:sz w:val="18"/>
          <w:vertAlign w:val="baseline"/>
        </w:rPr>
        <w:t> Research on Children </w:t>
      </w:r>
      <w:r>
        <w:rPr>
          <w:sz w:val="18"/>
          <w:vertAlign w:val="baseline"/>
        </w:rPr>
        <w:t>6, no. 1 (2015), https://eric.ed.gov/?id=EJ1188522.</w:t>
      </w:r>
    </w:p>
    <w:p>
      <w:pPr>
        <w:spacing w:line="216" w:lineRule="exact" w:before="0"/>
        <w:ind w:left="463" w:right="0" w:firstLine="0"/>
        <w:jc w:val="left"/>
        <w:rPr>
          <w:sz w:val="18"/>
        </w:rPr>
      </w:pPr>
      <w:r>
        <w:rPr>
          <w:sz w:val="18"/>
          <w:vertAlign w:val="superscript"/>
        </w:rPr>
        <w:t>146</w:t>
      </w:r>
      <w:r>
        <w:rPr>
          <w:spacing w:val="-12"/>
          <w:sz w:val="18"/>
          <w:vertAlign w:val="baseline"/>
        </w:rPr>
        <w:t> </w:t>
      </w:r>
      <w:r>
        <w:rPr>
          <w:sz w:val="18"/>
          <w:vertAlign w:val="baseline"/>
        </w:rPr>
        <w:t>Macias-Konstantopoulos</w:t>
      </w:r>
      <w:r>
        <w:rPr>
          <w:spacing w:val="1"/>
          <w:sz w:val="18"/>
          <w:vertAlign w:val="baseline"/>
        </w:rPr>
        <w:t> </w:t>
      </w:r>
      <w:r>
        <w:rPr>
          <w:sz w:val="18"/>
          <w:vertAlign w:val="baseline"/>
        </w:rPr>
        <w:t>et </w:t>
      </w:r>
      <w:r>
        <w:rPr>
          <w:spacing w:val="-5"/>
          <w:sz w:val="18"/>
          <w:vertAlign w:val="baseline"/>
        </w:rPr>
        <w:t>al.</w:t>
      </w:r>
    </w:p>
    <w:p>
      <w:pPr>
        <w:spacing w:line="268" w:lineRule="auto" w:before="20"/>
        <w:ind w:left="463" w:right="311" w:firstLine="0"/>
        <w:jc w:val="left"/>
        <w:rPr>
          <w:sz w:val="18"/>
        </w:rPr>
      </w:pPr>
      <w:r>
        <w:rPr>
          <w:sz w:val="18"/>
          <w:vertAlign w:val="superscript"/>
        </w:rPr>
        <w:t>147</w:t>
      </w:r>
      <w:r>
        <w:rPr>
          <w:spacing w:val="-12"/>
          <w:sz w:val="18"/>
          <w:vertAlign w:val="baseline"/>
        </w:rPr>
        <w:t> </w:t>
      </w:r>
      <w:r>
        <w:rPr>
          <w:sz w:val="18"/>
          <w:vertAlign w:val="baseline"/>
        </w:rPr>
        <w:t>Charles</w:t>
      </w:r>
      <w:r>
        <w:rPr>
          <w:spacing w:val="-2"/>
          <w:sz w:val="18"/>
          <w:vertAlign w:val="baseline"/>
        </w:rPr>
        <w:t> </w:t>
      </w:r>
      <w:r>
        <w:rPr>
          <w:sz w:val="18"/>
          <w:vertAlign w:val="baseline"/>
        </w:rPr>
        <w:t>Hounmenou</w:t>
      </w:r>
      <w:r>
        <w:rPr>
          <w:spacing w:val="-1"/>
          <w:sz w:val="18"/>
          <w:vertAlign w:val="baseline"/>
        </w:rPr>
        <w:t> </w:t>
      </w:r>
      <w:r>
        <w:rPr>
          <w:sz w:val="18"/>
          <w:vertAlign w:val="baseline"/>
        </w:rPr>
        <w:t>and</w:t>
      </w:r>
      <w:r>
        <w:rPr>
          <w:spacing w:val="-2"/>
          <w:sz w:val="18"/>
          <w:vertAlign w:val="baseline"/>
        </w:rPr>
        <w:t> </w:t>
      </w:r>
      <w:r>
        <w:rPr>
          <w:sz w:val="18"/>
          <w:vertAlign w:val="baseline"/>
        </w:rPr>
        <w:t>Caitlin</w:t>
      </w:r>
      <w:r>
        <w:rPr>
          <w:spacing w:val="-1"/>
          <w:sz w:val="18"/>
          <w:vertAlign w:val="baseline"/>
        </w:rPr>
        <w:t> </w:t>
      </w:r>
      <w:r>
        <w:rPr>
          <w:sz w:val="18"/>
          <w:vertAlign w:val="baseline"/>
        </w:rPr>
        <w:t>O’Grady,</w:t>
      </w:r>
      <w:r>
        <w:rPr>
          <w:spacing w:val="-2"/>
          <w:sz w:val="18"/>
          <w:vertAlign w:val="baseline"/>
        </w:rPr>
        <w:t> </w:t>
      </w:r>
      <w:r>
        <w:rPr>
          <w:sz w:val="18"/>
          <w:vertAlign w:val="baseline"/>
        </w:rPr>
        <w:t>“A</w:t>
      </w:r>
      <w:r>
        <w:rPr>
          <w:spacing w:val="-1"/>
          <w:sz w:val="18"/>
          <w:vertAlign w:val="baseline"/>
        </w:rPr>
        <w:t> </w:t>
      </w:r>
      <w:r>
        <w:rPr>
          <w:sz w:val="18"/>
          <w:vertAlign w:val="baseline"/>
        </w:rPr>
        <w:t>Review</w:t>
      </w:r>
      <w:r>
        <w:rPr>
          <w:spacing w:val="-2"/>
          <w:sz w:val="18"/>
          <w:vertAlign w:val="baseline"/>
        </w:rPr>
        <w:t> </w:t>
      </w:r>
      <w:r>
        <w:rPr>
          <w:sz w:val="18"/>
          <w:vertAlign w:val="baseline"/>
        </w:rPr>
        <w:t>and</w:t>
      </w:r>
      <w:r>
        <w:rPr>
          <w:spacing w:val="-1"/>
          <w:sz w:val="18"/>
          <w:vertAlign w:val="baseline"/>
        </w:rPr>
        <w:t> </w:t>
      </w:r>
      <w:r>
        <w:rPr>
          <w:sz w:val="18"/>
          <w:vertAlign w:val="baseline"/>
        </w:rPr>
        <w:t>Critique</w:t>
      </w:r>
      <w:r>
        <w:rPr>
          <w:spacing w:val="-1"/>
          <w:sz w:val="18"/>
          <w:vertAlign w:val="baseline"/>
        </w:rPr>
        <w:t> </w:t>
      </w:r>
      <w:r>
        <w:rPr>
          <w:sz w:val="18"/>
          <w:vertAlign w:val="baseline"/>
        </w:rPr>
        <w:t>of</w:t>
      </w:r>
      <w:r>
        <w:rPr>
          <w:spacing w:val="-1"/>
          <w:sz w:val="18"/>
          <w:vertAlign w:val="baseline"/>
        </w:rPr>
        <w:t> </w:t>
      </w:r>
      <w:r>
        <w:rPr>
          <w:sz w:val="18"/>
          <w:vertAlign w:val="baseline"/>
        </w:rPr>
        <w:t>the</w:t>
      </w:r>
      <w:r>
        <w:rPr>
          <w:spacing w:val="-1"/>
          <w:sz w:val="18"/>
          <w:vertAlign w:val="baseline"/>
        </w:rPr>
        <w:t> </w:t>
      </w:r>
      <w:r>
        <w:rPr>
          <w:sz w:val="18"/>
          <w:vertAlign w:val="baseline"/>
        </w:rPr>
        <w:t>U.S.</w:t>
      </w:r>
      <w:r>
        <w:rPr>
          <w:spacing w:val="-1"/>
          <w:sz w:val="18"/>
          <w:vertAlign w:val="baseline"/>
        </w:rPr>
        <w:t> </w:t>
      </w:r>
      <w:r>
        <w:rPr>
          <w:sz w:val="18"/>
          <w:vertAlign w:val="baseline"/>
        </w:rPr>
        <w:t>Responses</w:t>
      </w:r>
      <w:r>
        <w:rPr>
          <w:spacing w:val="-1"/>
          <w:sz w:val="18"/>
          <w:vertAlign w:val="baseline"/>
        </w:rPr>
        <w:t> </w:t>
      </w:r>
      <w:r>
        <w:rPr>
          <w:sz w:val="18"/>
          <w:vertAlign w:val="baseline"/>
        </w:rPr>
        <w:t>to</w:t>
      </w:r>
      <w:r>
        <w:rPr>
          <w:spacing w:val="-1"/>
          <w:sz w:val="18"/>
          <w:vertAlign w:val="baseline"/>
        </w:rPr>
        <w:t> </w:t>
      </w:r>
      <w:r>
        <w:rPr>
          <w:sz w:val="18"/>
          <w:vertAlign w:val="baseline"/>
        </w:rPr>
        <w:t>the</w:t>
      </w:r>
      <w:r>
        <w:rPr>
          <w:spacing w:val="-1"/>
          <w:sz w:val="18"/>
          <w:vertAlign w:val="baseline"/>
        </w:rPr>
        <w:t> </w:t>
      </w:r>
      <w:r>
        <w:rPr>
          <w:sz w:val="18"/>
          <w:vertAlign w:val="baseline"/>
        </w:rPr>
        <w:t>Commercial</w:t>
      </w:r>
      <w:r>
        <w:rPr>
          <w:spacing w:val="-2"/>
          <w:sz w:val="18"/>
          <w:vertAlign w:val="baseline"/>
        </w:rPr>
        <w:t> </w:t>
      </w:r>
      <w:r>
        <w:rPr>
          <w:sz w:val="18"/>
          <w:vertAlign w:val="baseline"/>
        </w:rPr>
        <w:t>Sexual Exploitation of Children,” </w:t>
      </w:r>
      <w:r>
        <w:rPr>
          <w:i/>
          <w:sz w:val="18"/>
          <w:vertAlign w:val="baseline"/>
        </w:rPr>
        <w:t>Children and Youth Services Review </w:t>
      </w:r>
      <w:r>
        <w:rPr>
          <w:sz w:val="18"/>
          <w:vertAlign w:val="baseline"/>
        </w:rPr>
        <w:t>98 (March 1, 2019): 188–98, </w:t>
      </w:r>
      <w:r>
        <w:rPr>
          <w:spacing w:val="-2"/>
          <w:sz w:val="18"/>
          <w:vertAlign w:val="baseline"/>
        </w:rPr>
        <w:t>https://doi.org/10.1016/j.childyouth.2019.01.005.</w:t>
      </w:r>
    </w:p>
    <w:p>
      <w:pPr>
        <w:spacing w:line="216" w:lineRule="exact" w:before="0"/>
        <w:ind w:left="463" w:right="0" w:firstLine="0"/>
        <w:jc w:val="left"/>
        <w:rPr>
          <w:sz w:val="18"/>
        </w:rPr>
      </w:pPr>
      <w:r>
        <w:rPr>
          <w:sz w:val="18"/>
          <w:vertAlign w:val="superscript"/>
        </w:rPr>
        <w:t>148</w:t>
      </w:r>
      <w:r>
        <w:rPr>
          <w:spacing w:val="-12"/>
          <w:sz w:val="18"/>
          <w:vertAlign w:val="baseline"/>
        </w:rPr>
        <w:t> </w:t>
      </w:r>
      <w:r>
        <w:rPr>
          <w:sz w:val="18"/>
          <w:vertAlign w:val="baseline"/>
        </w:rPr>
        <w:t>Abrams</w:t>
      </w:r>
      <w:r>
        <w:rPr>
          <w:spacing w:val="-2"/>
          <w:sz w:val="18"/>
          <w:vertAlign w:val="baseline"/>
        </w:rPr>
        <w:t> </w:t>
      </w:r>
      <w:r>
        <w:rPr>
          <w:sz w:val="18"/>
          <w:vertAlign w:val="baseline"/>
        </w:rPr>
        <w:t>et</w:t>
      </w:r>
      <w:r>
        <w:rPr>
          <w:spacing w:val="-2"/>
          <w:sz w:val="18"/>
          <w:vertAlign w:val="baseline"/>
        </w:rPr>
        <w:t> </w:t>
      </w:r>
      <w:r>
        <w:rPr>
          <w:sz w:val="18"/>
          <w:vertAlign w:val="baseline"/>
        </w:rPr>
        <w:t>al.,</w:t>
      </w:r>
      <w:r>
        <w:rPr>
          <w:spacing w:val="-3"/>
          <w:sz w:val="18"/>
          <w:vertAlign w:val="baseline"/>
        </w:rPr>
        <w:t> </w:t>
      </w:r>
      <w:r>
        <w:rPr>
          <w:sz w:val="18"/>
          <w:vertAlign w:val="baseline"/>
        </w:rPr>
        <w:t>“Collaborative</w:t>
      </w:r>
      <w:r>
        <w:rPr>
          <w:spacing w:val="-1"/>
          <w:sz w:val="18"/>
          <w:vertAlign w:val="baseline"/>
        </w:rPr>
        <w:t> </w:t>
      </w:r>
      <w:r>
        <w:rPr>
          <w:sz w:val="18"/>
          <w:vertAlign w:val="baseline"/>
        </w:rPr>
        <w:t>Responses</w:t>
      </w:r>
      <w:r>
        <w:rPr>
          <w:spacing w:val="-1"/>
          <w:sz w:val="18"/>
          <w:vertAlign w:val="baseline"/>
        </w:rPr>
        <w:t> </w:t>
      </w:r>
      <w:r>
        <w:rPr>
          <w:sz w:val="18"/>
          <w:vertAlign w:val="baseline"/>
        </w:rPr>
        <w:t>to</w:t>
      </w:r>
      <w:r>
        <w:rPr>
          <w:spacing w:val="-1"/>
          <w:sz w:val="18"/>
          <w:vertAlign w:val="baseline"/>
        </w:rPr>
        <w:t> </w:t>
      </w:r>
      <w:r>
        <w:rPr>
          <w:sz w:val="18"/>
          <w:vertAlign w:val="baseline"/>
        </w:rPr>
        <w:t>Commercial</w:t>
      </w:r>
      <w:r>
        <w:rPr>
          <w:spacing w:val="-2"/>
          <w:sz w:val="18"/>
          <w:vertAlign w:val="baseline"/>
        </w:rPr>
        <w:t> </w:t>
      </w:r>
      <w:r>
        <w:rPr>
          <w:sz w:val="18"/>
          <w:vertAlign w:val="baseline"/>
        </w:rPr>
        <w:t>Sexual</w:t>
      </w:r>
      <w:r>
        <w:rPr>
          <w:spacing w:val="-2"/>
          <w:sz w:val="18"/>
          <w:vertAlign w:val="baseline"/>
        </w:rPr>
        <w:t> </w:t>
      </w:r>
      <w:r>
        <w:rPr>
          <w:sz w:val="18"/>
          <w:vertAlign w:val="baseline"/>
        </w:rPr>
        <w:t>Exploitation</w:t>
      </w:r>
      <w:r>
        <w:rPr>
          <w:spacing w:val="-1"/>
          <w:sz w:val="18"/>
          <w:vertAlign w:val="baseline"/>
        </w:rPr>
        <w:t> </w:t>
      </w:r>
      <w:r>
        <w:rPr>
          <w:sz w:val="18"/>
          <w:vertAlign w:val="baseline"/>
        </w:rPr>
        <w:t>as</w:t>
      </w:r>
      <w:r>
        <w:rPr>
          <w:spacing w:val="-1"/>
          <w:sz w:val="18"/>
          <w:vertAlign w:val="baseline"/>
        </w:rPr>
        <w:t> </w:t>
      </w:r>
      <w:r>
        <w:rPr>
          <w:sz w:val="18"/>
          <w:vertAlign w:val="baseline"/>
        </w:rPr>
        <w:t>a</w:t>
      </w:r>
      <w:r>
        <w:rPr>
          <w:spacing w:val="-1"/>
          <w:sz w:val="18"/>
          <w:vertAlign w:val="baseline"/>
        </w:rPr>
        <w:t> </w:t>
      </w:r>
      <w:r>
        <w:rPr>
          <w:sz w:val="18"/>
          <w:vertAlign w:val="baseline"/>
        </w:rPr>
        <w:t>Model</w:t>
      </w:r>
      <w:r>
        <w:rPr>
          <w:spacing w:val="-3"/>
          <w:sz w:val="18"/>
          <w:vertAlign w:val="baseline"/>
        </w:rPr>
        <w:t> </w:t>
      </w:r>
      <w:r>
        <w:rPr>
          <w:sz w:val="18"/>
          <w:vertAlign w:val="baseline"/>
        </w:rPr>
        <w:t>of</w:t>
      </w:r>
      <w:r>
        <w:rPr>
          <w:spacing w:val="-1"/>
          <w:sz w:val="18"/>
          <w:vertAlign w:val="baseline"/>
        </w:rPr>
        <w:t> </w:t>
      </w:r>
      <w:r>
        <w:rPr>
          <w:sz w:val="18"/>
          <w:vertAlign w:val="baseline"/>
        </w:rPr>
        <w:t>Smart</w:t>
      </w:r>
      <w:r>
        <w:rPr>
          <w:spacing w:val="-2"/>
          <w:sz w:val="18"/>
          <w:vertAlign w:val="baseline"/>
        </w:rPr>
        <w:t> Decarceration.”</w:t>
      </w:r>
    </w:p>
    <w:p>
      <w:pPr>
        <w:spacing w:line="273" w:lineRule="auto" w:before="21"/>
        <w:ind w:left="463" w:right="0" w:firstLine="0"/>
        <w:jc w:val="left"/>
        <w:rPr>
          <w:sz w:val="18"/>
        </w:rPr>
      </w:pPr>
      <w:r>
        <w:rPr>
          <w:sz w:val="18"/>
          <w:vertAlign w:val="superscript"/>
        </w:rPr>
        <w:t>149</w:t>
      </w:r>
      <w:r>
        <w:rPr>
          <w:spacing w:val="-12"/>
          <w:sz w:val="18"/>
          <w:vertAlign w:val="baseline"/>
        </w:rPr>
        <w:t> </w:t>
      </w:r>
      <w:r>
        <w:rPr>
          <w:sz w:val="18"/>
          <w:vertAlign w:val="baseline"/>
        </w:rPr>
        <w:t>Dora</w:t>
      </w:r>
      <w:r>
        <w:rPr>
          <w:spacing w:val="-2"/>
          <w:sz w:val="18"/>
          <w:vertAlign w:val="baseline"/>
        </w:rPr>
        <w:t> </w:t>
      </w:r>
      <w:r>
        <w:rPr>
          <w:sz w:val="18"/>
          <w:vertAlign w:val="baseline"/>
        </w:rPr>
        <w:t>Ducak</w:t>
      </w:r>
      <w:r>
        <w:rPr>
          <w:spacing w:val="-2"/>
          <w:sz w:val="18"/>
          <w:vertAlign w:val="baseline"/>
        </w:rPr>
        <w:t> </w:t>
      </w:r>
      <w:r>
        <w:rPr>
          <w:sz w:val="18"/>
          <w:vertAlign w:val="baseline"/>
        </w:rPr>
        <w:t>et</w:t>
      </w:r>
      <w:r>
        <w:rPr>
          <w:spacing w:val="-2"/>
          <w:sz w:val="18"/>
          <w:vertAlign w:val="baseline"/>
        </w:rPr>
        <w:t> </w:t>
      </w:r>
      <w:r>
        <w:rPr>
          <w:sz w:val="18"/>
          <w:vertAlign w:val="baseline"/>
        </w:rPr>
        <w:t>al.,</w:t>
      </w:r>
      <w:r>
        <w:rPr>
          <w:spacing w:val="-2"/>
          <w:sz w:val="18"/>
          <w:vertAlign w:val="baseline"/>
        </w:rPr>
        <w:t> </w:t>
      </w:r>
      <w:r>
        <w:rPr>
          <w:sz w:val="18"/>
          <w:vertAlign w:val="baseline"/>
        </w:rPr>
        <w:t>“Perspectives</w:t>
      </w:r>
      <w:r>
        <w:rPr>
          <w:spacing w:val="-1"/>
          <w:sz w:val="18"/>
          <w:vertAlign w:val="baseline"/>
        </w:rPr>
        <w:t> </w:t>
      </w:r>
      <w:r>
        <w:rPr>
          <w:sz w:val="18"/>
          <w:vertAlign w:val="baseline"/>
        </w:rPr>
        <w:t>of</w:t>
      </w:r>
      <w:r>
        <w:rPr>
          <w:spacing w:val="-1"/>
          <w:sz w:val="18"/>
          <w:vertAlign w:val="baseline"/>
        </w:rPr>
        <w:t> </w:t>
      </w:r>
      <w:r>
        <w:rPr>
          <w:sz w:val="18"/>
          <w:vertAlign w:val="baseline"/>
        </w:rPr>
        <w:t>Stakeholders</w:t>
      </w:r>
      <w:r>
        <w:rPr>
          <w:spacing w:val="-1"/>
          <w:sz w:val="18"/>
          <w:vertAlign w:val="baseline"/>
        </w:rPr>
        <w:t> </w:t>
      </w:r>
      <w:r>
        <w:rPr>
          <w:sz w:val="18"/>
          <w:vertAlign w:val="baseline"/>
        </w:rPr>
        <w:t>Working</w:t>
      </w:r>
      <w:r>
        <w:rPr>
          <w:spacing w:val="-1"/>
          <w:sz w:val="18"/>
          <w:vertAlign w:val="baseline"/>
        </w:rPr>
        <w:t> </w:t>
      </w:r>
      <w:r>
        <w:rPr>
          <w:sz w:val="18"/>
          <w:vertAlign w:val="baseline"/>
        </w:rPr>
        <w:t>to</w:t>
      </w:r>
      <w:r>
        <w:rPr>
          <w:spacing w:val="-1"/>
          <w:sz w:val="18"/>
          <w:vertAlign w:val="baseline"/>
        </w:rPr>
        <w:t> </w:t>
      </w:r>
      <w:r>
        <w:rPr>
          <w:sz w:val="18"/>
          <w:vertAlign w:val="baseline"/>
        </w:rPr>
        <w:t>End</w:t>
      </w:r>
      <w:r>
        <w:rPr>
          <w:spacing w:val="-1"/>
          <w:sz w:val="18"/>
          <w:vertAlign w:val="baseline"/>
        </w:rPr>
        <w:t> </w:t>
      </w:r>
      <w:r>
        <w:rPr>
          <w:sz w:val="18"/>
          <w:vertAlign w:val="baseline"/>
        </w:rPr>
        <w:t>the</w:t>
      </w:r>
      <w:r>
        <w:rPr>
          <w:spacing w:val="-1"/>
          <w:sz w:val="18"/>
          <w:vertAlign w:val="baseline"/>
        </w:rPr>
        <w:t> </w:t>
      </w:r>
      <w:r>
        <w:rPr>
          <w:sz w:val="18"/>
          <w:vertAlign w:val="baseline"/>
        </w:rPr>
        <w:t>Commercial</w:t>
      </w:r>
      <w:r>
        <w:rPr>
          <w:spacing w:val="-2"/>
          <w:sz w:val="18"/>
          <w:vertAlign w:val="baseline"/>
        </w:rPr>
        <w:t> </w:t>
      </w:r>
      <w:r>
        <w:rPr>
          <w:sz w:val="18"/>
          <w:vertAlign w:val="baseline"/>
        </w:rPr>
        <w:t>Sexual</w:t>
      </w:r>
      <w:r>
        <w:rPr>
          <w:spacing w:val="-2"/>
          <w:sz w:val="18"/>
          <w:vertAlign w:val="baseline"/>
        </w:rPr>
        <w:t> </w:t>
      </w:r>
      <w:r>
        <w:rPr>
          <w:sz w:val="18"/>
          <w:vertAlign w:val="baseline"/>
        </w:rPr>
        <w:t>Exploitation</w:t>
      </w:r>
      <w:r>
        <w:rPr>
          <w:spacing w:val="-1"/>
          <w:sz w:val="18"/>
          <w:vertAlign w:val="baseline"/>
        </w:rPr>
        <w:t> </w:t>
      </w:r>
      <w:r>
        <w:rPr>
          <w:sz w:val="18"/>
          <w:vertAlign w:val="baseline"/>
        </w:rPr>
        <w:t>of</w:t>
      </w:r>
      <w:r>
        <w:rPr>
          <w:spacing w:val="-1"/>
          <w:sz w:val="18"/>
          <w:vertAlign w:val="baseline"/>
        </w:rPr>
        <w:t> </w:t>
      </w:r>
      <w:r>
        <w:rPr>
          <w:sz w:val="18"/>
          <w:vertAlign w:val="baseline"/>
        </w:rPr>
        <w:t>Children</w:t>
      </w:r>
      <w:r>
        <w:rPr>
          <w:spacing w:val="-1"/>
          <w:sz w:val="18"/>
          <w:vertAlign w:val="baseline"/>
        </w:rPr>
        <w:t> </w:t>
      </w:r>
      <w:r>
        <w:rPr>
          <w:sz w:val="18"/>
          <w:vertAlign w:val="baseline"/>
        </w:rPr>
        <w:t>in</w:t>
      </w:r>
      <w:r>
        <w:rPr>
          <w:spacing w:val="-1"/>
          <w:sz w:val="18"/>
          <w:vertAlign w:val="baseline"/>
        </w:rPr>
        <w:t> </w:t>
      </w:r>
      <w:r>
        <w:rPr>
          <w:sz w:val="18"/>
          <w:vertAlign w:val="baseline"/>
        </w:rPr>
        <w:t>Atlanta, Georgia,” </w:t>
      </w:r>
      <w:r>
        <w:rPr>
          <w:i/>
          <w:sz w:val="18"/>
          <w:vertAlign w:val="baseline"/>
        </w:rPr>
        <w:t>Violence and Gender </w:t>
      </w:r>
      <w:r>
        <w:rPr>
          <w:sz w:val="18"/>
          <w:vertAlign w:val="baseline"/>
        </w:rPr>
        <w:t>9, no. 2 (June 2022): 73–79, https://doi.org/10.1089/vio.2021.0048.</w:t>
      </w:r>
    </w:p>
    <w:p>
      <w:pPr>
        <w:spacing w:line="205" w:lineRule="exact" w:before="0"/>
        <w:ind w:left="463" w:right="0" w:firstLine="0"/>
        <w:jc w:val="left"/>
        <w:rPr>
          <w:sz w:val="18"/>
        </w:rPr>
      </w:pPr>
      <w:r>
        <w:rPr>
          <w:sz w:val="18"/>
          <w:vertAlign w:val="superscript"/>
        </w:rPr>
        <w:t>150</w:t>
      </w:r>
      <w:r>
        <w:rPr>
          <w:spacing w:val="-12"/>
          <w:sz w:val="18"/>
          <w:vertAlign w:val="baseline"/>
        </w:rPr>
        <w:t> </w:t>
      </w:r>
      <w:r>
        <w:rPr>
          <w:sz w:val="18"/>
          <w:vertAlign w:val="baseline"/>
        </w:rPr>
        <w:t>Lauren</w:t>
      </w:r>
      <w:r>
        <w:rPr>
          <w:spacing w:val="-2"/>
          <w:sz w:val="18"/>
          <w:vertAlign w:val="baseline"/>
        </w:rPr>
        <w:t> </w:t>
      </w:r>
      <w:r>
        <w:rPr>
          <w:sz w:val="18"/>
          <w:vertAlign w:val="baseline"/>
        </w:rPr>
        <w:t>M.</w:t>
      </w:r>
      <w:r>
        <w:rPr>
          <w:spacing w:val="-1"/>
          <w:sz w:val="18"/>
          <w:vertAlign w:val="baseline"/>
        </w:rPr>
        <w:t> </w:t>
      </w:r>
      <w:r>
        <w:rPr>
          <w:sz w:val="18"/>
          <w:vertAlign w:val="baseline"/>
        </w:rPr>
        <w:t>Sava</w:t>
      </w:r>
      <w:r>
        <w:rPr>
          <w:spacing w:val="-1"/>
          <w:sz w:val="18"/>
          <w:vertAlign w:val="baseline"/>
        </w:rPr>
        <w:t> </w:t>
      </w:r>
      <w:r>
        <w:rPr>
          <w:sz w:val="18"/>
          <w:vertAlign w:val="baseline"/>
        </w:rPr>
        <w:t>et</w:t>
      </w:r>
      <w:r>
        <w:rPr>
          <w:spacing w:val="-2"/>
          <w:sz w:val="18"/>
          <w:vertAlign w:val="baseline"/>
        </w:rPr>
        <w:t> </w:t>
      </w:r>
      <w:r>
        <w:rPr>
          <w:sz w:val="18"/>
          <w:vertAlign w:val="baseline"/>
        </w:rPr>
        <w:t>al.,</w:t>
      </w:r>
      <w:r>
        <w:rPr>
          <w:spacing w:val="-2"/>
          <w:sz w:val="18"/>
          <w:vertAlign w:val="baseline"/>
        </w:rPr>
        <w:t> </w:t>
      </w:r>
      <w:r>
        <w:rPr>
          <w:sz w:val="18"/>
          <w:vertAlign w:val="baseline"/>
        </w:rPr>
        <w:t>“LGBTQ</w:t>
      </w:r>
      <w:r>
        <w:rPr>
          <w:spacing w:val="-1"/>
          <w:sz w:val="18"/>
          <w:vertAlign w:val="baseline"/>
        </w:rPr>
        <w:t> </w:t>
      </w:r>
      <w:r>
        <w:rPr>
          <w:sz w:val="18"/>
          <w:vertAlign w:val="baseline"/>
        </w:rPr>
        <w:t>Student</w:t>
      </w:r>
      <w:r>
        <w:rPr>
          <w:spacing w:val="-1"/>
          <w:sz w:val="18"/>
          <w:vertAlign w:val="baseline"/>
        </w:rPr>
        <w:t> </w:t>
      </w:r>
      <w:r>
        <w:rPr>
          <w:sz w:val="18"/>
          <w:vertAlign w:val="baseline"/>
        </w:rPr>
        <w:t>Health:</w:t>
      </w:r>
      <w:r>
        <w:rPr>
          <w:spacing w:val="-1"/>
          <w:sz w:val="18"/>
          <w:vertAlign w:val="baseline"/>
        </w:rPr>
        <w:t> </w:t>
      </w:r>
      <w:r>
        <w:rPr>
          <w:sz w:val="18"/>
          <w:vertAlign w:val="baseline"/>
        </w:rPr>
        <w:t>A</w:t>
      </w:r>
      <w:r>
        <w:rPr>
          <w:spacing w:val="-1"/>
          <w:sz w:val="18"/>
          <w:vertAlign w:val="baseline"/>
        </w:rPr>
        <w:t> </w:t>
      </w:r>
      <w:r>
        <w:rPr>
          <w:sz w:val="18"/>
          <w:vertAlign w:val="baseline"/>
        </w:rPr>
        <w:t>Mixed-Methods</w:t>
      </w:r>
      <w:r>
        <w:rPr>
          <w:spacing w:val="-1"/>
          <w:sz w:val="18"/>
          <w:vertAlign w:val="baseline"/>
        </w:rPr>
        <w:t> </w:t>
      </w:r>
      <w:r>
        <w:rPr>
          <w:sz w:val="18"/>
          <w:vertAlign w:val="baseline"/>
        </w:rPr>
        <w:t>Study</w:t>
      </w:r>
      <w:r>
        <w:rPr>
          <w:spacing w:val="-1"/>
          <w:sz w:val="18"/>
          <w:vertAlign w:val="baseline"/>
        </w:rPr>
        <w:t> </w:t>
      </w:r>
      <w:r>
        <w:rPr>
          <w:sz w:val="18"/>
          <w:vertAlign w:val="baseline"/>
        </w:rPr>
        <w:t>of</w:t>
      </w:r>
      <w:r>
        <w:rPr>
          <w:spacing w:val="-1"/>
          <w:sz w:val="18"/>
          <w:vertAlign w:val="baseline"/>
        </w:rPr>
        <w:t> </w:t>
      </w:r>
      <w:r>
        <w:rPr>
          <w:sz w:val="18"/>
          <w:vertAlign w:val="baseline"/>
        </w:rPr>
        <w:t>Unmet</w:t>
      </w:r>
      <w:r>
        <w:rPr>
          <w:spacing w:val="-2"/>
          <w:sz w:val="18"/>
          <w:vertAlign w:val="baseline"/>
        </w:rPr>
        <w:t> </w:t>
      </w:r>
      <w:r>
        <w:rPr>
          <w:sz w:val="18"/>
          <w:vertAlign w:val="baseline"/>
        </w:rPr>
        <w:t>Needs</w:t>
      </w:r>
      <w:r>
        <w:rPr>
          <w:spacing w:val="-1"/>
          <w:sz w:val="18"/>
          <w:vertAlign w:val="baseline"/>
        </w:rPr>
        <w:t> </w:t>
      </w:r>
      <w:r>
        <w:rPr>
          <w:sz w:val="18"/>
          <w:vertAlign w:val="baseline"/>
        </w:rPr>
        <w:t>in</w:t>
      </w:r>
      <w:r>
        <w:rPr>
          <w:spacing w:val="-2"/>
          <w:sz w:val="18"/>
          <w:vertAlign w:val="baseline"/>
        </w:rPr>
        <w:t> </w:t>
      </w:r>
      <w:r>
        <w:rPr>
          <w:sz w:val="18"/>
          <w:vertAlign w:val="baseline"/>
        </w:rPr>
        <w:t>Massachusetts</w:t>
      </w:r>
      <w:r>
        <w:rPr>
          <w:spacing w:val="-1"/>
          <w:sz w:val="18"/>
          <w:vertAlign w:val="baseline"/>
        </w:rPr>
        <w:t> </w:t>
      </w:r>
      <w:r>
        <w:rPr>
          <w:spacing w:val="-2"/>
          <w:sz w:val="18"/>
          <w:vertAlign w:val="baseline"/>
        </w:rPr>
        <w:t>Schools,”</w:t>
      </w:r>
    </w:p>
    <w:p>
      <w:pPr>
        <w:spacing w:line="212" w:lineRule="exact" w:before="0"/>
        <w:ind w:left="463" w:right="0" w:firstLine="0"/>
        <w:jc w:val="left"/>
        <w:rPr>
          <w:sz w:val="18"/>
        </w:rPr>
      </w:pPr>
      <w:r>
        <w:rPr>
          <w:i/>
          <w:sz w:val="18"/>
        </w:rPr>
        <w:t>Journal</w:t>
      </w:r>
      <w:r>
        <w:rPr>
          <w:i/>
          <w:spacing w:val="-3"/>
          <w:sz w:val="18"/>
        </w:rPr>
        <w:t> </w:t>
      </w:r>
      <w:r>
        <w:rPr>
          <w:i/>
          <w:sz w:val="18"/>
        </w:rPr>
        <w:t>of</w:t>
      </w:r>
      <w:r>
        <w:rPr>
          <w:i/>
          <w:spacing w:val="-2"/>
          <w:sz w:val="18"/>
        </w:rPr>
        <w:t> </w:t>
      </w:r>
      <w:r>
        <w:rPr>
          <w:i/>
          <w:sz w:val="18"/>
        </w:rPr>
        <w:t>School</w:t>
      </w:r>
      <w:r>
        <w:rPr>
          <w:i/>
          <w:spacing w:val="-2"/>
          <w:sz w:val="18"/>
        </w:rPr>
        <w:t> </w:t>
      </w:r>
      <w:r>
        <w:rPr>
          <w:i/>
          <w:sz w:val="18"/>
        </w:rPr>
        <w:t>Health</w:t>
      </w:r>
      <w:r>
        <w:rPr>
          <w:i/>
          <w:spacing w:val="-2"/>
          <w:sz w:val="18"/>
        </w:rPr>
        <w:t> </w:t>
      </w:r>
      <w:r>
        <w:rPr>
          <w:sz w:val="18"/>
        </w:rPr>
        <w:t>91,</w:t>
      </w:r>
      <w:r>
        <w:rPr>
          <w:spacing w:val="-3"/>
          <w:sz w:val="18"/>
        </w:rPr>
        <w:t> </w:t>
      </w:r>
      <w:r>
        <w:rPr>
          <w:sz w:val="18"/>
        </w:rPr>
        <w:t>no.</w:t>
      </w:r>
      <w:r>
        <w:rPr>
          <w:spacing w:val="-1"/>
          <w:sz w:val="18"/>
        </w:rPr>
        <w:t> </w:t>
      </w:r>
      <w:r>
        <w:rPr>
          <w:sz w:val="18"/>
        </w:rPr>
        <w:t>11</w:t>
      </w:r>
      <w:r>
        <w:rPr>
          <w:spacing w:val="-2"/>
          <w:sz w:val="18"/>
        </w:rPr>
        <w:t> </w:t>
      </w:r>
      <w:r>
        <w:rPr>
          <w:sz w:val="18"/>
        </w:rPr>
        <w:t>(2021):</w:t>
      </w:r>
      <w:r>
        <w:rPr>
          <w:spacing w:val="-2"/>
          <w:sz w:val="18"/>
        </w:rPr>
        <w:t> </w:t>
      </w:r>
      <w:r>
        <w:rPr>
          <w:sz w:val="18"/>
        </w:rPr>
        <w:t>894–905,</w:t>
      </w:r>
      <w:r>
        <w:rPr>
          <w:spacing w:val="-2"/>
          <w:sz w:val="18"/>
        </w:rPr>
        <w:t> https://doi.org/10.1111/josh.13082.</w:t>
      </w:r>
    </w:p>
    <w:p>
      <w:pPr>
        <w:spacing w:line="219" w:lineRule="exact" w:before="0"/>
        <w:ind w:left="463" w:right="0" w:firstLine="0"/>
        <w:jc w:val="left"/>
        <w:rPr>
          <w:sz w:val="18"/>
        </w:rPr>
      </w:pPr>
      <w:r>
        <w:rPr>
          <w:sz w:val="18"/>
          <w:vertAlign w:val="superscript"/>
        </w:rPr>
        <w:t>151</w:t>
      </w:r>
      <w:r>
        <w:rPr>
          <w:spacing w:val="-12"/>
          <w:sz w:val="18"/>
          <w:vertAlign w:val="baseline"/>
        </w:rPr>
        <w:t> </w:t>
      </w:r>
      <w:r>
        <w:rPr>
          <w:sz w:val="18"/>
          <w:vertAlign w:val="baseline"/>
        </w:rPr>
        <w:t>Topping,</w:t>
      </w:r>
      <w:r>
        <w:rPr>
          <w:spacing w:val="-3"/>
          <w:sz w:val="18"/>
          <w:vertAlign w:val="baseline"/>
        </w:rPr>
        <w:t> </w:t>
      </w:r>
      <w:r>
        <w:rPr>
          <w:sz w:val="18"/>
          <w:vertAlign w:val="baseline"/>
        </w:rPr>
        <w:t>“Peer</w:t>
      </w:r>
      <w:r>
        <w:rPr>
          <w:spacing w:val="-2"/>
          <w:sz w:val="18"/>
          <w:vertAlign w:val="baseline"/>
        </w:rPr>
        <w:t> </w:t>
      </w:r>
      <w:r>
        <w:rPr>
          <w:sz w:val="18"/>
          <w:vertAlign w:val="baseline"/>
        </w:rPr>
        <w:t>Education</w:t>
      </w:r>
      <w:r>
        <w:rPr>
          <w:spacing w:val="-1"/>
          <w:sz w:val="18"/>
          <w:vertAlign w:val="baseline"/>
        </w:rPr>
        <w:t> </w:t>
      </w:r>
      <w:r>
        <w:rPr>
          <w:sz w:val="18"/>
          <w:vertAlign w:val="baseline"/>
        </w:rPr>
        <w:t>and</w:t>
      </w:r>
      <w:r>
        <w:rPr>
          <w:spacing w:val="-1"/>
          <w:sz w:val="18"/>
          <w:vertAlign w:val="baseline"/>
        </w:rPr>
        <w:t> </w:t>
      </w:r>
      <w:r>
        <w:rPr>
          <w:sz w:val="18"/>
          <w:vertAlign w:val="baseline"/>
        </w:rPr>
        <w:t>Peer</w:t>
      </w:r>
      <w:r>
        <w:rPr>
          <w:spacing w:val="-2"/>
          <w:sz w:val="18"/>
          <w:vertAlign w:val="baseline"/>
        </w:rPr>
        <w:t> </w:t>
      </w:r>
      <w:r>
        <w:rPr>
          <w:sz w:val="18"/>
          <w:vertAlign w:val="baseline"/>
        </w:rPr>
        <w:t>Counselling</w:t>
      </w:r>
      <w:r>
        <w:rPr>
          <w:spacing w:val="-1"/>
          <w:sz w:val="18"/>
          <w:vertAlign w:val="baseline"/>
        </w:rPr>
        <w:t> </w:t>
      </w:r>
      <w:r>
        <w:rPr>
          <w:sz w:val="18"/>
          <w:vertAlign w:val="baseline"/>
        </w:rPr>
        <w:t>for</w:t>
      </w:r>
      <w:r>
        <w:rPr>
          <w:spacing w:val="-2"/>
          <w:sz w:val="18"/>
          <w:vertAlign w:val="baseline"/>
        </w:rPr>
        <w:t> </w:t>
      </w:r>
      <w:r>
        <w:rPr>
          <w:sz w:val="18"/>
          <w:vertAlign w:val="baseline"/>
        </w:rPr>
        <w:t>Health</w:t>
      </w:r>
      <w:r>
        <w:rPr>
          <w:spacing w:val="-1"/>
          <w:sz w:val="18"/>
          <w:vertAlign w:val="baseline"/>
        </w:rPr>
        <w:t> </w:t>
      </w:r>
      <w:r>
        <w:rPr>
          <w:sz w:val="18"/>
          <w:vertAlign w:val="baseline"/>
        </w:rPr>
        <w:t>and</w:t>
      </w:r>
      <w:r>
        <w:rPr>
          <w:spacing w:val="-1"/>
          <w:sz w:val="18"/>
          <w:vertAlign w:val="baseline"/>
        </w:rPr>
        <w:t> </w:t>
      </w:r>
      <w:r>
        <w:rPr>
          <w:sz w:val="18"/>
          <w:vertAlign w:val="baseline"/>
        </w:rPr>
        <w:t>Well-</w:t>
      </w:r>
      <w:r>
        <w:rPr>
          <w:spacing w:val="-2"/>
          <w:sz w:val="18"/>
          <w:vertAlign w:val="baseline"/>
        </w:rPr>
        <w:t>Being.”</w:t>
      </w:r>
    </w:p>
    <w:p>
      <w:pPr>
        <w:spacing w:line="212" w:lineRule="exact" w:before="2"/>
        <w:ind w:left="463" w:right="0" w:firstLine="0"/>
        <w:jc w:val="left"/>
        <w:rPr>
          <w:sz w:val="18"/>
        </w:rPr>
      </w:pPr>
      <w:r>
        <w:rPr>
          <w:sz w:val="18"/>
          <w:vertAlign w:val="superscript"/>
        </w:rPr>
        <w:t>152</w:t>
      </w:r>
      <w:r>
        <w:rPr>
          <w:spacing w:val="-12"/>
          <w:sz w:val="18"/>
          <w:vertAlign w:val="baseline"/>
        </w:rPr>
        <w:t> </w:t>
      </w:r>
      <w:r>
        <w:rPr>
          <w:sz w:val="18"/>
          <w:vertAlign w:val="baseline"/>
        </w:rPr>
        <w:t>Amy</w:t>
      </w:r>
      <w:r>
        <w:rPr>
          <w:spacing w:val="-2"/>
          <w:sz w:val="18"/>
          <w:vertAlign w:val="baseline"/>
        </w:rPr>
        <w:t> </w:t>
      </w:r>
      <w:r>
        <w:rPr>
          <w:sz w:val="18"/>
          <w:vertAlign w:val="baseline"/>
        </w:rPr>
        <w:t>D.</w:t>
      </w:r>
      <w:r>
        <w:rPr>
          <w:spacing w:val="-2"/>
          <w:sz w:val="18"/>
          <w:vertAlign w:val="baseline"/>
        </w:rPr>
        <w:t> </w:t>
      </w:r>
      <w:r>
        <w:rPr>
          <w:sz w:val="18"/>
          <w:vertAlign w:val="baseline"/>
        </w:rPr>
        <w:t>Benton</w:t>
      </w:r>
      <w:r>
        <w:rPr>
          <w:spacing w:val="-1"/>
          <w:sz w:val="18"/>
          <w:vertAlign w:val="baseline"/>
        </w:rPr>
        <w:t> </w:t>
      </w:r>
      <w:r>
        <w:rPr>
          <w:sz w:val="18"/>
          <w:vertAlign w:val="baseline"/>
        </w:rPr>
        <w:t>et</w:t>
      </w:r>
      <w:r>
        <w:rPr>
          <w:spacing w:val="-2"/>
          <w:sz w:val="18"/>
          <w:vertAlign w:val="baseline"/>
        </w:rPr>
        <w:t> </w:t>
      </w:r>
      <w:r>
        <w:rPr>
          <w:sz w:val="18"/>
          <w:vertAlign w:val="baseline"/>
        </w:rPr>
        <w:t>al.,</w:t>
      </w:r>
      <w:r>
        <w:rPr>
          <w:spacing w:val="-2"/>
          <w:sz w:val="18"/>
          <w:vertAlign w:val="baseline"/>
        </w:rPr>
        <w:t> </w:t>
      </w:r>
      <w:r>
        <w:rPr>
          <w:sz w:val="18"/>
          <w:vertAlign w:val="baseline"/>
        </w:rPr>
        <w:t>“Peer-Led</w:t>
      </w:r>
      <w:r>
        <w:rPr>
          <w:spacing w:val="-1"/>
          <w:sz w:val="18"/>
          <w:vertAlign w:val="baseline"/>
        </w:rPr>
        <w:t> </w:t>
      </w:r>
      <w:r>
        <w:rPr>
          <w:sz w:val="18"/>
          <w:vertAlign w:val="baseline"/>
        </w:rPr>
        <w:t>Sexual</w:t>
      </w:r>
      <w:r>
        <w:rPr>
          <w:spacing w:val="-2"/>
          <w:sz w:val="18"/>
          <w:vertAlign w:val="baseline"/>
        </w:rPr>
        <w:t> </w:t>
      </w:r>
      <w:r>
        <w:rPr>
          <w:sz w:val="18"/>
          <w:vertAlign w:val="baseline"/>
        </w:rPr>
        <w:t>Health</w:t>
      </w:r>
      <w:r>
        <w:rPr>
          <w:spacing w:val="-3"/>
          <w:sz w:val="18"/>
          <w:vertAlign w:val="baseline"/>
        </w:rPr>
        <w:t> </w:t>
      </w:r>
      <w:r>
        <w:rPr>
          <w:sz w:val="18"/>
          <w:vertAlign w:val="baseline"/>
        </w:rPr>
        <w:t>Education:</w:t>
      </w:r>
      <w:r>
        <w:rPr>
          <w:spacing w:val="-1"/>
          <w:sz w:val="18"/>
          <w:vertAlign w:val="baseline"/>
        </w:rPr>
        <w:t> </w:t>
      </w:r>
      <w:r>
        <w:rPr>
          <w:sz w:val="18"/>
          <w:vertAlign w:val="baseline"/>
        </w:rPr>
        <w:t>Multiple</w:t>
      </w:r>
      <w:r>
        <w:rPr>
          <w:spacing w:val="-1"/>
          <w:sz w:val="18"/>
          <w:vertAlign w:val="baseline"/>
        </w:rPr>
        <w:t> </w:t>
      </w:r>
      <w:r>
        <w:rPr>
          <w:sz w:val="18"/>
          <w:vertAlign w:val="baseline"/>
        </w:rPr>
        <w:t>Perspectives</w:t>
      </w:r>
      <w:r>
        <w:rPr>
          <w:spacing w:val="-2"/>
          <w:sz w:val="18"/>
          <w:vertAlign w:val="baseline"/>
        </w:rPr>
        <w:t> </w:t>
      </w:r>
      <w:r>
        <w:rPr>
          <w:sz w:val="18"/>
          <w:vertAlign w:val="baseline"/>
        </w:rPr>
        <w:t>on</w:t>
      </w:r>
      <w:r>
        <w:rPr>
          <w:spacing w:val="-1"/>
          <w:sz w:val="18"/>
          <w:vertAlign w:val="baseline"/>
        </w:rPr>
        <w:t> </w:t>
      </w:r>
      <w:r>
        <w:rPr>
          <w:sz w:val="18"/>
          <w:vertAlign w:val="baseline"/>
        </w:rPr>
        <w:t>Benefits</w:t>
      </w:r>
      <w:r>
        <w:rPr>
          <w:spacing w:val="-1"/>
          <w:sz w:val="18"/>
          <w:vertAlign w:val="baseline"/>
        </w:rPr>
        <w:t> </w:t>
      </w:r>
      <w:r>
        <w:rPr>
          <w:sz w:val="18"/>
          <w:vertAlign w:val="baseline"/>
        </w:rPr>
        <w:t>for</w:t>
      </w:r>
      <w:r>
        <w:rPr>
          <w:spacing w:val="-3"/>
          <w:sz w:val="18"/>
          <w:vertAlign w:val="baseline"/>
        </w:rPr>
        <w:t> </w:t>
      </w:r>
      <w:r>
        <w:rPr>
          <w:sz w:val="18"/>
          <w:vertAlign w:val="baseline"/>
        </w:rPr>
        <w:t>Peer</w:t>
      </w:r>
      <w:r>
        <w:rPr>
          <w:spacing w:val="-3"/>
          <w:sz w:val="18"/>
          <w:vertAlign w:val="baseline"/>
        </w:rPr>
        <w:t> </w:t>
      </w:r>
      <w:r>
        <w:rPr>
          <w:sz w:val="18"/>
          <w:vertAlign w:val="baseline"/>
        </w:rPr>
        <w:t>Health</w:t>
      </w:r>
      <w:r>
        <w:rPr>
          <w:spacing w:val="-1"/>
          <w:sz w:val="18"/>
          <w:vertAlign w:val="baseline"/>
        </w:rPr>
        <w:t> </w:t>
      </w:r>
      <w:r>
        <w:rPr>
          <w:spacing w:val="-2"/>
          <w:sz w:val="18"/>
          <w:vertAlign w:val="baseline"/>
        </w:rPr>
        <w:t>Educators,”</w:t>
      </w:r>
    </w:p>
    <w:p>
      <w:pPr>
        <w:spacing w:line="203" w:lineRule="exact" w:before="0"/>
        <w:ind w:left="463" w:right="0" w:firstLine="0"/>
        <w:jc w:val="left"/>
        <w:rPr>
          <w:sz w:val="18"/>
        </w:rPr>
      </w:pPr>
      <w:r>
        <w:rPr>
          <w:i/>
          <w:sz w:val="18"/>
        </w:rPr>
        <w:t>Child</w:t>
      </w:r>
      <w:r>
        <w:rPr>
          <w:i/>
          <w:spacing w:val="-6"/>
          <w:sz w:val="18"/>
        </w:rPr>
        <w:t> </w:t>
      </w:r>
      <w:r>
        <w:rPr>
          <w:i/>
          <w:sz w:val="18"/>
        </w:rPr>
        <w:t>and</w:t>
      </w:r>
      <w:r>
        <w:rPr>
          <w:i/>
          <w:spacing w:val="-3"/>
          <w:sz w:val="18"/>
        </w:rPr>
        <w:t> </w:t>
      </w:r>
      <w:r>
        <w:rPr>
          <w:i/>
          <w:sz w:val="18"/>
        </w:rPr>
        <w:t>Adolescent</w:t>
      </w:r>
      <w:r>
        <w:rPr>
          <w:i/>
          <w:spacing w:val="-4"/>
          <w:sz w:val="18"/>
        </w:rPr>
        <w:t> </w:t>
      </w:r>
      <w:r>
        <w:rPr>
          <w:i/>
          <w:sz w:val="18"/>
        </w:rPr>
        <w:t>Social</w:t>
      </w:r>
      <w:r>
        <w:rPr>
          <w:i/>
          <w:spacing w:val="-3"/>
          <w:sz w:val="18"/>
        </w:rPr>
        <w:t> </w:t>
      </w:r>
      <w:r>
        <w:rPr>
          <w:i/>
          <w:sz w:val="18"/>
        </w:rPr>
        <w:t>Work</w:t>
      </w:r>
      <w:r>
        <w:rPr>
          <w:i/>
          <w:spacing w:val="-3"/>
          <w:sz w:val="18"/>
        </w:rPr>
        <w:t> </w:t>
      </w:r>
      <w:r>
        <w:rPr>
          <w:i/>
          <w:sz w:val="18"/>
        </w:rPr>
        <w:t>Journal</w:t>
      </w:r>
      <w:r>
        <w:rPr>
          <w:i/>
          <w:spacing w:val="-4"/>
          <w:sz w:val="18"/>
        </w:rPr>
        <w:t> </w:t>
      </w:r>
      <w:r>
        <w:rPr>
          <w:sz w:val="18"/>
        </w:rPr>
        <w:t>37,</w:t>
      </w:r>
      <w:r>
        <w:rPr>
          <w:spacing w:val="-3"/>
          <w:sz w:val="18"/>
        </w:rPr>
        <w:t> </w:t>
      </w:r>
      <w:r>
        <w:rPr>
          <w:sz w:val="18"/>
        </w:rPr>
        <w:t>no.</w:t>
      </w:r>
      <w:r>
        <w:rPr>
          <w:spacing w:val="-3"/>
          <w:sz w:val="18"/>
        </w:rPr>
        <w:t> </w:t>
      </w:r>
      <w:r>
        <w:rPr>
          <w:sz w:val="18"/>
        </w:rPr>
        <w:t>5</w:t>
      </w:r>
      <w:r>
        <w:rPr>
          <w:spacing w:val="-3"/>
          <w:sz w:val="18"/>
        </w:rPr>
        <w:t> </w:t>
      </w:r>
      <w:r>
        <w:rPr>
          <w:sz w:val="18"/>
        </w:rPr>
        <w:t>(October</w:t>
      </w:r>
      <w:r>
        <w:rPr>
          <w:spacing w:val="-4"/>
          <w:sz w:val="18"/>
        </w:rPr>
        <w:t> </w:t>
      </w:r>
      <w:r>
        <w:rPr>
          <w:sz w:val="18"/>
        </w:rPr>
        <w:t>1,</w:t>
      </w:r>
      <w:r>
        <w:rPr>
          <w:spacing w:val="-4"/>
          <w:sz w:val="18"/>
        </w:rPr>
        <w:t> </w:t>
      </w:r>
      <w:r>
        <w:rPr>
          <w:sz w:val="18"/>
        </w:rPr>
        <w:t>2020):</w:t>
      </w:r>
      <w:r>
        <w:rPr>
          <w:spacing w:val="-3"/>
          <w:sz w:val="18"/>
        </w:rPr>
        <w:t> </w:t>
      </w:r>
      <w:r>
        <w:rPr>
          <w:sz w:val="18"/>
        </w:rPr>
        <w:t>487–96,</w:t>
      </w:r>
      <w:r>
        <w:rPr>
          <w:spacing w:val="-3"/>
          <w:sz w:val="18"/>
        </w:rPr>
        <w:t> </w:t>
      </w:r>
      <w:r>
        <w:rPr>
          <w:sz w:val="18"/>
        </w:rPr>
        <w:t>https://doi.org/10.1007/s10560-020-</w:t>
      </w:r>
      <w:r>
        <w:rPr>
          <w:spacing w:val="-2"/>
          <w:sz w:val="18"/>
        </w:rPr>
        <w:t>00661-</w:t>
      </w:r>
    </w:p>
    <w:p>
      <w:pPr>
        <w:spacing w:line="209" w:lineRule="exact" w:before="0"/>
        <w:ind w:left="463" w:right="0" w:firstLine="0"/>
        <w:jc w:val="left"/>
        <w:rPr>
          <w:sz w:val="18"/>
        </w:rPr>
      </w:pPr>
      <w:r>
        <w:rPr>
          <w:spacing w:val="-5"/>
          <w:sz w:val="18"/>
        </w:rPr>
        <w:t>9.</w:t>
      </w:r>
    </w:p>
    <w:p>
      <w:pPr>
        <w:spacing w:line="219" w:lineRule="exact" w:before="0"/>
        <w:ind w:left="463" w:right="0" w:firstLine="0"/>
        <w:jc w:val="left"/>
        <w:rPr>
          <w:sz w:val="18"/>
        </w:rPr>
      </w:pPr>
      <w:r>
        <w:rPr>
          <w:sz w:val="18"/>
          <w:vertAlign w:val="superscript"/>
        </w:rPr>
        <w:t>153</w:t>
      </w:r>
      <w:r>
        <w:rPr>
          <w:spacing w:val="-10"/>
          <w:sz w:val="18"/>
          <w:vertAlign w:val="baseline"/>
        </w:rPr>
        <w:t> </w:t>
      </w:r>
      <w:r>
        <w:rPr>
          <w:sz w:val="18"/>
          <w:vertAlign w:val="baseline"/>
        </w:rPr>
        <w:t>Benton</w:t>
      </w:r>
      <w:r>
        <w:rPr>
          <w:spacing w:val="4"/>
          <w:sz w:val="18"/>
          <w:vertAlign w:val="baseline"/>
        </w:rPr>
        <w:t> </w:t>
      </w:r>
      <w:r>
        <w:rPr>
          <w:sz w:val="18"/>
          <w:vertAlign w:val="baseline"/>
        </w:rPr>
        <w:t>et</w:t>
      </w:r>
      <w:r>
        <w:rPr>
          <w:spacing w:val="3"/>
          <w:sz w:val="18"/>
          <w:vertAlign w:val="baseline"/>
        </w:rPr>
        <w:t> </w:t>
      </w:r>
      <w:r>
        <w:rPr>
          <w:spacing w:val="-5"/>
          <w:sz w:val="18"/>
          <w:vertAlign w:val="baseline"/>
        </w:rPr>
        <w:t>al.</w:t>
      </w:r>
    </w:p>
    <w:p>
      <w:pPr>
        <w:spacing w:line="268" w:lineRule="auto" w:before="20"/>
        <w:ind w:left="463" w:right="451" w:hanging="1"/>
        <w:jc w:val="left"/>
        <w:rPr>
          <w:sz w:val="18"/>
        </w:rPr>
      </w:pPr>
      <w:r>
        <w:rPr>
          <w:sz w:val="18"/>
          <w:vertAlign w:val="superscript"/>
        </w:rPr>
        <w:t>154</w:t>
      </w:r>
      <w:r>
        <w:rPr>
          <w:spacing w:val="-12"/>
          <w:sz w:val="18"/>
          <w:vertAlign w:val="baseline"/>
        </w:rPr>
        <w:t> </w:t>
      </w:r>
      <w:r>
        <w:rPr>
          <w:sz w:val="18"/>
          <w:vertAlign w:val="baseline"/>
        </w:rPr>
        <w:t>Laura</w:t>
      </w:r>
      <w:r>
        <w:rPr>
          <w:spacing w:val="-2"/>
          <w:sz w:val="18"/>
          <w:vertAlign w:val="baseline"/>
        </w:rPr>
        <w:t> </w:t>
      </w:r>
      <w:r>
        <w:rPr>
          <w:sz w:val="18"/>
          <w:vertAlign w:val="baseline"/>
        </w:rPr>
        <w:t>Villa-Torres</w:t>
      </w:r>
      <w:r>
        <w:rPr>
          <w:spacing w:val="-1"/>
          <w:sz w:val="18"/>
          <w:vertAlign w:val="baseline"/>
        </w:rPr>
        <w:t> </w:t>
      </w:r>
      <w:r>
        <w:rPr>
          <w:sz w:val="18"/>
          <w:vertAlign w:val="baseline"/>
        </w:rPr>
        <w:t>and</w:t>
      </w:r>
      <w:r>
        <w:rPr>
          <w:spacing w:val="-1"/>
          <w:sz w:val="18"/>
          <w:vertAlign w:val="baseline"/>
        </w:rPr>
        <w:t> </w:t>
      </w:r>
      <w:r>
        <w:rPr>
          <w:sz w:val="18"/>
          <w:vertAlign w:val="baseline"/>
        </w:rPr>
        <w:t>Joar</w:t>
      </w:r>
      <w:r>
        <w:rPr>
          <w:spacing w:val="-2"/>
          <w:sz w:val="18"/>
          <w:vertAlign w:val="baseline"/>
        </w:rPr>
        <w:t> </w:t>
      </w:r>
      <w:r>
        <w:rPr>
          <w:sz w:val="18"/>
          <w:vertAlign w:val="baseline"/>
        </w:rPr>
        <w:t>Svanemyr,</w:t>
      </w:r>
      <w:r>
        <w:rPr>
          <w:spacing w:val="-2"/>
          <w:sz w:val="18"/>
          <w:vertAlign w:val="baseline"/>
        </w:rPr>
        <w:t> </w:t>
      </w:r>
      <w:r>
        <w:rPr>
          <w:sz w:val="18"/>
          <w:vertAlign w:val="baseline"/>
        </w:rPr>
        <w:t>“Ensuring</w:t>
      </w:r>
      <w:r>
        <w:rPr>
          <w:spacing w:val="-1"/>
          <w:sz w:val="18"/>
          <w:vertAlign w:val="baseline"/>
        </w:rPr>
        <w:t> </w:t>
      </w:r>
      <w:r>
        <w:rPr>
          <w:sz w:val="18"/>
          <w:vertAlign w:val="baseline"/>
        </w:rPr>
        <w:t>Youth’s</w:t>
      </w:r>
      <w:r>
        <w:rPr>
          <w:spacing w:val="-1"/>
          <w:sz w:val="18"/>
          <w:vertAlign w:val="baseline"/>
        </w:rPr>
        <w:t> </w:t>
      </w:r>
      <w:r>
        <w:rPr>
          <w:sz w:val="18"/>
          <w:vertAlign w:val="baseline"/>
        </w:rPr>
        <w:t>Right</w:t>
      </w:r>
      <w:r>
        <w:rPr>
          <w:spacing w:val="-2"/>
          <w:sz w:val="18"/>
          <w:vertAlign w:val="baseline"/>
        </w:rPr>
        <w:t> </w:t>
      </w:r>
      <w:r>
        <w:rPr>
          <w:sz w:val="18"/>
          <w:vertAlign w:val="baseline"/>
        </w:rPr>
        <w:t>to</w:t>
      </w:r>
      <w:r>
        <w:rPr>
          <w:spacing w:val="-1"/>
          <w:sz w:val="18"/>
          <w:vertAlign w:val="baseline"/>
        </w:rPr>
        <w:t> </w:t>
      </w:r>
      <w:r>
        <w:rPr>
          <w:sz w:val="18"/>
          <w:vertAlign w:val="baseline"/>
        </w:rPr>
        <w:t>Participation and</w:t>
      </w:r>
      <w:r>
        <w:rPr>
          <w:spacing w:val="-1"/>
          <w:sz w:val="18"/>
          <w:vertAlign w:val="baseline"/>
        </w:rPr>
        <w:t> </w:t>
      </w:r>
      <w:r>
        <w:rPr>
          <w:sz w:val="18"/>
          <w:vertAlign w:val="baseline"/>
        </w:rPr>
        <w:t>Promotion</w:t>
      </w:r>
      <w:r>
        <w:rPr>
          <w:spacing w:val="-1"/>
          <w:sz w:val="18"/>
          <w:vertAlign w:val="baseline"/>
        </w:rPr>
        <w:t> </w:t>
      </w:r>
      <w:r>
        <w:rPr>
          <w:sz w:val="18"/>
          <w:vertAlign w:val="baseline"/>
        </w:rPr>
        <w:t>of</w:t>
      </w:r>
      <w:r>
        <w:rPr>
          <w:spacing w:val="-1"/>
          <w:sz w:val="18"/>
          <w:vertAlign w:val="baseline"/>
        </w:rPr>
        <w:t> </w:t>
      </w:r>
      <w:r>
        <w:rPr>
          <w:sz w:val="18"/>
          <w:vertAlign w:val="baseline"/>
        </w:rPr>
        <w:t>Youth</w:t>
      </w:r>
      <w:r>
        <w:rPr>
          <w:spacing w:val="-1"/>
          <w:sz w:val="18"/>
          <w:vertAlign w:val="baseline"/>
        </w:rPr>
        <w:t> </w:t>
      </w:r>
      <w:r>
        <w:rPr>
          <w:sz w:val="18"/>
          <w:vertAlign w:val="baseline"/>
        </w:rPr>
        <w:t>Leadership</w:t>
      </w:r>
      <w:r>
        <w:rPr>
          <w:spacing w:val="-1"/>
          <w:sz w:val="18"/>
          <w:vertAlign w:val="baseline"/>
        </w:rPr>
        <w:t> </w:t>
      </w:r>
      <w:r>
        <w:rPr>
          <w:sz w:val="18"/>
          <w:vertAlign w:val="baseline"/>
        </w:rPr>
        <w:t>in</w:t>
      </w:r>
      <w:r>
        <w:rPr>
          <w:spacing w:val="-1"/>
          <w:sz w:val="18"/>
          <w:vertAlign w:val="baseline"/>
        </w:rPr>
        <w:t> </w:t>
      </w:r>
      <w:r>
        <w:rPr>
          <w:sz w:val="18"/>
          <w:vertAlign w:val="baseline"/>
        </w:rPr>
        <w:t>the Development of Sexual and Reproductive Health Policies and Programs,” </w:t>
      </w:r>
      <w:r>
        <w:rPr>
          <w:i/>
          <w:sz w:val="18"/>
          <w:vertAlign w:val="baseline"/>
        </w:rPr>
        <w:t>Journal of Adolescent Health </w:t>
      </w:r>
      <w:r>
        <w:rPr>
          <w:sz w:val="18"/>
          <w:vertAlign w:val="baseline"/>
        </w:rPr>
        <w:t>56, no. 1 (January 2015): S51–57, https://doi.org/10.1016/j.jadohealth.2014.07.022.</w:t>
      </w:r>
    </w:p>
    <w:p>
      <w:pPr>
        <w:spacing w:before="14"/>
        <w:ind w:left="463" w:right="0" w:firstLine="0"/>
        <w:jc w:val="left"/>
        <w:rPr>
          <w:sz w:val="18"/>
        </w:rPr>
      </w:pPr>
      <w:r>
        <w:rPr>
          <w:sz w:val="18"/>
          <w:vertAlign w:val="superscript"/>
        </w:rPr>
        <w:t>155</w:t>
      </w:r>
      <w:r>
        <w:rPr>
          <w:spacing w:val="-11"/>
          <w:sz w:val="18"/>
          <w:vertAlign w:val="baseline"/>
        </w:rPr>
        <w:t> </w:t>
      </w:r>
      <w:r>
        <w:rPr>
          <w:sz w:val="18"/>
          <w:vertAlign w:val="baseline"/>
        </w:rPr>
        <w:t>Villa-Torres</w:t>
      </w:r>
      <w:r>
        <w:rPr>
          <w:spacing w:val="2"/>
          <w:sz w:val="18"/>
          <w:vertAlign w:val="baseline"/>
        </w:rPr>
        <w:t> </w:t>
      </w:r>
      <w:r>
        <w:rPr>
          <w:sz w:val="18"/>
          <w:vertAlign w:val="baseline"/>
        </w:rPr>
        <w:t>and</w:t>
      </w:r>
      <w:r>
        <w:rPr>
          <w:spacing w:val="2"/>
          <w:sz w:val="18"/>
          <w:vertAlign w:val="baseline"/>
        </w:rPr>
        <w:t> </w:t>
      </w:r>
      <w:r>
        <w:rPr>
          <w:spacing w:val="-2"/>
          <w:sz w:val="18"/>
          <w:vertAlign w:val="baseline"/>
        </w:rPr>
        <w:t>Svanemyr</w:t>
      </w:r>
    </w:p>
    <w:p>
      <w:pPr>
        <w:spacing w:before="49"/>
        <w:ind w:left="463" w:right="0" w:firstLine="0"/>
        <w:jc w:val="left"/>
        <w:rPr>
          <w:sz w:val="18"/>
        </w:rPr>
      </w:pPr>
      <w:r>
        <w:rPr>
          <w:sz w:val="18"/>
          <w:vertAlign w:val="superscript"/>
        </w:rPr>
        <w:t>156</w:t>
      </w:r>
      <w:r>
        <w:rPr>
          <w:spacing w:val="-12"/>
          <w:sz w:val="18"/>
          <w:vertAlign w:val="baseline"/>
        </w:rPr>
        <w:t> </w:t>
      </w:r>
      <w:r>
        <w:rPr>
          <w:sz w:val="18"/>
          <w:vertAlign w:val="baseline"/>
        </w:rPr>
        <w:t>“Start</w:t>
      </w:r>
      <w:r>
        <w:rPr>
          <w:spacing w:val="-4"/>
          <w:sz w:val="18"/>
          <w:vertAlign w:val="baseline"/>
        </w:rPr>
        <w:t> </w:t>
      </w:r>
      <w:r>
        <w:rPr>
          <w:sz w:val="18"/>
          <w:vertAlign w:val="baseline"/>
        </w:rPr>
        <w:t>Strong,”</w:t>
      </w:r>
      <w:r>
        <w:rPr>
          <w:spacing w:val="-1"/>
          <w:sz w:val="18"/>
          <w:vertAlign w:val="baseline"/>
        </w:rPr>
        <w:t> </w:t>
      </w:r>
      <w:r>
        <w:rPr>
          <w:sz w:val="18"/>
          <w:vertAlign w:val="baseline"/>
        </w:rPr>
        <w:t>Boston</w:t>
      </w:r>
      <w:r>
        <w:rPr>
          <w:spacing w:val="-1"/>
          <w:sz w:val="18"/>
          <w:vertAlign w:val="baseline"/>
        </w:rPr>
        <w:t> </w:t>
      </w:r>
      <w:r>
        <w:rPr>
          <w:sz w:val="18"/>
          <w:vertAlign w:val="baseline"/>
        </w:rPr>
        <w:t>Public</w:t>
      </w:r>
      <w:r>
        <w:rPr>
          <w:spacing w:val="-3"/>
          <w:sz w:val="18"/>
          <w:vertAlign w:val="baseline"/>
        </w:rPr>
        <w:t> </w:t>
      </w:r>
      <w:r>
        <w:rPr>
          <w:sz w:val="18"/>
          <w:vertAlign w:val="baseline"/>
        </w:rPr>
        <w:t>Health</w:t>
      </w:r>
      <w:r>
        <w:rPr>
          <w:spacing w:val="-1"/>
          <w:sz w:val="18"/>
          <w:vertAlign w:val="baseline"/>
        </w:rPr>
        <w:t> </w:t>
      </w:r>
      <w:r>
        <w:rPr>
          <w:sz w:val="18"/>
          <w:vertAlign w:val="baseline"/>
        </w:rPr>
        <w:t>Commission,</w:t>
      </w:r>
      <w:r>
        <w:rPr>
          <w:spacing w:val="-2"/>
          <w:sz w:val="18"/>
          <w:vertAlign w:val="baseline"/>
        </w:rPr>
        <w:t> </w:t>
      </w:r>
      <w:r>
        <w:rPr>
          <w:sz w:val="18"/>
          <w:vertAlign w:val="baseline"/>
        </w:rPr>
        <w:t>accessed</w:t>
      </w:r>
      <w:r>
        <w:rPr>
          <w:spacing w:val="-2"/>
          <w:sz w:val="18"/>
          <w:vertAlign w:val="baseline"/>
        </w:rPr>
        <w:t> </w:t>
      </w:r>
      <w:r>
        <w:rPr>
          <w:sz w:val="18"/>
          <w:vertAlign w:val="baseline"/>
        </w:rPr>
        <w:t>January</w:t>
      </w:r>
      <w:r>
        <w:rPr>
          <w:spacing w:val="-1"/>
          <w:sz w:val="18"/>
          <w:vertAlign w:val="baseline"/>
        </w:rPr>
        <w:t> </w:t>
      </w:r>
      <w:r>
        <w:rPr>
          <w:sz w:val="18"/>
          <w:vertAlign w:val="baseline"/>
        </w:rPr>
        <w:t>7,</w:t>
      </w:r>
      <w:r>
        <w:rPr>
          <w:spacing w:val="-2"/>
          <w:sz w:val="18"/>
          <w:vertAlign w:val="baseline"/>
        </w:rPr>
        <w:t> </w:t>
      </w:r>
      <w:r>
        <w:rPr>
          <w:sz w:val="18"/>
          <w:vertAlign w:val="baseline"/>
        </w:rPr>
        <w:t>2023,</w:t>
      </w:r>
      <w:r>
        <w:rPr>
          <w:spacing w:val="-3"/>
          <w:sz w:val="18"/>
          <w:vertAlign w:val="baseline"/>
        </w:rPr>
        <w:t> </w:t>
      </w:r>
      <w:r>
        <w:rPr>
          <w:spacing w:val="-2"/>
          <w:sz w:val="18"/>
          <w:vertAlign w:val="baseline"/>
        </w:rPr>
        <w:t>https://</w:t>
      </w:r>
      <w:hyperlink r:id="rId166">
        <w:r>
          <w:rPr>
            <w:spacing w:val="-2"/>
            <w:sz w:val="18"/>
            <w:vertAlign w:val="baseline"/>
          </w:rPr>
          <w:t>www.thehallsboston.com/.</w:t>
        </w:r>
      </w:hyperlink>
    </w:p>
    <w:p>
      <w:pPr>
        <w:spacing w:before="31"/>
        <w:ind w:left="463" w:right="0" w:firstLine="0"/>
        <w:jc w:val="left"/>
        <w:rPr>
          <w:sz w:val="18"/>
        </w:rPr>
      </w:pPr>
      <w:r>
        <w:rPr>
          <w:sz w:val="18"/>
          <w:vertAlign w:val="superscript"/>
        </w:rPr>
        <w:t>157</w:t>
      </w:r>
      <w:r>
        <w:rPr>
          <w:spacing w:val="-12"/>
          <w:sz w:val="18"/>
          <w:vertAlign w:val="baseline"/>
        </w:rPr>
        <w:t> </w:t>
      </w:r>
      <w:r>
        <w:rPr>
          <w:sz w:val="18"/>
          <w:vertAlign w:val="baseline"/>
        </w:rPr>
        <w:t>Advocates</w:t>
      </w:r>
      <w:r>
        <w:rPr>
          <w:spacing w:val="-2"/>
          <w:sz w:val="18"/>
          <w:vertAlign w:val="baseline"/>
        </w:rPr>
        <w:t> </w:t>
      </w:r>
      <w:r>
        <w:rPr>
          <w:sz w:val="18"/>
          <w:vertAlign w:val="baseline"/>
        </w:rPr>
        <w:t>for</w:t>
      </w:r>
      <w:r>
        <w:rPr>
          <w:spacing w:val="-1"/>
          <w:sz w:val="18"/>
          <w:vertAlign w:val="baseline"/>
        </w:rPr>
        <w:t> </w:t>
      </w:r>
      <w:r>
        <w:rPr>
          <w:sz w:val="18"/>
          <w:vertAlign w:val="baseline"/>
        </w:rPr>
        <w:t>Youth,</w:t>
      </w:r>
      <w:r>
        <w:rPr>
          <w:spacing w:val="-2"/>
          <w:sz w:val="18"/>
          <w:vertAlign w:val="baseline"/>
        </w:rPr>
        <w:t> </w:t>
      </w:r>
      <w:r>
        <w:rPr>
          <w:sz w:val="18"/>
          <w:vertAlign w:val="baseline"/>
        </w:rPr>
        <w:t>accessed</w:t>
      </w:r>
      <w:r>
        <w:rPr>
          <w:spacing w:val="-1"/>
          <w:sz w:val="18"/>
          <w:vertAlign w:val="baseline"/>
        </w:rPr>
        <w:t> </w:t>
      </w:r>
      <w:r>
        <w:rPr>
          <w:sz w:val="18"/>
          <w:vertAlign w:val="baseline"/>
        </w:rPr>
        <w:t>December</w:t>
      </w:r>
      <w:r>
        <w:rPr>
          <w:spacing w:val="-1"/>
          <w:sz w:val="18"/>
          <w:vertAlign w:val="baseline"/>
        </w:rPr>
        <w:t> </w:t>
      </w:r>
      <w:r>
        <w:rPr>
          <w:sz w:val="18"/>
          <w:vertAlign w:val="baseline"/>
        </w:rPr>
        <w:t>17,</w:t>
      </w:r>
      <w:r>
        <w:rPr>
          <w:spacing w:val="-2"/>
          <w:sz w:val="18"/>
          <w:vertAlign w:val="baseline"/>
        </w:rPr>
        <w:t> </w:t>
      </w:r>
      <w:r>
        <w:rPr>
          <w:sz w:val="18"/>
          <w:vertAlign w:val="baseline"/>
        </w:rPr>
        <w:t>2022,</w:t>
      </w:r>
      <w:r>
        <w:rPr>
          <w:spacing w:val="-2"/>
          <w:sz w:val="18"/>
          <w:vertAlign w:val="baseline"/>
        </w:rPr>
        <w:t> https://</w:t>
      </w:r>
      <w:hyperlink r:id="rId167">
        <w:r>
          <w:rPr>
            <w:spacing w:val="-2"/>
            <w:sz w:val="18"/>
            <w:vertAlign w:val="baseline"/>
          </w:rPr>
          <w:t>www.advocatesforyouth.org/.</w:t>
        </w:r>
      </w:hyperlink>
    </w:p>
    <w:p>
      <w:pPr>
        <w:spacing w:before="4"/>
        <w:ind w:left="463" w:right="0" w:firstLine="0"/>
        <w:jc w:val="left"/>
        <w:rPr>
          <w:sz w:val="18"/>
        </w:rPr>
      </w:pPr>
      <w:r>
        <w:rPr>
          <w:sz w:val="18"/>
          <w:vertAlign w:val="superscript"/>
        </w:rPr>
        <w:t>158</w:t>
      </w:r>
      <w:r>
        <w:rPr>
          <w:spacing w:val="-12"/>
          <w:sz w:val="18"/>
          <w:vertAlign w:val="baseline"/>
        </w:rPr>
        <w:t> </w:t>
      </w:r>
      <w:r>
        <w:rPr>
          <w:sz w:val="18"/>
          <w:vertAlign w:val="baseline"/>
        </w:rPr>
        <w:t>Winthrop</w:t>
      </w:r>
      <w:r>
        <w:rPr>
          <w:spacing w:val="-1"/>
          <w:sz w:val="18"/>
          <w:vertAlign w:val="baseline"/>
        </w:rPr>
        <w:t> </w:t>
      </w:r>
      <w:r>
        <w:rPr>
          <w:sz w:val="18"/>
          <w:vertAlign w:val="baseline"/>
        </w:rPr>
        <w:t>CASA,</w:t>
      </w:r>
      <w:r>
        <w:rPr>
          <w:spacing w:val="-1"/>
          <w:sz w:val="18"/>
          <w:vertAlign w:val="baseline"/>
        </w:rPr>
        <w:t> </w:t>
      </w:r>
      <w:r>
        <w:rPr>
          <w:sz w:val="18"/>
          <w:vertAlign w:val="baseline"/>
        </w:rPr>
        <w:t>accessed January 8,</w:t>
      </w:r>
      <w:r>
        <w:rPr>
          <w:spacing w:val="-1"/>
          <w:sz w:val="18"/>
          <w:vertAlign w:val="baseline"/>
        </w:rPr>
        <w:t> </w:t>
      </w:r>
      <w:r>
        <w:rPr>
          <w:sz w:val="18"/>
          <w:vertAlign w:val="baseline"/>
        </w:rPr>
        <w:t>2023,</w:t>
      </w:r>
      <w:r>
        <w:rPr>
          <w:spacing w:val="-1"/>
          <w:sz w:val="18"/>
          <w:vertAlign w:val="baseline"/>
        </w:rPr>
        <w:t> </w:t>
      </w:r>
      <w:r>
        <w:rPr>
          <w:spacing w:val="-2"/>
          <w:sz w:val="18"/>
          <w:vertAlign w:val="baseline"/>
        </w:rPr>
        <w:t>https</w:t>
      </w:r>
      <w:hyperlink r:id="rId168">
        <w:r>
          <w:rPr>
            <w:spacing w:val="-2"/>
            <w:sz w:val="18"/>
            <w:vertAlign w:val="baseline"/>
          </w:rPr>
          <w:t>://www.winthropcasa.org.</w:t>
        </w:r>
      </w:hyperlink>
    </w:p>
    <w:p>
      <w:pPr>
        <w:spacing w:line="271" w:lineRule="auto" w:before="20"/>
        <w:ind w:left="463" w:right="0" w:hanging="1"/>
        <w:jc w:val="left"/>
        <w:rPr>
          <w:sz w:val="18"/>
        </w:rPr>
      </w:pPr>
      <w:r>
        <w:rPr>
          <w:sz w:val="18"/>
          <w:vertAlign w:val="superscript"/>
        </w:rPr>
        <w:t>159</w:t>
      </w:r>
      <w:r>
        <w:rPr>
          <w:spacing w:val="-12"/>
          <w:sz w:val="18"/>
          <w:vertAlign w:val="baseline"/>
        </w:rPr>
        <w:t> </w:t>
      </w:r>
      <w:r>
        <w:rPr>
          <w:sz w:val="18"/>
          <w:vertAlign w:val="baseline"/>
        </w:rPr>
        <w:t>Jessica</w:t>
      </w:r>
      <w:r>
        <w:rPr>
          <w:spacing w:val="-2"/>
          <w:sz w:val="18"/>
          <w:vertAlign w:val="baseline"/>
        </w:rPr>
        <w:t> </w:t>
      </w:r>
      <w:r>
        <w:rPr>
          <w:sz w:val="18"/>
          <w:vertAlign w:val="baseline"/>
        </w:rPr>
        <w:t>N.</w:t>
      </w:r>
      <w:r>
        <w:rPr>
          <w:spacing w:val="-1"/>
          <w:sz w:val="18"/>
          <w:vertAlign w:val="baseline"/>
        </w:rPr>
        <w:t> </w:t>
      </w:r>
      <w:r>
        <w:rPr>
          <w:sz w:val="18"/>
          <w:vertAlign w:val="baseline"/>
        </w:rPr>
        <w:t>Fish</w:t>
      </w:r>
      <w:r>
        <w:rPr>
          <w:spacing w:val="-1"/>
          <w:sz w:val="18"/>
          <w:vertAlign w:val="baseline"/>
        </w:rPr>
        <w:t> </w:t>
      </w:r>
      <w:r>
        <w:rPr>
          <w:sz w:val="18"/>
          <w:vertAlign w:val="baseline"/>
        </w:rPr>
        <w:t>et</w:t>
      </w:r>
      <w:r>
        <w:rPr>
          <w:spacing w:val="-2"/>
          <w:sz w:val="18"/>
          <w:vertAlign w:val="baseline"/>
        </w:rPr>
        <w:t> </w:t>
      </w:r>
      <w:r>
        <w:rPr>
          <w:sz w:val="18"/>
          <w:vertAlign w:val="baseline"/>
        </w:rPr>
        <w:t>al.,</w:t>
      </w:r>
      <w:r>
        <w:rPr>
          <w:spacing w:val="-2"/>
          <w:sz w:val="18"/>
          <w:vertAlign w:val="baseline"/>
        </w:rPr>
        <w:t> </w:t>
      </w:r>
      <w:r>
        <w:rPr>
          <w:sz w:val="18"/>
          <w:vertAlign w:val="baseline"/>
        </w:rPr>
        <w:t>“LGBTQ</w:t>
      </w:r>
      <w:r>
        <w:rPr>
          <w:spacing w:val="-2"/>
          <w:sz w:val="18"/>
          <w:vertAlign w:val="baseline"/>
        </w:rPr>
        <w:t> </w:t>
      </w:r>
      <w:r>
        <w:rPr>
          <w:sz w:val="18"/>
          <w:vertAlign w:val="baseline"/>
        </w:rPr>
        <w:t>Youth-Serving</w:t>
      </w:r>
      <w:r>
        <w:rPr>
          <w:spacing w:val="-1"/>
          <w:sz w:val="18"/>
          <w:vertAlign w:val="baseline"/>
        </w:rPr>
        <w:t> </w:t>
      </w:r>
      <w:r>
        <w:rPr>
          <w:sz w:val="18"/>
          <w:vertAlign w:val="baseline"/>
        </w:rPr>
        <w:t>Community-Based</w:t>
      </w:r>
      <w:r>
        <w:rPr>
          <w:spacing w:val="-1"/>
          <w:sz w:val="18"/>
          <w:vertAlign w:val="baseline"/>
        </w:rPr>
        <w:t> </w:t>
      </w:r>
      <w:r>
        <w:rPr>
          <w:sz w:val="18"/>
          <w:vertAlign w:val="baseline"/>
        </w:rPr>
        <w:t>Organizations:</w:t>
      </w:r>
      <w:r>
        <w:rPr>
          <w:spacing w:val="-1"/>
          <w:sz w:val="18"/>
          <w:vertAlign w:val="baseline"/>
        </w:rPr>
        <w:t> </w:t>
      </w:r>
      <w:r>
        <w:rPr>
          <w:sz w:val="18"/>
          <w:vertAlign w:val="baseline"/>
        </w:rPr>
        <w:t>Who</w:t>
      </w:r>
      <w:r>
        <w:rPr>
          <w:spacing w:val="-1"/>
          <w:sz w:val="18"/>
          <w:vertAlign w:val="baseline"/>
        </w:rPr>
        <w:t> </w:t>
      </w:r>
      <w:r>
        <w:rPr>
          <w:sz w:val="18"/>
          <w:vertAlign w:val="baseline"/>
        </w:rPr>
        <w:t>Participates</w:t>
      </w:r>
      <w:r>
        <w:rPr>
          <w:spacing w:val="-2"/>
          <w:sz w:val="18"/>
          <w:vertAlign w:val="baseline"/>
        </w:rPr>
        <w:t> </w:t>
      </w:r>
      <w:r>
        <w:rPr>
          <w:sz w:val="18"/>
          <w:vertAlign w:val="baseline"/>
        </w:rPr>
        <w:t>and</w:t>
      </w:r>
      <w:r>
        <w:rPr>
          <w:spacing w:val="-1"/>
          <w:sz w:val="18"/>
          <w:vertAlign w:val="baseline"/>
        </w:rPr>
        <w:t> </w:t>
      </w:r>
      <w:r>
        <w:rPr>
          <w:sz w:val="18"/>
          <w:vertAlign w:val="baseline"/>
        </w:rPr>
        <w:t>What</w:t>
      </w:r>
      <w:r>
        <w:rPr>
          <w:spacing w:val="-2"/>
          <w:sz w:val="18"/>
          <w:vertAlign w:val="baseline"/>
        </w:rPr>
        <w:t> </w:t>
      </w:r>
      <w:r>
        <w:rPr>
          <w:sz w:val="18"/>
          <w:vertAlign w:val="baseline"/>
        </w:rPr>
        <w:t>Difference</w:t>
      </w:r>
      <w:r>
        <w:rPr>
          <w:spacing w:val="-1"/>
          <w:sz w:val="18"/>
          <w:vertAlign w:val="baseline"/>
        </w:rPr>
        <w:t> </w:t>
      </w:r>
      <w:r>
        <w:rPr>
          <w:sz w:val="18"/>
          <w:vertAlign w:val="baseline"/>
        </w:rPr>
        <w:t>Does</w:t>
      </w:r>
      <w:r>
        <w:rPr>
          <w:spacing w:val="-1"/>
          <w:sz w:val="18"/>
          <w:vertAlign w:val="baseline"/>
        </w:rPr>
        <w:t> </w:t>
      </w:r>
      <w:r>
        <w:rPr>
          <w:sz w:val="18"/>
          <w:vertAlign w:val="baseline"/>
        </w:rPr>
        <w:t>It Make?,” </w:t>
      </w:r>
      <w:r>
        <w:rPr>
          <w:i/>
          <w:sz w:val="18"/>
          <w:vertAlign w:val="baseline"/>
        </w:rPr>
        <w:t>Journal of Youth and Adolescence </w:t>
      </w:r>
      <w:r>
        <w:rPr>
          <w:sz w:val="18"/>
          <w:vertAlign w:val="baseline"/>
        </w:rPr>
        <w:t>48, no. 12 (December 1, 2019): 2418–31, https://doi.org/10.1007/s10964-019-</w:t>
      </w:r>
    </w:p>
    <w:p>
      <w:pPr>
        <w:spacing w:line="214" w:lineRule="exact" w:before="0"/>
        <w:ind w:left="463" w:right="0" w:firstLine="0"/>
        <w:jc w:val="left"/>
        <w:rPr>
          <w:sz w:val="18"/>
        </w:rPr>
      </w:pPr>
      <w:r>
        <w:rPr>
          <w:spacing w:val="-2"/>
          <w:sz w:val="18"/>
        </w:rPr>
        <w:t>01129-</w:t>
      </w:r>
      <w:r>
        <w:rPr>
          <w:spacing w:val="-10"/>
          <w:sz w:val="18"/>
        </w:rPr>
        <w:t>5</w:t>
      </w:r>
    </w:p>
    <w:p>
      <w:pPr>
        <w:spacing w:after="0" w:line="214" w:lineRule="exact"/>
        <w:jc w:val="left"/>
        <w:rPr>
          <w:sz w:val="18"/>
        </w:rPr>
        <w:sectPr>
          <w:pgSz w:w="11910" w:h="16840"/>
          <w:pgMar w:header="804" w:footer="1277" w:top="1080" w:bottom="1480" w:left="980" w:right="900"/>
        </w:sectPr>
      </w:pPr>
    </w:p>
    <w:p>
      <w:pPr>
        <w:pStyle w:val="BodyText"/>
        <w:rPr>
          <w:sz w:val="34"/>
        </w:rPr>
      </w:pPr>
    </w:p>
    <w:p>
      <w:pPr>
        <w:pStyle w:val="BodyText"/>
        <w:spacing w:before="243"/>
        <w:rPr>
          <w:sz w:val="34"/>
        </w:rPr>
      </w:pPr>
    </w:p>
    <w:p>
      <w:pPr>
        <w:spacing w:line="359" w:lineRule="exact" w:before="1"/>
        <w:ind w:left="674" w:right="0" w:firstLine="0"/>
        <w:jc w:val="left"/>
        <w:rPr>
          <w:sz w:val="34"/>
        </w:rPr>
      </w:pPr>
      <w:bookmarkStart w:name="Flyer Template for Reports Gianna, Theo " w:id="232"/>
      <w:bookmarkEnd w:id="232"/>
      <w:r>
        <w:rPr/>
      </w:r>
      <w:r>
        <w:rPr>
          <w:color w:val="FFFFFF"/>
          <w:w w:val="120"/>
          <w:sz w:val="34"/>
        </w:rPr>
        <w:t>COMMISSION</w:t>
      </w:r>
      <w:r>
        <w:rPr>
          <w:color w:val="FFFFFF"/>
          <w:spacing w:val="17"/>
          <w:w w:val="120"/>
          <w:sz w:val="34"/>
        </w:rPr>
        <w:t> </w:t>
      </w:r>
      <w:r>
        <w:rPr>
          <w:color w:val="FFFFFF"/>
          <w:w w:val="120"/>
          <w:sz w:val="34"/>
        </w:rPr>
        <w:t>ON</w:t>
      </w:r>
      <w:r>
        <w:rPr>
          <w:color w:val="FFFFFF"/>
          <w:spacing w:val="17"/>
          <w:w w:val="120"/>
          <w:sz w:val="34"/>
        </w:rPr>
        <w:t> </w:t>
      </w:r>
      <w:r>
        <w:rPr>
          <w:color w:val="FFFFFF"/>
          <w:w w:val="120"/>
          <w:sz w:val="34"/>
        </w:rPr>
        <w:t>LGBTQ</w:t>
      </w:r>
      <w:r>
        <w:rPr>
          <w:color w:val="FFFFFF"/>
          <w:spacing w:val="17"/>
          <w:w w:val="120"/>
          <w:sz w:val="34"/>
        </w:rPr>
        <w:t> </w:t>
      </w:r>
      <w:r>
        <w:rPr>
          <w:color w:val="FFFFFF"/>
          <w:spacing w:val="-2"/>
          <w:w w:val="120"/>
          <w:sz w:val="34"/>
        </w:rPr>
        <w:t>YOUTH</w:t>
      </w:r>
    </w:p>
    <w:p>
      <w:pPr>
        <w:pStyle w:val="Heading1"/>
        <w:spacing w:line="187" w:lineRule="auto"/>
        <w:ind w:left="674" w:right="3584"/>
      </w:pPr>
      <w:r>
        <w:rPr>
          <w:color w:val="FFFFFF"/>
          <w:spacing w:val="-18"/>
        </w:rPr>
        <w:t>PUBLIC </w:t>
      </w:r>
      <w:r>
        <w:rPr>
          <w:color w:val="FFFFFF"/>
          <w:spacing w:val="-2"/>
          <w:w w:val="90"/>
        </w:rPr>
        <w:t>HEALTH</w:t>
      </w:r>
    </w:p>
    <w:p>
      <w:pPr>
        <w:pStyle w:val="BodyText"/>
        <w:rPr>
          <w:rFonts w:ascii="Arial Black"/>
          <w:sz w:val="20"/>
        </w:rPr>
      </w:pPr>
    </w:p>
    <w:p>
      <w:pPr>
        <w:pStyle w:val="BodyText"/>
        <w:rPr>
          <w:rFonts w:ascii="Arial Black"/>
          <w:sz w:val="20"/>
        </w:rPr>
      </w:pPr>
    </w:p>
    <w:p>
      <w:pPr>
        <w:pStyle w:val="BodyText"/>
        <w:rPr>
          <w:rFonts w:ascii="Arial Black"/>
          <w:sz w:val="20"/>
        </w:rPr>
      </w:pPr>
    </w:p>
    <w:p>
      <w:pPr>
        <w:pStyle w:val="BodyText"/>
        <w:spacing w:before="115"/>
        <w:rPr>
          <w:rFonts w:ascii="Arial Black"/>
          <w:sz w:val="20"/>
        </w:rPr>
      </w:pPr>
    </w:p>
    <w:p>
      <w:pPr>
        <w:spacing w:after="0"/>
        <w:rPr>
          <w:rFonts w:ascii="Arial Black"/>
          <w:sz w:val="20"/>
        </w:rPr>
        <w:sectPr>
          <w:headerReference w:type="default" r:id="rId169"/>
          <w:footerReference w:type="default" r:id="rId170"/>
          <w:pgSz w:w="12240" w:h="15840"/>
          <w:pgMar w:header="0" w:footer="0" w:top="0" w:bottom="280" w:left="920" w:right="340"/>
        </w:sectPr>
      </w:pPr>
    </w:p>
    <w:p>
      <w:pPr>
        <w:pStyle w:val="Heading9"/>
        <w:rPr>
          <w:i/>
        </w:rPr>
      </w:pPr>
      <w:r>
        <w:rPr>
          <w:i/>
          <w:spacing w:val="11"/>
          <w:w w:val="125"/>
        </w:rPr>
        <w:t>ABOUT</w:t>
      </w:r>
    </w:p>
    <w:p>
      <w:pPr>
        <w:spacing w:line="268" w:lineRule="auto" w:before="133"/>
        <w:ind w:left="323" w:right="38" w:firstLine="0"/>
        <w:jc w:val="both"/>
        <w:rPr>
          <w:rFonts w:ascii="Georgia"/>
          <w:sz w:val="20"/>
        </w:rPr>
      </w:pPr>
      <w:r>
        <w:rPr/>
        <mc:AlternateContent>
          <mc:Choice Requires="wps">
            <w:drawing>
              <wp:anchor distT="0" distB="0" distL="0" distR="0" allowOverlap="1" layoutInCell="1" locked="0" behindDoc="1" simplePos="0" relativeHeight="482577920">
                <wp:simplePos x="0" y="0"/>
                <wp:positionH relativeFrom="page">
                  <wp:posOffset>655211</wp:posOffset>
                </wp:positionH>
                <wp:positionV relativeFrom="paragraph">
                  <wp:posOffset>2422222</wp:posOffset>
                </wp:positionV>
                <wp:extent cx="3473450" cy="2303780"/>
                <wp:effectExtent l="0" t="0" r="0" b="0"/>
                <wp:wrapNone/>
                <wp:docPr id="191" name="Group 191"/>
                <wp:cNvGraphicFramePr>
                  <a:graphicFrameLocks/>
                </wp:cNvGraphicFramePr>
                <a:graphic>
                  <a:graphicData uri="http://schemas.microsoft.com/office/word/2010/wordprocessingGroup">
                    <wpg:wgp>
                      <wpg:cNvPr id="191" name="Group 191"/>
                      <wpg:cNvGrpSpPr/>
                      <wpg:grpSpPr>
                        <a:xfrm>
                          <a:off x="0" y="0"/>
                          <a:ext cx="3473450" cy="2303780"/>
                          <a:chExt cx="3473450" cy="2303780"/>
                        </a:xfrm>
                      </wpg:grpSpPr>
                      <pic:pic>
                        <pic:nvPicPr>
                          <pic:cNvPr id="192" name="Image 192"/>
                          <pic:cNvPicPr/>
                        </pic:nvPicPr>
                        <pic:blipFill>
                          <a:blip r:embed="rId171" cstate="print"/>
                          <a:stretch>
                            <a:fillRect/>
                          </a:stretch>
                        </pic:blipFill>
                        <pic:spPr>
                          <a:xfrm>
                            <a:off x="0" y="0"/>
                            <a:ext cx="3473213" cy="2303478"/>
                          </a:xfrm>
                          <a:prstGeom prst="rect">
                            <a:avLst/>
                          </a:prstGeom>
                        </pic:spPr>
                      </pic:pic>
                      <wps:wsp>
                        <wps:cNvPr id="193" name="Textbox 193"/>
                        <wps:cNvSpPr txBox="1"/>
                        <wps:spPr>
                          <a:xfrm>
                            <a:off x="121800" y="66265"/>
                            <a:ext cx="3326765" cy="1373505"/>
                          </a:xfrm>
                          <a:prstGeom prst="rect">
                            <a:avLst/>
                          </a:prstGeom>
                        </wps:spPr>
                        <wps:txbx>
                          <w:txbxContent>
                            <w:p>
                              <w:pPr>
                                <w:spacing w:before="26"/>
                                <w:ind w:left="20" w:right="0" w:firstLine="0"/>
                                <w:jc w:val="left"/>
                                <w:rPr>
                                  <w:b/>
                                  <w:i/>
                                  <w:sz w:val="34"/>
                                </w:rPr>
                              </w:pPr>
                              <w:r>
                                <w:rPr>
                                  <w:b/>
                                  <w:i/>
                                  <w:spacing w:val="13"/>
                                  <w:w w:val="125"/>
                                  <w:sz w:val="34"/>
                                </w:rPr>
                                <w:t>RECOMMENDATIONS</w:t>
                              </w:r>
                            </w:p>
                            <w:p>
                              <w:pPr>
                                <w:spacing w:line="261" w:lineRule="auto" w:before="119"/>
                                <w:ind w:left="772" w:right="0" w:firstLine="0"/>
                                <w:jc w:val="left"/>
                                <w:rPr>
                                  <w:rFonts w:ascii="Georgia"/>
                                  <w:sz w:val="19"/>
                                </w:rPr>
                              </w:pPr>
                              <w:r>
                                <w:rPr>
                                  <w:rFonts w:ascii="Georgia"/>
                                  <w:sz w:val="19"/>
                                </w:rPr>
                                <w:t>Create and expand community-based public health </w:t>
                              </w:r>
                              <w:r>
                                <w:rPr>
                                  <w:rFonts w:ascii="Georgia"/>
                                  <w:w w:val="105"/>
                                  <w:sz w:val="19"/>
                                </w:rPr>
                                <w:t>programming that is accessible and engaging to youth with the most barriers to access.</w:t>
                              </w:r>
                            </w:p>
                            <w:p>
                              <w:pPr>
                                <w:spacing w:line="240" w:lineRule="auto" w:before="205"/>
                                <w:rPr>
                                  <w:rFonts w:ascii="Georgia"/>
                                  <w:sz w:val="19"/>
                                </w:rPr>
                              </w:pPr>
                            </w:p>
                            <w:p>
                              <w:pPr>
                                <w:spacing w:line="261" w:lineRule="auto" w:before="0"/>
                                <w:ind w:left="772" w:right="0" w:firstLine="0"/>
                                <w:jc w:val="left"/>
                                <w:rPr>
                                  <w:rFonts w:ascii="Georgia"/>
                                  <w:sz w:val="19"/>
                                </w:rPr>
                              </w:pPr>
                              <w:r>
                                <w:rPr>
                                  <w:rFonts w:ascii="Georgia"/>
                                  <w:spacing w:val="-2"/>
                                  <w:w w:val="105"/>
                                  <w:sz w:val="19"/>
                                </w:rPr>
                                <w:t>Increase</w:t>
                              </w:r>
                              <w:r>
                                <w:rPr>
                                  <w:rFonts w:ascii="Georgia"/>
                                  <w:spacing w:val="-9"/>
                                  <w:w w:val="105"/>
                                  <w:sz w:val="19"/>
                                </w:rPr>
                                <w:t> </w:t>
                              </w:r>
                              <w:r>
                                <w:rPr>
                                  <w:rFonts w:ascii="Georgia"/>
                                  <w:spacing w:val="-2"/>
                                  <w:w w:val="105"/>
                                  <w:sz w:val="19"/>
                                </w:rPr>
                                <w:t>funding</w:t>
                              </w:r>
                              <w:r>
                                <w:rPr>
                                  <w:rFonts w:ascii="Georgia"/>
                                  <w:spacing w:val="-9"/>
                                  <w:w w:val="105"/>
                                  <w:sz w:val="19"/>
                                </w:rPr>
                                <w:t> </w:t>
                              </w:r>
                              <w:r>
                                <w:rPr>
                                  <w:rFonts w:ascii="Georgia"/>
                                  <w:spacing w:val="-2"/>
                                  <w:w w:val="105"/>
                                  <w:sz w:val="19"/>
                                </w:rPr>
                                <w:t>to</w:t>
                              </w:r>
                              <w:r>
                                <w:rPr>
                                  <w:rFonts w:ascii="Georgia"/>
                                  <w:spacing w:val="-9"/>
                                  <w:w w:val="105"/>
                                  <w:sz w:val="19"/>
                                </w:rPr>
                                <w:t> </w:t>
                              </w:r>
                              <w:r>
                                <w:rPr>
                                  <w:rFonts w:ascii="Georgia"/>
                                  <w:spacing w:val="-2"/>
                                  <w:w w:val="105"/>
                                  <w:sz w:val="19"/>
                                </w:rPr>
                                <w:t>organizations</w:t>
                              </w:r>
                              <w:r>
                                <w:rPr>
                                  <w:rFonts w:ascii="Georgia"/>
                                  <w:spacing w:val="-9"/>
                                  <w:w w:val="105"/>
                                  <w:sz w:val="19"/>
                                </w:rPr>
                                <w:t> </w:t>
                              </w:r>
                              <w:r>
                                <w:rPr>
                                  <w:rFonts w:ascii="Georgia"/>
                                  <w:spacing w:val="-2"/>
                                  <w:w w:val="105"/>
                                  <w:sz w:val="19"/>
                                </w:rPr>
                                <w:t>that</w:t>
                              </w:r>
                              <w:r>
                                <w:rPr>
                                  <w:rFonts w:ascii="Georgia"/>
                                  <w:spacing w:val="-9"/>
                                  <w:w w:val="105"/>
                                  <w:sz w:val="19"/>
                                </w:rPr>
                                <w:t> </w:t>
                              </w:r>
                              <w:r>
                                <w:rPr>
                                  <w:rFonts w:ascii="Georgia"/>
                                  <w:spacing w:val="-2"/>
                                  <w:w w:val="105"/>
                                  <w:sz w:val="19"/>
                                </w:rPr>
                                <w:t>support </w:t>
                              </w:r>
                              <w:r>
                                <w:rPr>
                                  <w:rFonts w:ascii="Georgia"/>
                                  <w:sz w:val="19"/>
                                </w:rPr>
                                <w:t>LGBTQ</w:t>
                              </w:r>
                              <w:r>
                                <w:rPr>
                                  <w:rFonts w:ascii="Georgia"/>
                                  <w:spacing w:val="4"/>
                                  <w:sz w:val="19"/>
                                </w:rPr>
                                <w:t> </w:t>
                              </w:r>
                              <w:r>
                                <w:rPr>
                                  <w:rFonts w:ascii="Georgia"/>
                                  <w:sz w:val="19"/>
                                </w:rPr>
                                <w:t>survivors</w:t>
                              </w:r>
                              <w:r>
                                <w:rPr>
                                  <w:rFonts w:ascii="Georgia"/>
                                  <w:spacing w:val="4"/>
                                  <w:sz w:val="19"/>
                                </w:rPr>
                                <w:t> </w:t>
                              </w:r>
                              <w:r>
                                <w:rPr>
                                  <w:rFonts w:ascii="Georgia"/>
                                  <w:sz w:val="19"/>
                                </w:rPr>
                                <w:t>of</w:t>
                              </w:r>
                              <w:r>
                                <w:rPr>
                                  <w:rFonts w:ascii="Georgia"/>
                                  <w:spacing w:val="4"/>
                                  <w:sz w:val="19"/>
                                </w:rPr>
                                <w:t> </w:t>
                              </w:r>
                              <w:r>
                                <w:rPr>
                                  <w:rFonts w:ascii="Georgia"/>
                                  <w:sz w:val="19"/>
                                </w:rPr>
                                <w:t>intimate</w:t>
                              </w:r>
                              <w:r>
                                <w:rPr>
                                  <w:rFonts w:ascii="Georgia"/>
                                  <w:spacing w:val="4"/>
                                  <w:sz w:val="19"/>
                                </w:rPr>
                                <w:t> </w:t>
                              </w:r>
                              <w:r>
                                <w:rPr>
                                  <w:rFonts w:ascii="Georgia"/>
                                  <w:sz w:val="19"/>
                                </w:rPr>
                                <w:t>partner</w:t>
                              </w:r>
                              <w:r>
                                <w:rPr>
                                  <w:rFonts w:ascii="Georgia"/>
                                  <w:spacing w:val="4"/>
                                  <w:sz w:val="19"/>
                                </w:rPr>
                                <w:t> </w:t>
                              </w:r>
                              <w:r>
                                <w:rPr>
                                  <w:rFonts w:ascii="Georgia"/>
                                  <w:spacing w:val="-2"/>
                                  <w:sz w:val="19"/>
                                </w:rPr>
                                <w:t>violence.</w:t>
                              </w:r>
                            </w:p>
                          </w:txbxContent>
                        </wps:txbx>
                        <wps:bodyPr wrap="square" lIns="0" tIns="0" rIns="0" bIns="0" rtlCol="0">
                          <a:noAutofit/>
                        </wps:bodyPr>
                      </wps:wsp>
                      <wps:wsp>
                        <wps:cNvPr id="194" name="Textbox 194"/>
                        <wps:cNvSpPr txBox="1"/>
                        <wps:spPr>
                          <a:xfrm>
                            <a:off x="599797" y="1718065"/>
                            <a:ext cx="2712720" cy="469265"/>
                          </a:xfrm>
                          <a:prstGeom prst="rect">
                            <a:avLst/>
                          </a:prstGeom>
                        </wps:spPr>
                        <wps:txbx>
                          <w:txbxContent>
                            <w:p>
                              <w:pPr>
                                <w:spacing w:line="266" w:lineRule="auto" w:before="19"/>
                                <w:ind w:left="20" w:right="38" w:firstLine="0"/>
                                <w:jc w:val="left"/>
                                <w:rPr>
                                  <w:rFonts w:ascii="Georgia"/>
                                  <w:sz w:val="19"/>
                                </w:rPr>
                              </w:pPr>
                              <w:r>
                                <w:rPr>
                                  <w:rFonts w:ascii="Georgia"/>
                                  <w:sz w:val="19"/>
                                </w:rPr>
                                <w:t>Ensure that public schools, colleges, and universities have comprehensive anti-bullying, anti-cyberbullying, and anti-harassment policies.</w:t>
                              </w:r>
                            </w:p>
                          </w:txbxContent>
                        </wps:txbx>
                        <wps:bodyPr wrap="square" lIns="0" tIns="0" rIns="0" bIns="0" rtlCol="0">
                          <a:noAutofit/>
                        </wps:bodyPr>
                      </wps:wsp>
                    </wpg:wgp>
                  </a:graphicData>
                </a:graphic>
              </wp:anchor>
            </w:drawing>
          </mc:Choice>
          <mc:Fallback>
            <w:pict>
              <v:group style="position:absolute;margin-left:51.591461pt;margin-top:190.726212pt;width:273.5pt;height:181.4pt;mso-position-horizontal-relative:page;mso-position-vertical-relative:paragraph;z-index:-20738560" id="docshapegroup160" coordorigin="1032,3815" coordsize="5470,3628">
                <v:shape style="position:absolute;left:1031;top:3814;width:5470;height:3628" type="#_x0000_t75" id="docshape161" stroked="false">
                  <v:imagedata r:id="rId171" o:title=""/>
                </v:shape>
                <v:shape style="position:absolute;left:1223;top:3918;width:5239;height:2163" type="#_x0000_t202" id="docshape162" filled="false" stroked="false">
                  <v:textbox inset="0,0,0,0">
                    <w:txbxContent>
                      <w:p>
                        <w:pPr>
                          <w:spacing w:before="26"/>
                          <w:ind w:left="20" w:right="0" w:firstLine="0"/>
                          <w:jc w:val="left"/>
                          <w:rPr>
                            <w:b/>
                            <w:i/>
                            <w:sz w:val="34"/>
                          </w:rPr>
                        </w:pPr>
                        <w:r>
                          <w:rPr>
                            <w:b/>
                            <w:i/>
                            <w:spacing w:val="13"/>
                            <w:w w:val="125"/>
                            <w:sz w:val="34"/>
                          </w:rPr>
                          <w:t>RECOMMENDATIONS</w:t>
                        </w:r>
                      </w:p>
                      <w:p>
                        <w:pPr>
                          <w:spacing w:line="261" w:lineRule="auto" w:before="119"/>
                          <w:ind w:left="772" w:right="0" w:firstLine="0"/>
                          <w:jc w:val="left"/>
                          <w:rPr>
                            <w:rFonts w:ascii="Georgia"/>
                            <w:sz w:val="19"/>
                          </w:rPr>
                        </w:pPr>
                        <w:r>
                          <w:rPr>
                            <w:rFonts w:ascii="Georgia"/>
                            <w:sz w:val="19"/>
                          </w:rPr>
                          <w:t>Create and expand community-based public health </w:t>
                        </w:r>
                        <w:r>
                          <w:rPr>
                            <w:rFonts w:ascii="Georgia"/>
                            <w:w w:val="105"/>
                            <w:sz w:val="19"/>
                          </w:rPr>
                          <w:t>programming that is accessible and engaging to youth with the most barriers to access.</w:t>
                        </w:r>
                      </w:p>
                      <w:p>
                        <w:pPr>
                          <w:spacing w:line="240" w:lineRule="auto" w:before="205"/>
                          <w:rPr>
                            <w:rFonts w:ascii="Georgia"/>
                            <w:sz w:val="19"/>
                          </w:rPr>
                        </w:pPr>
                      </w:p>
                      <w:p>
                        <w:pPr>
                          <w:spacing w:line="261" w:lineRule="auto" w:before="0"/>
                          <w:ind w:left="772" w:right="0" w:firstLine="0"/>
                          <w:jc w:val="left"/>
                          <w:rPr>
                            <w:rFonts w:ascii="Georgia"/>
                            <w:sz w:val="19"/>
                          </w:rPr>
                        </w:pPr>
                        <w:r>
                          <w:rPr>
                            <w:rFonts w:ascii="Georgia"/>
                            <w:spacing w:val="-2"/>
                            <w:w w:val="105"/>
                            <w:sz w:val="19"/>
                          </w:rPr>
                          <w:t>Increase</w:t>
                        </w:r>
                        <w:r>
                          <w:rPr>
                            <w:rFonts w:ascii="Georgia"/>
                            <w:spacing w:val="-9"/>
                            <w:w w:val="105"/>
                            <w:sz w:val="19"/>
                          </w:rPr>
                          <w:t> </w:t>
                        </w:r>
                        <w:r>
                          <w:rPr>
                            <w:rFonts w:ascii="Georgia"/>
                            <w:spacing w:val="-2"/>
                            <w:w w:val="105"/>
                            <w:sz w:val="19"/>
                          </w:rPr>
                          <w:t>funding</w:t>
                        </w:r>
                        <w:r>
                          <w:rPr>
                            <w:rFonts w:ascii="Georgia"/>
                            <w:spacing w:val="-9"/>
                            <w:w w:val="105"/>
                            <w:sz w:val="19"/>
                          </w:rPr>
                          <w:t> </w:t>
                        </w:r>
                        <w:r>
                          <w:rPr>
                            <w:rFonts w:ascii="Georgia"/>
                            <w:spacing w:val="-2"/>
                            <w:w w:val="105"/>
                            <w:sz w:val="19"/>
                          </w:rPr>
                          <w:t>to</w:t>
                        </w:r>
                        <w:r>
                          <w:rPr>
                            <w:rFonts w:ascii="Georgia"/>
                            <w:spacing w:val="-9"/>
                            <w:w w:val="105"/>
                            <w:sz w:val="19"/>
                          </w:rPr>
                          <w:t> </w:t>
                        </w:r>
                        <w:r>
                          <w:rPr>
                            <w:rFonts w:ascii="Georgia"/>
                            <w:spacing w:val="-2"/>
                            <w:w w:val="105"/>
                            <w:sz w:val="19"/>
                          </w:rPr>
                          <w:t>organizations</w:t>
                        </w:r>
                        <w:r>
                          <w:rPr>
                            <w:rFonts w:ascii="Georgia"/>
                            <w:spacing w:val="-9"/>
                            <w:w w:val="105"/>
                            <w:sz w:val="19"/>
                          </w:rPr>
                          <w:t> </w:t>
                        </w:r>
                        <w:r>
                          <w:rPr>
                            <w:rFonts w:ascii="Georgia"/>
                            <w:spacing w:val="-2"/>
                            <w:w w:val="105"/>
                            <w:sz w:val="19"/>
                          </w:rPr>
                          <w:t>that</w:t>
                        </w:r>
                        <w:r>
                          <w:rPr>
                            <w:rFonts w:ascii="Georgia"/>
                            <w:spacing w:val="-9"/>
                            <w:w w:val="105"/>
                            <w:sz w:val="19"/>
                          </w:rPr>
                          <w:t> </w:t>
                        </w:r>
                        <w:r>
                          <w:rPr>
                            <w:rFonts w:ascii="Georgia"/>
                            <w:spacing w:val="-2"/>
                            <w:w w:val="105"/>
                            <w:sz w:val="19"/>
                          </w:rPr>
                          <w:t>support </w:t>
                        </w:r>
                        <w:r>
                          <w:rPr>
                            <w:rFonts w:ascii="Georgia"/>
                            <w:sz w:val="19"/>
                          </w:rPr>
                          <w:t>LGBTQ</w:t>
                        </w:r>
                        <w:r>
                          <w:rPr>
                            <w:rFonts w:ascii="Georgia"/>
                            <w:spacing w:val="4"/>
                            <w:sz w:val="19"/>
                          </w:rPr>
                          <w:t> </w:t>
                        </w:r>
                        <w:r>
                          <w:rPr>
                            <w:rFonts w:ascii="Georgia"/>
                            <w:sz w:val="19"/>
                          </w:rPr>
                          <w:t>survivors</w:t>
                        </w:r>
                        <w:r>
                          <w:rPr>
                            <w:rFonts w:ascii="Georgia"/>
                            <w:spacing w:val="4"/>
                            <w:sz w:val="19"/>
                          </w:rPr>
                          <w:t> </w:t>
                        </w:r>
                        <w:r>
                          <w:rPr>
                            <w:rFonts w:ascii="Georgia"/>
                            <w:sz w:val="19"/>
                          </w:rPr>
                          <w:t>of</w:t>
                        </w:r>
                        <w:r>
                          <w:rPr>
                            <w:rFonts w:ascii="Georgia"/>
                            <w:spacing w:val="4"/>
                            <w:sz w:val="19"/>
                          </w:rPr>
                          <w:t> </w:t>
                        </w:r>
                        <w:r>
                          <w:rPr>
                            <w:rFonts w:ascii="Georgia"/>
                            <w:sz w:val="19"/>
                          </w:rPr>
                          <w:t>intimate</w:t>
                        </w:r>
                        <w:r>
                          <w:rPr>
                            <w:rFonts w:ascii="Georgia"/>
                            <w:spacing w:val="4"/>
                            <w:sz w:val="19"/>
                          </w:rPr>
                          <w:t> </w:t>
                        </w:r>
                        <w:r>
                          <w:rPr>
                            <w:rFonts w:ascii="Georgia"/>
                            <w:sz w:val="19"/>
                          </w:rPr>
                          <w:t>partner</w:t>
                        </w:r>
                        <w:r>
                          <w:rPr>
                            <w:rFonts w:ascii="Georgia"/>
                            <w:spacing w:val="4"/>
                            <w:sz w:val="19"/>
                          </w:rPr>
                          <w:t> </w:t>
                        </w:r>
                        <w:r>
                          <w:rPr>
                            <w:rFonts w:ascii="Georgia"/>
                            <w:spacing w:val="-2"/>
                            <w:sz w:val="19"/>
                          </w:rPr>
                          <w:t>violence.</w:t>
                        </w:r>
                      </w:p>
                    </w:txbxContent>
                  </v:textbox>
                  <w10:wrap type="none"/>
                </v:shape>
                <v:shape style="position:absolute;left:1976;top:6520;width:4272;height:739" type="#_x0000_t202" id="docshape163" filled="false" stroked="false">
                  <v:textbox inset="0,0,0,0">
                    <w:txbxContent>
                      <w:p>
                        <w:pPr>
                          <w:spacing w:line="266" w:lineRule="auto" w:before="19"/>
                          <w:ind w:left="20" w:right="38" w:firstLine="0"/>
                          <w:jc w:val="left"/>
                          <w:rPr>
                            <w:rFonts w:ascii="Georgia"/>
                            <w:sz w:val="19"/>
                          </w:rPr>
                        </w:pPr>
                        <w:r>
                          <w:rPr>
                            <w:rFonts w:ascii="Georgia"/>
                            <w:sz w:val="19"/>
                          </w:rPr>
                          <w:t>Ensure that public schools, colleges, and universities have comprehensive anti-bullying, anti-cyberbullying, and anti-harassment policies.</w:t>
                        </w:r>
                      </w:p>
                    </w:txbxContent>
                  </v:textbox>
                  <w10:wrap type="none"/>
                </v:shape>
                <w10:wrap type="none"/>
              </v:group>
            </w:pict>
          </mc:Fallback>
        </mc:AlternateContent>
      </w:r>
      <w:r>
        <w:rPr>
          <w:rFonts w:ascii="Georgia"/>
          <w:w w:val="105"/>
          <w:sz w:val="20"/>
        </w:rPr>
        <w:t>The</w:t>
      </w:r>
      <w:r>
        <w:rPr>
          <w:rFonts w:ascii="Georgia"/>
          <w:spacing w:val="-13"/>
          <w:w w:val="105"/>
          <w:sz w:val="20"/>
        </w:rPr>
        <w:t> </w:t>
      </w:r>
      <w:r>
        <w:rPr>
          <w:rFonts w:ascii="Georgia"/>
          <w:w w:val="105"/>
          <w:sz w:val="20"/>
        </w:rPr>
        <w:t>public</w:t>
      </w:r>
      <w:r>
        <w:rPr>
          <w:rFonts w:ascii="Georgia"/>
          <w:spacing w:val="-13"/>
          <w:w w:val="105"/>
          <w:sz w:val="20"/>
        </w:rPr>
        <w:t> </w:t>
      </w:r>
      <w:r>
        <w:rPr>
          <w:rFonts w:ascii="Georgia"/>
          <w:w w:val="105"/>
          <w:sz w:val="20"/>
        </w:rPr>
        <w:t>health</w:t>
      </w:r>
      <w:r>
        <w:rPr>
          <w:rFonts w:ascii="Georgia"/>
          <w:spacing w:val="-12"/>
          <w:w w:val="105"/>
          <w:sz w:val="20"/>
        </w:rPr>
        <w:t> </w:t>
      </w:r>
      <w:r>
        <w:rPr>
          <w:rFonts w:ascii="Georgia"/>
          <w:w w:val="105"/>
          <w:sz w:val="20"/>
        </w:rPr>
        <w:t>crises</w:t>
      </w:r>
      <w:r>
        <w:rPr>
          <w:rFonts w:ascii="Georgia"/>
          <w:spacing w:val="-13"/>
          <w:w w:val="105"/>
          <w:sz w:val="20"/>
        </w:rPr>
        <w:t> </w:t>
      </w:r>
      <w:r>
        <w:rPr>
          <w:rFonts w:ascii="Georgia"/>
          <w:w w:val="105"/>
          <w:sz w:val="20"/>
        </w:rPr>
        <w:t>facing</w:t>
      </w:r>
      <w:r>
        <w:rPr>
          <w:rFonts w:ascii="Georgia"/>
          <w:spacing w:val="-13"/>
          <w:w w:val="105"/>
          <w:sz w:val="20"/>
        </w:rPr>
        <w:t> </w:t>
      </w:r>
      <w:r>
        <w:rPr>
          <w:rFonts w:ascii="Georgia"/>
          <w:w w:val="105"/>
          <w:sz w:val="20"/>
        </w:rPr>
        <w:t>LGBTQ</w:t>
      </w:r>
      <w:r>
        <w:rPr>
          <w:rFonts w:ascii="Georgia"/>
          <w:spacing w:val="-12"/>
          <w:w w:val="105"/>
          <w:sz w:val="20"/>
        </w:rPr>
        <w:t> </w:t>
      </w:r>
      <w:r>
        <w:rPr>
          <w:rFonts w:ascii="Georgia"/>
          <w:w w:val="105"/>
          <w:sz w:val="20"/>
        </w:rPr>
        <w:t>youth</w:t>
      </w:r>
      <w:r>
        <w:rPr>
          <w:rFonts w:ascii="Georgia"/>
          <w:spacing w:val="-13"/>
          <w:w w:val="105"/>
          <w:sz w:val="20"/>
        </w:rPr>
        <w:t> </w:t>
      </w:r>
      <w:r>
        <w:rPr>
          <w:rFonts w:ascii="Georgia"/>
          <w:w w:val="105"/>
          <w:sz w:val="20"/>
        </w:rPr>
        <w:t>are</w:t>
      </w:r>
      <w:r>
        <w:rPr>
          <w:rFonts w:ascii="Georgia"/>
          <w:spacing w:val="-13"/>
          <w:w w:val="105"/>
          <w:sz w:val="20"/>
        </w:rPr>
        <w:t> </w:t>
      </w:r>
      <w:r>
        <w:rPr>
          <w:rFonts w:ascii="Georgia"/>
          <w:w w:val="105"/>
          <w:sz w:val="20"/>
        </w:rPr>
        <w:t>largely not</w:t>
      </w:r>
      <w:r>
        <w:rPr>
          <w:rFonts w:ascii="Georgia"/>
          <w:w w:val="105"/>
          <w:sz w:val="20"/>
        </w:rPr>
        <w:t> because</w:t>
      </w:r>
      <w:r>
        <w:rPr>
          <w:rFonts w:ascii="Georgia"/>
          <w:w w:val="105"/>
          <w:sz w:val="20"/>
        </w:rPr>
        <w:t> of</w:t>
      </w:r>
      <w:r>
        <w:rPr>
          <w:rFonts w:ascii="Georgia"/>
          <w:w w:val="105"/>
          <w:sz w:val="20"/>
        </w:rPr>
        <w:t> individual</w:t>
      </w:r>
      <w:r>
        <w:rPr>
          <w:rFonts w:ascii="Georgia"/>
          <w:w w:val="105"/>
          <w:sz w:val="20"/>
        </w:rPr>
        <w:t> risk</w:t>
      </w:r>
      <w:r>
        <w:rPr>
          <w:rFonts w:ascii="Georgia"/>
          <w:w w:val="105"/>
          <w:sz w:val="20"/>
        </w:rPr>
        <w:t> factors,</w:t>
      </w:r>
      <w:r>
        <w:rPr>
          <w:rFonts w:ascii="Georgia"/>
          <w:w w:val="105"/>
          <w:sz w:val="20"/>
        </w:rPr>
        <w:t> but</w:t>
      </w:r>
      <w:r>
        <w:rPr>
          <w:rFonts w:ascii="Georgia"/>
          <w:w w:val="105"/>
          <w:sz w:val="20"/>
        </w:rPr>
        <w:t> rather systemic issues that affect how LGBTQ youth navigate the</w:t>
      </w:r>
      <w:r>
        <w:rPr>
          <w:rFonts w:ascii="Georgia"/>
          <w:spacing w:val="-13"/>
          <w:w w:val="105"/>
          <w:sz w:val="20"/>
        </w:rPr>
        <w:t> </w:t>
      </w:r>
      <w:r>
        <w:rPr>
          <w:rFonts w:ascii="Georgia"/>
          <w:w w:val="105"/>
          <w:sz w:val="20"/>
        </w:rPr>
        <w:t>spaces</w:t>
      </w:r>
      <w:r>
        <w:rPr>
          <w:rFonts w:ascii="Georgia"/>
          <w:spacing w:val="-13"/>
          <w:w w:val="105"/>
          <w:sz w:val="20"/>
        </w:rPr>
        <w:t> </w:t>
      </w:r>
      <w:r>
        <w:rPr>
          <w:rFonts w:ascii="Georgia"/>
          <w:w w:val="105"/>
          <w:sz w:val="20"/>
        </w:rPr>
        <w:t>in</w:t>
      </w:r>
      <w:r>
        <w:rPr>
          <w:rFonts w:ascii="Georgia"/>
          <w:spacing w:val="-12"/>
          <w:w w:val="105"/>
          <w:sz w:val="20"/>
        </w:rPr>
        <w:t> </w:t>
      </w:r>
      <w:r>
        <w:rPr>
          <w:rFonts w:ascii="Georgia"/>
          <w:w w:val="105"/>
          <w:sz w:val="20"/>
        </w:rPr>
        <w:t>which</w:t>
      </w:r>
      <w:r>
        <w:rPr>
          <w:rFonts w:ascii="Georgia"/>
          <w:spacing w:val="-13"/>
          <w:w w:val="105"/>
          <w:sz w:val="20"/>
        </w:rPr>
        <w:t> </w:t>
      </w:r>
      <w:r>
        <w:rPr>
          <w:rFonts w:ascii="Georgia"/>
          <w:w w:val="105"/>
          <w:sz w:val="20"/>
        </w:rPr>
        <w:t>they</w:t>
      </w:r>
      <w:r>
        <w:rPr>
          <w:rFonts w:ascii="Georgia"/>
          <w:spacing w:val="-13"/>
          <w:w w:val="105"/>
          <w:sz w:val="20"/>
        </w:rPr>
        <w:t> </w:t>
      </w:r>
      <w:r>
        <w:rPr>
          <w:rFonts w:ascii="Georgia"/>
          <w:w w:val="105"/>
          <w:sz w:val="20"/>
        </w:rPr>
        <w:t>exist.</w:t>
      </w:r>
      <w:r>
        <w:rPr>
          <w:rFonts w:ascii="Georgia"/>
          <w:spacing w:val="-12"/>
          <w:w w:val="105"/>
          <w:sz w:val="20"/>
        </w:rPr>
        <w:t> </w:t>
      </w:r>
      <w:r>
        <w:rPr>
          <w:rFonts w:ascii="Georgia"/>
          <w:w w:val="105"/>
          <w:sz w:val="20"/>
        </w:rPr>
        <w:t>Despite</w:t>
      </w:r>
      <w:r>
        <w:rPr>
          <w:rFonts w:ascii="Georgia"/>
          <w:spacing w:val="-13"/>
          <w:w w:val="105"/>
          <w:sz w:val="20"/>
        </w:rPr>
        <w:t> </w:t>
      </w:r>
      <w:r>
        <w:rPr>
          <w:rFonts w:ascii="Georgia"/>
          <w:w w:val="105"/>
          <w:sz w:val="20"/>
        </w:rPr>
        <w:t>hostility,</w:t>
      </w:r>
      <w:r>
        <w:rPr>
          <w:rFonts w:ascii="Georgia"/>
          <w:spacing w:val="-13"/>
          <w:w w:val="105"/>
          <w:sz w:val="20"/>
        </w:rPr>
        <w:t> </w:t>
      </w:r>
      <w:r>
        <w:rPr>
          <w:rFonts w:ascii="Georgia"/>
          <w:w w:val="105"/>
          <w:sz w:val="20"/>
        </w:rPr>
        <w:t>LGBTQ youth</w:t>
      </w:r>
      <w:r>
        <w:rPr>
          <w:rFonts w:ascii="Georgia"/>
          <w:w w:val="105"/>
          <w:sz w:val="20"/>
        </w:rPr>
        <w:t> continue</w:t>
      </w:r>
      <w:r>
        <w:rPr>
          <w:rFonts w:ascii="Georgia"/>
          <w:w w:val="105"/>
          <w:sz w:val="20"/>
        </w:rPr>
        <w:t> to</w:t>
      </w:r>
      <w:r>
        <w:rPr>
          <w:rFonts w:ascii="Georgia"/>
          <w:w w:val="105"/>
          <w:sz w:val="20"/>
        </w:rPr>
        <w:t> resist,</w:t>
      </w:r>
      <w:r>
        <w:rPr>
          <w:rFonts w:ascii="Georgia"/>
          <w:w w:val="105"/>
          <w:sz w:val="20"/>
        </w:rPr>
        <w:t> challenge,</w:t>
      </w:r>
      <w:r>
        <w:rPr>
          <w:rFonts w:ascii="Georgia"/>
          <w:w w:val="105"/>
          <w:sz w:val="20"/>
        </w:rPr>
        <w:t> and</w:t>
      </w:r>
      <w:r>
        <w:rPr>
          <w:rFonts w:ascii="Georgia"/>
          <w:w w:val="105"/>
          <w:sz w:val="20"/>
        </w:rPr>
        <w:t> change</w:t>
      </w:r>
      <w:r>
        <w:rPr>
          <w:rFonts w:ascii="Georgia"/>
          <w:w w:val="105"/>
          <w:sz w:val="20"/>
        </w:rPr>
        <w:t> the relationships,</w:t>
      </w:r>
      <w:r>
        <w:rPr>
          <w:rFonts w:ascii="Georgia"/>
          <w:w w:val="105"/>
          <w:sz w:val="20"/>
        </w:rPr>
        <w:t> communities,</w:t>
      </w:r>
      <w:r>
        <w:rPr>
          <w:rFonts w:ascii="Georgia"/>
          <w:w w:val="105"/>
          <w:sz w:val="20"/>
        </w:rPr>
        <w:t> institutions,</w:t>
      </w:r>
      <w:r>
        <w:rPr>
          <w:rFonts w:ascii="Georgia"/>
          <w:w w:val="105"/>
          <w:sz w:val="20"/>
        </w:rPr>
        <w:t> and</w:t>
      </w:r>
      <w:r>
        <w:rPr>
          <w:rFonts w:ascii="Georgia"/>
          <w:w w:val="105"/>
          <w:sz w:val="20"/>
        </w:rPr>
        <w:t> systems that</w:t>
      </w:r>
      <w:r>
        <w:rPr>
          <w:rFonts w:ascii="Georgia"/>
          <w:w w:val="105"/>
          <w:sz w:val="20"/>
        </w:rPr>
        <w:t> act</w:t>
      </w:r>
      <w:r>
        <w:rPr>
          <w:rFonts w:ascii="Georgia"/>
          <w:w w:val="105"/>
          <w:sz w:val="20"/>
        </w:rPr>
        <w:t> as</w:t>
      </w:r>
      <w:r>
        <w:rPr>
          <w:rFonts w:ascii="Georgia"/>
          <w:w w:val="105"/>
          <w:sz w:val="20"/>
        </w:rPr>
        <w:t> oppressive</w:t>
      </w:r>
      <w:r>
        <w:rPr>
          <w:rFonts w:ascii="Georgia"/>
          <w:w w:val="105"/>
          <w:sz w:val="20"/>
        </w:rPr>
        <w:t> forces.</w:t>
      </w:r>
      <w:r>
        <w:rPr>
          <w:rFonts w:ascii="Georgia"/>
          <w:w w:val="105"/>
          <w:sz w:val="20"/>
        </w:rPr>
        <w:t> Public</w:t>
      </w:r>
      <w:r>
        <w:rPr>
          <w:rFonts w:ascii="Georgia"/>
          <w:w w:val="105"/>
          <w:sz w:val="20"/>
        </w:rPr>
        <w:t> health</w:t>
      </w:r>
      <w:r>
        <w:rPr>
          <w:rFonts w:ascii="Georgia"/>
          <w:w w:val="105"/>
          <w:sz w:val="20"/>
        </w:rPr>
        <w:t> has</w:t>
      </w:r>
      <w:r>
        <w:rPr>
          <w:rFonts w:ascii="Georgia"/>
          <w:w w:val="105"/>
          <w:sz w:val="20"/>
        </w:rPr>
        <w:t> an obligation</w:t>
      </w:r>
      <w:r>
        <w:rPr>
          <w:rFonts w:ascii="Georgia"/>
          <w:w w:val="105"/>
          <w:sz w:val="20"/>
        </w:rPr>
        <w:t> to</w:t>
      </w:r>
      <w:r>
        <w:rPr>
          <w:rFonts w:ascii="Georgia"/>
          <w:w w:val="105"/>
          <w:sz w:val="20"/>
        </w:rPr>
        <w:t> support</w:t>
      </w:r>
      <w:r>
        <w:rPr>
          <w:rFonts w:ascii="Georgia"/>
          <w:w w:val="105"/>
          <w:sz w:val="20"/>
        </w:rPr>
        <w:t> and</w:t>
      </w:r>
      <w:r>
        <w:rPr>
          <w:rFonts w:ascii="Georgia"/>
          <w:w w:val="105"/>
          <w:sz w:val="20"/>
        </w:rPr>
        <w:t> uplift</w:t>
      </w:r>
      <w:r>
        <w:rPr>
          <w:rFonts w:ascii="Georgia"/>
          <w:w w:val="105"/>
          <w:sz w:val="20"/>
        </w:rPr>
        <w:t> LGBTQ</w:t>
      </w:r>
      <w:r>
        <w:rPr>
          <w:rFonts w:ascii="Georgia"/>
          <w:w w:val="105"/>
          <w:sz w:val="20"/>
        </w:rPr>
        <w:t> youth</w:t>
      </w:r>
      <w:r>
        <w:rPr>
          <w:rFonts w:ascii="Georgia"/>
          <w:w w:val="105"/>
          <w:sz w:val="20"/>
        </w:rPr>
        <w:t> as</w:t>
      </w:r>
      <w:r>
        <w:rPr>
          <w:rFonts w:ascii="Georgia"/>
          <w:w w:val="105"/>
          <w:sz w:val="20"/>
        </w:rPr>
        <w:t> they resist</w:t>
      </w:r>
      <w:r>
        <w:rPr>
          <w:rFonts w:ascii="Georgia"/>
          <w:w w:val="105"/>
          <w:sz w:val="20"/>
        </w:rPr>
        <w:t> unjust</w:t>
      </w:r>
      <w:r>
        <w:rPr>
          <w:rFonts w:ascii="Georgia"/>
          <w:w w:val="105"/>
          <w:sz w:val="20"/>
        </w:rPr>
        <w:t> and</w:t>
      </w:r>
      <w:r>
        <w:rPr>
          <w:rFonts w:ascii="Georgia"/>
          <w:w w:val="105"/>
          <w:sz w:val="20"/>
        </w:rPr>
        <w:t> oppressive</w:t>
      </w:r>
      <w:r>
        <w:rPr>
          <w:rFonts w:ascii="Georgia"/>
          <w:w w:val="105"/>
          <w:sz w:val="20"/>
        </w:rPr>
        <w:t> structures.</w:t>
      </w:r>
      <w:r>
        <w:rPr>
          <w:rFonts w:ascii="Georgia"/>
          <w:w w:val="105"/>
          <w:sz w:val="20"/>
        </w:rPr>
        <w:t> In</w:t>
      </w:r>
      <w:r>
        <w:rPr>
          <w:rFonts w:ascii="Georgia"/>
          <w:w w:val="105"/>
          <w:sz w:val="20"/>
        </w:rPr>
        <w:t> doing</w:t>
      </w:r>
      <w:r>
        <w:rPr>
          <w:rFonts w:ascii="Georgia"/>
          <w:w w:val="105"/>
          <w:sz w:val="20"/>
        </w:rPr>
        <w:t> so, policymakers,</w:t>
      </w:r>
      <w:r>
        <w:rPr>
          <w:rFonts w:ascii="Georgia"/>
          <w:spacing w:val="-12"/>
          <w:w w:val="105"/>
          <w:sz w:val="20"/>
        </w:rPr>
        <w:t> </w:t>
      </w:r>
      <w:r>
        <w:rPr>
          <w:rFonts w:ascii="Georgia"/>
          <w:w w:val="105"/>
          <w:sz w:val="20"/>
        </w:rPr>
        <w:t>providers,</w:t>
      </w:r>
      <w:r>
        <w:rPr>
          <w:rFonts w:ascii="Georgia"/>
          <w:spacing w:val="-12"/>
          <w:w w:val="105"/>
          <w:sz w:val="20"/>
        </w:rPr>
        <w:t> </w:t>
      </w:r>
      <w:r>
        <w:rPr>
          <w:rFonts w:ascii="Georgia"/>
          <w:w w:val="105"/>
          <w:sz w:val="20"/>
        </w:rPr>
        <w:t>and</w:t>
      </w:r>
      <w:r>
        <w:rPr>
          <w:rFonts w:ascii="Georgia"/>
          <w:spacing w:val="-12"/>
          <w:w w:val="105"/>
          <w:sz w:val="20"/>
        </w:rPr>
        <w:t> </w:t>
      </w:r>
      <w:r>
        <w:rPr>
          <w:rFonts w:ascii="Georgia"/>
          <w:w w:val="105"/>
          <w:sz w:val="20"/>
        </w:rPr>
        <w:t>educators</w:t>
      </w:r>
      <w:r>
        <w:rPr>
          <w:rFonts w:ascii="Georgia"/>
          <w:spacing w:val="-12"/>
          <w:w w:val="105"/>
          <w:sz w:val="20"/>
        </w:rPr>
        <w:t> </w:t>
      </w:r>
      <w:r>
        <w:rPr>
          <w:rFonts w:ascii="Georgia"/>
          <w:w w:val="105"/>
          <w:sz w:val="20"/>
        </w:rPr>
        <w:t>can</w:t>
      </w:r>
      <w:r>
        <w:rPr>
          <w:rFonts w:ascii="Georgia"/>
          <w:spacing w:val="-12"/>
          <w:w w:val="105"/>
          <w:sz w:val="20"/>
        </w:rPr>
        <w:t> </w:t>
      </w:r>
      <w:r>
        <w:rPr>
          <w:rFonts w:ascii="Georgia"/>
          <w:w w:val="105"/>
          <w:sz w:val="20"/>
        </w:rPr>
        <w:t>better</w:t>
      </w:r>
      <w:r>
        <w:rPr>
          <w:rFonts w:ascii="Georgia"/>
          <w:spacing w:val="-12"/>
          <w:w w:val="105"/>
          <w:sz w:val="20"/>
        </w:rPr>
        <w:t> </w:t>
      </w:r>
      <w:r>
        <w:rPr>
          <w:rFonts w:ascii="Georgia"/>
          <w:w w:val="105"/>
          <w:sz w:val="20"/>
        </w:rPr>
        <w:t>pave the way for a future where all LGBTQ youth thrive.</w:t>
      </w:r>
    </w:p>
    <w:p>
      <w:pPr>
        <w:spacing w:line="1076" w:lineRule="exact" w:before="128"/>
        <w:ind w:left="1389" w:right="0" w:firstLine="0"/>
        <w:jc w:val="left"/>
        <w:rPr>
          <w:rFonts w:ascii="Arial Black"/>
          <w:sz w:val="77"/>
        </w:rPr>
      </w:pPr>
      <w:r>
        <w:rPr/>
        <w:br w:type="column"/>
      </w:r>
      <w:r>
        <w:rPr>
          <w:rFonts w:ascii="Arial Black"/>
          <w:emboss/>
          <w:color w:val="001389"/>
          <w:spacing w:val="20"/>
          <w:w w:val="95"/>
          <w:sz w:val="77"/>
        </w:rPr>
        <w:t>53%</w:t>
      </w:r>
    </w:p>
    <w:p>
      <w:pPr>
        <w:spacing w:line="278" w:lineRule="auto" w:before="0"/>
        <w:ind w:left="581" w:right="1193" w:hanging="1"/>
        <w:jc w:val="center"/>
        <w:rPr>
          <w:rFonts w:ascii="Georgia"/>
          <w:sz w:val="20"/>
        </w:rPr>
      </w:pPr>
      <w:r>
        <w:rPr>
          <w:rFonts w:ascii="Georgia"/>
          <w:w w:val="105"/>
          <w:sz w:val="20"/>
        </w:rPr>
        <w:t>of LGBTQ students have </w:t>
      </w:r>
      <w:r>
        <w:rPr>
          <w:rFonts w:ascii="Georgia"/>
          <w:spacing w:val="-2"/>
          <w:w w:val="105"/>
          <w:sz w:val="20"/>
        </w:rPr>
        <w:t>experienced</w:t>
      </w:r>
      <w:r>
        <w:rPr>
          <w:rFonts w:ascii="Georgia"/>
          <w:spacing w:val="-3"/>
          <w:w w:val="105"/>
          <w:sz w:val="20"/>
        </w:rPr>
        <w:t> </w:t>
      </w:r>
      <w:r>
        <w:rPr>
          <w:rFonts w:ascii="Georgia"/>
          <w:spacing w:val="-2"/>
          <w:w w:val="105"/>
          <w:sz w:val="20"/>
        </w:rPr>
        <w:t>verbal</w:t>
      </w:r>
      <w:r>
        <w:rPr>
          <w:rFonts w:ascii="Georgia"/>
          <w:spacing w:val="-3"/>
          <w:w w:val="105"/>
          <w:sz w:val="20"/>
        </w:rPr>
        <w:t> </w:t>
      </w:r>
      <w:r>
        <w:rPr>
          <w:rFonts w:ascii="Georgia"/>
          <w:spacing w:val="-2"/>
          <w:w w:val="105"/>
          <w:sz w:val="20"/>
        </w:rPr>
        <w:t>harassment</w:t>
      </w:r>
      <w:r>
        <w:rPr>
          <w:rFonts w:ascii="Georgia"/>
          <w:spacing w:val="-3"/>
          <w:w w:val="105"/>
          <w:sz w:val="20"/>
        </w:rPr>
        <w:t> </w:t>
      </w:r>
      <w:r>
        <w:rPr>
          <w:rFonts w:ascii="Georgia"/>
          <w:spacing w:val="-2"/>
          <w:w w:val="105"/>
          <w:sz w:val="20"/>
        </w:rPr>
        <w:t>due </w:t>
      </w:r>
      <w:r>
        <w:rPr>
          <w:rFonts w:ascii="Georgia"/>
          <w:w w:val="105"/>
          <w:sz w:val="20"/>
        </w:rPr>
        <w:t>to their sexuality</w:t>
      </w:r>
    </w:p>
    <w:p>
      <w:pPr>
        <w:pStyle w:val="BodyText"/>
        <w:spacing w:before="196"/>
        <w:rPr>
          <w:rFonts w:ascii="Georgia"/>
          <w:sz w:val="20"/>
        </w:rPr>
      </w:pPr>
    </w:p>
    <w:p>
      <w:pPr>
        <w:pStyle w:val="Heading4"/>
        <w:spacing w:line="1023" w:lineRule="exact"/>
        <w:ind w:left="1283"/>
      </w:pPr>
      <w:r>
        <w:rPr>
          <w:emboss/>
          <w:color w:val="001389"/>
          <w:spacing w:val="23"/>
          <w:w w:val="95"/>
        </w:rPr>
        <w:t>6.8%</w:t>
      </w:r>
    </w:p>
    <w:p>
      <w:pPr>
        <w:spacing w:line="192" w:lineRule="exact" w:before="0"/>
        <w:ind w:left="754" w:right="1365" w:firstLine="0"/>
        <w:jc w:val="center"/>
        <w:rPr>
          <w:rFonts w:ascii="Georgia"/>
          <w:sz w:val="20"/>
        </w:rPr>
      </w:pPr>
      <w:r>
        <w:rPr>
          <w:rFonts w:ascii="Georgia"/>
          <w:sz w:val="20"/>
        </w:rPr>
        <w:t>of</w:t>
      </w:r>
      <w:r>
        <w:rPr>
          <w:rFonts w:ascii="Georgia"/>
          <w:spacing w:val="4"/>
          <w:sz w:val="20"/>
        </w:rPr>
        <w:t> </w:t>
      </w:r>
      <w:r>
        <w:rPr>
          <w:rFonts w:ascii="Georgia"/>
          <w:sz w:val="20"/>
        </w:rPr>
        <w:t>LGBTQ</w:t>
      </w:r>
      <w:r>
        <w:rPr>
          <w:rFonts w:ascii="Georgia"/>
          <w:spacing w:val="4"/>
          <w:sz w:val="20"/>
        </w:rPr>
        <w:t> </w:t>
      </w:r>
      <w:r>
        <w:rPr>
          <w:rFonts w:ascii="Georgia"/>
          <w:sz w:val="20"/>
        </w:rPr>
        <w:t>youth</w:t>
      </w:r>
      <w:r>
        <w:rPr>
          <w:rFonts w:ascii="Georgia"/>
          <w:spacing w:val="4"/>
          <w:sz w:val="20"/>
        </w:rPr>
        <w:t> </w:t>
      </w:r>
      <w:r>
        <w:rPr>
          <w:rFonts w:ascii="Georgia"/>
          <w:sz w:val="20"/>
        </w:rPr>
        <w:t>have</w:t>
      </w:r>
      <w:r>
        <w:rPr>
          <w:rFonts w:ascii="Georgia"/>
          <w:spacing w:val="5"/>
          <w:sz w:val="20"/>
        </w:rPr>
        <w:t> </w:t>
      </w:r>
      <w:r>
        <w:rPr>
          <w:rFonts w:ascii="Georgia"/>
          <w:spacing w:val="-4"/>
          <w:sz w:val="20"/>
        </w:rPr>
        <w:t>ever</w:t>
      </w:r>
    </w:p>
    <w:p>
      <w:pPr>
        <w:spacing w:line="278" w:lineRule="auto" w:before="36"/>
        <w:ind w:left="753" w:right="1365" w:firstLine="0"/>
        <w:jc w:val="center"/>
        <w:rPr>
          <w:rFonts w:ascii="Georgia"/>
          <w:sz w:val="20"/>
        </w:rPr>
      </w:pPr>
      <w:r>
        <w:rPr>
          <w:rFonts w:ascii="Georgia"/>
          <w:w w:val="105"/>
          <w:sz w:val="20"/>
        </w:rPr>
        <w:t>been</w:t>
      </w:r>
      <w:r>
        <w:rPr>
          <w:rFonts w:ascii="Georgia"/>
          <w:spacing w:val="-13"/>
          <w:w w:val="105"/>
          <w:sz w:val="20"/>
        </w:rPr>
        <w:t> </w:t>
      </w:r>
      <w:r>
        <w:rPr>
          <w:rFonts w:ascii="Georgia"/>
          <w:w w:val="105"/>
          <w:sz w:val="20"/>
        </w:rPr>
        <w:t>tested</w:t>
      </w:r>
      <w:r>
        <w:rPr>
          <w:rFonts w:ascii="Georgia"/>
          <w:spacing w:val="-13"/>
          <w:w w:val="105"/>
          <w:sz w:val="20"/>
        </w:rPr>
        <w:t> </w:t>
      </w:r>
      <w:r>
        <w:rPr>
          <w:rFonts w:ascii="Georgia"/>
          <w:w w:val="105"/>
          <w:sz w:val="20"/>
        </w:rPr>
        <w:t>for</w:t>
      </w:r>
      <w:r>
        <w:rPr>
          <w:rFonts w:ascii="Georgia"/>
          <w:spacing w:val="-12"/>
          <w:w w:val="105"/>
          <w:sz w:val="20"/>
        </w:rPr>
        <w:t> </w:t>
      </w:r>
      <w:r>
        <w:rPr>
          <w:rFonts w:ascii="Georgia"/>
          <w:w w:val="105"/>
          <w:sz w:val="20"/>
        </w:rPr>
        <w:t>an</w:t>
      </w:r>
      <w:r>
        <w:rPr>
          <w:rFonts w:ascii="Georgia"/>
          <w:spacing w:val="-13"/>
          <w:w w:val="105"/>
          <w:sz w:val="20"/>
        </w:rPr>
        <w:t> </w:t>
      </w:r>
      <w:r>
        <w:rPr>
          <w:rFonts w:ascii="Georgia"/>
          <w:w w:val="105"/>
          <w:sz w:val="20"/>
        </w:rPr>
        <w:t>STI</w:t>
      </w:r>
      <w:r>
        <w:rPr>
          <w:rFonts w:ascii="Georgia"/>
          <w:spacing w:val="-13"/>
          <w:w w:val="105"/>
          <w:sz w:val="20"/>
        </w:rPr>
        <w:t> </w:t>
      </w:r>
      <w:r>
        <w:rPr>
          <w:rFonts w:ascii="Georgia"/>
          <w:w w:val="105"/>
          <w:sz w:val="20"/>
        </w:rPr>
        <w:t>other than</w:t>
      </w:r>
      <w:r>
        <w:rPr>
          <w:rFonts w:ascii="Georgia"/>
          <w:spacing w:val="-1"/>
          <w:w w:val="105"/>
          <w:sz w:val="20"/>
        </w:rPr>
        <w:t> </w:t>
      </w:r>
      <w:r>
        <w:rPr>
          <w:rFonts w:ascii="Georgia"/>
          <w:w w:val="105"/>
          <w:sz w:val="20"/>
        </w:rPr>
        <w:t>HIV</w:t>
      </w:r>
    </w:p>
    <w:p>
      <w:pPr>
        <w:pStyle w:val="BodyText"/>
        <w:spacing w:before="154"/>
        <w:rPr>
          <w:rFonts w:ascii="Georgia"/>
          <w:sz w:val="20"/>
        </w:rPr>
      </w:pPr>
    </w:p>
    <w:p>
      <w:pPr>
        <w:pStyle w:val="BodyText"/>
        <w:spacing w:line="20" w:lineRule="exact"/>
        <w:ind w:left="-20"/>
        <w:rPr>
          <w:rFonts w:ascii="Georgia"/>
          <w:sz w:val="2"/>
        </w:rPr>
      </w:pPr>
      <w:r>
        <w:rPr>
          <w:rFonts w:ascii="Georgia"/>
          <w:sz w:val="2"/>
        </w:rPr>
        <mc:AlternateContent>
          <mc:Choice Requires="wps">
            <w:drawing>
              <wp:inline distT="0" distB="0" distL="0" distR="0">
                <wp:extent cx="2773680" cy="28575"/>
                <wp:effectExtent l="19050" t="0" r="7619" b="0"/>
                <wp:docPr id="195" name="Group 195"/>
                <wp:cNvGraphicFramePr>
                  <a:graphicFrameLocks/>
                </wp:cNvGraphicFramePr>
                <a:graphic>
                  <a:graphicData uri="http://schemas.microsoft.com/office/word/2010/wordprocessingGroup">
                    <wpg:wgp>
                      <wpg:cNvPr id="195" name="Group 195"/>
                      <wpg:cNvGrpSpPr/>
                      <wpg:grpSpPr>
                        <a:xfrm>
                          <a:off x="0" y="0"/>
                          <a:ext cx="2773680" cy="28575"/>
                          <a:chExt cx="2773680" cy="28575"/>
                        </a:xfrm>
                      </wpg:grpSpPr>
                      <wps:wsp>
                        <wps:cNvPr id="196" name="Graphic 196"/>
                        <wps:cNvSpPr/>
                        <wps:spPr>
                          <a:xfrm>
                            <a:off x="0" y="14287"/>
                            <a:ext cx="2773680" cy="1270"/>
                          </a:xfrm>
                          <a:custGeom>
                            <a:avLst/>
                            <a:gdLst/>
                            <a:ahLst/>
                            <a:cxnLst/>
                            <a:rect l="l" t="t" r="r" b="b"/>
                            <a:pathLst>
                              <a:path w="2773680" h="0">
                                <a:moveTo>
                                  <a:pt x="0" y="0"/>
                                </a:moveTo>
                                <a:lnTo>
                                  <a:pt x="2773600" y="0"/>
                                </a:lnTo>
                              </a:path>
                            </a:pathLst>
                          </a:custGeom>
                          <a:ln w="28574">
                            <a:solidFill>
                              <a:srgbClr val="001389"/>
                            </a:solidFill>
                            <a:prstDash val="sysDash"/>
                          </a:ln>
                        </wps:spPr>
                        <wps:bodyPr wrap="square" lIns="0" tIns="0" rIns="0" bIns="0" rtlCol="0">
                          <a:prstTxWarp prst="textNoShape">
                            <a:avLst/>
                          </a:prstTxWarp>
                          <a:noAutofit/>
                        </wps:bodyPr>
                      </wps:wsp>
                    </wpg:wgp>
                  </a:graphicData>
                </a:graphic>
              </wp:inline>
            </w:drawing>
          </mc:Choice>
          <mc:Fallback>
            <w:pict>
              <v:group style="width:218.4pt;height:2.25pt;mso-position-horizontal-relative:char;mso-position-vertical-relative:line" id="docshapegroup164" coordorigin="0,0" coordsize="4368,45">
                <v:line style="position:absolute" from="0,23" to="4368,23" stroked="true" strokeweight="2.25pt" strokecolor="#001389">
                  <v:stroke dashstyle="shortdash"/>
                </v:line>
              </v:group>
            </w:pict>
          </mc:Fallback>
        </mc:AlternateContent>
      </w:r>
      <w:r>
        <w:rPr>
          <w:rFonts w:ascii="Georgia"/>
          <w:sz w:val="2"/>
        </w:rPr>
      </w:r>
    </w:p>
    <w:p>
      <w:pPr>
        <w:pStyle w:val="Heading4"/>
        <w:spacing w:line="1050" w:lineRule="exact" w:before="33"/>
        <w:ind w:left="1274"/>
      </w:pPr>
      <w:r>
        <w:rPr>
          <w:emboss/>
          <w:color w:val="001389"/>
          <w:spacing w:val="27"/>
          <w:w w:val="85"/>
        </w:rPr>
        <w:t>17.8%</w:t>
      </w:r>
    </w:p>
    <w:p>
      <w:pPr>
        <w:spacing w:line="278" w:lineRule="auto" w:before="0"/>
        <w:ind w:left="323" w:right="935" w:hanging="1"/>
        <w:jc w:val="center"/>
        <w:rPr>
          <w:rFonts w:ascii="Georgia"/>
          <w:sz w:val="20"/>
        </w:rPr>
      </w:pPr>
      <w:r>
        <w:rPr>
          <w:rFonts w:ascii="Georgia"/>
          <w:w w:val="105"/>
          <w:sz w:val="20"/>
        </w:rPr>
        <w:t>of LGBTQ high school students have experienced</w:t>
      </w:r>
      <w:r>
        <w:rPr>
          <w:rFonts w:ascii="Georgia"/>
          <w:spacing w:val="-13"/>
          <w:w w:val="105"/>
          <w:sz w:val="20"/>
        </w:rPr>
        <w:t> </w:t>
      </w:r>
      <w:r>
        <w:rPr>
          <w:rFonts w:ascii="Georgia"/>
          <w:w w:val="105"/>
          <w:sz w:val="20"/>
        </w:rPr>
        <w:t>sexual</w:t>
      </w:r>
      <w:r>
        <w:rPr>
          <w:rFonts w:ascii="Georgia"/>
          <w:spacing w:val="-13"/>
          <w:w w:val="105"/>
          <w:sz w:val="20"/>
        </w:rPr>
        <w:t> </w:t>
      </w:r>
      <w:r>
        <w:rPr>
          <w:rFonts w:ascii="Georgia"/>
          <w:w w:val="105"/>
          <w:sz w:val="20"/>
        </w:rPr>
        <w:t>dating</w:t>
      </w:r>
      <w:r>
        <w:rPr>
          <w:rFonts w:ascii="Georgia"/>
          <w:spacing w:val="-12"/>
          <w:w w:val="105"/>
          <w:sz w:val="20"/>
        </w:rPr>
        <w:t> </w:t>
      </w:r>
      <w:r>
        <w:rPr>
          <w:rFonts w:ascii="Georgia"/>
          <w:w w:val="105"/>
          <w:sz w:val="20"/>
        </w:rPr>
        <w:t>violence</w:t>
      </w:r>
      <w:r>
        <w:rPr>
          <w:rFonts w:ascii="Georgia"/>
          <w:spacing w:val="-13"/>
          <w:w w:val="105"/>
          <w:sz w:val="20"/>
        </w:rPr>
        <w:t> </w:t>
      </w:r>
      <w:r>
        <w:rPr>
          <w:rFonts w:ascii="Georgia"/>
          <w:w w:val="105"/>
          <w:sz w:val="20"/>
        </w:rPr>
        <w:t>in</w:t>
      </w:r>
      <w:r>
        <w:rPr>
          <w:rFonts w:ascii="Georgia"/>
          <w:spacing w:val="-13"/>
          <w:w w:val="105"/>
          <w:sz w:val="20"/>
        </w:rPr>
        <w:t> </w:t>
      </w:r>
      <w:r>
        <w:rPr>
          <w:rFonts w:ascii="Georgia"/>
          <w:w w:val="105"/>
          <w:sz w:val="20"/>
        </w:rPr>
        <w:t>the past</w:t>
      </w:r>
      <w:r>
        <w:rPr>
          <w:rFonts w:ascii="Georgia"/>
          <w:spacing w:val="-1"/>
          <w:w w:val="105"/>
          <w:sz w:val="20"/>
        </w:rPr>
        <w:t> </w:t>
      </w:r>
      <w:r>
        <w:rPr>
          <w:rFonts w:ascii="Georgia"/>
          <w:w w:val="105"/>
          <w:sz w:val="20"/>
        </w:rPr>
        <w:t>year</w:t>
      </w:r>
    </w:p>
    <w:p>
      <w:pPr>
        <w:spacing w:after="0" w:line="278" w:lineRule="auto"/>
        <w:jc w:val="center"/>
        <w:rPr>
          <w:rFonts w:ascii="Georgia"/>
          <w:sz w:val="20"/>
        </w:rPr>
        <w:sectPr>
          <w:type w:val="continuous"/>
          <w:pgSz w:w="12240" w:h="15840"/>
          <w:pgMar w:header="0" w:footer="0" w:top="1420" w:bottom="280" w:left="920" w:right="340"/>
          <w:cols w:num="2" w:equalWidth="0">
            <w:col w:w="5433" w:space="527"/>
            <w:col w:w="5020"/>
          </w:cols>
        </w:sectPr>
      </w:pPr>
    </w:p>
    <w:p>
      <w:pPr>
        <w:pStyle w:val="BodyText"/>
        <w:rPr>
          <w:rFonts w:ascii="Georgia"/>
          <w:sz w:val="20"/>
        </w:rPr>
      </w:pPr>
      <w:r>
        <w:rPr/>
        <mc:AlternateContent>
          <mc:Choice Requires="wps">
            <w:drawing>
              <wp:anchor distT="0" distB="0" distL="0" distR="0" allowOverlap="1" layoutInCell="1" locked="0" behindDoc="1" simplePos="0" relativeHeight="482577408">
                <wp:simplePos x="0" y="0"/>
                <wp:positionH relativeFrom="page">
                  <wp:posOffset>0</wp:posOffset>
                </wp:positionH>
                <wp:positionV relativeFrom="page">
                  <wp:posOffset>0</wp:posOffset>
                </wp:positionV>
                <wp:extent cx="7772400" cy="5502275"/>
                <wp:effectExtent l="0" t="0" r="0" b="0"/>
                <wp:wrapNone/>
                <wp:docPr id="197" name="Group 197"/>
                <wp:cNvGraphicFramePr>
                  <a:graphicFrameLocks/>
                </wp:cNvGraphicFramePr>
                <a:graphic>
                  <a:graphicData uri="http://schemas.microsoft.com/office/word/2010/wordprocessingGroup">
                    <wpg:wgp>
                      <wpg:cNvPr id="197" name="Group 197"/>
                      <wpg:cNvGrpSpPr/>
                      <wpg:grpSpPr>
                        <a:xfrm>
                          <a:off x="0" y="0"/>
                          <a:ext cx="7772400" cy="5502275"/>
                          <a:chExt cx="7772400" cy="5502275"/>
                        </a:xfrm>
                      </wpg:grpSpPr>
                      <pic:pic>
                        <pic:nvPicPr>
                          <pic:cNvPr id="198" name="Image 198"/>
                          <pic:cNvPicPr/>
                        </pic:nvPicPr>
                        <pic:blipFill>
                          <a:blip r:embed="rId172" cstate="print"/>
                          <a:stretch>
                            <a:fillRect/>
                          </a:stretch>
                        </pic:blipFill>
                        <pic:spPr>
                          <a:xfrm>
                            <a:off x="0" y="0"/>
                            <a:ext cx="7772400" cy="3201599"/>
                          </a:xfrm>
                          <a:prstGeom prst="rect">
                            <a:avLst/>
                          </a:prstGeom>
                        </pic:spPr>
                      </pic:pic>
                      <pic:pic>
                        <pic:nvPicPr>
                          <pic:cNvPr id="199" name="Image 199"/>
                          <pic:cNvPicPr/>
                        </pic:nvPicPr>
                        <pic:blipFill>
                          <a:blip r:embed="rId98" cstate="print"/>
                          <a:stretch>
                            <a:fillRect/>
                          </a:stretch>
                        </pic:blipFill>
                        <pic:spPr>
                          <a:xfrm>
                            <a:off x="4978374" y="735421"/>
                            <a:ext cx="1480888" cy="1480632"/>
                          </a:xfrm>
                          <a:prstGeom prst="rect">
                            <a:avLst/>
                          </a:prstGeom>
                        </pic:spPr>
                      </pic:pic>
                      <wps:wsp>
                        <wps:cNvPr id="200" name="Graphic 200"/>
                        <wps:cNvSpPr/>
                        <wps:spPr>
                          <a:xfrm>
                            <a:off x="4964629" y="721667"/>
                            <a:ext cx="1508125" cy="1508125"/>
                          </a:xfrm>
                          <a:custGeom>
                            <a:avLst/>
                            <a:gdLst/>
                            <a:ahLst/>
                            <a:cxnLst/>
                            <a:rect l="l" t="t" r="r" b="b"/>
                            <a:pathLst>
                              <a:path w="1508125" h="1508125">
                                <a:moveTo>
                                  <a:pt x="754061" y="1508119"/>
                                </a:moveTo>
                                <a:lnTo>
                                  <a:pt x="706443" y="1506633"/>
                                </a:lnTo>
                                <a:lnTo>
                                  <a:pt x="659603" y="1502233"/>
                                </a:lnTo>
                                <a:lnTo>
                                  <a:pt x="613628" y="1495009"/>
                                </a:lnTo>
                                <a:lnTo>
                                  <a:pt x="568609" y="1485050"/>
                                </a:lnTo>
                                <a:lnTo>
                                  <a:pt x="524634" y="1472444"/>
                                </a:lnTo>
                                <a:lnTo>
                                  <a:pt x="481792" y="1457281"/>
                                </a:lnTo>
                                <a:lnTo>
                                  <a:pt x="440173" y="1439650"/>
                                </a:lnTo>
                                <a:lnTo>
                                  <a:pt x="399864" y="1419640"/>
                                </a:lnTo>
                                <a:lnTo>
                                  <a:pt x="360956" y="1397339"/>
                                </a:lnTo>
                                <a:lnTo>
                                  <a:pt x="323537" y="1372837"/>
                                </a:lnTo>
                                <a:lnTo>
                                  <a:pt x="287696" y="1346223"/>
                                </a:lnTo>
                                <a:lnTo>
                                  <a:pt x="253523" y="1317586"/>
                                </a:lnTo>
                                <a:lnTo>
                                  <a:pt x="221106" y="1287014"/>
                                </a:lnTo>
                                <a:lnTo>
                                  <a:pt x="190534" y="1254598"/>
                                </a:lnTo>
                                <a:lnTo>
                                  <a:pt x="161896" y="1220425"/>
                                </a:lnTo>
                                <a:lnTo>
                                  <a:pt x="135282" y="1184585"/>
                                </a:lnTo>
                                <a:lnTo>
                                  <a:pt x="110780" y="1147166"/>
                                </a:lnTo>
                                <a:lnTo>
                                  <a:pt x="88479" y="1108259"/>
                                </a:lnTo>
                                <a:lnTo>
                                  <a:pt x="68468" y="1067951"/>
                                </a:lnTo>
                                <a:lnTo>
                                  <a:pt x="50770" y="1026142"/>
                                </a:lnTo>
                                <a:lnTo>
                                  <a:pt x="35669" y="983473"/>
                                </a:lnTo>
                                <a:lnTo>
                                  <a:pt x="23075" y="939517"/>
                                </a:lnTo>
                                <a:lnTo>
                                  <a:pt x="13118" y="894499"/>
                                </a:lnTo>
                                <a:lnTo>
                                  <a:pt x="5894" y="848526"/>
                                </a:lnTo>
                                <a:lnTo>
                                  <a:pt x="1491" y="801686"/>
                                </a:lnTo>
                                <a:lnTo>
                                  <a:pt x="0" y="754070"/>
                                </a:lnTo>
                                <a:lnTo>
                                  <a:pt x="1494" y="706368"/>
                                </a:lnTo>
                                <a:lnTo>
                                  <a:pt x="5906" y="659480"/>
                                </a:lnTo>
                                <a:lnTo>
                                  <a:pt x="13140" y="613502"/>
                                </a:lnTo>
                                <a:lnTo>
                                  <a:pt x="23094" y="568530"/>
                                </a:lnTo>
                                <a:lnTo>
                                  <a:pt x="35676" y="524643"/>
                                </a:lnTo>
                                <a:lnTo>
                                  <a:pt x="50851" y="481801"/>
                                </a:lnTo>
                                <a:lnTo>
                                  <a:pt x="68470" y="440181"/>
                                </a:lnTo>
                                <a:lnTo>
                                  <a:pt x="88480" y="399872"/>
                                </a:lnTo>
                                <a:lnTo>
                                  <a:pt x="110781" y="360964"/>
                                </a:lnTo>
                                <a:lnTo>
                                  <a:pt x="135284" y="323544"/>
                                </a:lnTo>
                                <a:lnTo>
                                  <a:pt x="161898" y="287703"/>
                                </a:lnTo>
                                <a:lnTo>
                                  <a:pt x="190536" y="253529"/>
                                </a:lnTo>
                                <a:lnTo>
                                  <a:pt x="221108" y="221111"/>
                                </a:lnTo>
                                <a:lnTo>
                                  <a:pt x="253526" y="190539"/>
                                </a:lnTo>
                                <a:lnTo>
                                  <a:pt x="287699" y="161901"/>
                                </a:lnTo>
                                <a:lnTo>
                                  <a:pt x="323540" y="135286"/>
                                </a:lnTo>
                                <a:lnTo>
                                  <a:pt x="360959" y="110783"/>
                                </a:lnTo>
                                <a:lnTo>
                                  <a:pt x="399867" y="88482"/>
                                </a:lnTo>
                                <a:lnTo>
                                  <a:pt x="440175" y="68471"/>
                                </a:lnTo>
                                <a:lnTo>
                                  <a:pt x="481795" y="50839"/>
                                </a:lnTo>
                                <a:lnTo>
                                  <a:pt x="524636" y="35676"/>
                                </a:lnTo>
                                <a:lnTo>
                                  <a:pt x="568611" y="23070"/>
                                </a:lnTo>
                                <a:lnTo>
                                  <a:pt x="613630" y="13110"/>
                                </a:lnTo>
                                <a:lnTo>
                                  <a:pt x="659604" y="5886"/>
                                </a:lnTo>
                                <a:lnTo>
                                  <a:pt x="706444" y="1486"/>
                                </a:lnTo>
                                <a:lnTo>
                                  <a:pt x="754061" y="0"/>
                                </a:lnTo>
                                <a:lnTo>
                                  <a:pt x="801678" y="1486"/>
                                </a:lnTo>
                                <a:lnTo>
                                  <a:pt x="848519" y="5886"/>
                                </a:lnTo>
                                <a:lnTo>
                                  <a:pt x="894494" y="13110"/>
                                </a:lnTo>
                                <a:lnTo>
                                  <a:pt x="939513" y="23070"/>
                                </a:lnTo>
                                <a:lnTo>
                                  <a:pt x="954942" y="27493"/>
                                </a:lnTo>
                                <a:lnTo>
                                  <a:pt x="754061" y="27493"/>
                                </a:lnTo>
                                <a:lnTo>
                                  <a:pt x="706360" y="29041"/>
                                </a:lnTo>
                                <a:lnTo>
                                  <a:pt x="659472" y="33622"/>
                                </a:lnTo>
                                <a:lnTo>
                                  <a:pt x="613495" y="41139"/>
                                </a:lnTo>
                                <a:lnTo>
                                  <a:pt x="568524" y="51496"/>
                                </a:lnTo>
                                <a:lnTo>
                                  <a:pt x="524656" y="64596"/>
                                </a:lnTo>
                                <a:lnTo>
                                  <a:pt x="481987" y="80342"/>
                                </a:lnTo>
                                <a:lnTo>
                                  <a:pt x="440615" y="98639"/>
                                </a:lnTo>
                                <a:lnTo>
                                  <a:pt x="400634" y="119389"/>
                                </a:lnTo>
                                <a:lnTo>
                                  <a:pt x="362143" y="142496"/>
                                </a:lnTo>
                                <a:lnTo>
                                  <a:pt x="325237" y="167865"/>
                                </a:lnTo>
                                <a:lnTo>
                                  <a:pt x="290013" y="195397"/>
                                </a:lnTo>
                                <a:lnTo>
                                  <a:pt x="256567" y="224997"/>
                                </a:lnTo>
                                <a:lnTo>
                                  <a:pt x="224996" y="256569"/>
                                </a:lnTo>
                                <a:lnTo>
                                  <a:pt x="195396" y="290015"/>
                                </a:lnTo>
                                <a:lnTo>
                                  <a:pt x="167863" y="325240"/>
                                </a:lnTo>
                                <a:lnTo>
                                  <a:pt x="142496" y="362147"/>
                                </a:lnTo>
                                <a:lnTo>
                                  <a:pt x="119388" y="400639"/>
                                </a:lnTo>
                                <a:lnTo>
                                  <a:pt x="98638" y="440619"/>
                                </a:lnTo>
                                <a:lnTo>
                                  <a:pt x="80342" y="481993"/>
                                </a:lnTo>
                                <a:lnTo>
                                  <a:pt x="64597" y="524662"/>
                                </a:lnTo>
                                <a:lnTo>
                                  <a:pt x="51475" y="568619"/>
                                </a:lnTo>
                                <a:lnTo>
                                  <a:pt x="41117" y="613638"/>
                                </a:lnTo>
                                <a:lnTo>
                                  <a:pt x="33609" y="659613"/>
                                </a:lnTo>
                                <a:lnTo>
                                  <a:pt x="29039" y="706453"/>
                                </a:lnTo>
                                <a:lnTo>
                                  <a:pt x="27493" y="754070"/>
                                </a:lnTo>
                                <a:lnTo>
                                  <a:pt x="29047" y="801771"/>
                                </a:lnTo>
                                <a:lnTo>
                                  <a:pt x="33631" y="848659"/>
                                </a:lnTo>
                                <a:lnTo>
                                  <a:pt x="41148" y="894637"/>
                                </a:lnTo>
                                <a:lnTo>
                                  <a:pt x="51502" y="939608"/>
                                </a:lnTo>
                                <a:lnTo>
                                  <a:pt x="64602" y="983492"/>
                                </a:lnTo>
                                <a:lnTo>
                                  <a:pt x="80341" y="1026142"/>
                                </a:lnTo>
                                <a:lnTo>
                                  <a:pt x="98638" y="1067517"/>
                                </a:lnTo>
                                <a:lnTo>
                                  <a:pt x="119388" y="1107497"/>
                                </a:lnTo>
                                <a:lnTo>
                                  <a:pt x="142496" y="1145988"/>
                                </a:lnTo>
                                <a:lnTo>
                                  <a:pt x="167864" y="1182894"/>
                                </a:lnTo>
                                <a:lnTo>
                                  <a:pt x="195396" y="1218118"/>
                                </a:lnTo>
                                <a:lnTo>
                                  <a:pt x="224996" y="1251564"/>
                                </a:lnTo>
                                <a:lnTo>
                                  <a:pt x="256567" y="1283135"/>
                                </a:lnTo>
                                <a:lnTo>
                                  <a:pt x="290013" y="1312734"/>
                                </a:lnTo>
                                <a:lnTo>
                                  <a:pt x="325237" y="1340266"/>
                                </a:lnTo>
                                <a:lnTo>
                                  <a:pt x="362143" y="1365634"/>
                                </a:lnTo>
                                <a:lnTo>
                                  <a:pt x="400635" y="1388741"/>
                                </a:lnTo>
                                <a:lnTo>
                                  <a:pt x="440615" y="1409491"/>
                                </a:lnTo>
                                <a:lnTo>
                                  <a:pt x="481988" y="1427787"/>
                                </a:lnTo>
                                <a:lnTo>
                                  <a:pt x="524656" y="1443533"/>
                                </a:lnTo>
                                <a:lnTo>
                                  <a:pt x="568524" y="1456632"/>
                                </a:lnTo>
                                <a:lnTo>
                                  <a:pt x="613495" y="1466989"/>
                                </a:lnTo>
                                <a:lnTo>
                                  <a:pt x="659473" y="1474506"/>
                                </a:lnTo>
                                <a:lnTo>
                                  <a:pt x="706361" y="1479087"/>
                                </a:lnTo>
                                <a:lnTo>
                                  <a:pt x="754061" y="1480635"/>
                                </a:lnTo>
                                <a:lnTo>
                                  <a:pt x="954914" y="1480635"/>
                                </a:lnTo>
                                <a:lnTo>
                                  <a:pt x="939512" y="1485050"/>
                                </a:lnTo>
                                <a:lnTo>
                                  <a:pt x="894493" y="1495009"/>
                                </a:lnTo>
                                <a:lnTo>
                                  <a:pt x="848519" y="1502233"/>
                                </a:lnTo>
                                <a:lnTo>
                                  <a:pt x="801678" y="1506633"/>
                                </a:lnTo>
                                <a:lnTo>
                                  <a:pt x="754061" y="1508119"/>
                                </a:lnTo>
                                <a:close/>
                              </a:path>
                              <a:path w="1508125" h="1508125">
                                <a:moveTo>
                                  <a:pt x="954914" y="1480635"/>
                                </a:moveTo>
                                <a:lnTo>
                                  <a:pt x="754061" y="1480635"/>
                                </a:lnTo>
                                <a:lnTo>
                                  <a:pt x="801761" y="1479087"/>
                                </a:lnTo>
                                <a:lnTo>
                                  <a:pt x="848648" y="1474506"/>
                                </a:lnTo>
                                <a:lnTo>
                                  <a:pt x="894626" y="1466989"/>
                                </a:lnTo>
                                <a:lnTo>
                                  <a:pt x="939597" y="1456632"/>
                                </a:lnTo>
                                <a:lnTo>
                                  <a:pt x="983465" y="1443532"/>
                                </a:lnTo>
                                <a:lnTo>
                                  <a:pt x="1026134" y="1427786"/>
                                </a:lnTo>
                                <a:lnTo>
                                  <a:pt x="1067507" y="1409490"/>
                                </a:lnTo>
                                <a:lnTo>
                                  <a:pt x="1107487" y="1388740"/>
                                </a:lnTo>
                                <a:lnTo>
                                  <a:pt x="1145979" y="1365633"/>
                                </a:lnTo>
                                <a:lnTo>
                                  <a:pt x="1182885" y="1340265"/>
                                </a:lnTo>
                                <a:lnTo>
                                  <a:pt x="1218110" y="1312732"/>
                                </a:lnTo>
                                <a:lnTo>
                                  <a:pt x="1251556" y="1283133"/>
                                </a:lnTo>
                                <a:lnTo>
                                  <a:pt x="1283128" y="1251562"/>
                                </a:lnTo>
                                <a:lnTo>
                                  <a:pt x="1312728" y="1218116"/>
                                </a:lnTo>
                                <a:lnTo>
                                  <a:pt x="1340261" y="1182892"/>
                                </a:lnTo>
                                <a:lnTo>
                                  <a:pt x="1365629" y="1145986"/>
                                </a:lnTo>
                                <a:lnTo>
                                  <a:pt x="1388737" y="1107494"/>
                                </a:lnTo>
                                <a:lnTo>
                                  <a:pt x="1409488" y="1067514"/>
                                </a:lnTo>
                                <a:lnTo>
                                  <a:pt x="1427785" y="1026142"/>
                                </a:lnTo>
                                <a:lnTo>
                                  <a:pt x="1443530" y="983473"/>
                                </a:lnTo>
                                <a:lnTo>
                                  <a:pt x="1456652" y="939517"/>
                                </a:lnTo>
                                <a:lnTo>
                                  <a:pt x="1467010" y="894499"/>
                                </a:lnTo>
                                <a:lnTo>
                                  <a:pt x="1474518" y="848526"/>
                                </a:lnTo>
                                <a:lnTo>
                                  <a:pt x="1479089" y="801686"/>
                                </a:lnTo>
                                <a:lnTo>
                                  <a:pt x="1480635" y="754070"/>
                                </a:lnTo>
                                <a:lnTo>
                                  <a:pt x="1479081" y="706368"/>
                                </a:lnTo>
                                <a:lnTo>
                                  <a:pt x="1474497" y="659480"/>
                                </a:lnTo>
                                <a:lnTo>
                                  <a:pt x="1466979" y="613502"/>
                                </a:lnTo>
                                <a:lnTo>
                                  <a:pt x="1456625" y="568530"/>
                                </a:lnTo>
                                <a:lnTo>
                                  <a:pt x="1443524" y="524643"/>
                                </a:lnTo>
                                <a:lnTo>
                                  <a:pt x="1427785" y="481993"/>
                                </a:lnTo>
                                <a:lnTo>
                                  <a:pt x="1409488" y="440619"/>
                                </a:lnTo>
                                <a:lnTo>
                                  <a:pt x="1388737" y="400639"/>
                                </a:lnTo>
                                <a:lnTo>
                                  <a:pt x="1365630" y="362147"/>
                                </a:lnTo>
                                <a:lnTo>
                                  <a:pt x="1340261" y="325240"/>
                                </a:lnTo>
                                <a:lnTo>
                                  <a:pt x="1312729" y="290015"/>
                                </a:lnTo>
                                <a:lnTo>
                                  <a:pt x="1283128" y="256569"/>
                                </a:lnTo>
                                <a:lnTo>
                                  <a:pt x="1251557" y="224997"/>
                                </a:lnTo>
                                <a:lnTo>
                                  <a:pt x="1218110" y="195397"/>
                                </a:lnTo>
                                <a:lnTo>
                                  <a:pt x="1182886" y="167865"/>
                                </a:lnTo>
                                <a:lnTo>
                                  <a:pt x="1145979" y="142496"/>
                                </a:lnTo>
                                <a:lnTo>
                                  <a:pt x="1107487" y="119389"/>
                                </a:lnTo>
                                <a:lnTo>
                                  <a:pt x="1067507" y="98639"/>
                                </a:lnTo>
                                <a:lnTo>
                                  <a:pt x="1026134" y="80342"/>
                                </a:lnTo>
                                <a:lnTo>
                                  <a:pt x="983465" y="64596"/>
                                </a:lnTo>
                                <a:lnTo>
                                  <a:pt x="939597" y="51496"/>
                                </a:lnTo>
                                <a:lnTo>
                                  <a:pt x="894626" y="41139"/>
                                </a:lnTo>
                                <a:lnTo>
                                  <a:pt x="848649" y="33622"/>
                                </a:lnTo>
                                <a:lnTo>
                                  <a:pt x="801762" y="29041"/>
                                </a:lnTo>
                                <a:lnTo>
                                  <a:pt x="754061" y="27493"/>
                                </a:lnTo>
                                <a:lnTo>
                                  <a:pt x="954942" y="27493"/>
                                </a:lnTo>
                                <a:lnTo>
                                  <a:pt x="1026330" y="50839"/>
                                </a:lnTo>
                                <a:lnTo>
                                  <a:pt x="1067949" y="68471"/>
                                </a:lnTo>
                                <a:lnTo>
                                  <a:pt x="1108258" y="88482"/>
                                </a:lnTo>
                                <a:lnTo>
                                  <a:pt x="1147166" y="110784"/>
                                </a:lnTo>
                                <a:lnTo>
                                  <a:pt x="1184585" y="135287"/>
                                </a:lnTo>
                                <a:lnTo>
                                  <a:pt x="1220425" y="161902"/>
                                </a:lnTo>
                                <a:lnTo>
                                  <a:pt x="1254599" y="190540"/>
                                </a:lnTo>
                                <a:lnTo>
                                  <a:pt x="1287016" y="221113"/>
                                </a:lnTo>
                                <a:lnTo>
                                  <a:pt x="1317588" y="253530"/>
                                </a:lnTo>
                                <a:lnTo>
                                  <a:pt x="1346225" y="287704"/>
                                </a:lnTo>
                                <a:lnTo>
                                  <a:pt x="1372840" y="323546"/>
                                </a:lnTo>
                                <a:lnTo>
                                  <a:pt x="1397342" y="360965"/>
                                </a:lnTo>
                                <a:lnTo>
                                  <a:pt x="1419643" y="399874"/>
                                </a:lnTo>
                                <a:lnTo>
                                  <a:pt x="1439653" y="440182"/>
                                </a:lnTo>
                                <a:lnTo>
                                  <a:pt x="1457352" y="481993"/>
                                </a:lnTo>
                                <a:lnTo>
                                  <a:pt x="1472452" y="524662"/>
                                </a:lnTo>
                                <a:lnTo>
                                  <a:pt x="1485047" y="568619"/>
                                </a:lnTo>
                                <a:lnTo>
                                  <a:pt x="1495003" y="613638"/>
                                </a:lnTo>
                                <a:lnTo>
                                  <a:pt x="1502228" y="659613"/>
                                </a:lnTo>
                                <a:lnTo>
                                  <a:pt x="1506630" y="706453"/>
                                </a:lnTo>
                                <a:lnTo>
                                  <a:pt x="1508122" y="754070"/>
                                </a:lnTo>
                                <a:lnTo>
                                  <a:pt x="1506628" y="801771"/>
                                </a:lnTo>
                                <a:lnTo>
                                  <a:pt x="1502215" y="848659"/>
                                </a:lnTo>
                                <a:lnTo>
                                  <a:pt x="1494982" y="894637"/>
                                </a:lnTo>
                                <a:lnTo>
                                  <a:pt x="1485027" y="939608"/>
                                </a:lnTo>
                                <a:lnTo>
                                  <a:pt x="1472446" y="983492"/>
                                </a:lnTo>
                                <a:lnTo>
                                  <a:pt x="1457271" y="1026333"/>
                                </a:lnTo>
                                <a:lnTo>
                                  <a:pt x="1439652" y="1067952"/>
                                </a:lnTo>
                                <a:lnTo>
                                  <a:pt x="1419642" y="1108260"/>
                                </a:lnTo>
                                <a:lnTo>
                                  <a:pt x="1397341" y="1147168"/>
                                </a:lnTo>
                                <a:lnTo>
                                  <a:pt x="1372839" y="1184586"/>
                                </a:lnTo>
                                <a:lnTo>
                                  <a:pt x="1346224" y="1220426"/>
                                </a:lnTo>
                                <a:lnTo>
                                  <a:pt x="1317587" y="1254599"/>
                                </a:lnTo>
                                <a:lnTo>
                                  <a:pt x="1287015" y="1287016"/>
                                </a:lnTo>
                                <a:lnTo>
                                  <a:pt x="1254598" y="1317587"/>
                                </a:lnTo>
                                <a:lnTo>
                                  <a:pt x="1220424" y="1346224"/>
                                </a:lnTo>
                                <a:lnTo>
                                  <a:pt x="1184584" y="1372838"/>
                                </a:lnTo>
                                <a:lnTo>
                                  <a:pt x="1147165" y="1397340"/>
                                </a:lnTo>
                                <a:lnTo>
                                  <a:pt x="1108257" y="1419641"/>
                                </a:lnTo>
                                <a:lnTo>
                                  <a:pt x="1067948" y="1439651"/>
                                </a:lnTo>
                                <a:lnTo>
                                  <a:pt x="1026329" y="1457282"/>
                                </a:lnTo>
                                <a:lnTo>
                                  <a:pt x="983487" y="1472445"/>
                                </a:lnTo>
                                <a:lnTo>
                                  <a:pt x="954914" y="1480635"/>
                                </a:lnTo>
                                <a:close/>
                              </a:path>
                            </a:pathLst>
                          </a:custGeom>
                          <a:solidFill>
                            <a:srgbClr val="FFFFFF"/>
                          </a:solidFill>
                        </wps:spPr>
                        <wps:bodyPr wrap="square" lIns="0" tIns="0" rIns="0" bIns="0" rtlCol="0">
                          <a:prstTxWarp prst="textNoShape">
                            <a:avLst/>
                          </a:prstTxWarp>
                          <a:noAutofit/>
                        </wps:bodyPr>
                      </wps:wsp>
                      <wps:wsp>
                        <wps:cNvPr id="201" name="Graphic 201"/>
                        <wps:cNvSpPr/>
                        <wps:spPr>
                          <a:xfrm>
                            <a:off x="655211" y="2933569"/>
                            <a:ext cx="3471545" cy="2568575"/>
                          </a:xfrm>
                          <a:custGeom>
                            <a:avLst/>
                            <a:gdLst/>
                            <a:ahLst/>
                            <a:cxnLst/>
                            <a:rect l="l" t="t" r="r" b="b"/>
                            <a:pathLst>
                              <a:path w="3471545" h="2568575">
                                <a:moveTo>
                                  <a:pt x="3113780" y="2568150"/>
                                </a:moveTo>
                                <a:lnTo>
                                  <a:pt x="361948" y="2568150"/>
                                </a:lnTo>
                                <a:lnTo>
                                  <a:pt x="312835" y="2564846"/>
                                </a:lnTo>
                                <a:lnTo>
                                  <a:pt x="265729" y="2555221"/>
                                </a:lnTo>
                                <a:lnTo>
                                  <a:pt x="221062" y="2539706"/>
                                </a:lnTo>
                                <a:lnTo>
                                  <a:pt x="179266" y="2518733"/>
                                </a:lnTo>
                                <a:lnTo>
                                  <a:pt x="140773" y="2492733"/>
                                </a:lnTo>
                                <a:lnTo>
                                  <a:pt x="106012" y="2462138"/>
                                </a:lnTo>
                                <a:lnTo>
                                  <a:pt x="75416" y="2427377"/>
                                </a:lnTo>
                                <a:lnTo>
                                  <a:pt x="49416" y="2388883"/>
                                </a:lnTo>
                                <a:lnTo>
                                  <a:pt x="28443" y="2347087"/>
                                </a:lnTo>
                                <a:lnTo>
                                  <a:pt x="12929" y="2302421"/>
                                </a:lnTo>
                                <a:lnTo>
                                  <a:pt x="3304" y="2255315"/>
                                </a:lnTo>
                                <a:lnTo>
                                  <a:pt x="0" y="2206200"/>
                                </a:lnTo>
                                <a:lnTo>
                                  <a:pt x="0" y="361950"/>
                                </a:lnTo>
                                <a:lnTo>
                                  <a:pt x="3304" y="312835"/>
                                </a:lnTo>
                                <a:lnTo>
                                  <a:pt x="12929" y="265729"/>
                                </a:lnTo>
                                <a:lnTo>
                                  <a:pt x="28443" y="221062"/>
                                </a:lnTo>
                                <a:lnTo>
                                  <a:pt x="49416" y="179266"/>
                                </a:lnTo>
                                <a:lnTo>
                                  <a:pt x="75416" y="140773"/>
                                </a:lnTo>
                                <a:lnTo>
                                  <a:pt x="106012" y="106012"/>
                                </a:lnTo>
                                <a:lnTo>
                                  <a:pt x="140773" y="75416"/>
                                </a:lnTo>
                                <a:lnTo>
                                  <a:pt x="179266" y="49416"/>
                                </a:lnTo>
                                <a:lnTo>
                                  <a:pt x="221062" y="28443"/>
                                </a:lnTo>
                                <a:lnTo>
                                  <a:pt x="265729" y="12929"/>
                                </a:lnTo>
                                <a:lnTo>
                                  <a:pt x="312835" y="3304"/>
                                </a:lnTo>
                                <a:lnTo>
                                  <a:pt x="361950" y="0"/>
                                </a:lnTo>
                                <a:lnTo>
                                  <a:pt x="3113779" y="0"/>
                                </a:lnTo>
                                <a:lnTo>
                                  <a:pt x="3162893" y="3304"/>
                                </a:lnTo>
                                <a:lnTo>
                                  <a:pt x="3209999" y="12929"/>
                                </a:lnTo>
                                <a:lnTo>
                                  <a:pt x="3254666" y="28443"/>
                                </a:lnTo>
                                <a:lnTo>
                                  <a:pt x="3296462" y="49416"/>
                                </a:lnTo>
                                <a:lnTo>
                                  <a:pt x="3334956" y="75416"/>
                                </a:lnTo>
                                <a:lnTo>
                                  <a:pt x="3369716" y="106012"/>
                                </a:lnTo>
                                <a:lnTo>
                                  <a:pt x="3400312" y="140773"/>
                                </a:lnTo>
                                <a:lnTo>
                                  <a:pt x="3426312" y="179266"/>
                                </a:lnTo>
                                <a:lnTo>
                                  <a:pt x="3447285" y="221062"/>
                                </a:lnTo>
                                <a:lnTo>
                                  <a:pt x="3462799" y="265729"/>
                                </a:lnTo>
                                <a:lnTo>
                                  <a:pt x="3471016" y="305940"/>
                                </a:lnTo>
                                <a:lnTo>
                                  <a:pt x="3471016" y="2262210"/>
                                </a:lnTo>
                                <a:lnTo>
                                  <a:pt x="3462799" y="2302421"/>
                                </a:lnTo>
                                <a:lnTo>
                                  <a:pt x="3447285" y="2347087"/>
                                </a:lnTo>
                                <a:lnTo>
                                  <a:pt x="3426312" y="2388883"/>
                                </a:lnTo>
                                <a:lnTo>
                                  <a:pt x="3400312" y="2427377"/>
                                </a:lnTo>
                                <a:lnTo>
                                  <a:pt x="3369716" y="2462138"/>
                                </a:lnTo>
                                <a:lnTo>
                                  <a:pt x="3334956" y="2492733"/>
                                </a:lnTo>
                                <a:lnTo>
                                  <a:pt x="3296462" y="2518733"/>
                                </a:lnTo>
                                <a:lnTo>
                                  <a:pt x="3254666" y="2539706"/>
                                </a:lnTo>
                                <a:lnTo>
                                  <a:pt x="3209999" y="2555221"/>
                                </a:lnTo>
                                <a:lnTo>
                                  <a:pt x="3162893" y="2564846"/>
                                </a:lnTo>
                                <a:lnTo>
                                  <a:pt x="3113780" y="2568150"/>
                                </a:lnTo>
                                <a:close/>
                              </a:path>
                            </a:pathLst>
                          </a:custGeom>
                          <a:solidFill>
                            <a:srgbClr val="94ABFF">
                              <a:alpha val="55999"/>
                            </a:srgbClr>
                          </a:solidFill>
                        </wps:spPr>
                        <wps:bodyPr wrap="square" lIns="0" tIns="0" rIns="0" bIns="0" rtlCol="0">
                          <a:prstTxWarp prst="textNoShape">
                            <a:avLst/>
                          </a:prstTxWarp>
                          <a:noAutofit/>
                        </wps:bodyPr>
                      </wps:wsp>
                      <wps:wsp>
                        <wps:cNvPr id="202" name="Graphic 202"/>
                        <wps:cNvSpPr/>
                        <wps:spPr>
                          <a:xfrm>
                            <a:off x="4356887" y="4390915"/>
                            <a:ext cx="2773680" cy="1270"/>
                          </a:xfrm>
                          <a:custGeom>
                            <a:avLst/>
                            <a:gdLst/>
                            <a:ahLst/>
                            <a:cxnLst/>
                            <a:rect l="l" t="t" r="r" b="b"/>
                            <a:pathLst>
                              <a:path w="2773680" h="0">
                                <a:moveTo>
                                  <a:pt x="0" y="0"/>
                                </a:moveTo>
                                <a:lnTo>
                                  <a:pt x="2773600" y="0"/>
                                </a:lnTo>
                              </a:path>
                            </a:pathLst>
                          </a:custGeom>
                          <a:ln w="28574">
                            <a:solidFill>
                              <a:srgbClr val="001389"/>
                            </a:solidFill>
                            <a:prstDash val="sysDash"/>
                          </a:ln>
                        </wps:spPr>
                        <wps:bodyPr wrap="square" lIns="0" tIns="0" rIns="0" bIns="0" rtlCol="0">
                          <a:prstTxWarp prst="textNoShape">
                            <a:avLst/>
                          </a:prstTxWarp>
                          <a:noAutofit/>
                        </wps:bodyPr>
                      </wps:wsp>
                      <wps:wsp>
                        <wps:cNvPr id="203" name="Graphic 203"/>
                        <wps:cNvSpPr/>
                        <wps:spPr>
                          <a:xfrm>
                            <a:off x="4850459" y="2671331"/>
                            <a:ext cx="189865" cy="651510"/>
                          </a:xfrm>
                          <a:custGeom>
                            <a:avLst/>
                            <a:gdLst/>
                            <a:ahLst/>
                            <a:cxnLst/>
                            <a:rect l="l" t="t" r="r" b="b"/>
                            <a:pathLst>
                              <a:path w="189865" h="651510">
                                <a:moveTo>
                                  <a:pt x="571" y="651312"/>
                                </a:moveTo>
                                <a:lnTo>
                                  <a:pt x="1693" y="565835"/>
                                </a:lnTo>
                                <a:lnTo>
                                  <a:pt x="2127" y="516874"/>
                                </a:lnTo>
                                <a:lnTo>
                                  <a:pt x="2188" y="455996"/>
                                </a:lnTo>
                                <a:lnTo>
                                  <a:pt x="1475" y="401097"/>
                                </a:lnTo>
                                <a:lnTo>
                                  <a:pt x="504" y="351011"/>
                                </a:lnTo>
                                <a:lnTo>
                                  <a:pt x="12" y="309788"/>
                                </a:lnTo>
                                <a:lnTo>
                                  <a:pt x="0" y="250768"/>
                                </a:lnTo>
                                <a:lnTo>
                                  <a:pt x="1101" y="200602"/>
                                </a:lnTo>
                                <a:lnTo>
                                  <a:pt x="1465" y="188171"/>
                                </a:lnTo>
                                <a:lnTo>
                                  <a:pt x="1586" y="180920"/>
                                </a:lnTo>
                                <a:lnTo>
                                  <a:pt x="1665" y="163166"/>
                                </a:lnTo>
                                <a:lnTo>
                                  <a:pt x="1380" y="150785"/>
                                </a:lnTo>
                                <a:lnTo>
                                  <a:pt x="478" y="107747"/>
                                </a:lnTo>
                                <a:lnTo>
                                  <a:pt x="619" y="64780"/>
                                </a:lnTo>
                                <a:lnTo>
                                  <a:pt x="1405" y="21892"/>
                                </a:lnTo>
                                <a:lnTo>
                                  <a:pt x="1935" y="0"/>
                                </a:lnTo>
                                <a:lnTo>
                                  <a:pt x="18739" y="7946"/>
                                </a:lnTo>
                                <a:lnTo>
                                  <a:pt x="58321" y="34473"/>
                                </a:lnTo>
                                <a:lnTo>
                                  <a:pt x="94710" y="67632"/>
                                </a:lnTo>
                                <a:lnTo>
                                  <a:pt x="123746" y="102702"/>
                                </a:lnTo>
                                <a:lnTo>
                                  <a:pt x="147503" y="140657"/>
                                </a:lnTo>
                                <a:lnTo>
                                  <a:pt x="165981" y="180920"/>
                                </a:lnTo>
                                <a:lnTo>
                                  <a:pt x="179179" y="222914"/>
                                </a:lnTo>
                                <a:lnTo>
                                  <a:pt x="187098" y="266062"/>
                                </a:lnTo>
                                <a:lnTo>
                                  <a:pt x="189737" y="309788"/>
                                </a:lnTo>
                                <a:lnTo>
                                  <a:pt x="187098" y="353513"/>
                                </a:lnTo>
                                <a:lnTo>
                                  <a:pt x="179179" y="396662"/>
                                </a:lnTo>
                                <a:lnTo>
                                  <a:pt x="165981" y="438656"/>
                                </a:lnTo>
                                <a:lnTo>
                                  <a:pt x="147503" y="478919"/>
                                </a:lnTo>
                                <a:lnTo>
                                  <a:pt x="123747" y="516874"/>
                                </a:lnTo>
                                <a:lnTo>
                                  <a:pt x="94710" y="551944"/>
                                </a:lnTo>
                                <a:lnTo>
                                  <a:pt x="571" y="651312"/>
                                </a:lnTo>
                                <a:close/>
                              </a:path>
                            </a:pathLst>
                          </a:custGeom>
                          <a:solidFill>
                            <a:srgbClr val="ED3624"/>
                          </a:solidFill>
                        </wps:spPr>
                        <wps:bodyPr wrap="square" lIns="0" tIns="0" rIns="0" bIns="0" rtlCol="0">
                          <a:prstTxWarp prst="textNoShape">
                            <a:avLst/>
                          </a:prstTxWarp>
                          <a:noAutofit/>
                        </wps:bodyPr>
                      </wps:wsp>
                      <wps:wsp>
                        <wps:cNvPr id="204" name="Graphic 204"/>
                        <wps:cNvSpPr/>
                        <wps:spPr>
                          <a:xfrm>
                            <a:off x="4653663" y="2639488"/>
                            <a:ext cx="206375" cy="890905"/>
                          </a:xfrm>
                          <a:custGeom>
                            <a:avLst/>
                            <a:gdLst/>
                            <a:ahLst/>
                            <a:cxnLst/>
                            <a:rect l="l" t="t" r="r" b="b"/>
                            <a:pathLst>
                              <a:path w="206375" h="890905">
                                <a:moveTo>
                                  <a:pt x="1113" y="890308"/>
                                </a:moveTo>
                                <a:lnTo>
                                  <a:pt x="0" y="762592"/>
                                </a:lnTo>
                                <a:lnTo>
                                  <a:pt x="476" y="707596"/>
                                </a:lnTo>
                                <a:lnTo>
                                  <a:pt x="1939" y="597679"/>
                                </a:lnTo>
                                <a:lnTo>
                                  <a:pt x="2434" y="542751"/>
                                </a:lnTo>
                                <a:lnTo>
                                  <a:pt x="2442" y="487839"/>
                                </a:lnTo>
                                <a:lnTo>
                                  <a:pt x="1718" y="432940"/>
                                </a:lnTo>
                                <a:lnTo>
                                  <a:pt x="732" y="382855"/>
                                </a:lnTo>
                                <a:lnTo>
                                  <a:pt x="221" y="340663"/>
                                </a:lnTo>
                                <a:lnTo>
                                  <a:pt x="220" y="282611"/>
                                </a:lnTo>
                                <a:lnTo>
                                  <a:pt x="1338" y="232445"/>
                                </a:lnTo>
                                <a:lnTo>
                                  <a:pt x="1707" y="220014"/>
                                </a:lnTo>
                                <a:lnTo>
                                  <a:pt x="1919" y="207503"/>
                                </a:lnTo>
                                <a:lnTo>
                                  <a:pt x="1911" y="195009"/>
                                </a:lnTo>
                                <a:lnTo>
                                  <a:pt x="1550" y="179261"/>
                                </a:lnTo>
                                <a:lnTo>
                                  <a:pt x="706" y="139590"/>
                                </a:lnTo>
                                <a:lnTo>
                                  <a:pt x="849" y="96624"/>
                                </a:lnTo>
                                <a:lnTo>
                                  <a:pt x="1647" y="53735"/>
                                </a:lnTo>
                                <a:lnTo>
                                  <a:pt x="2799" y="6842"/>
                                </a:lnTo>
                                <a:lnTo>
                                  <a:pt x="39460" y="0"/>
                                </a:lnTo>
                                <a:lnTo>
                                  <a:pt x="84720" y="0"/>
                                </a:lnTo>
                                <a:lnTo>
                                  <a:pt x="129626" y="6631"/>
                                </a:lnTo>
                                <a:lnTo>
                                  <a:pt x="173467" y="19895"/>
                                </a:lnTo>
                                <a:lnTo>
                                  <a:pt x="206288" y="35417"/>
                                </a:lnTo>
                                <a:lnTo>
                                  <a:pt x="206251" y="46567"/>
                                </a:lnTo>
                                <a:lnTo>
                                  <a:pt x="205711" y="86023"/>
                                </a:lnTo>
                                <a:lnTo>
                                  <a:pt x="205629" y="96624"/>
                                </a:lnTo>
                                <a:lnTo>
                                  <a:pt x="205661" y="139590"/>
                                </a:lnTo>
                                <a:lnTo>
                                  <a:pt x="205612" y="233061"/>
                                </a:lnTo>
                                <a:lnTo>
                                  <a:pt x="205302" y="286863"/>
                                </a:lnTo>
                                <a:lnTo>
                                  <a:pt x="205115" y="340663"/>
                                </a:lnTo>
                                <a:lnTo>
                                  <a:pt x="205300" y="394456"/>
                                </a:lnTo>
                                <a:lnTo>
                                  <a:pt x="206108" y="448241"/>
                                </a:lnTo>
                                <a:lnTo>
                                  <a:pt x="206230" y="673799"/>
                                </a:lnTo>
                                <a:lnTo>
                                  <a:pt x="1113" y="890308"/>
                                </a:lnTo>
                                <a:close/>
                              </a:path>
                            </a:pathLst>
                          </a:custGeom>
                          <a:solidFill>
                            <a:srgbClr val="E88024"/>
                          </a:solidFill>
                        </wps:spPr>
                        <wps:bodyPr wrap="square" lIns="0" tIns="0" rIns="0" bIns="0" rtlCol="0">
                          <a:prstTxWarp prst="textNoShape">
                            <a:avLst/>
                          </a:prstTxWarp>
                          <a:noAutofit/>
                        </wps:bodyPr>
                      </wps:wsp>
                      <wps:wsp>
                        <wps:cNvPr id="205" name="Graphic 205"/>
                        <wps:cNvSpPr/>
                        <wps:spPr>
                          <a:xfrm>
                            <a:off x="4457085" y="2643878"/>
                            <a:ext cx="208279" cy="1080770"/>
                          </a:xfrm>
                          <a:custGeom>
                            <a:avLst/>
                            <a:gdLst/>
                            <a:ahLst/>
                            <a:cxnLst/>
                            <a:rect l="l" t="t" r="r" b="b"/>
                            <a:pathLst>
                              <a:path w="208279" h="1080770">
                                <a:moveTo>
                                  <a:pt x="205583" y="111930"/>
                                </a:moveTo>
                                <a:lnTo>
                                  <a:pt x="13293" y="111930"/>
                                </a:lnTo>
                                <a:lnTo>
                                  <a:pt x="29252" y="95085"/>
                                </a:lnTo>
                                <a:lnTo>
                                  <a:pt x="65641" y="61926"/>
                                </a:lnTo>
                                <a:lnTo>
                                  <a:pt x="105224" y="35400"/>
                                </a:lnTo>
                                <a:lnTo>
                                  <a:pt x="147291" y="15505"/>
                                </a:lnTo>
                                <a:lnTo>
                                  <a:pt x="191132" y="2241"/>
                                </a:lnTo>
                                <a:lnTo>
                                  <a:pt x="206312" y="0"/>
                                </a:lnTo>
                                <a:lnTo>
                                  <a:pt x="206251" y="42177"/>
                                </a:lnTo>
                                <a:lnTo>
                                  <a:pt x="205711" y="81633"/>
                                </a:lnTo>
                                <a:lnTo>
                                  <a:pt x="205608" y="95085"/>
                                </a:lnTo>
                                <a:lnTo>
                                  <a:pt x="205583" y="111930"/>
                                </a:lnTo>
                                <a:close/>
                              </a:path>
                              <a:path w="208279" h="1080770">
                                <a:moveTo>
                                  <a:pt x="13293" y="1080555"/>
                                </a:moveTo>
                                <a:lnTo>
                                  <a:pt x="979" y="1067557"/>
                                </a:lnTo>
                                <a:lnTo>
                                  <a:pt x="1539" y="994257"/>
                                </a:lnTo>
                                <a:lnTo>
                                  <a:pt x="1664" y="956747"/>
                                </a:lnTo>
                                <a:lnTo>
                                  <a:pt x="1445" y="919207"/>
                                </a:lnTo>
                                <a:lnTo>
                                  <a:pt x="1013" y="875065"/>
                                </a:lnTo>
                                <a:lnTo>
                                  <a:pt x="0" y="758202"/>
                                </a:lnTo>
                                <a:lnTo>
                                  <a:pt x="476" y="703205"/>
                                </a:lnTo>
                                <a:lnTo>
                                  <a:pt x="1939" y="593288"/>
                                </a:lnTo>
                                <a:lnTo>
                                  <a:pt x="2434" y="538361"/>
                                </a:lnTo>
                                <a:lnTo>
                                  <a:pt x="2442" y="483449"/>
                                </a:lnTo>
                                <a:lnTo>
                                  <a:pt x="1718" y="428550"/>
                                </a:lnTo>
                                <a:lnTo>
                                  <a:pt x="732" y="378464"/>
                                </a:lnTo>
                                <a:lnTo>
                                  <a:pt x="221" y="336273"/>
                                </a:lnTo>
                                <a:lnTo>
                                  <a:pt x="220" y="278221"/>
                                </a:lnTo>
                                <a:lnTo>
                                  <a:pt x="1339" y="228055"/>
                                </a:lnTo>
                                <a:lnTo>
                                  <a:pt x="1708" y="215624"/>
                                </a:lnTo>
                                <a:lnTo>
                                  <a:pt x="1919" y="203113"/>
                                </a:lnTo>
                                <a:lnTo>
                                  <a:pt x="1911" y="190619"/>
                                </a:lnTo>
                                <a:lnTo>
                                  <a:pt x="1550" y="174871"/>
                                </a:lnTo>
                                <a:lnTo>
                                  <a:pt x="706" y="135200"/>
                                </a:lnTo>
                                <a:lnTo>
                                  <a:pt x="827" y="98875"/>
                                </a:lnTo>
                                <a:lnTo>
                                  <a:pt x="1543" y="99528"/>
                                </a:lnTo>
                                <a:lnTo>
                                  <a:pt x="13293" y="111930"/>
                                </a:lnTo>
                                <a:lnTo>
                                  <a:pt x="205583" y="111930"/>
                                </a:lnTo>
                                <a:lnTo>
                                  <a:pt x="205661" y="135200"/>
                                </a:lnTo>
                                <a:lnTo>
                                  <a:pt x="205611" y="228671"/>
                                </a:lnTo>
                                <a:lnTo>
                                  <a:pt x="205301" y="282473"/>
                                </a:lnTo>
                                <a:lnTo>
                                  <a:pt x="205114" y="336273"/>
                                </a:lnTo>
                                <a:lnTo>
                                  <a:pt x="205299" y="390066"/>
                                </a:lnTo>
                                <a:lnTo>
                                  <a:pt x="206108" y="443851"/>
                                </a:lnTo>
                                <a:lnTo>
                                  <a:pt x="206136" y="593288"/>
                                </a:lnTo>
                                <a:lnTo>
                                  <a:pt x="206286" y="716291"/>
                                </a:lnTo>
                                <a:lnTo>
                                  <a:pt x="207972" y="875065"/>
                                </a:lnTo>
                                <a:lnTo>
                                  <a:pt x="13293" y="1080555"/>
                                </a:lnTo>
                                <a:close/>
                              </a:path>
                            </a:pathLst>
                          </a:custGeom>
                          <a:solidFill>
                            <a:srgbClr val="ECAF2F"/>
                          </a:solidFill>
                        </wps:spPr>
                        <wps:bodyPr wrap="square" lIns="0" tIns="0" rIns="0" bIns="0" rtlCol="0">
                          <a:prstTxWarp prst="textNoShape">
                            <a:avLst/>
                          </a:prstTxWarp>
                          <a:noAutofit/>
                        </wps:bodyPr>
                      </wps:wsp>
                      <wps:wsp>
                        <wps:cNvPr id="206" name="Graphic 206"/>
                        <wps:cNvSpPr/>
                        <wps:spPr>
                          <a:xfrm>
                            <a:off x="4260507" y="2645621"/>
                            <a:ext cx="206375" cy="1075055"/>
                          </a:xfrm>
                          <a:custGeom>
                            <a:avLst/>
                            <a:gdLst/>
                            <a:ahLst/>
                            <a:cxnLst/>
                            <a:rect l="l" t="t" r="r" b="b"/>
                            <a:pathLst>
                              <a:path w="206375" h="1075055">
                                <a:moveTo>
                                  <a:pt x="206067" y="1074796"/>
                                </a:moveTo>
                                <a:lnTo>
                                  <a:pt x="858" y="858191"/>
                                </a:lnTo>
                                <a:lnTo>
                                  <a:pt x="0" y="756459"/>
                                </a:lnTo>
                                <a:lnTo>
                                  <a:pt x="469" y="701462"/>
                                </a:lnTo>
                                <a:lnTo>
                                  <a:pt x="1911" y="591545"/>
                                </a:lnTo>
                                <a:lnTo>
                                  <a:pt x="2398" y="536618"/>
                                </a:lnTo>
                                <a:lnTo>
                                  <a:pt x="2406" y="481706"/>
                                </a:lnTo>
                                <a:lnTo>
                                  <a:pt x="1693" y="426806"/>
                                </a:lnTo>
                                <a:lnTo>
                                  <a:pt x="721" y="376721"/>
                                </a:lnTo>
                                <a:lnTo>
                                  <a:pt x="218" y="334529"/>
                                </a:lnTo>
                                <a:lnTo>
                                  <a:pt x="216" y="276478"/>
                                </a:lnTo>
                                <a:lnTo>
                                  <a:pt x="1315" y="226312"/>
                                </a:lnTo>
                                <a:lnTo>
                                  <a:pt x="1681" y="213881"/>
                                </a:lnTo>
                                <a:lnTo>
                                  <a:pt x="1890" y="201370"/>
                                </a:lnTo>
                                <a:lnTo>
                                  <a:pt x="1883" y="188876"/>
                                </a:lnTo>
                                <a:lnTo>
                                  <a:pt x="1527" y="173128"/>
                                </a:lnTo>
                                <a:lnTo>
                                  <a:pt x="696" y="133457"/>
                                </a:lnTo>
                                <a:lnTo>
                                  <a:pt x="836" y="90490"/>
                                </a:lnTo>
                                <a:lnTo>
                                  <a:pt x="1623" y="47602"/>
                                </a:lnTo>
                                <a:lnTo>
                                  <a:pt x="2781" y="0"/>
                                </a:lnTo>
                                <a:lnTo>
                                  <a:pt x="36242" y="4941"/>
                                </a:lnTo>
                                <a:lnTo>
                                  <a:pt x="80083" y="18204"/>
                                </a:lnTo>
                                <a:lnTo>
                                  <a:pt x="122150" y="38099"/>
                                </a:lnTo>
                                <a:lnTo>
                                  <a:pt x="161732" y="64626"/>
                                </a:lnTo>
                                <a:lnTo>
                                  <a:pt x="198121" y="97785"/>
                                </a:lnTo>
                                <a:lnTo>
                                  <a:pt x="202618" y="133457"/>
                                </a:lnTo>
                                <a:lnTo>
                                  <a:pt x="202758" y="173128"/>
                                </a:lnTo>
                                <a:lnTo>
                                  <a:pt x="202577" y="226928"/>
                                </a:lnTo>
                                <a:lnTo>
                                  <a:pt x="202271" y="280730"/>
                                </a:lnTo>
                                <a:lnTo>
                                  <a:pt x="202087" y="334529"/>
                                </a:lnTo>
                                <a:lnTo>
                                  <a:pt x="202270" y="388323"/>
                                </a:lnTo>
                                <a:lnTo>
                                  <a:pt x="203066" y="442108"/>
                                </a:lnTo>
                                <a:lnTo>
                                  <a:pt x="203093" y="591545"/>
                                </a:lnTo>
                                <a:lnTo>
                                  <a:pt x="203242" y="714548"/>
                                </a:lnTo>
                                <a:lnTo>
                                  <a:pt x="206014" y="979597"/>
                                </a:lnTo>
                                <a:lnTo>
                                  <a:pt x="206067" y="1074796"/>
                                </a:lnTo>
                                <a:close/>
                              </a:path>
                            </a:pathLst>
                          </a:custGeom>
                          <a:solidFill>
                            <a:srgbClr val="009D59"/>
                          </a:solidFill>
                        </wps:spPr>
                        <wps:bodyPr wrap="square" lIns="0" tIns="0" rIns="0" bIns="0" rtlCol="0">
                          <a:prstTxWarp prst="textNoShape">
                            <a:avLst/>
                          </a:prstTxWarp>
                          <a:noAutofit/>
                        </wps:bodyPr>
                      </wps:wsp>
                      <wps:wsp>
                        <wps:cNvPr id="207" name="Graphic 207"/>
                        <wps:cNvSpPr/>
                        <wps:spPr>
                          <a:xfrm>
                            <a:off x="4064149" y="2643931"/>
                            <a:ext cx="208279" cy="871219"/>
                          </a:xfrm>
                          <a:custGeom>
                            <a:avLst/>
                            <a:gdLst/>
                            <a:ahLst/>
                            <a:cxnLst/>
                            <a:rect l="l" t="t" r="r" b="b"/>
                            <a:pathLst>
                              <a:path w="208279" h="871219">
                                <a:moveTo>
                                  <a:pt x="207710" y="870957"/>
                                </a:moveTo>
                                <a:lnTo>
                                  <a:pt x="926" y="652689"/>
                                </a:lnTo>
                                <a:lnTo>
                                  <a:pt x="1720" y="593235"/>
                                </a:lnTo>
                                <a:lnTo>
                                  <a:pt x="2215" y="538308"/>
                                </a:lnTo>
                                <a:lnTo>
                                  <a:pt x="2223" y="483396"/>
                                </a:lnTo>
                                <a:lnTo>
                                  <a:pt x="1499" y="428497"/>
                                </a:lnTo>
                                <a:lnTo>
                                  <a:pt x="513" y="378411"/>
                                </a:lnTo>
                                <a:lnTo>
                                  <a:pt x="2" y="336219"/>
                                </a:lnTo>
                                <a:lnTo>
                                  <a:pt x="0" y="278168"/>
                                </a:lnTo>
                                <a:lnTo>
                                  <a:pt x="1116" y="228002"/>
                                </a:lnTo>
                                <a:lnTo>
                                  <a:pt x="1486" y="215571"/>
                                </a:lnTo>
                                <a:lnTo>
                                  <a:pt x="1698" y="203060"/>
                                </a:lnTo>
                                <a:lnTo>
                                  <a:pt x="1690" y="190566"/>
                                </a:lnTo>
                                <a:lnTo>
                                  <a:pt x="1330" y="174818"/>
                                </a:lnTo>
                                <a:lnTo>
                                  <a:pt x="485" y="135147"/>
                                </a:lnTo>
                                <a:lnTo>
                                  <a:pt x="628" y="92180"/>
                                </a:lnTo>
                                <a:lnTo>
                                  <a:pt x="1427" y="49292"/>
                                </a:lnTo>
                                <a:lnTo>
                                  <a:pt x="53687" y="19895"/>
                                </a:lnTo>
                                <a:lnTo>
                                  <a:pt x="97528" y="6631"/>
                                </a:lnTo>
                                <a:lnTo>
                                  <a:pt x="142434" y="0"/>
                                </a:lnTo>
                                <a:lnTo>
                                  <a:pt x="187695" y="0"/>
                                </a:lnTo>
                                <a:lnTo>
                                  <a:pt x="206133" y="2722"/>
                                </a:lnTo>
                                <a:lnTo>
                                  <a:pt x="206032" y="42124"/>
                                </a:lnTo>
                                <a:lnTo>
                                  <a:pt x="205491" y="81580"/>
                                </a:lnTo>
                                <a:lnTo>
                                  <a:pt x="205410" y="92180"/>
                                </a:lnTo>
                                <a:lnTo>
                                  <a:pt x="205434" y="135147"/>
                                </a:lnTo>
                                <a:lnTo>
                                  <a:pt x="205576" y="174818"/>
                                </a:lnTo>
                                <a:lnTo>
                                  <a:pt x="205392" y="228618"/>
                                </a:lnTo>
                                <a:lnTo>
                                  <a:pt x="205081" y="282420"/>
                                </a:lnTo>
                                <a:lnTo>
                                  <a:pt x="204894" y="336219"/>
                                </a:lnTo>
                                <a:lnTo>
                                  <a:pt x="205080" y="390013"/>
                                </a:lnTo>
                                <a:lnTo>
                                  <a:pt x="205888" y="443798"/>
                                </a:lnTo>
                                <a:lnTo>
                                  <a:pt x="205989" y="652689"/>
                                </a:lnTo>
                                <a:lnTo>
                                  <a:pt x="206067" y="716238"/>
                                </a:lnTo>
                                <a:lnTo>
                                  <a:pt x="207710" y="870957"/>
                                </a:lnTo>
                                <a:close/>
                              </a:path>
                            </a:pathLst>
                          </a:custGeom>
                          <a:solidFill>
                            <a:srgbClr val="1B6094"/>
                          </a:solidFill>
                        </wps:spPr>
                        <wps:bodyPr wrap="square" lIns="0" tIns="0" rIns="0" bIns="0" rtlCol="0">
                          <a:prstTxWarp prst="textNoShape">
                            <a:avLst/>
                          </a:prstTxWarp>
                          <a:noAutofit/>
                        </wps:bodyPr>
                      </wps:wsp>
                      <wps:wsp>
                        <wps:cNvPr id="208" name="Graphic 208"/>
                        <wps:cNvSpPr/>
                        <wps:spPr>
                          <a:xfrm>
                            <a:off x="3904771" y="2681185"/>
                            <a:ext cx="176530" cy="632460"/>
                          </a:xfrm>
                          <a:custGeom>
                            <a:avLst/>
                            <a:gdLst/>
                            <a:ahLst/>
                            <a:cxnLst/>
                            <a:rect l="l" t="t" r="r" b="b"/>
                            <a:pathLst>
                              <a:path w="176530" h="632460">
                                <a:moveTo>
                                  <a:pt x="176329" y="632349"/>
                                </a:moveTo>
                                <a:lnTo>
                                  <a:pt x="95026" y="546532"/>
                                </a:lnTo>
                                <a:lnTo>
                                  <a:pt x="65990" y="511462"/>
                                </a:lnTo>
                                <a:lnTo>
                                  <a:pt x="42234" y="473507"/>
                                </a:lnTo>
                                <a:lnTo>
                                  <a:pt x="23756" y="433244"/>
                                </a:lnTo>
                                <a:lnTo>
                                  <a:pt x="10558" y="391250"/>
                                </a:lnTo>
                                <a:lnTo>
                                  <a:pt x="2639" y="348102"/>
                                </a:lnTo>
                                <a:lnTo>
                                  <a:pt x="0" y="304376"/>
                                </a:lnTo>
                                <a:lnTo>
                                  <a:pt x="2639" y="260651"/>
                                </a:lnTo>
                                <a:lnTo>
                                  <a:pt x="10558" y="217502"/>
                                </a:lnTo>
                                <a:lnTo>
                                  <a:pt x="23756" y="175508"/>
                                </a:lnTo>
                                <a:lnTo>
                                  <a:pt x="42234" y="135245"/>
                                </a:lnTo>
                                <a:lnTo>
                                  <a:pt x="65991" y="97290"/>
                                </a:lnTo>
                                <a:lnTo>
                                  <a:pt x="95027" y="62220"/>
                                </a:lnTo>
                                <a:lnTo>
                                  <a:pt x="131416" y="29062"/>
                                </a:lnTo>
                                <a:lnTo>
                                  <a:pt x="170998" y="2535"/>
                                </a:lnTo>
                                <a:lnTo>
                                  <a:pt x="176359" y="0"/>
                                </a:lnTo>
                                <a:lnTo>
                                  <a:pt x="176344" y="4869"/>
                                </a:lnTo>
                                <a:lnTo>
                                  <a:pt x="175838" y="44325"/>
                                </a:lnTo>
                                <a:lnTo>
                                  <a:pt x="175711" y="62220"/>
                                </a:lnTo>
                                <a:lnTo>
                                  <a:pt x="175785" y="97290"/>
                                </a:lnTo>
                                <a:lnTo>
                                  <a:pt x="175912" y="135245"/>
                                </a:lnTo>
                                <a:lnTo>
                                  <a:pt x="175747" y="191364"/>
                                </a:lnTo>
                                <a:lnTo>
                                  <a:pt x="175457" y="245165"/>
                                </a:lnTo>
                                <a:lnTo>
                                  <a:pt x="175299" y="304376"/>
                                </a:lnTo>
                                <a:lnTo>
                                  <a:pt x="175455" y="352759"/>
                                </a:lnTo>
                                <a:lnTo>
                                  <a:pt x="176210" y="406543"/>
                                </a:lnTo>
                                <a:lnTo>
                                  <a:pt x="176329" y="632349"/>
                                </a:lnTo>
                                <a:close/>
                              </a:path>
                            </a:pathLst>
                          </a:custGeom>
                          <a:solidFill>
                            <a:srgbClr val="6B3486"/>
                          </a:solidFill>
                        </wps:spPr>
                        <wps:bodyPr wrap="square" lIns="0" tIns="0" rIns="0" bIns="0" rtlCol="0">
                          <a:prstTxWarp prst="textNoShape">
                            <a:avLst/>
                          </a:prstTxWarp>
                          <a:noAutofit/>
                        </wps:bodyPr>
                      </wps:wsp>
                      <wps:wsp>
                        <wps:cNvPr id="209" name="Graphic 209"/>
                        <wps:cNvSpPr/>
                        <wps:spPr>
                          <a:xfrm>
                            <a:off x="4156938" y="3115163"/>
                            <a:ext cx="619760" cy="609600"/>
                          </a:xfrm>
                          <a:custGeom>
                            <a:avLst/>
                            <a:gdLst/>
                            <a:ahLst/>
                            <a:cxnLst/>
                            <a:rect l="l" t="t" r="r" b="b"/>
                            <a:pathLst>
                              <a:path w="619760" h="609600">
                                <a:moveTo>
                                  <a:pt x="313440" y="609270"/>
                                </a:moveTo>
                                <a:lnTo>
                                  <a:pt x="0" y="278422"/>
                                </a:lnTo>
                                <a:lnTo>
                                  <a:pt x="305396" y="0"/>
                                </a:lnTo>
                                <a:lnTo>
                                  <a:pt x="619425" y="286293"/>
                                </a:lnTo>
                                <a:lnTo>
                                  <a:pt x="313440" y="609270"/>
                                </a:lnTo>
                                <a:close/>
                              </a:path>
                            </a:pathLst>
                          </a:custGeom>
                          <a:solidFill>
                            <a:srgbClr val="1B1818"/>
                          </a:solidFill>
                        </wps:spPr>
                        <wps:bodyPr wrap="square" lIns="0" tIns="0" rIns="0" bIns="0" rtlCol="0">
                          <a:prstTxWarp prst="textNoShape">
                            <a:avLst/>
                          </a:prstTxWarp>
                          <a:noAutofit/>
                        </wps:bodyPr>
                      </wps:wsp>
                      <wps:wsp>
                        <wps:cNvPr id="210" name="Graphic 210"/>
                        <wps:cNvSpPr/>
                        <wps:spPr>
                          <a:xfrm>
                            <a:off x="4217693" y="3234681"/>
                            <a:ext cx="498475" cy="490220"/>
                          </a:xfrm>
                          <a:custGeom>
                            <a:avLst/>
                            <a:gdLst/>
                            <a:ahLst/>
                            <a:cxnLst/>
                            <a:rect l="l" t="t" r="r" b="b"/>
                            <a:pathLst>
                              <a:path w="498475" h="490220">
                                <a:moveTo>
                                  <a:pt x="252686" y="489752"/>
                                </a:moveTo>
                                <a:lnTo>
                                  <a:pt x="0" y="223032"/>
                                </a:lnTo>
                                <a:lnTo>
                                  <a:pt x="244643" y="0"/>
                                </a:lnTo>
                                <a:lnTo>
                                  <a:pt x="497916" y="230904"/>
                                </a:lnTo>
                                <a:lnTo>
                                  <a:pt x="252686" y="489752"/>
                                </a:lnTo>
                                <a:close/>
                              </a:path>
                            </a:pathLst>
                          </a:custGeom>
                          <a:solidFill>
                            <a:srgbClr val="623C2A"/>
                          </a:solidFill>
                        </wps:spPr>
                        <wps:bodyPr wrap="square" lIns="0" tIns="0" rIns="0" bIns="0" rtlCol="0">
                          <a:prstTxWarp prst="textNoShape">
                            <a:avLst/>
                          </a:prstTxWarp>
                          <a:noAutofit/>
                        </wps:bodyPr>
                      </wps:wsp>
                      <wps:wsp>
                        <wps:cNvPr id="211" name="Graphic 211"/>
                        <wps:cNvSpPr/>
                        <wps:spPr>
                          <a:xfrm>
                            <a:off x="4278729" y="3354750"/>
                            <a:ext cx="375920" cy="370205"/>
                          </a:xfrm>
                          <a:custGeom>
                            <a:avLst/>
                            <a:gdLst/>
                            <a:ahLst/>
                            <a:cxnLst/>
                            <a:rect l="l" t="t" r="r" b="b"/>
                            <a:pathLst>
                              <a:path w="375920" h="370205">
                                <a:moveTo>
                                  <a:pt x="191650" y="369683"/>
                                </a:moveTo>
                                <a:lnTo>
                                  <a:pt x="0" y="167389"/>
                                </a:lnTo>
                                <a:lnTo>
                                  <a:pt x="183607" y="0"/>
                                </a:lnTo>
                                <a:lnTo>
                                  <a:pt x="375846" y="175259"/>
                                </a:lnTo>
                                <a:lnTo>
                                  <a:pt x="191650" y="369683"/>
                                </a:lnTo>
                                <a:close/>
                              </a:path>
                            </a:pathLst>
                          </a:custGeom>
                          <a:solidFill>
                            <a:srgbClr val="79CBDD"/>
                          </a:solidFill>
                        </wps:spPr>
                        <wps:bodyPr wrap="square" lIns="0" tIns="0" rIns="0" bIns="0" rtlCol="0">
                          <a:prstTxWarp prst="textNoShape">
                            <a:avLst/>
                          </a:prstTxWarp>
                          <a:noAutofit/>
                        </wps:bodyPr>
                      </wps:wsp>
                      <wps:wsp>
                        <wps:cNvPr id="212" name="Graphic 212"/>
                        <wps:cNvSpPr/>
                        <wps:spPr>
                          <a:xfrm>
                            <a:off x="4339608" y="3474515"/>
                            <a:ext cx="254635" cy="250190"/>
                          </a:xfrm>
                          <a:custGeom>
                            <a:avLst/>
                            <a:gdLst/>
                            <a:ahLst/>
                            <a:cxnLst/>
                            <a:rect l="l" t="t" r="r" b="b"/>
                            <a:pathLst>
                              <a:path w="254635" h="250190">
                                <a:moveTo>
                                  <a:pt x="130771" y="249919"/>
                                </a:moveTo>
                                <a:lnTo>
                                  <a:pt x="0" y="111885"/>
                                </a:lnTo>
                                <a:lnTo>
                                  <a:pt x="122727" y="0"/>
                                </a:lnTo>
                                <a:lnTo>
                                  <a:pt x="254086" y="119756"/>
                                </a:lnTo>
                                <a:lnTo>
                                  <a:pt x="130771" y="249919"/>
                                </a:lnTo>
                                <a:close/>
                              </a:path>
                            </a:pathLst>
                          </a:custGeom>
                          <a:solidFill>
                            <a:srgbClr val="E4A1C7"/>
                          </a:solidFill>
                        </wps:spPr>
                        <wps:bodyPr wrap="square" lIns="0" tIns="0" rIns="0" bIns="0" rtlCol="0">
                          <a:prstTxWarp prst="textNoShape">
                            <a:avLst/>
                          </a:prstTxWarp>
                          <a:noAutofit/>
                        </wps:bodyPr>
                      </wps:wsp>
                      <wps:wsp>
                        <wps:cNvPr id="213" name="Graphic 213"/>
                        <wps:cNvSpPr/>
                        <wps:spPr>
                          <a:xfrm>
                            <a:off x="4400703" y="3594699"/>
                            <a:ext cx="132080" cy="130175"/>
                          </a:xfrm>
                          <a:custGeom>
                            <a:avLst/>
                            <a:gdLst/>
                            <a:ahLst/>
                            <a:cxnLst/>
                            <a:rect l="l" t="t" r="r" b="b"/>
                            <a:pathLst>
                              <a:path w="132080" h="130175">
                                <a:moveTo>
                                  <a:pt x="69676" y="129734"/>
                                </a:moveTo>
                                <a:lnTo>
                                  <a:pt x="0" y="56188"/>
                                </a:lnTo>
                                <a:lnTo>
                                  <a:pt x="61633" y="0"/>
                                </a:lnTo>
                                <a:lnTo>
                                  <a:pt x="131897" y="64058"/>
                                </a:lnTo>
                                <a:lnTo>
                                  <a:pt x="69676" y="129734"/>
                                </a:lnTo>
                                <a:close/>
                              </a:path>
                            </a:pathLst>
                          </a:custGeom>
                          <a:solidFill>
                            <a:srgbClr val="E6E7E7"/>
                          </a:solidFill>
                        </wps:spPr>
                        <wps:bodyPr wrap="square" lIns="0" tIns="0" rIns="0" bIns="0" rtlCol="0">
                          <a:prstTxWarp prst="textNoShape">
                            <a:avLst/>
                          </a:prstTxWarp>
                          <a:noAutofit/>
                        </wps:bodyPr>
                      </wps:wsp>
                    </wpg:wgp>
                  </a:graphicData>
                </a:graphic>
              </wp:anchor>
            </w:drawing>
          </mc:Choice>
          <mc:Fallback>
            <w:pict>
              <v:group style="position:absolute;margin-left:-.000012pt;margin-top:-.000041pt;width:612pt;height:433.25pt;mso-position-horizontal-relative:page;mso-position-vertical-relative:page;z-index:-20739072" id="docshapegroup165" coordorigin="0,0" coordsize="12240,8665">
                <v:shape style="position:absolute;left:0;top:0;width:12240;height:5042" type="#_x0000_t75" id="docshape166" stroked="false">
                  <v:imagedata r:id="rId172" o:title=""/>
                </v:shape>
                <v:shape style="position:absolute;left:7839;top:1158;width:2333;height:2332" type="#_x0000_t75" id="docshape167" stroked="false">
                  <v:imagedata r:id="rId98" o:title=""/>
                </v:shape>
                <v:shape style="position:absolute;left:7818;top:1136;width:2375;height:2375" id="docshape168" coordorigin="7818,1136" coordsize="2375,2375" path="m9006,3511l8931,3509,8857,3502,8785,3491,8714,3475,8645,3455,8577,3431,8511,3404,8448,3372,8387,3337,8328,3298,8271,3257,8218,3211,8167,3163,8118,3112,8073,3058,8031,3002,7993,2943,7958,2882,7926,2818,7898,2752,7874,2685,7855,2616,7839,2545,7828,2473,7821,2399,7818,2324,7821,2249,7828,2175,7839,2103,7855,2032,7874,1963,7898,1895,7926,1830,7958,1766,7993,1705,8031,1646,8073,1590,8118,1536,8167,1485,8218,1437,8271,1391,8328,1350,8387,1311,8448,1276,8512,1244,8577,1217,8645,1193,8714,1173,8785,1157,8857,1146,8931,1139,9006,1136,9081,1139,9155,1146,9227,1157,9298,1173,9322,1180,9006,1180,8931,1182,8857,1189,8784,1201,8714,1218,8645,1238,8577,1263,8512,1292,8449,1324,8389,1361,8330,1401,8275,1444,8222,1491,8173,1541,8126,1593,8083,1649,8043,1707,8006,1767,7974,1830,7945,1896,7920,1963,7899,2032,7883,2103,7871,2175,7864,2249,7862,2324,7864,2399,7871,2473,7883,2545,7899,2616,7920,2685,7945,2752,7974,2818,8006,2881,8043,2941,8083,2999,8126,3055,8173,3107,8222,3157,8275,3204,8330,3247,8389,3287,8449,3323,8512,3356,8577,3385,8645,3410,8714,3430,8784,3447,8857,3459,8931,3466,9006,3468,9322,3468,9298,3475,9227,3491,9155,3502,9081,3509,9006,3511xm9322,3468l9006,3468,9081,3466,9155,3459,9227,3447,9298,3430,9367,3410,9434,3385,9499,3356,9562,3323,9623,3287,9681,3247,9737,3204,9789,3157,9839,3107,9886,3055,9929,2999,9969,2941,10005,2881,10038,2818,10067,2752,10092,2685,10112,2616,10129,2545,10140,2473,10148,2399,10150,2324,10148,2249,10140,2175,10129,2103,10112,2032,10092,1963,10067,1896,10038,1830,10005,1767,9969,1707,9929,1649,9886,1593,9839,1541,9789,1491,9737,1444,9681,1401,9623,1361,9562,1324,9499,1292,9434,1263,9367,1238,9298,1218,9227,1201,9155,1189,9081,1182,9006,1180,9322,1180,9367,1193,9435,1217,9500,1244,9564,1276,9625,1311,9684,1350,9740,1391,9794,1437,9845,1485,9893,1536,9938,1590,9980,1646,10019,1705,10054,1766,10085,1830,10113,1896,10137,1963,10157,2032,10173,2103,10184,2175,10191,2249,10193,2324,10191,2399,10184,2473,10173,2545,10157,2616,10137,2685,10113,2753,10085,2818,10054,2882,10019,2943,9980,3002,9938,3058,9893,3112,9845,3163,9794,3211,9740,3257,9684,3298,9625,3337,9564,3372,9500,3404,9435,3431,9367,3455,9322,3468xe" filled="true" fillcolor="#ffffff" stroked="false">
                  <v:path arrowok="t"/>
                  <v:fill type="solid"/>
                </v:shape>
                <v:shape style="position:absolute;left:1031;top:4619;width:5467;height:4045" id="docshape169" coordorigin="1032,4620" coordsize="5467,4045" path="m5935,8664l1602,8664,1524,8659,1450,8644,1380,8619,1314,8586,1254,8545,1199,8497,1151,8442,1110,8382,1077,8316,1052,8246,1037,8171,1032,8094,1032,5190,1037,5112,1052,5038,1077,4968,1110,4902,1151,4841,1199,4787,1254,4739,1314,4698,1380,4665,1450,4640,1524,4625,1602,4620,5935,4620,6013,4625,6087,4640,6157,4665,6223,4698,6284,4739,6338,4787,6387,4841,6428,4902,6461,4968,6485,5038,6498,5102,6498,8182,6485,8246,6461,8316,6428,8382,6387,8442,6338,8497,6284,8545,6223,8586,6157,8619,6087,8644,6013,8659,5935,8664xe" filled="true" fillcolor="#94abff" stroked="false">
                  <v:path arrowok="t"/>
                  <v:fill opacity="36700f" type="solid"/>
                </v:shape>
                <v:line style="position:absolute" from="6861,6915" to="11229,6915" stroked="true" strokeweight="2.25pt" strokecolor="#001389">
                  <v:stroke dashstyle="shortdash"/>
                </v:line>
                <v:shape style="position:absolute;left:7638;top:4206;width:299;height:1026" id="docshape170" coordorigin="7639,4207" coordsize="299,1026" path="m7639,5233l7641,5098,7642,5021,7642,4925,7641,4838,7639,4760,7639,4695,7639,4602,7640,4523,7641,4503,7641,4492,7641,4464,7641,4444,7639,4377,7639,4309,7641,4241,7642,4207,7668,4219,7730,4261,7788,4313,7833,4369,7871,4428,7900,4492,7921,4558,7933,4626,7937,4695,7933,4764,7921,4831,7900,4898,7871,4961,7833,5021,7788,5076,7639,5233xe" filled="true" fillcolor="#ed3624" stroked="false">
                  <v:path arrowok="t"/>
                  <v:fill type="solid"/>
                </v:shape>
                <v:shape style="position:absolute;left:7328;top:4156;width:325;height:1403" id="docshape171" coordorigin="7329,4157" coordsize="325,1403" path="m7330,5559l7329,5358,7329,5271,7332,5098,7332,5011,7332,4925,7331,4838,7330,4760,7329,4693,7329,4602,7331,4523,7331,4503,7332,4483,7332,4464,7331,4439,7330,4377,7330,4309,7331,4241,7333,4167,7391,4157,7462,4157,7533,4167,7602,4188,7653,4212,7653,4230,7653,4292,7652,4309,7652,4377,7652,4524,7652,4608,7652,4693,7652,4778,7653,4863,7653,5218,7330,5559xe" filled="true" fillcolor="#e88024" stroked="false">
                  <v:path arrowok="t"/>
                  <v:fill type="solid"/>
                </v:shape>
                <v:shape style="position:absolute;left:7019;top:4163;width:328;height:1702" id="docshape172" coordorigin="7019,4164" coordsize="328,1702" path="m7343,4340l7040,4340,7065,4313,7122,4261,7185,4219,7251,4188,7320,4167,7344,4164,7344,4230,7343,4292,7343,4313,7343,4340xm7040,5865l7021,5845,7021,5729,7022,5670,7021,5611,7021,5542,7019,5358,7020,5271,7022,5098,7023,5011,7023,4925,7022,4838,7020,4760,7019,4693,7019,4602,7021,4523,7022,4503,7022,4483,7022,4464,7021,4439,7020,4377,7020,4319,7021,4320,7040,4340,7343,4340,7343,4377,7343,4524,7342,4608,7342,4693,7342,4778,7344,4863,7344,5098,7344,5292,7347,5542,7040,5865xe" filled="true" fillcolor="#ecaf2f" stroked="false">
                  <v:path arrowok="t"/>
                  <v:fill type="solid"/>
                </v:shape>
                <v:shape style="position:absolute;left:6709;top:4166;width:325;height:1693" id="docshape173" coordorigin="6709,4166" coordsize="325,1693" path="m7034,5859l6711,5518,6709,5358,6710,5271,6712,5098,6713,5011,6713,4925,6712,4838,6711,4760,6710,4693,6710,4602,6712,4523,6712,4503,6712,4483,6712,4464,6712,4439,6711,4377,6711,4309,6712,4241,6714,4166,6767,4174,6836,4195,6902,4226,6964,4268,7021,4320,7029,4377,7029,4439,7028,4524,7028,4608,7028,4693,7028,4778,7029,4863,7029,5098,7030,5292,7034,5709,7034,5859xe" filled="true" fillcolor="#009d59" stroked="false">
                  <v:path arrowok="t"/>
                  <v:fill type="solid"/>
                </v:shape>
                <v:shape style="position:absolute;left:6400;top:4163;width:328;height:1372" id="docshape174" coordorigin="6400,4164" coordsize="328,1372" path="m6727,5535l6402,5192,6403,5098,6404,5011,6404,4925,6403,4838,6401,4760,6400,4693,6400,4602,6402,4523,6403,4503,6403,4483,6403,4464,6402,4439,6401,4377,6401,4309,6402,4241,6485,4195,6554,4174,6625,4164,6696,4164,6725,4168,6725,4230,6724,4292,6724,4309,6724,4377,6724,4439,6724,4524,6723,4608,6723,4693,6723,4778,6724,4863,6725,5192,6725,5292,6727,5535xe" filled="true" fillcolor="#1b6094" stroked="false">
                  <v:path arrowok="t"/>
                  <v:fill type="solid"/>
                </v:shape>
                <v:shape style="position:absolute;left:6149;top:4222;width:278;height:996" id="docshape175" coordorigin="6149,4222" coordsize="278,996" path="m6427,5218l6299,5083,6253,5028,6216,4968,6187,4905,6166,4838,6153,4771,6149,4702,6153,4633,6166,4565,6187,4499,6216,4435,6253,4376,6299,4320,6356,4268,6419,4226,6427,4222,6427,4230,6426,4292,6426,4320,6426,4376,6426,4435,6426,4524,6426,4608,6425,4702,6426,4778,6427,4863,6427,5218xe" filled="true" fillcolor="#6b3486" stroked="false">
                  <v:path arrowok="t"/>
                  <v:fill type="solid"/>
                </v:shape>
                <v:shape style="position:absolute;left:6546;top:4905;width:976;height:960" id="docshape176" coordorigin="6546,4906" coordsize="976,960" path="m7040,5865l6546,5344,7027,4906,7522,5357,7040,5865xe" filled="true" fillcolor="#1b1818" stroked="false">
                  <v:path arrowok="t"/>
                  <v:fill type="solid"/>
                </v:shape>
                <v:shape style="position:absolute;left:6642;top:5093;width:785;height:772" id="docshape177" coordorigin="6642,5094" coordsize="785,772" path="m7040,5865l6642,5445,7027,5094,7426,5458,7040,5865xe" filled="true" fillcolor="#623c2a" stroked="false">
                  <v:path arrowok="t"/>
                  <v:fill type="solid"/>
                </v:shape>
                <v:shape style="position:absolute;left:6738;top:5283;width:592;height:583" id="docshape178" coordorigin="6738,5283" coordsize="592,583" path="m7040,5865l6738,5547,7027,5283,7330,5559,7040,5865xe" filled="true" fillcolor="#79cbdd" stroked="false">
                  <v:path arrowok="t"/>
                  <v:fill type="solid"/>
                </v:shape>
                <v:shape style="position:absolute;left:6834;top:5471;width:401;height:394" id="docshape179" coordorigin="6834,5472" coordsize="401,394" path="m7040,5865l6834,5648,7027,5472,7234,5660,7040,5865xe" filled="true" fillcolor="#e4a1c7" stroked="false">
                  <v:path arrowok="t"/>
                  <v:fill type="solid"/>
                </v:shape>
                <v:shape style="position:absolute;left:6930;top:5660;width:208;height:205" id="docshape180" coordorigin="6930,5661" coordsize="208,205" path="m7040,5865l6930,5749,7027,5661,7138,5762,7040,5865xe" filled="true" fillcolor="#e6e7e7" stroked="false">
                  <v:path arrowok="t"/>
                  <v:fill type="solid"/>
                </v:shape>
                <w10:wrap type="none"/>
              </v:group>
            </w:pict>
          </mc:Fallback>
        </mc:AlternateContent>
      </w:r>
    </w:p>
    <w:p>
      <w:pPr>
        <w:pStyle w:val="BodyText"/>
        <w:rPr>
          <w:rFonts w:ascii="Georgia"/>
          <w:sz w:val="20"/>
        </w:rPr>
      </w:pPr>
    </w:p>
    <w:p>
      <w:pPr>
        <w:pStyle w:val="BodyText"/>
        <w:spacing w:before="196" w:after="1"/>
        <w:rPr>
          <w:rFonts w:ascii="Georgia"/>
          <w:sz w:val="20"/>
        </w:rPr>
      </w:pPr>
    </w:p>
    <w:p>
      <w:pPr>
        <w:tabs>
          <w:tab w:pos="5945" w:val="left" w:leader="none"/>
        </w:tabs>
        <w:spacing w:line="240" w:lineRule="auto"/>
        <w:ind w:left="121" w:right="0" w:firstLine="0"/>
        <w:rPr>
          <w:rFonts w:ascii="Georgia"/>
          <w:sz w:val="20"/>
        </w:rPr>
      </w:pPr>
      <w:r>
        <w:rPr>
          <w:rFonts w:ascii="Georgia"/>
          <w:position w:val="80"/>
          <w:sz w:val="20"/>
        </w:rPr>
        <mc:AlternateContent>
          <mc:Choice Requires="wps">
            <w:drawing>
              <wp:inline distT="0" distB="0" distL="0" distR="0">
                <wp:extent cx="3475354" cy="1085215"/>
                <wp:effectExtent l="0" t="0" r="0" b="634"/>
                <wp:docPr id="214" name="Group 214"/>
                <wp:cNvGraphicFramePr>
                  <a:graphicFrameLocks/>
                </wp:cNvGraphicFramePr>
                <a:graphic>
                  <a:graphicData uri="http://schemas.microsoft.com/office/word/2010/wordprocessingGroup">
                    <wpg:wgp>
                      <wpg:cNvPr id="214" name="Group 214"/>
                      <wpg:cNvGrpSpPr/>
                      <wpg:grpSpPr>
                        <a:xfrm>
                          <a:off x="0" y="0"/>
                          <a:ext cx="3475354" cy="1085215"/>
                          <a:chExt cx="3475354" cy="1085215"/>
                        </a:xfrm>
                      </wpg:grpSpPr>
                      <wps:wsp>
                        <wps:cNvPr id="215" name="Graphic 215"/>
                        <wps:cNvSpPr/>
                        <wps:spPr>
                          <a:xfrm>
                            <a:off x="0" y="0"/>
                            <a:ext cx="3475354" cy="1085215"/>
                          </a:xfrm>
                          <a:custGeom>
                            <a:avLst/>
                            <a:gdLst/>
                            <a:ahLst/>
                            <a:cxnLst/>
                            <a:rect l="l" t="t" r="r" b="b"/>
                            <a:pathLst>
                              <a:path w="3475354" h="1085215">
                                <a:moveTo>
                                  <a:pt x="3113779" y="1084970"/>
                                </a:moveTo>
                                <a:lnTo>
                                  <a:pt x="361949" y="1084970"/>
                                </a:lnTo>
                                <a:lnTo>
                                  <a:pt x="312835" y="1081666"/>
                                </a:lnTo>
                                <a:lnTo>
                                  <a:pt x="265729" y="1072041"/>
                                </a:lnTo>
                                <a:lnTo>
                                  <a:pt x="221062" y="1056526"/>
                                </a:lnTo>
                                <a:lnTo>
                                  <a:pt x="179266" y="1035553"/>
                                </a:lnTo>
                                <a:lnTo>
                                  <a:pt x="140773" y="1009553"/>
                                </a:lnTo>
                                <a:lnTo>
                                  <a:pt x="106012" y="978957"/>
                                </a:lnTo>
                                <a:lnTo>
                                  <a:pt x="75416" y="944197"/>
                                </a:lnTo>
                                <a:lnTo>
                                  <a:pt x="49416" y="905703"/>
                                </a:lnTo>
                                <a:lnTo>
                                  <a:pt x="28443" y="863907"/>
                                </a:lnTo>
                                <a:lnTo>
                                  <a:pt x="12929" y="819240"/>
                                </a:lnTo>
                                <a:lnTo>
                                  <a:pt x="3304" y="772134"/>
                                </a:lnTo>
                                <a:lnTo>
                                  <a:pt x="0" y="723020"/>
                                </a:lnTo>
                                <a:lnTo>
                                  <a:pt x="0" y="361950"/>
                                </a:lnTo>
                                <a:lnTo>
                                  <a:pt x="3304" y="312835"/>
                                </a:lnTo>
                                <a:lnTo>
                                  <a:pt x="12929" y="265729"/>
                                </a:lnTo>
                                <a:lnTo>
                                  <a:pt x="28443" y="221062"/>
                                </a:lnTo>
                                <a:lnTo>
                                  <a:pt x="49416" y="179266"/>
                                </a:lnTo>
                                <a:lnTo>
                                  <a:pt x="75416" y="140773"/>
                                </a:lnTo>
                                <a:lnTo>
                                  <a:pt x="106012" y="106012"/>
                                </a:lnTo>
                                <a:lnTo>
                                  <a:pt x="140773" y="75416"/>
                                </a:lnTo>
                                <a:lnTo>
                                  <a:pt x="179266" y="49416"/>
                                </a:lnTo>
                                <a:lnTo>
                                  <a:pt x="221062" y="28443"/>
                                </a:lnTo>
                                <a:lnTo>
                                  <a:pt x="265729" y="12929"/>
                                </a:lnTo>
                                <a:lnTo>
                                  <a:pt x="312835" y="3304"/>
                                </a:lnTo>
                                <a:lnTo>
                                  <a:pt x="361950" y="0"/>
                                </a:lnTo>
                                <a:lnTo>
                                  <a:pt x="3113778" y="0"/>
                                </a:lnTo>
                                <a:lnTo>
                                  <a:pt x="3162893" y="3304"/>
                                </a:lnTo>
                                <a:lnTo>
                                  <a:pt x="3209999" y="12929"/>
                                </a:lnTo>
                                <a:lnTo>
                                  <a:pt x="3254666" y="28443"/>
                                </a:lnTo>
                                <a:lnTo>
                                  <a:pt x="3296461" y="49416"/>
                                </a:lnTo>
                                <a:lnTo>
                                  <a:pt x="3334955" y="75416"/>
                                </a:lnTo>
                                <a:lnTo>
                                  <a:pt x="3369715" y="106012"/>
                                </a:lnTo>
                                <a:lnTo>
                                  <a:pt x="3400311" y="140773"/>
                                </a:lnTo>
                                <a:lnTo>
                                  <a:pt x="3426311" y="179266"/>
                                </a:lnTo>
                                <a:lnTo>
                                  <a:pt x="3447284" y="221062"/>
                                </a:lnTo>
                                <a:lnTo>
                                  <a:pt x="3462799" y="265729"/>
                                </a:lnTo>
                                <a:lnTo>
                                  <a:pt x="3472424" y="312835"/>
                                </a:lnTo>
                                <a:lnTo>
                                  <a:pt x="3475295" y="355509"/>
                                </a:lnTo>
                                <a:lnTo>
                                  <a:pt x="3475295" y="729461"/>
                                </a:lnTo>
                                <a:lnTo>
                                  <a:pt x="3472424" y="772134"/>
                                </a:lnTo>
                                <a:lnTo>
                                  <a:pt x="3462799" y="819240"/>
                                </a:lnTo>
                                <a:lnTo>
                                  <a:pt x="3447284" y="863907"/>
                                </a:lnTo>
                                <a:lnTo>
                                  <a:pt x="3426311" y="905703"/>
                                </a:lnTo>
                                <a:lnTo>
                                  <a:pt x="3400311" y="944197"/>
                                </a:lnTo>
                                <a:lnTo>
                                  <a:pt x="3369715" y="978957"/>
                                </a:lnTo>
                                <a:lnTo>
                                  <a:pt x="3334955" y="1009553"/>
                                </a:lnTo>
                                <a:lnTo>
                                  <a:pt x="3296461" y="1035553"/>
                                </a:lnTo>
                                <a:lnTo>
                                  <a:pt x="3254666" y="1056526"/>
                                </a:lnTo>
                                <a:lnTo>
                                  <a:pt x="3209999" y="1072041"/>
                                </a:lnTo>
                                <a:lnTo>
                                  <a:pt x="3162893" y="1081666"/>
                                </a:lnTo>
                                <a:lnTo>
                                  <a:pt x="3113779" y="1084970"/>
                                </a:lnTo>
                                <a:close/>
                              </a:path>
                            </a:pathLst>
                          </a:custGeom>
                          <a:solidFill>
                            <a:srgbClr val="94ABFF">
                              <a:alpha val="55999"/>
                            </a:srgbClr>
                          </a:solidFill>
                        </wps:spPr>
                        <wps:bodyPr wrap="square" lIns="0" tIns="0" rIns="0" bIns="0" rtlCol="0">
                          <a:prstTxWarp prst="textNoShape">
                            <a:avLst/>
                          </a:prstTxWarp>
                          <a:noAutofit/>
                        </wps:bodyPr>
                      </wps:wsp>
                      <wps:wsp>
                        <wps:cNvPr id="216" name="Textbox 216"/>
                        <wps:cNvSpPr txBox="1"/>
                        <wps:spPr>
                          <a:xfrm>
                            <a:off x="0" y="0"/>
                            <a:ext cx="3475354" cy="1085215"/>
                          </a:xfrm>
                          <a:prstGeom prst="rect">
                            <a:avLst/>
                          </a:prstGeom>
                        </wps:spPr>
                        <wps:txbx>
                          <w:txbxContent>
                            <w:p>
                              <w:pPr>
                                <w:spacing w:before="136"/>
                                <w:ind w:left="202" w:right="0" w:firstLine="0"/>
                                <w:jc w:val="left"/>
                                <w:rPr>
                                  <w:b/>
                                  <w:i/>
                                  <w:sz w:val="34"/>
                                </w:rPr>
                              </w:pPr>
                              <w:r>
                                <w:rPr>
                                  <w:b/>
                                  <w:i/>
                                  <w:spacing w:val="11"/>
                                  <w:w w:val="130"/>
                                  <w:sz w:val="34"/>
                                </w:rPr>
                                <w:t>LEGISLATION</w:t>
                              </w:r>
                            </w:p>
                            <w:p>
                              <w:pPr>
                                <w:spacing w:line="537" w:lineRule="auto" w:before="122"/>
                                <w:ind w:left="211" w:right="275" w:firstLine="0"/>
                                <w:jc w:val="left"/>
                                <w:rPr>
                                  <w:rFonts w:ascii="Georgia"/>
                                  <w:sz w:val="20"/>
                                </w:rPr>
                              </w:pPr>
                              <w:r>
                                <w:rPr>
                                  <w:rFonts w:ascii="Georgia"/>
                                  <w:sz w:val="20"/>
                                </w:rPr>
                                <w:t>S.1242/H.1981: Overdose Prevention Centers S.619/H.1085:</w:t>
                              </w:r>
                              <w:r>
                                <w:rPr>
                                  <w:rFonts w:ascii="Georgia"/>
                                  <w:spacing w:val="-9"/>
                                  <w:sz w:val="20"/>
                                </w:rPr>
                                <w:t> </w:t>
                              </w:r>
                              <w:r>
                                <w:rPr>
                                  <w:rFonts w:ascii="Georgia"/>
                                  <w:sz w:val="20"/>
                                </w:rPr>
                                <w:t>Access</w:t>
                              </w:r>
                              <w:r>
                                <w:rPr>
                                  <w:rFonts w:ascii="Georgia"/>
                                  <w:spacing w:val="-9"/>
                                  <w:sz w:val="20"/>
                                </w:rPr>
                                <w:t> </w:t>
                              </w:r>
                              <w:r>
                                <w:rPr>
                                  <w:rFonts w:ascii="Georgia"/>
                                  <w:sz w:val="20"/>
                                </w:rPr>
                                <w:t>to</w:t>
                              </w:r>
                              <w:r>
                                <w:rPr>
                                  <w:rFonts w:ascii="Georgia"/>
                                  <w:spacing w:val="-9"/>
                                  <w:sz w:val="20"/>
                                </w:rPr>
                                <w:t> </w:t>
                              </w:r>
                              <w:r>
                                <w:rPr>
                                  <w:rFonts w:ascii="Georgia"/>
                                  <w:sz w:val="20"/>
                                </w:rPr>
                                <w:t>HIV</w:t>
                              </w:r>
                              <w:r>
                                <w:rPr>
                                  <w:rFonts w:ascii="Georgia"/>
                                  <w:spacing w:val="-9"/>
                                  <w:sz w:val="20"/>
                                </w:rPr>
                                <w:t> </w:t>
                              </w:r>
                              <w:r>
                                <w:rPr>
                                  <w:rFonts w:ascii="Georgia"/>
                                  <w:sz w:val="20"/>
                                </w:rPr>
                                <w:t>Prevention</w:t>
                              </w:r>
                              <w:r>
                                <w:rPr>
                                  <w:rFonts w:ascii="Georgia"/>
                                  <w:spacing w:val="-9"/>
                                  <w:sz w:val="20"/>
                                </w:rPr>
                                <w:t> </w:t>
                              </w:r>
                              <w:r>
                                <w:rPr>
                                  <w:rFonts w:ascii="Georgia"/>
                                  <w:sz w:val="20"/>
                                </w:rPr>
                                <w:t>Medication</w:t>
                              </w:r>
                            </w:p>
                          </w:txbxContent>
                        </wps:txbx>
                        <wps:bodyPr wrap="square" lIns="0" tIns="0" rIns="0" bIns="0" rtlCol="0">
                          <a:noAutofit/>
                        </wps:bodyPr>
                      </wps:wsp>
                    </wpg:wgp>
                  </a:graphicData>
                </a:graphic>
              </wp:inline>
            </w:drawing>
          </mc:Choice>
          <mc:Fallback>
            <w:pict>
              <v:group style="width:273.650pt;height:85.45pt;mso-position-horizontal-relative:char;mso-position-vertical-relative:line" id="docshapegroup181" coordorigin="0,0" coordsize="5473,1709">
                <v:shape style="position:absolute;left:0;top:0;width:5473;height:1709" id="docshape182" coordorigin="0,0" coordsize="5473,1709" path="m4904,1709l570,1709,493,1703,418,1688,348,1664,282,1631,222,1590,167,1542,119,1487,78,1426,45,1360,20,1290,5,1216,0,1139,0,570,5,493,20,418,45,348,78,282,119,222,167,167,222,119,282,78,348,45,418,20,493,5,570,0,4904,0,4981,5,5055,20,5125,45,5191,78,5252,119,5307,167,5355,222,5396,282,5429,348,5453,418,5468,493,5473,560,5473,1149,5468,1216,5453,1290,5429,1360,5396,1426,5355,1487,5307,1542,5252,1590,5191,1631,5125,1664,5055,1688,4981,1703,4904,1709xe" filled="true" fillcolor="#94abff" stroked="false">
                  <v:path arrowok="t"/>
                  <v:fill opacity="36700f" type="solid"/>
                </v:shape>
                <v:shape style="position:absolute;left:0;top:0;width:5473;height:1709" type="#_x0000_t202" id="docshape183" filled="false" stroked="false">
                  <v:textbox inset="0,0,0,0">
                    <w:txbxContent>
                      <w:p>
                        <w:pPr>
                          <w:spacing w:before="136"/>
                          <w:ind w:left="202" w:right="0" w:firstLine="0"/>
                          <w:jc w:val="left"/>
                          <w:rPr>
                            <w:b/>
                            <w:i/>
                            <w:sz w:val="34"/>
                          </w:rPr>
                        </w:pPr>
                        <w:r>
                          <w:rPr>
                            <w:b/>
                            <w:i/>
                            <w:spacing w:val="11"/>
                            <w:w w:val="130"/>
                            <w:sz w:val="34"/>
                          </w:rPr>
                          <w:t>LEGISLATION</w:t>
                        </w:r>
                      </w:p>
                      <w:p>
                        <w:pPr>
                          <w:spacing w:line="537" w:lineRule="auto" w:before="122"/>
                          <w:ind w:left="211" w:right="275" w:firstLine="0"/>
                          <w:jc w:val="left"/>
                          <w:rPr>
                            <w:rFonts w:ascii="Georgia"/>
                            <w:sz w:val="20"/>
                          </w:rPr>
                        </w:pPr>
                        <w:r>
                          <w:rPr>
                            <w:rFonts w:ascii="Georgia"/>
                            <w:sz w:val="20"/>
                          </w:rPr>
                          <w:t>S.1242/H.1981: Overdose Prevention Centers S.619/H.1085:</w:t>
                        </w:r>
                        <w:r>
                          <w:rPr>
                            <w:rFonts w:ascii="Georgia"/>
                            <w:spacing w:val="-9"/>
                            <w:sz w:val="20"/>
                          </w:rPr>
                          <w:t> </w:t>
                        </w:r>
                        <w:r>
                          <w:rPr>
                            <w:rFonts w:ascii="Georgia"/>
                            <w:sz w:val="20"/>
                          </w:rPr>
                          <w:t>Access</w:t>
                        </w:r>
                        <w:r>
                          <w:rPr>
                            <w:rFonts w:ascii="Georgia"/>
                            <w:spacing w:val="-9"/>
                            <w:sz w:val="20"/>
                          </w:rPr>
                          <w:t> </w:t>
                        </w:r>
                        <w:r>
                          <w:rPr>
                            <w:rFonts w:ascii="Georgia"/>
                            <w:sz w:val="20"/>
                          </w:rPr>
                          <w:t>to</w:t>
                        </w:r>
                        <w:r>
                          <w:rPr>
                            <w:rFonts w:ascii="Georgia"/>
                            <w:spacing w:val="-9"/>
                            <w:sz w:val="20"/>
                          </w:rPr>
                          <w:t> </w:t>
                        </w:r>
                        <w:r>
                          <w:rPr>
                            <w:rFonts w:ascii="Georgia"/>
                            <w:sz w:val="20"/>
                          </w:rPr>
                          <w:t>HIV</w:t>
                        </w:r>
                        <w:r>
                          <w:rPr>
                            <w:rFonts w:ascii="Georgia"/>
                            <w:spacing w:val="-9"/>
                            <w:sz w:val="20"/>
                          </w:rPr>
                          <w:t> </w:t>
                        </w:r>
                        <w:r>
                          <w:rPr>
                            <w:rFonts w:ascii="Georgia"/>
                            <w:sz w:val="20"/>
                          </w:rPr>
                          <w:t>Prevention</w:t>
                        </w:r>
                        <w:r>
                          <w:rPr>
                            <w:rFonts w:ascii="Georgia"/>
                            <w:spacing w:val="-9"/>
                            <w:sz w:val="20"/>
                          </w:rPr>
                          <w:t> </w:t>
                        </w:r>
                        <w:r>
                          <w:rPr>
                            <w:rFonts w:ascii="Georgia"/>
                            <w:sz w:val="20"/>
                          </w:rPr>
                          <w:t>Medication</w:t>
                        </w:r>
                      </w:p>
                    </w:txbxContent>
                  </v:textbox>
                  <w10:wrap type="none"/>
                </v:shape>
              </v:group>
            </w:pict>
          </mc:Fallback>
        </mc:AlternateContent>
      </w:r>
      <w:r>
        <w:rPr>
          <w:rFonts w:ascii="Georgia"/>
          <w:position w:val="80"/>
          <w:sz w:val="20"/>
        </w:rPr>
      </w:r>
      <w:r>
        <w:rPr>
          <w:rFonts w:ascii="Georgia"/>
          <w:position w:val="80"/>
          <w:sz w:val="20"/>
        </w:rPr>
        <w:tab/>
      </w:r>
      <w:r>
        <w:rPr>
          <w:rFonts w:ascii="Georgia"/>
          <w:sz w:val="20"/>
        </w:rPr>
        <w:drawing>
          <wp:inline distT="0" distB="0" distL="0" distR="0">
            <wp:extent cx="3121626" cy="2195512"/>
            <wp:effectExtent l="0" t="0" r="0" b="0"/>
            <wp:docPr id="217" name="Image 217"/>
            <wp:cNvGraphicFramePr>
              <a:graphicFrameLocks/>
            </wp:cNvGraphicFramePr>
            <a:graphic>
              <a:graphicData uri="http://schemas.openxmlformats.org/drawingml/2006/picture">
                <pic:pic>
                  <pic:nvPicPr>
                    <pic:cNvPr id="217" name="Image 217"/>
                    <pic:cNvPicPr/>
                  </pic:nvPicPr>
                  <pic:blipFill>
                    <a:blip r:embed="rId173" cstate="print"/>
                    <a:stretch>
                      <a:fillRect/>
                    </a:stretch>
                  </pic:blipFill>
                  <pic:spPr>
                    <a:xfrm>
                      <a:off x="0" y="0"/>
                      <a:ext cx="3121626" cy="2195512"/>
                    </a:xfrm>
                    <a:prstGeom prst="rect">
                      <a:avLst/>
                    </a:prstGeom>
                  </pic:spPr>
                </pic:pic>
              </a:graphicData>
            </a:graphic>
          </wp:inline>
        </w:drawing>
      </w:r>
      <w:r>
        <w:rPr>
          <w:rFonts w:ascii="Georgia"/>
          <w:sz w:val="20"/>
        </w:rPr>
      </w:r>
    </w:p>
    <w:p>
      <w:pPr>
        <w:spacing w:after="0" w:line="240" w:lineRule="auto"/>
        <w:rPr>
          <w:rFonts w:ascii="Georgia"/>
          <w:sz w:val="20"/>
        </w:rPr>
        <w:sectPr>
          <w:type w:val="continuous"/>
          <w:pgSz w:w="12240" w:h="15840"/>
          <w:pgMar w:header="0" w:footer="0" w:top="1420" w:bottom="280" w:left="920" w:right="340"/>
        </w:sectPr>
      </w:pPr>
    </w:p>
    <w:p>
      <w:pPr>
        <w:pStyle w:val="BodyText"/>
        <w:spacing w:before="3"/>
        <w:rPr>
          <w:rFonts w:ascii="Georgia"/>
          <w:sz w:val="11"/>
        </w:rPr>
      </w:pPr>
    </w:p>
    <w:p>
      <w:pPr>
        <w:pStyle w:val="BodyText"/>
        <w:spacing w:line="20" w:lineRule="exact"/>
        <w:ind w:left="420"/>
        <w:rPr>
          <w:rFonts w:ascii="Georgia"/>
          <w:sz w:val="2"/>
        </w:rPr>
      </w:pPr>
      <w:r>
        <w:rPr>
          <w:rFonts w:ascii="Georgia"/>
          <w:sz w:val="2"/>
        </w:rPr>
        <mc:AlternateContent>
          <mc:Choice Requires="wps">
            <w:drawing>
              <wp:inline distT="0" distB="0" distL="0" distR="0">
                <wp:extent cx="6350" cy="12700"/>
                <wp:effectExtent l="0" t="0" r="0" b="0"/>
                <wp:docPr id="221" name="Group 221"/>
                <wp:cNvGraphicFramePr>
                  <a:graphicFrameLocks/>
                </wp:cNvGraphicFramePr>
                <a:graphic>
                  <a:graphicData uri="http://schemas.microsoft.com/office/word/2010/wordprocessingGroup">
                    <wpg:wgp>
                      <wpg:cNvPr id="221" name="Group 221"/>
                      <wpg:cNvGrpSpPr/>
                      <wpg:grpSpPr>
                        <a:xfrm>
                          <a:off x="0" y="0"/>
                          <a:ext cx="6350" cy="12700"/>
                          <a:chExt cx="6350" cy="12700"/>
                        </a:xfrm>
                      </wpg:grpSpPr>
                      <wps:wsp>
                        <wps:cNvPr id="222" name="Graphic 222"/>
                        <wps:cNvSpPr/>
                        <wps:spPr>
                          <a:xfrm>
                            <a:off x="0" y="0"/>
                            <a:ext cx="6350" cy="12700"/>
                          </a:xfrm>
                          <a:custGeom>
                            <a:avLst/>
                            <a:gdLst/>
                            <a:ahLst/>
                            <a:cxnLst/>
                            <a:rect l="l" t="t" r="r" b="b"/>
                            <a:pathLst>
                              <a:path w="6350" h="12700">
                                <a:moveTo>
                                  <a:pt x="6337" y="0"/>
                                </a:moveTo>
                                <a:lnTo>
                                  <a:pt x="0" y="0"/>
                                </a:lnTo>
                                <a:lnTo>
                                  <a:pt x="0" y="12204"/>
                                </a:lnTo>
                                <a:lnTo>
                                  <a:pt x="6337" y="12204"/>
                                </a:lnTo>
                                <a:lnTo>
                                  <a:pt x="6337" y="0"/>
                                </a:lnTo>
                                <a:close/>
                              </a:path>
                            </a:pathLst>
                          </a:custGeom>
                          <a:solidFill>
                            <a:srgbClr val="0F6DC5"/>
                          </a:solidFill>
                        </wps:spPr>
                        <wps:bodyPr wrap="square" lIns="0" tIns="0" rIns="0" bIns="0" rtlCol="0">
                          <a:prstTxWarp prst="textNoShape">
                            <a:avLst/>
                          </a:prstTxWarp>
                          <a:noAutofit/>
                        </wps:bodyPr>
                      </wps:wsp>
                    </wpg:wgp>
                  </a:graphicData>
                </a:graphic>
              </wp:inline>
            </w:drawing>
          </mc:Choice>
          <mc:Fallback>
            <w:pict>
              <v:group style="width:.5pt;height:1pt;mso-position-horizontal-relative:char;mso-position-vertical-relative:line" id="docshapegroup187" coordorigin="0,0" coordsize="10,20">
                <v:rect style="position:absolute;left:0;top:0;width:10;height:20" id="docshape188" filled="true" fillcolor="#0f6dc5" stroked="false">
                  <v:fill type="solid"/>
                </v:rect>
              </v:group>
            </w:pict>
          </mc:Fallback>
        </mc:AlternateContent>
      </w:r>
      <w:r>
        <w:rPr>
          <w:rFonts w:ascii="Georgia"/>
          <w:sz w:val="2"/>
        </w:rPr>
      </w:r>
    </w:p>
    <w:p>
      <w:pPr>
        <w:pStyle w:val="Heading7"/>
        <w:ind w:left="463"/>
      </w:pPr>
      <w:bookmarkStart w:name="FY 2025 - Mental Health - Final.pdf" w:id="233"/>
      <w:bookmarkEnd w:id="233"/>
      <w:r>
        <w:rPr/>
      </w:r>
      <w:bookmarkStart w:name="_bookmark103" w:id="234"/>
      <w:bookmarkEnd w:id="234"/>
      <w:r>
        <w:rPr/>
      </w:r>
      <w:hyperlink w:history="true" w:anchor="_bookmark3">
        <w:r>
          <w:rPr>
            <w:color w:val="365F91"/>
            <w:spacing w:val="-10"/>
          </w:rPr>
          <w:t>Supporting</w:t>
        </w:r>
        <w:r>
          <w:rPr>
            <w:color w:val="365F91"/>
            <w:spacing w:val="-2"/>
          </w:rPr>
          <w:t> </w:t>
        </w:r>
        <w:r>
          <w:rPr>
            <w:color w:val="365F91"/>
            <w:spacing w:val="-10"/>
          </w:rPr>
          <w:t>Mental</w:t>
        </w:r>
        <w:r>
          <w:rPr>
            <w:color w:val="365F91"/>
            <w:spacing w:val="-2"/>
          </w:rPr>
          <w:t> </w:t>
        </w:r>
        <w:r>
          <w:rPr>
            <w:color w:val="365F91"/>
            <w:spacing w:val="-10"/>
          </w:rPr>
          <w:t>Health</w:t>
        </w:r>
      </w:hyperlink>
    </w:p>
    <w:p>
      <w:pPr>
        <w:spacing w:before="312"/>
        <w:ind w:left="463" w:right="0" w:firstLine="0"/>
        <w:jc w:val="left"/>
        <w:rPr>
          <w:sz w:val="28"/>
        </w:rPr>
      </w:pPr>
      <w:bookmarkStart w:name="Introduction" w:id="235"/>
      <w:bookmarkEnd w:id="235"/>
      <w:r>
        <w:rPr/>
      </w:r>
      <w:r>
        <w:rPr>
          <w:color w:val="365F91"/>
          <w:spacing w:val="-2"/>
          <w:sz w:val="28"/>
        </w:rPr>
        <w:t>Introduction</w:t>
      </w:r>
    </w:p>
    <w:p>
      <w:pPr>
        <w:pStyle w:val="BodyText"/>
        <w:spacing w:before="11"/>
        <w:rPr>
          <w:sz w:val="3"/>
        </w:rPr>
      </w:pPr>
      <w:r>
        <w:rPr/>
        <mc:AlternateContent>
          <mc:Choice Requires="wps">
            <w:drawing>
              <wp:anchor distT="0" distB="0" distL="0" distR="0" allowOverlap="1" layoutInCell="1" locked="0" behindDoc="1" simplePos="0" relativeHeight="487616512">
                <wp:simplePos x="0" y="0"/>
                <wp:positionH relativeFrom="page">
                  <wp:posOffset>897636</wp:posOffset>
                </wp:positionH>
                <wp:positionV relativeFrom="paragraph">
                  <wp:posOffset>45670</wp:posOffset>
                </wp:positionV>
                <wp:extent cx="6052820" cy="6350"/>
                <wp:effectExtent l="0" t="0" r="0" b="0"/>
                <wp:wrapTopAndBottom/>
                <wp:docPr id="223" name="Graphic 223"/>
                <wp:cNvGraphicFramePr>
                  <a:graphicFrameLocks/>
                </wp:cNvGraphicFramePr>
                <a:graphic>
                  <a:graphicData uri="http://schemas.microsoft.com/office/word/2010/wordprocessingShape">
                    <wps:wsp>
                      <wps:cNvPr id="223" name="Graphic 223"/>
                      <wps:cNvSpPr/>
                      <wps:spPr>
                        <a:xfrm>
                          <a:off x="0" y="0"/>
                          <a:ext cx="6052820" cy="6350"/>
                        </a:xfrm>
                        <a:custGeom>
                          <a:avLst/>
                          <a:gdLst/>
                          <a:ahLst/>
                          <a:cxnLst/>
                          <a:rect l="l" t="t" r="r" b="b"/>
                          <a:pathLst>
                            <a:path w="6052820" h="6350">
                              <a:moveTo>
                                <a:pt x="6052578" y="0"/>
                              </a:moveTo>
                              <a:lnTo>
                                <a:pt x="0" y="0"/>
                              </a:lnTo>
                              <a:lnTo>
                                <a:pt x="0" y="6096"/>
                              </a:lnTo>
                              <a:lnTo>
                                <a:pt x="6052578" y="6096"/>
                              </a:lnTo>
                              <a:lnTo>
                                <a:pt x="6052578" y="0"/>
                              </a:lnTo>
                              <a:close/>
                            </a:path>
                          </a:pathLst>
                        </a:custGeom>
                        <a:solidFill>
                          <a:srgbClr val="4F81BC"/>
                        </a:solidFill>
                      </wps:spPr>
                      <wps:bodyPr wrap="square" lIns="0" tIns="0" rIns="0" bIns="0" rtlCol="0">
                        <a:prstTxWarp prst="textNoShape">
                          <a:avLst/>
                        </a:prstTxWarp>
                        <a:noAutofit/>
                      </wps:bodyPr>
                    </wps:wsp>
                  </a:graphicData>
                </a:graphic>
              </wp:anchor>
            </w:drawing>
          </mc:Choice>
          <mc:Fallback>
            <w:pict>
              <v:rect style="position:absolute;margin-left:70.680pt;margin-top:3.596094pt;width:476.581pt;height:.48pt;mso-position-horizontal-relative:page;mso-position-vertical-relative:paragraph;z-index:-15699968;mso-wrap-distance-left:0;mso-wrap-distance-right:0" id="docshape189" filled="true" fillcolor="#4f81bc" stroked="false">
                <v:fill type="solid"/>
                <w10:wrap type="topAndBottom"/>
              </v:rect>
            </w:pict>
          </mc:Fallback>
        </mc:AlternateContent>
      </w:r>
      <w:r>
        <w:rPr/>
        <mc:AlternateContent>
          <mc:Choice Requires="wps">
            <w:drawing>
              <wp:anchor distT="0" distB="0" distL="0" distR="0" allowOverlap="1" layoutInCell="1" locked="0" behindDoc="1" simplePos="0" relativeHeight="487617024">
                <wp:simplePos x="0" y="0"/>
                <wp:positionH relativeFrom="page">
                  <wp:posOffset>889000</wp:posOffset>
                </wp:positionH>
                <wp:positionV relativeFrom="paragraph">
                  <wp:posOffset>230188</wp:posOffset>
                </wp:positionV>
                <wp:extent cx="6350" cy="12700"/>
                <wp:effectExtent l="0" t="0" r="0" b="0"/>
                <wp:wrapTopAndBottom/>
                <wp:docPr id="224" name="Graphic 224"/>
                <wp:cNvGraphicFramePr>
                  <a:graphicFrameLocks/>
                </wp:cNvGraphicFramePr>
                <a:graphic>
                  <a:graphicData uri="http://schemas.microsoft.com/office/word/2010/wordprocessingShape">
                    <wps:wsp>
                      <wps:cNvPr id="224" name="Graphic 224"/>
                      <wps:cNvSpPr/>
                      <wps:spPr>
                        <a:xfrm>
                          <a:off x="0" y="0"/>
                          <a:ext cx="6350" cy="12700"/>
                        </a:xfrm>
                        <a:custGeom>
                          <a:avLst/>
                          <a:gdLst/>
                          <a:ahLst/>
                          <a:cxnLst/>
                          <a:rect l="l" t="t" r="r" b="b"/>
                          <a:pathLst>
                            <a:path w="6350" h="12700">
                              <a:moveTo>
                                <a:pt x="6337" y="0"/>
                              </a:moveTo>
                              <a:lnTo>
                                <a:pt x="0" y="0"/>
                              </a:lnTo>
                              <a:lnTo>
                                <a:pt x="0" y="12217"/>
                              </a:lnTo>
                              <a:lnTo>
                                <a:pt x="6337" y="12217"/>
                              </a:lnTo>
                              <a:lnTo>
                                <a:pt x="6337" y="0"/>
                              </a:lnTo>
                              <a:close/>
                            </a:path>
                          </a:pathLst>
                        </a:custGeom>
                        <a:solidFill>
                          <a:srgbClr val="0F6DC5"/>
                        </a:solidFill>
                      </wps:spPr>
                      <wps:bodyPr wrap="square" lIns="0" tIns="0" rIns="0" bIns="0" rtlCol="0">
                        <a:prstTxWarp prst="textNoShape">
                          <a:avLst/>
                        </a:prstTxWarp>
                        <a:noAutofit/>
                      </wps:bodyPr>
                    </wps:wsp>
                  </a:graphicData>
                </a:graphic>
              </wp:anchor>
            </w:drawing>
          </mc:Choice>
          <mc:Fallback>
            <w:pict>
              <v:rect style="position:absolute;margin-left:70pt;margin-top:18.125093pt;width:.499pt;height:.962pt;mso-position-horizontal-relative:page;mso-position-vertical-relative:paragraph;z-index:-15699456;mso-wrap-distance-left:0;mso-wrap-distance-right:0" id="docshape190" filled="true" fillcolor="#0f6dc5" stroked="false">
                <v:fill type="solid"/>
                <w10:wrap type="topAndBottom"/>
              </v:rect>
            </w:pict>
          </mc:Fallback>
        </mc:AlternateContent>
      </w:r>
    </w:p>
    <w:p>
      <w:pPr>
        <w:pStyle w:val="BodyText"/>
        <w:spacing w:before="12"/>
        <w:rPr>
          <w:sz w:val="20"/>
        </w:rPr>
      </w:pPr>
    </w:p>
    <w:p>
      <w:pPr>
        <w:spacing w:line="276" w:lineRule="auto" w:before="1"/>
        <w:ind w:left="463" w:right="241" w:firstLine="0"/>
        <w:jc w:val="both"/>
        <w:rPr>
          <w:i/>
          <w:sz w:val="22"/>
        </w:rPr>
      </w:pPr>
      <w:bookmarkStart w:name="(first published in FY 2024 Annual Recom" w:id="236"/>
      <w:bookmarkEnd w:id="236"/>
      <w:r>
        <w:rPr/>
      </w:r>
      <w:r>
        <w:rPr>
          <w:i/>
          <w:sz w:val="22"/>
        </w:rPr>
        <w:t>(first published in FY 2024 Annual Recommendations Report, minor updates made to bring current to FY</w:t>
      </w:r>
      <w:r>
        <w:rPr>
          <w:i/>
          <w:sz w:val="22"/>
        </w:rPr>
        <w:t> </w:t>
      </w:r>
      <w:r>
        <w:rPr>
          <w:i/>
          <w:spacing w:val="-2"/>
          <w:sz w:val="22"/>
        </w:rPr>
        <w:t>2025)</w:t>
      </w:r>
    </w:p>
    <w:p>
      <w:pPr>
        <w:spacing w:line="276" w:lineRule="auto" w:before="240"/>
        <w:ind w:left="463" w:right="238" w:firstLine="0"/>
        <w:jc w:val="both"/>
        <w:rPr>
          <w:sz w:val="21"/>
        </w:rPr>
      </w:pPr>
      <w:r>
        <w:rPr>
          <w:sz w:val="21"/>
        </w:rPr>
        <w:t>The personal is political – and that includes mental health. Across the Commonwealth, LGBTQ youth mental health</w:t>
      </w:r>
      <w:r>
        <w:rPr>
          <w:spacing w:val="-3"/>
          <w:sz w:val="21"/>
        </w:rPr>
        <w:t> </w:t>
      </w:r>
      <w:r>
        <w:rPr>
          <w:sz w:val="21"/>
        </w:rPr>
        <w:t>is</w:t>
      </w:r>
      <w:r>
        <w:rPr>
          <w:spacing w:val="-3"/>
          <w:sz w:val="21"/>
        </w:rPr>
        <w:t> </w:t>
      </w:r>
      <w:r>
        <w:rPr>
          <w:sz w:val="21"/>
        </w:rPr>
        <w:t>in</w:t>
      </w:r>
      <w:r>
        <w:rPr>
          <w:spacing w:val="-3"/>
          <w:sz w:val="21"/>
        </w:rPr>
        <w:t> </w:t>
      </w:r>
      <w:r>
        <w:rPr>
          <w:sz w:val="21"/>
        </w:rPr>
        <w:t>crisis.</w:t>
      </w:r>
      <w:r>
        <w:rPr>
          <w:spacing w:val="-3"/>
          <w:sz w:val="21"/>
        </w:rPr>
        <w:t> </w:t>
      </w:r>
      <w:r>
        <w:rPr>
          <w:sz w:val="21"/>
        </w:rPr>
        <w:t>Last</w:t>
      </w:r>
      <w:r>
        <w:rPr>
          <w:spacing w:val="-2"/>
          <w:sz w:val="21"/>
        </w:rPr>
        <w:t> </w:t>
      </w:r>
      <w:r>
        <w:rPr>
          <w:sz w:val="21"/>
        </w:rPr>
        <w:t>year,</w:t>
      </w:r>
      <w:r>
        <w:rPr>
          <w:spacing w:val="-2"/>
          <w:sz w:val="21"/>
        </w:rPr>
        <w:t> </w:t>
      </w:r>
      <w:r>
        <w:rPr>
          <w:sz w:val="21"/>
        </w:rPr>
        <w:t>LGBTQ</w:t>
      </w:r>
      <w:r>
        <w:rPr>
          <w:spacing w:val="-3"/>
          <w:sz w:val="21"/>
        </w:rPr>
        <w:t> </w:t>
      </w:r>
      <w:r>
        <w:rPr>
          <w:sz w:val="21"/>
        </w:rPr>
        <w:t>youth</w:t>
      </w:r>
      <w:r>
        <w:rPr>
          <w:spacing w:val="-3"/>
          <w:sz w:val="21"/>
        </w:rPr>
        <w:t> </w:t>
      </w:r>
      <w:r>
        <w:rPr>
          <w:sz w:val="21"/>
        </w:rPr>
        <w:t>reported</w:t>
      </w:r>
      <w:r>
        <w:rPr>
          <w:spacing w:val="-3"/>
          <w:sz w:val="21"/>
        </w:rPr>
        <w:t> </w:t>
      </w:r>
      <w:r>
        <w:rPr>
          <w:sz w:val="21"/>
        </w:rPr>
        <w:t>alarmingly</w:t>
      </w:r>
      <w:r>
        <w:rPr>
          <w:spacing w:val="-3"/>
          <w:sz w:val="21"/>
        </w:rPr>
        <w:t> </w:t>
      </w:r>
      <w:r>
        <w:rPr>
          <w:sz w:val="21"/>
        </w:rPr>
        <w:t>high</w:t>
      </w:r>
      <w:r>
        <w:rPr>
          <w:spacing w:val="-3"/>
          <w:sz w:val="21"/>
        </w:rPr>
        <w:t> </w:t>
      </w:r>
      <w:r>
        <w:rPr>
          <w:sz w:val="21"/>
        </w:rPr>
        <w:t>levels</w:t>
      </w:r>
      <w:r>
        <w:rPr>
          <w:spacing w:val="-3"/>
          <w:sz w:val="21"/>
        </w:rPr>
        <w:t> </w:t>
      </w:r>
      <w:r>
        <w:rPr>
          <w:sz w:val="21"/>
        </w:rPr>
        <w:t>of</w:t>
      </w:r>
      <w:r>
        <w:rPr>
          <w:spacing w:val="-3"/>
          <w:sz w:val="21"/>
        </w:rPr>
        <w:t> </w:t>
      </w:r>
      <w:r>
        <w:rPr>
          <w:sz w:val="21"/>
        </w:rPr>
        <w:t>depression,</w:t>
      </w:r>
      <w:r>
        <w:rPr>
          <w:spacing w:val="-2"/>
          <w:sz w:val="21"/>
        </w:rPr>
        <w:t> </w:t>
      </w:r>
      <w:r>
        <w:rPr>
          <w:sz w:val="21"/>
        </w:rPr>
        <w:t>anxiety,</w:t>
      </w:r>
      <w:r>
        <w:rPr>
          <w:spacing w:val="-3"/>
          <w:sz w:val="21"/>
        </w:rPr>
        <w:t> </w:t>
      </w:r>
      <w:r>
        <w:rPr>
          <w:sz w:val="21"/>
        </w:rPr>
        <w:t>suicidality,</w:t>
      </w:r>
      <w:r>
        <w:rPr>
          <w:spacing w:val="-3"/>
          <w:sz w:val="21"/>
        </w:rPr>
        <w:t> </w:t>
      </w:r>
      <w:r>
        <w:rPr>
          <w:sz w:val="21"/>
        </w:rPr>
        <w:t>and trauma, yet most who wanted mental healthcare did not receive it. In this report, the Commission discusses ways that allies across many fields can promote evidence-based, intersectional, and trauma-informed mental healthcare for LGBTQ youth, all while highlighting youths’ voices and strengths. From the classroom to the campaign trail, discrimination wears down LGBTQ youths’ physical, social, and mental health on an everyday basis; LGBTQ youth mental health is a community-wide issue that deserves community-based solutions – and everyone has a part to play. For this dedicated section on mental health, the Commission’s recommendations center around three key principles: recognize that discrimination causes trauma, invest in early intervention, and fuel systemic change rather than focusing only on individual therapy.</w:t>
      </w:r>
    </w:p>
    <w:p>
      <w:pPr>
        <w:spacing w:before="240"/>
        <w:ind w:left="515" w:right="290" w:firstLine="0"/>
        <w:jc w:val="center"/>
        <w:rPr>
          <w:i/>
          <w:sz w:val="21"/>
        </w:rPr>
      </w:pPr>
      <w:r>
        <w:rPr>
          <w:i/>
          <w:color w:val="4F81BC"/>
          <w:sz w:val="21"/>
        </w:rPr>
        <w:t>“If</w:t>
      </w:r>
      <w:r>
        <w:rPr>
          <w:i/>
          <w:color w:val="4F81BC"/>
          <w:spacing w:val="-2"/>
          <w:sz w:val="21"/>
        </w:rPr>
        <w:t> </w:t>
      </w:r>
      <w:r>
        <w:rPr>
          <w:i/>
          <w:color w:val="4F81BC"/>
          <w:sz w:val="21"/>
        </w:rPr>
        <w:t>I</w:t>
      </w:r>
      <w:r>
        <w:rPr>
          <w:i/>
          <w:color w:val="4F81BC"/>
          <w:spacing w:val="-2"/>
          <w:sz w:val="21"/>
        </w:rPr>
        <w:t> </w:t>
      </w:r>
      <w:r>
        <w:rPr>
          <w:i/>
          <w:color w:val="4F81BC"/>
          <w:sz w:val="21"/>
        </w:rPr>
        <w:t>am</w:t>
      </w:r>
      <w:r>
        <w:rPr>
          <w:i/>
          <w:color w:val="4F81BC"/>
          <w:spacing w:val="-2"/>
          <w:sz w:val="21"/>
        </w:rPr>
        <w:t> </w:t>
      </w:r>
      <w:r>
        <w:rPr>
          <w:i/>
          <w:color w:val="4F81BC"/>
          <w:sz w:val="21"/>
        </w:rPr>
        <w:t>depressed</w:t>
      </w:r>
      <w:r>
        <w:rPr>
          <w:i/>
          <w:color w:val="4F81BC"/>
          <w:spacing w:val="-2"/>
          <w:sz w:val="21"/>
        </w:rPr>
        <w:t> </w:t>
      </w:r>
      <w:r>
        <w:rPr>
          <w:i/>
          <w:color w:val="4F81BC"/>
          <w:sz w:val="21"/>
        </w:rPr>
        <w:t>or</w:t>
      </w:r>
      <w:r>
        <w:rPr>
          <w:i/>
          <w:color w:val="4F81BC"/>
          <w:spacing w:val="-2"/>
          <w:sz w:val="21"/>
        </w:rPr>
        <w:t> </w:t>
      </w:r>
      <w:r>
        <w:rPr>
          <w:i/>
          <w:color w:val="4F81BC"/>
          <w:sz w:val="21"/>
        </w:rPr>
        <w:t>anxious,</w:t>
      </w:r>
      <w:r>
        <w:rPr>
          <w:i/>
          <w:color w:val="4F81BC"/>
          <w:spacing w:val="-1"/>
          <w:sz w:val="21"/>
        </w:rPr>
        <w:t> </w:t>
      </w:r>
      <w:r>
        <w:rPr>
          <w:i/>
          <w:color w:val="4F81BC"/>
          <w:sz w:val="21"/>
        </w:rPr>
        <w:t>it’s</w:t>
      </w:r>
      <w:r>
        <w:rPr>
          <w:i/>
          <w:color w:val="4F81BC"/>
          <w:spacing w:val="-3"/>
          <w:sz w:val="21"/>
        </w:rPr>
        <w:t> </w:t>
      </w:r>
      <w:r>
        <w:rPr>
          <w:i/>
          <w:color w:val="4F81BC"/>
          <w:sz w:val="21"/>
        </w:rPr>
        <w:t>likely</w:t>
      </w:r>
      <w:r>
        <w:rPr>
          <w:i/>
          <w:color w:val="4F81BC"/>
          <w:spacing w:val="-2"/>
          <w:sz w:val="21"/>
        </w:rPr>
        <w:t> </w:t>
      </w:r>
      <w:r>
        <w:rPr>
          <w:i/>
          <w:color w:val="4F81BC"/>
          <w:sz w:val="21"/>
        </w:rPr>
        <w:t>not</w:t>
      </w:r>
      <w:r>
        <w:rPr>
          <w:i/>
          <w:color w:val="4F81BC"/>
          <w:spacing w:val="-2"/>
          <w:sz w:val="21"/>
        </w:rPr>
        <w:t> </w:t>
      </w:r>
      <w:r>
        <w:rPr>
          <w:i/>
          <w:color w:val="4F81BC"/>
          <w:sz w:val="21"/>
        </w:rPr>
        <w:t>because</w:t>
      </w:r>
      <w:r>
        <w:rPr>
          <w:i/>
          <w:color w:val="4F81BC"/>
          <w:spacing w:val="-1"/>
          <w:sz w:val="21"/>
        </w:rPr>
        <w:t> </w:t>
      </w:r>
      <w:r>
        <w:rPr>
          <w:i/>
          <w:color w:val="4F81BC"/>
          <w:sz w:val="21"/>
        </w:rPr>
        <w:t>I</w:t>
      </w:r>
      <w:r>
        <w:rPr>
          <w:i/>
          <w:color w:val="4F81BC"/>
          <w:spacing w:val="-3"/>
          <w:sz w:val="21"/>
        </w:rPr>
        <w:t> </w:t>
      </w:r>
      <w:r>
        <w:rPr>
          <w:i/>
          <w:color w:val="4F81BC"/>
          <w:sz w:val="21"/>
        </w:rPr>
        <w:t>have</w:t>
      </w:r>
      <w:r>
        <w:rPr>
          <w:i/>
          <w:color w:val="4F81BC"/>
          <w:spacing w:val="-1"/>
          <w:sz w:val="21"/>
        </w:rPr>
        <w:t> </w:t>
      </w:r>
      <w:r>
        <w:rPr>
          <w:i/>
          <w:color w:val="4F81BC"/>
          <w:sz w:val="21"/>
        </w:rPr>
        <w:t>issues</w:t>
      </w:r>
      <w:r>
        <w:rPr>
          <w:i/>
          <w:color w:val="4F81BC"/>
          <w:spacing w:val="-2"/>
          <w:sz w:val="21"/>
        </w:rPr>
        <w:t> </w:t>
      </w:r>
      <w:r>
        <w:rPr>
          <w:i/>
          <w:color w:val="4F81BC"/>
          <w:sz w:val="21"/>
        </w:rPr>
        <w:t>with</w:t>
      </w:r>
      <w:r>
        <w:rPr>
          <w:i/>
          <w:color w:val="4F81BC"/>
          <w:spacing w:val="-4"/>
          <w:sz w:val="21"/>
        </w:rPr>
        <w:t> </w:t>
      </w:r>
      <w:r>
        <w:rPr>
          <w:i/>
          <w:color w:val="4F81BC"/>
          <w:sz w:val="21"/>
        </w:rPr>
        <w:t>my</w:t>
      </w:r>
      <w:r>
        <w:rPr>
          <w:i/>
          <w:color w:val="4F81BC"/>
          <w:spacing w:val="-2"/>
          <w:sz w:val="21"/>
        </w:rPr>
        <w:t> </w:t>
      </w:r>
      <w:r>
        <w:rPr>
          <w:i/>
          <w:color w:val="4F81BC"/>
          <w:sz w:val="21"/>
        </w:rPr>
        <w:t>gender</w:t>
      </w:r>
      <w:r>
        <w:rPr>
          <w:i/>
          <w:color w:val="4F81BC"/>
          <w:spacing w:val="-2"/>
          <w:sz w:val="21"/>
        </w:rPr>
        <w:t> </w:t>
      </w:r>
      <w:r>
        <w:rPr>
          <w:i/>
          <w:color w:val="4F81BC"/>
          <w:sz w:val="21"/>
        </w:rPr>
        <w:t>identity,</w:t>
      </w:r>
      <w:r>
        <w:rPr>
          <w:i/>
          <w:color w:val="4F81BC"/>
          <w:spacing w:val="-2"/>
          <w:sz w:val="21"/>
        </w:rPr>
        <w:t> </w:t>
      </w:r>
      <w:r>
        <w:rPr>
          <w:i/>
          <w:color w:val="4F81BC"/>
          <w:sz w:val="21"/>
        </w:rPr>
        <w:t>but</w:t>
      </w:r>
      <w:r>
        <w:rPr>
          <w:i/>
          <w:color w:val="4F81BC"/>
          <w:spacing w:val="-2"/>
          <w:sz w:val="21"/>
        </w:rPr>
        <w:t> </w:t>
      </w:r>
      <w:r>
        <w:rPr>
          <w:i/>
          <w:color w:val="4F81BC"/>
          <w:sz w:val="21"/>
        </w:rPr>
        <w:t>because</w:t>
      </w:r>
      <w:r>
        <w:rPr>
          <w:i/>
          <w:color w:val="4F81BC"/>
          <w:sz w:val="21"/>
        </w:rPr>
        <w:t> everyone else does.” –</w:t>
      </w:r>
    </w:p>
    <w:p>
      <w:pPr>
        <w:spacing w:before="240"/>
        <w:ind w:left="515" w:right="296" w:firstLine="0"/>
        <w:jc w:val="center"/>
        <w:rPr>
          <w:i/>
          <w:sz w:val="21"/>
        </w:rPr>
      </w:pPr>
      <w:r>
        <w:rPr>
          <w:i/>
          <w:color w:val="4F81BC"/>
          <w:sz w:val="21"/>
        </w:rPr>
        <w:t>Youth</w:t>
      </w:r>
      <w:r>
        <w:rPr>
          <w:i/>
          <w:color w:val="4F81BC"/>
          <w:spacing w:val="-3"/>
          <w:sz w:val="21"/>
        </w:rPr>
        <w:t> </w:t>
      </w:r>
      <w:r>
        <w:rPr>
          <w:i/>
          <w:color w:val="4F81BC"/>
          <w:sz w:val="21"/>
        </w:rPr>
        <w:t>from</w:t>
      </w:r>
      <w:r>
        <w:rPr>
          <w:i/>
          <w:color w:val="4F81BC"/>
          <w:spacing w:val="-2"/>
          <w:sz w:val="21"/>
        </w:rPr>
        <w:t> </w:t>
      </w:r>
      <w:r>
        <w:rPr>
          <w:i/>
          <w:color w:val="4F81BC"/>
          <w:sz w:val="21"/>
        </w:rPr>
        <w:t>New</w:t>
      </w:r>
      <w:r>
        <w:rPr>
          <w:i/>
          <w:color w:val="4F81BC"/>
          <w:spacing w:val="-2"/>
          <w:sz w:val="21"/>
        </w:rPr>
        <w:t> </w:t>
      </w:r>
      <w:r>
        <w:rPr>
          <w:i/>
          <w:color w:val="4F81BC"/>
          <w:sz w:val="21"/>
        </w:rPr>
        <w:t>England,</w:t>
      </w:r>
      <w:hyperlink w:history="true" w:anchor="_bookmark104">
        <w:r>
          <w:rPr>
            <w:i/>
            <w:color w:val="4F81BC"/>
            <w:sz w:val="21"/>
            <w:vertAlign w:val="superscript"/>
          </w:rPr>
          <w:t>1</w:t>
        </w:r>
      </w:hyperlink>
      <w:r>
        <w:rPr>
          <w:i/>
          <w:color w:val="4F81BC"/>
          <w:spacing w:val="-2"/>
          <w:sz w:val="21"/>
          <w:vertAlign w:val="baseline"/>
        </w:rPr>
        <w:t> </w:t>
      </w:r>
      <w:r>
        <w:rPr>
          <w:i/>
          <w:color w:val="4F81BC"/>
          <w:spacing w:val="-4"/>
          <w:sz w:val="21"/>
          <w:vertAlign w:val="baseline"/>
        </w:rPr>
        <w:t>2017</w:t>
      </w:r>
    </w:p>
    <w:p>
      <w:pPr>
        <w:pStyle w:val="BodyText"/>
        <w:spacing w:before="11"/>
        <w:rPr>
          <w:i/>
          <w:sz w:val="20"/>
        </w:rPr>
      </w:pPr>
      <w:r>
        <w:rPr/>
        <mc:AlternateContent>
          <mc:Choice Requires="wps">
            <w:drawing>
              <wp:anchor distT="0" distB="0" distL="0" distR="0" allowOverlap="1" layoutInCell="1" locked="0" behindDoc="1" simplePos="0" relativeHeight="487617536">
                <wp:simplePos x="0" y="0"/>
                <wp:positionH relativeFrom="page">
                  <wp:posOffset>889000</wp:posOffset>
                </wp:positionH>
                <wp:positionV relativeFrom="paragraph">
                  <wp:posOffset>177649</wp:posOffset>
                </wp:positionV>
                <wp:extent cx="6350" cy="12700"/>
                <wp:effectExtent l="0" t="0" r="0" b="0"/>
                <wp:wrapTopAndBottom/>
                <wp:docPr id="225" name="Graphic 225"/>
                <wp:cNvGraphicFramePr>
                  <a:graphicFrameLocks/>
                </wp:cNvGraphicFramePr>
                <a:graphic>
                  <a:graphicData uri="http://schemas.microsoft.com/office/word/2010/wordprocessingShape">
                    <wps:wsp>
                      <wps:cNvPr id="225" name="Graphic 225"/>
                      <wps:cNvSpPr/>
                      <wps:spPr>
                        <a:xfrm>
                          <a:off x="0" y="0"/>
                          <a:ext cx="6350" cy="12700"/>
                        </a:xfrm>
                        <a:custGeom>
                          <a:avLst/>
                          <a:gdLst/>
                          <a:ahLst/>
                          <a:cxnLst/>
                          <a:rect l="l" t="t" r="r" b="b"/>
                          <a:pathLst>
                            <a:path w="6350" h="12700">
                              <a:moveTo>
                                <a:pt x="6337" y="0"/>
                              </a:moveTo>
                              <a:lnTo>
                                <a:pt x="0" y="0"/>
                              </a:lnTo>
                              <a:lnTo>
                                <a:pt x="0" y="12191"/>
                              </a:lnTo>
                              <a:lnTo>
                                <a:pt x="6337" y="12191"/>
                              </a:lnTo>
                              <a:lnTo>
                                <a:pt x="6337" y="0"/>
                              </a:lnTo>
                              <a:close/>
                            </a:path>
                          </a:pathLst>
                        </a:custGeom>
                        <a:solidFill>
                          <a:srgbClr val="0F6DC5"/>
                        </a:solidFill>
                      </wps:spPr>
                      <wps:bodyPr wrap="square" lIns="0" tIns="0" rIns="0" bIns="0" rtlCol="0">
                        <a:prstTxWarp prst="textNoShape">
                          <a:avLst/>
                        </a:prstTxWarp>
                        <a:noAutofit/>
                      </wps:bodyPr>
                    </wps:wsp>
                  </a:graphicData>
                </a:graphic>
              </wp:anchor>
            </w:drawing>
          </mc:Choice>
          <mc:Fallback>
            <w:pict>
              <v:rect style="position:absolute;margin-left:70pt;margin-top:13.98816pt;width:.499pt;height:.96pt;mso-position-horizontal-relative:page;mso-position-vertical-relative:paragraph;z-index:-15698944;mso-wrap-distance-left:0;mso-wrap-distance-right:0" id="docshape191" filled="true" fillcolor="#0f6dc5" stroked="false">
                <v:fill type="solid"/>
                <w10:wrap type="topAndBottom"/>
              </v:rect>
            </w:pict>
          </mc:Fallback>
        </mc:AlternateContent>
      </w:r>
    </w:p>
    <w:p>
      <w:pPr>
        <w:spacing w:before="0"/>
        <w:ind w:left="463" w:right="0" w:firstLine="0"/>
        <w:jc w:val="both"/>
        <w:rPr>
          <w:sz w:val="28"/>
        </w:rPr>
      </w:pPr>
      <w:bookmarkStart w:name="FY 2025 Recommendations to the Governor " w:id="237"/>
      <w:bookmarkEnd w:id="237"/>
      <w:r>
        <w:rPr/>
      </w:r>
      <w:r>
        <w:rPr>
          <w:color w:val="365F91"/>
          <w:sz w:val="28"/>
        </w:rPr>
        <w:t>FY</w:t>
      </w:r>
      <w:r>
        <w:rPr>
          <w:color w:val="365F91"/>
          <w:spacing w:val="-10"/>
          <w:sz w:val="28"/>
        </w:rPr>
        <w:t> </w:t>
      </w:r>
      <w:r>
        <w:rPr>
          <w:color w:val="365F91"/>
          <w:sz w:val="28"/>
        </w:rPr>
        <w:t>2025</w:t>
      </w:r>
      <w:r>
        <w:rPr>
          <w:color w:val="365F91"/>
          <w:spacing w:val="-9"/>
          <w:sz w:val="28"/>
        </w:rPr>
        <w:t> </w:t>
      </w:r>
      <w:r>
        <w:rPr>
          <w:color w:val="365F91"/>
          <w:sz w:val="28"/>
        </w:rPr>
        <w:t>Recommendations</w:t>
      </w:r>
      <w:r>
        <w:rPr>
          <w:color w:val="365F91"/>
          <w:spacing w:val="-9"/>
          <w:sz w:val="28"/>
        </w:rPr>
        <w:t> </w:t>
      </w:r>
      <w:r>
        <w:rPr>
          <w:color w:val="365F91"/>
          <w:sz w:val="28"/>
        </w:rPr>
        <w:t>to</w:t>
      </w:r>
      <w:r>
        <w:rPr>
          <w:color w:val="365F91"/>
          <w:spacing w:val="-8"/>
          <w:sz w:val="28"/>
        </w:rPr>
        <w:t> </w:t>
      </w:r>
      <w:r>
        <w:rPr>
          <w:color w:val="365F91"/>
          <w:sz w:val="28"/>
        </w:rPr>
        <w:t>the</w:t>
      </w:r>
      <w:r>
        <w:rPr>
          <w:color w:val="365F91"/>
          <w:spacing w:val="-10"/>
          <w:sz w:val="28"/>
        </w:rPr>
        <w:t> </w:t>
      </w:r>
      <w:r>
        <w:rPr>
          <w:color w:val="365F91"/>
          <w:sz w:val="28"/>
        </w:rPr>
        <w:t>Governor</w:t>
      </w:r>
      <w:r>
        <w:rPr>
          <w:color w:val="365F91"/>
          <w:spacing w:val="-10"/>
          <w:sz w:val="28"/>
        </w:rPr>
        <w:t> </w:t>
      </w:r>
      <w:r>
        <w:rPr>
          <w:color w:val="365F91"/>
          <w:sz w:val="28"/>
        </w:rPr>
        <w:t>on</w:t>
      </w:r>
      <w:r>
        <w:rPr>
          <w:color w:val="365F91"/>
          <w:spacing w:val="-8"/>
          <w:sz w:val="28"/>
        </w:rPr>
        <w:t> </w:t>
      </w:r>
      <w:r>
        <w:rPr>
          <w:color w:val="365F91"/>
          <w:sz w:val="28"/>
        </w:rPr>
        <w:t>Mental</w:t>
      </w:r>
      <w:r>
        <w:rPr>
          <w:color w:val="365F91"/>
          <w:spacing w:val="-9"/>
          <w:sz w:val="28"/>
        </w:rPr>
        <w:t> </w:t>
      </w:r>
      <w:r>
        <w:rPr>
          <w:color w:val="365F91"/>
          <w:spacing w:val="-2"/>
          <w:sz w:val="28"/>
        </w:rPr>
        <w:t>Health</w:t>
      </w:r>
    </w:p>
    <w:p>
      <w:pPr>
        <w:pStyle w:val="BodyText"/>
        <w:spacing w:before="11"/>
        <w:rPr>
          <w:sz w:val="3"/>
        </w:rPr>
      </w:pPr>
      <w:r>
        <w:rPr/>
        <mc:AlternateContent>
          <mc:Choice Requires="wps">
            <w:drawing>
              <wp:anchor distT="0" distB="0" distL="0" distR="0" allowOverlap="1" layoutInCell="1" locked="0" behindDoc="1" simplePos="0" relativeHeight="487618048">
                <wp:simplePos x="0" y="0"/>
                <wp:positionH relativeFrom="page">
                  <wp:posOffset>897636</wp:posOffset>
                </wp:positionH>
                <wp:positionV relativeFrom="paragraph">
                  <wp:posOffset>45518</wp:posOffset>
                </wp:positionV>
                <wp:extent cx="6052820" cy="6350"/>
                <wp:effectExtent l="0" t="0" r="0" b="0"/>
                <wp:wrapTopAndBottom/>
                <wp:docPr id="226" name="Graphic 226"/>
                <wp:cNvGraphicFramePr>
                  <a:graphicFrameLocks/>
                </wp:cNvGraphicFramePr>
                <a:graphic>
                  <a:graphicData uri="http://schemas.microsoft.com/office/word/2010/wordprocessingShape">
                    <wps:wsp>
                      <wps:cNvPr id="226" name="Graphic 226"/>
                      <wps:cNvSpPr/>
                      <wps:spPr>
                        <a:xfrm>
                          <a:off x="0" y="0"/>
                          <a:ext cx="6052820" cy="6350"/>
                        </a:xfrm>
                        <a:custGeom>
                          <a:avLst/>
                          <a:gdLst/>
                          <a:ahLst/>
                          <a:cxnLst/>
                          <a:rect l="l" t="t" r="r" b="b"/>
                          <a:pathLst>
                            <a:path w="6052820" h="6350">
                              <a:moveTo>
                                <a:pt x="6052578" y="0"/>
                              </a:moveTo>
                              <a:lnTo>
                                <a:pt x="0" y="0"/>
                              </a:lnTo>
                              <a:lnTo>
                                <a:pt x="0" y="6108"/>
                              </a:lnTo>
                              <a:lnTo>
                                <a:pt x="6052578" y="6108"/>
                              </a:lnTo>
                              <a:lnTo>
                                <a:pt x="6052578" y="0"/>
                              </a:lnTo>
                              <a:close/>
                            </a:path>
                          </a:pathLst>
                        </a:custGeom>
                        <a:solidFill>
                          <a:srgbClr val="4F81BC"/>
                        </a:solidFill>
                      </wps:spPr>
                      <wps:bodyPr wrap="square" lIns="0" tIns="0" rIns="0" bIns="0" rtlCol="0">
                        <a:prstTxWarp prst="textNoShape">
                          <a:avLst/>
                        </a:prstTxWarp>
                        <a:noAutofit/>
                      </wps:bodyPr>
                    </wps:wsp>
                  </a:graphicData>
                </a:graphic>
              </wp:anchor>
            </w:drawing>
          </mc:Choice>
          <mc:Fallback>
            <w:pict>
              <v:rect style="position:absolute;margin-left:70.680pt;margin-top:3.584156pt;width:476.581pt;height:.481pt;mso-position-horizontal-relative:page;mso-position-vertical-relative:paragraph;z-index:-15698432;mso-wrap-distance-left:0;mso-wrap-distance-right:0" id="docshape192" filled="true" fillcolor="#4f81bc" stroked="false">
                <v:fill type="solid"/>
                <w10:wrap type="topAndBottom"/>
              </v:rect>
            </w:pict>
          </mc:Fallback>
        </mc:AlternateContent>
      </w:r>
    </w:p>
    <w:p>
      <w:pPr>
        <w:pStyle w:val="ListParagraph"/>
        <w:numPr>
          <w:ilvl w:val="0"/>
          <w:numId w:val="20"/>
        </w:numPr>
        <w:tabs>
          <w:tab w:pos="463" w:val="left" w:leader="none"/>
        </w:tabs>
        <w:spacing w:line="276" w:lineRule="auto" w:before="241" w:after="0"/>
        <w:ind w:left="463" w:right="243" w:hanging="360"/>
        <w:jc w:val="left"/>
        <w:rPr>
          <w:b/>
          <w:sz w:val="21"/>
        </w:rPr>
      </w:pPr>
      <w:r>
        <w:rPr>
          <w:b/>
          <w:sz w:val="21"/>
        </w:rPr>
        <w:t>Fund</w:t>
      </w:r>
      <w:r>
        <w:rPr>
          <w:b/>
          <w:spacing w:val="-3"/>
          <w:sz w:val="21"/>
        </w:rPr>
        <w:t> </w:t>
      </w:r>
      <w:r>
        <w:rPr>
          <w:b/>
          <w:sz w:val="21"/>
        </w:rPr>
        <w:t>more</w:t>
      </w:r>
      <w:r>
        <w:rPr>
          <w:b/>
          <w:spacing w:val="-3"/>
          <w:sz w:val="21"/>
        </w:rPr>
        <w:t> </w:t>
      </w:r>
      <w:r>
        <w:rPr>
          <w:b/>
          <w:sz w:val="21"/>
        </w:rPr>
        <w:t>statewide</w:t>
      </w:r>
      <w:r>
        <w:rPr>
          <w:b/>
          <w:spacing w:val="-3"/>
          <w:sz w:val="21"/>
        </w:rPr>
        <w:t> </w:t>
      </w:r>
      <w:r>
        <w:rPr>
          <w:b/>
          <w:sz w:val="21"/>
        </w:rPr>
        <w:t>research</w:t>
      </w:r>
      <w:r>
        <w:rPr>
          <w:b/>
          <w:spacing w:val="-3"/>
          <w:sz w:val="21"/>
        </w:rPr>
        <w:t> </w:t>
      </w:r>
      <w:r>
        <w:rPr>
          <w:b/>
          <w:sz w:val="21"/>
        </w:rPr>
        <w:t>about</w:t>
      </w:r>
      <w:r>
        <w:rPr>
          <w:b/>
          <w:spacing w:val="-2"/>
          <w:sz w:val="21"/>
        </w:rPr>
        <w:t> </w:t>
      </w:r>
      <w:r>
        <w:rPr>
          <w:b/>
          <w:sz w:val="21"/>
        </w:rPr>
        <w:t>mental</w:t>
      </w:r>
      <w:r>
        <w:rPr>
          <w:b/>
          <w:spacing w:val="-3"/>
          <w:sz w:val="21"/>
        </w:rPr>
        <w:t> </w:t>
      </w:r>
      <w:r>
        <w:rPr>
          <w:b/>
          <w:sz w:val="21"/>
        </w:rPr>
        <w:t>health</w:t>
      </w:r>
      <w:r>
        <w:rPr>
          <w:b/>
          <w:spacing w:val="-3"/>
          <w:sz w:val="21"/>
        </w:rPr>
        <w:t> </w:t>
      </w:r>
      <w:r>
        <w:rPr>
          <w:b/>
          <w:sz w:val="21"/>
        </w:rPr>
        <w:t>and</w:t>
      </w:r>
      <w:r>
        <w:rPr>
          <w:b/>
          <w:spacing w:val="-3"/>
          <w:sz w:val="21"/>
        </w:rPr>
        <w:t> </w:t>
      </w:r>
      <w:r>
        <w:rPr>
          <w:b/>
          <w:sz w:val="21"/>
        </w:rPr>
        <w:t>suicide</w:t>
      </w:r>
      <w:r>
        <w:rPr>
          <w:b/>
          <w:spacing w:val="-4"/>
          <w:sz w:val="21"/>
        </w:rPr>
        <w:t> </w:t>
      </w:r>
      <w:r>
        <w:rPr>
          <w:b/>
          <w:sz w:val="21"/>
        </w:rPr>
        <w:t>prevention</w:t>
      </w:r>
      <w:r>
        <w:rPr>
          <w:b/>
          <w:spacing w:val="-4"/>
          <w:sz w:val="21"/>
        </w:rPr>
        <w:t> </w:t>
      </w:r>
      <w:r>
        <w:rPr>
          <w:b/>
          <w:sz w:val="21"/>
        </w:rPr>
        <w:t>treatment</w:t>
      </w:r>
      <w:r>
        <w:rPr>
          <w:b/>
          <w:spacing w:val="-2"/>
          <w:sz w:val="21"/>
        </w:rPr>
        <w:t> </w:t>
      </w:r>
      <w:r>
        <w:rPr>
          <w:b/>
          <w:sz w:val="21"/>
        </w:rPr>
        <w:t>approaches</w:t>
      </w:r>
      <w:r>
        <w:rPr>
          <w:b/>
          <w:spacing w:val="-3"/>
          <w:sz w:val="21"/>
        </w:rPr>
        <w:t> </w:t>
      </w:r>
      <w:r>
        <w:rPr>
          <w:b/>
          <w:sz w:val="21"/>
        </w:rPr>
        <w:t>for</w:t>
      </w:r>
      <w:r>
        <w:rPr>
          <w:b/>
          <w:spacing w:val="-3"/>
          <w:sz w:val="21"/>
        </w:rPr>
        <w:t> </w:t>
      </w:r>
      <w:r>
        <w:rPr>
          <w:b/>
          <w:sz w:val="21"/>
        </w:rPr>
        <w:t>LGBTQ </w:t>
      </w:r>
      <w:r>
        <w:rPr>
          <w:b/>
          <w:spacing w:val="-2"/>
          <w:sz w:val="21"/>
        </w:rPr>
        <w:t>youth.</w:t>
      </w:r>
    </w:p>
    <w:p>
      <w:pPr>
        <w:spacing w:line="276" w:lineRule="auto" w:before="240"/>
        <w:ind w:left="463" w:right="240" w:hanging="1"/>
        <w:jc w:val="both"/>
        <w:rPr>
          <w:sz w:val="21"/>
        </w:rPr>
      </w:pPr>
      <w:r>
        <w:rPr>
          <w:sz w:val="21"/>
        </w:rPr>
        <w:t>The</w:t>
      </w:r>
      <w:r>
        <w:rPr>
          <w:spacing w:val="-12"/>
          <w:sz w:val="21"/>
        </w:rPr>
        <w:t> </w:t>
      </w:r>
      <w:r>
        <w:rPr>
          <w:sz w:val="21"/>
        </w:rPr>
        <w:t>Commission</w:t>
      </w:r>
      <w:r>
        <w:rPr>
          <w:spacing w:val="-11"/>
          <w:sz w:val="21"/>
        </w:rPr>
        <w:t> </w:t>
      </w:r>
      <w:r>
        <w:rPr>
          <w:sz w:val="21"/>
        </w:rPr>
        <w:t>strongly</w:t>
      </w:r>
      <w:r>
        <w:rPr>
          <w:spacing w:val="-12"/>
          <w:sz w:val="21"/>
        </w:rPr>
        <w:t> </w:t>
      </w:r>
      <w:r>
        <w:rPr>
          <w:sz w:val="21"/>
        </w:rPr>
        <w:t>recommends</w:t>
      </w:r>
      <w:r>
        <w:rPr>
          <w:spacing w:val="-12"/>
          <w:sz w:val="21"/>
        </w:rPr>
        <w:t> </w:t>
      </w:r>
      <w:r>
        <w:rPr>
          <w:sz w:val="21"/>
        </w:rPr>
        <w:t>that</w:t>
      </w:r>
      <w:r>
        <w:rPr>
          <w:spacing w:val="-11"/>
          <w:sz w:val="21"/>
        </w:rPr>
        <w:t> </w:t>
      </w:r>
      <w:r>
        <w:rPr>
          <w:sz w:val="21"/>
        </w:rPr>
        <w:t>the</w:t>
      </w:r>
      <w:r>
        <w:rPr>
          <w:spacing w:val="-12"/>
          <w:sz w:val="21"/>
        </w:rPr>
        <w:t> </w:t>
      </w:r>
      <w:r>
        <w:rPr>
          <w:sz w:val="21"/>
        </w:rPr>
        <w:t>state</w:t>
      </w:r>
      <w:r>
        <w:rPr>
          <w:spacing w:val="-12"/>
          <w:sz w:val="21"/>
        </w:rPr>
        <w:t> </w:t>
      </w:r>
      <w:r>
        <w:rPr>
          <w:sz w:val="21"/>
        </w:rPr>
        <w:t>fund</w:t>
      </w:r>
      <w:r>
        <w:rPr>
          <w:spacing w:val="-11"/>
          <w:sz w:val="21"/>
        </w:rPr>
        <w:t> </w:t>
      </w:r>
      <w:r>
        <w:rPr>
          <w:sz w:val="21"/>
        </w:rPr>
        <w:t>more</w:t>
      </w:r>
      <w:r>
        <w:rPr>
          <w:spacing w:val="-11"/>
          <w:sz w:val="21"/>
        </w:rPr>
        <w:t> </w:t>
      </w:r>
      <w:r>
        <w:rPr>
          <w:sz w:val="21"/>
        </w:rPr>
        <w:t>in-depth,</w:t>
      </w:r>
      <w:r>
        <w:rPr>
          <w:spacing w:val="-11"/>
          <w:sz w:val="21"/>
        </w:rPr>
        <w:t> </w:t>
      </w:r>
      <w:r>
        <w:rPr>
          <w:sz w:val="21"/>
        </w:rPr>
        <w:t>community-based</w:t>
      </w:r>
      <w:r>
        <w:rPr>
          <w:spacing w:val="-11"/>
          <w:sz w:val="21"/>
        </w:rPr>
        <w:t> </w:t>
      </w:r>
      <w:r>
        <w:rPr>
          <w:sz w:val="21"/>
        </w:rPr>
        <w:t>research</w:t>
      </w:r>
      <w:r>
        <w:rPr>
          <w:spacing w:val="-11"/>
          <w:sz w:val="21"/>
        </w:rPr>
        <w:t> </w:t>
      </w:r>
      <w:r>
        <w:rPr>
          <w:sz w:val="21"/>
        </w:rPr>
        <w:t>on</w:t>
      </w:r>
      <w:r>
        <w:rPr>
          <w:spacing w:val="-11"/>
          <w:sz w:val="21"/>
        </w:rPr>
        <w:t> </w:t>
      </w:r>
      <w:r>
        <w:rPr>
          <w:sz w:val="21"/>
        </w:rPr>
        <w:t>mental health and suicide prevention treatment approaches for LGBTQ youth, particularly those in oft underserved communities, such as rural youth, undocumented youth, disabled youth, and QTBIPOC youth. There is a significant crisis for mental health care across the country, and numerous efforts to mitigate the crisis are underway - however, it is essential that policymakers understand the unique needs of LGBTQ youth and the desperate need for affirming and accessible mental health care. By conducting further needs assessments, the state can better understand potential innovative methods of addressing the mental healthcare crisis, and building capacity within communities.</w:t>
      </w:r>
    </w:p>
    <w:p>
      <w:pPr>
        <w:pStyle w:val="ListParagraph"/>
        <w:numPr>
          <w:ilvl w:val="0"/>
          <w:numId w:val="20"/>
        </w:numPr>
        <w:tabs>
          <w:tab w:pos="462" w:val="left" w:leader="none"/>
        </w:tabs>
        <w:spacing w:line="240" w:lineRule="auto" w:before="240" w:after="0"/>
        <w:ind w:left="462" w:right="0" w:hanging="359"/>
        <w:jc w:val="left"/>
        <w:rPr>
          <w:b/>
          <w:sz w:val="21"/>
        </w:rPr>
      </w:pPr>
      <w:r>
        <w:rPr>
          <w:b/>
          <w:sz w:val="21"/>
        </w:rPr>
        <w:t>Support</w:t>
      </w:r>
      <w:r>
        <w:rPr>
          <w:b/>
          <w:spacing w:val="-3"/>
          <w:sz w:val="21"/>
        </w:rPr>
        <w:t> </w:t>
      </w:r>
      <w:r>
        <w:rPr>
          <w:b/>
          <w:sz w:val="21"/>
        </w:rPr>
        <w:t>reforms</w:t>
      </w:r>
      <w:r>
        <w:rPr>
          <w:b/>
          <w:spacing w:val="-3"/>
          <w:sz w:val="21"/>
        </w:rPr>
        <w:t> </w:t>
      </w:r>
      <w:r>
        <w:rPr>
          <w:b/>
          <w:sz w:val="21"/>
        </w:rPr>
        <w:t>of</w:t>
      </w:r>
      <w:r>
        <w:rPr>
          <w:b/>
          <w:spacing w:val="-3"/>
          <w:sz w:val="21"/>
        </w:rPr>
        <w:t> </w:t>
      </w:r>
      <w:r>
        <w:rPr>
          <w:b/>
          <w:sz w:val="21"/>
        </w:rPr>
        <w:t>the</w:t>
      </w:r>
      <w:r>
        <w:rPr>
          <w:b/>
          <w:spacing w:val="-3"/>
          <w:sz w:val="21"/>
        </w:rPr>
        <w:t> </w:t>
      </w:r>
      <w:r>
        <w:rPr>
          <w:b/>
          <w:sz w:val="21"/>
        </w:rPr>
        <w:t>mental</w:t>
      </w:r>
      <w:r>
        <w:rPr>
          <w:b/>
          <w:spacing w:val="-3"/>
          <w:sz w:val="21"/>
        </w:rPr>
        <w:t> </w:t>
      </w:r>
      <w:r>
        <w:rPr>
          <w:b/>
          <w:sz w:val="21"/>
        </w:rPr>
        <w:t>healthcare</w:t>
      </w:r>
      <w:r>
        <w:rPr>
          <w:b/>
          <w:spacing w:val="-3"/>
          <w:sz w:val="21"/>
        </w:rPr>
        <w:t> </w:t>
      </w:r>
      <w:r>
        <w:rPr>
          <w:b/>
          <w:sz w:val="21"/>
        </w:rPr>
        <w:t>and</w:t>
      </w:r>
      <w:r>
        <w:rPr>
          <w:b/>
          <w:spacing w:val="-3"/>
          <w:sz w:val="21"/>
        </w:rPr>
        <w:t> </w:t>
      </w:r>
      <w:r>
        <w:rPr>
          <w:b/>
          <w:sz w:val="21"/>
        </w:rPr>
        <w:t>health</w:t>
      </w:r>
      <w:r>
        <w:rPr>
          <w:b/>
          <w:spacing w:val="-3"/>
          <w:sz w:val="21"/>
        </w:rPr>
        <w:t> </w:t>
      </w:r>
      <w:r>
        <w:rPr>
          <w:b/>
          <w:sz w:val="21"/>
        </w:rPr>
        <w:t>insurance</w:t>
      </w:r>
      <w:r>
        <w:rPr>
          <w:b/>
          <w:spacing w:val="-2"/>
          <w:sz w:val="21"/>
        </w:rPr>
        <w:t> systems.</w:t>
      </w:r>
    </w:p>
    <w:p>
      <w:pPr>
        <w:pStyle w:val="BodyText"/>
        <w:spacing w:before="22"/>
        <w:rPr>
          <w:b/>
          <w:sz w:val="21"/>
        </w:rPr>
      </w:pPr>
    </w:p>
    <w:p>
      <w:pPr>
        <w:spacing w:line="276" w:lineRule="auto" w:before="1"/>
        <w:ind w:left="463" w:right="240" w:firstLine="0"/>
        <w:jc w:val="both"/>
        <w:rPr>
          <w:sz w:val="21"/>
        </w:rPr>
      </w:pPr>
      <w:r>
        <w:rPr>
          <w:sz w:val="21"/>
        </w:rPr>
        <w:t>The Commission recommends that the legislature support and pass effective reforms to recruit more trauma- informed</w:t>
      </w:r>
      <w:r>
        <w:rPr>
          <w:spacing w:val="-8"/>
          <w:sz w:val="21"/>
        </w:rPr>
        <w:t> </w:t>
      </w:r>
      <w:r>
        <w:rPr>
          <w:sz w:val="21"/>
        </w:rPr>
        <w:t>and</w:t>
      </w:r>
      <w:r>
        <w:rPr>
          <w:spacing w:val="-9"/>
          <w:sz w:val="21"/>
        </w:rPr>
        <w:t> </w:t>
      </w:r>
      <w:r>
        <w:rPr>
          <w:sz w:val="21"/>
        </w:rPr>
        <w:t>culturally-responsive</w:t>
      </w:r>
      <w:r>
        <w:rPr>
          <w:spacing w:val="-8"/>
          <w:sz w:val="21"/>
        </w:rPr>
        <w:t> </w:t>
      </w:r>
      <w:r>
        <w:rPr>
          <w:sz w:val="21"/>
        </w:rPr>
        <w:t>mental</w:t>
      </w:r>
      <w:r>
        <w:rPr>
          <w:spacing w:val="-8"/>
          <w:sz w:val="21"/>
        </w:rPr>
        <w:t> </w:t>
      </w:r>
      <w:r>
        <w:rPr>
          <w:sz w:val="21"/>
        </w:rPr>
        <w:t>health</w:t>
      </w:r>
      <w:r>
        <w:rPr>
          <w:spacing w:val="-9"/>
          <w:sz w:val="21"/>
        </w:rPr>
        <w:t> </w:t>
      </w:r>
      <w:r>
        <w:rPr>
          <w:sz w:val="21"/>
        </w:rPr>
        <w:t>professionals</w:t>
      </w:r>
      <w:r>
        <w:rPr>
          <w:spacing w:val="-8"/>
          <w:sz w:val="21"/>
        </w:rPr>
        <w:t> </w:t>
      </w:r>
      <w:r>
        <w:rPr>
          <w:sz w:val="21"/>
        </w:rPr>
        <w:t>to</w:t>
      </w:r>
      <w:r>
        <w:rPr>
          <w:spacing w:val="-8"/>
          <w:sz w:val="21"/>
        </w:rPr>
        <w:t> </w:t>
      </w:r>
      <w:r>
        <w:rPr>
          <w:sz w:val="21"/>
        </w:rPr>
        <w:t>support</w:t>
      </w:r>
      <w:r>
        <w:rPr>
          <w:spacing w:val="-7"/>
          <w:sz w:val="21"/>
        </w:rPr>
        <w:t> </w:t>
      </w:r>
      <w:r>
        <w:rPr>
          <w:sz w:val="21"/>
        </w:rPr>
        <w:t>intersectional</w:t>
      </w:r>
      <w:r>
        <w:rPr>
          <w:spacing w:val="-8"/>
          <w:sz w:val="21"/>
        </w:rPr>
        <w:t> </w:t>
      </w:r>
      <w:r>
        <w:rPr>
          <w:sz w:val="21"/>
        </w:rPr>
        <w:t>mental</w:t>
      </w:r>
      <w:r>
        <w:rPr>
          <w:spacing w:val="-9"/>
          <w:sz w:val="21"/>
        </w:rPr>
        <w:t> </w:t>
      </w:r>
      <w:r>
        <w:rPr>
          <w:sz w:val="21"/>
        </w:rPr>
        <w:t>health</w:t>
      </w:r>
      <w:r>
        <w:rPr>
          <w:spacing w:val="-8"/>
          <w:sz w:val="21"/>
        </w:rPr>
        <w:t> </w:t>
      </w:r>
      <w:r>
        <w:rPr>
          <w:sz w:val="21"/>
        </w:rPr>
        <w:t>support and</w:t>
      </w:r>
      <w:r>
        <w:rPr>
          <w:spacing w:val="-4"/>
          <w:sz w:val="21"/>
        </w:rPr>
        <w:t> </w:t>
      </w:r>
      <w:r>
        <w:rPr>
          <w:sz w:val="21"/>
        </w:rPr>
        <w:t>to</w:t>
      </w:r>
      <w:r>
        <w:rPr>
          <w:spacing w:val="-4"/>
          <w:sz w:val="21"/>
        </w:rPr>
        <w:t> </w:t>
      </w:r>
      <w:r>
        <w:rPr>
          <w:sz w:val="21"/>
        </w:rPr>
        <w:t>reduce</w:t>
      </w:r>
      <w:r>
        <w:rPr>
          <w:spacing w:val="-4"/>
          <w:sz w:val="21"/>
        </w:rPr>
        <w:t> </w:t>
      </w:r>
      <w:r>
        <w:rPr>
          <w:sz w:val="21"/>
        </w:rPr>
        <w:t>the</w:t>
      </w:r>
      <w:r>
        <w:rPr>
          <w:spacing w:val="-4"/>
          <w:sz w:val="21"/>
        </w:rPr>
        <w:t> </w:t>
      </w:r>
      <w:r>
        <w:rPr>
          <w:sz w:val="21"/>
        </w:rPr>
        <w:t>costs</w:t>
      </w:r>
      <w:r>
        <w:rPr>
          <w:spacing w:val="-4"/>
          <w:sz w:val="21"/>
        </w:rPr>
        <w:t> </w:t>
      </w:r>
      <w:r>
        <w:rPr>
          <w:sz w:val="21"/>
        </w:rPr>
        <w:t>of</w:t>
      </w:r>
      <w:r>
        <w:rPr>
          <w:spacing w:val="-4"/>
          <w:sz w:val="21"/>
        </w:rPr>
        <w:t> </w:t>
      </w:r>
      <w:r>
        <w:rPr>
          <w:sz w:val="21"/>
        </w:rPr>
        <w:t>mental</w:t>
      </w:r>
      <w:r>
        <w:rPr>
          <w:spacing w:val="-4"/>
          <w:sz w:val="21"/>
        </w:rPr>
        <w:t> </w:t>
      </w:r>
      <w:r>
        <w:rPr>
          <w:sz w:val="21"/>
        </w:rPr>
        <w:t>health</w:t>
      </w:r>
      <w:r>
        <w:rPr>
          <w:spacing w:val="-4"/>
          <w:sz w:val="21"/>
        </w:rPr>
        <w:t> </w:t>
      </w:r>
      <w:r>
        <w:rPr>
          <w:sz w:val="21"/>
        </w:rPr>
        <w:t>services.</w:t>
      </w:r>
      <w:r>
        <w:rPr>
          <w:spacing w:val="-4"/>
          <w:sz w:val="21"/>
        </w:rPr>
        <w:t> </w:t>
      </w:r>
      <w:r>
        <w:rPr>
          <w:sz w:val="21"/>
        </w:rPr>
        <w:t>Furthermore,</w:t>
      </w:r>
      <w:r>
        <w:rPr>
          <w:spacing w:val="-4"/>
          <w:sz w:val="21"/>
        </w:rPr>
        <w:t> </w:t>
      </w:r>
      <w:r>
        <w:rPr>
          <w:sz w:val="21"/>
        </w:rPr>
        <w:t>the</w:t>
      </w:r>
      <w:r>
        <w:rPr>
          <w:spacing w:val="-4"/>
          <w:sz w:val="21"/>
        </w:rPr>
        <w:t> </w:t>
      </w:r>
      <w:r>
        <w:rPr>
          <w:sz w:val="21"/>
        </w:rPr>
        <w:t>Commission</w:t>
      </w:r>
      <w:r>
        <w:rPr>
          <w:spacing w:val="-4"/>
          <w:sz w:val="21"/>
        </w:rPr>
        <w:t> </w:t>
      </w:r>
      <w:r>
        <w:rPr>
          <w:sz w:val="21"/>
        </w:rPr>
        <w:t>advises</w:t>
      </w:r>
      <w:r>
        <w:rPr>
          <w:spacing w:val="-4"/>
          <w:sz w:val="21"/>
        </w:rPr>
        <w:t> </w:t>
      </w:r>
      <w:r>
        <w:rPr>
          <w:sz w:val="21"/>
        </w:rPr>
        <w:t>policymakers</w:t>
      </w:r>
      <w:r>
        <w:rPr>
          <w:spacing w:val="-4"/>
          <w:sz w:val="21"/>
        </w:rPr>
        <w:t> </w:t>
      </w:r>
      <w:r>
        <w:rPr>
          <w:sz w:val="21"/>
        </w:rPr>
        <w:t>to</w:t>
      </w:r>
      <w:r>
        <w:rPr>
          <w:spacing w:val="-4"/>
          <w:sz w:val="21"/>
        </w:rPr>
        <w:t> </w:t>
      </w:r>
      <w:r>
        <w:rPr>
          <w:sz w:val="21"/>
        </w:rPr>
        <w:t>invest in non-clinical community-based programs, such as peer support programs, mental health advocate programs, mental</w:t>
      </w:r>
      <w:r>
        <w:rPr>
          <w:spacing w:val="-5"/>
          <w:sz w:val="21"/>
        </w:rPr>
        <w:t> </w:t>
      </w:r>
      <w:r>
        <w:rPr>
          <w:sz w:val="21"/>
        </w:rPr>
        <w:t>health</w:t>
      </w:r>
      <w:r>
        <w:rPr>
          <w:spacing w:val="-7"/>
          <w:sz w:val="21"/>
        </w:rPr>
        <w:t> </w:t>
      </w:r>
      <w:r>
        <w:rPr>
          <w:sz w:val="21"/>
        </w:rPr>
        <w:t>first</w:t>
      </w:r>
      <w:r>
        <w:rPr>
          <w:spacing w:val="-5"/>
          <w:sz w:val="21"/>
        </w:rPr>
        <w:t> </w:t>
      </w:r>
      <w:r>
        <w:rPr>
          <w:sz w:val="21"/>
        </w:rPr>
        <w:t>aid</w:t>
      </w:r>
      <w:r>
        <w:rPr>
          <w:spacing w:val="-7"/>
          <w:sz w:val="21"/>
        </w:rPr>
        <w:t> </w:t>
      </w:r>
      <w:r>
        <w:rPr>
          <w:sz w:val="21"/>
        </w:rPr>
        <w:t>trainings,</w:t>
      </w:r>
      <w:r>
        <w:rPr>
          <w:spacing w:val="-5"/>
          <w:sz w:val="21"/>
        </w:rPr>
        <w:t> </w:t>
      </w:r>
      <w:r>
        <w:rPr>
          <w:sz w:val="21"/>
        </w:rPr>
        <w:t>and</w:t>
      </w:r>
      <w:r>
        <w:rPr>
          <w:spacing w:val="-6"/>
          <w:sz w:val="21"/>
        </w:rPr>
        <w:t> </w:t>
      </w:r>
      <w:r>
        <w:rPr>
          <w:sz w:val="21"/>
        </w:rPr>
        <w:t>mental</w:t>
      </w:r>
      <w:r>
        <w:rPr>
          <w:spacing w:val="-5"/>
          <w:sz w:val="21"/>
        </w:rPr>
        <w:t> </w:t>
      </w:r>
      <w:r>
        <w:rPr>
          <w:sz w:val="21"/>
        </w:rPr>
        <w:t>health</w:t>
      </w:r>
      <w:r>
        <w:rPr>
          <w:spacing w:val="-7"/>
          <w:sz w:val="21"/>
        </w:rPr>
        <w:t> </w:t>
      </w:r>
      <w:r>
        <w:rPr>
          <w:sz w:val="21"/>
        </w:rPr>
        <w:t>literacy</w:t>
      </w:r>
      <w:r>
        <w:rPr>
          <w:spacing w:val="-6"/>
          <w:sz w:val="21"/>
        </w:rPr>
        <w:t> </w:t>
      </w:r>
      <w:r>
        <w:rPr>
          <w:sz w:val="21"/>
        </w:rPr>
        <w:t>campaigns.</w:t>
      </w:r>
      <w:r>
        <w:rPr>
          <w:spacing w:val="-6"/>
          <w:sz w:val="21"/>
        </w:rPr>
        <w:t> </w:t>
      </w:r>
      <w:r>
        <w:rPr>
          <w:sz w:val="21"/>
        </w:rPr>
        <w:t>Additional</w:t>
      </w:r>
      <w:r>
        <w:rPr>
          <w:spacing w:val="-5"/>
          <w:sz w:val="21"/>
        </w:rPr>
        <w:t> </w:t>
      </w:r>
      <w:r>
        <w:rPr>
          <w:sz w:val="21"/>
        </w:rPr>
        <w:t>potential</w:t>
      </w:r>
      <w:r>
        <w:rPr>
          <w:spacing w:val="-7"/>
          <w:sz w:val="21"/>
        </w:rPr>
        <w:t> </w:t>
      </w:r>
      <w:r>
        <w:rPr>
          <w:sz w:val="21"/>
        </w:rPr>
        <w:t>areas</w:t>
      </w:r>
      <w:r>
        <w:rPr>
          <w:spacing w:val="-6"/>
          <w:sz w:val="21"/>
        </w:rPr>
        <w:t> </w:t>
      </w:r>
      <w:r>
        <w:rPr>
          <w:sz w:val="21"/>
        </w:rPr>
        <w:t>of</w:t>
      </w:r>
      <w:r>
        <w:rPr>
          <w:spacing w:val="-6"/>
          <w:sz w:val="21"/>
        </w:rPr>
        <w:t> </w:t>
      </w:r>
      <w:r>
        <w:rPr>
          <w:sz w:val="21"/>
        </w:rPr>
        <w:t>investment</w:t>
      </w:r>
    </w:p>
    <w:p>
      <w:pPr>
        <w:spacing w:after="0" w:line="276" w:lineRule="auto"/>
        <w:jc w:val="both"/>
        <w:rPr>
          <w:sz w:val="21"/>
        </w:rPr>
        <w:sectPr>
          <w:headerReference w:type="default" r:id="rId174"/>
          <w:footerReference w:type="default" r:id="rId175"/>
          <w:pgSz w:w="12240" w:h="15840"/>
          <w:pgMar w:header="804" w:footer="1390" w:top="1080" w:bottom="1580" w:left="980" w:right="1080"/>
          <w:pgNumType w:start="70"/>
        </w:sectPr>
      </w:pPr>
    </w:p>
    <w:p>
      <w:pPr>
        <w:spacing w:line="276" w:lineRule="auto" w:before="69"/>
        <w:ind w:left="463" w:right="240" w:firstLine="0"/>
        <w:jc w:val="both"/>
        <w:rPr>
          <w:sz w:val="21"/>
        </w:rPr>
      </w:pPr>
      <w:r>
        <w:rPr>
          <w:sz w:val="21"/>
        </w:rPr>
        <w:t>would be telehealth or online programs, peer summer camps, and programs based on art, movement, and </w:t>
      </w:r>
      <w:r>
        <w:rPr>
          <w:spacing w:val="-2"/>
          <w:sz w:val="21"/>
        </w:rPr>
        <w:t>activism.</w:t>
      </w:r>
    </w:p>
    <w:p>
      <w:pPr>
        <w:pStyle w:val="ListParagraph"/>
        <w:numPr>
          <w:ilvl w:val="0"/>
          <w:numId w:val="20"/>
        </w:numPr>
        <w:tabs>
          <w:tab w:pos="463" w:val="left" w:leader="none"/>
        </w:tabs>
        <w:spacing w:line="276" w:lineRule="auto" w:before="239" w:after="0"/>
        <w:ind w:left="463" w:right="244" w:hanging="360"/>
        <w:jc w:val="left"/>
        <w:rPr>
          <w:b/>
          <w:sz w:val="21"/>
        </w:rPr>
      </w:pPr>
      <w:r>
        <w:rPr>
          <w:b/>
          <w:sz w:val="21"/>
        </w:rPr>
        <w:t>Promote</w:t>
      </w:r>
      <w:r>
        <w:rPr>
          <w:b/>
          <w:spacing w:val="-7"/>
          <w:sz w:val="21"/>
        </w:rPr>
        <w:t> </w:t>
      </w:r>
      <w:r>
        <w:rPr>
          <w:b/>
          <w:sz w:val="21"/>
        </w:rPr>
        <w:t>services</w:t>
      </w:r>
      <w:r>
        <w:rPr>
          <w:b/>
          <w:spacing w:val="-6"/>
          <w:sz w:val="21"/>
        </w:rPr>
        <w:t> </w:t>
      </w:r>
      <w:r>
        <w:rPr>
          <w:b/>
          <w:sz w:val="21"/>
        </w:rPr>
        <w:t>that</w:t>
      </w:r>
      <w:r>
        <w:rPr>
          <w:b/>
          <w:spacing w:val="-6"/>
          <w:sz w:val="21"/>
        </w:rPr>
        <w:t> </w:t>
      </w:r>
      <w:r>
        <w:rPr>
          <w:b/>
          <w:sz w:val="21"/>
        </w:rPr>
        <w:t>address</w:t>
      </w:r>
      <w:r>
        <w:rPr>
          <w:b/>
          <w:spacing w:val="-6"/>
          <w:sz w:val="21"/>
        </w:rPr>
        <w:t> </w:t>
      </w:r>
      <w:r>
        <w:rPr>
          <w:b/>
          <w:sz w:val="21"/>
        </w:rPr>
        <w:t>youths’</w:t>
      </w:r>
      <w:r>
        <w:rPr>
          <w:b/>
          <w:spacing w:val="-7"/>
          <w:sz w:val="21"/>
        </w:rPr>
        <w:t> </w:t>
      </w:r>
      <w:r>
        <w:rPr>
          <w:b/>
          <w:sz w:val="21"/>
        </w:rPr>
        <w:t>intersectional</w:t>
      </w:r>
      <w:r>
        <w:rPr>
          <w:b/>
          <w:spacing w:val="-6"/>
          <w:sz w:val="21"/>
        </w:rPr>
        <w:t> </w:t>
      </w:r>
      <w:r>
        <w:rPr>
          <w:b/>
          <w:sz w:val="21"/>
        </w:rPr>
        <w:t>identities,</w:t>
      </w:r>
      <w:r>
        <w:rPr>
          <w:b/>
          <w:spacing w:val="-7"/>
          <w:sz w:val="21"/>
        </w:rPr>
        <w:t> </w:t>
      </w:r>
      <w:r>
        <w:rPr>
          <w:b/>
          <w:sz w:val="21"/>
        </w:rPr>
        <w:t>including</w:t>
      </w:r>
      <w:r>
        <w:rPr>
          <w:b/>
          <w:spacing w:val="-6"/>
          <w:sz w:val="21"/>
        </w:rPr>
        <w:t> </w:t>
      </w:r>
      <w:r>
        <w:rPr>
          <w:b/>
          <w:sz w:val="21"/>
        </w:rPr>
        <w:t>race/ethnicity,</w:t>
      </w:r>
      <w:r>
        <w:rPr>
          <w:b/>
          <w:spacing w:val="-7"/>
          <w:sz w:val="21"/>
        </w:rPr>
        <w:t> </w:t>
      </w:r>
      <w:r>
        <w:rPr>
          <w:b/>
          <w:sz w:val="21"/>
        </w:rPr>
        <w:t>immigration,</w:t>
      </w:r>
      <w:r>
        <w:rPr>
          <w:b/>
          <w:spacing w:val="-7"/>
          <w:sz w:val="21"/>
        </w:rPr>
        <w:t> </w:t>
      </w:r>
      <w:r>
        <w:rPr>
          <w:b/>
          <w:sz w:val="21"/>
        </w:rPr>
        <w:t>ability, involvement in juvenile justice or foster care, and rural residence.</w:t>
      </w:r>
    </w:p>
    <w:p>
      <w:pPr>
        <w:spacing w:line="276" w:lineRule="auto" w:before="240"/>
        <w:ind w:left="463" w:right="240" w:hanging="1"/>
        <w:jc w:val="both"/>
        <w:rPr>
          <w:sz w:val="21"/>
        </w:rPr>
      </w:pPr>
      <w:r>
        <w:rPr>
          <w:sz w:val="21"/>
        </w:rPr>
        <w:t>As</w:t>
      </w:r>
      <w:r>
        <w:rPr>
          <w:spacing w:val="-12"/>
          <w:sz w:val="21"/>
        </w:rPr>
        <w:t> </w:t>
      </w:r>
      <w:r>
        <w:rPr>
          <w:sz w:val="21"/>
        </w:rPr>
        <w:t>detailed</w:t>
      </w:r>
      <w:r>
        <w:rPr>
          <w:spacing w:val="-11"/>
          <w:sz w:val="21"/>
        </w:rPr>
        <w:t> </w:t>
      </w:r>
      <w:r>
        <w:rPr>
          <w:sz w:val="21"/>
        </w:rPr>
        <w:t>below,</w:t>
      </w:r>
      <w:r>
        <w:rPr>
          <w:spacing w:val="-11"/>
          <w:sz w:val="21"/>
        </w:rPr>
        <w:t> </w:t>
      </w:r>
      <w:r>
        <w:rPr>
          <w:sz w:val="21"/>
        </w:rPr>
        <w:t>there</w:t>
      </w:r>
      <w:r>
        <w:rPr>
          <w:spacing w:val="-11"/>
          <w:sz w:val="21"/>
        </w:rPr>
        <w:t> </w:t>
      </w:r>
      <w:r>
        <w:rPr>
          <w:sz w:val="21"/>
        </w:rPr>
        <w:t>remains</w:t>
      </w:r>
      <w:r>
        <w:rPr>
          <w:spacing w:val="-12"/>
          <w:sz w:val="21"/>
        </w:rPr>
        <w:t> </w:t>
      </w:r>
      <w:r>
        <w:rPr>
          <w:sz w:val="21"/>
        </w:rPr>
        <w:t>limited</w:t>
      </w:r>
      <w:r>
        <w:rPr>
          <w:spacing w:val="-12"/>
          <w:sz w:val="21"/>
        </w:rPr>
        <w:t> </w:t>
      </w:r>
      <w:r>
        <w:rPr>
          <w:sz w:val="21"/>
        </w:rPr>
        <w:t>access</w:t>
      </w:r>
      <w:r>
        <w:rPr>
          <w:spacing w:val="-12"/>
          <w:sz w:val="21"/>
        </w:rPr>
        <w:t> </w:t>
      </w:r>
      <w:r>
        <w:rPr>
          <w:sz w:val="21"/>
        </w:rPr>
        <w:t>to</w:t>
      </w:r>
      <w:r>
        <w:rPr>
          <w:spacing w:val="-12"/>
          <w:sz w:val="21"/>
        </w:rPr>
        <w:t> </w:t>
      </w:r>
      <w:r>
        <w:rPr>
          <w:sz w:val="21"/>
        </w:rPr>
        <w:t>LGBTQ-affirming,</w:t>
      </w:r>
      <w:r>
        <w:rPr>
          <w:spacing w:val="-11"/>
          <w:sz w:val="21"/>
        </w:rPr>
        <w:t> </w:t>
      </w:r>
      <w:r>
        <w:rPr>
          <w:sz w:val="21"/>
        </w:rPr>
        <w:t>trauma-informed,</w:t>
      </w:r>
      <w:r>
        <w:rPr>
          <w:spacing w:val="-11"/>
          <w:sz w:val="21"/>
        </w:rPr>
        <w:t> </w:t>
      </w:r>
      <w:r>
        <w:rPr>
          <w:sz w:val="21"/>
        </w:rPr>
        <w:t>and</w:t>
      </w:r>
      <w:r>
        <w:rPr>
          <w:spacing w:val="-12"/>
          <w:sz w:val="21"/>
        </w:rPr>
        <w:t> </w:t>
      </w:r>
      <w:r>
        <w:rPr>
          <w:sz w:val="21"/>
        </w:rPr>
        <w:t>culturally</w:t>
      </w:r>
      <w:r>
        <w:rPr>
          <w:spacing w:val="-12"/>
          <w:sz w:val="21"/>
        </w:rPr>
        <w:t> </w:t>
      </w:r>
      <w:r>
        <w:rPr>
          <w:sz w:val="21"/>
        </w:rPr>
        <w:t>competent care for QTBIPOC youth, as well as access for youth who are undocumented and/or have disabilities. More research needs to occur to better understand access for youth in the juvenile justice and child welfare systems in Massachusetts, but the significant mental healthcare crisis likely affects these populations critically. The Commission</w:t>
      </w:r>
      <w:r>
        <w:rPr>
          <w:spacing w:val="-3"/>
          <w:sz w:val="21"/>
        </w:rPr>
        <w:t> </w:t>
      </w:r>
      <w:r>
        <w:rPr>
          <w:sz w:val="21"/>
        </w:rPr>
        <w:t>recommends</w:t>
      </w:r>
      <w:r>
        <w:rPr>
          <w:spacing w:val="-4"/>
          <w:sz w:val="21"/>
        </w:rPr>
        <w:t> </w:t>
      </w:r>
      <w:r>
        <w:rPr>
          <w:sz w:val="21"/>
        </w:rPr>
        <w:t>that</w:t>
      </w:r>
      <w:r>
        <w:rPr>
          <w:spacing w:val="-2"/>
          <w:sz w:val="21"/>
        </w:rPr>
        <w:t> </w:t>
      </w:r>
      <w:r>
        <w:rPr>
          <w:sz w:val="21"/>
        </w:rPr>
        <w:t>the</w:t>
      </w:r>
      <w:r>
        <w:rPr>
          <w:spacing w:val="-3"/>
          <w:sz w:val="21"/>
        </w:rPr>
        <w:t> </w:t>
      </w:r>
      <w:r>
        <w:rPr>
          <w:sz w:val="21"/>
        </w:rPr>
        <w:t>Commonwealth</w:t>
      </w:r>
      <w:r>
        <w:rPr>
          <w:spacing w:val="-3"/>
          <w:sz w:val="21"/>
        </w:rPr>
        <w:t> </w:t>
      </w:r>
      <w:r>
        <w:rPr>
          <w:sz w:val="21"/>
        </w:rPr>
        <w:t>allocates</w:t>
      </w:r>
      <w:r>
        <w:rPr>
          <w:spacing w:val="-4"/>
          <w:sz w:val="21"/>
        </w:rPr>
        <w:t> </w:t>
      </w:r>
      <w:r>
        <w:rPr>
          <w:sz w:val="21"/>
        </w:rPr>
        <w:t>more</w:t>
      </w:r>
      <w:r>
        <w:rPr>
          <w:spacing w:val="-3"/>
          <w:sz w:val="21"/>
        </w:rPr>
        <w:t> </w:t>
      </w:r>
      <w:r>
        <w:rPr>
          <w:sz w:val="21"/>
        </w:rPr>
        <w:t>funding</w:t>
      </w:r>
      <w:r>
        <w:rPr>
          <w:spacing w:val="-3"/>
          <w:sz w:val="21"/>
        </w:rPr>
        <w:t> </w:t>
      </w:r>
      <w:r>
        <w:rPr>
          <w:sz w:val="21"/>
        </w:rPr>
        <w:t>to</w:t>
      </w:r>
      <w:r>
        <w:rPr>
          <w:spacing w:val="-3"/>
          <w:sz w:val="21"/>
        </w:rPr>
        <w:t> </w:t>
      </w:r>
      <w:r>
        <w:rPr>
          <w:sz w:val="21"/>
        </w:rPr>
        <w:t>LGBTQ</w:t>
      </w:r>
      <w:r>
        <w:rPr>
          <w:spacing w:val="-3"/>
          <w:sz w:val="21"/>
        </w:rPr>
        <w:t> </w:t>
      </w:r>
      <w:r>
        <w:rPr>
          <w:sz w:val="21"/>
        </w:rPr>
        <w:t>youth</w:t>
      </w:r>
      <w:r>
        <w:rPr>
          <w:spacing w:val="-3"/>
          <w:sz w:val="21"/>
        </w:rPr>
        <w:t> </w:t>
      </w:r>
      <w:r>
        <w:rPr>
          <w:sz w:val="21"/>
        </w:rPr>
        <w:t>and</w:t>
      </w:r>
      <w:r>
        <w:rPr>
          <w:spacing w:val="-4"/>
          <w:sz w:val="21"/>
        </w:rPr>
        <w:t> </w:t>
      </w:r>
      <w:r>
        <w:rPr>
          <w:sz w:val="21"/>
        </w:rPr>
        <w:t>family</w:t>
      </w:r>
      <w:r>
        <w:rPr>
          <w:spacing w:val="-3"/>
          <w:sz w:val="21"/>
        </w:rPr>
        <w:t> </w:t>
      </w:r>
      <w:r>
        <w:rPr>
          <w:sz w:val="21"/>
        </w:rPr>
        <w:t>services, and</w:t>
      </w:r>
      <w:r>
        <w:rPr>
          <w:spacing w:val="-9"/>
          <w:sz w:val="21"/>
        </w:rPr>
        <w:t> </w:t>
      </w:r>
      <w:r>
        <w:rPr>
          <w:sz w:val="21"/>
        </w:rPr>
        <w:t>encourages</w:t>
      </w:r>
      <w:r>
        <w:rPr>
          <w:spacing w:val="-9"/>
          <w:sz w:val="21"/>
        </w:rPr>
        <w:t> </w:t>
      </w:r>
      <w:r>
        <w:rPr>
          <w:sz w:val="21"/>
        </w:rPr>
        <w:t>programs</w:t>
      </w:r>
      <w:r>
        <w:rPr>
          <w:spacing w:val="-9"/>
          <w:sz w:val="21"/>
        </w:rPr>
        <w:t> </w:t>
      </w:r>
      <w:r>
        <w:rPr>
          <w:sz w:val="21"/>
        </w:rPr>
        <w:t>to</w:t>
      </w:r>
      <w:r>
        <w:rPr>
          <w:spacing w:val="-9"/>
          <w:sz w:val="21"/>
        </w:rPr>
        <w:t> </w:t>
      </w:r>
      <w:r>
        <w:rPr>
          <w:sz w:val="21"/>
        </w:rPr>
        <w:t>make</w:t>
      </w:r>
      <w:r>
        <w:rPr>
          <w:spacing w:val="-9"/>
          <w:sz w:val="21"/>
        </w:rPr>
        <w:t> </w:t>
      </w:r>
      <w:r>
        <w:rPr>
          <w:sz w:val="21"/>
        </w:rPr>
        <w:t>concerted</w:t>
      </w:r>
      <w:r>
        <w:rPr>
          <w:spacing w:val="-9"/>
          <w:sz w:val="21"/>
        </w:rPr>
        <w:t> </w:t>
      </w:r>
      <w:r>
        <w:rPr>
          <w:sz w:val="21"/>
        </w:rPr>
        <w:t>efforts</w:t>
      </w:r>
      <w:r>
        <w:rPr>
          <w:spacing w:val="-9"/>
          <w:sz w:val="21"/>
        </w:rPr>
        <w:t> </w:t>
      </w:r>
      <w:r>
        <w:rPr>
          <w:sz w:val="21"/>
        </w:rPr>
        <w:t>to</w:t>
      </w:r>
      <w:r>
        <w:rPr>
          <w:spacing w:val="-9"/>
          <w:sz w:val="21"/>
        </w:rPr>
        <w:t> </w:t>
      </w:r>
      <w:r>
        <w:rPr>
          <w:sz w:val="21"/>
        </w:rPr>
        <w:t>ensure</w:t>
      </w:r>
      <w:r>
        <w:rPr>
          <w:spacing w:val="-9"/>
          <w:sz w:val="21"/>
        </w:rPr>
        <w:t> </w:t>
      </w:r>
      <w:r>
        <w:rPr>
          <w:sz w:val="21"/>
        </w:rPr>
        <w:t>that</w:t>
      </w:r>
      <w:r>
        <w:rPr>
          <w:spacing w:val="-8"/>
          <w:sz w:val="21"/>
        </w:rPr>
        <w:t> </w:t>
      </w:r>
      <w:r>
        <w:rPr>
          <w:sz w:val="21"/>
        </w:rPr>
        <w:t>their</w:t>
      </w:r>
      <w:r>
        <w:rPr>
          <w:spacing w:val="-9"/>
          <w:sz w:val="21"/>
        </w:rPr>
        <w:t> </w:t>
      </w:r>
      <w:r>
        <w:rPr>
          <w:sz w:val="21"/>
        </w:rPr>
        <w:t>programs</w:t>
      </w:r>
      <w:r>
        <w:rPr>
          <w:spacing w:val="-8"/>
          <w:sz w:val="21"/>
        </w:rPr>
        <w:t> </w:t>
      </w:r>
      <w:r>
        <w:rPr>
          <w:sz w:val="21"/>
        </w:rPr>
        <w:t>are</w:t>
      </w:r>
      <w:r>
        <w:rPr>
          <w:spacing w:val="-9"/>
          <w:sz w:val="21"/>
        </w:rPr>
        <w:t> </w:t>
      </w:r>
      <w:r>
        <w:rPr>
          <w:sz w:val="21"/>
        </w:rPr>
        <w:t>affirming</w:t>
      </w:r>
      <w:r>
        <w:rPr>
          <w:spacing w:val="-9"/>
          <w:sz w:val="21"/>
        </w:rPr>
        <w:t> </w:t>
      </w:r>
      <w:r>
        <w:rPr>
          <w:sz w:val="21"/>
        </w:rPr>
        <w:t>and</w:t>
      </w:r>
      <w:r>
        <w:rPr>
          <w:spacing w:val="-9"/>
          <w:sz w:val="21"/>
        </w:rPr>
        <w:t> </w:t>
      </w:r>
      <w:r>
        <w:rPr>
          <w:sz w:val="21"/>
        </w:rPr>
        <w:t>welcoming for all youth.</w:t>
      </w:r>
    </w:p>
    <w:p>
      <w:pPr>
        <w:pStyle w:val="ListParagraph"/>
        <w:numPr>
          <w:ilvl w:val="0"/>
          <w:numId w:val="20"/>
        </w:numPr>
        <w:tabs>
          <w:tab w:pos="463" w:val="left" w:leader="none"/>
        </w:tabs>
        <w:spacing w:line="276" w:lineRule="auto" w:before="241" w:after="0"/>
        <w:ind w:left="463" w:right="242" w:hanging="360"/>
        <w:jc w:val="left"/>
        <w:rPr>
          <w:b/>
          <w:sz w:val="21"/>
        </w:rPr>
      </w:pPr>
      <w:r>
        <w:rPr>
          <w:b/>
          <w:sz w:val="21"/>
        </w:rPr>
        <w:t>Increase funding to hire and retain more MHPs in order to meet nationally-recommended ratios between</w:t>
      </w:r>
      <w:r>
        <w:rPr>
          <w:b/>
          <w:spacing w:val="40"/>
          <w:sz w:val="21"/>
        </w:rPr>
        <w:t> </w:t>
      </w:r>
      <w:r>
        <w:rPr>
          <w:b/>
          <w:sz w:val="21"/>
        </w:rPr>
        <w:t>MHPs and youth.</w:t>
      </w:r>
    </w:p>
    <w:p>
      <w:pPr>
        <w:spacing w:line="276" w:lineRule="auto" w:before="239"/>
        <w:ind w:left="463" w:right="238" w:firstLine="0"/>
        <w:jc w:val="both"/>
        <w:rPr>
          <w:sz w:val="21"/>
        </w:rPr>
      </w:pPr>
      <w:r>
        <w:rPr>
          <w:sz w:val="21"/>
        </w:rPr>
        <w:t>As</w:t>
      </w:r>
      <w:r>
        <w:rPr>
          <w:spacing w:val="-2"/>
          <w:sz w:val="21"/>
        </w:rPr>
        <w:t> </w:t>
      </w:r>
      <w:r>
        <w:rPr>
          <w:sz w:val="21"/>
        </w:rPr>
        <w:t>discussed</w:t>
      </w:r>
      <w:r>
        <w:rPr>
          <w:spacing w:val="-2"/>
          <w:sz w:val="21"/>
        </w:rPr>
        <w:t> </w:t>
      </w:r>
      <w:r>
        <w:rPr>
          <w:sz w:val="21"/>
        </w:rPr>
        <w:t>throughout</w:t>
      </w:r>
      <w:r>
        <w:rPr>
          <w:spacing w:val="-1"/>
          <w:sz w:val="21"/>
        </w:rPr>
        <w:t> </w:t>
      </w:r>
      <w:r>
        <w:rPr>
          <w:sz w:val="21"/>
        </w:rPr>
        <w:t>this</w:t>
      </w:r>
      <w:r>
        <w:rPr>
          <w:spacing w:val="-3"/>
          <w:sz w:val="21"/>
        </w:rPr>
        <w:t> </w:t>
      </w:r>
      <w:r>
        <w:rPr>
          <w:sz w:val="21"/>
        </w:rPr>
        <w:t>report,</w:t>
      </w:r>
      <w:r>
        <w:rPr>
          <w:spacing w:val="-1"/>
          <w:sz w:val="21"/>
        </w:rPr>
        <w:t> </w:t>
      </w:r>
      <w:r>
        <w:rPr>
          <w:sz w:val="21"/>
        </w:rPr>
        <w:t>mental</w:t>
      </w:r>
      <w:r>
        <w:rPr>
          <w:spacing w:val="-2"/>
          <w:sz w:val="21"/>
        </w:rPr>
        <w:t> </w:t>
      </w:r>
      <w:r>
        <w:rPr>
          <w:sz w:val="21"/>
        </w:rPr>
        <w:t>healthcare</w:t>
      </w:r>
      <w:r>
        <w:rPr>
          <w:spacing w:val="-3"/>
          <w:sz w:val="21"/>
        </w:rPr>
        <w:t> </w:t>
      </w:r>
      <w:r>
        <w:rPr>
          <w:sz w:val="21"/>
        </w:rPr>
        <w:t>is</w:t>
      </w:r>
      <w:r>
        <w:rPr>
          <w:spacing w:val="-3"/>
          <w:sz w:val="21"/>
        </w:rPr>
        <w:t> </w:t>
      </w:r>
      <w:r>
        <w:rPr>
          <w:sz w:val="21"/>
        </w:rPr>
        <w:t>in</w:t>
      </w:r>
      <w:r>
        <w:rPr>
          <w:spacing w:val="-2"/>
          <w:sz w:val="21"/>
        </w:rPr>
        <w:t> </w:t>
      </w:r>
      <w:r>
        <w:rPr>
          <w:sz w:val="21"/>
        </w:rPr>
        <w:t>a</w:t>
      </w:r>
      <w:r>
        <w:rPr>
          <w:spacing w:val="-2"/>
          <w:sz w:val="21"/>
        </w:rPr>
        <w:t> </w:t>
      </w:r>
      <w:r>
        <w:rPr>
          <w:sz w:val="21"/>
        </w:rPr>
        <w:t>state</w:t>
      </w:r>
      <w:r>
        <w:rPr>
          <w:spacing w:val="-2"/>
          <w:sz w:val="21"/>
        </w:rPr>
        <w:t> </w:t>
      </w:r>
      <w:r>
        <w:rPr>
          <w:sz w:val="21"/>
        </w:rPr>
        <w:t>of</w:t>
      </w:r>
      <w:r>
        <w:rPr>
          <w:spacing w:val="-4"/>
          <w:sz w:val="21"/>
        </w:rPr>
        <w:t> </w:t>
      </w:r>
      <w:r>
        <w:rPr>
          <w:sz w:val="21"/>
        </w:rPr>
        <w:t>crisis.</w:t>
      </w:r>
      <w:r>
        <w:rPr>
          <w:spacing w:val="-2"/>
          <w:sz w:val="21"/>
        </w:rPr>
        <w:t> </w:t>
      </w:r>
      <w:r>
        <w:rPr>
          <w:sz w:val="21"/>
        </w:rPr>
        <w:t>The</w:t>
      </w:r>
      <w:r>
        <w:rPr>
          <w:spacing w:val="-2"/>
          <w:sz w:val="21"/>
        </w:rPr>
        <w:t> </w:t>
      </w:r>
      <w:r>
        <w:rPr>
          <w:sz w:val="21"/>
        </w:rPr>
        <w:t>Commission</w:t>
      </w:r>
      <w:r>
        <w:rPr>
          <w:spacing w:val="-2"/>
          <w:sz w:val="21"/>
        </w:rPr>
        <w:t> </w:t>
      </w:r>
      <w:r>
        <w:rPr>
          <w:sz w:val="21"/>
        </w:rPr>
        <w:t>recommends</w:t>
      </w:r>
      <w:r>
        <w:rPr>
          <w:spacing w:val="-2"/>
          <w:sz w:val="21"/>
        </w:rPr>
        <w:t> </w:t>
      </w:r>
      <w:r>
        <w:rPr>
          <w:sz w:val="21"/>
        </w:rPr>
        <w:t>that the Commonwealth continue to prioritize and invest in mental health professionals, and ensure that K-12 schools, higher education, juvenile justice programs, and the</w:t>
      </w:r>
      <w:r>
        <w:rPr>
          <w:spacing w:val="-1"/>
          <w:sz w:val="21"/>
        </w:rPr>
        <w:t> </w:t>
      </w:r>
      <w:r>
        <w:rPr>
          <w:sz w:val="21"/>
        </w:rPr>
        <w:t>child welfare system are able</w:t>
      </w:r>
      <w:r>
        <w:rPr>
          <w:spacing w:val="-1"/>
          <w:sz w:val="21"/>
        </w:rPr>
        <w:t> </w:t>
      </w:r>
      <w:r>
        <w:rPr>
          <w:sz w:val="21"/>
        </w:rPr>
        <w:t>to provide effective and affirming mental health services for youth in their care. The Commission urges the legislature to explore innovative</w:t>
      </w:r>
      <w:r>
        <w:rPr>
          <w:spacing w:val="-6"/>
          <w:sz w:val="21"/>
        </w:rPr>
        <w:t> </w:t>
      </w:r>
      <w:r>
        <w:rPr>
          <w:sz w:val="21"/>
        </w:rPr>
        <w:t>ways</w:t>
      </w:r>
      <w:r>
        <w:rPr>
          <w:spacing w:val="-6"/>
          <w:sz w:val="21"/>
        </w:rPr>
        <w:t> </w:t>
      </w:r>
      <w:r>
        <w:rPr>
          <w:sz w:val="21"/>
        </w:rPr>
        <w:t>to</w:t>
      </w:r>
      <w:r>
        <w:rPr>
          <w:spacing w:val="-6"/>
          <w:sz w:val="21"/>
        </w:rPr>
        <w:t> </w:t>
      </w:r>
      <w:r>
        <w:rPr>
          <w:sz w:val="21"/>
        </w:rPr>
        <w:t>invest</w:t>
      </w:r>
      <w:r>
        <w:rPr>
          <w:spacing w:val="-6"/>
          <w:sz w:val="21"/>
        </w:rPr>
        <w:t> </w:t>
      </w:r>
      <w:r>
        <w:rPr>
          <w:sz w:val="21"/>
        </w:rPr>
        <w:t>in</w:t>
      </w:r>
      <w:r>
        <w:rPr>
          <w:spacing w:val="-7"/>
          <w:sz w:val="21"/>
        </w:rPr>
        <w:t> </w:t>
      </w:r>
      <w:r>
        <w:rPr>
          <w:sz w:val="21"/>
        </w:rPr>
        <w:t>mental</w:t>
      </w:r>
      <w:r>
        <w:rPr>
          <w:spacing w:val="-6"/>
          <w:sz w:val="21"/>
        </w:rPr>
        <w:t> </w:t>
      </w:r>
      <w:r>
        <w:rPr>
          <w:sz w:val="21"/>
        </w:rPr>
        <w:t>healthcare</w:t>
      </w:r>
      <w:r>
        <w:rPr>
          <w:spacing w:val="-6"/>
          <w:sz w:val="21"/>
        </w:rPr>
        <w:t> </w:t>
      </w:r>
      <w:r>
        <w:rPr>
          <w:sz w:val="21"/>
        </w:rPr>
        <w:t>professionals,</w:t>
      </w:r>
      <w:r>
        <w:rPr>
          <w:spacing w:val="-6"/>
          <w:sz w:val="21"/>
        </w:rPr>
        <w:t> </w:t>
      </w:r>
      <w:r>
        <w:rPr>
          <w:sz w:val="21"/>
        </w:rPr>
        <w:t>including</w:t>
      </w:r>
      <w:r>
        <w:rPr>
          <w:spacing w:val="-6"/>
          <w:sz w:val="21"/>
        </w:rPr>
        <w:t> </w:t>
      </w:r>
      <w:r>
        <w:rPr>
          <w:sz w:val="21"/>
        </w:rPr>
        <w:t>at</w:t>
      </w:r>
      <w:r>
        <w:rPr>
          <w:spacing w:val="-6"/>
          <w:sz w:val="21"/>
        </w:rPr>
        <w:t> </w:t>
      </w:r>
      <w:r>
        <w:rPr>
          <w:sz w:val="21"/>
        </w:rPr>
        <w:t>the</w:t>
      </w:r>
      <w:r>
        <w:rPr>
          <w:spacing w:val="-6"/>
          <w:sz w:val="21"/>
        </w:rPr>
        <w:t> </w:t>
      </w:r>
      <w:r>
        <w:rPr>
          <w:sz w:val="21"/>
        </w:rPr>
        <w:t>student</w:t>
      </w:r>
      <w:r>
        <w:rPr>
          <w:spacing w:val="-6"/>
          <w:sz w:val="21"/>
        </w:rPr>
        <w:t> </w:t>
      </w:r>
      <w:r>
        <w:rPr>
          <w:sz w:val="21"/>
        </w:rPr>
        <w:t>level</w:t>
      </w:r>
      <w:r>
        <w:rPr>
          <w:spacing w:val="-6"/>
          <w:sz w:val="21"/>
        </w:rPr>
        <w:t> </w:t>
      </w:r>
      <w:r>
        <w:rPr>
          <w:sz w:val="21"/>
        </w:rPr>
        <w:t>by</w:t>
      </w:r>
      <w:r>
        <w:rPr>
          <w:spacing w:val="-6"/>
          <w:sz w:val="21"/>
        </w:rPr>
        <w:t> </w:t>
      </w:r>
      <w:r>
        <w:rPr>
          <w:sz w:val="21"/>
        </w:rPr>
        <w:t>providing</w:t>
      </w:r>
      <w:r>
        <w:rPr>
          <w:spacing w:val="-6"/>
          <w:sz w:val="21"/>
        </w:rPr>
        <w:t> </w:t>
      </w:r>
      <w:r>
        <w:rPr>
          <w:sz w:val="21"/>
        </w:rPr>
        <w:t>funding opportunities and easing barriers to access for BIPOC and LGBTQ social work students to licensure.</w:t>
      </w:r>
    </w:p>
    <w:p>
      <w:pPr>
        <w:pStyle w:val="BodyText"/>
        <w:spacing w:before="143"/>
        <w:rPr>
          <w:sz w:val="21"/>
        </w:rPr>
      </w:pPr>
    </w:p>
    <w:p>
      <w:pPr>
        <w:tabs>
          <w:tab w:pos="9965" w:val="left" w:leader="none"/>
        </w:tabs>
        <w:spacing w:before="0"/>
        <w:ind w:left="433" w:right="0" w:firstLine="0"/>
        <w:jc w:val="both"/>
        <w:rPr>
          <w:rFonts w:ascii="Cambria"/>
          <w:sz w:val="28"/>
        </w:rPr>
      </w:pPr>
      <w:bookmarkStart w:name="Data &amp; Theories" w:id="238"/>
      <w:bookmarkEnd w:id="238"/>
      <w:r>
        <w:rPr/>
      </w:r>
      <w:r>
        <w:rPr>
          <w:rFonts w:ascii="Cambria"/>
          <w:color w:val="365F91"/>
          <w:spacing w:val="-33"/>
          <w:sz w:val="28"/>
          <w:u w:val="single" w:color="4F81BC"/>
        </w:rPr>
        <w:t> </w:t>
      </w:r>
      <w:r>
        <w:rPr>
          <w:rFonts w:ascii="Cambria"/>
          <w:color w:val="365F91"/>
          <w:sz w:val="28"/>
          <w:u w:val="single" w:color="4F81BC"/>
        </w:rPr>
        <w:t>Data</w:t>
      </w:r>
      <w:r>
        <w:rPr>
          <w:rFonts w:ascii="Cambria"/>
          <w:color w:val="365F91"/>
          <w:spacing w:val="-6"/>
          <w:sz w:val="28"/>
          <w:u w:val="single" w:color="4F81BC"/>
        </w:rPr>
        <w:t> </w:t>
      </w:r>
      <w:r>
        <w:rPr>
          <w:rFonts w:ascii="Cambria"/>
          <w:color w:val="365F91"/>
          <w:sz w:val="28"/>
          <w:u w:val="single" w:color="4F81BC"/>
        </w:rPr>
        <w:t>&amp;</w:t>
      </w:r>
      <w:r>
        <w:rPr>
          <w:rFonts w:ascii="Cambria"/>
          <w:color w:val="365F91"/>
          <w:spacing w:val="-4"/>
          <w:sz w:val="28"/>
          <w:u w:val="single" w:color="4F81BC"/>
        </w:rPr>
        <w:t> </w:t>
      </w:r>
      <w:r>
        <w:rPr>
          <w:rFonts w:ascii="Cambria"/>
          <w:color w:val="365F91"/>
          <w:spacing w:val="-2"/>
          <w:sz w:val="28"/>
          <w:u w:val="single" w:color="4F81BC"/>
        </w:rPr>
        <w:t>Theories</w:t>
      </w:r>
      <w:r>
        <w:rPr>
          <w:rFonts w:ascii="Cambria"/>
          <w:color w:val="365F91"/>
          <w:sz w:val="28"/>
          <w:u w:val="single" w:color="4F81BC"/>
        </w:rPr>
        <w:tab/>
      </w:r>
    </w:p>
    <w:p>
      <w:pPr>
        <w:pStyle w:val="BodyText"/>
        <w:spacing w:before="25"/>
        <w:rPr>
          <w:rFonts w:ascii="Cambria"/>
          <w:sz w:val="21"/>
        </w:rPr>
      </w:pPr>
    </w:p>
    <w:p>
      <w:pPr>
        <w:spacing w:line="276" w:lineRule="auto" w:before="1"/>
        <w:ind w:left="463" w:right="238" w:hanging="1"/>
        <w:jc w:val="both"/>
        <w:rPr>
          <w:sz w:val="21"/>
        </w:rPr>
      </w:pPr>
      <w:r>
        <w:rPr>
          <w:sz w:val="21"/>
        </w:rPr>
        <w:t>Against</w:t>
      </w:r>
      <w:r>
        <w:rPr>
          <w:spacing w:val="-7"/>
          <w:sz w:val="21"/>
        </w:rPr>
        <w:t> </w:t>
      </w:r>
      <w:r>
        <w:rPr>
          <w:sz w:val="21"/>
        </w:rPr>
        <w:t>the</w:t>
      </w:r>
      <w:r>
        <w:rPr>
          <w:spacing w:val="-7"/>
          <w:sz w:val="21"/>
        </w:rPr>
        <w:t> </w:t>
      </w:r>
      <w:r>
        <w:rPr>
          <w:sz w:val="21"/>
        </w:rPr>
        <w:t>backdrop</w:t>
      </w:r>
      <w:r>
        <w:rPr>
          <w:spacing w:val="-7"/>
          <w:sz w:val="21"/>
        </w:rPr>
        <w:t> </w:t>
      </w:r>
      <w:r>
        <w:rPr>
          <w:sz w:val="21"/>
        </w:rPr>
        <w:t>of</w:t>
      </w:r>
      <w:r>
        <w:rPr>
          <w:spacing w:val="-7"/>
          <w:sz w:val="21"/>
        </w:rPr>
        <w:t> </w:t>
      </w:r>
      <w:r>
        <w:rPr>
          <w:sz w:val="21"/>
        </w:rPr>
        <w:t>an</w:t>
      </w:r>
      <w:r>
        <w:rPr>
          <w:spacing w:val="-7"/>
          <w:sz w:val="21"/>
        </w:rPr>
        <w:t> </w:t>
      </w:r>
      <w:r>
        <w:rPr>
          <w:sz w:val="21"/>
        </w:rPr>
        <w:t>ever-changing</w:t>
      </w:r>
      <w:r>
        <w:rPr>
          <w:spacing w:val="-7"/>
          <w:sz w:val="21"/>
        </w:rPr>
        <w:t> </w:t>
      </w:r>
      <w:r>
        <w:rPr>
          <w:sz w:val="21"/>
        </w:rPr>
        <w:t>society</w:t>
      </w:r>
      <w:r>
        <w:rPr>
          <w:spacing w:val="-7"/>
          <w:sz w:val="21"/>
        </w:rPr>
        <w:t> </w:t>
      </w:r>
      <w:r>
        <w:rPr>
          <w:sz w:val="21"/>
        </w:rPr>
        <w:t>following</w:t>
      </w:r>
      <w:r>
        <w:rPr>
          <w:spacing w:val="-7"/>
          <w:sz w:val="21"/>
        </w:rPr>
        <w:t> </w:t>
      </w:r>
      <w:r>
        <w:rPr>
          <w:sz w:val="21"/>
        </w:rPr>
        <w:t>the</w:t>
      </w:r>
      <w:r>
        <w:rPr>
          <w:spacing w:val="-7"/>
          <w:sz w:val="21"/>
        </w:rPr>
        <w:t> </w:t>
      </w:r>
      <w:r>
        <w:rPr>
          <w:sz w:val="21"/>
        </w:rPr>
        <w:t>COVID-19</w:t>
      </w:r>
      <w:r>
        <w:rPr>
          <w:spacing w:val="-7"/>
          <w:sz w:val="21"/>
        </w:rPr>
        <w:t> </w:t>
      </w:r>
      <w:r>
        <w:rPr>
          <w:sz w:val="21"/>
        </w:rPr>
        <w:t>pandemic,</w:t>
      </w:r>
      <w:r>
        <w:rPr>
          <w:spacing w:val="-8"/>
          <w:sz w:val="21"/>
        </w:rPr>
        <w:t> </w:t>
      </w:r>
      <w:r>
        <w:rPr>
          <w:sz w:val="21"/>
        </w:rPr>
        <w:t>growing</w:t>
      </w:r>
      <w:r>
        <w:rPr>
          <w:spacing w:val="-7"/>
          <w:sz w:val="21"/>
        </w:rPr>
        <w:t> </w:t>
      </w:r>
      <w:r>
        <w:rPr>
          <w:sz w:val="21"/>
        </w:rPr>
        <w:t>social</w:t>
      </w:r>
      <w:r>
        <w:rPr>
          <w:spacing w:val="-7"/>
          <w:sz w:val="21"/>
        </w:rPr>
        <w:t> </w:t>
      </w:r>
      <w:r>
        <w:rPr>
          <w:sz w:val="21"/>
        </w:rPr>
        <w:t>and</w:t>
      </w:r>
      <w:r>
        <w:rPr>
          <w:spacing w:val="-7"/>
          <w:sz w:val="21"/>
        </w:rPr>
        <w:t> </w:t>
      </w:r>
      <w:r>
        <w:rPr>
          <w:sz w:val="21"/>
        </w:rPr>
        <w:t>political hostility, and a growing shortage of affordable and accessible mental healthcare, the state of LGBTQ youth mental health continues to deteriorate. Overall, more and more youth have been experiencing anxiety and considering suicide</w:t>
      </w:r>
      <w:r>
        <w:rPr>
          <w:spacing w:val="-1"/>
          <w:sz w:val="21"/>
        </w:rPr>
        <w:t> </w:t>
      </w:r>
      <w:r>
        <w:rPr>
          <w:sz w:val="21"/>
        </w:rPr>
        <w:t>over</w:t>
      </w:r>
      <w:r>
        <w:rPr>
          <w:spacing w:val="-1"/>
          <w:sz w:val="21"/>
        </w:rPr>
        <w:t> </w:t>
      </w:r>
      <w:r>
        <w:rPr>
          <w:sz w:val="21"/>
        </w:rPr>
        <w:t>the</w:t>
      </w:r>
      <w:r>
        <w:rPr>
          <w:spacing w:val="-1"/>
          <w:sz w:val="21"/>
        </w:rPr>
        <w:t> </w:t>
      </w:r>
      <w:r>
        <w:rPr>
          <w:sz w:val="21"/>
        </w:rPr>
        <w:t>last three</w:t>
      </w:r>
      <w:r>
        <w:rPr>
          <w:spacing w:val="-1"/>
          <w:sz w:val="21"/>
        </w:rPr>
        <w:t> </w:t>
      </w:r>
      <w:r>
        <w:rPr>
          <w:sz w:val="21"/>
        </w:rPr>
        <w:t>years</w:t>
      </w:r>
      <w:r>
        <w:rPr>
          <w:spacing w:val="-1"/>
          <w:sz w:val="21"/>
        </w:rPr>
        <w:t> </w:t>
      </w:r>
      <w:r>
        <w:rPr>
          <w:sz w:val="21"/>
        </w:rPr>
        <w:t>of</w:t>
      </w:r>
      <w:r>
        <w:rPr>
          <w:spacing w:val="-1"/>
          <w:sz w:val="21"/>
        </w:rPr>
        <w:t> </w:t>
      </w:r>
      <w:r>
        <w:rPr>
          <w:sz w:val="21"/>
        </w:rPr>
        <w:t>the</w:t>
      </w:r>
      <w:r>
        <w:rPr>
          <w:spacing w:val="-1"/>
          <w:sz w:val="21"/>
        </w:rPr>
        <w:t> </w:t>
      </w:r>
      <w:r>
        <w:rPr>
          <w:sz w:val="21"/>
        </w:rPr>
        <w:t>global</w:t>
      </w:r>
      <w:r>
        <w:rPr>
          <w:spacing w:val="-1"/>
          <w:sz w:val="21"/>
        </w:rPr>
        <w:t> </w:t>
      </w:r>
      <w:r>
        <w:rPr>
          <w:sz w:val="21"/>
        </w:rPr>
        <w:t>pandemic.</w:t>
      </w:r>
      <w:r>
        <w:rPr>
          <w:spacing w:val="-1"/>
          <w:sz w:val="21"/>
        </w:rPr>
        <w:t> </w:t>
      </w:r>
      <w:r>
        <w:rPr>
          <w:sz w:val="21"/>
        </w:rPr>
        <w:t>Additionally, more</w:t>
      </w:r>
      <w:r>
        <w:rPr>
          <w:spacing w:val="-1"/>
          <w:sz w:val="21"/>
        </w:rPr>
        <w:t> </w:t>
      </w:r>
      <w:r>
        <w:rPr>
          <w:sz w:val="21"/>
        </w:rPr>
        <w:t>youth</w:t>
      </w:r>
      <w:r>
        <w:rPr>
          <w:spacing w:val="-1"/>
          <w:sz w:val="21"/>
        </w:rPr>
        <w:t> </w:t>
      </w:r>
      <w:r>
        <w:rPr>
          <w:sz w:val="21"/>
        </w:rPr>
        <w:t>are</w:t>
      </w:r>
      <w:r>
        <w:rPr>
          <w:spacing w:val="-1"/>
          <w:sz w:val="21"/>
        </w:rPr>
        <w:t> </w:t>
      </w:r>
      <w:r>
        <w:rPr>
          <w:sz w:val="21"/>
        </w:rPr>
        <w:t>experiencing depression</w:t>
      </w:r>
      <w:r>
        <w:rPr>
          <w:spacing w:val="-6"/>
          <w:sz w:val="21"/>
        </w:rPr>
        <w:t> </w:t>
      </w:r>
      <w:r>
        <w:rPr>
          <w:sz w:val="21"/>
        </w:rPr>
        <w:t>than</w:t>
      </w:r>
      <w:r>
        <w:rPr>
          <w:spacing w:val="-6"/>
          <w:sz w:val="21"/>
        </w:rPr>
        <w:t> </w:t>
      </w:r>
      <w:r>
        <w:rPr>
          <w:sz w:val="21"/>
        </w:rPr>
        <w:t>in</w:t>
      </w:r>
      <w:r>
        <w:rPr>
          <w:spacing w:val="-6"/>
          <w:sz w:val="21"/>
        </w:rPr>
        <w:t> </w:t>
      </w:r>
      <w:r>
        <w:rPr>
          <w:sz w:val="21"/>
        </w:rPr>
        <w:t>2020,</w:t>
      </w:r>
      <w:r>
        <w:rPr>
          <w:spacing w:val="-5"/>
          <w:sz w:val="21"/>
        </w:rPr>
        <w:t> </w:t>
      </w:r>
      <w:r>
        <w:rPr>
          <w:sz w:val="21"/>
        </w:rPr>
        <w:t>while</w:t>
      </w:r>
      <w:r>
        <w:rPr>
          <w:spacing w:val="-6"/>
          <w:sz w:val="21"/>
        </w:rPr>
        <w:t> </w:t>
      </w:r>
      <w:r>
        <w:rPr>
          <w:sz w:val="21"/>
        </w:rPr>
        <w:t>suicide</w:t>
      </w:r>
      <w:r>
        <w:rPr>
          <w:spacing w:val="-6"/>
          <w:sz w:val="21"/>
        </w:rPr>
        <w:t> </w:t>
      </w:r>
      <w:r>
        <w:rPr>
          <w:sz w:val="21"/>
        </w:rPr>
        <w:t>attempt</w:t>
      </w:r>
      <w:r>
        <w:rPr>
          <w:spacing w:val="-5"/>
          <w:sz w:val="21"/>
        </w:rPr>
        <w:t> </w:t>
      </w:r>
      <w:r>
        <w:rPr>
          <w:sz w:val="21"/>
        </w:rPr>
        <w:t>rates</w:t>
      </w:r>
      <w:r>
        <w:rPr>
          <w:spacing w:val="-6"/>
          <w:sz w:val="21"/>
        </w:rPr>
        <w:t> </w:t>
      </w:r>
      <w:r>
        <w:rPr>
          <w:sz w:val="21"/>
        </w:rPr>
        <w:t>have</w:t>
      </w:r>
      <w:r>
        <w:rPr>
          <w:spacing w:val="-6"/>
          <w:sz w:val="21"/>
        </w:rPr>
        <w:t> </w:t>
      </w:r>
      <w:r>
        <w:rPr>
          <w:sz w:val="21"/>
        </w:rPr>
        <w:t>stayed</w:t>
      </w:r>
      <w:r>
        <w:rPr>
          <w:spacing w:val="-6"/>
          <w:sz w:val="21"/>
        </w:rPr>
        <w:t> </w:t>
      </w:r>
      <w:r>
        <w:rPr>
          <w:sz w:val="21"/>
        </w:rPr>
        <w:t>relatively</w:t>
      </w:r>
      <w:r>
        <w:rPr>
          <w:spacing w:val="-6"/>
          <w:sz w:val="21"/>
        </w:rPr>
        <w:t> </w:t>
      </w:r>
      <w:r>
        <w:rPr>
          <w:sz w:val="21"/>
        </w:rPr>
        <w:t>level</w:t>
      </w:r>
      <w:hyperlink w:history="true" w:anchor="_bookmark105">
        <w:r>
          <w:rPr>
            <w:sz w:val="21"/>
          </w:rPr>
          <w:t>.</w:t>
        </w:r>
        <w:r>
          <w:rPr>
            <w:sz w:val="21"/>
            <w:vertAlign w:val="superscript"/>
          </w:rPr>
          <w:t>2</w:t>
        </w:r>
      </w:hyperlink>
      <w:r>
        <w:rPr>
          <w:spacing w:val="-5"/>
          <w:sz w:val="21"/>
          <w:vertAlign w:val="baseline"/>
        </w:rPr>
        <w:t> </w:t>
      </w:r>
      <w:r>
        <w:rPr>
          <w:sz w:val="21"/>
          <w:vertAlign w:val="baseline"/>
        </w:rPr>
        <w:t>Most</w:t>
      </w:r>
      <w:r>
        <w:rPr>
          <w:spacing w:val="-5"/>
          <w:sz w:val="21"/>
          <w:vertAlign w:val="baseline"/>
        </w:rPr>
        <w:t> </w:t>
      </w:r>
      <w:r>
        <w:rPr>
          <w:sz w:val="21"/>
          <w:vertAlign w:val="baseline"/>
        </w:rPr>
        <w:t>alarmingly,</w:t>
      </w:r>
      <w:r>
        <w:rPr>
          <w:spacing w:val="-5"/>
          <w:sz w:val="21"/>
          <w:vertAlign w:val="baseline"/>
        </w:rPr>
        <w:t> </w:t>
      </w:r>
      <w:r>
        <w:rPr>
          <w:sz w:val="21"/>
          <w:vertAlign w:val="baseline"/>
        </w:rPr>
        <w:t>in</w:t>
      </w:r>
      <w:r>
        <w:rPr>
          <w:spacing w:val="-6"/>
          <w:sz w:val="21"/>
          <w:vertAlign w:val="baseline"/>
        </w:rPr>
        <w:t> </w:t>
      </w:r>
      <w:r>
        <w:rPr>
          <w:sz w:val="21"/>
          <w:vertAlign w:val="baseline"/>
        </w:rPr>
        <w:t>2021,</w:t>
      </w:r>
      <w:r>
        <w:rPr>
          <w:spacing w:val="-5"/>
          <w:sz w:val="21"/>
          <w:vertAlign w:val="baseline"/>
        </w:rPr>
        <w:t> </w:t>
      </w:r>
      <w:r>
        <w:rPr>
          <w:sz w:val="21"/>
          <w:vertAlign w:val="baseline"/>
        </w:rPr>
        <w:t>1</w:t>
      </w:r>
      <w:r>
        <w:rPr>
          <w:spacing w:val="-6"/>
          <w:sz w:val="21"/>
          <w:vertAlign w:val="baseline"/>
        </w:rPr>
        <w:t> </w:t>
      </w:r>
      <w:r>
        <w:rPr>
          <w:sz w:val="21"/>
          <w:vertAlign w:val="baseline"/>
        </w:rPr>
        <w:t>in 2 LGBTQ youth in Massachusetts were not able to get mental healthcare when they wanted it</w:t>
      </w:r>
      <w:hyperlink w:history="true" w:anchor="_bookmark106">
        <w:r>
          <w:rPr>
            <w:sz w:val="21"/>
            <w:vertAlign w:val="baseline"/>
          </w:rPr>
          <w:t>.</w:t>
        </w:r>
        <w:r>
          <w:rPr>
            <w:sz w:val="21"/>
            <w:vertAlign w:val="superscript"/>
          </w:rPr>
          <w:t>3</w:t>
        </w:r>
      </w:hyperlink>
    </w:p>
    <w:p>
      <w:pPr>
        <w:spacing w:line="276" w:lineRule="auto" w:before="238"/>
        <w:ind w:left="463" w:right="240" w:hanging="1"/>
        <w:jc w:val="both"/>
        <w:rPr>
          <w:sz w:val="21"/>
        </w:rPr>
      </w:pPr>
      <w:r>
        <w:rPr>
          <w:sz w:val="21"/>
        </w:rPr>
        <w:t>In the Trevor Project’s most recent survey on LGBTQ youth mental health, 71% of 13-18 year-old LGBTQ participants in Massachusetts reported experiencing anxiety, while 51% felt symptoms of depression. </w:t>
      </w:r>
      <w:hyperlink w:history="true" w:anchor="_bookmark107">
        <w:r>
          <w:rPr>
            <w:sz w:val="21"/>
            <w:vertAlign w:val="superscript"/>
          </w:rPr>
          <w:t>4</w:t>
        </w:r>
      </w:hyperlink>
      <w:r>
        <w:rPr>
          <w:sz w:val="21"/>
          <w:vertAlign w:val="baseline"/>
        </w:rPr>
        <w:t> Meanwhile, 41% of participants reported seriously considering suicide in the last year, and 11% reported attempting suicide (vs. 14% nationwide). Across the US, more than 1 in 3 youth have experienced physical threats or harm based on their identities – and youth who were victimized attempted suicide at over twice as often as peers who were not</w:t>
      </w:r>
      <w:hyperlink w:history="true" w:anchor="_bookmark108">
        <w:r>
          <w:rPr>
            <w:sz w:val="21"/>
            <w:vertAlign w:val="baseline"/>
          </w:rPr>
          <w:t>.</w:t>
        </w:r>
        <w:r>
          <w:rPr>
            <w:sz w:val="21"/>
            <w:vertAlign w:val="superscript"/>
          </w:rPr>
          <w:t>5</w:t>
        </w:r>
      </w:hyperlink>
      <w:r>
        <w:rPr>
          <w:sz w:val="21"/>
          <w:vertAlign w:val="baseline"/>
        </w:rPr>
        <w:t> Finally, the US Census Bureau’s Household Pulse Survey recently found that LGBTQ adults</w:t>
      </w:r>
      <w:r>
        <w:rPr>
          <w:spacing w:val="-1"/>
          <w:sz w:val="21"/>
          <w:vertAlign w:val="baseline"/>
        </w:rPr>
        <w:t> </w:t>
      </w:r>
      <w:r>
        <w:rPr>
          <w:sz w:val="21"/>
          <w:vertAlign w:val="baseline"/>
        </w:rPr>
        <w:t>ages 18-29 were nearly twice as likely as</w:t>
      </w:r>
      <w:r>
        <w:rPr>
          <w:spacing w:val="-1"/>
          <w:sz w:val="21"/>
          <w:vertAlign w:val="baseline"/>
        </w:rPr>
        <w:t> </w:t>
      </w:r>
      <w:r>
        <w:rPr>
          <w:sz w:val="21"/>
          <w:vertAlign w:val="baseline"/>
        </w:rPr>
        <w:t>non-LGBTQ peers to report having symptoms of anxiety (61% of adults) and depression (50%).</w:t>
      </w:r>
      <w:hyperlink w:history="true" w:anchor="_bookmark109">
        <w:r>
          <w:rPr>
            <w:sz w:val="21"/>
            <w:vertAlign w:val="superscript"/>
          </w:rPr>
          <w:t>6</w:t>
        </w:r>
      </w:hyperlink>
    </w:p>
    <w:p>
      <w:pPr>
        <w:spacing w:after="0" w:line="276" w:lineRule="auto"/>
        <w:jc w:val="both"/>
        <w:rPr>
          <w:sz w:val="21"/>
        </w:rPr>
        <w:sectPr>
          <w:pgSz w:w="12240" w:h="15840"/>
          <w:pgMar w:header="804" w:footer="1390" w:top="1080" w:bottom="1620" w:left="980" w:right="1080"/>
        </w:sectPr>
      </w:pPr>
    </w:p>
    <w:p>
      <w:pPr>
        <w:spacing w:before="68"/>
        <w:ind w:left="463" w:right="0" w:firstLine="0"/>
        <w:jc w:val="both"/>
        <w:rPr>
          <w:sz w:val="28"/>
        </w:rPr>
      </w:pPr>
      <w:bookmarkStart w:name="Data Limitations" w:id="239"/>
      <w:bookmarkEnd w:id="239"/>
      <w:r>
        <w:rPr/>
      </w:r>
      <w:r>
        <w:rPr>
          <w:color w:val="365F91"/>
          <w:sz w:val="28"/>
        </w:rPr>
        <w:t>Data</w:t>
      </w:r>
      <w:r>
        <w:rPr>
          <w:color w:val="365F91"/>
          <w:spacing w:val="-8"/>
          <w:sz w:val="28"/>
        </w:rPr>
        <w:t> </w:t>
      </w:r>
      <w:r>
        <w:rPr>
          <w:color w:val="365F91"/>
          <w:spacing w:val="-2"/>
          <w:sz w:val="28"/>
        </w:rPr>
        <w:t>Limitations</w:t>
      </w:r>
    </w:p>
    <w:p>
      <w:pPr>
        <w:spacing w:line="276" w:lineRule="auto" w:before="291"/>
        <w:ind w:left="463" w:right="240" w:firstLine="0"/>
        <w:jc w:val="both"/>
        <w:rPr>
          <w:sz w:val="21"/>
        </w:rPr>
      </w:pPr>
      <w:r>
        <w:rPr>
          <w:sz w:val="21"/>
        </w:rPr>
        <w:t>While LGBTQ youth face mental health challenges across the board, there are clear disparities for BIPOC, multiracial, and gender expansive (transgender and non-binary) LGBTQ youth. For instance, in the Trevor Project’s</w:t>
      </w:r>
      <w:r>
        <w:rPr>
          <w:spacing w:val="-8"/>
          <w:sz w:val="21"/>
        </w:rPr>
        <w:t> </w:t>
      </w:r>
      <w:r>
        <w:rPr>
          <w:sz w:val="21"/>
        </w:rPr>
        <w:t>2023</w:t>
      </w:r>
      <w:r>
        <w:rPr>
          <w:spacing w:val="-9"/>
          <w:sz w:val="21"/>
        </w:rPr>
        <w:t> </w:t>
      </w:r>
      <w:r>
        <w:rPr>
          <w:sz w:val="21"/>
        </w:rPr>
        <w:t>National</w:t>
      </w:r>
      <w:r>
        <w:rPr>
          <w:spacing w:val="-8"/>
          <w:sz w:val="21"/>
        </w:rPr>
        <w:t> </w:t>
      </w:r>
      <w:r>
        <w:rPr>
          <w:sz w:val="21"/>
        </w:rPr>
        <w:t>Survey,</w:t>
      </w:r>
      <w:r>
        <w:rPr>
          <w:spacing w:val="-8"/>
          <w:sz w:val="21"/>
        </w:rPr>
        <w:t> </w:t>
      </w:r>
      <w:r>
        <w:rPr>
          <w:sz w:val="21"/>
        </w:rPr>
        <w:t>Indigenous,</w:t>
      </w:r>
      <w:r>
        <w:rPr>
          <w:spacing w:val="-8"/>
          <w:sz w:val="21"/>
        </w:rPr>
        <w:t> </w:t>
      </w:r>
      <w:r>
        <w:rPr>
          <w:sz w:val="21"/>
        </w:rPr>
        <w:t>Middle</w:t>
      </w:r>
      <w:r>
        <w:rPr>
          <w:spacing w:val="-8"/>
          <w:sz w:val="21"/>
        </w:rPr>
        <w:t> </w:t>
      </w:r>
      <w:r>
        <w:rPr>
          <w:sz w:val="21"/>
        </w:rPr>
        <w:t>Eastern/North</w:t>
      </w:r>
      <w:r>
        <w:rPr>
          <w:spacing w:val="-8"/>
          <w:sz w:val="21"/>
        </w:rPr>
        <w:t> </w:t>
      </w:r>
      <w:r>
        <w:rPr>
          <w:sz w:val="21"/>
        </w:rPr>
        <w:t>African</w:t>
      </w:r>
      <w:r>
        <w:rPr>
          <w:spacing w:val="-8"/>
          <w:sz w:val="21"/>
        </w:rPr>
        <w:t> </w:t>
      </w:r>
      <w:r>
        <w:rPr>
          <w:sz w:val="21"/>
        </w:rPr>
        <w:t>(MENA),</w:t>
      </w:r>
      <w:r>
        <w:rPr>
          <w:spacing w:val="-8"/>
          <w:sz w:val="21"/>
        </w:rPr>
        <w:t> </w:t>
      </w:r>
      <w:r>
        <w:rPr>
          <w:sz w:val="21"/>
        </w:rPr>
        <w:t>and</w:t>
      </w:r>
      <w:r>
        <w:rPr>
          <w:spacing w:val="-8"/>
          <w:sz w:val="21"/>
        </w:rPr>
        <w:t> </w:t>
      </w:r>
      <w:r>
        <w:rPr>
          <w:sz w:val="21"/>
        </w:rPr>
        <w:t>multiracial</w:t>
      </w:r>
      <w:r>
        <w:rPr>
          <w:spacing w:val="-10"/>
          <w:sz w:val="21"/>
        </w:rPr>
        <w:t> </w:t>
      </w:r>
      <w:r>
        <w:rPr>
          <w:sz w:val="21"/>
        </w:rPr>
        <w:t>LGBTQ</w:t>
      </w:r>
      <w:r>
        <w:rPr>
          <w:spacing w:val="-8"/>
          <w:sz w:val="21"/>
        </w:rPr>
        <w:t> </w:t>
      </w:r>
      <w:r>
        <w:rPr>
          <w:sz w:val="21"/>
        </w:rPr>
        <w:t>youth were the top three reporters of anxiety, depression, and threats and acts of physical harm. Gender expansive youth</w:t>
      </w:r>
      <w:r>
        <w:rPr>
          <w:spacing w:val="-8"/>
          <w:sz w:val="21"/>
        </w:rPr>
        <w:t> </w:t>
      </w:r>
      <w:r>
        <w:rPr>
          <w:sz w:val="21"/>
        </w:rPr>
        <w:t>across</w:t>
      </w:r>
      <w:r>
        <w:rPr>
          <w:spacing w:val="-8"/>
          <w:sz w:val="21"/>
        </w:rPr>
        <w:t> </w:t>
      </w:r>
      <w:r>
        <w:rPr>
          <w:sz w:val="21"/>
        </w:rPr>
        <w:t>the</w:t>
      </w:r>
      <w:r>
        <w:rPr>
          <w:spacing w:val="-8"/>
          <w:sz w:val="21"/>
        </w:rPr>
        <w:t> </w:t>
      </w:r>
      <w:r>
        <w:rPr>
          <w:sz w:val="21"/>
        </w:rPr>
        <w:t>Commonwealth</w:t>
      </w:r>
      <w:r>
        <w:rPr>
          <w:spacing w:val="-8"/>
          <w:sz w:val="21"/>
        </w:rPr>
        <w:t> </w:t>
      </w:r>
      <w:r>
        <w:rPr>
          <w:sz w:val="21"/>
        </w:rPr>
        <w:t>and</w:t>
      </w:r>
      <w:r>
        <w:rPr>
          <w:spacing w:val="-9"/>
          <w:sz w:val="21"/>
        </w:rPr>
        <w:t> </w:t>
      </w:r>
      <w:r>
        <w:rPr>
          <w:sz w:val="21"/>
        </w:rPr>
        <w:t>the</w:t>
      </w:r>
      <w:r>
        <w:rPr>
          <w:spacing w:val="-9"/>
          <w:sz w:val="21"/>
        </w:rPr>
        <w:t> </w:t>
      </w:r>
      <w:r>
        <w:rPr>
          <w:sz w:val="21"/>
        </w:rPr>
        <w:t>country</w:t>
      </w:r>
      <w:r>
        <w:rPr>
          <w:spacing w:val="-8"/>
          <w:sz w:val="21"/>
        </w:rPr>
        <w:t> </w:t>
      </w:r>
      <w:r>
        <w:rPr>
          <w:sz w:val="21"/>
        </w:rPr>
        <w:t>also</w:t>
      </w:r>
      <w:r>
        <w:rPr>
          <w:spacing w:val="-8"/>
          <w:sz w:val="21"/>
        </w:rPr>
        <w:t> </w:t>
      </w:r>
      <w:r>
        <w:rPr>
          <w:sz w:val="21"/>
        </w:rPr>
        <w:t>reported</w:t>
      </w:r>
      <w:r>
        <w:rPr>
          <w:spacing w:val="-8"/>
          <w:sz w:val="21"/>
        </w:rPr>
        <w:t> </w:t>
      </w:r>
      <w:r>
        <w:rPr>
          <w:sz w:val="21"/>
        </w:rPr>
        <w:t>significantly</w:t>
      </w:r>
      <w:r>
        <w:rPr>
          <w:spacing w:val="-8"/>
          <w:sz w:val="21"/>
        </w:rPr>
        <w:t> </w:t>
      </w:r>
      <w:r>
        <w:rPr>
          <w:sz w:val="21"/>
        </w:rPr>
        <w:t>higher</w:t>
      </w:r>
      <w:r>
        <w:rPr>
          <w:spacing w:val="-8"/>
          <w:sz w:val="21"/>
        </w:rPr>
        <w:t> </w:t>
      </w:r>
      <w:r>
        <w:rPr>
          <w:sz w:val="21"/>
        </w:rPr>
        <w:t>rates</w:t>
      </w:r>
      <w:r>
        <w:rPr>
          <w:spacing w:val="-8"/>
          <w:sz w:val="21"/>
        </w:rPr>
        <w:t> </w:t>
      </w:r>
      <w:r>
        <w:rPr>
          <w:sz w:val="21"/>
        </w:rPr>
        <w:t>of</w:t>
      </w:r>
      <w:r>
        <w:rPr>
          <w:spacing w:val="-8"/>
          <w:sz w:val="21"/>
        </w:rPr>
        <w:t> </w:t>
      </w:r>
      <w:r>
        <w:rPr>
          <w:sz w:val="21"/>
        </w:rPr>
        <w:t>anxiety,</w:t>
      </w:r>
      <w:r>
        <w:rPr>
          <w:spacing w:val="-7"/>
          <w:sz w:val="21"/>
        </w:rPr>
        <w:t> </w:t>
      </w:r>
      <w:r>
        <w:rPr>
          <w:sz w:val="21"/>
        </w:rPr>
        <w:t>depression, and suicidality – for instance, 64% of gender expansive youth. Finally, over half of Indigenous and gender expansive youth reported high levels of trauma symptoms.</w:t>
      </w:r>
    </w:p>
    <w:p>
      <w:pPr>
        <w:spacing w:line="276" w:lineRule="auto" w:before="241"/>
        <w:ind w:left="463" w:right="240" w:firstLine="0"/>
        <w:jc w:val="both"/>
        <w:rPr>
          <w:sz w:val="21"/>
        </w:rPr>
      </w:pPr>
      <w:r>
        <w:rPr>
          <w:sz w:val="21"/>
        </w:rPr>
        <w:t>It is</w:t>
      </w:r>
      <w:r>
        <w:rPr>
          <w:spacing w:val="-1"/>
          <w:sz w:val="21"/>
        </w:rPr>
        <w:t> </w:t>
      </w:r>
      <w:r>
        <w:rPr>
          <w:sz w:val="21"/>
        </w:rPr>
        <w:t>also</w:t>
      </w:r>
      <w:r>
        <w:rPr>
          <w:spacing w:val="-1"/>
          <w:sz w:val="21"/>
        </w:rPr>
        <w:t> </w:t>
      </w:r>
      <w:r>
        <w:rPr>
          <w:sz w:val="21"/>
        </w:rPr>
        <w:t>important</w:t>
      </w:r>
      <w:r>
        <w:rPr>
          <w:spacing w:val="-2"/>
          <w:sz w:val="21"/>
        </w:rPr>
        <w:t> </w:t>
      </w:r>
      <w:r>
        <w:rPr>
          <w:sz w:val="21"/>
        </w:rPr>
        <w:t>to</w:t>
      </w:r>
      <w:r>
        <w:rPr>
          <w:spacing w:val="-1"/>
          <w:sz w:val="21"/>
        </w:rPr>
        <w:t> </w:t>
      </w:r>
      <w:r>
        <w:rPr>
          <w:sz w:val="21"/>
        </w:rPr>
        <w:t>acknowledge</w:t>
      </w:r>
      <w:r>
        <w:rPr>
          <w:spacing w:val="-1"/>
          <w:sz w:val="21"/>
        </w:rPr>
        <w:t> </w:t>
      </w:r>
      <w:r>
        <w:rPr>
          <w:sz w:val="21"/>
        </w:rPr>
        <w:t>that</w:t>
      </w:r>
      <w:r>
        <w:rPr>
          <w:spacing w:val="-1"/>
          <w:sz w:val="21"/>
        </w:rPr>
        <w:t> </w:t>
      </w:r>
      <w:r>
        <w:rPr>
          <w:sz w:val="21"/>
        </w:rPr>
        <w:t>many</w:t>
      </w:r>
      <w:r>
        <w:rPr>
          <w:spacing w:val="-1"/>
          <w:sz w:val="21"/>
        </w:rPr>
        <w:t> </w:t>
      </w:r>
      <w:r>
        <w:rPr>
          <w:sz w:val="21"/>
        </w:rPr>
        <w:t>youth</w:t>
      </w:r>
      <w:r>
        <w:rPr>
          <w:spacing w:val="-1"/>
          <w:sz w:val="21"/>
        </w:rPr>
        <w:t> </w:t>
      </w:r>
      <w:r>
        <w:rPr>
          <w:sz w:val="21"/>
        </w:rPr>
        <w:t>remain</w:t>
      </w:r>
      <w:r>
        <w:rPr>
          <w:spacing w:val="-1"/>
          <w:sz w:val="21"/>
        </w:rPr>
        <w:t> </w:t>
      </w:r>
      <w:r>
        <w:rPr>
          <w:sz w:val="21"/>
        </w:rPr>
        <w:t>invisible</w:t>
      </w:r>
      <w:r>
        <w:rPr>
          <w:spacing w:val="-1"/>
          <w:sz w:val="21"/>
        </w:rPr>
        <w:t> </w:t>
      </w:r>
      <w:r>
        <w:rPr>
          <w:sz w:val="21"/>
        </w:rPr>
        <w:t>in</w:t>
      </w:r>
      <w:r>
        <w:rPr>
          <w:spacing w:val="-1"/>
          <w:sz w:val="21"/>
        </w:rPr>
        <w:t> </w:t>
      </w:r>
      <w:r>
        <w:rPr>
          <w:sz w:val="21"/>
        </w:rPr>
        <w:t>research.</w:t>
      </w:r>
      <w:r>
        <w:rPr>
          <w:spacing w:val="-1"/>
          <w:sz w:val="21"/>
        </w:rPr>
        <w:t> </w:t>
      </w:r>
      <w:r>
        <w:rPr>
          <w:sz w:val="21"/>
        </w:rPr>
        <w:t>No</w:t>
      </w:r>
      <w:r>
        <w:rPr>
          <w:spacing w:val="-1"/>
          <w:sz w:val="21"/>
        </w:rPr>
        <w:t> </w:t>
      </w:r>
      <w:r>
        <w:rPr>
          <w:sz w:val="21"/>
        </w:rPr>
        <w:t>recent national</w:t>
      </w:r>
      <w:r>
        <w:rPr>
          <w:spacing w:val="-1"/>
          <w:sz w:val="21"/>
        </w:rPr>
        <w:t> </w:t>
      </w:r>
      <w:r>
        <w:rPr>
          <w:sz w:val="21"/>
        </w:rPr>
        <w:t>and</w:t>
      </w:r>
      <w:r>
        <w:rPr>
          <w:spacing w:val="-1"/>
          <w:sz w:val="21"/>
        </w:rPr>
        <w:t> </w:t>
      </w:r>
      <w:r>
        <w:rPr>
          <w:sz w:val="21"/>
        </w:rPr>
        <w:t>state- level survey about LGBTQ mental health exists that is disaggregated by intersex status, immigration status, geographical location, disability, or involvement with child welfare or juvenile justice. When data collection is monolithic, it paints over critical needs, leading authorities to assume that entire populations do not need support. Going forward, the Commission urges local and state agencies to collect and discuss disaggregated youth demographics.</w:t>
      </w:r>
    </w:p>
    <w:p>
      <w:pPr>
        <w:spacing w:before="239"/>
        <w:ind w:left="463" w:right="0" w:firstLine="0"/>
        <w:jc w:val="both"/>
        <w:rPr>
          <w:sz w:val="28"/>
        </w:rPr>
      </w:pPr>
      <w:bookmarkStart w:name="The Role of Minority Stress: How Oppress" w:id="240"/>
      <w:bookmarkEnd w:id="240"/>
      <w:r>
        <w:rPr/>
      </w:r>
      <w:r>
        <w:rPr>
          <w:color w:val="365F91"/>
          <w:sz w:val="28"/>
        </w:rPr>
        <w:t>The</w:t>
      </w:r>
      <w:r>
        <w:rPr>
          <w:color w:val="365F91"/>
          <w:spacing w:val="-10"/>
          <w:sz w:val="28"/>
        </w:rPr>
        <w:t> </w:t>
      </w:r>
      <w:r>
        <w:rPr>
          <w:color w:val="365F91"/>
          <w:sz w:val="28"/>
        </w:rPr>
        <w:t>Role</w:t>
      </w:r>
      <w:r>
        <w:rPr>
          <w:color w:val="365F91"/>
          <w:spacing w:val="-9"/>
          <w:sz w:val="28"/>
        </w:rPr>
        <w:t> </w:t>
      </w:r>
      <w:r>
        <w:rPr>
          <w:color w:val="365F91"/>
          <w:sz w:val="28"/>
        </w:rPr>
        <w:t>of</w:t>
      </w:r>
      <w:r>
        <w:rPr>
          <w:color w:val="365F91"/>
          <w:spacing w:val="-9"/>
          <w:sz w:val="28"/>
        </w:rPr>
        <w:t> </w:t>
      </w:r>
      <w:r>
        <w:rPr>
          <w:color w:val="365F91"/>
          <w:sz w:val="28"/>
        </w:rPr>
        <w:t>Minority</w:t>
      </w:r>
      <w:r>
        <w:rPr>
          <w:color w:val="365F91"/>
          <w:spacing w:val="-9"/>
          <w:sz w:val="28"/>
        </w:rPr>
        <w:t> </w:t>
      </w:r>
      <w:r>
        <w:rPr>
          <w:color w:val="365F91"/>
          <w:sz w:val="28"/>
        </w:rPr>
        <w:t>Stress:</w:t>
      </w:r>
      <w:r>
        <w:rPr>
          <w:color w:val="365F91"/>
          <w:spacing w:val="-10"/>
          <w:sz w:val="28"/>
        </w:rPr>
        <w:t> </w:t>
      </w:r>
      <w:r>
        <w:rPr>
          <w:color w:val="365F91"/>
          <w:sz w:val="28"/>
        </w:rPr>
        <w:t>How</w:t>
      </w:r>
      <w:r>
        <w:rPr>
          <w:color w:val="365F91"/>
          <w:spacing w:val="-9"/>
          <w:sz w:val="28"/>
        </w:rPr>
        <w:t> </w:t>
      </w:r>
      <w:r>
        <w:rPr>
          <w:color w:val="365F91"/>
          <w:sz w:val="28"/>
        </w:rPr>
        <w:t>Oppression</w:t>
      </w:r>
      <w:r>
        <w:rPr>
          <w:color w:val="365F91"/>
          <w:spacing w:val="-10"/>
          <w:sz w:val="28"/>
        </w:rPr>
        <w:t> </w:t>
      </w:r>
      <w:r>
        <w:rPr>
          <w:color w:val="365F91"/>
          <w:sz w:val="28"/>
        </w:rPr>
        <w:t>Impacts</w:t>
      </w:r>
      <w:r>
        <w:rPr>
          <w:color w:val="365F91"/>
          <w:spacing w:val="-10"/>
          <w:sz w:val="28"/>
        </w:rPr>
        <w:t> </w:t>
      </w:r>
      <w:r>
        <w:rPr>
          <w:color w:val="365F91"/>
          <w:sz w:val="28"/>
        </w:rPr>
        <w:t>Mental</w:t>
      </w:r>
      <w:r>
        <w:rPr>
          <w:color w:val="365F91"/>
          <w:spacing w:val="-9"/>
          <w:sz w:val="28"/>
        </w:rPr>
        <w:t> </w:t>
      </w:r>
      <w:r>
        <w:rPr>
          <w:color w:val="365F91"/>
          <w:spacing w:val="-2"/>
          <w:sz w:val="28"/>
        </w:rPr>
        <w:t>Health</w:t>
      </w:r>
    </w:p>
    <w:p>
      <w:pPr>
        <w:spacing w:before="291"/>
        <w:ind w:left="463" w:right="0" w:firstLine="0"/>
        <w:jc w:val="both"/>
        <w:rPr>
          <w:i/>
          <w:sz w:val="21"/>
        </w:rPr>
      </w:pPr>
      <w:r>
        <w:rPr>
          <w:i/>
          <w:sz w:val="21"/>
        </w:rPr>
        <w:t>Why</w:t>
      </w:r>
      <w:r>
        <w:rPr>
          <w:i/>
          <w:spacing w:val="-5"/>
          <w:sz w:val="21"/>
        </w:rPr>
        <w:t> </w:t>
      </w:r>
      <w:r>
        <w:rPr>
          <w:i/>
          <w:sz w:val="21"/>
        </w:rPr>
        <w:t>are</w:t>
      </w:r>
      <w:r>
        <w:rPr>
          <w:i/>
          <w:spacing w:val="-1"/>
          <w:sz w:val="21"/>
        </w:rPr>
        <w:t> </w:t>
      </w:r>
      <w:r>
        <w:rPr>
          <w:i/>
          <w:sz w:val="21"/>
        </w:rPr>
        <w:t>mental</w:t>
      </w:r>
      <w:r>
        <w:rPr>
          <w:i/>
          <w:spacing w:val="-2"/>
          <w:sz w:val="21"/>
        </w:rPr>
        <w:t> </w:t>
      </w:r>
      <w:r>
        <w:rPr>
          <w:i/>
          <w:sz w:val="21"/>
        </w:rPr>
        <w:t>health</w:t>
      </w:r>
      <w:r>
        <w:rPr>
          <w:i/>
          <w:spacing w:val="-4"/>
          <w:sz w:val="21"/>
        </w:rPr>
        <w:t> </w:t>
      </w:r>
      <w:r>
        <w:rPr>
          <w:i/>
          <w:sz w:val="21"/>
        </w:rPr>
        <w:t>concerns</w:t>
      </w:r>
      <w:r>
        <w:rPr>
          <w:i/>
          <w:spacing w:val="-2"/>
          <w:sz w:val="21"/>
        </w:rPr>
        <w:t> </w:t>
      </w:r>
      <w:r>
        <w:rPr>
          <w:i/>
          <w:sz w:val="21"/>
        </w:rPr>
        <w:t>so</w:t>
      </w:r>
      <w:r>
        <w:rPr>
          <w:i/>
          <w:spacing w:val="-2"/>
          <w:sz w:val="21"/>
        </w:rPr>
        <w:t> </w:t>
      </w:r>
      <w:r>
        <w:rPr>
          <w:i/>
          <w:sz w:val="21"/>
        </w:rPr>
        <w:t>widespread</w:t>
      </w:r>
      <w:r>
        <w:rPr>
          <w:i/>
          <w:spacing w:val="-2"/>
          <w:sz w:val="21"/>
        </w:rPr>
        <w:t> </w:t>
      </w:r>
      <w:r>
        <w:rPr>
          <w:i/>
          <w:sz w:val="21"/>
        </w:rPr>
        <w:t>among</w:t>
      </w:r>
      <w:r>
        <w:rPr>
          <w:i/>
          <w:spacing w:val="-4"/>
          <w:sz w:val="21"/>
        </w:rPr>
        <w:t> </w:t>
      </w:r>
      <w:r>
        <w:rPr>
          <w:i/>
          <w:sz w:val="21"/>
        </w:rPr>
        <w:t>LGBTQ</w:t>
      </w:r>
      <w:r>
        <w:rPr>
          <w:i/>
          <w:spacing w:val="-2"/>
          <w:sz w:val="21"/>
        </w:rPr>
        <w:t> </w:t>
      </w:r>
      <w:r>
        <w:rPr>
          <w:i/>
          <w:sz w:val="21"/>
        </w:rPr>
        <w:t>youth,</w:t>
      </w:r>
      <w:r>
        <w:rPr>
          <w:i/>
          <w:spacing w:val="-3"/>
          <w:sz w:val="21"/>
        </w:rPr>
        <w:t> </w:t>
      </w:r>
      <w:r>
        <w:rPr>
          <w:i/>
          <w:sz w:val="21"/>
        </w:rPr>
        <w:t>and</w:t>
      </w:r>
      <w:r>
        <w:rPr>
          <w:i/>
          <w:spacing w:val="-3"/>
          <w:sz w:val="21"/>
        </w:rPr>
        <w:t> </w:t>
      </w:r>
      <w:r>
        <w:rPr>
          <w:i/>
          <w:sz w:val="21"/>
        </w:rPr>
        <w:t>how</w:t>
      </w:r>
      <w:r>
        <w:rPr>
          <w:i/>
          <w:spacing w:val="-2"/>
          <w:sz w:val="21"/>
        </w:rPr>
        <w:t> </w:t>
      </w:r>
      <w:r>
        <w:rPr>
          <w:i/>
          <w:sz w:val="21"/>
        </w:rPr>
        <w:t>can</w:t>
      </w:r>
      <w:r>
        <w:rPr>
          <w:i/>
          <w:spacing w:val="-4"/>
          <w:sz w:val="21"/>
        </w:rPr>
        <w:t> </w:t>
      </w:r>
      <w:r>
        <w:rPr>
          <w:i/>
          <w:sz w:val="21"/>
        </w:rPr>
        <w:t>allies</w:t>
      </w:r>
      <w:r>
        <w:rPr>
          <w:i/>
          <w:spacing w:val="-2"/>
          <w:sz w:val="21"/>
        </w:rPr>
        <w:t> </w:t>
      </w:r>
      <w:r>
        <w:rPr>
          <w:i/>
          <w:sz w:val="21"/>
        </w:rPr>
        <w:t>support</w:t>
      </w:r>
      <w:r>
        <w:rPr>
          <w:i/>
          <w:spacing w:val="-3"/>
          <w:sz w:val="21"/>
        </w:rPr>
        <w:t> </w:t>
      </w:r>
      <w:r>
        <w:rPr>
          <w:i/>
          <w:spacing w:val="-2"/>
          <w:sz w:val="21"/>
        </w:rPr>
        <w:t>them?</w:t>
      </w:r>
    </w:p>
    <w:p>
      <w:pPr>
        <w:spacing w:line="276" w:lineRule="auto" w:before="254"/>
        <w:ind w:left="463" w:right="240" w:firstLine="0"/>
        <w:jc w:val="both"/>
        <w:rPr>
          <w:sz w:val="21"/>
        </w:rPr>
      </w:pPr>
      <w:r>
        <w:rPr>
          <w:sz w:val="21"/>
        </w:rPr>
        <w:t>To</w:t>
      </w:r>
      <w:r>
        <w:rPr>
          <w:spacing w:val="-5"/>
          <w:sz w:val="21"/>
        </w:rPr>
        <w:t> </w:t>
      </w:r>
      <w:r>
        <w:rPr>
          <w:sz w:val="21"/>
        </w:rPr>
        <w:t>understand</w:t>
      </w:r>
      <w:r>
        <w:rPr>
          <w:spacing w:val="-4"/>
          <w:sz w:val="21"/>
        </w:rPr>
        <w:t> </w:t>
      </w:r>
      <w:r>
        <w:rPr>
          <w:sz w:val="21"/>
        </w:rPr>
        <w:t>LGBTQ</w:t>
      </w:r>
      <w:r>
        <w:rPr>
          <w:spacing w:val="-4"/>
          <w:sz w:val="21"/>
        </w:rPr>
        <w:t> </w:t>
      </w:r>
      <w:r>
        <w:rPr>
          <w:sz w:val="21"/>
        </w:rPr>
        <w:t>youth’s</w:t>
      </w:r>
      <w:r>
        <w:rPr>
          <w:spacing w:val="-5"/>
          <w:sz w:val="21"/>
        </w:rPr>
        <w:t> </w:t>
      </w:r>
      <w:r>
        <w:rPr>
          <w:sz w:val="21"/>
        </w:rPr>
        <w:t>inner</w:t>
      </w:r>
      <w:r>
        <w:rPr>
          <w:spacing w:val="-4"/>
          <w:sz w:val="21"/>
        </w:rPr>
        <w:t> </w:t>
      </w:r>
      <w:r>
        <w:rPr>
          <w:sz w:val="21"/>
        </w:rPr>
        <w:t>worlds,</w:t>
      </w:r>
      <w:r>
        <w:rPr>
          <w:spacing w:val="-4"/>
          <w:sz w:val="21"/>
        </w:rPr>
        <w:t> </w:t>
      </w:r>
      <w:r>
        <w:rPr>
          <w:sz w:val="21"/>
        </w:rPr>
        <w:t>decision-makers</w:t>
      </w:r>
      <w:r>
        <w:rPr>
          <w:spacing w:val="-5"/>
          <w:sz w:val="21"/>
        </w:rPr>
        <w:t> </w:t>
      </w:r>
      <w:r>
        <w:rPr>
          <w:sz w:val="21"/>
        </w:rPr>
        <w:t>should</w:t>
      </w:r>
      <w:r>
        <w:rPr>
          <w:spacing w:val="-4"/>
          <w:sz w:val="21"/>
        </w:rPr>
        <w:t> </w:t>
      </w:r>
      <w:r>
        <w:rPr>
          <w:sz w:val="21"/>
        </w:rPr>
        <w:t>first</w:t>
      </w:r>
      <w:r>
        <w:rPr>
          <w:spacing w:val="-4"/>
          <w:sz w:val="21"/>
        </w:rPr>
        <w:t> </w:t>
      </w:r>
      <w:r>
        <w:rPr>
          <w:sz w:val="21"/>
        </w:rPr>
        <w:t>look</w:t>
      </w:r>
      <w:r>
        <w:rPr>
          <w:spacing w:val="-4"/>
          <w:sz w:val="21"/>
        </w:rPr>
        <w:t> </w:t>
      </w:r>
      <w:r>
        <w:rPr>
          <w:sz w:val="21"/>
        </w:rPr>
        <w:t>at</w:t>
      </w:r>
      <w:r>
        <w:rPr>
          <w:spacing w:val="-4"/>
          <w:sz w:val="21"/>
        </w:rPr>
        <w:t> </w:t>
      </w:r>
      <w:r>
        <w:rPr>
          <w:sz w:val="21"/>
        </w:rPr>
        <w:t>the</w:t>
      </w:r>
      <w:r>
        <w:rPr>
          <w:spacing w:val="-4"/>
          <w:sz w:val="21"/>
        </w:rPr>
        <w:t> </w:t>
      </w:r>
      <w:r>
        <w:rPr>
          <w:sz w:val="21"/>
        </w:rPr>
        <w:t>world</w:t>
      </w:r>
      <w:r>
        <w:rPr>
          <w:spacing w:val="-4"/>
          <w:sz w:val="21"/>
        </w:rPr>
        <w:t> </w:t>
      </w:r>
      <w:r>
        <w:rPr>
          <w:sz w:val="21"/>
        </w:rPr>
        <w:t>in</w:t>
      </w:r>
      <w:r>
        <w:rPr>
          <w:spacing w:val="-4"/>
          <w:sz w:val="21"/>
        </w:rPr>
        <w:t> </w:t>
      </w:r>
      <w:r>
        <w:rPr>
          <w:sz w:val="21"/>
        </w:rPr>
        <w:t>which</w:t>
      </w:r>
      <w:r>
        <w:rPr>
          <w:spacing w:val="-4"/>
          <w:sz w:val="21"/>
        </w:rPr>
        <w:t> </w:t>
      </w:r>
      <w:r>
        <w:rPr>
          <w:sz w:val="21"/>
        </w:rPr>
        <w:t>they</w:t>
      </w:r>
      <w:r>
        <w:rPr>
          <w:spacing w:val="-5"/>
          <w:sz w:val="21"/>
        </w:rPr>
        <w:t> </w:t>
      </w:r>
      <w:r>
        <w:rPr>
          <w:sz w:val="21"/>
        </w:rPr>
        <w:t>live.</w:t>
      </w:r>
      <w:r>
        <w:rPr>
          <w:spacing w:val="-5"/>
          <w:sz w:val="21"/>
        </w:rPr>
        <w:t> </w:t>
      </w:r>
      <w:r>
        <w:rPr>
          <w:sz w:val="21"/>
        </w:rPr>
        <w:t>To begin,</w:t>
      </w:r>
      <w:r>
        <w:rPr>
          <w:spacing w:val="-1"/>
          <w:sz w:val="21"/>
        </w:rPr>
        <w:t> </w:t>
      </w:r>
      <w:r>
        <w:rPr>
          <w:sz w:val="21"/>
        </w:rPr>
        <w:t>2023</w:t>
      </w:r>
      <w:r>
        <w:rPr>
          <w:spacing w:val="-3"/>
          <w:sz w:val="21"/>
        </w:rPr>
        <w:t> </w:t>
      </w:r>
      <w:r>
        <w:rPr>
          <w:sz w:val="21"/>
        </w:rPr>
        <w:t>saw</w:t>
      </w:r>
      <w:r>
        <w:rPr>
          <w:spacing w:val="-2"/>
          <w:sz w:val="21"/>
        </w:rPr>
        <w:t> </w:t>
      </w:r>
      <w:r>
        <w:rPr>
          <w:sz w:val="21"/>
        </w:rPr>
        <w:t>510</w:t>
      </w:r>
      <w:r>
        <w:rPr>
          <w:spacing w:val="-3"/>
          <w:sz w:val="21"/>
        </w:rPr>
        <w:t> </w:t>
      </w:r>
      <w:r>
        <w:rPr>
          <w:sz w:val="21"/>
        </w:rPr>
        <w:t>anti-LGBTQ</w:t>
      </w:r>
      <w:r>
        <w:rPr>
          <w:spacing w:val="-2"/>
          <w:sz w:val="21"/>
        </w:rPr>
        <w:t> </w:t>
      </w:r>
      <w:r>
        <w:rPr>
          <w:sz w:val="21"/>
        </w:rPr>
        <w:t>bills</w:t>
      </w:r>
      <w:r>
        <w:rPr>
          <w:spacing w:val="-2"/>
          <w:sz w:val="21"/>
        </w:rPr>
        <w:t> </w:t>
      </w:r>
      <w:r>
        <w:rPr>
          <w:sz w:val="21"/>
        </w:rPr>
        <w:t>filed</w:t>
      </w:r>
      <w:r>
        <w:rPr>
          <w:spacing w:val="-2"/>
          <w:sz w:val="21"/>
        </w:rPr>
        <w:t> </w:t>
      </w:r>
      <w:r>
        <w:rPr>
          <w:sz w:val="21"/>
        </w:rPr>
        <w:t>across</w:t>
      </w:r>
      <w:r>
        <w:rPr>
          <w:spacing w:val="-2"/>
          <w:sz w:val="21"/>
        </w:rPr>
        <w:t> </w:t>
      </w:r>
      <w:r>
        <w:rPr>
          <w:sz w:val="21"/>
        </w:rPr>
        <w:t>the</w:t>
      </w:r>
      <w:r>
        <w:rPr>
          <w:spacing w:val="-2"/>
          <w:sz w:val="21"/>
        </w:rPr>
        <w:t> </w:t>
      </w:r>
      <w:r>
        <w:rPr>
          <w:sz w:val="21"/>
        </w:rPr>
        <w:t>US,</w:t>
      </w:r>
      <w:r>
        <w:rPr>
          <w:spacing w:val="-2"/>
          <w:sz w:val="21"/>
        </w:rPr>
        <w:t> </w:t>
      </w:r>
      <w:r>
        <w:rPr>
          <w:sz w:val="21"/>
        </w:rPr>
        <w:t>with</w:t>
      </w:r>
      <w:r>
        <w:rPr>
          <w:spacing w:val="-2"/>
          <w:sz w:val="21"/>
        </w:rPr>
        <w:t> </w:t>
      </w:r>
      <w:r>
        <w:rPr>
          <w:sz w:val="21"/>
        </w:rPr>
        <w:t>the</w:t>
      </w:r>
      <w:r>
        <w:rPr>
          <w:spacing w:val="-3"/>
          <w:sz w:val="21"/>
        </w:rPr>
        <w:t> </w:t>
      </w:r>
      <w:r>
        <w:rPr>
          <w:sz w:val="21"/>
        </w:rPr>
        <w:t>majority</w:t>
      </w:r>
      <w:r>
        <w:rPr>
          <w:spacing w:val="-2"/>
          <w:sz w:val="21"/>
        </w:rPr>
        <w:t> </w:t>
      </w:r>
      <w:r>
        <w:rPr>
          <w:sz w:val="21"/>
        </w:rPr>
        <w:t>targeting</w:t>
      </w:r>
      <w:r>
        <w:rPr>
          <w:spacing w:val="-2"/>
          <w:sz w:val="21"/>
        </w:rPr>
        <w:t> </w:t>
      </w:r>
      <w:r>
        <w:rPr>
          <w:sz w:val="21"/>
        </w:rPr>
        <w:t>gender</w:t>
      </w:r>
      <w:r>
        <w:rPr>
          <w:spacing w:val="-2"/>
          <w:sz w:val="21"/>
        </w:rPr>
        <w:t> </w:t>
      </w:r>
      <w:r>
        <w:rPr>
          <w:sz w:val="21"/>
        </w:rPr>
        <w:t>expansive</w:t>
      </w:r>
      <w:r>
        <w:rPr>
          <w:spacing w:val="-2"/>
          <w:sz w:val="21"/>
        </w:rPr>
        <w:t> </w:t>
      </w:r>
      <w:r>
        <w:rPr>
          <w:sz w:val="21"/>
        </w:rPr>
        <w:t>people</w:t>
      </w:r>
      <w:hyperlink w:history="true" w:anchor="_bookmark110">
        <w:r>
          <w:rPr>
            <w:sz w:val="21"/>
          </w:rPr>
          <w:t>.</w:t>
        </w:r>
        <w:r>
          <w:rPr>
            <w:sz w:val="21"/>
            <w:vertAlign w:val="superscript"/>
          </w:rPr>
          <w:t>7</w:t>
        </w:r>
      </w:hyperlink>
      <w:r>
        <w:rPr>
          <w:sz w:val="21"/>
          <w:vertAlign w:val="baseline"/>
        </w:rPr>
        <w:t> This is only the latest escalation in a mounting barrage of anti-LGBTQ political and social rhetoric over the last decade</w:t>
      </w:r>
      <w:r>
        <w:rPr>
          <w:spacing w:val="-12"/>
          <w:sz w:val="21"/>
          <w:vertAlign w:val="baseline"/>
        </w:rPr>
        <w:t> </w:t>
      </w:r>
      <w:r>
        <w:rPr>
          <w:sz w:val="21"/>
          <w:vertAlign w:val="baseline"/>
        </w:rPr>
        <w:t>–</w:t>
      </w:r>
      <w:r>
        <w:rPr>
          <w:spacing w:val="-12"/>
          <w:sz w:val="21"/>
          <w:vertAlign w:val="baseline"/>
        </w:rPr>
        <w:t> </w:t>
      </w:r>
      <w:r>
        <w:rPr>
          <w:sz w:val="21"/>
          <w:vertAlign w:val="baseline"/>
        </w:rPr>
        <w:t>and</w:t>
      </w:r>
      <w:r>
        <w:rPr>
          <w:spacing w:val="-12"/>
          <w:sz w:val="21"/>
          <w:vertAlign w:val="baseline"/>
        </w:rPr>
        <w:t> </w:t>
      </w:r>
      <w:r>
        <w:rPr>
          <w:sz w:val="21"/>
          <w:vertAlign w:val="baseline"/>
        </w:rPr>
        <w:t>it</w:t>
      </w:r>
      <w:r>
        <w:rPr>
          <w:spacing w:val="-12"/>
          <w:sz w:val="21"/>
          <w:vertAlign w:val="baseline"/>
        </w:rPr>
        <w:t> </w:t>
      </w:r>
      <w:r>
        <w:rPr>
          <w:sz w:val="21"/>
          <w:vertAlign w:val="baseline"/>
        </w:rPr>
        <w:t>takes</w:t>
      </w:r>
      <w:r>
        <w:rPr>
          <w:spacing w:val="-12"/>
          <w:sz w:val="21"/>
          <w:vertAlign w:val="baseline"/>
        </w:rPr>
        <w:t> </w:t>
      </w:r>
      <w:r>
        <w:rPr>
          <w:sz w:val="21"/>
          <w:vertAlign w:val="baseline"/>
        </w:rPr>
        <w:t>a</w:t>
      </w:r>
      <w:r>
        <w:rPr>
          <w:spacing w:val="-12"/>
          <w:sz w:val="21"/>
          <w:vertAlign w:val="baseline"/>
        </w:rPr>
        <w:t> </w:t>
      </w:r>
      <w:r>
        <w:rPr>
          <w:sz w:val="21"/>
          <w:vertAlign w:val="baseline"/>
        </w:rPr>
        <w:t>toll.</w:t>
      </w:r>
      <w:r>
        <w:rPr>
          <w:spacing w:val="-12"/>
          <w:sz w:val="21"/>
          <w:vertAlign w:val="baseline"/>
        </w:rPr>
        <w:t> </w:t>
      </w:r>
      <w:r>
        <w:rPr>
          <w:sz w:val="21"/>
          <w:vertAlign w:val="baseline"/>
        </w:rPr>
        <w:t>Even</w:t>
      </w:r>
      <w:r>
        <w:rPr>
          <w:spacing w:val="-11"/>
          <w:sz w:val="21"/>
          <w:vertAlign w:val="baseline"/>
        </w:rPr>
        <w:t> </w:t>
      </w:r>
      <w:r>
        <w:rPr>
          <w:sz w:val="21"/>
          <w:vertAlign w:val="baseline"/>
        </w:rPr>
        <w:t>though</w:t>
      </w:r>
      <w:r>
        <w:rPr>
          <w:spacing w:val="-12"/>
          <w:sz w:val="21"/>
          <w:vertAlign w:val="baseline"/>
        </w:rPr>
        <w:t> </w:t>
      </w:r>
      <w:r>
        <w:rPr>
          <w:sz w:val="21"/>
          <w:vertAlign w:val="baseline"/>
        </w:rPr>
        <w:t>Massachusetts</w:t>
      </w:r>
      <w:r>
        <w:rPr>
          <w:spacing w:val="-12"/>
          <w:sz w:val="21"/>
          <w:vertAlign w:val="baseline"/>
        </w:rPr>
        <w:t> </w:t>
      </w:r>
      <w:r>
        <w:rPr>
          <w:sz w:val="21"/>
          <w:vertAlign w:val="baseline"/>
        </w:rPr>
        <w:t>is</w:t>
      </w:r>
      <w:r>
        <w:rPr>
          <w:spacing w:val="-12"/>
          <w:sz w:val="21"/>
          <w:vertAlign w:val="baseline"/>
        </w:rPr>
        <w:t> </w:t>
      </w:r>
      <w:r>
        <w:rPr>
          <w:sz w:val="21"/>
          <w:vertAlign w:val="baseline"/>
        </w:rPr>
        <w:t>considered</w:t>
      </w:r>
      <w:r>
        <w:rPr>
          <w:spacing w:val="-12"/>
          <w:sz w:val="21"/>
          <w:vertAlign w:val="baseline"/>
        </w:rPr>
        <w:t> </w:t>
      </w:r>
      <w:r>
        <w:rPr>
          <w:sz w:val="21"/>
          <w:vertAlign w:val="baseline"/>
        </w:rPr>
        <w:t>a</w:t>
      </w:r>
      <w:r>
        <w:rPr>
          <w:spacing w:val="-12"/>
          <w:sz w:val="21"/>
          <w:vertAlign w:val="baseline"/>
        </w:rPr>
        <w:t> </w:t>
      </w:r>
      <w:r>
        <w:rPr>
          <w:sz w:val="21"/>
          <w:vertAlign w:val="baseline"/>
        </w:rPr>
        <w:t>safe</w:t>
      </w:r>
      <w:r>
        <w:rPr>
          <w:spacing w:val="-12"/>
          <w:sz w:val="21"/>
          <w:vertAlign w:val="baseline"/>
        </w:rPr>
        <w:t> </w:t>
      </w:r>
      <w:r>
        <w:rPr>
          <w:sz w:val="21"/>
          <w:vertAlign w:val="baseline"/>
        </w:rPr>
        <w:t>haven</w:t>
      </w:r>
      <w:r>
        <w:rPr>
          <w:spacing w:val="-12"/>
          <w:sz w:val="21"/>
          <w:vertAlign w:val="baseline"/>
        </w:rPr>
        <w:t> </w:t>
      </w:r>
      <w:r>
        <w:rPr>
          <w:sz w:val="21"/>
          <w:vertAlign w:val="baseline"/>
        </w:rPr>
        <w:t>for</w:t>
      </w:r>
      <w:r>
        <w:rPr>
          <w:spacing w:val="-11"/>
          <w:sz w:val="21"/>
          <w:vertAlign w:val="baseline"/>
        </w:rPr>
        <w:t> </w:t>
      </w:r>
      <w:r>
        <w:rPr>
          <w:sz w:val="21"/>
          <w:vertAlign w:val="baseline"/>
        </w:rPr>
        <w:t>LGBTQ</w:t>
      </w:r>
      <w:r>
        <w:rPr>
          <w:spacing w:val="-12"/>
          <w:sz w:val="21"/>
          <w:vertAlign w:val="baseline"/>
        </w:rPr>
        <w:t> </w:t>
      </w:r>
      <w:r>
        <w:rPr>
          <w:sz w:val="21"/>
          <w:vertAlign w:val="baseline"/>
        </w:rPr>
        <w:t>policy,</w:t>
      </w:r>
      <w:r>
        <w:rPr>
          <w:spacing w:val="-12"/>
          <w:sz w:val="21"/>
          <w:vertAlign w:val="baseline"/>
        </w:rPr>
        <w:t> </w:t>
      </w:r>
      <w:r>
        <w:rPr>
          <w:sz w:val="21"/>
          <w:vertAlign w:val="baseline"/>
        </w:rPr>
        <w:t>the</w:t>
      </w:r>
      <w:r>
        <w:rPr>
          <w:spacing w:val="-12"/>
          <w:sz w:val="21"/>
          <w:vertAlign w:val="baseline"/>
        </w:rPr>
        <w:t> </w:t>
      </w:r>
      <w:r>
        <w:rPr>
          <w:sz w:val="21"/>
          <w:vertAlign w:val="baseline"/>
        </w:rPr>
        <w:t>majority of LGBTQ youth in the Commonwealth reported to the Trevor Project that recent politics had negatively impacted</w:t>
      </w:r>
      <w:r>
        <w:rPr>
          <w:spacing w:val="-2"/>
          <w:sz w:val="21"/>
          <w:vertAlign w:val="baseline"/>
        </w:rPr>
        <w:t> </w:t>
      </w:r>
      <w:r>
        <w:rPr>
          <w:sz w:val="21"/>
          <w:vertAlign w:val="baseline"/>
        </w:rPr>
        <w:t>their</w:t>
      </w:r>
      <w:r>
        <w:rPr>
          <w:spacing w:val="-2"/>
          <w:sz w:val="21"/>
          <w:vertAlign w:val="baseline"/>
        </w:rPr>
        <w:t> </w:t>
      </w:r>
      <w:r>
        <w:rPr>
          <w:sz w:val="21"/>
          <w:vertAlign w:val="baseline"/>
        </w:rPr>
        <w:t>well-being</w:t>
      </w:r>
      <w:r>
        <w:rPr>
          <w:spacing w:val="-2"/>
          <w:sz w:val="21"/>
          <w:vertAlign w:val="baseline"/>
        </w:rPr>
        <w:t> </w:t>
      </w:r>
      <w:r>
        <w:rPr>
          <w:sz w:val="21"/>
          <w:vertAlign w:val="baseline"/>
        </w:rPr>
        <w:t>sometimes</w:t>
      </w:r>
      <w:r>
        <w:rPr>
          <w:spacing w:val="-2"/>
          <w:sz w:val="21"/>
          <w:vertAlign w:val="baseline"/>
        </w:rPr>
        <w:t> </w:t>
      </w:r>
      <w:r>
        <w:rPr>
          <w:sz w:val="21"/>
          <w:vertAlign w:val="baseline"/>
        </w:rPr>
        <w:t>(49%)</w:t>
      </w:r>
      <w:r>
        <w:rPr>
          <w:spacing w:val="-2"/>
          <w:sz w:val="21"/>
          <w:vertAlign w:val="baseline"/>
        </w:rPr>
        <w:t> </w:t>
      </w:r>
      <w:r>
        <w:rPr>
          <w:sz w:val="21"/>
          <w:vertAlign w:val="baseline"/>
        </w:rPr>
        <w:t>or</w:t>
      </w:r>
      <w:r>
        <w:rPr>
          <w:spacing w:val="-2"/>
          <w:sz w:val="21"/>
          <w:vertAlign w:val="baseline"/>
        </w:rPr>
        <w:t> </w:t>
      </w:r>
      <w:r>
        <w:rPr>
          <w:sz w:val="21"/>
          <w:vertAlign w:val="baseline"/>
        </w:rPr>
        <w:t>a</w:t>
      </w:r>
      <w:r>
        <w:rPr>
          <w:spacing w:val="-2"/>
          <w:sz w:val="21"/>
          <w:vertAlign w:val="baseline"/>
        </w:rPr>
        <w:t> </w:t>
      </w:r>
      <w:r>
        <w:rPr>
          <w:sz w:val="21"/>
          <w:vertAlign w:val="baseline"/>
        </w:rPr>
        <w:t>lot</w:t>
      </w:r>
      <w:r>
        <w:rPr>
          <w:spacing w:val="-2"/>
          <w:sz w:val="21"/>
          <w:vertAlign w:val="baseline"/>
        </w:rPr>
        <w:t> </w:t>
      </w:r>
      <w:r>
        <w:rPr>
          <w:sz w:val="21"/>
          <w:vertAlign w:val="baseline"/>
        </w:rPr>
        <w:t>(41%).</w:t>
      </w:r>
      <w:r>
        <w:rPr>
          <w:spacing w:val="-2"/>
          <w:sz w:val="21"/>
          <w:vertAlign w:val="baseline"/>
        </w:rPr>
        <w:t> </w:t>
      </w:r>
      <w:r>
        <w:rPr>
          <w:sz w:val="21"/>
          <w:vertAlign w:val="baseline"/>
        </w:rPr>
        <w:t>Across</w:t>
      </w:r>
      <w:r>
        <w:rPr>
          <w:spacing w:val="-3"/>
          <w:sz w:val="21"/>
          <w:vertAlign w:val="baseline"/>
        </w:rPr>
        <w:t> </w:t>
      </w:r>
      <w:r>
        <w:rPr>
          <w:sz w:val="21"/>
          <w:vertAlign w:val="baseline"/>
        </w:rPr>
        <w:t>the</w:t>
      </w:r>
      <w:r>
        <w:rPr>
          <w:spacing w:val="-2"/>
          <w:sz w:val="21"/>
          <w:vertAlign w:val="baseline"/>
        </w:rPr>
        <w:t> </w:t>
      </w:r>
      <w:r>
        <w:rPr>
          <w:sz w:val="21"/>
          <w:vertAlign w:val="baseline"/>
        </w:rPr>
        <w:t>US,</w:t>
      </w:r>
      <w:r>
        <w:rPr>
          <w:spacing w:val="-2"/>
          <w:sz w:val="21"/>
          <w:vertAlign w:val="baseline"/>
        </w:rPr>
        <w:t> </w:t>
      </w:r>
      <w:r>
        <w:rPr>
          <w:sz w:val="21"/>
          <w:vertAlign w:val="baseline"/>
        </w:rPr>
        <w:t>the</w:t>
      </w:r>
      <w:r>
        <w:rPr>
          <w:spacing w:val="-2"/>
          <w:sz w:val="21"/>
          <w:vertAlign w:val="baseline"/>
        </w:rPr>
        <w:t> </w:t>
      </w:r>
      <w:r>
        <w:rPr>
          <w:sz w:val="21"/>
          <w:vertAlign w:val="baseline"/>
        </w:rPr>
        <w:t>overwhelming</w:t>
      </w:r>
      <w:r>
        <w:rPr>
          <w:spacing w:val="-2"/>
          <w:sz w:val="21"/>
          <w:vertAlign w:val="baseline"/>
        </w:rPr>
        <w:t> </w:t>
      </w:r>
      <w:r>
        <w:rPr>
          <w:sz w:val="21"/>
          <w:vertAlign w:val="baseline"/>
        </w:rPr>
        <w:t>majority</w:t>
      </w:r>
      <w:r>
        <w:rPr>
          <w:spacing w:val="-2"/>
          <w:sz w:val="21"/>
          <w:vertAlign w:val="baseline"/>
        </w:rPr>
        <w:t> </w:t>
      </w:r>
      <w:r>
        <w:rPr>
          <w:sz w:val="21"/>
          <w:vertAlign w:val="baseline"/>
        </w:rPr>
        <w:t>of</w:t>
      </w:r>
      <w:r>
        <w:rPr>
          <w:spacing w:val="-2"/>
          <w:sz w:val="21"/>
          <w:vertAlign w:val="baseline"/>
        </w:rPr>
        <w:t> </w:t>
      </w:r>
      <w:r>
        <w:rPr>
          <w:sz w:val="21"/>
          <w:vertAlign w:val="baseline"/>
        </w:rPr>
        <w:t>gender expansive youth have worried about local or state laws denying transgender people’s access to medical care (93%), bathrooms (91%), and sports (83%)</w:t>
      </w:r>
      <w:hyperlink w:history="true" w:anchor="_bookmark111">
        <w:r>
          <w:rPr>
            <w:sz w:val="21"/>
            <w:vertAlign w:val="baseline"/>
          </w:rPr>
          <w:t>.</w:t>
        </w:r>
        <w:r>
          <w:rPr>
            <w:sz w:val="21"/>
            <w:vertAlign w:val="superscript"/>
          </w:rPr>
          <w:t>8</w:t>
        </w:r>
      </w:hyperlink>
    </w:p>
    <w:p>
      <w:pPr>
        <w:pStyle w:val="BodyText"/>
        <w:rPr>
          <w:sz w:val="20"/>
        </w:rPr>
      </w:pPr>
    </w:p>
    <w:p>
      <w:pPr>
        <w:pStyle w:val="BodyText"/>
        <w:spacing w:before="17"/>
        <w:rPr>
          <w:sz w:val="20"/>
        </w:rPr>
      </w:pPr>
      <w:r>
        <w:rPr/>
        <w:drawing>
          <wp:anchor distT="0" distB="0" distL="0" distR="0" allowOverlap="1" layoutInCell="1" locked="0" behindDoc="1" simplePos="0" relativeHeight="487618560">
            <wp:simplePos x="0" y="0"/>
            <wp:positionH relativeFrom="page">
              <wp:posOffset>914400</wp:posOffset>
            </wp:positionH>
            <wp:positionV relativeFrom="paragraph">
              <wp:posOffset>181106</wp:posOffset>
            </wp:positionV>
            <wp:extent cx="5849651" cy="548639"/>
            <wp:effectExtent l="0" t="0" r="0" b="0"/>
            <wp:wrapTopAndBottom/>
            <wp:docPr id="227" name="Image 227"/>
            <wp:cNvGraphicFramePr>
              <a:graphicFrameLocks/>
            </wp:cNvGraphicFramePr>
            <a:graphic>
              <a:graphicData uri="http://schemas.openxmlformats.org/drawingml/2006/picture">
                <pic:pic>
                  <pic:nvPicPr>
                    <pic:cNvPr id="227" name="Image 227"/>
                    <pic:cNvPicPr/>
                  </pic:nvPicPr>
                  <pic:blipFill>
                    <a:blip r:embed="rId176" cstate="print"/>
                    <a:stretch>
                      <a:fillRect/>
                    </a:stretch>
                  </pic:blipFill>
                  <pic:spPr>
                    <a:xfrm>
                      <a:off x="0" y="0"/>
                      <a:ext cx="5849651" cy="548639"/>
                    </a:xfrm>
                    <a:prstGeom prst="rect">
                      <a:avLst/>
                    </a:prstGeom>
                  </pic:spPr>
                </pic:pic>
              </a:graphicData>
            </a:graphic>
          </wp:anchor>
        </w:drawing>
      </w:r>
    </w:p>
    <w:p>
      <w:pPr>
        <w:pStyle w:val="BodyText"/>
        <w:rPr>
          <w:sz w:val="21"/>
        </w:rPr>
      </w:pPr>
    </w:p>
    <w:p>
      <w:pPr>
        <w:pStyle w:val="BodyText"/>
        <w:spacing w:before="22"/>
        <w:rPr>
          <w:sz w:val="21"/>
        </w:rPr>
      </w:pPr>
    </w:p>
    <w:p>
      <w:pPr>
        <w:spacing w:line="276" w:lineRule="auto" w:before="0"/>
        <w:ind w:left="463" w:right="240" w:firstLine="0"/>
        <w:jc w:val="both"/>
        <w:rPr>
          <w:sz w:val="21"/>
        </w:rPr>
      </w:pPr>
      <w:r>
        <w:rPr>
          <w:sz w:val="21"/>
        </w:rPr>
        <w:t>Many youth also feel unsafe in their classrooms, neighborhoods, and homes. In 2021, 61% of Massachusetts LGBTQ youth did not feel they lived in an affirming home, and nearly 1 in 2 did not attend an affirming school. Meanwhile, 32% of youth had experienced threats or acts of physical harm because of their sexual orientation or</w:t>
      </w:r>
      <w:r>
        <w:rPr>
          <w:spacing w:val="-12"/>
          <w:sz w:val="21"/>
        </w:rPr>
        <w:t> </w:t>
      </w:r>
      <w:r>
        <w:rPr>
          <w:sz w:val="21"/>
        </w:rPr>
        <w:t>gender</w:t>
      </w:r>
      <w:r>
        <w:rPr>
          <w:spacing w:val="-12"/>
          <w:sz w:val="21"/>
        </w:rPr>
        <w:t> </w:t>
      </w:r>
      <w:r>
        <w:rPr>
          <w:sz w:val="21"/>
        </w:rPr>
        <w:t>identity</w:t>
      </w:r>
      <w:r>
        <w:rPr>
          <w:spacing w:val="-12"/>
          <w:sz w:val="21"/>
        </w:rPr>
        <w:t> </w:t>
      </w:r>
      <w:r>
        <w:rPr>
          <w:sz w:val="21"/>
        </w:rPr>
        <w:t>during</w:t>
      </w:r>
      <w:r>
        <w:rPr>
          <w:spacing w:val="-12"/>
          <w:sz w:val="21"/>
        </w:rPr>
        <w:t> </w:t>
      </w:r>
      <w:r>
        <w:rPr>
          <w:sz w:val="21"/>
        </w:rPr>
        <w:t>their</w:t>
      </w:r>
      <w:r>
        <w:rPr>
          <w:spacing w:val="-12"/>
          <w:sz w:val="21"/>
        </w:rPr>
        <w:t> </w:t>
      </w:r>
      <w:r>
        <w:rPr>
          <w:sz w:val="21"/>
        </w:rPr>
        <w:t>lifetime,</w:t>
      </w:r>
      <w:r>
        <w:rPr>
          <w:spacing w:val="-12"/>
          <w:sz w:val="21"/>
        </w:rPr>
        <w:t> </w:t>
      </w:r>
      <w:r>
        <w:rPr>
          <w:sz w:val="21"/>
        </w:rPr>
        <w:t>while</w:t>
      </w:r>
      <w:r>
        <w:rPr>
          <w:spacing w:val="-9"/>
          <w:sz w:val="21"/>
        </w:rPr>
        <w:t> </w:t>
      </w:r>
      <w:r>
        <w:rPr>
          <w:sz w:val="21"/>
        </w:rPr>
        <w:t>67%</w:t>
      </w:r>
      <w:r>
        <w:rPr>
          <w:spacing w:val="-12"/>
          <w:sz w:val="21"/>
        </w:rPr>
        <w:t> </w:t>
      </w:r>
      <w:r>
        <w:rPr>
          <w:sz w:val="21"/>
        </w:rPr>
        <w:t>had</w:t>
      </w:r>
      <w:r>
        <w:rPr>
          <w:spacing w:val="-11"/>
          <w:sz w:val="21"/>
        </w:rPr>
        <w:t> </w:t>
      </w:r>
      <w:r>
        <w:rPr>
          <w:sz w:val="21"/>
        </w:rPr>
        <w:t>faced</w:t>
      </w:r>
      <w:r>
        <w:rPr>
          <w:spacing w:val="-10"/>
          <w:sz w:val="21"/>
        </w:rPr>
        <w:t> </w:t>
      </w:r>
      <w:r>
        <w:rPr>
          <w:sz w:val="21"/>
        </w:rPr>
        <w:t>discrimination</w:t>
      </w:r>
      <w:hyperlink w:history="true" w:anchor="_bookmark112">
        <w:r>
          <w:rPr>
            <w:sz w:val="21"/>
          </w:rPr>
          <w:t>.</w:t>
        </w:r>
        <w:r>
          <w:rPr>
            <w:sz w:val="21"/>
            <w:vertAlign w:val="superscript"/>
          </w:rPr>
          <w:t>9</w:t>
        </w:r>
      </w:hyperlink>
      <w:r>
        <w:rPr>
          <w:spacing w:val="-12"/>
          <w:sz w:val="21"/>
          <w:vertAlign w:val="baseline"/>
        </w:rPr>
        <w:t> </w:t>
      </w:r>
      <w:r>
        <w:rPr>
          <w:sz w:val="21"/>
          <w:vertAlign w:val="baseline"/>
        </w:rPr>
        <w:t>Considering</w:t>
      </w:r>
      <w:r>
        <w:rPr>
          <w:spacing w:val="-11"/>
          <w:sz w:val="21"/>
          <w:vertAlign w:val="baseline"/>
        </w:rPr>
        <w:t> </w:t>
      </w:r>
      <w:r>
        <w:rPr>
          <w:sz w:val="21"/>
          <w:vertAlign w:val="baseline"/>
        </w:rPr>
        <w:t>the</w:t>
      </w:r>
      <w:r>
        <w:rPr>
          <w:spacing w:val="-11"/>
          <w:sz w:val="21"/>
          <w:vertAlign w:val="baseline"/>
        </w:rPr>
        <w:t> </w:t>
      </w:r>
      <w:r>
        <w:rPr>
          <w:sz w:val="21"/>
          <w:vertAlign w:val="baseline"/>
        </w:rPr>
        <w:t>hostility</w:t>
      </w:r>
      <w:r>
        <w:rPr>
          <w:spacing w:val="-10"/>
          <w:sz w:val="21"/>
          <w:vertAlign w:val="baseline"/>
        </w:rPr>
        <w:t> </w:t>
      </w:r>
      <w:r>
        <w:rPr>
          <w:sz w:val="21"/>
          <w:vertAlign w:val="baseline"/>
        </w:rPr>
        <w:t>that</w:t>
      </w:r>
      <w:r>
        <w:rPr>
          <w:spacing w:val="-11"/>
          <w:sz w:val="21"/>
          <w:vertAlign w:val="baseline"/>
        </w:rPr>
        <w:t> </w:t>
      </w:r>
      <w:r>
        <w:rPr>
          <w:sz w:val="21"/>
          <w:vertAlign w:val="baseline"/>
        </w:rPr>
        <w:t>youth face in their homes, communities, and country, it is no surprise that LGBTQ youth mental health</w:t>
      </w:r>
      <w:r>
        <w:rPr>
          <w:spacing w:val="-1"/>
          <w:sz w:val="21"/>
          <w:vertAlign w:val="baseline"/>
        </w:rPr>
        <w:t> </w:t>
      </w:r>
      <w:r>
        <w:rPr>
          <w:sz w:val="21"/>
          <w:vertAlign w:val="baseline"/>
        </w:rPr>
        <w:t>is in crisis. For decades, researchers have shown that anti-LGBTQ cultural, political, and societal conditions have the power to erode LGBTQ people’s physical,</w:t>
      </w:r>
      <w:hyperlink w:history="true" w:anchor="_bookmark112">
        <w:r>
          <w:rPr>
            <w:sz w:val="21"/>
            <w:vertAlign w:val="superscript"/>
          </w:rPr>
          <w:t>10</w:t>
        </w:r>
      </w:hyperlink>
      <w:r>
        <w:rPr>
          <w:sz w:val="21"/>
          <w:vertAlign w:val="baseline"/>
        </w:rPr>
        <w:t> mental,</w:t>
      </w:r>
      <w:hyperlink w:history="true" w:anchor="_bookmark113">
        <w:r>
          <w:rPr>
            <w:sz w:val="21"/>
            <w:vertAlign w:val="superscript"/>
          </w:rPr>
          <w:t>11</w:t>
        </w:r>
      </w:hyperlink>
      <w:r>
        <w:rPr>
          <w:sz w:val="21"/>
          <w:vertAlign w:val="baseline"/>
        </w:rPr>
        <w:t> and financial health, an experience often called minority stress. Many studies have explored how minority stressors (like bullying, negative media depictions, and hostile legislation)</w:t>
      </w:r>
      <w:r>
        <w:rPr>
          <w:spacing w:val="40"/>
          <w:sz w:val="21"/>
          <w:vertAlign w:val="baseline"/>
        </w:rPr>
        <w:t> </w:t>
      </w:r>
      <w:r>
        <w:rPr>
          <w:sz w:val="21"/>
          <w:vertAlign w:val="baseline"/>
        </w:rPr>
        <w:t>are</w:t>
      </w:r>
      <w:r>
        <w:rPr>
          <w:spacing w:val="40"/>
          <w:sz w:val="21"/>
          <w:vertAlign w:val="baseline"/>
        </w:rPr>
        <w:t> </w:t>
      </w:r>
      <w:r>
        <w:rPr>
          <w:sz w:val="21"/>
          <w:vertAlign w:val="baseline"/>
        </w:rPr>
        <w:t>directly</w:t>
      </w:r>
      <w:r>
        <w:rPr>
          <w:spacing w:val="40"/>
          <w:sz w:val="21"/>
          <w:vertAlign w:val="baseline"/>
        </w:rPr>
        <w:t> </w:t>
      </w:r>
      <w:r>
        <w:rPr>
          <w:sz w:val="21"/>
          <w:vertAlign w:val="baseline"/>
        </w:rPr>
        <w:t>related</w:t>
      </w:r>
      <w:r>
        <w:rPr>
          <w:spacing w:val="40"/>
          <w:sz w:val="21"/>
          <w:vertAlign w:val="baseline"/>
        </w:rPr>
        <w:t> </w:t>
      </w:r>
      <w:r>
        <w:rPr>
          <w:sz w:val="21"/>
          <w:vertAlign w:val="baseline"/>
        </w:rPr>
        <w:t>to</w:t>
      </w:r>
      <w:r>
        <w:rPr>
          <w:spacing w:val="40"/>
          <w:sz w:val="21"/>
          <w:vertAlign w:val="baseline"/>
        </w:rPr>
        <w:t> </w:t>
      </w:r>
      <w:r>
        <w:rPr>
          <w:sz w:val="21"/>
          <w:vertAlign w:val="baseline"/>
        </w:rPr>
        <w:t>mental</w:t>
      </w:r>
      <w:r>
        <w:rPr>
          <w:spacing w:val="40"/>
          <w:sz w:val="21"/>
          <w:vertAlign w:val="baseline"/>
        </w:rPr>
        <w:t> </w:t>
      </w:r>
      <w:r>
        <w:rPr>
          <w:sz w:val="21"/>
          <w:vertAlign w:val="baseline"/>
        </w:rPr>
        <w:t>health</w:t>
      </w:r>
      <w:r>
        <w:rPr>
          <w:spacing w:val="40"/>
          <w:sz w:val="21"/>
          <w:vertAlign w:val="baseline"/>
        </w:rPr>
        <w:t> </w:t>
      </w:r>
      <w:r>
        <w:rPr>
          <w:sz w:val="21"/>
          <w:vertAlign w:val="baseline"/>
        </w:rPr>
        <w:t>challenges</w:t>
      </w:r>
      <w:r>
        <w:rPr>
          <w:spacing w:val="40"/>
          <w:sz w:val="21"/>
          <w:vertAlign w:val="baseline"/>
        </w:rPr>
        <w:t> </w:t>
      </w:r>
      <w:r>
        <w:rPr>
          <w:sz w:val="21"/>
          <w:vertAlign w:val="baseline"/>
        </w:rPr>
        <w:t>(like</w:t>
      </w:r>
      <w:r>
        <w:rPr>
          <w:spacing w:val="40"/>
          <w:sz w:val="21"/>
          <w:vertAlign w:val="baseline"/>
        </w:rPr>
        <w:t> </w:t>
      </w:r>
      <w:r>
        <w:rPr>
          <w:sz w:val="21"/>
          <w:vertAlign w:val="baseline"/>
        </w:rPr>
        <w:t>depression</w:t>
      </w:r>
      <w:hyperlink w:history="true" w:anchor="_bookmark114">
        <w:r>
          <w:rPr>
            <w:sz w:val="21"/>
            <w:vertAlign w:val="baseline"/>
          </w:rPr>
          <w:t>,</w:t>
        </w:r>
        <w:r>
          <w:rPr>
            <w:sz w:val="21"/>
            <w:vertAlign w:val="superscript"/>
          </w:rPr>
          <w:t>12</w:t>
        </w:r>
      </w:hyperlink>
      <w:r>
        <w:rPr>
          <w:spacing w:val="40"/>
          <w:sz w:val="21"/>
          <w:vertAlign w:val="baseline"/>
        </w:rPr>
        <w:t> </w:t>
      </w:r>
      <w:r>
        <w:rPr>
          <w:sz w:val="21"/>
          <w:vertAlign w:val="baseline"/>
        </w:rPr>
        <w:t>anxiety,</w:t>
      </w:r>
      <w:r>
        <w:rPr>
          <w:spacing w:val="40"/>
          <w:sz w:val="21"/>
          <w:vertAlign w:val="baseline"/>
        </w:rPr>
        <w:t> </w:t>
      </w:r>
      <w:r>
        <w:rPr>
          <w:sz w:val="21"/>
          <w:vertAlign w:val="baseline"/>
        </w:rPr>
        <w:t>PTSD,</w:t>
      </w:r>
      <w:r>
        <w:rPr>
          <w:spacing w:val="40"/>
          <w:sz w:val="21"/>
          <w:vertAlign w:val="baseline"/>
        </w:rPr>
        <w:t> </w:t>
      </w:r>
      <w:r>
        <w:rPr>
          <w:sz w:val="21"/>
          <w:vertAlign w:val="baseline"/>
        </w:rPr>
        <w:t>and</w:t>
      </w:r>
      <w:r>
        <w:rPr>
          <w:spacing w:val="40"/>
          <w:sz w:val="21"/>
          <w:vertAlign w:val="baseline"/>
        </w:rPr>
        <w:t> </w:t>
      </w:r>
      <w:r>
        <w:rPr>
          <w:sz w:val="21"/>
          <w:vertAlign w:val="baseline"/>
        </w:rPr>
        <w:t>suicide</w:t>
      </w:r>
    </w:p>
    <w:p>
      <w:pPr>
        <w:spacing w:after="0" w:line="276" w:lineRule="auto"/>
        <w:jc w:val="both"/>
        <w:rPr>
          <w:sz w:val="21"/>
        </w:rPr>
        <w:sectPr>
          <w:pgSz w:w="12240" w:h="15840"/>
          <w:pgMar w:header="804" w:footer="1390" w:top="1080" w:bottom="1620" w:left="980" w:right="1080"/>
        </w:sectPr>
      </w:pPr>
    </w:p>
    <w:p>
      <w:pPr>
        <w:spacing w:line="276" w:lineRule="auto" w:before="69"/>
        <w:ind w:left="463" w:right="242" w:firstLine="0"/>
        <w:jc w:val="both"/>
        <w:rPr>
          <w:sz w:val="21"/>
        </w:rPr>
      </w:pPr>
      <w:r>
        <w:rPr>
          <w:sz w:val="21"/>
        </w:rPr>
        <w:t>attempts</w:t>
      </w:r>
      <w:hyperlink w:history="true" w:anchor="_bookmark115">
        <w:r>
          <w:rPr>
            <w:sz w:val="21"/>
          </w:rPr>
          <w:t>.</w:t>
        </w:r>
        <w:r>
          <w:rPr>
            <w:sz w:val="21"/>
            <w:vertAlign w:val="superscript"/>
          </w:rPr>
          <w:t>13</w:t>
        </w:r>
      </w:hyperlink>
      <w:r>
        <w:rPr>
          <w:sz w:val="21"/>
          <w:vertAlign w:val="baseline"/>
        </w:rPr>
        <w:t>) For instance, in the year after marriage equality was passed in Massachusetts, there was a statistically significant drop in medical and mental health-related care visits among gay and bisexual men</w:t>
      </w:r>
      <w:hyperlink w:history="true" w:anchor="_bookmark116">
        <w:r>
          <w:rPr>
            <w:sz w:val="21"/>
            <w:vertAlign w:val="baseline"/>
          </w:rPr>
          <w:t>.</w:t>
        </w:r>
        <w:r>
          <w:rPr>
            <w:sz w:val="21"/>
            <w:vertAlign w:val="superscript"/>
          </w:rPr>
          <w:t>14</w:t>
        </w:r>
      </w:hyperlink>
    </w:p>
    <w:p>
      <w:pPr>
        <w:spacing w:line="276" w:lineRule="auto" w:before="238"/>
        <w:ind w:left="463" w:right="242" w:firstLine="0"/>
        <w:jc w:val="both"/>
        <w:rPr>
          <w:sz w:val="28"/>
        </w:rPr>
      </w:pPr>
      <w:bookmarkStart w:name="Three Key Principles of Support: Trauma-" w:id="241"/>
      <w:bookmarkEnd w:id="241"/>
      <w:r>
        <w:rPr/>
      </w:r>
      <w:r>
        <w:rPr>
          <w:color w:val="365F91"/>
          <w:sz w:val="28"/>
        </w:rPr>
        <w:t>Three</w:t>
      </w:r>
      <w:r>
        <w:rPr>
          <w:color w:val="365F91"/>
          <w:spacing w:val="-1"/>
          <w:sz w:val="28"/>
        </w:rPr>
        <w:t> </w:t>
      </w:r>
      <w:r>
        <w:rPr>
          <w:color w:val="365F91"/>
          <w:sz w:val="28"/>
        </w:rPr>
        <w:t>Key Principles of</w:t>
      </w:r>
      <w:r>
        <w:rPr>
          <w:color w:val="365F91"/>
          <w:spacing w:val="-1"/>
          <w:sz w:val="28"/>
        </w:rPr>
        <w:t> </w:t>
      </w:r>
      <w:r>
        <w:rPr>
          <w:color w:val="365F91"/>
          <w:sz w:val="28"/>
        </w:rPr>
        <w:t>Support:</w:t>
      </w:r>
      <w:r>
        <w:rPr>
          <w:color w:val="365F91"/>
          <w:spacing w:val="-1"/>
          <w:sz w:val="28"/>
        </w:rPr>
        <w:t> </w:t>
      </w:r>
      <w:r>
        <w:rPr>
          <w:color w:val="365F91"/>
          <w:sz w:val="28"/>
        </w:rPr>
        <w:t>Trauma-Informed</w:t>
      </w:r>
      <w:r>
        <w:rPr>
          <w:color w:val="365F91"/>
          <w:spacing w:val="-1"/>
          <w:sz w:val="28"/>
        </w:rPr>
        <w:t> </w:t>
      </w:r>
      <w:r>
        <w:rPr>
          <w:color w:val="365F91"/>
          <w:sz w:val="28"/>
        </w:rPr>
        <w:t>Services,</w:t>
      </w:r>
      <w:r>
        <w:rPr>
          <w:color w:val="365F91"/>
          <w:spacing w:val="-1"/>
          <w:sz w:val="28"/>
        </w:rPr>
        <w:t> </w:t>
      </w:r>
      <w:r>
        <w:rPr>
          <w:color w:val="365F91"/>
          <w:sz w:val="28"/>
        </w:rPr>
        <w:t>Early Intervention,</w:t>
      </w:r>
      <w:r>
        <w:rPr>
          <w:color w:val="365F91"/>
          <w:spacing w:val="-1"/>
          <w:sz w:val="28"/>
        </w:rPr>
        <w:t> </w:t>
      </w:r>
      <w:r>
        <w:rPr>
          <w:color w:val="365F91"/>
          <w:sz w:val="28"/>
        </w:rPr>
        <w:t>and </w:t>
      </w:r>
      <w:r>
        <w:rPr>
          <w:color w:val="365F91"/>
          <w:spacing w:val="-2"/>
          <w:sz w:val="28"/>
        </w:rPr>
        <w:t>Collaboration</w:t>
      </w:r>
    </w:p>
    <w:p>
      <w:pPr>
        <w:spacing w:line="276" w:lineRule="auto" w:before="241"/>
        <w:ind w:left="463" w:right="239" w:firstLine="0"/>
        <w:jc w:val="both"/>
        <w:rPr>
          <w:sz w:val="21"/>
        </w:rPr>
      </w:pPr>
      <w:r>
        <w:rPr>
          <w:sz w:val="21"/>
        </w:rPr>
        <w:t>The</w:t>
      </w:r>
      <w:r>
        <w:rPr>
          <w:spacing w:val="-9"/>
          <w:sz w:val="21"/>
        </w:rPr>
        <w:t> </w:t>
      </w:r>
      <w:r>
        <w:rPr>
          <w:sz w:val="21"/>
        </w:rPr>
        <w:t>realities</w:t>
      </w:r>
      <w:r>
        <w:rPr>
          <w:spacing w:val="-10"/>
          <w:sz w:val="21"/>
        </w:rPr>
        <w:t> </w:t>
      </w:r>
      <w:r>
        <w:rPr>
          <w:sz w:val="21"/>
        </w:rPr>
        <w:t>of</w:t>
      </w:r>
      <w:r>
        <w:rPr>
          <w:spacing w:val="-10"/>
          <w:sz w:val="21"/>
        </w:rPr>
        <w:t> </w:t>
      </w:r>
      <w:r>
        <w:rPr>
          <w:sz w:val="21"/>
        </w:rPr>
        <w:t>minority</w:t>
      </w:r>
      <w:r>
        <w:rPr>
          <w:spacing w:val="-9"/>
          <w:sz w:val="21"/>
        </w:rPr>
        <w:t> </w:t>
      </w:r>
      <w:r>
        <w:rPr>
          <w:sz w:val="21"/>
        </w:rPr>
        <w:t>stress</w:t>
      </w:r>
      <w:r>
        <w:rPr>
          <w:spacing w:val="-10"/>
          <w:sz w:val="21"/>
        </w:rPr>
        <w:t> </w:t>
      </w:r>
      <w:r>
        <w:rPr>
          <w:sz w:val="21"/>
        </w:rPr>
        <w:t>shape</w:t>
      </w:r>
      <w:r>
        <w:rPr>
          <w:spacing w:val="-9"/>
          <w:sz w:val="21"/>
        </w:rPr>
        <w:t> </w:t>
      </w:r>
      <w:r>
        <w:rPr>
          <w:sz w:val="21"/>
        </w:rPr>
        <w:t>the</w:t>
      </w:r>
      <w:r>
        <w:rPr>
          <w:spacing w:val="-9"/>
          <w:sz w:val="21"/>
        </w:rPr>
        <w:t> </w:t>
      </w:r>
      <w:r>
        <w:rPr>
          <w:sz w:val="21"/>
        </w:rPr>
        <w:t>Commission’s</w:t>
      </w:r>
      <w:r>
        <w:rPr>
          <w:spacing w:val="-10"/>
          <w:sz w:val="21"/>
        </w:rPr>
        <w:t> </w:t>
      </w:r>
      <w:r>
        <w:rPr>
          <w:sz w:val="21"/>
        </w:rPr>
        <w:t>recommendations</w:t>
      </w:r>
      <w:r>
        <w:rPr>
          <w:spacing w:val="-10"/>
          <w:sz w:val="21"/>
        </w:rPr>
        <w:t> </w:t>
      </w:r>
      <w:r>
        <w:rPr>
          <w:sz w:val="21"/>
        </w:rPr>
        <w:t>in</w:t>
      </w:r>
      <w:r>
        <w:rPr>
          <w:spacing w:val="-9"/>
          <w:sz w:val="21"/>
        </w:rPr>
        <w:t> </w:t>
      </w:r>
      <w:r>
        <w:rPr>
          <w:sz w:val="21"/>
        </w:rPr>
        <w:t>three</w:t>
      </w:r>
      <w:r>
        <w:rPr>
          <w:spacing w:val="-9"/>
          <w:sz w:val="21"/>
        </w:rPr>
        <w:t> </w:t>
      </w:r>
      <w:r>
        <w:rPr>
          <w:sz w:val="21"/>
        </w:rPr>
        <w:t>key</w:t>
      </w:r>
      <w:r>
        <w:rPr>
          <w:spacing w:val="-9"/>
          <w:sz w:val="21"/>
        </w:rPr>
        <w:t> </w:t>
      </w:r>
      <w:r>
        <w:rPr>
          <w:sz w:val="21"/>
        </w:rPr>
        <w:t>ways.</w:t>
      </w:r>
      <w:r>
        <w:rPr>
          <w:spacing w:val="-9"/>
          <w:sz w:val="21"/>
        </w:rPr>
        <w:t> </w:t>
      </w:r>
      <w:r>
        <w:rPr>
          <w:sz w:val="21"/>
        </w:rPr>
        <w:t>First,</w:t>
      </w:r>
      <w:r>
        <w:rPr>
          <w:spacing w:val="-9"/>
          <w:sz w:val="21"/>
        </w:rPr>
        <w:t> </w:t>
      </w:r>
      <w:r>
        <w:rPr>
          <w:sz w:val="21"/>
        </w:rPr>
        <w:t>all</w:t>
      </w:r>
      <w:r>
        <w:rPr>
          <w:spacing w:val="-9"/>
          <w:sz w:val="21"/>
        </w:rPr>
        <w:t> </w:t>
      </w:r>
      <w:r>
        <w:rPr>
          <w:sz w:val="21"/>
        </w:rPr>
        <w:t>supporters of LGBTQ youth should recognize that discrimination is not simply “stressful”; it is also a form of trauma. Therefore, all of our recommendations should be implemented in a trauma-informed way, expecting that any youth being served may have experienced trauma. Clinical, school, and community-based providers should follow the Substance Abuse and Mental Health Services Administration (SAMHSA)’s six principles of LGBTQ trauma-informed</w:t>
      </w:r>
      <w:r>
        <w:rPr>
          <w:spacing w:val="-4"/>
          <w:sz w:val="21"/>
        </w:rPr>
        <w:t> </w:t>
      </w:r>
      <w:r>
        <w:rPr>
          <w:sz w:val="21"/>
        </w:rPr>
        <w:t>care:</w:t>
      </w:r>
      <w:r>
        <w:rPr>
          <w:spacing w:val="-4"/>
          <w:sz w:val="21"/>
        </w:rPr>
        <w:t> </w:t>
      </w:r>
      <w:r>
        <w:rPr>
          <w:sz w:val="21"/>
        </w:rPr>
        <w:t>1)</w:t>
      </w:r>
      <w:r>
        <w:rPr>
          <w:spacing w:val="-4"/>
          <w:sz w:val="21"/>
        </w:rPr>
        <w:t> </w:t>
      </w:r>
      <w:r>
        <w:rPr>
          <w:sz w:val="21"/>
        </w:rPr>
        <w:t>center</w:t>
      </w:r>
      <w:r>
        <w:rPr>
          <w:spacing w:val="-4"/>
          <w:sz w:val="21"/>
        </w:rPr>
        <w:t> </w:t>
      </w:r>
      <w:r>
        <w:rPr>
          <w:sz w:val="21"/>
        </w:rPr>
        <w:t>survivors’</w:t>
      </w:r>
      <w:r>
        <w:rPr>
          <w:spacing w:val="-4"/>
          <w:sz w:val="21"/>
        </w:rPr>
        <w:t> </w:t>
      </w:r>
      <w:r>
        <w:rPr>
          <w:sz w:val="21"/>
        </w:rPr>
        <w:t>voices</w:t>
      </w:r>
      <w:r>
        <w:rPr>
          <w:spacing w:val="-5"/>
          <w:sz w:val="21"/>
        </w:rPr>
        <w:t> </w:t>
      </w:r>
      <w:r>
        <w:rPr>
          <w:sz w:val="21"/>
        </w:rPr>
        <w:t>and</w:t>
      </w:r>
      <w:r>
        <w:rPr>
          <w:spacing w:val="-3"/>
          <w:sz w:val="21"/>
        </w:rPr>
        <w:t> </w:t>
      </w:r>
      <w:r>
        <w:rPr>
          <w:sz w:val="21"/>
        </w:rPr>
        <w:t>desires</w:t>
      </w:r>
      <w:r>
        <w:rPr>
          <w:spacing w:val="-5"/>
          <w:sz w:val="21"/>
        </w:rPr>
        <w:t> </w:t>
      </w:r>
      <w:r>
        <w:rPr>
          <w:sz w:val="21"/>
        </w:rPr>
        <w:t>in</w:t>
      </w:r>
      <w:r>
        <w:rPr>
          <w:spacing w:val="-3"/>
          <w:sz w:val="21"/>
        </w:rPr>
        <w:t> </w:t>
      </w:r>
      <w:r>
        <w:rPr>
          <w:sz w:val="21"/>
        </w:rPr>
        <w:t>services,</w:t>
      </w:r>
      <w:r>
        <w:rPr>
          <w:spacing w:val="-4"/>
          <w:sz w:val="21"/>
        </w:rPr>
        <w:t> </w:t>
      </w:r>
      <w:r>
        <w:rPr>
          <w:sz w:val="21"/>
        </w:rPr>
        <w:t>2)</w:t>
      </w:r>
      <w:r>
        <w:rPr>
          <w:spacing w:val="-4"/>
          <w:sz w:val="21"/>
        </w:rPr>
        <w:t> </w:t>
      </w:r>
      <w:r>
        <w:rPr>
          <w:sz w:val="21"/>
        </w:rPr>
        <w:t>build</w:t>
      </w:r>
      <w:r>
        <w:rPr>
          <w:spacing w:val="-4"/>
          <w:sz w:val="21"/>
        </w:rPr>
        <w:t> </w:t>
      </w:r>
      <w:r>
        <w:rPr>
          <w:sz w:val="21"/>
        </w:rPr>
        <w:t>collaborative</w:t>
      </w:r>
      <w:r>
        <w:rPr>
          <w:spacing w:val="-4"/>
          <w:sz w:val="21"/>
        </w:rPr>
        <w:t> </w:t>
      </w:r>
      <w:r>
        <w:rPr>
          <w:sz w:val="21"/>
        </w:rPr>
        <w:t>relationships,</w:t>
      </w:r>
      <w:r>
        <w:rPr>
          <w:spacing w:val="-3"/>
          <w:sz w:val="21"/>
        </w:rPr>
        <w:t> </w:t>
      </w:r>
      <w:r>
        <w:rPr>
          <w:sz w:val="21"/>
        </w:rPr>
        <w:t>3) demonstrate trustworthiness and transparency, 4) create safety by proactively communicating an affirming stance,</w:t>
      </w:r>
      <w:r>
        <w:rPr>
          <w:spacing w:val="-9"/>
          <w:sz w:val="21"/>
        </w:rPr>
        <w:t> </w:t>
      </w:r>
      <w:r>
        <w:rPr>
          <w:sz w:val="21"/>
        </w:rPr>
        <w:t>5)</w:t>
      </w:r>
      <w:r>
        <w:rPr>
          <w:spacing w:val="-9"/>
          <w:sz w:val="21"/>
        </w:rPr>
        <w:t> </w:t>
      </w:r>
      <w:r>
        <w:rPr>
          <w:sz w:val="21"/>
        </w:rPr>
        <w:t>recognize</w:t>
      </w:r>
      <w:r>
        <w:rPr>
          <w:spacing w:val="-9"/>
          <w:sz w:val="21"/>
        </w:rPr>
        <w:t> </w:t>
      </w:r>
      <w:r>
        <w:rPr>
          <w:sz w:val="21"/>
        </w:rPr>
        <w:t>and</w:t>
      </w:r>
      <w:r>
        <w:rPr>
          <w:spacing w:val="-9"/>
          <w:sz w:val="21"/>
        </w:rPr>
        <w:t> </w:t>
      </w:r>
      <w:r>
        <w:rPr>
          <w:sz w:val="21"/>
        </w:rPr>
        <w:t>discuss</w:t>
      </w:r>
      <w:r>
        <w:rPr>
          <w:spacing w:val="-10"/>
          <w:sz w:val="21"/>
        </w:rPr>
        <w:t> </w:t>
      </w:r>
      <w:r>
        <w:rPr>
          <w:sz w:val="21"/>
        </w:rPr>
        <w:t>cultural,</w:t>
      </w:r>
      <w:r>
        <w:rPr>
          <w:spacing w:val="-9"/>
          <w:sz w:val="21"/>
        </w:rPr>
        <w:t> </w:t>
      </w:r>
      <w:r>
        <w:rPr>
          <w:sz w:val="21"/>
        </w:rPr>
        <w:t>historical,</w:t>
      </w:r>
      <w:r>
        <w:rPr>
          <w:spacing w:val="-9"/>
          <w:sz w:val="21"/>
        </w:rPr>
        <w:t> </w:t>
      </w:r>
      <w:r>
        <w:rPr>
          <w:sz w:val="21"/>
        </w:rPr>
        <w:t>and</w:t>
      </w:r>
      <w:r>
        <w:rPr>
          <w:spacing w:val="-9"/>
          <w:sz w:val="21"/>
        </w:rPr>
        <w:t> </w:t>
      </w:r>
      <w:r>
        <w:rPr>
          <w:sz w:val="21"/>
        </w:rPr>
        <w:t>gender</w:t>
      </w:r>
      <w:r>
        <w:rPr>
          <w:spacing w:val="-9"/>
          <w:sz w:val="21"/>
        </w:rPr>
        <w:t> </w:t>
      </w:r>
      <w:r>
        <w:rPr>
          <w:sz w:val="21"/>
        </w:rPr>
        <w:t>influences</w:t>
      </w:r>
      <w:r>
        <w:rPr>
          <w:spacing w:val="-10"/>
          <w:sz w:val="21"/>
        </w:rPr>
        <w:t> </w:t>
      </w:r>
      <w:r>
        <w:rPr>
          <w:sz w:val="21"/>
        </w:rPr>
        <w:t>on</w:t>
      </w:r>
      <w:r>
        <w:rPr>
          <w:spacing w:val="-9"/>
          <w:sz w:val="21"/>
        </w:rPr>
        <w:t> </w:t>
      </w:r>
      <w:r>
        <w:rPr>
          <w:sz w:val="21"/>
        </w:rPr>
        <w:t>youths’</w:t>
      </w:r>
      <w:r>
        <w:rPr>
          <w:spacing w:val="-9"/>
          <w:sz w:val="21"/>
        </w:rPr>
        <w:t> </w:t>
      </w:r>
      <w:r>
        <w:rPr>
          <w:sz w:val="21"/>
        </w:rPr>
        <w:t>identities</w:t>
      </w:r>
      <w:r>
        <w:rPr>
          <w:spacing w:val="-10"/>
          <w:sz w:val="21"/>
        </w:rPr>
        <w:t> </w:t>
      </w:r>
      <w:r>
        <w:rPr>
          <w:sz w:val="21"/>
        </w:rPr>
        <w:t>and</w:t>
      </w:r>
      <w:r>
        <w:rPr>
          <w:spacing w:val="-9"/>
          <w:sz w:val="21"/>
        </w:rPr>
        <w:t> </w:t>
      </w:r>
      <w:r>
        <w:rPr>
          <w:sz w:val="21"/>
        </w:rPr>
        <w:t>experiences, and 6) promote peer support</w:t>
      </w:r>
      <w:hyperlink w:history="true" w:anchor="_bookmark117">
        <w:r>
          <w:rPr>
            <w:sz w:val="21"/>
          </w:rPr>
          <w:t>.</w:t>
        </w:r>
        <w:r>
          <w:rPr>
            <w:sz w:val="21"/>
            <w:vertAlign w:val="superscript"/>
          </w:rPr>
          <w:t>15</w:t>
        </w:r>
      </w:hyperlink>
    </w:p>
    <w:p>
      <w:pPr>
        <w:spacing w:line="276" w:lineRule="auto" w:before="240"/>
        <w:ind w:left="463" w:right="240" w:firstLine="0"/>
        <w:jc w:val="both"/>
        <w:rPr>
          <w:sz w:val="21"/>
        </w:rPr>
      </w:pPr>
      <w:r>
        <w:rPr>
          <w:sz w:val="21"/>
        </w:rPr>
        <w:t>Second, the Commission’s recommendations include investing in early intervention, rather than reacting only after</w:t>
      </w:r>
      <w:r>
        <w:rPr>
          <w:spacing w:val="-12"/>
          <w:sz w:val="21"/>
        </w:rPr>
        <w:t> </w:t>
      </w:r>
      <w:r>
        <w:rPr>
          <w:sz w:val="21"/>
        </w:rPr>
        <w:t>youths’</w:t>
      </w:r>
      <w:r>
        <w:rPr>
          <w:spacing w:val="-12"/>
          <w:sz w:val="21"/>
        </w:rPr>
        <w:t> </w:t>
      </w:r>
      <w:r>
        <w:rPr>
          <w:sz w:val="21"/>
        </w:rPr>
        <w:t>mental</w:t>
      </w:r>
      <w:r>
        <w:rPr>
          <w:spacing w:val="-12"/>
          <w:sz w:val="21"/>
        </w:rPr>
        <w:t> </w:t>
      </w:r>
      <w:r>
        <w:rPr>
          <w:sz w:val="21"/>
        </w:rPr>
        <w:t>health</w:t>
      </w:r>
      <w:r>
        <w:rPr>
          <w:spacing w:val="-12"/>
          <w:sz w:val="21"/>
        </w:rPr>
        <w:t> </w:t>
      </w:r>
      <w:r>
        <w:rPr>
          <w:sz w:val="21"/>
        </w:rPr>
        <w:t>issues</w:t>
      </w:r>
      <w:r>
        <w:rPr>
          <w:spacing w:val="-12"/>
          <w:sz w:val="21"/>
        </w:rPr>
        <w:t> </w:t>
      </w:r>
      <w:r>
        <w:rPr>
          <w:sz w:val="21"/>
        </w:rPr>
        <w:t>become</w:t>
      </w:r>
      <w:r>
        <w:rPr>
          <w:spacing w:val="-12"/>
          <w:sz w:val="21"/>
        </w:rPr>
        <w:t> </w:t>
      </w:r>
      <w:r>
        <w:rPr>
          <w:sz w:val="21"/>
        </w:rPr>
        <w:t>obvious.</w:t>
      </w:r>
      <w:r>
        <w:rPr>
          <w:spacing w:val="-12"/>
          <w:sz w:val="21"/>
        </w:rPr>
        <w:t> </w:t>
      </w:r>
      <w:r>
        <w:rPr>
          <w:sz w:val="21"/>
        </w:rPr>
        <w:t>While</w:t>
      </w:r>
      <w:r>
        <w:rPr>
          <w:spacing w:val="-11"/>
          <w:sz w:val="21"/>
        </w:rPr>
        <w:t> </w:t>
      </w:r>
      <w:r>
        <w:rPr>
          <w:sz w:val="21"/>
        </w:rPr>
        <w:t>LGBTQ</w:t>
      </w:r>
      <w:r>
        <w:rPr>
          <w:spacing w:val="-12"/>
          <w:sz w:val="21"/>
        </w:rPr>
        <w:t> </w:t>
      </w:r>
      <w:r>
        <w:rPr>
          <w:sz w:val="21"/>
        </w:rPr>
        <w:t>children</w:t>
      </w:r>
      <w:r>
        <w:rPr>
          <w:spacing w:val="-12"/>
          <w:sz w:val="21"/>
        </w:rPr>
        <w:t> </w:t>
      </w:r>
      <w:r>
        <w:rPr>
          <w:sz w:val="21"/>
        </w:rPr>
        <w:t>begin</w:t>
      </w:r>
      <w:r>
        <w:rPr>
          <w:spacing w:val="-12"/>
          <w:sz w:val="21"/>
        </w:rPr>
        <w:t> </w:t>
      </w:r>
      <w:r>
        <w:rPr>
          <w:sz w:val="21"/>
        </w:rPr>
        <w:t>experiencing</w:t>
      </w:r>
      <w:r>
        <w:rPr>
          <w:spacing w:val="-12"/>
          <w:sz w:val="21"/>
        </w:rPr>
        <w:t> </w:t>
      </w:r>
      <w:r>
        <w:rPr>
          <w:sz w:val="21"/>
        </w:rPr>
        <w:t>more</w:t>
      </w:r>
      <w:r>
        <w:rPr>
          <w:spacing w:val="-12"/>
          <w:sz w:val="21"/>
        </w:rPr>
        <w:t> </w:t>
      </w:r>
      <w:r>
        <w:rPr>
          <w:sz w:val="21"/>
        </w:rPr>
        <w:t>bullying</w:t>
      </w:r>
      <w:r>
        <w:rPr>
          <w:spacing w:val="-12"/>
          <w:sz w:val="21"/>
        </w:rPr>
        <w:t> </w:t>
      </w:r>
      <w:r>
        <w:rPr>
          <w:sz w:val="21"/>
        </w:rPr>
        <w:t>than their peers by age 9, it does not become obvious that they suffer from more mental health and substance use challenges</w:t>
      </w:r>
      <w:r>
        <w:rPr>
          <w:spacing w:val="-12"/>
          <w:sz w:val="21"/>
        </w:rPr>
        <w:t> </w:t>
      </w:r>
      <w:r>
        <w:rPr>
          <w:sz w:val="21"/>
        </w:rPr>
        <w:t>until</w:t>
      </w:r>
      <w:r>
        <w:rPr>
          <w:spacing w:val="-12"/>
          <w:sz w:val="21"/>
        </w:rPr>
        <w:t> </w:t>
      </w:r>
      <w:r>
        <w:rPr>
          <w:sz w:val="21"/>
        </w:rPr>
        <w:t>early</w:t>
      </w:r>
      <w:r>
        <w:rPr>
          <w:spacing w:val="-12"/>
          <w:sz w:val="21"/>
        </w:rPr>
        <w:t> </w:t>
      </w:r>
      <w:r>
        <w:rPr>
          <w:sz w:val="21"/>
        </w:rPr>
        <w:t>adolescence</w:t>
      </w:r>
      <w:r>
        <w:rPr>
          <w:spacing w:val="-12"/>
          <w:sz w:val="21"/>
        </w:rPr>
        <w:t> </w:t>
      </w:r>
      <w:r>
        <w:rPr>
          <w:sz w:val="21"/>
        </w:rPr>
        <w:t>(i.e.</w:t>
      </w:r>
      <w:r>
        <w:rPr>
          <w:spacing w:val="-12"/>
          <w:sz w:val="21"/>
        </w:rPr>
        <w:t> </w:t>
      </w:r>
      <w:r>
        <w:rPr>
          <w:sz w:val="21"/>
        </w:rPr>
        <w:t>age</w:t>
      </w:r>
      <w:r>
        <w:rPr>
          <w:spacing w:val="-12"/>
          <w:sz w:val="21"/>
        </w:rPr>
        <w:t> </w:t>
      </w:r>
      <w:r>
        <w:rPr>
          <w:sz w:val="21"/>
        </w:rPr>
        <w:t>12</w:t>
      </w:r>
      <w:r>
        <w:rPr>
          <w:spacing w:val="-12"/>
          <w:sz w:val="21"/>
        </w:rPr>
        <w:t> </w:t>
      </w:r>
      <w:r>
        <w:rPr>
          <w:sz w:val="21"/>
        </w:rPr>
        <w:t>or</w:t>
      </w:r>
      <w:r>
        <w:rPr>
          <w:spacing w:val="-11"/>
          <w:sz w:val="21"/>
        </w:rPr>
        <w:t> </w:t>
      </w:r>
      <w:r>
        <w:rPr>
          <w:sz w:val="21"/>
        </w:rPr>
        <w:t>15).</w:t>
      </w:r>
      <w:hyperlink w:history="true" w:anchor="_bookmark117">
        <w:r>
          <w:rPr>
            <w:sz w:val="21"/>
            <w:vertAlign w:val="superscript"/>
          </w:rPr>
          <w:t>16</w:t>
        </w:r>
      </w:hyperlink>
      <w:r>
        <w:rPr>
          <w:spacing w:val="-12"/>
          <w:sz w:val="21"/>
          <w:vertAlign w:val="baseline"/>
        </w:rPr>
        <w:t> </w:t>
      </w:r>
      <w:r>
        <w:rPr>
          <w:sz w:val="21"/>
          <w:vertAlign w:val="baseline"/>
        </w:rPr>
        <w:t>This</w:t>
      </w:r>
      <w:r>
        <w:rPr>
          <w:spacing w:val="-12"/>
          <w:sz w:val="21"/>
          <w:vertAlign w:val="baseline"/>
        </w:rPr>
        <w:t> </w:t>
      </w:r>
      <w:r>
        <w:rPr>
          <w:sz w:val="21"/>
          <w:vertAlign w:val="baseline"/>
        </w:rPr>
        <w:t>delayed</w:t>
      </w:r>
      <w:r>
        <w:rPr>
          <w:spacing w:val="-12"/>
          <w:sz w:val="21"/>
          <w:vertAlign w:val="baseline"/>
        </w:rPr>
        <w:t> </w:t>
      </w:r>
      <w:r>
        <w:rPr>
          <w:sz w:val="21"/>
          <w:vertAlign w:val="baseline"/>
        </w:rPr>
        <w:t>impact</w:t>
      </w:r>
      <w:r>
        <w:rPr>
          <w:spacing w:val="-12"/>
          <w:sz w:val="21"/>
          <w:vertAlign w:val="baseline"/>
        </w:rPr>
        <w:t> </w:t>
      </w:r>
      <w:r>
        <w:rPr>
          <w:sz w:val="21"/>
          <w:vertAlign w:val="baseline"/>
        </w:rPr>
        <w:t>of</w:t>
      </w:r>
      <w:r>
        <w:rPr>
          <w:spacing w:val="-12"/>
          <w:sz w:val="21"/>
          <w:vertAlign w:val="baseline"/>
        </w:rPr>
        <w:t> </w:t>
      </w:r>
      <w:r>
        <w:rPr>
          <w:sz w:val="21"/>
          <w:vertAlign w:val="baseline"/>
        </w:rPr>
        <w:t>bullying</w:t>
      </w:r>
      <w:r>
        <w:rPr>
          <w:spacing w:val="-12"/>
          <w:sz w:val="21"/>
          <w:vertAlign w:val="baseline"/>
        </w:rPr>
        <w:t> </w:t>
      </w:r>
      <w:r>
        <w:rPr>
          <w:sz w:val="21"/>
          <w:vertAlign w:val="baseline"/>
        </w:rPr>
        <w:t>on</w:t>
      </w:r>
      <w:r>
        <w:rPr>
          <w:spacing w:val="-12"/>
          <w:sz w:val="21"/>
          <w:vertAlign w:val="baseline"/>
        </w:rPr>
        <w:t> </w:t>
      </w:r>
      <w:r>
        <w:rPr>
          <w:sz w:val="21"/>
          <w:vertAlign w:val="baseline"/>
        </w:rPr>
        <w:t>youth</w:t>
      </w:r>
      <w:r>
        <w:rPr>
          <w:spacing w:val="-11"/>
          <w:sz w:val="21"/>
          <w:vertAlign w:val="baseline"/>
        </w:rPr>
        <w:t> </w:t>
      </w:r>
      <w:r>
        <w:rPr>
          <w:sz w:val="21"/>
          <w:vertAlign w:val="baseline"/>
        </w:rPr>
        <w:t>health</w:t>
      </w:r>
      <w:r>
        <w:rPr>
          <w:spacing w:val="-12"/>
          <w:sz w:val="21"/>
          <w:vertAlign w:val="baseline"/>
        </w:rPr>
        <w:t> </w:t>
      </w:r>
      <w:r>
        <w:rPr>
          <w:sz w:val="21"/>
          <w:vertAlign w:val="baseline"/>
        </w:rPr>
        <w:t>is</w:t>
      </w:r>
      <w:r>
        <w:rPr>
          <w:spacing w:val="-12"/>
          <w:sz w:val="21"/>
          <w:vertAlign w:val="baseline"/>
        </w:rPr>
        <w:t> </w:t>
      </w:r>
      <w:r>
        <w:rPr>
          <w:sz w:val="21"/>
          <w:vertAlign w:val="baseline"/>
        </w:rPr>
        <w:t>minority stress in action. This is why youth should be supported early in life, such as through inclusive curriculum and peer support spaces, even when adults assume that youth do not yet know they are LGBTQ. Preventative support in schools and communities will decrease the lifelong impacts of minority stress and help bridge the massive gap in access to needed professional mental health support.</w:t>
      </w:r>
    </w:p>
    <w:p>
      <w:pPr>
        <w:spacing w:line="276" w:lineRule="auto" w:before="240"/>
        <w:ind w:left="463" w:right="241" w:firstLine="0"/>
        <w:jc w:val="both"/>
        <w:rPr>
          <w:sz w:val="21"/>
        </w:rPr>
      </w:pPr>
      <w:r>
        <w:rPr>
          <w:sz w:val="21"/>
        </w:rPr>
        <w:t>Finally, the</w:t>
      </w:r>
      <w:r>
        <w:rPr>
          <w:spacing w:val="-1"/>
          <w:sz w:val="21"/>
        </w:rPr>
        <w:t> </w:t>
      </w:r>
      <w:r>
        <w:rPr>
          <w:sz w:val="21"/>
        </w:rPr>
        <w:t>Commission</w:t>
      </w:r>
      <w:r>
        <w:rPr>
          <w:spacing w:val="-1"/>
          <w:sz w:val="21"/>
        </w:rPr>
        <w:t> </w:t>
      </w:r>
      <w:r>
        <w:rPr>
          <w:sz w:val="21"/>
        </w:rPr>
        <w:t>follows</w:t>
      </w:r>
      <w:r>
        <w:rPr>
          <w:spacing w:val="-1"/>
          <w:sz w:val="21"/>
        </w:rPr>
        <w:t> </w:t>
      </w:r>
      <w:r>
        <w:rPr>
          <w:sz w:val="21"/>
        </w:rPr>
        <w:t>current research</w:t>
      </w:r>
      <w:r>
        <w:rPr>
          <w:spacing w:val="-1"/>
          <w:sz w:val="21"/>
        </w:rPr>
        <w:t> </w:t>
      </w:r>
      <w:r>
        <w:rPr>
          <w:sz w:val="21"/>
        </w:rPr>
        <w:t>recommendations</w:t>
      </w:r>
      <w:r>
        <w:rPr>
          <w:spacing w:val="-1"/>
          <w:sz w:val="21"/>
        </w:rPr>
        <w:t> </w:t>
      </w:r>
      <w:r>
        <w:rPr>
          <w:sz w:val="21"/>
        </w:rPr>
        <w:t>by</w:t>
      </w:r>
      <w:r>
        <w:rPr>
          <w:spacing w:val="-1"/>
          <w:sz w:val="21"/>
        </w:rPr>
        <w:t> </w:t>
      </w:r>
      <w:r>
        <w:rPr>
          <w:sz w:val="21"/>
        </w:rPr>
        <w:t>taking</w:t>
      </w:r>
      <w:r>
        <w:rPr>
          <w:spacing w:val="-1"/>
          <w:sz w:val="21"/>
        </w:rPr>
        <w:t> </w:t>
      </w:r>
      <w:r>
        <w:rPr>
          <w:sz w:val="21"/>
        </w:rPr>
        <w:t>a</w:t>
      </w:r>
      <w:r>
        <w:rPr>
          <w:spacing w:val="-2"/>
          <w:sz w:val="21"/>
        </w:rPr>
        <w:t> </w:t>
      </w:r>
      <w:r>
        <w:rPr>
          <w:sz w:val="21"/>
        </w:rPr>
        <w:t>sociopolitical, holistic</w:t>
      </w:r>
      <w:r>
        <w:rPr>
          <w:spacing w:val="-1"/>
          <w:sz w:val="21"/>
        </w:rPr>
        <w:t> </w:t>
      </w:r>
      <w:r>
        <w:rPr>
          <w:sz w:val="21"/>
        </w:rPr>
        <w:t>approach to LGBTQ youth mental health instead of an individualistic or pathologizing approach. That is, LGBTQ youths’ mental health challenges can be seen as natural human responses to their experiences in school, home, community, and society – not just “personal issues.” Therefore, all support efforts should be anti-oppressive: they</w:t>
      </w:r>
      <w:r>
        <w:rPr>
          <w:spacing w:val="-12"/>
          <w:sz w:val="21"/>
        </w:rPr>
        <w:t> </w:t>
      </w:r>
      <w:r>
        <w:rPr>
          <w:sz w:val="21"/>
        </w:rPr>
        <w:t>should</w:t>
      </w:r>
      <w:r>
        <w:rPr>
          <w:spacing w:val="-12"/>
          <w:sz w:val="21"/>
        </w:rPr>
        <w:t> </w:t>
      </w:r>
      <w:r>
        <w:rPr>
          <w:sz w:val="21"/>
        </w:rPr>
        <w:t>fuel</w:t>
      </w:r>
      <w:r>
        <w:rPr>
          <w:spacing w:val="-12"/>
          <w:sz w:val="21"/>
        </w:rPr>
        <w:t> </w:t>
      </w:r>
      <w:r>
        <w:rPr>
          <w:sz w:val="21"/>
        </w:rPr>
        <w:t>systemic</w:t>
      </w:r>
      <w:r>
        <w:rPr>
          <w:spacing w:val="-12"/>
          <w:sz w:val="21"/>
        </w:rPr>
        <w:t> </w:t>
      </w:r>
      <w:r>
        <w:rPr>
          <w:sz w:val="21"/>
        </w:rPr>
        <w:t>change</w:t>
      </w:r>
      <w:r>
        <w:rPr>
          <w:spacing w:val="-12"/>
          <w:sz w:val="21"/>
        </w:rPr>
        <w:t> </w:t>
      </w:r>
      <w:r>
        <w:rPr>
          <w:sz w:val="21"/>
        </w:rPr>
        <w:t>that</w:t>
      </w:r>
      <w:r>
        <w:rPr>
          <w:spacing w:val="-12"/>
          <w:sz w:val="21"/>
        </w:rPr>
        <w:t> </w:t>
      </w:r>
      <w:r>
        <w:rPr>
          <w:sz w:val="21"/>
        </w:rPr>
        <w:t>tangibly</w:t>
      </w:r>
      <w:r>
        <w:rPr>
          <w:spacing w:val="-12"/>
          <w:sz w:val="21"/>
        </w:rPr>
        <w:t> </w:t>
      </w:r>
      <w:r>
        <w:rPr>
          <w:sz w:val="21"/>
        </w:rPr>
        <w:t>reshapes</w:t>
      </w:r>
      <w:r>
        <w:rPr>
          <w:spacing w:val="-11"/>
          <w:sz w:val="21"/>
        </w:rPr>
        <w:t> </w:t>
      </w:r>
      <w:r>
        <w:rPr>
          <w:sz w:val="21"/>
        </w:rPr>
        <w:t>services,</w:t>
      </w:r>
      <w:r>
        <w:rPr>
          <w:spacing w:val="-12"/>
          <w:sz w:val="21"/>
        </w:rPr>
        <w:t> </w:t>
      </w:r>
      <w:r>
        <w:rPr>
          <w:sz w:val="21"/>
        </w:rPr>
        <w:t>schools,</w:t>
      </w:r>
      <w:r>
        <w:rPr>
          <w:spacing w:val="-12"/>
          <w:sz w:val="21"/>
        </w:rPr>
        <w:t> </w:t>
      </w:r>
      <w:r>
        <w:rPr>
          <w:sz w:val="21"/>
        </w:rPr>
        <w:t>communities,</w:t>
      </w:r>
      <w:r>
        <w:rPr>
          <w:spacing w:val="-12"/>
          <w:sz w:val="21"/>
        </w:rPr>
        <w:t> </w:t>
      </w:r>
      <w:r>
        <w:rPr>
          <w:sz w:val="21"/>
        </w:rPr>
        <w:t>policies,</w:t>
      </w:r>
      <w:r>
        <w:rPr>
          <w:spacing w:val="-12"/>
          <w:sz w:val="21"/>
        </w:rPr>
        <w:t> </w:t>
      </w:r>
      <w:r>
        <w:rPr>
          <w:sz w:val="21"/>
        </w:rPr>
        <w:t>and</w:t>
      </w:r>
      <w:r>
        <w:rPr>
          <w:spacing w:val="-12"/>
          <w:sz w:val="21"/>
        </w:rPr>
        <w:t> </w:t>
      </w:r>
      <w:r>
        <w:rPr>
          <w:sz w:val="21"/>
        </w:rPr>
        <w:t>laws</w:t>
      </w:r>
      <w:r>
        <w:rPr>
          <w:spacing w:val="-12"/>
          <w:sz w:val="21"/>
        </w:rPr>
        <w:t> </w:t>
      </w:r>
      <w:r>
        <w:rPr>
          <w:sz w:val="21"/>
        </w:rPr>
        <w:t>rather than focusing only on individual mental health support.</w:t>
      </w:r>
    </w:p>
    <w:p>
      <w:pPr>
        <w:spacing w:before="239"/>
        <w:ind w:left="463" w:right="0" w:firstLine="0"/>
        <w:jc w:val="both"/>
        <w:rPr>
          <w:sz w:val="28"/>
        </w:rPr>
      </w:pPr>
      <w:bookmarkStart w:name="Research: Supporting LGBTQ Youth Mental " w:id="242"/>
      <w:bookmarkEnd w:id="242"/>
      <w:r>
        <w:rPr/>
      </w:r>
      <w:r>
        <w:rPr>
          <w:color w:val="365F91"/>
          <w:sz w:val="28"/>
        </w:rPr>
        <w:t>Research:</w:t>
      </w:r>
      <w:r>
        <w:rPr>
          <w:color w:val="365F91"/>
          <w:spacing w:val="-11"/>
          <w:sz w:val="28"/>
        </w:rPr>
        <w:t> </w:t>
      </w:r>
      <w:r>
        <w:rPr>
          <w:color w:val="365F91"/>
          <w:sz w:val="28"/>
        </w:rPr>
        <w:t>Supporting</w:t>
      </w:r>
      <w:r>
        <w:rPr>
          <w:color w:val="365F91"/>
          <w:spacing w:val="-11"/>
          <w:sz w:val="28"/>
        </w:rPr>
        <w:t> </w:t>
      </w:r>
      <w:r>
        <w:rPr>
          <w:color w:val="365F91"/>
          <w:sz w:val="28"/>
        </w:rPr>
        <w:t>LGBTQ</w:t>
      </w:r>
      <w:r>
        <w:rPr>
          <w:color w:val="365F91"/>
          <w:spacing w:val="-12"/>
          <w:sz w:val="28"/>
        </w:rPr>
        <w:t> </w:t>
      </w:r>
      <w:r>
        <w:rPr>
          <w:color w:val="365F91"/>
          <w:sz w:val="28"/>
        </w:rPr>
        <w:t>Youth</w:t>
      </w:r>
      <w:r>
        <w:rPr>
          <w:color w:val="365F91"/>
          <w:spacing w:val="-10"/>
          <w:sz w:val="28"/>
        </w:rPr>
        <w:t> </w:t>
      </w:r>
      <w:r>
        <w:rPr>
          <w:color w:val="365F91"/>
          <w:sz w:val="28"/>
        </w:rPr>
        <w:t>Mental</w:t>
      </w:r>
      <w:r>
        <w:rPr>
          <w:color w:val="365F91"/>
          <w:spacing w:val="-12"/>
          <w:sz w:val="28"/>
        </w:rPr>
        <w:t> </w:t>
      </w:r>
      <w:r>
        <w:rPr>
          <w:color w:val="365F91"/>
          <w:spacing w:val="-2"/>
          <w:sz w:val="28"/>
        </w:rPr>
        <w:t>Health</w:t>
      </w:r>
    </w:p>
    <w:p>
      <w:pPr>
        <w:pStyle w:val="BodyText"/>
        <w:spacing w:before="10"/>
        <w:rPr>
          <w:sz w:val="3"/>
        </w:rPr>
      </w:pPr>
      <w:r>
        <w:rPr/>
        <mc:AlternateContent>
          <mc:Choice Requires="wps">
            <w:drawing>
              <wp:anchor distT="0" distB="0" distL="0" distR="0" allowOverlap="1" layoutInCell="1" locked="0" behindDoc="1" simplePos="0" relativeHeight="487619072">
                <wp:simplePos x="0" y="0"/>
                <wp:positionH relativeFrom="page">
                  <wp:posOffset>897636</wp:posOffset>
                </wp:positionH>
                <wp:positionV relativeFrom="paragraph">
                  <wp:posOffset>45386</wp:posOffset>
                </wp:positionV>
                <wp:extent cx="6052820" cy="6350"/>
                <wp:effectExtent l="0" t="0" r="0" b="0"/>
                <wp:wrapTopAndBottom/>
                <wp:docPr id="228" name="Graphic 228"/>
                <wp:cNvGraphicFramePr>
                  <a:graphicFrameLocks/>
                </wp:cNvGraphicFramePr>
                <a:graphic>
                  <a:graphicData uri="http://schemas.microsoft.com/office/word/2010/wordprocessingShape">
                    <wps:wsp>
                      <wps:cNvPr id="228" name="Graphic 228"/>
                      <wps:cNvSpPr/>
                      <wps:spPr>
                        <a:xfrm>
                          <a:off x="0" y="0"/>
                          <a:ext cx="6052820" cy="6350"/>
                        </a:xfrm>
                        <a:custGeom>
                          <a:avLst/>
                          <a:gdLst/>
                          <a:ahLst/>
                          <a:cxnLst/>
                          <a:rect l="l" t="t" r="r" b="b"/>
                          <a:pathLst>
                            <a:path w="6052820" h="6350">
                              <a:moveTo>
                                <a:pt x="6052578" y="0"/>
                              </a:moveTo>
                              <a:lnTo>
                                <a:pt x="0" y="0"/>
                              </a:lnTo>
                              <a:lnTo>
                                <a:pt x="0" y="6095"/>
                              </a:lnTo>
                              <a:lnTo>
                                <a:pt x="6052578" y="6095"/>
                              </a:lnTo>
                              <a:lnTo>
                                <a:pt x="6052578" y="0"/>
                              </a:lnTo>
                              <a:close/>
                            </a:path>
                          </a:pathLst>
                        </a:custGeom>
                        <a:solidFill>
                          <a:srgbClr val="4F81BC"/>
                        </a:solidFill>
                      </wps:spPr>
                      <wps:bodyPr wrap="square" lIns="0" tIns="0" rIns="0" bIns="0" rtlCol="0">
                        <a:prstTxWarp prst="textNoShape">
                          <a:avLst/>
                        </a:prstTxWarp>
                        <a:noAutofit/>
                      </wps:bodyPr>
                    </wps:wsp>
                  </a:graphicData>
                </a:graphic>
              </wp:anchor>
            </w:drawing>
          </mc:Choice>
          <mc:Fallback>
            <w:pict>
              <v:rect style="position:absolute;margin-left:70.680pt;margin-top:3.57376pt;width:476.581pt;height:.48pt;mso-position-horizontal-relative:page;mso-position-vertical-relative:paragraph;z-index:-15697408;mso-wrap-distance-left:0;mso-wrap-distance-right:0" id="docshape193" filled="true" fillcolor="#4f81bc" stroked="false">
                <v:fill type="solid"/>
                <w10:wrap type="topAndBottom"/>
              </v:rect>
            </w:pict>
          </mc:Fallback>
        </mc:AlternateContent>
      </w:r>
    </w:p>
    <w:p>
      <w:pPr>
        <w:spacing w:line="276" w:lineRule="auto" w:before="241"/>
        <w:ind w:left="463" w:right="239" w:hanging="1"/>
        <w:jc w:val="both"/>
        <w:rPr>
          <w:sz w:val="21"/>
        </w:rPr>
      </w:pPr>
      <w:r>
        <w:rPr>
          <w:sz w:val="21"/>
        </w:rPr>
        <w:t>In addition to early intervention and anti-oppressive, trauma-informed services, the Commission also urges decision-makers</w:t>
      </w:r>
      <w:r>
        <w:rPr>
          <w:spacing w:val="-10"/>
          <w:sz w:val="21"/>
        </w:rPr>
        <w:t> </w:t>
      </w:r>
      <w:r>
        <w:rPr>
          <w:sz w:val="21"/>
        </w:rPr>
        <w:t>and</w:t>
      </w:r>
      <w:r>
        <w:rPr>
          <w:spacing w:val="-9"/>
          <w:sz w:val="21"/>
        </w:rPr>
        <w:t> </w:t>
      </w:r>
      <w:r>
        <w:rPr>
          <w:sz w:val="21"/>
        </w:rPr>
        <w:t>allies</w:t>
      </w:r>
      <w:r>
        <w:rPr>
          <w:spacing w:val="-9"/>
          <w:sz w:val="21"/>
        </w:rPr>
        <w:t> </w:t>
      </w:r>
      <w:r>
        <w:rPr>
          <w:sz w:val="21"/>
        </w:rPr>
        <w:t>to</w:t>
      </w:r>
      <w:r>
        <w:rPr>
          <w:spacing w:val="-9"/>
          <w:sz w:val="21"/>
        </w:rPr>
        <w:t> </w:t>
      </w:r>
      <w:r>
        <w:rPr>
          <w:sz w:val="21"/>
        </w:rPr>
        <w:t>pay</w:t>
      </w:r>
      <w:r>
        <w:rPr>
          <w:spacing w:val="-9"/>
          <w:sz w:val="21"/>
        </w:rPr>
        <w:t> </w:t>
      </w:r>
      <w:r>
        <w:rPr>
          <w:sz w:val="21"/>
        </w:rPr>
        <w:t>attention</w:t>
      </w:r>
      <w:r>
        <w:rPr>
          <w:spacing w:val="-9"/>
          <w:sz w:val="21"/>
        </w:rPr>
        <w:t> </w:t>
      </w:r>
      <w:r>
        <w:rPr>
          <w:sz w:val="21"/>
        </w:rPr>
        <w:t>to</w:t>
      </w:r>
      <w:r>
        <w:rPr>
          <w:spacing w:val="-11"/>
          <w:sz w:val="21"/>
        </w:rPr>
        <w:t> </w:t>
      </w:r>
      <w:r>
        <w:rPr>
          <w:sz w:val="21"/>
        </w:rPr>
        <w:t>youths’</w:t>
      </w:r>
      <w:r>
        <w:rPr>
          <w:spacing w:val="-9"/>
          <w:sz w:val="21"/>
        </w:rPr>
        <w:t> </w:t>
      </w:r>
      <w:r>
        <w:rPr>
          <w:sz w:val="21"/>
        </w:rPr>
        <w:t>intersectional</w:t>
      </w:r>
      <w:r>
        <w:rPr>
          <w:spacing w:val="-9"/>
          <w:sz w:val="21"/>
        </w:rPr>
        <w:t> </w:t>
      </w:r>
      <w:r>
        <w:rPr>
          <w:sz w:val="21"/>
        </w:rPr>
        <w:t>identities.</w:t>
      </w:r>
      <w:r>
        <w:rPr>
          <w:spacing w:val="-9"/>
          <w:sz w:val="21"/>
        </w:rPr>
        <w:t> </w:t>
      </w:r>
      <w:r>
        <w:rPr>
          <w:sz w:val="21"/>
        </w:rPr>
        <w:t>Key</w:t>
      </w:r>
      <w:r>
        <w:rPr>
          <w:spacing w:val="-9"/>
          <w:sz w:val="21"/>
        </w:rPr>
        <w:t> </w:t>
      </w:r>
      <w:r>
        <w:rPr>
          <w:sz w:val="21"/>
        </w:rPr>
        <w:t>identities</w:t>
      </w:r>
      <w:r>
        <w:rPr>
          <w:spacing w:val="-9"/>
          <w:sz w:val="21"/>
        </w:rPr>
        <w:t> </w:t>
      </w:r>
      <w:r>
        <w:rPr>
          <w:sz w:val="21"/>
        </w:rPr>
        <w:t>to</w:t>
      </w:r>
      <w:r>
        <w:rPr>
          <w:spacing w:val="-9"/>
          <w:sz w:val="21"/>
        </w:rPr>
        <w:t> </w:t>
      </w:r>
      <w:r>
        <w:rPr>
          <w:sz w:val="21"/>
        </w:rPr>
        <w:t>consider</w:t>
      </w:r>
      <w:r>
        <w:rPr>
          <w:spacing w:val="-9"/>
          <w:sz w:val="21"/>
        </w:rPr>
        <w:t> </w:t>
      </w:r>
      <w:r>
        <w:rPr>
          <w:sz w:val="21"/>
        </w:rPr>
        <w:t>include race/ethnicity, immigration status, disability/neurodivergence/Deafness, involvement in child welfare and juvenile justice systems, and rural residence.</w:t>
      </w:r>
    </w:p>
    <w:p>
      <w:pPr>
        <w:spacing w:before="240"/>
        <w:ind w:left="463" w:right="0" w:firstLine="0"/>
        <w:jc w:val="both"/>
        <w:rPr>
          <w:sz w:val="28"/>
        </w:rPr>
      </w:pPr>
      <w:bookmarkStart w:name="Race &amp; Ethnicity: Taking an Anti-Racist," w:id="243"/>
      <w:bookmarkEnd w:id="243"/>
      <w:r>
        <w:rPr/>
      </w:r>
      <w:r>
        <w:rPr>
          <w:color w:val="365F91"/>
          <w:sz w:val="28"/>
        </w:rPr>
        <w:t>Race</w:t>
      </w:r>
      <w:r>
        <w:rPr>
          <w:color w:val="365F91"/>
          <w:spacing w:val="-11"/>
          <w:sz w:val="28"/>
        </w:rPr>
        <w:t> </w:t>
      </w:r>
      <w:r>
        <w:rPr>
          <w:color w:val="365F91"/>
          <w:sz w:val="28"/>
        </w:rPr>
        <w:t>&amp;</w:t>
      </w:r>
      <w:r>
        <w:rPr>
          <w:color w:val="365F91"/>
          <w:spacing w:val="-11"/>
          <w:sz w:val="28"/>
        </w:rPr>
        <w:t> </w:t>
      </w:r>
      <w:r>
        <w:rPr>
          <w:color w:val="365F91"/>
          <w:sz w:val="28"/>
        </w:rPr>
        <w:t>Ethnicity:</w:t>
      </w:r>
      <w:r>
        <w:rPr>
          <w:color w:val="365F91"/>
          <w:spacing w:val="-11"/>
          <w:sz w:val="28"/>
        </w:rPr>
        <w:t> </w:t>
      </w:r>
      <w:r>
        <w:rPr>
          <w:color w:val="365F91"/>
          <w:sz w:val="28"/>
        </w:rPr>
        <w:t>Taking</w:t>
      </w:r>
      <w:r>
        <w:rPr>
          <w:color w:val="365F91"/>
          <w:spacing w:val="-11"/>
          <w:sz w:val="28"/>
        </w:rPr>
        <w:t> </w:t>
      </w:r>
      <w:r>
        <w:rPr>
          <w:color w:val="365F91"/>
          <w:sz w:val="28"/>
        </w:rPr>
        <w:t>an</w:t>
      </w:r>
      <w:r>
        <w:rPr>
          <w:color w:val="365F91"/>
          <w:spacing w:val="-11"/>
          <w:sz w:val="28"/>
        </w:rPr>
        <w:t> </w:t>
      </w:r>
      <w:r>
        <w:rPr>
          <w:color w:val="365F91"/>
          <w:sz w:val="28"/>
        </w:rPr>
        <w:t>Anti-Racist,</w:t>
      </w:r>
      <w:r>
        <w:rPr>
          <w:color w:val="365F91"/>
          <w:spacing w:val="-11"/>
          <w:sz w:val="28"/>
        </w:rPr>
        <w:t> </w:t>
      </w:r>
      <w:r>
        <w:rPr>
          <w:color w:val="365F91"/>
          <w:sz w:val="28"/>
        </w:rPr>
        <w:t>Intersectional</w:t>
      </w:r>
      <w:r>
        <w:rPr>
          <w:color w:val="365F91"/>
          <w:spacing w:val="-10"/>
          <w:sz w:val="28"/>
        </w:rPr>
        <w:t> </w:t>
      </w:r>
      <w:r>
        <w:rPr>
          <w:color w:val="365F91"/>
          <w:spacing w:val="-2"/>
          <w:sz w:val="28"/>
        </w:rPr>
        <w:t>Approach</w:t>
      </w:r>
    </w:p>
    <w:p>
      <w:pPr>
        <w:spacing w:line="276" w:lineRule="auto" w:before="291"/>
        <w:ind w:left="463" w:right="241" w:firstLine="0"/>
        <w:jc w:val="both"/>
        <w:rPr>
          <w:sz w:val="21"/>
        </w:rPr>
      </w:pPr>
      <w:r>
        <w:rPr>
          <w:sz w:val="21"/>
        </w:rPr>
        <w:t>Queer and transgender BIPOC (QTBIPOC) youth do not just experience minority stress through LGBTQ-phobia, but also through racism – which </w:t>
      </w:r>
      <w:r>
        <w:rPr>
          <w:color w:val="1C1D1E"/>
          <w:sz w:val="21"/>
        </w:rPr>
        <w:t>“is not an abnormal experience, but an everyday occurrence.”</w:t>
      </w:r>
      <w:hyperlink w:history="true" w:anchor="_bookmark118">
        <w:r>
          <w:rPr>
            <w:color w:val="1C1D1E"/>
            <w:sz w:val="21"/>
            <w:vertAlign w:val="superscript"/>
          </w:rPr>
          <w:t>17</w:t>
        </w:r>
      </w:hyperlink>
      <w:r>
        <w:rPr>
          <w:color w:val="1C1D1E"/>
          <w:sz w:val="21"/>
          <w:vertAlign w:val="baseline"/>
        </w:rPr>
        <w:t> For instance, </w:t>
      </w:r>
      <w:r>
        <w:rPr>
          <w:sz w:val="21"/>
          <w:vertAlign w:val="baseline"/>
        </w:rPr>
        <w:t>GLSEN’s</w:t>
      </w:r>
      <w:r>
        <w:rPr>
          <w:spacing w:val="13"/>
          <w:sz w:val="21"/>
          <w:vertAlign w:val="baseline"/>
        </w:rPr>
        <w:t> </w:t>
      </w:r>
      <w:r>
        <w:rPr>
          <w:sz w:val="21"/>
          <w:vertAlign w:val="baseline"/>
        </w:rPr>
        <w:t>2021</w:t>
      </w:r>
      <w:r>
        <w:rPr>
          <w:spacing w:val="14"/>
          <w:sz w:val="21"/>
          <w:vertAlign w:val="baseline"/>
        </w:rPr>
        <w:t> </w:t>
      </w:r>
      <w:r>
        <w:rPr>
          <w:sz w:val="21"/>
          <w:vertAlign w:val="baseline"/>
        </w:rPr>
        <w:t>National</w:t>
      </w:r>
      <w:r>
        <w:rPr>
          <w:spacing w:val="14"/>
          <w:sz w:val="21"/>
          <w:vertAlign w:val="baseline"/>
        </w:rPr>
        <w:t> </w:t>
      </w:r>
      <w:r>
        <w:rPr>
          <w:sz w:val="21"/>
          <w:vertAlign w:val="baseline"/>
        </w:rPr>
        <w:t>School</w:t>
      </w:r>
      <w:r>
        <w:rPr>
          <w:spacing w:val="15"/>
          <w:sz w:val="21"/>
          <w:vertAlign w:val="baseline"/>
        </w:rPr>
        <w:t> </w:t>
      </w:r>
      <w:r>
        <w:rPr>
          <w:sz w:val="21"/>
          <w:vertAlign w:val="baseline"/>
        </w:rPr>
        <w:t>Climate</w:t>
      </w:r>
      <w:r>
        <w:rPr>
          <w:spacing w:val="14"/>
          <w:sz w:val="21"/>
          <w:vertAlign w:val="baseline"/>
        </w:rPr>
        <w:t> </w:t>
      </w:r>
      <w:r>
        <w:rPr>
          <w:sz w:val="21"/>
          <w:vertAlign w:val="baseline"/>
        </w:rPr>
        <w:t>Survey</w:t>
      </w:r>
      <w:r>
        <w:rPr>
          <w:spacing w:val="15"/>
          <w:sz w:val="21"/>
          <w:vertAlign w:val="baseline"/>
        </w:rPr>
        <w:t> </w:t>
      </w:r>
      <w:r>
        <w:rPr>
          <w:sz w:val="21"/>
          <w:vertAlign w:val="baseline"/>
        </w:rPr>
        <w:t>found</w:t>
      </w:r>
      <w:r>
        <w:rPr>
          <w:spacing w:val="15"/>
          <w:sz w:val="21"/>
          <w:vertAlign w:val="baseline"/>
        </w:rPr>
        <w:t> </w:t>
      </w:r>
      <w:r>
        <w:rPr>
          <w:sz w:val="21"/>
          <w:vertAlign w:val="baseline"/>
        </w:rPr>
        <w:t>that</w:t>
      </w:r>
      <w:r>
        <w:rPr>
          <w:spacing w:val="13"/>
          <w:sz w:val="21"/>
          <w:vertAlign w:val="baseline"/>
        </w:rPr>
        <w:t> </w:t>
      </w:r>
      <w:r>
        <w:rPr>
          <w:sz w:val="21"/>
          <w:vertAlign w:val="baseline"/>
        </w:rPr>
        <w:t>nearly</w:t>
      </w:r>
      <w:r>
        <w:rPr>
          <w:spacing w:val="15"/>
          <w:sz w:val="21"/>
          <w:vertAlign w:val="baseline"/>
        </w:rPr>
        <w:t> </w:t>
      </w:r>
      <w:r>
        <w:rPr>
          <w:sz w:val="21"/>
          <w:vertAlign w:val="baseline"/>
        </w:rPr>
        <w:t>81%</w:t>
      </w:r>
      <w:r>
        <w:rPr>
          <w:spacing w:val="15"/>
          <w:sz w:val="21"/>
          <w:vertAlign w:val="baseline"/>
        </w:rPr>
        <w:t> </w:t>
      </w:r>
      <w:r>
        <w:rPr>
          <w:sz w:val="21"/>
          <w:vertAlign w:val="baseline"/>
        </w:rPr>
        <w:t>of</w:t>
      </w:r>
      <w:r>
        <w:rPr>
          <w:spacing w:val="14"/>
          <w:sz w:val="21"/>
          <w:vertAlign w:val="baseline"/>
        </w:rPr>
        <w:t> </w:t>
      </w:r>
      <w:r>
        <w:rPr>
          <w:sz w:val="21"/>
          <w:vertAlign w:val="baseline"/>
        </w:rPr>
        <w:t>LGBTQ</w:t>
      </w:r>
      <w:r>
        <w:rPr>
          <w:spacing w:val="13"/>
          <w:sz w:val="21"/>
          <w:vertAlign w:val="baseline"/>
        </w:rPr>
        <w:t> </w:t>
      </w:r>
      <w:r>
        <w:rPr>
          <w:sz w:val="21"/>
          <w:vertAlign w:val="baseline"/>
        </w:rPr>
        <w:t>youth</w:t>
      </w:r>
      <w:r>
        <w:rPr>
          <w:spacing w:val="15"/>
          <w:sz w:val="21"/>
          <w:vertAlign w:val="baseline"/>
        </w:rPr>
        <w:t> </w:t>
      </w:r>
      <w:r>
        <w:rPr>
          <w:sz w:val="21"/>
          <w:vertAlign w:val="baseline"/>
        </w:rPr>
        <w:t>heard</w:t>
      </w:r>
      <w:r>
        <w:rPr>
          <w:spacing w:val="14"/>
          <w:sz w:val="21"/>
          <w:vertAlign w:val="baseline"/>
        </w:rPr>
        <w:t> </w:t>
      </w:r>
      <w:r>
        <w:rPr>
          <w:sz w:val="21"/>
          <w:vertAlign w:val="baseline"/>
        </w:rPr>
        <w:t>racist</w:t>
      </w:r>
      <w:r>
        <w:rPr>
          <w:spacing w:val="15"/>
          <w:sz w:val="21"/>
          <w:vertAlign w:val="baseline"/>
        </w:rPr>
        <w:t> </w:t>
      </w:r>
      <w:r>
        <w:rPr>
          <w:sz w:val="21"/>
          <w:vertAlign w:val="baseline"/>
        </w:rPr>
        <w:t>remarks</w:t>
      </w:r>
      <w:r>
        <w:rPr>
          <w:spacing w:val="13"/>
          <w:sz w:val="21"/>
          <w:vertAlign w:val="baseline"/>
        </w:rPr>
        <w:t> </w:t>
      </w:r>
      <w:r>
        <w:rPr>
          <w:spacing w:val="-5"/>
          <w:sz w:val="21"/>
          <w:vertAlign w:val="baseline"/>
        </w:rPr>
        <w:t>in</w:t>
      </w:r>
    </w:p>
    <w:p>
      <w:pPr>
        <w:spacing w:after="0" w:line="276" w:lineRule="auto"/>
        <w:jc w:val="both"/>
        <w:rPr>
          <w:sz w:val="21"/>
        </w:rPr>
        <w:sectPr>
          <w:pgSz w:w="12240" w:h="15840"/>
          <w:pgMar w:header="804" w:footer="1390" w:top="1080" w:bottom="1620" w:left="980" w:right="1080"/>
        </w:sectPr>
      </w:pPr>
    </w:p>
    <w:p>
      <w:pPr>
        <w:spacing w:line="276" w:lineRule="auto" w:before="69"/>
        <w:ind w:left="463" w:right="242" w:firstLine="0"/>
        <w:jc w:val="both"/>
        <w:rPr>
          <w:sz w:val="21"/>
        </w:rPr>
      </w:pPr>
      <w:r>
        <w:rPr>
          <w:sz w:val="21"/>
        </w:rPr>
        <w:t>school</w:t>
      </w:r>
      <w:r>
        <w:rPr>
          <w:spacing w:val="-12"/>
          <w:sz w:val="21"/>
        </w:rPr>
        <w:t> </w:t>
      </w:r>
      <w:r>
        <w:rPr>
          <w:sz w:val="21"/>
        </w:rPr>
        <w:t>at</w:t>
      </w:r>
      <w:r>
        <w:rPr>
          <w:spacing w:val="-12"/>
          <w:sz w:val="21"/>
        </w:rPr>
        <w:t> </w:t>
      </w:r>
      <w:r>
        <w:rPr>
          <w:sz w:val="21"/>
        </w:rPr>
        <w:t>least</w:t>
      </w:r>
      <w:r>
        <w:rPr>
          <w:spacing w:val="-12"/>
          <w:sz w:val="21"/>
        </w:rPr>
        <w:t> </w:t>
      </w:r>
      <w:r>
        <w:rPr>
          <w:sz w:val="21"/>
        </w:rPr>
        <w:t>“sometimes.”</w:t>
      </w:r>
      <w:r>
        <w:rPr>
          <w:spacing w:val="-12"/>
          <w:sz w:val="21"/>
        </w:rPr>
        <w:t> </w:t>
      </w:r>
      <w:r>
        <w:rPr>
          <w:sz w:val="21"/>
        </w:rPr>
        <w:t>Meanwhile,</w:t>
      </w:r>
      <w:r>
        <w:rPr>
          <w:spacing w:val="-12"/>
          <w:sz w:val="21"/>
        </w:rPr>
        <w:t> </w:t>
      </w:r>
      <w:r>
        <w:rPr>
          <w:sz w:val="21"/>
        </w:rPr>
        <w:t>many</w:t>
      </w:r>
      <w:r>
        <w:rPr>
          <w:spacing w:val="-12"/>
          <w:sz w:val="21"/>
        </w:rPr>
        <w:t> </w:t>
      </w:r>
      <w:r>
        <w:rPr>
          <w:sz w:val="21"/>
        </w:rPr>
        <w:t>QTBIPOC</w:t>
      </w:r>
      <w:r>
        <w:rPr>
          <w:spacing w:val="-12"/>
          <w:sz w:val="21"/>
        </w:rPr>
        <w:t> </w:t>
      </w:r>
      <w:r>
        <w:rPr>
          <w:sz w:val="21"/>
        </w:rPr>
        <w:t>youth</w:t>
      </w:r>
      <w:r>
        <w:rPr>
          <w:spacing w:val="-11"/>
          <w:sz w:val="21"/>
        </w:rPr>
        <w:t> </w:t>
      </w:r>
      <w:r>
        <w:rPr>
          <w:sz w:val="21"/>
        </w:rPr>
        <w:t>have</w:t>
      </w:r>
      <w:r>
        <w:rPr>
          <w:spacing w:val="-12"/>
          <w:sz w:val="21"/>
        </w:rPr>
        <w:t> </w:t>
      </w:r>
      <w:r>
        <w:rPr>
          <w:sz w:val="21"/>
        </w:rPr>
        <w:t>reported</w:t>
      </w:r>
      <w:r>
        <w:rPr>
          <w:spacing w:val="-12"/>
          <w:sz w:val="21"/>
        </w:rPr>
        <w:t> </w:t>
      </w:r>
      <w:r>
        <w:rPr>
          <w:sz w:val="21"/>
        </w:rPr>
        <w:t>being</w:t>
      </w:r>
      <w:r>
        <w:rPr>
          <w:spacing w:val="-12"/>
          <w:sz w:val="21"/>
        </w:rPr>
        <w:t> </w:t>
      </w:r>
      <w:r>
        <w:rPr>
          <w:sz w:val="21"/>
        </w:rPr>
        <w:t>harassed</w:t>
      </w:r>
      <w:r>
        <w:rPr>
          <w:spacing w:val="-12"/>
          <w:sz w:val="21"/>
        </w:rPr>
        <w:t> </w:t>
      </w:r>
      <w:r>
        <w:rPr>
          <w:sz w:val="21"/>
        </w:rPr>
        <w:t>or</w:t>
      </w:r>
      <w:r>
        <w:rPr>
          <w:spacing w:val="-12"/>
          <w:sz w:val="21"/>
        </w:rPr>
        <w:t> </w:t>
      </w:r>
      <w:r>
        <w:rPr>
          <w:sz w:val="21"/>
        </w:rPr>
        <w:t>assaulted</w:t>
      </w:r>
      <w:r>
        <w:rPr>
          <w:spacing w:val="-12"/>
          <w:sz w:val="21"/>
        </w:rPr>
        <w:t> </w:t>
      </w:r>
      <w:r>
        <w:rPr>
          <w:sz w:val="21"/>
        </w:rPr>
        <w:t>based on their race or ethnicity – either at school (over 1 in 2 youth) or online (over 1 in 4).</w:t>
      </w:r>
      <w:hyperlink w:history="true" w:anchor="_bookmark119">
        <w:r>
          <w:rPr>
            <w:sz w:val="21"/>
            <w:vertAlign w:val="superscript"/>
          </w:rPr>
          <w:t>18</w:t>
        </w:r>
      </w:hyperlink>
    </w:p>
    <w:p>
      <w:pPr>
        <w:spacing w:line="276" w:lineRule="auto" w:before="239"/>
        <w:ind w:left="2033" w:right="237" w:firstLine="0"/>
        <w:jc w:val="both"/>
        <w:rPr>
          <w:sz w:val="21"/>
        </w:rPr>
      </w:pPr>
      <w:r>
        <w:rPr/>
        <w:drawing>
          <wp:anchor distT="0" distB="0" distL="0" distR="0" allowOverlap="1" layoutInCell="1" locked="0" behindDoc="0" simplePos="0" relativeHeight="15760384">
            <wp:simplePos x="0" y="0"/>
            <wp:positionH relativeFrom="page">
              <wp:posOffset>825500</wp:posOffset>
            </wp:positionH>
            <wp:positionV relativeFrom="paragraph">
              <wp:posOffset>193944</wp:posOffset>
            </wp:positionV>
            <wp:extent cx="950432" cy="807437"/>
            <wp:effectExtent l="0" t="0" r="0" b="0"/>
            <wp:wrapNone/>
            <wp:docPr id="229" name="Image 229"/>
            <wp:cNvGraphicFramePr>
              <a:graphicFrameLocks/>
            </wp:cNvGraphicFramePr>
            <a:graphic>
              <a:graphicData uri="http://schemas.openxmlformats.org/drawingml/2006/picture">
                <pic:pic>
                  <pic:nvPicPr>
                    <pic:cNvPr id="229" name="Image 229"/>
                    <pic:cNvPicPr/>
                  </pic:nvPicPr>
                  <pic:blipFill>
                    <a:blip r:embed="rId177" cstate="print"/>
                    <a:stretch>
                      <a:fillRect/>
                    </a:stretch>
                  </pic:blipFill>
                  <pic:spPr>
                    <a:xfrm>
                      <a:off x="0" y="0"/>
                      <a:ext cx="950432" cy="807437"/>
                    </a:xfrm>
                    <a:prstGeom prst="rect">
                      <a:avLst/>
                    </a:prstGeom>
                  </pic:spPr>
                </pic:pic>
              </a:graphicData>
            </a:graphic>
          </wp:anchor>
        </w:drawing>
      </w:r>
      <w:r>
        <w:rPr>
          <w:sz w:val="21"/>
        </w:rPr>
        <w:t>Racism is not just interpersonal. Systems such as housing and employment create and maintain generational inequities in income and health, leading to minority stress. Mental healthcare and social service systems are not exempt. Research shows that BIPOC youth across the board do not get the mental healthcare they need more often than their white peers, partially due to barriers like cost, insurance, parent and youth work or childcare responsibilities, and transportation. Importantly, youth may also avoid or distrust providers</w:t>
      </w:r>
    </w:p>
    <w:p>
      <w:pPr>
        <w:spacing w:line="276" w:lineRule="auto" w:before="0"/>
        <w:ind w:left="463" w:right="238" w:firstLine="0"/>
        <w:jc w:val="both"/>
        <w:rPr>
          <w:sz w:val="21"/>
        </w:rPr>
      </w:pPr>
      <w:r>
        <w:rPr>
          <w:sz w:val="21"/>
        </w:rPr>
        <w:t>who use Eurocentric theories and treatment models that focus on the individual, “other” non-white clients’ values or experiences, and ignore or misaddress issues of power, culture, poverty, race, and racism</w:t>
      </w:r>
      <w:hyperlink w:history="true" w:anchor="_bookmark120">
        <w:r>
          <w:rPr>
            <w:sz w:val="21"/>
          </w:rPr>
          <w:t>.</w:t>
        </w:r>
        <w:r>
          <w:rPr>
            <w:sz w:val="21"/>
            <w:vertAlign w:val="superscript"/>
          </w:rPr>
          <w:t>19</w:t>
        </w:r>
      </w:hyperlink>
      <w:r>
        <w:rPr>
          <w:sz w:val="21"/>
          <w:vertAlign w:val="baseline"/>
        </w:rPr>
        <w:t> For example, mounting evidence shows that Black and Latine male youth are significantly more likely than their white peers to be misdiagnosed with disruptive behavioral disorders rather than trauma, ADHD, or autism, partially due to clinician bias</w:t>
      </w:r>
      <w:hyperlink w:history="true" w:anchor="_bookmark121">
        <w:r>
          <w:rPr>
            <w:sz w:val="21"/>
            <w:vertAlign w:val="baseline"/>
          </w:rPr>
          <w:t>.</w:t>
        </w:r>
        <w:r>
          <w:rPr>
            <w:sz w:val="21"/>
            <w:vertAlign w:val="superscript"/>
          </w:rPr>
          <w:t>20</w:t>
        </w:r>
      </w:hyperlink>
    </w:p>
    <w:p>
      <w:pPr>
        <w:spacing w:line="276" w:lineRule="auto" w:before="240"/>
        <w:ind w:left="463" w:right="240" w:firstLine="0"/>
        <w:jc w:val="both"/>
        <w:rPr>
          <w:sz w:val="21"/>
        </w:rPr>
      </w:pPr>
      <w:r>
        <w:rPr>
          <w:sz w:val="21"/>
        </w:rPr>
        <w:t>In</w:t>
      </w:r>
      <w:r>
        <w:rPr>
          <w:spacing w:val="-3"/>
          <w:sz w:val="21"/>
        </w:rPr>
        <w:t> </w:t>
      </w:r>
      <w:r>
        <w:rPr>
          <w:sz w:val="21"/>
        </w:rPr>
        <w:t>addition</w:t>
      </w:r>
      <w:r>
        <w:rPr>
          <w:spacing w:val="-3"/>
          <w:sz w:val="21"/>
        </w:rPr>
        <w:t> </w:t>
      </w:r>
      <w:r>
        <w:rPr>
          <w:sz w:val="21"/>
        </w:rPr>
        <w:t>to</w:t>
      </w:r>
      <w:r>
        <w:rPr>
          <w:spacing w:val="-5"/>
          <w:sz w:val="21"/>
        </w:rPr>
        <w:t> </w:t>
      </w:r>
      <w:r>
        <w:rPr>
          <w:sz w:val="21"/>
        </w:rPr>
        <w:t>the</w:t>
      </w:r>
      <w:r>
        <w:rPr>
          <w:spacing w:val="-3"/>
          <w:sz w:val="21"/>
        </w:rPr>
        <w:t> </w:t>
      </w:r>
      <w:r>
        <w:rPr>
          <w:sz w:val="21"/>
        </w:rPr>
        <w:t>double</w:t>
      </w:r>
      <w:r>
        <w:rPr>
          <w:spacing w:val="-3"/>
          <w:sz w:val="21"/>
        </w:rPr>
        <w:t> </w:t>
      </w:r>
      <w:r>
        <w:rPr>
          <w:sz w:val="21"/>
        </w:rPr>
        <w:t>burden</w:t>
      </w:r>
      <w:r>
        <w:rPr>
          <w:spacing w:val="-3"/>
          <w:sz w:val="21"/>
        </w:rPr>
        <w:t> </w:t>
      </w:r>
      <w:r>
        <w:rPr>
          <w:sz w:val="21"/>
        </w:rPr>
        <w:t>of</w:t>
      </w:r>
      <w:r>
        <w:rPr>
          <w:spacing w:val="-3"/>
          <w:sz w:val="21"/>
        </w:rPr>
        <w:t> </w:t>
      </w:r>
      <w:r>
        <w:rPr>
          <w:sz w:val="21"/>
        </w:rPr>
        <w:t>everyday</w:t>
      </w:r>
      <w:r>
        <w:rPr>
          <w:spacing w:val="-3"/>
          <w:sz w:val="21"/>
        </w:rPr>
        <w:t> </w:t>
      </w:r>
      <w:r>
        <w:rPr>
          <w:sz w:val="21"/>
        </w:rPr>
        <w:t>oppression,</w:t>
      </w:r>
      <w:r>
        <w:rPr>
          <w:spacing w:val="-2"/>
          <w:sz w:val="21"/>
        </w:rPr>
        <w:t> </w:t>
      </w:r>
      <w:r>
        <w:rPr>
          <w:sz w:val="21"/>
        </w:rPr>
        <w:t>some</w:t>
      </w:r>
      <w:r>
        <w:rPr>
          <w:spacing w:val="-3"/>
          <w:sz w:val="21"/>
        </w:rPr>
        <w:t> </w:t>
      </w:r>
      <w:r>
        <w:rPr>
          <w:sz w:val="21"/>
        </w:rPr>
        <w:t>QTBIPOC</w:t>
      </w:r>
      <w:r>
        <w:rPr>
          <w:spacing w:val="-3"/>
          <w:sz w:val="21"/>
        </w:rPr>
        <w:t> </w:t>
      </w:r>
      <w:r>
        <w:rPr>
          <w:sz w:val="21"/>
        </w:rPr>
        <w:t>people</w:t>
      </w:r>
      <w:r>
        <w:rPr>
          <w:spacing w:val="-3"/>
          <w:sz w:val="21"/>
        </w:rPr>
        <w:t> </w:t>
      </w:r>
      <w:r>
        <w:rPr>
          <w:sz w:val="21"/>
        </w:rPr>
        <w:t>report</w:t>
      </w:r>
      <w:r>
        <w:rPr>
          <w:spacing w:val="-3"/>
          <w:sz w:val="21"/>
        </w:rPr>
        <w:t> </w:t>
      </w:r>
      <w:r>
        <w:rPr>
          <w:sz w:val="21"/>
        </w:rPr>
        <w:t>feeling</w:t>
      </w:r>
      <w:r>
        <w:rPr>
          <w:spacing w:val="-3"/>
          <w:sz w:val="21"/>
        </w:rPr>
        <w:t> </w:t>
      </w:r>
      <w:r>
        <w:rPr>
          <w:sz w:val="21"/>
        </w:rPr>
        <w:t>doubly</w:t>
      </w:r>
      <w:r>
        <w:rPr>
          <w:spacing w:val="-3"/>
          <w:sz w:val="21"/>
        </w:rPr>
        <w:t> </w:t>
      </w:r>
      <w:r>
        <w:rPr>
          <w:sz w:val="21"/>
        </w:rPr>
        <w:t>isolated. That is, they feel unseen and unprotected in both LGBTQ and racial/ethnic affinity spaces</w:t>
      </w:r>
      <w:hyperlink w:history="true" w:anchor="_bookmark122">
        <w:r>
          <w:rPr>
            <w:sz w:val="21"/>
          </w:rPr>
          <w:t>.</w:t>
        </w:r>
        <w:r>
          <w:rPr>
            <w:sz w:val="21"/>
            <w:vertAlign w:val="superscript"/>
          </w:rPr>
          <w:t>21</w:t>
        </w:r>
      </w:hyperlink>
      <w:r>
        <w:rPr>
          <w:sz w:val="21"/>
          <w:vertAlign w:val="baseline"/>
        </w:rPr>
        <w:t> One well-known example</w:t>
      </w:r>
      <w:r>
        <w:rPr>
          <w:spacing w:val="-10"/>
          <w:sz w:val="21"/>
          <w:vertAlign w:val="baseline"/>
        </w:rPr>
        <w:t> </w:t>
      </w:r>
      <w:r>
        <w:rPr>
          <w:sz w:val="21"/>
          <w:vertAlign w:val="baseline"/>
        </w:rPr>
        <w:t>is</w:t>
      </w:r>
      <w:r>
        <w:rPr>
          <w:spacing w:val="-11"/>
          <w:sz w:val="21"/>
          <w:vertAlign w:val="baseline"/>
        </w:rPr>
        <w:t> </w:t>
      </w:r>
      <w:r>
        <w:rPr>
          <w:sz w:val="21"/>
          <w:vertAlign w:val="baseline"/>
        </w:rPr>
        <w:t>the</w:t>
      </w:r>
      <w:r>
        <w:rPr>
          <w:spacing w:val="-12"/>
          <w:sz w:val="21"/>
          <w:vertAlign w:val="baseline"/>
        </w:rPr>
        <w:t> </w:t>
      </w:r>
      <w:r>
        <w:rPr>
          <w:sz w:val="21"/>
          <w:vertAlign w:val="baseline"/>
        </w:rPr>
        <w:t>“no</w:t>
      </w:r>
      <w:r>
        <w:rPr>
          <w:spacing w:val="-11"/>
          <w:sz w:val="21"/>
          <w:vertAlign w:val="baseline"/>
        </w:rPr>
        <w:t> </w:t>
      </w:r>
      <w:r>
        <w:rPr>
          <w:sz w:val="21"/>
          <w:vertAlign w:val="baseline"/>
        </w:rPr>
        <w:t>fats,</w:t>
      </w:r>
      <w:r>
        <w:rPr>
          <w:spacing w:val="-10"/>
          <w:sz w:val="21"/>
          <w:vertAlign w:val="baseline"/>
        </w:rPr>
        <w:t> </w:t>
      </w:r>
      <w:r>
        <w:rPr>
          <w:sz w:val="21"/>
          <w:vertAlign w:val="baseline"/>
        </w:rPr>
        <w:t>no</w:t>
      </w:r>
      <w:r>
        <w:rPr>
          <w:spacing w:val="-11"/>
          <w:sz w:val="21"/>
          <w:vertAlign w:val="baseline"/>
        </w:rPr>
        <w:t> </w:t>
      </w:r>
      <w:r>
        <w:rPr>
          <w:sz w:val="21"/>
          <w:vertAlign w:val="baseline"/>
        </w:rPr>
        <w:t>femmes,</w:t>
      </w:r>
      <w:r>
        <w:rPr>
          <w:spacing w:val="-10"/>
          <w:sz w:val="21"/>
          <w:vertAlign w:val="baseline"/>
        </w:rPr>
        <w:t> </w:t>
      </w:r>
      <w:r>
        <w:rPr>
          <w:sz w:val="21"/>
          <w:vertAlign w:val="baseline"/>
        </w:rPr>
        <w:t>no</w:t>
      </w:r>
      <w:r>
        <w:rPr>
          <w:spacing w:val="-11"/>
          <w:sz w:val="21"/>
          <w:vertAlign w:val="baseline"/>
        </w:rPr>
        <w:t> </w:t>
      </w:r>
      <w:r>
        <w:rPr>
          <w:sz w:val="21"/>
          <w:vertAlign w:val="baseline"/>
        </w:rPr>
        <w:t>Asians”</w:t>
      </w:r>
      <w:r>
        <w:rPr>
          <w:spacing w:val="-11"/>
          <w:sz w:val="21"/>
          <w:vertAlign w:val="baseline"/>
        </w:rPr>
        <w:t> </w:t>
      </w:r>
      <w:r>
        <w:rPr>
          <w:sz w:val="21"/>
          <w:vertAlign w:val="baseline"/>
        </w:rPr>
        <w:t>line</w:t>
      </w:r>
      <w:r>
        <w:rPr>
          <w:spacing w:val="-10"/>
          <w:sz w:val="21"/>
          <w:vertAlign w:val="baseline"/>
        </w:rPr>
        <w:t> </w:t>
      </w:r>
      <w:r>
        <w:rPr>
          <w:sz w:val="21"/>
          <w:vertAlign w:val="baseline"/>
        </w:rPr>
        <w:t>that</w:t>
      </w:r>
      <w:r>
        <w:rPr>
          <w:spacing w:val="-10"/>
          <w:sz w:val="21"/>
          <w:vertAlign w:val="baseline"/>
        </w:rPr>
        <w:t> </w:t>
      </w:r>
      <w:r>
        <w:rPr>
          <w:sz w:val="21"/>
          <w:vertAlign w:val="baseline"/>
        </w:rPr>
        <w:t>Asian</w:t>
      </w:r>
      <w:r>
        <w:rPr>
          <w:spacing w:val="-10"/>
          <w:sz w:val="21"/>
          <w:vertAlign w:val="baseline"/>
        </w:rPr>
        <w:t> </w:t>
      </w:r>
      <w:r>
        <w:rPr>
          <w:sz w:val="21"/>
          <w:vertAlign w:val="baseline"/>
        </w:rPr>
        <w:t>men</w:t>
      </w:r>
      <w:r>
        <w:rPr>
          <w:spacing w:val="-10"/>
          <w:sz w:val="21"/>
          <w:vertAlign w:val="baseline"/>
        </w:rPr>
        <w:t> </w:t>
      </w:r>
      <w:r>
        <w:rPr>
          <w:sz w:val="21"/>
          <w:vertAlign w:val="baseline"/>
        </w:rPr>
        <w:t>who</w:t>
      </w:r>
      <w:r>
        <w:rPr>
          <w:spacing w:val="-12"/>
          <w:sz w:val="21"/>
          <w:vertAlign w:val="baseline"/>
        </w:rPr>
        <w:t> </w:t>
      </w:r>
      <w:r>
        <w:rPr>
          <w:sz w:val="21"/>
          <w:vertAlign w:val="baseline"/>
        </w:rPr>
        <w:t>date</w:t>
      </w:r>
      <w:r>
        <w:rPr>
          <w:spacing w:val="-10"/>
          <w:sz w:val="21"/>
          <w:vertAlign w:val="baseline"/>
        </w:rPr>
        <w:t> </w:t>
      </w:r>
      <w:r>
        <w:rPr>
          <w:sz w:val="21"/>
          <w:vertAlign w:val="baseline"/>
        </w:rPr>
        <w:t>men</w:t>
      </w:r>
      <w:r>
        <w:rPr>
          <w:spacing w:val="-12"/>
          <w:sz w:val="21"/>
          <w:vertAlign w:val="baseline"/>
        </w:rPr>
        <w:t> </w:t>
      </w:r>
      <w:r>
        <w:rPr>
          <w:sz w:val="21"/>
          <w:vertAlign w:val="baseline"/>
        </w:rPr>
        <w:t>report</w:t>
      </w:r>
      <w:r>
        <w:rPr>
          <w:spacing w:val="-10"/>
          <w:sz w:val="21"/>
          <w:vertAlign w:val="baseline"/>
        </w:rPr>
        <w:t> </w:t>
      </w:r>
      <w:r>
        <w:rPr>
          <w:sz w:val="21"/>
          <w:vertAlign w:val="baseline"/>
        </w:rPr>
        <w:t>encountering</w:t>
      </w:r>
      <w:r>
        <w:rPr>
          <w:spacing w:val="-11"/>
          <w:sz w:val="21"/>
          <w:vertAlign w:val="baseline"/>
        </w:rPr>
        <w:t> </w:t>
      </w:r>
      <w:r>
        <w:rPr>
          <w:sz w:val="21"/>
          <w:vertAlign w:val="baseline"/>
        </w:rPr>
        <w:t>on</w:t>
      </w:r>
      <w:r>
        <w:rPr>
          <w:spacing w:val="-10"/>
          <w:sz w:val="21"/>
          <w:vertAlign w:val="baseline"/>
        </w:rPr>
        <w:t> </w:t>
      </w:r>
      <w:r>
        <w:rPr>
          <w:sz w:val="21"/>
          <w:vertAlign w:val="baseline"/>
        </w:rPr>
        <w:t>dating apps, on top of the stigma that they face in cultural affinity spaces</w:t>
      </w:r>
      <w:hyperlink w:history="true" w:anchor="_bookmark123">
        <w:r>
          <w:rPr>
            <w:sz w:val="21"/>
            <w:vertAlign w:val="baseline"/>
          </w:rPr>
          <w:t>.</w:t>
        </w:r>
        <w:r>
          <w:rPr>
            <w:sz w:val="21"/>
            <w:vertAlign w:val="superscript"/>
          </w:rPr>
          <w:t>22</w:t>
        </w:r>
      </w:hyperlink>
      <w:r>
        <w:rPr>
          <w:sz w:val="21"/>
          <w:vertAlign w:val="baseline"/>
        </w:rPr>
        <w:t> Double isolation is also more common among youth who have limited access to LGBTQ and racial/ethnic spaces, such as youth in the juvenile justice system, the child welfare system, or rural areas.</w:t>
      </w:r>
    </w:p>
    <w:p>
      <w:pPr>
        <w:spacing w:line="276" w:lineRule="auto" w:before="240"/>
        <w:ind w:left="463" w:right="241" w:firstLine="0"/>
        <w:jc w:val="both"/>
        <w:rPr>
          <w:sz w:val="21"/>
        </w:rPr>
      </w:pPr>
      <w:r>
        <w:rPr>
          <w:sz w:val="21"/>
        </w:rPr>
        <w:t>Given</w:t>
      </w:r>
      <w:r>
        <w:rPr>
          <w:spacing w:val="-7"/>
          <w:sz w:val="21"/>
        </w:rPr>
        <w:t> </w:t>
      </w:r>
      <w:r>
        <w:rPr>
          <w:sz w:val="21"/>
        </w:rPr>
        <w:t>the</w:t>
      </w:r>
      <w:r>
        <w:rPr>
          <w:spacing w:val="-7"/>
          <w:sz w:val="21"/>
        </w:rPr>
        <w:t> </w:t>
      </w:r>
      <w:r>
        <w:rPr>
          <w:sz w:val="21"/>
        </w:rPr>
        <w:t>everyday,</w:t>
      </w:r>
      <w:r>
        <w:rPr>
          <w:spacing w:val="-6"/>
          <w:sz w:val="21"/>
        </w:rPr>
        <w:t> </w:t>
      </w:r>
      <w:r>
        <w:rPr>
          <w:sz w:val="21"/>
        </w:rPr>
        <w:t>systemic,</w:t>
      </w:r>
      <w:r>
        <w:rPr>
          <w:spacing w:val="-6"/>
          <w:sz w:val="21"/>
        </w:rPr>
        <w:t> </w:t>
      </w:r>
      <w:r>
        <w:rPr>
          <w:sz w:val="21"/>
        </w:rPr>
        <w:t>and</w:t>
      </w:r>
      <w:r>
        <w:rPr>
          <w:spacing w:val="-7"/>
          <w:sz w:val="21"/>
        </w:rPr>
        <w:t> </w:t>
      </w:r>
      <w:r>
        <w:rPr>
          <w:sz w:val="21"/>
        </w:rPr>
        <w:t>isolating</w:t>
      </w:r>
      <w:r>
        <w:rPr>
          <w:spacing w:val="-7"/>
          <w:sz w:val="21"/>
        </w:rPr>
        <w:t> </w:t>
      </w:r>
      <w:r>
        <w:rPr>
          <w:sz w:val="21"/>
        </w:rPr>
        <w:t>nature</w:t>
      </w:r>
      <w:r>
        <w:rPr>
          <w:spacing w:val="-7"/>
          <w:sz w:val="21"/>
        </w:rPr>
        <w:t> </w:t>
      </w:r>
      <w:r>
        <w:rPr>
          <w:sz w:val="21"/>
        </w:rPr>
        <w:t>of</w:t>
      </w:r>
      <w:r>
        <w:rPr>
          <w:spacing w:val="-7"/>
          <w:sz w:val="21"/>
        </w:rPr>
        <w:t> </w:t>
      </w:r>
      <w:r>
        <w:rPr>
          <w:sz w:val="21"/>
        </w:rPr>
        <w:t>intersectional</w:t>
      </w:r>
      <w:r>
        <w:rPr>
          <w:spacing w:val="-7"/>
          <w:sz w:val="21"/>
        </w:rPr>
        <w:t> </w:t>
      </w:r>
      <w:r>
        <w:rPr>
          <w:sz w:val="21"/>
        </w:rPr>
        <w:t>oppression,</w:t>
      </w:r>
      <w:r>
        <w:rPr>
          <w:spacing w:val="-6"/>
          <w:sz w:val="21"/>
        </w:rPr>
        <w:t> </w:t>
      </w:r>
      <w:r>
        <w:rPr>
          <w:sz w:val="21"/>
        </w:rPr>
        <w:t>it</w:t>
      </w:r>
      <w:r>
        <w:rPr>
          <w:spacing w:val="-6"/>
          <w:sz w:val="21"/>
        </w:rPr>
        <w:t> </w:t>
      </w:r>
      <w:r>
        <w:rPr>
          <w:sz w:val="21"/>
        </w:rPr>
        <w:t>is</w:t>
      </w:r>
      <w:r>
        <w:rPr>
          <w:spacing w:val="-7"/>
          <w:sz w:val="21"/>
        </w:rPr>
        <w:t> </w:t>
      </w:r>
      <w:r>
        <w:rPr>
          <w:sz w:val="21"/>
        </w:rPr>
        <w:t>not</w:t>
      </w:r>
      <w:r>
        <w:rPr>
          <w:spacing w:val="-6"/>
          <w:sz w:val="21"/>
        </w:rPr>
        <w:t> </w:t>
      </w:r>
      <w:r>
        <w:rPr>
          <w:sz w:val="21"/>
        </w:rPr>
        <w:t>surprising</w:t>
      </w:r>
      <w:r>
        <w:rPr>
          <w:spacing w:val="-6"/>
          <w:sz w:val="21"/>
        </w:rPr>
        <w:t> </w:t>
      </w:r>
      <w:r>
        <w:rPr>
          <w:sz w:val="21"/>
        </w:rPr>
        <w:t>that</w:t>
      </w:r>
      <w:r>
        <w:rPr>
          <w:spacing w:val="-6"/>
          <w:sz w:val="21"/>
        </w:rPr>
        <w:t> </w:t>
      </w:r>
      <w:r>
        <w:rPr>
          <w:sz w:val="21"/>
        </w:rPr>
        <w:t>research shows that QTBIPOC youth have elevated rates of anxiety, depression, suicidality, school discipline, and substance use. These challenges can be seen as a human response to long-term exposure to multiple forms of traumatic discrimination.</w:t>
      </w:r>
    </w:p>
    <w:p>
      <w:pPr>
        <w:spacing w:line="276" w:lineRule="auto" w:before="241"/>
        <w:ind w:left="463" w:right="238" w:firstLine="0"/>
        <w:jc w:val="both"/>
        <w:rPr>
          <w:sz w:val="21"/>
        </w:rPr>
      </w:pPr>
      <w:r>
        <w:rPr>
          <w:sz w:val="21"/>
        </w:rPr>
        <w:t>Given</w:t>
      </w:r>
      <w:r>
        <w:rPr>
          <w:spacing w:val="-10"/>
          <w:sz w:val="21"/>
        </w:rPr>
        <w:t> </w:t>
      </w:r>
      <w:r>
        <w:rPr>
          <w:sz w:val="21"/>
        </w:rPr>
        <w:t>all</w:t>
      </w:r>
      <w:r>
        <w:rPr>
          <w:spacing w:val="-10"/>
          <w:sz w:val="21"/>
        </w:rPr>
        <w:t> </w:t>
      </w:r>
      <w:r>
        <w:rPr>
          <w:sz w:val="21"/>
        </w:rPr>
        <w:t>of</w:t>
      </w:r>
      <w:r>
        <w:rPr>
          <w:spacing w:val="-11"/>
          <w:sz w:val="21"/>
        </w:rPr>
        <w:t> </w:t>
      </w:r>
      <w:r>
        <w:rPr>
          <w:sz w:val="21"/>
        </w:rPr>
        <w:t>these</w:t>
      </w:r>
      <w:r>
        <w:rPr>
          <w:spacing w:val="-10"/>
          <w:sz w:val="21"/>
        </w:rPr>
        <w:t> </w:t>
      </w:r>
      <w:r>
        <w:rPr>
          <w:sz w:val="21"/>
        </w:rPr>
        <w:t>unique</w:t>
      </w:r>
      <w:r>
        <w:rPr>
          <w:spacing w:val="-10"/>
          <w:sz w:val="21"/>
        </w:rPr>
        <w:t> </w:t>
      </w:r>
      <w:r>
        <w:rPr>
          <w:sz w:val="21"/>
        </w:rPr>
        <w:t>challenges,</w:t>
      </w:r>
      <w:r>
        <w:rPr>
          <w:spacing w:val="-10"/>
          <w:sz w:val="21"/>
        </w:rPr>
        <w:t> </w:t>
      </w:r>
      <w:r>
        <w:rPr>
          <w:sz w:val="21"/>
        </w:rPr>
        <w:t>allies</w:t>
      </w:r>
      <w:r>
        <w:rPr>
          <w:spacing w:val="-10"/>
          <w:sz w:val="21"/>
        </w:rPr>
        <w:t> </w:t>
      </w:r>
      <w:r>
        <w:rPr>
          <w:sz w:val="21"/>
        </w:rPr>
        <w:t>in</w:t>
      </w:r>
      <w:r>
        <w:rPr>
          <w:spacing w:val="-10"/>
          <w:sz w:val="21"/>
        </w:rPr>
        <w:t> </w:t>
      </w:r>
      <w:r>
        <w:rPr>
          <w:sz w:val="21"/>
        </w:rPr>
        <w:t>mental</w:t>
      </w:r>
      <w:r>
        <w:rPr>
          <w:spacing w:val="-10"/>
          <w:sz w:val="21"/>
        </w:rPr>
        <w:t> </w:t>
      </w:r>
      <w:r>
        <w:rPr>
          <w:sz w:val="21"/>
        </w:rPr>
        <w:t>healthcare,</w:t>
      </w:r>
      <w:r>
        <w:rPr>
          <w:spacing w:val="-10"/>
          <w:sz w:val="21"/>
        </w:rPr>
        <w:t> </w:t>
      </w:r>
      <w:r>
        <w:rPr>
          <w:sz w:val="21"/>
        </w:rPr>
        <w:t>youth</w:t>
      </w:r>
      <w:r>
        <w:rPr>
          <w:spacing w:val="-12"/>
          <w:sz w:val="21"/>
        </w:rPr>
        <w:t> </w:t>
      </w:r>
      <w:r>
        <w:rPr>
          <w:sz w:val="21"/>
        </w:rPr>
        <w:t>services,</w:t>
      </w:r>
      <w:r>
        <w:rPr>
          <w:spacing w:val="-10"/>
          <w:sz w:val="21"/>
        </w:rPr>
        <w:t> </w:t>
      </w:r>
      <w:r>
        <w:rPr>
          <w:sz w:val="21"/>
        </w:rPr>
        <w:t>and</w:t>
      </w:r>
      <w:r>
        <w:rPr>
          <w:spacing w:val="-10"/>
          <w:sz w:val="21"/>
        </w:rPr>
        <w:t> </w:t>
      </w:r>
      <w:r>
        <w:rPr>
          <w:sz w:val="21"/>
        </w:rPr>
        <w:t>policy</w:t>
      </w:r>
      <w:r>
        <w:rPr>
          <w:spacing w:val="-10"/>
          <w:sz w:val="21"/>
        </w:rPr>
        <w:t> </w:t>
      </w:r>
      <w:r>
        <w:rPr>
          <w:sz w:val="21"/>
        </w:rPr>
        <w:t>should</w:t>
      </w:r>
      <w:r>
        <w:rPr>
          <w:spacing w:val="-10"/>
          <w:sz w:val="21"/>
        </w:rPr>
        <w:t> </w:t>
      </w:r>
      <w:r>
        <w:rPr>
          <w:sz w:val="21"/>
        </w:rPr>
        <w:t>recognize</w:t>
      </w:r>
      <w:r>
        <w:rPr>
          <w:spacing w:val="-10"/>
          <w:sz w:val="21"/>
        </w:rPr>
        <w:t> </w:t>
      </w:r>
      <w:r>
        <w:rPr>
          <w:sz w:val="21"/>
        </w:rPr>
        <w:t>that QTBIPOC</w:t>
      </w:r>
      <w:r>
        <w:rPr>
          <w:spacing w:val="-9"/>
          <w:sz w:val="21"/>
        </w:rPr>
        <w:t> </w:t>
      </w:r>
      <w:r>
        <w:rPr>
          <w:sz w:val="21"/>
        </w:rPr>
        <w:t>youth</w:t>
      </w:r>
      <w:r>
        <w:rPr>
          <w:spacing w:val="-9"/>
          <w:sz w:val="21"/>
        </w:rPr>
        <w:t> </w:t>
      </w:r>
      <w:r>
        <w:rPr>
          <w:sz w:val="21"/>
        </w:rPr>
        <w:t>may</w:t>
      </w:r>
      <w:r>
        <w:rPr>
          <w:spacing w:val="-10"/>
          <w:sz w:val="21"/>
        </w:rPr>
        <w:t> </w:t>
      </w:r>
      <w:r>
        <w:rPr>
          <w:sz w:val="21"/>
        </w:rPr>
        <w:t>not</w:t>
      </w:r>
      <w:r>
        <w:rPr>
          <w:spacing w:val="-10"/>
          <w:sz w:val="21"/>
        </w:rPr>
        <w:t> </w:t>
      </w:r>
      <w:r>
        <w:rPr>
          <w:sz w:val="21"/>
        </w:rPr>
        <w:t>automatically</w:t>
      </w:r>
      <w:r>
        <w:rPr>
          <w:spacing w:val="-9"/>
          <w:sz w:val="21"/>
        </w:rPr>
        <w:t> </w:t>
      </w:r>
      <w:r>
        <w:rPr>
          <w:sz w:val="21"/>
        </w:rPr>
        <w:t>feel</w:t>
      </w:r>
      <w:r>
        <w:rPr>
          <w:spacing w:val="-9"/>
          <w:sz w:val="21"/>
        </w:rPr>
        <w:t> </w:t>
      </w:r>
      <w:r>
        <w:rPr>
          <w:sz w:val="21"/>
        </w:rPr>
        <w:t>safe</w:t>
      </w:r>
      <w:r>
        <w:rPr>
          <w:spacing w:val="-9"/>
          <w:sz w:val="21"/>
        </w:rPr>
        <w:t> </w:t>
      </w:r>
      <w:r>
        <w:rPr>
          <w:sz w:val="21"/>
        </w:rPr>
        <w:t>simply</w:t>
      </w:r>
      <w:r>
        <w:rPr>
          <w:spacing w:val="-9"/>
          <w:sz w:val="21"/>
        </w:rPr>
        <w:t> </w:t>
      </w:r>
      <w:r>
        <w:rPr>
          <w:sz w:val="21"/>
        </w:rPr>
        <w:t>because</w:t>
      </w:r>
      <w:r>
        <w:rPr>
          <w:spacing w:val="-9"/>
          <w:sz w:val="21"/>
        </w:rPr>
        <w:t> </w:t>
      </w:r>
      <w:r>
        <w:rPr>
          <w:sz w:val="21"/>
        </w:rPr>
        <w:t>a</w:t>
      </w:r>
      <w:r>
        <w:rPr>
          <w:spacing w:val="-10"/>
          <w:sz w:val="21"/>
        </w:rPr>
        <w:t> </w:t>
      </w:r>
      <w:r>
        <w:rPr>
          <w:sz w:val="21"/>
        </w:rPr>
        <w:t>support</w:t>
      </w:r>
      <w:r>
        <w:rPr>
          <w:spacing w:val="-8"/>
          <w:sz w:val="21"/>
        </w:rPr>
        <w:t> </w:t>
      </w:r>
      <w:r>
        <w:rPr>
          <w:sz w:val="21"/>
        </w:rPr>
        <w:t>effort</w:t>
      </w:r>
      <w:r>
        <w:rPr>
          <w:spacing w:val="-8"/>
          <w:sz w:val="21"/>
        </w:rPr>
        <w:t> </w:t>
      </w:r>
      <w:r>
        <w:rPr>
          <w:sz w:val="21"/>
        </w:rPr>
        <w:t>is</w:t>
      </w:r>
      <w:r>
        <w:rPr>
          <w:spacing w:val="-11"/>
          <w:sz w:val="21"/>
        </w:rPr>
        <w:t> </w:t>
      </w:r>
      <w:r>
        <w:rPr>
          <w:sz w:val="21"/>
        </w:rPr>
        <w:t>LGBTQ-friendly.</w:t>
      </w:r>
      <w:r>
        <w:rPr>
          <w:spacing w:val="-9"/>
          <w:sz w:val="21"/>
        </w:rPr>
        <w:t> </w:t>
      </w:r>
      <w:r>
        <w:rPr>
          <w:sz w:val="21"/>
        </w:rPr>
        <w:t>Instead,</w:t>
      </w:r>
      <w:r>
        <w:rPr>
          <w:spacing w:val="-10"/>
          <w:sz w:val="21"/>
        </w:rPr>
        <w:t> </w:t>
      </w:r>
      <w:r>
        <w:rPr>
          <w:sz w:val="21"/>
        </w:rPr>
        <w:t>allies should intentionally build safe spaces for QTBIPOC youth by 1) openly discussing how racialized inequities and experiences may impact people differently and 2) shaping services around ongoing feedback from QTBIPOC youth about their own goals and needs. Allies should also proactively respond to possible distrust of white- majority LGBTQ services by 1) recruiting, meaningfully compensating, and retaining BIPOC staff; 2) openly discussing and acting against racism that comes up in the organization, community, and news; and 3) building relationships with communities where BIPOC youth are. Finally, allies should invest resources in addressing structural barriers, like cost, scheduling availability, or transportation access, so that more QTBIPOC youth can access services.</w:t>
      </w:r>
    </w:p>
    <w:p>
      <w:pPr>
        <w:spacing w:line="276" w:lineRule="auto" w:before="240"/>
        <w:ind w:left="463" w:right="240" w:firstLine="0"/>
        <w:jc w:val="both"/>
        <w:rPr>
          <w:sz w:val="21"/>
        </w:rPr>
      </w:pPr>
      <w:r>
        <w:rPr>
          <w:sz w:val="21"/>
        </w:rPr>
        <w:t>Although QTBIPOC youth face concerning mental health disparities, they also have many personal, family, and cultural strengths. Their intersectional identities do not just expose them to harm; they are great sources of connection, coping, and pride – and supporters should tap into and celebrate them.</w:t>
      </w:r>
    </w:p>
    <w:p>
      <w:pPr>
        <w:spacing w:line="276" w:lineRule="auto" w:before="241"/>
        <w:ind w:left="463" w:right="239" w:firstLine="0"/>
        <w:jc w:val="both"/>
        <w:rPr>
          <w:sz w:val="21"/>
        </w:rPr>
      </w:pPr>
      <w:r>
        <w:rPr>
          <w:sz w:val="21"/>
        </w:rPr>
        <w:t>Current research highlights multiple tools that QTBIPOC youth use to cope with discrimination: chosen family and community-building, self-advocacy, and cultivating ethnic or racial identity pride</w:t>
      </w:r>
      <w:hyperlink w:history="true" w:anchor="_bookmark124">
        <w:r>
          <w:rPr>
            <w:sz w:val="21"/>
          </w:rPr>
          <w:t>.</w:t>
        </w:r>
        <w:r>
          <w:rPr>
            <w:sz w:val="21"/>
            <w:vertAlign w:val="superscript"/>
          </w:rPr>
          <w:t>23</w:t>
        </w:r>
      </w:hyperlink>
      <w:r>
        <w:rPr>
          <w:sz w:val="21"/>
          <w:vertAlign w:val="baseline"/>
        </w:rPr>
        <w:t> QTBIPOC youth also often</w:t>
      </w:r>
      <w:r>
        <w:rPr>
          <w:spacing w:val="21"/>
          <w:sz w:val="21"/>
          <w:vertAlign w:val="baseline"/>
        </w:rPr>
        <w:t> </w:t>
      </w:r>
      <w:r>
        <w:rPr>
          <w:sz w:val="21"/>
          <w:vertAlign w:val="baseline"/>
        </w:rPr>
        <w:t>cope</w:t>
      </w:r>
      <w:r>
        <w:rPr>
          <w:spacing w:val="21"/>
          <w:sz w:val="21"/>
          <w:vertAlign w:val="baseline"/>
        </w:rPr>
        <w:t> </w:t>
      </w:r>
      <w:r>
        <w:rPr>
          <w:sz w:val="21"/>
          <w:vertAlign w:val="baseline"/>
        </w:rPr>
        <w:t>with</w:t>
      </w:r>
      <w:r>
        <w:rPr>
          <w:spacing w:val="21"/>
          <w:sz w:val="21"/>
          <w:vertAlign w:val="baseline"/>
        </w:rPr>
        <w:t> </w:t>
      </w:r>
      <w:r>
        <w:rPr>
          <w:sz w:val="21"/>
          <w:vertAlign w:val="baseline"/>
        </w:rPr>
        <w:t>LGBTQ-phobic</w:t>
      </w:r>
      <w:r>
        <w:rPr>
          <w:spacing w:val="21"/>
          <w:sz w:val="21"/>
          <w:vertAlign w:val="baseline"/>
        </w:rPr>
        <w:t> </w:t>
      </w:r>
      <w:r>
        <w:rPr>
          <w:sz w:val="21"/>
          <w:vertAlign w:val="baseline"/>
        </w:rPr>
        <w:t>bullying</w:t>
      </w:r>
      <w:hyperlink w:history="true" w:anchor="_bookmark125">
        <w:r>
          <w:rPr>
            <w:sz w:val="21"/>
            <w:vertAlign w:val="superscript"/>
          </w:rPr>
          <w:t>24</w:t>
        </w:r>
      </w:hyperlink>
      <w:r>
        <w:rPr>
          <w:spacing w:val="21"/>
          <w:sz w:val="21"/>
          <w:vertAlign w:val="baseline"/>
        </w:rPr>
        <w:t> </w:t>
      </w:r>
      <w:r>
        <w:rPr>
          <w:sz w:val="21"/>
          <w:vertAlign w:val="baseline"/>
        </w:rPr>
        <w:t>using</w:t>
      </w:r>
      <w:r>
        <w:rPr>
          <w:spacing w:val="20"/>
          <w:sz w:val="21"/>
          <w:vertAlign w:val="baseline"/>
        </w:rPr>
        <w:t> </w:t>
      </w:r>
      <w:r>
        <w:rPr>
          <w:sz w:val="21"/>
          <w:vertAlign w:val="baseline"/>
        </w:rPr>
        <w:t>skills</w:t>
      </w:r>
      <w:r>
        <w:rPr>
          <w:spacing w:val="20"/>
          <w:sz w:val="21"/>
          <w:vertAlign w:val="baseline"/>
        </w:rPr>
        <w:t> </w:t>
      </w:r>
      <w:r>
        <w:rPr>
          <w:sz w:val="21"/>
          <w:vertAlign w:val="baseline"/>
        </w:rPr>
        <w:t>they</w:t>
      </w:r>
      <w:r>
        <w:rPr>
          <w:spacing w:val="21"/>
          <w:sz w:val="21"/>
          <w:vertAlign w:val="baseline"/>
        </w:rPr>
        <w:t> </w:t>
      </w:r>
      <w:r>
        <w:rPr>
          <w:sz w:val="21"/>
          <w:vertAlign w:val="baseline"/>
        </w:rPr>
        <w:t>first</w:t>
      </w:r>
      <w:r>
        <w:rPr>
          <w:spacing w:val="21"/>
          <w:sz w:val="21"/>
          <w:vertAlign w:val="baseline"/>
        </w:rPr>
        <w:t> </w:t>
      </w:r>
      <w:r>
        <w:rPr>
          <w:sz w:val="21"/>
          <w:vertAlign w:val="baseline"/>
        </w:rPr>
        <w:t>learned</w:t>
      </w:r>
      <w:r>
        <w:rPr>
          <w:spacing w:val="21"/>
          <w:sz w:val="21"/>
          <w:vertAlign w:val="baseline"/>
        </w:rPr>
        <w:t> </w:t>
      </w:r>
      <w:r>
        <w:rPr>
          <w:sz w:val="21"/>
          <w:vertAlign w:val="baseline"/>
        </w:rPr>
        <w:t>from</w:t>
      </w:r>
      <w:r>
        <w:rPr>
          <w:spacing w:val="21"/>
          <w:sz w:val="21"/>
          <w:vertAlign w:val="baseline"/>
        </w:rPr>
        <w:t> </w:t>
      </w:r>
      <w:r>
        <w:rPr>
          <w:sz w:val="21"/>
          <w:vertAlign w:val="baseline"/>
        </w:rPr>
        <w:t>family</w:t>
      </w:r>
      <w:r>
        <w:rPr>
          <w:spacing w:val="21"/>
          <w:sz w:val="21"/>
          <w:vertAlign w:val="baseline"/>
        </w:rPr>
        <w:t> </w:t>
      </w:r>
      <w:r>
        <w:rPr>
          <w:sz w:val="21"/>
          <w:vertAlign w:val="baseline"/>
        </w:rPr>
        <w:t>and</w:t>
      </w:r>
      <w:r>
        <w:rPr>
          <w:spacing w:val="21"/>
          <w:sz w:val="21"/>
          <w:vertAlign w:val="baseline"/>
        </w:rPr>
        <w:t> </w:t>
      </w:r>
      <w:r>
        <w:rPr>
          <w:sz w:val="21"/>
          <w:vertAlign w:val="baseline"/>
        </w:rPr>
        <w:t>friends</w:t>
      </w:r>
      <w:r>
        <w:rPr>
          <w:spacing w:val="20"/>
          <w:sz w:val="21"/>
          <w:vertAlign w:val="baseline"/>
        </w:rPr>
        <w:t> </w:t>
      </w:r>
      <w:r>
        <w:rPr>
          <w:sz w:val="21"/>
          <w:vertAlign w:val="baseline"/>
        </w:rPr>
        <w:t>to</w:t>
      </w:r>
      <w:r>
        <w:rPr>
          <w:spacing w:val="20"/>
          <w:sz w:val="21"/>
          <w:vertAlign w:val="baseline"/>
        </w:rPr>
        <w:t> </w:t>
      </w:r>
      <w:r>
        <w:rPr>
          <w:sz w:val="21"/>
          <w:vertAlign w:val="baseline"/>
        </w:rPr>
        <w:t>cope</w:t>
      </w:r>
      <w:r>
        <w:rPr>
          <w:spacing w:val="21"/>
          <w:sz w:val="21"/>
          <w:vertAlign w:val="baseline"/>
        </w:rPr>
        <w:t> </w:t>
      </w:r>
      <w:r>
        <w:rPr>
          <w:sz w:val="21"/>
          <w:vertAlign w:val="baseline"/>
        </w:rPr>
        <w:t>with</w:t>
      </w:r>
    </w:p>
    <w:p>
      <w:pPr>
        <w:spacing w:after="0" w:line="276" w:lineRule="auto"/>
        <w:jc w:val="both"/>
        <w:rPr>
          <w:sz w:val="21"/>
        </w:rPr>
        <w:sectPr>
          <w:pgSz w:w="12240" w:h="15840"/>
          <w:pgMar w:header="804" w:footer="1390" w:top="1080" w:bottom="1620" w:left="980" w:right="1080"/>
        </w:sectPr>
      </w:pPr>
    </w:p>
    <w:p>
      <w:pPr>
        <w:spacing w:line="276" w:lineRule="auto" w:before="69"/>
        <w:ind w:left="463" w:right="240" w:firstLine="0"/>
        <w:jc w:val="both"/>
        <w:rPr>
          <w:sz w:val="21"/>
        </w:rPr>
      </w:pPr>
      <w:r>
        <w:rPr>
          <w:sz w:val="21"/>
        </w:rPr>
        <w:t>racism.</w:t>
      </w:r>
      <w:r>
        <w:rPr>
          <w:spacing w:val="-4"/>
          <w:sz w:val="21"/>
        </w:rPr>
        <w:t> </w:t>
      </w:r>
      <w:r>
        <w:rPr>
          <w:sz w:val="21"/>
        </w:rPr>
        <w:t>Since</w:t>
      </w:r>
      <w:r>
        <w:rPr>
          <w:spacing w:val="-4"/>
          <w:sz w:val="21"/>
        </w:rPr>
        <w:t> </w:t>
      </w:r>
      <w:r>
        <w:rPr>
          <w:sz w:val="21"/>
        </w:rPr>
        <w:t>peer</w:t>
      </w:r>
      <w:r>
        <w:rPr>
          <w:spacing w:val="-4"/>
          <w:sz w:val="21"/>
        </w:rPr>
        <w:t> </w:t>
      </w:r>
      <w:r>
        <w:rPr>
          <w:sz w:val="21"/>
        </w:rPr>
        <w:t>validation</w:t>
      </w:r>
      <w:r>
        <w:rPr>
          <w:spacing w:val="-4"/>
          <w:sz w:val="21"/>
        </w:rPr>
        <w:t> </w:t>
      </w:r>
      <w:r>
        <w:rPr>
          <w:sz w:val="21"/>
        </w:rPr>
        <w:t>is</w:t>
      </w:r>
      <w:r>
        <w:rPr>
          <w:spacing w:val="-5"/>
          <w:sz w:val="21"/>
        </w:rPr>
        <w:t> </w:t>
      </w:r>
      <w:r>
        <w:rPr>
          <w:sz w:val="21"/>
        </w:rPr>
        <w:t>such</w:t>
      </w:r>
      <w:r>
        <w:rPr>
          <w:spacing w:val="-4"/>
          <w:sz w:val="21"/>
        </w:rPr>
        <w:t> </w:t>
      </w:r>
      <w:r>
        <w:rPr>
          <w:sz w:val="21"/>
        </w:rPr>
        <w:t>a</w:t>
      </w:r>
      <w:r>
        <w:rPr>
          <w:spacing w:val="-4"/>
          <w:sz w:val="21"/>
        </w:rPr>
        <w:t> </w:t>
      </w:r>
      <w:r>
        <w:rPr>
          <w:sz w:val="21"/>
        </w:rPr>
        <w:t>strong</w:t>
      </w:r>
      <w:r>
        <w:rPr>
          <w:spacing w:val="-5"/>
          <w:sz w:val="21"/>
        </w:rPr>
        <w:t> </w:t>
      </w:r>
      <w:r>
        <w:rPr>
          <w:sz w:val="21"/>
        </w:rPr>
        <w:t>buffer</w:t>
      </w:r>
      <w:r>
        <w:rPr>
          <w:spacing w:val="-4"/>
          <w:sz w:val="21"/>
        </w:rPr>
        <w:t> </w:t>
      </w:r>
      <w:r>
        <w:rPr>
          <w:sz w:val="21"/>
        </w:rPr>
        <w:t>against</w:t>
      </w:r>
      <w:r>
        <w:rPr>
          <w:spacing w:val="-4"/>
          <w:sz w:val="21"/>
        </w:rPr>
        <w:t> </w:t>
      </w:r>
      <w:r>
        <w:rPr>
          <w:sz w:val="21"/>
        </w:rPr>
        <w:t>racial</w:t>
      </w:r>
      <w:r>
        <w:rPr>
          <w:spacing w:val="-4"/>
          <w:sz w:val="21"/>
        </w:rPr>
        <w:t> </w:t>
      </w:r>
      <w:r>
        <w:rPr>
          <w:sz w:val="21"/>
        </w:rPr>
        <w:t>minority</w:t>
      </w:r>
      <w:r>
        <w:rPr>
          <w:spacing w:val="-4"/>
          <w:sz w:val="21"/>
        </w:rPr>
        <w:t> </w:t>
      </w:r>
      <w:r>
        <w:rPr>
          <w:sz w:val="21"/>
        </w:rPr>
        <w:t>stress,</w:t>
      </w:r>
      <w:r>
        <w:rPr>
          <w:spacing w:val="-4"/>
          <w:sz w:val="21"/>
        </w:rPr>
        <w:t> </w:t>
      </w:r>
      <w:r>
        <w:rPr>
          <w:sz w:val="21"/>
        </w:rPr>
        <w:t>the</w:t>
      </w:r>
      <w:r>
        <w:rPr>
          <w:spacing w:val="-4"/>
          <w:sz w:val="21"/>
        </w:rPr>
        <w:t> </w:t>
      </w:r>
      <w:r>
        <w:rPr>
          <w:sz w:val="21"/>
        </w:rPr>
        <w:t>Commission</w:t>
      </w:r>
      <w:r>
        <w:rPr>
          <w:spacing w:val="-4"/>
          <w:sz w:val="21"/>
        </w:rPr>
        <w:t> </w:t>
      </w:r>
      <w:r>
        <w:rPr>
          <w:sz w:val="21"/>
        </w:rPr>
        <w:t>recommends investing</w:t>
      </w:r>
      <w:r>
        <w:rPr>
          <w:spacing w:val="-5"/>
          <w:sz w:val="21"/>
        </w:rPr>
        <w:t> </w:t>
      </w:r>
      <w:r>
        <w:rPr>
          <w:sz w:val="21"/>
        </w:rPr>
        <w:t>funding</w:t>
      </w:r>
      <w:r>
        <w:rPr>
          <w:spacing w:val="-5"/>
          <w:sz w:val="21"/>
        </w:rPr>
        <w:t> </w:t>
      </w:r>
      <w:r>
        <w:rPr>
          <w:sz w:val="21"/>
        </w:rPr>
        <w:t>and</w:t>
      </w:r>
      <w:r>
        <w:rPr>
          <w:spacing w:val="-4"/>
          <w:sz w:val="21"/>
        </w:rPr>
        <w:t> </w:t>
      </w:r>
      <w:r>
        <w:rPr>
          <w:sz w:val="21"/>
        </w:rPr>
        <w:t>resources</w:t>
      </w:r>
      <w:r>
        <w:rPr>
          <w:spacing w:val="-5"/>
          <w:sz w:val="21"/>
        </w:rPr>
        <w:t> </w:t>
      </w:r>
      <w:r>
        <w:rPr>
          <w:sz w:val="21"/>
        </w:rPr>
        <w:t>into</w:t>
      </w:r>
      <w:r>
        <w:rPr>
          <w:spacing w:val="-4"/>
          <w:sz w:val="21"/>
        </w:rPr>
        <w:t> </w:t>
      </w:r>
      <w:r>
        <w:rPr>
          <w:sz w:val="21"/>
        </w:rPr>
        <w:t>promoting</w:t>
      </w:r>
      <w:r>
        <w:rPr>
          <w:spacing w:val="-5"/>
          <w:sz w:val="21"/>
        </w:rPr>
        <w:t> </w:t>
      </w:r>
      <w:r>
        <w:rPr>
          <w:sz w:val="21"/>
        </w:rPr>
        <w:t>LGBTQ-friendly</w:t>
      </w:r>
      <w:r>
        <w:rPr>
          <w:spacing w:val="-4"/>
          <w:sz w:val="21"/>
        </w:rPr>
        <w:t> </w:t>
      </w:r>
      <w:r>
        <w:rPr>
          <w:sz w:val="21"/>
        </w:rPr>
        <w:t>racial</w:t>
      </w:r>
      <w:r>
        <w:rPr>
          <w:spacing w:val="-4"/>
          <w:sz w:val="21"/>
        </w:rPr>
        <w:t> </w:t>
      </w:r>
      <w:r>
        <w:rPr>
          <w:sz w:val="21"/>
        </w:rPr>
        <w:t>and</w:t>
      </w:r>
      <w:r>
        <w:rPr>
          <w:spacing w:val="-4"/>
          <w:sz w:val="21"/>
        </w:rPr>
        <w:t> </w:t>
      </w:r>
      <w:r>
        <w:rPr>
          <w:sz w:val="21"/>
        </w:rPr>
        <w:t>cultural</w:t>
      </w:r>
      <w:r>
        <w:rPr>
          <w:spacing w:val="-4"/>
          <w:sz w:val="21"/>
        </w:rPr>
        <w:t> </w:t>
      </w:r>
      <w:r>
        <w:rPr>
          <w:sz w:val="21"/>
        </w:rPr>
        <w:t>affinity</w:t>
      </w:r>
      <w:r>
        <w:rPr>
          <w:spacing w:val="-4"/>
          <w:sz w:val="21"/>
        </w:rPr>
        <w:t> </w:t>
      </w:r>
      <w:r>
        <w:rPr>
          <w:sz w:val="21"/>
        </w:rPr>
        <w:t>spaces</w:t>
      </w:r>
      <w:r>
        <w:rPr>
          <w:spacing w:val="-5"/>
          <w:sz w:val="21"/>
        </w:rPr>
        <w:t> </w:t>
      </w:r>
      <w:r>
        <w:rPr>
          <w:sz w:val="21"/>
        </w:rPr>
        <w:t>in</w:t>
      </w:r>
      <w:r>
        <w:rPr>
          <w:spacing w:val="-4"/>
          <w:sz w:val="21"/>
        </w:rPr>
        <w:t> </w:t>
      </w:r>
      <w:r>
        <w:rPr>
          <w:sz w:val="21"/>
        </w:rPr>
        <w:t>schools</w:t>
      </w:r>
      <w:r>
        <w:rPr>
          <w:spacing w:val="-5"/>
          <w:sz w:val="21"/>
        </w:rPr>
        <w:t> </w:t>
      </w:r>
      <w:r>
        <w:rPr>
          <w:sz w:val="21"/>
        </w:rPr>
        <w:t>and communities, as well as specific racial/cultural affinity spaces in LGBTQ youth groups (like GSAs). These are unique spaces where QTBIPOC youth can develop identity pride, discuss intersectional experiences and strengths, safely unload experiences of oppression, and advocate for themselves and one another.</w:t>
      </w:r>
    </w:p>
    <w:p>
      <w:pPr>
        <w:spacing w:before="238"/>
        <w:ind w:left="463" w:right="0" w:firstLine="0"/>
        <w:jc w:val="both"/>
        <w:rPr>
          <w:sz w:val="28"/>
        </w:rPr>
      </w:pPr>
      <w:bookmarkStart w:name="Immigration &amp; Migration: Culturally-Resp" w:id="244"/>
      <w:bookmarkEnd w:id="244"/>
      <w:r>
        <w:rPr/>
      </w:r>
      <w:r>
        <w:rPr>
          <w:color w:val="365F91"/>
          <w:spacing w:val="-2"/>
          <w:sz w:val="28"/>
        </w:rPr>
        <w:t>Immigration</w:t>
      </w:r>
      <w:r>
        <w:rPr>
          <w:color w:val="365F91"/>
          <w:spacing w:val="3"/>
          <w:sz w:val="28"/>
        </w:rPr>
        <w:t> </w:t>
      </w:r>
      <w:r>
        <w:rPr>
          <w:color w:val="365F91"/>
          <w:spacing w:val="-2"/>
          <w:sz w:val="28"/>
        </w:rPr>
        <w:t>&amp;</w:t>
      </w:r>
      <w:r>
        <w:rPr>
          <w:color w:val="365F91"/>
          <w:spacing w:val="4"/>
          <w:sz w:val="28"/>
        </w:rPr>
        <w:t> </w:t>
      </w:r>
      <w:r>
        <w:rPr>
          <w:color w:val="365F91"/>
          <w:spacing w:val="-2"/>
          <w:sz w:val="28"/>
        </w:rPr>
        <w:t>Migration:</w:t>
      </w:r>
      <w:r>
        <w:rPr>
          <w:color w:val="365F91"/>
          <w:spacing w:val="3"/>
          <w:sz w:val="28"/>
        </w:rPr>
        <w:t> </w:t>
      </w:r>
      <w:r>
        <w:rPr>
          <w:color w:val="365F91"/>
          <w:spacing w:val="-2"/>
          <w:sz w:val="28"/>
        </w:rPr>
        <w:t>Culturally-Responsive</w:t>
      </w:r>
      <w:r>
        <w:rPr>
          <w:color w:val="365F91"/>
          <w:spacing w:val="4"/>
          <w:sz w:val="28"/>
        </w:rPr>
        <w:t> </w:t>
      </w:r>
      <w:r>
        <w:rPr>
          <w:color w:val="365F91"/>
          <w:spacing w:val="-2"/>
          <w:sz w:val="28"/>
        </w:rPr>
        <w:t>Support</w:t>
      </w:r>
    </w:p>
    <w:p>
      <w:pPr>
        <w:spacing w:line="276" w:lineRule="auto" w:before="293"/>
        <w:ind w:left="463" w:right="240" w:firstLine="0"/>
        <w:jc w:val="both"/>
        <w:rPr>
          <w:sz w:val="21"/>
        </w:rPr>
      </w:pPr>
      <w:r>
        <w:rPr>
          <w:sz w:val="21"/>
        </w:rPr>
        <w:t>QTBIPOC youth may also experience minority stress when they have personal or family experience with being an immigrant, refugee, or undocumented person. Structural inequalities, discriminatory comments or policies, xenophobia in political debates and acts, and cross-cultural stressors can all impact LGBTQ immigrant youths’ mental</w:t>
      </w:r>
      <w:r>
        <w:rPr>
          <w:spacing w:val="-7"/>
          <w:sz w:val="21"/>
        </w:rPr>
        <w:t> </w:t>
      </w:r>
      <w:r>
        <w:rPr>
          <w:sz w:val="21"/>
        </w:rPr>
        <w:t>health</w:t>
      </w:r>
      <w:r>
        <w:rPr>
          <w:spacing w:val="-8"/>
          <w:sz w:val="21"/>
        </w:rPr>
        <w:t> </w:t>
      </w:r>
      <w:r>
        <w:rPr>
          <w:sz w:val="21"/>
        </w:rPr>
        <w:t>on</w:t>
      </w:r>
      <w:r>
        <w:rPr>
          <w:spacing w:val="-8"/>
          <w:sz w:val="21"/>
        </w:rPr>
        <w:t> </w:t>
      </w:r>
      <w:r>
        <w:rPr>
          <w:sz w:val="21"/>
        </w:rPr>
        <w:t>a</w:t>
      </w:r>
      <w:r>
        <w:rPr>
          <w:spacing w:val="-6"/>
          <w:sz w:val="21"/>
        </w:rPr>
        <w:t> </w:t>
      </w:r>
      <w:r>
        <w:rPr>
          <w:sz w:val="21"/>
        </w:rPr>
        <w:t>day-to-day</w:t>
      </w:r>
      <w:r>
        <w:rPr>
          <w:spacing w:val="-7"/>
          <w:sz w:val="21"/>
        </w:rPr>
        <w:t> </w:t>
      </w:r>
      <w:r>
        <w:rPr>
          <w:sz w:val="21"/>
        </w:rPr>
        <w:t>basis.</w:t>
      </w:r>
      <w:r>
        <w:rPr>
          <w:spacing w:val="-7"/>
          <w:sz w:val="21"/>
        </w:rPr>
        <w:t> </w:t>
      </w:r>
      <w:r>
        <w:rPr>
          <w:sz w:val="21"/>
        </w:rPr>
        <w:t>For</w:t>
      </w:r>
      <w:r>
        <w:rPr>
          <w:spacing w:val="-7"/>
          <w:sz w:val="21"/>
        </w:rPr>
        <w:t> </w:t>
      </w:r>
      <w:r>
        <w:rPr>
          <w:sz w:val="21"/>
        </w:rPr>
        <w:t>example,</w:t>
      </w:r>
      <w:r>
        <w:rPr>
          <w:spacing w:val="-7"/>
          <w:sz w:val="21"/>
        </w:rPr>
        <w:t> </w:t>
      </w:r>
      <w:r>
        <w:rPr>
          <w:sz w:val="21"/>
        </w:rPr>
        <w:t>GLSEN’s</w:t>
      </w:r>
      <w:r>
        <w:rPr>
          <w:spacing w:val="-7"/>
          <w:sz w:val="21"/>
        </w:rPr>
        <w:t> </w:t>
      </w:r>
      <w:r>
        <w:rPr>
          <w:sz w:val="21"/>
        </w:rPr>
        <w:t>2021</w:t>
      </w:r>
      <w:r>
        <w:rPr>
          <w:spacing w:val="-7"/>
          <w:sz w:val="21"/>
        </w:rPr>
        <w:t> </w:t>
      </w:r>
      <w:r>
        <w:rPr>
          <w:sz w:val="21"/>
        </w:rPr>
        <w:t>National</w:t>
      </w:r>
      <w:r>
        <w:rPr>
          <w:spacing w:val="-7"/>
          <w:sz w:val="21"/>
        </w:rPr>
        <w:t> </w:t>
      </w:r>
      <w:r>
        <w:rPr>
          <w:sz w:val="21"/>
        </w:rPr>
        <w:t>School</w:t>
      </w:r>
      <w:r>
        <w:rPr>
          <w:spacing w:val="-7"/>
          <w:sz w:val="21"/>
        </w:rPr>
        <w:t> </w:t>
      </w:r>
      <w:r>
        <w:rPr>
          <w:sz w:val="21"/>
        </w:rPr>
        <w:t>Climate</w:t>
      </w:r>
      <w:r>
        <w:rPr>
          <w:spacing w:val="-7"/>
          <w:sz w:val="21"/>
        </w:rPr>
        <w:t> </w:t>
      </w:r>
      <w:r>
        <w:rPr>
          <w:sz w:val="21"/>
        </w:rPr>
        <w:t>Survey</w:t>
      </w:r>
      <w:r>
        <w:rPr>
          <w:spacing w:val="-7"/>
          <w:sz w:val="21"/>
        </w:rPr>
        <w:t> </w:t>
      </w:r>
      <w:r>
        <w:rPr>
          <w:sz w:val="21"/>
        </w:rPr>
        <w:t>found</w:t>
      </w:r>
      <w:r>
        <w:rPr>
          <w:spacing w:val="-7"/>
          <w:sz w:val="21"/>
        </w:rPr>
        <w:t> </w:t>
      </w:r>
      <w:r>
        <w:rPr>
          <w:sz w:val="21"/>
        </w:rPr>
        <w:t>that</w:t>
      </w:r>
      <w:r>
        <w:rPr>
          <w:spacing w:val="-7"/>
          <w:sz w:val="21"/>
        </w:rPr>
        <w:t> </w:t>
      </w:r>
      <w:r>
        <w:rPr>
          <w:sz w:val="21"/>
        </w:rPr>
        <w:t>18% of student participants said they hear biased remarks about immigration status “often” or “frequently,” while 16% hear them “sometimes.”</w:t>
      </w:r>
      <w:hyperlink w:history="true" w:anchor="_bookmark126">
        <w:r>
          <w:rPr>
            <w:sz w:val="21"/>
            <w:vertAlign w:val="superscript"/>
          </w:rPr>
          <w:t>25</w:t>
        </w:r>
      </w:hyperlink>
    </w:p>
    <w:p>
      <w:pPr>
        <w:spacing w:line="276" w:lineRule="auto" w:before="240"/>
        <w:ind w:left="463" w:right="239" w:hanging="1"/>
        <w:jc w:val="both"/>
        <w:rPr>
          <w:sz w:val="21"/>
        </w:rPr>
      </w:pPr>
      <w:r>
        <w:rPr>
          <w:sz w:val="21"/>
        </w:rPr>
        <w:t>There is scarce research about LGBTQ foreign-born youth, and the findings about mental health are mixed</w:t>
      </w:r>
      <w:hyperlink w:history="true" w:anchor="_bookmark127">
        <w:r>
          <w:rPr>
            <w:sz w:val="21"/>
          </w:rPr>
          <w:t>.</w:t>
        </w:r>
        <w:r>
          <w:rPr>
            <w:sz w:val="21"/>
            <w:vertAlign w:val="superscript"/>
          </w:rPr>
          <w:t>26</w:t>
        </w:r>
      </w:hyperlink>
      <w:r>
        <w:rPr>
          <w:sz w:val="21"/>
          <w:vertAlign w:val="baseline"/>
        </w:rPr>
        <w:t> Overall, risk factors include poverty, lack of social support and stable housing, risk of detainment and deportation, discriminatory experiences, dehumanizing public discourse and policy, and barriers to care, such as waiting periods to access public health insurance. However, immigrant youth have also been found to have similar or better physical and mental health outcomes than native-born peers, a phenomenon called the “immigrant health paradox.”</w:t>
      </w:r>
      <w:hyperlink w:history="true" w:anchor="_bookmark128">
        <w:r>
          <w:rPr>
            <w:sz w:val="21"/>
            <w:vertAlign w:val="superscript"/>
          </w:rPr>
          <w:t>27</w:t>
        </w:r>
      </w:hyperlink>
      <w:r>
        <w:rPr>
          <w:sz w:val="21"/>
          <w:vertAlign w:val="baseline"/>
        </w:rPr>
        <w:t> This advantage levels out over generations, not just due to acculturation, like shifts in diet and exercise, but also through the wear-and-tear of minority stress.</w:t>
      </w:r>
    </w:p>
    <w:p>
      <w:pPr>
        <w:spacing w:line="276" w:lineRule="auto" w:before="239"/>
        <w:ind w:left="463" w:right="239" w:firstLine="0"/>
        <w:jc w:val="both"/>
        <w:rPr>
          <w:sz w:val="21"/>
        </w:rPr>
      </w:pPr>
      <w:r>
        <w:rPr>
          <w:sz w:val="21"/>
        </w:rPr>
        <w:t>With these mixed results in mind, the Commission recommends that supporters seek to understand LGBTQ foreign-born</w:t>
      </w:r>
      <w:r>
        <w:rPr>
          <w:spacing w:val="-12"/>
          <w:sz w:val="21"/>
        </w:rPr>
        <w:t> </w:t>
      </w:r>
      <w:r>
        <w:rPr>
          <w:sz w:val="21"/>
        </w:rPr>
        <w:t>youths’</w:t>
      </w:r>
      <w:r>
        <w:rPr>
          <w:spacing w:val="-12"/>
          <w:sz w:val="21"/>
        </w:rPr>
        <w:t> </w:t>
      </w:r>
      <w:r>
        <w:rPr>
          <w:sz w:val="21"/>
        </w:rPr>
        <w:t>mental</w:t>
      </w:r>
      <w:r>
        <w:rPr>
          <w:spacing w:val="-12"/>
          <w:sz w:val="21"/>
        </w:rPr>
        <w:t> </w:t>
      </w:r>
      <w:r>
        <w:rPr>
          <w:sz w:val="21"/>
        </w:rPr>
        <w:t>health</w:t>
      </w:r>
      <w:r>
        <w:rPr>
          <w:spacing w:val="-12"/>
          <w:sz w:val="21"/>
        </w:rPr>
        <w:t> </w:t>
      </w:r>
      <w:r>
        <w:rPr>
          <w:sz w:val="21"/>
        </w:rPr>
        <w:t>in</w:t>
      </w:r>
      <w:r>
        <w:rPr>
          <w:spacing w:val="-12"/>
          <w:sz w:val="21"/>
        </w:rPr>
        <w:t> </w:t>
      </w:r>
      <w:r>
        <w:rPr>
          <w:sz w:val="21"/>
        </w:rPr>
        <w:t>the</w:t>
      </w:r>
      <w:r>
        <w:rPr>
          <w:spacing w:val="-12"/>
          <w:sz w:val="21"/>
        </w:rPr>
        <w:t> </w:t>
      </w:r>
      <w:r>
        <w:rPr>
          <w:sz w:val="21"/>
        </w:rPr>
        <w:t>context</w:t>
      </w:r>
      <w:r>
        <w:rPr>
          <w:spacing w:val="-12"/>
          <w:sz w:val="21"/>
        </w:rPr>
        <w:t> </w:t>
      </w:r>
      <w:r>
        <w:rPr>
          <w:sz w:val="21"/>
        </w:rPr>
        <w:t>of</w:t>
      </w:r>
      <w:r>
        <w:rPr>
          <w:spacing w:val="-11"/>
          <w:sz w:val="21"/>
        </w:rPr>
        <w:t> </w:t>
      </w:r>
      <w:r>
        <w:rPr>
          <w:sz w:val="21"/>
        </w:rPr>
        <w:t>their</w:t>
      </w:r>
      <w:r>
        <w:rPr>
          <w:spacing w:val="-12"/>
          <w:sz w:val="21"/>
        </w:rPr>
        <w:t> </w:t>
      </w:r>
      <w:r>
        <w:rPr>
          <w:sz w:val="21"/>
        </w:rPr>
        <w:t>position</w:t>
      </w:r>
      <w:r>
        <w:rPr>
          <w:spacing w:val="-12"/>
          <w:sz w:val="21"/>
        </w:rPr>
        <w:t> </w:t>
      </w:r>
      <w:r>
        <w:rPr>
          <w:sz w:val="21"/>
        </w:rPr>
        <w:t>in</w:t>
      </w:r>
      <w:r>
        <w:rPr>
          <w:spacing w:val="-12"/>
          <w:sz w:val="21"/>
        </w:rPr>
        <w:t> </w:t>
      </w:r>
      <w:r>
        <w:rPr>
          <w:sz w:val="21"/>
        </w:rPr>
        <w:t>the</w:t>
      </w:r>
      <w:r>
        <w:rPr>
          <w:spacing w:val="-12"/>
          <w:sz w:val="21"/>
        </w:rPr>
        <w:t> </w:t>
      </w:r>
      <w:r>
        <w:rPr>
          <w:sz w:val="21"/>
        </w:rPr>
        <w:t>US</w:t>
      </w:r>
      <w:r>
        <w:rPr>
          <w:spacing w:val="-12"/>
          <w:sz w:val="21"/>
        </w:rPr>
        <w:t> </w:t>
      </w:r>
      <w:r>
        <w:rPr>
          <w:sz w:val="21"/>
        </w:rPr>
        <w:t>immigration</w:t>
      </w:r>
      <w:r>
        <w:rPr>
          <w:spacing w:val="-12"/>
          <w:sz w:val="21"/>
        </w:rPr>
        <w:t> </w:t>
      </w:r>
      <w:r>
        <w:rPr>
          <w:sz w:val="21"/>
        </w:rPr>
        <w:t>system.</w:t>
      </w:r>
      <w:r>
        <w:rPr>
          <w:spacing w:val="-12"/>
          <w:sz w:val="21"/>
        </w:rPr>
        <w:t> </w:t>
      </w:r>
      <w:r>
        <w:rPr>
          <w:sz w:val="21"/>
        </w:rPr>
        <w:t>It</w:t>
      </w:r>
      <w:r>
        <w:rPr>
          <w:spacing w:val="-11"/>
          <w:sz w:val="21"/>
        </w:rPr>
        <w:t> </w:t>
      </w:r>
      <w:r>
        <w:rPr>
          <w:sz w:val="21"/>
        </w:rPr>
        <w:t>is</w:t>
      </w:r>
      <w:r>
        <w:rPr>
          <w:spacing w:val="-12"/>
          <w:sz w:val="21"/>
        </w:rPr>
        <w:t> </w:t>
      </w:r>
      <w:r>
        <w:rPr>
          <w:sz w:val="21"/>
        </w:rPr>
        <w:t>additionally important</w:t>
      </w:r>
      <w:r>
        <w:rPr>
          <w:spacing w:val="-6"/>
          <w:sz w:val="21"/>
        </w:rPr>
        <w:t> </w:t>
      </w:r>
      <w:r>
        <w:rPr>
          <w:sz w:val="21"/>
        </w:rPr>
        <w:t>to</w:t>
      </w:r>
      <w:r>
        <w:rPr>
          <w:spacing w:val="-8"/>
          <w:sz w:val="21"/>
        </w:rPr>
        <w:t> </w:t>
      </w:r>
      <w:r>
        <w:rPr>
          <w:sz w:val="21"/>
        </w:rPr>
        <w:t>highlight</w:t>
      </w:r>
      <w:r>
        <w:rPr>
          <w:spacing w:val="-6"/>
          <w:sz w:val="21"/>
        </w:rPr>
        <w:t> </w:t>
      </w:r>
      <w:r>
        <w:rPr>
          <w:sz w:val="21"/>
        </w:rPr>
        <w:t>that</w:t>
      </w:r>
      <w:r>
        <w:rPr>
          <w:spacing w:val="-8"/>
          <w:sz w:val="21"/>
        </w:rPr>
        <w:t> </w:t>
      </w:r>
      <w:r>
        <w:rPr>
          <w:sz w:val="21"/>
        </w:rPr>
        <w:t>not</w:t>
      </w:r>
      <w:r>
        <w:rPr>
          <w:spacing w:val="-6"/>
          <w:sz w:val="21"/>
        </w:rPr>
        <w:t> </w:t>
      </w:r>
      <w:r>
        <w:rPr>
          <w:sz w:val="21"/>
        </w:rPr>
        <w:t>all</w:t>
      </w:r>
      <w:r>
        <w:rPr>
          <w:spacing w:val="-7"/>
          <w:sz w:val="21"/>
        </w:rPr>
        <w:t> </w:t>
      </w:r>
      <w:r>
        <w:rPr>
          <w:sz w:val="21"/>
        </w:rPr>
        <w:t>foreign-born</w:t>
      </w:r>
      <w:r>
        <w:rPr>
          <w:spacing w:val="-7"/>
          <w:sz w:val="21"/>
        </w:rPr>
        <w:t> </w:t>
      </w:r>
      <w:r>
        <w:rPr>
          <w:sz w:val="21"/>
        </w:rPr>
        <w:t>youth</w:t>
      </w:r>
      <w:r>
        <w:rPr>
          <w:spacing w:val="-7"/>
          <w:sz w:val="21"/>
        </w:rPr>
        <w:t> </w:t>
      </w:r>
      <w:r>
        <w:rPr>
          <w:sz w:val="21"/>
        </w:rPr>
        <w:t>have</w:t>
      </w:r>
      <w:r>
        <w:rPr>
          <w:spacing w:val="-7"/>
          <w:sz w:val="21"/>
        </w:rPr>
        <w:t> </w:t>
      </w:r>
      <w:r>
        <w:rPr>
          <w:sz w:val="21"/>
        </w:rPr>
        <w:t>the</w:t>
      </w:r>
      <w:r>
        <w:rPr>
          <w:spacing w:val="-7"/>
          <w:sz w:val="21"/>
        </w:rPr>
        <w:t> </w:t>
      </w:r>
      <w:r>
        <w:rPr>
          <w:sz w:val="21"/>
        </w:rPr>
        <w:t>same</w:t>
      </w:r>
      <w:r>
        <w:rPr>
          <w:spacing w:val="-8"/>
          <w:sz w:val="21"/>
        </w:rPr>
        <w:t> </w:t>
      </w:r>
      <w:r>
        <w:rPr>
          <w:sz w:val="21"/>
        </w:rPr>
        <w:t>privileges</w:t>
      </w:r>
      <w:r>
        <w:rPr>
          <w:spacing w:val="-7"/>
          <w:sz w:val="21"/>
        </w:rPr>
        <w:t> </w:t>
      </w:r>
      <w:r>
        <w:rPr>
          <w:sz w:val="21"/>
        </w:rPr>
        <w:t>and</w:t>
      </w:r>
      <w:r>
        <w:rPr>
          <w:spacing w:val="-6"/>
          <w:sz w:val="21"/>
        </w:rPr>
        <w:t> </w:t>
      </w:r>
      <w:r>
        <w:rPr>
          <w:sz w:val="21"/>
        </w:rPr>
        <w:t>stressors.</w:t>
      </w:r>
      <w:r>
        <w:rPr>
          <w:spacing w:val="-7"/>
          <w:sz w:val="21"/>
        </w:rPr>
        <w:t> </w:t>
      </w:r>
      <w:r>
        <w:rPr>
          <w:sz w:val="21"/>
        </w:rPr>
        <w:t>The</w:t>
      </w:r>
      <w:r>
        <w:rPr>
          <w:spacing w:val="-6"/>
          <w:sz w:val="21"/>
        </w:rPr>
        <w:t> </w:t>
      </w:r>
      <w:r>
        <w:rPr>
          <w:sz w:val="21"/>
        </w:rPr>
        <w:t>Trevor</w:t>
      </w:r>
      <w:r>
        <w:rPr>
          <w:spacing w:val="-7"/>
          <w:sz w:val="21"/>
        </w:rPr>
        <w:t> </w:t>
      </w:r>
      <w:r>
        <w:rPr>
          <w:sz w:val="21"/>
        </w:rPr>
        <w:t>Project found that LGBTQ youth with at least one immigrant parent had higher odds of attempting suicide when they worried about deportation (63% more likely) or faced immigration-based discrimination (2.5 times more likely.)</w:t>
      </w:r>
      <w:hyperlink w:history="true" w:anchor="_bookmark129">
        <w:r>
          <w:rPr>
            <w:sz w:val="21"/>
            <w:vertAlign w:val="superscript"/>
          </w:rPr>
          <w:t>28</w:t>
        </w:r>
      </w:hyperlink>
      <w:r>
        <w:rPr>
          <w:sz w:val="21"/>
          <w:vertAlign w:val="baseline"/>
        </w:rPr>
        <w:t> Supporters should also consider how anti-LGBTQ sentiment and xenophobia shape youths’ past and current experiences. For instance, LGBTQ youth may flee trauma in their first countries only to face intersectional discrimination in the US, such as pressure to conform to Western LGBTQ labels while seeking asylum or refugee status</w:t>
      </w:r>
      <w:hyperlink w:history="true" w:anchor="_bookmark130">
        <w:r>
          <w:rPr>
            <w:sz w:val="21"/>
            <w:vertAlign w:val="baseline"/>
          </w:rPr>
          <w:t>.</w:t>
        </w:r>
        <w:r>
          <w:rPr>
            <w:sz w:val="21"/>
            <w:vertAlign w:val="superscript"/>
          </w:rPr>
          <w:t>29</w:t>
        </w:r>
      </w:hyperlink>
    </w:p>
    <w:p>
      <w:pPr>
        <w:spacing w:line="276" w:lineRule="auto" w:before="240"/>
        <w:ind w:left="463" w:right="239" w:firstLine="0"/>
        <w:jc w:val="both"/>
        <w:rPr>
          <w:sz w:val="21"/>
        </w:rPr>
      </w:pPr>
      <w:r>
        <w:rPr>
          <w:sz w:val="21"/>
        </w:rPr>
        <w:t>Despite these diverse stressors, foreign-born youth have also always invented their own strategies to survive and thrive. For instance, they are significantly more likely than their peers to befriend other foreign-born individuals from the same generation, and less likely to report negative health behaviors and outcomes when they do so</w:t>
      </w:r>
      <w:hyperlink w:history="true" w:anchor="_bookmark131">
        <w:r>
          <w:rPr>
            <w:sz w:val="21"/>
          </w:rPr>
          <w:t>.</w:t>
        </w:r>
        <w:r>
          <w:rPr>
            <w:sz w:val="21"/>
            <w:vertAlign w:val="superscript"/>
          </w:rPr>
          <w:t>30</w:t>
        </w:r>
      </w:hyperlink>
      <w:r>
        <w:rPr>
          <w:sz w:val="21"/>
          <w:vertAlign w:val="baseline"/>
        </w:rPr>
        <w:t> Because same-generation immigrant peer support protects youths’ mental health, care providers and youth workers should address differences in immigration status in their services. For instance, services for LGBTQ youth can create space for immigrant, refugee, asylee, and undocumented youth to build relationships and advocate for themselves, while also connecting them with immigrant community networks.</w:t>
      </w:r>
    </w:p>
    <w:p>
      <w:pPr>
        <w:spacing w:after="0" w:line="276" w:lineRule="auto"/>
        <w:jc w:val="both"/>
        <w:rPr>
          <w:sz w:val="21"/>
        </w:rPr>
        <w:sectPr>
          <w:pgSz w:w="12240" w:h="15840"/>
          <w:pgMar w:header="804" w:footer="1390" w:top="1080" w:bottom="1620" w:left="980" w:right="1080"/>
        </w:sectPr>
      </w:pPr>
    </w:p>
    <w:p>
      <w:pPr>
        <w:spacing w:line="276" w:lineRule="auto" w:before="69"/>
        <w:ind w:left="463" w:right="4473" w:firstLine="0"/>
        <w:jc w:val="both"/>
        <w:rPr>
          <w:sz w:val="21"/>
        </w:rPr>
      </w:pPr>
      <w:r>
        <w:rPr/>
        <w:drawing>
          <wp:anchor distT="0" distB="0" distL="0" distR="0" allowOverlap="1" layoutInCell="1" locked="0" behindDoc="0" simplePos="0" relativeHeight="15760896">
            <wp:simplePos x="0" y="0"/>
            <wp:positionH relativeFrom="page">
              <wp:posOffset>4335145</wp:posOffset>
            </wp:positionH>
            <wp:positionV relativeFrom="paragraph">
              <wp:posOffset>53339</wp:posOffset>
            </wp:positionV>
            <wp:extent cx="2687954" cy="2788519"/>
            <wp:effectExtent l="0" t="0" r="0" b="0"/>
            <wp:wrapNone/>
            <wp:docPr id="230" name="Image 230" descr="A group of hands with text  Description automatically generated "/>
            <wp:cNvGraphicFramePr>
              <a:graphicFrameLocks/>
            </wp:cNvGraphicFramePr>
            <a:graphic>
              <a:graphicData uri="http://schemas.openxmlformats.org/drawingml/2006/picture">
                <pic:pic>
                  <pic:nvPicPr>
                    <pic:cNvPr id="230" name="Image 230" descr="A group of hands with text  Description automatically generated "/>
                    <pic:cNvPicPr/>
                  </pic:nvPicPr>
                  <pic:blipFill>
                    <a:blip r:embed="rId178" cstate="print"/>
                    <a:stretch>
                      <a:fillRect/>
                    </a:stretch>
                  </pic:blipFill>
                  <pic:spPr>
                    <a:xfrm>
                      <a:off x="0" y="0"/>
                      <a:ext cx="2687954" cy="2788519"/>
                    </a:xfrm>
                    <a:prstGeom prst="rect">
                      <a:avLst/>
                    </a:prstGeom>
                  </pic:spPr>
                </pic:pic>
              </a:graphicData>
            </a:graphic>
          </wp:anchor>
        </w:drawing>
      </w:r>
      <w:r>
        <w:rPr>
          <w:sz w:val="21"/>
        </w:rPr>
        <w:t>As the benefits of peer support suggest, foreign-born youth thrive when they feel understood. Yet in 2022, the Trevor Project found that youth from all non-white racial and ethnic groups were 4 to 10 times more likely than their white peers to</w:t>
      </w:r>
      <w:r>
        <w:rPr>
          <w:spacing w:val="-12"/>
          <w:sz w:val="21"/>
        </w:rPr>
        <w:t> </w:t>
      </w:r>
      <w:r>
        <w:rPr>
          <w:sz w:val="21"/>
        </w:rPr>
        <w:t>feel</w:t>
      </w:r>
      <w:r>
        <w:rPr>
          <w:spacing w:val="-12"/>
          <w:sz w:val="21"/>
        </w:rPr>
        <w:t> </w:t>
      </w:r>
      <w:r>
        <w:rPr>
          <w:sz w:val="21"/>
        </w:rPr>
        <w:t>that</w:t>
      </w:r>
      <w:r>
        <w:rPr>
          <w:spacing w:val="-12"/>
          <w:sz w:val="21"/>
        </w:rPr>
        <w:t> </w:t>
      </w:r>
      <w:r>
        <w:rPr>
          <w:sz w:val="21"/>
        </w:rPr>
        <w:t>care</w:t>
      </w:r>
      <w:r>
        <w:rPr>
          <w:spacing w:val="-12"/>
          <w:sz w:val="21"/>
        </w:rPr>
        <w:t> </w:t>
      </w:r>
      <w:r>
        <w:rPr>
          <w:sz w:val="21"/>
        </w:rPr>
        <w:t>providers</w:t>
      </w:r>
      <w:r>
        <w:rPr>
          <w:spacing w:val="-12"/>
          <w:sz w:val="21"/>
        </w:rPr>
        <w:t> </w:t>
      </w:r>
      <w:r>
        <w:rPr>
          <w:sz w:val="21"/>
        </w:rPr>
        <w:t>would</w:t>
      </w:r>
      <w:r>
        <w:rPr>
          <w:spacing w:val="-12"/>
          <w:sz w:val="21"/>
        </w:rPr>
        <w:t> </w:t>
      </w:r>
      <w:r>
        <w:rPr>
          <w:sz w:val="21"/>
        </w:rPr>
        <w:t>not</w:t>
      </w:r>
      <w:r>
        <w:rPr>
          <w:spacing w:val="-12"/>
          <w:sz w:val="21"/>
        </w:rPr>
        <w:t> </w:t>
      </w:r>
      <w:r>
        <w:rPr>
          <w:sz w:val="21"/>
        </w:rPr>
        <w:t>understand</w:t>
      </w:r>
      <w:r>
        <w:rPr>
          <w:spacing w:val="-11"/>
          <w:sz w:val="21"/>
        </w:rPr>
        <w:t> </w:t>
      </w:r>
      <w:r>
        <w:rPr>
          <w:sz w:val="21"/>
        </w:rPr>
        <w:t>their</w:t>
      </w:r>
      <w:r>
        <w:rPr>
          <w:spacing w:val="-12"/>
          <w:sz w:val="21"/>
        </w:rPr>
        <w:t> </w:t>
      </w:r>
      <w:r>
        <w:rPr>
          <w:sz w:val="21"/>
        </w:rPr>
        <w:t>culture. Middle</w:t>
      </w:r>
      <w:r>
        <w:rPr>
          <w:spacing w:val="-6"/>
          <w:sz w:val="21"/>
        </w:rPr>
        <w:t> </w:t>
      </w:r>
      <w:r>
        <w:rPr>
          <w:sz w:val="21"/>
        </w:rPr>
        <w:t>Eastern/North</w:t>
      </w:r>
      <w:r>
        <w:rPr>
          <w:spacing w:val="-7"/>
          <w:sz w:val="21"/>
        </w:rPr>
        <w:t> </w:t>
      </w:r>
      <w:r>
        <w:rPr>
          <w:sz w:val="21"/>
        </w:rPr>
        <w:t>African</w:t>
      </w:r>
      <w:r>
        <w:rPr>
          <w:spacing w:val="-6"/>
          <w:sz w:val="21"/>
        </w:rPr>
        <w:t> </w:t>
      </w:r>
      <w:r>
        <w:rPr>
          <w:sz w:val="21"/>
        </w:rPr>
        <w:t>(MENA)</w:t>
      </w:r>
      <w:r>
        <w:rPr>
          <w:spacing w:val="-7"/>
          <w:sz w:val="21"/>
        </w:rPr>
        <w:t> </w:t>
      </w:r>
      <w:r>
        <w:rPr>
          <w:sz w:val="21"/>
        </w:rPr>
        <w:t>(21%),</w:t>
      </w:r>
      <w:r>
        <w:rPr>
          <w:spacing w:val="-6"/>
          <w:sz w:val="21"/>
        </w:rPr>
        <w:t> </w:t>
      </w:r>
      <w:r>
        <w:rPr>
          <w:sz w:val="21"/>
        </w:rPr>
        <w:t>AAPI</w:t>
      </w:r>
      <w:r>
        <w:rPr>
          <w:spacing w:val="-6"/>
          <w:sz w:val="21"/>
        </w:rPr>
        <w:t> </w:t>
      </w:r>
      <w:r>
        <w:rPr>
          <w:sz w:val="21"/>
        </w:rPr>
        <w:t>(18%),</w:t>
      </w:r>
      <w:r>
        <w:rPr>
          <w:spacing w:val="-5"/>
          <w:sz w:val="21"/>
        </w:rPr>
        <w:t> </w:t>
      </w:r>
      <w:r>
        <w:rPr>
          <w:sz w:val="21"/>
        </w:rPr>
        <w:t>and Black youth (13%) reported most often that they felt care providers would not understand their cultures, followed by Latine and Indigenous (9% each), multiracial (8%), and white (2%)</w:t>
      </w:r>
      <w:r>
        <w:rPr>
          <w:spacing w:val="-9"/>
          <w:sz w:val="21"/>
        </w:rPr>
        <w:t> </w:t>
      </w:r>
      <w:r>
        <w:rPr>
          <w:sz w:val="21"/>
        </w:rPr>
        <w:t>youth</w:t>
      </w:r>
      <w:hyperlink w:history="true" w:anchor="_bookmark132">
        <w:r>
          <w:rPr>
            <w:sz w:val="21"/>
          </w:rPr>
          <w:t>.</w:t>
        </w:r>
        <w:r>
          <w:rPr>
            <w:sz w:val="21"/>
            <w:vertAlign w:val="superscript"/>
          </w:rPr>
          <w:t>31</w:t>
        </w:r>
      </w:hyperlink>
      <w:r>
        <w:rPr>
          <w:spacing w:val="-9"/>
          <w:sz w:val="21"/>
          <w:vertAlign w:val="baseline"/>
        </w:rPr>
        <w:t> </w:t>
      </w:r>
      <w:r>
        <w:rPr>
          <w:sz w:val="21"/>
          <w:vertAlign w:val="baseline"/>
        </w:rPr>
        <w:t>It</w:t>
      </w:r>
      <w:r>
        <w:rPr>
          <w:spacing w:val="-8"/>
          <w:sz w:val="21"/>
          <w:vertAlign w:val="baseline"/>
        </w:rPr>
        <w:t> </w:t>
      </w:r>
      <w:r>
        <w:rPr>
          <w:sz w:val="21"/>
          <w:vertAlign w:val="baseline"/>
        </w:rPr>
        <w:t>is</w:t>
      </w:r>
      <w:r>
        <w:rPr>
          <w:spacing w:val="-9"/>
          <w:sz w:val="21"/>
          <w:vertAlign w:val="baseline"/>
        </w:rPr>
        <w:t> </w:t>
      </w:r>
      <w:r>
        <w:rPr>
          <w:sz w:val="21"/>
          <w:vertAlign w:val="baseline"/>
        </w:rPr>
        <w:t>crucial,</w:t>
      </w:r>
      <w:r>
        <w:rPr>
          <w:spacing w:val="-10"/>
          <w:sz w:val="21"/>
          <w:vertAlign w:val="baseline"/>
        </w:rPr>
        <w:t> </w:t>
      </w:r>
      <w:r>
        <w:rPr>
          <w:sz w:val="21"/>
          <w:vertAlign w:val="baseline"/>
        </w:rPr>
        <w:t>then,</w:t>
      </w:r>
      <w:r>
        <w:rPr>
          <w:spacing w:val="-8"/>
          <w:sz w:val="21"/>
          <w:vertAlign w:val="baseline"/>
        </w:rPr>
        <w:t> </w:t>
      </w:r>
      <w:r>
        <w:rPr>
          <w:sz w:val="21"/>
          <w:vertAlign w:val="baseline"/>
        </w:rPr>
        <w:t>for</w:t>
      </w:r>
      <w:r>
        <w:rPr>
          <w:spacing w:val="-9"/>
          <w:sz w:val="21"/>
          <w:vertAlign w:val="baseline"/>
        </w:rPr>
        <w:t> </w:t>
      </w:r>
      <w:r>
        <w:rPr>
          <w:sz w:val="21"/>
          <w:vertAlign w:val="baseline"/>
        </w:rPr>
        <w:t>supporters</w:t>
      </w:r>
      <w:r>
        <w:rPr>
          <w:spacing w:val="-9"/>
          <w:sz w:val="21"/>
          <w:vertAlign w:val="baseline"/>
        </w:rPr>
        <w:t> </w:t>
      </w:r>
      <w:r>
        <w:rPr>
          <w:sz w:val="21"/>
          <w:vertAlign w:val="baseline"/>
        </w:rPr>
        <w:t>to</w:t>
      </w:r>
      <w:r>
        <w:rPr>
          <w:spacing w:val="-9"/>
          <w:sz w:val="21"/>
          <w:vertAlign w:val="baseline"/>
        </w:rPr>
        <w:t> </w:t>
      </w:r>
      <w:r>
        <w:rPr>
          <w:sz w:val="21"/>
          <w:vertAlign w:val="baseline"/>
        </w:rPr>
        <w:t>not</w:t>
      </w:r>
      <w:r>
        <w:rPr>
          <w:spacing w:val="-8"/>
          <w:sz w:val="21"/>
          <w:vertAlign w:val="baseline"/>
        </w:rPr>
        <w:t> </w:t>
      </w:r>
      <w:r>
        <w:rPr>
          <w:sz w:val="21"/>
          <w:vertAlign w:val="baseline"/>
        </w:rPr>
        <w:t>only</w:t>
      </w:r>
      <w:r>
        <w:rPr>
          <w:spacing w:val="-10"/>
          <w:sz w:val="21"/>
          <w:vertAlign w:val="baseline"/>
        </w:rPr>
        <w:t> </w:t>
      </w:r>
      <w:r>
        <w:rPr>
          <w:sz w:val="21"/>
          <w:vertAlign w:val="baseline"/>
        </w:rPr>
        <w:t>take an anti-racist and intersectional stance, but also a culturally- responsive one. Whether in policy, youth services, or mental healthcare, cultural responsiveness begins with curiosity rather than generalization.</w:t>
      </w:r>
    </w:p>
    <w:p>
      <w:pPr>
        <w:spacing w:before="239"/>
        <w:ind w:left="463" w:right="0" w:firstLine="0"/>
        <w:jc w:val="both"/>
        <w:rPr>
          <w:sz w:val="21"/>
        </w:rPr>
      </w:pPr>
      <w:r>
        <w:rPr>
          <w:sz w:val="21"/>
        </w:rPr>
        <w:t>First,</w:t>
      </w:r>
      <w:r>
        <w:rPr>
          <w:spacing w:val="2"/>
          <w:sz w:val="21"/>
        </w:rPr>
        <w:t> </w:t>
      </w:r>
      <w:r>
        <w:rPr>
          <w:sz w:val="21"/>
        </w:rPr>
        <w:t>supporters</w:t>
      </w:r>
      <w:r>
        <w:rPr>
          <w:spacing w:val="1"/>
          <w:sz w:val="21"/>
        </w:rPr>
        <w:t> </w:t>
      </w:r>
      <w:r>
        <w:rPr>
          <w:sz w:val="21"/>
        </w:rPr>
        <w:t>of</w:t>
      </w:r>
      <w:r>
        <w:rPr>
          <w:spacing w:val="1"/>
          <w:sz w:val="21"/>
        </w:rPr>
        <w:t> </w:t>
      </w:r>
      <w:r>
        <w:rPr>
          <w:sz w:val="21"/>
        </w:rPr>
        <w:t>LGBTQ</w:t>
      </w:r>
      <w:r>
        <w:rPr>
          <w:spacing w:val="4"/>
          <w:sz w:val="21"/>
        </w:rPr>
        <w:t> </w:t>
      </w:r>
      <w:r>
        <w:rPr>
          <w:sz w:val="21"/>
        </w:rPr>
        <w:t>youth</w:t>
      </w:r>
      <w:r>
        <w:rPr>
          <w:spacing w:val="2"/>
          <w:sz w:val="21"/>
        </w:rPr>
        <w:t> </w:t>
      </w:r>
      <w:r>
        <w:rPr>
          <w:sz w:val="21"/>
        </w:rPr>
        <w:t>should</w:t>
      </w:r>
      <w:r>
        <w:rPr>
          <w:spacing w:val="2"/>
          <w:sz w:val="21"/>
        </w:rPr>
        <w:t> </w:t>
      </w:r>
      <w:r>
        <w:rPr>
          <w:sz w:val="21"/>
        </w:rPr>
        <w:t>recognize</w:t>
      </w:r>
      <w:r>
        <w:rPr>
          <w:spacing w:val="2"/>
          <w:sz w:val="21"/>
        </w:rPr>
        <w:t> </w:t>
      </w:r>
      <w:r>
        <w:rPr>
          <w:sz w:val="21"/>
        </w:rPr>
        <w:t>that</w:t>
      </w:r>
      <w:r>
        <w:rPr>
          <w:spacing w:val="3"/>
          <w:sz w:val="21"/>
        </w:rPr>
        <w:t> </w:t>
      </w:r>
      <w:r>
        <w:rPr>
          <w:spacing w:val="-2"/>
          <w:sz w:val="21"/>
        </w:rPr>
        <w:t>every</w:t>
      </w:r>
    </w:p>
    <w:p>
      <w:pPr>
        <w:spacing w:line="276" w:lineRule="auto" w:before="39"/>
        <w:ind w:left="463" w:right="241" w:firstLine="0"/>
        <w:jc w:val="both"/>
        <w:rPr>
          <w:sz w:val="21"/>
        </w:rPr>
      </w:pPr>
      <w:r>
        <w:rPr>
          <w:sz w:val="21"/>
        </w:rPr>
        <w:t>country</w:t>
      </w:r>
      <w:r>
        <w:rPr>
          <w:spacing w:val="-1"/>
          <w:sz w:val="21"/>
        </w:rPr>
        <w:t> </w:t>
      </w:r>
      <w:r>
        <w:rPr>
          <w:sz w:val="21"/>
        </w:rPr>
        <w:t>–</w:t>
      </w:r>
      <w:r>
        <w:rPr>
          <w:spacing w:val="-1"/>
          <w:sz w:val="21"/>
        </w:rPr>
        <w:t> </w:t>
      </w:r>
      <w:r>
        <w:rPr>
          <w:sz w:val="21"/>
        </w:rPr>
        <w:t>including</w:t>
      </w:r>
      <w:r>
        <w:rPr>
          <w:spacing w:val="-1"/>
          <w:sz w:val="21"/>
        </w:rPr>
        <w:t> </w:t>
      </w:r>
      <w:r>
        <w:rPr>
          <w:sz w:val="21"/>
        </w:rPr>
        <w:t>the</w:t>
      </w:r>
      <w:r>
        <w:rPr>
          <w:spacing w:val="-1"/>
          <w:sz w:val="21"/>
        </w:rPr>
        <w:t> </w:t>
      </w:r>
      <w:r>
        <w:rPr>
          <w:sz w:val="21"/>
        </w:rPr>
        <w:t>US</w:t>
      </w:r>
      <w:r>
        <w:rPr>
          <w:spacing w:val="-1"/>
          <w:sz w:val="21"/>
        </w:rPr>
        <w:t> </w:t>
      </w:r>
      <w:r>
        <w:rPr>
          <w:sz w:val="21"/>
        </w:rPr>
        <w:t>–</w:t>
      </w:r>
      <w:r>
        <w:rPr>
          <w:spacing w:val="-1"/>
          <w:sz w:val="21"/>
        </w:rPr>
        <w:t> </w:t>
      </w:r>
      <w:r>
        <w:rPr>
          <w:sz w:val="21"/>
        </w:rPr>
        <w:t>has</w:t>
      </w:r>
      <w:r>
        <w:rPr>
          <w:spacing w:val="-1"/>
          <w:sz w:val="21"/>
        </w:rPr>
        <w:t> </w:t>
      </w:r>
      <w:r>
        <w:rPr>
          <w:sz w:val="21"/>
        </w:rPr>
        <w:t>multiple</w:t>
      </w:r>
      <w:r>
        <w:rPr>
          <w:spacing w:val="-1"/>
          <w:sz w:val="21"/>
        </w:rPr>
        <w:t> </w:t>
      </w:r>
      <w:r>
        <w:rPr>
          <w:sz w:val="21"/>
        </w:rPr>
        <w:t>cultures</w:t>
      </w:r>
      <w:r>
        <w:rPr>
          <w:spacing w:val="-1"/>
          <w:sz w:val="21"/>
        </w:rPr>
        <w:t> </w:t>
      </w:r>
      <w:r>
        <w:rPr>
          <w:sz w:val="21"/>
        </w:rPr>
        <w:t>with</w:t>
      </w:r>
      <w:r>
        <w:rPr>
          <w:spacing w:val="-2"/>
          <w:sz w:val="21"/>
        </w:rPr>
        <w:t> </w:t>
      </w:r>
      <w:r>
        <w:rPr>
          <w:sz w:val="21"/>
        </w:rPr>
        <w:t>diverse</w:t>
      </w:r>
      <w:r>
        <w:rPr>
          <w:spacing w:val="-1"/>
          <w:sz w:val="21"/>
        </w:rPr>
        <w:t> </w:t>
      </w:r>
      <w:r>
        <w:rPr>
          <w:sz w:val="21"/>
        </w:rPr>
        <w:t>values, and</w:t>
      </w:r>
      <w:r>
        <w:rPr>
          <w:spacing w:val="-1"/>
          <w:sz w:val="21"/>
        </w:rPr>
        <w:t> </w:t>
      </w:r>
      <w:r>
        <w:rPr>
          <w:sz w:val="21"/>
        </w:rPr>
        <w:t>that foreign-born</w:t>
      </w:r>
      <w:r>
        <w:rPr>
          <w:spacing w:val="-1"/>
          <w:sz w:val="21"/>
        </w:rPr>
        <w:t> </w:t>
      </w:r>
      <w:r>
        <w:rPr>
          <w:sz w:val="21"/>
        </w:rPr>
        <w:t>youth</w:t>
      </w:r>
      <w:r>
        <w:rPr>
          <w:spacing w:val="-1"/>
          <w:sz w:val="21"/>
        </w:rPr>
        <w:t> </w:t>
      </w:r>
      <w:r>
        <w:rPr>
          <w:sz w:val="21"/>
        </w:rPr>
        <w:t>blend</w:t>
      </w:r>
      <w:r>
        <w:rPr>
          <w:spacing w:val="-1"/>
          <w:sz w:val="21"/>
        </w:rPr>
        <w:t> </w:t>
      </w:r>
      <w:r>
        <w:rPr>
          <w:sz w:val="21"/>
        </w:rPr>
        <w:t>these cultures differently across generations, regions, and families. Further, racial oppression (including assimilation pressures, colonization, forced migration, and inequitable systems of family separation, adoption, and foster care) can disconnect BIPOC youth and families from their heritage cultures. Thus, supporters should avoid assuming</w:t>
      </w:r>
      <w:r>
        <w:rPr>
          <w:spacing w:val="-6"/>
          <w:sz w:val="21"/>
        </w:rPr>
        <w:t> </w:t>
      </w:r>
      <w:r>
        <w:rPr>
          <w:sz w:val="21"/>
        </w:rPr>
        <w:t>that</w:t>
      </w:r>
      <w:r>
        <w:rPr>
          <w:spacing w:val="-6"/>
          <w:sz w:val="21"/>
        </w:rPr>
        <w:t> </w:t>
      </w:r>
      <w:r>
        <w:rPr>
          <w:sz w:val="21"/>
        </w:rPr>
        <w:t>all</w:t>
      </w:r>
      <w:r>
        <w:rPr>
          <w:spacing w:val="-6"/>
          <w:sz w:val="21"/>
        </w:rPr>
        <w:t> </w:t>
      </w:r>
      <w:r>
        <w:rPr>
          <w:sz w:val="21"/>
        </w:rPr>
        <w:t>foreign-born</w:t>
      </w:r>
      <w:r>
        <w:rPr>
          <w:spacing w:val="-6"/>
          <w:sz w:val="21"/>
        </w:rPr>
        <w:t> </w:t>
      </w:r>
      <w:r>
        <w:rPr>
          <w:sz w:val="21"/>
        </w:rPr>
        <w:t>youth</w:t>
      </w:r>
      <w:r>
        <w:rPr>
          <w:spacing w:val="-7"/>
          <w:sz w:val="21"/>
        </w:rPr>
        <w:t> </w:t>
      </w:r>
      <w:r>
        <w:rPr>
          <w:sz w:val="21"/>
        </w:rPr>
        <w:t>have</w:t>
      </w:r>
      <w:r>
        <w:rPr>
          <w:spacing w:val="-8"/>
          <w:sz w:val="21"/>
        </w:rPr>
        <w:t> </w:t>
      </w:r>
      <w:r>
        <w:rPr>
          <w:sz w:val="21"/>
        </w:rPr>
        <w:t>the</w:t>
      </w:r>
      <w:r>
        <w:rPr>
          <w:spacing w:val="-6"/>
          <w:sz w:val="21"/>
        </w:rPr>
        <w:t> </w:t>
      </w:r>
      <w:r>
        <w:rPr>
          <w:sz w:val="21"/>
        </w:rPr>
        <w:t>same</w:t>
      </w:r>
      <w:r>
        <w:rPr>
          <w:spacing w:val="-7"/>
          <w:sz w:val="21"/>
        </w:rPr>
        <w:t> </w:t>
      </w:r>
      <w:r>
        <w:rPr>
          <w:sz w:val="21"/>
        </w:rPr>
        <w:t>cultural</w:t>
      </w:r>
      <w:r>
        <w:rPr>
          <w:spacing w:val="-6"/>
          <w:sz w:val="21"/>
        </w:rPr>
        <w:t> </w:t>
      </w:r>
      <w:r>
        <w:rPr>
          <w:sz w:val="21"/>
        </w:rPr>
        <w:t>values</w:t>
      </w:r>
      <w:r>
        <w:rPr>
          <w:spacing w:val="-6"/>
          <w:sz w:val="21"/>
        </w:rPr>
        <w:t> </w:t>
      </w:r>
      <w:r>
        <w:rPr>
          <w:sz w:val="21"/>
        </w:rPr>
        <w:t>or</w:t>
      </w:r>
      <w:r>
        <w:rPr>
          <w:spacing w:val="-8"/>
          <w:sz w:val="21"/>
        </w:rPr>
        <w:t> </w:t>
      </w:r>
      <w:r>
        <w:rPr>
          <w:sz w:val="21"/>
        </w:rPr>
        <w:t>that</w:t>
      </w:r>
      <w:r>
        <w:rPr>
          <w:spacing w:val="-6"/>
          <w:sz w:val="21"/>
        </w:rPr>
        <w:t> </w:t>
      </w:r>
      <w:r>
        <w:rPr>
          <w:sz w:val="21"/>
        </w:rPr>
        <w:t>they</w:t>
      </w:r>
      <w:r>
        <w:rPr>
          <w:spacing w:val="-7"/>
          <w:sz w:val="21"/>
        </w:rPr>
        <w:t> </w:t>
      </w:r>
      <w:r>
        <w:rPr>
          <w:sz w:val="21"/>
        </w:rPr>
        <w:t>are</w:t>
      </w:r>
      <w:r>
        <w:rPr>
          <w:spacing w:val="-8"/>
          <w:sz w:val="21"/>
        </w:rPr>
        <w:t> </w:t>
      </w:r>
      <w:r>
        <w:rPr>
          <w:sz w:val="21"/>
        </w:rPr>
        <w:t>comfortably</w:t>
      </w:r>
      <w:r>
        <w:rPr>
          <w:spacing w:val="-6"/>
          <w:sz w:val="21"/>
        </w:rPr>
        <w:t> </w:t>
      </w:r>
      <w:r>
        <w:rPr>
          <w:sz w:val="21"/>
        </w:rPr>
        <w:t>connected</w:t>
      </w:r>
      <w:r>
        <w:rPr>
          <w:spacing w:val="-6"/>
          <w:sz w:val="21"/>
        </w:rPr>
        <w:t> </w:t>
      </w:r>
      <w:r>
        <w:rPr>
          <w:sz w:val="21"/>
        </w:rPr>
        <w:t>with their heritage cultures. Instead, supporters should recognize that each individual has their own relationship to </w:t>
      </w:r>
      <w:r>
        <w:rPr>
          <w:spacing w:val="-2"/>
          <w:sz w:val="21"/>
        </w:rPr>
        <w:t>culture.</w:t>
      </w:r>
    </w:p>
    <w:p>
      <w:pPr>
        <w:spacing w:line="276" w:lineRule="auto" w:before="240"/>
        <w:ind w:left="463" w:right="240" w:firstLine="0"/>
        <w:jc w:val="both"/>
        <w:rPr>
          <w:sz w:val="21"/>
        </w:rPr>
      </w:pPr>
      <w:r>
        <w:rPr>
          <w:sz w:val="21"/>
        </w:rPr>
        <w:t>Second, the Commission urges supporters not to place Western standards of mental health or LGBTQ identity upon</w:t>
      </w:r>
      <w:r>
        <w:rPr>
          <w:spacing w:val="-6"/>
          <w:sz w:val="21"/>
        </w:rPr>
        <w:t> </w:t>
      </w:r>
      <w:r>
        <w:rPr>
          <w:sz w:val="21"/>
        </w:rPr>
        <w:t>all</w:t>
      </w:r>
      <w:r>
        <w:rPr>
          <w:spacing w:val="-6"/>
          <w:sz w:val="21"/>
        </w:rPr>
        <w:t> </w:t>
      </w:r>
      <w:r>
        <w:rPr>
          <w:sz w:val="21"/>
        </w:rPr>
        <w:t>youth.</w:t>
      </w:r>
      <w:r>
        <w:rPr>
          <w:spacing w:val="-6"/>
          <w:sz w:val="21"/>
        </w:rPr>
        <w:t> </w:t>
      </w:r>
      <w:r>
        <w:rPr>
          <w:color w:val="1C1D1E"/>
          <w:sz w:val="21"/>
        </w:rPr>
        <w:t>One</w:t>
      </w:r>
      <w:r>
        <w:rPr>
          <w:color w:val="1C1D1E"/>
          <w:spacing w:val="-6"/>
          <w:sz w:val="21"/>
        </w:rPr>
        <w:t> </w:t>
      </w:r>
      <w:r>
        <w:rPr>
          <w:color w:val="1C1D1E"/>
          <w:sz w:val="21"/>
        </w:rPr>
        <w:t>example</w:t>
      </w:r>
      <w:r>
        <w:rPr>
          <w:color w:val="1C1D1E"/>
          <w:spacing w:val="-6"/>
          <w:sz w:val="21"/>
        </w:rPr>
        <w:t> </w:t>
      </w:r>
      <w:r>
        <w:rPr>
          <w:color w:val="1C1D1E"/>
          <w:sz w:val="21"/>
        </w:rPr>
        <w:t>is</w:t>
      </w:r>
      <w:r>
        <w:rPr>
          <w:color w:val="1C1D1E"/>
          <w:spacing w:val="-6"/>
          <w:sz w:val="21"/>
        </w:rPr>
        <w:t> </w:t>
      </w:r>
      <w:r>
        <w:rPr>
          <w:color w:val="1C1D1E"/>
          <w:sz w:val="21"/>
        </w:rPr>
        <w:t>to</w:t>
      </w:r>
      <w:r>
        <w:rPr>
          <w:color w:val="1C1D1E"/>
          <w:spacing w:val="-6"/>
          <w:sz w:val="21"/>
        </w:rPr>
        <w:t> </w:t>
      </w:r>
      <w:r>
        <w:rPr>
          <w:color w:val="1C1D1E"/>
          <w:sz w:val="21"/>
        </w:rPr>
        <w:t>avoid</w:t>
      </w:r>
      <w:r>
        <w:rPr>
          <w:color w:val="1C1D1E"/>
          <w:spacing w:val="-6"/>
          <w:sz w:val="21"/>
        </w:rPr>
        <w:t> </w:t>
      </w:r>
      <w:r>
        <w:rPr>
          <w:color w:val="1C1D1E"/>
          <w:sz w:val="21"/>
        </w:rPr>
        <w:t>assuming</w:t>
      </w:r>
      <w:r>
        <w:rPr>
          <w:color w:val="1C1D1E"/>
          <w:spacing w:val="-6"/>
          <w:sz w:val="21"/>
        </w:rPr>
        <w:t> </w:t>
      </w:r>
      <w:r>
        <w:rPr>
          <w:color w:val="1C1D1E"/>
          <w:sz w:val="21"/>
        </w:rPr>
        <w:t>that</w:t>
      </w:r>
      <w:r>
        <w:rPr>
          <w:color w:val="1C1D1E"/>
          <w:spacing w:val="-5"/>
          <w:sz w:val="21"/>
        </w:rPr>
        <w:t> </w:t>
      </w:r>
      <w:r>
        <w:rPr>
          <w:color w:val="1C1D1E"/>
          <w:sz w:val="21"/>
        </w:rPr>
        <w:t>youth</w:t>
      </w:r>
      <w:r>
        <w:rPr>
          <w:color w:val="1C1D1E"/>
          <w:spacing w:val="-6"/>
          <w:sz w:val="21"/>
        </w:rPr>
        <w:t> </w:t>
      </w:r>
      <w:r>
        <w:rPr>
          <w:color w:val="1C1D1E"/>
          <w:sz w:val="21"/>
        </w:rPr>
        <w:t>want</w:t>
      </w:r>
      <w:r>
        <w:rPr>
          <w:color w:val="1C1D1E"/>
          <w:spacing w:val="-5"/>
          <w:sz w:val="21"/>
        </w:rPr>
        <w:t> </w:t>
      </w:r>
      <w:r>
        <w:rPr>
          <w:color w:val="1C1D1E"/>
          <w:sz w:val="21"/>
        </w:rPr>
        <w:t>to</w:t>
      </w:r>
      <w:r>
        <w:rPr>
          <w:color w:val="1C1D1E"/>
          <w:spacing w:val="-6"/>
          <w:sz w:val="21"/>
        </w:rPr>
        <w:t> </w:t>
      </w:r>
      <w:r>
        <w:rPr>
          <w:color w:val="1C1D1E"/>
          <w:sz w:val="21"/>
        </w:rPr>
        <w:t>eventually</w:t>
      </w:r>
      <w:r>
        <w:rPr>
          <w:color w:val="1C1D1E"/>
          <w:spacing w:val="-6"/>
          <w:sz w:val="21"/>
        </w:rPr>
        <w:t> </w:t>
      </w:r>
      <w:r>
        <w:rPr>
          <w:color w:val="1C1D1E"/>
          <w:sz w:val="21"/>
        </w:rPr>
        <w:t>“come</w:t>
      </w:r>
      <w:r>
        <w:rPr>
          <w:color w:val="1C1D1E"/>
          <w:spacing w:val="-6"/>
          <w:sz w:val="21"/>
        </w:rPr>
        <w:t> </w:t>
      </w:r>
      <w:r>
        <w:rPr>
          <w:color w:val="1C1D1E"/>
          <w:sz w:val="21"/>
        </w:rPr>
        <w:t>out,”</w:t>
      </w:r>
      <w:r>
        <w:rPr>
          <w:color w:val="1C1D1E"/>
          <w:spacing w:val="-6"/>
          <w:sz w:val="21"/>
        </w:rPr>
        <w:t> </w:t>
      </w:r>
      <w:r>
        <w:rPr>
          <w:color w:val="1C1D1E"/>
          <w:sz w:val="21"/>
        </w:rPr>
        <w:t>since</w:t>
      </w:r>
      <w:r>
        <w:rPr>
          <w:color w:val="1C1D1E"/>
          <w:spacing w:val="-6"/>
          <w:sz w:val="21"/>
        </w:rPr>
        <w:t> </w:t>
      </w:r>
      <w:r>
        <w:rPr>
          <w:color w:val="1C1D1E"/>
          <w:sz w:val="21"/>
        </w:rPr>
        <w:t>this</w:t>
      </w:r>
      <w:r>
        <w:rPr>
          <w:color w:val="1C1D1E"/>
          <w:spacing w:val="-6"/>
          <w:sz w:val="21"/>
        </w:rPr>
        <w:t> </w:t>
      </w:r>
      <w:r>
        <w:rPr>
          <w:color w:val="1C1D1E"/>
          <w:sz w:val="21"/>
        </w:rPr>
        <w:t>does</w:t>
      </w:r>
      <w:r>
        <w:rPr>
          <w:color w:val="1C1D1E"/>
          <w:spacing w:val="-6"/>
          <w:sz w:val="21"/>
        </w:rPr>
        <w:t> </w:t>
      </w:r>
      <w:r>
        <w:rPr>
          <w:color w:val="1C1D1E"/>
          <w:sz w:val="21"/>
        </w:rPr>
        <w:t>not fit</w:t>
      </w:r>
      <w:r>
        <w:rPr>
          <w:color w:val="1C1D1E"/>
          <w:spacing w:val="-12"/>
          <w:sz w:val="21"/>
        </w:rPr>
        <w:t> </w:t>
      </w:r>
      <w:r>
        <w:rPr>
          <w:color w:val="1C1D1E"/>
          <w:sz w:val="21"/>
        </w:rPr>
        <w:t>all</w:t>
      </w:r>
      <w:r>
        <w:rPr>
          <w:color w:val="1C1D1E"/>
          <w:spacing w:val="-11"/>
          <w:sz w:val="21"/>
        </w:rPr>
        <w:t> </w:t>
      </w:r>
      <w:r>
        <w:rPr>
          <w:color w:val="1C1D1E"/>
          <w:sz w:val="21"/>
        </w:rPr>
        <w:t>cultural</w:t>
      </w:r>
      <w:r>
        <w:rPr>
          <w:color w:val="1C1D1E"/>
          <w:spacing w:val="-12"/>
          <w:sz w:val="21"/>
        </w:rPr>
        <w:t> </w:t>
      </w:r>
      <w:r>
        <w:rPr>
          <w:color w:val="1C1D1E"/>
          <w:sz w:val="21"/>
        </w:rPr>
        <w:t>norms.</w:t>
      </w:r>
      <w:r>
        <w:rPr>
          <w:color w:val="1C1D1E"/>
          <w:spacing w:val="-12"/>
          <w:sz w:val="21"/>
        </w:rPr>
        <w:t> </w:t>
      </w:r>
      <w:r>
        <w:rPr>
          <w:color w:val="1C1D1E"/>
          <w:sz w:val="21"/>
        </w:rPr>
        <w:t>In</w:t>
      </w:r>
      <w:r>
        <w:rPr>
          <w:color w:val="1C1D1E"/>
          <w:spacing w:val="-11"/>
          <w:sz w:val="21"/>
        </w:rPr>
        <w:t> </w:t>
      </w:r>
      <w:r>
        <w:rPr>
          <w:color w:val="1C1D1E"/>
          <w:sz w:val="21"/>
        </w:rPr>
        <w:t>Hong</w:t>
      </w:r>
      <w:r>
        <w:rPr>
          <w:color w:val="1C1D1E"/>
          <w:spacing w:val="-12"/>
          <w:sz w:val="21"/>
        </w:rPr>
        <w:t> </w:t>
      </w:r>
      <w:r>
        <w:rPr>
          <w:color w:val="1C1D1E"/>
          <w:sz w:val="21"/>
        </w:rPr>
        <w:t>Kong,</w:t>
      </w:r>
      <w:r>
        <w:rPr>
          <w:color w:val="1C1D1E"/>
          <w:spacing w:val="-11"/>
          <w:sz w:val="21"/>
        </w:rPr>
        <w:t> </w:t>
      </w:r>
      <w:r>
        <w:rPr>
          <w:color w:val="1C1D1E"/>
          <w:sz w:val="21"/>
        </w:rPr>
        <w:t>some</w:t>
      </w:r>
      <w:r>
        <w:rPr>
          <w:color w:val="1C1D1E"/>
          <w:spacing w:val="-12"/>
          <w:sz w:val="21"/>
        </w:rPr>
        <w:t> </w:t>
      </w:r>
      <w:r>
        <w:rPr>
          <w:color w:val="1C1D1E"/>
          <w:sz w:val="21"/>
        </w:rPr>
        <w:t>use</w:t>
      </w:r>
      <w:r>
        <w:rPr>
          <w:color w:val="1C1D1E"/>
          <w:spacing w:val="-12"/>
          <w:sz w:val="21"/>
        </w:rPr>
        <w:t> </w:t>
      </w:r>
      <w:r>
        <w:rPr>
          <w:color w:val="1C1D1E"/>
          <w:sz w:val="21"/>
        </w:rPr>
        <w:t>the</w:t>
      </w:r>
      <w:r>
        <w:rPr>
          <w:color w:val="1C1D1E"/>
          <w:spacing w:val="-12"/>
          <w:sz w:val="21"/>
        </w:rPr>
        <w:t> </w:t>
      </w:r>
      <w:r>
        <w:rPr>
          <w:color w:val="1C1D1E"/>
          <w:sz w:val="21"/>
        </w:rPr>
        <w:t>“coming</w:t>
      </w:r>
      <w:r>
        <w:rPr>
          <w:color w:val="1C1D1E"/>
          <w:spacing w:val="-12"/>
          <w:sz w:val="21"/>
        </w:rPr>
        <w:t> </w:t>
      </w:r>
      <w:r>
        <w:rPr>
          <w:color w:val="1C1D1E"/>
          <w:sz w:val="21"/>
        </w:rPr>
        <w:t>home”</w:t>
      </w:r>
      <w:r>
        <w:rPr>
          <w:color w:val="1C1D1E"/>
          <w:spacing w:val="-11"/>
          <w:sz w:val="21"/>
        </w:rPr>
        <w:t> </w:t>
      </w:r>
      <w:r>
        <w:rPr>
          <w:color w:val="1C1D1E"/>
          <w:sz w:val="21"/>
        </w:rPr>
        <w:t>method</w:t>
      </w:r>
      <w:r>
        <w:rPr>
          <w:color w:val="1C1D1E"/>
          <w:spacing w:val="-11"/>
          <w:sz w:val="21"/>
        </w:rPr>
        <w:t> </w:t>
      </w:r>
      <w:r>
        <w:rPr>
          <w:color w:val="1C1D1E"/>
          <w:sz w:val="21"/>
        </w:rPr>
        <w:t>of</w:t>
      </w:r>
      <w:r>
        <w:rPr>
          <w:color w:val="1C1D1E"/>
          <w:spacing w:val="-12"/>
          <w:sz w:val="21"/>
        </w:rPr>
        <w:t> </w:t>
      </w:r>
      <w:r>
        <w:rPr>
          <w:color w:val="1C1D1E"/>
          <w:sz w:val="21"/>
        </w:rPr>
        <w:t>simply</w:t>
      </w:r>
      <w:r>
        <w:rPr>
          <w:color w:val="1C1D1E"/>
          <w:spacing w:val="-11"/>
          <w:sz w:val="21"/>
        </w:rPr>
        <w:t> </w:t>
      </w:r>
      <w:r>
        <w:rPr>
          <w:color w:val="1C1D1E"/>
          <w:sz w:val="21"/>
        </w:rPr>
        <w:t>bringing</w:t>
      </w:r>
      <w:r>
        <w:rPr>
          <w:color w:val="1C1D1E"/>
          <w:spacing w:val="-12"/>
          <w:sz w:val="21"/>
        </w:rPr>
        <w:t> </w:t>
      </w:r>
      <w:r>
        <w:rPr>
          <w:color w:val="1C1D1E"/>
          <w:sz w:val="21"/>
        </w:rPr>
        <w:t>their</w:t>
      </w:r>
      <w:r>
        <w:rPr>
          <w:color w:val="1C1D1E"/>
          <w:spacing w:val="-12"/>
          <w:sz w:val="21"/>
        </w:rPr>
        <w:t> </w:t>
      </w:r>
      <w:r>
        <w:rPr>
          <w:color w:val="1C1D1E"/>
          <w:sz w:val="21"/>
        </w:rPr>
        <w:t>partners</w:t>
      </w:r>
      <w:r>
        <w:rPr>
          <w:color w:val="1C1D1E"/>
          <w:spacing w:val="-12"/>
          <w:sz w:val="21"/>
        </w:rPr>
        <w:t> </w:t>
      </w:r>
      <w:r>
        <w:rPr>
          <w:color w:val="1C1D1E"/>
          <w:sz w:val="21"/>
        </w:rPr>
        <w:t>home instead, forgoing a direct conversation or</w:t>
      </w:r>
      <w:r>
        <w:rPr>
          <w:color w:val="1C1D1E"/>
          <w:spacing w:val="-1"/>
          <w:sz w:val="21"/>
        </w:rPr>
        <w:t> </w:t>
      </w:r>
      <w:r>
        <w:rPr>
          <w:color w:val="1C1D1E"/>
          <w:sz w:val="21"/>
        </w:rPr>
        <w:t>declaration</w:t>
      </w:r>
      <w:hyperlink w:history="true" w:anchor="_bookmark133">
        <w:r>
          <w:rPr>
            <w:color w:val="1C1D1E"/>
            <w:sz w:val="21"/>
          </w:rPr>
          <w:t>.</w:t>
        </w:r>
        <w:r>
          <w:rPr>
            <w:color w:val="1C1D1E"/>
            <w:sz w:val="21"/>
            <w:vertAlign w:val="superscript"/>
          </w:rPr>
          <w:t>32</w:t>
        </w:r>
      </w:hyperlink>
      <w:r>
        <w:rPr>
          <w:color w:val="1C1D1E"/>
          <w:spacing w:val="-1"/>
          <w:sz w:val="21"/>
          <w:vertAlign w:val="baseline"/>
        </w:rPr>
        <w:t> </w:t>
      </w:r>
      <w:r>
        <w:rPr>
          <w:sz w:val="21"/>
          <w:vertAlign w:val="baseline"/>
        </w:rPr>
        <w:t>Another example is to</w:t>
      </w:r>
      <w:r>
        <w:rPr>
          <w:spacing w:val="-1"/>
          <w:sz w:val="21"/>
          <w:vertAlign w:val="baseline"/>
        </w:rPr>
        <w:t> </w:t>
      </w:r>
      <w:r>
        <w:rPr>
          <w:sz w:val="21"/>
          <w:vertAlign w:val="baseline"/>
        </w:rPr>
        <w:t>remember that mental health is expressed</w:t>
      </w:r>
      <w:r>
        <w:rPr>
          <w:spacing w:val="-12"/>
          <w:sz w:val="21"/>
          <w:vertAlign w:val="baseline"/>
        </w:rPr>
        <w:t> </w:t>
      </w:r>
      <w:r>
        <w:rPr>
          <w:sz w:val="21"/>
          <w:vertAlign w:val="baseline"/>
        </w:rPr>
        <w:t>differently</w:t>
      </w:r>
      <w:r>
        <w:rPr>
          <w:spacing w:val="-12"/>
          <w:sz w:val="21"/>
          <w:vertAlign w:val="baseline"/>
        </w:rPr>
        <w:t> </w:t>
      </w:r>
      <w:r>
        <w:rPr>
          <w:sz w:val="21"/>
          <w:vertAlign w:val="baseline"/>
        </w:rPr>
        <w:t>across</w:t>
      </w:r>
      <w:r>
        <w:rPr>
          <w:spacing w:val="-12"/>
          <w:sz w:val="21"/>
          <w:vertAlign w:val="baseline"/>
        </w:rPr>
        <w:t> </w:t>
      </w:r>
      <w:r>
        <w:rPr>
          <w:sz w:val="21"/>
          <w:vertAlign w:val="baseline"/>
        </w:rPr>
        <w:t>cultures.</w:t>
      </w:r>
      <w:r>
        <w:rPr>
          <w:spacing w:val="-12"/>
          <w:sz w:val="21"/>
          <w:vertAlign w:val="baseline"/>
        </w:rPr>
        <w:t> </w:t>
      </w:r>
      <w:r>
        <w:rPr>
          <w:sz w:val="21"/>
          <w:vertAlign w:val="baseline"/>
        </w:rPr>
        <w:t>Asian</w:t>
      </w:r>
      <w:r>
        <w:rPr>
          <w:spacing w:val="-12"/>
          <w:sz w:val="21"/>
          <w:vertAlign w:val="baseline"/>
        </w:rPr>
        <w:t> </w:t>
      </w:r>
      <w:r>
        <w:rPr>
          <w:sz w:val="21"/>
          <w:vertAlign w:val="baseline"/>
        </w:rPr>
        <w:t>Americans</w:t>
      </w:r>
      <w:r>
        <w:rPr>
          <w:spacing w:val="-12"/>
          <w:sz w:val="21"/>
          <w:vertAlign w:val="baseline"/>
        </w:rPr>
        <w:t> </w:t>
      </w:r>
      <w:r>
        <w:rPr>
          <w:sz w:val="21"/>
          <w:vertAlign w:val="baseline"/>
        </w:rPr>
        <w:t>are</w:t>
      </w:r>
      <w:r>
        <w:rPr>
          <w:spacing w:val="-12"/>
          <w:sz w:val="21"/>
          <w:vertAlign w:val="baseline"/>
        </w:rPr>
        <w:t> </w:t>
      </w:r>
      <w:r>
        <w:rPr>
          <w:sz w:val="21"/>
          <w:vertAlign w:val="baseline"/>
        </w:rPr>
        <w:t>more</w:t>
      </w:r>
      <w:r>
        <w:rPr>
          <w:spacing w:val="-11"/>
          <w:sz w:val="21"/>
          <w:vertAlign w:val="baseline"/>
        </w:rPr>
        <w:t> </w:t>
      </w:r>
      <w:r>
        <w:rPr>
          <w:sz w:val="21"/>
          <w:vertAlign w:val="baseline"/>
        </w:rPr>
        <w:t>likely</w:t>
      </w:r>
      <w:r>
        <w:rPr>
          <w:spacing w:val="-12"/>
          <w:sz w:val="21"/>
          <w:vertAlign w:val="baseline"/>
        </w:rPr>
        <w:t> </w:t>
      </w:r>
      <w:r>
        <w:rPr>
          <w:sz w:val="21"/>
          <w:vertAlign w:val="baseline"/>
        </w:rPr>
        <w:t>to</w:t>
      </w:r>
      <w:r>
        <w:rPr>
          <w:spacing w:val="-12"/>
          <w:sz w:val="21"/>
          <w:vertAlign w:val="baseline"/>
        </w:rPr>
        <w:t> </w:t>
      </w:r>
      <w:r>
        <w:rPr>
          <w:sz w:val="21"/>
          <w:vertAlign w:val="baseline"/>
        </w:rPr>
        <w:t>express</w:t>
      </w:r>
      <w:r>
        <w:rPr>
          <w:spacing w:val="-12"/>
          <w:sz w:val="21"/>
          <w:vertAlign w:val="baseline"/>
        </w:rPr>
        <w:t> </w:t>
      </w:r>
      <w:r>
        <w:rPr>
          <w:sz w:val="21"/>
          <w:vertAlign w:val="baseline"/>
        </w:rPr>
        <w:t>mental</w:t>
      </w:r>
      <w:r>
        <w:rPr>
          <w:spacing w:val="-12"/>
          <w:sz w:val="21"/>
          <w:vertAlign w:val="baseline"/>
        </w:rPr>
        <w:t> </w:t>
      </w:r>
      <w:r>
        <w:rPr>
          <w:sz w:val="21"/>
          <w:vertAlign w:val="baseline"/>
        </w:rPr>
        <w:t>health</w:t>
      </w:r>
      <w:r>
        <w:rPr>
          <w:spacing w:val="-12"/>
          <w:sz w:val="21"/>
          <w:vertAlign w:val="baseline"/>
        </w:rPr>
        <w:t> </w:t>
      </w:r>
      <w:r>
        <w:rPr>
          <w:sz w:val="21"/>
          <w:vertAlign w:val="baseline"/>
        </w:rPr>
        <w:t>issues</w:t>
      </w:r>
      <w:r>
        <w:rPr>
          <w:spacing w:val="-12"/>
          <w:sz w:val="21"/>
          <w:vertAlign w:val="baseline"/>
        </w:rPr>
        <w:t> </w:t>
      </w:r>
      <w:r>
        <w:rPr>
          <w:sz w:val="21"/>
          <w:vertAlign w:val="baseline"/>
        </w:rPr>
        <w:t>as</w:t>
      </w:r>
      <w:r>
        <w:rPr>
          <w:spacing w:val="-12"/>
          <w:sz w:val="21"/>
          <w:vertAlign w:val="baseline"/>
        </w:rPr>
        <w:t> </w:t>
      </w:r>
      <w:r>
        <w:rPr>
          <w:sz w:val="21"/>
          <w:vertAlign w:val="baseline"/>
        </w:rPr>
        <w:t>physical symptoms; when service providers only look for Western signs of distress, these issues go undetected, misdiagnosed, or treated inappropriately</w:t>
      </w:r>
      <w:hyperlink w:history="true" w:anchor="_bookmark134">
        <w:r>
          <w:rPr>
            <w:sz w:val="21"/>
            <w:vertAlign w:val="baseline"/>
          </w:rPr>
          <w:t>.</w:t>
        </w:r>
        <w:r>
          <w:rPr>
            <w:color w:val="1C1D1E"/>
            <w:sz w:val="21"/>
            <w:vertAlign w:val="superscript"/>
          </w:rPr>
          <w:t>33</w:t>
        </w:r>
      </w:hyperlink>
    </w:p>
    <w:p>
      <w:pPr>
        <w:spacing w:line="276" w:lineRule="auto" w:before="240"/>
        <w:ind w:left="463" w:right="237" w:firstLine="0"/>
        <w:jc w:val="both"/>
        <w:rPr>
          <w:sz w:val="21"/>
        </w:rPr>
      </w:pPr>
      <w:r>
        <w:rPr>
          <w:sz w:val="21"/>
        </w:rPr>
        <w:t>Third, supporters</w:t>
      </w:r>
      <w:r>
        <w:rPr>
          <w:spacing w:val="-1"/>
          <w:sz w:val="21"/>
        </w:rPr>
        <w:t> </w:t>
      </w:r>
      <w:r>
        <w:rPr>
          <w:sz w:val="21"/>
        </w:rPr>
        <w:t>should</w:t>
      </w:r>
      <w:r>
        <w:rPr>
          <w:spacing w:val="-1"/>
          <w:sz w:val="21"/>
        </w:rPr>
        <w:t> </w:t>
      </w:r>
      <w:r>
        <w:rPr>
          <w:sz w:val="21"/>
        </w:rPr>
        <w:t>invest in</w:t>
      </w:r>
      <w:r>
        <w:rPr>
          <w:spacing w:val="-1"/>
          <w:sz w:val="21"/>
        </w:rPr>
        <w:t> </w:t>
      </w:r>
      <w:r>
        <w:rPr>
          <w:sz w:val="21"/>
        </w:rPr>
        <w:t>culturally-responsive, LGBTQ-affirming</w:t>
      </w:r>
      <w:r>
        <w:rPr>
          <w:spacing w:val="-1"/>
          <w:sz w:val="21"/>
        </w:rPr>
        <w:t> </w:t>
      </w:r>
      <w:r>
        <w:rPr>
          <w:sz w:val="21"/>
        </w:rPr>
        <w:t>mental</w:t>
      </w:r>
      <w:r>
        <w:rPr>
          <w:spacing w:val="-1"/>
          <w:sz w:val="21"/>
        </w:rPr>
        <w:t> </w:t>
      </w:r>
      <w:r>
        <w:rPr>
          <w:sz w:val="21"/>
        </w:rPr>
        <w:t>health</w:t>
      </w:r>
      <w:r>
        <w:rPr>
          <w:spacing w:val="-1"/>
          <w:sz w:val="21"/>
        </w:rPr>
        <w:t> </w:t>
      </w:r>
      <w:r>
        <w:rPr>
          <w:sz w:val="21"/>
        </w:rPr>
        <w:t>resources. In 2020, the Trevor</w:t>
      </w:r>
      <w:r>
        <w:rPr>
          <w:spacing w:val="-12"/>
          <w:sz w:val="21"/>
        </w:rPr>
        <w:t> </w:t>
      </w:r>
      <w:r>
        <w:rPr>
          <w:sz w:val="21"/>
        </w:rPr>
        <w:t>Project</w:t>
      </w:r>
      <w:r>
        <w:rPr>
          <w:spacing w:val="-12"/>
          <w:sz w:val="21"/>
        </w:rPr>
        <w:t> </w:t>
      </w:r>
      <w:r>
        <w:rPr>
          <w:sz w:val="21"/>
        </w:rPr>
        <w:t>found</w:t>
      </w:r>
      <w:r>
        <w:rPr>
          <w:spacing w:val="-12"/>
          <w:sz w:val="21"/>
        </w:rPr>
        <w:t> </w:t>
      </w:r>
      <w:r>
        <w:rPr>
          <w:sz w:val="21"/>
        </w:rPr>
        <w:t>that</w:t>
      </w:r>
      <w:r>
        <w:rPr>
          <w:spacing w:val="-12"/>
          <w:sz w:val="21"/>
        </w:rPr>
        <w:t> </w:t>
      </w:r>
      <w:r>
        <w:rPr>
          <w:sz w:val="21"/>
        </w:rPr>
        <w:t>many</w:t>
      </w:r>
      <w:r>
        <w:rPr>
          <w:spacing w:val="-12"/>
          <w:sz w:val="21"/>
        </w:rPr>
        <w:t> </w:t>
      </w:r>
      <w:r>
        <w:rPr>
          <w:sz w:val="21"/>
        </w:rPr>
        <w:t>LGBTQ</w:t>
      </w:r>
      <w:r>
        <w:rPr>
          <w:spacing w:val="-12"/>
          <w:sz w:val="21"/>
        </w:rPr>
        <w:t> </w:t>
      </w:r>
      <w:r>
        <w:rPr>
          <w:sz w:val="21"/>
        </w:rPr>
        <w:t>youth</w:t>
      </w:r>
      <w:r>
        <w:rPr>
          <w:spacing w:val="-12"/>
          <w:sz w:val="21"/>
        </w:rPr>
        <w:t> </w:t>
      </w:r>
      <w:r>
        <w:rPr>
          <w:sz w:val="21"/>
        </w:rPr>
        <w:t>did</w:t>
      </w:r>
      <w:r>
        <w:rPr>
          <w:spacing w:val="-11"/>
          <w:sz w:val="21"/>
        </w:rPr>
        <w:t> </w:t>
      </w:r>
      <w:r>
        <w:rPr>
          <w:sz w:val="21"/>
        </w:rPr>
        <w:t>not</w:t>
      </w:r>
      <w:r>
        <w:rPr>
          <w:spacing w:val="-12"/>
          <w:sz w:val="21"/>
        </w:rPr>
        <w:t> </w:t>
      </w:r>
      <w:r>
        <w:rPr>
          <w:sz w:val="21"/>
        </w:rPr>
        <w:t>access</w:t>
      </w:r>
      <w:r>
        <w:rPr>
          <w:spacing w:val="-12"/>
          <w:sz w:val="21"/>
        </w:rPr>
        <w:t> </w:t>
      </w:r>
      <w:r>
        <w:rPr>
          <w:sz w:val="21"/>
        </w:rPr>
        <w:t>mental</w:t>
      </w:r>
      <w:r>
        <w:rPr>
          <w:spacing w:val="-12"/>
          <w:sz w:val="21"/>
        </w:rPr>
        <w:t> </w:t>
      </w:r>
      <w:r>
        <w:rPr>
          <w:sz w:val="21"/>
        </w:rPr>
        <w:t>healthcare</w:t>
      </w:r>
      <w:r>
        <w:rPr>
          <w:spacing w:val="-12"/>
          <w:sz w:val="21"/>
        </w:rPr>
        <w:t> </w:t>
      </w:r>
      <w:r>
        <w:rPr>
          <w:sz w:val="21"/>
        </w:rPr>
        <w:t>because</w:t>
      </w:r>
      <w:r>
        <w:rPr>
          <w:spacing w:val="-12"/>
          <w:sz w:val="21"/>
        </w:rPr>
        <w:t> </w:t>
      </w:r>
      <w:r>
        <w:rPr>
          <w:sz w:val="21"/>
        </w:rPr>
        <w:t>they</w:t>
      </w:r>
      <w:r>
        <w:rPr>
          <w:spacing w:val="-12"/>
          <w:sz w:val="21"/>
        </w:rPr>
        <w:t> </w:t>
      </w:r>
      <w:r>
        <w:rPr>
          <w:sz w:val="21"/>
        </w:rPr>
        <w:t>faced</w:t>
      </w:r>
      <w:r>
        <w:rPr>
          <w:spacing w:val="-12"/>
          <w:sz w:val="21"/>
        </w:rPr>
        <w:t> </w:t>
      </w:r>
      <w:r>
        <w:rPr>
          <w:sz w:val="21"/>
        </w:rPr>
        <w:t>mental</w:t>
      </w:r>
      <w:r>
        <w:rPr>
          <w:spacing w:val="-11"/>
          <w:sz w:val="21"/>
        </w:rPr>
        <w:t> </w:t>
      </w:r>
      <w:r>
        <w:rPr>
          <w:sz w:val="21"/>
        </w:rPr>
        <w:t>health stigma in their communities or worried that providers would not understand the impact of racism and culture in their lives</w:t>
      </w:r>
      <w:hyperlink w:history="true" w:anchor="_bookmark135">
        <w:r>
          <w:rPr>
            <w:sz w:val="21"/>
          </w:rPr>
          <w:t>.</w:t>
        </w:r>
        <w:r>
          <w:rPr>
            <w:sz w:val="21"/>
            <w:vertAlign w:val="superscript"/>
          </w:rPr>
          <w:t>34</w:t>
        </w:r>
      </w:hyperlink>
      <w:r>
        <w:rPr>
          <w:sz w:val="21"/>
          <w:vertAlign w:val="baseline"/>
        </w:rPr>
        <w:t> Thus, the Commonwealth should invest in providers and services who are culturally representative</w:t>
      </w:r>
      <w:r>
        <w:rPr>
          <w:spacing w:val="-4"/>
          <w:sz w:val="21"/>
          <w:vertAlign w:val="baseline"/>
        </w:rPr>
        <w:t> </w:t>
      </w:r>
      <w:r>
        <w:rPr>
          <w:sz w:val="21"/>
          <w:vertAlign w:val="baseline"/>
        </w:rPr>
        <w:t>and</w:t>
      </w:r>
      <w:r>
        <w:rPr>
          <w:spacing w:val="-4"/>
          <w:sz w:val="21"/>
          <w:vertAlign w:val="baseline"/>
        </w:rPr>
        <w:t> </w:t>
      </w:r>
      <w:r>
        <w:rPr>
          <w:sz w:val="21"/>
          <w:vertAlign w:val="baseline"/>
        </w:rPr>
        <w:t>multilingual.</w:t>
      </w:r>
      <w:r>
        <w:rPr>
          <w:spacing w:val="-4"/>
          <w:sz w:val="21"/>
          <w:vertAlign w:val="baseline"/>
        </w:rPr>
        <w:t> </w:t>
      </w:r>
      <w:r>
        <w:rPr>
          <w:sz w:val="21"/>
          <w:vertAlign w:val="baseline"/>
        </w:rPr>
        <w:t>Language</w:t>
      </w:r>
      <w:r>
        <w:rPr>
          <w:spacing w:val="-4"/>
          <w:sz w:val="21"/>
          <w:vertAlign w:val="baseline"/>
        </w:rPr>
        <w:t> </w:t>
      </w:r>
      <w:r>
        <w:rPr>
          <w:sz w:val="21"/>
          <w:vertAlign w:val="baseline"/>
        </w:rPr>
        <w:t>access</w:t>
      </w:r>
      <w:r>
        <w:rPr>
          <w:spacing w:val="-4"/>
          <w:sz w:val="21"/>
          <w:vertAlign w:val="baseline"/>
        </w:rPr>
        <w:t> </w:t>
      </w:r>
      <w:r>
        <w:rPr>
          <w:sz w:val="21"/>
          <w:vertAlign w:val="baseline"/>
        </w:rPr>
        <w:t>is</w:t>
      </w:r>
      <w:r>
        <w:rPr>
          <w:spacing w:val="-4"/>
          <w:sz w:val="21"/>
          <w:vertAlign w:val="baseline"/>
        </w:rPr>
        <w:t> </w:t>
      </w:r>
      <w:r>
        <w:rPr>
          <w:sz w:val="21"/>
          <w:vertAlign w:val="baseline"/>
        </w:rPr>
        <w:t>especially</w:t>
      </w:r>
      <w:r>
        <w:rPr>
          <w:spacing w:val="-4"/>
          <w:sz w:val="21"/>
          <w:vertAlign w:val="baseline"/>
        </w:rPr>
        <w:t> </w:t>
      </w:r>
      <w:r>
        <w:rPr>
          <w:sz w:val="21"/>
          <w:vertAlign w:val="baseline"/>
        </w:rPr>
        <w:t>lacking;</w:t>
      </w:r>
      <w:r>
        <w:rPr>
          <w:spacing w:val="-4"/>
          <w:sz w:val="21"/>
          <w:vertAlign w:val="baseline"/>
        </w:rPr>
        <w:t> </w:t>
      </w:r>
      <w:r>
        <w:rPr>
          <w:sz w:val="21"/>
          <w:vertAlign w:val="baseline"/>
        </w:rPr>
        <w:t>before</w:t>
      </w:r>
      <w:r>
        <w:rPr>
          <w:spacing w:val="-4"/>
          <w:sz w:val="21"/>
          <w:vertAlign w:val="baseline"/>
        </w:rPr>
        <w:t> </w:t>
      </w:r>
      <w:r>
        <w:rPr>
          <w:sz w:val="21"/>
          <w:vertAlign w:val="baseline"/>
        </w:rPr>
        <w:t>2021,</w:t>
      </w:r>
      <w:r>
        <w:rPr>
          <w:spacing w:val="-4"/>
          <w:sz w:val="21"/>
          <w:vertAlign w:val="baseline"/>
        </w:rPr>
        <w:t> </w:t>
      </w:r>
      <w:r>
        <w:rPr>
          <w:sz w:val="21"/>
          <w:vertAlign w:val="baseline"/>
        </w:rPr>
        <w:t>for</w:t>
      </w:r>
      <w:r>
        <w:rPr>
          <w:spacing w:val="-4"/>
          <w:sz w:val="21"/>
          <w:vertAlign w:val="baseline"/>
        </w:rPr>
        <w:t> </w:t>
      </w:r>
      <w:r>
        <w:rPr>
          <w:sz w:val="21"/>
          <w:vertAlign w:val="baseline"/>
        </w:rPr>
        <w:t>instance,</w:t>
      </w:r>
      <w:r>
        <w:rPr>
          <w:spacing w:val="-4"/>
          <w:sz w:val="21"/>
          <w:vertAlign w:val="baseline"/>
        </w:rPr>
        <w:t> </w:t>
      </w:r>
      <w:r>
        <w:rPr>
          <w:sz w:val="21"/>
          <w:vertAlign w:val="baseline"/>
        </w:rPr>
        <w:t>bilingual</w:t>
      </w:r>
      <w:r>
        <w:rPr>
          <w:spacing w:val="-4"/>
          <w:sz w:val="21"/>
          <w:vertAlign w:val="baseline"/>
        </w:rPr>
        <w:t> </w:t>
      </w:r>
      <w:r>
        <w:rPr>
          <w:sz w:val="21"/>
          <w:vertAlign w:val="baseline"/>
        </w:rPr>
        <w:t>social workers in Boston Public Schools covered almost double the schools as their monolingual peers, at 25 schools per professional.</w:t>
      </w:r>
      <w:hyperlink w:history="true" w:anchor="_bookmark136">
        <w:r>
          <w:rPr>
            <w:sz w:val="21"/>
            <w:vertAlign w:val="superscript"/>
          </w:rPr>
          <w:t>35</w:t>
        </w:r>
      </w:hyperlink>
      <w:r>
        <w:rPr>
          <w:sz w:val="21"/>
          <w:vertAlign w:val="baseline"/>
        </w:rPr>
        <w:t> Additionally, decision-makers should work to provide foreign-born communities with financial and logistical resources so that they can respond to cultural mental health stigma in their own ways; one possible model is the promotora method, discussed further below.</w:t>
      </w:r>
    </w:p>
    <w:p>
      <w:pPr>
        <w:spacing w:after="0" w:line="276" w:lineRule="auto"/>
        <w:jc w:val="both"/>
        <w:rPr>
          <w:sz w:val="21"/>
        </w:rPr>
        <w:sectPr>
          <w:pgSz w:w="12240" w:h="15840"/>
          <w:pgMar w:header="804" w:footer="1390" w:top="1080" w:bottom="1620" w:left="980" w:right="1080"/>
        </w:sectPr>
      </w:pPr>
    </w:p>
    <w:p>
      <w:pPr>
        <w:spacing w:line="276" w:lineRule="auto" w:before="69"/>
        <w:ind w:left="2951" w:right="239" w:firstLine="0"/>
        <w:jc w:val="both"/>
        <w:rPr>
          <w:sz w:val="21"/>
        </w:rPr>
      </w:pPr>
      <w:r>
        <w:rPr/>
        <w:drawing>
          <wp:anchor distT="0" distB="0" distL="0" distR="0" allowOverlap="1" layoutInCell="1" locked="0" behindDoc="0" simplePos="0" relativeHeight="15761408">
            <wp:simplePos x="0" y="0"/>
            <wp:positionH relativeFrom="page">
              <wp:posOffset>975995</wp:posOffset>
            </wp:positionH>
            <wp:positionV relativeFrom="paragraph">
              <wp:posOffset>49530</wp:posOffset>
            </wp:positionV>
            <wp:extent cx="1426209" cy="868519"/>
            <wp:effectExtent l="0" t="0" r="0" b="0"/>
            <wp:wrapNone/>
            <wp:docPr id="231" name="Image 231" descr="A colorful text with text and numbers  Description automatically generated with medium confidence "/>
            <wp:cNvGraphicFramePr>
              <a:graphicFrameLocks/>
            </wp:cNvGraphicFramePr>
            <a:graphic>
              <a:graphicData uri="http://schemas.openxmlformats.org/drawingml/2006/picture">
                <pic:pic>
                  <pic:nvPicPr>
                    <pic:cNvPr id="231" name="Image 231" descr="A colorful text with text and numbers  Description automatically generated with medium confidence "/>
                    <pic:cNvPicPr/>
                  </pic:nvPicPr>
                  <pic:blipFill>
                    <a:blip r:embed="rId179" cstate="print"/>
                    <a:stretch>
                      <a:fillRect/>
                    </a:stretch>
                  </pic:blipFill>
                  <pic:spPr>
                    <a:xfrm>
                      <a:off x="0" y="0"/>
                      <a:ext cx="1426209" cy="868519"/>
                    </a:xfrm>
                    <a:prstGeom prst="rect">
                      <a:avLst/>
                    </a:prstGeom>
                  </pic:spPr>
                </pic:pic>
              </a:graphicData>
            </a:graphic>
          </wp:anchor>
        </w:drawing>
      </w:r>
      <w:r>
        <w:rPr>
          <w:sz w:val="21"/>
        </w:rPr>
        <w:t>Finally, research finds that when QTBIPOC youth find pride in their racialized and cultural traits, such as values, traditions, or hairstyles, they cope better with the stress of acculturation and discrimination</w:t>
      </w:r>
      <w:hyperlink w:history="true" w:anchor="_bookmark137">
        <w:r>
          <w:rPr>
            <w:sz w:val="21"/>
          </w:rPr>
          <w:t>,</w:t>
        </w:r>
        <w:r>
          <w:rPr>
            <w:sz w:val="21"/>
            <w:vertAlign w:val="superscript"/>
          </w:rPr>
          <w:t>36</w:t>
        </w:r>
      </w:hyperlink>
      <w:r>
        <w:rPr>
          <w:sz w:val="21"/>
          <w:vertAlign w:val="baseline"/>
        </w:rPr>
        <w:t> and advocates should support </w:t>
      </w:r>
      <w:r>
        <w:rPr>
          <w:spacing w:val="-2"/>
          <w:sz w:val="21"/>
          <w:vertAlign w:val="baseline"/>
        </w:rPr>
        <w:t>programming in which youth can positively develop their racial, ethnic, and cultural identities.</w:t>
      </w:r>
    </w:p>
    <w:p>
      <w:pPr>
        <w:spacing w:before="238"/>
        <w:ind w:left="463" w:right="0" w:firstLine="0"/>
        <w:jc w:val="both"/>
        <w:rPr>
          <w:sz w:val="28"/>
        </w:rPr>
      </w:pPr>
      <w:bookmarkStart w:name="Disability, Neurodiversity, and Deafness" w:id="245"/>
      <w:bookmarkEnd w:id="245"/>
      <w:r>
        <w:rPr/>
      </w:r>
      <w:r>
        <w:rPr>
          <w:color w:val="365F91"/>
          <w:sz w:val="28"/>
        </w:rPr>
        <w:t>Disability,</w:t>
      </w:r>
      <w:r>
        <w:rPr>
          <w:color w:val="365F91"/>
          <w:spacing w:val="-16"/>
          <w:sz w:val="28"/>
        </w:rPr>
        <w:t> </w:t>
      </w:r>
      <w:r>
        <w:rPr>
          <w:color w:val="365F91"/>
          <w:sz w:val="28"/>
        </w:rPr>
        <w:t>Neurodiversity,</w:t>
      </w:r>
      <w:r>
        <w:rPr>
          <w:color w:val="365F91"/>
          <w:spacing w:val="-16"/>
          <w:sz w:val="28"/>
        </w:rPr>
        <w:t> </w:t>
      </w:r>
      <w:r>
        <w:rPr>
          <w:color w:val="365F91"/>
          <w:sz w:val="28"/>
        </w:rPr>
        <w:t>and</w:t>
      </w:r>
      <w:r>
        <w:rPr>
          <w:color w:val="365F91"/>
          <w:spacing w:val="-14"/>
          <w:sz w:val="28"/>
        </w:rPr>
        <w:t> </w:t>
      </w:r>
      <w:r>
        <w:rPr>
          <w:color w:val="365F91"/>
          <w:sz w:val="28"/>
        </w:rPr>
        <w:t>Deafness:</w:t>
      </w:r>
      <w:r>
        <w:rPr>
          <w:color w:val="365F91"/>
          <w:spacing w:val="-14"/>
          <w:sz w:val="28"/>
        </w:rPr>
        <w:t> </w:t>
      </w:r>
      <w:r>
        <w:rPr>
          <w:color w:val="365F91"/>
          <w:sz w:val="28"/>
        </w:rPr>
        <w:t>Accessible,</w:t>
      </w:r>
      <w:r>
        <w:rPr>
          <w:color w:val="365F91"/>
          <w:spacing w:val="-15"/>
          <w:sz w:val="28"/>
        </w:rPr>
        <w:t> </w:t>
      </w:r>
      <w:r>
        <w:rPr>
          <w:color w:val="365F91"/>
          <w:sz w:val="28"/>
        </w:rPr>
        <w:t>Affirming</w:t>
      </w:r>
      <w:r>
        <w:rPr>
          <w:color w:val="365F91"/>
          <w:spacing w:val="-15"/>
          <w:sz w:val="28"/>
        </w:rPr>
        <w:t> </w:t>
      </w:r>
      <w:r>
        <w:rPr>
          <w:color w:val="365F91"/>
          <w:spacing w:val="-4"/>
          <w:sz w:val="28"/>
        </w:rPr>
        <w:t>Care</w:t>
      </w:r>
    </w:p>
    <w:p>
      <w:pPr>
        <w:spacing w:line="276" w:lineRule="auto" w:before="293"/>
        <w:ind w:left="463" w:right="241" w:firstLine="0"/>
        <w:jc w:val="both"/>
        <w:rPr>
          <w:sz w:val="21"/>
        </w:rPr>
      </w:pPr>
      <w:r>
        <w:rPr>
          <w:sz w:val="21"/>
        </w:rPr>
        <w:t>This is another opportunity for youth voices. Disability, deafness, and neurodivergence typically go completely unaddressed</w:t>
      </w:r>
      <w:r>
        <w:rPr>
          <w:spacing w:val="-1"/>
          <w:sz w:val="21"/>
        </w:rPr>
        <w:t> </w:t>
      </w:r>
      <w:r>
        <w:rPr>
          <w:sz w:val="21"/>
        </w:rPr>
        <w:t>in</w:t>
      </w:r>
      <w:r>
        <w:rPr>
          <w:spacing w:val="-1"/>
          <w:sz w:val="21"/>
        </w:rPr>
        <w:t> </w:t>
      </w:r>
      <w:r>
        <w:rPr>
          <w:sz w:val="21"/>
        </w:rPr>
        <w:t>research</w:t>
      </w:r>
      <w:r>
        <w:rPr>
          <w:spacing w:val="-1"/>
          <w:sz w:val="21"/>
        </w:rPr>
        <w:t> </w:t>
      </w:r>
      <w:r>
        <w:rPr>
          <w:sz w:val="21"/>
        </w:rPr>
        <w:t>about LGBTQ</w:t>
      </w:r>
      <w:r>
        <w:rPr>
          <w:spacing w:val="-1"/>
          <w:sz w:val="21"/>
        </w:rPr>
        <w:t> </w:t>
      </w:r>
      <w:r>
        <w:rPr>
          <w:sz w:val="21"/>
        </w:rPr>
        <w:t>youth, yet</w:t>
      </w:r>
      <w:r>
        <w:rPr>
          <w:spacing w:val="-2"/>
          <w:sz w:val="21"/>
        </w:rPr>
        <w:t> </w:t>
      </w:r>
      <w:r>
        <w:rPr>
          <w:sz w:val="21"/>
        </w:rPr>
        <w:t>1 in</w:t>
      </w:r>
      <w:r>
        <w:rPr>
          <w:spacing w:val="-2"/>
          <w:sz w:val="21"/>
        </w:rPr>
        <w:t> </w:t>
      </w:r>
      <w:r>
        <w:rPr>
          <w:sz w:val="21"/>
        </w:rPr>
        <w:t>3</w:t>
      </w:r>
      <w:r>
        <w:rPr>
          <w:spacing w:val="-2"/>
          <w:sz w:val="21"/>
        </w:rPr>
        <w:t> </w:t>
      </w:r>
      <w:r>
        <w:rPr>
          <w:sz w:val="21"/>
        </w:rPr>
        <w:t>LGBTQ</w:t>
      </w:r>
      <w:r>
        <w:rPr>
          <w:spacing w:val="-1"/>
          <w:sz w:val="21"/>
        </w:rPr>
        <w:t> </w:t>
      </w:r>
      <w:r>
        <w:rPr>
          <w:sz w:val="21"/>
        </w:rPr>
        <w:t>adults</w:t>
      </w:r>
      <w:r>
        <w:rPr>
          <w:spacing w:val="-3"/>
          <w:sz w:val="21"/>
        </w:rPr>
        <w:t> </w:t>
      </w:r>
      <w:r>
        <w:rPr>
          <w:sz w:val="21"/>
        </w:rPr>
        <w:t>and</w:t>
      </w:r>
      <w:r>
        <w:rPr>
          <w:spacing w:val="-1"/>
          <w:sz w:val="21"/>
        </w:rPr>
        <w:t> </w:t>
      </w:r>
      <w:r>
        <w:rPr>
          <w:sz w:val="21"/>
        </w:rPr>
        <w:t>more</w:t>
      </w:r>
      <w:r>
        <w:rPr>
          <w:spacing w:val="-2"/>
          <w:sz w:val="21"/>
        </w:rPr>
        <w:t> </w:t>
      </w:r>
      <w:r>
        <w:rPr>
          <w:sz w:val="21"/>
        </w:rPr>
        <w:t>than</w:t>
      </w:r>
      <w:r>
        <w:rPr>
          <w:spacing w:val="-1"/>
          <w:sz w:val="21"/>
        </w:rPr>
        <w:t> </w:t>
      </w:r>
      <w:r>
        <w:rPr>
          <w:sz w:val="21"/>
        </w:rPr>
        <w:t>half</w:t>
      </w:r>
      <w:r>
        <w:rPr>
          <w:spacing w:val="-1"/>
          <w:sz w:val="21"/>
        </w:rPr>
        <w:t> </w:t>
      </w:r>
      <w:r>
        <w:rPr>
          <w:sz w:val="21"/>
        </w:rPr>
        <w:t>of</w:t>
      </w:r>
      <w:r>
        <w:rPr>
          <w:spacing w:val="-1"/>
          <w:sz w:val="21"/>
        </w:rPr>
        <w:t> </w:t>
      </w:r>
      <w:r>
        <w:rPr>
          <w:sz w:val="21"/>
        </w:rPr>
        <w:t>transgender</w:t>
      </w:r>
      <w:r>
        <w:rPr>
          <w:spacing w:val="-1"/>
          <w:sz w:val="21"/>
        </w:rPr>
        <w:t> </w:t>
      </w:r>
      <w:r>
        <w:rPr>
          <w:sz w:val="21"/>
        </w:rPr>
        <w:t>adults </w:t>
      </w:r>
      <w:r>
        <w:rPr>
          <w:spacing w:val="-2"/>
          <w:sz w:val="21"/>
        </w:rPr>
        <w:t>reported</w:t>
      </w:r>
      <w:r>
        <w:rPr>
          <w:spacing w:val="-3"/>
          <w:sz w:val="21"/>
        </w:rPr>
        <w:t> </w:t>
      </w:r>
      <w:r>
        <w:rPr>
          <w:spacing w:val="-2"/>
          <w:sz w:val="21"/>
        </w:rPr>
        <w:t>having</w:t>
      </w:r>
      <w:r>
        <w:rPr>
          <w:spacing w:val="-4"/>
          <w:sz w:val="21"/>
        </w:rPr>
        <w:t> </w:t>
      </w:r>
      <w:r>
        <w:rPr>
          <w:spacing w:val="-2"/>
          <w:sz w:val="21"/>
        </w:rPr>
        <w:t>a</w:t>
      </w:r>
      <w:r>
        <w:rPr>
          <w:spacing w:val="-3"/>
          <w:sz w:val="21"/>
        </w:rPr>
        <w:t> </w:t>
      </w:r>
      <w:r>
        <w:rPr>
          <w:spacing w:val="-2"/>
          <w:sz w:val="21"/>
        </w:rPr>
        <w:t>disability</w:t>
      </w:r>
      <w:r>
        <w:rPr>
          <w:spacing w:val="-3"/>
          <w:sz w:val="21"/>
        </w:rPr>
        <w:t> </w:t>
      </w:r>
      <w:r>
        <w:rPr>
          <w:spacing w:val="-2"/>
          <w:sz w:val="21"/>
        </w:rPr>
        <w:t>in</w:t>
      </w:r>
      <w:r>
        <w:rPr>
          <w:spacing w:val="-3"/>
          <w:sz w:val="21"/>
        </w:rPr>
        <w:t> </w:t>
      </w:r>
      <w:r>
        <w:rPr>
          <w:spacing w:val="-2"/>
          <w:sz w:val="21"/>
        </w:rPr>
        <w:t>2020</w:t>
      </w:r>
      <w:hyperlink w:history="true" w:anchor="_bookmark138">
        <w:r>
          <w:rPr>
            <w:spacing w:val="-2"/>
            <w:sz w:val="21"/>
          </w:rPr>
          <w:t>.</w:t>
        </w:r>
        <w:r>
          <w:rPr>
            <w:spacing w:val="-2"/>
            <w:sz w:val="21"/>
            <w:vertAlign w:val="superscript"/>
          </w:rPr>
          <w:t>37</w:t>
        </w:r>
      </w:hyperlink>
      <w:r>
        <w:rPr>
          <w:spacing w:val="-3"/>
          <w:sz w:val="21"/>
          <w:vertAlign w:val="baseline"/>
        </w:rPr>
        <w:t> </w:t>
      </w:r>
      <w:r>
        <w:rPr>
          <w:spacing w:val="-2"/>
          <w:sz w:val="21"/>
          <w:vertAlign w:val="baseline"/>
        </w:rPr>
        <w:t>These</w:t>
      </w:r>
      <w:r>
        <w:rPr>
          <w:spacing w:val="-3"/>
          <w:sz w:val="21"/>
          <w:vertAlign w:val="baseline"/>
        </w:rPr>
        <w:t> </w:t>
      </w:r>
      <w:r>
        <w:rPr>
          <w:spacing w:val="-2"/>
          <w:sz w:val="21"/>
          <w:vertAlign w:val="baseline"/>
        </w:rPr>
        <w:t>identities</w:t>
      </w:r>
      <w:r>
        <w:rPr>
          <w:spacing w:val="-4"/>
          <w:sz w:val="21"/>
          <w:vertAlign w:val="baseline"/>
        </w:rPr>
        <w:t> </w:t>
      </w:r>
      <w:r>
        <w:rPr>
          <w:spacing w:val="-2"/>
          <w:sz w:val="21"/>
          <w:vertAlign w:val="baseline"/>
        </w:rPr>
        <w:t>are</w:t>
      </w:r>
      <w:r>
        <w:rPr>
          <w:spacing w:val="-3"/>
          <w:sz w:val="21"/>
          <w:vertAlign w:val="baseline"/>
        </w:rPr>
        <w:t> </w:t>
      </w:r>
      <w:r>
        <w:rPr>
          <w:spacing w:val="-2"/>
          <w:sz w:val="21"/>
          <w:vertAlign w:val="baseline"/>
        </w:rPr>
        <w:t>common</w:t>
      </w:r>
      <w:r>
        <w:rPr>
          <w:spacing w:val="-3"/>
          <w:sz w:val="21"/>
          <w:vertAlign w:val="baseline"/>
        </w:rPr>
        <w:t> </w:t>
      </w:r>
      <w:r>
        <w:rPr>
          <w:spacing w:val="-2"/>
          <w:sz w:val="21"/>
          <w:vertAlign w:val="baseline"/>
        </w:rPr>
        <w:t>among</w:t>
      </w:r>
      <w:r>
        <w:rPr>
          <w:spacing w:val="-4"/>
          <w:sz w:val="21"/>
          <w:vertAlign w:val="baseline"/>
        </w:rPr>
        <w:t> </w:t>
      </w:r>
      <w:r>
        <w:rPr>
          <w:spacing w:val="-2"/>
          <w:sz w:val="21"/>
          <w:vertAlign w:val="baseline"/>
        </w:rPr>
        <w:t>youth</w:t>
      </w:r>
      <w:r>
        <w:rPr>
          <w:spacing w:val="-3"/>
          <w:sz w:val="21"/>
          <w:vertAlign w:val="baseline"/>
        </w:rPr>
        <w:t> </w:t>
      </w:r>
      <w:r>
        <w:rPr>
          <w:spacing w:val="-2"/>
          <w:sz w:val="21"/>
          <w:vertAlign w:val="baseline"/>
        </w:rPr>
        <w:t>as</w:t>
      </w:r>
      <w:r>
        <w:rPr>
          <w:spacing w:val="-4"/>
          <w:sz w:val="21"/>
          <w:vertAlign w:val="baseline"/>
        </w:rPr>
        <w:t> </w:t>
      </w:r>
      <w:r>
        <w:rPr>
          <w:spacing w:val="-2"/>
          <w:sz w:val="21"/>
          <w:vertAlign w:val="baseline"/>
        </w:rPr>
        <w:t>well;</w:t>
      </w:r>
      <w:r>
        <w:rPr>
          <w:spacing w:val="-3"/>
          <w:sz w:val="21"/>
          <w:vertAlign w:val="baseline"/>
        </w:rPr>
        <w:t> </w:t>
      </w:r>
      <w:r>
        <w:rPr>
          <w:spacing w:val="-2"/>
          <w:sz w:val="21"/>
          <w:vertAlign w:val="baseline"/>
        </w:rPr>
        <w:t>for</w:t>
      </w:r>
      <w:r>
        <w:rPr>
          <w:spacing w:val="-3"/>
          <w:sz w:val="21"/>
          <w:vertAlign w:val="baseline"/>
        </w:rPr>
        <w:t> </w:t>
      </w:r>
      <w:r>
        <w:rPr>
          <w:spacing w:val="-2"/>
          <w:sz w:val="21"/>
          <w:vertAlign w:val="baseline"/>
        </w:rPr>
        <w:t>instance,</w:t>
      </w:r>
      <w:r>
        <w:rPr>
          <w:spacing w:val="-3"/>
          <w:sz w:val="21"/>
          <w:vertAlign w:val="baseline"/>
        </w:rPr>
        <w:t> </w:t>
      </w:r>
      <w:r>
        <w:rPr>
          <w:spacing w:val="-2"/>
          <w:sz w:val="21"/>
          <w:vertAlign w:val="baseline"/>
        </w:rPr>
        <w:t>one</w:t>
      </w:r>
      <w:r>
        <w:rPr>
          <w:spacing w:val="-3"/>
          <w:sz w:val="21"/>
          <w:vertAlign w:val="baseline"/>
        </w:rPr>
        <w:t> </w:t>
      </w:r>
      <w:r>
        <w:rPr>
          <w:spacing w:val="-2"/>
          <w:sz w:val="21"/>
          <w:vertAlign w:val="baseline"/>
        </w:rPr>
        <w:t>recent </w:t>
      </w:r>
      <w:r>
        <w:rPr>
          <w:sz w:val="21"/>
          <w:vertAlign w:val="baseline"/>
        </w:rPr>
        <w:t>study</w:t>
      </w:r>
      <w:r>
        <w:rPr>
          <w:spacing w:val="-10"/>
          <w:sz w:val="21"/>
          <w:vertAlign w:val="baseline"/>
        </w:rPr>
        <w:t> </w:t>
      </w:r>
      <w:r>
        <w:rPr>
          <w:sz w:val="21"/>
          <w:vertAlign w:val="baseline"/>
        </w:rPr>
        <w:t>found</w:t>
      </w:r>
      <w:r>
        <w:rPr>
          <w:spacing w:val="-10"/>
          <w:sz w:val="21"/>
          <w:vertAlign w:val="baseline"/>
        </w:rPr>
        <w:t> </w:t>
      </w:r>
      <w:r>
        <w:rPr>
          <w:sz w:val="21"/>
          <w:vertAlign w:val="baseline"/>
        </w:rPr>
        <w:t>that</w:t>
      </w:r>
      <w:r>
        <w:rPr>
          <w:spacing w:val="-11"/>
          <w:sz w:val="21"/>
          <w:vertAlign w:val="baseline"/>
        </w:rPr>
        <w:t> </w:t>
      </w:r>
      <w:r>
        <w:rPr>
          <w:sz w:val="21"/>
          <w:vertAlign w:val="baseline"/>
        </w:rPr>
        <w:t>autistic</w:t>
      </w:r>
      <w:r>
        <w:rPr>
          <w:spacing w:val="-11"/>
          <w:sz w:val="21"/>
          <w:vertAlign w:val="baseline"/>
        </w:rPr>
        <w:t> </w:t>
      </w:r>
      <w:r>
        <w:rPr>
          <w:sz w:val="21"/>
          <w:vertAlign w:val="baseline"/>
        </w:rPr>
        <w:t>children</w:t>
      </w:r>
      <w:r>
        <w:rPr>
          <w:spacing w:val="-10"/>
          <w:sz w:val="21"/>
          <w:vertAlign w:val="baseline"/>
        </w:rPr>
        <w:t> </w:t>
      </w:r>
      <w:r>
        <w:rPr>
          <w:sz w:val="21"/>
          <w:vertAlign w:val="baseline"/>
        </w:rPr>
        <w:t>were</w:t>
      </w:r>
      <w:r>
        <w:rPr>
          <w:spacing w:val="-11"/>
          <w:sz w:val="21"/>
          <w:vertAlign w:val="baseline"/>
        </w:rPr>
        <w:t> </w:t>
      </w:r>
      <w:r>
        <w:rPr>
          <w:sz w:val="21"/>
          <w:vertAlign w:val="baseline"/>
        </w:rPr>
        <w:t>400%</w:t>
      </w:r>
      <w:r>
        <w:rPr>
          <w:spacing w:val="-10"/>
          <w:sz w:val="21"/>
          <w:vertAlign w:val="baseline"/>
        </w:rPr>
        <w:t> </w:t>
      </w:r>
      <w:r>
        <w:rPr>
          <w:sz w:val="21"/>
          <w:vertAlign w:val="baseline"/>
        </w:rPr>
        <w:t>more</w:t>
      </w:r>
      <w:r>
        <w:rPr>
          <w:spacing w:val="-11"/>
          <w:sz w:val="21"/>
          <w:vertAlign w:val="baseline"/>
        </w:rPr>
        <w:t> </w:t>
      </w:r>
      <w:r>
        <w:rPr>
          <w:sz w:val="21"/>
          <w:vertAlign w:val="baseline"/>
        </w:rPr>
        <w:t>likely</w:t>
      </w:r>
      <w:r>
        <w:rPr>
          <w:spacing w:val="-10"/>
          <w:sz w:val="21"/>
          <w:vertAlign w:val="baseline"/>
        </w:rPr>
        <w:t> </w:t>
      </w:r>
      <w:r>
        <w:rPr>
          <w:sz w:val="21"/>
          <w:vertAlign w:val="baseline"/>
        </w:rPr>
        <w:t>to</w:t>
      </w:r>
      <w:r>
        <w:rPr>
          <w:spacing w:val="-12"/>
          <w:sz w:val="21"/>
          <w:vertAlign w:val="baseline"/>
        </w:rPr>
        <w:t> </w:t>
      </w:r>
      <w:r>
        <w:rPr>
          <w:sz w:val="21"/>
          <w:vertAlign w:val="baseline"/>
        </w:rPr>
        <w:t>have</w:t>
      </w:r>
      <w:r>
        <w:rPr>
          <w:spacing w:val="-11"/>
          <w:sz w:val="21"/>
          <w:vertAlign w:val="baseline"/>
        </w:rPr>
        <w:t> </w:t>
      </w:r>
      <w:r>
        <w:rPr>
          <w:sz w:val="21"/>
          <w:vertAlign w:val="baseline"/>
        </w:rPr>
        <w:t>a</w:t>
      </w:r>
      <w:r>
        <w:rPr>
          <w:spacing w:val="-11"/>
          <w:sz w:val="21"/>
          <w:vertAlign w:val="baseline"/>
        </w:rPr>
        <w:t> </w:t>
      </w:r>
      <w:r>
        <w:rPr>
          <w:sz w:val="21"/>
          <w:vertAlign w:val="baseline"/>
        </w:rPr>
        <w:t>gender</w:t>
      </w:r>
      <w:r>
        <w:rPr>
          <w:spacing w:val="-10"/>
          <w:sz w:val="21"/>
          <w:vertAlign w:val="baseline"/>
        </w:rPr>
        <w:t> </w:t>
      </w:r>
      <w:r>
        <w:rPr>
          <w:sz w:val="21"/>
          <w:vertAlign w:val="baseline"/>
        </w:rPr>
        <w:t>dysphoria-related</w:t>
      </w:r>
      <w:r>
        <w:rPr>
          <w:spacing w:val="-11"/>
          <w:sz w:val="21"/>
          <w:vertAlign w:val="baseline"/>
        </w:rPr>
        <w:t> </w:t>
      </w:r>
      <w:r>
        <w:rPr>
          <w:sz w:val="21"/>
          <w:vertAlign w:val="baseline"/>
        </w:rPr>
        <w:t>diagnosis</w:t>
      </w:r>
      <w:r>
        <w:rPr>
          <w:spacing w:val="-11"/>
          <w:sz w:val="21"/>
          <w:vertAlign w:val="baseline"/>
        </w:rPr>
        <w:t> </w:t>
      </w:r>
      <w:r>
        <w:rPr>
          <w:sz w:val="21"/>
          <w:vertAlign w:val="baseline"/>
        </w:rPr>
        <w:t>than</w:t>
      </w:r>
      <w:r>
        <w:rPr>
          <w:spacing w:val="-11"/>
          <w:sz w:val="21"/>
          <w:vertAlign w:val="baseline"/>
        </w:rPr>
        <w:t> </w:t>
      </w:r>
      <w:r>
        <w:rPr>
          <w:sz w:val="21"/>
          <w:vertAlign w:val="baseline"/>
        </w:rPr>
        <w:t>their </w:t>
      </w:r>
      <w:r>
        <w:rPr>
          <w:spacing w:val="-2"/>
          <w:sz w:val="21"/>
          <w:vertAlign w:val="baseline"/>
        </w:rPr>
        <w:t>peers</w:t>
      </w:r>
      <w:hyperlink w:history="true" w:anchor="_bookmark139">
        <w:r>
          <w:rPr>
            <w:spacing w:val="-2"/>
            <w:sz w:val="21"/>
            <w:vertAlign w:val="baseline"/>
          </w:rPr>
          <w:t>.</w:t>
        </w:r>
        <w:r>
          <w:rPr>
            <w:spacing w:val="-2"/>
            <w:sz w:val="21"/>
            <w:vertAlign w:val="superscript"/>
          </w:rPr>
          <w:t>38</w:t>
        </w:r>
      </w:hyperlink>
    </w:p>
    <w:p>
      <w:pPr>
        <w:spacing w:line="276" w:lineRule="auto" w:before="240"/>
        <w:ind w:left="463" w:right="239" w:firstLine="0"/>
        <w:jc w:val="both"/>
        <w:rPr>
          <w:sz w:val="21"/>
        </w:rPr>
      </w:pPr>
      <w:r>
        <w:rPr>
          <w:sz w:val="21"/>
        </w:rPr>
        <w:t>Minority stress from ableism begins to</w:t>
      </w:r>
      <w:r>
        <w:rPr>
          <w:spacing w:val="-1"/>
          <w:sz w:val="21"/>
        </w:rPr>
        <w:t> </w:t>
      </w:r>
      <w:r>
        <w:rPr>
          <w:sz w:val="21"/>
        </w:rPr>
        <w:t>impact LGBTQ disabled youths’ mental</w:t>
      </w:r>
      <w:r>
        <w:rPr>
          <w:spacing w:val="-1"/>
          <w:sz w:val="21"/>
        </w:rPr>
        <w:t> </w:t>
      </w:r>
      <w:r>
        <w:rPr>
          <w:sz w:val="21"/>
        </w:rPr>
        <w:t>health from an early age. GLSEN found</w:t>
      </w:r>
      <w:r>
        <w:rPr>
          <w:spacing w:val="-12"/>
          <w:sz w:val="21"/>
        </w:rPr>
        <w:t> </w:t>
      </w:r>
      <w:r>
        <w:rPr>
          <w:sz w:val="21"/>
        </w:rPr>
        <w:t>that</w:t>
      </w:r>
      <w:r>
        <w:rPr>
          <w:spacing w:val="-12"/>
          <w:sz w:val="21"/>
        </w:rPr>
        <w:t> </w:t>
      </w:r>
      <w:r>
        <w:rPr>
          <w:sz w:val="21"/>
        </w:rPr>
        <w:t>73%</w:t>
      </w:r>
      <w:r>
        <w:rPr>
          <w:spacing w:val="-12"/>
          <w:sz w:val="21"/>
        </w:rPr>
        <w:t> </w:t>
      </w:r>
      <w:r>
        <w:rPr>
          <w:sz w:val="21"/>
        </w:rPr>
        <w:t>of</w:t>
      </w:r>
      <w:r>
        <w:rPr>
          <w:spacing w:val="-12"/>
          <w:sz w:val="21"/>
        </w:rPr>
        <w:t> </w:t>
      </w:r>
      <w:r>
        <w:rPr>
          <w:sz w:val="21"/>
        </w:rPr>
        <w:t>participants</w:t>
      </w:r>
      <w:r>
        <w:rPr>
          <w:spacing w:val="-12"/>
          <w:sz w:val="21"/>
        </w:rPr>
        <w:t> </w:t>
      </w:r>
      <w:r>
        <w:rPr>
          <w:sz w:val="21"/>
        </w:rPr>
        <w:t>hear</w:t>
      </w:r>
      <w:r>
        <w:rPr>
          <w:spacing w:val="-12"/>
          <w:sz w:val="21"/>
        </w:rPr>
        <w:t> </w:t>
      </w:r>
      <w:r>
        <w:rPr>
          <w:sz w:val="21"/>
        </w:rPr>
        <w:t>biased</w:t>
      </w:r>
      <w:r>
        <w:rPr>
          <w:spacing w:val="-12"/>
          <w:sz w:val="21"/>
        </w:rPr>
        <w:t> </w:t>
      </w:r>
      <w:r>
        <w:rPr>
          <w:sz w:val="21"/>
        </w:rPr>
        <w:t>ability-focused</w:t>
      </w:r>
      <w:r>
        <w:rPr>
          <w:spacing w:val="-11"/>
          <w:sz w:val="21"/>
        </w:rPr>
        <w:t> </w:t>
      </w:r>
      <w:r>
        <w:rPr>
          <w:sz w:val="21"/>
        </w:rPr>
        <w:t>remarks</w:t>
      </w:r>
      <w:r>
        <w:rPr>
          <w:spacing w:val="-12"/>
          <w:sz w:val="21"/>
        </w:rPr>
        <w:t> </w:t>
      </w:r>
      <w:r>
        <w:rPr>
          <w:sz w:val="21"/>
        </w:rPr>
        <w:t>in</w:t>
      </w:r>
      <w:r>
        <w:rPr>
          <w:spacing w:val="-12"/>
          <w:sz w:val="21"/>
        </w:rPr>
        <w:t> </w:t>
      </w:r>
      <w:r>
        <w:rPr>
          <w:sz w:val="21"/>
        </w:rPr>
        <w:t>school</w:t>
      </w:r>
      <w:r>
        <w:rPr>
          <w:spacing w:val="-12"/>
          <w:sz w:val="21"/>
        </w:rPr>
        <w:t> </w:t>
      </w:r>
      <w:r>
        <w:rPr>
          <w:sz w:val="21"/>
        </w:rPr>
        <w:t>“often”</w:t>
      </w:r>
      <w:r>
        <w:rPr>
          <w:spacing w:val="-12"/>
          <w:sz w:val="21"/>
        </w:rPr>
        <w:t> </w:t>
      </w:r>
      <w:r>
        <w:rPr>
          <w:sz w:val="21"/>
        </w:rPr>
        <w:t>or</w:t>
      </w:r>
      <w:r>
        <w:rPr>
          <w:spacing w:val="-12"/>
          <w:sz w:val="21"/>
        </w:rPr>
        <w:t> </w:t>
      </w:r>
      <w:r>
        <w:rPr>
          <w:sz w:val="21"/>
        </w:rPr>
        <w:t>"frequently.”</w:t>
      </w:r>
      <w:r>
        <w:rPr>
          <w:spacing w:val="-12"/>
          <w:sz w:val="21"/>
        </w:rPr>
        <w:t> </w:t>
      </w:r>
      <w:r>
        <w:rPr>
          <w:sz w:val="21"/>
        </w:rPr>
        <w:t>Meanwhile, 34%</w:t>
      </w:r>
      <w:r>
        <w:rPr>
          <w:spacing w:val="-10"/>
          <w:sz w:val="21"/>
        </w:rPr>
        <w:t> </w:t>
      </w:r>
      <w:r>
        <w:rPr>
          <w:sz w:val="21"/>
        </w:rPr>
        <w:t>stated</w:t>
      </w:r>
      <w:r>
        <w:rPr>
          <w:spacing w:val="-10"/>
          <w:sz w:val="21"/>
        </w:rPr>
        <w:t> </w:t>
      </w:r>
      <w:r>
        <w:rPr>
          <w:sz w:val="21"/>
        </w:rPr>
        <w:t>that</w:t>
      </w:r>
      <w:r>
        <w:rPr>
          <w:spacing w:val="-10"/>
          <w:sz w:val="21"/>
        </w:rPr>
        <w:t> </w:t>
      </w:r>
      <w:r>
        <w:rPr>
          <w:sz w:val="21"/>
        </w:rPr>
        <w:t>they</w:t>
      </w:r>
      <w:r>
        <w:rPr>
          <w:spacing w:val="-11"/>
          <w:sz w:val="21"/>
        </w:rPr>
        <w:t> </w:t>
      </w:r>
      <w:r>
        <w:rPr>
          <w:sz w:val="21"/>
        </w:rPr>
        <w:t>were</w:t>
      </w:r>
      <w:r>
        <w:rPr>
          <w:spacing w:val="-10"/>
          <w:sz w:val="21"/>
        </w:rPr>
        <w:t> </w:t>
      </w:r>
      <w:r>
        <w:rPr>
          <w:sz w:val="21"/>
        </w:rPr>
        <w:t>harassed</w:t>
      </w:r>
      <w:r>
        <w:rPr>
          <w:spacing w:val="-11"/>
          <w:sz w:val="21"/>
        </w:rPr>
        <w:t> </w:t>
      </w:r>
      <w:r>
        <w:rPr>
          <w:sz w:val="21"/>
        </w:rPr>
        <w:t>or</w:t>
      </w:r>
      <w:r>
        <w:rPr>
          <w:spacing w:val="-10"/>
          <w:sz w:val="21"/>
        </w:rPr>
        <w:t> </w:t>
      </w:r>
      <w:r>
        <w:rPr>
          <w:sz w:val="21"/>
        </w:rPr>
        <w:t>assaulted</w:t>
      </w:r>
      <w:r>
        <w:rPr>
          <w:spacing w:val="-10"/>
          <w:sz w:val="21"/>
        </w:rPr>
        <w:t> </w:t>
      </w:r>
      <w:r>
        <w:rPr>
          <w:sz w:val="21"/>
        </w:rPr>
        <w:t>at</w:t>
      </w:r>
      <w:r>
        <w:rPr>
          <w:spacing w:val="-10"/>
          <w:sz w:val="21"/>
        </w:rPr>
        <w:t> </w:t>
      </w:r>
      <w:r>
        <w:rPr>
          <w:sz w:val="21"/>
        </w:rPr>
        <w:t>school</w:t>
      </w:r>
      <w:r>
        <w:rPr>
          <w:spacing w:val="-10"/>
          <w:sz w:val="21"/>
        </w:rPr>
        <w:t> </w:t>
      </w:r>
      <w:r>
        <w:rPr>
          <w:sz w:val="21"/>
        </w:rPr>
        <w:t>within</w:t>
      </w:r>
      <w:r>
        <w:rPr>
          <w:spacing w:val="-10"/>
          <w:sz w:val="21"/>
        </w:rPr>
        <w:t> </w:t>
      </w:r>
      <w:r>
        <w:rPr>
          <w:sz w:val="21"/>
        </w:rPr>
        <w:t>the</w:t>
      </w:r>
      <w:r>
        <w:rPr>
          <w:spacing w:val="-10"/>
          <w:sz w:val="21"/>
        </w:rPr>
        <w:t> </w:t>
      </w:r>
      <w:r>
        <w:rPr>
          <w:sz w:val="21"/>
        </w:rPr>
        <w:t>last</w:t>
      </w:r>
      <w:r>
        <w:rPr>
          <w:spacing w:val="-10"/>
          <w:sz w:val="21"/>
        </w:rPr>
        <w:t> </w:t>
      </w:r>
      <w:r>
        <w:rPr>
          <w:sz w:val="21"/>
        </w:rPr>
        <w:t>year</w:t>
      </w:r>
      <w:r>
        <w:rPr>
          <w:spacing w:val="-10"/>
          <w:sz w:val="21"/>
        </w:rPr>
        <w:t> </w:t>
      </w:r>
      <w:r>
        <w:rPr>
          <w:sz w:val="21"/>
        </w:rPr>
        <w:t>based</w:t>
      </w:r>
      <w:r>
        <w:rPr>
          <w:spacing w:val="-10"/>
          <w:sz w:val="21"/>
        </w:rPr>
        <w:t> </w:t>
      </w:r>
      <w:r>
        <w:rPr>
          <w:sz w:val="21"/>
        </w:rPr>
        <w:t>on</w:t>
      </w:r>
      <w:r>
        <w:rPr>
          <w:spacing w:val="-10"/>
          <w:sz w:val="21"/>
        </w:rPr>
        <w:t> </w:t>
      </w:r>
      <w:r>
        <w:rPr>
          <w:sz w:val="21"/>
        </w:rPr>
        <w:t>their</w:t>
      </w:r>
      <w:r>
        <w:rPr>
          <w:spacing w:val="-10"/>
          <w:sz w:val="21"/>
        </w:rPr>
        <w:t> </w:t>
      </w:r>
      <w:r>
        <w:rPr>
          <w:sz w:val="21"/>
        </w:rPr>
        <w:t>actual</w:t>
      </w:r>
      <w:r>
        <w:rPr>
          <w:spacing w:val="-10"/>
          <w:sz w:val="21"/>
        </w:rPr>
        <w:t> </w:t>
      </w:r>
      <w:r>
        <w:rPr>
          <w:sz w:val="21"/>
        </w:rPr>
        <w:t>or</w:t>
      </w:r>
      <w:r>
        <w:rPr>
          <w:spacing w:val="-10"/>
          <w:sz w:val="21"/>
        </w:rPr>
        <w:t> </w:t>
      </w:r>
      <w:r>
        <w:rPr>
          <w:sz w:val="21"/>
        </w:rPr>
        <w:t>perceived disability, and 17% reported experiencing this online</w:t>
      </w:r>
      <w:hyperlink w:history="true" w:anchor="_bookmark140">
        <w:r>
          <w:rPr>
            <w:sz w:val="21"/>
          </w:rPr>
          <w:t>.</w:t>
        </w:r>
        <w:r>
          <w:rPr>
            <w:sz w:val="21"/>
            <w:vertAlign w:val="superscript"/>
          </w:rPr>
          <w:t>39</w:t>
        </w:r>
      </w:hyperlink>
    </w:p>
    <w:p>
      <w:pPr>
        <w:spacing w:line="276" w:lineRule="auto" w:before="240"/>
        <w:ind w:left="463" w:right="240" w:firstLine="0"/>
        <w:jc w:val="both"/>
        <w:rPr>
          <w:sz w:val="21"/>
        </w:rPr>
      </w:pPr>
      <w:r>
        <w:rPr>
          <w:sz w:val="21"/>
        </w:rPr>
        <w:t>Disabled</w:t>
      </w:r>
      <w:r>
        <w:rPr>
          <w:spacing w:val="-8"/>
          <w:sz w:val="21"/>
        </w:rPr>
        <w:t> </w:t>
      </w:r>
      <w:r>
        <w:rPr>
          <w:sz w:val="21"/>
        </w:rPr>
        <w:t>LGBTQ</w:t>
      </w:r>
      <w:r>
        <w:rPr>
          <w:spacing w:val="-8"/>
          <w:sz w:val="21"/>
        </w:rPr>
        <w:t> </w:t>
      </w:r>
      <w:r>
        <w:rPr>
          <w:sz w:val="21"/>
        </w:rPr>
        <w:t>youth</w:t>
      </w:r>
      <w:r>
        <w:rPr>
          <w:spacing w:val="-9"/>
          <w:sz w:val="21"/>
        </w:rPr>
        <w:t> </w:t>
      </w:r>
      <w:r>
        <w:rPr>
          <w:sz w:val="21"/>
        </w:rPr>
        <w:t>are</w:t>
      </w:r>
      <w:r>
        <w:rPr>
          <w:spacing w:val="-9"/>
          <w:sz w:val="21"/>
        </w:rPr>
        <w:t> </w:t>
      </w:r>
      <w:r>
        <w:rPr>
          <w:sz w:val="21"/>
        </w:rPr>
        <w:t>excluded</w:t>
      </w:r>
      <w:r>
        <w:rPr>
          <w:spacing w:val="-8"/>
          <w:sz w:val="21"/>
        </w:rPr>
        <w:t> </w:t>
      </w:r>
      <w:r>
        <w:rPr>
          <w:sz w:val="21"/>
        </w:rPr>
        <w:t>and</w:t>
      </w:r>
      <w:r>
        <w:rPr>
          <w:spacing w:val="-9"/>
          <w:sz w:val="21"/>
        </w:rPr>
        <w:t> </w:t>
      </w:r>
      <w:r>
        <w:rPr>
          <w:sz w:val="21"/>
        </w:rPr>
        <w:t>discriminated</w:t>
      </w:r>
      <w:r>
        <w:rPr>
          <w:spacing w:val="-8"/>
          <w:sz w:val="21"/>
        </w:rPr>
        <w:t> </w:t>
      </w:r>
      <w:r>
        <w:rPr>
          <w:sz w:val="21"/>
        </w:rPr>
        <w:t>against</w:t>
      </w:r>
      <w:r>
        <w:rPr>
          <w:spacing w:val="-7"/>
          <w:sz w:val="21"/>
        </w:rPr>
        <w:t> </w:t>
      </w:r>
      <w:r>
        <w:rPr>
          <w:sz w:val="21"/>
        </w:rPr>
        <w:t>past</w:t>
      </w:r>
      <w:r>
        <w:rPr>
          <w:spacing w:val="-9"/>
          <w:sz w:val="21"/>
        </w:rPr>
        <w:t> </w:t>
      </w:r>
      <w:r>
        <w:rPr>
          <w:sz w:val="21"/>
        </w:rPr>
        <w:t>age</w:t>
      </w:r>
      <w:r>
        <w:rPr>
          <w:spacing w:val="-8"/>
          <w:sz w:val="21"/>
        </w:rPr>
        <w:t> </w:t>
      </w:r>
      <w:r>
        <w:rPr>
          <w:sz w:val="21"/>
        </w:rPr>
        <w:t>18</w:t>
      </w:r>
      <w:r>
        <w:rPr>
          <w:spacing w:val="-9"/>
          <w:sz w:val="21"/>
        </w:rPr>
        <w:t> </w:t>
      </w:r>
      <w:r>
        <w:rPr>
          <w:sz w:val="21"/>
        </w:rPr>
        <w:t>as</w:t>
      </w:r>
      <w:r>
        <w:rPr>
          <w:spacing w:val="-10"/>
          <w:sz w:val="21"/>
        </w:rPr>
        <w:t> </w:t>
      </w:r>
      <w:r>
        <w:rPr>
          <w:sz w:val="21"/>
        </w:rPr>
        <w:t>well.</w:t>
      </w:r>
      <w:r>
        <w:rPr>
          <w:spacing w:val="-8"/>
          <w:sz w:val="21"/>
        </w:rPr>
        <w:t> </w:t>
      </w:r>
      <w:r>
        <w:rPr>
          <w:sz w:val="21"/>
        </w:rPr>
        <w:t>A</w:t>
      </w:r>
      <w:r>
        <w:rPr>
          <w:spacing w:val="-9"/>
          <w:sz w:val="21"/>
        </w:rPr>
        <w:t> </w:t>
      </w:r>
      <w:r>
        <w:rPr>
          <w:sz w:val="21"/>
        </w:rPr>
        <w:t>few</w:t>
      </w:r>
      <w:r>
        <w:rPr>
          <w:spacing w:val="-8"/>
          <w:sz w:val="21"/>
        </w:rPr>
        <w:t> </w:t>
      </w:r>
      <w:r>
        <w:rPr>
          <w:sz w:val="21"/>
        </w:rPr>
        <w:t>studies</w:t>
      </w:r>
      <w:r>
        <w:rPr>
          <w:spacing w:val="-8"/>
          <w:sz w:val="21"/>
        </w:rPr>
        <w:t> </w:t>
      </w:r>
      <w:r>
        <w:rPr>
          <w:sz w:val="21"/>
        </w:rPr>
        <w:t>have</w:t>
      </w:r>
      <w:r>
        <w:rPr>
          <w:spacing w:val="-8"/>
          <w:sz w:val="21"/>
        </w:rPr>
        <w:t> </w:t>
      </w:r>
      <w:r>
        <w:rPr>
          <w:sz w:val="21"/>
        </w:rPr>
        <w:t>found</w:t>
      </w:r>
      <w:r>
        <w:rPr>
          <w:spacing w:val="-9"/>
          <w:sz w:val="21"/>
        </w:rPr>
        <w:t> </w:t>
      </w:r>
      <w:r>
        <w:rPr>
          <w:sz w:val="21"/>
        </w:rPr>
        <w:t>that the majority of disabled LGBTQ students do not receive accommodations in their colleges. </w:t>
      </w:r>
      <w:hyperlink w:history="true" w:anchor="_bookmark141">
        <w:r>
          <w:rPr>
            <w:sz w:val="21"/>
            <w:vertAlign w:val="superscript"/>
          </w:rPr>
          <w:t>40</w:t>
        </w:r>
      </w:hyperlink>
      <w:r>
        <w:rPr>
          <w:sz w:val="21"/>
          <w:vertAlign w:val="baseline"/>
        </w:rPr>
        <w:t> Other research shows that disabled gender expansive people experience heightened discrimination within employment, housing,</w:t>
      </w:r>
      <w:r>
        <w:rPr>
          <w:spacing w:val="-5"/>
          <w:sz w:val="21"/>
          <w:vertAlign w:val="baseline"/>
        </w:rPr>
        <w:t> </w:t>
      </w:r>
      <w:r>
        <w:rPr>
          <w:sz w:val="21"/>
          <w:vertAlign w:val="baseline"/>
        </w:rPr>
        <w:t>and</w:t>
      </w:r>
      <w:r>
        <w:rPr>
          <w:spacing w:val="-5"/>
          <w:sz w:val="21"/>
          <w:vertAlign w:val="baseline"/>
        </w:rPr>
        <w:t> </w:t>
      </w:r>
      <w:r>
        <w:rPr>
          <w:sz w:val="21"/>
          <w:vertAlign w:val="baseline"/>
        </w:rPr>
        <w:t>social</w:t>
      </w:r>
      <w:r>
        <w:rPr>
          <w:spacing w:val="-5"/>
          <w:sz w:val="21"/>
          <w:vertAlign w:val="baseline"/>
        </w:rPr>
        <w:t> </w:t>
      </w:r>
      <w:r>
        <w:rPr>
          <w:sz w:val="21"/>
          <w:vertAlign w:val="baseline"/>
        </w:rPr>
        <w:t>services</w:t>
      </w:r>
      <w:r>
        <w:rPr>
          <w:spacing w:val="-6"/>
          <w:sz w:val="21"/>
          <w:vertAlign w:val="baseline"/>
        </w:rPr>
        <w:t> </w:t>
      </w:r>
      <w:r>
        <w:rPr>
          <w:sz w:val="21"/>
          <w:vertAlign w:val="baseline"/>
        </w:rPr>
        <w:t>such</w:t>
      </w:r>
      <w:r>
        <w:rPr>
          <w:spacing w:val="-5"/>
          <w:sz w:val="21"/>
          <w:vertAlign w:val="baseline"/>
        </w:rPr>
        <w:t> </w:t>
      </w:r>
      <w:r>
        <w:rPr>
          <w:sz w:val="21"/>
          <w:vertAlign w:val="baseline"/>
        </w:rPr>
        <w:t>as</w:t>
      </w:r>
      <w:r>
        <w:rPr>
          <w:spacing w:val="-6"/>
          <w:sz w:val="21"/>
          <w:vertAlign w:val="baseline"/>
        </w:rPr>
        <w:t> </w:t>
      </w:r>
      <w:r>
        <w:rPr>
          <w:sz w:val="21"/>
          <w:vertAlign w:val="baseline"/>
        </w:rPr>
        <w:t>mental</w:t>
      </w:r>
      <w:r>
        <w:rPr>
          <w:spacing w:val="-5"/>
          <w:sz w:val="21"/>
          <w:vertAlign w:val="baseline"/>
        </w:rPr>
        <w:t> </w:t>
      </w:r>
      <w:r>
        <w:rPr>
          <w:sz w:val="21"/>
          <w:vertAlign w:val="baseline"/>
        </w:rPr>
        <w:t>health</w:t>
      </w:r>
      <w:r>
        <w:rPr>
          <w:spacing w:val="-5"/>
          <w:sz w:val="21"/>
          <w:vertAlign w:val="baseline"/>
        </w:rPr>
        <w:t> </w:t>
      </w:r>
      <w:r>
        <w:rPr>
          <w:sz w:val="21"/>
          <w:vertAlign w:val="baseline"/>
        </w:rPr>
        <w:t>centers,</w:t>
      </w:r>
      <w:r>
        <w:rPr>
          <w:spacing w:val="-5"/>
          <w:sz w:val="21"/>
          <w:vertAlign w:val="baseline"/>
        </w:rPr>
        <w:t> </w:t>
      </w:r>
      <w:r>
        <w:rPr>
          <w:sz w:val="21"/>
          <w:vertAlign w:val="baseline"/>
        </w:rPr>
        <w:t>rape</w:t>
      </w:r>
      <w:r>
        <w:rPr>
          <w:spacing w:val="-5"/>
          <w:sz w:val="21"/>
          <w:vertAlign w:val="baseline"/>
        </w:rPr>
        <w:t> </w:t>
      </w:r>
      <w:r>
        <w:rPr>
          <w:sz w:val="21"/>
          <w:vertAlign w:val="baseline"/>
        </w:rPr>
        <w:t>crisis</w:t>
      </w:r>
      <w:r>
        <w:rPr>
          <w:spacing w:val="-5"/>
          <w:sz w:val="21"/>
          <w:vertAlign w:val="baseline"/>
        </w:rPr>
        <w:t> </w:t>
      </w:r>
      <w:r>
        <w:rPr>
          <w:sz w:val="21"/>
          <w:vertAlign w:val="baseline"/>
        </w:rPr>
        <w:t>centers,</w:t>
      </w:r>
      <w:r>
        <w:rPr>
          <w:spacing w:val="-5"/>
          <w:sz w:val="21"/>
          <w:vertAlign w:val="baseline"/>
        </w:rPr>
        <w:t> </w:t>
      </w:r>
      <w:r>
        <w:rPr>
          <w:sz w:val="21"/>
          <w:vertAlign w:val="baseline"/>
        </w:rPr>
        <w:t>and</w:t>
      </w:r>
      <w:r>
        <w:rPr>
          <w:spacing w:val="-5"/>
          <w:sz w:val="21"/>
          <w:vertAlign w:val="baseline"/>
        </w:rPr>
        <w:t> </w:t>
      </w:r>
      <w:r>
        <w:rPr>
          <w:sz w:val="21"/>
          <w:vertAlign w:val="baseline"/>
        </w:rPr>
        <w:t>domestic</w:t>
      </w:r>
      <w:r>
        <w:rPr>
          <w:spacing w:val="-5"/>
          <w:sz w:val="21"/>
          <w:vertAlign w:val="baseline"/>
        </w:rPr>
        <w:t> </w:t>
      </w:r>
      <w:r>
        <w:rPr>
          <w:sz w:val="21"/>
          <w:vertAlign w:val="baseline"/>
        </w:rPr>
        <w:t>violence</w:t>
      </w:r>
      <w:r>
        <w:rPr>
          <w:spacing w:val="-5"/>
          <w:sz w:val="21"/>
          <w:vertAlign w:val="baseline"/>
        </w:rPr>
        <w:t> </w:t>
      </w:r>
      <w:r>
        <w:rPr>
          <w:sz w:val="21"/>
          <w:vertAlign w:val="baseline"/>
        </w:rPr>
        <w:t>shelters</w:t>
      </w:r>
      <w:hyperlink w:history="true" w:anchor="_bookmark142">
        <w:r>
          <w:rPr>
            <w:sz w:val="21"/>
            <w:vertAlign w:val="baseline"/>
          </w:rPr>
          <w:t>.</w:t>
        </w:r>
        <w:r>
          <w:rPr>
            <w:sz w:val="21"/>
            <w:vertAlign w:val="superscript"/>
          </w:rPr>
          <w:t>41</w:t>
        </w:r>
      </w:hyperlink>
      <w:r>
        <w:rPr>
          <w:sz w:val="21"/>
          <w:vertAlign w:val="baseline"/>
        </w:rPr>
        <w:t> Disabled LGBTQ people have been found to face depression and suicidality at higher rates than peers, yet inequitable policies can prevent them from accessing mental healthcare. This includes inaccessible services, a shortage of professionals who accept public insurance, and policies that revoke lifesaving SSI or SSDI benefits should recipients get married or hold over $2,000 in assets.</w:t>
      </w:r>
    </w:p>
    <w:p>
      <w:pPr>
        <w:spacing w:line="276" w:lineRule="auto" w:before="240"/>
        <w:ind w:left="463" w:right="241" w:firstLine="0"/>
        <w:jc w:val="both"/>
        <w:rPr>
          <w:sz w:val="21"/>
        </w:rPr>
      </w:pPr>
      <w:r>
        <w:rPr>
          <w:sz w:val="21"/>
        </w:rPr>
        <w:t>Given the prevalence of disability among LGBTQ people, accessibility should not be an afterthought to supporters of LGBTQ youth mental health. Disabled, Deaf, and neurodivergent LGBTQ youth have diverse strengths and challenges, and supporters should work to specifically include each group in services. However, allies can broadly support these three populations with the following principles.</w:t>
      </w:r>
    </w:p>
    <w:p>
      <w:pPr>
        <w:spacing w:line="276" w:lineRule="auto" w:before="240"/>
        <w:ind w:left="463" w:right="239" w:firstLine="0"/>
        <w:jc w:val="both"/>
        <w:rPr>
          <w:sz w:val="21"/>
        </w:rPr>
      </w:pPr>
      <w:r>
        <w:rPr>
          <w:sz w:val="21"/>
        </w:rPr>
        <w:t>First, expect differences: assume that disabled, Deaf, and neurodivergent youth are already using services and make them accessible to as many youth as possible. This includes when communicating (closed captions), moving about (ramps), socializing (supporting use of non-verbal communication), self-regulating (sensory or quiet spaces), and</w:t>
      </w:r>
      <w:r>
        <w:rPr>
          <w:spacing w:val="-1"/>
          <w:sz w:val="21"/>
        </w:rPr>
        <w:t> </w:t>
      </w:r>
      <w:r>
        <w:rPr>
          <w:sz w:val="21"/>
        </w:rPr>
        <w:t>more.</w:t>
      </w:r>
      <w:r>
        <w:rPr>
          <w:spacing w:val="-1"/>
          <w:sz w:val="21"/>
        </w:rPr>
        <w:t> </w:t>
      </w:r>
      <w:r>
        <w:rPr>
          <w:sz w:val="21"/>
        </w:rPr>
        <w:t>Second, challenge</w:t>
      </w:r>
      <w:r>
        <w:rPr>
          <w:spacing w:val="-1"/>
          <w:sz w:val="21"/>
        </w:rPr>
        <w:t> </w:t>
      </w:r>
      <w:r>
        <w:rPr>
          <w:sz w:val="21"/>
        </w:rPr>
        <w:t>ableist attitudes</w:t>
      </w:r>
      <w:r>
        <w:rPr>
          <w:spacing w:val="-1"/>
          <w:sz w:val="21"/>
        </w:rPr>
        <w:t> </w:t>
      </w:r>
      <w:r>
        <w:rPr>
          <w:sz w:val="21"/>
        </w:rPr>
        <w:t>that disabled, Deaf, and</w:t>
      </w:r>
      <w:r>
        <w:rPr>
          <w:spacing w:val="-1"/>
          <w:sz w:val="21"/>
        </w:rPr>
        <w:t> </w:t>
      </w:r>
      <w:r>
        <w:rPr>
          <w:sz w:val="21"/>
        </w:rPr>
        <w:t>neurodivergent youth</w:t>
      </w:r>
      <w:r>
        <w:rPr>
          <w:spacing w:val="-1"/>
          <w:sz w:val="21"/>
        </w:rPr>
        <w:t> </w:t>
      </w:r>
      <w:r>
        <w:rPr>
          <w:sz w:val="21"/>
        </w:rPr>
        <w:t>are helpless, burdensome, tragic, lazy, or deficient. Instead, take their lead in exploring the positive and negative nuances of their own experiences, and inquire about any impacts of ableism on their mental health. Third, practice “nothing about us without us”; shape services around ongoing feedback from youth about their own goals and create meaningful opportunities for leadership and active participation.</w:t>
      </w:r>
    </w:p>
    <w:p>
      <w:pPr>
        <w:spacing w:after="0" w:line="276" w:lineRule="auto"/>
        <w:jc w:val="both"/>
        <w:rPr>
          <w:sz w:val="21"/>
        </w:rPr>
        <w:sectPr>
          <w:pgSz w:w="12240" w:h="15840"/>
          <w:pgMar w:header="804" w:footer="1390" w:top="1080" w:bottom="1620" w:left="980" w:right="1080"/>
        </w:sectPr>
      </w:pPr>
    </w:p>
    <w:p>
      <w:pPr>
        <w:spacing w:before="68"/>
        <w:ind w:left="463" w:right="0" w:firstLine="0"/>
        <w:jc w:val="both"/>
        <w:rPr>
          <w:sz w:val="28"/>
        </w:rPr>
      </w:pPr>
      <w:bookmarkStart w:name="Rural Youth" w:id="246"/>
      <w:bookmarkEnd w:id="246"/>
      <w:r>
        <w:rPr/>
      </w:r>
      <w:r>
        <w:rPr>
          <w:color w:val="365F91"/>
          <w:sz w:val="28"/>
        </w:rPr>
        <w:t>Rural</w:t>
      </w:r>
      <w:r>
        <w:rPr>
          <w:color w:val="365F91"/>
          <w:spacing w:val="-8"/>
          <w:sz w:val="28"/>
        </w:rPr>
        <w:t> </w:t>
      </w:r>
      <w:r>
        <w:rPr>
          <w:color w:val="365F91"/>
          <w:spacing w:val="-2"/>
          <w:sz w:val="28"/>
        </w:rPr>
        <w:t>Youth</w:t>
      </w:r>
    </w:p>
    <w:p>
      <w:pPr>
        <w:spacing w:line="276" w:lineRule="auto" w:before="291"/>
        <w:ind w:left="463" w:right="240" w:firstLine="0"/>
        <w:jc w:val="both"/>
        <w:rPr>
          <w:sz w:val="21"/>
        </w:rPr>
      </w:pPr>
      <w:r>
        <w:rPr>
          <w:sz w:val="21"/>
        </w:rPr>
        <w:t>Rural youth experience unique risk factors for mental health. Firstly, they may be more isolated from social spaces</w:t>
      </w:r>
      <w:r>
        <w:rPr>
          <w:spacing w:val="-3"/>
          <w:sz w:val="21"/>
        </w:rPr>
        <w:t> </w:t>
      </w:r>
      <w:r>
        <w:rPr>
          <w:sz w:val="21"/>
        </w:rPr>
        <w:t>and</w:t>
      </w:r>
      <w:r>
        <w:rPr>
          <w:spacing w:val="-2"/>
          <w:sz w:val="21"/>
        </w:rPr>
        <w:t> </w:t>
      </w:r>
      <w:r>
        <w:rPr>
          <w:sz w:val="21"/>
        </w:rPr>
        <w:t>services</w:t>
      </w:r>
      <w:r>
        <w:rPr>
          <w:spacing w:val="-3"/>
          <w:sz w:val="21"/>
        </w:rPr>
        <w:t> </w:t>
      </w:r>
      <w:r>
        <w:rPr>
          <w:sz w:val="21"/>
        </w:rPr>
        <w:t>for</w:t>
      </w:r>
      <w:r>
        <w:rPr>
          <w:spacing w:val="-2"/>
          <w:sz w:val="21"/>
        </w:rPr>
        <w:t> </w:t>
      </w:r>
      <w:r>
        <w:rPr>
          <w:sz w:val="21"/>
        </w:rPr>
        <w:t>LGBTQ</w:t>
      </w:r>
      <w:r>
        <w:rPr>
          <w:spacing w:val="-2"/>
          <w:sz w:val="21"/>
        </w:rPr>
        <w:t> </w:t>
      </w:r>
      <w:r>
        <w:rPr>
          <w:sz w:val="21"/>
        </w:rPr>
        <w:t>and</w:t>
      </w:r>
      <w:r>
        <w:rPr>
          <w:spacing w:val="-2"/>
          <w:sz w:val="21"/>
        </w:rPr>
        <w:t> </w:t>
      </w:r>
      <w:r>
        <w:rPr>
          <w:sz w:val="21"/>
        </w:rPr>
        <w:t>other</w:t>
      </w:r>
      <w:r>
        <w:rPr>
          <w:spacing w:val="-4"/>
          <w:sz w:val="21"/>
        </w:rPr>
        <w:t> </w:t>
      </w:r>
      <w:r>
        <w:rPr>
          <w:sz w:val="21"/>
        </w:rPr>
        <w:t>fellow</w:t>
      </w:r>
      <w:r>
        <w:rPr>
          <w:spacing w:val="-2"/>
          <w:sz w:val="21"/>
        </w:rPr>
        <w:t> </w:t>
      </w:r>
      <w:r>
        <w:rPr>
          <w:sz w:val="21"/>
        </w:rPr>
        <w:t>marginalized</w:t>
      </w:r>
      <w:r>
        <w:rPr>
          <w:spacing w:val="-2"/>
          <w:sz w:val="21"/>
        </w:rPr>
        <w:t> </w:t>
      </w:r>
      <w:r>
        <w:rPr>
          <w:sz w:val="21"/>
        </w:rPr>
        <w:t>people.</w:t>
      </w:r>
      <w:r>
        <w:rPr>
          <w:spacing w:val="-1"/>
          <w:sz w:val="21"/>
        </w:rPr>
        <w:t> </w:t>
      </w:r>
      <w:r>
        <w:rPr>
          <w:sz w:val="21"/>
        </w:rPr>
        <w:t>Local</w:t>
      </w:r>
      <w:r>
        <w:rPr>
          <w:spacing w:val="-2"/>
          <w:sz w:val="21"/>
        </w:rPr>
        <w:t> </w:t>
      </w:r>
      <w:r>
        <w:rPr>
          <w:sz w:val="21"/>
        </w:rPr>
        <w:t>cultural</w:t>
      </w:r>
      <w:r>
        <w:rPr>
          <w:spacing w:val="-3"/>
          <w:sz w:val="21"/>
        </w:rPr>
        <w:t> </w:t>
      </w:r>
      <w:r>
        <w:rPr>
          <w:sz w:val="21"/>
        </w:rPr>
        <w:t>norms,</w:t>
      </w:r>
      <w:r>
        <w:rPr>
          <w:spacing w:val="-1"/>
          <w:sz w:val="21"/>
        </w:rPr>
        <w:t> </w:t>
      </w:r>
      <w:r>
        <w:rPr>
          <w:sz w:val="21"/>
        </w:rPr>
        <w:t>such</w:t>
      </w:r>
      <w:r>
        <w:rPr>
          <w:spacing w:val="-3"/>
          <w:sz w:val="21"/>
        </w:rPr>
        <w:t> </w:t>
      </w:r>
      <w:r>
        <w:rPr>
          <w:sz w:val="21"/>
        </w:rPr>
        <w:t>as</w:t>
      </w:r>
      <w:r>
        <w:rPr>
          <w:spacing w:val="-3"/>
          <w:sz w:val="21"/>
        </w:rPr>
        <w:t> </w:t>
      </w:r>
      <w:r>
        <w:rPr>
          <w:sz w:val="21"/>
        </w:rPr>
        <w:t>comparison, conformity, and</w:t>
      </w:r>
      <w:r>
        <w:rPr>
          <w:spacing w:val="-1"/>
          <w:sz w:val="21"/>
        </w:rPr>
        <w:t> </w:t>
      </w:r>
      <w:r>
        <w:rPr>
          <w:sz w:val="21"/>
        </w:rPr>
        <w:t>dwelling</w:t>
      </w:r>
      <w:r>
        <w:rPr>
          <w:spacing w:val="-1"/>
          <w:sz w:val="21"/>
        </w:rPr>
        <w:t> </w:t>
      </w:r>
      <w:r>
        <w:rPr>
          <w:sz w:val="21"/>
        </w:rPr>
        <w:t>on</w:t>
      </w:r>
      <w:r>
        <w:rPr>
          <w:spacing w:val="-1"/>
          <w:sz w:val="21"/>
        </w:rPr>
        <w:t> </w:t>
      </w:r>
      <w:r>
        <w:rPr>
          <w:sz w:val="21"/>
        </w:rPr>
        <w:t>difference, may</w:t>
      </w:r>
      <w:r>
        <w:rPr>
          <w:spacing w:val="-1"/>
          <w:sz w:val="21"/>
        </w:rPr>
        <w:t> </w:t>
      </w:r>
      <w:r>
        <w:rPr>
          <w:sz w:val="21"/>
        </w:rPr>
        <w:t>also</w:t>
      </w:r>
      <w:r>
        <w:rPr>
          <w:spacing w:val="-1"/>
          <w:sz w:val="21"/>
        </w:rPr>
        <w:t> </w:t>
      </w:r>
      <w:r>
        <w:rPr>
          <w:sz w:val="21"/>
        </w:rPr>
        <w:t>intensify</w:t>
      </w:r>
      <w:r>
        <w:rPr>
          <w:spacing w:val="-1"/>
          <w:sz w:val="21"/>
        </w:rPr>
        <w:t> </w:t>
      </w:r>
      <w:r>
        <w:rPr>
          <w:sz w:val="21"/>
        </w:rPr>
        <w:t>their</w:t>
      </w:r>
      <w:r>
        <w:rPr>
          <w:spacing w:val="-1"/>
          <w:sz w:val="21"/>
        </w:rPr>
        <w:t> </w:t>
      </w:r>
      <w:r>
        <w:rPr>
          <w:sz w:val="21"/>
        </w:rPr>
        <w:t>feelings</w:t>
      </w:r>
      <w:r>
        <w:rPr>
          <w:spacing w:val="-1"/>
          <w:sz w:val="21"/>
        </w:rPr>
        <w:t> </w:t>
      </w:r>
      <w:r>
        <w:rPr>
          <w:sz w:val="21"/>
        </w:rPr>
        <w:t>of</w:t>
      </w:r>
      <w:r>
        <w:rPr>
          <w:spacing w:val="-1"/>
          <w:sz w:val="21"/>
        </w:rPr>
        <w:t> </w:t>
      </w:r>
      <w:r>
        <w:rPr>
          <w:sz w:val="21"/>
        </w:rPr>
        <w:t>marginalization</w:t>
      </w:r>
      <w:r>
        <w:rPr>
          <w:spacing w:val="-1"/>
          <w:sz w:val="21"/>
        </w:rPr>
        <w:t> </w:t>
      </w:r>
      <w:r>
        <w:rPr>
          <w:sz w:val="21"/>
        </w:rPr>
        <w:t>and</w:t>
      </w:r>
      <w:r>
        <w:rPr>
          <w:spacing w:val="-1"/>
          <w:sz w:val="21"/>
        </w:rPr>
        <w:t> </w:t>
      </w:r>
      <w:r>
        <w:rPr>
          <w:sz w:val="21"/>
        </w:rPr>
        <w:t>expose</w:t>
      </w:r>
      <w:r>
        <w:rPr>
          <w:spacing w:val="-1"/>
          <w:sz w:val="21"/>
        </w:rPr>
        <w:t> </w:t>
      </w:r>
      <w:r>
        <w:rPr>
          <w:sz w:val="21"/>
        </w:rPr>
        <w:t>them</w:t>
      </w:r>
      <w:r>
        <w:rPr>
          <w:spacing w:val="-1"/>
          <w:sz w:val="21"/>
        </w:rPr>
        <w:t> </w:t>
      </w:r>
      <w:r>
        <w:rPr>
          <w:sz w:val="21"/>
        </w:rPr>
        <w:t>to targeted prejudice and discrimination</w:t>
      </w:r>
      <w:hyperlink w:history="true" w:anchor="_bookmark143">
        <w:r>
          <w:rPr>
            <w:sz w:val="21"/>
          </w:rPr>
          <w:t>.</w:t>
        </w:r>
        <w:r>
          <w:rPr>
            <w:sz w:val="21"/>
            <w:vertAlign w:val="superscript"/>
          </w:rPr>
          <w:t>42</w:t>
        </w:r>
      </w:hyperlink>
      <w:r>
        <w:rPr>
          <w:sz w:val="21"/>
          <w:vertAlign w:val="baseline"/>
        </w:rPr>
        <w:t> Intersecting oppression, such as for being disabled, Indigenous, non- Christian, or BIPOC in a white-majority area, may intensify minority stress on youths’ mental health. Possible areas of investment for rural LGBTQ youth mental health will be discussed further in the “Community- Based Support” section.</w:t>
      </w:r>
    </w:p>
    <w:p>
      <w:pPr>
        <w:spacing w:before="240"/>
        <w:ind w:left="463" w:right="0" w:firstLine="0"/>
        <w:jc w:val="both"/>
        <w:rPr>
          <w:sz w:val="28"/>
        </w:rPr>
      </w:pPr>
      <w:bookmarkStart w:name="Youth Involved in the Child Welfare and " w:id="247"/>
      <w:bookmarkEnd w:id="247"/>
      <w:r>
        <w:rPr/>
      </w:r>
      <w:r>
        <w:rPr>
          <w:color w:val="365F91"/>
          <w:sz w:val="28"/>
        </w:rPr>
        <w:t>Youth</w:t>
      </w:r>
      <w:r>
        <w:rPr>
          <w:color w:val="365F91"/>
          <w:spacing w:val="-10"/>
          <w:sz w:val="28"/>
        </w:rPr>
        <w:t> </w:t>
      </w:r>
      <w:r>
        <w:rPr>
          <w:color w:val="365F91"/>
          <w:sz w:val="28"/>
        </w:rPr>
        <w:t>Involved</w:t>
      </w:r>
      <w:r>
        <w:rPr>
          <w:color w:val="365F91"/>
          <w:spacing w:val="-9"/>
          <w:sz w:val="28"/>
        </w:rPr>
        <w:t> </w:t>
      </w:r>
      <w:r>
        <w:rPr>
          <w:color w:val="365F91"/>
          <w:sz w:val="28"/>
        </w:rPr>
        <w:t>in</w:t>
      </w:r>
      <w:r>
        <w:rPr>
          <w:color w:val="365F91"/>
          <w:spacing w:val="-9"/>
          <w:sz w:val="28"/>
        </w:rPr>
        <w:t> </w:t>
      </w:r>
      <w:r>
        <w:rPr>
          <w:color w:val="365F91"/>
          <w:sz w:val="28"/>
        </w:rPr>
        <w:t>the</w:t>
      </w:r>
      <w:r>
        <w:rPr>
          <w:color w:val="365F91"/>
          <w:spacing w:val="-8"/>
          <w:sz w:val="28"/>
        </w:rPr>
        <w:t> </w:t>
      </w:r>
      <w:r>
        <w:rPr>
          <w:color w:val="365F91"/>
          <w:sz w:val="28"/>
        </w:rPr>
        <w:t>Child</w:t>
      </w:r>
      <w:r>
        <w:rPr>
          <w:color w:val="365F91"/>
          <w:spacing w:val="-9"/>
          <w:sz w:val="28"/>
        </w:rPr>
        <w:t> </w:t>
      </w:r>
      <w:r>
        <w:rPr>
          <w:color w:val="365F91"/>
          <w:sz w:val="28"/>
        </w:rPr>
        <w:t>Welfare</w:t>
      </w:r>
      <w:r>
        <w:rPr>
          <w:color w:val="365F91"/>
          <w:spacing w:val="-9"/>
          <w:sz w:val="28"/>
        </w:rPr>
        <w:t> </w:t>
      </w:r>
      <w:r>
        <w:rPr>
          <w:color w:val="365F91"/>
          <w:sz w:val="28"/>
        </w:rPr>
        <w:t>and</w:t>
      </w:r>
      <w:r>
        <w:rPr>
          <w:color w:val="365F91"/>
          <w:spacing w:val="-9"/>
          <w:sz w:val="28"/>
        </w:rPr>
        <w:t> </w:t>
      </w:r>
      <w:r>
        <w:rPr>
          <w:color w:val="365F91"/>
          <w:sz w:val="28"/>
        </w:rPr>
        <w:t>Juvenile</w:t>
      </w:r>
      <w:r>
        <w:rPr>
          <w:color w:val="365F91"/>
          <w:spacing w:val="-8"/>
          <w:sz w:val="28"/>
        </w:rPr>
        <w:t> </w:t>
      </w:r>
      <w:r>
        <w:rPr>
          <w:color w:val="365F91"/>
          <w:sz w:val="28"/>
        </w:rPr>
        <w:t>Justice</w:t>
      </w:r>
      <w:r>
        <w:rPr>
          <w:color w:val="365F91"/>
          <w:spacing w:val="-9"/>
          <w:sz w:val="28"/>
        </w:rPr>
        <w:t> </w:t>
      </w:r>
      <w:r>
        <w:rPr>
          <w:color w:val="365F91"/>
          <w:spacing w:val="-2"/>
          <w:sz w:val="28"/>
        </w:rPr>
        <w:t>Systems</w:t>
      </w:r>
    </w:p>
    <w:p>
      <w:pPr>
        <w:spacing w:line="276" w:lineRule="auto" w:before="291"/>
        <w:ind w:left="463" w:right="238" w:firstLine="0"/>
        <w:jc w:val="both"/>
        <w:rPr>
          <w:sz w:val="21"/>
        </w:rPr>
      </w:pPr>
      <w:r>
        <w:rPr>
          <w:sz w:val="21"/>
        </w:rPr>
        <w:t>Youth who are involved in the juvenile and criminal justice systems also often have multiple marginalized identities.</w:t>
      </w:r>
      <w:r>
        <w:rPr>
          <w:spacing w:val="-5"/>
          <w:sz w:val="21"/>
        </w:rPr>
        <w:t> </w:t>
      </w:r>
      <w:r>
        <w:rPr>
          <w:sz w:val="21"/>
        </w:rPr>
        <w:t>Nationally,</w:t>
      </w:r>
      <w:r>
        <w:rPr>
          <w:spacing w:val="-4"/>
          <w:sz w:val="21"/>
        </w:rPr>
        <w:t> </w:t>
      </w:r>
      <w:r>
        <w:rPr>
          <w:sz w:val="21"/>
        </w:rPr>
        <w:t>nearly</w:t>
      </w:r>
      <w:r>
        <w:rPr>
          <w:spacing w:val="-5"/>
          <w:sz w:val="21"/>
        </w:rPr>
        <w:t> </w:t>
      </w:r>
      <w:r>
        <w:rPr>
          <w:sz w:val="21"/>
        </w:rPr>
        <w:t>60%</w:t>
      </w:r>
      <w:r>
        <w:rPr>
          <w:spacing w:val="-5"/>
          <w:sz w:val="21"/>
        </w:rPr>
        <w:t> </w:t>
      </w:r>
      <w:r>
        <w:rPr>
          <w:sz w:val="21"/>
        </w:rPr>
        <w:t>of</w:t>
      </w:r>
      <w:r>
        <w:rPr>
          <w:spacing w:val="-5"/>
          <w:sz w:val="21"/>
        </w:rPr>
        <w:t> </w:t>
      </w:r>
      <w:r>
        <w:rPr>
          <w:sz w:val="21"/>
        </w:rPr>
        <w:t>girls</w:t>
      </w:r>
      <w:r>
        <w:rPr>
          <w:spacing w:val="-5"/>
          <w:sz w:val="21"/>
        </w:rPr>
        <w:t> </w:t>
      </w:r>
      <w:r>
        <w:rPr>
          <w:sz w:val="21"/>
        </w:rPr>
        <w:t>in</w:t>
      </w:r>
      <w:r>
        <w:rPr>
          <w:spacing w:val="-4"/>
          <w:sz w:val="21"/>
        </w:rPr>
        <w:t> </w:t>
      </w:r>
      <w:r>
        <w:rPr>
          <w:sz w:val="21"/>
        </w:rPr>
        <w:t>juvenile</w:t>
      </w:r>
      <w:r>
        <w:rPr>
          <w:spacing w:val="-4"/>
          <w:sz w:val="21"/>
        </w:rPr>
        <w:t> </w:t>
      </w:r>
      <w:r>
        <w:rPr>
          <w:sz w:val="21"/>
        </w:rPr>
        <w:t>justice</w:t>
      </w:r>
      <w:r>
        <w:rPr>
          <w:spacing w:val="-4"/>
          <w:sz w:val="21"/>
        </w:rPr>
        <w:t> </w:t>
      </w:r>
      <w:r>
        <w:rPr>
          <w:sz w:val="21"/>
        </w:rPr>
        <w:t>facilities</w:t>
      </w:r>
      <w:r>
        <w:rPr>
          <w:spacing w:val="-5"/>
          <w:sz w:val="21"/>
        </w:rPr>
        <w:t> </w:t>
      </w:r>
      <w:r>
        <w:rPr>
          <w:sz w:val="21"/>
        </w:rPr>
        <w:t>identify</w:t>
      </w:r>
      <w:r>
        <w:rPr>
          <w:spacing w:val="-5"/>
          <w:sz w:val="21"/>
        </w:rPr>
        <w:t> </w:t>
      </w:r>
      <w:r>
        <w:rPr>
          <w:sz w:val="21"/>
        </w:rPr>
        <w:t>as</w:t>
      </w:r>
      <w:r>
        <w:rPr>
          <w:spacing w:val="-5"/>
          <w:sz w:val="21"/>
        </w:rPr>
        <w:t> </w:t>
      </w:r>
      <w:r>
        <w:rPr>
          <w:sz w:val="21"/>
        </w:rPr>
        <w:t>LGBQ,</w:t>
      </w:r>
      <w:r>
        <w:rPr>
          <w:spacing w:val="-4"/>
          <w:sz w:val="21"/>
        </w:rPr>
        <w:t> </w:t>
      </w:r>
      <w:r>
        <w:rPr>
          <w:sz w:val="21"/>
        </w:rPr>
        <w:t>up</w:t>
      </w:r>
      <w:r>
        <w:rPr>
          <w:spacing w:val="-4"/>
          <w:sz w:val="21"/>
        </w:rPr>
        <w:t> </w:t>
      </w:r>
      <w:r>
        <w:rPr>
          <w:sz w:val="21"/>
        </w:rPr>
        <w:t>to</w:t>
      </w:r>
      <w:r>
        <w:rPr>
          <w:spacing w:val="-6"/>
          <w:sz w:val="21"/>
        </w:rPr>
        <w:t> </w:t>
      </w:r>
      <w:r>
        <w:rPr>
          <w:sz w:val="21"/>
        </w:rPr>
        <w:t>85%</w:t>
      </w:r>
      <w:r>
        <w:rPr>
          <w:spacing w:val="-6"/>
          <w:sz w:val="21"/>
        </w:rPr>
        <w:t> </w:t>
      </w:r>
      <w:r>
        <w:rPr>
          <w:sz w:val="21"/>
        </w:rPr>
        <w:t>of</w:t>
      </w:r>
      <w:r>
        <w:rPr>
          <w:spacing w:val="-5"/>
          <w:sz w:val="21"/>
        </w:rPr>
        <w:t> </w:t>
      </w:r>
      <w:r>
        <w:rPr>
          <w:sz w:val="21"/>
        </w:rPr>
        <w:t>LGBTQ</w:t>
      </w:r>
      <w:r>
        <w:rPr>
          <w:spacing w:val="-4"/>
          <w:sz w:val="21"/>
        </w:rPr>
        <w:t> </w:t>
      </w:r>
      <w:r>
        <w:rPr>
          <w:sz w:val="21"/>
        </w:rPr>
        <w:t>youth in the justice system are also BIPOC, and nearly 1 in 2 women in prison report having a disability. </w:t>
      </w:r>
      <w:hyperlink w:history="true" w:anchor="_bookmark144">
        <w:r>
          <w:rPr>
            <w:sz w:val="21"/>
            <w:vertAlign w:val="superscript"/>
          </w:rPr>
          <w:t>43</w:t>
        </w:r>
      </w:hyperlink>
      <w:r>
        <w:rPr>
          <w:sz w:val="21"/>
          <w:vertAlign w:val="baseline"/>
        </w:rPr>
        <w:t> In Massachusetts, DYS Annual Report 2022 reports that only 7.4% of youth in the juvenile justice system identify as LGBTQ, though 83% of its detained juvenile population identifies as BIPOC</w:t>
      </w:r>
      <w:hyperlink w:history="true" w:anchor="_bookmark145">
        <w:r>
          <w:rPr>
            <w:sz w:val="21"/>
            <w:vertAlign w:val="baseline"/>
          </w:rPr>
          <w:t>.</w:t>
        </w:r>
        <w:r>
          <w:rPr>
            <w:sz w:val="21"/>
            <w:vertAlign w:val="superscript"/>
          </w:rPr>
          <w:t>44</w:t>
        </w:r>
      </w:hyperlink>
      <w:r>
        <w:rPr>
          <w:sz w:val="21"/>
          <w:vertAlign w:val="baseline"/>
        </w:rPr>
        <w:t> Many LGBTQ prisoners are survivors of childhood abuse and trauma, were unemployed or homeless before incarceration, and experience violence,</w:t>
      </w:r>
      <w:r>
        <w:rPr>
          <w:spacing w:val="-7"/>
          <w:sz w:val="21"/>
          <w:vertAlign w:val="baseline"/>
        </w:rPr>
        <w:t> </w:t>
      </w:r>
      <w:r>
        <w:rPr>
          <w:sz w:val="21"/>
          <w:vertAlign w:val="baseline"/>
        </w:rPr>
        <w:t>sexual</w:t>
      </w:r>
      <w:r>
        <w:rPr>
          <w:spacing w:val="-8"/>
          <w:sz w:val="21"/>
          <w:vertAlign w:val="baseline"/>
        </w:rPr>
        <w:t> </w:t>
      </w:r>
      <w:r>
        <w:rPr>
          <w:sz w:val="21"/>
          <w:vertAlign w:val="baseline"/>
        </w:rPr>
        <w:t>assault,</w:t>
      </w:r>
      <w:r>
        <w:rPr>
          <w:spacing w:val="-9"/>
          <w:sz w:val="21"/>
          <w:vertAlign w:val="baseline"/>
        </w:rPr>
        <w:t> </w:t>
      </w:r>
      <w:r>
        <w:rPr>
          <w:sz w:val="21"/>
          <w:vertAlign w:val="baseline"/>
        </w:rPr>
        <w:t>and</w:t>
      </w:r>
      <w:r>
        <w:rPr>
          <w:spacing w:val="-9"/>
          <w:sz w:val="21"/>
          <w:vertAlign w:val="baseline"/>
        </w:rPr>
        <w:t> </w:t>
      </w:r>
      <w:r>
        <w:rPr>
          <w:sz w:val="21"/>
          <w:vertAlign w:val="baseline"/>
        </w:rPr>
        <w:t>human</w:t>
      </w:r>
      <w:r>
        <w:rPr>
          <w:spacing w:val="-9"/>
          <w:sz w:val="21"/>
          <w:vertAlign w:val="baseline"/>
        </w:rPr>
        <w:t> </w:t>
      </w:r>
      <w:r>
        <w:rPr>
          <w:sz w:val="21"/>
          <w:vertAlign w:val="baseline"/>
        </w:rPr>
        <w:t>rights</w:t>
      </w:r>
      <w:r>
        <w:rPr>
          <w:spacing w:val="-10"/>
          <w:sz w:val="21"/>
          <w:vertAlign w:val="baseline"/>
        </w:rPr>
        <w:t> </w:t>
      </w:r>
      <w:r>
        <w:rPr>
          <w:sz w:val="21"/>
          <w:vertAlign w:val="baseline"/>
        </w:rPr>
        <w:t>abuses</w:t>
      </w:r>
      <w:r>
        <w:rPr>
          <w:spacing w:val="-8"/>
          <w:sz w:val="21"/>
          <w:vertAlign w:val="baseline"/>
        </w:rPr>
        <w:t> </w:t>
      </w:r>
      <w:r>
        <w:rPr>
          <w:sz w:val="21"/>
          <w:vertAlign w:val="baseline"/>
        </w:rPr>
        <w:t>within</w:t>
      </w:r>
      <w:r>
        <w:rPr>
          <w:spacing w:val="-9"/>
          <w:sz w:val="21"/>
          <w:vertAlign w:val="baseline"/>
        </w:rPr>
        <w:t> </w:t>
      </w:r>
      <w:r>
        <w:rPr>
          <w:sz w:val="21"/>
          <w:vertAlign w:val="baseline"/>
        </w:rPr>
        <w:t>the</w:t>
      </w:r>
      <w:r>
        <w:rPr>
          <w:spacing w:val="-8"/>
          <w:sz w:val="21"/>
          <w:vertAlign w:val="baseline"/>
        </w:rPr>
        <w:t> </w:t>
      </w:r>
      <w:r>
        <w:rPr>
          <w:sz w:val="21"/>
          <w:vertAlign w:val="baseline"/>
        </w:rPr>
        <w:t>gender-segregated</w:t>
      </w:r>
      <w:r>
        <w:rPr>
          <w:spacing w:val="-8"/>
          <w:sz w:val="21"/>
          <w:vertAlign w:val="baseline"/>
        </w:rPr>
        <w:t> </w:t>
      </w:r>
      <w:r>
        <w:rPr>
          <w:sz w:val="21"/>
          <w:vertAlign w:val="baseline"/>
        </w:rPr>
        <w:t>justice</w:t>
      </w:r>
      <w:r>
        <w:rPr>
          <w:spacing w:val="-8"/>
          <w:sz w:val="21"/>
          <w:vertAlign w:val="baseline"/>
        </w:rPr>
        <w:t> </w:t>
      </w:r>
      <w:r>
        <w:rPr>
          <w:sz w:val="21"/>
          <w:vertAlign w:val="baseline"/>
        </w:rPr>
        <w:t>system.</w:t>
      </w:r>
      <w:r>
        <w:rPr>
          <w:spacing w:val="-8"/>
          <w:sz w:val="21"/>
          <w:vertAlign w:val="baseline"/>
        </w:rPr>
        <w:t> </w:t>
      </w:r>
      <w:r>
        <w:rPr>
          <w:sz w:val="21"/>
          <w:vertAlign w:val="baseline"/>
        </w:rPr>
        <w:t>Finally,</w:t>
      </w:r>
      <w:r>
        <w:rPr>
          <w:spacing w:val="-7"/>
          <w:sz w:val="21"/>
          <w:vertAlign w:val="baseline"/>
        </w:rPr>
        <w:t> </w:t>
      </w:r>
      <w:r>
        <w:rPr>
          <w:sz w:val="21"/>
          <w:vertAlign w:val="baseline"/>
        </w:rPr>
        <w:t>research shows that arrest rates are higher for BIPOC (especially Black, Latine, and Indigenous) and transgender youth, due at least in part to prejudice, poverty, and inequitable laws such as criminalization of sex work.</w:t>
      </w:r>
    </w:p>
    <w:p>
      <w:pPr>
        <w:spacing w:line="276" w:lineRule="auto" w:before="240"/>
        <w:ind w:left="463" w:right="3494" w:firstLine="0"/>
        <w:jc w:val="both"/>
        <w:rPr>
          <w:sz w:val="21"/>
        </w:rPr>
      </w:pPr>
      <w:r>
        <w:rPr/>
        <w:drawing>
          <wp:anchor distT="0" distB="0" distL="0" distR="0" allowOverlap="1" layoutInCell="1" locked="0" behindDoc="0" simplePos="0" relativeHeight="15761920">
            <wp:simplePos x="0" y="0"/>
            <wp:positionH relativeFrom="page">
              <wp:posOffset>4956810</wp:posOffset>
            </wp:positionH>
            <wp:positionV relativeFrom="paragraph">
              <wp:posOffset>166083</wp:posOffset>
            </wp:positionV>
            <wp:extent cx="2065413" cy="932167"/>
            <wp:effectExtent l="0" t="0" r="0" b="0"/>
            <wp:wrapNone/>
            <wp:docPr id="232" name="Image 232" descr="A group of blue people holding hands  Description automatically generated "/>
            <wp:cNvGraphicFramePr>
              <a:graphicFrameLocks/>
            </wp:cNvGraphicFramePr>
            <a:graphic>
              <a:graphicData uri="http://schemas.openxmlformats.org/drawingml/2006/picture">
                <pic:pic>
                  <pic:nvPicPr>
                    <pic:cNvPr id="232" name="Image 232" descr="A group of blue people holding hands  Description automatically generated "/>
                    <pic:cNvPicPr/>
                  </pic:nvPicPr>
                  <pic:blipFill>
                    <a:blip r:embed="rId180" cstate="print"/>
                    <a:stretch>
                      <a:fillRect/>
                    </a:stretch>
                  </pic:blipFill>
                  <pic:spPr>
                    <a:xfrm>
                      <a:off x="0" y="0"/>
                      <a:ext cx="2065413" cy="932167"/>
                    </a:xfrm>
                    <a:prstGeom prst="rect">
                      <a:avLst/>
                    </a:prstGeom>
                  </pic:spPr>
                </pic:pic>
              </a:graphicData>
            </a:graphic>
          </wp:anchor>
        </w:drawing>
      </w:r>
      <w:r>
        <w:rPr>
          <w:sz w:val="21"/>
        </w:rPr>
        <w:t>Meanwhile, around 1 in 5 foster youth in the US is LGBTQ, though as discussed</w:t>
      </w:r>
      <w:r>
        <w:rPr>
          <w:spacing w:val="-8"/>
          <w:sz w:val="21"/>
        </w:rPr>
        <w:t> </w:t>
      </w:r>
      <w:r>
        <w:rPr>
          <w:sz w:val="21"/>
        </w:rPr>
        <w:t>in</w:t>
      </w:r>
      <w:r>
        <w:rPr>
          <w:spacing w:val="-8"/>
          <w:sz w:val="21"/>
        </w:rPr>
        <w:t> </w:t>
      </w:r>
      <w:r>
        <w:rPr>
          <w:sz w:val="21"/>
        </w:rPr>
        <w:t>the</w:t>
      </w:r>
      <w:r>
        <w:rPr>
          <w:spacing w:val="-8"/>
          <w:sz w:val="21"/>
        </w:rPr>
        <w:t> </w:t>
      </w:r>
      <w:r>
        <w:rPr>
          <w:sz w:val="21"/>
        </w:rPr>
        <w:t>child</w:t>
      </w:r>
      <w:r>
        <w:rPr>
          <w:spacing w:val="-8"/>
          <w:sz w:val="21"/>
        </w:rPr>
        <w:t> </w:t>
      </w:r>
      <w:r>
        <w:rPr>
          <w:sz w:val="21"/>
        </w:rPr>
        <w:t>welfare</w:t>
      </w:r>
      <w:r>
        <w:rPr>
          <w:spacing w:val="-8"/>
          <w:sz w:val="21"/>
        </w:rPr>
        <w:t> </w:t>
      </w:r>
      <w:r>
        <w:rPr>
          <w:sz w:val="21"/>
        </w:rPr>
        <w:t>section</w:t>
      </w:r>
      <w:r>
        <w:rPr>
          <w:spacing w:val="-8"/>
          <w:sz w:val="21"/>
        </w:rPr>
        <w:t> </w:t>
      </w:r>
      <w:r>
        <w:rPr>
          <w:sz w:val="21"/>
        </w:rPr>
        <w:t>of</w:t>
      </w:r>
      <w:r>
        <w:rPr>
          <w:spacing w:val="-8"/>
          <w:sz w:val="21"/>
        </w:rPr>
        <w:t> </w:t>
      </w:r>
      <w:r>
        <w:rPr>
          <w:sz w:val="21"/>
        </w:rPr>
        <w:t>this</w:t>
      </w:r>
      <w:r>
        <w:rPr>
          <w:spacing w:val="-8"/>
          <w:sz w:val="21"/>
        </w:rPr>
        <w:t> </w:t>
      </w:r>
      <w:r>
        <w:rPr>
          <w:sz w:val="21"/>
        </w:rPr>
        <w:t>annual</w:t>
      </w:r>
      <w:r>
        <w:rPr>
          <w:spacing w:val="-8"/>
          <w:sz w:val="21"/>
        </w:rPr>
        <w:t> </w:t>
      </w:r>
      <w:r>
        <w:rPr>
          <w:sz w:val="21"/>
        </w:rPr>
        <w:t>report,</w:t>
      </w:r>
      <w:r>
        <w:rPr>
          <w:spacing w:val="-7"/>
          <w:sz w:val="21"/>
        </w:rPr>
        <w:t> </w:t>
      </w:r>
      <w:r>
        <w:rPr>
          <w:sz w:val="21"/>
        </w:rPr>
        <w:t>this</w:t>
      </w:r>
      <w:r>
        <w:rPr>
          <w:spacing w:val="-8"/>
          <w:sz w:val="21"/>
        </w:rPr>
        <w:t> </w:t>
      </w:r>
      <w:r>
        <w:rPr>
          <w:sz w:val="21"/>
        </w:rPr>
        <w:t>number</w:t>
      </w:r>
      <w:r>
        <w:rPr>
          <w:spacing w:val="-8"/>
          <w:sz w:val="21"/>
        </w:rPr>
        <w:t> </w:t>
      </w:r>
      <w:r>
        <w:rPr>
          <w:sz w:val="21"/>
        </w:rPr>
        <w:t>is currently estimated to be lower in Massachusetts. However, staff often do not ask about youths’ identities, putting them at risk of being denied services</w:t>
      </w:r>
      <w:r>
        <w:rPr>
          <w:spacing w:val="-12"/>
          <w:sz w:val="21"/>
        </w:rPr>
        <w:t> </w:t>
      </w:r>
      <w:r>
        <w:rPr>
          <w:sz w:val="21"/>
        </w:rPr>
        <w:t>or</w:t>
      </w:r>
      <w:r>
        <w:rPr>
          <w:spacing w:val="-12"/>
          <w:sz w:val="21"/>
        </w:rPr>
        <w:t> </w:t>
      </w:r>
      <w:r>
        <w:rPr>
          <w:sz w:val="21"/>
        </w:rPr>
        <w:t>mistreated</w:t>
      </w:r>
      <w:r>
        <w:rPr>
          <w:spacing w:val="-12"/>
          <w:sz w:val="21"/>
        </w:rPr>
        <w:t> </w:t>
      </w:r>
      <w:r>
        <w:rPr>
          <w:sz w:val="21"/>
        </w:rPr>
        <w:t>within</w:t>
      </w:r>
      <w:r>
        <w:rPr>
          <w:spacing w:val="-12"/>
          <w:sz w:val="21"/>
        </w:rPr>
        <w:t> </w:t>
      </w:r>
      <w:r>
        <w:rPr>
          <w:sz w:val="21"/>
        </w:rPr>
        <w:t>foster</w:t>
      </w:r>
      <w:r>
        <w:rPr>
          <w:spacing w:val="-12"/>
          <w:sz w:val="21"/>
        </w:rPr>
        <w:t> </w:t>
      </w:r>
      <w:r>
        <w:rPr>
          <w:sz w:val="21"/>
        </w:rPr>
        <w:t>placements</w:t>
      </w:r>
      <w:hyperlink w:history="true" w:anchor="_bookmark146">
        <w:r>
          <w:rPr>
            <w:sz w:val="21"/>
          </w:rPr>
          <w:t>.</w:t>
        </w:r>
        <w:r>
          <w:rPr>
            <w:sz w:val="21"/>
            <w:vertAlign w:val="superscript"/>
          </w:rPr>
          <w:t>45</w:t>
        </w:r>
      </w:hyperlink>
      <w:r>
        <w:rPr>
          <w:spacing w:val="-12"/>
          <w:sz w:val="21"/>
          <w:vertAlign w:val="baseline"/>
        </w:rPr>
        <w:t> </w:t>
      </w:r>
      <w:r>
        <w:rPr>
          <w:sz w:val="21"/>
          <w:vertAlign w:val="baseline"/>
        </w:rPr>
        <w:t>This</w:t>
      </w:r>
      <w:r>
        <w:rPr>
          <w:spacing w:val="-12"/>
          <w:sz w:val="21"/>
          <w:vertAlign w:val="baseline"/>
        </w:rPr>
        <w:t> </w:t>
      </w:r>
      <w:r>
        <w:rPr>
          <w:sz w:val="21"/>
          <w:vertAlign w:val="baseline"/>
        </w:rPr>
        <w:t>is</w:t>
      </w:r>
      <w:r>
        <w:rPr>
          <w:spacing w:val="-11"/>
          <w:sz w:val="21"/>
          <w:vertAlign w:val="baseline"/>
        </w:rPr>
        <w:t> </w:t>
      </w:r>
      <w:r>
        <w:rPr>
          <w:sz w:val="21"/>
          <w:vertAlign w:val="baseline"/>
        </w:rPr>
        <w:t>troubling,</w:t>
      </w:r>
      <w:r>
        <w:rPr>
          <w:spacing w:val="-12"/>
          <w:sz w:val="21"/>
          <w:vertAlign w:val="baseline"/>
        </w:rPr>
        <w:t> </w:t>
      </w:r>
      <w:r>
        <w:rPr>
          <w:sz w:val="21"/>
          <w:vertAlign w:val="baseline"/>
        </w:rPr>
        <w:t>as</w:t>
      </w:r>
      <w:r>
        <w:rPr>
          <w:spacing w:val="-12"/>
          <w:sz w:val="21"/>
          <w:vertAlign w:val="baseline"/>
        </w:rPr>
        <w:t> </w:t>
      </w:r>
      <w:r>
        <w:rPr>
          <w:sz w:val="21"/>
          <w:vertAlign w:val="baseline"/>
        </w:rPr>
        <w:t>one study</w:t>
      </w:r>
      <w:r>
        <w:rPr>
          <w:spacing w:val="30"/>
          <w:sz w:val="21"/>
          <w:vertAlign w:val="baseline"/>
        </w:rPr>
        <w:t> </w:t>
      </w:r>
      <w:r>
        <w:rPr>
          <w:sz w:val="21"/>
          <w:vertAlign w:val="baseline"/>
        </w:rPr>
        <w:t>found</w:t>
      </w:r>
      <w:r>
        <w:rPr>
          <w:spacing w:val="29"/>
          <w:sz w:val="21"/>
          <w:vertAlign w:val="baseline"/>
        </w:rPr>
        <w:t> </w:t>
      </w:r>
      <w:r>
        <w:rPr>
          <w:sz w:val="21"/>
          <w:vertAlign w:val="baseline"/>
        </w:rPr>
        <w:t>that,</w:t>
      </w:r>
      <w:r>
        <w:rPr>
          <w:spacing w:val="30"/>
          <w:sz w:val="21"/>
          <w:vertAlign w:val="baseline"/>
        </w:rPr>
        <w:t> </w:t>
      </w:r>
      <w:r>
        <w:rPr>
          <w:sz w:val="21"/>
          <w:vertAlign w:val="baseline"/>
        </w:rPr>
        <w:t>nationally,</w:t>
      </w:r>
      <w:r>
        <w:rPr>
          <w:spacing w:val="29"/>
          <w:sz w:val="21"/>
          <w:vertAlign w:val="baseline"/>
        </w:rPr>
        <w:t> </w:t>
      </w:r>
      <w:r>
        <w:rPr>
          <w:sz w:val="21"/>
          <w:vertAlign w:val="baseline"/>
        </w:rPr>
        <w:t>LGBTQ</w:t>
      </w:r>
      <w:r>
        <w:rPr>
          <w:spacing w:val="30"/>
          <w:sz w:val="21"/>
          <w:vertAlign w:val="baseline"/>
        </w:rPr>
        <w:t> </w:t>
      </w:r>
      <w:r>
        <w:rPr>
          <w:sz w:val="21"/>
          <w:vertAlign w:val="baseline"/>
        </w:rPr>
        <w:t>youth</w:t>
      </w:r>
      <w:r>
        <w:rPr>
          <w:spacing w:val="30"/>
          <w:sz w:val="21"/>
          <w:vertAlign w:val="baseline"/>
        </w:rPr>
        <w:t> </w:t>
      </w:r>
      <w:r>
        <w:rPr>
          <w:sz w:val="21"/>
          <w:vertAlign w:val="baseline"/>
        </w:rPr>
        <w:t>had</w:t>
      </w:r>
      <w:r>
        <w:rPr>
          <w:spacing w:val="29"/>
          <w:sz w:val="21"/>
          <w:vertAlign w:val="baseline"/>
        </w:rPr>
        <w:t> </w:t>
      </w:r>
      <w:r>
        <w:rPr>
          <w:sz w:val="21"/>
          <w:vertAlign w:val="baseline"/>
        </w:rPr>
        <w:t>an</w:t>
      </w:r>
      <w:r>
        <w:rPr>
          <w:spacing w:val="30"/>
          <w:sz w:val="21"/>
          <w:vertAlign w:val="baseline"/>
        </w:rPr>
        <w:t> </w:t>
      </w:r>
      <w:r>
        <w:rPr>
          <w:sz w:val="21"/>
          <w:vertAlign w:val="baseline"/>
        </w:rPr>
        <w:t>average</w:t>
      </w:r>
      <w:r>
        <w:rPr>
          <w:spacing w:val="30"/>
          <w:sz w:val="21"/>
          <w:vertAlign w:val="baseline"/>
        </w:rPr>
        <w:t> </w:t>
      </w:r>
      <w:r>
        <w:rPr>
          <w:sz w:val="21"/>
          <w:vertAlign w:val="baseline"/>
        </w:rPr>
        <w:t>of</w:t>
      </w:r>
      <w:r>
        <w:rPr>
          <w:spacing w:val="29"/>
          <w:sz w:val="21"/>
          <w:vertAlign w:val="baseline"/>
        </w:rPr>
        <w:t> </w:t>
      </w:r>
      <w:r>
        <w:rPr>
          <w:sz w:val="21"/>
          <w:vertAlign w:val="baseline"/>
        </w:rPr>
        <w:t>6</w:t>
      </w:r>
      <w:r>
        <w:rPr>
          <w:spacing w:val="30"/>
          <w:sz w:val="21"/>
          <w:vertAlign w:val="baseline"/>
        </w:rPr>
        <w:t> </w:t>
      </w:r>
      <w:r>
        <w:rPr>
          <w:spacing w:val="-2"/>
          <w:sz w:val="21"/>
          <w:vertAlign w:val="baseline"/>
        </w:rPr>
        <w:t>foster</w:t>
      </w:r>
    </w:p>
    <w:p>
      <w:pPr>
        <w:spacing w:line="276" w:lineRule="auto" w:before="0"/>
        <w:ind w:left="463" w:right="240" w:firstLine="0"/>
        <w:jc w:val="both"/>
        <w:rPr>
          <w:sz w:val="21"/>
        </w:rPr>
      </w:pPr>
      <w:r>
        <w:rPr>
          <w:sz w:val="21"/>
        </w:rPr>
        <w:t>placements,</w:t>
      </w:r>
      <w:r>
        <w:rPr>
          <w:spacing w:val="-11"/>
          <w:sz w:val="21"/>
        </w:rPr>
        <w:t> </w:t>
      </w:r>
      <w:r>
        <w:rPr>
          <w:sz w:val="21"/>
        </w:rPr>
        <w:t>nearly</w:t>
      </w:r>
      <w:r>
        <w:rPr>
          <w:spacing w:val="-11"/>
          <w:sz w:val="21"/>
        </w:rPr>
        <w:t> </w:t>
      </w:r>
      <w:r>
        <w:rPr>
          <w:sz w:val="21"/>
        </w:rPr>
        <w:t>double</w:t>
      </w:r>
      <w:r>
        <w:rPr>
          <w:spacing w:val="-10"/>
          <w:sz w:val="21"/>
        </w:rPr>
        <w:t> </w:t>
      </w:r>
      <w:r>
        <w:rPr>
          <w:sz w:val="21"/>
        </w:rPr>
        <w:t>that</w:t>
      </w:r>
      <w:r>
        <w:rPr>
          <w:spacing w:val="-10"/>
          <w:sz w:val="21"/>
        </w:rPr>
        <w:t> </w:t>
      </w:r>
      <w:r>
        <w:rPr>
          <w:sz w:val="21"/>
        </w:rPr>
        <w:t>of</w:t>
      </w:r>
      <w:r>
        <w:rPr>
          <w:spacing w:val="-11"/>
          <w:sz w:val="21"/>
        </w:rPr>
        <w:t> </w:t>
      </w:r>
      <w:r>
        <w:rPr>
          <w:sz w:val="21"/>
        </w:rPr>
        <w:t>their</w:t>
      </w:r>
      <w:r>
        <w:rPr>
          <w:spacing w:val="-10"/>
          <w:sz w:val="21"/>
        </w:rPr>
        <w:t> </w:t>
      </w:r>
      <w:r>
        <w:rPr>
          <w:sz w:val="21"/>
        </w:rPr>
        <w:t>straight</w:t>
      </w:r>
      <w:r>
        <w:rPr>
          <w:spacing w:val="-10"/>
          <w:sz w:val="21"/>
        </w:rPr>
        <w:t> </w:t>
      </w:r>
      <w:r>
        <w:rPr>
          <w:sz w:val="21"/>
        </w:rPr>
        <w:t>peers;</w:t>
      </w:r>
      <w:r>
        <w:rPr>
          <w:spacing w:val="-10"/>
          <w:sz w:val="21"/>
        </w:rPr>
        <w:t> </w:t>
      </w:r>
      <w:r>
        <w:rPr>
          <w:sz w:val="21"/>
        </w:rPr>
        <w:t>LGBTQ</w:t>
      </w:r>
      <w:r>
        <w:rPr>
          <w:spacing w:val="-10"/>
          <w:sz w:val="21"/>
        </w:rPr>
        <w:t> </w:t>
      </w:r>
      <w:r>
        <w:rPr>
          <w:sz w:val="21"/>
        </w:rPr>
        <w:t>foster</w:t>
      </w:r>
      <w:r>
        <w:rPr>
          <w:spacing w:val="-10"/>
          <w:sz w:val="21"/>
        </w:rPr>
        <w:t> </w:t>
      </w:r>
      <w:r>
        <w:rPr>
          <w:sz w:val="21"/>
        </w:rPr>
        <w:t>youth</w:t>
      </w:r>
      <w:r>
        <w:rPr>
          <w:spacing w:val="-10"/>
          <w:sz w:val="21"/>
        </w:rPr>
        <w:t> </w:t>
      </w:r>
      <w:r>
        <w:rPr>
          <w:sz w:val="21"/>
        </w:rPr>
        <w:t>are</w:t>
      </w:r>
      <w:r>
        <w:rPr>
          <w:spacing w:val="-10"/>
          <w:sz w:val="21"/>
        </w:rPr>
        <w:t> </w:t>
      </w:r>
      <w:r>
        <w:rPr>
          <w:sz w:val="21"/>
        </w:rPr>
        <w:t>also</w:t>
      </w:r>
      <w:r>
        <w:rPr>
          <w:spacing w:val="-11"/>
          <w:sz w:val="21"/>
        </w:rPr>
        <w:t> </w:t>
      </w:r>
      <w:r>
        <w:rPr>
          <w:sz w:val="21"/>
        </w:rPr>
        <w:t>twice</w:t>
      </w:r>
      <w:r>
        <w:rPr>
          <w:spacing w:val="-10"/>
          <w:sz w:val="21"/>
        </w:rPr>
        <w:t> </w:t>
      </w:r>
      <w:r>
        <w:rPr>
          <w:sz w:val="21"/>
        </w:rPr>
        <w:t>as</w:t>
      </w:r>
      <w:r>
        <w:rPr>
          <w:spacing w:val="-12"/>
          <w:sz w:val="21"/>
        </w:rPr>
        <w:t> </w:t>
      </w:r>
      <w:r>
        <w:rPr>
          <w:sz w:val="21"/>
        </w:rPr>
        <w:t>likely</w:t>
      </w:r>
      <w:r>
        <w:rPr>
          <w:spacing w:val="-11"/>
          <w:sz w:val="21"/>
        </w:rPr>
        <w:t> </w:t>
      </w:r>
      <w:r>
        <w:rPr>
          <w:sz w:val="21"/>
        </w:rPr>
        <w:t>to</w:t>
      </w:r>
      <w:r>
        <w:rPr>
          <w:spacing w:val="-11"/>
          <w:sz w:val="21"/>
        </w:rPr>
        <w:t> </w:t>
      </w:r>
      <w:r>
        <w:rPr>
          <w:sz w:val="21"/>
        </w:rPr>
        <w:t>report</w:t>
      </w:r>
      <w:r>
        <w:rPr>
          <w:spacing w:val="-10"/>
          <w:sz w:val="21"/>
        </w:rPr>
        <w:t> </w:t>
      </w:r>
      <w:r>
        <w:rPr>
          <w:sz w:val="21"/>
        </w:rPr>
        <w:t>being unfairly treated by</w:t>
      </w:r>
      <w:r>
        <w:rPr>
          <w:spacing w:val="-1"/>
          <w:sz w:val="21"/>
        </w:rPr>
        <w:t> </w:t>
      </w:r>
      <w:r>
        <w:rPr>
          <w:sz w:val="21"/>
        </w:rPr>
        <w:t>the</w:t>
      </w:r>
      <w:r>
        <w:rPr>
          <w:spacing w:val="-1"/>
          <w:sz w:val="21"/>
        </w:rPr>
        <w:t> </w:t>
      </w:r>
      <w:r>
        <w:rPr>
          <w:sz w:val="21"/>
        </w:rPr>
        <w:t>child</w:t>
      </w:r>
      <w:r>
        <w:rPr>
          <w:spacing w:val="-1"/>
          <w:sz w:val="21"/>
        </w:rPr>
        <w:t> </w:t>
      </w:r>
      <w:r>
        <w:rPr>
          <w:sz w:val="21"/>
        </w:rPr>
        <w:t>welfare system, explaining</w:t>
      </w:r>
      <w:r>
        <w:rPr>
          <w:spacing w:val="-1"/>
          <w:sz w:val="21"/>
        </w:rPr>
        <w:t> </w:t>
      </w:r>
      <w:r>
        <w:rPr>
          <w:sz w:val="21"/>
        </w:rPr>
        <w:t>why rates of placement run-away, school</w:t>
      </w:r>
      <w:r>
        <w:rPr>
          <w:spacing w:val="-1"/>
          <w:sz w:val="21"/>
        </w:rPr>
        <w:t> </w:t>
      </w:r>
      <w:r>
        <w:rPr>
          <w:sz w:val="21"/>
        </w:rPr>
        <w:t>absenteeism, discipline, and dropout are so high. Unsurprisingly, LGBTQ foster youth are nearly three times as likely to be hospitalized for emotional reasons – yet when they age out of services, many are left on their own</w:t>
      </w:r>
      <w:hyperlink w:history="true" w:anchor="_bookmark147">
        <w:r>
          <w:rPr>
            <w:sz w:val="21"/>
          </w:rPr>
          <w:t>.</w:t>
        </w:r>
        <w:r>
          <w:rPr>
            <w:sz w:val="21"/>
            <w:vertAlign w:val="superscript"/>
          </w:rPr>
          <w:t>46</w:t>
        </w:r>
      </w:hyperlink>
    </w:p>
    <w:p>
      <w:pPr>
        <w:spacing w:line="276" w:lineRule="auto" w:before="241"/>
        <w:ind w:left="463" w:right="239" w:firstLine="0"/>
        <w:jc w:val="both"/>
        <w:rPr>
          <w:sz w:val="21"/>
        </w:rPr>
      </w:pPr>
      <w:r>
        <w:rPr>
          <w:sz w:val="21"/>
        </w:rPr>
        <w:t>Overall, the child welfare and juvenile justice systems should ensure that policies and programs supporting LGBTQ youth include supporting youth and families to prevent removal or detainment in the first place; recognizing trauma responses rather than simply maligning youth as aggressive; offering LGBTQ competency trainings</w:t>
      </w:r>
      <w:r>
        <w:rPr>
          <w:spacing w:val="-4"/>
          <w:sz w:val="21"/>
        </w:rPr>
        <w:t> </w:t>
      </w:r>
      <w:r>
        <w:rPr>
          <w:sz w:val="21"/>
        </w:rPr>
        <w:t>for</w:t>
      </w:r>
      <w:r>
        <w:rPr>
          <w:spacing w:val="-3"/>
          <w:sz w:val="21"/>
        </w:rPr>
        <w:t> </w:t>
      </w:r>
      <w:r>
        <w:rPr>
          <w:sz w:val="21"/>
        </w:rPr>
        <w:t>system</w:t>
      </w:r>
      <w:r>
        <w:rPr>
          <w:spacing w:val="-3"/>
          <w:sz w:val="21"/>
        </w:rPr>
        <w:t> </w:t>
      </w:r>
      <w:r>
        <w:rPr>
          <w:sz w:val="21"/>
        </w:rPr>
        <w:t>employees</w:t>
      </w:r>
      <w:r>
        <w:rPr>
          <w:spacing w:val="-4"/>
          <w:sz w:val="21"/>
        </w:rPr>
        <w:t> </w:t>
      </w:r>
      <w:r>
        <w:rPr>
          <w:sz w:val="21"/>
        </w:rPr>
        <w:t>and</w:t>
      </w:r>
      <w:r>
        <w:rPr>
          <w:spacing w:val="-3"/>
          <w:sz w:val="21"/>
        </w:rPr>
        <w:t> </w:t>
      </w:r>
      <w:r>
        <w:rPr>
          <w:sz w:val="21"/>
        </w:rPr>
        <w:t>foster</w:t>
      </w:r>
      <w:r>
        <w:rPr>
          <w:spacing w:val="-3"/>
          <w:sz w:val="21"/>
        </w:rPr>
        <w:t> </w:t>
      </w:r>
      <w:r>
        <w:rPr>
          <w:sz w:val="21"/>
        </w:rPr>
        <w:t>parents;</w:t>
      </w:r>
      <w:r>
        <w:rPr>
          <w:spacing w:val="-3"/>
          <w:sz w:val="21"/>
        </w:rPr>
        <w:t> </w:t>
      </w:r>
      <w:r>
        <w:rPr>
          <w:sz w:val="21"/>
        </w:rPr>
        <w:t>extending</w:t>
      </w:r>
      <w:r>
        <w:rPr>
          <w:spacing w:val="-4"/>
          <w:sz w:val="21"/>
        </w:rPr>
        <w:t> </w:t>
      </w:r>
      <w:r>
        <w:rPr>
          <w:sz w:val="21"/>
        </w:rPr>
        <w:t>eligibility</w:t>
      </w:r>
      <w:r>
        <w:rPr>
          <w:spacing w:val="-3"/>
          <w:sz w:val="21"/>
        </w:rPr>
        <w:t> </w:t>
      </w:r>
      <w:r>
        <w:rPr>
          <w:sz w:val="21"/>
        </w:rPr>
        <w:t>for</w:t>
      </w:r>
      <w:r>
        <w:rPr>
          <w:spacing w:val="-3"/>
          <w:sz w:val="21"/>
        </w:rPr>
        <w:t> </w:t>
      </w:r>
      <w:r>
        <w:rPr>
          <w:sz w:val="21"/>
        </w:rPr>
        <w:t>support</w:t>
      </w:r>
      <w:r>
        <w:rPr>
          <w:spacing w:val="-2"/>
          <w:sz w:val="21"/>
        </w:rPr>
        <w:t> </w:t>
      </w:r>
      <w:r>
        <w:rPr>
          <w:sz w:val="21"/>
        </w:rPr>
        <w:t>services</w:t>
      </w:r>
      <w:r>
        <w:rPr>
          <w:spacing w:val="-4"/>
          <w:sz w:val="21"/>
        </w:rPr>
        <w:t> </w:t>
      </w:r>
      <w:r>
        <w:rPr>
          <w:sz w:val="21"/>
        </w:rPr>
        <w:t>after</w:t>
      </w:r>
      <w:r>
        <w:rPr>
          <w:spacing w:val="-3"/>
          <w:sz w:val="21"/>
        </w:rPr>
        <w:t> </w:t>
      </w:r>
      <w:r>
        <w:rPr>
          <w:sz w:val="21"/>
        </w:rPr>
        <w:t>youth</w:t>
      </w:r>
      <w:r>
        <w:rPr>
          <w:spacing w:val="-3"/>
          <w:sz w:val="21"/>
        </w:rPr>
        <w:t> </w:t>
      </w:r>
      <w:r>
        <w:rPr>
          <w:sz w:val="21"/>
        </w:rPr>
        <w:t>exit</w:t>
      </w:r>
      <w:r>
        <w:rPr>
          <w:spacing w:val="-5"/>
          <w:sz w:val="21"/>
        </w:rPr>
        <w:t> </w:t>
      </w:r>
      <w:r>
        <w:rPr>
          <w:sz w:val="21"/>
        </w:rPr>
        <w:t>the systems; offering trauma-informed, LGBTQ-specific social spaces and support services; and creating pathways for reporting and enforcing consequences for anti-LGBTQ discrimination. For more detailed recommendations for</w:t>
      </w:r>
      <w:r>
        <w:rPr>
          <w:spacing w:val="-7"/>
          <w:sz w:val="21"/>
        </w:rPr>
        <w:t> </w:t>
      </w:r>
      <w:r>
        <w:rPr>
          <w:sz w:val="21"/>
        </w:rPr>
        <w:t>DCF,</w:t>
      </w:r>
      <w:r>
        <w:rPr>
          <w:spacing w:val="-6"/>
          <w:sz w:val="21"/>
        </w:rPr>
        <w:t> </w:t>
      </w:r>
      <w:r>
        <w:rPr>
          <w:sz w:val="21"/>
        </w:rPr>
        <w:t>see</w:t>
      </w:r>
      <w:r>
        <w:rPr>
          <w:spacing w:val="-7"/>
          <w:sz w:val="21"/>
        </w:rPr>
        <w:t> </w:t>
      </w:r>
      <w:r>
        <w:rPr>
          <w:sz w:val="21"/>
        </w:rPr>
        <w:t>the</w:t>
      </w:r>
      <w:r>
        <w:rPr>
          <w:spacing w:val="-7"/>
          <w:sz w:val="21"/>
        </w:rPr>
        <w:t> </w:t>
      </w:r>
      <w:r>
        <w:rPr>
          <w:sz w:val="21"/>
        </w:rPr>
        <w:t>Commission’s</w:t>
      </w:r>
      <w:r>
        <w:rPr>
          <w:spacing w:val="-7"/>
          <w:sz w:val="21"/>
        </w:rPr>
        <w:t> </w:t>
      </w:r>
      <w:r>
        <w:rPr>
          <w:sz w:val="21"/>
        </w:rPr>
        <w:t>2021</w:t>
      </w:r>
      <w:r>
        <w:rPr>
          <w:spacing w:val="-7"/>
          <w:sz w:val="21"/>
        </w:rPr>
        <w:t> </w:t>
      </w:r>
      <w:r>
        <w:rPr>
          <w:sz w:val="21"/>
        </w:rPr>
        <w:t>report,</w:t>
      </w:r>
      <w:r>
        <w:rPr>
          <w:spacing w:val="-6"/>
          <w:sz w:val="21"/>
        </w:rPr>
        <w:t> </w:t>
      </w:r>
      <w:r>
        <w:rPr>
          <w:sz w:val="21"/>
        </w:rPr>
        <w:t>“LGBTQ</w:t>
      </w:r>
      <w:r>
        <w:rPr>
          <w:spacing w:val="-6"/>
          <w:sz w:val="21"/>
        </w:rPr>
        <w:t> </w:t>
      </w:r>
      <w:r>
        <w:rPr>
          <w:sz w:val="21"/>
        </w:rPr>
        <w:t>Youth</w:t>
      </w:r>
      <w:r>
        <w:rPr>
          <w:spacing w:val="-7"/>
          <w:sz w:val="21"/>
        </w:rPr>
        <w:t> </w:t>
      </w:r>
      <w:r>
        <w:rPr>
          <w:sz w:val="21"/>
        </w:rPr>
        <w:t>in</w:t>
      </w:r>
      <w:r>
        <w:rPr>
          <w:spacing w:val="-8"/>
          <w:sz w:val="21"/>
        </w:rPr>
        <w:t> </w:t>
      </w:r>
      <w:r>
        <w:rPr>
          <w:sz w:val="21"/>
        </w:rPr>
        <w:t>the</w:t>
      </w:r>
      <w:r>
        <w:rPr>
          <w:spacing w:val="-8"/>
          <w:sz w:val="21"/>
        </w:rPr>
        <w:t> </w:t>
      </w:r>
      <w:r>
        <w:rPr>
          <w:sz w:val="21"/>
        </w:rPr>
        <w:t>Massachusetts</w:t>
      </w:r>
      <w:r>
        <w:rPr>
          <w:spacing w:val="-7"/>
          <w:sz w:val="21"/>
        </w:rPr>
        <w:t> </w:t>
      </w:r>
      <w:r>
        <w:rPr>
          <w:sz w:val="21"/>
        </w:rPr>
        <w:t>Child</w:t>
      </w:r>
      <w:r>
        <w:rPr>
          <w:spacing w:val="-7"/>
          <w:sz w:val="21"/>
        </w:rPr>
        <w:t> </w:t>
      </w:r>
      <w:r>
        <w:rPr>
          <w:sz w:val="21"/>
        </w:rPr>
        <w:t>Welfare</w:t>
      </w:r>
      <w:r>
        <w:rPr>
          <w:spacing w:val="-7"/>
          <w:sz w:val="21"/>
        </w:rPr>
        <w:t> </w:t>
      </w:r>
      <w:r>
        <w:rPr>
          <w:sz w:val="21"/>
        </w:rPr>
        <w:t>System:</w:t>
      </w:r>
      <w:r>
        <w:rPr>
          <w:spacing w:val="-6"/>
          <w:sz w:val="21"/>
        </w:rPr>
        <w:t> </w:t>
      </w:r>
      <w:r>
        <w:rPr>
          <w:sz w:val="21"/>
        </w:rPr>
        <w:t>A</w:t>
      </w:r>
      <w:r>
        <w:rPr>
          <w:spacing w:val="-8"/>
          <w:sz w:val="21"/>
        </w:rPr>
        <w:t> </w:t>
      </w:r>
      <w:r>
        <w:rPr>
          <w:sz w:val="21"/>
        </w:rPr>
        <w:t>Report on Pervasive Threats to Safety, Wellbeing, and Permanency.”</w:t>
      </w:r>
    </w:p>
    <w:p>
      <w:pPr>
        <w:spacing w:after="0" w:line="276" w:lineRule="auto"/>
        <w:jc w:val="both"/>
        <w:rPr>
          <w:sz w:val="21"/>
        </w:rPr>
        <w:sectPr>
          <w:pgSz w:w="12240" w:h="15840"/>
          <w:pgMar w:header="804" w:footer="1390" w:top="1080" w:bottom="1620" w:left="980" w:right="1080"/>
        </w:sectPr>
      </w:pPr>
    </w:p>
    <w:p>
      <w:pPr>
        <w:spacing w:before="68"/>
        <w:ind w:left="463" w:right="0" w:firstLine="0"/>
        <w:jc w:val="both"/>
        <w:rPr>
          <w:sz w:val="28"/>
        </w:rPr>
      </w:pPr>
      <w:bookmarkStart w:name="Evidence-Based Clinical, School &amp; Commun" w:id="248"/>
      <w:bookmarkEnd w:id="248"/>
      <w:r>
        <w:rPr/>
      </w:r>
      <w:r>
        <w:rPr>
          <w:color w:val="365F91"/>
          <w:sz w:val="28"/>
        </w:rPr>
        <w:t>Evidence-Based</w:t>
      </w:r>
      <w:r>
        <w:rPr>
          <w:color w:val="365F91"/>
          <w:spacing w:val="-15"/>
          <w:sz w:val="28"/>
        </w:rPr>
        <w:t> </w:t>
      </w:r>
      <w:r>
        <w:rPr>
          <w:color w:val="365F91"/>
          <w:sz w:val="28"/>
        </w:rPr>
        <w:t>Clinical,</w:t>
      </w:r>
      <w:r>
        <w:rPr>
          <w:color w:val="365F91"/>
          <w:spacing w:val="-14"/>
          <w:sz w:val="28"/>
        </w:rPr>
        <w:t> </w:t>
      </w:r>
      <w:r>
        <w:rPr>
          <w:color w:val="365F91"/>
          <w:sz w:val="28"/>
        </w:rPr>
        <w:t>School</w:t>
      </w:r>
      <w:r>
        <w:rPr>
          <w:color w:val="365F91"/>
          <w:spacing w:val="-14"/>
          <w:sz w:val="28"/>
        </w:rPr>
        <w:t> </w:t>
      </w:r>
      <w:r>
        <w:rPr>
          <w:color w:val="365F91"/>
          <w:sz w:val="28"/>
        </w:rPr>
        <w:t>&amp;</w:t>
      </w:r>
      <w:r>
        <w:rPr>
          <w:color w:val="365F91"/>
          <w:spacing w:val="-13"/>
          <w:sz w:val="28"/>
        </w:rPr>
        <w:t> </w:t>
      </w:r>
      <w:r>
        <w:rPr>
          <w:color w:val="365F91"/>
          <w:sz w:val="28"/>
        </w:rPr>
        <w:t>Community-Based</w:t>
      </w:r>
      <w:r>
        <w:rPr>
          <w:color w:val="365F91"/>
          <w:spacing w:val="-14"/>
          <w:sz w:val="28"/>
        </w:rPr>
        <w:t> </w:t>
      </w:r>
      <w:r>
        <w:rPr>
          <w:color w:val="365F91"/>
          <w:sz w:val="28"/>
        </w:rPr>
        <w:t>Mental</w:t>
      </w:r>
      <w:r>
        <w:rPr>
          <w:color w:val="365F91"/>
          <w:spacing w:val="-13"/>
          <w:sz w:val="28"/>
        </w:rPr>
        <w:t> </w:t>
      </w:r>
      <w:r>
        <w:rPr>
          <w:color w:val="365F91"/>
          <w:sz w:val="28"/>
        </w:rPr>
        <w:t>Health</w:t>
      </w:r>
      <w:r>
        <w:rPr>
          <w:color w:val="365F91"/>
          <w:spacing w:val="-14"/>
          <w:sz w:val="28"/>
        </w:rPr>
        <w:t> </w:t>
      </w:r>
      <w:r>
        <w:rPr>
          <w:color w:val="365F91"/>
          <w:spacing w:val="-2"/>
          <w:sz w:val="28"/>
        </w:rPr>
        <w:t>Support</w:t>
      </w:r>
    </w:p>
    <w:p>
      <w:pPr>
        <w:spacing w:line="276" w:lineRule="auto" w:before="291"/>
        <w:ind w:left="463" w:right="239" w:firstLine="0"/>
        <w:jc w:val="both"/>
        <w:rPr>
          <w:sz w:val="21"/>
        </w:rPr>
      </w:pPr>
      <w:r>
        <w:rPr>
          <w:sz w:val="21"/>
        </w:rPr>
        <w:t>When LGBTQ youth face mental health challenges like depression, trauma, or suicidality, professional support is</w:t>
      </w:r>
      <w:r>
        <w:rPr>
          <w:spacing w:val="-6"/>
          <w:sz w:val="21"/>
        </w:rPr>
        <w:t> </w:t>
      </w:r>
      <w:r>
        <w:rPr>
          <w:sz w:val="21"/>
        </w:rPr>
        <w:t>often</w:t>
      </w:r>
      <w:r>
        <w:rPr>
          <w:spacing w:val="-6"/>
          <w:sz w:val="21"/>
        </w:rPr>
        <w:t> </w:t>
      </w:r>
      <w:r>
        <w:rPr>
          <w:sz w:val="21"/>
        </w:rPr>
        <w:t>the</w:t>
      </w:r>
      <w:r>
        <w:rPr>
          <w:spacing w:val="-6"/>
          <w:sz w:val="21"/>
        </w:rPr>
        <w:t> </w:t>
      </w:r>
      <w:r>
        <w:rPr>
          <w:sz w:val="21"/>
        </w:rPr>
        <w:t>first</w:t>
      </w:r>
      <w:r>
        <w:rPr>
          <w:spacing w:val="-5"/>
          <w:sz w:val="21"/>
        </w:rPr>
        <w:t> </w:t>
      </w:r>
      <w:r>
        <w:rPr>
          <w:sz w:val="21"/>
        </w:rPr>
        <w:t>step.</w:t>
      </w:r>
      <w:r>
        <w:rPr>
          <w:spacing w:val="-6"/>
          <w:sz w:val="21"/>
        </w:rPr>
        <w:t> </w:t>
      </w:r>
      <w:r>
        <w:rPr>
          <w:sz w:val="21"/>
        </w:rPr>
        <w:t>However,</w:t>
      </w:r>
      <w:r>
        <w:rPr>
          <w:spacing w:val="-5"/>
          <w:sz w:val="21"/>
        </w:rPr>
        <w:t> </w:t>
      </w:r>
      <w:r>
        <w:rPr>
          <w:sz w:val="21"/>
        </w:rPr>
        <w:t>research</w:t>
      </w:r>
      <w:r>
        <w:rPr>
          <w:spacing w:val="-7"/>
          <w:sz w:val="21"/>
        </w:rPr>
        <w:t> </w:t>
      </w:r>
      <w:r>
        <w:rPr>
          <w:sz w:val="21"/>
        </w:rPr>
        <w:t>about</w:t>
      </w:r>
      <w:r>
        <w:rPr>
          <w:spacing w:val="-5"/>
          <w:sz w:val="21"/>
        </w:rPr>
        <w:t> </w:t>
      </w:r>
      <w:r>
        <w:rPr>
          <w:sz w:val="21"/>
        </w:rPr>
        <w:t>therapy</w:t>
      </w:r>
      <w:r>
        <w:rPr>
          <w:spacing w:val="-7"/>
          <w:sz w:val="21"/>
        </w:rPr>
        <w:t> </w:t>
      </w:r>
      <w:r>
        <w:rPr>
          <w:sz w:val="21"/>
        </w:rPr>
        <w:t>for</w:t>
      </w:r>
      <w:r>
        <w:rPr>
          <w:spacing w:val="-6"/>
          <w:sz w:val="21"/>
        </w:rPr>
        <w:t> </w:t>
      </w:r>
      <w:r>
        <w:rPr>
          <w:sz w:val="21"/>
        </w:rPr>
        <w:t>LGBTQ</w:t>
      </w:r>
      <w:r>
        <w:rPr>
          <w:spacing w:val="-5"/>
          <w:sz w:val="21"/>
        </w:rPr>
        <w:t> </w:t>
      </w:r>
      <w:r>
        <w:rPr>
          <w:sz w:val="21"/>
        </w:rPr>
        <w:t>youth</w:t>
      </w:r>
      <w:r>
        <w:rPr>
          <w:spacing w:val="-6"/>
          <w:sz w:val="21"/>
        </w:rPr>
        <w:t> </w:t>
      </w:r>
      <w:r>
        <w:rPr>
          <w:sz w:val="21"/>
        </w:rPr>
        <w:t>is</w:t>
      </w:r>
      <w:r>
        <w:rPr>
          <w:spacing w:val="-6"/>
          <w:sz w:val="21"/>
        </w:rPr>
        <w:t> </w:t>
      </w:r>
      <w:r>
        <w:rPr>
          <w:sz w:val="21"/>
        </w:rPr>
        <w:t>still</w:t>
      </w:r>
      <w:r>
        <w:rPr>
          <w:spacing w:val="-6"/>
          <w:sz w:val="21"/>
        </w:rPr>
        <w:t> </w:t>
      </w:r>
      <w:r>
        <w:rPr>
          <w:sz w:val="21"/>
        </w:rPr>
        <w:t>“severely</w:t>
      </w:r>
      <w:r>
        <w:rPr>
          <w:spacing w:val="-6"/>
          <w:sz w:val="21"/>
        </w:rPr>
        <w:t> </w:t>
      </w:r>
      <w:r>
        <w:rPr>
          <w:sz w:val="21"/>
        </w:rPr>
        <w:t>lacking.”</w:t>
      </w:r>
      <w:r>
        <w:rPr>
          <w:spacing w:val="-6"/>
          <w:sz w:val="21"/>
        </w:rPr>
        <w:t> </w:t>
      </w:r>
      <w:hyperlink w:history="true" w:anchor="_bookmark148">
        <w:r>
          <w:rPr>
            <w:sz w:val="21"/>
            <w:vertAlign w:val="superscript"/>
          </w:rPr>
          <w:t>47</w:t>
        </w:r>
      </w:hyperlink>
      <w:r>
        <w:rPr>
          <w:spacing w:val="-6"/>
          <w:sz w:val="21"/>
          <w:vertAlign w:val="baseline"/>
        </w:rPr>
        <w:t> </w:t>
      </w:r>
      <w:r>
        <w:rPr>
          <w:sz w:val="21"/>
          <w:vertAlign w:val="baseline"/>
        </w:rPr>
        <w:t>One</w:t>
      </w:r>
      <w:r>
        <w:rPr>
          <w:spacing w:val="-6"/>
          <w:sz w:val="21"/>
          <w:vertAlign w:val="baseline"/>
        </w:rPr>
        <w:t> </w:t>
      </w:r>
      <w:r>
        <w:rPr>
          <w:sz w:val="21"/>
          <w:vertAlign w:val="baseline"/>
        </w:rPr>
        <w:t>recent study reviewed over six thousand studies from 2000 to 2019 and found that only nine evaluated treatment for substance use, mental illness, or victimization among LGBTQ youth. Even then, most studies were small and focused</w:t>
      </w:r>
      <w:r>
        <w:rPr>
          <w:spacing w:val="-1"/>
          <w:sz w:val="21"/>
          <w:vertAlign w:val="baseline"/>
        </w:rPr>
        <w:t> </w:t>
      </w:r>
      <w:r>
        <w:rPr>
          <w:sz w:val="21"/>
          <w:vertAlign w:val="baseline"/>
        </w:rPr>
        <w:t>on</w:t>
      </w:r>
      <w:r>
        <w:rPr>
          <w:spacing w:val="-1"/>
          <w:sz w:val="21"/>
          <w:vertAlign w:val="baseline"/>
        </w:rPr>
        <w:t> </w:t>
      </w:r>
      <w:r>
        <w:rPr>
          <w:sz w:val="21"/>
          <w:vertAlign w:val="baseline"/>
        </w:rPr>
        <w:t>individual</w:t>
      </w:r>
      <w:r>
        <w:rPr>
          <w:spacing w:val="-1"/>
          <w:sz w:val="21"/>
          <w:vertAlign w:val="baseline"/>
        </w:rPr>
        <w:t> </w:t>
      </w:r>
      <w:r>
        <w:rPr>
          <w:sz w:val="21"/>
          <w:vertAlign w:val="baseline"/>
        </w:rPr>
        <w:t>therapy</w:t>
      </w:r>
      <w:hyperlink w:history="true" w:anchor="_bookmark149">
        <w:r>
          <w:rPr>
            <w:sz w:val="21"/>
            <w:vertAlign w:val="baseline"/>
          </w:rPr>
          <w:t>;</w:t>
        </w:r>
        <w:r>
          <w:rPr>
            <w:sz w:val="21"/>
            <w:vertAlign w:val="superscript"/>
          </w:rPr>
          <w:t>48</w:t>
        </w:r>
      </w:hyperlink>
      <w:r>
        <w:rPr>
          <w:spacing w:val="-1"/>
          <w:sz w:val="21"/>
          <w:vertAlign w:val="baseline"/>
        </w:rPr>
        <w:t> </w:t>
      </w:r>
      <w:r>
        <w:rPr>
          <w:sz w:val="21"/>
          <w:vertAlign w:val="baseline"/>
        </w:rPr>
        <w:t>investment in research</w:t>
      </w:r>
      <w:r>
        <w:rPr>
          <w:spacing w:val="-1"/>
          <w:sz w:val="21"/>
          <w:vertAlign w:val="baseline"/>
        </w:rPr>
        <w:t> </w:t>
      </w:r>
      <w:r>
        <w:rPr>
          <w:sz w:val="21"/>
          <w:vertAlign w:val="baseline"/>
        </w:rPr>
        <w:t>about specific</w:t>
      </w:r>
      <w:r>
        <w:rPr>
          <w:spacing w:val="-1"/>
          <w:sz w:val="21"/>
          <w:vertAlign w:val="baseline"/>
        </w:rPr>
        <w:t> </w:t>
      </w:r>
      <w:r>
        <w:rPr>
          <w:sz w:val="21"/>
          <w:vertAlign w:val="baseline"/>
        </w:rPr>
        <w:t>treatment</w:t>
      </w:r>
      <w:r>
        <w:rPr>
          <w:spacing w:val="-1"/>
          <w:sz w:val="21"/>
          <w:vertAlign w:val="baseline"/>
        </w:rPr>
        <w:t> </w:t>
      </w:r>
      <w:r>
        <w:rPr>
          <w:sz w:val="21"/>
          <w:vertAlign w:val="baseline"/>
        </w:rPr>
        <w:t>approaches</w:t>
      </w:r>
      <w:r>
        <w:rPr>
          <w:spacing w:val="-1"/>
          <w:sz w:val="21"/>
          <w:vertAlign w:val="baseline"/>
        </w:rPr>
        <w:t> </w:t>
      </w:r>
      <w:r>
        <w:rPr>
          <w:sz w:val="21"/>
          <w:vertAlign w:val="baseline"/>
        </w:rPr>
        <w:t>for LGBTQ youth, especially</w:t>
      </w:r>
      <w:r>
        <w:rPr>
          <w:spacing w:val="-12"/>
          <w:sz w:val="21"/>
          <w:vertAlign w:val="baseline"/>
        </w:rPr>
        <w:t> </w:t>
      </w:r>
      <w:r>
        <w:rPr>
          <w:sz w:val="21"/>
          <w:vertAlign w:val="baseline"/>
        </w:rPr>
        <w:t>those</w:t>
      </w:r>
      <w:r>
        <w:rPr>
          <w:spacing w:val="-11"/>
          <w:sz w:val="21"/>
          <w:vertAlign w:val="baseline"/>
        </w:rPr>
        <w:t> </w:t>
      </w:r>
      <w:r>
        <w:rPr>
          <w:sz w:val="21"/>
          <w:vertAlign w:val="baseline"/>
        </w:rPr>
        <w:t>who</w:t>
      </w:r>
      <w:r>
        <w:rPr>
          <w:spacing w:val="-12"/>
          <w:sz w:val="21"/>
          <w:vertAlign w:val="baseline"/>
        </w:rPr>
        <w:t> </w:t>
      </w:r>
      <w:r>
        <w:rPr>
          <w:sz w:val="21"/>
          <w:vertAlign w:val="baseline"/>
        </w:rPr>
        <w:t>are</w:t>
      </w:r>
      <w:r>
        <w:rPr>
          <w:spacing w:val="-11"/>
          <w:sz w:val="21"/>
          <w:vertAlign w:val="baseline"/>
        </w:rPr>
        <w:t> </w:t>
      </w:r>
      <w:r>
        <w:rPr>
          <w:sz w:val="21"/>
          <w:vertAlign w:val="baseline"/>
        </w:rPr>
        <w:t>multiply-marginalized</w:t>
      </w:r>
      <w:r>
        <w:rPr>
          <w:spacing w:val="-11"/>
          <w:sz w:val="21"/>
          <w:vertAlign w:val="baseline"/>
        </w:rPr>
        <w:t> </w:t>
      </w:r>
      <w:r>
        <w:rPr>
          <w:sz w:val="21"/>
          <w:vertAlign w:val="baseline"/>
        </w:rPr>
        <w:t>and</w:t>
      </w:r>
      <w:r>
        <w:rPr>
          <w:spacing w:val="-11"/>
          <w:sz w:val="21"/>
          <w:vertAlign w:val="baseline"/>
        </w:rPr>
        <w:t> </w:t>
      </w:r>
      <w:r>
        <w:rPr>
          <w:sz w:val="21"/>
          <w:vertAlign w:val="baseline"/>
        </w:rPr>
        <w:t>underrepresented</w:t>
      </w:r>
      <w:r>
        <w:rPr>
          <w:spacing w:val="-11"/>
          <w:sz w:val="21"/>
          <w:vertAlign w:val="baseline"/>
        </w:rPr>
        <w:t> </w:t>
      </w:r>
      <w:r>
        <w:rPr>
          <w:sz w:val="21"/>
          <w:vertAlign w:val="baseline"/>
        </w:rPr>
        <w:t>in</w:t>
      </w:r>
      <w:r>
        <w:rPr>
          <w:spacing w:val="-11"/>
          <w:sz w:val="21"/>
          <w:vertAlign w:val="baseline"/>
        </w:rPr>
        <w:t> </w:t>
      </w:r>
      <w:r>
        <w:rPr>
          <w:sz w:val="21"/>
          <w:vertAlign w:val="baseline"/>
        </w:rPr>
        <w:t>the</w:t>
      </w:r>
      <w:r>
        <w:rPr>
          <w:spacing w:val="-11"/>
          <w:sz w:val="21"/>
          <w:vertAlign w:val="baseline"/>
        </w:rPr>
        <w:t> </w:t>
      </w:r>
      <w:r>
        <w:rPr>
          <w:sz w:val="21"/>
          <w:vertAlign w:val="baseline"/>
        </w:rPr>
        <w:t>mental</w:t>
      </w:r>
      <w:r>
        <w:rPr>
          <w:spacing w:val="-12"/>
          <w:sz w:val="21"/>
          <w:vertAlign w:val="baseline"/>
        </w:rPr>
        <w:t> </w:t>
      </w:r>
      <w:r>
        <w:rPr>
          <w:sz w:val="21"/>
          <w:vertAlign w:val="baseline"/>
        </w:rPr>
        <w:t>healthcare</w:t>
      </w:r>
      <w:r>
        <w:rPr>
          <w:spacing w:val="-11"/>
          <w:sz w:val="21"/>
          <w:vertAlign w:val="baseline"/>
        </w:rPr>
        <w:t> </w:t>
      </w:r>
      <w:r>
        <w:rPr>
          <w:sz w:val="21"/>
          <w:vertAlign w:val="baseline"/>
        </w:rPr>
        <w:t>field,</w:t>
      </w:r>
      <w:r>
        <w:rPr>
          <w:spacing w:val="-11"/>
          <w:sz w:val="21"/>
          <w:vertAlign w:val="baseline"/>
        </w:rPr>
        <w:t> </w:t>
      </w:r>
      <w:r>
        <w:rPr>
          <w:sz w:val="21"/>
          <w:vertAlign w:val="baseline"/>
        </w:rPr>
        <w:t>is</w:t>
      </w:r>
      <w:r>
        <w:rPr>
          <w:spacing w:val="-12"/>
          <w:sz w:val="21"/>
          <w:vertAlign w:val="baseline"/>
        </w:rPr>
        <w:t> </w:t>
      </w:r>
      <w:r>
        <w:rPr>
          <w:sz w:val="21"/>
          <w:vertAlign w:val="baseline"/>
        </w:rPr>
        <w:t>essential to understanding LGBTQ youth needs.</w:t>
      </w:r>
    </w:p>
    <w:p>
      <w:pPr>
        <w:spacing w:line="276" w:lineRule="auto" w:before="241"/>
        <w:ind w:left="3943" w:right="240" w:firstLine="0"/>
        <w:jc w:val="both"/>
        <w:rPr>
          <w:sz w:val="21"/>
        </w:rPr>
      </w:pPr>
      <w:r>
        <w:rPr/>
        <w:drawing>
          <wp:anchor distT="0" distB="0" distL="0" distR="0" allowOverlap="1" layoutInCell="1" locked="0" behindDoc="0" simplePos="0" relativeHeight="15762432">
            <wp:simplePos x="0" y="0"/>
            <wp:positionH relativeFrom="page">
              <wp:posOffset>825500</wp:posOffset>
            </wp:positionH>
            <wp:positionV relativeFrom="paragraph">
              <wp:posOffset>157012</wp:posOffset>
            </wp:positionV>
            <wp:extent cx="2203449" cy="1764587"/>
            <wp:effectExtent l="0" t="0" r="0" b="0"/>
            <wp:wrapNone/>
            <wp:docPr id="233" name="Image 233" descr="A blue and white text  Description automatically generated "/>
            <wp:cNvGraphicFramePr>
              <a:graphicFrameLocks/>
            </wp:cNvGraphicFramePr>
            <a:graphic>
              <a:graphicData uri="http://schemas.openxmlformats.org/drawingml/2006/picture">
                <pic:pic>
                  <pic:nvPicPr>
                    <pic:cNvPr id="233" name="Image 233" descr="A blue and white text  Description automatically generated "/>
                    <pic:cNvPicPr/>
                  </pic:nvPicPr>
                  <pic:blipFill>
                    <a:blip r:embed="rId181" cstate="print"/>
                    <a:stretch>
                      <a:fillRect/>
                    </a:stretch>
                  </pic:blipFill>
                  <pic:spPr>
                    <a:xfrm>
                      <a:off x="0" y="0"/>
                      <a:ext cx="2203449" cy="1764587"/>
                    </a:xfrm>
                    <a:prstGeom prst="rect">
                      <a:avLst/>
                    </a:prstGeom>
                  </pic:spPr>
                </pic:pic>
              </a:graphicData>
            </a:graphic>
          </wp:anchor>
        </w:drawing>
      </w:r>
      <w:r>
        <w:rPr>
          <w:sz w:val="21"/>
        </w:rPr>
        <w:t>In general, mental healthcare providers (MHPs) who want to provide affirming</w:t>
      </w:r>
      <w:r>
        <w:rPr>
          <w:spacing w:val="-6"/>
          <w:sz w:val="21"/>
        </w:rPr>
        <w:t> </w:t>
      </w:r>
      <w:r>
        <w:rPr>
          <w:sz w:val="21"/>
        </w:rPr>
        <w:t>care</w:t>
      </w:r>
      <w:r>
        <w:rPr>
          <w:spacing w:val="-5"/>
          <w:sz w:val="21"/>
        </w:rPr>
        <w:t> </w:t>
      </w:r>
      <w:r>
        <w:rPr>
          <w:sz w:val="21"/>
        </w:rPr>
        <w:t>for</w:t>
      </w:r>
      <w:r>
        <w:rPr>
          <w:spacing w:val="-5"/>
          <w:sz w:val="21"/>
        </w:rPr>
        <w:t> </w:t>
      </w:r>
      <w:r>
        <w:rPr>
          <w:sz w:val="21"/>
        </w:rPr>
        <w:t>LGBTQ</w:t>
      </w:r>
      <w:r>
        <w:rPr>
          <w:spacing w:val="-5"/>
          <w:sz w:val="21"/>
        </w:rPr>
        <w:t> </w:t>
      </w:r>
      <w:r>
        <w:rPr>
          <w:sz w:val="21"/>
        </w:rPr>
        <w:t>youth</w:t>
      </w:r>
      <w:r>
        <w:rPr>
          <w:spacing w:val="-5"/>
          <w:sz w:val="21"/>
        </w:rPr>
        <w:t> </w:t>
      </w:r>
      <w:r>
        <w:rPr>
          <w:sz w:val="21"/>
        </w:rPr>
        <w:t>can</w:t>
      </w:r>
      <w:r>
        <w:rPr>
          <w:spacing w:val="-6"/>
          <w:sz w:val="21"/>
        </w:rPr>
        <w:t> </w:t>
      </w:r>
      <w:r>
        <w:rPr>
          <w:sz w:val="21"/>
        </w:rPr>
        <w:t>adopt</w:t>
      </w:r>
      <w:r>
        <w:rPr>
          <w:spacing w:val="-6"/>
          <w:sz w:val="21"/>
        </w:rPr>
        <w:t> </w:t>
      </w:r>
      <w:r>
        <w:rPr>
          <w:sz w:val="21"/>
        </w:rPr>
        <w:t>the</w:t>
      </w:r>
      <w:r>
        <w:rPr>
          <w:spacing w:val="-5"/>
          <w:sz w:val="21"/>
        </w:rPr>
        <w:t> </w:t>
      </w:r>
      <w:r>
        <w:rPr>
          <w:sz w:val="21"/>
        </w:rPr>
        <w:t>following</w:t>
      </w:r>
      <w:r>
        <w:rPr>
          <w:spacing w:val="-6"/>
          <w:sz w:val="21"/>
        </w:rPr>
        <w:t> </w:t>
      </w:r>
      <w:r>
        <w:rPr>
          <w:sz w:val="21"/>
        </w:rPr>
        <w:t>best</w:t>
      </w:r>
      <w:r>
        <w:rPr>
          <w:spacing w:val="-5"/>
          <w:sz w:val="21"/>
        </w:rPr>
        <w:t> </w:t>
      </w:r>
      <w:r>
        <w:rPr>
          <w:sz w:val="21"/>
        </w:rPr>
        <w:t>practices. First, MHPs should recognize that the personal is political: minority stress is intersectional, comes from many angles, and leaves many marks. Growing up in an LGBTQ-phobic world can cause complex (prolonged or repetitive) trauma, including shame, betrayal, or abandonment. By asking about the various impacts of minority stress on</w:t>
      </w:r>
      <w:r>
        <w:rPr>
          <w:spacing w:val="-12"/>
          <w:sz w:val="21"/>
        </w:rPr>
        <w:t> </w:t>
      </w:r>
      <w:r>
        <w:rPr>
          <w:sz w:val="21"/>
        </w:rPr>
        <w:t>youths’</w:t>
      </w:r>
      <w:r>
        <w:rPr>
          <w:spacing w:val="-12"/>
          <w:sz w:val="21"/>
        </w:rPr>
        <w:t> </w:t>
      </w:r>
      <w:r>
        <w:rPr>
          <w:sz w:val="21"/>
        </w:rPr>
        <w:t>lives,</w:t>
      </w:r>
      <w:r>
        <w:rPr>
          <w:spacing w:val="-12"/>
          <w:sz w:val="21"/>
        </w:rPr>
        <w:t> </w:t>
      </w:r>
      <w:r>
        <w:rPr>
          <w:sz w:val="21"/>
        </w:rPr>
        <w:t>such</w:t>
      </w:r>
      <w:r>
        <w:rPr>
          <w:spacing w:val="-12"/>
          <w:sz w:val="21"/>
        </w:rPr>
        <w:t> </w:t>
      </w:r>
      <w:r>
        <w:rPr>
          <w:sz w:val="21"/>
        </w:rPr>
        <w:t>as</w:t>
      </w:r>
      <w:r>
        <w:rPr>
          <w:spacing w:val="-12"/>
          <w:sz w:val="21"/>
        </w:rPr>
        <w:t> </w:t>
      </w:r>
      <w:r>
        <w:rPr>
          <w:sz w:val="21"/>
        </w:rPr>
        <w:t>hearing</w:t>
      </w:r>
      <w:r>
        <w:rPr>
          <w:spacing w:val="-12"/>
          <w:sz w:val="21"/>
        </w:rPr>
        <w:t> </w:t>
      </w:r>
      <w:r>
        <w:rPr>
          <w:sz w:val="21"/>
        </w:rPr>
        <w:t>political</w:t>
      </w:r>
      <w:r>
        <w:rPr>
          <w:spacing w:val="-12"/>
          <w:sz w:val="21"/>
        </w:rPr>
        <w:t> </w:t>
      </w:r>
      <w:r>
        <w:rPr>
          <w:sz w:val="21"/>
        </w:rPr>
        <w:t>candidates</w:t>
      </w:r>
      <w:r>
        <w:rPr>
          <w:spacing w:val="-11"/>
          <w:sz w:val="21"/>
        </w:rPr>
        <w:t> </w:t>
      </w:r>
      <w:r>
        <w:rPr>
          <w:sz w:val="21"/>
        </w:rPr>
        <w:t>debate</w:t>
      </w:r>
      <w:r>
        <w:rPr>
          <w:spacing w:val="-12"/>
          <w:sz w:val="21"/>
        </w:rPr>
        <w:t> </w:t>
      </w:r>
      <w:r>
        <w:rPr>
          <w:sz w:val="21"/>
        </w:rPr>
        <w:t>the</w:t>
      </w:r>
      <w:r>
        <w:rPr>
          <w:spacing w:val="-12"/>
          <w:sz w:val="21"/>
        </w:rPr>
        <w:t> </w:t>
      </w:r>
      <w:r>
        <w:rPr>
          <w:sz w:val="21"/>
        </w:rPr>
        <w:t>validity of youths’ identities, MHPs can help youth connect their personal experiences</w:t>
      </w:r>
      <w:r>
        <w:rPr>
          <w:spacing w:val="27"/>
          <w:sz w:val="21"/>
        </w:rPr>
        <w:t> </w:t>
      </w:r>
      <w:r>
        <w:rPr>
          <w:sz w:val="21"/>
        </w:rPr>
        <w:t>to</w:t>
      </w:r>
      <w:r>
        <w:rPr>
          <w:spacing w:val="30"/>
          <w:sz w:val="21"/>
        </w:rPr>
        <w:t> </w:t>
      </w:r>
      <w:r>
        <w:rPr>
          <w:sz w:val="21"/>
        </w:rPr>
        <w:t>wider</w:t>
      </w:r>
      <w:r>
        <w:rPr>
          <w:spacing w:val="30"/>
          <w:sz w:val="21"/>
        </w:rPr>
        <w:t> </w:t>
      </w:r>
      <w:r>
        <w:rPr>
          <w:sz w:val="21"/>
        </w:rPr>
        <w:t>social</w:t>
      </w:r>
      <w:r>
        <w:rPr>
          <w:spacing w:val="30"/>
          <w:sz w:val="21"/>
        </w:rPr>
        <w:t> </w:t>
      </w:r>
      <w:r>
        <w:rPr>
          <w:sz w:val="21"/>
        </w:rPr>
        <w:t>conditions,</w:t>
      </w:r>
      <w:r>
        <w:rPr>
          <w:spacing w:val="30"/>
          <w:sz w:val="21"/>
        </w:rPr>
        <w:t> </w:t>
      </w:r>
      <w:r>
        <w:rPr>
          <w:sz w:val="21"/>
        </w:rPr>
        <w:t>unlearn</w:t>
      </w:r>
      <w:r>
        <w:rPr>
          <w:spacing w:val="30"/>
          <w:sz w:val="21"/>
        </w:rPr>
        <w:t> </w:t>
      </w:r>
      <w:r>
        <w:rPr>
          <w:sz w:val="21"/>
        </w:rPr>
        <w:t>internalized</w:t>
      </w:r>
      <w:r>
        <w:rPr>
          <w:spacing w:val="30"/>
          <w:sz w:val="21"/>
        </w:rPr>
        <w:t> </w:t>
      </w:r>
      <w:r>
        <w:rPr>
          <w:spacing w:val="-2"/>
          <w:sz w:val="21"/>
        </w:rPr>
        <w:t>LGBTQ-</w:t>
      </w:r>
    </w:p>
    <w:p>
      <w:pPr>
        <w:spacing w:line="276" w:lineRule="auto" w:before="1"/>
        <w:ind w:left="463" w:right="240" w:firstLine="0"/>
        <w:jc w:val="both"/>
        <w:rPr>
          <w:sz w:val="21"/>
        </w:rPr>
      </w:pPr>
      <w:r>
        <w:rPr>
          <w:sz w:val="21"/>
        </w:rPr>
        <w:t>phobia, and develop positive identity. For more on this topic, see SAMHSA’s six principles of LGBTQ trauma- informed care and McCormick, Scheyd, &amp; Terrazas’ considerations for trauma- informed care with LGBTQ </w:t>
      </w:r>
      <w:r>
        <w:rPr>
          <w:spacing w:val="-2"/>
          <w:sz w:val="21"/>
        </w:rPr>
        <w:t>youth</w:t>
      </w:r>
      <w:hyperlink w:history="true" w:anchor="_bookmark150">
        <w:r>
          <w:rPr>
            <w:spacing w:val="-2"/>
            <w:sz w:val="21"/>
          </w:rPr>
          <w:t>.</w:t>
        </w:r>
        <w:r>
          <w:rPr>
            <w:spacing w:val="-2"/>
            <w:sz w:val="21"/>
            <w:vertAlign w:val="superscript"/>
          </w:rPr>
          <w:t>49</w:t>
        </w:r>
      </w:hyperlink>
    </w:p>
    <w:p>
      <w:pPr>
        <w:spacing w:line="276" w:lineRule="auto" w:before="239"/>
        <w:ind w:left="463" w:right="240" w:firstLine="0"/>
        <w:jc w:val="both"/>
        <w:rPr>
          <w:sz w:val="21"/>
        </w:rPr>
      </w:pPr>
      <w:r>
        <w:rPr>
          <w:sz w:val="21"/>
        </w:rPr>
        <w:t>Second, MHPs should adapt their services to be accessible and relevant to youth. For instance, many LGBTQ youth are active Internet users, more so during the age of COVID. Online services are more convenient, safe, and familiar for some youth, especially those who have privacy concerns, lack transportation, or live in rural areas.</w:t>
      </w:r>
      <w:r>
        <w:rPr>
          <w:spacing w:val="-8"/>
          <w:sz w:val="21"/>
        </w:rPr>
        <w:t> </w:t>
      </w:r>
      <w:r>
        <w:rPr>
          <w:sz w:val="21"/>
        </w:rPr>
        <w:t>Groups</w:t>
      </w:r>
      <w:r>
        <w:rPr>
          <w:spacing w:val="-8"/>
          <w:sz w:val="21"/>
        </w:rPr>
        <w:t> </w:t>
      </w:r>
      <w:r>
        <w:rPr>
          <w:sz w:val="21"/>
        </w:rPr>
        <w:t>can</w:t>
      </w:r>
      <w:r>
        <w:rPr>
          <w:spacing w:val="-8"/>
          <w:sz w:val="21"/>
        </w:rPr>
        <w:t> </w:t>
      </w:r>
      <w:r>
        <w:rPr>
          <w:sz w:val="21"/>
        </w:rPr>
        <w:t>also</w:t>
      </w:r>
      <w:r>
        <w:rPr>
          <w:spacing w:val="-8"/>
          <w:sz w:val="21"/>
        </w:rPr>
        <w:t> </w:t>
      </w:r>
      <w:r>
        <w:rPr>
          <w:sz w:val="21"/>
        </w:rPr>
        <w:t>be</w:t>
      </w:r>
      <w:r>
        <w:rPr>
          <w:spacing w:val="-8"/>
          <w:sz w:val="21"/>
        </w:rPr>
        <w:t> </w:t>
      </w:r>
      <w:r>
        <w:rPr>
          <w:sz w:val="21"/>
        </w:rPr>
        <w:t>uniquely</w:t>
      </w:r>
      <w:r>
        <w:rPr>
          <w:spacing w:val="-8"/>
          <w:sz w:val="21"/>
        </w:rPr>
        <w:t> </w:t>
      </w:r>
      <w:r>
        <w:rPr>
          <w:sz w:val="21"/>
        </w:rPr>
        <w:t>healing</w:t>
      </w:r>
      <w:r>
        <w:rPr>
          <w:spacing w:val="-8"/>
          <w:sz w:val="21"/>
        </w:rPr>
        <w:t> </w:t>
      </w:r>
      <w:r>
        <w:rPr>
          <w:sz w:val="21"/>
        </w:rPr>
        <w:t>for</w:t>
      </w:r>
      <w:r>
        <w:rPr>
          <w:spacing w:val="-8"/>
          <w:sz w:val="21"/>
        </w:rPr>
        <w:t> </w:t>
      </w:r>
      <w:r>
        <w:rPr>
          <w:sz w:val="21"/>
        </w:rPr>
        <w:t>youth</w:t>
      </w:r>
      <w:r>
        <w:rPr>
          <w:spacing w:val="-8"/>
          <w:sz w:val="21"/>
        </w:rPr>
        <w:t> </w:t>
      </w:r>
      <w:r>
        <w:rPr>
          <w:sz w:val="21"/>
        </w:rPr>
        <w:t>–</w:t>
      </w:r>
      <w:r>
        <w:rPr>
          <w:spacing w:val="-9"/>
          <w:sz w:val="21"/>
        </w:rPr>
        <w:t> </w:t>
      </w:r>
      <w:r>
        <w:rPr>
          <w:sz w:val="21"/>
        </w:rPr>
        <w:t>particularly</w:t>
      </w:r>
      <w:r>
        <w:rPr>
          <w:spacing w:val="-8"/>
          <w:sz w:val="21"/>
        </w:rPr>
        <w:t> </w:t>
      </w:r>
      <w:r>
        <w:rPr>
          <w:sz w:val="21"/>
        </w:rPr>
        <w:t>those</w:t>
      </w:r>
      <w:r>
        <w:rPr>
          <w:spacing w:val="-8"/>
          <w:sz w:val="21"/>
        </w:rPr>
        <w:t> </w:t>
      </w:r>
      <w:r>
        <w:rPr>
          <w:sz w:val="21"/>
        </w:rPr>
        <w:t>who</w:t>
      </w:r>
      <w:r>
        <w:rPr>
          <w:spacing w:val="-8"/>
          <w:sz w:val="21"/>
        </w:rPr>
        <w:t> </w:t>
      </w:r>
      <w:r>
        <w:rPr>
          <w:sz w:val="21"/>
        </w:rPr>
        <w:t>do</w:t>
      </w:r>
      <w:r>
        <w:rPr>
          <w:spacing w:val="-8"/>
          <w:sz w:val="21"/>
        </w:rPr>
        <w:t> </w:t>
      </w:r>
      <w:r>
        <w:rPr>
          <w:sz w:val="21"/>
        </w:rPr>
        <w:t>not</w:t>
      </w:r>
      <w:r>
        <w:rPr>
          <w:spacing w:val="-10"/>
          <w:sz w:val="21"/>
        </w:rPr>
        <w:t> </w:t>
      </w:r>
      <w:r>
        <w:rPr>
          <w:sz w:val="21"/>
        </w:rPr>
        <w:t>have</w:t>
      </w:r>
      <w:r>
        <w:rPr>
          <w:spacing w:val="-8"/>
          <w:sz w:val="21"/>
        </w:rPr>
        <w:t> </w:t>
      </w:r>
      <w:r>
        <w:rPr>
          <w:sz w:val="21"/>
        </w:rPr>
        <w:t>many</w:t>
      </w:r>
      <w:r>
        <w:rPr>
          <w:spacing w:val="-9"/>
          <w:sz w:val="21"/>
        </w:rPr>
        <w:t> </w:t>
      </w:r>
      <w:r>
        <w:rPr>
          <w:sz w:val="21"/>
        </w:rPr>
        <w:t>safe,</w:t>
      </w:r>
      <w:r>
        <w:rPr>
          <w:spacing w:val="-8"/>
          <w:sz w:val="21"/>
        </w:rPr>
        <w:t> </w:t>
      </w:r>
      <w:r>
        <w:rPr>
          <w:sz w:val="21"/>
        </w:rPr>
        <w:t>supportive relationships or have limited contact with others like them.</w:t>
      </w:r>
    </w:p>
    <w:p>
      <w:pPr>
        <w:spacing w:line="276" w:lineRule="auto" w:before="240"/>
        <w:ind w:left="463" w:right="240" w:firstLine="0"/>
        <w:jc w:val="both"/>
        <w:rPr>
          <w:sz w:val="21"/>
        </w:rPr>
      </w:pPr>
      <w:r>
        <w:rPr>
          <w:sz w:val="21"/>
        </w:rPr>
        <w:t>Finally, research recommends that MHPs see LGBTQ youth mental health in terms of holistic emotional well- being, including social networks, community connections, and personal meaning in life</w:t>
      </w:r>
      <w:hyperlink w:history="true" w:anchor="_bookmark151">
        <w:r>
          <w:rPr>
            <w:sz w:val="21"/>
          </w:rPr>
          <w:t>.</w:t>
        </w:r>
        <w:r>
          <w:rPr>
            <w:sz w:val="21"/>
            <w:vertAlign w:val="superscript"/>
          </w:rPr>
          <w:t>50</w:t>
        </w:r>
      </w:hyperlink>
      <w:r>
        <w:rPr>
          <w:sz w:val="21"/>
          <w:vertAlign w:val="baseline"/>
        </w:rPr>
        <w:t> Thus, MHPs should pay extra attention to LGBTQ youths’ relationships, including peers, supportive adults, families, communities, and advocacy/affinity-based groups. Community-building and creativity-based approaches align very well with Western LGBTQ cultures and should be considered as well.</w:t>
      </w:r>
    </w:p>
    <w:p>
      <w:pPr>
        <w:spacing w:line="276" w:lineRule="auto" w:before="239"/>
        <w:ind w:left="463" w:right="241" w:hanging="1"/>
        <w:jc w:val="both"/>
        <w:rPr>
          <w:sz w:val="21"/>
        </w:rPr>
      </w:pPr>
      <w:r>
        <w:rPr>
          <w:sz w:val="21"/>
        </w:rPr>
        <w:t>The few current evidence-based modalities</w:t>
      </w:r>
      <w:r>
        <w:rPr>
          <w:spacing w:val="-1"/>
          <w:sz w:val="21"/>
        </w:rPr>
        <w:t> </w:t>
      </w:r>
      <w:r>
        <w:rPr>
          <w:sz w:val="21"/>
        </w:rPr>
        <w:t>for LGBTQ</w:t>
      </w:r>
      <w:r>
        <w:rPr>
          <w:spacing w:val="-1"/>
          <w:sz w:val="21"/>
        </w:rPr>
        <w:t> </w:t>
      </w:r>
      <w:r>
        <w:rPr>
          <w:sz w:val="21"/>
        </w:rPr>
        <w:t>youth are</w:t>
      </w:r>
      <w:r>
        <w:rPr>
          <w:spacing w:val="-2"/>
          <w:sz w:val="21"/>
        </w:rPr>
        <w:t> </w:t>
      </w:r>
      <w:r>
        <w:rPr>
          <w:sz w:val="21"/>
        </w:rPr>
        <w:t>adapted from</w:t>
      </w:r>
      <w:r>
        <w:rPr>
          <w:spacing w:val="-1"/>
          <w:sz w:val="21"/>
        </w:rPr>
        <w:t> </w:t>
      </w:r>
      <w:r>
        <w:rPr>
          <w:sz w:val="21"/>
        </w:rPr>
        <w:t>mainstream traditional models. CBT</w:t>
      </w:r>
      <w:r>
        <w:rPr>
          <w:spacing w:val="-12"/>
          <w:sz w:val="21"/>
        </w:rPr>
        <w:t> </w:t>
      </w:r>
      <w:r>
        <w:rPr>
          <w:sz w:val="21"/>
        </w:rPr>
        <w:t>is</w:t>
      </w:r>
      <w:r>
        <w:rPr>
          <w:spacing w:val="-12"/>
          <w:sz w:val="21"/>
        </w:rPr>
        <w:t> </w:t>
      </w:r>
      <w:r>
        <w:rPr>
          <w:sz w:val="21"/>
        </w:rPr>
        <w:t>the</w:t>
      </w:r>
      <w:r>
        <w:rPr>
          <w:spacing w:val="-12"/>
          <w:sz w:val="21"/>
        </w:rPr>
        <w:t> </w:t>
      </w:r>
      <w:r>
        <w:rPr>
          <w:sz w:val="21"/>
        </w:rPr>
        <w:t>most-studied</w:t>
      </w:r>
      <w:r>
        <w:rPr>
          <w:spacing w:val="-12"/>
          <w:sz w:val="21"/>
        </w:rPr>
        <w:t> </w:t>
      </w:r>
      <w:r>
        <w:rPr>
          <w:sz w:val="21"/>
        </w:rPr>
        <w:t>modality</w:t>
      </w:r>
      <w:r>
        <w:rPr>
          <w:spacing w:val="-12"/>
          <w:sz w:val="21"/>
        </w:rPr>
        <w:t> </w:t>
      </w:r>
      <w:r>
        <w:rPr>
          <w:sz w:val="21"/>
        </w:rPr>
        <w:t>for</w:t>
      </w:r>
      <w:r>
        <w:rPr>
          <w:spacing w:val="-12"/>
          <w:sz w:val="21"/>
        </w:rPr>
        <w:t> </w:t>
      </w:r>
      <w:r>
        <w:rPr>
          <w:sz w:val="21"/>
        </w:rPr>
        <w:t>LGBTQ</w:t>
      </w:r>
      <w:r>
        <w:rPr>
          <w:spacing w:val="-12"/>
          <w:sz w:val="21"/>
        </w:rPr>
        <w:t> </w:t>
      </w:r>
      <w:r>
        <w:rPr>
          <w:sz w:val="21"/>
        </w:rPr>
        <w:t>youth,</w:t>
      </w:r>
      <w:r>
        <w:rPr>
          <w:spacing w:val="-12"/>
          <w:sz w:val="21"/>
        </w:rPr>
        <w:t> </w:t>
      </w:r>
      <w:r>
        <w:rPr>
          <w:sz w:val="21"/>
        </w:rPr>
        <w:t>likely</w:t>
      </w:r>
      <w:r>
        <w:rPr>
          <w:spacing w:val="-11"/>
          <w:sz w:val="21"/>
        </w:rPr>
        <w:t> </w:t>
      </w:r>
      <w:r>
        <w:rPr>
          <w:sz w:val="21"/>
        </w:rPr>
        <w:t>since</w:t>
      </w:r>
      <w:r>
        <w:rPr>
          <w:spacing w:val="-12"/>
          <w:sz w:val="21"/>
        </w:rPr>
        <w:t> </w:t>
      </w:r>
      <w:r>
        <w:rPr>
          <w:sz w:val="21"/>
        </w:rPr>
        <w:t>it</w:t>
      </w:r>
      <w:r>
        <w:rPr>
          <w:spacing w:val="-12"/>
          <w:sz w:val="21"/>
        </w:rPr>
        <w:t> </w:t>
      </w:r>
      <w:r>
        <w:rPr>
          <w:sz w:val="21"/>
        </w:rPr>
        <w:t>can</w:t>
      </w:r>
      <w:r>
        <w:rPr>
          <w:spacing w:val="-12"/>
          <w:sz w:val="21"/>
        </w:rPr>
        <w:t> </w:t>
      </w:r>
      <w:r>
        <w:rPr>
          <w:sz w:val="21"/>
        </w:rPr>
        <w:t>be</w:t>
      </w:r>
      <w:r>
        <w:rPr>
          <w:spacing w:val="-12"/>
          <w:sz w:val="21"/>
        </w:rPr>
        <w:t> </w:t>
      </w:r>
      <w:r>
        <w:rPr>
          <w:sz w:val="21"/>
        </w:rPr>
        <w:t>done</w:t>
      </w:r>
      <w:r>
        <w:rPr>
          <w:spacing w:val="-12"/>
          <w:sz w:val="21"/>
        </w:rPr>
        <w:t> </w:t>
      </w:r>
      <w:r>
        <w:rPr>
          <w:sz w:val="21"/>
        </w:rPr>
        <w:t>in</w:t>
      </w:r>
      <w:r>
        <w:rPr>
          <w:spacing w:val="-12"/>
          <w:sz w:val="21"/>
        </w:rPr>
        <w:t> </w:t>
      </w:r>
      <w:r>
        <w:rPr>
          <w:sz w:val="21"/>
        </w:rPr>
        <w:t>brief</w:t>
      </w:r>
      <w:r>
        <w:rPr>
          <w:spacing w:val="-12"/>
          <w:sz w:val="21"/>
        </w:rPr>
        <w:t> </w:t>
      </w:r>
      <w:r>
        <w:rPr>
          <w:sz w:val="21"/>
        </w:rPr>
        <w:t>individual</w:t>
      </w:r>
      <w:r>
        <w:rPr>
          <w:spacing w:val="-12"/>
          <w:sz w:val="21"/>
        </w:rPr>
        <w:t> </w:t>
      </w:r>
      <w:r>
        <w:rPr>
          <w:sz w:val="21"/>
        </w:rPr>
        <w:t>or</w:t>
      </w:r>
      <w:r>
        <w:rPr>
          <w:spacing w:val="-12"/>
          <w:sz w:val="21"/>
        </w:rPr>
        <w:t> </w:t>
      </w:r>
      <w:r>
        <w:rPr>
          <w:sz w:val="21"/>
        </w:rPr>
        <w:t>group</w:t>
      </w:r>
      <w:r>
        <w:rPr>
          <w:spacing w:val="-11"/>
          <w:sz w:val="21"/>
        </w:rPr>
        <w:t> </w:t>
      </w:r>
      <w:r>
        <w:rPr>
          <w:sz w:val="21"/>
        </w:rPr>
        <w:t>sessions.</w:t>
      </w:r>
    </w:p>
    <w:p>
      <w:pPr>
        <w:spacing w:line="276" w:lineRule="auto" w:before="1"/>
        <w:ind w:left="463" w:right="243" w:firstLine="0"/>
        <w:jc w:val="both"/>
        <w:rPr>
          <w:sz w:val="21"/>
        </w:rPr>
      </w:pPr>
      <w:hyperlink w:history="true" w:anchor="_bookmark151">
        <w:r>
          <w:rPr>
            <w:sz w:val="21"/>
            <w:vertAlign w:val="superscript"/>
          </w:rPr>
          <w:t>51</w:t>
        </w:r>
      </w:hyperlink>
      <w:r>
        <w:rPr>
          <w:sz w:val="21"/>
          <w:vertAlign w:val="baseline"/>
        </w:rPr>
        <w:t> Examples include Rainbow SPARX, a game-based psychoeducational platform that significantly reduced depression in LGBTQ youth ages 13 to 19</w:t>
      </w:r>
      <w:hyperlink w:history="true" w:anchor="_bookmark152">
        <w:r>
          <w:rPr>
            <w:sz w:val="21"/>
            <w:vertAlign w:val="baseline"/>
          </w:rPr>
          <w:t>,</w:t>
        </w:r>
        <w:r>
          <w:rPr>
            <w:sz w:val="21"/>
            <w:vertAlign w:val="superscript"/>
          </w:rPr>
          <w:t>52</w:t>
        </w:r>
      </w:hyperlink>
      <w:r>
        <w:rPr>
          <w:sz w:val="21"/>
          <w:vertAlign w:val="baseline"/>
        </w:rPr>
        <w:t> as well as AFFIRM, a new 8-session group CBT intervention that validates participants’ lived experiences, reduces depression and sexual and mental health risks, and improves coping and mood in LGBTQ youth</w:t>
      </w:r>
      <w:hyperlink w:history="true" w:anchor="_bookmark153">
        <w:r>
          <w:rPr>
            <w:sz w:val="21"/>
            <w:vertAlign w:val="baseline"/>
          </w:rPr>
          <w:t>.</w:t>
        </w:r>
        <w:r>
          <w:rPr>
            <w:sz w:val="21"/>
            <w:vertAlign w:val="superscript"/>
          </w:rPr>
          <w:t>53</w:t>
        </w:r>
      </w:hyperlink>
    </w:p>
    <w:p>
      <w:pPr>
        <w:spacing w:line="276" w:lineRule="auto" w:before="239"/>
        <w:ind w:left="463" w:right="241" w:hanging="1"/>
        <w:jc w:val="both"/>
        <w:rPr>
          <w:sz w:val="21"/>
        </w:rPr>
      </w:pPr>
      <w:r>
        <w:rPr>
          <w:sz w:val="21"/>
        </w:rPr>
        <w:t>Other interventions include LGBTQ-affirming mindfulness to help youth develop core mindfulness and self- compassion</w:t>
      </w:r>
      <w:r>
        <w:rPr>
          <w:spacing w:val="29"/>
          <w:sz w:val="21"/>
        </w:rPr>
        <w:t> </w:t>
      </w:r>
      <w:r>
        <w:rPr>
          <w:sz w:val="21"/>
        </w:rPr>
        <w:t>skills</w:t>
      </w:r>
      <w:r>
        <w:rPr>
          <w:spacing w:val="29"/>
          <w:sz w:val="21"/>
        </w:rPr>
        <w:t> </w:t>
      </w:r>
      <w:r>
        <w:rPr>
          <w:sz w:val="21"/>
        </w:rPr>
        <w:t>for</w:t>
      </w:r>
      <w:r>
        <w:rPr>
          <w:spacing w:val="29"/>
          <w:sz w:val="21"/>
        </w:rPr>
        <w:t> </w:t>
      </w:r>
      <w:r>
        <w:rPr>
          <w:sz w:val="21"/>
        </w:rPr>
        <w:t>stress</w:t>
      </w:r>
      <w:hyperlink w:history="true" w:anchor="_bookmark154">
        <w:r>
          <w:rPr>
            <w:sz w:val="21"/>
          </w:rPr>
          <w:t>,</w:t>
        </w:r>
        <w:r>
          <w:rPr>
            <w:sz w:val="21"/>
            <w:vertAlign w:val="superscript"/>
          </w:rPr>
          <w:t>54</w:t>
        </w:r>
      </w:hyperlink>
      <w:r>
        <w:rPr>
          <w:spacing w:val="29"/>
          <w:sz w:val="21"/>
          <w:vertAlign w:val="baseline"/>
        </w:rPr>
        <w:t> </w:t>
      </w:r>
      <w:r>
        <w:rPr>
          <w:sz w:val="21"/>
          <w:vertAlign w:val="baseline"/>
        </w:rPr>
        <w:t>as</w:t>
      </w:r>
      <w:r>
        <w:rPr>
          <w:spacing w:val="29"/>
          <w:sz w:val="21"/>
          <w:vertAlign w:val="baseline"/>
        </w:rPr>
        <w:t> </w:t>
      </w:r>
      <w:r>
        <w:rPr>
          <w:sz w:val="21"/>
          <w:vertAlign w:val="baseline"/>
        </w:rPr>
        <w:t>well</w:t>
      </w:r>
      <w:r>
        <w:rPr>
          <w:spacing w:val="29"/>
          <w:sz w:val="21"/>
          <w:vertAlign w:val="baseline"/>
        </w:rPr>
        <w:t> </w:t>
      </w:r>
      <w:r>
        <w:rPr>
          <w:sz w:val="21"/>
          <w:vertAlign w:val="baseline"/>
        </w:rPr>
        <w:t>as</w:t>
      </w:r>
      <w:r>
        <w:rPr>
          <w:spacing w:val="27"/>
          <w:sz w:val="21"/>
          <w:vertAlign w:val="baseline"/>
        </w:rPr>
        <w:t> </w:t>
      </w:r>
      <w:r>
        <w:rPr>
          <w:sz w:val="21"/>
          <w:vertAlign w:val="baseline"/>
        </w:rPr>
        <w:t>adaptations</w:t>
      </w:r>
      <w:r>
        <w:rPr>
          <w:spacing w:val="27"/>
          <w:sz w:val="21"/>
          <w:vertAlign w:val="baseline"/>
        </w:rPr>
        <w:t> </w:t>
      </w:r>
      <w:r>
        <w:rPr>
          <w:sz w:val="21"/>
          <w:vertAlign w:val="baseline"/>
        </w:rPr>
        <w:t>of</w:t>
      </w:r>
      <w:r>
        <w:rPr>
          <w:spacing w:val="29"/>
          <w:sz w:val="21"/>
          <w:vertAlign w:val="baseline"/>
        </w:rPr>
        <w:t> </w:t>
      </w:r>
      <w:r>
        <w:rPr>
          <w:sz w:val="21"/>
          <w:vertAlign w:val="baseline"/>
        </w:rPr>
        <w:t>Solution-Focused</w:t>
      </w:r>
      <w:r>
        <w:rPr>
          <w:spacing w:val="29"/>
          <w:sz w:val="21"/>
          <w:vertAlign w:val="baseline"/>
        </w:rPr>
        <w:t> </w:t>
      </w:r>
      <w:r>
        <w:rPr>
          <w:sz w:val="21"/>
          <w:vertAlign w:val="baseline"/>
        </w:rPr>
        <w:t>Brief</w:t>
      </w:r>
      <w:r>
        <w:rPr>
          <w:spacing w:val="28"/>
          <w:sz w:val="21"/>
          <w:vertAlign w:val="baseline"/>
        </w:rPr>
        <w:t> </w:t>
      </w:r>
      <w:r>
        <w:rPr>
          <w:sz w:val="21"/>
          <w:vertAlign w:val="baseline"/>
        </w:rPr>
        <w:t>Therapy</w:t>
      </w:r>
      <w:hyperlink w:history="true" w:anchor="_bookmark155">
        <w:r>
          <w:rPr>
            <w:sz w:val="21"/>
            <w:vertAlign w:val="baseline"/>
          </w:rPr>
          <w:t>,</w:t>
        </w:r>
        <w:r>
          <w:rPr>
            <w:sz w:val="21"/>
            <w:vertAlign w:val="superscript"/>
          </w:rPr>
          <w:t>55</w:t>
        </w:r>
      </w:hyperlink>
      <w:r>
        <w:rPr>
          <w:spacing w:val="29"/>
          <w:sz w:val="21"/>
          <w:vertAlign w:val="baseline"/>
        </w:rPr>
        <w:t> </w:t>
      </w:r>
      <w:r>
        <w:rPr>
          <w:sz w:val="21"/>
          <w:vertAlign w:val="baseline"/>
        </w:rPr>
        <w:t>Emotion-Focused</w:t>
      </w:r>
    </w:p>
    <w:p>
      <w:pPr>
        <w:spacing w:after="0" w:line="276" w:lineRule="auto"/>
        <w:jc w:val="both"/>
        <w:rPr>
          <w:sz w:val="21"/>
        </w:rPr>
        <w:sectPr>
          <w:pgSz w:w="12240" w:h="15840"/>
          <w:pgMar w:header="804" w:footer="1390" w:top="1080" w:bottom="1600" w:left="980" w:right="1080"/>
        </w:sectPr>
      </w:pPr>
    </w:p>
    <w:p>
      <w:pPr>
        <w:spacing w:line="276" w:lineRule="auto" w:before="69"/>
        <w:ind w:left="463" w:right="239" w:firstLine="0"/>
        <w:jc w:val="both"/>
        <w:rPr>
          <w:sz w:val="21"/>
        </w:rPr>
      </w:pPr>
      <w:r>
        <w:rPr>
          <w:sz w:val="21"/>
        </w:rPr>
        <w:t>Therapy</w:t>
      </w:r>
      <w:hyperlink w:history="true" w:anchor="_bookmark156">
        <w:r>
          <w:rPr>
            <w:sz w:val="21"/>
          </w:rPr>
          <w:t>,</w:t>
        </w:r>
        <w:r>
          <w:rPr>
            <w:sz w:val="21"/>
            <w:vertAlign w:val="superscript"/>
          </w:rPr>
          <w:t>56</w:t>
        </w:r>
      </w:hyperlink>
      <w:r>
        <w:rPr>
          <w:sz w:val="21"/>
          <w:vertAlign w:val="baseline"/>
        </w:rPr>
        <w:t> and Narrative Exposure Therapy with gender expansive youth or adults</w:t>
      </w:r>
      <w:hyperlink w:history="true" w:anchor="_bookmark157">
        <w:r>
          <w:rPr>
            <w:sz w:val="21"/>
            <w:vertAlign w:val="baseline"/>
          </w:rPr>
          <w:t>.</w:t>
        </w:r>
        <w:r>
          <w:rPr>
            <w:sz w:val="21"/>
            <w:vertAlign w:val="superscript"/>
          </w:rPr>
          <w:t>57</w:t>
        </w:r>
      </w:hyperlink>
      <w:r>
        <w:rPr>
          <w:sz w:val="21"/>
          <w:vertAlign w:val="baseline"/>
        </w:rPr>
        <w:t> When it comes to supporting</w:t>
      </w:r>
      <w:r>
        <w:rPr>
          <w:spacing w:val="-4"/>
          <w:sz w:val="21"/>
          <w:vertAlign w:val="baseline"/>
        </w:rPr>
        <w:t> </w:t>
      </w:r>
      <w:r>
        <w:rPr>
          <w:sz w:val="21"/>
          <w:vertAlign w:val="baseline"/>
        </w:rPr>
        <w:t>families,</w:t>
      </w:r>
      <w:r>
        <w:rPr>
          <w:spacing w:val="-4"/>
          <w:sz w:val="21"/>
          <w:vertAlign w:val="baseline"/>
        </w:rPr>
        <w:t> </w:t>
      </w:r>
      <w:r>
        <w:rPr>
          <w:sz w:val="21"/>
          <w:vertAlign w:val="baseline"/>
        </w:rPr>
        <w:t>one</w:t>
      </w:r>
      <w:r>
        <w:rPr>
          <w:spacing w:val="-4"/>
          <w:sz w:val="21"/>
          <w:vertAlign w:val="baseline"/>
        </w:rPr>
        <w:t> </w:t>
      </w:r>
      <w:r>
        <w:rPr>
          <w:sz w:val="21"/>
          <w:vertAlign w:val="baseline"/>
        </w:rPr>
        <w:t>LGBTQ-specific</w:t>
      </w:r>
      <w:r>
        <w:rPr>
          <w:spacing w:val="-4"/>
          <w:sz w:val="21"/>
          <w:vertAlign w:val="baseline"/>
        </w:rPr>
        <w:t> </w:t>
      </w:r>
      <w:r>
        <w:rPr>
          <w:sz w:val="21"/>
          <w:vertAlign w:val="baseline"/>
        </w:rPr>
        <w:t>option</w:t>
      </w:r>
      <w:r>
        <w:rPr>
          <w:spacing w:val="-4"/>
          <w:sz w:val="21"/>
          <w:vertAlign w:val="baseline"/>
        </w:rPr>
        <w:t> </w:t>
      </w:r>
      <w:r>
        <w:rPr>
          <w:sz w:val="21"/>
          <w:vertAlign w:val="baseline"/>
        </w:rPr>
        <w:t>is</w:t>
      </w:r>
      <w:r>
        <w:rPr>
          <w:spacing w:val="-4"/>
          <w:sz w:val="21"/>
          <w:vertAlign w:val="baseline"/>
        </w:rPr>
        <w:t> </w:t>
      </w:r>
      <w:r>
        <w:rPr>
          <w:sz w:val="21"/>
          <w:vertAlign w:val="baseline"/>
        </w:rPr>
        <w:t>ABFT-SGM</w:t>
      </w:r>
      <w:r>
        <w:rPr>
          <w:spacing w:val="-4"/>
          <w:sz w:val="21"/>
          <w:vertAlign w:val="baseline"/>
        </w:rPr>
        <w:t> </w:t>
      </w:r>
      <w:r>
        <w:rPr>
          <w:sz w:val="21"/>
          <w:vertAlign w:val="baseline"/>
        </w:rPr>
        <w:t>(Attachment-Based</w:t>
      </w:r>
      <w:r>
        <w:rPr>
          <w:spacing w:val="-4"/>
          <w:sz w:val="21"/>
          <w:vertAlign w:val="baseline"/>
        </w:rPr>
        <w:t> </w:t>
      </w:r>
      <w:r>
        <w:rPr>
          <w:sz w:val="21"/>
          <w:vertAlign w:val="baseline"/>
        </w:rPr>
        <w:t>Family</w:t>
      </w:r>
      <w:r>
        <w:rPr>
          <w:spacing w:val="-4"/>
          <w:sz w:val="21"/>
          <w:vertAlign w:val="baseline"/>
        </w:rPr>
        <w:t> </w:t>
      </w:r>
      <w:r>
        <w:rPr>
          <w:sz w:val="21"/>
          <w:vertAlign w:val="baseline"/>
        </w:rPr>
        <w:t>Therapy),</w:t>
      </w:r>
      <w:r>
        <w:rPr>
          <w:spacing w:val="-4"/>
          <w:sz w:val="21"/>
          <w:vertAlign w:val="baseline"/>
        </w:rPr>
        <w:t> </w:t>
      </w:r>
      <w:r>
        <w:rPr>
          <w:sz w:val="21"/>
          <w:vertAlign w:val="baseline"/>
        </w:rPr>
        <w:t>a</w:t>
      </w:r>
      <w:r>
        <w:rPr>
          <w:spacing w:val="-5"/>
          <w:sz w:val="21"/>
          <w:vertAlign w:val="baseline"/>
        </w:rPr>
        <w:t> </w:t>
      </w:r>
      <w:r>
        <w:rPr>
          <w:sz w:val="21"/>
          <w:vertAlign w:val="baseline"/>
        </w:rPr>
        <w:t>manualized intervention for parental rejection that raised maternal acceptance of LGBTQ young adults’ identities and reduced avoidance in their relationships with their parents</w:t>
      </w:r>
      <w:hyperlink w:history="true" w:anchor="_bookmark158">
        <w:r>
          <w:rPr>
            <w:sz w:val="21"/>
            <w:vertAlign w:val="baseline"/>
          </w:rPr>
          <w:t>.</w:t>
        </w:r>
        <w:r>
          <w:rPr>
            <w:sz w:val="21"/>
            <w:vertAlign w:val="superscript"/>
          </w:rPr>
          <w:t>58</w:t>
        </w:r>
      </w:hyperlink>
      <w:r>
        <w:rPr>
          <w:sz w:val="21"/>
          <w:vertAlign w:val="baseline"/>
        </w:rPr>
        <w:t> Motivational Interviewing can also be used with caregivers who are ambivalent to their child’s coming out process</w:t>
      </w:r>
      <w:hyperlink w:history="true" w:anchor="_bookmark159">
        <w:r>
          <w:rPr>
            <w:sz w:val="21"/>
            <w:vertAlign w:val="baseline"/>
          </w:rPr>
          <w:t>.</w:t>
        </w:r>
        <w:r>
          <w:rPr>
            <w:sz w:val="21"/>
            <w:vertAlign w:val="superscript"/>
          </w:rPr>
          <w:t>59</w:t>
        </w:r>
      </w:hyperlink>
    </w:p>
    <w:p>
      <w:pPr>
        <w:spacing w:line="276" w:lineRule="auto" w:before="239"/>
        <w:ind w:left="463" w:right="4200" w:hanging="1"/>
        <w:jc w:val="both"/>
        <w:rPr>
          <w:sz w:val="21"/>
        </w:rPr>
      </w:pPr>
      <w:r>
        <w:rPr/>
        <w:drawing>
          <wp:anchor distT="0" distB="0" distL="0" distR="0" allowOverlap="1" layoutInCell="1" locked="0" behindDoc="0" simplePos="0" relativeHeight="15763456">
            <wp:simplePos x="0" y="0"/>
            <wp:positionH relativeFrom="page">
              <wp:posOffset>4508500</wp:posOffset>
            </wp:positionH>
            <wp:positionV relativeFrom="paragraph">
              <wp:posOffset>158750</wp:posOffset>
            </wp:positionV>
            <wp:extent cx="2514358" cy="1353179"/>
            <wp:effectExtent l="0" t="0" r="0" b="0"/>
            <wp:wrapNone/>
            <wp:docPr id="234" name="Image 234" descr="A white rectangular frame with blue text  Description automatically generated "/>
            <wp:cNvGraphicFramePr>
              <a:graphicFrameLocks/>
            </wp:cNvGraphicFramePr>
            <a:graphic>
              <a:graphicData uri="http://schemas.openxmlformats.org/drawingml/2006/picture">
                <pic:pic>
                  <pic:nvPicPr>
                    <pic:cNvPr id="234" name="Image 234" descr="A white rectangular frame with blue text  Description automatically generated "/>
                    <pic:cNvPicPr/>
                  </pic:nvPicPr>
                  <pic:blipFill>
                    <a:blip r:embed="rId182" cstate="print"/>
                    <a:stretch>
                      <a:fillRect/>
                    </a:stretch>
                  </pic:blipFill>
                  <pic:spPr>
                    <a:xfrm>
                      <a:off x="0" y="0"/>
                      <a:ext cx="2514358" cy="1353179"/>
                    </a:xfrm>
                    <a:prstGeom prst="rect">
                      <a:avLst/>
                    </a:prstGeom>
                  </pic:spPr>
                </pic:pic>
              </a:graphicData>
            </a:graphic>
          </wp:anchor>
        </w:drawing>
      </w:r>
      <w:r>
        <w:rPr>
          <w:sz w:val="21"/>
        </w:rPr>
        <w:t>In the spirit of the above quote, decision-makers should not expect</w:t>
      </w:r>
      <w:r>
        <w:rPr>
          <w:spacing w:val="-12"/>
          <w:sz w:val="21"/>
        </w:rPr>
        <w:t> </w:t>
      </w:r>
      <w:r>
        <w:rPr>
          <w:sz w:val="21"/>
        </w:rPr>
        <w:t>traditional</w:t>
      </w:r>
      <w:r>
        <w:rPr>
          <w:spacing w:val="-12"/>
          <w:sz w:val="21"/>
        </w:rPr>
        <w:t> </w:t>
      </w:r>
      <w:r>
        <w:rPr>
          <w:sz w:val="21"/>
        </w:rPr>
        <w:t>individual</w:t>
      </w:r>
      <w:r>
        <w:rPr>
          <w:spacing w:val="-12"/>
          <w:sz w:val="21"/>
        </w:rPr>
        <w:t> </w:t>
      </w:r>
      <w:r>
        <w:rPr>
          <w:sz w:val="21"/>
        </w:rPr>
        <w:t>therapy</w:t>
      </w:r>
      <w:r>
        <w:rPr>
          <w:spacing w:val="-12"/>
          <w:sz w:val="21"/>
        </w:rPr>
        <w:t> </w:t>
      </w:r>
      <w:r>
        <w:rPr>
          <w:sz w:val="21"/>
        </w:rPr>
        <w:t>to</w:t>
      </w:r>
      <w:r>
        <w:rPr>
          <w:spacing w:val="-12"/>
          <w:sz w:val="21"/>
        </w:rPr>
        <w:t> </w:t>
      </w:r>
      <w:r>
        <w:rPr>
          <w:sz w:val="21"/>
        </w:rPr>
        <w:t>single-</w:t>
      </w:r>
      <w:r>
        <w:rPr>
          <w:spacing w:val="-12"/>
          <w:sz w:val="21"/>
        </w:rPr>
        <w:t> </w:t>
      </w:r>
      <w:r>
        <w:rPr>
          <w:sz w:val="21"/>
        </w:rPr>
        <w:t>handedly</w:t>
      </w:r>
      <w:r>
        <w:rPr>
          <w:spacing w:val="-12"/>
          <w:sz w:val="21"/>
        </w:rPr>
        <w:t> </w:t>
      </w:r>
      <w:r>
        <w:rPr>
          <w:sz w:val="21"/>
        </w:rPr>
        <w:t>solve</w:t>
      </w:r>
      <w:r>
        <w:rPr>
          <w:spacing w:val="-11"/>
          <w:sz w:val="21"/>
        </w:rPr>
        <w:t> </w:t>
      </w:r>
      <w:r>
        <w:rPr>
          <w:sz w:val="21"/>
        </w:rPr>
        <w:t>the LGBTQ youth mental health crisis. Families, schools, communities, and institutions all play a role in creating minority stress, but they are also potential sources of care and healing. Group programs allow all to become actively involved in supporting LGBTQ youth. They also fulfill several of SAMHSA’s principles</w:t>
      </w:r>
      <w:r>
        <w:rPr>
          <w:spacing w:val="66"/>
          <w:sz w:val="21"/>
        </w:rPr>
        <w:t> </w:t>
      </w:r>
      <w:r>
        <w:rPr>
          <w:sz w:val="21"/>
        </w:rPr>
        <w:t>for</w:t>
      </w:r>
      <w:r>
        <w:rPr>
          <w:spacing w:val="69"/>
          <w:sz w:val="21"/>
        </w:rPr>
        <w:t> </w:t>
      </w:r>
      <w:r>
        <w:rPr>
          <w:sz w:val="21"/>
        </w:rPr>
        <w:t>LGBTQ</w:t>
      </w:r>
      <w:r>
        <w:rPr>
          <w:spacing w:val="67"/>
          <w:sz w:val="21"/>
        </w:rPr>
        <w:t> </w:t>
      </w:r>
      <w:r>
        <w:rPr>
          <w:sz w:val="21"/>
        </w:rPr>
        <w:t>trauma-</w:t>
      </w:r>
      <w:r>
        <w:rPr>
          <w:spacing w:val="69"/>
          <w:sz w:val="21"/>
        </w:rPr>
        <w:t> </w:t>
      </w:r>
      <w:r>
        <w:rPr>
          <w:sz w:val="21"/>
        </w:rPr>
        <w:t>informed</w:t>
      </w:r>
      <w:r>
        <w:rPr>
          <w:spacing w:val="67"/>
          <w:sz w:val="21"/>
        </w:rPr>
        <w:t> </w:t>
      </w:r>
      <w:r>
        <w:rPr>
          <w:sz w:val="21"/>
        </w:rPr>
        <w:t>care:</w:t>
      </w:r>
      <w:r>
        <w:rPr>
          <w:spacing w:val="68"/>
          <w:sz w:val="21"/>
        </w:rPr>
        <w:t> </w:t>
      </w:r>
      <w:r>
        <w:rPr>
          <w:sz w:val="21"/>
        </w:rPr>
        <w:t>Peer</w:t>
      </w:r>
      <w:r>
        <w:rPr>
          <w:spacing w:val="67"/>
          <w:sz w:val="21"/>
        </w:rPr>
        <w:t> </w:t>
      </w:r>
      <w:r>
        <w:rPr>
          <w:spacing w:val="-2"/>
          <w:sz w:val="21"/>
        </w:rPr>
        <w:t>Support,</w:t>
      </w:r>
    </w:p>
    <w:p>
      <w:pPr>
        <w:spacing w:line="276" w:lineRule="auto" w:before="0"/>
        <w:ind w:left="463" w:right="240" w:firstLine="0"/>
        <w:jc w:val="both"/>
        <w:rPr>
          <w:sz w:val="21"/>
        </w:rPr>
      </w:pPr>
      <w:r>
        <w:rPr>
          <w:sz w:val="21"/>
        </w:rPr>
        <w:t>Safety,</w:t>
      </w:r>
      <w:r>
        <w:rPr>
          <w:spacing w:val="-6"/>
          <w:sz w:val="21"/>
        </w:rPr>
        <w:t> </w:t>
      </w:r>
      <w:r>
        <w:rPr>
          <w:sz w:val="21"/>
        </w:rPr>
        <w:t>and</w:t>
      </w:r>
      <w:r>
        <w:rPr>
          <w:spacing w:val="-8"/>
          <w:sz w:val="21"/>
        </w:rPr>
        <w:t> </w:t>
      </w:r>
      <w:r>
        <w:rPr>
          <w:sz w:val="21"/>
        </w:rPr>
        <w:t>Collaboration</w:t>
      </w:r>
      <w:r>
        <w:rPr>
          <w:spacing w:val="-7"/>
          <w:sz w:val="21"/>
        </w:rPr>
        <w:t> </w:t>
      </w:r>
      <w:r>
        <w:rPr>
          <w:sz w:val="21"/>
        </w:rPr>
        <w:t>and</w:t>
      </w:r>
      <w:r>
        <w:rPr>
          <w:spacing w:val="-7"/>
          <w:sz w:val="21"/>
        </w:rPr>
        <w:t> </w:t>
      </w:r>
      <w:r>
        <w:rPr>
          <w:sz w:val="21"/>
        </w:rPr>
        <w:t>Mutuality.</w:t>
      </w:r>
      <w:r>
        <w:rPr>
          <w:spacing w:val="-8"/>
          <w:sz w:val="21"/>
        </w:rPr>
        <w:t> </w:t>
      </w:r>
      <w:r>
        <w:rPr>
          <w:sz w:val="21"/>
        </w:rPr>
        <w:t>This</w:t>
      </w:r>
      <w:r>
        <w:rPr>
          <w:spacing w:val="-7"/>
          <w:sz w:val="21"/>
        </w:rPr>
        <w:t> </w:t>
      </w:r>
      <w:r>
        <w:rPr>
          <w:sz w:val="21"/>
        </w:rPr>
        <w:t>is</w:t>
      </w:r>
      <w:r>
        <w:rPr>
          <w:spacing w:val="-7"/>
          <w:sz w:val="21"/>
        </w:rPr>
        <w:t> </w:t>
      </w:r>
      <w:r>
        <w:rPr>
          <w:sz w:val="21"/>
        </w:rPr>
        <w:t>why</w:t>
      </w:r>
      <w:r>
        <w:rPr>
          <w:spacing w:val="-8"/>
          <w:sz w:val="21"/>
        </w:rPr>
        <w:t> </w:t>
      </w:r>
      <w:r>
        <w:rPr>
          <w:sz w:val="21"/>
        </w:rPr>
        <w:t>the</w:t>
      </w:r>
      <w:r>
        <w:rPr>
          <w:spacing w:val="-9"/>
          <w:sz w:val="21"/>
        </w:rPr>
        <w:t> </w:t>
      </w:r>
      <w:r>
        <w:rPr>
          <w:sz w:val="21"/>
        </w:rPr>
        <w:t>Commission</w:t>
      </w:r>
      <w:r>
        <w:rPr>
          <w:spacing w:val="-7"/>
          <w:sz w:val="21"/>
        </w:rPr>
        <w:t> </w:t>
      </w:r>
      <w:r>
        <w:rPr>
          <w:sz w:val="21"/>
        </w:rPr>
        <w:t>recommends</w:t>
      </w:r>
      <w:r>
        <w:rPr>
          <w:spacing w:val="-7"/>
          <w:sz w:val="21"/>
        </w:rPr>
        <w:t> </w:t>
      </w:r>
      <w:r>
        <w:rPr>
          <w:sz w:val="21"/>
        </w:rPr>
        <w:t>that</w:t>
      </w:r>
      <w:r>
        <w:rPr>
          <w:spacing w:val="-7"/>
          <w:sz w:val="21"/>
        </w:rPr>
        <w:t> </w:t>
      </w:r>
      <w:r>
        <w:rPr>
          <w:sz w:val="21"/>
        </w:rPr>
        <w:t>allies</w:t>
      </w:r>
      <w:r>
        <w:rPr>
          <w:spacing w:val="-7"/>
          <w:sz w:val="21"/>
        </w:rPr>
        <w:t> </w:t>
      </w:r>
      <w:r>
        <w:rPr>
          <w:sz w:val="21"/>
        </w:rPr>
        <w:t>invest</w:t>
      </w:r>
      <w:r>
        <w:rPr>
          <w:spacing w:val="-6"/>
          <w:sz w:val="21"/>
        </w:rPr>
        <w:t> </w:t>
      </w:r>
      <w:r>
        <w:rPr>
          <w:sz w:val="21"/>
        </w:rPr>
        <w:t>resources</w:t>
      </w:r>
      <w:r>
        <w:rPr>
          <w:spacing w:val="-7"/>
          <w:sz w:val="21"/>
        </w:rPr>
        <w:t> </w:t>
      </w:r>
      <w:r>
        <w:rPr>
          <w:sz w:val="21"/>
        </w:rPr>
        <w:t>in non-clinical, community-based interventions, including online and in-person programs, GSAs, peer summer camps, activism, bodywork, and expressive arts.</w:t>
      </w:r>
    </w:p>
    <w:p>
      <w:pPr>
        <w:spacing w:line="276" w:lineRule="auto" w:before="240"/>
        <w:ind w:left="464" w:right="239" w:firstLine="0"/>
        <w:jc w:val="both"/>
        <w:rPr>
          <w:sz w:val="21"/>
        </w:rPr>
      </w:pPr>
      <w:r>
        <w:rPr/>
        <w:drawing>
          <wp:anchor distT="0" distB="0" distL="0" distR="0" allowOverlap="1" layoutInCell="1" locked="0" behindDoc="1" simplePos="0" relativeHeight="487622144">
            <wp:simplePos x="0" y="0"/>
            <wp:positionH relativeFrom="page">
              <wp:posOffset>1959927</wp:posOffset>
            </wp:positionH>
            <wp:positionV relativeFrom="paragraph">
              <wp:posOffset>1688458</wp:posOffset>
            </wp:positionV>
            <wp:extent cx="3928948" cy="1088136"/>
            <wp:effectExtent l="0" t="0" r="0" b="0"/>
            <wp:wrapTopAndBottom/>
            <wp:docPr id="235" name="Image 235" descr="A white background with blue text  Description automatically generated "/>
            <wp:cNvGraphicFramePr>
              <a:graphicFrameLocks/>
            </wp:cNvGraphicFramePr>
            <a:graphic>
              <a:graphicData uri="http://schemas.openxmlformats.org/drawingml/2006/picture">
                <pic:pic>
                  <pic:nvPicPr>
                    <pic:cNvPr id="235" name="Image 235" descr="A white background with blue text  Description automatically generated "/>
                    <pic:cNvPicPr/>
                  </pic:nvPicPr>
                  <pic:blipFill>
                    <a:blip r:embed="rId183" cstate="print"/>
                    <a:stretch>
                      <a:fillRect/>
                    </a:stretch>
                  </pic:blipFill>
                  <pic:spPr>
                    <a:xfrm>
                      <a:off x="0" y="0"/>
                      <a:ext cx="3928948" cy="1088136"/>
                    </a:xfrm>
                    <a:prstGeom prst="rect">
                      <a:avLst/>
                    </a:prstGeom>
                  </pic:spPr>
                </pic:pic>
              </a:graphicData>
            </a:graphic>
          </wp:anchor>
        </w:drawing>
      </w:r>
      <w:r>
        <w:rPr>
          <w:sz w:val="21"/>
        </w:rPr>
        <w:t>Furthermore, LGBTQ youth</w:t>
      </w:r>
      <w:r>
        <w:rPr>
          <w:spacing w:val="-1"/>
          <w:sz w:val="21"/>
        </w:rPr>
        <w:t> </w:t>
      </w:r>
      <w:r>
        <w:rPr>
          <w:sz w:val="21"/>
        </w:rPr>
        <w:t>peer support programs have huge potential for improving youth mental health</w:t>
      </w:r>
      <w:r>
        <w:rPr>
          <w:spacing w:val="-1"/>
          <w:sz w:val="21"/>
        </w:rPr>
        <w:t> </w:t>
      </w:r>
      <w:r>
        <w:rPr>
          <w:sz w:val="21"/>
        </w:rPr>
        <w:t>– in fact, this is one of SAMHSA’s six tenets of LGBTQ trauma-informed care. Research has shown for decades that social support is life-affirming for LGBTQ people. In the Trevor Project’s 2022 National Survey, nearly half of youth reported living in a “somewhat accepting” community, while 38% lived in a “somewhat or very unaccepting” community. Predictably, suicide attempt rates were highest among youth in very unaccepting communities (21%) versus somewhat accepting (13%) or very accepting (8%). Yet peer support may be even more influential than family support: youth attempted suicide more often when they had low to moderate support from peers as opposed to from family.</w:t>
      </w:r>
      <w:hyperlink w:history="true" w:anchor="_bookmark160">
        <w:r>
          <w:rPr>
            <w:sz w:val="21"/>
            <w:vertAlign w:val="superscript"/>
          </w:rPr>
          <w:t>60</w:t>
        </w:r>
      </w:hyperlink>
    </w:p>
    <w:p>
      <w:pPr>
        <w:spacing w:before="0"/>
        <w:ind w:left="463" w:right="0" w:firstLine="0"/>
        <w:jc w:val="both"/>
        <w:rPr>
          <w:sz w:val="21"/>
        </w:rPr>
      </w:pPr>
      <w:bookmarkStart w:name="Virtual Programs" w:id="249"/>
      <w:bookmarkEnd w:id="249"/>
      <w:r>
        <w:rPr/>
      </w:r>
      <w:r>
        <w:rPr>
          <w:color w:val="365F91"/>
          <w:sz w:val="28"/>
        </w:rPr>
        <w:t>Virtual</w:t>
      </w:r>
      <w:r>
        <w:rPr>
          <w:color w:val="365F91"/>
          <w:spacing w:val="-12"/>
          <w:sz w:val="28"/>
        </w:rPr>
        <w:t> </w:t>
      </w:r>
      <w:r>
        <w:rPr>
          <w:color w:val="365F91"/>
          <w:spacing w:val="-2"/>
          <w:sz w:val="28"/>
        </w:rPr>
        <w:t>Program</w:t>
      </w:r>
      <w:r>
        <w:rPr>
          <w:color w:val="365F91"/>
          <w:spacing w:val="-2"/>
          <w:sz w:val="21"/>
        </w:rPr>
        <w:t>s</w:t>
      </w:r>
    </w:p>
    <w:p>
      <w:pPr>
        <w:spacing w:line="276" w:lineRule="auto" w:before="291"/>
        <w:ind w:left="463" w:right="242" w:hanging="1"/>
        <w:jc w:val="both"/>
        <w:rPr>
          <w:sz w:val="21"/>
        </w:rPr>
      </w:pPr>
      <w:r>
        <w:rPr>
          <w:sz w:val="21"/>
        </w:rPr>
        <w:t>Whether</w:t>
      </w:r>
      <w:r>
        <w:rPr>
          <w:spacing w:val="-5"/>
          <w:sz w:val="21"/>
        </w:rPr>
        <w:t> </w:t>
      </w:r>
      <w:r>
        <w:rPr>
          <w:sz w:val="21"/>
        </w:rPr>
        <w:t>in-person,</w:t>
      </w:r>
      <w:r>
        <w:rPr>
          <w:spacing w:val="-5"/>
          <w:sz w:val="21"/>
        </w:rPr>
        <w:t> </w:t>
      </w:r>
      <w:r>
        <w:rPr>
          <w:sz w:val="21"/>
        </w:rPr>
        <w:t>online,</w:t>
      </w:r>
      <w:r>
        <w:rPr>
          <w:spacing w:val="-5"/>
          <w:sz w:val="21"/>
        </w:rPr>
        <w:t> </w:t>
      </w:r>
      <w:r>
        <w:rPr>
          <w:sz w:val="21"/>
        </w:rPr>
        <w:t>or</w:t>
      </w:r>
      <w:r>
        <w:rPr>
          <w:spacing w:val="-5"/>
          <w:sz w:val="21"/>
        </w:rPr>
        <w:t> </w:t>
      </w:r>
      <w:r>
        <w:rPr>
          <w:sz w:val="21"/>
        </w:rPr>
        <w:t>through</w:t>
      </w:r>
      <w:r>
        <w:rPr>
          <w:spacing w:val="-5"/>
          <w:sz w:val="21"/>
        </w:rPr>
        <w:t> </w:t>
      </w:r>
      <w:r>
        <w:rPr>
          <w:sz w:val="21"/>
        </w:rPr>
        <w:t>a</w:t>
      </w:r>
      <w:r>
        <w:rPr>
          <w:spacing w:val="-5"/>
          <w:sz w:val="21"/>
        </w:rPr>
        <w:t> </w:t>
      </w:r>
      <w:r>
        <w:rPr>
          <w:sz w:val="21"/>
        </w:rPr>
        <w:t>school,</w:t>
      </w:r>
      <w:r>
        <w:rPr>
          <w:spacing w:val="-5"/>
          <w:sz w:val="21"/>
        </w:rPr>
        <w:t> </w:t>
      </w:r>
      <w:r>
        <w:rPr>
          <w:sz w:val="21"/>
        </w:rPr>
        <w:t>community,</w:t>
      </w:r>
      <w:r>
        <w:rPr>
          <w:spacing w:val="-5"/>
          <w:sz w:val="21"/>
        </w:rPr>
        <w:t> </w:t>
      </w:r>
      <w:r>
        <w:rPr>
          <w:sz w:val="21"/>
        </w:rPr>
        <w:t>or</w:t>
      </w:r>
      <w:r>
        <w:rPr>
          <w:spacing w:val="-5"/>
          <w:sz w:val="21"/>
        </w:rPr>
        <w:t> </w:t>
      </w:r>
      <w:r>
        <w:rPr>
          <w:sz w:val="21"/>
        </w:rPr>
        <w:t>camp,</w:t>
      </w:r>
      <w:r>
        <w:rPr>
          <w:spacing w:val="-7"/>
          <w:sz w:val="21"/>
        </w:rPr>
        <w:t> </w:t>
      </w:r>
      <w:r>
        <w:rPr>
          <w:sz w:val="21"/>
        </w:rPr>
        <w:t>LGBTQ</w:t>
      </w:r>
      <w:r>
        <w:rPr>
          <w:spacing w:val="-5"/>
          <w:sz w:val="21"/>
        </w:rPr>
        <w:t> </w:t>
      </w:r>
      <w:r>
        <w:rPr>
          <w:sz w:val="21"/>
        </w:rPr>
        <w:t>youth</w:t>
      </w:r>
      <w:r>
        <w:rPr>
          <w:spacing w:val="-6"/>
          <w:sz w:val="21"/>
        </w:rPr>
        <w:t> </w:t>
      </w:r>
      <w:r>
        <w:rPr>
          <w:sz w:val="21"/>
        </w:rPr>
        <w:t>groups</w:t>
      </w:r>
      <w:r>
        <w:rPr>
          <w:spacing w:val="-6"/>
          <w:sz w:val="21"/>
        </w:rPr>
        <w:t> </w:t>
      </w:r>
      <w:r>
        <w:rPr>
          <w:sz w:val="21"/>
        </w:rPr>
        <w:t>are</w:t>
      </w:r>
      <w:r>
        <w:rPr>
          <w:spacing w:val="-5"/>
          <w:sz w:val="21"/>
        </w:rPr>
        <w:t> </w:t>
      </w:r>
      <w:r>
        <w:rPr>
          <w:sz w:val="21"/>
        </w:rPr>
        <w:t>versatile.</w:t>
      </w:r>
      <w:r>
        <w:rPr>
          <w:spacing w:val="-6"/>
          <w:sz w:val="21"/>
        </w:rPr>
        <w:t> </w:t>
      </w:r>
      <w:r>
        <w:rPr>
          <w:sz w:val="21"/>
        </w:rPr>
        <w:t>Virtual groups can provide brief, evidence-based clinical interventions such as CBT or DBT, but they can also be based around socializing, peer support, activism, common interests, and more, acting as safe oases where youth feel more implicitly understood and accepted than in other areas of life.</w:t>
      </w:r>
    </w:p>
    <w:p>
      <w:pPr>
        <w:spacing w:line="276" w:lineRule="auto" w:before="240"/>
        <w:ind w:left="463" w:right="239" w:firstLine="0"/>
        <w:jc w:val="both"/>
        <w:rPr>
          <w:sz w:val="21"/>
        </w:rPr>
      </w:pPr>
      <w:r>
        <w:rPr>
          <w:sz w:val="21"/>
        </w:rPr>
        <w:t>To begin, since LGBTQ youth face high rates of online harassment and maintain active subcultures and affinity spaces online, virtual interventions are a promising avenue for LGBTQ youth mental health support. Research suggests that youth feel more comfortable sharing personal experiences via text than face-to-face</w:t>
      </w:r>
      <w:hyperlink w:history="true" w:anchor="_bookmark161">
        <w:r>
          <w:rPr>
            <w:sz w:val="21"/>
          </w:rPr>
          <w:t>,</w:t>
        </w:r>
        <w:r>
          <w:rPr>
            <w:sz w:val="21"/>
            <w:vertAlign w:val="superscript"/>
          </w:rPr>
          <w:t>61</w:t>
        </w:r>
      </w:hyperlink>
      <w:r>
        <w:rPr>
          <w:sz w:val="21"/>
          <w:vertAlign w:val="baseline"/>
        </w:rPr>
        <w:t> as this lessens</w:t>
      </w:r>
      <w:r>
        <w:rPr>
          <w:spacing w:val="26"/>
          <w:sz w:val="21"/>
          <w:vertAlign w:val="baseline"/>
        </w:rPr>
        <w:t> </w:t>
      </w:r>
      <w:r>
        <w:rPr>
          <w:sz w:val="21"/>
          <w:vertAlign w:val="baseline"/>
        </w:rPr>
        <w:t>fears</w:t>
      </w:r>
      <w:r>
        <w:rPr>
          <w:spacing w:val="25"/>
          <w:sz w:val="21"/>
          <w:vertAlign w:val="baseline"/>
        </w:rPr>
        <w:t> </w:t>
      </w:r>
      <w:r>
        <w:rPr>
          <w:sz w:val="21"/>
          <w:vertAlign w:val="baseline"/>
        </w:rPr>
        <w:t>about</w:t>
      </w:r>
      <w:r>
        <w:rPr>
          <w:spacing w:val="27"/>
          <w:sz w:val="21"/>
          <w:vertAlign w:val="baseline"/>
        </w:rPr>
        <w:t> </w:t>
      </w:r>
      <w:r>
        <w:rPr>
          <w:sz w:val="21"/>
          <w:vertAlign w:val="baseline"/>
        </w:rPr>
        <w:t>outing</w:t>
      </w:r>
      <w:r>
        <w:rPr>
          <w:spacing w:val="24"/>
          <w:sz w:val="21"/>
          <w:vertAlign w:val="baseline"/>
        </w:rPr>
        <w:t> </w:t>
      </w:r>
      <w:r>
        <w:rPr>
          <w:sz w:val="21"/>
          <w:vertAlign w:val="baseline"/>
        </w:rPr>
        <w:t>or</w:t>
      </w:r>
      <w:r>
        <w:rPr>
          <w:spacing w:val="26"/>
          <w:sz w:val="21"/>
          <w:vertAlign w:val="baseline"/>
        </w:rPr>
        <w:t> </w:t>
      </w:r>
      <w:r>
        <w:rPr>
          <w:sz w:val="21"/>
          <w:vertAlign w:val="baseline"/>
        </w:rPr>
        <w:t>social</w:t>
      </w:r>
      <w:r>
        <w:rPr>
          <w:spacing w:val="26"/>
          <w:sz w:val="21"/>
          <w:vertAlign w:val="baseline"/>
        </w:rPr>
        <w:t> </w:t>
      </w:r>
      <w:r>
        <w:rPr>
          <w:sz w:val="21"/>
          <w:vertAlign w:val="baseline"/>
        </w:rPr>
        <w:t>discomfort.</w:t>
      </w:r>
      <w:r>
        <w:rPr>
          <w:spacing w:val="26"/>
          <w:sz w:val="21"/>
          <w:vertAlign w:val="baseline"/>
        </w:rPr>
        <w:t> </w:t>
      </w:r>
      <w:r>
        <w:rPr>
          <w:sz w:val="21"/>
          <w:vertAlign w:val="baseline"/>
        </w:rPr>
        <w:t>Online</w:t>
      </w:r>
      <w:r>
        <w:rPr>
          <w:spacing w:val="26"/>
          <w:sz w:val="21"/>
          <w:vertAlign w:val="baseline"/>
        </w:rPr>
        <w:t> </w:t>
      </w:r>
      <w:r>
        <w:rPr>
          <w:sz w:val="21"/>
          <w:vertAlign w:val="baseline"/>
        </w:rPr>
        <w:t>groups</w:t>
      </w:r>
      <w:r>
        <w:rPr>
          <w:spacing w:val="26"/>
          <w:sz w:val="21"/>
          <w:vertAlign w:val="baseline"/>
        </w:rPr>
        <w:t> </w:t>
      </w:r>
      <w:r>
        <w:rPr>
          <w:sz w:val="21"/>
          <w:vertAlign w:val="baseline"/>
        </w:rPr>
        <w:t>are</w:t>
      </w:r>
      <w:r>
        <w:rPr>
          <w:spacing w:val="24"/>
          <w:sz w:val="21"/>
          <w:vertAlign w:val="baseline"/>
        </w:rPr>
        <w:t> </w:t>
      </w:r>
      <w:r>
        <w:rPr>
          <w:sz w:val="21"/>
          <w:vertAlign w:val="baseline"/>
        </w:rPr>
        <w:t>also</w:t>
      </w:r>
      <w:r>
        <w:rPr>
          <w:spacing w:val="26"/>
          <w:sz w:val="21"/>
          <w:vertAlign w:val="baseline"/>
        </w:rPr>
        <w:t> </w:t>
      </w:r>
      <w:r>
        <w:rPr>
          <w:sz w:val="21"/>
          <w:vertAlign w:val="baseline"/>
        </w:rPr>
        <w:t>more</w:t>
      </w:r>
      <w:r>
        <w:rPr>
          <w:spacing w:val="26"/>
          <w:sz w:val="21"/>
          <w:vertAlign w:val="baseline"/>
        </w:rPr>
        <w:t> </w:t>
      </w:r>
      <w:r>
        <w:rPr>
          <w:sz w:val="21"/>
          <w:vertAlign w:val="baseline"/>
        </w:rPr>
        <w:t>accessible</w:t>
      </w:r>
      <w:r>
        <w:rPr>
          <w:spacing w:val="26"/>
          <w:sz w:val="21"/>
          <w:vertAlign w:val="baseline"/>
        </w:rPr>
        <w:t> </w:t>
      </w:r>
      <w:r>
        <w:rPr>
          <w:sz w:val="21"/>
          <w:vertAlign w:val="baseline"/>
        </w:rPr>
        <w:t>for</w:t>
      </w:r>
      <w:r>
        <w:rPr>
          <w:spacing w:val="26"/>
          <w:sz w:val="21"/>
          <w:vertAlign w:val="baseline"/>
        </w:rPr>
        <w:t> </w:t>
      </w:r>
      <w:r>
        <w:rPr>
          <w:sz w:val="21"/>
          <w:vertAlign w:val="baseline"/>
        </w:rPr>
        <w:t>youth</w:t>
      </w:r>
      <w:r>
        <w:rPr>
          <w:spacing w:val="26"/>
          <w:sz w:val="21"/>
          <w:vertAlign w:val="baseline"/>
        </w:rPr>
        <w:t> </w:t>
      </w:r>
      <w:r>
        <w:rPr>
          <w:sz w:val="21"/>
          <w:vertAlign w:val="baseline"/>
        </w:rPr>
        <w:t>who</w:t>
      </w:r>
      <w:r>
        <w:rPr>
          <w:spacing w:val="25"/>
          <w:sz w:val="21"/>
          <w:vertAlign w:val="baseline"/>
        </w:rPr>
        <w:t> </w:t>
      </w:r>
      <w:r>
        <w:rPr>
          <w:sz w:val="21"/>
          <w:vertAlign w:val="baseline"/>
        </w:rPr>
        <w:t>lack</w:t>
      </w:r>
    </w:p>
    <w:p>
      <w:pPr>
        <w:spacing w:after="0" w:line="276" w:lineRule="auto"/>
        <w:jc w:val="both"/>
        <w:rPr>
          <w:sz w:val="21"/>
        </w:rPr>
        <w:sectPr>
          <w:pgSz w:w="12240" w:h="15840"/>
          <w:pgMar w:header="804" w:footer="1390" w:top="1080" w:bottom="1620" w:left="980" w:right="1080"/>
        </w:sectPr>
      </w:pPr>
    </w:p>
    <w:p>
      <w:pPr>
        <w:spacing w:line="276" w:lineRule="auto" w:before="69"/>
        <w:ind w:left="3103" w:right="240" w:firstLine="0"/>
        <w:jc w:val="both"/>
        <w:rPr>
          <w:sz w:val="21"/>
        </w:rPr>
      </w:pPr>
      <w:r>
        <w:rPr/>
        <w:drawing>
          <wp:anchor distT="0" distB="0" distL="0" distR="0" allowOverlap="1" layoutInCell="1" locked="0" behindDoc="0" simplePos="0" relativeHeight="15763968">
            <wp:simplePos x="0" y="0"/>
            <wp:positionH relativeFrom="page">
              <wp:posOffset>825500</wp:posOffset>
            </wp:positionH>
            <wp:positionV relativeFrom="paragraph">
              <wp:posOffset>43180</wp:posOffset>
            </wp:positionV>
            <wp:extent cx="1672840" cy="1663694"/>
            <wp:effectExtent l="0" t="0" r="0" b="0"/>
            <wp:wrapNone/>
            <wp:docPr id="236" name="Image 236"/>
            <wp:cNvGraphicFramePr>
              <a:graphicFrameLocks/>
            </wp:cNvGraphicFramePr>
            <a:graphic>
              <a:graphicData uri="http://schemas.openxmlformats.org/drawingml/2006/picture">
                <pic:pic>
                  <pic:nvPicPr>
                    <pic:cNvPr id="236" name="Image 236"/>
                    <pic:cNvPicPr/>
                  </pic:nvPicPr>
                  <pic:blipFill>
                    <a:blip r:embed="rId184" cstate="print"/>
                    <a:stretch>
                      <a:fillRect/>
                    </a:stretch>
                  </pic:blipFill>
                  <pic:spPr>
                    <a:xfrm>
                      <a:off x="0" y="0"/>
                      <a:ext cx="1672840" cy="1663694"/>
                    </a:xfrm>
                    <a:prstGeom prst="rect">
                      <a:avLst/>
                    </a:prstGeom>
                  </pic:spPr>
                </pic:pic>
              </a:graphicData>
            </a:graphic>
          </wp:anchor>
        </w:drawing>
      </w:r>
      <w:r>
        <w:rPr>
          <w:sz w:val="21"/>
        </w:rPr>
        <w:t>reliable transportation, live in rural areas, or are not allowed to travel (such as those in juvenile justice systems). Finally, they are useful for providing affinity- based spaces for LGBTQ youth with specific identities or experiences across far distances</w:t>
      </w:r>
      <w:r>
        <w:rPr>
          <w:spacing w:val="-7"/>
          <w:sz w:val="21"/>
        </w:rPr>
        <w:t> </w:t>
      </w:r>
      <w:r>
        <w:rPr>
          <w:sz w:val="21"/>
        </w:rPr>
        <w:t>since</w:t>
      </w:r>
      <w:r>
        <w:rPr>
          <w:spacing w:val="-7"/>
          <w:sz w:val="21"/>
        </w:rPr>
        <w:t> </w:t>
      </w:r>
      <w:r>
        <w:rPr>
          <w:sz w:val="21"/>
        </w:rPr>
        <w:t>youth</w:t>
      </w:r>
      <w:r>
        <w:rPr>
          <w:spacing w:val="-8"/>
          <w:sz w:val="21"/>
        </w:rPr>
        <w:t> </w:t>
      </w:r>
      <w:r>
        <w:rPr>
          <w:sz w:val="21"/>
        </w:rPr>
        <w:t>may</w:t>
      </w:r>
      <w:r>
        <w:rPr>
          <w:spacing w:val="-7"/>
          <w:sz w:val="21"/>
        </w:rPr>
        <w:t> </w:t>
      </w:r>
      <w:r>
        <w:rPr>
          <w:sz w:val="21"/>
        </w:rPr>
        <w:t>not</w:t>
      </w:r>
      <w:r>
        <w:rPr>
          <w:spacing w:val="-6"/>
          <w:sz w:val="21"/>
        </w:rPr>
        <w:t> </w:t>
      </w:r>
      <w:r>
        <w:rPr>
          <w:sz w:val="21"/>
        </w:rPr>
        <w:t>find</w:t>
      </w:r>
      <w:r>
        <w:rPr>
          <w:spacing w:val="-7"/>
          <w:sz w:val="21"/>
        </w:rPr>
        <w:t> </w:t>
      </w:r>
      <w:r>
        <w:rPr>
          <w:sz w:val="21"/>
        </w:rPr>
        <w:t>others</w:t>
      </w:r>
      <w:r>
        <w:rPr>
          <w:spacing w:val="-9"/>
          <w:sz w:val="21"/>
        </w:rPr>
        <w:t> </w:t>
      </w:r>
      <w:r>
        <w:rPr>
          <w:sz w:val="21"/>
        </w:rPr>
        <w:t>with</w:t>
      </w:r>
      <w:r>
        <w:rPr>
          <w:spacing w:val="-7"/>
          <w:sz w:val="21"/>
        </w:rPr>
        <w:t> </w:t>
      </w:r>
      <w:r>
        <w:rPr>
          <w:sz w:val="21"/>
        </w:rPr>
        <w:t>the</w:t>
      </w:r>
      <w:r>
        <w:rPr>
          <w:spacing w:val="-8"/>
          <w:sz w:val="21"/>
        </w:rPr>
        <w:t> </w:t>
      </w:r>
      <w:r>
        <w:rPr>
          <w:sz w:val="21"/>
        </w:rPr>
        <w:t>same</w:t>
      </w:r>
      <w:r>
        <w:rPr>
          <w:spacing w:val="-8"/>
          <w:sz w:val="21"/>
        </w:rPr>
        <w:t> </w:t>
      </w:r>
      <w:r>
        <w:rPr>
          <w:sz w:val="21"/>
        </w:rPr>
        <w:t>intersectional</w:t>
      </w:r>
      <w:r>
        <w:rPr>
          <w:spacing w:val="-7"/>
          <w:sz w:val="21"/>
        </w:rPr>
        <w:t> </w:t>
      </w:r>
      <w:r>
        <w:rPr>
          <w:sz w:val="21"/>
        </w:rPr>
        <w:t>identities in-person. The Trevor Project’s chat line and Q Chat Space, an adult-facilitated program that connects and supports youth, are two evidence-based models of online support.</w:t>
      </w:r>
    </w:p>
    <w:p>
      <w:pPr>
        <w:spacing w:before="238"/>
        <w:ind w:left="3103" w:right="0" w:firstLine="0"/>
        <w:jc w:val="both"/>
        <w:rPr>
          <w:sz w:val="28"/>
        </w:rPr>
      </w:pPr>
      <w:bookmarkStart w:name="In-Person Peer Programs in Schools and C" w:id="250"/>
      <w:bookmarkEnd w:id="250"/>
      <w:r>
        <w:rPr/>
      </w:r>
      <w:r>
        <w:rPr>
          <w:color w:val="365F91"/>
          <w:sz w:val="28"/>
        </w:rPr>
        <w:t>In-Person</w:t>
      </w:r>
      <w:r>
        <w:rPr>
          <w:color w:val="365F91"/>
          <w:spacing w:val="-10"/>
          <w:sz w:val="28"/>
        </w:rPr>
        <w:t> </w:t>
      </w:r>
      <w:r>
        <w:rPr>
          <w:color w:val="365F91"/>
          <w:sz w:val="28"/>
        </w:rPr>
        <w:t>Peer</w:t>
      </w:r>
      <w:r>
        <w:rPr>
          <w:color w:val="365F91"/>
          <w:spacing w:val="-9"/>
          <w:sz w:val="28"/>
        </w:rPr>
        <w:t> </w:t>
      </w:r>
      <w:r>
        <w:rPr>
          <w:color w:val="365F91"/>
          <w:sz w:val="28"/>
        </w:rPr>
        <w:t>Programs</w:t>
      </w:r>
      <w:r>
        <w:rPr>
          <w:color w:val="365F91"/>
          <w:spacing w:val="-9"/>
          <w:sz w:val="28"/>
        </w:rPr>
        <w:t> </w:t>
      </w:r>
      <w:r>
        <w:rPr>
          <w:color w:val="365F91"/>
          <w:sz w:val="28"/>
        </w:rPr>
        <w:t>in</w:t>
      </w:r>
      <w:r>
        <w:rPr>
          <w:color w:val="365F91"/>
          <w:spacing w:val="-9"/>
          <w:sz w:val="28"/>
        </w:rPr>
        <w:t> </w:t>
      </w:r>
      <w:r>
        <w:rPr>
          <w:color w:val="365F91"/>
          <w:sz w:val="28"/>
        </w:rPr>
        <w:t>Schools</w:t>
      </w:r>
      <w:r>
        <w:rPr>
          <w:color w:val="365F91"/>
          <w:spacing w:val="-9"/>
          <w:sz w:val="28"/>
        </w:rPr>
        <w:t> </w:t>
      </w:r>
      <w:r>
        <w:rPr>
          <w:color w:val="365F91"/>
          <w:sz w:val="28"/>
        </w:rPr>
        <w:t>and</w:t>
      </w:r>
      <w:r>
        <w:rPr>
          <w:color w:val="365F91"/>
          <w:spacing w:val="-9"/>
          <w:sz w:val="28"/>
        </w:rPr>
        <w:t> </w:t>
      </w:r>
      <w:r>
        <w:rPr>
          <w:color w:val="365F91"/>
          <w:spacing w:val="-2"/>
          <w:sz w:val="28"/>
        </w:rPr>
        <w:t>Communities</w:t>
      </w:r>
    </w:p>
    <w:p>
      <w:pPr>
        <w:pStyle w:val="BodyText"/>
        <w:spacing w:before="36"/>
        <w:rPr>
          <w:sz w:val="21"/>
        </w:rPr>
      </w:pPr>
    </w:p>
    <w:p>
      <w:pPr>
        <w:spacing w:line="276" w:lineRule="auto" w:before="0"/>
        <w:ind w:left="463" w:right="3133" w:firstLine="0"/>
        <w:jc w:val="both"/>
        <w:rPr>
          <w:sz w:val="21"/>
        </w:rPr>
      </w:pPr>
      <w:r>
        <w:rPr/>
        <w:drawing>
          <wp:anchor distT="0" distB="0" distL="0" distR="0" allowOverlap="1" layoutInCell="1" locked="0" behindDoc="0" simplePos="0" relativeHeight="15764480">
            <wp:simplePos x="0" y="0"/>
            <wp:positionH relativeFrom="page">
              <wp:posOffset>5185410</wp:posOffset>
            </wp:positionH>
            <wp:positionV relativeFrom="paragraph">
              <wp:posOffset>5662</wp:posOffset>
            </wp:positionV>
            <wp:extent cx="1837676" cy="1325689"/>
            <wp:effectExtent l="0" t="0" r="0" b="0"/>
            <wp:wrapNone/>
            <wp:docPr id="237" name="Image 237"/>
            <wp:cNvGraphicFramePr>
              <a:graphicFrameLocks/>
            </wp:cNvGraphicFramePr>
            <a:graphic>
              <a:graphicData uri="http://schemas.openxmlformats.org/drawingml/2006/picture">
                <pic:pic>
                  <pic:nvPicPr>
                    <pic:cNvPr id="237" name="Image 237"/>
                    <pic:cNvPicPr/>
                  </pic:nvPicPr>
                  <pic:blipFill>
                    <a:blip r:embed="rId185" cstate="print"/>
                    <a:stretch>
                      <a:fillRect/>
                    </a:stretch>
                  </pic:blipFill>
                  <pic:spPr>
                    <a:xfrm>
                      <a:off x="0" y="0"/>
                      <a:ext cx="1837676" cy="1325689"/>
                    </a:xfrm>
                    <a:prstGeom prst="rect">
                      <a:avLst/>
                    </a:prstGeom>
                  </pic:spPr>
                </pic:pic>
              </a:graphicData>
            </a:graphic>
          </wp:anchor>
        </w:drawing>
      </w:r>
      <w:r>
        <w:rPr>
          <w:sz w:val="21"/>
        </w:rPr>
        <w:t>Next,</w:t>
      </w:r>
      <w:r>
        <w:rPr>
          <w:spacing w:val="-9"/>
          <w:sz w:val="21"/>
        </w:rPr>
        <w:t> </w:t>
      </w:r>
      <w:r>
        <w:rPr>
          <w:sz w:val="21"/>
        </w:rPr>
        <w:t>in-person</w:t>
      </w:r>
      <w:r>
        <w:rPr>
          <w:spacing w:val="-9"/>
          <w:sz w:val="21"/>
        </w:rPr>
        <w:t> </w:t>
      </w:r>
      <w:r>
        <w:rPr>
          <w:sz w:val="21"/>
        </w:rPr>
        <w:t>peer</w:t>
      </w:r>
      <w:r>
        <w:rPr>
          <w:spacing w:val="-9"/>
          <w:sz w:val="21"/>
        </w:rPr>
        <w:t> </w:t>
      </w:r>
      <w:r>
        <w:rPr>
          <w:sz w:val="21"/>
        </w:rPr>
        <w:t>programs</w:t>
      </w:r>
      <w:r>
        <w:rPr>
          <w:spacing w:val="-9"/>
          <w:sz w:val="21"/>
        </w:rPr>
        <w:t> </w:t>
      </w:r>
      <w:r>
        <w:rPr>
          <w:sz w:val="21"/>
        </w:rPr>
        <w:t>have</w:t>
      </w:r>
      <w:r>
        <w:rPr>
          <w:spacing w:val="-9"/>
          <w:sz w:val="21"/>
        </w:rPr>
        <w:t> </w:t>
      </w:r>
      <w:r>
        <w:rPr>
          <w:sz w:val="21"/>
        </w:rPr>
        <w:t>been</w:t>
      </w:r>
      <w:r>
        <w:rPr>
          <w:spacing w:val="-9"/>
          <w:sz w:val="21"/>
        </w:rPr>
        <w:t> </w:t>
      </w:r>
      <w:r>
        <w:rPr>
          <w:sz w:val="21"/>
        </w:rPr>
        <w:t>popular</w:t>
      </w:r>
      <w:r>
        <w:rPr>
          <w:spacing w:val="-9"/>
          <w:sz w:val="21"/>
        </w:rPr>
        <w:t> </w:t>
      </w:r>
      <w:r>
        <w:rPr>
          <w:sz w:val="21"/>
        </w:rPr>
        <w:t>for</w:t>
      </w:r>
      <w:r>
        <w:rPr>
          <w:spacing w:val="-9"/>
          <w:sz w:val="21"/>
        </w:rPr>
        <w:t> </w:t>
      </w:r>
      <w:r>
        <w:rPr>
          <w:sz w:val="21"/>
        </w:rPr>
        <w:t>decades</w:t>
      </w:r>
      <w:r>
        <w:rPr>
          <w:spacing w:val="-9"/>
          <w:sz w:val="21"/>
        </w:rPr>
        <w:t> </w:t>
      </w:r>
      <w:r>
        <w:rPr>
          <w:sz w:val="21"/>
        </w:rPr>
        <w:t>and</w:t>
      </w:r>
      <w:r>
        <w:rPr>
          <w:spacing w:val="-9"/>
          <w:sz w:val="21"/>
        </w:rPr>
        <w:t> </w:t>
      </w:r>
      <w:r>
        <w:rPr>
          <w:sz w:val="21"/>
        </w:rPr>
        <w:t>have</w:t>
      </w:r>
      <w:r>
        <w:rPr>
          <w:spacing w:val="-9"/>
          <w:sz w:val="21"/>
        </w:rPr>
        <w:t> </w:t>
      </w:r>
      <w:r>
        <w:rPr>
          <w:sz w:val="21"/>
        </w:rPr>
        <w:t>more evidence</w:t>
      </w:r>
      <w:r>
        <w:rPr>
          <w:spacing w:val="-9"/>
          <w:sz w:val="21"/>
        </w:rPr>
        <w:t> </w:t>
      </w:r>
      <w:r>
        <w:rPr>
          <w:sz w:val="21"/>
        </w:rPr>
        <w:t>for</w:t>
      </w:r>
      <w:r>
        <w:rPr>
          <w:spacing w:val="-9"/>
          <w:sz w:val="21"/>
        </w:rPr>
        <w:t> </w:t>
      </w:r>
      <w:r>
        <w:rPr>
          <w:sz w:val="21"/>
        </w:rPr>
        <w:t>improving</w:t>
      </w:r>
      <w:r>
        <w:rPr>
          <w:spacing w:val="-9"/>
          <w:sz w:val="21"/>
        </w:rPr>
        <w:t> </w:t>
      </w:r>
      <w:r>
        <w:rPr>
          <w:sz w:val="21"/>
        </w:rPr>
        <w:t>mental</w:t>
      </w:r>
      <w:r>
        <w:rPr>
          <w:spacing w:val="-9"/>
          <w:sz w:val="21"/>
        </w:rPr>
        <w:t> </w:t>
      </w:r>
      <w:r>
        <w:rPr>
          <w:sz w:val="21"/>
        </w:rPr>
        <w:t>health.</w:t>
      </w:r>
      <w:r>
        <w:rPr>
          <w:spacing w:val="-9"/>
          <w:sz w:val="21"/>
        </w:rPr>
        <w:t> </w:t>
      </w:r>
      <w:r>
        <w:rPr>
          <w:sz w:val="21"/>
        </w:rPr>
        <w:t>GSAs</w:t>
      </w:r>
      <w:r>
        <w:rPr>
          <w:spacing w:val="-10"/>
          <w:sz w:val="21"/>
        </w:rPr>
        <w:t> </w:t>
      </w:r>
      <w:r>
        <w:rPr>
          <w:sz w:val="21"/>
        </w:rPr>
        <w:t>are</w:t>
      </w:r>
      <w:r>
        <w:rPr>
          <w:spacing w:val="-9"/>
          <w:sz w:val="21"/>
        </w:rPr>
        <w:t> </w:t>
      </w:r>
      <w:r>
        <w:rPr>
          <w:sz w:val="21"/>
        </w:rPr>
        <w:t>the</w:t>
      </w:r>
      <w:r>
        <w:rPr>
          <w:spacing w:val="-9"/>
          <w:sz w:val="21"/>
        </w:rPr>
        <w:t> </w:t>
      </w:r>
      <w:r>
        <w:rPr>
          <w:sz w:val="21"/>
        </w:rPr>
        <w:t>quintessential</w:t>
      </w:r>
      <w:r>
        <w:rPr>
          <w:spacing w:val="-9"/>
          <w:sz w:val="21"/>
        </w:rPr>
        <w:t> </w:t>
      </w:r>
      <w:r>
        <w:rPr>
          <w:sz w:val="21"/>
        </w:rPr>
        <w:t>example</w:t>
      </w:r>
      <w:r>
        <w:rPr>
          <w:spacing w:val="-9"/>
          <w:sz w:val="21"/>
        </w:rPr>
        <w:t> </w:t>
      </w:r>
      <w:r>
        <w:rPr>
          <w:sz w:val="21"/>
        </w:rPr>
        <w:t>in schools – they empower LGBTQ youth to build resilience, hope, and positive support networks, and also tend to actively improve school culture. In 2019, one study found that more frequent meetings and more mental health discussions in GSAs predicted less depressive and anxiety symptoms. Additionally,</w:t>
      </w:r>
      <w:r>
        <w:rPr>
          <w:spacing w:val="-10"/>
          <w:sz w:val="21"/>
        </w:rPr>
        <w:t> </w:t>
      </w:r>
      <w:r>
        <w:rPr>
          <w:sz w:val="21"/>
        </w:rPr>
        <w:t>when</w:t>
      </w:r>
      <w:r>
        <w:rPr>
          <w:spacing w:val="-10"/>
          <w:sz w:val="21"/>
        </w:rPr>
        <w:t> </w:t>
      </w:r>
      <w:r>
        <w:rPr>
          <w:sz w:val="21"/>
        </w:rPr>
        <w:t>students</w:t>
      </w:r>
      <w:r>
        <w:rPr>
          <w:spacing w:val="-11"/>
          <w:sz w:val="21"/>
        </w:rPr>
        <w:t> </w:t>
      </w:r>
      <w:r>
        <w:rPr>
          <w:sz w:val="21"/>
        </w:rPr>
        <w:t>engaged</w:t>
      </w:r>
      <w:r>
        <w:rPr>
          <w:spacing w:val="-10"/>
          <w:sz w:val="21"/>
        </w:rPr>
        <w:t> </w:t>
      </w:r>
      <w:r>
        <w:rPr>
          <w:sz w:val="21"/>
        </w:rPr>
        <w:t>more</w:t>
      </w:r>
      <w:r>
        <w:rPr>
          <w:spacing w:val="-10"/>
          <w:sz w:val="21"/>
        </w:rPr>
        <w:t> </w:t>
      </w:r>
      <w:r>
        <w:rPr>
          <w:sz w:val="21"/>
        </w:rPr>
        <w:t>with</w:t>
      </w:r>
      <w:r>
        <w:rPr>
          <w:spacing w:val="-10"/>
          <w:sz w:val="21"/>
        </w:rPr>
        <w:t> </w:t>
      </w:r>
      <w:r>
        <w:rPr>
          <w:sz w:val="21"/>
        </w:rPr>
        <w:t>the</w:t>
      </w:r>
      <w:r>
        <w:rPr>
          <w:spacing w:val="-12"/>
          <w:sz w:val="21"/>
        </w:rPr>
        <w:t> </w:t>
      </w:r>
      <w:r>
        <w:rPr>
          <w:sz w:val="21"/>
        </w:rPr>
        <w:t>GSA</w:t>
      </w:r>
      <w:r>
        <w:rPr>
          <w:spacing w:val="-11"/>
          <w:sz w:val="21"/>
        </w:rPr>
        <w:t> </w:t>
      </w:r>
      <w:r>
        <w:rPr>
          <w:sz w:val="21"/>
        </w:rPr>
        <w:t>over</w:t>
      </w:r>
      <w:r>
        <w:rPr>
          <w:spacing w:val="-10"/>
          <w:sz w:val="21"/>
        </w:rPr>
        <w:t> </w:t>
      </w:r>
      <w:r>
        <w:rPr>
          <w:sz w:val="21"/>
        </w:rPr>
        <w:t>the</w:t>
      </w:r>
      <w:r>
        <w:rPr>
          <w:spacing w:val="-10"/>
          <w:sz w:val="21"/>
        </w:rPr>
        <w:t> </w:t>
      </w:r>
      <w:r>
        <w:rPr>
          <w:sz w:val="21"/>
        </w:rPr>
        <w:t>school</w:t>
      </w:r>
      <w:r>
        <w:rPr>
          <w:spacing w:val="-10"/>
          <w:sz w:val="21"/>
        </w:rPr>
        <w:t> </w:t>
      </w:r>
      <w:r>
        <w:rPr>
          <w:sz w:val="21"/>
        </w:rPr>
        <w:t>year, they reported higher perceived levels of peer validation and self-efficacy to</w:t>
      </w:r>
    </w:p>
    <w:p>
      <w:pPr>
        <w:spacing w:line="276" w:lineRule="auto" w:before="0"/>
        <w:ind w:left="463" w:right="242" w:hanging="1"/>
        <w:jc w:val="both"/>
        <w:rPr>
          <w:sz w:val="21"/>
        </w:rPr>
      </w:pPr>
      <w:r>
        <w:rPr>
          <w:sz w:val="21"/>
        </w:rPr>
        <w:t>promote social justice</w:t>
      </w:r>
      <w:hyperlink w:history="true" w:anchor="_bookmark162">
        <w:r>
          <w:rPr>
            <w:sz w:val="21"/>
          </w:rPr>
          <w:t>.</w:t>
        </w:r>
        <w:r>
          <w:rPr>
            <w:sz w:val="21"/>
            <w:vertAlign w:val="superscript"/>
          </w:rPr>
          <w:t>62</w:t>
        </w:r>
      </w:hyperlink>
      <w:r>
        <w:rPr>
          <w:sz w:val="21"/>
          <w:vertAlign w:val="baseline"/>
        </w:rPr>
        <w:t> Accordingly, GLSEN found that students with active GSAs experienced nearly half as much in-person victimization for their sexual orientation or gender expression as their peers</w:t>
      </w:r>
      <w:hyperlink w:history="true" w:anchor="_bookmark163">
        <w:r>
          <w:rPr>
            <w:sz w:val="21"/>
            <w:vertAlign w:val="baseline"/>
          </w:rPr>
          <w:t>.</w:t>
        </w:r>
        <w:r>
          <w:rPr>
            <w:sz w:val="21"/>
            <w:vertAlign w:val="superscript"/>
          </w:rPr>
          <w:t>63</w:t>
        </w:r>
      </w:hyperlink>
    </w:p>
    <w:p>
      <w:pPr>
        <w:spacing w:line="276" w:lineRule="auto" w:before="241"/>
        <w:ind w:left="463" w:right="240" w:firstLine="0"/>
        <w:jc w:val="both"/>
        <w:rPr>
          <w:sz w:val="21"/>
        </w:rPr>
      </w:pPr>
      <w:r>
        <w:rPr>
          <w:sz w:val="21"/>
        </w:rPr>
        <w:t>Outside</w:t>
      </w:r>
      <w:r>
        <w:rPr>
          <w:spacing w:val="-2"/>
          <w:sz w:val="21"/>
        </w:rPr>
        <w:t> </w:t>
      </w:r>
      <w:r>
        <w:rPr>
          <w:sz w:val="21"/>
        </w:rPr>
        <w:t>of</w:t>
      </w:r>
      <w:r>
        <w:rPr>
          <w:spacing w:val="-2"/>
          <w:sz w:val="21"/>
        </w:rPr>
        <w:t> </w:t>
      </w:r>
      <w:r>
        <w:rPr>
          <w:sz w:val="21"/>
        </w:rPr>
        <w:t>school,</w:t>
      </w:r>
      <w:r>
        <w:rPr>
          <w:spacing w:val="-1"/>
          <w:sz w:val="21"/>
        </w:rPr>
        <w:t> </w:t>
      </w:r>
      <w:r>
        <w:rPr>
          <w:sz w:val="21"/>
        </w:rPr>
        <w:t>in-person</w:t>
      </w:r>
      <w:r>
        <w:rPr>
          <w:spacing w:val="-2"/>
          <w:sz w:val="21"/>
        </w:rPr>
        <w:t> </w:t>
      </w:r>
      <w:r>
        <w:rPr>
          <w:sz w:val="21"/>
        </w:rPr>
        <w:t>programs</w:t>
      </w:r>
      <w:r>
        <w:rPr>
          <w:spacing w:val="-2"/>
          <w:sz w:val="21"/>
        </w:rPr>
        <w:t> </w:t>
      </w:r>
      <w:r>
        <w:rPr>
          <w:sz w:val="21"/>
        </w:rPr>
        <w:t>can</w:t>
      </w:r>
      <w:r>
        <w:rPr>
          <w:spacing w:val="-3"/>
          <w:sz w:val="21"/>
        </w:rPr>
        <w:t> </w:t>
      </w:r>
      <w:r>
        <w:rPr>
          <w:sz w:val="21"/>
        </w:rPr>
        <w:t>be</w:t>
      </w:r>
      <w:r>
        <w:rPr>
          <w:spacing w:val="-2"/>
          <w:sz w:val="21"/>
        </w:rPr>
        <w:t> </w:t>
      </w:r>
      <w:r>
        <w:rPr>
          <w:sz w:val="21"/>
        </w:rPr>
        <w:t>based</w:t>
      </w:r>
      <w:r>
        <w:rPr>
          <w:spacing w:val="-2"/>
          <w:sz w:val="21"/>
        </w:rPr>
        <w:t> </w:t>
      </w:r>
      <w:r>
        <w:rPr>
          <w:sz w:val="21"/>
        </w:rPr>
        <w:t>in</w:t>
      </w:r>
      <w:r>
        <w:rPr>
          <w:spacing w:val="-3"/>
          <w:sz w:val="21"/>
        </w:rPr>
        <w:t> </w:t>
      </w:r>
      <w:r>
        <w:rPr>
          <w:sz w:val="21"/>
        </w:rPr>
        <w:t>LGBTQ</w:t>
      </w:r>
      <w:r>
        <w:rPr>
          <w:spacing w:val="-2"/>
          <w:sz w:val="21"/>
        </w:rPr>
        <w:t> </w:t>
      </w:r>
      <w:r>
        <w:rPr>
          <w:sz w:val="21"/>
        </w:rPr>
        <w:t>organizations</w:t>
      </w:r>
      <w:r>
        <w:rPr>
          <w:spacing w:val="-2"/>
          <w:sz w:val="21"/>
        </w:rPr>
        <w:t> </w:t>
      </w:r>
      <w:r>
        <w:rPr>
          <w:sz w:val="21"/>
        </w:rPr>
        <w:t>or</w:t>
      </w:r>
      <w:r>
        <w:rPr>
          <w:spacing w:val="-2"/>
          <w:sz w:val="21"/>
        </w:rPr>
        <w:t> </w:t>
      </w:r>
      <w:r>
        <w:rPr>
          <w:sz w:val="21"/>
        </w:rPr>
        <w:t>hubs</w:t>
      </w:r>
      <w:r>
        <w:rPr>
          <w:spacing w:val="-2"/>
          <w:sz w:val="21"/>
        </w:rPr>
        <w:t> </w:t>
      </w:r>
      <w:r>
        <w:rPr>
          <w:sz w:val="21"/>
        </w:rPr>
        <w:t>such</w:t>
      </w:r>
      <w:r>
        <w:rPr>
          <w:spacing w:val="-2"/>
          <w:sz w:val="21"/>
        </w:rPr>
        <w:t> </w:t>
      </w:r>
      <w:r>
        <w:rPr>
          <w:sz w:val="21"/>
        </w:rPr>
        <w:t>as</w:t>
      </w:r>
      <w:r>
        <w:rPr>
          <w:spacing w:val="-2"/>
          <w:sz w:val="21"/>
        </w:rPr>
        <w:t> </w:t>
      </w:r>
      <w:r>
        <w:rPr>
          <w:sz w:val="21"/>
        </w:rPr>
        <w:t>religious</w:t>
      </w:r>
      <w:r>
        <w:rPr>
          <w:spacing w:val="-2"/>
          <w:sz w:val="21"/>
        </w:rPr>
        <w:t> </w:t>
      </w:r>
      <w:r>
        <w:rPr>
          <w:sz w:val="21"/>
        </w:rPr>
        <w:t>buildings, libraries, and community health clinics, and often involve LGBTQ peers or families. Hatch Youth is one case: it provides free social time, consciousness-raising, and a youth- led peer support group four nights a week to 13- to</w:t>
      </w:r>
      <w:r>
        <w:rPr>
          <w:spacing w:val="-6"/>
          <w:sz w:val="21"/>
        </w:rPr>
        <w:t> </w:t>
      </w:r>
      <w:r>
        <w:rPr>
          <w:sz w:val="21"/>
        </w:rPr>
        <w:t>20-year-old</w:t>
      </w:r>
      <w:r>
        <w:rPr>
          <w:spacing w:val="-7"/>
          <w:sz w:val="21"/>
        </w:rPr>
        <w:t> </w:t>
      </w:r>
      <w:r>
        <w:rPr>
          <w:sz w:val="21"/>
        </w:rPr>
        <w:t>LGBTQ</w:t>
      </w:r>
      <w:r>
        <w:rPr>
          <w:spacing w:val="-5"/>
          <w:sz w:val="21"/>
        </w:rPr>
        <w:t> </w:t>
      </w:r>
      <w:r>
        <w:rPr>
          <w:sz w:val="21"/>
        </w:rPr>
        <w:t>youth.</w:t>
      </w:r>
      <w:r>
        <w:rPr>
          <w:spacing w:val="-7"/>
          <w:sz w:val="21"/>
        </w:rPr>
        <w:t> </w:t>
      </w:r>
      <w:r>
        <w:rPr>
          <w:sz w:val="21"/>
        </w:rPr>
        <w:t>One</w:t>
      </w:r>
      <w:r>
        <w:rPr>
          <w:spacing w:val="-7"/>
          <w:sz w:val="21"/>
        </w:rPr>
        <w:t> </w:t>
      </w:r>
      <w:r>
        <w:rPr>
          <w:sz w:val="21"/>
        </w:rPr>
        <w:t>study</w:t>
      </w:r>
      <w:r>
        <w:rPr>
          <w:spacing w:val="-6"/>
          <w:sz w:val="21"/>
        </w:rPr>
        <w:t> </w:t>
      </w:r>
      <w:r>
        <w:rPr>
          <w:sz w:val="21"/>
        </w:rPr>
        <w:t>showed</w:t>
      </w:r>
      <w:r>
        <w:rPr>
          <w:spacing w:val="-5"/>
          <w:sz w:val="21"/>
        </w:rPr>
        <w:t> </w:t>
      </w:r>
      <w:r>
        <w:rPr>
          <w:sz w:val="21"/>
        </w:rPr>
        <w:t>that</w:t>
      </w:r>
      <w:r>
        <w:rPr>
          <w:spacing w:val="-6"/>
          <w:sz w:val="21"/>
        </w:rPr>
        <w:t> </w:t>
      </w:r>
      <w:r>
        <w:rPr>
          <w:sz w:val="21"/>
        </w:rPr>
        <w:t>Hatch</w:t>
      </w:r>
      <w:r>
        <w:rPr>
          <w:spacing w:val="-5"/>
          <w:sz w:val="21"/>
        </w:rPr>
        <w:t> </w:t>
      </w:r>
      <w:r>
        <w:rPr>
          <w:sz w:val="21"/>
        </w:rPr>
        <w:t>Youth</w:t>
      </w:r>
      <w:r>
        <w:rPr>
          <w:spacing w:val="-7"/>
          <w:sz w:val="21"/>
        </w:rPr>
        <w:t> </w:t>
      </w:r>
      <w:r>
        <w:rPr>
          <w:sz w:val="21"/>
        </w:rPr>
        <w:t>increased</w:t>
      </w:r>
      <w:r>
        <w:rPr>
          <w:spacing w:val="-5"/>
          <w:sz w:val="21"/>
        </w:rPr>
        <w:t> </w:t>
      </w:r>
      <w:r>
        <w:rPr>
          <w:sz w:val="21"/>
        </w:rPr>
        <w:t>perceived</w:t>
      </w:r>
      <w:r>
        <w:rPr>
          <w:spacing w:val="-5"/>
          <w:sz w:val="21"/>
        </w:rPr>
        <w:t> </w:t>
      </w:r>
      <w:r>
        <w:rPr>
          <w:sz w:val="21"/>
        </w:rPr>
        <w:t>social</w:t>
      </w:r>
      <w:r>
        <w:rPr>
          <w:spacing w:val="-5"/>
          <w:sz w:val="21"/>
        </w:rPr>
        <w:t> </w:t>
      </w:r>
      <w:r>
        <w:rPr>
          <w:sz w:val="21"/>
        </w:rPr>
        <w:t>support,</w:t>
      </w:r>
      <w:r>
        <w:rPr>
          <w:spacing w:val="-6"/>
          <w:sz w:val="21"/>
        </w:rPr>
        <w:t> </w:t>
      </w:r>
      <w:r>
        <w:rPr>
          <w:sz w:val="21"/>
        </w:rPr>
        <w:t>leading</w:t>
      </w:r>
      <w:r>
        <w:rPr>
          <w:spacing w:val="-6"/>
          <w:sz w:val="21"/>
        </w:rPr>
        <w:t> </w:t>
      </w:r>
      <w:r>
        <w:rPr>
          <w:sz w:val="21"/>
        </w:rPr>
        <w:t>to depressive symptoms, higher self-esteem, and better coping skills</w:t>
      </w:r>
      <w:hyperlink w:history="true" w:anchor="_bookmark164">
        <w:r>
          <w:rPr>
            <w:sz w:val="21"/>
          </w:rPr>
          <w:t>.</w:t>
        </w:r>
        <w:r>
          <w:rPr>
            <w:sz w:val="21"/>
            <w:vertAlign w:val="superscript"/>
          </w:rPr>
          <w:t>64</w:t>
        </w:r>
      </w:hyperlink>
    </w:p>
    <w:p>
      <w:pPr>
        <w:spacing w:before="239"/>
        <w:ind w:left="463" w:right="0" w:firstLine="0"/>
        <w:jc w:val="both"/>
        <w:rPr>
          <w:sz w:val="28"/>
        </w:rPr>
      </w:pPr>
      <w:bookmarkStart w:name="Retreats and Summer Camps" w:id="251"/>
      <w:bookmarkEnd w:id="251"/>
      <w:r>
        <w:rPr/>
      </w:r>
      <w:r>
        <w:rPr>
          <w:color w:val="365F91"/>
          <w:sz w:val="28"/>
        </w:rPr>
        <w:t>Retreats</w:t>
      </w:r>
      <w:r>
        <w:rPr>
          <w:color w:val="365F91"/>
          <w:spacing w:val="-9"/>
          <w:sz w:val="28"/>
        </w:rPr>
        <w:t> </w:t>
      </w:r>
      <w:r>
        <w:rPr>
          <w:color w:val="365F91"/>
          <w:sz w:val="28"/>
        </w:rPr>
        <w:t>and</w:t>
      </w:r>
      <w:r>
        <w:rPr>
          <w:color w:val="365F91"/>
          <w:spacing w:val="-10"/>
          <w:sz w:val="28"/>
        </w:rPr>
        <w:t> </w:t>
      </w:r>
      <w:r>
        <w:rPr>
          <w:color w:val="365F91"/>
          <w:sz w:val="28"/>
        </w:rPr>
        <w:t>Summer</w:t>
      </w:r>
      <w:r>
        <w:rPr>
          <w:color w:val="365F91"/>
          <w:spacing w:val="-9"/>
          <w:sz w:val="28"/>
        </w:rPr>
        <w:t> </w:t>
      </w:r>
      <w:r>
        <w:rPr>
          <w:color w:val="365F91"/>
          <w:spacing w:val="-4"/>
          <w:sz w:val="28"/>
        </w:rPr>
        <w:t>Camps</w:t>
      </w:r>
    </w:p>
    <w:p>
      <w:pPr>
        <w:spacing w:line="276" w:lineRule="auto" w:before="291"/>
        <w:ind w:left="463" w:right="240" w:firstLine="0"/>
        <w:jc w:val="both"/>
        <w:rPr>
          <w:sz w:val="21"/>
        </w:rPr>
      </w:pPr>
      <w:r>
        <w:rPr>
          <w:sz w:val="21"/>
        </w:rPr>
        <w:t>Time-limited programs, such as retreats, can also be potent boosts for LGBTQ youth mental health. The CDC recognizes summer camps as one evidence-based intervention for helping youth build socioemotional skills</w:t>
      </w:r>
      <w:hyperlink w:history="true" w:anchor="_bookmark165">
        <w:r>
          <w:rPr>
            <w:sz w:val="21"/>
          </w:rPr>
          <w:t>.</w:t>
        </w:r>
        <w:r>
          <w:rPr>
            <w:sz w:val="21"/>
            <w:vertAlign w:val="superscript"/>
          </w:rPr>
          <w:t>65</w:t>
        </w:r>
      </w:hyperlink>
      <w:r>
        <w:rPr>
          <w:sz w:val="21"/>
          <w:vertAlign w:val="baseline"/>
        </w:rPr>
        <w:t> Brave Trails, a one-to-two week summer camp for youth ages 12-18 in California and Maryland, found that campers</w:t>
      </w:r>
      <w:r>
        <w:rPr>
          <w:spacing w:val="-4"/>
          <w:sz w:val="21"/>
          <w:vertAlign w:val="baseline"/>
        </w:rPr>
        <w:t> </w:t>
      </w:r>
      <w:r>
        <w:rPr>
          <w:sz w:val="21"/>
          <w:vertAlign w:val="baseline"/>
        </w:rPr>
        <w:t>experienced</w:t>
      </w:r>
      <w:r>
        <w:rPr>
          <w:spacing w:val="-3"/>
          <w:sz w:val="21"/>
          <w:vertAlign w:val="baseline"/>
        </w:rPr>
        <w:t> </w:t>
      </w:r>
      <w:r>
        <w:rPr>
          <w:sz w:val="21"/>
          <w:vertAlign w:val="baseline"/>
        </w:rPr>
        <w:t>significant</w:t>
      </w:r>
      <w:r>
        <w:rPr>
          <w:spacing w:val="-3"/>
          <w:sz w:val="21"/>
          <w:vertAlign w:val="baseline"/>
        </w:rPr>
        <w:t> </w:t>
      </w:r>
      <w:r>
        <w:rPr>
          <w:sz w:val="21"/>
          <w:vertAlign w:val="baseline"/>
        </w:rPr>
        <w:t>increases</w:t>
      </w:r>
      <w:r>
        <w:rPr>
          <w:spacing w:val="-4"/>
          <w:sz w:val="21"/>
          <w:vertAlign w:val="baseline"/>
        </w:rPr>
        <w:t> </w:t>
      </w:r>
      <w:r>
        <w:rPr>
          <w:sz w:val="21"/>
          <w:vertAlign w:val="baseline"/>
        </w:rPr>
        <w:t>in</w:t>
      </w:r>
      <w:r>
        <w:rPr>
          <w:spacing w:val="-3"/>
          <w:sz w:val="21"/>
          <w:vertAlign w:val="baseline"/>
        </w:rPr>
        <w:t> </w:t>
      </w:r>
      <w:r>
        <w:rPr>
          <w:sz w:val="21"/>
          <w:vertAlign w:val="baseline"/>
        </w:rPr>
        <w:t>self-esteem,</w:t>
      </w:r>
      <w:r>
        <w:rPr>
          <w:spacing w:val="-2"/>
          <w:sz w:val="21"/>
          <w:vertAlign w:val="baseline"/>
        </w:rPr>
        <w:t> </w:t>
      </w:r>
      <w:r>
        <w:rPr>
          <w:sz w:val="21"/>
          <w:vertAlign w:val="baseline"/>
        </w:rPr>
        <w:t>hope,</w:t>
      </w:r>
      <w:r>
        <w:rPr>
          <w:spacing w:val="-3"/>
          <w:sz w:val="21"/>
          <w:vertAlign w:val="baseline"/>
        </w:rPr>
        <w:t> </w:t>
      </w:r>
      <w:r>
        <w:rPr>
          <w:sz w:val="21"/>
          <w:vertAlign w:val="baseline"/>
        </w:rPr>
        <w:t>identity</w:t>
      </w:r>
      <w:r>
        <w:rPr>
          <w:spacing w:val="-3"/>
          <w:sz w:val="21"/>
          <w:vertAlign w:val="baseline"/>
        </w:rPr>
        <w:t> </w:t>
      </w:r>
      <w:r>
        <w:rPr>
          <w:sz w:val="21"/>
          <w:vertAlign w:val="baseline"/>
        </w:rPr>
        <w:t>affirmation,</w:t>
      </w:r>
      <w:r>
        <w:rPr>
          <w:spacing w:val="-2"/>
          <w:sz w:val="21"/>
          <w:vertAlign w:val="baseline"/>
        </w:rPr>
        <w:t> </w:t>
      </w:r>
      <w:r>
        <w:rPr>
          <w:sz w:val="21"/>
          <w:vertAlign w:val="baseline"/>
        </w:rPr>
        <w:t>and</w:t>
      </w:r>
      <w:r>
        <w:rPr>
          <w:spacing w:val="-3"/>
          <w:sz w:val="21"/>
          <w:vertAlign w:val="baseline"/>
        </w:rPr>
        <w:t> </w:t>
      </w:r>
      <w:r>
        <w:rPr>
          <w:sz w:val="21"/>
          <w:vertAlign w:val="baseline"/>
        </w:rPr>
        <w:t>resilience</w:t>
      </w:r>
      <w:hyperlink w:history="true" w:anchor="_bookmark166">
        <w:r>
          <w:rPr>
            <w:sz w:val="21"/>
            <w:vertAlign w:val="baseline"/>
          </w:rPr>
          <w:t>,</w:t>
        </w:r>
        <w:r>
          <w:rPr>
            <w:sz w:val="21"/>
            <w:vertAlign w:val="superscript"/>
          </w:rPr>
          <w:t>66</w:t>
        </w:r>
      </w:hyperlink>
      <w:r>
        <w:rPr>
          <w:spacing w:val="-3"/>
          <w:sz w:val="21"/>
          <w:vertAlign w:val="baseline"/>
        </w:rPr>
        <w:t> </w:t>
      </w:r>
      <w:r>
        <w:rPr>
          <w:sz w:val="21"/>
          <w:vertAlign w:val="baseline"/>
        </w:rPr>
        <w:t>as</w:t>
      </w:r>
      <w:r>
        <w:rPr>
          <w:spacing w:val="-3"/>
          <w:sz w:val="21"/>
          <w:vertAlign w:val="baseline"/>
        </w:rPr>
        <w:t> </w:t>
      </w:r>
      <w:r>
        <w:rPr>
          <w:sz w:val="21"/>
          <w:vertAlign w:val="baseline"/>
        </w:rPr>
        <w:t>well</w:t>
      </w:r>
      <w:r>
        <w:rPr>
          <w:spacing w:val="-3"/>
          <w:sz w:val="21"/>
          <w:vertAlign w:val="baseline"/>
        </w:rPr>
        <w:t> </w:t>
      </w:r>
      <w:r>
        <w:rPr>
          <w:sz w:val="21"/>
          <w:vertAlign w:val="baseline"/>
        </w:rPr>
        <w:t>as drops</w:t>
      </w:r>
      <w:r>
        <w:rPr>
          <w:spacing w:val="-2"/>
          <w:sz w:val="21"/>
          <w:vertAlign w:val="baseline"/>
        </w:rPr>
        <w:t> </w:t>
      </w:r>
      <w:r>
        <w:rPr>
          <w:sz w:val="21"/>
          <w:vertAlign w:val="baseline"/>
        </w:rPr>
        <w:t>in</w:t>
      </w:r>
      <w:r>
        <w:rPr>
          <w:spacing w:val="-2"/>
          <w:sz w:val="21"/>
          <w:vertAlign w:val="baseline"/>
        </w:rPr>
        <w:t> </w:t>
      </w:r>
      <w:r>
        <w:rPr>
          <w:sz w:val="21"/>
          <w:vertAlign w:val="baseline"/>
        </w:rPr>
        <w:t>symptoms</w:t>
      </w:r>
      <w:r>
        <w:rPr>
          <w:spacing w:val="-2"/>
          <w:sz w:val="21"/>
          <w:vertAlign w:val="baseline"/>
        </w:rPr>
        <w:t> </w:t>
      </w:r>
      <w:r>
        <w:rPr>
          <w:sz w:val="21"/>
          <w:vertAlign w:val="baseline"/>
        </w:rPr>
        <w:t>of</w:t>
      </w:r>
      <w:r>
        <w:rPr>
          <w:spacing w:val="-2"/>
          <w:sz w:val="21"/>
          <w:vertAlign w:val="baseline"/>
        </w:rPr>
        <w:t> </w:t>
      </w:r>
      <w:r>
        <w:rPr>
          <w:sz w:val="21"/>
          <w:vertAlign w:val="baseline"/>
        </w:rPr>
        <w:t>depression</w:t>
      </w:r>
      <w:r>
        <w:rPr>
          <w:spacing w:val="-2"/>
          <w:sz w:val="21"/>
          <w:vertAlign w:val="baseline"/>
        </w:rPr>
        <w:t> </w:t>
      </w:r>
      <w:r>
        <w:rPr>
          <w:sz w:val="21"/>
          <w:vertAlign w:val="baseline"/>
        </w:rPr>
        <w:t>and</w:t>
      </w:r>
      <w:r>
        <w:rPr>
          <w:spacing w:val="-2"/>
          <w:sz w:val="21"/>
          <w:vertAlign w:val="baseline"/>
        </w:rPr>
        <w:t> </w:t>
      </w:r>
      <w:r>
        <w:rPr>
          <w:sz w:val="21"/>
          <w:vertAlign w:val="baseline"/>
        </w:rPr>
        <w:t>anxiety</w:t>
      </w:r>
      <w:hyperlink w:history="true" w:anchor="_bookmark167">
        <w:r>
          <w:rPr>
            <w:sz w:val="21"/>
            <w:vertAlign w:val="baseline"/>
          </w:rPr>
          <w:t>.</w:t>
        </w:r>
        <w:r>
          <w:rPr>
            <w:sz w:val="21"/>
            <w:vertAlign w:val="superscript"/>
          </w:rPr>
          <w:t>67</w:t>
        </w:r>
      </w:hyperlink>
      <w:r>
        <w:rPr>
          <w:spacing w:val="-2"/>
          <w:sz w:val="21"/>
          <w:vertAlign w:val="baseline"/>
        </w:rPr>
        <w:t> </w:t>
      </w:r>
      <w:r>
        <w:rPr>
          <w:sz w:val="21"/>
          <w:vertAlign w:val="baseline"/>
        </w:rPr>
        <w:t>Gender</w:t>
      </w:r>
      <w:r>
        <w:rPr>
          <w:spacing w:val="-2"/>
          <w:sz w:val="21"/>
          <w:vertAlign w:val="baseline"/>
        </w:rPr>
        <w:t> </w:t>
      </w:r>
      <w:r>
        <w:rPr>
          <w:sz w:val="21"/>
          <w:vertAlign w:val="baseline"/>
        </w:rPr>
        <w:t>expansive</w:t>
      </w:r>
      <w:r>
        <w:rPr>
          <w:spacing w:val="-2"/>
          <w:sz w:val="21"/>
          <w:vertAlign w:val="baseline"/>
        </w:rPr>
        <w:t> </w:t>
      </w:r>
      <w:r>
        <w:rPr>
          <w:sz w:val="21"/>
          <w:vertAlign w:val="baseline"/>
        </w:rPr>
        <w:t>youth</w:t>
      </w:r>
      <w:r>
        <w:rPr>
          <w:spacing w:val="-2"/>
          <w:sz w:val="21"/>
          <w:vertAlign w:val="baseline"/>
        </w:rPr>
        <w:t> </w:t>
      </w:r>
      <w:r>
        <w:rPr>
          <w:sz w:val="21"/>
          <w:vertAlign w:val="baseline"/>
        </w:rPr>
        <w:t>in</w:t>
      </w:r>
      <w:r>
        <w:rPr>
          <w:spacing w:val="-2"/>
          <w:sz w:val="21"/>
          <w:vertAlign w:val="baseline"/>
        </w:rPr>
        <w:t> </w:t>
      </w:r>
      <w:r>
        <w:rPr>
          <w:sz w:val="21"/>
          <w:vertAlign w:val="baseline"/>
        </w:rPr>
        <w:t>particular</w:t>
      </w:r>
      <w:r>
        <w:rPr>
          <w:spacing w:val="-2"/>
          <w:sz w:val="21"/>
          <w:vertAlign w:val="baseline"/>
        </w:rPr>
        <w:t> </w:t>
      </w:r>
      <w:r>
        <w:rPr>
          <w:sz w:val="21"/>
          <w:vertAlign w:val="baseline"/>
        </w:rPr>
        <w:t>have</w:t>
      </w:r>
      <w:r>
        <w:rPr>
          <w:spacing w:val="-2"/>
          <w:sz w:val="21"/>
          <w:vertAlign w:val="baseline"/>
        </w:rPr>
        <w:t> </w:t>
      </w:r>
      <w:r>
        <w:rPr>
          <w:sz w:val="21"/>
          <w:vertAlign w:val="baseline"/>
        </w:rPr>
        <w:t>reported</w:t>
      </w:r>
      <w:r>
        <w:rPr>
          <w:spacing w:val="-2"/>
          <w:sz w:val="21"/>
          <w:vertAlign w:val="baseline"/>
        </w:rPr>
        <w:t> </w:t>
      </w:r>
      <w:r>
        <w:rPr>
          <w:sz w:val="21"/>
          <w:vertAlign w:val="baseline"/>
        </w:rPr>
        <w:t>being</w:t>
      </w:r>
      <w:r>
        <w:rPr>
          <w:spacing w:val="-2"/>
          <w:sz w:val="21"/>
          <w:vertAlign w:val="baseline"/>
        </w:rPr>
        <w:t> </w:t>
      </w:r>
      <w:r>
        <w:rPr>
          <w:sz w:val="21"/>
          <w:vertAlign w:val="baseline"/>
        </w:rPr>
        <w:t>able to have social interactions they could not find otherwise</w:t>
      </w:r>
      <w:hyperlink w:history="true" w:anchor="_bookmark167">
        <w:r>
          <w:rPr>
            <w:sz w:val="21"/>
            <w:vertAlign w:val="baseline"/>
          </w:rPr>
          <w:t>.</w:t>
        </w:r>
        <w:r>
          <w:rPr>
            <w:sz w:val="21"/>
            <w:vertAlign w:val="superscript"/>
          </w:rPr>
          <w:t>68</w:t>
        </w:r>
      </w:hyperlink>
    </w:p>
    <w:p>
      <w:pPr>
        <w:spacing w:before="239"/>
        <w:ind w:left="463" w:right="0" w:firstLine="0"/>
        <w:jc w:val="both"/>
        <w:rPr>
          <w:sz w:val="28"/>
        </w:rPr>
      </w:pPr>
      <w:bookmarkStart w:name="Activism-Oriented, Somatic, and Expressi" w:id="252"/>
      <w:bookmarkEnd w:id="252"/>
      <w:r>
        <w:rPr/>
      </w:r>
      <w:r>
        <w:rPr>
          <w:color w:val="365F91"/>
          <w:sz w:val="28"/>
        </w:rPr>
        <w:t>Activism-Oriented,</w:t>
      </w:r>
      <w:r>
        <w:rPr>
          <w:color w:val="365F91"/>
          <w:spacing w:val="-14"/>
          <w:sz w:val="28"/>
        </w:rPr>
        <w:t> </w:t>
      </w:r>
      <w:r>
        <w:rPr>
          <w:color w:val="365F91"/>
          <w:sz w:val="28"/>
        </w:rPr>
        <w:t>Somatic,</w:t>
      </w:r>
      <w:r>
        <w:rPr>
          <w:color w:val="365F91"/>
          <w:spacing w:val="-14"/>
          <w:sz w:val="28"/>
        </w:rPr>
        <w:t> </w:t>
      </w:r>
      <w:r>
        <w:rPr>
          <w:color w:val="365F91"/>
          <w:sz w:val="28"/>
        </w:rPr>
        <w:t>and</w:t>
      </w:r>
      <w:r>
        <w:rPr>
          <w:color w:val="365F91"/>
          <w:spacing w:val="-16"/>
          <w:sz w:val="28"/>
        </w:rPr>
        <w:t> </w:t>
      </w:r>
      <w:r>
        <w:rPr>
          <w:color w:val="365F91"/>
          <w:sz w:val="28"/>
        </w:rPr>
        <w:t>Expressive</w:t>
      </w:r>
      <w:r>
        <w:rPr>
          <w:color w:val="365F91"/>
          <w:spacing w:val="-14"/>
          <w:sz w:val="28"/>
        </w:rPr>
        <w:t> </w:t>
      </w:r>
      <w:r>
        <w:rPr>
          <w:color w:val="365F91"/>
          <w:sz w:val="28"/>
        </w:rPr>
        <w:t>Arts</w:t>
      </w:r>
      <w:r>
        <w:rPr>
          <w:color w:val="365F91"/>
          <w:spacing w:val="-14"/>
          <w:sz w:val="28"/>
        </w:rPr>
        <w:t> </w:t>
      </w:r>
      <w:r>
        <w:rPr>
          <w:color w:val="365F91"/>
          <w:spacing w:val="-2"/>
          <w:sz w:val="28"/>
        </w:rPr>
        <w:t>Interventions</w:t>
      </w:r>
    </w:p>
    <w:p>
      <w:pPr>
        <w:spacing w:line="276" w:lineRule="auto" w:before="293"/>
        <w:ind w:left="463" w:right="241" w:firstLine="0"/>
        <w:jc w:val="both"/>
        <w:rPr>
          <w:sz w:val="21"/>
        </w:rPr>
      </w:pPr>
      <w:r>
        <w:rPr>
          <w:sz w:val="21"/>
        </w:rPr>
        <w:t>Arts, body-based, and activist programs are leading mental health interventions for LGBTQ youth, especially trauma survivors. To begin, arts programs are engaging for many LGBTQ youth because self-expression is a celebrated value in US LGBTQ culture and a key developmental goal for young people. They also build self- esteem</w:t>
      </w:r>
      <w:r>
        <w:rPr>
          <w:spacing w:val="-6"/>
          <w:sz w:val="21"/>
        </w:rPr>
        <w:t> </w:t>
      </w:r>
      <w:r>
        <w:rPr>
          <w:sz w:val="21"/>
        </w:rPr>
        <w:t>and</w:t>
      </w:r>
      <w:r>
        <w:rPr>
          <w:spacing w:val="-8"/>
          <w:sz w:val="21"/>
        </w:rPr>
        <w:t> </w:t>
      </w:r>
      <w:r>
        <w:rPr>
          <w:sz w:val="21"/>
        </w:rPr>
        <w:t>identity</w:t>
      </w:r>
      <w:r>
        <w:rPr>
          <w:spacing w:val="-7"/>
          <w:sz w:val="21"/>
        </w:rPr>
        <w:t> </w:t>
      </w:r>
      <w:r>
        <w:rPr>
          <w:sz w:val="21"/>
        </w:rPr>
        <w:t>by</w:t>
      </w:r>
      <w:r>
        <w:rPr>
          <w:spacing w:val="-8"/>
          <w:sz w:val="21"/>
        </w:rPr>
        <w:t> </w:t>
      </w:r>
      <w:r>
        <w:rPr>
          <w:sz w:val="21"/>
        </w:rPr>
        <w:t>helping</w:t>
      </w:r>
      <w:r>
        <w:rPr>
          <w:spacing w:val="-7"/>
          <w:sz w:val="21"/>
        </w:rPr>
        <w:t> </w:t>
      </w:r>
      <w:r>
        <w:rPr>
          <w:sz w:val="21"/>
        </w:rPr>
        <w:t>youth</w:t>
      </w:r>
      <w:r>
        <w:rPr>
          <w:spacing w:val="-7"/>
          <w:sz w:val="21"/>
        </w:rPr>
        <w:t> </w:t>
      </w:r>
      <w:r>
        <w:rPr>
          <w:sz w:val="21"/>
        </w:rPr>
        <w:t>connect,</w:t>
      </w:r>
      <w:r>
        <w:rPr>
          <w:spacing w:val="-6"/>
          <w:sz w:val="21"/>
        </w:rPr>
        <w:t> </w:t>
      </w:r>
      <w:r>
        <w:rPr>
          <w:sz w:val="21"/>
        </w:rPr>
        <w:t>perform,</w:t>
      </w:r>
      <w:r>
        <w:rPr>
          <w:spacing w:val="-8"/>
          <w:sz w:val="21"/>
        </w:rPr>
        <w:t> </w:t>
      </w:r>
      <w:r>
        <w:rPr>
          <w:sz w:val="21"/>
        </w:rPr>
        <w:t>redefine,</w:t>
      </w:r>
      <w:r>
        <w:rPr>
          <w:spacing w:val="-6"/>
          <w:sz w:val="21"/>
        </w:rPr>
        <w:t> </w:t>
      </w:r>
      <w:r>
        <w:rPr>
          <w:sz w:val="21"/>
        </w:rPr>
        <w:t>and</w:t>
      </w:r>
      <w:r>
        <w:rPr>
          <w:spacing w:val="-8"/>
          <w:sz w:val="21"/>
        </w:rPr>
        <w:t> </w:t>
      </w:r>
      <w:r>
        <w:rPr>
          <w:sz w:val="21"/>
        </w:rPr>
        <w:t>be</w:t>
      </w:r>
      <w:r>
        <w:rPr>
          <w:spacing w:val="-7"/>
          <w:sz w:val="21"/>
        </w:rPr>
        <w:t> </w:t>
      </w:r>
      <w:r>
        <w:rPr>
          <w:sz w:val="21"/>
        </w:rPr>
        <w:t>who</w:t>
      </w:r>
      <w:r>
        <w:rPr>
          <w:spacing w:val="-7"/>
          <w:sz w:val="21"/>
        </w:rPr>
        <w:t> </w:t>
      </w:r>
      <w:r>
        <w:rPr>
          <w:sz w:val="21"/>
        </w:rPr>
        <w:t>they</w:t>
      </w:r>
      <w:r>
        <w:rPr>
          <w:spacing w:val="-8"/>
          <w:sz w:val="21"/>
        </w:rPr>
        <w:t> </w:t>
      </w:r>
      <w:r>
        <w:rPr>
          <w:sz w:val="21"/>
        </w:rPr>
        <w:t>are</w:t>
      </w:r>
      <w:r>
        <w:rPr>
          <w:spacing w:val="-7"/>
          <w:sz w:val="21"/>
        </w:rPr>
        <w:t> </w:t>
      </w:r>
      <w:r>
        <w:rPr>
          <w:sz w:val="21"/>
        </w:rPr>
        <w:t>despite</w:t>
      </w:r>
      <w:r>
        <w:rPr>
          <w:spacing w:val="-7"/>
          <w:sz w:val="21"/>
        </w:rPr>
        <w:t> </w:t>
      </w:r>
      <w:r>
        <w:rPr>
          <w:sz w:val="21"/>
        </w:rPr>
        <w:t>discrimination.</w:t>
      </w:r>
      <w:r>
        <w:rPr>
          <w:sz w:val="21"/>
          <w:vertAlign w:val="superscript"/>
        </w:rPr>
        <w:t>69</w:t>
      </w:r>
      <w:r>
        <w:rPr>
          <w:sz w:val="21"/>
          <w:vertAlign w:val="baseline"/>
        </w:rPr>
        <w:t> Arts programs can be done anywhere – for instance, a community-based mural project or a Hip Hop Therapy group</w:t>
      </w:r>
      <w:r>
        <w:rPr>
          <w:spacing w:val="15"/>
          <w:sz w:val="21"/>
          <w:vertAlign w:val="baseline"/>
        </w:rPr>
        <w:t> </w:t>
      </w:r>
      <w:r>
        <w:rPr>
          <w:sz w:val="21"/>
          <w:vertAlign w:val="baseline"/>
        </w:rPr>
        <w:t>in</w:t>
      </w:r>
      <w:r>
        <w:rPr>
          <w:spacing w:val="15"/>
          <w:sz w:val="21"/>
          <w:vertAlign w:val="baseline"/>
        </w:rPr>
        <w:t> </w:t>
      </w:r>
      <w:r>
        <w:rPr>
          <w:sz w:val="21"/>
          <w:vertAlign w:val="baseline"/>
        </w:rPr>
        <w:t>a</w:t>
      </w:r>
      <w:r>
        <w:rPr>
          <w:spacing w:val="15"/>
          <w:sz w:val="21"/>
          <w:vertAlign w:val="baseline"/>
        </w:rPr>
        <w:t> </w:t>
      </w:r>
      <w:r>
        <w:rPr>
          <w:sz w:val="21"/>
          <w:vertAlign w:val="baseline"/>
        </w:rPr>
        <w:t>juvenile</w:t>
      </w:r>
      <w:r>
        <w:rPr>
          <w:spacing w:val="15"/>
          <w:sz w:val="21"/>
          <w:vertAlign w:val="baseline"/>
        </w:rPr>
        <w:t> </w:t>
      </w:r>
      <w:r>
        <w:rPr>
          <w:sz w:val="21"/>
          <w:vertAlign w:val="baseline"/>
        </w:rPr>
        <w:t>detention</w:t>
      </w:r>
      <w:r>
        <w:rPr>
          <w:spacing w:val="15"/>
          <w:sz w:val="21"/>
          <w:vertAlign w:val="baseline"/>
        </w:rPr>
        <w:t> </w:t>
      </w:r>
      <w:r>
        <w:rPr>
          <w:sz w:val="21"/>
          <w:vertAlign w:val="baseline"/>
        </w:rPr>
        <w:t>facility.</w:t>
      </w:r>
      <w:r>
        <w:rPr>
          <w:spacing w:val="15"/>
          <w:sz w:val="21"/>
          <w:vertAlign w:val="baseline"/>
        </w:rPr>
        <w:t> </w:t>
      </w:r>
      <w:r>
        <w:rPr>
          <w:sz w:val="21"/>
          <w:vertAlign w:val="baseline"/>
        </w:rPr>
        <w:t>Another</w:t>
      </w:r>
      <w:r>
        <w:rPr>
          <w:spacing w:val="15"/>
          <w:sz w:val="21"/>
          <w:vertAlign w:val="baseline"/>
        </w:rPr>
        <w:t> </w:t>
      </w:r>
      <w:r>
        <w:rPr>
          <w:sz w:val="21"/>
          <w:vertAlign w:val="baseline"/>
        </w:rPr>
        <w:t>example</w:t>
      </w:r>
      <w:r>
        <w:rPr>
          <w:spacing w:val="13"/>
          <w:sz w:val="21"/>
          <w:vertAlign w:val="baseline"/>
        </w:rPr>
        <w:t> </w:t>
      </w:r>
      <w:r>
        <w:rPr>
          <w:sz w:val="21"/>
          <w:vertAlign w:val="baseline"/>
        </w:rPr>
        <w:t>is</w:t>
      </w:r>
      <w:r>
        <w:rPr>
          <w:spacing w:val="14"/>
          <w:sz w:val="21"/>
          <w:vertAlign w:val="baseline"/>
        </w:rPr>
        <w:t> </w:t>
      </w:r>
      <w:r>
        <w:rPr>
          <w:sz w:val="21"/>
          <w:vertAlign w:val="baseline"/>
        </w:rPr>
        <w:t>ReScripted</w:t>
      </w:r>
      <w:r>
        <w:rPr>
          <w:spacing w:val="15"/>
          <w:sz w:val="21"/>
          <w:vertAlign w:val="baseline"/>
        </w:rPr>
        <w:t> </w:t>
      </w:r>
      <w:r>
        <w:rPr>
          <w:sz w:val="21"/>
          <w:vertAlign w:val="baseline"/>
        </w:rPr>
        <w:t>–</w:t>
      </w:r>
      <w:r>
        <w:rPr>
          <w:spacing w:val="14"/>
          <w:sz w:val="21"/>
          <w:vertAlign w:val="baseline"/>
        </w:rPr>
        <w:t> </w:t>
      </w:r>
      <w:r>
        <w:rPr>
          <w:sz w:val="21"/>
          <w:vertAlign w:val="baseline"/>
        </w:rPr>
        <w:t>a</w:t>
      </w:r>
      <w:r>
        <w:rPr>
          <w:spacing w:val="15"/>
          <w:sz w:val="21"/>
          <w:vertAlign w:val="baseline"/>
        </w:rPr>
        <w:t> </w:t>
      </w:r>
      <w:r>
        <w:rPr>
          <w:sz w:val="21"/>
          <w:vertAlign w:val="baseline"/>
        </w:rPr>
        <w:t>theater,</w:t>
      </w:r>
      <w:r>
        <w:rPr>
          <w:spacing w:val="14"/>
          <w:sz w:val="21"/>
          <w:vertAlign w:val="baseline"/>
        </w:rPr>
        <w:t> </w:t>
      </w:r>
      <w:r>
        <w:rPr>
          <w:sz w:val="21"/>
          <w:vertAlign w:val="baseline"/>
        </w:rPr>
        <w:t>play,</w:t>
      </w:r>
      <w:r>
        <w:rPr>
          <w:spacing w:val="15"/>
          <w:sz w:val="21"/>
          <w:vertAlign w:val="baseline"/>
        </w:rPr>
        <w:t> </w:t>
      </w:r>
      <w:r>
        <w:rPr>
          <w:sz w:val="21"/>
          <w:vertAlign w:val="baseline"/>
        </w:rPr>
        <w:t>and</w:t>
      </w:r>
      <w:r>
        <w:rPr>
          <w:spacing w:val="14"/>
          <w:sz w:val="21"/>
          <w:vertAlign w:val="baseline"/>
        </w:rPr>
        <w:t> </w:t>
      </w:r>
      <w:r>
        <w:rPr>
          <w:sz w:val="21"/>
          <w:vertAlign w:val="baseline"/>
        </w:rPr>
        <w:t>movement-based</w:t>
      </w:r>
    </w:p>
    <w:p>
      <w:pPr>
        <w:spacing w:after="0" w:line="276" w:lineRule="auto"/>
        <w:jc w:val="both"/>
        <w:rPr>
          <w:sz w:val="21"/>
        </w:rPr>
        <w:sectPr>
          <w:pgSz w:w="12240" w:h="15840"/>
          <w:pgMar w:header="804" w:footer="1390" w:top="1080" w:bottom="1620" w:left="980" w:right="1080"/>
        </w:sectPr>
      </w:pPr>
    </w:p>
    <w:p>
      <w:pPr>
        <w:spacing w:line="276" w:lineRule="auto" w:before="69"/>
        <w:ind w:left="463" w:right="240" w:firstLine="0"/>
        <w:jc w:val="both"/>
        <w:rPr>
          <w:sz w:val="21"/>
        </w:rPr>
      </w:pPr>
      <w:r>
        <w:rPr>
          <w:sz w:val="21"/>
        </w:rPr>
        <w:t>pilot</w:t>
      </w:r>
      <w:r>
        <w:rPr>
          <w:spacing w:val="-4"/>
          <w:sz w:val="21"/>
        </w:rPr>
        <w:t> </w:t>
      </w:r>
      <w:r>
        <w:rPr>
          <w:sz w:val="21"/>
        </w:rPr>
        <w:t>program</w:t>
      </w:r>
      <w:r>
        <w:rPr>
          <w:spacing w:val="-4"/>
          <w:sz w:val="21"/>
        </w:rPr>
        <w:t> </w:t>
      </w:r>
      <w:r>
        <w:rPr>
          <w:sz w:val="21"/>
        </w:rPr>
        <w:t>by</w:t>
      </w:r>
      <w:r>
        <w:rPr>
          <w:spacing w:val="-4"/>
          <w:sz w:val="21"/>
        </w:rPr>
        <w:t> </w:t>
      </w:r>
      <w:r>
        <w:rPr>
          <w:sz w:val="21"/>
        </w:rPr>
        <w:t>the</w:t>
      </w:r>
      <w:r>
        <w:rPr>
          <w:spacing w:val="-4"/>
          <w:sz w:val="21"/>
        </w:rPr>
        <w:t> </w:t>
      </w:r>
      <w:r>
        <w:rPr>
          <w:sz w:val="21"/>
        </w:rPr>
        <w:t>Center</w:t>
      </w:r>
      <w:r>
        <w:rPr>
          <w:spacing w:val="-5"/>
          <w:sz w:val="21"/>
        </w:rPr>
        <w:t> </w:t>
      </w:r>
      <w:r>
        <w:rPr>
          <w:sz w:val="21"/>
        </w:rPr>
        <w:t>for</w:t>
      </w:r>
      <w:r>
        <w:rPr>
          <w:spacing w:val="-4"/>
          <w:sz w:val="21"/>
        </w:rPr>
        <w:t> </w:t>
      </w:r>
      <w:r>
        <w:rPr>
          <w:sz w:val="21"/>
        </w:rPr>
        <w:t>Trauma</w:t>
      </w:r>
      <w:r>
        <w:rPr>
          <w:spacing w:val="-4"/>
          <w:sz w:val="21"/>
        </w:rPr>
        <w:t> </w:t>
      </w:r>
      <w:r>
        <w:rPr>
          <w:sz w:val="21"/>
        </w:rPr>
        <w:t>and</w:t>
      </w:r>
      <w:r>
        <w:rPr>
          <w:spacing w:val="-4"/>
          <w:sz w:val="21"/>
        </w:rPr>
        <w:t> </w:t>
      </w:r>
      <w:r>
        <w:rPr>
          <w:sz w:val="21"/>
        </w:rPr>
        <w:t>Embodiment</w:t>
      </w:r>
      <w:r>
        <w:rPr>
          <w:spacing w:val="-4"/>
          <w:sz w:val="21"/>
        </w:rPr>
        <w:t> </w:t>
      </w:r>
      <w:r>
        <w:rPr>
          <w:sz w:val="21"/>
        </w:rPr>
        <w:t>that</w:t>
      </w:r>
      <w:r>
        <w:rPr>
          <w:spacing w:val="-4"/>
          <w:sz w:val="21"/>
        </w:rPr>
        <w:t> </w:t>
      </w:r>
      <w:r>
        <w:rPr>
          <w:sz w:val="21"/>
        </w:rPr>
        <w:t>improves</w:t>
      </w:r>
      <w:r>
        <w:rPr>
          <w:spacing w:val="-5"/>
          <w:sz w:val="21"/>
        </w:rPr>
        <w:t> </w:t>
      </w:r>
      <w:r>
        <w:rPr>
          <w:sz w:val="21"/>
        </w:rPr>
        <w:t>trauma</w:t>
      </w:r>
      <w:r>
        <w:rPr>
          <w:spacing w:val="-4"/>
          <w:sz w:val="21"/>
        </w:rPr>
        <w:t> </w:t>
      </w:r>
      <w:r>
        <w:rPr>
          <w:sz w:val="21"/>
        </w:rPr>
        <w:t>survivors’</w:t>
      </w:r>
      <w:r>
        <w:rPr>
          <w:spacing w:val="-4"/>
          <w:sz w:val="21"/>
        </w:rPr>
        <w:t> </w:t>
      </w:r>
      <w:r>
        <w:rPr>
          <w:sz w:val="21"/>
        </w:rPr>
        <w:t>interoception,</w:t>
      </w:r>
      <w:r>
        <w:rPr>
          <w:spacing w:val="-4"/>
          <w:sz w:val="21"/>
        </w:rPr>
        <w:t> </w:t>
      </w:r>
      <w:r>
        <w:rPr>
          <w:sz w:val="21"/>
        </w:rPr>
        <w:t>active choice-making, and self-regulation of behavior.</w:t>
      </w:r>
      <w:hyperlink w:history="true" w:anchor="_bookmark168">
        <w:r>
          <w:rPr>
            <w:sz w:val="21"/>
            <w:vertAlign w:val="superscript"/>
          </w:rPr>
          <w:t>70</w:t>
        </w:r>
      </w:hyperlink>
    </w:p>
    <w:p>
      <w:pPr>
        <w:spacing w:line="276" w:lineRule="auto" w:before="239"/>
        <w:ind w:left="463" w:right="240" w:firstLine="0"/>
        <w:jc w:val="both"/>
        <w:rPr>
          <w:sz w:val="21"/>
        </w:rPr>
      </w:pPr>
      <w:r>
        <w:rPr>
          <w:sz w:val="21"/>
        </w:rPr>
        <w:t>Next, somatic (body-based) interventions are increasingly popular among professionals and survivors because of mounting evidence that they are uniquely effective in treating trauma. One example is Trauma Center Trauma-Sensitive Yoga, the leading-edge program of its kind. A 2022 pilot study showed that female survivors of military sexual trauma who did TCTSY experienced benefits sooner and were more likely to complete treatment</w:t>
      </w:r>
      <w:r>
        <w:rPr>
          <w:spacing w:val="-12"/>
          <w:sz w:val="21"/>
        </w:rPr>
        <w:t> </w:t>
      </w:r>
      <w:r>
        <w:rPr>
          <w:sz w:val="21"/>
        </w:rPr>
        <w:t>than</w:t>
      </w:r>
      <w:r>
        <w:rPr>
          <w:spacing w:val="-12"/>
          <w:sz w:val="21"/>
        </w:rPr>
        <w:t> </w:t>
      </w:r>
      <w:r>
        <w:rPr>
          <w:sz w:val="21"/>
        </w:rPr>
        <w:t>peers</w:t>
      </w:r>
      <w:r>
        <w:rPr>
          <w:spacing w:val="-12"/>
          <w:sz w:val="21"/>
        </w:rPr>
        <w:t> </w:t>
      </w:r>
      <w:r>
        <w:rPr>
          <w:sz w:val="21"/>
        </w:rPr>
        <w:t>who</w:t>
      </w:r>
      <w:r>
        <w:rPr>
          <w:spacing w:val="-12"/>
          <w:sz w:val="21"/>
        </w:rPr>
        <w:t> </w:t>
      </w:r>
      <w:r>
        <w:rPr>
          <w:sz w:val="21"/>
        </w:rPr>
        <w:t>used</w:t>
      </w:r>
      <w:r>
        <w:rPr>
          <w:spacing w:val="-12"/>
          <w:sz w:val="21"/>
        </w:rPr>
        <w:t> </w:t>
      </w:r>
      <w:r>
        <w:rPr>
          <w:sz w:val="21"/>
        </w:rPr>
        <w:t>Cognitive</w:t>
      </w:r>
      <w:r>
        <w:rPr>
          <w:spacing w:val="-10"/>
          <w:sz w:val="21"/>
        </w:rPr>
        <w:t> </w:t>
      </w:r>
      <w:r>
        <w:rPr>
          <w:sz w:val="21"/>
        </w:rPr>
        <w:t>Processing</w:t>
      </w:r>
      <w:r>
        <w:rPr>
          <w:spacing w:val="-12"/>
          <w:sz w:val="21"/>
        </w:rPr>
        <w:t> </w:t>
      </w:r>
      <w:r>
        <w:rPr>
          <w:sz w:val="21"/>
        </w:rPr>
        <w:t>Therapy.</w:t>
      </w:r>
      <w:r>
        <w:rPr>
          <w:spacing w:val="-12"/>
          <w:sz w:val="21"/>
        </w:rPr>
        <w:t> </w:t>
      </w:r>
      <w:hyperlink w:history="true" w:anchor="_bookmark168">
        <w:r>
          <w:rPr>
            <w:sz w:val="21"/>
            <w:vertAlign w:val="superscript"/>
          </w:rPr>
          <w:t>71</w:t>
        </w:r>
      </w:hyperlink>
      <w:r>
        <w:rPr>
          <w:spacing w:val="-12"/>
          <w:sz w:val="21"/>
          <w:vertAlign w:val="baseline"/>
        </w:rPr>
        <w:t> </w:t>
      </w:r>
      <w:r>
        <w:rPr>
          <w:sz w:val="21"/>
          <w:vertAlign w:val="baseline"/>
        </w:rPr>
        <w:t>The</w:t>
      </w:r>
      <w:r>
        <w:rPr>
          <w:spacing w:val="-12"/>
          <w:sz w:val="21"/>
          <w:vertAlign w:val="baseline"/>
        </w:rPr>
        <w:t> </w:t>
      </w:r>
      <w:r>
        <w:rPr>
          <w:sz w:val="21"/>
          <w:vertAlign w:val="baseline"/>
        </w:rPr>
        <w:t>Trauma</w:t>
      </w:r>
      <w:r>
        <w:rPr>
          <w:spacing w:val="-11"/>
          <w:sz w:val="21"/>
          <w:vertAlign w:val="baseline"/>
        </w:rPr>
        <w:t> </w:t>
      </w:r>
      <w:r>
        <w:rPr>
          <w:sz w:val="21"/>
          <w:vertAlign w:val="baseline"/>
        </w:rPr>
        <w:t>Center</w:t>
      </w:r>
      <w:r>
        <w:rPr>
          <w:spacing w:val="-12"/>
          <w:sz w:val="21"/>
          <w:vertAlign w:val="baseline"/>
        </w:rPr>
        <w:t> </w:t>
      </w:r>
      <w:r>
        <w:rPr>
          <w:sz w:val="21"/>
          <w:vertAlign w:val="baseline"/>
        </w:rPr>
        <w:t>is</w:t>
      </w:r>
      <w:r>
        <w:rPr>
          <w:spacing w:val="-12"/>
          <w:sz w:val="21"/>
          <w:vertAlign w:val="baseline"/>
        </w:rPr>
        <w:t> </w:t>
      </w:r>
      <w:r>
        <w:rPr>
          <w:sz w:val="21"/>
          <w:vertAlign w:val="baseline"/>
        </w:rPr>
        <w:t>also</w:t>
      </w:r>
      <w:r>
        <w:rPr>
          <w:spacing w:val="-12"/>
          <w:sz w:val="21"/>
          <w:vertAlign w:val="baseline"/>
        </w:rPr>
        <w:t> </w:t>
      </w:r>
      <w:r>
        <w:rPr>
          <w:sz w:val="21"/>
          <w:vertAlign w:val="baseline"/>
        </w:rPr>
        <w:t>currently</w:t>
      </w:r>
      <w:r>
        <w:rPr>
          <w:spacing w:val="-12"/>
          <w:sz w:val="21"/>
          <w:vertAlign w:val="baseline"/>
        </w:rPr>
        <w:t> </w:t>
      </w:r>
      <w:r>
        <w:rPr>
          <w:sz w:val="21"/>
          <w:vertAlign w:val="baseline"/>
        </w:rPr>
        <w:t>researching the effectiveness of trauma-informed weight lifting with gender expansive people</w:t>
      </w:r>
      <w:hyperlink w:history="true" w:anchor="_bookmark169">
        <w:r>
          <w:rPr>
            <w:sz w:val="21"/>
            <w:vertAlign w:val="baseline"/>
          </w:rPr>
          <w:t>.</w:t>
        </w:r>
        <w:r>
          <w:rPr>
            <w:sz w:val="21"/>
            <w:vertAlign w:val="superscript"/>
          </w:rPr>
          <w:t>72</w:t>
        </w:r>
      </w:hyperlink>
      <w:r>
        <w:rPr>
          <w:sz w:val="21"/>
          <w:vertAlign w:val="baseline"/>
        </w:rPr>
        <w:t> Due to the high rates of trauma and victimization among LGBTQ youth, these types of interventions should be given special attention when allocating resources and funding.</w:t>
      </w:r>
    </w:p>
    <w:p>
      <w:pPr>
        <w:spacing w:line="276" w:lineRule="auto" w:before="240"/>
        <w:ind w:left="463" w:right="240" w:firstLine="0"/>
        <w:jc w:val="both"/>
        <w:rPr>
          <w:sz w:val="21"/>
        </w:rPr>
      </w:pPr>
      <w:r>
        <w:rPr>
          <w:sz w:val="21"/>
        </w:rPr>
        <w:t>Finally, research shows that activism-based programming connects LGBQ</w:t>
      </w:r>
      <w:hyperlink w:history="true" w:anchor="_bookmark170">
        <w:r>
          <w:rPr>
            <w:sz w:val="21"/>
            <w:vertAlign w:val="superscript"/>
          </w:rPr>
          <w:t>73</w:t>
        </w:r>
      </w:hyperlink>
      <w:r>
        <w:rPr>
          <w:sz w:val="21"/>
          <w:vertAlign w:val="baseline"/>
        </w:rPr>
        <w:t> and transgender youth</w:t>
      </w:r>
      <w:hyperlink w:history="true" w:anchor="_bookmark171">
        <w:r>
          <w:rPr>
            <w:sz w:val="21"/>
            <w:vertAlign w:val="superscript"/>
          </w:rPr>
          <w:t>74</w:t>
        </w:r>
      </w:hyperlink>
      <w:r>
        <w:rPr>
          <w:sz w:val="21"/>
          <w:vertAlign w:val="baseline"/>
        </w:rPr>
        <w:t> to a sense of community and purpose. Activism also directly meets three of SAMHSA’s principles of LGBTQ trauma- informed care – Empowerment, Voice and Choice, and Cultural, Historical, and Gender Issues. Activism helps youth</w:t>
      </w:r>
      <w:r>
        <w:rPr>
          <w:spacing w:val="-12"/>
          <w:sz w:val="21"/>
          <w:vertAlign w:val="baseline"/>
        </w:rPr>
        <w:t> </w:t>
      </w:r>
      <w:r>
        <w:rPr>
          <w:sz w:val="21"/>
          <w:vertAlign w:val="baseline"/>
        </w:rPr>
        <w:t>build</w:t>
      </w:r>
      <w:r>
        <w:rPr>
          <w:spacing w:val="-12"/>
          <w:sz w:val="21"/>
          <w:vertAlign w:val="baseline"/>
        </w:rPr>
        <w:t> </w:t>
      </w:r>
      <w:r>
        <w:rPr>
          <w:sz w:val="21"/>
          <w:vertAlign w:val="baseline"/>
        </w:rPr>
        <w:t>personal</w:t>
      </w:r>
      <w:r>
        <w:rPr>
          <w:spacing w:val="-12"/>
          <w:sz w:val="21"/>
          <w:vertAlign w:val="baseline"/>
        </w:rPr>
        <w:t> </w:t>
      </w:r>
      <w:r>
        <w:rPr>
          <w:sz w:val="21"/>
          <w:vertAlign w:val="baseline"/>
        </w:rPr>
        <w:t>resources</w:t>
      </w:r>
      <w:r>
        <w:rPr>
          <w:spacing w:val="-12"/>
          <w:sz w:val="21"/>
          <w:vertAlign w:val="baseline"/>
        </w:rPr>
        <w:t> </w:t>
      </w:r>
      <w:r>
        <w:rPr>
          <w:sz w:val="21"/>
          <w:vertAlign w:val="baseline"/>
        </w:rPr>
        <w:t>for</w:t>
      </w:r>
      <w:r>
        <w:rPr>
          <w:spacing w:val="-12"/>
          <w:sz w:val="21"/>
          <w:vertAlign w:val="baseline"/>
        </w:rPr>
        <w:t> </w:t>
      </w:r>
      <w:r>
        <w:rPr>
          <w:sz w:val="21"/>
          <w:vertAlign w:val="baseline"/>
        </w:rPr>
        <w:t>resilience,</w:t>
      </w:r>
      <w:r>
        <w:rPr>
          <w:spacing w:val="-11"/>
          <w:sz w:val="21"/>
          <w:vertAlign w:val="baseline"/>
        </w:rPr>
        <w:t> </w:t>
      </w:r>
      <w:r>
        <w:rPr>
          <w:sz w:val="21"/>
          <w:vertAlign w:val="baseline"/>
        </w:rPr>
        <w:t>like</w:t>
      </w:r>
      <w:r>
        <w:rPr>
          <w:spacing w:val="-12"/>
          <w:sz w:val="21"/>
          <w:vertAlign w:val="baseline"/>
        </w:rPr>
        <w:t> </w:t>
      </w:r>
      <w:r>
        <w:rPr>
          <w:sz w:val="21"/>
          <w:vertAlign w:val="baseline"/>
        </w:rPr>
        <w:t>self-pride</w:t>
      </w:r>
      <w:r>
        <w:rPr>
          <w:spacing w:val="-12"/>
          <w:sz w:val="21"/>
          <w:vertAlign w:val="baseline"/>
        </w:rPr>
        <w:t> </w:t>
      </w:r>
      <w:r>
        <w:rPr>
          <w:sz w:val="21"/>
          <w:vertAlign w:val="baseline"/>
        </w:rPr>
        <w:t>and</w:t>
      </w:r>
      <w:r>
        <w:rPr>
          <w:spacing w:val="-11"/>
          <w:sz w:val="21"/>
          <w:vertAlign w:val="baseline"/>
        </w:rPr>
        <w:t> </w:t>
      </w:r>
      <w:r>
        <w:rPr>
          <w:sz w:val="21"/>
          <w:vertAlign w:val="baseline"/>
        </w:rPr>
        <w:t>hope,</w:t>
      </w:r>
      <w:r>
        <w:rPr>
          <w:spacing w:val="-12"/>
          <w:sz w:val="21"/>
          <w:vertAlign w:val="baseline"/>
        </w:rPr>
        <w:t> </w:t>
      </w:r>
      <w:r>
        <w:rPr>
          <w:sz w:val="21"/>
          <w:vertAlign w:val="baseline"/>
        </w:rPr>
        <w:t>as</w:t>
      </w:r>
      <w:r>
        <w:rPr>
          <w:spacing w:val="-12"/>
          <w:sz w:val="21"/>
          <w:vertAlign w:val="baseline"/>
        </w:rPr>
        <w:t> </w:t>
      </w:r>
      <w:r>
        <w:rPr>
          <w:sz w:val="21"/>
          <w:vertAlign w:val="baseline"/>
        </w:rPr>
        <w:t>well</w:t>
      </w:r>
      <w:r>
        <w:rPr>
          <w:spacing w:val="-12"/>
          <w:sz w:val="21"/>
          <w:vertAlign w:val="baseline"/>
        </w:rPr>
        <w:t> </w:t>
      </w:r>
      <w:r>
        <w:rPr>
          <w:sz w:val="21"/>
          <w:vertAlign w:val="baseline"/>
        </w:rPr>
        <w:t>as</w:t>
      </w:r>
      <w:r>
        <w:rPr>
          <w:spacing w:val="-12"/>
          <w:sz w:val="21"/>
          <w:vertAlign w:val="baseline"/>
        </w:rPr>
        <w:t> </w:t>
      </w:r>
      <w:r>
        <w:rPr>
          <w:sz w:val="21"/>
          <w:vertAlign w:val="baseline"/>
        </w:rPr>
        <w:t>social</w:t>
      </w:r>
      <w:r>
        <w:rPr>
          <w:spacing w:val="-12"/>
          <w:sz w:val="21"/>
          <w:vertAlign w:val="baseline"/>
        </w:rPr>
        <w:t> </w:t>
      </w:r>
      <w:r>
        <w:rPr>
          <w:sz w:val="21"/>
          <w:vertAlign w:val="baseline"/>
        </w:rPr>
        <w:t>resources,</w:t>
      </w:r>
      <w:r>
        <w:rPr>
          <w:spacing w:val="-11"/>
          <w:sz w:val="21"/>
          <w:vertAlign w:val="baseline"/>
        </w:rPr>
        <w:t> </w:t>
      </w:r>
      <w:r>
        <w:rPr>
          <w:sz w:val="21"/>
          <w:vertAlign w:val="baseline"/>
        </w:rPr>
        <w:t>like</w:t>
      </w:r>
      <w:r>
        <w:rPr>
          <w:spacing w:val="-12"/>
          <w:sz w:val="21"/>
          <w:vertAlign w:val="baseline"/>
        </w:rPr>
        <w:t> </w:t>
      </w:r>
      <w:r>
        <w:rPr>
          <w:sz w:val="21"/>
          <w:vertAlign w:val="baseline"/>
        </w:rPr>
        <w:t>community belonging</w:t>
      </w:r>
      <w:hyperlink w:history="true" w:anchor="_bookmark172">
        <w:r>
          <w:rPr>
            <w:sz w:val="21"/>
            <w:vertAlign w:val="baseline"/>
          </w:rPr>
          <w:t>.</w:t>
        </w:r>
        <w:r>
          <w:rPr>
            <w:sz w:val="21"/>
            <w:vertAlign w:val="superscript"/>
          </w:rPr>
          <w:t>75</w:t>
        </w:r>
      </w:hyperlink>
      <w:r>
        <w:rPr>
          <w:sz w:val="21"/>
          <w:vertAlign w:val="baseline"/>
        </w:rPr>
        <w:t> It is also cathartic and can also be uniquely helpful for multiply-marginalized LGBTQ youth. For instance, research demonstrates that activism among LGBTQ women of color reduces the likelihood of feeling emotional distress about sexism</w:t>
      </w:r>
      <w:hyperlink w:history="true" w:anchor="_bookmark173">
        <w:r>
          <w:rPr>
            <w:sz w:val="21"/>
            <w:vertAlign w:val="baseline"/>
          </w:rPr>
          <w:t>.</w:t>
        </w:r>
        <w:r>
          <w:rPr>
            <w:sz w:val="21"/>
            <w:vertAlign w:val="superscript"/>
          </w:rPr>
          <w:t>76</w:t>
        </w:r>
      </w:hyperlink>
      <w:r>
        <w:rPr>
          <w:sz w:val="21"/>
          <w:vertAlign w:val="baseline"/>
        </w:rPr>
        <w:t> It has also been shown to be a useful coping mechanism and source of meaning after sexual assault – which many LGBTQ youth, especially gender expansive youth, experience</w:t>
      </w:r>
      <w:hyperlink w:history="true" w:anchor="_bookmark174">
        <w:r>
          <w:rPr>
            <w:sz w:val="21"/>
            <w:vertAlign w:val="baseline"/>
          </w:rPr>
          <w:t>.</w:t>
        </w:r>
        <w:r>
          <w:rPr>
            <w:sz w:val="21"/>
            <w:vertAlign w:val="superscript"/>
          </w:rPr>
          <w:t>77</w:t>
        </w:r>
      </w:hyperlink>
    </w:p>
    <w:p>
      <w:pPr>
        <w:spacing w:line="276" w:lineRule="auto" w:before="241"/>
        <w:ind w:left="515" w:right="292" w:firstLine="0"/>
        <w:jc w:val="center"/>
        <w:rPr>
          <w:sz w:val="21"/>
        </w:rPr>
      </w:pPr>
      <w:r>
        <w:rPr>
          <w:sz w:val="21"/>
        </w:rPr>
        <w:t>At</w:t>
      </w:r>
      <w:r>
        <w:rPr>
          <w:spacing w:val="-3"/>
          <w:sz w:val="21"/>
        </w:rPr>
        <w:t> </w:t>
      </w:r>
      <w:r>
        <w:rPr>
          <w:sz w:val="21"/>
        </w:rPr>
        <w:t>the</w:t>
      </w:r>
      <w:r>
        <w:rPr>
          <w:spacing w:val="-3"/>
          <w:sz w:val="21"/>
        </w:rPr>
        <w:t> </w:t>
      </w:r>
      <w:r>
        <w:rPr>
          <w:sz w:val="21"/>
        </w:rPr>
        <w:t>same</w:t>
      </w:r>
      <w:r>
        <w:rPr>
          <w:spacing w:val="-4"/>
          <w:sz w:val="21"/>
        </w:rPr>
        <w:t> </w:t>
      </w:r>
      <w:r>
        <w:rPr>
          <w:sz w:val="21"/>
        </w:rPr>
        <w:t>time,</w:t>
      </w:r>
      <w:r>
        <w:rPr>
          <w:spacing w:val="-3"/>
          <w:sz w:val="21"/>
        </w:rPr>
        <w:t> </w:t>
      </w:r>
      <w:r>
        <w:rPr>
          <w:sz w:val="21"/>
        </w:rPr>
        <w:t>supporters</w:t>
      </w:r>
      <w:r>
        <w:rPr>
          <w:spacing w:val="-3"/>
          <w:sz w:val="21"/>
        </w:rPr>
        <w:t> </w:t>
      </w:r>
      <w:r>
        <w:rPr>
          <w:sz w:val="21"/>
        </w:rPr>
        <w:t>should</w:t>
      </w:r>
      <w:r>
        <w:rPr>
          <w:spacing w:val="-3"/>
          <w:sz w:val="21"/>
        </w:rPr>
        <w:t> </w:t>
      </w:r>
      <w:r>
        <w:rPr>
          <w:sz w:val="21"/>
        </w:rPr>
        <w:t>remember</w:t>
      </w:r>
      <w:r>
        <w:rPr>
          <w:spacing w:val="-3"/>
          <w:sz w:val="21"/>
        </w:rPr>
        <w:t> </w:t>
      </w:r>
      <w:r>
        <w:rPr>
          <w:sz w:val="21"/>
        </w:rPr>
        <w:t>that</w:t>
      </w:r>
      <w:r>
        <w:rPr>
          <w:spacing w:val="-2"/>
          <w:sz w:val="21"/>
        </w:rPr>
        <w:t> </w:t>
      </w:r>
      <w:r>
        <w:rPr>
          <w:sz w:val="21"/>
        </w:rPr>
        <w:t>activism</w:t>
      </w:r>
      <w:r>
        <w:rPr>
          <w:spacing w:val="-3"/>
          <w:sz w:val="21"/>
        </w:rPr>
        <w:t> </w:t>
      </w:r>
      <w:r>
        <w:rPr>
          <w:sz w:val="21"/>
        </w:rPr>
        <w:t>does</w:t>
      </w:r>
      <w:r>
        <w:rPr>
          <w:spacing w:val="-3"/>
          <w:sz w:val="21"/>
        </w:rPr>
        <w:t> </w:t>
      </w:r>
      <w:r>
        <w:rPr>
          <w:sz w:val="21"/>
        </w:rPr>
        <w:t>not</w:t>
      </w:r>
      <w:r>
        <w:rPr>
          <w:spacing w:val="-2"/>
          <w:sz w:val="21"/>
        </w:rPr>
        <w:t> </w:t>
      </w:r>
      <w:r>
        <w:rPr>
          <w:sz w:val="21"/>
        </w:rPr>
        <w:t>always</w:t>
      </w:r>
      <w:r>
        <w:rPr>
          <w:spacing w:val="-4"/>
          <w:sz w:val="21"/>
        </w:rPr>
        <w:t> </w:t>
      </w:r>
      <w:r>
        <w:rPr>
          <w:sz w:val="21"/>
        </w:rPr>
        <w:t>decrease</w:t>
      </w:r>
      <w:r>
        <w:rPr>
          <w:spacing w:val="-3"/>
          <w:sz w:val="21"/>
        </w:rPr>
        <w:t> </w:t>
      </w:r>
      <w:r>
        <w:rPr>
          <w:sz w:val="21"/>
        </w:rPr>
        <w:t>anxiety</w:t>
      </w:r>
      <w:r>
        <w:rPr>
          <w:spacing w:val="-3"/>
          <w:sz w:val="21"/>
        </w:rPr>
        <w:t> </w:t>
      </w:r>
      <w:r>
        <w:rPr>
          <w:sz w:val="21"/>
        </w:rPr>
        <w:t>or</w:t>
      </w:r>
      <w:r>
        <w:rPr>
          <w:spacing w:val="-4"/>
          <w:sz w:val="21"/>
        </w:rPr>
        <w:t> </w:t>
      </w:r>
      <w:r>
        <w:rPr>
          <w:sz w:val="21"/>
        </w:rPr>
        <w:t>depressive symptoms, especially when it leads youth to take on more responsibilities, burn out, or feel hyper-aware of issues facing the community</w:t>
      </w:r>
      <w:hyperlink w:history="true" w:anchor="_bookmark175">
        <w:r>
          <w:rPr>
            <w:sz w:val="21"/>
          </w:rPr>
          <w:t>.</w:t>
        </w:r>
        <w:r>
          <w:rPr>
            <w:sz w:val="21"/>
            <w:vertAlign w:val="superscript"/>
          </w:rPr>
          <w:t>78</w:t>
        </w:r>
      </w:hyperlink>
      <w:r>
        <w:rPr>
          <w:sz w:val="21"/>
          <w:vertAlign w:val="baseline"/>
        </w:rPr>
        <w:t> Thus, any activism-based programming for LGBTQ youth should avoid placing the burden of legislative, policy, and cultural change upon youth. Rather, adult decision-makers should keep primary responsibility for driving reform, tapping youth to be the guiding voices and supporters of these </w:t>
      </w:r>
      <w:r>
        <w:rPr>
          <w:spacing w:val="-2"/>
          <w:sz w:val="21"/>
          <w:vertAlign w:val="baseline"/>
        </w:rPr>
        <w:t>causes.</w:t>
      </w:r>
    </w:p>
    <w:p>
      <w:pPr>
        <w:pStyle w:val="BodyText"/>
        <w:spacing w:before="7"/>
        <w:rPr>
          <w:sz w:val="17"/>
        </w:rPr>
      </w:pPr>
      <w:r>
        <w:rPr/>
        <w:drawing>
          <wp:anchor distT="0" distB="0" distL="0" distR="0" allowOverlap="1" layoutInCell="1" locked="0" behindDoc="1" simplePos="0" relativeHeight="487624192">
            <wp:simplePos x="0" y="0"/>
            <wp:positionH relativeFrom="page">
              <wp:posOffset>1432944</wp:posOffset>
            </wp:positionH>
            <wp:positionV relativeFrom="paragraph">
              <wp:posOffset>152021</wp:posOffset>
            </wp:positionV>
            <wp:extent cx="5012601" cy="1181100"/>
            <wp:effectExtent l="0" t="0" r="0" b="0"/>
            <wp:wrapTopAndBottom/>
            <wp:docPr id="238" name="Image 238"/>
            <wp:cNvGraphicFramePr>
              <a:graphicFrameLocks/>
            </wp:cNvGraphicFramePr>
            <a:graphic>
              <a:graphicData uri="http://schemas.openxmlformats.org/drawingml/2006/picture">
                <pic:pic>
                  <pic:nvPicPr>
                    <pic:cNvPr id="238" name="Image 238"/>
                    <pic:cNvPicPr/>
                  </pic:nvPicPr>
                  <pic:blipFill>
                    <a:blip r:embed="rId186" cstate="print"/>
                    <a:stretch>
                      <a:fillRect/>
                    </a:stretch>
                  </pic:blipFill>
                  <pic:spPr>
                    <a:xfrm>
                      <a:off x="0" y="0"/>
                      <a:ext cx="5012601" cy="1181100"/>
                    </a:xfrm>
                    <a:prstGeom prst="rect">
                      <a:avLst/>
                    </a:prstGeom>
                  </pic:spPr>
                </pic:pic>
              </a:graphicData>
            </a:graphic>
          </wp:anchor>
        </w:drawing>
      </w:r>
    </w:p>
    <w:p>
      <w:pPr>
        <w:pStyle w:val="BodyText"/>
        <w:spacing w:before="19"/>
        <w:rPr>
          <w:sz w:val="21"/>
        </w:rPr>
      </w:pPr>
    </w:p>
    <w:p>
      <w:pPr>
        <w:spacing w:line="276" w:lineRule="auto" w:before="0"/>
        <w:ind w:left="463" w:right="244" w:firstLine="0"/>
        <w:jc w:val="both"/>
        <w:rPr>
          <w:sz w:val="28"/>
        </w:rPr>
      </w:pPr>
      <w:bookmarkStart w:name="Systemic Barriers to Care: Mental Health" w:id="253"/>
      <w:bookmarkEnd w:id="253"/>
      <w:r>
        <w:rPr/>
      </w:r>
      <w:r>
        <w:rPr>
          <w:color w:val="365F91"/>
          <w:sz w:val="28"/>
        </w:rPr>
        <w:t>Systemic Barriers to Care: Mental Health Stigma, MHP Burnout, and Low </w:t>
      </w:r>
      <w:r>
        <w:rPr>
          <w:color w:val="365F91"/>
          <w:spacing w:val="-2"/>
          <w:sz w:val="28"/>
        </w:rPr>
        <w:t>Compensation</w:t>
      </w:r>
    </w:p>
    <w:p>
      <w:pPr>
        <w:spacing w:line="276" w:lineRule="auto" w:before="241"/>
        <w:ind w:left="463" w:right="241" w:firstLine="0"/>
        <w:jc w:val="both"/>
        <w:rPr>
          <w:sz w:val="21"/>
        </w:rPr>
      </w:pPr>
      <w:r>
        <w:rPr>
          <w:sz w:val="21"/>
        </w:rPr>
        <w:t>Lack of access to mental healthcare has reached a crisis point for youth across the US. In 2021, SAMHSA found that around 60% of 12- to 17-year-olds who had a major depressive episode in the past year did not receive treatment.</w:t>
      </w:r>
      <w:r>
        <w:rPr>
          <w:spacing w:val="-2"/>
          <w:sz w:val="21"/>
        </w:rPr>
        <w:t> </w:t>
      </w:r>
      <w:r>
        <w:rPr>
          <w:sz w:val="21"/>
        </w:rPr>
        <w:t>Meanwhile,</w:t>
      </w:r>
      <w:r>
        <w:rPr>
          <w:spacing w:val="-1"/>
          <w:sz w:val="21"/>
        </w:rPr>
        <w:t> </w:t>
      </w:r>
      <w:r>
        <w:rPr>
          <w:sz w:val="21"/>
        </w:rPr>
        <w:t>in</w:t>
      </w:r>
      <w:r>
        <w:rPr>
          <w:spacing w:val="-2"/>
          <w:sz w:val="21"/>
        </w:rPr>
        <w:t> </w:t>
      </w:r>
      <w:r>
        <w:rPr>
          <w:sz w:val="21"/>
        </w:rPr>
        <w:t>Massachusetts,</w:t>
      </w:r>
      <w:r>
        <w:rPr>
          <w:spacing w:val="-1"/>
          <w:sz w:val="21"/>
        </w:rPr>
        <w:t> </w:t>
      </w:r>
      <w:r>
        <w:rPr>
          <w:sz w:val="21"/>
        </w:rPr>
        <w:t>in</w:t>
      </w:r>
      <w:r>
        <w:rPr>
          <w:spacing w:val="-2"/>
          <w:sz w:val="21"/>
        </w:rPr>
        <w:t> </w:t>
      </w:r>
      <w:r>
        <w:rPr>
          <w:sz w:val="21"/>
        </w:rPr>
        <w:t>2021,</w:t>
      </w:r>
      <w:r>
        <w:rPr>
          <w:spacing w:val="-2"/>
          <w:sz w:val="21"/>
        </w:rPr>
        <w:t> </w:t>
      </w:r>
      <w:r>
        <w:rPr>
          <w:sz w:val="21"/>
        </w:rPr>
        <w:t>the</w:t>
      </w:r>
      <w:r>
        <w:rPr>
          <w:spacing w:val="-2"/>
          <w:sz w:val="21"/>
        </w:rPr>
        <w:t> </w:t>
      </w:r>
      <w:r>
        <w:rPr>
          <w:sz w:val="21"/>
        </w:rPr>
        <w:t>Trevor</w:t>
      </w:r>
      <w:r>
        <w:rPr>
          <w:spacing w:val="-2"/>
          <w:sz w:val="21"/>
        </w:rPr>
        <w:t> </w:t>
      </w:r>
      <w:r>
        <w:rPr>
          <w:sz w:val="21"/>
        </w:rPr>
        <w:t>Project</w:t>
      </w:r>
      <w:r>
        <w:rPr>
          <w:spacing w:val="-1"/>
          <w:sz w:val="21"/>
        </w:rPr>
        <w:t> </w:t>
      </w:r>
      <w:r>
        <w:rPr>
          <w:sz w:val="21"/>
        </w:rPr>
        <w:t>uncovered</w:t>
      </w:r>
      <w:r>
        <w:rPr>
          <w:spacing w:val="-2"/>
          <w:sz w:val="21"/>
        </w:rPr>
        <w:t> </w:t>
      </w:r>
      <w:r>
        <w:rPr>
          <w:sz w:val="21"/>
        </w:rPr>
        <w:t>that</w:t>
      </w:r>
      <w:r>
        <w:rPr>
          <w:spacing w:val="-1"/>
          <w:sz w:val="21"/>
        </w:rPr>
        <w:t> </w:t>
      </w:r>
      <w:r>
        <w:rPr>
          <w:sz w:val="21"/>
        </w:rPr>
        <w:t>53%</w:t>
      </w:r>
      <w:r>
        <w:rPr>
          <w:spacing w:val="-2"/>
          <w:sz w:val="21"/>
        </w:rPr>
        <w:t> </w:t>
      </w:r>
      <w:r>
        <w:rPr>
          <w:sz w:val="21"/>
        </w:rPr>
        <w:t>of</w:t>
      </w:r>
      <w:r>
        <w:rPr>
          <w:spacing w:val="-2"/>
          <w:sz w:val="21"/>
        </w:rPr>
        <w:t> </w:t>
      </w:r>
      <w:r>
        <w:rPr>
          <w:sz w:val="21"/>
        </w:rPr>
        <w:t>LGBTQ</w:t>
      </w:r>
      <w:r>
        <w:rPr>
          <w:spacing w:val="-2"/>
          <w:sz w:val="21"/>
        </w:rPr>
        <w:t> </w:t>
      </w:r>
      <w:r>
        <w:rPr>
          <w:sz w:val="21"/>
        </w:rPr>
        <w:t>youth</w:t>
      </w:r>
      <w:r>
        <w:rPr>
          <w:spacing w:val="-2"/>
          <w:sz w:val="21"/>
        </w:rPr>
        <w:t> </w:t>
      </w:r>
      <w:r>
        <w:rPr>
          <w:sz w:val="21"/>
        </w:rPr>
        <w:t>who wanted mental healthcare in the last year were not able to get it.</w:t>
      </w:r>
    </w:p>
    <w:p>
      <w:pPr>
        <w:spacing w:after="0" w:line="276" w:lineRule="auto"/>
        <w:jc w:val="both"/>
        <w:rPr>
          <w:sz w:val="21"/>
        </w:rPr>
        <w:sectPr>
          <w:pgSz w:w="12240" w:h="15840"/>
          <w:pgMar w:header="804" w:footer="1390" w:top="1080" w:bottom="1620" w:left="980" w:right="1080"/>
        </w:sectPr>
      </w:pPr>
    </w:p>
    <w:p>
      <w:pPr>
        <w:spacing w:line="276" w:lineRule="auto" w:before="69"/>
        <w:ind w:left="463" w:right="242" w:firstLine="0"/>
        <w:jc w:val="both"/>
        <w:rPr>
          <w:sz w:val="21"/>
        </w:rPr>
      </w:pPr>
      <w:r>
        <w:rPr>
          <w:sz w:val="21"/>
        </w:rPr>
        <w:t>Reasons</w:t>
      </w:r>
      <w:r>
        <w:rPr>
          <w:spacing w:val="-12"/>
          <w:sz w:val="21"/>
        </w:rPr>
        <w:t> </w:t>
      </w:r>
      <w:r>
        <w:rPr>
          <w:sz w:val="21"/>
        </w:rPr>
        <w:t>for</w:t>
      </w:r>
      <w:r>
        <w:rPr>
          <w:spacing w:val="-11"/>
          <w:sz w:val="21"/>
        </w:rPr>
        <w:t> </w:t>
      </w:r>
      <w:r>
        <w:rPr>
          <w:sz w:val="21"/>
        </w:rPr>
        <w:t>being</w:t>
      </w:r>
      <w:r>
        <w:rPr>
          <w:spacing w:val="-12"/>
          <w:sz w:val="21"/>
        </w:rPr>
        <w:t> </w:t>
      </w:r>
      <w:r>
        <w:rPr>
          <w:sz w:val="21"/>
        </w:rPr>
        <w:t>unable</w:t>
      </w:r>
      <w:r>
        <w:rPr>
          <w:spacing w:val="-12"/>
          <w:sz w:val="21"/>
        </w:rPr>
        <w:t> </w:t>
      </w:r>
      <w:r>
        <w:rPr>
          <w:sz w:val="21"/>
        </w:rPr>
        <w:t>to</w:t>
      </w:r>
      <w:r>
        <w:rPr>
          <w:spacing w:val="-12"/>
          <w:sz w:val="21"/>
        </w:rPr>
        <w:t> </w:t>
      </w:r>
      <w:r>
        <w:rPr>
          <w:sz w:val="21"/>
        </w:rPr>
        <w:t>access</w:t>
      </w:r>
      <w:r>
        <w:rPr>
          <w:spacing w:val="-12"/>
          <w:sz w:val="21"/>
        </w:rPr>
        <w:t> </w:t>
      </w:r>
      <w:r>
        <w:rPr>
          <w:sz w:val="21"/>
        </w:rPr>
        <w:t>care</w:t>
      </w:r>
      <w:r>
        <w:rPr>
          <w:spacing w:val="-12"/>
          <w:sz w:val="21"/>
        </w:rPr>
        <w:t> </w:t>
      </w:r>
      <w:r>
        <w:rPr>
          <w:sz w:val="21"/>
        </w:rPr>
        <w:t>vary.</w:t>
      </w:r>
      <w:r>
        <w:rPr>
          <w:spacing w:val="-12"/>
          <w:sz w:val="21"/>
        </w:rPr>
        <w:t> </w:t>
      </w:r>
      <w:r>
        <w:rPr>
          <w:sz w:val="21"/>
        </w:rPr>
        <w:t>In</w:t>
      </w:r>
      <w:r>
        <w:rPr>
          <w:spacing w:val="-10"/>
          <w:sz w:val="21"/>
        </w:rPr>
        <w:t> </w:t>
      </w:r>
      <w:r>
        <w:rPr>
          <w:sz w:val="21"/>
        </w:rPr>
        <w:t>Massachusetts,</w:t>
      </w:r>
      <w:r>
        <w:rPr>
          <w:spacing w:val="-11"/>
          <w:sz w:val="21"/>
        </w:rPr>
        <w:t> </w:t>
      </w:r>
      <w:r>
        <w:rPr>
          <w:sz w:val="21"/>
        </w:rPr>
        <w:t>LGBTQ</w:t>
      </w:r>
      <w:r>
        <w:rPr>
          <w:spacing w:val="-11"/>
          <w:sz w:val="21"/>
        </w:rPr>
        <w:t> </w:t>
      </w:r>
      <w:r>
        <w:rPr>
          <w:sz w:val="21"/>
        </w:rPr>
        <w:t>youths’</w:t>
      </w:r>
      <w:r>
        <w:rPr>
          <w:spacing w:val="-11"/>
          <w:sz w:val="21"/>
        </w:rPr>
        <w:t> </w:t>
      </w:r>
      <w:r>
        <w:rPr>
          <w:sz w:val="21"/>
        </w:rPr>
        <w:t>top</w:t>
      </w:r>
      <w:r>
        <w:rPr>
          <w:spacing w:val="-11"/>
          <w:sz w:val="21"/>
        </w:rPr>
        <w:t> </w:t>
      </w:r>
      <w:r>
        <w:rPr>
          <w:sz w:val="21"/>
        </w:rPr>
        <w:t>five</w:t>
      </w:r>
      <w:r>
        <w:rPr>
          <w:spacing w:val="-12"/>
          <w:sz w:val="21"/>
        </w:rPr>
        <w:t> </w:t>
      </w:r>
      <w:r>
        <w:rPr>
          <w:sz w:val="21"/>
        </w:rPr>
        <w:t>reported</w:t>
      </w:r>
      <w:r>
        <w:rPr>
          <w:spacing w:val="-11"/>
          <w:sz w:val="21"/>
        </w:rPr>
        <w:t> </w:t>
      </w:r>
      <w:r>
        <w:rPr>
          <w:sz w:val="21"/>
        </w:rPr>
        <w:t>barriers</w:t>
      </w:r>
      <w:r>
        <w:rPr>
          <w:spacing w:val="-12"/>
          <w:sz w:val="21"/>
        </w:rPr>
        <w:t> </w:t>
      </w:r>
      <w:r>
        <w:rPr>
          <w:sz w:val="21"/>
        </w:rPr>
        <w:t>include being afraid to talk about mental health with another person (43%); not wanting to get guardians’ permission (40%); being afraid of not being taken seriously (32%); not being able to afford care (31%); and being afraid it wouldn’t work (30%). Since many of these reasons relate to stigma and fear about care-seeking, reforms such as mental health literacy projects have high potential.</w:t>
      </w:r>
    </w:p>
    <w:p>
      <w:pPr>
        <w:spacing w:line="276" w:lineRule="auto" w:before="239"/>
        <w:ind w:left="463" w:right="241" w:firstLine="0"/>
        <w:jc w:val="both"/>
        <w:rPr>
          <w:sz w:val="21"/>
        </w:rPr>
      </w:pPr>
      <w:r>
        <w:rPr>
          <w:sz w:val="21"/>
        </w:rPr>
        <w:t>The</w:t>
      </w:r>
      <w:r>
        <w:rPr>
          <w:spacing w:val="-9"/>
          <w:sz w:val="21"/>
        </w:rPr>
        <w:t> </w:t>
      </w:r>
      <w:r>
        <w:rPr>
          <w:sz w:val="21"/>
        </w:rPr>
        <w:t>severe</w:t>
      </w:r>
      <w:r>
        <w:rPr>
          <w:spacing w:val="-10"/>
          <w:sz w:val="21"/>
        </w:rPr>
        <w:t> </w:t>
      </w:r>
      <w:r>
        <w:rPr>
          <w:sz w:val="21"/>
        </w:rPr>
        <w:t>shortage</w:t>
      </w:r>
      <w:r>
        <w:rPr>
          <w:spacing w:val="-9"/>
          <w:sz w:val="21"/>
        </w:rPr>
        <w:t> </w:t>
      </w:r>
      <w:r>
        <w:rPr>
          <w:sz w:val="21"/>
        </w:rPr>
        <w:t>of</w:t>
      </w:r>
      <w:r>
        <w:rPr>
          <w:spacing w:val="-10"/>
          <w:sz w:val="21"/>
        </w:rPr>
        <w:t> </w:t>
      </w:r>
      <w:r>
        <w:rPr>
          <w:sz w:val="21"/>
        </w:rPr>
        <w:t>MHPs</w:t>
      </w:r>
      <w:r>
        <w:rPr>
          <w:spacing w:val="-10"/>
          <w:sz w:val="21"/>
        </w:rPr>
        <w:t> </w:t>
      </w:r>
      <w:r>
        <w:rPr>
          <w:sz w:val="21"/>
        </w:rPr>
        <w:t>–</w:t>
      </w:r>
      <w:r>
        <w:rPr>
          <w:spacing w:val="-9"/>
          <w:sz w:val="21"/>
        </w:rPr>
        <w:t> </w:t>
      </w:r>
      <w:r>
        <w:rPr>
          <w:sz w:val="21"/>
        </w:rPr>
        <w:t>especially</w:t>
      </w:r>
      <w:r>
        <w:rPr>
          <w:spacing w:val="-9"/>
          <w:sz w:val="21"/>
        </w:rPr>
        <w:t> </w:t>
      </w:r>
      <w:r>
        <w:rPr>
          <w:sz w:val="21"/>
        </w:rPr>
        <w:t>those</w:t>
      </w:r>
      <w:r>
        <w:rPr>
          <w:spacing w:val="-9"/>
          <w:sz w:val="21"/>
        </w:rPr>
        <w:t> </w:t>
      </w:r>
      <w:r>
        <w:rPr>
          <w:sz w:val="21"/>
        </w:rPr>
        <w:t>who</w:t>
      </w:r>
      <w:r>
        <w:rPr>
          <w:spacing w:val="-10"/>
          <w:sz w:val="21"/>
        </w:rPr>
        <w:t> </w:t>
      </w:r>
      <w:r>
        <w:rPr>
          <w:sz w:val="21"/>
        </w:rPr>
        <w:t>are</w:t>
      </w:r>
      <w:r>
        <w:rPr>
          <w:spacing w:val="-9"/>
          <w:sz w:val="21"/>
        </w:rPr>
        <w:t> </w:t>
      </w:r>
      <w:r>
        <w:rPr>
          <w:sz w:val="21"/>
        </w:rPr>
        <w:t>LGBTQ</w:t>
      </w:r>
      <w:r>
        <w:rPr>
          <w:spacing w:val="-10"/>
          <w:sz w:val="21"/>
        </w:rPr>
        <w:t> </w:t>
      </w:r>
      <w:r>
        <w:rPr>
          <w:sz w:val="21"/>
        </w:rPr>
        <w:t>and</w:t>
      </w:r>
      <w:r>
        <w:rPr>
          <w:spacing w:val="-9"/>
          <w:sz w:val="21"/>
        </w:rPr>
        <w:t> </w:t>
      </w:r>
      <w:r>
        <w:rPr>
          <w:sz w:val="21"/>
        </w:rPr>
        <w:t>culturally</w:t>
      </w:r>
      <w:r>
        <w:rPr>
          <w:spacing w:val="-10"/>
          <w:sz w:val="21"/>
        </w:rPr>
        <w:t> </w:t>
      </w:r>
      <w:r>
        <w:rPr>
          <w:sz w:val="21"/>
        </w:rPr>
        <w:t>competent</w:t>
      </w:r>
      <w:r>
        <w:rPr>
          <w:spacing w:val="-9"/>
          <w:sz w:val="21"/>
        </w:rPr>
        <w:t> </w:t>
      </w:r>
      <w:r>
        <w:rPr>
          <w:sz w:val="21"/>
        </w:rPr>
        <w:t>–</w:t>
      </w:r>
      <w:r>
        <w:rPr>
          <w:spacing w:val="-10"/>
          <w:sz w:val="21"/>
        </w:rPr>
        <w:t> </w:t>
      </w:r>
      <w:r>
        <w:rPr>
          <w:sz w:val="21"/>
        </w:rPr>
        <w:t>is</w:t>
      </w:r>
      <w:r>
        <w:rPr>
          <w:spacing w:val="-10"/>
          <w:sz w:val="21"/>
        </w:rPr>
        <w:t> </w:t>
      </w:r>
      <w:r>
        <w:rPr>
          <w:sz w:val="21"/>
        </w:rPr>
        <w:t>another</w:t>
      </w:r>
      <w:r>
        <w:rPr>
          <w:spacing w:val="-9"/>
          <w:sz w:val="21"/>
        </w:rPr>
        <w:t> </w:t>
      </w:r>
      <w:r>
        <w:rPr>
          <w:sz w:val="21"/>
        </w:rPr>
        <w:t>significant barrier</w:t>
      </w:r>
      <w:r>
        <w:rPr>
          <w:spacing w:val="-3"/>
          <w:sz w:val="21"/>
        </w:rPr>
        <w:t> </w:t>
      </w:r>
      <w:r>
        <w:rPr>
          <w:sz w:val="21"/>
        </w:rPr>
        <w:t>to</w:t>
      </w:r>
      <w:r>
        <w:rPr>
          <w:spacing w:val="-3"/>
          <w:sz w:val="21"/>
        </w:rPr>
        <w:t> </w:t>
      </w:r>
      <w:r>
        <w:rPr>
          <w:sz w:val="21"/>
        </w:rPr>
        <w:t>care;</w:t>
      </w:r>
      <w:r>
        <w:rPr>
          <w:spacing w:val="-3"/>
          <w:sz w:val="21"/>
        </w:rPr>
        <w:t> </w:t>
      </w:r>
      <w:r>
        <w:rPr>
          <w:sz w:val="21"/>
        </w:rPr>
        <w:t>MHP</w:t>
      </w:r>
      <w:r>
        <w:rPr>
          <w:spacing w:val="-3"/>
          <w:sz w:val="21"/>
        </w:rPr>
        <w:t> </w:t>
      </w:r>
      <w:r>
        <w:rPr>
          <w:sz w:val="21"/>
        </w:rPr>
        <w:t>trainees</w:t>
      </w:r>
      <w:r>
        <w:rPr>
          <w:spacing w:val="-3"/>
          <w:sz w:val="21"/>
        </w:rPr>
        <w:t> </w:t>
      </w:r>
      <w:r>
        <w:rPr>
          <w:sz w:val="21"/>
        </w:rPr>
        <w:t>such</w:t>
      </w:r>
      <w:r>
        <w:rPr>
          <w:spacing w:val="-3"/>
          <w:sz w:val="21"/>
        </w:rPr>
        <w:t> </w:t>
      </w:r>
      <w:r>
        <w:rPr>
          <w:sz w:val="21"/>
        </w:rPr>
        <w:t>as</w:t>
      </w:r>
      <w:r>
        <w:rPr>
          <w:spacing w:val="-3"/>
          <w:sz w:val="21"/>
        </w:rPr>
        <w:t> </w:t>
      </w:r>
      <w:r>
        <w:rPr>
          <w:sz w:val="21"/>
        </w:rPr>
        <w:t>social</w:t>
      </w:r>
      <w:r>
        <w:rPr>
          <w:spacing w:val="-3"/>
          <w:sz w:val="21"/>
        </w:rPr>
        <w:t> </w:t>
      </w:r>
      <w:r>
        <w:rPr>
          <w:sz w:val="21"/>
        </w:rPr>
        <w:t>work</w:t>
      </w:r>
      <w:r>
        <w:rPr>
          <w:spacing w:val="-2"/>
          <w:sz w:val="21"/>
        </w:rPr>
        <w:t> </w:t>
      </w:r>
      <w:r>
        <w:rPr>
          <w:sz w:val="21"/>
        </w:rPr>
        <w:t>students</w:t>
      </w:r>
      <w:r>
        <w:rPr>
          <w:spacing w:val="-3"/>
          <w:sz w:val="21"/>
        </w:rPr>
        <w:t> </w:t>
      </w:r>
      <w:r>
        <w:rPr>
          <w:sz w:val="21"/>
        </w:rPr>
        <w:t>often</w:t>
      </w:r>
      <w:r>
        <w:rPr>
          <w:spacing w:val="-3"/>
          <w:sz w:val="21"/>
        </w:rPr>
        <w:t> </w:t>
      </w:r>
      <w:r>
        <w:rPr>
          <w:sz w:val="21"/>
        </w:rPr>
        <w:t>provide</w:t>
      </w:r>
      <w:r>
        <w:rPr>
          <w:spacing w:val="-3"/>
          <w:sz w:val="21"/>
        </w:rPr>
        <w:t> </w:t>
      </w:r>
      <w:r>
        <w:rPr>
          <w:sz w:val="21"/>
        </w:rPr>
        <w:t>life-affirming</w:t>
      </w:r>
      <w:r>
        <w:rPr>
          <w:spacing w:val="-3"/>
          <w:sz w:val="21"/>
        </w:rPr>
        <w:t> </w:t>
      </w:r>
      <w:r>
        <w:rPr>
          <w:sz w:val="21"/>
        </w:rPr>
        <w:t>mental</w:t>
      </w:r>
      <w:r>
        <w:rPr>
          <w:spacing w:val="-3"/>
          <w:sz w:val="21"/>
        </w:rPr>
        <w:t> </w:t>
      </w:r>
      <w:r>
        <w:rPr>
          <w:sz w:val="21"/>
        </w:rPr>
        <w:t>health</w:t>
      </w:r>
      <w:r>
        <w:rPr>
          <w:spacing w:val="-3"/>
          <w:sz w:val="21"/>
        </w:rPr>
        <w:t> </w:t>
      </w:r>
      <w:r>
        <w:rPr>
          <w:sz w:val="21"/>
        </w:rPr>
        <w:t>support</w:t>
      </w:r>
      <w:r>
        <w:rPr>
          <w:spacing w:val="-2"/>
          <w:sz w:val="21"/>
        </w:rPr>
        <w:t> </w:t>
      </w:r>
      <w:r>
        <w:rPr>
          <w:sz w:val="21"/>
        </w:rPr>
        <w:t>in internships across Massachusetts. However, many are required to provide this unpaid labor for roughly half of the</w:t>
      </w:r>
      <w:r>
        <w:rPr>
          <w:spacing w:val="-6"/>
          <w:sz w:val="21"/>
        </w:rPr>
        <w:t> </w:t>
      </w:r>
      <w:r>
        <w:rPr>
          <w:sz w:val="21"/>
        </w:rPr>
        <w:t>work</w:t>
      </w:r>
      <w:r>
        <w:rPr>
          <w:spacing w:val="-5"/>
          <w:sz w:val="21"/>
        </w:rPr>
        <w:t> </w:t>
      </w:r>
      <w:r>
        <w:rPr>
          <w:sz w:val="21"/>
        </w:rPr>
        <w:t>week</w:t>
      </w:r>
      <w:r>
        <w:rPr>
          <w:spacing w:val="-5"/>
          <w:sz w:val="21"/>
        </w:rPr>
        <w:t> </w:t>
      </w:r>
      <w:r>
        <w:rPr>
          <w:sz w:val="21"/>
        </w:rPr>
        <w:t>over</w:t>
      </w:r>
      <w:r>
        <w:rPr>
          <w:spacing w:val="-6"/>
          <w:sz w:val="21"/>
        </w:rPr>
        <w:t> </w:t>
      </w:r>
      <w:r>
        <w:rPr>
          <w:sz w:val="21"/>
        </w:rPr>
        <w:t>two</w:t>
      </w:r>
      <w:r>
        <w:rPr>
          <w:spacing w:val="-6"/>
          <w:sz w:val="21"/>
        </w:rPr>
        <w:t> </w:t>
      </w:r>
      <w:r>
        <w:rPr>
          <w:sz w:val="21"/>
        </w:rPr>
        <w:t>years</w:t>
      </w:r>
      <w:r>
        <w:rPr>
          <w:spacing w:val="-6"/>
          <w:sz w:val="21"/>
        </w:rPr>
        <w:t> </w:t>
      </w:r>
      <w:r>
        <w:rPr>
          <w:sz w:val="21"/>
        </w:rPr>
        <w:t>in</w:t>
      </w:r>
      <w:r>
        <w:rPr>
          <w:spacing w:val="-6"/>
          <w:sz w:val="21"/>
        </w:rPr>
        <w:t> </w:t>
      </w:r>
      <w:r>
        <w:rPr>
          <w:sz w:val="21"/>
        </w:rPr>
        <w:t>order</w:t>
      </w:r>
      <w:r>
        <w:rPr>
          <w:spacing w:val="-6"/>
          <w:sz w:val="21"/>
        </w:rPr>
        <w:t> </w:t>
      </w:r>
      <w:r>
        <w:rPr>
          <w:sz w:val="21"/>
        </w:rPr>
        <w:t>to</w:t>
      </w:r>
      <w:r>
        <w:rPr>
          <w:spacing w:val="-6"/>
          <w:sz w:val="21"/>
        </w:rPr>
        <w:t> </w:t>
      </w:r>
      <w:r>
        <w:rPr>
          <w:sz w:val="21"/>
        </w:rPr>
        <w:t>graduate</w:t>
      </w:r>
      <w:r>
        <w:rPr>
          <w:spacing w:val="-6"/>
          <w:sz w:val="21"/>
        </w:rPr>
        <w:t> </w:t>
      </w:r>
      <w:r>
        <w:rPr>
          <w:sz w:val="21"/>
        </w:rPr>
        <w:t>–</w:t>
      </w:r>
      <w:r>
        <w:rPr>
          <w:spacing w:val="-5"/>
          <w:sz w:val="21"/>
        </w:rPr>
        <w:t> </w:t>
      </w:r>
      <w:r>
        <w:rPr>
          <w:sz w:val="21"/>
        </w:rPr>
        <w:t>and</w:t>
      </w:r>
      <w:r>
        <w:rPr>
          <w:spacing w:val="-6"/>
          <w:sz w:val="21"/>
        </w:rPr>
        <w:t> </w:t>
      </w:r>
      <w:r>
        <w:rPr>
          <w:sz w:val="21"/>
        </w:rPr>
        <w:t>pay</w:t>
      </w:r>
      <w:r>
        <w:rPr>
          <w:spacing w:val="-6"/>
          <w:sz w:val="21"/>
        </w:rPr>
        <w:t> </w:t>
      </w:r>
      <w:r>
        <w:rPr>
          <w:sz w:val="21"/>
        </w:rPr>
        <w:t>increased</w:t>
      </w:r>
      <w:r>
        <w:rPr>
          <w:spacing w:val="-6"/>
          <w:sz w:val="21"/>
        </w:rPr>
        <w:t> </w:t>
      </w:r>
      <w:r>
        <w:rPr>
          <w:sz w:val="21"/>
        </w:rPr>
        <w:t>tuition</w:t>
      </w:r>
      <w:r>
        <w:rPr>
          <w:spacing w:val="-6"/>
          <w:sz w:val="21"/>
        </w:rPr>
        <w:t> </w:t>
      </w:r>
      <w:r>
        <w:rPr>
          <w:sz w:val="21"/>
        </w:rPr>
        <w:t>for</w:t>
      </w:r>
      <w:r>
        <w:rPr>
          <w:spacing w:val="-6"/>
          <w:sz w:val="21"/>
        </w:rPr>
        <w:t> </w:t>
      </w:r>
      <w:r>
        <w:rPr>
          <w:sz w:val="21"/>
        </w:rPr>
        <w:t>these</w:t>
      </w:r>
      <w:r>
        <w:rPr>
          <w:spacing w:val="-6"/>
          <w:sz w:val="21"/>
        </w:rPr>
        <w:t> </w:t>
      </w:r>
      <w:r>
        <w:rPr>
          <w:sz w:val="21"/>
        </w:rPr>
        <w:t>placements.</w:t>
      </w:r>
      <w:r>
        <w:rPr>
          <w:spacing w:val="-6"/>
          <w:sz w:val="21"/>
        </w:rPr>
        <w:t> </w:t>
      </w:r>
      <w:r>
        <w:rPr>
          <w:sz w:val="21"/>
        </w:rPr>
        <w:t>Combined with already-high tuition, living costs, and loan interest rates, this financial burden mirrors the low wages and overwhelming caseloads that MHPs face after graduation. These conditions fuel high rates of burning out, turning over, and leaving the field entirely, as it is already difficult for MHPs to graduate, let alone find meaningfully-paid</w:t>
      </w:r>
      <w:r>
        <w:rPr>
          <w:spacing w:val="-11"/>
          <w:sz w:val="21"/>
        </w:rPr>
        <w:t> </w:t>
      </w:r>
      <w:r>
        <w:rPr>
          <w:sz w:val="21"/>
        </w:rPr>
        <w:t>work.</w:t>
      </w:r>
      <w:r>
        <w:rPr>
          <w:spacing w:val="-11"/>
          <w:sz w:val="21"/>
        </w:rPr>
        <w:t> </w:t>
      </w:r>
      <w:r>
        <w:rPr>
          <w:sz w:val="21"/>
        </w:rPr>
        <w:t>This</w:t>
      </w:r>
      <w:r>
        <w:rPr>
          <w:spacing w:val="-12"/>
          <w:sz w:val="21"/>
        </w:rPr>
        <w:t> </w:t>
      </w:r>
      <w:r>
        <w:rPr>
          <w:sz w:val="21"/>
        </w:rPr>
        <w:t>is</w:t>
      </w:r>
      <w:r>
        <w:rPr>
          <w:spacing w:val="-12"/>
          <w:sz w:val="21"/>
        </w:rPr>
        <w:t> </w:t>
      </w:r>
      <w:r>
        <w:rPr>
          <w:sz w:val="21"/>
        </w:rPr>
        <w:t>why</w:t>
      </w:r>
      <w:r>
        <w:rPr>
          <w:spacing w:val="-12"/>
          <w:sz w:val="21"/>
        </w:rPr>
        <w:t> </w:t>
      </w:r>
      <w:r>
        <w:rPr>
          <w:sz w:val="21"/>
        </w:rPr>
        <w:t>the</w:t>
      </w:r>
      <w:r>
        <w:rPr>
          <w:spacing w:val="-11"/>
          <w:sz w:val="21"/>
        </w:rPr>
        <w:t> </w:t>
      </w:r>
      <w:r>
        <w:rPr>
          <w:sz w:val="21"/>
        </w:rPr>
        <w:t>Commission</w:t>
      </w:r>
      <w:r>
        <w:rPr>
          <w:spacing w:val="-11"/>
          <w:sz w:val="21"/>
        </w:rPr>
        <w:t> </w:t>
      </w:r>
      <w:r>
        <w:rPr>
          <w:sz w:val="21"/>
        </w:rPr>
        <w:t>recommends</w:t>
      </w:r>
      <w:r>
        <w:rPr>
          <w:spacing w:val="-12"/>
          <w:sz w:val="21"/>
        </w:rPr>
        <w:t> </w:t>
      </w:r>
      <w:r>
        <w:rPr>
          <w:sz w:val="21"/>
        </w:rPr>
        <w:t>that</w:t>
      </w:r>
      <w:r>
        <w:rPr>
          <w:spacing w:val="-11"/>
          <w:sz w:val="21"/>
        </w:rPr>
        <w:t> </w:t>
      </w:r>
      <w:r>
        <w:rPr>
          <w:sz w:val="21"/>
        </w:rPr>
        <w:t>allies</w:t>
      </w:r>
      <w:r>
        <w:rPr>
          <w:spacing w:val="-12"/>
          <w:sz w:val="21"/>
        </w:rPr>
        <w:t> </w:t>
      </w:r>
      <w:r>
        <w:rPr>
          <w:sz w:val="21"/>
        </w:rPr>
        <w:t>advocate</w:t>
      </w:r>
      <w:r>
        <w:rPr>
          <w:spacing w:val="-11"/>
          <w:sz w:val="21"/>
        </w:rPr>
        <w:t> </w:t>
      </w:r>
      <w:r>
        <w:rPr>
          <w:sz w:val="21"/>
        </w:rPr>
        <w:t>for</w:t>
      </w:r>
      <w:r>
        <w:rPr>
          <w:spacing w:val="-11"/>
          <w:sz w:val="21"/>
        </w:rPr>
        <w:t> </w:t>
      </w:r>
      <w:r>
        <w:rPr>
          <w:sz w:val="21"/>
        </w:rPr>
        <w:t>policies</w:t>
      </w:r>
      <w:r>
        <w:rPr>
          <w:spacing w:val="-12"/>
          <w:sz w:val="21"/>
        </w:rPr>
        <w:t> </w:t>
      </w:r>
      <w:r>
        <w:rPr>
          <w:sz w:val="21"/>
        </w:rPr>
        <w:t>which</w:t>
      </w:r>
      <w:r>
        <w:rPr>
          <w:spacing w:val="-11"/>
          <w:sz w:val="21"/>
        </w:rPr>
        <w:t> </w:t>
      </w:r>
      <w:r>
        <w:rPr>
          <w:sz w:val="21"/>
        </w:rPr>
        <w:t>support MHP students in every stage of the school-to-workforce pipeline.</w:t>
      </w:r>
    </w:p>
    <w:p>
      <w:pPr>
        <w:spacing w:line="276" w:lineRule="auto" w:before="241"/>
        <w:ind w:left="463" w:right="237" w:firstLine="0"/>
        <w:jc w:val="both"/>
        <w:rPr>
          <w:sz w:val="21"/>
        </w:rPr>
      </w:pPr>
      <w:r>
        <w:rPr>
          <w:sz w:val="21"/>
        </w:rPr>
        <w:t>Finally, the health insurance system creates many barriers to care. The Mental Health ABC Act took vital steps toward reform, such as by guaranteeing coverage of annual mental health wellness exams, raising reimbursement minimums to mirror those of primary healthcare providers, and expanding access to mental health support in schools and the foster care system</w:t>
      </w:r>
      <w:hyperlink w:history="true" w:anchor="_bookmark176">
        <w:r>
          <w:rPr>
            <w:sz w:val="21"/>
          </w:rPr>
          <w:t>.</w:t>
        </w:r>
        <w:r>
          <w:rPr>
            <w:sz w:val="21"/>
            <w:vertAlign w:val="superscript"/>
          </w:rPr>
          <w:t>79</w:t>
        </w:r>
      </w:hyperlink>
      <w:r>
        <w:rPr>
          <w:sz w:val="21"/>
          <w:vertAlign w:val="baseline"/>
        </w:rPr>
        <w:t> However, there is still a growing trend among MHPs to stop</w:t>
      </w:r>
      <w:r>
        <w:rPr>
          <w:spacing w:val="-1"/>
          <w:sz w:val="21"/>
          <w:vertAlign w:val="baseline"/>
        </w:rPr>
        <w:t> </w:t>
      </w:r>
      <w:r>
        <w:rPr>
          <w:sz w:val="21"/>
          <w:vertAlign w:val="baseline"/>
        </w:rPr>
        <w:t>accepting</w:t>
      </w:r>
      <w:r>
        <w:rPr>
          <w:spacing w:val="-1"/>
          <w:sz w:val="21"/>
          <w:vertAlign w:val="baseline"/>
        </w:rPr>
        <w:t> </w:t>
      </w:r>
      <w:r>
        <w:rPr>
          <w:sz w:val="21"/>
          <w:vertAlign w:val="baseline"/>
        </w:rPr>
        <w:t>insurance</w:t>
      </w:r>
      <w:r>
        <w:rPr>
          <w:spacing w:val="-1"/>
          <w:sz w:val="21"/>
          <w:vertAlign w:val="baseline"/>
        </w:rPr>
        <w:t> </w:t>
      </w:r>
      <w:r>
        <w:rPr>
          <w:sz w:val="21"/>
          <w:vertAlign w:val="baseline"/>
        </w:rPr>
        <w:t>due</w:t>
      </w:r>
      <w:r>
        <w:rPr>
          <w:spacing w:val="-1"/>
          <w:sz w:val="21"/>
          <w:vertAlign w:val="baseline"/>
        </w:rPr>
        <w:t> </w:t>
      </w:r>
      <w:r>
        <w:rPr>
          <w:sz w:val="21"/>
          <w:vertAlign w:val="baseline"/>
        </w:rPr>
        <w:t>to</w:t>
      </w:r>
      <w:r>
        <w:rPr>
          <w:spacing w:val="-1"/>
          <w:sz w:val="21"/>
          <w:vertAlign w:val="baseline"/>
        </w:rPr>
        <w:t> </w:t>
      </w:r>
      <w:r>
        <w:rPr>
          <w:sz w:val="21"/>
          <w:vertAlign w:val="baseline"/>
        </w:rPr>
        <w:t>clawbacks, audits, lack of</w:t>
      </w:r>
      <w:r>
        <w:rPr>
          <w:spacing w:val="-1"/>
          <w:sz w:val="21"/>
          <w:vertAlign w:val="baseline"/>
        </w:rPr>
        <w:t> </w:t>
      </w:r>
      <w:r>
        <w:rPr>
          <w:sz w:val="21"/>
          <w:vertAlign w:val="baseline"/>
        </w:rPr>
        <w:t>control</w:t>
      </w:r>
      <w:r>
        <w:rPr>
          <w:spacing w:val="-1"/>
          <w:sz w:val="21"/>
          <w:vertAlign w:val="baseline"/>
        </w:rPr>
        <w:t> </w:t>
      </w:r>
      <w:r>
        <w:rPr>
          <w:sz w:val="21"/>
          <w:vertAlign w:val="baseline"/>
        </w:rPr>
        <w:t>over</w:t>
      </w:r>
      <w:r>
        <w:rPr>
          <w:spacing w:val="-1"/>
          <w:sz w:val="21"/>
          <w:vertAlign w:val="baseline"/>
        </w:rPr>
        <w:t> </w:t>
      </w:r>
      <w:r>
        <w:rPr>
          <w:sz w:val="21"/>
          <w:vertAlign w:val="baseline"/>
        </w:rPr>
        <w:t>session</w:t>
      </w:r>
      <w:r>
        <w:rPr>
          <w:spacing w:val="-1"/>
          <w:sz w:val="21"/>
          <w:vertAlign w:val="baseline"/>
        </w:rPr>
        <w:t> </w:t>
      </w:r>
      <w:r>
        <w:rPr>
          <w:sz w:val="21"/>
          <w:vertAlign w:val="baseline"/>
        </w:rPr>
        <w:t>length</w:t>
      </w:r>
      <w:r>
        <w:rPr>
          <w:spacing w:val="-1"/>
          <w:sz w:val="21"/>
          <w:vertAlign w:val="baseline"/>
        </w:rPr>
        <w:t> </w:t>
      </w:r>
      <w:r>
        <w:rPr>
          <w:sz w:val="21"/>
          <w:vertAlign w:val="baseline"/>
        </w:rPr>
        <w:t>and</w:t>
      </w:r>
      <w:r>
        <w:rPr>
          <w:spacing w:val="-1"/>
          <w:sz w:val="21"/>
          <w:vertAlign w:val="baseline"/>
        </w:rPr>
        <w:t> </w:t>
      </w:r>
      <w:r>
        <w:rPr>
          <w:sz w:val="21"/>
          <w:vertAlign w:val="baseline"/>
        </w:rPr>
        <w:t>content, and</w:t>
      </w:r>
      <w:r>
        <w:rPr>
          <w:spacing w:val="-1"/>
          <w:sz w:val="21"/>
          <w:vertAlign w:val="baseline"/>
        </w:rPr>
        <w:t> </w:t>
      </w:r>
      <w:r>
        <w:rPr>
          <w:sz w:val="21"/>
          <w:vertAlign w:val="baseline"/>
        </w:rPr>
        <w:t>lengthy wait</w:t>
      </w:r>
      <w:r>
        <w:rPr>
          <w:spacing w:val="-5"/>
          <w:sz w:val="21"/>
          <w:vertAlign w:val="baseline"/>
        </w:rPr>
        <w:t> </w:t>
      </w:r>
      <w:r>
        <w:rPr>
          <w:sz w:val="21"/>
          <w:vertAlign w:val="baseline"/>
        </w:rPr>
        <w:t>times</w:t>
      </w:r>
      <w:r>
        <w:rPr>
          <w:spacing w:val="-6"/>
          <w:sz w:val="21"/>
          <w:vertAlign w:val="baseline"/>
        </w:rPr>
        <w:t> </w:t>
      </w:r>
      <w:r>
        <w:rPr>
          <w:sz w:val="21"/>
          <w:vertAlign w:val="baseline"/>
        </w:rPr>
        <w:t>for</w:t>
      </w:r>
      <w:r>
        <w:rPr>
          <w:spacing w:val="-6"/>
          <w:sz w:val="21"/>
          <w:vertAlign w:val="baseline"/>
        </w:rPr>
        <w:t> </w:t>
      </w:r>
      <w:r>
        <w:rPr>
          <w:sz w:val="21"/>
          <w:vertAlign w:val="baseline"/>
        </w:rPr>
        <w:t>low</w:t>
      </w:r>
      <w:r>
        <w:rPr>
          <w:spacing w:val="-6"/>
          <w:sz w:val="21"/>
          <w:vertAlign w:val="baseline"/>
        </w:rPr>
        <w:t> </w:t>
      </w:r>
      <w:r>
        <w:rPr>
          <w:sz w:val="21"/>
          <w:vertAlign w:val="baseline"/>
        </w:rPr>
        <w:t>reimbursement</w:t>
      </w:r>
      <w:hyperlink w:history="true" w:anchor="_bookmark176">
        <w:r>
          <w:rPr>
            <w:sz w:val="21"/>
            <w:vertAlign w:val="baseline"/>
          </w:rPr>
          <w:t>.</w:t>
        </w:r>
        <w:r>
          <w:rPr>
            <w:sz w:val="21"/>
            <w:vertAlign w:val="superscript"/>
          </w:rPr>
          <w:t>80</w:t>
        </w:r>
      </w:hyperlink>
      <w:r>
        <w:rPr>
          <w:spacing w:val="-6"/>
          <w:sz w:val="21"/>
          <w:vertAlign w:val="baseline"/>
        </w:rPr>
        <w:t> </w:t>
      </w:r>
      <w:r>
        <w:rPr>
          <w:sz w:val="21"/>
          <w:vertAlign w:val="baseline"/>
        </w:rPr>
        <w:t>As</w:t>
      </w:r>
      <w:r>
        <w:rPr>
          <w:spacing w:val="-6"/>
          <w:sz w:val="21"/>
          <w:vertAlign w:val="baseline"/>
        </w:rPr>
        <w:t> </w:t>
      </w:r>
      <w:r>
        <w:rPr>
          <w:sz w:val="21"/>
          <w:vertAlign w:val="baseline"/>
        </w:rPr>
        <w:t>a</w:t>
      </w:r>
      <w:r>
        <w:rPr>
          <w:spacing w:val="-5"/>
          <w:sz w:val="21"/>
          <w:vertAlign w:val="baseline"/>
        </w:rPr>
        <w:t> </w:t>
      </w:r>
      <w:r>
        <w:rPr>
          <w:sz w:val="21"/>
          <w:vertAlign w:val="baseline"/>
        </w:rPr>
        <w:t>result,</w:t>
      </w:r>
      <w:r>
        <w:rPr>
          <w:spacing w:val="-5"/>
          <w:sz w:val="21"/>
          <w:vertAlign w:val="baseline"/>
        </w:rPr>
        <w:t> </w:t>
      </w:r>
      <w:r>
        <w:rPr>
          <w:sz w:val="21"/>
          <w:vertAlign w:val="baseline"/>
        </w:rPr>
        <w:t>community</w:t>
      </w:r>
      <w:r>
        <w:rPr>
          <w:spacing w:val="-6"/>
          <w:sz w:val="21"/>
          <w:vertAlign w:val="baseline"/>
        </w:rPr>
        <w:t> </w:t>
      </w:r>
      <w:r>
        <w:rPr>
          <w:sz w:val="21"/>
          <w:vertAlign w:val="baseline"/>
        </w:rPr>
        <w:t>mental</w:t>
      </w:r>
      <w:r>
        <w:rPr>
          <w:spacing w:val="-6"/>
          <w:sz w:val="21"/>
          <w:vertAlign w:val="baseline"/>
        </w:rPr>
        <w:t> </w:t>
      </w:r>
      <w:r>
        <w:rPr>
          <w:sz w:val="21"/>
          <w:vertAlign w:val="baseline"/>
        </w:rPr>
        <w:t>health</w:t>
      </w:r>
      <w:r>
        <w:rPr>
          <w:spacing w:val="-6"/>
          <w:sz w:val="21"/>
          <w:vertAlign w:val="baseline"/>
        </w:rPr>
        <w:t> </w:t>
      </w:r>
      <w:r>
        <w:rPr>
          <w:sz w:val="21"/>
          <w:vertAlign w:val="baseline"/>
        </w:rPr>
        <w:t>centers</w:t>
      </w:r>
      <w:r>
        <w:rPr>
          <w:spacing w:val="-7"/>
          <w:sz w:val="21"/>
          <w:vertAlign w:val="baseline"/>
        </w:rPr>
        <w:t> </w:t>
      </w:r>
      <w:r>
        <w:rPr>
          <w:sz w:val="21"/>
          <w:vertAlign w:val="baseline"/>
        </w:rPr>
        <w:t>and</w:t>
      </w:r>
      <w:r>
        <w:rPr>
          <w:spacing w:val="-6"/>
          <w:sz w:val="21"/>
          <w:vertAlign w:val="baseline"/>
        </w:rPr>
        <w:t> </w:t>
      </w:r>
      <w:r>
        <w:rPr>
          <w:sz w:val="21"/>
          <w:vertAlign w:val="baseline"/>
        </w:rPr>
        <w:t>clinicians</w:t>
      </w:r>
      <w:r>
        <w:rPr>
          <w:spacing w:val="-6"/>
          <w:sz w:val="21"/>
          <w:vertAlign w:val="baseline"/>
        </w:rPr>
        <w:t> </w:t>
      </w:r>
      <w:r>
        <w:rPr>
          <w:sz w:val="21"/>
          <w:vertAlign w:val="baseline"/>
        </w:rPr>
        <w:t>who</w:t>
      </w:r>
      <w:r>
        <w:rPr>
          <w:spacing w:val="-6"/>
          <w:sz w:val="21"/>
          <w:vertAlign w:val="baseline"/>
        </w:rPr>
        <w:t> </w:t>
      </w:r>
      <w:r>
        <w:rPr>
          <w:sz w:val="21"/>
          <w:vertAlign w:val="baseline"/>
        </w:rPr>
        <w:t>do</w:t>
      </w:r>
      <w:r>
        <w:rPr>
          <w:spacing w:val="-6"/>
          <w:sz w:val="21"/>
          <w:vertAlign w:val="baseline"/>
        </w:rPr>
        <w:t> </w:t>
      </w:r>
      <w:r>
        <w:rPr>
          <w:sz w:val="21"/>
          <w:vertAlign w:val="baseline"/>
        </w:rPr>
        <w:t>accept insurance have increasingly long waitlists. Additionally, the traditional model of mental healthcare requires youth</w:t>
      </w:r>
      <w:r>
        <w:rPr>
          <w:spacing w:val="-1"/>
          <w:sz w:val="21"/>
          <w:vertAlign w:val="baseline"/>
        </w:rPr>
        <w:t> </w:t>
      </w:r>
      <w:r>
        <w:rPr>
          <w:sz w:val="21"/>
          <w:vertAlign w:val="baseline"/>
        </w:rPr>
        <w:t>to</w:t>
      </w:r>
      <w:r>
        <w:rPr>
          <w:spacing w:val="-1"/>
          <w:sz w:val="21"/>
          <w:vertAlign w:val="baseline"/>
        </w:rPr>
        <w:t> </w:t>
      </w:r>
      <w:r>
        <w:rPr>
          <w:sz w:val="21"/>
          <w:vertAlign w:val="baseline"/>
        </w:rPr>
        <w:t>commute</w:t>
      </w:r>
      <w:r>
        <w:rPr>
          <w:spacing w:val="-2"/>
          <w:sz w:val="21"/>
          <w:vertAlign w:val="baseline"/>
        </w:rPr>
        <w:t> </w:t>
      </w:r>
      <w:r>
        <w:rPr>
          <w:sz w:val="21"/>
          <w:vertAlign w:val="baseline"/>
        </w:rPr>
        <w:t>to</w:t>
      </w:r>
      <w:r>
        <w:rPr>
          <w:spacing w:val="-1"/>
          <w:sz w:val="21"/>
          <w:vertAlign w:val="baseline"/>
        </w:rPr>
        <w:t> </w:t>
      </w:r>
      <w:r>
        <w:rPr>
          <w:sz w:val="21"/>
          <w:vertAlign w:val="baseline"/>
        </w:rPr>
        <w:t>receive</w:t>
      </w:r>
      <w:r>
        <w:rPr>
          <w:spacing w:val="-1"/>
          <w:sz w:val="21"/>
          <w:vertAlign w:val="baseline"/>
        </w:rPr>
        <w:t> </w:t>
      </w:r>
      <w:r>
        <w:rPr>
          <w:sz w:val="21"/>
          <w:vertAlign w:val="baseline"/>
        </w:rPr>
        <w:t>in-person, individual</w:t>
      </w:r>
      <w:r>
        <w:rPr>
          <w:spacing w:val="-1"/>
          <w:sz w:val="21"/>
          <w:vertAlign w:val="baseline"/>
        </w:rPr>
        <w:t> </w:t>
      </w:r>
      <w:r>
        <w:rPr>
          <w:sz w:val="21"/>
          <w:vertAlign w:val="baseline"/>
        </w:rPr>
        <w:t>support from professionals</w:t>
      </w:r>
      <w:r>
        <w:rPr>
          <w:spacing w:val="-1"/>
          <w:sz w:val="21"/>
          <w:vertAlign w:val="baseline"/>
        </w:rPr>
        <w:t> </w:t>
      </w:r>
      <w:r>
        <w:rPr>
          <w:sz w:val="21"/>
          <w:vertAlign w:val="baseline"/>
        </w:rPr>
        <w:t>with years</w:t>
      </w:r>
      <w:r>
        <w:rPr>
          <w:spacing w:val="-1"/>
          <w:sz w:val="21"/>
          <w:vertAlign w:val="baseline"/>
        </w:rPr>
        <w:t> </w:t>
      </w:r>
      <w:r>
        <w:rPr>
          <w:sz w:val="21"/>
          <w:vertAlign w:val="baseline"/>
        </w:rPr>
        <w:t>of</w:t>
      </w:r>
      <w:r>
        <w:rPr>
          <w:spacing w:val="-1"/>
          <w:sz w:val="21"/>
          <w:vertAlign w:val="baseline"/>
        </w:rPr>
        <w:t> </w:t>
      </w:r>
      <w:r>
        <w:rPr>
          <w:sz w:val="21"/>
          <w:vertAlign w:val="baseline"/>
        </w:rPr>
        <w:t>expensive</w:t>
      </w:r>
      <w:r>
        <w:rPr>
          <w:spacing w:val="-1"/>
          <w:sz w:val="21"/>
          <w:vertAlign w:val="baseline"/>
        </w:rPr>
        <w:t> </w:t>
      </w:r>
      <w:r>
        <w:rPr>
          <w:sz w:val="21"/>
          <w:vertAlign w:val="baseline"/>
        </w:rPr>
        <w:t>training. This</w:t>
      </w:r>
      <w:r>
        <w:rPr>
          <w:spacing w:val="-4"/>
          <w:sz w:val="21"/>
          <w:vertAlign w:val="baseline"/>
        </w:rPr>
        <w:t> </w:t>
      </w:r>
      <w:r>
        <w:rPr>
          <w:sz w:val="21"/>
          <w:vertAlign w:val="baseline"/>
        </w:rPr>
        <w:t>makes</w:t>
      </w:r>
      <w:r>
        <w:rPr>
          <w:spacing w:val="-4"/>
          <w:sz w:val="21"/>
          <w:vertAlign w:val="baseline"/>
        </w:rPr>
        <w:t> </w:t>
      </w:r>
      <w:r>
        <w:rPr>
          <w:sz w:val="21"/>
          <w:vertAlign w:val="baseline"/>
        </w:rPr>
        <w:t>care</w:t>
      </w:r>
      <w:r>
        <w:rPr>
          <w:spacing w:val="-3"/>
          <w:sz w:val="21"/>
          <w:vertAlign w:val="baseline"/>
        </w:rPr>
        <w:t> </w:t>
      </w:r>
      <w:r>
        <w:rPr>
          <w:sz w:val="21"/>
          <w:vertAlign w:val="baseline"/>
        </w:rPr>
        <w:t>inconvenient,</w:t>
      </w:r>
      <w:r>
        <w:rPr>
          <w:spacing w:val="-3"/>
          <w:sz w:val="21"/>
          <w:vertAlign w:val="baseline"/>
        </w:rPr>
        <w:t> </w:t>
      </w:r>
      <w:r>
        <w:rPr>
          <w:sz w:val="21"/>
          <w:vertAlign w:val="baseline"/>
        </w:rPr>
        <w:t>slow,</w:t>
      </w:r>
      <w:r>
        <w:rPr>
          <w:spacing w:val="-3"/>
          <w:sz w:val="21"/>
          <w:vertAlign w:val="baseline"/>
        </w:rPr>
        <w:t> </w:t>
      </w:r>
      <w:r>
        <w:rPr>
          <w:sz w:val="21"/>
          <w:vertAlign w:val="baseline"/>
        </w:rPr>
        <w:t>and</w:t>
      </w:r>
      <w:r>
        <w:rPr>
          <w:spacing w:val="-5"/>
          <w:sz w:val="21"/>
          <w:vertAlign w:val="baseline"/>
        </w:rPr>
        <w:t> </w:t>
      </w:r>
      <w:r>
        <w:rPr>
          <w:sz w:val="21"/>
          <w:vertAlign w:val="baseline"/>
        </w:rPr>
        <w:t>harder</w:t>
      </w:r>
      <w:r>
        <w:rPr>
          <w:spacing w:val="-3"/>
          <w:sz w:val="21"/>
          <w:vertAlign w:val="baseline"/>
        </w:rPr>
        <w:t> </w:t>
      </w:r>
      <w:r>
        <w:rPr>
          <w:sz w:val="21"/>
          <w:vertAlign w:val="baseline"/>
        </w:rPr>
        <w:t>to</w:t>
      </w:r>
      <w:r>
        <w:rPr>
          <w:spacing w:val="-3"/>
          <w:sz w:val="21"/>
          <w:vertAlign w:val="baseline"/>
        </w:rPr>
        <w:t> </w:t>
      </w:r>
      <w:r>
        <w:rPr>
          <w:sz w:val="21"/>
          <w:vertAlign w:val="baseline"/>
        </w:rPr>
        <w:t>find</w:t>
      </w:r>
      <w:r>
        <w:rPr>
          <w:spacing w:val="-5"/>
          <w:sz w:val="21"/>
          <w:vertAlign w:val="baseline"/>
        </w:rPr>
        <w:t> </w:t>
      </w:r>
      <w:r>
        <w:rPr>
          <w:sz w:val="21"/>
          <w:vertAlign w:val="baseline"/>
        </w:rPr>
        <w:t>–</w:t>
      </w:r>
      <w:r>
        <w:rPr>
          <w:spacing w:val="-3"/>
          <w:sz w:val="21"/>
          <w:vertAlign w:val="baseline"/>
        </w:rPr>
        <w:t> </w:t>
      </w:r>
      <w:r>
        <w:rPr>
          <w:sz w:val="21"/>
          <w:vertAlign w:val="baseline"/>
        </w:rPr>
        <w:t>especially</w:t>
      </w:r>
      <w:r>
        <w:rPr>
          <w:spacing w:val="-3"/>
          <w:sz w:val="21"/>
          <w:vertAlign w:val="baseline"/>
        </w:rPr>
        <w:t> </w:t>
      </w:r>
      <w:r>
        <w:rPr>
          <w:sz w:val="21"/>
          <w:vertAlign w:val="baseline"/>
        </w:rPr>
        <w:t>for</w:t>
      </w:r>
      <w:r>
        <w:rPr>
          <w:spacing w:val="-3"/>
          <w:sz w:val="21"/>
          <w:vertAlign w:val="baseline"/>
        </w:rPr>
        <w:t> </w:t>
      </w:r>
      <w:r>
        <w:rPr>
          <w:sz w:val="21"/>
          <w:vertAlign w:val="baseline"/>
        </w:rPr>
        <w:t>youth</w:t>
      </w:r>
      <w:r>
        <w:rPr>
          <w:spacing w:val="-3"/>
          <w:sz w:val="21"/>
          <w:vertAlign w:val="baseline"/>
        </w:rPr>
        <w:t> </w:t>
      </w:r>
      <w:r>
        <w:rPr>
          <w:sz w:val="21"/>
          <w:vertAlign w:val="baseline"/>
        </w:rPr>
        <w:t>with</w:t>
      </w:r>
      <w:r>
        <w:rPr>
          <w:spacing w:val="-4"/>
          <w:sz w:val="21"/>
          <w:vertAlign w:val="baseline"/>
        </w:rPr>
        <w:t> </w:t>
      </w:r>
      <w:r>
        <w:rPr>
          <w:sz w:val="21"/>
          <w:vertAlign w:val="baseline"/>
        </w:rPr>
        <w:t>rural</w:t>
      </w:r>
      <w:r>
        <w:rPr>
          <w:spacing w:val="-3"/>
          <w:sz w:val="21"/>
          <w:vertAlign w:val="baseline"/>
        </w:rPr>
        <w:t> </w:t>
      </w:r>
      <w:r>
        <w:rPr>
          <w:sz w:val="21"/>
          <w:vertAlign w:val="baseline"/>
        </w:rPr>
        <w:t>areas,</w:t>
      </w:r>
      <w:r>
        <w:rPr>
          <w:spacing w:val="-3"/>
          <w:sz w:val="21"/>
          <w:vertAlign w:val="baseline"/>
        </w:rPr>
        <w:t> </w:t>
      </w:r>
      <w:r>
        <w:rPr>
          <w:sz w:val="21"/>
          <w:vertAlign w:val="baseline"/>
        </w:rPr>
        <w:t>childcare</w:t>
      </w:r>
      <w:r>
        <w:rPr>
          <w:spacing w:val="-3"/>
          <w:sz w:val="21"/>
          <w:vertAlign w:val="baseline"/>
        </w:rPr>
        <w:t> </w:t>
      </w:r>
      <w:r>
        <w:rPr>
          <w:sz w:val="21"/>
          <w:vertAlign w:val="baseline"/>
        </w:rPr>
        <w:t>or</w:t>
      </w:r>
      <w:r>
        <w:rPr>
          <w:spacing w:val="-3"/>
          <w:sz w:val="21"/>
          <w:vertAlign w:val="baseline"/>
        </w:rPr>
        <w:t> </w:t>
      </w:r>
      <w:r>
        <w:rPr>
          <w:sz w:val="21"/>
          <w:vertAlign w:val="baseline"/>
        </w:rPr>
        <w:t>work responsibilities, or non-affirming guardians. Supporters of LGBTQ youth should advocate for policies that support simplicity, patients’ rights, fair compensation of MHPs, and greater access to insurance.</w:t>
      </w:r>
    </w:p>
    <w:p>
      <w:pPr>
        <w:spacing w:line="276" w:lineRule="auto" w:before="238"/>
        <w:ind w:left="463" w:right="242" w:firstLine="0"/>
        <w:jc w:val="both"/>
        <w:rPr>
          <w:sz w:val="28"/>
        </w:rPr>
      </w:pPr>
      <w:bookmarkStart w:name="Fund Direct Mental Healthcare in K-12/Hi" w:id="254"/>
      <w:bookmarkEnd w:id="254"/>
      <w:r>
        <w:rPr/>
      </w:r>
      <w:r>
        <w:rPr>
          <w:color w:val="365F91"/>
          <w:sz w:val="28"/>
        </w:rPr>
        <w:t>Fund</w:t>
      </w:r>
      <w:r>
        <w:rPr>
          <w:color w:val="365F91"/>
          <w:spacing w:val="-7"/>
          <w:sz w:val="28"/>
        </w:rPr>
        <w:t> </w:t>
      </w:r>
      <w:r>
        <w:rPr>
          <w:color w:val="365F91"/>
          <w:sz w:val="28"/>
        </w:rPr>
        <w:t>Direct</w:t>
      </w:r>
      <w:r>
        <w:rPr>
          <w:color w:val="365F91"/>
          <w:spacing w:val="-7"/>
          <w:sz w:val="28"/>
        </w:rPr>
        <w:t> </w:t>
      </w:r>
      <w:r>
        <w:rPr>
          <w:color w:val="365F91"/>
          <w:sz w:val="28"/>
        </w:rPr>
        <w:t>Mental</w:t>
      </w:r>
      <w:r>
        <w:rPr>
          <w:color w:val="365F91"/>
          <w:spacing w:val="-6"/>
          <w:sz w:val="28"/>
        </w:rPr>
        <w:t> </w:t>
      </w:r>
      <w:r>
        <w:rPr>
          <w:color w:val="365F91"/>
          <w:sz w:val="28"/>
        </w:rPr>
        <w:t>Healthcare</w:t>
      </w:r>
      <w:r>
        <w:rPr>
          <w:color w:val="365F91"/>
          <w:spacing w:val="-6"/>
          <w:sz w:val="28"/>
        </w:rPr>
        <w:t> </w:t>
      </w:r>
      <w:r>
        <w:rPr>
          <w:color w:val="365F91"/>
          <w:sz w:val="28"/>
        </w:rPr>
        <w:t>in</w:t>
      </w:r>
      <w:r>
        <w:rPr>
          <w:color w:val="365F91"/>
          <w:spacing w:val="-7"/>
          <w:sz w:val="28"/>
        </w:rPr>
        <w:t> </w:t>
      </w:r>
      <w:r>
        <w:rPr>
          <w:color w:val="365F91"/>
          <w:sz w:val="28"/>
        </w:rPr>
        <w:t>K-12/Higher</w:t>
      </w:r>
      <w:r>
        <w:rPr>
          <w:color w:val="365F91"/>
          <w:spacing w:val="-7"/>
          <w:sz w:val="28"/>
        </w:rPr>
        <w:t> </w:t>
      </w:r>
      <w:r>
        <w:rPr>
          <w:color w:val="365F91"/>
          <w:sz w:val="28"/>
        </w:rPr>
        <w:t>Education,</w:t>
      </w:r>
      <w:r>
        <w:rPr>
          <w:color w:val="365F91"/>
          <w:spacing w:val="-7"/>
          <w:sz w:val="28"/>
        </w:rPr>
        <w:t> </w:t>
      </w:r>
      <w:r>
        <w:rPr>
          <w:color w:val="365F91"/>
          <w:sz w:val="28"/>
        </w:rPr>
        <w:t>Juvenile</w:t>
      </w:r>
      <w:r>
        <w:rPr>
          <w:color w:val="365F91"/>
          <w:spacing w:val="-6"/>
          <w:sz w:val="28"/>
        </w:rPr>
        <w:t> </w:t>
      </w:r>
      <w:r>
        <w:rPr>
          <w:color w:val="365F91"/>
          <w:sz w:val="28"/>
        </w:rPr>
        <w:t>Justice,</w:t>
      </w:r>
      <w:r>
        <w:rPr>
          <w:color w:val="365F91"/>
          <w:spacing w:val="-7"/>
          <w:sz w:val="28"/>
        </w:rPr>
        <w:t> </w:t>
      </w:r>
      <w:r>
        <w:rPr>
          <w:color w:val="365F91"/>
          <w:sz w:val="28"/>
        </w:rPr>
        <w:t>and</w:t>
      </w:r>
      <w:r>
        <w:rPr>
          <w:color w:val="365F91"/>
          <w:spacing w:val="-7"/>
          <w:sz w:val="28"/>
        </w:rPr>
        <w:t> </w:t>
      </w:r>
      <w:r>
        <w:rPr>
          <w:color w:val="365F91"/>
          <w:sz w:val="28"/>
        </w:rPr>
        <w:t>Child </w:t>
      </w:r>
      <w:r>
        <w:rPr>
          <w:color w:val="365F91"/>
          <w:spacing w:val="-2"/>
          <w:sz w:val="28"/>
        </w:rPr>
        <w:t>Welfare</w:t>
      </w:r>
    </w:p>
    <w:p>
      <w:pPr>
        <w:spacing w:line="276" w:lineRule="auto" w:before="241"/>
        <w:ind w:left="3673" w:right="240" w:firstLine="0"/>
        <w:jc w:val="both"/>
        <w:rPr>
          <w:sz w:val="21"/>
        </w:rPr>
      </w:pPr>
      <w:r>
        <w:rPr/>
        <w:drawing>
          <wp:anchor distT="0" distB="0" distL="0" distR="0" allowOverlap="1" layoutInCell="1" locked="0" behindDoc="0" simplePos="0" relativeHeight="15765504">
            <wp:simplePos x="0" y="0"/>
            <wp:positionH relativeFrom="page">
              <wp:posOffset>825500</wp:posOffset>
            </wp:positionH>
            <wp:positionV relativeFrom="paragraph">
              <wp:posOffset>166999</wp:posOffset>
            </wp:positionV>
            <wp:extent cx="2029396" cy="1362074"/>
            <wp:effectExtent l="0" t="0" r="0" b="0"/>
            <wp:wrapNone/>
            <wp:docPr id="239" name="Image 239" descr="A quote on a white background  Description automatically generated "/>
            <wp:cNvGraphicFramePr>
              <a:graphicFrameLocks/>
            </wp:cNvGraphicFramePr>
            <a:graphic>
              <a:graphicData uri="http://schemas.openxmlformats.org/drawingml/2006/picture">
                <pic:pic>
                  <pic:nvPicPr>
                    <pic:cNvPr id="239" name="Image 239" descr="A quote on a white background  Description automatically generated "/>
                    <pic:cNvPicPr/>
                  </pic:nvPicPr>
                  <pic:blipFill>
                    <a:blip r:embed="rId187" cstate="print"/>
                    <a:stretch>
                      <a:fillRect/>
                    </a:stretch>
                  </pic:blipFill>
                  <pic:spPr>
                    <a:xfrm>
                      <a:off x="0" y="0"/>
                      <a:ext cx="2029396" cy="1362074"/>
                    </a:xfrm>
                    <a:prstGeom prst="rect">
                      <a:avLst/>
                    </a:prstGeom>
                  </pic:spPr>
                </pic:pic>
              </a:graphicData>
            </a:graphic>
          </wp:anchor>
        </w:drawing>
      </w:r>
      <w:r>
        <w:rPr>
          <w:sz w:val="21"/>
        </w:rPr>
        <w:t>Although it is vital for all LGBTQ youth to have access to mental health support</w:t>
      </w:r>
      <w:r>
        <w:rPr>
          <w:spacing w:val="-5"/>
          <w:sz w:val="21"/>
        </w:rPr>
        <w:t> </w:t>
      </w:r>
      <w:r>
        <w:rPr>
          <w:sz w:val="21"/>
        </w:rPr>
        <w:t>in</w:t>
      </w:r>
      <w:r>
        <w:rPr>
          <w:spacing w:val="-5"/>
          <w:sz w:val="21"/>
        </w:rPr>
        <w:t> </w:t>
      </w:r>
      <w:r>
        <w:rPr>
          <w:sz w:val="21"/>
        </w:rPr>
        <w:t>schools,</w:t>
      </w:r>
      <w:r>
        <w:rPr>
          <w:spacing w:val="-5"/>
          <w:sz w:val="21"/>
        </w:rPr>
        <w:t> </w:t>
      </w:r>
      <w:r>
        <w:rPr>
          <w:sz w:val="21"/>
        </w:rPr>
        <w:t>not</w:t>
      </w:r>
      <w:r>
        <w:rPr>
          <w:spacing w:val="-5"/>
          <w:sz w:val="21"/>
        </w:rPr>
        <w:t> </w:t>
      </w:r>
      <w:r>
        <w:rPr>
          <w:sz w:val="21"/>
        </w:rPr>
        <w:t>all</w:t>
      </w:r>
      <w:r>
        <w:rPr>
          <w:spacing w:val="-5"/>
          <w:sz w:val="21"/>
        </w:rPr>
        <w:t> </w:t>
      </w:r>
      <w:r>
        <w:rPr>
          <w:sz w:val="21"/>
        </w:rPr>
        <w:t>youth</w:t>
      </w:r>
      <w:r>
        <w:rPr>
          <w:spacing w:val="-5"/>
          <w:sz w:val="21"/>
        </w:rPr>
        <w:t> </w:t>
      </w:r>
      <w:r>
        <w:rPr>
          <w:sz w:val="21"/>
        </w:rPr>
        <w:t>attend</w:t>
      </w:r>
      <w:r>
        <w:rPr>
          <w:spacing w:val="-5"/>
          <w:sz w:val="21"/>
        </w:rPr>
        <w:t> </w:t>
      </w:r>
      <w:r>
        <w:rPr>
          <w:sz w:val="21"/>
        </w:rPr>
        <w:t>school</w:t>
      </w:r>
      <w:r>
        <w:rPr>
          <w:spacing w:val="-5"/>
          <w:sz w:val="21"/>
        </w:rPr>
        <w:t> </w:t>
      </w:r>
      <w:r>
        <w:rPr>
          <w:sz w:val="21"/>
        </w:rPr>
        <w:t>or</w:t>
      </w:r>
      <w:r>
        <w:rPr>
          <w:spacing w:val="-5"/>
          <w:sz w:val="21"/>
        </w:rPr>
        <w:t> </w:t>
      </w:r>
      <w:r>
        <w:rPr>
          <w:sz w:val="21"/>
        </w:rPr>
        <w:t>feel</w:t>
      </w:r>
      <w:r>
        <w:rPr>
          <w:spacing w:val="-5"/>
          <w:sz w:val="21"/>
        </w:rPr>
        <w:t> </w:t>
      </w:r>
      <w:r>
        <w:rPr>
          <w:sz w:val="21"/>
        </w:rPr>
        <w:t>supported</w:t>
      </w:r>
      <w:r>
        <w:rPr>
          <w:spacing w:val="-5"/>
          <w:sz w:val="21"/>
        </w:rPr>
        <w:t> </w:t>
      </w:r>
      <w:r>
        <w:rPr>
          <w:sz w:val="21"/>
        </w:rPr>
        <w:t>by</w:t>
      </w:r>
      <w:r>
        <w:rPr>
          <w:spacing w:val="-6"/>
          <w:sz w:val="21"/>
        </w:rPr>
        <w:t> </w:t>
      </w:r>
      <w:r>
        <w:rPr>
          <w:sz w:val="21"/>
        </w:rPr>
        <w:t>MHPs in school. Youth who are involved in juvenile justice and child welfare systems</w:t>
      </w:r>
      <w:r>
        <w:rPr>
          <w:spacing w:val="-12"/>
          <w:sz w:val="21"/>
        </w:rPr>
        <w:t> </w:t>
      </w:r>
      <w:r>
        <w:rPr>
          <w:sz w:val="21"/>
        </w:rPr>
        <w:t>deserve</w:t>
      </w:r>
      <w:r>
        <w:rPr>
          <w:spacing w:val="-12"/>
          <w:sz w:val="21"/>
        </w:rPr>
        <w:t> </w:t>
      </w:r>
      <w:r>
        <w:rPr>
          <w:sz w:val="21"/>
        </w:rPr>
        <w:t>specialized</w:t>
      </w:r>
      <w:r>
        <w:rPr>
          <w:spacing w:val="-12"/>
          <w:sz w:val="21"/>
        </w:rPr>
        <w:t> </w:t>
      </w:r>
      <w:r>
        <w:rPr>
          <w:sz w:val="21"/>
        </w:rPr>
        <w:t>support.</w:t>
      </w:r>
      <w:r>
        <w:rPr>
          <w:spacing w:val="-12"/>
          <w:sz w:val="21"/>
        </w:rPr>
        <w:t> </w:t>
      </w:r>
      <w:r>
        <w:rPr>
          <w:sz w:val="21"/>
        </w:rPr>
        <w:t>Starting</w:t>
      </w:r>
      <w:r>
        <w:rPr>
          <w:spacing w:val="-12"/>
          <w:sz w:val="21"/>
        </w:rPr>
        <w:t> </w:t>
      </w:r>
      <w:r>
        <w:rPr>
          <w:sz w:val="21"/>
        </w:rPr>
        <w:t>with</w:t>
      </w:r>
      <w:r>
        <w:rPr>
          <w:spacing w:val="-12"/>
          <w:sz w:val="21"/>
        </w:rPr>
        <w:t> </w:t>
      </w:r>
      <w:r>
        <w:rPr>
          <w:sz w:val="21"/>
        </w:rPr>
        <w:t>foster</w:t>
      </w:r>
      <w:r>
        <w:rPr>
          <w:spacing w:val="-12"/>
          <w:sz w:val="21"/>
        </w:rPr>
        <w:t> </w:t>
      </w:r>
      <w:r>
        <w:rPr>
          <w:sz w:val="21"/>
        </w:rPr>
        <w:t>care,</w:t>
      </w:r>
      <w:r>
        <w:rPr>
          <w:spacing w:val="-11"/>
          <w:sz w:val="21"/>
        </w:rPr>
        <w:t> </w:t>
      </w:r>
      <w:r>
        <w:rPr>
          <w:sz w:val="21"/>
        </w:rPr>
        <w:t>current</w:t>
      </w:r>
      <w:r>
        <w:rPr>
          <w:spacing w:val="-12"/>
          <w:sz w:val="21"/>
        </w:rPr>
        <w:t> </w:t>
      </w:r>
      <w:r>
        <w:rPr>
          <w:sz w:val="21"/>
        </w:rPr>
        <w:t>and former foster youth have been vocal for decades about what they want and need.</w:t>
      </w:r>
    </w:p>
    <w:p>
      <w:pPr>
        <w:spacing w:line="276" w:lineRule="auto" w:before="240"/>
        <w:ind w:left="3673" w:right="240" w:firstLine="0"/>
        <w:jc w:val="both"/>
        <w:rPr>
          <w:sz w:val="21"/>
        </w:rPr>
      </w:pPr>
      <w:r>
        <w:rPr>
          <w:sz w:val="21"/>
        </w:rPr>
        <w:t>First, foster youth have asked for foster families and child welfare professionals</w:t>
      </w:r>
      <w:r>
        <w:rPr>
          <w:spacing w:val="5"/>
          <w:sz w:val="21"/>
        </w:rPr>
        <w:t> </w:t>
      </w:r>
      <w:r>
        <w:rPr>
          <w:sz w:val="21"/>
        </w:rPr>
        <w:t>to</w:t>
      </w:r>
      <w:r>
        <w:rPr>
          <w:spacing w:val="6"/>
          <w:sz w:val="21"/>
        </w:rPr>
        <w:t> </w:t>
      </w:r>
      <w:r>
        <w:rPr>
          <w:sz w:val="21"/>
        </w:rPr>
        <w:t>be</w:t>
      </w:r>
      <w:r>
        <w:rPr>
          <w:spacing w:val="6"/>
          <w:sz w:val="21"/>
        </w:rPr>
        <w:t> </w:t>
      </w:r>
      <w:r>
        <w:rPr>
          <w:sz w:val="21"/>
        </w:rPr>
        <w:t>trained</w:t>
      </w:r>
      <w:r>
        <w:rPr>
          <w:spacing w:val="6"/>
          <w:sz w:val="21"/>
        </w:rPr>
        <w:t> </w:t>
      </w:r>
      <w:r>
        <w:rPr>
          <w:sz w:val="21"/>
        </w:rPr>
        <w:t>to</w:t>
      </w:r>
      <w:r>
        <w:rPr>
          <w:spacing w:val="6"/>
          <w:sz w:val="21"/>
        </w:rPr>
        <w:t> </w:t>
      </w:r>
      <w:r>
        <w:rPr>
          <w:sz w:val="21"/>
        </w:rPr>
        <w:t>be</w:t>
      </w:r>
      <w:r>
        <w:rPr>
          <w:spacing w:val="6"/>
          <w:sz w:val="21"/>
        </w:rPr>
        <w:t> </w:t>
      </w:r>
      <w:r>
        <w:rPr>
          <w:sz w:val="21"/>
        </w:rPr>
        <w:t>trauma-informed</w:t>
      </w:r>
      <w:r>
        <w:rPr>
          <w:spacing w:val="7"/>
          <w:sz w:val="21"/>
        </w:rPr>
        <w:t> </w:t>
      </w:r>
      <w:r>
        <w:rPr>
          <w:sz w:val="21"/>
        </w:rPr>
        <w:t>and</w:t>
      </w:r>
      <w:r>
        <w:rPr>
          <w:spacing w:val="7"/>
          <w:sz w:val="21"/>
        </w:rPr>
        <w:t> </w:t>
      </w:r>
      <w:r>
        <w:rPr>
          <w:sz w:val="21"/>
        </w:rPr>
        <w:t>LGBTQ-</w:t>
      </w:r>
      <w:r>
        <w:rPr>
          <w:spacing w:val="-2"/>
          <w:sz w:val="21"/>
        </w:rPr>
        <w:t>affirming.</w:t>
      </w:r>
    </w:p>
    <w:p>
      <w:pPr>
        <w:spacing w:line="276" w:lineRule="auto" w:before="1"/>
        <w:ind w:left="463" w:right="240" w:firstLine="0"/>
        <w:jc w:val="both"/>
        <w:rPr>
          <w:sz w:val="21"/>
        </w:rPr>
      </w:pPr>
      <w:r>
        <w:rPr>
          <w:sz w:val="21"/>
        </w:rPr>
        <w:t>They have also advocated for agencies to adopt enforceable anti- discrimination policies and clearly communicate youths’ rights and resources (such as DCF’s foster child bill of rights). Further, many youth have named</w:t>
      </w:r>
      <w:r>
        <w:rPr>
          <w:spacing w:val="-12"/>
          <w:sz w:val="21"/>
        </w:rPr>
        <w:t> </w:t>
      </w:r>
      <w:r>
        <w:rPr>
          <w:sz w:val="21"/>
        </w:rPr>
        <w:t>the</w:t>
      </w:r>
      <w:r>
        <w:rPr>
          <w:spacing w:val="-12"/>
          <w:sz w:val="21"/>
        </w:rPr>
        <w:t> </w:t>
      </w:r>
      <w:r>
        <w:rPr>
          <w:sz w:val="21"/>
        </w:rPr>
        <w:t>systemic</w:t>
      </w:r>
      <w:r>
        <w:rPr>
          <w:spacing w:val="-12"/>
          <w:sz w:val="21"/>
        </w:rPr>
        <w:t> </w:t>
      </w:r>
      <w:r>
        <w:rPr>
          <w:sz w:val="21"/>
        </w:rPr>
        <w:t>issues</w:t>
      </w:r>
      <w:r>
        <w:rPr>
          <w:spacing w:val="-12"/>
          <w:sz w:val="21"/>
        </w:rPr>
        <w:t> </w:t>
      </w:r>
      <w:r>
        <w:rPr>
          <w:sz w:val="21"/>
        </w:rPr>
        <w:t>with</w:t>
      </w:r>
      <w:r>
        <w:rPr>
          <w:spacing w:val="-12"/>
          <w:sz w:val="21"/>
        </w:rPr>
        <w:t> </w:t>
      </w:r>
      <w:r>
        <w:rPr>
          <w:sz w:val="21"/>
        </w:rPr>
        <w:t>“aging</w:t>
      </w:r>
      <w:r>
        <w:rPr>
          <w:spacing w:val="-12"/>
          <w:sz w:val="21"/>
        </w:rPr>
        <w:t> </w:t>
      </w:r>
      <w:r>
        <w:rPr>
          <w:sz w:val="21"/>
        </w:rPr>
        <w:t>out”</w:t>
      </w:r>
      <w:r>
        <w:rPr>
          <w:spacing w:val="-12"/>
          <w:sz w:val="21"/>
        </w:rPr>
        <w:t> </w:t>
      </w:r>
      <w:r>
        <w:rPr>
          <w:sz w:val="21"/>
        </w:rPr>
        <w:t>of</w:t>
      </w:r>
      <w:r>
        <w:rPr>
          <w:spacing w:val="-12"/>
          <w:sz w:val="21"/>
        </w:rPr>
        <w:t> </w:t>
      </w:r>
      <w:r>
        <w:rPr>
          <w:sz w:val="21"/>
        </w:rPr>
        <w:t>services.</w:t>
      </w:r>
      <w:r>
        <w:rPr>
          <w:spacing w:val="-12"/>
          <w:sz w:val="21"/>
        </w:rPr>
        <w:t> </w:t>
      </w:r>
      <w:r>
        <w:rPr>
          <w:sz w:val="21"/>
        </w:rPr>
        <w:t>This</w:t>
      </w:r>
      <w:r>
        <w:rPr>
          <w:spacing w:val="-12"/>
          <w:sz w:val="21"/>
        </w:rPr>
        <w:t> </w:t>
      </w:r>
      <w:r>
        <w:rPr>
          <w:sz w:val="21"/>
        </w:rPr>
        <w:t>leads</w:t>
      </w:r>
      <w:r>
        <w:rPr>
          <w:spacing w:val="-11"/>
          <w:sz w:val="21"/>
        </w:rPr>
        <w:t> </w:t>
      </w:r>
      <w:r>
        <w:rPr>
          <w:sz w:val="21"/>
        </w:rPr>
        <w:t>to</w:t>
      </w:r>
      <w:r>
        <w:rPr>
          <w:spacing w:val="-12"/>
          <w:sz w:val="21"/>
        </w:rPr>
        <w:t> </w:t>
      </w:r>
      <w:r>
        <w:rPr>
          <w:sz w:val="21"/>
        </w:rPr>
        <w:t>many</w:t>
      </w:r>
      <w:r>
        <w:rPr>
          <w:spacing w:val="-12"/>
          <w:sz w:val="21"/>
        </w:rPr>
        <w:t> </w:t>
      </w:r>
      <w:r>
        <w:rPr>
          <w:sz w:val="21"/>
        </w:rPr>
        <w:t>youth</w:t>
      </w:r>
      <w:r>
        <w:rPr>
          <w:spacing w:val="-12"/>
          <w:sz w:val="21"/>
        </w:rPr>
        <w:t> </w:t>
      </w:r>
      <w:r>
        <w:rPr>
          <w:sz w:val="21"/>
        </w:rPr>
        <w:t>becoming</w:t>
      </w:r>
      <w:r>
        <w:rPr>
          <w:spacing w:val="-12"/>
          <w:sz w:val="21"/>
        </w:rPr>
        <w:t> </w:t>
      </w:r>
      <w:r>
        <w:rPr>
          <w:sz w:val="21"/>
        </w:rPr>
        <w:t>unhoused</w:t>
      </w:r>
      <w:r>
        <w:rPr>
          <w:spacing w:val="-12"/>
          <w:sz w:val="21"/>
        </w:rPr>
        <w:t> </w:t>
      </w:r>
      <w:r>
        <w:rPr>
          <w:sz w:val="21"/>
        </w:rPr>
        <w:t>and</w:t>
      </w:r>
      <w:r>
        <w:rPr>
          <w:spacing w:val="-12"/>
          <w:sz w:val="21"/>
        </w:rPr>
        <w:t> </w:t>
      </w:r>
      <w:r>
        <w:rPr>
          <w:sz w:val="21"/>
        </w:rPr>
        <w:t>unsafe</w:t>
      </w:r>
    </w:p>
    <w:p>
      <w:pPr>
        <w:spacing w:after="0" w:line="276" w:lineRule="auto"/>
        <w:jc w:val="both"/>
        <w:rPr>
          <w:sz w:val="21"/>
        </w:rPr>
        <w:sectPr>
          <w:pgSz w:w="12240" w:h="15840"/>
          <w:pgMar w:header="804" w:footer="1390" w:top="1080" w:bottom="1620" w:left="980" w:right="1080"/>
        </w:sectPr>
      </w:pPr>
    </w:p>
    <w:p>
      <w:pPr>
        <w:spacing w:line="276" w:lineRule="auto" w:before="69"/>
        <w:ind w:left="463" w:right="241" w:firstLine="0"/>
        <w:jc w:val="both"/>
        <w:rPr>
          <w:sz w:val="21"/>
        </w:rPr>
      </w:pPr>
      <w:r>
        <w:rPr>
          <w:sz w:val="21"/>
        </w:rPr>
        <w:t>or defaulting to living in restrictive, often dehumanizing, and potentially re-traumatizing residential care </w:t>
      </w:r>
      <w:r>
        <w:rPr>
          <w:spacing w:val="-2"/>
          <w:sz w:val="21"/>
        </w:rPr>
        <w:t>settings.</w:t>
      </w:r>
    </w:p>
    <w:p>
      <w:pPr>
        <w:spacing w:line="276" w:lineRule="auto" w:before="239"/>
        <w:ind w:left="463" w:right="239" w:firstLine="0"/>
        <w:jc w:val="both"/>
        <w:rPr>
          <w:sz w:val="21"/>
        </w:rPr>
      </w:pPr>
      <w:r>
        <w:rPr>
          <w:sz w:val="21"/>
        </w:rPr>
        <w:t>The</w:t>
      </w:r>
      <w:r>
        <w:rPr>
          <w:spacing w:val="-12"/>
          <w:sz w:val="21"/>
        </w:rPr>
        <w:t> </w:t>
      </w:r>
      <w:r>
        <w:rPr>
          <w:sz w:val="21"/>
        </w:rPr>
        <w:t>Commission’s</w:t>
      </w:r>
      <w:r>
        <w:rPr>
          <w:spacing w:val="-12"/>
          <w:sz w:val="21"/>
        </w:rPr>
        <w:t> </w:t>
      </w:r>
      <w:r>
        <w:rPr>
          <w:sz w:val="21"/>
        </w:rPr>
        <w:t>2021</w:t>
      </w:r>
      <w:r>
        <w:rPr>
          <w:spacing w:val="-12"/>
          <w:sz w:val="21"/>
        </w:rPr>
        <w:t> </w:t>
      </w:r>
      <w:r>
        <w:rPr>
          <w:sz w:val="21"/>
        </w:rPr>
        <w:t>report,</w:t>
      </w:r>
      <w:r>
        <w:rPr>
          <w:spacing w:val="-12"/>
          <w:sz w:val="21"/>
        </w:rPr>
        <w:t> </w:t>
      </w:r>
      <w:r>
        <w:rPr>
          <w:sz w:val="21"/>
        </w:rPr>
        <w:t>“LGBTQ</w:t>
      </w:r>
      <w:r>
        <w:rPr>
          <w:spacing w:val="-12"/>
          <w:sz w:val="21"/>
        </w:rPr>
        <w:t> </w:t>
      </w:r>
      <w:r>
        <w:rPr>
          <w:sz w:val="21"/>
        </w:rPr>
        <w:t>Youth</w:t>
      </w:r>
      <w:r>
        <w:rPr>
          <w:spacing w:val="-12"/>
          <w:sz w:val="21"/>
        </w:rPr>
        <w:t> </w:t>
      </w:r>
      <w:r>
        <w:rPr>
          <w:sz w:val="21"/>
        </w:rPr>
        <w:t>in</w:t>
      </w:r>
      <w:r>
        <w:rPr>
          <w:spacing w:val="-12"/>
          <w:sz w:val="21"/>
        </w:rPr>
        <w:t> </w:t>
      </w:r>
      <w:r>
        <w:rPr>
          <w:sz w:val="21"/>
        </w:rPr>
        <w:t>the</w:t>
      </w:r>
      <w:r>
        <w:rPr>
          <w:spacing w:val="-11"/>
          <w:sz w:val="21"/>
        </w:rPr>
        <w:t> </w:t>
      </w:r>
      <w:r>
        <w:rPr>
          <w:sz w:val="21"/>
        </w:rPr>
        <w:t>Massachusetts</w:t>
      </w:r>
      <w:r>
        <w:rPr>
          <w:spacing w:val="-12"/>
          <w:sz w:val="21"/>
        </w:rPr>
        <w:t> </w:t>
      </w:r>
      <w:r>
        <w:rPr>
          <w:sz w:val="21"/>
        </w:rPr>
        <w:t>Child</w:t>
      </w:r>
      <w:r>
        <w:rPr>
          <w:spacing w:val="-12"/>
          <w:sz w:val="21"/>
        </w:rPr>
        <w:t> </w:t>
      </w:r>
      <w:r>
        <w:rPr>
          <w:sz w:val="21"/>
        </w:rPr>
        <w:t>Welfare</w:t>
      </w:r>
      <w:r>
        <w:rPr>
          <w:spacing w:val="-12"/>
          <w:sz w:val="21"/>
        </w:rPr>
        <w:t> </w:t>
      </w:r>
      <w:r>
        <w:rPr>
          <w:sz w:val="21"/>
        </w:rPr>
        <w:t>System:</w:t>
      </w:r>
      <w:r>
        <w:rPr>
          <w:spacing w:val="-12"/>
          <w:sz w:val="21"/>
        </w:rPr>
        <w:t> </w:t>
      </w:r>
      <w:r>
        <w:rPr>
          <w:sz w:val="21"/>
        </w:rPr>
        <w:t>A</w:t>
      </w:r>
      <w:r>
        <w:rPr>
          <w:spacing w:val="-12"/>
          <w:sz w:val="21"/>
        </w:rPr>
        <w:t> </w:t>
      </w:r>
      <w:r>
        <w:rPr>
          <w:sz w:val="21"/>
        </w:rPr>
        <w:t>Report</w:t>
      </w:r>
      <w:r>
        <w:rPr>
          <w:spacing w:val="-12"/>
          <w:sz w:val="21"/>
        </w:rPr>
        <w:t> </w:t>
      </w:r>
      <w:r>
        <w:rPr>
          <w:sz w:val="21"/>
        </w:rPr>
        <w:t>on</w:t>
      </w:r>
      <w:r>
        <w:rPr>
          <w:spacing w:val="-12"/>
          <w:sz w:val="21"/>
        </w:rPr>
        <w:t> </w:t>
      </w:r>
      <w:r>
        <w:rPr>
          <w:sz w:val="21"/>
        </w:rPr>
        <w:t>Pervasive Threats to Safety, Wellbeing, and Permanency,” laid out detailed evidence-based recommendations for DCF to respond</w:t>
      </w:r>
      <w:r>
        <w:rPr>
          <w:spacing w:val="-2"/>
          <w:sz w:val="21"/>
        </w:rPr>
        <w:t> </w:t>
      </w:r>
      <w:r>
        <w:rPr>
          <w:sz w:val="21"/>
        </w:rPr>
        <w:t>to</w:t>
      </w:r>
      <w:r>
        <w:rPr>
          <w:spacing w:val="-2"/>
          <w:sz w:val="21"/>
        </w:rPr>
        <w:t> </w:t>
      </w:r>
      <w:r>
        <w:rPr>
          <w:sz w:val="21"/>
        </w:rPr>
        <w:t>systemic</w:t>
      </w:r>
      <w:r>
        <w:rPr>
          <w:spacing w:val="-2"/>
          <w:sz w:val="21"/>
        </w:rPr>
        <w:t> </w:t>
      </w:r>
      <w:r>
        <w:rPr>
          <w:sz w:val="21"/>
        </w:rPr>
        <w:t>crises</w:t>
      </w:r>
      <w:r>
        <w:rPr>
          <w:spacing w:val="-2"/>
          <w:sz w:val="21"/>
        </w:rPr>
        <w:t> </w:t>
      </w:r>
      <w:r>
        <w:rPr>
          <w:sz w:val="21"/>
        </w:rPr>
        <w:t>among</w:t>
      </w:r>
      <w:r>
        <w:rPr>
          <w:spacing w:val="-2"/>
          <w:sz w:val="21"/>
        </w:rPr>
        <w:t> </w:t>
      </w:r>
      <w:r>
        <w:rPr>
          <w:sz w:val="21"/>
        </w:rPr>
        <w:t>LGBTQ</w:t>
      </w:r>
      <w:r>
        <w:rPr>
          <w:spacing w:val="-2"/>
          <w:sz w:val="21"/>
        </w:rPr>
        <w:t> </w:t>
      </w:r>
      <w:r>
        <w:rPr>
          <w:sz w:val="21"/>
        </w:rPr>
        <w:t>youth</w:t>
      </w:r>
      <w:r>
        <w:rPr>
          <w:spacing w:val="-2"/>
          <w:sz w:val="21"/>
        </w:rPr>
        <w:t> </w:t>
      </w:r>
      <w:r>
        <w:rPr>
          <w:sz w:val="21"/>
        </w:rPr>
        <w:t>in</w:t>
      </w:r>
      <w:r>
        <w:rPr>
          <w:spacing w:val="-3"/>
          <w:sz w:val="21"/>
        </w:rPr>
        <w:t> </w:t>
      </w:r>
      <w:r>
        <w:rPr>
          <w:sz w:val="21"/>
        </w:rPr>
        <w:t>its</w:t>
      </w:r>
      <w:r>
        <w:rPr>
          <w:spacing w:val="-3"/>
          <w:sz w:val="21"/>
        </w:rPr>
        <w:t> </w:t>
      </w:r>
      <w:r>
        <w:rPr>
          <w:sz w:val="21"/>
        </w:rPr>
        <w:t>care.</w:t>
      </w:r>
      <w:r>
        <w:rPr>
          <w:spacing w:val="-2"/>
          <w:sz w:val="21"/>
        </w:rPr>
        <w:t> </w:t>
      </w:r>
      <w:r>
        <w:rPr>
          <w:sz w:val="21"/>
        </w:rPr>
        <w:t>Since</w:t>
      </w:r>
      <w:r>
        <w:rPr>
          <w:spacing w:val="-2"/>
          <w:sz w:val="21"/>
        </w:rPr>
        <w:t> </w:t>
      </w:r>
      <w:r>
        <w:rPr>
          <w:sz w:val="21"/>
        </w:rPr>
        <w:t>the</w:t>
      </w:r>
      <w:r>
        <w:rPr>
          <w:spacing w:val="-4"/>
          <w:sz w:val="21"/>
        </w:rPr>
        <w:t> </w:t>
      </w:r>
      <w:r>
        <w:rPr>
          <w:sz w:val="21"/>
        </w:rPr>
        <w:t>release</w:t>
      </w:r>
      <w:r>
        <w:rPr>
          <w:spacing w:val="-2"/>
          <w:sz w:val="21"/>
        </w:rPr>
        <w:t> </w:t>
      </w:r>
      <w:r>
        <w:rPr>
          <w:sz w:val="21"/>
        </w:rPr>
        <w:t>of</w:t>
      </w:r>
      <w:r>
        <w:rPr>
          <w:spacing w:val="-2"/>
          <w:sz w:val="21"/>
        </w:rPr>
        <w:t> </w:t>
      </w:r>
      <w:r>
        <w:rPr>
          <w:sz w:val="21"/>
        </w:rPr>
        <w:t>this</w:t>
      </w:r>
      <w:r>
        <w:rPr>
          <w:spacing w:val="-3"/>
          <w:sz w:val="21"/>
        </w:rPr>
        <w:t> </w:t>
      </w:r>
      <w:r>
        <w:rPr>
          <w:sz w:val="21"/>
        </w:rPr>
        <w:t>report,</w:t>
      </w:r>
      <w:r>
        <w:rPr>
          <w:spacing w:val="-3"/>
          <w:sz w:val="21"/>
        </w:rPr>
        <w:t> </w:t>
      </w:r>
      <w:r>
        <w:rPr>
          <w:sz w:val="21"/>
        </w:rPr>
        <w:t>the</w:t>
      </w:r>
      <w:r>
        <w:rPr>
          <w:spacing w:val="-3"/>
          <w:sz w:val="21"/>
        </w:rPr>
        <w:t> </w:t>
      </w:r>
      <w:r>
        <w:rPr>
          <w:sz w:val="21"/>
        </w:rPr>
        <w:t>Commission</w:t>
      </w:r>
      <w:r>
        <w:rPr>
          <w:spacing w:val="-2"/>
          <w:sz w:val="21"/>
        </w:rPr>
        <w:t> </w:t>
      </w:r>
      <w:r>
        <w:rPr>
          <w:sz w:val="21"/>
        </w:rPr>
        <w:t>and DCF have actively been working together to address the recommendations provided, with many of the recommendations since resolved, as detailed in the DCF- specific agency recommendations. In particular, DCF has</w:t>
      </w:r>
      <w:r>
        <w:rPr>
          <w:spacing w:val="-5"/>
          <w:sz w:val="21"/>
        </w:rPr>
        <w:t> </w:t>
      </w:r>
      <w:r>
        <w:rPr>
          <w:sz w:val="21"/>
        </w:rPr>
        <w:t>been</w:t>
      </w:r>
      <w:r>
        <w:rPr>
          <w:spacing w:val="-4"/>
          <w:sz w:val="21"/>
        </w:rPr>
        <w:t> </w:t>
      </w:r>
      <w:r>
        <w:rPr>
          <w:sz w:val="21"/>
        </w:rPr>
        <w:t>working</w:t>
      </w:r>
      <w:r>
        <w:rPr>
          <w:spacing w:val="-5"/>
          <w:sz w:val="21"/>
        </w:rPr>
        <w:t> </w:t>
      </w:r>
      <w:r>
        <w:rPr>
          <w:sz w:val="21"/>
        </w:rPr>
        <w:t>to</w:t>
      </w:r>
      <w:r>
        <w:rPr>
          <w:spacing w:val="-4"/>
          <w:sz w:val="21"/>
        </w:rPr>
        <w:t> </w:t>
      </w:r>
      <w:r>
        <w:rPr>
          <w:sz w:val="21"/>
        </w:rPr>
        <w:t>create</w:t>
      </w:r>
      <w:r>
        <w:rPr>
          <w:spacing w:val="-5"/>
          <w:sz w:val="21"/>
        </w:rPr>
        <w:t> </w:t>
      </w:r>
      <w:r>
        <w:rPr>
          <w:sz w:val="21"/>
        </w:rPr>
        <w:t>a</w:t>
      </w:r>
      <w:r>
        <w:rPr>
          <w:spacing w:val="-4"/>
          <w:sz w:val="21"/>
        </w:rPr>
        <w:t> </w:t>
      </w:r>
      <w:r>
        <w:rPr>
          <w:sz w:val="21"/>
        </w:rPr>
        <w:t>formal</w:t>
      </w:r>
      <w:r>
        <w:rPr>
          <w:spacing w:val="-4"/>
          <w:sz w:val="21"/>
        </w:rPr>
        <w:t> </w:t>
      </w:r>
      <w:r>
        <w:rPr>
          <w:sz w:val="21"/>
        </w:rPr>
        <w:t>mechanism</w:t>
      </w:r>
      <w:r>
        <w:rPr>
          <w:spacing w:val="-4"/>
          <w:sz w:val="21"/>
        </w:rPr>
        <w:t> </w:t>
      </w:r>
      <w:r>
        <w:rPr>
          <w:sz w:val="21"/>
        </w:rPr>
        <w:t>to</w:t>
      </w:r>
      <w:r>
        <w:rPr>
          <w:spacing w:val="-4"/>
          <w:sz w:val="21"/>
        </w:rPr>
        <w:t> </w:t>
      </w:r>
      <w:r>
        <w:rPr>
          <w:sz w:val="21"/>
        </w:rPr>
        <w:t>identify</w:t>
      </w:r>
      <w:r>
        <w:rPr>
          <w:spacing w:val="-4"/>
          <w:sz w:val="21"/>
        </w:rPr>
        <w:t> </w:t>
      </w:r>
      <w:r>
        <w:rPr>
          <w:sz w:val="21"/>
        </w:rPr>
        <w:t>affirming</w:t>
      </w:r>
      <w:r>
        <w:rPr>
          <w:spacing w:val="-3"/>
          <w:sz w:val="21"/>
        </w:rPr>
        <w:t> </w:t>
      </w:r>
      <w:r>
        <w:rPr>
          <w:sz w:val="21"/>
        </w:rPr>
        <w:t>placements,</w:t>
      </w:r>
      <w:r>
        <w:rPr>
          <w:spacing w:val="-5"/>
          <w:sz w:val="21"/>
        </w:rPr>
        <w:t> </w:t>
      </w:r>
      <w:r>
        <w:rPr>
          <w:sz w:val="21"/>
        </w:rPr>
        <w:t>since</w:t>
      </w:r>
      <w:r>
        <w:rPr>
          <w:spacing w:val="-4"/>
          <w:sz w:val="21"/>
        </w:rPr>
        <w:t> </w:t>
      </w:r>
      <w:r>
        <w:rPr>
          <w:sz w:val="21"/>
        </w:rPr>
        <w:t>many</w:t>
      </w:r>
      <w:r>
        <w:rPr>
          <w:spacing w:val="-4"/>
          <w:sz w:val="21"/>
        </w:rPr>
        <w:t> </w:t>
      </w:r>
      <w:r>
        <w:rPr>
          <w:sz w:val="21"/>
        </w:rPr>
        <w:t>gender</w:t>
      </w:r>
      <w:r>
        <w:rPr>
          <w:spacing w:val="-4"/>
          <w:sz w:val="21"/>
        </w:rPr>
        <w:t> </w:t>
      </w:r>
      <w:r>
        <w:rPr>
          <w:sz w:val="21"/>
        </w:rPr>
        <w:t>expansive youth are only placed in homes after reaching their maximum length of stay in residential programs. Additionally, DCF has updated its congregate care contracts to ensure that their staff and policies are LGBTQ- competent and regularly ask youth how they can improve their services.</w:t>
      </w:r>
    </w:p>
    <w:p>
      <w:pPr>
        <w:spacing w:line="276" w:lineRule="auto" w:before="241"/>
        <w:ind w:left="463" w:right="240" w:firstLine="0"/>
        <w:jc w:val="both"/>
        <w:rPr>
          <w:sz w:val="21"/>
        </w:rPr>
      </w:pPr>
      <w:r>
        <w:rPr>
          <w:sz w:val="21"/>
        </w:rPr>
        <w:t>As for LGBTQ youth in the criminal legal system, UCLA’s David Geffen School of Medicine recently put forth multiple recommendations that Massachusetts can follow. First, law enforcement agencies, courts, and detention facilities should all ensure that staff and policies are LGBTQ-affirming and trauma-informed, such as by ensuring youth of all ages can access gender-affirming clothing and care. Correctional agencies should seek funding to hire more affirming MHPs; communicate and implement policies for protecting LGBTQ youth from discrimination and harm; and provide virtual, trauma-relevant, and peer-based programs. Further, school districts should implement their own practices and policies to disassemble the school-to-prison pipeline, including crisis intervention protocol, training to recognize and respond to trauma, training and consequences for disciplining students according to (un)conscious bias, and resources for LGBTQ-affirming mentors and peer </w:t>
      </w:r>
      <w:r>
        <w:rPr>
          <w:spacing w:val="-2"/>
          <w:sz w:val="21"/>
        </w:rPr>
        <w:t>spaces.</w:t>
      </w:r>
    </w:p>
    <w:p>
      <w:pPr>
        <w:spacing w:line="276" w:lineRule="auto" w:before="240"/>
        <w:ind w:left="464" w:right="237" w:firstLine="0"/>
        <w:jc w:val="both"/>
        <w:rPr>
          <w:sz w:val="21"/>
        </w:rPr>
      </w:pPr>
      <w:r>
        <w:rPr>
          <w:sz w:val="21"/>
        </w:rPr>
        <w:t>Allies must also invest more</w:t>
      </w:r>
      <w:r>
        <w:rPr>
          <w:spacing w:val="-1"/>
          <w:sz w:val="21"/>
        </w:rPr>
        <w:t> </w:t>
      </w:r>
      <w:r>
        <w:rPr>
          <w:sz w:val="21"/>
        </w:rPr>
        <w:t>resources in support for</w:t>
      </w:r>
      <w:r>
        <w:rPr>
          <w:spacing w:val="-1"/>
          <w:sz w:val="21"/>
        </w:rPr>
        <w:t> </w:t>
      </w:r>
      <w:r>
        <w:rPr>
          <w:sz w:val="21"/>
        </w:rPr>
        <w:t>LGBTQ youth who are</w:t>
      </w:r>
      <w:r>
        <w:rPr>
          <w:spacing w:val="-1"/>
          <w:sz w:val="21"/>
        </w:rPr>
        <w:t> </w:t>
      </w:r>
      <w:r>
        <w:rPr>
          <w:sz w:val="21"/>
        </w:rPr>
        <w:t>dependent on substances. In 2021, the</w:t>
      </w:r>
      <w:r>
        <w:rPr>
          <w:spacing w:val="-4"/>
          <w:sz w:val="21"/>
        </w:rPr>
        <w:t> </w:t>
      </w:r>
      <w:r>
        <w:rPr>
          <w:sz w:val="21"/>
        </w:rPr>
        <w:t>Trevor</w:t>
      </w:r>
      <w:r>
        <w:rPr>
          <w:spacing w:val="-4"/>
          <w:sz w:val="21"/>
        </w:rPr>
        <w:t> </w:t>
      </w:r>
      <w:r>
        <w:rPr>
          <w:sz w:val="21"/>
        </w:rPr>
        <w:t>Project</w:t>
      </w:r>
      <w:r>
        <w:rPr>
          <w:spacing w:val="-4"/>
          <w:sz w:val="21"/>
        </w:rPr>
        <w:t> </w:t>
      </w:r>
      <w:r>
        <w:rPr>
          <w:sz w:val="21"/>
        </w:rPr>
        <w:t>found</w:t>
      </w:r>
      <w:r>
        <w:rPr>
          <w:spacing w:val="-6"/>
          <w:sz w:val="21"/>
        </w:rPr>
        <w:t> </w:t>
      </w:r>
      <w:r>
        <w:rPr>
          <w:sz w:val="21"/>
        </w:rPr>
        <w:t>that</w:t>
      </w:r>
      <w:r>
        <w:rPr>
          <w:spacing w:val="-4"/>
          <w:sz w:val="21"/>
        </w:rPr>
        <w:t> </w:t>
      </w:r>
      <w:r>
        <w:rPr>
          <w:sz w:val="21"/>
        </w:rPr>
        <w:t>over</w:t>
      </w:r>
      <w:r>
        <w:rPr>
          <w:spacing w:val="-4"/>
          <w:sz w:val="21"/>
        </w:rPr>
        <w:t> </w:t>
      </w:r>
      <w:r>
        <w:rPr>
          <w:sz w:val="21"/>
        </w:rPr>
        <w:t>half</w:t>
      </w:r>
      <w:r>
        <w:rPr>
          <w:spacing w:val="-5"/>
          <w:sz w:val="21"/>
        </w:rPr>
        <w:t> </w:t>
      </w:r>
      <w:r>
        <w:rPr>
          <w:sz w:val="21"/>
        </w:rPr>
        <w:t>of</w:t>
      </w:r>
      <w:r>
        <w:rPr>
          <w:spacing w:val="-6"/>
          <w:sz w:val="21"/>
        </w:rPr>
        <w:t> </w:t>
      </w:r>
      <w:r>
        <w:rPr>
          <w:sz w:val="21"/>
        </w:rPr>
        <w:t>all</w:t>
      </w:r>
      <w:r>
        <w:rPr>
          <w:spacing w:val="-4"/>
          <w:sz w:val="21"/>
        </w:rPr>
        <w:t> </w:t>
      </w:r>
      <w:r>
        <w:rPr>
          <w:sz w:val="21"/>
        </w:rPr>
        <w:t>LGBTQ</w:t>
      </w:r>
      <w:r>
        <w:rPr>
          <w:spacing w:val="-4"/>
          <w:sz w:val="21"/>
        </w:rPr>
        <w:t> </w:t>
      </w:r>
      <w:r>
        <w:rPr>
          <w:sz w:val="21"/>
        </w:rPr>
        <w:t>youth</w:t>
      </w:r>
      <w:r>
        <w:rPr>
          <w:spacing w:val="-4"/>
          <w:sz w:val="21"/>
        </w:rPr>
        <w:t> </w:t>
      </w:r>
      <w:r>
        <w:rPr>
          <w:sz w:val="21"/>
        </w:rPr>
        <w:t>had</w:t>
      </w:r>
      <w:r>
        <w:rPr>
          <w:spacing w:val="-6"/>
          <w:sz w:val="21"/>
        </w:rPr>
        <w:t> </w:t>
      </w:r>
      <w:r>
        <w:rPr>
          <w:sz w:val="21"/>
        </w:rPr>
        <w:t>used</w:t>
      </w:r>
      <w:r>
        <w:rPr>
          <w:spacing w:val="-6"/>
          <w:sz w:val="21"/>
        </w:rPr>
        <w:t> </w:t>
      </w:r>
      <w:r>
        <w:rPr>
          <w:sz w:val="21"/>
        </w:rPr>
        <w:t>alcohol</w:t>
      </w:r>
      <w:r>
        <w:rPr>
          <w:spacing w:val="-4"/>
          <w:sz w:val="21"/>
        </w:rPr>
        <w:t> </w:t>
      </w:r>
      <w:r>
        <w:rPr>
          <w:sz w:val="21"/>
        </w:rPr>
        <w:t>in</w:t>
      </w:r>
      <w:r>
        <w:rPr>
          <w:spacing w:val="-4"/>
          <w:sz w:val="21"/>
        </w:rPr>
        <w:t> </w:t>
      </w:r>
      <w:r>
        <w:rPr>
          <w:sz w:val="21"/>
        </w:rPr>
        <w:t>the</w:t>
      </w:r>
      <w:r>
        <w:rPr>
          <w:spacing w:val="-6"/>
          <w:sz w:val="21"/>
        </w:rPr>
        <w:t> </w:t>
      </w:r>
      <w:r>
        <w:rPr>
          <w:sz w:val="21"/>
        </w:rPr>
        <w:t>last</w:t>
      </w:r>
      <w:r>
        <w:rPr>
          <w:spacing w:val="-4"/>
          <w:sz w:val="21"/>
        </w:rPr>
        <w:t> </w:t>
      </w:r>
      <w:r>
        <w:rPr>
          <w:sz w:val="21"/>
        </w:rPr>
        <w:t>year,</w:t>
      </w:r>
      <w:r>
        <w:rPr>
          <w:spacing w:val="-5"/>
          <w:sz w:val="21"/>
        </w:rPr>
        <w:t> </w:t>
      </w:r>
      <w:r>
        <w:rPr>
          <w:sz w:val="21"/>
        </w:rPr>
        <w:t>while</w:t>
      </w:r>
      <w:r>
        <w:rPr>
          <w:spacing w:val="-6"/>
          <w:sz w:val="21"/>
        </w:rPr>
        <w:t> </w:t>
      </w:r>
      <w:r>
        <w:rPr>
          <w:sz w:val="21"/>
        </w:rPr>
        <w:t>almost</w:t>
      </w:r>
      <w:r>
        <w:rPr>
          <w:spacing w:val="-4"/>
          <w:sz w:val="21"/>
        </w:rPr>
        <w:t> </w:t>
      </w:r>
      <w:r>
        <w:rPr>
          <w:sz w:val="21"/>
        </w:rPr>
        <w:t>a</w:t>
      </w:r>
      <w:r>
        <w:rPr>
          <w:spacing w:val="-5"/>
          <w:sz w:val="21"/>
        </w:rPr>
        <w:t> </w:t>
      </w:r>
      <w:r>
        <w:rPr>
          <w:sz w:val="21"/>
        </w:rPr>
        <w:t>third had used marijuana and one in ten used prescription drugs that were not their own. LGBTQ youth who use substances are also significantly more likely to attempt suicide, while adolescent overdose rates across the US doubled between 2019 and 2021. The prevalence of substance use among LGBTQ youth makes it even more important to fund affirming, affordable, trauma-informed, and culturally responsive treatment options.</w:t>
      </w:r>
    </w:p>
    <w:p>
      <w:pPr>
        <w:spacing w:line="276" w:lineRule="auto" w:before="241"/>
        <w:ind w:left="464" w:right="240" w:firstLine="0"/>
        <w:jc w:val="both"/>
        <w:rPr>
          <w:sz w:val="21"/>
        </w:rPr>
      </w:pPr>
      <w:r>
        <w:rPr>
          <w:sz w:val="21"/>
        </w:rPr>
        <w:t>Yet when people in Massachusetts need support for substance use disorders, they may be met with judgment and</w:t>
      </w:r>
      <w:r>
        <w:rPr>
          <w:spacing w:val="-5"/>
          <w:sz w:val="21"/>
        </w:rPr>
        <w:t> </w:t>
      </w:r>
      <w:r>
        <w:rPr>
          <w:sz w:val="21"/>
        </w:rPr>
        <w:t>criminal</w:t>
      </w:r>
      <w:r>
        <w:rPr>
          <w:spacing w:val="-6"/>
          <w:sz w:val="21"/>
        </w:rPr>
        <w:t> </w:t>
      </w:r>
      <w:r>
        <w:rPr>
          <w:sz w:val="21"/>
        </w:rPr>
        <w:t>charges</w:t>
      </w:r>
      <w:r>
        <w:rPr>
          <w:spacing w:val="-6"/>
          <w:sz w:val="21"/>
        </w:rPr>
        <w:t> </w:t>
      </w:r>
      <w:r>
        <w:rPr>
          <w:sz w:val="21"/>
        </w:rPr>
        <w:t>instead.</w:t>
      </w:r>
      <w:r>
        <w:rPr>
          <w:spacing w:val="-6"/>
          <w:sz w:val="21"/>
        </w:rPr>
        <w:t> </w:t>
      </w:r>
      <w:r>
        <w:rPr>
          <w:sz w:val="21"/>
        </w:rPr>
        <w:t>For</w:t>
      </w:r>
      <w:r>
        <w:rPr>
          <w:spacing w:val="-5"/>
          <w:sz w:val="21"/>
        </w:rPr>
        <w:t> </w:t>
      </w:r>
      <w:r>
        <w:rPr>
          <w:sz w:val="21"/>
        </w:rPr>
        <w:t>instance,</w:t>
      </w:r>
      <w:r>
        <w:rPr>
          <w:spacing w:val="-5"/>
          <w:sz w:val="21"/>
        </w:rPr>
        <w:t> </w:t>
      </w:r>
      <w:r>
        <w:rPr>
          <w:sz w:val="21"/>
        </w:rPr>
        <w:t>when</w:t>
      </w:r>
      <w:r>
        <w:rPr>
          <w:spacing w:val="-5"/>
          <w:sz w:val="21"/>
        </w:rPr>
        <w:t> </w:t>
      </w:r>
      <w:r>
        <w:rPr>
          <w:sz w:val="21"/>
        </w:rPr>
        <w:t>defendants</w:t>
      </w:r>
      <w:r>
        <w:rPr>
          <w:spacing w:val="-6"/>
          <w:sz w:val="21"/>
        </w:rPr>
        <w:t> </w:t>
      </w:r>
      <w:r>
        <w:rPr>
          <w:sz w:val="21"/>
        </w:rPr>
        <w:t>relapse</w:t>
      </w:r>
      <w:r>
        <w:rPr>
          <w:spacing w:val="-7"/>
          <w:sz w:val="21"/>
        </w:rPr>
        <w:t> </w:t>
      </w:r>
      <w:r>
        <w:rPr>
          <w:sz w:val="21"/>
        </w:rPr>
        <w:t>and</w:t>
      </w:r>
      <w:r>
        <w:rPr>
          <w:spacing w:val="-5"/>
          <w:sz w:val="21"/>
        </w:rPr>
        <w:t> </w:t>
      </w:r>
      <w:r>
        <w:rPr>
          <w:sz w:val="21"/>
        </w:rPr>
        <w:t>fail</w:t>
      </w:r>
      <w:r>
        <w:rPr>
          <w:spacing w:val="-5"/>
          <w:sz w:val="21"/>
        </w:rPr>
        <w:t> </w:t>
      </w:r>
      <w:r>
        <w:rPr>
          <w:sz w:val="21"/>
        </w:rPr>
        <w:t>court-mandated</w:t>
      </w:r>
      <w:r>
        <w:rPr>
          <w:spacing w:val="-7"/>
          <w:sz w:val="21"/>
        </w:rPr>
        <w:t> </w:t>
      </w:r>
      <w:r>
        <w:rPr>
          <w:sz w:val="21"/>
        </w:rPr>
        <w:t>drug</w:t>
      </w:r>
      <w:r>
        <w:rPr>
          <w:spacing w:val="-6"/>
          <w:sz w:val="21"/>
        </w:rPr>
        <w:t> </w:t>
      </w:r>
      <w:r>
        <w:rPr>
          <w:sz w:val="21"/>
        </w:rPr>
        <w:t>testing,</w:t>
      </w:r>
      <w:r>
        <w:rPr>
          <w:spacing w:val="-5"/>
          <w:sz w:val="21"/>
        </w:rPr>
        <w:t> </w:t>
      </w:r>
      <w:r>
        <w:rPr>
          <w:sz w:val="21"/>
        </w:rPr>
        <w:t>they are often incarcerated, where they experience further trauma and receive non- evidence-based treatment.</w:t>
      </w:r>
    </w:p>
    <w:p>
      <w:pPr>
        <w:spacing w:line="276" w:lineRule="auto" w:before="240"/>
        <w:ind w:left="464" w:right="236" w:firstLine="0"/>
        <w:jc w:val="both"/>
        <w:rPr>
          <w:sz w:val="21"/>
        </w:rPr>
      </w:pPr>
      <w:r>
        <w:rPr>
          <w:sz w:val="21"/>
        </w:rPr>
        <w:t>Finally, because LGBTQ youth face many risk factors that can push them into crisis, hospitalization, and suicidality, allies should strongly advocate for more care options that are LGBTQ-affirming, affordable, and do not cause further trauma. On this front, congregate mental health support services in particular lack crucial funding. At present, it appears that there are only a few LGBTQ-specific partial hospitalization programs in Massachusetts</w:t>
      </w:r>
      <w:r>
        <w:rPr>
          <w:spacing w:val="-12"/>
          <w:sz w:val="21"/>
        </w:rPr>
        <w:t> </w:t>
      </w:r>
      <w:r>
        <w:rPr>
          <w:sz w:val="21"/>
        </w:rPr>
        <w:t>(including</w:t>
      </w:r>
      <w:r>
        <w:rPr>
          <w:spacing w:val="-12"/>
          <w:sz w:val="21"/>
        </w:rPr>
        <w:t> </w:t>
      </w:r>
      <w:r>
        <w:rPr>
          <w:sz w:val="21"/>
        </w:rPr>
        <w:t>Walden’s</w:t>
      </w:r>
      <w:r>
        <w:rPr>
          <w:spacing w:val="-11"/>
          <w:sz w:val="21"/>
        </w:rPr>
        <w:t> </w:t>
      </w:r>
      <w:r>
        <w:rPr>
          <w:sz w:val="21"/>
        </w:rPr>
        <w:t>virtual</w:t>
      </w:r>
      <w:r>
        <w:rPr>
          <w:spacing w:val="-11"/>
          <w:sz w:val="21"/>
        </w:rPr>
        <w:t> </w:t>
      </w:r>
      <w:r>
        <w:rPr>
          <w:sz w:val="21"/>
        </w:rPr>
        <w:t>Rainbow</w:t>
      </w:r>
      <w:r>
        <w:rPr>
          <w:spacing w:val="-11"/>
          <w:sz w:val="21"/>
        </w:rPr>
        <w:t> </w:t>
      </w:r>
      <w:r>
        <w:rPr>
          <w:sz w:val="21"/>
        </w:rPr>
        <w:t>Road</w:t>
      </w:r>
      <w:r>
        <w:rPr>
          <w:spacing w:val="-11"/>
          <w:sz w:val="21"/>
        </w:rPr>
        <w:t> </w:t>
      </w:r>
      <w:r>
        <w:rPr>
          <w:sz w:val="21"/>
        </w:rPr>
        <w:t>Programs</w:t>
      </w:r>
      <w:r>
        <w:rPr>
          <w:spacing w:val="-12"/>
          <w:sz w:val="21"/>
        </w:rPr>
        <w:t> </w:t>
      </w:r>
      <w:r>
        <w:rPr>
          <w:sz w:val="21"/>
        </w:rPr>
        <w:t>and</w:t>
      </w:r>
      <w:r>
        <w:rPr>
          <w:spacing w:val="-11"/>
          <w:sz w:val="21"/>
        </w:rPr>
        <w:t> </w:t>
      </w:r>
      <w:r>
        <w:rPr>
          <w:sz w:val="21"/>
        </w:rPr>
        <w:t>HRI</w:t>
      </w:r>
      <w:r>
        <w:rPr>
          <w:spacing w:val="-11"/>
          <w:sz w:val="21"/>
        </w:rPr>
        <w:t> </w:t>
      </w:r>
      <w:r>
        <w:rPr>
          <w:sz w:val="21"/>
        </w:rPr>
        <w:t>Hospital’s</w:t>
      </w:r>
      <w:r>
        <w:rPr>
          <w:spacing w:val="-12"/>
          <w:sz w:val="21"/>
        </w:rPr>
        <w:t> </w:t>
      </w:r>
      <w:r>
        <w:rPr>
          <w:sz w:val="21"/>
        </w:rPr>
        <w:t>Triangle</w:t>
      </w:r>
      <w:r>
        <w:rPr>
          <w:spacing w:val="-11"/>
          <w:sz w:val="21"/>
        </w:rPr>
        <w:t> </w:t>
      </w:r>
      <w:r>
        <w:rPr>
          <w:sz w:val="21"/>
        </w:rPr>
        <w:t>Program),</w:t>
      </w:r>
      <w:r>
        <w:rPr>
          <w:spacing w:val="-11"/>
          <w:sz w:val="21"/>
        </w:rPr>
        <w:t> </w:t>
      </w:r>
      <w:r>
        <w:rPr>
          <w:sz w:val="21"/>
        </w:rPr>
        <w:t>as</w:t>
      </w:r>
      <w:r>
        <w:rPr>
          <w:spacing w:val="-12"/>
          <w:sz w:val="21"/>
        </w:rPr>
        <w:t> </w:t>
      </w:r>
      <w:r>
        <w:rPr>
          <w:sz w:val="21"/>
        </w:rPr>
        <w:t>well as one group home in New England (The Home for Little Wanderers’ Waltham House, with a capacity of 12 </w:t>
      </w:r>
      <w:r>
        <w:rPr>
          <w:spacing w:val="-2"/>
          <w:sz w:val="21"/>
        </w:rPr>
        <w:t>youth.)</w:t>
      </w:r>
    </w:p>
    <w:p>
      <w:pPr>
        <w:spacing w:after="0" w:line="276" w:lineRule="auto"/>
        <w:jc w:val="both"/>
        <w:rPr>
          <w:sz w:val="21"/>
        </w:rPr>
        <w:sectPr>
          <w:pgSz w:w="12240" w:h="15840"/>
          <w:pgMar w:header="804" w:footer="1390" w:top="1080" w:bottom="1620" w:left="980" w:right="1080"/>
        </w:sectPr>
      </w:pPr>
    </w:p>
    <w:p>
      <w:pPr>
        <w:spacing w:before="68"/>
        <w:ind w:left="463" w:right="0" w:firstLine="0"/>
        <w:jc w:val="both"/>
        <w:rPr>
          <w:sz w:val="28"/>
        </w:rPr>
      </w:pPr>
      <w:bookmarkStart w:name="Expanding Youth Access to Community-Base" w:id="255"/>
      <w:bookmarkEnd w:id="255"/>
      <w:r>
        <w:rPr/>
      </w:r>
      <w:r>
        <w:rPr>
          <w:color w:val="365F91"/>
          <w:sz w:val="28"/>
        </w:rPr>
        <w:t>Expanding</w:t>
      </w:r>
      <w:r>
        <w:rPr>
          <w:color w:val="365F91"/>
          <w:spacing w:val="-11"/>
          <w:sz w:val="28"/>
        </w:rPr>
        <w:t> </w:t>
      </w:r>
      <w:r>
        <w:rPr>
          <w:color w:val="365F91"/>
          <w:sz w:val="28"/>
        </w:rPr>
        <w:t>Youth</w:t>
      </w:r>
      <w:r>
        <w:rPr>
          <w:color w:val="365F91"/>
          <w:spacing w:val="-12"/>
          <w:sz w:val="28"/>
        </w:rPr>
        <w:t> </w:t>
      </w:r>
      <w:r>
        <w:rPr>
          <w:color w:val="365F91"/>
          <w:sz w:val="28"/>
        </w:rPr>
        <w:t>Access</w:t>
      </w:r>
      <w:r>
        <w:rPr>
          <w:color w:val="365F91"/>
          <w:spacing w:val="-10"/>
          <w:sz w:val="28"/>
        </w:rPr>
        <w:t> </w:t>
      </w:r>
      <w:r>
        <w:rPr>
          <w:color w:val="365F91"/>
          <w:sz w:val="28"/>
        </w:rPr>
        <w:t>to</w:t>
      </w:r>
      <w:r>
        <w:rPr>
          <w:color w:val="365F91"/>
          <w:spacing w:val="-11"/>
          <w:sz w:val="28"/>
        </w:rPr>
        <w:t> </w:t>
      </w:r>
      <w:r>
        <w:rPr>
          <w:color w:val="365F91"/>
          <w:sz w:val="28"/>
        </w:rPr>
        <w:t>Community-Based</w:t>
      </w:r>
      <w:r>
        <w:rPr>
          <w:color w:val="365F91"/>
          <w:spacing w:val="-11"/>
          <w:sz w:val="28"/>
        </w:rPr>
        <w:t> </w:t>
      </w:r>
      <w:r>
        <w:rPr>
          <w:color w:val="365F91"/>
          <w:sz w:val="28"/>
        </w:rPr>
        <w:t>and</w:t>
      </w:r>
      <w:r>
        <w:rPr>
          <w:color w:val="365F91"/>
          <w:spacing w:val="-11"/>
          <w:sz w:val="28"/>
        </w:rPr>
        <w:t> </w:t>
      </w:r>
      <w:r>
        <w:rPr>
          <w:color w:val="365F91"/>
          <w:sz w:val="28"/>
        </w:rPr>
        <w:t>Peer</w:t>
      </w:r>
      <w:r>
        <w:rPr>
          <w:color w:val="365F91"/>
          <w:spacing w:val="-11"/>
          <w:sz w:val="28"/>
        </w:rPr>
        <w:t> </w:t>
      </w:r>
      <w:r>
        <w:rPr>
          <w:color w:val="365F91"/>
          <w:spacing w:val="-2"/>
          <w:sz w:val="28"/>
        </w:rPr>
        <w:t>Support</w:t>
      </w:r>
    </w:p>
    <w:p>
      <w:pPr>
        <w:spacing w:line="276" w:lineRule="auto" w:before="291"/>
        <w:ind w:left="463" w:right="241" w:firstLine="0"/>
        <w:jc w:val="both"/>
        <w:rPr>
          <w:sz w:val="21"/>
        </w:rPr>
      </w:pPr>
      <w:r>
        <w:rPr>
          <w:sz w:val="21"/>
        </w:rPr>
        <w:t>Overall, while individual-based professional mental healthcare urgently deserves funding and reform, community-based programs can also significantly improve LGBTQ youth mental health. Given the high rates of lack of access to mental healthcare, decision-makers should invest in task-shifting to help more LGBTQ youth get</w:t>
      </w:r>
      <w:r>
        <w:rPr>
          <w:spacing w:val="-8"/>
          <w:sz w:val="21"/>
        </w:rPr>
        <w:t> </w:t>
      </w:r>
      <w:r>
        <w:rPr>
          <w:sz w:val="21"/>
        </w:rPr>
        <w:t>support</w:t>
      </w:r>
      <w:r>
        <w:rPr>
          <w:spacing w:val="-9"/>
          <w:sz w:val="21"/>
        </w:rPr>
        <w:t> </w:t>
      </w:r>
      <w:r>
        <w:rPr>
          <w:sz w:val="21"/>
        </w:rPr>
        <w:t>from</w:t>
      </w:r>
      <w:r>
        <w:rPr>
          <w:spacing w:val="-9"/>
          <w:sz w:val="21"/>
        </w:rPr>
        <w:t> </w:t>
      </w:r>
      <w:r>
        <w:rPr>
          <w:sz w:val="21"/>
        </w:rPr>
        <w:t>their</w:t>
      </w:r>
      <w:r>
        <w:rPr>
          <w:spacing w:val="-9"/>
          <w:sz w:val="21"/>
        </w:rPr>
        <w:t> </w:t>
      </w:r>
      <w:r>
        <w:rPr>
          <w:sz w:val="21"/>
        </w:rPr>
        <w:t>own</w:t>
      </w:r>
      <w:r>
        <w:rPr>
          <w:spacing w:val="-10"/>
          <w:sz w:val="21"/>
        </w:rPr>
        <w:t> </w:t>
      </w:r>
      <w:r>
        <w:rPr>
          <w:sz w:val="21"/>
        </w:rPr>
        <w:t>peers</w:t>
      </w:r>
      <w:r>
        <w:rPr>
          <w:spacing w:val="-10"/>
          <w:sz w:val="21"/>
        </w:rPr>
        <w:t> </w:t>
      </w:r>
      <w:r>
        <w:rPr>
          <w:sz w:val="21"/>
        </w:rPr>
        <w:t>and</w:t>
      </w:r>
      <w:r>
        <w:rPr>
          <w:spacing w:val="-9"/>
          <w:sz w:val="21"/>
        </w:rPr>
        <w:t> </w:t>
      </w:r>
      <w:r>
        <w:rPr>
          <w:sz w:val="21"/>
        </w:rPr>
        <w:t>communities;</w:t>
      </w:r>
      <w:r>
        <w:rPr>
          <w:spacing w:val="-9"/>
          <w:sz w:val="21"/>
        </w:rPr>
        <w:t> </w:t>
      </w:r>
      <w:r>
        <w:rPr>
          <w:sz w:val="21"/>
        </w:rPr>
        <w:t>task-shifting</w:t>
      </w:r>
      <w:r>
        <w:rPr>
          <w:spacing w:val="-9"/>
          <w:sz w:val="21"/>
        </w:rPr>
        <w:t> </w:t>
      </w:r>
      <w:r>
        <w:rPr>
          <w:sz w:val="21"/>
        </w:rPr>
        <w:t>circumvents</w:t>
      </w:r>
      <w:r>
        <w:rPr>
          <w:spacing w:val="-9"/>
          <w:sz w:val="21"/>
        </w:rPr>
        <w:t> </w:t>
      </w:r>
      <w:r>
        <w:rPr>
          <w:sz w:val="21"/>
        </w:rPr>
        <w:t>common</w:t>
      </w:r>
      <w:r>
        <w:rPr>
          <w:spacing w:val="-9"/>
          <w:sz w:val="21"/>
        </w:rPr>
        <w:t> </w:t>
      </w:r>
      <w:r>
        <w:rPr>
          <w:sz w:val="21"/>
        </w:rPr>
        <w:t>barriers</w:t>
      </w:r>
      <w:r>
        <w:rPr>
          <w:spacing w:val="-9"/>
          <w:sz w:val="21"/>
        </w:rPr>
        <w:t> </w:t>
      </w:r>
      <w:r>
        <w:rPr>
          <w:sz w:val="21"/>
        </w:rPr>
        <w:t>to</w:t>
      </w:r>
      <w:r>
        <w:rPr>
          <w:spacing w:val="-9"/>
          <w:sz w:val="21"/>
        </w:rPr>
        <w:t> </w:t>
      </w:r>
      <w:r>
        <w:rPr>
          <w:sz w:val="21"/>
        </w:rPr>
        <w:t>care,</w:t>
      </w:r>
      <w:r>
        <w:rPr>
          <w:spacing w:val="-9"/>
          <w:sz w:val="21"/>
        </w:rPr>
        <w:t> </w:t>
      </w:r>
      <w:r>
        <w:rPr>
          <w:sz w:val="21"/>
        </w:rPr>
        <w:t>like</w:t>
      </w:r>
      <w:r>
        <w:rPr>
          <w:spacing w:val="-10"/>
          <w:sz w:val="21"/>
        </w:rPr>
        <w:t> </w:t>
      </w:r>
      <w:r>
        <w:rPr>
          <w:sz w:val="21"/>
        </w:rPr>
        <w:t>cost and long waitlists, by training laypeople and paraprofessionals to provide emotional support and psychoeducation.</w:t>
      </w:r>
      <w:r>
        <w:rPr>
          <w:spacing w:val="-5"/>
          <w:sz w:val="21"/>
        </w:rPr>
        <w:t> </w:t>
      </w:r>
      <w:r>
        <w:rPr>
          <w:sz w:val="21"/>
        </w:rPr>
        <w:t>This</w:t>
      </w:r>
      <w:r>
        <w:rPr>
          <w:spacing w:val="-5"/>
          <w:sz w:val="21"/>
        </w:rPr>
        <w:t> </w:t>
      </w:r>
      <w:r>
        <w:rPr>
          <w:sz w:val="21"/>
        </w:rPr>
        <w:t>allows</w:t>
      </w:r>
      <w:r>
        <w:rPr>
          <w:spacing w:val="-5"/>
          <w:sz w:val="21"/>
        </w:rPr>
        <w:t> </w:t>
      </w:r>
      <w:r>
        <w:rPr>
          <w:sz w:val="21"/>
        </w:rPr>
        <w:t>more</w:t>
      </w:r>
      <w:r>
        <w:rPr>
          <w:spacing w:val="-4"/>
          <w:sz w:val="21"/>
        </w:rPr>
        <w:t> </w:t>
      </w:r>
      <w:r>
        <w:rPr>
          <w:sz w:val="21"/>
        </w:rPr>
        <w:t>people</w:t>
      </w:r>
      <w:r>
        <w:rPr>
          <w:spacing w:val="-4"/>
          <w:sz w:val="21"/>
        </w:rPr>
        <w:t> </w:t>
      </w:r>
      <w:r>
        <w:rPr>
          <w:sz w:val="21"/>
        </w:rPr>
        <w:t>to</w:t>
      </w:r>
      <w:r>
        <w:rPr>
          <w:spacing w:val="-5"/>
          <w:sz w:val="21"/>
        </w:rPr>
        <w:t> </w:t>
      </w:r>
      <w:r>
        <w:rPr>
          <w:sz w:val="21"/>
        </w:rPr>
        <w:t>address</w:t>
      </w:r>
      <w:r>
        <w:rPr>
          <w:spacing w:val="-5"/>
          <w:sz w:val="21"/>
        </w:rPr>
        <w:t> </w:t>
      </w:r>
      <w:r>
        <w:rPr>
          <w:sz w:val="21"/>
        </w:rPr>
        <w:t>stress</w:t>
      </w:r>
      <w:r>
        <w:rPr>
          <w:spacing w:val="-5"/>
          <w:sz w:val="21"/>
        </w:rPr>
        <w:t> </w:t>
      </w:r>
      <w:r>
        <w:rPr>
          <w:sz w:val="21"/>
        </w:rPr>
        <w:t>and</w:t>
      </w:r>
      <w:r>
        <w:rPr>
          <w:spacing w:val="-4"/>
          <w:sz w:val="21"/>
        </w:rPr>
        <w:t> </w:t>
      </w:r>
      <w:r>
        <w:rPr>
          <w:sz w:val="21"/>
        </w:rPr>
        <w:t>mental</w:t>
      </w:r>
      <w:r>
        <w:rPr>
          <w:spacing w:val="-4"/>
          <w:sz w:val="21"/>
        </w:rPr>
        <w:t> </w:t>
      </w:r>
      <w:r>
        <w:rPr>
          <w:sz w:val="21"/>
        </w:rPr>
        <w:t>health</w:t>
      </w:r>
      <w:r>
        <w:rPr>
          <w:spacing w:val="-4"/>
          <w:sz w:val="21"/>
        </w:rPr>
        <w:t> </w:t>
      </w:r>
      <w:r>
        <w:rPr>
          <w:sz w:val="21"/>
        </w:rPr>
        <w:t>concerns</w:t>
      </w:r>
      <w:r>
        <w:rPr>
          <w:spacing w:val="-5"/>
          <w:sz w:val="21"/>
        </w:rPr>
        <w:t> </w:t>
      </w:r>
      <w:r>
        <w:rPr>
          <w:sz w:val="21"/>
        </w:rPr>
        <w:t>without</w:t>
      </w:r>
      <w:r>
        <w:rPr>
          <w:spacing w:val="-4"/>
          <w:sz w:val="21"/>
        </w:rPr>
        <w:t> </w:t>
      </w:r>
      <w:r>
        <w:rPr>
          <w:sz w:val="21"/>
        </w:rPr>
        <w:t>having</w:t>
      </w:r>
      <w:r>
        <w:rPr>
          <w:spacing w:val="-5"/>
          <w:sz w:val="21"/>
        </w:rPr>
        <w:t> </w:t>
      </w:r>
      <w:r>
        <w:rPr>
          <w:sz w:val="21"/>
        </w:rPr>
        <w:t>to</w:t>
      </w:r>
      <w:r>
        <w:rPr>
          <w:spacing w:val="-5"/>
          <w:sz w:val="21"/>
        </w:rPr>
        <w:t> </w:t>
      </w:r>
      <w:r>
        <w:rPr>
          <w:sz w:val="21"/>
        </w:rPr>
        <w:t>wait to find an affordable therapist, preventing them from reaching a crisis point. Task-shifting has been evaluated in controlled studies of lay treatment of depression, anxiety, eating disorders, trauma, and alcohol </w:t>
      </w:r>
      <w:r>
        <w:rPr>
          <w:spacing w:val="-2"/>
          <w:sz w:val="21"/>
        </w:rPr>
        <w:t>dependency</w:t>
      </w:r>
      <w:hyperlink w:history="true" w:anchor="_bookmark177">
        <w:r>
          <w:rPr>
            <w:spacing w:val="-2"/>
            <w:sz w:val="21"/>
          </w:rPr>
          <w:t>.</w:t>
        </w:r>
        <w:r>
          <w:rPr>
            <w:spacing w:val="-2"/>
            <w:sz w:val="21"/>
            <w:vertAlign w:val="superscript"/>
          </w:rPr>
          <w:t>81</w:t>
        </w:r>
      </w:hyperlink>
    </w:p>
    <w:p>
      <w:pPr>
        <w:spacing w:line="276" w:lineRule="auto" w:before="240"/>
        <w:ind w:left="463" w:right="240" w:hanging="1"/>
        <w:jc w:val="both"/>
        <w:rPr>
          <w:sz w:val="21"/>
        </w:rPr>
      </w:pPr>
      <w:r>
        <w:rPr>
          <w:sz w:val="21"/>
        </w:rPr>
        <w:t>One</w:t>
      </w:r>
      <w:r>
        <w:rPr>
          <w:spacing w:val="-3"/>
          <w:sz w:val="21"/>
        </w:rPr>
        <w:t> </w:t>
      </w:r>
      <w:r>
        <w:rPr>
          <w:sz w:val="21"/>
        </w:rPr>
        <w:t>way</w:t>
      </w:r>
      <w:r>
        <w:rPr>
          <w:spacing w:val="-4"/>
          <w:sz w:val="21"/>
        </w:rPr>
        <w:t> </w:t>
      </w:r>
      <w:r>
        <w:rPr>
          <w:sz w:val="21"/>
        </w:rPr>
        <w:t>that</w:t>
      </w:r>
      <w:r>
        <w:rPr>
          <w:spacing w:val="-5"/>
          <w:sz w:val="21"/>
        </w:rPr>
        <w:t> </w:t>
      </w:r>
      <w:r>
        <w:rPr>
          <w:sz w:val="21"/>
        </w:rPr>
        <w:t>communities</w:t>
      </w:r>
      <w:r>
        <w:rPr>
          <w:spacing w:val="-5"/>
          <w:sz w:val="21"/>
        </w:rPr>
        <w:t> </w:t>
      </w:r>
      <w:r>
        <w:rPr>
          <w:sz w:val="21"/>
        </w:rPr>
        <w:t>and</w:t>
      </w:r>
      <w:r>
        <w:rPr>
          <w:spacing w:val="-3"/>
          <w:sz w:val="21"/>
        </w:rPr>
        <w:t> </w:t>
      </w:r>
      <w:r>
        <w:rPr>
          <w:sz w:val="21"/>
        </w:rPr>
        <w:t>decision-makers</w:t>
      </w:r>
      <w:r>
        <w:rPr>
          <w:spacing w:val="-3"/>
          <w:sz w:val="21"/>
        </w:rPr>
        <w:t> </w:t>
      </w:r>
      <w:r>
        <w:rPr>
          <w:sz w:val="21"/>
        </w:rPr>
        <w:t>can</w:t>
      </w:r>
      <w:r>
        <w:rPr>
          <w:spacing w:val="-4"/>
          <w:sz w:val="21"/>
        </w:rPr>
        <w:t> </w:t>
      </w:r>
      <w:r>
        <w:rPr>
          <w:sz w:val="21"/>
        </w:rPr>
        <w:t>begin</w:t>
      </w:r>
      <w:r>
        <w:rPr>
          <w:spacing w:val="-3"/>
          <w:sz w:val="21"/>
        </w:rPr>
        <w:t> </w:t>
      </w:r>
      <w:r>
        <w:rPr>
          <w:sz w:val="21"/>
        </w:rPr>
        <w:t>task-shifting</w:t>
      </w:r>
      <w:r>
        <w:rPr>
          <w:spacing w:val="-3"/>
          <w:sz w:val="21"/>
        </w:rPr>
        <w:t> </w:t>
      </w:r>
      <w:r>
        <w:rPr>
          <w:sz w:val="21"/>
        </w:rPr>
        <w:t>is</w:t>
      </w:r>
      <w:r>
        <w:rPr>
          <w:spacing w:val="-3"/>
          <w:sz w:val="21"/>
        </w:rPr>
        <w:t> </w:t>
      </w:r>
      <w:r>
        <w:rPr>
          <w:sz w:val="21"/>
        </w:rPr>
        <w:t>to</w:t>
      </w:r>
      <w:r>
        <w:rPr>
          <w:spacing w:val="-3"/>
          <w:sz w:val="21"/>
        </w:rPr>
        <w:t> </w:t>
      </w:r>
      <w:r>
        <w:rPr>
          <w:sz w:val="21"/>
        </w:rPr>
        <w:t>increase</w:t>
      </w:r>
      <w:r>
        <w:rPr>
          <w:spacing w:val="-3"/>
          <w:sz w:val="21"/>
        </w:rPr>
        <w:t> </w:t>
      </w:r>
      <w:r>
        <w:rPr>
          <w:sz w:val="21"/>
        </w:rPr>
        <w:t>funding</w:t>
      </w:r>
      <w:r>
        <w:rPr>
          <w:spacing w:val="-3"/>
          <w:sz w:val="21"/>
        </w:rPr>
        <w:t> </w:t>
      </w:r>
      <w:r>
        <w:rPr>
          <w:sz w:val="21"/>
        </w:rPr>
        <w:t>and</w:t>
      </w:r>
      <w:r>
        <w:rPr>
          <w:spacing w:val="-3"/>
          <w:sz w:val="21"/>
        </w:rPr>
        <w:t> </w:t>
      </w:r>
      <w:r>
        <w:rPr>
          <w:sz w:val="21"/>
        </w:rPr>
        <w:t>resources</w:t>
      </w:r>
      <w:r>
        <w:rPr>
          <w:spacing w:val="-4"/>
          <w:sz w:val="21"/>
        </w:rPr>
        <w:t> </w:t>
      </w:r>
      <w:r>
        <w:rPr>
          <w:sz w:val="21"/>
        </w:rPr>
        <w:t>for peer</w:t>
      </w:r>
      <w:r>
        <w:rPr>
          <w:spacing w:val="-2"/>
          <w:sz w:val="21"/>
        </w:rPr>
        <w:t> </w:t>
      </w:r>
      <w:r>
        <w:rPr>
          <w:sz w:val="21"/>
        </w:rPr>
        <w:t>support</w:t>
      </w:r>
      <w:r>
        <w:rPr>
          <w:spacing w:val="-2"/>
          <w:sz w:val="21"/>
        </w:rPr>
        <w:t> </w:t>
      </w:r>
      <w:r>
        <w:rPr>
          <w:sz w:val="21"/>
        </w:rPr>
        <w:t>work.</w:t>
      </w:r>
      <w:r>
        <w:rPr>
          <w:spacing w:val="-2"/>
          <w:sz w:val="21"/>
        </w:rPr>
        <w:t> </w:t>
      </w:r>
      <w:r>
        <w:rPr>
          <w:sz w:val="21"/>
        </w:rPr>
        <w:t>Peer</w:t>
      </w:r>
      <w:r>
        <w:rPr>
          <w:spacing w:val="-2"/>
          <w:sz w:val="21"/>
        </w:rPr>
        <w:t> </w:t>
      </w:r>
      <w:r>
        <w:rPr>
          <w:sz w:val="21"/>
        </w:rPr>
        <w:t>workers</w:t>
      </w:r>
      <w:r>
        <w:rPr>
          <w:spacing w:val="-2"/>
          <w:sz w:val="21"/>
        </w:rPr>
        <w:t> </w:t>
      </w:r>
      <w:r>
        <w:rPr>
          <w:sz w:val="21"/>
        </w:rPr>
        <w:t>relieve</w:t>
      </w:r>
      <w:r>
        <w:rPr>
          <w:spacing w:val="-2"/>
          <w:sz w:val="21"/>
        </w:rPr>
        <w:t> </w:t>
      </w:r>
      <w:r>
        <w:rPr>
          <w:sz w:val="21"/>
        </w:rPr>
        <w:t>the</w:t>
      </w:r>
      <w:r>
        <w:rPr>
          <w:spacing w:val="-2"/>
          <w:sz w:val="21"/>
        </w:rPr>
        <w:t> </w:t>
      </w:r>
      <w:r>
        <w:rPr>
          <w:sz w:val="21"/>
        </w:rPr>
        <w:t>intense</w:t>
      </w:r>
      <w:r>
        <w:rPr>
          <w:spacing w:val="-2"/>
          <w:sz w:val="21"/>
        </w:rPr>
        <w:t> </w:t>
      </w:r>
      <w:r>
        <w:rPr>
          <w:sz w:val="21"/>
        </w:rPr>
        <w:t>demand</w:t>
      </w:r>
      <w:r>
        <w:rPr>
          <w:spacing w:val="-2"/>
          <w:sz w:val="21"/>
        </w:rPr>
        <w:t> </w:t>
      </w:r>
      <w:r>
        <w:rPr>
          <w:sz w:val="21"/>
        </w:rPr>
        <w:t>that</w:t>
      </w:r>
      <w:r>
        <w:rPr>
          <w:spacing w:val="-2"/>
          <w:sz w:val="21"/>
        </w:rPr>
        <w:t> </w:t>
      </w:r>
      <w:r>
        <w:rPr>
          <w:sz w:val="21"/>
        </w:rPr>
        <w:t>mental</w:t>
      </w:r>
      <w:r>
        <w:rPr>
          <w:spacing w:val="-2"/>
          <w:sz w:val="21"/>
        </w:rPr>
        <w:t> </w:t>
      </w:r>
      <w:r>
        <w:rPr>
          <w:sz w:val="21"/>
        </w:rPr>
        <w:t>health</w:t>
      </w:r>
      <w:r>
        <w:rPr>
          <w:spacing w:val="-2"/>
          <w:sz w:val="21"/>
        </w:rPr>
        <w:t> </w:t>
      </w:r>
      <w:r>
        <w:rPr>
          <w:sz w:val="21"/>
        </w:rPr>
        <w:t>professionals</w:t>
      </w:r>
      <w:r>
        <w:rPr>
          <w:spacing w:val="-2"/>
          <w:sz w:val="21"/>
        </w:rPr>
        <w:t> </w:t>
      </w:r>
      <w:r>
        <w:rPr>
          <w:sz w:val="21"/>
        </w:rPr>
        <w:t>face.</w:t>
      </w:r>
      <w:r>
        <w:rPr>
          <w:spacing w:val="-2"/>
          <w:sz w:val="21"/>
        </w:rPr>
        <w:t> </w:t>
      </w:r>
      <w:r>
        <w:rPr>
          <w:sz w:val="21"/>
        </w:rPr>
        <w:t>It</w:t>
      </w:r>
      <w:r>
        <w:rPr>
          <w:spacing w:val="-2"/>
          <w:sz w:val="21"/>
        </w:rPr>
        <w:t> </w:t>
      </w:r>
      <w:r>
        <w:rPr>
          <w:sz w:val="21"/>
        </w:rPr>
        <w:t>has</w:t>
      </w:r>
      <w:r>
        <w:rPr>
          <w:spacing w:val="-3"/>
          <w:sz w:val="21"/>
        </w:rPr>
        <w:t> </w:t>
      </w:r>
      <w:r>
        <w:rPr>
          <w:sz w:val="21"/>
        </w:rPr>
        <w:t>been piloted with LGBTQ mental health peer advocates in rural areas. </w:t>
      </w:r>
      <w:hyperlink w:history="true" w:anchor="_bookmark178">
        <w:r>
          <w:rPr>
            <w:sz w:val="21"/>
            <w:vertAlign w:val="superscript"/>
          </w:rPr>
          <w:t>82</w:t>
        </w:r>
      </w:hyperlink>
      <w:r>
        <w:rPr>
          <w:sz w:val="21"/>
          <w:vertAlign w:val="baseline"/>
        </w:rPr>
        <w:t> The promotora model, where respected laypeople</w:t>
      </w:r>
      <w:r>
        <w:rPr>
          <w:spacing w:val="-7"/>
          <w:sz w:val="21"/>
          <w:vertAlign w:val="baseline"/>
        </w:rPr>
        <w:t> </w:t>
      </w:r>
      <w:r>
        <w:rPr>
          <w:sz w:val="21"/>
          <w:vertAlign w:val="baseline"/>
        </w:rPr>
        <w:t>become</w:t>
      </w:r>
      <w:r>
        <w:rPr>
          <w:spacing w:val="-7"/>
          <w:sz w:val="21"/>
          <w:vertAlign w:val="baseline"/>
        </w:rPr>
        <w:t> </w:t>
      </w:r>
      <w:r>
        <w:rPr>
          <w:sz w:val="21"/>
          <w:vertAlign w:val="baseline"/>
        </w:rPr>
        <w:t>health</w:t>
      </w:r>
      <w:r>
        <w:rPr>
          <w:spacing w:val="-8"/>
          <w:sz w:val="21"/>
          <w:vertAlign w:val="baseline"/>
        </w:rPr>
        <w:t> </w:t>
      </w:r>
      <w:r>
        <w:rPr>
          <w:sz w:val="21"/>
          <w:vertAlign w:val="baseline"/>
        </w:rPr>
        <w:t>advocates</w:t>
      </w:r>
      <w:r>
        <w:rPr>
          <w:spacing w:val="-7"/>
          <w:sz w:val="21"/>
          <w:vertAlign w:val="baseline"/>
        </w:rPr>
        <w:t> </w:t>
      </w:r>
      <w:r>
        <w:rPr>
          <w:sz w:val="21"/>
          <w:vertAlign w:val="baseline"/>
        </w:rPr>
        <w:t>in</w:t>
      </w:r>
      <w:r>
        <w:rPr>
          <w:spacing w:val="-7"/>
          <w:sz w:val="21"/>
          <w:vertAlign w:val="baseline"/>
        </w:rPr>
        <w:t> </w:t>
      </w:r>
      <w:r>
        <w:rPr>
          <w:sz w:val="21"/>
          <w:vertAlign w:val="baseline"/>
        </w:rPr>
        <w:t>their</w:t>
      </w:r>
      <w:r>
        <w:rPr>
          <w:spacing w:val="-7"/>
          <w:sz w:val="21"/>
          <w:vertAlign w:val="baseline"/>
        </w:rPr>
        <w:t> </w:t>
      </w:r>
      <w:r>
        <w:rPr>
          <w:sz w:val="21"/>
          <w:vertAlign w:val="baseline"/>
        </w:rPr>
        <w:t>own</w:t>
      </w:r>
      <w:r>
        <w:rPr>
          <w:spacing w:val="-7"/>
          <w:sz w:val="21"/>
          <w:vertAlign w:val="baseline"/>
        </w:rPr>
        <w:t> </w:t>
      </w:r>
      <w:r>
        <w:rPr>
          <w:sz w:val="21"/>
          <w:vertAlign w:val="baseline"/>
        </w:rPr>
        <w:t>communities,</w:t>
      </w:r>
      <w:r>
        <w:rPr>
          <w:spacing w:val="-6"/>
          <w:sz w:val="21"/>
          <w:vertAlign w:val="baseline"/>
        </w:rPr>
        <w:t> </w:t>
      </w:r>
      <w:r>
        <w:rPr>
          <w:sz w:val="21"/>
          <w:vertAlign w:val="baseline"/>
        </w:rPr>
        <w:t>is</w:t>
      </w:r>
      <w:r>
        <w:rPr>
          <w:spacing w:val="-7"/>
          <w:sz w:val="21"/>
          <w:vertAlign w:val="baseline"/>
        </w:rPr>
        <w:t> </w:t>
      </w:r>
      <w:r>
        <w:rPr>
          <w:sz w:val="21"/>
          <w:vertAlign w:val="baseline"/>
        </w:rPr>
        <w:t>another</w:t>
      </w:r>
      <w:r>
        <w:rPr>
          <w:spacing w:val="-7"/>
          <w:sz w:val="21"/>
          <w:vertAlign w:val="baseline"/>
        </w:rPr>
        <w:t> </w:t>
      </w:r>
      <w:r>
        <w:rPr>
          <w:sz w:val="21"/>
          <w:vertAlign w:val="baseline"/>
        </w:rPr>
        <w:t>powerful</w:t>
      </w:r>
      <w:r>
        <w:rPr>
          <w:spacing w:val="-7"/>
          <w:sz w:val="21"/>
          <w:vertAlign w:val="baseline"/>
        </w:rPr>
        <w:t> </w:t>
      </w:r>
      <w:r>
        <w:rPr>
          <w:sz w:val="21"/>
          <w:vertAlign w:val="baseline"/>
        </w:rPr>
        <w:t>strategy</w:t>
      </w:r>
      <w:r>
        <w:rPr>
          <w:spacing w:val="-7"/>
          <w:sz w:val="21"/>
          <w:vertAlign w:val="baseline"/>
        </w:rPr>
        <w:t> </w:t>
      </w:r>
      <w:r>
        <w:rPr>
          <w:sz w:val="21"/>
          <w:vertAlign w:val="baseline"/>
        </w:rPr>
        <w:t>for</w:t>
      </w:r>
      <w:r>
        <w:rPr>
          <w:spacing w:val="-7"/>
          <w:sz w:val="21"/>
          <w:vertAlign w:val="baseline"/>
        </w:rPr>
        <w:t> </w:t>
      </w:r>
      <w:r>
        <w:rPr>
          <w:sz w:val="21"/>
          <w:vertAlign w:val="baseline"/>
        </w:rPr>
        <w:t>reducing</w:t>
      </w:r>
      <w:r>
        <w:rPr>
          <w:spacing w:val="-7"/>
          <w:sz w:val="21"/>
          <w:vertAlign w:val="baseline"/>
        </w:rPr>
        <w:t> </w:t>
      </w:r>
      <w:r>
        <w:rPr>
          <w:sz w:val="21"/>
          <w:vertAlign w:val="baseline"/>
        </w:rPr>
        <w:t>stigma in</w:t>
      </w:r>
      <w:r>
        <w:rPr>
          <w:spacing w:val="-12"/>
          <w:sz w:val="21"/>
          <w:vertAlign w:val="baseline"/>
        </w:rPr>
        <w:t> </w:t>
      </w:r>
      <w:r>
        <w:rPr>
          <w:sz w:val="21"/>
          <w:vertAlign w:val="baseline"/>
        </w:rPr>
        <w:t>a</w:t>
      </w:r>
      <w:r>
        <w:rPr>
          <w:spacing w:val="-12"/>
          <w:sz w:val="21"/>
          <w:vertAlign w:val="baseline"/>
        </w:rPr>
        <w:t> </w:t>
      </w:r>
      <w:r>
        <w:rPr>
          <w:sz w:val="21"/>
          <w:vertAlign w:val="baseline"/>
        </w:rPr>
        <w:t>culturally</w:t>
      </w:r>
      <w:r>
        <w:rPr>
          <w:spacing w:val="-12"/>
          <w:sz w:val="21"/>
          <w:vertAlign w:val="baseline"/>
        </w:rPr>
        <w:t> </w:t>
      </w:r>
      <w:r>
        <w:rPr>
          <w:sz w:val="21"/>
          <w:vertAlign w:val="baseline"/>
        </w:rPr>
        <w:t>relevant</w:t>
      </w:r>
      <w:r>
        <w:rPr>
          <w:spacing w:val="-12"/>
          <w:sz w:val="21"/>
          <w:vertAlign w:val="baseline"/>
        </w:rPr>
        <w:t> </w:t>
      </w:r>
      <w:r>
        <w:rPr>
          <w:sz w:val="21"/>
          <w:vertAlign w:val="baseline"/>
        </w:rPr>
        <w:t>way.</w:t>
      </w:r>
      <w:r>
        <w:rPr>
          <w:spacing w:val="-12"/>
          <w:sz w:val="21"/>
          <w:vertAlign w:val="baseline"/>
        </w:rPr>
        <w:t> </w:t>
      </w:r>
      <w:r>
        <w:rPr>
          <w:sz w:val="21"/>
          <w:vertAlign w:val="baseline"/>
        </w:rPr>
        <w:t>They</w:t>
      </w:r>
      <w:r>
        <w:rPr>
          <w:spacing w:val="-12"/>
          <w:sz w:val="21"/>
          <w:vertAlign w:val="baseline"/>
        </w:rPr>
        <w:t> </w:t>
      </w:r>
      <w:r>
        <w:rPr>
          <w:sz w:val="21"/>
          <w:vertAlign w:val="baseline"/>
        </w:rPr>
        <w:t>can</w:t>
      </w:r>
      <w:r>
        <w:rPr>
          <w:spacing w:val="-12"/>
          <w:sz w:val="21"/>
          <w:vertAlign w:val="baseline"/>
        </w:rPr>
        <w:t> </w:t>
      </w:r>
      <w:r>
        <w:rPr>
          <w:sz w:val="21"/>
          <w:vertAlign w:val="baseline"/>
        </w:rPr>
        <w:t>collaborate</w:t>
      </w:r>
      <w:r>
        <w:rPr>
          <w:spacing w:val="-11"/>
          <w:sz w:val="21"/>
          <w:vertAlign w:val="baseline"/>
        </w:rPr>
        <w:t> </w:t>
      </w:r>
      <w:r>
        <w:rPr>
          <w:sz w:val="21"/>
          <w:vertAlign w:val="baseline"/>
        </w:rPr>
        <w:t>with</w:t>
      </w:r>
      <w:r>
        <w:rPr>
          <w:spacing w:val="-12"/>
          <w:sz w:val="21"/>
          <w:vertAlign w:val="baseline"/>
        </w:rPr>
        <w:t> </w:t>
      </w:r>
      <w:r>
        <w:rPr>
          <w:sz w:val="21"/>
          <w:vertAlign w:val="baseline"/>
        </w:rPr>
        <w:t>social</w:t>
      </w:r>
      <w:r>
        <w:rPr>
          <w:spacing w:val="-12"/>
          <w:sz w:val="21"/>
          <w:vertAlign w:val="baseline"/>
        </w:rPr>
        <w:t> </w:t>
      </w:r>
      <w:r>
        <w:rPr>
          <w:sz w:val="21"/>
          <w:vertAlign w:val="baseline"/>
        </w:rPr>
        <w:t>workers,</w:t>
      </w:r>
      <w:r>
        <w:rPr>
          <w:spacing w:val="-11"/>
          <w:sz w:val="21"/>
          <w:vertAlign w:val="baseline"/>
        </w:rPr>
        <w:t> </w:t>
      </w:r>
      <w:r>
        <w:rPr>
          <w:sz w:val="21"/>
          <w:vertAlign w:val="baseline"/>
        </w:rPr>
        <w:t>medical</w:t>
      </w:r>
      <w:r>
        <w:rPr>
          <w:spacing w:val="-12"/>
          <w:sz w:val="21"/>
          <w:vertAlign w:val="baseline"/>
        </w:rPr>
        <w:t> </w:t>
      </w:r>
      <w:r>
        <w:rPr>
          <w:sz w:val="21"/>
          <w:vertAlign w:val="baseline"/>
        </w:rPr>
        <w:t>professionals,</w:t>
      </w:r>
      <w:r>
        <w:rPr>
          <w:spacing w:val="-11"/>
          <w:sz w:val="21"/>
          <w:vertAlign w:val="baseline"/>
        </w:rPr>
        <w:t> </w:t>
      </w:r>
      <w:r>
        <w:rPr>
          <w:sz w:val="21"/>
          <w:vertAlign w:val="baseline"/>
        </w:rPr>
        <w:t>teachers,</w:t>
      </w:r>
      <w:r>
        <w:rPr>
          <w:spacing w:val="-12"/>
          <w:sz w:val="21"/>
          <w:vertAlign w:val="baseline"/>
        </w:rPr>
        <w:t> </w:t>
      </w:r>
      <w:r>
        <w:rPr>
          <w:sz w:val="21"/>
          <w:vertAlign w:val="baseline"/>
        </w:rPr>
        <w:t>and</w:t>
      </w:r>
      <w:r>
        <w:rPr>
          <w:spacing w:val="-11"/>
          <w:sz w:val="21"/>
          <w:vertAlign w:val="baseline"/>
        </w:rPr>
        <w:t> </w:t>
      </w:r>
      <w:r>
        <w:rPr>
          <w:sz w:val="21"/>
          <w:vertAlign w:val="baseline"/>
        </w:rPr>
        <w:t>more, and often come from more isolated or marginalized communities, like rural, immigrant, or BIPOC-majority </w:t>
      </w:r>
      <w:r>
        <w:rPr>
          <w:spacing w:val="-2"/>
          <w:sz w:val="21"/>
          <w:vertAlign w:val="baseline"/>
        </w:rPr>
        <w:t>neighborhoods</w:t>
      </w:r>
      <w:hyperlink w:history="true" w:anchor="_bookmark179">
        <w:r>
          <w:rPr>
            <w:spacing w:val="-2"/>
            <w:sz w:val="21"/>
            <w:vertAlign w:val="baseline"/>
          </w:rPr>
          <w:t>.</w:t>
        </w:r>
        <w:r>
          <w:rPr>
            <w:spacing w:val="-2"/>
            <w:sz w:val="21"/>
            <w:vertAlign w:val="superscript"/>
          </w:rPr>
          <w:t>83</w:t>
        </w:r>
      </w:hyperlink>
    </w:p>
    <w:p>
      <w:pPr>
        <w:spacing w:line="276" w:lineRule="auto" w:before="241"/>
        <w:ind w:left="463" w:right="242" w:firstLine="0"/>
        <w:jc w:val="both"/>
        <w:rPr>
          <w:sz w:val="21"/>
        </w:rPr>
      </w:pPr>
      <w:r>
        <w:rPr>
          <w:sz w:val="21"/>
        </w:rPr>
        <w:t>Proud</w:t>
      </w:r>
      <w:r>
        <w:rPr>
          <w:spacing w:val="-2"/>
          <w:sz w:val="21"/>
        </w:rPr>
        <w:t> </w:t>
      </w:r>
      <w:r>
        <w:rPr>
          <w:sz w:val="21"/>
        </w:rPr>
        <w:t>and</w:t>
      </w:r>
      <w:r>
        <w:rPr>
          <w:spacing w:val="-2"/>
          <w:sz w:val="21"/>
        </w:rPr>
        <w:t> </w:t>
      </w:r>
      <w:r>
        <w:rPr>
          <w:sz w:val="21"/>
        </w:rPr>
        <w:t>Empowered,</w:t>
      </w:r>
      <w:r>
        <w:rPr>
          <w:spacing w:val="-1"/>
          <w:sz w:val="21"/>
        </w:rPr>
        <w:t> </w:t>
      </w:r>
      <w:r>
        <w:rPr>
          <w:sz w:val="21"/>
        </w:rPr>
        <w:t>a</w:t>
      </w:r>
      <w:r>
        <w:rPr>
          <w:spacing w:val="-2"/>
          <w:sz w:val="21"/>
        </w:rPr>
        <w:t> </w:t>
      </w:r>
      <w:r>
        <w:rPr>
          <w:sz w:val="21"/>
        </w:rPr>
        <w:t>small-group</w:t>
      </w:r>
      <w:r>
        <w:rPr>
          <w:spacing w:val="-2"/>
          <w:sz w:val="21"/>
        </w:rPr>
        <w:t> </w:t>
      </w:r>
      <w:r>
        <w:rPr>
          <w:sz w:val="21"/>
        </w:rPr>
        <w:t>program,</w:t>
      </w:r>
      <w:r>
        <w:rPr>
          <w:spacing w:val="-1"/>
          <w:sz w:val="21"/>
        </w:rPr>
        <w:t> </w:t>
      </w:r>
      <w:r>
        <w:rPr>
          <w:sz w:val="21"/>
        </w:rPr>
        <w:t>is</w:t>
      </w:r>
      <w:r>
        <w:rPr>
          <w:spacing w:val="-2"/>
          <w:sz w:val="21"/>
        </w:rPr>
        <w:t> </w:t>
      </w:r>
      <w:r>
        <w:rPr>
          <w:sz w:val="21"/>
        </w:rPr>
        <w:t>an</w:t>
      </w:r>
      <w:r>
        <w:rPr>
          <w:spacing w:val="-2"/>
          <w:sz w:val="21"/>
        </w:rPr>
        <w:t> </w:t>
      </w:r>
      <w:r>
        <w:rPr>
          <w:sz w:val="21"/>
        </w:rPr>
        <w:t>example</w:t>
      </w:r>
      <w:r>
        <w:rPr>
          <w:spacing w:val="-2"/>
          <w:sz w:val="21"/>
        </w:rPr>
        <w:t> </w:t>
      </w:r>
      <w:r>
        <w:rPr>
          <w:sz w:val="21"/>
        </w:rPr>
        <w:t>of</w:t>
      </w:r>
      <w:r>
        <w:rPr>
          <w:spacing w:val="-2"/>
          <w:sz w:val="21"/>
        </w:rPr>
        <w:t> </w:t>
      </w:r>
      <w:r>
        <w:rPr>
          <w:sz w:val="21"/>
        </w:rPr>
        <w:t>peer</w:t>
      </w:r>
      <w:r>
        <w:rPr>
          <w:spacing w:val="-2"/>
          <w:sz w:val="21"/>
        </w:rPr>
        <w:t> </w:t>
      </w:r>
      <w:r>
        <w:rPr>
          <w:sz w:val="21"/>
        </w:rPr>
        <w:t>work</w:t>
      </w:r>
      <w:r>
        <w:rPr>
          <w:spacing w:val="-1"/>
          <w:sz w:val="21"/>
        </w:rPr>
        <w:t> </w:t>
      </w:r>
      <w:r>
        <w:rPr>
          <w:sz w:val="21"/>
        </w:rPr>
        <w:t>in</w:t>
      </w:r>
      <w:r>
        <w:rPr>
          <w:spacing w:val="-3"/>
          <w:sz w:val="21"/>
        </w:rPr>
        <w:t> </w:t>
      </w:r>
      <w:r>
        <w:rPr>
          <w:sz w:val="21"/>
        </w:rPr>
        <w:t>schools.</w:t>
      </w:r>
      <w:r>
        <w:rPr>
          <w:spacing w:val="-2"/>
          <w:sz w:val="21"/>
        </w:rPr>
        <w:t> </w:t>
      </w:r>
      <w:r>
        <w:rPr>
          <w:sz w:val="21"/>
        </w:rPr>
        <w:t>The</w:t>
      </w:r>
      <w:r>
        <w:rPr>
          <w:spacing w:val="-2"/>
          <w:sz w:val="21"/>
        </w:rPr>
        <w:t> </w:t>
      </w:r>
      <w:r>
        <w:rPr>
          <w:sz w:val="21"/>
        </w:rPr>
        <w:t>program</w:t>
      </w:r>
      <w:r>
        <w:rPr>
          <w:spacing w:val="-2"/>
          <w:sz w:val="21"/>
        </w:rPr>
        <w:t> </w:t>
      </w:r>
      <w:r>
        <w:rPr>
          <w:sz w:val="21"/>
        </w:rPr>
        <w:t>provided</w:t>
      </w:r>
      <w:r>
        <w:rPr>
          <w:spacing w:val="-3"/>
          <w:sz w:val="21"/>
        </w:rPr>
        <w:t> </w:t>
      </w:r>
      <w:r>
        <w:rPr>
          <w:sz w:val="21"/>
        </w:rPr>
        <w:t>a 10-session</w:t>
      </w:r>
      <w:r>
        <w:rPr>
          <w:spacing w:val="-6"/>
          <w:sz w:val="21"/>
        </w:rPr>
        <w:t> </w:t>
      </w:r>
      <w:r>
        <w:rPr>
          <w:sz w:val="21"/>
        </w:rPr>
        <w:t>program</w:t>
      </w:r>
      <w:r>
        <w:rPr>
          <w:spacing w:val="-6"/>
          <w:sz w:val="21"/>
        </w:rPr>
        <w:t> </w:t>
      </w:r>
      <w:r>
        <w:rPr>
          <w:sz w:val="21"/>
        </w:rPr>
        <w:t>for</w:t>
      </w:r>
      <w:r>
        <w:rPr>
          <w:spacing w:val="-6"/>
          <w:sz w:val="21"/>
        </w:rPr>
        <w:t> </w:t>
      </w:r>
      <w:r>
        <w:rPr>
          <w:sz w:val="21"/>
        </w:rPr>
        <w:t>LGBTQ</w:t>
      </w:r>
      <w:r>
        <w:rPr>
          <w:spacing w:val="-6"/>
          <w:sz w:val="21"/>
        </w:rPr>
        <w:t> </w:t>
      </w:r>
      <w:r>
        <w:rPr>
          <w:sz w:val="21"/>
        </w:rPr>
        <w:t>youth,</w:t>
      </w:r>
      <w:r>
        <w:rPr>
          <w:spacing w:val="-6"/>
          <w:sz w:val="21"/>
        </w:rPr>
        <w:t> </w:t>
      </w:r>
      <w:r>
        <w:rPr>
          <w:sz w:val="21"/>
        </w:rPr>
        <w:t>but</w:t>
      </w:r>
      <w:r>
        <w:rPr>
          <w:spacing w:val="-6"/>
          <w:sz w:val="21"/>
        </w:rPr>
        <w:t> </w:t>
      </w:r>
      <w:r>
        <w:rPr>
          <w:sz w:val="21"/>
        </w:rPr>
        <w:t>it</w:t>
      </w:r>
      <w:r>
        <w:rPr>
          <w:spacing w:val="-6"/>
          <w:sz w:val="21"/>
        </w:rPr>
        <w:t> </w:t>
      </w:r>
      <w:r>
        <w:rPr>
          <w:sz w:val="21"/>
        </w:rPr>
        <w:t>also</w:t>
      </w:r>
      <w:r>
        <w:rPr>
          <w:spacing w:val="-6"/>
          <w:sz w:val="21"/>
        </w:rPr>
        <w:t> </w:t>
      </w:r>
      <w:r>
        <w:rPr>
          <w:sz w:val="21"/>
        </w:rPr>
        <w:t>trained</w:t>
      </w:r>
      <w:r>
        <w:rPr>
          <w:spacing w:val="-7"/>
          <w:sz w:val="21"/>
        </w:rPr>
        <w:t> </w:t>
      </w:r>
      <w:r>
        <w:rPr>
          <w:sz w:val="21"/>
        </w:rPr>
        <w:t>“popular”</w:t>
      </w:r>
      <w:r>
        <w:rPr>
          <w:spacing w:val="-6"/>
          <w:sz w:val="21"/>
        </w:rPr>
        <w:t> </w:t>
      </w:r>
      <w:r>
        <w:rPr>
          <w:sz w:val="21"/>
        </w:rPr>
        <w:t>students</w:t>
      </w:r>
      <w:r>
        <w:rPr>
          <w:spacing w:val="-6"/>
          <w:sz w:val="21"/>
        </w:rPr>
        <w:t> </w:t>
      </w:r>
      <w:r>
        <w:rPr>
          <w:sz w:val="21"/>
        </w:rPr>
        <w:t>to</w:t>
      </w:r>
      <w:r>
        <w:rPr>
          <w:spacing w:val="-6"/>
          <w:sz w:val="21"/>
        </w:rPr>
        <w:t> </w:t>
      </w:r>
      <w:r>
        <w:rPr>
          <w:sz w:val="21"/>
        </w:rPr>
        <w:t>be</w:t>
      </w:r>
      <w:r>
        <w:rPr>
          <w:spacing w:val="-7"/>
          <w:sz w:val="21"/>
        </w:rPr>
        <w:t> </w:t>
      </w:r>
      <w:r>
        <w:rPr>
          <w:sz w:val="21"/>
        </w:rPr>
        <w:t>allies</w:t>
      </w:r>
      <w:r>
        <w:rPr>
          <w:spacing w:val="-6"/>
          <w:sz w:val="21"/>
        </w:rPr>
        <w:t> </w:t>
      </w:r>
      <w:r>
        <w:rPr>
          <w:sz w:val="21"/>
        </w:rPr>
        <w:t>in</w:t>
      </w:r>
      <w:r>
        <w:rPr>
          <w:spacing w:val="-6"/>
          <w:sz w:val="21"/>
        </w:rPr>
        <w:t> </w:t>
      </w:r>
      <w:r>
        <w:rPr>
          <w:sz w:val="21"/>
        </w:rPr>
        <w:t>a</w:t>
      </w:r>
      <w:r>
        <w:rPr>
          <w:spacing w:val="-6"/>
          <w:sz w:val="21"/>
        </w:rPr>
        <w:t> </w:t>
      </w:r>
      <w:r>
        <w:rPr>
          <w:sz w:val="21"/>
        </w:rPr>
        <w:t>4-session</w:t>
      </w:r>
      <w:r>
        <w:rPr>
          <w:spacing w:val="-6"/>
          <w:sz w:val="21"/>
        </w:rPr>
        <w:t> </w:t>
      </w:r>
      <w:r>
        <w:rPr>
          <w:sz w:val="21"/>
        </w:rPr>
        <w:t>leadership program, shifting the burden of changing school climate to students with privilege. </w:t>
      </w:r>
      <w:hyperlink w:history="true" w:anchor="_bookmark180">
        <w:r>
          <w:rPr>
            <w:sz w:val="21"/>
            <w:vertAlign w:val="superscript"/>
          </w:rPr>
          <w:t>84</w:t>
        </w:r>
      </w:hyperlink>
      <w:r>
        <w:rPr>
          <w:sz w:val="21"/>
          <w:vertAlign w:val="baseline"/>
        </w:rPr>
        <w:t> The first national review of peer and non-peer transition services makes useful recommendations about the needs and preferences of peer workers, including greater funding for coaching and training</w:t>
      </w:r>
      <w:hyperlink w:history="true" w:anchor="_bookmark181">
        <w:r>
          <w:rPr>
            <w:sz w:val="21"/>
            <w:vertAlign w:val="baseline"/>
          </w:rPr>
          <w:t>.</w:t>
        </w:r>
        <w:r>
          <w:rPr>
            <w:sz w:val="21"/>
            <w:vertAlign w:val="superscript"/>
          </w:rPr>
          <w:t>85</w:t>
        </w:r>
      </w:hyperlink>
    </w:p>
    <w:p>
      <w:pPr>
        <w:spacing w:line="276" w:lineRule="auto" w:before="239"/>
        <w:ind w:left="463" w:right="238" w:hanging="1"/>
        <w:jc w:val="both"/>
        <w:rPr>
          <w:sz w:val="21"/>
        </w:rPr>
      </w:pPr>
      <w:r>
        <w:rPr>
          <w:sz w:val="21"/>
        </w:rPr>
        <w:t>Another</w:t>
      </w:r>
      <w:r>
        <w:rPr>
          <w:spacing w:val="-2"/>
          <w:sz w:val="21"/>
        </w:rPr>
        <w:t> </w:t>
      </w:r>
      <w:r>
        <w:rPr>
          <w:sz w:val="21"/>
        </w:rPr>
        <w:t>way</w:t>
      </w:r>
      <w:r>
        <w:rPr>
          <w:spacing w:val="-2"/>
          <w:sz w:val="21"/>
        </w:rPr>
        <w:t> </w:t>
      </w:r>
      <w:r>
        <w:rPr>
          <w:sz w:val="21"/>
        </w:rPr>
        <w:t>that</w:t>
      </w:r>
      <w:r>
        <w:rPr>
          <w:spacing w:val="-2"/>
          <w:sz w:val="21"/>
        </w:rPr>
        <w:t> </w:t>
      </w:r>
      <w:r>
        <w:rPr>
          <w:sz w:val="21"/>
        </w:rPr>
        <w:t>schools</w:t>
      </w:r>
      <w:r>
        <w:rPr>
          <w:spacing w:val="-3"/>
          <w:sz w:val="21"/>
        </w:rPr>
        <w:t> </w:t>
      </w:r>
      <w:r>
        <w:rPr>
          <w:sz w:val="21"/>
        </w:rPr>
        <w:t>and</w:t>
      </w:r>
      <w:r>
        <w:rPr>
          <w:spacing w:val="-2"/>
          <w:sz w:val="21"/>
        </w:rPr>
        <w:t> </w:t>
      </w:r>
      <w:r>
        <w:rPr>
          <w:sz w:val="21"/>
        </w:rPr>
        <w:t>communities</w:t>
      </w:r>
      <w:r>
        <w:rPr>
          <w:spacing w:val="-3"/>
          <w:sz w:val="21"/>
        </w:rPr>
        <w:t> </w:t>
      </w:r>
      <w:r>
        <w:rPr>
          <w:sz w:val="21"/>
        </w:rPr>
        <w:t>can</w:t>
      </w:r>
      <w:r>
        <w:rPr>
          <w:spacing w:val="-2"/>
          <w:sz w:val="21"/>
        </w:rPr>
        <w:t> </w:t>
      </w:r>
      <w:r>
        <w:rPr>
          <w:sz w:val="21"/>
        </w:rPr>
        <w:t>task-shift</w:t>
      </w:r>
      <w:r>
        <w:rPr>
          <w:spacing w:val="-2"/>
          <w:sz w:val="21"/>
        </w:rPr>
        <w:t> </w:t>
      </w:r>
      <w:r>
        <w:rPr>
          <w:sz w:val="21"/>
        </w:rPr>
        <w:t>is</w:t>
      </w:r>
      <w:r>
        <w:rPr>
          <w:spacing w:val="-3"/>
          <w:sz w:val="21"/>
        </w:rPr>
        <w:t> </w:t>
      </w:r>
      <w:r>
        <w:rPr>
          <w:sz w:val="21"/>
        </w:rPr>
        <w:t>by</w:t>
      </w:r>
      <w:r>
        <w:rPr>
          <w:spacing w:val="-3"/>
          <w:sz w:val="21"/>
        </w:rPr>
        <w:t> </w:t>
      </w:r>
      <w:r>
        <w:rPr>
          <w:sz w:val="21"/>
        </w:rPr>
        <w:t>hosting</w:t>
      </w:r>
      <w:r>
        <w:rPr>
          <w:spacing w:val="-2"/>
          <w:sz w:val="21"/>
        </w:rPr>
        <w:t> </w:t>
      </w:r>
      <w:r>
        <w:rPr>
          <w:sz w:val="21"/>
        </w:rPr>
        <w:t>free</w:t>
      </w:r>
      <w:r>
        <w:rPr>
          <w:spacing w:val="-2"/>
          <w:sz w:val="21"/>
        </w:rPr>
        <w:t> </w:t>
      </w:r>
      <w:r>
        <w:rPr>
          <w:sz w:val="21"/>
        </w:rPr>
        <w:t>mental</w:t>
      </w:r>
      <w:r>
        <w:rPr>
          <w:spacing w:val="-2"/>
          <w:sz w:val="21"/>
        </w:rPr>
        <w:t> </w:t>
      </w:r>
      <w:r>
        <w:rPr>
          <w:sz w:val="21"/>
        </w:rPr>
        <w:t>health</w:t>
      </w:r>
      <w:r>
        <w:rPr>
          <w:spacing w:val="-2"/>
          <w:sz w:val="21"/>
        </w:rPr>
        <w:t> </w:t>
      </w:r>
      <w:r>
        <w:rPr>
          <w:sz w:val="21"/>
        </w:rPr>
        <w:t>first</w:t>
      </w:r>
      <w:r>
        <w:rPr>
          <w:spacing w:val="-2"/>
          <w:sz w:val="21"/>
        </w:rPr>
        <w:t> </w:t>
      </w:r>
      <w:r>
        <w:rPr>
          <w:sz w:val="21"/>
        </w:rPr>
        <w:t>aid</w:t>
      </w:r>
      <w:r>
        <w:rPr>
          <w:spacing w:val="-4"/>
          <w:sz w:val="21"/>
        </w:rPr>
        <w:t> </w:t>
      </w:r>
      <w:r>
        <w:rPr>
          <w:sz w:val="21"/>
        </w:rPr>
        <w:t>trainings</w:t>
      </w:r>
      <w:r>
        <w:rPr>
          <w:spacing w:val="-3"/>
          <w:sz w:val="21"/>
        </w:rPr>
        <w:t> </w:t>
      </w:r>
      <w:r>
        <w:rPr>
          <w:sz w:val="21"/>
        </w:rPr>
        <w:t>and mental</w:t>
      </w:r>
      <w:r>
        <w:rPr>
          <w:spacing w:val="-11"/>
          <w:sz w:val="21"/>
        </w:rPr>
        <w:t> </w:t>
      </w:r>
      <w:r>
        <w:rPr>
          <w:sz w:val="21"/>
        </w:rPr>
        <w:t>health</w:t>
      </w:r>
      <w:r>
        <w:rPr>
          <w:spacing w:val="-12"/>
          <w:sz w:val="21"/>
        </w:rPr>
        <w:t> </w:t>
      </w:r>
      <w:r>
        <w:rPr>
          <w:sz w:val="21"/>
        </w:rPr>
        <w:t>literacy</w:t>
      </w:r>
      <w:r>
        <w:rPr>
          <w:spacing w:val="-12"/>
          <w:sz w:val="21"/>
        </w:rPr>
        <w:t> </w:t>
      </w:r>
      <w:r>
        <w:rPr>
          <w:sz w:val="21"/>
        </w:rPr>
        <w:t>campaigns.</w:t>
      </w:r>
      <w:r>
        <w:rPr>
          <w:spacing w:val="-11"/>
          <w:sz w:val="21"/>
        </w:rPr>
        <w:t> </w:t>
      </w:r>
      <w:r>
        <w:rPr>
          <w:sz w:val="21"/>
        </w:rPr>
        <w:t>Mental</w:t>
      </w:r>
      <w:r>
        <w:rPr>
          <w:spacing w:val="-12"/>
          <w:sz w:val="21"/>
        </w:rPr>
        <w:t> </w:t>
      </w:r>
      <w:r>
        <w:rPr>
          <w:sz w:val="21"/>
        </w:rPr>
        <w:t>health</w:t>
      </w:r>
      <w:r>
        <w:rPr>
          <w:spacing w:val="-11"/>
          <w:sz w:val="21"/>
        </w:rPr>
        <w:t> </w:t>
      </w:r>
      <w:r>
        <w:rPr>
          <w:sz w:val="21"/>
        </w:rPr>
        <w:t>first</w:t>
      </w:r>
      <w:r>
        <w:rPr>
          <w:spacing w:val="-11"/>
          <w:sz w:val="21"/>
        </w:rPr>
        <w:t> </w:t>
      </w:r>
      <w:r>
        <w:rPr>
          <w:sz w:val="21"/>
        </w:rPr>
        <w:t>aid</w:t>
      </w:r>
      <w:r>
        <w:rPr>
          <w:spacing w:val="-12"/>
          <w:sz w:val="21"/>
        </w:rPr>
        <w:t> </w:t>
      </w:r>
      <w:r>
        <w:rPr>
          <w:sz w:val="21"/>
        </w:rPr>
        <w:t>teaches</w:t>
      </w:r>
      <w:r>
        <w:rPr>
          <w:spacing w:val="-12"/>
          <w:sz w:val="21"/>
        </w:rPr>
        <w:t> </w:t>
      </w:r>
      <w:r>
        <w:rPr>
          <w:sz w:val="21"/>
        </w:rPr>
        <w:t>laypeople</w:t>
      </w:r>
      <w:r>
        <w:rPr>
          <w:spacing w:val="-11"/>
          <w:sz w:val="21"/>
        </w:rPr>
        <w:t> </w:t>
      </w:r>
      <w:r>
        <w:rPr>
          <w:sz w:val="21"/>
        </w:rPr>
        <w:t>to</w:t>
      </w:r>
      <w:r>
        <w:rPr>
          <w:spacing w:val="-12"/>
          <w:sz w:val="21"/>
        </w:rPr>
        <w:t> </w:t>
      </w:r>
      <w:r>
        <w:rPr>
          <w:sz w:val="21"/>
        </w:rPr>
        <w:t>recognize</w:t>
      </w:r>
      <w:r>
        <w:rPr>
          <w:spacing w:val="-11"/>
          <w:sz w:val="21"/>
        </w:rPr>
        <w:t> </w:t>
      </w:r>
      <w:r>
        <w:rPr>
          <w:sz w:val="21"/>
        </w:rPr>
        <w:t>and</w:t>
      </w:r>
      <w:r>
        <w:rPr>
          <w:spacing w:val="-11"/>
          <w:sz w:val="21"/>
        </w:rPr>
        <w:t> </w:t>
      </w:r>
      <w:r>
        <w:rPr>
          <w:sz w:val="21"/>
        </w:rPr>
        <w:t>intervene</w:t>
      </w:r>
      <w:r>
        <w:rPr>
          <w:spacing w:val="-11"/>
          <w:sz w:val="21"/>
        </w:rPr>
        <w:t> </w:t>
      </w:r>
      <w:r>
        <w:rPr>
          <w:sz w:val="21"/>
        </w:rPr>
        <w:t>in</w:t>
      </w:r>
      <w:r>
        <w:rPr>
          <w:spacing w:val="-11"/>
          <w:sz w:val="21"/>
        </w:rPr>
        <w:t> </w:t>
      </w:r>
      <w:r>
        <w:rPr>
          <w:sz w:val="21"/>
        </w:rPr>
        <w:t>mental health emergencies such as panic attacks and suicidal ideation; it has been shown to significantly decrease mental health stigma in parents</w:t>
      </w:r>
      <w:hyperlink w:history="true" w:anchor="_bookmark182">
        <w:r>
          <w:rPr>
            <w:sz w:val="21"/>
          </w:rPr>
          <w:t>.</w:t>
        </w:r>
        <w:r>
          <w:rPr>
            <w:sz w:val="21"/>
            <w:vertAlign w:val="superscript"/>
          </w:rPr>
          <w:t>86</w:t>
        </w:r>
      </w:hyperlink>
      <w:r>
        <w:rPr>
          <w:sz w:val="21"/>
          <w:vertAlign w:val="baseline"/>
        </w:rPr>
        <w:t> Since reluctance about getting parental permission is a major reason why LGBTQ youth do not seek mental health care, decreasing community-wide mental health stigma is important.</w:t>
      </w:r>
    </w:p>
    <w:p>
      <w:pPr>
        <w:spacing w:before="240"/>
        <w:ind w:left="463" w:right="0" w:firstLine="0"/>
        <w:jc w:val="both"/>
        <w:rPr>
          <w:sz w:val="28"/>
        </w:rPr>
      </w:pPr>
      <w:bookmarkStart w:name="Optimize LGBTQ Youth Programming and Pro" w:id="256"/>
      <w:bookmarkEnd w:id="256"/>
      <w:r>
        <w:rPr/>
      </w:r>
      <w:r>
        <w:rPr>
          <w:color w:val="365F91"/>
          <w:sz w:val="28"/>
        </w:rPr>
        <w:t>Optimize</w:t>
      </w:r>
      <w:r>
        <w:rPr>
          <w:color w:val="365F91"/>
          <w:spacing w:val="-12"/>
          <w:sz w:val="28"/>
        </w:rPr>
        <w:t> </w:t>
      </w:r>
      <w:r>
        <w:rPr>
          <w:color w:val="365F91"/>
          <w:sz w:val="28"/>
        </w:rPr>
        <w:t>LGBTQ</w:t>
      </w:r>
      <w:r>
        <w:rPr>
          <w:color w:val="365F91"/>
          <w:spacing w:val="-11"/>
          <w:sz w:val="28"/>
        </w:rPr>
        <w:t> </w:t>
      </w:r>
      <w:r>
        <w:rPr>
          <w:color w:val="365F91"/>
          <w:sz w:val="28"/>
        </w:rPr>
        <w:t>Youth</w:t>
      </w:r>
      <w:r>
        <w:rPr>
          <w:color w:val="365F91"/>
          <w:spacing w:val="-13"/>
          <w:sz w:val="28"/>
        </w:rPr>
        <w:t> </w:t>
      </w:r>
      <w:r>
        <w:rPr>
          <w:color w:val="365F91"/>
          <w:sz w:val="28"/>
        </w:rPr>
        <w:t>Programming</w:t>
      </w:r>
      <w:r>
        <w:rPr>
          <w:color w:val="365F91"/>
          <w:spacing w:val="-11"/>
          <w:sz w:val="28"/>
        </w:rPr>
        <w:t> </w:t>
      </w:r>
      <w:r>
        <w:rPr>
          <w:color w:val="365F91"/>
          <w:sz w:val="28"/>
        </w:rPr>
        <w:t>and</w:t>
      </w:r>
      <w:r>
        <w:rPr>
          <w:color w:val="365F91"/>
          <w:spacing w:val="-12"/>
          <w:sz w:val="28"/>
        </w:rPr>
        <w:t> </w:t>
      </w:r>
      <w:r>
        <w:rPr>
          <w:color w:val="365F91"/>
          <w:sz w:val="28"/>
        </w:rPr>
        <w:t>Promoting</w:t>
      </w:r>
      <w:r>
        <w:rPr>
          <w:color w:val="365F91"/>
          <w:spacing w:val="-12"/>
          <w:sz w:val="28"/>
        </w:rPr>
        <w:t> </w:t>
      </w:r>
      <w:r>
        <w:rPr>
          <w:color w:val="365F91"/>
          <w:sz w:val="28"/>
        </w:rPr>
        <w:t>Positive</w:t>
      </w:r>
      <w:r>
        <w:rPr>
          <w:color w:val="365F91"/>
          <w:spacing w:val="-11"/>
          <w:sz w:val="28"/>
        </w:rPr>
        <w:t> </w:t>
      </w:r>
      <w:r>
        <w:rPr>
          <w:color w:val="365F91"/>
          <w:sz w:val="28"/>
        </w:rPr>
        <w:t>Youth</w:t>
      </w:r>
      <w:r>
        <w:rPr>
          <w:color w:val="365F91"/>
          <w:spacing w:val="-13"/>
          <w:sz w:val="28"/>
        </w:rPr>
        <w:t> </w:t>
      </w:r>
      <w:r>
        <w:rPr>
          <w:color w:val="365F91"/>
          <w:spacing w:val="-2"/>
          <w:sz w:val="28"/>
        </w:rPr>
        <w:t>Development</w:t>
      </w:r>
    </w:p>
    <w:p>
      <w:pPr>
        <w:spacing w:line="276" w:lineRule="auto" w:before="292"/>
        <w:ind w:left="2923" w:right="240" w:firstLine="0"/>
        <w:jc w:val="both"/>
        <w:rPr>
          <w:sz w:val="21"/>
        </w:rPr>
      </w:pPr>
      <w:r>
        <w:rPr/>
        <w:drawing>
          <wp:anchor distT="0" distB="0" distL="0" distR="0" allowOverlap="1" layoutInCell="1" locked="0" behindDoc="0" simplePos="0" relativeHeight="15766016">
            <wp:simplePos x="0" y="0"/>
            <wp:positionH relativeFrom="page">
              <wp:posOffset>825500</wp:posOffset>
            </wp:positionH>
            <wp:positionV relativeFrom="paragraph">
              <wp:posOffset>194647</wp:posOffset>
            </wp:positionV>
            <wp:extent cx="1554096" cy="1544942"/>
            <wp:effectExtent l="0" t="0" r="0" b="0"/>
            <wp:wrapNone/>
            <wp:docPr id="240" name="Image 240"/>
            <wp:cNvGraphicFramePr>
              <a:graphicFrameLocks/>
            </wp:cNvGraphicFramePr>
            <a:graphic>
              <a:graphicData uri="http://schemas.openxmlformats.org/drawingml/2006/picture">
                <pic:pic>
                  <pic:nvPicPr>
                    <pic:cNvPr id="240" name="Image 240"/>
                    <pic:cNvPicPr/>
                  </pic:nvPicPr>
                  <pic:blipFill>
                    <a:blip r:embed="rId188" cstate="print"/>
                    <a:stretch>
                      <a:fillRect/>
                    </a:stretch>
                  </pic:blipFill>
                  <pic:spPr>
                    <a:xfrm>
                      <a:off x="0" y="0"/>
                      <a:ext cx="1554096" cy="1544942"/>
                    </a:xfrm>
                    <a:prstGeom prst="rect">
                      <a:avLst/>
                    </a:prstGeom>
                  </pic:spPr>
                </pic:pic>
              </a:graphicData>
            </a:graphic>
          </wp:anchor>
        </w:drawing>
      </w:r>
      <w:r>
        <w:rPr>
          <w:sz w:val="21"/>
        </w:rPr>
        <w:t>Shifting</w:t>
      </w:r>
      <w:r>
        <w:rPr>
          <w:spacing w:val="-3"/>
          <w:sz w:val="21"/>
        </w:rPr>
        <w:t> </w:t>
      </w:r>
      <w:r>
        <w:rPr>
          <w:sz w:val="21"/>
        </w:rPr>
        <w:t>focus</w:t>
      </w:r>
      <w:r>
        <w:rPr>
          <w:spacing w:val="-2"/>
          <w:sz w:val="21"/>
        </w:rPr>
        <w:t> </w:t>
      </w:r>
      <w:r>
        <w:rPr>
          <w:sz w:val="21"/>
        </w:rPr>
        <w:t>from</w:t>
      </w:r>
      <w:r>
        <w:rPr>
          <w:spacing w:val="-3"/>
          <w:sz w:val="21"/>
        </w:rPr>
        <w:t> </w:t>
      </w:r>
      <w:r>
        <w:rPr>
          <w:sz w:val="21"/>
        </w:rPr>
        <w:t>communities</w:t>
      </w:r>
      <w:r>
        <w:rPr>
          <w:spacing w:val="-3"/>
          <w:sz w:val="21"/>
        </w:rPr>
        <w:t> </w:t>
      </w:r>
      <w:r>
        <w:rPr>
          <w:sz w:val="21"/>
        </w:rPr>
        <w:t>to</w:t>
      </w:r>
      <w:r>
        <w:rPr>
          <w:spacing w:val="-3"/>
          <w:sz w:val="21"/>
        </w:rPr>
        <w:t> </w:t>
      </w:r>
      <w:r>
        <w:rPr>
          <w:sz w:val="21"/>
        </w:rPr>
        <w:t>organizations,</w:t>
      </w:r>
      <w:r>
        <w:rPr>
          <w:spacing w:val="-2"/>
          <w:sz w:val="21"/>
        </w:rPr>
        <w:t> </w:t>
      </w:r>
      <w:r>
        <w:rPr>
          <w:sz w:val="21"/>
        </w:rPr>
        <w:t>the</w:t>
      </w:r>
      <w:r>
        <w:rPr>
          <w:spacing w:val="-3"/>
          <w:sz w:val="21"/>
        </w:rPr>
        <w:t> </w:t>
      </w:r>
      <w:r>
        <w:rPr>
          <w:sz w:val="21"/>
        </w:rPr>
        <w:t>Commission</w:t>
      </w:r>
      <w:r>
        <w:rPr>
          <w:spacing w:val="-3"/>
          <w:sz w:val="21"/>
        </w:rPr>
        <w:t> </w:t>
      </w:r>
      <w:r>
        <w:rPr>
          <w:sz w:val="21"/>
        </w:rPr>
        <w:t>urges</w:t>
      </w:r>
      <w:r>
        <w:rPr>
          <w:spacing w:val="-3"/>
          <w:sz w:val="21"/>
        </w:rPr>
        <w:t> </w:t>
      </w:r>
      <w:r>
        <w:rPr>
          <w:sz w:val="21"/>
        </w:rPr>
        <w:t>decision- makers to allocate more funding to LGBTQ youth services. This includes funding LGBTQ-specific organizations as well as incentivizing community-serving organizations (such as places of worship, nonprofits, etc.) to host services and </w:t>
      </w:r>
      <w:r>
        <w:rPr>
          <w:spacing w:val="-2"/>
          <w:sz w:val="21"/>
        </w:rPr>
        <w:t>programs</w:t>
      </w:r>
      <w:r>
        <w:rPr>
          <w:spacing w:val="-4"/>
          <w:sz w:val="21"/>
        </w:rPr>
        <w:t> </w:t>
      </w:r>
      <w:r>
        <w:rPr>
          <w:spacing w:val="-2"/>
          <w:sz w:val="21"/>
        </w:rPr>
        <w:t>that improve the emotional well-being of</w:t>
      </w:r>
      <w:r>
        <w:rPr>
          <w:spacing w:val="-4"/>
          <w:sz w:val="21"/>
        </w:rPr>
        <w:t> </w:t>
      </w:r>
      <w:r>
        <w:rPr>
          <w:spacing w:val="-2"/>
          <w:sz w:val="21"/>
        </w:rPr>
        <w:t>LGBTQ youth and their families. </w:t>
      </w:r>
      <w:r>
        <w:rPr>
          <w:sz w:val="21"/>
        </w:rPr>
        <w:t>Non-LGBTQ-specific</w:t>
      </w:r>
      <w:r>
        <w:rPr>
          <w:spacing w:val="-5"/>
          <w:sz w:val="21"/>
        </w:rPr>
        <w:t> </w:t>
      </w:r>
      <w:r>
        <w:rPr>
          <w:sz w:val="21"/>
        </w:rPr>
        <w:t>youth</w:t>
      </w:r>
      <w:r>
        <w:rPr>
          <w:spacing w:val="-4"/>
          <w:sz w:val="21"/>
        </w:rPr>
        <w:t> </w:t>
      </w:r>
      <w:r>
        <w:rPr>
          <w:sz w:val="21"/>
        </w:rPr>
        <w:t>programming</w:t>
      </w:r>
      <w:r>
        <w:rPr>
          <w:spacing w:val="-4"/>
          <w:sz w:val="21"/>
        </w:rPr>
        <w:t> </w:t>
      </w:r>
      <w:r>
        <w:rPr>
          <w:sz w:val="21"/>
        </w:rPr>
        <w:t>can</w:t>
      </w:r>
      <w:r>
        <w:rPr>
          <w:spacing w:val="-5"/>
          <w:sz w:val="21"/>
        </w:rPr>
        <w:t> </w:t>
      </w:r>
      <w:r>
        <w:rPr>
          <w:sz w:val="21"/>
        </w:rPr>
        <w:t>also</w:t>
      </w:r>
      <w:r>
        <w:rPr>
          <w:spacing w:val="-5"/>
          <w:sz w:val="21"/>
        </w:rPr>
        <w:t> </w:t>
      </w:r>
      <w:r>
        <w:rPr>
          <w:sz w:val="21"/>
        </w:rPr>
        <w:t>be</w:t>
      </w:r>
      <w:r>
        <w:rPr>
          <w:spacing w:val="-5"/>
          <w:sz w:val="21"/>
        </w:rPr>
        <w:t> </w:t>
      </w:r>
      <w:r>
        <w:rPr>
          <w:sz w:val="21"/>
        </w:rPr>
        <w:t>harnessed</w:t>
      </w:r>
      <w:r>
        <w:rPr>
          <w:spacing w:val="-5"/>
          <w:sz w:val="21"/>
        </w:rPr>
        <w:t> </w:t>
      </w:r>
      <w:r>
        <w:rPr>
          <w:sz w:val="21"/>
        </w:rPr>
        <w:t>to</w:t>
      </w:r>
      <w:r>
        <w:rPr>
          <w:spacing w:val="-5"/>
          <w:sz w:val="21"/>
        </w:rPr>
        <w:t> </w:t>
      </w:r>
      <w:r>
        <w:rPr>
          <w:sz w:val="21"/>
        </w:rPr>
        <w:t>provide</w:t>
      </w:r>
      <w:r>
        <w:rPr>
          <w:spacing w:val="-5"/>
          <w:sz w:val="21"/>
        </w:rPr>
        <w:t> </w:t>
      </w:r>
      <w:r>
        <w:rPr>
          <w:sz w:val="21"/>
        </w:rPr>
        <w:t>support and early intervention for LGBTQ youth. Positive Youth Development (PYD) is one evidence-based</w:t>
      </w:r>
      <w:r>
        <w:rPr>
          <w:spacing w:val="-4"/>
          <w:sz w:val="21"/>
        </w:rPr>
        <w:t> </w:t>
      </w:r>
      <w:r>
        <w:rPr>
          <w:sz w:val="21"/>
        </w:rPr>
        <w:t>intervention</w:t>
      </w:r>
      <w:r>
        <w:rPr>
          <w:spacing w:val="-5"/>
          <w:sz w:val="21"/>
        </w:rPr>
        <w:t> </w:t>
      </w:r>
      <w:r>
        <w:rPr>
          <w:sz w:val="21"/>
        </w:rPr>
        <w:t>that</w:t>
      </w:r>
      <w:r>
        <w:rPr>
          <w:spacing w:val="-5"/>
          <w:sz w:val="21"/>
        </w:rPr>
        <w:t> </w:t>
      </w:r>
      <w:r>
        <w:rPr>
          <w:sz w:val="21"/>
        </w:rPr>
        <w:t>taps</w:t>
      </w:r>
      <w:r>
        <w:rPr>
          <w:spacing w:val="-4"/>
          <w:sz w:val="21"/>
        </w:rPr>
        <w:t> </w:t>
      </w:r>
      <w:r>
        <w:rPr>
          <w:sz w:val="21"/>
        </w:rPr>
        <w:t>into</w:t>
      </w:r>
      <w:r>
        <w:rPr>
          <w:spacing w:val="-5"/>
          <w:sz w:val="21"/>
        </w:rPr>
        <w:t> </w:t>
      </w:r>
      <w:r>
        <w:rPr>
          <w:sz w:val="21"/>
        </w:rPr>
        <w:t>youths’</w:t>
      </w:r>
      <w:r>
        <w:rPr>
          <w:spacing w:val="-4"/>
          <w:sz w:val="21"/>
        </w:rPr>
        <w:t> </w:t>
      </w:r>
      <w:r>
        <w:rPr>
          <w:sz w:val="21"/>
        </w:rPr>
        <w:t>strengths,</w:t>
      </w:r>
      <w:r>
        <w:rPr>
          <w:spacing w:val="-3"/>
          <w:sz w:val="21"/>
        </w:rPr>
        <w:t> </w:t>
      </w:r>
      <w:r>
        <w:rPr>
          <w:sz w:val="21"/>
        </w:rPr>
        <w:t>interests,</w:t>
      </w:r>
      <w:r>
        <w:rPr>
          <w:spacing w:val="-4"/>
          <w:sz w:val="21"/>
        </w:rPr>
        <w:t> </w:t>
      </w:r>
      <w:r>
        <w:rPr>
          <w:sz w:val="21"/>
        </w:rPr>
        <w:t>and</w:t>
      </w:r>
      <w:r>
        <w:rPr>
          <w:spacing w:val="-4"/>
          <w:sz w:val="21"/>
        </w:rPr>
        <w:t> </w:t>
      </w:r>
      <w:r>
        <w:rPr>
          <w:sz w:val="21"/>
        </w:rPr>
        <w:t>voices to</w:t>
      </w:r>
      <w:r>
        <w:rPr>
          <w:spacing w:val="53"/>
          <w:sz w:val="21"/>
        </w:rPr>
        <w:t> </w:t>
      </w:r>
      <w:r>
        <w:rPr>
          <w:sz w:val="21"/>
        </w:rPr>
        <w:t>improve</w:t>
      </w:r>
      <w:r>
        <w:rPr>
          <w:spacing w:val="55"/>
          <w:sz w:val="21"/>
        </w:rPr>
        <w:t> </w:t>
      </w:r>
      <w:r>
        <w:rPr>
          <w:sz w:val="21"/>
        </w:rPr>
        <w:t>emotional</w:t>
      </w:r>
      <w:r>
        <w:rPr>
          <w:spacing w:val="55"/>
          <w:sz w:val="21"/>
        </w:rPr>
        <w:t> </w:t>
      </w:r>
      <w:r>
        <w:rPr>
          <w:sz w:val="21"/>
        </w:rPr>
        <w:t>well-being</w:t>
      </w:r>
      <w:r>
        <w:rPr>
          <w:spacing w:val="55"/>
          <w:sz w:val="21"/>
        </w:rPr>
        <w:t> </w:t>
      </w:r>
      <w:r>
        <w:rPr>
          <w:sz w:val="21"/>
        </w:rPr>
        <w:t>in</w:t>
      </w:r>
      <w:r>
        <w:rPr>
          <w:spacing w:val="55"/>
          <w:sz w:val="21"/>
        </w:rPr>
        <w:t> </w:t>
      </w:r>
      <w:r>
        <w:rPr>
          <w:sz w:val="21"/>
        </w:rPr>
        <w:t>family,</w:t>
      </w:r>
      <w:r>
        <w:rPr>
          <w:spacing w:val="56"/>
          <w:sz w:val="21"/>
        </w:rPr>
        <w:t> </w:t>
      </w:r>
      <w:r>
        <w:rPr>
          <w:sz w:val="21"/>
        </w:rPr>
        <w:t>school,</w:t>
      </w:r>
      <w:r>
        <w:rPr>
          <w:spacing w:val="55"/>
          <w:sz w:val="21"/>
        </w:rPr>
        <w:t> </w:t>
      </w:r>
      <w:r>
        <w:rPr>
          <w:sz w:val="21"/>
        </w:rPr>
        <w:t>and</w:t>
      </w:r>
      <w:r>
        <w:rPr>
          <w:spacing w:val="56"/>
          <w:sz w:val="21"/>
        </w:rPr>
        <w:t> </w:t>
      </w:r>
      <w:r>
        <w:rPr>
          <w:sz w:val="21"/>
        </w:rPr>
        <w:t>community</w:t>
      </w:r>
      <w:r>
        <w:rPr>
          <w:spacing w:val="55"/>
          <w:sz w:val="21"/>
        </w:rPr>
        <w:t> </w:t>
      </w:r>
      <w:r>
        <w:rPr>
          <w:spacing w:val="-2"/>
          <w:sz w:val="21"/>
        </w:rPr>
        <w:t>contexts.</w:t>
      </w:r>
    </w:p>
    <w:p>
      <w:pPr>
        <w:spacing w:after="0" w:line="276" w:lineRule="auto"/>
        <w:jc w:val="both"/>
        <w:rPr>
          <w:sz w:val="21"/>
        </w:rPr>
        <w:sectPr>
          <w:pgSz w:w="12240" w:h="15840"/>
          <w:pgMar w:header="804" w:footer="1390" w:top="1080" w:bottom="1620" w:left="980" w:right="1080"/>
        </w:sectPr>
      </w:pPr>
    </w:p>
    <w:p>
      <w:pPr>
        <w:spacing w:line="276" w:lineRule="auto" w:before="69"/>
        <w:ind w:left="463" w:right="242" w:hanging="1"/>
        <w:jc w:val="both"/>
        <w:rPr>
          <w:sz w:val="21"/>
        </w:rPr>
      </w:pPr>
      <w:r>
        <w:rPr>
          <w:sz w:val="21"/>
        </w:rPr>
        <w:t>Preexisting school and community-based youth programs could be adapted to be LGBTQ-inclusive, since many of them already adhere to PYD. Examples include 4-H and Scouting</w:t>
      </w:r>
      <w:hyperlink w:history="true" w:anchor="_bookmark183">
        <w:r>
          <w:rPr>
            <w:sz w:val="21"/>
          </w:rPr>
          <w:t>.</w:t>
        </w:r>
        <w:r>
          <w:rPr>
            <w:sz w:val="21"/>
            <w:vertAlign w:val="superscript"/>
          </w:rPr>
          <w:t>87</w:t>
        </w:r>
      </w:hyperlink>
    </w:p>
    <w:p>
      <w:pPr>
        <w:spacing w:line="276" w:lineRule="auto" w:before="239"/>
        <w:ind w:left="463" w:right="3900" w:firstLine="0"/>
        <w:jc w:val="both"/>
        <w:rPr>
          <w:sz w:val="21"/>
        </w:rPr>
      </w:pPr>
      <w:r>
        <w:rPr/>
        <w:drawing>
          <wp:anchor distT="0" distB="0" distL="0" distR="0" allowOverlap="1" layoutInCell="1" locked="0" behindDoc="0" simplePos="0" relativeHeight="15766528">
            <wp:simplePos x="0" y="0"/>
            <wp:positionH relativeFrom="page">
              <wp:posOffset>4698999</wp:posOffset>
            </wp:positionH>
            <wp:positionV relativeFrom="paragraph">
              <wp:posOffset>158745</wp:posOffset>
            </wp:positionV>
            <wp:extent cx="2321559" cy="1160779"/>
            <wp:effectExtent l="0" t="0" r="0" b="0"/>
            <wp:wrapNone/>
            <wp:docPr id="241" name="Image 241"/>
            <wp:cNvGraphicFramePr>
              <a:graphicFrameLocks/>
            </wp:cNvGraphicFramePr>
            <a:graphic>
              <a:graphicData uri="http://schemas.openxmlformats.org/drawingml/2006/picture">
                <pic:pic>
                  <pic:nvPicPr>
                    <pic:cNvPr id="241" name="Image 241"/>
                    <pic:cNvPicPr/>
                  </pic:nvPicPr>
                  <pic:blipFill>
                    <a:blip r:embed="rId189" cstate="print"/>
                    <a:stretch>
                      <a:fillRect/>
                    </a:stretch>
                  </pic:blipFill>
                  <pic:spPr>
                    <a:xfrm>
                      <a:off x="0" y="0"/>
                      <a:ext cx="2321559" cy="1160779"/>
                    </a:xfrm>
                    <a:prstGeom prst="rect">
                      <a:avLst/>
                    </a:prstGeom>
                  </pic:spPr>
                </pic:pic>
              </a:graphicData>
            </a:graphic>
          </wp:anchor>
        </w:drawing>
      </w:r>
      <w:r>
        <w:rPr>
          <w:sz w:val="21"/>
        </w:rPr>
        <w:t>Elected officials in Massachusetts have a public health mandate to advance bills that defend LGBTQ youths’ rights and well-being. In their</w:t>
      </w:r>
      <w:r>
        <w:rPr>
          <w:spacing w:val="-7"/>
          <w:sz w:val="21"/>
        </w:rPr>
        <w:t> </w:t>
      </w:r>
      <w:r>
        <w:rPr>
          <w:sz w:val="21"/>
        </w:rPr>
        <w:t>2021</w:t>
      </w:r>
      <w:r>
        <w:rPr>
          <w:spacing w:val="-7"/>
          <w:sz w:val="21"/>
        </w:rPr>
        <w:t> </w:t>
      </w:r>
      <w:r>
        <w:rPr>
          <w:sz w:val="21"/>
        </w:rPr>
        <w:t>policy</w:t>
      </w:r>
      <w:r>
        <w:rPr>
          <w:spacing w:val="-7"/>
          <w:sz w:val="21"/>
        </w:rPr>
        <w:t> </w:t>
      </w:r>
      <w:r>
        <w:rPr>
          <w:sz w:val="21"/>
        </w:rPr>
        <w:t>brief,</w:t>
      </w:r>
      <w:r>
        <w:rPr>
          <w:spacing w:val="-7"/>
          <w:sz w:val="21"/>
        </w:rPr>
        <w:t> </w:t>
      </w:r>
      <w:r>
        <w:rPr>
          <w:sz w:val="21"/>
        </w:rPr>
        <w:t>Fenway</w:t>
      </w:r>
      <w:r>
        <w:rPr>
          <w:spacing w:val="-7"/>
          <w:sz w:val="21"/>
        </w:rPr>
        <w:t> </w:t>
      </w:r>
      <w:r>
        <w:rPr>
          <w:sz w:val="21"/>
        </w:rPr>
        <w:t>Health</w:t>
      </w:r>
      <w:r>
        <w:rPr>
          <w:spacing w:val="-7"/>
          <w:sz w:val="21"/>
        </w:rPr>
        <w:t> </w:t>
      </w:r>
      <w:r>
        <w:rPr>
          <w:sz w:val="21"/>
        </w:rPr>
        <w:t>urged</w:t>
      </w:r>
      <w:r>
        <w:rPr>
          <w:spacing w:val="-7"/>
          <w:sz w:val="21"/>
        </w:rPr>
        <w:t> </w:t>
      </w:r>
      <w:r>
        <w:rPr>
          <w:sz w:val="21"/>
        </w:rPr>
        <w:t>candidates</w:t>
      </w:r>
      <w:r>
        <w:rPr>
          <w:spacing w:val="-7"/>
          <w:sz w:val="21"/>
        </w:rPr>
        <w:t> </w:t>
      </w:r>
      <w:r>
        <w:rPr>
          <w:sz w:val="21"/>
        </w:rPr>
        <w:t>and</w:t>
      </w:r>
      <w:r>
        <w:rPr>
          <w:spacing w:val="-7"/>
          <w:sz w:val="21"/>
        </w:rPr>
        <w:t> </w:t>
      </w:r>
      <w:r>
        <w:rPr>
          <w:sz w:val="21"/>
        </w:rPr>
        <w:t>officials not</w:t>
      </w:r>
      <w:r>
        <w:rPr>
          <w:spacing w:val="-9"/>
          <w:sz w:val="21"/>
        </w:rPr>
        <w:t> </w:t>
      </w:r>
      <w:r>
        <w:rPr>
          <w:sz w:val="21"/>
        </w:rPr>
        <w:t>to</w:t>
      </w:r>
      <w:r>
        <w:rPr>
          <w:spacing w:val="-10"/>
          <w:sz w:val="21"/>
        </w:rPr>
        <w:t> </w:t>
      </w:r>
      <w:r>
        <w:rPr>
          <w:sz w:val="21"/>
        </w:rPr>
        <w:t>forget</w:t>
      </w:r>
      <w:r>
        <w:rPr>
          <w:spacing w:val="-10"/>
          <w:sz w:val="21"/>
        </w:rPr>
        <w:t> </w:t>
      </w:r>
      <w:r>
        <w:rPr>
          <w:sz w:val="21"/>
        </w:rPr>
        <w:t>that</w:t>
      </w:r>
      <w:r>
        <w:rPr>
          <w:spacing w:val="-10"/>
          <w:sz w:val="21"/>
        </w:rPr>
        <w:t> </w:t>
      </w:r>
      <w:r>
        <w:rPr>
          <w:sz w:val="21"/>
        </w:rPr>
        <w:t>their</w:t>
      </w:r>
      <w:r>
        <w:rPr>
          <w:spacing w:val="-11"/>
          <w:sz w:val="21"/>
        </w:rPr>
        <w:t> </w:t>
      </w:r>
      <w:r>
        <w:rPr>
          <w:sz w:val="21"/>
        </w:rPr>
        <w:t>actions</w:t>
      </w:r>
      <w:r>
        <w:rPr>
          <w:spacing w:val="-10"/>
          <w:sz w:val="21"/>
        </w:rPr>
        <w:t> </w:t>
      </w:r>
      <w:r>
        <w:rPr>
          <w:sz w:val="21"/>
        </w:rPr>
        <w:t>have</w:t>
      </w:r>
      <w:r>
        <w:rPr>
          <w:spacing w:val="-10"/>
          <w:sz w:val="21"/>
        </w:rPr>
        <w:t> </w:t>
      </w:r>
      <w:r>
        <w:rPr>
          <w:sz w:val="21"/>
        </w:rPr>
        <w:t>a</w:t>
      </w:r>
      <w:r>
        <w:rPr>
          <w:spacing w:val="-10"/>
          <w:sz w:val="21"/>
        </w:rPr>
        <w:t> </w:t>
      </w:r>
      <w:r>
        <w:rPr>
          <w:sz w:val="21"/>
        </w:rPr>
        <w:t>life-changing</w:t>
      </w:r>
      <w:r>
        <w:rPr>
          <w:spacing w:val="-10"/>
          <w:sz w:val="21"/>
        </w:rPr>
        <w:t> </w:t>
      </w:r>
      <w:r>
        <w:rPr>
          <w:sz w:val="21"/>
        </w:rPr>
        <w:t>impact</w:t>
      </w:r>
      <w:r>
        <w:rPr>
          <w:spacing w:val="-9"/>
          <w:sz w:val="21"/>
        </w:rPr>
        <w:t> </w:t>
      </w:r>
      <w:r>
        <w:rPr>
          <w:sz w:val="21"/>
        </w:rPr>
        <w:t>on</w:t>
      </w:r>
      <w:r>
        <w:rPr>
          <w:spacing w:val="-11"/>
          <w:sz w:val="21"/>
        </w:rPr>
        <w:t> </w:t>
      </w:r>
      <w:r>
        <w:rPr>
          <w:sz w:val="21"/>
        </w:rPr>
        <w:t>LGBTQ youth</w:t>
      </w:r>
      <w:hyperlink w:history="true" w:anchor="_bookmark184">
        <w:r>
          <w:rPr>
            <w:sz w:val="21"/>
          </w:rPr>
          <w:t>.</w:t>
        </w:r>
        <w:r>
          <w:rPr>
            <w:sz w:val="21"/>
            <w:vertAlign w:val="superscript"/>
          </w:rPr>
          <w:t>88</w:t>
        </w:r>
      </w:hyperlink>
      <w:r>
        <w:rPr>
          <w:spacing w:val="-4"/>
          <w:sz w:val="21"/>
          <w:vertAlign w:val="baseline"/>
        </w:rPr>
        <w:t> </w:t>
      </w:r>
      <w:r>
        <w:rPr>
          <w:sz w:val="21"/>
          <w:vertAlign w:val="baseline"/>
        </w:rPr>
        <w:t>In</w:t>
      </w:r>
      <w:r>
        <w:rPr>
          <w:spacing w:val="-4"/>
          <w:sz w:val="21"/>
          <w:vertAlign w:val="baseline"/>
        </w:rPr>
        <w:t> </w:t>
      </w:r>
      <w:r>
        <w:rPr>
          <w:sz w:val="21"/>
          <w:vertAlign w:val="baseline"/>
        </w:rPr>
        <w:t>January</w:t>
      </w:r>
      <w:r>
        <w:rPr>
          <w:spacing w:val="-4"/>
          <w:sz w:val="21"/>
          <w:vertAlign w:val="baseline"/>
        </w:rPr>
        <w:t> </w:t>
      </w:r>
      <w:r>
        <w:rPr>
          <w:sz w:val="21"/>
          <w:vertAlign w:val="baseline"/>
        </w:rPr>
        <w:t>2021,</w:t>
      </w:r>
      <w:r>
        <w:rPr>
          <w:spacing w:val="-5"/>
          <w:sz w:val="21"/>
          <w:vertAlign w:val="baseline"/>
        </w:rPr>
        <w:t> </w:t>
      </w:r>
      <w:r>
        <w:rPr>
          <w:sz w:val="21"/>
          <w:vertAlign w:val="baseline"/>
        </w:rPr>
        <w:t>the</w:t>
      </w:r>
      <w:r>
        <w:rPr>
          <w:spacing w:val="-4"/>
          <w:sz w:val="21"/>
          <w:vertAlign w:val="baseline"/>
        </w:rPr>
        <w:t> </w:t>
      </w:r>
      <w:r>
        <w:rPr>
          <w:sz w:val="21"/>
          <w:vertAlign w:val="baseline"/>
        </w:rPr>
        <w:t>Trevor</w:t>
      </w:r>
      <w:r>
        <w:rPr>
          <w:spacing w:val="-4"/>
          <w:sz w:val="21"/>
          <w:vertAlign w:val="baseline"/>
        </w:rPr>
        <w:t> </w:t>
      </w:r>
      <w:r>
        <w:rPr>
          <w:sz w:val="21"/>
          <w:vertAlign w:val="baseline"/>
        </w:rPr>
        <w:t>Project</w:t>
      </w:r>
      <w:r>
        <w:rPr>
          <w:spacing w:val="-3"/>
          <w:sz w:val="21"/>
          <w:vertAlign w:val="baseline"/>
        </w:rPr>
        <w:t> </w:t>
      </w:r>
      <w:r>
        <w:rPr>
          <w:sz w:val="21"/>
          <w:vertAlign w:val="baseline"/>
        </w:rPr>
        <w:t>found</w:t>
      </w:r>
      <w:r>
        <w:rPr>
          <w:spacing w:val="-4"/>
          <w:sz w:val="21"/>
          <w:vertAlign w:val="baseline"/>
        </w:rPr>
        <w:t> </w:t>
      </w:r>
      <w:r>
        <w:rPr>
          <w:sz w:val="21"/>
          <w:vertAlign w:val="baseline"/>
        </w:rPr>
        <w:t>that</w:t>
      </w:r>
      <w:r>
        <w:rPr>
          <w:spacing w:val="-4"/>
          <w:sz w:val="21"/>
          <w:vertAlign w:val="baseline"/>
        </w:rPr>
        <w:t> </w:t>
      </w:r>
      <w:r>
        <w:rPr>
          <w:sz w:val="21"/>
          <w:vertAlign w:val="baseline"/>
        </w:rPr>
        <w:t>3</w:t>
      </w:r>
      <w:r>
        <w:rPr>
          <w:spacing w:val="-4"/>
          <w:sz w:val="21"/>
          <w:vertAlign w:val="baseline"/>
        </w:rPr>
        <w:t> </w:t>
      </w:r>
      <w:r>
        <w:rPr>
          <w:sz w:val="21"/>
          <w:vertAlign w:val="baseline"/>
        </w:rPr>
        <w:t>in</w:t>
      </w:r>
      <w:r>
        <w:rPr>
          <w:spacing w:val="-4"/>
          <w:sz w:val="21"/>
          <w:vertAlign w:val="baseline"/>
        </w:rPr>
        <w:t> </w:t>
      </w:r>
      <w:r>
        <w:rPr>
          <w:sz w:val="21"/>
          <w:vertAlign w:val="baseline"/>
        </w:rPr>
        <w:t>4</w:t>
      </w:r>
      <w:r>
        <w:rPr>
          <w:spacing w:val="-4"/>
          <w:sz w:val="21"/>
          <w:vertAlign w:val="baseline"/>
        </w:rPr>
        <w:t> </w:t>
      </w:r>
      <w:r>
        <w:rPr>
          <w:sz w:val="21"/>
          <w:vertAlign w:val="baseline"/>
        </w:rPr>
        <w:t>LGBTQ youth</w:t>
      </w:r>
      <w:r>
        <w:rPr>
          <w:spacing w:val="3"/>
          <w:sz w:val="21"/>
          <w:vertAlign w:val="baseline"/>
        </w:rPr>
        <w:t> </w:t>
      </w:r>
      <w:r>
        <w:rPr>
          <w:sz w:val="21"/>
          <w:vertAlign w:val="baseline"/>
        </w:rPr>
        <w:t>follow</w:t>
      </w:r>
      <w:r>
        <w:rPr>
          <w:spacing w:val="4"/>
          <w:sz w:val="21"/>
          <w:vertAlign w:val="baseline"/>
        </w:rPr>
        <w:t> </w:t>
      </w:r>
      <w:r>
        <w:rPr>
          <w:sz w:val="21"/>
          <w:vertAlign w:val="baseline"/>
        </w:rPr>
        <w:t>news</w:t>
      </w:r>
      <w:r>
        <w:rPr>
          <w:spacing w:val="3"/>
          <w:sz w:val="21"/>
          <w:vertAlign w:val="baseline"/>
        </w:rPr>
        <w:t> </w:t>
      </w:r>
      <w:r>
        <w:rPr>
          <w:sz w:val="21"/>
          <w:vertAlign w:val="baseline"/>
        </w:rPr>
        <w:t>about</w:t>
      </w:r>
      <w:r>
        <w:rPr>
          <w:spacing w:val="3"/>
          <w:sz w:val="21"/>
          <w:vertAlign w:val="baseline"/>
        </w:rPr>
        <w:t> </w:t>
      </w:r>
      <w:r>
        <w:rPr>
          <w:sz w:val="21"/>
          <w:vertAlign w:val="baseline"/>
        </w:rPr>
        <w:t>issues</w:t>
      </w:r>
      <w:r>
        <w:rPr>
          <w:spacing w:val="3"/>
          <w:sz w:val="21"/>
          <w:vertAlign w:val="baseline"/>
        </w:rPr>
        <w:t> </w:t>
      </w:r>
      <w:r>
        <w:rPr>
          <w:sz w:val="21"/>
          <w:vertAlign w:val="baseline"/>
        </w:rPr>
        <w:t>that</w:t>
      </w:r>
      <w:r>
        <w:rPr>
          <w:spacing w:val="3"/>
          <w:sz w:val="21"/>
          <w:vertAlign w:val="baseline"/>
        </w:rPr>
        <w:t> </w:t>
      </w:r>
      <w:r>
        <w:rPr>
          <w:sz w:val="21"/>
          <w:vertAlign w:val="baseline"/>
        </w:rPr>
        <w:t>affect</w:t>
      </w:r>
      <w:r>
        <w:rPr>
          <w:spacing w:val="3"/>
          <w:sz w:val="21"/>
          <w:vertAlign w:val="baseline"/>
        </w:rPr>
        <w:t> </w:t>
      </w:r>
      <w:r>
        <w:rPr>
          <w:sz w:val="21"/>
          <w:vertAlign w:val="baseline"/>
        </w:rPr>
        <w:t>transgender</w:t>
      </w:r>
      <w:r>
        <w:rPr>
          <w:spacing w:val="4"/>
          <w:sz w:val="21"/>
          <w:vertAlign w:val="baseline"/>
        </w:rPr>
        <w:t> </w:t>
      </w:r>
      <w:r>
        <w:rPr>
          <w:sz w:val="21"/>
          <w:vertAlign w:val="baseline"/>
        </w:rPr>
        <w:t>people,</w:t>
      </w:r>
      <w:r>
        <w:rPr>
          <w:spacing w:val="3"/>
          <w:sz w:val="21"/>
          <w:vertAlign w:val="baseline"/>
        </w:rPr>
        <w:t> </w:t>
      </w:r>
      <w:r>
        <w:rPr>
          <w:sz w:val="21"/>
          <w:vertAlign w:val="baseline"/>
        </w:rPr>
        <w:t>2</w:t>
      </w:r>
      <w:r>
        <w:rPr>
          <w:spacing w:val="4"/>
          <w:sz w:val="21"/>
          <w:vertAlign w:val="baseline"/>
        </w:rPr>
        <w:t> </w:t>
      </w:r>
      <w:r>
        <w:rPr>
          <w:spacing w:val="-5"/>
          <w:sz w:val="21"/>
          <w:vertAlign w:val="baseline"/>
        </w:rPr>
        <w:t>in</w:t>
      </w:r>
    </w:p>
    <w:p>
      <w:pPr>
        <w:spacing w:before="0"/>
        <w:ind w:left="463" w:right="0" w:firstLine="0"/>
        <w:jc w:val="both"/>
        <w:rPr>
          <w:sz w:val="21"/>
        </w:rPr>
      </w:pPr>
      <w:r>
        <w:rPr>
          <w:sz w:val="21"/>
        </w:rPr>
        <w:t>3</w:t>
      </w:r>
      <w:r>
        <w:rPr>
          <w:spacing w:val="64"/>
          <w:sz w:val="21"/>
        </w:rPr>
        <w:t> </w:t>
      </w:r>
      <w:r>
        <w:rPr>
          <w:sz w:val="21"/>
        </w:rPr>
        <w:t>stated</w:t>
      </w:r>
      <w:r>
        <w:rPr>
          <w:spacing w:val="64"/>
          <w:sz w:val="21"/>
        </w:rPr>
        <w:t> </w:t>
      </w:r>
      <w:r>
        <w:rPr>
          <w:sz w:val="21"/>
        </w:rPr>
        <w:t>that</w:t>
      </w:r>
      <w:r>
        <w:rPr>
          <w:spacing w:val="63"/>
          <w:sz w:val="21"/>
        </w:rPr>
        <w:t> </w:t>
      </w:r>
      <w:r>
        <w:rPr>
          <w:sz w:val="21"/>
        </w:rPr>
        <w:t>debates</w:t>
      </w:r>
      <w:r>
        <w:rPr>
          <w:spacing w:val="64"/>
          <w:sz w:val="21"/>
        </w:rPr>
        <w:t> </w:t>
      </w:r>
      <w:r>
        <w:rPr>
          <w:sz w:val="21"/>
        </w:rPr>
        <w:t>about</w:t>
      </w:r>
      <w:r>
        <w:rPr>
          <w:spacing w:val="65"/>
          <w:sz w:val="21"/>
        </w:rPr>
        <w:t> </w:t>
      </w:r>
      <w:r>
        <w:rPr>
          <w:sz w:val="21"/>
        </w:rPr>
        <w:t>anti-</w:t>
      </w:r>
      <w:r>
        <w:rPr>
          <w:spacing w:val="63"/>
          <w:sz w:val="21"/>
        </w:rPr>
        <w:t> </w:t>
      </w:r>
      <w:r>
        <w:rPr>
          <w:sz w:val="21"/>
        </w:rPr>
        <w:t>transgender</w:t>
      </w:r>
      <w:r>
        <w:rPr>
          <w:spacing w:val="65"/>
          <w:sz w:val="21"/>
        </w:rPr>
        <w:t> </w:t>
      </w:r>
      <w:r>
        <w:rPr>
          <w:sz w:val="21"/>
        </w:rPr>
        <w:t>legislation</w:t>
      </w:r>
      <w:r>
        <w:rPr>
          <w:spacing w:val="65"/>
          <w:sz w:val="21"/>
        </w:rPr>
        <w:t> </w:t>
      </w:r>
      <w:r>
        <w:rPr>
          <w:spacing w:val="-4"/>
          <w:sz w:val="21"/>
        </w:rPr>
        <w:t>have</w:t>
      </w:r>
    </w:p>
    <w:p>
      <w:pPr>
        <w:spacing w:line="276" w:lineRule="auto" w:before="39"/>
        <w:ind w:left="463" w:right="241" w:firstLine="0"/>
        <w:jc w:val="both"/>
        <w:rPr>
          <w:sz w:val="21"/>
        </w:rPr>
      </w:pPr>
      <w:r>
        <w:rPr>
          <w:sz w:val="21"/>
        </w:rPr>
        <w:t>negatively impacted their mental health, and 3 in 5 felt afraid about the future. </w:t>
      </w:r>
      <w:hyperlink w:history="true" w:anchor="_bookmark185">
        <w:r>
          <w:rPr>
            <w:sz w:val="21"/>
            <w:vertAlign w:val="superscript"/>
          </w:rPr>
          <w:t>89</w:t>
        </w:r>
      </w:hyperlink>
      <w:r>
        <w:rPr>
          <w:sz w:val="21"/>
          <w:vertAlign w:val="baseline"/>
        </w:rPr>
        <w:t> Meanwhile, affirming policy can</w:t>
      </w:r>
      <w:r>
        <w:rPr>
          <w:spacing w:val="-2"/>
          <w:sz w:val="21"/>
          <w:vertAlign w:val="baseline"/>
        </w:rPr>
        <w:t> </w:t>
      </w:r>
      <w:r>
        <w:rPr>
          <w:sz w:val="21"/>
          <w:vertAlign w:val="baseline"/>
        </w:rPr>
        <w:t>promote</w:t>
      </w:r>
      <w:r>
        <w:rPr>
          <w:spacing w:val="-3"/>
          <w:sz w:val="21"/>
          <w:vertAlign w:val="baseline"/>
        </w:rPr>
        <w:t> </w:t>
      </w:r>
      <w:r>
        <w:rPr>
          <w:sz w:val="21"/>
          <w:vertAlign w:val="baseline"/>
        </w:rPr>
        <w:t>LGBTQ</w:t>
      </w:r>
      <w:r>
        <w:rPr>
          <w:spacing w:val="-2"/>
          <w:sz w:val="21"/>
          <w:vertAlign w:val="baseline"/>
        </w:rPr>
        <w:t> </w:t>
      </w:r>
      <w:r>
        <w:rPr>
          <w:sz w:val="21"/>
          <w:vertAlign w:val="baseline"/>
        </w:rPr>
        <w:t>youths’</w:t>
      </w:r>
      <w:r>
        <w:rPr>
          <w:spacing w:val="-2"/>
          <w:sz w:val="21"/>
          <w:vertAlign w:val="baseline"/>
        </w:rPr>
        <w:t> </w:t>
      </w:r>
      <w:r>
        <w:rPr>
          <w:sz w:val="21"/>
          <w:vertAlign w:val="baseline"/>
        </w:rPr>
        <w:t>mental</w:t>
      </w:r>
      <w:r>
        <w:rPr>
          <w:spacing w:val="-2"/>
          <w:sz w:val="21"/>
          <w:vertAlign w:val="baseline"/>
        </w:rPr>
        <w:t> </w:t>
      </w:r>
      <w:r>
        <w:rPr>
          <w:sz w:val="21"/>
          <w:vertAlign w:val="baseline"/>
        </w:rPr>
        <w:t>health.</w:t>
      </w:r>
      <w:r>
        <w:rPr>
          <w:spacing w:val="-2"/>
          <w:sz w:val="21"/>
          <w:vertAlign w:val="baseline"/>
        </w:rPr>
        <w:t> </w:t>
      </w:r>
      <w:r>
        <w:rPr>
          <w:sz w:val="21"/>
          <w:vertAlign w:val="baseline"/>
        </w:rPr>
        <w:t>School</w:t>
      </w:r>
      <w:r>
        <w:rPr>
          <w:spacing w:val="-2"/>
          <w:sz w:val="21"/>
          <w:vertAlign w:val="baseline"/>
        </w:rPr>
        <w:t> </w:t>
      </w:r>
      <w:r>
        <w:rPr>
          <w:sz w:val="21"/>
          <w:vertAlign w:val="baseline"/>
        </w:rPr>
        <w:t>policy</w:t>
      </w:r>
      <w:r>
        <w:rPr>
          <w:spacing w:val="-2"/>
          <w:sz w:val="21"/>
          <w:vertAlign w:val="baseline"/>
        </w:rPr>
        <w:t> </w:t>
      </w:r>
      <w:r>
        <w:rPr>
          <w:sz w:val="21"/>
          <w:vertAlign w:val="baseline"/>
        </w:rPr>
        <w:t>is</w:t>
      </w:r>
      <w:r>
        <w:rPr>
          <w:spacing w:val="-3"/>
          <w:sz w:val="21"/>
          <w:vertAlign w:val="baseline"/>
        </w:rPr>
        <w:t> </w:t>
      </w:r>
      <w:r>
        <w:rPr>
          <w:sz w:val="21"/>
          <w:vertAlign w:val="baseline"/>
        </w:rPr>
        <w:t>one</w:t>
      </w:r>
      <w:r>
        <w:rPr>
          <w:spacing w:val="-2"/>
          <w:sz w:val="21"/>
          <w:vertAlign w:val="baseline"/>
        </w:rPr>
        <w:t> </w:t>
      </w:r>
      <w:r>
        <w:rPr>
          <w:sz w:val="21"/>
          <w:vertAlign w:val="baseline"/>
        </w:rPr>
        <w:t>example:</w:t>
      </w:r>
      <w:r>
        <w:rPr>
          <w:spacing w:val="-2"/>
          <w:sz w:val="21"/>
          <w:vertAlign w:val="baseline"/>
        </w:rPr>
        <w:t> </w:t>
      </w:r>
      <w:r>
        <w:rPr>
          <w:sz w:val="21"/>
          <w:vertAlign w:val="baseline"/>
        </w:rPr>
        <w:t>GLSEN</w:t>
      </w:r>
      <w:r>
        <w:rPr>
          <w:spacing w:val="-2"/>
          <w:sz w:val="21"/>
          <w:vertAlign w:val="baseline"/>
        </w:rPr>
        <w:t> </w:t>
      </w:r>
      <w:r>
        <w:rPr>
          <w:sz w:val="21"/>
          <w:vertAlign w:val="baseline"/>
        </w:rPr>
        <w:t>found</w:t>
      </w:r>
      <w:r>
        <w:rPr>
          <w:spacing w:val="-2"/>
          <w:sz w:val="21"/>
          <w:vertAlign w:val="baseline"/>
        </w:rPr>
        <w:t> </w:t>
      </w:r>
      <w:r>
        <w:rPr>
          <w:sz w:val="21"/>
          <w:vertAlign w:val="baseline"/>
        </w:rPr>
        <w:t>that</w:t>
      </w:r>
      <w:r>
        <w:rPr>
          <w:spacing w:val="-1"/>
          <w:sz w:val="21"/>
          <w:vertAlign w:val="baseline"/>
        </w:rPr>
        <w:t> </w:t>
      </w:r>
      <w:r>
        <w:rPr>
          <w:sz w:val="21"/>
          <w:vertAlign w:val="baseline"/>
        </w:rPr>
        <w:t>students</w:t>
      </w:r>
      <w:r>
        <w:rPr>
          <w:spacing w:val="-2"/>
          <w:sz w:val="21"/>
          <w:vertAlign w:val="baseline"/>
        </w:rPr>
        <w:t> </w:t>
      </w:r>
      <w:r>
        <w:rPr>
          <w:sz w:val="21"/>
          <w:vertAlign w:val="baseline"/>
        </w:rPr>
        <w:t>in</w:t>
      </w:r>
      <w:r>
        <w:rPr>
          <w:spacing w:val="-2"/>
          <w:sz w:val="21"/>
          <w:vertAlign w:val="baseline"/>
        </w:rPr>
        <w:t> </w:t>
      </w:r>
      <w:r>
        <w:rPr>
          <w:sz w:val="21"/>
          <w:vertAlign w:val="baseline"/>
        </w:rPr>
        <w:t>schools with GSAs, positive curriculum about LGBTQ people, and more supportive school staff had higher self-esteem and lower levels of depression and suicidal ideation than peers who lacked these key supports</w:t>
      </w:r>
      <w:hyperlink w:history="true" w:anchor="_bookmark186">
        <w:r>
          <w:rPr>
            <w:sz w:val="21"/>
            <w:vertAlign w:val="baseline"/>
          </w:rPr>
          <w:t>.</w:t>
        </w:r>
        <w:r>
          <w:rPr>
            <w:sz w:val="21"/>
            <w:vertAlign w:val="superscript"/>
          </w:rPr>
          <w:t>90</w:t>
        </w:r>
      </w:hyperlink>
    </w:p>
    <w:p>
      <w:pPr>
        <w:spacing w:before="239"/>
        <w:ind w:left="463" w:right="0" w:firstLine="0"/>
        <w:jc w:val="both"/>
        <w:rPr>
          <w:sz w:val="28"/>
        </w:rPr>
      </w:pPr>
      <w:bookmarkStart w:name="Suicide Prevention: Uplifting Queer Futu" w:id="257"/>
      <w:bookmarkEnd w:id="257"/>
      <w:r>
        <w:rPr/>
      </w:r>
      <w:r>
        <w:rPr>
          <w:color w:val="365F91"/>
          <w:sz w:val="28"/>
        </w:rPr>
        <w:t>Suicide</w:t>
      </w:r>
      <w:r>
        <w:rPr>
          <w:color w:val="365F91"/>
          <w:spacing w:val="-11"/>
          <w:sz w:val="28"/>
        </w:rPr>
        <w:t> </w:t>
      </w:r>
      <w:r>
        <w:rPr>
          <w:color w:val="365F91"/>
          <w:sz w:val="28"/>
        </w:rPr>
        <w:t>Prevention:</w:t>
      </w:r>
      <w:r>
        <w:rPr>
          <w:color w:val="365F91"/>
          <w:spacing w:val="-9"/>
          <w:sz w:val="28"/>
        </w:rPr>
        <w:t> </w:t>
      </w:r>
      <w:r>
        <w:rPr>
          <w:color w:val="365F91"/>
          <w:sz w:val="28"/>
        </w:rPr>
        <w:t>Uplifting</w:t>
      </w:r>
      <w:r>
        <w:rPr>
          <w:color w:val="365F91"/>
          <w:spacing w:val="-11"/>
          <w:sz w:val="28"/>
        </w:rPr>
        <w:t> </w:t>
      </w:r>
      <w:r>
        <w:rPr>
          <w:color w:val="365F91"/>
          <w:sz w:val="28"/>
        </w:rPr>
        <w:t>Queer</w:t>
      </w:r>
      <w:r>
        <w:rPr>
          <w:color w:val="365F91"/>
          <w:spacing w:val="-10"/>
          <w:sz w:val="28"/>
        </w:rPr>
        <w:t> </w:t>
      </w:r>
      <w:r>
        <w:rPr>
          <w:color w:val="365F91"/>
          <w:sz w:val="28"/>
        </w:rPr>
        <w:t>Futures</w:t>
      </w:r>
      <w:r>
        <w:rPr>
          <w:color w:val="365F91"/>
          <w:spacing w:val="-10"/>
          <w:sz w:val="28"/>
        </w:rPr>
        <w:t> </w:t>
      </w:r>
      <w:r>
        <w:rPr>
          <w:color w:val="365F91"/>
          <w:sz w:val="28"/>
        </w:rPr>
        <w:t>&amp;</w:t>
      </w:r>
      <w:r>
        <w:rPr>
          <w:color w:val="365F91"/>
          <w:spacing w:val="-10"/>
          <w:sz w:val="28"/>
        </w:rPr>
        <w:t> </w:t>
      </w:r>
      <w:r>
        <w:rPr>
          <w:color w:val="365F91"/>
          <w:sz w:val="28"/>
        </w:rPr>
        <w:t>Queer</w:t>
      </w:r>
      <w:r>
        <w:rPr>
          <w:color w:val="365F91"/>
          <w:spacing w:val="-11"/>
          <w:sz w:val="28"/>
        </w:rPr>
        <w:t> </w:t>
      </w:r>
      <w:r>
        <w:rPr>
          <w:color w:val="365F91"/>
          <w:spacing w:val="-5"/>
          <w:sz w:val="28"/>
        </w:rPr>
        <w:t>Joy</w:t>
      </w:r>
    </w:p>
    <w:p>
      <w:pPr>
        <w:spacing w:line="276" w:lineRule="auto" w:before="292"/>
        <w:ind w:left="463" w:right="240" w:firstLine="0"/>
        <w:jc w:val="both"/>
        <w:rPr>
          <w:sz w:val="21"/>
        </w:rPr>
      </w:pPr>
      <w:r>
        <w:rPr>
          <w:sz w:val="21"/>
        </w:rPr>
        <w:t>Despite</w:t>
      </w:r>
      <w:r>
        <w:rPr>
          <w:spacing w:val="-9"/>
          <w:sz w:val="21"/>
        </w:rPr>
        <w:t> </w:t>
      </w:r>
      <w:r>
        <w:rPr>
          <w:sz w:val="21"/>
        </w:rPr>
        <w:t>the</w:t>
      </w:r>
      <w:r>
        <w:rPr>
          <w:spacing w:val="-9"/>
          <w:sz w:val="21"/>
        </w:rPr>
        <w:t> </w:t>
      </w:r>
      <w:r>
        <w:rPr>
          <w:sz w:val="21"/>
        </w:rPr>
        <w:t>alarming</w:t>
      </w:r>
      <w:r>
        <w:rPr>
          <w:spacing w:val="-9"/>
          <w:sz w:val="21"/>
        </w:rPr>
        <w:t> </w:t>
      </w:r>
      <w:r>
        <w:rPr>
          <w:sz w:val="21"/>
        </w:rPr>
        <w:t>suicidality</w:t>
      </w:r>
      <w:r>
        <w:rPr>
          <w:spacing w:val="-9"/>
          <w:sz w:val="21"/>
        </w:rPr>
        <w:t> </w:t>
      </w:r>
      <w:r>
        <w:rPr>
          <w:sz w:val="21"/>
        </w:rPr>
        <w:t>rates</w:t>
      </w:r>
      <w:r>
        <w:rPr>
          <w:spacing w:val="-9"/>
          <w:sz w:val="21"/>
        </w:rPr>
        <w:t> </w:t>
      </w:r>
      <w:r>
        <w:rPr>
          <w:sz w:val="21"/>
        </w:rPr>
        <w:t>among</w:t>
      </w:r>
      <w:r>
        <w:rPr>
          <w:spacing w:val="-9"/>
          <w:sz w:val="21"/>
        </w:rPr>
        <w:t> </w:t>
      </w:r>
      <w:r>
        <w:rPr>
          <w:sz w:val="21"/>
        </w:rPr>
        <w:t>LGBTQ</w:t>
      </w:r>
      <w:r>
        <w:rPr>
          <w:spacing w:val="-9"/>
          <w:sz w:val="21"/>
        </w:rPr>
        <w:t> </w:t>
      </w:r>
      <w:r>
        <w:rPr>
          <w:sz w:val="21"/>
        </w:rPr>
        <w:t>youth,</w:t>
      </w:r>
      <w:r>
        <w:rPr>
          <w:spacing w:val="-9"/>
          <w:sz w:val="21"/>
        </w:rPr>
        <w:t> </w:t>
      </w:r>
      <w:r>
        <w:rPr>
          <w:sz w:val="21"/>
        </w:rPr>
        <w:t>there</w:t>
      </w:r>
      <w:r>
        <w:rPr>
          <w:spacing w:val="-10"/>
          <w:sz w:val="21"/>
        </w:rPr>
        <w:t> </w:t>
      </w:r>
      <w:r>
        <w:rPr>
          <w:sz w:val="21"/>
        </w:rPr>
        <w:t>is</w:t>
      </w:r>
      <w:r>
        <w:rPr>
          <w:spacing w:val="-9"/>
          <w:sz w:val="21"/>
        </w:rPr>
        <w:t> </w:t>
      </w:r>
      <w:r>
        <w:rPr>
          <w:sz w:val="21"/>
        </w:rPr>
        <w:t>still</w:t>
      </w:r>
      <w:r>
        <w:rPr>
          <w:spacing w:val="-9"/>
          <w:sz w:val="21"/>
        </w:rPr>
        <w:t> </w:t>
      </w:r>
      <w:r>
        <w:rPr>
          <w:sz w:val="21"/>
        </w:rPr>
        <w:t>scarce</w:t>
      </w:r>
      <w:r>
        <w:rPr>
          <w:spacing w:val="-9"/>
          <w:sz w:val="21"/>
        </w:rPr>
        <w:t> </w:t>
      </w:r>
      <w:r>
        <w:rPr>
          <w:sz w:val="21"/>
        </w:rPr>
        <w:t>research</w:t>
      </w:r>
      <w:r>
        <w:rPr>
          <w:spacing w:val="-9"/>
          <w:sz w:val="21"/>
        </w:rPr>
        <w:t> </w:t>
      </w:r>
      <w:r>
        <w:rPr>
          <w:sz w:val="21"/>
        </w:rPr>
        <w:t>about</w:t>
      </w:r>
      <w:r>
        <w:rPr>
          <w:spacing w:val="-8"/>
          <w:sz w:val="21"/>
        </w:rPr>
        <w:t> </w:t>
      </w:r>
      <w:r>
        <w:rPr>
          <w:sz w:val="21"/>
        </w:rPr>
        <w:t>how</w:t>
      </w:r>
      <w:r>
        <w:rPr>
          <w:spacing w:val="-9"/>
          <w:sz w:val="21"/>
        </w:rPr>
        <w:t> </w:t>
      </w:r>
      <w:r>
        <w:rPr>
          <w:sz w:val="21"/>
        </w:rPr>
        <w:t>professionals can</w:t>
      </w:r>
      <w:r>
        <w:rPr>
          <w:spacing w:val="-8"/>
          <w:sz w:val="21"/>
        </w:rPr>
        <w:t> </w:t>
      </w:r>
      <w:r>
        <w:rPr>
          <w:sz w:val="21"/>
        </w:rPr>
        <w:t>effectively</w:t>
      </w:r>
      <w:r>
        <w:rPr>
          <w:spacing w:val="-8"/>
          <w:sz w:val="21"/>
        </w:rPr>
        <w:t> </w:t>
      </w:r>
      <w:r>
        <w:rPr>
          <w:sz w:val="21"/>
        </w:rPr>
        <w:t>support</w:t>
      </w:r>
      <w:r>
        <w:rPr>
          <w:spacing w:val="-7"/>
          <w:sz w:val="21"/>
        </w:rPr>
        <w:t> </w:t>
      </w:r>
      <w:r>
        <w:rPr>
          <w:sz w:val="21"/>
        </w:rPr>
        <w:t>suicidal</w:t>
      </w:r>
      <w:r>
        <w:rPr>
          <w:spacing w:val="-8"/>
          <w:sz w:val="21"/>
        </w:rPr>
        <w:t> </w:t>
      </w:r>
      <w:r>
        <w:rPr>
          <w:sz w:val="21"/>
        </w:rPr>
        <w:t>LGBTQ</w:t>
      </w:r>
      <w:r>
        <w:rPr>
          <w:spacing w:val="-7"/>
          <w:sz w:val="21"/>
        </w:rPr>
        <w:t> </w:t>
      </w:r>
      <w:r>
        <w:rPr>
          <w:sz w:val="21"/>
        </w:rPr>
        <w:t>youth.</w:t>
      </w:r>
      <w:r>
        <w:rPr>
          <w:spacing w:val="-8"/>
          <w:sz w:val="21"/>
        </w:rPr>
        <w:t> </w:t>
      </w:r>
      <w:r>
        <w:rPr>
          <w:sz w:val="21"/>
        </w:rPr>
        <w:t>However,</w:t>
      </w:r>
      <w:r>
        <w:rPr>
          <w:spacing w:val="-7"/>
          <w:sz w:val="21"/>
        </w:rPr>
        <w:t> </w:t>
      </w:r>
      <w:r>
        <w:rPr>
          <w:sz w:val="21"/>
        </w:rPr>
        <w:t>it</w:t>
      </w:r>
      <w:r>
        <w:rPr>
          <w:spacing w:val="-7"/>
          <w:sz w:val="21"/>
        </w:rPr>
        <w:t> </w:t>
      </w:r>
      <w:r>
        <w:rPr>
          <w:sz w:val="21"/>
        </w:rPr>
        <w:t>is</w:t>
      </w:r>
      <w:r>
        <w:rPr>
          <w:spacing w:val="-8"/>
          <w:sz w:val="21"/>
        </w:rPr>
        <w:t> </w:t>
      </w:r>
      <w:r>
        <w:rPr>
          <w:sz w:val="21"/>
        </w:rPr>
        <w:t>broadly</w:t>
      </w:r>
      <w:r>
        <w:rPr>
          <w:spacing w:val="-8"/>
          <w:sz w:val="21"/>
        </w:rPr>
        <w:t> </w:t>
      </w:r>
      <w:r>
        <w:rPr>
          <w:sz w:val="21"/>
        </w:rPr>
        <w:t>understood</w:t>
      </w:r>
      <w:r>
        <w:rPr>
          <w:spacing w:val="-8"/>
          <w:sz w:val="21"/>
        </w:rPr>
        <w:t> </w:t>
      </w:r>
      <w:r>
        <w:rPr>
          <w:sz w:val="21"/>
        </w:rPr>
        <w:t>that</w:t>
      </w:r>
      <w:r>
        <w:rPr>
          <w:spacing w:val="-7"/>
          <w:sz w:val="21"/>
        </w:rPr>
        <w:t> </w:t>
      </w:r>
      <w:r>
        <w:rPr>
          <w:sz w:val="21"/>
        </w:rPr>
        <w:t>anti-LGBTQ</w:t>
      </w:r>
      <w:r>
        <w:rPr>
          <w:spacing w:val="-9"/>
          <w:sz w:val="21"/>
        </w:rPr>
        <w:t> </w:t>
      </w:r>
      <w:r>
        <w:rPr>
          <w:sz w:val="21"/>
        </w:rPr>
        <w:t>minority</w:t>
      </w:r>
      <w:r>
        <w:rPr>
          <w:spacing w:val="-8"/>
          <w:sz w:val="21"/>
        </w:rPr>
        <w:t> </w:t>
      </w:r>
      <w:r>
        <w:rPr>
          <w:sz w:val="21"/>
        </w:rPr>
        <w:t>stress and trauma are linked to depression and PTSD, and these disorders are linked to suicidal ideation. In 2022, the Trevor Project found that more than 1 in 3 youth had experienced physical threats or harm based on their identities, and youth who were victimized attempted suicide at over twice as often as peers who were not</w:t>
      </w:r>
      <w:hyperlink w:history="true" w:anchor="_bookmark186">
        <w:r>
          <w:rPr>
            <w:sz w:val="21"/>
          </w:rPr>
          <w:t>.</w:t>
        </w:r>
        <w:r>
          <w:rPr>
            <w:sz w:val="21"/>
            <w:vertAlign w:val="superscript"/>
          </w:rPr>
          <w:t>91</w:t>
        </w:r>
      </w:hyperlink>
      <w:r>
        <w:rPr>
          <w:sz w:val="21"/>
          <w:vertAlign w:val="baseline"/>
        </w:rPr>
        <w:t> Furthermore, hopelessness is a key ingredient for suicidality. </w:t>
      </w:r>
      <w:hyperlink w:history="true" w:anchor="_bookmark187">
        <w:r>
          <w:rPr>
            <w:sz w:val="21"/>
            <w:vertAlign w:val="superscript"/>
          </w:rPr>
          <w:t>92</w:t>
        </w:r>
      </w:hyperlink>
      <w:r>
        <w:rPr>
          <w:sz w:val="21"/>
          <w:vertAlign w:val="baseline"/>
        </w:rPr>
        <w:t> This is important because many of the recommendations</w:t>
      </w:r>
      <w:r>
        <w:rPr>
          <w:spacing w:val="-6"/>
          <w:sz w:val="21"/>
          <w:vertAlign w:val="baseline"/>
        </w:rPr>
        <w:t> </w:t>
      </w:r>
      <w:r>
        <w:rPr>
          <w:sz w:val="21"/>
          <w:vertAlign w:val="baseline"/>
        </w:rPr>
        <w:t>in</w:t>
      </w:r>
      <w:r>
        <w:rPr>
          <w:spacing w:val="-5"/>
          <w:sz w:val="21"/>
          <w:vertAlign w:val="baseline"/>
        </w:rPr>
        <w:t> </w:t>
      </w:r>
      <w:r>
        <w:rPr>
          <w:sz w:val="21"/>
          <w:vertAlign w:val="baseline"/>
        </w:rPr>
        <w:t>this</w:t>
      </w:r>
      <w:r>
        <w:rPr>
          <w:spacing w:val="-7"/>
          <w:sz w:val="21"/>
          <w:vertAlign w:val="baseline"/>
        </w:rPr>
        <w:t> </w:t>
      </w:r>
      <w:r>
        <w:rPr>
          <w:sz w:val="21"/>
          <w:vertAlign w:val="baseline"/>
        </w:rPr>
        <w:t>report,</w:t>
      </w:r>
      <w:r>
        <w:rPr>
          <w:spacing w:val="-5"/>
          <w:sz w:val="21"/>
          <w:vertAlign w:val="baseline"/>
        </w:rPr>
        <w:t> </w:t>
      </w:r>
      <w:r>
        <w:rPr>
          <w:sz w:val="21"/>
          <w:vertAlign w:val="baseline"/>
        </w:rPr>
        <w:t>like</w:t>
      </w:r>
      <w:r>
        <w:rPr>
          <w:spacing w:val="-5"/>
          <w:sz w:val="21"/>
          <w:vertAlign w:val="baseline"/>
        </w:rPr>
        <w:t> </w:t>
      </w:r>
      <w:r>
        <w:rPr>
          <w:sz w:val="21"/>
          <w:vertAlign w:val="baseline"/>
        </w:rPr>
        <w:t>GSAs,</w:t>
      </w:r>
      <w:r>
        <w:rPr>
          <w:spacing w:val="-5"/>
          <w:sz w:val="21"/>
          <w:vertAlign w:val="baseline"/>
        </w:rPr>
        <w:t> </w:t>
      </w:r>
      <w:r>
        <w:rPr>
          <w:sz w:val="21"/>
          <w:vertAlign w:val="baseline"/>
        </w:rPr>
        <w:t>summer</w:t>
      </w:r>
      <w:r>
        <w:rPr>
          <w:spacing w:val="-7"/>
          <w:sz w:val="21"/>
          <w:vertAlign w:val="baseline"/>
        </w:rPr>
        <w:t> </w:t>
      </w:r>
      <w:r>
        <w:rPr>
          <w:sz w:val="21"/>
          <w:vertAlign w:val="baseline"/>
        </w:rPr>
        <w:t>camps,</w:t>
      </w:r>
      <w:r>
        <w:rPr>
          <w:spacing w:val="-5"/>
          <w:sz w:val="21"/>
          <w:vertAlign w:val="baseline"/>
        </w:rPr>
        <w:t> </w:t>
      </w:r>
      <w:r>
        <w:rPr>
          <w:sz w:val="21"/>
          <w:vertAlign w:val="baseline"/>
        </w:rPr>
        <w:t>and</w:t>
      </w:r>
      <w:r>
        <w:rPr>
          <w:spacing w:val="-7"/>
          <w:sz w:val="21"/>
          <w:vertAlign w:val="baseline"/>
        </w:rPr>
        <w:t> </w:t>
      </w:r>
      <w:r>
        <w:rPr>
          <w:sz w:val="21"/>
          <w:vertAlign w:val="baseline"/>
        </w:rPr>
        <w:t>activist</w:t>
      </w:r>
      <w:r>
        <w:rPr>
          <w:spacing w:val="-5"/>
          <w:sz w:val="21"/>
          <w:vertAlign w:val="baseline"/>
        </w:rPr>
        <w:t> </w:t>
      </w:r>
      <w:r>
        <w:rPr>
          <w:sz w:val="21"/>
          <w:vertAlign w:val="baseline"/>
        </w:rPr>
        <w:t>programs,</w:t>
      </w:r>
      <w:r>
        <w:rPr>
          <w:spacing w:val="-6"/>
          <w:sz w:val="21"/>
          <w:vertAlign w:val="baseline"/>
        </w:rPr>
        <w:t> </w:t>
      </w:r>
      <w:r>
        <w:rPr>
          <w:sz w:val="21"/>
          <w:vertAlign w:val="baseline"/>
        </w:rPr>
        <w:t>have</w:t>
      </w:r>
      <w:r>
        <w:rPr>
          <w:spacing w:val="-5"/>
          <w:sz w:val="21"/>
          <w:vertAlign w:val="baseline"/>
        </w:rPr>
        <w:t> </w:t>
      </w:r>
      <w:r>
        <w:rPr>
          <w:sz w:val="21"/>
          <w:vertAlign w:val="baseline"/>
        </w:rPr>
        <w:t>been</w:t>
      </w:r>
      <w:r>
        <w:rPr>
          <w:spacing w:val="-7"/>
          <w:sz w:val="21"/>
          <w:vertAlign w:val="baseline"/>
        </w:rPr>
        <w:t> </w:t>
      </w:r>
      <w:r>
        <w:rPr>
          <w:sz w:val="21"/>
          <w:vertAlign w:val="baseline"/>
        </w:rPr>
        <w:t>shown</w:t>
      </w:r>
      <w:r>
        <w:rPr>
          <w:spacing w:val="-5"/>
          <w:sz w:val="21"/>
          <w:vertAlign w:val="baseline"/>
        </w:rPr>
        <w:t> </w:t>
      </w:r>
      <w:r>
        <w:rPr>
          <w:sz w:val="21"/>
          <w:vertAlign w:val="baseline"/>
        </w:rPr>
        <w:t>to</w:t>
      </w:r>
      <w:r>
        <w:rPr>
          <w:spacing w:val="-7"/>
          <w:sz w:val="21"/>
          <w:vertAlign w:val="baseline"/>
        </w:rPr>
        <w:t> </w:t>
      </w:r>
      <w:r>
        <w:rPr>
          <w:sz w:val="21"/>
          <w:vertAlign w:val="baseline"/>
        </w:rPr>
        <w:t>increase hope. For instance, a recent study showed that GSAs foster hope by helping youth discover and work toward their goals, leading to less symptoms of depression and anxiety by the end of the year</w:t>
      </w:r>
      <w:hyperlink w:history="true" w:anchor="_bookmark188">
        <w:r>
          <w:rPr>
            <w:sz w:val="21"/>
            <w:vertAlign w:val="baseline"/>
          </w:rPr>
          <w:t>.</w:t>
        </w:r>
        <w:r>
          <w:rPr>
            <w:sz w:val="21"/>
            <w:vertAlign w:val="superscript"/>
          </w:rPr>
          <w:t>93</w:t>
        </w:r>
      </w:hyperlink>
    </w:p>
    <w:p>
      <w:pPr>
        <w:spacing w:line="276" w:lineRule="auto" w:before="240"/>
        <w:ind w:left="2773" w:right="239" w:firstLine="0"/>
        <w:jc w:val="both"/>
        <w:rPr>
          <w:sz w:val="21"/>
        </w:rPr>
      </w:pPr>
      <w:r>
        <w:rPr/>
        <w:drawing>
          <wp:anchor distT="0" distB="0" distL="0" distR="0" allowOverlap="1" layoutInCell="1" locked="0" behindDoc="0" simplePos="0" relativeHeight="15767040">
            <wp:simplePos x="0" y="0"/>
            <wp:positionH relativeFrom="page">
              <wp:posOffset>825499</wp:posOffset>
            </wp:positionH>
            <wp:positionV relativeFrom="paragraph">
              <wp:posOffset>165553</wp:posOffset>
            </wp:positionV>
            <wp:extent cx="1463039" cy="1463039"/>
            <wp:effectExtent l="0" t="0" r="0" b="0"/>
            <wp:wrapNone/>
            <wp:docPr id="242" name="Image 242"/>
            <wp:cNvGraphicFramePr>
              <a:graphicFrameLocks/>
            </wp:cNvGraphicFramePr>
            <a:graphic>
              <a:graphicData uri="http://schemas.openxmlformats.org/drawingml/2006/picture">
                <pic:pic>
                  <pic:nvPicPr>
                    <pic:cNvPr id="242" name="Image 242"/>
                    <pic:cNvPicPr/>
                  </pic:nvPicPr>
                  <pic:blipFill>
                    <a:blip r:embed="rId190" cstate="print"/>
                    <a:stretch>
                      <a:fillRect/>
                    </a:stretch>
                  </pic:blipFill>
                  <pic:spPr>
                    <a:xfrm>
                      <a:off x="0" y="0"/>
                      <a:ext cx="1463039" cy="1463039"/>
                    </a:xfrm>
                    <a:prstGeom prst="rect">
                      <a:avLst/>
                    </a:prstGeom>
                  </pic:spPr>
                </pic:pic>
              </a:graphicData>
            </a:graphic>
          </wp:anchor>
        </w:drawing>
      </w:r>
      <w:r>
        <w:rPr>
          <w:sz w:val="21"/>
        </w:rPr>
        <w:t>How can service providers improve services for suicidal LGBTQ youth? One study from 2021 sought out youths’ insights. Participants shared that they were unaware that mental health resources already existed for them. They also wanted confidentiality for their suicidality and identities, clear visual signs of affirming attitudes, and emotional support from their caregivers about their identities</w:t>
      </w:r>
      <w:hyperlink w:history="true" w:anchor="_bookmark189">
        <w:r>
          <w:rPr>
            <w:sz w:val="21"/>
          </w:rPr>
          <w:t>.</w:t>
        </w:r>
        <w:r>
          <w:rPr>
            <w:color w:val="575757"/>
            <w:sz w:val="21"/>
            <w:vertAlign w:val="superscript"/>
          </w:rPr>
          <w:t>94</w:t>
        </w:r>
      </w:hyperlink>
    </w:p>
    <w:p>
      <w:pPr>
        <w:spacing w:line="276" w:lineRule="auto" w:before="240"/>
        <w:ind w:left="2773" w:right="241" w:firstLine="0"/>
        <w:jc w:val="both"/>
        <w:rPr>
          <w:sz w:val="21"/>
        </w:rPr>
      </w:pPr>
      <w:r>
        <w:rPr>
          <w:sz w:val="21"/>
        </w:rPr>
        <w:t>Despite the lack of research about LGBTQ-specific professional mental health support, it is clear that LGBTQ youth suffer when they live in families, schools, communities,</w:t>
      </w:r>
      <w:r>
        <w:rPr>
          <w:spacing w:val="51"/>
          <w:sz w:val="21"/>
        </w:rPr>
        <w:t> </w:t>
      </w:r>
      <w:r>
        <w:rPr>
          <w:sz w:val="21"/>
        </w:rPr>
        <w:t>and</w:t>
      </w:r>
      <w:r>
        <w:rPr>
          <w:spacing w:val="53"/>
          <w:sz w:val="21"/>
        </w:rPr>
        <w:t> </w:t>
      </w:r>
      <w:r>
        <w:rPr>
          <w:sz w:val="21"/>
        </w:rPr>
        <w:t>a</w:t>
      </w:r>
      <w:r>
        <w:rPr>
          <w:spacing w:val="54"/>
          <w:sz w:val="21"/>
        </w:rPr>
        <w:t> </w:t>
      </w:r>
      <w:r>
        <w:rPr>
          <w:sz w:val="21"/>
        </w:rPr>
        <w:t>society</w:t>
      </w:r>
      <w:r>
        <w:rPr>
          <w:spacing w:val="52"/>
          <w:sz w:val="21"/>
        </w:rPr>
        <w:t> </w:t>
      </w:r>
      <w:r>
        <w:rPr>
          <w:sz w:val="21"/>
        </w:rPr>
        <w:t>that</w:t>
      </w:r>
      <w:r>
        <w:rPr>
          <w:spacing w:val="53"/>
          <w:sz w:val="21"/>
        </w:rPr>
        <w:t> </w:t>
      </w:r>
      <w:r>
        <w:rPr>
          <w:sz w:val="21"/>
        </w:rPr>
        <w:t>erases,</w:t>
      </w:r>
      <w:r>
        <w:rPr>
          <w:spacing w:val="54"/>
          <w:sz w:val="21"/>
        </w:rPr>
        <w:t> </w:t>
      </w:r>
      <w:r>
        <w:rPr>
          <w:sz w:val="21"/>
        </w:rPr>
        <w:t>debates,</w:t>
      </w:r>
      <w:r>
        <w:rPr>
          <w:spacing w:val="53"/>
          <w:sz w:val="21"/>
        </w:rPr>
        <w:t> </w:t>
      </w:r>
      <w:r>
        <w:rPr>
          <w:sz w:val="21"/>
        </w:rPr>
        <w:t>and</w:t>
      </w:r>
      <w:r>
        <w:rPr>
          <w:spacing w:val="54"/>
          <w:sz w:val="21"/>
        </w:rPr>
        <w:t> </w:t>
      </w:r>
      <w:r>
        <w:rPr>
          <w:sz w:val="21"/>
        </w:rPr>
        <w:t>threatens</w:t>
      </w:r>
      <w:r>
        <w:rPr>
          <w:spacing w:val="51"/>
          <w:sz w:val="21"/>
        </w:rPr>
        <w:t> </w:t>
      </w:r>
      <w:r>
        <w:rPr>
          <w:sz w:val="21"/>
        </w:rPr>
        <w:t>them.</w:t>
      </w:r>
      <w:r>
        <w:rPr>
          <w:spacing w:val="53"/>
          <w:sz w:val="21"/>
        </w:rPr>
        <w:t> </w:t>
      </w:r>
      <w:r>
        <w:rPr>
          <w:spacing w:val="-2"/>
          <w:sz w:val="21"/>
        </w:rPr>
        <w:t>Suicide</w:t>
      </w:r>
    </w:p>
    <w:p>
      <w:pPr>
        <w:spacing w:line="276" w:lineRule="auto" w:before="0"/>
        <w:ind w:left="463" w:right="241" w:firstLine="0"/>
        <w:jc w:val="both"/>
        <w:rPr>
          <w:sz w:val="21"/>
        </w:rPr>
      </w:pPr>
      <w:r>
        <w:rPr>
          <w:sz w:val="21"/>
        </w:rPr>
        <w:t>prevention includes professional mental</w:t>
      </w:r>
      <w:r>
        <w:rPr>
          <w:spacing w:val="-1"/>
          <w:sz w:val="21"/>
        </w:rPr>
        <w:t> </w:t>
      </w:r>
      <w:r>
        <w:rPr>
          <w:sz w:val="21"/>
        </w:rPr>
        <w:t>healthcare, but it is not limited to it. Protective legislation, supportive school</w:t>
      </w:r>
      <w:r>
        <w:rPr>
          <w:spacing w:val="-7"/>
          <w:sz w:val="21"/>
        </w:rPr>
        <w:t> </w:t>
      </w:r>
      <w:r>
        <w:rPr>
          <w:sz w:val="21"/>
        </w:rPr>
        <w:t>policies,</w:t>
      </w:r>
      <w:r>
        <w:rPr>
          <w:spacing w:val="-6"/>
          <w:sz w:val="21"/>
        </w:rPr>
        <w:t> </w:t>
      </w:r>
      <w:r>
        <w:rPr>
          <w:sz w:val="21"/>
        </w:rPr>
        <w:t>mental</w:t>
      </w:r>
      <w:r>
        <w:rPr>
          <w:spacing w:val="-7"/>
          <w:sz w:val="21"/>
        </w:rPr>
        <w:t> </w:t>
      </w:r>
      <w:r>
        <w:rPr>
          <w:sz w:val="21"/>
        </w:rPr>
        <w:t>health</w:t>
      </w:r>
      <w:r>
        <w:rPr>
          <w:spacing w:val="-7"/>
          <w:sz w:val="21"/>
        </w:rPr>
        <w:t> </w:t>
      </w:r>
      <w:r>
        <w:rPr>
          <w:sz w:val="21"/>
        </w:rPr>
        <w:t>literacy</w:t>
      </w:r>
      <w:r>
        <w:rPr>
          <w:spacing w:val="-7"/>
          <w:sz w:val="21"/>
        </w:rPr>
        <w:t> </w:t>
      </w:r>
      <w:r>
        <w:rPr>
          <w:sz w:val="21"/>
        </w:rPr>
        <w:t>initiatives,</w:t>
      </w:r>
      <w:r>
        <w:rPr>
          <w:spacing w:val="-6"/>
          <w:sz w:val="21"/>
        </w:rPr>
        <w:t> </w:t>
      </w:r>
      <w:r>
        <w:rPr>
          <w:sz w:val="21"/>
        </w:rPr>
        <w:t>comprehensively</w:t>
      </w:r>
      <w:r>
        <w:rPr>
          <w:spacing w:val="-7"/>
          <w:sz w:val="21"/>
        </w:rPr>
        <w:t> </w:t>
      </w:r>
      <w:r>
        <w:rPr>
          <w:sz w:val="21"/>
        </w:rPr>
        <w:t>funded</w:t>
      </w:r>
      <w:r>
        <w:rPr>
          <w:spacing w:val="-7"/>
          <w:sz w:val="21"/>
        </w:rPr>
        <w:t> </w:t>
      </w:r>
      <w:r>
        <w:rPr>
          <w:sz w:val="21"/>
        </w:rPr>
        <w:t>MHP</w:t>
      </w:r>
      <w:r>
        <w:rPr>
          <w:spacing w:val="-7"/>
          <w:sz w:val="21"/>
        </w:rPr>
        <w:t> </w:t>
      </w:r>
      <w:r>
        <w:rPr>
          <w:sz w:val="21"/>
        </w:rPr>
        <w:t>and</w:t>
      </w:r>
      <w:r>
        <w:rPr>
          <w:spacing w:val="-7"/>
          <w:sz w:val="21"/>
        </w:rPr>
        <w:t> </w:t>
      </w:r>
      <w:r>
        <w:rPr>
          <w:sz w:val="21"/>
        </w:rPr>
        <w:t>youth</w:t>
      </w:r>
      <w:r>
        <w:rPr>
          <w:spacing w:val="-7"/>
          <w:sz w:val="21"/>
        </w:rPr>
        <w:t> </w:t>
      </w:r>
      <w:r>
        <w:rPr>
          <w:sz w:val="21"/>
        </w:rPr>
        <w:t>worker</w:t>
      </w:r>
      <w:r>
        <w:rPr>
          <w:spacing w:val="-7"/>
          <w:sz w:val="21"/>
        </w:rPr>
        <w:t> </w:t>
      </w:r>
      <w:r>
        <w:rPr>
          <w:sz w:val="21"/>
        </w:rPr>
        <w:t>positions</w:t>
      </w:r>
      <w:r>
        <w:rPr>
          <w:spacing w:val="-7"/>
          <w:sz w:val="21"/>
        </w:rPr>
        <w:t> </w:t>
      </w:r>
      <w:r>
        <w:rPr>
          <w:sz w:val="21"/>
        </w:rPr>
        <w:t>and programs, intersectional and trauma-informed services, and all the other interdisciplinary recommendations made in this report – these, too, are suicide prevention.</w:t>
      </w:r>
    </w:p>
    <w:p>
      <w:pPr>
        <w:spacing w:after="0" w:line="276" w:lineRule="auto"/>
        <w:jc w:val="both"/>
        <w:rPr>
          <w:sz w:val="21"/>
        </w:rPr>
        <w:sectPr>
          <w:pgSz w:w="12240" w:h="15840"/>
          <w:pgMar w:header="804" w:footer="1390" w:top="1080" w:bottom="1620" w:left="980" w:right="1080"/>
        </w:sectPr>
      </w:pPr>
    </w:p>
    <w:p>
      <w:pPr>
        <w:pStyle w:val="BodyText"/>
        <w:spacing w:before="62" w:after="1"/>
        <w:rPr>
          <w:sz w:val="20"/>
        </w:rPr>
      </w:pPr>
    </w:p>
    <w:p>
      <w:pPr>
        <w:pStyle w:val="BodyText"/>
        <w:ind w:left="460"/>
        <w:rPr>
          <w:sz w:val="20"/>
        </w:rPr>
      </w:pPr>
      <w:r>
        <w:rPr>
          <w:sz w:val="20"/>
        </w:rPr>
        <w:drawing>
          <wp:inline distT="0" distB="0" distL="0" distR="0">
            <wp:extent cx="5945300" cy="633983"/>
            <wp:effectExtent l="0" t="0" r="0" b="0"/>
            <wp:docPr id="243" name="Image 243"/>
            <wp:cNvGraphicFramePr>
              <a:graphicFrameLocks/>
            </wp:cNvGraphicFramePr>
            <a:graphic>
              <a:graphicData uri="http://schemas.openxmlformats.org/drawingml/2006/picture">
                <pic:pic>
                  <pic:nvPicPr>
                    <pic:cNvPr id="243" name="Image 243"/>
                    <pic:cNvPicPr/>
                  </pic:nvPicPr>
                  <pic:blipFill>
                    <a:blip r:embed="rId191" cstate="print"/>
                    <a:stretch>
                      <a:fillRect/>
                    </a:stretch>
                  </pic:blipFill>
                  <pic:spPr>
                    <a:xfrm>
                      <a:off x="0" y="0"/>
                      <a:ext cx="5945300" cy="633983"/>
                    </a:xfrm>
                    <a:prstGeom prst="rect">
                      <a:avLst/>
                    </a:prstGeom>
                  </pic:spPr>
                </pic:pic>
              </a:graphicData>
            </a:graphic>
          </wp:inline>
        </w:drawing>
      </w:r>
      <w:r>
        <w:rPr>
          <w:sz w:val="20"/>
        </w:rPr>
      </w:r>
    </w:p>
    <w:p>
      <w:pPr>
        <w:pStyle w:val="BodyText"/>
        <w:rPr>
          <w:sz w:val="21"/>
        </w:rPr>
      </w:pPr>
    </w:p>
    <w:p>
      <w:pPr>
        <w:pStyle w:val="BodyText"/>
        <w:spacing w:before="21"/>
        <w:rPr>
          <w:sz w:val="21"/>
        </w:rPr>
      </w:pPr>
    </w:p>
    <w:p>
      <w:pPr>
        <w:spacing w:line="276" w:lineRule="auto" w:before="0"/>
        <w:ind w:left="463" w:right="239" w:hanging="1"/>
        <w:jc w:val="both"/>
        <w:rPr>
          <w:sz w:val="21"/>
        </w:rPr>
      </w:pPr>
      <w:r>
        <w:rPr>
          <w:sz w:val="21"/>
        </w:rPr>
        <w:t>The</w:t>
      </w:r>
      <w:r>
        <w:rPr>
          <w:spacing w:val="-4"/>
          <w:sz w:val="21"/>
        </w:rPr>
        <w:t> </w:t>
      </w:r>
      <w:r>
        <w:rPr>
          <w:sz w:val="21"/>
        </w:rPr>
        <w:t>above</w:t>
      </w:r>
      <w:r>
        <w:rPr>
          <w:spacing w:val="-4"/>
          <w:sz w:val="21"/>
        </w:rPr>
        <w:t> </w:t>
      </w:r>
      <w:r>
        <w:rPr>
          <w:sz w:val="21"/>
        </w:rPr>
        <w:t>statement,</w:t>
      </w:r>
      <w:r>
        <w:rPr>
          <w:spacing w:val="-5"/>
          <w:sz w:val="21"/>
        </w:rPr>
        <w:t> </w:t>
      </w:r>
      <w:r>
        <w:rPr>
          <w:sz w:val="21"/>
        </w:rPr>
        <w:t>made</w:t>
      </w:r>
      <w:r>
        <w:rPr>
          <w:spacing w:val="-5"/>
          <w:sz w:val="21"/>
        </w:rPr>
        <w:t> </w:t>
      </w:r>
      <w:r>
        <w:rPr>
          <w:sz w:val="21"/>
        </w:rPr>
        <w:t>during</w:t>
      </w:r>
      <w:r>
        <w:rPr>
          <w:spacing w:val="-5"/>
          <w:sz w:val="21"/>
        </w:rPr>
        <w:t> </w:t>
      </w:r>
      <w:r>
        <w:rPr>
          <w:sz w:val="21"/>
        </w:rPr>
        <w:t>the</w:t>
      </w:r>
      <w:r>
        <w:rPr>
          <w:spacing w:val="-4"/>
          <w:sz w:val="21"/>
        </w:rPr>
        <w:t> </w:t>
      </w:r>
      <w:r>
        <w:rPr>
          <w:sz w:val="21"/>
        </w:rPr>
        <w:t>2022</w:t>
      </w:r>
      <w:r>
        <w:rPr>
          <w:spacing w:val="-4"/>
          <w:sz w:val="21"/>
        </w:rPr>
        <w:t> </w:t>
      </w:r>
      <w:r>
        <w:rPr>
          <w:sz w:val="21"/>
        </w:rPr>
        <w:t>Massachusetts</w:t>
      </w:r>
      <w:r>
        <w:rPr>
          <w:spacing w:val="-5"/>
          <w:sz w:val="21"/>
        </w:rPr>
        <w:t> </w:t>
      </w:r>
      <w:r>
        <w:rPr>
          <w:sz w:val="21"/>
        </w:rPr>
        <w:t>school</w:t>
      </w:r>
      <w:r>
        <w:rPr>
          <w:spacing w:val="-4"/>
          <w:sz w:val="21"/>
        </w:rPr>
        <w:t> </w:t>
      </w:r>
      <w:r>
        <w:rPr>
          <w:sz w:val="21"/>
        </w:rPr>
        <w:t>walkout</w:t>
      </w:r>
      <w:r>
        <w:rPr>
          <w:spacing w:val="-4"/>
          <w:sz w:val="21"/>
        </w:rPr>
        <w:t> </w:t>
      </w:r>
      <w:r>
        <w:rPr>
          <w:sz w:val="21"/>
        </w:rPr>
        <w:t>to</w:t>
      </w:r>
      <w:r>
        <w:rPr>
          <w:spacing w:val="-4"/>
          <w:sz w:val="21"/>
        </w:rPr>
        <w:t> </w:t>
      </w:r>
      <w:r>
        <w:rPr>
          <w:sz w:val="21"/>
        </w:rPr>
        <w:t>protest</w:t>
      </w:r>
      <w:r>
        <w:rPr>
          <w:spacing w:val="-4"/>
          <w:sz w:val="21"/>
        </w:rPr>
        <w:t> </w:t>
      </w:r>
      <w:r>
        <w:rPr>
          <w:sz w:val="21"/>
        </w:rPr>
        <w:t>anti-LGBTQ</w:t>
      </w:r>
      <w:r>
        <w:rPr>
          <w:spacing w:val="-4"/>
          <w:sz w:val="21"/>
        </w:rPr>
        <w:t> </w:t>
      </w:r>
      <w:r>
        <w:rPr>
          <w:sz w:val="21"/>
        </w:rPr>
        <w:t>legislation</w:t>
      </w:r>
      <w:r>
        <w:rPr>
          <w:spacing w:val="-4"/>
          <w:sz w:val="21"/>
        </w:rPr>
        <w:t> </w:t>
      </w:r>
      <w:r>
        <w:rPr>
          <w:sz w:val="21"/>
        </w:rPr>
        <w:t>in Florida</w:t>
      </w:r>
      <w:r>
        <w:rPr>
          <w:spacing w:val="-5"/>
          <w:sz w:val="21"/>
        </w:rPr>
        <w:t> </w:t>
      </w:r>
      <w:r>
        <w:rPr>
          <w:sz w:val="21"/>
        </w:rPr>
        <w:t>and</w:t>
      </w:r>
      <w:r>
        <w:rPr>
          <w:spacing w:val="-6"/>
          <w:sz w:val="21"/>
        </w:rPr>
        <w:t> </w:t>
      </w:r>
      <w:r>
        <w:rPr>
          <w:sz w:val="21"/>
        </w:rPr>
        <w:t>Texas,</w:t>
      </w:r>
      <w:r>
        <w:rPr>
          <w:spacing w:val="-5"/>
          <w:sz w:val="21"/>
        </w:rPr>
        <w:t> </w:t>
      </w:r>
      <w:r>
        <w:rPr>
          <w:sz w:val="21"/>
        </w:rPr>
        <w:t>captures</w:t>
      </w:r>
      <w:r>
        <w:rPr>
          <w:spacing w:val="-6"/>
          <w:sz w:val="21"/>
        </w:rPr>
        <w:t> </w:t>
      </w:r>
      <w:r>
        <w:rPr>
          <w:sz w:val="21"/>
        </w:rPr>
        <w:t>the</w:t>
      </w:r>
      <w:r>
        <w:rPr>
          <w:spacing w:val="-6"/>
          <w:sz w:val="21"/>
        </w:rPr>
        <w:t> </w:t>
      </w:r>
      <w:r>
        <w:rPr>
          <w:sz w:val="21"/>
        </w:rPr>
        <w:t>spirit</w:t>
      </w:r>
      <w:r>
        <w:rPr>
          <w:spacing w:val="-5"/>
          <w:sz w:val="21"/>
        </w:rPr>
        <w:t> </w:t>
      </w:r>
      <w:r>
        <w:rPr>
          <w:sz w:val="21"/>
        </w:rPr>
        <w:t>of</w:t>
      </w:r>
      <w:r>
        <w:rPr>
          <w:spacing w:val="-6"/>
          <w:sz w:val="21"/>
        </w:rPr>
        <w:t> </w:t>
      </w:r>
      <w:r>
        <w:rPr>
          <w:sz w:val="21"/>
        </w:rPr>
        <w:t>resilience</w:t>
      </w:r>
      <w:r>
        <w:rPr>
          <w:spacing w:val="-6"/>
          <w:sz w:val="21"/>
        </w:rPr>
        <w:t> </w:t>
      </w:r>
      <w:r>
        <w:rPr>
          <w:sz w:val="21"/>
        </w:rPr>
        <w:t>that</w:t>
      </w:r>
      <w:r>
        <w:rPr>
          <w:spacing w:val="-5"/>
          <w:sz w:val="21"/>
        </w:rPr>
        <w:t> </w:t>
      </w:r>
      <w:r>
        <w:rPr>
          <w:sz w:val="21"/>
        </w:rPr>
        <w:t>LGBTQ</w:t>
      </w:r>
      <w:r>
        <w:rPr>
          <w:spacing w:val="-5"/>
          <w:sz w:val="21"/>
        </w:rPr>
        <w:t> </w:t>
      </w:r>
      <w:r>
        <w:rPr>
          <w:sz w:val="21"/>
        </w:rPr>
        <w:t>youth</w:t>
      </w:r>
      <w:r>
        <w:rPr>
          <w:spacing w:val="-6"/>
          <w:sz w:val="21"/>
        </w:rPr>
        <w:t> </w:t>
      </w:r>
      <w:r>
        <w:rPr>
          <w:sz w:val="21"/>
        </w:rPr>
        <w:t>cultivate</w:t>
      </w:r>
      <w:r>
        <w:rPr>
          <w:spacing w:val="-6"/>
          <w:sz w:val="21"/>
        </w:rPr>
        <w:t> </w:t>
      </w:r>
      <w:r>
        <w:rPr>
          <w:sz w:val="21"/>
        </w:rPr>
        <w:t>in</w:t>
      </w:r>
      <w:r>
        <w:rPr>
          <w:spacing w:val="-6"/>
          <w:sz w:val="21"/>
        </w:rPr>
        <w:t> </w:t>
      </w:r>
      <w:r>
        <w:rPr>
          <w:sz w:val="21"/>
        </w:rPr>
        <w:t>themselves</w:t>
      </w:r>
      <w:r>
        <w:rPr>
          <w:spacing w:val="-6"/>
          <w:sz w:val="21"/>
        </w:rPr>
        <w:t> </w:t>
      </w:r>
      <w:r>
        <w:rPr>
          <w:sz w:val="21"/>
        </w:rPr>
        <w:t>and</w:t>
      </w:r>
      <w:r>
        <w:rPr>
          <w:spacing w:val="-6"/>
          <w:sz w:val="21"/>
        </w:rPr>
        <w:t> </w:t>
      </w:r>
      <w:r>
        <w:rPr>
          <w:sz w:val="21"/>
        </w:rPr>
        <w:t>in</w:t>
      </w:r>
      <w:r>
        <w:rPr>
          <w:spacing w:val="-4"/>
          <w:sz w:val="21"/>
        </w:rPr>
        <w:t> </w:t>
      </w:r>
      <w:r>
        <w:rPr>
          <w:sz w:val="21"/>
        </w:rPr>
        <w:t>one</w:t>
      </w:r>
      <w:r>
        <w:rPr>
          <w:spacing w:val="-6"/>
          <w:sz w:val="21"/>
        </w:rPr>
        <w:t> </w:t>
      </w:r>
      <w:r>
        <w:rPr>
          <w:sz w:val="21"/>
        </w:rPr>
        <w:t>another. The power of youths’ interests, energy, and lived wisdom should never be underestimated. Although the statistics, the news, and the issues in this report may feel overwhelming, we remember that uncounted generations of LGBTQ people have always found ways to survive and thrive. This heritage is a cultural treasure that should be celebrated and drawn upon.</w:t>
      </w:r>
    </w:p>
    <w:p>
      <w:pPr>
        <w:spacing w:line="276" w:lineRule="auto" w:before="240"/>
        <w:ind w:left="463" w:right="240" w:firstLine="0"/>
        <w:jc w:val="both"/>
        <w:rPr>
          <w:sz w:val="21"/>
        </w:rPr>
      </w:pPr>
      <w:r>
        <w:rPr>
          <w:sz w:val="21"/>
        </w:rPr>
        <w:t>LGBTQ youth survive, heal, and thrive when they have supportive people as well as each other. Chosen family and peer support are resources to which LGBTQ people have always turned, and they continue to be effective interventions for mental health. On that note, even though LGBTQ youth face high levels of trauma and fear about</w:t>
      </w:r>
      <w:r>
        <w:rPr>
          <w:spacing w:val="-9"/>
          <w:sz w:val="21"/>
        </w:rPr>
        <w:t> </w:t>
      </w:r>
      <w:r>
        <w:rPr>
          <w:sz w:val="21"/>
        </w:rPr>
        <w:t>the</w:t>
      </w:r>
      <w:r>
        <w:rPr>
          <w:spacing w:val="-9"/>
          <w:sz w:val="21"/>
        </w:rPr>
        <w:t> </w:t>
      </w:r>
      <w:r>
        <w:rPr>
          <w:sz w:val="21"/>
        </w:rPr>
        <w:t>future,</w:t>
      </w:r>
      <w:r>
        <w:rPr>
          <w:spacing w:val="-9"/>
          <w:sz w:val="21"/>
        </w:rPr>
        <w:t> </w:t>
      </w:r>
      <w:r>
        <w:rPr>
          <w:sz w:val="21"/>
        </w:rPr>
        <w:t>a</w:t>
      </w:r>
      <w:r>
        <w:rPr>
          <w:spacing w:val="-9"/>
          <w:sz w:val="21"/>
        </w:rPr>
        <w:t> </w:t>
      </w:r>
      <w:r>
        <w:rPr>
          <w:sz w:val="21"/>
        </w:rPr>
        <w:t>wealth</w:t>
      </w:r>
      <w:r>
        <w:rPr>
          <w:spacing w:val="-9"/>
          <w:sz w:val="21"/>
        </w:rPr>
        <w:t> </w:t>
      </w:r>
      <w:r>
        <w:rPr>
          <w:sz w:val="21"/>
        </w:rPr>
        <w:t>of</w:t>
      </w:r>
      <w:r>
        <w:rPr>
          <w:spacing w:val="-10"/>
          <w:sz w:val="21"/>
        </w:rPr>
        <w:t> </w:t>
      </w:r>
      <w:r>
        <w:rPr>
          <w:sz w:val="21"/>
        </w:rPr>
        <w:t>research</w:t>
      </w:r>
      <w:r>
        <w:rPr>
          <w:spacing w:val="-9"/>
          <w:sz w:val="21"/>
        </w:rPr>
        <w:t> </w:t>
      </w:r>
      <w:r>
        <w:rPr>
          <w:sz w:val="21"/>
        </w:rPr>
        <w:t>shows</w:t>
      </w:r>
      <w:r>
        <w:rPr>
          <w:spacing w:val="-10"/>
          <w:sz w:val="21"/>
        </w:rPr>
        <w:t> </w:t>
      </w:r>
      <w:r>
        <w:rPr>
          <w:sz w:val="21"/>
        </w:rPr>
        <w:t>that</w:t>
      </w:r>
      <w:r>
        <w:rPr>
          <w:spacing w:val="-9"/>
          <w:sz w:val="21"/>
        </w:rPr>
        <w:t> </w:t>
      </w:r>
      <w:r>
        <w:rPr>
          <w:sz w:val="21"/>
        </w:rPr>
        <w:t>factors</w:t>
      </w:r>
      <w:r>
        <w:rPr>
          <w:spacing w:val="-10"/>
          <w:sz w:val="21"/>
        </w:rPr>
        <w:t> </w:t>
      </w:r>
      <w:r>
        <w:rPr>
          <w:sz w:val="21"/>
        </w:rPr>
        <w:t>like</w:t>
      </w:r>
      <w:r>
        <w:rPr>
          <w:spacing w:val="-9"/>
          <w:sz w:val="21"/>
        </w:rPr>
        <w:t> </w:t>
      </w:r>
      <w:r>
        <w:rPr>
          <w:sz w:val="21"/>
        </w:rPr>
        <w:t>family</w:t>
      </w:r>
      <w:r>
        <w:rPr>
          <w:spacing w:val="-9"/>
          <w:sz w:val="21"/>
        </w:rPr>
        <w:t> </w:t>
      </w:r>
      <w:r>
        <w:rPr>
          <w:sz w:val="21"/>
        </w:rPr>
        <w:t>acceptance,</w:t>
      </w:r>
      <w:r>
        <w:rPr>
          <w:spacing w:val="-9"/>
          <w:sz w:val="21"/>
        </w:rPr>
        <w:t> </w:t>
      </w:r>
      <w:r>
        <w:rPr>
          <w:sz w:val="21"/>
        </w:rPr>
        <w:t>peer</w:t>
      </w:r>
      <w:r>
        <w:rPr>
          <w:spacing w:val="-9"/>
          <w:sz w:val="21"/>
        </w:rPr>
        <w:t> </w:t>
      </w:r>
      <w:r>
        <w:rPr>
          <w:sz w:val="21"/>
        </w:rPr>
        <w:t>support,</w:t>
      </w:r>
      <w:r>
        <w:rPr>
          <w:spacing w:val="-9"/>
          <w:sz w:val="21"/>
        </w:rPr>
        <w:t> </w:t>
      </w:r>
      <w:r>
        <w:rPr>
          <w:sz w:val="21"/>
        </w:rPr>
        <w:t>and</w:t>
      </w:r>
      <w:r>
        <w:rPr>
          <w:spacing w:val="-9"/>
          <w:sz w:val="21"/>
        </w:rPr>
        <w:t> </w:t>
      </w:r>
      <w:r>
        <w:rPr>
          <w:sz w:val="21"/>
        </w:rPr>
        <w:t>relationships with supportive school staff can uplift youth mental health</w:t>
      </w:r>
      <w:hyperlink w:history="true" w:anchor="_bookmark190">
        <w:r>
          <w:rPr>
            <w:sz w:val="21"/>
          </w:rPr>
          <w:t>.</w:t>
        </w:r>
        <w:r>
          <w:rPr>
            <w:sz w:val="21"/>
            <w:vertAlign w:val="superscript"/>
          </w:rPr>
          <w:t>95</w:t>
        </w:r>
      </w:hyperlink>
      <w:r>
        <w:rPr>
          <w:sz w:val="21"/>
          <w:vertAlign w:val="baseline"/>
        </w:rPr>
        <w:t> GLSEN found that when youth experienced discrimination or higher levels of in-person victimization, they were nearly twice as likely not to have plans to attend college or trade school</w:t>
      </w:r>
      <w:hyperlink w:history="true" w:anchor="_bookmark191">
        <w:r>
          <w:rPr>
            <w:sz w:val="21"/>
            <w:vertAlign w:val="baseline"/>
          </w:rPr>
          <w:t>.</w:t>
        </w:r>
        <w:r>
          <w:rPr>
            <w:sz w:val="21"/>
            <w:vertAlign w:val="superscript"/>
          </w:rPr>
          <w:t>96</w:t>
        </w:r>
      </w:hyperlink>
      <w:r>
        <w:rPr>
          <w:sz w:val="21"/>
          <w:vertAlign w:val="baseline"/>
        </w:rPr>
        <w:t> On the other hand, in schools with inclusive curricula, protective anti- discrimination policies, and GSAs, students had higher self-esteem, less depressive symptoms, and were more likely to aim to pursue higher education. Supportive people, especially adults, will always be vital members of support networks for LGBTQ youth.</w:t>
      </w:r>
    </w:p>
    <w:p>
      <w:pPr>
        <w:spacing w:line="276" w:lineRule="auto" w:before="241"/>
        <w:ind w:left="463" w:right="241" w:firstLine="0"/>
        <w:jc w:val="both"/>
        <w:rPr>
          <w:sz w:val="21"/>
        </w:rPr>
      </w:pPr>
      <w:r>
        <w:rPr>
          <w:sz w:val="21"/>
        </w:rPr>
        <w:t>The</w:t>
      </w:r>
      <w:r>
        <w:rPr>
          <w:spacing w:val="-5"/>
          <w:sz w:val="21"/>
        </w:rPr>
        <w:t> </w:t>
      </w:r>
      <w:r>
        <w:rPr>
          <w:sz w:val="21"/>
        </w:rPr>
        <w:t>Trevor</w:t>
      </w:r>
      <w:r>
        <w:rPr>
          <w:spacing w:val="-5"/>
          <w:sz w:val="21"/>
        </w:rPr>
        <w:t> </w:t>
      </w:r>
      <w:r>
        <w:rPr>
          <w:sz w:val="21"/>
        </w:rPr>
        <w:t>Project’s</w:t>
      </w:r>
      <w:r>
        <w:rPr>
          <w:spacing w:val="-6"/>
          <w:sz w:val="21"/>
        </w:rPr>
        <w:t> </w:t>
      </w:r>
      <w:r>
        <w:rPr>
          <w:sz w:val="21"/>
        </w:rPr>
        <w:t>2022</w:t>
      </w:r>
      <w:r>
        <w:rPr>
          <w:spacing w:val="-6"/>
          <w:sz w:val="21"/>
        </w:rPr>
        <w:t> </w:t>
      </w:r>
      <w:r>
        <w:rPr>
          <w:sz w:val="21"/>
        </w:rPr>
        <w:t>National</w:t>
      </w:r>
      <w:r>
        <w:rPr>
          <w:spacing w:val="-5"/>
          <w:sz w:val="21"/>
        </w:rPr>
        <w:t> </w:t>
      </w:r>
      <w:r>
        <w:rPr>
          <w:sz w:val="21"/>
        </w:rPr>
        <w:t>Survey</w:t>
      </w:r>
      <w:r>
        <w:rPr>
          <w:spacing w:val="-6"/>
          <w:sz w:val="21"/>
        </w:rPr>
        <w:t> </w:t>
      </w:r>
      <w:r>
        <w:rPr>
          <w:sz w:val="21"/>
        </w:rPr>
        <w:t>concluded</w:t>
      </w:r>
      <w:r>
        <w:rPr>
          <w:spacing w:val="-5"/>
          <w:sz w:val="21"/>
        </w:rPr>
        <w:t> </w:t>
      </w:r>
      <w:r>
        <w:rPr>
          <w:sz w:val="21"/>
        </w:rPr>
        <w:t>with</w:t>
      </w:r>
      <w:r>
        <w:rPr>
          <w:spacing w:val="-5"/>
          <w:sz w:val="21"/>
        </w:rPr>
        <w:t> </w:t>
      </w:r>
      <w:r>
        <w:rPr>
          <w:sz w:val="21"/>
        </w:rPr>
        <w:t>a</w:t>
      </w:r>
      <w:r>
        <w:rPr>
          <w:spacing w:val="-6"/>
          <w:sz w:val="21"/>
        </w:rPr>
        <w:t> </w:t>
      </w:r>
      <w:r>
        <w:rPr>
          <w:sz w:val="21"/>
        </w:rPr>
        <w:t>list</w:t>
      </w:r>
      <w:r>
        <w:rPr>
          <w:spacing w:val="-5"/>
          <w:sz w:val="21"/>
        </w:rPr>
        <w:t> </w:t>
      </w:r>
      <w:r>
        <w:rPr>
          <w:sz w:val="21"/>
        </w:rPr>
        <w:t>of</w:t>
      </w:r>
      <w:r>
        <w:rPr>
          <w:spacing w:val="-6"/>
          <w:sz w:val="21"/>
        </w:rPr>
        <w:t> </w:t>
      </w:r>
      <w:r>
        <w:rPr>
          <w:sz w:val="21"/>
        </w:rPr>
        <w:t>sources</w:t>
      </w:r>
      <w:r>
        <w:rPr>
          <w:spacing w:val="-6"/>
          <w:sz w:val="21"/>
        </w:rPr>
        <w:t> </w:t>
      </w:r>
      <w:r>
        <w:rPr>
          <w:sz w:val="21"/>
        </w:rPr>
        <w:t>of</w:t>
      </w:r>
      <w:r>
        <w:rPr>
          <w:spacing w:val="-6"/>
          <w:sz w:val="21"/>
        </w:rPr>
        <w:t> </w:t>
      </w:r>
      <w:r>
        <w:rPr>
          <w:sz w:val="21"/>
        </w:rPr>
        <w:t>joy</w:t>
      </w:r>
      <w:r>
        <w:rPr>
          <w:spacing w:val="-6"/>
          <w:sz w:val="21"/>
        </w:rPr>
        <w:t> </w:t>
      </w:r>
      <w:r>
        <w:rPr>
          <w:sz w:val="21"/>
        </w:rPr>
        <w:t>for</w:t>
      </w:r>
      <w:r>
        <w:rPr>
          <w:spacing w:val="-5"/>
          <w:sz w:val="21"/>
        </w:rPr>
        <w:t> </w:t>
      </w:r>
      <w:r>
        <w:rPr>
          <w:sz w:val="21"/>
        </w:rPr>
        <w:t>LGBTQ</w:t>
      </w:r>
      <w:r>
        <w:rPr>
          <w:spacing w:val="-5"/>
          <w:sz w:val="21"/>
        </w:rPr>
        <w:t> </w:t>
      </w:r>
      <w:r>
        <w:rPr>
          <w:sz w:val="21"/>
        </w:rPr>
        <w:t>youth,</w:t>
      </w:r>
      <w:r>
        <w:rPr>
          <w:spacing w:val="-7"/>
          <w:sz w:val="21"/>
        </w:rPr>
        <w:t> </w:t>
      </w:r>
      <w:r>
        <w:rPr>
          <w:sz w:val="21"/>
        </w:rPr>
        <w:t>from</w:t>
      </w:r>
      <w:r>
        <w:rPr>
          <w:spacing w:val="-5"/>
          <w:sz w:val="21"/>
        </w:rPr>
        <w:t> </w:t>
      </w:r>
      <w:r>
        <w:rPr>
          <w:sz w:val="21"/>
        </w:rPr>
        <w:t>therapy and medication to laws that protect LGBTQ rights; from all-gender restrooms to hope and excitement for the </w:t>
      </w:r>
      <w:r>
        <w:rPr>
          <w:spacing w:val="-2"/>
          <w:sz w:val="21"/>
        </w:rPr>
        <w:t>future; from music and dance to video games</w:t>
      </w:r>
      <w:r>
        <w:rPr>
          <w:spacing w:val="-4"/>
          <w:sz w:val="21"/>
        </w:rPr>
        <w:t> </w:t>
      </w:r>
      <w:r>
        <w:rPr>
          <w:spacing w:val="-2"/>
          <w:sz w:val="21"/>
        </w:rPr>
        <w:t>and cooking. The personal and political are inextricably intertwined </w:t>
      </w:r>
      <w:r>
        <w:rPr>
          <w:sz w:val="21"/>
        </w:rPr>
        <w:t>in mental health. As long as prejudice is traumatizing, LGBTQ joy is healing – and everyone has a part to play.</w:t>
      </w:r>
    </w:p>
    <w:p>
      <w:pPr>
        <w:spacing w:before="238"/>
        <w:ind w:left="463" w:right="0" w:firstLine="0"/>
        <w:jc w:val="left"/>
        <w:rPr>
          <w:sz w:val="28"/>
        </w:rPr>
      </w:pPr>
      <w:bookmarkStart w:name="Conclusion" w:id="258"/>
      <w:bookmarkEnd w:id="258"/>
      <w:r>
        <w:rPr/>
      </w:r>
      <w:r>
        <w:rPr>
          <w:color w:val="365F91"/>
          <w:spacing w:val="-2"/>
          <w:sz w:val="28"/>
        </w:rPr>
        <w:t>Conclusion</w:t>
      </w:r>
    </w:p>
    <w:p>
      <w:pPr>
        <w:pStyle w:val="BodyText"/>
        <w:spacing w:before="10"/>
        <w:rPr>
          <w:sz w:val="3"/>
        </w:rPr>
      </w:pPr>
      <w:r>
        <w:rPr/>
        <mc:AlternateContent>
          <mc:Choice Requires="wps">
            <w:drawing>
              <wp:anchor distT="0" distB="0" distL="0" distR="0" allowOverlap="1" layoutInCell="1" locked="0" behindDoc="1" simplePos="0" relativeHeight="487626752">
                <wp:simplePos x="0" y="0"/>
                <wp:positionH relativeFrom="page">
                  <wp:posOffset>897636</wp:posOffset>
                </wp:positionH>
                <wp:positionV relativeFrom="paragraph">
                  <wp:posOffset>45409</wp:posOffset>
                </wp:positionV>
                <wp:extent cx="6052820" cy="6350"/>
                <wp:effectExtent l="0" t="0" r="0" b="0"/>
                <wp:wrapTopAndBottom/>
                <wp:docPr id="244" name="Graphic 244"/>
                <wp:cNvGraphicFramePr>
                  <a:graphicFrameLocks/>
                </wp:cNvGraphicFramePr>
                <a:graphic>
                  <a:graphicData uri="http://schemas.microsoft.com/office/word/2010/wordprocessingShape">
                    <wps:wsp>
                      <wps:cNvPr id="244" name="Graphic 244"/>
                      <wps:cNvSpPr/>
                      <wps:spPr>
                        <a:xfrm>
                          <a:off x="0" y="0"/>
                          <a:ext cx="6052820" cy="6350"/>
                        </a:xfrm>
                        <a:custGeom>
                          <a:avLst/>
                          <a:gdLst/>
                          <a:ahLst/>
                          <a:cxnLst/>
                          <a:rect l="l" t="t" r="r" b="b"/>
                          <a:pathLst>
                            <a:path w="6052820" h="6350">
                              <a:moveTo>
                                <a:pt x="6052578" y="0"/>
                              </a:moveTo>
                              <a:lnTo>
                                <a:pt x="0" y="0"/>
                              </a:lnTo>
                              <a:lnTo>
                                <a:pt x="0" y="6096"/>
                              </a:lnTo>
                              <a:lnTo>
                                <a:pt x="6052578" y="6096"/>
                              </a:lnTo>
                              <a:lnTo>
                                <a:pt x="6052578" y="0"/>
                              </a:lnTo>
                              <a:close/>
                            </a:path>
                          </a:pathLst>
                        </a:custGeom>
                        <a:solidFill>
                          <a:srgbClr val="4F81BC"/>
                        </a:solidFill>
                      </wps:spPr>
                      <wps:bodyPr wrap="square" lIns="0" tIns="0" rIns="0" bIns="0" rtlCol="0">
                        <a:prstTxWarp prst="textNoShape">
                          <a:avLst/>
                        </a:prstTxWarp>
                        <a:noAutofit/>
                      </wps:bodyPr>
                    </wps:wsp>
                  </a:graphicData>
                </a:graphic>
              </wp:anchor>
            </w:drawing>
          </mc:Choice>
          <mc:Fallback>
            <w:pict>
              <v:rect style="position:absolute;margin-left:70.680pt;margin-top:3.575586pt;width:476.581pt;height:.48pt;mso-position-horizontal-relative:page;mso-position-vertical-relative:paragraph;z-index:-15689728;mso-wrap-distance-left:0;mso-wrap-distance-right:0" id="docshape194" filled="true" fillcolor="#4f81bc" stroked="false">
                <v:fill type="solid"/>
                <w10:wrap type="topAndBottom"/>
              </v:rect>
            </w:pict>
          </mc:Fallback>
        </mc:AlternateContent>
      </w:r>
    </w:p>
    <w:p>
      <w:pPr>
        <w:spacing w:line="276" w:lineRule="auto" w:before="241"/>
        <w:ind w:left="463" w:right="238" w:firstLine="0"/>
        <w:jc w:val="both"/>
        <w:rPr>
          <w:sz w:val="21"/>
        </w:rPr>
      </w:pPr>
      <w:r>
        <w:rPr>
          <w:sz w:val="21"/>
        </w:rPr>
        <w:t>This report is a clarion call for supporters of LGBTQ youth across Massachusetts to collaborate on trauma- informed, anti-oppressive, and systemic ways to support LGBTQ youth mental health. The majority of youth in the Commonwealth are struggling with depression and anxiety and are unable to receive mental healthcare when they want it. At the same time, we celebrate all youths’ lived wisdom and intersectional strengths in the face of the everyday minority stressors they face, whether at home, in school, or on the TV. From increasing funding</w:t>
      </w:r>
      <w:r>
        <w:rPr>
          <w:spacing w:val="-5"/>
          <w:sz w:val="21"/>
        </w:rPr>
        <w:t> </w:t>
      </w:r>
      <w:r>
        <w:rPr>
          <w:sz w:val="21"/>
        </w:rPr>
        <w:t>for</w:t>
      </w:r>
      <w:r>
        <w:rPr>
          <w:spacing w:val="-4"/>
          <w:sz w:val="21"/>
        </w:rPr>
        <w:t> </w:t>
      </w:r>
      <w:r>
        <w:rPr>
          <w:sz w:val="21"/>
        </w:rPr>
        <w:t>mental</w:t>
      </w:r>
      <w:r>
        <w:rPr>
          <w:spacing w:val="-4"/>
          <w:sz w:val="21"/>
        </w:rPr>
        <w:t> </w:t>
      </w:r>
      <w:r>
        <w:rPr>
          <w:sz w:val="21"/>
        </w:rPr>
        <w:t>health</w:t>
      </w:r>
      <w:r>
        <w:rPr>
          <w:spacing w:val="-5"/>
          <w:sz w:val="21"/>
        </w:rPr>
        <w:t> </w:t>
      </w:r>
      <w:r>
        <w:rPr>
          <w:sz w:val="21"/>
        </w:rPr>
        <w:t>professionals</w:t>
      </w:r>
      <w:r>
        <w:rPr>
          <w:spacing w:val="-5"/>
          <w:sz w:val="21"/>
        </w:rPr>
        <w:t> </w:t>
      </w:r>
      <w:r>
        <w:rPr>
          <w:sz w:val="21"/>
        </w:rPr>
        <w:t>and</w:t>
      </w:r>
      <w:r>
        <w:rPr>
          <w:spacing w:val="-4"/>
          <w:sz w:val="21"/>
        </w:rPr>
        <w:t> </w:t>
      </w:r>
      <w:r>
        <w:rPr>
          <w:sz w:val="21"/>
        </w:rPr>
        <w:t>peer</w:t>
      </w:r>
      <w:r>
        <w:rPr>
          <w:spacing w:val="-4"/>
          <w:sz w:val="21"/>
        </w:rPr>
        <w:t> </w:t>
      </w:r>
      <w:r>
        <w:rPr>
          <w:sz w:val="21"/>
        </w:rPr>
        <w:t>support</w:t>
      </w:r>
      <w:r>
        <w:rPr>
          <w:spacing w:val="-4"/>
          <w:sz w:val="21"/>
        </w:rPr>
        <w:t> </w:t>
      </w:r>
      <w:r>
        <w:rPr>
          <w:sz w:val="21"/>
        </w:rPr>
        <w:t>programs</w:t>
      </w:r>
      <w:r>
        <w:rPr>
          <w:spacing w:val="-5"/>
          <w:sz w:val="21"/>
        </w:rPr>
        <w:t> </w:t>
      </w:r>
      <w:r>
        <w:rPr>
          <w:sz w:val="21"/>
        </w:rPr>
        <w:t>across</w:t>
      </w:r>
      <w:r>
        <w:rPr>
          <w:spacing w:val="-5"/>
          <w:sz w:val="21"/>
        </w:rPr>
        <w:t> </w:t>
      </w:r>
      <w:r>
        <w:rPr>
          <w:sz w:val="21"/>
        </w:rPr>
        <w:t>every</w:t>
      </w:r>
      <w:r>
        <w:rPr>
          <w:spacing w:val="-4"/>
          <w:sz w:val="21"/>
        </w:rPr>
        <w:t> </w:t>
      </w:r>
      <w:r>
        <w:rPr>
          <w:sz w:val="21"/>
        </w:rPr>
        <w:t>setting</w:t>
      </w:r>
      <w:r>
        <w:rPr>
          <w:spacing w:val="-5"/>
          <w:sz w:val="21"/>
        </w:rPr>
        <w:t> </w:t>
      </w:r>
      <w:r>
        <w:rPr>
          <w:sz w:val="21"/>
        </w:rPr>
        <w:t>to</w:t>
      </w:r>
      <w:r>
        <w:rPr>
          <w:spacing w:val="-4"/>
          <w:sz w:val="21"/>
        </w:rPr>
        <w:t> </w:t>
      </w:r>
      <w:r>
        <w:rPr>
          <w:sz w:val="21"/>
        </w:rPr>
        <w:t>reforming</w:t>
      </w:r>
      <w:r>
        <w:rPr>
          <w:spacing w:val="-5"/>
          <w:sz w:val="21"/>
        </w:rPr>
        <w:t> </w:t>
      </w:r>
      <w:r>
        <w:rPr>
          <w:sz w:val="21"/>
        </w:rPr>
        <w:t>structural access to mental healthcare and empowering community members to support one another’s mental health, decision-makers of all kinds have the influence – and the public health mandate – to make life-affirming, life- saving change.</w:t>
      </w:r>
    </w:p>
    <w:p>
      <w:pPr>
        <w:spacing w:after="0" w:line="276" w:lineRule="auto"/>
        <w:jc w:val="both"/>
        <w:rPr>
          <w:sz w:val="21"/>
        </w:rPr>
        <w:sectPr>
          <w:pgSz w:w="12240" w:h="15840"/>
          <w:pgMar w:header="804" w:footer="1390" w:top="1080" w:bottom="1620" w:left="980" w:right="1080"/>
        </w:sectPr>
      </w:pPr>
    </w:p>
    <w:p>
      <w:pPr>
        <w:spacing w:before="68"/>
        <w:ind w:left="463" w:right="0" w:firstLine="0"/>
        <w:jc w:val="left"/>
        <w:rPr>
          <w:sz w:val="28"/>
        </w:rPr>
      </w:pPr>
      <w:bookmarkStart w:name="Acknowledgments &amp; Citations" w:id="259"/>
      <w:bookmarkEnd w:id="259"/>
      <w:r>
        <w:rPr/>
      </w:r>
      <w:r>
        <w:rPr>
          <w:color w:val="365F91"/>
          <w:sz w:val="28"/>
        </w:rPr>
        <w:t>Acknowledgments</w:t>
      </w:r>
      <w:r>
        <w:rPr>
          <w:color w:val="365F91"/>
          <w:spacing w:val="-15"/>
          <w:sz w:val="28"/>
        </w:rPr>
        <w:t> </w:t>
      </w:r>
      <w:r>
        <w:rPr>
          <w:color w:val="365F91"/>
          <w:sz w:val="28"/>
        </w:rPr>
        <w:t>&amp;</w:t>
      </w:r>
      <w:r>
        <w:rPr>
          <w:color w:val="365F91"/>
          <w:spacing w:val="-14"/>
          <w:sz w:val="28"/>
        </w:rPr>
        <w:t> </w:t>
      </w:r>
      <w:r>
        <w:rPr>
          <w:color w:val="365F91"/>
          <w:spacing w:val="-2"/>
          <w:sz w:val="28"/>
        </w:rPr>
        <w:t>Citations</w:t>
      </w:r>
    </w:p>
    <w:p>
      <w:pPr>
        <w:pStyle w:val="BodyText"/>
        <w:spacing w:before="9"/>
        <w:rPr>
          <w:sz w:val="3"/>
        </w:rPr>
      </w:pPr>
      <w:r>
        <w:rPr/>
        <mc:AlternateContent>
          <mc:Choice Requires="wps">
            <w:drawing>
              <wp:anchor distT="0" distB="0" distL="0" distR="0" allowOverlap="1" layoutInCell="1" locked="0" behindDoc="1" simplePos="0" relativeHeight="487627264">
                <wp:simplePos x="0" y="0"/>
                <wp:positionH relativeFrom="page">
                  <wp:posOffset>897636</wp:posOffset>
                </wp:positionH>
                <wp:positionV relativeFrom="paragraph">
                  <wp:posOffset>44578</wp:posOffset>
                </wp:positionV>
                <wp:extent cx="6052820" cy="6350"/>
                <wp:effectExtent l="0" t="0" r="0" b="0"/>
                <wp:wrapTopAndBottom/>
                <wp:docPr id="245" name="Graphic 245"/>
                <wp:cNvGraphicFramePr>
                  <a:graphicFrameLocks/>
                </wp:cNvGraphicFramePr>
                <a:graphic>
                  <a:graphicData uri="http://schemas.microsoft.com/office/word/2010/wordprocessingShape">
                    <wps:wsp>
                      <wps:cNvPr id="245" name="Graphic 245"/>
                      <wps:cNvSpPr/>
                      <wps:spPr>
                        <a:xfrm>
                          <a:off x="0" y="0"/>
                          <a:ext cx="6052820" cy="6350"/>
                        </a:xfrm>
                        <a:custGeom>
                          <a:avLst/>
                          <a:gdLst/>
                          <a:ahLst/>
                          <a:cxnLst/>
                          <a:rect l="l" t="t" r="r" b="b"/>
                          <a:pathLst>
                            <a:path w="6052820" h="6350">
                              <a:moveTo>
                                <a:pt x="6052578" y="0"/>
                              </a:moveTo>
                              <a:lnTo>
                                <a:pt x="0" y="0"/>
                              </a:lnTo>
                              <a:lnTo>
                                <a:pt x="0" y="6096"/>
                              </a:lnTo>
                              <a:lnTo>
                                <a:pt x="6052578" y="6096"/>
                              </a:lnTo>
                              <a:lnTo>
                                <a:pt x="6052578" y="0"/>
                              </a:lnTo>
                              <a:close/>
                            </a:path>
                          </a:pathLst>
                        </a:custGeom>
                        <a:solidFill>
                          <a:srgbClr val="4F81BC"/>
                        </a:solidFill>
                      </wps:spPr>
                      <wps:bodyPr wrap="square" lIns="0" tIns="0" rIns="0" bIns="0" rtlCol="0">
                        <a:prstTxWarp prst="textNoShape">
                          <a:avLst/>
                        </a:prstTxWarp>
                        <a:noAutofit/>
                      </wps:bodyPr>
                    </wps:wsp>
                  </a:graphicData>
                </a:graphic>
              </wp:anchor>
            </w:drawing>
          </mc:Choice>
          <mc:Fallback>
            <w:pict>
              <v:rect style="position:absolute;margin-left:70.680pt;margin-top:3.510156pt;width:476.581pt;height:.48pt;mso-position-horizontal-relative:page;mso-position-vertical-relative:paragraph;z-index:-15689216;mso-wrap-distance-left:0;mso-wrap-distance-right:0" id="docshape195" filled="true" fillcolor="#4f81bc" stroked="false">
                <v:fill type="solid"/>
                <w10:wrap type="topAndBottom"/>
              </v:rect>
            </w:pict>
          </mc:Fallback>
        </mc:AlternateContent>
      </w:r>
    </w:p>
    <w:p>
      <w:pPr>
        <w:spacing w:line="276" w:lineRule="auto" w:before="241"/>
        <w:ind w:left="463" w:right="0" w:firstLine="0"/>
        <w:jc w:val="left"/>
        <w:rPr>
          <w:i/>
          <w:sz w:val="21"/>
        </w:rPr>
      </w:pPr>
      <w:r>
        <w:rPr>
          <w:i/>
          <w:sz w:val="21"/>
        </w:rPr>
        <w:t>Acknowledgments: Max Tang, Social Work Fellow, lead researcher &amp; author (2023); Apollo Correia, secondary</w:t>
      </w:r>
      <w:r>
        <w:rPr>
          <w:i/>
          <w:sz w:val="21"/>
        </w:rPr>
        <w:t> researcher &amp; editor (2024)</w:t>
      </w:r>
    </w:p>
    <w:p>
      <w:pPr>
        <w:spacing w:before="241"/>
        <w:ind w:left="463" w:right="389" w:hanging="1"/>
        <w:jc w:val="both"/>
        <w:rPr>
          <w:sz w:val="18"/>
        </w:rPr>
      </w:pPr>
      <w:bookmarkStart w:name="_bookmark104" w:id="260"/>
      <w:bookmarkEnd w:id="260"/>
      <w:r>
        <w:rPr/>
      </w:r>
      <w:r>
        <w:rPr>
          <w:sz w:val="18"/>
          <w:vertAlign w:val="superscript"/>
        </w:rPr>
        <w:t>1</w:t>
      </w:r>
      <w:r>
        <w:rPr>
          <w:spacing w:val="-11"/>
          <w:sz w:val="18"/>
          <w:vertAlign w:val="baseline"/>
        </w:rPr>
        <w:t> </w:t>
      </w:r>
      <w:r>
        <w:rPr>
          <w:sz w:val="18"/>
          <w:vertAlign w:val="baseline"/>
        </w:rPr>
        <w:t>Turban,</w:t>
      </w:r>
      <w:r>
        <w:rPr>
          <w:spacing w:val="-4"/>
          <w:sz w:val="18"/>
          <w:vertAlign w:val="baseline"/>
        </w:rPr>
        <w:t> </w:t>
      </w:r>
      <w:r>
        <w:rPr>
          <w:sz w:val="18"/>
          <w:vertAlign w:val="baseline"/>
        </w:rPr>
        <w:t>Jack,</w:t>
      </w:r>
      <w:r>
        <w:rPr>
          <w:spacing w:val="-2"/>
          <w:sz w:val="18"/>
          <w:vertAlign w:val="baseline"/>
        </w:rPr>
        <w:t> </w:t>
      </w:r>
      <w:r>
        <w:rPr>
          <w:sz w:val="18"/>
          <w:vertAlign w:val="baseline"/>
        </w:rPr>
        <w:t>Tony</w:t>
      </w:r>
      <w:r>
        <w:rPr>
          <w:spacing w:val="-1"/>
          <w:sz w:val="18"/>
          <w:vertAlign w:val="baseline"/>
        </w:rPr>
        <w:t> </w:t>
      </w:r>
      <w:r>
        <w:rPr>
          <w:sz w:val="18"/>
          <w:vertAlign w:val="baseline"/>
        </w:rPr>
        <w:t>Ferraiolo,</w:t>
      </w:r>
      <w:r>
        <w:rPr>
          <w:spacing w:val="-2"/>
          <w:sz w:val="18"/>
          <w:vertAlign w:val="baseline"/>
        </w:rPr>
        <w:t> </w:t>
      </w:r>
      <w:r>
        <w:rPr>
          <w:sz w:val="18"/>
          <w:vertAlign w:val="baseline"/>
        </w:rPr>
        <w:t>Andrés</w:t>
      </w:r>
      <w:r>
        <w:rPr>
          <w:spacing w:val="-1"/>
          <w:sz w:val="18"/>
          <w:vertAlign w:val="baseline"/>
        </w:rPr>
        <w:t> </w:t>
      </w:r>
      <w:r>
        <w:rPr>
          <w:sz w:val="18"/>
          <w:vertAlign w:val="baseline"/>
        </w:rPr>
        <w:t>Martin,</w:t>
      </w:r>
      <w:r>
        <w:rPr>
          <w:spacing w:val="-2"/>
          <w:sz w:val="18"/>
          <w:vertAlign w:val="baseline"/>
        </w:rPr>
        <w:t> </w:t>
      </w:r>
      <w:r>
        <w:rPr>
          <w:sz w:val="18"/>
          <w:vertAlign w:val="baseline"/>
        </w:rPr>
        <w:t>and</w:t>
      </w:r>
      <w:r>
        <w:rPr>
          <w:spacing w:val="-1"/>
          <w:sz w:val="18"/>
          <w:vertAlign w:val="baseline"/>
        </w:rPr>
        <w:t> </w:t>
      </w:r>
      <w:r>
        <w:rPr>
          <w:sz w:val="18"/>
          <w:vertAlign w:val="baseline"/>
        </w:rPr>
        <w:t>Christy</w:t>
      </w:r>
      <w:r>
        <w:rPr>
          <w:spacing w:val="-1"/>
          <w:sz w:val="18"/>
          <w:vertAlign w:val="baseline"/>
        </w:rPr>
        <w:t> </w:t>
      </w:r>
      <w:r>
        <w:rPr>
          <w:sz w:val="18"/>
          <w:vertAlign w:val="baseline"/>
        </w:rPr>
        <w:t>Olezeski.</w:t>
      </w:r>
      <w:r>
        <w:rPr>
          <w:spacing w:val="-1"/>
          <w:sz w:val="18"/>
          <w:vertAlign w:val="baseline"/>
        </w:rPr>
        <w:t> </w:t>
      </w:r>
      <w:r>
        <w:rPr>
          <w:sz w:val="18"/>
          <w:vertAlign w:val="baseline"/>
        </w:rPr>
        <w:t>“Ten</w:t>
      </w:r>
      <w:r>
        <w:rPr>
          <w:spacing w:val="-1"/>
          <w:sz w:val="18"/>
          <w:vertAlign w:val="baseline"/>
        </w:rPr>
        <w:t> </w:t>
      </w:r>
      <w:r>
        <w:rPr>
          <w:sz w:val="18"/>
          <w:vertAlign w:val="baseline"/>
        </w:rPr>
        <w:t>Things</w:t>
      </w:r>
      <w:r>
        <w:rPr>
          <w:spacing w:val="-1"/>
          <w:sz w:val="18"/>
          <w:vertAlign w:val="baseline"/>
        </w:rPr>
        <w:t> </w:t>
      </w:r>
      <w:r>
        <w:rPr>
          <w:sz w:val="18"/>
          <w:vertAlign w:val="baseline"/>
        </w:rPr>
        <w:t>Transgender</w:t>
      </w:r>
      <w:r>
        <w:rPr>
          <w:spacing w:val="-2"/>
          <w:sz w:val="18"/>
          <w:vertAlign w:val="baseline"/>
        </w:rPr>
        <w:t> </w:t>
      </w:r>
      <w:r>
        <w:rPr>
          <w:sz w:val="18"/>
          <w:vertAlign w:val="baseline"/>
        </w:rPr>
        <w:t>and</w:t>
      </w:r>
      <w:r>
        <w:rPr>
          <w:spacing w:val="-2"/>
          <w:sz w:val="18"/>
          <w:vertAlign w:val="baseline"/>
        </w:rPr>
        <w:t> </w:t>
      </w:r>
      <w:r>
        <w:rPr>
          <w:sz w:val="18"/>
          <w:vertAlign w:val="baseline"/>
        </w:rPr>
        <w:t>Gender</w:t>
      </w:r>
      <w:r>
        <w:rPr>
          <w:spacing w:val="-2"/>
          <w:sz w:val="18"/>
          <w:vertAlign w:val="baseline"/>
        </w:rPr>
        <w:t> </w:t>
      </w:r>
      <w:r>
        <w:rPr>
          <w:sz w:val="18"/>
          <w:vertAlign w:val="baseline"/>
        </w:rPr>
        <w:t>Nonconforming</w:t>
      </w:r>
      <w:r>
        <w:rPr>
          <w:spacing w:val="-1"/>
          <w:sz w:val="18"/>
          <w:vertAlign w:val="baseline"/>
        </w:rPr>
        <w:t> </w:t>
      </w:r>
      <w:r>
        <w:rPr>
          <w:sz w:val="18"/>
          <w:vertAlign w:val="baseline"/>
        </w:rPr>
        <w:t>Youth Want</w:t>
      </w:r>
      <w:r>
        <w:rPr>
          <w:spacing w:val="-3"/>
          <w:sz w:val="18"/>
          <w:vertAlign w:val="baseline"/>
        </w:rPr>
        <w:t> </w:t>
      </w:r>
      <w:r>
        <w:rPr>
          <w:sz w:val="18"/>
          <w:vertAlign w:val="baseline"/>
        </w:rPr>
        <w:t>Their</w:t>
      </w:r>
      <w:r>
        <w:rPr>
          <w:spacing w:val="-3"/>
          <w:sz w:val="18"/>
          <w:vertAlign w:val="baseline"/>
        </w:rPr>
        <w:t> </w:t>
      </w:r>
      <w:r>
        <w:rPr>
          <w:sz w:val="18"/>
          <w:vertAlign w:val="baseline"/>
        </w:rPr>
        <w:t>Doctors</w:t>
      </w:r>
      <w:r>
        <w:rPr>
          <w:spacing w:val="-2"/>
          <w:sz w:val="18"/>
          <w:vertAlign w:val="baseline"/>
        </w:rPr>
        <w:t> </w:t>
      </w:r>
      <w:r>
        <w:rPr>
          <w:sz w:val="18"/>
          <w:vertAlign w:val="baseline"/>
        </w:rPr>
        <w:t>to</w:t>
      </w:r>
      <w:r>
        <w:rPr>
          <w:spacing w:val="-2"/>
          <w:sz w:val="18"/>
          <w:vertAlign w:val="baseline"/>
        </w:rPr>
        <w:t> </w:t>
      </w:r>
      <w:r>
        <w:rPr>
          <w:sz w:val="18"/>
          <w:vertAlign w:val="baseline"/>
        </w:rPr>
        <w:t>Know.”</w:t>
      </w:r>
      <w:r>
        <w:rPr>
          <w:spacing w:val="-2"/>
          <w:sz w:val="18"/>
          <w:vertAlign w:val="baseline"/>
        </w:rPr>
        <w:t> </w:t>
      </w:r>
      <w:r>
        <w:rPr>
          <w:i/>
          <w:sz w:val="18"/>
          <w:vertAlign w:val="baseline"/>
        </w:rPr>
        <w:t>Journal</w:t>
      </w:r>
      <w:r>
        <w:rPr>
          <w:i/>
          <w:spacing w:val="-3"/>
          <w:sz w:val="18"/>
          <w:vertAlign w:val="baseline"/>
        </w:rPr>
        <w:t> </w:t>
      </w:r>
      <w:r>
        <w:rPr>
          <w:i/>
          <w:sz w:val="18"/>
          <w:vertAlign w:val="baseline"/>
        </w:rPr>
        <w:t>of</w:t>
      </w:r>
      <w:r>
        <w:rPr>
          <w:i/>
          <w:spacing w:val="-2"/>
          <w:sz w:val="18"/>
          <w:vertAlign w:val="baseline"/>
        </w:rPr>
        <w:t> </w:t>
      </w:r>
      <w:r>
        <w:rPr>
          <w:i/>
          <w:sz w:val="18"/>
          <w:vertAlign w:val="baseline"/>
        </w:rPr>
        <w:t>the</w:t>
      </w:r>
      <w:r>
        <w:rPr>
          <w:i/>
          <w:spacing w:val="-2"/>
          <w:sz w:val="18"/>
          <w:vertAlign w:val="baseline"/>
        </w:rPr>
        <w:t> </w:t>
      </w:r>
      <w:r>
        <w:rPr>
          <w:i/>
          <w:sz w:val="18"/>
          <w:vertAlign w:val="baseline"/>
        </w:rPr>
        <w:t>American</w:t>
      </w:r>
      <w:r>
        <w:rPr>
          <w:i/>
          <w:spacing w:val="-3"/>
          <w:sz w:val="18"/>
          <w:vertAlign w:val="baseline"/>
        </w:rPr>
        <w:t> </w:t>
      </w:r>
      <w:r>
        <w:rPr>
          <w:i/>
          <w:sz w:val="18"/>
          <w:vertAlign w:val="baseline"/>
        </w:rPr>
        <w:t>Academy</w:t>
      </w:r>
      <w:r>
        <w:rPr>
          <w:i/>
          <w:spacing w:val="-2"/>
          <w:sz w:val="18"/>
          <w:vertAlign w:val="baseline"/>
        </w:rPr>
        <w:t> </w:t>
      </w:r>
      <w:r>
        <w:rPr>
          <w:i/>
          <w:sz w:val="18"/>
          <w:vertAlign w:val="baseline"/>
        </w:rPr>
        <w:t>of</w:t>
      </w:r>
      <w:r>
        <w:rPr>
          <w:i/>
          <w:spacing w:val="-2"/>
          <w:sz w:val="18"/>
          <w:vertAlign w:val="baseline"/>
        </w:rPr>
        <w:t> </w:t>
      </w:r>
      <w:r>
        <w:rPr>
          <w:i/>
          <w:sz w:val="18"/>
          <w:vertAlign w:val="baseline"/>
        </w:rPr>
        <w:t>Child</w:t>
      </w:r>
      <w:r>
        <w:rPr>
          <w:i/>
          <w:spacing w:val="-3"/>
          <w:sz w:val="18"/>
          <w:vertAlign w:val="baseline"/>
        </w:rPr>
        <w:t> </w:t>
      </w:r>
      <w:r>
        <w:rPr>
          <w:i/>
          <w:sz w:val="18"/>
          <w:vertAlign w:val="baseline"/>
        </w:rPr>
        <w:t>&amp;</w:t>
      </w:r>
      <w:r>
        <w:rPr>
          <w:i/>
          <w:spacing w:val="-3"/>
          <w:sz w:val="18"/>
          <w:vertAlign w:val="baseline"/>
        </w:rPr>
        <w:t> </w:t>
      </w:r>
      <w:r>
        <w:rPr>
          <w:i/>
          <w:sz w:val="18"/>
          <w:vertAlign w:val="baseline"/>
        </w:rPr>
        <w:t>Adolescent</w:t>
      </w:r>
      <w:r>
        <w:rPr>
          <w:i/>
          <w:spacing w:val="-3"/>
          <w:sz w:val="18"/>
          <w:vertAlign w:val="baseline"/>
        </w:rPr>
        <w:t> </w:t>
      </w:r>
      <w:r>
        <w:rPr>
          <w:i/>
          <w:sz w:val="18"/>
          <w:vertAlign w:val="baseline"/>
        </w:rPr>
        <w:t>Psychiatry</w:t>
      </w:r>
      <w:r>
        <w:rPr>
          <w:i/>
          <w:spacing w:val="-2"/>
          <w:sz w:val="18"/>
          <w:vertAlign w:val="baseline"/>
        </w:rPr>
        <w:t> </w:t>
      </w:r>
      <w:r>
        <w:rPr>
          <w:sz w:val="18"/>
          <w:vertAlign w:val="baseline"/>
        </w:rPr>
        <w:t>56,</w:t>
      </w:r>
      <w:r>
        <w:rPr>
          <w:spacing w:val="-3"/>
          <w:sz w:val="18"/>
          <w:vertAlign w:val="baseline"/>
        </w:rPr>
        <w:t> </w:t>
      </w:r>
      <w:r>
        <w:rPr>
          <w:sz w:val="18"/>
          <w:vertAlign w:val="baseline"/>
        </w:rPr>
        <w:t>no.</w:t>
      </w:r>
      <w:r>
        <w:rPr>
          <w:spacing w:val="-2"/>
          <w:sz w:val="18"/>
          <w:vertAlign w:val="baseline"/>
        </w:rPr>
        <w:t> </w:t>
      </w:r>
      <w:r>
        <w:rPr>
          <w:sz w:val="18"/>
          <w:vertAlign w:val="baseline"/>
        </w:rPr>
        <w:t>4</w:t>
      </w:r>
      <w:r>
        <w:rPr>
          <w:spacing w:val="-2"/>
          <w:sz w:val="18"/>
          <w:vertAlign w:val="baseline"/>
        </w:rPr>
        <w:t> </w:t>
      </w:r>
      <w:r>
        <w:rPr>
          <w:sz w:val="18"/>
          <w:vertAlign w:val="baseline"/>
        </w:rPr>
        <w:t>(April</w:t>
      </w:r>
      <w:r>
        <w:rPr>
          <w:spacing w:val="-3"/>
          <w:sz w:val="18"/>
          <w:vertAlign w:val="baseline"/>
        </w:rPr>
        <w:t> </w:t>
      </w:r>
      <w:r>
        <w:rPr>
          <w:sz w:val="18"/>
          <w:vertAlign w:val="baseline"/>
        </w:rPr>
        <w:t>2017):</w:t>
      </w:r>
      <w:r>
        <w:rPr>
          <w:spacing w:val="-2"/>
          <w:sz w:val="18"/>
          <w:vertAlign w:val="baseline"/>
        </w:rPr>
        <w:t> </w:t>
      </w:r>
      <w:r>
        <w:rPr>
          <w:sz w:val="18"/>
          <w:vertAlign w:val="baseline"/>
        </w:rPr>
        <w:t>275–77. </w:t>
      </w:r>
      <w:bookmarkStart w:name="_bookmark105" w:id="261"/>
      <w:bookmarkEnd w:id="261"/>
      <w:r>
        <w:rPr>
          <w:spacing w:val="-1"/>
          <w:sz w:val="18"/>
          <w:vertAlign w:val="baseline"/>
        </w:rPr>
      </w:r>
      <w:hyperlink r:id="rId192">
        <w:r>
          <w:rPr>
            <w:color w:val="1153CC"/>
            <w:spacing w:val="-2"/>
            <w:sz w:val="18"/>
            <w:u w:val="single" w:color="1153CC"/>
            <w:vertAlign w:val="baseline"/>
          </w:rPr>
          <w:t>https://doi.org/10.1016/j.jaac.2016.12.015</w:t>
        </w:r>
      </w:hyperlink>
      <w:hyperlink r:id="rId192">
        <w:r>
          <w:rPr>
            <w:spacing w:val="-2"/>
            <w:sz w:val="18"/>
            <w:u w:val="none"/>
            <w:vertAlign w:val="baseline"/>
          </w:rPr>
          <w:t>.</w:t>
        </w:r>
      </w:hyperlink>
    </w:p>
    <w:p>
      <w:pPr>
        <w:spacing w:before="0"/>
        <w:ind w:left="463" w:right="0" w:firstLine="0"/>
        <w:jc w:val="left"/>
        <w:rPr>
          <w:sz w:val="18"/>
        </w:rPr>
      </w:pPr>
      <w:r>
        <w:rPr>
          <w:sz w:val="18"/>
          <w:vertAlign w:val="superscript"/>
        </w:rPr>
        <w:t>2</w:t>
      </w:r>
      <w:r>
        <w:rPr>
          <w:spacing w:val="-13"/>
          <w:sz w:val="18"/>
          <w:vertAlign w:val="baseline"/>
        </w:rPr>
        <w:t> </w:t>
      </w:r>
      <w:r>
        <w:rPr>
          <w:sz w:val="18"/>
          <w:vertAlign w:val="baseline"/>
        </w:rPr>
        <w:t>The</w:t>
      </w:r>
      <w:r>
        <w:rPr>
          <w:spacing w:val="-5"/>
          <w:sz w:val="18"/>
          <w:vertAlign w:val="baseline"/>
        </w:rPr>
        <w:t> </w:t>
      </w:r>
      <w:r>
        <w:rPr>
          <w:sz w:val="18"/>
          <w:vertAlign w:val="baseline"/>
        </w:rPr>
        <w:t>Trevor</w:t>
      </w:r>
      <w:r>
        <w:rPr>
          <w:spacing w:val="-4"/>
          <w:sz w:val="18"/>
          <w:vertAlign w:val="baseline"/>
        </w:rPr>
        <w:t> </w:t>
      </w:r>
      <w:r>
        <w:rPr>
          <w:sz w:val="18"/>
          <w:vertAlign w:val="baseline"/>
        </w:rPr>
        <w:t>Project,</w:t>
      </w:r>
      <w:r>
        <w:rPr>
          <w:spacing w:val="-4"/>
          <w:sz w:val="18"/>
          <w:vertAlign w:val="baseline"/>
        </w:rPr>
        <w:t> </w:t>
      </w:r>
      <w:r>
        <w:rPr>
          <w:sz w:val="18"/>
          <w:vertAlign w:val="baseline"/>
        </w:rPr>
        <w:t>“2022</w:t>
      </w:r>
      <w:r>
        <w:rPr>
          <w:spacing w:val="-3"/>
          <w:sz w:val="18"/>
          <w:vertAlign w:val="baseline"/>
        </w:rPr>
        <w:t> </w:t>
      </w:r>
      <w:r>
        <w:rPr>
          <w:sz w:val="18"/>
          <w:vertAlign w:val="baseline"/>
        </w:rPr>
        <w:t>National</w:t>
      </w:r>
      <w:r>
        <w:rPr>
          <w:spacing w:val="-4"/>
          <w:sz w:val="18"/>
          <w:vertAlign w:val="baseline"/>
        </w:rPr>
        <w:t> </w:t>
      </w:r>
      <w:r>
        <w:rPr>
          <w:sz w:val="18"/>
          <w:vertAlign w:val="baseline"/>
        </w:rPr>
        <w:t>Survey</w:t>
      </w:r>
      <w:r>
        <w:rPr>
          <w:spacing w:val="-3"/>
          <w:sz w:val="18"/>
          <w:vertAlign w:val="baseline"/>
        </w:rPr>
        <w:t> </w:t>
      </w:r>
      <w:r>
        <w:rPr>
          <w:sz w:val="18"/>
          <w:vertAlign w:val="baseline"/>
        </w:rPr>
        <w:t>on</w:t>
      </w:r>
      <w:r>
        <w:rPr>
          <w:spacing w:val="-3"/>
          <w:sz w:val="18"/>
          <w:vertAlign w:val="baseline"/>
        </w:rPr>
        <w:t> </w:t>
      </w:r>
      <w:r>
        <w:rPr>
          <w:sz w:val="18"/>
          <w:vertAlign w:val="baseline"/>
        </w:rPr>
        <w:t>LGBTQ</w:t>
      </w:r>
      <w:r>
        <w:rPr>
          <w:spacing w:val="-3"/>
          <w:sz w:val="18"/>
          <w:vertAlign w:val="baseline"/>
        </w:rPr>
        <w:t> </w:t>
      </w:r>
      <w:r>
        <w:rPr>
          <w:sz w:val="18"/>
          <w:vertAlign w:val="baseline"/>
        </w:rPr>
        <w:t>Youth</w:t>
      </w:r>
      <w:r>
        <w:rPr>
          <w:spacing w:val="-3"/>
          <w:sz w:val="18"/>
          <w:vertAlign w:val="baseline"/>
        </w:rPr>
        <w:t> </w:t>
      </w:r>
      <w:r>
        <w:rPr>
          <w:sz w:val="18"/>
          <w:vertAlign w:val="baseline"/>
        </w:rPr>
        <w:t>Mental</w:t>
      </w:r>
      <w:r>
        <w:rPr>
          <w:spacing w:val="-4"/>
          <w:sz w:val="18"/>
          <w:vertAlign w:val="baseline"/>
        </w:rPr>
        <w:t> </w:t>
      </w:r>
      <w:r>
        <w:rPr>
          <w:sz w:val="18"/>
          <w:vertAlign w:val="baseline"/>
        </w:rPr>
        <w:t>Health,”</w:t>
      </w:r>
      <w:r>
        <w:rPr>
          <w:spacing w:val="-3"/>
          <w:sz w:val="18"/>
          <w:vertAlign w:val="baseline"/>
        </w:rPr>
        <w:t> </w:t>
      </w:r>
      <w:r>
        <w:rPr>
          <w:sz w:val="18"/>
          <w:vertAlign w:val="baseline"/>
        </w:rPr>
        <w:t>2022,</w:t>
      </w:r>
      <w:r>
        <w:rPr>
          <w:spacing w:val="-3"/>
          <w:sz w:val="18"/>
          <w:vertAlign w:val="baseline"/>
        </w:rPr>
        <w:t> </w:t>
      </w:r>
      <w:hyperlink r:id="rId193">
        <w:r>
          <w:rPr>
            <w:color w:val="1153CC"/>
            <w:sz w:val="18"/>
            <w:u w:val="single" w:color="1153CC"/>
            <w:vertAlign w:val="baseline"/>
          </w:rPr>
          <w:t>https://www.thetrevorproject.org/survey-</w:t>
        </w:r>
      </w:hyperlink>
      <w:r>
        <w:rPr>
          <w:color w:val="1153CC"/>
          <w:sz w:val="18"/>
          <w:u w:val="none"/>
          <w:vertAlign w:val="baseline"/>
        </w:rPr>
        <w:t> </w:t>
      </w:r>
      <w:hyperlink r:id="rId193">
        <w:r>
          <w:rPr>
            <w:color w:val="1153CC"/>
            <w:spacing w:val="-2"/>
            <w:sz w:val="18"/>
            <w:u w:val="single" w:color="1153CC"/>
            <w:vertAlign w:val="baseline"/>
          </w:rPr>
          <w:t>2022/assets/static/trevor01_2022survey_final.pdf</w:t>
        </w:r>
      </w:hyperlink>
      <w:hyperlink r:id="rId193">
        <w:r>
          <w:rPr>
            <w:spacing w:val="-2"/>
            <w:sz w:val="18"/>
            <w:u w:val="none"/>
            <w:vertAlign w:val="baseline"/>
          </w:rPr>
          <w:t>.</w:t>
        </w:r>
      </w:hyperlink>
    </w:p>
    <w:p>
      <w:pPr>
        <w:spacing w:before="0"/>
        <w:ind w:left="463" w:right="528" w:firstLine="0"/>
        <w:jc w:val="left"/>
        <w:rPr>
          <w:sz w:val="18"/>
        </w:rPr>
      </w:pPr>
      <w:bookmarkStart w:name="_bookmark106" w:id="262"/>
      <w:bookmarkEnd w:id="262"/>
      <w:r>
        <w:rPr/>
      </w:r>
      <w:r>
        <w:rPr>
          <w:sz w:val="18"/>
          <w:vertAlign w:val="superscript"/>
        </w:rPr>
        <w:t>3</w:t>
      </w:r>
      <w:r>
        <w:rPr>
          <w:spacing w:val="-7"/>
          <w:sz w:val="18"/>
          <w:vertAlign w:val="baseline"/>
        </w:rPr>
        <w:t> </w:t>
      </w:r>
      <w:r>
        <w:rPr>
          <w:sz w:val="18"/>
          <w:vertAlign w:val="baseline"/>
        </w:rPr>
        <w:t>The Trevor Project, “2022 National Survey on LGBTQ Youth Mental Health: Massachusetts,” 2022, </w:t>
      </w:r>
      <w:hyperlink r:id="rId194">
        <w:r>
          <w:rPr>
            <w:color w:val="1153CC"/>
            <w:spacing w:val="-2"/>
            <w:sz w:val="18"/>
            <w:u w:val="single" w:color="1153CC"/>
            <w:vertAlign w:val="baseline"/>
          </w:rPr>
          <w:t>https://www.thetrevorproject.org/wp-content/uploads/2022/12/The-Trevor-Project-2022-National-Survey-on-LGBTQ-Youth-</w:t>
        </w:r>
      </w:hyperlink>
      <w:r>
        <w:rPr>
          <w:color w:val="1153CC"/>
          <w:sz w:val="18"/>
          <w:u w:val="none"/>
          <w:vertAlign w:val="baseline"/>
        </w:rPr>
        <w:t> </w:t>
      </w:r>
      <w:hyperlink r:id="rId194">
        <w:r>
          <w:rPr>
            <w:color w:val="1153CC"/>
            <w:spacing w:val="-2"/>
            <w:sz w:val="18"/>
            <w:u w:val="single" w:color="1153CC"/>
            <w:vertAlign w:val="baseline"/>
          </w:rPr>
          <w:t>Mental-Health-by-State-Massachusetts.pd</w:t>
        </w:r>
      </w:hyperlink>
      <w:hyperlink r:id="rId194">
        <w:r>
          <w:rPr>
            <w:color w:val="1153CC"/>
            <w:spacing w:val="-2"/>
            <w:sz w:val="18"/>
            <w:u w:val="single" w:color="1153CC"/>
            <w:vertAlign w:val="baseline"/>
          </w:rPr>
          <w:t>f</w:t>
        </w:r>
        <w:r>
          <w:rPr>
            <w:spacing w:val="-2"/>
            <w:sz w:val="18"/>
            <w:u w:val="none"/>
            <w:vertAlign w:val="baseline"/>
          </w:rPr>
          <w:t>.</w:t>
        </w:r>
      </w:hyperlink>
    </w:p>
    <w:p>
      <w:pPr>
        <w:spacing w:before="0"/>
        <w:ind w:left="463" w:right="528" w:firstLine="0"/>
        <w:jc w:val="left"/>
        <w:rPr>
          <w:sz w:val="18"/>
        </w:rPr>
      </w:pPr>
      <w:bookmarkStart w:name="_bookmark107" w:id="263"/>
      <w:bookmarkEnd w:id="263"/>
      <w:r>
        <w:rPr/>
      </w:r>
      <w:r>
        <w:rPr>
          <w:sz w:val="18"/>
          <w:vertAlign w:val="superscript"/>
        </w:rPr>
        <w:t>4</w:t>
      </w:r>
      <w:r>
        <w:rPr>
          <w:spacing w:val="-7"/>
          <w:sz w:val="18"/>
          <w:vertAlign w:val="baseline"/>
        </w:rPr>
        <w:t> </w:t>
      </w:r>
      <w:r>
        <w:rPr>
          <w:sz w:val="18"/>
          <w:vertAlign w:val="baseline"/>
        </w:rPr>
        <w:t>The Trevor Project, “2022 National Survey on LGBTQ Youth Mental Health: Massachusetts,” 2022, </w:t>
      </w:r>
      <w:hyperlink r:id="rId194">
        <w:r>
          <w:rPr>
            <w:color w:val="1153CC"/>
            <w:spacing w:val="-2"/>
            <w:sz w:val="18"/>
            <w:u w:val="single" w:color="1153CC"/>
            <w:vertAlign w:val="baseline"/>
          </w:rPr>
          <w:t>https://www.thetrevorproject.org/wp-content/uploads/2022/12/The-Trevor-Project-2022-National-Survey-on-LGBTQ-Youth-</w:t>
        </w:r>
      </w:hyperlink>
      <w:r>
        <w:rPr>
          <w:color w:val="1153CC"/>
          <w:sz w:val="18"/>
          <w:u w:val="none"/>
          <w:vertAlign w:val="baseline"/>
        </w:rPr>
        <w:t> </w:t>
      </w:r>
      <w:hyperlink r:id="rId194">
        <w:r>
          <w:rPr>
            <w:color w:val="1153CC"/>
            <w:spacing w:val="-2"/>
            <w:sz w:val="18"/>
            <w:u w:val="single" w:color="1153CC"/>
            <w:vertAlign w:val="baseline"/>
          </w:rPr>
          <w:t>Mental-Health-by-State-Massachusetts.pd</w:t>
        </w:r>
      </w:hyperlink>
      <w:hyperlink r:id="rId194">
        <w:r>
          <w:rPr>
            <w:color w:val="1153CC"/>
            <w:spacing w:val="-2"/>
            <w:sz w:val="18"/>
            <w:u w:val="single" w:color="1153CC"/>
            <w:vertAlign w:val="baseline"/>
          </w:rPr>
          <w:t>f</w:t>
        </w:r>
        <w:r>
          <w:rPr>
            <w:spacing w:val="-2"/>
            <w:sz w:val="18"/>
            <w:u w:val="none"/>
            <w:vertAlign w:val="baseline"/>
          </w:rPr>
          <w:t>.</w:t>
        </w:r>
      </w:hyperlink>
    </w:p>
    <w:p>
      <w:pPr>
        <w:spacing w:before="0"/>
        <w:ind w:left="463" w:right="314" w:firstLine="0"/>
        <w:jc w:val="left"/>
        <w:rPr>
          <w:sz w:val="18"/>
        </w:rPr>
      </w:pPr>
      <w:bookmarkStart w:name="_bookmark108" w:id="264"/>
      <w:bookmarkEnd w:id="264"/>
      <w:r>
        <w:rPr/>
      </w:r>
      <w:r>
        <w:rPr>
          <w:sz w:val="18"/>
          <w:vertAlign w:val="superscript"/>
        </w:rPr>
        <w:t>5</w:t>
      </w:r>
      <w:r>
        <w:rPr>
          <w:spacing w:val="-13"/>
          <w:sz w:val="18"/>
          <w:vertAlign w:val="baseline"/>
        </w:rPr>
        <w:t> </w:t>
      </w:r>
      <w:r>
        <w:rPr>
          <w:sz w:val="18"/>
          <w:vertAlign w:val="baseline"/>
        </w:rPr>
        <w:t>The</w:t>
      </w:r>
      <w:r>
        <w:rPr>
          <w:spacing w:val="-4"/>
          <w:sz w:val="18"/>
          <w:vertAlign w:val="baseline"/>
        </w:rPr>
        <w:t> </w:t>
      </w:r>
      <w:r>
        <w:rPr>
          <w:sz w:val="18"/>
          <w:vertAlign w:val="baseline"/>
        </w:rPr>
        <w:t>Trevor</w:t>
      </w:r>
      <w:r>
        <w:rPr>
          <w:spacing w:val="-4"/>
          <w:sz w:val="18"/>
          <w:vertAlign w:val="baseline"/>
        </w:rPr>
        <w:t> </w:t>
      </w:r>
      <w:r>
        <w:rPr>
          <w:sz w:val="18"/>
          <w:vertAlign w:val="baseline"/>
        </w:rPr>
        <w:t>Project,</w:t>
      </w:r>
      <w:r>
        <w:rPr>
          <w:spacing w:val="-4"/>
          <w:sz w:val="18"/>
          <w:vertAlign w:val="baseline"/>
        </w:rPr>
        <w:t> </w:t>
      </w:r>
      <w:r>
        <w:rPr>
          <w:sz w:val="18"/>
          <w:vertAlign w:val="baseline"/>
        </w:rPr>
        <w:t>“Trauma</w:t>
      </w:r>
      <w:r>
        <w:rPr>
          <w:spacing w:val="-3"/>
          <w:sz w:val="18"/>
          <w:vertAlign w:val="baseline"/>
        </w:rPr>
        <w:t> </w:t>
      </w:r>
      <w:r>
        <w:rPr>
          <w:sz w:val="18"/>
          <w:vertAlign w:val="baseline"/>
        </w:rPr>
        <w:t>and</w:t>
      </w:r>
      <w:r>
        <w:rPr>
          <w:spacing w:val="-3"/>
          <w:sz w:val="18"/>
          <w:vertAlign w:val="baseline"/>
        </w:rPr>
        <w:t> </w:t>
      </w:r>
      <w:r>
        <w:rPr>
          <w:sz w:val="18"/>
          <w:vertAlign w:val="baseline"/>
        </w:rPr>
        <w:t>Suicide</w:t>
      </w:r>
      <w:r>
        <w:rPr>
          <w:spacing w:val="-3"/>
          <w:sz w:val="18"/>
          <w:vertAlign w:val="baseline"/>
        </w:rPr>
        <w:t> </w:t>
      </w:r>
      <w:r>
        <w:rPr>
          <w:sz w:val="18"/>
          <w:vertAlign w:val="baseline"/>
        </w:rPr>
        <w:t>Risk</w:t>
      </w:r>
      <w:r>
        <w:rPr>
          <w:spacing w:val="-4"/>
          <w:sz w:val="18"/>
          <w:vertAlign w:val="baseline"/>
        </w:rPr>
        <w:t> </w:t>
      </w:r>
      <w:r>
        <w:rPr>
          <w:sz w:val="18"/>
          <w:vertAlign w:val="baseline"/>
        </w:rPr>
        <w:t>Among</w:t>
      </w:r>
      <w:r>
        <w:rPr>
          <w:spacing w:val="-3"/>
          <w:sz w:val="18"/>
          <w:vertAlign w:val="baseline"/>
        </w:rPr>
        <w:t> </w:t>
      </w:r>
      <w:r>
        <w:rPr>
          <w:sz w:val="18"/>
          <w:vertAlign w:val="baseline"/>
        </w:rPr>
        <w:t>LGBTQ</w:t>
      </w:r>
      <w:r>
        <w:rPr>
          <w:spacing w:val="-4"/>
          <w:sz w:val="18"/>
          <w:vertAlign w:val="baseline"/>
        </w:rPr>
        <w:t> </w:t>
      </w:r>
      <w:r>
        <w:rPr>
          <w:sz w:val="18"/>
          <w:vertAlign w:val="baseline"/>
        </w:rPr>
        <w:t>Youth,”</w:t>
      </w:r>
      <w:r>
        <w:rPr>
          <w:spacing w:val="-3"/>
          <w:sz w:val="18"/>
          <w:vertAlign w:val="baseline"/>
        </w:rPr>
        <w:t> </w:t>
      </w:r>
      <w:r>
        <w:rPr>
          <w:sz w:val="18"/>
          <w:vertAlign w:val="baseline"/>
        </w:rPr>
        <w:t>July</w:t>
      </w:r>
      <w:r>
        <w:rPr>
          <w:spacing w:val="-3"/>
          <w:sz w:val="18"/>
          <w:vertAlign w:val="baseline"/>
        </w:rPr>
        <w:t> </w:t>
      </w:r>
      <w:r>
        <w:rPr>
          <w:sz w:val="18"/>
          <w:vertAlign w:val="baseline"/>
        </w:rPr>
        <w:t>28,</w:t>
      </w:r>
      <w:r>
        <w:rPr>
          <w:spacing w:val="-4"/>
          <w:sz w:val="18"/>
          <w:vertAlign w:val="baseline"/>
        </w:rPr>
        <w:t> </w:t>
      </w:r>
      <w:r>
        <w:rPr>
          <w:sz w:val="18"/>
          <w:vertAlign w:val="baseline"/>
        </w:rPr>
        <w:t>2022,</w:t>
      </w:r>
      <w:r>
        <w:rPr>
          <w:spacing w:val="-4"/>
          <w:sz w:val="18"/>
          <w:vertAlign w:val="baseline"/>
        </w:rPr>
        <w:t> </w:t>
      </w:r>
      <w:hyperlink r:id="rId195">
        <w:r>
          <w:rPr>
            <w:color w:val="1153CC"/>
            <w:sz w:val="18"/>
            <w:u w:val="single" w:color="1153CC"/>
            <w:vertAlign w:val="baseline"/>
          </w:rPr>
          <w:t>https://www.thetrevorproject.org/research-</w:t>
        </w:r>
      </w:hyperlink>
      <w:r>
        <w:rPr>
          <w:color w:val="1153CC"/>
          <w:sz w:val="18"/>
          <w:u w:val="none"/>
          <w:vertAlign w:val="baseline"/>
        </w:rPr>
        <w:t> </w:t>
      </w:r>
      <w:hyperlink r:id="rId195">
        <w:r>
          <w:rPr>
            <w:color w:val="1153CC"/>
            <w:spacing w:val="-2"/>
            <w:sz w:val="18"/>
            <w:u w:val="single" w:color="1153CC"/>
            <w:vertAlign w:val="baseline"/>
          </w:rPr>
          <w:t>briefs/trauma-and-suicide-risk-among-lgbtq-youth-july-2022/</w:t>
        </w:r>
      </w:hyperlink>
      <w:hyperlink r:id="rId195">
        <w:r>
          <w:rPr>
            <w:spacing w:val="-2"/>
            <w:sz w:val="18"/>
            <w:u w:val="none"/>
            <w:vertAlign w:val="baseline"/>
          </w:rPr>
          <w:t>.</w:t>
        </w:r>
      </w:hyperlink>
    </w:p>
    <w:p>
      <w:pPr>
        <w:spacing w:before="0"/>
        <w:ind w:left="463" w:right="290" w:firstLine="0"/>
        <w:jc w:val="left"/>
        <w:rPr>
          <w:sz w:val="18"/>
        </w:rPr>
      </w:pPr>
      <w:bookmarkStart w:name="_bookmark109" w:id="265"/>
      <w:bookmarkEnd w:id="265"/>
      <w:r>
        <w:rPr/>
      </w:r>
      <w:r>
        <w:rPr>
          <w:sz w:val="18"/>
          <w:vertAlign w:val="superscript"/>
        </w:rPr>
        <w:t>6</w:t>
      </w:r>
      <w:r>
        <w:rPr>
          <w:spacing w:val="-13"/>
          <w:sz w:val="18"/>
          <w:vertAlign w:val="baseline"/>
        </w:rPr>
        <w:t> </w:t>
      </w:r>
      <w:r>
        <w:rPr>
          <w:sz w:val="18"/>
          <w:vertAlign w:val="baseline"/>
        </w:rPr>
        <w:t>US</w:t>
      </w:r>
      <w:r>
        <w:rPr>
          <w:spacing w:val="-3"/>
          <w:sz w:val="18"/>
          <w:vertAlign w:val="baseline"/>
        </w:rPr>
        <w:t> </w:t>
      </w:r>
      <w:r>
        <w:rPr>
          <w:sz w:val="18"/>
          <w:vertAlign w:val="baseline"/>
        </w:rPr>
        <w:t>Census</w:t>
      </w:r>
      <w:r>
        <w:rPr>
          <w:spacing w:val="-3"/>
          <w:sz w:val="18"/>
          <w:vertAlign w:val="baseline"/>
        </w:rPr>
        <w:t> </w:t>
      </w:r>
      <w:r>
        <w:rPr>
          <w:sz w:val="18"/>
          <w:vertAlign w:val="baseline"/>
        </w:rPr>
        <w:t>Bureau.</w:t>
      </w:r>
      <w:r>
        <w:rPr>
          <w:spacing w:val="-2"/>
          <w:sz w:val="18"/>
          <w:vertAlign w:val="baseline"/>
        </w:rPr>
        <w:t> </w:t>
      </w:r>
      <w:r>
        <w:rPr>
          <w:sz w:val="18"/>
          <w:vertAlign w:val="baseline"/>
        </w:rPr>
        <w:t>“Mental</w:t>
      </w:r>
      <w:r>
        <w:rPr>
          <w:spacing w:val="-3"/>
          <w:sz w:val="18"/>
          <w:vertAlign w:val="baseline"/>
        </w:rPr>
        <w:t> </w:t>
      </w:r>
      <w:r>
        <w:rPr>
          <w:sz w:val="18"/>
          <w:vertAlign w:val="baseline"/>
        </w:rPr>
        <w:t>Health</w:t>
      </w:r>
      <w:r>
        <w:rPr>
          <w:spacing w:val="-2"/>
          <w:sz w:val="18"/>
          <w:vertAlign w:val="baseline"/>
        </w:rPr>
        <w:t> </w:t>
      </w:r>
      <w:r>
        <w:rPr>
          <w:sz w:val="18"/>
          <w:vertAlign w:val="baseline"/>
        </w:rPr>
        <w:t>Struggles</w:t>
      </w:r>
      <w:r>
        <w:rPr>
          <w:spacing w:val="-2"/>
          <w:sz w:val="18"/>
          <w:vertAlign w:val="baseline"/>
        </w:rPr>
        <w:t> </w:t>
      </w:r>
      <w:r>
        <w:rPr>
          <w:sz w:val="18"/>
          <w:vertAlign w:val="baseline"/>
        </w:rPr>
        <w:t>Higher</w:t>
      </w:r>
      <w:r>
        <w:rPr>
          <w:spacing w:val="-3"/>
          <w:sz w:val="18"/>
          <w:vertAlign w:val="baseline"/>
        </w:rPr>
        <w:t> </w:t>
      </w:r>
      <w:r>
        <w:rPr>
          <w:sz w:val="18"/>
          <w:vertAlign w:val="baseline"/>
        </w:rPr>
        <w:t>Among</w:t>
      </w:r>
      <w:r>
        <w:rPr>
          <w:spacing w:val="-2"/>
          <w:sz w:val="18"/>
          <w:vertAlign w:val="baseline"/>
        </w:rPr>
        <w:t> </w:t>
      </w:r>
      <w:r>
        <w:rPr>
          <w:sz w:val="18"/>
          <w:vertAlign w:val="baseline"/>
        </w:rPr>
        <w:t>LGBT</w:t>
      </w:r>
      <w:r>
        <w:rPr>
          <w:spacing w:val="-4"/>
          <w:sz w:val="18"/>
          <w:vertAlign w:val="baseline"/>
        </w:rPr>
        <w:t> </w:t>
      </w:r>
      <w:r>
        <w:rPr>
          <w:sz w:val="18"/>
          <w:vertAlign w:val="baseline"/>
        </w:rPr>
        <w:t>Adults</w:t>
      </w:r>
      <w:r>
        <w:rPr>
          <w:spacing w:val="-2"/>
          <w:sz w:val="18"/>
          <w:vertAlign w:val="baseline"/>
        </w:rPr>
        <w:t> </w:t>
      </w:r>
      <w:r>
        <w:rPr>
          <w:sz w:val="18"/>
          <w:vertAlign w:val="baseline"/>
        </w:rPr>
        <w:t>Than</w:t>
      </w:r>
      <w:r>
        <w:rPr>
          <w:spacing w:val="-2"/>
          <w:sz w:val="18"/>
          <w:vertAlign w:val="baseline"/>
        </w:rPr>
        <w:t> </w:t>
      </w:r>
      <w:r>
        <w:rPr>
          <w:sz w:val="18"/>
          <w:vertAlign w:val="baseline"/>
        </w:rPr>
        <w:t>Non-LGBT</w:t>
      </w:r>
      <w:r>
        <w:rPr>
          <w:spacing w:val="-2"/>
          <w:sz w:val="18"/>
          <w:vertAlign w:val="baseline"/>
        </w:rPr>
        <w:t> </w:t>
      </w:r>
      <w:r>
        <w:rPr>
          <w:sz w:val="18"/>
          <w:vertAlign w:val="baseline"/>
        </w:rPr>
        <w:t>Adults</w:t>
      </w:r>
      <w:r>
        <w:rPr>
          <w:spacing w:val="-2"/>
          <w:sz w:val="18"/>
          <w:vertAlign w:val="baseline"/>
        </w:rPr>
        <w:t> </w:t>
      </w:r>
      <w:r>
        <w:rPr>
          <w:sz w:val="18"/>
          <w:vertAlign w:val="baseline"/>
        </w:rPr>
        <w:t>in</w:t>
      </w:r>
      <w:r>
        <w:rPr>
          <w:spacing w:val="-2"/>
          <w:sz w:val="18"/>
          <w:vertAlign w:val="baseline"/>
        </w:rPr>
        <w:t> </w:t>
      </w:r>
      <w:r>
        <w:rPr>
          <w:sz w:val="18"/>
          <w:vertAlign w:val="baseline"/>
        </w:rPr>
        <w:t>All</w:t>
      </w:r>
      <w:r>
        <w:rPr>
          <w:spacing w:val="-3"/>
          <w:sz w:val="18"/>
          <w:vertAlign w:val="baseline"/>
        </w:rPr>
        <w:t> </w:t>
      </w:r>
      <w:r>
        <w:rPr>
          <w:sz w:val="18"/>
          <w:vertAlign w:val="baseline"/>
        </w:rPr>
        <w:t>Age</w:t>
      </w:r>
      <w:r>
        <w:rPr>
          <w:spacing w:val="-2"/>
          <w:sz w:val="18"/>
          <w:vertAlign w:val="baseline"/>
        </w:rPr>
        <w:t> </w:t>
      </w:r>
      <w:r>
        <w:rPr>
          <w:sz w:val="18"/>
          <w:vertAlign w:val="baseline"/>
        </w:rPr>
        <w:t>Groups.”</w:t>
      </w:r>
      <w:r>
        <w:rPr>
          <w:spacing w:val="-2"/>
          <w:sz w:val="18"/>
          <w:vertAlign w:val="baseline"/>
        </w:rPr>
        <w:t> </w:t>
      </w:r>
      <w:r>
        <w:rPr>
          <w:sz w:val="18"/>
          <w:vertAlign w:val="baseline"/>
        </w:rPr>
        <w:t>Census.gov. Accessed March 20, 2023. </w:t>
      </w:r>
      <w:hyperlink r:id="rId196">
        <w:r>
          <w:rPr>
            <w:color w:val="1153CC"/>
            <w:sz w:val="18"/>
            <w:u w:val="single" w:color="1153CC"/>
            <w:vertAlign w:val="baseline"/>
          </w:rPr>
          <w:t>https://www.census.gov/library/stories/2022/12/lgbt-adults-report-anxiety-depression-</w:t>
        </w:r>
      </w:hyperlink>
      <w:r>
        <w:rPr>
          <w:color w:val="1153CC"/>
          <w:sz w:val="18"/>
          <w:u w:val="single" w:color="1153CC"/>
          <w:vertAlign w:val="baseline"/>
        </w:rPr>
        <w:t> </w:t>
      </w:r>
      <w:hyperlink r:id="rId196">
        <w:r>
          <w:rPr>
            <w:color w:val="1153CC"/>
            <w:sz w:val="18"/>
            <w:u w:val="single" w:color="1153CC"/>
            <w:vertAlign w:val="baseline"/>
          </w:rPr>
          <w:t>at-all-</w:t>
        </w:r>
      </w:hyperlink>
      <w:r>
        <w:rPr>
          <w:color w:val="1153CC"/>
          <w:sz w:val="18"/>
          <w:u w:val="none"/>
          <w:vertAlign w:val="baseline"/>
        </w:rPr>
        <w:t> </w:t>
      </w:r>
      <w:hyperlink r:id="rId196">
        <w:r>
          <w:rPr>
            <w:color w:val="1153CC"/>
            <w:spacing w:val="-2"/>
            <w:sz w:val="18"/>
            <w:u w:val="single" w:color="1153CC"/>
            <w:vertAlign w:val="baseline"/>
          </w:rPr>
          <w:t>ages.html</w:t>
        </w:r>
      </w:hyperlink>
      <w:hyperlink r:id="rId196">
        <w:r>
          <w:rPr>
            <w:spacing w:val="-2"/>
            <w:sz w:val="18"/>
            <w:u w:val="none"/>
            <w:vertAlign w:val="baseline"/>
          </w:rPr>
          <w:t>.</w:t>
        </w:r>
      </w:hyperlink>
    </w:p>
    <w:p>
      <w:pPr>
        <w:spacing w:before="0"/>
        <w:ind w:left="463" w:right="290" w:firstLine="0"/>
        <w:jc w:val="left"/>
        <w:rPr>
          <w:sz w:val="18"/>
        </w:rPr>
      </w:pPr>
      <w:bookmarkStart w:name="_bookmark110" w:id="266"/>
      <w:bookmarkEnd w:id="266"/>
      <w:r>
        <w:rPr/>
      </w:r>
      <w:r>
        <w:rPr>
          <w:sz w:val="18"/>
          <w:vertAlign w:val="superscript"/>
        </w:rPr>
        <w:t>7</w:t>
      </w:r>
      <w:r>
        <w:rPr>
          <w:spacing w:val="-9"/>
          <w:sz w:val="18"/>
          <w:vertAlign w:val="baseline"/>
        </w:rPr>
        <w:t> </w:t>
      </w:r>
      <w:r>
        <w:rPr>
          <w:sz w:val="18"/>
          <w:vertAlign w:val="baseline"/>
        </w:rPr>
        <w:t>Human Rights Campaign. “Human Rights Campaign Working to Defeat 340 Anti-LGBTQ+ Bills at State Level Already, 150 of Which Target Transgender People – Highest Number on Record,” February 15, 2023. </w:t>
      </w:r>
      <w:hyperlink r:id="rId197">
        <w:r>
          <w:rPr>
            <w:color w:val="1153CC"/>
            <w:sz w:val="18"/>
            <w:u w:val="single" w:color="1153CC"/>
            <w:vertAlign w:val="baseline"/>
          </w:rPr>
          <w:t>https://www.hrc.org/press-</w:t>
        </w:r>
      </w:hyperlink>
      <w:r>
        <w:rPr>
          <w:color w:val="1153CC"/>
          <w:sz w:val="18"/>
          <w:u w:val="none"/>
          <w:vertAlign w:val="baseline"/>
        </w:rPr>
        <w:t> </w:t>
      </w:r>
      <w:hyperlink r:id="rId197">
        <w:r>
          <w:rPr>
            <w:color w:val="1153CC"/>
            <w:sz w:val="18"/>
            <w:u w:val="single" w:color="1153CC"/>
            <w:vertAlign w:val="baseline"/>
          </w:rPr>
          <w:t>releases/human-rights-campaign-working-to-defeat-340-anti-lgbtq-bills-at-state-level-already-150-of-which-target-</w:t>
        </w:r>
      </w:hyperlink>
      <w:r>
        <w:rPr>
          <w:color w:val="1153CC"/>
          <w:spacing w:val="-11"/>
          <w:sz w:val="18"/>
          <w:u w:val="single" w:color="1153CC"/>
          <w:vertAlign w:val="baseline"/>
        </w:rPr>
        <w:t> </w:t>
      </w:r>
      <w:hyperlink r:id="rId197">
        <w:r>
          <w:rPr>
            <w:color w:val="1153CC"/>
            <w:sz w:val="18"/>
            <w:u w:val="single" w:color="1153CC"/>
            <w:vertAlign w:val="baseline"/>
          </w:rPr>
          <w:t>transgender-</w:t>
        </w:r>
      </w:hyperlink>
      <w:r>
        <w:rPr>
          <w:color w:val="1153CC"/>
          <w:sz w:val="18"/>
          <w:u w:val="none"/>
          <w:vertAlign w:val="baseline"/>
        </w:rPr>
        <w:t> </w:t>
      </w:r>
      <w:hyperlink r:id="rId197">
        <w:r>
          <w:rPr>
            <w:color w:val="1153CC"/>
            <w:spacing w:val="-2"/>
            <w:sz w:val="18"/>
            <w:u w:val="single" w:color="1153CC"/>
            <w:vertAlign w:val="baseline"/>
          </w:rPr>
          <w:t>people-highest-number-on-record</w:t>
        </w:r>
      </w:hyperlink>
      <w:hyperlink r:id="rId197">
        <w:r>
          <w:rPr>
            <w:spacing w:val="-2"/>
            <w:sz w:val="18"/>
            <w:u w:val="none"/>
            <w:vertAlign w:val="baseline"/>
          </w:rPr>
          <w:t>.</w:t>
        </w:r>
      </w:hyperlink>
    </w:p>
    <w:p>
      <w:pPr>
        <w:spacing w:before="0"/>
        <w:ind w:left="463" w:right="0" w:firstLine="0"/>
        <w:jc w:val="left"/>
        <w:rPr>
          <w:sz w:val="18"/>
        </w:rPr>
      </w:pPr>
      <w:bookmarkStart w:name="_bookmark111" w:id="267"/>
      <w:bookmarkEnd w:id="267"/>
      <w:r>
        <w:rPr/>
      </w:r>
      <w:r>
        <w:rPr>
          <w:sz w:val="18"/>
          <w:vertAlign w:val="superscript"/>
        </w:rPr>
        <w:t>8</w:t>
      </w:r>
      <w:r>
        <w:rPr>
          <w:spacing w:val="-13"/>
          <w:sz w:val="18"/>
          <w:vertAlign w:val="baseline"/>
        </w:rPr>
        <w:t> </w:t>
      </w:r>
      <w:r>
        <w:rPr>
          <w:sz w:val="18"/>
          <w:vertAlign w:val="baseline"/>
        </w:rPr>
        <w:t>The</w:t>
      </w:r>
      <w:r>
        <w:rPr>
          <w:spacing w:val="-5"/>
          <w:sz w:val="18"/>
          <w:vertAlign w:val="baseline"/>
        </w:rPr>
        <w:t> </w:t>
      </w:r>
      <w:r>
        <w:rPr>
          <w:sz w:val="18"/>
          <w:vertAlign w:val="baseline"/>
        </w:rPr>
        <w:t>Trevor</w:t>
      </w:r>
      <w:r>
        <w:rPr>
          <w:spacing w:val="-4"/>
          <w:sz w:val="18"/>
          <w:vertAlign w:val="baseline"/>
        </w:rPr>
        <w:t> </w:t>
      </w:r>
      <w:r>
        <w:rPr>
          <w:sz w:val="18"/>
          <w:vertAlign w:val="baseline"/>
        </w:rPr>
        <w:t>Project,</w:t>
      </w:r>
      <w:r>
        <w:rPr>
          <w:spacing w:val="-4"/>
          <w:sz w:val="18"/>
          <w:vertAlign w:val="baseline"/>
        </w:rPr>
        <w:t> </w:t>
      </w:r>
      <w:r>
        <w:rPr>
          <w:sz w:val="18"/>
          <w:vertAlign w:val="baseline"/>
        </w:rPr>
        <w:t>“2022</w:t>
      </w:r>
      <w:r>
        <w:rPr>
          <w:spacing w:val="-3"/>
          <w:sz w:val="18"/>
          <w:vertAlign w:val="baseline"/>
        </w:rPr>
        <w:t> </w:t>
      </w:r>
      <w:r>
        <w:rPr>
          <w:sz w:val="18"/>
          <w:vertAlign w:val="baseline"/>
        </w:rPr>
        <w:t>National</w:t>
      </w:r>
      <w:r>
        <w:rPr>
          <w:spacing w:val="-4"/>
          <w:sz w:val="18"/>
          <w:vertAlign w:val="baseline"/>
        </w:rPr>
        <w:t> </w:t>
      </w:r>
      <w:r>
        <w:rPr>
          <w:sz w:val="18"/>
          <w:vertAlign w:val="baseline"/>
        </w:rPr>
        <w:t>Survey</w:t>
      </w:r>
      <w:r>
        <w:rPr>
          <w:spacing w:val="-3"/>
          <w:sz w:val="18"/>
          <w:vertAlign w:val="baseline"/>
        </w:rPr>
        <w:t> </w:t>
      </w:r>
      <w:r>
        <w:rPr>
          <w:sz w:val="18"/>
          <w:vertAlign w:val="baseline"/>
        </w:rPr>
        <w:t>on</w:t>
      </w:r>
      <w:r>
        <w:rPr>
          <w:spacing w:val="-3"/>
          <w:sz w:val="18"/>
          <w:vertAlign w:val="baseline"/>
        </w:rPr>
        <w:t> </w:t>
      </w:r>
      <w:r>
        <w:rPr>
          <w:sz w:val="18"/>
          <w:vertAlign w:val="baseline"/>
        </w:rPr>
        <w:t>LGBTQ</w:t>
      </w:r>
      <w:r>
        <w:rPr>
          <w:spacing w:val="-3"/>
          <w:sz w:val="18"/>
          <w:vertAlign w:val="baseline"/>
        </w:rPr>
        <w:t> </w:t>
      </w:r>
      <w:r>
        <w:rPr>
          <w:sz w:val="18"/>
          <w:vertAlign w:val="baseline"/>
        </w:rPr>
        <w:t>Youth</w:t>
      </w:r>
      <w:r>
        <w:rPr>
          <w:spacing w:val="-3"/>
          <w:sz w:val="18"/>
          <w:vertAlign w:val="baseline"/>
        </w:rPr>
        <w:t> </w:t>
      </w:r>
      <w:r>
        <w:rPr>
          <w:sz w:val="18"/>
          <w:vertAlign w:val="baseline"/>
        </w:rPr>
        <w:t>Mental</w:t>
      </w:r>
      <w:r>
        <w:rPr>
          <w:spacing w:val="-4"/>
          <w:sz w:val="18"/>
          <w:vertAlign w:val="baseline"/>
        </w:rPr>
        <w:t> </w:t>
      </w:r>
      <w:r>
        <w:rPr>
          <w:sz w:val="18"/>
          <w:vertAlign w:val="baseline"/>
        </w:rPr>
        <w:t>Health,”</w:t>
      </w:r>
      <w:r>
        <w:rPr>
          <w:spacing w:val="-3"/>
          <w:sz w:val="18"/>
          <w:vertAlign w:val="baseline"/>
        </w:rPr>
        <w:t> </w:t>
      </w:r>
      <w:r>
        <w:rPr>
          <w:sz w:val="18"/>
          <w:vertAlign w:val="baseline"/>
        </w:rPr>
        <w:t>2022,</w:t>
      </w:r>
      <w:r>
        <w:rPr>
          <w:spacing w:val="-3"/>
          <w:sz w:val="18"/>
          <w:vertAlign w:val="baseline"/>
        </w:rPr>
        <w:t> </w:t>
      </w:r>
      <w:hyperlink r:id="rId193">
        <w:r>
          <w:rPr>
            <w:color w:val="1153CC"/>
            <w:sz w:val="18"/>
            <w:u w:val="single" w:color="1153CC"/>
            <w:vertAlign w:val="baseline"/>
          </w:rPr>
          <w:t>https://www.thetrevorproject.org/survey-</w:t>
        </w:r>
      </w:hyperlink>
      <w:r>
        <w:rPr>
          <w:color w:val="1153CC"/>
          <w:sz w:val="18"/>
          <w:u w:val="none"/>
          <w:vertAlign w:val="baseline"/>
        </w:rPr>
        <w:t> </w:t>
      </w:r>
      <w:hyperlink r:id="rId193">
        <w:r>
          <w:rPr>
            <w:color w:val="1153CC"/>
            <w:spacing w:val="-2"/>
            <w:sz w:val="18"/>
            <w:u w:val="single" w:color="1153CC"/>
            <w:vertAlign w:val="baseline"/>
          </w:rPr>
          <w:t>2022/assets/static/trevor01_2022survey_final.pdf</w:t>
        </w:r>
      </w:hyperlink>
      <w:hyperlink r:id="rId193">
        <w:r>
          <w:rPr>
            <w:spacing w:val="-2"/>
            <w:sz w:val="18"/>
            <w:u w:val="none"/>
            <w:vertAlign w:val="baseline"/>
          </w:rPr>
          <w:t>.</w:t>
        </w:r>
      </w:hyperlink>
    </w:p>
    <w:p>
      <w:pPr>
        <w:spacing w:before="0"/>
        <w:ind w:left="463" w:right="528" w:firstLine="0"/>
        <w:jc w:val="left"/>
        <w:rPr>
          <w:sz w:val="18"/>
        </w:rPr>
      </w:pPr>
      <w:bookmarkStart w:name="_bookmark112" w:id="268"/>
      <w:bookmarkEnd w:id="268"/>
      <w:r>
        <w:rPr/>
      </w:r>
      <w:r>
        <w:rPr>
          <w:sz w:val="18"/>
          <w:vertAlign w:val="superscript"/>
        </w:rPr>
        <w:t>9</w:t>
      </w:r>
      <w:r>
        <w:rPr>
          <w:spacing w:val="-7"/>
          <w:sz w:val="18"/>
          <w:vertAlign w:val="baseline"/>
        </w:rPr>
        <w:t> </w:t>
      </w:r>
      <w:r>
        <w:rPr>
          <w:sz w:val="18"/>
          <w:vertAlign w:val="baseline"/>
        </w:rPr>
        <w:t>The Trevor Project, “2022 National Survey on LGBTQ Youth Mental Health: Massachusetts,” 2022, </w:t>
      </w:r>
      <w:hyperlink r:id="rId194">
        <w:r>
          <w:rPr>
            <w:color w:val="1153CC"/>
            <w:spacing w:val="-2"/>
            <w:sz w:val="18"/>
            <w:u w:val="single" w:color="1153CC"/>
            <w:vertAlign w:val="baseline"/>
          </w:rPr>
          <w:t>https://www.thetrevorproject.org/wp-content/uploads/2022/12/The-Trevor-Project-2022-National-Survey-on-LGBTQ-Youth-</w:t>
        </w:r>
      </w:hyperlink>
      <w:r>
        <w:rPr>
          <w:color w:val="1153CC"/>
          <w:sz w:val="18"/>
          <w:u w:val="none"/>
          <w:vertAlign w:val="baseline"/>
        </w:rPr>
        <w:t> </w:t>
      </w:r>
      <w:hyperlink r:id="rId194">
        <w:r>
          <w:rPr>
            <w:color w:val="1153CC"/>
            <w:spacing w:val="-2"/>
            <w:sz w:val="18"/>
            <w:u w:val="single" w:color="1153CC"/>
            <w:vertAlign w:val="baseline"/>
          </w:rPr>
          <w:t>Mental-Health-by-State-Massachusetts.pd</w:t>
        </w:r>
      </w:hyperlink>
      <w:hyperlink r:id="rId194">
        <w:r>
          <w:rPr>
            <w:color w:val="1153CC"/>
            <w:spacing w:val="-2"/>
            <w:sz w:val="18"/>
            <w:u w:val="single" w:color="1153CC"/>
            <w:vertAlign w:val="baseline"/>
          </w:rPr>
          <w:t>f</w:t>
        </w:r>
        <w:r>
          <w:rPr>
            <w:spacing w:val="-2"/>
            <w:sz w:val="18"/>
            <w:u w:val="none"/>
            <w:vertAlign w:val="baseline"/>
          </w:rPr>
          <w:t>.</w:t>
        </w:r>
      </w:hyperlink>
    </w:p>
    <w:p>
      <w:pPr>
        <w:spacing w:line="219" w:lineRule="exact" w:before="0"/>
        <w:ind w:left="463" w:right="0" w:firstLine="0"/>
        <w:jc w:val="left"/>
        <w:rPr>
          <w:sz w:val="18"/>
        </w:rPr>
      </w:pPr>
      <w:r>
        <w:rPr>
          <w:sz w:val="18"/>
          <w:vertAlign w:val="superscript"/>
        </w:rPr>
        <w:t>10</w:t>
      </w:r>
      <w:r>
        <w:rPr>
          <w:spacing w:val="-15"/>
          <w:sz w:val="18"/>
          <w:vertAlign w:val="baseline"/>
        </w:rPr>
        <w:t> </w:t>
      </w:r>
      <w:r>
        <w:rPr>
          <w:sz w:val="18"/>
          <w:vertAlign w:val="baseline"/>
        </w:rPr>
        <w:t>Frost,</w:t>
      </w:r>
      <w:r>
        <w:rPr>
          <w:spacing w:val="-5"/>
          <w:sz w:val="18"/>
          <w:vertAlign w:val="baseline"/>
        </w:rPr>
        <w:t> </w:t>
      </w:r>
      <w:r>
        <w:rPr>
          <w:sz w:val="18"/>
          <w:vertAlign w:val="baseline"/>
        </w:rPr>
        <w:t>David</w:t>
      </w:r>
      <w:r>
        <w:rPr>
          <w:spacing w:val="-2"/>
          <w:sz w:val="18"/>
          <w:vertAlign w:val="baseline"/>
        </w:rPr>
        <w:t> </w:t>
      </w:r>
      <w:r>
        <w:rPr>
          <w:sz w:val="18"/>
          <w:vertAlign w:val="baseline"/>
        </w:rPr>
        <w:t>M.,</w:t>
      </w:r>
      <w:r>
        <w:rPr>
          <w:spacing w:val="-3"/>
          <w:sz w:val="18"/>
          <w:vertAlign w:val="baseline"/>
        </w:rPr>
        <w:t> </w:t>
      </w:r>
      <w:r>
        <w:rPr>
          <w:sz w:val="18"/>
          <w:vertAlign w:val="baseline"/>
        </w:rPr>
        <w:t>Keren</w:t>
      </w:r>
      <w:r>
        <w:rPr>
          <w:spacing w:val="-2"/>
          <w:sz w:val="18"/>
          <w:vertAlign w:val="baseline"/>
        </w:rPr>
        <w:t> </w:t>
      </w:r>
      <w:r>
        <w:rPr>
          <w:sz w:val="18"/>
          <w:vertAlign w:val="baseline"/>
        </w:rPr>
        <w:t>Lehavot,</w:t>
      </w:r>
      <w:r>
        <w:rPr>
          <w:spacing w:val="-3"/>
          <w:sz w:val="18"/>
          <w:vertAlign w:val="baseline"/>
        </w:rPr>
        <w:t> </w:t>
      </w:r>
      <w:r>
        <w:rPr>
          <w:sz w:val="18"/>
          <w:vertAlign w:val="baseline"/>
        </w:rPr>
        <w:t>and</w:t>
      </w:r>
      <w:r>
        <w:rPr>
          <w:spacing w:val="-2"/>
          <w:sz w:val="18"/>
          <w:vertAlign w:val="baseline"/>
        </w:rPr>
        <w:t> </w:t>
      </w:r>
      <w:r>
        <w:rPr>
          <w:sz w:val="18"/>
          <w:vertAlign w:val="baseline"/>
        </w:rPr>
        <w:t>Ilan</w:t>
      </w:r>
      <w:r>
        <w:rPr>
          <w:spacing w:val="-3"/>
          <w:sz w:val="18"/>
          <w:vertAlign w:val="baseline"/>
        </w:rPr>
        <w:t> </w:t>
      </w:r>
      <w:r>
        <w:rPr>
          <w:sz w:val="18"/>
          <w:vertAlign w:val="baseline"/>
        </w:rPr>
        <w:t>H.</w:t>
      </w:r>
      <w:r>
        <w:rPr>
          <w:spacing w:val="-2"/>
          <w:sz w:val="18"/>
          <w:vertAlign w:val="baseline"/>
        </w:rPr>
        <w:t> </w:t>
      </w:r>
      <w:r>
        <w:rPr>
          <w:sz w:val="18"/>
          <w:vertAlign w:val="baseline"/>
        </w:rPr>
        <w:t>Meyer.</w:t>
      </w:r>
      <w:r>
        <w:rPr>
          <w:spacing w:val="-2"/>
          <w:sz w:val="18"/>
          <w:vertAlign w:val="baseline"/>
        </w:rPr>
        <w:t> </w:t>
      </w:r>
      <w:r>
        <w:rPr>
          <w:sz w:val="18"/>
          <w:vertAlign w:val="baseline"/>
        </w:rPr>
        <w:t>“Minority</w:t>
      </w:r>
      <w:r>
        <w:rPr>
          <w:spacing w:val="-2"/>
          <w:sz w:val="18"/>
          <w:vertAlign w:val="baseline"/>
        </w:rPr>
        <w:t> </w:t>
      </w:r>
      <w:r>
        <w:rPr>
          <w:sz w:val="18"/>
          <w:vertAlign w:val="baseline"/>
        </w:rPr>
        <w:t>Stress</w:t>
      </w:r>
      <w:r>
        <w:rPr>
          <w:spacing w:val="-2"/>
          <w:sz w:val="18"/>
          <w:vertAlign w:val="baseline"/>
        </w:rPr>
        <w:t> </w:t>
      </w:r>
      <w:r>
        <w:rPr>
          <w:sz w:val="18"/>
          <w:vertAlign w:val="baseline"/>
        </w:rPr>
        <w:t>and</w:t>
      </w:r>
      <w:r>
        <w:rPr>
          <w:spacing w:val="-3"/>
          <w:sz w:val="18"/>
          <w:vertAlign w:val="baseline"/>
        </w:rPr>
        <w:t> </w:t>
      </w:r>
      <w:r>
        <w:rPr>
          <w:sz w:val="18"/>
          <w:vertAlign w:val="baseline"/>
        </w:rPr>
        <w:t>Physical</w:t>
      </w:r>
      <w:r>
        <w:rPr>
          <w:spacing w:val="-3"/>
          <w:sz w:val="18"/>
          <w:vertAlign w:val="baseline"/>
        </w:rPr>
        <w:t> </w:t>
      </w:r>
      <w:r>
        <w:rPr>
          <w:sz w:val="18"/>
          <w:vertAlign w:val="baseline"/>
        </w:rPr>
        <w:t>Health</w:t>
      </w:r>
      <w:r>
        <w:rPr>
          <w:spacing w:val="-2"/>
          <w:sz w:val="18"/>
          <w:vertAlign w:val="baseline"/>
        </w:rPr>
        <w:t> </w:t>
      </w:r>
      <w:r>
        <w:rPr>
          <w:sz w:val="18"/>
          <w:vertAlign w:val="baseline"/>
        </w:rPr>
        <w:t>among</w:t>
      </w:r>
      <w:r>
        <w:rPr>
          <w:spacing w:val="-2"/>
          <w:sz w:val="18"/>
          <w:vertAlign w:val="baseline"/>
        </w:rPr>
        <w:t> </w:t>
      </w:r>
      <w:r>
        <w:rPr>
          <w:sz w:val="18"/>
          <w:vertAlign w:val="baseline"/>
        </w:rPr>
        <w:t>Sexual</w:t>
      </w:r>
      <w:r>
        <w:rPr>
          <w:spacing w:val="-3"/>
          <w:sz w:val="18"/>
          <w:vertAlign w:val="baseline"/>
        </w:rPr>
        <w:t> </w:t>
      </w:r>
      <w:r>
        <w:rPr>
          <w:sz w:val="18"/>
          <w:vertAlign w:val="baseline"/>
        </w:rPr>
        <w:t>Minority</w:t>
      </w:r>
      <w:r>
        <w:rPr>
          <w:spacing w:val="-1"/>
          <w:sz w:val="18"/>
          <w:vertAlign w:val="baseline"/>
        </w:rPr>
        <w:t> </w:t>
      </w:r>
      <w:r>
        <w:rPr>
          <w:spacing w:val="-2"/>
          <w:sz w:val="18"/>
          <w:vertAlign w:val="baseline"/>
        </w:rPr>
        <w:t>Individuals.”</w:t>
      </w:r>
    </w:p>
    <w:p>
      <w:pPr>
        <w:spacing w:before="0"/>
        <w:ind w:left="463" w:right="0" w:firstLine="0"/>
        <w:jc w:val="left"/>
        <w:rPr>
          <w:sz w:val="18"/>
        </w:rPr>
      </w:pPr>
      <w:bookmarkStart w:name="_bookmark113" w:id="269"/>
      <w:bookmarkEnd w:id="269"/>
      <w:r>
        <w:rPr/>
      </w:r>
      <w:r>
        <w:rPr>
          <w:i/>
          <w:sz w:val="18"/>
        </w:rPr>
        <w:t>Journal</w:t>
      </w:r>
      <w:r>
        <w:rPr>
          <w:i/>
          <w:spacing w:val="-9"/>
          <w:sz w:val="18"/>
        </w:rPr>
        <w:t> </w:t>
      </w:r>
      <w:r>
        <w:rPr>
          <w:i/>
          <w:sz w:val="18"/>
        </w:rPr>
        <w:t>of</w:t>
      </w:r>
      <w:r>
        <w:rPr>
          <w:i/>
          <w:spacing w:val="-5"/>
          <w:sz w:val="18"/>
        </w:rPr>
        <w:t> </w:t>
      </w:r>
      <w:r>
        <w:rPr>
          <w:i/>
          <w:sz w:val="18"/>
        </w:rPr>
        <w:t>Behavioral</w:t>
      </w:r>
      <w:r>
        <w:rPr>
          <w:i/>
          <w:spacing w:val="-6"/>
          <w:sz w:val="18"/>
        </w:rPr>
        <w:t> </w:t>
      </w:r>
      <w:r>
        <w:rPr>
          <w:i/>
          <w:sz w:val="18"/>
        </w:rPr>
        <w:t>Medicine</w:t>
      </w:r>
      <w:r>
        <w:rPr>
          <w:i/>
          <w:spacing w:val="-5"/>
          <w:sz w:val="18"/>
        </w:rPr>
        <w:t> </w:t>
      </w:r>
      <w:r>
        <w:rPr>
          <w:sz w:val="18"/>
        </w:rPr>
        <w:t>38,</w:t>
      </w:r>
      <w:r>
        <w:rPr>
          <w:spacing w:val="-6"/>
          <w:sz w:val="18"/>
        </w:rPr>
        <w:t> </w:t>
      </w:r>
      <w:r>
        <w:rPr>
          <w:sz w:val="18"/>
        </w:rPr>
        <w:t>no.</w:t>
      </w:r>
      <w:r>
        <w:rPr>
          <w:spacing w:val="-6"/>
          <w:sz w:val="18"/>
        </w:rPr>
        <w:t> </w:t>
      </w:r>
      <w:r>
        <w:rPr>
          <w:sz w:val="18"/>
        </w:rPr>
        <w:t>1</w:t>
      </w:r>
      <w:r>
        <w:rPr>
          <w:spacing w:val="-5"/>
          <w:sz w:val="18"/>
        </w:rPr>
        <w:t> </w:t>
      </w:r>
      <w:r>
        <w:rPr>
          <w:sz w:val="18"/>
        </w:rPr>
        <w:t>(February</w:t>
      </w:r>
      <w:r>
        <w:rPr>
          <w:spacing w:val="-6"/>
          <w:sz w:val="18"/>
        </w:rPr>
        <w:t> </w:t>
      </w:r>
      <w:r>
        <w:rPr>
          <w:sz w:val="18"/>
        </w:rPr>
        <w:t>2015):</w:t>
      </w:r>
      <w:r>
        <w:rPr>
          <w:spacing w:val="-5"/>
          <w:sz w:val="18"/>
        </w:rPr>
        <w:t> </w:t>
      </w:r>
      <w:r>
        <w:rPr>
          <w:sz w:val="18"/>
        </w:rPr>
        <w:t>1–8.</w:t>
      </w:r>
      <w:r>
        <w:rPr>
          <w:spacing w:val="-5"/>
          <w:sz w:val="18"/>
        </w:rPr>
        <w:t> </w:t>
      </w:r>
      <w:hyperlink r:id="rId198">
        <w:r>
          <w:rPr>
            <w:color w:val="1153CC"/>
            <w:sz w:val="18"/>
            <w:u w:val="single" w:color="1153CC"/>
          </w:rPr>
          <w:t>https://doi.org/10.1007/s10865-013-9523-</w:t>
        </w:r>
        <w:r>
          <w:rPr>
            <w:color w:val="1153CC"/>
            <w:spacing w:val="-5"/>
            <w:sz w:val="18"/>
            <w:u w:val="single" w:color="1153CC"/>
          </w:rPr>
          <w:t>8</w:t>
        </w:r>
      </w:hyperlink>
      <w:hyperlink r:id="rId198">
        <w:r>
          <w:rPr>
            <w:spacing w:val="-5"/>
            <w:sz w:val="18"/>
            <w:u w:val="none"/>
          </w:rPr>
          <w:t>.</w:t>
        </w:r>
      </w:hyperlink>
    </w:p>
    <w:p>
      <w:pPr>
        <w:spacing w:before="0"/>
        <w:ind w:left="463" w:right="314" w:hanging="1"/>
        <w:jc w:val="left"/>
        <w:rPr>
          <w:sz w:val="18"/>
        </w:rPr>
      </w:pPr>
      <w:r>
        <w:rPr>
          <w:sz w:val="18"/>
          <w:vertAlign w:val="superscript"/>
        </w:rPr>
        <w:t>11</w:t>
      </w:r>
      <w:r>
        <w:rPr>
          <w:spacing w:val="-8"/>
          <w:sz w:val="18"/>
          <w:vertAlign w:val="baseline"/>
        </w:rPr>
        <w:t> </w:t>
      </w:r>
      <w:r>
        <w:rPr>
          <w:sz w:val="18"/>
          <w:vertAlign w:val="baseline"/>
        </w:rPr>
        <w:t>Hatzenbuehler, Mark L., Katie A. McLaughlin, Katherine M. Keyes, and Deborah S. Hasin. “The Impact of Institutional Discrimination</w:t>
      </w:r>
      <w:r>
        <w:rPr>
          <w:spacing w:val="-3"/>
          <w:sz w:val="18"/>
          <w:vertAlign w:val="baseline"/>
        </w:rPr>
        <w:t> </w:t>
      </w:r>
      <w:r>
        <w:rPr>
          <w:sz w:val="18"/>
          <w:vertAlign w:val="baseline"/>
        </w:rPr>
        <w:t>on</w:t>
      </w:r>
      <w:r>
        <w:rPr>
          <w:spacing w:val="-3"/>
          <w:sz w:val="18"/>
          <w:vertAlign w:val="baseline"/>
        </w:rPr>
        <w:t> </w:t>
      </w:r>
      <w:r>
        <w:rPr>
          <w:sz w:val="18"/>
          <w:vertAlign w:val="baseline"/>
        </w:rPr>
        <w:t>Psychiatric</w:t>
      </w:r>
      <w:r>
        <w:rPr>
          <w:spacing w:val="-4"/>
          <w:sz w:val="18"/>
          <w:vertAlign w:val="baseline"/>
        </w:rPr>
        <w:t> </w:t>
      </w:r>
      <w:r>
        <w:rPr>
          <w:sz w:val="18"/>
          <w:vertAlign w:val="baseline"/>
        </w:rPr>
        <w:t>Disorders</w:t>
      </w:r>
      <w:r>
        <w:rPr>
          <w:spacing w:val="-3"/>
          <w:sz w:val="18"/>
          <w:vertAlign w:val="baseline"/>
        </w:rPr>
        <w:t> </w:t>
      </w:r>
      <w:r>
        <w:rPr>
          <w:sz w:val="18"/>
          <w:vertAlign w:val="baseline"/>
        </w:rPr>
        <w:t>in</w:t>
      </w:r>
      <w:r>
        <w:rPr>
          <w:spacing w:val="-3"/>
          <w:sz w:val="18"/>
          <w:vertAlign w:val="baseline"/>
        </w:rPr>
        <w:t> </w:t>
      </w:r>
      <w:r>
        <w:rPr>
          <w:sz w:val="18"/>
          <w:vertAlign w:val="baseline"/>
        </w:rPr>
        <w:t>Lesbian,</w:t>
      </w:r>
      <w:r>
        <w:rPr>
          <w:spacing w:val="-4"/>
          <w:sz w:val="18"/>
          <w:vertAlign w:val="baseline"/>
        </w:rPr>
        <w:t> </w:t>
      </w:r>
      <w:r>
        <w:rPr>
          <w:sz w:val="18"/>
          <w:vertAlign w:val="baseline"/>
        </w:rPr>
        <w:t>Gay,</w:t>
      </w:r>
      <w:r>
        <w:rPr>
          <w:spacing w:val="-4"/>
          <w:sz w:val="18"/>
          <w:vertAlign w:val="baseline"/>
        </w:rPr>
        <w:t> </w:t>
      </w:r>
      <w:r>
        <w:rPr>
          <w:sz w:val="18"/>
          <w:vertAlign w:val="baseline"/>
        </w:rPr>
        <w:t>and</w:t>
      </w:r>
      <w:r>
        <w:rPr>
          <w:spacing w:val="-3"/>
          <w:sz w:val="18"/>
          <w:vertAlign w:val="baseline"/>
        </w:rPr>
        <w:t> </w:t>
      </w:r>
      <w:r>
        <w:rPr>
          <w:sz w:val="18"/>
          <w:vertAlign w:val="baseline"/>
        </w:rPr>
        <w:t>Bisexual</w:t>
      </w:r>
      <w:r>
        <w:rPr>
          <w:spacing w:val="-4"/>
          <w:sz w:val="18"/>
          <w:vertAlign w:val="baseline"/>
        </w:rPr>
        <w:t> </w:t>
      </w:r>
      <w:r>
        <w:rPr>
          <w:sz w:val="18"/>
          <w:vertAlign w:val="baseline"/>
        </w:rPr>
        <w:t>Populations:</w:t>
      </w:r>
      <w:r>
        <w:rPr>
          <w:spacing w:val="-3"/>
          <w:sz w:val="18"/>
          <w:vertAlign w:val="baseline"/>
        </w:rPr>
        <w:t> </w:t>
      </w:r>
      <w:r>
        <w:rPr>
          <w:sz w:val="18"/>
          <w:vertAlign w:val="baseline"/>
        </w:rPr>
        <w:t>A</w:t>
      </w:r>
      <w:r>
        <w:rPr>
          <w:spacing w:val="-3"/>
          <w:sz w:val="18"/>
          <w:vertAlign w:val="baseline"/>
        </w:rPr>
        <w:t> </w:t>
      </w:r>
      <w:r>
        <w:rPr>
          <w:sz w:val="18"/>
          <w:vertAlign w:val="baseline"/>
        </w:rPr>
        <w:t>Prospective</w:t>
      </w:r>
      <w:r>
        <w:rPr>
          <w:spacing w:val="-3"/>
          <w:sz w:val="18"/>
          <w:vertAlign w:val="baseline"/>
        </w:rPr>
        <w:t> </w:t>
      </w:r>
      <w:r>
        <w:rPr>
          <w:sz w:val="18"/>
          <w:vertAlign w:val="baseline"/>
        </w:rPr>
        <w:t>Study.”</w:t>
      </w:r>
      <w:r>
        <w:rPr>
          <w:spacing w:val="-3"/>
          <w:sz w:val="18"/>
          <w:vertAlign w:val="baseline"/>
        </w:rPr>
        <w:t> </w:t>
      </w:r>
      <w:r>
        <w:rPr>
          <w:i/>
          <w:sz w:val="18"/>
          <w:vertAlign w:val="baseline"/>
        </w:rPr>
        <w:t>American</w:t>
      </w:r>
      <w:r>
        <w:rPr>
          <w:i/>
          <w:spacing w:val="-2"/>
          <w:sz w:val="18"/>
          <w:vertAlign w:val="baseline"/>
        </w:rPr>
        <w:t> </w:t>
      </w:r>
      <w:r>
        <w:rPr>
          <w:i/>
          <w:sz w:val="18"/>
          <w:vertAlign w:val="baseline"/>
        </w:rPr>
        <w:t>Journal</w:t>
      </w:r>
      <w:r>
        <w:rPr>
          <w:i/>
          <w:spacing w:val="-4"/>
          <w:sz w:val="18"/>
          <w:vertAlign w:val="baseline"/>
        </w:rPr>
        <w:t> </w:t>
      </w:r>
      <w:r>
        <w:rPr>
          <w:i/>
          <w:sz w:val="18"/>
          <w:vertAlign w:val="baseline"/>
        </w:rPr>
        <w:t>of</w:t>
      </w:r>
      <w:r>
        <w:rPr>
          <w:i/>
          <w:sz w:val="18"/>
          <w:vertAlign w:val="baseline"/>
        </w:rPr>
        <w:t> Public Health </w:t>
      </w:r>
      <w:r>
        <w:rPr>
          <w:sz w:val="18"/>
          <w:vertAlign w:val="baseline"/>
        </w:rPr>
        <w:t>100, no. 3 (March 2010): 452–59. </w:t>
      </w:r>
      <w:hyperlink r:id="rId199">
        <w:r>
          <w:rPr>
            <w:color w:val="1153CC"/>
            <w:sz w:val="18"/>
            <w:u w:val="single" w:color="1153CC"/>
            <w:vertAlign w:val="baseline"/>
          </w:rPr>
          <w:t>https://doi.org/10.2105/AJPH.2009.168815</w:t>
        </w:r>
      </w:hyperlink>
      <w:hyperlink r:id="rId199">
        <w:r>
          <w:rPr>
            <w:sz w:val="18"/>
            <w:u w:val="none"/>
            <w:vertAlign w:val="baseline"/>
          </w:rPr>
          <w:t>.</w:t>
        </w:r>
      </w:hyperlink>
    </w:p>
    <w:p>
      <w:pPr>
        <w:spacing w:before="0"/>
        <w:ind w:left="463" w:right="314" w:hanging="1"/>
        <w:jc w:val="left"/>
        <w:rPr>
          <w:sz w:val="18"/>
        </w:rPr>
      </w:pPr>
      <w:bookmarkStart w:name="_bookmark114" w:id="270"/>
      <w:bookmarkEnd w:id="270"/>
      <w:r>
        <w:rPr/>
      </w:r>
      <w:r>
        <w:rPr>
          <w:sz w:val="18"/>
          <w:vertAlign w:val="superscript"/>
        </w:rPr>
        <w:t>12</w:t>
      </w:r>
      <w:r>
        <w:rPr>
          <w:spacing w:val="-13"/>
          <w:sz w:val="18"/>
          <w:vertAlign w:val="baseline"/>
        </w:rPr>
        <w:t> </w:t>
      </w:r>
      <w:r>
        <w:rPr>
          <w:sz w:val="18"/>
          <w:vertAlign w:val="baseline"/>
        </w:rPr>
        <w:t>Hughto,</w:t>
      </w:r>
      <w:r>
        <w:rPr>
          <w:spacing w:val="-4"/>
          <w:sz w:val="18"/>
          <w:vertAlign w:val="baseline"/>
        </w:rPr>
        <w:t> </w:t>
      </w:r>
      <w:r>
        <w:rPr>
          <w:sz w:val="18"/>
          <w:vertAlign w:val="baseline"/>
        </w:rPr>
        <w:t>Jaclyn</w:t>
      </w:r>
      <w:r>
        <w:rPr>
          <w:spacing w:val="-2"/>
          <w:sz w:val="18"/>
          <w:vertAlign w:val="baseline"/>
        </w:rPr>
        <w:t> </w:t>
      </w:r>
      <w:r>
        <w:rPr>
          <w:sz w:val="18"/>
          <w:vertAlign w:val="baseline"/>
        </w:rPr>
        <w:t>M.W.,</w:t>
      </w:r>
      <w:r>
        <w:rPr>
          <w:spacing w:val="-3"/>
          <w:sz w:val="18"/>
          <w:vertAlign w:val="baseline"/>
        </w:rPr>
        <w:t> </w:t>
      </w:r>
      <w:r>
        <w:rPr>
          <w:sz w:val="18"/>
          <w:vertAlign w:val="baseline"/>
        </w:rPr>
        <w:t>David</w:t>
      </w:r>
      <w:r>
        <w:rPr>
          <w:spacing w:val="-2"/>
          <w:sz w:val="18"/>
          <w:vertAlign w:val="baseline"/>
        </w:rPr>
        <w:t> </w:t>
      </w:r>
      <w:r>
        <w:rPr>
          <w:sz w:val="18"/>
          <w:vertAlign w:val="baseline"/>
        </w:rPr>
        <w:t>Pletta,</w:t>
      </w:r>
      <w:r>
        <w:rPr>
          <w:spacing w:val="-3"/>
          <w:sz w:val="18"/>
          <w:vertAlign w:val="baseline"/>
        </w:rPr>
        <w:t> </w:t>
      </w:r>
      <w:r>
        <w:rPr>
          <w:sz w:val="18"/>
          <w:vertAlign w:val="baseline"/>
        </w:rPr>
        <w:t>Lily</w:t>
      </w:r>
      <w:r>
        <w:rPr>
          <w:spacing w:val="-2"/>
          <w:sz w:val="18"/>
          <w:vertAlign w:val="baseline"/>
        </w:rPr>
        <w:t> </w:t>
      </w:r>
      <w:r>
        <w:rPr>
          <w:sz w:val="18"/>
          <w:vertAlign w:val="baseline"/>
        </w:rPr>
        <w:t>Gordon,</w:t>
      </w:r>
      <w:r>
        <w:rPr>
          <w:spacing w:val="-3"/>
          <w:sz w:val="18"/>
          <w:vertAlign w:val="baseline"/>
        </w:rPr>
        <w:t> </w:t>
      </w:r>
      <w:r>
        <w:rPr>
          <w:sz w:val="18"/>
          <w:vertAlign w:val="baseline"/>
        </w:rPr>
        <w:t>Sean</w:t>
      </w:r>
      <w:r>
        <w:rPr>
          <w:spacing w:val="-2"/>
          <w:sz w:val="18"/>
          <w:vertAlign w:val="baseline"/>
        </w:rPr>
        <w:t> </w:t>
      </w:r>
      <w:r>
        <w:rPr>
          <w:sz w:val="18"/>
          <w:vertAlign w:val="baseline"/>
        </w:rPr>
        <w:t>Cahill,</w:t>
      </w:r>
      <w:r>
        <w:rPr>
          <w:spacing w:val="-3"/>
          <w:sz w:val="18"/>
          <w:vertAlign w:val="baseline"/>
        </w:rPr>
        <w:t> </w:t>
      </w:r>
      <w:r>
        <w:rPr>
          <w:sz w:val="18"/>
          <w:vertAlign w:val="baseline"/>
        </w:rPr>
        <w:t>Matthew</w:t>
      </w:r>
      <w:r>
        <w:rPr>
          <w:spacing w:val="-3"/>
          <w:sz w:val="18"/>
          <w:vertAlign w:val="baseline"/>
        </w:rPr>
        <w:t> </w:t>
      </w:r>
      <w:r>
        <w:rPr>
          <w:sz w:val="18"/>
          <w:vertAlign w:val="baseline"/>
        </w:rPr>
        <w:t>J.</w:t>
      </w:r>
      <w:r>
        <w:rPr>
          <w:spacing w:val="-2"/>
          <w:sz w:val="18"/>
          <w:vertAlign w:val="baseline"/>
        </w:rPr>
        <w:t> </w:t>
      </w:r>
      <w:r>
        <w:rPr>
          <w:sz w:val="18"/>
          <w:vertAlign w:val="baseline"/>
        </w:rPr>
        <w:t>Mimiaga,</w:t>
      </w:r>
      <w:r>
        <w:rPr>
          <w:spacing w:val="-3"/>
          <w:sz w:val="18"/>
          <w:vertAlign w:val="baseline"/>
        </w:rPr>
        <w:t> </w:t>
      </w:r>
      <w:r>
        <w:rPr>
          <w:sz w:val="18"/>
          <w:vertAlign w:val="baseline"/>
        </w:rPr>
        <w:t>and</w:t>
      </w:r>
      <w:r>
        <w:rPr>
          <w:spacing w:val="-2"/>
          <w:sz w:val="18"/>
          <w:vertAlign w:val="baseline"/>
        </w:rPr>
        <w:t> </w:t>
      </w:r>
      <w:r>
        <w:rPr>
          <w:sz w:val="18"/>
          <w:vertAlign w:val="baseline"/>
        </w:rPr>
        <w:t>Sari</w:t>
      </w:r>
      <w:r>
        <w:rPr>
          <w:spacing w:val="-3"/>
          <w:sz w:val="18"/>
          <w:vertAlign w:val="baseline"/>
        </w:rPr>
        <w:t> </w:t>
      </w:r>
      <w:r>
        <w:rPr>
          <w:sz w:val="18"/>
          <w:vertAlign w:val="baseline"/>
        </w:rPr>
        <w:t>L.</w:t>
      </w:r>
      <w:r>
        <w:rPr>
          <w:spacing w:val="-2"/>
          <w:sz w:val="18"/>
          <w:vertAlign w:val="baseline"/>
        </w:rPr>
        <w:t> </w:t>
      </w:r>
      <w:r>
        <w:rPr>
          <w:sz w:val="18"/>
          <w:vertAlign w:val="baseline"/>
        </w:rPr>
        <w:t>Reisner.</w:t>
      </w:r>
      <w:r>
        <w:rPr>
          <w:spacing w:val="-2"/>
          <w:sz w:val="18"/>
          <w:vertAlign w:val="baseline"/>
        </w:rPr>
        <w:t> </w:t>
      </w:r>
      <w:r>
        <w:rPr>
          <w:sz w:val="18"/>
          <w:vertAlign w:val="baseline"/>
        </w:rPr>
        <w:t>“Negative</w:t>
      </w:r>
      <w:r>
        <w:rPr>
          <w:spacing w:val="-2"/>
          <w:sz w:val="18"/>
          <w:vertAlign w:val="baseline"/>
        </w:rPr>
        <w:t> </w:t>
      </w:r>
      <w:r>
        <w:rPr>
          <w:sz w:val="18"/>
          <w:vertAlign w:val="baseline"/>
        </w:rPr>
        <w:t>Transgender- Related Media Messages Are Associated with Adverse Mental Health Outcomes in a Multistate Study of Transgender Adults.” </w:t>
      </w:r>
      <w:r>
        <w:rPr>
          <w:i/>
          <w:sz w:val="18"/>
          <w:vertAlign w:val="baseline"/>
        </w:rPr>
        <w:t>LGBT Health </w:t>
      </w:r>
      <w:r>
        <w:rPr>
          <w:sz w:val="18"/>
          <w:vertAlign w:val="baseline"/>
        </w:rPr>
        <w:t>8, no. 1 (January 1, 2021): 32–41. </w:t>
      </w:r>
      <w:hyperlink r:id="rId200">
        <w:r>
          <w:rPr>
            <w:color w:val="1153CC"/>
            <w:sz w:val="18"/>
            <w:u w:val="single" w:color="1153CC"/>
            <w:vertAlign w:val="baseline"/>
          </w:rPr>
          <w:t>https://doi.org/10.1089/lgbt.2020.0279</w:t>
        </w:r>
      </w:hyperlink>
      <w:hyperlink r:id="rId200">
        <w:r>
          <w:rPr>
            <w:sz w:val="18"/>
            <w:u w:val="none"/>
            <w:vertAlign w:val="baseline"/>
          </w:rPr>
          <w:t>.</w:t>
        </w:r>
      </w:hyperlink>
    </w:p>
    <w:p>
      <w:pPr>
        <w:spacing w:before="0"/>
        <w:ind w:left="463" w:right="290" w:hanging="1"/>
        <w:jc w:val="left"/>
        <w:rPr>
          <w:sz w:val="18"/>
        </w:rPr>
      </w:pPr>
      <w:bookmarkStart w:name="_bookmark115" w:id="271"/>
      <w:bookmarkEnd w:id="271"/>
      <w:r>
        <w:rPr/>
      </w:r>
      <w:r>
        <w:rPr>
          <w:sz w:val="18"/>
          <w:vertAlign w:val="superscript"/>
        </w:rPr>
        <w:t>13</w:t>
      </w:r>
      <w:r>
        <w:rPr>
          <w:spacing w:val="-13"/>
          <w:sz w:val="18"/>
          <w:vertAlign w:val="baseline"/>
        </w:rPr>
        <w:t> </w:t>
      </w:r>
      <w:r>
        <w:rPr>
          <w:sz w:val="18"/>
          <w:vertAlign w:val="baseline"/>
        </w:rPr>
        <w:t>Fulginiti,</w:t>
      </w:r>
      <w:r>
        <w:rPr>
          <w:spacing w:val="-4"/>
          <w:sz w:val="18"/>
          <w:vertAlign w:val="baseline"/>
        </w:rPr>
        <w:t> </w:t>
      </w:r>
      <w:r>
        <w:rPr>
          <w:sz w:val="18"/>
          <w:vertAlign w:val="baseline"/>
        </w:rPr>
        <w:t>Anthony,</w:t>
      </w:r>
      <w:r>
        <w:rPr>
          <w:spacing w:val="-3"/>
          <w:sz w:val="18"/>
          <w:vertAlign w:val="baseline"/>
        </w:rPr>
        <w:t> </w:t>
      </w:r>
      <w:r>
        <w:rPr>
          <w:sz w:val="18"/>
          <w:vertAlign w:val="baseline"/>
        </w:rPr>
        <w:t>Harmony</w:t>
      </w:r>
      <w:r>
        <w:rPr>
          <w:spacing w:val="-2"/>
          <w:sz w:val="18"/>
          <w:vertAlign w:val="baseline"/>
        </w:rPr>
        <w:t> </w:t>
      </w:r>
      <w:r>
        <w:rPr>
          <w:sz w:val="18"/>
          <w:vertAlign w:val="baseline"/>
        </w:rPr>
        <w:t>Rhoades,</w:t>
      </w:r>
      <w:r>
        <w:rPr>
          <w:spacing w:val="-3"/>
          <w:sz w:val="18"/>
          <w:vertAlign w:val="baseline"/>
        </w:rPr>
        <w:t> </w:t>
      </w:r>
      <w:r>
        <w:rPr>
          <w:sz w:val="18"/>
          <w:vertAlign w:val="baseline"/>
        </w:rPr>
        <w:t>Mary</w:t>
      </w:r>
      <w:r>
        <w:rPr>
          <w:spacing w:val="-2"/>
          <w:sz w:val="18"/>
          <w:vertAlign w:val="baseline"/>
        </w:rPr>
        <w:t> </w:t>
      </w:r>
      <w:r>
        <w:rPr>
          <w:sz w:val="18"/>
          <w:vertAlign w:val="baseline"/>
        </w:rPr>
        <w:t>Rose</w:t>
      </w:r>
      <w:r>
        <w:rPr>
          <w:spacing w:val="-2"/>
          <w:sz w:val="18"/>
          <w:vertAlign w:val="baseline"/>
        </w:rPr>
        <w:t> </w:t>
      </w:r>
      <w:r>
        <w:rPr>
          <w:sz w:val="18"/>
          <w:vertAlign w:val="baseline"/>
        </w:rPr>
        <w:t>Mamey,</w:t>
      </w:r>
      <w:r>
        <w:rPr>
          <w:spacing w:val="-3"/>
          <w:sz w:val="18"/>
          <w:vertAlign w:val="baseline"/>
        </w:rPr>
        <w:t> </w:t>
      </w:r>
      <w:r>
        <w:rPr>
          <w:sz w:val="18"/>
          <w:vertAlign w:val="baseline"/>
        </w:rPr>
        <w:t>Cary</w:t>
      </w:r>
      <w:r>
        <w:rPr>
          <w:spacing w:val="-2"/>
          <w:sz w:val="18"/>
          <w:vertAlign w:val="baseline"/>
        </w:rPr>
        <w:t> </w:t>
      </w:r>
      <w:r>
        <w:rPr>
          <w:sz w:val="18"/>
          <w:vertAlign w:val="baseline"/>
        </w:rPr>
        <w:t>Klemmer,</w:t>
      </w:r>
      <w:r>
        <w:rPr>
          <w:spacing w:val="-3"/>
          <w:sz w:val="18"/>
          <w:vertAlign w:val="baseline"/>
        </w:rPr>
        <w:t> </w:t>
      </w:r>
      <w:r>
        <w:rPr>
          <w:sz w:val="18"/>
          <w:vertAlign w:val="baseline"/>
        </w:rPr>
        <w:t>Ankur</w:t>
      </w:r>
      <w:r>
        <w:rPr>
          <w:spacing w:val="-3"/>
          <w:sz w:val="18"/>
          <w:vertAlign w:val="baseline"/>
        </w:rPr>
        <w:t> </w:t>
      </w:r>
      <w:r>
        <w:rPr>
          <w:sz w:val="18"/>
          <w:vertAlign w:val="baseline"/>
        </w:rPr>
        <w:t>Srivastava,</w:t>
      </w:r>
      <w:r>
        <w:rPr>
          <w:spacing w:val="-3"/>
          <w:sz w:val="18"/>
          <w:vertAlign w:val="baseline"/>
        </w:rPr>
        <w:t> </w:t>
      </w:r>
      <w:r>
        <w:rPr>
          <w:sz w:val="18"/>
          <w:vertAlign w:val="baseline"/>
        </w:rPr>
        <w:t>Garrett</w:t>
      </w:r>
      <w:r>
        <w:rPr>
          <w:spacing w:val="-3"/>
          <w:sz w:val="18"/>
          <w:vertAlign w:val="baseline"/>
        </w:rPr>
        <w:t> </w:t>
      </w:r>
      <w:r>
        <w:rPr>
          <w:sz w:val="18"/>
          <w:vertAlign w:val="baseline"/>
        </w:rPr>
        <w:t>Weskamp,</w:t>
      </w:r>
      <w:r>
        <w:rPr>
          <w:spacing w:val="-3"/>
          <w:sz w:val="18"/>
          <w:vertAlign w:val="baseline"/>
        </w:rPr>
        <w:t> </w:t>
      </w:r>
      <w:r>
        <w:rPr>
          <w:sz w:val="18"/>
          <w:vertAlign w:val="baseline"/>
        </w:rPr>
        <w:t>and</w:t>
      </w:r>
      <w:r>
        <w:rPr>
          <w:spacing w:val="-2"/>
          <w:sz w:val="18"/>
          <w:vertAlign w:val="baseline"/>
        </w:rPr>
        <w:t> </w:t>
      </w:r>
      <w:r>
        <w:rPr>
          <w:sz w:val="18"/>
          <w:vertAlign w:val="baseline"/>
        </w:rPr>
        <w:t>Jeremy</w:t>
      </w:r>
      <w:r>
        <w:rPr>
          <w:spacing w:val="-2"/>
          <w:sz w:val="18"/>
          <w:vertAlign w:val="baseline"/>
        </w:rPr>
        <w:t> </w:t>
      </w:r>
      <w:r>
        <w:rPr>
          <w:sz w:val="18"/>
          <w:vertAlign w:val="baseline"/>
        </w:rPr>
        <w:t>T. Goldbach. “Sexual Minority Stress, Mental Health Symptoms, and Suicidality among LGBTQ Youth Accessing Crisis Services.” </w:t>
      </w:r>
      <w:r>
        <w:rPr>
          <w:i/>
          <w:sz w:val="18"/>
          <w:vertAlign w:val="baseline"/>
        </w:rPr>
        <w:t>Journal of Youth and Adolescence </w:t>
      </w:r>
      <w:r>
        <w:rPr>
          <w:sz w:val="18"/>
          <w:vertAlign w:val="baseline"/>
        </w:rPr>
        <w:t>50, no. 5 (May 2021): 893–905. </w:t>
      </w:r>
      <w:hyperlink r:id="rId201">
        <w:r>
          <w:rPr>
            <w:color w:val="1153CC"/>
            <w:sz w:val="18"/>
            <w:u w:val="single" w:color="1153CC"/>
            <w:vertAlign w:val="baseline"/>
          </w:rPr>
          <w:t>https://doi.org/10.1007/s10964-020-01354-3</w:t>
        </w:r>
      </w:hyperlink>
      <w:hyperlink r:id="rId201">
        <w:r>
          <w:rPr>
            <w:sz w:val="18"/>
            <w:u w:val="none"/>
            <w:vertAlign w:val="baseline"/>
          </w:rPr>
          <w:t>.</w:t>
        </w:r>
      </w:hyperlink>
    </w:p>
    <w:p>
      <w:pPr>
        <w:spacing w:before="0"/>
        <w:ind w:left="463" w:right="279" w:hanging="1"/>
        <w:jc w:val="left"/>
        <w:rPr>
          <w:sz w:val="18"/>
        </w:rPr>
      </w:pPr>
      <w:bookmarkStart w:name="_bookmark116" w:id="272"/>
      <w:bookmarkEnd w:id="272"/>
      <w:r>
        <w:rPr/>
      </w:r>
      <w:r>
        <w:rPr>
          <w:sz w:val="18"/>
          <w:vertAlign w:val="superscript"/>
        </w:rPr>
        <w:t>14</w:t>
      </w:r>
      <w:r>
        <w:rPr>
          <w:spacing w:val="-8"/>
          <w:sz w:val="18"/>
          <w:vertAlign w:val="baseline"/>
        </w:rPr>
        <w:t> </w:t>
      </w:r>
      <w:r>
        <w:rPr>
          <w:sz w:val="18"/>
          <w:vertAlign w:val="baseline"/>
        </w:rPr>
        <w:t>Hatzenbuehler, Mark L., Conall O’Cleirigh, Chris Grasso, Kenneth Mayer, Steven Safren, and Judith Bradford. “Effect of Same- Sex</w:t>
      </w:r>
      <w:r>
        <w:rPr>
          <w:spacing w:val="-3"/>
          <w:sz w:val="18"/>
          <w:vertAlign w:val="baseline"/>
        </w:rPr>
        <w:t> </w:t>
      </w:r>
      <w:r>
        <w:rPr>
          <w:sz w:val="18"/>
          <w:vertAlign w:val="baseline"/>
        </w:rPr>
        <w:t>Marriage</w:t>
      </w:r>
      <w:r>
        <w:rPr>
          <w:spacing w:val="-3"/>
          <w:sz w:val="18"/>
          <w:vertAlign w:val="baseline"/>
        </w:rPr>
        <w:t> </w:t>
      </w:r>
      <w:r>
        <w:rPr>
          <w:sz w:val="18"/>
          <w:vertAlign w:val="baseline"/>
        </w:rPr>
        <w:t>Laws</w:t>
      </w:r>
      <w:r>
        <w:rPr>
          <w:spacing w:val="-3"/>
          <w:sz w:val="18"/>
          <w:vertAlign w:val="baseline"/>
        </w:rPr>
        <w:t> </w:t>
      </w:r>
      <w:r>
        <w:rPr>
          <w:sz w:val="18"/>
          <w:vertAlign w:val="baseline"/>
        </w:rPr>
        <w:t>on</w:t>
      </w:r>
      <w:r>
        <w:rPr>
          <w:spacing w:val="-3"/>
          <w:sz w:val="18"/>
          <w:vertAlign w:val="baseline"/>
        </w:rPr>
        <w:t> </w:t>
      </w:r>
      <w:r>
        <w:rPr>
          <w:sz w:val="18"/>
          <w:vertAlign w:val="baseline"/>
        </w:rPr>
        <w:t>Health</w:t>
      </w:r>
      <w:r>
        <w:rPr>
          <w:spacing w:val="-3"/>
          <w:sz w:val="18"/>
          <w:vertAlign w:val="baseline"/>
        </w:rPr>
        <w:t> </w:t>
      </w:r>
      <w:r>
        <w:rPr>
          <w:sz w:val="18"/>
          <w:vertAlign w:val="baseline"/>
        </w:rPr>
        <w:t>Care</w:t>
      </w:r>
      <w:r>
        <w:rPr>
          <w:spacing w:val="-3"/>
          <w:sz w:val="18"/>
          <w:vertAlign w:val="baseline"/>
        </w:rPr>
        <w:t> </w:t>
      </w:r>
      <w:r>
        <w:rPr>
          <w:sz w:val="18"/>
          <w:vertAlign w:val="baseline"/>
        </w:rPr>
        <w:t>Use</w:t>
      </w:r>
      <w:r>
        <w:rPr>
          <w:spacing w:val="-3"/>
          <w:sz w:val="18"/>
          <w:vertAlign w:val="baseline"/>
        </w:rPr>
        <w:t> </w:t>
      </w:r>
      <w:r>
        <w:rPr>
          <w:sz w:val="18"/>
          <w:vertAlign w:val="baseline"/>
        </w:rPr>
        <w:t>and</w:t>
      </w:r>
      <w:r>
        <w:rPr>
          <w:spacing w:val="-3"/>
          <w:sz w:val="18"/>
          <w:vertAlign w:val="baseline"/>
        </w:rPr>
        <w:t> </w:t>
      </w:r>
      <w:r>
        <w:rPr>
          <w:sz w:val="18"/>
          <w:vertAlign w:val="baseline"/>
        </w:rPr>
        <w:t>Expenditures</w:t>
      </w:r>
      <w:r>
        <w:rPr>
          <w:spacing w:val="-3"/>
          <w:sz w:val="18"/>
          <w:vertAlign w:val="baseline"/>
        </w:rPr>
        <w:t> </w:t>
      </w:r>
      <w:r>
        <w:rPr>
          <w:sz w:val="18"/>
          <w:vertAlign w:val="baseline"/>
        </w:rPr>
        <w:t>in</w:t>
      </w:r>
      <w:r>
        <w:rPr>
          <w:spacing w:val="-3"/>
          <w:sz w:val="18"/>
          <w:vertAlign w:val="baseline"/>
        </w:rPr>
        <w:t> </w:t>
      </w:r>
      <w:r>
        <w:rPr>
          <w:sz w:val="18"/>
          <w:vertAlign w:val="baseline"/>
        </w:rPr>
        <w:t>Sexual</w:t>
      </w:r>
      <w:r>
        <w:rPr>
          <w:spacing w:val="-4"/>
          <w:sz w:val="18"/>
          <w:vertAlign w:val="baseline"/>
        </w:rPr>
        <w:t> </w:t>
      </w:r>
      <w:r>
        <w:rPr>
          <w:sz w:val="18"/>
          <w:vertAlign w:val="baseline"/>
        </w:rPr>
        <w:t>Minority</w:t>
      </w:r>
      <w:r>
        <w:rPr>
          <w:spacing w:val="-3"/>
          <w:sz w:val="18"/>
          <w:vertAlign w:val="baseline"/>
        </w:rPr>
        <w:t> </w:t>
      </w:r>
      <w:r>
        <w:rPr>
          <w:sz w:val="18"/>
          <w:vertAlign w:val="baseline"/>
        </w:rPr>
        <w:t>Men:</w:t>
      </w:r>
      <w:r>
        <w:rPr>
          <w:spacing w:val="-3"/>
          <w:sz w:val="18"/>
          <w:vertAlign w:val="baseline"/>
        </w:rPr>
        <w:t> </w:t>
      </w:r>
      <w:r>
        <w:rPr>
          <w:sz w:val="18"/>
          <w:vertAlign w:val="baseline"/>
        </w:rPr>
        <w:t>A</w:t>
      </w:r>
      <w:r>
        <w:rPr>
          <w:spacing w:val="-3"/>
          <w:sz w:val="18"/>
          <w:vertAlign w:val="baseline"/>
        </w:rPr>
        <w:t> </w:t>
      </w:r>
      <w:r>
        <w:rPr>
          <w:sz w:val="18"/>
          <w:vertAlign w:val="baseline"/>
        </w:rPr>
        <w:t>Quasi-Natural</w:t>
      </w:r>
      <w:r>
        <w:rPr>
          <w:spacing w:val="-5"/>
          <w:sz w:val="18"/>
          <w:vertAlign w:val="baseline"/>
        </w:rPr>
        <w:t> </w:t>
      </w:r>
      <w:r>
        <w:rPr>
          <w:sz w:val="18"/>
          <w:vertAlign w:val="baseline"/>
        </w:rPr>
        <w:t>Experiment.”</w:t>
      </w:r>
      <w:r>
        <w:rPr>
          <w:spacing w:val="-3"/>
          <w:sz w:val="18"/>
          <w:vertAlign w:val="baseline"/>
        </w:rPr>
        <w:t> </w:t>
      </w:r>
      <w:r>
        <w:rPr>
          <w:i/>
          <w:sz w:val="18"/>
          <w:vertAlign w:val="baseline"/>
        </w:rPr>
        <w:t>American</w:t>
      </w:r>
      <w:r>
        <w:rPr>
          <w:i/>
          <w:spacing w:val="-3"/>
          <w:sz w:val="18"/>
          <w:vertAlign w:val="baseline"/>
        </w:rPr>
        <w:t> </w:t>
      </w:r>
      <w:r>
        <w:rPr>
          <w:i/>
          <w:sz w:val="18"/>
          <w:vertAlign w:val="baseline"/>
        </w:rPr>
        <w:t>Journal</w:t>
      </w:r>
      <w:r>
        <w:rPr>
          <w:i/>
          <w:sz w:val="18"/>
          <w:vertAlign w:val="baseline"/>
        </w:rPr>
        <w:t> of Public Health </w:t>
      </w:r>
      <w:r>
        <w:rPr>
          <w:sz w:val="18"/>
          <w:vertAlign w:val="baseline"/>
        </w:rPr>
        <w:t>102, no. 2 (February 2012): 285–91. </w:t>
      </w:r>
      <w:hyperlink r:id="rId202">
        <w:r>
          <w:rPr>
            <w:color w:val="1153CC"/>
            <w:sz w:val="18"/>
            <w:u w:val="single" w:color="1153CC"/>
            <w:vertAlign w:val="baseline"/>
          </w:rPr>
          <w:t>https://doi.org/10.2105/AJPH.2011.300382</w:t>
        </w:r>
      </w:hyperlink>
      <w:hyperlink r:id="rId202">
        <w:r>
          <w:rPr>
            <w:sz w:val="18"/>
            <w:u w:val="none"/>
            <w:vertAlign w:val="baseline"/>
          </w:rPr>
          <w:t>.</w:t>
        </w:r>
      </w:hyperlink>
    </w:p>
    <w:p>
      <w:pPr>
        <w:spacing w:before="0"/>
        <w:ind w:left="463" w:right="223" w:firstLine="0"/>
        <w:jc w:val="left"/>
        <w:rPr>
          <w:sz w:val="18"/>
        </w:rPr>
      </w:pPr>
      <w:bookmarkStart w:name="_bookmark117" w:id="273"/>
      <w:bookmarkEnd w:id="273"/>
      <w:r>
        <w:rPr/>
      </w:r>
      <w:r>
        <w:rPr>
          <w:sz w:val="18"/>
          <w:vertAlign w:val="superscript"/>
        </w:rPr>
        <w:t>15</w:t>
      </w:r>
      <w:r>
        <w:rPr>
          <w:spacing w:val="-8"/>
          <w:sz w:val="18"/>
          <w:vertAlign w:val="baseline"/>
        </w:rPr>
        <w:t> </w:t>
      </w:r>
      <w:r>
        <w:rPr>
          <w:sz w:val="18"/>
          <w:vertAlign w:val="baseline"/>
        </w:rPr>
        <w:t>Levenson, Jill S., Shelley Craig, and Ashley Austin. 2021. “Trauma-Informed and Affirmative Mental Health Practices with LGBTQ+</w:t>
      </w:r>
      <w:r>
        <w:rPr>
          <w:spacing w:val="-7"/>
          <w:sz w:val="18"/>
          <w:vertAlign w:val="baseline"/>
        </w:rPr>
        <w:t> </w:t>
      </w:r>
      <w:r>
        <w:rPr>
          <w:sz w:val="18"/>
          <w:vertAlign w:val="baseline"/>
        </w:rPr>
        <w:t>Clients.”</w:t>
      </w:r>
      <w:r>
        <w:rPr>
          <w:spacing w:val="-7"/>
          <w:sz w:val="18"/>
          <w:vertAlign w:val="baseline"/>
        </w:rPr>
        <w:t> </w:t>
      </w:r>
      <w:r>
        <w:rPr>
          <w:i/>
          <w:sz w:val="18"/>
          <w:vertAlign w:val="baseline"/>
        </w:rPr>
        <w:t>Psychological</w:t>
      </w:r>
      <w:r>
        <w:rPr>
          <w:i/>
          <w:spacing w:val="-8"/>
          <w:sz w:val="18"/>
          <w:vertAlign w:val="baseline"/>
        </w:rPr>
        <w:t> </w:t>
      </w:r>
      <w:r>
        <w:rPr>
          <w:i/>
          <w:sz w:val="18"/>
          <w:vertAlign w:val="baseline"/>
        </w:rPr>
        <w:t>Services.</w:t>
      </w:r>
      <w:r>
        <w:rPr>
          <w:i/>
          <w:spacing w:val="-7"/>
          <w:sz w:val="18"/>
          <w:vertAlign w:val="baseline"/>
        </w:rPr>
        <w:t> </w:t>
      </w:r>
      <w:hyperlink r:id="rId203">
        <w:r>
          <w:rPr>
            <w:color w:val="1153CC"/>
            <w:sz w:val="18"/>
            <w:u w:val="single" w:color="1153CC"/>
            <w:vertAlign w:val="baseline"/>
          </w:rPr>
          <w:t>https://lgbtqequity.org/wp-content/uploads/2021/06/Trauma-InformedCare-Final.pdf</w:t>
        </w:r>
      </w:hyperlink>
      <w:r>
        <w:rPr>
          <w:color w:val="1153CC"/>
          <w:spacing w:val="-7"/>
          <w:sz w:val="18"/>
          <w:u w:val="none"/>
          <w:vertAlign w:val="baseline"/>
        </w:rPr>
        <w:t> </w:t>
      </w:r>
      <w:r>
        <w:rPr>
          <w:sz w:val="18"/>
          <w:u w:val="none"/>
          <w:vertAlign w:val="superscript"/>
        </w:rPr>
        <w:t>16</w:t>
      </w:r>
      <w:r>
        <w:rPr>
          <w:sz w:val="18"/>
          <w:u w:val="none"/>
          <w:vertAlign w:val="baseline"/>
        </w:rPr>
        <w:t> Mittleman,</w:t>
      </w:r>
      <w:r>
        <w:rPr>
          <w:spacing w:val="-1"/>
          <w:sz w:val="18"/>
          <w:u w:val="none"/>
          <w:vertAlign w:val="baseline"/>
        </w:rPr>
        <w:t> </w:t>
      </w:r>
      <w:r>
        <w:rPr>
          <w:sz w:val="18"/>
          <w:u w:val="none"/>
          <w:vertAlign w:val="baseline"/>
        </w:rPr>
        <w:t>Joel. “Sexual</w:t>
      </w:r>
      <w:r>
        <w:rPr>
          <w:spacing w:val="-1"/>
          <w:sz w:val="18"/>
          <w:u w:val="none"/>
          <w:vertAlign w:val="baseline"/>
        </w:rPr>
        <w:t> </w:t>
      </w:r>
      <w:r>
        <w:rPr>
          <w:sz w:val="18"/>
          <w:u w:val="none"/>
          <w:vertAlign w:val="baseline"/>
        </w:rPr>
        <w:t>Minority Bullying and Mental</w:t>
      </w:r>
      <w:r>
        <w:rPr>
          <w:spacing w:val="-1"/>
          <w:sz w:val="18"/>
          <w:u w:val="none"/>
          <w:vertAlign w:val="baseline"/>
        </w:rPr>
        <w:t> </w:t>
      </w:r>
      <w:r>
        <w:rPr>
          <w:sz w:val="18"/>
          <w:u w:val="none"/>
          <w:vertAlign w:val="baseline"/>
        </w:rPr>
        <w:t>Health From Early Childhood Through Adolescence.” </w:t>
      </w:r>
      <w:r>
        <w:rPr>
          <w:i/>
          <w:sz w:val="18"/>
          <w:u w:val="none"/>
          <w:vertAlign w:val="baseline"/>
        </w:rPr>
        <w:t>Journal</w:t>
      </w:r>
      <w:r>
        <w:rPr>
          <w:i/>
          <w:spacing w:val="-1"/>
          <w:sz w:val="18"/>
          <w:u w:val="none"/>
          <w:vertAlign w:val="baseline"/>
        </w:rPr>
        <w:t> </w:t>
      </w:r>
      <w:r>
        <w:rPr>
          <w:i/>
          <w:sz w:val="18"/>
          <w:u w:val="none"/>
          <w:vertAlign w:val="baseline"/>
        </w:rPr>
        <w:t>of Adolescent</w:t>
      </w:r>
      <w:r>
        <w:rPr>
          <w:i/>
          <w:sz w:val="18"/>
          <w:u w:val="none"/>
          <w:vertAlign w:val="baseline"/>
        </w:rPr>
        <w:t> Health </w:t>
      </w:r>
      <w:r>
        <w:rPr>
          <w:sz w:val="18"/>
          <w:u w:val="none"/>
          <w:vertAlign w:val="baseline"/>
        </w:rPr>
        <w:t>64, no. 2 (February 2019): 172–78. </w:t>
      </w:r>
      <w:hyperlink r:id="rId204">
        <w:r>
          <w:rPr>
            <w:color w:val="1153CC"/>
            <w:sz w:val="18"/>
            <w:u w:val="single" w:color="1153CC"/>
            <w:vertAlign w:val="baseline"/>
          </w:rPr>
          <w:t>https://doi.org/10.1016/j.jadohealth.2018.08.020</w:t>
        </w:r>
      </w:hyperlink>
      <w:hyperlink r:id="rId204">
        <w:r>
          <w:rPr>
            <w:sz w:val="18"/>
            <w:u w:val="none"/>
            <w:vertAlign w:val="baseline"/>
          </w:rPr>
          <w:t>.</w:t>
        </w:r>
      </w:hyperlink>
    </w:p>
    <w:p>
      <w:pPr>
        <w:spacing w:before="0"/>
        <w:ind w:left="463" w:right="314" w:firstLine="0"/>
        <w:jc w:val="left"/>
        <w:rPr>
          <w:sz w:val="18"/>
        </w:rPr>
      </w:pPr>
      <w:bookmarkStart w:name="_bookmark118" w:id="274"/>
      <w:bookmarkEnd w:id="274"/>
      <w:r>
        <w:rPr/>
      </w:r>
      <w:r>
        <w:rPr>
          <w:sz w:val="18"/>
          <w:vertAlign w:val="superscript"/>
        </w:rPr>
        <w:t>17</w:t>
      </w:r>
      <w:r>
        <w:rPr>
          <w:spacing w:val="-13"/>
          <w:sz w:val="18"/>
          <w:vertAlign w:val="baseline"/>
        </w:rPr>
        <w:t> </w:t>
      </w:r>
      <w:r>
        <w:rPr>
          <w:sz w:val="18"/>
          <w:vertAlign w:val="baseline"/>
        </w:rPr>
        <w:t>Constance-Huggins,</w:t>
      </w:r>
      <w:r>
        <w:rPr>
          <w:spacing w:val="-4"/>
          <w:sz w:val="18"/>
          <w:vertAlign w:val="baseline"/>
        </w:rPr>
        <w:t> </w:t>
      </w:r>
      <w:r>
        <w:rPr>
          <w:sz w:val="18"/>
          <w:vertAlign w:val="baseline"/>
        </w:rPr>
        <w:t>Monique.</w:t>
      </w:r>
      <w:r>
        <w:rPr>
          <w:spacing w:val="-3"/>
          <w:sz w:val="18"/>
          <w:vertAlign w:val="baseline"/>
        </w:rPr>
        <w:t> </w:t>
      </w:r>
      <w:r>
        <w:rPr>
          <w:sz w:val="18"/>
          <w:vertAlign w:val="baseline"/>
        </w:rPr>
        <w:t>“Critical</w:t>
      </w:r>
      <w:r>
        <w:rPr>
          <w:spacing w:val="-3"/>
          <w:sz w:val="18"/>
          <w:vertAlign w:val="baseline"/>
        </w:rPr>
        <w:t> </w:t>
      </w:r>
      <w:r>
        <w:rPr>
          <w:sz w:val="18"/>
          <w:vertAlign w:val="baseline"/>
        </w:rPr>
        <w:t>Race</w:t>
      </w:r>
      <w:r>
        <w:rPr>
          <w:spacing w:val="-2"/>
          <w:sz w:val="18"/>
          <w:vertAlign w:val="baseline"/>
        </w:rPr>
        <w:t> </w:t>
      </w:r>
      <w:r>
        <w:rPr>
          <w:sz w:val="18"/>
          <w:vertAlign w:val="baseline"/>
        </w:rPr>
        <w:t>Theory</w:t>
      </w:r>
      <w:r>
        <w:rPr>
          <w:spacing w:val="-2"/>
          <w:sz w:val="18"/>
          <w:vertAlign w:val="baseline"/>
        </w:rPr>
        <w:t> </w:t>
      </w:r>
      <w:r>
        <w:rPr>
          <w:sz w:val="18"/>
          <w:vertAlign w:val="baseline"/>
        </w:rPr>
        <w:t>in</w:t>
      </w:r>
      <w:r>
        <w:rPr>
          <w:spacing w:val="-2"/>
          <w:sz w:val="18"/>
          <w:vertAlign w:val="baseline"/>
        </w:rPr>
        <w:t> </w:t>
      </w:r>
      <w:r>
        <w:rPr>
          <w:sz w:val="18"/>
          <w:vertAlign w:val="baseline"/>
        </w:rPr>
        <w:t>Social</w:t>
      </w:r>
      <w:r>
        <w:rPr>
          <w:spacing w:val="-3"/>
          <w:sz w:val="18"/>
          <w:vertAlign w:val="baseline"/>
        </w:rPr>
        <w:t> </w:t>
      </w:r>
      <w:r>
        <w:rPr>
          <w:sz w:val="18"/>
          <w:vertAlign w:val="baseline"/>
        </w:rPr>
        <w:t>Work</w:t>
      </w:r>
      <w:r>
        <w:rPr>
          <w:spacing w:val="-3"/>
          <w:sz w:val="18"/>
          <w:vertAlign w:val="baseline"/>
        </w:rPr>
        <w:t> </w:t>
      </w:r>
      <w:r>
        <w:rPr>
          <w:sz w:val="18"/>
          <w:vertAlign w:val="baseline"/>
        </w:rPr>
        <w:t>Education.”</w:t>
      </w:r>
      <w:r>
        <w:rPr>
          <w:spacing w:val="-1"/>
          <w:sz w:val="18"/>
          <w:vertAlign w:val="baseline"/>
        </w:rPr>
        <w:t> </w:t>
      </w:r>
      <w:r>
        <w:rPr>
          <w:i/>
          <w:sz w:val="18"/>
          <w:vertAlign w:val="baseline"/>
        </w:rPr>
        <w:t>Critical</w:t>
      </w:r>
      <w:r>
        <w:rPr>
          <w:i/>
          <w:spacing w:val="-3"/>
          <w:sz w:val="18"/>
          <w:vertAlign w:val="baseline"/>
        </w:rPr>
        <w:t> </w:t>
      </w:r>
      <w:r>
        <w:rPr>
          <w:i/>
          <w:sz w:val="18"/>
          <w:vertAlign w:val="baseline"/>
        </w:rPr>
        <w:t>Social</w:t>
      </w:r>
      <w:r>
        <w:rPr>
          <w:i/>
          <w:spacing w:val="-3"/>
          <w:sz w:val="18"/>
          <w:vertAlign w:val="baseline"/>
        </w:rPr>
        <w:t> </w:t>
      </w:r>
      <w:r>
        <w:rPr>
          <w:i/>
          <w:sz w:val="18"/>
          <w:vertAlign w:val="baseline"/>
        </w:rPr>
        <w:t>Work</w:t>
      </w:r>
      <w:r>
        <w:rPr>
          <w:i/>
          <w:spacing w:val="-3"/>
          <w:sz w:val="18"/>
          <w:vertAlign w:val="baseline"/>
        </w:rPr>
        <w:t> </w:t>
      </w:r>
      <w:r>
        <w:rPr>
          <w:sz w:val="18"/>
          <w:vertAlign w:val="baseline"/>
        </w:rPr>
        <w:t>13,</w:t>
      </w:r>
      <w:r>
        <w:rPr>
          <w:spacing w:val="-3"/>
          <w:sz w:val="18"/>
          <w:vertAlign w:val="baseline"/>
        </w:rPr>
        <w:t> </w:t>
      </w:r>
      <w:r>
        <w:rPr>
          <w:sz w:val="18"/>
          <w:vertAlign w:val="baseline"/>
        </w:rPr>
        <w:t>no.</w:t>
      </w:r>
      <w:r>
        <w:rPr>
          <w:spacing w:val="-2"/>
          <w:sz w:val="18"/>
          <w:vertAlign w:val="baseline"/>
        </w:rPr>
        <w:t> </w:t>
      </w:r>
      <w:r>
        <w:rPr>
          <w:sz w:val="18"/>
          <w:vertAlign w:val="baseline"/>
        </w:rPr>
        <w:t>2</w:t>
      </w:r>
      <w:r>
        <w:rPr>
          <w:spacing w:val="-2"/>
          <w:sz w:val="18"/>
          <w:vertAlign w:val="baseline"/>
        </w:rPr>
        <w:t> </w:t>
      </w:r>
      <w:r>
        <w:rPr>
          <w:sz w:val="18"/>
          <w:vertAlign w:val="baseline"/>
        </w:rPr>
        <w:t>(May</w:t>
      </w:r>
      <w:r>
        <w:rPr>
          <w:spacing w:val="-2"/>
          <w:sz w:val="18"/>
          <w:vertAlign w:val="baseline"/>
        </w:rPr>
        <w:t> </w:t>
      </w:r>
      <w:r>
        <w:rPr>
          <w:sz w:val="18"/>
          <w:vertAlign w:val="baseline"/>
        </w:rPr>
        <w:t>29,</w:t>
      </w:r>
      <w:r>
        <w:rPr>
          <w:spacing w:val="-3"/>
          <w:sz w:val="18"/>
          <w:vertAlign w:val="baseline"/>
        </w:rPr>
        <w:t> </w:t>
      </w:r>
      <w:r>
        <w:rPr>
          <w:sz w:val="18"/>
          <w:vertAlign w:val="baseline"/>
        </w:rPr>
        <w:t>2019). </w:t>
      </w:r>
      <w:hyperlink r:id="rId205">
        <w:r>
          <w:rPr>
            <w:color w:val="1153CC"/>
            <w:spacing w:val="-2"/>
            <w:sz w:val="18"/>
            <w:u w:val="single" w:color="1153CC"/>
            <w:vertAlign w:val="baseline"/>
          </w:rPr>
          <w:t>https://doi.org/10.22329/csw.v13i2.5861</w:t>
        </w:r>
      </w:hyperlink>
      <w:hyperlink r:id="rId205">
        <w:r>
          <w:rPr>
            <w:spacing w:val="-2"/>
            <w:sz w:val="18"/>
            <w:u w:val="none"/>
            <w:vertAlign w:val="baseline"/>
          </w:rPr>
          <w:t>.</w:t>
        </w:r>
      </w:hyperlink>
    </w:p>
    <w:p>
      <w:pPr>
        <w:spacing w:before="0"/>
        <w:ind w:left="463" w:right="350" w:hanging="1"/>
        <w:jc w:val="left"/>
        <w:rPr>
          <w:sz w:val="18"/>
        </w:rPr>
      </w:pPr>
      <w:bookmarkStart w:name="_bookmark119" w:id="275"/>
      <w:bookmarkEnd w:id="275"/>
      <w:r>
        <w:rPr/>
      </w:r>
      <w:r>
        <w:rPr>
          <w:sz w:val="18"/>
          <w:vertAlign w:val="superscript"/>
        </w:rPr>
        <w:t>18</w:t>
      </w:r>
      <w:r>
        <w:rPr>
          <w:spacing w:val="-13"/>
          <w:sz w:val="18"/>
          <w:vertAlign w:val="baseline"/>
        </w:rPr>
        <w:t> </w:t>
      </w:r>
      <w:r>
        <w:rPr>
          <w:sz w:val="18"/>
          <w:vertAlign w:val="baseline"/>
        </w:rPr>
        <w:t>Kosciw,</w:t>
      </w:r>
      <w:r>
        <w:rPr>
          <w:spacing w:val="-4"/>
          <w:sz w:val="18"/>
          <w:vertAlign w:val="baseline"/>
        </w:rPr>
        <w:t> </w:t>
      </w:r>
      <w:r>
        <w:rPr>
          <w:sz w:val="18"/>
          <w:vertAlign w:val="baseline"/>
        </w:rPr>
        <w:t>Joseph,</w:t>
      </w:r>
      <w:r>
        <w:rPr>
          <w:spacing w:val="-3"/>
          <w:sz w:val="18"/>
          <w:vertAlign w:val="baseline"/>
        </w:rPr>
        <w:t> </w:t>
      </w:r>
      <w:r>
        <w:rPr>
          <w:sz w:val="18"/>
          <w:vertAlign w:val="baseline"/>
        </w:rPr>
        <w:t>Caitlin</w:t>
      </w:r>
      <w:r>
        <w:rPr>
          <w:spacing w:val="-2"/>
          <w:sz w:val="18"/>
          <w:vertAlign w:val="baseline"/>
        </w:rPr>
        <w:t> </w:t>
      </w:r>
      <w:r>
        <w:rPr>
          <w:sz w:val="18"/>
          <w:vertAlign w:val="baseline"/>
        </w:rPr>
        <w:t>Clark,</w:t>
      </w:r>
      <w:r>
        <w:rPr>
          <w:spacing w:val="-3"/>
          <w:sz w:val="18"/>
          <w:vertAlign w:val="baseline"/>
        </w:rPr>
        <w:t> </w:t>
      </w:r>
      <w:r>
        <w:rPr>
          <w:sz w:val="18"/>
          <w:vertAlign w:val="baseline"/>
        </w:rPr>
        <w:t>and</w:t>
      </w:r>
      <w:r>
        <w:rPr>
          <w:spacing w:val="-2"/>
          <w:sz w:val="18"/>
          <w:vertAlign w:val="baseline"/>
        </w:rPr>
        <w:t> </w:t>
      </w:r>
      <w:r>
        <w:rPr>
          <w:sz w:val="18"/>
          <w:vertAlign w:val="baseline"/>
        </w:rPr>
        <w:t>Leesh</w:t>
      </w:r>
      <w:r>
        <w:rPr>
          <w:spacing w:val="-2"/>
          <w:sz w:val="18"/>
          <w:vertAlign w:val="baseline"/>
        </w:rPr>
        <w:t> </w:t>
      </w:r>
      <w:r>
        <w:rPr>
          <w:sz w:val="18"/>
          <w:vertAlign w:val="baseline"/>
        </w:rPr>
        <w:t>Menard,</w:t>
      </w:r>
      <w:r>
        <w:rPr>
          <w:spacing w:val="-3"/>
          <w:sz w:val="18"/>
          <w:vertAlign w:val="baseline"/>
        </w:rPr>
        <w:t> </w:t>
      </w:r>
      <w:r>
        <w:rPr>
          <w:sz w:val="18"/>
          <w:vertAlign w:val="baseline"/>
        </w:rPr>
        <w:t>“The</w:t>
      </w:r>
      <w:r>
        <w:rPr>
          <w:spacing w:val="-2"/>
          <w:sz w:val="18"/>
          <w:vertAlign w:val="baseline"/>
        </w:rPr>
        <w:t> </w:t>
      </w:r>
      <w:r>
        <w:rPr>
          <w:sz w:val="18"/>
          <w:vertAlign w:val="baseline"/>
        </w:rPr>
        <w:t>2021</w:t>
      </w:r>
      <w:r>
        <w:rPr>
          <w:spacing w:val="-2"/>
          <w:sz w:val="18"/>
          <w:vertAlign w:val="baseline"/>
        </w:rPr>
        <w:t> </w:t>
      </w:r>
      <w:r>
        <w:rPr>
          <w:sz w:val="18"/>
          <w:vertAlign w:val="baseline"/>
        </w:rPr>
        <w:t>National</w:t>
      </w:r>
      <w:r>
        <w:rPr>
          <w:spacing w:val="-3"/>
          <w:sz w:val="18"/>
          <w:vertAlign w:val="baseline"/>
        </w:rPr>
        <w:t> </w:t>
      </w:r>
      <w:r>
        <w:rPr>
          <w:sz w:val="18"/>
          <w:vertAlign w:val="baseline"/>
        </w:rPr>
        <w:t>School</w:t>
      </w:r>
      <w:r>
        <w:rPr>
          <w:spacing w:val="-3"/>
          <w:sz w:val="18"/>
          <w:vertAlign w:val="baseline"/>
        </w:rPr>
        <w:t> </w:t>
      </w:r>
      <w:r>
        <w:rPr>
          <w:sz w:val="18"/>
          <w:vertAlign w:val="baseline"/>
        </w:rPr>
        <w:t>Climate</w:t>
      </w:r>
      <w:r>
        <w:rPr>
          <w:spacing w:val="-2"/>
          <w:sz w:val="18"/>
          <w:vertAlign w:val="baseline"/>
        </w:rPr>
        <w:t> </w:t>
      </w:r>
      <w:r>
        <w:rPr>
          <w:sz w:val="18"/>
          <w:vertAlign w:val="baseline"/>
        </w:rPr>
        <w:t>Survey:</w:t>
      </w:r>
      <w:r>
        <w:rPr>
          <w:spacing w:val="-2"/>
          <w:sz w:val="18"/>
          <w:vertAlign w:val="baseline"/>
        </w:rPr>
        <w:t> </w:t>
      </w:r>
      <w:r>
        <w:rPr>
          <w:sz w:val="18"/>
          <w:vertAlign w:val="baseline"/>
        </w:rPr>
        <w:t>The</w:t>
      </w:r>
      <w:r>
        <w:rPr>
          <w:spacing w:val="-2"/>
          <w:sz w:val="18"/>
          <w:vertAlign w:val="baseline"/>
        </w:rPr>
        <w:t> </w:t>
      </w:r>
      <w:r>
        <w:rPr>
          <w:sz w:val="18"/>
          <w:vertAlign w:val="baseline"/>
        </w:rPr>
        <w:t>Experiences</w:t>
      </w:r>
      <w:r>
        <w:rPr>
          <w:spacing w:val="-2"/>
          <w:sz w:val="18"/>
          <w:vertAlign w:val="baseline"/>
        </w:rPr>
        <w:t> </w:t>
      </w:r>
      <w:r>
        <w:rPr>
          <w:sz w:val="18"/>
          <w:vertAlign w:val="baseline"/>
        </w:rPr>
        <w:t>of</w:t>
      </w:r>
      <w:r>
        <w:rPr>
          <w:spacing w:val="-3"/>
          <w:sz w:val="18"/>
          <w:vertAlign w:val="baseline"/>
        </w:rPr>
        <w:t> </w:t>
      </w:r>
      <w:r>
        <w:rPr>
          <w:sz w:val="18"/>
          <w:vertAlign w:val="baseline"/>
        </w:rPr>
        <w:t>LGBTQ+</w:t>
      </w:r>
      <w:r>
        <w:rPr>
          <w:spacing w:val="-2"/>
          <w:sz w:val="18"/>
          <w:vertAlign w:val="baseline"/>
        </w:rPr>
        <w:t> </w:t>
      </w:r>
      <w:r>
        <w:rPr>
          <w:sz w:val="18"/>
          <w:vertAlign w:val="baseline"/>
        </w:rPr>
        <w:t>Youth in Our Nation’s Schools” (New York: Gay, Lesbian and Straight Education Network, 2022), </w:t>
      </w:r>
      <w:hyperlink r:id="rId206">
        <w:r>
          <w:rPr>
            <w:color w:val="1153CC"/>
            <w:spacing w:val="-2"/>
            <w:sz w:val="18"/>
            <w:u w:val="single" w:color="1153CC"/>
            <w:vertAlign w:val="baseline"/>
          </w:rPr>
          <w:t>https://www.glsen.org/sites/default/files/2022-10/NSCS-2021-Full-Report.pd</w:t>
        </w:r>
      </w:hyperlink>
      <w:hyperlink r:id="rId206">
        <w:r>
          <w:rPr>
            <w:color w:val="1153CC"/>
            <w:spacing w:val="-2"/>
            <w:sz w:val="18"/>
            <w:u w:val="single" w:color="1153CC"/>
            <w:vertAlign w:val="baseline"/>
          </w:rPr>
          <w:t>f</w:t>
        </w:r>
        <w:r>
          <w:rPr>
            <w:spacing w:val="-2"/>
            <w:sz w:val="18"/>
            <w:u w:val="none"/>
            <w:vertAlign w:val="baseline"/>
          </w:rPr>
          <w:t>.</w:t>
        </w:r>
      </w:hyperlink>
    </w:p>
    <w:p>
      <w:pPr>
        <w:spacing w:before="0"/>
        <w:ind w:left="463" w:right="463" w:hanging="1"/>
        <w:jc w:val="both"/>
        <w:rPr>
          <w:sz w:val="18"/>
        </w:rPr>
      </w:pPr>
      <w:bookmarkStart w:name="_bookmark120" w:id="276"/>
      <w:bookmarkEnd w:id="276"/>
      <w:r>
        <w:rPr/>
      </w:r>
      <w:r>
        <w:rPr>
          <w:sz w:val="18"/>
          <w:vertAlign w:val="superscript"/>
        </w:rPr>
        <w:t>19</w:t>
      </w:r>
      <w:r>
        <w:rPr>
          <w:spacing w:val="-11"/>
          <w:sz w:val="18"/>
          <w:vertAlign w:val="baseline"/>
        </w:rPr>
        <w:t> </w:t>
      </w:r>
      <w:r>
        <w:rPr>
          <w:sz w:val="18"/>
          <w:vertAlign w:val="baseline"/>
        </w:rPr>
        <w:t>Castro-Ramirez,</w:t>
      </w:r>
      <w:r>
        <w:rPr>
          <w:spacing w:val="-7"/>
          <w:sz w:val="18"/>
          <w:vertAlign w:val="baseline"/>
        </w:rPr>
        <w:t> </w:t>
      </w:r>
      <w:r>
        <w:rPr>
          <w:sz w:val="18"/>
          <w:vertAlign w:val="baseline"/>
        </w:rPr>
        <w:t>Franckie,</w:t>
      </w:r>
      <w:r>
        <w:rPr>
          <w:spacing w:val="-3"/>
          <w:sz w:val="18"/>
          <w:vertAlign w:val="baseline"/>
        </w:rPr>
        <w:t> </w:t>
      </w:r>
      <w:r>
        <w:rPr>
          <w:sz w:val="18"/>
          <w:vertAlign w:val="baseline"/>
        </w:rPr>
        <w:t>Maha</w:t>
      </w:r>
      <w:r>
        <w:rPr>
          <w:spacing w:val="-2"/>
          <w:sz w:val="18"/>
          <w:vertAlign w:val="baseline"/>
        </w:rPr>
        <w:t> </w:t>
      </w:r>
      <w:r>
        <w:rPr>
          <w:sz w:val="18"/>
          <w:vertAlign w:val="baseline"/>
        </w:rPr>
        <w:t>Al-Suwaidi,</w:t>
      </w:r>
      <w:r>
        <w:rPr>
          <w:spacing w:val="-3"/>
          <w:sz w:val="18"/>
          <w:vertAlign w:val="baseline"/>
        </w:rPr>
        <w:t> </w:t>
      </w:r>
      <w:r>
        <w:rPr>
          <w:sz w:val="18"/>
          <w:vertAlign w:val="baseline"/>
        </w:rPr>
        <w:t>Pedro</w:t>
      </w:r>
      <w:r>
        <w:rPr>
          <w:spacing w:val="-2"/>
          <w:sz w:val="18"/>
          <w:vertAlign w:val="baseline"/>
        </w:rPr>
        <w:t> </w:t>
      </w:r>
      <w:r>
        <w:rPr>
          <w:sz w:val="18"/>
          <w:vertAlign w:val="baseline"/>
        </w:rPr>
        <w:t>Garcia,</w:t>
      </w:r>
      <w:r>
        <w:rPr>
          <w:spacing w:val="-3"/>
          <w:sz w:val="18"/>
          <w:vertAlign w:val="baseline"/>
        </w:rPr>
        <w:t> </w:t>
      </w:r>
      <w:r>
        <w:rPr>
          <w:sz w:val="18"/>
          <w:vertAlign w:val="baseline"/>
        </w:rPr>
        <w:t>Osiris</w:t>
      </w:r>
      <w:r>
        <w:rPr>
          <w:spacing w:val="-2"/>
          <w:sz w:val="18"/>
          <w:vertAlign w:val="baseline"/>
        </w:rPr>
        <w:t> </w:t>
      </w:r>
      <w:r>
        <w:rPr>
          <w:sz w:val="18"/>
          <w:vertAlign w:val="baseline"/>
        </w:rPr>
        <w:t>Rankin,</w:t>
      </w:r>
      <w:r>
        <w:rPr>
          <w:spacing w:val="-3"/>
          <w:sz w:val="18"/>
          <w:vertAlign w:val="baseline"/>
        </w:rPr>
        <w:t> </w:t>
      </w:r>
      <w:r>
        <w:rPr>
          <w:sz w:val="18"/>
          <w:vertAlign w:val="baseline"/>
        </w:rPr>
        <w:t>Jordyn</w:t>
      </w:r>
      <w:r>
        <w:rPr>
          <w:spacing w:val="-2"/>
          <w:sz w:val="18"/>
          <w:vertAlign w:val="baseline"/>
        </w:rPr>
        <w:t> </w:t>
      </w:r>
      <w:r>
        <w:rPr>
          <w:sz w:val="18"/>
          <w:vertAlign w:val="baseline"/>
        </w:rPr>
        <w:t>R.</w:t>
      </w:r>
      <w:r>
        <w:rPr>
          <w:spacing w:val="-2"/>
          <w:sz w:val="18"/>
          <w:vertAlign w:val="baseline"/>
        </w:rPr>
        <w:t> </w:t>
      </w:r>
      <w:r>
        <w:rPr>
          <w:sz w:val="18"/>
          <w:vertAlign w:val="baseline"/>
        </w:rPr>
        <w:t>Ricard,</w:t>
      </w:r>
      <w:r>
        <w:rPr>
          <w:spacing w:val="-3"/>
          <w:sz w:val="18"/>
          <w:vertAlign w:val="baseline"/>
        </w:rPr>
        <w:t> </w:t>
      </w:r>
      <w:r>
        <w:rPr>
          <w:sz w:val="18"/>
          <w:vertAlign w:val="baseline"/>
        </w:rPr>
        <w:t>and</w:t>
      </w:r>
      <w:r>
        <w:rPr>
          <w:spacing w:val="-2"/>
          <w:sz w:val="18"/>
          <w:vertAlign w:val="baseline"/>
        </w:rPr>
        <w:t> </w:t>
      </w:r>
      <w:r>
        <w:rPr>
          <w:sz w:val="18"/>
          <w:vertAlign w:val="baseline"/>
        </w:rPr>
        <w:t>Matthew</w:t>
      </w:r>
      <w:r>
        <w:rPr>
          <w:spacing w:val="-3"/>
          <w:sz w:val="18"/>
          <w:vertAlign w:val="baseline"/>
        </w:rPr>
        <w:t> </w:t>
      </w:r>
      <w:r>
        <w:rPr>
          <w:sz w:val="18"/>
          <w:vertAlign w:val="baseline"/>
        </w:rPr>
        <w:t>K.</w:t>
      </w:r>
      <w:r>
        <w:rPr>
          <w:spacing w:val="-2"/>
          <w:sz w:val="18"/>
          <w:vertAlign w:val="baseline"/>
        </w:rPr>
        <w:t> </w:t>
      </w:r>
      <w:r>
        <w:rPr>
          <w:sz w:val="18"/>
          <w:vertAlign w:val="baseline"/>
        </w:rPr>
        <w:t>Nock.</w:t>
      </w:r>
      <w:r>
        <w:rPr>
          <w:spacing w:val="-2"/>
          <w:sz w:val="18"/>
          <w:vertAlign w:val="baseline"/>
        </w:rPr>
        <w:t> </w:t>
      </w:r>
      <w:r>
        <w:rPr>
          <w:sz w:val="18"/>
          <w:vertAlign w:val="baseline"/>
        </w:rPr>
        <w:t>“Racism</w:t>
      </w:r>
      <w:r>
        <w:rPr>
          <w:spacing w:val="-2"/>
          <w:sz w:val="18"/>
          <w:vertAlign w:val="baseline"/>
        </w:rPr>
        <w:t> </w:t>
      </w:r>
      <w:r>
        <w:rPr>
          <w:sz w:val="18"/>
          <w:vertAlign w:val="baseline"/>
        </w:rPr>
        <w:t>and Poverty Are Barriers to the Treatment</w:t>
      </w:r>
      <w:r>
        <w:rPr>
          <w:spacing w:val="-1"/>
          <w:sz w:val="18"/>
          <w:vertAlign w:val="baseline"/>
        </w:rPr>
        <w:t> </w:t>
      </w:r>
      <w:r>
        <w:rPr>
          <w:sz w:val="18"/>
          <w:vertAlign w:val="baseline"/>
        </w:rPr>
        <w:t>of Youth</w:t>
      </w:r>
      <w:r>
        <w:rPr>
          <w:spacing w:val="-1"/>
          <w:sz w:val="18"/>
          <w:vertAlign w:val="baseline"/>
        </w:rPr>
        <w:t> </w:t>
      </w:r>
      <w:r>
        <w:rPr>
          <w:sz w:val="18"/>
          <w:vertAlign w:val="baseline"/>
        </w:rPr>
        <w:t>Mental</w:t>
      </w:r>
      <w:r>
        <w:rPr>
          <w:spacing w:val="-1"/>
          <w:sz w:val="18"/>
          <w:vertAlign w:val="baseline"/>
        </w:rPr>
        <w:t> </w:t>
      </w:r>
      <w:r>
        <w:rPr>
          <w:sz w:val="18"/>
          <w:vertAlign w:val="baseline"/>
        </w:rPr>
        <w:t>Health Concerns.” </w:t>
      </w:r>
      <w:r>
        <w:rPr>
          <w:i/>
          <w:sz w:val="18"/>
          <w:vertAlign w:val="baseline"/>
        </w:rPr>
        <w:t>Journal</w:t>
      </w:r>
      <w:r>
        <w:rPr>
          <w:i/>
          <w:spacing w:val="-1"/>
          <w:sz w:val="18"/>
          <w:vertAlign w:val="baseline"/>
        </w:rPr>
        <w:t> </w:t>
      </w:r>
      <w:r>
        <w:rPr>
          <w:i/>
          <w:sz w:val="18"/>
          <w:vertAlign w:val="baseline"/>
        </w:rPr>
        <w:t>of Clinical</w:t>
      </w:r>
      <w:r>
        <w:rPr>
          <w:i/>
          <w:spacing w:val="-1"/>
          <w:sz w:val="18"/>
          <w:vertAlign w:val="baseline"/>
        </w:rPr>
        <w:t> </w:t>
      </w:r>
      <w:r>
        <w:rPr>
          <w:i/>
          <w:sz w:val="18"/>
          <w:vertAlign w:val="baseline"/>
        </w:rPr>
        <w:t>Child &amp;</w:t>
      </w:r>
      <w:r>
        <w:rPr>
          <w:i/>
          <w:spacing w:val="-1"/>
          <w:sz w:val="18"/>
          <w:vertAlign w:val="baseline"/>
        </w:rPr>
        <w:t> </w:t>
      </w:r>
      <w:r>
        <w:rPr>
          <w:i/>
          <w:sz w:val="18"/>
          <w:vertAlign w:val="baseline"/>
        </w:rPr>
        <w:t>Adolescent Psychology </w:t>
      </w:r>
      <w:r>
        <w:rPr>
          <w:sz w:val="18"/>
          <w:vertAlign w:val="baseline"/>
        </w:rPr>
        <w:t>50, no. 4 (July 4, 2021): 534–46. </w:t>
      </w:r>
      <w:hyperlink r:id="rId207">
        <w:r>
          <w:rPr>
            <w:color w:val="1153CC"/>
            <w:sz w:val="18"/>
            <w:u w:val="single" w:color="1153CC"/>
            <w:vertAlign w:val="baseline"/>
          </w:rPr>
          <w:t>https://doi.org/10.1080/15374416.2021.1941058</w:t>
        </w:r>
      </w:hyperlink>
      <w:hyperlink r:id="rId207">
        <w:r>
          <w:rPr>
            <w:sz w:val="18"/>
            <w:u w:val="none"/>
            <w:vertAlign w:val="baseline"/>
          </w:rPr>
          <w:t>.</w:t>
        </w:r>
      </w:hyperlink>
    </w:p>
    <w:p>
      <w:pPr>
        <w:spacing w:after="0"/>
        <w:jc w:val="both"/>
        <w:rPr>
          <w:sz w:val="18"/>
        </w:rPr>
        <w:sectPr>
          <w:pgSz w:w="12240" w:h="15840"/>
          <w:pgMar w:header="804" w:footer="1390" w:top="1080" w:bottom="1620" w:left="980" w:right="1080"/>
        </w:sectPr>
      </w:pPr>
    </w:p>
    <w:p>
      <w:pPr>
        <w:spacing w:before="68"/>
        <w:ind w:left="463" w:right="314" w:hanging="1"/>
        <w:jc w:val="left"/>
        <w:rPr>
          <w:sz w:val="18"/>
        </w:rPr>
      </w:pPr>
      <w:bookmarkStart w:name="_bookmark121" w:id="277"/>
      <w:bookmarkEnd w:id="277"/>
      <w:r>
        <w:rPr/>
      </w:r>
      <w:r>
        <w:rPr>
          <w:sz w:val="18"/>
          <w:vertAlign w:val="superscript"/>
        </w:rPr>
        <w:t>20</w:t>
      </w:r>
      <w:r>
        <w:rPr>
          <w:spacing w:val="-13"/>
          <w:sz w:val="18"/>
          <w:vertAlign w:val="baseline"/>
        </w:rPr>
        <w:t> </w:t>
      </w:r>
      <w:r>
        <w:rPr>
          <w:sz w:val="18"/>
          <w:vertAlign w:val="baseline"/>
        </w:rPr>
        <w:t>Fadus,</w:t>
      </w:r>
      <w:r>
        <w:rPr>
          <w:spacing w:val="-4"/>
          <w:sz w:val="18"/>
          <w:vertAlign w:val="baseline"/>
        </w:rPr>
        <w:t> </w:t>
      </w:r>
      <w:r>
        <w:rPr>
          <w:sz w:val="18"/>
          <w:vertAlign w:val="baseline"/>
        </w:rPr>
        <w:t>Matthew</w:t>
      </w:r>
      <w:r>
        <w:rPr>
          <w:spacing w:val="-3"/>
          <w:sz w:val="18"/>
          <w:vertAlign w:val="baseline"/>
        </w:rPr>
        <w:t> </w:t>
      </w:r>
      <w:r>
        <w:rPr>
          <w:sz w:val="18"/>
          <w:vertAlign w:val="baseline"/>
        </w:rPr>
        <w:t>C.,</w:t>
      </w:r>
      <w:r>
        <w:rPr>
          <w:spacing w:val="-3"/>
          <w:sz w:val="18"/>
          <w:vertAlign w:val="baseline"/>
        </w:rPr>
        <w:t> </w:t>
      </w:r>
      <w:r>
        <w:rPr>
          <w:sz w:val="18"/>
          <w:vertAlign w:val="baseline"/>
        </w:rPr>
        <w:t>Kenneth</w:t>
      </w:r>
      <w:r>
        <w:rPr>
          <w:spacing w:val="-2"/>
          <w:sz w:val="18"/>
          <w:vertAlign w:val="baseline"/>
        </w:rPr>
        <w:t> </w:t>
      </w:r>
      <w:r>
        <w:rPr>
          <w:sz w:val="18"/>
          <w:vertAlign w:val="baseline"/>
        </w:rPr>
        <w:t>R.</w:t>
      </w:r>
      <w:r>
        <w:rPr>
          <w:spacing w:val="-3"/>
          <w:sz w:val="18"/>
          <w:vertAlign w:val="baseline"/>
        </w:rPr>
        <w:t> </w:t>
      </w:r>
      <w:r>
        <w:rPr>
          <w:sz w:val="18"/>
          <w:vertAlign w:val="baseline"/>
        </w:rPr>
        <w:t>Ginsburg,</w:t>
      </w:r>
      <w:r>
        <w:rPr>
          <w:spacing w:val="-3"/>
          <w:sz w:val="18"/>
          <w:vertAlign w:val="baseline"/>
        </w:rPr>
        <w:t> </w:t>
      </w:r>
      <w:r>
        <w:rPr>
          <w:sz w:val="18"/>
          <w:vertAlign w:val="baseline"/>
        </w:rPr>
        <w:t>Kunmi</w:t>
      </w:r>
      <w:r>
        <w:rPr>
          <w:spacing w:val="-3"/>
          <w:sz w:val="18"/>
          <w:vertAlign w:val="baseline"/>
        </w:rPr>
        <w:t> </w:t>
      </w:r>
      <w:r>
        <w:rPr>
          <w:sz w:val="18"/>
          <w:vertAlign w:val="baseline"/>
        </w:rPr>
        <w:t>Sobowale,</w:t>
      </w:r>
      <w:r>
        <w:rPr>
          <w:spacing w:val="-3"/>
          <w:sz w:val="18"/>
          <w:vertAlign w:val="baseline"/>
        </w:rPr>
        <w:t> </w:t>
      </w:r>
      <w:r>
        <w:rPr>
          <w:sz w:val="18"/>
          <w:vertAlign w:val="baseline"/>
        </w:rPr>
        <w:t>Colleen</w:t>
      </w:r>
      <w:r>
        <w:rPr>
          <w:spacing w:val="-2"/>
          <w:sz w:val="18"/>
          <w:vertAlign w:val="baseline"/>
        </w:rPr>
        <w:t> </w:t>
      </w:r>
      <w:r>
        <w:rPr>
          <w:sz w:val="18"/>
          <w:vertAlign w:val="baseline"/>
        </w:rPr>
        <w:t>A.</w:t>
      </w:r>
      <w:r>
        <w:rPr>
          <w:spacing w:val="-2"/>
          <w:sz w:val="18"/>
          <w:vertAlign w:val="baseline"/>
        </w:rPr>
        <w:t> </w:t>
      </w:r>
      <w:r>
        <w:rPr>
          <w:sz w:val="18"/>
          <w:vertAlign w:val="baseline"/>
        </w:rPr>
        <w:t>Halliday-Boykins,</w:t>
      </w:r>
      <w:r>
        <w:rPr>
          <w:spacing w:val="-3"/>
          <w:sz w:val="18"/>
          <w:vertAlign w:val="baseline"/>
        </w:rPr>
        <w:t> </w:t>
      </w:r>
      <w:r>
        <w:rPr>
          <w:sz w:val="18"/>
          <w:vertAlign w:val="baseline"/>
        </w:rPr>
        <w:t>Brittany</w:t>
      </w:r>
      <w:r>
        <w:rPr>
          <w:spacing w:val="-2"/>
          <w:sz w:val="18"/>
          <w:vertAlign w:val="baseline"/>
        </w:rPr>
        <w:t> </w:t>
      </w:r>
      <w:r>
        <w:rPr>
          <w:sz w:val="18"/>
          <w:vertAlign w:val="baseline"/>
        </w:rPr>
        <w:t>E.</w:t>
      </w:r>
      <w:r>
        <w:rPr>
          <w:spacing w:val="-2"/>
          <w:sz w:val="18"/>
          <w:vertAlign w:val="baseline"/>
        </w:rPr>
        <w:t> </w:t>
      </w:r>
      <w:r>
        <w:rPr>
          <w:sz w:val="18"/>
          <w:vertAlign w:val="baseline"/>
        </w:rPr>
        <w:t>Bryant,</w:t>
      </w:r>
      <w:r>
        <w:rPr>
          <w:spacing w:val="-3"/>
          <w:sz w:val="18"/>
          <w:vertAlign w:val="baseline"/>
        </w:rPr>
        <w:t> </w:t>
      </w:r>
      <w:r>
        <w:rPr>
          <w:sz w:val="18"/>
          <w:vertAlign w:val="baseline"/>
        </w:rPr>
        <w:t>Kevin</w:t>
      </w:r>
      <w:r>
        <w:rPr>
          <w:spacing w:val="-2"/>
          <w:sz w:val="18"/>
          <w:vertAlign w:val="baseline"/>
        </w:rPr>
        <w:t> </w:t>
      </w:r>
      <w:r>
        <w:rPr>
          <w:sz w:val="18"/>
          <w:vertAlign w:val="baseline"/>
        </w:rPr>
        <w:t>M.</w:t>
      </w:r>
      <w:r>
        <w:rPr>
          <w:spacing w:val="-2"/>
          <w:sz w:val="18"/>
          <w:vertAlign w:val="baseline"/>
        </w:rPr>
        <w:t> </w:t>
      </w:r>
      <w:r>
        <w:rPr>
          <w:sz w:val="18"/>
          <w:vertAlign w:val="baseline"/>
        </w:rPr>
        <w:t>Gray,</w:t>
      </w:r>
      <w:r>
        <w:rPr>
          <w:spacing w:val="-3"/>
          <w:sz w:val="18"/>
          <w:vertAlign w:val="baseline"/>
        </w:rPr>
        <w:t> </w:t>
      </w:r>
      <w:r>
        <w:rPr>
          <w:sz w:val="18"/>
          <w:vertAlign w:val="baseline"/>
        </w:rPr>
        <w:t>and Lindsay M. Squeglia. “Unconscious Bias and the Diagnosis of Disruptive Behavior Disorders and ADHD in African American and Hispanic Youth.” </w:t>
      </w:r>
      <w:r>
        <w:rPr>
          <w:i/>
          <w:sz w:val="18"/>
          <w:vertAlign w:val="baseline"/>
        </w:rPr>
        <w:t>Academic Psychiatry </w:t>
      </w:r>
      <w:r>
        <w:rPr>
          <w:sz w:val="18"/>
          <w:vertAlign w:val="baseline"/>
        </w:rPr>
        <w:t>44, no. 1 (February 2020): 95–102. </w:t>
      </w:r>
      <w:hyperlink r:id="rId208">
        <w:r>
          <w:rPr>
            <w:color w:val="1153CC"/>
            <w:sz w:val="18"/>
            <w:u w:val="single" w:color="1153CC"/>
            <w:vertAlign w:val="baseline"/>
          </w:rPr>
          <w:t>https://doi.org/10.1007/s40596-019-01127-6</w:t>
        </w:r>
      </w:hyperlink>
      <w:hyperlink r:id="rId208">
        <w:r>
          <w:rPr>
            <w:sz w:val="18"/>
            <w:u w:val="none"/>
            <w:vertAlign w:val="baseline"/>
          </w:rPr>
          <w:t>.</w:t>
        </w:r>
      </w:hyperlink>
    </w:p>
    <w:p>
      <w:pPr>
        <w:spacing w:before="0"/>
        <w:ind w:left="463" w:right="326" w:firstLine="0"/>
        <w:jc w:val="left"/>
        <w:rPr>
          <w:sz w:val="18"/>
        </w:rPr>
      </w:pPr>
      <w:bookmarkStart w:name="_bookmark122" w:id="278"/>
      <w:bookmarkEnd w:id="278"/>
      <w:r>
        <w:rPr/>
      </w:r>
      <w:r>
        <w:rPr>
          <w:sz w:val="18"/>
          <w:vertAlign w:val="superscript"/>
        </w:rPr>
        <w:t>21</w:t>
      </w:r>
      <w:r>
        <w:rPr>
          <w:spacing w:val="-14"/>
          <w:sz w:val="18"/>
          <w:vertAlign w:val="baseline"/>
        </w:rPr>
        <w:t> </w:t>
      </w:r>
      <w:r>
        <w:rPr>
          <w:sz w:val="18"/>
          <w:vertAlign w:val="baseline"/>
        </w:rPr>
        <w:t>Pattisapu,</w:t>
      </w:r>
      <w:r>
        <w:rPr>
          <w:spacing w:val="-4"/>
          <w:sz w:val="18"/>
          <w:vertAlign w:val="baseline"/>
        </w:rPr>
        <w:t> </w:t>
      </w:r>
      <w:r>
        <w:rPr>
          <w:sz w:val="18"/>
          <w:vertAlign w:val="baseline"/>
        </w:rPr>
        <w:t>Krishna.</w:t>
      </w:r>
      <w:r>
        <w:rPr>
          <w:spacing w:val="-2"/>
          <w:sz w:val="18"/>
          <w:vertAlign w:val="baseline"/>
        </w:rPr>
        <w:t> </w:t>
      </w:r>
      <w:r>
        <w:rPr>
          <w:sz w:val="18"/>
          <w:vertAlign w:val="baseline"/>
        </w:rPr>
        <w:t>“The</w:t>
      </w:r>
      <w:r>
        <w:rPr>
          <w:spacing w:val="-3"/>
          <w:sz w:val="18"/>
          <w:vertAlign w:val="baseline"/>
        </w:rPr>
        <w:t> </w:t>
      </w:r>
      <w:r>
        <w:rPr>
          <w:sz w:val="18"/>
          <w:vertAlign w:val="baseline"/>
        </w:rPr>
        <w:t>Necessity</w:t>
      </w:r>
      <w:r>
        <w:rPr>
          <w:spacing w:val="-2"/>
          <w:sz w:val="18"/>
          <w:vertAlign w:val="baseline"/>
        </w:rPr>
        <w:t> </w:t>
      </w:r>
      <w:r>
        <w:rPr>
          <w:sz w:val="18"/>
          <w:vertAlign w:val="baseline"/>
        </w:rPr>
        <w:t>of</w:t>
      </w:r>
      <w:r>
        <w:rPr>
          <w:spacing w:val="-2"/>
          <w:sz w:val="18"/>
          <w:vertAlign w:val="baseline"/>
        </w:rPr>
        <w:t> </w:t>
      </w:r>
      <w:r>
        <w:rPr>
          <w:sz w:val="18"/>
          <w:vertAlign w:val="baseline"/>
        </w:rPr>
        <w:t>Intentionally</w:t>
      </w:r>
      <w:r>
        <w:rPr>
          <w:spacing w:val="-2"/>
          <w:sz w:val="18"/>
          <w:vertAlign w:val="baseline"/>
        </w:rPr>
        <w:t> </w:t>
      </w:r>
      <w:r>
        <w:rPr>
          <w:sz w:val="18"/>
          <w:vertAlign w:val="baseline"/>
        </w:rPr>
        <w:t>Closed</w:t>
      </w:r>
      <w:r>
        <w:rPr>
          <w:spacing w:val="-2"/>
          <w:sz w:val="18"/>
          <w:vertAlign w:val="baseline"/>
        </w:rPr>
        <w:t> </w:t>
      </w:r>
      <w:r>
        <w:rPr>
          <w:sz w:val="18"/>
          <w:vertAlign w:val="baseline"/>
        </w:rPr>
        <w:t>Spaces</w:t>
      </w:r>
      <w:r>
        <w:rPr>
          <w:spacing w:val="-2"/>
          <w:sz w:val="18"/>
          <w:vertAlign w:val="baseline"/>
        </w:rPr>
        <w:t> </w:t>
      </w:r>
      <w:r>
        <w:rPr>
          <w:sz w:val="18"/>
          <w:vertAlign w:val="baseline"/>
        </w:rPr>
        <w:t>for</w:t>
      </w:r>
      <w:r>
        <w:rPr>
          <w:spacing w:val="-3"/>
          <w:sz w:val="18"/>
          <w:vertAlign w:val="baseline"/>
        </w:rPr>
        <w:t> </w:t>
      </w:r>
      <w:r>
        <w:rPr>
          <w:sz w:val="18"/>
          <w:vertAlign w:val="baseline"/>
        </w:rPr>
        <w:t>LGBTQ</w:t>
      </w:r>
      <w:r>
        <w:rPr>
          <w:spacing w:val="-3"/>
          <w:sz w:val="18"/>
          <w:vertAlign w:val="baseline"/>
        </w:rPr>
        <w:t> </w:t>
      </w:r>
      <w:r>
        <w:rPr>
          <w:sz w:val="18"/>
          <w:vertAlign w:val="baseline"/>
        </w:rPr>
        <w:t>Youth</w:t>
      </w:r>
      <w:r>
        <w:rPr>
          <w:spacing w:val="-2"/>
          <w:sz w:val="18"/>
          <w:vertAlign w:val="baseline"/>
        </w:rPr>
        <w:t> </w:t>
      </w:r>
      <w:r>
        <w:rPr>
          <w:sz w:val="18"/>
          <w:vertAlign w:val="baseline"/>
        </w:rPr>
        <w:t>of</w:t>
      </w:r>
      <w:r>
        <w:rPr>
          <w:spacing w:val="-2"/>
          <w:sz w:val="18"/>
          <w:vertAlign w:val="baseline"/>
        </w:rPr>
        <w:t> </w:t>
      </w:r>
      <w:r>
        <w:rPr>
          <w:sz w:val="18"/>
          <w:vertAlign w:val="baseline"/>
        </w:rPr>
        <w:t>Color.”</w:t>
      </w:r>
      <w:r>
        <w:rPr>
          <w:spacing w:val="-2"/>
          <w:sz w:val="18"/>
          <w:vertAlign w:val="baseline"/>
        </w:rPr>
        <w:t> </w:t>
      </w:r>
      <w:r>
        <w:rPr>
          <w:i/>
          <w:sz w:val="18"/>
          <w:vertAlign w:val="baseline"/>
        </w:rPr>
        <w:t>The</w:t>
      </w:r>
      <w:r>
        <w:rPr>
          <w:i/>
          <w:spacing w:val="-2"/>
          <w:sz w:val="18"/>
          <w:vertAlign w:val="baseline"/>
        </w:rPr>
        <w:t> </w:t>
      </w:r>
      <w:r>
        <w:rPr>
          <w:i/>
          <w:sz w:val="18"/>
          <w:vertAlign w:val="baseline"/>
        </w:rPr>
        <w:t>Assembly:</w:t>
      </w:r>
      <w:r>
        <w:rPr>
          <w:i/>
          <w:spacing w:val="-2"/>
          <w:sz w:val="18"/>
          <w:vertAlign w:val="baseline"/>
        </w:rPr>
        <w:t> </w:t>
      </w:r>
      <w:r>
        <w:rPr>
          <w:i/>
          <w:sz w:val="18"/>
          <w:vertAlign w:val="baseline"/>
        </w:rPr>
        <w:t>A</w:t>
      </w:r>
      <w:r>
        <w:rPr>
          <w:i/>
          <w:spacing w:val="-2"/>
          <w:sz w:val="18"/>
          <w:vertAlign w:val="baseline"/>
        </w:rPr>
        <w:t> </w:t>
      </w:r>
      <w:r>
        <w:rPr>
          <w:i/>
          <w:sz w:val="18"/>
          <w:vertAlign w:val="baseline"/>
        </w:rPr>
        <w:t>Journal</w:t>
      </w:r>
      <w:r>
        <w:rPr>
          <w:i/>
          <w:spacing w:val="-3"/>
          <w:sz w:val="18"/>
          <w:vertAlign w:val="baseline"/>
        </w:rPr>
        <w:t> </w:t>
      </w:r>
      <w:r>
        <w:rPr>
          <w:i/>
          <w:sz w:val="18"/>
          <w:vertAlign w:val="baseline"/>
        </w:rPr>
        <w:t>for</w:t>
      </w:r>
      <w:r>
        <w:rPr>
          <w:i/>
          <w:spacing w:val="-3"/>
          <w:sz w:val="18"/>
          <w:vertAlign w:val="baseline"/>
        </w:rPr>
        <w:t> </w:t>
      </w:r>
      <w:r>
        <w:rPr>
          <w:i/>
          <w:sz w:val="18"/>
          <w:vertAlign w:val="baseline"/>
        </w:rPr>
        <w:t>Public</w:t>
      </w:r>
      <w:r>
        <w:rPr>
          <w:i/>
          <w:sz w:val="18"/>
          <w:vertAlign w:val="baseline"/>
        </w:rPr>
        <w:t> Scholarship on Education </w:t>
      </w:r>
      <w:r>
        <w:rPr>
          <w:sz w:val="18"/>
          <w:vertAlign w:val="baseline"/>
        </w:rPr>
        <w:t>2. June 30, 2019. </w:t>
      </w:r>
      <w:hyperlink r:id="rId209">
        <w:r>
          <w:rPr>
            <w:color w:val="1153CC"/>
            <w:sz w:val="18"/>
            <w:u w:val="single" w:color="1153CC"/>
            <w:vertAlign w:val="baseline"/>
          </w:rPr>
          <w:t>http://www.colorado.edu/journal/assembly/2019/06/30/necessity-</w:t>
        </w:r>
      </w:hyperlink>
      <w:r>
        <w:rPr>
          <w:color w:val="1153CC"/>
          <w:sz w:val="18"/>
          <w:u w:val="single" w:color="1153CC"/>
          <w:vertAlign w:val="baseline"/>
        </w:rPr>
        <w:t> </w:t>
      </w:r>
      <w:hyperlink r:id="rId209">
        <w:r>
          <w:rPr>
            <w:color w:val="1153CC"/>
            <w:sz w:val="18"/>
            <w:u w:val="single" w:color="1153CC"/>
            <w:vertAlign w:val="baseline"/>
          </w:rPr>
          <w:t>intentionally-</w:t>
        </w:r>
      </w:hyperlink>
      <w:r>
        <w:rPr>
          <w:color w:val="1153CC"/>
          <w:sz w:val="18"/>
          <w:u w:val="none"/>
          <w:vertAlign w:val="baseline"/>
        </w:rPr>
        <w:t> </w:t>
      </w:r>
      <w:bookmarkStart w:name="_bookmark123" w:id="279"/>
      <w:bookmarkEnd w:id="279"/>
      <w:r>
        <w:rPr>
          <w:color w:val="1153CC"/>
          <w:sz w:val="18"/>
          <w:u w:val="none"/>
          <w:vertAlign w:val="baseline"/>
        </w:rPr>
      </w:r>
      <w:hyperlink r:id="rId209">
        <w:r>
          <w:rPr>
            <w:color w:val="1153CC"/>
            <w:spacing w:val="-2"/>
            <w:sz w:val="18"/>
            <w:u w:val="single" w:color="1153CC"/>
            <w:vertAlign w:val="baseline"/>
          </w:rPr>
          <w:t>closed-spaces-lgbtq-youth-color</w:t>
        </w:r>
      </w:hyperlink>
      <w:hyperlink r:id="rId209">
        <w:r>
          <w:rPr>
            <w:spacing w:val="-2"/>
            <w:sz w:val="18"/>
            <w:u w:val="none"/>
            <w:vertAlign w:val="baseline"/>
          </w:rPr>
          <w:t>.</w:t>
        </w:r>
      </w:hyperlink>
    </w:p>
    <w:p>
      <w:pPr>
        <w:spacing w:before="0"/>
        <w:ind w:left="463" w:right="0" w:firstLine="0"/>
        <w:jc w:val="left"/>
        <w:rPr>
          <w:sz w:val="18"/>
        </w:rPr>
      </w:pPr>
      <w:r>
        <w:rPr>
          <w:sz w:val="18"/>
          <w:vertAlign w:val="superscript"/>
        </w:rPr>
        <w:t>22</w:t>
      </w:r>
      <w:r>
        <w:rPr>
          <w:spacing w:val="-13"/>
          <w:sz w:val="18"/>
          <w:vertAlign w:val="baseline"/>
        </w:rPr>
        <w:t> </w:t>
      </w:r>
      <w:r>
        <w:rPr>
          <w:sz w:val="18"/>
          <w:vertAlign w:val="baseline"/>
        </w:rPr>
        <w:t>Ching,</w:t>
      </w:r>
      <w:r>
        <w:rPr>
          <w:spacing w:val="-4"/>
          <w:sz w:val="18"/>
          <w:vertAlign w:val="baseline"/>
        </w:rPr>
        <w:t> </w:t>
      </w:r>
      <w:r>
        <w:rPr>
          <w:sz w:val="18"/>
          <w:vertAlign w:val="baseline"/>
        </w:rPr>
        <w:t>Terence</w:t>
      </w:r>
      <w:r>
        <w:rPr>
          <w:spacing w:val="-2"/>
          <w:sz w:val="18"/>
          <w:vertAlign w:val="baseline"/>
        </w:rPr>
        <w:t> </w:t>
      </w:r>
      <w:r>
        <w:rPr>
          <w:sz w:val="18"/>
          <w:vertAlign w:val="baseline"/>
        </w:rPr>
        <w:t>H.</w:t>
      </w:r>
      <w:r>
        <w:rPr>
          <w:spacing w:val="-2"/>
          <w:sz w:val="18"/>
          <w:vertAlign w:val="baseline"/>
        </w:rPr>
        <w:t> </w:t>
      </w:r>
      <w:r>
        <w:rPr>
          <w:sz w:val="18"/>
          <w:vertAlign w:val="baseline"/>
        </w:rPr>
        <w:t>W.,</w:t>
      </w:r>
      <w:r>
        <w:rPr>
          <w:spacing w:val="-3"/>
          <w:sz w:val="18"/>
          <w:vertAlign w:val="baseline"/>
        </w:rPr>
        <w:t> </w:t>
      </w:r>
      <w:r>
        <w:rPr>
          <w:sz w:val="18"/>
          <w:vertAlign w:val="baseline"/>
        </w:rPr>
        <w:t>Sharon</w:t>
      </w:r>
      <w:r>
        <w:rPr>
          <w:spacing w:val="-2"/>
          <w:sz w:val="18"/>
          <w:vertAlign w:val="baseline"/>
        </w:rPr>
        <w:t> </w:t>
      </w:r>
      <w:r>
        <w:rPr>
          <w:sz w:val="18"/>
          <w:vertAlign w:val="baseline"/>
        </w:rPr>
        <w:t>Y.</w:t>
      </w:r>
      <w:r>
        <w:rPr>
          <w:spacing w:val="-2"/>
          <w:sz w:val="18"/>
          <w:vertAlign w:val="baseline"/>
        </w:rPr>
        <w:t> </w:t>
      </w:r>
      <w:r>
        <w:rPr>
          <w:sz w:val="18"/>
          <w:vertAlign w:val="baseline"/>
        </w:rPr>
        <w:t>Lee,</w:t>
      </w:r>
      <w:r>
        <w:rPr>
          <w:spacing w:val="-3"/>
          <w:sz w:val="18"/>
          <w:vertAlign w:val="baseline"/>
        </w:rPr>
        <w:t> </w:t>
      </w:r>
      <w:r>
        <w:rPr>
          <w:sz w:val="18"/>
          <w:vertAlign w:val="baseline"/>
        </w:rPr>
        <w:t>Julia</w:t>
      </w:r>
      <w:r>
        <w:rPr>
          <w:spacing w:val="-2"/>
          <w:sz w:val="18"/>
          <w:vertAlign w:val="baseline"/>
        </w:rPr>
        <w:t> </w:t>
      </w:r>
      <w:r>
        <w:rPr>
          <w:sz w:val="18"/>
          <w:vertAlign w:val="baseline"/>
        </w:rPr>
        <w:t>Chen,</w:t>
      </w:r>
      <w:r>
        <w:rPr>
          <w:spacing w:val="-3"/>
          <w:sz w:val="18"/>
          <w:vertAlign w:val="baseline"/>
        </w:rPr>
        <w:t> </w:t>
      </w:r>
      <w:r>
        <w:rPr>
          <w:sz w:val="18"/>
          <w:vertAlign w:val="baseline"/>
        </w:rPr>
        <w:t>Rachel</w:t>
      </w:r>
      <w:r>
        <w:rPr>
          <w:spacing w:val="-3"/>
          <w:sz w:val="18"/>
          <w:vertAlign w:val="baseline"/>
        </w:rPr>
        <w:t> </w:t>
      </w:r>
      <w:r>
        <w:rPr>
          <w:sz w:val="18"/>
          <w:vertAlign w:val="baseline"/>
        </w:rPr>
        <w:t>P.</w:t>
      </w:r>
      <w:r>
        <w:rPr>
          <w:spacing w:val="-2"/>
          <w:sz w:val="18"/>
          <w:vertAlign w:val="baseline"/>
        </w:rPr>
        <w:t> </w:t>
      </w:r>
      <w:r>
        <w:rPr>
          <w:sz w:val="18"/>
          <w:vertAlign w:val="baseline"/>
        </w:rPr>
        <w:t>So,</w:t>
      </w:r>
      <w:r>
        <w:rPr>
          <w:spacing w:val="-3"/>
          <w:sz w:val="18"/>
          <w:vertAlign w:val="baseline"/>
        </w:rPr>
        <w:t> </w:t>
      </w:r>
      <w:r>
        <w:rPr>
          <w:sz w:val="18"/>
          <w:vertAlign w:val="baseline"/>
        </w:rPr>
        <w:t>and</w:t>
      </w:r>
      <w:r>
        <w:rPr>
          <w:spacing w:val="-2"/>
          <w:sz w:val="18"/>
          <w:vertAlign w:val="baseline"/>
        </w:rPr>
        <w:t> </w:t>
      </w:r>
      <w:r>
        <w:rPr>
          <w:sz w:val="18"/>
          <w:vertAlign w:val="baseline"/>
        </w:rPr>
        <w:t>Monnica</w:t>
      </w:r>
      <w:r>
        <w:rPr>
          <w:spacing w:val="-2"/>
          <w:sz w:val="18"/>
          <w:vertAlign w:val="baseline"/>
        </w:rPr>
        <w:t> </w:t>
      </w:r>
      <w:r>
        <w:rPr>
          <w:sz w:val="18"/>
          <w:vertAlign w:val="baseline"/>
        </w:rPr>
        <w:t>T.</w:t>
      </w:r>
      <w:r>
        <w:rPr>
          <w:spacing w:val="-2"/>
          <w:sz w:val="18"/>
          <w:vertAlign w:val="baseline"/>
        </w:rPr>
        <w:t> </w:t>
      </w:r>
      <w:r>
        <w:rPr>
          <w:sz w:val="18"/>
          <w:vertAlign w:val="baseline"/>
        </w:rPr>
        <w:t>Williams.</w:t>
      </w:r>
      <w:r>
        <w:rPr>
          <w:spacing w:val="-2"/>
          <w:sz w:val="18"/>
          <w:vertAlign w:val="baseline"/>
        </w:rPr>
        <w:t> </w:t>
      </w:r>
      <w:r>
        <w:rPr>
          <w:sz w:val="18"/>
          <w:vertAlign w:val="baseline"/>
        </w:rPr>
        <w:t>“A</w:t>
      </w:r>
      <w:r>
        <w:rPr>
          <w:spacing w:val="-2"/>
          <w:sz w:val="18"/>
          <w:vertAlign w:val="baseline"/>
        </w:rPr>
        <w:t> </w:t>
      </w:r>
      <w:r>
        <w:rPr>
          <w:sz w:val="18"/>
          <w:vertAlign w:val="baseline"/>
        </w:rPr>
        <w:t>Model</w:t>
      </w:r>
      <w:r>
        <w:rPr>
          <w:spacing w:val="-3"/>
          <w:sz w:val="18"/>
          <w:vertAlign w:val="baseline"/>
        </w:rPr>
        <w:t> </w:t>
      </w:r>
      <w:r>
        <w:rPr>
          <w:sz w:val="18"/>
          <w:vertAlign w:val="baseline"/>
        </w:rPr>
        <w:t>of</w:t>
      </w:r>
      <w:r>
        <w:rPr>
          <w:spacing w:val="-2"/>
          <w:sz w:val="18"/>
          <w:vertAlign w:val="baseline"/>
        </w:rPr>
        <w:t> </w:t>
      </w:r>
      <w:r>
        <w:rPr>
          <w:sz w:val="18"/>
          <w:vertAlign w:val="baseline"/>
        </w:rPr>
        <w:t>Intersectional</w:t>
      </w:r>
      <w:r>
        <w:rPr>
          <w:spacing w:val="-3"/>
          <w:sz w:val="18"/>
          <w:vertAlign w:val="baseline"/>
        </w:rPr>
        <w:t> </w:t>
      </w:r>
      <w:r>
        <w:rPr>
          <w:sz w:val="18"/>
          <w:vertAlign w:val="baseline"/>
        </w:rPr>
        <w:t>Stress</w:t>
      </w:r>
      <w:r>
        <w:rPr>
          <w:spacing w:val="-2"/>
          <w:sz w:val="18"/>
          <w:vertAlign w:val="baseline"/>
        </w:rPr>
        <w:t> </w:t>
      </w:r>
      <w:r>
        <w:rPr>
          <w:sz w:val="18"/>
          <w:vertAlign w:val="baseline"/>
        </w:rPr>
        <w:t>and Trauma in Asian American Sexual and Gender Minorities.” </w:t>
      </w:r>
      <w:r>
        <w:rPr>
          <w:i/>
          <w:sz w:val="18"/>
          <w:vertAlign w:val="baseline"/>
        </w:rPr>
        <w:t>Psychology of Violence </w:t>
      </w:r>
      <w:r>
        <w:rPr>
          <w:sz w:val="18"/>
          <w:vertAlign w:val="baseline"/>
        </w:rPr>
        <w:t>8, no. 6 (November 2018): 657–68. </w:t>
      </w:r>
      <w:bookmarkStart w:name="_bookmark124" w:id="280"/>
      <w:bookmarkEnd w:id="280"/>
      <w:r>
        <w:rPr>
          <w:spacing w:val="-1"/>
          <w:sz w:val="18"/>
          <w:vertAlign w:val="baseline"/>
        </w:rPr>
      </w:r>
      <w:hyperlink r:id="rId210">
        <w:r>
          <w:rPr>
            <w:color w:val="1153CC"/>
            <w:spacing w:val="-2"/>
            <w:sz w:val="18"/>
            <w:u w:val="single" w:color="1153CC"/>
            <w:vertAlign w:val="baseline"/>
          </w:rPr>
          <w:t>https://doi.org/10.1037/vio0000204</w:t>
        </w:r>
      </w:hyperlink>
      <w:hyperlink r:id="rId210">
        <w:r>
          <w:rPr>
            <w:spacing w:val="-2"/>
            <w:sz w:val="18"/>
            <w:u w:val="none"/>
            <w:vertAlign w:val="baseline"/>
          </w:rPr>
          <w:t>.</w:t>
        </w:r>
      </w:hyperlink>
    </w:p>
    <w:p>
      <w:pPr>
        <w:spacing w:before="0"/>
        <w:ind w:left="463" w:right="314" w:hanging="1"/>
        <w:jc w:val="left"/>
        <w:rPr>
          <w:sz w:val="18"/>
        </w:rPr>
      </w:pPr>
      <w:r>
        <w:rPr>
          <w:sz w:val="18"/>
          <w:vertAlign w:val="superscript"/>
        </w:rPr>
        <w:t>23</w:t>
      </w:r>
      <w:r>
        <w:rPr>
          <w:spacing w:val="-13"/>
          <w:sz w:val="18"/>
          <w:vertAlign w:val="baseline"/>
        </w:rPr>
        <w:t> </w:t>
      </w:r>
      <w:r>
        <w:rPr>
          <w:sz w:val="18"/>
          <w:vertAlign w:val="baseline"/>
        </w:rPr>
        <w:t>Hailey,</w:t>
      </w:r>
      <w:r>
        <w:rPr>
          <w:spacing w:val="-4"/>
          <w:sz w:val="18"/>
          <w:vertAlign w:val="baseline"/>
        </w:rPr>
        <w:t> </w:t>
      </w:r>
      <w:r>
        <w:rPr>
          <w:sz w:val="18"/>
          <w:vertAlign w:val="baseline"/>
        </w:rPr>
        <w:t>Jamal,</w:t>
      </w:r>
      <w:r>
        <w:rPr>
          <w:spacing w:val="-3"/>
          <w:sz w:val="18"/>
          <w:vertAlign w:val="baseline"/>
        </w:rPr>
        <w:t> </w:t>
      </w:r>
      <w:r>
        <w:rPr>
          <w:sz w:val="18"/>
          <w:vertAlign w:val="baseline"/>
        </w:rPr>
        <w:t>Whitney</w:t>
      </w:r>
      <w:r>
        <w:rPr>
          <w:spacing w:val="-2"/>
          <w:sz w:val="18"/>
          <w:vertAlign w:val="baseline"/>
        </w:rPr>
        <w:t> </w:t>
      </w:r>
      <w:r>
        <w:rPr>
          <w:sz w:val="18"/>
          <w:vertAlign w:val="baseline"/>
        </w:rPr>
        <w:t>Burton,</w:t>
      </w:r>
      <w:r>
        <w:rPr>
          <w:spacing w:val="-3"/>
          <w:sz w:val="18"/>
          <w:vertAlign w:val="baseline"/>
        </w:rPr>
        <w:t> </w:t>
      </w:r>
      <w:r>
        <w:rPr>
          <w:sz w:val="18"/>
          <w:vertAlign w:val="baseline"/>
        </w:rPr>
        <w:t>and</w:t>
      </w:r>
      <w:r>
        <w:rPr>
          <w:spacing w:val="-2"/>
          <w:sz w:val="18"/>
          <w:vertAlign w:val="baseline"/>
        </w:rPr>
        <w:t> </w:t>
      </w:r>
      <w:r>
        <w:rPr>
          <w:sz w:val="18"/>
          <w:vertAlign w:val="baseline"/>
        </w:rPr>
        <w:t>Joyell</w:t>
      </w:r>
      <w:r>
        <w:rPr>
          <w:spacing w:val="-3"/>
          <w:sz w:val="18"/>
          <w:vertAlign w:val="baseline"/>
        </w:rPr>
        <w:t> </w:t>
      </w:r>
      <w:r>
        <w:rPr>
          <w:sz w:val="18"/>
          <w:vertAlign w:val="baseline"/>
        </w:rPr>
        <w:t>Arscott.</w:t>
      </w:r>
      <w:r>
        <w:rPr>
          <w:spacing w:val="-2"/>
          <w:sz w:val="18"/>
          <w:vertAlign w:val="baseline"/>
        </w:rPr>
        <w:t> </w:t>
      </w:r>
      <w:r>
        <w:rPr>
          <w:sz w:val="18"/>
          <w:vertAlign w:val="baseline"/>
        </w:rPr>
        <w:t>“We</w:t>
      </w:r>
      <w:r>
        <w:rPr>
          <w:spacing w:val="-2"/>
          <w:sz w:val="18"/>
          <w:vertAlign w:val="baseline"/>
        </w:rPr>
        <w:t> </w:t>
      </w:r>
      <w:r>
        <w:rPr>
          <w:sz w:val="18"/>
          <w:vertAlign w:val="baseline"/>
        </w:rPr>
        <w:t>Are</w:t>
      </w:r>
      <w:r>
        <w:rPr>
          <w:spacing w:val="-2"/>
          <w:sz w:val="18"/>
          <w:vertAlign w:val="baseline"/>
        </w:rPr>
        <w:t> </w:t>
      </w:r>
      <w:r>
        <w:rPr>
          <w:sz w:val="18"/>
          <w:vertAlign w:val="baseline"/>
        </w:rPr>
        <w:t>Family:</w:t>
      </w:r>
      <w:r>
        <w:rPr>
          <w:spacing w:val="-2"/>
          <w:sz w:val="18"/>
          <w:vertAlign w:val="baseline"/>
        </w:rPr>
        <w:t> </w:t>
      </w:r>
      <w:r>
        <w:rPr>
          <w:sz w:val="18"/>
          <w:vertAlign w:val="baseline"/>
        </w:rPr>
        <w:t>Chosen</w:t>
      </w:r>
      <w:r>
        <w:rPr>
          <w:spacing w:val="-2"/>
          <w:sz w:val="18"/>
          <w:vertAlign w:val="baseline"/>
        </w:rPr>
        <w:t> </w:t>
      </w:r>
      <w:r>
        <w:rPr>
          <w:sz w:val="18"/>
          <w:vertAlign w:val="baseline"/>
        </w:rPr>
        <w:t>and</w:t>
      </w:r>
      <w:r>
        <w:rPr>
          <w:spacing w:val="-2"/>
          <w:sz w:val="18"/>
          <w:vertAlign w:val="baseline"/>
        </w:rPr>
        <w:t> </w:t>
      </w:r>
      <w:r>
        <w:rPr>
          <w:sz w:val="18"/>
          <w:vertAlign w:val="baseline"/>
        </w:rPr>
        <w:t>Created</w:t>
      </w:r>
      <w:r>
        <w:rPr>
          <w:spacing w:val="-2"/>
          <w:sz w:val="18"/>
          <w:vertAlign w:val="baseline"/>
        </w:rPr>
        <w:t> </w:t>
      </w:r>
      <w:r>
        <w:rPr>
          <w:sz w:val="18"/>
          <w:vertAlign w:val="baseline"/>
        </w:rPr>
        <w:t>Families</w:t>
      </w:r>
      <w:r>
        <w:rPr>
          <w:spacing w:val="-3"/>
          <w:sz w:val="18"/>
          <w:vertAlign w:val="baseline"/>
        </w:rPr>
        <w:t> </w:t>
      </w:r>
      <w:r>
        <w:rPr>
          <w:sz w:val="18"/>
          <w:vertAlign w:val="baseline"/>
        </w:rPr>
        <w:t>as</w:t>
      </w:r>
      <w:r>
        <w:rPr>
          <w:spacing w:val="-2"/>
          <w:sz w:val="18"/>
          <w:vertAlign w:val="baseline"/>
        </w:rPr>
        <w:t> </w:t>
      </w:r>
      <w:r>
        <w:rPr>
          <w:sz w:val="18"/>
          <w:vertAlign w:val="baseline"/>
        </w:rPr>
        <w:t>a</w:t>
      </w:r>
      <w:r>
        <w:rPr>
          <w:spacing w:val="-2"/>
          <w:sz w:val="18"/>
          <w:vertAlign w:val="baseline"/>
        </w:rPr>
        <w:t> </w:t>
      </w:r>
      <w:r>
        <w:rPr>
          <w:sz w:val="18"/>
          <w:vertAlign w:val="baseline"/>
        </w:rPr>
        <w:t>Protective</w:t>
      </w:r>
      <w:r>
        <w:rPr>
          <w:spacing w:val="-2"/>
          <w:sz w:val="18"/>
          <w:vertAlign w:val="baseline"/>
        </w:rPr>
        <w:t> </w:t>
      </w:r>
      <w:r>
        <w:rPr>
          <w:sz w:val="18"/>
          <w:vertAlign w:val="baseline"/>
        </w:rPr>
        <w:t>Factor</w:t>
      </w:r>
      <w:r>
        <w:rPr>
          <w:spacing w:val="-3"/>
          <w:sz w:val="18"/>
          <w:vertAlign w:val="baseline"/>
        </w:rPr>
        <w:t> </w:t>
      </w:r>
      <w:r>
        <w:rPr>
          <w:sz w:val="18"/>
          <w:vertAlign w:val="baseline"/>
        </w:rPr>
        <w:t>Against Racialized Trauma and Anti-LGBTQ Oppression Among African American Sexual and Gender Minority Youth.” </w:t>
      </w:r>
      <w:r>
        <w:rPr>
          <w:i/>
          <w:sz w:val="18"/>
          <w:vertAlign w:val="baseline"/>
        </w:rPr>
        <w:t>Journal of GLBT</w:t>
      </w:r>
      <w:r>
        <w:rPr>
          <w:i/>
          <w:sz w:val="18"/>
          <w:vertAlign w:val="baseline"/>
        </w:rPr>
        <w:t> </w:t>
      </w:r>
      <w:bookmarkStart w:name="_bookmark125" w:id="281"/>
      <w:bookmarkEnd w:id="281"/>
      <w:r>
        <w:rPr>
          <w:i/>
          <w:sz w:val="18"/>
          <w:vertAlign w:val="baseline"/>
        </w:rPr>
        <w:t>F</w:t>
      </w:r>
      <w:r>
        <w:rPr>
          <w:i/>
          <w:sz w:val="18"/>
          <w:vertAlign w:val="baseline"/>
        </w:rPr>
        <w:t>amily Studies </w:t>
      </w:r>
      <w:r>
        <w:rPr>
          <w:sz w:val="18"/>
          <w:vertAlign w:val="baseline"/>
        </w:rPr>
        <w:t>16, no. 2 (March 2, 2020): 176–91. </w:t>
      </w:r>
      <w:hyperlink r:id="rId211">
        <w:r>
          <w:rPr>
            <w:color w:val="1153CC"/>
            <w:sz w:val="18"/>
            <w:u w:val="single" w:color="1153CC"/>
            <w:vertAlign w:val="baseline"/>
          </w:rPr>
          <w:t>https://doi.org/10.1080/1550428X.2020.1724133</w:t>
        </w:r>
      </w:hyperlink>
      <w:hyperlink r:id="rId211">
        <w:r>
          <w:rPr>
            <w:sz w:val="18"/>
            <w:u w:val="none"/>
            <w:vertAlign w:val="baseline"/>
          </w:rPr>
          <w:t>.</w:t>
        </w:r>
      </w:hyperlink>
    </w:p>
    <w:p>
      <w:pPr>
        <w:spacing w:before="0"/>
        <w:ind w:left="463" w:right="688" w:hanging="1"/>
        <w:jc w:val="both"/>
        <w:rPr>
          <w:sz w:val="18"/>
        </w:rPr>
      </w:pPr>
      <w:r>
        <w:rPr>
          <w:sz w:val="18"/>
          <w:vertAlign w:val="superscript"/>
        </w:rPr>
        <w:t>24</w:t>
      </w:r>
      <w:r>
        <w:rPr>
          <w:spacing w:val="-11"/>
          <w:sz w:val="18"/>
          <w:vertAlign w:val="baseline"/>
        </w:rPr>
        <w:t> </w:t>
      </w:r>
      <w:r>
        <w:rPr>
          <w:sz w:val="18"/>
          <w:vertAlign w:val="baseline"/>
        </w:rPr>
        <w:t>Toomey,</w:t>
      </w:r>
      <w:r>
        <w:rPr>
          <w:spacing w:val="-4"/>
          <w:sz w:val="18"/>
          <w:vertAlign w:val="baseline"/>
        </w:rPr>
        <w:t> </w:t>
      </w:r>
      <w:r>
        <w:rPr>
          <w:sz w:val="18"/>
          <w:vertAlign w:val="baseline"/>
        </w:rPr>
        <w:t>Russell</w:t>
      </w:r>
      <w:r>
        <w:rPr>
          <w:spacing w:val="-2"/>
          <w:sz w:val="18"/>
          <w:vertAlign w:val="baseline"/>
        </w:rPr>
        <w:t> </w:t>
      </w:r>
      <w:r>
        <w:rPr>
          <w:sz w:val="18"/>
          <w:vertAlign w:val="baseline"/>
        </w:rPr>
        <w:t>B.,</w:t>
      </w:r>
      <w:r>
        <w:rPr>
          <w:spacing w:val="-2"/>
          <w:sz w:val="18"/>
          <w:vertAlign w:val="baseline"/>
        </w:rPr>
        <w:t> </w:t>
      </w:r>
      <w:r>
        <w:rPr>
          <w:sz w:val="18"/>
          <w:vertAlign w:val="baseline"/>
        </w:rPr>
        <w:t>Maura</w:t>
      </w:r>
      <w:r>
        <w:rPr>
          <w:spacing w:val="-1"/>
          <w:sz w:val="18"/>
          <w:vertAlign w:val="baseline"/>
        </w:rPr>
        <w:t> </w:t>
      </w:r>
      <w:r>
        <w:rPr>
          <w:sz w:val="18"/>
          <w:vertAlign w:val="baseline"/>
        </w:rPr>
        <w:t>Shramko,</w:t>
      </w:r>
      <w:r>
        <w:rPr>
          <w:spacing w:val="-2"/>
          <w:sz w:val="18"/>
          <w:vertAlign w:val="baseline"/>
        </w:rPr>
        <w:t> </w:t>
      </w:r>
      <w:r>
        <w:rPr>
          <w:sz w:val="18"/>
          <w:vertAlign w:val="baseline"/>
        </w:rPr>
        <w:t>Melissa</w:t>
      </w:r>
      <w:r>
        <w:rPr>
          <w:spacing w:val="-1"/>
          <w:sz w:val="18"/>
          <w:vertAlign w:val="baseline"/>
        </w:rPr>
        <w:t> </w:t>
      </w:r>
      <w:r>
        <w:rPr>
          <w:sz w:val="18"/>
          <w:vertAlign w:val="baseline"/>
        </w:rPr>
        <w:t>Flores,</w:t>
      </w:r>
      <w:r>
        <w:rPr>
          <w:spacing w:val="-2"/>
          <w:sz w:val="18"/>
          <w:vertAlign w:val="baseline"/>
        </w:rPr>
        <w:t> </w:t>
      </w:r>
      <w:r>
        <w:rPr>
          <w:sz w:val="18"/>
          <w:vertAlign w:val="baseline"/>
        </w:rPr>
        <w:t>and</w:t>
      </w:r>
      <w:r>
        <w:rPr>
          <w:spacing w:val="-1"/>
          <w:sz w:val="18"/>
          <w:vertAlign w:val="baseline"/>
        </w:rPr>
        <w:t> </w:t>
      </w:r>
      <w:r>
        <w:rPr>
          <w:sz w:val="18"/>
          <w:vertAlign w:val="baseline"/>
        </w:rPr>
        <w:t>Karla</w:t>
      </w:r>
      <w:r>
        <w:rPr>
          <w:spacing w:val="-1"/>
          <w:sz w:val="18"/>
          <w:vertAlign w:val="baseline"/>
        </w:rPr>
        <w:t> </w:t>
      </w:r>
      <w:r>
        <w:rPr>
          <w:sz w:val="18"/>
          <w:vertAlign w:val="baseline"/>
        </w:rPr>
        <w:t>Anhalt.</w:t>
      </w:r>
      <w:r>
        <w:rPr>
          <w:spacing w:val="-1"/>
          <w:sz w:val="18"/>
          <w:vertAlign w:val="baseline"/>
        </w:rPr>
        <w:t> </w:t>
      </w:r>
      <w:r>
        <w:rPr>
          <w:sz w:val="18"/>
          <w:vertAlign w:val="baseline"/>
        </w:rPr>
        <w:t>“Family</w:t>
      </w:r>
      <w:r>
        <w:rPr>
          <w:spacing w:val="-1"/>
          <w:sz w:val="18"/>
          <w:vertAlign w:val="baseline"/>
        </w:rPr>
        <w:t> </w:t>
      </w:r>
      <w:r>
        <w:rPr>
          <w:sz w:val="18"/>
          <w:vertAlign w:val="baseline"/>
        </w:rPr>
        <w:t>Socialization</w:t>
      </w:r>
      <w:r>
        <w:rPr>
          <w:spacing w:val="-1"/>
          <w:sz w:val="18"/>
          <w:vertAlign w:val="baseline"/>
        </w:rPr>
        <w:t> </w:t>
      </w:r>
      <w:r>
        <w:rPr>
          <w:sz w:val="18"/>
          <w:vertAlign w:val="baseline"/>
        </w:rPr>
        <w:t>for</w:t>
      </w:r>
      <w:r>
        <w:rPr>
          <w:spacing w:val="-1"/>
          <w:sz w:val="18"/>
          <w:vertAlign w:val="baseline"/>
        </w:rPr>
        <w:t> </w:t>
      </w:r>
      <w:r>
        <w:rPr>
          <w:sz w:val="18"/>
          <w:vertAlign w:val="baseline"/>
        </w:rPr>
        <w:t>Racism</w:t>
      </w:r>
      <w:r>
        <w:rPr>
          <w:spacing w:val="-1"/>
          <w:sz w:val="18"/>
          <w:vertAlign w:val="baseline"/>
        </w:rPr>
        <w:t> </w:t>
      </w:r>
      <w:r>
        <w:rPr>
          <w:sz w:val="18"/>
          <w:vertAlign w:val="baseline"/>
        </w:rPr>
        <w:t>and</w:t>
      </w:r>
      <w:r>
        <w:rPr>
          <w:spacing w:val="-1"/>
          <w:sz w:val="18"/>
          <w:vertAlign w:val="baseline"/>
        </w:rPr>
        <w:t> </w:t>
      </w:r>
      <w:r>
        <w:rPr>
          <w:sz w:val="18"/>
          <w:vertAlign w:val="baseline"/>
        </w:rPr>
        <w:t>Heterosexism: Experiences</w:t>
      </w:r>
      <w:r>
        <w:rPr>
          <w:spacing w:val="-2"/>
          <w:sz w:val="18"/>
          <w:vertAlign w:val="baseline"/>
        </w:rPr>
        <w:t> </w:t>
      </w:r>
      <w:r>
        <w:rPr>
          <w:sz w:val="18"/>
          <w:vertAlign w:val="baseline"/>
        </w:rPr>
        <w:t>of</w:t>
      </w:r>
      <w:r>
        <w:rPr>
          <w:spacing w:val="-2"/>
          <w:sz w:val="18"/>
          <w:vertAlign w:val="baseline"/>
        </w:rPr>
        <w:t> </w:t>
      </w:r>
      <w:r>
        <w:rPr>
          <w:sz w:val="18"/>
          <w:vertAlign w:val="baseline"/>
        </w:rPr>
        <w:t>Latinx</w:t>
      </w:r>
      <w:r>
        <w:rPr>
          <w:spacing w:val="-2"/>
          <w:sz w:val="18"/>
          <w:vertAlign w:val="baseline"/>
        </w:rPr>
        <w:t> </w:t>
      </w:r>
      <w:r>
        <w:rPr>
          <w:sz w:val="18"/>
          <w:vertAlign w:val="baseline"/>
        </w:rPr>
        <w:t>Sexual</w:t>
      </w:r>
      <w:r>
        <w:rPr>
          <w:spacing w:val="-3"/>
          <w:sz w:val="18"/>
          <w:vertAlign w:val="baseline"/>
        </w:rPr>
        <w:t> </w:t>
      </w:r>
      <w:r>
        <w:rPr>
          <w:sz w:val="18"/>
          <w:vertAlign w:val="baseline"/>
        </w:rPr>
        <w:t>Minority</w:t>
      </w:r>
      <w:r>
        <w:rPr>
          <w:spacing w:val="-2"/>
          <w:sz w:val="18"/>
          <w:vertAlign w:val="baseline"/>
        </w:rPr>
        <w:t> </w:t>
      </w:r>
      <w:r>
        <w:rPr>
          <w:sz w:val="18"/>
          <w:vertAlign w:val="baseline"/>
        </w:rPr>
        <w:t>Adolescents</w:t>
      </w:r>
      <w:r>
        <w:rPr>
          <w:spacing w:val="-2"/>
          <w:sz w:val="18"/>
          <w:vertAlign w:val="baseline"/>
        </w:rPr>
        <w:t> </w:t>
      </w:r>
      <w:r>
        <w:rPr>
          <w:sz w:val="18"/>
          <w:vertAlign w:val="baseline"/>
        </w:rPr>
        <w:t>and</w:t>
      </w:r>
      <w:r>
        <w:rPr>
          <w:spacing w:val="-2"/>
          <w:sz w:val="18"/>
          <w:vertAlign w:val="baseline"/>
        </w:rPr>
        <w:t> </w:t>
      </w:r>
      <w:r>
        <w:rPr>
          <w:sz w:val="18"/>
          <w:vertAlign w:val="baseline"/>
        </w:rPr>
        <w:t>Young</w:t>
      </w:r>
      <w:r>
        <w:rPr>
          <w:spacing w:val="-2"/>
          <w:sz w:val="18"/>
          <w:vertAlign w:val="baseline"/>
        </w:rPr>
        <w:t> </w:t>
      </w:r>
      <w:r>
        <w:rPr>
          <w:sz w:val="18"/>
          <w:vertAlign w:val="baseline"/>
        </w:rPr>
        <w:t>Adults.”</w:t>
      </w:r>
      <w:r>
        <w:rPr>
          <w:spacing w:val="-2"/>
          <w:sz w:val="18"/>
          <w:vertAlign w:val="baseline"/>
        </w:rPr>
        <w:t> </w:t>
      </w:r>
      <w:r>
        <w:rPr>
          <w:i/>
          <w:sz w:val="18"/>
          <w:vertAlign w:val="baseline"/>
        </w:rPr>
        <w:t>Journal</w:t>
      </w:r>
      <w:r>
        <w:rPr>
          <w:i/>
          <w:spacing w:val="-3"/>
          <w:sz w:val="18"/>
          <w:vertAlign w:val="baseline"/>
        </w:rPr>
        <w:t> </w:t>
      </w:r>
      <w:r>
        <w:rPr>
          <w:i/>
          <w:sz w:val="18"/>
          <w:vertAlign w:val="baseline"/>
        </w:rPr>
        <w:t>of</w:t>
      </w:r>
      <w:r>
        <w:rPr>
          <w:i/>
          <w:spacing w:val="-2"/>
          <w:sz w:val="18"/>
          <w:vertAlign w:val="baseline"/>
        </w:rPr>
        <w:t> </w:t>
      </w:r>
      <w:r>
        <w:rPr>
          <w:i/>
          <w:sz w:val="18"/>
          <w:vertAlign w:val="baseline"/>
        </w:rPr>
        <w:t>Family</w:t>
      </w:r>
      <w:r>
        <w:rPr>
          <w:i/>
          <w:spacing w:val="-2"/>
          <w:sz w:val="18"/>
          <w:vertAlign w:val="baseline"/>
        </w:rPr>
        <w:t> </w:t>
      </w:r>
      <w:r>
        <w:rPr>
          <w:i/>
          <w:sz w:val="18"/>
          <w:vertAlign w:val="baseline"/>
        </w:rPr>
        <w:t>Issues</w:t>
      </w:r>
      <w:r>
        <w:rPr>
          <w:i/>
          <w:spacing w:val="-3"/>
          <w:sz w:val="18"/>
          <w:vertAlign w:val="baseline"/>
        </w:rPr>
        <w:t> </w:t>
      </w:r>
      <w:r>
        <w:rPr>
          <w:sz w:val="18"/>
          <w:vertAlign w:val="baseline"/>
        </w:rPr>
        <w:t>39,</w:t>
      </w:r>
      <w:r>
        <w:rPr>
          <w:spacing w:val="-2"/>
          <w:sz w:val="18"/>
          <w:vertAlign w:val="baseline"/>
        </w:rPr>
        <w:t> </w:t>
      </w:r>
      <w:r>
        <w:rPr>
          <w:sz w:val="18"/>
          <w:vertAlign w:val="baseline"/>
        </w:rPr>
        <w:t>no.</w:t>
      </w:r>
      <w:r>
        <w:rPr>
          <w:spacing w:val="-2"/>
          <w:sz w:val="18"/>
          <w:vertAlign w:val="baseline"/>
        </w:rPr>
        <w:t> </w:t>
      </w:r>
      <w:r>
        <w:rPr>
          <w:sz w:val="18"/>
          <w:vertAlign w:val="baseline"/>
        </w:rPr>
        <w:t>13</w:t>
      </w:r>
      <w:r>
        <w:rPr>
          <w:spacing w:val="-2"/>
          <w:sz w:val="18"/>
          <w:vertAlign w:val="baseline"/>
        </w:rPr>
        <w:t> </w:t>
      </w:r>
      <w:r>
        <w:rPr>
          <w:sz w:val="18"/>
          <w:vertAlign w:val="baseline"/>
        </w:rPr>
        <w:t>(September</w:t>
      </w:r>
      <w:r>
        <w:rPr>
          <w:spacing w:val="-3"/>
          <w:sz w:val="18"/>
          <w:vertAlign w:val="baseline"/>
        </w:rPr>
        <w:t> </w:t>
      </w:r>
      <w:r>
        <w:rPr>
          <w:sz w:val="18"/>
          <w:vertAlign w:val="baseline"/>
        </w:rPr>
        <w:t>2018): </w:t>
      </w:r>
      <w:bookmarkStart w:name="_bookmark126" w:id="282"/>
      <w:bookmarkEnd w:id="282"/>
      <w:r>
        <w:rPr>
          <w:sz w:val="18"/>
          <w:vertAlign w:val="baseline"/>
        </w:rPr>
        <w:t>3586–</w:t>
      </w:r>
      <w:r>
        <w:rPr>
          <w:sz w:val="18"/>
          <w:vertAlign w:val="baseline"/>
        </w:rPr>
        <w:t>3611. </w:t>
      </w:r>
      <w:hyperlink r:id="rId212">
        <w:r>
          <w:rPr>
            <w:color w:val="1153CC"/>
            <w:sz w:val="18"/>
            <w:u w:val="single" w:color="1153CC"/>
            <w:vertAlign w:val="baseline"/>
          </w:rPr>
          <w:t>https://doi.org/10.1177/0192513X18783807</w:t>
        </w:r>
      </w:hyperlink>
      <w:hyperlink r:id="rId212">
        <w:r>
          <w:rPr>
            <w:sz w:val="18"/>
            <w:u w:val="none"/>
            <w:vertAlign w:val="baseline"/>
          </w:rPr>
          <w:t>.</w:t>
        </w:r>
      </w:hyperlink>
    </w:p>
    <w:p>
      <w:pPr>
        <w:spacing w:before="0"/>
        <w:ind w:left="463" w:right="350" w:hanging="1"/>
        <w:jc w:val="left"/>
        <w:rPr>
          <w:sz w:val="18"/>
        </w:rPr>
      </w:pPr>
      <w:r>
        <w:rPr>
          <w:sz w:val="18"/>
          <w:vertAlign w:val="superscript"/>
        </w:rPr>
        <w:t>25</w:t>
      </w:r>
      <w:r>
        <w:rPr>
          <w:spacing w:val="-13"/>
          <w:sz w:val="18"/>
          <w:vertAlign w:val="baseline"/>
        </w:rPr>
        <w:t> </w:t>
      </w:r>
      <w:r>
        <w:rPr>
          <w:sz w:val="18"/>
          <w:vertAlign w:val="baseline"/>
        </w:rPr>
        <w:t>Kosciw,</w:t>
      </w:r>
      <w:r>
        <w:rPr>
          <w:spacing w:val="-4"/>
          <w:sz w:val="18"/>
          <w:vertAlign w:val="baseline"/>
        </w:rPr>
        <w:t> </w:t>
      </w:r>
      <w:r>
        <w:rPr>
          <w:sz w:val="18"/>
          <w:vertAlign w:val="baseline"/>
        </w:rPr>
        <w:t>Joseph,</w:t>
      </w:r>
      <w:r>
        <w:rPr>
          <w:spacing w:val="-3"/>
          <w:sz w:val="18"/>
          <w:vertAlign w:val="baseline"/>
        </w:rPr>
        <w:t> </w:t>
      </w:r>
      <w:r>
        <w:rPr>
          <w:sz w:val="18"/>
          <w:vertAlign w:val="baseline"/>
        </w:rPr>
        <w:t>Caitlin</w:t>
      </w:r>
      <w:r>
        <w:rPr>
          <w:spacing w:val="-2"/>
          <w:sz w:val="18"/>
          <w:vertAlign w:val="baseline"/>
        </w:rPr>
        <w:t> </w:t>
      </w:r>
      <w:r>
        <w:rPr>
          <w:sz w:val="18"/>
          <w:vertAlign w:val="baseline"/>
        </w:rPr>
        <w:t>Clark,</w:t>
      </w:r>
      <w:r>
        <w:rPr>
          <w:spacing w:val="-3"/>
          <w:sz w:val="18"/>
          <w:vertAlign w:val="baseline"/>
        </w:rPr>
        <w:t> </w:t>
      </w:r>
      <w:r>
        <w:rPr>
          <w:sz w:val="18"/>
          <w:vertAlign w:val="baseline"/>
        </w:rPr>
        <w:t>and</w:t>
      </w:r>
      <w:r>
        <w:rPr>
          <w:spacing w:val="-2"/>
          <w:sz w:val="18"/>
          <w:vertAlign w:val="baseline"/>
        </w:rPr>
        <w:t> </w:t>
      </w:r>
      <w:r>
        <w:rPr>
          <w:sz w:val="18"/>
          <w:vertAlign w:val="baseline"/>
        </w:rPr>
        <w:t>Leesh</w:t>
      </w:r>
      <w:r>
        <w:rPr>
          <w:spacing w:val="-2"/>
          <w:sz w:val="18"/>
          <w:vertAlign w:val="baseline"/>
        </w:rPr>
        <w:t> </w:t>
      </w:r>
      <w:r>
        <w:rPr>
          <w:sz w:val="18"/>
          <w:vertAlign w:val="baseline"/>
        </w:rPr>
        <w:t>Menard,</w:t>
      </w:r>
      <w:r>
        <w:rPr>
          <w:spacing w:val="-3"/>
          <w:sz w:val="18"/>
          <w:vertAlign w:val="baseline"/>
        </w:rPr>
        <w:t> </w:t>
      </w:r>
      <w:r>
        <w:rPr>
          <w:sz w:val="18"/>
          <w:vertAlign w:val="baseline"/>
        </w:rPr>
        <w:t>“The</w:t>
      </w:r>
      <w:r>
        <w:rPr>
          <w:spacing w:val="-2"/>
          <w:sz w:val="18"/>
          <w:vertAlign w:val="baseline"/>
        </w:rPr>
        <w:t> </w:t>
      </w:r>
      <w:r>
        <w:rPr>
          <w:sz w:val="18"/>
          <w:vertAlign w:val="baseline"/>
        </w:rPr>
        <w:t>2021</w:t>
      </w:r>
      <w:r>
        <w:rPr>
          <w:spacing w:val="-2"/>
          <w:sz w:val="18"/>
          <w:vertAlign w:val="baseline"/>
        </w:rPr>
        <w:t> </w:t>
      </w:r>
      <w:r>
        <w:rPr>
          <w:sz w:val="18"/>
          <w:vertAlign w:val="baseline"/>
        </w:rPr>
        <w:t>National</w:t>
      </w:r>
      <w:r>
        <w:rPr>
          <w:spacing w:val="-3"/>
          <w:sz w:val="18"/>
          <w:vertAlign w:val="baseline"/>
        </w:rPr>
        <w:t> </w:t>
      </w:r>
      <w:r>
        <w:rPr>
          <w:sz w:val="18"/>
          <w:vertAlign w:val="baseline"/>
        </w:rPr>
        <w:t>School</w:t>
      </w:r>
      <w:r>
        <w:rPr>
          <w:spacing w:val="-3"/>
          <w:sz w:val="18"/>
          <w:vertAlign w:val="baseline"/>
        </w:rPr>
        <w:t> </w:t>
      </w:r>
      <w:r>
        <w:rPr>
          <w:sz w:val="18"/>
          <w:vertAlign w:val="baseline"/>
        </w:rPr>
        <w:t>Climate</w:t>
      </w:r>
      <w:r>
        <w:rPr>
          <w:spacing w:val="-2"/>
          <w:sz w:val="18"/>
          <w:vertAlign w:val="baseline"/>
        </w:rPr>
        <w:t> </w:t>
      </w:r>
      <w:r>
        <w:rPr>
          <w:sz w:val="18"/>
          <w:vertAlign w:val="baseline"/>
        </w:rPr>
        <w:t>Survey:</w:t>
      </w:r>
      <w:r>
        <w:rPr>
          <w:spacing w:val="-2"/>
          <w:sz w:val="18"/>
          <w:vertAlign w:val="baseline"/>
        </w:rPr>
        <w:t> </w:t>
      </w:r>
      <w:r>
        <w:rPr>
          <w:sz w:val="18"/>
          <w:vertAlign w:val="baseline"/>
        </w:rPr>
        <w:t>The</w:t>
      </w:r>
      <w:r>
        <w:rPr>
          <w:spacing w:val="-2"/>
          <w:sz w:val="18"/>
          <w:vertAlign w:val="baseline"/>
        </w:rPr>
        <w:t> </w:t>
      </w:r>
      <w:r>
        <w:rPr>
          <w:sz w:val="18"/>
          <w:vertAlign w:val="baseline"/>
        </w:rPr>
        <w:t>Experiences</w:t>
      </w:r>
      <w:r>
        <w:rPr>
          <w:spacing w:val="-2"/>
          <w:sz w:val="18"/>
          <w:vertAlign w:val="baseline"/>
        </w:rPr>
        <w:t> </w:t>
      </w:r>
      <w:r>
        <w:rPr>
          <w:sz w:val="18"/>
          <w:vertAlign w:val="baseline"/>
        </w:rPr>
        <w:t>of</w:t>
      </w:r>
      <w:r>
        <w:rPr>
          <w:spacing w:val="-3"/>
          <w:sz w:val="18"/>
          <w:vertAlign w:val="baseline"/>
        </w:rPr>
        <w:t> </w:t>
      </w:r>
      <w:r>
        <w:rPr>
          <w:sz w:val="18"/>
          <w:vertAlign w:val="baseline"/>
        </w:rPr>
        <w:t>LGBTQ+</w:t>
      </w:r>
      <w:r>
        <w:rPr>
          <w:spacing w:val="-2"/>
          <w:sz w:val="18"/>
          <w:vertAlign w:val="baseline"/>
        </w:rPr>
        <w:t> </w:t>
      </w:r>
      <w:r>
        <w:rPr>
          <w:sz w:val="18"/>
          <w:vertAlign w:val="baseline"/>
        </w:rPr>
        <w:t>Youth in Our Nation’s Schools” (New York: Gay, Lesbian and Straight Education Network, 2022), </w:t>
      </w:r>
      <w:bookmarkStart w:name="_bookmark127" w:id="283"/>
      <w:bookmarkEnd w:id="283"/>
      <w:r>
        <w:rPr>
          <w:sz w:val="18"/>
          <w:vertAlign w:val="baseline"/>
        </w:rPr>
      </w:r>
      <w:hyperlink r:id="rId206">
        <w:r>
          <w:rPr>
            <w:color w:val="1153CC"/>
            <w:spacing w:val="-2"/>
            <w:sz w:val="18"/>
            <w:u w:val="single" w:color="1153CC"/>
            <w:vertAlign w:val="baseline"/>
          </w:rPr>
          <w:t>https://www.glsen.org/sites/default/files/2022-10/NSCS-2021-Full-Report.pd</w:t>
        </w:r>
      </w:hyperlink>
      <w:hyperlink r:id="rId206">
        <w:r>
          <w:rPr>
            <w:color w:val="1153CC"/>
            <w:spacing w:val="-2"/>
            <w:sz w:val="18"/>
            <w:u w:val="single" w:color="1153CC"/>
            <w:vertAlign w:val="baseline"/>
          </w:rPr>
          <w:t>f</w:t>
        </w:r>
        <w:r>
          <w:rPr>
            <w:spacing w:val="-2"/>
            <w:sz w:val="18"/>
            <w:u w:val="none"/>
            <w:vertAlign w:val="baseline"/>
          </w:rPr>
          <w:t>.</w:t>
        </w:r>
      </w:hyperlink>
    </w:p>
    <w:p>
      <w:pPr>
        <w:spacing w:before="0"/>
        <w:ind w:left="463" w:right="350" w:firstLine="0"/>
        <w:jc w:val="left"/>
        <w:rPr>
          <w:sz w:val="18"/>
        </w:rPr>
      </w:pPr>
      <w:r>
        <w:rPr>
          <w:sz w:val="18"/>
          <w:vertAlign w:val="superscript"/>
        </w:rPr>
        <w:t>26</w:t>
      </w:r>
      <w:r>
        <w:rPr>
          <w:spacing w:val="-14"/>
          <w:sz w:val="18"/>
          <w:vertAlign w:val="baseline"/>
        </w:rPr>
        <w:t> </w:t>
      </w:r>
      <w:r>
        <w:rPr>
          <w:sz w:val="18"/>
          <w:vertAlign w:val="baseline"/>
        </w:rPr>
        <w:t>Prescott,</w:t>
      </w:r>
      <w:r>
        <w:rPr>
          <w:spacing w:val="-4"/>
          <w:sz w:val="18"/>
          <w:vertAlign w:val="baseline"/>
        </w:rPr>
        <w:t> </w:t>
      </w:r>
      <w:r>
        <w:rPr>
          <w:sz w:val="18"/>
          <w:vertAlign w:val="baseline"/>
        </w:rPr>
        <w:t>Amy,</w:t>
      </w:r>
      <w:r>
        <w:rPr>
          <w:spacing w:val="-3"/>
          <w:sz w:val="18"/>
          <w:vertAlign w:val="baseline"/>
        </w:rPr>
        <w:t> </w:t>
      </w:r>
      <w:r>
        <w:rPr>
          <w:sz w:val="18"/>
          <w:vertAlign w:val="baseline"/>
        </w:rPr>
        <w:t>Matthew</w:t>
      </w:r>
      <w:r>
        <w:rPr>
          <w:spacing w:val="-3"/>
          <w:sz w:val="18"/>
          <w:vertAlign w:val="baseline"/>
        </w:rPr>
        <w:t> </w:t>
      </w:r>
      <w:r>
        <w:rPr>
          <w:sz w:val="18"/>
          <w:vertAlign w:val="baseline"/>
        </w:rPr>
        <w:t>Alcala,</w:t>
      </w:r>
      <w:r>
        <w:rPr>
          <w:spacing w:val="-3"/>
          <w:sz w:val="18"/>
          <w:vertAlign w:val="baseline"/>
        </w:rPr>
        <w:t> </w:t>
      </w:r>
      <w:r>
        <w:rPr>
          <w:sz w:val="18"/>
          <w:vertAlign w:val="baseline"/>
        </w:rPr>
        <w:t>and</w:t>
      </w:r>
      <w:r>
        <w:rPr>
          <w:spacing w:val="-2"/>
          <w:sz w:val="18"/>
          <w:vertAlign w:val="baseline"/>
        </w:rPr>
        <w:t> </w:t>
      </w:r>
      <w:r>
        <w:rPr>
          <w:sz w:val="18"/>
          <w:vertAlign w:val="baseline"/>
        </w:rPr>
        <w:t>Nadine</w:t>
      </w:r>
      <w:r>
        <w:rPr>
          <w:spacing w:val="-2"/>
          <w:sz w:val="18"/>
          <w:vertAlign w:val="baseline"/>
        </w:rPr>
        <w:t> </w:t>
      </w:r>
      <w:r>
        <w:rPr>
          <w:sz w:val="18"/>
          <w:vertAlign w:val="baseline"/>
        </w:rPr>
        <w:t>Nakamura.</w:t>
      </w:r>
      <w:r>
        <w:rPr>
          <w:spacing w:val="-2"/>
          <w:sz w:val="18"/>
          <w:vertAlign w:val="baseline"/>
        </w:rPr>
        <w:t> </w:t>
      </w:r>
      <w:r>
        <w:rPr>
          <w:sz w:val="18"/>
          <w:vertAlign w:val="baseline"/>
        </w:rPr>
        <w:t>“Structural</w:t>
      </w:r>
      <w:r>
        <w:rPr>
          <w:spacing w:val="-3"/>
          <w:sz w:val="18"/>
          <w:vertAlign w:val="baseline"/>
        </w:rPr>
        <w:t> </w:t>
      </w:r>
      <w:r>
        <w:rPr>
          <w:sz w:val="18"/>
          <w:vertAlign w:val="baseline"/>
        </w:rPr>
        <w:t>Stigma</w:t>
      </w:r>
      <w:r>
        <w:rPr>
          <w:spacing w:val="-2"/>
          <w:sz w:val="18"/>
          <w:vertAlign w:val="baseline"/>
        </w:rPr>
        <w:t> </w:t>
      </w:r>
      <w:r>
        <w:rPr>
          <w:sz w:val="18"/>
          <w:vertAlign w:val="baseline"/>
        </w:rPr>
        <w:t>and</w:t>
      </w:r>
      <w:r>
        <w:rPr>
          <w:spacing w:val="-3"/>
          <w:sz w:val="18"/>
          <w:vertAlign w:val="baseline"/>
        </w:rPr>
        <w:t> </w:t>
      </w:r>
      <w:r>
        <w:rPr>
          <w:sz w:val="18"/>
          <w:vertAlign w:val="baseline"/>
        </w:rPr>
        <w:t>LGBTQ</w:t>
      </w:r>
      <w:r>
        <w:rPr>
          <w:spacing w:val="-2"/>
          <w:sz w:val="18"/>
          <w:vertAlign w:val="baseline"/>
        </w:rPr>
        <w:t> </w:t>
      </w:r>
      <w:r>
        <w:rPr>
          <w:sz w:val="18"/>
          <w:vertAlign w:val="baseline"/>
        </w:rPr>
        <w:t>PoC</w:t>
      </w:r>
      <w:r>
        <w:rPr>
          <w:spacing w:val="-2"/>
          <w:sz w:val="18"/>
          <w:vertAlign w:val="baseline"/>
        </w:rPr>
        <w:t> </w:t>
      </w:r>
      <w:r>
        <w:rPr>
          <w:sz w:val="18"/>
          <w:vertAlign w:val="baseline"/>
        </w:rPr>
        <w:t>Health.”</w:t>
      </w:r>
      <w:r>
        <w:rPr>
          <w:spacing w:val="-2"/>
          <w:sz w:val="18"/>
          <w:vertAlign w:val="baseline"/>
        </w:rPr>
        <w:t> </w:t>
      </w:r>
      <w:r>
        <w:rPr>
          <w:sz w:val="18"/>
          <w:vertAlign w:val="baseline"/>
        </w:rPr>
        <w:t>In</w:t>
      </w:r>
      <w:r>
        <w:rPr>
          <w:spacing w:val="-2"/>
          <w:sz w:val="18"/>
          <w:vertAlign w:val="baseline"/>
        </w:rPr>
        <w:t> </w:t>
      </w:r>
      <w:r>
        <w:rPr>
          <w:i/>
          <w:sz w:val="18"/>
          <w:vertAlign w:val="baseline"/>
        </w:rPr>
        <w:t>Heart,</w:t>
      </w:r>
      <w:r>
        <w:rPr>
          <w:i/>
          <w:spacing w:val="-3"/>
          <w:sz w:val="18"/>
          <w:vertAlign w:val="baseline"/>
        </w:rPr>
        <w:t> </w:t>
      </w:r>
      <w:r>
        <w:rPr>
          <w:i/>
          <w:sz w:val="18"/>
          <w:vertAlign w:val="baseline"/>
        </w:rPr>
        <w:t>Brain</w:t>
      </w:r>
      <w:r>
        <w:rPr>
          <w:i/>
          <w:spacing w:val="-3"/>
          <w:sz w:val="18"/>
          <w:vertAlign w:val="baseline"/>
        </w:rPr>
        <w:t> </w:t>
      </w:r>
      <w:r>
        <w:rPr>
          <w:i/>
          <w:sz w:val="18"/>
          <w:vertAlign w:val="baseline"/>
        </w:rPr>
        <w:t>and</w:t>
      </w:r>
      <w:r>
        <w:rPr>
          <w:i/>
          <w:spacing w:val="-3"/>
          <w:sz w:val="18"/>
          <w:vertAlign w:val="baseline"/>
        </w:rPr>
        <w:t> </w:t>
      </w:r>
      <w:r>
        <w:rPr>
          <w:i/>
          <w:sz w:val="18"/>
          <w:vertAlign w:val="baseline"/>
        </w:rPr>
        <w:t>Mental</w:t>
      </w:r>
      <w:r>
        <w:rPr>
          <w:i/>
          <w:sz w:val="18"/>
          <w:vertAlign w:val="baseline"/>
        </w:rPr>
        <w:t> Health Disparities for LGBTQ People of Color, </w:t>
      </w:r>
      <w:r>
        <w:rPr>
          <w:sz w:val="18"/>
          <w:vertAlign w:val="baseline"/>
        </w:rPr>
        <w:t>edited by James J. García, 149–60. Cham: Springer International Publishing, 2021. </w:t>
      </w:r>
      <w:bookmarkStart w:name="_bookmark128" w:id="284"/>
      <w:bookmarkEnd w:id="284"/>
      <w:r>
        <w:rPr>
          <w:sz w:val="18"/>
          <w:vertAlign w:val="baseline"/>
        </w:rPr>
      </w:r>
      <w:hyperlink r:id="rId213">
        <w:r>
          <w:rPr>
            <w:color w:val="1153CC"/>
            <w:spacing w:val="-2"/>
            <w:sz w:val="18"/>
            <w:u w:val="single" w:color="1153CC"/>
            <w:vertAlign w:val="baseline"/>
          </w:rPr>
          <w:t>https://doi.org/10.1007/978-3-030-70060-7_12</w:t>
        </w:r>
      </w:hyperlink>
      <w:hyperlink r:id="rId213">
        <w:r>
          <w:rPr>
            <w:spacing w:val="-2"/>
            <w:sz w:val="18"/>
            <w:u w:val="none"/>
            <w:vertAlign w:val="baseline"/>
          </w:rPr>
          <w:t>.</w:t>
        </w:r>
      </w:hyperlink>
    </w:p>
    <w:p>
      <w:pPr>
        <w:spacing w:before="0"/>
        <w:ind w:left="463" w:right="314" w:hanging="1"/>
        <w:jc w:val="left"/>
        <w:rPr>
          <w:sz w:val="18"/>
        </w:rPr>
      </w:pPr>
      <w:r>
        <w:rPr>
          <w:sz w:val="18"/>
          <w:vertAlign w:val="superscript"/>
        </w:rPr>
        <w:t>27</w:t>
      </w:r>
      <w:r>
        <w:rPr>
          <w:spacing w:val="-13"/>
          <w:sz w:val="18"/>
          <w:vertAlign w:val="baseline"/>
        </w:rPr>
        <w:t> </w:t>
      </w:r>
      <w:r>
        <w:rPr>
          <w:sz w:val="18"/>
          <w:vertAlign w:val="baseline"/>
        </w:rPr>
        <w:t>Bacong,</w:t>
      </w:r>
      <w:r>
        <w:rPr>
          <w:spacing w:val="-1"/>
          <w:sz w:val="18"/>
          <w:vertAlign w:val="baseline"/>
        </w:rPr>
        <w:t> </w:t>
      </w:r>
      <w:r>
        <w:rPr>
          <w:sz w:val="18"/>
          <w:vertAlign w:val="baseline"/>
        </w:rPr>
        <w:t>Adrian Matias,</w:t>
      </w:r>
      <w:r>
        <w:rPr>
          <w:spacing w:val="-1"/>
          <w:sz w:val="18"/>
          <w:vertAlign w:val="baseline"/>
        </w:rPr>
        <w:t> </w:t>
      </w:r>
      <w:r>
        <w:rPr>
          <w:sz w:val="18"/>
          <w:vertAlign w:val="baseline"/>
        </w:rPr>
        <w:t>and Cecilia Menjívar. “Recasting the Immigrant</w:t>
      </w:r>
      <w:r>
        <w:rPr>
          <w:spacing w:val="-1"/>
          <w:sz w:val="18"/>
          <w:vertAlign w:val="baseline"/>
        </w:rPr>
        <w:t> </w:t>
      </w:r>
      <w:r>
        <w:rPr>
          <w:sz w:val="18"/>
          <w:vertAlign w:val="baseline"/>
        </w:rPr>
        <w:t>Health Paradox Through Intersections of Legal</w:t>
      </w:r>
      <w:r>
        <w:rPr>
          <w:spacing w:val="-1"/>
          <w:sz w:val="18"/>
          <w:vertAlign w:val="baseline"/>
        </w:rPr>
        <w:t> </w:t>
      </w:r>
      <w:r>
        <w:rPr>
          <w:sz w:val="18"/>
          <w:vertAlign w:val="baseline"/>
        </w:rPr>
        <w:t>Status and</w:t>
      </w:r>
      <w:r>
        <w:rPr>
          <w:spacing w:val="-5"/>
          <w:sz w:val="18"/>
          <w:vertAlign w:val="baseline"/>
        </w:rPr>
        <w:t> </w:t>
      </w:r>
      <w:r>
        <w:rPr>
          <w:sz w:val="18"/>
          <w:vertAlign w:val="baseline"/>
        </w:rPr>
        <w:t>Race.”</w:t>
      </w:r>
      <w:r>
        <w:rPr>
          <w:spacing w:val="-2"/>
          <w:sz w:val="18"/>
          <w:vertAlign w:val="baseline"/>
        </w:rPr>
        <w:t> </w:t>
      </w:r>
      <w:r>
        <w:rPr>
          <w:i/>
          <w:sz w:val="18"/>
          <w:vertAlign w:val="baseline"/>
        </w:rPr>
        <w:t>Journal</w:t>
      </w:r>
      <w:r>
        <w:rPr>
          <w:i/>
          <w:spacing w:val="-3"/>
          <w:sz w:val="18"/>
          <w:vertAlign w:val="baseline"/>
        </w:rPr>
        <w:t> </w:t>
      </w:r>
      <w:r>
        <w:rPr>
          <w:i/>
          <w:sz w:val="18"/>
          <w:vertAlign w:val="baseline"/>
        </w:rPr>
        <w:t>of</w:t>
      </w:r>
      <w:r>
        <w:rPr>
          <w:i/>
          <w:spacing w:val="-3"/>
          <w:sz w:val="18"/>
          <w:vertAlign w:val="baseline"/>
        </w:rPr>
        <w:t> </w:t>
      </w:r>
      <w:r>
        <w:rPr>
          <w:i/>
          <w:sz w:val="18"/>
          <w:vertAlign w:val="baseline"/>
        </w:rPr>
        <w:t>Immigrant</w:t>
      </w:r>
      <w:r>
        <w:rPr>
          <w:i/>
          <w:spacing w:val="-1"/>
          <w:sz w:val="18"/>
          <w:vertAlign w:val="baseline"/>
        </w:rPr>
        <w:t> </w:t>
      </w:r>
      <w:r>
        <w:rPr>
          <w:i/>
          <w:sz w:val="18"/>
          <w:vertAlign w:val="baseline"/>
        </w:rPr>
        <w:t>and</w:t>
      </w:r>
      <w:r>
        <w:rPr>
          <w:i/>
          <w:spacing w:val="-4"/>
          <w:sz w:val="18"/>
          <w:vertAlign w:val="baseline"/>
        </w:rPr>
        <w:t> </w:t>
      </w:r>
      <w:r>
        <w:rPr>
          <w:i/>
          <w:sz w:val="18"/>
          <w:vertAlign w:val="baseline"/>
        </w:rPr>
        <w:t>Minority</w:t>
      </w:r>
      <w:r>
        <w:rPr>
          <w:i/>
          <w:spacing w:val="-1"/>
          <w:sz w:val="18"/>
          <w:vertAlign w:val="baseline"/>
        </w:rPr>
        <w:t> </w:t>
      </w:r>
      <w:r>
        <w:rPr>
          <w:i/>
          <w:sz w:val="18"/>
          <w:vertAlign w:val="baseline"/>
        </w:rPr>
        <w:t>Health</w:t>
      </w:r>
      <w:r>
        <w:rPr>
          <w:i/>
          <w:spacing w:val="-3"/>
          <w:sz w:val="18"/>
          <w:vertAlign w:val="baseline"/>
        </w:rPr>
        <w:t> </w:t>
      </w:r>
      <w:r>
        <w:rPr>
          <w:sz w:val="18"/>
          <w:vertAlign w:val="baseline"/>
        </w:rPr>
        <w:t>23,</w:t>
      </w:r>
      <w:r>
        <w:rPr>
          <w:spacing w:val="-4"/>
          <w:sz w:val="18"/>
          <w:vertAlign w:val="baseline"/>
        </w:rPr>
        <w:t> </w:t>
      </w:r>
      <w:r>
        <w:rPr>
          <w:sz w:val="18"/>
          <w:vertAlign w:val="baseline"/>
        </w:rPr>
        <w:t>no.</w:t>
      </w:r>
      <w:r>
        <w:rPr>
          <w:spacing w:val="-2"/>
          <w:sz w:val="18"/>
          <w:vertAlign w:val="baseline"/>
        </w:rPr>
        <w:t> </w:t>
      </w:r>
      <w:r>
        <w:rPr>
          <w:sz w:val="18"/>
          <w:vertAlign w:val="baseline"/>
        </w:rPr>
        <w:t>5</w:t>
      </w:r>
      <w:r>
        <w:rPr>
          <w:spacing w:val="-2"/>
          <w:sz w:val="18"/>
          <w:vertAlign w:val="baseline"/>
        </w:rPr>
        <w:t> </w:t>
      </w:r>
      <w:r>
        <w:rPr>
          <w:sz w:val="18"/>
          <w:vertAlign w:val="baseline"/>
        </w:rPr>
        <w:t>(October</w:t>
      </w:r>
      <w:r>
        <w:rPr>
          <w:spacing w:val="-4"/>
          <w:sz w:val="18"/>
          <w:vertAlign w:val="baseline"/>
        </w:rPr>
        <w:t> </w:t>
      </w:r>
      <w:r>
        <w:rPr>
          <w:sz w:val="18"/>
          <w:vertAlign w:val="baseline"/>
        </w:rPr>
        <w:t>1,</w:t>
      </w:r>
      <w:r>
        <w:rPr>
          <w:spacing w:val="-3"/>
          <w:sz w:val="18"/>
          <w:vertAlign w:val="baseline"/>
        </w:rPr>
        <w:t> </w:t>
      </w:r>
      <w:r>
        <w:rPr>
          <w:sz w:val="18"/>
          <w:vertAlign w:val="baseline"/>
        </w:rPr>
        <w:t>2021):</w:t>
      </w:r>
      <w:r>
        <w:rPr>
          <w:spacing w:val="-2"/>
          <w:sz w:val="18"/>
          <w:vertAlign w:val="baseline"/>
        </w:rPr>
        <w:t> </w:t>
      </w:r>
      <w:r>
        <w:rPr>
          <w:sz w:val="18"/>
          <w:vertAlign w:val="baseline"/>
        </w:rPr>
        <w:t>1092–1104.</w:t>
      </w:r>
      <w:r>
        <w:rPr>
          <w:spacing w:val="-2"/>
          <w:sz w:val="18"/>
          <w:vertAlign w:val="baseline"/>
        </w:rPr>
        <w:t> </w:t>
      </w:r>
      <w:hyperlink r:id="rId214">
        <w:r>
          <w:rPr>
            <w:color w:val="1153CC"/>
            <w:spacing w:val="-2"/>
            <w:sz w:val="18"/>
            <w:u w:val="single" w:color="1153CC"/>
            <w:vertAlign w:val="baseline"/>
          </w:rPr>
          <w:t>https://doi.org/10.1007/s10903-</w:t>
        </w:r>
      </w:hyperlink>
    </w:p>
    <w:p>
      <w:pPr>
        <w:spacing w:line="219" w:lineRule="exact" w:before="0"/>
        <w:ind w:left="463" w:right="0" w:firstLine="0"/>
        <w:jc w:val="left"/>
        <w:rPr>
          <w:sz w:val="18"/>
        </w:rPr>
      </w:pPr>
      <w:bookmarkStart w:name="_bookmark129" w:id="285"/>
      <w:bookmarkEnd w:id="285"/>
      <w:r>
        <w:rPr/>
      </w:r>
      <w:hyperlink r:id="rId214">
        <w:r>
          <w:rPr>
            <w:color w:val="1153CC"/>
            <w:spacing w:val="-2"/>
            <w:sz w:val="18"/>
            <w:u w:val="single" w:color="1153CC"/>
          </w:rPr>
          <w:t>021-01162-</w:t>
        </w:r>
        <w:r>
          <w:rPr>
            <w:color w:val="1153CC"/>
            <w:spacing w:val="-10"/>
            <w:sz w:val="18"/>
            <w:u w:val="single" w:color="1153CC"/>
          </w:rPr>
          <w:t>2</w:t>
        </w:r>
      </w:hyperlink>
    </w:p>
    <w:p>
      <w:pPr>
        <w:spacing w:before="0"/>
        <w:ind w:left="463" w:right="1688" w:hanging="1"/>
        <w:jc w:val="left"/>
        <w:rPr>
          <w:sz w:val="18"/>
        </w:rPr>
      </w:pPr>
      <w:r>
        <w:rPr>
          <w:sz w:val="18"/>
          <w:vertAlign w:val="superscript"/>
        </w:rPr>
        <w:t>28</w:t>
      </w:r>
      <w:r>
        <w:rPr>
          <w:spacing w:val="-12"/>
          <w:sz w:val="18"/>
          <w:vertAlign w:val="baseline"/>
        </w:rPr>
        <w:t> </w:t>
      </w:r>
      <w:r>
        <w:rPr>
          <w:sz w:val="18"/>
          <w:vertAlign w:val="baseline"/>
        </w:rPr>
        <w:t>The Trevor Project. “The Trevor Project Research Brief: LGBTQ Youth from Immigrant Families,” April 2021. </w:t>
      </w:r>
      <w:bookmarkStart w:name="_bookmark130" w:id="286"/>
      <w:bookmarkEnd w:id="286"/>
      <w:r>
        <w:rPr>
          <w:sz w:val="18"/>
          <w:vertAlign w:val="baseline"/>
        </w:rPr>
      </w:r>
      <w:hyperlink r:id="rId215">
        <w:r>
          <w:rPr>
            <w:color w:val="1153CC"/>
            <w:spacing w:val="-2"/>
            <w:sz w:val="18"/>
            <w:u w:val="single" w:color="1153CC"/>
            <w:vertAlign w:val="baseline"/>
          </w:rPr>
          <w:t>www.thetrevorproject.org/wp-content/uploads/2021/07/Trevor-Project-First-Generation-Research-Brief.pd</w:t>
        </w:r>
      </w:hyperlink>
      <w:hyperlink r:id="rId215">
        <w:r>
          <w:rPr>
            <w:color w:val="1153CC"/>
            <w:spacing w:val="-2"/>
            <w:sz w:val="18"/>
            <w:u w:val="single" w:color="1153CC"/>
            <w:vertAlign w:val="baseline"/>
          </w:rPr>
          <w:t>f</w:t>
        </w:r>
        <w:r>
          <w:rPr>
            <w:spacing w:val="-2"/>
            <w:sz w:val="18"/>
            <w:u w:val="none"/>
            <w:vertAlign w:val="baseline"/>
          </w:rPr>
          <w:t>.</w:t>
        </w:r>
      </w:hyperlink>
    </w:p>
    <w:p>
      <w:pPr>
        <w:spacing w:before="0"/>
        <w:ind w:left="463" w:right="314" w:hanging="1"/>
        <w:jc w:val="left"/>
        <w:rPr>
          <w:sz w:val="18"/>
        </w:rPr>
      </w:pPr>
      <w:r>
        <w:rPr>
          <w:sz w:val="18"/>
          <w:vertAlign w:val="superscript"/>
        </w:rPr>
        <w:t>29</w:t>
      </w:r>
      <w:r>
        <w:rPr>
          <w:spacing w:val="-13"/>
          <w:sz w:val="18"/>
          <w:vertAlign w:val="baseline"/>
        </w:rPr>
        <w:t> </w:t>
      </w:r>
      <w:r>
        <w:rPr>
          <w:sz w:val="18"/>
          <w:vertAlign w:val="baseline"/>
        </w:rPr>
        <w:t>Munro,</w:t>
      </w:r>
      <w:r>
        <w:rPr>
          <w:spacing w:val="-4"/>
          <w:sz w:val="18"/>
          <w:vertAlign w:val="baseline"/>
        </w:rPr>
        <w:t> </w:t>
      </w:r>
      <w:r>
        <w:rPr>
          <w:sz w:val="18"/>
          <w:vertAlign w:val="baseline"/>
        </w:rPr>
        <w:t>Lauren,</w:t>
      </w:r>
      <w:r>
        <w:rPr>
          <w:spacing w:val="-3"/>
          <w:sz w:val="18"/>
          <w:vertAlign w:val="baseline"/>
        </w:rPr>
        <w:t> </w:t>
      </w:r>
      <w:r>
        <w:rPr>
          <w:sz w:val="18"/>
          <w:vertAlign w:val="baseline"/>
        </w:rPr>
        <w:t>Robb</w:t>
      </w:r>
      <w:r>
        <w:rPr>
          <w:spacing w:val="-2"/>
          <w:sz w:val="18"/>
          <w:vertAlign w:val="baseline"/>
        </w:rPr>
        <w:t> </w:t>
      </w:r>
      <w:r>
        <w:rPr>
          <w:sz w:val="18"/>
          <w:vertAlign w:val="baseline"/>
        </w:rPr>
        <w:t>Travers,</w:t>
      </w:r>
      <w:r>
        <w:rPr>
          <w:spacing w:val="-3"/>
          <w:sz w:val="18"/>
          <w:vertAlign w:val="baseline"/>
        </w:rPr>
        <w:t> </w:t>
      </w:r>
      <w:r>
        <w:rPr>
          <w:sz w:val="18"/>
          <w:vertAlign w:val="baseline"/>
        </w:rPr>
        <w:t>Alex</w:t>
      </w:r>
      <w:r>
        <w:rPr>
          <w:spacing w:val="-2"/>
          <w:sz w:val="18"/>
          <w:vertAlign w:val="baseline"/>
        </w:rPr>
        <w:t> </w:t>
      </w:r>
      <w:r>
        <w:rPr>
          <w:sz w:val="18"/>
          <w:vertAlign w:val="baseline"/>
        </w:rPr>
        <w:t>St.</w:t>
      </w:r>
      <w:r>
        <w:rPr>
          <w:spacing w:val="-2"/>
          <w:sz w:val="18"/>
          <w:vertAlign w:val="baseline"/>
        </w:rPr>
        <w:t> </w:t>
      </w:r>
      <w:r>
        <w:rPr>
          <w:sz w:val="18"/>
          <w:vertAlign w:val="baseline"/>
        </w:rPr>
        <w:t>John,</w:t>
      </w:r>
      <w:r>
        <w:rPr>
          <w:spacing w:val="-3"/>
          <w:sz w:val="18"/>
          <w:vertAlign w:val="baseline"/>
        </w:rPr>
        <w:t> </w:t>
      </w:r>
      <w:r>
        <w:rPr>
          <w:sz w:val="18"/>
          <w:vertAlign w:val="baseline"/>
        </w:rPr>
        <w:t>Kate</w:t>
      </w:r>
      <w:r>
        <w:rPr>
          <w:spacing w:val="-2"/>
          <w:sz w:val="18"/>
          <w:vertAlign w:val="baseline"/>
        </w:rPr>
        <w:t> </w:t>
      </w:r>
      <w:r>
        <w:rPr>
          <w:sz w:val="18"/>
          <w:vertAlign w:val="baseline"/>
        </w:rPr>
        <w:t>Klein,</w:t>
      </w:r>
      <w:r>
        <w:rPr>
          <w:spacing w:val="-3"/>
          <w:sz w:val="18"/>
          <w:vertAlign w:val="baseline"/>
        </w:rPr>
        <w:t> </w:t>
      </w:r>
      <w:r>
        <w:rPr>
          <w:sz w:val="18"/>
          <w:vertAlign w:val="baseline"/>
        </w:rPr>
        <w:t>Heather</w:t>
      </w:r>
      <w:r>
        <w:rPr>
          <w:spacing w:val="-3"/>
          <w:sz w:val="18"/>
          <w:vertAlign w:val="baseline"/>
        </w:rPr>
        <w:t> </w:t>
      </w:r>
      <w:r>
        <w:rPr>
          <w:sz w:val="18"/>
          <w:vertAlign w:val="baseline"/>
        </w:rPr>
        <w:t>Hunter,</w:t>
      </w:r>
      <w:r>
        <w:rPr>
          <w:spacing w:val="-3"/>
          <w:sz w:val="18"/>
          <w:vertAlign w:val="baseline"/>
        </w:rPr>
        <w:t> </w:t>
      </w:r>
      <w:r>
        <w:rPr>
          <w:sz w:val="18"/>
          <w:vertAlign w:val="baseline"/>
        </w:rPr>
        <w:t>David</w:t>
      </w:r>
      <w:r>
        <w:rPr>
          <w:spacing w:val="-1"/>
          <w:sz w:val="18"/>
          <w:vertAlign w:val="baseline"/>
        </w:rPr>
        <w:t> </w:t>
      </w:r>
      <w:r>
        <w:rPr>
          <w:sz w:val="18"/>
          <w:vertAlign w:val="baseline"/>
        </w:rPr>
        <w:t>Brennan,</w:t>
      </w:r>
      <w:r>
        <w:rPr>
          <w:spacing w:val="-3"/>
          <w:sz w:val="18"/>
          <w:vertAlign w:val="baseline"/>
        </w:rPr>
        <w:t> </w:t>
      </w:r>
      <w:r>
        <w:rPr>
          <w:sz w:val="18"/>
          <w:vertAlign w:val="baseline"/>
        </w:rPr>
        <w:t>and</w:t>
      </w:r>
      <w:r>
        <w:rPr>
          <w:spacing w:val="-2"/>
          <w:sz w:val="18"/>
          <w:vertAlign w:val="baseline"/>
        </w:rPr>
        <w:t> </w:t>
      </w:r>
      <w:r>
        <w:rPr>
          <w:sz w:val="18"/>
          <w:vertAlign w:val="baseline"/>
        </w:rPr>
        <w:t>Chavisa</w:t>
      </w:r>
      <w:r>
        <w:rPr>
          <w:spacing w:val="-2"/>
          <w:sz w:val="18"/>
          <w:vertAlign w:val="baseline"/>
        </w:rPr>
        <w:t> </w:t>
      </w:r>
      <w:r>
        <w:rPr>
          <w:sz w:val="18"/>
          <w:vertAlign w:val="baseline"/>
        </w:rPr>
        <w:t>Brett.</w:t>
      </w:r>
      <w:r>
        <w:rPr>
          <w:spacing w:val="-2"/>
          <w:sz w:val="18"/>
          <w:vertAlign w:val="baseline"/>
        </w:rPr>
        <w:t> </w:t>
      </w:r>
      <w:r>
        <w:rPr>
          <w:sz w:val="18"/>
          <w:vertAlign w:val="baseline"/>
        </w:rPr>
        <w:t>“A</w:t>
      </w:r>
      <w:r>
        <w:rPr>
          <w:spacing w:val="-5"/>
          <w:sz w:val="18"/>
          <w:vertAlign w:val="baseline"/>
        </w:rPr>
        <w:t> </w:t>
      </w:r>
      <w:r>
        <w:rPr>
          <w:sz w:val="18"/>
          <w:vertAlign w:val="baseline"/>
        </w:rPr>
        <w:t>Bed</w:t>
      </w:r>
      <w:r>
        <w:rPr>
          <w:spacing w:val="-2"/>
          <w:sz w:val="18"/>
          <w:vertAlign w:val="baseline"/>
        </w:rPr>
        <w:t> </w:t>
      </w:r>
      <w:r>
        <w:rPr>
          <w:sz w:val="18"/>
          <w:vertAlign w:val="baseline"/>
        </w:rPr>
        <w:t>of</w:t>
      </w:r>
      <w:r>
        <w:rPr>
          <w:spacing w:val="-2"/>
          <w:sz w:val="18"/>
          <w:vertAlign w:val="baseline"/>
        </w:rPr>
        <w:t> </w:t>
      </w:r>
      <w:r>
        <w:rPr>
          <w:sz w:val="18"/>
          <w:vertAlign w:val="baseline"/>
        </w:rPr>
        <w:t>Roses?: Exploring the Experiences of LGBT Newcomer Youth Who Migrate to Toronto.” Edited by Dr Carol Mutch And Dr Jay Marlowe. </w:t>
      </w:r>
      <w:bookmarkStart w:name="_bookmark131" w:id="287"/>
      <w:bookmarkEnd w:id="287"/>
      <w:r>
        <w:rPr>
          <w:sz w:val="18"/>
          <w:vertAlign w:val="baseline"/>
        </w:rPr>
      </w:r>
      <w:r>
        <w:rPr>
          <w:i/>
          <w:sz w:val="18"/>
          <w:vertAlign w:val="baseline"/>
        </w:rPr>
        <w:t>Ethnicity and Inequalities in Health and Social Care </w:t>
      </w:r>
      <w:r>
        <w:rPr>
          <w:sz w:val="18"/>
          <w:vertAlign w:val="baseline"/>
        </w:rPr>
        <w:t>6, no. 4 (November 29, 2013): 137–50. </w:t>
      </w:r>
      <w:hyperlink r:id="rId216">
        <w:r>
          <w:rPr>
            <w:color w:val="1153CC"/>
            <w:sz w:val="18"/>
            <w:u w:val="single" w:color="1153CC"/>
            <w:vertAlign w:val="baseline"/>
          </w:rPr>
          <w:t>https://doi.org/10.1108/EIHSC-09-</w:t>
        </w:r>
      </w:hyperlink>
    </w:p>
    <w:p>
      <w:pPr>
        <w:spacing w:before="1"/>
        <w:ind w:left="463" w:right="0" w:firstLine="0"/>
        <w:jc w:val="left"/>
        <w:rPr>
          <w:sz w:val="18"/>
        </w:rPr>
      </w:pPr>
      <w:bookmarkStart w:name="_bookmark132" w:id="288"/>
      <w:bookmarkEnd w:id="288"/>
      <w:r>
        <w:rPr/>
      </w:r>
      <w:hyperlink r:id="rId216">
        <w:r>
          <w:rPr>
            <w:color w:val="1153CC"/>
            <w:spacing w:val="-2"/>
            <w:sz w:val="18"/>
            <w:u w:val="single" w:color="1153CC"/>
          </w:rPr>
          <w:t>2013-0018</w:t>
        </w:r>
      </w:hyperlink>
      <w:hyperlink r:id="rId216">
        <w:r>
          <w:rPr>
            <w:spacing w:val="-2"/>
            <w:sz w:val="18"/>
            <w:u w:val="none"/>
          </w:rPr>
          <w:t>.</w:t>
        </w:r>
      </w:hyperlink>
    </w:p>
    <w:p>
      <w:pPr>
        <w:spacing w:before="0"/>
        <w:ind w:left="463" w:right="314" w:hanging="1"/>
        <w:jc w:val="left"/>
        <w:rPr>
          <w:sz w:val="18"/>
        </w:rPr>
      </w:pPr>
      <w:r>
        <w:rPr>
          <w:sz w:val="18"/>
          <w:vertAlign w:val="superscript"/>
        </w:rPr>
        <w:t>30</w:t>
      </w:r>
      <w:r>
        <w:rPr>
          <w:spacing w:val="-13"/>
          <w:sz w:val="18"/>
          <w:vertAlign w:val="baseline"/>
        </w:rPr>
        <w:t> </w:t>
      </w:r>
      <w:r>
        <w:rPr>
          <w:sz w:val="18"/>
          <w:vertAlign w:val="baseline"/>
        </w:rPr>
        <w:t>McMillan,</w:t>
      </w:r>
      <w:r>
        <w:rPr>
          <w:spacing w:val="-5"/>
          <w:sz w:val="18"/>
          <w:vertAlign w:val="baseline"/>
        </w:rPr>
        <w:t> </w:t>
      </w:r>
      <w:r>
        <w:rPr>
          <w:sz w:val="18"/>
          <w:vertAlign w:val="baseline"/>
        </w:rPr>
        <w:t>Cassie.</w:t>
      </w:r>
      <w:r>
        <w:rPr>
          <w:spacing w:val="-3"/>
          <w:sz w:val="18"/>
          <w:vertAlign w:val="baseline"/>
        </w:rPr>
        <w:t> </w:t>
      </w:r>
      <w:r>
        <w:rPr>
          <w:sz w:val="18"/>
          <w:vertAlign w:val="baseline"/>
        </w:rPr>
        <w:t>“Tied</w:t>
      </w:r>
      <w:r>
        <w:rPr>
          <w:spacing w:val="-3"/>
          <w:sz w:val="18"/>
          <w:vertAlign w:val="baseline"/>
        </w:rPr>
        <w:t> </w:t>
      </w:r>
      <w:r>
        <w:rPr>
          <w:sz w:val="18"/>
          <w:vertAlign w:val="baseline"/>
        </w:rPr>
        <w:t>Together:</w:t>
      </w:r>
      <w:r>
        <w:rPr>
          <w:spacing w:val="-3"/>
          <w:sz w:val="18"/>
          <w:vertAlign w:val="baseline"/>
        </w:rPr>
        <w:t> </w:t>
      </w:r>
      <w:r>
        <w:rPr>
          <w:sz w:val="18"/>
          <w:vertAlign w:val="baseline"/>
        </w:rPr>
        <w:t>Adolescent</w:t>
      </w:r>
      <w:r>
        <w:rPr>
          <w:spacing w:val="-5"/>
          <w:sz w:val="18"/>
          <w:vertAlign w:val="baseline"/>
        </w:rPr>
        <w:t> </w:t>
      </w:r>
      <w:r>
        <w:rPr>
          <w:sz w:val="18"/>
          <w:vertAlign w:val="baseline"/>
        </w:rPr>
        <w:t>Friendship</w:t>
      </w:r>
      <w:r>
        <w:rPr>
          <w:spacing w:val="-3"/>
          <w:sz w:val="18"/>
          <w:vertAlign w:val="baseline"/>
        </w:rPr>
        <w:t> </w:t>
      </w:r>
      <w:r>
        <w:rPr>
          <w:sz w:val="18"/>
          <w:vertAlign w:val="baseline"/>
        </w:rPr>
        <w:t>Networks,</w:t>
      </w:r>
      <w:r>
        <w:rPr>
          <w:spacing w:val="-4"/>
          <w:sz w:val="18"/>
          <w:vertAlign w:val="baseline"/>
        </w:rPr>
        <w:t> </w:t>
      </w:r>
      <w:r>
        <w:rPr>
          <w:sz w:val="18"/>
          <w:vertAlign w:val="baseline"/>
        </w:rPr>
        <w:t>Immigrant</w:t>
      </w:r>
      <w:r>
        <w:rPr>
          <w:spacing w:val="-4"/>
          <w:sz w:val="18"/>
          <w:vertAlign w:val="baseline"/>
        </w:rPr>
        <w:t> </w:t>
      </w:r>
      <w:r>
        <w:rPr>
          <w:sz w:val="18"/>
          <w:vertAlign w:val="baseline"/>
        </w:rPr>
        <w:t>Status,</w:t>
      </w:r>
      <w:r>
        <w:rPr>
          <w:spacing w:val="-4"/>
          <w:sz w:val="18"/>
          <w:vertAlign w:val="baseline"/>
        </w:rPr>
        <w:t> </w:t>
      </w:r>
      <w:r>
        <w:rPr>
          <w:sz w:val="18"/>
          <w:vertAlign w:val="baseline"/>
        </w:rPr>
        <w:t>and</w:t>
      </w:r>
      <w:r>
        <w:rPr>
          <w:spacing w:val="-3"/>
          <w:sz w:val="18"/>
          <w:vertAlign w:val="baseline"/>
        </w:rPr>
        <w:t> </w:t>
      </w:r>
      <w:r>
        <w:rPr>
          <w:sz w:val="18"/>
          <w:vertAlign w:val="baseline"/>
        </w:rPr>
        <w:t>Health</w:t>
      </w:r>
      <w:r>
        <w:rPr>
          <w:spacing w:val="-3"/>
          <w:sz w:val="18"/>
          <w:vertAlign w:val="baseline"/>
        </w:rPr>
        <w:t> </w:t>
      </w:r>
      <w:r>
        <w:rPr>
          <w:sz w:val="18"/>
          <w:vertAlign w:val="baseline"/>
        </w:rPr>
        <w:t>Outcomes.”</w:t>
      </w:r>
      <w:r>
        <w:rPr>
          <w:spacing w:val="-3"/>
          <w:sz w:val="18"/>
          <w:vertAlign w:val="baseline"/>
        </w:rPr>
        <w:t> </w:t>
      </w:r>
      <w:r>
        <w:rPr>
          <w:sz w:val="18"/>
          <w:vertAlign w:val="baseline"/>
        </w:rPr>
        <w:t>Demography</w:t>
      </w:r>
      <w:r>
        <w:rPr>
          <w:spacing w:val="-3"/>
          <w:sz w:val="18"/>
          <w:vertAlign w:val="baseline"/>
        </w:rPr>
        <w:t> </w:t>
      </w:r>
      <w:r>
        <w:rPr>
          <w:sz w:val="18"/>
          <w:vertAlign w:val="baseline"/>
        </w:rPr>
        <w:t>56, no. 3 (June 1, 2019): 1075–1103. </w:t>
      </w:r>
      <w:hyperlink r:id="rId217">
        <w:r>
          <w:rPr>
            <w:color w:val="1153CC"/>
            <w:sz w:val="18"/>
            <w:u w:val="single" w:color="1153CC"/>
            <w:vertAlign w:val="baseline"/>
          </w:rPr>
          <w:t>https://doi.org/10.1007/s13524-019-00770-w</w:t>
        </w:r>
      </w:hyperlink>
      <w:hyperlink r:id="rId217">
        <w:r>
          <w:rPr>
            <w:sz w:val="18"/>
            <w:u w:val="none"/>
            <w:vertAlign w:val="baseline"/>
          </w:rPr>
          <w:t>.</w:t>
        </w:r>
      </w:hyperlink>
    </w:p>
    <w:p>
      <w:pPr>
        <w:spacing w:before="0"/>
        <w:ind w:left="463" w:right="0" w:firstLine="0"/>
        <w:jc w:val="left"/>
        <w:rPr>
          <w:sz w:val="18"/>
        </w:rPr>
      </w:pPr>
      <w:bookmarkStart w:name="_bookmark133" w:id="289"/>
      <w:bookmarkEnd w:id="289"/>
      <w:r>
        <w:rPr/>
      </w:r>
      <w:r>
        <w:rPr>
          <w:sz w:val="18"/>
          <w:vertAlign w:val="superscript"/>
        </w:rPr>
        <w:t>31</w:t>
      </w:r>
      <w:r>
        <w:rPr>
          <w:spacing w:val="-13"/>
          <w:sz w:val="18"/>
          <w:vertAlign w:val="baseline"/>
        </w:rPr>
        <w:t> </w:t>
      </w:r>
      <w:r>
        <w:rPr>
          <w:sz w:val="18"/>
          <w:vertAlign w:val="baseline"/>
        </w:rPr>
        <w:t>The</w:t>
      </w:r>
      <w:r>
        <w:rPr>
          <w:spacing w:val="-5"/>
          <w:sz w:val="18"/>
          <w:vertAlign w:val="baseline"/>
        </w:rPr>
        <w:t> </w:t>
      </w:r>
      <w:r>
        <w:rPr>
          <w:sz w:val="18"/>
          <w:vertAlign w:val="baseline"/>
        </w:rPr>
        <w:t>Trevor</w:t>
      </w:r>
      <w:r>
        <w:rPr>
          <w:spacing w:val="-4"/>
          <w:sz w:val="18"/>
          <w:vertAlign w:val="baseline"/>
        </w:rPr>
        <w:t> </w:t>
      </w:r>
      <w:r>
        <w:rPr>
          <w:sz w:val="18"/>
          <w:vertAlign w:val="baseline"/>
        </w:rPr>
        <w:t>Project,</w:t>
      </w:r>
      <w:r>
        <w:rPr>
          <w:spacing w:val="-4"/>
          <w:sz w:val="18"/>
          <w:vertAlign w:val="baseline"/>
        </w:rPr>
        <w:t> </w:t>
      </w:r>
      <w:r>
        <w:rPr>
          <w:sz w:val="18"/>
          <w:vertAlign w:val="baseline"/>
        </w:rPr>
        <w:t>“2022</w:t>
      </w:r>
      <w:r>
        <w:rPr>
          <w:spacing w:val="-3"/>
          <w:sz w:val="18"/>
          <w:vertAlign w:val="baseline"/>
        </w:rPr>
        <w:t> </w:t>
      </w:r>
      <w:r>
        <w:rPr>
          <w:sz w:val="18"/>
          <w:vertAlign w:val="baseline"/>
        </w:rPr>
        <w:t>National</w:t>
      </w:r>
      <w:r>
        <w:rPr>
          <w:spacing w:val="-4"/>
          <w:sz w:val="18"/>
          <w:vertAlign w:val="baseline"/>
        </w:rPr>
        <w:t> </w:t>
      </w:r>
      <w:r>
        <w:rPr>
          <w:sz w:val="18"/>
          <w:vertAlign w:val="baseline"/>
        </w:rPr>
        <w:t>Survey</w:t>
      </w:r>
      <w:r>
        <w:rPr>
          <w:spacing w:val="-3"/>
          <w:sz w:val="18"/>
          <w:vertAlign w:val="baseline"/>
        </w:rPr>
        <w:t> </w:t>
      </w:r>
      <w:r>
        <w:rPr>
          <w:sz w:val="18"/>
          <w:vertAlign w:val="baseline"/>
        </w:rPr>
        <w:t>on</w:t>
      </w:r>
      <w:r>
        <w:rPr>
          <w:spacing w:val="-3"/>
          <w:sz w:val="18"/>
          <w:vertAlign w:val="baseline"/>
        </w:rPr>
        <w:t> </w:t>
      </w:r>
      <w:r>
        <w:rPr>
          <w:sz w:val="18"/>
          <w:vertAlign w:val="baseline"/>
        </w:rPr>
        <w:t>LGBTQ</w:t>
      </w:r>
      <w:r>
        <w:rPr>
          <w:spacing w:val="-3"/>
          <w:sz w:val="18"/>
          <w:vertAlign w:val="baseline"/>
        </w:rPr>
        <w:t> </w:t>
      </w:r>
      <w:r>
        <w:rPr>
          <w:sz w:val="18"/>
          <w:vertAlign w:val="baseline"/>
        </w:rPr>
        <w:t>Youth</w:t>
      </w:r>
      <w:r>
        <w:rPr>
          <w:spacing w:val="-3"/>
          <w:sz w:val="18"/>
          <w:vertAlign w:val="baseline"/>
        </w:rPr>
        <w:t> </w:t>
      </w:r>
      <w:r>
        <w:rPr>
          <w:sz w:val="18"/>
          <w:vertAlign w:val="baseline"/>
        </w:rPr>
        <w:t>Mental</w:t>
      </w:r>
      <w:r>
        <w:rPr>
          <w:spacing w:val="-4"/>
          <w:sz w:val="18"/>
          <w:vertAlign w:val="baseline"/>
        </w:rPr>
        <w:t> </w:t>
      </w:r>
      <w:r>
        <w:rPr>
          <w:sz w:val="18"/>
          <w:vertAlign w:val="baseline"/>
        </w:rPr>
        <w:t>Health,”</w:t>
      </w:r>
      <w:r>
        <w:rPr>
          <w:spacing w:val="-3"/>
          <w:sz w:val="18"/>
          <w:vertAlign w:val="baseline"/>
        </w:rPr>
        <w:t> </w:t>
      </w:r>
      <w:r>
        <w:rPr>
          <w:sz w:val="18"/>
          <w:vertAlign w:val="baseline"/>
        </w:rPr>
        <w:t>2022,</w:t>
      </w:r>
      <w:r>
        <w:rPr>
          <w:spacing w:val="-4"/>
          <w:sz w:val="18"/>
          <w:vertAlign w:val="baseline"/>
        </w:rPr>
        <w:t> </w:t>
      </w:r>
      <w:hyperlink r:id="rId193">
        <w:r>
          <w:rPr>
            <w:color w:val="1153CC"/>
            <w:sz w:val="18"/>
            <w:u w:val="single" w:color="1153CC"/>
            <w:vertAlign w:val="baseline"/>
          </w:rPr>
          <w:t>https://www.thetrevorproject.org/survey-</w:t>
        </w:r>
      </w:hyperlink>
      <w:r>
        <w:rPr>
          <w:color w:val="1153CC"/>
          <w:sz w:val="18"/>
          <w:u w:val="none"/>
          <w:vertAlign w:val="baseline"/>
        </w:rPr>
        <w:t> </w:t>
      </w:r>
      <w:hyperlink r:id="rId193">
        <w:r>
          <w:rPr>
            <w:color w:val="1153CC"/>
            <w:spacing w:val="-2"/>
            <w:sz w:val="18"/>
            <w:u w:val="single" w:color="1153CC"/>
            <w:vertAlign w:val="baseline"/>
          </w:rPr>
          <w:t>2022/assets/static/trevor01_2022survey_final.pdf</w:t>
        </w:r>
      </w:hyperlink>
      <w:hyperlink r:id="rId193">
        <w:r>
          <w:rPr>
            <w:spacing w:val="-2"/>
            <w:sz w:val="18"/>
            <w:u w:val="none"/>
            <w:vertAlign w:val="baseline"/>
          </w:rPr>
          <w:t>.</w:t>
        </w:r>
      </w:hyperlink>
    </w:p>
    <w:p>
      <w:pPr>
        <w:spacing w:before="0"/>
        <w:ind w:left="463" w:right="1777" w:hanging="1"/>
        <w:jc w:val="left"/>
        <w:rPr>
          <w:sz w:val="18"/>
        </w:rPr>
      </w:pPr>
      <w:r>
        <w:rPr>
          <w:sz w:val="18"/>
          <w:vertAlign w:val="superscript"/>
        </w:rPr>
        <w:t>32</w:t>
      </w:r>
      <w:r>
        <w:rPr>
          <w:spacing w:val="-13"/>
          <w:sz w:val="18"/>
          <w:vertAlign w:val="baseline"/>
        </w:rPr>
        <w:t> </w:t>
      </w:r>
      <w:r>
        <w:rPr>
          <w:sz w:val="18"/>
          <w:vertAlign w:val="baseline"/>
        </w:rPr>
        <w:t>Ariana.</w:t>
      </w:r>
      <w:r>
        <w:rPr>
          <w:spacing w:val="-4"/>
          <w:sz w:val="18"/>
          <w:vertAlign w:val="baseline"/>
        </w:rPr>
        <w:t> </w:t>
      </w:r>
      <w:r>
        <w:rPr>
          <w:sz w:val="18"/>
          <w:vertAlign w:val="baseline"/>
        </w:rPr>
        <w:t>“Roots</w:t>
      </w:r>
      <w:r>
        <w:rPr>
          <w:spacing w:val="-3"/>
          <w:sz w:val="18"/>
          <w:vertAlign w:val="baseline"/>
        </w:rPr>
        <w:t> </w:t>
      </w:r>
      <w:r>
        <w:rPr>
          <w:sz w:val="18"/>
          <w:vertAlign w:val="baseline"/>
        </w:rPr>
        <w:t>Run</w:t>
      </w:r>
      <w:r>
        <w:rPr>
          <w:spacing w:val="-2"/>
          <w:sz w:val="18"/>
          <w:vertAlign w:val="baseline"/>
        </w:rPr>
        <w:t> </w:t>
      </w:r>
      <w:r>
        <w:rPr>
          <w:sz w:val="18"/>
          <w:vertAlign w:val="baseline"/>
        </w:rPr>
        <w:t>Deep:</w:t>
      </w:r>
      <w:r>
        <w:rPr>
          <w:spacing w:val="-2"/>
          <w:sz w:val="18"/>
          <w:vertAlign w:val="baseline"/>
        </w:rPr>
        <w:t> </w:t>
      </w:r>
      <w:r>
        <w:rPr>
          <w:sz w:val="18"/>
          <w:vertAlign w:val="baseline"/>
        </w:rPr>
        <w:t>How</w:t>
      </w:r>
      <w:r>
        <w:rPr>
          <w:spacing w:val="-3"/>
          <w:sz w:val="18"/>
          <w:vertAlign w:val="baseline"/>
        </w:rPr>
        <w:t> </w:t>
      </w:r>
      <w:r>
        <w:rPr>
          <w:sz w:val="18"/>
          <w:vertAlign w:val="baseline"/>
        </w:rPr>
        <w:t>History</w:t>
      </w:r>
      <w:r>
        <w:rPr>
          <w:spacing w:val="-2"/>
          <w:sz w:val="18"/>
          <w:vertAlign w:val="baseline"/>
        </w:rPr>
        <w:t> </w:t>
      </w:r>
      <w:r>
        <w:rPr>
          <w:sz w:val="18"/>
          <w:vertAlign w:val="baseline"/>
        </w:rPr>
        <w:t>and</w:t>
      </w:r>
      <w:r>
        <w:rPr>
          <w:spacing w:val="-2"/>
          <w:sz w:val="18"/>
          <w:vertAlign w:val="baseline"/>
        </w:rPr>
        <w:t> </w:t>
      </w:r>
      <w:r>
        <w:rPr>
          <w:sz w:val="18"/>
          <w:vertAlign w:val="baseline"/>
        </w:rPr>
        <w:t>Culture</w:t>
      </w:r>
      <w:r>
        <w:rPr>
          <w:spacing w:val="-2"/>
          <w:sz w:val="18"/>
          <w:vertAlign w:val="baseline"/>
        </w:rPr>
        <w:t> </w:t>
      </w:r>
      <w:r>
        <w:rPr>
          <w:sz w:val="18"/>
          <w:vertAlign w:val="baseline"/>
        </w:rPr>
        <w:t>Impact</w:t>
      </w:r>
      <w:r>
        <w:rPr>
          <w:spacing w:val="-3"/>
          <w:sz w:val="18"/>
          <w:vertAlign w:val="baseline"/>
        </w:rPr>
        <w:t> </w:t>
      </w:r>
      <w:r>
        <w:rPr>
          <w:sz w:val="18"/>
          <w:vertAlign w:val="baseline"/>
        </w:rPr>
        <w:t>LGBT+</w:t>
      </w:r>
      <w:r>
        <w:rPr>
          <w:spacing w:val="-2"/>
          <w:sz w:val="18"/>
          <w:vertAlign w:val="baseline"/>
        </w:rPr>
        <w:t> </w:t>
      </w:r>
      <w:r>
        <w:rPr>
          <w:sz w:val="18"/>
          <w:vertAlign w:val="baseline"/>
        </w:rPr>
        <w:t>Acceptance</w:t>
      </w:r>
      <w:r>
        <w:rPr>
          <w:spacing w:val="-2"/>
          <w:sz w:val="18"/>
          <w:vertAlign w:val="baseline"/>
        </w:rPr>
        <w:t> </w:t>
      </w:r>
      <w:r>
        <w:rPr>
          <w:sz w:val="18"/>
          <w:vertAlign w:val="baseline"/>
        </w:rPr>
        <w:t>in</w:t>
      </w:r>
      <w:r>
        <w:rPr>
          <w:spacing w:val="-2"/>
          <w:sz w:val="18"/>
          <w:vertAlign w:val="baseline"/>
        </w:rPr>
        <w:t> </w:t>
      </w:r>
      <w:r>
        <w:rPr>
          <w:sz w:val="18"/>
          <w:vertAlign w:val="baseline"/>
        </w:rPr>
        <w:t>Asia,”</w:t>
      </w:r>
      <w:r>
        <w:rPr>
          <w:spacing w:val="-2"/>
          <w:sz w:val="18"/>
          <w:vertAlign w:val="baseline"/>
        </w:rPr>
        <w:t> </w:t>
      </w:r>
      <w:r>
        <w:rPr>
          <w:sz w:val="18"/>
          <w:vertAlign w:val="baseline"/>
        </w:rPr>
        <w:t>December</w:t>
      </w:r>
      <w:r>
        <w:rPr>
          <w:spacing w:val="-4"/>
          <w:sz w:val="18"/>
          <w:vertAlign w:val="baseline"/>
        </w:rPr>
        <w:t> </w:t>
      </w:r>
      <w:r>
        <w:rPr>
          <w:sz w:val="18"/>
          <w:vertAlign w:val="baseline"/>
        </w:rPr>
        <w:t>29,</w:t>
      </w:r>
      <w:r>
        <w:rPr>
          <w:spacing w:val="-3"/>
          <w:sz w:val="18"/>
          <w:vertAlign w:val="baseline"/>
        </w:rPr>
        <w:t> </w:t>
      </w:r>
      <w:r>
        <w:rPr>
          <w:sz w:val="18"/>
          <w:vertAlign w:val="baseline"/>
        </w:rPr>
        <w:t>2020. </w:t>
      </w:r>
      <w:hyperlink r:id="rId218">
        <w:r>
          <w:rPr>
            <w:color w:val="1153CC"/>
            <w:spacing w:val="-2"/>
            <w:sz w:val="18"/>
            <w:u w:val="single" w:color="1153CC"/>
            <w:vertAlign w:val="baseline"/>
          </w:rPr>
          <w:t>www.arianalife.com/topics/lgbt/roots-run-deep-how-history-and-culture-impact-lgbt-acceptance-in-asia/</w:t>
        </w:r>
      </w:hyperlink>
      <w:hyperlink r:id="rId218">
        <w:r>
          <w:rPr>
            <w:spacing w:val="-2"/>
            <w:sz w:val="18"/>
            <w:u w:val="none"/>
            <w:vertAlign w:val="baseline"/>
          </w:rPr>
          <w:t>.</w:t>
        </w:r>
      </w:hyperlink>
    </w:p>
    <w:p>
      <w:pPr>
        <w:spacing w:before="0"/>
        <w:ind w:left="463" w:right="250" w:firstLine="0"/>
        <w:jc w:val="left"/>
        <w:rPr>
          <w:sz w:val="18"/>
        </w:rPr>
      </w:pPr>
      <w:bookmarkStart w:name="_bookmark134" w:id="290"/>
      <w:bookmarkEnd w:id="290"/>
      <w:r>
        <w:rPr/>
      </w:r>
      <w:r>
        <w:rPr>
          <w:sz w:val="18"/>
          <w:vertAlign w:val="superscript"/>
        </w:rPr>
        <w:t>33</w:t>
      </w:r>
      <w:r>
        <w:rPr>
          <w:spacing w:val="-13"/>
          <w:sz w:val="18"/>
          <w:vertAlign w:val="baseline"/>
        </w:rPr>
        <w:t> </w:t>
      </w:r>
      <w:r>
        <w:rPr>
          <w:sz w:val="18"/>
          <w:vertAlign w:val="baseline"/>
        </w:rPr>
        <w:t>Chau,</w:t>
      </w:r>
      <w:r>
        <w:rPr>
          <w:spacing w:val="-4"/>
          <w:sz w:val="18"/>
          <w:vertAlign w:val="baseline"/>
        </w:rPr>
        <w:t> </w:t>
      </w:r>
      <w:r>
        <w:rPr>
          <w:sz w:val="18"/>
          <w:vertAlign w:val="baseline"/>
        </w:rPr>
        <w:t>Victoria,</w:t>
      </w:r>
      <w:r>
        <w:rPr>
          <w:spacing w:val="-2"/>
          <w:sz w:val="18"/>
          <w:vertAlign w:val="baseline"/>
        </w:rPr>
        <w:t> </w:t>
      </w:r>
      <w:r>
        <w:rPr>
          <w:sz w:val="18"/>
          <w:vertAlign w:val="baseline"/>
        </w:rPr>
        <w:t>and</w:t>
      </w:r>
      <w:r>
        <w:rPr>
          <w:spacing w:val="-2"/>
          <w:sz w:val="18"/>
          <w:vertAlign w:val="baseline"/>
        </w:rPr>
        <w:t> </w:t>
      </w:r>
      <w:r>
        <w:rPr>
          <w:sz w:val="18"/>
          <w:vertAlign w:val="baseline"/>
        </w:rPr>
        <w:t>Perry</w:t>
      </w:r>
      <w:r>
        <w:rPr>
          <w:spacing w:val="-2"/>
          <w:sz w:val="18"/>
          <w:vertAlign w:val="baseline"/>
        </w:rPr>
        <w:t> </w:t>
      </w:r>
      <w:r>
        <w:rPr>
          <w:sz w:val="18"/>
          <w:vertAlign w:val="baseline"/>
        </w:rPr>
        <w:t>Chan.</w:t>
      </w:r>
      <w:r>
        <w:rPr>
          <w:spacing w:val="-3"/>
          <w:sz w:val="18"/>
          <w:vertAlign w:val="baseline"/>
        </w:rPr>
        <w:t> </w:t>
      </w:r>
      <w:r>
        <w:rPr>
          <w:sz w:val="18"/>
          <w:vertAlign w:val="baseline"/>
        </w:rPr>
        <w:t>“One</w:t>
      </w:r>
      <w:r>
        <w:rPr>
          <w:spacing w:val="-2"/>
          <w:sz w:val="18"/>
          <w:vertAlign w:val="baseline"/>
        </w:rPr>
        <w:t> </w:t>
      </w:r>
      <w:r>
        <w:rPr>
          <w:sz w:val="18"/>
          <w:vertAlign w:val="baseline"/>
        </w:rPr>
        <w:t>Size</w:t>
      </w:r>
      <w:r>
        <w:rPr>
          <w:spacing w:val="-2"/>
          <w:sz w:val="18"/>
          <w:vertAlign w:val="baseline"/>
        </w:rPr>
        <w:t> </w:t>
      </w:r>
      <w:r>
        <w:rPr>
          <w:sz w:val="18"/>
          <w:vertAlign w:val="baseline"/>
        </w:rPr>
        <w:t>Does</w:t>
      </w:r>
      <w:r>
        <w:rPr>
          <w:spacing w:val="-3"/>
          <w:sz w:val="18"/>
          <w:vertAlign w:val="baseline"/>
        </w:rPr>
        <w:t> </w:t>
      </w:r>
      <w:r>
        <w:rPr>
          <w:sz w:val="18"/>
          <w:vertAlign w:val="baseline"/>
        </w:rPr>
        <w:t>Not</w:t>
      </w:r>
      <w:r>
        <w:rPr>
          <w:spacing w:val="-3"/>
          <w:sz w:val="18"/>
          <w:vertAlign w:val="baseline"/>
        </w:rPr>
        <w:t> </w:t>
      </w:r>
      <w:r>
        <w:rPr>
          <w:sz w:val="18"/>
          <w:vertAlign w:val="baseline"/>
        </w:rPr>
        <w:t>Fit</w:t>
      </w:r>
      <w:r>
        <w:rPr>
          <w:spacing w:val="-3"/>
          <w:sz w:val="18"/>
          <w:vertAlign w:val="baseline"/>
        </w:rPr>
        <w:t> </w:t>
      </w:r>
      <w:r>
        <w:rPr>
          <w:sz w:val="18"/>
          <w:vertAlign w:val="baseline"/>
        </w:rPr>
        <w:t>All:</w:t>
      </w:r>
      <w:r>
        <w:rPr>
          <w:spacing w:val="-2"/>
          <w:sz w:val="18"/>
          <w:vertAlign w:val="baseline"/>
        </w:rPr>
        <w:t> </w:t>
      </w:r>
      <w:r>
        <w:rPr>
          <w:sz w:val="18"/>
          <w:vertAlign w:val="baseline"/>
        </w:rPr>
        <w:t>Appreciating</w:t>
      </w:r>
      <w:r>
        <w:rPr>
          <w:spacing w:val="-2"/>
          <w:sz w:val="18"/>
          <w:vertAlign w:val="baseline"/>
        </w:rPr>
        <w:t> </w:t>
      </w:r>
      <w:r>
        <w:rPr>
          <w:sz w:val="18"/>
          <w:vertAlign w:val="baseline"/>
        </w:rPr>
        <w:t>the</w:t>
      </w:r>
      <w:r>
        <w:rPr>
          <w:spacing w:val="-2"/>
          <w:sz w:val="18"/>
          <w:vertAlign w:val="baseline"/>
        </w:rPr>
        <w:t> </w:t>
      </w:r>
      <w:r>
        <w:rPr>
          <w:sz w:val="18"/>
          <w:vertAlign w:val="baseline"/>
        </w:rPr>
        <w:t>Diversity</w:t>
      </w:r>
      <w:r>
        <w:rPr>
          <w:spacing w:val="-2"/>
          <w:sz w:val="18"/>
          <w:vertAlign w:val="baseline"/>
        </w:rPr>
        <w:t> </w:t>
      </w:r>
      <w:r>
        <w:rPr>
          <w:sz w:val="18"/>
          <w:vertAlign w:val="baseline"/>
        </w:rPr>
        <w:t>of</w:t>
      </w:r>
      <w:r>
        <w:rPr>
          <w:spacing w:val="-2"/>
          <w:sz w:val="18"/>
          <w:vertAlign w:val="baseline"/>
        </w:rPr>
        <w:t> </w:t>
      </w:r>
      <w:r>
        <w:rPr>
          <w:sz w:val="18"/>
          <w:vertAlign w:val="baseline"/>
        </w:rPr>
        <w:t>Asian</w:t>
      </w:r>
      <w:r>
        <w:rPr>
          <w:spacing w:val="-2"/>
          <w:sz w:val="18"/>
          <w:vertAlign w:val="baseline"/>
        </w:rPr>
        <w:t> </w:t>
      </w:r>
      <w:r>
        <w:rPr>
          <w:sz w:val="18"/>
          <w:vertAlign w:val="baseline"/>
        </w:rPr>
        <w:t>Americans,</w:t>
      </w:r>
      <w:r>
        <w:rPr>
          <w:spacing w:val="-3"/>
          <w:sz w:val="18"/>
          <w:vertAlign w:val="baseline"/>
        </w:rPr>
        <w:t> </w:t>
      </w:r>
      <w:r>
        <w:rPr>
          <w:sz w:val="18"/>
          <w:vertAlign w:val="baseline"/>
        </w:rPr>
        <w:t>Native</w:t>
      </w:r>
      <w:r>
        <w:rPr>
          <w:spacing w:val="-2"/>
          <w:sz w:val="18"/>
          <w:vertAlign w:val="baseline"/>
        </w:rPr>
        <w:t> </w:t>
      </w:r>
      <w:r>
        <w:rPr>
          <w:sz w:val="18"/>
          <w:vertAlign w:val="baseline"/>
        </w:rPr>
        <w:t>Hawaiians,</w:t>
      </w:r>
      <w:r>
        <w:rPr>
          <w:spacing w:val="-3"/>
          <w:sz w:val="18"/>
          <w:vertAlign w:val="baseline"/>
        </w:rPr>
        <w:t> </w:t>
      </w:r>
      <w:r>
        <w:rPr>
          <w:sz w:val="18"/>
          <w:vertAlign w:val="baseline"/>
        </w:rPr>
        <w:t>and Pacific Islanders (AANHPIs) and the Implications for Mental Health.” Substance Abuse and Mental Health Services Administration (SAMHSA) Blog (blog), May 25, 2021. </w:t>
      </w:r>
      <w:hyperlink r:id="rId219">
        <w:r>
          <w:rPr>
            <w:color w:val="1153CC"/>
            <w:sz w:val="18"/>
            <w:u w:val="single" w:color="1153CC"/>
            <w:vertAlign w:val="baseline"/>
          </w:rPr>
          <w:t>www.samhsa.gov/blog/one-size-does-not-fit-all-appreciating-diversity-</w:t>
        </w:r>
      </w:hyperlink>
      <w:r>
        <w:rPr>
          <w:color w:val="1153CC"/>
          <w:sz w:val="18"/>
          <w:u w:val="single" w:color="1153CC"/>
          <w:vertAlign w:val="baseline"/>
        </w:rPr>
        <w:t> </w:t>
      </w:r>
      <w:hyperlink r:id="rId219">
        <w:r>
          <w:rPr>
            <w:color w:val="1153CC"/>
            <w:sz w:val="18"/>
            <w:u w:val="single" w:color="1153CC"/>
            <w:vertAlign w:val="baseline"/>
          </w:rPr>
          <w:t>asian-americans-</w:t>
        </w:r>
      </w:hyperlink>
      <w:r>
        <w:rPr>
          <w:color w:val="1153CC"/>
          <w:sz w:val="18"/>
          <w:u w:val="none"/>
          <w:vertAlign w:val="baseline"/>
        </w:rPr>
        <w:t> </w:t>
      </w:r>
      <w:hyperlink r:id="rId219">
        <w:r>
          <w:rPr>
            <w:color w:val="1153CC"/>
            <w:spacing w:val="-2"/>
            <w:sz w:val="18"/>
            <w:u w:val="single" w:color="1153CC"/>
            <w:vertAlign w:val="baseline"/>
          </w:rPr>
          <w:t>native-hawaiians-pacific</w:t>
        </w:r>
      </w:hyperlink>
      <w:hyperlink r:id="rId219">
        <w:r>
          <w:rPr>
            <w:spacing w:val="-2"/>
            <w:sz w:val="18"/>
            <w:u w:val="none"/>
            <w:vertAlign w:val="baseline"/>
          </w:rPr>
          <w:t>.</w:t>
        </w:r>
      </w:hyperlink>
    </w:p>
    <w:p>
      <w:pPr>
        <w:spacing w:before="0"/>
        <w:ind w:left="463" w:right="314" w:hanging="1"/>
        <w:jc w:val="left"/>
        <w:rPr>
          <w:sz w:val="18"/>
        </w:rPr>
      </w:pPr>
      <w:bookmarkStart w:name="_bookmark135" w:id="291"/>
      <w:bookmarkEnd w:id="291"/>
      <w:r>
        <w:rPr/>
      </w:r>
      <w:r>
        <w:rPr>
          <w:sz w:val="18"/>
          <w:vertAlign w:val="superscript"/>
        </w:rPr>
        <w:t>34</w:t>
      </w:r>
      <w:r>
        <w:rPr>
          <w:spacing w:val="-13"/>
          <w:sz w:val="18"/>
          <w:vertAlign w:val="baseline"/>
        </w:rPr>
        <w:t> </w:t>
      </w:r>
      <w:r>
        <w:rPr>
          <w:sz w:val="18"/>
          <w:vertAlign w:val="baseline"/>
        </w:rPr>
        <w:t>Green,</w:t>
      </w:r>
      <w:r>
        <w:rPr>
          <w:spacing w:val="-4"/>
          <w:sz w:val="18"/>
          <w:vertAlign w:val="baseline"/>
        </w:rPr>
        <w:t> </w:t>
      </w:r>
      <w:r>
        <w:rPr>
          <w:sz w:val="18"/>
          <w:vertAlign w:val="baseline"/>
        </w:rPr>
        <w:t>A.E.,</w:t>
      </w:r>
      <w:r>
        <w:rPr>
          <w:spacing w:val="-3"/>
          <w:sz w:val="18"/>
          <w:vertAlign w:val="baseline"/>
        </w:rPr>
        <w:t> </w:t>
      </w:r>
      <w:r>
        <w:rPr>
          <w:sz w:val="18"/>
          <w:vertAlign w:val="baseline"/>
        </w:rPr>
        <w:t>Price-Feeney,</w:t>
      </w:r>
      <w:r>
        <w:rPr>
          <w:spacing w:val="-3"/>
          <w:sz w:val="18"/>
          <w:vertAlign w:val="baseline"/>
        </w:rPr>
        <w:t> </w:t>
      </w:r>
      <w:r>
        <w:rPr>
          <w:sz w:val="18"/>
          <w:vertAlign w:val="baseline"/>
        </w:rPr>
        <w:t>M.</w:t>
      </w:r>
      <w:r>
        <w:rPr>
          <w:spacing w:val="-3"/>
          <w:sz w:val="18"/>
          <w:vertAlign w:val="baseline"/>
        </w:rPr>
        <w:t> </w:t>
      </w:r>
      <w:r>
        <w:rPr>
          <w:sz w:val="18"/>
          <w:vertAlign w:val="baseline"/>
        </w:rPr>
        <w:t>&amp;</w:t>
      </w:r>
      <w:r>
        <w:rPr>
          <w:spacing w:val="-3"/>
          <w:sz w:val="18"/>
          <w:vertAlign w:val="baseline"/>
        </w:rPr>
        <w:t> </w:t>
      </w:r>
      <w:r>
        <w:rPr>
          <w:sz w:val="18"/>
          <w:vertAlign w:val="baseline"/>
        </w:rPr>
        <w:t>Dorison,</w:t>
      </w:r>
      <w:r>
        <w:rPr>
          <w:spacing w:val="-3"/>
          <w:sz w:val="18"/>
          <w:vertAlign w:val="baseline"/>
        </w:rPr>
        <w:t> </w:t>
      </w:r>
      <w:r>
        <w:rPr>
          <w:sz w:val="18"/>
          <w:vertAlign w:val="baseline"/>
        </w:rPr>
        <w:t>S.</w:t>
      </w:r>
      <w:r>
        <w:rPr>
          <w:spacing w:val="-2"/>
          <w:sz w:val="18"/>
          <w:vertAlign w:val="baseline"/>
        </w:rPr>
        <w:t> </w:t>
      </w:r>
      <w:r>
        <w:rPr>
          <w:sz w:val="18"/>
          <w:vertAlign w:val="baseline"/>
        </w:rPr>
        <w:t>(2020).</w:t>
      </w:r>
      <w:r>
        <w:rPr>
          <w:spacing w:val="-2"/>
          <w:sz w:val="18"/>
          <w:vertAlign w:val="baseline"/>
        </w:rPr>
        <w:t> </w:t>
      </w:r>
      <w:r>
        <w:rPr>
          <w:sz w:val="18"/>
          <w:vertAlign w:val="baseline"/>
        </w:rPr>
        <w:t>Breaking</w:t>
      </w:r>
      <w:r>
        <w:rPr>
          <w:spacing w:val="-3"/>
          <w:sz w:val="18"/>
          <w:vertAlign w:val="baseline"/>
        </w:rPr>
        <w:t> </w:t>
      </w:r>
      <w:r>
        <w:rPr>
          <w:sz w:val="18"/>
          <w:vertAlign w:val="baseline"/>
        </w:rPr>
        <w:t>barriers</w:t>
      </w:r>
      <w:r>
        <w:rPr>
          <w:spacing w:val="-2"/>
          <w:sz w:val="18"/>
          <w:vertAlign w:val="baseline"/>
        </w:rPr>
        <w:t> </w:t>
      </w:r>
      <w:r>
        <w:rPr>
          <w:sz w:val="18"/>
          <w:vertAlign w:val="baseline"/>
        </w:rPr>
        <w:t>to</w:t>
      </w:r>
      <w:r>
        <w:rPr>
          <w:spacing w:val="-2"/>
          <w:sz w:val="18"/>
          <w:vertAlign w:val="baseline"/>
        </w:rPr>
        <w:t> </w:t>
      </w:r>
      <w:r>
        <w:rPr>
          <w:sz w:val="18"/>
          <w:vertAlign w:val="baseline"/>
        </w:rPr>
        <w:t>quality</w:t>
      </w:r>
      <w:r>
        <w:rPr>
          <w:spacing w:val="-1"/>
          <w:sz w:val="18"/>
          <w:vertAlign w:val="baseline"/>
        </w:rPr>
        <w:t> </w:t>
      </w:r>
      <w:r>
        <w:rPr>
          <w:sz w:val="18"/>
          <w:vertAlign w:val="baseline"/>
        </w:rPr>
        <w:t>mental</w:t>
      </w:r>
      <w:r>
        <w:rPr>
          <w:spacing w:val="-3"/>
          <w:sz w:val="18"/>
          <w:vertAlign w:val="baseline"/>
        </w:rPr>
        <w:t> </w:t>
      </w:r>
      <w:r>
        <w:rPr>
          <w:sz w:val="18"/>
          <w:vertAlign w:val="baseline"/>
        </w:rPr>
        <w:t>health</w:t>
      </w:r>
      <w:r>
        <w:rPr>
          <w:spacing w:val="-2"/>
          <w:sz w:val="18"/>
          <w:vertAlign w:val="baseline"/>
        </w:rPr>
        <w:t> </w:t>
      </w:r>
      <w:r>
        <w:rPr>
          <w:sz w:val="18"/>
          <w:vertAlign w:val="baseline"/>
        </w:rPr>
        <w:t>care</w:t>
      </w:r>
      <w:r>
        <w:rPr>
          <w:spacing w:val="-2"/>
          <w:sz w:val="18"/>
          <w:vertAlign w:val="baseline"/>
        </w:rPr>
        <w:t> </w:t>
      </w:r>
      <w:r>
        <w:rPr>
          <w:sz w:val="18"/>
          <w:vertAlign w:val="baseline"/>
        </w:rPr>
        <w:t>for</w:t>
      </w:r>
      <w:r>
        <w:rPr>
          <w:spacing w:val="-3"/>
          <w:sz w:val="18"/>
          <w:vertAlign w:val="baseline"/>
        </w:rPr>
        <w:t> </w:t>
      </w:r>
      <w:r>
        <w:rPr>
          <w:sz w:val="18"/>
          <w:vertAlign w:val="baseline"/>
        </w:rPr>
        <w:t>LGBTQ</w:t>
      </w:r>
      <w:r>
        <w:rPr>
          <w:spacing w:val="-2"/>
          <w:sz w:val="18"/>
          <w:vertAlign w:val="baseline"/>
        </w:rPr>
        <w:t> </w:t>
      </w:r>
      <w:r>
        <w:rPr>
          <w:sz w:val="18"/>
          <w:vertAlign w:val="baseline"/>
        </w:rPr>
        <w:t>Youth.</w:t>
      </w:r>
      <w:r>
        <w:rPr>
          <w:spacing w:val="-2"/>
          <w:sz w:val="18"/>
          <w:vertAlign w:val="baseline"/>
        </w:rPr>
        <w:t> </w:t>
      </w:r>
      <w:r>
        <w:rPr>
          <w:sz w:val="18"/>
          <w:vertAlign w:val="baseline"/>
        </w:rPr>
        <w:t>New</w:t>
      </w:r>
      <w:r>
        <w:rPr>
          <w:spacing w:val="-3"/>
          <w:sz w:val="18"/>
          <w:vertAlign w:val="baseline"/>
        </w:rPr>
        <w:t> </w:t>
      </w:r>
      <w:r>
        <w:rPr>
          <w:sz w:val="18"/>
          <w:vertAlign w:val="baseline"/>
        </w:rPr>
        <w:t>York, New York: The Trevor Project.</w:t>
      </w:r>
    </w:p>
    <w:p>
      <w:pPr>
        <w:spacing w:before="0"/>
        <w:ind w:left="463" w:right="517" w:firstLine="0"/>
        <w:jc w:val="both"/>
        <w:rPr>
          <w:sz w:val="18"/>
        </w:rPr>
      </w:pPr>
      <w:bookmarkStart w:name="_bookmark136" w:id="292"/>
      <w:bookmarkEnd w:id="292"/>
      <w:r>
        <w:rPr/>
      </w:r>
      <w:r>
        <w:rPr>
          <w:sz w:val="18"/>
          <w:vertAlign w:val="superscript"/>
        </w:rPr>
        <w:t>35</w:t>
      </w:r>
      <w:r>
        <w:rPr>
          <w:spacing w:val="-11"/>
          <w:sz w:val="18"/>
          <w:vertAlign w:val="baseline"/>
        </w:rPr>
        <w:t> </w:t>
      </w:r>
      <w:r>
        <w:rPr>
          <w:sz w:val="18"/>
          <w:vertAlign w:val="baseline"/>
        </w:rPr>
        <w:t>Martin,</w:t>
      </w:r>
      <w:r>
        <w:rPr>
          <w:spacing w:val="-3"/>
          <w:sz w:val="18"/>
          <w:vertAlign w:val="baseline"/>
        </w:rPr>
        <w:t> </w:t>
      </w:r>
      <w:r>
        <w:rPr>
          <w:sz w:val="18"/>
          <w:vertAlign w:val="baseline"/>
        </w:rPr>
        <w:t>Naomi. “Schools Are Increasing Mental</w:t>
      </w:r>
      <w:r>
        <w:rPr>
          <w:spacing w:val="-1"/>
          <w:sz w:val="18"/>
          <w:vertAlign w:val="baseline"/>
        </w:rPr>
        <w:t> </w:t>
      </w:r>
      <w:r>
        <w:rPr>
          <w:sz w:val="18"/>
          <w:vertAlign w:val="baseline"/>
        </w:rPr>
        <w:t>Health Support</w:t>
      </w:r>
      <w:r>
        <w:rPr>
          <w:spacing w:val="-1"/>
          <w:sz w:val="18"/>
          <w:vertAlign w:val="baseline"/>
        </w:rPr>
        <w:t> </w:t>
      </w:r>
      <w:r>
        <w:rPr>
          <w:sz w:val="18"/>
          <w:vertAlign w:val="baseline"/>
        </w:rPr>
        <w:t>This Year,</w:t>
      </w:r>
      <w:r>
        <w:rPr>
          <w:spacing w:val="-1"/>
          <w:sz w:val="18"/>
          <w:vertAlign w:val="baseline"/>
        </w:rPr>
        <w:t> </w:t>
      </w:r>
      <w:r>
        <w:rPr>
          <w:sz w:val="18"/>
          <w:vertAlign w:val="baseline"/>
        </w:rPr>
        <w:t>but</w:t>
      </w:r>
      <w:r>
        <w:rPr>
          <w:spacing w:val="-1"/>
          <w:sz w:val="18"/>
          <w:vertAlign w:val="baseline"/>
        </w:rPr>
        <w:t> </w:t>
      </w:r>
      <w:r>
        <w:rPr>
          <w:sz w:val="18"/>
          <w:vertAlign w:val="baseline"/>
        </w:rPr>
        <w:t>Experts Fear</w:t>
      </w:r>
      <w:r>
        <w:rPr>
          <w:spacing w:val="-1"/>
          <w:sz w:val="18"/>
          <w:vertAlign w:val="baseline"/>
        </w:rPr>
        <w:t> </w:t>
      </w:r>
      <w:r>
        <w:rPr>
          <w:sz w:val="18"/>
          <w:vertAlign w:val="baseline"/>
        </w:rPr>
        <w:t>It’s Still</w:t>
      </w:r>
      <w:r>
        <w:rPr>
          <w:spacing w:val="-1"/>
          <w:sz w:val="18"/>
          <w:vertAlign w:val="baseline"/>
        </w:rPr>
        <w:t> </w:t>
      </w:r>
      <w:r>
        <w:rPr>
          <w:sz w:val="18"/>
          <w:vertAlign w:val="baseline"/>
        </w:rPr>
        <w:t>Not</w:t>
      </w:r>
      <w:r>
        <w:rPr>
          <w:spacing w:val="-1"/>
          <w:sz w:val="18"/>
          <w:vertAlign w:val="baseline"/>
        </w:rPr>
        <w:t> </w:t>
      </w:r>
      <w:r>
        <w:rPr>
          <w:sz w:val="18"/>
          <w:vertAlign w:val="baseline"/>
        </w:rPr>
        <w:t>Enough.” </w:t>
      </w:r>
      <w:r>
        <w:rPr>
          <w:i/>
          <w:sz w:val="18"/>
          <w:vertAlign w:val="baseline"/>
        </w:rPr>
        <w:t>The Boston</w:t>
      </w:r>
      <w:r>
        <w:rPr>
          <w:i/>
          <w:sz w:val="18"/>
          <w:vertAlign w:val="baseline"/>
        </w:rPr>
        <w:t> Globe,</w:t>
      </w:r>
      <w:r>
        <w:rPr>
          <w:i/>
          <w:spacing w:val="-10"/>
          <w:sz w:val="18"/>
          <w:vertAlign w:val="baseline"/>
        </w:rPr>
        <w:t> </w:t>
      </w:r>
      <w:r>
        <w:rPr>
          <w:sz w:val="18"/>
          <w:vertAlign w:val="baseline"/>
        </w:rPr>
        <w:t>September</w:t>
      </w:r>
      <w:r>
        <w:rPr>
          <w:spacing w:val="-10"/>
          <w:sz w:val="18"/>
          <w:vertAlign w:val="baseline"/>
        </w:rPr>
        <w:t> </w:t>
      </w:r>
      <w:r>
        <w:rPr>
          <w:sz w:val="18"/>
          <w:vertAlign w:val="baseline"/>
        </w:rPr>
        <w:t>6,</w:t>
      </w:r>
      <w:r>
        <w:rPr>
          <w:spacing w:val="-10"/>
          <w:sz w:val="18"/>
          <w:vertAlign w:val="baseline"/>
        </w:rPr>
        <w:t> </w:t>
      </w:r>
      <w:r>
        <w:rPr>
          <w:sz w:val="18"/>
          <w:vertAlign w:val="baseline"/>
        </w:rPr>
        <w:t>2021.</w:t>
      </w:r>
      <w:r>
        <w:rPr>
          <w:spacing w:val="-9"/>
          <w:sz w:val="18"/>
          <w:vertAlign w:val="baseline"/>
        </w:rPr>
        <w:t> </w:t>
      </w:r>
      <w:hyperlink r:id="rId220">
        <w:r>
          <w:rPr>
            <w:color w:val="1153CC"/>
            <w:sz w:val="18"/>
            <w:u w:val="single" w:color="1153CC"/>
            <w:vertAlign w:val="baseline"/>
          </w:rPr>
          <w:t>https://www.bostonglobe.com/2021/09/06/metro/schools-are-increasing-mental-health-support-</w:t>
        </w:r>
      </w:hyperlink>
      <w:r>
        <w:rPr>
          <w:color w:val="1153CC"/>
          <w:sz w:val="18"/>
          <w:u w:val="none"/>
          <w:vertAlign w:val="baseline"/>
        </w:rPr>
        <w:t> </w:t>
      </w:r>
      <w:hyperlink r:id="rId220">
        <w:r>
          <w:rPr>
            <w:color w:val="1153CC"/>
            <w:spacing w:val="-2"/>
            <w:sz w:val="18"/>
            <w:u w:val="single" w:color="1153CC"/>
            <w:vertAlign w:val="baseline"/>
          </w:rPr>
          <w:t>this-year-experts-fear-its-still-not-enough/</w:t>
        </w:r>
      </w:hyperlink>
      <w:hyperlink r:id="rId220">
        <w:r>
          <w:rPr>
            <w:spacing w:val="-2"/>
            <w:sz w:val="18"/>
            <w:u w:val="none"/>
            <w:vertAlign w:val="baseline"/>
          </w:rPr>
          <w:t>.</w:t>
        </w:r>
      </w:hyperlink>
    </w:p>
    <w:p>
      <w:pPr>
        <w:spacing w:before="0"/>
        <w:ind w:left="463" w:right="314" w:hanging="1"/>
        <w:jc w:val="left"/>
        <w:rPr>
          <w:sz w:val="18"/>
        </w:rPr>
      </w:pPr>
      <w:bookmarkStart w:name="_bookmark137" w:id="293"/>
      <w:bookmarkEnd w:id="293"/>
      <w:r>
        <w:rPr/>
      </w:r>
      <w:r>
        <w:rPr>
          <w:sz w:val="18"/>
          <w:vertAlign w:val="superscript"/>
        </w:rPr>
        <w:t>36</w:t>
      </w:r>
      <w:r>
        <w:rPr>
          <w:spacing w:val="-13"/>
          <w:sz w:val="18"/>
          <w:vertAlign w:val="baseline"/>
        </w:rPr>
        <w:t> </w:t>
      </w:r>
      <w:r>
        <w:rPr>
          <w:sz w:val="18"/>
          <w:vertAlign w:val="baseline"/>
        </w:rPr>
        <w:t>Ahmed,</w:t>
      </w:r>
      <w:r>
        <w:rPr>
          <w:spacing w:val="-5"/>
          <w:sz w:val="18"/>
          <w:vertAlign w:val="baseline"/>
        </w:rPr>
        <w:t> </w:t>
      </w:r>
      <w:r>
        <w:rPr>
          <w:sz w:val="18"/>
          <w:vertAlign w:val="baseline"/>
        </w:rPr>
        <w:t>Sawssan</w:t>
      </w:r>
      <w:r>
        <w:rPr>
          <w:spacing w:val="-2"/>
          <w:sz w:val="18"/>
          <w:vertAlign w:val="baseline"/>
        </w:rPr>
        <w:t> </w:t>
      </w:r>
      <w:r>
        <w:rPr>
          <w:sz w:val="18"/>
          <w:vertAlign w:val="baseline"/>
        </w:rPr>
        <w:t>R.,</w:t>
      </w:r>
      <w:r>
        <w:rPr>
          <w:spacing w:val="-3"/>
          <w:sz w:val="18"/>
          <w:vertAlign w:val="baseline"/>
        </w:rPr>
        <w:t> </w:t>
      </w:r>
      <w:r>
        <w:rPr>
          <w:sz w:val="18"/>
          <w:vertAlign w:val="baseline"/>
        </w:rPr>
        <w:t>Maryam</w:t>
      </w:r>
      <w:r>
        <w:rPr>
          <w:spacing w:val="-2"/>
          <w:sz w:val="18"/>
          <w:vertAlign w:val="baseline"/>
        </w:rPr>
        <w:t> </w:t>
      </w:r>
      <w:r>
        <w:rPr>
          <w:sz w:val="18"/>
          <w:vertAlign w:val="baseline"/>
        </w:rPr>
        <w:t>Kia-Keating,</w:t>
      </w:r>
      <w:r>
        <w:rPr>
          <w:spacing w:val="-3"/>
          <w:sz w:val="18"/>
          <w:vertAlign w:val="baseline"/>
        </w:rPr>
        <w:t> </w:t>
      </w:r>
      <w:r>
        <w:rPr>
          <w:sz w:val="18"/>
          <w:vertAlign w:val="baseline"/>
        </w:rPr>
        <w:t>and</w:t>
      </w:r>
      <w:r>
        <w:rPr>
          <w:spacing w:val="-2"/>
          <w:sz w:val="18"/>
          <w:vertAlign w:val="baseline"/>
        </w:rPr>
        <w:t> </w:t>
      </w:r>
      <w:r>
        <w:rPr>
          <w:sz w:val="18"/>
          <w:vertAlign w:val="baseline"/>
        </w:rPr>
        <w:t>Katherine</w:t>
      </w:r>
      <w:r>
        <w:rPr>
          <w:spacing w:val="-2"/>
          <w:sz w:val="18"/>
          <w:vertAlign w:val="baseline"/>
        </w:rPr>
        <w:t> </w:t>
      </w:r>
      <w:r>
        <w:rPr>
          <w:sz w:val="18"/>
          <w:vertAlign w:val="baseline"/>
        </w:rPr>
        <w:t>H.</w:t>
      </w:r>
      <w:r>
        <w:rPr>
          <w:spacing w:val="-2"/>
          <w:sz w:val="18"/>
          <w:vertAlign w:val="baseline"/>
        </w:rPr>
        <w:t> </w:t>
      </w:r>
      <w:r>
        <w:rPr>
          <w:sz w:val="18"/>
          <w:vertAlign w:val="baseline"/>
        </w:rPr>
        <w:t>Tsai.</w:t>
      </w:r>
      <w:r>
        <w:rPr>
          <w:spacing w:val="-2"/>
          <w:sz w:val="18"/>
          <w:vertAlign w:val="baseline"/>
        </w:rPr>
        <w:t> </w:t>
      </w:r>
      <w:r>
        <w:rPr>
          <w:sz w:val="18"/>
          <w:vertAlign w:val="baseline"/>
        </w:rPr>
        <w:t>“A</w:t>
      </w:r>
      <w:r>
        <w:rPr>
          <w:spacing w:val="-2"/>
          <w:sz w:val="18"/>
          <w:vertAlign w:val="baseline"/>
        </w:rPr>
        <w:t> </w:t>
      </w:r>
      <w:r>
        <w:rPr>
          <w:sz w:val="18"/>
          <w:vertAlign w:val="baseline"/>
        </w:rPr>
        <w:t>Structural</w:t>
      </w:r>
      <w:r>
        <w:rPr>
          <w:spacing w:val="-3"/>
          <w:sz w:val="18"/>
          <w:vertAlign w:val="baseline"/>
        </w:rPr>
        <w:t> </w:t>
      </w:r>
      <w:r>
        <w:rPr>
          <w:sz w:val="18"/>
          <w:vertAlign w:val="baseline"/>
        </w:rPr>
        <w:t>Model</w:t>
      </w:r>
      <w:r>
        <w:rPr>
          <w:spacing w:val="-3"/>
          <w:sz w:val="18"/>
          <w:vertAlign w:val="baseline"/>
        </w:rPr>
        <w:t> </w:t>
      </w:r>
      <w:r>
        <w:rPr>
          <w:sz w:val="18"/>
          <w:vertAlign w:val="baseline"/>
        </w:rPr>
        <w:t>of</w:t>
      </w:r>
      <w:r>
        <w:rPr>
          <w:spacing w:val="-2"/>
          <w:sz w:val="18"/>
          <w:vertAlign w:val="baseline"/>
        </w:rPr>
        <w:t> </w:t>
      </w:r>
      <w:r>
        <w:rPr>
          <w:sz w:val="18"/>
          <w:vertAlign w:val="baseline"/>
        </w:rPr>
        <w:t>Racial</w:t>
      </w:r>
      <w:r>
        <w:rPr>
          <w:spacing w:val="-3"/>
          <w:sz w:val="18"/>
          <w:vertAlign w:val="baseline"/>
        </w:rPr>
        <w:t> </w:t>
      </w:r>
      <w:r>
        <w:rPr>
          <w:sz w:val="18"/>
          <w:vertAlign w:val="baseline"/>
        </w:rPr>
        <w:t>Discrimination,</w:t>
      </w:r>
      <w:r>
        <w:rPr>
          <w:spacing w:val="-3"/>
          <w:sz w:val="18"/>
          <w:vertAlign w:val="baseline"/>
        </w:rPr>
        <w:t> </w:t>
      </w:r>
      <w:r>
        <w:rPr>
          <w:sz w:val="18"/>
          <w:vertAlign w:val="baseline"/>
        </w:rPr>
        <w:t>Acculturative Stress, and Cultural Resources Among Arab American Adolescents.” </w:t>
      </w:r>
      <w:r>
        <w:rPr>
          <w:i/>
          <w:sz w:val="18"/>
          <w:vertAlign w:val="baseline"/>
        </w:rPr>
        <w:t>American Journal of Community Psychology </w:t>
      </w:r>
      <w:r>
        <w:rPr>
          <w:sz w:val="18"/>
          <w:vertAlign w:val="baseline"/>
        </w:rPr>
        <w:t>48, no. 3–4 (December 2011): 181–92. </w:t>
      </w:r>
      <w:hyperlink r:id="rId221">
        <w:r>
          <w:rPr>
            <w:color w:val="1153CC"/>
            <w:sz w:val="18"/>
            <w:u w:val="single" w:color="1153CC"/>
            <w:vertAlign w:val="baseline"/>
          </w:rPr>
          <w:t>https://doi.org/10.1007/s10464-011-9424-3</w:t>
        </w:r>
      </w:hyperlink>
      <w:hyperlink r:id="rId221">
        <w:r>
          <w:rPr>
            <w:sz w:val="18"/>
            <w:u w:val="none"/>
            <w:vertAlign w:val="baseline"/>
          </w:rPr>
          <w:t>.</w:t>
        </w:r>
      </w:hyperlink>
    </w:p>
    <w:p>
      <w:pPr>
        <w:spacing w:before="0"/>
        <w:ind w:left="463" w:right="1869" w:hanging="1"/>
        <w:jc w:val="left"/>
        <w:rPr>
          <w:sz w:val="18"/>
        </w:rPr>
      </w:pPr>
      <w:bookmarkStart w:name="_bookmark138" w:id="294"/>
      <w:bookmarkEnd w:id="294"/>
      <w:r>
        <w:rPr/>
      </w:r>
      <w:r>
        <w:rPr>
          <w:sz w:val="18"/>
          <w:vertAlign w:val="superscript"/>
        </w:rPr>
        <w:t>37</w:t>
      </w:r>
      <w:r>
        <w:rPr>
          <w:spacing w:val="-13"/>
          <w:sz w:val="18"/>
          <w:vertAlign w:val="baseline"/>
        </w:rPr>
        <w:t> </w:t>
      </w:r>
      <w:r>
        <w:rPr>
          <w:sz w:val="18"/>
          <w:vertAlign w:val="baseline"/>
        </w:rPr>
        <w:t>Human</w:t>
      </w:r>
      <w:r>
        <w:rPr>
          <w:spacing w:val="-5"/>
          <w:sz w:val="18"/>
          <w:vertAlign w:val="baseline"/>
        </w:rPr>
        <w:t> </w:t>
      </w:r>
      <w:r>
        <w:rPr>
          <w:sz w:val="18"/>
          <w:vertAlign w:val="baseline"/>
        </w:rPr>
        <w:t>Rights</w:t>
      </w:r>
      <w:r>
        <w:rPr>
          <w:spacing w:val="-4"/>
          <w:sz w:val="18"/>
          <w:vertAlign w:val="baseline"/>
        </w:rPr>
        <w:t> </w:t>
      </w:r>
      <w:r>
        <w:rPr>
          <w:sz w:val="18"/>
          <w:vertAlign w:val="baseline"/>
        </w:rPr>
        <w:t>Campaign.</w:t>
      </w:r>
      <w:r>
        <w:rPr>
          <w:spacing w:val="-3"/>
          <w:sz w:val="18"/>
          <w:vertAlign w:val="baseline"/>
        </w:rPr>
        <w:t> </w:t>
      </w:r>
      <w:r>
        <w:rPr>
          <w:sz w:val="18"/>
          <w:vertAlign w:val="baseline"/>
        </w:rPr>
        <w:t>“Understanding</w:t>
      </w:r>
      <w:r>
        <w:rPr>
          <w:spacing w:val="-3"/>
          <w:sz w:val="18"/>
          <w:vertAlign w:val="baseline"/>
        </w:rPr>
        <w:t> </w:t>
      </w:r>
      <w:r>
        <w:rPr>
          <w:sz w:val="18"/>
          <w:vertAlign w:val="baseline"/>
        </w:rPr>
        <w:t>Disability</w:t>
      </w:r>
      <w:r>
        <w:rPr>
          <w:spacing w:val="-3"/>
          <w:sz w:val="18"/>
          <w:vertAlign w:val="baseline"/>
        </w:rPr>
        <w:t> </w:t>
      </w:r>
      <w:r>
        <w:rPr>
          <w:sz w:val="18"/>
          <w:vertAlign w:val="baseline"/>
        </w:rPr>
        <w:t>in</w:t>
      </w:r>
      <w:r>
        <w:rPr>
          <w:spacing w:val="-3"/>
          <w:sz w:val="18"/>
          <w:vertAlign w:val="baseline"/>
        </w:rPr>
        <w:t> </w:t>
      </w:r>
      <w:r>
        <w:rPr>
          <w:sz w:val="18"/>
          <w:vertAlign w:val="baseline"/>
        </w:rPr>
        <w:t>the</w:t>
      </w:r>
      <w:r>
        <w:rPr>
          <w:spacing w:val="-3"/>
          <w:sz w:val="18"/>
          <w:vertAlign w:val="baseline"/>
        </w:rPr>
        <w:t> </w:t>
      </w:r>
      <w:r>
        <w:rPr>
          <w:sz w:val="18"/>
          <w:vertAlign w:val="baseline"/>
        </w:rPr>
        <w:t>LGBTQ+</w:t>
      </w:r>
      <w:r>
        <w:rPr>
          <w:spacing w:val="-3"/>
          <w:sz w:val="18"/>
          <w:vertAlign w:val="baseline"/>
        </w:rPr>
        <w:t> </w:t>
      </w:r>
      <w:r>
        <w:rPr>
          <w:sz w:val="18"/>
          <w:vertAlign w:val="baseline"/>
        </w:rPr>
        <w:t>Community.”</w:t>
      </w:r>
      <w:r>
        <w:rPr>
          <w:spacing w:val="-4"/>
          <w:sz w:val="18"/>
          <w:vertAlign w:val="baseline"/>
        </w:rPr>
        <w:t> </w:t>
      </w:r>
      <w:r>
        <w:rPr>
          <w:sz w:val="18"/>
          <w:vertAlign w:val="baseline"/>
        </w:rPr>
        <w:t>Accessed</w:t>
      </w:r>
      <w:r>
        <w:rPr>
          <w:spacing w:val="-3"/>
          <w:sz w:val="18"/>
          <w:vertAlign w:val="baseline"/>
        </w:rPr>
        <w:t> </w:t>
      </w:r>
      <w:r>
        <w:rPr>
          <w:sz w:val="18"/>
          <w:vertAlign w:val="baseline"/>
        </w:rPr>
        <w:t>March</w:t>
      </w:r>
      <w:r>
        <w:rPr>
          <w:spacing w:val="-4"/>
          <w:sz w:val="18"/>
          <w:vertAlign w:val="baseline"/>
        </w:rPr>
        <w:t> </w:t>
      </w:r>
      <w:r>
        <w:rPr>
          <w:sz w:val="18"/>
          <w:vertAlign w:val="baseline"/>
        </w:rPr>
        <w:t>5,</w:t>
      </w:r>
      <w:r>
        <w:rPr>
          <w:spacing w:val="-4"/>
          <w:sz w:val="18"/>
          <w:vertAlign w:val="baseline"/>
        </w:rPr>
        <w:t> </w:t>
      </w:r>
      <w:r>
        <w:rPr>
          <w:sz w:val="18"/>
          <w:vertAlign w:val="baseline"/>
        </w:rPr>
        <w:t>2023. </w:t>
      </w:r>
      <w:hyperlink r:id="rId222">
        <w:r>
          <w:rPr>
            <w:color w:val="1153CC"/>
            <w:spacing w:val="-2"/>
            <w:sz w:val="18"/>
            <w:u w:val="single" w:color="1153CC"/>
            <w:vertAlign w:val="baseline"/>
          </w:rPr>
          <w:t>https://www.hrc.org/resources/understanding-disabled-lgbtq-people</w:t>
        </w:r>
      </w:hyperlink>
      <w:hyperlink r:id="rId222">
        <w:r>
          <w:rPr>
            <w:spacing w:val="-2"/>
            <w:sz w:val="18"/>
            <w:u w:val="none"/>
            <w:vertAlign w:val="baseline"/>
          </w:rPr>
          <w:t>.</w:t>
        </w:r>
      </w:hyperlink>
    </w:p>
    <w:p>
      <w:pPr>
        <w:spacing w:before="0"/>
        <w:ind w:left="463" w:right="474" w:hanging="1"/>
        <w:jc w:val="left"/>
        <w:rPr>
          <w:sz w:val="18"/>
        </w:rPr>
      </w:pPr>
      <w:bookmarkStart w:name="_bookmark139" w:id="295"/>
      <w:bookmarkEnd w:id="295"/>
      <w:r>
        <w:rPr/>
      </w:r>
      <w:r>
        <w:rPr>
          <w:sz w:val="18"/>
          <w:vertAlign w:val="superscript"/>
        </w:rPr>
        <w:t>38</w:t>
      </w:r>
      <w:r>
        <w:rPr>
          <w:spacing w:val="-13"/>
          <w:sz w:val="18"/>
          <w:vertAlign w:val="baseline"/>
        </w:rPr>
        <w:t> </w:t>
      </w:r>
      <w:r>
        <w:rPr>
          <w:sz w:val="18"/>
          <w:vertAlign w:val="baseline"/>
        </w:rPr>
        <w:t>Kallitsounaki,</w:t>
      </w:r>
      <w:r>
        <w:rPr>
          <w:spacing w:val="-6"/>
          <w:sz w:val="18"/>
          <w:vertAlign w:val="baseline"/>
        </w:rPr>
        <w:t> </w:t>
      </w:r>
      <w:r>
        <w:rPr>
          <w:sz w:val="18"/>
          <w:vertAlign w:val="baseline"/>
        </w:rPr>
        <w:t>Aimilia,</w:t>
      </w:r>
      <w:r>
        <w:rPr>
          <w:spacing w:val="-4"/>
          <w:sz w:val="18"/>
          <w:vertAlign w:val="baseline"/>
        </w:rPr>
        <w:t> </w:t>
      </w:r>
      <w:r>
        <w:rPr>
          <w:sz w:val="18"/>
          <w:vertAlign w:val="baseline"/>
        </w:rPr>
        <w:t>and</w:t>
      </w:r>
      <w:r>
        <w:rPr>
          <w:spacing w:val="-3"/>
          <w:sz w:val="18"/>
          <w:vertAlign w:val="baseline"/>
        </w:rPr>
        <w:t> </w:t>
      </w:r>
      <w:r>
        <w:rPr>
          <w:sz w:val="18"/>
          <w:vertAlign w:val="baseline"/>
        </w:rPr>
        <w:t>David</w:t>
      </w:r>
      <w:r>
        <w:rPr>
          <w:spacing w:val="-3"/>
          <w:sz w:val="18"/>
          <w:vertAlign w:val="baseline"/>
        </w:rPr>
        <w:t> </w:t>
      </w:r>
      <w:r>
        <w:rPr>
          <w:sz w:val="18"/>
          <w:vertAlign w:val="baseline"/>
        </w:rPr>
        <w:t>M.</w:t>
      </w:r>
      <w:r>
        <w:rPr>
          <w:spacing w:val="-3"/>
          <w:sz w:val="18"/>
          <w:vertAlign w:val="baseline"/>
        </w:rPr>
        <w:t> </w:t>
      </w:r>
      <w:r>
        <w:rPr>
          <w:sz w:val="18"/>
          <w:vertAlign w:val="baseline"/>
        </w:rPr>
        <w:t>Williams.</w:t>
      </w:r>
      <w:r>
        <w:rPr>
          <w:spacing w:val="-3"/>
          <w:sz w:val="18"/>
          <w:vertAlign w:val="baseline"/>
        </w:rPr>
        <w:t> </w:t>
      </w:r>
      <w:r>
        <w:rPr>
          <w:sz w:val="18"/>
          <w:vertAlign w:val="baseline"/>
        </w:rPr>
        <w:t>“Autism</w:t>
      </w:r>
      <w:r>
        <w:rPr>
          <w:spacing w:val="-3"/>
          <w:sz w:val="18"/>
          <w:vertAlign w:val="baseline"/>
        </w:rPr>
        <w:t> </w:t>
      </w:r>
      <w:r>
        <w:rPr>
          <w:sz w:val="18"/>
          <w:vertAlign w:val="baseline"/>
        </w:rPr>
        <w:t>Spectrum</w:t>
      </w:r>
      <w:r>
        <w:rPr>
          <w:spacing w:val="-3"/>
          <w:sz w:val="18"/>
          <w:vertAlign w:val="baseline"/>
        </w:rPr>
        <w:t> </w:t>
      </w:r>
      <w:r>
        <w:rPr>
          <w:sz w:val="18"/>
          <w:vertAlign w:val="baseline"/>
        </w:rPr>
        <w:t>Disorder</w:t>
      </w:r>
      <w:r>
        <w:rPr>
          <w:spacing w:val="-4"/>
          <w:sz w:val="18"/>
          <w:vertAlign w:val="baseline"/>
        </w:rPr>
        <w:t> </w:t>
      </w:r>
      <w:r>
        <w:rPr>
          <w:sz w:val="18"/>
          <w:vertAlign w:val="baseline"/>
        </w:rPr>
        <w:t>and</w:t>
      </w:r>
      <w:r>
        <w:rPr>
          <w:spacing w:val="-4"/>
          <w:sz w:val="18"/>
          <w:vertAlign w:val="baseline"/>
        </w:rPr>
        <w:t> </w:t>
      </w:r>
      <w:r>
        <w:rPr>
          <w:sz w:val="18"/>
          <w:vertAlign w:val="baseline"/>
        </w:rPr>
        <w:t>Gender</w:t>
      </w:r>
      <w:r>
        <w:rPr>
          <w:spacing w:val="-4"/>
          <w:sz w:val="18"/>
          <w:vertAlign w:val="baseline"/>
        </w:rPr>
        <w:t> </w:t>
      </w:r>
      <w:r>
        <w:rPr>
          <w:sz w:val="18"/>
          <w:vertAlign w:val="baseline"/>
        </w:rPr>
        <w:t>Dysphoria/Incongruence.</w:t>
      </w:r>
      <w:r>
        <w:rPr>
          <w:spacing w:val="-3"/>
          <w:sz w:val="18"/>
          <w:vertAlign w:val="baseline"/>
        </w:rPr>
        <w:t> </w:t>
      </w:r>
      <w:r>
        <w:rPr>
          <w:sz w:val="18"/>
          <w:vertAlign w:val="baseline"/>
        </w:rPr>
        <w:t>A</w:t>
      </w:r>
      <w:r>
        <w:rPr>
          <w:spacing w:val="-3"/>
          <w:sz w:val="18"/>
          <w:vertAlign w:val="baseline"/>
        </w:rPr>
        <w:t> </w:t>
      </w:r>
      <w:r>
        <w:rPr>
          <w:sz w:val="18"/>
          <w:vertAlign w:val="baseline"/>
        </w:rPr>
        <w:t>Systematic Literature Review and Meta-Analysis.” </w:t>
      </w:r>
      <w:r>
        <w:rPr>
          <w:i/>
          <w:sz w:val="18"/>
          <w:vertAlign w:val="baseline"/>
        </w:rPr>
        <w:t>Journal of Autism and Developmental Disorders, </w:t>
      </w:r>
      <w:r>
        <w:rPr>
          <w:sz w:val="18"/>
          <w:vertAlign w:val="baseline"/>
        </w:rPr>
        <w:t>May 20, 2022. </w:t>
      </w:r>
      <w:hyperlink r:id="rId223">
        <w:r>
          <w:rPr>
            <w:color w:val="1153CC"/>
            <w:spacing w:val="-2"/>
            <w:sz w:val="18"/>
            <w:u w:val="single" w:color="1153CC"/>
            <w:vertAlign w:val="baseline"/>
          </w:rPr>
          <w:t>https://doi.org/10.1007/s10803-022-05517-y</w:t>
        </w:r>
      </w:hyperlink>
      <w:hyperlink r:id="rId223">
        <w:r>
          <w:rPr>
            <w:spacing w:val="-2"/>
            <w:sz w:val="18"/>
            <w:u w:val="none"/>
            <w:vertAlign w:val="baseline"/>
          </w:rPr>
          <w:t>.</w:t>
        </w:r>
      </w:hyperlink>
    </w:p>
    <w:p>
      <w:pPr>
        <w:spacing w:before="0"/>
        <w:ind w:left="463" w:right="350" w:hanging="1"/>
        <w:jc w:val="left"/>
        <w:rPr>
          <w:sz w:val="18"/>
        </w:rPr>
      </w:pPr>
      <w:bookmarkStart w:name="_bookmark140" w:id="296"/>
      <w:bookmarkEnd w:id="296"/>
      <w:r>
        <w:rPr/>
      </w:r>
      <w:r>
        <w:rPr>
          <w:sz w:val="18"/>
          <w:vertAlign w:val="superscript"/>
        </w:rPr>
        <w:t>39</w:t>
      </w:r>
      <w:r>
        <w:rPr>
          <w:spacing w:val="-13"/>
          <w:sz w:val="18"/>
          <w:vertAlign w:val="baseline"/>
        </w:rPr>
        <w:t> </w:t>
      </w:r>
      <w:r>
        <w:rPr>
          <w:sz w:val="18"/>
          <w:vertAlign w:val="baseline"/>
        </w:rPr>
        <w:t>Kosciw,</w:t>
      </w:r>
      <w:r>
        <w:rPr>
          <w:spacing w:val="-4"/>
          <w:sz w:val="18"/>
          <w:vertAlign w:val="baseline"/>
        </w:rPr>
        <w:t> </w:t>
      </w:r>
      <w:r>
        <w:rPr>
          <w:sz w:val="18"/>
          <w:vertAlign w:val="baseline"/>
        </w:rPr>
        <w:t>Joseph,</w:t>
      </w:r>
      <w:r>
        <w:rPr>
          <w:spacing w:val="-3"/>
          <w:sz w:val="18"/>
          <w:vertAlign w:val="baseline"/>
        </w:rPr>
        <w:t> </w:t>
      </w:r>
      <w:r>
        <w:rPr>
          <w:sz w:val="18"/>
          <w:vertAlign w:val="baseline"/>
        </w:rPr>
        <w:t>Caitlin</w:t>
      </w:r>
      <w:r>
        <w:rPr>
          <w:spacing w:val="-2"/>
          <w:sz w:val="18"/>
          <w:vertAlign w:val="baseline"/>
        </w:rPr>
        <w:t> </w:t>
      </w:r>
      <w:r>
        <w:rPr>
          <w:sz w:val="18"/>
          <w:vertAlign w:val="baseline"/>
        </w:rPr>
        <w:t>Clark,</w:t>
      </w:r>
      <w:r>
        <w:rPr>
          <w:spacing w:val="-3"/>
          <w:sz w:val="18"/>
          <w:vertAlign w:val="baseline"/>
        </w:rPr>
        <w:t> </w:t>
      </w:r>
      <w:r>
        <w:rPr>
          <w:sz w:val="18"/>
          <w:vertAlign w:val="baseline"/>
        </w:rPr>
        <w:t>and</w:t>
      </w:r>
      <w:r>
        <w:rPr>
          <w:spacing w:val="-2"/>
          <w:sz w:val="18"/>
          <w:vertAlign w:val="baseline"/>
        </w:rPr>
        <w:t> </w:t>
      </w:r>
      <w:r>
        <w:rPr>
          <w:sz w:val="18"/>
          <w:vertAlign w:val="baseline"/>
        </w:rPr>
        <w:t>Leesh</w:t>
      </w:r>
      <w:r>
        <w:rPr>
          <w:spacing w:val="-2"/>
          <w:sz w:val="18"/>
          <w:vertAlign w:val="baseline"/>
        </w:rPr>
        <w:t> </w:t>
      </w:r>
      <w:r>
        <w:rPr>
          <w:sz w:val="18"/>
          <w:vertAlign w:val="baseline"/>
        </w:rPr>
        <w:t>Menard,</w:t>
      </w:r>
      <w:r>
        <w:rPr>
          <w:spacing w:val="-3"/>
          <w:sz w:val="18"/>
          <w:vertAlign w:val="baseline"/>
        </w:rPr>
        <w:t> </w:t>
      </w:r>
      <w:r>
        <w:rPr>
          <w:sz w:val="18"/>
          <w:vertAlign w:val="baseline"/>
        </w:rPr>
        <w:t>“The</w:t>
      </w:r>
      <w:r>
        <w:rPr>
          <w:spacing w:val="-2"/>
          <w:sz w:val="18"/>
          <w:vertAlign w:val="baseline"/>
        </w:rPr>
        <w:t> </w:t>
      </w:r>
      <w:r>
        <w:rPr>
          <w:sz w:val="18"/>
          <w:vertAlign w:val="baseline"/>
        </w:rPr>
        <w:t>2021</w:t>
      </w:r>
      <w:r>
        <w:rPr>
          <w:spacing w:val="-2"/>
          <w:sz w:val="18"/>
          <w:vertAlign w:val="baseline"/>
        </w:rPr>
        <w:t> </w:t>
      </w:r>
      <w:r>
        <w:rPr>
          <w:sz w:val="18"/>
          <w:vertAlign w:val="baseline"/>
        </w:rPr>
        <w:t>National</w:t>
      </w:r>
      <w:r>
        <w:rPr>
          <w:spacing w:val="-3"/>
          <w:sz w:val="18"/>
          <w:vertAlign w:val="baseline"/>
        </w:rPr>
        <w:t> </w:t>
      </w:r>
      <w:r>
        <w:rPr>
          <w:sz w:val="18"/>
          <w:vertAlign w:val="baseline"/>
        </w:rPr>
        <w:t>School</w:t>
      </w:r>
      <w:r>
        <w:rPr>
          <w:spacing w:val="-3"/>
          <w:sz w:val="18"/>
          <w:vertAlign w:val="baseline"/>
        </w:rPr>
        <w:t> </w:t>
      </w:r>
      <w:r>
        <w:rPr>
          <w:sz w:val="18"/>
          <w:vertAlign w:val="baseline"/>
        </w:rPr>
        <w:t>Climate</w:t>
      </w:r>
      <w:r>
        <w:rPr>
          <w:spacing w:val="-2"/>
          <w:sz w:val="18"/>
          <w:vertAlign w:val="baseline"/>
        </w:rPr>
        <w:t> </w:t>
      </w:r>
      <w:r>
        <w:rPr>
          <w:sz w:val="18"/>
          <w:vertAlign w:val="baseline"/>
        </w:rPr>
        <w:t>Survey:</w:t>
      </w:r>
      <w:r>
        <w:rPr>
          <w:spacing w:val="-2"/>
          <w:sz w:val="18"/>
          <w:vertAlign w:val="baseline"/>
        </w:rPr>
        <w:t> </w:t>
      </w:r>
      <w:r>
        <w:rPr>
          <w:sz w:val="18"/>
          <w:vertAlign w:val="baseline"/>
        </w:rPr>
        <w:t>The</w:t>
      </w:r>
      <w:r>
        <w:rPr>
          <w:spacing w:val="-2"/>
          <w:sz w:val="18"/>
          <w:vertAlign w:val="baseline"/>
        </w:rPr>
        <w:t> </w:t>
      </w:r>
      <w:r>
        <w:rPr>
          <w:sz w:val="18"/>
          <w:vertAlign w:val="baseline"/>
        </w:rPr>
        <w:t>Experiences</w:t>
      </w:r>
      <w:r>
        <w:rPr>
          <w:spacing w:val="-2"/>
          <w:sz w:val="18"/>
          <w:vertAlign w:val="baseline"/>
        </w:rPr>
        <w:t> </w:t>
      </w:r>
      <w:r>
        <w:rPr>
          <w:sz w:val="18"/>
          <w:vertAlign w:val="baseline"/>
        </w:rPr>
        <w:t>of</w:t>
      </w:r>
      <w:r>
        <w:rPr>
          <w:spacing w:val="-3"/>
          <w:sz w:val="18"/>
          <w:vertAlign w:val="baseline"/>
        </w:rPr>
        <w:t> </w:t>
      </w:r>
      <w:r>
        <w:rPr>
          <w:sz w:val="18"/>
          <w:vertAlign w:val="baseline"/>
        </w:rPr>
        <w:t>LGBTQ+</w:t>
      </w:r>
      <w:r>
        <w:rPr>
          <w:spacing w:val="-2"/>
          <w:sz w:val="18"/>
          <w:vertAlign w:val="baseline"/>
        </w:rPr>
        <w:t> </w:t>
      </w:r>
      <w:r>
        <w:rPr>
          <w:sz w:val="18"/>
          <w:vertAlign w:val="baseline"/>
        </w:rPr>
        <w:t>Youth in Our Nation’s Schools” (New York: Gay, Lesbian and Straight Education Network, 2022), </w:t>
      </w:r>
      <w:hyperlink r:id="rId206">
        <w:r>
          <w:rPr>
            <w:color w:val="1153CC"/>
            <w:spacing w:val="-2"/>
            <w:sz w:val="18"/>
            <w:u w:val="single" w:color="1153CC"/>
            <w:vertAlign w:val="baseline"/>
          </w:rPr>
          <w:t>https://www.glsen.org/sites/default/files/2022-10/NSCS-2021-Full-Report.pd</w:t>
        </w:r>
      </w:hyperlink>
      <w:hyperlink r:id="rId206">
        <w:r>
          <w:rPr>
            <w:color w:val="1153CC"/>
            <w:spacing w:val="-2"/>
            <w:sz w:val="18"/>
            <w:u w:val="single" w:color="1153CC"/>
            <w:vertAlign w:val="baseline"/>
          </w:rPr>
          <w:t>f</w:t>
        </w:r>
        <w:r>
          <w:rPr>
            <w:spacing w:val="-2"/>
            <w:sz w:val="18"/>
            <w:u w:val="none"/>
            <w:vertAlign w:val="baseline"/>
          </w:rPr>
          <w:t>.</w:t>
        </w:r>
      </w:hyperlink>
    </w:p>
    <w:p>
      <w:pPr>
        <w:spacing w:before="0"/>
        <w:ind w:left="463" w:right="767" w:hanging="1"/>
        <w:jc w:val="both"/>
        <w:rPr>
          <w:sz w:val="18"/>
        </w:rPr>
      </w:pPr>
      <w:bookmarkStart w:name="_bookmark141" w:id="297"/>
      <w:bookmarkEnd w:id="297"/>
      <w:r>
        <w:rPr/>
      </w:r>
      <w:r>
        <w:rPr>
          <w:sz w:val="18"/>
          <w:vertAlign w:val="superscript"/>
        </w:rPr>
        <w:t>40</w:t>
      </w:r>
      <w:r>
        <w:rPr>
          <w:spacing w:val="-11"/>
          <w:sz w:val="18"/>
          <w:vertAlign w:val="baseline"/>
        </w:rPr>
        <w:t> </w:t>
      </w:r>
      <w:r>
        <w:rPr>
          <w:sz w:val="18"/>
          <w:vertAlign w:val="baseline"/>
        </w:rPr>
        <w:t>Miller,</w:t>
      </w:r>
      <w:r>
        <w:rPr>
          <w:spacing w:val="-5"/>
          <w:sz w:val="18"/>
          <w:vertAlign w:val="baseline"/>
        </w:rPr>
        <w:t> </w:t>
      </w:r>
      <w:r>
        <w:rPr>
          <w:sz w:val="18"/>
          <w:vertAlign w:val="baseline"/>
        </w:rPr>
        <w:t>Ryan</w:t>
      </w:r>
      <w:r>
        <w:rPr>
          <w:spacing w:val="-2"/>
          <w:sz w:val="18"/>
          <w:vertAlign w:val="baseline"/>
        </w:rPr>
        <w:t> </w:t>
      </w:r>
      <w:r>
        <w:rPr>
          <w:sz w:val="18"/>
          <w:vertAlign w:val="baseline"/>
        </w:rPr>
        <w:t>A.,</w:t>
      </w:r>
      <w:r>
        <w:rPr>
          <w:spacing w:val="-3"/>
          <w:sz w:val="18"/>
          <w:vertAlign w:val="baseline"/>
        </w:rPr>
        <w:t> </w:t>
      </w:r>
      <w:r>
        <w:rPr>
          <w:sz w:val="18"/>
          <w:vertAlign w:val="baseline"/>
        </w:rPr>
        <w:t>Sandra</w:t>
      </w:r>
      <w:r>
        <w:rPr>
          <w:spacing w:val="-2"/>
          <w:sz w:val="18"/>
          <w:vertAlign w:val="baseline"/>
        </w:rPr>
        <w:t> </w:t>
      </w:r>
      <w:r>
        <w:rPr>
          <w:sz w:val="18"/>
          <w:vertAlign w:val="baseline"/>
        </w:rPr>
        <w:t>L.</w:t>
      </w:r>
      <w:r>
        <w:rPr>
          <w:spacing w:val="-2"/>
          <w:sz w:val="18"/>
          <w:vertAlign w:val="baseline"/>
        </w:rPr>
        <w:t> </w:t>
      </w:r>
      <w:r>
        <w:rPr>
          <w:sz w:val="18"/>
          <w:vertAlign w:val="baseline"/>
        </w:rPr>
        <w:t>Dika,</w:t>
      </w:r>
      <w:r>
        <w:rPr>
          <w:spacing w:val="-2"/>
          <w:sz w:val="18"/>
          <w:vertAlign w:val="baseline"/>
        </w:rPr>
        <w:t> </w:t>
      </w:r>
      <w:r>
        <w:rPr>
          <w:sz w:val="18"/>
          <w:vertAlign w:val="baseline"/>
        </w:rPr>
        <w:t>David</w:t>
      </w:r>
      <w:r>
        <w:rPr>
          <w:spacing w:val="-2"/>
          <w:sz w:val="18"/>
          <w:vertAlign w:val="baseline"/>
        </w:rPr>
        <w:t> </w:t>
      </w:r>
      <w:r>
        <w:rPr>
          <w:sz w:val="18"/>
          <w:vertAlign w:val="baseline"/>
        </w:rPr>
        <w:t>J.</w:t>
      </w:r>
      <w:r>
        <w:rPr>
          <w:spacing w:val="-2"/>
          <w:sz w:val="18"/>
          <w:vertAlign w:val="baseline"/>
        </w:rPr>
        <w:t> </w:t>
      </w:r>
      <w:r>
        <w:rPr>
          <w:sz w:val="18"/>
          <w:vertAlign w:val="baseline"/>
        </w:rPr>
        <w:t>Nguyen,</w:t>
      </w:r>
      <w:r>
        <w:rPr>
          <w:spacing w:val="-3"/>
          <w:sz w:val="18"/>
          <w:vertAlign w:val="baseline"/>
        </w:rPr>
        <w:t> </w:t>
      </w:r>
      <w:r>
        <w:rPr>
          <w:sz w:val="18"/>
          <w:vertAlign w:val="baseline"/>
        </w:rPr>
        <w:t>Michael</w:t>
      </w:r>
      <w:r>
        <w:rPr>
          <w:spacing w:val="-3"/>
          <w:sz w:val="18"/>
          <w:vertAlign w:val="baseline"/>
        </w:rPr>
        <w:t> </w:t>
      </w:r>
      <w:r>
        <w:rPr>
          <w:sz w:val="18"/>
          <w:vertAlign w:val="baseline"/>
        </w:rPr>
        <w:t>Woodford,</w:t>
      </w:r>
      <w:r>
        <w:rPr>
          <w:spacing w:val="-3"/>
          <w:sz w:val="18"/>
          <w:vertAlign w:val="baseline"/>
        </w:rPr>
        <w:t> </w:t>
      </w:r>
      <w:r>
        <w:rPr>
          <w:sz w:val="18"/>
          <w:vertAlign w:val="baseline"/>
        </w:rPr>
        <w:t>and</w:t>
      </w:r>
      <w:r>
        <w:rPr>
          <w:spacing w:val="-2"/>
          <w:sz w:val="18"/>
          <w:vertAlign w:val="baseline"/>
        </w:rPr>
        <w:t> </w:t>
      </w:r>
      <w:r>
        <w:rPr>
          <w:sz w:val="18"/>
          <w:vertAlign w:val="baseline"/>
        </w:rPr>
        <w:t>Kristen</w:t>
      </w:r>
      <w:r>
        <w:rPr>
          <w:spacing w:val="-2"/>
          <w:sz w:val="18"/>
          <w:vertAlign w:val="baseline"/>
        </w:rPr>
        <w:t> </w:t>
      </w:r>
      <w:r>
        <w:rPr>
          <w:sz w:val="18"/>
          <w:vertAlign w:val="baseline"/>
        </w:rPr>
        <w:t>A.</w:t>
      </w:r>
      <w:r>
        <w:rPr>
          <w:spacing w:val="-2"/>
          <w:sz w:val="18"/>
          <w:vertAlign w:val="baseline"/>
        </w:rPr>
        <w:t> </w:t>
      </w:r>
      <w:r>
        <w:rPr>
          <w:sz w:val="18"/>
          <w:vertAlign w:val="baseline"/>
        </w:rPr>
        <w:t>Renn.</w:t>
      </w:r>
      <w:r>
        <w:rPr>
          <w:spacing w:val="-2"/>
          <w:sz w:val="18"/>
          <w:vertAlign w:val="baseline"/>
        </w:rPr>
        <w:t> </w:t>
      </w:r>
      <w:r>
        <w:rPr>
          <w:sz w:val="18"/>
          <w:vertAlign w:val="baseline"/>
        </w:rPr>
        <w:t>“LGBTQ+</w:t>
      </w:r>
      <w:r>
        <w:rPr>
          <w:spacing w:val="-2"/>
          <w:sz w:val="18"/>
          <w:vertAlign w:val="baseline"/>
        </w:rPr>
        <w:t> </w:t>
      </w:r>
      <w:r>
        <w:rPr>
          <w:sz w:val="18"/>
          <w:vertAlign w:val="baseline"/>
        </w:rPr>
        <w:t>College</w:t>
      </w:r>
      <w:r>
        <w:rPr>
          <w:spacing w:val="-2"/>
          <w:sz w:val="18"/>
          <w:vertAlign w:val="baseline"/>
        </w:rPr>
        <w:t> </w:t>
      </w:r>
      <w:r>
        <w:rPr>
          <w:sz w:val="18"/>
          <w:vertAlign w:val="baseline"/>
        </w:rPr>
        <w:t>Students</w:t>
      </w:r>
      <w:r>
        <w:rPr>
          <w:spacing w:val="-2"/>
          <w:sz w:val="18"/>
          <w:vertAlign w:val="baseline"/>
        </w:rPr>
        <w:t> </w:t>
      </w:r>
      <w:r>
        <w:rPr>
          <w:sz w:val="18"/>
          <w:vertAlign w:val="baseline"/>
        </w:rPr>
        <w:t>with Disabilities:</w:t>
      </w:r>
      <w:r>
        <w:rPr>
          <w:spacing w:val="-2"/>
          <w:sz w:val="18"/>
          <w:vertAlign w:val="baseline"/>
        </w:rPr>
        <w:t> </w:t>
      </w:r>
      <w:r>
        <w:rPr>
          <w:sz w:val="18"/>
          <w:vertAlign w:val="baseline"/>
        </w:rPr>
        <w:t>Demographic</w:t>
      </w:r>
      <w:r>
        <w:rPr>
          <w:spacing w:val="-3"/>
          <w:sz w:val="18"/>
          <w:vertAlign w:val="baseline"/>
        </w:rPr>
        <w:t> </w:t>
      </w:r>
      <w:r>
        <w:rPr>
          <w:sz w:val="18"/>
          <w:vertAlign w:val="baseline"/>
        </w:rPr>
        <w:t>Profile</w:t>
      </w:r>
      <w:r>
        <w:rPr>
          <w:spacing w:val="-2"/>
          <w:sz w:val="18"/>
          <w:vertAlign w:val="baseline"/>
        </w:rPr>
        <w:t> </w:t>
      </w:r>
      <w:r>
        <w:rPr>
          <w:sz w:val="18"/>
          <w:vertAlign w:val="baseline"/>
        </w:rPr>
        <w:t>and</w:t>
      </w:r>
      <w:r>
        <w:rPr>
          <w:spacing w:val="-2"/>
          <w:sz w:val="18"/>
          <w:vertAlign w:val="baseline"/>
        </w:rPr>
        <w:t> </w:t>
      </w:r>
      <w:r>
        <w:rPr>
          <w:sz w:val="18"/>
          <w:vertAlign w:val="baseline"/>
        </w:rPr>
        <w:t>Perceptions</w:t>
      </w:r>
      <w:r>
        <w:rPr>
          <w:spacing w:val="-2"/>
          <w:sz w:val="18"/>
          <w:vertAlign w:val="baseline"/>
        </w:rPr>
        <w:t> </w:t>
      </w:r>
      <w:r>
        <w:rPr>
          <w:sz w:val="18"/>
          <w:vertAlign w:val="baseline"/>
        </w:rPr>
        <w:t>of</w:t>
      </w:r>
      <w:r>
        <w:rPr>
          <w:spacing w:val="-2"/>
          <w:sz w:val="18"/>
          <w:vertAlign w:val="baseline"/>
        </w:rPr>
        <w:t> </w:t>
      </w:r>
      <w:r>
        <w:rPr>
          <w:sz w:val="18"/>
          <w:vertAlign w:val="baseline"/>
        </w:rPr>
        <w:t>Well-Being.”</w:t>
      </w:r>
      <w:r>
        <w:rPr>
          <w:spacing w:val="-2"/>
          <w:sz w:val="18"/>
          <w:vertAlign w:val="baseline"/>
        </w:rPr>
        <w:t> </w:t>
      </w:r>
      <w:r>
        <w:rPr>
          <w:i/>
          <w:sz w:val="18"/>
          <w:vertAlign w:val="baseline"/>
        </w:rPr>
        <w:t>Journal</w:t>
      </w:r>
      <w:r>
        <w:rPr>
          <w:i/>
          <w:spacing w:val="-3"/>
          <w:sz w:val="18"/>
          <w:vertAlign w:val="baseline"/>
        </w:rPr>
        <w:t> </w:t>
      </w:r>
      <w:r>
        <w:rPr>
          <w:i/>
          <w:sz w:val="18"/>
          <w:vertAlign w:val="baseline"/>
        </w:rPr>
        <w:t>of</w:t>
      </w:r>
      <w:r>
        <w:rPr>
          <w:i/>
          <w:spacing w:val="-2"/>
          <w:sz w:val="18"/>
          <w:vertAlign w:val="baseline"/>
        </w:rPr>
        <w:t> </w:t>
      </w:r>
      <w:r>
        <w:rPr>
          <w:i/>
          <w:sz w:val="18"/>
          <w:vertAlign w:val="baseline"/>
        </w:rPr>
        <w:t>LGBT</w:t>
      </w:r>
      <w:r>
        <w:rPr>
          <w:i/>
          <w:spacing w:val="-2"/>
          <w:sz w:val="18"/>
          <w:vertAlign w:val="baseline"/>
        </w:rPr>
        <w:t> </w:t>
      </w:r>
      <w:r>
        <w:rPr>
          <w:i/>
          <w:sz w:val="18"/>
          <w:vertAlign w:val="baseline"/>
        </w:rPr>
        <w:t>Youth</w:t>
      </w:r>
      <w:r>
        <w:rPr>
          <w:i/>
          <w:spacing w:val="-3"/>
          <w:sz w:val="18"/>
          <w:vertAlign w:val="baseline"/>
        </w:rPr>
        <w:t> </w:t>
      </w:r>
      <w:r>
        <w:rPr>
          <w:sz w:val="18"/>
          <w:vertAlign w:val="baseline"/>
        </w:rPr>
        <w:t>18,</w:t>
      </w:r>
      <w:r>
        <w:rPr>
          <w:spacing w:val="-3"/>
          <w:sz w:val="18"/>
          <w:vertAlign w:val="baseline"/>
        </w:rPr>
        <w:t> </w:t>
      </w:r>
      <w:r>
        <w:rPr>
          <w:sz w:val="18"/>
          <w:vertAlign w:val="baseline"/>
        </w:rPr>
        <w:t>no.</w:t>
      </w:r>
      <w:r>
        <w:rPr>
          <w:spacing w:val="-2"/>
          <w:sz w:val="18"/>
          <w:vertAlign w:val="baseline"/>
        </w:rPr>
        <w:t> </w:t>
      </w:r>
      <w:r>
        <w:rPr>
          <w:sz w:val="18"/>
          <w:vertAlign w:val="baseline"/>
        </w:rPr>
        <w:t>1</w:t>
      </w:r>
      <w:r>
        <w:rPr>
          <w:spacing w:val="-2"/>
          <w:sz w:val="18"/>
          <w:vertAlign w:val="baseline"/>
        </w:rPr>
        <w:t> </w:t>
      </w:r>
      <w:r>
        <w:rPr>
          <w:sz w:val="18"/>
          <w:vertAlign w:val="baseline"/>
        </w:rPr>
        <w:t>(January</w:t>
      </w:r>
      <w:r>
        <w:rPr>
          <w:spacing w:val="-2"/>
          <w:sz w:val="18"/>
          <w:vertAlign w:val="baseline"/>
        </w:rPr>
        <w:t> </w:t>
      </w:r>
      <w:r>
        <w:rPr>
          <w:sz w:val="18"/>
          <w:vertAlign w:val="baseline"/>
        </w:rPr>
        <w:t>2,</w:t>
      </w:r>
      <w:r>
        <w:rPr>
          <w:spacing w:val="-3"/>
          <w:sz w:val="18"/>
          <w:vertAlign w:val="baseline"/>
        </w:rPr>
        <w:t> </w:t>
      </w:r>
      <w:r>
        <w:rPr>
          <w:sz w:val="18"/>
          <w:vertAlign w:val="baseline"/>
        </w:rPr>
        <w:t>2021):</w:t>
      </w:r>
      <w:r>
        <w:rPr>
          <w:spacing w:val="-4"/>
          <w:sz w:val="18"/>
          <w:vertAlign w:val="baseline"/>
        </w:rPr>
        <w:t> </w:t>
      </w:r>
      <w:r>
        <w:rPr>
          <w:sz w:val="18"/>
          <w:vertAlign w:val="baseline"/>
        </w:rPr>
        <w:t>60–77. </w:t>
      </w:r>
      <w:hyperlink r:id="rId224">
        <w:r>
          <w:rPr>
            <w:color w:val="1153CC"/>
            <w:spacing w:val="-2"/>
            <w:sz w:val="18"/>
            <w:u w:val="single" w:color="1153CC"/>
            <w:vertAlign w:val="baseline"/>
          </w:rPr>
          <w:t>https://doi.org/10.1080/19361653.2019.1706686</w:t>
        </w:r>
      </w:hyperlink>
      <w:hyperlink r:id="rId224">
        <w:r>
          <w:rPr>
            <w:spacing w:val="-2"/>
            <w:sz w:val="18"/>
            <w:u w:val="none"/>
            <w:vertAlign w:val="baseline"/>
          </w:rPr>
          <w:t>.</w:t>
        </w:r>
      </w:hyperlink>
    </w:p>
    <w:p>
      <w:pPr>
        <w:spacing w:after="0"/>
        <w:jc w:val="both"/>
        <w:rPr>
          <w:sz w:val="18"/>
        </w:rPr>
        <w:sectPr>
          <w:pgSz w:w="12240" w:h="15840"/>
          <w:pgMar w:header="804" w:footer="1390" w:top="1080" w:bottom="1620" w:left="980" w:right="1080"/>
        </w:sectPr>
      </w:pPr>
    </w:p>
    <w:p>
      <w:pPr>
        <w:spacing w:before="68"/>
        <w:ind w:left="463" w:right="577" w:hanging="1"/>
        <w:jc w:val="both"/>
        <w:rPr>
          <w:sz w:val="18"/>
        </w:rPr>
      </w:pPr>
      <w:bookmarkStart w:name="_bookmark142" w:id="298"/>
      <w:bookmarkEnd w:id="298"/>
      <w:r>
        <w:rPr/>
      </w:r>
      <w:r>
        <w:rPr>
          <w:sz w:val="18"/>
          <w:vertAlign w:val="superscript"/>
        </w:rPr>
        <w:t>41</w:t>
      </w:r>
      <w:r>
        <w:rPr>
          <w:spacing w:val="-11"/>
          <w:sz w:val="18"/>
          <w:vertAlign w:val="baseline"/>
        </w:rPr>
        <w:t> </w:t>
      </w:r>
      <w:r>
        <w:rPr>
          <w:sz w:val="18"/>
          <w:vertAlign w:val="baseline"/>
        </w:rPr>
        <w:t>Kattari,</w:t>
      </w:r>
      <w:r>
        <w:rPr>
          <w:spacing w:val="-7"/>
          <w:sz w:val="18"/>
          <w:vertAlign w:val="baseline"/>
        </w:rPr>
        <w:t> </w:t>
      </w:r>
      <w:r>
        <w:rPr>
          <w:sz w:val="18"/>
          <w:vertAlign w:val="baseline"/>
        </w:rPr>
        <w:t>Shanna</w:t>
      </w:r>
      <w:r>
        <w:rPr>
          <w:spacing w:val="-2"/>
          <w:sz w:val="18"/>
          <w:vertAlign w:val="baseline"/>
        </w:rPr>
        <w:t> </w:t>
      </w:r>
      <w:r>
        <w:rPr>
          <w:sz w:val="18"/>
          <w:vertAlign w:val="baseline"/>
        </w:rPr>
        <w:t>K.,</w:t>
      </w:r>
      <w:r>
        <w:rPr>
          <w:spacing w:val="-3"/>
          <w:sz w:val="18"/>
          <w:vertAlign w:val="baseline"/>
        </w:rPr>
        <w:t> </w:t>
      </w:r>
      <w:r>
        <w:rPr>
          <w:sz w:val="18"/>
          <w:vertAlign w:val="baseline"/>
        </w:rPr>
        <w:t>N.</w:t>
      </w:r>
      <w:r>
        <w:rPr>
          <w:spacing w:val="-2"/>
          <w:sz w:val="18"/>
          <w:vertAlign w:val="baseline"/>
        </w:rPr>
        <w:t> </w:t>
      </w:r>
      <w:r>
        <w:rPr>
          <w:sz w:val="18"/>
          <w:vertAlign w:val="baseline"/>
        </w:rPr>
        <w:t>Eugene</w:t>
      </w:r>
      <w:r>
        <w:rPr>
          <w:spacing w:val="-3"/>
          <w:sz w:val="18"/>
          <w:vertAlign w:val="baseline"/>
        </w:rPr>
        <w:t> </w:t>
      </w:r>
      <w:r>
        <w:rPr>
          <w:sz w:val="18"/>
          <w:vertAlign w:val="baseline"/>
        </w:rPr>
        <w:t>Walls,</w:t>
      </w:r>
      <w:r>
        <w:rPr>
          <w:spacing w:val="-3"/>
          <w:sz w:val="18"/>
          <w:vertAlign w:val="baseline"/>
        </w:rPr>
        <w:t> </w:t>
      </w:r>
      <w:r>
        <w:rPr>
          <w:sz w:val="18"/>
          <w:vertAlign w:val="baseline"/>
        </w:rPr>
        <w:t>and</w:t>
      </w:r>
      <w:r>
        <w:rPr>
          <w:spacing w:val="-2"/>
          <w:sz w:val="18"/>
          <w:vertAlign w:val="baseline"/>
        </w:rPr>
        <w:t> </w:t>
      </w:r>
      <w:r>
        <w:rPr>
          <w:sz w:val="18"/>
          <w:vertAlign w:val="baseline"/>
        </w:rPr>
        <w:t>Stephanie</w:t>
      </w:r>
      <w:r>
        <w:rPr>
          <w:spacing w:val="-2"/>
          <w:sz w:val="18"/>
          <w:vertAlign w:val="baseline"/>
        </w:rPr>
        <w:t> </w:t>
      </w:r>
      <w:r>
        <w:rPr>
          <w:sz w:val="18"/>
          <w:vertAlign w:val="baseline"/>
        </w:rPr>
        <w:t>Rachel</w:t>
      </w:r>
      <w:r>
        <w:rPr>
          <w:spacing w:val="-3"/>
          <w:sz w:val="18"/>
          <w:vertAlign w:val="baseline"/>
        </w:rPr>
        <w:t> </w:t>
      </w:r>
      <w:r>
        <w:rPr>
          <w:sz w:val="18"/>
          <w:vertAlign w:val="baseline"/>
        </w:rPr>
        <w:t>Speer.</w:t>
      </w:r>
      <w:r>
        <w:rPr>
          <w:spacing w:val="-2"/>
          <w:sz w:val="18"/>
          <w:vertAlign w:val="baseline"/>
        </w:rPr>
        <w:t> </w:t>
      </w:r>
      <w:r>
        <w:rPr>
          <w:sz w:val="18"/>
          <w:vertAlign w:val="baseline"/>
        </w:rPr>
        <w:t>“Differences</w:t>
      </w:r>
      <w:r>
        <w:rPr>
          <w:spacing w:val="-3"/>
          <w:sz w:val="18"/>
          <w:vertAlign w:val="baseline"/>
        </w:rPr>
        <w:t> </w:t>
      </w:r>
      <w:r>
        <w:rPr>
          <w:sz w:val="18"/>
          <w:vertAlign w:val="baseline"/>
        </w:rPr>
        <w:t>in</w:t>
      </w:r>
      <w:r>
        <w:rPr>
          <w:spacing w:val="-2"/>
          <w:sz w:val="18"/>
          <w:vertAlign w:val="baseline"/>
        </w:rPr>
        <w:t> </w:t>
      </w:r>
      <w:r>
        <w:rPr>
          <w:sz w:val="18"/>
          <w:vertAlign w:val="baseline"/>
        </w:rPr>
        <w:t>Experiences</w:t>
      </w:r>
      <w:r>
        <w:rPr>
          <w:spacing w:val="-2"/>
          <w:sz w:val="18"/>
          <w:vertAlign w:val="baseline"/>
        </w:rPr>
        <w:t> </w:t>
      </w:r>
      <w:r>
        <w:rPr>
          <w:sz w:val="18"/>
          <w:vertAlign w:val="baseline"/>
        </w:rPr>
        <w:t>of</w:t>
      </w:r>
      <w:r>
        <w:rPr>
          <w:spacing w:val="-2"/>
          <w:sz w:val="18"/>
          <w:vertAlign w:val="baseline"/>
        </w:rPr>
        <w:t> </w:t>
      </w:r>
      <w:r>
        <w:rPr>
          <w:sz w:val="18"/>
          <w:vertAlign w:val="baseline"/>
        </w:rPr>
        <w:t>Discrimination</w:t>
      </w:r>
      <w:r>
        <w:rPr>
          <w:spacing w:val="-1"/>
          <w:sz w:val="18"/>
          <w:vertAlign w:val="baseline"/>
        </w:rPr>
        <w:t> </w:t>
      </w:r>
      <w:r>
        <w:rPr>
          <w:sz w:val="18"/>
          <w:vertAlign w:val="baseline"/>
        </w:rPr>
        <w:t>in</w:t>
      </w:r>
      <w:r>
        <w:rPr>
          <w:spacing w:val="-2"/>
          <w:sz w:val="18"/>
          <w:vertAlign w:val="baseline"/>
        </w:rPr>
        <w:t> </w:t>
      </w:r>
      <w:r>
        <w:rPr>
          <w:sz w:val="18"/>
          <w:vertAlign w:val="baseline"/>
        </w:rPr>
        <w:t>Accessing Social</w:t>
      </w:r>
      <w:r>
        <w:rPr>
          <w:spacing w:val="-1"/>
          <w:sz w:val="18"/>
          <w:vertAlign w:val="baseline"/>
        </w:rPr>
        <w:t> </w:t>
      </w:r>
      <w:r>
        <w:rPr>
          <w:sz w:val="18"/>
          <w:vertAlign w:val="baseline"/>
        </w:rPr>
        <w:t>Services Among Transgender/Gender</w:t>
      </w:r>
      <w:r>
        <w:rPr>
          <w:spacing w:val="-1"/>
          <w:sz w:val="18"/>
          <w:vertAlign w:val="baseline"/>
        </w:rPr>
        <w:t> </w:t>
      </w:r>
      <w:r>
        <w:rPr>
          <w:sz w:val="18"/>
          <w:vertAlign w:val="baseline"/>
        </w:rPr>
        <w:t>Nonconforming Individuals by (Dis)Ability.” </w:t>
      </w:r>
      <w:r>
        <w:rPr>
          <w:i/>
          <w:sz w:val="18"/>
          <w:vertAlign w:val="baseline"/>
        </w:rPr>
        <w:t>Journal</w:t>
      </w:r>
      <w:r>
        <w:rPr>
          <w:i/>
          <w:spacing w:val="-1"/>
          <w:sz w:val="18"/>
          <w:vertAlign w:val="baseline"/>
        </w:rPr>
        <w:t> </w:t>
      </w:r>
      <w:r>
        <w:rPr>
          <w:i/>
          <w:sz w:val="18"/>
          <w:vertAlign w:val="baseline"/>
        </w:rPr>
        <w:t>of Social</w:t>
      </w:r>
      <w:r>
        <w:rPr>
          <w:i/>
          <w:spacing w:val="-1"/>
          <w:sz w:val="18"/>
          <w:vertAlign w:val="baseline"/>
        </w:rPr>
        <w:t> </w:t>
      </w:r>
      <w:r>
        <w:rPr>
          <w:i/>
          <w:sz w:val="18"/>
          <w:vertAlign w:val="baseline"/>
        </w:rPr>
        <w:t>Work in Disability &amp;</w:t>
      </w:r>
      <w:r>
        <w:rPr>
          <w:i/>
          <w:sz w:val="18"/>
          <w:vertAlign w:val="baseline"/>
        </w:rPr>
        <w:t> Rehabilitation </w:t>
      </w:r>
      <w:r>
        <w:rPr>
          <w:sz w:val="18"/>
          <w:vertAlign w:val="baseline"/>
        </w:rPr>
        <w:t>16, no. 2 (April 3, 2017): 116–40. </w:t>
      </w:r>
      <w:hyperlink r:id="rId225">
        <w:r>
          <w:rPr>
            <w:color w:val="1153CC"/>
            <w:sz w:val="18"/>
            <w:u w:val="single" w:color="1153CC"/>
            <w:vertAlign w:val="baseline"/>
          </w:rPr>
          <w:t>https://doi.org/10.1080/1536710X.2017.1299661</w:t>
        </w:r>
      </w:hyperlink>
      <w:hyperlink r:id="rId225">
        <w:r>
          <w:rPr>
            <w:sz w:val="18"/>
            <w:u w:val="none"/>
            <w:vertAlign w:val="baseline"/>
          </w:rPr>
          <w:t>.</w:t>
        </w:r>
      </w:hyperlink>
    </w:p>
    <w:p>
      <w:pPr>
        <w:spacing w:before="0"/>
        <w:ind w:left="463" w:right="513" w:hanging="1"/>
        <w:jc w:val="both"/>
        <w:rPr>
          <w:sz w:val="18"/>
        </w:rPr>
      </w:pPr>
      <w:bookmarkStart w:name="_bookmark143" w:id="299"/>
      <w:bookmarkEnd w:id="299"/>
      <w:r>
        <w:rPr/>
      </w:r>
      <w:r>
        <w:rPr>
          <w:sz w:val="18"/>
          <w:vertAlign w:val="superscript"/>
        </w:rPr>
        <w:t>42</w:t>
      </w:r>
      <w:r>
        <w:rPr>
          <w:spacing w:val="-5"/>
          <w:sz w:val="18"/>
          <w:vertAlign w:val="baseline"/>
        </w:rPr>
        <w:t> </w:t>
      </w:r>
      <w:r>
        <w:rPr>
          <w:sz w:val="18"/>
          <w:vertAlign w:val="baseline"/>
        </w:rPr>
        <w:t>Rand, Joseph J., and Megan S. Paceley. “Exploring the Lived Experiences of Rural LGBTQ + Youth: Navigating Identity and Authenticity</w:t>
      </w:r>
      <w:r>
        <w:rPr>
          <w:spacing w:val="-2"/>
          <w:sz w:val="18"/>
          <w:vertAlign w:val="baseline"/>
        </w:rPr>
        <w:t> </w:t>
      </w:r>
      <w:r>
        <w:rPr>
          <w:sz w:val="18"/>
          <w:vertAlign w:val="baseline"/>
        </w:rPr>
        <w:t>within</w:t>
      </w:r>
      <w:r>
        <w:rPr>
          <w:spacing w:val="-2"/>
          <w:sz w:val="18"/>
          <w:vertAlign w:val="baseline"/>
        </w:rPr>
        <w:t> </w:t>
      </w:r>
      <w:r>
        <w:rPr>
          <w:sz w:val="18"/>
          <w:vertAlign w:val="baseline"/>
        </w:rPr>
        <w:t>School</w:t>
      </w:r>
      <w:r>
        <w:rPr>
          <w:spacing w:val="-3"/>
          <w:sz w:val="18"/>
          <w:vertAlign w:val="baseline"/>
        </w:rPr>
        <w:t> </w:t>
      </w:r>
      <w:r>
        <w:rPr>
          <w:sz w:val="18"/>
          <w:vertAlign w:val="baseline"/>
        </w:rPr>
        <w:t>and</w:t>
      </w:r>
      <w:r>
        <w:rPr>
          <w:spacing w:val="-2"/>
          <w:sz w:val="18"/>
          <w:vertAlign w:val="baseline"/>
        </w:rPr>
        <w:t> </w:t>
      </w:r>
      <w:r>
        <w:rPr>
          <w:sz w:val="18"/>
          <w:vertAlign w:val="baseline"/>
        </w:rPr>
        <w:t>Community</w:t>
      </w:r>
      <w:r>
        <w:rPr>
          <w:spacing w:val="-2"/>
          <w:sz w:val="18"/>
          <w:vertAlign w:val="baseline"/>
        </w:rPr>
        <w:t> </w:t>
      </w:r>
      <w:r>
        <w:rPr>
          <w:sz w:val="18"/>
          <w:vertAlign w:val="baseline"/>
        </w:rPr>
        <w:t>Contexts.”</w:t>
      </w:r>
      <w:r>
        <w:rPr>
          <w:spacing w:val="-2"/>
          <w:sz w:val="18"/>
          <w:vertAlign w:val="baseline"/>
        </w:rPr>
        <w:t> </w:t>
      </w:r>
      <w:r>
        <w:rPr>
          <w:i/>
          <w:sz w:val="18"/>
          <w:vertAlign w:val="baseline"/>
        </w:rPr>
        <w:t>Journal</w:t>
      </w:r>
      <w:r>
        <w:rPr>
          <w:i/>
          <w:spacing w:val="-3"/>
          <w:sz w:val="18"/>
          <w:vertAlign w:val="baseline"/>
        </w:rPr>
        <w:t> </w:t>
      </w:r>
      <w:r>
        <w:rPr>
          <w:i/>
          <w:sz w:val="18"/>
          <w:vertAlign w:val="baseline"/>
        </w:rPr>
        <w:t>of</w:t>
      </w:r>
      <w:r>
        <w:rPr>
          <w:i/>
          <w:spacing w:val="-2"/>
          <w:sz w:val="18"/>
          <w:vertAlign w:val="baseline"/>
        </w:rPr>
        <w:t> </w:t>
      </w:r>
      <w:r>
        <w:rPr>
          <w:i/>
          <w:sz w:val="18"/>
          <w:vertAlign w:val="baseline"/>
        </w:rPr>
        <w:t>Gay</w:t>
      </w:r>
      <w:r>
        <w:rPr>
          <w:i/>
          <w:spacing w:val="-2"/>
          <w:sz w:val="18"/>
          <w:vertAlign w:val="baseline"/>
        </w:rPr>
        <w:t> </w:t>
      </w:r>
      <w:r>
        <w:rPr>
          <w:i/>
          <w:sz w:val="18"/>
          <w:vertAlign w:val="baseline"/>
        </w:rPr>
        <w:t>&amp;</w:t>
      </w:r>
      <w:r>
        <w:rPr>
          <w:i/>
          <w:spacing w:val="-3"/>
          <w:sz w:val="18"/>
          <w:vertAlign w:val="baseline"/>
        </w:rPr>
        <w:t> </w:t>
      </w:r>
      <w:r>
        <w:rPr>
          <w:i/>
          <w:sz w:val="18"/>
          <w:vertAlign w:val="baseline"/>
        </w:rPr>
        <w:t>Lesbian</w:t>
      </w:r>
      <w:r>
        <w:rPr>
          <w:i/>
          <w:spacing w:val="-3"/>
          <w:sz w:val="18"/>
          <w:vertAlign w:val="baseline"/>
        </w:rPr>
        <w:t> </w:t>
      </w:r>
      <w:r>
        <w:rPr>
          <w:i/>
          <w:sz w:val="18"/>
          <w:vertAlign w:val="baseline"/>
        </w:rPr>
        <w:t>Social</w:t>
      </w:r>
      <w:r>
        <w:rPr>
          <w:i/>
          <w:spacing w:val="-3"/>
          <w:sz w:val="18"/>
          <w:vertAlign w:val="baseline"/>
        </w:rPr>
        <w:t> </w:t>
      </w:r>
      <w:r>
        <w:rPr>
          <w:i/>
          <w:sz w:val="18"/>
          <w:vertAlign w:val="baseline"/>
        </w:rPr>
        <w:t>Services</w:t>
      </w:r>
      <w:r>
        <w:rPr>
          <w:i/>
          <w:spacing w:val="-3"/>
          <w:sz w:val="18"/>
          <w:vertAlign w:val="baseline"/>
        </w:rPr>
        <w:t> </w:t>
      </w:r>
      <w:r>
        <w:rPr>
          <w:sz w:val="18"/>
          <w:vertAlign w:val="baseline"/>
        </w:rPr>
        <w:t>34,</w:t>
      </w:r>
      <w:r>
        <w:rPr>
          <w:spacing w:val="-3"/>
          <w:sz w:val="18"/>
          <w:vertAlign w:val="baseline"/>
        </w:rPr>
        <w:t> </w:t>
      </w:r>
      <w:r>
        <w:rPr>
          <w:sz w:val="18"/>
          <w:vertAlign w:val="baseline"/>
        </w:rPr>
        <w:t>no.</w:t>
      </w:r>
      <w:r>
        <w:rPr>
          <w:spacing w:val="-2"/>
          <w:sz w:val="18"/>
          <w:vertAlign w:val="baseline"/>
        </w:rPr>
        <w:t> </w:t>
      </w:r>
      <w:r>
        <w:rPr>
          <w:sz w:val="18"/>
          <w:vertAlign w:val="baseline"/>
        </w:rPr>
        <w:t>1</w:t>
      </w:r>
      <w:r>
        <w:rPr>
          <w:spacing w:val="-2"/>
          <w:sz w:val="18"/>
          <w:vertAlign w:val="baseline"/>
        </w:rPr>
        <w:t> </w:t>
      </w:r>
      <w:r>
        <w:rPr>
          <w:sz w:val="18"/>
          <w:vertAlign w:val="baseline"/>
        </w:rPr>
        <w:t>(January</w:t>
      </w:r>
      <w:r>
        <w:rPr>
          <w:spacing w:val="-4"/>
          <w:sz w:val="18"/>
          <w:vertAlign w:val="baseline"/>
        </w:rPr>
        <w:t> </w:t>
      </w:r>
      <w:r>
        <w:rPr>
          <w:sz w:val="18"/>
          <w:vertAlign w:val="baseline"/>
        </w:rPr>
        <w:t>2,</w:t>
      </w:r>
      <w:r>
        <w:rPr>
          <w:spacing w:val="-3"/>
          <w:sz w:val="18"/>
          <w:vertAlign w:val="baseline"/>
        </w:rPr>
        <w:t> </w:t>
      </w:r>
      <w:r>
        <w:rPr>
          <w:sz w:val="18"/>
          <w:vertAlign w:val="baseline"/>
        </w:rPr>
        <w:t>2022):</w:t>
      </w:r>
      <w:r>
        <w:rPr>
          <w:spacing w:val="-2"/>
          <w:sz w:val="18"/>
          <w:vertAlign w:val="baseline"/>
        </w:rPr>
        <w:t> </w:t>
      </w:r>
      <w:r>
        <w:rPr>
          <w:sz w:val="18"/>
          <w:vertAlign w:val="baseline"/>
        </w:rPr>
        <w:t>21–</w:t>
      </w:r>
    </w:p>
    <w:p>
      <w:pPr>
        <w:spacing w:line="219" w:lineRule="exact" w:before="0"/>
        <w:ind w:left="463" w:right="0" w:firstLine="0"/>
        <w:jc w:val="both"/>
        <w:rPr>
          <w:sz w:val="18"/>
        </w:rPr>
      </w:pPr>
      <w:bookmarkStart w:name="_bookmark144" w:id="300"/>
      <w:bookmarkEnd w:id="300"/>
      <w:r>
        <w:rPr/>
      </w:r>
      <w:r>
        <w:rPr>
          <w:sz w:val="18"/>
        </w:rPr>
        <w:t>39.</w:t>
      </w:r>
      <w:r>
        <w:rPr>
          <w:spacing w:val="-2"/>
          <w:sz w:val="18"/>
        </w:rPr>
        <w:t> </w:t>
      </w:r>
      <w:hyperlink r:id="rId226">
        <w:r>
          <w:rPr>
            <w:color w:val="1153CC"/>
            <w:spacing w:val="-2"/>
            <w:sz w:val="18"/>
            <w:u w:val="single" w:color="1153CC"/>
          </w:rPr>
          <w:t>https://doi.org/10.1080/10538720.2021.1911902</w:t>
        </w:r>
      </w:hyperlink>
      <w:hyperlink r:id="rId226">
        <w:r>
          <w:rPr>
            <w:spacing w:val="-2"/>
            <w:sz w:val="18"/>
            <w:u w:val="none"/>
          </w:rPr>
          <w:t>.</w:t>
        </w:r>
      </w:hyperlink>
    </w:p>
    <w:p>
      <w:pPr>
        <w:spacing w:before="0"/>
        <w:ind w:left="463" w:right="1869" w:hanging="1"/>
        <w:jc w:val="left"/>
        <w:rPr>
          <w:sz w:val="18"/>
        </w:rPr>
      </w:pPr>
      <w:r>
        <w:rPr>
          <w:sz w:val="18"/>
          <w:vertAlign w:val="superscript"/>
        </w:rPr>
        <w:t>43</w:t>
      </w:r>
      <w:r>
        <w:rPr>
          <w:spacing w:val="-13"/>
          <w:sz w:val="18"/>
          <w:vertAlign w:val="baseline"/>
        </w:rPr>
        <w:t> </w:t>
      </w:r>
      <w:r>
        <w:rPr>
          <w:sz w:val="18"/>
          <w:vertAlign w:val="baseline"/>
        </w:rPr>
        <w:t>Human</w:t>
      </w:r>
      <w:r>
        <w:rPr>
          <w:spacing w:val="-5"/>
          <w:sz w:val="18"/>
          <w:vertAlign w:val="baseline"/>
        </w:rPr>
        <w:t> </w:t>
      </w:r>
      <w:r>
        <w:rPr>
          <w:sz w:val="18"/>
          <w:vertAlign w:val="baseline"/>
        </w:rPr>
        <w:t>Rights</w:t>
      </w:r>
      <w:r>
        <w:rPr>
          <w:spacing w:val="-4"/>
          <w:sz w:val="18"/>
          <w:vertAlign w:val="baseline"/>
        </w:rPr>
        <w:t> </w:t>
      </w:r>
      <w:r>
        <w:rPr>
          <w:sz w:val="18"/>
          <w:vertAlign w:val="baseline"/>
        </w:rPr>
        <w:t>Campaign.</w:t>
      </w:r>
      <w:r>
        <w:rPr>
          <w:spacing w:val="-3"/>
          <w:sz w:val="18"/>
          <w:vertAlign w:val="baseline"/>
        </w:rPr>
        <w:t> </w:t>
      </w:r>
      <w:r>
        <w:rPr>
          <w:sz w:val="18"/>
          <w:vertAlign w:val="baseline"/>
        </w:rPr>
        <w:t>“Understanding</w:t>
      </w:r>
      <w:r>
        <w:rPr>
          <w:spacing w:val="-3"/>
          <w:sz w:val="18"/>
          <w:vertAlign w:val="baseline"/>
        </w:rPr>
        <w:t> </w:t>
      </w:r>
      <w:r>
        <w:rPr>
          <w:sz w:val="18"/>
          <w:vertAlign w:val="baseline"/>
        </w:rPr>
        <w:t>Disability</w:t>
      </w:r>
      <w:r>
        <w:rPr>
          <w:spacing w:val="-3"/>
          <w:sz w:val="18"/>
          <w:vertAlign w:val="baseline"/>
        </w:rPr>
        <w:t> </w:t>
      </w:r>
      <w:r>
        <w:rPr>
          <w:sz w:val="18"/>
          <w:vertAlign w:val="baseline"/>
        </w:rPr>
        <w:t>in</w:t>
      </w:r>
      <w:r>
        <w:rPr>
          <w:spacing w:val="-3"/>
          <w:sz w:val="18"/>
          <w:vertAlign w:val="baseline"/>
        </w:rPr>
        <w:t> </w:t>
      </w:r>
      <w:r>
        <w:rPr>
          <w:sz w:val="18"/>
          <w:vertAlign w:val="baseline"/>
        </w:rPr>
        <w:t>the</w:t>
      </w:r>
      <w:r>
        <w:rPr>
          <w:spacing w:val="-3"/>
          <w:sz w:val="18"/>
          <w:vertAlign w:val="baseline"/>
        </w:rPr>
        <w:t> </w:t>
      </w:r>
      <w:r>
        <w:rPr>
          <w:sz w:val="18"/>
          <w:vertAlign w:val="baseline"/>
        </w:rPr>
        <w:t>LGBTQ+</w:t>
      </w:r>
      <w:r>
        <w:rPr>
          <w:spacing w:val="-3"/>
          <w:sz w:val="18"/>
          <w:vertAlign w:val="baseline"/>
        </w:rPr>
        <w:t> </w:t>
      </w:r>
      <w:r>
        <w:rPr>
          <w:sz w:val="18"/>
          <w:vertAlign w:val="baseline"/>
        </w:rPr>
        <w:t>Community.”</w:t>
      </w:r>
      <w:r>
        <w:rPr>
          <w:spacing w:val="-4"/>
          <w:sz w:val="18"/>
          <w:vertAlign w:val="baseline"/>
        </w:rPr>
        <w:t> </w:t>
      </w:r>
      <w:r>
        <w:rPr>
          <w:sz w:val="18"/>
          <w:vertAlign w:val="baseline"/>
        </w:rPr>
        <w:t>Accessed</w:t>
      </w:r>
      <w:r>
        <w:rPr>
          <w:spacing w:val="-3"/>
          <w:sz w:val="18"/>
          <w:vertAlign w:val="baseline"/>
        </w:rPr>
        <w:t> </w:t>
      </w:r>
      <w:r>
        <w:rPr>
          <w:sz w:val="18"/>
          <w:vertAlign w:val="baseline"/>
        </w:rPr>
        <w:t>March</w:t>
      </w:r>
      <w:r>
        <w:rPr>
          <w:spacing w:val="-4"/>
          <w:sz w:val="18"/>
          <w:vertAlign w:val="baseline"/>
        </w:rPr>
        <w:t> </w:t>
      </w:r>
      <w:r>
        <w:rPr>
          <w:sz w:val="18"/>
          <w:vertAlign w:val="baseline"/>
        </w:rPr>
        <w:t>5,</w:t>
      </w:r>
      <w:r>
        <w:rPr>
          <w:spacing w:val="-4"/>
          <w:sz w:val="18"/>
          <w:vertAlign w:val="baseline"/>
        </w:rPr>
        <w:t> </w:t>
      </w:r>
      <w:r>
        <w:rPr>
          <w:sz w:val="18"/>
          <w:vertAlign w:val="baseline"/>
        </w:rPr>
        <w:t>2023. </w:t>
      </w:r>
      <w:bookmarkStart w:name="_bookmark145" w:id="301"/>
      <w:bookmarkEnd w:id="301"/>
      <w:r>
        <w:rPr>
          <w:sz w:val="18"/>
          <w:vertAlign w:val="baseline"/>
        </w:rPr>
      </w:r>
      <w:hyperlink r:id="rId222">
        <w:r>
          <w:rPr>
            <w:color w:val="1153CC"/>
            <w:spacing w:val="-2"/>
            <w:sz w:val="18"/>
            <w:u w:val="single" w:color="1153CC"/>
            <w:vertAlign w:val="baseline"/>
          </w:rPr>
          <w:t>https://www.hrc.org/resources/understanding-disabled-lgbtq-people</w:t>
        </w:r>
      </w:hyperlink>
      <w:hyperlink r:id="rId222">
        <w:r>
          <w:rPr>
            <w:spacing w:val="-2"/>
            <w:sz w:val="18"/>
            <w:u w:val="none"/>
            <w:vertAlign w:val="baseline"/>
          </w:rPr>
          <w:t>.</w:t>
        </w:r>
      </w:hyperlink>
    </w:p>
    <w:p>
      <w:pPr>
        <w:spacing w:before="1"/>
        <w:ind w:left="463" w:right="314" w:hanging="1"/>
        <w:jc w:val="left"/>
        <w:rPr>
          <w:sz w:val="18"/>
        </w:rPr>
      </w:pPr>
      <w:r>
        <w:rPr>
          <w:sz w:val="18"/>
          <w:vertAlign w:val="superscript"/>
        </w:rPr>
        <w:t>44</w:t>
      </w:r>
      <w:r>
        <w:rPr>
          <w:spacing w:val="-13"/>
          <w:sz w:val="18"/>
          <w:vertAlign w:val="baseline"/>
        </w:rPr>
        <w:t> </w:t>
      </w:r>
      <w:r>
        <w:rPr>
          <w:sz w:val="18"/>
          <w:vertAlign w:val="baseline"/>
        </w:rPr>
        <w:t>“DYS</w:t>
      </w:r>
      <w:r>
        <w:rPr>
          <w:spacing w:val="-5"/>
          <w:sz w:val="18"/>
          <w:vertAlign w:val="baseline"/>
        </w:rPr>
        <w:t> </w:t>
      </w:r>
      <w:r>
        <w:rPr>
          <w:sz w:val="18"/>
          <w:vertAlign w:val="baseline"/>
        </w:rPr>
        <w:t>Reports</w:t>
      </w:r>
      <w:r>
        <w:rPr>
          <w:spacing w:val="-4"/>
          <w:sz w:val="18"/>
          <w:vertAlign w:val="baseline"/>
        </w:rPr>
        <w:t> </w:t>
      </w:r>
      <w:r>
        <w:rPr>
          <w:sz w:val="18"/>
          <w:vertAlign w:val="baseline"/>
        </w:rPr>
        <w:t>and</w:t>
      </w:r>
      <w:r>
        <w:rPr>
          <w:spacing w:val="-3"/>
          <w:sz w:val="18"/>
          <w:vertAlign w:val="baseline"/>
        </w:rPr>
        <w:t> </w:t>
      </w:r>
      <w:r>
        <w:rPr>
          <w:sz w:val="18"/>
          <w:vertAlign w:val="baseline"/>
        </w:rPr>
        <w:t>Resources</w:t>
      </w:r>
      <w:r>
        <w:rPr>
          <w:spacing w:val="-3"/>
          <w:sz w:val="18"/>
          <w:vertAlign w:val="baseline"/>
        </w:rPr>
        <w:t> </w:t>
      </w:r>
      <w:r>
        <w:rPr>
          <w:sz w:val="18"/>
          <w:vertAlign w:val="baseline"/>
        </w:rPr>
        <w:t>|</w:t>
      </w:r>
      <w:r>
        <w:rPr>
          <w:spacing w:val="-5"/>
          <w:sz w:val="18"/>
          <w:vertAlign w:val="baseline"/>
        </w:rPr>
        <w:t> </w:t>
      </w:r>
      <w:r>
        <w:rPr>
          <w:sz w:val="18"/>
          <w:vertAlign w:val="baseline"/>
        </w:rPr>
        <w:t>Mass.Gov,”</w:t>
      </w:r>
      <w:r>
        <w:rPr>
          <w:spacing w:val="-3"/>
          <w:sz w:val="18"/>
          <w:vertAlign w:val="baseline"/>
        </w:rPr>
        <w:t> </w:t>
      </w:r>
      <w:r>
        <w:rPr>
          <w:sz w:val="18"/>
          <w:vertAlign w:val="baseline"/>
        </w:rPr>
        <w:t>accessed</w:t>
      </w:r>
      <w:r>
        <w:rPr>
          <w:spacing w:val="-3"/>
          <w:sz w:val="18"/>
          <w:vertAlign w:val="baseline"/>
        </w:rPr>
        <w:t> </w:t>
      </w:r>
      <w:r>
        <w:rPr>
          <w:sz w:val="18"/>
          <w:vertAlign w:val="baseline"/>
        </w:rPr>
        <w:t>March</w:t>
      </w:r>
      <w:r>
        <w:rPr>
          <w:spacing w:val="-3"/>
          <w:sz w:val="18"/>
          <w:vertAlign w:val="baseline"/>
        </w:rPr>
        <w:t> </w:t>
      </w:r>
      <w:r>
        <w:rPr>
          <w:sz w:val="18"/>
          <w:vertAlign w:val="baseline"/>
        </w:rPr>
        <w:t>1,</w:t>
      </w:r>
      <w:r>
        <w:rPr>
          <w:spacing w:val="-4"/>
          <w:sz w:val="18"/>
          <w:vertAlign w:val="baseline"/>
        </w:rPr>
        <w:t> </w:t>
      </w:r>
      <w:r>
        <w:rPr>
          <w:sz w:val="18"/>
          <w:vertAlign w:val="baseline"/>
        </w:rPr>
        <w:t>2023,</w:t>
      </w:r>
      <w:r>
        <w:rPr>
          <w:spacing w:val="-4"/>
          <w:sz w:val="18"/>
          <w:vertAlign w:val="baseline"/>
        </w:rPr>
        <w:t> </w:t>
      </w:r>
      <w:r>
        <w:rPr>
          <w:sz w:val="18"/>
          <w:vertAlign w:val="baseline"/>
        </w:rPr>
        <w:t>https://</w:t>
      </w:r>
      <w:hyperlink r:id="rId227">
        <w:r>
          <w:rPr>
            <w:sz w:val="18"/>
            <w:vertAlign w:val="baseline"/>
          </w:rPr>
          <w:t>www.mass.gov/service-details/dys-reports-and-</w:t>
        </w:r>
      </w:hyperlink>
      <w:r>
        <w:rPr>
          <w:sz w:val="18"/>
          <w:vertAlign w:val="baseline"/>
        </w:rPr>
        <w:t> </w:t>
      </w:r>
      <w:bookmarkStart w:name="_bookmark146" w:id="302"/>
      <w:bookmarkEnd w:id="302"/>
      <w:r>
        <w:rPr>
          <w:spacing w:val="-2"/>
          <w:sz w:val="18"/>
          <w:vertAlign w:val="baseline"/>
        </w:rPr>
        <w:t>r</w:t>
      </w:r>
      <w:r>
        <w:rPr>
          <w:spacing w:val="-2"/>
          <w:sz w:val="18"/>
          <w:vertAlign w:val="baseline"/>
        </w:rPr>
        <w:t>esources.</w:t>
      </w:r>
    </w:p>
    <w:p>
      <w:pPr>
        <w:spacing w:before="0"/>
        <w:ind w:left="463" w:right="431" w:hanging="1"/>
        <w:jc w:val="left"/>
        <w:rPr>
          <w:sz w:val="18"/>
        </w:rPr>
      </w:pPr>
      <w:r>
        <w:rPr>
          <w:sz w:val="18"/>
          <w:vertAlign w:val="superscript"/>
        </w:rPr>
        <w:t>45</w:t>
      </w:r>
      <w:r>
        <w:rPr>
          <w:spacing w:val="-13"/>
          <w:sz w:val="18"/>
          <w:vertAlign w:val="baseline"/>
        </w:rPr>
        <w:t> </w:t>
      </w:r>
      <w:r>
        <w:rPr>
          <w:sz w:val="18"/>
          <w:vertAlign w:val="baseline"/>
        </w:rPr>
        <w:t>Schaub,</w:t>
      </w:r>
      <w:r>
        <w:rPr>
          <w:spacing w:val="-5"/>
          <w:sz w:val="18"/>
          <w:vertAlign w:val="baseline"/>
        </w:rPr>
        <w:t> </w:t>
      </w:r>
      <w:r>
        <w:rPr>
          <w:sz w:val="18"/>
          <w:vertAlign w:val="baseline"/>
        </w:rPr>
        <w:t>Jason,</w:t>
      </w:r>
      <w:r>
        <w:rPr>
          <w:spacing w:val="-3"/>
          <w:sz w:val="18"/>
          <w:vertAlign w:val="baseline"/>
        </w:rPr>
        <w:t> </w:t>
      </w:r>
      <w:r>
        <w:rPr>
          <w:sz w:val="18"/>
          <w:vertAlign w:val="baseline"/>
        </w:rPr>
        <w:t>Willem</w:t>
      </w:r>
      <w:r>
        <w:rPr>
          <w:spacing w:val="-2"/>
          <w:sz w:val="18"/>
          <w:vertAlign w:val="baseline"/>
        </w:rPr>
        <w:t> </w:t>
      </w:r>
      <w:r>
        <w:rPr>
          <w:sz w:val="18"/>
          <w:vertAlign w:val="baseline"/>
        </w:rPr>
        <w:t>J.</w:t>
      </w:r>
      <w:r>
        <w:rPr>
          <w:spacing w:val="-3"/>
          <w:sz w:val="18"/>
          <w:vertAlign w:val="baseline"/>
        </w:rPr>
        <w:t> </w:t>
      </w:r>
      <w:r>
        <w:rPr>
          <w:sz w:val="18"/>
          <w:vertAlign w:val="baseline"/>
        </w:rPr>
        <w:t>Stander,</w:t>
      </w:r>
      <w:r>
        <w:rPr>
          <w:spacing w:val="-3"/>
          <w:sz w:val="18"/>
          <w:vertAlign w:val="baseline"/>
        </w:rPr>
        <w:t> </w:t>
      </w:r>
      <w:r>
        <w:rPr>
          <w:sz w:val="18"/>
          <w:vertAlign w:val="baseline"/>
        </w:rPr>
        <w:t>and</w:t>
      </w:r>
      <w:r>
        <w:rPr>
          <w:spacing w:val="-2"/>
          <w:sz w:val="18"/>
          <w:vertAlign w:val="baseline"/>
        </w:rPr>
        <w:t> </w:t>
      </w:r>
      <w:r>
        <w:rPr>
          <w:sz w:val="18"/>
          <w:vertAlign w:val="baseline"/>
        </w:rPr>
        <w:t>Paul</w:t>
      </w:r>
      <w:r>
        <w:rPr>
          <w:spacing w:val="-3"/>
          <w:sz w:val="18"/>
          <w:vertAlign w:val="baseline"/>
        </w:rPr>
        <w:t> </w:t>
      </w:r>
      <w:r>
        <w:rPr>
          <w:sz w:val="18"/>
          <w:vertAlign w:val="baseline"/>
        </w:rPr>
        <w:t>Montgomery.</w:t>
      </w:r>
      <w:r>
        <w:rPr>
          <w:spacing w:val="-2"/>
          <w:sz w:val="18"/>
          <w:vertAlign w:val="baseline"/>
        </w:rPr>
        <w:t> </w:t>
      </w:r>
      <w:r>
        <w:rPr>
          <w:sz w:val="18"/>
          <w:vertAlign w:val="baseline"/>
        </w:rPr>
        <w:t>“LGBTQ+</w:t>
      </w:r>
      <w:r>
        <w:rPr>
          <w:spacing w:val="-3"/>
          <w:sz w:val="18"/>
          <w:vertAlign w:val="baseline"/>
        </w:rPr>
        <w:t> </w:t>
      </w:r>
      <w:r>
        <w:rPr>
          <w:sz w:val="18"/>
          <w:vertAlign w:val="baseline"/>
        </w:rPr>
        <w:t>Young</w:t>
      </w:r>
      <w:r>
        <w:rPr>
          <w:spacing w:val="-3"/>
          <w:sz w:val="18"/>
          <w:vertAlign w:val="baseline"/>
        </w:rPr>
        <w:t> </w:t>
      </w:r>
      <w:r>
        <w:rPr>
          <w:sz w:val="18"/>
          <w:vertAlign w:val="baseline"/>
        </w:rPr>
        <w:t>People’s</w:t>
      </w:r>
      <w:r>
        <w:rPr>
          <w:spacing w:val="-2"/>
          <w:sz w:val="18"/>
          <w:vertAlign w:val="baseline"/>
        </w:rPr>
        <w:t> </w:t>
      </w:r>
      <w:r>
        <w:rPr>
          <w:sz w:val="18"/>
          <w:vertAlign w:val="baseline"/>
        </w:rPr>
        <w:t>Health</w:t>
      </w:r>
      <w:r>
        <w:rPr>
          <w:spacing w:val="-3"/>
          <w:sz w:val="18"/>
          <w:vertAlign w:val="baseline"/>
        </w:rPr>
        <w:t> </w:t>
      </w:r>
      <w:r>
        <w:rPr>
          <w:sz w:val="18"/>
          <w:vertAlign w:val="baseline"/>
        </w:rPr>
        <w:t>and</w:t>
      </w:r>
      <w:r>
        <w:rPr>
          <w:spacing w:val="-2"/>
          <w:sz w:val="18"/>
          <w:vertAlign w:val="baseline"/>
        </w:rPr>
        <w:t> </w:t>
      </w:r>
      <w:r>
        <w:rPr>
          <w:sz w:val="18"/>
          <w:vertAlign w:val="baseline"/>
        </w:rPr>
        <w:t>Well-Being</w:t>
      </w:r>
      <w:r>
        <w:rPr>
          <w:spacing w:val="-3"/>
          <w:sz w:val="18"/>
          <w:vertAlign w:val="baseline"/>
        </w:rPr>
        <w:t> </w:t>
      </w:r>
      <w:r>
        <w:rPr>
          <w:sz w:val="18"/>
          <w:vertAlign w:val="baseline"/>
        </w:rPr>
        <w:t>Experiences</w:t>
      </w:r>
      <w:r>
        <w:rPr>
          <w:spacing w:val="-2"/>
          <w:sz w:val="18"/>
          <w:vertAlign w:val="baseline"/>
        </w:rPr>
        <w:t> </w:t>
      </w:r>
      <w:r>
        <w:rPr>
          <w:sz w:val="18"/>
          <w:vertAlign w:val="baseline"/>
        </w:rPr>
        <w:t>in</w:t>
      </w:r>
      <w:r>
        <w:rPr>
          <w:spacing w:val="-3"/>
          <w:sz w:val="18"/>
          <w:vertAlign w:val="baseline"/>
        </w:rPr>
        <w:t> </w:t>
      </w:r>
      <w:r>
        <w:rPr>
          <w:sz w:val="18"/>
          <w:vertAlign w:val="baseline"/>
        </w:rPr>
        <w:t>Out- of-Home Social Care: A Scoping Review.” </w:t>
      </w:r>
      <w:r>
        <w:rPr>
          <w:i/>
          <w:sz w:val="18"/>
          <w:vertAlign w:val="baseline"/>
        </w:rPr>
        <w:t>Children and Youth Services Review </w:t>
      </w:r>
      <w:r>
        <w:rPr>
          <w:sz w:val="18"/>
          <w:vertAlign w:val="baseline"/>
        </w:rPr>
        <w:t>143 (December 2022): 106682. </w:t>
      </w:r>
      <w:bookmarkStart w:name="_bookmark147" w:id="303"/>
      <w:bookmarkEnd w:id="303"/>
      <w:r>
        <w:rPr>
          <w:spacing w:val="-1"/>
          <w:sz w:val="18"/>
          <w:vertAlign w:val="baseline"/>
        </w:rPr>
      </w:r>
      <w:hyperlink r:id="rId228">
        <w:r>
          <w:rPr>
            <w:color w:val="1153CC"/>
            <w:spacing w:val="-2"/>
            <w:sz w:val="18"/>
            <w:u w:val="single" w:color="1153CC"/>
            <w:vertAlign w:val="baseline"/>
          </w:rPr>
          <w:t>https://doi.org/10.1016/j.childyouth.2022.106682</w:t>
        </w:r>
      </w:hyperlink>
      <w:hyperlink r:id="rId228">
        <w:r>
          <w:rPr>
            <w:spacing w:val="-2"/>
            <w:sz w:val="18"/>
            <w:u w:val="none"/>
            <w:vertAlign w:val="baseline"/>
          </w:rPr>
          <w:t>.</w:t>
        </w:r>
      </w:hyperlink>
    </w:p>
    <w:p>
      <w:pPr>
        <w:spacing w:before="0"/>
        <w:ind w:left="463" w:right="314" w:hanging="1"/>
        <w:jc w:val="left"/>
        <w:rPr>
          <w:sz w:val="18"/>
        </w:rPr>
      </w:pPr>
      <w:r>
        <w:rPr>
          <w:sz w:val="18"/>
          <w:vertAlign w:val="superscript"/>
        </w:rPr>
        <w:t>46</w:t>
      </w:r>
      <w:r>
        <w:rPr>
          <w:spacing w:val="-13"/>
          <w:sz w:val="18"/>
          <w:vertAlign w:val="baseline"/>
        </w:rPr>
        <w:t> </w:t>
      </w:r>
      <w:r>
        <w:rPr>
          <w:sz w:val="18"/>
          <w:vertAlign w:val="baseline"/>
        </w:rPr>
        <w:t>McCormick,</w:t>
      </w:r>
      <w:r>
        <w:rPr>
          <w:spacing w:val="-5"/>
          <w:sz w:val="18"/>
          <w:vertAlign w:val="baseline"/>
        </w:rPr>
        <w:t> </w:t>
      </w:r>
      <w:r>
        <w:rPr>
          <w:sz w:val="18"/>
          <w:vertAlign w:val="baseline"/>
        </w:rPr>
        <w:t>Adam,</w:t>
      </w:r>
      <w:r>
        <w:rPr>
          <w:spacing w:val="-3"/>
          <w:sz w:val="18"/>
          <w:vertAlign w:val="baseline"/>
        </w:rPr>
        <w:t> </w:t>
      </w:r>
      <w:r>
        <w:rPr>
          <w:sz w:val="18"/>
          <w:vertAlign w:val="baseline"/>
        </w:rPr>
        <w:t>Kathryn</w:t>
      </w:r>
      <w:r>
        <w:rPr>
          <w:spacing w:val="-2"/>
          <w:sz w:val="18"/>
          <w:vertAlign w:val="baseline"/>
        </w:rPr>
        <w:t> </w:t>
      </w:r>
      <w:r>
        <w:rPr>
          <w:sz w:val="18"/>
          <w:vertAlign w:val="baseline"/>
        </w:rPr>
        <w:t>Schmidt,</w:t>
      </w:r>
      <w:r>
        <w:rPr>
          <w:spacing w:val="-3"/>
          <w:sz w:val="18"/>
          <w:vertAlign w:val="baseline"/>
        </w:rPr>
        <w:t> </w:t>
      </w:r>
      <w:r>
        <w:rPr>
          <w:sz w:val="18"/>
          <w:vertAlign w:val="baseline"/>
        </w:rPr>
        <w:t>and</w:t>
      </w:r>
      <w:r>
        <w:rPr>
          <w:spacing w:val="-2"/>
          <w:sz w:val="18"/>
          <w:vertAlign w:val="baseline"/>
        </w:rPr>
        <w:t> </w:t>
      </w:r>
      <w:r>
        <w:rPr>
          <w:sz w:val="18"/>
          <w:vertAlign w:val="baseline"/>
        </w:rPr>
        <w:t>Samuel</w:t>
      </w:r>
      <w:r>
        <w:rPr>
          <w:spacing w:val="-3"/>
          <w:sz w:val="18"/>
          <w:vertAlign w:val="baseline"/>
        </w:rPr>
        <w:t> </w:t>
      </w:r>
      <w:r>
        <w:rPr>
          <w:sz w:val="18"/>
          <w:vertAlign w:val="baseline"/>
        </w:rPr>
        <w:t>Terrazas.</w:t>
      </w:r>
      <w:r>
        <w:rPr>
          <w:spacing w:val="-2"/>
          <w:sz w:val="18"/>
          <w:vertAlign w:val="baseline"/>
        </w:rPr>
        <w:t> </w:t>
      </w:r>
      <w:r>
        <w:rPr>
          <w:sz w:val="18"/>
          <w:vertAlign w:val="baseline"/>
        </w:rPr>
        <w:t>“LGBTQ</w:t>
      </w:r>
      <w:r>
        <w:rPr>
          <w:spacing w:val="-2"/>
          <w:sz w:val="18"/>
          <w:vertAlign w:val="baseline"/>
        </w:rPr>
        <w:t> </w:t>
      </w:r>
      <w:r>
        <w:rPr>
          <w:sz w:val="18"/>
          <w:vertAlign w:val="baseline"/>
        </w:rPr>
        <w:t>Youth</w:t>
      </w:r>
      <w:r>
        <w:rPr>
          <w:spacing w:val="-2"/>
          <w:sz w:val="18"/>
          <w:vertAlign w:val="baseline"/>
        </w:rPr>
        <w:t> </w:t>
      </w:r>
      <w:r>
        <w:rPr>
          <w:sz w:val="18"/>
          <w:vertAlign w:val="baseline"/>
        </w:rPr>
        <w:t>in</w:t>
      </w:r>
      <w:r>
        <w:rPr>
          <w:spacing w:val="-2"/>
          <w:sz w:val="18"/>
          <w:vertAlign w:val="baseline"/>
        </w:rPr>
        <w:t> </w:t>
      </w:r>
      <w:r>
        <w:rPr>
          <w:sz w:val="18"/>
          <w:vertAlign w:val="baseline"/>
        </w:rPr>
        <w:t>the</w:t>
      </w:r>
      <w:r>
        <w:rPr>
          <w:spacing w:val="-2"/>
          <w:sz w:val="18"/>
          <w:vertAlign w:val="baseline"/>
        </w:rPr>
        <w:t> </w:t>
      </w:r>
      <w:r>
        <w:rPr>
          <w:sz w:val="18"/>
          <w:vertAlign w:val="baseline"/>
        </w:rPr>
        <w:t>Child</w:t>
      </w:r>
      <w:r>
        <w:rPr>
          <w:spacing w:val="-2"/>
          <w:sz w:val="18"/>
          <w:vertAlign w:val="baseline"/>
        </w:rPr>
        <w:t> </w:t>
      </w:r>
      <w:r>
        <w:rPr>
          <w:sz w:val="18"/>
          <w:vertAlign w:val="baseline"/>
        </w:rPr>
        <w:t>Welfare</w:t>
      </w:r>
      <w:r>
        <w:rPr>
          <w:spacing w:val="-2"/>
          <w:sz w:val="18"/>
          <w:vertAlign w:val="baseline"/>
        </w:rPr>
        <w:t> </w:t>
      </w:r>
      <w:r>
        <w:rPr>
          <w:sz w:val="18"/>
          <w:vertAlign w:val="baseline"/>
        </w:rPr>
        <w:t>System:</w:t>
      </w:r>
      <w:r>
        <w:rPr>
          <w:spacing w:val="-2"/>
          <w:sz w:val="18"/>
          <w:vertAlign w:val="baseline"/>
        </w:rPr>
        <w:t> </w:t>
      </w:r>
      <w:r>
        <w:rPr>
          <w:sz w:val="18"/>
          <w:vertAlign w:val="baseline"/>
        </w:rPr>
        <w:t>An</w:t>
      </w:r>
      <w:r>
        <w:rPr>
          <w:spacing w:val="-2"/>
          <w:sz w:val="18"/>
          <w:vertAlign w:val="baseline"/>
        </w:rPr>
        <w:t> </w:t>
      </w:r>
      <w:r>
        <w:rPr>
          <w:sz w:val="18"/>
          <w:vertAlign w:val="baseline"/>
        </w:rPr>
        <w:t>Overview</w:t>
      </w:r>
      <w:r>
        <w:rPr>
          <w:spacing w:val="-3"/>
          <w:sz w:val="18"/>
          <w:vertAlign w:val="baseline"/>
        </w:rPr>
        <w:t> </w:t>
      </w:r>
      <w:r>
        <w:rPr>
          <w:sz w:val="18"/>
          <w:vertAlign w:val="baseline"/>
        </w:rPr>
        <w:t>of Research, Practice, and Policy.” </w:t>
      </w:r>
      <w:r>
        <w:rPr>
          <w:i/>
          <w:sz w:val="18"/>
          <w:vertAlign w:val="baseline"/>
        </w:rPr>
        <w:t>Journal of Public Child Welfare </w:t>
      </w:r>
      <w:r>
        <w:rPr>
          <w:sz w:val="18"/>
          <w:vertAlign w:val="baseline"/>
        </w:rPr>
        <w:t>11, no. 1 (January 2017): 27–39. </w:t>
      </w:r>
      <w:bookmarkStart w:name="_bookmark148" w:id="304"/>
      <w:bookmarkEnd w:id="304"/>
      <w:r>
        <w:rPr>
          <w:spacing w:val="-1"/>
          <w:sz w:val="18"/>
          <w:vertAlign w:val="baseline"/>
        </w:rPr>
      </w:r>
      <w:hyperlink r:id="rId229">
        <w:r>
          <w:rPr>
            <w:color w:val="1153CC"/>
            <w:spacing w:val="-2"/>
            <w:sz w:val="18"/>
            <w:u w:val="single" w:color="1153CC"/>
            <w:vertAlign w:val="baseline"/>
          </w:rPr>
          <w:t>https://doi.org/10.1080/15548732.2016.1221368</w:t>
        </w:r>
      </w:hyperlink>
      <w:hyperlink r:id="rId229">
        <w:r>
          <w:rPr>
            <w:spacing w:val="-2"/>
            <w:sz w:val="18"/>
            <w:u w:val="none"/>
            <w:vertAlign w:val="baseline"/>
          </w:rPr>
          <w:t>.</w:t>
        </w:r>
      </w:hyperlink>
    </w:p>
    <w:p>
      <w:pPr>
        <w:spacing w:before="0"/>
        <w:ind w:left="463" w:right="0" w:firstLine="0"/>
        <w:jc w:val="left"/>
        <w:rPr>
          <w:sz w:val="18"/>
        </w:rPr>
      </w:pPr>
      <w:r>
        <w:rPr>
          <w:sz w:val="18"/>
          <w:vertAlign w:val="superscript"/>
        </w:rPr>
        <w:t>47</w:t>
      </w:r>
      <w:r>
        <w:rPr>
          <w:spacing w:val="-14"/>
          <w:sz w:val="18"/>
          <w:vertAlign w:val="baseline"/>
        </w:rPr>
        <w:t> </w:t>
      </w:r>
      <w:r>
        <w:rPr>
          <w:color w:val="000000"/>
          <w:sz w:val="18"/>
          <w:shd w:fill="FAE3CD" w:color="auto" w:val="clear"/>
          <w:vertAlign w:val="baseline"/>
        </w:rPr>
        <w:t>P.</w:t>
      </w:r>
      <w:r>
        <w:rPr>
          <w:color w:val="000000"/>
          <w:spacing w:val="-4"/>
          <w:sz w:val="18"/>
          <w:shd w:fill="FAE3CD" w:color="auto" w:val="clear"/>
          <w:vertAlign w:val="baseline"/>
        </w:rPr>
        <w:t> </w:t>
      </w:r>
      <w:r>
        <w:rPr>
          <w:color w:val="000000"/>
          <w:sz w:val="18"/>
          <w:shd w:fill="FAE3CD" w:color="auto" w:val="clear"/>
          <w:vertAlign w:val="baseline"/>
        </w:rPr>
        <w:t>170.</w:t>
      </w:r>
      <w:r>
        <w:rPr>
          <w:color w:val="000000"/>
          <w:spacing w:val="-2"/>
          <w:sz w:val="18"/>
          <w:vertAlign w:val="baseline"/>
        </w:rPr>
        <w:t> </w:t>
      </w:r>
      <w:r>
        <w:rPr>
          <w:color w:val="000000"/>
          <w:sz w:val="18"/>
          <w:vertAlign w:val="baseline"/>
        </w:rPr>
        <w:t>Bochicchio,</w:t>
      </w:r>
      <w:r>
        <w:rPr>
          <w:color w:val="000000"/>
          <w:spacing w:val="-3"/>
          <w:sz w:val="18"/>
          <w:vertAlign w:val="baseline"/>
        </w:rPr>
        <w:t> </w:t>
      </w:r>
      <w:r>
        <w:rPr>
          <w:color w:val="000000"/>
          <w:sz w:val="18"/>
          <w:vertAlign w:val="baseline"/>
        </w:rPr>
        <w:t>Lauren,</w:t>
      </w:r>
      <w:r>
        <w:rPr>
          <w:color w:val="000000"/>
          <w:spacing w:val="-3"/>
          <w:sz w:val="18"/>
          <w:vertAlign w:val="baseline"/>
        </w:rPr>
        <w:t> </w:t>
      </w:r>
      <w:r>
        <w:rPr>
          <w:color w:val="000000"/>
          <w:sz w:val="18"/>
          <w:vertAlign w:val="baseline"/>
        </w:rPr>
        <w:t>Kelsey</w:t>
      </w:r>
      <w:r>
        <w:rPr>
          <w:color w:val="000000"/>
          <w:spacing w:val="-2"/>
          <w:sz w:val="18"/>
          <w:vertAlign w:val="baseline"/>
        </w:rPr>
        <w:t> </w:t>
      </w:r>
      <w:r>
        <w:rPr>
          <w:color w:val="000000"/>
          <w:sz w:val="18"/>
          <w:vertAlign w:val="baseline"/>
        </w:rPr>
        <w:t>Reeder,</w:t>
      </w:r>
      <w:r>
        <w:rPr>
          <w:color w:val="000000"/>
          <w:spacing w:val="-3"/>
          <w:sz w:val="18"/>
          <w:vertAlign w:val="baseline"/>
        </w:rPr>
        <w:t> </w:t>
      </w:r>
      <w:r>
        <w:rPr>
          <w:color w:val="000000"/>
          <w:sz w:val="18"/>
          <w:vertAlign w:val="baseline"/>
        </w:rPr>
        <w:t>Andre</w:t>
      </w:r>
      <w:r>
        <w:rPr>
          <w:color w:val="000000"/>
          <w:spacing w:val="-2"/>
          <w:sz w:val="18"/>
          <w:vertAlign w:val="baseline"/>
        </w:rPr>
        <w:t> </w:t>
      </w:r>
      <w:r>
        <w:rPr>
          <w:color w:val="000000"/>
          <w:sz w:val="18"/>
          <w:vertAlign w:val="baseline"/>
        </w:rPr>
        <w:t>Ivanoff,</w:t>
      </w:r>
      <w:r>
        <w:rPr>
          <w:color w:val="000000"/>
          <w:spacing w:val="-3"/>
          <w:sz w:val="18"/>
          <w:vertAlign w:val="baseline"/>
        </w:rPr>
        <w:t> </w:t>
      </w:r>
      <w:r>
        <w:rPr>
          <w:color w:val="000000"/>
          <w:sz w:val="18"/>
          <w:vertAlign w:val="baseline"/>
        </w:rPr>
        <w:t>Hunter</w:t>
      </w:r>
      <w:r>
        <w:rPr>
          <w:color w:val="000000"/>
          <w:spacing w:val="-3"/>
          <w:sz w:val="18"/>
          <w:vertAlign w:val="baseline"/>
        </w:rPr>
        <w:t> </w:t>
      </w:r>
      <w:r>
        <w:rPr>
          <w:color w:val="000000"/>
          <w:sz w:val="18"/>
          <w:vertAlign w:val="baseline"/>
        </w:rPr>
        <w:t>Pope,</w:t>
      </w:r>
      <w:r>
        <w:rPr>
          <w:color w:val="000000"/>
          <w:spacing w:val="-3"/>
          <w:sz w:val="18"/>
          <w:vertAlign w:val="baseline"/>
        </w:rPr>
        <w:t> </w:t>
      </w:r>
      <w:r>
        <w:rPr>
          <w:color w:val="000000"/>
          <w:sz w:val="18"/>
          <w:vertAlign w:val="baseline"/>
        </w:rPr>
        <w:t>and</w:t>
      </w:r>
      <w:r>
        <w:rPr>
          <w:color w:val="000000"/>
          <w:spacing w:val="-3"/>
          <w:sz w:val="18"/>
          <w:vertAlign w:val="baseline"/>
        </w:rPr>
        <w:t> </w:t>
      </w:r>
      <w:r>
        <w:rPr>
          <w:color w:val="000000"/>
          <w:sz w:val="18"/>
          <w:vertAlign w:val="baseline"/>
        </w:rPr>
        <w:t>Ana</w:t>
      </w:r>
      <w:r>
        <w:rPr>
          <w:color w:val="000000"/>
          <w:spacing w:val="-2"/>
          <w:sz w:val="18"/>
          <w:vertAlign w:val="baseline"/>
        </w:rPr>
        <w:t> </w:t>
      </w:r>
      <w:r>
        <w:rPr>
          <w:color w:val="000000"/>
          <w:sz w:val="18"/>
          <w:vertAlign w:val="baseline"/>
        </w:rPr>
        <w:t>Stefancic.</w:t>
      </w:r>
      <w:r>
        <w:rPr>
          <w:color w:val="000000"/>
          <w:spacing w:val="-2"/>
          <w:sz w:val="18"/>
          <w:vertAlign w:val="baseline"/>
        </w:rPr>
        <w:t> </w:t>
      </w:r>
      <w:r>
        <w:rPr>
          <w:color w:val="000000"/>
          <w:sz w:val="18"/>
          <w:vertAlign w:val="baseline"/>
        </w:rPr>
        <w:t>“Psychotherapeutic</w:t>
      </w:r>
      <w:r>
        <w:rPr>
          <w:color w:val="000000"/>
          <w:spacing w:val="-3"/>
          <w:sz w:val="18"/>
          <w:vertAlign w:val="baseline"/>
        </w:rPr>
        <w:t> </w:t>
      </w:r>
      <w:r>
        <w:rPr>
          <w:color w:val="000000"/>
          <w:sz w:val="18"/>
          <w:vertAlign w:val="baseline"/>
        </w:rPr>
        <w:t>Interventions</w:t>
      </w:r>
      <w:r>
        <w:rPr>
          <w:color w:val="000000"/>
          <w:spacing w:val="-2"/>
          <w:sz w:val="18"/>
          <w:vertAlign w:val="baseline"/>
        </w:rPr>
        <w:t> </w:t>
      </w:r>
      <w:r>
        <w:rPr>
          <w:color w:val="000000"/>
          <w:sz w:val="18"/>
          <w:vertAlign w:val="baseline"/>
        </w:rPr>
        <w:t>for LGBTQ + Youth: A Systematic Review.” </w:t>
      </w:r>
      <w:r>
        <w:rPr>
          <w:i/>
          <w:color w:val="000000"/>
          <w:sz w:val="18"/>
          <w:vertAlign w:val="baseline"/>
        </w:rPr>
        <w:t>Journal of LGBT Youth </w:t>
      </w:r>
      <w:r>
        <w:rPr>
          <w:color w:val="000000"/>
          <w:sz w:val="18"/>
          <w:vertAlign w:val="baseline"/>
        </w:rPr>
        <w:t>19, no. 2 (April 3, 2022): 152–79. </w:t>
      </w:r>
      <w:bookmarkStart w:name="_bookmark149" w:id="305"/>
      <w:bookmarkEnd w:id="305"/>
      <w:r>
        <w:rPr>
          <w:color w:val="000000"/>
          <w:spacing w:val="-1"/>
          <w:sz w:val="18"/>
          <w:vertAlign w:val="baseline"/>
        </w:rPr>
      </w:r>
      <w:hyperlink r:id="rId230">
        <w:r>
          <w:rPr>
            <w:color w:val="1153CC"/>
            <w:spacing w:val="-2"/>
            <w:sz w:val="18"/>
            <w:u w:val="single" w:color="1153CC"/>
            <w:vertAlign w:val="baseline"/>
          </w:rPr>
          <w:t>https://doi.org/10.1080/19361653.2020.1766393</w:t>
        </w:r>
      </w:hyperlink>
      <w:hyperlink r:id="rId230">
        <w:r>
          <w:rPr>
            <w:color w:val="000000"/>
            <w:spacing w:val="-2"/>
            <w:sz w:val="18"/>
            <w:u w:val="none"/>
            <w:vertAlign w:val="baseline"/>
          </w:rPr>
          <w:t>.</w:t>
        </w:r>
      </w:hyperlink>
    </w:p>
    <w:p>
      <w:pPr>
        <w:spacing w:before="0"/>
        <w:ind w:left="463" w:right="0" w:firstLine="0"/>
        <w:jc w:val="left"/>
        <w:rPr>
          <w:sz w:val="18"/>
        </w:rPr>
      </w:pPr>
      <w:r>
        <w:rPr>
          <w:sz w:val="18"/>
          <w:vertAlign w:val="superscript"/>
        </w:rPr>
        <w:t>48</w:t>
      </w:r>
      <w:r>
        <w:rPr>
          <w:spacing w:val="-15"/>
          <w:sz w:val="18"/>
          <w:vertAlign w:val="baseline"/>
        </w:rPr>
        <w:t> </w:t>
      </w:r>
      <w:r>
        <w:rPr>
          <w:sz w:val="18"/>
          <w:vertAlign w:val="baseline"/>
        </w:rPr>
        <w:t>Coulter,</w:t>
      </w:r>
      <w:r>
        <w:rPr>
          <w:spacing w:val="-5"/>
          <w:sz w:val="18"/>
          <w:vertAlign w:val="baseline"/>
        </w:rPr>
        <w:t> </w:t>
      </w:r>
      <w:r>
        <w:rPr>
          <w:sz w:val="18"/>
          <w:vertAlign w:val="baseline"/>
        </w:rPr>
        <w:t>Robert</w:t>
      </w:r>
      <w:r>
        <w:rPr>
          <w:spacing w:val="-3"/>
          <w:sz w:val="18"/>
          <w:vertAlign w:val="baseline"/>
        </w:rPr>
        <w:t> </w:t>
      </w:r>
      <w:r>
        <w:rPr>
          <w:sz w:val="18"/>
          <w:vertAlign w:val="baseline"/>
        </w:rPr>
        <w:t>W.</w:t>
      </w:r>
      <w:r>
        <w:rPr>
          <w:spacing w:val="-2"/>
          <w:sz w:val="18"/>
          <w:vertAlign w:val="baseline"/>
        </w:rPr>
        <w:t> </w:t>
      </w:r>
      <w:r>
        <w:rPr>
          <w:sz w:val="18"/>
          <w:vertAlign w:val="baseline"/>
        </w:rPr>
        <w:t>S.,</w:t>
      </w:r>
      <w:r>
        <w:rPr>
          <w:spacing w:val="-2"/>
          <w:sz w:val="18"/>
          <w:vertAlign w:val="baseline"/>
        </w:rPr>
        <w:t> </w:t>
      </w:r>
      <w:r>
        <w:rPr>
          <w:sz w:val="18"/>
          <w:vertAlign w:val="baseline"/>
        </w:rPr>
        <w:t>James</w:t>
      </w:r>
      <w:r>
        <w:rPr>
          <w:spacing w:val="-2"/>
          <w:sz w:val="18"/>
          <w:vertAlign w:val="baseline"/>
        </w:rPr>
        <w:t> </w:t>
      </w:r>
      <w:r>
        <w:rPr>
          <w:sz w:val="18"/>
          <w:vertAlign w:val="baseline"/>
        </w:rPr>
        <w:t>E.</w:t>
      </w:r>
      <w:r>
        <w:rPr>
          <w:spacing w:val="-3"/>
          <w:sz w:val="18"/>
          <w:vertAlign w:val="baseline"/>
        </w:rPr>
        <w:t> </w:t>
      </w:r>
      <w:r>
        <w:rPr>
          <w:sz w:val="18"/>
          <w:vertAlign w:val="baseline"/>
        </w:rPr>
        <w:t>Egan,</w:t>
      </w:r>
      <w:r>
        <w:rPr>
          <w:spacing w:val="-3"/>
          <w:sz w:val="18"/>
          <w:vertAlign w:val="baseline"/>
        </w:rPr>
        <w:t> </w:t>
      </w:r>
      <w:r>
        <w:rPr>
          <w:sz w:val="18"/>
          <w:vertAlign w:val="baseline"/>
        </w:rPr>
        <w:t>Suzanne</w:t>
      </w:r>
      <w:r>
        <w:rPr>
          <w:spacing w:val="-2"/>
          <w:sz w:val="18"/>
          <w:vertAlign w:val="baseline"/>
        </w:rPr>
        <w:t> </w:t>
      </w:r>
      <w:r>
        <w:rPr>
          <w:sz w:val="18"/>
          <w:vertAlign w:val="baseline"/>
        </w:rPr>
        <w:t>Kinsky,</w:t>
      </w:r>
      <w:r>
        <w:rPr>
          <w:spacing w:val="-3"/>
          <w:sz w:val="18"/>
          <w:vertAlign w:val="baseline"/>
        </w:rPr>
        <w:t> </w:t>
      </w:r>
      <w:r>
        <w:rPr>
          <w:sz w:val="18"/>
          <w:vertAlign w:val="baseline"/>
        </w:rPr>
        <w:t>M.</w:t>
      </w:r>
      <w:r>
        <w:rPr>
          <w:spacing w:val="-2"/>
          <w:sz w:val="18"/>
          <w:vertAlign w:val="baseline"/>
        </w:rPr>
        <w:t> </w:t>
      </w:r>
      <w:r>
        <w:rPr>
          <w:sz w:val="18"/>
          <w:vertAlign w:val="baseline"/>
        </w:rPr>
        <w:t>Reuel</w:t>
      </w:r>
      <w:r>
        <w:rPr>
          <w:spacing w:val="-3"/>
          <w:sz w:val="18"/>
          <w:vertAlign w:val="baseline"/>
        </w:rPr>
        <w:t> </w:t>
      </w:r>
      <w:r>
        <w:rPr>
          <w:sz w:val="18"/>
          <w:vertAlign w:val="baseline"/>
        </w:rPr>
        <w:t>Friedman,</w:t>
      </w:r>
      <w:r>
        <w:rPr>
          <w:spacing w:val="-3"/>
          <w:sz w:val="18"/>
          <w:vertAlign w:val="baseline"/>
        </w:rPr>
        <w:t> </w:t>
      </w:r>
      <w:r>
        <w:rPr>
          <w:sz w:val="18"/>
          <w:vertAlign w:val="baseline"/>
        </w:rPr>
        <w:t>Kristen</w:t>
      </w:r>
      <w:r>
        <w:rPr>
          <w:spacing w:val="-2"/>
          <w:sz w:val="18"/>
          <w:vertAlign w:val="baseline"/>
        </w:rPr>
        <w:t> </w:t>
      </w:r>
      <w:r>
        <w:rPr>
          <w:sz w:val="18"/>
          <w:vertAlign w:val="baseline"/>
        </w:rPr>
        <w:t>L.</w:t>
      </w:r>
      <w:r>
        <w:rPr>
          <w:spacing w:val="-2"/>
          <w:sz w:val="18"/>
          <w:vertAlign w:val="baseline"/>
        </w:rPr>
        <w:t> </w:t>
      </w:r>
      <w:r>
        <w:rPr>
          <w:sz w:val="18"/>
          <w:vertAlign w:val="baseline"/>
        </w:rPr>
        <w:t>Eckstrand,</w:t>
      </w:r>
      <w:r>
        <w:rPr>
          <w:spacing w:val="-3"/>
          <w:sz w:val="18"/>
          <w:vertAlign w:val="baseline"/>
        </w:rPr>
        <w:t> </w:t>
      </w:r>
      <w:r>
        <w:rPr>
          <w:sz w:val="18"/>
          <w:vertAlign w:val="baseline"/>
        </w:rPr>
        <w:t>Jessica</w:t>
      </w:r>
      <w:r>
        <w:rPr>
          <w:spacing w:val="-2"/>
          <w:sz w:val="18"/>
          <w:vertAlign w:val="baseline"/>
        </w:rPr>
        <w:t> </w:t>
      </w:r>
      <w:r>
        <w:rPr>
          <w:sz w:val="18"/>
          <w:vertAlign w:val="baseline"/>
        </w:rPr>
        <w:t>Frankeberger,</w:t>
      </w:r>
      <w:r>
        <w:rPr>
          <w:spacing w:val="-2"/>
          <w:sz w:val="18"/>
          <w:vertAlign w:val="baseline"/>
        </w:rPr>
        <w:t> Barbara</w:t>
      </w:r>
    </w:p>
    <w:p>
      <w:pPr>
        <w:spacing w:before="0"/>
        <w:ind w:left="463" w:right="0" w:firstLine="0"/>
        <w:jc w:val="left"/>
        <w:rPr>
          <w:i/>
          <w:sz w:val="18"/>
        </w:rPr>
      </w:pPr>
      <w:r>
        <w:rPr>
          <w:sz w:val="18"/>
        </w:rPr>
        <w:t>L.</w:t>
      </w:r>
      <w:r>
        <w:rPr>
          <w:spacing w:val="-5"/>
          <w:sz w:val="18"/>
        </w:rPr>
        <w:t> </w:t>
      </w:r>
      <w:r>
        <w:rPr>
          <w:sz w:val="18"/>
        </w:rPr>
        <w:t>Folb,</w:t>
      </w:r>
      <w:r>
        <w:rPr>
          <w:spacing w:val="-3"/>
          <w:sz w:val="18"/>
        </w:rPr>
        <w:t> </w:t>
      </w:r>
      <w:r>
        <w:rPr>
          <w:sz w:val="18"/>
        </w:rPr>
        <w:t>et</w:t>
      </w:r>
      <w:r>
        <w:rPr>
          <w:spacing w:val="-3"/>
          <w:sz w:val="18"/>
        </w:rPr>
        <w:t> </w:t>
      </w:r>
      <w:r>
        <w:rPr>
          <w:sz w:val="18"/>
        </w:rPr>
        <w:t>al.</w:t>
      </w:r>
      <w:r>
        <w:rPr>
          <w:spacing w:val="-2"/>
          <w:sz w:val="18"/>
        </w:rPr>
        <w:t> </w:t>
      </w:r>
      <w:r>
        <w:rPr>
          <w:sz w:val="18"/>
        </w:rPr>
        <w:t>“Mental</w:t>
      </w:r>
      <w:r>
        <w:rPr>
          <w:spacing w:val="-4"/>
          <w:sz w:val="18"/>
        </w:rPr>
        <w:t> </w:t>
      </w:r>
      <w:r>
        <w:rPr>
          <w:sz w:val="18"/>
        </w:rPr>
        <w:t>Health,</w:t>
      </w:r>
      <w:r>
        <w:rPr>
          <w:spacing w:val="-3"/>
          <w:sz w:val="18"/>
        </w:rPr>
        <w:t> </w:t>
      </w:r>
      <w:r>
        <w:rPr>
          <w:sz w:val="18"/>
        </w:rPr>
        <w:t>Drug,</w:t>
      </w:r>
      <w:r>
        <w:rPr>
          <w:spacing w:val="-3"/>
          <w:sz w:val="18"/>
        </w:rPr>
        <w:t> </w:t>
      </w:r>
      <w:r>
        <w:rPr>
          <w:sz w:val="18"/>
        </w:rPr>
        <w:t>and</w:t>
      </w:r>
      <w:r>
        <w:rPr>
          <w:spacing w:val="-2"/>
          <w:sz w:val="18"/>
        </w:rPr>
        <w:t> </w:t>
      </w:r>
      <w:r>
        <w:rPr>
          <w:sz w:val="18"/>
        </w:rPr>
        <w:t>Violence</w:t>
      </w:r>
      <w:r>
        <w:rPr>
          <w:spacing w:val="-3"/>
          <w:sz w:val="18"/>
        </w:rPr>
        <w:t> </w:t>
      </w:r>
      <w:r>
        <w:rPr>
          <w:sz w:val="18"/>
        </w:rPr>
        <w:t>Interventions</w:t>
      </w:r>
      <w:r>
        <w:rPr>
          <w:spacing w:val="-2"/>
          <w:sz w:val="18"/>
        </w:rPr>
        <w:t> </w:t>
      </w:r>
      <w:r>
        <w:rPr>
          <w:sz w:val="18"/>
        </w:rPr>
        <w:t>for</w:t>
      </w:r>
      <w:r>
        <w:rPr>
          <w:spacing w:val="-3"/>
          <w:sz w:val="18"/>
        </w:rPr>
        <w:t> </w:t>
      </w:r>
      <w:r>
        <w:rPr>
          <w:sz w:val="18"/>
        </w:rPr>
        <w:t>Sexual/Gender</w:t>
      </w:r>
      <w:r>
        <w:rPr>
          <w:spacing w:val="-3"/>
          <w:sz w:val="18"/>
        </w:rPr>
        <w:t> </w:t>
      </w:r>
      <w:r>
        <w:rPr>
          <w:sz w:val="18"/>
        </w:rPr>
        <w:t>Minorities:</w:t>
      </w:r>
      <w:r>
        <w:rPr>
          <w:spacing w:val="-3"/>
          <w:sz w:val="18"/>
        </w:rPr>
        <w:t> </w:t>
      </w:r>
      <w:r>
        <w:rPr>
          <w:sz w:val="18"/>
        </w:rPr>
        <w:t>A</w:t>
      </w:r>
      <w:r>
        <w:rPr>
          <w:spacing w:val="-2"/>
          <w:sz w:val="18"/>
        </w:rPr>
        <w:t> </w:t>
      </w:r>
      <w:r>
        <w:rPr>
          <w:sz w:val="18"/>
        </w:rPr>
        <w:t>Systematic</w:t>
      </w:r>
      <w:r>
        <w:rPr>
          <w:spacing w:val="-3"/>
          <w:sz w:val="18"/>
        </w:rPr>
        <w:t> </w:t>
      </w:r>
      <w:r>
        <w:rPr>
          <w:sz w:val="18"/>
        </w:rPr>
        <w:t>Review.”</w:t>
      </w:r>
      <w:r>
        <w:rPr>
          <w:spacing w:val="-2"/>
          <w:sz w:val="18"/>
        </w:rPr>
        <w:t> </w:t>
      </w:r>
      <w:r>
        <w:rPr>
          <w:i/>
          <w:spacing w:val="-2"/>
          <w:sz w:val="18"/>
        </w:rPr>
        <w:t>Pediatrics</w:t>
      </w:r>
    </w:p>
    <w:p>
      <w:pPr>
        <w:spacing w:before="0"/>
        <w:ind w:left="463" w:right="0" w:firstLine="0"/>
        <w:jc w:val="left"/>
        <w:rPr>
          <w:sz w:val="18"/>
        </w:rPr>
      </w:pPr>
      <w:bookmarkStart w:name="_bookmark150" w:id="306"/>
      <w:bookmarkEnd w:id="306"/>
      <w:r>
        <w:rPr/>
      </w:r>
      <w:r>
        <w:rPr>
          <w:sz w:val="18"/>
        </w:rPr>
        <w:t>144,</w:t>
      </w:r>
      <w:r>
        <w:rPr>
          <w:spacing w:val="-6"/>
          <w:sz w:val="18"/>
        </w:rPr>
        <w:t> </w:t>
      </w:r>
      <w:r>
        <w:rPr>
          <w:sz w:val="18"/>
        </w:rPr>
        <w:t>no.</w:t>
      </w:r>
      <w:r>
        <w:rPr>
          <w:spacing w:val="-6"/>
          <w:sz w:val="18"/>
        </w:rPr>
        <w:t> </w:t>
      </w:r>
      <w:r>
        <w:rPr>
          <w:sz w:val="18"/>
        </w:rPr>
        <w:t>3</w:t>
      </w:r>
      <w:r>
        <w:rPr>
          <w:spacing w:val="-5"/>
          <w:sz w:val="18"/>
        </w:rPr>
        <w:t> </w:t>
      </w:r>
      <w:r>
        <w:rPr>
          <w:sz w:val="18"/>
        </w:rPr>
        <w:t>(September</w:t>
      </w:r>
      <w:r>
        <w:rPr>
          <w:spacing w:val="-6"/>
          <w:sz w:val="18"/>
        </w:rPr>
        <w:t> </w:t>
      </w:r>
      <w:r>
        <w:rPr>
          <w:sz w:val="18"/>
        </w:rPr>
        <w:t>1,</w:t>
      </w:r>
      <w:r>
        <w:rPr>
          <w:spacing w:val="-6"/>
          <w:sz w:val="18"/>
        </w:rPr>
        <w:t> </w:t>
      </w:r>
      <w:r>
        <w:rPr>
          <w:sz w:val="18"/>
        </w:rPr>
        <w:t>2019):</w:t>
      </w:r>
      <w:r>
        <w:rPr>
          <w:spacing w:val="-6"/>
          <w:sz w:val="18"/>
        </w:rPr>
        <w:t> </w:t>
      </w:r>
      <w:r>
        <w:rPr>
          <w:sz w:val="18"/>
        </w:rPr>
        <w:t>e20183367.</w:t>
      </w:r>
      <w:r>
        <w:rPr>
          <w:spacing w:val="-5"/>
          <w:sz w:val="18"/>
        </w:rPr>
        <w:t> </w:t>
      </w:r>
      <w:hyperlink r:id="rId231">
        <w:r>
          <w:rPr>
            <w:color w:val="1153CC"/>
            <w:sz w:val="18"/>
            <w:u w:val="single" w:color="1153CC"/>
          </w:rPr>
          <w:t>https://doi.org/10.1542/peds.2018-</w:t>
        </w:r>
        <w:r>
          <w:rPr>
            <w:color w:val="1153CC"/>
            <w:spacing w:val="-2"/>
            <w:sz w:val="18"/>
            <w:u w:val="single" w:color="1153CC"/>
          </w:rPr>
          <w:t>3367</w:t>
        </w:r>
      </w:hyperlink>
      <w:hyperlink r:id="rId231">
        <w:r>
          <w:rPr>
            <w:spacing w:val="-2"/>
            <w:sz w:val="18"/>
            <w:u w:val="none"/>
          </w:rPr>
          <w:t>.</w:t>
        </w:r>
      </w:hyperlink>
    </w:p>
    <w:p>
      <w:pPr>
        <w:spacing w:before="0"/>
        <w:ind w:left="463" w:right="350" w:hanging="1"/>
        <w:jc w:val="left"/>
        <w:rPr>
          <w:sz w:val="18"/>
        </w:rPr>
      </w:pPr>
      <w:r>
        <w:rPr>
          <w:sz w:val="18"/>
          <w:vertAlign w:val="superscript"/>
        </w:rPr>
        <w:t>49</w:t>
      </w:r>
      <w:r>
        <w:rPr>
          <w:spacing w:val="-7"/>
          <w:sz w:val="18"/>
          <w:vertAlign w:val="baseline"/>
        </w:rPr>
        <w:t> </w:t>
      </w:r>
      <w:r>
        <w:rPr>
          <w:sz w:val="18"/>
          <w:vertAlign w:val="baseline"/>
        </w:rPr>
        <w:t>McCormick, Adam, Karey Scheyd, and Samuel Terrazas. “Trauma-Informed Care and LGBTQ Youth: Considerations for Advancing</w:t>
      </w:r>
      <w:r>
        <w:rPr>
          <w:spacing w:val="-3"/>
          <w:sz w:val="18"/>
          <w:vertAlign w:val="baseline"/>
        </w:rPr>
        <w:t> </w:t>
      </w:r>
      <w:r>
        <w:rPr>
          <w:sz w:val="18"/>
          <w:vertAlign w:val="baseline"/>
        </w:rPr>
        <w:t>Practice</w:t>
      </w:r>
      <w:r>
        <w:rPr>
          <w:spacing w:val="-3"/>
          <w:sz w:val="18"/>
          <w:vertAlign w:val="baseline"/>
        </w:rPr>
        <w:t> </w:t>
      </w:r>
      <w:r>
        <w:rPr>
          <w:sz w:val="18"/>
          <w:vertAlign w:val="baseline"/>
        </w:rPr>
        <w:t>With</w:t>
      </w:r>
      <w:r>
        <w:rPr>
          <w:spacing w:val="-3"/>
          <w:sz w:val="18"/>
          <w:vertAlign w:val="baseline"/>
        </w:rPr>
        <w:t> </w:t>
      </w:r>
      <w:r>
        <w:rPr>
          <w:sz w:val="18"/>
          <w:vertAlign w:val="baseline"/>
        </w:rPr>
        <w:t>Youth</w:t>
      </w:r>
      <w:r>
        <w:rPr>
          <w:spacing w:val="-2"/>
          <w:sz w:val="18"/>
          <w:vertAlign w:val="baseline"/>
        </w:rPr>
        <w:t> </w:t>
      </w:r>
      <w:r>
        <w:rPr>
          <w:sz w:val="18"/>
          <w:vertAlign w:val="baseline"/>
        </w:rPr>
        <w:t>With</w:t>
      </w:r>
      <w:r>
        <w:rPr>
          <w:spacing w:val="-3"/>
          <w:sz w:val="18"/>
          <w:vertAlign w:val="baseline"/>
        </w:rPr>
        <w:t> </w:t>
      </w:r>
      <w:r>
        <w:rPr>
          <w:sz w:val="18"/>
          <w:vertAlign w:val="baseline"/>
        </w:rPr>
        <w:t>Trauma</w:t>
      </w:r>
      <w:r>
        <w:rPr>
          <w:spacing w:val="-3"/>
          <w:sz w:val="18"/>
          <w:vertAlign w:val="baseline"/>
        </w:rPr>
        <w:t> </w:t>
      </w:r>
      <w:r>
        <w:rPr>
          <w:sz w:val="18"/>
          <w:vertAlign w:val="baseline"/>
        </w:rPr>
        <w:t>Experiences.”</w:t>
      </w:r>
      <w:r>
        <w:rPr>
          <w:spacing w:val="-3"/>
          <w:sz w:val="18"/>
          <w:vertAlign w:val="baseline"/>
        </w:rPr>
        <w:t> </w:t>
      </w:r>
      <w:r>
        <w:rPr>
          <w:i/>
          <w:sz w:val="18"/>
          <w:vertAlign w:val="baseline"/>
        </w:rPr>
        <w:t>Families</w:t>
      </w:r>
      <w:r>
        <w:rPr>
          <w:i/>
          <w:spacing w:val="-3"/>
          <w:sz w:val="18"/>
          <w:vertAlign w:val="baseline"/>
        </w:rPr>
        <w:t> </w:t>
      </w:r>
      <w:r>
        <w:rPr>
          <w:i/>
          <w:sz w:val="18"/>
          <w:vertAlign w:val="baseline"/>
        </w:rPr>
        <w:t>in</w:t>
      </w:r>
      <w:r>
        <w:rPr>
          <w:i/>
          <w:spacing w:val="-3"/>
          <w:sz w:val="18"/>
          <w:vertAlign w:val="baseline"/>
        </w:rPr>
        <w:t> </w:t>
      </w:r>
      <w:r>
        <w:rPr>
          <w:i/>
          <w:sz w:val="18"/>
          <w:vertAlign w:val="baseline"/>
        </w:rPr>
        <w:t>Society:</w:t>
      </w:r>
      <w:r>
        <w:rPr>
          <w:i/>
          <w:spacing w:val="-3"/>
          <w:sz w:val="18"/>
          <w:vertAlign w:val="baseline"/>
        </w:rPr>
        <w:t> </w:t>
      </w:r>
      <w:r>
        <w:rPr>
          <w:i/>
          <w:sz w:val="18"/>
          <w:vertAlign w:val="baseline"/>
        </w:rPr>
        <w:t>The</w:t>
      </w:r>
      <w:r>
        <w:rPr>
          <w:i/>
          <w:spacing w:val="-3"/>
          <w:sz w:val="18"/>
          <w:vertAlign w:val="baseline"/>
        </w:rPr>
        <w:t> </w:t>
      </w:r>
      <w:r>
        <w:rPr>
          <w:i/>
          <w:sz w:val="18"/>
          <w:vertAlign w:val="baseline"/>
        </w:rPr>
        <w:t>Journal</w:t>
      </w:r>
      <w:r>
        <w:rPr>
          <w:i/>
          <w:spacing w:val="-4"/>
          <w:sz w:val="18"/>
          <w:vertAlign w:val="baseline"/>
        </w:rPr>
        <w:t> </w:t>
      </w:r>
      <w:r>
        <w:rPr>
          <w:i/>
          <w:sz w:val="18"/>
          <w:vertAlign w:val="baseline"/>
        </w:rPr>
        <w:t>of</w:t>
      </w:r>
      <w:r>
        <w:rPr>
          <w:i/>
          <w:spacing w:val="-3"/>
          <w:sz w:val="18"/>
          <w:vertAlign w:val="baseline"/>
        </w:rPr>
        <w:t> </w:t>
      </w:r>
      <w:r>
        <w:rPr>
          <w:i/>
          <w:sz w:val="18"/>
          <w:vertAlign w:val="baseline"/>
        </w:rPr>
        <w:t>Contemporary</w:t>
      </w:r>
      <w:r>
        <w:rPr>
          <w:i/>
          <w:spacing w:val="-3"/>
          <w:sz w:val="18"/>
          <w:vertAlign w:val="baseline"/>
        </w:rPr>
        <w:t> </w:t>
      </w:r>
      <w:r>
        <w:rPr>
          <w:i/>
          <w:sz w:val="18"/>
          <w:vertAlign w:val="baseline"/>
        </w:rPr>
        <w:t>Social</w:t>
      </w:r>
      <w:r>
        <w:rPr>
          <w:i/>
          <w:spacing w:val="-4"/>
          <w:sz w:val="18"/>
          <w:vertAlign w:val="baseline"/>
        </w:rPr>
        <w:t> </w:t>
      </w:r>
      <w:r>
        <w:rPr>
          <w:i/>
          <w:sz w:val="18"/>
          <w:vertAlign w:val="baseline"/>
        </w:rPr>
        <w:t>Services</w:t>
      </w:r>
      <w:r>
        <w:rPr>
          <w:i/>
          <w:spacing w:val="-4"/>
          <w:sz w:val="18"/>
          <w:vertAlign w:val="baseline"/>
        </w:rPr>
        <w:t> </w:t>
      </w:r>
      <w:r>
        <w:rPr>
          <w:sz w:val="18"/>
          <w:vertAlign w:val="baseline"/>
        </w:rPr>
        <w:t>99, </w:t>
      </w:r>
      <w:bookmarkStart w:name="_bookmark151" w:id="307"/>
      <w:bookmarkEnd w:id="307"/>
      <w:r>
        <w:rPr>
          <w:sz w:val="18"/>
          <w:vertAlign w:val="baseline"/>
        </w:rPr>
        <w:t>n</w:t>
      </w:r>
      <w:r>
        <w:rPr>
          <w:sz w:val="18"/>
          <w:vertAlign w:val="baseline"/>
        </w:rPr>
        <w:t>o. 2 (April 2018): 160–69. </w:t>
      </w:r>
      <w:hyperlink r:id="rId232">
        <w:r>
          <w:rPr>
            <w:color w:val="1153CC"/>
            <w:sz w:val="18"/>
            <w:u w:val="single" w:color="1153CC"/>
            <w:vertAlign w:val="baseline"/>
          </w:rPr>
          <w:t>https://doi.org/10.1177/1044389418768550</w:t>
        </w:r>
      </w:hyperlink>
      <w:hyperlink r:id="rId232">
        <w:r>
          <w:rPr>
            <w:sz w:val="18"/>
            <w:u w:val="none"/>
            <w:vertAlign w:val="baseline"/>
          </w:rPr>
          <w:t>.</w:t>
        </w:r>
      </w:hyperlink>
    </w:p>
    <w:p>
      <w:pPr>
        <w:spacing w:before="0"/>
        <w:ind w:left="463" w:right="314" w:hanging="1"/>
        <w:jc w:val="left"/>
        <w:rPr>
          <w:sz w:val="18"/>
        </w:rPr>
      </w:pPr>
      <w:r>
        <w:rPr>
          <w:sz w:val="18"/>
          <w:vertAlign w:val="superscript"/>
        </w:rPr>
        <w:t>50</w:t>
      </w:r>
      <w:r>
        <w:rPr>
          <w:spacing w:val="-13"/>
          <w:sz w:val="18"/>
          <w:vertAlign w:val="baseline"/>
        </w:rPr>
        <w:t> </w:t>
      </w:r>
      <w:r>
        <w:rPr>
          <w:sz w:val="18"/>
          <w:vertAlign w:val="baseline"/>
        </w:rPr>
        <w:t>Fish,</w:t>
      </w:r>
      <w:r>
        <w:rPr>
          <w:spacing w:val="-5"/>
          <w:sz w:val="18"/>
          <w:vertAlign w:val="baseline"/>
        </w:rPr>
        <w:t> </w:t>
      </w:r>
      <w:r>
        <w:rPr>
          <w:sz w:val="18"/>
          <w:vertAlign w:val="baseline"/>
        </w:rPr>
        <w:t>Jessica</w:t>
      </w:r>
      <w:r>
        <w:rPr>
          <w:spacing w:val="-3"/>
          <w:sz w:val="18"/>
          <w:vertAlign w:val="baseline"/>
        </w:rPr>
        <w:t> </w:t>
      </w:r>
      <w:r>
        <w:rPr>
          <w:sz w:val="18"/>
          <w:vertAlign w:val="baseline"/>
        </w:rPr>
        <w:t>N.</w:t>
      </w:r>
      <w:r>
        <w:rPr>
          <w:spacing w:val="-3"/>
          <w:sz w:val="18"/>
          <w:vertAlign w:val="baseline"/>
        </w:rPr>
        <w:t> </w:t>
      </w:r>
      <w:r>
        <w:rPr>
          <w:sz w:val="18"/>
          <w:vertAlign w:val="baseline"/>
        </w:rPr>
        <w:t>“Future</w:t>
      </w:r>
      <w:r>
        <w:rPr>
          <w:spacing w:val="-3"/>
          <w:sz w:val="18"/>
          <w:vertAlign w:val="baseline"/>
        </w:rPr>
        <w:t> </w:t>
      </w:r>
      <w:r>
        <w:rPr>
          <w:sz w:val="18"/>
          <w:vertAlign w:val="baseline"/>
        </w:rPr>
        <w:t>Directions</w:t>
      </w:r>
      <w:r>
        <w:rPr>
          <w:spacing w:val="-3"/>
          <w:sz w:val="18"/>
          <w:vertAlign w:val="baseline"/>
        </w:rPr>
        <w:t> </w:t>
      </w:r>
      <w:r>
        <w:rPr>
          <w:sz w:val="18"/>
          <w:vertAlign w:val="baseline"/>
        </w:rPr>
        <w:t>in</w:t>
      </w:r>
      <w:r>
        <w:rPr>
          <w:spacing w:val="-3"/>
          <w:sz w:val="18"/>
          <w:vertAlign w:val="baseline"/>
        </w:rPr>
        <w:t> </w:t>
      </w:r>
      <w:r>
        <w:rPr>
          <w:sz w:val="18"/>
          <w:vertAlign w:val="baseline"/>
        </w:rPr>
        <w:t>Understanding</w:t>
      </w:r>
      <w:r>
        <w:rPr>
          <w:spacing w:val="-3"/>
          <w:sz w:val="18"/>
          <w:vertAlign w:val="baseline"/>
        </w:rPr>
        <w:t> </w:t>
      </w:r>
      <w:r>
        <w:rPr>
          <w:sz w:val="18"/>
          <w:vertAlign w:val="baseline"/>
        </w:rPr>
        <w:t>and</w:t>
      </w:r>
      <w:r>
        <w:rPr>
          <w:spacing w:val="-3"/>
          <w:sz w:val="18"/>
          <w:vertAlign w:val="baseline"/>
        </w:rPr>
        <w:t> </w:t>
      </w:r>
      <w:r>
        <w:rPr>
          <w:sz w:val="18"/>
          <w:vertAlign w:val="baseline"/>
        </w:rPr>
        <w:t>Addressing</w:t>
      </w:r>
      <w:r>
        <w:rPr>
          <w:spacing w:val="-3"/>
          <w:sz w:val="18"/>
          <w:vertAlign w:val="baseline"/>
        </w:rPr>
        <w:t> </w:t>
      </w:r>
      <w:r>
        <w:rPr>
          <w:sz w:val="18"/>
          <w:vertAlign w:val="baseline"/>
        </w:rPr>
        <w:t>Mental</w:t>
      </w:r>
      <w:r>
        <w:rPr>
          <w:spacing w:val="-3"/>
          <w:sz w:val="18"/>
          <w:vertAlign w:val="baseline"/>
        </w:rPr>
        <w:t> </w:t>
      </w:r>
      <w:r>
        <w:rPr>
          <w:sz w:val="18"/>
          <w:vertAlign w:val="baseline"/>
        </w:rPr>
        <w:t>Health</w:t>
      </w:r>
      <w:r>
        <w:rPr>
          <w:spacing w:val="-3"/>
          <w:sz w:val="18"/>
          <w:vertAlign w:val="baseline"/>
        </w:rPr>
        <w:t> </w:t>
      </w:r>
      <w:r>
        <w:rPr>
          <w:sz w:val="18"/>
          <w:vertAlign w:val="baseline"/>
        </w:rPr>
        <w:t>among</w:t>
      </w:r>
      <w:r>
        <w:rPr>
          <w:spacing w:val="-3"/>
          <w:sz w:val="18"/>
          <w:vertAlign w:val="baseline"/>
        </w:rPr>
        <w:t> </w:t>
      </w:r>
      <w:r>
        <w:rPr>
          <w:sz w:val="18"/>
          <w:vertAlign w:val="baseline"/>
        </w:rPr>
        <w:t>LGBTQ</w:t>
      </w:r>
      <w:r>
        <w:rPr>
          <w:spacing w:val="-3"/>
          <w:sz w:val="18"/>
          <w:vertAlign w:val="baseline"/>
        </w:rPr>
        <w:t> </w:t>
      </w:r>
      <w:r>
        <w:rPr>
          <w:sz w:val="18"/>
          <w:vertAlign w:val="baseline"/>
        </w:rPr>
        <w:t>Youth.”</w:t>
      </w:r>
      <w:r>
        <w:rPr>
          <w:spacing w:val="-3"/>
          <w:sz w:val="18"/>
          <w:vertAlign w:val="baseline"/>
        </w:rPr>
        <w:t> </w:t>
      </w:r>
      <w:r>
        <w:rPr>
          <w:i/>
          <w:sz w:val="18"/>
          <w:vertAlign w:val="baseline"/>
        </w:rPr>
        <w:t>Journal</w:t>
      </w:r>
      <w:r>
        <w:rPr>
          <w:i/>
          <w:spacing w:val="-3"/>
          <w:sz w:val="18"/>
          <w:vertAlign w:val="baseline"/>
        </w:rPr>
        <w:t> </w:t>
      </w:r>
      <w:r>
        <w:rPr>
          <w:i/>
          <w:sz w:val="18"/>
          <w:vertAlign w:val="baseline"/>
        </w:rPr>
        <w:t>of</w:t>
      </w:r>
      <w:r>
        <w:rPr>
          <w:i/>
          <w:spacing w:val="-3"/>
          <w:sz w:val="18"/>
          <w:vertAlign w:val="baseline"/>
        </w:rPr>
        <w:t> </w:t>
      </w:r>
      <w:r>
        <w:rPr>
          <w:i/>
          <w:sz w:val="18"/>
          <w:vertAlign w:val="baseline"/>
        </w:rPr>
        <w:t>Clinical</w:t>
      </w:r>
      <w:r>
        <w:rPr>
          <w:i/>
          <w:sz w:val="18"/>
          <w:vertAlign w:val="baseline"/>
        </w:rPr>
        <w:t> </w:t>
      </w:r>
      <w:bookmarkStart w:name="_bookmark152" w:id="308"/>
      <w:bookmarkEnd w:id="308"/>
      <w:r>
        <w:rPr>
          <w:i/>
          <w:sz w:val="18"/>
          <w:vertAlign w:val="baseline"/>
        </w:rPr>
        <w:t>Chi</w:t>
      </w:r>
      <w:r>
        <w:rPr>
          <w:i/>
          <w:sz w:val="18"/>
          <w:vertAlign w:val="baseline"/>
        </w:rPr>
        <w:t>ld &amp; Adolescent Psychology </w:t>
      </w:r>
      <w:r>
        <w:rPr>
          <w:sz w:val="18"/>
          <w:vertAlign w:val="baseline"/>
        </w:rPr>
        <w:t>49, no. 6 (November 1, 2020): 943–56. </w:t>
      </w:r>
      <w:hyperlink r:id="rId233">
        <w:r>
          <w:rPr>
            <w:color w:val="1153CC"/>
            <w:sz w:val="18"/>
            <w:u w:val="single" w:color="1153CC"/>
            <w:vertAlign w:val="baseline"/>
          </w:rPr>
          <w:t>https://doi.org/10.1080/15374416.2020.1815207</w:t>
        </w:r>
      </w:hyperlink>
      <w:hyperlink r:id="rId233">
        <w:r>
          <w:rPr>
            <w:sz w:val="18"/>
            <w:u w:val="none"/>
            <w:vertAlign w:val="baseline"/>
          </w:rPr>
          <w:t>.</w:t>
        </w:r>
      </w:hyperlink>
    </w:p>
    <w:p>
      <w:pPr>
        <w:spacing w:before="0"/>
        <w:ind w:left="463" w:right="304" w:hanging="1"/>
        <w:jc w:val="both"/>
        <w:rPr>
          <w:sz w:val="18"/>
        </w:rPr>
      </w:pPr>
      <w:r>
        <w:rPr>
          <w:sz w:val="18"/>
          <w:vertAlign w:val="superscript"/>
        </w:rPr>
        <w:t>51</w:t>
      </w:r>
      <w:r>
        <w:rPr>
          <w:spacing w:val="-11"/>
          <w:sz w:val="18"/>
          <w:vertAlign w:val="baseline"/>
        </w:rPr>
        <w:t> </w:t>
      </w:r>
      <w:r>
        <w:rPr>
          <w:sz w:val="18"/>
          <w:vertAlign w:val="baseline"/>
        </w:rPr>
        <w:t>Tasnim,</w:t>
      </w:r>
      <w:r>
        <w:rPr>
          <w:spacing w:val="-3"/>
          <w:sz w:val="18"/>
          <w:vertAlign w:val="baseline"/>
        </w:rPr>
        <w:t> </w:t>
      </w:r>
      <w:r>
        <w:rPr>
          <w:sz w:val="18"/>
          <w:vertAlign w:val="baseline"/>
        </w:rPr>
        <w:t>Samia,</w:t>
      </w:r>
      <w:r>
        <w:rPr>
          <w:spacing w:val="-1"/>
          <w:sz w:val="18"/>
          <w:vertAlign w:val="baseline"/>
        </w:rPr>
        <w:t> </w:t>
      </w:r>
      <w:r>
        <w:rPr>
          <w:sz w:val="18"/>
          <w:vertAlign w:val="baseline"/>
        </w:rPr>
        <w:t>Nusrat</w:t>
      </w:r>
      <w:r>
        <w:rPr>
          <w:spacing w:val="-1"/>
          <w:sz w:val="18"/>
          <w:vertAlign w:val="baseline"/>
        </w:rPr>
        <w:t> </w:t>
      </w:r>
      <w:r>
        <w:rPr>
          <w:sz w:val="18"/>
          <w:vertAlign w:val="baseline"/>
        </w:rPr>
        <w:t>Fahmida Trisha,</w:t>
      </w:r>
      <w:r>
        <w:rPr>
          <w:spacing w:val="-1"/>
          <w:sz w:val="18"/>
          <w:vertAlign w:val="baseline"/>
        </w:rPr>
        <w:t> </w:t>
      </w:r>
      <w:r>
        <w:rPr>
          <w:sz w:val="18"/>
          <w:vertAlign w:val="baseline"/>
        </w:rPr>
        <w:t>Qiping Fan,</w:t>
      </w:r>
      <w:r>
        <w:rPr>
          <w:spacing w:val="-1"/>
          <w:sz w:val="18"/>
          <w:vertAlign w:val="baseline"/>
        </w:rPr>
        <w:t> </w:t>
      </w:r>
      <w:r>
        <w:rPr>
          <w:sz w:val="18"/>
          <w:vertAlign w:val="baseline"/>
        </w:rPr>
        <w:t>Abida Sultana,</w:t>
      </w:r>
      <w:r>
        <w:rPr>
          <w:spacing w:val="-1"/>
          <w:sz w:val="18"/>
          <w:vertAlign w:val="baseline"/>
        </w:rPr>
        <w:t> </w:t>
      </w:r>
      <w:r>
        <w:rPr>
          <w:sz w:val="18"/>
          <w:vertAlign w:val="baseline"/>
        </w:rPr>
        <w:t>Shayla Haque Mishu,</w:t>
      </w:r>
      <w:r>
        <w:rPr>
          <w:spacing w:val="-1"/>
          <w:sz w:val="18"/>
          <w:vertAlign w:val="baseline"/>
        </w:rPr>
        <w:t> </w:t>
      </w:r>
      <w:r>
        <w:rPr>
          <w:sz w:val="18"/>
          <w:vertAlign w:val="baseline"/>
        </w:rPr>
        <w:t>Nishat</w:t>
      </w:r>
      <w:r>
        <w:rPr>
          <w:spacing w:val="-1"/>
          <w:sz w:val="18"/>
          <w:vertAlign w:val="baseline"/>
        </w:rPr>
        <w:t> </w:t>
      </w:r>
      <w:r>
        <w:rPr>
          <w:sz w:val="18"/>
          <w:vertAlign w:val="baseline"/>
        </w:rPr>
        <w:t>Tasnim Hasan,</w:t>
      </w:r>
      <w:r>
        <w:rPr>
          <w:spacing w:val="-1"/>
          <w:sz w:val="18"/>
          <w:vertAlign w:val="baseline"/>
        </w:rPr>
        <w:t> </w:t>
      </w:r>
      <w:r>
        <w:rPr>
          <w:sz w:val="18"/>
          <w:vertAlign w:val="baseline"/>
        </w:rPr>
        <w:t>and Md Mahbub Hossain.</w:t>
      </w:r>
      <w:r>
        <w:rPr>
          <w:spacing w:val="-3"/>
          <w:sz w:val="18"/>
          <w:vertAlign w:val="baseline"/>
        </w:rPr>
        <w:t> </w:t>
      </w:r>
      <w:r>
        <w:rPr>
          <w:sz w:val="18"/>
          <w:vertAlign w:val="baseline"/>
        </w:rPr>
        <w:t>“Improving</w:t>
      </w:r>
      <w:r>
        <w:rPr>
          <w:spacing w:val="-3"/>
          <w:sz w:val="18"/>
          <w:vertAlign w:val="baseline"/>
        </w:rPr>
        <w:t> </w:t>
      </w:r>
      <w:r>
        <w:rPr>
          <w:sz w:val="18"/>
          <w:vertAlign w:val="baseline"/>
        </w:rPr>
        <w:t>Mental</w:t>
      </w:r>
      <w:r>
        <w:rPr>
          <w:spacing w:val="-4"/>
          <w:sz w:val="18"/>
          <w:vertAlign w:val="baseline"/>
        </w:rPr>
        <w:t> </w:t>
      </w:r>
      <w:r>
        <w:rPr>
          <w:sz w:val="18"/>
          <w:vertAlign w:val="baseline"/>
        </w:rPr>
        <w:t>Health</w:t>
      </w:r>
      <w:r>
        <w:rPr>
          <w:spacing w:val="-3"/>
          <w:sz w:val="18"/>
          <w:vertAlign w:val="baseline"/>
        </w:rPr>
        <w:t> </w:t>
      </w:r>
      <w:r>
        <w:rPr>
          <w:sz w:val="18"/>
          <w:vertAlign w:val="baseline"/>
        </w:rPr>
        <w:t>and</w:t>
      </w:r>
      <w:r>
        <w:rPr>
          <w:spacing w:val="-3"/>
          <w:sz w:val="18"/>
          <w:vertAlign w:val="baseline"/>
        </w:rPr>
        <w:t> </w:t>
      </w:r>
      <w:r>
        <w:rPr>
          <w:sz w:val="18"/>
          <w:vertAlign w:val="baseline"/>
        </w:rPr>
        <w:t>Wellbeing</w:t>
      </w:r>
      <w:r>
        <w:rPr>
          <w:spacing w:val="-3"/>
          <w:sz w:val="18"/>
          <w:vertAlign w:val="baseline"/>
        </w:rPr>
        <w:t> </w:t>
      </w:r>
      <w:r>
        <w:rPr>
          <w:sz w:val="18"/>
          <w:vertAlign w:val="baseline"/>
        </w:rPr>
        <w:t>among</w:t>
      </w:r>
      <w:r>
        <w:rPr>
          <w:spacing w:val="-3"/>
          <w:sz w:val="18"/>
          <w:vertAlign w:val="baseline"/>
        </w:rPr>
        <w:t> </w:t>
      </w:r>
      <w:r>
        <w:rPr>
          <w:sz w:val="18"/>
          <w:vertAlign w:val="baseline"/>
        </w:rPr>
        <w:t>Sexual</w:t>
      </w:r>
      <w:r>
        <w:rPr>
          <w:spacing w:val="-5"/>
          <w:sz w:val="18"/>
          <w:vertAlign w:val="baseline"/>
        </w:rPr>
        <w:t> </w:t>
      </w:r>
      <w:r>
        <w:rPr>
          <w:sz w:val="18"/>
          <w:vertAlign w:val="baseline"/>
        </w:rPr>
        <w:t>and</w:t>
      </w:r>
      <w:r>
        <w:rPr>
          <w:spacing w:val="-3"/>
          <w:sz w:val="18"/>
          <w:vertAlign w:val="baseline"/>
        </w:rPr>
        <w:t> </w:t>
      </w:r>
      <w:r>
        <w:rPr>
          <w:sz w:val="18"/>
          <w:vertAlign w:val="baseline"/>
        </w:rPr>
        <w:t>Gender</w:t>
      </w:r>
      <w:r>
        <w:rPr>
          <w:spacing w:val="-4"/>
          <w:sz w:val="18"/>
          <w:vertAlign w:val="baseline"/>
        </w:rPr>
        <w:t> </w:t>
      </w:r>
      <w:r>
        <w:rPr>
          <w:sz w:val="18"/>
          <w:vertAlign w:val="baseline"/>
        </w:rPr>
        <w:t>Minorities</w:t>
      </w:r>
      <w:r>
        <w:rPr>
          <w:spacing w:val="-3"/>
          <w:sz w:val="18"/>
          <w:vertAlign w:val="baseline"/>
        </w:rPr>
        <w:t> </w:t>
      </w:r>
      <w:r>
        <w:rPr>
          <w:sz w:val="18"/>
          <w:vertAlign w:val="baseline"/>
        </w:rPr>
        <w:t>Using</w:t>
      </w:r>
      <w:r>
        <w:rPr>
          <w:spacing w:val="-3"/>
          <w:sz w:val="18"/>
          <w:vertAlign w:val="baseline"/>
        </w:rPr>
        <w:t> </w:t>
      </w:r>
      <w:r>
        <w:rPr>
          <w:sz w:val="18"/>
          <w:vertAlign w:val="baseline"/>
        </w:rPr>
        <w:t>Digital</w:t>
      </w:r>
      <w:r>
        <w:rPr>
          <w:spacing w:val="-4"/>
          <w:sz w:val="18"/>
          <w:vertAlign w:val="baseline"/>
        </w:rPr>
        <w:t> </w:t>
      </w:r>
      <w:r>
        <w:rPr>
          <w:sz w:val="18"/>
          <w:vertAlign w:val="baseline"/>
        </w:rPr>
        <w:t>Interventions:</w:t>
      </w:r>
      <w:r>
        <w:rPr>
          <w:spacing w:val="-3"/>
          <w:sz w:val="18"/>
          <w:vertAlign w:val="baseline"/>
        </w:rPr>
        <w:t> </w:t>
      </w:r>
      <w:r>
        <w:rPr>
          <w:sz w:val="18"/>
          <w:vertAlign w:val="baseline"/>
        </w:rPr>
        <w:t>A</w:t>
      </w:r>
      <w:r>
        <w:rPr>
          <w:spacing w:val="-3"/>
          <w:sz w:val="18"/>
          <w:vertAlign w:val="baseline"/>
        </w:rPr>
        <w:t> </w:t>
      </w:r>
      <w:r>
        <w:rPr>
          <w:sz w:val="18"/>
          <w:vertAlign w:val="baseline"/>
        </w:rPr>
        <w:t>Systematic </w:t>
      </w:r>
      <w:bookmarkStart w:name="_bookmark153" w:id="309"/>
      <w:bookmarkEnd w:id="309"/>
      <w:r>
        <w:rPr>
          <w:sz w:val="18"/>
          <w:vertAlign w:val="baseline"/>
        </w:rPr>
        <w:t>R</w:t>
      </w:r>
      <w:r>
        <w:rPr>
          <w:sz w:val="18"/>
          <w:vertAlign w:val="baseline"/>
        </w:rPr>
        <w:t>eview.” Preprint. PsyArXiv, February 5, 2020. </w:t>
      </w:r>
      <w:hyperlink r:id="rId234">
        <w:r>
          <w:rPr>
            <w:color w:val="1153CC"/>
            <w:sz w:val="18"/>
            <w:u w:val="single" w:color="1153CC"/>
            <w:vertAlign w:val="baseline"/>
          </w:rPr>
          <w:t>https://doi.org/10.31234/osf.io/9wu42</w:t>
        </w:r>
      </w:hyperlink>
      <w:hyperlink r:id="rId234">
        <w:r>
          <w:rPr>
            <w:sz w:val="18"/>
            <w:u w:val="none"/>
            <w:vertAlign w:val="baseline"/>
          </w:rPr>
          <w:t>.</w:t>
        </w:r>
      </w:hyperlink>
    </w:p>
    <w:p>
      <w:pPr>
        <w:spacing w:before="0"/>
        <w:ind w:left="463" w:right="274" w:hanging="1"/>
        <w:jc w:val="both"/>
        <w:rPr>
          <w:sz w:val="18"/>
        </w:rPr>
      </w:pPr>
      <w:r>
        <w:rPr>
          <w:sz w:val="18"/>
          <w:vertAlign w:val="superscript"/>
        </w:rPr>
        <w:t>52</w:t>
      </w:r>
      <w:r>
        <w:rPr>
          <w:spacing w:val="-11"/>
          <w:sz w:val="18"/>
          <w:vertAlign w:val="baseline"/>
        </w:rPr>
        <w:t> </w:t>
      </w:r>
      <w:r>
        <w:rPr>
          <w:sz w:val="18"/>
          <w:vertAlign w:val="baseline"/>
        </w:rPr>
        <w:t>Iacovides,</w:t>
      </w:r>
      <w:r>
        <w:rPr>
          <w:spacing w:val="-6"/>
          <w:sz w:val="18"/>
          <w:vertAlign w:val="baseline"/>
        </w:rPr>
        <w:t> </w:t>
      </w:r>
      <w:r>
        <w:rPr>
          <w:sz w:val="18"/>
          <w:vertAlign w:val="baseline"/>
        </w:rPr>
        <w:t>I.,</w:t>
      </w:r>
      <w:r>
        <w:rPr>
          <w:spacing w:val="-3"/>
          <w:sz w:val="18"/>
          <w:vertAlign w:val="baseline"/>
        </w:rPr>
        <w:t> </w:t>
      </w:r>
      <w:r>
        <w:rPr>
          <w:sz w:val="18"/>
          <w:vertAlign w:val="baseline"/>
        </w:rPr>
        <w:t>Samra,</w:t>
      </w:r>
      <w:r>
        <w:rPr>
          <w:spacing w:val="-3"/>
          <w:sz w:val="18"/>
          <w:vertAlign w:val="baseline"/>
        </w:rPr>
        <w:t> </w:t>
      </w:r>
      <w:r>
        <w:rPr>
          <w:sz w:val="18"/>
          <w:vertAlign w:val="baseline"/>
        </w:rPr>
        <w:t>R.,</w:t>
      </w:r>
      <w:r>
        <w:rPr>
          <w:spacing w:val="-3"/>
          <w:sz w:val="18"/>
          <w:vertAlign w:val="baseline"/>
        </w:rPr>
        <w:t> </w:t>
      </w:r>
      <w:r>
        <w:rPr>
          <w:sz w:val="18"/>
          <w:vertAlign w:val="baseline"/>
        </w:rPr>
        <w:t>Lucassen,</w:t>
      </w:r>
      <w:r>
        <w:rPr>
          <w:spacing w:val="-3"/>
          <w:sz w:val="18"/>
          <w:vertAlign w:val="baseline"/>
        </w:rPr>
        <w:t> </w:t>
      </w:r>
      <w:r>
        <w:rPr>
          <w:sz w:val="18"/>
          <w:vertAlign w:val="baseline"/>
        </w:rPr>
        <w:t>M.,</w:t>
      </w:r>
      <w:r>
        <w:rPr>
          <w:spacing w:val="-3"/>
          <w:sz w:val="18"/>
          <w:vertAlign w:val="baseline"/>
        </w:rPr>
        <w:t> </w:t>
      </w:r>
      <w:r>
        <w:rPr>
          <w:sz w:val="18"/>
          <w:vertAlign w:val="baseline"/>
        </w:rPr>
        <w:t>&amp;</w:t>
      </w:r>
      <w:r>
        <w:rPr>
          <w:spacing w:val="-3"/>
          <w:sz w:val="18"/>
          <w:vertAlign w:val="baseline"/>
        </w:rPr>
        <w:t> </w:t>
      </w:r>
      <w:r>
        <w:rPr>
          <w:sz w:val="18"/>
          <w:vertAlign w:val="baseline"/>
        </w:rPr>
        <w:t>Wallace,</w:t>
      </w:r>
      <w:r>
        <w:rPr>
          <w:spacing w:val="-3"/>
          <w:sz w:val="18"/>
          <w:vertAlign w:val="baseline"/>
        </w:rPr>
        <w:t> </w:t>
      </w:r>
      <w:r>
        <w:rPr>
          <w:sz w:val="18"/>
          <w:vertAlign w:val="baseline"/>
        </w:rPr>
        <w:t>L.</w:t>
      </w:r>
      <w:r>
        <w:rPr>
          <w:spacing w:val="-2"/>
          <w:sz w:val="18"/>
          <w:vertAlign w:val="baseline"/>
        </w:rPr>
        <w:t> </w:t>
      </w:r>
      <w:r>
        <w:rPr>
          <w:sz w:val="18"/>
          <w:vertAlign w:val="baseline"/>
        </w:rPr>
        <w:t>(2017).</w:t>
      </w:r>
      <w:r>
        <w:rPr>
          <w:spacing w:val="-3"/>
          <w:sz w:val="18"/>
          <w:vertAlign w:val="baseline"/>
        </w:rPr>
        <w:t> </w:t>
      </w:r>
      <w:r>
        <w:rPr>
          <w:sz w:val="18"/>
          <w:vertAlign w:val="baseline"/>
        </w:rPr>
        <w:t>Game-based</w:t>
      </w:r>
      <w:r>
        <w:rPr>
          <w:spacing w:val="-2"/>
          <w:sz w:val="18"/>
          <w:vertAlign w:val="baseline"/>
        </w:rPr>
        <w:t> </w:t>
      </w:r>
      <w:r>
        <w:rPr>
          <w:sz w:val="18"/>
          <w:vertAlign w:val="baseline"/>
        </w:rPr>
        <w:t>cognitive</w:t>
      </w:r>
      <w:r>
        <w:rPr>
          <w:spacing w:val="-2"/>
          <w:sz w:val="18"/>
          <w:vertAlign w:val="baseline"/>
        </w:rPr>
        <w:t> </w:t>
      </w:r>
      <w:r>
        <w:rPr>
          <w:sz w:val="18"/>
          <w:vertAlign w:val="baseline"/>
        </w:rPr>
        <w:t>behavioural</w:t>
      </w:r>
      <w:r>
        <w:rPr>
          <w:spacing w:val="-3"/>
          <w:sz w:val="18"/>
          <w:vertAlign w:val="baseline"/>
        </w:rPr>
        <w:t> </w:t>
      </w:r>
      <w:r>
        <w:rPr>
          <w:sz w:val="18"/>
          <w:vertAlign w:val="baseline"/>
        </w:rPr>
        <w:t>therapy</w:t>
      </w:r>
      <w:r>
        <w:rPr>
          <w:spacing w:val="-2"/>
          <w:sz w:val="18"/>
          <w:vertAlign w:val="baseline"/>
        </w:rPr>
        <w:t> </w:t>
      </w:r>
      <w:r>
        <w:rPr>
          <w:sz w:val="18"/>
          <w:vertAlign w:val="baseline"/>
        </w:rPr>
        <w:t>(CBT)</w:t>
      </w:r>
      <w:r>
        <w:rPr>
          <w:spacing w:val="-3"/>
          <w:sz w:val="18"/>
          <w:vertAlign w:val="baseline"/>
        </w:rPr>
        <w:t> </w:t>
      </w:r>
      <w:r>
        <w:rPr>
          <w:sz w:val="18"/>
          <w:vertAlign w:val="baseline"/>
        </w:rPr>
        <w:t>for</w:t>
      </w:r>
      <w:r>
        <w:rPr>
          <w:spacing w:val="-3"/>
          <w:sz w:val="18"/>
          <w:vertAlign w:val="baseline"/>
        </w:rPr>
        <w:t> </w:t>
      </w:r>
      <w:r>
        <w:rPr>
          <w:sz w:val="18"/>
          <w:vertAlign w:val="baseline"/>
        </w:rPr>
        <w:t>sexual</w:t>
      </w:r>
      <w:r>
        <w:rPr>
          <w:spacing w:val="-3"/>
          <w:sz w:val="18"/>
          <w:vertAlign w:val="baseline"/>
        </w:rPr>
        <w:t> </w:t>
      </w:r>
      <w:r>
        <w:rPr>
          <w:sz w:val="18"/>
          <w:vertAlign w:val="baseline"/>
        </w:rPr>
        <w:t>minority youth: Rainbow SPARX in the UK. Chi Play.</w:t>
      </w:r>
    </w:p>
    <w:p>
      <w:pPr>
        <w:spacing w:before="0"/>
        <w:ind w:left="463" w:right="279" w:hanging="1"/>
        <w:jc w:val="left"/>
        <w:rPr>
          <w:sz w:val="18"/>
        </w:rPr>
      </w:pPr>
      <w:r>
        <w:rPr>
          <w:sz w:val="18"/>
          <w:vertAlign w:val="superscript"/>
        </w:rPr>
        <w:t>53</w:t>
      </w:r>
      <w:r>
        <w:rPr>
          <w:spacing w:val="-10"/>
          <w:sz w:val="18"/>
          <w:vertAlign w:val="baseline"/>
        </w:rPr>
        <w:t> </w:t>
      </w:r>
      <w:r>
        <w:rPr>
          <w:sz w:val="18"/>
          <w:vertAlign w:val="baseline"/>
        </w:rPr>
        <w:t>Craig, Shelley L., Gio Iacono, Ashley Austin, Andrew D. Eaton, Nelson Pang, Vivian W. Y. Leung, and Cressida J. Frey. “The Role</w:t>
      </w:r>
      <w:r>
        <w:rPr>
          <w:spacing w:val="40"/>
          <w:sz w:val="18"/>
          <w:vertAlign w:val="baseline"/>
        </w:rPr>
        <w:t> </w:t>
      </w:r>
      <w:r>
        <w:rPr>
          <w:sz w:val="18"/>
          <w:vertAlign w:val="baseline"/>
        </w:rPr>
        <w:t>of</w:t>
      </w:r>
      <w:r>
        <w:rPr>
          <w:spacing w:val="-3"/>
          <w:sz w:val="18"/>
          <w:vertAlign w:val="baseline"/>
        </w:rPr>
        <w:t> </w:t>
      </w:r>
      <w:r>
        <w:rPr>
          <w:sz w:val="18"/>
          <w:vertAlign w:val="baseline"/>
        </w:rPr>
        <w:t>Facilitator</w:t>
      </w:r>
      <w:r>
        <w:rPr>
          <w:spacing w:val="-4"/>
          <w:sz w:val="18"/>
          <w:vertAlign w:val="baseline"/>
        </w:rPr>
        <w:t> </w:t>
      </w:r>
      <w:r>
        <w:rPr>
          <w:sz w:val="18"/>
          <w:vertAlign w:val="baseline"/>
        </w:rPr>
        <w:t>Training</w:t>
      </w:r>
      <w:r>
        <w:rPr>
          <w:spacing w:val="-3"/>
          <w:sz w:val="18"/>
          <w:vertAlign w:val="baseline"/>
        </w:rPr>
        <w:t> </w:t>
      </w:r>
      <w:r>
        <w:rPr>
          <w:sz w:val="18"/>
          <w:vertAlign w:val="baseline"/>
        </w:rPr>
        <w:t>in</w:t>
      </w:r>
      <w:r>
        <w:rPr>
          <w:spacing w:val="-3"/>
          <w:sz w:val="18"/>
          <w:vertAlign w:val="baseline"/>
        </w:rPr>
        <w:t> </w:t>
      </w:r>
      <w:r>
        <w:rPr>
          <w:sz w:val="18"/>
          <w:vertAlign w:val="baseline"/>
        </w:rPr>
        <w:t>Intervention</w:t>
      </w:r>
      <w:r>
        <w:rPr>
          <w:spacing w:val="-3"/>
          <w:sz w:val="18"/>
          <w:vertAlign w:val="baseline"/>
        </w:rPr>
        <w:t> </w:t>
      </w:r>
      <w:r>
        <w:rPr>
          <w:sz w:val="18"/>
          <w:vertAlign w:val="baseline"/>
        </w:rPr>
        <w:t>Delivery:</w:t>
      </w:r>
      <w:r>
        <w:rPr>
          <w:spacing w:val="-3"/>
          <w:sz w:val="18"/>
          <w:vertAlign w:val="baseline"/>
        </w:rPr>
        <w:t> </w:t>
      </w:r>
      <w:r>
        <w:rPr>
          <w:sz w:val="18"/>
          <w:vertAlign w:val="baseline"/>
        </w:rPr>
        <w:t>Preparing</w:t>
      </w:r>
      <w:r>
        <w:rPr>
          <w:spacing w:val="-3"/>
          <w:sz w:val="18"/>
          <w:vertAlign w:val="baseline"/>
        </w:rPr>
        <w:t> </w:t>
      </w:r>
      <w:r>
        <w:rPr>
          <w:sz w:val="18"/>
          <w:vertAlign w:val="baseline"/>
        </w:rPr>
        <w:t>Clinicians</w:t>
      </w:r>
      <w:r>
        <w:rPr>
          <w:spacing w:val="-3"/>
          <w:sz w:val="18"/>
          <w:vertAlign w:val="baseline"/>
        </w:rPr>
        <w:t> </w:t>
      </w:r>
      <w:r>
        <w:rPr>
          <w:sz w:val="18"/>
          <w:vertAlign w:val="baseline"/>
        </w:rPr>
        <w:t>to</w:t>
      </w:r>
      <w:r>
        <w:rPr>
          <w:spacing w:val="-3"/>
          <w:sz w:val="18"/>
          <w:vertAlign w:val="baseline"/>
        </w:rPr>
        <w:t> </w:t>
      </w:r>
      <w:r>
        <w:rPr>
          <w:sz w:val="18"/>
          <w:vertAlign w:val="baseline"/>
        </w:rPr>
        <w:t>Deliver</w:t>
      </w:r>
      <w:r>
        <w:rPr>
          <w:spacing w:val="-4"/>
          <w:sz w:val="18"/>
          <w:vertAlign w:val="baseline"/>
        </w:rPr>
        <w:t> </w:t>
      </w:r>
      <w:r>
        <w:rPr>
          <w:sz w:val="18"/>
          <w:vertAlign w:val="baseline"/>
        </w:rPr>
        <w:t>AFFIRMative</w:t>
      </w:r>
      <w:r>
        <w:rPr>
          <w:spacing w:val="-3"/>
          <w:sz w:val="18"/>
          <w:vertAlign w:val="baseline"/>
        </w:rPr>
        <w:t> </w:t>
      </w:r>
      <w:r>
        <w:rPr>
          <w:sz w:val="18"/>
          <w:vertAlign w:val="baseline"/>
        </w:rPr>
        <w:t>Group</w:t>
      </w:r>
      <w:r>
        <w:rPr>
          <w:spacing w:val="-3"/>
          <w:sz w:val="18"/>
          <w:vertAlign w:val="baseline"/>
        </w:rPr>
        <w:t> </w:t>
      </w:r>
      <w:r>
        <w:rPr>
          <w:sz w:val="18"/>
          <w:vertAlign w:val="baseline"/>
        </w:rPr>
        <w:t>Cognitive</w:t>
      </w:r>
      <w:r>
        <w:rPr>
          <w:spacing w:val="-3"/>
          <w:sz w:val="18"/>
          <w:vertAlign w:val="baseline"/>
        </w:rPr>
        <w:t> </w:t>
      </w:r>
      <w:r>
        <w:rPr>
          <w:sz w:val="18"/>
          <w:vertAlign w:val="baseline"/>
        </w:rPr>
        <w:t>Behavioral</w:t>
      </w:r>
      <w:r>
        <w:rPr>
          <w:spacing w:val="-4"/>
          <w:sz w:val="18"/>
          <w:vertAlign w:val="baseline"/>
        </w:rPr>
        <w:t> </w:t>
      </w:r>
      <w:r>
        <w:rPr>
          <w:sz w:val="18"/>
          <w:vertAlign w:val="baseline"/>
        </w:rPr>
        <w:t>Therapy</w:t>
      </w:r>
      <w:r>
        <w:rPr>
          <w:spacing w:val="-3"/>
          <w:sz w:val="18"/>
          <w:vertAlign w:val="baseline"/>
        </w:rPr>
        <w:t> </w:t>
      </w:r>
      <w:r>
        <w:rPr>
          <w:sz w:val="18"/>
          <w:vertAlign w:val="baseline"/>
        </w:rPr>
        <w:t>to Sexual and Gender Minority Youth.” </w:t>
      </w:r>
      <w:r>
        <w:rPr>
          <w:i/>
          <w:sz w:val="18"/>
          <w:vertAlign w:val="baseline"/>
        </w:rPr>
        <w:t>Journal of Gay &amp; Lesbian Social Services </w:t>
      </w:r>
      <w:r>
        <w:rPr>
          <w:sz w:val="18"/>
          <w:vertAlign w:val="baseline"/>
        </w:rPr>
        <w:t>33, no. 1 (January 2, 2021): 56–77. </w:t>
      </w:r>
      <w:hyperlink r:id="rId235">
        <w:r>
          <w:rPr>
            <w:color w:val="1153CC"/>
            <w:spacing w:val="-2"/>
            <w:sz w:val="18"/>
            <w:u w:val="single" w:color="1153CC"/>
            <w:vertAlign w:val="baseline"/>
          </w:rPr>
          <w:t>https://doi.org/10.1080/10538720.2020.1836704</w:t>
        </w:r>
      </w:hyperlink>
      <w:hyperlink r:id="rId235">
        <w:r>
          <w:rPr>
            <w:spacing w:val="-2"/>
            <w:sz w:val="18"/>
            <w:u w:val="none"/>
            <w:vertAlign w:val="baseline"/>
          </w:rPr>
          <w:t>.</w:t>
        </w:r>
      </w:hyperlink>
    </w:p>
    <w:p>
      <w:pPr>
        <w:spacing w:before="0"/>
        <w:ind w:left="463" w:right="528" w:hanging="1"/>
        <w:jc w:val="left"/>
        <w:rPr>
          <w:sz w:val="18"/>
        </w:rPr>
      </w:pPr>
      <w:bookmarkStart w:name="_bookmark154" w:id="310"/>
      <w:bookmarkEnd w:id="310"/>
      <w:r>
        <w:rPr/>
      </w:r>
      <w:r>
        <w:rPr>
          <w:sz w:val="18"/>
          <w:vertAlign w:val="superscript"/>
        </w:rPr>
        <w:t>54</w:t>
      </w:r>
      <w:r>
        <w:rPr>
          <w:spacing w:val="-13"/>
          <w:sz w:val="18"/>
          <w:vertAlign w:val="baseline"/>
        </w:rPr>
        <w:t> </w:t>
      </w:r>
      <w:r>
        <w:rPr>
          <w:sz w:val="18"/>
          <w:vertAlign w:val="baseline"/>
        </w:rPr>
        <w:t>Iacono, Gio, Shelley L. Craig, Rachael Crowder, David J. Brennan, and Emily K. Loveland. “A Qualitative Study of the LGBTQ+ Youth</w:t>
      </w:r>
      <w:r>
        <w:rPr>
          <w:spacing w:val="-2"/>
          <w:sz w:val="18"/>
          <w:vertAlign w:val="baseline"/>
        </w:rPr>
        <w:t> </w:t>
      </w:r>
      <w:r>
        <w:rPr>
          <w:sz w:val="18"/>
          <w:vertAlign w:val="baseline"/>
        </w:rPr>
        <w:t>Affirmative</w:t>
      </w:r>
      <w:r>
        <w:rPr>
          <w:spacing w:val="-2"/>
          <w:sz w:val="18"/>
          <w:vertAlign w:val="baseline"/>
        </w:rPr>
        <w:t> </w:t>
      </w:r>
      <w:r>
        <w:rPr>
          <w:sz w:val="18"/>
          <w:vertAlign w:val="baseline"/>
        </w:rPr>
        <w:t>Mindfulness</w:t>
      </w:r>
      <w:r>
        <w:rPr>
          <w:spacing w:val="-3"/>
          <w:sz w:val="18"/>
          <w:vertAlign w:val="baseline"/>
        </w:rPr>
        <w:t> </w:t>
      </w:r>
      <w:r>
        <w:rPr>
          <w:sz w:val="18"/>
          <w:vertAlign w:val="baseline"/>
        </w:rPr>
        <w:t>Program</w:t>
      </w:r>
      <w:r>
        <w:rPr>
          <w:spacing w:val="-2"/>
          <w:sz w:val="18"/>
          <w:vertAlign w:val="baseline"/>
        </w:rPr>
        <w:t> </w:t>
      </w:r>
      <w:r>
        <w:rPr>
          <w:sz w:val="18"/>
          <w:vertAlign w:val="baseline"/>
        </w:rPr>
        <w:t>for</w:t>
      </w:r>
      <w:r>
        <w:rPr>
          <w:spacing w:val="-3"/>
          <w:sz w:val="18"/>
          <w:vertAlign w:val="baseline"/>
        </w:rPr>
        <w:t> </w:t>
      </w:r>
      <w:r>
        <w:rPr>
          <w:sz w:val="18"/>
          <w:vertAlign w:val="baseline"/>
        </w:rPr>
        <w:t>Sexual</w:t>
      </w:r>
      <w:r>
        <w:rPr>
          <w:spacing w:val="-3"/>
          <w:sz w:val="18"/>
          <w:vertAlign w:val="baseline"/>
        </w:rPr>
        <w:t> </w:t>
      </w:r>
      <w:r>
        <w:rPr>
          <w:sz w:val="18"/>
          <w:vertAlign w:val="baseline"/>
        </w:rPr>
        <w:t>and</w:t>
      </w:r>
      <w:r>
        <w:rPr>
          <w:spacing w:val="-2"/>
          <w:sz w:val="18"/>
          <w:vertAlign w:val="baseline"/>
        </w:rPr>
        <w:t> </w:t>
      </w:r>
      <w:r>
        <w:rPr>
          <w:sz w:val="18"/>
          <w:vertAlign w:val="baseline"/>
        </w:rPr>
        <w:t>Gender</w:t>
      </w:r>
      <w:r>
        <w:rPr>
          <w:spacing w:val="-3"/>
          <w:sz w:val="18"/>
          <w:vertAlign w:val="baseline"/>
        </w:rPr>
        <w:t> </w:t>
      </w:r>
      <w:r>
        <w:rPr>
          <w:sz w:val="18"/>
          <w:vertAlign w:val="baseline"/>
        </w:rPr>
        <w:t>Minority</w:t>
      </w:r>
      <w:r>
        <w:rPr>
          <w:spacing w:val="-2"/>
          <w:sz w:val="18"/>
          <w:vertAlign w:val="baseline"/>
        </w:rPr>
        <w:t> </w:t>
      </w:r>
      <w:r>
        <w:rPr>
          <w:sz w:val="18"/>
          <w:vertAlign w:val="baseline"/>
        </w:rPr>
        <w:t>Youth.”</w:t>
      </w:r>
      <w:r>
        <w:rPr>
          <w:spacing w:val="-2"/>
          <w:sz w:val="18"/>
          <w:vertAlign w:val="baseline"/>
        </w:rPr>
        <w:t> </w:t>
      </w:r>
      <w:r>
        <w:rPr>
          <w:i/>
          <w:sz w:val="18"/>
          <w:vertAlign w:val="baseline"/>
        </w:rPr>
        <w:t>Mindfulness</w:t>
      </w:r>
      <w:r>
        <w:rPr>
          <w:i/>
          <w:spacing w:val="-3"/>
          <w:sz w:val="18"/>
          <w:vertAlign w:val="baseline"/>
        </w:rPr>
        <w:t> </w:t>
      </w:r>
      <w:r>
        <w:rPr>
          <w:sz w:val="18"/>
          <w:vertAlign w:val="baseline"/>
        </w:rPr>
        <w:t>13,</w:t>
      </w:r>
      <w:r>
        <w:rPr>
          <w:spacing w:val="-3"/>
          <w:sz w:val="18"/>
          <w:vertAlign w:val="baseline"/>
        </w:rPr>
        <w:t> </w:t>
      </w:r>
      <w:r>
        <w:rPr>
          <w:sz w:val="18"/>
          <w:vertAlign w:val="baseline"/>
        </w:rPr>
        <w:t>no.</w:t>
      </w:r>
      <w:r>
        <w:rPr>
          <w:spacing w:val="-2"/>
          <w:sz w:val="18"/>
          <w:vertAlign w:val="baseline"/>
        </w:rPr>
        <w:t> </w:t>
      </w:r>
      <w:r>
        <w:rPr>
          <w:sz w:val="18"/>
          <w:vertAlign w:val="baseline"/>
        </w:rPr>
        <w:t>1</w:t>
      </w:r>
      <w:r>
        <w:rPr>
          <w:spacing w:val="-2"/>
          <w:sz w:val="18"/>
          <w:vertAlign w:val="baseline"/>
        </w:rPr>
        <w:t> </w:t>
      </w:r>
      <w:r>
        <w:rPr>
          <w:sz w:val="18"/>
          <w:vertAlign w:val="baseline"/>
        </w:rPr>
        <w:t>(January</w:t>
      </w:r>
      <w:r>
        <w:rPr>
          <w:spacing w:val="-2"/>
          <w:sz w:val="18"/>
          <w:vertAlign w:val="baseline"/>
        </w:rPr>
        <w:t> </w:t>
      </w:r>
      <w:r>
        <w:rPr>
          <w:sz w:val="18"/>
          <w:vertAlign w:val="baseline"/>
        </w:rPr>
        <w:t>1,</w:t>
      </w:r>
      <w:r>
        <w:rPr>
          <w:spacing w:val="-3"/>
          <w:sz w:val="18"/>
          <w:vertAlign w:val="baseline"/>
        </w:rPr>
        <w:t> </w:t>
      </w:r>
      <w:r>
        <w:rPr>
          <w:sz w:val="18"/>
          <w:vertAlign w:val="baseline"/>
        </w:rPr>
        <w:t>2022):</w:t>
      </w:r>
      <w:r>
        <w:rPr>
          <w:spacing w:val="-2"/>
          <w:sz w:val="18"/>
          <w:vertAlign w:val="baseline"/>
        </w:rPr>
        <w:t> </w:t>
      </w:r>
      <w:r>
        <w:rPr>
          <w:sz w:val="18"/>
          <w:vertAlign w:val="baseline"/>
        </w:rPr>
        <w:t>222–</w:t>
      </w:r>
    </w:p>
    <w:p>
      <w:pPr>
        <w:spacing w:before="0"/>
        <w:ind w:left="463" w:right="0" w:firstLine="0"/>
        <w:jc w:val="left"/>
        <w:rPr>
          <w:sz w:val="18"/>
        </w:rPr>
      </w:pPr>
      <w:r>
        <w:rPr>
          <w:spacing w:val="-2"/>
          <w:sz w:val="18"/>
        </w:rPr>
        <w:t>37.</w:t>
      </w:r>
      <w:r>
        <w:rPr>
          <w:spacing w:val="57"/>
          <w:sz w:val="18"/>
        </w:rPr>
        <w:t> </w:t>
      </w:r>
      <w:hyperlink r:id="rId236">
        <w:r>
          <w:rPr>
            <w:color w:val="1153CC"/>
            <w:spacing w:val="-2"/>
            <w:sz w:val="18"/>
            <w:u w:val="single" w:color="1153CC"/>
          </w:rPr>
          <w:t>https://doi.org/10.1007/s12671-021-01787-</w:t>
        </w:r>
        <w:r>
          <w:rPr>
            <w:color w:val="1153CC"/>
            <w:spacing w:val="-5"/>
            <w:sz w:val="18"/>
            <w:u w:val="single" w:color="1153CC"/>
          </w:rPr>
          <w:t>2</w:t>
        </w:r>
      </w:hyperlink>
      <w:hyperlink r:id="rId236">
        <w:r>
          <w:rPr>
            <w:spacing w:val="-5"/>
            <w:sz w:val="18"/>
            <w:u w:val="none"/>
          </w:rPr>
          <w:t>.</w:t>
        </w:r>
      </w:hyperlink>
    </w:p>
    <w:p>
      <w:pPr>
        <w:spacing w:before="0"/>
        <w:ind w:left="463" w:right="0" w:hanging="1"/>
        <w:jc w:val="left"/>
        <w:rPr>
          <w:sz w:val="18"/>
        </w:rPr>
      </w:pPr>
      <w:bookmarkStart w:name="_bookmark155" w:id="311"/>
      <w:bookmarkEnd w:id="311"/>
      <w:r>
        <w:rPr/>
      </w:r>
      <w:r>
        <w:rPr>
          <w:sz w:val="18"/>
          <w:vertAlign w:val="superscript"/>
        </w:rPr>
        <w:t>55</w:t>
      </w:r>
      <w:r>
        <w:rPr>
          <w:spacing w:val="-13"/>
          <w:sz w:val="18"/>
          <w:vertAlign w:val="baseline"/>
        </w:rPr>
        <w:t> </w:t>
      </w:r>
      <w:r>
        <w:rPr>
          <w:sz w:val="18"/>
          <w:vertAlign w:val="baseline"/>
        </w:rPr>
        <w:t>Rottnek,</w:t>
      </w:r>
      <w:r>
        <w:rPr>
          <w:spacing w:val="-5"/>
          <w:sz w:val="18"/>
          <w:vertAlign w:val="baseline"/>
        </w:rPr>
        <w:t> </w:t>
      </w:r>
      <w:r>
        <w:rPr>
          <w:sz w:val="18"/>
          <w:vertAlign w:val="baseline"/>
        </w:rPr>
        <w:t>James</w:t>
      </w:r>
      <w:r>
        <w:rPr>
          <w:spacing w:val="-3"/>
          <w:sz w:val="18"/>
          <w:vertAlign w:val="baseline"/>
        </w:rPr>
        <w:t> </w:t>
      </w:r>
      <w:r>
        <w:rPr>
          <w:sz w:val="18"/>
          <w:vertAlign w:val="baseline"/>
        </w:rPr>
        <w:t>P.</w:t>
      </w:r>
      <w:r>
        <w:rPr>
          <w:spacing w:val="-3"/>
          <w:sz w:val="18"/>
          <w:vertAlign w:val="baseline"/>
        </w:rPr>
        <w:t> </w:t>
      </w:r>
      <w:r>
        <w:rPr>
          <w:sz w:val="18"/>
          <w:vertAlign w:val="baseline"/>
        </w:rPr>
        <w:t>“Affirming</w:t>
      </w:r>
      <w:r>
        <w:rPr>
          <w:spacing w:val="-3"/>
          <w:sz w:val="18"/>
          <w:vertAlign w:val="baseline"/>
        </w:rPr>
        <w:t> </w:t>
      </w:r>
      <w:r>
        <w:rPr>
          <w:sz w:val="18"/>
          <w:vertAlign w:val="baseline"/>
        </w:rPr>
        <w:t>Solutions:</w:t>
      </w:r>
      <w:r>
        <w:rPr>
          <w:spacing w:val="-3"/>
          <w:sz w:val="18"/>
          <w:vertAlign w:val="baseline"/>
        </w:rPr>
        <w:t> </w:t>
      </w:r>
      <w:r>
        <w:rPr>
          <w:sz w:val="18"/>
          <w:vertAlign w:val="baseline"/>
        </w:rPr>
        <w:t>Using</w:t>
      </w:r>
      <w:r>
        <w:rPr>
          <w:spacing w:val="-3"/>
          <w:sz w:val="18"/>
          <w:vertAlign w:val="baseline"/>
        </w:rPr>
        <w:t> </w:t>
      </w:r>
      <w:r>
        <w:rPr>
          <w:sz w:val="18"/>
          <w:vertAlign w:val="baseline"/>
        </w:rPr>
        <w:t>Solution-Focused</w:t>
      </w:r>
      <w:r>
        <w:rPr>
          <w:spacing w:val="-3"/>
          <w:sz w:val="18"/>
          <w:vertAlign w:val="baseline"/>
        </w:rPr>
        <w:t> </w:t>
      </w:r>
      <w:r>
        <w:rPr>
          <w:sz w:val="18"/>
          <w:vertAlign w:val="baseline"/>
        </w:rPr>
        <w:t>Brief</w:t>
      </w:r>
      <w:r>
        <w:rPr>
          <w:spacing w:val="-3"/>
          <w:sz w:val="18"/>
          <w:vertAlign w:val="baseline"/>
        </w:rPr>
        <w:t> </w:t>
      </w:r>
      <w:r>
        <w:rPr>
          <w:sz w:val="18"/>
          <w:vertAlign w:val="baseline"/>
        </w:rPr>
        <w:t>Therapy</w:t>
      </w:r>
      <w:r>
        <w:rPr>
          <w:spacing w:val="-3"/>
          <w:sz w:val="18"/>
          <w:vertAlign w:val="baseline"/>
        </w:rPr>
        <w:t> </w:t>
      </w:r>
      <w:r>
        <w:rPr>
          <w:sz w:val="18"/>
          <w:vertAlign w:val="baseline"/>
        </w:rPr>
        <w:t>With</w:t>
      </w:r>
      <w:r>
        <w:rPr>
          <w:spacing w:val="-3"/>
          <w:sz w:val="18"/>
          <w:vertAlign w:val="baseline"/>
        </w:rPr>
        <w:t> </w:t>
      </w:r>
      <w:r>
        <w:rPr>
          <w:sz w:val="18"/>
          <w:vertAlign w:val="baseline"/>
        </w:rPr>
        <w:t>Transgender,</w:t>
      </w:r>
      <w:r>
        <w:rPr>
          <w:spacing w:val="-4"/>
          <w:sz w:val="18"/>
          <w:vertAlign w:val="baseline"/>
        </w:rPr>
        <w:t> </w:t>
      </w:r>
      <w:r>
        <w:rPr>
          <w:sz w:val="18"/>
          <w:vertAlign w:val="baseline"/>
        </w:rPr>
        <w:t>Gender</w:t>
      </w:r>
      <w:r>
        <w:rPr>
          <w:spacing w:val="-4"/>
          <w:sz w:val="18"/>
          <w:vertAlign w:val="baseline"/>
        </w:rPr>
        <w:t> </w:t>
      </w:r>
      <w:r>
        <w:rPr>
          <w:sz w:val="18"/>
          <w:vertAlign w:val="baseline"/>
        </w:rPr>
        <w:t>Nonconforming,</w:t>
      </w:r>
      <w:r>
        <w:rPr>
          <w:spacing w:val="-4"/>
          <w:sz w:val="18"/>
          <w:vertAlign w:val="baseline"/>
        </w:rPr>
        <w:t> </w:t>
      </w:r>
      <w:r>
        <w:rPr>
          <w:sz w:val="18"/>
          <w:vertAlign w:val="baseline"/>
        </w:rPr>
        <w:t>and Gender Questioning Youth.” </w:t>
      </w:r>
      <w:r>
        <w:rPr>
          <w:i/>
          <w:sz w:val="18"/>
          <w:vertAlign w:val="baseline"/>
        </w:rPr>
        <w:t>Journal of Systemic Therapies </w:t>
      </w:r>
      <w:r>
        <w:rPr>
          <w:sz w:val="18"/>
          <w:vertAlign w:val="baseline"/>
        </w:rPr>
        <w:t>39, no. 4 (December 2020): 13–28. </w:t>
      </w:r>
      <w:hyperlink r:id="rId237">
        <w:r>
          <w:rPr>
            <w:color w:val="1153CC"/>
            <w:spacing w:val="-2"/>
            <w:sz w:val="18"/>
            <w:u w:val="single" w:color="1153CC"/>
            <w:vertAlign w:val="baseline"/>
          </w:rPr>
          <w:t>https://doi.org/10.1521/jsyt.2020.39.4.13</w:t>
        </w:r>
      </w:hyperlink>
      <w:hyperlink r:id="rId237">
        <w:r>
          <w:rPr>
            <w:spacing w:val="-2"/>
            <w:sz w:val="18"/>
            <w:u w:val="none"/>
            <w:vertAlign w:val="baseline"/>
          </w:rPr>
          <w:t>.</w:t>
        </w:r>
      </w:hyperlink>
    </w:p>
    <w:p>
      <w:pPr>
        <w:spacing w:before="0"/>
        <w:ind w:left="463" w:right="314" w:hanging="1"/>
        <w:jc w:val="left"/>
        <w:rPr>
          <w:sz w:val="18"/>
        </w:rPr>
      </w:pPr>
      <w:bookmarkStart w:name="_bookmark156" w:id="312"/>
      <w:bookmarkEnd w:id="312"/>
      <w:r>
        <w:rPr/>
      </w:r>
      <w:r>
        <w:rPr>
          <w:sz w:val="18"/>
          <w:vertAlign w:val="superscript"/>
        </w:rPr>
        <w:t>56</w:t>
      </w:r>
      <w:r>
        <w:rPr>
          <w:spacing w:val="-8"/>
          <w:sz w:val="18"/>
          <w:vertAlign w:val="baseline"/>
        </w:rPr>
        <w:t> </w:t>
      </w:r>
      <w:r>
        <w:rPr>
          <w:sz w:val="18"/>
          <w:vertAlign w:val="baseline"/>
        </w:rPr>
        <w:t>Westmacott, Robin, and Christopher Edmondstone. “Working with Transgender and Gender Diverse Clients in Emotion Focused</w:t>
      </w:r>
      <w:r>
        <w:rPr>
          <w:spacing w:val="-3"/>
          <w:sz w:val="18"/>
          <w:vertAlign w:val="baseline"/>
        </w:rPr>
        <w:t> </w:t>
      </w:r>
      <w:r>
        <w:rPr>
          <w:sz w:val="18"/>
          <w:vertAlign w:val="baseline"/>
        </w:rPr>
        <w:t>Therapy:</w:t>
      </w:r>
      <w:r>
        <w:rPr>
          <w:spacing w:val="-3"/>
          <w:sz w:val="18"/>
          <w:vertAlign w:val="baseline"/>
        </w:rPr>
        <w:t> </w:t>
      </w:r>
      <w:r>
        <w:rPr>
          <w:sz w:val="18"/>
          <w:vertAlign w:val="baseline"/>
        </w:rPr>
        <w:t>Targeting</w:t>
      </w:r>
      <w:r>
        <w:rPr>
          <w:spacing w:val="-3"/>
          <w:sz w:val="18"/>
          <w:vertAlign w:val="baseline"/>
        </w:rPr>
        <w:t> </w:t>
      </w:r>
      <w:r>
        <w:rPr>
          <w:sz w:val="18"/>
          <w:vertAlign w:val="baseline"/>
        </w:rPr>
        <w:t>Minority</w:t>
      </w:r>
      <w:r>
        <w:rPr>
          <w:spacing w:val="-3"/>
          <w:sz w:val="18"/>
          <w:vertAlign w:val="baseline"/>
        </w:rPr>
        <w:t> </w:t>
      </w:r>
      <w:r>
        <w:rPr>
          <w:sz w:val="18"/>
          <w:vertAlign w:val="baseline"/>
        </w:rPr>
        <w:t>Stress.”</w:t>
      </w:r>
      <w:r>
        <w:rPr>
          <w:spacing w:val="-3"/>
          <w:sz w:val="18"/>
          <w:vertAlign w:val="baseline"/>
        </w:rPr>
        <w:t> </w:t>
      </w:r>
      <w:r>
        <w:rPr>
          <w:i/>
          <w:sz w:val="18"/>
          <w:vertAlign w:val="baseline"/>
        </w:rPr>
        <w:t>Person-Centered</w:t>
      </w:r>
      <w:r>
        <w:rPr>
          <w:i/>
          <w:spacing w:val="-3"/>
          <w:sz w:val="18"/>
          <w:vertAlign w:val="baseline"/>
        </w:rPr>
        <w:t> </w:t>
      </w:r>
      <w:r>
        <w:rPr>
          <w:i/>
          <w:sz w:val="18"/>
          <w:vertAlign w:val="baseline"/>
        </w:rPr>
        <w:t>&amp;</w:t>
      </w:r>
      <w:r>
        <w:rPr>
          <w:i/>
          <w:spacing w:val="-3"/>
          <w:sz w:val="18"/>
          <w:vertAlign w:val="baseline"/>
        </w:rPr>
        <w:t> </w:t>
      </w:r>
      <w:r>
        <w:rPr>
          <w:i/>
          <w:sz w:val="18"/>
          <w:vertAlign w:val="baseline"/>
        </w:rPr>
        <w:t>Experiential</w:t>
      </w:r>
      <w:r>
        <w:rPr>
          <w:i/>
          <w:spacing w:val="-3"/>
          <w:sz w:val="18"/>
          <w:vertAlign w:val="baseline"/>
        </w:rPr>
        <w:t> </w:t>
      </w:r>
      <w:r>
        <w:rPr>
          <w:i/>
          <w:sz w:val="18"/>
          <w:vertAlign w:val="baseline"/>
        </w:rPr>
        <w:t>Psychotherapies</w:t>
      </w:r>
      <w:r>
        <w:rPr>
          <w:i/>
          <w:spacing w:val="-3"/>
          <w:sz w:val="18"/>
          <w:vertAlign w:val="baseline"/>
        </w:rPr>
        <w:t> </w:t>
      </w:r>
      <w:r>
        <w:rPr>
          <w:sz w:val="18"/>
          <w:vertAlign w:val="baseline"/>
        </w:rPr>
        <w:t>19,</w:t>
      </w:r>
      <w:r>
        <w:rPr>
          <w:spacing w:val="-3"/>
          <w:sz w:val="18"/>
          <w:vertAlign w:val="baseline"/>
        </w:rPr>
        <w:t> </w:t>
      </w:r>
      <w:r>
        <w:rPr>
          <w:sz w:val="18"/>
          <w:vertAlign w:val="baseline"/>
        </w:rPr>
        <w:t>no.</w:t>
      </w:r>
      <w:r>
        <w:rPr>
          <w:spacing w:val="-3"/>
          <w:sz w:val="18"/>
          <w:vertAlign w:val="baseline"/>
        </w:rPr>
        <w:t> </w:t>
      </w:r>
      <w:r>
        <w:rPr>
          <w:sz w:val="18"/>
          <w:vertAlign w:val="baseline"/>
        </w:rPr>
        <w:t>4</w:t>
      </w:r>
      <w:r>
        <w:rPr>
          <w:spacing w:val="-3"/>
          <w:sz w:val="18"/>
          <w:vertAlign w:val="baseline"/>
        </w:rPr>
        <w:t> </w:t>
      </w:r>
      <w:r>
        <w:rPr>
          <w:sz w:val="18"/>
          <w:vertAlign w:val="baseline"/>
        </w:rPr>
        <w:t>(October</w:t>
      </w:r>
      <w:r>
        <w:rPr>
          <w:spacing w:val="-3"/>
          <w:sz w:val="18"/>
          <w:vertAlign w:val="baseline"/>
        </w:rPr>
        <w:t> </w:t>
      </w:r>
      <w:r>
        <w:rPr>
          <w:sz w:val="18"/>
          <w:vertAlign w:val="baseline"/>
        </w:rPr>
        <w:t>1,</w:t>
      </w:r>
      <w:r>
        <w:rPr>
          <w:spacing w:val="-3"/>
          <w:sz w:val="18"/>
          <w:vertAlign w:val="baseline"/>
        </w:rPr>
        <w:t> </w:t>
      </w:r>
      <w:r>
        <w:rPr>
          <w:sz w:val="18"/>
          <w:vertAlign w:val="baseline"/>
        </w:rPr>
        <w:t>2020):</w:t>
      </w:r>
      <w:r>
        <w:rPr>
          <w:spacing w:val="-3"/>
          <w:sz w:val="18"/>
          <w:vertAlign w:val="baseline"/>
        </w:rPr>
        <w:t> </w:t>
      </w:r>
      <w:r>
        <w:rPr>
          <w:sz w:val="18"/>
          <w:vertAlign w:val="baseline"/>
        </w:rPr>
        <w:t>331–</w:t>
      </w:r>
    </w:p>
    <w:p>
      <w:pPr>
        <w:spacing w:line="219" w:lineRule="exact" w:before="0"/>
        <w:ind w:left="463" w:right="0" w:firstLine="0"/>
        <w:jc w:val="left"/>
        <w:rPr>
          <w:sz w:val="18"/>
        </w:rPr>
      </w:pPr>
      <w:r>
        <w:rPr>
          <w:sz w:val="18"/>
        </w:rPr>
        <w:t>49.</w:t>
      </w:r>
      <w:r>
        <w:rPr>
          <w:spacing w:val="-2"/>
          <w:sz w:val="18"/>
        </w:rPr>
        <w:t> </w:t>
      </w:r>
      <w:hyperlink r:id="rId238">
        <w:r>
          <w:rPr>
            <w:color w:val="1153CC"/>
            <w:spacing w:val="-2"/>
            <w:sz w:val="18"/>
            <w:u w:val="single" w:color="1153CC"/>
          </w:rPr>
          <w:t>https://doi.org/10.1080/14779757.2020.1717986</w:t>
        </w:r>
      </w:hyperlink>
      <w:hyperlink r:id="rId238">
        <w:r>
          <w:rPr>
            <w:spacing w:val="-2"/>
            <w:sz w:val="18"/>
            <w:u w:val="none"/>
          </w:rPr>
          <w:t>.</w:t>
        </w:r>
      </w:hyperlink>
    </w:p>
    <w:p>
      <w:pPr>
        <w:spacing w:before="0"/>
        <w:ind w:left="463" w:right="314" w:hanging="1"/>
        <w:jc w:val="left"/>
        <w:rPr>
          <w:sz w:val="18"/>
        </w:rPr>
      </w:pPr>
      <w:bookmarkStart w:name="_bookmark157" w:id="313"/>
      <w:bookmarkEnd w:id="313"/>
      <w:r>
        <w:rPr/>
      </w:r>
      <w:r>
        <w:rPr>
          <w:sz w:val="18"/>
          <w:vertAlign w:val="superscript"/>
        </w:rPr>
        <w:t>57</w:t>
      </w:r>
      <w:r>
        <w:rPr>
          <w:spacing w:val="-13"/>
          <w:sz w:val="18"/>
          <w:vertAlign w:val="baseline"/>
        </w:rPr>
        <w:t> </w:t>
      </w:r>
      <w:r>
        <w:rPr>
          <w:sz w:val="18"/>
          <w:vertAlign w:val="baseline"/>
        </w:rPr>
        <w:t>Lange,</w:t>
      </w:r>
      <w:r>
        <w:rPr>
          <w:spacing w:val="-5"/>
          <w:sz w:val="18"/>
          <w:vertAlign w:val="baseline"/>
        </w:rPr>
        <w:t> </w:t>
      </w:r>
      <w:r>
        <w:rPr>
          <w:sz w:val="18"/>
          <w:vertAlign w:val="baseline"/>
        </w:rPr>
        <w:t>Tiffany</w:t>
      </w:r>
      <w:r>
        <w:rPr>
          <w:spacing w:val="-4"/>
          <w:sz w:val="18"/>
          <w:vertAlign w:val="baseline"/>
        </w:rPr>
        <w:t> </w:t>
      </w:r>
      <w:r>
        <w:rPr>
          <w:sz w:val="18"/>
          <w:vertAlign w:val="baseline"/>
        </w:rPr>
        <w:t>M.</w:t>
      </w:r>
      <w:r>
        <w:rPr>
          <w:spacing w:val="-3"/>
          <w:sz w:val="18"/>
          <w:vertAlign w:val="baseline"/>
        </w:rPr>
        <w:t> </w:t>
      </w:r>
      <w:r>
        <w:rPr>
          <w:sz w:val="18"/>
          <w:vertAlign w:val="baseline"/>
        </w:rPr>
        <w:t>“Trans-Affirmative</w:t>
      </w:r>
      <w:r>
        <w:rPr>
          <w:spacing w:val="-3"/>
          <w:sz w:val="18"/>
          <w:vertAlign w:val="baseline"/>
        </w:rPr>
        <w:t> </w:t>
      </w:r>
      <w:r>
        <w:rPr>
          <w:sz w:val="18"/>
          <w:vertAlign w:val="baseline"/>
        </w:rPr>
        <w:t>Narrative</w:t>
      </w:r>
      <w:r>
        <w:rPr>
          <w:spacing w:val="-3"/>
          <w:sz w:val="18"/>
          <w:vertAlign w:val="baseline"/>
        </w:rPr>
        <w:t> </w:t>
      </w:r>
      <w:r>
        <w:rPr>
          <w:sz w:val="18"/>
          <w:vertAlign w:val="baseline"/>
        </w:rPr>
        <w:t>Exposure</w:t>
      </w:r>
      <w:r>
        <w:rPr>
          <w:spacing w:val="-3"/>
          <w:sz w:val="18"/>
          <w:vertAlign w:val="baseline"/>
        </w:rPr>
        <w:t> </w:t>
      </w:r>
      <w:r>
        <w:rPr>
          <w:sz w:val="18"/>
          <w:vertAlign w:val="baseline"/>
        </w:rPr>
        <w:t>Therapy</w:t>
      </w:r>
      <w:r>
        <w:rPr>
          <w:spacing w:val="-3"/>
          <w:sz w:val="18"/>
          <w:vertAlign w:val="baseline"/>
        </w:rPr>
        <w:t> </w:t>
      </w:r>
      <w:r>
        <w:rPr>
          <w:sz w:val="18"/>
          <w:vertAlign w:val="baseline"/>
        </w:rPr>
        <w:t>(TA-NET):</w:t>
      </w:r>
      <w:r>
        <w:rPr>
          <w:spacing w:val="-3"/>
          <w:sz w:val="18"/>
          <w:vertAlign w:val="baseline"/>
        </w:rPr>
        <w:t> </w:t>
      </w:r>
      <w:r>
        <w:rPr>
          <w:sz w:val="18"/>
          <w:vertAlign w:val="baseline"/>
        </w:rPr>
        <w:t>A</w:t>
      </w:r>
      <w:r>
        <w:rPr>
          <w:spacing w:val="-4"/>
          <w:sz w:val="18"/>
          <w:vertAlign w:val="baseline"/>
        </w:rPr>
        <w:t> </w:t>
      </w:r>
      <w:r>
        <w:rPr>
          <w:sz w:val="18"/>
          <w:vertAlign w:val="baseline"/>
        </w:rPr>
        <w:t>Therapeutic</w:t>
      </w:r>
      <w:r>
        <w:rPr>
          <w:spacing w:val="-4"/>
          <w:sz w:val="18"/>
          <w:vertAlign w:val="baseline"/>
        </w:rPr>
        <w:t> </w:t>
      </w:r>
      <w:r>
        <w:rPr>
          <w:sz w:val="18"/>
          <w:vertAlign w:val="baseline"/>
        </w:rPr>
        <w:t>Approach</w:t>
      </w:r>
      <w:r>
        <w:rPr>
          <w:spacing w:val="-3"/>
          <w:sz w:val="18"/>
          <w:vertAlign w:val="baseline"/>
        </w:rPr>
        <w:t> </w:t>
      </w:r>
      <w:r>
        <w:rPr>
          <w:sz w:val="18"/>
          <w:vertAlign w:val="baseline"/>
        </w:rPr>
        <w:t>for</w:t>
      </w:r>
      <w:r>
        <w:rPr>
          <w:spacing w:val="-4"/>
          <w:sz w:val="18"/>
          <w:vertAlign w:val="baseline"/>
        </w:rPr>
        <w:t> </w:t>
      </w:r>
      <w:r>
        <w:rPr>
          <w:sz w:val="18"/>
          <w:vertAlign w:val="baseline"/>
        </w:rPr>
        <w:t>Targeting</w:t>
      </w:r>
      <w:r>
        <w:rPr>
          <w:spacing w:val="-3"/>
          <w:sz w:val="18"/>
          <w:vertAlign w:val="baseline"/>
        </w:rPr>
        <w:t> </w:t>
      </w:r>
      <w:r>
        <w:rPr>
          <w:sz w:val="18"/>
          <w:vertAlign w:val="baseline"/>
        </w:rPr>
        <w:t>Minority Stress, Internalized Stigma, and Trauma Reactions among Gender Diverse Adults.” In </w:t>
      </w:r>
      <w:r>
        <w:rPr>
          <w:i/>
          <w:sz w:val="18"/>
          <w:vertAlign w:val="baseline"/>
        </w:rPr>
        <w:t>Practice Innovations, </w:t>
      </w:r>
      <w:r>
        <w:rPr>
          <w:sz w:val="18"/>
          <w:vertAlign w:val="baseline"/>
        </w:rPr>
        <w:t>5:230–45, 2020. </w:t>
      </w:r>
      <w:hyperlink r:id="rId239">
        <w:r>
          <w:rPr>
            <w:color w:val="1153CC"/>
            <w:spacing w:val="-2"/>
            <w:sz w:val="18"/>
            <w:u w:val="single" w:color="1153CC"/>
            <w:vertAlign w:val="baseline"/>
          </w:rPr>
          <w:t>https://doi.org/10.1037/pri0000126</w:t>
        </w:r>
      </w:hyperlink>
      <w:hyperlink r:id="rId239">
        <w:r>
          <w:rPr>
            <w:spacing w:val="-2"/>
            <w:sz w:val="18"/>
            <w:u w:val="none"/>
            <w:vertAlign w:val="baseline"/>
          </w:rPr>
          <w:t>.</w:t>
        </w:r>
      </w:hyperlink>
    </w:p>
    <w:p>
      <w:pPr>
        <w:spacing w:before="0"/>
        <w:ind w:left="463" w:right="290" w:hanging="1"/>
        <w:jc w:val="left"/>
        <w:rPr>
          <w:sz w:val="18"/>
        </w:rPr>
      </w:pPr>
      <w:bookmarkStart w:name="_bookmark158" w:id="314"/>
      <w:bookmarkEnd w:id="314"/>
      <w:r>
        <w:rPr/>
      </w:r>
      <w:r>
        <w:rPr>
          <w:sz w:val="18"/>
          <w:vertAlign w:val="superscript"/>
        </w:rPr>
        <w:t>58</w:t>
      </w:r>
      <w:r>
        <w:rPr>
          <w:spacing w:val="-8"/>
          <w:sz w:val="18"/>
          <w:vertAlign w:val="baseline"/>
        </w:rPr>
        <w:t> </w:t>
      </w:r>
      <w:r>
        <w:rPr>
          <w:sz w:val="18"/>
          <w:vertAlign w:val="baseline"/>
        </w:rPr>
        <w:t>Diamond, Gary M., Rotem Boruchovitz-Zamir, Ofir Nir-Gotlieb, Inbal Gat, Eran Bar-Kalifa, Priel-Yehoshua Fitoussi, and Shira Katz.</w:t>
      </w:r>
      <w:r>
        <w:rPr>
          <w:spacing w:val="-3"/>
          <w:sz w:val="18"/>
          <w:vertAlign w:val="baseline"/>
        </w:rPr>
        <w:t> </w:t>
      </w:r>
      <w:r>
        <w:rPr>
          <w:sz w:val="18"/>
          <w:vertAlign w:val="baseline"/>
        </w:rPr>
        <w:t>“Attachment-based</w:t>
      </w:r>
      <w:r>
        <w:rPr>
          <w:spacing w:val="-3"/>
          <w:sz w:val="18"/>
          <w:vertAlign w:val="baseline"/>
        </w:rPr>
        <w:t> </w:t>
      </w:r>
      <w:r>
        <w:rPr>
          <w:sz w:val="18"/>
          <w:vertAlign w:val="baseline"/>
        </w:rPr>
        <w:t>Family</w:t>
      </w:r>
      <w:r>
        <w:rPr>
          <w:spacing w:val="-3"/>
          <w:sz w:val="18"/>
          <w:vertAlign w:val="baseline"/>
        </w:rPr>
        <w:t> </w:t>
      </w:r>
      <w:r>
        <w:rPr>
          <w:sz w:val="18"/>
          <w:vertAlign w:val="baseline"/>
        </w:rPr>
        <w:t>Therapy</w:t>
      </w:r>
      <w:r>
        <w:rPr>
          <w:spacing w:val="-3"/>
          <w:sz w:val="18"/>
          <w:vertAlign w:val="baseline"/>
        </w:rPr>
        <w:t> </w:t>
      </w:r>
      <w:r>
        <w:rPr>
          <w:sz w:val="18"/>
          <w:vertAlign w:val="baseline"/>
        </w:rPr>
        <w:t>for</w:t>
      </w:r>
      <w:r>
        <w:rPr>
          <w:spacing w:val="-3"/>
          <w:sz w:val="18"/>
          <w:vertAlign w:val="baseline"/>
        </w:rPr>
        <w:t> </w:t>
      </w:r>
      <w:r>
        <w:rPr>
          <w:sz w:val="18"/>
          <w:vertAlign w:val="baseline"/>
        </w:rPr>
        <w:t>Sexual</w:t>
      </w:r>
      <w:r>
        <w:rPr>
          <w:spacing w:val="-3"/>
          <w:sz w:val="18"/>
          <w:vertAlign w:val="baseline"/>
        </w:rPr>
        <w:t> </w:t>
      </w:r>
      <w:r>
        <w:rPr>
          <w:sz w:val="18"/>
          <w:vertAlign w:val="baseline"/>
        </w:rPr>
        <w:t>and</w:t>
      </w:r>
      <w:r>
        <w:rPr>
          <w:spacing w:val="-3"/>
          <w:sz w:val="18"/>
          <w:vertAlign w:val="baseline"/>
        </w:rPr>
        <w:t> </w:t>
      </w:r>
      <w:r>
        <w:rPr>
          <w:sz w:val="18"/>
          <w:vertAlign w:val="baseline"/>
        </w:rPr>
        <w:t>Gender</w:t>
      </w:r>
      <w:r>
        <w:rPr>
          <w:spacing w:val="-4"/>
          <w:sz w:val="18"/>
          <w:vertAlign w:val="baseline"/>
        </w:rPr>
        <w:t> </w:t>
      </w:r>
      <w:r>
        <w:rPr>
          <w:sz w:val="18"/>
          <w:vertAlign w:val="baseline"/>
        </w:rPr>
        <w:t>Minority</w:t>
      </w:r>
      <w:r>
        <w:rPr>
          <w:spacing w:val="-3"/>
          <w:sz w:val="18"/>
          <w:vertAlign w:val="baseline"/>
        </w:rPr>
        <w:t> </w:t>
      </w:r>
      <w:r>
        <w:rPr>
          <w:sz w:val="18"/>
          <w:vertAlign w:val="baseline"/>
        </w:rPr>
        <w:t>Young</w:t>
      </w:r>
      <w:r>
        <w:rPr>
          <w:spacing w:val="-3"/>
          <w:sz w:val="18"/>
          <w:vertAlign w:val="baseline"/>
        </w:rPr>
        <w:t> </w:t>
      </w:r>
      <w:r>
        <w:rPr>
          <w:sz w:val="18"/>
          <w:vertAlign w:val="baseline"/>
        </w:rPr>
        <w:t>Adults</w:t>
      </w:r>
      <w:r>
        <w:rPr>
          <w:spacing w:val="-3"/>
          <w:sz w:val="18"/>
          <w:vertAlign w:val="baseline"/>
        </w:rPr>
        <w:t> </w:t>
      </w:r>
      <w:r>
        <w:rPr>
          <w:sz w:val="18"/>
          <w:vertAlign w:val="baseline"/>
        </w:rPr>
        <w:t>and</w:t>
      </w:r>
      <w:r>
        <w:rPr>
          <w:spacing w:val="-3"/>
          <w:sz w:val="18"/>
          <w:vertAlign w:val="baseline"/>
        </w:rPr>
        <w:t> </w:t>
      </w:r>
      <w:r>
        <w:rPr>
          <w:sz w:val="18"/>
          <w:vertAlign w:val="baseline"/>
        </w:rPr>
        <w:t>Their</w:t>
      </w:r>
      <w:r>
        <w:rPr>
          <w:spacing w:val="-4"/>
          <w:sz w:val="18"/>
          <w:vertAlign w:val="baseline"/>
        </w:rPr>
        <w:t> </w:t>
      </w:r>
      <w:r>
        <w:rPr>
          <w:sz w:val="18"/>
          <w:vertAlign w:val="baseline"/>
        </w:rPr>
        <w:t>Nonaccepting</w:t>
      </w:r>
      <w:r>
        <w:rPr>
          <w:spacing w:val="-3"/>
          <w:sz w:val="18"/>
          <w:vertAlign w:val="baseline"/>
        </w:rPr>
        <w:t> </w:t>
      </w:r>
      <w:r>
        <w:rPr>
          <w:sz w:val="18"/>
          <w:vertAlign w:val="baseline"/>
        </w:rPr>
        <w:t>Parents.”</w:t>
      </w:r>
      <w:r>
        <w:rPr>
          <w:spacing w:val="-3"/>
          <w:sz w:val="18"/>
          <w:vertAlign w:val="baseline"/>
        </w:rPr>
        <w:t> </w:t>
      </w:r>
      <w:r>
        <w:rPr>
          <w:i/>
          <w:sz w:val="18"/>
          <w:vertAlign w:val="baseline"/>
        </w:rPr>
        <w:t>Family</w:t>
      </w:r>
      <w:r>
        <w:rPr>
          <w:i/>
          <w:sz w:val="18"/>
          <w:vertAlign w:val="baseline"/>
        </w:rPr>
        <w:t> Process </w:t>
      </w:r>
      <w:r>
        <w:rPr>
          <w:sz w:val="18"/>
          <w:vertAlign w:val="baseline"/>
        </w:rPr>
        <w:t>61, no. 2 (June 2022): 530–48. </w:t>
      </w:r>
      <w:hyperlink r:id="rId240">
        <w:r>
          <w:rPr>
            <w:color w:val="1153CC"/>
            <w:sz w:val="18"/>
            <w:u w:val="single" w:color="1153CC"/>
            <w:vertAlign w:val="baseline"/>
          </w:rPr>
          <w:t>https://doi.org/10.1111/famp.12770</w:t>
        </w:r>
      </w:hyperlink>
      <w:hyperlink r:id="rId240">
        <w:r>
          <w:rPr>
            <w:sz w:val="18"/>
            <w:u w:val="none"/>
            <w:vertAlign w:val="baseline"/>
          </w:rPr>
          <w:t>.</w:t>
        </w:r>
      </w:hyperlink>
    </w:p>
    <w:p>
      <w:pPr>
        <w:spacing w:before="0"/>
        <w:ind w:left="463" w:right="290" w:hanging="1"/>
        <w:jc w:val="left"/>
        <w:rPr>
          <w:sz w:val="18"/>
        </w:rPr>
      </w:pPr>
      <w:bookmarkStart w:name="_bookmark159" w:id="315"/>
      <w:bookmarkEnd w:id="315"/>
      <w:r>
        <w:rPr/>
      </w:r>
      <w:r>
        <w:rPr>
          <w:sz w:val="18"/>
          <w:vertAlign w:val="superscript"/>
        </w:rPr>
        <w:t>59</w:t>
      </w:r>
      <w:r>
        <w:rPr>
          <w:spacing w:val="-13"/>
          <w:sz w:val="18"/>
          <w:vertAlign w:val="baseline"/>
        </w:rPr>
        <w:t> </w:t>
      </w:r>
      <w:r>
        <w:rPr>
          <w:sz w:val="18"/>
          <w:vertAlign w:val="baseline"/>
        </w:rPr>
        <w:t>O’Neill,</w:t>
      </w:r>
      <w:r>
        <w:rPr>
          <w:spacing w:val="-4"/>
          <w:sz w:val="18"/>
          <w:vertAlign w:val="baseline"/>
        </w:rPr>
        <w:t> </w:t>
      </w:r>
      <w:r>
        <w:rPr>
          <w:sz w:val="18"/>
          <w:vertAlign w:val="baseline"/>
        </w:rPr>
        <w:t>R.,</w:t>
      </w:r>
      <w:r>
        <w:rPr>
          <w:spacing w:val="-3"/>
          <w:sz w:val="18"/>
          <w:vertAlign w:val="baseline"/>
        </w:rPr>
        <w:t> </w:t>
      </w:r>
      <w:r>
        <w:rPr>
          <w:sz w:val="18"/>
          <w:vertAlign w:val="baseline"/>
        </w:rPr>
        <w:t>B.</w:t>
      </w:r>
      <w:r>
        <w:rPr>
          <w:spacing w:val="-1"/>
          <w:sz w:val="18"/>
          <w:vertAlign w:val="baseline"/>
        </w:rPr>
        <w:t> </w:t>
      </w:r>
      <w:r>
        <w:rPr>
          <w:sz w:val="18"/>
          <w:vertAlign w:val="baseline"/>
        </w:rPr>
        <w:t>Gilea,</w:t>
      </w:r>
      <w:r>
        <w:rPr>
          <w:spacing w:val="-3"/>
          <w:sz w:val="18"/>
          <w:vertAlign w:val="baseline"/>
        </w:rPr>
        <w:t> </w:t>
      </w:r>
      <w:r>
        <w:rPr>
          <w:sz w:val="18"/>
          <w:vertAlign w:val="baseline"/>
        </w:rPr>
        <w:t>and</w:t>
      </w:r>
      <w:r>
        <w:rPr>
          <w:spacing w:val="-2"/>
          <w:sz w:val="18"/>
          <w:vertAlign w:val="baseline"/>
        </w:rPr>
        <w:t> </w:t>
      </w:r>
      <w:r>
        <w:rPr>
          <w:sz w:val="18"/>
          <w:vertAlign w:val="baseline"/>
        </w:rPr>
        <w:t>S.</w:t>
      </w:r>
      <w:r>
        <w:rPr>
          <w:spacing w:val="-2"/>
          <w:sz w:val="18"/>
          <w:vertAlign w:val="baseline"/>
        </w:rPr>
        <w:t> </w:t>
      </w:r>
      <w:r>
        <w:rPr>
          <w:sz w:val="18"/>
          <w:vertAlign w:val="baseline"/>
        </w:rPr>
        <w:t>Fellenger.</w:t>
      </w:r>
      <w:r>
        <w:rPr>
          <w:spacing w:val="-2"/>
          <w:sz w:val="18"/>
          <w:vertAlign w:val="baseline"/>
        </w:rPr>
        <w:t> </w:t>
      </w:r>
      <w:r>
        <w:rPr>
          <w:sz w:val="18"/>
          <w:vertAlign w:val="baseline"/>
        </w:rPr>
        <w:t>“Motivational</w:t>
      </w:r>
      <w:r>
        <w:rPr>
          <w:spacing w:val="-3"/>
          <w:sz w:val="18"/>
          <w:vertAlign w:val="baseline"/>
        </w:rPr>
        <w:t> </w:t>
      </w:r>
      <w:r>
        <w:rPr>
          <w:sz w:val="18"/>
          <w:vertAlign w:val="baseline"/>
        </w:rPr>
        <w:t>Interviewing</w:t>
      </w:r>
      <w:r>
        <w:rPr>
          <w:spacing w:val="-2"/>
          <w:sz w:val="18"/>
          <w:vertAlign w:val="baseline"/>
        </w:rPr>
        <w:t> </w:t>
      </w:r>
      <w:r>
        <w:rPr>
          <w:sz w:val="18"/>
          <w:vertAlign w:val="baseline"/>
        </w:rPr>
        <w:t>for</w:t>
      </w:r>
      <w:r>
        <w:rPr>
          <w:spacing w:val="-3"/>
          <w:sz w:val="18"/>
          <w:vertAlign w:val="baseline"/>
        </w:rPr>
        <w:t> </w:t>
      </w:r>
      <w:r>
        <w:rPr>
          <w:sz w:val="18"/>
          <w:vertAlign w:val="baseline"/>
        </w:rPr>
        <w:t>Caregivers</w:t>
      </w:r>
      <w:r>
        <w:rPr>
          <w:spacing w:val="-3"/>
          <w:sz w:val="18"/>
          <w:vertAlign w:val="baseline"/>
        </w:rPr>
        <w:t> </w:t>
      </w:r>
      <w:r>
        <w:rPr>
          <w:sz w:val="18"/>
          <w:vertAlign w:val="baseline"/>
        </w:rPr>
        <w:t>of</w:t>
      </w:r>
      <w:r>
        <w:rPr>
          <w:spacing w:val="-2"/>
          <w:sz w:val="18"/>
          <w:vertAlign w:val="baseline"/>
        </w:rPr>
        <w:t> </w:t>
      </w:r>
      <w:r>
        <w:rPr>
          <w:sz w:val="18"/>
          <w:vertAlign w:val="baseline"/>
        </w:rPr>
        <w:t>LGBT</w:t>
      </w:r>
      <w:r>
        <w:rPr>
          <w:spacing w:val="-2"/>
          <w:sz w:val="18"/>
          <w:vertAlign w:val="baseline"/>
        </w:rPr>
        <w:t> </w:t>
      </w:r>
      <w:r>
        <w:rPr>
          <w:sz w:val="18"/>
          <w:vertAlign w:val="baseline"/>
        </w:rPr>
        <w:t>Youth.”</w:t>
      </w:r>
      <w:r>
        <w:rPr>
          <w:spacing w:val="-3"/>
          <w:sz w:val="18"/>
          <w:vertAlign w:val="baseline"/>
        </w:rPr>
        <w:t> </w:t>
      </w:r>
      <w:r>
        <w:rPr>
          <w:i/>
          <w:sz w:val="18"/>
          <w:vertAlign w:val="baseline"/>
        </w:rPr>
        <w:t>Journal</w:t>
      </w:r>
      <w:r>
        <w:rPr>
          <w:i/>
          <w:spacing w:val="-3"/>
          <w:sz w:val="18"/>
          <w:vertAlign w:val="baseline"/>
        </w:rPr>
        <w:t> </w:t>
      </w:r>
      <w:r>
        <w:rPr>
          <w:i/>
          <w:sz w:val="18"/>
          <w:vertAlign w:val="baseline"/>
        </w:rPr>
        <w:t>of</w:t>
      </w:r>
      <w:r>
        <w:rPr>
          <w:i/>
          <w:spacing w:val="-2"/>
          <w:sz w:val="18"/>
          <w:vertAlign w:val="baseline"/>
        </w:rPr>
        <w:t> </w:t>
      </w:r>
      <w:r>
        <w:rPr>
          <w:i/>
          <w:sz w:val="18"/>
          <w:vertAlign w:val="baseline"/>
        </w:rPr>
        <w:t>LGBT</w:t>
      </w:r>
      <w:r>
        <w:rPr>
          <w:i/>
          <w:spacing w:val="-2"/>
          <w:sz w:val="18"/>
          <w:vertAlign w:val="baseline"/>
        </w:rPr>
        <w:t> </w:t>
      </w:r>
      <w:r>
        <w:rPr>
          <w:i/>
          <w:sz w:val="18"/>
          <w:vertAlign w:val="baseline"/>
        </w:rPr>
        <w:t>Youth</w:t>
      </w:r>
      <w:r>
        <w:rPr>
          <w:i/>
          <w:spacing w:val="-3"/>
          <w:sz w:val="18"/>
          <w:vertAlign w:val="baseline"/>
        </w:rPr>
        <w:t> </w:t>
      </w:r>
      <w:r>
        <w:rPr>
          <w:sz w:val="18"/>
          <w:vertAlign w:val="baseline"/>
        </w:rPr>
        <w:t>17,</w:t>
      </w:r>
      <w:r>
        <w:rPr>
          <w:spacing w:val="-3"/>
          <w:sz w:val="18"/>
          <w:vertAlign w:val="baseline"/>
        </w:rPr>
        <w:t> </w:t>
      </w:r>
      <w:r>
        <w:rPr>
          <w:sz w:val="18"/>
          <w:vertAlign w:val="baseline"/>
        </w:rPr>
        <w:t>no.</w:t>
      </w:r>
      <w:r>
        <w:rPr>
          <w:spacing w:val="-2"/>
          <w:sz w:val="18"/>
          <w:vertAlign w:val="baseline"/>
        </w:rPr>
        <w:t> </w:t>
      </w:r>
      <w:r>
        <w:rPr>
          <w:sz w:val="18"/>
          <w:vertAlign w:val="baseline"/>
        </w:rPr>
        <w:t>3 (July 2, 2020): 315–30. </w:t>
      </w:r>
      <w:hyperlink r:id="rId241">
        <w:r>
          <w:rPr>
            <w:color w:val="1153CC"/>
            <w:sz w:val="18"/>
            <w:u w:val="single" w:color="1153CC"/>
            <w:vertAlign w:val="baseline"/>
          </w:rPr>
          <w:t>https://doi.org/10.1080/19361653.2019.1591322</w:t>
        </w:r>
      </w:hyperlink>
      <w:hyperlink r:id="rId241">
        <w:r>
          <w:rPr>
            <w:sz w:val="18"/>
            <w:u w:val="none"/>
            <w:vertAlign w:val="baseline"/>
          </w:rPr>
          <w:t>.</w:t>
        </w:r>
      </w:hyperlink>
    </w:p>
    <w:p>
      <w:pPr>
        <w:spacing w:before="0"/>
        <w:ind w:left="463" w:right="0" w:firstLine="0"/>
        <w:jc w:val="left"/>
        <w:rPr>
          <w:sz w:val="18"/>
        </w:rPr>
      </w:pPr>
      <w:bookmarkStart w:name="_bookmark160" w:id="316"/>
      <w:bookmarkEnd w:id="316"/>
      <w:r>
        <w:rPr/>
      </w:r>
      <w:r>
        <w:rPr>
          <w:sz w:val="18"/>
          <w:vertAlign w:val="superscript"/>
        </w:rPr>
        <w:t>60</w:t>
      </w:r>
      <w:r>
        <w:rPr>
          <w:spacing w:val="-13"/>
          <w:sz w:val="18"/>
          <w:vertAlign w:val="baseline"/>
        </w:rPr>
        <w:t> </w:t>
      </w:r>
      <w:r>
        <w:rPr>
          <w:sz w:val="18"/>
          <w:vertAlign w:val="baseline"/>
        </w:rPr>
        <w:t>The</w:t>
      </w:r>
      <w:r>
        <w:rPr>
          <w:spacing w:val="-5"/>
          <w:sz w:val="18"/>
          <w:vertAlign w:val="baseline"/>
        </w:rPr>
        <w:t> </w:t>
      </w:r>
      <w:r>
        <w:rPr>
          <w:sz w:val="18"/>
          <w:vertAlign w:val="baseline"/>
        </w:rPr>
        <w:t>Trevor</w:t>
      </w:r>
      <w:r>
        <w:rPr>
          <w:spacing w:val="-4"/>
          <w:sz w:val="18"/>
          <w:vertAlign w:val="baseline"/>
        </w:rPr>
        <w:t> </w:t>
      </w:r>
      <w:r>
        <w:rPr>
          <w:sz w:val="18"/>
          <w:vertAlign w:val="baseline"/>
        </w:rPr>
        <w:t>Project,</w:t>
      </w:r>
      <w:r>
        <w:rPr>
          <w:spacing w:val="-4"/>
          <w:sz w:val="18"/>
          <w:vertAlign w:val="baseline"/>
        </w:rPr>
        <w:t> </w:t>
      </w:r>
      <w:r>
        <w:rPr>
          <w:sz w:val="18"/>
          <w:vertAlign w:val="baseline"/>
        </w:rPr>
        <w:t>“2022</w:t>
      </w:r>
      <w:r>
        <w:rPr>
          <w:spacing w:val="-3"/>
          <w:sz w:val="18"/>
          <w:vertAlign w:val="baseline"/>
        </w:rPr>
        <w:t> </w:t>
      </w:r>
      <w:r>
        <w:rPr>
          <w:sz w:val="18"/>
          <w:vertAlign w:val="baseline"/>
        </w:rPr>
        <w:t>National</w:t>
      </w:r>
      <w:r>
        <w:rPr>
          <w:spacing w:val="-4"/>
          <w:sz w:val="18"/>
          <w:vertAlign w:val="baseline"/>
        </w:rPr>
        <w:t> </w:t>
      </w:r>
      <w:r>
        <w:rPr>
          <w:sz w:val="18"/>
          <w:vertAlign w:val="baseline"/>
        </w:rPr>
        <w:t>Survey</w:t>
      </w:r>
      <w:r>
        <w:rPr>
          <w:spacing w:val="-3"/>
          <w:sz w:val="18"/>
          <w:vertAlign w:val="baseline"/>
        </w:rPr>
        <w:t> </w:t>
      </w:r>
      <w:r>
        <w:rPr>
          <w:sz w:val="18"/>
          <w:vertAlign w:val="baseline"/>
        </w:rPr>
        <w:t>on</w:t>
      </w:r>
      <w:r>
        <w:rPr>
          <w:spacing w:val="-3"/>
          <w:sz w:val="18"/>
          <w:vertAlign w:val="baseline"/>
        </w:rPr>
        <w:t> </w:t>
      </w:r>
      <w:r>
        <w:rPr>
          <w:sz w:val="18"/>
          <w:vertAlign w:val="baseline"/>
        </w:rPr>
        <w:t>LGBTQ</w:t>
      </w:r>
      <w:r>
        <w:rPr>
          <w:spacing w:val="-3"/>
          <w:sz w:val="18"/>
          <w:vertAlign w:val="baseline"/>
        </w:rPr>
        <w:t> </w:t>
      </w:r>
      <w:r>
        <w:rPr>
          <w:sz w:val="18"/>
          <w:vertAlign w:val="baseline"/>
        </w:rPr>
        <w:t>Youth</w:t>
      </w:r>
      <w:r>
        <w:rPr>
          <w:spacing w:val="-3"/>
          <w:sz w:val="18"/>
          <w:vertAlign w:val="baseline"/>
        </w:rPr>
        <w:t> </w:t>
      </w:r>
      <w:r>
        <w:rPr>
          <w:sz w:val="18"/>
          <w:vertAlign w:val="baseline"/>
        </w:rPr>
        <w:t>Mental</w:t>
      </w:r>
      <w:r>
        <w:rPr>
          <w:spacing w:val="-4"/>
          <w:sz w:val="18"/>
          <w:vertAlign w:val="baseline"/>
        </w:rPr>
        <w:t> </w:t>
      </w:r>
      <w:r>
        <w:rPr>
          <w:sz w:val="18"/>
          <w:vertAlign w:val="baseline"/>
        </w:rPr>
        <w:t>Health,”</w:t>
      </w:r>
      <w:r>
        <w:rPr>
          <w:spacing w:val="-3"/>
          <w:sz w:val="18"/>
          <w:vertAlign w:val="baseline"/>
        </w:rPr>
        <w:t> </w:t>
      </w:r>
      <w:r>
        <w:rPr>
          <w:sz w:val="18"/>
          <w:vertAlign w:val="baseline"/>
        </w:rPr>
        <w:t>2022,</w:t>
      </w:r>
      <w:r>
        <w:rPr>
          <w:spacing w:val="-4"/>
          <w:sz w:val="18"/>
          <w:vertAlign w:val="baseline"/>
        </w:rPr>
        <w:t> </w:t>
      </w:r>
      <w:hyperlink r:id="rId193">
        <w:r>
          <w:rPr>
            <w:color w:val="1153CC"/>
            <w:sz w:val="18"/>
            <w:u w:val="single" w:color="1153CC"/>
            <w:vertAlign w:val="baseline"/>
          </w:rPr>
          <w:t>https://www.thetrevorproject.org/survey-</w:t>
        </w:r>
      </w:hyperlink>
      <w:r>
        <w:rPr>
          <w:color w:val="1153CC"/>
          <w:sz w:val="18"/>
          <w:u w:val="none"/>
          <w:vertAlign w:val="baseline"/>
        </w:rPr>
        <w:t> </w:t>
      </w:r>
      <w:hyperlink r:id="rId193">
        <w:r>
          <w:rPr>
            <w:color w:val="1153CC"/>
            <w:spacing w:val="-2"/>
            <w:sz w:val="18"/>
            <w:u w:val="single" w:color="1153CC"/>
            <w:vertAlign w:val="baseline"/>
          </w:rPr>
          <w:t>2022/assets/static/trevor01_2022survey_final.pdf</w:t>
        </w:r>
      </w:hyperlink>
      <w:hyperlink r:id="rId193">
        <w:r>
          <w:rPr>
            <w:spacing w:val="-2"/>
            <w:sz w:val="18"/>
            <w:u w:val="none"/>
            <w:vertAlign w:val="baseline"/>
          </w:rPr>
          <w:t>.</w:t>
        </w:r>
      </w:hyperlink>
    </w:p>
    <w:p>
      <w:pPr>
        <w:spacing w:before="0"/>
        <w:ind w:left="463" w:right="326" w:firstLine="0"/>
        <w:jc w:val="left"/>
        <w:rPr>
          <w:sz w:val="18"/>
        </w:rPr>
      </w:pPr>
      <w:bookmarkStart w:name="_bookmark161" w:id="317"/>
      <w:bookmarkEnd w:id="317"/>
      <w:r>
        <w:rPr/>
      </w:r>
      <w:r>
        <w:rPr>
          <w:sz w:val="18"/>
          <w:vertAlign w:val="superscript"/>
        </w:rPr>
        <w:t>61</w:t>
      </w:r>
      <w:r>
        <w:rPr>
          <w:spacing w:val="-9"/>
          <w:sz w:val="18"/>
          <w:vertAlign w:val="baseline"/>
        </w:rPr>
        <w:t> </w:t>
      </w:r>
      <w:r>
        <w:rPr>
          <w:sz w:val="18"/>
          <w:vertAlign w:val="baseline"/>
        </w:rPr>
        <w:t>Fish, Jessica N., Natasha D. Williams, Lauren B. McInroy, Megan S. Paceley, Rachel N. Edsall, Jackson Devadas, Sara Birnel Henderson, and Deborah S. Levine. “Q Chat Space: Assessing the Feasibility and Acceptability of an Internet-Based Support Program</w:t>
      </w:r>
      <w:r>
        <w:rPr>
          <w:spacing w:val="-3"/>
          <w:sz w:val="18"/>
          <w:vertAlign w:val="baseline"/>
        </w:rPr>
        <w:t> </w:t>
      </w:r>
      <w:r>
        <w:rPr>
          <w:sz w:val="18"/>
          <w:vertAlign w:val="baseline"/>
        </w:rPr>
        <w:t>for</w:t>
      </w:r>
      <w:r>
        <w:rPr>
          <w:spacing w:val="-4"/>
          <w:sz w:val="18"/>
          <w:vertAlign w:val="baseline"/>
        </w:rPr>
        <w:t> </w:t>
      </w:r>
      <w:r>
        <w:rPr>
          <w:sz w:val="18"/>
          <w:vertAlign w:val="baseline"/>
        </w:rPr>
        <w:t>LGBTQ</w:t>
      </w:r>
      <w:r>
        <w:rPr>
          <w:spacing w:val="-3"/>
          <w:sz w:val="18"/>
          <w:vertAlign w:val="baseline"/>
        </w:rPr>
        <w:t> </w:t>
      </w:r>
      <w:r>
        <w:rPr>
          <w:sz w:val="18"/>
          <w:vertAlign w:val="baseline"/>
        </w:rPr>
        <w:t>Youth.”</w:t>
      </w:r>
      <w:r>
        <w:rPr>
          <w:spacing w:val="-3"/>
          <w:sz w:val="18"/>
          <w:vertAlign w:val="baseline"/>
        </w:rPr>
        <w:t> </w:t>
      </w:r>
      <w:r>
        <w:rPr>
          <w:i/>
          <w:sz w:val="18"/>
          <w:vertAlign w:val="baseline"/>
        </w:rPr>
        <w:t>Prevention</w:t>
      </w:r>
      <w:r>
        <w:rPr>
          <w:i/>
          <w:spacing w:val="-3"/>
          <w:sz w:val="18"/>
          <w:vertAlign w:val="baseline"/>
        </w:rPr>
        <w:t> </w:t>
      </w:r>
      <w:r>
        <w:rPr>
          <w:i/>
          <w:sz w:val="18"/>
          <w:vertAlign w:val="baseline"/>
        </w:rPr>
        <w:t>Science</w:t>
      </w:r>
      <w:r>
        <w:rPr>
          <w:i/>
          <w:spacing w:val="-3"/>
          <w:sz w:val="18"/>
          <w:vertAlign w:val="baseline"/>
        </w:rPr>
        <w:t> </w:t>
      </w:r>
      <w:r>
        <w:rPr>
          <w:sz w:val="18"/>
          <w:vertAlign w:val="baseline"/>
        </w:rPr>
        <w:t>23,</w:t>
      </w:r>
      <w:r>
        <w:rPr>
          <w:spacing w:val="-4"/>
          <w:sz w:val="18"/>
          <w:vertAlign w:val="baseline"/>
        </w:rPr>
        <w:t> </w:t>
      </w:r>
      <w:r>
        <w:rPr>
          <w:sz w:val="18"/>
          <w:vertAlign w:val="baseline"/>
        </w:rPr>
        <w:t>no.</w:t>
      </w:r>
      <w:r>
        <w:rPr>
          <w:spacing w:val="-3"/>
          <w:sz w:val="18"/>
          <w:vertAlign w:val="baseline"/>
        </w:rPr>
        <w:t> </w:t>
      </w:r>
      <w:r>
        <w:rPr>
          <w:sz w:val="18"/>
          <w:vertAlign w:val="baseline"/>
        </w:rPr>
        <w:t>1</w:t>
      </w:r>
      <w:r>
        <w:rPr>
          <w:spacing w:val="-3"/>
          <w:sz w:val="18"/>
          <w:vertAlign w:val="baseline"/>
        </w:rPr>
        <w:t> </w:t>
      </w:r>
      <w:r>
        <w:rPr>
          <w:sz w:val="18"/>
          <w:vertAlign w:val="baseline"/>
        </w:rPr>
        <w:t>(January</w:t>
      </w:r>
      <w:r>
        <w:rPr>
          <w:spacing w:val="-4"/>
          <w:sz w:val="18"/>
          <w:vertAlign w:val="baseline"/>
        </w:rPr>
        <w:t> </w:t>
      </w:r>
      <w:r>
        <w:rPr>
          <w:sz w:val="18"/>
          <w:vertAlign w:val="baseline"/>
        </w:rPr>
        <w:t>1,</w:t>
      </w:r>
      <w:r>
        <w:rPr>
          <w:spacing w:val="-4"/>
          <w:sz w:val="18"/>
          <w:vertAlign w:val="baseline"/>
        </w:rPr>
        <w:t> </w:t>
      </w:r>
      <w:r>
        <w:rPr>
          <w:sz w:val="18"/>
          <w:vertAlign w:val="baseline"/>
        </w:rPr>
        <w:t>2022):</w:t>
      </w:r>
      <w:r>
        <w:rPr>
          <w:spacing w:val="-3"/>
          <w:sz w:val="18"/>
          <w:vertAlign w:val="baseline"/>
        </w:rPr>
        <w:t> </w:t>
      </w:r>
      <w:r>
        <w:rPr>
          <w:sz w:val="18"/>
          <w:vertAlign w:val="baseline"/>
        </w:rPr>
        <w:t>130–41.</w:t>
      </w:r>
      <w:r>
        <w:rPr>
          <w:spacing w:val="-3"/>
          <w:sz w:val="18"/>
          <w:vertAlign w:val="baseline"/>
        </w:rPr>
        <w:t> </w:t>
      </w:r>
      <w:hyperlink r:id="rId242">
        <w:r>
          <w:rPr>
            <w:color w:val="1153CC"/>
            <w:sz w:val="18"/>
            <w:u w:val="single" w:color="1153CC"/>
            <w:vertAlign w:val="baseline"/>
          </w:rPr>
          <w:t>https://doi.org/10.1007/s11121-021-01291-</w:t>
        </w:r>
      </w:hyperlink>
      <w:r>
        <w:rPr>
          <w:color w:val="1153CC"/>
          <w:sz w:val="18"/>
          <w:u w:val="none"/>
          <w:vertAlign w:val="baseline"/>
        </w:rPr>
        <w:t> </w:t>
      </w:r>
      <w:hyperlink r:id="rId242">
        <w:r>
          <w:rPr>
            <w:color w:val="1153CC"/>
            <w:spacing w:val="-6"/>
            <w:sz w:val="18"/>
            <w:u w:val="single" w:color="1153CC"/>
            <w:vertAlign w:val="baseline"/>
          </w:rPr>
          <w:t>y</w:t>
        </w:r>
      </w:hyperlink>
      <w:hyperlink r:id="rId242">
        <w:r>
          <w:rPr>
            <w:spacing w:val="-6"/>
            <w:sz w:val="18"/>
            <w:u w:val="none"/>
            <w:vertAlign w:val="baseline"/>
          </w:rPr>
          <w:t>.</w:t>
        </w:r>
      </w:hyperlink>
    </w:p>
    <w:p>
      <w:pPr>
        <w:spacing w:after="0"/>
        <w:jc w:val="left"/>
        <w:rPr>
          <w:sz w:val="18"/>
        </w:rPr>
        <w:sectPr>
          <w:pgSz w:w="12240" w:h="15840"/>
          <w:pgMar w:header="804" w:footer="1390" w:top="1080" w:bottom="1620" w:left="980" w:right="1080"/>
        </w:sectPr>
      </w:pPr>
    </w:p>
    <w:p>
      <w:pPr>
        <w:spacing w:before="68"/>
        <w:ind w:left="463" w:right="244" w:firstLine="0"/>
        <w:jc w:val="left"/>
        <w:rPr>
          <w:sz w:val="18"/>
        </w:rPr>
      </w:pPr>
      <w:bookmarkStart w:name="_bookmark162" w:id="318"/>
      <w:bookmarkEnd w:id="318"/>
      <w:r>
        <w:rPr/>
      </w:r>
      <w:r>
        <w:rPr>
          <w:sz w:val="18"/>
          <w:vertAlign w:val="superscript"/>
        </w:rPr>
        <w:t>62</w:t>
      </w:r>
      <w:r>
        <w:rPr>
          <w:spacing w:val="-10"/>
          <w:sz w:val="18"/>
          <w:vertAlign w:val="baseline"/>
        </w:rPr>
        <w:t> </w:t>
      </w:r>
      <w:r>
        <w:rPr>
          <w:sz w:val="18"/>
          <w:vertAlign w:val="baseline"/>
        </w:rPr>
        <w:t>Poteat, V. Paul, Jerel P. Calzo, Hirokazu Yoshikawa, Arthur Lipkin, Christopher J. Ceccolini, Sarah B. Rosenbach, Michael D. O’Brien,</w:t>
      </w:r>
      <w:r>
        <w:rPr>
          <w:spacing w:val="-3"/>
          <w:sz w:val="18"/>
          <w:vertAlign w:val="baseline"/>
        </w:rPr>
        <w:t> </w:t>
      </w:r>
      <w:r>
        <w:rPr>
          <w:sz w:val="18"/>
          <w:vertAlign w:val="baseline"/>
        </w:rPr>
        <w:t>Robert</w:t>
      </w:r>
      <w:r>
        <w:rPr>
          <w:spacing w:val="-1"/>
          <w:sz w:val="18"/>
          <w:vertAlign w:val="baseline"/>
        </w:rPr>
        <w:t> </w:t>
      </w:r>
      <w:r>
        <w:rPr>
          <w:sz w:val="18"/>
          <w:vertAlign w:val="baseline"/>
        </w:rPr>
        <w:t>A.</w:t>
      </w:r>
      <w:r>
        <w:rPr>
          <w:spacing w:val="-2"/>
          <w:sz w:val="18"/>
          <w:vertAlign w:val="baseline"/>
        </w:rPr>
        <w:t> </w:t>
      </w:r>
      <w:r>
        <w:rPr>
          <w:sz w:val="18"/>
          <w:vertAlign w:val="baseline"/>
        </w:rPr>
        <w:t>Marx,</w:t>
      </w:r>
      <w:r>
        <w:rPr>
          <w:spacing w:val="-3"/>
          <w:sz w:val="18"/>
          <w:vertAlign w:val="baseline"/>
        </w:rPr>
        <w:t> </w:t>
      </w:r>
      <w:r>
        <w:rPr>
          <w:sz w:val="18"/>
          <w:vertAlign w:val="baseline"/>
        </w:rPr>
        <w:t>Gabriel</w:t>
      </w:r>
      <w:r>
        <w:rPr>
          <w:spacing w:val="-3"/>
          <w:sz w:val="18"/>
          <w:vertAlign w:val="baseline"/>
        </w:rPr>
        <w:t> </w:t>
      </w:r>
      <w:r>
        <w:rPr>
          <w:sz w:val="18"/>
          <w:vertAlign w:val="baseline"/>
        </w:rPr>
        <w:t>R.</w:t>
      </w:r>
      <w:r>
        <w:rPr>
          <w:spacing w:val="-2"/>
          <w:sz w:val="18"/>
          <w:vertAlign w:val="baseline"/>
        </w:rPr>
        <w:t> </w:t>
      </w:r>
      <w:r>
        <w:rPr>
          <w:sz w:val="18"/>
          <w:vertAlign w:val="baseline"/>
        </w:rPr>
        <w:t>Murchison,</w:t>
      </w:r>
      <w:r>
        <w:rPr>
          <w:spacing w:val="-3"/>
          <w:sz w:val="18"/>
          <w:vertAlign w:val="baseline"/>
        </w:rPr>
        <w:t> </w:t>
      </w:r>
      <w:r>
        <w:rPr>
          <w:sz w:val="18"/>
          <w:vertAlign w:val="baseline"/>
        </w:rPr>
        <w:t>and</w:t>
      </w:r>
      <w:r>
        <w:rPr>
          <w:spacing w:val="-2"/>
          <w:sz w:val="18"/>
          <w:vertAlign w:val="baseline"/>
        </w:rPr>
        <w:t> </w:t>
      </w:r>
      <w:r>
        <w:rPr>
          <w:sz w:val="18"/>
          <w:vertAlign w:val="baseline"/>
        </w:rPr>
        <w:t>Esther</w:t>
      </w:r>
      <w:r>
        <w:rPr>
          <w:spacing w:val="-3"/>
          <w:sz w:val="18"/>
          <w:vertAlign w:val="baseline"/>
        </w:rPr>
        <w:t> </w:t>
      </w:r>
      <w:r>
        <w:rPr>
          <w:sz w:val="18"/>
          <w:vertAlign w:val="baseline"/>
        </w:rPr>
        <w:t>Burson.</w:t>
      </w:r>
      <w:r>
        <w:rPr>
          <w:spacing w:val="-2"/>
          <w:sz w:val="18"/>
          <w:vertAlign w:val="baseline"/>
        </w:rPr>
        <w:t> </w:t>
      </w:r>
      <w:r>
        <w:rPr>
          <w:sz w:val="18"/>
          <w:vertAlign w:val="baseline"/>
        </w:rPr>
        <w:t>“Greater</w:t>
      </w:r>
      <w:r>
        <w:rPr>
          <w:spacing w:val="-3"/>
          <w:sz w:val="18"/>
          <w:vertAlign w:val="baseline"/>
        </w:rPr>
        <w:t> </w:t>
      </w:r>
      <w:r>
        <w:rPr>
          <w:sz w:val="18"/>
          <w:vertAlign w:val="baseline"/>
        </w:rPr>
        <w:t>Engagement</w:t>
      </w:r>
      <w:r>
        <w:rPr>
          <w:spacing w:val="-3"/>
          <w:sz w:val="18"/>
          <w:vertAlign w:val="baseline"/>
        </w:rPr>
        <w:t> </w:t>
      </w:r>
      <w:r>
        <w:rPr>
          <w:sz w:val="18"/>
          <w:vertAlign w:val="baseline"/>
        </w:rPr>
        <w:t>in</w:t>
      </w:r>
      <w:r>
        <w:rPr>
          <w:spacing w:val="-2"/>
          <w:sz w:val="18"/>
          <w:vertAlign w:val="baseline"/>
        </w:rPr>
        <w:t> </w:t>
      </w:r>
      <w:r>
        <w:rPr>
          <w:sz w:val="18"/>
          <w:vertAlign w:val="baseline"/>
        </w:rPr>
        <w:t>Gender-Sexuality</w:t>
      </w:r>
      <w:r>
        <w:rPr>
          <w:spacing w:val="-2"/>
          <w:sz w:val="18"/>
          <w:vertAlign w:val="baseline"/>
        </w:rPr>
        <w:t> </w:t>
      </w:r>
      <w:r>
        <w:rPr>
          <w:sz w:val="18"/>
          <w:vertAlign w:val="baseline"/>
        </w:rPr>
        <w:t>Alliances</w:t>
      </w:r>
      <w:r>
        <w:rPr>
          <w:spacing w:val="-2"/>
          <w:sz w:val="18"/>
          <w:vertAlign w:val="baseline"/>
        </w:rPr>
        <w:t> </w:t>
      </w:r>
      <w:r>
        <w:rPr>
          <w:sz w:val="18"/>
          <w:vertAlign w:val="baseline"/>
        </w:rPr>
        <w:t>(GSAs)</w:t>
      </w:r>
      <w:r>
        <w:rPr>
          <w:spacing w:val="-2"/>
          <w:sz w:val="18"/>
          <w:vertAlign w:val="baseline"/>
        </w:rPr>
        <w:t> </w:t>
      </w:r>
      <w:r>
        <w:rPr>
          <w:sz w:val="18"/>
          <w:vertAlign w:val="baseline"/>
        </w:rPr>
        <w:t>and GSA Characteristics Predict Youth Empowerment and Reduced Mental Health Concerns.” </w:t>
      </w:r>
      <w:r>
        <w:rPr>
          <w:i/>
          <w:sz w:val="18"/>
          <w:vertAlign w:val="baseline"/>
        </w:rPr>
        <w:t>Child Development 91</w:t>
      </w:r>
      <w:r>
        <w:rPr>
          <w:sz w:val="18"/>
          <w:vertAlign w:val="baseline"/>
        </w:rPr>
        <w:t>, no. 5</w:t>
      </w:r>
      <w:r>
        <w:rPr>
          <w:spacing w:val="40"/>
          <w:sz w:val="18"/>
          <w:vertAlign w:val="baseline"/>
        </w:rPr>
        <w:t> </w:t>
      </w:r>
      <w:r>
        <w:rPr>
          <w:sz w:val="18"/>
          <w:vertAlign w:val="baseline"/>
        </w:rPr>
        <w:t>(September 2020): 1509–28. </w:t>
      </w:r>
      <w:hyperlink r:id="rId243">
        <w:r>
          <w:rPr>
            <w:color w:val="1153CC"/>
            <w:sz w:val="18"/>
            <w:u w:val="single" w:color="1153CC"/>
            <w:vertAlign w:val="baseline"/>
          </w:rPr>
          <w:t>https://doi.org/10.1111/cdev.13345</w:t>
        </w:r>
      </w:hyperlink>
      <w:hyperlink r:id="rId243">
        <w:r>
          <w:rPr>
            <w:sz w:val="18"/>
            <w:u w:val="none"/>
            <w:vertAlign w:val="baseline"/>
          </w:rPr>
          <w:t>.</w:t>
        </w:r>
      </w:hyperlink>
    </w:p>
    <w:p>
      <w:pPr>
        <w:spacing w:before="0"/>
        <w:ind w:left="463" w:right="252" w:hanging="1"/>
        <w:jc w:val="both"/>
        <w:rPr>
          <w:sz w:val="18"/>
        </w:rPr>
      </w:pPr>
      <w:bookmarkStart w:name="_bookmark163" w:id="319"/>
      <w:bookmarkEnd w:id="319"/>
      <w:r>
        <w:rPr/>
      </w:r>
      <w:r>
        <w:rPr>
          <w:sz w:val="18"/>
          <w:vertAlign w:val="superscript"/>
        </w:rPr>
        <w:t>63</w:t>
      </w:r>
      <w:r>
        <w:rPr>
          <w:spacing w:val="-11"/>
          <w:sz w:val="18"/>
          <w:vertAlign w:val="baseline"/>
        </w:rPr>
        <w:t> </w:t>
      </w:r>
      <w:r>
        <w:rPr>
          <w:sz w:val="18"/>
          <w:vertAlign w:val="baseline"/>
        </w:rPr>
        <w:t>Truong,</w:t>
      </w:r>
      <w:r>
        <w:rPr>
          <w:spacing w:val="-1"/>
          <w:sz w:val="18"/>
          <w:vertAlign w:val="baseline"/>
        </w:rPr>
        <w:t> </w:t>
      </w:r>
      <w:r>
        <w:rPr>
          <w:sz w:val="18"/>
          <w:vertAlign w:val="baseline"/>
        </w:rPr>
        <w:t>Nhan, Caitlin Clark, Sarah Rosenbach, and Joseph Kosciw. “The GSA Study: Results of National Surveys About Students’ and</w:t>
      </w:r>
      <w:r>
        <w:rPr>
          <w:spacing w:val="-3"/>
          <w:sz w:val="18"/>
          <w:vertAlign w:val="baseline"/>
        </w:rPr>
        <w:t> </w:t>
      </w:r>
      <w:r>
        <w:rPr>
          <w:sz w:val="18"/>
          <w:vertAlign w:val="baseline"/>
        </w:rPr>
        <w:t>Advisors’</w:t>
      </w:r>
      <w:r>
        <w:rPr>
          <w:spacing w:val="-4"/>
          <w:sz w:val="18"/>
          <w:vertAlign w:val="baseline"/>
        </w:rPr>
        <w:t> </w:t>
      </w:r>
      <w:r>
        <w:rPr>
          <w:sz w:val="18"/>
          <w:vertAlign w:val="baseline"/>
        </w:rPr>
        <w:t>Experiences</w:t>
      </w:r>
      <w:r>
        <w:rPr>
          <w:spacing w:val="-3"/>
          <w:sz w:val="18"/>
          <w:vertAlign w:val="baseline"/>
        </w:rPr>
        <w:t> </w:t>
      </w:r>
      <w:r>
        <w:rPr>
          <w:sz w:val="18"/>
          <w:vertAlign w:val="baseline"/>
        </w:rPr>
        <w:t>in</w:t>
      </w:r>
      <w:r>
        <w:rPr>
          <w:spacing w:val="-3"/>
          <w:sz w:val="18"/>
          <w:vertAlign w:val="baseline"/>
        </w:rPr>
        <w:t> </w:t>
      </w:r>
      <w:r>
        <w:rPr>
          <w:sz w:val="18"/>
          <w:vertAlign w:val="baseline"/>
        </w:rPr>
        <w:t>Gender</w:t>
      </w:r>
      <w:r>
        <w:rPr>
          <w:spacing w:val="-4"/>
          <w:sz w:val="18"/>
          <w:vertAlign w:val="baseline"/>
        </w:rPr>
        <w:t> </w:t>
      </w:r>
      <w:r>
        <w:rPr>
          <w:sz w:val="18"/>
          <w:vertAlign w:val="baseline"/>
        </w:rPr>
        <w:t>and</w:t>
      </w:r>
      <w:r>
        <w:rPr>
          <w:spacing w:val="-3"/>
          <w:sz w:val="18"/>
          <w:vertAlign w:val="baseline"/>
        </w:rPr>
        <w:t> </w:t>
      </w:r>
      <w:r>
        <w:rPr>
          <w:sz w:val="18"/>
          <w:vertAlign w:val="baseline"/>
        </w:rPr>
        <w:t>Sexuality</w:t>
      </w:r>
      <w:r>
        <w:rPr>
          <w:spacing w:val="-3"/>
          <w:sz w:val="18"/>
          <w:vertAlign w:val="baseline"/>
        </w:rPr>
        <w:t> </w:t>
      </w:r>
      <w:r>
        <w:rPr>
          <w:sz w:val="18"/>
          <w:vertAlign w:val="baseline"/>
        </w:rPr>
        <w:t>Alliance</w:t>
      </w:r>
      <w:r>
        <w:rPr>
          <w:spacing w:val="-3"/>
          <w:sz w:val="18"/>
          <w:vertAlign w:val="baseline"/>
        </w:rPr>
        <w:t> </w:t>
      </w:r>
      <w:r>
        <w:rPr>
          <w:sz w:val="18"/>
          <w:vertAlign w:val="baseline"/>
        </w:rPr>
        <w:t>Clubs.”</w:t>
      </w:r>
      <w:r>
        <w:rPr>
          <w:spacing w:val="-3"/>
          <w:sz w:val="18"/>
          <w:vertAlign w:val="baseline"/>
        </w:rPr>
        <w:t> </w:t>
      </w:r>
      <w:r>
        <w:rPr>
          <w:sz w:val="18"/>
          <w:vertAlign w:val="baseline"/>
        </w:rPr>
        <w:t>New</w:t>
      </w:r>
      <w:r>
        <w:rPr>
          <w:spacing w:val="-4"/>
          <w:sz w:val="18"/>
          <w:vertAlign w:val="baseline"/>
        </w:rPr>
        <w:t> </w:t>
      </w:r>
      <w:r>
        <w:rPr>
          <w:sz w:val="18"/>
          <w:vertAlign w:val="baseline"/>
        </w:rPr>
        <w:t>York:</w:t>
      </w:r>
      <w:r>
        <w:rPr>
          <w:spacing w:val="-3"/>
          <w:sz w:val="18"/>
          <w:vertAlign w:val="baseline"/>
        </w:rPr>
        <w:t> </w:t>
      </w:r>
      <w:r>
        <w:rPr>
          <w:sz w:val="18"/>
          <w:vertAlign w:val="baseline"/>
        </w:rPr>
        <w:t>Gay,</w:t>
      </w:r>
      <w:r>
        <w:rPr>
          <w:spacing w:val="-4"/>
          <w:sz w:val="18"/>
          <w:vertAlign w:val="baseline"/>
        </w:rPr>
        <w:t> </w:t>
      </w:r>
      <w:r>
        <w:rPr>
          <w:sz w:val="18"/>
          <w:vertAlign w:val="baseline"/>
        </w:rPr>
        <w:t>Lesbian</w:t>
      </w:r>
      <w:r>
        <w:rPr>
          <w:spacing w:val="-3"/>
          <w:sz w:val="18"/>
          <w:vertAlign w:val="baseline"/>
        </w:rPr>
        <w:t> </w:t>
      </w:r>
      <w:r>
        <w:rPr>
          <w:sz w:val="18"/>
          <w:vertAlign w:val="baseline"/>
        </w:rPr>
        <w:t>and</w:t>
      </w:r>
      <w:r>
        <w:rPr>
          <w:spacing w:val="-3"/>
          <w:sz w:val="18"/>
          <w:vertAlign w:val="baseline"/>
        </w:rPr>
        <w:t> </w:t>
      </w:r>
      <w:r>
        <w:rPr>
          <w:sz w:val="18"/>
          <w:vertAlign w:val="baseline"/>
        </w:rPr>
        <w:t>Straight</w:t>
      </w:r>
      <w:r>
        <w:rPr>
          <w:spacing w:val="-4"/>
          <w:sz w:val="18"/>
          <w:vertAlign w:val="baseline"/>
        </w:rPr>
        <w:t> </w:t>
      </w:r>
      <w:r>
        <w:rPr>
          <w:sz w:val="18"/>
          <w:vertAlign w:val="baseline"/>
        </w:rPr>
        <w:t>Education</w:t>
      </w:r>
      <w:r>
        <w:rPr>
          <w:spacing w:val="-3"/>
          <w:sz w:val="18"/>
          <w:vertAlign w:val="baseline"/>
        </w:rPr>
        <w:t> </w:t>
      </w:r>
      <w:r>
        <w:rPr>
          <w:sz w:val="18"/>
          <w:vertAlign w:val="baseline"/>
        </w:rPr>
        <w:t>Network,</w:t>
      </w:r>
      <w:r>
        <w:rPr>
          <w:spacing w:val="-4"/>
          <w:sz w:val="18"/>
          <w:vertAlign w:val="baseline"/>
        </w:rPr>
        <w:t> </w:t>
      </w:r>
      <w:r>
        <w:rPr>
          <w:sz w:val="18"/>
          <w:vertAlign w:val="baseline"/>
        </w:rPr>
        <w:t>2021. </w:t>
      </w:r>
      <w:bookmarkStart w:name="_bookmark164" w:id="320"/>
      <w:bookmarkEnd w:id="320"/>
      <w:r>
        <w:rPr>
          <w:spacing w:val="-1"/>
          <w:sz w:val="18"/>
          <w:vertAlign w:val="baseline"/>
        </w:rPr>
      </w:r>
      <w:hyperlink r:id="rId244">
        <w:r>
          <w:rPr>
            <w:color w:val="1153CC"/>
            <w:spacing w:val="-2"/>
            <w:sz w:val="18"/>
            <w:u w:val="single" w:color="1153CC"/>
            <w:vertAlign w:val="baseline"/>
          </w:rPr>
          <w:t>https://www.glsen.org/sites/default/files/2021-12/GLSEN_ResearchInstitute_GSAStudy_12012021.pd</w:t>
        </w:r>
      </w:hyperlink>
      <w:hyperlink r:id="rId244">
        <w:r>
          <w:rPr>
            <w:color w:val="1153CC"/>
            <w:spacing w:val="-2"/>
            <w:sz w:val="18"/>
            <w:u w:val="single" w:color="1153CC"/>
            <w:vertAlign w:val="baseline"/>
          </w:rPr>
          <w:t>f</w:t>
        </w:r>
        <w:r>
          <w:rPr>
            <w:spacing w:val="-2"/>
            <w:sz w:val="18"/>
            <w:u w:val="none"/>
            <w:vertAlign w:val="baseline"/>
          </w:rPr>
          <w:t>.</w:t>
        </w:r>
      </w:hyperlink>
    </w:p>
    <w:p>
      <w:pPr>
        <w:spacing w:before="0"/>
        <w:ind w:left="463" w:right="254" w:hanging="1"/>
        <w:jc w:val="left"/>
        <w:rPr>
          <w:sz w:val="18"/>
        </w:rPr>
      </w:pPr>
      <w:r>
        <w:rPr>
          <w:sz w:val="18"/>
          <w:vertAlign w:val="superscript"/>
        </w:rPr>
        <w:t>64</w:t>
      </w:r>
      <w:r>
        <w:rPr>
          <w:spacing w:val="-9"/>
          <w:sz w:val="18"/>
          <w:vertAlign w:val="baseline"/>
        </w:rPr>
        <w:t> </w:t>
      </w:r>
      <w:r>
        <w:rPr>
          <w:sz w:val="18"/>
          <w:vertAlign w:val="baseline"/>
        </w:rPr>
        <w:t>Wilkerson, J. Michael, Vanessa R. Schick, Kim A. Romijnders, Jessica Bauldry, Seyram A. Butame, and the Montrose Center. “Social</w:t>
      </w:r>
      <w:r>
        <w:rPr>
          <w:spacing w:val="-4"/>
          <w:sz w:val="18"/>
          <w:vertAlign w:val="baseline"/>
        </w:rPr>
        <w:t> </w:t>
      </w:r>
      <w:r>
        <w:rPr>
          <w:sz w:val="18"/>
          <w:vertAlign w:val="baseline"/>
        </w:rPr>
        <w:t>Support,</w:t>
      </w:r>
      <w:r>
        <w:rPr>
          <w:spacing w:val="-3"/>
          <w:sz w:val="18"/>
          <w:vertAlign w:val="baseline"/>
        </w:rPr>
        <w:t> </w:t>
      </w:r>
      <w:r>
        <w:rPr>
          <w:sz w:val="18"/>
          <w:vertAlign w:val="baseline"/>
        </w:rPr>
        <w:t>Depression,</w:t>
      </w:r>
      <w:r>
        <w:rPr>
          <w:spacing w:val="-4"/>
          <w:sz w:val="18"/>
          <w:vertAlign w:val="baseline"/>
        </w:rPr>
        <w:t> </w:t>
      </w:r>
      <w:r>
        <w:rPr>
          <w:sz w:val="18"/>
          <w:vertAlign w:val="baseline"/>
        </w:rPr>
        <w:t>Self-Esteem,</w:t>
      </w:r>
      <w:r>
        <w:rPr>
          <w:spacing w:val="-4"/>
          <w:sz w:val="18"/>
          <w:vertAlign w:val="baseline"/>
        </w:rPr>
        <w:t> </w:t>
      </w:r>
      <w:r>
        <w:rPr>
          <w:sz w:val="18"/>
          <w:vertAlign w:val="baseline"/>
        </w:rPr>
        <w:t>and</w:t>
      </w:r>
      <w:r>
        <w:rPr>
          <w:spacing w:val="-3"/>
          <w:sz w:val="18"/>
          <w:vertAlign w:val="baseline"/>
        </w:rPr>
        <w:t> </w:t>
      </w:r>
      <w:r>
        <w:rPr>
          <w:sz w:val="18"/>
          <w:vertAlign w:val="baseline"/>
        </w:rPr>
        <w:t>Coping</w:t>
      </w:r>
      <w:r>
        <w:rPr>
          <w:spacing w:val="-3"/>
          <w:sz w:val="18"/>
          <w:vertAlign w:val="baseline"/>
        </w:rPr>
        <w:t> </w:t>
      </w:r>
      <w:r>
        <w:rPr>
          <w:sz w:val="18"/>
          <w:vertAlign w:val="baseline"/>
        </w:rPr>
        <w:t>Among</w:t>
      </w:r>
      <w:r>
        <w:rPr>
          <w:spacing w:val="-3"/>
          <w:sz w:val="18"/>
          <w:vertAlign w:val="baseline"/>
        </w:rPr>
        <w:t> </w:t>
      </w:r>
      <w:r>
        <w:rPr>
          <w:sz w:val="18"/>
          <w:vertAlign w:val="baseline"/>
        </w:rPr>
        <w:t>LGBTQ</w:t>
      </w:r>
      <w:r>
        <w:rPr>
          <w:spacing w:val="-3"/>
          <w:sz w:val="18"/>
          <w:vertAlign w:val="baseline"/>
        </w:rPr>
        <w:t> </w:t>
      </w:r>
      <w:r>
        <w:rPr>
          <w:sz w:val="18"/>
          <w:vertAlign w:val="baseline"/>
        </w:rPr>
        <w:t>Adolescents</w:t>
      </w:r>
      <w:r>
        <w:rPr>
          <w:spacing w:val="-4"/>
          <w:sz w:val="18"/>
          <w:vertAlign w:val="baseline"/>
        </w:rPr>
        <w:t> </w:t>
      </w:r>
      <w:r>
        <w:rPr>
          <w:sz w:val="18"/>
          <w:vertAlign w:val="baseline"/>
        </w:rPr>
        <w:t>Participating</w:t>
      </w:r>
      <w:r>
        <w:rPr>
          <w:spacing w:val="-3"/>
          <w:sz w:val="18"/>
          <w:vertAlign w:val="baseline"/>
        </w:rPr>
        <w:t> </w:t>
      </w:r>
      <w:r>
        <w:rPr>
          <w:sz w:val="18"/>
          <w:vertAlign w:val="baseline"/>
        </w:rPr>
        <w:t>in</w:t>
      </w:r>
      <w:r>
        <w:rPr>
          <w:spacing w:val="-2"/>
          <w:sz w:val="18"/>
          <w:vertAlign w:val="baseline"/>
        </w:rPr>
        <w:t> </w:t>
      </w:r>
      <w:r>
        <w:rPr>
          <w:sz w:val="18"/>
          <w:vertAlign w:val="baseline"/>
        </w:rPr>
        <w:t>Hatch</w:t>
      </w:r>
      <w:r>
        <w:rPr>
          <w:spacing w:val="-3"/>
          <w:sz w:val="18"/>
          <w:vertAlign w:val="baseline"/>
        </w:rPr>
        <w:t> </w:t>
      </w:r>
      <w:r>
        <w:rPr>
          <w:sz w:val="18"/>
          <w:vertAlign w:val="baseline"/>
        </w:rPr>
        <w:t>Youth.”</w:t>
      </w:r>
      <w:r>
        <w:rPr>
          <w:spacing w:val="-3"/>
          <w:sz w:val="18"/>
          <w:vertAlign w:val="baseline"/>
        </w:rPr>
        <w:t> </w:t>
      </w:r>
      <w:r>
        <w:rPr>
          <w:i/>
          <w:sz w:val="18"/>
          <w:vertAlign w:val="baseline"/>
        </w:rPr>
        <w:t>Health</w:t>
      </w:r>
      <w:r>
        <w:rPr>
          <w:i/>
          <w:spacing w:val="-3"/>
          <w:sz w:val="18"/>
          <w:vertAlign w:val="baseline"/>
        </w:rPr>
        <w:t> </w:t>
      </w:r>
      <w:r>
        <w:rPr>
          <w:i/>
          <w:sz w:val="18"/>
          <w:vertAlign w:val="baseline"/>
        </w:rPr>
        <w:t>Promotion</w:t>
      </w:r>
      <w:r>
        <w:rPr>
          <w:i/>
          <w:sz w:val="18"/>
          <w:vertAlign w:val="baseline"/>
        </w:rPr>
        <w:t> </w:t>
      </w:r>
      <w:bookmarkStart w:name="_bookmark165" w:id="321"/>
      <w:bookmarkEnd w:id="321"/>
      <w:r>
        <w:rPr>
          <w:i/>
          <w:sz w:val="18"/>
          <w:vertAlign w:val="baseline"/>
        </w:rPr>
        <w:t>P</w:t>
      </w:r>
      <w:r>
        <w:rPr>
          <w:i/>
          <w:sz w:val="18"/>
          <w:vertAlign w:val="baseline"/>
        </w:rPr>
        <w:t>ractice </w:t>
      </w:r>
      <w:r>
        <w:rPr>
          <w:sz w:val="18"/>
          <w:vertAlign w:val="baseline"/>
        </w:rPr>
        <w:t>18, no. 3 (May 2017): 358–65. </w:t>
      </w:r>
      <w:hyperlink r:id="rId245">
        <w:r>
          <w:rPr>
            <w:color w:val="1153CC"/>
            <w:sz w:val="18"/>
            <w:u w:val="single" w:color="1153CC"/>
            <w:vertAlign w:val="baseline"/>
          </w:rPr>
          <w:t>https://doi.org/10.1177/1524839916654461</w:t>
        </w:r>
      </w:hyperlink>
      <w:hyperlink r:id="rId245">
        <w:r>
          <w:rPr>
            <w:sz w:val="18"/>
            <w:u w:val="none"/>
            <w:vertAlign w:val="baseline"/>
          </w:rPr>
          <w:t>.</w:t>
        </w:r>
      </w:hyperlink>
    </w:p>
    <w:p>
      <w:pPr>
        <w:spacing w:before="0"/>
        <w:ind w:left="463" w:right="0" w:hanging="1"/>
        <w:jc w:val="left"/>
        <w:rPr>
          <w:sz w:val="18"/>
        </w:rPr>
      </w:pPr>
      <w:r>
        <w:rPr>
          <w:sz w:val="18"/>
          <w:vertAlign w:val="superscript"/>
        </w:rPr>
        <w:t>65</w:t>
      </w:r>
      <w:r>
        <w:rPr>
          <w:spacing w:val="-13"/>
          <w:sz w:val="18"/>
          <w:vertAlign w:val="baseline"/>
        </w:rPr>
        <w:t> </w:t>
      </w:r>
      <w:r>
        <w:rPr>
          <w:sz w:val="18"/>
          <w:vertAlign w:val="baseline"/>
        </w:rPr>
        <w:t>Centers</w:t>
      </w:r>
      <w:r>
        <w:rPr>
          <w:spacing w:val="-4"/>
          <w:sz w:val="18"/>
          <w:vertAlign w:val="baseline"/>
        </w:rPr>
        <w:t> </w:t>
      </w:r>
      <w:r>
        <w:rPr>
          <w:sz w:val="18"/>
          <w:vertAlign w:val="baseline"/>
        </w:rPr>
        <w:t>for</w:t>
      </w:r>
      <w:r>
        <w:rPr>
          <w:spacing w:val="-4"/>
          <w:sz w:val="18"/>
          <w:vertAlign w:val="baseline"/>
        </w:rPr>
        <w:t> </w:t>
      </w:r>
      <w:r>
        <w:rPr>
          <w:sz w:val="18"/>
          <w:vertAlign w:val="baseline"/>
        </w:rPr>
        <w:t>Disease</w:t>
      </w:r>
      <w:r>
        <w:rPr>
          <w:spacing w:val="-3"/>
          <w:sz w:val="18"/>
          <w:vertAlign w:val="baseline"/>
        </w:rPr>
        <w:t> </w:t>
      </w:r>
      <w:r>
        <w:rPr>
          <w:sz w:val="18"/>
          <w:vertAlign w:val="baseline"/>
        </w:rPr>
        <w:t>Control</w:t>
      </w:r>
      <w:r>
        <w:rPr>
          <w:spacing w:val="-4"/>
          <w:sz w:val="18"/>
          <w:vertAlign w:val="baseline"/>
        </w:rPr>
        <w:t> </w:t>
      </w:r>
      <w:r>
        <w:rPr>
          <w:sz w:val="18"/>
          <w:vertAlign w:val="baseline"/>
        </w:rPr>
        <w:t>and</w:t>
      </w:r>
      <w:r>
        <w:rPr>
          <w:spacing w:val="-3"/>
          <w:sz w:val="18"/>
          <w:vertAlign w:val="baseline"/>
        </w:rPr>
        <w:t> </w:t>
      </w:r>
      <w:r>
        <w:rPr>
          <w:sz w:val="18"/>
          <w:vertAlign w:val="baseline"/>
        </w:rPr>
        <w:t>Prevention.</w:t>
      </w:r>
      <w:r>
        <w:rPr>
          <w:spacing w:val="-3"/>
          <w:sz w:val="18"/>
          <w:vertAlign w:val="baseline"/>
        </w:rPr>
        <w:t> </w:t>
      </w:r>
      <w:r>
        <w:rPr>
          <w:sz w:val="18"/>
          <w:vertAlign w:val="baseline"/>
        </w:rPr>
        <w:t>“School</w:t>
      </w:r>
      <w:r>
        <w:rPr>
          <w:spacing w:val="-4"/>
          <w:sz w:val="18"/>
          <w:vertAlign w:val="baseline"/>
        </w:rPr>
        <w:t> </w:t>
      </w:r>
      <w:r>
        <w:rPr>
          <w:sz w:val="18"/>
          <w:vertAlign w:val="baseline"/>
        </w:rPr>
        <w:t>Connectedness:</w:t>
      </w:r>
      <w:r>
        <w:rPr>
          <w:spacing w:val="-3"/>
          <w:sz w:val="18"/>
          <w:vertAlign w:val="baseline"/>
        </w:rPr>
        <w:t> </w:t>
      </w:r>
      <w:r>
        <w:rPr>
          <w:sz w:val="18"/>
          <w:vertAlign w:val="baseline"/>
        </w:rPr>
        <w:t>Strategies</w:t>
      </w:r>
      <w:r>
        <w:rPr>
          <w:spacing w:val="-3"/>
          <w:sz w:val="18"/>
          <w:vertAlign w:val="baseline"/>
        </w:rPr>
        <w:t> </w:t>
      </w:r>
      <w:r>
        <w:rPr>
          <w:sz w:val="18"/>
          <w:vertAlign w:val="baseline"/>
        </w:rPr>
        <w:t>for</w:t>
      </w:r>
      <w:r>
        <w:rPr>
          <w:spacing w:val="-4"/>
          <w:sz w:val="18"/>
          <w:vertAlign w:val="baseline"/>
        </w:rPr>
        <w:t> </w:t>
      </w:r>
      <w:r>
        <w:rPr>
          <w:sz w:val="18"/>
          <w:vertAlign w:val="baseline"/>
        </w:rPr>
        <w:t>Increasing</w:t>
      </w:r>
      <w:r>
        <w:rPr>
          <w:spacing w:val="-4"/>
          <w:sz w:val="18"/>
          <w:vertAlign w:val="baseline"/>
        </w:rPr>
        <w:t> </w:t>
      </w:r>
      <w:r>
        <w:rPr>
          <w:sz w:val="18"/>
          <w:vertAlign w:val="baseline"/>
        </w:rPr>
        <w:t>Protective</w:t>
      </w:r>
      <w:r>
        <w:rPr>
          <w:spacing w:val="-3"/>
          <w:sz w:val="18"/>
          <w:vertAlign w:val="baseline"/>
        </w:rPr>
        <w:t> </w:t>
      </w:r>
      <w:r>
        <w:rPr>
          <w:sz w:val="18"/>
          <w:vertAlign w:val="baseline"/>
        </w:rPr>
        <w:t>Factors</w:t>
      </w:r>
      <w:r>
        <w:rPr>
          <w:spacing w:val="-3"/>
          <w:sz w:val="18"/>
          <w:vertAlign w:val="baseline"/>
        </w:rPr>
        <w:t> </w:t>
      </w:r>
      <w:r>
        <w:rPr>
          <w:sz w:val="18"/>
          <w:vertAlign w:val="baseline"/>
        </w:rPr>
        <w:t>among</w:t>
      </w:r>
      <w:r>
        <w:rPr>
          <w:spacing w:val="-3"/>
          <w:sz w:val="18"/>
          <w:vertAlign w:val="baseline"/>
        </w:rPr>
        <w:t> </w:t>
      </w:r>
      <w:r>
        <w:rPr>
          <w:sz w:val="18"/>
          <w:vertAlign w:val="baseline"/>
        </w:rPr>
        <w:t>Youth.” </w:t>
      </w:r>
      <w:bookmarkStart w:name="_bookmark166" w:id="322"/>
      <w:bookmarkEnd w:id="322"/>
      <w:r>
        <w:rPr>
          <w:sz w:val="18"/>
          <w:vertAlign w:val="baseline"/>
        </w:rPr>
        <w:t>A</w:t>
      </w:r>
      <w:r>
        <w:rPr>
          <w:sz w:val="18"/>
          <w:vertAlign w:val="baseline"/>
        </w:rPr>
        <w:t>tlanta: US Department of Health and Human Services, 2009. </w:t>
      </w:r>
      <w:hyperlink r:id="rId246">
        <w:r>
          <w:rPr>
            <w:color w:val="1153CC"/>
            <w:sz w:val="18"/>
            <w:u w:val="single" w:color="1153CC"/>
            <w:vertAlign w:val="baseline"/>
          </w:rPr>
          <w:t>https://files.eric.ed.gov/fulltext/ED511993.pd</w:t>
        </w:r>
      </w:hyperlink>
      <w:hyperlink r:id="rId246">
        <w:r>
          <w:rPr>
            <w:color w:val="1153CC"/>
            <w:sz w:val="18"/>
            <w:u w:val="single" w:color="1153CC"/>
            <w:vertAlign w:val="baseline"/>
          </w:rPr>
          <w:t>f</w:t>
        </w:r>
        <w:r>
          <w:rPr>
            <w:sz w:val="18"/>
            <w:u w:val="none"/>
            <w:vertAlign w:val="baseline"/>
          </w:rPr>
          <w:t>.</w:t>
        </w:r>
      </w:hyperlink>
    </w:p>
    <w:p>
      <w:pPr>
        <w:spacing w:before="0"/>
        <w:ind w:left="463" w:right="314" w:hanging="1"/>
        <w:jc w:val="left"/>
        <w:rPr>
          <w:sz w:val="18"/>
        </w:rPr>
      </w:pPr>
      <w:r>
        <w:rPr>
          <w:sz w:val="18"/>
          <w:vertAlign w:val="superscript"/>
        </w:rPr>
        <w:t>66</w:t>
      </w:r>
      <w:r>
        <w:rPr>
          <w:spacing w:val="-9"/>
          <w:sz w:val="18"/>
          <w:vertAlign w:val="baseline"/>
        </w:rPr>
        <w:t> </w:t>
      </w:r>
      <w:r>
        <w:rPr>
          <w:sz w:val="18"/>
          <w:vertAlign w:val="baseline"/>
        </w:rPr>
        <w:t>Gillig, Traci K., Lynn C. Miller, and Courtney M. Cox. “‘She Finally Smiles … for Real’: Reducing Depressive Symptoms and Bolstering</w:t>
      </w:r>
      <w:r>
        <w:rPr>
          <w:spacing w:val="-2"/>
          <w:sz w:val="18"/>
          <w:vertAlign w:val="baseline"/>
        </w:rPr>
        <w:t> </w:t>
      </w:r>
      <w:r>
        <w:rPr>
          <w:sz w:val="18"/>
          <w:vertAlign w:val="baseline"/>
        </w:rPr>
        <w:t>Resilience</w:t>
      </w:r>
      <w:r>
        <w:rPr>
          <w:spacing w:val="-2"/>
          <w:sz w:val="18"/>
          <w:vertAlign w:val="baseline"/>
        </w:rPr>
        <w:t> </w:t>
      </w:r>
      <w:r>
        <w:rPr>
          <w:sz w:val="18"/>
          <w:vertAlign w:val="baseline"/>
        </w:rPr>
        <w:t>Through</w:t>
      </w:r>
      <w:r>
        <w:rPr>
          <w:spacing w:val="-2"/>
          <w:sz w:val="18"/>
          <w:vertAlign w:val="baseline"/>
        </w:rPr>
        <w:t> </w:t>
      </w:r>
      <w:r>
        <w:rPr>
          <w:sz w:val="18"/>
          <w:vertAlign w:val="baseline"/>
        </w:rPr>
        <w:t>a</w:t>
      </w:r>
      <w:r>
        <w:rPr>
          <w:spacing w:val="-3"/>
          <w:sz w:val="18"/>
          <w:vertAlign w:val="baseline"/>
        </w:rPr>
        <w:t> </w:t>
      </w:r>
      <w:r>
        <w:rPr>
          <w:sz w:val="18"/>
          <w:vertAlign w:val="baseline"/>
        </w:rPr>
        <w:t>Camp</w:t>
      </w:r>
      <w:r>
        <w:rPr>
          <w:spacing w:val="-2"/>
          <w:sz w:val="18"/>
          <w:vertAlign w:val="baseline"/>
        </w:rPr>
        <w:t> </w:t>
      </w:r>
      <w:r>
        <w:rPr>
          <w:sz w:val="18"/>
          <w:vertAlign w:val="baseline"/>
        </w:rPr>
        <w:t>Intervention</w:t>
      </w:r>
      <w:r>
        <w:rPr>
          <w:spacing w:val="-2"/>
          <w:sz w:val="18"/>
          <w:vertAlign w:val="baseline"/>
        </w:rPr>
        <w:t> </w:t>
      </w:r>
      <w:r>
        <w:rPr>
          <w:sz w:val="18"/>
          <w:vertAlign w:val="baseline"/>
        </w:rPr>
        <w:t>for</w:t>
      </w:r>
      <w:r>
        <w:rPr>
          <w:spacing w:val="-3"/>
          <w:sz w:val="18"/>
          <w:vertAlign w:val="baseline"/>
        </w:rPr>
        <w:t> </w:t>
      </w:r>
      <w:r>
        <w:rPr>
          <w:sz w:val="18"/>
          <w:vertAlign w:val="baseline"/>
        </w:rPr>
        <w:t>LGBTQ</w:t>
      </w:r>
      <w:r>
        <w:rPr>
          <w:spacing w:val="-2"/>
          <w:sz w:val="18"/>
          <w:vertAlign w:val="baseline"/>
        </w:rPr>
        <w:t> </w:t>
      </w:r>
      <w:r>
        <w:rPr>
          <w:sz w:val="18"/>
          <w:vertAlign w:val="baseline"/>
        </w:rPr>
        <w:t>Youth.”</w:t>
      </w:r>
      <w:r>
        <w:rPr>
          <w:spacing w:val="-2"/>
          <w:sz w:val="18"/>
          <w:vertAlign w:val="baseline"/>
        </w:rPr>
        <w:t> </w:t>
      </w:r>
      <w:r>
        <w:rPr>
          <w:i/>
          <w:sz w:val="18"/>
          <w:vertAlign w:val="baseline"/>
        </w:rPr>
        <w:t>Journal</w:t>
      </w:r>
      <w:r>
        <w:rPr>
          <w:i/>
          <w:spacing w:val="-3"/>
          <w:sz w:val="18"/>
          <w:vertAlign w:val="baseline"/>
        </w:rPr>
        <w:t> </w:t>
      </w:r>
      <w:r>
        <w:rPr>
          <w:i/>
          <w:sz w:val="18"/>
          <w:vertAlign w:val="baseline"/>
        </w:rPr>
        <w:t>of</w:t>
      </w:r>
      <w:r>
        <w:rPr>
          <w:i/>
          <w:spacing w:val="-2"/>
          <w:sz w:val="18"/>
          <w:vertAlign w:val="baseline"/>
        </w:rPr>
        <w:t> </w:t>
      </w:r>
      <w:r>
        <w:rPr>
          <w:i/>
          <w:sz w:val="18"/>
          <w:vertAlign w:val="baseline"/>
        </w:rPr>
        <w:t>Homosexuality</w:t>
      </w:r>
      <w:r>
        <w:rPr>
          <w:i/>
          <w:spacing w:val="-2"/>
          <w:sz w:val="18"/>
          <w:vertAlign w:val="baseline"/>
        </w:rPr>
        <w:t> </w:t>
      </w:r>
      <w:r>
        <w:rPr>
          <w:sz w:val="18"/>
          <w:vertAlign w:val="baseline"/>
        </w:rPr>
        <w:t>66,</w:t>
      </w:r>
      <w:r>
        <w:rPr>
          <w:spacing w:val="-3"/>
          <w:sz w:val="18"/>
          <w:vertAlign w:val="baseline"/>
        </w:rPr>
        <w:t> </w:t>
      </w:r>
      <w:r>
        <w:rPr>
          <w:sz w:val="18"/>
          <w:vertAlign w:val="baseline"/>
        </w:rPr>
        <w:t>no.</w:t>
      </w:r>
      <w:r>
        <w:rPr>
          <w:spacing w:val="-2"/>
          <w:sz w:val="18"/>
          <w:vertAlign w:val="baseline"/>
        </w:rPr>
        <w:t> </w:t>
      </w:r>
      <w:r>
        <w:rPr>
          <w:sz w:val="18"/>
          <w:vertAlign w:val="baseline"/>
        </w:rPr>
        <w:t>3</w:t>
      </w:r>
      <w:r>
        <w:rPr>
          <w:spacing w:val="-2"/>
          <w:sz w:val="18"/>
          <w:vertAlign w:val="baseline"/>
        </w:rPr>
        <w:t> </w:t>
      </w:r>
      <w:r>
        <w:rPr>
          <w:sz w:val="18"/>
          <w:vertAlign w:val="baseline"/>
        </w:rPr>
        <w:t>(February</w:t>
      </w:r>
      <w:r>
        <w:rPr>
          <w:spacing w:val="-2"/>
          <w:sz w:val="18"/>
          <w:vertAlign w:val="baseline"/>
        </w:rPr>
        <w:t> </w:t>
      </w:r>
      <w:r>
        <w:rPr>
          <w:sz w:val="18"/>
          <w:vertAlign w:val="baseline"/>
        </w:rPr>
        <w:t>23,</w:t>
      </w:r>
      <w:r>
        <w:rPr>
          <w:spacing w:val="-3"/>
          <w:sz w:val="18"/>
          <w:vertAlign w:val="baseline"/>
        </w:rPr>
        <w:t> </w:t>
      </w:r>
      <w:r>
        <w:rPr>
          <w:sz w:val="18"/>
          <w:vertAlign w:val="baseline"/>
        </w:rPr>
        <w:t>2019): </w:t>
      </w:r>
      <w:bookmarkStart w:name="_bookmark167" w:id="323"/>
      <w:bookmarkEnd w:id="323"/>
      <w:r>
        <w:rPr>
          <w:sz w:val="18"/>
          <w:vertAlign w:val="baseline"/>
        </w:rPr>
        <w:t>368–</w:t>
      </w:r>
      <w:r>
        <w:rPr>
          <w:sz w:val="18"/>
          <w:vertAlign w:val="baseline"/>
        </w:rPr>
        <w:t>88. </w:t>
      </w:r>
      <w:hyperlink r:id="rId247">
        <w:r>
          <w:rPr>
            <w:color w:val="1153CC"/>
            <w:sz w:val="18"/>
            <w:u w:val="single" w:color="1153CC"/>
            <w:vertAlign w:val="baseline"/>
          </w:rPr>
          <w:t>https://doi.org/10.1080/00918369.2017.1411693</w:t>
        </w:r>
      </w:hyperlink>
      <w:hyperlink r:id="rId247">
        <w:r>
          <w:rPr>
            <w:sz w:val="18"/>
            <w:u w:val="none"/>
            <w:vertAlign w:val="baseline"/>
          </w:rPr>
          <w:t>.</w:t>
        </w:r>
      </w:hyperlink>
    </w:p>
    <w:p>
      <w:pPr>
        <w:spacing w:before="0"/>
        <w:ind w:left="463" w:right="326" w:firstLine="0"/>
        <w:jc w:val="left"/>
        <w:rPr>
          <w:sz w:val="18"/>
        </w:rPr>
      </w:pPr>
      <w:r>
        <w:rPr>
          <w:sz w:val="18"/>
          <w:vertAlign w:val="superscript"/>
        </w:rPr>
        <w:t>67</w:t>
      </w:r>
      <w:r>
        <w:rPr>
          <w:spacing w:val="-9"/>
          <w:sz w:val="18"/>
          <w:vertAlign w:val="baseline"/>
        </w:rPr>
        <w:t> </w:t>
      </w:r>
      <w:r>
        <w:rPr>
          <w:sz w:val="18"/>
          <w:vertAlign w:val="baseline"/>
        </w:rPr>
        <w:t>Gillig, Traci K., and Leila Bighash. “Network and Proximity Effects on LGBTQ Youth’s Psychological Outcomes during a Camp Intervention.”</w:t>
      </w:r>
      <w:r>
        <w:rPr>
          <w:spacing w:val="-1"/>
          <w:sz w:val="18"/>
          <w:vertAlign w:val="baseline"/>
        </w:rPr>
        <w:t> </w:t>
      </w:r>
      <w:r>
        <w:rPr>
          <w:i/>
          <w:sz w:val="18"/>
          <w:vertAlign w:val="baseline"/>
        </w:rPr>
        <w:t>Health</w:t>
      </w:r>
      <w:r>
        <w:rPr>
          <w:i/>
          <w:spacing w:val="-2"/>
          <w:sz w:val="18"/>
          <w:vertAlign w:val="baseline"/>
        </w:rPr>
        <w:t> </w:t>
      </w:r>
      <w:r>
        <w:rPr>
          <w:i/>
          <w:sz w:val="18"/>
          <w:vertAlign w:val="baseline"/>
        </w:rPr>
        <w:t>Communication</w:t>
      </w:r>
      <w:r>
        <w:rPr>
          <w:i/>
          <w:spacing w:val="-2"/>
          <w:sz w:val="18"/>
          <w:vertAlign w:val="baseline"/>
        </w:rPr>
        <w:t> </w:t>
      </w:r>
      <w:r>
        <w:rPr>
          <w:sz w:val="18"/>
          <w:vertAlign w:val="baseline"/>
        </w:rPr>
        <w:t>38,</w:t>
      </w:r>
      <w:r>
        <w:rPr>
          <w:spacing w:val="-2"/>
          <w:sz w:val="18"/>
          <w:vertAlign w:val="baseline"/>
        </w:rPr>
        <w:t> </w:t>
      </w:r>
      <w:r>
        <w:rPr>
          <w:sz w:val="18"/>
          <w:vertAlign w:val="baseline"/>
        </w:rPr>
        <w:t>no.</w:t>
      </w:r>
      <w:r>
        <w:rPr>
          <w:spacing w:val="-1"/>
          <w:sz w:val="18"/>
          <w:vertAlign w:val="baseline"/>
        </w:rPr>
        <w:t> </w:t>
      </w:r>
      <w:r>
        <w:rPr>
          <w:sz w:val="18"/>
          <w:vertAlign w:val="baseline"/>
        </w:rPr>
        <w:t>4</w:t>
      </w:r>
      <w:r>
        <w:rPr>
          <w:spacing w:val="-1"/>
          <w:sz w:val="18"/>
          <w:vertAlign w:val="baseline"/>
        </w:rPr>
        <w:t> </w:t>
      </w:r>
      <w:r>
        <w:rPr>
          <w:sz w:val="18"/>
          <w:vertAlign w:val="baseline"/>
        </w:rPr>
        <w:t>(March</w:t>
      </w:r>
      <w:r>
        <w:rPr>
          <w:spacing w:val="-1"/>
          <w:sz w:val="18"/>
          <w:vertAlign w:val="baseline"/>
        </w:rPr>
        <w:t> </w:t>
      </w:r>
      <w:r>
        <w:rPr>
          <w:sz w:val="18"/>
          <w:vertAlign w:val="baseline"/>
        </w:rPr>
        <w:t>21,</w:t>
      </w:r>
      <w:r>
        <w:rPr>
          <w:spacing w:val="-2"/>
          <w:sz w:val="18"/>
          <w:vertAlign w:val="baseline"/>
        </w:rPr>
        <w:t> </w:t>
      </w:r>
      <w:r>
        <w:rPr>
          <w:sz w:val="18"/>
          <w:vertAlign w:val="baseline"/>
        </w:rPr>
        <w:t>2023):</w:t>
      </w:r>
      <w:r>
        <w:rPr>
          <w:spacing w:val="-1"/>
          <w:sz w:val="18"/>
          <w:vertAlign w:val="baseline"/>
        </w:rPr>
        <w:t> </w:t>
      </w:r>
      <w:r>
        <w:rPr>
          <w:sz w:val="18"/>
          <w:vertAlign w:val="baseline"/>
        </w:rPr>
        <w:t>641–47.</w:t>
      </w:r>
      <w:r>
        <w:rPr>
          <w:spacing w:val="-1"/>
          <w:sz w:val="18"/>
          <w:vertAlign w:val="baseline"/>
        </w:rPr>
        <w:t> </w:t>
      </w:r>
      <w:hyperlink r:id="rId248">
        <w:r>
          <w:rPr>
            <w:color w:val="1153CC"/>
            <w:sz w:val="18"/>
            <w:u w:val="single" w:color="1153CC"/>
            <w:vertAlign w:val="baseline"/>
          </w:rPr>
          <w:t>https://doi.org/10.1080/10410236.2021.1958983</w:t>
        </w:r>
      </w:hyperlink>
      <w:hyperlink r:id="rId248">
        <w:r>
          <w:rPr>
            <w:sz w:val="18"/>
            <w:u w:val="none"/>
            <w:vertAlign w:val="baseline"/>
          </w:rPr>
          <w:t>.</w:t>
        </w:r>
      </w:hyperlink>
      <w:r>
        <w:rPr>
          <w:spacing w:val="-1"/>
          <w:sz w:val="18"/>
          <w:u w:val="none"/>
          <w:vertAlign w:val="baseline"/>
        </w:rPr>
        <w:t> </w:t>
      </w:r>
      <w:r>
        <w:rPr>
          <w:sz w:val="18"/>
          <w:u w:val="none"/>
          <w:vertAlign w:val="superscript"/>
        </w:rPr>
        <w:t>68</w:t>
      </w:r>
      <w:r>
        <w:rPr>
          <w:sz w:val="18"/>
          <w:u w:val="none"/>
          <w:vertAlign w:val="baseline"/>
        </w:rPr>
        <w:t> Weinhardt, Lance S., Linda M. Wesp, Hui Xie, Jennifer (Jen) Murray, Jeanette Martín, Sarah DeGeorge, Caleb B. Weinhardt, Maren</w:t>
      </w:r>
      <w:r>
        <w:rPr>
          <w:spacing w:val="-3"/>
          <w:sz w:val="18"/>
          <w:u w:val="none"/>
          <w:vertAlign w:val="baseline"/>
        </w:rPr>
        <w:t> </w:t>
      </w:r>
      <w:r>
        <w:rPr>
          <w:sz w:val="18"/>
          <w:u w:val="none"/>
          <w:vertAlign w:val="baseline"/>
        </w:rPr>
        <w:t>Hawkins,</w:t>
      </w:r>
      <w:r>
        <w:rPr>
          <w:spacing w:val="-3"/>
          <w:sz w:val="18"/>
          <w:u w:val="none"/>
          <w:vertAlign w:val="baseline"/>
        </w:rPr>
        <w:t> </w:t>
      </w:r>
      <w:r>
        <w:rPr>
          <w:sz w:val="18"/>
          <w:u w:val="none"/>
          <w:vertAlign w:val="baseline"/>
        </w:rPr>
        <w:t>and</w:t>
      </w:r>
      <w:r>
        <w:rPr>
          <w:spacing w:val="-3"/>
          <w:sz w:val="18"/>
          <w:u w:val="none"/>
          <w:vertAlign w:val="baseline"/>
        </w:rPr>
        <w:t> </w:t>
      </w:r>
      <w:r>
        <w:rPr>
          <w:sz w:val="18"/>
          <w:u w:val="none"/>
          <w:vertAlign w:val="baseline"/>
        </w:rPr>
        <w:t>Patricia</w:t>
      </w:r>
      <w:r>
        <w:rPr>
          <w:spacing w:val="-3"/>
          <w:sz w:val="18"/>
          <w:u w:val="none"/>
          <w:vertAlign w:val="baseline"/>
        </w:rPr>
        <w:t> </w:t>
      </w:r>
      <w:r>
        <w:rPr>
          <w:sz w:val="18"/>
          <w:u w:val="none"/>
          <w:vertAlign w:val="baseline"/>
        </w:rPr>
        <w:t>Stevens.</w:t>
      </w:r>
      <w:r>
        <w:rPr>
          <w:spacing w:val="-3"/>
          <w:sz w:val="18"/>
          <w:u w:val="none"/>
          <w:vertAlign w:val="baseline"/>
        </w:rPr>
        <w:t> </w:t>
      </w:r>
      <w:r>
        <w:rPr>
          <w:sz w:val="18"/>
          <w:u w:val="none"/>
          <w:vertAlign w:val="baseline"/>
        </w:rPr>
        <w:t>“Pride</w:t>
      </w:r>
      <w:r>
        <w:rPr>
          <w:spacing w:val="-3"/>
          <w:sz w:val="18"/>
          <w:u w:val="none"/>
          <w:vertAlign w:val="baseline"/>
        </w:rPr>
        <w:t> </w:t>
      </w:r>
      <w:r>
        <w:rPr>
          <w:sz w:val="18"/>
          <w:u w:val="none"/>
          <w:vertAlign w:val="baseline"/>
        </w:rPr>
        <w:t>Camp:</w:t>
      </w:r>
      <w:r>
        <w:rPr>
          <w:spacing w:val="-3"/>
          <w:sz w:val="18"/>
          <w:u w:val="none"/>
          <w:vertAlign w:val="baseline"/>
        </w:rPr>
        <w:t> </w:t>
      </w:r>
      <w:r>
        <w:rPr>
          <w:sz w:val="18"/>
          <w:u w:val="none"/>
          <w:vertAlign w:val="baseline"/>
        </w:rPr>
        <w:t>Pilot</w:t>
      </w:r>
      <w:r>
        <w:rPr>
          <w:spacing w:val="-3"/>
          <w:sz w:val="18"/>
          <w:u w:val="none"/>
          <w:vertAlign w:val="baseline"/>
        </w:rPr>
        <w:t> </w:t>
      </w:r>
      <w:r>
        <w:rPr>
          <w:sz w:val="18"/>
          <w:u w:val="none"/>
          <w:vertAlign w:val="baseline"/>
        </w:rPr>
        <w:t>Study</w:t>
      </w:r>
      <w:r>
        <w:rPr>
          <w:spacing w:val="-3"/>
          <w:sz w:val="18"/>
          <w:u w:val="none"/>
          <w:vertAlign w:val="baseline"/>
        </w:rPr>
        <w:t> </w:t>
      </w:r>
      <w:r>
        <w:rPr>
          <w:sz w:val="18"/>
          <w:u w:val="none"/>
          <w:vertAlign w:val="baseline"/>
        </w:rPr>
        <w:t>of</w:t>
      </w:r>
      <w:r>
        <w:rPr>
          <w:spacing w:val="-3"/>
          <w:sz w:val="18"/>
          <w:u w:val="none"/>
          <w:vertAlign w:val="baseline"/>
        </w:rPr>
        <w:t> </w:t>
      </w:r>
      <w:r>
        <w:rPr>
          <w:sz w:val="18"/>
          <w:u w:val="none"/>
          <w:vertAlign w:val="baseline"/>
        </w:rPr>
        <w:t>an</w:t>
      </w:r>
      <w:r>
        <w:rPr>
          <w:spacing w:val="-3"/>
          <w:sz w:val="18"/>
          <w:u w:val="none"/>
          <w:vertAlign w:val="baseline"/>
        </w:rPr>
        <w:t> </w:t>
      </w:r>
      <w:r>
        <w:rPr>
          <w:sz w:val="18"/>
          <w:u w:val="none"/>
          <w:vertAlign w:val="baseline"/>
        </w:rPr>
        <w:t>Intervention</w:t>
      </w:r>
      <w:r>
        <w:rPr>
          <w:spacing w:val="-3"/>
          <w:sz w:val="18"/>
          <w:u w:val="none"/>
          <w:vertAlign w:val="baseline"/>
        </w:rPr>
        <w:t> </w:t>
      </w:r>
      <w:r>
        <w:rPr>
          <w:sz w:val="18"/>
          <w:u w:val="none"/>
          <w:vertAlign w:val="baseline"/>
        </w:rPr>
        <w:t>to</w:t>
      </w:r>
      <w:r>
        <w:rPr>
          <w:spacing w:val="-3"/>
          <w:sz w:val="18"/>
          <w:u w:val="none"/>
          <w:vertAlign w:val="baseline"/>
        </w:rPr>
        <w:t> </w:t>
      </w:r>
      <w:r>
        <w:rPr>
          <w:sz w:val="18"/>
          <w:u w:val="none"/>
          <w:vertAlign w:val="baseline"/>
        </w:rPr>
        <w:t>Develop</w:t>
      </w:r>
      <w:r>
        <w:rPr>
          <w:spacing w:val="-3"/>
          <w:sz w:val="18"/>
          <w:u w:val="none"/>
          <w:vertAlign w:val="baseline"/>
        </w:rPr>
        <w:t> </w:t>
      </w:r>
      <w:r>
        <w:rPr>
          <w:sz w:val="18"/>
          <w:u w:val="none"/>
          <w:vertAlign w:val="baseline"/>
        </w:rPr>
        <w:t>Resilience</w:t>
      </w:r>
      <w:r>
        <w:rPr>
          <w:spacing w:val="-3"/>
          <w:sz w:val="18"/>
          <w:u w:val="none"/>
          <w:vertAlign w:val="baseline"/>
        </w:rPr>
        <w:t> </w:t>
      </w:r>
      <w:r>
        <w:rPr>
          <w:sz w:val="18"/>
          <w:u w:val="none"/>
          <w:vertAlign w:val="baseline"/>
        </w:rPr>
        <w:t>and</w:t>
      </w:r>
      <w:r>
        <w:rPr>
          <w:spacing w:val="-3"/>
          <w:sz w:val="18"/>
          <w:u w:val="none"/>
          <w:vertAlign w:val="baseline"/>
        </w:rPr>
        <w:t> </w:t>
      </w:r>
      <w:r>
        <w:rPr>
          <w:sz w:val="18"/>
          <w:u w:val="none"/>
          <w:vertAlign w:val="baseline"/>
        </w:rPr>
        <w:t>Self-Esteem</w:t>
      </w:r>
      <w:r>
        <w:rPr>
          <w:spacing w:val="-3"/>
          <w:sz w:val="18"/>
          <w:u w:val="none"/>
          <w:vertAlign w:val="baseline"/>
        </w:rPr>
        <w:t> </w:t>
      </w:r>
      <w:r>
        <w:rPr>
          <w:sz w:val="18"/>
          <w:u w:val="none"/>
          <w:vertAlign w:val="baseline"/>
        </w:rPr>
        <w:t>among LGBTQ Youth.” </w:t>
      </w:r>
      <w:r>
        <w:rPr>
          <w:i/>
          <w:sz w:val="18"/>
          <w:u w:val="none"/>
          <w:vertAlign w:val="baseline"/>
        </w:rPr>
        <w:t>International Journal for Equity in Health </w:t>
      </w:r>
      <w:r>
        <w:rPr>
          <w:sz w:val="18"/>
          <w:u w:val="none"/>
          <w:vertAlign w:val="baseline"/>
        </w:rPr>
        <w:t>20, no. 1 (June 29, 2021): 150. </w:t>
      </w:r>
      <w:hyperlink r:id="rId249">
        <w:r>
          <w:rPr>
            <w:color w:val="1153CC"/>
            <w:sz w:val="18"/>
            <w:u w:val="single" w:color="1153CC"/>
            <w:vertAlign w:val="baseline"/>
          </w:rPr>
          <w:t>https://doi.org/10.1186/s12939-021-</w:t>
        </w:r>
      </w:hyperlink>
    </w:p>
    <w:p>
      <w:pPr>
        <w:spacing w:before="0"/>
        <w:ind w:left="463" w:right="254" w:hanging="1"/>
        <w:jc w:val="left"/>
        <w:rPr>
          <w:sz w:val="18"/>
        </w:rPr>
      </w:pPr>
      <w:r>
        <w:rPr>
          <w:sz w:val="18"/>
          <w:vertAlign w:val="superscript"/>
        </w:rPr>
        <w:t>69</w:t>
      </w:r>
      <w:r>
        <w:rPr>
          <w:spacing w:val="-13"/>
          <w:sz w:val="18"/>
          <w:vertAlign w:val="baseline"/>
        </w:rPr>
        <w:t> </w:t>
      </w:r>
      <w:r>
        <w:rPr>
          <w:sz w:val="18"/>
          <w:vertAlign w:val="baseline"/>
        </w:rPr>
        <w:t>Craig,</w:t>
      </w:r>
      <w:r>
        <w:rPr>
          <w:spacing w:val="-4"/>
          <w:sz w:val="18"/>
          <w:vertAlign w:val="baseline"/>
        </w:rPr>
        <w:t> </w:t>
      </w:r>
      <w:r>
        <w:rPr>
          <w:sz w:val="18"/>
          <w:vertAlign w:val="baseline"/>
        </w:rPr>
        <w:t>Shelley</w:t>
      </w:r>
      <w:r>
        <w:rPr>
          <w:spacing w:val="-3"/>
          <w:sz w:val="18"/>
          <w:vertAlign w:val="baseline"/>
        </w:rPr>
        <w:t> </w:t>
      </w:r>
      <w:r>
        <w:rPr>
          <w:sz w:val="18"/>
          <w:vertAlign w:val="baseline"/>
        </w:rPr>
        <w:t>L.,</w:t>
      </w:r>
      <w:r>
        <w:rPr>
          <w:spacing w:val="-3"/>
          <w:sz w:val="18"/>
          <w:vertAlign w:val="baseline"/>
        </w:rPr>
        <w:t> </w:t>
      </w:r>
      <w:r>
        <w:rPr>
          <w:sz w:val="18"/>
          <w:vertAlign w:val="baseline"/>
        </w:rPr>
        <w:t>Andrew</w:t>
      </w:r>
      <w:r>
        <w:rPr>
          <w:spacing w:val="-3"/>
          <w:sz w:val="18"/>
          <w:vertAlign w:val="baseline"/>
        </w:rPr>
        <w:t> </w:t>
      </w:r>
      <w:r>
        <w:rPr>
          <w:sz w:val="18"/>
          <w:vertAlign w:val="baseline"/>
        </w:rPr>
        <w:t>D.</w:t>
      </w:r>
      <w:r>
        <w:rPr>
          <w:spacing w:val="-2"/>
          <w:sz w:val="18"/>
          <w:vertAlign w:val="baseline"/>
        </w:rPr>
        <w:t> </w:t>
      </w:r>
      <w:r>
        <w:rPr>
          <w:sz w:val="18"/>
          <w:vertAlign w:val="baseline"/>
        </w:rPr>
        <w:t>Eaton,</w:t>
      </w:r>
      <w:r>
        <w:rPr>
          <w:spacing w:val="-3"/>
          <w:sz w:val="18"/>
          <w:vertAlign w:val="baseline"/>
        </w:rPr>
        <w:t> </w:t>
      </w:r>
      <w:r>
        <w:rPr>
          <w:sz w:val="18"/>
          <w:vertAlign w:val="baseline"/>
        </w:rPr>
        <w:t>Alexa</w:t>
      </w:r>
      <w:r>
        <w:rPr>
          <w:spacing w:val="-2"/>
          <w:sz w:val="18"/>
          <w:vertAlign w:val="baseline"/>
        </w:rPr>
        <w:t> </w:t>
      </w:r>
      <w:r>
        <w:rPr>
          <w:sz w:val="18"/>
          <w:vertAlign w:val="baseline"/>
        </w:rPr>
        <w:t>Kirkland,</w:t>
      </w:r>
      <w:r>
        <w:rPr>
          <w:spacing w:val="-3"/>
          <w:sz w:val="18"/>
          <w:vertAlign w:val="baseline"/>
        </w:rPr>
        <w:t> </w:t>
      </w:r>
      <w:r>
        <w:rPr>
          <w:sz w:val="18"/>
          <w:vertAlign w:val="baseline"/>
        </w:rPr>
        <w:t>Egag</w:t>
      </w:r>
      <w:r>
        <w:rPr>
          <w:spacing w:val="-2"/>
          <w:sz w:val="18"/>
          <w:vertAlign w:val="baseline"/>
        </w:rPr>
        <w:t> </w:t>
      </w:r>
      <w:r>
        <w:rPr>
          <w:sz w:val="18"/>
          <w:vertAlign w:val="baseline"/>
        </w:rPr>
        <w:t>Egag,</w:t>
      </w:r>
      <w:r>
        <w:rPr>
          <w:spacing w:val="-3"/>
          <w:sz w:val="18"/>
          <w:vertAlign w:val="baseline"/>
        </w:rPr>
        <w:t> </w:t>
      </w:r>
      <w:r>
        <w:rPr>
          <w:sz w:val="18"/>
          <w:vertAlign w:val="baseline"/>
        </w:rPr>
        <w:t>Rachael</w:t>
      </w:r>
      <w:r>
        <w:rPr>
          <w:spacing w:val="-3"/>
          <w:sz w:val="18"/>
          <w:vertAlign w:val="baseline"/>
        </w:rPr>
        <w:t> </w:t>
      </w:r>
      <w:r>
        <w:rPr>
          <w:sz w:val="18"/>
          <w:vertAlign w:val="baseline"/>
        </w:rPr>
        <w:t>Pascoe,</w:t>
      </w:r>
      <w:r>
        <w:rPr>
          <w:spacing w:val="-3"/>
          <w:sz w:val="18"/>
          <w:vertAlign w:val="baseline"/>
        </w:rPr>
        <w:t> </w:t>
      </w:r>
      <w:r>
        <w:rPr>
          <w:sz w:val="18"/>
          <w:vertAlign w:val="baseline"/>
        </w:rPr>
        <w:t>Kourteney</w:t>
      </w:r>
      <w:r>
        <w:rPr>
          <w:spacing w:val="-2"/>
          <w:sz w:val="18"/>
          <w:vertAlign w:val="baseline"/>
        </w:rPr>
        <w:t> </w:t>
      </w:r>
      <w:r>
        <w:rPr>
          <w:sz w:val="18"/>
          <w:vertAlign w:val="baseline"/>
        </w:rPr>
        <w:t>King,</w:t>
      </w:r>
      <w:r>
        <w:rPr>
          <w:spacing w:val="-3"/>
          <w:sz w:val="18"/>
          <w:vertAlign w:val="baseline"/>
        </w:rPr>
        <w:t> </w:t>
      </w:r>
      <w:r>
        <w:rPr>
          <w:sz w:val="18"/>
          <w:vertAlign w:val="baseline"/>
        </w:rPr>
        <w:t>and</w:t>
      </w:r>
      <w:r>
        <w:rPr>
          <w:spacing w:val="-2"/>
          <w:sz w:val="18"/>
          <w:vertAlign w:val="baseline"/>
        </w:rPr>
        <w:t> </w:t>
      </w:r>
      <w:r>
        <w:rPr>
          <w:sz w:val="18"/>
          <w:vertAlign w:val="baseline"/>
        </w:rPr>
        <w:t>Sreedevi</w:t>
      </w:r>
      <w:r>
        <w:rPr>
          <w:spacing w:val="-3"/>
          <w:sz w:val="18"/>
          <w:vertAlign w:val="baseline"/>
        </w:rPr>
        <w:t> </w:t>
      </w:r>
      <w:r>
        <w:rPr>
          <w:sz w:val="18"/>
          <w:vertAlign w:val="baseline"/>
        </w:rPr>
        <w:t>Krishnan.</w:t>
      </w:r>
      <w:r>
        <w:rPr>
          <w:spacing w:val="-2"/>
          <w:sz w:val="18"/>
          <w:vertAlign w:val="baseline"/>
        </w:rPr>
        <w:t> </w:t>
      </w:r>
      <w:r>
        <w:rPr>
          <w:sz w:val="18"/>
          <w:vertAlign w:val="baseline"/>
        </w:rPr>
        <w:t>“Towards an Integrative Self: A Digital Photo Elicitation Study of Resilience among Key Marginalized Populations of Sexual and Gender Minority Youth.” International Journal of Qualitative Studies on Health and Well-Being 16, no. 1 (January 1, 2021): 1961572. </w:t>
      </w:r>
      <w:bookmarkStart w:name="_bookmark168" w:id="324"/>
      <w:bookmarkEnd w:id="324"/>
      <w:r>
        <w:rPr>
          <w:spacing w:val="-1"/>
          <w:sz w:val="18"/>
          <w:vertAlign w:val="baseline"/>
        </w:rPr>
      </w:r>
      <w:hyperlink r:id="rId250">
        <w:r>
          <w:rPr>
            <w:color w:val="1153CC"/>
            <w:spacing w:val="-2"/>
            <w:sz w:val="18"/>
            <w:u w:val="single" w:color="1153CC"/>
            <w:vertAlign w:val="baseline"/>
          </w:rPr>
          <w:t>https://doi.org/10.1080/17482631.2021.1961572</w:t>
        </w:r>
      </w:hyperlink>
      <w:hyperlink r:id="rId250">
        <w:r>
          <w:rPr>
            <w:spacing w:val="-2"/>
            <w:sz w:val="18"/>
            <w:u w:val="none"/>
            <w:vertAlign w:val="baseline"/>
          </w:rPr>
          <w:t>.</w:t>
        </w:r>
      </w:hyperlink>
    </w:p>
    <w:p>
      <w:pPr>
        <w:spacing w:before="0"/>
        <w:ind w:left="463" w:right="279" w:hanging="1"/>
        <w:jc w:val="left"/>
        <w:rPr>
          <w:sz w:val="18"/>
        </w:rPr>
      </w:pPr>
      <w:r>
        <w:rPr>
          <w:sz w:val="18"/>
          <w:vertAlign w:val="superscript"/>
        </w:rPr>
        <w:t>70</w:t>
      </w:r>
      <w:r>
        <w:rPr>
          <w:spacing w:val="-13"/>
          <w:sz w:val="18"/>
          <w:vertAlign w:val="baseline"/>
        </w:rPr>
        <w:t> </w:t>
      </w:r>
      <w:r>
        <w:rPr>
          <w:sz w:val="18"/>
          <w:vertAlign w:val="baseline"/>
        </w:rPr>
        <w:t>ReScripted:</w:t>
      </w:r>
      <w:r>
        <w:rPr>
          <w:spacing w:val="-3"/>
          <w:sz w:val="18"/>
          <w:vertAlign w:val="baseline"/>
        </w:rPr>
        <w:t> </w:t>
      </w:r>
      <w:r>
        <w:rPr>
          <w:sz w:val="18"/>
          <w:vertAlign w:val="baseline"/>
        </w:rPr>
        <w:t>A</w:t>
      </w:r>
      <w:r>
        <w:rPr>
          <w:spacing w:val="-3"/>
          <w:sz w:val="18"/>
          <w:vertAlign w:val="baseline"/>
        </w:rPr>
        <w:t> </w:t>
      </w:r>
      <w:r>
        <w:rPr>
          <w:sz w:val="18"/>
          <w:vertAlign w:val="baseline"/>
        </w:rPr>
        <w:t>Program</w:t>
      </w:r>
      <w:r>
        <w:rPr>
          <w:spacing w:val="-2"/>
          <w:sz w:val="18"/>
          <w:vertAlign w:val="baseline"/>
        </w:rPr>
        <w:t> </w:t>
      </w:r>
      <w:r>
        <w:rPr>
          <w:sz w:val="18"/>
          <w:vertAlign w:val="baseline"/>
        </w:rPr>
        <w:t>of</w:t>
      </w:r>
      <w:r>
        <w:rPr>
          <w:spacing w:val="-2"/>
          <w:sz w:val="18"/>
          <w:vertAlign w:val="baseline"/>
        </w:rPr>
        <w:t> </w:t>
      </w:r>
      <w:r>
        <w:rPr>
          <w:sz w:val="18"/>
          <w:vertAlign w:val="baseline"/>
        </w:rPr>
        <w:t>the</w:t>
      </w:r>
      <w:r>
        <w:rPr>
          <w:spacing w:val="-3"/>
          <w:sz w:val="18"/>
          <w:vertAlign w:val="baseline"/>
        </w:rPr>
        <w:t> </w:t>
      </w:r>
      <w:r>
        <w:rPr>
          <w:sz w:val="18"/>
          <w:vertAlign w:val="baseline"/>
        </w:rPr>
        <w:t>Center</w:t>
      </w:r>
      <w:r>
        <w:rPr>
          <w:spacing w:val="-3"/>
          <w:sz w:val="18"/>
          <w:vertAlign w:val="baseline"/>
        </w:rPr>
        <w:t> </w:t>
      </w:r>
      <w:r>
        <w:rPr>
          <w:sz w:val="18"/>
          <w:vertAlign w:val="baseline"/>
        </w:rPr>
        <w:t>for</w:t>
      </w:r>
      <w:r>
        <w:rPr>
          <w:spacing w:val="-3"/>
          <w:sz w:val="18"/>
          <w:vertAlign w:val="baseline"/>
        </w:rPr>
        <w:t> </w:t>
      </w:r>
      <w:r>
        <w:rPr>
          <w:sz w:val="18"/>
          <w:vertAlign w:val="baseline"/>
        </w:rPr>
        <w:t>Trauma</w:t>
      </w:r>
      <w:r>
        <w:rPr>
          <w:spacing w:val="-2"/>
          <w:sz w:val="18"/>
          <w:vertAlign w:val="baseline"/>
        </w:rPr>
        <w:t> </w:t>
      </w:r>
      <w:r>
        <w:rPr>
          <w:sz w:val="18"/>
          <w:vertAlign w:val="baseline"/>
        </w:rPr>
        <w:t>&amp;</w:t>
      </w:r>
      <w:r>
        <w:rPr>
          <w:spacing w:val="-3"/>
          <w:sz w:val="18"/>
          <w:vertAlign w:val="baseline"/>
        </w:rPr>
        <w:t> </w:t>
      </w:r>
      <w:r>
        <w:rPr>
          <w:sz w:val="18"/>
          <w:vertAlign w:val="baseline"/>
        </w:rPr>
        <w:t>Embodiment</w:t>
      </w:r>
      <w:r>
        <w:rPr>
          <w:spacing w:val="-3"/>
          <w:sz w:val="18"/>
          <w:vertAlign w:val="baseline"/>
        </w:rPr>
        <w:t> </w:t>
      </w:r>
      <w:r>
        <w:rPr>
          <w:sz w:val="18"/>
          <w:vertAlign w:val="baseline"/>
        </w:rPr>
        <w:t>at</w:t>
      </w:r>
      <w:r>
        <w:rPr>
          <w:spacing w:val="-3"/>
          <w:sz w:val="18"/>
          <w:vertAlign w:val="baseline"/>
        </w:rPr>
        <w:t> </w:t>
      </w:r>
      <w:r>
        <w:rPr>
          <w:sz w:val="18"/>
          <w:vertAlign w:val="baseline"/>
        </w:rPr>
        <w:t>JRI.</w:t>
      </w:r>
      <w:r>
        <w:rPr>
          <w:spacing w:val="-2"/>
          <w:sz w:val="18"/>
          <w:vertAlign w:val="baseline"/>
        </w:rPr>
        <w:t> </w:t>
      </w:r>
      <w:r>
        <w:rPr>
          <w:sz w:val="18"/>
          <w:vertAlign w:val="baseline"/>
        </w:rPr>
        <w:t>“ReScripted:</w:t>
      </w:r>
      <w:r>
        <w:rPr>
          <w:spacing w:val="-2"/>
          <w:sz w:val="18"/>
          <w:vertAlign w:val="baseline"/>
        </w:rPr>
        <w:t> </w:t>
      </w:r>
      <w:r>
        <w:rPr>
          <w:sz w:val="18"/>
          <w:vertAlign w:val="baseline"/>
        </w:rPr>
        <w:t>Act.</w:t>
      </w:r>
      <w:r>
        <w:rPr>
          <w:spacing w:val="-2"/>
          <w:sz w:val="18"/>
          <w:vertAlign w:val="baseline"/>
        </w:rPr>
        <w:t> </w:t>
      </w:r>
      <w:r>
        <w:rPr>
          <w:sz w:val="18"/>
          <w:vertAlign w:val="baseline"/>
        </w:rPr>
        <w:t>Embody.</w:t>
      </w:r>
      <w:r>
        <w:rPr>
          <w:spacing w:val="-2"/>
          <w:sz w:val="18"/>
          <w:vertAlign w:val="baseline"/>
        </w:rPr>
        <w:t> </w:t>
      </w:r>
      <w:r>
        <w:rPr>
          <w:sz w:val="18"/>
          <w:vertAlign w:val="baseline"/>
        </w:rPr>
        <w:t>Empower.”</w:t>
      </w:r>
      <w:r>
        <w:rPr>
          <w:spacing w:val="-3"/>
          <w:sz w:val="18"/>
          <w:vertAlign w:val="baseline"/>
        </w:rPr>
        <w:t> </w:t>
      </w:r>
      <w:r>
        <w:rPr>
          <w:sz w:val="18"/>
          <w:vertAlign w:val="baseline"/>
        </w:rPr>
        <w:t>Accessed</w:t>
      </w:r>
      <w:r>
        <w:rPr>
          <w:spacing w:val="-2"/>
          <w:sz w:val="18"/>
          <w:vertAlign w:val="baseline"/>
        </w:rPr>
        <w:t> </w:t>
      </w:r>
      <w:r>
        <w:rPr>
          <w:sz w:val="18"/>
          <w:vertAlign w:val="baseline"/>
        </w:rPr>
        <w:t>January </w:t>
      </w:r>
      <w:bookmarkStart w:name="_bookmark169" w:id="325"/>
      <w:bookmarkEnd w:id="325"/>
      <w:r>
        <w:rPr>
          <w:sz w:val="18"/>
          <w:vertAlign w:val="baseline"/>
        </w:rPr>
        <w:t>16,</w:t>
      </w:r>
      <w:r>
        <w:rPr>
          <w:sz w:val="18"/>
          <w:vertAlign w:val="baseline"/>
        </w:rPr>
        <w:t> 2023. </w:t>
      </w:r>
      <w:hyperlink r:id="rId251">
        <w:r>
          <w:rPr>
            <w:color w:val="1153CC"/>
            <w:sz w:val="18"/>
            <w:u w:val="single" w:color="1153CC"/>
            <w:vertAlign w:val="baseline"/>
          </w:rPr>
          <w:t>https://www.rescriptedjri.org</w:t>
        </w:r>
      </w:hyperlink>
      <w:hyperlink r:id="rId251">
        <w:r>
          <w:rPr>
            <w:sz w:val="18"/>
            <w:u w:val="none"/>
            <w:vertAlign w:val="baseline"/>
          </w:rPr>
          <w:t>.</w:t>
        </w:r>
      </w:hyperlink>
    </w:p>
    <w:p>
      <w:pPr>
        <w:spacing w:before="0"/>
        <w:ind w:left="463" w:right="314" w:hanging="1"/>
        <w:jc w:val="left"/>
        <w:rPr>
          <w:sz w:val="18"/>
        </w:rPr>
      </w:pPr>
      <w:r>
        <w:rPr>
          <w:sz w:val="18"/>
          <w:vertAlign w:val="superscript"/>
        </w:rPr>
        <w:t>71</w:t>
      </w:r>
      <w:r>
        <w:rPr>
          <w:spacing w:val="-13"/>
          <w:sz w:val="18"/>
          <w:vertAlign w:val="baseline"/>
        </w:rPr>
        <w:t> </w:t>
      </w:r>
      <w:r>
        <w:rPr>
          <w:sz w:val="18"/>
          <w:vertAlign w:val="baseline"/>
        </w:rPr>
        <w:t>Zaccari,</w:t>
      </w:r>
      <w:r>
        <w:rPr>
          <w:spacing w:val="-4"/>
          <w:sz w:val="18"/>
          <w:vertAlign w:val="baseline"/>
        </w:rPr>
        <w:t> </w:t>
      </w:r>
      <w:r>
        <w:rPr>
          <w:sz w:val="18"/>
          <w:vertAlign w:val="baseline"/>
        </w:rPr>
        <w:t>Belle,</w:t>
      </w:r>
      <w:r>
        <w:rPr>
          <w:spacing w:val="-2"/>
          <w:sz w:val="18"/>
          <w:vertAlign w:val="baseline"/>
        </w:rPr>
        <w:t> </w:t>
      </w:r>
      <w:r>
        <w:rPr>
          <w:sz w:val="18"/>
          <w:vertAlign w:val="baseline"/>
        </w:rPr>
        <w:t>Athena</w:t>
      </w:r>
      <w:r>
        <w:rPr>
          <w:spacing w:val="-2"/>
          <w:sz w:val="18"/>
          <w:vertAlign w:val="baseline"/>
        </w:rPr>
        <w:t> </w:t>
      </w:r>
      <w:r>
        <w:rPr>
          <w:sz w:val="18"/>
          <w:vertAlign w:val="baseline"/>
        </w:rPr>
        <w:t>D.</w:t>
      </w:r>
      <w:r>
        <w:rPr>
          <w:spacing w:val="-2"/>
          <w:sz w:val="18"/>
          <w:vertAlign w:val="baseline"/>
        </w:rPr>
        <w:t> </w:t>
      </w:r>
      <w:r>
        <w:rPr>
          <w:sz w:val="18"/>
          <w:vertAlign w:val="baseline"/>
        </w:rPr>
        <w:t>F.</w:t>
      </w:r>
      <w:r>
        <w:rPr>
          <w:spacing w:val="-2"/>
          <w:sz w:val="18"/>
          <w:vertAlign w:val="baseline"/>
        </w:rPr>
        <w:t> </w:t>
      </w:r>
      <w:r>
        <w:rPr>
          <w:sz w:val="18"/>
          <w:vertAlign w:val="baseline"/>
        </w:rPr>
        <w:t>Sherman,</w:t>
      </w:r>
      <w:r>
        <w:rPr>
          <w:spacing w:val="-3"/>
          <w:sz w:val="18"/>
          <w:vertAlign w:val="baseline"/>
        </w:rPr>
        <w:t> </w:t>
      </w:r>
      <w:r>
        <w:rPr>
          <w:sz w:val="18"/>
          <w:vertAlign w:val="baseline"/>
        </w:rPr>
        <w:t>Sarah</w:t>
      </w:r>
      <w:r>
        <w:rPr>
          <w:spacing w:val="-2"/>
          <w:sz w:val="18"/>
          <w:vertAlign w:val="baseline"/>
        </w:rPr>
        <w:t> </w:t>
      </w:r>
      <w:r>
        <w:rPr>
          <w:sz w:val="18"/>
          <w:vertAlign w:val="baseline"/>
        </w:rPr>
        <w:t>Febres-Cordero,</w:t>
      </w:r>
      <w:r>
        <w:rPr>
          <w:spacing w:val="-3"/>
          <w:sz w:val="18"/>
          <w:vertAlign w:val="baseline"/>
        </w:rPr>
        <w:t> </w:t>
      </w:r>
      <w:r>
        <w:rPr>
          <w:sz w:val="18"/>
          <w:vertAlign w:val="baseline"/>
        </w:rPr>
        <w:t>Melinda</w:t>
      </w:r>
      <w:r>
        <w:rPr>
          <w:spacing w:val="-2"/>
          <w:sz w:val="18"/>
          <w:vertAlign w:val="baseline"/>
        </w:rPr>
        <w:t> </w:t>
      </w:r>
      <w:r>
        <w:rPr>
          <w:sz w:val="18"/>
          <w:vertAlign w:val="baseline"/>
        </w:rPr>
        <w:t>Higgins,</w:t>
      </w:r>
      <w:r>
        <w:rPr>
          <w:spacing w:val="-3"/>
          <w:sz w:val="18"/>
          <w:vertAlign w:val="baseline"/>
        </w:rPr>
        <w:t> </w:t>
      </w:r>
      <w:r>
        <w:rPr>
          <w:sz w:val="18"/>
          <w:vertAlign w:val="baseline"/>
        </w:rPr>
        <w:t>and</w:t>
      </w:r>
      <w:r>
        <w:rPr>
          <w:spacing w:val="-2"/>
          <w:sz w:val="18"/>
          <w:vertAlign w:val="baseline"/>
        </w:rPr>
        <w:t> </w:t>
      </w:r>
      <w:r>
        <w:rPr>
          <w:sz w:val="18"/>
          <w:vertAlign w:val="baseline"/>
        </w:rPr>
        <w:t>Ursula</w:t>
      </w:r>
      <w:r>
        <w:rPr>
          <w:spacing w:val="-2"/>
          <w:sz w:val="18"/>
          <w:vertAlign w:val="baseline"/>
        </w:rPr>
        <w:t> </w:t>
      </w:r>
      <w:r>
        <w:rPr>
          <w:sz w:val="18"/>
          <w:vertAlign w:val="baseline"/>
        </w:rPr>
        <w:t>Kelly.</w:t>
      </w:r>
      <w:r>
        <w:rPr>
          <w:spacing w:val="-2"/>
          <w:sz w:val="18"/>
          <w:vertAlign w:val="baseline"/>
        </w:rPr>
        <w:t> </w:t>
      </w:r>
      <w:r>
        <w:rPr>
          <w:sz w:val="18"/>
          <w:vertAlign w:val="baseline"/>
        </w:rPr>
        <w:t>“Findings</w:t>
      </w:r>
      <w:r>
        <w:rPr>
          <w:spacing w:val="-2"/>
          <w:sz w:val="18"/>
          <w:vertAlign w:val="baseline"/>
        </w:rPr>
        <w:t> </w:t>
      </w:r>
      <w:r>
        <w:rPr>
          <w:sz w:val="18"/>
          <w:vertAlign w:val="baseline"/>
        </w:rPr>
        <w:t>from</w:t>
      </w:r>
      <w:r>
        <w:rPr>
          <w:spacing w:val="-2"/>
          <w:sz w:val="18"/>
          <w:vertAlign w:val="baseline"/>
        </w:rPr>
        <w:t> </w:t>
      </w:r>
      <w:r>
        <w:rPr>
          <w:sz w:val="18"/>
          <w:vertAlign w:val="baseline"/>
        </w:rPr>
        <w:t>a</w:t>
      </w:r>
      <w:r>
        <w:rPr>
          <w:spacing w:val="-3"/>
          <w:sz w:val="18"/>
          <w:vertAlign w:val="baseline"/>
        </w:rPr>
        <w:t> </w:t>
      </w:r>
      <w:r>
        <w:rPr>
          <w:sz w:val="18"/>
          <w:vertAlign w:val="baseline"/>
        </w:rPr>
        <w:t>Pilot</w:t>
      </w:r>
      <w:r>
        <w:rPr>
          <w:spacing w:val="-3"/>
          <w:sz w:val="18"/>
          <w:vertAlign w:val="baseline"/>
        </w:rPr>
        <w:t> </w:t>
      </w:r>
      <w:r>
        <w:rPr>
          <w:sz w:val="18"/>
          <w:vertAlign w:val="baseline"/>
        </w:rPr>
        <w:t>Study</w:t>
      </w:r>
      <w:r>
        <w:rPr>
          <w:spacing w:val="-2"/>
          <w:sz w:val="18"/>
          <w:vertAlign w:val="baseline"/>
        </w:rPr>
        <w:t> </w:t>
      </w:r>
      <w:r>
        <w:rPr>
          <w:sz w:val="18"/>
          <w:vertAlign w:val="baseline"/>
        </w:rPr>
        <w:t>of Trauma Center Trauma-Sensitive Yoga versus Cognitive Processing Therapy for PTSD Related to Military Sexual Trauma among Women Veterans.” </w:t>
      </w:r>
      <w:r>
        <w:rPr>
          <w:i/>
          <w:sz w:val="18"/>
          <w:vertAlign w:val="baseline"/>
        </w:rPr>
        <w:t>Complementary Therapies in Medicine </w:t>
      </w:r>
      <w:r>
        <w:rPr>
          <w:sz w:val="18"/>
          <w:vertAlign w:val="baseline"/>
        </w:rPr>
        <w:t>70 (November 1, 2022): 102850. </w:t>
      </w:r>
      <w:hyperlink r:id="rId252">
        <w:r>
          <w:rPr>
            <w:color w:val="1153CC"/>
            <w:spacing w:val="-2"/>
            <w:sz w:val="18"/>
            <w:u w:val="single" w:color="1153CC"/>
            <w:vertAlign w:val="baseline"/>
          </w:rPr>
          <w:t>https://doi.org/10.1016/j.ctim.2022.102850</w:t>
        </w:r>
      </w:hyperlink>
      <w:hyperlink r:id="rId252">
        <w:r>
          <w:rPr>
            <w:spacing w:val="-2"/>
            <w:sz w:val="18"/>
            <w:u w:val="none"/>
            <w:vertAlign w:val="baseline"/>
          </w:rPr>
          <w:t>.</w:t>
        </w:r>
      </w:hyperlink>
    </w:p>
    <w:p>
      <w:pPr>
        <w:spacing w:before="0"/>
        <w:ind w:left="463" w:right="314" w:hanging="1"/>
        <w:jc w:val="left"/>
        <w:rPr>
          <w:sz w:val="18"/>
        </w:rPr>
      </w:pPr>
      <w:r>
        <w:rPr>
          <w:sz w:val="18"/>
          <w:vertAlign w:val="superscript"/>
        </w:rPr>
        <w:t>72</w:t>
      </w:r>
      <w:r>
        <w:rPr>
          <w:spacing w:val="-13"/>
          <w:sz w:val="18"/>
          <w:vertAlign w:val="baseline"/>
        </w:rPr>
        <w:t> </w:t>
      </w:r>
      <w:r>
        <w:rPr>
          <w:sz w:val="18"/>
          <w:vertAlign w:val="baseline"/>
        </w:rPr>
        <w:t>Trauma</w:t>
      </w:r>
      <w:r>
        <w:rPr>
          <w:spacing w:val="-4"/>
          <w:sz w:val="18"/>
          <w:vertAlign w:val="baseline"/>
        </w:rPr>
        <w:t> </w:t>
      </w:r>
      <w:r>
        <w:rPr>
          <w:sz w:val="18"/>
          <w:vertAlign w:val="baseline"/>
        </w:rPr>
        <w:t>Informed</w:t>
      </w:r>
      <w:r>
        <w:rPr>
          <w:spacing w:val="-2"/>
          <w:sz w:val="18"/>
          <w:vertAlign w:val="baseline"/>
        </w:rPr>
        <w:t> </w:t>
      </w:r>
      <w:r>
        <w:rPr>
          <w:sz w:val="18"/>
          <w:vertAlign w:val="baseline"/>
        </w:rPr>
        <w:t>Weight</w:t>
      </w:r>
      <w:r>
        <w:rPr>
          <w:spacing w:val="-3"/>
          <w:sz w:val="18"/>
          <w:vertAlign w:val="baseline"/>
        </w:rPr>
        <w:t> </w:t>
      </w:r>
      <w:r>
        <w:rPr>
          <w:sz w:val="18"/>
          <w:vertAlign w:val="baseline"/>
        </w:rPr>
        <w:t>Lifting:</w:t>
      </w:r>
      <w:r>
        <w:rPr>
          <w:spacing w:val="-2"/>
          <w:sz w:val="18"/>
          <w:vertAlign w:val="baseline"/>
        </w:rPr>
        <w:t> </w:t>
      </w:r>
      <w:r>
        <w:rPr>
          <w:sz w:val="18"/>
          <w:vertAlign w:val="baseline"/>
        </w:rPr>
        <w:t>A</w:t>
      </w:r>
      <w:r>
        <w:rPr>
          <w:spacing w:val="-2"/>
          <w:sz w:val="18"/>
          <w:vertAlign w:val="baseline"/>
        </w:rPr>
        <w:t> </w:t>
      </w:r>
      <w:r>
        <w:rPr>
          <w:sz w:val="18"/>
          <w:vertAlign w:val="baseline"/>
        </w:rPr>
        <w:t>Project</w:t>
      </w:r>
      <w:r>
        <w:rPr>
          <w:spacing w:val="-3"/>
          <w:sz w:val="18"/>
          <w:vertAlign w:val="baseline"/>
        </w:rPr>
        <w:t> </w:t>
      </w:r>
      <w:r>
        <w:rPr>
          <w:sz w:val="18"/>
          <w:vertAlign w:val="baseline"/>
        </w:rPr>
        <w:t>of</w:t>
      </w:r>
      <w:r>
        <w:rPr>
          <w:spacing w:val="-2"/>
          <w:sz w:val="18"/>
          <w:vertAlign w:val="baseline"/>
        </w:rPr>
        <w:t> </w:t>
      </w:r>
      <w:r>
        <w:rPr>
          <w:sz w:val="18"/>
          <w:vertAlign w:val="baseline"/>
        </w:rPr>
        <w:t>the</w:t>
      </w:r>
      <w:r>
        <w:rPr>
          <w:spacing w:val="-2"/>
          <w:sz w:val="18"/>
          <w:vertAlign w:val="baseline"/>
        </w:rPr>
        <w:t> </w:t>
      </w:r>
      <w:r>
        <w:rPr>
          <w:sz w:val="18"/>
          <w:vertAlign w:val="baseline"/>
        </w:rPr>
        <w:t>Center</w:t>
      </w:r>
      <w:r>
        <w:rPr>
          <w:spacing w:val="-3"/>
          <w:sz w:val="18"/>
          <w:vertAlign w:val="baseline"/>
        </w:rPr>
        <w:t> </w:t>
      </w:r>
      <w:r>
        <w:rPr>
          <w:sz w:val="18"/>
          <w:vertAlign w:val="baseline"/>
        </w:rPr>
        <w:t>for</w:t>
      </w:r>
      <w:r>
        <w:rPr>
          <w:spacing w:val="-3"/>
          <w:sz w:val="18"/>
          <w:vertAlign w:val="baseline"/>
        </w:rPr>
        <w:t> </w:t>
      </w:r>
      <w:r>
        <w:rPr>
          <w:sz w:val="18"/>
          <w:vertAlign w:val="baseline"/>
        </w:rPr>
        <w:t>Trauma</w:t>
      </w:r>
      <w:r>
        <w:rPr>
          <w:spacing w:val="-2"/>
          <w:sz w:val="18"/>
          <w:vertAlign w:val="baseline"/>
        </w:rPr>
        <w:t> </w:t>
      </w:r>
      <w:r>
        <w:rPr>
          <w:sz w:val="18"/>
          <w:vertAlign w:val="baseline"/>
        </w:rPr>
        <w:t>&amp;</w:t>
      </w:r>
      <w:r>
        <w:rPr>
          <w:spacing w:val="-3"/>
          <w:sz w:val="18"/>
          <w:vertAlign w:val="baseline"/>
        </w:rPr>
        <w:t> </w:t>
      </w:r>
      <w:r>
        <w:rPr>
          <w:sz w:val="18"/>
          <w:vertAlign w:val="baseline"/>
        </w:rPr>
        <w:t>Embodiment</w:t>
      </w:r>
      <w:r>
        <w:rPr>
          <w:spacing w:val="-3"/>
          <w:sz w:val="18"/>
          <w:vertAlign w:val="baseline"/>
        </w:rPr>
        <w:t> </w:t>
      </w:r>
      <w:r>
        <w:rPr>
          <w:sz w:val="18"/>
          <w:vertAlign w:val="baseline"/>
        </w:rPr>
        <w:t>at</w:t>
      </w:r>
      <w:r>
        <w:rPr>
          <w:spacing w:val="-3"/>
          <w:sz w:val="18"/>
          <w:vertAlign w:val="baseline"/>
        </w:rPr>
        <w:t> </w:t>
      </w:r>
      <w:r>
        <w:rPr>
          <w:sz w:val="18"/>
          <w:vertAlign w:val="baseline"/>
        </w:rPr>
        <w:t>JRI.</w:t>
      </w:r>
      <w:r>
        <w:rPr>
          <w:spacing w:val="-2"/>
          <w:sz w:val="18"/>
          <w:vertAlign w:val="baseline"/>
        </w:rPr>
        <w:t> </w:t>
      </w:r>
      <w:r>
        <w:rPr>
          <w:sz w:val="18"/>
          <w:vertAlign w:val="baseline"/>
        </w:rPr>
        <w:t>“Research.”</w:t>
      </w:r>
      <w:r>
        <w:rPr>
          <w:spacing w:val="-2"/>
          <w:sz w:val="18"/>
          <w:vertAlign w:val="baseline"/>
        </w:rPr>
        <w:t> </w:t>
      </w:r>
      <w:r>
        <w:rPr>
          <w:sz w:val="18"/>
          <w:vertAlign w:val="baseline"/>
        </w:rPr>
        <w:t>Accessed</w:t>
      </w:r>
      <w:r>
        <w:rPr>
          <w:spacing w:val="-2"/>
          <w:sz w:val="18"/>
          <w:vertAlign w:val="baseline"/>
        </w:rPr>
        <w:t> </w:t>
      </w:r>
      <w:r>
        <w:rPr>
          <w:sz w:val="18"/>
          <w:vertAlign w:val="baseline"/>
        </w:rPr>
        <w:t>January</w:t>
      </w:r>
      <w:r>
        <w:rPr>
          <w:spacing w:val="-2"/>
          <w:sz w:val="18"/>
          <w:vertAlign w:val="baseline"/>
        </w:rPr>
        <w:t> </w:t>
      </w:r>
      <w:r>
        <w:rPr>
          <w:sz w:val="18"/>
          <w:vertAlign w:val="baseline"/>
        </w:rPr>
        <w:t>16, 2023. </w:t>
      </w:r>
      <w:hyperlink r:id="rId253">
        <w:r>
          <w:rPr>
            <w:color w:val="1153CC"/>
            <w:sz w:val="18"/>
            <w:u w:val="single" w:color="1153CC"/>
            <w:vertAlign w:val="baseline"/>
          </w:rPr>
          <w:t>https://www.traumainformedweightlifting.com/research</w:t>
        </w:r>
      </w:hyperlink>
      <w:hyperlink r:id="rId253">
        <w:r>
          <w:rPr>
            <w:sz w:val="18"/>
            <w:u w:val="none"/>
            <w:vertAlign w:val="baseline"/>
          </w:rPr>
          <w:t>.</w:t>
        </w:r>
      </w:hyperlink>
    </w:p>
    <w:p>
      <w:pPr>
        <w:spacing w:before="0"/>
        <w:ind w:left="463" w:right="279" w:hanging="1"/>
        <w:jc w:val="left"/>
        <w:rPr>
          <w:sz w:val="18"/>
        </w:rPr>
      </w:pPr>
      <w:bookmarkStart w:name="_bookmark170" w:id="326"/>
      <w:bookmarkEnd w:id="326"/>
      <w:r>
        <w:rPr/>
      </w:r>
      <w:r>
        <w:rPr>
          <w:sz w:val="18"/>
          <w:vertAlign w:val="superscript"/>
        </w:rPr>
        <w:t>73</w:t>
      </w:r>
      <w:r>
        <w:rPr>
          <w:spacing w:val="-13"/>
          <w:sz w:val="18"/>
          <w:vertAlign w:val="baseline"/>
        </w:rPr>
        <w:t> </w:t>
      </w:r>
      <w:r>
        <w:rPr>
          <w:sz w:val="18"/>
          <w:vertAlign w:val="baseline"/>
        </w:rPr>
        <w:t>Wagaman,</w:t>
      </w:r>
      <w:r>
        <w:rPr>
          <w:spacing w:val="-5"/>
          <w:sz w:val="18"/>
          <w:vertAlign w:val="baseline"/>
        </w:rPr>
        <w:t> </w:t>
      </w:r>
      <w:r>
        <w:rPr>
          <w:sz w:val="18"/>
          <w:vertAlign w:val="baseline"/>
        </w:rPr>
        <w:t>M.</w:t>
      </w:r>
      <w:r>
        <w:rPr>
          <w:spacing w:val="-3"/>
          <w:sz w:val="18"/>
          <w:vertAlign w:val="baseline"/>
        </w:rPr>
        <w:t> </w:t>
      </w:r>
      <w:r>
        <w:rPr>
          <w:sz w:val="18"/>
          <w:vertAlign w:val="baseline"/>
        </w:rPr>
        <w:t>Alex.</w:t>
      </w:r>
      <w:r>
        <w:rPr>
          <w:spacing w:val="-3"/>
          <w:sz w:val="18"/>
          <w:vertAlign w:val="baseline"/>
        </w:rPr>
        <w:t> </w:t>
      </w:r>
      <w:r>
        <w:rPr>
          <w:sz w:val="18"/>
          <w:vertAlign w:val="baseline"/>
        </w:rPr>
        <w:t>“Promoting</w:t>
      </w:r>
      <w:r>
        <w:rPr>
          <w:spacing w:val="-3"/>
          <w:sz w:val="18"/>
          <w:vertAlign w:val="baseline"/>
        </w:rPr>
        <w:t> </w:t>
      </w:r>
      <w:r>
        <w:rPr>
          <w:sz w:val="18"/>
          <w:vertAlign w:val="baseline"/>
        </w:rPr>
        <w:t>Empowerment</w:t>
      </w:r>
      <w:r>
        <w:rPr>
          <w:spacing w:val="-5"/>
          <w:sz w:val="18"/>
          <w:vertAlign w:val="baseline"/>
        </w:rPr>
        <w:t> </w:t>
      </w:r>
      <w:r>
        <w:rPr>
          <w:sz w:val="18"/>
          <w:vertAlign w:val="baseline"/>
        </w:rPr>
        <w:t>Among</w:t>
      </w:r>
      <w:r>
        <w:rPr>
          <w:spacing w:val="-3"/>
          <w:sz w:val="18"/>
          <w:vertAlign w:val="baseline"/>
        </w:rPr>
        <w:t> </w:t>
      </w:r>
      <w:r>
        <w:rPr>
          <w:sz w:val="18"/>
          <w:vertAlign w:val="baseline"/>
        </w:rPr>
        <w:t>LGBTQ</w:t>
      </w:r>
      <w:r>
        <w:rPr>
          <w:spacing w:val="-3"/>
          <w:sz w:val="18"/>
          <w:vertAlign w:val="baseline"/>
        </w:rPr>
        <w:t> </w:t>
      </w:r>
      <w:r>
        <w:rPr>
          <w:sz w:val="18"/>
          <w:vertAlign w:val="baseline"/>
        </w:rPr>
        <w:t>Youth:</w:t>
      </w:r>
      <w:r>
        <w:rPr>
          <w:spacing w:val="-3"/>
          <w:sz w:val="18"/>
          <w:vertAlign w:val="baseline"/>
        </w:rPr>
        <w:t> </w:t>
      </w:r>
      <w:r>
        <w:rPr>
          <w:sz w:val="18"/>
          <w:vertAlign w:val="baseline"/>
        </w:rPr>
        <w:t>A</w:t>
      </w:r>
      <w:r>
        <w:rPr>
          <w:spacing w:val="-3"/>
          <w:sz w:val="18"/>
          <w:vertAlign w:val="baseline"/>
        </w:rPr>
        <w:t> </w:t>
      </w:r>
      <w:r>
        <w:rPr>
          <w:sz w:val="18"/>
          <w:vertAlign w:val="baseline"/>
        </w:rPr>
        <w:t>Social</w:t>
      </w:r>
      <w:r>
        <w:rPr>
          <w:spacing w:val="-4"/>
          <w:sz w:val="18"/>
          <w:vertAlign w:val="baseline"/>
        </w:rPr>
        <w:t> </w:t>
      </w:r>
      <w:r>
        <w:rPr>
          <w:sz w:val="18"/>
          <w:vertAlign w:val="baseline"/>
        </w:rPr>
        <w:t>Justice</w:t>
      </w:r>
      <w:r>
        <w:rPr>
          <w:spacing w:val="-3"/>
          <w:sz w:val="18"/>
          <w:vertAlign w:val="baseline"/>
        </w:rPr>
        <w:t> </w:t>
      </w:r>
      <w:r>
        <w:rPr>
          <w:sz w:val="18"/>
          <w:vertAlign w:val="baseline"/>
        </w:rPr>
        <w:t>Youth</w:t>
      </w:r>
      <w:r>
        <w:rPr>
          <w:spacing w:val="-3"/>
          <w:sz w:val="18"/>
          <w:vertAlign w:val="baseline"/>
        </w:rPr>
        <w:t> </w:t>
      </w:r>
      <w:r>
        <w:rPr>
          <w:sz w:val="18"/>
          <w:vertAlign w:val="baseline"/>
        </w:rPr>
        <w:t>Development</w:t>
      </w:r>
      <w:r>
        <w:rPr>
          <w:spacing w:val="-4"/>
          <w:sz w:val="18"/>
          <w:vertAlign w:val="baseline"/>
        </w:rPr>
        <w:t> </w:t>
      </w:r>
      <w:r>
        <w:rPr>
          <w:sz w:val="18"/>
          <w:vertAlign w:val="baseline"/>
        </w:rPr>
        <w:t>Approach.”</w:t>
      </w:r>
      <w:r>
        <w:rPr>
          <w:spacing w:val="-3"/>
          <w:sz w:val="18"/>
          <w:vertAlign w:val="baseline"/>
        </w:rPr>
        <w:t> </w:t>
      </w:r>
      <w:r>
        <w:rPr>
          <w:i/>
          <w:sz w:val="18"/>
          <w:vertAlign w:val="baseline"/>
        </w:rPr>
        <w:t>Child</w:t>
      </w:r>
      <w:r>
        <w:rPr>
          <w:i/>
          <w:spacing w:val="-4"/>
          <w:sz w:val="18"/>
          <w:vertAlign w:val="baseline"/>
        </w:rPr>
        <w:t> </w:t>
      </w:r>
      <w:r>
        <w:rPr>
          <w:i/>
          <w:sz w:val="18"/>
          <w:vertAlign w:val="baseline"/>
        </w:rPr>
        <w:t>and</w:t>
      </w:r>
      <w:r>
        <w:rPr>
          <w:i/>
          <w:sz w:val="18"/>
          <w:vertAlign w:val="baseline"/>
        </w:rPr>
        <w:t> Adolescent Social Work Journal </w:t>
      </w:r>
      <w:r>
        <w:rPr>
          <w:sz w:val="18"/>
          <w:vertAlign w:val="baseline"/>
        </w:rPr>
        <w:t>33, no. 5 (October 1, 2016): 395–405. </w:t>
      </w:r>
      <w:hyperlink r:id="rId254">
        <w:r>
          <w:rPr>
            <w:color w:val="1153CC"/>
            <w:sz w:val="18"/>
            <w:u w:val="single" w:color="1153CC"/>
            <w:vertAlign w:val="baseline"/>
          </w:rPr>
          <w:t>https://doi.org/10.1007/s10560-016-0435-7</w:t>
        </w:r>
      </w:hyperlink>
      <w:hyperlink r:id="rId254">
        <w:r>
          <w:rPr>
            <w:sz w:val="18"/>
            <w:u w:val="none"/>
            <w:vertAlign w:val="baseline"/>
          </w:rPr>
          <w:t>.</w:t>
        </w:r>
      </w:hyperlink>
    </w:p>
    <w:p>
      <w:pPr>
        <w:spacing w:before="0"/>
        <w:ind w:left="463" w:right="528" w:hanging="1"/>
        <w:jc w:val="left"/>
        <w:rPr>
          <w:sz w:val="18"/>
        </w:rPr>
      </w:pPr>
      <w:bookmarkStart w:name="_bookmark171" w:id="327"/>
      <w:bookmarkEnd w:id="327"/>
      <w:r>
        <w:rPr/>
      </w:r>
      <w:r>
        <w:rPr>
          <w:sz w:val="18"/>
          <w:vertAlign w:val="superscript"/>
        </w:rPr>
        <w:t>74</w:t>
      </w:r>
      <w:r>
        <w:rPr>
          <w:spacing w:val="-13"/>
          <w:sz w:val="18"/>
          <w:vertAlign w:val="baseline"/>
        </w:rPr>
        <w:t> </w:t>
      </w:r>
      <w:r>
        <w:rPr>
          <w:sz w:val="18"/>
          <w:vertAlign w:val="baseline"/>
        </w:rPr>
        <w:t>Matsuno,</w:t>
      </w:r>
      <w:r>
        <w:rPr>
          <w:spacing w:val="-6"/>
          <w:sz w:val="18"/>
          <w:vertAlign w:val="baseline"/>
        </w:rPr>
        <w:t> </w:t>
      </w:r>
      <w:r>
        <w:rPr>
          <w:sz w:val="18"/>
          <w:vertAlign w:val="baseline"/>
        </w:rPr>
        <w:t>Emmie,</w:t>
      </w:r>
      <w:r>
        <w:rPr>
          <w:spacing w:val="-4"/>
          <w:sz w:val="18"/>
          <w:vertAlign w:val="baseline"/>
        </w:rPr>
        <w:t> </w:t>
      </w:r>
      <w:r>
        <w:rPr>
          <w:sz w:val="18"/>
          <w:vertAlign w:val="baseline"/>
        </w:rPr>
        <w:t>and</w:t>
      </w:r>
      <w:r>
        <w:rPr>
          <w:spacing w:val="-3"/>
          <w:sz w:val="18"/>
          <w:vertAlign w:val="baseline"/>
        </w:rPr>
        <w:t> </w:t>
      </w:r>
      <w:r>
        <w:rPr>
          <w:sz w:val="18"/>
          <w:vertAlign w:val="baseline"/>
        </w:rPr>
        <w:t>Tania</w:t>
      </w:r>
      <w:r>
        <w:rPr>
          <w:spacing w:val="-3"/>
          <w:sz w:val="18"/>
          <w:vertAlign w:val="baseline"/>
        </w:rPr>
        <w:t> </w:t>
      </w:r>
      <w:r>
        <w:rPr>
          <w:sz w:val="18"/>
          <w:vertAlign w:val="baseline"/>
        </w:rPr>
        <w:t>Israel.</w:t>
      </w:r>
      <w:r>
        <w:rPr>
          <w:spacing w:val="-3"/>
          <w:sz w:val="18"/>
          <w:vertAlign w:val="baseline"/>
        </w:rPr>
        <w:t> </w:t>
      </w:r>
      <w:r>
        <w:rPr>
          <w:sz w:val="18"/>
          <w:vertAlign w:val="baseline"/>
        </w:rPr>
        <w:t>“Psychological</w:t>
      </w:r>
      <w:r>
        <w:rPr>
          <w:spacing w:val="-4"/>
          <w:sz w:val="18"/>
          <w:vertAlign w:val="baseline"/>
        </w:rPr>
        <w:t> </w:t>
      </w:r>
      <w:r>
        <w:rPr>
          <w:sz w:val="18"/>
          <w:vertAlign w:val="baseline"/>
        </w:rPr>
        <w:t>Interventions</w:t>
      </w:r>
      <w:r>
        <w:rPr>
          <w:spacing w:val="-3"/>
          <w:sz w:val="18"/>
          <w:vertAlign w:val="baseline"/>
        </w:rPr>
        <w:t> </w:t>
      </w:r>
      <w:r>
        <w:rPr>
          <w:sz w:val="18"/>
          <w:vertAlign w:val="baseline"/>
        </w:rPr>
        <w:t>Promoting</w:t>
      </w:r>
      <w:r>
        <w:rPr>
          <w:spacing w:val="-3"/>
          <w:sz w:val="18"/>
          <w:vertAlign w:val="baseline"/>
        </w:rPr>
        <w:t> </w:t>
      </w:r>
      <w:r>
        <w:rPr>
          <w:sz w:val="18"/>
          <w:vertAlign w:val="baseline"/>
        </w:rPr>
        <w:t>Resilience</w:t>
      </w:r>
      <w:r>
        <w:rPr>
          <w:spacing w:val="-3"/>
          <w:sz w:val="18"/>
          <w:vertAlign w:val="baseline"/>
        </w:rPr>
        <w:t> </w:t>
      </w:r>
      <w:r>
        <w:rPr>
          <w:sz w:val="18"/>
          <w:vertAlign w:val="baseline"/>
        </w:rPr>
        <w:t>Among</w:t>
      </w:r>
      <w:r>
        <w:rPr>
          <w:spacing w:val="-4"/>
          <w:sz w:val="18"/>
          <w:vertAlign w:val="baseline"/>
        </w:rPr>
        <w:t> </w:t>
      </w:r>
      <w:r>
        <w:rPr>
          <w:sz w:val="18"/>
          <w:vertAlign w:val="baseline"/>
        </w:rPr>
        <w:t>Transgender</w:t>
      </w:r>
      <w:r>
        <w:rPr>
          <w:spacing w:val="-4"/>
          <w:sz w:val="18"/>
          <w:vertAlign w:val="baseline"/>
        </w:rPr>
        <w:t> </w:t>
      </w:r>
      <w:r>
        <w:rPr>
          <w:sz w:val="18"/>
          <w:vertAlign w:val="baseline"/>
        </w:rPr>
        <w:t>Individuals: Transgender Resilience Intervention Model (TRIM).” </w:t>
      </w:r>
      <w:r>
        <w:rPr>
          <w:i/>
          <w:sz w:val="18"/>
          <w:vertAlign w:val="baseline"/>
        </w:rPr>
        <w:t>The Counseling Psychologist </w:t>
      </w:r>
      <w:r>
        <w:rPr>
          <w:sz w:val="18"/>
          <w:vertAlign w:val="baseline"/>
        </w:rPr>
        <w:t>46, no. 5 (July 2018): 632–55. </w:t>
      </w:r>
      <w:hyperlink r:id="rId255">
        <w:r>
          <w:rPr>
            <w:color w:val="1153CC"/>
            <w:spacing w:val="-2"/>
            <w:sz w:val="18"/>
            <w:u w:val="single" w:color="1153CC"/>
            <w:vertAlign w:val="baseline"/>
          </w:rPr>
          <w:t>https://doi.org/10.1177/0011000018787261</w:t>
        </w:r>
      </w:hyperlink>
      <w:hyperlink r:id="rId255">
        <w:r>
          <w:rPr>
            <w:spacing w:val="-2"/>
            <w:sz w:val="18"/>
            <w:u w:val="none"/>
            <w:vertAlign w:val="baseline"/>
          </w:rPr>
          <w:t>.</w:t>
        </w:r>
      </w:hyperlink>
    </w:p>
    <w:p>
      <w:pPr>
        <w:spacing w:before="0"/>
        <w:ind w:left="463" w:right="528" w:hanging="1"/>
        <w:jc w:val="left"/>
        <w:rPr>
          <w:sz w:val="18"/>
        </w:rPr>
      </w:pPr>
      <w:bookmarkStart w:name="_bookmark172" w:id="328"/>
      <w:bookmarkEnd w:id="328"/>
      <w:r>
        <w:rPr/>
      </w:r>
      <w:r>
        <w:rPr>
          <w:sz w:val="18"/>
          <w:vertAlign w:val="superscript"/>
        </w:rPr>
        <w:t>75</w:t>
      </w:r>
      <w:r>
        <w:rPr>
          <w:spacing w:val="-13"/>
          <w:sz w:val="18"/>
          <w:vertAlign w:val="baseline"/>
        </w:rPr>
        <w:t> </w:t>
      </w:r>
      <w:r>
        <w:rPr>
          <w:sz w:val="18"/>
          <w:vertAlign w:val="baseline"/>
        </w:rPr>
        <w:t>Barcelos,</w:t>
      </w:r>
      <w:r>
        <w:rPr>
          <w:spacing w:val="-5"/>
          <w:sz w:val="18"/>
          <w:vertAlign w:val="baseline"/>
        </w:rPr>
        <w:t> </w:t>
      </w:r>
      <w:r>
        <w:rPr>
          <w:sz w:val="18"/>
          <w:vertAlign w:val="baseline"/>
        </w:rPr>
        <w:t>Chris,</w:t>
      </w:r>
      <w:r>
        <w:rPr>
          <w:spacing w:val="-3"/>
          <w:sz w:val="18"/>
          <w:vertAlign w:val="baseline"/>
        </w:rPr>
        <w:t> </w:t>
      </w:r>
      <w:r>
        <w:rPr>
          <w:sz w:val="18"/>
          <w:vertAlign w:val="baseline"/>
        </w:rPr>
        <w:t>j.</w:t>
      </w:r>
      <w:r>
        <w:rPr>
          <w:spacing w:val="-2"/>
          <w:sz w:val="18"/>
          <w:vertAlign w:val="baseline"/>
        </w:rPr>
        <w:t> </w:t>
      </w:r>
      <w:r>
        <w:rPr>
          <w:sz w:val="18"/>
          <w:vertAlign w:val="baseline"/>
        </w:rPr>
        <w:t>nyla</w:t>
      </w:r>
      <w:r>
        <w:rPr>
          <w:spacing w:val="-2"/>
          <w:sz w:val="18"/>
          <w:vertAlign w:val="baseline"/>
        </w:rPr>
        <w:t> </w:t>
      </w:r>
      <w:r>
        <w:rPr>
          <w:sz w:val="18"/>
          <w:vertAlign w:val="baseline"/>
        </w:rPr>
        <w:t>mcneil,</w:t>
      </w:r>
      <w:r>
        <w:rPr>
          <w:spacing w:val="-3"/>
          <w:sz w:val="18"/>
          <w:vertAlign w:val="baseline"/>
        </w:rPr>
        <w:t> </w:t>
      </w:r>
      <w:r>
        <w:rPr>
          <w:sz w:val="18"/>
          <w:vertAlign w:val="baseline"/>
        </w:rPr>
        <w:t>Yanté</w:t>
      </w:r>
      <w:r>
        <w:rPr>
          <w:spacing w:val="-2"/>
          <w:sz w:val="18"/>
          <w:vertAlign w:val="baseline"/>
        </w:rPr>
        <w:t> </w:t>
      </w:r>
      <w:r>
        <w:rPr>
          <w:sz w:val="18"/>
          <w:vertAlign w:val="baseline"/>
        </w:rPr>
        <w:t>Turner,</w:t>
      </w:r>
      <w:r>
        <w:rPr>
          <w:spacing w:val="-3"/>
          <w:sz w:val="18"/>
          <w:vertAlign w:val="baseline"/>
        </w:rPr>
        <w:t> </w:t>
      </w:r>
      <w:r>
        <w:rPr>
          <w:sz w:val="18"/>
          <w:vertAlign w:val="baseline"/>
        </w:rPr>
        <w:t>and</w:t>
      </w:r>
      <w:r>
        <w:rPr>
          <w:spacing w:val="-3"/>
          <w:sz w:val="18"/>
          <w:vertAlign w:val="baseline"/>
        </w:rPr>
        <w:t> </w:t>
      </w:r>
      <w:r>
        <w:rPr>
          <w:sz w:val="18"/>
          <w:vertAlign w:val="baseline"/>
        </w:rPr>
        <w:t>Edie</w:t>
      </w:r>
      <w:r>
        <w:rPr>
          <w:spacing w:val="-2"/>
          <w:sz w:val="18"/>
          <w:vertAlign w:val="baseline"/>
        </w:rPr>
        <w:t> </w:t>
      </w:r>
      <w:r>
        <w:rPr>
          <w:sz w:val="18"/>
          <w:vertAlign w:val="baseline"/>
        </w:rPr>
        <w:t>Ma’iingan</w:t>
      </w:r>
      <w:r>
        <w:rPr>
          <w:spacing w:val="-2"/>
          <w:sz w:val="18"/>
          <w:vertAlign w:val="baseline"/>
        </w:rPr>
        <w:t> </w:t>
      </w:r>
      <w:r>
        <w:rPr>
          <w:sz w:val="18"/>
          <w:vertAlign w:val="baseline"/>
        </w:rPr>
        <w:t>Redwine.</w:t>
      </w:r>
      <w:r>
        <w:rPr>
          <w:spacing w:val="-2"/>
          <w:sz w:val="18"/>
          <w:vertAlign w:val="baseline"/>
        </w:rPr>
        <w:t> </w:t>
      </w:r>
      <w:r>
        <w:rPr>
          <w:sz w:val="18"/>
          <w:vertAlign w:val="baseline"/>
        </w:rPr>
        <w:t>“The</w:t>
      </w:r>
      <w:r>
        <w:rPr>
          <w:spacing w:val="-2"/>
          <w:sz w:val="18"/>
          <w:vertAlign w:val="baseline"/>
        </w:rPr>
        <w:t> </w:t>
      </w:r>
      <w:r>
        <w:rPr>
          <w:sz w:val="18"/>
          <w:vertAlign w:val="baseline"/>
        </w:rPr>
        <w:t>Trans</w:t>
      </w:r>
      <w:r>
        <w:rPr>
          <w:spacing w:val="-2"/>
          <w:sz w:val="18"/>
          <w:vertAlign w:val="baseline"/>
        </w:rPr>
        <w:t> </w:t>
      </w:r>
      <w:r>
        <w:rPr>
          <w:sz w:val="18"/>
          <w:vertAlign w:val="baseline"/>
        </w:rPr>
        <w:t>Youth</w:t>
      </w:r>
      <w:r>
        <w:rPr>
          <w:spacing w:val="-2"/>
          <w:sz w:val="18"/>
          <w:vertAlign w:val="baseline"/>
        </w:rPr>
        <w:t> </w:t>
      </w:r>
      <w:r>
        <w:rPr>
          <w:sz w:val="18"/>
          <w:vertAlign w:val="baseline"/>
        </w:rPr>
        <w:t>Justice</w:t>
      </w:r>
      <w:r>
        <w:rPr>
          <w:spacing w:val="-2"/>
          <w:sz w:val="18"/>
          <w:vertAlign w:val="baseline"/>
        </w:rPr>
        <w:t> </w:t>
      </w:r>
      <w:r>
        <w:rPr>
          <w:sz w:val="18"/>
          <w:vertAlign w:val="baseline"/>
        </w:rPr>
        <w:t>Project:</w:t>
      </w:r>
      <w:r>
        <w:rPr>
          <w:spacing w:val="-2"/>
          <w:sz w:val="18"/>
          <w:vertAlign w:val="baseline"/>
        </w:rPr>
        <w:t> </w:t>
      </w:r>
      <w:r>
        <w:rPr>
          <w:sz w:val="18"/>
          <w:vertAlign w:val="baseline"/>
        </w:rPr>
        <w:t>A</w:t>
      </w:r>
      <w:r>
        <w:rPr>
          <w:spacing w:val="-2"/>
          <w:sz w:val="18"/>
          <w:vertAlign w:val="baseline"/>
        </w:rPr>
        <w:t> </w:t>
      </w:r>
      <w:r>
        <w:rPr>
          <w:sz w:val="18"/>
          <w:vertAlign w:val="baseline"/>
        </w:rPr>
        <w:t>Political Education and Leadership Development Program.” </w:t>
      </w:r>
      <w:r>
        <w:rPr>
          <w:i/>
          <w:sz w:val="18"/>
          <w:vertAlign w:val="baseline"/>
        </w:rPr>
        <w:t>Journal of LGBT Youth </w:t>
      </w:r>
      <w:r>
        <w:rPr>
          <w:sz w:val="18"/>
          <w:vertAlign w:val="baseline"/>
        </w:rPr>
        <w:t>20, no. 2 (April 3, 2023): 265–81. </w:t>
      </w:r>
      <w:hyperlink r:id="rId256">
        <w:r>
          <w:rPr>
            <w:color w:val="1153CC"/>
            <w:spacing w:val="-2"/>
            <w:sz w:val="18"/>
            <w:u w:val="single" w:color="1153CC"/>
            <w:vertAlign w:val="baseline"/>
          </w:rPr>
          <w:t>https://doi.org/10.1080/19361653.2021.2020703</w:t>
        </w:r>
      </w:hyperlink>
      <w:hyperlink r:id="rId256">
        <w:r>
          <w:rPr>
            <w:spacing w:val="-2"/>
            <w:sz w:val="18"/>
            <w:u w:val="none"/>
            <w:vertAlign w:val="baseline"/>
          </w:rPr>
          <w:t>.</w:t>
        </w:r>
      </w:hyperlink>
    </w:p>
    <w:p>
      <w:pPr>
        <w:spacing w:before="0"/>
        <w:ind w:left="463" w:right="314" w:hanging="1"/>
        <w:jc w:val="left"/>
        <w:rPr>
          <w:sz w:val="18"/>
        </w:rPr>
      </w:pPr>
      <w:bookmarkStart w:name="_bookmark173" w:id="329"/>
      <w:bookmarkEnd w:id="329"/>
      <w:r>
        <w:rPr/>
      </w:r>
      <w:r>
        <w:rPr>
          <w:sz w:val="18"/>
          <w:vertAlign w:val="superscript"/>
        </w:rPr>
        <w:t>76</w:t>
      </w:r>
      <w:r>
        <w:rPr>
          <w:spacing w:val="-13"/>
          <w:sz w:val="18"/>
          <w:vertAlign w:val="baseline"/>
        </w:rPr>
        <w:t> </w:t>
      </w:r>
      <w:r>
        <w:rPr>
          <w:color w:val="2C2C29"/>
          <w:sz w:val="18"/>
          <w:vertAlign w:val="baseline"/>
        </w:rPr>
        <w:t>DeBlaere,</w:t>
      </w:r>
      <w:r>
        <w:rPr>
          <w:color w:val="2C2C29"/>
          <w:spacing w:val="-4"/>
          <w:sz w:val="18"/>
          <w:vertAlign w:val="baseline"/>
        </w:rPr>
        <w:t> </w:t>
      </w:r>
      <w:r>
        <w:rPr>
          <w:color w:val="2C2C29"/>
          <w:sz w:val="18"/>
          <w:vertAlign w:val="baseline"/>
        </w:rPr>
        <w:t>Cirleen,</w:t>
      </w:r>
      <w:r>
        <w:rPr>
          <w:color w:val="2C2C29"/>
          <w:spacing w:val="-3"/>
          <w:sz w:val="18"/>
          <w:vertAlign w:val="baseline"/>
        </w:rPr>
        <w:t> </w:t>
      </w:r>
      <w:r>
        <w:rPr>
          <w:color w:val="2C2C29"/>
          <w:sz w:val="18"/>
          <w:vertAlign w:val="baseline"/>
        </w:rPr>
        <w:t>Melanie</w:t>
      </w:r>
      <w:r>
        <w:rPr>
          <w:color w:val="2C2C29"/>
          <w:spacing w:val="-2"/>
          <w:sz w:val="18"/>
          <w:vertAlign w:val="baseline"/>
        </w:rPr>
        <w:t> </w:t>
      </w:r>
      <w:r>
        <w:rPr>
          <w:color w:val="2C2C29"/>
          <w:sz w:val="18"/>
          <w:vertAlign w:val="baseline"/>
        </w:rPr>
        <w:t>E.</w:t>
      </w:r>
      <w:r>
        <w:rPr>
          <w:color w:val="2C2C29"/>
          <w:spacing w:val="-3"/>
          <w:sz w:val="18"/>
          <w:vertAlign w:val="baseline"/>
        </w:rPr>
        <w:t> </w:t>
      </w:r>
      <w:r>
        <w:rPr>
          <w:color w:val="2C2C29"/>
          <w:sz w:val="18"/>
          <w:vertAlign w:val="baseline"/>
        </w:rPr>
        <w:t>Brewster,</w:t>
      </w:r>
      <w:r>
        <w:rPr>
          <w:color w:val="2C2C29"/>
          <w:spacing w:val="-3"/>
          <w:sz w:val="18"/>
          <w:vertAlign w:val="baseline"/>
        </w:rPr>
        <w:t> </w:t>
      </w:r>
      <w:r>
        <w:rPr>
          <w:color w:val="2C2C29"/>
          <w:sz w:val="18"/>
          <w:vertAlign w:val="baseline"/>
        </w:rPr>
        <w:t>Kristin</w:t>
      </w:r>
      <w:r>
        <w:rPr>
          <w:color w:val="2C2C29"/>
          <w:spacing w:val="-1"/>
          <w:sz w:val="18"/>
          <w:vertAlign w:val="baseline"/>
        </w:rPr>
        <w:t> </w:t>
      </w:r>
      <w:r>
        <w:rPr>
          <w:color w:val="2C2C29"/>
          <w:sz w:val="18"/>
          <w:vertAlign w:val="baseline"/>
        </w:rPr>
        <w:t>N.</w:t>
      </w:r>
      <w:r>
        <w:rPr>
          <w:color w:val="2C2C29"/>
          <w:spacing w:val="-2"/>
          <w:sz w:val="18"/>
          <w:vertAlign w:val="baseline"/>
        </w:rPr>
        <w:t> </w:t>
      </w:r>
      <w:r>
        <w:rPr>
          <w:color w:val="2C2C29"/>
          <w:sz w:val="18"/>
          <w:vertAlign w:val="baseline"/>
        </w:rPr>
        <w:t>Bertsch,</w:t>
      </w:r>
      <w:r>
        <w:rPr>
          <w:color w:val="2C2C29"/>
          <w:spacing w:val="-3"/>
          <w:sz w:val="18"/>
          <w:vertAlign w:val="baseline"/>
        </w:rPr>
        <w:t> </w:t>
      </w:r>
      <w:r>
        <w:rPr>
          <w:color w:val="2C2C29"/>
          <w:sz w:val="18"/>
          <w:vertAlign w:val="baseline"/>
        </w:rPr>
        <w:t>Aubrey</w:t>
      </w:r>
      <w:r>
        <w:rPr>
          <w:color w:val="2C2C29"/>
          <w:spacing w:val="-2"/>
          <w:sz w:val="18"/>
          <w:vertAlign w:val="baseline"/>
        </w:rPr>
        <w:t> </w:t>
      </w:r>
      <w:r>
        <w:rPr>
          <w:color w:val="2C2C29"/>
          <w:sz w:val="18"/>
          <w:vertAlign w:val="baseline"/>
        </w:rPr>
        <w:t>L.</w:t>
      </w:r>
      <w:r>
        <w:rPr>
          <w:color w:val="2C2C29"/>
          <w:spacing w:val="-2"/>
          <w:sz w:val="18"/>
          <w:vertAlign w:val="baseline"/>
        </w:rPr>
        <w:t> </w:t>
      </w:r>
      <w:r>
        <w:rPr>
          <w:color w:val="2C2C29"/>
          <w:sz w:val="18"/>
          <w:vertAlign w:val="baseline"/>
        </w:rPr>
        <w:t>DeCarlo,</w:t>
      </w:r>
      <w:r>
        <w:rPr>
          <w:color w:val="2C2C29"/>
          <w:spacing w:val="-3"/>
          <w:sz w:val="18"/>
          <w:vertAlign w:val="baseline"/>
        </w:rPr>
        <w:t> </w:t>
      </w:r>
      <w:r>
        <w:rPr>
          <w:color w:val="2C2C29"/>
          <w:sz w:val="18"/>
          <w:vertAlign w:val="baseline"/>
        </w:rPr>
        <w:t>Karen</w:t>
      </w:r>
      <w:r>
        <w:rPr>
          <w:color w:val="2C2C29"/>
          <w:spacing w:val="-2"/>
          <w:sz w:val="18"/>
          <w:vertAlign w:val="baseline"/>
        </w:rPr>
        <w:t> </w:t>
      </w:r>
      <w:r>
        <w:rPr>
          <w:color w:val="2C2C29"/>
          <w:sz w:val="18"/>
          <w:vertAlign w:val="baseline"/>
        </w:rPr>
        <w:t>A.</w:t>
      </w:r>
      <w:r>
        <w:rPr>
          <w:color w:val="2C2C29"/>
          <w:spacing w:val="-2"/>
          <w:sz w:val="18"/>
          <w:vertAlign w:val="baseline"/>
        </w:rPr>
        <w:t> </w:t>
      </w:r>
      <w:r>
        <w:rPr>
          <w:color w:val="2C2C29"/>
          <w:sz w:val="18"/>
          <w:vertAlign w:val="baseline"/>
        </w:rPr>
        <w:t>Kegel,</w:t>
      </w:r>
      <w:r>
        <w:rPr>
          <w:color w:val="2C2C29"/>
          <w:spacing w:val="-3"/>
          <w:sz w:val="18"/>
          <w:vertAlign w:val="baseline"/>
        </w:rPr>
        <w:t> </w:t>
      </w:r>
      <w:r>
        <w:rPr>
          <w:color w:val="2C2C29"/>
          <w:sz w:val="18"/>
          <w:vertAlign w:val="baseline"/>
        </w:rPr>
        <w:t>and</w:t>
      </w:r>
      <w:r>
        <w:rPr>
          <w:color w:val="2C2C29"/>
          <w:spacing w:val="-2"/>
          <w:sz w:val="18"/>
          <w:vertAlign w:val="baseline"/>
        </w:rPr>
        <w:t> </w:t>
      </w:r>
      <w:r>
        <w:rPr>
          <w:color w:val="2C2C29"/>
          <w:sz w:val="18"/>
          <w:vertAlign w:val="baseline"/>
        </w:rPr>
        <w:t>Candice</w:t>
      </w:r>
      <w:r>
        <w:rPr>
          <w:color w:val="2C2C29"/>
          <w:spacing w:val="-2"/>
          <w:sz w:val="18"/>
          <w:vertAlign w:val="baseline"/>
        </w:rPr>
        <w:t> </w:t>
      </w:r>
      <w:r>
        <w:rPr>
          <w:color w:val="2C2C29"/>
          <w:sz w:val="18"/>
          <w:vertAlign w:val="baseline"/>
        </w:rPr>
        <w:t>D.</w:t>
      </w:r>
      <w:r>
        <w:rPr>
          <w:color w:val="2C2C29"/>
          <w:spacing w:val="-2"/>
          <w:sz w:val="18"/>
          <w:vertAlign w:val="baseline"/>
        </w:rPr>
        <w:t> </w:t>
      </w:r>
      <w:r>
        <w:rPr>
          <w:color w:val="2C2C29"/>
          <w:sz w:val="18"/>
          <w:vertAlign w:val="baseline"/>
        </w:rPr>
        <w:t>Presseau.</w:t>
      </w:r>
      <w:r>
        <w:rPr>
          <w:color w:val="2C2C29"/>
          <w:spacing w:val="-2"/>
          <w:sz w:val="18"/>
          <w:vertAlign w:val="baseline"/>
        </w:rPr>
        <w:t> </w:t>
      </w:r>
      <w:r>
        <w:rPr>
          <w:color w:val="2C2C29"/>
          <w:sz w:val="18"/>
          <w:vertAlign w:val="baseline"/>
        </w:rPr>
        <w:t>“The Protective Power of Collective Action for Sexual Minority Women of Color: An Investigation of Multiple Discrimination Experiences and Psychological Distress.” </w:t>
      </w:r>
      <w:r>
        <w:rPr>
          <w:i/>
          <w:color w:val="2C2C29"/>
          <w:sz w:val="18"/>
          <w:vertAlign w:val="baseline"/>
        </w:rPr>
        <w:t>Psychology of Women Quarterly </w:t>
      </w:r>
      <w:r>
        <w:rPr>
          <w:color w:val="2C2C29"/>
          <w:sz w:val="18"/>
          <w:vertAlign w:val="baseline"/>
        </w:rPr>
        <w:t>38, no. 1 (March 2014): 20–32. </w:t>
      </w:r>
      <w:hyperlink r:id="rId257">
        <w:r>
          <w:rPr>
            <w:color w:val="1153CC"/>
            <w:spacing w:val="-2"/>
            <w:sz w:val="18"/>
            <w:u w:val="single" w:color="1153CC"/>
            <w:vertAlign w:val="baseline"/>
          </w:rPr>
          <w:t>https://doi.org/10.1177/0361684313493252</w:t>
        </w:r>
      </w:hyperlink>
      <w:hyperlink r:id="rId257">
        <w:r>
          <w:rPr>
            <w:color w:val="2C2C29"/>
            <w:spacing w:val="-2"/>
            <w:sz w:val="18"/>
            <w:u w:val="none"/>
            <w:vertAlign w:val="baseline"/>
          </w:rPr>
          <w:t>.</w:t>
        </w:r>
      </w:hyperlink>
    </w:p>
    <w:p>
      <w:pPr>
        <w:spacing w:before="0"/>
        <w:ind w:left="463" w:right="279" w:hanging="1"/>
        <w:jc w:val="left"/>
        <w:rPr>
          <w:sz w:val="18"/>
        </w:rPr>
      </w:pPr>
      <w:bookmarkStart w:name="_bookmark174" w:id="330"/>
      <w:bookmarkEnd w:id="330"/>
      <w:r>
        <w:rPr/>
      </w:r>
      <w:r>
        <w:rPr>
          <w:sz w:val="18"/>
          <w:vertAlign w:val="superscript"/>
        </w:rPr>
        <w:t>77</w:t>
      </w:r>
      <w:r>
        <w:rPr>
          <w:spacing w:val="-13"/>
          <w:sz w:val="18"/>
          <w:vertAlign w:val="baseline"/>
        </w:rPr>
        <w:t> </w:t>
      </w:r>
      <w:r>
        <w:rPr>
          <w:sz w:val="18"/>
          <w:vertAlign w:val="baseline"/>
        </w:rPr>
        <w:t>Strauss</w:t>
      </w:r>
      <w:r>
        <w:rPr>
          <w:spacing w:val="-4"/>
          <w:sz w:val="18"/>
          <w:vertAlign w:val="baseline"/>
        </w:rPr>
        <w:t> </w:t>
      </w:r>
      <w:r>
        <w:rPr>
          <w:sz w:val="18"/>
          <w:vertAlign w:val="baseline"/>
        </w:rPr>
        <w:t>Swanson,</w:t>
      </w:r>
      <w:r>
        <w:rPr>
          <w:spacing w:val="-3"/>
          <w:sz w:val="18"/>
          <w:vertAlign w:val="baseline"/>
        </w:rPr>
        <w:t> </w:t>
      </w:r>
      <w:r>
        <w:rPr>
          <w:sz w:val="18"/>
          <w:vertAlign w:val="baseline"/>
        </w:rPr>
        <w:t>Charlotte,</w:t>
      </w:r>
      <w:r>
        <w:rPr>
          <w:spacing w:val="-3"/>
          <w:sz w:val="18"/>
          <w:vertAlign w:val="baseline"/>
        </w:rPr>
        <w:t> </w:t>
      </w:r>
      <w:r>
        <w:rPr>
          <w:sz w:val="18"/>
          <w:vertAlign w:val="baseline"/>
        </w:rPr>
        <w:t>and</w:t>
      </w:r>
      <w:r>
        <w:rPr>
          <w:spacing w:val="-2"/>
          <w:sz w:val="18"/>
          <w:vertAlign w:val="baseline"/>
        </w:rPr>
        <w:t> </w:t>
      </w:r>
      <w:r>
        <w:rPr>
          <w:sz w:val="18"/>
          <w:vertAlign w:val="baseline"/>
        </w:rPr>
        <w:t>Dawn</w:t>
      </w:r>
      <w:r>
        <w:rPr>
          <w:spacing w:val="-2"/>
          <w:sz w:val="18"/>
          <w:vertAlign w:val="baseline"/>
        </w:rPr>
        <w:t> </w:t>
      </w:r>
      <w:r>
        <w:rPr>
          <w:sz w:val="18"/>
          <w:vertAlign w:val="baseline"/>
        </w:rPr>
        <w:t>M</w:t>
      </w:r>
      <w:r>
        <w:rPr>
          <w:spacing w:val="-3"/>
          <w:sz w:val="18"/>
          <w:vertAlign w:val="baseline"/>
        </w:rPr>
        <w:t> </w:t>
      </w:r>
      <w:r>
        <w:rPr>
          <w:sz w:val="18"/>
          <w:vertAlign w:val="baseline"/>
        </w:rPr>
        <w:t>Szymanski.</w:t>
      </w:r>
      <w:r>
        <w:rPr>
          <w:spacing w:val="-2"/>
          <w:sz w:val="18"/>
          <w:vertAlign w:val="baseline"/>
        </w:rPr>
        <w:t> </w:t>
      </w:r>
      <w:r>
        <w:rPr>
          <w:sz w:val="18"/>
          <w:vertAlign w:val="baseline"/>
        </w:rPr>
        <w:t>“From</w:t>
      </w:r>
      <w:r>
        <w:rPr>
          <w:spacing w:val="-2"/>
          <w:sz w:val="18"/>
          <w:vertAlign w:val="baseline"/>
        </w:rPr>
        <w:t> </w:t>
      </w:r>
      <w:r>
        <w:rPr>
          <w:sz w:val="18"/>
          <w:vertAlign w:val="baseline"/>
        </w:rPr>
        <w:t>Pain</w:t>
      </w:r>
      <w:r>
        <w:rPr>
          <w:spacing w:val="-2"/>
          <w:sz w:val="18"/>
          <w:vertAlign w:val="baseline"/>
        </w:rPr>
        <w:t> </w:t>
      </w:r>
      <w:r>
        <w:rPr>
          <w:sz w:val="18"/>
          <w:vertAlign w:val="baseline"/>
        </w:rPr>
        <w:t>to</w:t>
      </w:r>
      <w:r>
        <w:rPr>
          <w:spacing w:val="-2"/>
          <w:sz w:val="18"/>
          <w:vertAlign w:val="baseline"/>
        </w:rPr>
        <w:t> </w:t>
      </w:r>
      <w:r>
        <w:rPr>
          <w:sz w:val="18"/>
          <w:vertAlign w:val="baseline"/>
        </w:rPr>
        <w:t>Power:</w:t>
      </w:r>
      <w:r>
        <w:rPr>
          <w:spacing w:val="-2"/>
          <w:sz w:val="18"/>
          <w:vertAlign w:val="baseline"/>
        </w:rPr>
        <w:t> </w:t>
      </w:r>
      <w:r>
        <w:rPr>
          <w:sz w:val="18"/>
          <w:vertAlign w:val="baseline"/>
        </w:rPr>
        <w:t>An</w:t>
      </w:r>
      <w:r>
        <w:rPr>
          <w:spacing w:val="-2"/>
          <w:sz w:val="18"/>
          <w:vertAlign w:val="baseline"/>
        </w:rPr>
        <w:t> </w:t>
      </w:r>
      <w:r>
        <w:rPr>
          <w:sz w:val="18"/>
          <w:vertAlign w:val="baseline"/>
        </w:rPr>
        <w:t>Exploration</w:t>
      </w:r>
      <w:r>
        <w:rPr>
          <w:spacing w:val="-2"/>
          <w:sz w:val="18"/>
          <w:vertAlign w:val="baseline"/>
        </w:rPr>
        <w:t> </w:t>
      </w:r>
      <w:r>
        <w:rPr>
          <w:sz w:val="18"/>
          <w:vertAlign w:val="baseline"/>
        </w:rPr>
        <w:t>of</w:t>
      </w:r>
      <w:r>
        <w:rPr>
          <w:spacing w:val="-2"/>
          <w:sz w:val="18"/>
          <w:vertAlign w:val="baseline"/>
        </w:rPr>
        <w:t> </w:t>
      </w:r>
      <w:r>
        <w:rPr>
          <w:sz w:val="18"/>
          <w:vertAlign w:val="baseline"/>
        </w:rPr>
        <w:t>Activism,</w:t>
      </w:r>
      <w:r>
        <w:rPr>
          <w:spacing w:val="-3"/>
          <w:sz w:val="18"/>
          <w:vertAlign w:val="baseline"/>
        </w:rPr>
        <w:t> </w:t>
      </w:r>
      <w:r>
        <w:rPr>
          <w:sz w:val="18"/>
          <w:vertAlign w:val="baseline"/>
        </w:rPr>
        <w:t>the</w:t>
      </w:r>
      <w:r>
        <w:rPr>
          <w:spacing w:val="-2"/>
          <w:sz w:val="18"/>
          <w:vertAlign w:val="baseline"/>
        </w:rPr>
        <w:t> </w:t>
      </w:r>
      <w:r>
        <w:rPr>
          <w:sz w:val="18"/>
          <w:vertAlign w:val="baseline"/>
        </w:rPr>
        <w:t>#Metoo</w:t>
      </w:r>
      <w:r>
        <w:rPr>
          <w:spacing w:val="-2"/>
          <w:sz w:val="18"/>
          <w:vertAlign w:val="baseline"/>
        </w:rPr>
        <w:t> </w:t>
      </w:r>
      <w:r>
        <w:rPr>
          <w:sz w:val="18"/>
          <w:vertAlign w:val="baseline"/>
        </w:rPr>
        <w:t>Movement, and Healing from Sexual Assault Trauma.” </w:t>
      </w:r>
      <w:r>
        <w:rPr>
          <w:i/>
          <w:sz w:val="18"/>
          <w:vertAlign w:val="baseline"/>
        </w:rPr>
        <w:t>Journal of Counseling Psychology </w:t>
      </w:r>
      <w:r>
        <w:rPr>
          <w:sz w:val="18"/>
          <w:vertAlign w:val="baseline"/>
        </w:rPr>
        <w:t>67, no. 6 (November 1, 2020): 653–68. </w:t>
      </w:r>
      <w:hyperlink r:id="rId258">
        <w:r>
          <w:rPr>
            <w:color w:val="1153CC"/>
            <w:spacing w:val="-2"/>
            <w:sz w:val="18"/>
            <w:u w:val="single" w:color="1153CC"/>
            <w:vertAlign w:val="baseline"/>
          </w:rPr>
          <w:t>https://doi.org/10.1037/cou0000429</w:t>
        </w:r>
      </w:hyperlink>
      <w:hyperlink r:id="rId258">
        <w:r>
          <w:rPr>
            <w:spacing w:val="-2"/>
            <w:sz w:val="18"/>
            <w:u w:val="none"/>
            <w:vertAlign w:val="baseline"/>
          </w:rPr>
          <w:t>.</w:t>
        </w:r>
      </w:hyperlink>
    </w:p>
    <w:p>
      <w:pPr>
        <w:spacing w:before="0"/>
        <w:ind w:left="463" w:right="244" w:firstLine="0"/>
        <w:jc w:val="left"/>
        <w:rPr>
          <w:sz w:val="18"/>
        </w:rPr>
      </w:pPr>
      <w:bookmarkStart w:name="_bookmark175" w:id="331"/>
      <w:bookmarkEnd w:id="331"/>
      <w:r>
        <w:rPr/>
      </w:r>
      <w:r>
        <w:rPr>
          <w:sz w:val="18"/>
          <w:vertAlign w:val="superscript"/>
        </w:rPr>
        <w:t>78</w:t>
      </w:r>
      <w:r>
        <w:rPr>
          <w:spacing w:val="-10"/>
          <w:sz w:val="18"/>
          <w:vertAlign w:val="baseline"/>
        </w:rPr>
        <w:t> </w:t>
      </w:r>
      <w:r>
        <w:rPr>
          <w:sz w:val="18"/>
          <w:vertAlign w:val="baseline"/>
        </w:rPr>
        <w:t>Poteat, V. Paul, Jerel P. Calzo, Hirokazu Yoshikawa, Arthur Lipkin, Christopher J. Ceccolini, Sarah B. Rosenbach, Michael D. O’Brien,</w:t>
      </w:r>
      <w:r>
        <w:rPr>
          <w:spacing w:val="-3"/>
          <w:sz w:val="18"/>
          <w:vertAlign w:val="baseline"/>
        </w:rPr>
        <w:t> </w:t>
      </w:r>
      <w:r>
        <w:rPr>
          <w:sz w:val="18"/>
          <w:vertAlign w:val="baseline"/>
        </w:rPr>
        <w:t>Robert</w:t>
      </w:r>
      <w:r>
        <w:rPr>
          <w:spacing w:val="-1"/>
          <w:sz w:val="18"/>
          <w:vertAlign w:val="baseline"/>
        </w:rPr>
        <w:t> </w:t>
      </w:r>
      <w:r>
        <w:rPr>
          <w:sz w:val="18"/>
          <w:vertAlign w:val="baseline"/>
        </w:rPr>
        <w:t>A.</w:t>
      </w:r>
      <w:r>
        <w:rPr>
          <w:spacing w:val="-2"/>
          <w:sz w:val="18"/>
          <w:vertAlign w:val="baseline"/>
        </w:rPr>
        <w:t> </w:t>
      </w:r>
      <w:r>
        <w:rPr>
          <w:sz w:val="18"/>
          <w:vertAlign w:val="baseline"/>
        </w:rPr>
        <w:t>Marx,</w:t>
      </w:r>
      <w:r>
        <w:rPr>
          <w:spacing w:val="-3"/>
          <w:sz w:val="18"/>
          <w:vertAlign w:val="baseline"/>
        </w:rPr>
        <w:t> </w:t>
      </w:r>
      <w:r>
        <w:rPr>
          <w:sz w:val="18"/>
          <w:vertAlign w:val="baseline"/>
        </w:rPr>
        <w:t>Gabriel</w:t>
      </w:r>
      <w:r>
        <w:rPr>
          <w:spacing w:val="-3"/>
          <w:sz w:val="18"/>
          <w:vertAlign w:val="baseline"/>
        </w:rPr>
        <w:t> </w:t>
      </w:r>
      <w:r>
        <w:rPr>
          <w:sz w:val="18"/>
          <w:vertAlign w:val="baseline"/>
        </w:rPr>
        <w:t>R.</w:t>
      </w:r>
      <w:r>
        <w:rPr>
          <w:spacing w:val="-2"/>
          <w:sz w:val="18"/>
          <w:vertAlign w:val="baseline"/>
        </w:rPr>
        <w:t> </w:t>
      </w:r>
      <w:r>
        <w:rPr>
          <w:sz w:val="18"/>
          <w:vertAlign w:val="baseline"/>
        </w:rPr>
        <w:t>Murchison,</w:t>
      </w:r>
      <w:r>
        <w:rPr>
          <w:spacing w:val="-3"/>
          <w:sz w:val="18"/>
          <w:vertAlign w:val="baseline"/>
        </w:rPr>
        <w:t> </w:t>
      </w:r>
      <w:r>
        <w:rPr>
          <w:sz w:val="18"/>
          <w:vertAlign w:val="baseline"/>
        </w:rPr>
        <w:t>and</w:t>
      </w:r>
      <w:r>
        <w:rPr>
          <w:spacing w:val="-2"/>
          <w:sz w:val="18"/>
          <w:vertAlign w:val="baseline"/>
        </w:rPr>
        <w:t> </w:t>
      </w:r>
      <w:r>
        <w:rPr>
          <w:sz w:val="18"/>
          <w:vertAlign w:val="baseline"/>
        </w:rPr>
        <w:t>Esther</w:t>
      </w:r>
      <w:r>
        <w:rPr>
          <w:spacing w:val="-3"/>
          <w:sz w:val="18"/>
          <w:vertAlign w:val="baseline"/>
        </w:rPr>
        <w:t> </w:t>
      </w:r>
      <w:r>
        <w:rPr>
          <w:sz w:val="18"/>
          <w:vertAlign w:val="baseline"/>
        </w:rPr>
        <w:t>Burson.</w:t>
      </w:r>
      <w:r>
        <w:rPr>
          <w:spacing w:val="-2"/>
          <w:sz w:val="18"/>
          <w:vertAlign w:val="baseline"/>
        </w:rPr>
        <w:t> </w:t>
      </w:r>
      <w:r>
        <w:rPr>
          <w:sz w:val="18"/>
          <w:vertAlign w:val="baseline"/>
        </w:rPr>
        <w:t>“Greater</w:t>
      </w:r>
      <w:r>
        <w:rPr>
          <w:spacing w:val="-3"/>
          <w:sz w:val="18"/>
          <w:vertAlign w:val="baseline"/>
        </w:rPr>
        <w:t> </w:t>
      </w:r>
      <w:r>
        <w:rPr>
          <w:sz w:val="18"/>
          <w:vertAlign w:val="baseline"/>
        </w:rPr>
        <w:t>Engagement</w:t>
      </w:r>
      <w:r>
        <w:rPr>
          <w:spacing w:val="-3"/>
          <w:sz w:val="18"/>
          <w:vertAlign w:val="baseline"/>
        </w:rPr>
        <w:t> </w:t>
      </w:r>
      <w:r>
        <w:rPr>
          <w:sz w:val="18"/>
          <w:vertAlign w:val="baseline"/>
        </w:rPr>
        <w:t>in</w:t>
      </w:r>
      <w:r>
        <w:rPr>
          <w:spacing w:val="-2"/>
          <w:sz w:val="18"/>
          <w:vertAlign w:val="baseline"/>
        </w:rPr>
        <w:t> </w:t>
      </w:r>
      <w:r>
        <w:rPr>
          <w:sz w:val="18"/>
          <w:vertAlign w:val="baseline"/>
        </w:rPr>
        <w:t>Gender-Sexuality</w:t>
      </w:r>
      <w:r>
        <w:rPr>
          <w:spacing w:val="-2"/>
          <w:sz w:val="18"/>
          <w:vertAlign w:val="baseline"/>
        </w:rPr>
        <w:t> </w:t>
      </w:r>
      <w:r>
        <w:rPr>
          <w:sz w:val="18"/>
          <w:vertAlign w:val="baseline"/>
        </w:rPr>
        <w:t>Alliances</w:t>
      </w:r>
      <w:r>
        <w:rPr>
          <w:spacing w:val="-2"/>
          <w:sz w:val="18"/>
          <w:vertAlign w:val="baseline"/>
        </w:rPr>
        <w:t> </w:t>
      </w:r>
      <w:r>
        <w:rPr>
          <w:sz w:val="18"/>
          <w:vertAlign w:val="baseline"/>
        </w:rPr>
        <w:t>(GSAs)</w:t>
      </w:r>
      <w:r>
        <w:rPr>
          <w:spacing w:val="-2"/>
          <w:sz w:val="18"/>
          <w:vertAlign w:val="baseline"/>
        </w:rPr>
        <w:t> </w:t>
      </w:r>
      <w:r>
        <w:rPr>
          <w:sz w:val="18"/>
          <w:vertAlign w:val="baseline"/>
        </w:rPr>
        <w:t>and GSA Characteristics Predict Youth Empowerment and Reduced Mental Health Concerns.” </w:t>
      </w:r>
      <w:r>
        <w:rPr>
          <w:i/>
          <w:sz w:val="18"/>
          <w:vertAlign w:val="baseline"/>
        </w:rPr>
        <w:t>Child Development </w:t>
      </w:r>
      <w:r>
        <w:rPr>
          <w:sz w:val="18"/>
          <w:vertAlign w:val="baseline"/>
        </w:rPr>
        <w:t>91, no. 5</w:t>
      </w:r>
      <w:r>
        <w:rPr>
          <w:spacing w:val="40"/>
          <w:sz w:val="18"/>
          <w:vertAlign w:val="baseline"/>
        </w:rPr>
        <w:t> </w:t>
      </w:r>
      <w:r>
        <w:rPr>
          <w:sz w:val="18"/>
          <w:vertAlign w:val="baseline"/>
        </w:rPr>
        <w:t>(September 2020): 1509–28. </w:t>
      </w:r>
      <w:hyperlink r:id="rId243">
        <w:r>
          <w:rPr>
            <w:color w:val="1153CC"/>
            <w:sz w:val="18"/>
            <w:u w:val="single" w:color="1153CC"/>
            <w:vertAlign w:val="baseline"/>
          </w:rPr>
          <w:t>https://doi.org/10.1111/cdev.13345</w:t>
        </w:r>
      </w:hyperlink>
      <w:hyperlink r:id="rId243">
        <w:r>
          <w:rPr>
            <w:sz w:val="18"/>
            <w:u w:val="none"/>
            <w:vertAlign w:val="baseline"/>
          </w:rPr>
          <w:t>.</w:t>
        </w:r>
      </w:hyperlink>
    </w:p>
    <w:p>
      <w:pPr>
        <w:spacing w:before="0"/>
        <w:ind w:left="463" w:right="258" w:firstLine="0"/>
        <w:jc w:val="left"/>
        <w:rPr>
          <w:sz w:val="18"/>
        </w:rPr>
      </w:pPr>
      <w:bookmarkStart w:name="_bookmark176" w:id="332"/>
      <w:bookmarkEnd w:id="332"/>
      <w:r>
        <w:rPr/>
      </w:r>
      <w:r>
        <w:rPr>
          <w:sz w:val="18"/>
          <w:vertAlign w:val="superscript"/>
        </w:rPr>
        <w:t>79</w:t>
      </w:r>
      <w:r>
        <w:rPr>
          <w:spacing w:val="-9"/>
          <w:sz w:val="18"/>
          <w:vertAlign w:val="baseline"/>
        </w:rPr>
        <w:t> </w:t>
      </w:r>
      <w:r>
        <w:rPr>
          <w:sz w:val="18"/>
          <w:vertAlign w:val="baseline"/>
        </w:rPr>
        <w:t>Comerford, Jo. “Addressing Barriers to Care: What’s in the Legislature’s Final Mental Health Bill.” The People’s Blog (blog), August</w:t>
      </w:r>
      <w:r>
        <w:rPr>
          <w:spacing w:val="-10"/>
          <w:sz w:val="18"/>
          <w:vertAlign w:val="baseline"/>
        </w:rPr>
        <w:t> </w:t>
      </w:r>
      <w:r>
        <w:rPr>
          <w:sz w:val="18"/>
          <w:vertAlign w:val="baseline"/>
        </w:rPr>
        <w:t>3,</w:t>
      </w:r>
      <w:r>
        <w:rPr>
          <w:spacing w:val="-10"/>
          <w:sz w:val="18"/>
          <w:vertAlign w:val="baseline"/>
        </w:rPr>
        <w:t> </w:t>
      </w:r>
      <w:r>
        <w:rPr>
          <w:sz w:val="18"/>
          <w:vertAlign w:val="baseline"/>
        </w:rPr>
        <w:t>2022.</w:t>
      </w:r>
      <w:r>
        <w:rPr>
          <w:spacing w:val="-10"/>
          <w:sz w:val="18"/>
          <w:vertAlign w:val="baseline"/>
        </w:rPr>
        <w:t> </w:t>
      </w:r>
      <w:hyperlink r:id="rId259">
        <w:r>
          <w:rPr>
            <w:color w:val="1153CC"/>
            <w:sz w:val="18"/>
            <w:u w:val="single" w:color="1153CC"/>
            <w:vertAlign w:val="baseline"/>
          </w:rPr>
          <w:t>https://senatorjocomerford.org/addressing-barriers-to-care-whats-in-the-legislatures-final-mental-health-bill/</w:t>
        </w:r>
      </w:hyperlink>
      <w:hyperlink r:id="rId259">
        <w:r>
          <w:rPr>
            <w:sz w:val="18"/>
            <w:u w:val="none"/>
            <w:vertAlign w:val="baseline"/>
          </w:rPr>
          <w:t>.</w:t>
        </w:r>
      </w:hyperlink>
      <w:r>
        <w:rPr>
          <w:spacing w:val="-10"/>
          <w:sz w:val="18"/>
          <w:u w:val="none"/>
          <w:vertAlign w:val="baseline"/>
        </w:rPr>
        <w:t> </w:t>
      </w:r>
      <w:r>
        <w:rPr>
          <w:sz w:val="18"/>
          <w:u w:val="none"/>
          <w:vertAlign w:val="superscript"/>
        </w:rPr>
        <w:t>80</w:t>
      </w:r>
      <w:r>
        <w:rPr>
          <w:sz w:val="18"/>
          <w:u w:val="none"/>
          <w:vertAlign w:val="baseline"/>
        </w:rPr>
        <w:t> Mulqueen, Maggie. “Covid’s Mental Health Toll Makes Therapists Hard to Find. Insurance Companies Make It Harder.” </w:t>
      </w:r>
      <w:r>
        <w:rPr>
          <w:i/>
          <w:sz w:val="18"/>
          <w:u w:val="none"/>
          <w:vertAlign w:val="baseline"/>
        </w:rPr>
        <w:t>NBC</w:t>
      </w:r>
      <w:r>
        <w:rPr>
          <w:i/>
          <w:spacing w:val="40"/>
          <w:sz w:val="18"/>
          <w:u w:val="none"/>
          <w:vertAlign w:val="baseline"/>
        </w:rPr>
        <w:t> </w:t>
      </w:r>
      <w:r>
        <w:rPr>
          <w:i/>
          <w:sz w:val="18"/>
          <w:u w:val="none"/>
          <w:vertAlign w:val="baseline"/>
        </w:rPr>
        <w:t>News, </w:t>
      </w:r>
      <w:r>
        <w:rPr>
          <w:sz w:val="18"/>
          <w:u w:val="none"/>
          <w:vertAlign w:val="baseline"/>
        </w:rPr>
        <w:t>December 22, 2021, sec. Health &amp; Technology. </w:t>
      </w:r>
      <w:hyperlink r:id="rId260">
        <w:r>
          <w:rPr>
            <w:color w:val="1153CC"/>
            <w:sz w:val="18"/>
            <w:u w:val="single" w:color="1153CC"/>
            <w:vertAlign w:val="baseline"/>
          </w:rPr>
          <w:t>https://www.nbcnews.com/think/opinion/covid-s-mental-health-toll-</w:t>
        </w:r>
      </w:hyperlink>
      <w:r>
        <w:rPr>
          <w:color w:val="1153CC"/>
          <w:sz w:val="18"/>
          <w:u w:val="none"/>
          <w:vertAlign w:val="baseline"/>
        </w:rPr>
        <w:t> </w:t>
      </w:r>
      <w:hyperlink r:id="rId260">
        <w:r>
          <w:rPr>
            <w:color w:val="1153CC"/>
            <w:spacing w:val="-2"/>
            <w:sz w:val="18"/>
            <w:u w:val="single" w:color="1153CC"/>
            <w:vertAlign w:val="baseline"/>
          </w:rPr>
          <w:t>makes-therapists-hard-find-insurance-ncna1286502</w:t>
        </w:r>
      </w:hyperlink>
      <w:hyperlink r:id="rId260">
        <w:r>
          <w:rPr>
            <w:spacing w:val="-2"/>
            <w:sz w:val="18"/>
            <w:u w:val="none"/>
            <w:vertAlign w:val="baseline"/>
          </w:rPr>
          <w:t>.</w:t>
        </w:r>
      </w:hyperlink>
    </w:p>
    <w:p>
      <w:pPr>
        <w:spacing w:before="0"/>
        <w:ind w:left="463" w:right="0" w:firstLine="0"/>
        <w:jc w:val="left"/>
        <w:rPr>
          <w:sz w:val="18"/>
        </w:rPr>
      </w:pPr>
      <w:bookmarkStart w:name="_bookmark177" w:id="333"/>
      <w:bookmarkEnd w:id="333"/>
      <w:r>
        <w:rPr/>
      </w:r>
      <w:r>
        <w:rPr>
          <w:sz w:val="18"/>
          <w:vertAlign w:val="superscript"/>
        </w:rPr>
        <w:t>81</w:t>
      </w:r>
      <w:r>
        <w:rPr>
          <w:spacing w:val="-15"/>
          <w:sz w:val="18"/>
          <w:vertAlign w:val="baseline"/>
        </w:rPr>
        <w:t> </w:t>
      </w:r>
      <w:r>
        <w:rPr>
          <w:sz w:val="18"/>
          <w:vertAlign w:val="baseline"/>
        </w:rPr>
        <w:t>Kazdin,</w:t>
      </w:r>
      <w:r>
        <w:rPr>
          <w:spacing w:val="-5"/>
          <w:sz w:val="18"/>
          <w:vertAlign w:val="baseline"/>
        </w:rPr>
        <w:t> </w:t>
      </w:r>
      <w:r>
        <w:rPr>
          <w:sz w:val="18"/>
          <w:vertAlign w:val="baseline"/>
        </w:rPr>
        <w:t>Alan</w:t>
      </w:r>
      <w:r>
        <w:rPr>
          <w:spacing w:val="-3"/>
          <w:sz w:val="18"/>
          <w:vertAlign w:val="baseline"/>
        </w:rPr>
        <w:t> </w:t>
      </w:r>
      <w:r>
        <w:rPr>
          <w:sz w:val="18"/>
          <w:vertAlign w:val="baseline"/>
        </w:rPr>
        <w:t>E.</w:t>
      </w:r>
      <w:r>
        <w:rPr>
          <w:spacing w:val="-3"/>
          <w:sz w:val="18"/>
          <w:vertAlign w:val="baseline"/>
        </w:rPr>
        <w:t> </w:t>
      </w:r>
      <w:r>
        <w:rPr>
          <w:sz w:val="18"/>
          <w:vertAlign w:val="baseline"/>
        </w:rPr>
        <w:t>“Annual</w:t>
      </w:r>
      <w:r>
        <w:rPr>
          <w:spacing w:val="-3"/>
          <w:sz w:val="18"/>
          <w:vertAlign w:val="baseline"/>
        </w:rPr>
        <w:t> </w:t>
      </w:r>
      <w:r>
        <w:rPr>
          <w:sz w:val="18"/>
          <w:vertAlign w:val="baseline"/>
        </w:rPr>
        <w:t>Research</w:t>
      </w:r>
      <w:r>
        <w:rPr>
          <w:spacing w:val="-2"/>
          <w:sz w:val="18"/>
          <w:vertAlign w:val="baseline"/>
        </w:rPr>
        <w:t> </w:t>
      </w:r>
      <w:r>
        <w:rPr>
          <w:sz w:val="18"/>
          <w:vertAlign w:val="baseline"/>
        </w:rPr>
        <w:t>Review:</w:t>
      </w:r>
      <w:r>
        <w:rPr>
          <w:spacing w:val="-3"/>
          <w:sz w:val="18"/>
          <w:vertAlign w:val="baseline"/>
        </w:rPr>
        <w:t> </w:t>
      </w:r>
      <w:r>
        <w:rPr>
          <w:sz w:val="18"/>
          <w:vertAlign w:val="baseline"/>
        </w:rPr>
        <w:t>Expanding</w:t>
      </w:r>
      <w:r>
        <w:rPr>
          <w:spacing w:val="-2"/>
          <w:sz w:val="18"/>
          <w:vertAlign w:val="baseline"/>
        </w:rPr>
        <w:t> </w:t>
      </w:r>
      <w:r>
        <w:rPr>
          <w:sz w:val="18"/>
          <w:vertAlign w:val="baseline"/>
        </w:rPr>
        <w:t>Mental</w:t>
      </w:r>
      <w:r>
        <w:rPr>
          <w:spacing w:val="-3"/>
          <w:sz w:val="18"/>
          <w:vertAlign w:val="baseline"/>
        </w:rPr>
        <w:t> </w:t>
      </w:r>
      <w:r>
        <w:rPr>
          <w:sz w:val="18"/>
          <w:vertAlign w:val="baseline"/>
        </w:rPr>
        <w:t>Health</w:t>
      </w:r>
      <w:r>
        <w:rPr>
          <w:spacing w:val="-3"/>
          <w:sz w:val="18"/>
          <w:vertAlign w:val="baseline"/>
        </w:rPr>
        <w:t> </w:t>
      </w:r>
      <w:r>
        <w:rPr>
          <w:sz w:val="18"/>
          <w:vertAlign w:val="baseline"/>
        </w:rPr>
        <w:t>Services</w:t>
      </w:r>
      <w:r>
        <w:rPr>
          <w:spacing w:val="-2"/>
          <w:sz w:val="18"/>
          <w:vertAlign w:val="baseline"/>
        </w:rPr>
        <w:t> </w:t>
      </w:r>
      <w:r>
        <w:rPr>
          <w:sz w:val="18"/>
          <w:vertAlign w:val="baseline"/>
        </w:rPr>
        <w:t>through</w:t>
      </w:r>
      <w:r>
        <w:rPr>
          <w:spacing w:val="-2"/>
          <w:sz w:val="18"/>
          <w:vertAlign w:val="baseline"/>
        </w:rPr>
        <w:t> </w:t>
      </w:r>
      <w:r>
        <w:rPr>
          <w:sz w:val="18"/>
          <w:vertAlign w:val="baseline"/>
        </w:rPr>
        <w:t>Novel</w:t>
      </w:r>
      <w:r>
        <w:rPr>
          <w:spacing w:val="-4"/>
          <w:sz w:val="18"/>
          <w:vertAlign w:val="baseline"/>
        </w:rPr>
        <w:t> </w:t>
      </w:r>
      <w:r>
        <w:rPr>
          <w:sz w:val="18"/>
          <w:vertAlign w:val="baseline"/>
        </w:rPr>
        <w:t>Models</w:t>
      </w:r>
      <w:r>
        <w:rPr>
          <w:spacing w:val="-2"/>
          <w:sz w:val="18"/>
          <w:vertAlign w:val="baseline"/>
        </w:rPr>
        <w:t> </w:t>
      </w:r>
      <w:r>
        <w:rPr>
          <w:sz w:val="18"/>
          <w:vertAlign w:val="baseline"/>
        </w:rPr>
        <w:t>of</w:t>
      </w:r>
      <w:r>
        <w:rPr>
          <w:spacing w:val="-2"/>
          <w:sz w:val="18"/>
          <w:vertAlign w:val="baseline"/>
        </w:rPr>
        <w:t> </w:t>
      </w:r>
      <w:r>
        <w:rPr>
          <w:sz w:val="18"/>
          <w:vertAlign w:val="baseline"/>
        </w:rPr>
        <w:t>Intervention</w:t>
      </w:r>
      <w:r>
        <w:rPr>
          <w:spacing w:val="-2"/>
          <w:sz w:val="18"/>
          <w:vertAlign w:val="baseline"/>
        </w:rPr>
        <w:t> Delivery.”</w:t>
      </w:r>
    </w:p>
    <w:p>
      <w:pPr>
        <w:spacing w:before="0"/>
        <w:ind w:left="463" w:right="0" w:firstLine="0"/>
        <w:jc w:val="left"/>
        <w:rPr>
          <w:sz w:val="18"/>
        </w:rPr>
      </w:pPr>
      <w:r>
        <w:rPr>
          <w:i/>
          <w:sz w:val="18"/>
        </w:rPr>
        <w:t>Journal</w:t>
      </w:r>
      <w:r>
        <w:rPr>
          <w:i/>
          <w:spacing w:val="-6"/>
          <w:sz w:val="18"/>
        </w:rPr>
        <w:t> </w:t>
      </w:r>
      <w:r>
        <w:rPr>
          <w:i/>
          <w:sz w:val="18"/>
        </w:rPr>
        <w:t>of</w:t>
      </w:r>
      <w:r>
        <w:rPr>
          <w:i/>
          <w:spacing w:val="-3"/>
          <w:sz w:val="18"/>
        </w:rPr>
        <w:t> </w:t>
      </w:r>
      <w:r>
        <w:rPr>
          <w:i/>
          <w:sz w:val="18"/>
        </w:rPr>
        <w:t>Child</w:t>
      </w:r>
      <w:r>
        <w:rPr>
          <w:i/>
          <w:spacing w:val="-1"/>
          <w:sz w:val="18"/>
        </w:rPr>
        <w:t> </w:t>
      </w:r>
      <w:r>
        <w:rPr>
          <w:i/>
          <w:sz w:val="18"/>
        </w:rPr>
        <w:t>Psychology</w:t>
      </w:r>
      <w:r>
        <w:rPr>
          <w:i/>
          <w:spacing w:val="-3"/>
          <w:sz w:val="18"/>
        </w:rPr>
        <w:t> </w:t>
      </w:r>
      <w:r>
        <w:rPr>
          <w:i/>
          <w:sz w:val="18"/>
        </w:rPr>
        <w:t>and</w:t>
      </w:r>
      <w:r>
        <w:rPr>
          <w:i/>
          <w:spacing w:val="-1"/>
          <w:sz w:val="18"/>
        </w:rPr>
        <w:t> </w:t>
      </w:r>
      <w:r>
        <w:rPr>
          <w:i/>
          <w:sz w:val="18"/>
        </w:rPr>
        <w:t>Psychiatry</w:t>
      </w:r>
      <w:r>
        <w:rPr>
          <w:i/>
          <w:spacing w:val="-3"/>
          <w:sz w:val="18"/>
        </w:rPr>
        <w:t> </w:t>
      </w:r>
      <w:r>
        <w:rPr>
          <w:sz w:val="18"/>
        </w:rPr>
        <w:t>60,</w:t>
      </w:r>
      <w:r>
        <w:rPr>
          <w:spacing w:val="-4"/>
          <w:sz w:val="18"/>
        </w:rPr>
        <w:t> </w:t>
      </w:r>
      <w:r>
        <w:rPr>
          <w:sz w:val="18"/>
        </w:rPr>
        <w:t>no.</w:t>
      </w:r>
      <w:r>
        <w:rPr>
          <w:spacing w:val="-2"/>
          <w:sz w:val="18"/>
        </w:rPr>
        <w:t> </w:t>
      </w:r>
      <w:r>
        <w:rPr>
          <w:sz w:val="18"/>
        </w:rPr>
        <w:t>4</w:t>
      </w:r>
      <w:r>
        <w:rPr>
          <w:spacing w:val="-3"/>
          <w:sz w:val="18"/>
        </w:rPr>
        <w:t> </w:t>
      </w:r>
      <w:r>
        <w:rPr>
          <w:sz w:val="18"/>
        </w:rPr>
        <w:t>(April</w:t>
      </w:r>
      <w:r>
        <w:rPr>
          <w:spacing w:val="-3"/>
          <w:sz w:val="18"/>
        </w:rPr>
        <w:t> </w:t>
      </w:r>
      <w:r>
        <w:rPr>
          <w:sz w:val="18"/>
        </w:rPr>
        <w:t>2019):</w:t>
      </w:r>
      <w:r>
        <w:rPr>
          <w:spacing w:val="-3"/>
          <w:sz w:val="18"/>
        </w:rPr>
        <w:t> </w:t>
      </w:r>
      <w:r>
        <w:rPr>
          <w:sz w:val="18"/>
        </w:rPr>
        <w:t>455–72.</w:t>
      </w:r>
      <w:r>
        <w:rPr>
          <w:spacing w:val="-2"/>
          <w:sz w:val="18"/>
        </w:rPr>
        <w:t> </w:t>
      </w:r>
      <w:hyperlink r:id="rId261">
        <w:r>
          <w:rPr>
            <w:color w:val="1153CC"/>
            <w:spacing w:val="-2"/>
            <w:sz w:val="18"/>
            <w:u w:val="single" w:color="1153CC"/>
          </w:rPr>
          <w:t>https://doi.org/10.1111/jcpp.12937</w:t>
        </w:r>
      </w:hyperlink>
      <w:hyperlink r:id="rId261">
        <w:r>
          <w:rPr>
            <w:spacing w:val="-2"/>
            <w:sz w:val="18"/>
            <w:u w:val="none"/>
          </w:rPr>
          <w:t>.</w:t>
        </w:r>
      </w:hyperlink>
    </w:p>
    <w:p>
      <w:pPr>
        <w:spacing w:after="0"/>
        <w:jc w:val="left"/>
        <w:rPr>
          <w:sz w:val="18"/>
        </w:rPr>
        <w:sectPr>
          <w:pgSz w:w="12240" w:h="15840"/>
          <w:pgMar w:header="804" w:footer="1390" w:top="1080" w:bottom="1620" w:left="980" w:right="1080"/>
        </w:sectPr>
      </w:pPr>
    </w:p>
    <w:p>
      <w:pPr>
        <w:spacing w:before="68"/>
        <w:ind w:left="463" w:right="314" w:hanging="1"/>
        <w:jc w:val="left"/>
        <w:rPr>
          <w:sz w:val="18"/>
        </w:rPr>
      </w:pPr>
      <w:bookmarkStart w:name="_bookmark178" w:id="334"/>
      <w:bookmarkEnd w:id="334"/>
      <w:r>
        <w:rPr/>
      </w:r>
      <w:r>
        <w:rPr>
          <w:sz w:val="18"/>
          <w:vertAlign w:val="superscript"/>
        </w:rPr>
        <w:t>82</w:t>
      </w:r>
      <w:r>
        <w:rPr>
          <w:spacing w:val="-12"/>
          <w:sz w:val="18"/>
          <w:vertAlign w:val="baseline"/>
        </w:rPr>
        <w:t> </w:t>
      </w:r>
      <w:r>
        <w:rPr>
          <w:sz w:val="18"/>
          <w:vertAlign w:val="baseline"/>
        </w:rPr>
        <w:t>Willging, Cathleen E., Tania Israel, David Ley, Elise M. Trott, Catherine DeMaria, Aaron Joplin, and Verida Smiley. “Coaching Mental</w:t>
      </w:r>
      <w:r>
        <w:rPr>
          <w:spacing w:val="-3"/>
          <w:sz w:val="18"/>
          <w:vertAlign w:val="baseline"/>
        </w:rPr>
        <w:t> </w:t>
      </w:r>
      <w:r>
        <w:rPr>
          <w:sz w:val="18"/>
          <w:vertAlign w:val="baseline"/>
        </w:rPr>
        <w:t>Health</w:t>
      </w:r>
      <w:r>
        <w:rPr>
          <w:spacing w:val="-2"/>
          <w:sz w:val="18"/>
          <w:vertAlign w:val="baseline"/>
        </w:rPr>
        <w:t> </w:t>
      </w:r>
      <w:r>
        <w:rPr>
          <w:sz w:val="18"/>
          <w:vertAlign w:val="baseline"/>
        </w:rPr>
        <w:t>Peer</w:t>
      </w:r>
      <w:r>
        <w:rPr>
          <w:spacing w:val="-3"/>
          <w:sz w:val="18"/>
          <w:vertAlign w:val="baseline"/>
        </w:rPr>
        <w:t> </w:t>
      </w:r>
      <w:r>
        <w:rPr>
          <w:sz w:val="18"/>
          <w:vertAlign w:val="baseline"/>
        </w:rPr>
        <w:t>Advocates</w:t>
      </w:r>
      <w:r>
        <w:rPr>
          <w:spacing w:val="-3"/>
          <w:sz w:val="18"/>
          <w:vertAlign w:val="baseline"/>
        </w:rPr>
        <w:t> </w:t>
      </w:r>
      <w:r>
        <w:rPr>
          <w:sz w:val="18"/>
          <w:vertAlign w:val="baseline"/>
        </w:rPr>
        <w:t>for</w:t>
      </w:r>
      <w:r>
        <w:rPr>
          <w:spacing w:val="-3"/>
          <w:sz w:val="18"/>
          <w:vertAlign w:val="baseline"/>
        </w:rPr>
        <w:t> </w:t>
      </w:r>
      <w:r>
        <w:rPr>
          <w:sz w:val="18"/>
          <w:vertAlign w:val="baseline"/>
        </w:rPr>
        <w:t>Rural</w:t>
      </w:r>
      <w:r>
        <w:rPr>
          <w:spacing w:val="-3"/>
          <w:sz w:val="18"/>
          <w:vertAlign w:val="baseline"/>
        </w:rPr>
        <w:t> </w:t>
      </w:r>
      <w:r>
        <w:rPr>
          <w:sz w:val="18"/>
          <w:vertAlign w:val="baseline"/>
        </w:rPr>
        <w:t>LGBTQ</w:t>
      </w:r>
      <w:r>
        <w:rPr>
          <w:spacing w:val="-2"/>
          <w:sz w:val="18"/>
          <w:vertAlign w:val="baseline"/>
        </w:rPr>
        <w:t> </w:t>
      </w:r>
      <w:r>
        <w:rPr>
          <w:sz w:val="18"/>
          <w:vertAlign w:val="baseline"/>
        </w:rPr>
        <w:t>People.”</w:t>
      </w:r>
      <w:r>
        <w:rPr>
          <w:spacing w:val="-3"/>
          <w:sz w:val="18"/>
          <w:vertAlign w:val="baseline"/>
        </w:rPr>
        <w:t> </w:t>
      </w:r>
      <w:r>
        <w:rPr>
          <w:i/>
          <w:sz w:val="18"/>
          <w:vertAlign w:val="baseline"/>
        </w:rPr>
        <w:t>Journal</w:t>
      </w:r>
      <w:r>
        <w:rPr>
          <w:i/>
          <w:spacing w:val="-2"/>
          <w:sz w:val="18"/>
          <w:vertAlign w:val="baseline"/>
        </w:rPr>
        <w:t> </w:t>
      </w:r>
      <w:r>
        <w:rPr>
          <w:i/>
          <w:sz w:val="18"/>
          <w:vertAlign w:val="baseline"/>
        </w:rPr>
        <w:t>of</w:t>
      </w:r>
      <w:r>
        <w:rPr>
          <w:i/>
          <w:spacing w:val="-2"/>
          <w:sz w:val="18"/>
          <w:vertAlign w:val="baseline"/>
        </w:rPr>
        <w:t> </w:t>
      </w:r>
      <w:r>
        <w:rPr>
          <w:i/>
          <w:sz w:val="18"/>
          <w:vertAlign w:val="baseline"/>
        </w:rPr>
        <w:t>Gay</w:t>
      </w:r>
      <w:r>
        <w:rPr>
          <w:i/>
          <w:spacing w:val="-2"/>
          <w:sz w:val="18"/>
          <w:vertAlign w:val="baseline"/>
        </w:rPr>
        <w:t> </w:t>
      </w:r>
      <w:r>
        <w:rPr>
          <w:i/>
          <w:sz w:val="18"/>
          <w:vertAlign w:val="baseline"/>
        </w:rPr>
        <w:t>&amp;</w:t>
      </w:r>
      <w:r>
        <w:rPr>
          <w:i/>
          <w:spacing w:val="-3"/>
          <w:sz w:val="18"/>
          <w:vertAlign w:val="baseline"/>
        </w:rPr>
        <w:t> </w:t>
      </w:r>
      <w:r>
        <w:rPr>
          <w:i/>
          <w:sz w:val="18"/>
          <w:vertAlign w:val="baseline"/>
        </w:rPr>
        <w:t>Lesbian</w:t>
      </w:r>
      <w:r>
        <w:rPr>
          <w:i/>
          <w:spacing w:val="-3"/>
          <w:sz w:val="18"/>
          <w:vertAlign w:val="baseline"/>
        </w:rPr>
        <w:t> </w:t>
      </w:r>
      <w:r>
        <w:rPr>
          <w:i/>
          <w:sz w:val="18"/>
          <w:vertAlign w:val="baseline"/>
        </w:rPr>
        <w:t>Mental</w:t>
      </w:r>
      <w:r>
        <w:rPr>
          <w:i/>
          <w:spacing w:val="-3"/>
          <w:sz w:val="18"/>
          <w:vertAlign w:val="baseline"/>
        </w:rPr>
        <w:t> </w:t>
      </w:r>
      <w:r>
        <w:rPr>
          <w:i/>
          <w:sz w:val="18"/>
          <w:vertAlign w:val="baseline"/>
        </w:rPr>
        <w:t>Health</w:t>
      </w:r>
      <w:r>
        <w:rPr>
          <w:i/>
          <w:spacing w:val="-1"/>
          <w:sz w:val="18"/>
          <w:vertAlign w:val="baseline"/>
        </w:rPr>
        <w:t> </w:t>
      </w:r>
      <w:r>
        <w:rPr>
          <w:sz w:val="18"/>
          <w:vertAlign w:val="baseline"/>
        </w:rPr>
        <w:t>20,</w:t>
      </w:r>
      <w:r>
        <w:rPr>
          <w:spacing w:val="-3"/>
          <w:sz w:val="18"/>
          <w:vertAlign w:val="baseline"/>
        </w:rPr>
        <w:t> </w:t>
      </w:r>
      <w:r>
        <w:rPr>
          <w:sz w:val="18"/>
          <w:vertAlign w:val="baseline"/>
        </w:rPr>
        <w:t>no.</w:t>
      </w:r>
      <w:r>
        <w:rPr>
          <w:spacing w:val="-2"/>
          <w:sz w:val="18"/>
          <w:vertAlign w:val="baseline"/>
        </w:rPr>
        <w:t> </w:t>
      </w:r>
      <w:r>
        <w:rPr>
          <w:sz w:val="18"/>
          <w:vertAlign w:val="baseline"/>
        </w:rPr>
        <w:t>3</w:t>
      </w:r>
      <w:r>
        <w:rPr>
          <w:spacing w:val="-2"/>
          <w:sz w:val="18"/>
          <w:vertAlign w:val="baseline"/>
        </w:rPr>
        <w:t> </w:t>
      </w:r>
      <w:r>
        <w:rPr>
          <w:sz w:val="18"/>
          <w:vertAlign w:val="baseline"/>
        </w:rPr>
        <w:t>(July</w:t>
      </w:r>
      <w:r>
        <w:rPr>
          <w:spacing w:val="-2"/>
          <w:sz w:val="18"/>
          <w:vertAlign w:val="baseline"/>
        </w:rPr>
        <w:t> </w:t>
      </w:r>
      <w:r>
        <w:rPr>
          <w:sz w:val="18"/>
          <w:vertAlign w:val="baseline"/>
        </w:rPr>
        <w:t>2,</w:t>
      </w:r>
      <w:r>
        <w:rPr>
          <w:spacing w:val="-3"/>
          <w:sz w:val="18"/>
          <w:vertAlign w:val="baseline"/>
        </w:rPr>
        <w:t> </w:t>
      </w:r>
      <w:r>
        <w:rPr>
          <w:sz w:val="18"/>
          <w:vertAlign w:val="baseline"/>
        </w:rPr>
        <w:t>2016):</w:t>
      </w:r>
      <w:r>
        <w:rPr>
          <w:spacing w:val="-2"/>
          <w:sz w:val="18"/>
          <w:vertAlign w:val="baseline"/>
        </w:rPr>
        <w:t> </w:t>
      </w:r>
      <w:r>
        <w:rPr>
          <w:sz w:val="18"/>
          <w:vertAlign w:val="baseline"/>
        </w:rPr>
        <w:t>214–</w:t>
      </w:r>
    </w:p>
    <w:p>
      <w:pPr>
        <w:spacing w:line="219" w:lineRule="exact" w:before="0"/>
        <w:ind w:left="463" w:right="0" w:firstLine="0"/>
        <w:jc w:val="left"/>
        <w:rPr>
          <w:sz w:val="18"/>
        </w:rPr>
      </w:pPr>
      <w:r>
        <w:rPr>
          <w:sz w:val="18"/>
        </w:rPr>
        <w:t>36.</w:t>
      </w:r>
      <w:r>
        <w:rPr>
          <w:spacing w:val="-2"/>
          <w:sz w:val="18"/>
        </w:rPr>
        <w:t> </w:t>
      </w:r>
      <w:hyperlink r:id="rId262">
        <w:r>
          <w:rPr>
            <w:color w:val="1153CC"/>
            <w:spacing w:val="-2"/>
            <w:sz w:val="18"/>
            <w:u w:val="single" w:color="1153CC"/>
          </w:rPr>
          <w:t>https://doi.org/10.1080/19359705.2016.1166469</w:t>
        </w:r>
      </w:hyperlink>
      <w:hyperlink r:id="rId262">
        <w:r>
          <w:rPr>
            <w:spacing w:val="-2"/>
            <w:sz w:val="18"/>
            <w:u w:val="none"/>
          </w:rPr>
          <w:t>.</w:t>
        </w:r>
      </w:hyperlink>
    </w:p>
    <w:p>
      <w:pPr>
        <w:spacing w:before="0"/>
        <w:ind w:left="463" w:right="350" w:hanging="1"/>
        <w:jc w:val="left"/>
        <w:rPr>
          <w:sz w:val="18"/>
        </w:rPr>
      </w:pPr>
      <w:bookmarkStart w:name="_bookmark179" w:id="335"/>
      <w:bookmarkEnd w:id="335"/>
      <w:r>
        <w:rPr/>
      </w:r>
      <w:r>
        <w:rPr>
          <w:sz w:val="18"/>
          <w:vertAlign w:val="superscript"/>
        </w:rPr>
        <w:t>83</w:t>
      </w:r>
      <w:r>
        <w:rPr>
          <w:spacing w:val="-9"/>
          <w:sz w:val="18"/>
          <w:vertAlign w:val="baseline"/>
        </w:rPr>
        <w:t> </w:t>
      </w:r>
      <w:r>
        <w:rPr>
          <w:sz w:val="18"/>
          <w:vertAlign w:val="baseline"/>
        </w:rPr>
        <w:t>Noel, Lailea, Qi Chen, Liana J. Petruzzi, Farya Phillips, Ricardo Garay, Carmen Valdez, María P. Aranda, and Barbara Jones. “Interprofessional</w:t>
      </w:r>
      <w:r>
        <w:rPr>
          <w:spacing w:val="-4"/>
          <w:sz w:val="18"/>
          <w:vertAlign w:val="baseline"/>
        </w:rPr>
        <w:t> </w:t>
      </w:r>
      <w:r>
        <w:rPr>
          <w:sz w:val="18"/>
          <w:vertAlign w:val="baseline"/>
        </w:rPr>
        <w:t>Collaboration</w:t>
      </w:r>
      <w:r>
        <w:rPr>
          <w:spacing w:val="-3"/>
          <w:sz w:val="18"/>
          <w:vertAlign w:val="baseline"/>
        </w:rPr>
        <w:t> </w:t>
      </w:r>
      <w:r>
        <w:rPr>
          <w:sz w:val="18"/>
          <w:vertAlign w:val="baseline"/>
        </w:rPr>
        <w:t>between</w:t>
      </w:r>
      <w:r>
        <w:rPr>
          <w:spacing w:val="-3"/>
          <w:sz w:val="18"/>
          <w:vertAlign w:val="baseline"/>
        </w:rPr>
        <w:t> </w:t>
      </w:r>
      <w:r>
        <w:rPr>
          <w:sz w:val="18"/>
          <w:vertAlign w:val="baseline"/>
        </w:rPr>
        <w:t>Social</w:t>
      </w:r>
      <w:r>
        <w:rPr>
          <w:spacing w:val="-4"/>
          <w:sz w:val="18"/>
          <w:vertAlign w:val="baseline"/>
        </w:rPr>
        <w:t> </w:t>
      </w:r>
      <w:r>
        <w:rPr>
          <w:sz w:val="18"/>
          <w:vertAlign w:val="baseline"/>
        </w:rPr>
        <w:t>Workers</w:t>
      </w:r>
      <w:r>
        <w:rPr>
          <w:spacing w:val="-3"/>
          <w:sz w:val="18"/>
          <w:vertAlign w:val="baseline"/>
        </w:rPr>
        <w:t> </w:t>
      </w:r>
      <w:r>
        <w:rPr>
          <w:sz w:val="18"/>
          <w:vertAlign w:val="baseline"/>
        </w:rPr>
        <w:t>and</w:t>
      </w:r>
      <w:r>
        <w:rPr>
          <w:spacing w:val="-3"/>
          <w:sz w:val="18"/>
          <w:vertAlign w:val="baseline"/>
        </w:rPr>
        <w:t> </w:t>
      </w:r>
      <w:r>
        <w:rPr>
          <w:sz w:val="18"/>
          <w:vertAlign w:val="baseline"/>
        </w:rPr>
        <w:t>Community</w:t>
      </w:r>
      <w:r>
        <w:rPr>
          <w:spacing w:val="-3"/>
          <w:sz w:val="18"/>
          <w:vertAlign w:val="baseline"/>
        </w:rPr>
        <w:t> </w:t>
      </w:r>
      <w:r>
        <w:rPr>
          <w:sz w:val="18"/>
          <w:vertAlign w:val="baseline"/>
        </w:rPr>
        <w:t>Health</w:t>
      </w:r>
      <w:r>
        <w:rPr>
          <w:spacing w:val="-3"/>
          <w:sz w:val="18"/>
          <w:vertAlign w:val="baseline"/>
        </w:rPr>
        <w:t> </w:t>
      </w:r>
      <w:r>
        <w:rPr>
          <w:sz w:val="18"/>
          <w:vertAlign w:val="baseline"/>
        </w:rPr>
        <w:t>Workers</w:t>
      </w:r>
      <w:r>
        <w:rPr>
          <w:spacing w:val="-3"/>
          <w:sz w:val="18"/>
          <w:vertAlign w:val="baseline"/>
        </w:rPr>
        <w:t> </w:t>
      </w:r>
      <w:r>
        <w:rPr>
          <w:sz w:val="18"/>
          <w:vertAlign w:val="baseline"/>
        </w:rPr>
        <w:t>to</w:t>
      </w:r>
      <w:r>
        <w:rPr>
          <w:spacing w:val="-3"/>
          <w:sz w:val="18"/>
          <w:vertAlign w:val="baseline"/>
        </w:rPr>
        <w:t> </w:t>
      </w:r>
      <w:r>
        <w:rPr>
          <w:sz w:val="18"/>
          <w:vertAlign w:val="baseline"/>
        </w:rPr>
        <w:t>Address</w:t>
      </w:r>
      <w:r>
        <w:rPr>
          <w:spacing w:val="-3"/>
          <w:sz w:val="18"/>
          <w:vertAlign w:val="baseline"/>
        </w:rPr>
        <w:t> </w:t>
      </w:r>
      <w:r>
        <w:rPr>
          <w:sz w:val="18"/>
          <w:vertAlign w:val="baseline"/>
        </w:rPr>
        <w:t>Health</w:t>
      </w:r>
      <w:r>
        <w:rPr>
          <w:spacing w:val="-3"/>
          <w:sz w:val="18"/>
          <w:vertAlign w:val="baseline"/>
        </w:rPr>
        <w:t> </w:t>
      </w:r>
      <w:r>
        <w:rPr>
          <w:sz w:val="18"/>
          <w:vertAlign w:val="baseline"/>
        </w:rPr>
        <w:t>and</w:t>
      </w:r>
      <w:r>
        <w:rPr>
          <w:spacing w:val="-4"/>
          <w:sz w:val="18"/>
          <w:vertAlign w:val="baseline"/>
        </w:rPr>
        <w:t> </w:t>
      </w:r>
      <w:r>
        <w:rPr>
          <w:sz w:val="18"/>
          <w:vertAlign w:val="baseline"/>
        </w:rPr>
        <w:t>Mental</w:t>
      </w:r>
      <w:r>
        <w:rPr>
          <w:spacing w:val="-4"/>
          <w:sz w:val="18"/>
          <w:vertAlign w:val="baseline"/>
        </w:rPr>
        <w:t> </w:t>
      </w:r>
      <w:r>
        <w:rPr>
          <w:sz w:val="18"/>
          <w:vertAlign w:val="baseline"/>
        </w:rPr>
        <w:t>Health in the United States: A Systematised Review.” </w:t>
      </w:r>
      <w:r>
        <w:rPr>
          <w:i/>
          <w:sz w:val="18"/>
          <w:vertAlign w:val="baseline"/>
        </w:rPr>
        <w:t>Health &amp; Social Care in the Community </w:t>
      </w:r>
      <w:r>
        <w:rPr>
          <w:sz w:val="18"/>
          <w:vertAlign w:val="baseline"/>
        </w:rPr>
        <w:t>30, no. 6 (November 2022). </w:t>
      </w:r>
      <w:bookmarkStart w:name="_bookmark180" w:id="336"/>
      <w:bookmarkEnd w:id="336"/>
      <w:r>
        <w:rPr>
          <w:sz w:val="18"/>
          <w:vertAlign w:val="baseline"/>
        </w:rPr>
      </w:r>
      <w:hyperlink r:id="rId263">
        <w:r>
          <w:rPr>
            <w:color w:val="1153CC"/>
            <w:spacing w:val="-2"/>
            <w:sz w:val="18"/>
            <w:u w:val="single" w:color="1153CC"/>
            <w:vertAlign w:val="baseline"/>
          </w:rPr>
          <w:t>https://doi.org/10.1111/hsc.14061</w:t>
        </w:r>
      </w:hyperlink>
      <w:hyperlink r:id="rId263">
        <w:r>
          <w:rPr>
            <w:spacing w:val="-2"/>
            <w:sz w:val="18"/>
            <w:u w:val="none"/>
            <w:vertAlign w:val="baseline"/>
          </w:rPr>
          <w:t>.</w:t>
        </w:r>
      </w:hyperlink>
    </w:p>
    <w:p>
      <w:pPr>
        <w:spacing w:before="0"/>
        <w:ind w:left="463" w:right="314" w:hanging="1"/>
        <w:jc w:val="left"/>
        <w:rPr>
          <w:sz w:val="18"/>
        </w:rPr>
      </w:pPr>
      <w:r>
        <w:rPr>
          <w:sz w:val="18"/>
          <w:vertAlign w:val="superscript"/>
        </w:rPr>
        <w:t>84</w:t>
      </w:r>
      <w:r>
        <w:rPr>
          <w:spacing w:val="-8"/>
          <w:sz w:val="18"/>
          <w:vertAlign w:val="baseline"/>
        </w:rPr>
        <w:t> </w:t>
      </w:r>
      <w:r>
        <w:rPr>
          <w:sz w:val="18"/>
          <w:vertAlign w:val="baseline"/>
        </w:rPr>
        <w:t>Goldbach, Jeremy T., Harmony Rhoades, Joshua Rusow, and Peter Karys. “The Development of Proud &amp; Empowered: An Intervention</w:t>
      </w:r>
      <w:r>
        <w:rPr>
          <w:spacing w:val="-2"/>
          <w:sz w:val="18"/>
          <w:vertAlign w:val="baseline"/>
        </w:rPr>
        <w:t> </w:t>
      </w:r>
      <w:r>
        <w:rPr>
          <w:sz w:val="18"/>
          <w:vertAlign w:val="baseline"/>
        </w:rPr>
        <w:t>for</w:t>
      </w:r>
      <w:r>
        <w:rPr>
          <w:spacing w:val="-4"/>
          <w:sz w:val="18"/>
          <w:vertAlign w:val="baseline"/>
        </w:rPr>
        <w:t> </w:t>
      </w:r>
      <w:r>
        <w:rPr>
          <w:sz w:val="18"/>
          <w:vertAlign w:val="baseline"/>
        </w:rPr>
        <w:t>Promoting</w:t>
      </w:r>
      <w:r>
        <w:rPr>
          <w:spacing w:val="-2"/>
          <w:sz w:val="18"/>
          <w:vertAlign w:val="baseline"/>
        </w:rPr>
        <w:t> </w:t>
      </w:r>
      <w:r>
        <w:rPr>
          <w:sz w:val="18"/>
          <w:vertAlign w:val="baseline"/>
        </w:rPr>
        <w:t>LGBTQ</w:t>
      </w:r>
      <w:r>
        <w:rPr>
          <w:spacing w:val="-2"/>
          <w:sz w:val="18"/>
          <w:vertAlign w:val="baseline"/>
        </w:rPr>
        <w:t> </w:t>
      </w:r>
      <w:r>
        <w:rPr>
          <w:sz w:val="18"/>
          <w:vertAlign w:val="baseline"/>
        </w:rPr>
        <w:t>Adolescent</w:t>
      </w:r>
      <w:r>
        <w:rPr>
          <w:spacing w:val="-3"/>
          <w:sz w:val="18"/>
          <w:vertAlign w:val="baseline"/>
        </w:rPr>
        <w:t> </w:t>
      </w:r>
      <w:r>
        <w:rPr>
          <w:sz w:val="18"/>
          <w:vertAlign w:val="baseline"/>
        </w:rPr>
        <w:t>Mental</w:t>
      </w:r>
      <w:r>
        <w:rPr>
          <w:spacing w:val="-3"/>
          <w:sz w:val="18"/>
          <w:vertAlign w:val="baseline"/>
        </w:rPr>
        <w:t> </w:t>
      </w:r>
      <w:r>
        <w:rPr>
          <w:sz w:val="18"/>
          <w:vertAlign w:val="baseline"/>
        </w:rPr>
        <w:t>Health.”</w:t>
      </w:r>
      <w:r>
        <w:rPr>
          <w:spacing w:val="-2"/>
          <w:sz w:val="18"/>
          <w:vertAlign w:val="baseline"/>
        </w:rPr>
        <w:t> </w:t>
      </w:r>
      <w:r>
        <w:rPr>
          <w:i/>
          <w:sz w:val="18"/>
          <w:vertAlign w:val="baseline"/>
        </w:rPr>
        <w:t>Child</w:t>
      </w:r>
      <w:r>
        <w:rPr>
          <w:i/>
          <w:spacing w:val="-3"/>
          <w:sz w:val="18"/>
          <w:vertAlign w:val="baseline"/>
        </w:rPr>
        <w:t> </w:t>
      </w:r>
      <w:r>
        <w:rPr>
          <w:i/>
          <w:sz w:val="18"/>
          <w:vertAlign w:val="baseline"/>
        </w:rPr>
        <w:t>Psychiatry</w:t>
      </w:r>
      <w:r>
        <w:rPr>
          <w:i/>
          <w:spacing w:val="-2"/>
          <w:sz w:val="18"/>
          <w:vertAlign w:val="baseline"/>
        </w:rPr>
        <w:t> </w:t>
      </w:r>
      <w:r>
        <w:rPr>
          <w:i/>
          <w:sz w:val="18"/>
          <w:vertAlign w:val="baseline"/>
        </w:rPr>
        <w:t>&amp;</w:t>
      </w:r>
      <w:r>
        <w:rPr>
          <w:i/>
          <w:spacing w:val="-2"/>
          <w:sz w:val="18"/>
          <w:vertAlign w:val="baseline"/>
        </w:rPr>
        <w:t> </w:t>
      </w:r>
      <w:r>
        <w:rPr>
          <w:i/>
          <w:sz w:val="18"/>
          <w:vertAlign w:val="baseline"/>
        </w:rPr>
        <w:t>Human</w:t>
      </w:r>
      <w:r>
        <w:rPr>
          <w:i/>
          <w:spacing w:val="-3"/>
          <w:sz w:val="18"/>
          <w:vertAlign w:val="baseline"/>
        </w:rPr>
        <w:t> </w:t>
      </w:r>
      <w:r>
        <w:rPr>
          <w:i/>
          <w:sz w:val="18"/>
          <w:vertAlign w:val="baseline"/>
        </w:rPr>
        <w:t>Development</w:t>
      </w:r>
      <w:r>
        <w:rPr>
          <w:i/>
          <w:spacing w:val="-3"/>
          <w:sz w:val="18"/>
          <w:vertAlign w:val="baseline"/>
        </w:rPr>
        <w:t> </w:t>
      </w:r>
      <w:r>
        <w:rPr>
          <w:sz w:val="18"/>
          <w:vertAlign w:val="baseline"/>
        </w:rPr>
        <w:t>54,</w:t>
      </w:r>
      <w:r>
        <w:rPr>
          <w:spacing w:val="-3"/>
          <w:sz w:val="18"/>
          <w:vertAlign w:val="baseline"/>
        </w:rPr>
        <w:t> </w:t>
      </w:r>
      <w:r>
        <w:rPr>
          <w:sz w:val="18"/>
          <w:vertAlign w:val="baseline"/>
        </w:rPr>
        <w:t>no.</w:t>
      </w:r>
      <w:r>
        <w:rPr>
          <w:spacing w:val="-2"/>
          <w:sz w:val="18"/>
          <w:vertAlign w:val="baseline"/>
        </w:rPr>
        <w:t> </w:t>
      </w:r>
      <w:r>
        <w:rPr>
          <w:sz w:val="18"/>
          <w:vertAlign w:val="baseline"/>
        </w:rPr>
        <w:t>2</w:t>
      </w:r>
      <w:r>
        <w:rPr>
          <w:spacing w:val="-2"/>
          <w:sz w:val="18"/>
          <w:vertAlign w:val="baseline"/>
        </w:rPr>
        <w:t> </w:t>
      </w:r>
      <w:r>
        <w:rPr>
          <w:sz w:val="18"/>
          <w:vertAlign w:val="baseline"/>
        </w:rPr>
        <w:t>(April</w:t>
      </w:r>
      <w:r>
        <w:rPr>
          <w:spacing w:val="-3"/>
          <w:sz w:val="18"/>
          <w:vertAlign w:val="baseline"/>
        </w:rPr>
        <w:t> </w:t>
      </w:r>
      <w:r>
        <w:rPr>
          <w:sz w:val="18"/>
          <w:vertAlign w:val="baseline"/>
        </w:rPr>
        <w:t>1,</w:t>
      </w:r>
      <w:r>
        <w:rPr>
          <w:spacing w:val="-3"/>
          <w:sz w:val="18"/>
          <w:vertAlign w:val="baseline"/>
        </w:rPr>
        <w:t> </w:t>
      </w:r>
      <w:r>
        <w:rPr>
          <w:sz w:val="18"/>
          <w:vertAlign w:val="baseline"/>
        </w:rPr>
        <w:t>2023): </w:t>
      </w:r>
      <w:bookmarkStart w:name="_bookmark181" w:id="337"/>
      <w:bookmarkEnd w:id="337"/>
      <w:r>
        <w:rPr>
          <w:sz w:val="18"/>
          <w:vertAlign w:val="baseline"/>
        </w:rPr>
        <w:t>481–</w:t>
      </w:r>
      <w:r>
        <w:rPr>
          <w:sz w:val="18"/>
          <w:vertAlign w:val="baseline"/>
        </w:rPr>
        <w:t>92. </w:t>
      </w:r>
      <w:hyperlink r:id="rId264">
        <w:r>
          <w:rPr>
            <w:color w:val="1153CC"/>
            <w:sz w:val="18"/>
            <w:u w:val="single" w:color="1153CC"/>
            <w:vertAlign w:val="baseline"/>
          </w:rPr>
          <w:t>https://doi.org/10.1007/s10578-021-01250-2</w:t>
        </w:r>
      </w:hyperlink>
      <w:hyperlink r:id="rId264">
        <w:r>
          <w:rPr>
            <w:sz w:val="18"/>
            <w:u w:val="none"/>
            <w:vertAlign w:val="baseline"/>
          </w:rPr>
          <w:t>.</w:t>
        </w:r>
      </w:hyperlink>
    </w:p>
    <w:p>
      <w:pPr>
        <w:spacing w:before="1"/>
        <w:ind w:left="463" w:right="482" w:firstLine="0"/>
        <w:jc w:val="both"/>
        <w:rPr>
          <w:sz w:val="18"/>
        </w:rPr>
      </w:pPr>
      <w:r>
        <w:rPr>
          <w:sz w:val="18"/>
          <w:vertAlign w:val="superscript"/>
        </w:rPr>
        <w:t>85</w:t>
      </w:r>
      <w:r>
        <w:rPr>
          <w:spacing w:val="-11"/>
          <w:sz w:val="18"/>
          <w:vertAlign w:val="baseline"/>
        </w:rPr>
        <w:t> </w:t>
      </w:r>
      <w:r>
        <w:rPr>
          <w:sz w:val="18"/>
          <w:vertAlign w:val="baseline"/>
        </w:rPr>
        <w:t>Jivanjee,</w:t>
      </w:r>
      <w:r>
        <w:rPr>
          <w:spacing w:val="-6"/>
          <w:sz w:val="18"/>
          <w:vertAlign w:val="baseline"/>
        </w:rPr>
        <w:t> </w:t>
      </w:r>
      <w:r>
        <w:rPr>
          <w:sz w:val="18"/>
          <w:vertAlign w:val="baseline"/>
        </w:rPr>
        <w:t>Pauline,</w:t>
      </w:r>
      <w:r>
        <w:rPr>
          <w:spacing w:val="-3"/>
          <w:sz w:val="18"/>
          <w:vertAlign w:val="baseline"/>
        </w:rPr>
        <w:t> </w:t>
      </w:r>
      <w:r>
        <w:rPr>
          <w:sz w:val="18"/>
          <w:vertAlign w:val="baseline"/>
        </w:rPr>
        <w:t>Leigh</w:t>
      </w:r>
      <w:r>
        <w:rPr>
          <w:spacing w:val="-2"/>
          <w:sz w:val="18"/>
          <w:vertAlign w:val="baseline"/>
        </w:rPr>
        <w:t> </w:t>
      </w:r>
      <w:r>
        <w:rPr>
          <w:sz w:val="18"/>
          <w:vertAlign w:val="baseline"/>
        </w:rPr>
        <w:t>Grover,</w:t>
      </w:r>
      <w:r>
        <w:rPr>
          <w:spacing w:val="-3"/>
          <w:sz w:val="18"/>
          <w:vertAlign w:val="baseline"/>
        </w:rPr>
        <w:t> </w:t>
      </w:r>
      <w:r>
        <w:rPr>
          <w:sz w:val="18"/>
          <w:vertAlign w:val="baseline"/>
        </w:rPr>
        <w:t>Kristin</w:t>
      </w:r>
      <w:r>
        <w:rPr>
          <w:spacing w:val="-2"/>
          <w:sz w:val="18"/>
          <w:vertAlign w:val="baseline"/>
        </w:rPr>
        <w:t> </w:t>
      </w:r>
      <w:r>
        <w:rPr>
          <w:sz w:val="18"/>
          <w:vertAlign w:val="baseline"/>
        </w:rPr>
        <w:t>Thorp,</w:t>
      </w:r>
      <w:r>
        <w:rPr>
          <w:spacing w:val="-3"/>
          <w:sz w:val="18"/>
          <w:vertAlign w:val="baseline"/>
        </w:rPr>
        <w:t> </w:t>
      </w:r>
      <w:r>
        <w:rPr>
          <w:sz w:val="18"/>
          <w:vertAlign w:val="baseline"/>
        </w:rPr>
        <w:t>Brie</w:t>
      </w:r>
      <w:r>
        <w:rPr>
          <w:spacing w:val="-2"/>
          <w:sz w:val="18"/>
          <w:vertAlign w:val="baseline"/>
        </w:rPr>
        <w:t> </w:t>
      </w:r>
      <w:r>
        <w:rPr>
          <w:sz w:val="18"/>
          <w:vertAlign w:val="baseline"/>
        </w:rPr>
        <w:t>Masselli,</w:t>
      </w:r>
      <w:r>
        <w:rPr>
          <w:spacing w:val="-3"/>
          <w:sz w:val="18"/>
          <w:vertAlign w:val="baseline"/>
        </w:rPr>
        <w:t> </w:t>
      </w:r>
      <w:r>
        <w:rPr>
          <w:sz w:val="18"/>
          <w:vertAlign w:val="baseline"/>
        </w:rPr>
        <w:t>Johanna</w:t>
      </w:r>
      <w:r>
        <w:rPr>
          <w:spacing w:val="-2"/>
          <w:sz w:val="18"/>
          <w:vertAlign w:val="baseline"/>
        </w:rPr>
        <w:t> </w:t>
      </w:r>
      <w:r>
        <w:rPr>
          <w:sz w:val="18"/>
          <w:vertAlign w:val="baseline"/>
        </w:rPr>
        <w:t>Bergan,</w:t>
      </w:r>
      <w:r>
        <w:rPr>
          <w:spacing w:val="-3"/>
          <w:sz w:val="18"/>
          <w:vertAlign w:val="baseline"/>
        </w:rPr>
        <w:t> </w:t>
      </w:r>
      <w:r>
        <w:rPr>
          <w:sz w:val="18"/>
          <w:vertAlign w:val="baseline"/>
        </w:rPr>
        <w:t>and</w:t>
      </w:r>
      <w:r>
        <w:rPr>
          <w:spacing w:val="-2"/>
          <w:sz w:val="18"/>
          <w:vertAlign w:val="baseline"/>
        </w:rPr>
        <w:t> </w:t>
      </w:r>
      <w:r>
        <w:rPr>
          <w:sz w:val="18"/>
          <w:vertAlign w:val="baseline"/>
        </w:rPr>
        <w:t>Eileen</w:t>
      </w:r>
      <w:r>
        <w:rPr>
          <w:spacing w:val="-2"/>
          <w:sz w:val="18"/>
          <w:vertAlign w:val="baseline"/>
        </w:rPr>
        <w:t> </w:t>
      </w:r>
      <w:r>
        <w:rPr>
          <w:sz w:val="18"/>
          <w:vertAlign w:val="baseline"/>
        </w:rPr>
        <w:t>M.</w:t>
      </w:r>
      <w:r>
        <w:rPr>
          <w:spacing w:val="-2"/>
          <w:sz w:val="18"/>
          <w:vertAlign w:val="baseline"/>
        </w:rPr>
        <w:t> </w:t>
      </w:r>
      <w:r>
        <w:rPr>
          <w:sz w:val="18"/>
          <w:vertAlign w:val="baseline"/>
        </w:rPr>
        <w:t>Brennan.</w:t>
      </w:r>
      <w:r>
        <w:rPr>
          <w:spacing w:val="-2"/>
          <w:sz w:val="18"/>
          <w:vertAlign w:val="baseline"/>
        </w:rPr>
        <w:t> </w:t>
      </w:r>
      <w:r>
        <w:rPr>
          <w:sz w:val="18"/>
          <w:vertAlign w:val="baseline"/>
        </w:rPr>
        <w:t>“Training</w:t>
      </w:r>
      <w:r>
        <w:rPr>
          <w:spacing w:val="-2"/>
          <w:sz w:val="18"/>
          <w:vertAlign w:val="baseline"/>
        </w:rPr>
        <w:t> </w:t>
      </w:r>
      <w:r>
        <w:rPr>
          <w:sz w:val="18"/>
          <w:vertAlign w:val="baseline"/>
        </w:rPr>
        <w:t>Needs</w:t>
      </w:r>
      <w:r>
        <w:rPr>
          <w:spacing w:val="-2"/>
          <w:sz w:val="18"/>
          <w:vertAlign w:val="baseline"/>
        </w:rPr>
        <w:t> </w:t>
      </w:r>
      <w:r>
        <w:rPr>
          <w:sz w:val="18"/>
          <w:vertAlign w:val="baseline"/>
        </w:rPr>
        <w:t>of</w:t>
      </w:r>
      <w:r>
        <w:rPr>
          <w:spacing w:val="-3"/>
          <w:sz w:val="18"/>
          <w:vertAlign w:val="baseline"/>
        </w:rPr>
        <w:t> </w:t>
      </w:r>
      <w:r>
        <w:rPr>
          <w:sz w:val="18"/>
          <w:vertAlign w:val="baseline"/>
        </w:rPr>
        <w:t>Peer and</w:t>
      </w:r>
      <w:r>
        <w:rPr>
          <w:spacing w:val="-2"/>
          <w:sz w:val="18"/>
          <w:vertAlign w:val="baseline"/>
        </w:rPr>
        <w:t> </w:t>
      </w:r>
      <w:r>
        <w:rPr>
          <w:sz w:val="18"/>
          <w:vertAlign w:val="baseline"/>
        </w:rPr>
        <w:t>Non-Peer</w:t>
      </w:r>
      <w:r>
        <w:rPr>
          <w:spacing w:val="-3"/>
          <w:sz w:val="18"/>
          <w:vertAlign w:val="baseline"/>
        </w:rPr>
        <w:t> </w:t>
      </w:r>
      <w:r>
        <w:rPr>
          <w:sz w:val="18"/>
          <w:vertAlign w:val="baseline"/>
        </w:rPr>
        <w:t>Transition</w:t>
      </w:r>
      <w:r>
        <w:rPr>
          <w:spacing w:val="-2"/>
          <w:sz w:val="18"/>
          <w:vertAlign w:val="baseline"/>
        </w:rPr>
        <w:t> </w:t>
      </w:r>
      <w:r>
        <w:rPr>
          <w:sz w:val="18"/>
          <w:vertAlign w:val="baseline"/>
        </w:rPr>
        <w:t>Service</w:t>
      </w:r>
      <w:r>
        <w:rPr>
          <w:spacing w:val="-2"/>
          <w:sz w:val="18"/>
          <w:vertAlign w:val="baseline"/>
        </w:rPr>
        <w:t> </w:t>
      </w:r>
      <w:r>
        <w:rPr>
          <w:sz w:val="18"/>
          <w:vertAlign w:val="baseline"/>
        </w:rPr>
        <w:t>Providers:</w:t>
      </w:r>
      <w:r>
        <w:rPr>
          <w:spacing w:val="-2"/>
          <w:sz w:val="18"/>
          <w:vertAlign w:val="baseline"/>
        </w:rPr>
        <w:t> </w:t>
      </w:r>
      <w:r>
        <w:rPr>
          <w:sz w:val="18"/>
          <w:vertAlign w:val="baseline"/>
        </w:rPr>
        <w:t>Results</w:t>
      </w:r>
      <w:r>
        <w:rPr>
          <w:spacing w:val="-2"/>
          <w:sz w:val="18"/>
          <w:vertAlign w:val="baseline"/>
        </w:rPr>
        <w:t> </w:t>
      </w:r>
      <w:r>
        <w:rPr>
          <w:sz w:val="18"/>
          <w:vertAlign w:val="baseline"/>
        </w:rPr>
        <w:t>of</w:t>
      </w:r>
      <w:r>
        <w:rPr>
          <w:spacing w:val="-2"/>
          <w:sz w:val="18"/>
          <w:vertAlign w:val="baseline"/>
        </w:rPr>
        <w:t> </w:t>
      </w:r>
      <w:r>
        <w:rPr>
          <w:sz w:val="18"/>
          <w:vertAlign w:val="baseline"/>
        </w:rPr>
        <w:t>a</w:t>
      </w:r>
      <w:r>
        <w:rPr>
          <w:spacing w:val="-2"/>
          <w:sz w:val="18"/>
          <w:vertAlign w:val="baseline"/>
        </w:rPr>
        <w:t> </w:t>
      </w:r>
      <w:r>
        <w:rPr>
          <w:sz w:val="18"/>
          <w:vertAlign w:val="baseline"/>
        </w:rPr>
        <w:t>National</w:t>
      </w:r>
      <w:r>
        <w:rPr>
          <w:spacing w:val="-3"/>
          <w:sz w:val="18"/>
          <w:vertAlign w:val="baseline"/>
        </w:rPr>
        <w:t> </w:t>
      </w:r>
      <w:r>
        <w:rPr>
          <w:sz w:val="18"/>
          <w:vertAlign w:val="baseline"/>
        </w:rPr>
        <w:t>Survey.”</w:t>
      </w:r>
      <w:r>
        <w:rPr>
          <w:spacing w:val="-2"/>
          <w:sz w:val="18"/>
          <w:vertAlign w:val="baseline"/>
        </w:rPr>
        <w:t> </w:t>
      </w:r>
      <w:r>
        <w:rPr>
          <w:i/>
          <w:sz w:val="18"/>
          <w:vertAlign w:val="baseline"/>
        </w:rPr>
        <w:t>The</w:t>
      </w:r>
      <w:r>
        <w:rPr>
          <w:i/>
          <w:spacing w:val="-3"/>
          <w:sz w:val="18"/>
          <w:vertAlign w:val="baseline"/>
        </w:rPr>
        <w:t> </w:t>
      </w:r>
      <w:r>
        <w:rPr>
          <w:i/>
          <w:sz w:val="18"/>
          <w:vertAlign w:val="baseline"/>
        </w:rPr>
        <w:t>Journal</w:t>
      </w:r>
      <w:r>
        <w:rPr>
          <w:i/>
          <w:spacing w:val="-3"/>
          <w:sz w:val="18"/>
          <w:vertAlign w:val="baseline"/>
        </w:rPr>
        <w:t> </w:t>
      </w:r>
      <w:r>
        <w:rPr>
          <w:i/>
          <w:sz w:val="18"/>
          <w:vertAlign w:val="baseline"/>
        </w:rPr>
        <w:t>of</w:t>
      </w:r>
      <w:r>
        <w:rPr>
          <w:i/>
          <w:spacing w:val="-2"/>
          <w:sz w:val="18"/>
          <w:vertAlign w:val="baseline"/>
        </w:rPr>
        <w:t> </w:t>
      </w:r>
      <w:r>
        <w:rPr>
          <w:i/>
          <w:sz w:val="18"/>
          <w:vertAlign w:val="baseline"/>
        </w:rPr>
        <w:t>Behavioral</w:t>
      </w:r>
      <w:r>
        <w:rPr>
          <w:i/>
          <w:spacing w:val="-3"/>
          <w:sz w:val="18"/>
          <w:vertAlign w:val="baseline"/>
        </w:rPr>
        <w:t> </w:t>
      </w:r>
      <w:r>
        <w:rPr>
          <w:i/>
          <w:sz w:val="18"/>
          <w:vertAlign w:val="baseline"/>
        </w:rPr>
        <w:t>Health</w:t>
      </w:r>
      <w:r>
        <w:rPr>
          <w:i/>
          <w:spacing w:val="-2"/>
          <w:sz w:val="18"/>
          <w:vertAlign w:val="baseline"/>
        </w:rPr>
        <w:t> </w:t>
      </w:r>
      <w:r>
        <w:rPr>
          <w:i/>
          <w:sz w:val="18"/>
          <w:vertAlign w:val="baseline"/>
        </w:rPr>
        <w:t>Services</w:t>
      </w:r>
      <w:r>
        <w:rPr>
          <w:i/>
          <w:spacing w:val="-3"/>
          <w:sz w:val="18"/>
          <w:vertAlign w:val="baseline"/>
        </w:rPr>
        <w:t> </w:t>
      </w:r>
      <w:r>
        <w:rPr>
          <w:i/>
          <w:sz w:val="18"/>
          <w:vertAlign w:val="baseline"/>
        </w:rPr>
        <w:t>&amp;</w:t>
      </w:r>
      <w:r>
        <w:rPr>
          <w:i/>
          <w:spacing w:val="-3"/>
          <w:sz w:val="18"/>
          <w:vertAlign w:val="baseline"/>
        </w:rPr>
        <w:t> </w:t>
      </w:r>
      <w:r>
        <w:rPr>
          <w:i/>
          <w:sz w:val="18"/>
          <w:vertAlign w:val="baseline"/>
        </w:rPr>
        <w:t>Research</w:t>
      </w:r>
      <w:r>
        <w:rPr>
          <w:i/>
          <w:sz w:val="18"/>
          <w:vertAlign w:val="baseline"/>
        </w:rPr>
        <w:t> </w:t>
      </w:r>
      <w:bookmarkStart w:name="_bookmark182" w:id="338"/>
      <w:bookmarkEnd w:id="338"/>
      <w:r>
        <w:rPr>
          <w:i/>
          <w:spacing w:val="-1"/>
          <w:sz w:val="18"/>
          <w:vertAlign w:val="baseline"/>
        </w:rPr>
      </w:r>
      <w:r>
        <w:rPr>
          <w:sz w:val="18"/>
          <w:vertAlign w:val="baseline"/>
        </w:rPr>
        <w:t>47, no. 1 (January 1, 2020): 4–20. </w:t>
      </w:r>
      <w:hyperlink r:id="rId265">
        <w:r>
          <w:rPr>
            <w:color w:val="1153CC"/>
            <w:sz w:val="18"/>
            <w:u w:val="single" w:color="1153CC"/>
            <w:vertAlign w:val="baseline"/>
          </w:rPr>
          <w:t>https://doi.org/10.1007/s11414-019-09667-3</w:t>
        </w:r>
      </w:hyperlink>
      <w:hyperlink r:id="rId265">
        <w:r>
          <w:rPr>
            <w:sz w:val="18"/>
            <w:u w:val="none"/>
            <w:vertAlign w:val="baseline"/>
          </w:rPr>
          <w:t>.</w:t>
        </w:r>
      </w:hyperlink>
    </w:p>
    <w:p>
      <w:pPr>
        <w:spacing w:line="219" w:lineRule="exact" w:before="0"/>
        <w:ind w:left="463" w:right="0" w:firstLine="0"/>
        <w:jc w:val="both"/>
        <w:rPr>
          <w:sz w:val="18"/>
        </w:rPr>
      </w:pPr>
      <w:r>
        <w:rPr>
          <w:sz w:val="18"/>
          <w:vertAlign w:val="superscript"/>
        </w:rPr>
        <w:t>86</w:t>
      </w:r>
      <w:r>
        <w:rPr>
          <w:spacing w:val="-15"/>
          <w:sz w:val="18"/>
          <w:vertAlign w:val="baseline"/>
        </w:rPr>
        <w:t> </w:t>
      </w:r>
      <w:r>
        <w:rPr>
          <w:sz w:val="18"/>
          <w:vertAlign w:val="baseline"/>
        </w:rPr>
        <w:t>Marsico,</w:t>
      </w:r>
      <w:r>
        <w:rPr>
          <w:spacing w:val="-5"/>
          <w:sz w:val="18"/>
          <w:vertAlign w:val="baseline"/>
        </w:rPr>
        <w:t> </w:t>
      </w:r>
      <w:r>
        <w:rPr>
          <w:sz w:val="18"/>
          <w:vertAlign w:val="baseline"/>
        </w:rPr>
        <w:t>Kristen</w:t>
      </w:r>
      <w:r>
        <w:rPr>
          <w:spacing w:val="-1"/>
          <w:sz w:val="18"/>
          <w:vertAlign w:val="baseline"/>
        </w:rPr>
        <w:t> </w:t>
      </w:r>
      <w:r>
        <w:rPr>
          <w:sz w:val="18"/>
          <w:vertAlign w:val="baseline"/>
        </w:rPr>
        <w:t>F.,</w:t>
      </w:r>
      <w:r>
        <w:rPr>
          <w:spacing w:val="-3"/>
          <w:sz w:val="18"/>
          <w:vertAlign w:val="baseline"/>
        </w:rPr>
        <w:t> </w:t>
      </w:r>
      <w:r>
        <w:rPr>
          <w:sz w:val="18"/>
          <w:vertAlign w:val="baseline"/>
        </w:rPr>
        <w:t>Cixin</w:t>
      </w:r>
      <w:r>
        <w:rPr>
          <w:spacing w:val="-2"/>
          <w:sz w:val="18"/>
          <w:vertAlign w:val="baseline"/>
        </w:rPr>
        <w:t> </w:t>
      </w:r>
      <w:r>
        <w:rPr>
          <w:sz w:val="18"/>
          <w:vertAlign w:val="baseline"/>
        </w:rPr>
        <w:t>Wang,</w:t>
      </w:r>
      <w:r>
        <w:rPr>
          <w:spacing w:val="-3"/>
          <w:sz w:val="18"/>
          <w:vertAlign w:val="baseline"/>
        </w:rPr>
        <w:t> </w:t>
      </w:r>
      <w:r>
        <w:rPr>
          <w:sz w:val="18"/>
          <w:vertAlign w:val="baseline"/>
        </w:rPr>
        <w:t>and</w:t>
      </w:r>
      <w:r>
        <w:rPr>
          <w:spacing w:val="-2"/>
          <w:sz w:val="18"/>
          <w:vertAlign w:val="baseline"/>
        </w:rPr>
        <w:t> </w:t>
      </w:r>
      <w:r>
        <w:rPr>
          <w:sz w:val="18"/>
          <w:vertAlign w:val="baseline"/>
        </w:rPr>
        <w:t>Jia</w:t>
      </w:r>
      <w:r>
        <w:rPr>
          <w:spacing w:val="-2"/>
          <w:sz w:val="18"/>
          <w:vertAlign w:val="baseline"/>
        </w:rPr>
        <w:t> </w:t>
      </w:r>
      <w:r>
        <w:rPr>
          <w:sz w:val="18"/>
          <w:vertAlign w:val="baseline"/>
        </w:rPr>
        <w:t>Li</w:t>
      </w:r>
      <w:r>
        <w:rPr>
          <w:spacing w:val="-2"/>
          <w:sz w:val="18"/>
          <w:vertAlign w:val="baseline"/>
        </w:rPr>
        <w:t> </w:t>
      </w:r>
      <w:r>
        <w:rPr>
          <w:sz w:val="18"/>
          <w:vertAlign w:val="baseline"/>
        </w:rPr>
        <w:t>Liu.</w:t>
      </w:r>
      <w:r>
        <w:rPr>
          <w:spacing w:val="-2"/>
          <w:sz w:val="18"/>
          <w:vertAlign w:val="baseline"/>
        </w:rPr>
        <w:t> </w:t>
      </w:r>
      <w:r>
        <w:rPr>
          <w:sz w:val="18"/>
          <w:vertAlign w:val="baseline"/>
        </w:rPr>
        <w:t>“Effectiveness</w:t>
      </w:r>
      <w:r>
        <w:rPr>
          <w:spacing w:val="-2"/>
          <w:sz w:val="18"/>
          <w:vertAlign w:val="baseline"/>
        </w:rPr>
        <w:t> </w:t>
      </w:r>
      <w:r>
        <w:rPr>
          <w:sz w:val="18"/>
          <w:vertAlign w:val="baseline"/>
        </w:rPr>
        <w:t>of</w:t>
      </w:r>
      <w:r>
        <w:rPr>
          <w:spacing w:val="-3"/>
          <w:sz w:val="18"/>
          <w:vertAlign w:val="baseline"/>
        </w:rPr>
        <w:t> </w:t>
      </w:r>
      <w:r>
        <w:rPr>
          <w:sz w:val="18"/>
          <w:vertAlign w:val="baseline"/>
        </w:rPr>
        <w:t>Youth</w:t>
      </w:r>
      <w:r>
        <w:rPr>
          <w:spacing w:val="-2"/>
          <w:sz w:val="18"/>
          <w:vertAlign w:val="baseline"/>
        </w:rPr>
        <w:t> </w:t>
      </w:r>
      <w:r>
        <w:rPr>
          <w:sz w:val="18"/>
          <w:vertAlign w:val="baseline"/>
        </w:rPr>
        <w:t>Mental</w:t>
      </w:r>
      <w:r>
        <w:rPr>
          <w:spacing w:val="-3"/>
          <w:sz w:val="18"/>
          <w:vertAlign w:val="baseline"/>
        </w:rPr>
        <w:t> </w:t>
      </w:r>
      <w:r>
        <w:rPr>
          <w:sz w:val="18"/>
          <w:vertAlign w:val="baseline"/>
        </w:rPr>
        <w:t>Health</w:t>
      </w:r>
      <w:r>
        <w:rPr>
          <w:spacing w:val="-1"/>
          <w:sz w:val="18"/>
          <w:vertAlign w:val="baseline"/>
        </w:rPr>
        <w:t> </w:t>
      </w:r>
      <w:r>
        <w:rPr>
          <w:sz w:val="18"/>
          <w:vertAlign w:val="baseline"/>
        </w:rPr>
        <w:t>First</w:t>
      </w:r>
      <w:r>
        <w:rPr>
          <w:spacing w:val="-3"/>
          <w:sz w:val="18"/>
          <w:vertAlign w:val="baseline"/>
        </w:rPr>
        <w:t> </w:t>
      </w:r>
      <w:r>
        <w:rPr>
          <w:sz w:val="18"/>
          <w:vertAlign w:val="baseline"/>
        </w:rPr>
        <w:t>Aid</w:t>
      </w:r>
      <w:r>
        <w:rPr>
          <w:spacing w:val="-2"/>
          <w:sz w:val="18"/>
          <w:vertAlign w:val="baseline"/>
        </w:rPr>
        <w:t> </w:t>
      </w:r>
      <w:r>
        <w:rPr>
          <w:sz w:val="18"/>
          <w:vertAlign w:val="baseline"/>
        </w:rPr>
        <w:t>Training</w:t>
      </w:r>
      <w:r>
        <w:rPr>
          <w:spacing w:val="-2"/>
          <w:sz w:val="18"/>
          <w:vertAlign w:val="baseline"/>
        </w:rPr>
        <w:t> </w:t>
      </w:r>
      <w:r>
        <w:rPr>
          <w:sz w:val="18"/>
          <w:vertAlign w:val="baseline"/>
        </w:rPr>
        <w:t>for</w:t>
      </w:r>
      <w:r>
        <w:rPr>
          <w:spacing w:val="-3"/>
          <w:sz w:val="18"/>
          <w:vertAlign w:val="baseline"/>
        </w:rPr>
        <w:t> </w:t>
      </w:r>
      <w:r>
        <w:rPr>
          <w:sz w:val="18"/>
          <w:vertAlign w:val="baseline"/>
        </w:rPr>
        <w:t>Parents</w:t>
      </w:r>
      <w:r>
        <w:rPr>
          <w:spacing w:val="-2"/>
          <w:sz w:val="18"/>
          <w:vertAlign w:val="baseline"/>
        </w:rPr>
        <w:t> </w:t>
      </w:r>
      <w:r>
        <w:rPr>
          <w:sz w:val="18"/>
          <w:vertAlign w:val="baseline"/>
        </w:rPr>
        <w:t>at</w:t>
      </w:r>
      <w:r>
        <w:rPr>
          <w:spacing w:val="-2"/>
          <w:sz w:val="18"/>
          <w:vertAlign w:val="baseline"/>
        </w:rPr>
        <w:t> School.”</w:t>
      </w:r>
    </w:p>
    <w:p>
      <w:pPr>
        <w:spacing w:before="0"/>
        <w:ind w:left="463" w:right="0" w:firstLine="0"/>
        <w:jc w:val="left"/>
        <w:rPr>
          <w:sz w:val="18"/>
        </w:rPr>
      </w:pPr>
      <w:bookmarkStart w:name="_bookmark183" w:id="339"/>
      <w:bookmarkEnd w:id="339"/>
      <w:r>
        <w:rPr/>
      </w:r>
      <w:r>
        <w:rPr>
          <w:i/>
          <w:sz w:val="18"/>
        </w:rPr>
        <w:t>Psychology</w:t>
      </w:r>
      <w:r>
        <w:rPr>
          <w:i/>
          <w:spacing w:val="-2"/>
          <w:sz w:val="18"/>
        </w:rPr>
        <w:t> </w:t>
      </w:r>
      <w:r>
        <w:rPr>
          <w:i/>
          <w:sz w:val="18"/>
        </w:rPr>
        <w:t>in</w:t>
      </w:r>
      <w:r>
        <w:rPr>
          <w:i/>
          <w:spacing w:val="-3"/>
          <w:sz w:val="18"/>
        </w:rPr>
        <w:t> </w:t>
      </w:r>
      <w:r>
        <w:rPr>
          <w:i/>
          <w:sz w:val="18"/>
        </w:rPr>
        <w:t>the</w:t>
      </w:r>
      <w:r>
        <w:rPr>
          <w:i/>
          <w:spacing w:val="-2"/>
          <w:sz w:val="18"/>
        </w:rPr>
        <w:t> </w:t>
      </w:r>
      <w:r>
        <w:rPr>
          <w:i/>
          <w:sz w:val="18"/>
        </w:rPr>
        <w:t>Schools</w:t>
      </w:r>
      <w:r>
        <w:rPr>
          <w:i/>
          <w:spacing w:val="-3"/>
          <w:sz w:val="18"/>
        </w:rPr>
        <w:t> </w:t>
      </w:r>
      <w:r>
        <w:rPr>
          <w:sz w:val="18"/>
        </w:rPr>
        <w:t>59,</w:t>
      </w:r>
      <w:r>
        <w:rPr>
          <w:spacing w:val="-3"/>
          <w:sz w:val="18"/>
        </w:rPr>
        <w:t> </w:t>
      </w:r>
      <w:r>
        <w:rPr>
          <w:sz w:val="18"/>
        </w:rPr>
        <w:t>no.</w:t>
      </w:r>
      <w:r>
        <w:rPr>
          <w:spacing w:val="-1"/>
          <w:sz w:val="18"/>
        </w:rPr>
        <w:t> </w:t>
      </w:r>
      <w:r>
        <w:rPr>
          <w:sz w:val="18"/>
        </w:rPr>
        <w:t>8</w:t>
      </w:r>
      <w:r>
        <w:rPr>
          <w:spacing w:val="-2"/>
          <w:sz w:val="18"/>
        </w:rPr>
        <w:t> </w:t>
      </w:r>
      <w:r>
        <w:rPr>
          <w:sz w:val="18"/>
        </w:rPr>
        <w:t>(August</w:t>
      </w:r>
      <w:r>
        <w:rPr>
          <w:spacing w:val="-3"/>
          <w:sz w:val="18"/>
        </w:rPr>
        <w:t> </w:t>
      </w:r>
      <w:r>
        <w:rPr>
          <w:sz w:val="18"/>
        </w:rPr>
        <w:t>2022):</w:t>
      </w:r>
      <w:r>
        <w:rPr>
          <w:spacing w:val="-2"/>
          <w:sz w:val="18"/>
        </w:rPr>
        <w:t> </w:t>
      </w:r>
      <w:r>
        <w:rPr>
          <w:sz w:val="18"/>
        </w:rPr>
        <w:t>1701–16.</w:t>
      </w:r>
      <w:r>
        <w:rPr>
          <w:spacing w:val="-1"/>
          <w:sz w:val="18"/>
        </w:rPr>
        <w:t> </w:t>
      </w:r>
      <w:hyperlink r:id="rId266">
        <w:r>
          <w:rPr>
            <w:color w:val="1153CC"/>
            <w:spacing w:val="-2"/>
            <w:sz w:val="18"/>
            <w:u w:val="single" w:color="1153CC"/>
          </w:rPr>
          <w:t>https://doi.org/10.1002/pits.22717</w:t>
        </w:r>
      </w:hyperlink>
      <w:hyperlink r:id="rId266">
        <w:r>
          <w:rPr>
            <w:spacing w:val="-2"/>
            <w:sz w:val="18"/>
            <w:u w:val="none"/>
          </w:rPr>
          <w:t>.</w:t>
        </w:r>
      </w:hyperlink>
    </w:p>
    <w:p>
      <w:pPr>
        <w:spacing w:before="0"/>
        <w:ind w:left="463" w:right="314" w:hanging="1"/>
        <w:jc w:val="left"/>
        <w:rPr>
          <w:sz w:val="18"/>
        </w:rPr>
      </w:pPr>
      <w:r>
        <w:rPr>
          <w:sz w:val="18"/>
          <w:vertAlign w:val="superscript"/>
        </w:rPr>
        <w:t>87</w:t>
      </w:r>
      <w:r>
        <w:rPr>
          <w:spacing w:val="-13"/>
          <w:sz w:val="18"/>
          <w:vertAlign w:val="baseline"/>
        </w:rPr>
        <w:t> </w:t>
      </w:r>
      <w:r>
        <w:rPr>
          <w:sz w:val="18"/>
          <w:vertAlign w:val="baseline"/>
        </w:rPr>
        <w:t>Fish,</w:t>
      </w:r>
      <w:r>
        <w:rPr>
          <w:spacing w:val="-5"/>
          <w:sz w:val="18"/>
          <w:vertAlign w:val="baseline"/>
        </w:rPr>
        <w:t> </w:t>
      </w:r>
      <w:r>
        <w:rPr>
          <w:sz w:val="18"/>
          <w:vertAlign w:val="baseline"/>
        </w:rPr>
        <w:t>Jessica</w:t>
      </w:r>
      <w:r>
        <w:rPr>
          <w:spacing w:val="-3"/>
          <w:sz w:val="18"/>
          <w:vertAlign w:val="baseline"/>
        </w:rPr>
        <w:t> </w:t>
      </w:r>
      <w:r>
        <w:rPr>
          <w:sz w:val="18"/>
          <w:vertAlign w:val="baseline"/>
        </w:rPr>
        <w:t>N.</w:t>
      </w:r>
      <w:r>
        <w:rPr>
          <w:spacing w:val="-3"/>
          <w:sz w:val="18"/>
          <w:vertAlign w:val="baseline"/>
        </w:rPr>
        <w:t> </w:t>
      </w:r>
      <w:r>
        <w:rPr>
          <w:sz w:val="18"/>
          <w:vertAlign w:val="baseline"/>
        </w:rPr>
        <w:t>“Future</w:t>
      </w:r>
      <w:r>
        <w:rPr>
          <w:spacing w:val="-3"/>
          <w:sz w:val="18"/>
          <w:vertAlign w:val="baseline"/>
        </w:rPr>
        <w:t> </w:t>
      </w:r>
      <w:r>
        <w:rPr>
          <w:sz w:val="18"/>
          <w:vertAlign w:val="baseline"/>
        </w:rPr>
        <w:t>Directions</w:t>
      </w:r>
      <w:r>
        <w:rPr>
          <w:spacing w:val="-3"/>
          <w:sz w:val="18"/>
          <w:vertAlign w:val="baseline"/>
        </w:rPr>
        <w:t> </w:t>
      </w:r>
      <w:r>
        <w:rPr>
          <w:sz w:val="18"/>
          <w:vertAlign w:val="baseline"/>
        </w:rPr>
        <w:t>in</w:t>
      </w:r>
      <w:r>
        <w:rPr>
          <w:spacing w:val="-3"/>
          <w:sz w:val="18"/>
          <w:vertAlign w:val="baseline"/>
        </w:rPr>
        <w:t> </w:t>
      </w:r>
      <w:r>
        <w:rPr>
          <w:sz w:val="18"/>
          <w:vertAlign w:val="baseline"/>
        </w:rPr>
        <w:t>Understanding</w:t>
      </w:r>
      <w:r>
        <w:rPr>
          <w:spacing w:val="-3"/>
          <w:sz w:val="18"/>
          <w:vertAlign w:val="baseline"/>
        </w:rPr>
        <w:t> </w:t>
      </w:r>
      <w:r>
        <w:rPr>
          <w:sz w:val="18"/>
          <w:vertAlign w:val="baseline"/>
        </w:rPr>
        <w:t>and</w:t>
      </w:r>
      <w:r>
        <w:rPr>
          <w:spacing w:val="-3"/>
          <w:sz w:val="18"/>
          <w:vertAlign w:val="baseline"/>
        </w:rPr>
        <w:t> </w:t>
      </w:r>
      <w:r>
        <w:rPr>
          <w:sz w:val="18"/>
          <w:vertAlign w:val="baseline"/>
        </w:rPr>
        <w:t>Addressing</w:t>
      </w:r>
      <w:r>
        <w:rPr>
          <w:spacing w:val="-3"/>
          <w:sz w:val="18"/>
          <w:vertAlign w:val="baseline"/>
        </w:rPr>
        <w:t> </w:t>
      </w:r>
      <w:r>
        <w:rPr>
          <w:sz w:val="18"/>
          <w:vertAlign w:val="baseline"/>
        </w:rPr>
        <w:t>Mental</w:t>
      </w:r>
      <w:r>
        <w:rPr>
          <w:spacing w:val="-3"/>
          <w:sz w:val="18"/>
          <w:vertAlign w:val="baseline"/>
        </w:rPr>
        <w:t> </w:t>
      </w:r>
      <w:r>
        <w:rPr>
          <w:sz w:val="18"/>
          <w:vertAlign w:val="baseline"/>
        </w:rPr>
        <w:t>Health</w:t>
      </w:r>
      <w:r>
        <w:rPr>
          <w:spacing w:val="-3"/>
          <w:sz w:val="18"/>
          <w:vertAlign w:val="baseline"/>
        </w:rPr>
        <w:t> </w:t>
      </w:r>
      <w:r>
        <w:rPr>
          <w:sz w:val="18"/>
          <w:vertAlign w:val="baseline"/>
        </w:rPr>
        <w:t>among</w:t>
      </w:r>
      <w:r>
        <w:rPr>
          <w:spacing w:val="-3"/>
          <w:sz w:val="18"/>
          <w:vertAlign w:val="baseline"/>
        </w:rPr>
        <w:t> </w:t>
      </w:r>
      <w:r>
        <w:rPr>
          <w:sz w:val="18"/>
          <w:vertAlign w:val="baseline"/>
        </w:rPr>
        <w:t>LGBTQ</w:t>
      </w:r>
      <w:r>
        <w:rPr>
          <w:spacing w:val="-3"/>
          <w:sz w:val="18"/>
          <w:vertAlign w:val="baseline"/>
        </w:rPr>
        <w:t> </w:t>
      </w:r>
      <w:r>
        <w:rPr>
          <w:sz w:val="18"/>
          <w:vertAlign w:val="baseline"/>
        </w:rPr>
        <w:t>Youth.”</w:t>
      </w:r>
      <w:r>
        <w:rPr>
          <w:spacing w:val="-3"/>
          <w:sz w:val="18"/>
          <w:vertAlign w:val="baseline"/>
        </w:rPr>
        <w:t> </w:t>
      </w:r>
      <w:r>
        <w:rPr>
          <w:i/>
          <w:sz w:val="18"/>
          <w:vertAlign w:val="baseline"/>
        </w:rPr>
        <w:t>Journal</w:t>
      </w:r>
      <w:r>
        <w:rPr>
          <w:i/>
          <w:spacing w:val="-3"/>
          <w:sz w:val="18"/>
          <w:vertAlign w:val="baseline"/>
        </w:rPr>
        <w:t> </w:t>
      </w:r>
      <w:r>
        <w:rPr>
          <w:i/>
          <w:sz w:val="18"/>
          <w:vertAlign w:val="baseline"/>
        </w:rPr>
        <w:t>of</w:t>
      </w:r>
      <w:r>
        <w:rPr>
          <w:i/>
          <w:spacing w:val="-3"/>
          <w:sz w:val="18"/>
          <w:vertAlign w:val="baseline"/>
        </w:rPr>
        <w:t> </w:t>
      </w:r>
      <w:r>
        <w:rPr>
          <w:i/>
          <w:sz w:val="18"/>
          <w:vertAlign w:val="baseline"/>
        </w:rPr>
        <w:t>Clinical</w:t>
      </w:r>
      <w:r>
        <w:rPr>
          <w:i/>
          <w:sz w:val="18"/>
          <w:vertAlign w:val="baseline"/>
        </w:rPr>
        <w:t> </w:t>
      </w:r>
      <w:bookmarkStart w:name="_bookmark184" w:id="340"/>
      <w:bookmarkEnd w:id="340"/>
      <w:r>
        <w:rPr>
          <w:i/>
          <w:sz w:val="18"/>
          <w:vertAlign w:val="baseline"/>
        </w:rPr>
        <w:t>Chi</w:t>
      </w:r>
      <w:r>
        <w:rPr>
          <w:i/>
          <w:sz w:val="18"/>
          <w:vertAlign w:val="baseline"/>
        </w:rPr>
        <w:t>ld &amp; Adolescent Psychology </w:t>
      </w:r>
      <w:r>
        <w:rPr>
          <w:sz w:val="18"/>
          <w:vertAlign w:val="baseline"/>
        </w:rPr>
        <w:t>49, no. 6 (November 1, 2020): 943–56. </w:t>
      </w:r>
      <w:hyperlink r:id="rId233">
        <w:r>
          <w:rPr>
            <w:color w:val="1153CC"/>
            <w:sz w:val="18"/>
            <w:u w:val="single" w:color="1153CC"/>
            <w:vertAlign w:val="baseline"/>
          </w:rPr>
          <w:t>https://doi.org/10.1080/15374416.2020.1815207</w:t>
        </w:r>
      </w:hyperlink>
      <w:hyperlink r:id="rId233">
        <w:r>
          <w:rPr>
            <w:sz w:val="18"/>
            <w:u w:val="none"/>
            <w:vertAlign w:val="baseline"/>
          </w:rPr>
          <w:t>.</w:t>
        </w:r>
      </w:hyperlink>
    </w:p>
    <w:p>
      <w:pPr>
        <w:spacing w:before="0"/>
        <w:ind w:left="463" w:right="439" w:firstLine="0"/>
        <w:jc w:val="left"/>
        <w:rPr>
          <w:sz w:val="18"/>
        </w:rPr>
      </w:pPr>
      <w:r>
        <w:rPr>
          <w:sz w:val="18"/>
          <w:vertAlign w:val="superscript"/>
        </w:rPr>
        <w:t>88</w:t>
      </w:r>
      <w:r>
        <w:rPr>
          <w:spacing w:val="-13"/>
          <w:sz w:val="18"/>
          <w:vertAlign w:val="baseline"/>
        </w:rPr>
        <w:t> </w:t>
      </w:r>
      <w:r>
        <w:rPr>
          <w:sz w:val="18"/>
          <w:vertAlign w:val="baseline"/>
        </w:rPr>
        <w:t>Richgels,</w:t>
      </w:r>
      <w:r>
        <w:rPr>
          <w:spacing w:val="-4"/>
          <w:sz w:val="18"/>
          <w:vertAlign w:val="baseline"/>
        </w:rPr>
        <w:t> </w:t>
      </w:r>
      <w:r>
        <w:rPr>
          <w:sz w:val="18"/>
          <w:vertAlign w:val="baseline"/>
        </w:rPr>
        <w:t>Carrie,</w:t>
      </w:r>
      <w:r>
        <w:rPr>
          <w:spacing w:val="-3"/>
          <w:sz w:val="18"/>
          <w:vertAlign w:val="baseline"/>
        </w:rPr>
        <w:t> </w:t>
      </w:r>
      <w:r>
        <w:rPr>
          <w:sz w:val="18"/>
          <w:vertAlign w:val="baseline"/>
        </w:rPr>
        <w:t>Sean</w:t>
      </w:r>
      <w:r>
        <w:rPr>
          <w:spacing w:val="-2"/>
          <w:sz w:val="18"/>
          <w:vertAlign w:val="baseline"/>
        </w:rPr>
        <w:t> </w:t>
      </w:r>
      <w:r>
        <w:rPr>
          <w:sz w:val="18"/>
          <w:vertAlign w:val="baseline"/>
        </w:rPr>
        <w:t>Cahill,</w:t>
      </w:r>
      <w:r>
        <w:rPr>
          <w:spacing w:val="-3"/>
          <w:sz w:val="18"/>
          <w:vertAlign w:val="baseline"/>
        </w:rPr>
        <w:t> </w:t>
      </w:r>
      <w:r>
        <w:rPr>
          <w:sz w:val="18"/>
          <w:vertAlign w:val="baseline"/>
        </w:rPr>
        <w:t>Julie</w:t>
      </w:r>
      <w:r>
        <w:rPr>
          <w:spacing w:val="-2"/>
          <w:sz w:val="18"/>
          <w:vertAlign w:val="baseline"/>
        </w:rPr>
        <w:t> </w:t>
      </w:r>
      <w:r>
        <w:rPr>
          <w:sz w:val="18"/>
          <w:vertAlign w:val="baseline"/>
        </w:rPr>
        <w:t>Thompson,</w:t>
      </w:r>
      <w:r>
        <w:rPr>
          <w:spacing w:val="-3"/>
          <w:sz w:val="18"/>
          <w:vertAlign w:val="baseline"/>
        </w:rPr>
        <w:t> </w:t>
      </w:r>
      <w:r>
        <w:rPr>
          <w:sz w:val="18"/>
          <w:vertAlign w:val="baseline"/>
        </w:rPr>
        <w:t>and</w:t>
      </w:r>
      <w:r>
        <w:rPr>
          <w:spacing w:val="-2"/>
          <w:sz w:val="18"/>
          <w:vertAlign w:val="baseline"/>
        </w:rPr>
        <w:t> </w:t>
      </w:r>
      <w:r>
        <w:rPr>
          <w:sz w:val="18"/>
          <w:vertAlign w:val="baseline"/>
        </w:rPr>
        <w:t>Mason</w:t>
      </w:r>
      <w:r>
        <w:rPr>
          <w:spacing w:val="-2"/>
          <w:sz w:val="18"/>
          <w:vertAlign w:val="baseline"/>
        </w:rPr>
        <w:t> </w:t>
      </w:r>
      <w:r>
        <w:rPr>
          <w:sz w:val="18"/>
          <w:vertAlign w:val="baseline"/>
        </w:rPr>
        <w:t>Dunn.</w:t>
      </w:r>
      <w:r>
        <w:rPr>
          <w:spacing w:val="-3"/>
          <w:sz w:val="18"/>
          <w:vertAlign w:val="baseline"/>
        </w:rPr>
        <w:t> </w:t>
      </w:r>
      <w:r>
        <w:rPr>
          <w:sz w:val="18"/>
          <w:vertAlign w:val="baseline"/>
        </w:rPr>
        <w:t>“State</w:t>
      </w:r>
      <w:r>
        <w:rPr>
          <w:spacing w:val="-2"/>
          <w:sz w:val="18"/>
          <w:vertAlign w:val="baseline"/>
        </w:rPr>
        <w:t> </w:t>
      </w:r>
      <w:r>
        <w:rPr>
          <w:sz w:val="18"/>
          <w:vertAlign w:val="baseline"/>
        </w:rPr>
        <w:t>Bills</w:t>
      </w:r>
      <w:r>
        <w:rPr>
          <w:spacing w:val="-2"/>
          <w:sz w:val="18"/>
          <w:vertAlign w:val="baseline"/>
        </w:rPr>
        <w:t> </w:t>
      </w:r>
      <w:r>
        <w:rPr>
          <w:sz w:val="18"/>
          <w:vertAlign w:val="baseline"/>
        </w:rPr>
        <w:t>Restricting</w:t>
      </w:r>
      <w:r>
        <w:rPr>
          <w:spacing w:val="-2"/>
          <w:sz w:val="18"/>
          <w:vertAlign w:val="baseline"/>
        </w:rPr>
        <w:t> </w:t>
      </w:r>
      <w:r>
        <w:rPr>
          <w:sz w:val="18"/>
          <w:vertAlign w:val="baseline"/>
        </w:rPr>
        <w:t>Access</w:t>
      </w:r>
      <w:r>
        <w:rPr>
          <w:spacing w:val="-2"/>
          <w:sz w:val="18"/>
          <w:vertAlign w:val="baseline"/>
        </w:rPr>
        <w:t> </w:t>
      </w:r>
      <w:r>
        <w:rPr>
          <w:sz w:val="18"/>
          <w:vertAlign w:val="baseline"/>
        </w:rPr>
        <w:t>of</w:t>
      </w:r>
      <w:r>
        <w:rPr>
          <w:spacing w:val="-3"/>
          <w:sz w:val="18"/>
          <w:vertAlign w:val="baseline"/>
        </w:rPr>
        <w:t> </w:t>
      </w:r>
      <w:r>
        <w:rPr>
          <w:sz w:val="18"/>
          <w:vertAlign w:val="baseline"/>
        </w:rPr>
        <w:t>Transgender</w:t>
      </w:r>
      <w:r>
        <w:rPr>
          <w:spacing w:val="-3"/>
          <w:sz w:val="18"/>
          <w:vertAlign w:val="baseline"/>
        </w:rPr>
        <w:t> </w:t>
      </w:r>
      <w:r>
        <w:rPr>
          <w:sz w:val="18"/>
          <w:vertAlign w:val="baseline"/>
        </w:rPr>
        <w:t>Youth</w:t>
      </w:r>
      <w:r>
        <w:rPr>
          <w:spacing w:val="-2"/>
          <w:sz w:val="18"/>
          <w:vertAlign w:val="baseline"/>
        </w:rPr>
        <w:t> </w:t>
      </w:r>
      <w:r>
        <w:rPr>
          <w:sz w:val="18"/>
          <w:vertAlign w:val="baseline"/>
        </w:rPr>
        <w:t>to</w:t>
      </w:r>
      <w:r>
        <w:rPr>
          <w:spacing w:val="-2"/>
          <w:sz w:val="18"/>
          <w:vertAlign w:val="baseline"/>
        </w:rPr>
        <w:t> </w:t>
      </w:r>
      <w:r>
        <w:rPr>
          <w:sz w:val="18"/>
          <w:vertAlign w:val="baseline"/>
        </w:rPr>
        <w:t>Health Care, School Facilities, and School Athletics Threaten Health and Well-Being.” Fenway Health, 2021. </w:t>
      </w:r>
      <w:bookmarkStart w:name="_bookmark185" w:id="341"/>
      <w:bookmarkEnd w:id="341"/>
      <w:r>
        <w:rPr>
          <w:sz w:val="18"/>
          <w:vertAlign w:val="baseline"/>
        </w:rPr>
      </w:r>
      <w:hyperlink r:id="rId267">
        <w:r>
          <w:rPr>
            <w:color w:val="1153CC"/>
            <w:spacing w:val="-2"/>
            <w:sz w:val="18"/>
            <w:vertAlign w:val="baseline"/>
          </w:rPr>
          <w:t>https://fenwayhealth.org/wp-content/uploads/Anti-trans-legislation-policy-brief-FINAL.pdf</w:t>
        </w:r>
        <w:r>
          <w:rPr>
            <w:spacing w:val="-2"/>
            <w:sz w:val="18"/>
            <w:vertAlign w:val="baseline"/>
          </w:rPr>
          <w:t>.</w:t>
        </w:r>
      </w:hyperlink>
    </w:p>
    <w:p>
      <w:pPr>
        <w:spacing w:before="0"/>
        <w:ind w:left="463" w:right="0" w:firstLine="0"/>
        <w:jc w:val="left"/>
        <w:rPr>
          <w:sz w:val="18"/>
        </w:rPr>
      </w:pPr>
      <w:r>
        <w:rPr>
          <w:sz w:val="18"/>
          <w:vertAlign w:val="superscript"/>
        </w:rPr>
        <w:t>89</w:t>
      </w:r>
      <w:r>
        <w:rPr>
          <w:spacing w:val="-13"/>
          <w:sz w:val="18"/>
          <w:vertAlign w:val="baseline"/>
        </w:rPr>
        <w:t> </w:t>
      </w:r>
      <w:r>
        <w:rPr>
          <w:sz w:val="18"/>
          <w:vertAlign w:val="baseline"/>
        </w:rPr>
        <w:t>“Issues</w:t>
      </w:r>
      <w:r>
        <w:rPr>
          <w:spacing w:val="-6"/>
          <w:sz w:val="18"/>
          <w:vertAlign w:val="baseline"/>
        </w:rPr>
        <w:t> </w:t>
      </w:r>
      <w:r>
        <w:rPr>
          <w:sz w:val="18"/>
          <w:vertAlign w:val="baseline"/>
        </w:rPr>
        <w:t>Impacting</w:t>
      </w:r>
      <w:r>
        <w:rPr>
          <w:spacing w:val="-4"/>
          <w:sz w:val="18"/>
          <w:vertAlign w:val="baseline"/>
        </w:rPr>
        <w:t> </w:t>
      </w:r>
      <w:r>
        <w:rPr>
          <w:sz w:val="18"/>
          <w:vertAlign w:val="baseline"/>
        </w:rPr>
        <w:t>LGBTQ</w:t>
      </w:r>
      <w:r>
        <w:rPr>
          <w:spacing w:val="-4"/>
          <w:sz w:val="18"/>
          <w:vertAlign w:val="baseline"/>
        </w:rPr>
        <w:t> </w:t>
      </w:r>
      <w:r>
        <w:rPr>
          <w:sz w:val="18"/>
          <w:vertAlign w:val="baseline"/>
        </w:rPr>
        <w:t>Youth:</w:t>
      </w:r>
      <w:r>
        <w:rPr>
          <w:spacing w:val="-4"/>
          <w:sz w:val="18"/>
          <w:vertAlign w:val="baseline"/>
        </w:rPr>
        <w:t> </w:t>
      </w:r>
      <w:r>
        <w:rPr>
          <w:sz w:val="18"/>
          <w:vertAlign w:val="baseline"/>
        </w:rPr>
        <w:t>Polling</w:t>
      </w:r>
      <w:r>
        <w:rPr>
          <w:spacing w:val="-4"/>
          <w:sz w:val="18"/>
          <w:vertAlign w:val="baseline"/>
        </w:rPr>
        <w:t> </w:t>
      </w:r>
      <w:r>
        <w:rPr>
          <w:sz w:val="18"/>
          <w:vertAlign w:val="baseline"/>
        </w:rPr>
        <w:t>Analysis.”</w:t>
      </w:r>
      <w:r>
        <w:rPr>
          <w:spacing w:val="-4"/>
          <w:sz w:val="18"/>
          <w:vertAlign w:val="baseline"/>
        </w:rPr>
        <w:t> </w:t>
      </w:r>
      <w:r>
        <w:rPr>
          <w:sz w:val="18"/>
          <w:vertAlign w:val="baseline"/>
        </w:rPr>
        <w:t>The</w:t>
      </w:r>
      <w:r>
        <w:rPr>
          <w:spacing w:val="-4"/>
          <w:sz w:val="18"/>
          <w:vertAlign w:val="baseline"/>
        </w:rPr>
        <w:t> </w:t>
      </w:r>
      <w:r>
        <w:rPr>
          <w:sz w:val="18"/>
          <w:vertAlign w:val="baseline"/>
        </w:rPr>
        <w:t>Trevor</w:t>
      </w:r>
      <w:r>
        <w:rPr>
          <w:spacing w:val="-5"/>
          <w:sz w:val="18"/>
          <w:vertAlign w:val="baseline"/>
        </w:rPr>
        <w:t> </w:t>
      </w:r>
      <w:r>
        <w:rPr>
          <w:sz w:val="18"/>
          <w:vertAlign w:val="baseline"/>
        </w:rPr>
        <w:t>Project,</w:t>
      </w:r>
      <w:r>
        <w:rPr>
          <w:spacing w:val="-5"/>
          <w:sz w:val="18"/>
          <w:vertAlign w:val="baseline"/>
        </w:rPr>
        <w:t> </w:t>
      </w:r>
      <w:r>
        <w:rPr>
          <w:sz w:val="18"/>
          <w:vertAlign w:val="baseline"/>
        </w:rPr>
        <w:t>January</w:t>
      </w:r>
      <w:r>
        <w:rPr>
          <w:spacing w:val="-4"/>
          <w:sz w:val="18"/>
          <w:vertAlign w:val="baseline"/>
        </w:rPr>
        <w:t> </w:t>
      </w:r>
      <w:r>
        <w:rPr>
          <w:sz w:val="18"/>
          <w:vertAlign w:val="baseline"/>
        </w:rPr>
        <w:t>2022.</w:t>
      </w:r>
      <w:r>
        <w:rPr>
          <w:spacing w:val="-4"/>
          <w:sz w:val="18"/>
          <w:vertAlign w:val="baseline"/>
        </w:rPr>
        <w:t> </w:t>
      </w:r>
      <w:hyperlink r:id="rId268">
        <w:r>
          <w:rPr>
            <w:color w:val="1153CC"/>
            <w:sz w:val="18"/>
            <w:u w:val="single" w:color="1153CC"/>
            <w:vertAlign w:val="baseline"/>
          </w:rPr>
          <w:t>https://www.thetrevorproject.org/wp-</w:t>
        </w:r>
      </w:hyperlink>
      <w:r>
        <w:rPr>
          <w:color w:val="1153CC"/>
          <w:sz w:val="18"/>
          <w:u w:val="none"/>
          <w:vertAlign w:val="baseline"/>
        </w:rPr>
        <w:t> </w:t>
      </w:r>
      <w:bookmarkStart w:name="_bookmark186" w:id="342"/>
      <w:bookmarkEnd w:id="342"/>
      <w:r>
        <w:rPr>
          <w:color w:val="1153CC"/>
          <w:sz w:val="18"/>
          <w:u w:val="none"/>
          <w:vertAlign w:val="baseline"/>
        </w:rPr>
      </w:r>
      <w:hyperlink r:id="rId268">
        <w:r>
          <w:rPr>
            <w:color w:val="1153CC"/>
            <w:spacing w:val="-2"/>
            <w:sz w:val="18"/>
            <w:u w:val="single" w:color="1153CC"/>
            <w:vertAlign w:val="baseline"/>
          </w:rPr>
          <w:t>content/uploads/2022/01/TrevorProject_Public1.pd</w:t>
        </w:r>
      </w:hyperlink>
      <w:hyperlink r:id="rId268">
        <w:r>
          <w:rPr>
            <w:color w:val="1153CC"/>
            <w:spacing w:val="-2"/>
            <w:sz w:val="18"/>
            <w:u w:val="single" w:color="1153CC"/>
            <w:vertAlign w:val="baseline"/>
          </w:rPr>
          <w:t>f</w:t>
        </w:r>
        <w:r>
          <w:rPr>
            <w:spacing w:val="-2"/>
            <w:sz w:val="18"/>
            <w:u w:val="none"/>
            <w:vertAlign w:val="baseline"/>
          </w:rPr>
          <w:t>.</w:t>
        </w:r>
      </w:hyperlink>
    </w:p>
    <w:p>
      <w:pPr>
        <w:spacing w:before="0"/>
        <w:ind w:left="463" w:right="350" w:hanging="1"/>
        <w:jc w:val="left"/>
        <w:rPr>
          <w:sz w:val="18"/>
        </w:rPr>
      </w:pPr>
      <w:r>
        <w:rPr>
          <w:sz w:val="18"/>
          <w:vertAlign w:val="superscript"/>
        </w:rPr>
        <w:t>90</w:t>
      </w:r>
      <w:r>
        <w:rPr>
          <w:spacing w:val="-13"/>
          <w:sz w:val="18"/>
          <w:vertAlign w:val="baseline"/>
        </w:rPr>
        <w:t> </w:t>
      </w:r>
      <w:r>
        <w:rPr>
          <w:sz w:val="18"/>
          <w:vertAlign w:val="baseline"/>
        </w:rPr>
        <w:t>Kosciw,</w:t>
      </w:r>
      <w:r>
        <w:rPr>
          <w:spacing w:val="-4"/>
          <w:sz w:val="18"/>
          <w:vertAlign w:val="baseline"/>
        </w:rPr>
        <w:t> </w:t>
      </w:r>
      <w:r>
        <w:rPr>
          <w:sz w:val="18"/>
          <w:vertAlign w:val="baseline"/>
        </w:rPr>
        <w:t>Joseph,</w:t>
      </w:r>
      <w:r>
        <w:rPr>
          <w:spacing w:val="-3"/>
          <w:sz w:val="18"/>
          <w:vertAlign w:val="baseline"/>
        </w:rPr>
        <w:t> </w:t>
      </w:r>
      <w:r>
        <w:rPr>
          <w:sz w:val="18"/>
          <w:vertAlign w:val="baseline"/>
        </w:rPr>
        <w:t>Caitlin</w:t>
      </w:r>
      <w:r>
        <w:rPr>
          <w:spacing w:val="-2"/>
          <w:sz w:val="18"/>
          <w:vertAlign w:val="baseline"/>
        </w:rPr>
        <w:t> </w:t>
      </w:r>
      <w:r>
        <w:rPr>
          <w:sz w:val="18"/>
          <w:vertAlign w:val="baseline"/>
        </w:rPr>
        <w:t>Clark,</w:t>
      </w:r>
      <w:r>
        <w:rPr>
          <w:spacing w:val="-3"/>
          <w:sz w:val="18"/>
          <w:vertAlign w:val="baseline"/>
        </w:rPr>
        <w:t> </w:t>
      </w:r>
      <w:r>
        <w:rPr>
          <w:sz w:val="18"/>
          <w:vertAlign w:val="baseline"/>
        </w:rPr>
        <w:t>and</w:t>
      </w:r>
      <w:r>
        <w:rPr>
          <w:spacing w:val="-2"/>
          <w:sz w:val="18"/>
          <w:vertAlign w:val="baseline"/>
        </w:rPr>
        <w:t> </w:t>
      </w:r>
      <w:r>
        <w:rPr>
          <w:sz w:val="18"/>
          <w:vertAlign w:val="baseline"/>
        </w:rPr>
        <w:t>Leesh</w:t>
      </w:r>
      <w:r>
        <w:rPr>
          <w:spacing w:val="-2"/>
          <w:sz w:val="18"/>
          <w:vertAlign w:val="baseline"/>
        </w:rPr>
        <w:t> </w:t>
      </w:r>
      <w:r>
        <w:rPr>
          <w:sz w:val="18"/>
          <w:vertAlign w:val="baseline"/>
        </w:rPr>
        <w:t>Menard,</w:t>
      </w:r>
      <w:r>
        <w:rPr>
          <w:spacing w:val="-3"/>
          <w:sz w:val="18"/>
          <w:vertAlign w:val="baseline"/>
        </w:rPr>
        <w:t> </w:t>
      </w:r>
      <w:r>
        <w:rPr>
          <w:sz w:val="18"/>
          <w:vertAlign w:val="baseline"/>
        </w:rPr>
        <w:t>“The</w:t>
      </w:r>
      <w:r>
        <w:rPr>
          <w:spacing w:val="-2"/>
          <w:sz w:val="18"/>
          <w:vertAlign w:val="baseline"/>
        </w:rPr>
        <w:t> </w:t>
      </w:r>
      <w:r>
        <w:rPr>
          <w:sz w:val="18"/>
          <w:vertAlign w:val="baseline"/>
        </w:rPr>
        <w:t>2021</w:t>
      </w:r>
      <w:r>
        <w:rPr>
          <w:spacing w:val="-2"/>
          <w:sz w:val="18"/>
          <w:vertAlign w:val="baseline"/>
        </w:rPr>
        <w:t> </w:t>
      </w:r>
      <w:r>
        <w:rPr>
          <w:sz w:val="18"/>
          <w:vertAlign w:val="baseline"/>
        </w:rPr>
        <w:t>National</w:t>
      </w:r>
      <w:r>
        <w:rPr>
          <w:spacing w:val="-3"/>
          <w:sz w:val="18"/>
          <w:vertAlign w:val="baseline"/>
        </w:rPr>
        <w:t> </w:t>
      </w:r>
      <w:r>
        <w:rPr>
          <w:sz w:val="18"/>
          <w:vertAlign w:val="baseline"/>
        </w:rPr>
        <w:t>School</w:t>
      </w:r>
      <w:r>
        <w:rPr>
          <w:spacing w:val="-3"/>
          <w:sz w:val="18"/>
          <w:vertAlign w:val="baseline"/>
        </w:rPr>
        <w:t> </w:t>
      </w:r>
      <w:r>
        <w:rPr>
          <w:sz w:val="18"/>
          <w:vertAlign w:val="baseline"/>
        </w:rPr>
        <w:t>Climate</w:t>
      </w:r>
      <w:r>
        <w:rPr>
          <w:spacing w:val="-2"/>
          <w:sz w:val="18"/>
          <w:vertAlign w:val="baseline"/>
        </w:rPr>
        <w:t> </w:t>
      </w:r>
      <w:r>
        <w:rPr>
          <w:sz w:val="18"/>
          <w:vertAlign w:val="baseline"/>
        </w:rPr>
        <w:t>Survey:</w:t>
      </w:r>
      <w:r>
        <w:rPr>
          <w:spacing w:val="-2"/>
          <w:sz w:val="18"/>
          <w:vertAlign w:val="baseline"/>
        </w:rPr>
        <w:t> </w:t>
      </w:r>
      <w:r>
        <w:rPr>
          <w:sz w:val="18"/>
          <w:vertAlign w:val="baseline"/>
        </w:rPr>
        <w:t>The</w:t>
      </w:r>
      <w:r>
        <w:rPr>
          <w:spacing w:val="-2"/>
          <w:sz w:val="18"/>
          <w:vertAlign w:val="baseline"/>
        </w:rPr>
        <w:t> </w:t>
      </w:r>
      <w:r>
        <w:rPr>
          <w:sz w:val="18"/>
          <w:vertAlign w:val="baseline"/>
        </w:rPr>
        <w:t>Experiences</w:t>
      </w:r>
      <w:r>
        <w:rPr>
          <w:spacing w:val="-2"/>
          <w:sz w:val="18"/>
          <w:vertAlign w:val="baseline"/>
        </w:rPr>
        <w:t> </w:t>
      </w:r>
      <w:r>
        <w:rPr>
          <w:sz w:val="18"/>
          <w:vertAlign w:val="baseline"/>
        </w:rPr>
        <w:t>of</w:t>
      </w:r>
      <w:r>
        <w:rPr>
          <w:spacing w:val="-3"/>
          <w:sz w:val="18"/>
          <w:vertAlign w:val="baseline"/>
        </w:rPr>
        <w:t> </w:t>
      </w:r>
      <w:r>
        <w:rPr>
          <w:sz w:val="18"/>
          <w:vertAlign w:val="baseline"/>
        </w:rPr>
        <w:t>LGBTQ+</w:t>
      </w:r>
      <w:r>
        <w:rPr>
          <w:spacing w:val="-2"/>
          <w:sz w:val="18"/>
          <w:vertAlign w:val="baseline"/>
        </w:rPr>
        <w:t> </w:t>
      </w:r>
      <w:r>
        <w:rPr>
          <w:sz w:val="18"/>
          <w:vertAlign w:val="baseline"/>
        </w:rPr>
        <w:t>Youth in Our Nation’s Schools” (New York: Gay, Lesbian and Straight Education Network, 2022), </w:t>
      </w:r>
      <w:bookmarkStart w:name="_bookmark187" w:id="343"/>
      <w:bookmarkEnd w:id="343"/>
      <w:r>
        <w:rPr>
          <w:sz w:val="18"/>
          <w:vertAlign w:val="baseline"/>
        </w:rPr>
      </w:r>
      <w:hyperlink r:id="rId206">
        <w:r>
          <w:rPr>
            <w:color w:val="1153CC"/>
            <w:spacing w:val="-2"/>
            <w:sz w:val="18"/>
            <w:u w:val="single" w:color="1153CC"/>
            <w:vertAlign w:val="baseline"/>
          </w:rPr>
          <w:t>https://www.glsen.org/sites/default/files/2022-10/NSCS-2021-Full-Report.pd</w:t>
        </w:r>
      </w:hyperlink>
      <w:hyperlink r:id="rId206">
        <w:r>
          <w:rPr>
            <w:color w:val="1153CC"/>
            <w:spacing w:val="-2"/>
            <w:sz w:val="18"/>
            <w:u w:val="single" w:color="1153CC"/>
            <w:vertAlign w:val="baseline"/>
          </w:rPr>
          <w:t>f</w:t>
        </w:r>
        <w:r>
          <w:rPr>
            <w:spacing w:val="-2"/>
            <w:sz w:val="18"/>
            <w:u w:val="none"/>
            <w:vertAlign w:val="baseline"/>
          </w:rPr>
          <w:t>.</w:t>
        </w:r>
      </w:hyperlink>
    </w:p>
    <w:p>
      <w:pPr>
        <w:spacing w:before="0"/>
        <w:ind w:left="463" w:right="254" w:firstLine="0"/>
        <w:jc w:val="left"/>
        <w:rPr>
          <w:sz w:val="18"/>
        </w:rPr>
      </w:pPr>
      <w:r>
        <w:rPr>
          <w:sz w:val="18"/>
          <w:vertAlign w:val="superscript"/>
        </w:rPr>
        <w:t>91</w:t>
      </w:r>
      <w:r>
        <w:rPr>
          <w:spacing w:val="-13"/>
          <w:sz w:val="18"/>
          <w:vertAlign w:val="baseline"/>
        </w:rPr>
        <w:t> </w:t>
      </w:r>
      <w:r>
        <w:rPr>
          <w:sz w:val="18"/>
          <w:vertAlign w:val="baseline"/>
        </w:rPr>
        <w:t>The</w:t>
      </w:r>
      <w:r>
        <w:rPr>
          <w:spacing w:val="-5"/>
          <w:sz w:val="18"/>
          <w:vertAlign w:val="baseline"/>
        </w:rPr>
        <w:t> </w:t>
      </w:r>
      <w:r>
        <w:rPr>
          <w:sz w:val="18"/>
          <w:vertAlign w:val="baseline"/>
        </w:rPr>
        <w:t>Trevor</w:t>
      </w:r>
      <w:r>
        <w:rPr>
          <w:spacing w:val="-4"/>
          <w:sz w:val="18"/>
          <w:vertAlign w:val="baseline"/>
        </w:rPr>
        <w:t> </w:t>
      </w:r>
      <w:r>
        <w:rPr>
          <w:sz w:val="18"/>
          <w:vertAlign w:val="baseline"/>
        </w:rPr>
        <w:t>Project.</w:t>
      </w:r>
      <w:r>
        <w:rPr>
          <w:spacing w:val="-3"/>
          <w:sz w:val="18"/>
          <w:vertAlign w:val="baseline"/>
        </w:rPr>
        <w:t> </w:t>
      </w:r>
      <w:r>
        <w:rPr>
          <w:sz w:val="18"/>
          <w:vertAlign w:val="baseline"/>
        </w:rPr>
        <w:t>“Trauma</w:t>
      </w:r>
      <w:r>
        <w:rPr>
          <w:spacing w:val="-3"/>
          <w:sz w:val="18"/>
          <w:vertAlign w:val="baseline"/>
        </w:rPr>
        <w:t> </w:t>
      </w:r>
      <w:r>
        <w:rPr>
          <w:sz w:val="18"/>
          <w:vertAlign w:val="baseline"/>
        </w:rPr>
        <w:t>and</w:t>
      </w:r>
      <w:r>
        <w:rPr>
          <w:spacing w:val="-3"/>
          <w:sz w:val="18"/>
          <w:vertAlign w:val="baseline"/>
        </w:rPr>
        <w:t> </w:t>
      </w:r>
      <w:r>
        <w:rPr>
          <w:sz w:val="18"/>
          <w:vertAlign w:val="baseline"/>
        </w:rPr>
        <w:t>Suicide</w:t>
      </w:r>
      <w:r>
        <w:rPr>
          <w:spacing w:val="-3"/>
          <w:sz w:val="18"/>
          <w:vertAlign w:val="baseline"/>
        </w:rPr>
        <w:t> </w:t>
      </w:r>
      <w:r>
        <w:rPr>
          <w:sz w:val="18"/>
          <w:vertAlign w:val="baseline"/>
        </w:rPr>
        <w:t>Risk</w:t>
      </w:r>
      <w:r>
        <w:rPr>
          <w:spacing w:val="-4"/>
          <w:sz w:val="18"/>
          <w:vertAlign w:val="baseline"/>
        </w:rPr>
        <w:t> </w:t>
      </w:r>
      <w:r>
        <w:rPr>
          <w:sz w:val="18"/>
          <w:vertAlign w:val="baseline"/>
        </w:rPr>
        <w:t>Among</w:t>
      </w:r>
      <w:r>
        <w:rPr>
          <w:spacing w:val="-3"/>
          <w:sz w:val="18"/>
          <w:vertAlign w:val="baseline"/>
        </w:rPr>
        <w:t> </w:t>
      </w:r>
      <w:r>
        <w:rPr>
          <w:sz w:val="18"/>
          <w:vertAlign w:val="baseline"/>
        </w:rPr>
        <w:t>LGBTQ</w:t>
      </w:r>
      <w:r>
        <w:rPr>
          <w:spacing w:val="-4"/>
          <w:sz w:val="18"/>
          <w:vertAlign w:val="baseline"/>
        </w:rPr>
        <w:t> </w:t>
      </w:r>
      <w:r>
        <w:rPr>
          <w:sz w:val="18"/>
          <w:vertAlign w:val="baseline"/>
        </w:rPr>
        <w:t>Youth,”</w:t>
      </w:r>
      <w:r>
        <w:rPr>
          <w:spacing w:val="-3"/>
          <w:sz w:val="18"/>
          <w:vertAlign w:val="baseline"/>
        </w:rPr>
        <w:t> </w:t>
      </w:r>
      <w:r>
        <w:rPr>
          <w:sz w:val="18"/>
          <w:vertAlign w:val="baseline"/>
        </w:rPr>
        <w:t>July</w:t>
      </w:r>
      <w:r>
        <w:rPr>
          <w:spacing w:val="-3"/>
          <w:sz w:val="18"/>
          <w:vertAlign w:val="baseline"/>
        </w:rPr>
        <w:t> </w:t>
      </w:r>
      <w:r>
        <w:rPr>
          <w:sz w:val="18"/>
          <w:vertAlign w:val="baseline"/>
        </w:rPr>
        <w:t>28,</w:t>
      </w:r>
      <w:r>
        <w:rPr>
          <w:spacing w:val="-4"/>
          <w:sz w:val="18"/>
          <w:vertAlign w:val="baseline"/>
        </w:rPr>
        <w:t> </w:t>
      </w:r>
      <w:r>
        <w:rPr>
          <w:sz w:val="18"/>
          <w:vertAlign w:val="baseline"/>
        </w:rPr>
        <w:t>2022.</w:t>
      </w:r>
      <w:r>
        <w:rPr>
          <w:spacing w:val="-3"/>
          <w:sz w:val="18"/>
          <w:vertAlign w:val="baseline"/>
        </w:rPr>
        <w:t> </w:t>
      </w:r>
      <w:hyperlink r:id="rId195">
        <w:r>
          <w:rPr>
            <w:color w:val="1153CC"/>
            <w:sz w:val="18"/>
            <w:u w:val="single" w:color="1153CC"/>
            <w:vertAlign w:val="baseline"/>
          </w:rPr>
          <w:t>https://www.thetrevorproject.org/research-</w:t>
        </w:r>
      </w:hyperlink>
      <w:r>
        <w:rPr>
          <w:color w:val="1153CC"/>
          <w:sz w:val="18"/>
          <w:u w:val="none"/>
          <w:vertAlign w:val="baseline"/>
        </w:rPr>
        <w:t> </w:t>
      </w:r>
      <w:bookmarkStart w:name="_bookmark188" w:id="344"/>
      <w:bookmarkEnd w:id="344"/>
      <w:r>
        <w:rPr>
          <w:color w:val="1153CC"/>
          <w:sz w:val="18"/>
          <w:u w:val="none"/>
          <w:vertAlign w:val="baseline"/>
        </w:rPr>
      </w:r>
      <w:hyperlink r:id="rId195">
        <w:r>
          <w:rPr>
            <w:color w:val="1153CC"/>
            <w:spacing w:val="-2"/>
            <w:sz w:val="18"/>
            <w:u w:val="single" w:color="1153CC"/>
            <w:vertAlign w:val="baseline"/>
          </w:rPr>
          <w:t>briefs/trauma-and-suicide-risk-among-lgbtq-youth-july-2022/</w:t>
        </w:r>
      </w:hyperlink>
      <w:hyperlink r:id="rId195">
        <w:r>
          <w:rPr>
            <w:spacing w:val="-2"/>
            <w:sz w:val="18"/>
            <w:u w:val="none"/>
            <w:vertAlign w:val="baseline"/>
          </w:rPr>
          <w:t>.</w:t>
        </w:r>
      </w:hyperlink>
    </w:p>
    <w:p>
      <w:pPr>
        <w:spacing w:before="0"/>
        <w:ind w:left="463" w:right="290" w:hanging="1"/>
        <w:jc w:val="left"/>
        <w:rPr>
          <w:sz w:val="18"/>
        </w:rPr>
      </w:pPr>
      <w:r>
        <w:rPr>
          <w:sz w:val="18"/>
          <w:vertAlign w:val="superscript"/>
        </w:rPr>
        <w:t>92</w:t>
      </w:r>
      <w:r>
        <w:rPr>
          <w:spacing w:val="-13"/>
          <w:sz w:val="18"/>
          <w:vertAlign w:val="baseline"/>
        </w:rPr>
        <w:t> </w:t>
      </w:r>
      <w:r>
        <w:rPr>
          <w:sz w:val="18"/>
          <w:vertAlign w:val="baseline"/>
        </w:rPr>
        <w:t>Fulginiti,</w:t>
      </w:r>
      <w:r>
        <w:rPr>
          <w:spacing w:val="-4"/>
          <w:sz w:val="18"/>
          <w:vertAlign w:val="baseline"/>
        </w:rPr>
        <w:t> </w:t>
      </w:r>
      <w:r>
        <w:rPr>
          <w:sz w:val="18"/>
          <w:vertAlign w:val="baseline"/>
        </w:rPr>
        <w:t>Anthony,</w:t>
      </w:r>
      <w:r>
        <w:rPr>
          <w:spacing w:val="-3"/>
          <w:sz w:val="18"/>
          <w:vertAlign w:val="baseline"/>
        </w:rPr>
        <w:t> </w:t>
      </w:r>
      <w:r>
        <w:rPr>
          <w:sz w:val="18"/>
          <w:vertAlign w:val="baseline"/>
        </w:rPr>
        <w:t>Harmony</w:t>
      </w:r>
      <w:r>
        <w:rPr>
          <w:spacing w:val="-2"/>
          <w:sz w:val="18"/>
          <w:vertAlign w:val="baseline"/>
        </w:rPr>
        <w:t> </w:t>
      </w:r>
      <w:r>
        <w:rPr>
          <w:sz w:val="18"/>
          <w:vertAlign w:val="baseline"/>
        </w:rPr>
        <w:t>Rhoades,</w:t>
      </w:r>
      <w:r>
        <w:rPr>
          <w:spacing w:val="-3"/>
          <w:sz w:val="18"/>
          <w:vertAlign w:val="baseline"/>
        </w:rPr>
        <w:t> </w:t>
      </w:r>
      <w:r>
        <w:rPr>
          <w:sz w:val="18"/>
          <w:vertAlign w:val="baseline"/>
        </w:rPr>
        <w:t>Mary</w:t>
      </w:r>
      <w:r>
        <w:rPr>
          <w:spacing w:val="-2"/>
          <w:sz w:val="18"/>
          <w:vertAlign w:val="baseline"/>
        </w:rPr>
        <w:t> </w:t>
      </w:r>
      <w:r>
        <w:rPr>
          <w:sz w:val="18"/>
          <w:vertAlign w:val="baseline"/>
        </w:rPr>
        <w:t>Rose</w:t>
      </w:r>
      <w:r>
        <w:rPr>
          <w:spacing w:val="-2"/>
          <w:sz w:val="18"/>
          <w:vertAlign w:val="baseline"/>
        </w:rPr>
        <w:t> </w:t>
      </w:r>
      <w:r>
        <w:rPr>
          <w:sz w:val="18"/>
          <w:vertAlign w:val="baseline"/>
        </w:rPr>
        <w:t>Mamey,</w:t>
      </w:r>
      <w:r>
        <w:rPr>
          <w:spacing w:val="-3"/>
          <w:sz w:val="18"/>
          <w:vertAlign w:val="baseline"/>
        </w:rPr>
        <w:t> </w:t>
      </w:r>
      <w:r>
        <w:rPr>
          <w:sz w:val="18"/>
          <w:vertAlign w:val="baseline"/>
        </w:rPr>
        <w:t>Cary</w:t>
      </w:r>
      <w:r>
        <w:rPr>
          <w:spacing w:val="-2"/>
          <w:sz w:val="18"/>
          <w:vertAlign w:val="baseline"/>
        </w:rPr>
        <w:t> </w:t>
      </w:r>
      <w:r>
        <w:rPr>
          <w:sz w:val="18"/>
          <w:vertAlign w:val="baseline"/>
        </w:rPr>
        <w:t>Klemmer,</w:t>
      </w:r>
      <w:r>
        <w:rPr>
          <w:spacing w:val="-3"/>
          <w:sz w:val="18"/>
          <w:vertAlign w:val="baseline"/>
        </w:rPr>
        <w:t> </w:t>
      </w:r>
      <w:r>
        <w:rPr>
          <w:sz w:val="18"/>
          <w:vertAlign w:val="baseline"/>
        </w:rPr>
        <w:t>Ankur</w:t>
      </w:r>
      <w:r>
        <w:rPr>
          <w:spacing w:val="-3"/>
          <w:sz w:val="18"/>
          <w:vertAlign w:val="baseline"/>
        </w:rPr>
        <w:t> </w:t>
      </w:r>
      <w:r>
        <w:rPr>
          <w:sz w:val="18"/>
          <w:vertAlign w:val="baseline"/>
        </w:rPr>
        <w:t>Srivastava,</w:t>
      </w:r>
      <w:r>
        <w:rPr>
          <w:spacing w:val="-3"/>
          <w:sz w:val="18"/>
          <w:vertAlign w:val="baseline"/>
        </w:rPr>
        <w:t> </w:t>
      </w:r>
      <w:r>
        <w:rPr>
          <w:sz w:val="18"/>
          <w:vertAlign w:val="baseline"/>
        </w:rPr>
        <w:t>Garrett</w:t>
      </w:r>
      <w:r>
        <w:rPr>
          <w:spacing w:val="-3"/>
          <w:sz w:val="18"/>
          <w:vertAlign w:val="baseline"/>
        </w:rPr>
        <w:t> </w:t>
      </w:r>
      <w:r>
        <w:rPr>
          <w:sz w:val="18"/>
          <w:vertAlign w:val="baseline"/>
        </w:rPr>
        <w:t>Weskamp,</w:t>
      </w:r>
      <w:r>
        <w:rPr>
          <w:spacing w:val="-3"/>
          <w:sz w:val="18"/>
          <w:vertAlign w:val="baseline"/>
        </w:rPr>
        <w:t> </w:t>
      </w:r>
      <w:r>
        <w:rPr>
          <w:sz w:val="18"/>
          <w:vertAlign w:val="baseline"/>
        </w:rPr>
        <w:t>and</w:t>
      </w:r>
      <w:r>
        <w:rPr>
          <w:spacing w:val="-2"/>
          <w:sz w:val="18"/>
          <w:vertAlign w:val="baseline"/>
        </w:rPr>
        <w:t> </w:t>
      </w:r>
      <w:r>
        <w:rPr>
          <w:sz w:val="18"/>
          <w:vertAlign w:val="baseline"/>
        </w:rPr>
        <w:t>Jeremy</w:t>
      </w:r>
      <w:r>
        <w:rPr>
          <w:spacing w:val="-2"/>
          <w:sz w:val="18"/>
          <w:vertAlign w:val="baseline"/>
        </w:rPr>
        <w:t> </w:t>
      </w:r>
      <w:r>
        <w:rPr>
          <w:sz w:val="18"/>
          <w:vertAlign w:val="baseline"/>
        </w:rPr>
        <w:t>T. Goldbach. “Sexual Minority Stress, Mental Health Symptoms, and Suicidality among LGBTQ Youth Accessing Crisis Services.” </w:t>
      </w:r>
      <w:r>
        <w:rPr>
          <w:i/>
          <w:sz w:val="18"/>
          <w:vertAlign w:val="baseline"/>
        </w:rPr>
        <w:t>Journal of Youth and Adolescence </w:t>
      </w:r>
      <w:r>
        <w:rPr>
          <w:sz w:val="18"/>
          <w:vertAlign w:val="baseline"/>
        </w:rPr>
        <w:t>50, no. 5 (May 1, 2021): 893–905. </w:t>
      </w:r>
      <w:hyperlink r:id="rId201">
        <w:r>
          <w:rPr>
            <w:color w:val="1153CC"/>
            <w:sz w:val="18"/>
            <w:u w:val="single" w:color="1153CC"/>
            <w:vertAlign w:val="baseline"/>
          </w:rPr>
          <w:t>https://doi.org/10.1007/s10964-020-01354-3</w:t>
        </w:r>
      </w:hyperlink>
      <w:hyperlink r:id="rId201">
        <w:r>
          <w:rPr>
            <w:sz w:val="18"/>
            <w:u w:val="none"/>
            <w:vertAlign w:val="baseline"/>
          </w:rPr>
          <w:t>.</w:t>
        </w:r>
      </w:hyperlink>
    </w:p>
    <w:p>
      <w:pPr>
        <w:spacing w:before="0"/>
        <w:ind w:left="463" w:right="244" w:firstLine="0"/>
        <w:jc w:val="left"/>
        <w:rPr>
          <w:sz w:val="18"/>
        </w:rPr>
      </w:pPr>
      <w:r>
        <w:rPr>
          <w:sz w:val="18"/>
          <w:vertAlign w:val="superscript"/>
        </w:rPr>
        <w:t>93</w:t>
      </w:r>
      <w:r>
        <w:rPr>
          <w:spacing w:val="-10"/>
          <w:sz w:val="18"/>
          <w:vertAlign w:val="baseline"/>
        </w:rPr>
        <w:t> </w:t>
      </w:r>
      <w:r>
        <w:rPr>
          <w:sz w:val="18"/>
          <w:vertAlign w:val="baseline"/>
        </w:rPr>
        <w:t>Poteat, V. Paul, Jerel P. Calzo, Hirokazu Yoshikawa, Arthur Lipkin, Christopher J. Ceccolini, Sarah B. Rosenbach, Michael D. O’Brien,</w:t>
      </w:r>
      <w:r>
        <w:rPr>
          <w:spacing w:val="-3"/>
          <w:sz w:val="18"/>
          <w:vertAlign w:val="baseline"/>
        </w:rPr>
        <w:t> </w:t>
      </w:r>
      <w:r>
        <w:rPr>
          <w:sz w:val="18"/>
          <w:vertAlign w:val="baseline"/>
        </w:rPr>
        <w:t>Robert</w:t>
      </w:r>
      <w:r>
        <w:rPr>
          <w:spacing w:val="-1"/>
          <w:sz w:val="18"/>
          <w:vertAlign w:val="baseline"/>
        </w:rPr>
        <w:t> </w:t>
      </w:r>
      <w:r>
        <w:rPr>
          <w:sz w:val="18"/>
          <w:vertAlign w:val="baseline"/>
        </w:rPr>
        <w:t>A.</w:t>
      </w:r>
      <w:r>
        <w:rPr>
          <w:spacing w:val="-2"/>
          <w:sz w:val="18"/>
          <w:vertAlign w:val="baseline"/>
        </w:rPr>
        <w:t> </w:t>
      </w:r>
      <w:r>
        <w:rPr>
          <w:sz w:val="18"/>
          <w:vertAlign w:val="baseline"/>
        </w:rPr>
        <w:t>Marx,</w:t>
      </w:r>
      <w:r>
        <w:rPr>
          <w:spacing w:val="-3"/>
          <w:sz w:val="18"/>
          <w:vertAlign w:val="baseline"/>
        </w:rPr>
        <w:t> </w:t>
      </w:r>
      <w:r>
        <w:rPr>
          <w:sz w:val="18"/>
          <w:vertAlign w:val="baseline"/>
        </w:rPr>
        <w:t>Gabriel</w:t>
      </w:r>
      <w:r>
        <w:rPr>
          <w:spacing w:val="-3"/>
          <w:sz w:val="18"/>
          <w:vertAlign w:val="baseline"/>
        </w:rPr>
        <w:t> </w:t>
      </w:r>
      <w:r>
        <w:rPr>
          <w:sz w:val="18"/>
          <w:vertAlign w:val="baseline"/>
        </w:rPr>
        <w:t>R.</w:t>
      </w:r>
      <w:r>
        <w:rPr>
          <w:spacing w:val="-2"/>
          <w:sz w:val="18"/>
          <w:vertAlign w:val="baseline"/>
        </w:rPr>
        <w:t> </w:t>
      </w:r>
      <w:r>
        <w:rPr>
          <w:sz w:val="18"/>
          <w:vertAlign w:val="baseline"/>
        </w:rPr>
        <w:t>Murchison,</w:t>
      </w:r>
      <w:r>
        <w:rPr>
          <w:spacing w:val="-3"/>
          <w:sz w:val="18"/>
          <w:vertAlign w:val="baseline"/>
        </w:rPr>
        <w:t> </w:t>
      </w:r>
      <w:r>
        <w:rPr>
          <w:sz w:val="18"/>
          <w:vertAlign w:val="baseline"/>
        </w:rPr>
        <w:t>and</w:t>
      </w:r>
      <w:r>
        <w:rPr>
          <w:spacing w:val="-2"/>
          <w:sz w:val="18"/>
          <w:vertAlign w:val="baseline"/>
        </w:rPr>
        <w:t> </w:t>
      </w:r>
      <w:r>
        <w:rPr>
          <w:sz w:val="18"/>
          <w:vertAlign w:val="baseline"/>
        </w:rPr>
        <w:t>Esther</w:t>
      </w:r>
      <w:r>
        <w:rPr>
          <w:spacing w:val="-3"/>
          <w:sz w:val="18"/>
          <w:vertAlign w:val="baseline"/>
        </w:rPr>
        <w:t> </w:t>
      </w:r>
      <w:r>
        <w:rPr>
          <w:sz w:val="18"/>
          <w:vertAlign w:val="baseline"/>
        </w:rPr>
        <w:t>Burson.</w:t>
      </w:r>
      <w:r>
        <w:rPr>
          <w:spacing w:val="-2"/>
          <w:sz w:val="18"/>
          <w:vertAlign w:val="baseline"/>
        </w:rPr>
        <w:t> </w:t>
      </w:r>
      <w:r>
        <w:rPr>
          <w:sz w:val="18"/>
          <w:vertAlign w:val="baseline"/>
        </w:rPr>
        <w:t>“Greater</w:t>
      </w:r>
      <w:r>
        <w:rPr>
          <w:spacing w:val="-3"/>
          <w:sz w:val="18"/>
          <w:vertAlign w:val="baseline"/>
        </w:rPr>
        <w:t> </w:t>
      </w:r>
      <w:r>
        <w:rPr>
          <w:sz w:val="18"/>
          <w:vertAlign w:val="baseline"/>
        </w:rPr>
        <w:t>Engagement</w:t>
      </w:r>
      <w:r>
        <w:rPr>
          <w:spacing w:val="-3"/>
          <w:sz w:val="18"/>
          <w:vertAlign w:val="baseline"/>
        </w:rPr>
        <w:t> </w:t>
      </w:r>
      <w:r>
        <w:rPr>
          <w:sz w:val="18"/>
          <w:vertAlign w:val="baseline"/>
        </w:rPr>
        <w:t>in</w:t>
      </w:r>
      <w:r>
        <w:rPr>
          <w:spacing w:val="-2"/>
          <w:sz w:val="18"/>
          <w:vertAlign w:val="baseline"/>
        </w:rPr>
        <w:t> </w:t>
      </w:r>
      <w:r>
        <w:rPr>
          <w:sz w:val="18"/>
          <w:vertAlign w:val="baseline"/>
        </w:rPr>
        <w:t>Gender-Sexuality</w:t>
      </w:r>
      <w:r>
        <w:rPr>
          <w:spacing w:val="-2"/>
          <w:sz w:val="18"/>
          <w:vertAlign w:val="baseline"/>
        </w:rPr>
        <w:t> </w:t>
      </w:r>
      <w:r>
        <w:rPr>
          <w:sz w:val="18"/>
          <w:vertAlign w:val="baseline"/>
        </w:rPr>
        <w:t>Alliances</w:t>
      </w:r>
      <w:r>
        <w:rPr>
          <w:spacing w:val="-2"/>
          <w:sz w:val="18"/>
          <w:vertAlign w:val="baseline"/>
        </w:rPr>
        <w:t> </w:t>
      </w:r>
      <w:r>
        <w:rPr>
          <w:sz w:val="18"/>
          <w:vertAlign w:val="baseline"/>
        </w:rPr>
        <w:t>(GSAs)</w:t>
      </w:r>
      <w:r>
        <w:rPr>
          <w:spacing w:val="-2"/>
          <w:sz w:val="18"/>
          <w:vertAlign w:val="baseline"/>
        </w:rPr>
        <w:t> </w:t>
      </w:r>
      <w:r>
        <w:rPr>
          <w:sz w:val="18"/>
          <w:vertAlign w:val="baseline"/>
        </w:rPr>
        <w:t>and GSA Characteristics Predict Youth Empowerment and Reduced Mental Health Concerns.” </w:t>
      </w:r>
      <w:r>
        <w:rPr>
          <w:i/>
          <w:sz w:val="18"/>
          <w:vertAlign w:val="baseline"/>
        </w:rPr>
        <w:t>Child Development </w:t>
      </w:r>
      <w:r>
        <w:rPr>
          <w:sz w:val="18"/>
          <w:vertAlign w:val="baseline"/>
        </w:rPr>
        <w:t>91, no. 5</w:t>
      </w:r>
      <w:r>
        <w:rPr>
          <w:spacing w:val="40"/>
          <w:sz w:val="18"/>
          <w:vertAlign w:val="baseline"/>
        </w:rPr>
        <w:t> </w:t>
      </w:r>
      <w:r>
        <w:rPr>
          <w:sz w:val="18"/>
          <w:vertAlign w:val="baseline"/>
        </w:rPr>
        <w:t>(September 2020): 1509–28. </w:t>
      </w:r>
      <w:hyperlink r:id="rId243">
        <w:r>
          <w:rPr>
            <w:color w:val="1153CC"/>
            <w:sz w:val="18"/>
            <w:u w:val="single" w:color="1153CC"/>
            <w:vertAlign w:val="baseline"/>
          </w:rPr>
          <w:t>https://doi.org/10.1111/cdev.13345</w:t>
        </w:r>
      </w:hyperlink>
      <w:hyperlink r:id="rId243">
        <w:r>
          <w:rPr>
            <w:sz w:val="18"/>
            <w:u w:val="none"/>
            <w:vertAlign w:val="baseline"/>
          </w:rPr>
          <w:t>.</w:t>
        </w:r>
      </w:hyperlink>
    </w:p>
    <w:p>
      <w:pPr>
        <w:spacing w:before="0"/>
        <w:ind w:left="463" w:right="350" w:hanging="1"/>
        <w:jc w:val="left"/>
        <w:rPr>
          <w:sz w:val="18"/>
        </w:rPr>
      </w:pPr>
      <w:bookmarkStart w:name="_bookmark189" w:id="345"/>
      <w:bookmarkEnd w:id="345"/>
      <w:r>
        <w:rPr/>
      </w:r>
      <w:r>
        <w:rPr>
          <w:sz w:val="18"/>
          <w:vertAlign w:val="superscript"/>
        </w:rPr>
        <w:t>94</w:t>
      </w:r>
      <w:r>
        <w:rPr>
          <w:spacing w:val="-8"/>
          <w:sz w:val="18"/>
          <w:vertAlign w:val="baseline"/>
        </w:rPr>
        <w:t> </w:t>
      </w:r>
      <w:r>
        <w:rPr>
          <w:sz w:val="18"/>
          <w:vertAlign w:val="baseline"/>
        </w:rPr>
        <w:t>Zullo, Lucas, Ilana Seager van Dyk, Elizabeth Ollen, Natalie Ramos, Joan Asarnow, and Jeanne Miranda. “Treatment Recommendations</w:t>
      </w:r>
      <w:r>
        <w:rPr>
          <w:spacing w:val="-2"/>
          <w:sz w:val="18"/>
          <w:vertAlign w:val="baseline"/>
        </w:rPr>
        <w:t> </w:t>
      </w:r>
      <w:r>
        <w:rPr>
          <w:sz w:val="18"/>
          <w:vertAlign w:val="baseline"/>
        </w:rPr>
        <w:t>and</w:t>
      </w:r>
      <w:r>
        <w:rPr>
          <w:spacing w:val="-3"/>
          <w:sz w:val="18"/>
          <w:vertAlign w:val="baseline"/>
        </w:rPr>
        <w:t> </w:t>
      </w:r>
      <w:r>
        <w:rPr>
          <w:sz w:val="18"/>
          <w:vertAlign w:val="baseline"/>
        </w:rPr>
        <w:t>Barriers</w:t>
      </w:r>
      <w:r>
        <w:rPr>
          <w:spacing w:val="-2"/>
          <w:sz w:val="18"/>
          <w:vertAlign w:val="baseline"/>
        </w:rPr>
        <w:t> </w:t>
      </w:r>
      <w:r>
        <w:rPr>
          <w:sz w:val="18"/>
          <w:vertAlign w:val="baseline"/>
        </w:rPr>
        <w:t>to</w:t>
      </w:r>
      <w:r>
        <w:rPr>
          <w:spacing w:val="-3"/>
          <w:sz w:val="18"/>
          <w:vertAlign w:val="baseline"/>
        </w:rPr>
        <w:t> </w:t>
      </w:r>
      <w:r>
        <w:rPr>
          <w:sz w:val="18"/>
          <w:vertAlign w:val="baseline"/>
        </w:rPr>
        <w:t>Care</w:t>
      </w:r>
      <w:r>
        <w:rPr>
          <w:spacing w:val="-2"/>
          <w:sz w:val="18"/>
          <w:vertAlign w:val="baseline"/>
        </w:rPr>
        <w:t> </w:t>
      </w:r>
      <w:r>
        <w:rPr>
          <w:sz w:val="18"/>
          <w:vertAlign w:val="baseline"/>
        </w:rPr>
        <w:t>for</w:t>
      </w:r>
      <w:r>
        <w:rPr>
          <w:spacing w:val="-3"/>
          <w:sz w:val="18"/>
          <w:vertAlign w:val="baseline"/>
        </w:rPr>
        <w:t> </w:t>
      </w:r>
      <w:r>
        <w:rPr>
          <w:sz w:val="18"/>
          <w:vertAlign w:val="baseline"/>
        </w:rPr>
        <w:t>Suicidal</w:t>
      </w:r>
      <w:r>
        <w:rPr>
          <w:spacing w:val="-3"/>
          <w:sz w:val="18"/>
          <w:vertAlign w:val="baseline"/>
        </w:rPr>
        <w:t> </w:t>
      </w:r>
      <w:r>
        <w:rPr>
          <w:sz w:val="18"/>
          <w:vertAlign w:val="baseline"/>
        </w:rPr>
        <w:t>LGBTQ</w:t>
      </w:r>
      <w:r>
        <w:rPr>
          <w:spacing w:val="-2"/>
          <w:sz w:val="18"/>
          <w:vertAlign w:val="baseline"/>
        </w:rPr>
        <w:t> </w:t>
      </w:r>
      <w:r>
        <w:rPr>
          <w:sz w:val="18"/>
          <w:vertAlign w:val="baseline"/>
        </w:rPr>
        <w:t>Youth:</w:t>
      </w:r>
      <w:r>
        <w:rPr>
          <w:spacing w:val="-4"/>
          <w:sz w:val="18"/>
          <w:vertAlign w:val="baseline"/>
        </w:rPr>
        <w:t> </w:t>
      </w:r>
      <w:r>
        <w:rPr>
          <w:sz w:val="18"/>
          <w:vertAlign w:val="baseline"/>
        </w:rPr>
        <w:t>A</w:t>
      </w:r>
      <w:r>
        <w:rPr>
          <w:spacing w:val="-2"/>
          <w:sz w:val="18"/>
          <w:vertAlign w:val="baseline"/>
        </w:rPr>
        <w:t> </w:t>
      </w:r>
      <w:r>
        <w:rPr>
          <w:sz w:val="18"/>
          <w:vertAlign w:val="baseline"/>
        </w:rPr>
        <w:t>Quality</w:t>
      </w:r>
      <w:r>
        <w:rPr>
          <w:spacing w:val="-3"/>
          <w:sz w:val="18"/>
          <w:vertAlign w:val="baseline"/>
        </w:rPr>
        <w:t> </w:t>
      </w:r>
      <w:r>
        <w:rPr>
          <w:sz w:val="18"/>
          <w:vertAlign w:val="baseline"/>
        </w:rPr>
        <w:t>Improvement</w:t>
      </w:r>
      <w:r>
        <w:rPr>
          <w:spacing w:val="-3"/>
          <w:sz w:val="18"/>
          <w:vertAlign w:val="baseline"/>
        </w:rPr>
        <w:t> </w:t>
      </w:r>
      <w:r>
        <w:rPr>
          <w:sz w:val="18"/>
          <w:vertAlign w:val="baseline"/>
        </w:rPr>
        <w:t>Study.”</w:t>
      </w:r>
      <w:r>
        <w:rPr>
          <w:spacing w:val="-4"/>
          <w:sz w:val="18"/>
          <w:vertAlign w:val="baseline"/>
        </w:rPr>
        <w:t> </w:t>
      </w:r>
      <w:r>
        <w:rPr>
          <w:i/>
          <w:sz w:val="18"/>
          <w:vertAlign w:val="baseline"/>
        </w:rPr>
        <w:t>Evidence-Based</w:t>
      </w:r>
      <w:r>
        <w:rPr>
          <w:i/>
          <w:spacing w:val="-2"/>
          <w:sz w:val="18"/>
          <w:vertAlign w:val="baseline"/>
        </w:rPr>
        <w:t> </w:t>
      </w:r>
      <w:r>
        <w:rPr>
          <w:i/>
          <w:sz w:val="18"/>
          <w:vertAlign w:val="baseline"/>
        </w:rPr>
        <w:t>Practice</w:t>
      </w:r>
      <w:r>
        <w:rPr>
          <w:i/>
          <w:spacing w:val="-3"/>
          <w:sz w:val="18"/>
          <w:vertAlign w:val="baseline"/>
        </w:rPr>
        <w:t> </w:t>
      </w:r>
      <w:r>
        <w:rPr>
          <w:i/>
          <w:sz w:val="18"/>
          <w:vertAlign w:val="baseline"/>
        </w:rPr>
        <w:t>in</w:t>
      </w:r>
      <w:r>
        <w:rPr>
          <w:i/>
          <w:sz w:val="18"/>
          <w:vertAlign w:val="baseline"/>
        </w:rPr>
        <w:t> Child and Adolescent Mental Health </w:t>
      </w:r>
      <w:r>
        <w:rPr>
          <w:sz w:val="18"/>
          <w:vertAlign w:val="baseline"/>
        </w:rPr>
        <w:t>6, no. 3 (July 3, 2021): 393–409. </w:t>
      </w:r>
      <w:hyperlink r:id="rId269">
        <w:r>
          <w:rPr>
            <w:color w:val="1153CC"/>
            <w:sz w:val="18"/>
            <w:u w:val="single" w:color="1153CC"/>
            <w:vertAlign w:val="baseline"/>
          </w:rPr>
          <w:t>https://doi.org/10.1080/23794925.2021.1950079</w:t>
        </w:r>
      </w:hyperlink>
      <w:hyperlink r:id="rId269">
        <w:r>
          <w:rPr>
            <w:sz w:val="18"/>
            <w:u w:val="none"/>
            <w:vertAlign w:val="baseline"/>
          </w:rPr>
          <w:t>.</w:t>
        </w:r>
      </w:hyperlink>
    </w:p>
    <w:p>
      <w:pPr>
        <w:spacing w:before="0"/>
        <w:ind w:left="463" w:right="254" w:firstLine="0"/>
        <w:jc w:val="left"/>
        <w:rPr>
          <w:sz w:val="18"/>
        </w:rPr>
      </w:pPr>
      <w:bookmarkStart w:name="_bookmark190" w:id="346"/>
      <w:bookmarkEnd w:id="346"/>
      <w:r>
        <w:rPr/>
      </w:r>
      <w:r>
        <w:rPr>
          <w:sz w:val="18"/>
          <w:vertAlign w:val="superscript"/>
        </w:rPr>
        <w:t>95</w:t>
      </w:r>
      <w:r>
        <w:rPr>
          <w:spacing w:val="-13"/>
          <w:sz w:val="18"/>
          <w:vertAlign w:val="baseline"/>
        </w:rPr>
        <w:t> </w:t>
      </w:r>
      <w:r>
        <w:rPr>
          <w:sz w:val="18"/>
          <w:vertAlign w:val="baseline"/>
        </w:rPr>
        <w:t>The</w:t>
      </w:r>
      <w:r>
        <w:rPr>
          <w:spacing w:val="-5"/>
          <w:sz w:val="18"/>
          <w:vertAlign w:val="baseline"/>
        </w:rPr>
        <w:t> </w:t>
      </w:r>
      <w:r>
        <w:rPr>
          <w:sz w:val="18"/>
          <w:vertAlign w:val="baseline"/>
        </w:rPr>
        <w:t>Trevor</w:t>
      </w:r>
      <w:r>
        <w:rPr>
          <w:spacing w:val="-4"/>
          <w:sz w:val="18"/>
          <w:vertAlign w:val="baseline"/>
        </w:rPr>
        <w:t> </w:t>
      </w:r>
      <w:r>
        <w:rPr>
          <w:sz w:val="18"/>
          <w:vertAlign w:val="baseline"/>
        </w:rPr>
        <w:t>Project.</w:t>
      </w:r>
      <w:r>
        <w:rPr>
          <w:spacing w:val="-3"/>
          <w:sz w:val="18"/>
          <w:vertAlign w:val="baseline"/>
        </w:rPr>
        <w:t> </w:t>
      </w:r>
      <w:r>
        <w:rPr>
          <w:sz w:val="18"/>
          <w:vertAlign w:val="baseline"/>
        </w:rPr>
        <w:t>“Trauma</w:t>
      </w:r>
      <w:r>
        <w:rPr>
          <w:spacing w:val="-3"/>
          <w:sz w:val="18"/>
          <w:vertAlign w:val="baseline"/>
        </w:rPr>
        <w:t> </w:t>
      </w:r>
      <w:r>
        <w:rPr>
          <w:sz w:val="18"/>
          <w:vertAlign w:val="baseline"/>
        </w:rPr>
        <w:t>and</w:t>
      </w:r>
      <w:r>
        <w:rPr>
          <w:spacing w:val="-3"/>
          <w:sz w:val="18"/>
          <w:vertAlign w:val="baseline"/>
        </w:rPr>
        <w:t> </w:t>
      </w:r>
      <w:r>
        <w:rPr>
          <w:sz w:val="18"/>
          <w:vertAlign w:val="baseline"/>
        </w:rPr>
        <w:t>Suicide</w:t>
      </w:r>
      <w:r>
        <w:rPr>
          <w:spacing w:val="-3"/>
          <w:sz w:val="18"/>
          <w:vertAlign w:val="baseline"/>
        </w:rPr>
        <w:t> </w:t>
      </w:r>
      <w:r>
        <w:rPr>
          <w:sz w:val="18"/>
          <w:vertAlign w:val="baseline"/>
        </w:rPr>
        <w:t>Risk</w:t>
      </w:r>
      <w:r>
        <w:rPr>
          <w:spacing w:val="-4"/>
          <w:sz w:val="18"/>
          <w:vertAlign w:val="baseline"/>
        </w:rPr>
        <w:t> </w:t>
      </w:r>
      <w:r>
        <w:rPr>
          <w:sz w:val="18"/>
          <w:vertAlign w:val="baseline"/>
        </w:rPr>
        <w:t>Among</w:t>
      </w:r>
      <w:r>
        <w:rPr>
          <w:spacing w:val="-3"/>
          <w:sz w:val="18"/>
          <w:vertAlign w:val="baseline"/>
        </w:rPr>
        <w:t> </w:t>
      </w:r>
      <w:r>
        <w:rPr>
          <w:sz w:val="18"/>
          <w:vertAlign w:val="baseline"/>
        </w:rPr>
        <w:t>LGBTQ</w:t>
      </w:r>
      <w:r>
        <w:rPr>
          <w:spacing w:val="-4"/>
          <w:sz w:val="18"/>
          <w:vertAlign w:val="baseline"/>
        </w:rPr>
        <w:t> </w:t>
      </w:r>
      <w:r>
        <w:rPr>
          <w:sz w:val="18"/>
          <w:vertAlign w:val="baseline"/>
        </w:rPr>
        <w:t>Youth,”</w:t>
      </w:r>
      <w:r>
        <w:rPr>
          <w:spacing w:val="-3"/>
          <w:sz w:val="18"/>
          <w:vertAlign w:val="baseline"/>
        </w:rPr>
        <w:t> </w:t>
      </w:r>
      <w:r>
        <w:rPr>
          <w:sz w:val="18"/>
          <w:vertAlign w:val="baseline"/>
        </w:rPr>
        <w:t>July</w:t>
      </w:r>
      <w:r>
        <w:rPr>
          <w:spacing w:val="-3"/>
          <w:sz w:val="18"/>
          <w:vertAlign w:val="baseline"/>
        </w:rPr>
        <w:t> </w:t>
      </w:r>
      <w:r>
        <w:rPr>
          <w:sz w:val="18"/>
          <w:vertAlign w:val="baseline"/>
        </w:rPr>
        <w:t>28,</w:t>
      </w:r>
      <w:r>
        <w:rPr>
          <w:spacing w:val="-4"/>
          <w:sz w:val="18"/>
          <w:vertAlign w:val="baseline"/>
        </w:rPr>
        <w:t> </w:t>
      </w:r>
      <w:r>
        <w:rPr>
          <w:sz w:val="18"/>
          <w:vertAlign w:val="baseline"/>
        </w:rPr>
        <w:t>2022.</w:t>
      </w:r>
      <w:r>
        <w:rPr>
          <w:spacing w:val="-3"/>
          <w:sz w:val="18"/>
          <w:vertAlign w:val="baseline"/>
        </w:rPr>
        <w:t> </w:t>
      </w:r>
      <w:hyperlink r:id="rId195">
        <w:r>
          <w:rPr>
            <w:color w:val="1153CC"/>
            <w:sz w:val="18"/>
            <w:u w:val="single" w:color="1153CC"/>
            <w:vertAlign w:val="baseline"/>
          </w:rPr>
          <w:t>https://www.thetrevorproject.org/research-</w:t>
        </w:r>
      </w:hyperlink>
      <w:r>
        <w:rPr>
          <w:color w:val="1153CC"/>
          <w:sz w:val="18"/>
          <w:u w:val="none"/>
          <w:vertAlign w:val="baseline"/>
        </w:rPr>
        <w:t> </w:t>
      </w:r>
      <w:hyperlink r:id="rId195">
        <w:r>
          <w:rPr>
            <w:color w:val="1153CC"/>
            <w:spacing w:val="-2"/>
            <w:sz w:val="18"/>
            <w:u w:val="single" w:color="1153CC"/>
            <w:vertAlign w:val="baseline"/>
          </w:rPr>
          <w:t>briefs/trauma-and-suicide-risk-among-lgbtq-youth-july-2022/</w:t>
        </w:r>
      </w:hyperlink>
      <w:hyperlink r:id="rId195">
        <w:r>
          <w:rPr>
            <w:spacing w:val="-2"/>
            <w:sz w:val="18"/>
            <w:u w:val="none"/>
            <w:vertAlign w:val="baseline"/>
          </w:rPr>
          <w:t>.</w:t>
        </w:r>
      </w:hyperlink>
    </w:p>
    <w:p>
      <w:pPr>
        <w:pStyle w:val="BodyText"/>
        <w:spacing w:before="21"/>
        <w:rPr>
          <w:sz w:val="18"/>
        </w:rPr>
      </w:pPr>
    </w:p>
    <w:p>
      <w:pPr>
        <w:spacing w:line="276" w:lineRule="auto" w:before="0"/>
        <w:ind w:left="463" w:right="350" w:hanging="1"/>
        <w:jc w:val="left"/>
        <w:rPr>
          <w:sz w:val="18"/>
        </w:rPr>
      </w:pPr>
      <w:bookmarkStart w:name="_bookmark191" w:id="347"/>
      <w:bookmarkEnd w:id="347"/>
      <w:r>
        <w:rPr/>
      </w:r>
      <w:r>
        <w:rPr>
          <w:sz w:val="18"/>
          <w:vertAlign w:val="superscript"/>
        </w:rPr>
        <w:t>96</w:t>
      </w:r>
      <w:r>
        <w:rPr>
          <w:spacing w:val="-13"/>
          <w:sz w:val="18"/>
          <w:vertAlign w:val="baseline"/>
        </w:rPr>
        <w:t> </w:t>
      </w:r>
      <w:r>
        <w:rPr>
          <w:sz w:val="18"/>
          <w:vertAlign w:val="baseline"/>
        </w:rPr>
        <w:t>Kosciw,</w:t>
      </w:r>
      <w:r>
        <w:rPr>
          <w:spacing w:val="-4"/>
          <w:sz w:val="18"/>
          <w:vertAlign w:val="baseline"/>
        </w:rPr>
        <w:t> </w:t>
      </w:r>
      <w:r>
        <w:rPr>
          <w:sz w:val="18"/>
          <w:vertAlign w:val="baseline"/>
        </w:rPr>
        <w:t>Joseph,</w:t>
      </w:r>
      <w:r>
        <w:rPr>
          <w:spacing w:val="-3"/>
          <w:sz w:val="18"/>
          <w:vertAlign w:val="baseline"/>
        </w:rPr>
        <w:t> </w:t>
      </w:r>
      <w:r>
        <w:rPr>
          <w:sz w:val="18"/>
          <w:vertAlign w:val="baseline"/>
        </w:rPr>
        <w:t>Caitlin</w:t>
      </w:r>
      <w:r>
        <w:rPr>
          <w:spacing w:val="-2"/>
          <w:sz w:val="18"/>
          <w:vertAlign w:val="baseline"/>
        </w:rPr>
        <w:t> </w:t>
      </w:r>
      <w:r>
        <w:rPr>
          <w:sz w:val="18"/>
          <w:vertAlign w:val="baseline"/>
        </w:rPr>
        <w:t>Clark,</w:t>
      </w:r>
      <w:r>
        <w:rPr>
          <w:spacing w:val="-3"/>
          <w:sz w:val="18"/>
          <w:vertAlign w:val="baseline"/>
        </w:rPr>
        <w:t> </w:t>
      </w:r>
      <w:r>
        <w:rPr>
          <w:sz w:val="18"/>
          <w:vertAlign w:val="baseline"/>
        </w:rPr>
        <w:t>and</w:t>
      </w:r>
      <w:r>
        <w:rPr>
          <w:spacing w:val="-2"/>
          <w:sz w:val="18"/>
          <w:vertAlign w:val="baseline"/>
        </w:rPr>
        <w:t> </w:t>
      </w:r>
      <w:r>
        <w:rPr>
          <w:sz w:val="18"/>
          <w:vertAlign w:val="baseline"/>
        </w:rPr>
        <w:t>Leesh</w:t>
      </w:r>
      <w:r>
        <w:rPr>
          <w:spacing w:val="-2"/>
          <w:sz w:val="18"/>
          <w:vertAlign w:val="baseline"/>
        </w:rPr>
        <w:t> </w:t>
      </w:r>
      <w:r>
        <w:rPr>
          <w:sz w:val="18"/>
          <w:vertAlign w:val="baseline"/>
        </w:rPr>
        <w:t>Menard,</w:t>
      </w:r>
      <w:r>
        <w:rPr>
          <w:spacing w:val="-3"/>
          <w:sz w:val="18"/>
          <w:vertAlign w:val="baseline"/>
        </w:rPr>
        <w:t> </w:t>
      </w:r>
      <w:r>
        <w:rPr>
          <w:sz w:val="18"/>
          <w:vertAlign w:val="baseline"/>
        </w:rPr>
        <w:t>“The</w:t>
      </w:r>
      <w:r>
        <w:rPr>
          <w:spacing w:val="-2"/>
          <w:sz w:val="18"/>
          <w:vertAlign w:val="baseline"/>
        </w:rPr>
        <w:t> </w:t>
      </w:r>
      <w:r>
        <w:rPr>
          <w:sz w:val="18"/>
          <w:vertAlign w:val="baseline"/>
        </w:rPr>
        <w:t>2021</w:t>
      </w:r>
      <w:r>
        <w:rPr>
          <w:spacing w:val="-2"/>
          <w:sz w:val="18"/>
          <w:vertAlign w:val="baseline"/>
        </w:rPr>
        <w:t> </w:t>
      </w:r>
      <w:r>
        <w:rPr>
          <w:sz w:val="18"/>
          <w:vertAlign w:val="baseline"/>
        </w:rPr>
        <w:t>National</w:t>
      </w:r>
      <w:r>
        <w:rPr>
          <w:spacing w:val="-3"/>
          <w:sz w:val="18"/>
          <w:vertAlign w:val="baseline"/>
        </w:rPr>
        <w:t> </w:t>
      </w:r>
      <w:r>
        <w:rPr>
          <w:sz w:val="18"/>
          <w:vertAlign w:val="baseline"/>
        </w:rPr>
        <w:t>School</w:t>
      </w:r>
      <w:r>
        <w:rPr>
          <w:spacing w:val="-3"/>
          <w:sz w:val="18"/>
          <w:vertAlign w:val="baseline"/>
        </w:rPr>
        <w:t> </w:t>
      </w:r>
      <w:r>
        <w:rPr>
          <w:sz w:val="18"/>
          <w:vertAlign w:val="baseline"/>
        </w:rPr>
        <w:t>Climate</w:t>
      </w:r>
      <w:r>
        <w:rPr>
          <w:spacing w:val="-2"/>
          <w:sz w:val="18"/>
          <w:vertAlign w:val="baseline"/>
        </w:rPr>
        <w:t> </w:t>
      </w:r>
      <w:r>
        <w:rPr>
          <w:sz w:val="18"/>
          <w:vertAlign w:val="baseline"/>
        </w:rPr>
        <w:t>Survey:</w:t>
      </w:r>
      <w:r>
        <w:rPr>
          <w:spacing w:val="-2"/>
          <w:sz w:val="18"/>
          <w:vertAlign w:val="baseline"/>
        </w:rPr>
        <w:t> </w:t>
      </w:r>
      <w:r>
        <w:rPr>
          <w:sz w:val="18"/>
          <w:vertAlign w:val="baseline"/>
        </w:rPr>
        <w:t>The</w:t>
      </w:r>
      <w:r>
        <w:rPr>
          <w:spacing w:val="-2"/>
          <w:sz w:val="18"/>
          <w:vertAlign w:val="baseline"/>
        </w:rPr>
        <w:t> </w:t>
      </w:r>
      <w:r>
        <w:rPr>
          <w:sz w:val="18"/>
          <w:vertAlign w:val="baseline"/>
        </w:rPr>
        <w:t>Experiences</w:t>
      </w:r>
      <w:r>
        <w:rPr>
          <w:spacing w:val="-2"/>
          <w:sz w:val="18"/>
          <w:vertAlign w:val="baseline"/>
        </w:rPr>
        <w:t> </w:t>
      </w:r>
      <w:r>
        <w:rPr>
          <w:sz w:val="18"/>
          <w:vertAlign w:val="baseline"/>
        </w:rPr>
        <w:t>of</w:t>
      </w:r>
      <w:r>
        <w:rPr>
          <w:spacing w:val="-3"/>
          <w:sz w:val="18"/>
          <w:vertAlign w:val="baseline"/>
        </w:rPr>
        <w:t> </w:t>
      </w:r>
      <w:r>
        <w:rPr>
          <w:sz w:val="18"/>
          <w:vertAlign w:val="baseline"/>
        </w:rPr>
        <w:t>LGBTQ+</w:t>
      </w:r>
      <w:r>
        <w:rPr>
          <w:spacing w:val="-2"/>
          <w:sz w:val="18"/>
          <w:vertAlign w:val="baseline"/>
        </w:rPr>
        <w:t> </w:t>
      </w:r>
      <w:r>
        <w:rPr>
          <w:sz w:val="18"/>
          <w:vertAlign w:val="baseline"/>
        </w:rPr>
        <w:t>Youth in Our Nation’s Schools” (New York: Gay, Lesbian and Straight Education Network, 2022), </w:t>
      </w:r>
      <w:hyperlink r:id="rId206">
        <w:r>
          <w:rPr>
            <w:color w:val="1153CC"/>
            <w:spacing w:val="-2"/>
            <w:sz w:val="18"/>
            <w:u w:val="single" w:color="1153CC"/>
            <w:vertAlign w:val="baseline"/>
          </w:rPr>
          <w:t>https://www.glsen.org/sites/default/files/2022-10/NSCS-2021-Full-Report.pd</w:t>
        </w:r>
      </w:hyperlink>
      <w:hyperlink r:id="rId206">
        <w:r>
          <w:rPr>
            <w:color w:val="1153CC"/>
            <w:spacing w:val="-2"/>
            <w:sz w:val="18"/>
            <w:u w:val="single" w:color="1153CC"/>
            <w:vertAlign w:val="baseline"/>
          </w:rPr>
          <w:t>f</w:t>
        </w:r>
        <w:r>
          <w:rPr>
            <w:spacing w:val="-2"/>
            <w:sz w:val="18"/>
            <w:u w:val="none"/>
            <w:vertAlign w:val="baseline"/>
          </w:rPr>
          <w:t>.</w:t>
        </w:r>
      </w:hyperlink>
    </w:p>
    <w:p>
      <w:pPr>
        <w:spacing w:after="0" w:line="276" w:lineRule="auto"/>
        <w:jc w:val="left"/>
        <w:rPr>
          <w:sz w:val="18"/>
        </w:rPr>
        <w:sectPr>
          <w:pgSz w:w="12240" w:h="15840"/>
          <w:pgMar w:header="804" w:footer="1390" w:top="1080" w:bottom="1620" w:left="980" w:right="1080"/>
        </w:sectPr>
      </w:pPr>
    </w:p>
    <w:p>
      <w:pPr>
        <w:pStyle w:val="BodyText"/>
        <w:rPr>
          <w:sz w:val="34"/>
        </w:rPr>
      </w:pPr>
    </w:p>
    <w:p>
      <w:pPr>
        <w:pStyle w:val="BodyText"/>
        <w:rPr>
          <w:sz w:val="34"/>
        </w:rPr>
      </w:pPr>
    </w:p>
    <w:p>
      <w:pPr>
        <w:pStyle w:val="BodyText"/>
        <w:spacing w:before="148"/>
        <w:rPr>
          <w:sz w:val="34"/>
        </w:rPr>
      </w:pPr>
    </w:p>
    <w:p>
      <w:pPr>
        <w:spacing w:line="374" w:lineRule="exact" w:before="0"/>
        <w:ind w:left="581" w:right="0" w:firstLine="0"/>
        <w:jc w:val="left"/>
        <w:rPr>
          <w:sz w:val="34"/>
        </w:rPr>
      </w:pPr>
      <w:bookmarkStart w:name="Flyer Template for Reports Gianna, Theo " w:id="348"/>
      <w:bookmarkEnd w:id="348"/>
      <w:r>
        <w:rPr/>
      </w:r>
      <w:r>
        <w:rPr>
          <w:color w:val="FFFFFF"/>
          <w:w w:val="120"/>
          <w:sz w:val="34"/>
        </w:rPr>
        <w:t>COMMISSION</w:t>
      </w:r>
      <w:r>
        <w:rPr>
          <w:color w:val="FFFFFF"/>
          <w:spacing w:val="17"/>
          <w:w w:val="120"/>
          <w:sz w:val="34"/>
        </w:rPr>
        <w:t> </w:t>
      </w:r>
      <w:r>
        <w:rPr>
          <w:color w:val="FFFFFF"/>
          <w:w w:val="120"/>
          <w:sz w:val="34"/>
        </w:rPr>
        <w:t>ON</w:t>
      </w:r>
      <w:r>
        <w:rPr>
          <w:color w:val="FFFFFF"/>
          <w:spacing w:val="17"/>
          <w:w w:val="120"/>
          <w:sz w:val="34"/>
        </w:rPr>
        <w:t> </w:t>
      </w:r>
      <w:r>
        <w:rPr>
          <w:color w:val="FFFFFF"/>
          <w:w w:val="120"/>
          <w:sz w:val="34"/>
        </w:rPr>
        <w:t>LGBTQ</w:t>
      </w:r>
      <w:r>
        <w:rPr>
          <w:color w:val="FFFFFF"/>
          <w:spacing w:val="17"/>
          <w:w w:val="120"/>
          <w:sz w:val="34"/>
        </w:rPr>
        <w:t> </w:t>
      </w:r>
      <w:r>
        <w:rPr>
          <w:color w:val="FFFFFF"/>
          <w:spacing w:val="-2"/>
          <w:w w:val="120"/>
          <w:sz w:val="34"/>
        </w:rPr>
        <w:t>YOUTH</w:t>
      </w:r>
    </w:p>
    <w:p>
      <w:pPr>
        <w:spacing w:line="184" w:lineRule="auto" w:before="109"/>
        <w:ind w:left="581" w:right="4353" w:firstLine="0"/>
        <w:jc w:val="left"/>
        <w:rPr>
          <w:rFonts w:ascii="Arial Black"/>
          <w:sz w:val="59"/>
        </w:rPr>
      </w:pPr>
      <w:r>
        <w:rPr>
          <w:rFonts w:ascii="Arial Black"/>
          <w:color w:val="FFFFFF"/>
          <w:w w:val="90"/>
          <w:sz w:val="59"/>
        </w:rPr>
        <w:t>MENTAL HEALTH: AN UPWARD TREND</w:t>
      </w:r>
    </w:p>
    <w:p>
      <w:pPr>
        <w:pStyle w:val="BodyText"/>
        <w:rPr>
          <w:rFonts w:ascii="Arial Black"/>
          <w:sz w:val="20"/>
        </w:rPr>
      </w:pPr>
    </w:p>
    <w:p>
      <w:pPr>
        <w:pStyle w:val="BodyText"/>
        <w:rPr>
          <w:rFonts w:ascii="Arial Black"/>
          <w:sz w:val="20"/>
        </w:rPr>
      </w:pPr>
    </w:p>
    <w:p>
      <w:pPr>
        <w:pStyle w:val="BodyText"/>
        <w:rPr>
          <w:rFonts w:ascii="Arial Black"/>
          <w:sz w:val="20"/>
        </w:rPr>
      </w:pPr>
    </w:p>
    <w:p>
      <w:pPr>
        <w:pStyle w:val="BodyText"/>
        <w:rPr>
          <w:rFonts w:ascii="Arial Black"/>
          <w:sz w:val="20"/>
        </w:rPr>
      </w:pPr>
    </w:p>
    <w:p>
      <w:pPr>
        <w:pStyle w:val="BodyText"/>
        <w:spacing w:before="79"/>
        <w:rPr>
          <w:rFonts w:ascii="Arial Black"/>
          <w:sz w:val="20"/>
        </w:rPr>
      </w:pPr>
    </w:p>
    <w:p>
      <w:pPr>
        <w:spacing w:after="0"/>
        <w:rPr>
          <w:rFonts w:ascii="Arial Black"/>
          <w:sz w:val="20"/>
        </w:rPr>
        <w:sectPr>
          <w:headerReference w:type="default" r:id="rId270"/>
          <w:footerReference w:type="default" r:id="rId271"/>
          <w:pgSz w:w="12240" w:h="15840"/>
          <w:pgMar w:header="0" w:footer="0" w:top="0" w:bottom="280" w:left="920" w:right="300"/>
        </w:sectPr>
      </w:pPr>
    </w:p>
    <w:p>
      <w:pPr>
        <w:pStyle w:val="Heading9"/>
        <w:spacing w:before="106"/>
        <w:rPr>
          <w:i/>
        </w:rPr>
      </w:pPr>
      <w:r>
        <w:rPr>
          <w:i/>
          <w:spacing w:val="11"/>
          <w:w w:val="125"/>
        </w:rPr>
        <w:t>ABOUT</w:t>
      </w:r>
    </w:p>
    <w:p>
      <w:pPr>
        <w:pStyle w:val="BodyText"/>
        <w:spacing w:line="264" w:lineRule="auto" w:before="47"/>
        <w:ind w:left="323" w:right="38"/>
        <w:jc w:val="both"/>
        <w:rPr>
          <w:rFonts w:ascii="Times New Roman" w:hAnsi="Times New Roman"/>
        </w:rPr>
      </w:pPr>
      <w:r>
        <w:rPr>
          <w:rFonts w:ascii="Times New Roman" w:hAnsi="Times New Roman"/>
          <w:w w:val="115"/>
        </w:rPr>
        <w:t>The</w:t>
      </w:r>
      <w:r>
        <w:rPr>
          <w:rFonts w:ascii="Times New Roman" w:hAnsi="Times New Roman"/>
          <w:spacing w:val="-16"/>
          <w:w w:val="115"/>
        </w:rPr>
        <w:t> </w:t>
      </w:r>
      <w:r>
        <w:rPr>
          <w:rFonts w:ascii="Times New Roman" w:hAnsi="Times New Roman"/>
          <w:w w:val="115"/>
        </w:rPr>
        <w:t>personal</w:t>
      </w:r>
      <w:r>
        <w:rPr>
          <w:rFonts w:ascii="Times New Roman" w:hAnsi="Times New Roman"/>
          <w:spacing w:val="-16"/>
          <w:w w:val="115"/>
        </w:rPr>
        <w:t> </w:t>
      </w:r>
      <w:r>
        <w:rPr>
          <w:rFonts w:ascii="Times New Roman" w:hAnsi="Times New Roman"/>
          <w:w w:val="115"/>
        </w:rPr>
        <w:t>is</w:t>
      </w:r>
      <w:r>
        <w:rPr>
          <w:rFonts w:ascii="Times New Roman" w:hAnsi="Times New Roman"/>
          <w:spacing w:val="-16"/>
          <w:w w:val="115"/>
        </w:rPr>
        <w:t> </w:t>
      </w:r>
      <w:r>
        <w:rPr>
          <w:rFonts w:ascii="Times New Roman" w:hAnsi="Times New Roman"/>
          <w:w w:val="115"/>
        </w:rPr>
        <w:t>political</w:t>
      </w:r>
      <w:r>
        <w:rPr>
          <w:rFonts w:ascii="Times New Roman" w:hAnsi="Times New Roman"/>
          <w:spacing w:val="-16"/>
          <w:w w:val="115"/>
        </w:rPr>
        <w:t> </w:t>
      </w:r>
      <w:r>
        <w:rPr>
          <w:rFonts w:ascii="Times New Roman" w:hAnsi="Times New Roman"/>
          <w:w w:val="115"/>
        </w:rPr>
        <w:t>–</w:t>
      </w:r>
      <w:r>
        <w:rPr>
          <w:rFonts w:ascii="Times New Roman" w:hAnsi="Times New Roman"/>
          <w:spacing w:val="-15"/>
          <w:w w:val="115"/>
        </w:rPr>
        <w:t> </w:t>
      </w:r>
      <w:r>
        <w:rPr>
          <w:rFonts w:ascii="Times New Roman" w:hAnsi="Times New Roman"/>
          <w:w w:val="115"/>
        </w:rPr>
        <w:t>and</w:t>
      </w:r>
      <w:r>
        <w:rPr>
          <w:rFonts w:ascii="Times New Roman" w:hAnsi="Times New Roman"/>
          <w:spacing w:val="-16"/>
          <w:w w:val="115"/>
        </w:rPr>
        <w:t> </w:t>
      </w:r>
      <w:r>
        <w:rPr>
          <w:rFonts w:ascii="Times New Roman" w:hAnsi="Times New Roman"/>
          <w:w w:val="115"/>
        </w:rPr>
        <w:t>that</w:t>
      </w:r>
      <w:r>
        <w:rPr>
          <w:rFonts w:ascii="Times New Roman" w:hAnsi="Times New Roman"/>
          <w:spacing w:val="-16"/>
          <w:w w:val="115"/>
        </w:rPr>
        <w:t> </w:t>
      </w:r>
      <w:r>
        <w:rPr>
          <w:rFonts w:ascii="Times New Roman" w:hAnsi="Times New Roman"/>
          <w:w w:val="115"/>
        </w:rPr>
        <w:t>includes</w:t>
      </w:r>
      <w:r>
        <w:rPr>
          <w:rFonts w:ascii="Times New Roman" w:hAnsi="Times New Roman"/>
          <w:spacing w:val="-16"/>
          <w:w w:val="115"/>
        </w:rPr>
        <w:t> </w:t>
      </w:r>
      <w:r>
        <w:rPr>
          <w:rFonts w:ascii="Times New Roman" w:hAnsi="Times New Roman"/>
          <w:w w:val="115"/>
        </w:rPr>
        <w:t>mental health,</w:t>
      </w:r>
      <w:r>
        <w:rPr>
          <w:rFonts w:ascii="Times New Roman" w:hAnsi="Times New Roman"/>
          <w:w w:val="115"/>
        </w:rPr>
        <w:t> too.</w:t>
      </w:r>
      <w:r>
        <w:rPr>
          <w:rFonts w:ascii="Times New Roman" w:hAnsi="Times New Roman"/>
          <w:w w:val="115"/>
        </w:rPr>
        <w:t> Across</w:t>
      </w:r>
      <w:r>
        <w:rPr>
          <w:rFonts w:ascii="Times New Roman" w:hAnsi="Times New Roman"/>
          <w:w w:val="115"/>
        </w:rPr>
        <w:t> the</w:t>
      </w:r>
      <w:r>
        <w:rPr>
          <w:rFonts w:ascii="Times New Roman" w:hAnsi="Times New Roman"/>
          <w:w w:val="115"/>
        </w:rPr>
        <w:t> Commonwealth,</w:t>
      </w:r>
      <w:r>
        <w:rPr>
          <w:rFonts w:ascii="Times New Roman" w:hAnsi="Times New Roman"/>
          <w:w w:val="115"/>
        </w:rPr>
        <w:t> LGBTQ youth</w:t>
      </w:r>
      <w:r>
        <w:rPr>
          <w:rFonts w:ascii="Times New Roman" w:hAnsi="Times New Roman"/>
          <w:spacing w:val="-13"/>
          <w:w w:val="115"/>
        </w:rPr>
        <w:t> </w:t>
      </w:r>
      <w:r>
        <w:rPr>
          <w:rFonts w:ascii="Times New Roman" w:hAnsi="Times New Roman"/>
          <w:w w:val="115"/>
        </w:rPr>
        <w:t>mental</w:t>
      </w:r>
      <w:r>
        <w:rPr>
          <w:rFonts w:ascii="Times New Roman" w:hAnsi="Times New Roman"/>
          <w:spacing w:val="-13"/>
          <w:w w:val="115"/>
        </w:rPr>
        <w:t> </w:t>
      </w:r>
      <w:r>
        <w:rPr>
          <w:rFonts w:ascii="Times New Roman" w:hAnsi="Times New Roman"/>
          <w:w w:val="115"/>
        </w:rPr>
        <w:t>health</w:t>
      </w:r>
      <w:r>
        <w:rPr>
          <w:rFonts w:ascii="Times New Roman" w:hAnsi="Times New Roman"/>
          <w:spacing w:val="-13"/>
          <w:w w:val="115"/>
        </w:rPr>
        <w:t> </w:t>
      </w:r>
      <w:r>
        <w:rPr>
          <w:rFonts w:ascii="Times New Roman" w:hAnsi="Times New Roman"/>
          <w:w w:val="115"/>
        </w:rPr>
        <w:t>is</w:t>
      </w:r>
      <w:r>
        <w:rPr>
          <w:rFonts w:ascii="Times New Roman" w:hAnsi="Times New Roman"/>
          <w:spacing w:val="-13"/>
          <w:w w:val="115"/>
        </w:rPr>
        <w:t> </w:t>
      </w:r>
      <w:r>
        <w:rPr>
          <w:rFonts w:ascii="Times New Roman" w:hAnsi="Times New Roman"/>
          <w:w w:val="115"/>
        </w:rPr>
        <w:t>in</w:t>
      </w:r>
      <w:r>
        <w:rPr>
          <w:rFonts w:ascii="Times New Roman" w:hAnsi="Times New Roman"/>
          <w:spacing w:val="-13"/>
          <w:w w:val="115"/>
        </w:rPr>
        <w:t> </w:t>
      </w:r>
      <w:r>
        <w:rPr>
          <w:rFonts w:ascii="Times New Roman" w:hAnsi="Times New Roman"/>
          <w:w w:val="115"/>
        </w:rPr>
        <w:t>crisis.</w:t>
      </w:r>
      <w:r>
        <w:rPr>
          <w:rFonts w:ascii="Times New Roman" w:hAnsi="Times New Roman"/>
          <w:spacing w:val="-13"/>
          <w:w w:val="115"/>
        </w:rPr>
        <w:t> </w:t>
      </w:r>
      <w:r>
        <w:rPr>
          <w:rFonts w:ascii="Times New Roman" w:hAnsi="Times New Roman"/>
          <w:w w:val="115"/>
        </w:rPr>
        <w:t>Last</w:t>
      </w:r>
      <w:r>
        <w:rPr>
          <w:rFonts w:ascii="Times New Roman" w:hAnsi="Times New Roman"/>
          <w:spacing w:val="-13"/>
          <w:w w:val="115"/>
        </w:rPr>
        <w:t> </w:t>
      </w:r>
      <w:r>
        <w:rPr>
          <w:rFonts w:ascii="Times New Roman" w:hAnsi="Times New Roman"/>
          <w:w w:val="115"/>
        </w:rPr>
        <w:t>year,</w:t>
      </w:r>
      <w:r>
        <w:rPr>
          <w:rFonts w:ascii="Times New Roman" w:hAnsi="Times New Roman"/>
          <w:spacing w:val="-13"/>
          <w:w w:val="115"/>
        </w:rPr>
        <w:t> </w:t>
      </w:r>
      <w:r>
        <w:rPr>
          <w:rFonts w:ascii="Times New Roman" w:hAnsi="Times New Roman"/>
          <w:w w:val="115"/>
        </w:rPr>
        <w:t>LGBTQ youth</w:t>
      </w:r>
      <w:r>
        <w:rPr>
          <w:rFonts w:ascii="Times New Roman" w:hAnsi="Times New Roman"/>
          <w:w w:val="115"/>
        </w:rPr>
        <w:t> reported</w:t>
      </w:r>
      <w:r>
        <w:rPr>
          <w:rFonts w:ascii="Times New Roman" w:hAnsi="Times New Roman"/>
          <w:w w:val="115"/>
        </w:rPr>
        <w:t> alarmingly</w:t>
      </w:r>
      <w:r>
        <w:rPr>
          <w:rFonts w:ascii="Times New Roman" w:hAnsi="Times New Roman"/>
          <w:w w:val="115"/>
        </w:rPr>
        <w:t> high</w:t>
      </w:r>
      <w:r>
        <w:rPr>
          <w:rFonts w:ascii="Times New Roman" w:hAnsi="Times New Roman"/>
          <w:w w:val="115"/>
        </w:rPr>
        <w:t> levels</w:t>
      </w:r>
      <w:r>
        <w:rPr>
          <w:rFonts w:ascii="Times New Roman" w:hAnsi="Times New Roman"/>
          <w:w w:val="115"/>
        </w:rPr>
        <w:t> of depression, anxiety, suicidality, and trauma, yet most</w:t>
      </w:r>
      <w:r>
        <w:rPr>
          <w:rFonts w:ascii="Times New Roman" w:hAnsi="Times New Roman"/>
          <w:w w:val="115"/>
        </w:rPr>
        <w:t> who</w:t>
      </w:r>
      <w:r>
        <w:rPr>
          <w:rFonts w:ascii="Times New Roman" w:hAnsi="Times New Roman"/>
          <w:w w:val="115"/>
        </w:rPr>
        <w:t> wanted</w:t>
      </w:r>
      <w:r>
        <w:rPr>
          <w:rFonts w:ascii="Times New Roman" w:hAnsi="Times New Roman"/>
          <w:w w:val="115"/>
        </w:rPr>
        <w:t> mental</w:t>
      </w:r>
      <w:r>
        <w:rPr>
          <w:rFonts w:ascii="Times New Roman" w:hAnsi="Times New Roman"/>
          <w:w w:val="115"/>
        </w:rPr>
        <w:t> healthcare</w:t>
      </w:r>
      <w:r>
        <w:rPr>
          <w:rFonts w:ascii="Times New Roman" w:hAnsi="Times New Roman"/>
          <w:w w:val="115"/>
        </w:rPr>
        <w:t> did</w:t>
      </w:r>
      <w:r>
        <w:rPr>
          <w:rFonts w:ascii="Times New Roman" w:hAnsi="Times New Roman"/>
          <w:w w:val="115"/>
        </w:rPr>
        <w:t> not receive</w:t>
      </w:r>
      <w:r>
        <w:rPr>
          <w:rFonts w:ascii="Times New Roman" w:hAnsi="Times New Roman"/>
          <w:spacing w:val="-6"/>
          <w:w w:val="115"/>
        </w:rPr>
        <w:t> </w:t>
      </w:r>
      <w:r>
        <w:rPr>
          <w:rFonts w:ascii="Times New Roman" w:hAnsi="Times New Roman"/>
          <w:w w:val="115"/>
        </w:rPr>
        <w:t>it.</w:t>
      </w:r>
    </w:p>
    <w:p>
      <w:pPr>
        <w:pStyle w:val="Heading2"/>
        <w:spacing w:line="1085" w:lineRule="exact" w:before="228"/>
        <w:ind w:right="1273"/>
        <w:jc w:val="center"/>
      </w:pPr>
      <w:r>
        <w:rPr/>
        <w:br w:type="column"/>
      </w:r>
      <w:r>
        <w:rPr>
          <w:emboss/>
          <w:color w:val="1B6A4E"/>
          <w:w w:val="85"/>
        </w:rPr>
        <w:t>1</w:t>
      </w:r>
      <w:r>
        <w:rPr>
          <w:shadow w:val="0"/>
          <w:color w:val="1B6A4E"/>
          <w:spacing w:val="-10"/>
          <w:w w:val="85"/>
        </w:rPr>
        <w:t> </w:t>
      </w:r>
      <w:r>
        <w:rPr>
          <w:emboss/>
          <w:color w:val="1B6A4E"/>
          <w:spacing w:val="19"/>
          <w:w w:val="85"/>
        </w:rPr>
        <w:t>IN</w:t>
      </w:r>
      <w:r>
        <w:rPr>
          <w:shadow w:val="0"/>
          <w:color w:val="1B6A4E"/>
          <w:spacing w:val="-9"/>
          <w:w w:val="85"/>
        </w:rPr>
        <w:t> </w:t>
      </w:r>
      <w:r>
        <w:rPr>
          <w:emboss/>
          <w:color w:val="1B6A4E"/>
          <w:spacing w:val="-10"/>
          <w:w w:val="85"/>
        </w:rPr>
        <w:t>2</w:t>
      </w:r>
    </w:p>
    <w:p>
      <w:pPr>
        <w:pStyle w:val="BodyText"/>
        <w:spacing w:line="264" w:lineRule="auto"/>
        <w:ind w:left="118" w:right="1273"/>
        <w:jc w:val="center"/>
        <w:rPr>
          <w:rFonts w:ascii="Times New Roman"/>
        </w:rPr>
      </w:pPr>
      <w:r>
        <w:rPr>
          <w:rFonts w:ascii="Times New Roman"/>
          <w:w w:val="110"/>
        </w:rPr>
        <w:t>Massachusetts</w:t>
      </w:r>
      <w:r>
        <w:rPr>
          <w:rFonts w:ascii="Times New Roman"/>
          <w:spacing w:val="-5"/>
          <w:w w:val="110"/>
        </w:rPr>
        <w:t> </w:t>
      </w:r>
      <w:r>
        <w:rPr>
          <w:rFonts w:ascii="Times New Roman"/>
          <w:w w:val="110"/>
        </w:rPr>
        <w:t>LGBTQ</w:t>
      </w:r>
      <w:r>
        <w:rPr>
          <w:rFonts w:ascii="Times New Roman"/>
          <w:spacing w:val="-5"/>
          <w:w w:val="110"/>
        </w:rPr>
        <w:t> </w:t>
      </w:r>
      <w:r>
        <w:rPr>
          <w:rFonts w:ascii="Times New Roman"/>
          <w:w w:val="110"/>
        </w:rPr>
        <w:t>youth </w:t>
      </w:r>
      <w:r>
        <w:rPr>
          <w:rFonts w:ascii="Times New Roman"/>
          <w:w w:val="115"/>
        </w:rPr>
        <w:t>were</w:t>
      </w:r>
      <w:r>
        <w:rPr>
          <w:rFonts w:ascii="Times New Roman"/>
          <w:spacing w:val="-16"/>
          <w:w w:val="115"/>
        </w:rPr>
        <w:t> </w:t>
      </w:r>
      <w:r>
        <w:rPr>
          <w:rFonts w:ascii="Times New Roman"/>
          <w:w w:val="115"/>
        </w:rPr>
        <w:t>unable</w:t>
      </w:r>
      <w:r>
        <w:rPr>
          <w:rFonts w:ascii="Times New Roman"/>
          <w:spacing w:val="-16"/>
          <w:w w:val="115"/>
        </w:rPr>
        <w:t> </w:t>
      </w:r>
      <w:r>
        <w:rPr>
          <w:rFonts w:ascii="Times New Roman"/>
          <w:w w:val="115"/>
        </w:rPr>
        <w:t>to</w:t>
      </w:r>
      <w:r>
        <w:rPr>
          <w:rFonts w:ascii="Times New Roman"/>
          <w:spacing w:val="-16"/>
          <w:w w:val="115"/>
        </w:rPr>
        <w:t> </w:t>
      </w:r>
      <w:r>
        <w:rPr>
          <w:rFonts w:ascii="Times New Roman"/>
          <w:w w:val="115"/>
        </w:rPr>
        <w:t>access</w:t>
      </w:r>
      <w:r>
        <w:rPr>
          <w:rFonts w:ascii="Times New Roman"/>
          <w:spacing w:val="-16"/>
          <w:w w:val="115"/>
        </w:rPr>
        <w:t> </w:t>
      </w:r>
      <w:r>
        <w:rPr>
          <w:rFonts w:ascii="Times New Roman"/>
          <w:w w:val="115"/>
        </w:rPr>
        <w:t>mental </w:t>
      </w:r>
      <w:r>
        <w:rPr>
          <w:rFonts w:ascii="Times New Roman"/>
          <w:spacing w:val="-2"/>
          <w:w w:val="115"/>
        </w:rPr>
        <w:t>healthcare</w:t>
      </w:r>
    </w:p>
    <w:p>
      <w:pPr>
        <w:pStyle w:val="BodyText"/>
        <w:spacing w:before="9"/>
        <w:rPr>
          <w:rFonts w:ascii="Times New Roman"/>
          <w:sz w:val="8"/>
        </w:rPr>
      </w:pPr>
    </w:p>
    <w:p>
      <w:pPr>
        <w:pStyle w:val="BodyText"/>
        <w:spacing w:line="20" w:lineRule="exact"/>
        <w:ind w:left="-370"/>
        <w:rPr>
          <w:rFonts w:ascii="Times New Roman"/>
          <w:sz w:val="2"/>
        </w:rPr>
      </w:pPr>
      <w:r>
        <w:rPr>
          <w:rFonts w:ascii="Times New Roman"/>
          <w:sz w:val="2"/>
        </w:rPr>
        <mc:AlternateContent>
          <mc:Choice Requires="wps">
            <w:drawing>
              <wp:inline distT="0" distB="0" distL="0" distR="0">
                <wp:extent cx="2773680" cy="28575"/>
                <wp:effectExtent l="19050" t="0" r="7619" b="0"/>
                <wp:docPr id="246" name="Group 246"/>
                <wp:cNvGraphicFramePr>
                  <a:graphicFrameLocks/>
                </wp:cNvGraphicFramePr>
                <a:graphic>
                  <a:graphicData uri="http://schemas.microsoft.com/office/word/2010/wordprocessingGroup">
                    <wpg:wgp>
                      <wpg:cNvPr id="246" name="Group 246"/>
                      <wpg:cNvGrpSpPr/>
                      <wpg:grpSpPr>
                        <a:xfrm>
                          <a:off x="0" y="0"/>
                          <a:ext cx="2773680" cy="28575"/>
                          <a:chExt cx="2773680" cy="28575"/>
                        </a:xfrm>
                      </wpg:grpSpPr>
                      <wps:wsp>
                        <wps:cNvPr id="247" name="Graphic 247"/>
                        <wps:cNvSpPr/>
                        <wps:spPr>
                          <a:xfrm>
                            <a:off x="0" y="14287"/>
                            <a:ext cx="2773680" cy="1270"/>
                          </a:xfrm>
                          <a:custGeom>
                            <a:avLst/>
                            <a:gdLst/>
                            <a:ahLst/>
                            <a:cxnLst/>
                            <a:rect l="l" t="t" r="r" b="b"/>
                            <a:pathLst>
                              <a:path w="2773680" h="0">
                                <a:moveTo>
                                  <a:pt x="0" y="0"/>
                                </a:moveTo>
                                <a:lnTo>
                                  <a:pt x="2773600" y="0"/>
                                </a:lnTo>
                              </a:path>
                            </a:pathLst>
                          </a:custGeom>
                          <a:ln w="28574">
                            <a:solidFill>
                              <a:srgbClr val="1B6A4E"/>
                            </a:solidFill>
                            <a:prstDash val="sysDash"/>
                          </a:ln>
                        </wps:spPr>
                        <wps:bodyPr wrap="square" lIns="0" tIns="0" rIns="0" bIns="0" rtlCol="0">
                          <a:prstTxWarp prst="textNoShape">
                            <a:avLst/>
                          </a:prstTxWarp>
                          <a:noAutofit/>
                        </wps:bodyPr>
                      </wps:wsp>
                    </wpg:wgp>
                  </a:graphicData>
                </a:graphic>
              </wp:inline>
            </w:drawing>
          </mc:Choice>
          <mc:Fallback>
            <w:pict>
              <v:group style="width:218.4pt;height:2.25pt;mso-position-horizontal-relative:char;mso-position-vertical-relative:line" id="docshapegroup196" coordorigin="0,0" coordsize="4368,45">
                <v:line style="position:absolute" from="0,23" to="4368,23" stroked="true" strokeweight="2.25pt" strokecolor="#1b6a4e">
                  <v:stroke dashstyle="shortdash"/>
                </v:line>
              </v:group>
            </w:pict>
          </mc:Fallback>
        </mc:AlternateContent>
      </w:r>
      <w:r>
        <w:rPr>
          <w:rFonts w:ascii="Times New Roman"/>
          <w:sz w:val="2"/>
        </w:rPr>
      </w:r>
    </w:p>
    <w:p>
      <w:pPr>
        <w:pStyle w:val="Heading4"/>
        <w:spacing w:before="240"/>
        <w:ind w:right="1002"/>
        <w:jc w:val="center"/>
      </w:pPr>
      <w:r>
        <w:rPr>
          <w:emboss/>
          <w:color w:val="1B6A4E"/>
          <w:spacing w:val="19"/>
          <w:w w:val="85"/>
        </w:rPr>
        <w:t>71%</w:t>
      </w:r>
    </w:p>
    <w:p>
      <w:pPr>
        <w:pStyle w:val="BodyText"/>
        <w:spacing w:line="264" w:lineRule="auto" w:before="80"/>
        <w:ind w:left="548" w:right="1627" w:hanging="1"/>
        <w:jc w:val="center"/>
        <w:rPr>
          <w:rFonts w:ascii="Times New Roman"/>
        </w:rPr>
      </w:pPr>
      <w:r>
        <w:rPr/>
        <mc:AlternateContent>
          <mc:Choice Requires="wps">
            <w:drawing>
              <wp:anchor distT="0" distB="0" distL="0" distR="0" allowOverlap="1" layoutInCell="1" locked="0" behindDoc="0" simplePos="0" relativeHeight="15770112">
                <wp:simplePos x="0" y="0"/>
                <wp:positionH relativeFrom="page">
                  <wp:posOffset>655211</wp:posOffset>
                </wp:positionH>
                <wp:positionV relativeFrom="paragraph">
                  <wp:posOffset>246185</wp:posOffset>
                </wp:positionV>
                <wp:extent cx="3475990" cy="3249930"/>
                <wp:effectExtent l="0" t="0" r="0" b="0"/>
                <wp:wrapNone/>
                <wp:docPr id="248" name="Group 248"/>
                <wp:cNvGraphicFramePr>
                  <a:graphicFrameLocks/>
                </wp:cNvGraphicFramePr>
                <a:graphic>
                  <a:graphicData uri="http://schemas.microsoft.com/office/word/2010/wordprocessingGroup">
                    <wpg:wgp>
                      <wpg:cNvPr id="248" name="Group 248"/>
                      <wpg:cNvGrpSpPr/>
                      <wpg:grpSpPr>
                        <a:xfrm>
                          <a:off x="0" y="0"/>
                          <a:ext cx="3475990" cy="3249930"/>
                          <a:chExt cx="3475990" cy="3249930"/>
                        </a:xfrm>
                      </wpg:grpSpPr>
                      <pic:pic>
                        <pic:nvPicPr>
                          <pic:cNvPr id="249" name="Image 249"/>
                          <pic:cNvPicPr/>
                        </pic:nvPicPr>
                        <pic:blipFill>
                          <a:blip r:embed="rId272" cstate="print"/>
                          <a:stretch>
                            <a:fillRect/>
                          </a:stretch>
                        </pic:blipFill>
                        <pic:spPr>
                          <a:xfrm>
                            <a:off x="0" y="0"/>
                            <a:ext cx="3475728" cy="3249697"/>
                          </a:xfrm>
                          <a:prstGeom prst="rect">
                            <a:avLst/>
                          </a:prstGeom>
                        </pic:spPr>
                      </pic:pic>
                      <wps:wsp>
                        <wps:cNvPr id="250" name="Textbox 250"/>
                        <wps:cNvSpPr txBox="1"/>
                        <wps:spPr>
                          <a:xfrm>
                            <a:off x="0" y="0"/>
                            <a:ext cx="3475990" cy="3249930"/>
                          </a:xfrm>
                          <a:prstGeom prst="rect">
                            <a:avLst/>
                          </a:prstGeom>
                        </wps:spPr>
                        <wps:txbx>
                          <w:txbxContent>
                            <w:p>
                              <w:pPr>
                                <w:spacing w:before="191"/>
                                <w:ind w:left="211" w:right="0" w:firstLine="0"/>
                                <w:jc w:val="left"/>
                                <w:rPr>
                                  <w:b/>
                                  <w:i/>
                                  <w:sz w:val="34"/>
                                </w:rPr>
                              </w:pPr>
                              <w:r>
                                <w:rPr>
                                  <w:b/>
                                  <w:i/>
                                  <w:spacing w:val="13"/>
                                  <w:w w:val="125"/>
                                  <w:sz w:val="34"/>
                                </w:rPr>
                                <w:t>RECOMMENDATIONS</w:t>
                              </w:r>
                            </w:p>
                            <w:p>
                              <w:pPr>
                                <w:spacing w:line="268" w:lineRule="auto" w:before="401"/>
                                <w:ind w:left="1032" w:right="0" w:firstLine="0"/>
                                <w:jc w:val="left"/>
                                <w:rPr>
                                  <w:rFonts w:ascii="Times New Roman"/>
                                  <w:sz w:val="21"/>
                                </w:rPr>
                              </w:pPr>
                              <w:r>
                                <w:rPr>
                                  <w:rFonts w:ascii="Times New Roman"/>
                                  <w:w w:val="115"/>
                                  <w:sz w:val="21"/>
                                </w:rPr>
                                <w:t>Fund</w:t>
                              </w:r>
                              <w:r>
                                <w:rPr>
                                  <w:rFonts w:ascii="Times New Roman"/>
                                  <w:spacing w:val="-13"/>
                                  <w:w w:val="115"/>
                                  <w:sz w:val="21"/>
                                </w:rPr>
                                <w:t> </w:t>
                              </w:r>
                              <w:r>
                                <w:rPr>
                                  <w:rFonts w:ascii="Times New Roman"/>
                                  <w:w w:val="115"/>
                                  <w:sz w:val="21"/>
                                </w:rPr>
                                <w:t>more</w:t>
                              </w:r>
                              <w:r>
                                <w:rPr>
                                  <w:rFonts w:ascii="Times New Roman"/>
                                  <w:spacing w:val="-13"/>
                                  <w:w w:val="115"/>
                                  <w:sz w:val="21"/>
                                </w:rPr>
                                <w:t> </w:t>
                              </w:r>
                              <w:r>
                                <w:rPr>
                                  <w:rFonts w:ascii="Times New Roman"/>
                                  <w:w w:val="115"/>
                                  <w:sz w:val="21"/>
                                </w:rPr>
                                <w:t>statewide</w:t>
                              </w:r>
                              <w:r>
                                <w:rPr>
                                  <w:rFonts w:ascii="Times New Roman"/>
                                  <w:spacing w:val="-13"/>
                                  <w:w w:val="115"/>
                                  <w:sz w:val="21"/>
                                </w:rPr>
                                <w:t> </w:t>
                              </w:r>
                              <w:r>
                                <w:rPr>
                                  <w:rFonts w:ascii="Times New Roman"/>
                                  <w:w w:val="115"/>
                                  <w:sz w:val="21"/>
                                </w:rPr>
                                <w:t>research</w:t>
                              </w:r>
                              <w:r>
                                <w:rPr>
                                  <w:rFonts w:ascii="Times New Roman"/>
                                  <w:spacing w:val="-13"/>
                                  <w:w w:val="115"/>
                                  <w:sz w:val="21"/>
                                </w:rPr>
                                <w:t> </w:t>
                              </w:r>
                              <w:r>
                                <w:rPr>
                                  <w:rFonts w:ascii="Times New Roman"/>
                                  <w:w w:val="115"/>
                                  <w:sz w:val="21"/>
                                </w:rPr>
                                <w:t>about</w:t>
                              </w:r>
                              <w:r>
                                <w:rPr>
                                  <w:rFonts w:ascii="Times New Roman"/>
                                  <w:spacing w:val="-13"/>
                                  <w:w w:val="115"/>
                                  <w:sz w:val="21"/>
                                </w:rPr>
                                <w:t> </w:t>
                              </w:r>
                              <w:r>
                                <w:rPr>
                                  <w:rFonts w:ascii="Times New Roman"/>
                                  <w:w w:val="115"/>
                                  <w:sz w:val="21"/>
                                </w:rPr>
                                <w:t>mental health and suicide prevention treatment approaches</w:t>
                              </w:r>
                              <w:r>
                                <w:rPr>
                                  <w:rFonts w:ascii="Times New Roman"/>
                                  <w:spacing w:val="-10"/>
                                  <w:w w:val="115"/>
                                  <w:sz w:val="21"/>
                                </w:rPr>
                                <w:t> </w:t>
                              </w:r>
                              <w:r>
                                <w:rPr>
                                  <w:rFonts w:ascii="Times New Roman"/>
                                  <w:w w:val="115"/>
                                  <w:sz w:val="21"/>
                                </w:rPr>
                                <w:t>for</w:t>
                              </w:r>
                              <w:r>
                                <w:rPr>
                                  <w:rFonts w:ascii="Times New Roman"/>
                                  <w:spacing w:val="-10"/>
                                  <w:w w:val="115"/>
                                  <w:sz w:val="21"/>
                                </w:rPr>
                                <w:t> </w:t>
                              </w:r>
                              <w:r>
                                <w:rPr>
                                  <w:rFonts w:ascii="Times New Roman"/>
                                  <w:w w:val="115"/>
                                  <w:sz w:val="21"/>
                                </w:rPr>
                                <w:t>LGBTQ</w:t>
                              </w:r>
                              <w:r>
                                <w:rPr>
                                  <w:rFonts w:ascii="Times New Roman"/>
                                  <w:spacing w:val="-10"/>
                                  <w:w w:val="115"/>
                                  <w:sz w:val="21"/>
                                </w:rPr>
                                <w:t> </w:t>
                              </w:r>
                              <w:r>
                                <w:rPr>
                                  <w:rFonts w:ascii="Times New Roman"/>
                                  <w:w w:val="115"/>
                                  <w:sz w:val="21"/>
                                </w:rPr>
                                <w:t>youth.</w:t>
                              </w:r>
                            </w:p>
                            <w:p>
                              <w:pPr>
                                <w:spacing w:line="240" w:lineRule="auto" w:before="96"/>
                                <w:rPr>
                                  <w:rFonts w:ascii="Times New Roman"/>
                                  <w:sz w:val="21"/>
                                </w:rPr>
                              </w:pPr>
                            </w:p>
                            <w:p>
                              <w:pPr>
                                <w:spacing w:line="268" w:lineRule="auto" w:before="0"/>
                                <w:ind w:left="1030" w:right="160" w:firstLine="0"/>
                                <w:jc w:val="left"/>
                                <w:rPr>
                                  <w:rFonts w:ascii="Times New Roman" w:hAnsi="Times New Roman"/>
                                  <w:sz w:val="21"/>
                                </w:rPr>
                              </w:pPr>
                              <w:r>
                                <w:rPr>
                                  <w:rFonts w:ascii="Times New Roman" w:hAnsi="Times New Roman"/>
                                  <w:w w:val="115"/>
                                  <w:sz w:val="21"/>
                                </w:rPr>
                                <w:t>Promote services that address youths’ intersectional identities, including race, </w:t>
                              </w:r>
                              <w:r>
                                <w:rPr>
                                  <w:rFonts w:ascii="Times New Roman" w:hAnsi="Times New Roman"/>
                                  <w:spacing w:val="-2"/>
                                  <w:w w:val="115"/>
                                  <w:sz w:val="21"/>
                                </w:rPr>
                                <w:t>ethnicity,</w:t>
                              </w:r>
                              <w:r>
                                <w:rPr>
                                  <w:rFonts w:ascii="Times New Roman" w:hAnsi="Times New Roman"/>
                                  <w:spacing w:val="-8"/>
                                  <w:w w:val="115"/>
                                  <w:sz w:val="21"/>
                                </w:rPr>
                                <w:t> </w:t>
                              </w:r>
                              <w:r>
                                <w:rPr>
                                  <w:rFonts w:ascii="Times New Roman" w:hAnsi="Times New Roman"/>
                                  <w:spacing w:val="-2"/>
                                  <w:w w:val="115"/>
                                  <w:sz w:val="21"/>
                                </w:rPr>
                                <w:t>immigration,</w:t>
                              </w:r>
                              <w:r>
                                <w:rPr>
                                  <w:rFonts w:ascii="Times New Roman" w:hAnsi="Times New Roman"/>
                                  <w:spacing w:val="-8"/>
                                  <w:w w:val="115"/>
                                  <w:sz w:val="21"/>
                                </w:rPr>
                                <w:t> </w:t>
                              </w:r>
                              <w:r>
                                <w:rPr>
                                  <w:rFonts w:ascii="Times New Roman" w:hAnsi="Times New Roman"/>
                                  <w:spacing w:val="-2"/>
                                  <w:w w:val="115"/>
                                  <w:sz w:val="21"/>
                                </w:rPr>
                                <w:t>ability,</w:t>
                              </w:r>
                              <w:r>
                                <w:rPr>
                                  <w:rFonts w:ascii="Times New Roman" w:hAnsi="Times New Roman"/>
                                  <w:spacing w:val="-8"/>
                                  <w:w w:val="115"/>
                                  <w:sz w:val="21"/>
                                </w:rPr>
                                <w:t> </w:t>
                              </w:r>
                              <w:r>
                                <w:rPr>
                                  <w:rFonts w:ascii="Times New Roman" w:hAnsi="Times New Roman"/>
                                  <w:spacing w:val="-2"/>
                                  <w:w w:val="115"/>
                                  <w:sz w:val="21"/>
                                </w:rPr>
                                <w:t>involvement </w:t>
                              </w:r>
                              <w:r>
                                <w:rPr>
                                  <w:rFonts w:ascii="Times New Roman" w:hAnsi="Times New Roman"/>
                                  <w:w w:val="115"/>
                                  <w:sz w:val="21"/>
                                </w:rPr>
                                <w:t>in juvenile justice or foster care, and rural </w:t>
                              </w:r>
                              <w:r>
                                <w:rPr>
                                  <w:rFonts w:ascii="Times New Roman" w:hAnsi="Times New Roman"/>
                                  <w:spacing w:val="-2"/>
                                  <w:w w:val="115"/>
                                  <w:sz w:val="21"/>
                                </w:rPr>
                                <w:t>residence.</w:t>
                              </w:r>
                            </w:p>
                            <w:p>
                              <w:pPr>
                                <w:spacing w:line="240" w:lineRule="auto" w:before="114"/>
                                <w:rPr>
                                  <w:rFonts w:ascii="Times New Roman"/>
                                  <w:sz w:val="21"/>
                                </w:rPr>
                              </w:pPr>
                            </w:p>
                            <w:p>
                              <w:pPr>
                                <w:spacing w:line="268" w:lineRule="auto" w:before="0"/>
                                <w:ind w:left="1013" w:right="558" w:firstLine="0"/>
                                <w:jc w:val="left"/>
                                <w:rPr>
                                  <w:rFonts w:ascii="Times New Roman"/>
                                  <w:sz w:val="21"/>
                                </w:rPr>
                              </w:pPr>
                              <w:r>
                                <w:rPr>
                                  <w:rFonts w:ascii="Times New Roman"/>
                                  <w:w w:val="115"/>
                                  <w:sz w:val="21"/>
                                </w:rPr>
                                <w:t>Support reforms of the mental</w:t>
                              </w:r>
                              <w:r>
                                <w:rPr>
                                  <w:rFonts w:ascii="Times New Roman"/>
                                  <w:w w:val="115"/>
                                  <w:sz w:val="21"/>
                                </w:rPr>
                                <w:t> healthcare</w:t>
                              </w:r>
                              <w:r>
                                <w:rPr>
                                  <w:rFonts w:ascii="Times New Roman"/>
                                  <w:spacing w:val="-15"/>
                                  <w:w w:val="115"/>
                                  <w:sz w:val="21"/>
                                </w:rPr>
                                <w:t> </w:t>
                              </w:r>
                              <w:r>
                                <w:rPr>
                                  <w:rFonts w:ascii="Times New Roman"/>
                                  <w:w w:val="115"/>
                                  <w:sz w:val="21"/>
                                </w:rPr>
                                <w:t>and</w:t>
                              </w:r>
                              <w:r>
                                <w:rPr>
                                  <w:rFonts w:ascii="Times New Roman"/>
                                  <w:spacing w:val="-15"/>
                                  <w:w w:val="115"/>
                                  <w:sz w:val="21"/>
                                </w:rPr>
                                <w:t> </w:t>
                              </w:r>
                              <w:r>
                                <w:rPr>
                                  <w:rFonts w:ascii="Times New Roman"/>
                                  <w:w w:val="115"/>
                                  <w:sz w:val="21"/>
                                </w:rPr>
                                <w:t>health</w:t>
                              </w:r>
                              <w:r>
                                <w:rPr>
                                  <w:rFonts w:ascii="Times New Roman"/>
                                  <w:spacing w:val="-15"/>
                                  <w:w w:val="115"/>
                                  <w:sz w:val="21"/>
                                </w:rPr>
                                <w:t> </w:t>
                              </w:r>
                              <w:r>
                                <w:rPr>
                                  <w:rFonts w:ascii="Times New Roman"/>
                                  <w:w w:val="115"/>
                                  <w:sz w:val="21"/>
                                </w:rPr>
                                <w:t>insurance</w:t>
                              </w:r>
                              <w:r>
                                <w:rPr>
                                  <w:rFonts w:ascii="Times New Roman"/>
                                  <w:spacing w:val="-15"/>
                                  <w:w w:val="115"/>
                                  <w:sz w:val="21"/>
                                </w:rPr>
                                <w:t> </w:t>
                              </w:r>
                              <w:r>
                                <w:rPr>
                                  <w:rFonts w:ascii="Times New Roman"/>
                                  <w:w w:val="115"/>
                                  <w:sz w:val="21"/>
                                </w:rPr>
                                <w:t>systems.</w:t>
                              </w:r>
                            </w:p>
                          </w:txbxContent>
                        </wps:txbx>
                        <wps:bodyPr wrap="square" lIns="0" tIns="0" rIns="0" bIns="0" rtlCol="0">
                          <a:noAutofit/>
                        </wps:bodyPr>
                      </wps:wsp>
                    </wpg:wgp>
                  </a:graphicData>
                </a:graphic>
              </wp:anchor>
            </w:drawing>
          </mc:Choice>
          <mc:Fallback>
            <w:pict>
              <v:group style="position:absolute;margin-left:51.591461pt;margin-top:19.384668pt;width:273.7pt;height:255.9pt;mso-position-horizontal-relative:page;mso-position-vertical-relative:paragraph;z-index:15770112" id="docshapegroup197" coordorigin="1032,388" coordsize="5474,5118">
                <v:shape style="position:absolute;left:1031;top:387;width:5474;height:5118" type="#_x0000_t75" id="docshape198" stroked="false">
                  <v:imagedata r:id="rId272" o:title=""/>
                </v:shape>
                <v:shape style="position:absolute;left:1031;top:387;width:5474;height:5118" type="#_x0000_t202" id="docshape199" filled="false" stroked="false">
                  <v:textbox inset="0,0,0,0">
                    <w:txbxContent>
                      <w:p>
                        <w:pPr>
                          <w:spacing w:before="191"/>
                          <w:ind w:left="211" w:right="0" w:firstLine="0"/>
                          <w:jc w:val="left"/>
                          <w:rPr>
                            <w:b/>
                            <w:i/>
                            <w:sz w:val="34"/>
                          </w:rPr>
                        </w:pPr>
                        <w:r>
                          <w:rPr>
                            <w:b/>
                            <w:i/>
                            <w:spacing w:val="13"/>
                            <w:w w:val="125"/>
                            <w:sz w:val="34"/>
                          </w:rPr>
                          <w:t>RECOMMENDATIONS</w:t>
                        </w:r>
                      </w:p>
                      <w:p>
                        <w:pPr>
                          <w:spacing w:line="268" w:lineRule="auto" w:before="401"/>
                          <w:ind w:left="1032" w:right="0" w:firstLine="0"/>
                          <w:jc w:val="left"/>
                          <w:rPr>
                            <w:rFonts w:ascii="Times New Roman"/>
                            <w:sz w:val="21"/>
                          </w:rPr>
                        </w:pPr>
                        <w:r>
                          <w:rPr>
                            <w:rFonts w:ascii="Times New Roman"/>
                            <w:w w:val="115"/>
                            <w:sz w:val="21"/>
                          </w:rPr>
                          <w:t>Fund</w:t>
                        </w:r>
                        <w:r>
                          <w:rPr>
                            <w:rFonts w:ascii="Times New Roman"/>
                            <w:spacing w:val="-13"/>
                            <w:w w:val="115"/>
                            <w:sz w:val="21"/>
                          </w:rPr>
                          <w:t> </w:t>
                        </w:r>
                        <w:r>
                          <w:rPr>
                            <w:rFonts w:ascii="Times New Roman"/>
                            <w:w w:val="115"/>
                            <w:sz w:val="21"/>
                          </w:rPr>
                          <w:t>more</w:t>
                        </w:r>
                        <w:r>
                          <w:rPr>
                            <w:rFonts w:ascii="Times New Roman"/>
                            <w:spacing w:val="-13"/>
                            <w:w w:val="115"/>
                            <w:sz w:val="21"/>
                          </w:rPr>
                          <w:t> </w:t>
                        </w:r>
                        <w:r>
                          <w:rPr>
                            <w:rFonts w:ascii="Times New Roman"/>
                            <w:w w:val="115"/>
                            <w:sz w:val="21"/>
                          </w:rPr>
                          <w:t>statewide</w:t>
                        </w:r>
                        <w:r>
                          <w:rPr>
                            <w:rFonts w:ascii="Times New Roman"/>
                            <w:spacing w:val="-13"/>
                            <w:w w:val="115"/>
                            <w:sz w:val="21"/>
                          </w:rPr>
                          <w:t> </w:t>
                        </w:r>
                        <w:r>
                          <w:rPr>
                            <w:rFonts w:ascii="Times New Roman"/>
                            <w:w w:val="115"/>
                            <w:sz w:val="21"/>
                          </w:rPr>
                          <w:t>research</w:t>
                        </w:r>
                        <w:r>
                          <w:rPr>
                            <w:rFonts w:ascii="Times New Roman"/>
                            <w:spacing w:val="-13"/>
                            <w:w w:val="115"/>
                            <w:sz w:val="21"/>
                          </w:rPr>
                          <w:t> </w:t>
                        </w:r>
                        <w:r>
                          <w:rPr>
                            <w:rFonts w:ascii="Times New Roman"/>
                            <w:w w:val="115"/>
                            <w:sz w:val="21"/>
                          </w:rPr>
                          <w:t>about</w:t>
                        </w:r>
                        <w:r>
                          <w:rPr>
                            <w:rFonts w:ascii="Times New Roman"/>
                            <w:spacing w:val="-13"/>
                            <w:w w:val="115"/>
                            <w:sz w:val="21"/>
                          </w:rPr>
                          <w:t> </w:t>
                        </w:r>
                        <w:r>
                          <w:rPr>
                            <w:rFonts w:ascii="Times New Roman"/>
                            <w:w w:val="115"/>
                            <w:sz w:val="21"/>
                          </w:rPr>
                          <w:t>mental health and suicide prevention treatment approaches</w:t>
                        </w:r>
                        <w:r>
                          <w:rPr>
                            <w:rFonts w:ascii="Times New Roman"/>
                            <w:spacing w:val="-10"/>
                            <w:w w:val="115"/>
                            <w:sz w:val="21"/>
                          </w:rPr>
                          <w:t> </w:t>
                        </w:r>
                        <w:r>
                          <w:rPr>
                            <w:rFonts w:ascii="Times New Roman"/>
                            <w:w w:val="115"/>
                            <w:sz w:val="21"/>
                          </w:rPr>
                          <w:t>for</w:t>
                        </w:r>
                        <w:r>
                          <w:rPr>
                            <w:rFonts w:ascii="Times New Roman"/>
                            <w:spacing w:val="-10"/>
                            <w:w w:val="115"/>
                            <w:sz w:val="21"/>
                          </w:rPr>
                          <w:t> </w:t>
                        </w:r>
                        <w:r>
                          <w:rPr>
                            <w:rFonts w:ascii="Times New Roman"/>
                            <w:w w:val="115"/>
                            <w:sz w:val="21"/>
                          </w:rPr>
                          <w:t>LGBTQ</w:t>
                        </w:r>
                        <w:r>
                          <w:rPr>
                            <w:rFonts w:ascii="Times New Roman"/>
                            <w:spacing w:val="-10"/>
                            <w:w w:val="115"/>
                            <w:sz w:val="21"/>
                          </w:rPr>
                          <w:t> </w:t>
                        </w:r>
                        <w:r>
                          <w:rPr>
                            <w:rFonts w:ascii="Times New Roman"/>
                            <w:w w:val="115"/>
                            <w:sz w:val="21"/>
                          </w:rPr>
                          <w:t>youth.</w:t>
                        </w:r>
                      </w:p>
                      <w:p>
                        <w:pPr>
                          <w:spacing w:line="240" w:lineRule="auto" w:before="96"/>
                          <w:rPr>
                            <w:rFonts w:ascii="Times New Roman"/>
                            <w:sz w:val="21"/>
                          </w:rPr>
                        </w:pPr>
                      </w:p>
                      <w:p>
                        <w:pPr>
                          <w:spacing w:line="268" w:lineRule="auto" w:before="0"/>
                          <w:ind w:left="1030" w:right="160" w:firstLine="0"/>
                          <w:jc w:val="left"/>
                          <w:rPr>
                            <w:rFonts w:ascii="Times New Roman" w:hAnsi="Times New Roman"/>
                            <w:sz w:val="21"/>
                          </w:rPr>
                        </w:pPr>
                        <w:r>
                          <w:rPr>
                            <w:rFonts w:ascii="Times New Roman" w:hAnsi="Times New Roman"/>
                            <w:w w:val="115"/>
                            <w:sz w:val="21"/>
                          </w:rPr>
                          <w:t>Promote services that address youths’ intersectional identities, including race, </w:t>
                        </w:r>
                        <w:r>
                          <w:rPr>
                            <w:rFonts w:ascii="Times New Roman" w:hAnsi="Times New Roman"/>
                            <w:spacing w:val="-2"/>
                            <w:w w:val="115"/>
                            <w:sz w:val="21"/>
                          </w:rPr>
                          <w:t>ethnicity,</w:t>
                        </w:r>
                        <w:r>
                          <w:rPr>
                            <w:rFonts w:ascii="Times New Roman" w:hAnsi="Times New Roman"/>
                            <w:spacing w:val="-8"/>
                            <w:w w:val="115"/>
                            <w:sz w:val="21"/>
                          </w:rPr>
                          <w:t> </w:t>
                        </w:r>
                        <w:r>
                          <w:rPr>
                            <w:rFonts w:ascii="Times New Roman" w:hAnsi="Times New Roman"/>
                            <w:spacing w:val="-2"/>
                            <w:w w:val="115"/>
                            <w:sz w:val="21"/>
                          </w:rPr>
                          <w:t>immigration,</w:t>
                        </w:r>
                        <w:r>
                          <w:rPr>
                            <w:rFonts w:ascii="Times New Roman" w:hAnsi="Times New Roman"/>
                            <w:spacing w:val="-8"/>
                            <w:w w:val="115"/>
                            <w:sz w:val="21"/>
                          </w:rPr>
                          <w:t> </w:t>
                        </w:r>
                        <w:r>
                          <w:rPr>
                            <w:rFonts w:ascii="Times New Roman" w:hAnsi="Times New Roman"/>
                            <w:spacing w:val="-2"/>
                            <w:w w:val="115"/>
                            <w:sz w:val="21"/>
                          </w:rPr>
                          <w:t>ability,</w:t>
                        </w:r>
                        <w:r>
                          <w:rPr>
                            <w:rFonts w:ascii="Times New Roman" w:hAnsi="Times New Roman"/>
                            <w:spacing w:val="-8"/>
                            <w:w w:val="115"/>
                            <w:sz w:val="21"/>
                          </w:rPr>
                          <w:t> </w:t>
                        </w:r>
                        <w:r>
                          <w:rPr>
                            <w:rFonts w:ascii="Times New Roman" w:hAnsi="Times New Roman"/>
                            <w:spacing w:val="-2"/>
                            <w:w w:val="115"/>
                            <w:sz w:val="21"/>
                          </w:rPr>
                          <w:t>involvement </w:t>
                        </w:r>
                        <w:r>
                          <w:rPr>
                            <w:rFonts w:ascii="Times New Roman" w:hAnsi="Times New Roman"/>
                            <w:w w:val="115"/>
                            <w:sz w:val="21"/>
                          </w:rPr>
                          <w:t>in juvenile justice or foster care, and rural </w:t>
                        </w:r>
                        <w:r>
                          <w:rPr>
                            <w:rFonts w:ascii="Times New Roman" w:hAnsi="Times New Roman"/>
                            <w:spacing w:val="-2"/>
                            <w:w w:val="115"/>
                            <w:sz w:val="21"/>
                          </w:rPr>
                          <w:t>residence.</w:t>
                        </w:r>
                      </w:p>
                      <w:p>
                        <w:pPr>
                          <w:spacing w:line="240" w:lineRule="auto" w:before="114"/>
                          <w:rPr>
                            <w:rFonts w:ascii="Times New Roman"/>
                            <w:sz w:val="21"/>
                          </w:rPr>
                        </w:pPr>
                      </w:p>
                      <w:p>
                        <w:pPr>
                          <w:spacing w:line="268" w:lineRule="auto" w:before="0"/>
                          <w:ind w:left="1013" w:right="558" w:firstLine="0"/>
                          <w:jc w:val="left"/>
                          <w:rPr>
                            <w:rFonts w:ascii="Times New Roman"/>
                            <w:sz w:val="21"/>
                          </w:rPr>
                        </w:pPr>
                        <w:r>
                          <w:rPr>
                            <w:rFonts w:ascii="Times New Roman"/>
                            <w:w w:val="115"/>
                            <w:sz w:val="21"/>
                          </w:rPr>
                          <w:t>Support reforms of the mental</w:t>
                        </w:r>
                        <w:r>
                          <w:rPr>
                            <w:rFonts w:ascii="Times New Roman"/>
                            <w:w w:val="115"/>
                            <w:sz w:val="21"/>
                          </w:rPr>
                          <w:t> healthcare</w:t>
                        </w:r>
                        <w:r>
                          <w:rPr>
                            <w:rFonts w:ascii="Times New Roman"/>
                            <w:spacing w:val="-15"/>
                            <w:w w:val="115"/>
                            <w:sz w:val="21"/>
                          </w:rPr>
                          <w:t> </w:t>
                        </w:r>
                        <w:r>
                          <w:rPr>
                            <w:rFonts w:ascii="Times New Roman"/>
                            <w:w w:val="115"/>
                            <w:sz w:val="21"/>
                          </w:rPr>
                          <w:t>and</w:t>
                        </w:r>
                        <w:r>
                          <w:rPr>
                            <w:rFonts w:ascii="Times New Roman"/>
                            <w:spacing w:val="-15"/>
                            <w:w w:val="115"/>
                            <w:sz w:val="21"/>
                          </w:rPr>
                          <w:t> </w:t>
                        </w:r>
                        <w:r>
                          <w:rPr>
                            <w:rFonts w:ascii="Times New Roman"/>
                            <w:w w:val="115"/>
                            <w:sz w:val="21"/>
                          </w:rPr>
                          <w:t>health</w:t>
                        </w:r>
                        <w:r>
                          <w:rPr>
                            <w:rFonts w:ascii="Times New Roman"/>
                            <w:spacing w:val="-15"/>
                            <w:w w:val="115"/>
                            <w:sz w:val="21"/>
                          </w:rPr>
                          <w:t> </w:t>
                        </w:r>
                        <w:r>
                          <w:rPr>
                            <w:rFonts w:ascii="Times New Roman"/>
                            <w:w w:val="115"/>
                            <w:sz w:val="21"/>
                          </w:rPr>
                          <w:t>insurance</w:t>
                        </w:r>
                        <w:r>
                          <w:rPr>
                            <w:rFonts w:ascii="Times New Roman"/>
                            <w:spacing w:val="-15"/>
                            <w:w w:val="115"/>
                            <w:sz w:val="21"/>
                          </w:rPr>
                          <w:t> </w:t>
                        </w:r>
                        <w:r>
                          <w:rPr>
                            <w:rFonts w:ascii="Times New Roman"/>
                            <w:w w:val="115"/>
                            <w:sz w:val="21"/>
                          </w:rPr>
                          <w:t>systems.</w:t>
                        </w:r>
                      </w:p>
                    </w:txbxContent>
                  </v:textbox>
                  <w10:wrap type="none"/>
                </v:shape>
                <w10:wrap type="none"/>
              </v:group>
            </w:pict>
          </mc:Fallback>
        </mc:AlternateContent>
      </w:r>
      <w:r>
        <w:rPr>
          <w:rFonts w:ascii="Times New Roman"/>
          <w:w w:val="115"/>
        </w:rPr>
        <w:t>Massachusetts</w:t>
      </w:r>
      <w:r>
        <w:rPr>
          <w:rFonts w:ascii="Times New Roman"/>
          <w:spacing w:val="-6"/>
          <w:w w:val="115"/>
        </w:rPr>
        <w:t> </w:t>
      </w:r>
      <w:r>
        <w:rPr>
          <w:rFonts w:ascii="Times New Roman"/>
          <w:w w:val="115"/>
        </w:rPr>
        <w:t>LGBTQ youth</w:t>
      </w:r>
      <w:r>
        <w:rPr>
          <w:rFonts w:ascii="Times New Roman"/>
          <w:spacing w:val="-16"/>
          <w:w w:val="115"/>
        </w:rPr>
        <w:t> </w:t>
      </w:r>
      <w:r>
        <w:rPr>
          <w:rFonts w:ascii="Times New Roman"/>
          <w:w w:val="115"/>
        </w:rPr>
        <w:t>experience</w:t>
      </w:r>
      <w:r>
        <w:rPr>
          <w:rFonts w:ascii="Times New Roman"/>
          <w:spacing w:val="-16"/>
          <w:w w:val="115"/>
        </w:rPr>
        <w:t> </w:t>
      </w:r>
      <w:r>
        <w:rPr>
          <w:rFonts w:ascii="Times New Roman"/>
          <w:w w:val="115"/>
        </w:rPr>
        <w:t>anxiety</w:t>
      </w:r>
    </w:p>
    <w:p>
      <w:pPr>
        <w:pStyle w:val="BodyText"/>
        <w:rPr>
          <w:rFonts w:ascii="Times New Roman"/>
          <w:sz w:val="20"/>
        </w:rPr>
      </w:pPr>
    </w:p>
    <w:p>
      <w:pPr>
        <w:pStyle w:val="BodyText"/>
        <w:spacing w:before="161" w:after="1"/>
        <w:rPr>
          <w:rFonts w:ascii="Times New Roman"/>
          <w:sz w:val="20"/>
        </w:rPr>
      </w:pPr>
    </w:p>
    <w:p>
      <w:pPr>
        <w:pStyle w:val="BodyText"/>
        <w:spacing w:line="20" w:lineRule="exact"/>
        <w:ind w:left="-370"/>
        <w:rPr>
          <w:rFonts w:ascii="Times New Roman"/>
          <w:sz w:val="2"/>
        </w:rPr>
      </w:pPr>
      <w:r>
        <w:rPr>
          <w:rFonts w:ascii="Times New Roman"/>
          <w:sz w:val="2"/>
        </w:rPr>
        <mc:AlternateContent>
          <mc:Choice Requires="wps">
            <w:drawing>
              <wp:inline distT="0" distB="0" distL="0" distR="0">
                <wp:extent cx="2773680" cy="28575"/>
                <wp:effectExtent l="19050" t="0" r="7619" b="0"/>
                <wp:docPr id="251" name="Group 251"/>
                <wp:cNvGraphicFramePr>
                  <a:graphicFrameLocks/>
                </wp:cNvGraphicFramePr>
                <a:graphic>
                  <a:graphicData uri="http://schemas.microsoft.com/office/word/2010/wordprocessingGroup">
                    <wpg:wgp>
                      <wpg:cNvPr id="251" name="Group 251"/>
                      <wpg:cNvGrpSpPr/>
                      <wpg:grpSpPr>
                        <a:xfrm>
                          <a:off x="0" y="0"/>
                          <a:ext cx="2773680" cy="28575"/>
                          <a:chExt cx="2773680" cy="28575"/>
                        </a:xfrm>
                      </wpg:grpSpPr>
                      <wps:wsp>
                        <wps:cNvPr id="252" name="Graphic 252"/>
                        <wps:cNvSpPr/>
                        <wps:spPr>
                          <a:xfrm>
                            <a:off x="0" y="14287"/>
                            <a:ext cx="2773680" cy="1270"/>
                          </a:xfrm>
                          <a:custGeom>
                            <a:avLst/>
                            <a:gdLst/>
                            <a:ahLst/>
                            <a:cxnLst/>
                            <a:rect l="l" t="t" r="r" b="b"/>
                            <a:pathLst>
                              <a:path w="2773680" h="0">
                                <a:moveTo>
                                  <a:pt x="0" y="0"/>
                                </a:moveTo>
                                <a:lnTo>
                                  <a:pt x="2773600" y="0"/>
                                </a:lnTo>
                              </a:path>
                            </a:pathLst>
                          </a:custGeom>
                          <a:ln w="28574">
                            <a:solidFill>
                              <a:srgbClr val="1B6A4E"/>
                            </a:solidFill>
                            <a:prstDash val="sysDash"/>
                          </a:ln>
                        </wps:spPr>
                        <wps:bodyPr wrap="square" lIns="0" tIns="0" rIns="0" bIns="0" rtlCol="0">
                          <a:prstTxWarp prst="textNoShape">
                            <a:avLst/>
                          </a:prstTxWarp>
                          <a:noAutofit/>
                        </wps:bodyPr>
                      </wps:wsp>
                    </wpg:wgp>
                  </a:graphicData>
                </a:graphic>
              </wp:inline>
            </w:drawing>
          </mc:Choice>
          <mc:Fallback>
            <w:pict>
              <v:group style="width:218.4pt;height:2.25pt;mso-position-horizontal-relative:char;mso-position-vertical-relative:line" id="docshapegroup200" coordorigin="0,0" coordsize="4368,45">
                <v:line style="position:absolute" from="0,23" to="4368,23" stroked="true" strokeweight="2.25pt" strokecolor="#1b6a4e">
                  <v:stroke dashstyle="shortdash"/>
                </v:line>
              </v:group>
            </w:pict>
          </mc:Fallback>
        </mc:AlternateContent>
      </w:r>
      <w:r>
        <w:rPr>
          <w:rFonts w:ascii="Times New Roman"/>
          <w:sz w:val="2"/>
        </w:rPr>
      </w:r>
    </w:p>
    <w:p>
      <w:pPr>
        <w:pStyle w:val="Heading4"/>
        <w:ind w:left="195" w:right="1273"/>
        <w:jc w:val="center"/>
      </w:pPr>
      <w:r>
        <w:rPr>
          <w:emboss/>
          <w:color w:val="1B6A4E"/>
          <w:spacing w:val="19"/>
          <w:w w:val="75"/>
        </w:rPr>
        <w:t>11%</w:t>
      </w:r>
    </w:p>
    <w:p>
      <w:pPr>
        <w:pStyle w:val="BodyText"/>
        <w:spacing w:line="264" w:lineRule="auto"/>
        <w:ind w:left="470" w:right="1548" w:hanging="1"/>
        <w:jc w:val="center"/>
        <w:rPr>
          <w:rFonts w:ascii="Times New Roman"/>
        </w:rPr>
      </w:pPr>
      <w:r>
        <w:rPr>
          <w:rFonts w:ascii="Times New Roman"/>
          <w:w w:val="115"/>
        </w:rPr>
        <w:t>of</w:t>
      </w:r>
      <w:r>
        <w:rPr>
          <w:rFonts w:ascii="Times New Roman"/>
          <w:spacing w:val="-6"/>
          <w:w w:val="115"/>
        </w:rPr>
        <w:t> </w:t>
      </w:r>
      <w:r>
        <w:rPr>
          <w:rFonts w:ascii="Times New Roman"/>
          <w:w w:val="115"/>
        </w:rPr>
        <w:t>Massachusetts</w:t>
      </w:r>
      <w:r>
        <w:rPr>
          <w:rFonts w:ascii="Times New Roman"/>
          <w:spacing w:val="-6"/>
          <w:w w:val="115"/>
        </w:rPr>
        <w:t> </w:t>
      </w:r>
      <w:r>
        <w:rPr>
          <w:rFonts w:ascii="Times New Roman"/>
          <w:w w:val="115"/>
        </w:rPr>
        <w:t>LGBTQ youth</w:t>
      </w:r>
      <w:r>
        <w:rPr>
          <w:rFonts w:ascii="Times New Roman"/>
          <w:spacing w:val="-9"/>
          <w:w w:val="115"/>
        </w:rPr>
        <w:t> </w:t>
      </w:r>
      <w:r>
        <w:rPr>
          <w:rFonts w:ascii="Times New Roman"/>
          <w:w w:val="115"/>
        </w:rPr>
        <w:t>attempted</w:t>
      </w:r>
      <w:r>
        <w:rPr>
          <w:rFonts w:ascii="Times New Roman"/>
          <w:spacing w:val="-9"/>
          <w:w w:val="115"/>
        </w:rPr>
        <w:t> </w:t>
      </w:r>
      <w:r>
        <w:rPr>
          <w:rFonts w:ascii="Times New Roman"/>
          <w:w w:val="115"/>
        </w:rPr>
        <w:t>suicide</w:t>
      </w:r>
      <w:r>
        <w:rPr>
          <w:rFonts w:ascii="Times New Roman"/>
          <w:spacing w:val="-9"/>
          <w:w w:val="115"/>
        </w:rPr>
        <w:t> </w:t>
      </w:r>
      <w:r>
        <w:rPr>
          <w:rFonts w:ascii="Times New Roman"/>
          <w:w w:val="115"/>
        </w:rPr>
        <w:t>in the past year</w:t>
      </w:r>
    </w:p>
    <w:p>
      <w:pPr>
        <w:spacing w:after="0" w:line="264" w:lineRule="auto"/>
        <w:jc w:val="center"/>
        <w:rPr>
          <w:rFonts w:ascii="Times New Roman"/>
        </w:rPr>
        <w:sectPr>
          <w:type w:val="continuous"/>
          <w:pgSz w:w="12240" w:h="15840"/>
          <w:pgMar w:header="0" w:footer="0" w:top="1420" w:bottom="280" w:left="920" w:right="300"/>
          <w:cols w:num="2" w:equalWidth="0">
            <w:col w:w="5433" w:space="877"/>
            <w:col w:w="4710"/>
          </w:cols>
        </w:sectPr>
      </w:pPr>
    </w:p>
    <w:p>
      <w:pPr>
        <w:pStyle w:val="BodyText"/>
        <w:ind w:left="6559"/>
        <w:rPr>
          <w:rFonts w:ascii="Times New Roman"/>
          <w:sz w:val="20"/>
        </w:rPr>
      </w:pPr>
      <w:r>
        <w:rPr/>
        <mc:AlternateContent>
          <mc:Choice Requires="wps">
            <w:drawing>
              <wp:anchor distT="0" distB="0" distL="0" distR="0" allowOverlap="1" layoutInCell="1" locked="0" behindDoc="1" simplePos="0" relativeHeight="482591232">
                <wp:simplePos x="0" y="0"/>
                <wp:positionH relativeFrom="page">
                  <wp:posOffset>0</wp:posOffset>
                </wp:positionH>
                <wp:positionV relativeFrom="page">
                  <wp:posOffset>0</wp:posOffset>
                </wp:positionV>
                <wp:extent cx="7772400" cy="5330190"/>
                <wp:effectExtent l="0" t="0" r="0" b="0"/>
                <wp:wrapNone/>
                <wp:docPr id="253" name="Group 253"/>
                <wp:cNvGraphicFramePr>
                  <a:graphicFrameLocks/>
                </wp:cNvGraphicFramePr>
                <a:graphic>
                  <a:graphicData uri="http://schemas.microsoft.com/office/word/2010/wordprocessingGroup">
                    <wpg:wgp>
                      <wpg:cNvPr id="253" name="Group 253"/>
                      <wpg:cNvGrpSpPr/>
                      <wpg:grpSpPr>
                        <a:xfrm>
                          <a:off x="0" y="0"/>
                          <a:ext cx="7772400" cy="5330190"/>
                          <a:chExt cx="7772400" cy="5330190"/>
                        </a:xfrm>
                      </wpg:grpSpPr>
                      <pic:pic>
                        <pic:nvPicPr>
                          <pic:cNvPr id="254" name="Image 254"/>
                          <pic:cNvPicPr/>
                        </pic:nvPicPr>
                        <pic:blipFill>
                          <a:blip r:embed="rId273" cstate="print"/>
                          <a:stretch>
                            <a:fillRect/>
                          </a:stretch>
                        </pic:blipFill>
                        <pic:spPr>
                          <a:xfrm>
                            <a:off x="0" y="0"/>
                            <a:ext cx="7772400" cy="3201631"/>
                          </a:xfrm>
                          <a:prstGeom prst="rect">
                            <a:avLst/>
                          </a:prstGeom>
                        </pic:spPr>
                      </pic:pic>
                      <pic:pic>
                        <pic:nvPicPr>
                          <pic:cNvPr id="255" name="Image 255"/>
                          <pic:cNvPicPr/>
                        </pic:nvPicPr>
                        <pic:blipFill>
                          <a:blip r:embed="rId98" cstate="print"/>
                          <a:stretch>
                            <a:fillRect/>
                          </a:stretch>
                        </pic:blipFill>
                        <pic:spPr>
                          <a:xfrm>
                            <a:off x="4978374" y="735421"/>
                            <a:ext cx="1480888" cy="1480632"/>
                          </a:xfrm>
                          <a:prstGeom prst="rect">
                            <a:avLst/>
                          </a:prstGeom>
                        </pic:spPr>
                      </pic:pic>
                      <wps:wsp>
                        <wps:cNvPr id="256" name="Graphic 256"/>
                        <wps:cNvSpPr/>
                        <wps:spPr>
                          <a:xfrm>
                            <a:off x="4964629" y="721667"/>
                            <a:ext cx="1508125" cy="1508125"/>
                          </a:xfrm>
                          <a:custGeom>
                            <a:avLst/>
                            <a:gdLst/>
                            <a:ahLst/>
                            <a:cxnLst/>
                            <a:rect l="l" t="t" r="r" b="b"/>
                            <a:pathLst>
                              <a:path w="1508125" h="1508125">
                                <a:moveTo>
                                  <a:pt x="754061" y="1508119"/>
                                </a:moveTo>
                                <a:lnTo>
                                  <a:pt x="706443" y="1506633"/>
                                </a:lnTo>
                                <a:lnTo>
                                  <a:pt x="659603" y="1502233"/>
                                </a:lnTo>
                                <a:lnTo>
                                  <a:pt x="613628" y="1495009"/>
                                </a:lnTo>
                                <a:lnTo>
                                  <a:pt x="568609" y="1485050"/>
                                </a:lnTo>
                                <a:lnTo>
                                  <a:pt x="524634" y="1472444"/>
                                </a:lnTo>
                                <a:lnTo>
                                  <a:pt x="481792" y="1457281"/>
                                </a:lnTo>
                                <a:lnTo>
                                  <a:pt x="440173" y="1439650"/>
                                </a:lnTo>
                                <a:lnTo>
                                  <a:pt x="399864" y="1419640"/>
                                </a:lnTo>
                                <a:lnTo>
                                  <a:pt x="360956" y="1397339"/>
                                </a:lnTo>
                                <a:lnTo>
                                  <a:pt x="323537" y="1372837"/>
                                </a:lnTo>
                                <a:lnTo>
                                  <a:pt x="287696" y="1346223"/>
                                </a:lnTo>
                                <a:lnTo>
                                  <a:pt x="253523" y="1317586"/>
                                </a:lnTo>
                                <a:lnTo>
                                  <a:pt x="221106" y="1287014"/>
                                </a:lnTo>
                                <a:lnTo>
                                  <a:pt x="190534" y="1254598"/>
                                </a:lnTo>
                                <a:lnTo>
                                  <a:pt x="161896" y="1220425"/>
                                </a:lnTo>
                                <a:lnTo>
                                  <a:pt x="135282" y="1184585"/>
                                </a:lnTo>
                                <a:lnTo>
                                  <a:pt x="110780" y="1147166"/>
                                </a:lnTo>
                                <a:lnTo>
                                  <a:pt x="88479" y="1108259"/>
                                </a:lnTo>
                                <a:lnTo>
                                  <a:pt x="68468" y="1067951"/>
                                </a:lnTo>
                                <a:lnTo>
                                  <a:pt x="50770" y="1026142"/>
                                </a:lnTo>
                                <a:lnTo>
                                  <a:pt x="35669" y="983473"/>
                                </a:lnTo>
                                <a:lnTo>
                                  <a:pt x="23075" y="939517"/>
                                </a:lnTo>
                                <a:lnTo>
                                  <a:pt x="13118" y="894499"/>
                                </a:lnTo>
                                <a:lnTo>
                                  <a:pt x="5894" y="848526"/>
                                </a:lnTo>
                                <a:lnTo>
                                  <a:pt x="1491" y="801686"/>
                                </a:lnTo>
                                <a:lnTo>
                                  <a:pt x="0" y="754070"/>
                                </a:lnTo>
                                <a:lnTo>
                                  <a:pt x="1494" y="706368"/>
                                </a:lnTo>
                                <a:lnTo>
                                  <a:pt x="5906" y="659480"/>
                                </a:lnTo>
                                <a:lnTo>
                                  <a:pt x="13140" y="613502"/>
                                </a:lnTo>
                                <a:lnTo>
                                  <a:pt x="23094" y="568530"/>
                                </a:lnTo>
                                <a:lnTo>
                                  <a:pt x="35676" y="524643"/>
                                </a:lnTo>
                                <a:lnTo>
                                  <a:pt x="50851" y="481801"/>
                                </a:lnTo>
                                <a:lnTo>
                                  <a:pt x="68470" y="440181"/>
                                </a:lnTo>
                                <a:lnTo>
                                  <a:pt x="88480" y="399872"/>
                                </a:lnTo>
                                <a:lnTo>
                                  <a:pt x="110781" y="360964"/>
                                </a:lnTo>
                                <a:lnTo>
                                  <a:pt x="135284" y="323544"/>
                                </a:lnTo>
                                <a:lnTo>
                                  <a:pt x="161898" y="287703"/>
                                </a:lnTo>
                                <a:lnTo>
                                  <a:pt x="190536" y="253529"/>
                                </a:lnTo>
                                <a:lnTo>
                                  <a:pt x="221108" y="221111"/>
                                </a:lnTo>
                                <a:lnTo>
                                  <a:pt x="253526" y="190539"/>
                                </a:lnTo>
                                <a:lnTo>
                                  <a:pt x="287699" y="161901"/>
                                </a:lnTo>
                                <a:lnTo>
                                  <a:pt x="323540" y="135286"/>
                                </a:lnTo>
                                <a:lnTo>
                                  <a:pt x="360959" y="110783"/>
                                </a:lnTo>
                                <a:lnTo>
                                  <a:pt x="399867" y="88482"/>
                                </a:lnTo>
                                <a:lnTo>
                                  <a:pt x="440175" y="68471"/>
                                </a:lnTo>
                                <a:lnTo>
                                  <a:pt x="481795" y="50839"/>
                                </a:lnTo>
                                <a:lnTo>
                                  <a:pt x="524636" y="35676"/>
                                </a:lnTo>
                                <a:lnTo>
                                  <a:pt x="568611" y="23070"/>
                                </a:lnTo>
                                <a:lnTo>
                                  <a:pt x="613630" y="13110"/>
                                </a:lnTo>
                                <a:lnTo>
                                  <a:pt x="659604" y="5886"/>
                                </a:lnTo>
                                <a:lnTo>
                                  <a:pt x="706444" y="1486"/>
                                </a:lnTo>
                                <a:lnTo>
                                  <a:pt x="754061" y="0"/>
                                </a:lnTo>
                                <a:lnTo>
                                  <a:pt x="801678" y="1486"/>
                                </a:lnTo>
                                <a:lnTo>
                                  <a:pt x="848519" y="5886"/>
                                </a:lnTo>
                                <a:lnTo>
                                  <a:pt x="894494" y="13110"/>
                                </a:lnTo>
                                <a:lnTo>
                                  <a:pt x="939513" y="23070"/>
                                </a:lnTo>
                                <a:lnTo>
                                  <a:pt x="954942" y="27493"/>
                                </a:lnTo>
                                <a:lnTo>
                                  <a:pt x="754061" y="27493"/>
                                </a:lnTo>
                                <a:lnTo>
                                  <a:pt x="706360" y="29041"/>
                                </a:lnTo>
                                <a:lnTo>
                                  <a:pt x="659472" y="33622"/>
                                </a:lnTo>
                                <a:lnTo>
                                  <a:pt x="613495" y="41139"/>
                                </a:lnTo>
                                <a:lnTo>
                                  <a:pt x="568524" y="51496"/>
                                </a:lnTo>
                                <a:lnTo>
                                  <a:pt x="524656" y="64596"/>
                                </a:lnTo>
                                <a:lnTo>
                                  <a:pt x="481987" y="80342"/>
                                </a:lnTo>
                                <a:lnTo>
                                  <a:pt x="440615" y="98639"/>
                                </a:lnTo>
                                <a:lnTo>
                                  <a:pt x="400634" y="119389"/>
                                </a:lnTo>
                                <a:lnTo>
                                  <a:pt x="362143" y="142496"/>
                                </a:lnTo>
                                <a:lnTo>
                                  <a:pt x="325237" y="167865"/>
                                </a:lnTo>
                                <a:lnTo>
                                  <a:pt x="290013" y="195397"/>
                                </a:lnTo>
                                <a:lnTo>
                                  <a:pt x="256567" y="224997"/>
                                </a:lnTo>
                                <a:lnTo>
                                  <a:pt x="224996" y="256569"/>
                                </a:lnTo>
                                <a:lnTo>
                                  <a:pt x="195396" y="290015"/>
                                </a:lnTo>
                                <a:lnTo>
                                  <a:pt x="167863" y="325240"/>
                                </a:lnTo>
                                <a:lnTo>
                                  <a:pt x="142496" y="362147"/>
                                </a:lnTo>
                                <a:lnTo>
                                  <a:pt x="119388" y="400639"/>
                                </a:lnTo>
                                <a:lnTo>
                                  <a:pt x="98638" y="440619"/>
                                </a:lnTo>
                                <a:lnTo>
                                  <a:pt x="80342" y="481993"/>
                                </a:lnTo>
                                <a:lnTo>
                                  <a:pt x="64597" y="524662"/>
                                </a:lnTo>
                                <a:lnTo>
                                  <a:pt x="51475" y="568619"/>
                                </a:lnTo>
                                <a:lnTo>
                                  <a:pt x="41117" y="613638"/>
                                </a:lnTo>
                                <a:lnTo>
                                  <a:pt x="33609" y="659613"/>
                                </a:lnTo>
                                <a:lnTo>
                                  <a:pt x="29039" y="706453"/>
                                </a:lnTo>
                                <a:lnTo>
                                  <a:pt x="27493" y="754070"/>
                                </a:lnTo>
                                <a:lnTo>
                                  <a:pt x="29047" y="801771"/>
                                </a:lnTo>
                                <a:lnTo>
                                  <a:pt x="33631" y="848659"/>
                                </a:lnTo>
                                <a:lnTo>
                                  <a:pt x="41148" y="894637"/>
                                </a:lnTo>
                                <a:lnTo>
                                  <a:pt x="51502" y="939608"/>
                                </a:lnTo>
                                <a:lnTo>
                                  <a:pt x="64602" y="983492"/>
                                </a:lnTo>
                                <a:lnTo>
                                  <a:pt x="80341" y="1026142"/>
                                </a:lnTo>
                                <a:lnTo>
                                  <a:pt x="98638" y="1067517"/>
                                </a:lnTo>
                                <a:lnTo>
                                  <a:pt x="119388" y="1107497"/>
                                </a:lnTo>
                                <a:lnTo>
                                  <a:pt x="142496" y="1145988"/>
                                </a:lnTo>
                                <a:lnTo>
                                  <a:pt x="167864" y="1182894"/>
                                </a:lnTo>
                                <a:lnTo>
                                  <a:pt x="195396" y="1218118"/>
                                </a:lnTo>
                                <a:lnTo>
                                  <a:pt x="224996" y="1251564"/>
                                </a:lnTo>
                                <a:lnTo>
                                  <a:pt x="256567" y="1283135"/>
                                </a:lnTo>
                                <a:lnTo>
                                  <a:pt x="290013" y="1312734"/>
                                </a:lnTo>
                                <a:lnTo>
                                  <a:pt x="325237" y="1340266"/>
                                </a:lnTo>
                                <a:lnTo>
                                  <a:pt x="362143" y="1365634"/>
                                </a:lnTo>
                                <a:lnTo>
                                  <a:pt x="400635" y="1388741"/>
                                </a:lnTo>
                                <a:lnTo>
                                  <a:pt x="440615" y="1409491"/>
                                </a:lnTo>
                                <a:lnTo>
                                  <a:pt x="481988" y="1427787"/>
                                </a:lnTo>
                                <a:lnTo>
                                  <a:pt x="524656" y="1443533"/>
                                </a:lnTo>
                                <a:lnTo>
                                  <a:pt x="568524" y="1456632"/>
                                </a:lnTo>
                                <a:lnTo>
                                  <a:pt x="613495" y="1466989"/>
                                </a:lnTo>
                                <a:lnTo>
                                  <a:pt x="659473" y="1474506"/>
                                </a:lnTo>
                                <a:lnTo>
                                  <a:pt x="706361" y="1479087"/>
                                </a:lnTo>
                                <a:lnTo>
                                  <a:pt x="754061" y="1480635"/>
                                </a:lnTo>
                                <a:lnTo>
                                  <a:pt x="954914" y="1480635"/>
                                </a:lnTo>
                                <a:lnTo>
                                  <a:pt x="939512" y="1485050"/>
                                </a:lnTo>
                                <a:lnTo>
                                  <a:pt x="894493" y="1495009"/>
                                </a:lnTo>
                                <a:lnTo>
                                  <a:pt x="848519" y="1502233"/>
                                </a:lnTo>
                                <a:lnTo>
                                  <a:pt x="801678" y="1506633"/>
                                </a:lnTo>
                                <a:lnTo>
                                  <a:pt x="754061" y="1508119"/>
                                </a:lnTo>
                                <a:close/>
                              </a:path>
                              <a:path w="1508125" h="1508125">
                                <a:moveTo>
                                  <a:pt x="954914" y="1480635"/>
                                </a:moveTo>
                                <a:lnTo>
                                  <a:pt x="754061" y="1480635"/>
                                </a:lnTo>
                                <a:lnTo>
                                  <a:pt x="801761" y="1479087"/>
                                </a:lnTo>
                                <a:lnTo>
                                  <a:pt x="848648" y="1474506"/>
                                </a:lnTo>
                                <a:lnTo>
                                  <a:pt x="894626" y="1466989"/>
                                </a:lnTo>
                                <a:lnTo>
                                  <a:pt x="939597" y="1456632"/>
                                </a:lnTo>
                                <a:lnTo>
                                  <a:pt x="983465" y="1443532"/>
                                </a:lnTo>
                                <a:lnTo>
                                  <a:pt x="1026134" y="1427786"/>
                                </a:lnTo>
                                <a:lnTo>
                                  <a:pt x="1067507" y="1409490"/>
                                </a:lnTo>
                                <a:lnTo>
                                  <a:pt x="1107487" y="1388740"/>
                                </a:lnTo>
                                <a:lnTo>
                                  <a:pt x="1145979" y="1365633"/>
                                </a:lnTo>
                                <a:lnTo>
                                  <a:pt x="1182885" y="1340265"/>
                                </a:lnTo>
                                <a:lnTo>
                                  <a:pt x="1218110" y="1312732"/>
                                </a:lnTo>
                                <a:lnTo>
                                  <a:pt x="1251556" y="1283133"/>
                                </a:lnTo>
                                <a:lnTo>
                                  <a:pt x="1283128" y="1251562"/>
                                </a:lnTo>
                                <a:lnTo>
                                  <a:pt x="1312728" y="1218116"/>
                                </a:lnTo>
                                <a:lnTo>
                                  <a:pt x="1340261" y="1182892"/>
                                </a:lnTo>
                                <a:lnTo>
                                  <a:pt x="1365629" y="1145986"/>
                                </a:lnTo>
                                <a:lnTo>
                                  <a:pt x="1388737" y="1107494"/>
                                </a:lnTo>
                                <a:lnTo>
                                  <a:pt x="1409488" y="1067514"/>
                                </a:lnTo>
                                <a:lnTo>
                                  <a:pt x="1427785" y="1026142"/>
                                </a:lnTo>
                                <a:lnTo>
                                  <a:pt x="1443530" y="983473"/>
                                </a:lnTo>
                                <a:lnTo>
                                  <a:pt x="1456652" y="939517"/>
                                </a:lnTo>
                                <a:lnTo>
                                  <a:pt x="1467010" y="894499"/>
                                </a:lnTo>
                                <a:lnTo>
                                  <a:pt x="1474518" y="848526"/>
                                </a:lnTo>
                                <a:lnTo>
                                  <a:pt x="1479089" y="801686"/>
                                </a:lnTo>
                                <a:lnTo>
                                  <a:pt x="1480635" y="754070"/>
                                </a:lnTo>
                                <a:lnTo>
                                  <a:pt x="1479081" y="706368"/>
                                </a:lnTo>
                                <a:lnTo>
                                  <a:pt x="1474497" y="659480"/>
                                </a:lnTo>
                                <a:lnTo>
                                  <a:pt x="1466979" y="613502"/>
                                </a:lnTo>
                                <a:lnTo>
                                  <a:pt x="1456625" y="568530"/>
                                </a:lnTo>
                                <a:lnTo>
                                  <a:pt x="1443524" y="524643"/>
                                </a:lnTo>
                                <a:lnTo>
                                  <a:pt x="1427785" y="481993"/>
                                </a:lnTo>
                                <a:lnTo>
                                  <a:pt x="1409488" y="440619"/>
                                </a:lnTo>
                                <a:lnTo>
                                  <a:pt x="1388737" y="400639"/>
                                </a:lnTo>
                                <a:lnTo>
                                  <a:pt x="1365630" y="362147"/>
                                </a:lnTo>
                                <a:lnTo>
                                  <a:pt x="1340261" y="325240"/>
                                </a:lnTo>
                                <a:lnTo>
                                  <a:pt x="1312729" y="290015"/>
                                </a:lnTo>
                                <a:lnTo>
                                  <a:pt x="1283128" y="256569"/>
                                </a:lnTo>
                                <a:lnTo>
                                  <a:pt x="1251557" y="224997"/>
                                </a:lnTo>
                                <a:lnTo>
                                  <a:pt x="1218110" y="195397"/>
                                </a:lnTo>
                                <a:lnTo>
                                  <a:pt x="1182886" y="167865"/>
                                </a:lnTo>
                                <a:lnTo>
                                  <a:pt x="1145979" y="142496"/>
                                </a:lnTo>
                                <a:lnTo>
                                  <a:pt x="1107487" y="119389"/>
                                </a:lnTo>
                                <a:lnTo>
                                  <a:pt x="1067507" y="98639"/>
                                </a:lnTo>
                                <a:lnTo>
                                  <a:pt x="1026134" y="80342"/>
                                </a:lnTo>
                                <a:lnTo>
                                  <a:pt x="983465" y="64596"/>
                                </a:lnTo>
                                <a:lnTo>
                                  <a:pt x="939597" y="51496"/>
                                </a:lnTo>
                                <a:lnTo>
                                  <a:pt x="894626" y="41139"/>
                                </a:lnTo>
                                <a:lnTo>
                                  <a:pt x="848649" y="33622"/>
                                </a:lnTo>
                                <a:lnTo>
                                  <a:pt x="801762" y="29041"/>
                                </a:lnTo>
                                <a:lnTo>
                                  <a:pt x="754061" y="27493"/>
                                </a:lnTo>
                                <a:lnTo>
                                  <a:pt x="954942" y="27493"/>
                                </a:lnTo>
                                <a:lnTo>
                                  <a:pt x="1026330" y="50839"/>
                                </a:lnTo>
                                <a:lnTo>
                                  <a:pt x="1067949" y="68471"/>
                                </a:lnTo>
                                <a:lnTo>
                                  <a:pt x="1108258" y="88482"/>
                                </a:lnTo>
                                <a:lnTo>
                                  <a:pt x="1147166" y="110784"/>
                                </a:lnTo>
                                <a:lnTo>
                                  <a:pt x="1184585" y="135287"/>
                                </a:lnTo>
                                <a:lnTo>
                                  <a:pt x="1220425" y="161902"/>
                                </a:lnTo>
                                <a:lnTo>
                                  <a:pt x="1254599" y="190540"/>
                                </a:lnTo>
                                <a:lnTo>
                                  <a:pt x="1287016" y="221113"/>
                                </a:lnTo>
                                <a:lnTo>
                                  <a:pt x="1317588" y="253530"/>
                                </a:lnTo>
                                <a:lnTo>
                                  <a:pt x="1346225" y="287704"/>
                                </a:lnTo>
                                <a:lnTo>
                                  <a:pt x="1372840" y="323546"/>
                                </a:lnTo>
                                <a:lnTo>
                                  <a:pt x="1397342" y="360965"/>
                                </a:lnTo>
                                <a:lnTo>
                                  <a:pt x="1419643" y="399874"/>
                                </a:lnTo>
                                <a:lnTo>
                                  <a:pt x="1439653" y="440182"/>
                                </a:lnTo>
                                <a:lnTo>
                                  <a:pt x="1457352" y="481993"/>
                                </a:lnTo>
                                <a:lnTo>
                                  <a:pt x="1472452" y="524662"/>
                                </a:lnTo>
                                <a:lnTo>
                                  <a:pt x="1485047" y="568619"/>
                                </a:lnTo>
                                <a:lnTo>
                                  <a:pt x="1495003" y="613638"/>
                                </a:lnTo>
                                <a:lnTo>
                                  <a:pt x="1502228" y="659613"/>
                                </a:lnTo>
                                <a:lnTo>
                                  <a:pt x="1506630" y="706453"/>
                                </a:lnTo>
                                <a:lnTo>
                                  <a:pt x="1508122" y="754070"/>
                                </a:lnTo>
                                <a:lnTo>
                                  <a:pt x="1506628" y="801771"/>
                                </a:lnTo>
                                <a:lnTo>
                                  <a:pt x="1502215" y="848659"/>
                                </a:lnTo>
                                <a:lnTo>
                                  <a:pt x="1494982" y="894637"/>
                                </a:lnTo>
                                <a:lnTo>
                                  <a:pt x="1485027" y="939608"/>
                                </a:lnTo>
                                <a:lnTo>
                                  <a:pt x="1472446" y="983492"/>
                                </a:lnTo>
                                <a:lnTo>
                                  <a:pt x="1457271" y="1026333"/>
                                </a:lnTo>
                                <a:lnTo>
                                  <a:pt x="1439652" y="1067952"/>
                                </a:lnTo>
                                <a:lnTo>
                                  <a:pt x="1419642" y="1108260"/>
                                </a:lnTo>
                                <a:lnTo>
                                  <a:pt x="1397341" y="1147168"/>
                                </a:lnTo>
                                <a:lnTo>
                                  <a:pt x="1372839" y="1184586"/>
                                </a:lnTo>
                                <a:lnTo>
                                  <a:pt x="1346224" y="1220426"/>
                                </a:lnTo>
                                <a:lnTo>
                                  <a:pt x="1317587" y="1254599"/>
                                </a:lnTo>
                                <a:lnTo>
                                  <a:pt x="1287015" y="1287016"/>
                                </a:lnTo>
                                <a:lnTo>
                                  <a:pt x="1254598" y="1317587"/>
                                </a:lnTo>
                                <a:lnTo>
                                  <a:pt x="1220424" y="1346224"/>
                                </a:lnTo>
                                <a:lnTo>
                                  <a:pt x="1184584" y="1372838"/>
                                </a:lnTo>
                                <a:lnTo>
                                  <a:pt x="1147165" y="1397340"/>
                                </a:lnTo>
                                <a:lnTo>
                                  <a:pt x="1108257" y="1419641"/>
                                </a:lnTo>
                                <a:lnTo>
                                  <a:pt x="1067948" y="1439651"/>
                                </a:lnTo>
                                <a:lnTo>
                                  <a:pt x="1026329" y="1457282"/>
                                </a:lnTo>
                                <a:lnTo>
                                  <a:pt x="983487" y="1472445"/>
                                </a:lnTo>
                                <a:lnTo>
                                  <a:pt x="954914" y="1480635"/>
                                </a:lnTo>
                                <a:close/>
                              </a:path>
                            </a:pathLst>
                          </a:custGeom>
                          <a:solidFill>
                            <a:srgbClr val="FFFFFF"/>
                          </a:solidFill>
                        </wps:spPr>
                        <wps:bodyPr wrap="square" lIns="0" tIns="0" rIns="0" bIns="0" rtlCol="0">
                          <a:prstTxWarp prst="textNoShape">
                            <a:avLst/>
                          </a:prstTxWarp>
                          <a:noAutofit/>
                        </wps:bodyPr>
                      </wps:wsp>
                      <pic:pic>
                        <pic:nvPicPr>
                          <pic:cNvPr id="257" name="Image 257"/>
                          <pic:cNvPicPr/>
                        </pic:nvPicPr>
                        <pic:blipFill>
                          <a:blip r:embed="rId274" cstate="print"/>
                          <a:stretch>
                            <a:fillRect/>
                          </a:stretch>
                        </pic:blipFill>
                        <pic:spPr>
                          <a:xfrm>
                            <a:off x="655211" y="2933569"/>
                            <a:ext cx="3472760" cy="2396298"/>
                          </a:xfrm>
                          <a:prstGeom prst="rect">
                            <a:avLst/>
                          </a:prstGeom>
                        </pic:spPr>
                      </pic:pic>
                    </wpg:wgp>
                  </a:graphicData>
                </a:graphic>
              </wp:anchor>
            </w:drawing>
          </mc:Choice>
          <mc:Fallback>
            <w:pict>
              <v:group style="position:absolute;margin-left:-.000009pt;margin-top:-.000015pt;width:612pt;height:419.7pt;mso-position-horizontal-relative:page;mso-position-vertical-relative:page;z-index:-20725248" id="docshapegroup201" coordorigin="0,0" coordsize="12240,8394">
                <v:shape style="position:absolute;left:0;top:0;width:12240;height:5042" type="#_x0000_t75" id="docshape202" stroked="false">
                  <v:imagedata r:id="rId273" o:title=""/>
                </v:shape>
                <v:shape style="position:absolute;left:7839;top:1158;width:2333;height:2332" type="#_x0000_t75" id="docshape203" stroked="false">
                  <v:imagedata r:id="rId98" o:title=""/>
                </v:shape>
                <v:shape style="position:absolute;left:7818;top:1136;width:2375;height:2375" id="docshape204" coordorigin="7818,1136" coordsize="2375,2375" path="m9006,3511l8931,3509,8857,3502,8785,3491,8714,3475,8645,3455,8577,3431,8511,3404,8448,3372,8387,3337,8328,3298,8271,3257,8218,3211,8167,3163,8118,3112,8073,3058,8031,3002,7993,2943,7958,2882,7926,2818,7898,2752,7874,2685,7855,2616,7839,2545,7828,2473,7821,2399,7818,2324,7821,2249,7828,2175,7839,2103,7855,2032,7874,1963,7898,1895,7926,1830,7958,1766,7993,1705,8031,1646,8073,1590,8118,1536,8167,1485,8218,1437,8271,1391,8328,1350,8387,1311,8448,1276,8512,1244,8577,1217,8645,1193,8714,1173,8785,1157,8857,1146,8931,1139,9006,1136,9081,1139,9155,1146,9227,1157,9298,1173,9322,1180,9006,1180,8931,1182,8857,1189,8784,1201,8714,1218,8645,1238,8577,1263,8512,1292,8449,1324,8389,1361,8330,1401,8275,1444,8222,1491,8173,1541,8126,1593,8083,1649,8043,1707,8006,1767,7974,1830,7945,1896,7920,1963,7899,2032,7883,2103,7871,2175,7864,2249,7862,2324,7864,2399,7871,2473,7883,2545,7899,2616,7920,2685,7945,2752,7974,2818,8006,2881,8043,2941,8083,2999,8126,3055,8173,3107,8222,3157,8275,3204,8330,3247,8389,3287,8449,3323,8512,3356,8577,3385,8645,3410,8714,3430,8784,3447,8857,3459,8931,3466,9006,3468,9322,3468,9298,3475,9227,3491,9155,3502,9081,3509,9006,3511xm9322,3468l9006,3468,9081,3466,9155,3459,9227,3447,9298,3430,9367,3410,9434,3385,9499,3356,9562,3323,9623,3287,9681,3247,9737,3204,9789,3157,9839,3107,9886,3055,9929,2999,9969,2941,10005,2881,10038,2818,10067,2752,10092,2685,10112,2616,10129,2545,10140,2473,10148,2399,10150,2324,10148,2249,10140,2175,10129,2103,10112,2032,10092,1963,10067,1896,10038,1830,10005,1767,9969,1707,9929,1649,9886,1593,9839,1541,9789,1491,9737,1444,9681,1401,9623,1361,9562,1324,9499,1292,9434,1263,9367,1238,9298,1218,9227,1201,9155,1189,9081,1182,9006,1180,9322,1180,9367,1193,9435,1217,9500,1244,9564,1276,9625,1311,9684,1350,9740,1391,9794,1437,9845,1485,9893,1536,9938,1590,9980,1646,10019,1705,10054,1766,10085,1830,10113,1896,10137,1963,10157,2032,10173,2103,10184,2175,10191,2249,10193,2324,10191,2399,10184,2473,10173,2545,10157,2616,10137,2685,10113,2753,10085,2818,10054,2882,10019,2943,9980,3002,9938,3058,9893,3112,9845,3163,9794,3211,9740,3257,9684,3298,9625,3337,9564,3372,9500,3404,9435,3431,9367,3455,9322,3468xe" filled="true" fillcolor="#ffffff" stroked="false">
                  <v:path arrowok="t"/>
                  <v:fill type="solid"/>
                </v:shape>
                <v:shape style="position:absolute;left:1031;top:4619;width:5469;height:3774" type="#_x0000_t75" id="docshape205" stroked="false">
                  <v:imagedata r:id="rId274" o:title=""/>
                </v:shape>
                <w10:wrap type="none"/>
              </v:group>
            </w:pict>
          </mc:Fallback>
        </mc:AlternateContent>
      </w:r>
      <w:r>
        <w:rPr>
          <w:rFonts w:ascii="Times New Roman"/>
          <w:sz w:val="20"/>
        </w:rPr>
        <w:drawing>
          <wp:inline distT="0" distB="0" distL="0" distR="0">
            <wp:extent cx="2772307" cy="2438400"/>
            <wp:effectExtent l="0" t="0" r="0" b="0"/>
            <wp:docPr id="258" name="Image 258"/>
            <wp:cNvGraphicFramePr>
              <a:graphicFrameLocks/>
            </wp:cNvGraphicFramePr>
            <a:graphic>
              <a:graphicData uri="http://schemas.openxmlformats.org/drawingml/2006/picture">
                <pic:pic>
                  <pic:nvPicPr>
                    <pic:cNvPr id="258" name="Image 258"/>
                    <pic:cNvPicPr/>
                  </pic:nvPicPr>
                  <pic:blipFill>
                    <a:blip r:embed="rId275" cstate="print"/>
                    <a:stretch>
                      <a:fillRect/>
                    </a:stretch>
                  </pic:blipFill>
                  <pic:spPr>
                    <a:xfrm>
                      <a:off x="0" y="0"/>
                      <a:ext cx="2772307" cy="2438400"/>
                    </a:xfrm>
                    <a:prstGeom prst="rect">
                      <a:avLst/>
                    </a:prstGeom>
                  </pic:spPr>
                </pic:pic>
              </a:graphicData>
            </a:graphic>
          </wp:inline>
        </w:drawing>
      </w:r>
      <w:r>
        <w:rPr>
          <w:rFonts w:ascii="Times New Roman"/>
          <w:sz w:val="20"/>
        </w:rPr>
      </w:r>
    </w:p>
    <w:p>
      <w:pPr>
        <w:spacing w:after="0"/>
        <w:rPr>
          <w:rFonts w:ascii="Times New Roman"/>
          <w:sz w:val="20"/>
        </w:rPr>
        <w:sectPr>
          <w:type w:val="continuous"/>
          <w:pgSz w:w="12240" w:h="15840"/>
          <w:pgMar w:header="0" w:footer="0" w:top="1420" w:bottom="280" w:left="920" w:right="300"/>
        </w:sectPr>
      </w:pPr>
    </w:p>
    <w:p>
      <w:pPr>
        <w:pStyle w:val="Heading7"/>
        <w:spacing w:before="306"/>
        <w:ind w:left="464"/>
      </w:pPr>
      <w:bookmarkStart w:name="FY 2025 - Addressing Pediatric Health - " w:id="349"/>
      <w:bookmarkEnd w:id="349"/>
      <w:r>
        <w:rPr/>
      </w:r>
      <w:bookmarkStart w:name="_bookmark192" w:id="350"/>
      <w:bookmarkEnd w:id="350"/>
      <w:r>
        <w:rPr/>
      </w:r>
      <w:hyperlink w:history="true" w:anchor="_bookmark3">
        <w:r>
          <w:rPr>
            <w:color w:val="365F91"/>
            <w:spacing w:val="-10"/>
          </w:rPr>
          <w:t>Addressing</w:t>
        </w:r>
        <w:r>
          <w:rPr>
            <w:color w:val="365F91"/>
            <w:spacing w:val="1"/>
          </w:rPr>
          <w:t> </w:t>
        </w:r>
        <w:r>
          <w:rPr>
            <w:color w:val="365F91"/>
            <w:spacing w:val="-10"/>
          </w:rPr>
          <w:t>Pediatric</w:t>
        </w:r>
        <w:r>
          <w:rPr>
            <w:color w:val="365F91"/>
            <w:spacing w:val="2"/>
          </w:rPr>
          <w:t> </w:t>
        </w:r>
        <w:r>
          <w:rPr>
            <w:color w:val="365F91"/>
            <w:spacing w:val="-10"/>
          </w:rPr>
          <w:t>Health</w:t>
        </w:r>
      </w:hyperlink>
    </w:p>
    <w:p>
      <w:pPr>
        <w:spacing w:before="314"/>
        <w:ind w:left="464" w:right="0" w:firstLine="0"/>
        <w:jc w:val="left"/>
        <w:rPr>
          <w:sz w:val="28"/>
        </w:rPr>
      </w:pPr>
      <w:bookmarkStart w:name="Introduction" w:id="351"/>
      <w:bookmarkEnd w:id="351"/>
      <w:r>
        <w:rPr/>
      </w:r>
      <w:r>
        <w:rPr>
          <w:color w:val="365F91"/>
          <w:spacing w:val="-2"/>
          <w:sz w:val="28"/>
        </w:rPr>
        <w:t>Introduction</w:t>
      </w:r>
    </w:p>
    <w:p>
      <w:pPr>
        <w:pStyle w:val="BodyText"/>
        <w:spacing w:before="9"/>
        <w:rPr>
          <w:sz w:val="3"/>
        </w:rPr>
      </w:pPr>
      <w:r>
        <w:rPr/>
        <mc:AlternateContent>
          <mc:Choice Requires="wps">
            <w:drawing>
              <wp:anchor distT="0" distB="0" distL="0" distR="0" allowOverlap="1" layoutInCell="1" locked="0" behindDoc="1" simplePos="0" relativeHeight="487629824">
                <wp:simplePos x="0" y="0"/>
                <wp:positionH relativeFrom="page">
                  <wp:posOffset>986789</wp:posOffset>
                </wp:positionH>
                <wp:positionV relativeFrom="paragraph">
                  <wp:posOffset>44641</wp:posOffset>
                </wp:positionV>
                <wp:extent cx="5799455" cy="6350"/>
                <wp:effectExtent l="0" t="0" r="0" b="0"/>
                <wp:wrapTopAndBottom/>
                <wp:docPr id="262" name="Graphic 262"/>
                <wp:cNvGraphicFramePr>
                  <a:graphicFrameLocks/>
                </wp:cNvGraphicFramePr>
                <a:graphic>
                  <a:graphicData uri="http://schemas.microsoft.com/office/word/2010/wordprocessingShape">
                    <wps:wsp>
                      <wps:cNvPr id="262" name="Graphic 262"/>
                      <wps:cNvSpPr/>
                      <wps:spPr>
                        <a:xfrm>
                          <a:off x="0" y="0"/>
                          <a:ext cx="5799455" cy="6350"/>
                        </a:xfrm>
                        <a:custGeom>
                          <a:avLst/>
                          <a:gdLst/>
                          <a:ahLst/>
                          <a:cxnLst/>
                          <a:rect l="l" t="t" r="r" b="b"/>
                          <a:pathLst>
                            <a:path w="5799455" h="6350">
                              <a:moveTo>
                                <a:pt x="5798832" y="0"/>
                              </a:moveTo>
                              <a:lnTo>
                                <a:pt x="0" y="0"/>
                              </a:lnTo>
                              <a:lnTo>
                                <a:pt x="0" y="6108"/>
                              </a:lnTo>
                              <a:lnTo>
                                <a:pt x="5798832" y="6108"/>
                              </a:lnTo>
                              <a:lnTo>
                                <a:pt x="5798832" y="0"/>
                              </a:lnTo>
                              <a:close/>
                            </a:path>
                          </a:pathLst>
                        </a:custGeom>
                        <a:solidFill>
                          <a:srgbClr val="4F81BC"/>
                        </a:solidFill>
                      </wps:spPr>
                      <wps:bodyPr wrap="square" lIns="0" tIns="0" rIns="0" bIns="0" rtlCol="0">
                        <a:prstTxWarp prst="textNoShape">
                          <a:avLst/>
                        </a:prstTxWarp>
                        <a:noAutofit/>
                      </wps:bodyPr>
                    </wps:wsp>
                  </a:graphicData>
                </a:graphic>
              </wp:anchor>
            </w:drawing>
          </mc:Choice>
          <mc:Fallback>
            <w:pict>
              <v:rect style="position:absolute;margin-left:77.699997pt;margin-top:3.515094pt;width:456.601pt;height:.481pt;mso-position-horizontal-relative:page;mso-position-vertical-relative:paragraph;z-index:-15686656;mso-wrap-distance-left:0;mso-wrap-distance-right:0" id="docshape209" filled="true" fillcolor="#4f81bc" stroked="false">
                <v:fill type="solid"/>
                <w10:wrap type="topAndBottom"/>
              </v:rect>
            </w:pict>
          </mc:Fallback>
        </mc:AlternateContent>
      </w:r>
    </w:p>
    <w:p>
      <w:pPr>
        <w:spacing w:line="276" w:lineRule="auto" w:before="241"/>
        <w:ind w:left="464" w:right="241" w:firstLine="0"/>
        <w:jc w:val="both"/>
        <w:rPr>
          <w:i/>
          <w:sz w:val="22"/>
        </w:rPr>
      </w:pPr>
      <w:bookmarkStart w:name="(first published in FY 2024 Annual Recom" w:id="352"/>
      <w:bookmarkEnd w:id="352"/>
      <w:r>
        <w:rPr/>
      </w:r>
      <w:r>
        <w:rPr>
          <w:i/>
          <w:sz w:val="22"/>
        </w:rPr>
        <w:t>(first published in FY 2024 Annual Recommendations Report, minor updates made to bring current to</w:t>
      </w:r>
      <w:r>
        <w:rPr>
          <w:i/>
          <w:sz w:val="22"/>
        </w:rPr>
        <w:t> FY 2025)</w:t>
      </w:r>
    </w:p>
    <w:p>
      <w:pPr>
        <w:pStyle w:val="BodyText"/>
        <w:spacing w:line="276" w:lineRule="auto" w:before="241"/>
        <w:ind w:left="463" w:right="241" w:hanging="3"/>
        <w:jc w:val="both"/>
      </w:pPr>
      <w:r>
        <w:rPr/>
        <w:t>The history of LGBTQ pediatric health is plagued by stigma, discrimination, and violence, and LGBTQ youth in the Commonwealth continue to face numerous challenges in accessing quality, culturally competent</w:t>
      </w:r>
      <w:r>
        <w:rPr>
          <w:spacing w:val="-11"/>
        </w:rPr>
        <w:t> </w:t>
      </w:r>
      <w:r>
        <w:rPr/>
        <w:t>healthcare.</w:t>
      </w:r>
      <w:r>
        <w:rPr>
          <w:spacing w:val="-10"/>
        </w:rPr>
        <w:t> </w:t>
      </w:r>
      <w:r>
        <w:rPr/>
        <w:t>With</w:t>
      </w:r>
      <w:r>
        <w:rPr>
          <w:spacing w:val="-10"/>
        </w:rPr>
        <w:t> </w:t>
      </w:r>
      <w:r>
        <w:rPr/>
        <w:t>the</w:t>
      </w:r>
      <w:r>
        <w:rPr>
          <w:spacing w:val="-10"/>
        </w:rPr>
        <w:t> </w:t>
      </w:r>
      <w:r>
        <w:rPr/>
        <w:t>proliferation</w:t>
      </w:r>
      <w:r>
        <w:rPr>
          <w:spacing w:val="-12"/>
        </w:rPr>
        <w:t> </w:t>
      </w:r>
      <w:r>
        <w:rPr/>
        <w:t>of</w:t>
      </w:r>
      <w:r>
        <w:rPr>
          <w:spacing w:val="-10"/>
        </w:rPr>
        <w:t> </w:t>
      </w:r>
      <w:r>
        <w:rPr/>
        <w:t>anti-trans</w:t>
      </w:r>
      <w:r>
        <w:rPr>
          <w:spacing w:val="-11"/>
        </w:rPr>
        <w:t> </w:t>
      </w:r>
      <w:r>
        <w:rPr/>
        <w:t>legislation</w:t>
      </w:r>
      <w:r>
        <w:rPr>
          <w:spacing w:val="-12"/>
        </w:rPr>
        <w:t> </w:t>
      </w:r>
      <w:r>
        <w:rPr/>
        <w:t>and</w:t>
      </w:r>
      <w:r>
        <w:rPr>
          <w:spacing w:val="-10"/>
        </w:rPr>
        <w:t> </w:t>
      </w:r>
      <w:r>
        <w:rPr/>
        <w:t>stigma</w:t>
      </w:r>
      <w:r>
        <w:rPr>
          <w:spacing w:val="-11"/>
        </w:rPr>
        <w:t> </w:t>
      </w:r>
      <w:r>
        <w:rPr/>
        <w:t>that</w:t>
      </w:r>
      <w:r>
        <w:rPr>
          <w:spacing w:val="-11"/>
        </w:rPr>
        <w:t> </w:t>
      </w:r>
      <w:r>
        <w:rPr/>
        <w:t>has</w:t>
      </w:r>
      <w:r>
        <w:rPr>
          <w:spacing w:val="-11"/>
        </w:rPr>
        <w:t> </w:t>
      </w:r>
      <w:r>
        <w:rPr/>
        <w:t>swept</w:t>
      </w:r>
      <w:r>
        <w:rPr>
          <w:spacing w:val="-11"/>
        </w:rPr>
        <w:t> </w:t>
      </w:r>
      <w:r>
        <w:rPr/>
        <w:t>across the</w:t>
      </w:r>
      <w:r>
        <w:rPr>
          <w:spacing w:val="-5"/>
        </w:rPr>
        <w:t> </w:t>
      </w:r>
      <w:r>
        <w:rPr/>
        <w:t>nation,</w:t>
      </w:r>
      <w:r>
        <w:rPr>
          <w:spacing w:val="-5"/>
        </w:rPr>
        <w:t> </w:t>
      </w:r>
      <w:r>
        <w:rPr/>
        <w:t>it</w:t>
      </w:r>
      <w:r>
        <w:rPr>
          <w:spacing w:val="-4"/>
        </w:rPr>
        <w:t> </w:t>
      </w:r>
      <w:r>
        <w:rPr/>
        <w:t>is</w:t>
      </w:r>
      <w:r>
        <w:rPr>
          <w:spacing w:val="-5"/>
        </w:rPr>
        <w:t> </w:t>
      </w:r>
      <w:r>
        <w:rPr/>
        <w:t>undeniable</w:t>
      </w:r>
      <w:r>
        <w:rPr>
          <w:spacing w:val="-4"/>
        </w:rPr>
        <w:t> </w:t>
      </w:r>
      <w:r>
        <w:rPr/>
        <w:t>that</w:t>
      </w:r>
      <w:r>
        <w:rPr>
          <w:spacing w:val="-5"/>
        </w:rPr>
        <w:t> </w:t>
      </w:r>
      <w:r>
        <w:rPr/>
        <w:t>the</w:t>
      </w:r>
      <w:r>
        <w:rPr>
          <w:spacing w:val="-5"/>
        </w:rPr>
        <w:t> </w:t>
      </w:r>
      <w:r>
        <w:rPr/>
        <w:t>access</w:t>
      </w:r>
      <w:r>
        <w:rPr>
          <w:spacing w:val="-5"/>
        </w:rPr>
        <w:t> </w:t>
      </w:r>
      <w:r>
        <w:rPr/>
        <w:t>of</w:t>
      </w:r>
      <w:r>
        <w:rPr>
          <w:spacing w:val="-5"/>
        </w:rPr>
        <w:t> </w:t>
      </w:r>
      <w:r>
        <w:rPr/>
        <w:t>LGBTQ</w:t>
      </w:r>
      <w:r>
        <w:rPr>
          <w:spacing w:val="-5"/>
        </w:rPr>
        <w:t> </w:t>
      </w:r>
      <w:r>
        <w:rPr/>
        <w:t>children</w:t>
      </w:r>
      <w:r>
        <w:rPr>
          <w:spacing w:val="-4"/>
        </w:rPr>
        <w:t> </w:t>
      </w:r>
      <w:r>
        <w:rPr/>
        <w:t>to</w:t>
      </w:r>
      <w:r>
        <w:rPr>
          <w:spacing w:val="-5"/>
        </w:rPr>
        <w:t> </w:t>
      </w:r>
      <w:r>
        <w:rPr/>
        <w:t>appropriate</w:t>
      </w:r>
      <w:r>
        <w:rPr>
          <w:spacing w:val="-5"/>
        </w:rPr>
        <w:t> </w:t>
      </w:r>
      <w:r>
        <w:rPr/>
        <w:t>and</w:t>
      </w:r>
      <w:r>
        <w:rPr>
          <w:spacing w:val="-4"/>
        </w:rPr>
        <w:t> </w:t>
      </w:r>
      <w:r>
        <w:rPr/>
        <w:t>affirming</w:t>
      </w:r>
      <w:r>
        <w:rPr>
          <w:spacing w:val="-5"/>
        </w:rPr>
        <w:t> </w:t>
      </w:r>
      <w:r>
        <w:rPr/>
        <w:t>health</w:t>
      </w:r>
      <w:r>
        <w:rPr>
          <w:spacing w:val="-5"/>
        </w:rPr>
        <w:t> </w:t>
      </w:r>
      <w:r>
        <w:rPr/>
        <w:t>care has</w:t>
      </w:r>
      <w:r>
        <w:rPr>
          <w:spacing w:val="-1"/>
        </w:rPr>
        <w:t> </w:t>
      </w:r>
      <w:r>
        <w:rPr/>
        <w:t>significantly decreased,</w:t>
      </w:r>
      <w:r>
        <w:rPr>
          <w:spacing w:val="-1"/>
        </w:rPr>
        <w:t> </w:t>
      </w:r>
      <w:r>
        <w:rPr/>
        <w:t>even</w:t>
      </w:r>
      <w:r>
        <w:rPr>
          <w:spacing w:val="-1"/>
        </w:rPr>
        <w:t> </w:t>
      </w:r>
      <w:r>
        <w:rPr/>
        <w:t>in</w:t>
      </w:r>
      <w:r>
        <w:rPr>
          <w:spacing w:val="-1"/>
        </w:rPr>
        <w:t> </w:t>
      </w:r>
      <w:r>
        <w:rPr/>
        <w:t>Massachusetts.</w:t>
      </w:r>
      <w:r>
        <w:rPr>
          <w:spacing w:val="-1"/>
        </w:rPr>
        <w:t> </w:t>
      </w:r>
      <w:r>
        <w:rPr/>
        <w:t>It</w:t>
      </w:r>
      <w:r>
        <w:rPr>
          <w:spacing w:val="-1"/>
        </w:rPr>
        <w:t> </w:t>
      </w:r>
      <w:r>
        <w:rPr/>
        <w:t>is imperative that</w:t>
      </w:r>
      <w:r>
        <w:rPr>
          <w:spacing w:val="-1"/>
        </w:rPr>
        <w:t> </w:t>
      </w:r>
      <w:r>
        <w:rPr/>
        <w:t>the</w:t>
      </w:r>
      <w:r>
        <w:rPr>
          <w:spacing w:val="-2"/>
        </w:rPr>
        <w:t> </w:t>
      </w:r>
      <w:r>
        <w:rPr/>
        <w:t>Commonwealth</w:t>
      </w:r>
      <w:r>
        <w:rPr>
          <w:spacing w:val="-1"/>
        </w:rPr>
        <w:t> </w:t>
      </w:r>
      <w:r>
        <w:rPr/>
        <w:t>continue to address priority needs identified in subsequent sections of this report, while also prioritizing addressing the multiple forms of oppression often experienced by individuals in uniquely adverse situations.</w:t>
      </w:r>
      <w:r>
        <w:rPr>
          <w:vertAlign w:val="superscript"/>
        </w:rPr>
        <w:t>1</w:t>
      </w:r>
      <w:r>
        <w:rPr>
          <w:vertAlign w:val="baseline"/>
        </w:rPr>
        <w:t> The Commonwealth must address the social inequities that create health disparities amongst marginalized and underserved communities, focus on social determinants of health, and move</w:t>
      </w:r>
      <w:r>
        <w:rPr>
          <w:spacing w:val="-13"/>
          <w:vertAlign w:val="baseline"/>
        </w:rPr>
        <w:t> </w:t>
      </w:r>
      <w:r>
        <w:rPr>
          <w:vertAlign w:val="baseline"/>
        </w:rPr>
        <w:t>away</w:t>
      </w:r>
      <w:r>
        <w:rPr>
          <w:spacing w:val="-12"/>
          <w:vertAlign w:val="baseline"/>
        </w:rPr>
        <w:t> </w:t>
      </w:r>
      <w:r>
        <w:rPr>
          <w:vertAlign w:val="baseline"/>
        </w:rPr>
        <w:t>from</w:t>
      </w:r>
      <w:r>
        <w:rPr>
          <w:spacing w:val="-13"/>
          <w:vertAlign w:val="baseline"/>
        </w:rPr>
        <w:t> </w:t>
      </w:r>
      <w:r>
        <w:rPr>
          <w:vertAlign w:val="baseline"/>
        </w:rPr>
        <w:t>an</w:t>
      </w:r>
      <w:r>
        <w:rPr>
          <w:spacing w:val="-12"/>
          <w:vertAlign w:val="baseline"/>
        </w:rPr>
        <w:t> </w:t>
      </w:r>
      <w:r>
        <w:rPr>
          <w:vertAlign w:val="baseline"/>
        </w:rPr>
        <w:t>individualistic</w:t>
      </w:r>
      <w:r>
        <w:rPr>
          <w:spacing w:val="-13"/>
          <w:vertAlign w:val="baseline"/>
        </w:rPr>
        <w:t> </w:t>
      </w:r>
      <w:r>
        <w:rPr>
          <w:vertAlign w:val="baseline"/>
        </w:rPr>
        <w:t>model</w:t>
      </w:r>
      <w:r>
        <w:rPr>
          <w:spacing w:val="-12"/>
          <w:vertAlign w:val="baseline"/>
        </w:rPr>
        <w:t> </w:t>
      </w:r>
      <w:r>
        <w:rPr>
          <w:vertAlign w:val="baseline"/>
        </w:rPr>
        <w:t>of</w:t>
      </w:r>
      <w:r>
        <w:rPr>
          <w:spacing w:val="-13"/>
          <w:vertAlign w:val="baseline"/>
        </w:rPr>
        <w:t> </w:t>
      </w:r>
      <w:r>
        <w:rPr>
          <w:vertAlign w:val="baseline"/>
        </w:rPr>
        <w:t>care.</w:t>
      </w:r>
      <w:r>
        <w:rPr>
          <w:spacing w:val="-12"/>
          <w:vertAlign w:val="baseline"/>
        </w:rPr>
        <w:t> </w:t>
      </w:r>
      <w:r>
        <w:rPr>
          <w:vertAlign w:val="baseline"/>
        </w:rPr>
        <w:t>Republishing</w:t>
      </w:r>
      <w:r>
        <w:rPr>
          <w:spacing w:val="-12"/>
          <w:vertAlign w:val="baseline"/>
        </w:rPr>
        <w:t> </w:t>
      </w:r>
      <w:r>
        <w:rPr>
          <w:vertAlign w:val="baseline"/>
        </w:rPr>
        <w:t>from</w:t>
      </w:r>
      <w:r>
        <w:rPr>
          <w:spacing w:val="-13"/>
          <w:vertAlign w:val="baseline"/>
        </w:rPr>
        <w:t> </w:t>
      </w:r>
      <w:r>
        <w:rPr>
          <w:vertAlign w:val="baseline"/>
        </w:rPr>
        <w:t>its</w:t>
      </w:r>
      <w:r>
        <w:rPr>
          <w:spacing w:val="-12"/>
          <w:vertAlign w:val="baseline"/>
        </w:rPr>
        <w:t> </w:t>
      </w:r>
      <w:r>
        <w:rPr>
          <w:vertAlign w:val="baseline"/>
        </w:rPr>
        <w:t>FY</w:t>
      </w:r>
      <w:r>
        <w:rPr>
          <w:spacing w:val="-13"/>
          <w:vertAlign w:val="baseline"/>
        </w:rPr>
        <w:t> </w:t>
      </w:r>
      <w:r>
        <w:rPr>
          <w:vertAlign w:val="baseline"/>
        </w:rPr>
        <w:t>2024</w:t>
      </w:r>
      <w:r>
        <w:rPr>
          <w:spacing w:val="-12"/>
          <w:vertAlign w:val="baseline"/>
        </w:rPr>
        <w:t> </w:t>
      </w:r>
      <w:r>
        <w:rPr>
          <w:vertAlign w:val="baseline"/>
        </w:rPr>
        <w:t>report,</w:t>
      </w:r>
      <w:r>
        <w:rPr>
          <w:spacing w:val="-13"/>
          <w:vertAlign w:val="baseline"/>
        </w:rPr>
        <w:t> </w:t>
      </w:r>
      <w:r>
        <w:rPr>
          <w:vertAlign w:val="baseline"/>
        </w:rPr>
        <w:t>the</w:t>
      </w:r>
      <w:r>
        <w:rPr>
          <w:spacing w:val="-12"/>
          <w:vertAlign w:val="baseline"/>
        </w:rPr>
        <w:t> </w:t>
      </w:r>
      <w:r>
        <w:rPr>
          <w:vertAlign w:val="baseline"/>
        </w:rPr>
        <w:t>Commission </w:t>
      </w:r>
      <w:r>
        <w:rPr>
          <w:spacing w:val="-2"/>
          <w:vertAlign w:val="baseline"/>
        </w:rPr>
        <w:t>dedicates</w:t>
      </w:r>
      <w:r>
        <w:rPr>
          <w:spacing w:val="-3"/>
          <w:vertAlign w:val="baseline"/>
        </w:rPr>
        <w:t> </w:t>
      </w:r>
      <w:r>
        <w:rPr>
          <w:spacing w:val="-2"/>
          <w:vertAlign w:val="baseline"/>
        </w:rPr>
        <w:t>this health</w:t>
      </w:r>
      <w:r>
        <w:rPr>
          <w:spacing w:val="-3"/>
          <w:vertAlign w:val="baseline"/>
        </w:rPr>
        <w:t> </w:t>
      </w:r>
      <w:r>
        <w:rPr>
          <w:spacing w:val="-2"/>
          <w:vertAlign w:val="baseline"/>
        </w:rPr>
        <w:t>section</w:t>
      </w:r>
      <w:r>
        <w:rPr>
          <w:spacing w:val="-3"/>
          <w:vertAlign w:val="baseline"/>
        </w:rPr>
        <w:t> </w:t>
      </w:r>
      <w:r>
        <w:rPr>
          <w:spacing w:val="-2"/>
          <w:vertAlign w:val="baseline"/>
        </w:rPr>
        <w:t>to</w:t>
      </w:r>
      <w:r>
        <w:rPr>
          <w:spacing w:val="-3"/>
          <w:vertAlign w:val="baseline"/>
        </w:rPr>
        <w:t> </w:t>
      </w:r>
      <w:r>
        <w:rPr>
          <w:spacing w:val="-2"/>
          <w:vertAlign w:val="baseline"/>
        </w:rPr>
        <w:t>research and</w:t>
      </w:r>
      <w:r>
        <w:rPr>
          <w:spacing w:val="-3"/>
          <w:vertAlign w:val="baseline"/>
        </w:rPr>
        <w:t> </w:t>
      </w:r>
      <w:r>
        <w:rPr>
          <w:spacing w:val="-2"/>
          <w:vertAlign w:val="baseline"/>
        </w:rPr>
        <w:t>recommendations</w:t>
      </w:r>
      <w:r>
        <w:rPr>
          <w:spacing w:val="-3"/>
          <w:vertAlign w:val="baseline"/>
        </w:rPr>
        <w:t> </w:t>
      </w:r>
      <w:r>
        <w:rPr>
          <w:spacing w:val="-2"/>
          <w:vertAlign w:val="baseline"/>
        </w:rPr>
        <w:t>in the</w:t>
      </w:r>
      <w:r>
        <w:rPr>
          <w:spacing w:val="-3"/>
          <w:vertAlign w:val="baseline"/>
        </w:rPr>
        <w:t> </w:t>
      </w:r>
      <w:r>
        <w:rPr>
          <w:spacing w:val="-2"/>
          <w:vertAlign w:val="baseline"/>
        </w:rPr>
        <w:t>specific areas</w:t>
      </w:r>
      <w:r>
        <w:rPr>
          <w:spacing w:val="-3"/>
          <w:vertAlign w:val="baseline"/>
        </w:rPr>
        <w:t> </w:t>
      </w:r>
      <w:r>
        <w:rPr>
          <w:spacing w:val="-2"/>
          <w:vertAlign w:val="baseline"/>
        </w:rPr>
        <w:t>of</w:t>
      </w:r>
      <w:r>
        <w:rPr>
          <w:spacing w:val="-3"/>
          <w:vertAlign w:val="baseline"/>
        </w:rPr>
        <w:t> </w:t>
      </w:r>
      <w:r>
        <w:rPr>
          <w:spacing w:val="-2"/>
          <w:vertAlign w:val="baseline"/>
        </w:rPr>
        <w:t>pediatric</w:t>
      </w:r>
      <w:r>
        <w:rPr>
          <w:spacing w:val="-4"/>
          <w:vertAlign w:val="baseline"/>
        </w:rPr>
        <w:t> </w:t>
      </w:r>
      <w:r>
        <w:rPr>
          <w:spacing w:val="-2"/>
          <w:vertAlign w:val="baseline"/>
        </w:rPr>
        <w:t>health, </w:t>
      </w:r>
      <w:r>
        <w:rPr>
          <w:vertAlign w:val="baseline"/>
        </w:rPr>
        <w:t>or the health care of youth under 18.</w:t>
      </w:r>
    </w:p>
    <w:p>
      <w:pPr>
        <w:spacing w:before="240"/>
        <w:ind w:left="464" w:right="0" w:firstLine="0"/>
        <w:jc w:val="both"/>
        <w:rPr>
          <w:sz w:val="28"/>
        </w:rPr>
      </w:pPr>
      <w:bookmarkStart w:name="FY 2025 Recommendations to the Governor " w:id="353"/>
      <w:bookmarkEnd w:id="353"/>
      <w:r>
        <w:rPr/>
      </w:r>
      <w:r>
        <w:rPr>
          <w:color w:val="365F91"/>
          <w:sz w:val="28"/>
        </w:rPr>
        <w:t>FY</w:t>
      </w:r>
      <w:r>
        <w:rPr>
          <w:color w:val="365F91"/>
          <w:spacing w:val="-11"/>
          <w:sz w:val="28"/>
        </w:rPr>
        <w:t> </w:t>
      </w:r>
      <w:r>
        <w:rPr>
          <w:color w:val="365F91"/>
          <w:sz w:val="28"/>
        </w:rPr>
        <w:t>2025</w:t>
      </w:r>
      <w:r>
        <w:rPr>
          <w:color w:val="365F91"/>
          <w:spacing w:val="-12"/>
          <w:sz w:val="28"/>
        </w:rPr>
        <w:t> </w:t>
      </w:r>
      <w:r>
        <w:rPr>
          <w:color w:val="365F91"/>
          <w:sz w:val="28"/>
        </w:rPr>
        <w:t>Recommendations</w:t>
      </w:r>
      <w:r>
        <w:rPr>
          <w:color w:val="365F91"/>
          <w:spacing w:val="-10"/>
          <w:sz w:val="28"/>
        </w:rPr>
        <w:t> </w:t>
      </w:r>
      <w:r>
        <w:rPr>
          <w:color w:val="365F91"/>
          <w:sz w:val="28"/>
        </w:rPr>
        <w:t>to</w:t>
      </w:r>
      <w:r>
        <w:rPr>
          <w:color w:val="365F91"/>
          <w:spacing w:val="-10"/>
          <w:sz w:val="28"/>
        </w:rPr>
        <w:t> </w:t>
      </w:r>
      <w:r>
        <w:rPr>
          <w:color w:val="365F91"/>
          <w:sz w:val="28"/>
        </w:rPr>
        <w:t>the</w:t>
      </w:r>
      <w:r>
        <w:rPr>
          <w:color w:val="365F91"/>
          <w:spacing w:val="-11"/>
          <w:sz w:val="28"/>
        </w:rPr>
        <w:t> </w:t>
      </w:r>
      <w:r>
        <w:rPr>
          <w:color w:val="365F91"/>
          <w:sz w:val="28"/>
        </w:rPr>
        <w:t>Governor</w:t>
      </w:r>
      <w:r>
        <w:rPr>
          <w:color w:val="365F91"/>
          <w:spacing w:val="-11"/>
          <w:sz w:val="28"/>
        </w:rPr>
        <w:t> </w:t>
      </w:r>
      <w:r>
        <w:rPr>
          <w:color w:val="365F91"/>
          <w:sz w:val="28"/>
        </w:rPr>
        <w:t>and</w:t>
      </w:r>
      <w:r>
        <w:rPr>
          <w:color w:val="365F91"/>
          <w:spacing w:val="-12"/>
          <w:sz w:val="28"/>
        </w:rPr>
        <w:t> </w:t>
      </w:r>
      <w:r>
        <w:rPr>
          <w:color w:val="365F91"/>
          <w:sz w:val="28"/>
        </w:rPr>
        <w:t>Legislature</w:t>
      </w:r>
      <w:r>
        <w:rPr>
          <w:color w:val="365F91"/>
          <w:spacing w:val="-11"/>
          <w:sz w:val="28"/>
        </w:rPr>
        <w:t> </w:t>
      </w:r>
      <w:r>
        <w:rPr>
          <w:color w:val="365F91"/>
          <w:sz w:val="28"/>
        </w:rPr>
        <w:t>on</w:t>
      </w:r>
      <w:r>
        <w:rPr>
          <w:color w:val="365F91"/>
          <w:spacing w:val="-11"/>
          <w:sz w:val="28"/>
        </w:rPr>
        <w:t> </w:t>
      </w:r>
      <w:r>
        <w:rPr>
          <w:color w:val="365F91"/>
          <w:sz w:val="28"/>
        </w:rPr>
        <w:t>Pediatric</w:t>
      </w:r>
      <w:r>
        <w:rPr>
          <w:color w:val="365F91"/>
          <w:spacing w:val="-11"/>
          <w:sz w:val="28"/>
        </w:rPr>
        <w:t> </w:t>
      </w:r>
      <w:r>
        <w:rPr>
          <w:color w:val="365F91"/>
          <w:spacing w:val="-2"/>
          <w:sz w:val="28"/>
        </w:rPr>
        <w:t>Health</w:t>
      </w:r>
    </w:p>
    <w:p>
      <w:pPr>
        <w:pStyle w:val="BodyText"/>
        <w:spacing w:before="9"/>
        <w:rPr>
          <w:sz w:val="3"/>
        </w:rPr>
      </w:pPr>
      <w:r>
        <w:rPr/>
        <mc:AlternateContent>
          <mc:Choice Requires="wps">
            <w:drawing>
              <wp:anchor distT="0" distB="0" distL="0" distR="0" allowOverlap="1" layoutInCell="1" locked="0" behindDoc="1" simplePos="0" relativeHeight="487630336">
                <wp:simplePos x="0" y="0"/>
                <wp:positionH relativeFrom="page">
                  <wp:posOffset>986789</wp:posOffset>
                </wp:positionH>
                <wp:positionV relativeFrom="paragraph">
                  <wp:posOffset>44496</wp:posOffset>
                </wp:positionV>
                <wp:extent cx="5799455" cy="6350"/>
                <wp:effectExtent l="0" t="0" r="0" b="0"/>
                <wp:wrapTopAndBottom/>
                <wp:docPr id="263" name="Graphic 263"/>
                <wp:cNvGraphicFramePr>
                  <a:graphicFrameLocks/>
                </wp:cNvGraphicFramePr>
                <a:graphic>
                  <a:graphicData uri="http://schemas.microsoft.com/office/word/2010/wordprocessingShape">
                    <wps:wsp>
                      <wps:cNvPr id="263" name="Graphic 263"/>
                      <wps:cNvSpPr/>
                      <wps:spPr>
                        <a:xfrm>
                          <a:off x="0" y="0"/>
                          <a:ext cx="5799455" cy="6350"/>
                        </a:xfrm>
                        <a:custGeom>
                          <a:avLst/>
                          <a:gdLst/>
                          <a:ahLst/>
                          <a:cxnLst/>
                          <a:rect l="l" t="t" r="r" b="b"/>
                          <a:pathLst>
                            <a:path w="5799455" h="6350">
                              <a:moveTo>
                                <a:pt x="5798832" y="0"/>
                              </a:moveTo>
                              <a:lnTo>
                                <a:pt x="0" y="0"/>
                              </a:lnTo>
                              <a:lnTo>
                                <a:pt x="0" y="6096"/>
                              </a:lnTo>
                              <a:lnTo>
                                <a:pt x="5798832" y="6096"/>
                              </a:lnTo>
                              <a:lnTo>
                                <a:pt x="5798832" y="0"/>
                              </a:lnTo>
                              <a:close/>
                            </a:path>
                          </a:pathLst>
                        </a:custGeom>
                        <a:solidFill>
                          <a:srgbClr val="4F81BC"/>
                        </a:solidFill>
                      </wps:spPr>
                      <wps:bodyPr wrap="square" lIns="0" tIns="0" rIns="0" bIns="0" rtlCol="0">
                        <a:prstTxWarp prst="textNoShape">
                          <a:avLst/>
                        </a:prstTxWarp>
                        <a:noAutofit/>
                      </wps:bodyPr>
                    </wps:wsp>
                  </a:graphicData>
                </a:graphic>
              </wp:anchor>
            </w:drawing>
          </mc:Choice>
          <mc:Fallback>
            <w:pict>
              <v:rect style="position:absolute;margin-left:77.699997pt;margin-top:3.503633pt;width:456.601pt;height:.48pt;mso-position-horizontal-relative:page;mso-position-vertical-relative:paragraph;z-index:-15686144;mso-wrap-distance-left:0;mso-wrap-distance-right:0" id="docshape210" filled="true" fillcolor="#4f81bc" stroked="false">
                <v:fill type="solid"/>
                <w10:wrap type="topAndBottom"/>
              </v:rect>
            </w:pict>
          </mc:Fallback>
        </mc:AlternateContent>
      </w:r>
    </w:p>
    <w:p>
      <w:pPr>
        <w:numPr>
          <w:ilvl w:val="0"/>
          <w:numId w:val="21"/>
        </w:numPr>
        <w:tabs>
          <w:tab w:pos="462" w:val="left" w:leader="none"/>
        </w:tabs>
        <w:spacing w:before="241"/>
        <w:ind w:left="462" w:right="0" w:hanging="358"/>
        <w:jc w:val="left"/>
        <w:rPr>
          <w:b/>
          <w:sz w:val="22"/>
        </w:rPr>
      </w:pPr>
      <w:r>
        <w:rPr>
          <w:b/>
          <w:sz w:val="22"/>
        </w:rPr>
        <w:t>Invest</w:t>
      </w:r>
      <w:r>
        <w:rPr>
          <w:b/>
          <w:spacing w:val="-10"/>
          <w:sz w:val="22"/>
        </w:rPr>
        <w:t> </w:t>
      </w:r>
      <w:r>
        <w:rPr>
          <w:b/>
          <w:sz w:val="22"/>
        </w:rPr>
        <w:t>in</w:t>
      </w:r>
      <w:r>
        <w:rPr>
          <w:b/>
          <w:spacing w:val="-7"/>
          <w:sz w:val="22"/>
        </w:rPr>
        <w:t> </w:t>
      </w:r>
      <w:r>
        <w:rPr>
          <w:b/>
          <w:sz w:val="22"/>
        </w:rPr>
        <w:t>access</w:t>
      </w:r>
      <w:r>
        <w:rPr>
          <w:b/>
          <w:spacing w:val="-8"/>
          <w:sz w:val="22"/>
        </w:rPr>
        <w:t> </w:t>
      </w:r>
      <w:r>
        <w:rPr>
          <w:b/>
          <w:sz w:val="22"/>
        </w:rPr>
        <w:t>to</w:t>
      </w:r>
      <w:r>
        <w:rPr>
          <w:b/>
          <w:spacing w:val="-8"/>
          <w:sz w:val="22"/>
        </w:rPr>
        <w:t> </w:t>
      </w:r>
      <w:r>
        <w:rPr>
          <w:b/>
          <w:sz w:val="22"/>
        </w:rPr>
        <w:t>culturally</w:t>
      </w:r>
      <w:r>
        <w:rPr>
          <w:b/>
          <w:spacing w:val="-8"/>
          <w:sz w:val="22"/>
        </w:rPr>
        <w:t> </w:t>
      </w:r>
      <w:r>
        <w:rPr>
          <w:b/>
          <w:sz w:val="22"/>
        </w:rPr>
        <w:t>competent</w:t>
      </w:r>
      <w:r>
        <w:rPr>
          <w:b/>
          <w:spacing w:val="-8"/>
          <w:sz w:val="22"/>
        </w:rPr>
        <w:t> </w:t>
      </w:r>
      <w:r>
        <w:rPr>
          <w:b/>
          <w:sz w:val="22"/>
        </w:rPr>
        <w:t>LGBTQ</w:t>
      </w:r>
      <w:r>
        <w:rPr>
          <w:b/>
          <w:spacing w:val="-7"/>
          <w:sz w:val="22"/>
        </w:rPr>
        <w:t> </w:t>
      </w:r>
      <w:r>
        <w:rPr>
          <w:b/>
          <w:sz w:val="22"/>
        </w:rPr>
        <w:t>healthcare</w:t>
      </w:r>
      <w:r>
        <w:rPr>
          <w:b/>
          <w:spacing w:val="-9"/>
          <w:sz w:val="22"/>
        </w:rPr>
        <w:t> </w:t>
      </w:r>
      <w:r>
        <w:rPr>
          <w:b/>
          <w:sz w:val="22"/>
        </w:rPr>
        <w:t>in</w:t>
      </w:r>
      <w:r>
        <w:rPr>
          <w:b/>
          <w:spacing w:val="-7"/>
          <w:sz w:val="22"/>
        </w:rPr>
        <w:t> </w:t>
      </w:r>
      <w:r>
        <w:rPr>
          <w:b/>
          <w:sz w:val="22"/>
        </w:rPr>
        <w:t>rural</w:t>
      </w:r>
      <w:r>
        <w:rPr>
          <w:b/>
          <w:spacing w:val="-9"/>
          <w:sz w:val="22"/>
        </w:rPr>
        <w:t> </w:t>
      </w:r>
      <w:r>
        <w:rPr>
          <w:b/>
          <w:sz w:val="22"/>
        </w:rPr>
        <w:t>and</w:t>
      </w:r>
      <w:r>
        <w:rPr>
          <w:b/>
          <w:spacing w:val="-8"/>
          <w:sz w:val="22"/>
        </w:rPr>
        <w:t> </w:t>
      </w:r>
      <w:r>
        <w:rPr>
          <w:b/>
          <w:sz w:val="22"/>
        </w:rPr>
        <w:t>underserved</w:t>
      </w:r>
      <w:r>
        <w:rPr>
          <w:b/>
          <w:spacing w:val="-8"/>
          <w:sz w:val="22"/>
        </w:rPr>
        <w:t> </w:t>
      </w:r>
      <w:r>
        <w:rPr>
          <w:b/>
          <w:spacing w:val="-2"/>
          <w:sz w:val="22"/>
        </w:rPr>
        <w:t>communities.</w:t>
      </w:r>
    </w:p>
    <w:p>
      <w:pPr>
        <w:pStyle w:val="BodyText"/>
        <w:spacing w:before="13"/>
        <w:rPr>
          <w:b/>
        </w:rPr>
      </w:pPr>
    </w:p>
    <w:p>
      <w:pPr>
        <w:pStyle w:val="BodyText"/>
        <w:spacing w:line="276" w:lineRule="auto"/>
        <w:ind w:left="463" w:right="241" w:hanging="3"/>
        <w:jc w:val="both"/>
      </w:pPr>
      <w:r>
        <w:rPr/>
        <w:t>The Commission recommends that the state continue to invest in and broaden access to affirming healthcare</w:t>
      </w:r>
      <w:r>
        <w:rPr>
          <w:spacing w:val="-10"/>
        </w:rPr>
        <w:t> </w:t>
      </w:r>
      <w:r>
        <w:rPr/>
        <w:t>for</w:t>
      </w:r>
      <w:r>
        <w:rPr>
          <w:spacing w:val="-10"/>
        </w:rPr>
        <w:t> </w:t>
      </w:r>
      <w:r>
        <w:rPr/>
        <w:t>LGBTQ</w:t>
      </w:r>
      <w:r>
        <w:rPr>
          <w:spacing w:val="-10"/>
        </w:rPr>
        <w:t> </w:t>
      </w:r>
      <w:r>
        <w:rPr/>
        <w:t>youth</w:t>
      </w:r>
      <w:r>
        <w:rPr>
          <w:spacing w:val="-10"/>
        </w:rPr>
        <w:t> </w:t>
      </w:r>
      <w:r>
        <w:rPr/>
        <w:t>across</w:t>
      </w:r>
      <w:r>
        <w:rPr>
          <w:spacing w:val="-9"/>
        </w:rPr>
        <w:t> </w:t>
      </w:r>
      <w:r>
        <w:rPr/>
        <w:t>the</w:t>
      </w:r>
      <w:r>
        <w:rPr>
          <w:spacing w:val="-10"/>
        </w:rPr>
        <w:t> </w:t>
      </w:r>
      <w:r>
        <w:rPr/>
        <w:t>state,</w:t>
      </w:r>
      <w:r>
        <w:rPr>
          <w:spacing w:val="-10"/>
        </w:rPr>
        <w:t> </w:t>
      </w:r>
      <w:r>
        <w:rPr/>
        <w:t>particularly</w:t>
      </w:r>
      <w:r>
        <w:rPr>
          <w:spacing w:val="-10"/>
        </w:rPr>
        <w:t> </w:t>
      </w:r>
      <w:r>
        <w:rPr/>
        <w:t>in</w:t>
      </w:r>
      <w:r>
        <w:rPr>
          <w:spacing w:val="-10"/>
        </w:rPr>
        <w:t> </w:t>
      </w:r>
      <w:r>
        <w:rPr/>
        <w:t>rural</w:t>
      </w:r>
      <w:r>
        <w:rPr>
          <w:spacing w:val="-10"/>
        </w:rPr>
        <w:t> </w:t>
      </w:r>
      <w:r>
        <w:rPr/>
        <w:t>and</w:t>
      </w:r>
      <w:r>
        <w:rPr>
          <w:spacing w:val="-10"/>
        </w:rPr>
        <w:t> </w:t>
      </w:r>
      <w:r>
        <w:rPr/>
        <w:t>underserved</w:t>
      </w:r>
      <w:r>
        <w:rPr>
          <w:spacing w:val="-10"/>
        </w:rPr>
        <w:t> </w:t>
      </w:r>
      <w:r>
        <w:rPr/>
        <w:t>communities.</w:t>
      </w:r>
      <w:r>
        <w:rPr>
          <w:spacing w:val="-10"/>
        </w:rPr>
        <w:t> </w:t>
      </w:r>
      <w:r>
        <w:rPr/>
        <w:t>Given the national attacks against gender-affirming care, it is likely that Massachusetts will see a significant increase in out-of-state patients needing gender-affirming care services - with LGBTQ youth in Massachusetts already struggling to access facilities with long wait times or high costs, it is essential that</w:t>
      </w:r>
      <w:r>
        <w:rPr>
          <w:spacing w:val="-13"/>
        </w:rPr>
        <w:t> </w:t>
      </w:r>
      <w:r>
        <w:rPr/>
        <w:t>Massachusetts</w:t>
      </w:r>
      <w:r>
        <w:rPr>
          <w:spacing w:val="-11"/>
        </w:rPr>
        <w:t> </w:t>
      </w:r>
      <w:r>
        <w:rPr/>
        <w:t>invest</w:t>
      </w:r>
      <w:r>
        <w:rPr>
          <w:spacing w:val="-13"/>
        </w:rPr>
        <w:t> </w:t>
      </w:r>
      <w:r>
        <w:rPr/>
        <w:t>in</w:t>
      </w:r>
      <w:r>
        <w:rPr>
          <w:spacing w:val="-12"/>
        </w:rPr>
        <w:t> </w:t>
      </w:r>
      <w:r>
        <w:rPr/>
        <w:t>building</w:t>
      </w:r>
      <w:r>
        <w:rPr>
          <w:spacing w:val="-11"/>
        </w:rPr>
        <w:t> </w:t>
      </w:r>
      <w:r>
        <w:rPr/>
        <w:t>capacity</w:t>
      </w:r>
      <w:r>
        <w:rPr>
          <w:spacing w:val="-11"/>
        </w:rPr>
        <w:t> </w:t>
      </w:r>
      <w:r>
        <w:rPr/>
        <w:t>for</w:t>
      </w:r>
      <w:r>
        <w:rPr>
          <w:spacing w:val="-12"/>
        </w:rPr>
        <w:t> </w:t>
      </w:r>
      <w:r>
        <w:rPr/>
        <w:t>LGBTQ</w:t>
      </w:r>
      <w:r>
        <w:rPr>
          <w:spacing w:val="-13"/>
        </w:rPr>
        <w:t> </w:t>
      </w:r>
      <w:r>
        <w:rPr/>
        <w:t>healthcare</w:t>
      </w:r>
      <w:r>
        <w:rPr>
          <w:spacing w:val="-11"/>
        </w:rPr>
        <w:t> </w:t>
      </w:r>
      <w:r>
        <w:rPr/>
        <w:t>across</w:t>
      </w:r>
      <w:r>
        <w:rPr>
          <w:spacing w:val="-12"/>
        </w:rPr>
        <w:t> </w:t>
      </w:r>
      <w:r>
        <w:rPr/>
        <w:t>the</w:t>
      </w:r>
      <w:r>
        <w:rPr>
          <w:spacing w:val="-10"/>
        </w:rPr>
        <w:t> </w:t>
      </w:r>
      <w:r>
        <w:rPr/>
        <w:t>state.</w:t>
      </w:r>
      <w:r>
        <w:rPr>
          <w:spacing w:val="-11"/>
        </w:rPr>
        <w:t> </w:t>
      </w:r>
      <w:r>
        <w:rPr/>
        <w:t>Furthermore,</w:t>
      </w:r>
      <w:r>
        <w:rPr>
          <w:spacing w:val="-12"/>
        </w:rPr>
        <w:t> </w:t>
      </w:r>
      <w:r>
        <w:rPr/>
        <w:t>the Commission</w:t>
      </w:r>
      <w:r>
        <w:rPr>
          <w:spacing w:val="-4"/>
        </w:rPr>
        <w:t> </w:t>
      </w:r>
      <w:r>
        <w:rPr/>
        <w:t>recommends</w:t>
      </w:r>
      <w:r>
        <w:rPr>
          <w:spacing w:val="-3"/>
        </w:rPr>
        <w:t> </w:t>
      </w:r>
      <w:r>
        <w:rPr/>
        <w:t>that</w:t>
      </w:r>
      <w:r>
        <w:rPr>
          <w:spacing w:val="-4"/>
        </w:rPr>
        <w:t> </w:t>
      </w:r>
      <w:r>
        <w:rPr/>
        <w:t>the</w:t>
      </w:r>
      <w:r>
        <w:rPr>
          <w:spacing w:val="-4"/>
        </w:rPr>
        <w:t> </w:t>
      </w:r>
      <w:r>
        <w:rPr/>
        <w:t>Commonwealth</w:t>
      </w:r>
      <w:r>
        <w:rPr>
          <w:spacing w:val="-3"/>
        </w:rPr>
        <w:t> </w:t>
      </w:r>
      <w:r>
        <w:rPr/>
        <w:t>make</w:t>
      </w:r>
      <w:r>
        <w:rPr>
          <w:spacing w:val="-4"/>
        </w:rPr>
        <w:t> </w:t>
      </w:r>
      <w:r>
        <w:rPr/>
        <w:t>a</w:t>
      </w:r>
      <w:r>
        <w:rPr>
          <w:spacing w:val="-4"/>
        </w:rPr>
        <w:t> </w:t>
      </w:r>
      <w:r>
        <w:rPr/>
        <w:t>systemic</w:t>
      </w:r>
      <w:r>
        <w:rPr>
          <w:spacing w:val="-4"/>
        </w:rPr>
        <w:t> </w:t>
      </w:r>
      <w:r>
        <w:rPr/>
        <w:t>investment</w:t>
      </w:r>
      <w:r>
        <w:rPr>
          <w:spacing w:val="-4"/>
        </w:rPr>
        <w:t> </w:t>
      </w:r>
      <w:r>
        <w:rPr/>
        <w:t>in</w:t>
      </w:r>
      <w:r>
        <w:rPr>
          <w:spacing w:val="-3"/>
        </w:rPr>
        <w:t> </w:t>
      </w:r>
      <w:r>
        <w:rPr/>
        <w:t>telehealth</w:t>
      </w:r>
      <w:r>
        <w:rPr>
          <w:spacing w:val="-4"/>
        </w:rPr>
        <w:t> </w:t>
      </w:r>
      <w:r>
        <w:rPr/>
        <w:t>services and create parity in primary care telehealth insurance reimbursement.</w:t>
      </w:r>
    </w:p>
    <w:p>
      <w:pPr>
        <w:numPr>
          <w:ilvl w:val="0"/>
          <w:numId w:val="21"/>
        </w:numPr>
        <w:tabs>
          <w:tab w:pos="461" w:val="left" w:leader="none"/>
          <w:tab w:pos="463" w:val="left" w:leader="none"/>
        </w:tabs>
        <w:spacing w:line="276" w:lineRule="auto" w:before="238"/>
        <w:ind w:left="463" w:right="243" w:hanging="360"/>
        <w:jc w:val="both"/>
        <w:rPr>
          <w:b/>
          <w:sz w:val="22"/>
        </w:rPr>
      </w:pPr>
      <w:r>
        <w:rPr>
          <w:b/>
          <w:sz w:val="22"/>
        </w:rPr>
        <w:t>Invest in substantial community-based, participatory, action-oriented research with non-white LGBTQ youth to better understand the needs of this population and improve SOGIE data collection </w:t>
      </w:r>
      <w:r>
        <w:rPr>
          <w:b/>
          <w:spacing w:val="-2"/>
          <w:sz w:val="22"/>
        </w:rPr>
        <w:t>standards.</w:t>
      </w:r>
    </w:p>
    <w:p>
      <w:pPr>
        <w:pStyle w:val="BodyText"/>
        <w:spacing w:line="276" w:lineRule="auto" w:before="242"/>
        <w:ind w:left="463" w:right="243" w:firstLine="4"/>
        <w:jc w:val="both"/>
      </w:pPr>
      <w:r>
        <w:rPr/>
        <w:t>Comprehensive research on the needs of underserved youth is essential to better understand needs and gaps in service provision. The Commission urges decision-makers to invest in new community- based</w:t>
      </w:r>
      <w:r>
        <w:rPr>
          <w:spacing w:val="-9"/>
        </w:rPr>
        <w:t> </w:t>
      </w:r>
      <w:r>
        <w:rPr/>
        <w:t>research</w:t>
      </w:r>
      <w:r>
        <w:rPr>
          <w:spacing w:val="-9"/>
        </w:rPr>
        <w:t> </w:t>
      </w:r>
      <w:r>
        <w:rPr/>
        <w:t>and</w:t>
      </w:r>
      <w:r>
        <w:rPr>
          <w:spacing w:val="-8"/>
        </w:rPr>
        <w:t> </w:t>
      </w:r>
      <w:r>
        <w:rPr/>
        <w:t>needs</w:t>
      </w:r>
      <w:r>
        <w:rPr>
          <w:spacing w:val="-8"/>
        </w:rPr>
        <w:t> </w:t>
      </w:r>
      <w:r>
        <w:rPr/>
        <w:t>assessments</w:t>
      </w:r>
      <w:r>
        <w:rPr>
          <w:spacing w:val="-8"/>
        </w:rPr>
        <w:t> </w:t>
      </w:r>
      <w:r>
        <w:rPr/>
        <w:t>that</w:t>
      </w:r>
      <w:r>
        <w:rPr>
          <w:spacing w:val="-9"/>
        </w:rPr>
        <w:t> </w:t>
      </w:r>
      <w:r>
        <w:rPr/>
        <w:t>prioritize</w:t>
      </w:r>
      <w:r>
        <w:rPr>
          <w:spacing w:val="-8"/>
        </w:rPr>
        <w:t> </w:t>
      </w:r>
      <w:r>
        <w:rPr/>
        <w:t>the</w:t>
      </w:r>
      <w:r>
        <w:rPr>
          <w:spacing w:val="-9"/>
        </w:rPr>
        <w:t> </w:t>
      </w:r>
      <w:r>
        <w:rPr/>
        <w:t>experiences</w:t>
      </w:r>
      <w:r>
        <w:rPr>
          <w:spacing w:val="-8"/>
        </w:rPr>
        <w:t> </w:t>
      </w:r>
      <w:r>
        <w:rPr/>
        <w:t>of</w:t>
      </w:r>
      <w:r>
        <w:rPr>
          <w:spacing w:val="-9"/>
        </w:rPr>
        <w:t> </w:t>
      </w:r>
      <w:r>
        <w:rPr/>
        <w:t>QTBIPOC</w:t>
      </w:r>
      <w:r>
        <w:rPr>
          <w:spacing w:val="-8"/>
        </w:rPr>
        <w:t> </w:t>
      </w:r>
      <w:r>
        <w:rPr/>
        <w:t>youth,</w:t>
      </w:r>
      <w:r>
        <w:rPr>
          <w:spacing w:val="-8"/>
        </w:rPr>
        <w:t> </w:t>
      </w:r>
      <w:r>
        <w:rPr/>
        <w:t>families,</w:t>
      </w:r>
      <w:r>
        <w:rPr>
          <w:spacing w:val="-8"/>
        </w:rPr>
        <w:t> </w:t>
      </w:r>
      <w:r>
        <w:rPr/>
        <w:t>and</w:t>
      </w:r>
    </w:p>
    <w:p>
      <w:pPr>
        <w:spacing w:after="0" w:line="276" w:lineRule="auto"/>
        <w:jc w:val="both"/>
        <w:sectPr>
          <w:headerReference w:type="default" r:id="rId276"/>
          <w:footerReference w:type="default" r:id="rId277"/>
          <w:pgSz w:w="12240" w:h="15840"/>
          <w:pgMar w:header="721" w:footer="1061" w:top="1360" w:bottom="1260" w:left="1120" w:right="1340"/>
          <w:pgNumType w:start="94"/>
        </w:sectPr>
      </w:pPr>
    </w:p>
    <w:p>
      <w:pPr>
        <w:pStyle w:val="BodyText"/>
        <w:spacing w:line="276" w:lineRule="auto" w:before="67"/>
        <w:ind w:left="464" w:right="243"/>
        <w:jc w:val="both"/>
      </w:pPr>
      <w:r>
        <w:rPr/>
        <w:t>providers across the state. Through this outreach, these partnerships can engage sustainable participation, and ultimately create long-lasting, community-driven interventions.</w:t>
      </w:r>
      <w:r>
        <w:rPr>
          <w:vertAlign w:val="superscript"/>
        </w:rPr>
        <w:t>2</w:t>
      </w:r>
    </w:p>
    <w:p>
      <w:pPr>
        <w:pStyle w:val="BodyText"/>
        <w:spacing w:line="276" w:lineRule="auto" w:before="241"/>
        <w:ind w:left="464" w:right="240" w:hanging="16"/>
        <w:jc w:val="both"/>
      </w:pPr>
      <w:r>
        <w:rPr/>
        <w:t>The Commission further recommends that the state advances its SOGIE data collection practices to take</w:t>
      </w:r>
      <w:r>
        <w:rPr>
          <w:spacing w:val="-4"/>
        </w:rPr>
        <w:t> </w:t>
      </w:r>
      <w:r>
        <w:rPr/>
        <w:t>a</w:t>
      </w:r>
      <w:r>
        <w:rPr>
          <w:spacing w:val="-2"/>
        </w:rPr>
        <w:t> </w:t>
      </w:r>
      <w:r>
        <w:rPr/>
        <w:t>broader</w:t>
      </w:r>
      <w:r>
        <w:rPr>
          <w:spacing w:val="-4"/>
        </w:rPr>
        <w:t> </w:t>
      </w:r>
      <w:r>
        <w:rPr/>
        <w:t>understanding</w:t>
      </w:r>
      <w:r>
        <w:rPr>
          <w:spacing w:val="-4"/>
        </w:rPr>
        <w:t> </w:t>
      </w:r>
      <w:r>
        <w:rPr/>
        <w:t>of</w:t>
      </w:r>
      <w:r>
        <w:rPr>
          <w:spacing w:val="-3"/>
        </w:rPr>
        <w:t> </w:t>
      </w:r>
      <w:r>
        <w:rPr/>
        <w:t>the</w:t>
      </w:r>
      <w:r>
        <w:rPr>
          <w:spacing w:val="-3"/>
        </w:rPr>
        <w:t> </w:t>
      </w:r>
      <w:r>
        <w:rPr/>
        <w:t>disparities</w:t>
      </w:r>
      <w:r>
        <w:rPr>
          <w:spacing w:val="-4"/>
        </w:rPr>
        <w:t> </w:t>
      </w:r>
      <w:r>
        <w:rPr/>
        <w:t>in</w:t>
      </w:r>
      <w:r>
        <w:rPr>
          <w:spacing w:val="-3"/>
        </w:rPr>
        <w:t> </w:t>
      </w:r>
      <w:r>
        <w:rPr/>
        <w:t>healthcare.</w:t>
      </w:r>
      <w:r>
        <w:rPr>
          <w:spacing w:val="-4"/>
        </w:rPr>
        <w:t> </w:t>
      </w:r>
      <w:r>
        <w:rPr/>
        <w:t>The</w:t>
      </w:r>
      <w:r>
        <w:rPr>
          <w:spacing w:val="-4"/>
        </w:rPr>
        <w:t> </w:t>
      </w:r>
      <w:r>
        <w:rPr/>
        <w:t>lack</w:t>
      </w:r>
      <w:r>
        <w:rPr>
          <w:spacing w:val="-3"/>
        </w:rPr>
        <w:t> </w:t>
      </w:r>
      <w:r>
        <w:rPr/>
        <w:t>of</w:t>
      </w:r>
      <w:r>
        <w:rPr>
          <w:spacing w:val="-4"/>
        </w:rPr>
        <w:t> </w:t>
      </w:r>
      <w:r>
        <w:rPr/>
        <w:t>standardized</w:t>
      </w:r>
      <w:r>
        <w:rPr>
          <w:spacing w:val="-3"/>
        </w:rPr>
        <w:t> </w:t>
      </w:r>
      <w:r>
        <w:rPr/>
        <w:t>data</w:t>
      </w:r>
      <w:r>
        <w:rPr>
          <w:spacing w:val="-2"/>
        </w:rPr>
        <w:t> </w:t>
      </w:r>
      <w:r>
        <w:rPr/>
        <w:t>collection practices has resulted in a failure to understand the impact of the pandemic among LGBTQ communities.</w:t>
      </w:r>
      <w:r>
        <w:rPr>
          <w:vertAlign w:val="superscript"/>
        </w:rPr>
        <w:t>3</w:t>
      </w:r>
      <w:r>
        <w:rPr>
          <w:spacing w:val="-13"/>
          <w:vertAlign w:val="baseline"/>
        </w:rPr>
        <w:t> </w:t>
      </w:r>
      <w:r>
        <w:rPr>
          <w:vertAlign w:val="baseline"/>
        </w:rPr>
        <w:t>More</w:t>
      </w:r>
      <w:r>
        <w:rPr>
          <w:spacing w:val="-12"/>
          <w:vertAlign w:val="baseline"/>
        </w:rPr>
        <w:t> </w:t>
      </w:r>
      <w:r>
        <w:rPr>
          <w:vertAlign w:val="baseline"/>
        </w:rPr>
        <w:t>inclusive</w:t>
      </w:r>
      <w:r>
        <w:rPr>
          <w:spacing w:val="-3"/>
          <w:vertAlign w:val="baseline"/>
        </w:rPr>
        <w:t> </w:t>
      </w:r>
      <w:r>
        <w:rPr>
          <w:vertAlign w:val="baseline"/>
        </w:rPr>
        <w:t>data</w:t>
      </w:r>
      <w:r>
        <w:rPr>
          <w:spacing w:val="-1"/>
          <w:vertAlign w:val="baseline"/>
        </w:rPr>
        <w:t> </w:t>
      </w:r>
      <w:r>
        <w:rPr>
          <w:vertAlign w:val="baseline"/>
        </w:rPr>
        <w:t>collection,</w:t>
      </w:r>
      <w:r>
        <w:rPr>
          <w:spacing w:val="-4"/>
          <w:vertAlign w:val="baseline"/>
        </w:rPr>
        <w:t> </w:t>
      </w:r>
      <w:r>
        <w:rPr>
          <w:vertAlign w:val="baseline"/>
        </w:rPr>
        <w:t>including</w:t>
      </w:r>
      <w:r>
        <w:rPr>
          <w:spacing w:val="-4"/>
          <w:vertAlign w:val="baseline"/>
        </w:rPr>
        <w:t> </w:t>
      </w:r>
      <w:r>
        <w:rPr>
          <w:vertAlign w:val="baseline"/>
        </w:rPr>
        <w:t>inclusive</w:t>
      </w:r>
      <w:r>
        <w:rPr>
          <w:spacing w:val="-3"/>
          <w:vertAlign w:val="baseline"/>
        </w:rPr>
        <w:t> </w:t>
      </w:r>
      <w:r>
        <w:rPr>
          <w:vertAlign w:val="baseline"/>
        </w:rPr>
        <w:t>electronic</w:t>
      </w:r>
      <w:r>
        <w:rPr>
          <w:spacing w:val="-3"/>
          <w:vertAlign w:val="baseline"/>
        </w:rPr>
        <w:t> </w:t>
      </w:r>
      <w:r>
        <w:rPr>
          <w:vertAlign w:val="baseline"/>
        </w:rPr>
        <w:t>health</w:t>
      </w:r>
      <w:r>
        <w:rPr>
          <w:spacing w:val="-3"/>
          <w:vertAlign w:val="baseline"/>
        </w:rPr>
        <w:t> </w:t>
      </w:r>
      <w:r>
        <w:rPr>
          <w:vertAlign w:val="baseline"/>
        </w:rPr>
        <w:t>records</w:t>
      </w:r>
      <w:r>
        <w:rPr>
          <w:spacing w:val="-2"/>
          <w:vertAlign w:val="baseline"/>
        </w:rPr>
        <w:t> </w:t>
      </w:r>
      <w:r>
        <w:rPr>
          <w:vertAlign w:val="baseline"/>
        </w:rPr>
        <w:t>(EHRs),</w:t>
      </w:r>
      <w:r>
        <w:rPr>
          <w:spacing w:val="-4"/>
          <w:vertAlign w:val="baseline"/>
        </w:rPr>
        <w:t> </w:t>
      </w:r>
      <w:r>
        <w:rPr>
          <w:vertAlign w:val="baseline"/>
        </w:rPr>
        <w:t>can </w:t>
      </w:r>
      <w:r>
        <w:rPr>
          <w:spacing w:val="-2"/>
          <w:vertAlign w:val="baseline"/>
        </w:rPr>
        <w:t>be</w:t>
      </w:r>
      <w:r>
        <w:rPr>
          <w:spacing w:val="-11"/>
          <w:vertAlign w:val="baseline"/>
        </w:rPr>
        <w:t> </w:t>
      </w:r>
      <w:r>
        <w:rPr>
          <w:spacing w:val="-2"/>
          <w:vertAlign w:val="baseline"/>
        </w:rPr>
        <w:t>lifesaving.</w:t>
      </w:r>
      <w:r>
        <w:rPr>
          <w:spacing w:val="-3"/>
          <w:vertAlign w:val="baseline"/>
        </w:rPr>
        <w:t> </w:t>
      </w:r>
      <w:r>
        <w:rPr>
          <w:spacing w:val="-2"/>
          <w:vertAlign w:val="superscript"/>
        </w:rPr>
        <w:t>4</w:t>
      </w:r>
      <w:r>
        <w:rPr>
          <w:spacing w:val="-11"/>
          <w:vertAlign w:val="baseline"/>
        </w:rPr>
        <w:t> </w:t>
      </w:r>
      <w:r>
        <w:rPr>
          <w:spacing w:val="-2"/>
          <w:vertAlign w:val="baseline"/>
        </w:rPr>
        <w:t>The Governor’s</w:t>
      </w:r>
      <w:r>
        <w:rPr>
          <w:spacing w:val="-3"/>
          <w:vertAlign w:val="baseline"/>
        </w:rPr>
        <w:t> </w:t>
      </w:r>
      <w:r>
        <w:rPr>
          <w:spacing w:val="-2"/>
          <w:vertAlign w:val="baseline"/>
        </w:rPr>
        <w:t>office</w:t>
      </w:r>
      <w:r>
        <w:rPr>
          <w:spacing w:val="-3"/>
          <w:vertAlign w:val="baseline"/>
        </w:rPr>
        <w:t> </w:t>
      </w:r>
      <w:r>
        <w:rPr>
          <w:spacing w:val="-2"/>
          <w:vertAlign w:val="baseline"/>
        </w:rPr>
        <w:t>can also</w:t>
      </w:r>
      <w:r>
        <w:rPr>
          <w:spacing w:val="-3"/>
          <w:vertAlign w:val="baseline"/>
        </w:rPr>
        <w:t> </w:t>
      </w:r>
      <w:r>
        <w:rPr>
          <w:spacing w:val="-2"/>
          <w:vertAlign w:val="baseline"/>
        </w:rPr>
        <w:t>learn from the recently</w:t>
      </w:r>
      <w:r>
        <w:rPr>
          <w:spacing w:val="-3"/>
          <w:vertAlign w:val="baseline"/>
        </w:rPr>
        <w:t> </w:t>
      </w:r>
      <w:r>
        <w:rPr>
          <w:spacing w:val="-2"/>
          <w:vertAlign w:val="baseline"/>
        </w:rPr>
        <w:t>released Federal Evidence</w:t>
      </w:r>
      <w:r>
        <w:rPr>
          <w:spacing w:val="-3"/>
          <w:vertAlign w:val="baseline"/>
        </w:rPr>
        <w:t> </w:t>
      </w:r>
      <w:r>
        <w:rPr>
          <w:spacing w:val="-2"/>
          <w:vertAlign w:val="baseline"/>
        </w:rPr>
        <w:t>Agenda </w:t>
      </w:r>
      <w:r>
        <w:rPr>
          <w:vertAlign w:val="baseline"/>
        </w:rPr>
        <w:t>on LGBTQ Equity that represents an important step forward in collecting SOGI data.</w:t>
      </w:r>
      <w:r>
        <w:rPr>
          <w:vertAlign w:val="superscript"/>
        </w:rPr>
        <w:t>5</w:t>
      </w:r>
    </w:p>
    <w:p>
      <w:pPr>
        <w:numPr>
          <w:ilvl w:val="0"/>
          <w:numId w:val="21"/>
        </w:numPr>
        <w:tabs>
          <w:tab w:pos="462" w:val="left" w:leader="none"/>
          <w:tab w:pos="464" w:val="left" w:leader="none"/>
        </w:tabs>
        <w:spacing w:line="276" w:lineRule="auto" w:before="239"/>
        <w:ind w:left="464" w:right="243" w:hanging="360"/>
        <w:jc w:val="left"/>
        <w:rPr>
          <w:b/>
          <w:sz w:val="22"/>
        </w:rPr>
      </w:pPr>
      <w:r>
        <w:rPr>
          <w:b/>
          <w:sz w:val="22"/>
        </w:rPr>
        <w:t>Improve</w:t>
      </w:r>
      <w:r>
        <w:rPr>
          <w:b/>
          <w:spacing w:val="-8"/>
          <w:sz w:val="22"/>
        </w:rPr>
        <w:t> </w:t>
      </w:r>
      <w:r>
        <w:rPr>
          <w:b/>
          <w:sz w:val="22"/>
        </w:rPr>
        <w:t>research</w:t>
      </w:r>
      <w:r>
        <w:rPr>
          <w:b/>
          <w:spacing w:val="-8"/>
          <w:sz w:val="22"/>
        </w:rPr>
        <w:t> </w:t>
      </w:r>
      <w:r>
        <w:rPr>
          <w:b/>
          <w:sz w:val="22"/>
        </w:rPr>
        <w:t>on</w:t>
      </w:r>
      <w:r>
        <w:rPr>
          <w:b/>
          <w:spacing w:val="-9"/>
          <w:sz w:val="22"/>
        </w:rPr>
        <w:t> </w:t>
      </w:r>
      <w:r>
        <w:rPr>
          <w:b/>
          <w:sz w:val="22"/>
        </w:rPr>
        <w:t>intersex</w:t>
      </w:r>
      <w:r>
        <w:rPr>
          <w:b/>
          <w:spacing w:val="-9"/>
          <w:sz w:val="22"/>
        </w:rPr>
        <w:t> </w:t>
      </w:r>
      <w:r>
        <w:rPr>
          <w:b/>
          <w:sz w:val="22"/>
        </w:rPr>
        <w:t>youth</w:t>
      </w:r>
      <w:r>
        <w:rPr>
          <w:b/>
          <w:spacing w:val="-9"/>
          <w:sz w:val="22"/>
        </w:rPr>
        <w:t> </w:t>
      </w:r>
      <w:r>
        <w:rPr>
          <w:b/>
          <w:sz w:val="22"/>
        </w:rPr>
        <w:t>communities</w:t>
      </w:r>
      <w:r>
        <w:rPr>
          <w:b/>
          <w:spacing w:val="-7"/>
          <w:sz w:val="22"/>
        </w:rPr>
        <w:t> </w:t>
      </w:r>
      <w:r>
        <w:rPr>
          <w:b/>
          <w:sz w:val="22"/>
        </w:rPr>
        <w:t>and</w:t>
      </w:r>
      <w:r>
        <w:rPr>
          <w:b/>
          <w:spacing w:val="-9"/>
          <w:sz w:val="22"/>
        </w:rPr>
        <w:t> </w:t>
      </w:r>
      <w:r>
        <w:rPr>
          <w:b/>
          <w:sz w:val="22"/>
        </w:rPr>
        <w:t>prohibit</w:t>
      </w:r>
      <w:r>
        <w:rPr>
          <w:b/>
          <w:spacing w:val="-9"/>
          <w:sz w:val="22"/>
        </w:rPr>
        <w:t> </w:t>
      </w:r>
      <w:r>
        <w:rPr>
          <w:b/>
          <w:sz w:val="22"/>
        </w:rPr>
        <w:t>non-consensual</w:t>
      </w:r>
      <w:r>
        <w:rPr>
          <w:b/>
          <w:spacing w:val="-8"/>
          <w:sz w:val="22"/>
        </w:rPr>
        <w:t> </w:t>
      </w:r>
      <w:r>
        <w:rPr>
          <w:b/>
          <w:sz w:val="22"/>
        </w:rPr>
        <w:t>unnecessary</w:t>
      </w:r>
      <w:r>
        <w:rPr>
          <w:b/>
          <w:spacing w:val="-8"/>
          <w:sz w:val="22"/>
        </w:rPr>
        <w:t> </w:t>
      </w:r>
      <w:r>
        <w:rPr>
          <w:b/>
          <w:sz w:val="22"/>
        </w:rPr>
        <w:t>medical interventions on minors.</w:t>
      </w:r>
    </w:p>
    <w:p>
      <w:pPr>
        <w:pStyle w:val="BodyText"/>
        <w:spacing w:line="276" w:lineRule="auto" w:before="241"/>
        <w:ind w:left="463" w:right="240" w:hanging="9"/>
        <w:jc w:val="both"/>
      </w:pPr>
      <w:r>
        <w:rPr/>
        <w:t>There is a significant and concerning lack of information at the state level about the experiences of intersex youth in healthcare spaces. As some intersex youth identify with the LGBTQ community, the Commission</w:t>
      </w:r>
      <w:r>
        <w:rPr>
          <w:spacing w:val="-11"/>
        </w:rPr>
        <w:t> </w:t>
      </w:r>
      <w:r>
        <w:rPr/>
        <w:t>urges</w:t>
      </w:r>
      <w:r>
        <w:rPr>
          <w:spacing w:val="-11"/>
        </w:rPr>
        <w:t> </w:t>
      </w:r>
      <w:r>
        <w:rPr/>
        <w:t>the</w:t>
      </w:r>
      <w:r>
        <w:rPr>
          <w:spacing w:val="-11"/>
        </w:rPr>
        <w:t> </w:t>
      </w:r>
      <w:r>
        <w:rPr/>
        <w:t>Commonwealth</w:t>
      </w:r>
      <w:r>
        <w:rPr>
          <w:spacing w:val="-10"/>
        </w:rPr>
        <w:t> </w:t>
      </w:r>
      <w:r>
        <w:rPr/>
        <w:t>to</w:t>
      </w:r>
      <w:r>
        <w:rPr>
          <w:spacing w:val="-11"/>
        </w:rPr>
        <w:t> </w:t>
      </w:r>
      <w:r>
        <w:rPr/>
        <w:t>increase</w:t>
      </w:r>
      <w:r>
        <w:rPr>
          <w:spacing w:val="-11"/>
        </w:rPr>
        <w:t> </w:t>
      </w:r>
      <w:r>
        <w:rPr/>
        <w:t>its</w:t>
      </w:r>
      <w:r>
        <w:rPr>
          <w:spacing w:val="-11"/>
        </w:rPr>
        <w:t> </w:t>
      </w:r>
      <w:r>
        <w:rPr/>
        <w:t>research</w:t>
      </w:r>
      <w:r>
        <w:rPr>
          <w:spacing w:val="-11"/>
        </w:rPr>
        <w:t> </w:t>
      </w:r>
      <w:r>
        <w:rPr/>
        <w:t>efforts</w:t>
      </w:r>
      <w:r>
        <w:rPr>
          <w:spacing w:val="-11"/>
        </w:rPr>
        <w:t> </w:t>
      </w:r>
      <w:r>
        <w:rPr/>
        <w:t>to</w:t>
      </w:r>
      <w:r>
        <w:rPr>
          <w:spacing w:val="-11"/>
        </w:rPr>
        <w:t> </w:t>
      </w:r>
      <w:r>
        <w:rPr/>
        <w:t>better</w:t>
      </w:r>
      <w:r>
        <w:rPr>
          <w:spacing w:val="-10"/>
        </w:rPr>
        <w:t> </w:t>
      </w:r>
      <w:r>
        <w:rPr/>
        <w:t>understand</w:t>
      </w:r>
      <w:r>
        <w:rPr>
          <w:spacing w:val="-11"/>
        </w:rPr>
        <w:t> </w:t>
      </w:r>
      <w:r>
        <w:rPr/>
        <w:t>the</w:t>
      </w:r>
      <w:r>
        <w:rPr>
          <w:spacing w:val="-11"/>
        </w:rPr>
        <w:t> </w:t>
      </w:r>
      <w:r>
        <w:rPr/>
        <w:t>unique needs of intersex youth. Additionally, the Commission strongly recommends that the state prohibit the non-consensual practices of performing medically unnecessary surgeries on intersex infants to reconstruct genitalia, except for when emergency intervention is necessary. By postponing non- consensual</w:t>
      </w:r>
      <w:r>
        <w:rPr>
          <w:spacing w:val="-10"/>
        </w:rPr>
        <w:t> </w:t>
      </w:r>
      <w:r>
        <w:rPr/>
        <w:t>surgeries,</w:t>
      </w:r>
      <w:r>
        <w:rPr>
          <w:spacing w:val="-10"/>
        </w:rPr>
        <w:t> </w:t>
      </w:r>
      <w:r>
        <w:rPr/>
        <w:t>minor</w:t>
      </w:r>
      <w:r>
        <w:rPr>
          <w:spacing w:val="-10"/>
        </w:rPr>
        <w:t> </w:t>
      </w:r>
      <w:r>
        <w:rPr/>
        <w:t>patients</w:t>
      </w:r>
      <w:r>
        <w:rPr>
          <w:spacing w:val="-9"/>
        </w:rPr>
        <w:t> </w:t>
      </w:r>
      <w:r>
        <w:rPr/>
        <w:t>are</w:t>
      </w:r>
      <w:r>
        <w:rPr>
          <w:spacing w:val="-10"/>
        </w:rPr>
        <w:t> </w:t>
      </w:r>
      <w:r>
        <w:rPr/>
        <w:t>more</w:t>
      </w:r>
      <w:r>
        <w:rPr>
          <w:spacing w:val="-10"/>
        </w:rPr>
        <w:t> </w:t>
      </w:r>
      <w:r>
        <w:rPr/>
        <w:t>able</w:t>
      </w:r>
      <w:r>
        <w:rPr>
          <w:spacing w:val="-10"/>
        </w:rPr>
        <w:t> </w:t>
      </w:r>
      <w:r>
        <w:rPr/>
        <w:t>to</w:t>
      </w:r>
      <w:r>
        <w:rPr>
          <w:spacing w:val="-9"/>
        </w:rPr>
        <w:t> </w:t>
      </w:r>
      <w:r>
        <w:rPr/>
        <w:t>fully</w:t>
      </w:r>
      <w:r>
        <w:rPr>
          <w:spacing w:val="-10"/>
        </w:rPr>
        <w:t> </w:t>
      </w:r>
      <w:r>
        <w:rPr/>
        <w:t>participate</w:t>
      </w:r>
      <w:r>
        <w:rPr>
          <w:spacing w:val="-10"/>
        </w:rPr>
        <w:t> </w:t>
      </w:r>
      <w:r>
        <w:rPr/>
        <w:t>in</w:t>
      </w:r>
      <w:r>
        <w:rPr>
          <w:spacing w:val="-10"/>
        </w:rPr>
        <w:t> </w:t>
      </w:r>
      <w:r>
        <w:rPr/>
        <w:t>decision-making</w:t>
      </w:r>
      <w:r>
        <w:rPr>
          <w:spacing w:val="-10"/>
        </w:rPr>
        <w:t> </w:t>
      </w:r>
      <w:r>
        <w:rPr/>
        <w:t>around</w:t>
      </w:r>
      <w:r>
        <w:rPr>
          <w:spacing w:val="-10"/>
        </w:rPr>
        <w:t> </w:t>
      </w:r>
      <w:r>
        <w:rPr/>
        <w:t>their own bodies at a later date.</w:t>
      </w:r>
      <w:r>
        <w:rPr>
          <w:vertAlign w:val="superscript"/>
        </w:rPr>
        <w:t>6</w:t>
      </w:r>
    </w:p>
    <w:p>
      <w:pPr>
        <w:numPr>
          <w:ilvl w:val="0"/>
          <w:numId w:val="21"/>
        </w:numPr>
        <w:tabs>
          <w:tab w:pos="513" w:val="left" w:leader="none"/>
        </w:tabs>
        <w:spacing w:before="240"/>
        <w:ind w:left="513" w:right="0" w:hanging="409"/>
        <w:jc w:val="left"/>
        <w:rPr>
          <w:b/>
          <w:sz w:val="22"/>
        </w:rPr>
      </w:pPr>
      <w:r>
        <w:rPr>
          <w:b/>
          <w:sz w:val="22"/>
        </w:rPr>
        <w:t>Expand</w:t>
      </w:r>
      <w:r>
        <w:rPr>
          <w:b/>
          <w:spacing w:val="-11"/>
          <w:sz w:val="22"/>
        </w:rPr>
        <w:t> </w:t>
      </w:r>
      <w:r>
        <w:rPr>
          <w:b/>
          <w:sz w:val="22"/>
        </w:rPr>
        <w:t>coverage</w:t>
      </w:r>
      <w:r>
        <w:rPr>
          <w:b/>
          <w:spacing w:val="-10"/>
          <w:sz w:val="22"/>
        </w:rPr>
        <w:t> </w:t>
      </w:r>
      <w:r>
        <w:rPr>
          <w:b/>
          <w:sz w:val="22"/>
        </w:rPr>
        <w:t>of</w:t>
      </w:r>
      <w:r>
        <w:rPr>
          <w:b/>
          <w:spacing w:val="-11"/>
          <w:sz w:val="22"/>
        </w:rPr>
        <w:t> </w:t>
      </w:r>
      <w:r>
        <w:rPr>
          <w:b/>
          <w:sz w:val="22"/>
        </w:rPr>
        <w:t>gender-affirming</w:t>
      </w:r>
      <w:r>
        <w:rPr>
          <w:b/>
          <w:spacing w:val="-10"/>
          <w:sz w:val="22"/>
        </w:rPr>
        <w:t> </w:t>
      </w:r>
      <w:r>
        <w:rPr>
          <w:b/>
          <w:sz w:val="22"/>
        </w:rPr>
        <w:t>care</w:t>
      </w:r>
      <w:r>
        <w:rPr>
          <w:b/>
          <w:spacing w:val="-10"/>
          <w:sz w:val="22"/>
        </w:rPr>
        <w:t> </w:t>
      </w:r>
      <w:r>
        <w:rPr>
          <w:b/>
          <w:sz w:val="22"/>
        </w:rPr>
        <w:t>and</w:t>
      </w:r>
      <w:r>
        <w:rPr>
          <w:b/>
          <w:spacing w:val="-11"/>
          <w:sz w:val="22"/>
        </w:rPr>
        <w:t> </w:t>
      </w:r>
      <w:r>
        <w:rPr>
          <w:b/>
          <w:sz w:val="22"/>
        </w:rPr>
        <w:t>increase</w:t>
      </w:r>
      <w:r>
        <w:rPr>
          <w:b/>
          <w:spacing w:val="-10"/>
          <w:sz w:val="22"/>
        </w:rPr>
        <w:t> </w:t>
      </w:r>
      <w:r>
        <w:rPr>
          <w:b/>
          <w:sz w:val="22"/>
        </w:rPr>
        <w:t>reimbursement</w:t>
      </w:r>
      <w:r>
        <w:rPr>
          <w:b/>
          <w:spacing w:val="-10"/>
          <w:sz w:val="22"/>
        </w:rPr>
        <w:t> </w:t>
      </w:r>
      <w:r>
        <w:rPr>
          <w:b/>
          <w:sz w:val="22"/>
        </w:rPr>
        <w:t>to</w:t>
      </w:r>
      <w:r>
        <w:rPr>
          <w:b/>
          <w:spacing w:val="-10"/>
          <w:sz w:val="22"/>
        </w:rPr>
        <w:t> </w:t>
      </w:r>
      <w:r>
        <w:rPr>
          <w:b/>
          <w:sz w:val="22"/>
        </w:rPr>
        <w:t>incentivize</w:t>
      </w:r>
      <w:r>
        <w:rPr>
          <w:b/>
          <w:spacing w:val="-11"/>
          <w:sz w:val="22"/>
        </w:rPr>
        <w:t> </w:t>
      </w:r>
      <w:r>
        <w:rPr>
          <w:b/>
          <w:spacing w:val="-2"/>
          <w:sz w:val="22"/>
        </w:rPr>
        <w:t>care.</w:t>
      </w:r>
    </w:p>
    <w:p>
      <w:pPr>
        <w:pStyle w:val="BodyText"/>
        <w:spacing w:before="11"/>
        <w:rPr>
          <w:b/>
        </w:rPr>
      </w:pPr>
    </w:p>
    <w:p>
      <w:pPr>
        <w:pStyle w:val="BodyText"/>
        <w:spacing w:line="276" w:lineRule="auto"/>
        <w:ind w:left="464" w:right="240" w:hanging="3"/>
        <w:jc w:val="both"/>
      </w:pPr>
      <w:r>
        <w:rPr/>
        <w:t>There are multiple tenets of gender-affirming care; as defined by the World Health Organization, gender-affirming</w:t>
      </w:r>
      <w:r>
        <w:rPr>
          <w:spacing w:val="-4"/>
        </w:rPr>
        <w:t> </w:t>
      </w:r>
      <w:r>
        <w:rPr/>
        <w:t>care</w:t>
      </w:r>
      <w:r>
        <w:rPr>
          <w:spacing w:val="-5"/>
        </w:rPr>
        <w:t> </w:t>
      </w:r>
      <w:r>
        <w:rPr/>
        <w:t>includes</w:t>
      </w:r>
      <w:r>
        <w:rPr>
          <w:spacing w:val="-5"/>
        </w:rPr>
        <w:t> </w:t>
      </w:r>
      <w:r>
        <w:rPr/>
        <w:t>social,</w:t>
      </w:r>
      <w:r>
        <w:rPr>
          <w:spacing w:val="-3"/>
        </w:rPr>
        <w:t> </w:t>
      </w:r>
      <w:r>
        <w:rPr/>
        <w:t>psychological,</w:t>
      </w:r>
      <w:r>
        <w:rPr>
          <w:spacing w:val="-5"/>
        </w:rPr>
        <w:t> </w:t>
      </w:r>
      <w:r>
        <w:rPr/>
        <w:t>behavioral,</w:t>
      </w:r>
      <w:r>
        <w:rPr>
          <w:spacing w:val="-5"/>
        </w:rPr>
        <w:t> </w:t>
      </w:r>
      <w:r>
        <w:rPr/>
        <w:t>and</w:t>
      </w:r>
      <w:r>
        <w:rPr>
          <w:spacing w:val="-5"/>
        </w:rPr>
        <w:t> </w:t>
      </w:r>
      <w:r>
        <w:rPr/>
        <w:t>medical</w:t>
      </w:r>
      <w:r>
        <w:rPr>
          <w:spacing w:val="-4"/>
        </w:rPr>
        <w:t> </w:t>
      </w:r>
      <w:r>
        <w:rPr/>
        <w:t>interventions</w:t>
      </w:r>
      <w:r>
        <w:rPr>
          <w:spacing w:val="-3"/>
        </w:rPr>
        <w:t> </w:t>
      </w:r>
      <w:r>
        <w:rPr/>
        <w:t>that</w:t>
      </w:r>
      <w:r>
        <w:rPr>
          <w:spacing w:val="-5"/>
        </w:rPr>
        <w:t> </w:t>
      </w:r>
      <w:r>
        <w:rPr/>
        <w:t>affirm a</w:t>
      </w:r>
      <w:r>
        <w:rPr>
          <w:spacing w:val="-3"/>
        </w:rPr>
        <w:t> </w:t>
      </w:r>
      <w:r>
        <w:rPr/>
        <w:t>patient’s</w:t>
      </w:r>
      <w:r>
        <w:rPr>
          <w:spacing w:val="-2"/>
        </w:rPr>
        <w:t> </w:t>
      </w:r>
      <w:r>
        <w:rPr/>
        <w:t>gender</w:t>
      </w:r>
      <w:r>
        <w:rPr>
          <w:spacing w:val="-3"/>
        </w:rPr>
        <w:t> </w:t>
      </w:r>
      <w:r>
        <w:rPr/>
        <w:t>identity</w:t>
      </w:r>
      <w:r>
        <w:rPr>
          <w:spacing w:val="-1"/>
        </w:rPr>
        <w:t> </w:t>
      </w:r>
      <w:r>
        <w:rPr/>
        <w:t>and</w:t>
      </w:r>
      <w:r>
        <w:rPr>
          <w:spacing w:val="-3"/>
        </w:rPr>
        <w:t> </w:t>
      </w:r>
      <w:r>
        <w:rPr/>
        <w:t>expression.</w:t>
      </w:r>
      <w:r>
        <w:rPr>
          <w:spacing w:val="-3"/>
        </w:rPr>
        <w:t> </w:t>
      </w:r>
      <w:r>
        <w:rPr/>
        <w:t>Therefore,</w:t>
      </w:r>
      <w:r>
        <w:rPr>
          <w:spacing w:val="-3"/>
        </w:rPr>
        <w:t> </w:t>
      </w:r>
      <w:r>
        <w:rPr/>
        <w:t>gender-affirming</w:t>
      </w:r>
      <w:r>
        <w:rPr>
          <w:spacing w:val="-2"/>
        </w:rPr>
        <w:t> </w:t>
      </w:r>
      <w:r>
        <w:rPr/>
        <w:t>care</w:t>
      </w:r>
      <w:r>
        <w:rPr>
          <w:spacing w:val="-3"/>
        </w:rPr>
        <w:t> </w:t>
      </w:r>
      <w:r>
        <w:rPr/>
        <w:t>coverage</w:t>
      </w:r>
      <w:r>
        <w:rPr>
          <w:spacing w:val="-3"/>
        </w:rPr>
        <w:t> </w:t>
      </w:r>
      <w:r>
        <w:rPr/>
        <w:t>should</w:t>
      </w:r>
      <w:r>
        <w:rPr>
          <w:spacing w:val="-3"/>
        </w:rPr>
        <w:t> </w:t>
      </w:r>
      <w:r>
        <w:rPr/>
        <w:t>include, though</w:t>
      </w:r>
      <w:r>
        <w:rPr>
          <w:spacing w:val="-9"/>
        </w:rPr>
        <w:t> </w:t>
      </w:r>
      <w:r>
        <w:rPr/>
        <w:t>not</w:t>
      </w:r>
      <w:r>
        <w:rPr>
          <w:spacing w:val="-9"/>
        </w:rPr>
        <w:t> </w:t>
      </w:r>
      <w:r>
        <w:rPr/>
        <w:t>be</w:t>
      </w:r>
      <w:r>
        <w:rPr>
          <w:spacing w:val="-10"/>
        </w:rPr>
        <w:t> </w:t>
      </w:r>
      <w:r>
        <w:rPr/>
        <w:t>limited</w:t>
      </w:r>
      <w:r>
        <w:rPr>
          <w:spacing w:val="-9"/>
        </w:rPr>
        <w:t> </w:t>
      </w:r>
      <w:r>
        <w:rPr/>
        <w:t>to,</w:t>
      </w:r>
      <w:r>
        <w:rPr>
          <w:spacing w:val="-8"/>
        </w:rPr>
        <w:t> </w:t>
      </w:r>
      <w:r>
        <w:rPr/>
        <w:t>hair</w:t>
      </w:r>
      <w:r>
        <w:rPr>
          <w:spacing w:val="-10"/>
        </w:rPr>
        <w:t> </w:t>
      </w:r>
      <w:r>
        <w:rPr/>
        <w:t>removal,</w:t>
      </w:r>
      <w:r>
        <w:rPr>
          <w:spacing w:val="-10"/>
        </w:rPr>
        <w:t> </w:t>
      </w:r>
      <w:r>
        <w:rPr/>
        <w:t>voice</w:t>
      </w:r>
      <w:r>
        <w:rPr>
          <w:spacing w:val="-10"/>
        </w:rPr>
        <w:t> </w:t>
      </w:r>
      <w:r>
        <w:rPr/>
        <w:t>therapy,</w:t>
      </w:r>
      <w:r>
        <w:rPr>
          <w:spacing w:val="-8"/>
        </w:rPr>
        <w:t> </w:t>
      </w:r>
      <w:r>
        <w:rPr/>
        <w:t>and</w:t>
      </w:r>
      <w:r>
        <w:rPr>
          <w:spacing w:val="-10"/>
        </w:rPr>
        <w:t> </w:t>
      </w:r>
      <w:r>
        <w:rPr/>
        <w:t>increased</w:t>
      </w:r>
      <w:r>
        <w:rPr>
          <w:spacing w:val="-10"/>
        </w:rPr>
        <w:t> </w:t>
      </w:r>
      <w:r>
        <w:rPr/>
        <w:t>access</w:t>
      </w:r>
      <w:r>
        <w:rPr>
          <w:spacing w:val="-9"/>
        </w:rPr>
        <w:t> </w:t>
      </w:r>
      <w:r>
        <w:rPr/>
        <w:t>to</w:t>
      </w:r>
      <w:r>
        <w:rPr>
          <w:spacing w:val="-8"/>
        </w:rPr>
        <w:t> </w:t>
      </w:r>
      <w:r>
        <w:rPr/>
        <w:t>family-building</w:t>
      </w:r>
      <w:r>
        <w:rPr>
          <w:spacing w:val="-8"/>
        </w:rPr>
        <w:t> </w:t>
      </w:r>
      <w:r>
        <w:rPr/>
        <w:t>services. Furthermore,</w:t>
      </w:r>
      <w:r>
        <w:rPr>
          <w:spacing w:val="-12"/>
        </w:rPr>
        <w:t> </w:t>
      </w:r>
      <w:r>
        <w:rPr/>
        <w:t>the</w:t>
      </w:r>
      <w:r>
        <w:rPr>
          <w:spacing w:val="-12"/>
        </w:rPr>
        <w:t> </w:t>
      </w:r>
      <w:r>
        <w:rPr/>
        <w:t>Commission</w:t>
      </w:r>
      <w:r>
        <w:rPr>
          <w:spacing w:val="-12"/>
        </w:rPr>
        <w:t> </w:t>
      </w:r>
      <w:r>
        <w:rPr/>
        <w:t>recommends</w:t>
      </w:r>
      <w:r>
        <w:rPr>
          <w:spacing w:val="-12"/>
        </w:rPr>
        <w:t> </w:t>
      </w:r>
      <w:r>
        <w:rPr/>
        <w:t>that</w:t>
      </w:r>
      <w:r>
        <w:rPr>
          <w:spacing w:val="-11"/>
        </w:rPr>
        <w:t> </w:t>
      </w:r>
      <w:r>
        <w:rPr/>
        <w:t>the</w:t>
      </w:r>
      <w:r>
        <w:rPr>
          <w:spacing w:val="-11"/>
        </w:rPr>
        <w:t> </w:t>
      </w:r>
      <w:r>
        <w:rPr/>
        <w:t>Commonwealth</w:t>
      </w:r>
      <w:r>
        <w:rPr>
          <w:spacing w:val="-11"/>
        </w:rPr>
        <w:t> </w:t>
      </w:r>
      <w:r>
        <w:rPr/>
        <w:t>consider</w:t>
      </w:r>
      <w:r>
        <w:rPr>
          <w:spacing w:val="-11"/>
        </w:rPr>
        <w:t> </w:t>
      </w:r>
      <w:r>
        <w:rPr/>
        <w:t>codifying</w:t>
      </w:r>
      <w:r>
        <w:rPr>
          <w:spacing w:val="-11"/>
        </w:rPr>
        <w:t> </w:t>
      </w:r>
      <w:r>
        <w:rPr/>
        <w:t>the</w:t>
      </w:r>
      <w:r>
        <w:rPr>
          <w:spacing w:val="-11"/>
        </w:rPr>
        <w:t> </w:t>
      </w:r>
      <w:r>
        <w:rPr/>
        <w:t>provisions of</w:t>
      </w:r>
      <w:r>
        <w:rPr>
          <w:spacing w:val="-13"/>
        </w:rPr>
        <w:t> </w:t>
      </w:r>
      <w:r>
        <w:rPr/>
        <w:t>the</w:t>
      </w:r>
      <w:r>
        <w:rPr>
          <w:spacing w:val="-11"/>
        </w:rPr>
        <w:t> </w:t>
      </w:r>
      <w:r>
        <w:rPr/>
        <w:t>2021</w:t>
      </w:r>
      <w:r>
        <w:rPr>
          <w:spacing w:val="-6"/>
        </w:rPr>
        <w:t> </w:t>
      </w:r>
      <w:r>
        <w:rPr/>
        <w:t>DOI</w:t>
      </w:r>
      <w:r>
        <w:rPr>
          <w:spacing w:val="-7"/>
        </w:rPr>
        <w:t> </w:t>
      </w:r>
      <w:r>
        <w:rPr/>
        <w:t>Bulletin</w:t>
      </w:r>
      <w:r>
        <w:rPr>
          <w:spacing w:val="-7"/>
        </w:rPr>
        <w:t> </w:t>
      </w:r>
      <w:r>
        <w:rPr>
          <w:vertAlign w:val="superscript"/>
        </w:rPr>
        <w:t>7</w:t>
      </w:r>
      <w:r>
        <w:rPr>
          <w:spacing w:val="-13"/>
          <w:vertAlign w:val="baseline"/>
        </w:rPr>
        <w:t> </w:t>
      </w:r>
      <w:r>
        <w:rPr>
          <w:vertAlign w:val="baseline"/>
        </w:rPr>
        <w:t>prohibiting</w:t>
      </w:r>
      <w:r>
        <w:rPr>
          <w:spacing w:val="-6"/>
          <w:vertAlign w:val="baseline"/>
        </w:rPr>
        <w:t> </w:t>
      </w:r>
      <w:r>
        <w:rPr>
          <w:vertAlign w:val="baseline"/>
        </w:rPr>
        <w:t>discrimination</w:t>
      </w:r>
      <w:r>
        <w:rPr>
          <w:spacing w:val="-7"/>
          <w:vertAlign w:val="baseline"/>
        </w:rPr>
        <w:t> </w:t>
      </w:r>
      <w:r>
        <w:rPr>
          <w:vertAlign w:val="baseline"/>
        </w:rPr>
        <w:t>in</w:t>
      </w:r>
      <w:r>
        <w:rPr>
          <w:spacing w:val="-7"/>
          <w:vertAlign w:val="baseline"/>
        </w:rPr>
        <w:t> </w:t>
      </w:r>
      <w:r>
        <w:rPr>
          <w:vertAlign w:val="baseline"/>
        </w:rPr>
        <w:t>health</w:t>
      </w:r>
      <w:r>
        <w:rPr>
          <w:spacing w:val="-7"/>
          <w:vertAlign w:val="baseline"/>
        </w:rPr>
        <w:t> </w:t>
      </w:r>
      <w:r>
        <w:rPr>
          <w:vertAlign w:val="baseline"/>
        </w:rPr>
        <w:t>insurance</w:t>
      </w:r>
      <w:r>
        <w:rPr>
          <w:spacing w:val="-7"/>
          <w:vertAlign w:val="baseline"/>
        </w:rPr>
        <w:t> </w:t>
      </w:r>
      <w:r>
        <w:rPr>
          <w:vertAlign w:val="baseline"/>
        </w:rPr>
        <w:t>on</w:t>
      </w:r>
      <w:r>
        <w:rPr>
          <w:spacing w:val="-7"/>
          <w:vertAlign w:val="baseline"/>
        </w:rPr>
        <w:t> </w:t>
      </w:r>
      <w:r>
        <w:rPr>
          <w:vertAlign w:val="baseline"/>
        </w:rPr>
        <w:t>the</w:t>
      </w:r>
      <w:r>
        <w:rPr>
          <w:spacing w:val="-7"/>
          <w:vertAlign w:val="baseline"/>
        </w:rPr>
        <w:t> </w:t>
      </w:r>
      <w:r>
        <w:rPr>
          <w:vertAlign w:val="baseline"/>
        </w:rPr>
        <w:t>basis</w:t>
      </w:r>
      <w:r>
        <w:rPr>
          <w:spacing w:val="-6"/>
          <w:vertAlign w:val="baseline"/>
        </w:rPr>
        <w:t> </w:t>
      </w:r>
      <w:r>
        <w:rPr>
          <w:vertAlign w:val="baseline"/>
        </w:rPr>
        <w:t>of</w:t>
      </w:r>
      <w:r>
        <w:rPr>
          <w:spacing w:val="-6"/>
          <w:vertAlign w:val="baseline"/>
        </w:rPr>
        <w:t> </w:t>
      </w:r>
      <w:r>
        <w:rPr>
          <w:vertAlign w:val="baseline"/>
        </w:rPr>
        <w:t>gender</w:t>
      </w:r>
      <w:r>
        <w:rPr>
          <w:spacing w:val="-6"/>
          <w:vertAlign w:val="baseline"/>
        </w:rPr>
        <w:t> </w:t>
      </w:r>
      <w:r>
        <w:rPr>
          <w:vertAlign w:val="baseline"/>
        </w:rPr>
        <w:t>identity and gender dysphoria, with the addition of a private right of action.</w:t>
      </w:r>
    </w:p>
    <w:p>
      <w:pPr>
        <w:numPr>
          <w:ilvl w:val="0"/>
          <w:numId w:val="21"/>
        </w:numPr>
        <w:tabs>
          <w:tab w:pos="462" w:val="left" w:leader="none"/>
          <w:tab w:pos="464" w:val="left" w:leader="none"/>
        </w:tabs>
        <w:spacing w:line="276" w:lineRule="auto" w:before="239"/>
        <w:ind w:left="464" w:right="244" w:hanging="360"/>
        <w:jc w:val="left"/>
        <w:rPr>
          <w:b/>
          <w:sz w:val="22"/>
        </w:rPr>
      </w:pPr>
      <w:r>
        <w:rPr>
          <w:b/>
          <w:sz w:val="22"/>
        </w:rPr>
        <w:t>Dedicate funding to address intimidation and violence towards healthcare workers and healthcare </w:t>
      </w:r>
      <w:r>
        <w:rPr>
          <w:b/>
          <w:spacing w:val="-2"/>
          <w:sz w:val="22"/>
        </w:rPr>
        <w:t>centers.</w:t>
      </w:r>
    </w:p>
    <w:p>
      <w:pPr>
        <w:pStyle w:val="BodyText"/>
        <w:spacing w:line="276" w:lineRule="auto" w:before="241"/>
        <w:ind w:left="464" w:right="243" w:firstLine="5"/>
        <w:jc w:val="both"/>
      </w:pPr>
      <w:r>
        <w:rPr/>
        <w:t>Given the alarming rise in security threats against gender-affirming pediatric providers, including Boston Children’s Hospital, the Commission recommends that state agencies and organizations collaborate to establish clear and specific guidance for youth, families, and providers. The guidance should</w:t>
      </w:r>
      <w:r>
        <w:rPr>
          <w:spacing w:val="-10"/>
        </w:rPr>
        <w:t> </w:t>
      </w:r>
      <w:r>
        <w:rPr/>
        <w:t>include</w:t>
      </w:r>
      <w:r>
        <w:rPr>
          <w:spacing w:val="-10"/>
        </w:rPr>
        <w:t> </w:t>
      </w:r>
      <w:r>
        <w:rPr/>
        <w:t>what</w:t>
      </w:r>
      <w:r>
        <w:rPr>
          <w:spacing w:val="-9"/>
        </w:rPr>
        <w:t> </w:t>
      </w:r>
      <w:r>
        <w:rPr/>
        <w:t>communities</w:t>
      </w:r>
      <w:r>
        <w:rPr>
          <w:spacing w:val="-9"/>
        </w:rPr>
        <w:t> </w:t>
      </w:r>
      <w:r>
        <w:rPr/>
        <w:t>and</w:t>
      </w:r>
      <w:r>
        <w:rPr>
          <w:spacing w:val="-10"/>
        </w:rPr>
        <w:t> </w:t>
      </w:r>
      <w:r>
        <w:rPr/>
        <w:t>facilities</w:t>
      </w:r>
      <w:r>
        <w:rPr>
          <w:spacing w:val="-8"/>
        </w:rPr>
        <w:t> </w:t>
      </w:r>
      <w:r>
        <w:rPr/>
        <w:t>can</w:t>
      </w:r>
      <w:r>
        <w:rPr>
          <w:spacing w:val="-9"/>
        </w:rPr>
        <w:t> </w:t>
      </w:r>
      <w:r>
        <w:rPr/>
        <w:t>do</w:t>
      </w:r>
      <w:r>
        <w:rPr>
          <w:spacing w:val="-9"/>
        </w:rPr>
        <w:t> </w:t>
      </w:r>
      <w:r>
        <w:rPr/>
        <w:t>when</w:t>
      </w:r>
      <w:r>
        <w:rPr>
          <w:spacing w:val="-9"/>
        </w:rPr>
        <w:t> </w:t>
      </w:r>
      <w:r>
        <w:rPr/>
        <w:t>threatened;</w:t>
      </w:r>
      <w:r>
        <w:rPr>
          <w:spacing w:val="-10"/>
        </w:rPr>
        <w:t> </w:t>
      </w:r>
      <w:r>
        <w:rPr/>
        <w:t>a</w:t>
      </w:r>
      <w:r>
        <w:rPr>
          <w:spacing w:val="-8"/>
        </w:rPr>
        <w:t> </w:t>
      </w:r>
      <w:r>
        <w:rPr/>
        <w:t>clear</w:t>
      </w:r>
      <w:r>
        <w:rPr>
          <w:spacing w:val="-9"/>
        </w:rPr>
        <w:t> </w:t>
      </w:r>
      <w:r>
        <w:rPr/>
        <w:t>pathway</w:t>
      </w:r>
      <w:r>
        <w:rPr>
          <w:spacing w:val="-10"/>
        </w:rPr>
        <w:t> </w:t>
      </w:r>
      <w:r>
        <w:rPr/>
        <w:t>for</w:t>
      </w:r>
      <w:r>
        <w:rPr>
          <w:spacing w:val="-9"/>
        </w:rPr>
        <w:t> </w:t>
      </w:r>
      <w:r>
        <w:rPr/>
        <w:t>providers of LGBTQ health care to be protected by the state; and investigation and prosecution of those who engage in cyber-harassment or cyberterrorism.</w:t>
      </w:r>
    </w:p>
    <w:p>
      <w:pPr>
        <w:spacing w:after="0" w:line="276" w:lineRule="auto"/>
        <w:jc w:val="both"/>
        <w:sectPr>
          <w:pgSz w:w="12240" w:h="15840"/>
          <w:pgMar w:header="721" w:footer="1061" w:top="1360" w:bottom="1260" w:left="1120" w:right="1340"/>
        </w:sectPr>
      </w:pPr>
    </w:p>
    <w:p>
      <w:pPr>
        <w:numPr>
          <w:ilvl w:val="0"/>
          <w:numId w:val="21"/>
        </w:numPr>
        <w:tabs>
          <w:tab w:pos="461" w:val="left" w:leader="none"/>
          <w:tab w:pos="463" w:val="left" w:leader="none"/>
        </w:tabs>
        <w:spacing w:line="276" w:lineRule="auto" w:before="67"/>
        <w:ind w:left="463" w:right="241" w:hanging="360"/>
        <w:jc w:val="left"/>
        <w:rPr>
          <w:b/>
          <w:sz w:val="22"/>
        </w:rPr>
      </w:pPr>
      <w:r>
        <w:rPr>
          <w:b/>
          <w:sz w:val="22"/>
        </w:rPr>
        <w:t>Integrate</w:t>
      </w:r>
      <w:r>
        <w:rPr>
          <w:b/>
          <w:spacing w:val="-8"/>
          <w:sz w:val="22"/>
        </w:rPr>
        <w:t> </w:t>
      </w:r>
      <w:r>
        <w:rPr>
          <w:b/>
          <w:sz w:val="22"/>
        </w:rPr>
        <w:t>gender-affirming</w:t>
      </w:r>
      <w:r>
        <w:rPr>
          <w:b/>
          <w:spacing w:val="-6"/>
          <w:sz w:val="22"/>
        </w:rPr>
        <w:t> </w:t>
      </w:r>
      <w:r>
        <w:rPr>
          <w:b/>
          <w:sz w:val="22"/>
        </w:rPr>
        <w:t>health</w:t>
      </w:r>
      <w:r>
        <w:rPr>
          <w:b/>
          <w:spacing w:val="-8"/>
          <w:sz w:val="22"/>
        </w:rPr>
        <w:t> </w:t>
      </w:r>
      <w:r>
        <w:rPr>
          <w:b/>
          <w:sz w:val="22"/>
        </w:rPr>
        <w:t>care</w:t>
      </w:r>
      <w:r>
        <w:rPr>
          <w:b/>
          <w:spacing w:val="-8"/>
          <w:sz w:val="22"/>
        </w:rPr>
        <w:t> </w:t>
      </w:r>
      <w:r>
        <w:rPr>
          <w:b/>
          <w:sz w:val="22"/>
        </w:rPr>
        <w:t>into</w:t>
      </w:r>
      <w:r>
        <w:rPr>
          <w:b/>
          <w:spacing w:val="-7"/>
          <w:sz w:val="22"/>
        </w:rPr>
        <w:t> </w:t>
      </w:r>
      <w:r>
        <w:rPr>
          <w:b/>
          <w:sz w:val="22"/>
        </w:rPr>
        <w:t>the</w:t>
      </w:r>
      <w:r>
        <w:rPr>
          <w:b/>
          <w:spacing w:val="-6"/>
          <w:sz w:val="22"/>
        </w:rPr>
        <w:t> </w:t>
      </w:r>
      <w:r>
        <w:rPr>
          <w:b/>
          <w:sz w:val="22"/>
        </w:rPr>
        <w:t>modern</w:t>
      </w:r>
      <w:r>
        <w:rPr>
          <w:b/>
          <w:spacing w:val="-7"/>
          <w:sz w:val="22"/>
        </w:rPr>
        <w:t> </w:t>
      </w:r>
      <w:r>
        <w:rPr>
          <w:b/>
          <w:sz w:val="22"/>
        </w:rPr>
        <w:t>health</w:t>
      </w:r>
      <w:r>
        <w:rPr>
          <w:b/>
          <w:spacing w:val="-7"/>
          <w:sz w:val="22"/>
        </w:rPr>
        <w:t> </w:t>
      </w:r>
      <w:r>
        <w:rPr>
          <w:b/>
          <w:sz w:val="22"/>
        </w:rPr>
        <w:t>care</w:t>
      </w:r>
      <w:r>
        <w:rPr>
          <w:b/>
          <w:spacing w:val="-8"/>
          <w:sz w:val="22"/>
        </w:rPr>
        <w:t> </w:t>
      </w:r>
      <w:r>
        <w:rPr>
          <w:b/>
          <w:sz w:val="22"/>
        </w:rPr>
        <w:t>environment,</w:t>
      </w:r>
      <w:r>
        <w:rPr>
          <w:b/>
          <w:spacing w:val="-7"/>
          <w:sz w:val="22"/>
        </w:rPr>
        <w:t> </w:t>
      </w:r>
      <w:r>
        <w:rPr>
          <w:b/>
          <w:sz w:val="22"/>
        </w:rPr>
        <w:t>and</w:t>
      </w:r>
      <w:r>
        <w:rPr>
          <w:b/>
          <w:spacing w:val="-8"/>
          <w:sz w:val="22"/>
        </w:rPr>
        <w:t> </w:t>
      </w:r>
      <w:r>
        <w:rPr>
          <w:b/>
          <w:sz w:val="22"/>
        </w:rPr>
        <w:t>combine</w:t>
      </w:r>
      <w:r>
        <w:rPr>
          <w:b/>
          <w:spacing w:val="-7"/>
          <w:sz w:val="22"/>
        </w:rPr>
        <w:t> </w:t>
      </w:r>
      <w:r>
        <w:rPr>
          <w:b/>
          <w:sz w:val="22"/>
        </w:rPr>
        <w:t>with primary care, mental health, and community services.</w:t>
      </w:r>
    </w:p>
    <w:p>
      <w:pPr>
        <w:pStyle w:val="BodyText"/>
        <w:spacing w:line="276" w:lineRule="auto" w:before="241"/>
        <w:ind w:left="463" w:right="240" w:hanging="5"/>
        <w:jc w:val="both"/>
      </w:pPr>
      <w:r>
        <w:rPr/>
        <w:t>As</w:t>
      </w:r>
      <w:r>
        <w:rPr>
          <w:spacing w:val="-5"/>
        </w:rPr>
        <w:t> </w:t>
      </w:r>
      <w:r>
        <w:rPr/>
        <w:t>discussed</w:t>
      </w:r>
      <w:r>
        <w:rPr>
          <w:spacing w:val="-4"/>
        </w:rPr>
        <w:t> </w:t>
      </w:r>
      <w:r>
        <w:rPr/>
        <w:t>throughout</w:t>
      </w:r>
      <w:r>
        <w:rPr>
          <w:spacing w:val="-4"/>
        </w:rPr>
        <w:t> </w:t>
      </w:r>
      <w:r>
        <w:rPr/>
        <w:t>this</w:t>
      </w:r>
      <w:r>
        <w:rPr>
          <w:spacing w:val="-5"/>
        </w:rPr>
        <w:t> </w:t>
      </w:r>
      <w:r>
        <w:rPr/>
        <w:t>section</w:t>
      </w:r>
      <w:r>
        <w:rPr>
          <w:spacing w:val="-4"/>
        </w:rPr>
        <w:t> </w:t>
      </w:r>
      <w:r>
        <w:rPr/>
        <w:t>on</w:t>
      </w:r>
      <w:r>
        <w:rPr>
          <w:spacing w:val="-4"/>
        </w:rPr>
        <w:t> </w:t>
      </w:r>
      <w:r>
        <w:rPr/>
        <w:t>pediatric</w:t>
      </w:r>
      <w:r>
        <w:rPr>
          <w:spacing w:val="-3"/>
        </w:rPr>
        <w:t> </w:t>
      </w:r>
      <w:r>
        <w:rPr/>
        <w:t>health,</w:t>
      </w:r>
      <w:r>
        <w:rPr>
          <w:spacing w:val="-5"/>
        </w:rPr>
        <w:t> </w:t>
      </w:r>
      <w:r>
        <w:rPr/>
        <w:t>access</w:t>
      </w:r>
      <w:r>
        <w:rPr>
          <w:spacing w:val="-3"/>
        </w:rPr>
        <w:t> </w:t>
      </w:r>
      <w:r>
        <w:rPr/>
        <w:t>to</w:t>
      </w:r>
      <w:r>
        <w:rPr>
          <w:spacing w:val="-2"/>
        </w:rPr>
        <w:t> </w:t>
      </w:r>
      <w:r>
        <w:rPr/>
        <w:t>gender-affirming</w:t>
      </w:r>
      <w:r>
        <w:rPr>
          <w:spacing w:val="-4"/>
        </w:rPr>
        <w:t> </w:t>
      </w:r>
      <w:r>
        <w:rPr/>
        <w:t>care</w:t>
      </w:r>
      <w:r>
        <w:rPr>
          <w:spacing w:val="-4"/>
        </w:rPr>
        <w:t> </w:t>
      </w:r>
      <w:r>
        <w:rPr/>
        <w:t>and</w:t>
      </w:r>
      <w:r>
        <w:rPr>
          <w:spacing w:val="-4"/>
        </w:rPr>
        <w:t> </w:t>
      </w:r>
      <w:r>
        <w:rPr/>
        <w:t>capacity for</w:t>
      </w:r>
      <w:r>
        <w:rPr>
          <w:spacing w:val="-5"/>
        </w:rPr>
        <w:t> </w:t>
      </w:r>
      <w:r>
        <w:rPr/>
        <w:t>existing</w:t>
      </w:r>
      <w:r>
        <w:rPr>
          <w:spacing w:val="-4"/>
        </w:rPr>
        <w:t> </w:t>
      </w:r>
      <w:r>
        <w:rPr/>
        <w:t>facilities</w:t>
      </w:r>
      <w:r>
        <w:rPr>
          <w:spacing w:val="-4"/>
        </w:rPr>
        <w:t> </w:t>
      </w:r>
      <w:r>
        <w:rPr/>
        <w:t>is</w:t>
      </w:r>
      <w:r>
        <w:rPr>
          <w:spacing w:val="-3"/>
        </w:rPr>
        <w:t> </w:t>
      </w:r>
      <w:r>
        <w:rPr/>
        <w:t>limited,</w:t>
      </w:r>
      <w:r>
        <w:rPr>
          <w:spacing w:val="-4"/>
        </w:rPr>
        <w:t> </w:t>
      </w:r>
      <w:r>
        <w:rPr/>
        <w:t>thus</w:t>
      </w:r>
      <w:r>
        <w:rPr>
          <w:spacing w:val="-3"/>
        </w:rPr>
        <w:t> </w:t>
      </w:r>
      <w:r>
        <w:rPr/>
        <w:t>the</w:t>
      </w:r>
      <w:r>
        <w:rPr>
          <w:spacing w:val="-4"/>
        </w:rPr>
        <w:t> </w:t>
      </w:r>
      <w:r>
        <w:rPr/>
        <w:t>state</w:t>
      </w:r>
      <w:r>
        <w:rPr>
          <w:spacing w:val="-4"/>
        </w:rPr>
        <w:t> </w:t>
      </w:r>
      <w:r>
        <w:rPr/>
        <w:t>must</w:t>
      </w:r>
      <w:r>
        <w:rPr>
          <w:spacing w:val="-4"/>
        </w:rPr>
        <w:t> </w:t>
      </w:r>
      <w:r>
        <w:rPr/>
        <w:t>examine</w:t>
      </w:r>
      <w:r>
        <w:rPr>
          <w:spacing w:val="-4"/>
        </w:rPr>
        <w:t> </w:t>
      </w:r>
      <w:r>
        <w:rPr/>
        <w:t>ways</w:t>
      </w:r>
      <w:r>
        <w:rPr>
          <w:spacing w:val="-4"/>
        </w:rPr>
        <w:t> </w:t>
      </w:r>
      <w:r>
        <w:rPr/>
        <w:t>to</w:t>
      </w:r>
      <w:r>
        <w:rPr>
          <w:spacing w:val="-5"/>
        </w:rPr>
        <w:t> </w:t>
      </w:r>
      <w:r>
        <w:rPr/>
        <w:t>integrate</w:t>
      </w:r>
      <w:r>
        <w:rPr>
          <w:spacing w:val="-4"/>
        </w:rPr>
        <w:t> </w:t>
      </w:r>
      <w:r>
        <w:rPr/>
        <w:t>gender-affirming</w:t>
      </w:r>
      <w:r>
        <w:rPr>
          <w:spacing w:val="-5"/>
        </w:rPr>
        <w:t> </w:t>
      </w:r>
      <w:r>
        <w:rPr/>
        <w:t>health care into the modern health environment. The Commission recommends that, instead of being relegated to specialty clinics, pediatric providers and clinicians in all facilities should be trained to provide gender-affirming care. In tandem with this, there must be more resources and education devoted to the pursuit of better care for neurodiverse individuals who are more likely to identify as LGBTQ.</w:t>
      </w:r>
      <w:r>
        <w:rPr>
          <w:spacing w:val="-5"/>
        </w:rPr>
        <w:t> </w:t>
      </w:r>
      <w:r>
        <w:rPr/>
        <w:t>Furthermore,</w:t>
      </w:r>
      <w:r>
        <w:rPr>
          <w:spacing w:val="-6"/>
        </w:rPr>
        <w:t> </w:t>
      </w:r>
      <w:r>
        <w:rPr/>
        <w:t>the</w:t>
      </w:r>
      <w:r>
        <w:rPr>
          <w:spacing w:val="-4"/>
        </w:rPr>
        <w:t> </w:t>
      </w:r>
      <w:r>
        <w:rPr/>
        <w:t>Commission</w:t>
      </w:r>
      <w:r>
        <w:rPr>
          <w:spacing w:val="-6"/>
        </w:rPr>
        <w:t> </w:t>
      </w:r>
      <w:r>
        <w:rPr/>
        <w:t>recommends</w:t>
      </w:r>
      <w:r>
        <w:rPr>
          <w:spacing w:val="-5"/>
        </w:rPr>
        <w:t> </w:t>
      </w:r>
      <w:r>
        <w:rPr/>
        <w:t>that</w:t>
      </w:r>
      <w:r>
        <w:rPr>
          <w:spacing w:val="-6"/>
        </w:rPr>
        <w:t> </w:t>
      </w:r>
      <w:r>
        <w:rPr/>
        <w:t>primary</w:t>
      </w:r>
      <w:r>
        <w:rPr>
          <w:spacing w:val="-6"/>
        </w:rPr>
        <w:t> </w:t>
      </w:r>
      <w:r>
        <w:rPr/>
        <w:t>care,</w:t>
      </w:r>
      <w:r>
        <w:rPr>
          <w:spacing w:val="-6"/>
        </w:rPr>
        <w:t> </w:t>
      </w:r>
      <w:r>
        <w:rPr/>
        <w:t>mental</w:t>
      </w:r>
      <w:r>
        <w:rPr>
          <w:spacing w:val="-5"/>
        </w:rPr>
        <w:t> </w:t>
      </w:r>
      <w:r>
        <w:rPr/>
        <w:t>health,</w:t>
      </w:r>
      <w:r>
        <w:rPr>
          <w:spacing w:val="-6"/>
        </w:rPr>
        <w:t> </w:t>
      </w:r>
      <w:r>
        <w:rPr/>
        <w:t>and</w:t>
      </w:r>
      <w:r>
        <w:rPr>
          <w:spacing w:val="-5"/>
        </w:rPr>
        <w:t> </w:t>
      </w:r>
      <w:r>
        <w:rPr/>
        <w:t>community services be integrated under one roof, in line with the medical home model that many integrated LGBTQ health centers have begun to adopt. While much of the funding for LGBTQ health has been focused</w:t>
      </w:r>
      <w:r>
        <w:rPr>
          <w:spacing w:val="-4"/>
        </w:rPr>
        <w:t> </w:t>
      </w:r>
      <w:r>
        <w:rPr/>
        <w:t>on</w:t>
      </w:r>
      <w:r>
        <w:rPr>
          <w:spacing w:val="-4"/>
        </w:rPr>
        <w:t> </w:t>
      </w:r>
      <w:r>
        <w:rPr/>
        <w:t>STI</w:t>
      </w:r>
      <w:r>
        <w:rPr>
          <w:spacing w:val="-4"/>
        </w:rPr>
        <w:t> </w:t>
      </w:r>
      <w:r>
        <w:rPr/>
        <w:t>screening,</w:t>
      </w:r>
      <w:r>
        <w:rPr>
          <w:spacing w:val="-4"/>
        </w:rPr>
        <w:t> </w:t>
      </w:r>
      <w:r>
        <w:rPr/>
        <w:t>prevention,</w:t>
      </w:r>
      <w:r>
        <w:rPr>
          <w:spacing w:val="-4"/>
        </w:rPr>
        <w:t> </w:t>
      </w:r>
      <w:r>
        <w:rPr/>
        <w:t>and</w:t>
      </w:r>
      <w:r>
        <w:rPr>
          <w:spacing w:val="-4"/>
        </w:rPr>
        <w:t> </w:t>
      </w:r>
      <w:r>
        <w:rPr/>
        <w:t>treatment,</w:t>
      </w:r>
      <w:r>
        <w:rPr>
          <w:spacing w:val="-4"/>
        </w:rPr>
        <w:t> </w:t>
      </w:r>
      <w:r>
        <w:rPr/>
        <w:t>more</w:t>
      </w:r>
      <w:r>
        <w:rPr>
          <w:spacing w:val="-4"/>
        </w:rPr>
        <w:t> </w:t>
      </w:r>
      <w:r>
        <w:rPr/>
        <w:t>can</w:t>
      </w:r>
      <w:r>
        <w:rPr>
          <w:spacing w:val="-4"/>
        </w:rPr>
        <w:t> </w:t>
      </w:r>
      <w:r>
        <w:rPr/>
        <w:t>be</w:t>
      </w:r>
      <w:r>
        <w:rPr>
          <w:spacing w:val="-4"/>
        </w:rPr>
        <w:t> </w:t>
      </w:r>
      <w:r>
        <w:rPr/>
        <w:t>done</w:t>
      </w:r>
      <w:r>
        <w:rPr>
          <w:spacing w:val="-4"/>
        </w:rPr>
        <w:t> </w:t>
      </w:r>
      <w:r>
        <w:rPr/>
        <w:t>to</w:t>
      </w:r>
      <w:r>
        <w:rPr>
          <w:spacing w:val="-4"/>
        </w:rPr>
        <w:t> </w:t>
      </w:r>
      <w:r>
        <w:rPr/>
        <w:t>focus</w:t>
      </w:r>
      <w:r>
        <w:rPr>
          <w:spacing w:val="-4"/>
        </w:rPr>
        <w:t> </w:t>
      </w:r>
      <w:r>
        <w:rPr/>
        <w:t>on</w:t>
      </w:r>
      <w:r>
        <w:rPr>
          <w:spacing w:val="-4"/>
        </w:rPr>
        <w:t> </w:t>
      </w:r>
      <w:r>
        <w:rPr/>
        <w:t>the</w:t>
      </w:r>
      <w:r>
        <w:rPr>
          <w:spacing w:val="-4"/>
        </w:rPr>
        <w:t> </w:t>
      </w:r>
      <w:r>
        <w:rPr/>
        <w:t>holistic</w:t>
      </w:r>
      <w:r>
        <w:rPr>
          <w:spacing w:val="-4"/>
        </w:rPr>
        <w:t> </w:t>
      </w:r>
      <w:r>
        <w:rPr/>
        <w:t>needs of the LGBTQ community. This includes hiring more diverse clinicians and investing in a trauma- informed work environment.</w:t>
      </w:r>
    </w:p>
    <w:p>
      <w:pPr>
        <w:spacing w:before="239"/>
        <w:ind w:left="464" w:right="0" w:firstLine="0"/>
        <w:jc w:val="both"/>
        <w:rPr>
          <w:sz w:val="28"/>
        </w:rPr>
      </w:pPr>
      <w:bookmarkStart w:name="Research: Protecting LGBTQ Youth Pediatr" w:id="354"/>
      <w:bookmarkEnd w:id="354"/>
      <w:r>
        <w:rPr/>
      </w:r>
      <w:r>
        <w:rPr>
          <w:color w:val="365F91"/>
          <w:sz w:val="28"/>
        </w:rPr>
        <w:t>Research:</w:t>
      </w:r>
      <w:r>
        <w:rPr>
          <w:color w:val="365F91"/>
          <w:spacing w:val="-13"/>
          <w:sz w:val="28"/>
        </w:rPr>
        <w:t> </w:t>
      </w:r>
      <w:r>
        <w:rPr>
          <w:color w:val="365F91"/>
          <w:sz w:val="28"/>
        </w:rPr>
        <w:t>Protecting</w:t>
      </w:r>
      <w:r>
        <w:rPr>
          <w:color w:val="365F91"/>
          <w:spacing w:val="-11"/>
          <w:sz w:val="28"/>
        </w:rPr>
        <w:t> </w:t>
      </w:r>
      <w:r>
        <w:rPr>
          <w:color w:val="365F91"/>
          <w:sz w:val="28"/>
        </w:rPr>
        <w:t>LGBTQ</w:t>
      </w:r>
      <w:r>
        <w:rPr>
          <w:color w:val="365F91"/>
          <w:spacing w:val="-12"/>
          <w:sz w:val="28"/>
        </w:rPr>
        <w:t> </w:t>
      </w:r>
      <w:r>
        <w:rPr>
          <w:color w:val="365F91"/>
          <w:sz w:val="28"/>
        </w:rPr>
        <w:t>Youth</w:t>
      </w:r>
      <w:r>
        <w:rPr>
          <w:color w:val="365F91"/>
          <w:spacing w:val="-13"/>
          <w:sz w:val="28"/>
        </w:rPr>
        <w:t> </w:t>
      </w:r>
      <w:r>
        <w:rPr>
          <w:color w:val="365F91"/>
          <w:sz w:val="28"/>
        </w:rPr>
        <w:t>Pediatric</w:t>
      </w:r>
      <w:r>
        <w:rPr>
          <w:color w:val="365F91"/>
          <w:spacing w:val="-12"/>
          <w:sz w:val="28"/>
        </w:rPr>
        <w:t> </w:t>
      </w:r>
      <w:r>
        <w:rPr>
          <w:color w:val="365F91"/>
          <w:spacing w:val="-2"/>
          <w:sz w:val="28"/>
        </w:rPr>
        <w:t>Health</w:t>
      </w:r>
    </w:p>
    <w:p>
      <w:pPr>
        <w:pStyle w:val="BodyText"/>
        <w:spacing w:before="10"/>
        <w:rPr>
          <w:sz w:val="3"/>
        </w:rPr>
      </w:pPr>
      <w:r>
        <w:rPr/>
        <mc:AlternateContent>
          <mc:Choice Requires="wps">
            <w:drawing>
              <wp:anchor distT="0" distB="0" distL="0" distR="0" allowOverlap="1" layoutInCell="1" locked="0" behindDoc="1" simplePos="0" relativeHeight="487630848">
                <wp:simplePos x="0" y="0"/>
                <wp:positionH relativeFrom="page">
                  <wp:posOffset>986789</wp:posOffset>
                </wp:positionH>
                <wp:positionV relativeFrom="paragraph">
                  <wp:posOffset>45131</wp:posOffset>
                </wp:positionV>
                <wp:extent cx="5799455" cy="6350"/>
                <wp:effectExtent l="0" t="0" r="0" b="0"/>
                <wp:wrapTopAndBottom/>
                <wp:docPr id="264" name="Graphic 264"/>
                <wp:cNvGraphicFramePr>
                  <a:graphicFrameLocks/>
                </wp:cNvGraphicFramePr>
                <a:graphic>
                  <a:graphicData uri="http://schemas.microsoft.com/office/word/2010/wordprocessingShape">
                    <wps:wsp>
                      <wps:cNvPr id="264" name="Graphic 264"/>
                      <wps:cNvSpPr/>
                      <wps:spPr>
                        <a:xfrm>
                          <a:off x="0" y="0"/>
                          <a:ext cx="5799455" cy="6350"/>
                        </a:xfrm>
                        <a:custGeom>
                          <a:avLst/>
                          <a:gdLst/>
                          <a:ahLst/>
                          <a:cxnLst/>
                          <a:rect l="l" t="t" r="r" b="b"/>
                          <a:pathLst>
                            <a:path w="5799455" h="6350">
                              <a:moveTo>
                                <a:pt x="5798832" y="0"/>
                              </a:moveTo>
                              <a:lnTo>
                                <a:pt x="0" y="0"/>
                              </a:lnTo>
                              <a:lnTo>
                                <a:pt x="0" y="6096"/>
                              </a:lnTo>
                              <a:lnTo>
                                <a:pt x="5798832" y="6096"/>
                              </a:lnTo>
                              <a:lnTo>
                                <a:pt x="5798832" y="0"/>
                              </a:lnTo>
                              <a:close/>
                            </a:path>
                          </a:pathLst>
                        </a:custGeom>
                        <a:solidFill>
                          <a:srgbClr val="4F81BC"/>
                        </a:solidFill>
                      </wps:spPr>
                      <wps:bodyPr wrap="square" lIns="0" tIns="0" rIns="0" bIns="0" rtlCol="0">
                        <a:prstTxWarp prst="textNoShape">
                          <a:avLst/>
                        </a:prstTxWarp>
                        <a:noAutofit/>
                      </wps:bodyPr>
                    </wps:wsp>
                  </a:graphicData>
                </a:graphic>
              </wp:anchor>
            </w:drawing>
          </mc:Choice>
          <mc:Fallback>
            <w:pict>
              <v:rect style="position:absolute;margin-left:77.699997pt;margin-top:3.553633pt;width:456.601pt;height:.48pt;mso-position-horizontal-relative:page;mso-position-vertical-relative:paragraph;z-index:-15685632;mso-wrap-distance-left:0;mso-wrap-distance-right:0" id="docshape211" filled="true" fillcolor="#4f81bc" stroked="false">
                <v:fill type="solid"/>
                <w10:wrap type="topAndBottom"/>
              </v:rect>
            </w:pict>
          </mc:Fallback>
        </mc:AlternateContent>
      </w:r>
    </w:p>
    <w:p>
      <w:pPr>
        <w:pStyle w:val="BodyText"/>
        <w:spacing w:line="276" w:lineRule="auto" w:before="241"/>
        <w:ind w:left="464" w:right="241" w:hanging="3"/>
        <w:jc w:val="both"/>
      </w:pPr>
      <w:r>
        <w:rPr/>
        <w:t>When</w:t>
      </w:r>
      <w:r>
        <w:rPr>
          <w:spacing w:val="-10"/>
        </w:rPr>
        <w:t> </w:t>
      </w:r>
      <w:r>
        <w:rPr/>
        <w:t>strategizing</w:t>
      </w:r>
      <w:r>
        <w:rPr>
          <w:spacing w:val="-10"/>
        </w:rPr>
        <w:t> </w:t>
      </w:r>
      <w:r>
        <w:rPr/>
        <w:t>and</w:t>
      </w:r>
      <w:r>
        <w:rPr>
          <w:spacing w:val="-10"/>
        </w:rPr>
        <w:t> </w:t>
      </w:r>
      <w:r>
        <w:rPr/>
        <w:t>developing</w:t>
      </w:r>
      <w:r>
        <w:rPr>
          <w:spacing w:val="-10"/>
        </w:rPr>
        <w:t> </w:t>
      </w:r>
      <w:r>
        <w:rPr/>
        <w:t>policies</w:t>
      </w:r>
      <w:r>
        <w:rPr>
          <w:spacing w:val="-11"/>
        </w:rPr>
        <w:t> </w:t>
      </w:r>
      <w:r>
        <w:rPr/>
        <w:t>and</w:t>
      </w:r>
      <w:r>
        <w:rPr>
          <w:spacing w:val="-10"/>
        </w:rPr>
        <w:t> </w:t>
      </w:r>
      <w:r>
        <w:rPr/>
        <w:t>programs</w:t>
      </w:r>
      <w:r>
        <w:rPr>
          <w:spacing w:val="-11"/>
        </w:rPr>
        <w:t> </w:t>
      </w:r>
      <w:r>
        <w:rPr/>
        <w:t>to</w:t>
      </w:r>
      <w:r>
        <w:rPr>
          <w:spacing w:val="-11"/>
        </w:rPr>
        <w:t> </w:t>
      </w:r>
      <w:r>
        <w:rPr/>
        <w:t>address</w:t>
      </w:r>
      <w:r>
        <w:rPr>
          <w:spacing w:val="-11"/>
        </w:rPr>
        <w:t> </w:t>
      </w:r>
      <w:r>
        <w:rPr/>
        <w:t>health</w:t>
      </w:r>
      <w:r>
        <w:rPr>
          <w:spacing w:val="-10"/>
        </w:rPr>
        <w:t> </w:t>
      </w:r>
      <w:r>
        <w:rPr/>
        <w:t>disparities</w:t>
      </w:r>
      <w:r>
        <w:rPr>
          <w:spacing w:val="-11"/>
        </w:rPr>
        <w:t> </w:t>
      </w:r>
      <w:r>
        <w:rPr/>
        <w:t>for</w:t>
      </w:r>
      <w:r>
        <w:rPr>
          <w:spacing w:val="-11"/>
        </w:rPr>
        <w:t> </w:t>
      </w:r>
      <w:r>
        <w:rPr/>
        <w:t>LGBTQ</w:t>
      </w:r>
      <w:r>
        <w:rPr>
          <w:spacing w:val="-11"/>
        </w:rPr>
        <w:t> </w:t>
      </w:r>
      <w:r>
        <w:rPr/>
        <w:t>youth across the Commonwealth, it is essential to understand that the experiences of LGBTQ youth are shaped</w:t>
      </w:r>
      <w:r>
        <w:rPr>
          <w:spacing w:val="-2"/>
        </w:rPr>
        <w:t> </w:t>
      </w:r>
      <w:r>
        <w:rPr/>
        <w:t>by</w:t>
      </w:r>
      <w:r>
        <w:rPr>
          <w:spacing w:val="-1"/>
        </w:rPr>
        <w:t> </w:t>
      </w:r>
      <w:r>
        <w:rPr/>
        <w:t>the</w:t>
      </w:r>
      <w:r>
        <w:rPr>
          <w:spacing w:val="-2"/>
        </w:rPr>
        <w:t> </w:t>
      </w:r>
      <w:r>
        <w:rPr/>
        <w:t>intersections</w:t>
      </w:r>
      <w:r>
        <w:rPr>
          <w:spacing w:val="-1"/>
        </w:rPr>
        <w:t> </w:t>
      </w:r>
      <w:r>
        <w:rPr/>
        <w:t>of</w:t>
      </w:r>
      <w:r>
        <w:rPr>
          <w:spacing w:val="-2"/>
        </w:rPr>
        <w:t> </w:t>
      </w:r>
      <w:r>
        <w:rPr/>
        <w:t>multiple</w:t>
      </w:r>
      <w:r>
        <w:rPr>
          <w:spacing w:val="-1"/>
        </w:rPr>
        <w:t> </w:t>
      </w:r>
      <w:r>
        <w:rPr/>
        <w:t>aspects</w:t>
      </w:r>
      <w:r>
        <w:rPr>
          <w:spacing w:val="-1"/>
        </w:rPr>
        <w:t> </w:t>
      </w:r>
      <w:r>
        <w:rPr/>
        <w:t>of their</w:t>
      </w:r>
      <w:r>
        <w:rPr>
          <w:spacing w:val="-2"/>
        </w:rPr>
        <w:t> </w:t>
      </w:r>
      <w:r>
        <w:rPr/>
        <w:t>identities,</w:t>
      </w:r>
      <w:r>
        <w:rPr>
          <w:spacing w:val="-2"/>
        </w:rPr>
        <w:t> </w:t>
      </w:r>
      <w:r>
        <w:rPr/>
        <w:t>and</w:t>
      </w:r>
      <w:r>
        <w:rPr>
          <w:spacing w:val="-2"/>
        </w:rPr>
        <w:t> </w:t>
      </w:r>
      <w:r>
        <w:rPr/>
        <w:t>that</w:t>
      </w:r>
      <w:r>
        <w:rPr>
          <w:spacing w:val="-2"/>
        </w:rPr>
        <w:t> </w:t>
      </w:r>
      <w:r>
        <w:rPr/>
        <w:t>addressing</w:t>
      </w:r>
      <w:r>
        <w:rPr>
          <w:spacing w:val="-2"/>
        </w:rPr>
        <w:t> </w:t>
      </w:r>
      <w:r>
        <w:rPr/>
        <w:t>the</w:t>
      </w:r>
      <w:r>
        <w:rPr>
          <w:spacing w:val="-2"/>
        </w:rPr>
        <w:t> </w:t>
      </w:r>
      <w:r>
        <w:rPr/>
        <w:t>issues</w:t>
      </w:r>
      <w:r>
        <w:rPr>
          <w:spacing w:val="-1"/>
        </w:rPr>
        <w:t> </w:t>
      </w:r>
      <w:r>
        <w:rPr/>
        <w:t>they face requires a holistic and intersectional approach.</w:t>
      </w:r>
    </w:p>
    <w:p>
      <w:pPr>
        <w:pStyle w:val="BodyText"/>
        <w:spacing w:line="276" w:lineRule="auto" w:before="240"/>
        <w:ind w:left="463" w:right="242" w:firstLine="14"/>
        <w:jc w:val="both"/>
      </w:pPr>
      <w:r>
        <w:rPr/>
        <w:t>In</w:t>
      </w:r>
      <w:r>
        <w:rPr>
          <w:spacing w:val="-2"/>
        </w:rPr>
        <w:t> </w:t>
      </w:r>
      <w:r>
        <w:rPr/>
        <w:t>particular,</w:t>
      </w:r>
      <w:r>
        <w:rPr>
          <w:spacing w:val="-1"/>
        </w:rPr>
        <w:t> </w:t>
      </w:r>
      <w:r>
        <w:rPr/>
        <w:t>the</w:t>
      </w:r>
      <w:r>
        <w:rPr>
          <w:spacing w:val="-2"/>
        </w:rPr>
        <w:t> </w:t>
      </w:r>
      <w:r>
        <w:rPr/>
        <w:t>experiences</w:t>
      </w:r>
      <w:r>
        <w:rPr>
          <w:spacing w:val="-3"/>
        </w:rPr>
        <w:t> </w:t>
      </w:r>
      <w:r>
        <w:rPr/>
        <w:t>of</w:t>
      </w:r>
      <w:r>
        <w:rPr>
          <w:spacing w:val="-3"/>
        </w:rPr>
        <w:t> </w:t>
      </w:r>
      <w:r>
        <w:rPr/>
        <w:t>youth</w:t>
      </w:r>
      <w:r>
        <w:rPr>
          <w:spacing w:val="-3"/>
        </w:rPr>
        <w:t> </w:t>
      </w:r>
      <w:r>
        <w:rPr/>
        <w:t>in</w:t>
      </w:r>
      <w:r>
        <w:rPr>
          <w:spacing w:val="-2"/>
        </w:rPr>
        <w:t> </w:t>
      </w:r>
      <w:r>
        <w:rPr/>
        <w:t>health</w:t>
      </w:r>
      <w:r>
        <w:rPr>
          <w:spacing w:val="-2"/>
        </w:rPr>
        <w:t> </w:t>
      </w:r>
      <w:r>
        <w:rPr/>
        <w:t>care</w:t>
      </w:r>
      <w:r>
        <w:rPr>
          <w:spacing w:val="-2"/>
        </w:rPr>
        <w:t> </w:t>
      </w:r>
      <w:r>
        <w:rPr/>
        <w:t>spaces</w:t>
      </w:r>
      <w:r>
        <w:rPr>
          <w:spacing w:val="-1"/>
        </w:rPr>
        <w:t> </w:t>
      </w:r>
      <w:r>
        <w:rPr/>
        <w:t>can</w:t>
      </w:r>
      <w:r>
        <w:rPr>
          <w:spacing w:val="-2"/>
        </w:rPr>
        <w:t> </w:t>
      </w:r>
      <w:r>
        <w:rPr/>
        <w:t>vary;</w:t>
      </w:r>
      <w:r>
        <w:rPr>
          <w:spacing w:val="-3"/>
        </w:rPr>
        <w:t> </w:t>
      </w:r>
      <w:r>
        <w:rPr/>
        <w:t>QTBIPOC</w:t>
      </w:r>
      <w:r>
        <w:rPr>
          <w:spacing w:val="-1"/>
        </w:rPr>
        <w:t> </w:t>
      </w:r>
      <w:r>
        <w:rPr/>
        <w:t>youth,</w:t>
      </w:r>
      <w:r>
        <w:rPr>
          <w:spacing w:val="-3"/>
        </w:rPr>
        <w:t> </w:t>
      </w:r>
      <w:r>
        <w:rPr/>
        <w:t>intersex</w:t>
      </w:r>
      <w:r>
        <w:rPr>
          <w:spacing w:val="-3"/>
        </w:rPr>
        <w:t> </w:t>
      </w:r>
      <w:r>
        <w:rPr/>
        <w:t>youth, youth with disabilities, and undocumented youth can often have differing experiences than may be experienced</w:t>
      </w:r>
      <w:r>
        <w:rPr>
          <w:spacing w:val="-5"/>
        </w:rPr>
        <w:t> </w:t>
      </w:r>
      <w:r>
        <w:rPr/>
        <w:t>by</w:t>
      </w:r>
      <w:r>
        <w:rPr>
          <w:spacing w:val="-6"/>
        </w:rPr>
        <w:t> </w:t>
      </w:r>
      <w:r>
        <w:rPr/>
        <w:t>their</w:t>
      </w:r>
      <w:r>
        <w:rPr>
          <w:spacing w:val="-5"/>
        </w:rPr>
        <w:t> </w:t>
      </w:r>
      <w:r>
        <w:rPr/>
        <w:t>peers,</w:t>
      </w:r>
      <w:r>
        <w:rPr>
          <w:spacing w:val="-6"/>
        </w:rPr>
        <w:t> </w:t>
      </w:r>
      <w:r>
        <w:rPr/>
        <w:t>impacting</w:t>
      </w:r>
      <w:r>
        <w:rPr>
          <w:spacing w:val="-5"/>
        </w:rPr>
        <w:t> </w:t>
      </w:r>
      <w:r>
        <w:rPr/>
        <w:t>their</w:t>
      </w:r>
      <w:r>
        <w:rPr>
          <w:spacing w:val="-6"/>
        </w:rPr>
        <w:t> </w:t>
      </w:r>
      <w:r>
        <w:rPr/>
        <w:t>overall</w:t>
      </w:r>
      <w:r>
        <w:rPr>
          <w:spacing w:val="-7"/>
        </w:rPr>
        <w:t> </w:t>
      </w:r>
      <w:r>
        <w:rPr/>
        <w:t>well-being</w:t>
      </w:r>
      <w:r>
        <w:rPr>
          <w:spacing w:val="-7"/>
        </w:rPr>
        <w:t> </w:t>
      </w:r>
      <w:r>
        <w:rPr/>
        <w:t>in</w:t>
      </w:r>
      <w:r>
        <w:rPr>
          <w:spacing w:val="-7"/>
        </w:rPr>
        <w:t> </w:t>
      </w:r>
      <w:r>
        <w:rPr/>
        <w:t>Massachusetts.</w:t>
      </w:r>
      <w:r>
        <w:rPr>
          <w:spacing w:val="-5"/>
        </w:rPr>
        <w:t> </w:t>
      </w:r>
      <w:r>
        <w:rPr/>
        <w:t>As</w:t>
      </w:r>
      <w:r>
        <w:rPr>
          <w:spacing w:val="-6"/>
        </w:rPr>
        <w:t> </w:t>
      </w:r>
      <w:r>
        <w:rPr/>
        <w:t>discussed</w:t>
      </w:r>
      <w:r>
        <w:rPr>
          <w:spacing w:val="-4"/>
        </w:rPr>
        <w:t> </w:t>
      </w:r>
      <w:r>
        <w:rPr/>
        <w:t>in</w:t>
      </w:r>
      <w:r>
        <w:rPr>
          <w:spacing w:val="-7"/>
        </w:rPr>
        <w:t> </w:t>
      </w:r>
      <w:r>
        <w:rPr/>
        <w:t>depth throughout</w:t>
      </w:r>
      <w:r>
        <w:rPr>
          <w:spacing w:val="-9"/>
        </w:rPr>
        <w:t> </w:t>
      </w:r>
      <w:r>
        <w:rPr/>
        <w:t>this</w:t>
      </w:r>
      <w:r>
        <w:rPr>
          <w:spacing w:val="-9"/>
        </w:rPr>
        <w:t> </w:t>
      </w:r>
      <w:r>
        <w:rPr/>
        <w:t>annual</w:t>
      </w:r>
      <w:r>
        <w:rPr>
          <w:spacing w:val="-9"/>
        </w:rPr>
        <w:t> </w:t>
      </w:r>
      <w:r>
        <w:rPr/>
        <w:t>report,</w:t>
      </w:r>
      <w:r>
        <w:rPr>
          <w:spacing w:val="-10"/>
        </w:rPr>
        <w:t> </w:t>
      </w:r>
      <w:r>
        <w:rPr/>
        <w:t>QTBIPOC</w:t>
      </w:r>
      <w:r>
        <w:rPr>
          <w:spacing w:val="-9"/>
        </w:rPr>
        <w:t> </w:t>
      </w:r>
      <w:r>
        <w:rPr/>
        <w:t>youth</w:t>
      </w:r>
      <w:r>
        <w:rPr>
          <w:spacing w:val="-9"/>
        </w:rPr>
        <w:t> </w:t>
      </w:r>
      <w:r>
        <w:rPr/>
        <w:t>often</w:t>
      </w:r>
      <w:r>
        <w:rPr>
          <w:spacing w:val="-9"/>
        </w:rPr>
        <w:t> </w:t>
      </w:r>
      <w:r>
        <w:rPr/>
        <w:t>face</w:t>
      </w:r>
      <w:r>
        <w:rPr>
          <w:spacing w:val="-9"/>
        </w:rPr>
        <w:t> </w:t>
      </w:r>
      <w:r>
        <w:rPr/>
        <w:t>additional</w:t>
      </w:r>
      <w:r>
        <w:rPr>
          <w:spacing w:val="-10"/>
        </w:rPr>
        <w:t> </w:t>
      </w:r>
      <w:r>
        <w:rPr/>
        <w:t>barriers</w:t>
      </w:r>
      <w:r>
        <w:rPr>
          <w:spacing w:val="-9"/>
        </w:rPr>
        <w:t> </w:t>
      </w:r>
      <w:r>
        <w:rPr/>
        <w:t>and</w:t>
      </w:r>
      <w:r>
        <w:rPr>
          <w:spacing w:val="-10"/>
        </w:rPr>
        <w:t> </w:t>
      </w:r>
      <w:r>
        <w:rPr/>
        <w:t>discrimination</w:t>
      </w:r>
      <w:r>
        <w:rPr>
          <w:spacing w:val="-10"/>
        </w:rPr>
        <w:t> </w:t>
      </w:r>
      <w:r>
        <w:rPr/>
        <w:t>due</w:t>
      </w:r>
      <w:r>
        <w:rPr>
          <w:spacing w:val="-9"/>
        </w:rPr>
        <w:t> </w:t>
      </w:r>
      <w:r>
        <w:rPr/>
        <w:t>to the</w:t>
      </w:r>
      <w:r>
        <w:rPr>
          <w:spacing w:val="-13"/>
        </w:rPr>
        <w:t> </w:t>
      </w:r>
      <w:r>
        <w:rPr/>
        <w:t>intersections</w:t>
      </w:r>
      <w:r>
        <w:rPr>
          <w:spacing w:val="-12"/>
        </w:rPr>
        <w:t> </w:t>
      </w:r>
      <w:r>
        <w:rPr/>
        <w:t>of</w:t>
      </w:r>
      <w:r>
        <w:rPr>
          <w:spacing w:val="-13"/>
        </w:rPr>
        <w:t> </w:t>
      </w:r>
      <w:r>
        <w:rPr/>
        <w:t>their</w:t>
      </w:r>
      <w:r>
        <w:rPr>
          <w:spacing w:val="-11"/>
        </w:rPr>
        <w:t> </w:t>
      </w:r>
      <w:r>
        <w:rPr/>
        <w:t>sexual</w:t>
      </w:r>
      <w:r>
        <w:rPr>
          <w:spacing w:val="-11"/>
        </w:rPr>
        <w:t> </w:t>
      </w:r>
      <w:r>
        <w:rPr/>
        <w:t>orientation</w:t>
      </w:r>
      <w:r>
        <w:rPr>
          <w:spacing w:val="-13"/>
        </w:rPr>
        <w:t> </w:t>
      </w:r>
      <w:r>
        <w:rPr/>
        <w:t>or</w:t>
      </w:r>
      <w:r>
        <w:rPr>
          <w:spacing w:val="-11"/>
        </w:rPr>
        <w:t> </w:t>
      </w:r>
      <w:r>
        <w:rPr/>
        <w:t>gender</w:t>
      </w:r>
      <w:r>
        <w:rPr>
          <w:spacing w:val="-12"/>
        </w:rPr>
        <w:t> </w:t>
      </w:r>
      <w:r>
        <w:rPr/>
        <w:t>identity</w:t>
      </w:r>
      <w:r>
        <w:rPr>
          <w:spacing w:val="-12"/>
        </w:rPr>
        <w:t> </w:t>
      </w:r>
      <w:r>
        <w:rPr/>
        <w:t>with</w:t>
      </w:r>
      <w:r>
        <w:rPr>
          <w:spacing w:val="-12"/>
        </w:rPr>
        <w:t> </w:t>
      </w:r>
      <w:r>
        <w:rPr/>
        <w:t>their</w:t>
      </w:r>
      <w:r>
        <w:rPr>
          <w:spacing w:val="-12"/>
        </w:rPr>
        <w:t> </w:t>
      </w:r>
      <w:r>
        <w:rPr/>
        <w:t>race</w:t>
      </w:r>
      <w:r>
        <w:rPr>
          <w:spacing w:val="-12"/>
        </w:rPr>
        <w:t> </w:t>
      </w:r>
      <w:r>
        <w:rPr/>
        <w:t>or</w:t>
      </w:r>
      <w:r>
        <w:rPr>
          <w:spacing w:val="-12"/>
        </w:rPr>
        <w:t> </w:t>
      </w:r>
      <w:r>
        <w:rPr/>
        <w:t>ethnicity.</w:t>
      </w:r>
      <w:r>
        <w:rPr>
          <w:spacing w:val="-12"/>
        </w:rPr>
        <w:t> </w:t>
      </w:r>
      <w:r>
        <w:rPr/>
        <w:t>Additionally, QTBIPOC over the age of 18 report experiencing higher rates of healthcare discrimination and increased</w:t>
      </w:r>
      <w:r>
        <w:rPr>
          <w:spacing w:val="-10"/>
        </w:rPr>
        <w:t> </w:t>
      </w:r>
      <w:r>
        <w:rPr/>
        <w:t>difficulty</w:t>
      </w:r>
      <w:r>
        <w:rPr>
          <w:spacing w:val="-3"/>
        </w:rPr>
        <w:t> </w:t>
      </w:r>
      <w:r>
        <w:rPr/>
        <w:t>accessing</w:t>
      </w:r>
      <w:r>
        <w:rPr>
          <w:spacing w:val="-4"/>
        </w:rPr>
        <w:t> </w:t>
      </w:r>
      <w:r>
        <w:rPr/>
        <w:t>care,</w:t>
      </w:r>
      <w:r>
        <w:rPr>
          <w:vertAlign w:val="superscript"/>
        </w:rPr>
        <w:t>8</w:t>
      </w:r>
      <w:r>
        <w:rPr>
          <w:spacing w:val="-13"/>
          <w:vertAlign w:val="baseline"/>
        </w:rPr>
        <w:t> </w:t>
      </w:r>
      <w:r>
        <w:rPr>
          <w:vertAlign w:val="baseline"/>
        </w:rPr>
        <w:t>though</w:t>
      </w:r>
      <w:r>
        <w:rPr>
          <w:spacing w:val="-2"/>
          <w:vertAlign w:val="baseline"/>
        </w:rPr>
        <w:t> </w:t>
      </w:r>
      <w:r>
        <w:rPr>
          <w:vertAlign w:val="baseline"/>
        </w:rPr>
        <w:t>there</w:t>
      </w:r>
      <w:r>
        <w:rPr>
          <w:spacing w:val="-3"/>
          <w:vertAlign w:val="baseline"/>
        </w:rPr>
        <w:t> </w:t>
      </w:r>
      <w:r>
        <w:rPr>
          <w:vertAlign w:val="baseline"/>
        </w:rPr>
        <w:t>is</w:t>
      </w:r>
      <w:r>
        <w:rPr>
          <w:spacing w:val="-4"/>
          <w:vertAlign w:val="baseline"/>
        </w:rPr>
        <w:t> </w:t>
      </w:r>
      <w:r>
        <w:rPr>
          <w:vertAlign w:val="baseline"/>
        </w:rPr>
        <w:t>little</w:t>
      </w:r>
      <w:r>
        <w:rPr>
          <w:spacing w:val="-3"/>
          <w:vertAlign w:val="baseline"/>
        </w:rPr>
        <w:t> </w:t>
      </w:r>
      <w:r>
        <w:rPr>
          <w:vertAlign w:val="baseline"/>
        </w:rPr>
        <w:t>to</w:t>
      </w:r>
      <w:r>
        <w:rPr>
          <w:spacing w:val="-3"/>
          <w:vertAlign w:val="baseline"/>
        </w:rPr>
        <w:t> </w:t>
      </w:r>
      <w:r>
        <w:rPr>
          <w:vertAlign w:val="baseline"/>
        </w:rPr>
        <w:t>no</w:t>
      </w:r>
      <w:r>
        <w:rPr>
          <w:spacing w:val="-3"/>
          <w:vertAlign w:val="baseline"/>
        </w:rPr>
        <w:t> </w:t>
      </w:r>
      <w:r>
        <w:rPr>
          <w:vertAlign w:val="baseline"/>
        </w:rPr>
        <w:t>research</w:t>
      </w:r>
      <w:r>
        <w:rPr>
          <w:spacing w:val="-4"/>
          <w:vertAlign w:val="baseline"/>
        </w:rPr>
        <w:t> </w:t>
      </w:r>
      <w:r>
        <w:rPr>
          <w:vertAlign w:val="baseline"/>
        </w:rPr>
        <w:t>examining</w:t>
      </w:r>
      <w:r>
        <w:rPr>
          <w:spacing w:val="-4"/>
          <w:vertAlign w:val="baseline"/>
        </w:rPr>
        <w:t> </w:t>
      </w:r>
      <w:r>
        <w:rPr>
          <w:vertAlign w:val="baseline"/>
        </w:rPr>
        <w:t>this</w:t>
      </w:r>
      <w:r>
        <w:rPr>
          <w:spacing w:val="-4"/>
          <w:vertAlign w:val="baseline"/>
        </w:rPr>
        <w:t> </w:t>
      </w:r>
      <w:r>
        <w:rPr>
          <w:vertAlign w:val="baseline"/>
        </w:rPr>
        <w:t>disparity</w:t>
      </w:r>
      <w:r>
        <w:rPr>
          <w:spacing w:val="-4"/>
          <w:vertAlign w:val="baseline"/>
        </w:rPr>
        <w:t> </w:t>
      </w:r>
      <w:r>
        <w:rPr>
          <w:vertAlign w:val="baseline"/>
        </w:rPr>
        <w:t>in</w:t>
      </w:r>
      <w:r>
        <w:rPr>
          <w:spacing w:val="-3"/>
          <w:vertAlign w:val="baseline"/>
        </w:rPr>
        <w:t> </w:t>
      </w:r>
      <w:r>
        <w:rPr>
          <w:vertAlign w:val="baseline"/>
        </w:rPr>
        <w:t>the pediatric populations.</w:t>
      </w:r>
    </w:p>
    <w:p>
      <w:pPr>
        <w:pStyle w:val="BodyText"/>
        <w:spacing w:line="276" w:lineRule="auto" w:before="240"/>
        <w:ind w:left="463" w:right="241" w:firstLine="8"/>
        <w:jc w:val="both"/>
      </w:pPr>
      <w:r>
        <w:rPr/>
        <w:t>LGBTQ youth with disabilities often experience greater health disparities than non-disabled LGBTQ youth, including higher rates of depressive symptoms and lowered self-esteem,</w:t>
      </w:r>
      <w:r>
        <w:rPr>
          <w:vertAlign w:val="superscript"/>
        </w:rPr>
        <w:t>9</w:t>
      </w:r>
      <w:r>
        <w:rPr>
          <w:vertAlign w:val="baseline"/>
        </w:rPr>
        <w:t> or may face communication</w:t>
      </w:r>
      <w:r>
        <w:rPr>
          <w:spacing w:val="-3"/>
          <w:vertAlign w:val="baseline"/>
        </w:rPr>
        <w:t> </w:t>
      </w:r>
      <w:r>
        <w:rPr>
          <w:vertAlign w:val="baseline"/>
        </w:rPr>
        <w:t>difficulties,</w:t>
      </w:r>
      <w:r>
        <w:rPr>
          <w:spacing w:val="-3"/>
          <w:vertAlign w:val="baseline"/>
        </w:rPr>
        <w:t> </w:t>
      </w:r>
      <w:r>
        <w:rPr>
          <w:vertAlign w:val="baseline"/>
        </w:rPr>
        <w:t>or</w:t>
      </w:r>
      <w:r>
        <w:rPr>
          <w:spacing w:val="-3"/>
          <w:vertAlign w:val="baseline"/>
        </w:rPr>
        <w:t> </w:t>
      </w:r>
      <w:r>
        <w:rPr>
          <w:vertAlign w:val="baseline"/>
        </w:rPr>
        <w:t>increased</w:t>
      </w:r>
      <w:r>
        <w:rPr>
          <w:spacing w:val="-2"/>
          <w:vertAlign w:val="baseline"/>
        </w:rPr>
        <w:t> </w:t>
      </w:r>
      <w:r>
        <w:rPr>
          <w:vertAlign w:val="baseline"/>
        </w:rPr>
        <w:t>stigmatization</w:t>
      </w:r>
      <w:r>
        <w:rPr>
          <w:spacing w:val="-3"/>
          <w:vertAlign w:val="baseline"/>
        </w:rPr>
        <w:t> </w:t>
      </w:r>
      <w:r>
        <w:rPr>
          <w:vertAlign w:val="baseline"/>
        </w:rPr>
        <w:t>and</w:t>
      </w:r>
      <w:r>
        <w:rPr>
          <w:spacing w:val="-1"/>
          <w:vertAlign w:val="baseline"/>
        </w:rPr>
        <w:t> </w:t>
      </w:r>
      <w:r>
        <w:rPr>
          <w:vertAlign w:val="baseline"/>
        </w:rPr>
        <w:t>discrimination.</w:t>
      </w:r>
      <w:r>
        <w:rPr>
          <w:spacing w:val="-2"/>
          <w:vertAlign w:val="baseline"/>
        </w:rPr>
        <w:t> </w:t>
      </w:r>
      <w:r>
        <w:rPr>
          <w:vertAlign w:val="baseline"/>
        </w:rPr>
        <w:t>For</w:t>
      </w:r>
      <w:r>
        <w:rPr>
          <w:spacing w:val="-3"/>
          <w:vertAlign w:val="baseline"/>
        </w:rPr>
        <w:t> </w:t>
      </w:r>
      <w:r>
        <w:rPr>
          <w:vertAlign w:val="baseline"/>
        </w:rPr>
        <w:t>example,</w:t>
      </w:r>
      <w:r>
        <w:rPr>
          <w:spacing w:val="-1"/>
          <w:vertAlign w:val="baseline"/>
        </w:rPr>
        <w:t> </w:t>
      </w:r>
      <w:r>
        <w:rPr>
          <w:vertAlign w:val="baseline"/>
        </w:rPr>
        <w:t>research</w:t>
      </w:r>
      <w:r>
        <w:rPr>
          <w:spacing w:val="-2"/>
          <w:vertAlign w:val="baseline"/>
        </w:rPr>
        <w:t> </w:t>
      </w:r>
      <w:r>
        <w:rPr>
          <w:vertAlign w:val="baseline"/>
        </w:rPr>
        <w:t>has shown that gender dysphoria is significantly more common in children with autism spectrum disorder,</w:t>
      </w:r>
      <w:r>
        <w:rPr>
          <w:vertAlign w:val="superscript"/>
        </w:rPr>
        <w:t>10</w:t>
      </w:r>
      <w:r>
        <w:rPr>
          <w:spacing w:val="-13"/>
          <w:vertAlign w:val="baseline"/>
        </w:rPr>
        <w:t> </w:t>
      </w:r>
      <w:r>
        <w:rPr>
          <w:vertAlign w:val="baseline"/>
        </w:rPr>
        <w:t>and</w:t>
      </w:r>
      <w:r>
        <w:rPr>
          <w:spacing w:val="-9"/>
          <w:vertAlign w:val="baseline"/>
        </w:rPr>
        <w:t> </w:t>
      </w:r>
      <w:r>
        <w:rPr>
          <w:vertAlign w:val="baseline"/>
        </w:rPr>
        <w:t>neurodivergent</w:t>
      </w:r>
      <w:r>
        <w:rPr>
          <w:spacing w:val="-2"/>
          <w:vertAlign w:val="baseline"/>
        </w:rPr>
        <w:t> </w:t>
      </w:r>
      <w:r>
        <w:rPr>
          <w:vertAlign w:val="baseline"/>
        </w:rPr>
        <w:t>LGBTQ</w:t>
      </w:r>
      <w:r>
        <w:rPr>
          <w:spacing w:val="-1"/>
          <w:vertAlign w:val="baseline"/>
        </w:rPr>
        <w:t> </w:t>
      </w:r>
      <w:r>
        <w:rPr>
          <w:vertAlign w:val="baseline"/>
        </w:rPr>
        <w:t>youth</w:t>
      </w:r>
      <w:r>
        <w:rPr>
          <w:spacing w:val="-2"/>
          <w:vertAlign w:val="baseline"/>
        </w:rPr>
        <w:t> </w:t>
      </w:r>
      <w:r>
        <w:rPr>
          <w:vertAlign w:val="baseline"/>
        </w:rPr>
        <w:t>may</w:t>
      </w:r>
      <w:r>
        <w:rPr>
          <w:spacing w:val="-1"/>
          <w:vertAlign w:val="baseline"/>
        </w:rPr>
        <w:t> </w:t>
      </w:r>
      <w:r>
        <w:rPr>
          <w:vertAlign w:val="baseline"/>
        </w:rPr>
        <w:t>experience difficulty</w:t>
      </w:r>
      <w:r>
        <w:rPr>
          <w:spacing w:val="-1"/>
          <w:vertAlign w:val="baseline"/>
        </w:rPr>
        <w:t> </w:t>
      </w:r>
      <w:r>
        <w:rPr>
          <w:vertAlign w:val="baseline"/>
        </w:rPr>
        <w:t>in</w:t>
      </w:r>
      <w:r>
        <w:rPr>
          <w:spacing w:val="-1"/>
          <w:vertAlign w:val="baseline"/>
        </w:rPr>
        <w:t> </w:t>
      </w:r>
      <w:r>
        <w:rPr>
          <w:vertAlign w:val="baseline"/>
        </w:rPr>
        <w:t>communicating</w:t>
      </w:r>
      <w:r>
        <w:rPr>
          <w:spacing w:val="-2"/>
          <w:vertAlign w:val="baseline"/>
        </w:rPr>
        <w:t> </w:t>
      </w:r>
      <w:r>
        <w:rPr>
          <w:vertAlign w:val="baseline"/>
        </w:rPr>
        <w:t>with</w:t>
      </w:r>
      <w:r>
        <w:rPr>
          <w:spacing w:val="-2"/>
          <w:vertAlign w:val="baseline"/>
        </w:rPr>
        <w:t> </w:t>
      </w:r>
      <w:r>
        <w:rPr>
          <w:vertAlign w:val="baseline"/>
        </w:rPr>
        <w:t>others, including their healthcare providers, about their gender identity.</w:t>
      </w:r>
      <w:r>
        <w:rPr>
          <w:vertAlign w:val="superscript"/>
        </w:rPr>
        <w:t>11</w:t>
      </w:r>
      <w:r>
        <w:rPr>
          <w:vertAlign w:val="baseline"/>
        </w:rPr>
        <w:t> Many youth who are able to communicate about their gender identity report not being believed due to their autism.</w:t>
      </w:r>
      <w:r>
        <w:rPr>
          <w:vertAlign w:val="superscript"/>
        </w:rPr>
        <w:t>12</w:t>
      </w:r>
    </w:p>
    <w:p>
      <w:pPr>
        <w:pStyle w:val="BodyText"/>
        <w:spacing w:line="276" w:lineRule="auto" w:before="241"/>
        <w:ind w:left="464" w:right="240" w:firstLine="8"/>
        <w:jc w:val="both"/>
      </w:pPr>
      <w:r>
        <w:rPr/>
        <w:t>Immigration</w:t>
      </w:r>
      <w:r>
        <w:rPr>
          <w:spacing w:val="-1"/>
        </w:rPr>
        <w:t> </w:t>
      </w:r>
      <w:r>
        <w:rPr/>
        <w:t>status</w:t>
      </w:r>
      <w:r>
        <w:rPr>
          <w:spacing w:val="-1"/>
        </w:rPr>
        <w:t> </w:t>
      </w:r>
      <w:r>
        <w:rPr/>
        <w:t>can</w:t>
      </w:r>
      <w:r>
        <w:rPr>
          <w:spacing w:val="-2"/>
        </w:rPr>
        <w:t> </w:t>
      </w:r>
      <w:r>
        <w:rPr/>
        <w:t>also</w:t>
      </w:r>
      <w:r>
        <w:rPr>
          <w:spacing w:val="-1"/>
        </w:rPr>
        <w:t> </w:t>
      </w:r>
      <w:r>
        <w:rPr/>
        <w:t>be</w:t>
      </w:r>
      <w:r>
        <w:rPr>
          <w:spacing w:val="-2"/>
        </w:rPr>
        <w:t> </w:t>
      </w:r>
      <w:r>
        <w:rPr/>
        <w:t>an</w:t>
      </w:r>
      <w:r>
        <w:rPr>
          <w:spacing w:val="-2"/>
        </w:rPr>
        <w:t> </w:t>
      </w:r>
      <w:r>
        <w:rPr/>
        <w:t>important</w:t>
      </w:r>
      <w:r>
        <w:rPr>
          <w:spacing w:val="-2"/>
        </w:rPr>
        <w:t> </w:t>
      </w:r>
      <w:r>
        <w:rPr/>
        <w:t>aspect</w:t>
      </w:r>
      <w:r>
        <w:rPr>
          <w:spacing w:val="-1"/>
        </w:rPr>
        <w:t> </w:t>
      </w:r>
      <w:r>
        <w:rPr/>
        <w:t>of</w:t>
      </w:r>
      <w:r>
        <w:rPr>
          <w:spacing w:val="-1"/>
        </w:rPr>
        <w:t> </w:t>
      </w:r>
      <w:r>
        <w:rPr/>
        <w:t>intersectionality</w:t>
      </w:r>
      <w:r>
        <w:rPr>
          <w:spacing w:val="-1"/>
        </w:rPr>
        <w:t> </w:t>
      </w:r>
      <w:r>
        <w:rPr/>
        <w:t>for</w:t>
      </w:r>
      <w:r>
        <w:rPr>
          <w:spacing w:val="-1"/>
        </w:rPr>
        <w:t> </w:t>
      </w:r>
      <w:r>
        <w:rPr/>
        <w:t>LGBTQ</w:t>
      </w:r>
      <w:r>
        <w:rPr>
          <w:spacing w:val="-2"/>
        </w:rPr>
        <w:t> </w:t>
      </w:r>
      <w:r>
        <w:rPr/>
        <w:t>youth,</w:t>
      </w:r>
      <w:r>
        <w:rPr>
          <w:spacing w:val="-1"/>
        </w:rPr>
        <w:t> </w:t>
      </w:r>
      <w:r>
        <w:rPr/>
        <w:t>as they</w:t>
      </w:r>
      <w:r>
        <w:rPr>
          <w:spacing w:val="-1"/>
        </w:rPr>
        <w:t> </w:t>
      </w:r>
      <w:r>
        <w:rPr/>
        <w:t>may face additional barriers and discrimination due to their status as immigrants or the children of immigrants. As highlighted in a subsequent section, undocumented youth lack appropriate access to</w:t>
      </w:r>
    </w:p>
    <w:p>
      <w:pPr>
        <w:spacing w:after="0" w:line="276" w:lineRule="auto"/>
        <w:jc w:val="both"/>
        <w:sectPr>
          <w:pgSz w:w="12240" w:h="15840"/>
          <w:pgMar w:header="721" w:footer="1061" w:top="1360" w:bottom="1260" w:left="1120" w:right="1340"/>
        </w:sectPr>
      </w:pPr>
    </w:p>
    <w:p>
      <w:pPr>
        <w:pStyle w:val="BodyText"/>
        <w:spacing w:line="276" w:lineRule="auto" w:before="67"/>
        <w:ind w:left="463" w:right="243"/>
        <w:jc w:val="both"/>
      </w:pPr>
      <w:r>
        <w:rPr/>
        <w:t>health</w:t>
      </w:r>
      <w:r>
        <w:rPr>
          <w:spacing w:val="-9"/>
        </w:rPr>
        <w:t> </w:t>
      </w:r>
      <w:r>
        <w:rPr/>
        <w:t>insurance</w:t>
      </w:r>
      <w:r>
        <w:rPr>
          <w:spacing w:val="-9"/>
        </w:rPr>
        <w:t> </w:t>
      </w:r>
      <w:r>
        <w:rPr/>
        <w:t>coverage</w:t>
      </w:r>
      <w:r>
        <w:rPr>
          <w:spacing w:val="-8"/>
        </w:rPr>
        <w:t> </w:t>
      </w:r>
      <w:r>
        <w:rPr/>
        <w:t>and</w:t>
      </w:r>
      <w:r>
        <w:rPr>
          <w:spacing w:val="-9"/>
        </w:rPr>
        <w:t> </w:t>
      </w:r>
      <w:r>
        <w:rPr/>
        <w:t>may</w:t>
      </w:r>
      <w:r>
        <w:rPr>
          <w:spacing w:val="-10"/>
        </w:rPr>
        <w:t> </w:t>
      </w:r>
      <w:r>
        <w:rPr/>
        <w:t>avoid</w:t>
      </w:r>
      <w:r>
        <w:rPr>
          <w:spacing w:val="-9"/>
        </w:rPr>
        <w:t> </w:t>
      </w:r>
      <w:r>
        <w:rPr/>
        <w:t>health</w:t>
      </w:r>
      <w:r>
        <w:rPr>
          <w:spacing w:val="-8"/>
        </w:rPr>
        <w:t> </w:t>
      </w:r>
      <w:r>
        <w:rPr/>
        <w:t>care</w:t>
      </w:r>
      <w:r>
        <w:rPr>
          <w:spacing w:val="-8"/>
        </w:rPr>
        <w:t> </w:t>
      </w:r>
      <w:r>
        <w:rPr/>
        <w:t>facilities</w:t>
      </w:r>
      <w:r>
        <w:rPr>
          <w:spacing w:val="-8"/>
        </w:rPr>
        <w:t> </w:t>
      </w:r>
      <w:r>
        <w:rPr/>
        <w:t>even</w:t>
      </w:r>
      <w:r>
        <w:rPr>
          <w:spacing w:val="-9"/>
        </w:rPr>
        <w:t> </w:t>
      </w:r>
      <w:r>
        <w:rPr/>
        <w:t>when</w:t>
      </w:r>
      <w:r>
        <w:rPr>
          <w:spacing w:val="-9"/>
        </w:rPr>
        <w:t> </w:t>
      </w:r>
      <w:r>
        <w:rPr/>
        <w:t>needed.</w:t>
      </w:r>
      <w:r>
        <w:rPr>
          <w:spacing w:val="-9"/>
        </w:rPr>
        <w:t> </w:t>
      </w:r>
      <w:r>
        <w:rPr/>
        <w:t>Additionally,</w:t>
      </w:r>
      <w:r>
        <w:rPr>
          <w:spacing w:val="-10"/>
        </w:rPr>
        <w:t> </w:t>
      </w:r>
      <w:r>
        <w:rPr/>
        <w:t>sexual minority immigrants are more likely than their heterosexual counterparts to report financial-related barriers to care and unmet mental health needs.</w:t>
      </w:r>
      <w:r>
        <w:rPr>
          <w:vertAlign w:val="superscript"/>
        </w:rPr>
        <w:t>13</w:t>
      </w:r>
    </w:p>
    <w:p>
      <w:pPr>
        <w:pStyle w:val="BodyText"/>
        <w:spacing w:line="276" w:lineRule="auto" w:before="240"/>
        <w:ind w:left="463" w:right="240" w:firstLine="8"/>
        <w:jc w:val="both"/>
      </w:pPr>
      <w:r>
        <w:rPr/>
        <w:t>Furthermore,</w:t>
      </w:r>
      <w:r>
        <w:rPr>
          <w:spacing w:val="-1"/>
        </w:rPr>
        <w:t> </w:t>
      </w:r>
      <w:r>
        <w:rPr/>
        <w:t>LGBTQ</w:t>
      </w:r>
      <w:r>
        <w:rPr>
          <w:spacing w:val="-2"/>
        </w:rPr>
        <w:t> </w:t>
      </w:r>
      <w:r>
        <w:rPr/>
        <w:t>youth</w:t>
      </w:r>
      <w:r>
        <w:rPr>
          <w:spacing w:val="-2"/>
        </w:rPr>
        <w:t> </w:t>
      </w:r>
      <w:r>
        <w:rPr/>
        <w:t>experience unique</w:t>
      </w:r>
      <w:r>
        <w:rPr>
          <w:spacing w:val="-2"/>
        </w:rPr>
        <w:t> </w:t>
      </w:r>
      <w:r>
        <w:rPr/>
        <w:t>challenges</w:t>
      </w:r>
      <w:r>
        <w:rPr>
          <w:spacing w:val="-1"/>
        </w:rPr>
        <w:t> </w:t>
      </w:r>
      <w:r>
        <w:rPr/>
        <w:t>within</w:t>
      </w:r>
      <w:r>
        <w:rPr>
          <w:spacing w:val="-1"/>
        </w:rPr>
        <w:t> </w:t>
      </w:r>
      <w:r>
        <w:rPr/>
        <w:t>the</w:t>
      </w:r>
      <w:r>
        <w:rPr>
          <w:spacing w:val="-2"/>
        </w:rPr>
        <w:t> </w:t>
      </w:r>
      <w:r>
        <w:rPr/>
        <w:t>child</w:t>
      </w:r>
      <w:r>
        <w:rPr>
          <w:spacing w:val="-1"/>
        </w:rPr>
        <w:t> </w:t>
      </w:r>
      <w:r>
        <w:rPr/>
        <w:t>welfare</w:t>
      </w:r>
      <w:r>
        <w:rPr>
          <w:spacing w:val="-2"/>
        </w:rPr>
        <w:t> </w:t>
      </w:r>
      <w:r>
        <w:rPr/>
        <w:t>system,</w:t>
      </w:r>
      <w:r>
        <w:rPr>
          <w:spacing w:val="-1"/>
        </w:rPr>
        <w:t> </w:t>
      </w:r>
      <w:r>
        <w:rPr/>
        <w:t>including a lack</w:t>
      </w:r>
      <w:r>
        <w:rPr>
          <w:spacing w:val="-13"/>
        </w:rPr>
        <w:t> </w:t>
      </w:r>
      <w:r>
        <w:rPr/>
        <w:t>of</w:t>
      </w:r>
      <w:r>
        <w:rPr>
          <w:spacing w:val="-12"/>
        </w:rPr>
        <w:t> </w:t>
      </w:r>
      <w:r>
        <w:rPr/>
        <w:t>placement</w:t>
      </w:r>
      <w:r>
        <w:rPr>
          <w:spacing w:val="-13"/>
        </w:rPr>
        <w:t> </w:t>
      </w:r>
      <w:r>
        <w:rPr/>
        <w:t>options.</w:t>
      </w:r>
      <w:r>
        <w:rPr>
          <w:vertAlign w:val="superscript"/>
        </w:rPr>
        <w:t>14</w:t>
      </w:r>
      <w:r>
        <w:rPr>
          <w:spacing w:val="-12"/>
          <w:vertAlign w:val="baseline"/>
        </w:rPr>
        <w:t> </w:t>
      </w:r>
      <w:r>
        <w:rPr>
          <w:vertAlign w:val="baseline"/>
        </w:rPr>
        <w:t>Until</w:t>
      </w:r>
      <w:r>
        <w:rPr>
          <w:spacing w:val="-13"/>
          <w:vertAlign w:val="baseline"/>
        </w:rPr>
        <w:t> </w:t>
      </w:r>
      <w:r>
        <w:rPr>
          <w:vertAlign w:val="baseline"/>
        </w:rPr>
        <w:t>2021,</w:t>
      </w:r>
      <w:r>
        <w:rPr>
          <w:spacing w:val="-12"/>
          <w:vertAlign w:val="baseline"/>
        </w:rPr>
        <w:t> </w:t>
      </w:r>
      <w:r>
        <w:rPr>
          <w:vertAlign w:val="baseline"/>
        </w:rPr>
        <w:t>the</w:t>
      </w:r>
      <w:r>
        <w:rPr>
          <w:spacing w:val="-13"/>
          <w:vertAlign w:val="baseline"/>
        </w:rPr>
        <w:t> </w:t>
      </w:r>
      <w:r>
        <w:rPr>
          <w:vertAlign w:val="baseline"/>
        </w:rPr>
        <w:t>Massachusetts</w:t>
      </w:r>
      <w:r>
        <w:rPr>
          <w:spacing w:val="-12"/>
          <w:vertAlign w:val="baseline"/>
        </w:rPr>
        <w:t> </w:t>
      </w:r>
      <w:r>
        <w:rPr>
          <w:vertAlign w:val="baseline"/>
        </w:rPr>
        <w:t>Department</w:t>
      </w:r>
      <w:r>
        <w:rPr>
          <w:spacing w:val="-12"/>
          <w:vertAlign w:val="baseline"/>
        </w:rPr>
        <w:t> </w:t>
      </w:r>
      <w:r>
        <w:rPr>
          <w:vertAlign w:val="baseline"/>
        </w:rPr>
        <w:t>of</w:t>
      </w:r>
      <w:r>
        <w:rPr>
          <w:spacing w:val="-13"/>
          <w:vertAlign w:val="baseline"/>
        </w:rPr>
        <w:t> </w:t>
      </w:r>
      <w:r>
        <w:rPr>
          <w:vertAlign w:val="baseline"/>
        </w:rPr>
        <w:t>Children</w:t>
      </w:r>
      <w:r>
        <w:rPr>
          <w:spacing w:val="-12"/>
          <w:vertAlign w:val="baseline"/>
        </w:rPr>
        <w:t> </w:t>
      </w:r>
      <w:r>
        <w:rPr>
          <w:vertAlign w:val="baseline"/>
        </w:rPr>
        <w:t>and</w:t>
      </w:r>
      <w:r>
        <w:rPr>
          <w:spacing w:val="-13"/>
          <w:vertAlign w:val="baseline"/>
        </w:rPr>
        <w:t> </w:t>
      </w:r>
      <w:r>
        <w:rPr>
          <w:vertAlign w:val="baseline"/>
        </w:rPr>
        <w:t>Families</w:t>
      </w:r>
      <w:r>
        <w:rPr>
          <w:spacing w:val="-12"/>
          <w:vertAlign w:val="baseline"/>
        </w:rPr>
        <w:t> </w:t>
      </w:r>
      <w:r>
        <w:rPr>
          <w:vertAlign w:val="baseline"/>
        </w:rPr>
        <w:t>lacked a clear policy on gender-affirming care. Prior to this policy, many transgender youth in DCF’s care reported being denied access to providers to diagnose gender dysphoria, and experiencing delays in accessing gender-affirming care.</w:t>
      </w:r>
      <w:r>
        <w:rPr>
          <w:vertAlign w:val="superscript"/>
        </w:rPr>
        <w:t>15</w:t>
      </w:r>
      <w:r>
        <w:rPr>
          <w:spacing w:val="-12"/>
          <w:vertAlign w:val="baseline"/>
        </w:rPr>
        <w:t> </w:t>
      </w:r>
      <w:r>
        <w:rPr>
          <w:vertAlign w:val="baseline"/>
        </w:rPr>
        <w:t>It remains to be seen if these updated policies have succeeded in decreasing barriers to care in this vulnerable population, but, as discussed in the agency recommendations below, the Commission continues to work with DCF and youth in the child welfare system to better understand areas of improvement and success.</w:t>
      </w:r>
    </w:p>
    <w:p>
      <w:pPr>
        <w:pStyle w:val="BodyText"/>
        <w:spacing w:line="276" w:lineRule="auto" w:before="240"/>
        <w:ind w:left="463" w:right="239"/>
        <w:jc w:val="both"/>
      </w:pPr>
      <w:r>
        <w:rPr/>
        <w:t>As</w:t>
      </w:r>
      <w:r>
        <w:rPr>
          <w:spacing w:val="-1"/>
        </w:rPr>
        <w:t> </w:t>
      </w:r>
      <w:r>
        <w:rPr/>
        <w:t>discussed</w:t>
      </w:r>
      <w:r>
        <w:rPr>
          <w:spacing w:val="-1"/>
        </w:rPr>
        <w:t> </w:t>
      </w:r>
      <w:r>
        <w:rPr/>
        <w:t>throughout</w:t>
      </w:r>
      <w:r>
        <w:rPr>
          <w:spacing w:val="-2"/>
        </w:rPr>
        <w:t> </w:t>
      </w:r>
      <w:r>
        <w:rPr/>
        <w:t>this</w:t>
      </w:r>
      <w:r>
        <w:rPr>
          <w:spacing w:val="-1"/>
        </w:rPr>
        <w:t> </w:t>
      </w:r>
      <w:r>
        <w:rPr/>
        <w:t>annual</w:t>
      </w:r>
      <w:r>
        <w:rPr>
          <w:spacing w:val="-2"/>
        </w:rPr>
        <w:t> </w:t>
      </w:r>
      <w:r>
        <w:rPr/>
        <w:t>report,</w:t>
      </w:r>
      <w:r>
        <w:rPr>
          <w:spacing w:val="-2"/>
        </w:rPr>
        <w:t> </w:t>
      </w:r>
      <w:r>
        <w:rPr/>
        <w:t>once</w:t>
      </w:r>
      <w:r>
        <w:rPr>
          <w:spacing w:val="-2"/>
        </w:rPr>
        <w:t> </w:t>
      </w:r>
      <w:r>
        <w:rPr/>
        <w:t>in the</w:t>
      </w:r>
      <w:r>
        <w:rPr>
          <w:spacing w:val="-1"/>
        </w:rPr>
        <w:t> </w:t>
      </w:r>
      <w:r>
        <w:rPr/>
        <w:t>child</w:t>
      </w:r>
      <w:r>
        <w:rPr>
          <w:spacing w:val="-1"/>
        </w:rPr>
        <w:t> </w:t>
      </w:r>
      <w:r>
        <w:rPr/>
        <w:t>welfare</w:t>
      </w:r>
      <w:r>
        <w:rPr>
          <w:spacing w:val="-2"/>
        </w:rPr>
        <w:t> </w:t>
      </w:r>
      <w:r>
        <w:rPr/>
        <w:t>system,</w:t>
      </w:r>
      <w:r>
        <w:rPr>
          <w:spacing w:val="-2"/>
        </w:rPr>
        <w:t> </w:t>
      </w:r>
      <w:r>
        <w:rPr/>
        <w:t>youth</w:t>
      </w:r>
      <w:r>
        <w:rPr>
          <w:spacing w:val="-2"/>
        </w:rPr>
        <w:t> </w:t>
      </w:r>
      <w:r>
        <w:rPr/>
        <w:t>face</w:t>
      </w:r>
      <w:r>
        <w:rPr>
          <w:spacing w:val="-2"/>
        </w:rPr>
        <w:t> </w:t>
      </w:r>
      <w:r>
        <w:rPr/>
        <w:t>an</w:t>
      </w:r>
      <w:r>
        <w:rPr>
          <w:spacing w:val="-2"/>
        </w:rPr>
        <w:t> </w:t>
      </w:r>
      <w:r>
        <w:rPr/>
        <w:t>increased risk</w:t>
      </w:r>
      <w:r>
        <w:rPr>
          <w:spacing w:val="-13"/>
        </w:rPr>
        <w:t> </w:t>
      </w:r>
      <w:r>
        <w:rPr/>
        <w:t>of</w:t>
      </w:r>
      <w:r>
        <w:rPr>
          <w:spacing w:val="-5"/>
        </w:rPr>
        <w:t> </w:t>
      </w:r>
      <w:r>
        <w:rPr/>
        <w:t>entering</w:t>
      </w:r>
      <w:r>
        <w:rPr>
          <w:spacing w:val="-5"/>
        </w:rPr>
        <w:t> </w:t>
      </w:r>
      <w:r>
        <w:rPr/>
        <w:t>the</w:t>
      </w:r>
      <w:r>
        <w:rPr>
          <w:spacing w:val="-5"/>
        </w:rPr>
        <w:t> </w:t>
      </w:r>
      <w:r>
        <w:rPr/>
        <w:t>juvenile</w:t>
      </w:r>
      <w:r>
        <w:rPr>
          <w:spacing w:val="-5"/>
        </w:rPr>
        <w:t> </w:t>
      </w:r>
      <w:r>
        <w:rPr/>
        <w:t>justice</w:t>
      </w:r>
      <w:r>
        <w:rPr>
          <w:spacing w:val="-4"/>
        </w:rPr>
        <w:t> </w:t>
      </w:r>
      <w:r>
        <w:rPr/>
        <w:t>system,</w:t>
      </w:r>
      <w:r>
        <w:rPr>
          <w:spacing w:val="-5"/>
        </w:rPr>
        <w:t> </w:t>
      </w:r>
      <w:r>
        <w:rPr/>
        <w:t>known</w:t>
      </w:r>
      <w:r>
        <w:rPr>
          <w:spacing w:val="-5"/>
        </w:rPr>
        <w:t> </w:t>
      </w:r>
      <w:r>
        <w:rPr/>
        <w:t>as</w:t>
      </w:r>
      <w:r>
        <w:rPr>
          <w:spacing w:val="-5"/>
        </w:rPr>
        <w:t> </w:t>
      </w:r>
      <w:r>
        <w:rPr/>
        <w:t>the</w:t>
      </w:r>
      <w:r>
        <w:rPr>
          <w:spacing w:val="-5"/>
        </w:rPr>
        <w:t> </w:t>
      </w:r>
      <w:r>
        <w:rPr/>
        <w:t>foster-care-to-prison</w:t>
      </w:r>
      <w:r>
        <w:rPr>
          <w:spacing w:val="-5"/>
        </w:rPr>
        <w:t> </w:t>
      </w:r>
      <w:r>
        <w:rPr/>
        <w:t>pipeline.</w:t>
      </w:r>
      <w:r>
        <w:rPr>
          <w:vertAlign w:val="superscript"/>
        </w:rPr>
        <w:t>16</w:t>
      </w:r>
      <w:r>
        <w:rPr>
          <w:spacing w:val="-13"/>
          <w:vertAlign w:val="baseline"/>
        </w:rPr>
        <w:t> </w:t>
      </w:r>
      <w:r>
        <w:rPr>
          <w:vertAlign w:val="baseline"/>
        </w:rPr>
        <w:t>Nationally,</w:t>
      </w:r>
      <w:r>
        <w:rPr>
          <w:spacing w:val="-3"/>
          <w:vertAlign w:val="baseline"/>
        </w:rPr>
        <w:t> </w:t>
      </w:r>
      <w:r>
        <w:rPr>
          <w:vertAlign w:val="baseline"/>
        </w:rPr>
        <w:t>a brief from the Center for American Progress found that gay and transgender youth are disproportionately</w:t>
      </w:r>
      <w:r>
        <w:rPr>
          <w:spacing w:val="-13"/>
          <w:vertAlign w:val="baseline"/>
        </w:rPr>
        <w:t> </w:t>
      </w:r>
      <w:r>
        <w:rPr>
          <w:vertAlign w:val="baseline"/>
        </w:rPr>
        <w:t>represented</w:t>
      </w:r>
      <w:r>
        <w:rPr>
          <w:spacing w:val="-12"/>
          <w:vertAlign w:val="baseline"/>
        </w:rPr>
        <w:t> </w:t>
      </w:r>
      <w:r>
        <w:rPr>
          <w:vertAlign w:val="baseline"/>
        </w:rPr>
        <w:t>in</w:t>
      </w:r>
      <w:r>
        <w:rPr>
          <w:spacing w:val="-13"/>
          <w:vertAlign w:val="baseline"/>
        </w:rPr>
        <w:t> </w:t>
      </w:r>
      <w:r>
        <w:rPr>
          <w:vertAlign w:val="baseline"/>
        </w:rPr>
        <w:t>the</w:t>
      </w:r>
      <w:r>
        <w:rPr>
          <w:spacing w:val="-12"/>
          <w:vertAlign w:val="baseline"/>
        </w:rPr>
        <w:t> </w:t>
      </w:r>
      <w:r>
        <w:rPr>
          <w:vertAlign w:val="baseline"/>
        </w:rPr>
        <w:t>juvenile</w:t>
      </w:r>
      <w:r>
        <w:rPr>
          <w:spacing w:val="-13"/>
          <w:vertAlign w:val="baseline"/>
        </w:rPr>
        <w:t> </w:t>
      </w:r>
      <w:r>
        <w:rPr>
          <w:vertAlign w:val="baseline"/>
        </w:rPr>
        <w:t>justice</w:t>
      </w:r>
      <w:r>
        <w:rPr>
          <w:spacing w:val="-12"/>
          <w:vertAlign w:val="baseline"/>
        </w:rPr>
        <w:t> </w:t>
      </w:r>
      <w:r>
        <w:rPr>
          <w:vertAlign w:val="baseline"/>
        </w:rPr>
        <w:t>system,</w:t>
      </w:r>
      <w:r>
        <w:rPr>
          <w:spacing w:val="-13"/>
          <w:vertAlign w:val="baseline"/>
        </w:rPr>
        <w:t> </w:t>
      </w:r>
      <w:r>
        <w:rPr>
          <w:vertAlign w:val="baseline"/>
        </w:rPr>
        <w:t>and</w:t>
      </w:r>
      <w:r>
        <w:rPr>
          <w:spacing w:val="-12"/>
          <w:vertAlign w:val="baseline"/>
        </w:rPr>
        <w:t> </w:t>
      </w:r>
      <w:r>
        <w:rPr>
          <w:vertAlign w:val="baseline"/>
        </w:rPr>
        <w:t>the</w:t>
      </w:r>
      <w:r>
        <w:rPr>
          <w:spacing w:val="-12"/>
          <w:vertAlign w:val="baseline"/>
        </w:rPr>
        <w:t> </w:t>
      </w:r>
      <w:r>
        <w:rPr>
          <w:vertAlign w:val="baseline"/>
        </w:rPr>
        <w:t>majority</w:t>
      </w:r>
      <w:r>
        <w:rPr>
          <w:spacing w:val="-13"/>
          <w:vertAlign w:val="baseline"/>
        </w:rPr>
        <w:t> </w:t>
      </w:r>
      <w:r>
        <w:rPr>
          <w:vertAlign w:val="baseline"/>
        </w:rPr>
        <w:t>of</w:t>
      </w:r>
      <w:r>
        <w:rPr>
          <w:spacing w:val="-12"/>
          <w:vertAlign w:val="baseline"/>
        </w:rPr>
        <w:t> </w:t>
      </w:r>
      <w:r>
        <w:rPr>
          <w:vertAlign w:val="baseline"/>
        </w:rPr>
        <w:t>these</w:t>
      </w:r>
      <w:r>
        <w:rPr>
          <w:spacing w:val="-13"/>
          <w:vertAlign w:val="baseline"/>
        </w:rPr>
        <w:t> </w:t>
      </w:r>
      <w:r>
        <w:rPr>
          <w:vertAlign w:val="baseline"/>
        </w:rPr>
        <w:t>youth</w:t>
      </w:r>
      <w:r>
        <w:rPr>
          <w:spacing w:val="-12"/>
          <w:vertAlign w:val="baseline"/>
        </w:rPr>
        <w:t> </w:t>
      </w:r>
      <w:r>
        <w:rPr>
          <w:vertAlign w:val="baseline"/>
        </w:rPr>
        <w:t>are</w:t>
      </w:r>
      <w:r>
        <w:rPr>
          <w:spacing w:val="-13"/>
          <w:vertAlign w:val="baseline"/>
        </w:rPr>
        <w:t> </w:t>
      </w:r>
      <w:r>
        <w:rPr>
          <w:vertAlign w:val="baseline"/>
        </w:rPr>
        <w:t>Black or</w:t>
      </w:r>
      <w:r>
        <w:rPr>
          <w:spacing w:val="-5"/>
          <w:vertAlign w:val="baseline"/>
        </w:rPr>
        <w:t> </w:t>
      </w:r>
      <w:r>
        <w:rPr>
          <w:vertAlign w:val="baseline"/>
        </w:rPr>
        <w:t>Latino.</w:t>
      </w:r>
      <w:r>
        <w:rPr>
          <w:vertAlign w:val="superscript"/>
        </w:rPr>
        <w:t>17</w:t>
      </w:r>
      <w:r>
        <w:rPr>
          <w:spacing w:val="-13"/>
          <w:vertAlign w:val="baseline"/>
        </w:rPr>
        <w:t> </w:t>
      </w:r>
      <w:r>
        <w:rPr>
          <w:vertAlign w:val="baseline"/>
        </w:rPr>
        <w:t>This research showed that LGBTQ youth were more likely to experience factors that place youth at risk of entering the juvenile justice system, including family conflict, child abuse, and homelessness.</w:t>
      </w:r>
      <w:r>
        <w:rPr>
          <w:spacing w:val="-1"/>
          <w:vertAlign w:val="baseline"/>
        </w:rPr>
        <w:t> </w:t>
      </w:r>
      <w:r>
        <w:rPr>
          <w:vertAlign w:val="baseline"/>
        </w:rPr>
        <w:t>Additionally, LGBTQ youth</w:t>
      </w:r>
      <w:r>
        <w:rPr>
          <w:spacing w:val="-1"/>
          <w:vertAlign w:val="baseline"/>
        </w:rPr>
        <w:t> </w:t>
      </w:r>
      <w:r>
        <w:rPr>
          <w:vertAlign w:val="baseline"/>
        </w:rPr>
        <w:t>face</w:t>
      </w:r>
      <w:r>
        <w:rPr>
          <w:spacing w:val="-1"/>
          <w:vertAlign w:val="baseline"/>
        </w:rPr>
        <w:t> </w:t>
      </w:r>
      <w:r>
        <w:rPr>
          <w:vertAlign w:val="baseline"/>
        </w:rPr>
        <w:t>the threat</w:t>
      </w:r>
      <w:r>
        <w:rPr>
          <w:spacing w:val="-1"/>
          <w:vertAlign w:val="baseline"/>
        </w:rPr>
        <w:t> </w:t>
      </w:r>
      <w:r>
        <w:rPr>
          <w:vertAlign w:val="baseline"/>
        </w:rPr>
        <w:t>of being placed in</w:t>
      </w:r>
      <w:r>
        <w:rPr>
          <w:spacing w:val="-1"/>
          <w:vertAlign w:val="baseline"/>
        </w:rPr>
        <w:t> </w:t>
      </w:r>
      <w:r>
        <w:rPr>
          <w:vertAlign w:val="baseline"/>
        </w:rPr>
        <w:t>restrictive</w:t>
      </w:r>
      <w:r>
        <w:rPr>
          <w:spacing w:val="-1"/>
          <w:vertAlign w:val="baseline"/>
        </w:rPr>
        <w:t> </w:t>
      </w:r>
      <w:r>
        <w:rPr>
          <w:vertAlign w:val="baseline"/>
        </w:rPr>
        <w:t>settings due to their sexual orientation and gender identity. A 2009 study found that LGBTQ youth in the juvenile system experience difficulties accessing culturally competent mental healthcare,</w:t>
      </w:r>
      <w:r>
        <w:rPr>
          <w:vertAlign w:val="superscript"/>
        </w:rPr>
        <w:t>18</w:t>
      </w:r>
      <w:r>
        <w:rPr>
          <w:spacing w:val="-13"/>
          <w:vertAlign w:val="baseline"/>
        </w:rPr>
        <w:t> </w:t>
      </w:r>
      <w:r>
        <w:rPr>
          <w:vertAlign w:val="baseline"/>
        </w:rPr>
        <w:t>but little research has been done on the topic since. In Massachusetts, LGBTQ youth are reported to make up approximately</w:t>
      </w:r>
      <w:r>
        <w:rPr>
          <w:spacing w:val="-9"/>
          <w:vertAlign w:val="baseline"/>
        </w:rPr>
        <w:t> </w:t>
      </w:r>
      <w:r>
        <w:rPr>
          <w:vertAlign w:val="baseline"/>
        </w:rPr>
        <w:t>6%</w:t>
      </w:r>
      <w:r>
        <w:rPr>
          <w:spacing w:val="-8"/>
          <w:vertAlign w:val="baseline"/>
        </w:rPr>
        <w:t> </w:t>
      </w:r>
      <w:r>
        <w:rPr>
          <w:vertAlign w:val="baseline"/>
        </w:rPr>
        <w:t>of</w:t>
      </w:r>
      <w:r>
        <w:rPr>
          <w:spacing w:val="-9"/>
          <w:vertAlign w:val="baseline"/>
        </w:rPr>
        <w:t> </w:t>
      </w:r>
      <w:r>
        <w:rPr>
          <w:vertAlign w:val="baseline"/>
        </w:rPr>
        <w:t>youth</w:t>
      </w:r>
      <w:r>
        <w:rPr>
          <w:spacing w:val="-8"/>
          <w:vertAlign w:val="baseline"/>
        </w:rPr>
        <w:t> </w:t>
      </w:r>
      <w:r>
        <w:rPr>
          <w:vertAlign w:val="baseline"/>
        </w:rPr>
        <w:t>in</w:t>
      </w:r>
      <w:r>
        <w:rPr>
          <w:spacing w:val="-8"/>
          <w:vertAlign w:val="baseline"/>
        </w:rPr>
        <w:t> </w:t>
      </w:r>
      <w:r>
        <w:rPr>
          <w:vertAlign w:val="baseline"/>
        </w:rPr>
        <w:t>the</w:t>
      </w:r>
      <w:r>
        <w:rPr>
          <w:spacing w:val="-8"/>
          <w:vertAlign w:val="baseline"/>
        </w:rPr>
        <w:t> </w:t>
      </w:r>
      <w:r>
        <w:rPr>
          <w:vertAlign w:val="baseline"/>
        </w:rPr>
        <w:t>Department</w:t>
      </w:r>
      <w:r>
        <w:rPr>
          <w:spacing w:val="-8"/>
          <w:vertAlign w:val="baseline"/>
        </w:rPr>
        <w:t> </w:t>
      </w:r>
      <w:r>
        <w:rPr>
          <w:vertAlign w:val="baseline"/>
        </w:rPr>
        <w:t>of</w:t>
      </w:r>
      <w:r>
        <w:rPr>
          <w:spacing w:val="-8"/>
          <w:vertAlign w:val="baseline"/>
        </w:rPr>
        <w:t> </w:t>
      </w:r>
      <w:r>
        <w:rPr>
          <w:vertAlign w:val="baseline"/>
        </w:rPr>
        <w:t>Youth</w:t>
      </w:r>
      <w:r>
        <w:rPr>
          <w:spacing w:val="-9"/>
          <w:vertAlign w:val="baseline"/>
        </w:rPr>
        <w:t> </w:t>
      </w:r>
      <w:r>
        <w:rPr>
          <w:vertAlign w:val="baseline"/>
        </w:rPr>
        <w:t>Services’</w:t>
      </w:r>
      <w:r>
        <w:rPr>
          <w:spacing w:val="-7"/>
          <w:vertAlign w:val="baseline"/>
        </w:rPr>
        <w:t> </w:t>
      </w:r>
      <w:r>
        <w:rPr>
          <w:vertAlign w:val="baseline"/>
        </w:rPr>
        <w:t>custody,</w:t>
      </w:r>
      <w:r>
        <w:rPr>
          <w:spacing w:val="-9"/>
          <w:vertAlign w:val="baseline"/>
        </w:rPr>
        <w:t> </w:t>
      </w:r>
      <w:r>
        <w:rPr>
          <w:vertAlign w:val="baseline"/>
        </w:rPr>
        <w:t>and</w:t>
      </w:r>
      <w:r>
        <w:rPr>
          <w:spacing w:val="-8"/>
          <w:vertAlign w:val="baseline"/>
        </w:rPr>
        <w:t> </w:t>
      </w:r>
      <w:r>
        <w:rPr>
          <w:vertAlign w:val="baseline"/>
        </w:rPr>
        <w:t>DYS</w:t>
      </w:r>
      <w:r>
        <w:rPr>
          <w:spacing w:val="-9"/>
          <w:vertAlign w:val="baseline"/>
        </w:rPr>
        <w:t> </w:t>
      </w:r>
      <w:r>
        <w:rPr>
          <w:vertAlign w:val="baseline"/>
        </w:rPr>
        <w:t>has</w:t>
      </w:r>
      <w:r>
        <w:rPr>
          <w:spacing w:val="-7"/>
          <w:vertAlign w:val="baseline"/>
        </w:rPr>
        <w:t> </w:t>
      </w:r>
      <w:r>
        <w:rPr>
          <w:vertAlign w:val="baseline"/>
        </w:rPr>
        <w:t>enacted</w:t>
      </w:r>
      <w:r>
        <w:rPr>
          <w:spacing w:val="-8"/>
          <w:vertAlign w:val="baseline"/>
        </w:rPr>
        <w:t> </w:t>
      </w:r>
      <w:r>
        <w:rPr>
          <w:vertAlign w:val="baseline"/>
        </w:rPr>
        <w:t>several policies over the years to better address and improve access to essential health care for youth in the juvenile justice system.</w:t>
      </w:r>
    </w:p>
    <w:p>
      <w:pPr>
        <w:pStyle w:val="BodyText"/>
        <w:spacing w:line="276" w:lineRule="auto" w:before="241"/>
        <w:ind w:left="463" w:right="239"/>
        <w:jc w:val="both"/>
      </w:pPr>
      <w:r>
        <w:rPr/>
        <w:t>Many</w:t>
      </w:r>
      <w:r>
        <w:rPr>
          <w:spacing w:val="-12"/>
        </w:rPr>
        <w:t> </w:t>
      </w:r>
      <w:r>
        <w:rPr/>
        <w:t>intersex</w:t>
      </w:r>
      <w:r>
        <w:rPr>
          <w:spacing w:val="-13"/>
        </w:rPr>
        <w:t> </w:t>
      </w:r>
      <w:r>
        <w:rPr/>
        <w:t>youth</w:t>
      </w:r>
      <w:r>
        <w:rPr>
          <w:spacing w:val="-11"/>
        </w:rPr>
        <w:t> </w:t>
      </w:r>
      <w:r>
        <w:rPr/>
        <w:t>also</w:t>
      </w:r>
      <w:r>
        <w:rPr>
          <w:spacing w:val="-12"/>
        </w:rPr>
        <w:t> </w:t>
      </w:r>
      <w:r>
        <w:rPr/>
        <w:t>identify</w:t>
      </w:r>
      <w:r>
        <w:rPr>
          <w:spacing w:val="-11"/>
        </w:rPr>
        <w:t> </w:t>
      </w:r>
      <w:r>
        <w:rPr/>
        <w:t>as</w:t>
      </w:r>
      <w:r>
        <w:rPr>
          <w:spacing w:val="-12"/>
        </w:rPr>
        <w:t> </w:t>
      </w:r>
      <w:r>
        <w:rPr/>
        <w:t>LGBTQ,</w:t>
      </w:r>
      <w:r>
        <w:rPr>
          <w:spacing w:val="-12"/>
        </w:rPr>
        <w:t> </w:t>
      </w:r>
      <w:r>
        <w:rPr/>
        <w:t>though</w:t>
      </w:r>
      <w:r>
        <w:rPr>
          <w:spacing w:val="-12"/>
        </w:rPr>
        <w:t> </w:t>
      </w:r>
      <w:r>
        <w:rPr/>
        <w:t>research</w:t>
      </w:r>
      <w:r>
        <w:rPr>
          <w:spacing w:val="-13"/>
        </w:rPr>
        <w:t> </w:t>
      </w:r>
      <w:r>
        <w:rPr/>
        <w:t>on</w:t>
      </w:r>
      <w:r>
        <w:rPr>
          <w:spacing w:val="-12"/>
        </w:rPr>
        <w:t> </w:t>
      </w:r>
      <w:r>
        <w:rPr/>
        <w:t>intersex</w:t>
      </w:r>
      <w:r>
        <w:rPr>
          <w:spacing w:val="-12"/>
        </w:rPr>
        <w:t> </w:t>
      </w:r>
      <w:r>
        <w:rPr/>
        <w:t>individuals</w:t>
      </w:r>
      <w:r>
        <w:rPr>
          <w:spacing w:val="-12"/>
        </w:rPr>
        <w:t> </w:t>
      </w:r>
      <w:r>
        <w:rPr/>
        <w:t>is</w:t>
      </w:r>
      <w:r>
        <w:rPr>
          <w:spacing w:val="-12"/>
        </w:rPr>
        <w:t> </w:t>
      </w:r>
      <w:r>
        <w:rPr/>
        <w:t>severely</w:t>
      </w:r>
      <w:r>
        <w:rPr>
          <w:spacing w:val="-12"/>
        </w:rPr>
        <w:t> </w:t>
      </w:r>
      <w:r>
        <w:rPr/>
        <w:t>lacking, and research on intersex youth in pediatric spaces even more so. Existing research shows that many intersex youth face difficulty communicating with healthcare professionals about their specific needs,</w:t>
      </w:r>
      <w:r>
        <w:rPr>
          <w:vertAlign w:val="superscript"/>
        </w:rPr>
        <w:t>21</w:t>
      </w:r>
      <w:r>
        <w:rPr>
          <w:spacing w:val="-13"/>
          <w:vertAlign w:val="baseline"/>
        </w:rPr>
        <w:t> </w:t>
      </w:r>
      <w:r>
        <w:rPr>
          <w:vertAlign w:val="baseline"/>
        </w:rPr>
        <w:t>and</w:t>
      </w:r>
      <w:r>
        <w:rPr>
          <w:spacing w:val="-1"/>
          <w:vertAlign w:val="baseline"/>
        </w:rPr>
        <w:t> </w:t>
      </w:r>
      <w:r>
        <w:rPr>
          <w:vertAlign w:val="baseline"/>
        </w:rPr>
        <w:t>are often kept in the dark about their intersex status by providers and caregivers.</w:t>
      </w:r>
      <w:r>
        <w:rPr>
          <w:vertAlign w:val="superscript"/>
        </w:rPr>
        <w:t>22</w:t>
      </w:r>
      <w:r>
        <w:rPr>
          <w:spacing w:val="-13"/>
          <w:vertAlign w:val="baseline"/>
        </w:rPr>
        <w:t> </w:t>
      </w:r>
      <w:r>
        <w:rPr>
          <w:vertAlign w:val="baseline"/>
        </w:rPr>
        <w:t>As a result, many intersex individuals report high rates of healthcare avoidance and thus poorer physical </w:t>
      </w:r>
      <w:r>
        <w:rPr>
          <w:spacing w:val="-2"/>
          <w:vertAlign w:val="baseline"/>
        </w:rPr>
        <w:t>and</w:t>
      </w:r>
      <w:r>
        <w:rPr>
          <w:spacing w:val="-11"/>
          <w:vertAlign w:val="baseline"/>
        </w:rPr>
        <w:t> </w:t>
      </w:r>
      <w:r>
        <w:rPr>
          <w:spacing w:val="-2"/>
          <w:vertAlign w:val="baseline"/>
        </w:rPr>
        <w:t>mental health outcomes. </w:t>
      </w:r>
      <w:r>
        <w:rPr>
          <w:spacing w:val="-2"/>
          <w:vertAlign w:val="superscript"/>
        </w:rPr>
        <w:t>23</w:t>
      </w:r>
      <w:r>
        <w:rPr>
          <w:spacing w:val="-11"/>
          <w:vertAlign w:val="baseline"/>
        </w:rPr>
        <w:t> </w:t>
      </w:r>
      <w:r>
        <w:rPr>
          <w:spacing w:val="-2"/>
          <w:vertAlign w:val="baseline"/>
        </w:rPr>
        <w:t>As discussed above, intersex youth are often subject to non-consensual </w:t>
      </w:r>
      <w:r>
        <w:rPr>
          <w:vertAlign w:val="baseline"/>
        </w:rPr>
        <w:t>medical interventions to alter their genitalia as infants,</w:t>
      </w:r>
      <w:r>
        <w:rPr>
          <w:vertAlign w:val="superscript"/>
        </w:rPr>
        <w:t>24</w:t>
      </w:r>
      <w:r>
        <w:rPr>
          <w:spacing w:val="-13"/>
          <w:vertAlign w:val="baseline"/>
        </w:rPr>
        <w:t> </w:t>
      </w:r>
      <w:r>
        <w:rPr>
          <w:vertAlign w:val="baseline"/>
        </w:rPr>
        <w:t>a practice that is condemned by the United Nations,</w:t>
      </w:r>
      <w:r>
        <w:rPr>
          <w:vertAlign w:val="superscript"/>
        </w:rPr>
        <w:t>25</w:t>
      </w:r>
      <w:r>
        <w:rPr>
          <w:spacing w:val="-13"/>
          <w:vertAlign w:val="baseline"/>
        </w:rPr>
        <w:t> </w:t>
      </w:r>
      <w:r>
        <w:rPr>
          <w:vertAlign w:val="baseline"/>
        </w:rPr>
        <w:t>and</w:t>
      </w:r>
      <w:r>
        <w:rPr>
          <w:spacing w:val="-5"/>
          <w:vertAlign w:val="baseline"/>
        </w:rPr>
        <w:t> </w:t>
      </w:r>
      <w:r>
        <w:rPr>
          <w:vertAlign w:val="baseline"/>
        </w:rPr>
        <w:t>closer to home, by the Massachusetts Medical Society. </w:t>
      </w:r>
      <w:r>
        <w:rPr>
          <w:vertAlign w:val="superscript"/>
        </w:rPr>
        <w:t>26</w:t>
      </w:r>
      <w:r>
        <w:rPr>
          <w:spacing w:val="-13"/>
          <w:vertAlign w:val="baseline"/>
        </w:rPr>
        <w:t> </w:t>
      </w:r>
      <w:r>
        <w:rPr>
          <w:vertAlign w:val="baseline"/>
        </w:rPr>
        <w:t>Intersex youth are also more likely than non-intersex LGBTQ youth to report experiencing suicide ideation and are also more likely to have undergone conversion</w:t>
      </w:r>
      <w:r>
        <w:rPr>
          <w:spacing w:val="-1"/>
          <w:vertAlign w:val="baseline"/>
        </w:rPr>
        <w:t> </w:t>
      </w:r>
      <w:r>
        <w:rPr>
          <w:vertAlign w:val="baseline"/>
        </w:rPr>
        <w:t>therapy.</w:t>
      </w:r>
      <w:r>
        <w:rPr>
          <w:vertAlign w:val="superscript"/>
        </w:rPr>
        <w:t>27</w:t>
      </w:r>
      <w:r>
        <w:rPr>
          <w:spacing w:val="-1"/>
          <w:vertAlign w:val="baseline"/>
        </w:rPr>
        <w:t> </w:t>
      </w:r>
      <w:r>
        <w:rPr>
          <w:vertAlign w:val="baseline"/>
        </w:rPr>
        <w:t>Significantly more research needs to be done in this area to better understand the challenges experienced by this subgroup of youth.</w:t>
      </w:r>
    </w:p>
    <w:p>
      <w:pPr>
        <w:spacing w:after="0" w:line="276" w:lineRule="auto"/>
        <w:jc w:val="both"/>
        <w:sectPr>
          <w:pgSz w:w="12240" w:h="15840"/>
          <w:pgMar w:header="721" w:footer="1061" w:top="1360" w:bottom="1260" w:left="1120" w:right="1340"/>
        </w:sectPr>
      </w:pPr>
    </w:p>
    <w:p>
      <w:pPr>
        <w:spacing w:before="67"/>
        <w:ind w:left="464" w:right="0" w:firstLine="0"/>
        <w:jc w:val="both"/>
        <w:rPr>
          <w:sz w:val="28"/>
        </w:rPr>
      </w:pPr>
      <w:bookmarkStart w:name="Social Determinants of Health" w:id="355"/>
      <w:bookmarkEnd w:id="355"/>
      <w:r>
        <w:rPr/>
      </w:r>
      <w:r>
        <w:rPr>
          <w:color w:val="365F91"/>
          <w:sz w:val="28"/>
        </w:rPr>
        <w:t>Social</w:t>
      </w:r>
      <w:r>
        <w:rPr>
          <w:color w:val="365F91"/>
          <w:spacing w:val="-11"/>
          <w:sz w:val="28"/>
        </w:rPr>
        <w:t> </w:t>
      </w:r>
      <w:r>
        <w:rPr>
          <w:color w:val="365F91"/>
          <w:sz w:val="28"/>
        </w:rPr>
        <w:t>Determinants</w:t>
      </w:r>
      <w:r>
        <w:rPr>
          <w:color w:val="365F91"/>
          <w:spacing w:val="-11"/>
          <w:sz w:val="28"/>
        </w:rPr>
        <w:t> </w:t>
      </w:r>
      <w:r>
        <w:rPr>
          <w:color w:val="365F91"/>
          <w:sz w:val="28"/>
        </w:rPr>
        <w:t>of</w:t>
      </w:r>
      <w:r>
        <w:rPr>
          <w:color w:val="365F91"/>
          <w:spacing w:val="-10"/>
          <w:sz w:val="28"/>
        </w:rPr>
        <w:t> </w:t>
      </w:r>
      <w:r>
        <w:rPr>
          <w:color w:val="365F91"/>
          <w:spacing w:val="-2"/>
          <w:sz w:val="28"/>
        </w:rPr>
        <w:t>Health</w:t>
      </w:r>
    </w:p>
    <w:p>
      <w:pPr>
        <w:pStyle w:val="BodyText"/>
        <w:spacing w:line="276" w:lineRule="auto" w:before="292"/>
        <w:ind w:left="463" w:right="241" w:hanging="3"/>
        <w:jc w:val="both"/>
      </w:pPr>
      <w:r>
        <w:rPr/>
        <w:t>The World Health Organization defines social determinants of health as non-medical factors that influence health outcomes.</w:t>
      </w:r>
      <w:r>
        <w:rPr>
          <w:vertAlign w:val="superscript"/>
        </w:rPr>
        <w:t>28</w:t>
      </w:r>
      <w:r>
        <w:rPr>
          <w:spacing w:val="-2"/>
          <w:vertAlign w:val="baseline"/>
        </w:rPr>
        <w:t> </w:t>
      </w:r>
      <w:r>
        <w:rPr>
          <w:vertAlign w:val="baseline"/>
        </w:rPr>
        <w:t>These factors can include economic stability, education, geographical location,</w:t>
      </w:r>
      <w:r>
        <w:rPr>
          <w:spacing w:val="-3"/>
          <w:vertAlign w:val="baseline"/>
        </w:rPr>
        <w:t> </w:t>
      </w:r>
      <w:r>
        <w:rPr>
          <w:vertAlign w:val="baseline"/>
        </w:rPr>
        <w:t>and</w:t>
      </w:r>
      <w:r>
        <w:rPr>
          <w:spacing w:val="-1"/>
          <w:vertAlign w:val="baseline"/>
        </w:rPr>
        <w:t> </w:t>
      </w:r>
      <w:r>
        <w:rPr>
          <w:vertAlign w:val="baseline"/>
        </w:rPr>
        <w:t>discrimination</w:t>
      </w:r>
      <w:r>
        <w:rPr>
          <w:spacing w:val="-3"/>
          <w:vertAlign w:val="baseline"/>
        </w:rPr>
        <w:t> </w:t>
      </w:r>
      <w:r>
        <w:rPr>
          <w:vertAlign w:val="baseline"/>
        </w:rPr>
        <w:t>and</w:t>
      </w:r>
      <w:r>
        <w:rPr>
          <w:spacing w:val="-2"/>
          <w:vertAlign w:val="baseline"/>
        </w:rPr>
        <w:t> </w:t>
      </w:r>
      <w:r>
        <w:rPr>
          <w:vertAlign w:val="baseline"/>
        </w:rPr>
        <w:t>trauma.</w:t>
      </w:r>
      <w:r>
        <w:rPr>
          <w:spacing w:val="-3"/>
          <w:vertAlign w:val="baseline"/>
        </w:rPr>
        <w:t> </w:t>
      </w:r>
      <w:r>
        <w:rPr>
          <w:vertAlign w:val="baseline"/>
        </w:rPr>
        <w:t>As</w:t>
      </w:r>
      <w:r>
        <w:rPr>
          <w:spacing w:val="-1"/>
          <w:vertAlign w:val="baseline"/>
        </w:rPr>
        <w:t> </w:t>
      </w:r>
      <w:r>
        <w:rPr>
          <w:vertAlign w:val="baseline"/>
        </w:rPr>
        <w:t>members</w:t>
      </w:r>
      <w:r>
        <w:rPr>
          <w:spacing w:val="-1"/>
          <w:vertAlign w:val="baseline"/>
        </w:rPr>
        <w:t> </w:t>
      </w:r>
      <w:r>
        <w:rPr>
          <w:vertAlign w:val="baseline"/>
        </w:rPr>
        <w:t>of</w:t>
      </w:r>
      <w:r>
        <w:rPr>
          <w:spacing w:val="-1"/>
          <w:vertAlign w:val="baseline"/>
        </w:rPr>
        <w:t> </w:t>
      </w:r>
      <w:r>
        <w:rPr>
          <w:vertAlign w:val="baseline"/>
        </w:rPr>
        <w:t>marginalized</w:t>
      </w:r>
      <w:r>
        <w:rPr>
          <w:spacing w:val="-3"/>
          <w:vertAlign w:val="baseline"/>
        </w:rPr>
        <w:t> </w:t>
      </w:r>
      <w:r>
        <w:rPr>
          <w:vertAlign w:val="baseline"/>
        </w:rPr>
        <w:t>and</w:t>
      </w:r>
      <w:r>
        <w:rPr>
          <w:spacing w:val="-2"/>
          <w:vertAlign w:val="baseline"/>
        </w:rPr>
        <w:t> </w:t>
      </w:r>
      <w:r>
        <w:rPr>
          <w:vertAlign w:val="baseline"/>
        </w:rPr>
        <w:t>underserved</w:t>
      </w:r>
      <w:r>
        <w:rPr>
          <w:spacing w:val="-2"/>
          <w:vertAlign w:val="baseline"/>
        </w:rPr>
        <w:t> </w:t>
      </w:r>
      <w:r>
        <w:rPr>
          <w:vertAlign w:val="baseline"/>
        </w:rPr>
        <w:t>communities, LGBTQ youth, particularly QTBIPOC youth, are more likely to experience health disparities linked to social determinants of health. For example, LGBTQ individuals on average experience higher rates of poverty than their cisgender counterparts.</w:t>
      </w:r>
      <w:r>
        <w:rPr>
          <w:vertAlign w:val="superscript"/>
        </w:rPr>
        <w:t>29</w:t>
      </w:r>
      <w:r>
        <w:rPr>
          <w:spacing w:val="-8"/>
          <w:vertAlign w:val="baseline"/>
        </w:rPr>
        <w:t> </w:t>
      </w:r>
      <w:r>
        <w:rPr>
          <w:vertAlign w:val="baseline"/>
        </w:rPr>
        <w:t>This economic instability may in part be linked to high rates</w:t>
      </w:r>
      <w:r>
        <w:rPr>
          <w:spacing w:val="-10"/>
          <w:vertAlign w:val="baseline"/>
        </w:rPr>
        <w:t> </w:t>
      </w:r>
      <w:r>
        <w:rPr>
          <w:vertAlign w:val="baseline"/>
        </w:rPr>
        <w:t>of</w:t>
      </w:r>
      <w:r>
        <w:rPr>
          <w:spacing w:val="-10"/>
          <w:vertAlign w:val="baseline"/>
        </w:rPr>
        <w:t> </w:t>
      </w:r>
      <w:r>
        <w:rPr>
          <w:vertAlign w:val="baseline"/>
        </w:rPr>
        <w:t>homelessness</w:t>
      </w:r>
      <w:r>
        <w:rPr>
          <w:spacing w:val="-10"/>
          <w:vertAlign w:val="baseline"/>
        </w:rPr>
        <w:t> </w:t>
      </w:r>
      <w:r>
        <w:rPr>
          <w:vertAlign w:val="baseline"/>
        </w:rPr>
        <w:t>among</w:t>
      </w:r>
      <w:r>
        <w:rPr>
          <w:spacing w:val="-10"/>
          <w:vertAlign w:val="baseline"/>
        </w:rPr>
        <w:t> </w:t>
      </w:r>
      <w:r>
        <w:rPr>
          <w:vertAlign w:val="baseline"/>
        </w:rPr>
        <w:t>LGBTQ</w:t>
      </w:r>
      <w:r>
        <w:rPr>
          <w:spacing w:val="-10"/>
          <w:vertAlign w:val="baseline"/>
        </w:rPr>
        <w:t> </w:t>
      </w:r>
      <w:r>
        <w:rPr>
          <w:vertAlign w:val="baseline"/>
        </w:rPr>
        <w:t>youth,</w:t>
      </w:r>
      <w:r>
        <w:rPr>
          <w:spacing w:val="-10"/>
          <w:vertAlign w:val="baseline"/>
        </w:rPr>
        <w:t> </w:t>
      </w:r>
      <w:r>
        <w:rPr>
          <w:vertAlign w:val="baseline"/>
        </w:rPr>
        <w:t>which</w:t>
      </w:r>
      <w:r>
        <w:rPr>
          <w:spacing w:val="-9"/>
          <w:vertAlign w:val="baseline"/>
        </w:rPr>
        <w:t> </w:t>
      </w:r>
      <w:r>
        <w:rPr>
          <w:vertAlign w:val="baseline"/>
        </w:rPr>
        <w:t>is</w:t>
      </w:r>
      <w:r>
        <w:rPr>
          <w:spacing w:val="-10"/>
          <w:vertAlign w:val="baseline"/>
        </w:rPr>
        <w:t> </w:t>
      </w:r>
      <w:r>
        <w:rPr>
          <w:vertAlign w:val="baseline"/>
        </w:rPr>
        <w:t>often</w:t>
      </w:r>
      <w:r>
        <w:rPr>
          <w:spacing w:val="-9"/>
          <w:vertAlign w:val="baseline"/>
        </w:rPr>
        <w:t> </w:t>
      </w:r>
      <w:r>
        <w:rPr>
          <w:vertAlign w:val="baseline"/>
        </w:rPr>
        <w:t>caused</w:t>
      </w:r>
      <w:r>
        <w:rPr>
          <w:spacing w:val="-10"/>
          <w:vertAlign w:val="baseline"/>
        </w:rPr>
        <w:t> </w:t>
      </w:r>
      <w:r>
        <w:rPr>
          <w:vertAlign w:val="baseline"/>
        </w:rPr>
        <w:t>by</w:t>
      </w:r>
      <w:r>
        <w:rPr>
          <w:spacing w:val="-9"/>
          <w:vertAlign w:val="baseline"/>
        </w:rPr>
        <w:t> </w:t>
      </w:r>
      <w:r>
        <w:rPr>
          <w:vertAlign w:val="baseline"/>
        </w:rPr>
        <w:t>running</w:t>
      </w:r>
      <w:r>
        <w:rPr>
          <w:spacing w:val="-8"/>
          <w:vertAlign w:val="baseline"/>
        </w:rPr>
        <w:t> </w:t>
      </w:r>
      <w:r>
        <w:rPr>
          <w:vertAlign w:val="baseline"/>
        </w:rPr>
        <w:t>away</w:t>
      </w:r>
      <w:r>
        <w:rPr>
          <w:spacing w:val="-10"/>
          <w:vertAlign w:val="baseline"/>
        </w:rPr>
        <w:t> </w:t>
      </w:r>
      <w:r>
        <w:rPr>
          <w:vertAlign w:val="baseline"/>
        </w:rPr>
        <w:t>or</w:t>
      </w:r>
      <w:r>
        <w:rPr>
          <w:spacing w:val="-10"/>
          <w:vertAlign w:val="baseline"/>
        </w:rPr>
        <w:t> </w:t>
      </w:r>
      <w:r>
        <w:rPr>
          <w:vertAlign w:val="baseline"/>
        </w:rPr>
        <w:t>being</w:t>
      </w:r>
      <w:r>
        <w:rPr>
          <w:spacing w:val="-10"/>
          <w:vertAlign w:val="baseline"/>
        </w:rPr>
        <w:t> </w:t>
      </w:r>
      <w:r>
        <w:rPr>
          <w:vertAlign w:val="baseline"/>
        </w:rPr>
        <w:t>kicked</w:t>
      </w:r>
      <w:r>
        <w:rPr>
          <w:spacing w:val="-10"/>
          <w:vertAlign w:val="baseline"/>
        </w:rPr>
        <w:t> </w:t>
      </w:r>
      <w:r>
        <w:rPr>
          <w:vertAlign w:val="baseline"/>
        </w:rPr>
        <w:t>out of their homes due to caregiver rejection.</w:t>
      </w:r>
      <w:r>
        <w:rPr>
          <w:vertAlign w:val="superscript"/>
        </w:rPr>
        <w:t>30</w:t>
      </w:r>
      <w:r>
        <w:rPr>
          <w:spacing w:val="-13"/>
          <w:vertAlign w:val="baseline"/>
        </w:rPr>
        <w:t> </w:t>
      </w:r>
      <w:r>
        <w:rPr>
          <w:vertAlign w:val="baseline"/>
        </w:rPr>
        <w:t>LGBTQ youth also report high levels of trauma exposure; in one study, 43% of LGBTQ youth reported experiencing multiple adverse childhood experiences (ACEs), and pansexual, transgender and gender-nonconforming, American Indian/Native American, Latinx, and rural youth were more likely to report a higher number of ACEs.</w:t>
      </w:r>
      <w:r>
        <w:rPr>
          <w:vertAlign w:val="superscript"/>
        </w:rPr>
        <w:t>31</w:t>
      </w:r>
    </w:p>
    <w:p>
      <w:pPr>
        <w:pStyle w:val="BodyText"/>
        <w:spacing w:line="276" w:lineRule="auto" w:before="240"/>
        <w:ind w:left="463" w:right="241" w:firstLine="16"/>
        <w:jc w:val="both"/>
      </w:pPr>
      <w:r>
        <w:rPr/>
        <w:t>LGBTQ youth also face social stressors outside the home. As discussed throughout this report, and particularly in the education section, LGBTQ youth who experience discrimination and bullying in schools are more likely to experience suicidal ideation, and physical, mental, and emotional health disparities.</w:t>
      </w:r>
      <w:r>
        <w:rPr>
          <w:vertAlign w:val="superscript"/>
        </w:rPr>
        <w:t>32</w:t>
      </w:r>
      <w:r>
        <w:rPr>
          <w:vertAlign w:val="baseline"/>
        </w:rPr>
        <w:t> This is consistent with the minority stress model, which explains that minorities experience social stressors which accumulate over time, leading to poorer health outcomes.</w:t>
      </w:r>
      <w:r>
        <w:rPr>
          <w:vertAlign w:val="superscript"/>
        </w:rPr>
        <w:t>33</w:t>
      </w:r>
      <w:r>
        <w:rPr>
          <w:vertAlign w:val="baseline"/>
        </w:rPr>
        <w:t> However, education can typically serve as either a source of stress or a protective factor. In a recent study</w:t>
      </w:r>
      <w:r>
        <w:rPr>
          <w:spacing w:val="-9"/>
          <w:vertAlign w:val="baseline"/>
        </w:rPr>
        <w:t> </w:t>
      </w:r>
      <w:r>
        <w:rPr>
          <w:vertAlign w:val="baseline"/>
        </w:rPr>
        <w:t>of</w:t>
      </w:r>
      <w:r>
        <w:rPr>
          <w:spacing w:val="-9"/>
          <w:vertAlign w:val="baseline"/>
        </w:rPr>
        <w:t> </w:t>
      </w:r>
      <w:r>
        <w:rPr>
          <w:vertAlign w:val="baseline"/>
        </w:rPr>
        <w:t>LGBTQ</w:t>
      </w:r>
      <w:r>
        <w:rPr>
          <w:spacing w:val="-9"/>
          <w:vertAlign w:val="baseline"/>
        </w:rPr>
        <w:t> </w:t>
      </w:r>
      <w:r>
        <w:rPr>
          <w:vertAlign w:val="baseline"/>
        </w:rPr>
        <w:t>students</w:t>
      </w:r>
      <w:r>
        <w:rPr>
          <w:spacing w:val="-8"/>
          <w:vertAlign w:val="baseline"/>
        </w:rPr>
        <w:t> </w:t>
      </w:r>
      <w:r>
        <w:rPr>
          <w:vertAlign w:val="baseline"/>
        </w:rPr>
        <w:t>in</w:t>
      </w:r>
      <w:r>
        <w:rPr>
          <w:spacing w:val="-8"/>
          <w:vertAlign w:val="baseline"/>
        </w:rPr>
        <w:t> </w:t>
      </w:r>
      <w:r>
        <w:rPr>
          <w:vertAlign w:val="baseline"/>
        </w:rPr>
        <w:t>Massachusetts,</w:t>
      </w:r>
      <w:r>
        <w:rPr>
          <w:spacing w:val="-8"/>
          <w:vertAlign w:val="baseline"/>
        </w:rPr>
        <w:t> </w:t>
      </w:r>
      <w:r>
        <w:rPr>
          <w:vertAlign w:val="baseline"/>
        </w:rPr>
        <w:t>students</w:t>
      </w:r>
      <w:r>
        <w:rPr>
          <w:spacing w:val="-8"/>
          <w:vertAlign w:val="baseline"/>
        </w:rPr>
        <w:t> </w:t>
      </w:r>
      <w:r>
        <w:rPr>
          <w:vertAlign w:val="baseline"/>
        </w:rPr>
        <w:t>reported</w:t>
      </w:r>
      <w:r>
        <w:rPr>
          <w:spacing w:val="-8"/>
          <w:vertAlign w:val="baseline"/>
        </w:rPr>
        <w:t> </w:t>
      </w:r>
      <w:r>
        <w:rPr>
          <w:vertAlign w:val="baseline"/>
        </w:rPr>
        <w:t>experiencing</w:t>
      </w:r>
      <w:r>
        <w:rPr>
          <w:spacing w:val="-9"/>
          <w:vertAlign w:val="baseline"/>
        </w:rPr>
        <w:t> </w:t>
      </w:r>
      <w:r>
        <w:rPr>
          <w:vertAlign w:val="baseline"/>
        </w:rPr>
        <w:t>verbal,</w:t>
      </w:r>
      <w:r>
        <w:rPr>
          <w:spacing w:val="-8"/>
          <w:vertAlign w:val="baseline"/>
        </w:rPr>
        <w:t> </w:t>
      </w:r>
      <w:r>
        <w:rPr>
          <w:vertAlign w:val="baseline"/>
        </w:rPr>
        <w:t>social,</w:t>
      </w:r>
      <w:r>
        <w:rPr>
          <w:spacing w:val="-8"/>
          <w:vertAlign w:val="baseline"/>
        </w:rPr>
        <w:t> </w:t>
      </w:r>
      <w:r>
        <w:rPr>
          <w:vertAlign w:val="baseline"/>
        </w:rPr>
        <w:t>and</w:t>
      </w:r>
      <w:r>
        <w:rPr>
          <w:spacing w:val="-9"/>
          <w:vertAlign w:val="baseline"/>
        </w:rPr>
        <w:t> </w:t>
      </w:r>
      <w:r>
        <w:rPr>
          <w:vertAlign w:val="baseline"/>
        </w:rPr>
        <w:t>physical bullying, but school health professionals in turn reported a low awareness of this bullying.</w:t>
      </w:r>
      <w:r>
        <w:rPr>
          <w:vertAlign w:val="superscript"/>
        </w:rPr>
        <w:t>34</w:t>
      </w:r>
      <w:r>
        <w:rPr>
          <w:vertAlign w:val="baseline"/>
        </w:rPr>
        <w:t> In a separate study, LGBTQ students reported concerns related to the sexual violence against and harassment of transgender students, and racism directed towards students of color; students identified access to safe bathrooms, information on gender transition, and access to safe spaces as priorities. One example given of an existing safe space was the school nurse’s office, suggesting that school nurses may play a key role in addressing LGBTQ student health needs.</w:t>
      </w:r>
      <w:r>
        <w:rPr>
          <w:vertAlign w:val="superscript"/>
        </w:rPr>
        <w:t>35</w:t>
      </w:r>
    </w:p>
    <w:p>
      <w:pPr>
        <w:pStyle w:val="BodyText"/>
        <w:spacing w:line="276" w:lineRule="auto" w:before="239"/>
        <w:ind w:left="463" w:right="239" w:firstLine="13"/>
        <w:jc w:val="both"/>
      </w:pPr>
      <w:r>
        <w:rPr/>
        <w:t>In</w:t>
      </w:r>
      <w:r>
        <w:rPr>
          <w:spacing w:val="-7"/>
        </w:rPr>
        <w:t> </w:t>
      </w:r>
      <w:r>
        <w:rPr/>
        <w:t>addition</w:t>
      </w:r>
      <w:r>
        <w:rPr>
          <w:spacing w:val="-6"/>
        </w:rPr>
        <w:t> </w:t>
      </w:r>
      <w:r>
        <w:rPr/>
        <w:t>to</w:t>
      </w:r>
      <w:r>
        <w:rPr>
          <w:spacing w:val="-6"/>
        </w:rPr>
        <w:t> </w:t>
      </w:r>
      <w:r>
        <w:rPr/>
        <w:t>education,</w:t>
      </w:r>
      <w:r>
        <w:rPr>
          <w:spacing w:val="-6"/>
        </w:rPr>
        <w:t> </w:t>
      </w:r>
      <w:r>
        <w:rPr/>
        <w:t>other</w:t>
      </w:r>
      <w:r>
        <w:rPr>
          <w:spacing w:val="-6"/>
        </w:rPr>
        <w:t> </w:t>
      </w:r>
      <w:r>
        <w:rPr/>
        <w:t>socioeconomic</w:t>
      </w:r>
      <w:r>
        <w:rPr>
          <w:spacing w:val="-7"/>
        </w:rPr>
        <w:t> </w:t>
      </w:r>
      <w:r>
        <w:rPr/>
        <w:t>factors</w:t>
      </w:r>
      <w:r>
        <w:rPr>
          <w:spacing w:val="-6"/>
        </w:rPr>
        <w:t> </w:t>
      </w:r>
      <w:r>
        <w:rPr/>
        <w:t>can</w:t>
      </w:r>
      <w:r>
        <w:rPr>
          <w:spacing w:val="-7"/>
        </w:rPr>
        <w:t> </w:t>
      </w:r>
      <w:r>
        <w:rPr/>
        <w:t>influence</w:t>
      </w:r>
      <w:r>
        <w:rPr>
          <w:spacing w:val="-7"/>
        </w:rPr>
        <w:t> </w:t>
      </w:r>
      <w:r>
        <w:rPr/>
        <w:t>a</w:t>
      </w:r>
      <w:r>
        <w:rPr>
          <w:spacing w:val="-6"/>
        </w:rPr>
        <w:t> </w:t>
      </w:r>
      <w:r>
        <w:rPr/>
        <w:t>child’s</w:t>
      </w:r>
      <w:r>
        <w:rPr>
          <w:spacing w:val="-6"/>
        </w:rPr>
        <w:t> </w:t>
      </w:r>
      <w:r>
        <w:rPr/>
        <w:t>access</w:t>
      </w:r>
      <w:r>
        <w:rPr>
          <w:spacing w:val="-6"/>
        </w:rPr>
        <w:t> </w:t>
      </w:r>
      <w:r>
        <w:rPr/>
        <w:t>to</w:t>
      </w:r>
      <w:r>
        <w:rPr>
          <w:spacing w:val="-6"/>
        </w:rPr>
        <w:t> </w:t>
      </w:r>
      <w:r>
        <w:rPr/>
        <w:t>safe</w:t>
      </w:r>
      <w:r>
        <w:rPr>
          <w:spacing w:val="-7"/>
        </w:rPr>
        <w:t> </w:t>
      </w:r>
      <w:r>
        <w:rPr/>
        <w:t>spaces</w:t>
      </w:r>
      <w:r>
        <w:rPr>
          <w:spacing w:val="-6"/>
        </w:rPr>
        <w:t> </w:t>
      </w:r>
      <w:r>
        <w:rPr/>
        <w:t>and resources.</w:t>
      </w:r>
      <w:r>
        <w:rPr>
          <w:spacing w:val="-2"/>
        </w:rPr>
        <w:t> </w:t>
      </w:r>
      <w:r>
        <w:rPr/>
        <w:t>Research</w:t>
      </w:r>
      <w:r>
        <w:rPr>
          <w:spacing w:val="-2"/>
        </w:rPr>
        <w:t> </w:t>
      </w:r>
      <w:r>
        <w:rPr/>
        <w:t>has</w:t>
      </w:r>
      <w:r>
        <w:rPr>
          <w:spacing w:val="-1"/>
        </w:rPr>
        <w:t> </w:t>
      </w:r>
      <w:r>
        <w:rPr/>
        <w:t>established</w:t>
      </w:r>
      <w:r>
        <w:rPr>
          <w:spacing w:val="-2"/>
        </w:rPr>
        <w:t> </w:t>
      </w:r>
      <w:r>
        <w:rPr/>
        <w:t>an</w:t>
      </w:r>
      <w:r>
        <w:rPr>
          <w:spacing w:val="-1"/>
        </w:rPr>
        <w:t> </w:t>
      </w:r>
      <w:r>
        <w:rPr/>
        <w:t>association</w:t>
      </w:r>
      <w:r>
        <w:rPr>
          <w:spacing w:val="-2"/>
        </w:rPr>
        <w:t> </w:t>
      </w:r>
      <w:r>
        <w:rPr/>
        <w:t>between</w:t>
      </w:r>
      <w:r>
        <w:rPr>
          <w:spacing w:val="-1"/>
        </w:rPr>
        <w:t> </w:t>
      </w:r>
      <w:r>
        <w:rPr/>
        <w:t>community</w:t>
      </w:r>
      <w:r>
        <w:rPr>
          <w:spacing w:val="-1"/>
        </w:rPr>
        <w:t> </w:t>
      </w:r>
      <w:r>
        <w:rPr/>
        <w:t>size</w:t>
      </w:r>
      <w:r>
        <w:rPr>
          <w:spacing w:val="-2"/>
        </w:rPr>
        <w:t> </w:t>
      </w:r>
      <w:r>
        <w:rPr/>
        <w:t>and</w:t>
      </w:r>
      <w:r>
        <w:rPr>
          <w:spacing w:val="-2"/>
        </w:rPr>
        <w:t> </w:t>
      </w:r>
      <w:r>
        <w:rPr/>
        <w:t>resources for</w:t>
      </w:r>
      <w:r>
        <w:rPr>
          <w:spacing w:val="-1"/>
        </w:rPr>
        <w:t> </w:t>
      </w:r>
      <w:r>
        <w:rPr/>
        <w:t>sexual and</w:t>
      </w:r>
      <w:r>
        <w:rPr>
          <w:spacing w:val="-8"/>
        </w:rPr>
        <w:t> </w:t>
      </w:r>
      <w:r>
        <w:rPr/>
        <w:t>gender</w:t>
      </w:r>
      <w:r>
        <w:rPr>
          <w:spacing w:val="-5"/>
        </w:rPr>
        <w:t> </w:t>
      </w:r>
      <w:r>
        <w:rPr/>
        <w:t>minority</w:t>
      </w:r>
      <w:r>
        <w:rPr>
          <w:spacing w:val="-6"/>
        </w:rPr>
        <w:t> </w:t>
      </w:r>
      <w:r>
        <w:rPr/>
        <w:t>youth,</w:t>
      </w:r>
      <w:r>
        <w:rPr>
          <w:spacing w:val="-7"/>
        </w:rPr>
        <w:t> </w:t>
      </w:r>
      <w:r>
        <w:rPr/>
        <w:t>with</w:t>
      </w:r>
      <w:r>
        <w:rPr>
          <w:spacing w:val="-8"/>
        </w:rPr>
        <w:t> </w:t>
      </w:r>
      <w:r>
        <w:rPr/>
        <w:t>larger</w:t>
      </w:r>
      <w:r>
        <w:rPr>
          <w:spacing w:val="-7"/>
        </w:rPr>
        <w:t> </w:t>
      </w:r>
      <w:r>
        <w:rPr/>
        <w:t>metropolitan</w:t>
      </w:r>
      <w:r>
        <w:rPr>
          <w:spacing w:val="-7"/>
        </w:rPr>
        <w:t> </w:t>
      </w:r>
      <w:r>
        <w:rPr/>
        <w:t>areas</w:t>
      </w:r>
      <w:r>
        <w:rPr>
          <w:spacing w:val="-7"/>
        </w:rPr>
        <w:t> </w:t>
      </w:r>
      <w:r>
        <w:rPr/>
        <w:t>having</w:t>
      </w:r>
      <w:r>
        <w:rPr>
          <w:spacing w:val="-5"/>
        </w:rPr>
        <w:t> </w:t>
      </w:r>
      <w:r>
        <w:rPr/>
        <w:t>more</w:t>
      </w:r>
      <w:r>
        <w:rPr>
          <w:spacing w:val="-8"/>
        </w:rPr>
        <w:t> </w:t>
      </w:r>
      <w:r>
        <w:rPr/>
        <w:t>resources.</w:t>
      </w:r>
      <w:r>
        <w:rPr>
          <w:spacing w:val="-8"/>
        </w:rPr>
        <w:t> </w:t>
      </w:r>
      <w:r>
        <w:rPr/>
        <w:t>Conversely,</w:t>
      </w:r>
      <w:r>
        <w:rPr>
          <w:spacing w:val="-7"/>
        </w:rPr>
        <w:t> </w:t>
      </w:r>
      <w:r>
        <w:rPr/>
        <w:t>LGBTQ youth</w:t>
      </w:r>
      <w:r>
        <w:rPr>
          <w:spacing w:val="-1"/>
        </w:rPr>
        <w:t> </w:t>
      </w:r>
      <w:r>
        <w:rPr/>
        <w:t>in</w:t>
      </w:r>
      <w:r>
        <w:rPr>
          <w:spacing w:val="-1"/>
        </w:rPr>
        <w:t> </w:t>
      </w:r>
      <w:r>
        <w:rPr/>
        <w:t>suburban</w:t>
      </w:r>
      <w:r>
        <w:rPr>
          <w:spacing w:val="-2"/>
        </w:rPr>
        <w:t> </w:t>
      </w:r>
      <w:r>
        <w:rPr/>
        <w:t>and</w:t>
      </w:r>
      <w:r>
        <w:rPr>
          <w:spacing w:val="-1"/>
        </w:rPr>
        <w:t> </w:t>
      </w:r>
      <w:r>
        <w:rPr/>
        <w:t>rural</w:t>
      </w:r>
      <w:r>
        <w:rPr>
          <w:spacing w:val="-2"/>
        </w:rPr>
        <w:t> </w:t>
      </w:r>
      <w:r>
        <w:rPr/>
        <w:t>areas expressed</w:t>
      </w:r>
      <w:r>
        <w:rPr>
          <w:spacing w:val="-2"/>
        </w:rPr>
        <w:t> </w:t>
      </w:r>
      <w:r>
        <w:rPr/>
        <w:t>a need</w:t>
      </w:r>
      <w:r>
        <w:rPr>
          <w:spacing w:val="-1"/>
        </w:rPr>
        <w:t> </w:t>
      </w:r>
      <w:r>
        <w:rPr/>
        <w:t>and</w:t>
      </w:r>
      <w:r>
        <w:rPr>
          <w:spacing w:val="-1"/>
        </w:rPr>
        <w:t> </w:t>
      </w:r>
      <w:r>
        <w:rPr/>
        <w:t>desire</w:t>
      </w:r>
      <w:r>
        <w:rPr>
          <w:spacing w:val="-1"/>
        </w:rPr>
        <w:t> </w:t>
      </w:r>
      <w:r>
        <w:rPr/>
        <w:t>for more</w:t>
      </w:r>
      <w:r>
        <w:rPr>
          <w:spacing w:val="-2"/>
        </w:rPr>
        <w:t> </w:t>
      </w:r>
      <w:r>
        <w:rPr/>
        <w:t>spaces to</w:t>
      </w:r>
      <w:r>
        <w:rPr>
          <w:spacing w:val="-1"/>
        </w:rPr>
        <w:t> </w:t>
      </w:r>
      <w:r>
        <w:rPr/>
        <w:t>socialize</w:t>
      </w:r>
      <w:r>
        <w:rPr>
          <w:spacing w:val="-2"/>
        </w:rPr>
        <w:t> </w:t>
      </w:r>
      <w:r>
        <w:rPr/>
        <w:t>and</w:t>
      </w:r>
      <w:r>
        <w:rPr>
          <w:spacing w:val="-1"/>
        </w:rPr>
        <w:t> </w:t>
      </w:r>
      <w:r>
        <w:rPr/>
        <w:t>meet other</w:t>
      </w:r>
      <w:r>
        <w:rPr>
          <w:spacing w:val="-13"/>
        </w:rPr>
        <w:t> </w:t>
      </w:r>
      <w:r>
        <w:rPr/>
        <w:t>LGBTQ</w:t>
      </w:r>
      <w:r>
        <w:rPr>
          <w:spacing w:val="-12"/>
        </w:rPr>
        <w:t> </w:t>
      </w:r>
      <w:r>
        <w:rPr/>
        <w:t>youth.</w:t>
      </w:r>
      <w:r>
        <w:rPr>
          <w:vertAlign w:val="superscript"/>
        </w:rPr>
        <w:t>36</w:t>
      </w:r>
      <w:r>
        <w:rPr>
          <w:spacing w:val="-13"/>
          <w:vertAlign w:val="baseline"/>
        </w:rPr>
        <w:t> </w:t>
      </w:r>
      <w:r>
        <w:rPr>
          <w:vertAlign w:val="baseline"/>
        </w:rPr>
        <w:t>In</w:t>
      </w:r>
      <w:r>
        <w:rPr>
          <w:spacing w:val="-12"/>
          <w:vertAlign w:val="baseline"/>
        </w:rPr>
        <w:t> </w:t>
      </w:r>
      <w:r>
        <w:rPr>
          <w:vertAlign w:val="baseline"/>
        </w:rPr>
        <w:t>particular,</w:t>
      </w:r>
      <w:r>
        <w:rPr>
          <w:spacing w:val="-13"/>
          <w:vertAlign w:val="baseline"/>
        </w:rPr>
        <w:t> </w:t>
      </w:r>
      <w:r>
        <w:rPr>
          <w:vertAlign w:val="baseline"/>
        </w:rPr>
        <w:t>rural</w:t>
      </w:r>
      <w:r>
        <w:rPr>
          <w:spacing w:val="-11"/>
          <w:vertAlign w:val="baseline"/>
        </w:rPr>
        <w:t> </w:t>
      </w:r>
      <w:r>
        <w:rPr>
          <w:vertAlign w:val="baseline"/>
        </w:rPr>
        <w:t>LGBTQ</w:t>
      </w:r>
      <w:r>
        <w:rPr>
          <w:spacing w:val="-9"/>
          <w:vertAlign w:val="baseline"/>
        </w:rPr>
        <w:t> </w:t>
      </w:r>
      <w:r>
        <w:rPr>
          <w:vertAlign w:val="baseline"/>
        </w:rPr>
        <w:t>youth</w:t>
      </w:r>
      <w:r>
        <w:rPr>
          <w:spacing w:val="-9"/>
          <w:vertAlign w:val="baseline"/>
        </w:rPr>
        <w:t> </w:t>
      </w:r>
      <w:r>
        <w:rPr>
          <w:vertAlign w:val="baseline"/>
        </w:rPr>
        <w:t>experience</w:t>
      </w:r>
      <w:r>
        <w:rPr>
          <w:spacing w:val="-10"/>
          <w:vertAlign w:val="baseline"/>
        </w:rPr>
        <w:t> </w:t>
      </w:r>
      <w:r>
        <w:rPr>
          <w:vertAlign w:val="baseline"/>
        </w:rPr>
        <w:t>higher</w:t>
      </w:r>
      <w:r>
        <w:rPr>
          <w:spacing w:val="-11"/>
          <w:vertAlign w:val="baseline"/>
        </w:rPr>
        <w:t> </w:t>
      </w:r>
      <w:r>
        <w:rPr>
          <w:vertAlign w:val="baseline"/>
        </w:rPr>
        <w:t>rates</w:t>
      </w:r>
      <w:r>
        <w:rPr>
          <w:spacing w:val="-11"/>
          <w:vertAlign w:val="baseline"/>
        </w:rPr>
        <w:t> </w:t>
      </w:r>
      <w:r>
        <w:rPr>
          <w:vertAlign w:val="baseline"/>
        </w:rPr>
        <w:t>of</w:t>
      </w:r>
      <w:r>
        <w:rPr>
          <w:spacing w:val="-10"/>
          <w:vertAlign w:val="baseline"/>
        </w:rPr>
        <w:t> </w:t>
      </w:r>
      <w:r>
        <w:rPr>
          <w:vertAlign w:val="baseline"/>
        </w:rPr>
        <w:t>depressive</w:t>
      </w:r>
      <w:r>
        <w:rPr>
          <w:spacing w:val="-11"/>
          <w:vertAlign w:val="baseline"/>
        </w:rPr>
        <w:t> </w:t>
      </w:r>
      <w:r>
        <w:rPr>
          <w:vertAlign w:val="baseline"/>
        </w:rPr>
        <w:t>symptoms and PTSD compared to their urban peers due to heightened levels of minority stress.</w:t>
      </w:r>
      <w:r>
        <w:rPr>
          <w:vertAlign w:val="superscript"/>
        </w:rPr>
        <w:t>37</w:t>
      </w:r>
      <w:r>
        <w:rPr>
          <w:spacing w:val="-8"/>
          <w:vertAlign w:val="baseline"/>
        </w:rPr>
        <w:t> </w:t>
      </w:r>
      <w:r>
        <w:rPr>
          <w:vertAlign w:val="baseline"/>
        </w:rPr>
        <w:t>Despite the clear</w:t>
      </w:r>
      <w:r>
        <w:rPr>
          <w:spacing w:val="-5"/>
          <w:vertAlign w:val="baseline"/>
        </w:rPr>
        <w:t> </w:t>
      </w:r>
      <w:r>
        <w:rPr>
          <w:vertAlign w:val="baseline"/>
        </w:rPr>
        <w:t>need</w:t>
      </w:r>
      <w:r>
        <w:rPr>
          <w:spacing w:val="-4"/>
          <w:vertAlign w:val="baseline"/>
        </w:rPr>
        <w:t> </w:t>
      </w:r>
      <w:r>
        <w:rPr>
          <w:vertAlign w:val="baseline"/>
        </w:rPr>
        <w:t>for</w:t>
      </w:r>
      <w:r>
        <w:rPr>
          <w:spacing w:val="-5"/>
          <w:vertAlign w:val="baseline"/>
        </w:rPr>
        <w:t> </w:t>
      </w:r>
      <w:r>
        <w:rPr>
          <w:vertAlign w:val="baseline"/>
        </w:rPr>
        <w:t>competent</w:t>
      </w:r>
      <w:r>
        <w:rPr>
          <w:spacing w:val="-3"/>
          <w:vertAlign w:val="baseline"/>
        </w:rPr>
        <w:t> </w:t>
      </w:r>
      <w:r>
        <w:rPr>
          <w:vertAlign w:val="baseline"/>
        </w:rPr>
        <w:t>health</w:t>
      </w:r>
      <w:r>
        <w:rPr>
          <w:spacing w:val="-4"/>
          <w:vertAlign w:val="baseline"/>
        </w:rPr>
        <w:t> </w:t>
      </w:r>
      <w:r>
        <w:rPr>
          <w:vertAlign w:val="baseline"/>
        </w:rPr>
        <w:t>services,</w:t>
      </w:r>
      <w:r>
        <w:rPr>
          <w:spacing w:val="-5"/>
          <w:vertAlign w:val="baseline"/>
        </w:rPr>
        <w:t> </w:t>
      </w:r>
      <w:r>
        <w:rPr>
          <w:vertAlign w:val="baseline"/>
        </w:rPr>
        <w:t>rural</w:t>
      </w:r>
      <w:r>
        <w:rPr>
          <w:spacing w:val="-5"/>
          <w:vertAlign w:val="baseline"/>
        </w:rPr>
        <w:t> </w:t>
      </w:r>
      <w:r>
        <w:rPr>
          <w:vertAlign w:val="baseline"/>
        </w:rPr>
        <w:t>youth</w:t>
      </w:r>
      <w:r>
        <w:rPr>
          <w:spacing w:val="-5"/>
          <w:vertAlign w:val="baseline"/>
        </w:rPr>
        <w:t> </w:t>
      </w:r>
      <w:r>
        <w:rPr>
          <w:vertAlign w:val="baseline"/>
        </w:rPr>
        <w:t>typically</w:t>
      </w:r>
      <w:r>
        <w:rPr>
          <w:spacing w:val="-4"/>
          <w:vertAlign w:val="baseline"/>
        </w:rPr>
        <w:t> </w:t>
      </w:r>
      <w:r>
        <w:rPr>
          <w:vertAlign w:val="baseline"/>
        </w:rPr>
        <w:t>lack</w:t>
      </w:r>
      <w:r>
        <w:rPr>
          <w:spacing w:val="-5"/>
          <w:vertAlign w:val="baseline"/>
        </w:rPr>
        <w:t> </w:t>
      </w:r>
      <w:r>
        <w:rPr>
          <w:vertAlign w:val="baseline"/>
        </w:rPr>
        <w:t>access</w:t>
      </w:r>
      <w:r>
        <w:rPr>
          <w:spacing w:val="-5"/>
          <w:vertAlign w:val="baseline"/>
        </w:rPr>
        <w:t> </w:t>
      </w:r>
      <w:r>
        <w:rPr>
          <w:vertAlign w:val="baseline"/>
        </w:rPr>
        <w:t>to</w:t>
      </w:r>
      <w:r>
        <w:rPr>
          <w:spacing w:val="-3"/>
          <w:vertAlign w:val="baseline"/>
        </w:rPr>
        <w:t> </w:t>
      </w:r>
      <w:r>
        <w:rPr>
          <w:vertAlign w:val="baseline"/>
        </w:rPr>
        <w:t>competent</w:t>
      </w:r>
      <w:r>
        <w:rPr>
          <w:spacing w:val="-4"/>
          <w:vertAlign w:val="baseline"/>
        </w:rPr>
        <w:t> </w:t>
      </w:r>
      <w:r>
        <w:rPr>
          <w:vertAlign w:val="baseline"/>
        </w:rPr>
        <w:t>and</w:t>
      </w:r>
      <w:r>
        <w:rPr>
          <w:spacing w:val="-3"/>
          <w:vertAlign w:val="baseline"/>
        </w:rPr>
        <w:t> </w:t>
      </w:r>
      <w:r>
        <w:rPr>
          <w:vertAlign w:val="baseline"/>
        </w:rPr>
        <w:t>affirming health</w:t>
      </w:r>
      <w:r>
        <w:rPr>
          <w:spacing w:val="-4"/>
          <w:vertAlign w:val="baseline"/>
        </w:rPr>
        <w:t> </w:t>
      </w:r>
      <w:r>
        <w:rPr>
          <w:vertAlign w:val="baseline"/>
        </w:rPr>
        <w:t>care</w:t>
      </w:r>
      <w:r>
        <w:rPr>
          <w:spacing w:val="-4"/>
          <w:vertAlign w:val="baseline"/>
        </w:rPr>
        <w:t> </w:t>
      </w:r>
      <w:r>
        <w:rPr>
          <w:vertAlign w:val="baseline"/>
        </w:rPr>
        <w:t>because</w:t>
      </w:r>
      <w:r>
        <w:rPr>
          <w:spacing w:val="-6"/>
          <w:vertAlign w:val="baseline"/>
        </w:rPr>
        <w:t> </w:t>
      </w:r>
      <w:r>
        <w:rPr>
          <w:vertAlign w:val="baseline"/>
        </w:rPr>
        <w:t>of</w:t>
      </w:r>
      <w:r>
        <w:rPr>
          <w:spacing w:val="-4"/>
          <w:vertAlign w:val="baseline"/>
        </w:rPr>
        <w:t> </w:t>
      </w:r>
      <w:r>
        <w:rPr>
          <w:vertAlign w:val="baseline"/>
        </w:rPr>
        <w:t>the</w:t>
      </w:r>
      <w:r>
        <w:rPr>
          <w:spacing w:val="-4"/>
          <w:vertAlign w:val="baseline"/>
        </w:rPr>
        <w:t> </w:t>
      </w:r>
      <w:r>
        <w:rPr>
          <w:vertAlign w:val="baseline"/>
        </w:rPr>
        <w:t>general</w:t>
      </w:r>
      <w:r>
        <w:rPr>
          <w:spacing w:val="-6"/>
          <w:vertAlign w:val="baseline"/>
        </w:rPr>
        <w:t> </w:t>
      </w:r>
      <w:r>
        <w:rPr>
          <w:vertAlign w:val="baseline"/>
        </w:rPr>
        <w:t>shortage</w:t>
      </w:r>
      <w:r>
        <w:rPr>
          <w:spacing w:val="-6"/>
          <w:vertAlign w:val="baseline"/>
        </w:rPr>
        <w:t> </w:t>
      </w:r>
      <w:r>
        <w:rPr>
          <w:vertAlign w:val="baseline"/>
        </w:rPr>
        <w:t>of</w:t>
      </w:r>
      <w:r>
        <w:rPr>
          <w:spacing w:val="-4"/>
          <w:vertAlign w:val="baseline"/>
        </w:rPr>
        <w:t> </w:t>
      </w:r>
      <w:r>
        <w:rPr>
          <w:vertAlign w:val="baseline"/>
        </w:rPr>
        <w:t>healthcare</w:t>
      </w:r>
      <w:r>
        <w:rPr>
          <w:spacing w:val="-4"/>
          <w:vertAlign w:val="baseline"/>
        </w:rPr>
        <w:t> </w:t>
      </w:r>
      <w:r>
        <w:rPr>
          <w:vertAlign w:val="baseline"/>
        </w:rPr>
        <w:t>professionals</w:t>
      </w:r>
      <w:r>
        <w:rPr>
          <w:spacing w:val="-5"/>
          <w:vertAlign w:val="baseline"/>
        </w:rPr>
        <w:t> </w:t>
      </w:r>
      <w:r>
        <w:rPr>
          <w:vertAlign w:val="baseline"/>
        </w:rPr>
        <w:t>in</w:t>
      </w:r>
      <w:r>
        <w:rPr>
          <w:spacing w:val="-6"/>
          <w:vertAlign w:val="baseline"/>
        </w:rPr>
        <w:t> </w:t>
      </w:r>
      <w:r>
        <w:rPr>
          <w:vertAlign w:val="baseline"/>
        </w:rPr>
        <w:t>rural</w:t>
      </w:r>
      <w:r>
        <w:rPr>
          <w:spacing w:val="-6"/>
          <w:vertAlign w:val="baseline"/>
        </w:rPr>
        <w:t> </w:t>
      </w:r>
      <w:r>
        <w:rPr>
          <w:vertAlign w:val="baseline"/>
        </w:rPr>
        <w:t>areas.</w:t>
      </w:r>
      <w:r>
        <w:rPr>
          <w:spacing w:val="-6"/>
          <w:vertAlign w:val="baseline"/>
        </w:rPr>
        <w:t> </w:t>
      </w:r>
      <w:r>
        <w:rPr>
          <w:vertAlign w:val="baseline"/>
        </w:rPr>
        <w:t>This</w:t>
      </w:r>
      <w:r>
        <w:rPr>
          <w:spacing w:val="-5"/>
          <w:vertAlign w:val="baseline"/>
        </w:rPr>
        <w:t> </w:t>
      </w:r>
      <w:r>
        <w:rPr>
          <w:vertAlign w:val="baseline"/>
        </w:rPr>
        <w:t>shortage</w:t>
      </w:r>
      <w:r>
        <w:rPr>
          <w:spacing w:val="-6"/>
          <w:vertAlign w:val="baseline"/>
        </w:rPr>
        <w:t> </w:t>
      </w:r>
      <w:r>
        <w:rPr>
          <w:vertAlign w:val="baseline"/>
        </w:rPr>
        <w:t>is particularly acute for LGBTQ specialty services, which are often located in larger cities, an example clearly seen by the locations of LGBTQ organizations, programs, and services in Massachusetts.</w:t>
      </w:r>
    </w:p>
    <w:p>
      <w:pPr>
        <w:pStyle w:val="BodyText"/>
        <w:spacing w:line="276" w:lineRule="auto" w:before="241"/>
        <w:ind w:left="463" w:right="242" w:firstLine="7"/>
        <w:jc w:val="both"/>
      </w:pPr>
      <w:r>
        <w:rPr/>
        <w:t>One method for bridging this gap is telehealth, which has been shown to expand access to LGBTQ health in rural areas.</w:t>
      </w:r>
      <w:r>
        <w:rPr>
          <w:vertAlign w:val="superscript"/>
        </w:rPr>
        <w:t>38</w:t>
      </w:r>
      <w:r>
        <w:rPr>
          <w:spacing w:val="-7"/>
          <w:vertAlign w:val="baseline"/>
        </w:rPr>
        <w:t> </w:t>
      </w:r>
      <w:r>
        <w:rPr>
          <w:vertAlign w:val="baseline"/>
        </w:rPr>
        <w:t>Telehealth has also proven to be a high-quality strategy for pediatric health access</w:t>
      </w:r>
      <w:r>
        <w:rPr>
          <w:spacing w:val="23"/>
          <w:vertAlign w:val="baseline"/>
        </w:rPr>
        <w:t> </w:t>
      </w:r>
      <w:r>
        <w:rPr>
          <w:vertAlign w:val="baseline"/>
        </w:rPr>
        <w:t>and</w:t>
      </w:r>
      <w:r>
        <w:rPr>
          <w:spacing w:val="24"/>
          <w:vertAlign w:val="baseline"/>
        </w:rPr>
        <w:t> </w:t>
      </w:r>
      <w:r>
        <w:rPr>
          <w:vertAlign w:val="baseline"/>
        </w:rPr>
        <w:t>can</w:t>
      </w:r>
      <w:r>
        <w:rPr>
          <w:spacing w:val="22"/>
          <w:vertAlign w:val="baseline"/>
        </w:rPr>
        <w:t> </w:t>
      </w:r>
      <w:r>
        <w:rPr>
          <w:vertAlign w:val="baseline"/>
        </w:rPr>
        <w:t>be</w:t>
      </w:r>
      <w:r>
        <w:rPr>
          <w:spacing w:val="24"/>
          <w:vertAlign w:val="baseline"/>
        </w:rPr>
        <w:t> </w:t>
      </w:r>
      <w:r>
        <w:rPr>
          <w:vertAlign w:val="baseline"/>
        </w:rPr>
        <w:t>delivered</w:t>
      </w:r>
      <w:r>
        <w:rPr>
          <w:spacing w:val="22"/>
          <w:vertAlign w:val="baseline"/>
        </w:rPr>
        <w:t> </w:t>
      </w:r>
      <w:r>
        <w:rPr>
          <w:vertAlign w:val="baseline"/>
        </w:rPr>
        <w:t>in</w:t>
      </w:r>
      <w:r>
        <w:rPr>
          <w:spacing w:val="24"/>
          <w:vertAlign w:val="baseline"/>
        </w:rPr>
        <w:t> </w:t>
      </w:r>
      <w:r>
        <w:rPr>
          <w:vertAlign w:val="baseline"/>
        </w:rPr>
        <w:t>nontraditional</w:t>
      </w:r>
      <w:r>
        <w:rPr>
          <w:spacing w:val="23"/>
          <w:vertAlign w:val="baseline"/>
        </w:rPr>
        <w:t> </w:t>
      </w:r>
      <w:r>
        <w:rPr>
          <w:vertAlign w:val="baseline"/>
        </w:rPr>
        <w:t>settings</w:t>
      </w:r>
      <w:r>
        <w:rPr>
          <w:spacing w:val="23"/>
          <w:vertAlign w:val="baseline"/>
        </w:rPr>
        <w:t> </w:t>
      </w:r>
      <w:r>
        <w:rPr>
          <w:vertAlign w:val="baseline"/>
        </w:rPr>
        <w:t>such</w:t>
      </w:r>
      <w:r>
        <w:rPr>
          <w:spacing w:val="24"/>
          <w:vertAlign w:val="baseline"/>
        </w:rPr>
        <w:t> </w:t>
      </w:r>
      <w:r>
        <w:rPr>
          <w:vertAlign w:val="baseline"/>
        </w:rPr>
        <w:t>as</w:t>
      </w:r>
      <w:r>
        <w:rPr>
          <w:spacing w:val="23"/>
          <w:vertAlign w:val="baseline"/>
        </w:rPr>
        <w:t> </w:t>
      </w:r>
      <w:r>
        <w:rPr>
          <w:vertAlign w:val="baseline"/>
        </w:rPr>
        <w:t>schools</w:t>
      </w:r>
      <w:r>
        <w:rPr>
          <w:spacing w:val="23"/>
          <w:vertAlign w:val="baseline"/>
        </w:rPr>
        <w:t> </w:t>
      </w:r>
      <w:r>
        <w:rPr>
          <w:vertAlign w:val="baseline"/>
        </w:rPr>
        <w:t>and</w:t>
      </w:r>
      <w:r>
        <w:rPr>
          <w:spacing w:val="22"/>
          <w:vertAlign w:val="baseline"/>
        </w:rPr>
        <w:t> </w:t>
      </w:r>
      <w:r>
        <w:rPr>
          <w:vertAlign w:val="baseline"/>
        </w:rPr>
        <w:t>community</w:t>
      </w:r>
      <w:r>
        <w:rPr>
          <w:spacing w:val="23"/>
          <w:vertAlign w:val="baseline"/>
        </w:rPr>
        <w:t> </w:t>
      </w:r>
      <w:r>
        <w:rPr>
          <w:vertAlign w:val="baseline"/>
        </w:rPr>
        <w:t>centers.</w:t>
      </w:r>
      <w:r>
        <w:rPr>
          <w:vertAlign w:val="superscript"/>
        </w:rPr>
        <w:t>39</w:t>
      </w:r>
      <w:r>
        <w:rPr>
          <w:spacing w:val="-3"/>
          <w:vertAlign w:val="baseline"/>
        </w:rPr>
        <w:t> </w:t>
      </w:r>
      <w:r>
        <w:rPr>
          <w:vertAlign w:val="baseline"/>
        </w:rPr>
        <w:t>A</w:t>
      </w:r>
    </w:p>
    <w:p>
      <w:pPr>
        <w:spacing w:after="0" w:line="276" w:lineRule="auto"/>
        <w:jc w:val="both"/>
        <w:sectPr>
          <w:pgSz w:w="12240" w:h="15840"/>
          <w:pgMar w:header="721" w:footer="1061" w:top="1360" w:bottom="1260" w:left="1120" w:right="1340"/>
        </w:sectPr>
      </w:pPr>
    </w:p>
    <w:p>
      <w:pPr>
        <w:pStyle w:val="BodyText"/>
        <w:spacing w:line="276" w:lineRule="auto" w:before="67"/>
        <w:ind w:left="463" w:right="241"/>
        <w:jc w:val="both"/>
      </w:pPr>
      <w:r>
        <w:rPr/>
        <w:t>study of rural parents of children with special health needs found that parents using telehealth were less likely to experience common barriers to health access, such as traveling over an hour for appointments</w:t>
      </w:r>
      <w:r>
        <w:rPr>
          <w:spacing w:val="-13"/>
        </w:rPr>
        <w:t> </w:t>
      </w:r>
      <w:r>
        <w:rPr/>
        <w:t>or</w:t>
      </w:r>
      <w:r>
        <w:rPr>
          <w:spacing w:val="-12"/>
        </w:rPr>
        <w:t> </w:t>
      </w:r>
      <w:r>
        <w:rPr/>
        <w:t>missing</w:t>
      </w:r>
      <w:r>
        <w:rPr>
          <w:spacing w:val="-6"/>
        </w:rPr>
        <w:t> </w:t>
      </w:r>
      <w:r>
        <w:rPr/>
        <w:t>work.</w:t>
      </w:r>
      <w:r>
        <w:rPr>
          <w:vertAlign w:val="superscript"/>
        </w:rPr>
        <w:t>40</w:t>
      </w:r>
      <w:r>
        <w:rPr>
          <w:spacing w:val="-13"/>
          <w:vertAlign w:val="baseline"/>
        </w:rPr>
        <w:t> </w:t>
      </w:r>
      <w:r>
        <w:rPr>
          <w:vertAlign w:val="baseline"/>
        </w:rPr>
        <w:t>A</w:t>
      </w:r>
      <w:r>
        <w:rPr>
          <w:spacing w:val="-6"/>
          <w:vertAlign w:val="baseline"/>
        </w:rPr>
        <w:t> </w:t>
      </w:r>
      <w:r>
        <w:rPr>
          <w:vertAlign w:val="baseline"/>
        </w:rPr>
        <w:t>pediatric</w:t>
      </w:r>
      <w:r>
        <w:rPr>
          <w:spacing w:val="-7"/>
          <w:vertAlign w:val="baseline"/>
        </w:rPr>
        <w:t> </w:t>
      </w:r>
      <w:r>
        <w:rPr>
          <w:vertAlign w:val="baseline"/>
        </w:rPr>
        <w:t>gender-affirming</w:t>
      </w:r>
      <w:r>
        <w:rPr>
          <w:spacing w:val="-7"/>
          <w:vertAlign w:val="baseline"/>
        </w:rPr>
        <w:t> </w:t>
      </w:r>
      <w:r>
        <w:rPr>
          <w:vertAlign w:val="baseline"/>
        </w:rPr>
        <w:t>clinic</w:t>
      </w:r>
      <w:r>
        <w:rPr>
          <w:spacing w:val="-8"/>
          <w:vertAlign w:val="baseline"/>
        </w:rPr>
        <w:t> </w:t>
      </w:r>
      <w:r>
        <w:rPr>
          <w:vertAlign w:val="baseline"/>
        </w:rPr>
        <w:t>reported</w:t>
      </w:r>
      <w:r>
        <w:rPr>
          <w:spacing w:val="-7"/>
          <w:vertAlign w:val="baseline"/>
        </w:rPr>
        <w:t> </w:t>
      </w:r>
      <w:r>
        <w:rPr>
          <w:vertAlign w:val="baseline"/>
        </w:rPr>
        <w:t>that</w:t>
      </w:r>
      <w:r>
        <w:rPr>
          <w:spacing w:val="-8"/>
          <w:vertAlign w:val="baseline"/>
        </w:rPr>
        <w:t> </w:t>
      </w:r>
      <w:r>
        <w:rPr>
          <w:vertAlign w:val="baseline"/>
        </w:rPr>
        <w:t>telehealth</w:t>
      </w:r>
      <w:r>
        <w:rPr>
          <w:spacing w:val="-5"/>
          <w:vertAlign w:val="baseline"/>
        </w:rPr>
        <w:t> </w:t>
      </w:r>
      <w:r>
        <w:rPr>
          <w:vertAlign w:val="baseline"/>
        </w:rPr>
        <w:t>increased access</w:t>
      </w:r>
      <w:r>
        <w:rPr>
          <w:spacing w:val="-8"/>
          <w:vertAlign w:val="baseline"/>
        </w:rPr>
        <w:t> </w:t>
      </w:r>
      <w:r>
        <w:rPr>
          <w:vertAlign w:val="baseline"/>
        </w:rPr>
        <w:t>to</w:t>
      </w:r>
      <w:r>
        <w:rPr>
          <w:spacing w:val="-8"/>
          <w:vertAlign w:val="baseline"/>
        </w:rPr>
        <w:t> </w:t>
      </w:r>
      <w:r>
        <w:rPr>
          <w:vertAlign w:val="baseline"/>
        </w:rPr>
        <w:t>care</w:t>
      </w:r>
      <w:r>
        <w:rPr>
          <w:spacing w:val="-10"/>
          <w:vertAlign w:val="baseline"/>
        </w:rPr>
        <w:t> </w:t>
      </w:r>
      <w:r>
        <w:rPr>
          <w:vertAlign w:val="baseline"/>
        </w:rPr>
        <w:t>during</w:t>
      </w:r>
      <w:r>
        <w:rPr>
          <w:spacing w:val="-9"/>
          <w:vertAlign w:val="baseline"/>
        </w:rPr>
        <w:t> </w:t>
      </w:r>
      <w:r>
        <w:rPr>
          <w:vertAlign w:val="baseline"/>
        </w:rPr>
        <w:t>the</w:t>
      </w:r>
      <w:r>
        <w:rPr>
          <w:spacing w:val="-8"/>
          <w:vertAlign w:val="baseline"/>
        </w:rPr>
        <w:t> </w:t>
      </w:r>
      <w:r>
        <w:rPr>
          <w:vertAlign w:val="baseline"/>
        </w:rPr>
        <w:t>COVID-19</w:t>
      </w:r>
      <w:r>
        <w:rPr>
          <w:spacing w:val="-10"/>
          <w:vertAlign w:val="baseline"/>
        </w:rPr>
        <w:t> </w:t>
      </w:r>
      <w:r>
        <w:rPr>
          <w:vertAlign w:val="baseline"/>
        </w:rPr>
        <w:t>pandemic,</w:t>
      </w:r>
      <w:r>
        <w:rPr>
          <w:spacing w:val="-10"/>
          <w:vertAlign w:val="baseline"/>
        </w:rPr>
        <w:t> </w:t>
      </w:r>
      <w:r>
        <w:rPr>
          <w:vertAlign w:val="baseline"/>
        </w:rPr>
        <w:t>and</w:t>
      </w:r>
      <w:r>
        <w:rPr>
          <w:spacing w:val="-9"/>
          <w:vertAlign w:val="baseline"/>
        </w:rPr>
        <w:t> </w:t>
      </w:r>
      <w:r>
        <w:rPr>
          <w:vertAlign w:val="baseline"/>
        </w:rPr>
        <w:t>that</w:t>
      </w:r>
      <w:r>
        <w:rPr>
          <w:spacing w:val="-9"/>
          <w:vertAlign w:val="baseline"/>
        </w:rPr>
        <w:t> </w:t>
      </w:r>
      <w:r>
        <w:rPr>
          <w:vertAlign w:val="baseline"/>
        </w:rPr>
        <w:t>many</w:t>
      </w:r>
      <w:r>
        <w:rPr>
          <w:spacing w:val="-9"/>
          <w:vertAlign w:val="baseline"/>
        </w:rPr>
        <w:t> </w:t>
      </w:r>
      <w:r>
        <w:rPr>
          <w:vertAlign w:val="baseline"/>
        </w:rPr>
        <w:t>patients</w:t>
      </w:r>
      <w:r>
        <w:rPr>
          <w:spacing w:val="-8"/>
          <w:vertAlign w:val="baseline"/>
        </w:rPr>
        <w:t> </w:t>
      </w:r>
      <w:r>
        <w:rPr>
          <w:vertAlign w:val="baseline"/>
        </w:rPr>
        <w:t>continued</w:t>
      </w:r>
      <w:r>
        <w:rPr>
          <w:spacing w:val="-9"/>
          <w:vertAlign w:val="baseline"/>
        </w:rPr>
        <w:t> </w:t>
      </w:r>
      <w:r>
        <w:rPr>
          <w:vertAlign w:val="baseline"/>
        </w:rPr>
        <w:t>to</w:t>
      </w:r>
      <w:r>
        <w:rPr>
          <w:spacing w:val="-9"/>
          <w:vertAlign w:val="baseline"/>
        </w:rPr>
        <w:t> </w:t>
      </w:r>
      <w:r>
        <w:rPr>
          <w:vertAlign w:val="baseline"/>
        </w:rPr>
        <w:t>request</w:t>
      </w:r>
      <w:r>
        <w:rPr>
          <w:spacing w:val="-9"/>
          <w:vertAlign w:val="baseline"/>
        </w:rPr>
        <w:t> </w:t>
      </w:r>
      <w:r>
        <w:rPr>
          <w:vertAlign w:val="baseline"/>
        </w:rPr>
        <w:t>telehealth appointments</w:t>
      </w:r>
      <w:r>
        <w:rPr>
          <w:spacing w:val="-8"/>
          <w:vertAlign w:val="baseline"/>
        </w:rPr>
        <w:t> </w:t>
      </w:r>
      <w:r>
        <w:rPr>
          <w:vertAlign w:val="baseline"/>
        </w:rPr>
        <w:t>even</w:t>
      </w:r>
      <w:r>
        <w:rPr>
          <w:spacing w:val="-2"/>
          <w:vertAlign w:val="baseline"/>
        </w:rPr>
        <w:t> </w:t>
      </w:r>
      <w:r>
        <w:rPr>
          <w:vertAlign w:val="baseline"/>
        </w:rPr>
        <w:t>after</w:t>
      </w:r>
      <w:r>
        <w:rPr>
          <w:spacing w:val="-1"/>
          <w:vertAlign w:val="baseline"/>
        </w:rPr>
        <w:t> </w:t>
      </w:r>
      <w:r>
        <w:rPr>
          <w:vertAlign w:val="baseline"/>
        </w:rPr>
        <w:t>social</w:t>
      </w:r>
      <w:r>
        <w:rPr>
          <w:spacing w:val="-2"/>
          <w:vertAlign w:val="baseline"/>
        </w:rPr>
        <w:t> </w:t>
      </w:r>
      <w:r>
        <w:rPr>
          <w:vertAlign w:val="baseline"/>
        </w:rPr>
        <w:t>distancing</w:t>
      </w:r>
      <w:r>
        <w:rPr>
          <w:spacing w:val="-2"/>
          <w:vertAlign w:val="baseline"/>
        </w:rPr>
        <w:t> </w:t>
      </w:r>
      <w:r>
        <w:rPr>
          <w:vertAlign w:val="baseline"/>
        </w:rPr>
        <w:t>guidelines were</w:t>
      </w:r>
      <w:r>
        <w:rPr>
          <w:spacing w:val="-2"/>
          <w:vertAlign w:val="baseline"/>
        </w:rPr>
        <w:t> </w:t>
      </w:r>
      <w:r>
        <w:rPr>
          <w:vertAlign w:val="baseline"/>
        </w:rPr>
        <w:t>relaxed.</w:t>
      </w:r>
      <w:r>
        <w:rPr>
          <w:vertAlign w:val="superscript"/>
        </w:rPr>
        <w:t>41</w:t>
      </w:r>
      <w:r>
        <w:rPr>
          <w:spacing w:val="-13"/>
          <w:vertAlign w:val="baseline"/>
        </w:rPr>
        <w:t> </w:t>
      </w:r>
      <w:r>
        <w:rPr>
          <w:vertAlign w:val="baseline"/>
        </w:rPr>
        <w:t>Despite</w:t>
      </w:r>
      <w:r>
        <w:rPr>
          <w:spacing w:val="-1"/>
          <w:vertAlign w:val="baseline"/>
        </w:rPr>
        <w:t> </w:t>
      </w:r>
      <w:r>
        <w:rPr>
          <w:vertAlign w:val="baseline"/>
        </w:rPr>
        <w:t>concerns that</w:t>
      </w:r>
      <w:r>
        <w:rPr>
          <w:spacing w:val="-1"/>
          <w:vertAlign w:val="baseline"/>
        </w:rPr>
        <w:t> </w:t>
      </w:r>
      <w:r>
        <w:rPr>
          <w:vertAlign w:val="baseline"/>
        </w:rPr>
        <w:t>telehealth could raise healthcare costs and claims by insurance companies that telehealth lowers costs, preliminary</w:t>
      </w:r>
      <w:r>
        <w:rPr>
          <w:spacing w:val="-3"/>
          <w:vertAlign w:val="baseline"/>
        </w:rPr>
        <w:t> </w:t>
      </w:r>
      <w:r>
        <w:rPr>
          <w:vertAlign w:val="baseline"/>
        </w:rPr>
        <w:t>research</w:t>
      </w:r>
      <w:r>
        <w:rPr>
          <w:spacing w:val="-5"/>
          <w:vertAlign w:val="baseline"/>
        </w:rPr>
        <w:t> </w:t>
      </w:r>
      <w:r>
        <w:rPr>
          <w:vertAlign w:val="baseline"/>
        </w:rPr>
        <w:t>shows</w:t>
      </w:r>
      <w:r>
        <w:rPr>
          <w:spacing w:val="-4"/>
          <w:vertAlign w:val="baseline"/>
        </w:rPr>
        <w:t> </w:t>
      </w:r>
      <w:r>
        <w:rPr>
          <w:vertAlign w:val="baseline"/>
        </w:rPr>
        <w:t>that</w:t>
      </w:r>
      <w:r>
        <w:rPr>
          <w:spacing w:val="-4"/>
          <w:vertAlign w:val="baseline"/>
        </w:rPr>
        <w:t> </w:t>
      </w:r>
      <w:r>
        <w:rPr>
          <w:vertAlign w:val="baseline"/>
        </w:rPr>
        <w:t>telehealth</w:t>
      </w:r>
      <w:r>
        <w:rPr>
          <w:spacing w:val="-5"/>
          <w:vertAlign w:val="baseline"/>
        </w:rPr>
        <w:t> </w:t>
      </w:r>
      <w:r>
        <w:rPr>
          <w:vertAlign w:val="baseline"/>
        </w:rPr>
        <w:t>is</w:t>
      </w:r>
      <w:r>
        <w:rPr>
          <w:spacing w:val="-3"/>
          <w:vertAlign w:val="baseline"/>
        </w:rPr>
        <w:t> </w:t>
      </w:r>
      <w:r>
        <w:rPr>
          <w:vertAlign w:val="baseline"/>
        </w:rPr>
        <w:t>cost-neutral</w:t>
      </w:r>
      <w:r>
        <w:rPr>
          <w:spacing w:val="-5"/>
          <w:vertAlign w:val="baseline"/>
        </w:rPr>
        <w:t> </w:t>
      </w:r>
      <w:r>
        <w:rPr>
          <w:vertAlign w:val="baseline"/>
        </w:rPr>
        <w:t>in</w:t>
      </w:r>
      <w:r>
        <w:rPr>
          <w:spacing w:val="-4"/>
          <w:vertAlign w:val="baseline"/>
        </w:rPr>
        <w:t> </w:t>
      </w:r>
      <w:r>
        <w:rPr>
          <w:vertAlign w:val="baseline"/>
        </w:rPr>
        <w:t>that</w:t>
      </w:r>
      <w:r>
        <w:rPr>
          <w:spacing w:val="-4"/>
          <w:vertAlign w:val="baseline"/>
        </w:rPr>
        <w:t> </w:t>
      </w:r>
      <w:r>
        <w:rPr>
          <w:vertAlign w:val="baseline"/>
        </w:rPr>
        <w:t>it</w:t>
      </w:r>
      <w:r>
        <w:rPr>
          <w:spacing w:val="-4"/>
          <w:vertAlign w:val="baseline"/>
        </w:rPr>
        <w:t> </w:t>
      </w:r>
      <w:r>
        <w:rPr>
          <w:vertAlign w:val="baseline"/>
        </w:rPr>
        <w:t>does</w:t>
      </w:r>
      <w:r>
        <w:rPr>
          <w:spacing w:val="-4"/>
          <w:vertAlign w:val="baseline"/>
        </w:rPr>
        <w:t> </w:t>
      </w:r>
      <w:r>
        <w:rPr>
          <w:vertAlign w:val="baseline"/>
        </w:rPr>
        <w:t>not</w:t>
      </w:r>
      <w:r>
        <w:rPr>
          <w:spacing w:val="-5"/>
          <w:vertAlign w:val="baseline"/>
        </w:rPr>
        <w:t> </w:t>
      </w:r>
      <w:r>
        <w:rPr>
          <w:vertAlign w:val="baseline"/>
        </w:rPr>
        <w:t>reduce</w:t>
      </w:r>
      <w:r>
        <w:rPr>
          <w:spacing w:val="-4"/>
          <w:vertAlign w:val="baseline"/>
        </w:rPr>
        <w:t> </w:t>
      </w:r>
      <w:r>
        <w:rPr>
          <w:vertAlign w:val="baseline"/>
        </w:rPr>
        <w:t>operating</w:t>
      </w:r>
      <w:r>
        <w:rPr>
          <w:spacing w:val="-5"/>
          <w:vertAlign w:val="baseline"/>
        </w:rPr>
        <w:t> </w:t>
      </w:r>
      <w:r>
        <w:rPr>
          <w:vertAlign w:val="baseline"/>
        </w:rPr>
        <w:t>costs.</w:t>
      </w:r>
      <w:r>
        <w:rPr>
          <w:vertAlign w:val="superscript"/>
        </w:rPr>
        <w:t>42</w:t>
      </w:r>
    </w:p>
    <w:p>
      <w:pPr>
        <w:spacing w:before="240"/>
        <w:ind w:left="464" w:right="0" w:firstLine="0"/>
        <w:jc w:val="both"/>
        <w:rPr>
          <w:sz w:val="28"/>
        </w:rPr>
      </w:pPr>
      <w:bookmarkStart w:name="Health Care Access and Quality" w:id="356"/>
      <w:bookmarkEnd w:id="356"/>
      <w:r>
        <w:rPr/>
      </w:r>
      <w:r>
        <w:rPr>
          <w:color w:val="365F91"/>
          <w:sz w:val="28"/>
        </w:rPr>
        <w:t>Health</w:t>
      </w:r>
      <w:r>
        <w:rPr>
          <w:color w:val="365F91"/>
          <w:spacing w:val="-9"/>
          <w:sz w:val="28"/>
        </w:rPr>
        <w:t> </w:t>
      </w:r>
      <w:r>
        <w:rPr>
          <w:color w:val="365F91"/>
          <w:sz w:val="28"/>
        </w:rPr>
        <w:t>Care</w:t>
      </w:r>
      <w:r>
        <w:rPr>
          <w:color w:val="365F91"/>
          <w:spacing w:val="-8"/>
          <w:sz w:val="28"/>
        </w:rPr>
        <w:t> </w:t>
      </w:r>
      <w:r>
        <w:rPr>
          <w:color w:val="365F91"/>
          <w:sz w:val="28"/>
        </w:rPr>
        <w:t>Access</w:t>
      </w:r>
      <w:r>
        <w:rPr>
          <w:color w:val="365F91"/>
          <w:spacing w:val="-7"/>
          <w:sz w:val="28"/>
        </w:rPr>
        <w:t> </w:t>
      </w:r>
      <w:r>
        <w:rPr>
          <w:color w:val="365F91"/>
          <w:sz w:val="28"/>
        </w:rPr>
        <w:t>and</w:t>
      </w:r>
      <w:r>
        <w:rPr>
          <w:color w:val="365F91"/>
          <w:spacing w:val="-9"/>
          <w:sz w:val="28"/>
        </w:rPr>
        <w:t> </w:t>
      </w:r>
      <w:r>
        <w:rPr>
          <w:color w:val="365F91"/>
          <w:spacing w:val="-2"/>
          <w:sz w:val="28"/>
        </w:rPr>
        <w:t>Quality</w:t>
      </w:r>
    </w:p>
    <w:p>
      <w:pPr>
        <w:pStyle w:val="BodyText"/>
        <w:spacing w:line="276" w:lineRule="auto" w:before="292"/>
        <w:ind w:left="463" w:right="242"/>
        <w:jc w:val="both"/>
      </w:pPr>
      <w:r>
        <w:rPr/>
        <w:t>Access to competent, culturally sensitive healthcare remains a pressing issue for LGBTQ youth.</w:t>
      </w:r>
      <w:r>
        <w:rPr>
          <w:vertAlign w:val="superscript"/>
        </w:rPr>
        <w:t>43,44</w:t>
      </w:r>
      <w:r>
        <w:rPr>
          <w:vertAlign w:val="baseline"/>
        </w:rPr>
        <w:t> Many healthcare providers do not feel informed about the specific health needs of the LGBTQ community,</w:t>
      </w:r>
      <w:r>
        <w:rPr>
          <w:vertAlign w:val="superscript"/>
        </w:rPr>
        <w:t>45</w:t>
      </w:r>
      <w:r>
        <w:rPr>
          <w:spacing w:val="-9"/>
          <w:vertAlign w:val="baseline"/>
        </w:rPr>
        <w:t> </w:t>
      </w:r>
      <w:r>
        <w:rPr>
          <w:vertAlign w:val="baseline"/>
        </w:rPr>
        <w:t>and</w:t>
      </w:r>
      <w:r>
        <w:rPr>
          <w:spacing w:val="-2"/>
          <w:vertAlign w:val="baseline"/>
        </w:rPr>
        <w:t> </w:t>
      </w:r>
      <w:r>
        <w:rPr>
          <w:vertAlign w:val="baseline"/>
        </w:rPr>
        <w:t>report</w:t>
      </w:r>
      <w:r>
        <w:rPr>
          <w:spacing w:val="-2"/>
          <w:vertAlign w:val="baseline"/>
        </w:rPr>
        <w:t> </w:t>
      </w:r>
      <w:r>
        <w:rPr>
          <w:vertAlign w:val="baseline"/>
        </w:rPr>
        <w:t>receiving</w:t>
      </w:r>
      <w:r>
        <w:rPr>
          <w:spacing w:val="-3"/>
          <w:vertAlign w:val="baseline"/>
        </w:rPr>
        <w:t> </w:t>
      </w:r>
      <w:r>
        <w:rPr>
          <w:vertAlign w:val="baseline"/>
        </w:rPr>
        <w:t>little</w:t>
      </w:r>
      <w:r>
        <w:rPr>
          <w:spacing w:val="-2"/>
          <w:vertAlign w:val="baseline"/>
        </w:rPr>
        <w:t> </w:t>
      </w:r>
      <w:r>
        <w:rPr>
          <w:vertAlign w:val="baseline"/>
        </w:rPr>
        <w:t>to</w:t>
      </w:r>
      <w:r>
        <w:rPr>
          <w:spacing w:val="-1"/>
          <w:vertAlign w:val="baseline"/>
        </w:rPr>
        <w:t> </w:t>
      </w:r>
      <w:r>
        <w:rPr>
          <w:vertAlign w:val="baseline"/>
        </w:rPr>
        <w:t>no</w:t>
      </w:r>
      <w:r>
        <w:rPr>
          <w:spacing w:val="-2"/>
          <w:vertAlign w:val="baseline"/>
        </w:rPr>
        <w:t> </w:t>
      </w:r>
      <w:r>
        <w:rPr>
          <w:vertAlign w:val="baseline"/>
        </w:rPr>
        <w:t>training</w:t>
      </w:r>
      <w:r>
        <w:rPr>
          <w:spacing w:val="-3"/>
          <w:vertAlign w:val="baseline"/>
        </w:rPr>
        <w:t> </w:t>
      </w:r>
      <w:r>
        <w:rPr>
          <w:vertAlign w:val="baseline"/>
        </w:rPr>
        <w:t>on</w:t>
      </w:r>
      <w:r>
        <w:rPr>
          <w:spacing w:val="-2"/>
          <w:vertAlign w:val="baseline"/>
        </w:rPr>
        <w:t> </w:t>
      </w:r>
      <w:r>
        <w:rPr>
          <w:vertAlign w:val="baseline"/>
        </w:rPr>
        <w:t>the</w:t>
      </w:r>
      <w:r>
        <w:rPr>
          <w:spacing w:val="-2"/>
          <w:vertAlign w:val="baseline"/>
        </w:rPr>
        <w:t> </w:t>
      </w:r>
      <w:r>
        <w:rPr>
          <w:vertAlign w:val="baseline"/>
        </w:rPr>
        <w:t>topic</w:t>
      </w:r>
      <w:r>
        <w:rPr>
          <w:spacing w:val="-3"/>
          <w:vertAlign w:val="baseline"/>
        </w:rPr>
        <w:t> </w:t>
      </w:r>
      <w:r>
        <w:rPr>
          <w:vertAlign w:val="baseline"/>
        </w:rPr>
        <w:t>of</w:t>
      </w:r>
      <w:r>
        <w:rPr>
          <w:spacing w:val="-2"/>
          <w:vertAlign w:val="baseline"/>
        </w:rPr>
        <w:t> </w:t>
      </w:r>
      <w:r>
        <w:rPr>
          <w:vertAlign w:val="baseline"/>
        </w:rPr>
        <w:t>LGBTQ</w:t>
      </w:r>
      <w:r>
        <w:rPr>
          <w:spacing w:val="-3"/>
          <w:vertAlign w:val="baseline"/>
        </w:rPr>
        <w:t> </w:t>
      </w:r>
      <w:r>
        <w:rPr>
          <w:vertAlign w:val="baseline"/>
        </w:rPr>
        <w:t>youth.</w:t>
      </w:r>
      <w:r>
        <w:rPr>
          <w:vertAlign w:val="superscript"/>
        </w:rPr>
        <w:t>46</w:t>
      </w:r>
      <w:r>
        <w:rPr>
          <w:spacing w:val="-13"/>
          <w:vertAlign w:val="baseline"/>
        </w:rPr>
        <w:t> </w:t>
      </w:r>
      <w:r>
        <w:rPr>
          <w:vertAlign w:val="baseline"/>
        </w:rPr>
        <w:t>A</w:t>
      </w:r>
      <w:r>
        <w:rPr>
          <w:spacing w:val="-2"/>
          <w:vertAlign w:val="baseline"/>
        </w:rPr>
        <w:t> </w:t>
      </w:r>
      <w:r>
        <w:rPr>
          <w:vertAlign w:val="baseline"/>
        </w:rPr>
        <w:t>2021</w:t>
      </w:r>
      <w:r>
        <w:rPr>
          <w:spacing w:val="-3"/>
          <w:vertAlign w:val="baseline"/>
        </w:rPr>
        <w:t> </w:t>
      </w:r>
      <w:r>
        <w:rPr>
          <w:vertAlign w:val="baseline"/>
        </w:rPr>
        <w:t>from</w:t>
      </w:r>
      <w:r>
        <w:rPr>
          <w:spacing w:val="-2"/>
          <w:vertAlign w:val="baseline"/>
        </w:rPr>
        <w:t> </w:t>
      </w:r>
      <w:r>
        <w:rPr>
          <w:vertAlign w:val="baseline"/>
        </w:rPr>
        <w:t>the Center for American Progress noted that, in the last year, one-third of transgender respondents reported having to teach their doctor about transgender people in order to receive adequate care.</w:t>
      </w:r>
      <w:r>
        <w:rPr>
          <w:vertAlign w:val="superscript"/>
        </w:rPr>
        <w:t>47</w:t>
      </w:r>
    </w:p>
    <w:p>
      <w:pPr>
        <w:pStyle w:val="BodyText"/>
        <w:spacing w:line="276" w:lineRule="auto" w:before="240"/>
        <w:ind w:left="463" w:right="4173" w:firstLine="14"/>
        <w:jc w:val="both"/>
      </w:pPr>
      <w:r>
        <w:rPr/>
        <w:drawing>
          <wp:anchor distT="0" distB="0" distL="0" distR="0" allowOverlap="1" layoutInCell="1" locked="0" behindDoc="0" simplePos="0" relativeHeight="15772160">
            <wp:simplePos x="0" y="0"/>
            <wp:positionH relativeFrom="page">
              <wp:posOffset>4361813</wp:posOffset>
            </wp:positionH>
            <wp:positionV relativeFrom="paragraph">
              <wp:posOffset>301923</wp:posOffset>
            </wp:positionV>
            <wp:extent cx="2496184" cy="2496184"/>
            <wp:effectExtent l="0" t="0" r="0" b="0"/>
            <wp:wrapNone/>
            <wp:docPr id="265" name="Image 265"/>
            <wp:cNvGraphicFramePr>
              <a:graphicFrameLocks/>
            </wp:cNvGraphicFramePr>
            <a:graphic>
              <a:graphicData uri="http://schemas.openxmlformats.org/drawingml/2006/picture">
                <pic:pic>
                  <pic:nvPicPr>
                    <pic:cNvPr id="265" name="Image 265"/>
                    <pic:cNvPicPr/>
                  </pic:nvPicPr>
                  <pic:blipFill>
                    <a:blip r:embed="rId278" cstate="print"/>
                    <a:stretch>
                      <a:fillRect/>
                    </a:stretch>
                  </pic:blipFill>
                  <pic:spPr>
                    <a:xfrm>
                      <a:off x="0" y="0"/>
                      <a:ext cx="2496184" cy="2496184"/>
                    </a:xfrm>
                    <a:prstGeom prst="rect">
                      <a:avLst/>
                    </a:prstGeom>
                  </pic:spPr>
                </pic:pic>
              </a:graphicData>
            </a:graphic>
          </wp:anchor>
        </w:drawing>
      </w:r>
      <w:r>
        <w:rPr/>
        <w:t>In addition to primary care, LGBTQ youth also struggle to access critical mental health care. In 2016, the American Psychological Association reported that most states had less than half the necessary number of public psychiatry beds, and that only 21% of children and adolescents received necessary mental health care due to a lack of mental health facilities.</w:t>
      </w:r>
      <w:r>
        <w:rPr>
          <w:vertAlign w:val="superscript"/>
        </w:rPr>
        <w:t>48</w:t>
      </w:r>
      <w:r>
        <w:rPr>
          <w:vertAlign w:val="baseline"/>
        </w:rPr>
        <w:t> The report detailed youth waiting in emergency rooms until inpatient psychiatric beds become available, the shortage of psychiatric care for youth in general, and how these system deficits leave many</w:t>
      </w:r>
      <w:r>
        <w:rPr>
          <w:spacing w:val="-8"/>
          <w:vertAlign w:val="baseline"/>
        </w:rPr>
        <w:t> </w:t>
      </w:r>
      <w:r>
        <w:rPr>
          <w:vertAlign w:val="baseline"/>
        </w:rPr>
        <w:t>youths</w:t>
      </w:r>
      <w:r>
        <w:rPr>
          <w:spacing w:val="-6"/>
          <w:vertAlign w:val="baseline"/>
        </w:rPr>
        <w:t> </w:t>
      </w:r>
      <w:r>
        <w:rPr>
          <w:vertAlign w:val="baseline"/>
        </w:rPr>
        <w:t>untreated</w:t>
      </w:r>
      <w:r>
        <w:rPr>
          <w:spacing w:val="-7"/>
          <w:vertAlign w:val="baseline"/>
        </w:rPr>
        <w:t> </w:t>
      </w:r>
      <w:r>
        <w:rPr>
          <w:vertAlign w:val="baseline"/>
        </w:rPr>
        <w:t>and</w:t>
      </w:r>
      <w:r>
        <w:rPr>
          <w:spacing w:val="-9"/>
          <w:vertAlign w:val="baseline"/>
        </w:rPr>
        <w:t> </w:t>
      </w:r>
      <w:r>
        <w:rPr>
          <w:vertAlign w:val="baseline"/>
        </w:rPr>
        <w:t>families</w:t>
      </w:r>
      <w:r>
        <w:rPr>
          <w:spacing w:val="-8"/>
          <w:vertAlign w:val="baseline"/>
        </w:rPr>
        <w:t> </w:t>
      </w:r>
      <w:r>
        <w:rPr>
          <w:vertAlign w:val="baseline"/>
        </w:rPr>
        <w:t>without</w:t>
      </w:r>
      <w:r>
        <w:rPr>
          <w:spacing w:val="-8"/>
          <w:vertAlign w:val="baseline"/>
        </w:rPr>
        <w:t> </w:t>
      </w:r>
      <w:r>
        <w:rPr>
          <w:vertAlign w:val="baseline"/>
        </w:rPr>
        <w:t>help.</w:t>
      </w:r>
      <w:r>
        <w:rPr>
          <w:spacing w:val="-8"/>
          <w:vertAlign w:val="baseline"/>
        </w:rPr>
        <w:t> </w:t>
      </w:r>
      <w:r>
        <w:rPr>
          <w:vertAlign w:val="baseline"/>
        </w:rPr>
        <w:t>Adding to the crisis, the demand for psychiatric beds increased sharply during the COVID-19 pandemic. </w:t>
      </w:r>
      <w:r>
        <w:rPr>
          <w:vertAlign w:val="superscript"/>
        </w:rPr>
        <w:t>49</w:t>
      </w:r>
      <w:r>
        <w:rPr>
          <w:vertAlign w:val="baseline"/>
        </w:rPr>
        <w:t> This issue is especially</w:t>
      </w:r>
      <w:r>
        <w:rPr>
          <w:spacing w:val="-8"/>
          <w:vertAlign w:val="baseline"/>
        </w:rPr>
        <w:t> </w:t>
      </w:r>
      <w:r>
        <w:rPr>
          <w:vertAlign w:val="baseline"/>
        </w:rPr>
        <w:t>pressing</w:t>
      </w:r>
      <w:r>
        <w:rPr>
          <w:spacing w:val="-8"/>
          <w:vertAlign w:val="baseline"/>
        </w:rPr>
        <w:t> </w:t>
      </w:r>
      <w:r>
        <w:rPr>
          <w:vertAlign w:val="baseline"/>
        </w:rPr>
        <w:t>for</w:t>
      </w:r>
      <w:r>
        <w:rPr>
          <w:spacing w:val="-7"/>
          <w:vertAlign w:val="baseline"/>
        </w:rPr>
        <w:t> </w:t>
      </w:r>
      <w:r>
        <w:rPr>
          <w:vertAlign w:val="baseline"/>
        </w:rPr>
        <w:t>LGBTQ</w:t>
      </w:r>
      <w:r>
        <w:rPr>
          <w:spacing w:val="-8"/>
          <w:vertAlign w:val="baseline"/>
        </w:rPr>
        <w:t> </w:t>
      </w:r>
      <w:r>
        <w:rPr>
          <w:vertAlign w:val="baseline"/>
        </w:rPr>
        <w:t>youth,</w:t>
      </w:r>
      <w:r>
        <w:rPr>
          <w:spacing w:val="-8"/>
          <w:vertAlign w:val="baseline"/>
        </w:rPr>
        <w:t> </w:t>
      </w:r>
      <w:r>
        <w:rPr>
          <w:vertAlign w:val="baseline"/>
        </w:rPr>
        <w:t>who</w:t>
      </w:r>
      <w:r>
        <w:rPr>
          <w:spacing w:val="-6"/>
          <w:vertAlign w:val="baseline"/>
        </w:rPr>
        <w:t> </w:t>
      </w:r>
      <w:r>
        <w:rPr>
          <w:vertAlign w:val="baseline"/>
        </w:rPr>
        <w:t>are</w:t>
      </w:r>
      <w:r>
        <w:rPr>
          <w:spacing w:val="-8"/>
          <w:vertAlign w:val="baseline"/>
        </w:rPr>
        <w:t> </w:t>
      </w:r>
      <w:r>
        <w:rPr>
          <w:spacing w:val="-2"/>
          <w:vertAlign w:val="baseline"/>
        </w:rPr>
        <w:t>significantly</w:t>
      </w:r>
    </w:p>
    <w:p>
      <w:pPr>
        <w:pStyle w:val="BodyText"/>
        <w:spacing w:line="276" w:lineRule="auto"/>
        <w:ind w:left="464" w:right="243"/>
        <w:jc w:val="both"/>
      </w:pPr>
      <w:r>
        <w:rPr/>
        <w:t>more</w:t>
      </w:r>
      <w:r>
        <w:rPr>
          <w:spacing w:val="-5"/>
        </w:rPr>
        <w:t> </w:t>
      </w:r>
      <w:r>
        <w:rPr/>
        <w:t>likely to attempt suicide than their heterosexual peers,</w:t>
      </w:r>
      <w:r>
        <w:rPr>
          <w:vertAlign w:val="superscript"/>
        </w:rPr>
        <w:t>50</w:t>
      </w:r>
      <w:r>
        <w:rPr>
          <w:spacing w:val="-13"/>
          <w:vertAlign w:val="baseline"/>
        </w:rPr>
        <w:t> </w:t>
      </w:r>
      <w:r>
        <w:rPr>
          <w:vertAlign w:val="baseline"/>
        </w:rPr>
        <w:t>and transgender and intersex youth in particular, who face unique risk factors that lead to an increased risk of suicide.</w:t>
      </w:r>
      <w:r>
        <w:rPr>
          <w:vertAlign w:val="superscript"/>
        </w:rPr>
        <w:t>51</w:t>
      </w:r>
    </w:p>
    <w:p>
      <w:pPr>
        <w:pStyle w:val="BodyText"/>
        <w:spacing w:line="276" w:lineRule="auto" w:before="240"/>
        <w:ind w:left="463" w:right="242" w:firstLine="14"/>
        <w:jc w:val="both"/>
      </w:pPr>
      <w:r>
        <w:rPr/>
        <w:t>Despite the illegality of automatic, categorical exclusions of transgender care,</w:t>
      </w:r>
      <w:r>
        <w:rPr>
          <w:vertAlign w:val="superscript"/>
        </w:rPr>
        <w:t>52</w:t>
      </w:r>
      <w:r>
        <w:rPr>
          <w:spacing w:val="-8"/>
          <w:vertAlign w:val="baseline"/>
        </w:rPr>
        <w:t> </w:t>
      </w:r>
      <w:r>
        <w:rPr>
          <w:vertAlign w:val="baseline"/>
        </w:rPr>
        <w:t>many LGBTQ youth and caregivers report experiencing insurance exclusions when accessing care.</w:t>
      </w:r>
      <w:r>
        <w:rPr>
          <w:vertAlign w:val="superscript"/>
        </w:rPr>
        <w:t>53</w:t>
      </w:r>
      <w:r>
        <w:rPr>
          <w:spacing w:val="-12"/>
          <w:vertAlign w:val="baseline"/>
        </w:rPr>
        <w:t> </w:t>
      </w:r>
      <w:r>
        <w:rPr>
          <w:vertAlign w:val="baseline"/>
        </w:rPr>
        <w:t>A 2019 Pennsylvania study found that 47% of surveyed insurance plans contained at least one transgender-specific exclusion</w:t>
      </w:r>
      <w:r>
        <w:rPr>
          <w:spacing w:val="-13"/>
          <w:vertAlign w:val="baseline"/>
        </w:rPr>
        <w:t> </w:t>
      </w:r>
      <w:r>
        <w:rPr>
          <w:vertAlign w:val="baseline"/>
        </w:rPr>
        <w:t>policy,</w:t>
      </w:r>
      <w:r>
        <w:rPr>
          <w:spacing w:val="-12"/>
          <w:vertAlign w:val="baseline"/>
        </w:rPr>
        <w:t> </w:t>
      </w:r>
      <w:r>
        <w:rPr>
          <w:vertAlign w:val="baseline"/>
        </w:rPr>
        <w:t>and</w:t>
      </w:r>
      <w:r>
        <w:rPr>
          <w:spacing w:val="-13"/>
          <w:vertAlign w:val="baseline"/>
        </w:rPr>
        <w:t> </w:t>
      </w:r>
      <w:r>
        <w:rPr>
          <w:vertAlign w:val="baseline"/>
        </w:rPr>
        <w:t>33%</w:t>
      </w:r>
      <w:r>
        <w:rPr>
          <w:spacing w:val="-12"/>
          <w:vertAlign w:val="baseline"/>
        </w:rPr>
        <w:t> </w:t>
      </w:r>
      <w:r>
        <w:rPr>
          <w:vertAlign w:val="baseline"/>
        </w:rPr>
        <w:t>flagged</w:t>
      </w:r>
      <w:r>
        <w:rPr>
          <w:spacing w:val="-13"/>
          <w:vertAlign w:val="baseline"/>
        </w:rPr>
        <w:t> </w:t>
      </w:r>
      <w:r>
        <w:rPr>
          <w:vertAlign w:val="baseline"/>
        </w:rPr>
        <w:t>or</w:t>
      </w:r>
      <w:r>
        <w:rPr>
          <w:spacing w:val="-12"/>
          <w:vertAlign w:val="baseline"/>
        </w:rPr>
        <w:t> </w:t>
      </w:r>
      <w:r>
        <w:rPr>
          <w:vertAlign w:val="baseline"/>
        </w:rPr>
        <w:t>denied</w:t>
      </w:r>
      <w:r>
        <w:rPr>
          <w:spacing w:val="-13"/>
          <w:vertAlign w:val="baseline"/>
        </w:rPr>
        <w:t> </w:t>
      </w:r>
      <w:r>
        <w:rPr>
          <w:vertAlign w:val="baseline"/>
        </w:rPr>
        <w:t>coverage</w:t>
      </w:r>
      <w:r>
        <w:rPr>
          <w:spacing w:val="-12"/>
          <w:vertAlign w:val="baseline"/>
        </w:rPr>
        <w:t> </w:t>
      </w:r>
      <w:r>
        <w:rPr>
          <w:vertAlign w:val="baseline"/>
        </w:rPr>
        <w:t>based</w:t>
      </w:r>
      <w:r>
        <w:rPr>
          <w:spacing w:val="-12"/>
          <w:vertAlign w:val="baseline"/>
        </w:rPr>
        <w:t> </w:t>
      </w:r>
      <w:r>
        <w:rPr>
          <w:vertAlign w:val="baseline"/>
        </w:rPr>
        <w:t>on</w:t>
      </w:r>
      <w:r>
        <w:rPr>
          <w:spacing w:val="-13"/>
          <w:vertAlign w:val="baseline"/>
        </w:rPr>
        <w:t> </w:t>
      </w:r>
      <w:r>
        <w:rPr>
          <w:vertAlign w:val="baseline"/>
        </w:rPr>
        <w:t>gender</w:t>
      </w:r>
      <w:r>
        <w:rPr>
          <w:spacing w:val="-12"/>
          <w:vertAlign w:val="baseline"/>
        </w:rPr>
        <w:t> </w:t>
      </w:r>
      <w:r>
        <w:rPr>
          <w:vertAlign w:val="baseline"/>
        </w:rPr>
        <w:t>markers.</w:t>
      </w:r>
      <w:r>
        <w:rPr>
          <w:vertAlign w:val="superscript"/>
        </w:rPr>
        <w:t>54</w:t>
      </w:r>
      <w:r>
        <w:rPr>
          <w:spacing w:val="-13"/>
          <w:vertAlign w:val="baseline"/>
        </w:rPr>
        <w:t> </w:t>
      </w:r>
      <w:r>
        <w:rPr>
          <w:vertAlign w:val="baseline"/>
        </w:rPr>
        <w:t>More</w:t>
      </w:r>
      <w:r>
        <w:rPr>
          <w:spacing w:val="-12"/>
          <w:vertAlign w:val="baseline"/>
        </w:rPr>
        <w:t> </w:t>
      </w:r>
      <w:r>
        <w:rPr>
          <w:vertAlign w:val="baseline"/>
        </w:rPr>
        <w:t>research</w:t>
      </w:r>
      <w:r>
        <w:rPr>
          <w:spacing w:val="-13"/>
          <w:vertAlign w:val="baseline"/>
        </w:rPr>
        <w:t> </w:t>
      </w:r>
      <w:r>
        <w:rPr>
          <w:vertAlign w:val="baseline"/>
        </w:rPr>
        <w:t>needs to be done to examine how LGBTQ youth in Massachusetts are being impacted, and what additional insurance barriers exist beyond exclusions, such as prior authorizations and denials.</w:t>
      </w:r>
    </w:p>
    <w:p>
      <w:pPr>
        <w:pStyle w:val="BodyText"/>
        <w:spacing w:line="276" w:lineRule="auto" w:before="240"/>
        <w:ind w:left="463" w:right="241"/>
        <w:jc w:val="both"/>
      </w:pPr>
      <w:r>
        <w:rPr/>
        <w:t>Further barriers in Massachusetts include safety in healthcare facilities. In the last several years, security</w:t>
      </w:r>
      <w:r>
        <w:rPr>
          <w:spacing w:val="15"/>
        </w:rPr>
        <w:t> </w:t>
      </w:r>
      <w:r>
        <w:rPr/>
        <w:t>has</w:t>
      </w:r>
      <w:r>
        <w:rPr>
          <w:spacing w:val="16"/>
        </w:rPr>
        <w:t> </w:t>
      </w:r>
      <w:r>
        <w:rPr/>
        <w:t>emerged</w:t>
      </w:r>
      <w:r>
        <w:rPr>
          <w:spacing w:val="14"/>
        </w:rPr>
        <w:t> </w:t>
      </w:r>
      <w:r>
        <w:rPr/>
        <w:t>as</w:t>
      </w:r>
      <w:r>
        <w:rPr>
          <w:spacing w:val="16"/>
        </w:rPr>
        <w:t> </w:t>
      </w:r>
      <w:r>
        <w:rPr/>
        <w:t>a</w:t>
      </w:r>
      <w:r>
        <w:rPr>
          <w:spacing w:val="14"/>
        </w:rPr>
        <w:t> </w:t>
      </w:r>
      <w:r>
        <w:rPr/>
        <w:t>serious</w:t>
      </w:r>
      <w:r>
        <w:rPr>
          <w:spacing w:val="14"/>
        </w:rPr>
        <w:t> </w:t>
      </w:r>
      <w:r>
        <w:rPr/>
        <w:t>threat</w:t>
      </w:r>
      <w:r>
        <w:rPr>
          <w:spacing w:val="14"/>
        </w:rPr>
        <w:t> </w:t>
      </w:r>
      <w:r>
        <w:rPr/>
        <w:t>to</w:t>
      </w:r>
      <w:r>
        <w:rPr>
          <w:spacing w:val="16"/>
        </w:rPr>
        <w:t> </w:t>
      </w:r>
      <w:r>
        <w:rPr/>
        <w:t>pediatric</w:t>
      </w:r>
      <w:r>
        <w:rPr>
          <w:spacing w:val="14"/>
        </w:rPr>
        <w:t> </w:t>
      </w:r>
      <w:r>
        <w:rPr/>
        <w:t>gender-affirming</w:t>
      </w:r>
      <w:r>
        <w:rPr>
          <w:spacing w:val="15"/>
        </w:rPr>
        <w:t> </w:t>
      </w:r>
      <w:r>
        <w:rPr/>
        <w:t>care</w:t>
      </w:r>
      <w:r>
        <w:rPr>
          <w:spacing w:val="15"/>
        </w:rPr>
        <w:t> </w:t>
      </w:r>
      <w:r>
        <w:rPr/>
        <w:t>spaces.</w:t>
      </w:r>
      <w:r>
        <w:rPr>
          <w:spacing w:val="15"/>
        </w:rPr>
        <w:t> </w:t>
      </w:r>
      <w:r>
        <w:rPr/>
        <w:t>In</w:t>
      </w:r>
      <w:r>
        <w:rPr>
          <w:spacing w:val="14"/>
        </w:rPr>
        <w:t> </w:t>
      </w:r>
      <w:r>
        <w:rPr/>
        <w:t>August</w:t>
      </w:r>
      <w:r>
        <w:rPr>
          <w:spacing w:val="14"/>
        </w:rPr>
        <w:t> </w:t>
      </w:r>
      <w:r>
        <w:rPr/>
        <w:t>2022,</w:t>
      </w:r>
    </w:p>
    <w:p>
      <w:pPr>
        <w:spacing w:after="0" w:line="276" w:lineRule="auto"/>
        <w:jc w:val="both"/>
        <w:sectPr>
          <w:pgSz w:w="12240" w:h="15840"/>
          <w:pgMar w:header="721" w:footer="1061" w:top="1360" w:bottom="1260" w:left="1120" w:right="1340"/>
        </w:sectPr>
      </w:pPr>
    </w:p>
    <w:p>
      <w:pPr>
        <w:pStyle w:val="BodyText"/>
        <w:spacing w:line="276" w:lineRule="auto" w:before="67"/>
        <w:ind w:left="463" w:right="240"/>
        <w:jc w:val="both"/>
      </w:pPr>
      <w:r>
        <w:rPr/>
        <w:t>Boston Children’s Hospital began receiving daily death threats, bomb threats, and hate mail because of a right-wing Twitter account that falsely accused the hospital of performing hysterectomies on children. </w:t>
      </w:r>
      <w:r>
        <w:rPr>
          <w:vertAlign w:val="superscript"/>
        </w:rPr>
        <w:t>55</w:t>
      </w:r>
      <w:r>
        <w:rPr>
          <w:spacing w:val="-11"/>
          <w:vertAlign w:val="baseline"/>
        </w:rPr>
        <w:t> </w:t>
      </w:r>
      <w:r>
        <w:rPr>
          <w:vertAlign w:val="baseline"/>
        </w:rPr>
        <w:t>Staff have reported feeling afraid to come to work and several staff members expressed concern that the threat of violence would deter clinicians from choosing to work in the field; despite the lack of continued media attention, the Commission understands from its own conversations with providers and advocates that the security threats have continued into 2023.</w:t>
      </w:r>
    </w:p>
    <w:p>
      <w:pPr>
        <w:pStyle w:val="BodyText"/>
        <w:spacing w:line="276" w:lineRule="auto" w:before="240"/>
        <w:ind w:left="463" w:right="240"/>
        <w:jc w:val="both"/>
      </w:pPr>
      <w:r>
        <w:rPr/>
        <mc:AlternateContent>
          <mc:Choice Requires="wps">
            <w:drawing>
              <wp:anchor distT="0" distB="0" distL="0" distR="0" allowOverlap="1" layoutInCell="1" locked="0" behindDoc="1" simplePos="0" relativeHeight="482594304">
                <wp:simplePos x="0" y="0"/>
                <wp:positionH relativeFrom="page">
                  <wp:posOffset>4751832</wp:posOffset>
                </wp:positionH>
                <wp:positionV relativeFrom="paragraph">
                  <wp:posOffset>937242</wp:posOffset>
                </wp:positionV>
                <wp:extent cx="18415" cy="170815"/>
                <wp:effectExtent l="0" t="0" r="0" b="0"/>
                <wp:wrapNone/>
                <wp:docPr id="266" name="Graphic 266"/>
                <wp:cNvGraphicFramePr>
                  <a:graphicFrameLocks/>
                </wp:cNvGraphicFramePr>
                <a:graphic>
                  <a:graphicData uri="http://schemas.microsoft.com/office/word/2010/wordprocessingShape">
                    <wps:wsp>
                      <wps:cNvPr id="266" name="Graphic 266"/>
                      <wps:cNvSpPr/>
                      <wps:spPr>
                        <a:xfrm>
                          <a:off x="0" y="0"/>
                          <a:ext cx="18415" cy="170815"/>
                        </a:xfrm>
                        <a:custGeom>
                          <a:avLst/>
                          <a:gdLst/>
                          <a:ahLst/>
                          <a:cxnLst/>
                          <a:rect l="l" t="t" r="r" b="b"/>
                          <a:pathLst>
                            <a:path w="18415" h="170815">
                              <a:moveTo>
                                <a:pt x="18287" y="0"/>
                              </a:moveTo>
                              <a:lnTo>
                                <a:pt x="0" y="0"/>
                              </a:lnTo>
                              <a:lnTo>
                                <a:pt x="0" y="170688"/>
                              </a:lnTo>
                              <a:lnTo>
                                <a:pt x="18287" y="170688"/>
                              </a:lnTo>
                              <a:lnTo>
                                <a:pt x="18287" y="0"/>
                              </a:lnTo>
                              <a:close/>
                            </a:path>
                          </a:pathLst>
                        </a:custGeom>
                        <a:solidFill>
                          <a:srgbClr val="FF9900"/>
                        </a:solidFill>
                      </wps:spPr>
                      <wps:bodyPr wrap="square" lIns="0" tIns="0" rIns="0" bIns="0" rtlCol="0">
                        <a:prstTxWarp prst="textNoShape">
                          <a:avLst/>
                        </a:prstTxWarp>
                        <a:noAutofit/>
                      </wps:bodyPr>
                    </wps:wsp>
                  </a:graphicData>
                </a:graphic>
              </wp:anchor>
            </w:drawing>
          </mc:Choice>
          <mc:Fallback>
            <w:pict>
              <v:rect style="position:absolute;margin-left:374.160004pt;margin-top:73.79863pt;width:1.44pt;height:13.44pt;mso-position-horizontal-relative:page;mso-position-vertical-relative:paragraph;z-index:-20722176" id="docshape212" filled="true" fillcolor="#ff9900" stroked="false">
                <v:fill type="solid"/>
                <w10:wrap type="none"/>
              </v:rect>
            </w:pict>
          </mc:Fallback>
        </mc:AlternateContent>
      </w:r>
      <w:r>
        <w:rPr/>
        <w:t>At every level - local, state, and federal - youth, families, educators, and providers have continued to endure online harassment and threats into 2024. As highlighted throughout this annual report, the rights of LGBTQ youth - particularly those who are BIPOC, trans and gender expansive - are under attack</w:t>
      </w:r>
      <w:r>
        <w:rPr>
          <w:spacing w:val="-8"/>
        </w:rPr>
        <w:t> </w:t>
      </w:r>
      <w:r>
        <w:rPr/>
        <w:t>across</w:t>
      </w:r>
      <w:r>
        <w:rPr>
          <w:spacing w:val="-9"/>
        </w:rPr>
        <w:t> </w:t>
      </w:r>
      <w:r>
        <w:rPr/>
        <w:t>the</w:t>
      </w:r>
      <w:r>
        <w:rPr>
          <w:spacing w:val="-8"/>
        </w:rPr>
        <w:t> </w:t>
      </w:r>
      <w:r>
        <w:rPr/>
        <w:t>country,</w:t>
      </w:r>
      <w:r>
        <w:rPr>
          <w:spacing w:val="-6"/>
        </w:rPr>
        <w:t> </w:t>
      </w:r>
      <w:r>
        <w:rPr/>
        <w:t>and</w:t>
      </w:r>
      <w:r>
        <w:rPr>
          <w:spacing w:val="-8"/>
        </w:rPr>
        <w:t> </w:t>
      </w:r>
      <w:r>
        <w:rPr/>
        <w:t>even</w:t>
      </w:r>
      <w:r>
        <w:rPr>
          <w:spacing w:val="-8"/>
        </w:rPr>
        <w:t> </w:t>
      </w:r>
      <w:r>
        <w:rPr/>
        <w:t>in</w:t>
      </w:r>
      <w:r>
        <w:rPr>
          <w:spacing w:val="-7"/>
        </w:rPr>
        <w:t> </w:t>
      </w:r>
      <w:r>
        <w:rPr/>
        <w:t>Massachusetts.</w:t>
      </w:r>
      <w:r>
        <w:rPr>
          <w:spacing w:val="-8"/>
        </w:rPr>
        <w:t> </w:t>
      </w:r>
      <w:r>
        <w:rPr>
          <w:color w:val="000000"/>
          <w:highlight w:val="magenta"/>
        </w:rPr>
        <w:t>In</w:t>
      </w:r>
      <w:r>
        <w:rPr>
          <w:color w:val="000000"/>
          <w:spacing w:val="-8"/>
          <w:highlight w:val="magenta"/>
        </w:rPr>
        <w:t> </w:t>
      </w:r>
      <w:r>
        <w:rPr>
          <w:color w:val="000000"/>
          <w:highlight w:val="magenta"/>
        </w:rPr>
        <w:t>2023,</w:t>
      </w:r>
      <w:r>
        <w:rPr>
          <w:color w:val="000000"/>
          <w:spacing w:val="-9"/>
          <w:highlight w:val="magenta"/>
        </w:rPr>
        <w:t> </w:t>
      </w:r>
      <w:r>
        <w:rPr>
          <w:color w:val="000000"/>
          <w:highlight w:val="magenta"/>
        </w:rPr>
        <w:t>at</w:t>
      </w:r>
      <w:r>
        <w:rPr>
          <w:color w:val="000000"/>
          <w:spacing w:val="-8"/>
          <w:highlight w:val="magenta"/>
        </w:rPr>
        <w:t> </w:t>
      </w:r>
      <w:r>
        <w:rPr>
          <w:color w:val="000000"/>
          <w:highlight w:val="magenta"/>
        </w:rPr>
        <w:t>least</w:t>
      </w:r>
      <w:r>
        <w:rPr>
          <w:color w:val="000000"/>
          <w:spacing w:val="-8"/>
          <w:highlight w:val="magenta"/>
        </w:rPr>
        <w:t> </w:t>
      </w:r>
      <w:r>
        <w:rPr>
          <w:color w:val="000000"/>
          <w:highlight w:val="magenta"/>
        </w:rPr>
        <w:t>31</w:t>
      </w:r>
      <w:r>
        <w:rPr>
          <w:color w:val="000000"/>
          <w:spacing w:val="-7"/>
          <w:highlight w:val="magenta"/>
        </w:rPr>
        <w:t> </w:t>
      </w:r>
      <w:r>
        <w:rPr>
          <w:color w:val="000000"/>
          <w:highlight w:val="magenta"/>
        </w:rPr>
        <w:t>states</w:t>
      </w:r>
      <w:r>
        <w:rPr>
          <w:color w:val="000000"/>
          <w:spacing w:val="-8"/>
          <w:highlight w:val="magenta"/>
        </w:rPr>
        <w:t> </w:t>
      </w:r>
      <w:r>
        <w:rPr>
          <w:color w:val="000000"/>
          <w:highlight w:val="magenta"/>
        </w:rPr>
        <w:t>considered</w:t>
      </w:r>
      <w:r>
        <w:rPr>
          <w:color w:val="000000"/>
          <w:spacing w:val="-8"/>
          <w:highlight w:val="magenta"/>
        </w:rPr>
        <w:t> </w:t>
      </w:r>
      <w:r>
        <w:rPr>
          <w:color w:val="000000"/>
          <w:highlight w:val="magenta"/>
        </w:rPr>
        <w:t>legislation</w:t>
      </w:r>
      <w:r>
        <w:rPr>
          <w:color w:val="000000"/>
        </w:rPr>
        <w:t> </w:t>
      </w:r>
      <w:r>
        <w:rPr>
          <w:color w:val="000000"/>
          <w:highlight w:val="magenta"/>
        </w:rPr>
        <w:t>banning</w:t>
      </w:r>
      <w:r>
        <w:rPr>
          <w:color w:val="000000"/>
          <w:spacing w:val="-13"/>
          <w:highlight w:val="magenta"/>
        </w:rPr>
        <w:t> </w:t>
      </w:r>
      <w:r>
        <w:rPr>
          <w:color w:val="000000"/>
          <w:highlight w:val="magenta"/>
        </w:rPr>
        <w:t>gender-affirming</w:t>
      </w:r>
      <w:r>
        <w:rPr>
          <w:color w:val="000000"/>
          <w:spacing w:val="-12"/>
          <w:highlight w:val="magenta"/>
        </w:rPr>
        <w:t> </w:t>
      </w:r>
      <w:r>
        <w:rPr>
          <w:color w:val="000000"/>
          <w:highlight w:val="magenta"/>
        </w:rPr>
        <w:t>care,</w:t>
      </w:r>
      <w:r>
        <w:rPr>
          <w:color w:val="000000"/>
          <w:spacing w:val="-13"/>
          <w:highlight w:val="magenta"/>
        </w:rPr>
        <w:t> </w:t>
      </w:r>
      <w:r>
        <w:rPr>
          <w:color w:val="000000"/>
          <w:highlight w:val="magenta"/>
        </w:rPr>
        <w:t>with</w:t>
      </w:r>
      <w:r>
        <w:rPr>
          <w:color w:val="000000"/>
          <w:spacing w:val="-12"/>
          <w:highlight w:val="magenta"/>
        </w:rPr>
        <w:t> </w:t>
      </w:r>
      <w:r>
        <w:rPr>
          <w:color w:val="000000"/>
          <w:highlight w:val="magenta"/>
        </w:rPr>
        <w:t>13</w:t>
      </w:r>
      <w:r>
        <w:rPr>
          <w:color w:val="000000"/>
          <w:spacing w:val="-10"/>
          <w:highlight w:val="magenta"/>
        </w:rPr>
        <w:t> </w:t>
      </w:r>
      <w:r>
        <w:rPr>
          <w:color w:val="000000"/>
          <w:highlight w:val="magenta"/>
        </w:rPr>
        <w:t>states</w:t>
      </w:r>
      <w:r>
        <w:rPr>
          <w:color w:val="000000"/>
          <w:spacing w:val="-10"/>
          <w:highlight w:val="magenta"/>
        </w:rPr>
        <w:t> </w:t>
      </w:r>
      <w:r>
        <w:rPr>
          <w:color w:val="000000"/>
          <w:highlight w:val="magenta"/>
        </w:rPr>
        <w:t>passing</w:t>
      </w:r>
      <w:r>
        <w:rPr>
          <w:color w:val="000000"/>
          <w:spacing w:val="-10"/>
          <w:highlight w:val="magenta"/>
        </w:rPr>
        <w:t> </w:t>
      </w:r>
      <w:r>
        <w:rPr>
          <w:color w:val="000000"/>
          <w:highlight w:val="magenta"/>
        </w:rPr>
        <w:t>legislation,</w:t>
      </w:r>
      <w:r>
        <w:rPr>
          <w:color w:val="000000"/>
          <w:vertAlign w:val="superscript"/>
        </w:rPr>
        <w:t>56</w:t>
      </w:r>
      <w:r>
        <w:rPr>
          <w:color w:val="000000"/>
          <w:spacing w:val="-13"/>
          <w:vertAlign w:val="baseline"/>
        </w:rPr>
        <w:t> </w:t>
      </w:r>
      <w:r>
        <w:rPr>
          <w:color w:val="000000"/>
          <w:vertAlign w:val="baseline"/>
        </w:rPr>
        <w:t>and</w:t>
      </w:r>
      <w:r>
        <w:rPr>
          <w:color w:val="000000"/>
          <w:spacing w:val="-10"/>
          <w:vertAlign w:val="baseline"/>
        </w:rPr>
        <w:t> </w:t>
      </w:r>
      <w:r>
        <w:rPr>
          <w:color w:val="000000"/>
          <w:vertAlign w:val="baseline"/>
        </w:rPr>
        <w:t>lawmakers</w:t>
      </w:r>
      <w:r>
        <w:rPr>
          <w:color w:val="000000"/>
          <w:spacing w:val="-10"/>
          <w:vertAlign w:val="baseline"/>
        </w:rPr>
        <w:t> </w:t>
      </w:r>
      <w:r>
        <w:rPr>
          <w:color w:val="000000"/>
          <w:vertAlign w:val="baseline"/>
        </w:rPr>
        <w:t>introduced</w:t>
      </w:r>
      <w:r>
        <w:rPr>
          <w:color w:val="000000"/>
          <w:spacing w:val="-10"/>
          <w:vertAlign w:val="baseline"/>
        </w:rPr>
        <w:t> </w:t>
      </w:r>
      <w:r>
        <w:rPr>
          <w:color w:val="000000"/>
          <w:vertAlign w:val="baseline"/>
        </w:rPr>
        <w:t>633</w:t>
      </w:r>
      <w:r>
        <w:rPr>
          <w:color w:val="000000"/>
          <w:spacing w:val="-11"/>
          <w:vertAlign w:val="baseline"/>
        </w:rPr>
        <w:t> </w:t>
      </w:r>
      <w:r>
        <w:rPr>
          <w:color w:val="000000"/>
          <w:vertAlign w:val="baseline"/>
        </w:rPr>
        <w:t>bills specifically</w:t>
      </w:r>
      <w:r>
        <w:rPr>
          <w:color w:val="000000"/>
          <w:spacing w:val="-13"/>
          <w:vertAlign w:val="baseline"/>
        </w:rPr>
        <w:t> </w:t>
      </w:r>
      <w:r>
        <w:rPr>
          <w:color w:val="000000"/>
          <w:vertAlign w:val="baseline"/>
        </w:rPr>
        <w:t>targeting</w:t>
      </w:r>
      <w:r>
        <w:rPr>
          <w:color w:val="000000"/>
          <w:spacing w:val="-12"/>
          <w:vertAlign w:val="baseline"/>
        </w:rPr>
        <w:t> </w:t>
      </w:r>
      <w:r>
        <w:rPr>
          <w:color w:val="000000"/>
          <w:vertAlign w:val="baseline"/>
        </w:rPr>
        <w:t>transgender</w:t>
      </w:r>
      <w:r>
        <w:rPr>
          <w:color w:val="000000"/>
          <w:spacing w:val="-6"/>
          <w:vertAlign w:val="baseline"/>
        </w:rPr>
        <w:t> </w:t>
      </w:r>
      <w:r>
        <w:rPr>
          <w:color w:val="000000"/>
          <w:vertAlign w:val="baseline"/>
        </w:rPr>
        <w:t>communities.</w:t>
      </w:r>
      <w:r>
        <w:rPr>
          <w:color w:val="000000"/>
          <w:spacing w:val="-13"/>
          <w:highlight w:val="magenta"/>
          <w:vertAlign w:val="baseline"/>
        </w:rPr>
        <w:t> </w:t>
      </w:r>
      <w:r>
        <w:rPr>
          <w:color w:val="000000"/>
          <w:highlight w:val="magenta"/>
          <w:vertAlign w:val="baseline"/>
        </w:rPr>
        <w:t>This</w:t>
      </w:r>
      <w:r>
        <w:rPr>
          <w:color w:val="000000"/>
          <w:spacing w:val="-7"/>
          <w:highlight w:val="magenta"/>
          <w:vertAlign w:val="baseline"/>
        </w:rPr>
        <w:t> </w:t>
      </w:r>
      <w:r>
        <w:rPr>
          <w:color w:val="000000"/>
          <w:highlight w:val="magenta"/>
          <w:vertAlign w:val="baseline"/>
        </w:rPr>
        <w:t>trend</w:t>
      </w:r>
      <w:r>
        <w:rPr>
          <w:color w:val="000000"/>
          <w:spacing w:val="-8"/>
          <w:highlight w:val="magenta"/>
          <w:vertAlign w:val="baseline"/>
        </w:rPr>
        <w:t> </w:t>
      </w:r>
      <w:r>
        <w:rPr>
          <w:color w:val="000000"/>
          <w:highlight w:val="magenta"/>
          <w:vertAlign w:val="baseline"/>
        </w:rPr>
        <w:t>has</w:t>
      </w:r>
      <w:r>
        <w:rPr>
          <w:color w:val="000000"/>
          <w:spacing w:val="-8"/>
          <w:highlight w:val="magenta"/>
          <w:vertAlign w:val="baseline"/>
        </w:rPr>
        <w:t> </w:t>
      </w:r>
      <w:r>
        <w:rPr>
          <w:color w:val="000000"/>
          <w:highlight w:val="magenta"/>
          <w:vertAlign w:val="baseline"/>
        </w:rPr>
        <w:t>exploded</w:t>
      </w:r>
      <w:r>
        <w:rPr>
          <w:color w:val="000000"/>
          <w:spacing w:val="-8"/>
          <w:highlight w:val="magenta"/>
          <w:vertAlign w:val="baseline"/>
        </w:rPr>
        <w:t> </w:t>
      </w:r>
      <w:r>
        <w:rPr>
          <w:color w:val="000000"/>
          <w:highlight w:val="magenta"/>
          <w:vertAlign w:val="baseline"/>
        </w:rPr>
        <w:t>into</w:t>
      </w:r>
      <w:r>
        <w:rPr>
          <w:color w:val="000000"/>
          <w:spacing w:val="-7"/>
          <w:highlight w:val="magenta"/>
          <w:vertAlign w:val="baseline"/>
        </w:rPr>
        <w:t> </w:t>
      </w:r>
      <w:r>
        <w:rPr>
          <w:color w:val="000000"/>
          <w:highlight w:val="magenta"/>
          <w:vertAlign w:val="baseline"/>
        </w:rPr>
        <w:t>2024;</w:t>
      </w:r>
      <w:r>
        <w:rPr>
          <w:color w:val="000000"/>
          <w:spacing w:val="-9"/>
          <w:highlight w:val="magenta"/>
          <w:vertAlign w:val="baseline"/>
        </w:rPr>
        <w:t> </w:t>
      </w:r>
      <w:r>
        <w:rPr>
          <w:color w:val="000000"/>
          <w:highlight w:val="magenta"/>
          <w:vertAlign w:val="baseline"/>
        </w:rPr>
        <w:t>as</w:t>
      </w:r>
      <w:r>
        <w:rPr>
          <w:color w:val="000000"/>
          <w:spacing w:val="-8"/>
          <w:highlight w:val="magenta"/>
          <w:vertAlign w:val="baseline"/>
        </w:rPr>
        <w:t> </w:t>
      </w:r>
      <w:r>
        <w:rPr>
          <w:color w:val="000000"/>
          <w:highlight w:val="magenta"/>
          <w:vertAlign w:val="baseline"/>
        </w:rPr>
        <w:t>of</w:t>
      </w:r>
      <w:r>
        <w:rPr>
          <w:color w:val="000000"/>
          <w:spacing w:val="-7"/>
          <w:highlight w:val="magenta"/>
          <w:vertAlign w:val="baseline"/>
        </w:rPr>
        <w:t> </w:t>
      </w:r>
      <w:r>
        <w:rPr>
          <w:color w:val="000000"/>
          <w:highlight w:val="magenta"/>
          <w:vertAlign w:val="baseline"/>
        </w:rPr>
        <w:t>mid-May,</w:t>
      </w:r>
      <w:r>
        <w:rPr>
          <w:color w:val="000000"/>
          <w:spacing w:val="-9"/>
          <w:highlight w:val="magenta"/>
          <w:vertAlign w:val="baseline"/>
        </w:rPr>
        <w:t> </w:t>
      </w:r>
      <w:r>
        <w:rPr>
          <w:color w:val="000000"/>
          <w:highlight w:val="magenta"/>
          <w:vertAlign w:val="baseline"/>
        </w:rPr>
        <w:t>515</w:t>
      </w:r>
      <w:r>
        <w:rPr>
          <w:color w:val="000000"/>
          <w:vertAlign w:val="baseline"/>
        </w:rPr>
        <w:t> </w:t>
      </w:r>
      <w:r>
        <w:rPr>
          <w:color w:val="000000"/>
          <w:highlight w:val="magenta"/>
          <w:vertAlign w:val="baseline"/>
        </w:rPr>
        <w:t>bills have been introduced targeting LGBTQ youth from prohibiting gender-affirming care to</w:t>
      </w:r>
      <w:r>
        <w:rPr>
          <w:color w:val="000000"/>
          <w:vertAlign w:val="baseline"/>
        </w:rPr>
        <w:t> </w:t>
      </w:r>
      <w:r>
        <w:rPr>
          <w:color w:val="000000"/>
          <w:highlight w:val="magenta"/>
          <w:vertAlign w:val="baseline"/>
        </w:rPr>
        <w:t>preventing teachings of gender, sexuality, and race in schools.</w:t>
      </w:r>
      <w:r>
        <w:rPr>
          <w:color w:val="000000"/>
          <w:vertAlign w:val="superscript"/>
        </w:rPr>
        <w:t>58</w:t>
      </w:r>
    </w:p>
    <w:p>
      <w:pPr>
        <w:pStyle w:val="BodyText"/>
        <w:spacing w:line="276" w:lineRule="auto" w:before="240"/>
        <w:ind w:left="463" w:right="242" w:hanging="3"/>
        <w:jc w:val="both"/>
      </w:pPr>
      <w:r>
        <w:rPr/>
        <w:t>The constant barrage of attacks and anti-trans and anti-Black rhetoric has had profound implications for transgender and gender expansive youth and youth of color who are coming of age in an atmosphere of fear, anxiety, and violence. Many transgender and gender expansive youth, even in Massachusetts, report feeling concerned that their state or local areas will pass anti-transgender legislation, and this fear is linked to higher rates of depression, anxiety, and PTSD.</w:t>
      </w:r>
      <w:r>
        <w:rPr>
          <w:vertAlign w:val="superscript"/>
        </w:rPr>
        <w:t>59</w:t>
      </w:r>
      <w:r>
        <w:rPr>
          <w:vertAlign w:val="baseline"/>
        </w:rPr>
        <w:t> Exposure to debates surrounding anti-trans legislation has been linked to poor mental health in trans youth and crisis hotlines, like the Trevor Project, have reported a 150% increase in calls over the last year.</w:t>
      </w:r>
      <w:r>
        <w:rPr>
          <w:vertAlign w:val="superscript"/>
        </w:rPr>
        <w:t>60</w:t>
      </w:r>
    </w:p>
    <w:p>
      <w:pPr>
        <w:pStyle w:val="BodyText"/>
        <w:spacing w:line="276" w:lineRule="auto" w:before="241"/>
        <w:ind w:left="463" w:right="241" w:firstLine="14"/>
        <w:jc w:val="both"/>
      </w:pPr>
      <w:r>
        <w:rPr/>
        <w:t>In 2022, Massachusetts Governor Charlie Baker signed a law defining the legality of and protections for gender-affirming care in Massachusetts; the law also protected providers and patients from legal action from other states.</w:t>
      </w:r>
      <w:r>
        <w:rPr>
          <w:vertAlign w:val="superscript"/>
        </w:rPr>
        <w:t>61</w:t>
      </w:r>
      <w:r>
        <w:rPr>
          <w:spacing w:val="-9"/>
          <w:vertAlign w:val="baseline"/>
        </w:rPr>
        <w:t> </w:t>
      </w:r>
      <w:r>
        <w:rPr>
          <w:vertAlign w:val="baseline"/>
        </w:rPr>
        <w:t>This is one of the most robust LGBTQ laws Massachusetts has passed to date, as it declares that gender-affirming care is legally protected healthcare, regardless of the patient's location. Certain states, like California, have gone further, introducing legislation to support transgender youth and families fleeing states with anti-transgender policies, laws, and pending legislation.</w:t>
      </w:r>
      <w:r>
        <w:rPr>
          <w:vertAlign w:val="superscript"/>
        </w:rPr>
        <w:t>62</w:t>
      </w:r>
      <w:r>
        <w:rPr>
          <w:spacing w:val="-13"/>
          <w:vertAlign w:val="baseline"/>
        </w:rPr>
        <w:t> </w:t>
      </w:r>
      <w:r>
        <w:rPr>
          <w:vertAlign w:val="baseline"/>
        </w:rPr>
        <w:t>The</w:t>
      </w:r>
      <w:r>
        <w:rPr>
          <w:spacing w:val="-12"/>
          <w:vertAlign w:val="baseline"/>
        </w:rPr>
        <w:t> </w:t>
      </w:r>
      <w:r>
        <w:rPr>
          <w:vertAlign w:val="baseline"/>
        </w:rPr>
        <w:t>Commission</w:t>
      </w:r>
      <w:r>
        <w:rPr>
          <w:spacing w:val="-13"/>
          <w:vertAlign w:val="baseline"/>
        </w:rPr>
        <w:t> </w:t>
      </w:r>
      <w:r>
        <w:rPr>
          <w:vertAlign w:val="baseline"/>
        </w:rPr>
        <w:t>strongly</w:t>
      </w:r>
      <w:r>
        <w:rPr>
          <w:spacing w:val="-12"/>
          <w:vertAlign w:val="baseline"/>
        </w:rPr>
        <w:t> </w:t>
      </w:r>
      <w:r>
        <w:rPr>
          <w:vertAlign w:val="baseline"/>
        </w:rPr>
        <w:t>recommends</w:t>
      </w:r>
      <w:r>
        <w:rPr>
          <w:spacing w:val="-13"/>
          <w:vertAlign w:val="baseline"/>
        </w:rPr>
        <w:t> </w:t>
      </w:r>
      <w:r>
        <w:rPr>
          <w:vertAlign w:val="baseline"/>
        </w:rPr>
        <w:t>that</w:t>
      </w:r>
      <w:r>
        <w:rPr>
          <w:spacing w:val="-12"/>
          <w:vertAlign w:val="baseline"/>
        </w:rPr>
        <w:t> </w:t>
      </w:r>
      <w:r>
        <w:rPr>
          <w:vertAlign w:val="baseline"/>
        </w:rPr>
        <w:t>the</w:t>
      </w:r>
      <w:r>
        <w:rPr>
          <w:spacing w:val="-12"/>
          <w:vertAlign w:val="baseline"/>
        </w:rPr>
        <w:t> </w:t>
      </w:r>
      <w:r>
        <w:rPr>
          <w:vertAlign w:val="baseline"/>
        </w:rPr>
        <w:t>Massachusetts</w:t>
      </w:r>
      <w:r>
        <w:rPr>
          <w:spacing w:val="-10"/>
          <w:vertAlign w:val="baseline"/>
        </w:rPr>
        <w:t> </w:t>
      </w:r>
      <w:r>
        <w:rPr>
          <w:vertAlign w:val="baseline"/>
        </w:rPr>
        <w:t>legislature</w:t>
      </w:r>
      <w:r>
        <w:rPr>
          <w:spacing w:val="-11"/>
          <w:vertAlign w:val="baseline"/>
        </w:rPr>
        <w:t> </w:t>
      </w:r>
      <w:r>
        <w:rPr>
          <w:vertAlign w:val="baseline"/>
        </w:rPr>
        <w:t>explore</w:t>
      </w:r>
      <w:r>
        <w:rPr>
          <w:spacing w:val="-11"/>
          <w:vertAlign w:val="baseline"/>
        </w:rPr>
        <w:t> </w:t>
      </w:r>
      <w:r>
        <w:rPr>
          <w:vertAlign w:val="baseline"/>
        </w:rPr>
        <w:t>further legislation to protect LGBTQ youth and their families fleeing to Massachusetts, which has already begun to occur.</w:t>
      </w:r>
    </w:p>
    <w:p>
      <w:pPr>
        <w:pStyle w:val="BodyText"/>
        <w:spacing w:line="276" w:lineRule="auto" w:before="239"/>
        <w:ind w:left="463" w:right="242"/>
        <w:jc w:val="both"/>
      </w:pPr>
      <w:r>
        <w:rPr/>
        <w:t>As</w:t>
      </w:r>
      <w:r>
        <w:rPr>
          <w:spacing w:val="-2"/>
        </w:rPr>
        <w:t> </w:t>
      </w:r>
      <w:r>
        <w:rPr/>
        <w:t>highlighted</w:t>
      </w:r>
      <w:r>
        <w:rPr>
          <w:spacing w:val="-3"/>
        </w:rPr>
        <w:t> </w:t>
      </w:r>
      <w:r>
        <w:rPr/>
        <w:t>above,</w:t>
      </w:r>
      <w:r>
        <w:rPr>
          <w:spacing w:val="-1"/>
        </w:rPr>
        <w:t> </w:t>
      </w:r>
      <w:r>
        <w:rPr/>
        <w:t>despite</w:t>
      </w:r>
      <w:r>
        <w:rPr>
          <w:spacing w:val="-2"/>
        </w:rPr>
        <w:t> </w:t>
      </w:r>
      <w:r>
        <w:rPr/>
        <w:t>gender-affirming</w:t>
      </w:r>
      <w:r>
        <w:rPr>
          <w:spacing w:val="-2"/>
        </w:rPr>
        <w:t> </w:t>
      </w:r>
      <w:r>
        <w:rPr/>
        <w:t>care being</w:t>
      </w:r>
      <w:r>
        <w:rPr>
          <w:spacing w:val="-2"/>
        </w:rPr>
        <w:t> </w:t>
      </w:r>
      <w:r>
        <w:rPr/>
        <w:t>a</w:t>
      </w:r>
      <w:r>
        <w:rPr>
          <w:spacing w:val="-3"/>
        </w:rPr>
        <w:t> </w:t>
      </w:r>
      <w:r>
        <w:rPr/>
        <w:t>right</w:t>
      </w:r>
      <w:r>
        <w:rPr>
          <w:spacing w:val="-2"/>
        </w:rPr>
        <w:t> </w:t>
      </w:r>
      <w:r>
        <w:rPr/>
        <w:t>in</w:t>
      </w:r>
      <w:r>
        <w:rPr>
          <w:spacing w:val="-3"/>
        </w:rPr>
        <w:t> </w:t>
      </w:r>
      <w:r>
        <w:rPr/>
        <w:t>Massachusetts,</w:t>
      </w:r>
      <w:r>
        <w:rPr>
          <w:spacing w:val="-3"/>
        </w:rPr>
        <w:t> </w:t>
      </w:r>
      <w:r>
        <w:rPr/>
        <w:t>patients</w:t>
      </w:r>
      <w:r>
        <w:rPr>
          <w:spacing w:val="-2"/>
        </w:rPr>
        <w:t> </w:t>
      </w:r>
      <w:r>
        <w:rPr/>
        <w:t>continue to face barriers that include insurance exclusions, inconsistent coverage, wrongful denials of care, burdensome prior authorization processes, and low reimbursement rates leading to less economic </w:t>
      </w:r>
      <w:r>
        <w:rPr>
          <w:spacing w:val="-2"/>
        </w:rPr>
        <w:t>incentive</w:t>
      </w:r>
      <w:r>
        <w:rPr>
          <w:spacing w:val="-10"/>
        </w:rPr>
        <w:t> </w:t>
      </w:r>
      <w:r>
        <w:rPr>
          <w:spacing w:val="-2"/>
        </w:rPr>
        <w:t>to provide this care.</w:t>
      </w:r>
      <w:r>
        <w:rPr>
          <w:spacing w:val="-2"/>
          <w:vertAlign w:val="superscript"/>
        </w:rPr>
        <w:t>63</w:t>
      </w:r>
      <w:r>
        <w:rPr>
          <w:spacing w:val="-11"/>
          <w:vertAlign w:val="baseline"/>
        </w:rPr>
        <w:t> </w:t>
      </w:r>
      <w:r>
        <w:rPr>
          <w:spacing w:val="-2"/>
          <w:vertAlign w:val="baseline"/>
        </w:rPr>
        <w:t>Barriers for patients enrolled in MassHealth include many specific</w:t>
      </w:r>
      <w:r>
        <w:rPr>
          <w:spacing w:val="-3"/>
          <w:vertAlign w:val="baseline"/>
        </w:rPr>
        <w:t> </w:t>
      </w:r>
      <w:r>
        <w:rPr>
          <w:spacing w:val="-2"/>
          <w:vertAlign w:val="baseline"/>
        </w:rPr>
        <w:t>areas </w:t>
      </w:r>
      <w:r>
        <w:rPr>
          <w:vertAlign w:val="baseline"/>
        </w:rPr>
        <w:t>related to hair removal, surgery, and voice therapy - with many policies out of step with World Professional Association for Transgender Health (WPATH) Standards of Care.</w:t>
      </w:r>
      <w:r>
        <w:rPr>
          <w:vertAlign w:val="superscript"/>
        </w:rPr>
        <w:t>64</w:t>
      </w:r>
    </w:p>
    <w:p>
      <w:pPr>
        <w:spacing w:after="0" w:line="276" w:lineRule="auto"/>
        <w:jc w:val="both"/>
        <w:sectPr>
          <w:pgSz w:w="12240" w:h="15840"/>
          <w:pgMar w:header="721" w:footer="1061" w:top="1360" w:bottom="1260" w:left="1120" w:right="1340"/>
        </w:sectPr>
      </w:pPr>
    </w:p>
    <w:p>
      <w:pPr>
        <w:spacing w:before="67"/>
        <w:ind w:left="464" w:right="0" w:firstLine="0"/>
        <w:jc w:val="both"/>
        <w:rPr>
          <w:sz w:val="28"/>
        </w:rPr>
      </w:pPr>
      <w:bookmarkStart w:name="Affirming Care Model" w:id="357"/>
      <w:bookmarkEnd w:id="357"/>
      <w:r>
        <w:rPr/>
      </w:r>
      <w:r>
        <w:rPr>
          <w:color w:val="365F91"/>
          <w:sz w:val="28"/>
        </w:rPr>
        <w:t>Affirming</w:t>
      </w:r>
      <w:r>
        <w:rPr>
          <w:color w:val="365F91"/>
          <w:spacing w:val="-12"/>
          <w:sz w:val="28"/>
        </w:rPr>
        <w:t> </w:t>
      </w:r>
      <w:r>
        <w:rPr>
          <w:color w:val="365F91"/>
          <w:sz w:val="28"/>
        </w:rPr>
        <w:t>Care</w:t>
      </w:r>
      <w:r>
        <w:rPr>
          <w:color w:val="365F91"/>
          <w:spacing w:val="-12"/>
          <w:sz w:val="28"/>
        </w:rPr>
        <w:t> </w:t>
      </w:r>
      <w:r>
        <w:rPr>
          <w:color w:val="365F91"/>
          <w:spacing w:val="-2"/>
          <w:sz w:val="28"/>
        </w:rPr>
        <w:t>Model</w:t>
      </w:r>
    </w:p>
    <w:p>
      <w:pPr>
        <w:pStyle w:val="BodyText"/>
        <w:spacing w:line="276" w:lineRule="auto" w:before="292"/>
        <w:ind w:left="463" w:right="240" w:firstLine="6"/>
        <w:jc w:val="both"/>
      </w:pPr>
      <w:r>
        <w:rPr/>
        <w:t>Gender-affirming care has been shown to be lifesaving for children, reducing the incidence of suicidality</w:t>
      </w:r>
      <w:r>
        <w:rPr>
          <w:spacing w:val="-9"/>
        </w:rPr>
        <w:t> </w:t>
      </w:r>
      <w:r>
        <w:rPr/>
        <w:t>and</w:t>
      </w:r>
      <w:r>
        <w:rPr>
          <w:spacing w:val="-10"/>
        </w:rPr>
        <w:t> </w:t>
      </w:r>
      <w:r>
        <w:rPr/>
        <w:t>increasing</w:t>
      </w:r>
      <w:r>
        <w:rPr>
          <w:spacing w:val="-10"/>
        </w:rPr>
        <w:t> </w:t>
      </w:r>
      <w:r>
        <w:rPr/>
        <w:t>access</w:t>
      </w:r>
      <w:r>
        <w:rPr>
          <w:spacing w:val="-9"/>
        </w:rPr>
        <w:t> </w:t>
      </w:r>
      <w:r>
        <w:rPr/>
        <w:t>to</w:t>
      </w:r>
      <w:r>
        <w:rPr>
          <w:spacing w:val="-9"/>
        </w:rPr>
        <w:t> </w:t>
      </w:r>
      <w:r>
        <w:rPr/>
        <w:t>healthcare</w:t>
      </w:r>
      <w:r>
        <w:rPr>
          <w:spacing w:val="-10"/>
        </w:rPr>
        <w:t> </w:t>
      </w:r>
      <w:r>
        <w:rPr/>
        <w:t>services.</w:t>
      </w:r>
      <w:r>
        <w:rPr>
          <w:spacing w:val="-10"/>
        </w:rPr>
        <w:t> </w:t>
      </w:r>
      <w:r>
        <w:rPr/>
        <w:t>Just</w:t>
      </w:r>
      <w:r>
        <w:rPr>
          <w:spacing w:val="-10"/>
        </w:rPr>
        <w:t> </w:t>
      </w:r>
      <w:r>
        <w:rPr/>
        <w:t>as</w:t>
      </w:r>
      <w:r>
        <w:rPr>
          <w:spacing w:val="-9"/>
        </w:rPr>
        <w:t> </w:t>
      </w:r>
      <w:r>
        <w:rPr/>
        <w:t>diabetes</w:t>
      </w:r>
      <w:r>
        <w:rPr>
          <w:spacing w:val="-9"/>
        </w:rPr>
        <w:t> </w:t>
      </w:r>
      <w:r>
        <w:rPr/>
        <w:t>clinics</w:t>
      </w:r>
      <w:r>
        <w:rPr>
          <w:spacing w:val="-9"/>
        </w:rPr>
        <w:t> </w:t>
      </w:r>
      <w:r>
        <w:rPr/>
        <w:t>were</w:t>
      </w:r>
      <w:r>
        <w:rPr>
          <w:spacing w:val="-10"/>
        </w:rPr>
        <w:t> </w:t>
      </w:r>
      <w:r>
        <w:rPr/>
        <w:t>once</w:t>
      </w:r>
      <w:r>
        <w:rPr>
          <w:spacing w:val="-10"/>
        </w:rPr>
        <w:t> </w:t>
      </w:r>
      <w:r>
        <w:rPr/>
        <w:t>separate</w:t>
      </w:r>
      <w:r>
        <w:rPr>
          <w:spacing w:val="-10"/>
        </w:rPr>
        <w:t> </w:t>
      </w:r>
      <w:r>
        <w:rPr/>
        <w:t>and specialized clinics, so too does gender-affirming care remain largely isolated to specific clinics.</w:t>
      </w:r>
      <w:r>
        <w:rPr>
          <w:vertAlign w:val="superscript"/>
        </w:rPr>
        <w:t>65</w:t>
      </w:r>
      <w:r>
        <w:rPr>
          <w:vertAlign w:val="baseline"/>
        </w:rPr>
        <w:t> However,</w:t>
      </w:r>
      <w:r>
        <w:rPr>
          <w:spacing w:val="-3"/>
          <w:vertAlign w:val="baseline"/>
        </w:rPr>
        <w:t> </w:t>
      </w:r>
      <w:r>
        <w:rPr>
          <w:vertAlign w:val="baseline"/>
        </w:rPr>
        <w:t>the</w:t>
      </w:r>
      <w:r>
        <w:rPr>
          <w:spacing w:val="-2"/>
          <w:vertAlign w:val="baseline"/>
        </w:rPr>
        <w:t> </w:t>
      </w:r>
      <w:r>
        <w:rPr>
          <w:vertAlign w:val="baseline"/>
        </w:rPr>
        <w:t>history</w:t>
      </w:r>
      <w:r>
        <w:rPr>
          <w:spacing w:val="-3"/>
          <w:vertAlign w:val="baseline"/>
        </w:rPr>
        <w:t> </w:t>
      </w:r>
      <w:r>
        <w:rPr>
          <w:vertAlign w:val="baseline"/>
        </w:rPr>
        <w:t>of</w:t>
      </w:r>
      <w:r>
        <w:rPr>
          <w:spacing w:val="-3"/>
          <w:vertAlign w:val="baseline"/>
        </w:rPr>
        <w:t> </w:t>
      </w:r>
      <w:r>
        <w:rPr>
          <w:vertAlign w:val="baseline"/>
        </w:rPr>
        <w:t>gender-affirming</w:t>
      </w:r>
      <w:r>
        <w:rPr>
          <w:spacing w:val="-3"/>
          <w:vertAlign w:val="baseline"/>
        </w:rPr>
        <w:t> </w:t>
      </w:r>
      <w:r>
        <w:rPr>
          <w:vertAlign w:val="baseline"/>
        </w:rPr>
        <w:t>care</w:t>
      </w:r>
      <w:r>
        <w:rPr>
          <w:spacing w:val="-3"/>
          <w:vertAlign w:val="baseline"/>
        </w:rPr>
        <w:t> </w:t>
      </w:r>
      <w:r>
        <w:rPr>
          <w:vertAlign w:val="baseline"/>
        </w:rPr>
        <w:t>is</w:t>
      </w:r>
      <w:r>
        <w:rPr>
          <w:spacing w:val="-2"/>
          <w:vertAlign w:val="baseline"/>
        </w:rPr>
        <w:t> </w:t>
      </w:r>
      <w:r>
        <w:rPr>
          <w:vertAlign w:val="baseline"/>
        </w:rPr>
        <w:t>one</w:t>
      </w:r>
      <w:r>
        <w:rPr>
          <w:spacing w:val="-2"/>
          <w:vertAlign w:val="baseline"/>
        </w:rPr>
        <w:t> </w:t>
      </w:r>
      <w:r>
        <w:rPr>
          <w:vertAlign w:val="baseline"/>
        </w:rPr>
        <w:t>that</w:t>
      </w:r>
      <w:r>
        <w:rPr>
          <w:spacing w:val="-3"/>
          <w:vertAlign w:val="baseline"/>
        </w:rPr>
        <w:t> </w:t>
      </w:r>
      <w:r>
        <w:rPr>
          <w:vertAlign w:val="baseline"/>
        </w:rPr>
        <w:t>is</w:t>
      </w:r>
      <w:r>
        <w:rPr>
          <w:spacing w:val="-2"/>
          <w:vertAlign w:val="baseline"/>
        </w:rPr>
        <w:t> </w:t>
      </w:r>
      <w:r>
        <w:rPr>
          <w:vertAlign w:val="baseline"/>
        </w:rPr>
        <w:t>increasingly</w:t>
      </w:r>
      <w:r>
        <w:rPr>
          <w:spacing w:val="-3"/>
          <w:vertAlign w:val="baseline"/>
        </w:rPr>
        <w:t> </w:t>
      </w:r>
      <w:r>
        <w:rPr>
          <w:vertAlign w:val="baseline"/>
        </w:rPr>
        <w:t>moving</w:t>
      </w:r>
      <w:r>
        <w:rPr>
          <w:spacing w:val="-2"/>
          <w:vertAlign w:val="baseline"/>
        </w:rPr>
        <w:t> </w:t>
      </w:r>
      <w:r>
        <w:rPr>
          <w:vertAlign w:val="baseline"/>
        </w:rPr>
        <w:t>from</w:t>
      </w:r>
      <w:r>
        <w:rPr>
          <w:spacing w:val="-3"/>
          <w:vertAlign w:val="baseline"/>
        </w:rPr>
        <w:t> </w:t>
      </w:r>
      <w:r>
        <w:rPr>
          <w:vertAlign w:val="baseline"/>
        </w:rPr>
        <w:t>urban</w:t>
      </w:r>
      <w:r>
        <w:rPr>
          <w:spacing w:val="-3"/>
          <w:vertAlign w:val="baseline"/>
        </w:rPr>
        <w:t> </w:t>
      </w:r>
      <w:r>
        <w:rPr>
          <w:vertAlign w:val="baseline"/>
        </w:rPr>
        <w:t>academic institutions to mainstream primary care and medical home settings. Numbers of trans-competent or gender-affirming providers have been slowly but steadily increasing over time, particularly in states like Massachusetts.</w:t>
      </w:r>
      <w:r>
        <w:rPr>
          <w:vertAlign w:val="superscript"/>
        </w:rPr>
        <w:t>66</w:t>
      </w:r>
      <w:r>
        <w:rPr>
          <w:vertAlign w:val="baseline"/>
        </w:rPr>
        <w:t> Moreover, the vast majority of trans and gender expansive youth who socially transition do continue to identify in their affirmed gender.</w:t>
      </w:r>
      <w:r>
        <w:rPr>
          <w:vertAlign w:val="superscript"/>
        </w:rPr>
        <w:t>67</w:t>
      </w:r>
      <w:r>
        <w:rPr>
          <w:spacing w:val="-6"/>
          <w:vertAlign w:val="baseline"/>
        </w:rPr>
        <w:t> </w:t>
      </w:r>
      <w:r>
        <w:rPr>
          <w:vertAlign w:val="baseline"/>
        </w:rPr>
        <w:t>Unfortunately, despite this increase in access,</w:t>
      </w:r>
      <w:r>
        <w:rPr>
          <w:spacing w:val="-10"/>
          <w:vertAlign w:val="baseline"/>
        </w:rPr>
        <w:t> </w:t>
      </w:r>
      <w:r>
        <w:rPr>
          <w:vertAlign w:val="baseline"/>
        </w:rPr>
        <w:t>many</w:t>
      </w:r>
      <w:r>
        <w:rPr>
          <w:spacing w:val="-7"/>
          <w:vertAlign w:val="baseline"/>
        </w:rPr>
        <w:t> </w:t>
      </w:r>
      <w:r>
        <w:rPr>
          <w:vertAlign w:val="baseline"/>
        </w:rPr>
        <w:t>barriers</w:t>
      </w:r>
      <w:r>
        <w:rPr>
          <w:spacing w:val="-10"/>
          <w:vertAlign w:val="baseline"/>
        </w:rPr>
        <w:t> </w:t>
      </w:r>
      <w:r>
        <w:rPr>
          <w:vertAlign w:val="baseline"/>
        </w:rPr>
        <w:t>to</w:t>
      </w:r>
      <w:r>
        <w:rPr>
          <w:spacing w:val="-8"/>
          <w:vertAlign w:val="baseline"/>
        </w:rPr>
        <w:t> </w:t>
      </w:r>
      <w:r>
        <w:rPr>
          <w:vertAlign w:val="baseline"/>
        </w:rPr>
        <w:t>care</w:t>
      </w:r>
      <w:r>
        <w:rPr>
          <w:spacing w:val="-10"/>
          <w:vertAlign w:val="baseline"/>
        </w:rPr>
        <w:t> </w:t>
      </w:r>
      <w:r>
        <w:rPr>
          <w:vertAlign w:val="baseline"/>
        </w:rPr>
        <w:t>remain</w:t>
      </w:r>
      <w:r>
        <w:rPr>
          <w:spacing w:val="-10"/>
          <w:vertAlign w:val="baseline"/>
        </w:rPr>
        <w:t> </w:t>
      </w:r>
      <w:r>
        <w:rPr>
          <w:vertAlign w:val="baseline"/>
        </w:rPr>
        <w:t>including</w:t>
      </w:r>
      <w:r>
        <w:rPr>
          <w:spacing w:val="-9"/>
          <w:vertAlign w:val="baseline"/>
        </w:rPr>
        <w:t> </w:t>
      </w:r>
      <w:r>
        <w:rPr>
          <w:vertAlign w:val="baseline"/>
        </w:rPr>
        <w:t>financial</w:t>
      </w:r>
      <w:r>
        <w:rPr>
          <w:spacing w:val="-10"/>
          <w:vertAlign w:val="baseline"/>
        </w:rPr>
        <w:t> </w:t>
      </w:r>
      <w:r>
        <w:rPr>
          <w:vertAlign w:val="baseline"/>
        </w:rPr>
        <w:t>access,</w:t>
      </w:r>
      <w:r>
        <w:rPr>
          <w:spacing w:val="-10"/>
          <w:vertAlign w:val="baseline"/>
        </w:rPr>
        <w:t> </w:t>
      </w:r>
      <w:r>
        <w:rPr>
          <w:vertAlign w:val="baseline"/>
        </w:rPr>
        <w:t>insurance</w:t>
      </w:r>
      <w:r>
        <w:rPr>
          <w:spacing w:val="-9"/>
          <w:vertAlign w:val="baseline"/>
        </w:rPr>
        <w:t> </w:t>
      </w:r>
      <w:r>
        <w:rPr>
          <w:vertAlign w:val="baseline"/>
        </w:rPr>
        <w:t>coverage,</w:t>
      </w:r>
      <w:r>
        <w:rPr>
          <w:spacing w:val="-10"/>
          <w:vertAlign w:val="baseline"/>
        </w:rPr>
        <w:t> </w:t>
      </w:r>
      <w:r>
        <w:rPr>
          <w:vertAlign w:val="baseline"/>
        </w:rPr>
        <w:t>lack</w:t>
      </w:r>
      <w:r>
        <w:rPr>
          <w:spacing w:val="-9"/>
          <w:vertAlign w:val="baseline"/>
        </w:rPr>
        <w:t> </w:t>
      </w:r>
      <w:r>
        <w:rPr>
          <w:vertAlign w:val="baseline"/>
        </w:rPr>
        <w:t>of</w:t>
      </w:r>
      <w:r>
        <w:rPr>
          <w:spacing w:val="-10"/>
          <w:vertAlign w:val="baseline"/>
        </w:rPr>
        <w:t> </w:t>
      </w:r>
      <w:r>
        <w:rPr>
          <w:vertAlign w:val="baseline"/>
        </w:rPr>
        <w:t>availability, and individuals' fears. Many youth and caregivers also report systemic barriers including bias, discrimination, and lack of provider education.</w:t>
      </w:r>
      <w:r>
        <w:rPr>
          <w:vertAlign w:val="superscript"/>
        </w:rPr>
        <w:t>68</w:t>
      </w:r>
    </w:p>
    <w:p>
      <w:pPr>
        <w:pStyle w:val="BodyText"/>
        <w:spacing w:line="276" w:lineRule="auto" w:before="240"/>
        <w:ind w:left="464" w:right="241" w:hanging="6"/>
        <w:jc w:val="both"/>
      </w:pPr>
      <w:r>
        <w:rPr/>
        <w:t>An affirming-care-model is one that affirms the child and their identity, leading by listening to the patients’</w:t>
      </w:r>
      <w:r>
        <w:rPr>
          <w:spacing w:val="-6"/>
        </w:rPr>
        <w:t> </w:t>
      </w:r>
      <w:r>
        <w:rPr/>
        <w:t>and</w:t>
      </w:r>
      <w:r>
        <w:rPr>
          <w:spacing w:val="-4"/>
        </w:rPr>
        <w:t> </w:t>
      </w:r>
      <w:r>
        <w:rPr/>
        <w:t>the</w:t>
      </w:r>
      <w:r>
        <w:rPr>
          <w:spacing w:val="-5"/>
        </w:rPr>
        <w:t> </w:t>
      </w:r>
      <w:r>
        <w:rPr/>
        <w:t>family’s</w:t>
      </w:r>
      <w:r>
        <w:rPr>
          <w:spacing w:val="-5"/>
        </w:rPr>
        <w:t> </w:t>
      </w:r>
      <w:r>
        <w:rPr/>
        <w:t>needs,</w:t>
      </w:r>
      <w:r>
        <w:rPr>
          <w:spacing w:val="-6"/>
        </w:rPr>
        <w:t> </w:t>
      </w:r>
      <w:r>
        <w:rPr/>
        <w:t>and</w:t>
      </w:r>
      <w:r>
        <w:rPr>
          <w:spacing w:val="-5"/>
        </w:rPr>
        <w:t> </w:t>
      </w:r>
      <w:r>
        <w:rPr/>
        <w:t>creating</w:t>
      </w:r>
      <w:r>
        <w:rPr>
          <w:spacing w:val="-5"/>
        </w:rPr>
        <w:t> </w:t>
      </w:r>
      <w:r>
        <w:rPr/>
        <w:t>a</w:t>
      </w:r>
      <w:r>
        <w:rPr>
          <w:spacing w:val="-5"/>
        </w:rPr>
        <w:t> </w:t>
      </w:r>
      <w:r>
        <w:rPr/>
        <w:t>team</w:t>
      </w:r>
      <w:r>
        <w:rPr>
          <w:spacing w:val="-4"/>
        </w:rPr>
        <w:t> </w:t>
      </w:r>
      <w:r>
        <w:rPr/>
        <w:t>of</w:t>
      </w:r>
      <w:r>
        <w:rPr>
          <w:spacing w:val="-6"/>
        </w:rPr>
        <w:t> </w:t>
      </w:r>
      <w:r>
        <w:rPr/>
        <w:t>support</w:t>
      </w:r>
      <w:r>
        <w:rPr>
          <w:spacing w:val="-6"/>
        </w:rPr>
        <w:t> </w:t>
      </w:r>
      <w:r>
        <w:rPr/>
        <w:t>and</w:t>
      </w:r>
      <w:r>
        <w:rPr>
          <w:spacing w:val="-5"/>
        </w:rPr>
        <w:t> </w:t>
      </w:r>
      <w:r>
        <w:rPr/>
        <w:t>guidance</w:t>
      </w:r>
      <w:r>
        <w:rPr>
          <w:spacing w:val="-5"/>
        </w:rPr>
        <w:t> </w:t>
      </w:r>
      <w:r>
        <w:rPr/>
        <w:t>to</w:t>
      </w:r>
      <w:r>
        <w:rPr>
          <w:spacing w:val="-5"/>
        </w:rPr>
        <w:t> </w:t>
      </w:r>
      <w:r>
        <w:rPr/>
        <w:t>provide</w:t>
      </w:r>
      <w:r>
        <w:rPr>
          <w:spacing w:val="-5"/>
        </w:rPr>
        <w:t> </w:t>
      </w:r>
      <w:r>
        <w:rPr/>
        <w:t>information, options, and clinical expertise. Importantly, an affirming model removes judgment and barriers to culturally sensitive care, meeting the individual where they are and delivering basic clinical competencies.</w:t>
      </w:r>
      <w:r>
        <w:rPr>
          <w:vertAlign w:val="superscript"/>
        </w:rPr>
        <w:t>69</w:t>
      </w:r>
      <w:r>
        <w:rPr>
          <w:vertAlign w:val="baseline"/>
        </w:rPr>
        <w:t> A 2021 study in New England conducted qualitative interviews with healthcare providers and transgender and gender-nonconforming adults, where community members emphasized the importance of integrated mental and physical health.</w:t>
      </w:r>
      <w:r>
        <w:rPr>
          <w:vertAlign w:val="superscript"/>
        </w:rPr>
        <w:t>70</w:t>
      </w:r>
    </w:p>
    <w:p>
      <w:pPr>
        <w:pStyle w:val="BodyText"/>
        <w:spacing w:before="7"/>
      </w:pPr>
    </w:p>
    <w:p>
      <w:pPr>
        <w:spacing w:before="0"/>
        <w:ind w:left="220" w:right="0" w:firstLine="0"/>
        <w:jc w:val="center"/>
        <w:rPr>
          <w:sz w:val="28"/>
        </w:rPr>
      </w:pPr>
      <w:r>
        <w:rPr>
          <w:color w:val="4F81BC"/>
          <w:spacing w:val="-6"/>
          <w:sz w:val="28"/>
        </w:rPr>
        <w:t>Moreover,</w:t>
      </w:r>
      <w:r>
        <w:rPr>
          <w:color w:val="4F81BC"/>
          <w:spacing w:val="-5"/>
          <w:sz w:val="28"/>
        </w:rPr>
        <w:t> </w:t>
      </w:r>
      <w:r>
        <w:rPr>
          <w:color w:val="4F81BC"/>
          <w:spacing w:val="-6"/>
          <w:sz w:val="28"/>
        </w:rPr>
        <w:t>if you are not</w:t>
      </w:r>
      <w:r>
        <w:rPr>
          <w:color w:val="4F81BC"/>
          <w:spacing w:val="-5"/>
          <w:sz w:val="28"/>
        </w:rPr>
        <w:t> </w:t>
      </w:r>
      <w:r>
        <w:rPr>
          <w:color w:val="4F81BC"/>
          <w:spacing w:val="-6"/>
          <w:sz w:val="28"/>
        </w:rPr>
        <w:t>counted, you will</w:t>
      </w:r>
      <w:r>
        <w:rPr>
          <w:color w:val="4F81BC"/>
          <w:spacing w:val="-5"/>
          <w:sz w:val="28"/>
        </w:rPr>
        <w:t> </w:t>
      </w:r>
      <w:r>
        <w:rPr>
          <w:color w:val="4F81BC"/>
          <w:spacing w:val="-6"/>
          <w:sz w:val="28"/>
        </w:rPr>
        <w:t>not</w:t>
      </w:r>
      <w:r>
        <w:rPr>
          <w:color w:val="4F81BC"/>
          <w:spacing w:val="-4"/>
          <w:sz w:val="28"/>
        </w:rPr>
        <w:t> </w:t>
      </w:r>
      <w:r>
        <w:rPr>
          <w:color w:val="4F81BC"/>
          <w:spacing w:val="-6"/>
          <w:sz w:val="28"/>
        </w:rPr>
        <w:t>count.</w:t>
      </w:r>
    </w:p>
    <w:p>
      <w:pPr>
        <w:pStyle w:val="BodyText"/>
        <w:spacing w:line="276" w:lineRule="auto" w:before="279"/>
        <w:ind w:left="464" w:right="240" w:hanging="3"/>
        <w:jc w:val="both"/>
      </w:pPr>
      <w:r>
        <w:rPr/>
        <w:t>The lack of existing guidelines for collecting sexual orientation and gender identity (SOGI) data in the pediatric population remains a profound issue. Additionally, there are currently no standardized guidelines for the collection of intersex data. When SOGI and intersex data is not collected, policymakers, agencies, and organizations do not have a complete understanding of the patient population, limiting the ability of providers to deliver specialized care to LGBTQ individuals. Recent recommendations</w:t>
      </w:r>
      <w:r>
        <w:rPr>
          <w:spacing w:val="-13"/>
        </w:rPr>
        <w:t> </w:t>
      </w:r>
      <w:r>
        <w:rPr/>
        <w:t>for</w:t>
      </w:r>
      <w:r>
        <w:rPr>
          <w:spacing w:val="-12"/>
        </w:rPr>
        <w:t> </w:t>
      </w:r>
      <w:r>
        <w:rPr/>
        <w:t>collecting</w:t>
      </w:r>
      <w:r>
        <w:rPr>
          <w:spacing w:val="-13"/>
        </w:rPr>
        <w:t> </w:t>
      </w:r>
      <w:r>
        <w:rPr/>
        <w:t>SOGI</w:t>
      </w:r>
      <w:r>
        <w:rPr>
          <w:spacing w:val="-12"/>
        </w:rPr>
        <w:t> </w:t>
      </w:r>
      <w:r>
        <w:rPr/>
        <w:t>data</w:t>
      </w:r>
      <w:r>
        <w:rPr>
          <w:spacing w:val="-13"/>
        </w:rPr>
        <w:t> </w:t>
      </w:r>
      <w:r>
        <w:rPr/>
        <w:t>published</w:t>
      </w:r>
      <w:r>
        <w:rPr>
          <w:spacing w:val="-12"/>
        </w:rPr>
        <w:t> </w:t>
      </w:r>
      <w:r>
        <w:rPr/>
        <w:t>in</w:t>
      </w:r>
      <w:r>
        <w:rPr>
          <w:spacing w:val="-13"/>
        </w:rPr>
        <w:t> </w:t>
      </w:r>
      <w:r>
        <w:rPr/>
        <w:t>New</w:t>
      </w:r>
      <w:r>
        <w:rPr>
          <w:spacing w:val="-12"/>
        </w:rPr>
        <w:t> </w:t>
      </w:r>
      <w:r>
        <w:rPr/>
        <w:t>England</w:t>
      </w:r>
      <w:r>
        <w:rPr>
          <w:spacing w:val="-12"/>
        </w:rPr>
        <w:t> </w:t>
      </w:r>
      <w:r>
        <w:rPr/>
        <w:t>take</w:t>
      </w:r>
      <w:r>
        <w:rPr>
          <w:spacing w:val="-13"/>
        </w:rPr>
        <w:t> </w:t>
      </w:r>
      <w:r>
        <w:rPr/>
        <w:t>into</w:t>
      </w:r>
      <w:r>
        <w:rPr>
          <w:spacing w:val="-12"/>
        </w:rPr>
        <w:t> </w:t>
      </w:r>
      <w:r>
        <w:rPr/>
        <w:t>consideration</w:t>
      </w:r>
      <w:r>
        <w:rPr>
          <w:spacing w:val="-13"/>
        </w:rPr>
        <w:t> </w:t>
      </w:r>
      <w:r>
        <w:rPr/>
        <w:t>children’s developmental</w:t>
      </w:r>
      <w:r>
        <w:rPr>
          <w:spacing w:val="-9"/>
        </w:rPr>
        <w:t> </w:t>
      </w:r>
      <w:r>
        <w:rPr/>
        <w:t>stages,</w:t>
      </w:r>
      <w:r>
        <w:rPr>
          <w:spacing w:val="-8"/>
        </w:rPr>
        <w:t> </w:t>
      </w:r>
      <w:r>
        <w:rPr/>
        <w:t>the</w:t>
      </w:r>
      <w:r>
        <w:rPr>
          <w:spacing w:val="-8"/>
        </w:rPr>
        <w:t> </w:t>
      </w:r>
      <w:r>
        <w:rPr/>
        <w:t>role</w:t>
      </w:r>
      <w:r>
        <w:rPr>
          <w:spacing w:val="-9"/>
        </w:rPr>
        <w:t> </w:t>
      </w:r>
      <w:r>
        <w:rPr/>
        <w:t>of</w:t>
      </w:r>
      <w:r>
        <w:rPr>
          <w:spacing w:val="-9"/>
        </w:rPr>
        <w:t> </w:t>
      </w:r>
      <w:r>
        <w:rPr/>
        <w:t>caregivers,</w:t>
      </w:r>
      <w:r>
        <w:rPr>
          <w:spacing w:val="-8"/>
        </w:rPr>
        <w:t> </w:t>
      </w:r>
      <w:r>
        <w:rPr/>
        <w:t>and</w:t>
      </w:r>
      <w:r>
        <w:rPr>
          <w:spacing w:val="-9"/>
        </w:rPr>
        <w:t> </w:t>
      </w:r>
      <w:r>
        <w:rPr/>
        <w:t>the</w:t>
      </w:r>
      <w:r>
        <w:rPr>
          <w:spacing w:val="-8"/>
        </w:rPr>
        <w:t> </w:t>
      </w:r>
      <w:r>
        <w:rPr/>
        <w:t>need</w:t>
      </w:r>
      <w:r>
        <w:rPr>
          <w:spacing w:val="-9"/>
        </w:rPr>
        <w:t> </w:t>
      </w:r>
      <w:r>
        <w:rPr/>
        <w:t>to</w:t>
      </w:r>
      <w:r>
        <w:rPr>
          <w:spacing w:val="-8"/>
        </w:rPr>
        <w:t> </w:t>
      </w:r>
      <w:r>
        <w:rPr/>
        <w:t>protect</w:t>
      </w:r>
      <w:r>
        <w:rPr>
          <w:spacing w:val="-9"/>
        </w:rPr>
        <w:t> </w:t>
      </w:r>
      <w:r>
        <w:rPr/>
        <w:t>the</w:t>
      </w:r>
      <w:r>
        <w:rPr>
          <w:spacing w:val="-9"/>
        </w:rPr>
        <w:t> </w:t>
      </w:r>
      <w:r>
        <w:rPr/>
        <w:t>privacy</w:t>
      </w:r>
      <w:r>
        <w:rPr>
          <w:spacing w:val="-7"/>
        </w:rPr>
        <w:t> </w:t>
      </w:r>
      <w:r>
        <w:rPr/>
        <w:t>of</w:t>
      </w:r>
      <w:r>
        <w:rPr>
          <w:spacing w:val="-9"/>
        </w:rPr>
        <w:t> </w:t>
      </w:r>
      <w:r>
        <w:rPr/>
        <w:t>this</w:t>
      </w:r>
      <w:r>
        <w:rPr>
          <w:spacing w:val="-8"/>
        </w:rPr>
        <w:t> </w:t>
      </w:r>
      <w:r>
        <w:rPr/>
        <w:t>information.</w:t>
      </w:r>
      <w:r>
        <w:rPr>
          <w:vertAlign w:val="superscript"/>
        </w:rPr>
        <w:t>71</w:t>
      </w:r>
    </w:p>
    <w:p>
      <w:pPr>
        <w:spacing w:before="238"/>
        <w:ind w:left="464" w:right="0" w:firstLine="0"/>
        <w:jc w:val="both"/>
        <w:rPr>
          <w:sz w:val="28"/>
        </w:rPr>
      </w:pPr>
      <w:bookmarkStart w:name="Reproductive Health" w:id="358"/>
      <w:bookmarkEnd w:id="358"/>
      <w:r>
        <w:rPr/>
      </w:r>
      <w:r>
        <w:rPr>
          <w:color w:val="365F91"/>
          <w:spacing w:val="-2"/>
          <w:sz w:val="28"/>
        </w:rPr>
        <w:t>Reproductive</w:t>
      </w:r>
      <w:r>
        <w:rPr>
          <w:color w:val="365F91"/>
          <w:spacing w:val="5"/>
          <w:sz w:val="28"/>
        </w:rPr>
        <w:t> </w:t>
      </w:r>
      <w:r>
        <w:rPr>
          <w:color w:val="365F91"/>
          <w:spacing w:val="-2"/>
          <w:sz w:val="28"/>
        </w:rPr>
        <w:t>Health</w:t>
      </w:r>
    </w:p>
    <w:p>
      <w:pPr>
        <w:pStyle w:val="BodyText"/>
        <w:spacing w:line="276" w:lineRule="auto" w:before="293"/>
        <w:ind w:left="463" w:right="240" w:firstLine="14"/>
        <w:jc w:val="both"/>
      </w:pPr>
      <w:r>
        <w:rPr/>
        <w:t>Fertility preservation and family-building remain priority issues in the care of LGBTQ adolescents. Current guidelines for the care of transgender and gender-diverse adolescents and young adults recommend</w:t>
      </w:r>
      <w:r>
        <w:rPr>
          <w:spacing w:val="-5"/>
        </w:rPr>
        <w:t> </w:t>
      </w:r>
      <w:r>
        <w:rPr/>
        <w:t>discussing</w:t>
      </w:r>
      <w:r>
        <w:rPr>
          <w:spacing w:val="-6"/>
        </w:rPr>
        <w:t> </w:t>
      </w:r>
      <w:r>
        <w:rPr/>
        <w:t>potential</w:t>
      </w:r>
      <w:r>
        <w:rPr>
          <w:spacing w:val="-6"/>
        </w:rPr>
        <w:t> </w:t>
      </w:r>
      <w:r>
        <w:rPr/>
        <w:t>fertility</w:t>
      </w:r>
      <w:r>
        <w:rPr>
          <w:spacing w:val="-7"/>
        </w:rPr>
        <w:t> </w:t>
      </w:r>
      <w:r>
        <w:rPr/>
        <w:t>impairment</w:t>
      </w:r>
      <w:r>
        <w:rPr>
          <w:spacing w:val="-7"/>
        </w:rPr>
        <w:t> </w:t>
      </w:r>
      <w:r>
        <w:rPr/>
        <w:t>and</w:t>
      </w:r>
      <w:r>
        <w:rPr>
          <w:spacing w:val="-8"/>
        </w:rPr>
        <w:t> </w:t>
      </w:r>
      <w:r>
        <w:rPr/>
        <w:t>fertility</w:t>
      </w:r>
      <w:r>
        <w:rPr>
          <w:spacing w:val="-5"/>
        </w:rPr>
        <w:t> </w:t>
      </w:r>
      <w:r>
        <w:rPr/>
        <w:t>preservation</w:t>
      </w:r>
      <w:r>
        <w:rPr>
          <w:spacing w:val="-6"/>
        </w:rPr>
        <w:t> </w:t>
      </w:r>
      <w:r>
        <w:rPr/>
        <w:t>options</w:t>
      </w:r>
      <w:r>
        <w:rPr>
          <w:spacing w:val="-7"/>
        </w:rPr>
        <w:t> </w:t>
      </w:r>
      <w:r>
        <w:rPr/>
        <w:t>with</w:t>
      </w:r>
      <w:r>
        <w:rPr>
          <w:spacing w:val="-5"/>
        </w:rPr>
        <w:t> </w:t>
      </w:r>
      <w:r>
        <w:rPr/>
        <w:t>youth</w:t>
      </w:r>
      <w:r>
        <w:rPr>
          <w:spacing w:val="-8"/>
        </w:rPr>
        <w:t> </w:t>
      </w:r>
      <w:r>
        <w:rPr/>
        <w:t>and their caregivers prior to the initiation of certain gender-affirming treatments. </w:t>
      </w:r>
      <w:r>
        <w:rPr>
          <w:vertAlign w:val="superscript"/>
        </w:rPr>
        <w:t>72</w:t>
      </w:r>
      <w:r>
        <w:rPr>
          <w:vertAlign w:val="baseline"/>
        </w:rPr>
        <w:t> </w:t>
      </w:r>
      <w:r>
        <w:rPr>
          <w:vertAlign w:val="superscript"/>
        </w:rPr>
        <w:t>,</w:t>
      </w:r>
      <w:r>
        <w:rPr>
          <w:vertAlign w:val="baseline"/>
        </w:rPr>
        <w:t> </w:t>
      </w:r>
      <w:r>
        <w:rPr>
          <w:vertAlign w:val="superscript"/>
        </w:rPr>
        <w:t>73</w:t>
      </w:r>
      <w:r>
        <w:rPr>
          <w:vertAlign w:val="baseline"/>
        </w:rPr>
        <w:t> Despite this guidance,</w:t>
      </w:r>
      <w:r>
        <w:rPr>
          <w:spacing w:val="-4"/>
          <w:vertAlign w:val="baseline"/>
        </w:rPr>
        <w:t> </w:t>
      </w:r>
      <w:r>
        <w:rPr>
          <w:vertAlign w:val="baseline"/>
        </w:rPr>
        <w:t>provider</w:t>
      </w:r>
      <w:r>
        <w:rPr>
          <w:spacing w:val="-5"/>
          <w:vertAlign w:val="baseline"/>
        </w:rPr>
        <w:t> </w:t>
      </w:r>
      <w:r>
        <w:rPr>
          <w:vertAlign w:val="baseline"/>
        </w:rPr>
        <w:t>knowledge</w:t>
      </w:r>
      <w:r>
        <w:rPr>
          <w:spacing w:val="-5"/>
          <w:vertAlign w:val="baseline"/>
        </w:rPr>
        <w:t> </w:t>
      </w:r>
      <w:r>
        <w:rPr>
          <w:vertAlign w:val="baseline"/>
        </w:rPr>
        <w:t>and</w:t>
      </w:r>
      <w:r>
        <w:rPr>
          <w:spacing w:val="-4"/>
          <w:vertAlign w:val="baseline"/>
        </w:rPr>
        <w:t> </w:t>
      </w:r>
      <w:r>
        <w:rPr>
          <w:vertAlign w:val="baseline"/>
        </w:rPr>
        <w:t>referral</w:t>
      </w:r>
      <w:r>
        <w:rPr>
          <w:spacing w:val="-5"/>
          <w:vertAlign w:val="baseline"/>
        </w:rPr>
        <w:t> </w:t>
      </w:r>
      <w:r>
        <w:rPr>
          <w:vertAlign w:val="baseline"/>
        </w:rPr>
        <w:t>practices</w:t>
      </w:r>
      <w:r>
        <w:rPr>
          <w:spacing w:val="-3"/>
          <w:vertAlign w:val="baseline"/>
        </w:rPr>
        <w:t> </w:t>
      </w:r>
      <w:r>
        <w:rPr>
          <w:vertAlign w:val="baseline"/>
        </w:rPr>
        <w:t>vary</w:t>
      </w:r>
      <w:r>
        <w:rPr>
          <w:spacing w:val="-5"/>
          <w:vertAlign w:val="baseline"/>
        </w:rPr>
        <w:t> </w:t>
      </w:r>
      <w:r>
        <w:rPr>
          <w:vertAlign w:val="baseline"/>
        </w:rPr>
        <w:t>widely,</w:t>
      </w:r>
      <w:r>
        <w:rPr>
          <w:spacing w:val="-5"/>
          <w:vertAlign w:val="baseline"/>
        </w:rPr>
        <w:t> </w:t>
      </w:r>
      <w:r>
        <w:rPr>
          <w:vertAlign w:val="baseline"/>
        </w:rPr>
        <w:t>resulting</w:t>
      </w:r>
      <w:r>
        <w:rPr>
          <w:spacing w:val="-4"/>
          <w:vertAlign w:val="baseline"/>
        </w:rPr>
        <w:t> </w:t>
      </w:r>
      <w:r>
        <w:rPr>
          <w:vertAlign w:val="baseline"/>
        </w:rPr>
        <w:t>in</w:t>
      </w:r>
      <w:r>
        <w:rPr>
          <w:spacing w:val="-4"/>
          <w:vertAlign w:val="baseline"/>
        </w:rPr>
        <w:t> </w:t>
      </w:r>
      <w:r>
        <w:rPr>
          <w:vertAlign w:val="baseline"/>
        </w:rPr>
        <w:t>inconsistent</w:t>
      </w:r>
      <w:r>
        <w:rPr>
          <w:spacing w:val="-4"/>
          <w:vertAlign w:val="baseline"/>
        </w:rPr>
        <w:t> </w:t>
      </w:r>
      <w:r>
        <w:rPr>
          <w:vertAlign w:val="baseline"/>
        </w:rPr>
        <w:t>experiences in</w:t>
      </w:r>
      <w:r>
        <w:rPr>
          <w:spacing w:val="-11"/>
          <w:vertAlign w:val="baseline"/>
        </w:rPr>
        <w:t> </w:t>
      </w:r>
      <w:r>
        <w:rPr>
          <w:vertAlign w:val="baseline"/>
        </w:rPr>
        <w:t>fertility</w:t>
      </w:r>
      <w:r>
        <w:rPr>
          <w:spacing w:val="-2"/>
          <w:vertAlign w:val="baseline"/>
        </w:rPr>
        <w:t> </w:t>
      </w:r>
      <w:r>
        <w:rPr>
          <w:vertAlign w:val="baseline"/>
        </w:rPr>
        <w:t>counseling.</w:t>
      </w:r>
      <w:r>
        <w:rPr>
          <w:vertAlign w:val="superscript"/>
        </w:rPr>
        <w:t>74,75</w:t>
      </w:r>
      <w:r>
        <w:rPr>
          <w:spacing w:val="-13"/>
          <w:vertAlign w:val="baseline"/>
        </w:rPr>
        <w:t> </w:t>
      </w:r>
      <w:r>
        <w:rPr>
          <w:vertAlign w:val="baseline"/>
        </w:rPr>
        <w:t>However,</w:t>
      </w:r>
      <w:r>
        <w:rPr>
          <w:spacing w:val="-4"/>
          <w:vertAlign w:val="baseline"/>
        </w:rPr>
        <w:t> </w:t>
      </w:r>
      <w:r>
        <w:rPr>
          <w:vertAlign w:val="baseline"/>
        </w:rPr>
        <w:t>research</w:t>
      </w:r>
      <w:r>
        <w:rPr>
          <w:spacing w:val="-3"/>
          <w:vertAlign w:val="baseline"/>
        </w:rPr>
        <w:t> </w:t>
      </w:r>
      <w:r>
        <w:rPr>
          <w:vertAlign w:val="baseline"/>
        </w:rPr>
        <w:t>has</w:t>
      </w:r>
      <w:r>
        <w:rPr>
          <w:spacing w:val="-2"/>
          <w:vertAlign w:val="baseline"/>
        </w:rPr>
        <w:t> </w:t>
      </w:r>
      <w:r>
        <w:rPr>
          <w:vertAlign w:val="baseline"/>
        </w:rPr>
        <w:t>demonstrated</w:t>
      </w:r>
      <w:r>
        <w:rPr>
          <w:spacing w:val="-3"/>
          <w:vertAlign w:val="baseline"/>
        </w:rPr>
        <w:t> </w:t>
      </w:r>
      <w:r>
        <w:rPr>
          <w:vertAlign w:val="baseline"/>
        </w:rPr>
        <w:t>that</w:t>
      </w:r>
      <w:r>
        <w:rPr>
          <w:spacing w:val="-3"/>
          <w:vertAlign w:val="baseline"/>
        </w:rPr>
        <w:t> </w:t>
      </w:r>
      <w:r>
        <w:rPr>
          <w:vertAlign w:val="baseline"/>
        </w:rPr>
        <w:t>many</w:t>
      </w:r>
      <w:r>
        <w:rPr>
          <w:spacing w:val="-3"/>
          <w:vertAlign w:val="baseline"/>
        </w:rPr>
        <w:t> </w:t>
      </w:r>
      <w:r>
        <w:rPr>
          <w:vertAlign w:val="baseline"/>
        </w:rPr>
        <w:t>transgender</w:t>
      </w:r>
      <w:r>
        <w:rPr>
          <w:spacing w:val="-3"/>
          <w:vertAlign w:val="baseline"/>
        </w:rPr>
        <w:t> </w:t>
      </w:r>
      <w:r>
        <w:rPr>
          <w:vertAlign w:val="baseline"/>
        </w:rPr>
        <w:t>adults</w:t>
      </w:r>
      <w:r>
        <w:rPr>
          <w:spacing w:val="-4"/>
          <w:vertAlign w:val="baseline"/>
        </w:rPr>
        <w:t> </w:t>
      </w:r>
      <w:r>
        <w:rPr>
          <w:vertAlign w:val="baseline"/>
        </w:rPr>
        <w:t>express a</w:t>
      </w:r>
      <w:r>
        <w:rPr>
          <w:spacing w:val="-13"/>
          <w:vertAlign w:val="baseline"/>
        </w:rPr>
        <w:t> </w:t>
      </w:r>
      <w:r>
        <w:rPr>
          <w:vertAlign w:val="baseline"/>
        </w:rPr>
        <w:t>desire</w:t>
      </w:r>
      <w:r>
        <w:rPr>
          <w:spacing w:val="-12"/>
          <w:vertAlign w:val="baseline"/>
        </w:rPr>
        <w:t> </w:t>
      </w:r>
      <w:r>
        <w:rPr>
          <w:vertAlign w:val="baseline"/>
        </w:rPr>
        <w:t>to</w:t>
      </w:r>
      <w:r>
        <w:rPr>
          <w:spacing w:val="-13"/>
          <w:vertAlign w:val="baseline"/>
        </w:rPr>
        <w:t> </w:t>
      </w:r>
      <w:r>
        <w:rPr>
          <w:vertAlign w:val="baseline"/>
        </w:rPr>
        <w:t>have</w:t>
      </w:r>
      <w:r>
        <w:rPr>
          <w:spacing w:val="-12"/>
          <w:vertAlign w:val="baseline"/>
        </w:rPr>
        <w:t> </w:t>
      </w:r>
      <w:r>
        <w:rPr>
          <w:vertAlign w:val="baseline"/>
        </w:rPr>
        <w:t>a</w:t>
      </w:r>
      <w:r>
        <w:rPr>
          <w:spacing w:val="-13"/>
          <w:vertAlign w:val="baseline"/>
        </w:rPr>
        <w:t> </w:t>
      </w:r>
      <w:r>
        <w:rPr>
          <w:vertAlign w:val="baseline"/>
        </w:rPr>
        <w:t>child</w:t>
      </w:r>
      <w:r>
        <w:rPr>
          <w:spacing w:val="-12"/>
          <w:vertAlign w:val="baseline"/>
        </w:rPr>
        <w:t> </w:t>
      </w:r>
      <w:r>
        <w:rPr>
          <w:vertAlign w:val="baseline"/>
        </w:rPr>
        <w:t>and</w:t>
      </w:r>
      <w:r>
        <w:rPr>
          <w:spacing w:val="-13"/>
          <w:vertAlign w:val="baseline"/>
        </w:rPr>
        <w:t> </w:t>
      </w:r>
      <w:r>
        <w:rPr>
          <w:vertAlign w:val="baseline"/>
        </w:rPr>
        <w:t>are</w:t>
      </w:r>
      <w:r>
        <w:rPr>
          <w:spacing w:val="-12"/>
          <w:vertAlign w:val="baseline"/>
        </w:rPr>
        <w:t> </w:t>
      </w:r>
      <w:r>
        <w:rPr>
          <w:vertAlign w:val="baseline"/>
        </w:rPr>
        <w:t>interested</w:t>
      </w:r>
      <w:r>
        <w:rPr>
          <w:spacing w:val="-12"/>
          <w:vertAlign w:val="baseline"/>
        </w:rPr>
        <w:t> </w:t>
      </w:r>
      <w:r>
        <w:rPr>
          <w:vertAlign w:val="baseline"/>
        </w:rPr>
        <w:t>in</w:t>
      </w:r>
      <w:r>
        <w:rPr>
          <w:spacing w:val="-13"/>
          <w:vertAlign w:val="baseline"/>
        </w:rPr>
        <w:t> </w:t>
      </w:r>
      <w:r>
        <w:rPr>
          <w:vertAlign w:val="baseline"/>
        </w:rPr>
        <w:t>biological</w:t>
      </w:r>
      <w:r>
        <w:rPr>
          <w:spacing w:val="-12"/>
          <w:vertAlign w:val="baseline"/>
        </w:rPr>
        <w:t> </w:t>
      </w:r>
      <w:r>
        <w:rPr>
          <w:vertAlign w:val="baseline"/>
        </w:rPr>
        <w:t>parenthood.</w:t>
      </w:r>
      <w:r>
        <w:rPr>
          <w:vertAlign w:val="superscript"/>
        </w:rPr>
        <w:t>76</w:t>
      </w:r>
      <w:r>
        <w:rPr>
          <w:spacing w:val="-13"/>
          <w:vertAlign w:val="baseline"/>
        </w:rPr>
        <w:t> </w:t>
      </w:r>
      <w:r>
        <w:rPr>
          <w:vertAlign w:val="baseline"/>
        </w:rPr>
        <w:t>Despite</w:t>
      </w:r>
      <w:r>
        <w:rPr>
          <w:spacing w:val="-12"/>
          <w:vertAlign w:val="baseline"/>
        </w:rPr>
        <w:t> </w:t>
      </w:r>
      <w:r>
        <w:rPr>
          <w:vertAlign w:val="baseline"/>
        </w:rPr>
        <w:t>this,</w:t>
      </w:r>
      <w:r>
        <w:rPr>
          <w:spacing w:val="-10"/>
          <w:vertAlign w:val="baseline"/>
        </w:rPr>
        <w:t> </w:t>
      </w:r>
      <w:r>
        <w:rPr>
          <w:vertAlign w:val="baseline"/>
        </w:rPr>
        <w:t>fertility</w:t>
      </w:r>
      <w:r>
        <w:rPr>
          <w:spacing w:val="-11"/>
          <w:vertAlign w:val="baseline"/>
        </w:rPr>
        <w:t> </w:t>
      </w:r>
      <w:r>
        <w:rPr>
          <w:vertAlign w:val="baseline"/>
        </w:rPr>
        <w:t>preservation rates</w:t>
      </w:r>
      <w:r>
        <w:rPr>
          <w:spacing w:val="-3"/>
          <w:vertAlign w:val="baseline"/>
        </w:rPr>
        <w:t> </w:t>
      </w:r>
      <w:r>
        <w:rPr>
          <w:vertAlign w:val="baseline"/>
        </w:rPr>
        <w:t>remain</w:t>
      </w:r>
      <w:r>
        <w:rPr>
          <w:spacing w:val="-1"/>
          <w:vertAlign w:val="baseline"/>
        </w:rPr>
        <w:t> </w:t>
      </w:r>
      <w:r>
        <w:rPr>
          <w:vertAlign w:val="baseline"/>
        </w:rPr>
        <w:t>low</w:t>
      </w:r>
      <w:r>
        <w:rPr>
          <w:spacing w:val="-3"/>
          <w:vertAlign w:val="baseline"/>
        </w:rPr>
        <w:t> </w:t>
      </w:r>
      <w:r>
        <w:rPr>
          <w:vertAlign w:val="baseline"/>
        </w:rPr>
        <w:t>among</w:t>
      </w:r>
      <w:r>
        <w:rPr>
          <w:spacing w:val="-2"/>
          <w:vertAlign w:val="baseline"/>
        </w:rPr>
        <w:t> </w:t>
      </w:r>
      <w:r>
        <w:rPr>
          <w:vertAlign w:val="baseline"/>
        </w:rPr>
        <w:t>transgender</w:t>
      </w:r>
      <w:r>
        <w:rPr>
          <w:spacing w:val="-2"/>
          <w:vertAlign w:val="baseline"/>
        </w:rPr>
        <w:t> </w:t>
      </w:r>
      <w:r>
        <w:rPr>
          <w:vertAlign w:val="baseline"/>
        </w:rPr>
        <w:t>youth;</w:t>
      </w:r>
      <w:r>
        <w:rPr>
          <w:spacing w:val="-2"/>
          <w:vertAlign w:val="baseline"/>
        </w:rPr>
        <w:t> </w:t>
      </w:r>
      <w:r>
        <w:rPr>
          <w:vertAlign w:val="baseline"/>
        </w:rPr>
        <w:t>a</w:t>
      </w:r>
      <w:r>
        <w:rPr>
          <w:spacing w:val="-3"/>
          <w:vertAlign w:val="baseline"/>
        </w:rPr>
        <w:t> </w:t>
      </w:r>
      <w:r>
        <w:rPr>
          <w:vertAlign w:val="baseline"/>
        </w:rPr>
        <w:t>2017</w:t>
      </w:r>
      <w:r>
        <w:rPr>
          <w:spacing w:val="-3"/>
          <w:vertAlign w:val="baseline"/>
        </w:rPr>
        <w:t> </w:t>
      </w:r>
      <w:r>
        <w:rPr>
          <w:vertAlign w:val="baseline"/>
        </w:rPr>
        <w:t>review</w:t>
      </w:r>
      <w:r>
        <w:rPr>
          <w:spacing w:val="-3"/>
          <w:vertAlign w:val="baseline"/>
        </w:rPr>
        <w:t> </w:t>
      </w:r>
      <w:r>
        <w:rPr>
          <w:vertAlign w:val="baseline"/>
        </w:rPr>
        <w:t>of</w:t>
      </w:r>
      <w:r>
        <w:rPr>
          <w:spacing w:val="-3"/>
          <w:vertAlign w:val="baseline"/>
        </w:rPr>
        <w:t> </w:t>
      </w:r>
      <w:r>
        <w:rPr>
          <w:vertAlign w:val="baseline"/>
        </w:rPr>
        <w:t>medical</w:t>
      </w:r>
      <w:r>
        <w:rPr>
          <w:spacing w:val="-3"/>
          <w:vertAlign w:val="baseline"/>
        </w:rPr>
        <w:t> </w:t>
      </w:r>
      <w:r>
        <w:rPr>
          <w:vertAlign w:val="baseline"/>
        </w:rPr>
        <w:t>records</w:t>
      </w:r>
      <w:r>
        <w:rPr>
          <w:spacing w:val="-3"/>
          <w:vertAlign w:val="baseline"/>
        </w:rPr>
        <w:t> </w:t>
      </w:r>
      <w:r>
        <w:rPr>
          <w:vertAlign w:val="baseline"/>
        </w:rPr>
        <w:t>at</w:t>
      </w:r>
      <w:r>
        <w:rPr>
          <w:spacing w:val="-3"/>
          <w:vertAlign w:val="baseline"/>
        </w:rPr>
        <w:t> </w:t>
      </w:r>
      <w:r>
        <w:rPr>
          <w:vertAlign w:val="baseline"/>
        </w:rPr>
        <w:t>a</w:t>
      </w:r>
      <w:r>
        <w:rPr>
          <w:spacing w:val="-3"/>
          <w:vertAlign w:val="baseline"/>
        </w:rPr>
        <w:t> </w:t>
      </w:r>
      <w:r>
        <w:rPr>
          <w:vertAlign w:val="baseline"/>
        </w:rPr>
        <w:t>pediatric</w:t>
      </w:r>
      <w:r>
        <w:rPr>
          <w:spacing w:val="-3"/>
          <w:vertAlign w:val="baseline"/>
        </w:rPr>
        <w:t> </w:t>
      </w:r>
      <w:r>
        <w:rPr>
          <w:vertAlign w:val="baseline"/>
        </w:rPr>
        <w:t>academic</w:t>
      </w:r>
    </w:p>
    <w:p>
      <w:pPr>
        <w:spacing w:after="0" w:line="276" w:lineRule="auto"/>
        <w:jc w:val="both"/>
        <w:sectPr>
          <w:pgSz w:w="12240" w:h="15840"/>
          <w:pgMar w:header="721" w:footer="1061" w:top="1360" w:bottom="1260" w:left="1120" w:right="1340"/>
        </w:sectPr>
      </w:pPr>
    </w:p>
    <w:p>
      <w:pPr>
        <w:pStyle w:val="BodyText"/>
        <w:spacing w:line="276" w:lineRule="auto" w:before="67"/>
        <w:ind w:left="464" w:right="240"/>
        <w:jc w:val="both"/>
      </w:pPr>
      <w:r>
        <w:rPr/>
        <w:t>center found that only 2 out of 72 patients engaged in fertility preservation, even when counseling was offered.</w:t>
      </w:r>
      <w:r>
        <w:rPr>
          <w:vertAlign w:val="superscript"/>
        </w:rPr>
        <w:t>77</w:t>
      </w:r>
    </w:p>
    <w:p>
      <w:pPr>
        <w:pStyle w:val="BodyText"/>
        <w:spacing w:line="264" w:lineRule="auto" w:before="241"/>
        <w:ind w:left="6559" w:right="241"/>
        <w:jc w:val="both"/>
      </w:pPr>
      <w:r>
        <w:rPr/>
        <w:drawing>
          <wp:anchor distT="0" distB="0" distL="0" distR="0" allowOverlap="1" layoutInCell="1" locked="0" behindDoc="0" simplePos="0" relativeHeight="15773184">
            <wp:simplePos x="0" y="0"/>
            <wp:positionH relativeFrom="page">
              <wp:posOffset>1117768</wp:posOffset>
            </wp:positionH>
            <wp:positionV relativeFrom="paragraph">
              <wp:posOffset>468162</wp:posOffset>
            </wp:positionV>
            <wp:extent cx="3457259" cy="2341959"/>
            <wp:effectExtent l="0" t="0" r="0" b="0"/>
            <wp:wrapNone/>
            <wp:docPr id="267" name="Image 267"/>
            <wp:cNvGraphicFramePr>
              <a:graphicFrameLocks/>
            </wp:cNvGraphicFramePr>
            <a:graphic>
              <a:graphicData uri="http://schemas.openxmlformats.org/drawingml/2006/picture">
                <pic:pic>
                  <pic:nvPicPr>
                    <pic:cNvPr id="267" name="Image 267"/>
                    <pic:cNvPicPr/>
                  </pic:nvPicPr>
                  <pic:blipFill>
                    <a:blip r:embed="rId279" cstate="print"/>
                    <a:stretch>
                      <a:fillRect/>
                    </a:stretch>
                  </pic:blipFill>
                  <pic:spPr>
                    <a:xfrm>
                      <a:off x="0" y="0"/>
                      <a:ext cx="3457259" cy="2341959"/>
                    </a:xfrm>
                    <a:prstGeom prst="rect">
                      <a:avLst/>
                    </a:prstGeom>
                  </pic:spPr>
                </pic:pic>
              </a:graphicData>
            </a:graphic>
          </wp:anchor>
        </w:drawing>
      </w:r>
      <w:r>
        <w:rPr/>
        <w:t>Many barriers exist for transgender individuals who desire fertility preservation, including the cost of treatment, having to delay hormonal therapy, fear of invasive procedures, concern about the attitudes</w:t>
      </w:r>
      <w:r>
        <w:rPr>
          <w:spacing w:val="-13"/>
        </w:rPr>
        <w:t> </w:t>
      </w:r>
      <w:r>
        <w:rPr/>
        <w:t>of</w:t>
      </w:r>
      <w:r>
        <w:rPr>
          <w:spacing w:val="-12"/>
        </w:rPr>
        <w:t> </w:t>
      </w:r>
      <w:r>
        <w:rPr/>
        <w:t>medical</w:t>
      </w:r>
      <w:r>
        <w:rPr>
          <w:spacing w:val="-13"/>
        </w:rPr>
        <w:t> </w:t>
      </w:r>
      <w:r>
        <w:rPr/>
        <w:t>staff,</w:t>
      </w:r>
      <w:r>
        <w:rPr>
          <w:spacing w:val="-12"/>
        </w:rPr>
        <w:t> </w:t>
      </w:r>
      <w:r>
        <w:rPr/>
        <w:t>and</w:t>
      </w:r>
      <w:r>
        <w:rPr>
          <w:spacing w:val="-13"/>
        </w:rPr>
        <w:t> </w:t>
      </w:r>
      <w:r>
        <w:rPr/>
        <w:t>the unavailability of procedures locally.</w:t>
      </w:r>
      <w:r>
        <w:rPr>
          <w:vertAlign w:val="superscript"/>
        </w:rPr>
        <w:t>78,79,80</w:t>
      </w:r>
      <w:r>
        <w:rPr>
          <w:vertAlign w:val="baseline"/>
        </w:rPr>
        <w:t> Additionally, the lack of insurance coverage for fertility preservation remains a major</w:t>
      </w:r>
      <w:r>
        <w:rPr>
          <w:spacing w:val="40"/>
          <w:vertAlign w:val="baseline"/>
        </w:rPr>
        <w:t> </w:t>
      </w:r>
      <w:r>
        <w:rPr>
          <w:vertAlign w:val="baseline"/>
        </w:rPr>
        <w:t>barrier.</w:t>
      </w:r>
      <w:r>
        <w:rPr>
          <w:spacing w:val="-4"/>
          <w:vertAlign w:val="baseline"/>
        </w:rPr>
        <w:t> </w:t>
      </w:r>
      <w:r>
        <w:rPr>
          <w:vertAlign w:val="baseline"/>
        </w:rPr>
        <w:t>LGBTQ</w:t>
      </w:r>
      <w:r>
        <w:rPr>
          <w:spacing w:val="40"/>
          <w:vertAlign w:val="baseline"/>
        </w:rPr>
        <w:t> </w:t>
      </w:r>
      <w:r>
        <w:rPr>
          <w:vertAlign w:val="baseline"/>
        </w:rPr>
        <w:t>young adults may not immediately see the</w:t>
      </w:r>
      <w:r>
        <w:rPr>
          <w:spacing w:val="-13"/>
          <w:vertAlign w:val="baseline"/>
        </w:rPr>
        <w:t> </w:t>
      </w:r>
      <w:r>
        <w:rPr>
          <w:vertAlign w:val="baseline"/>
        </w:rPr>
        <w:t>possibility</w:t>
      </w:r>
      <w:r>
        <w:rPr>
          <w:spacing w:val="-11"/>
          <w:vertAlign w:val="baseline"/>
        </w:rPr>
        <w:t> </w:t>
      </w:r>
      <w:r>
        <w:rPr>
          <w:vertAlign w:val="baseline"/>
        </w:rPr>
        <w:t>of</w:t>
      </w:r>
      <w:r>
        <w:rPr>
          <w:spacing w:val="-12"/>
          <w:vertAlign w:val="baseline"/>
        </w:rPr>
        <w:t> </w:t>
      </w:r>
      <w:r>
        <w:rPr>
          <w:vertAlign w:val="baseline"/>
        </w:rPr>
        <w:t>building</w:t>
      </w:r>
      <w:r>
        <w:rPr>
          <w:spacing w:val="-12"/>
          <w:vertAlign w:val="baseline"/>
        </w:rPr>
        <w:t> </w:t>
      </w:r>
      <w:r>
        <w:rPr>
          <w:vertAlign w:val="baseline"/>
        </w:rPr>
        <w:t>a</w:t>
      </w:r>
      <w:r>
        <w:rPr>
          <w:spacing w:val="-12"/>
          <w:vertAlign w:val="baseline"/>
        </w:rPr>
        <w:t> </w:t>
      </w:r>
      <w:r>
        <w:rPr>
          <w:vertAlign w:val="baseline"/>
        </w:rPr>
        <w:t>family when</w:t>
      </w:r>
      <w:r>
        <w:rPr>
          <w:spacing w:val="-11"/>
          <w:vertAlign w:val="baseline"/>
        </w:rPr>
        <w:t> </w:t>
      </w:r>
      <w:r>
        <w:rPr>
          <w:vertAlign w:val="baseline"/>
        </w:rPr>
        <w:t>they</w:t>
      </w:r>
      <w:r>
        <w:rPr>
          <w:spacing w:val="-11"/>
          <w:vertAlign w:val="baseline"/>
        </w:rPr>
        <w:t> </w:t>
      </w:r>
      <w:r>
        <w:rPr>
          <w:vertAlign w:val="baseline"/>
        </w:rPr>
        <w:t>do</w:t>
      </w:r>
      <w:r>
        <w:rPr>
          <w:spacing w:val="-9"/>
          <w:vertAlign w:val="baseline"/>
        </w:rPr>
        <w:t> </w:t>
      </w:r>
      <w:r>
        <w:rPr>
          <w:vertAlign w:val="baseline"/>
        </w:rPr>
        <w:t>not</w:t>
      </w:r>
      <w:r>
        <w:rPr>
          <w:spacing w:val="-10"/>
          <w:vertAlign w:val="baseline"/>
        </w:rPr>
        <w:t> </w:t>
      </w:r>
      <w:r>
        <w:rPr>
          <w:vertAlign w:val="baseline"/>
        </w:rPr>
        <w:t>see</w:t>
      </w:r>
      <w:r>
        <w:rPr>
          <w:spacing w:val="-11"/>
          <w:vertAlign w:val="baseline"/>
        </w:rPr>
        <w:t> </w:t>
      </w:r>
      <w:r>
        <w:rPr>
          <w:spacing w:val="-2"/>
          <w:vertAlign w:val="baseline"/>
        </w:rPr>
        <w:t>themselves</w:t>
      </w:r>
    </w:p>
    <w:p>
      <w:pPr>
        <w:pStyle w:val="BodyText"/>
        <w:spacing w:line="264" w:lineRule="auto"/>
        <w:ind w:left="463" w:right="241"/>
        <w:jc w:val="both"/>
      </w:pPr>
      <w:r>
        <w:rPr/>
        <w:t>reflected in adults and family structures around them. When discussing family planning with LGBTQ youth and their caregivers, providers should discuss the various options available, such as surrogacy, adoption,</w:t>
      </w:r>
      <w:r>
        <w:rPr>
          <w:spacing w:val="-4"/>
        </w:rPr>
        <w:t> </w:t>
      </w:r>
      <w:r>
        <w:rPr/>
        <w:t>assisted</w:t>
      </w:r>
      <w:r>
        <w:rPr>
          <w:spacing w:val="-4"/>
        </w:rPr>
        <w:t> </w:t>
      </w:r>
      <w:r>
        <w:rPr/>
        <w:t>reproduction,</w:t>
      </w:r>
      <w:r>
        <w:rPr>
          <w:spacing w:val="-4"/>
        </w:rPr>
        <w:t> </w:t>
      </w:r>
      <w:r>
        <w:rPr/>
        <w:t>or</w:t>
      </w:r>
      <w:r>
        <w:rPr>
          <w:spacing w:val="-4"/>
        </w:rPr>
        <w:t> </w:t>
      </w:r>
      <w:r>
        <w:rPr/>
        <w:t>co-parenting.</w:t>
      </w:r>
      <w:r>
        <w:rPr>
          <w:spacing w:val="-4"/>
        </w:rPr>
        <w:t> </w:t>
      </w:r>
      <w:r>
        <w:rPr/>
        <w:t>Providers</w:t>
      </w:r>
      <w:r>
        <w:rPr>
          <w:spacing w:val="-4"/>
        </w:rPr>
        <w:t> </w:t>
      </w:r>
      <w:r>
        <w:rPr/>
        <w:t>should</w:t>
      </w:r>
      <w:r>
        <w:rPr>
          <w:spacing w:val="-3"/>
        </w:rPr>
        <w:t> </w:t>
      </w:r>
      <w:r>
        <w:rPr/>
        <w:t>also</w:t>
      </w:r>
      <w:r>
        <w:rPr>
          <w:spacing w:val="-3"/>
        </w:rPr>
        <w:t> </w:t>
      </w:r>
      <w:r>
        <w:rPr/>
        <w:t>ensure</w:t>
      </w:r>
      <w:r>
        <w:rPr>
          <w:spacing w:val="-4"/>
        </w:rPr>
        <w:t> </w:t>
      </w:r>
      <w:r>
        <w:rPr/>
        <w:t>that</w:t>
      </w:r>
      <w:r>
        <w:rPr>
          <w:spacing w:val="-4"/>
        </w:rPr>
        <w:t> </w:t>
      </w:r>
      <w:r>
        <w:rPr/>
        <w:t>youth</w:t>
      </w:r>
      <w:r>
        <w:rPr>
          <w:spacing w:val="-3"/>
        </w:rPr>
        <w:t> </w:t>
      </w:r>
      <w:r>
        <w:rPr/>
        <w:t>understand that testosterone is not a form of birth control, and that transgender men and nonbinary individuals may</w:t>
      </w:r>
      <w:r>
        <w:rPr>
          <w:spacing w:val="-4"/>
        </w:rPr>
        <w:t> </w:t>
      </w:r>
      <w:r>
        <w:rPr/>
        <w:t>still</w:t>
      </w:r>
      <w:r>
        <w:rPr>
          <w:spacing w:val="-4"/>
        </w:rPr>
        <w:t> </w:t>
      </w:r>
      <w:r>
        <w:rPr/>
        <w:t>become</w:t>
      </w:r>
      <w:r>
        <w:rPr>
          <w:spacing w:val="-4"/>
        </w:rPr>
        <w:t> </w:t>
      </w:r>
      <w:r>
        <w:rPr/>
        <w:t>pregnant</w:t>
      </w:r>
      <w:r>
        <w:rPr>
          <w:spacing w:val="-3"/>
        </w:rPr>
        <w:t> </w:t>
      </w:r>
      <w:r>
        <w:rPr/>
        <w:t>while</w:t>
      </w:r>
      <w:r>
        <w:rPr>
          <w:spacing w:val="-4"/>
        </w:rPr>
        <w:t> </w:t>
      </w:r>
      <w:r>
        <w:rPr/>
        <w:t>on</w:t>
      </w:r>
      <w:r>
        <w:rPr>
          <w:spacing w:val="-3"/>
        </w:rPr>
        <w:t> </w:t>
      </w:r>
      <w:r>
        <w:rPr/>
        <w:t>testosterone.</w:t>
      </w:r>
      <w:r>
        <w:rPr>
          <w:spacing w:val="-4"/>
        </w:rPr>
        <w:t> </w:t>
      </w:r>
      <w:r>
        <w:rPr/>
        <w:t>This</w:t>
      </w:r>
      <w:r>
        <w:rPr>
          <w:spacing w:val="-4"/>
        </w:rPr>
        <w:t> </w:t>
      </w:r>
      <w:r>
        <w:rPr/>
        <w:t>counseling</w:t>
      </w:r>
      <w:r>
        <w:rPr>
          <w:spacing w:val="-3"/>
        </w:rPr>
        <w:t> </w:t>
      </w:r>
      <w:r>
        <w:rPr/>
        <w:t>is</w:t>
      </w:r>
      <w:r>
        <w:rPr>
          <w:spacing w:val="-4"/>
        </w:rPr>
        <w:t> </w:t>
      </w:r>
      <w:r>
        <w:rPr/>
        <w:t>especially</w:t>
      </w:r>
      <w:r>
        <w:rPr>
          <w:spacing w:val="-4"/>
        </w:rPr>
        <w:t> </w:t>
      </w:r>
      <w:r>
        <w:rPr/>
        <w:t>important</w:t>
      </w:r>
      <w:r>
        <w:rPr>
          <w:spacing w:val="-3"/>
        </w:rPr>
        <w:t> </w:t>
      </w:r>
      <w:r>
        <w:rPr/>
        <w:t>since</w:t>
      </w:r>
      <w:r>
        <w:rPr>
          <w:spacing w:val="-4"/>
        </w:rPr>
        <w:t> </w:t>
      </w:r>
      <w:r>
        <w:rPr/>
        <w:t>LGBTQ youth may be at an increased risk for teenage pregnancy.</w:t>
      </w:r>
      <w:r>
        <w:rPr>
          <w:vertAlign w:val="superscript"/>
        </w:rPr>
        <w:t>81</w:t>
      </w:r>
    </w:p>
    <w:p>
      <w:pPr>
        <w:pStyle w:val="BodyText"/>
        <w:spacing w:before="240"/>
        <w:ind w:left="464"/>
        <w:jc w:val="both"/>
      </w:pPr>
      <w:bookmarkStart w:name="Sexually Transmitted Infections (STIs)" w:id="359"/>
      <w:bookmarkEnd w:id="359"/>
      <w:r>
        <w:rPr/>
      </w:r>
      <w:r>
        <w:rPr>
          <w:color w:val="365F91"/>
          <w:spacing w:val="-2"/>
        </w:rPr>
        <w:t>Sexually</w:t>
      </w:r>
      <w:r>
        <w:rPr>
          <w:color w:val="365F91"/>
          <w:spacing w:val="7"/>
        </w:rPr>
        <w:t> </w:t>
      </w:r>
      <w:r>
        <w:rPr>
          <w:color w:val="365F91"/>
          <w:spacing w:val="-2"/>
        </w:rPr>
        <w:t>Transmitted</w:t>
      </w:r>
      <w:r>
        <w:rPr>
          <w:color w:val="365F91"/>
          <w:spacing w:val="6"/>
        </w:rPr>
        <w:t> </w:t>
      </w:r>
      <w:r>
        <w:rPr>
          <w:color w:val="365F91"/>
          <w:spacing w:val="-2"/>
        </w:rPr>
        <w:t>Infections</w:t>
      </w:r>
      <w:r>
        <w:rPr>
          <w:color w:val="365F91"/>
          <w:spacing w:val="7"/>
        </w:rPr>
        <w:t> </w:t>
      </w:r>
      <w:r>
        <w:rPr>
          <w:color w:val="365F91"/>
          <w:spacing w:val="-2"/>
        </w:rPr>
        <w:t>(STIs)</w:t>
      </w:r>
    </w:p>
    <w:p>
      <w:pPr>
        <w:pStyle w:val="BodyText"/>
        <w:spacing w:before="11"/>
      </w:pPr>
    </w:p>
    <w:p>
      <w:pPr>
        <w:pStyle w:val="BodyText"/>
        <w:spacing w:line="276" w:lineRule="auto"/>
        <w:ind w:left="463" w:right="242" w:firstLine="13"/>
        <w:jc w:val="both"/>
      </w:pPr>
      <w:r>
        <w:rPr/>
        <w:t>In a recent national 2021 HIV study of youth over 18, the risk of HIV for LGBTQ youth is still much higher compared to their non-LGBTQ peers, especially among young gay and bisexual cisgender men and transgender women.</w:t>
      </w:r>
      <w:r>
        <w:rPr>
          <w:vertAlign w:val="superscript"/>
        </w:rPr>
        <w:t>82</w:t>
      </w:r>
      <w:r>
        <w:rPr>
          <w:spacing w:val="-13"/>
          <w:vertAlign w:val="baseline"/>
        </w:rPr>
        <w:t> </w:t>
      </w:r>
      <w:r>
        <w:rPr>
          <w:vertAlign w:val="baseline"/>
        </w:rPr>
        <w:t>Furthermore, trans women may be 66 times more likely to be diagnosed with HIV, and trans men 7 times more likely to be diagnosed. These disparities are likely due to a few factors,</w:t>
      </w:r>
      <w:r>
        <w:rPr>
          <w:spacing w:val="-1"/>
          <w:vertAlign w:val="baseline"/>
        </w:rPr>
        <w:t> </w:t>
      </w:r>
      <w:r>
        <w:rPr>
          <w:vertAlign w:val="baseline"/>
        </w:rPr>
        <w:t>including</w:t>
      </w:r>
      <w:r>
        <w:rPr>
          <w:spacing w:val="-1"/>
          <w:vertAlign w:val="baseline"/>
        </w:rPr>
        <w:t> </w:t>
      </w:r>
      <w:r>
        <w:rPr>
          <w:vertAlign w:val="baseline"/>
        </w:rPr>
        <w:t>stigma and</w:t>
      </w:r>
      <w:r>
        <w:rPr>
          <w:spacing w:val="-1"/>
          <w:vertAlign w:val="baseline"/>
        </w:rPr>
        <w:t> </w:t>
      </w:r>
      <w:r>
        <w:rPr>
          <w:vertAlign w:val="baseline"/>
        </w:rPr>
        <w:t>discrimination,</w:t>
      </w:r>
      <w:r>
        <w:rPr>
          <w:spacing w:val="-1"/>
          <w:vertAlign w:val="baseline"/>
        </w:rPr>
        <w:t> </w:t>
      </w:r>
      <w:r>
        <w:rPr>
          <w:vertAlign w:val="baseline"/>
        </w:rPr>
        <w:t>lack</w:t>
      </w:r>
      <w:r>
        <w:rPr>
          <w:spacing w:val="-1"/>
          <w:vertAlign w:val="baseline"/>
        </w:rPr>
        <w:t> </w:t>
      </w:r>
      <w:r>
        <w:rPr>
          <w:vertAlign w:val="baseline"/>
        </w:rPr>
        <w:t>of</w:t>
      </w:r>
      <w:r>
        <w:rPr>
          <w:spacing w:val="-1"/>
          <w:vertAlign w:val="baseline"/>
        </w:rPr>
        <w:t> </w:t>
      </w:r>
      <w:r>
        <w:rPr>
          <w:vertAlign w:val="baseline"/>
        </w:rPr>
        <w:t>access to comprehensive sexual health education and resources, and higher rates of risky behaviors such as unprotected sex and injection drug use. Fortunately, in Massachusetts, HIV transmission rates in youth aged 0-19 have lowered significantly, with youth aged 0-19 making up only 2% of recent HIV infection diagnoses in 2020.</w:t>
      </w:r>
      <w:r>
        <w:rPr>
          <w:vertAlign w:val="superscript"/>
        </w:rPr>
        <w:t>83</w:t>
      </w:r>
    </w:p>
    <w:p>
      <w:pPr>
        <w:pStyle w:val="BodyText"/>
        <w:spacing w:line="276" w:lineRule="auto" w:before="240"/>
        <w:ind w:left="463" w:right="242" w:firstLine="13"/>
        <w:jc w:val="both"/>
      </w:pPr>
      <w:r>
        <w:rPr/>
        <w:t>Unfortunately, it is still important to note that societal stigma and discrimination can make it difficult for</w:t>
      </w:r>
      <w:r>
        <w:rPr>
          <w:spacing w:val="-9"/>
        </w:rPr>
        <w:t> </w:t>
      </w:r>
      <w:r>
        <w:rPr/>
        <w:t>LGBTQ</w:t>
      </w:r>
      <w:r>
        <w:rPr>
          <w:spacing w:val="-9"/>
        </w:rPr>
        <w:t> </w:t>
      </w:r>
      <w:r>
        <w:rPr/>
        <w:t>youth</w:t>
      </w:r>
      <w:r>
        <w:rPr>
          <w:spacing w:val="-9"/>
        </w:rPr>
        <w:t> </w:t>
      </w:r>
      <w:r>
        <w:rPr/>
        <w:t>in</w:t>
      </w:r>
      <w:r>
        <w:rPr>
          <w:spacing w:val="-9"/>
        </w:rPr>
        <w:t> </w:t>
      </w:r>
      <w:r>
        <w:rPr/>
        <w:t>general</w:t>
      </w:r>
      <w:r>
        <w:rPr>
          <w:spacing w:val="-9"/>
        </w:rPr>
        <w:t> </w:t>
      </w:r>
      <w:r>
        <w:rPr/>
        <w:t>to</w:t>
      </w:r>
      <w:r>
        <w:rPr>
          <w:spacing w:val="-8"/>
        </w:rPr>
        <w:t> </w:t>
      </w:r>
      <w:r>
        <w:rPr/>
        <w:t>seek</w:t>
      </w:r>
      <w:r>
        <w:rPr>
          <w:spacing w:val="-9"/>
        </w:rPr>
        <w:t> </w:t>
      </w:r>
      <w:r>
        <w:rPr/>
        <w:t>out</w:t>
      </w:r>
      <w:r>
        <w:rPr>
          <w:spacing w:val="-8"/>
        </w:rPr>
        <w:t> </w:t>
      </w:r>
      <w:r>
        <w:rPr/>
        <w:t>testing,</w:t>
      </w:r>
      <w:r>
        <w:rPr>
          <w:spacing w:val="-8"/>
        </w:rPr>
        <w:t> </w:t>
      </w:r>
      <w:r>
        <w:rPr/>
        <w:t>prevention,</w:t>
      </w:r>
      <w:r>
        <w:rPr>
          <w:spacing w:val="-8"/>
        </w:rPr>
        <w:t> </w:t>
      </w:r>
      <w:r>
        <w:rPr/>
        <w:t>and</w:t>
      </w:r>
      <w:r>
        <w:rPr>
          <w:spacing w:val="-8"/>
        </w:rPr>
        <w:t> </w:t>
      </w:r>
      <w:r>
        <w:rPr/>
        <w:t>treatment</w:t>
      </w:r>
      <w:r>
        <w:rPr>
          <w:spacing w:val="-9"/>
        </w:rPr>
        <w:t> </w:t>
      </w:r>
      <w:r>
        <w:rPr/>
        <w:t>services,</w:t>
      </w:r>
      <w:r>
        <w:rPr>
          <w:spacing w:val="-8"/>
        </w:rPr>
        <w:t> </w:t>
      </w:r>
      <w:r>
        <w:rPr/>
        <w:t>leading</w:t>
      </w:r>
      <w:r>
        <w:rPr>
          <w:spacing w:val="-9"/>
        </w:rPr>
        <w:t> </w:t>
      </w:r>
      <w:r>
        <w:rPr/>
        <w:t>to</w:t>
      </w:r>
      <w:r>
        <w:rPr>
          <w:spacing w:val="-7"/>
        </w:rPr>
        <w:t> </w:t>
      </w:r>
      <w:r>
        <w:rPr/>
        <w:t>a</w:t>
      </w:r>
      <w:r>
        <w:rPr>
          <w:spacing w:val="-8"/>
        </w:rPr>
        <w:t> </w:t>
      </w:r>
      <w:r>
        <w:rPr/>
        <w:t>higher risk</w:t>
      </w:r>
      <w:r>
        <w:rPr>
          <w:spacing w:val="-2"/>
        </w:rPr>
        <w:t> </w:t>
      </w:r>
      <w:r>
        <w:rPr/>
        <w:t>of</w:t>
      </w:r>
      <w:r>
        <w:rPr>
          <w:spacing w:val="-2"/>
        </w:rPr>
        <w:t> </w:t>
      </w:r>
      <w:r>
        <w:rPr/>
        <w:t>HIV</w:t>
      </w:r>
      <w:r>
        <w:rPr>
          <w:spacing w:val="-2"/>
        </w:rPr>
        <w:t> </w:t>
      </w:r>
      <w:r>
        <w:rPr/>
        <w:t>transmission</w:t>
      </w:r>
      <w:r>
        <w:rPr>
          <w:spacing w:val="-2"/>
        </w:rPr>
        <w:t> </w:t>
      </w:r>
      <w:r>
        <w:rPr/>
        <w:t>and</w:t>
      </w:r>
      <w:r>
        <w:rPr>
          <w:spacing w:val="-2"/>
        </w:rPr>
        <w:t> </w:t>
      </w:r>
      <w:r>
        <w:rPr/>
        <w:t>poorer</w:t>
      </w:r>
      <w:r>
        <w:rPr>
          <w:spacing w:val="-2"/>
        </w:rPr>
        <w:t> </w:t>
      </w:r>
      <w:r>
        <w:rPr/>
        <w:t>health</w:t>
      </w:r>
      <w:r>
        <w:rPr>
          <w:spacing w:val="-2"/>
        </w:rPr>
        <w:t> </w:t>
      </w:r>
      <w:r>
        <w:rPr/>
        <w:t>outcomes.</w:t>
      </w:r>
      <w:r>
        <w:rPr>
          <w:spacing w:val="-1"/>
        </w:rPr>
        <w:t> </w:t>
      </w:r>
      <w:r>
        <w:rPr/>
        <w:t>Many</w:t>
      </w:r>
      <w:r>
        <w:rPr>
          <w:spacing w:val="-2"/>
        </w:rPr>
        <w:t> </w:t>
      </w:r>
      <w:r>
        <w:rPr/>
        <w:t>LGBTQ</w:t>
      </w:r>
      <w:r>
        <w:rPr>
          <w:spacing w:val="-1"/>
        </w:rPr>
        <w:t> </w:t>
      </w:r>
      <w:r>
        <w:rPr/>
        <w:t>youth</w:t>
      </w:r>
      <w:r>
        <w:rPr>
          <w:spacing w:val="-2"/>
        </w:rPr>
        <w:t> </w:t>
      </w:r>
      <w:r>
        <w:rPr/>
        <w:t>do</w:t>
      </w:r>
      <w:r>
        <w:rPr>
          <w:spacing w:val="-1"/>
        </w:rPr>
        <w:t> </w:t>
      </w:r>
      <w:r>
        <w:rPr/>
        <w:t>not</w:t>
      </w:r>
      <w:r>
        <w:rPr>
          <w:spacing w:val="-1"/>
        </w:rPr>
        <w:t> </w:t>
      </w:r>
      <w:r>
        <w:rPr/>
        <w:t>ask</w:t>
      </w:r>
      <w:r>
        <w:rPr>
          <w:spacing w:val="-2"/>
        </w:rPr>
        <w:t> </w:t>
      </w:r>
      <w:r>
        <w:rPr/>
        <w:t>for</w:t>
      </w:r>
      <w:r>
        <w:rPr>
          <w:spacing w:val="-2"/>
        </w:rPr>
        <w:t> </w:t>
      </w:r>
      <w:r>
        <w:rPr/>
        <w:t>sexual</w:t>
      </w:r>
      <w:r>
        <w:rPr>
          <w:spacing w:val="-2"/>
        </w:rPr>
        <w:t> </w:t>
      </w:r>
      <w:r>
        <w:rPr/>
        <w:t>health information or discuss their sexual orientation with their provider because of a concern that the provider</w:t>
      </w:r>
      <w:r>
        <w:rPr>
          <w:spacing w:val="-13"/>
        </w:rPr>
        <w:t> </w:t>
      </w:r>
      <w:r>
        <w:rPr/>
        <w:t>would</w:t>
      </w:r>
      <w:r>
        <w:rPr>
          <w:spacing w:val="-12"/>
        </w:rPr>
        <w:t> </w:t>
      </w:r>
      <w:r>
        <w:rPr/>
        <w:t>disclose</w:t>
      </w:r>
      <w:r>
        <w:rPr>
          <w:spacing w:val="-13"/>
        </w:rPr>
        <w:t> </w:t>
      </w:r>
      <w:r>
        <w:rPr/>
        <w:t>this</w:t>
      </w:r>
      <w:r>
        <w:rPr>
          <w:spacing w:val="-12"/>
        </w:rPr>
        <w:t> </w:t>
      </w:r>
      <w:r>
        <w:rPr/>
        <w:t>information</w:t>
      </w:r>
      <w:r>
        <w:rPr>
          <w:spacing w:val="-13"/>
        </w:rPr>
        <w:t> </w:t>
      </w:r>
      <w:r>
        <w:rPr/>
        <w:t>to</w:t>
      </w:r>
      <w:r>
        <w:rPr>
          <w:spacing w:val="-12"/>
        </w:rPr>
        <w:t> </w:t>
      </w:r>
      <w:r>
        <w:rPr/>
        <w:t>their</w:t>
      </w:r>
      <w:r>
        <w:rPr>
          <w:spacing w:val="-9"/>
        </w:rPr>
        <w:t> </w:t>
      </w:r>
      <w:r>
        <w:rPr/>
        <w:t>caregiver.</w:t>
      </w:r>
      <w:r>
        <w:rPr>
          <w:vertAlign w:val="superscript"/>
        </w:rPr>
        <w:t>84</w:t>
      </w:r>
      <w:r>
        <w:rPr>
          <w:spacing w:val="-13"/>
          <w:vertAlign w:val="baseline"/>
        </w:rPr>
        <w:t> </w:t>
      </w:r>
      <w:r>
        <w:rPr>
          <w:vertAlign w:val="baseline"/>
        </w:rPr>
        <w:t>Privacy</w:t>
      </w:r>
      <w:r>
        <w:rPr>
          <w:spacing w:val="-10"/>
          <w:vertAlign w:val="baseline"/>
        </w:rPr>
        <w:t> </w:t>
      </w:r>
      <w:r>
        <w:rPr>
          <w:vertAlign w:val="baseline"/>
        </w:rPr>
        <w:t>concerns</w:t>
      </w:r>
      <w:r>
        <w:rPr>
          <w:spacing w:val="-11"/>
          <w:vertAlign w:val="baseline"/>
        </w:rPr>
        <w:t> </w:t>
      </w:r>
      <w:r>
        <w:rPr>
          <w:vertAlign w:val="baseline"/>
        </w:rPr>
        <w:t>also</w:t>
      </w:r>
      <w:r>
        <w:rPr>
          <w:spacing w:val="-11"/>
          <w:vertAlign w:val="baseline"/>
        </w:rPr>
        <w:t> </w:t>
      </w:r>
      <w:r>
        <w:rPr>
          <w:vertAlign w:val="baseline"/>
        </w:rPr>
        <w:t>affect</w:t>
      </w:r>
      <w:r>
        <w:rPr>
          <w:spacing w:val="-12"/>
          <w:vertAlign w:val="baseline"/>
        </w:rPr>
        <w:t> </w:t>
      </w:r>
      <w:r>
        <w:rPr>
          <w:vertAlign w:val="baseline"/>
        </w:rPr>
        <w:t>access</w:t>
      </w:r>
      <w:r>
        <w:rPr>
          <w:spacing w:val="-11"/>
          <w:vertAlign w:val="baseline"/>
        </w:rPr>
        <w:t> </w:t>
      </w:r>
      <w:r>
        <w:rPr>
          <w:vertAlign w:val="baseline"/>
        </w:rPr>
        <w:t>to</w:t>
      </w:r>
      <w:r>
        <w:rPr>
          <w:spacing w:val="-11"/>
          <w:vertAlign w:val="baseline"/>
        </w:rPr>
        <w:t> </w:t>
      </w:r>
      <w:r>
        <w:rPr>
          <w:vertAlign w:val="baseline"/>
        </w:rPr>
        <w:t>pre- exposure</w:t>
      </w:r>
      <w:r>
        <w:rPr>
          <w:spacing w:val="29"/>
          <w:vertAlign w:val="baseline"/>
        </w:rPr>
        <w:t> </w:t>
      </w:r>
      <w:r>
        <w:rPr>
          <w:vertAlign w:val="baseline"/>
        </w:rPr>
        <w:t>prophylaxis</w:t>
      </w:r>
      <w:r>
        <w:rPr>
          <w:spacing w:val="28"/>
          <w:vertAlign w:val="baseline"/>
        </w:rPr>
        <w:t> </w:t>
      </w:r>
      <w:r>
        <w:rPr>
          <w:vertAlign w:val="baseline"/>
        </w:rPr>
        <w:t>(PrEP)</w:t>
      </w:r>
      <w:r>
        <w:rPr>
          <w:spacing w:val="28"/>
          <w:vertAlign w:val="baseline"/>
        </w:rPr>
        <w:t> </w:t>
      </w:r>
      <w:r>
        <w:rPr>
          <w:vertAlign w:val="baseline"/>
        </w:rPr>
        <w:t>and</w:t>
      </w:r>
      <w:r>
        <w:rPr>
          <w:spacing w:val="27"/>
          <w:vertAlign w:val="baseline"/>
        </w:rPr>
        <w:t> </w:t>
      </w:r>
      <w:r>
        <w:rPr>
          <w:vertAlign w:val="baseline"/>
        </w:rPr>
        <w:t>post-exposure</w:t>
      </w:r>
      <w:r>
        <w:rPr>
          <w:spacing w:val="29"/>
          <w:vertAlign w:val="baseline"/>
        </w:rPr>
        <w:t> </w:t>
      </w:r>
      <w:r>
        <w:rPr>
          <w:vertAlign w:val="baseline"/>
        </w:rPr>
        <w:t>prophylaxis</w:t>
      </w:r>
      <w:r>
        <w:rPr>
          <w:spacing w:val="28"/>
          <w:vertAlign w:val="baseline"/>
        </w:rPr>
        <w:t> </w:t>
      </w:r>
      <w:r>
        <w:rPr>
          <w:vertAlign w:val="baseline"/>
        </w:rPr>
        <w:t>(PEP),</w:t>
      </w:r>
      <w:r>
        <w:rPr>
          <w:spacing w:val="28"/>
          <w:vertAlign w:val="baseline"/>
        </w:rPr>
        <w:t> </w:t>
      </w:r>
      <w:r>
        <w:rPr>
          <w:vertAlign w:val="baseline"/>
        </w:rPr>
        <w:t>which</w:t>
      </w:r>
      <w:r>
        <w:rPr>
          <w:spacing w:val="29"/>
          <w:vertAlign w:val="baseline"/>
        </w:rPr>
        <w:t> </w:t>
      </w:r>
      <w:r>
        <w:rPr>
          <w:vertAlign w:val="baseline"/>
        </w:rPr>
        <w:t>are</w:t>
      </w:r>
      <w:r>
        <w:rPr>
          <w:spacing w:val="30"/>
          <w:vertAlign w:val="baseline"/>
        </w:rPr>
        <w:t> </w:t>
      </w:r>
      <w:r>
        <w:rPr>
          <w:vertAlign w:val="baseline"/>
        </w:rPr>
        <w:t>HIV</w:t>
      </w:r>
      <w:r>
        <w:rPr>
          <w:spacing w:val="29"/>
          <w:vertAlign w:val="baseline"/>
        </w:rPr>
        <w:t> </w:t>
      </w:r>
      <w:r>
        <w:rPr>
          <w:vertAlign w:val="baseline"/>
        </w:rPr>
        <w:t>medications</w:t>
      </w:r>
      <w:r>
        <w:rPr>
          <w:spacing w:val="28"/>
          <w:vertAlign w:val="baseline"/>
        </w:rPr>
        <w:t> </w:t>
      </w:r>
      <w:r>
        <w:rPr>
          <w:vertAlign w:val="baseline"/>
        </w:rPr>
        <w:t>that</w:t>
      </w:r>
    </w:p>
    <w:p>
      <w:pPr>
        <w:spacing w:after="0" w:line="276" w:lineRule="auto"/>
        <w:jc w:val="both"/>
        <w:sectPr>
          <w:pgSz w:w="12240" w:h="15840"/>
          <w:pgMar w:header="721" w:footer="1061" w:top="1360" w:bottom="1260" w:left="1120" w:right="1340"/>
        </w:sectPr>
      </w:pPr>
    </w:p>
    <w:p>
      <w:pPr>
        <w:pStyle w:val="BodyText"/>
        <w:spacing w:line="276" w:lineRule="auto" w:before="67"/>
        <w:ind w:left="464" w:right="239"/>
        <w:jc w:val="both"/>
      </w:pPr>
      <w:r>
        <w:rPr/>
        <w:t>reduce</w:t>
      </w:r>
      <w:r>
        <w:rPr>
          <w:spacing w:val="-13"/>
        </w:rPr>
        <w:t> </w:t>
      </w:r>
      <w:r>
        <w:rPr/>
        <w:t>the</w:t>
      </w:r>
      <w:r>
        <w:rPr>
          <w:spacing w:val="-12"/>
        </w:rPr>
        <w:t> </w:t>
      </w:r>
      <w:r>
        <w:rPr/>
        <w:t>risk</w:t>
      </w:r>
      <w:r>
        <w:rPr>
          <w:spacing w:val="-13"/>
        </w:rPr>
        <w:t> </w:t>
      </w:r>
      <w:r>
        <w:rPr/>
        <w:t>of</w:t>
      </w:r>
      <w:r>
        <w:rPr>
          <w:spacing w:val="-12"/>
        </w:rPr>
        <w:t> </w:t>
      </w:r>
      <w:r>
        <w:rPr/>
        <w:t>HIV</w:t>
      </w:r>
      <w:r>
        <w:rPr>
          <w:spacing w:val="-13"/>
        </w:rPr>
        <w:t> </w:t>
      </w:r>
      <w:r>
        <w:rPr/>
        <w:t>transmission.</w:t>
      </w:r>
      <w:r>
        <w:rPr>
          <w:spacing w:val="-12"/>
        </w:rPr>
        <w:t> </w:t>
      </w:r>
      <w:r>
        <w:rPr/>
        <w:t>LGBTQ</w:t>
      </w:r>
      <w:r>
        <w:rPr>
          <w:spacing w:val="-13"/>
        </w:rPr>
        <w:t> </w:t>
      </w:r>
      <w:r>
        <w:rPr/>
        <w:t>youth</w:t>
      </w:r>
      <w:r>
        <w:rPr>
          <w:spacing w:val="-12"/>
        </w:rPr>
        <w:t> </w:t>
      </w:r>
      <w:r>
        <w:rPr/>
        <w:t>face</w:t>
      </w:r>
      <w:r>
        <w:rPr>
          <w:spacing w:val="-12"/>
        </w:rPr>
        <w:t> </w:t>
      </w:r>
      <w:r>
        <w:rPr/>
        <w:t>privacy</w:t>
      </w:r>
      <w:r>
        <w:rPr>
          <w:spacing w:val="-13"/>
        </w:rPr>
        <w:t> </w:t>
      </w:r>
      <w:r>
        <w:rPr/>
        <w:t>risks</w:t>
      </w:r>
      <w:r>
        <w:rPr>
          <w:spacing w:val="-12"/>
        </w:rPr>
        <w:t> </w:t>
      </w:r>
      <w:r>
        <w:rPr/>
        <w:t>when</w:t>
      </w:r>
      <w:r>
        <w:rPr>
          <w:spacing w:val="-13"/>
        </w:rPr>
        <w:t> </w:t>
      </w:r>
      <w:r>
        <w:rPr/>
        <w:t>accessing</w:t>
      </w:r>
      <w:r>
        <w:rPr>
          <w:spacing w:val="-12"/>
        </w:rPr>
        <w:t> </w:t>
      </w:r>
      <w:r>
        <w:rPr/>
        <w:t>PrEP,</w:t>
      </w:r>
      <w:r>
        <w:rPr>
          <w:spacing w:val="-13"/>
        </w:rPr>
        <w:t> </w:t>
      </w:r>
      <w:r>
        <w:rPr/>
        <w:t>such</w:t>
      </w:r>
      <w:r>
        <w:rPr>
          <w:spacing w:val="-12"/>
        </w:rPr>
        <w:t> </w:t>
      </w:r>
      <w:r>
        <w:rPr/>
        <w:t>as</w:t>
      </w:r>
      <w:r>
        <w:rPr>
          <w:spacing w:val="-12"/>
        </w:rPr>
        <w:t> </w:t>
      </w:r>
      <w:r>
        <w:rPr/>
        <w:t>having an explanation of benefits sent to their caregiver, which could potentially out them before they are </w:t>
      </w:r>
      <w:r>
        <w:rPr>
          <w:spacing w:val="-2"/>
        </w:rPr>
        <w:t>ready.</w:t>
      </w:r>
      <w:r>
        <w:rPr>
          <w:spacing w:val="-2"/>
          <w:vertAlign w:val="superscript"/>
        </w:rPr>
        <w:t>85</w:t>
      </w:r>
    </w:p>
    <w:p>
      <w:pPr>
        <w:pStyle w:val="BodyText"/>
        <w:spacing w:line="276" w:lineRule="auto" w:before="240"/>
        <w:ind w:left="463" w:right="241" w:firstLine="14"/>
        <w:jc w:val="both"/>
      </w:pPr>
      <w:r>
        <w:rPr/>
        <w:t>In</w:t>
      </w:r>
      <w:r>
        <w:rPr>
          <w:spacing w:val="-13"/>
        </w:rPr>
        <w:t> </w:t>
      </w:r>
      <w:r>
        <w:rPr/>
        <w:t>2022,</w:t>
      </w:r>
      <w:r>
        <w:rPr>
          <w:spacing w:val="-12"/>
        </w:rPr>
        <w:t> </w:t>
      </w:r>
      <w:r>
        <w:rPr/>
        <w:t>Massachusetts</w:t>
      </w:r>
      <w:r>
        <w:rPr>
          <w:spacing w:val="-12"/>
        </w:rPr>
        <w:t> </w:t>
      </w:r>
      <w:r>
        <w:rPr/>
        <w:t>passed</w:t>
      </w:r>
      <w:r>
        <w:rPr>
          <w:spacing w:val="-13"/>
        </w:rPr>
        <w:t> </w:t>
      </w:r>
      <w:r>
        <w:rPr/>
        <w:t>legislation,</w:t>
      </w:r>
      <w:r>
        <w:rPr>
          <w:spacing w:val="-12"/>
        </w:rPr>
        <w:t> </w:t>
      </w:r>
      <w:r>
        <w:rPr/>
        <w:t>fulfilling</w:t>
      </w:r>
      <w:r>
        <w:rPr>
          <w:spacing w:val="-13"/>
        </w:rPr>
        <w:t> </w:t>
      </w:r>
      <w:r>
        <w:rPr/>
        <w:t>a</w:t>
      </w:r>
      <w:r>
        <w:rPr>
          <w:spacing w:val="-10"/>
        </w:rPr>
        <w:t> </w:t>
      </w:r>
      <w:r>
        <w:rPr/>
        <w:t>previous</w:t>
      </w:r>
      <w:r>
        <w:rPr>
          <w:spacing w:val="-12"/>
        </w:rPr>
        <w:t> </w:t>
      </w:r>
      <w:r>
        <w:rPr/>
        <w:t>recommendation</w:t>
      </w:r>
      <w:r>
        <w:rPr>
          <w:spacing w:val="-11"/>
        </w:rPr>
        <w:t> </w:t>
      </w:r>
      <w:r>
        <w:rPr/>
        <w:t>from</w:t>
      </w:r>
      <w:r>
        <w:rPr>
          <w:spacing w:val="-13"/>
        </w:rPr>
        <w:t> </w:t>
      </w:r>
      <w:r>
        <w:rPr/>
        <w:t>the</w:t>
      </w:r>
      <w:r>
        <w:rPr>
          <w:spacing w:val="-11"/>
        </w:rPr>
        <w:t> </w:t>
      </w:r>
      <w:r>
        <w:rPr/>
        <w:t>Commission, which</w:t>
      </w:r>
      <w:r>
        <w:rPr>
          <w:spacing w:val="-10"/>
        </w:rPr>
        <w:t> </w:t>
      </w:r>
      <w:r>
        <w:rPr/>
        <w:t>allowed</w:t>
      </w:r>
      <w:r>
        <w:rPr>
          <w:spacing w:val="-11"/>
        </w:rPr>
        <w:t> </w:t>
      </w:r>
      <w:r>
        <w:rPr/>
        <w:t>individuals</w:t>
      </w:r>
      <w:r>
        <w:rPr>
          <w:spacing w:val="-10"/>
        </w:rPr>
        <w:t> </w:t>
      </w:r>
      <w:r>
        <w:rPr/>
        <w:t>under</w:t>
      </w:r>
      <w:r>
        <w:rPr>
          <w:spacing w:val="-10"/>
        </w:rPr>
        <w:t> </w:t>
      </w:r>
      <w:r>
        <w:rPr/>
        <w:t>the</w:t>
      </w:r>
      <w:r>
        <w:rPr>
          <w:spacing w:val="-10"/>
        </w:rPr>
        <w:t> </w:t>
      </w:r>
      <w:r>
        <w:rPr/>
        <w:t>age</w:t>
      </w:r>
      <w:r>
        <w:rPr>
          <w:spacing w:val="-11"/>
        </w:rPr>
        <w:t> </w:t>
      </w:r>
      <w:r>
        <w:rPr/>
        <w:t>of</w:t>
      </w:r>
      <w:r>
        <w:rPr>
          <w:spacing w:val="-11"/>
        </w:rPr>
        <w:t> </w:t>
      </w:r>
      <w:r>
        <w:rPr/>
        <w:t>18</w:t>
      </w:r>
      <w:r>
        <w:rPr>
          <w:spacing w:val="-11"/>
        </w:rPr>
        <w:t> </w:t>
      </w:r>
      <w:r>
        <w:rPr/>
        <w:t>to</w:t>
      </w:r>
      <w:r>
        <w:rPr>
          <w:spacing w:val="-9"/>
        </w:rPr>
        <w:t> </w:t>
      </w:r>
      <w:r>
        <w:rPr/>
        <w:t>access</w:t>
      </w:r>
      <w:r>
        <w:rPr>
          <w:spacing w:val="-11"/>
        </w:rPr>
        <w:t> </w:t>
      </w:r>
      <w:r>
        <w:rPr/>
        <w:t>PrEP</w:t>
      </w:r>
      <w:r>
        <w:rPr>
          <w:spacing w:val="-11"/>
        </w:rPr>
        <w:t> </w:t>
      </w:r>
      <w:r>
        <w:rPr/>
        <w:t>without</w:t>
      </w:r>
      <w:r>
        <w:rPr>
          <w:spacing w:val="-12"/>
        </w:rPr>
        <w:t> </w:t>
      </w:r>
      <w:r>
        <w:rPr/>
        <w:t>caregiver</w:t>
      </w:r>
      <w:r>
        <w:rPr>
          <w:spacing w:val="-10"/>
        </w:rPr>
        <w:t> </w:t>
      </w:r>
      <w:r>
        <w:rPr/>
        <w:t>consent</w:t>
      </w:r>
      <w:r>
        <w:rPr>
          <w:spacing w:val="-10"/>
        </w:rPr>
        <w:t> </w:t>
      </w:r>
      <w:r>
        <w:rPr/>
        <w:t>and</w:t>
      </w:r>
      <w:r>
        <w:rPr>
          <w:spacing w:val="-9"/>
        </w:rPr>
        <w:t> </w:t>
      </w:r>
      <w:r>
        <w:rPr/>
        <w:t>prohibited the release of medical records related to PrEP without the minor’s written consent.</w:t>
      </w:r>
      <w:r>
        <w:rPr>
          <w:vertAlign w:val="superscript"/>
        </w:rPr>
        <w:t>86</w:t>
      </w:r>
      <w:r>
        <w:rPr>
          <w:vertAlign w:val="baseline"/>
        </w:rPr>
        <w:t> Despite this increase in access, there remains the risk of low adherence demonstrating the need for culturally tailored follow up efforts and assistance with the structural barriers to health experienced by LGBTQ youth, especially young transgender women.</w:t>
      </w:r>
      <w:r>
        <w:rPr>
          <w:vertAlign w:val="superscript"/>
        </w:rPr>
        <w:t>87</w:t>
      </w:r>
      <w:r>
        <w:rPr>
          <w:vertAlign w:val="baseline"/>
        </w:rPr>
        <w:t> Moreover, providers in New England continue to struggle with low PrEP knowledge, limited time for visits, and competing clinical priorities.</w:t>
      </w:r>
      <w:r>
        <w:rPr>
          <w:vertAlign w:val="superscript"/>
        </w:rPr>
        <w:t>88</w:t>
      </w:r>
    </w:p>
    <w:p>
      <w:pPr>
        <w:spacing w:before="240"/>
        <w:ind w:left="464" w:right="0" w:firstLine="0"/>
        <w:jc w:val="both"/>
        <w:rPr>
          <w:sz w:val="28"/>
        </w:rPr>
      </w:pPr>
      <w:bookmarkStart w:name="COVID Pandemic" w:id="360"/>
      <w:bookmarkEnd w:id="360"/>
      <w:r>
        <w:rPr/>
      </w:r>
      <w:r>
        <w:rPr>
          <w:color w:val="365F91"/>
          <w:sz w:val="28"/>
        </w:rPr>
        <w:t>COVID</w:t>
      </w:r>
      <w:r>
        <w:rPr>
          <w:color w:val="365F91"/>
          <w:spacing w:val="-11"/>
          <w:sz w:val="28"/>
        </w:rPr>
        <w:t> </w:t>
      </w:r>
      <w:r>
        <w:rPr>
          <w:color w:val="365F91"/>
          <w:spacing w:val="-2"/>
          <w:sz w:val="28"/>
        </w:rPr>
        <w:t>Pandemic</w:t>
      </w:r>
    </w:p>
    <w:p>
      <w:pPr>
        <w:pStyle w:val="BodyText"/>
        <w:spacing w:line="276" w:lineRule="auto" w:before="291"/>
        <w:ind w:left="463" w:right="242"/>
        <w:jc w:val="both"/>
      </w:pPr>
      <w:r>
        <w:rPr/>
        <w:t>The ongoing COVID pandemic and containment measures, such as stay-at-home orders and remote learning, have exacerbated existing mental health disparities in the LGBTQ community. According to the Trevor Project, 70% of LGBTQ youth stated that their mental health was poor during the pandemic.</w:t>
      </w:r>
      <w:r>
        <w:rPr>
          <w:u w:val="single"/>
          <w:vertAlign w:val="superscript"/>
        </w:rPr>
        <w:t>89</w:t>
      </w:r>
      <w:r>
        <w:rPr>
          <w:spacing w:val="-13"/>
          <w:u w:val="none"/>
          <w:vertAlign w:val="baseline"/>
        </w:rPr>
        <w:t> </w:t>
      </w:r>
      <w:r>
        <w:rPr>
          <w:u w:val="none"/>
          <w:vertAlign w:val="baseline"/>
        </w:rPr>
        <w:t>This</w:t>
      </w:r>
      <w:r>
        <w:rPr>
          <w:spacing w:val="-12"/>
          <w:u w:val="none"/>
          <w:vertAlign w:val="baseline"/>
        </w:rPr>
        <w:t> </w:t>
      </w:r>
      <w:r>
        <w:rPr>
          <w:u w:val="none"/>
          <w:vertAlign w:val="baseline"/>
        </w:rPr>
        <w:t>was</w:t>
      </w:r>
      <w:r>
        <w:rPr>
          <w:spacing w:val="-13"/>
          <w:u w:val="none"/>
          <w:vertAlign w:val="baseline"/>
        </w:rPr>
        <w:t> </w:t>
      </w:r>
      <w:r>
        <w:rPr>
          <w:u w:val="none"/>
          <w:vertAlign w:val="baseline"/>
        </w:rPr>
        <w:t>partially</w:t>
      </w:r>
      <w:r>
        <w:rPr>
          <w:spacing w:val="-12"/>
          <w:u w:val="none"/>
          <w:vertAlign w:val="baseline"/>
        </w:rPr>
        <w:t> </w:t>
      </w:r>
      <w:r>
        <w:rPr>
          <w:u w:val="none"/>
          <w:vertAlign w:val="baseline"/>
        </w:rPr>
        <w:t>attributed</w:t>
      </w:r>
      <w:r>
        <w:rPr>
          <w:spacing w:val="-13"/>
          <w:u w:val="none"/>
          <w:vertAlign w:val="baseline"/>
        </w:rPr>
        <w:t> </w:t>
      </w:r>
      <w:r>
        <w:rPr>
          <w:u w:val="none"/>
          <w:vertAlign w:val="baseline"/>
        </w:rPr>
        <w:t>to</w:t>
      </w:r>
      <w:r>
        <w:rPr>
          <w:spacing w:val="-12"/>
          <w:u w:val="none"/>
          <w:vertAlign w:val="baseline"/>
        </w:rPr>
        <w:t> </w:t>
      </w:r>
      <w:r>
        <w:rPr>
          <w:u w:val="none"/>
          <w:vertAlign w:val="baseline"/>
        </w:rPr>
        <w:t>being</w:t>
      </w:r>
      <w:r>
        <w:rPr>
          <w:spacing w:val="-11"/>
          <w:u w:val="none"/>
          <w:vertAlign w:val="baseline"/>
        </w:rPr>
        <w:t> </w:t>
      </w:r>
      <w:r>
        <w:rPr>
          <w:u w:val="none"/>
          <w:vertAlign w:val="baseline"/>
        </w:rPr>
        <w:t>confined</w:t>
      </w:r>
      <w:r>
        <w:rPr>
          <w:spacing w:val="-11"/>
          <w:u w:val="none"/>
          <w:vertAlign w:val="baseline"/>
        </w:rPr>
        <w:t> </w:t>
      </w:r>
      <w:r>
        <w:rPr>
          <w:u w:val="none"/>
          <w:vertAlign w:val="baseline"/>
        </w:rPr>
        <w:t>in</w:t>
      </w:r>
      <w:r>
        <w:rPr>
          <w:spacing w:val="-10"/>
          <w:u w:val="none"/>
          <w:vertAlign w:val="baseline"/>
        </w:rPr>
        <w:t> </w:t>
      </w:r>
      <w:r>
        <w:rPr>
          <w:u w:val="none"/>
          <w:vertAlign w:val="baseline"/>
        </w:rPr>
        <w:t>homes</w:t>
      </w:r>
      <w:r>
        <w:rPr>
          <w:spacing w:val="-10"/>
          <w:u w:val="none"/>
          <w:vertAlign w:val="baseline"/>
        </w:rPr>
        <w:t> </w:t>
      </w:r>
      <w:r>
        <w:rPr>
          <w:u w:val="none"/>
          <w:vertAlign w:val="baseline"/>
        </w:rPr>
        <w:t>with</w:t>
      </w:r>
      <w:r>
        <w:rPr>
          <w:spacing w:val="-11"/>
          <w:u w:val="none"/>
          <w:vertAlign w:val="baseline"/>
        </w:rPr>
        <w:t> </w:t>
      </w:r>
      <w:r>
        <w:rPr>
          <w:u w:val="none"/>
          <w:vertAlign w:val="baseline"/>
        </w:rPr>
        <w:t>families</w:t>
      </w:r>
      <w:r>
        <w:rPr>
          <w:spacing w:val="-10"/>
          <w:u w:val="none"/>
          <w:vertAlign w:val="baseline"/>
        </w:rPr>
        <w:t> </w:t>
      </w:r>
      <w:r>
        <w:rPr>
          <w:u w:val="none"/>
          <w:vertAlign w:val="baseline"/>
        </w:rPr>
        <w:t>who</w:t>
      </w:r>
      <w:r>
        <w:rPr>
          <w:spacing w:val="-11"/>
          <w:u w:val="none"/>
          <w:vertAlign w:val="baseline"/>
        </w:rPr>
        <w:t> </w:t>
      </w:r>
      <w:r>
        <w:rPr>
          <w:u w:val="none"/>
          <w:vertAlign w:val="baseline"/>
        </w:rPr>
        <w:t>were</w:t>
      </w:r>
      <w:r>
        <w:rPr>
          <w:spacing w:val="-11"/>
          <w:u w:val="none"/>
          <w:vertAlign w:val="baseline"/>
        </w:rPr>
        <w:t> </w:t>
      </w:r>
      <w:r>
        <w:rPr>
          <w:u w:val="none"/>
          <w:vertAlign w:val="baseline"/>
        </w:rPr>
        <w:t>not</w:t>
      </w:r>
      <w:r>
        <w:rPr>
          <w:spacing w:val="-12"/>
          <w:u w:val="none"/>
          <w:vertAlign w:val="baseline"/>
        </w:rPr>
        <w:t> </w:t>
      </w:r>
      <w:r>
        <w:rPr>
          <w:u w:val="none"/>
          <w:vertAlign w:val="baseline"/>
        </w:rPr>
        <w:t>aware or</w:t>
      </w:r>
      <w:r>
        <w:rPr>
          <w:spacing w:val="-13"/>
          <w:u w:val="none"/>
          <w:vertAlign w:val="baseline"/>
        </w:rPr>
        <w:t> </w:t>
      </w:r>
      <w:r>
        <w:rPr>
          <w:u w:val="none"/>
          <w:vertAlign w:val="baseline"/>
        </w:rPr>
        <w:t>supportive</w:t>
      </w:r>
      <w:r>
        <w:rPr>
          <w:spacing w:val="-12"/>
          <w:u w:val="none"/>
          <w:vertAlign w:val="baseline"/>
        </w:rPr>
        <w:t> </w:t>
      </w:r>
      <w:r>
        <w:rPr>
          <w:u w:val="none"/>
          <w:vertAlign w:val="baseline"/>
        </w:rPr>
        <w:t>of</w:t>
      </w:r>
      <w:r>
        <w:rPr>
          <w:spacing w:val="-13"/>
          <w:u w:val="none"/>
          <w:vertAlign w:val="baseline"/>
        </w:rPr>
        <w:t> </w:t>
      </w:r>
      <w:r>
        <w:rPr>
          <w:u w:val="none"/>
          <w:vertAlign w:val="baseline"/>
        </w:rPr>
        <w:t>their</w:t>
      </w:r>
      <w:r>
        <w:rPr>
          <w:spacing w:val="-11"/>
          <w:u w:val="none"/>
          <w:vertAlign w:val="baseline"/>
        </w:rPr>
        <w:t> </w:t>
      </w:r>
      <w:r>
        <w:rPr>
          <w:u w:val="none"/>
          <w:vertAlign w:val="baseline"/>
        </w:rPr>
        <w:t>gender</w:t>
      </w:r>
      <w:r>
        <w:rPr>
          <w:spacing w:val="-12"/>
          <w:u w:val="none"/>
          <w:vertAlign w:val="baseline"/>
        </w:rPr>
        <w:t> </w:t>
      </w:r>
      <w:r>
        <w:rPr>
          <w:u w:val="none"/>
          <w:vertAlign w:val="baseline"/>
        </w:rPr>
        <w:t>identity.</w:t>
      </w:r>
      <w:r>
        <w:rPr>
          <w:spacing w:val="-13"/>
          <w:u w:val="none"/>
          <w:vertAlign w:val="baseline"/>
        </w:rPr>
        <w:t> </w:t>
      </w:r>
      <w:r>
        <w:rPr>
          <w:u w:val="none"/>
          <w:vertAlign w:val="baseline"/>
        </w:rPr>
        <w:t>Research</w:t>
      </w:r>
      <w:r>
        <w:rPr>
          <w:spacing w:val="-12"/>
          <w:u w:val="none"/>
          <w:vertAlign w:val="baseline"/>
        </w:rPr>
        <w:t> </w:t>
      </w:r>
      <w:r>
        <w:rPr>
          <w:u w:val="none"/>
          <w:vertAlign w:val="baseline"/>
        </w:rPr>
        <w:t>has</w:t>
      </w:r>
      <w:r>
        <w:rPr>
          <w:spacing w:val="-12"/>
          <w:u w:val="none"/>
          <w:vertAlign w:val="baseline"/>
        </w:rPr>
        <w:t> </w:t>
      </w:r>
      <w:r>
        <w:rPr>
          <w:u w:val="none"/>
          <w:vertAlign w:val="baseline"/>
        </w:rPr>
        <w:t>shown</w:t>
      </w:r>
      <w:r>
        <w:rPr>
          <w:spacing w:val="-13"/>
          <w:u w:val="none"/>
          <w:vertAlign w:val="baseline"/>
        </w:rPr>
        <w:t> </w:t>
      </w:r>
      <w:r>
        <w:rPr>
          <w:u w:val="none"/>
          <w:vertAlign w:val="baseline"/>
        </w:rPr>
        <w:t>that</w:t>
      </w:r>
      <w:r>
        <w:rPr>
          <w:spacing w:val="-12"/>
          <w:u w:val="none"/>
          <w:vertAlign w:val="baseline"/>
        </w:rPr>
        <w:t> </w:t>
      </w:r>
      <w:r>
        <w:rPr>
          <w:u w:val="none"/>
          <w:vertAlign w:val="baseline"/>
        </w:rPr>
        <w:t>suicide</w:t>
      </w:r>
      <w:r>
        <w:rPr>
          <w:spacing w:val="-13"/>
          <w:u w:val="none"/>
          <w:vertAlign w:val="baseline"/>
        </w:rPr>
        <w:t> </w:t>
      </w:r>
      <w:r>
        <w:rPr>
          <w:u w:val="none"/>
          <w:vertAlign w:val="baseline"/>
        </w:rPr>
        <w:t>and</w:t>
      </w:r>
      <w:r>
        <w:rPr>
          <w:spacing w:val="-12"/>
          <w:u w:val="none"/>
          <w:vertAlign w:val="baseline"/>
        </w:rPr>
        <w:t> </w:t>
      </w:r>
      <w:r>
        <w:rPr>
          <w:u w:val="none"/>
          <w:vertAlign w:val="baseline"/>
        </w:rPr>
        <w:t>depression</w:t>
      </w:r>
      <w:r>
        <w:rPr>
          <w:spacing w:val="-12"/>
          <w:u w:val="none"/>
          <w:vertAlign w:val="baseline"/>
        </w:rPr>
        <w:t> </w:t>
      </w:r>
      <w:r>
        <w:rPr>
          <w:u w:val="none"/>
          <w:vertAlign w:val="baseline"/>
        </w:rPr>
        <w:t>rates</w:t>
      </w:r>
      <w:r>
        <w:rPr>
          <w:spacing w:val="-12"/>
          <w:u w:val="none"/>
          <w:vertAlign w:val="baseline"/>
        </w:rPr>
        <w:t> </w:t>
      </w:r>
      <w:r>
        <w:rPr>
          <w:u w:val="none"/>
          <w:vertAlign w:val="baseline"/>
        </w:rPr>
        <w:t>for</w:t>
      </w:r>
      <w:r>
        <w:rPr>
          <w:spacing w:val="-12"/>
          <w:u w:val="none"/>
          <w:vertAlign w:val="baseline"/>
        </w:rPr>
        <w:t> </w:t>
      </w:r>
      <w:r>
        <w:rPr>
          <w:u w:val="none"/>
          <w:vertAlign w:val="baseline"/>
        </w:rPr>
        <w:t>LGBTQ youth with unsupportive family members are much higher than peers with supportive families.</w:t>
      </w:r>
      <w:r>
        <w:rPr>
          <w:u w:val="none"/>
          <w:vertAlign w:val="superscript"/>
        </w:rPr>
        <w:t>90</w:t>
      </w:r>
    </w:p>
    <w:p>
      <w:pPr>
        <w:pStyle w:val="BodyText"/>
        <w:spacing w:line="276" w:lineRule="auto" w:before="240"/>
        <w:ind w:left="463" w:right="241" w:firstLine="7"/>
        <w:jc w:val="both"/>
      </w:pPr>
      <w:r>
        <w:rPr/>
        <w:t>COVID-19 also worsened existing socioeconomic stressors and caused disruptions in physical and mental health services.</w:t>
      </w:r>
      <w:r>
        <w:rPr>
          <w:vertAlign w:val="superscript"/>
        </w:rPr>
        <w:t>91</w:t>
      </w:r>
      <w:r>
        <w:rPr>
          <w:spacing w:val="-13"/>
          <w:vertAlign w:val="baseline"/>
        </w:rPr>
        <w:t> </w:t>
      </w:r>
      <w:r>
        <w:rPr>
          <w:vertAlign w:val="baseline"/>
        </w:rPr>
        <w:t>LGBTQ people, in general, are more likely to suffer from chronic conditions, substance</w:t>
      </w:r>
      <w:r>
        <w:rPr>
          <w:spacing w:val="-8"/>
          <w:vertAlign w:val="baseline"/>
        </w:rPr>
        <w:t> </w:t>
      </w:r>
      <w:r>
        <w:rPr>
          <w:vertAlign w:val="baseline"/>
        </w:rPr>
        <w:t>abuse</w:t>
      </w:r>
      <w:r>
        <w:rPr>
          <w:spacing w:val="-8"/>
          <w:vertAlign w:val="baseline"/>
        </w:rPr>
        <w:t> </w:t>
      </w:r>
      <w:r>
        <w:rPr>
          <w:vertAlign w:val="baseline"/>
        </w:rPr>
        <w:t>disorders,</w:t>
      </w:r>
      <w:r>
        <w:rPr>
          <w:spacing w:val="-7"/>
          <w:vertAlign w:val="baseline"/>
        </w:rPr>
        <w:t> </w:t>
      </w:r>
      <w:r>
        <w:rPr>
          <w:vertAlign w:val="baseline"/>
        </w:rPr>
        <w:t>breast</w:t>
      </w:r>
      <w:r>
        <w:rPr>
          <w:spacing w:val="-8"/>
          <w:vertAlign w:val="baseline"/>
        </w:rPr>
        <w:t> </w:t>
      </w:r>
      <w:r>
        <w:rPr>
          <w:vertAlign w:val="baseline"/>
        </w:rPr>
        <w:t>cancer,</w:t>
      </w:r>
      <w:r>
        <w:rPr>
          <w:spacing w:val="-7"/>
          <w:vertAlign w:val="baseline"/>
        </w:rPr>
        <w:t> </w:t>
      </w:r>
      <w:r>
        <w:rPr>
          <w:vertAlign w:val="baseline"/>
        </w:rPr>
        <w:t>certain</w:t>
      </w:r>
      <w:r>
        <w:rPr>
          <w:spacing w:val="-8"/>
          <w:vertAlign w:val="baseline"/>
        </w:rPr>
        <w:t> </w:t>
      </w:r>
      <w:r>
        <w:rPr>
          <w:vertAlign w:val="baseline"/>
        </w:rPr>
        <w:t>sexually</w:t>
      </w:r>
      <w:r>
        <w:rPr>
          <w:spacing w:val="-7"/>
          <w:vertAlign w:val="baseline"/>
        </w:rPr>
        <w:t> </w:t>
      </w:r>
      <w:r>
        <w:rPr>
          <w:vertAlign w:val="baseline"/>
        </w:rPr>
        <w:t>transmitted</w:t>
      </w:r>
      <w:r>
        <w:rPr>
          <w:spacing w:val="-7"/>
          <w:vertAlign w:val="baseline"/>
        </w:rPr>
        <w:t> </w:t>
      </w:r>
      <w:r>
        <w:rPr>
          <w:vertAlign w:val="baseline"/>
        </w:rPr>
        <w:t>diseases,</w:t>
      </w:r>
      <w:r>
        <w:rPr>
          <w:spacing w:val="-7"/>
          <w:vertAlign w:val="baseline"/>
        </w:rPr>
        <w:t> </w:t>
      </w:r>
      <w:r>
        <w:rPr>
          <w:vertAlign w:val="baseline"/>
        </w:rPr>
        <w:t>and</w:t>
      </w:r>
      <w:r>
        <w:rPr>
          <w:spacing w:val="-8"/>
          <w:vertAlign w:val="baseline"/>
        </w:rPr>
        <w:t> </w:t>
      </w:r>
      <w:r>
        <w:rPr>
          <w:vertAlign w:val="baseline"/>
        </w:rPr>
        <w:t>certain</w:t>
      </w:r>
      <w:r>
        <w:rPr>
          <w:spacing w:val="-7"/>
          <w:vertAlign w:val="baseline"/>
        </w:rPr>
        <w:t> </w:t>
      </w:r>
      <w:r>
        <w:rPr>
          <w:vertAlign w:val="baseline"/>
        </w:rPr>
        <w:t>cancers.</w:t>
      </w:r>
      <w:r>
        <w:rPr>
          <w:vertAlign w:val="superscript"/>
        </w:rPr>
        <w:t>92</w:t>
      </w:r>
      <w:r>
        <w:rPr>
          <w:vertAlign w:val="baseline"/>
        </w:rPr>
        <w:t> Many</w:t>
      </w:r>
      <w:r>
        <w:rPr>
          <w:spacing w:val="-2"/>
          <w:vertAlign w:val="baseline"/>
        </w:rPr>
        <w:t> </w:t>
      </w:r>
      <w:r>
        <w:rPr>
          <w:vertAlign w:val="baseline"/>
        </w:rPr>
        <w:t>of</w:t>
      </w:r>
      <w:r>
        <w:rPr>
          <w:spacing w:val="-2"/>
          <w:vertAlign w:val="baseline"/>
        </w:rPr>
        <w:t> </w:t>
      </w:r>
      <w:r>
        <w:rPr>
          <w:vertAlign w:val="baseline"/>
        </w:rPr>
        <w:t>these</w:t>
      </w:r>
      <w:r>
        <w:rPr>
          <w:spacing w:val="-2"/>
          <w:vertAlign w:val="baseline"/>
        </w:rPr>
        <w:t> </w:t>
      </w:r>
      <w:r>
        <w:rPr>
          <w:vertAlign w:val="baseline"/>
        </w:rPr>
        <w:t>underlying conditions are</w:t>
      </w:r>
      <w:r>
        <w:rPr>
          <w:spacing w:val="-2"/>
          <w:vertAlign w:val="baseline"/>
        </w:rPr>
        <w:t> </w:t>
      </w:r>
      <w:r>
        <w:rPr>
          <w:vertAlign w:val="baseline"/>
        </w:rPr>
        <w:t>associated with</w:t>
      </w:r>
      <w:r>
        <w:rPr>
          <w:spacing w:val="-1"/>
          <w:vertAlign w:val="baseline"/>
        </w:rPr>
        <w:t> </w:t>
      </w:r>
      <w:r>
        <w:rPr>
          <w:vertAlign w:val="baseline"/>
        </w:rPr>
        <w:t>a high</w:t>
      </w:r>
      <w:r>
        <w:rPr>
          <w:spacing w:val="-1"/>
          <w:vertAlign w:val="baseline"/>
        </w:rPr>
        <w:t> </w:t>
      </w:r>
      <w:r>
        <w:rPr>
          <w:vertAlign w:val="baseline"/>
        </w:rPr>
        <w:t>risk</w:t>
      </w:r>
      <w:r>
        <w:rPr>
          <w:spacing w:val="-2"/>
          <w:vertAlign w:val="baseline"/>
        </w:rPr>
        <w:t> </w:t>
      </w:r>
      <w:r>
        <w:rPr>
          <w:vertAlign w:val="baseline"/>
        </w:rPr>
        <w:t>for</w:t>
      </w:r>
      <w:r>
        <w:rPr>
          <w:spacing w:val="-2"/>
          <w:vertAlign w:val="baseline"/>
        </w:rPr>
        <w:t> </w:t>
      </w:r>
      <w:r>
        <w:rPr>
          <w:vertAlign w:val="baseline"/>
        </w:rPr>
        <w:t>severe COVID-19,</w:t>
      </w:r>
      <w:r>
        <w:rPr>
          <w:spacing w:val="-2"/>
          <w:vertAlign w:val="baseline"/>
        </w:rPr>
        <w:t> </w:t>
      </w:r>
      <w:r>
        <w:rPr>
          <w:vertAlign w:val="baseline"/>
        </w:rPr>
        <w:t>which could </w:t>
      </w:r>
      <w:r>
        <w:rPr>
          <w:spacing w:val="-2"/>
          <w:vertAlign w:val="baseline"/>
        </w:rPr>
        <w:t>further</w:t>
      </w:r>
      <w:r>
        <w:rPr>
          <w:spacing w:val="-10"/>
          <w:vertAlign w:val="baseline"/>
        </w:rPr>
        <w:t> </w:t>
      </w:r>
      <w:r>
        <w:rPr>
          <w:spacing w:val="-2"/>
          <w:vertAlign w:val="baseline"/>
        </w:rPr>
        <w:t>lead to hospitalization, intensive care, ventilation, or even death.</w:t>
      </w:r>
      <w:r>
        <w:rPr>
          <w:spacing w:val="-2"/>
          <w:vertAlign w:val="superscript"/>
        </w:rPr>
        <w:t>93</w:t>
      </w:r>
      <w:r>
        <w:rPr>
          <w:spacing w:val="-11"/>
          <w:vertAlign w:val="baseline"/>
        </w:rPr>
        <w:t> </w:t>
      </w:r>
      <w:r>
        <w:rPr>
          <w:spacing w:val="-2"/>
          <w:vertAlign w:val="baseline"/>
        </w:rPr>
        <w:t>While the COVID vaccination </w:t>
      </w:r>
      <w:r>
        <w:rPr>
          <w:vertAlign w:val="baseline"/>
        </w:rPr>
        <w:t>mitigates some of the health-related risks, COVID has likely worsened pre-existing health disparities, identity-based discrimination, and inequitable access to care.</w:t>
      </w:r>
      <w:r>
        <w:rPr>
          <w:vertAlign w:val="superscript"/>
        </w:rPr>
        <w:t>94</w:t>
      </w:r>
    </w:p>
    <w:p>
      <w:pPr>
        <w:spacing w:before="240"/>
        <w:ind w:left="464" w:right="0" w:firstLine="0"/>
        <w:jc w:val="both"/>
        <w:rPr>
          <w:sz w:val="28"/>
        </w:rPr>
      </w:pPr>
      <w:bookmarkStart w:name="Acknowledgments &amp; Citations" w:id="361"/>
      <w:bookmarkEnd w:id="361"/>
      <w:r>
        <w:rPr/>
      </w:r>
      <w:r>
        <w:rPr>
          <w:color w:val="365F91"/>
          <w:sz w:val="28"/>
        </w:rPr>
        <w:t>Acknowledgments</w:t>
      </w:r>
      <w:r>
        <w:rPr>
          <w:color w:val="365F91"/>
          <w:spacing w:val="-15"/>
          <w:sz w:val="28"/>
        </w:rPr>
        <w:t> </w:t>
      </w:r>
      <w:r>
        <w:rPr>
          <w:color w:val="365F91"/>
          <w:sz w:val="28"/>
        </w:rPr>
        <w:t>&amp;</w:t>
      </w:r>
      <w:r>
        <w:rPr>
          <w:color w:val="365F91"/>
          <w:spacing w:val="-14"/>
          <w:sz w:val="28"/>
        </w:rPr>
        <w:t> </w:t>
      </w:r>
      <w:r>
        <w:rPr>
          <w:color w:val="365F91"/>
          <w:spacing w:val="-2"/>
          <w:sz w:val="28"/>
        </w:rPr>
        <w:t>Citations</w:t>
      </w:r>
    </w:p>
    <w:p>
      <w:pPr>
        <w:pStyle w:val="BodyText"/>
        <w:spacing w:before="10"/>
        <w:rPr>
          <w:sz w:val="3"/>
        </w:rPr>
      </w:pPr>
      <w:r>
        <w:rPr/>
        <mc:AlternateContent>
          <mc:Choice Requires="wps">
            <w:drawing>
              <wp:anchor distT="0" distB="0" distL="0" distR="0" allowOverlap="1" layoutInCell="1" locked="0" behindDoc="1" simplePos="0" relativeHeight="487632896">
                <wp:simplePos x="0" y="0"/>
                <wp:positionH relativeFrom="page">
                  <wp:posOffset>986789</wp:posOffset>
                </wp:positionH>
                <wp:positionV relativeFrom="paragraph">
                  <wp:posOffset>45424</wp:posOffset>
                </wp:positionV>
                <wp:extent cx="5799455" cy="6350"/>
                <wp:effectExtent l="0" t="0" r="0" b="0"/>
                <wp:wrapTopAndBottom/>
                <wp:docPr id="268" name="Graphic 268"/>
                <wp:cNvGraphicFramePr>
                  <a:graphicFrameLocks/>
                </wp:cNvGraphicFramePr>
                <a:graphic>
                  <a:graphicData uri="http://schemas.microsoft.com/office/word/2010/wordprocessingShape">
                    <wps:wsp>
                      <wps:cNvPr id="268" name="Graphic 268"/>
                      <wps:cNvSpPr/>
                      <wps:spPr>
                        <a:xfrm>
                          <a:off x="0" y="0"/>
                          <a:ext cx="5799455" cy="6350"/>
                        </a:xfrm>
                        <a:custGeom>
                          <a:avLst/>
                          <a:gdLst/>
                          <a:ahLst/>
                          <a:cxnLst/>
                          <a:rect l="l" t="t" r="r" b="b"/>
                          <a:pathLst>
                            <a:path w="5799455" h="6350">
                              <a:moveTo>
                                <a:pt x="5798832" y="0"/>
                              </a:moveTo>
                              <a:lnTo>
                                <a:pt x="0" y="0"/>
                              </a:lnTo>
                              <a:lnTo>
                                <a:pt x="0" y="6095"/>
                              </a:lnTo>
                              <a:lnTo>
                                <a:pt x="5798832" y="6095"/>
                              </a:lnTo>
                              <a:lnTo>
                                <a:pt x="5798832" y="0"/>
                              </a:lnTo>
                              <a:close/>
                            </a:path>
                          </a:pathLst>
                        </a:custGeom>
                        <a:solidFill>
                          <a:srgbClr val="4F81BC"/>
                        </a:solidFill>
                      </wps:spPr>
                      <wps:bodyPr wrap="square" lIns="0" tIns="0" rIns="0" bIns="0" rtlCol="0">
                        <a:prstTxWarp prst="textNoShape">
                          <a:avLst/>
                        </a:prstTxWarp>
                        <a:noAutofit/>
                      </wps:bodyPr>
                    </wps:wsp>
                  </a:graphicData>
                </a:graphic>
              </wp:anchor>
            </w:drawing>
          </mc:Choice>
          <mc:Fallback>
            <w:pict>
              <v:rect style="position:absolute;margin-left:77.699997pt;margin-top:3.576738pt;width:456.601pt;height:.48pt;mso-position-horizontal-relative:page;mso-position-vertical-relative:paragraph;z-index:-15683584;mso-wrap-distance-left:0;mso-wrap-distance-right:0" id="docshape213" filled="true" fillcolor="#4f81bc" stroked="false">
                <v:fill type="solid"/>
                <w10:wrap type="topAndBottom"/>
              </v:rect>
            </w:pict>
          </mc:Fallback>
        </mc:AlternateContent>
      </w:r>
    </w:p>
    <w:p>
      <w:pPr>
        <w:spacing w:line="276" w:lineRule="auto" w:before="241"/>
        <w:ind w:left="463" w:right="228" w:hanging="6"/>
        <w:jc w:val="left"/>
        <w:rPr>
          <w:i/>
          <w:sz w:val="22"/>
        </w:rPr>
      </w:pPr>
      <w:r>
        <w:rPr>
          <w:i/>
          <w:sz w:val="22"/>
        </w:rPr>
        <w:t>Acknowledgments:</w:t>
      </w:r>
      <w:r>
        <w:rPr>
          <w:i/>
          <w:spacing w:val="37"/>
          <w:sz w:val="22"/>
        </w:rPr>
        <w:t> </w:t>
      </w:r>
      <w:r>
        <w:rPr>
          <w:i/>
          <w:sz w:val="22"/>
        </w:rPr>
        <w:t>Dallas</w:t>
      </w:r>
      <w:r>
        <w:rPr>
          <w:i/>
          <w:spacing w:val="37"/>
          <w:sz w:val="22"/>
        </w:rPr>
        <w:t> </w:t>
      </w:r>
      <w:r>
        <w:rPr>
          <w:i/>
          <w:sz w:val="22"/>
        </w:rPr>
        <w:t>Ducar,</w:t>
      </w:r>
      <w:r>
        <w:rPr>
          <w:i/>
          <w:spacing w:val="39"/>
          <w:sz w:val="22"/>
        </w:rPr>
        <w:t> </w:t>
      </w:r>
      <w:r>
        <w:rPr>
          <w:i/>
          <w:sz w:val="22"/>
        </w:rPr>
        <w:t>lead</w:t>
      </w:r>
      <w:r>
        <w:rPr>
          <w:i/>
          <w:spacing w:val="37"/>
          <w:sz w:val="22"/>
        </w:rPr>
        <w:t> </w:t>
      </w:r>
      <w:r>
        <w:rPr>
          <w:i/>
          <w:sz w:val="22"/>
        </w:rPr>
        <w:t>researcher</w:t>
      </w:r>
      <w:r>
        <w:rPr>
          <w:i/>
          <w:spacing w:val="39"/>
          <w:sz w:val="22"/>
        </w:rPr>
        <w:t> </w:t>
      </w:r>
      <w:r>
        <w:rPr>
          <w:i/>
          <w:sz w:val="22"/>
        </w:rPr>
        <w:t>and</w:t>
      </w:r>
      <w:r>
        <w:rPr>
          <w:i/>
          <w:spacing w:val="38"/>
          <w:sz w:val="22"/>
        </w:rPr>
        <w:t> </w:t>
      </w:r>
      <w:r>
        <w:rPr>
          <w:i/>
          <w:sz w:val="22"/>
        </w:rPr>
        <w:t>author,</w:t>
      </w:r>
      <w:r>
        <w:rPr>
          <w:i/>
          <w:spacing w:val="39"/>
          <w:sz w:val="22"/>
        </w:rPr>
        <w:t> </w:t>
      </w:r>
      <w:r>
        <w:rPr>
          <w:i/>
          <w:sz w:val="22"/>
        </w:rPr>
        <w:t>Shannon</w:t>
      </w:r>
      <w:r>
        <w:rPr>
          <w:i/>
          <w:spacing w:val="37"/>
          <w:sz w:val="22"/>
        </w:rPr>
        <w:t> </w:t>
      </w:r>
      <w:r>
        <w:rPr>
          <w:i/>
          <w:sz w:val="22"/>
        </w:rPr>
        <w:t>Collins</w:t>
      </w:r>
      <w:r>
        <w:rPr>
          <w:i/>
          <w:spacing w:val="37"/>
          <w:sz w:val="22"/>
        </w:rPr>
        <w:t> </w:t>
      </w:r>
      <w:r>
        <w:rPr>
          <w:i/>
          <w:sz w:val="22"/>
        </w:rPr>
        <w:t>&amp;</w:t>
      </w:r>
      <w:r>
        <w:rPr>
          <w:i/>
          <w:spacing w:val="39"/>
          <w:sz w:val="22"/>
        </w:rPr>
        <w:t> </w:t>
      </w:r>
      <w:r>
        <w:rPr>
          <w:i/>
          <w:sz w:val="22"/>
        </w:rPr>
        <w:t>Mel</w:t>
      </w:r>
      <w:r>
        <w:rPr>
          <w:i/>
          <w:spacing w:val="40"/>
          <w:sz w:val="22"/>
        </w:rPr>
        <w:t> </w:t>
      </w:r>
      <w:r>
        <w:rPr>
          <w:i/>
          <w:sz w:val="22"/>
        </w:rPr>
        <w:t>DeSilva,</w:t>
      </w:r>
      <w:r>
        <w:rPr>
          <w:i/>
          <w:spacing w:val="38"/>
          <w:sz w:val="22"/>
        </w:rPr>
        <w:t> </w:t>
      </w:r>
      <w:r>
        <w:rPr>
          <w:i/>
          <w:sz w:val="22"/>
        </w:rPr>
        <w:t>co-</w:t>
      </w:r>
      <w:r>
        <w:rPr>
          <w:i/>
          <w:sz w:val="22"/>
        </w:rPr>
        <w:t> authors &amp; researchers (2023); Apollo Correia, secondary researcher and editor (2024)</w:t>
      </w:r>
    </w:p>
    <w:p>
      <w:pPr>
        <w:spacing w:before="240"/>
        <w:ind w:left="464" w:right="0" w:firstLine="0"/>
        <w:jc w:val="left"/>
        <w:rPr>
          <w:sz w:val="18"/>
        </w:rPr>
      </w:pPr>
      <w:r>
        <w:rPr>
          <w:sz w:val="18"/>
          <w:vertAlign w:val="superscript"/>
        </w:rPr>
        <w:t>1</w:t>
      </w:r>
      <w:r>
        <w:rPr>
          <w:spacing w:val="-13"/>
          <w:sz w:val="18"/>
          <w:vertAlign w:val="baseline"/>
        </w:rPr>
        <w:t> </w:t>
      </w:r>
      <w:r>
        <w:rPr>
          <w:sz w:val="18"/>
          <w:vertAlign w:val="baseline"/>
        </w:rPr>
        <w:t>Crenshaw,</w:t>
      </w:r>
      <w:r>
        <w:rPr>
          <w:spacing w:val="-7"/>
          <w:sz w:val="18"/>
          <w:vertAlign w:val="baseline"/>
        </w:rPr>
        <w:t> </w:t>
      </w:r>
      <w:r>
        <w:rPr>
          <w:sz w:val="18"/>
          <w:vertAlign w:val="baseline"/>
        </w:rPr>
        <w:t>Kimberlé</w:t>
      </w:r>
      <w:r>
        <w:rPr>
          <w:spacing w:val="-3"/>
          <w:sz w:val="18"/>
          <w:vertAlign w:val="baseline"/>
        </w:rPr>
        <w:t> </w:t>
      </w:r>
      <w:r>
        <w:rPr>
          <w:sz w:val="18"/>
          <w:vertAlign w:val="baseline"/>
        </w:rPr>
        <w:t>W.</w:t>
      </w:r>
      <w:r>
        <w:rPr>
          <w:spacing w:val="-3"/>
          <w:sz w:val="18"/>
          <w:vertAlign w:val="baseline"/>
        </w:rPr>
        <w:t> </w:t>
      </w:r>
      <w:r>
        <w:rPr>
          <w:i/>
          <w:sz w:val="18"/>
          <w:vertAlign w:val="baseline"/>
        </w:rPr>
        <w:t>On</w:t>
      </w:r>
      <w:r>
        <w:rPr>
          <w:i/>
          <w:spacing w:val="-4"/>
          <w:sz w:val="18"/>
          <w:vertAlign w:val="baseline"/>
        </w:rPr>
        <w:t> </w:t>
      </w:r>
      <w:r>
        <w:rPr>
          <w:i/>
          <w:sz w:val="18"/>
          <w:vertAlign w:val="baseline"/>
        </w:rPr>
        <w:t>Intersectionality:</w:t>
      </w:r>
      <w:r>
        <w:rPr>
          <w:i/>
          <w:spacing w:val="-3"/>
          <w:sz w:val="18"/>
          <w:vertAlign w:val="baseline"/>
        </w:rPr>
        <w:t> </w:t>
      </w:r>
      <w:r>
        <w:rPr>
          <w:i/>
          <w:sz w:val="18"/>
          <w:vertAlign w:val="baseline"/>
        </w:rPr>
        <w:t>Essential</w:t>
      </w:r>
      <w:r>
        <w:rPr>
          <w:i/>
          <w:spacing w:val="-4"/>
          <w:sz w:val="18"/>
          <w:vertAlign w:val="baseline"/>
        </w:rPr>
        <w:t> </w:t>
      </w:r>
      <w:r>
        <w:rPr>
          <w:i/>
          <w:sz w:val="18"/>
          <w:vertAlign w:val="baseline"/>
        </w:rPr>
        <w:t>Writings.</w:t>
      </w:r>
      <w:r>
        <w:rPr>
          <w:i/>
          <w:spacing w:val="-2"/>
          <w:sz w:val="18"/>
          <w:vertAlign w:val="baseline"/>
        </w:rPr>
        <w:t> </w:t>
      </w:r>
      <w:r>
        <w:rPr>
          <w:sz w:val="18"/>
          <w:vertAlign w:val="baseline"/>
        </w:rPr>
        <w:t>The</w:t>
      </w:r>
      <w:r>
        <w:rPr>
          <w:spacing w:val="-3"/>
          <w:sz w:val="18"/>
          <w:vertAlign w:val="baseline"/>
        </w:rPr>
        <w:t> </w:t>
      </w:r>
      <w:r>
        <w:rPr>
          <w:sz w:val="18"/>
          <w:vertAlign w:val="baseline"/>
        </w:rPr>
        <w:t>New</w:t>
      </w:r>
      <w:r>
        <w:rPr>
          <w:spacing w:val="-5"/>
          <w:sz w:val="18"/>
          <w:vertAlign w:val="baseline"/>
        </w:rPr>
        <w:t> </w:t>
      </w:r>
      <w:r>
        <w:rPr>
          <w:sz w:val="18"/>
          <w:vertAlign w:val="baseline"/>
        </w:rPr>
        <w:t>Press,</w:t>
      </w:r>
      <w:r>
        <w:rPr>
          <w:spacing w:val="-4"/>
          <w:sz w:val="18"/>
          <w:vertAlign w:val="baseline"/>
        </w:rPr>
        <w:t> </w:t>
      </w:r>
      <w:r>
        <w:rPr>
          <w:spacing w:val="-2"/>
          <w:sz w:val="18"/>
          <w:vertAlign w:val="baseline"/>
        </w:rPr>
        <w:t>2017.</w:t>
      </w:r>
    </w:p>
    <w:p>
      <w:pPr>
        <w:spacing w:line="276" w:lineRule="auto" w:before="34"/>
        <w:ind w:left="463" w:right="481" w:firstLine="1"/>
        <w:jc w:val="left"/>
        <w:rPr>
          <w:sz w:val="18"/>
        </w:rPr>
      </w:pPr>
      <w:r>
        <w:rPr>
          <w:sz w:val="18"/>
          <w:vertAlign w:val="superscript"/>
        </w:rPr>
        <w:t>2</w:t>
      </w:r>
      <w:r>
        <w:rPr>
          <w:spacing w:val="-10"/>
          <w:sz w:val="18"/>
          <w:vertAlign w:val="baseline"/>
        </w:rPr>
        <w:t> </w:t>
      </w:r>
      <w:r>
        <w:rPr>
          <w:color w:val="212121"/>
          <w:sz w:val="18"/>
          <w:vertAlign w:val="baseline"/>
        </w:rPr>
        <w:t>Oaks, Laury, Tania Israel, Kristin J. Conover, Alise Cogger, and Todd Raymond Avellar. "Community-based participatory research with invisible, geographically-dispersed communities: Partnering with lesbian, gay, bisexual, transgender and queer</w:t>
      </w:r>
      <w:r>
        <w:rPr>
          <w:color w:val="212121"/>
          <w:spacing w:val="-3"/>
          <w:sz w:val="18"/>
          <w:vertAlign w:val="baseline"/>
        </w:rPr>
        <w:t> </w:t>
      </w:r>
      <w:r>
        <w:rPr>
          <w:color w:val="212121"/>
          <w:sz w:val="18"/>
          <w:vertAlign w:val="baseline"/>
        </w:rPr>
        <w:t>communities</w:t>
      </w:r>
      <w:r>
        <w:rPr>
          <w:color w:val="212121"/>
          <w:spacing w:val="-2"/>
          <w:sz w:val="18"/>
          <w:vertAlign w:val="baseline"/>
        </w:rPr>
        <w:t> </w:t>
      </w:r>
      <w:r>
        <w:rPr>
          <w:color w:val="212121"/>
          <w:sz w:val="18"/>
          <w:vertAlign w:val="baseline"/>
        </w:rPr>
        <w:t>on</w:t>
      </w:r>
      <w:r>
        <w:rPr>
          <w:color w:val="212121"/>
          <w:spacing w:val="-2"/>
          <w:sz w:val="18"/>
          <w:vertAlign w:val="baseline"/>
        </w:rPr>
        <w:t> </w:t>
      </w:r>
      <w:r>
        <w:rPr>
          <w:color w:val="212121"/>
          <w:sz w:val="18"/>
          <w:vertAlign w:val="baseline"/>
        </w:rPr>
        <w:t>the</w:t>
      </w:r>
      <w:r>
        <w:rPr>
          <w:color w:val="212121"/>
          <w:spacing w:val="-2"/>
          <w:sz w:val="18"/>
          <w:vertAlign w:val="baseline"/>
        </w:rPr>
        <w:t> </w:t>
      </w:r>
      <w:r>
        <w:rPr>
          <w:color w:val="212121"/>
          <w:sz w:val="18"/>
          <w:vertAlign w:val="baseline"/>
        </w:rPr>
        <w:t>California</w:t>
      </w:r>
      <w:r>
        <w:rPr>
          <w:color w:val="212121"/>
          <w:spacing w:val="-2"/>
          <w:sz w:val="18"/>
          <w:vertAlign w:val="baseline"/>
        </w:rPr>
        <w:t> </w:t>
      </w:r>
      <w:r>
        <w:rPr>
          <w:color w:val="212121"/>
          <w:sz w:val="18"/>
          <w:vertAlign w:val="baseline"/>
        </w:rPr>
        <w:t>central</w:t>
      </w:r>
      <w:r>
        <w:rPr>
          <w:color w:val="212121"/>
          <w:spacing w:val="-3"/>
          <w:sz w:val="18"/>
          <w:vertAlign w:val="baseline"/>
        </w:rPr>
        <w:t> </w:t>
      </w:r>
      <w:r>
        <w:rPr>
          <w:color w:val="212121"/>
          <w:sz w:val="18"/>
          <w:vertAlign w:val="baseline"/>
        </w:rPr>
        <w:t>coast."</w:t>
      </w:r>
      <w:r>
        <w:rPr>
          <w:color w:val="212121"/>
          <w:spacing w:val="-2"/>
          <w:sz w:val="18"/>
          <w:vertAlign w:val="baseline"/>
        </w:rPr>
        <w:t> </w:t>
      </w:r>
      <w:r>
        <w:rPr>
          <w:i/>
          <w:color w:val="212121"/>
          <w:sz w:val="18"/>
          <w:vertAlign w:val="baseline"/>
        </w:rPr>
        <w:t>Journal</w:t>
      </w:r>
      <w:r>
        <w:rPr>
          <w:i/>
          <w:color w:val="212121"/>
          <w:spacing w:val="-3"/>
          <w:sz w:val="18"/>
          <w:vertAlign w:val="baseline"/>
        </w:rPr>
        <w:t> </w:t>
      </w:r>
      <w:r>
        <w:rPr>
          <w:i/>
          <w:color w:val="212121"/>
          <w:sz w:val="18"/>
          <w:vertAlign w:val="baseline"/>
        </w:rPr>
        <w:t>for</w:t>
      </w:r>
      <w:r>
        <w:rPr>
          <w:i/>
          <w:color w:val="212121"/>
          <w:spacing w:val="-3"/>
          <w:sz w:val="18"/>
          <w:vertAlign w:val="baseline"/>
        </w:rPr>
        <w:t> </w:t>
      </w:r>
      <w:r>
        <w:rPr>
          <w:i/>
          <w:color w:val="212121"/>
          <w:sz w:val="18"/>
          <w:vertAlign w:val="baseline"/>
        </w:rPr>
        <w:t>Social</w:t>
      </w:r>
      <w:r>
        <w:rPr>
          <w:i/>
          <w:color w:val="212121"/>
          <w:spacing w:val="-3"/>
          <w:sz w:val="18"/>
          <w:vertAlign w:val="baseline"/>
        </w:rPr>
        <w:t> </w:t>
      </w:r>
      <w:r>
        <w:rPr>
          <w:i/>
          <w:color w:val="212121"/>
          <w:sz w:val="18"/>
          <w:vertAlign w:val="baseline"/>
        </w:rPr>
        <w:t>Action</w:t>
      </w:r>
      <w:r>
        <w:rPr>
          <w:i/>
          <w:color w:val="212121"/>
          <w:spacing w:val="-1"/>
          <w:sz w:val="18"/>
          <w:vertAlign w:val="baseline"/>
        </w:rPr>
        <w:t> </w:t>
      </w:r>
      <w:r>
        <w:rPr>
          <w:i/>
          <w:color w:val="212121"/>
          <w:sz w:val="18"/>
          <w:vertAlign w:val="baseline"/>
        </w:rPr>
        <w:t>in</w:t>
      </w:r>
      <w:r>
        <w:rPr>
          <w:i/>
          <w:color w:val="212121"/>
          <w:spacing w:val="-3"/>
          <w:sz w:val="18"/>
          <w:vertAlign w:val="baseline"/>
        </w:rPr>
        <w:t> </w:t>
      </w:r>
      <w:r>
        <w:rPr>
          <w:i/>
          <w:color w:val="212121"/>
          <w:sz w:val="18"/>
          <w:vertAlign w:val="baseline"/>
        </w:rPr>
        <w:t>Counseling</w:t>
      </w:r>
      <w:r>
        <w:rPr>
          <w:i/>
          <w:color w:val="212121"/>
          <w:spacing w:val="-1"/>
          <w:sz w:val="18"/>
          <w:vertAlign w:val="baseline"/>
        </w:rPr>
        <w:t> </w:t>
      </w:r>
      <w:r>
        <w:rPr>
          <w:i/>
          <w:color w:val="212121"/>
          <w:sz w:val="18"/>
          <w:vertAlign w:val="baseline"/>
        </w:rPr>
        <w:t>&amp;</w:t>
      </w:r>
      <w:r>
        <w:rPr>
          <w:i/>
          <w:color w:val="212121"/>
          <w:spacing w:val="-3"/>
          <w:sz w:val="18"/>
          <w:vertAlign w:val="baseline"/>
        </w:rPr>
        <w:t> </w:t>
      </w:r>
      <w:r>
        <w:rPr>
          <w:i/>
          <w:color w:val="212121"/>
          <w:sz w:val="18"/>
          <w:vertAlign w:val="baseline"/>
        </w:rPr>
        <w:t>Psychology</w:t>
      </w:r>
      <w:r>
        <w:rPr>
          <w:i/>
          <w:color w:val="212121"/>
          <w:spacing w:val="-2"/>
          <w:sz w:val="18"/>
          <w:vertAlign w:val="baseline"/>
        </w:rPr>
        <w:t> </w:t>
      </w:r>
      <w:r>
        <w:rPr>
          <w:color w:val="212121"/>
          <w:sz w:val="18"/>
          <w:vertAlign w:val="baseline"/>
        </w:rPr>
        <w:t>11,</w:t>
      </w:r>
      <w:r>
        <w:rPr>
          <w:color w:val="212121"/>
          <w:spacing w:val="-3"/>
          <w:sz w:val="18"/>
          <w:vertAlign w:val="baseline"/>
        </w:rPr>
        <w:t> </w:t>
      </w:r>
      <w:r>
        <w:rPr>
          <w:color w:val="212121"/>
          <w:sz w:val="18"/>
          <w:vertAlign w:val="baseline"/>
        </w:rPr>
        <w:t>no.</w:t>
      </w:r>
      <w:r>
        <w:rPr>
          <w:color w:val="212121"/>
          <w:spacing w:val="-2"/>
          <w:sz w:val="18"/>
          <w:vertAlign w:val="baseline"/>
        </w:rPr>
        <w:t> </w:t>
      </w:r>
      <w:r>
        <w:rPr>
          <w:color w:val="212121"/>
          <w:sz w:val="18"/>
          <w:vertAlign w:val="baseline"/>
        </w:rPr>
        <w:t>1</w:t>
      </w:r>
      <w:r>
        <w:rPr>
          <w:color w:val="212121"/>
          <w:spacing w:val="-2"/>
          <w:sz w:val="18"/>
          <w:vertAlign w:val="baseline"/>
        </w:rPr>
        <w:t> </w:t>
      </w:r>
      <w:r>
        <w:rPr>
          <w:color w:val="212121"/>
          <w:sz w:val="18"/>
          <w:vertAlign w:val="baseline"/>
        </w:rPr>
        <w:t>(2019): 14-32. </w:t>
      </w:r>
      <w:r>
        <w:rPr>
          <w:sz w:val="18"/>
          <w:vertAlign w:val="superscript"/>
        </w:rPr>
        <w:t>3</w:t>
      </w:r>
      <w:r>
        <w:rPr>
          <w:spacing w:val="-8"/>
          <w:sz w:val="18"/>
          <w:vertAlign w:val="baseline"/>
        </w:rPr>
        <w:t> </w:t>
      </w:r>
      <w:r>
        <w:rPr>
          <w:sz w:val="18"/>
          <w:vertAlign w:val="baseline"/>
        </w:rPr>
        <w:t>Sage, 2021, “A year into the pandemic, LGBTQ life and death remains largely invisible,” https:</w:t>
      </w:r>
      <w:hyperlink r:id="rId280">
        <w:r>
          <w:rPr>
            <w:sz w:val="18"/>
            <w:vertAlign w:val="baseline"/>
          </w:rPr>
          <w:t>//www.sageusa.org/news</w:t>
        </w:r>
      </w:hyperlink>
      <w:r>
        <w:rPr>
          <w:spacing w:val="-2"/>
          <w:sz w:val="18"/>
          <w:vertAlign w:val="baseline"/>
        </w:rPr>
        <w:t> </w:t>
      </w:r>
      <w:r>
        <w:rPr>
          <w:sz w:val="18"/>
          <w:vertAlign w:val="baseline"/>
        </w:rPr>
        <w:t>posts/a-year-into-the-pandemic-lgbtq-life-and-death-remains-largely-invisible/</w:t>
      </w:r>
    </w:p>
    <w:p>
      <w:pPr>
        <w:spacing w:line="276" w:lineRule="auto" w:before="0"/>
        <w:ind w:left="464" w:right="533" w:firstLine="0"/>
        <w:jc w:val="left"/>
        <w:rPr>
          <w:sz w:val="18"/>
        </w:rPr>
      </w:pPr>
      <w:r>
        <w:rPr>
          <w:sz w:val="18"/>
          <w:vertAlign w:val="superscript"/>
        </w:rPr>
        <w:t>4</w:t>
      </w:r>
      <w:r>
        <w:rPr>
          <w:spacing w:val="-6"/>
          <w:sz w:val="18"/>
          <w:vertAlign w:val="baseline"/>
        </w:rPr>
        <w:t> </w:t>
      </w:r>
      <w:r>
        <w:rPr>
          <w:sz w:val="18"/>
          <w:vertAlign w:val="baseline"/>
        </w:rPr>
        <w:t>Comstock, 2019, “More inclusive EHRs can help extend welcome, save transgender lives,” </w:t>
      </w:r>
      <w:r>
        <w:rPr>
          <w:color w:val="1154CC"/>
          <w:sz w:val="18"/>
          <w:u w:val="single" w:color="1154CC"/>
          <w:vertAlign w:val="baseline"/>
        </w:rPr>
        <w:t>https:</w:t>
      </w:r>
      <w:hyperlink r:id="rId281">
        <w:r>
          <w:rPr>
            <w:color w:val="1154CC"/>
            <w:sz w:val="18"/>
            <w:u w:val="single" w:color="1154CC"/>
            <w:vertAlign w:val="baseline"/>
          </w:rPr>
          <w:t>//www.healthcareitnews.com/news/more-inclusive-ehrs-can-help-extend-welcome-save-transgender-lives</w:t>
        </w:r>
        <w:r>
          <w:rPr>
            <w:color w:val="1154CC"/>
            <w:spacing w:val="-11"/>
            <w:sz w:val="18"/>
            <w:u w:val="single" w:color="1154CC"/>
            <w:vertAlign w:val="baseline"/>
          </w:rPr>
          <w:t> </w:t>
        </w:r>
        <w:r>
          <w:rPr>
            <w:sz w:val="18"/>
            <w:u w:val="none"/>
            <w:vertAlign w:val="superscript"/>
          </w:rPr>
          <w:t>5</w:t>
        </w:r>
      </w:hyperlink>
      <w:r>
        <w:rPr>
          <w:spacing w:val="-16"/>
          <w:sz w:val="18"/>
          <w:u w:val="none"/>
          <w:vertAlign w:val="baseline"/>
        </w:rPr>
        <w:t> </w:t>
      </w:r>
      <w:r>
        <w:rPr>
          <w:sz w:val="18"/>
          <w:u w:val="none"/>
          <w:vertAlign w:val="baseline"/>
        </w:rPr>
        <w:t>FACT SHEET: Biden-Harris Administration Releases First-Ever Federal Evidence Agenda on LGBTQI+ Equity, January 24, 2023.</w:t>
      </w:r>
    </w:p>
    <w:p>
      <w:pPr>
        <w:spacing w:after="0" w:line="276" w:lineRule="auto"/>
        <w:jc w:val="left"/>
        <w:rPr>
          <w:sz w:val="18"/>
        </w:rPr>
        <w:sectPr>
          <w:pgSz w:w="12240" w:h="15840"/>
          <w:pgMar w:header="721" w:footer="1061" w:top="1360" w:bottom="1260" w:left="1120" w:right="1340"/>
        </w:sectPr>
      </w:pPr>
    </w:p>
    <w:p>
      <w:pPr>
        <w:spacing w:line="276" w:lineRule="auto" w:before="68"/>
        <w:ind w:left="464" w:right="468" w:firstLine="0"/>
        <w:jc w:val="left"/>
        <w:rPr>
          <w:sz w:val="18"/>
        </w:rPr>
      </w:pPr>
      <w:r>
        <w:rPr>
          <w:color w:val="1154CC"/>
          <w:spacing w:val="-2"/>
          <w:sz w:val="18"/>
          <w:u w:val="single" w:color="1154CC"/>
        </w:rPr>
        <w:t>https:</w:t>
      </w:r>
      <w:hyperlink r:id="rId282">
        <w:r>
          <w:rPr>
            <w:color w:val="1154CC"/>
            <w:spacing w:val="-2"/>
            <w:sz w:val="18"/>
            <w:u w:val="single" w:color="1154CC"/>
          </w:rPr>
          <w:t>//www.whitehouse.gov/ostp/news-updates/2023/01/24/fact-sheet-biden-harris-administration-releases-first-ever</w:t>
        </w:r>
      </w:hyperlink>
      <w:r>
        <w:rPr>
          <w:color w:val="1154CC"/>
          <w:sz w:val="18"/>
          <w:u w:val="none"/>
        </w:rPr>
        <w:t> </w:t>
      </w:r>
      <w:r>
        <w:rPr>
          <w:color w:val="1154CC"/>
          <w:spacing w:val="-2"/>
          <w:sz w:val="18"/>
          <w:u w:val="single" w:color="1154CC"/>
        </w:rPr>
        <w:t>federal-evidence-agenda-on-lgbtqi-equity/</w:t>
      </w:r>
    </w:p>
    <w:p>
      <w:pPr>
        <w:spacing w:line="276" w:lineRule="auto" w:before="0"/>
        <w:ind w:left="464" w:right="318" w:hanging="1"/>
        <w:jc w:val="left"/>
        <w:rPr>
          <w:sz w:val="18"/>
        </w:rPr>
      </w:pPr>
      <w:r>
        <w:rPr>
          <w:sz w:val="18"/>
          <w:vertAlign w:val="superscript"/>
        </w:rPr>
        <w:t>6</w:t>
      </w:r>
      <w:r>
        <w:rPr>
          <w:spacing w:val="-6"/>
          <w:sz w:val="18"/>
          <w:vertAlign w:val="baseline"/>
        </w:rPr>
        <w:t> </w:t>
      </w:r>
      <w:r>
        <w:rPr>
          <w:sz w:val="18"/>
          <w:vertAlign w:val="baseline"/>
        </w:rPr>
        <w:t>“Gender Incongruence and Transgender Health in the ICD,” accessed April 24, 2023, </w:t>
      </w:r>
      <w:r>
        <w:rPr>
          <w:spacing w:val="-2"/>
          <w:sz w:val="18"/>
          <w:vertAlign w:val="baseline"/>
        </w:rPr>
        <w:t>https:</w:t>
      </w:r>
      <w:hyperlink r:id="rId283">
        <w:r>
          <w:rPr>
            <w:spacing w:val="-2"/>
            <w:sz w:val="18"/>
            <w:vertAlign w:val="baseline"/>
          </w:rPr>
          <w:t>//www.who.int/standards/classifications/frequently-asked-questions/gender-incongruence-and-transgender-health-</w:t>
        </w:r>
      </w:hyperlink>
      <w:r>
        <w:rPr>
          <w:spacing w:val="40"/>
          <w:sz w:val="18"/>
          <w:vertAlign w:val="baseline"/>
        </w:rPr>
        <w:t>  </w:t>
      </w:r>
      <w:r>
        <w:rPr>
          <w:sz w:val="18"/>
          <w:vertAlign w:val="baseline"/>
        </w:rPr>
        <w:t>in the-icd.</w:t>
      </w:r>
    </w:p>
    <w:p>
      <w:pPr>
        <w:spacing w:line="276" w:lineRule="auto" w:before="0"/>
        <w:ind w:left="463" w:right="228" w:firstLine="12"/>
        <w:jc w:val="left"/>
        <w:rPr>
          <w:sz w:val="18"/>
        </w:rPr>
      </w:pPr>
      <w:r>
        <w:rPr>
          <w:sz w:val="18"/>
          <w:vertAlign w:val="superscript"/>
        </w:rPr>
        <w:t>7</w:t>
      </w:r>
      <w:r>
        <w:rPr>
          <w:spacing w:val="-13"/>
          <w:sz w:val="18"/>
          <w:vertAlign w:val="baseline"/>
        </w:rPr>
        <w:t> </w:t>
      </w:r>
      <w:r>
        <w:rPr>
          <w:sz w:val="18"/>
          <w:vertAlign w:val="baseline"/>
        </w:rPr>
        <w:t>Commonwealth of Massachusetts. “Continuing Applicability of Guidance Regarding Prohibited Discrimination on the Basis of</w:t>
      </w:r>
      <w:r>
        <w:rPr>
          <w:spacing w:val="-3"/>
          <w:sz w:val="18"/>
          <w:vertAlign w:val="baseline"/>
        </w:rPr>
        <w:t> </w:t>
      </w:r>
      <w:r>
        <w:rPr>
          <w:sz w:val="18"/>
          <w:vertAlign w:val="baseline"/>
        </w:rPr>
        <w:t>Gender</w:t>
      </w:r>
      <w:r>
        <w:rPr>
          <w:spacing w:val="-4"/>
          <w:sz w:val="18"/>
          <w:vertAlign w:val="baseline"/>
        </w:rPr>
        <w:t> </w:t>
      </w:r>
      <w:r>
        <w:rPr>
          <w:sz w:val="18"/>
          <w:vertAlign w:val="baseline"/>
        </w:rPr>
        <w:t>Identity</w:t>
      </w:r>
      <w:r>
        <w:rPr>
          <w:spacing w:val="-3"/>
          <w:sz w:val="18"/>
          <w:vertAlign w:val="baseline"/>
        </w:rPr>
        <w:t> </w:t>
      </w:r>
      <w:r>
        <w:rPr>
          <w:sz w:val="18"/>
          <w:vertAlign w:val="baseline"/>
        </w:rPr>
        <w:t>or</w:t>
      </w:r>
      <w:r>
        <w:rPr>
          <w:spacing w:val="-4"/>
          <w:sz w:val="18"/>
          <w:vertAlign w:val="baseline"/>
        </w:rPr>
        <w:t> </w:t>
      </w:r>
      <w:r>
        <w:rPr>
          <w:sz w:val="18"/>
          <w:vertAlign w:val="baseline"/>
        </w:rPr>
        <w:t>Gender</w:t>
      </w:r>
      <w:r>
        <w:rPr>
          <w:spacing w:val="-4"/>
          <w:sz w:val="18"/>
          <w:vertAlign w:val="baseline"/>
        </w:rPr>
        <w:t> </w:t>
      </w:r>
      <w:r>
        <w:rPr>
          <w:sz w:val="18"/>
          <w:vertAlign w:val="baseline"/>
        </w:rPr>
        <w:t>Dysphoria</w:t>
      </w:r>
      <w:r>
        <w:rPr>
          <w:spacing w:val="-3"/>
          <w:sz w:val="18"/>
          <w:vertAlign w:val="baseline"/>
        </w:rPr>
        <w:t> </w:t>
      </w:r>
      <w:r>
        <w:rPr>
          <w:sz w:val="18"/>
          <w:vertAlign w:val="baseline"/>
        </w:rPr>
        <w:t>Including</w:t>
      </w:r>
      <w:r>
        <w:rPr>
          <w:spacing w:val="-3"/>
          <w:sz w:val="18"/>
          <w:vertAlign w:val="baseline"/>
        </w:rPr>
        <w:t> </w:t>
      </w:r>
      <w:r>
        <w:rPr>
          <w:sz w:val="18"/>
          <w:vertAlign w:val="baseline"/>
        </w:rPr>
        <w:t>Medically</w:t>
      </w:r>
      <w:r>
        <w:rPr>
          <w:spacing w:val="-3"/>
          <w:sz w:val="18"/>
          <w:vertAlign w:val="baseline"/>
        </w:rPr>
        <w:t> </w:t>
      </w:r>
      <w:r>
        <w:rPr>
          <w:sz w:val="18"/>
          <w:vertAlign w:val="baseline"/>
        </w:rPr>
        <w:t>Necessary</w:t>
      </w:r>
      <w:r>
        <w:rPr>
          <w:spacing w:val="-3"/>
          <w:sz w:val="18"/>
          <w:vertAlign w:val="baseline"/>
        </w:rPr>
        <w:t> </w:t>
      </w:r>
      <w:r>
        <w:rPr>
          <w:sz w:val="18"/>
          <w:vertAlign w:val="baseline"/>
        </w:rPr>
        <w:t>Gender-Affirming</w:t>
      </w:r>
      <w:r>
        <w:rPr>
          <w:spacing w:val="-3"/>
          <w:sz w:val="18"/>
          <w:vertAlign w:val="baseline"/>
        </w:rPr>
        <w:t> </w:t>
      </w:r>
      <w:r>
        <w:rPr>
          <w:sz w:val="18"/>
          <w:vertAlign w:val="baseline"/>
        </w:rPr>
        <w:t>Care</w:t>
      </w:r>
      <w:r>
        <w:rPr>
          <w:spacing w:val="-3"/>
          <w:sz w:val="18"/>
          <w:vertAlign w:val="baseline"/>
        </w:rPr>
        <w:t> </w:t>
      </w:r>
      <w:r>
        <w:rPr>
          <w:sz w:val="18"/>
          <w:vertAlign w:val="baseline"/>
        </w:rPr>
        <w:t>and</w:t>
      </w:r>
      <w:r>
        <w:rPr>
          <w:spacing w:val="-3"/>
          <w:sz w:val="18"/>
          <w:vertAlign w:val="baseline"/>
        </w:rPr>
        <w:t> </w:t>
      </w:r>
      <w:r>
        <w:rPr>
          <w:sz w:val="18"/>
          <w:vertAlign w:val="baseline"/>
        </w:rPr>
        <w:t>Related</w:t>
      </w:r>
      <w:r>
        <w:rPr>
          <w:spacing w:val="-3"/>
          <w:sz w:val="18"/>
          <w:vertAlign w:val="baseline"/>
        </w:rPr>
        <w:t> </w:t>
      </w:r>
      <w:r>
        <w:rPr>
          <w:sz w:val="18"/>
          <w:vertAlign w:val="baseline"/>
        </w:rPr>
        <w:t>Services.”</w:t>
      </w:r>
      <w:r>
        <w:rPr>
          <w:spacing w:val="-3"/>
          <w:sz w:val="18"/>
          <w:vertAlign w:val="baseline"/>
        </w:rPr>
        <w:t> </w:t>
      </w:r>
      <w:r>
        <w:rPr>
          <w:sz w:val="18"/>
          <w:vertAlign w:val="baseline"/>
        </w:rPr>
        <w:t>2021.</w:t>
      </w:r>
      <w:r>
        <w:rPr>
          <w:spacing w:val="-4"/>
          <w:sz w:val="18"/>
          <w:vertAlign w:val="baseline"/>
        </w:rPr>
        <w:t> </w:t>
      </w:r>
      <w:r>
        <w:rPr>
          <w:sz w:val="18"/>
          <w:vertAlign w:val="superscript"/>
        </w:rPr>
        <w:t>8</w:t>
      </w:r>
      <w:r>
        <w:rPr>
          <w:sz w:val="18"/>
          <w:vertAlign w:val="baseline"/>
        </w:rPr>
        <w:t> Kattari, Shanna K., N. Eugene Walls, Darren L. Whitfield, and Lisa Langenderfer-Magruder. 2015. “Racial and Ethnic Differences in Experiences of Discrimination in Accessing Health Services among Transgender People in the United States.” </w:t>
      </w:r>
      <w:r>
        <w:rPr>
          <w:i/>
          <w:sz w:val="18"/>
          <w:vertAlign w:val="baseline"/>
        </w:rPr>
        <w:t>International Journal of Transgenderism </w:t>
      </w:r>
      <w:r>
        <w:rPr>
          <w:sz w:val="18"/>
          <w:vertAlign w:val="baseline"/>
        </w:rPr>
        <w:t>16 (2): 68–79. https://doi.org/10.1080/15532739.2015.1064336.</w:t>
      </w:r>
    </w:p>
    <w:p>
      <w:pPr>
        <w:spacing w:line="276" w:lineRule="auto" w:before="1"/>
        <w:ind w:left="463" w:right="266" w:firstLine="2"/>
        <w:jc w:val="left"/>
        <w:rPr>
          <w:sz w:val="18"/>
        </w:rPr>
      </w:pPr>
      <w:r>
        <w:rPr>
          <w:sz w:val="18"/>
          <w:vertAlign w:val="superscript"/>
        </w:rPr>
        <w:t>9</w:t>
      </w:r>
      <w:r>
        <w:rPr>
          <w:spacing w:val="-8"/>
          <w:sz w:val="18"/>
          <w:vertAlign w:val="baseline"/>
        </w:rPr>
        <w:t> </w:t>
      </w:r>
      <w:r>
        <w:rPr>
          <w:color w:val="202020"/>
          <w:sz w:val="18"/>
          <w:vertAlign w:val="baseline"/>
        </w:rPr>
        <w:t>Argenyi MS, Mereish EH, Watson RJ. Mental and Physical Health Disparities Among Sexual and Gender Minority Adolescents Based on Disability Status. LGBT Health. 2022 Oct</w:t>
      </w:r>
      <w:r>
        <w:rPr>
          <w:color w:val="202020"/>
          <w:spacing w:val="-1"/>
          <w:sz w:val="18"/>
          <w:vertAlign w:val="baseline"/>
        </w:rPr>
        <w:t> </w:t>
      </w:r>
      <w:r>
        <w:rPr>
          <w:color w:val="202020"/>
          <w:sz w:val="18"/>
          <w:vertAlign w:val="baseline"/>
        </w:rPr>
        <w:t>26. doi: 10.1089/lgbt.2022.0032.</w:t>
      </w:r>
      <w:r>
        <w:rPr>
          <w:color w:val="202020"/>
          <w:spacing w:val="-1"/>
          <w:sz w:val="18"/>
          <w:vertAlign w:val="baseline"/>
        </w:rPr>
        <w:t> </w:t>
      </w:r>
      <w:r>
        <w:rPr>
          <w:color w:val="202020"/>
          <w:sz w:val="18"/>
          <w:vertAlign w:val="baseline"/>
        </w:rPr>
        <w:t>Epub ahead</w:t>
      </w:r>
      <w:r>
        <w:rPr>
          <w:color w:val="202020"/>
          <w:spacing w:val="-1"/>
          <w:sz w:val="18"/>
          <w:vertAlign w:val="baseline"/>
        </w:rPr>
        <w:t> </w:t>
      </w:r>
      <w:r>
        <w:rPr>
          <w:color w:val="202020"/>
          <w:sz w:val="18"/>
          <w:vertAlign w:val="baseline"/>
        </w:rPr>
        <w:t>of print. PMID: 36301253.</w:t>
      </w:r>
      <w:r>
        <w:rPr>
          <w:color w:val="202020"/>
          <w:spacing w:val="-3"/>
          <w:sz w:val="18"/>
          <w:vertAlign w:val="baseline"/>
        </w:rPr>
        <w:t> </w:t>
      </w:r>
      <w:r>
        <w:rPr>
          <w:sz w:val="18"/>
          <w:vertAlign w:val="superscript"/>
        </w:rPr>
        <w:t>10</w:t>
      </w:r>
      <w:r>
        <w:rPr>
          <w:spacing w:val="-13"/>
          <w:sz w:val="18"/>
          <w:vertAlign w:val="baseline"/>
        </w:rPr>
        <w:t> </w:t>
      </w:r>
      <w:r>
        <w:rPr>
          <w:color w:val="202020"/>
          <w:sz w:val="18"/>
          <w:vertAlign w:val="baseline"/>
        </w:rPr>
        <w:t>Hisle-Gorman</w:t>
      </w:r>
      <w:r>
        <w:rPr>
          <w:color w:val="202020"/>
          <w:spacing w:val="-2"/>
          <w:sz w:val="18"/>
          <w:vertAlign w:val="baseline"/>
        </w:rPr>
        <w:t> </w:t>
      </w:r>
      <w:r>
        <w:rPr>
          <w:color w:val="202020"/>
          <w:sz w:val="18"/>
          <w:vertAlign w:val="baseline"/>
        </w:rPr>
        <w:t>E,</w:t>
      </w:r>
      <w:r>
        <w:rPr>
          <w:color w:val="202020"/>
          <w:spacing w:val="-3"/>
          <w:sz w:val="18"/>
          <w:vertAlign w:val="baseline"/>
        </w:rPr>
        <w:t> </w:t>
      </w:r>
      <w:r>
        <w:rPr>
          <w:color w:val="202020"/>
          <w:sz w:val="18"/>
          <w:vertAlign w:val="baseline"/>
        </w:rPr>
        <w:t>Landis</w:t>
      </w:r>
      <w:r>
        <w:rPr>
          <w:color w:val="202020"/>
          <w:spacing w:val="-2"/>
          <w:sz w:val="18"/>
          <w:vertAlign w:val="baseline"/>
        </w:rPr>
        <w:t> </w:t>
      </w:r>
      <w:r>
        <w:rPr>
          <w:color w:val="202020"/>
          <w:sz w:val="18"/>
          <w:vertAlign w:val="baseline"/>
        </w:rPr>
        <w:t>CA,</w:t>
      </w:r>
      <w:r>
        <w:rPr>
          <w:color w:val="202020"/>
          <w:spacing w:val="-3"/>
          <w:sz w:val="18"/>
          <w:vertAlign w:val="baseline"/>
        </w:rPr>
        <w:t> </w:t>
      </w:r>
      <w:r>
        <w:rPr>
          <w:color w:val="202020"/>
          <w:sz w:val="18"/>
          <w:vertAlign w:val="baseline"/>
        </w:rPr>
        <w:t>Susi</w:t>
      </w:r>
      <w:r>
        <w:rPr>
          <w:color w:val="202020"/>
          <w:spacing w:val="-3"/>
          <w:sz w:val="18"/>
          <w:vertAlign w:val="baseline"/>
        </w:rPr>
        <w:t> </w:t>
      </w:r>
      <w:r>
        <w:rPr>
          <w:color w:val="202020"/>
          <w:sz w:val="18"/>
          <w:vertAlign w:val="baseline"/>
        </w:rPr>
        <w:t>A,</w:t>
      </w:r>
      <w:r>
        <w:rPr>
          <w:color w:val="202020"/>
          <w:spacing w:val="-3"/>
          <w:sz w:val="18"/>
          <w:vertAlign w:val="baseline"/>
        </w:rPr>
        <w:t> </w:t>
      </w:r>
      <w:r>
        <w:rPr>
          <w:color w:val="202020"/>
          <w:sz w:val="18"/>
          <w:vertAlign w:val="baseline"/>
        </w:rPr>
        <w:t>Schvey</w:t>
      </w:r>
      <w:r>
        <w:rPr>
          <w:color w:val="202020"/>
          <w:spacing w:val="-2"/>
          <w:sz w:val="18"/>
          <w:vertAlign w:val="baseline"/>
        </w:rPr>
        <w:t> </w:t>
      </w:r>
      <w:r>
        <w:rPr>
          <w:color w:val="202020"/>
          <w:sz w:val="18"/>
          <w:vertAlign w:val="baseline"/>
        </w:rPr>
        <w:t>NA,</w:t>
      </w:r>
      <w:r>
        <w:rPr>
          <w:color w:val="202020"/>
          <w:spacing w:val="-3"/>
          <w:sz w:val="18"/>
          <w:vertAlign w:val="baseline"/>
        </w:rPr>
        <w:t> </w:t>
      </w:r>
      <w:r>
        <w:rPr>
          <w:color w:val="202020"/>
          <w:sz w:val="18"/>
          <w:vertAlign w:val="baseline"/>
        </w:rPr>
        <w:t>Gorman</w:t>
      </w:r>
      <w:r>
        <w:rPr>
          <w:color w:val="202020"/>
          <w:spacing w:val="-2"/>
          <w:sz w:val="18"/>
          <w:vertAlign w:val="baseline"/>
        </w:rPr>
        <w:t> </w:t>
      </w:r>
      <w:r>
        <w:rPr>
          <w:color w:val="202020"/>
          <w:sz w:val="18"/>
          <w:vertAlign w:val="baseline"/>
        </w:rPr>
        <w:t>GH,</w:t>
      </w:r>
      <w:r>
        <w:rPr>
          <w:color w:val="202020"/>
          <w:spacing w:val="-3"/>
          <w:sz w:val="18"/>
          <w:vertAlign w:val="baseline"/>
        </w:rPr>
        <w:t> </w:t>
      </w:r>
      <w:r>
        <w:rPr>
          <w:color w:val="202020"/>
          <w:sz w:val="18"/>
          <w:vertAlign w:val="baseline"/>
        </w:rPr>
        <w:t>Nylund</w:t>
      </w:r>
      <w:r>
        <w:rPr>
          <w:color w:val="202020"/>
          <w:spacing w:val="-3"/>
          <w:sz w:val="18"/>
          <w:vertAlign w:val="baseline"/>
        </w:rPr>
        <w:t> </w:t>
      </w:r>
      <w:r>
        <w:rPr>
          <w:color w:val="202020"/>
          <w:sz w:val="18"/>
          <w:vertAlign w:val="baseline"/>
        </w:rPr>
        <w:t>CM,</w:t>
      </w:r>
      <w:r>
        <w:rPr>
          <w:color w:val="202020"/>
          <w:spacing w:val="-3"/>
          <w:sz w:val="18"/>
          <w:vertAlign w:val="baseline"/>
        </w:rPr>
        <w:t> </w:t>
      </w:r>
      <w:r>
        <w:rPr>
          <w:color w:val="202020"/>
          <w:sz w:val="18"/>
          <w:vertAlign w:val="baseline"/>
        </w:rPr>
        <w:t>Klein</w:t>
      </w:r>
      <w:r>
        <w:rPr>
          <w:color w:val="202020"/>
          <w:spacing w:val="-2"/>
          <w:sz w:val="18"/>
          <w:vertAlign w:val="baseline"/>
        </w:rPr>
        <w:t> </w:t>
      </w:r>
      <w:r>
        <w:rPr>
          <w:color w:val="202020"/>
          <w:sz w:val="18"/>
          <w:vertAlign w:val="baseline"/>
        </w:rPr>
        <w:t>DA.</w:t>
      </w:r>
      <w:r>
        <w:rPr>
          <w:color w:val="202020"/>
          <w:spacing w:val="-2"/>
          <w:sz w:val="18"/>
          <w:vertAlign w:val="baseline"/>
        </w:rPr>
        <w:t> </w:t>
      </w:r>
      <w:r>
        <w:rPr>
          <w:color w:val="202020"/>
          <w:sz w:val="18"/>
          <w:vertAlign w:val="baseline"/>
        </w:rPr>
        <w:t>Gender</w:t>
      </w:r>
      <w:r>
        <w:rPr>
          <w:color w:val="202020"/>
          <w:spacing w:val="-3"/>
          <w:sz w:val="18"/>
          <w:vertAlign w:val="baseline"/>
        </w:rPr>
        <w:t> </w:t>
      </w:r>
      <w:r>
        <w:rPr>
          <w:color w:val="202020"/>
          <w:sz w:val="18"/>
          <w:vertAlign w:val="baseline"/>
        </w:rPr>
        <w:t>Dysphoria</w:t>
      </w:r>
      <w:r>
        <w:rPr>
          <w:color w:val="202020"/>
          <w:spacing w:val="-3"/>
          <w:sz w:val="18"/>
          <w:vertAlign w:val="baseline"/>
        </w:rPr>
        <w:t> </w:t>
      </w:r>
      <w:r>
        <w:rPr>
          <w:color w:val="202020"/>
          <w:sz w:val="18"/>
          <w:vertAlign w:val="baseline"/>
        </w:rPr>
        <w:t>in</w:t>
      </w:r>
      <w:r>
        <w:rPr>
          <w:color w:val="202020"/>
          <w:spacing w:val="-2"/>
          <w:sz w:val="18"/>
          <w:vertAlign w:val="baseline"/>
        </w:rPr>
        <w:t> </w:t>
      </w:r>
      <w:r>
        <w:rPr>
          <w:color w:val="202020"/>
          <w:sz w:val="18"/>
          <w:vertAlign w:val="baseline"/>
        </w:rPr>
        <w:t>Children with Autism Spectrum Disorder. LGBT Health. 2019 Apr;6(3):95-100. doi: 10.1089/lgbt.2018.0252. Epub 2019 Apr 2. PMID: 30920347. </w:t>
      </w:r>
      <w:r>
        <w:rPr>
          <w:sz w:val="18"/>
          <w:vertAlign w:val="superscript"/>
        </w:rPr>
        <w:t>11</w:t>
      </w:r>
      <w:r>
        <w:rPr>
          <w:spacing w:val="-8"/>
          <w:sz w:val="18"/>
          <w:vertAlign w:val="baseline"/>
        </w:rPr>
        <w:t> </w:t>
      </w:r>
      <w:r>
        <w:rPr>
          <w:color w:val="333333"/>
          <w:sz w:val="18"/>
          <w:vertAlign w:val="baseline"/>
        </w:rPr>
        <w:t>Scott B. Greenspan, Samuel Carr, Ashley C. Woodman, Amy Cannava &amp; Yena Li (2022) Identified protective factors to support psychological well-being among gender diverse autistic youth, Journal of LGBT Youth, DOI: </w:t>
      </w:r>
      <w:r>
        <w:rPr>
          <w:color w:val="333333"/>
          <w:sz w:val="18"/>
          <w:u w:val="single" w:color="333333"/>
          <w:vertAlign w:val="baseline"/>
        </w:rPr>
        <w:t>10.1080/19361653.2022.2119188 </w:t>
      </w:r>
      <w:r>
        <w:rPr>
          <w:sz w:val="18"/>
          <w:u w:val="none"/>
          <w:vertAlign w:val="superscript"/>
        </w:rPr>
        <w:t>12</w:t>
      </w:r>
      <w:r>
        <w:rPr>
          <w:spacing w:val="-8"/>
          <w:sz w:val="18"/>
          <w:u w:val="none"/>
          <w:vertAlign w:val="baseline"/>
        </w:rPr>
        <w:t> </w:t>
      </w:r>
      <w:r>
        <w:rPr>
          <w:sz w:val="18"/>
          <w:u w:val="none"/>
          <w:vertAlign w:val="baseline"/>
        </w:rPr>
        <w:t>Strang, John F., Meredith D. Powers, Megan Knauss, Ely Sibarium, Scott F. Leibowitz, Lauren Kenworthy, Eleonora Sadikova, et al. 2018. “‘They Thought It Was an Obsession’: Trajectories and Perspectives of Autistic Transgender and Gender-Diverse Adolescents.” </w:t>
      </w:r>
      <w:r>
        <w:rPr>
          <w:i/>
          <w:sz w:val="18"/>
          <w:u w:val="none"/>
          <w:vertAlign w:val="baseline"/>
        </w:rPr>
        <w:t>Journal of Autism and Developmental Disorders </w:t>
      </w:r>
      <w:r>
        <w:rPr>
          <w:sz w:val="18"/>
          <w:u w:val="none"/>
          <w:vertAlign w:val="baseline"/>
        </w:rPr>
        <w:t>48 (12): 4039–55. https://doi.org/10.1007/s10803-018-3723-6. </w:t>
      </w:r>
      <w:r>
        <w:rPr>
          <w:sz w:val="18"/>
          <w:u w:val="none"/>
          <w:vertAlign w:val="superscript"/>
        </w:rPr>
        <w:t>13</w:t>
      </w:r>
      <w:r>
        <w:rPr>
          <w:spacing w:val="-7"/>
          <w:sz w:val="18"/>
          <w:u w:val="none"/>
          <w:vertAlign w:val="baseline"/>
        </w:rPr>
        <w:t> </w:t>
      </w:r>
      <w:r>
        <w:rPr>
          <w:sz w:val="18"/>
          <w:u w:val="none"/>
          <w:vertAlign w:val="baseline"/>
        </w:rPr>
        <w:t>Gonzales, Gilbert, Reema Dedania, and Ryan Driscoll. 2018. “Health Insurance Coverage and Access to Care among US-Born and Foreign-Born Sexual Minorities.” </w:t>
      </w:r>
      <w:r>
        <w:rPr>
          <w:i/>
          <w:sz w:val="18"/>
          <w:u w:val="none"/>
          <w:vertAlign w:val="baseline"/>
        </w:rPr>
        <w:t>Journal of Immigrant and</w:t>
      </w:r>
      <w:r>
        <w:rPr>
          <w:i/>
          <w:sz w:val="18"/>
          <w:u w:val="none"/>
          <w:vertAlign w:val="baseline"/>
        </w:rPr>
        <w:t> Minority Health </w:t>
      </w:r>
      <w:r>
        <w:rPr>
          <w:sz w:val="18"/>
          <w:u w:val="none"/>
          <w:vertAlign w:val="baseline"/>
        </w:rPr>
        <w:t>21 (3): 540–48.</w:t>
      </w:r>
    </w:p>
    <w:p>
      <w:pPr>
        <w:spacing w:before="0"/>
        <w:ind w:left="464" w:right="0" w:firstLine="0"/>
        <w:jc w:val="left"/>
        <w:rPr>
          <w:sz w:val="18"/>
        </w:rPr>
      </w:pPr>
      <w:r>
        <w:rPr>
          <w:spacing w:val="-2"/>
          <w:sz w:val="18"/>
        </w:rPr>
        <w:t>https://doi.org/10.1007/s10903-018-0774-</w:t>
      </w:r>
      <w:r>
        <w:rPr>
          <w:spacing w:val="-5"/>
          <w:sz w:val="18"/>
        </w:rPr>
        <w:t>x.</w:t>
      </w:r>
    </w:p>
    <w:p>
      <w:pPr>
        <w:spacing w:line="276" w:lineRule="auto" w:before="32"/>
        <w:ind w:left="463" w:right="318" w:firstLine="0"/>
        <w:jc w:val="left"/>
        <w:rPr>
          <w:sz w:val="18"/>
        </w:rPr>
      </w:pPr>
      <w:r>
        <w:rPr>
          <w:sz w:val="18"/>
          <w:vertAlign w:val="superscript"/>
        </w:rPr>
        <w:t>14</w:t>
      </w:r>
      <w:r>
        <w:rPr>
          <w:spacing w:val="-13"/>
          <w:sz w:val="18"/>
          <w:vertAlign w:val="baseline"/>
        </w:rPr>
        <w:t> </w:t>
      </w:r>
      <w:r>
        <w:rPr>
          <w:color w:val="333333"/>
          <w:sz w:val="18"/>
          <w:vertAlign w:val="baseline"/>
        </w:rPr>
        <w:t>Adam</w:t>
      </w:r>
      <w:r>
        <w:rPr>
          <w:color w:val="333333"/>
          <w:spacing w:val="-3"/>
          <w:sz w:val="18"/>
          <w:vertAlign w:val="baseline"/>
        </w:rPr>
        <w:t> </w:t>
      </w:r>
      <w:r>
        <w:rPr>
          <w:color w:val="333333"/>
          <w:sz w:val="18"/>
          <w:vertAlign w:val="baseline"/>
        </w:rPr>
        <w:t>McCormick,</w:t>
      </w:r>
      <w:r>
        <w:rPr>
          <w:color w:val="333333"/>
          <w:spacing w:val="-3"/>
          <w:sz w:val="18"/>
          <w:vertAlign w:val="baseline"/>
        </w:rPr>
        <w:t> </w:t>
      </w:r>
      <w:r>
        <w:rPr>
          <w:color w:val="333333"/>
          <w:sz w:val="18"/>
          <w:vertAlign w:val="baseline"/>
        </w:rPr>
        <w:t>Kathryn</w:t>
      </w:r>
      <w:r>
        <w:rPr>
          <w:color w:val="333333"/>
          <w:spacing w:val="-2"/>
          <w:sz w:val="18"/>
          <w:vertAlign w:val="baseline"/>
        </w:rPr>
        <w:t> </w:t>
      </w:r>
      <w:r>
        <w:rPr>
          <w:color w:val="333333"/>
          <w:sz w:val="18"/>
          <w:vertAlign w:val="baseline"/>
        </w:rPr>
        <w:t>Schmidt</w:t>
      </w:r>
      <w:r>
        <w:rPr>
          <w:color w:val="333333"/>
          <w:spacing w:val="-3"/>
          <w:sz w:val="18"/>
          <w:vertAlign w:val="baseline"/>
        </w:rPr>
        <w:t> </w:t>
      </w:r>
      <w:r>
        <w:rPr>
          <w:color w:val="333333"/>
          <w:sz w:val="18"/>
          <w:vertAlign w:val="baseline"/>
        </w:rPr>
        <w:t>&amp;</w:t>
      </w:r>
      <w:r>
        <w:rPr>
          <w:color w:val="333333"/>
          <w:spacing w:val="-3"/>
          <w:sz w:val="18"/>
          <w:vertAlign w:val="baseline"/>
        </w:rPr>
        <w:t> </w:t>
      </w:r>
      <w:r>
        <w:rPr>
          <w:color w:val="333333"/>
          <w:sz w:val="18"/>
          <w:vertAlign w:val="baseline"/>
        </w:rPr>
        <w:t>Samuel</w:t>
      </w:r>
      <w:r>
        <w:rPr>
          <w:color w:val="333333"/>
          <w:spacing w:val="-3"/>
          <w:sz w:val="18"/>
          <w:vertAlign w:val="baseline"/>
        </w:rPr>
        <w:t> </w:t>
      </w:r>
      <w:r>
        <w:rPr>
          <w:color w:val="333333"/>
          <w:sz w:val="18"/>
          <w:vertAlign w:val="baseline"/>
        </w:rPr>
        <w:t>Terrazas</w:t>
      </w:r>
      <w:r>
        <w:rPr>
          <w:color w:val="333333"/>
          <w:spacing w:val="-2"/>
          <w:sz w:val="18"/>
          <w:vertAlign w:val="baseline"/>
        </w:rPr>
        <w:t> </w:t>
      </w:r>
      <w:r>
        <w:rPr>
          <w:color w:val="333333"/>
          <w:sz w:val="18"/>
          <w:vertAlign w:val="baseline"/>
        </w:rPr>
        <w:t>(2017)</w:t>
      </w:r>
      <w:r>
        <w:rPr>
          <w:color w:val="333333"/>
          <w:spacing w:val="-3"/>
          <w:sz w:val="18"/>
          <w:vertAlign w:val="baseline"/>
        </w:rPr>
        <w:t> </w:t>
      </w:r>
      <w:r>
        <w:rPr>
          <w:color w:val="333333"/>
          <w:sz w:val="18"/>
          <w:vertAlign w:val="baseline"/>
        </w:rPr>
        <w:t>LGBTQ</w:t>
      </w:r>
      <w:r>
        <w:rPr>
          <w:color w:val="333333"/>
          <w:spacing w:val="-2"/>
          <w:sz w:val="18"/>
          <w:vertAlign w:val="baseline"/>
        </w:rPr>
        <w:t> </w:t>
      </w:r>
      <w:r>
        <w:rPr>
          <w:color w:val="333333"/>
          <w:sz w:val="18"/>
          <w:vertAlign w:val="baseline"/>
        </w:rPr>
        <w:t>Youth</w:t>
      </w:r>
      <w:r>
        <w:rPr>
          <w:color w:val="333333"/>
          <w:spacing w:val="-2"/>
          <w:sz w:val="18"/>
          <w:vertAlign w:val="baseline"/>
        </w:rPr>
        <w:t> </w:t>
      </w:r>
      <w:r>
        <w:rPr>
          <w:color w:val="333333"/>
          <w:sz w:val="18"/>
          <w:vertAlign w:val="baseline"/>
        </w:rPr>
        <w:t>in</w:t>
      </w:r>
      <w:r>
        <w:rPr>
          <w:color w:val="333333"/>
          <w:spacing w:val="-3"/>
          <w:sz w:val="18"/>
          <w:vertAlign w:val="baseline"/>
        </w:rPr>
        <w:t> </w:t>
      </w:r>
      <w:r>
        <w:rPr>
          <w:color w:val="333333"/>
          <w:sz w:val="18"/>
          <w:vertAlign w:val="baseline"/>
        </w:rPr>
        <w:t>the</w:t>
      </w:r>
      <w:r>
        <w:rPr>
          <w:color w:val="333333"/>
          <w:spacing w:val="-2"/>
          <w:sz w:val="18"/>
          <w:vertAlign w:val="baseline"/>
        </w:rPr>
        <w:t> </w:t>
      </w:r>
      <w:r>
        <w:rPr>
          <w:color w:val="333333"/>
          <w:sz w:val="18"/>
          <w:vertAlign w:val="baseline"/>
        </w:rPr>
        <w:t>Child</w:t>
      </w:r>
      <w:r>
        <w:rPr>
          <w:color w:val="333333"/>
          <w:spacing w:val="-2"/>
          <w:sz w:val="18"/>
          <w:vertAlign w:val="baseline"/>
        </w:rPr>
        <w:t> </w:t>
      </w:r>
      <w:r>
        <w:rPr>
          <w:color w:val="333333"/>
          <w:sz w:val="18"/>
          <w:vertAlign w:val="baseline"/>
        </w:rPr>
        <w:t>Welfare</w:t>
      </w:r>
      <w:r>
        <w:rPr>
          <w:color w:val="333333"/>
          <w:spacing w:val="-2"/>
          <w:sz w:val="18"/>
          <w:vertAlign w:val="baseline"/>
        </w:rPr>
        <w:t> </w:t>
      </w:r>
      <w:r>
        <w:rPr>
          <w:color w:val="333333"/>
          <w:sz w:val="18"/>
          <w:vertAlign w:val="baseline"/>
        </w:rPr>
        <w:t>System:</w:t>
      </w:r>
      <w:r>
        <w:rPr>
          <w:color w:val="333333"/>
          <w:spacing w:val="-2"/>
          <w:sz w:val="18"/>
          <w:vertAlign w:val="baseline"/>
        </w:rPr>
        <w:t> </w:t>
      </w:r>
      <w:r>
        <w:rPr>
          <w:color w:val="333333"/>
          <w:sz w:val="18"/>
          <w:vertAlign w:val="baseline"/>
        </w:rPr>
        <w:t>An</w:t>
      </w:r>
      <w:r>
        <w:rPr>
          <w:color w:val="333333"/>
          <w:spacing w:val="-2"/>
          <w:sz w:val="18"/>
          <w:vertAlign w:val="baseline"/>
        </w:rPr>
        <w:t> </w:t>
      </w:r>
      <w:r>
        <w:rPr>
          <w:color w:val="333333"/>
          <w:sz w:val="18"/>
          <w:vertAlign w:val="baseline"/>
        </w:rPr>
        <w:t>Overview</w:t>
      </w:r>
      <w:r>
        <w:rPr>
          <w:color w:val="333333"/>
          <w:spacing w:val="-3"/>
          <w:sz w:val="18"/>
          <w:vertAlign w:val="baseline"/>
        </w:rPr>
        <w:t> </w:t>
      </w:r>
      <w:r>
        <w:rPr>
          <w:color w:val="333333"/>
          <w:sz w:val="18"/>
          <w:vertAlign w:val="baseline"/>
        </w:rPr>
        <w:t>of Research, Practice, and Policy, Journal of Public Child Welfare, 11:1, 27-39, DOI: </w:t>
      </w:r>
      <w:r>
        <w:rPr>
          <w:color w:val="333333"/>
          <w:sz w:val="18"/>
          <w:u w:val="single" w:color="333333"/>
          <w:vertAlign w:val="baseline"/>
        </w:rPr>
        <w:t>10.1080/15548732.2016.1221368 </w:t>
      </w:r>
      <w:r>
        <w:rPr>
          <w:sz w:val="18"/>
          <w:u w:val="none"/>
          <w:vertAlign w:val="superscript"/>
        </w:rPr>
        <w:t>15</w:t>
      </w:r>
      <w:r>
        <w:rPr>
          <w:sz w:val="18"/>
          <w:u w:val="none"/>
          <w:vertAlign w:val="baseline"/>
        </w:rPr>
        <w:t> “LGBTQ Youth in the Massachusetts Child Welfare System a Report on Pervasive Threats to Safety, Wellbeing, and Permanency Massachusetts Commission on Lesbian, Gay, Bisexual, Transgender, Queer, and Questioning Youth.” n.d.</w:t>
      </w:r>
    </w:p>
    <w:p>
      <w:pPr>
        <w:spacing w:line="219" w:lineRule="exact" w:before="0"/>
        <w:ind w:left="463" w:right="0" w:firstLine="0"/>
        <w:jc w:val="left"/>
        <w:rPr>
          <w:sz w:val="18"/>
        </w:rPr>
      </w:pPr>
      <w:r>
        <w:rPr>
          <w:sz w:val="18"/>
        </w:rPr>
        <w:t>Accessed</w:t>
      </w:r>
      <w:r>
        <w:rPr>
          <w:spacing w:val="-9"/>
          <w:sz w:val="18"/>
        </w:rPr>
        <w:t> </w:t>
      </w:r>
      <w:r>
        <w:rPr>
          <w:sz w:val="18"/>
        </w:rPr>
        <w:t>February</w:t>
      </w:r>
      <w:r>
        <w:rPr>
          <w:spacing w:val="-9"/>
          <w:sz w:val="18"/>
        </w:rPr>
        <w:t> </w:t>
      </w:r>
      <w:r>
        <w:rPr>
          <w:sz w:val="18"/>
        </w:rPr>
        <w:t>15,</w:t>
      </w:r>
      <w:r>
        <w:rPr>
          <w:spacing w:val="-10"/>
          <w:sz w:val="18"/>
        </w:rPr>
        <w:t> </w:t>
      </w:r>
      <w:r>
        <w:rPr>
          <w:sz w:val="18"/>
        </w:rPr>
        <w:t>2023.</w:t>
      </w:r>
      <w:r>
        <w:rPr>
          <w:spacing w:val="-8"/>
          <w:sz w:val="18"/>
        </w:rPr>
        <w:t> </w:t>
      </w:r>
      <w:r>
        <w:rPr>
          <w:sz w:val="18"/>
        </w:rPr>
        <w:t>https:</w:t>
      </w:r>
      <w:hyperlink r:id="rId284">
        <w:r>
          <w:rPr>
            <w:sz w:val="18"/>
          </w:rPr>
          <w:t>//www.mass.gov/doc/commission-report-on-</w:t>
        </w:r>
        <w:r>
          <w:rPr>
            <w:spacing w:val="-2"/>
            <w:sz w:val="18"/>
          </w:rPr>
          <w:t>dcf/download.</w:t>
        </w:r>
      </w:hyperlink>
    </w:p>
    <w:p>
      <w:pPr>
        <w:spacing w:line="276" w:lineRule="auto" w:before="34"/>
        <w:ind w:left="463" w:right="481" w:firstLine="1"/>
        <w:jc w:val="left"/>
        <w:rPr>
          <w:sz w:val="18"/>
        </w:rPr>
      </w:pPr>
      <w:r>
        <w:rPr>
          <w:sz w:val="18"/>
          <w:vertAlign w:val="superscript"/>
        </w:rPr>
        <w:t>16</w:t>
      </w:r>
      <w:r>
        <w:rPr>
          <w:spacing w:val="-13"/>
          <w:sz w:val="18"/>
          <w:vertAlign w:val="baseline"/>
        </w:rPr>
        <w:t> </w:t>
      </w:r>
      <w:r>
        <w:rPr>
          <w:sz w:val="18"/>
          <w:vertAlign w:val="baseline"/>
        </w:rPr>
        <w:t>Maschi,</w:t>
      </w:r>
      <w:r>
        <w:rPr>
          <w:spacing w:val="-5"/>
          <w:sz w:val="18"/>
          <w:vertAlign w:val="baseline"/>
        </w:rPr>
        <w:t> </w:t>
      </w:r>
      <w:r>
        <w:rPr>
          <w:sz w:val="18"/>
          <w:vertAlign w:val="baseline"/>
        </w:rPr>
        <w:t>Tina,</w:t>
      </w:r>
      <w:r>
        <w:rPr>
          <w:spacing w:val="-3"/>
          <w:sz w:val="18"/>
          <w:vertAlign w:val="baseline"/>
        </w:rPr>
        <w:t> </w:t>
      </w:r>
      <w:r>
        <w:rPr>
          <w:sz w:val="18"/>
          <w:vertAlign w:val="baseline"/>
        </w:rPr>
        <w:t>Schnavia</w:t>
      </w:r>
      <w:r>
        <w:rPr>
          <w:spacing w:val="-2"/>
          <w:sz w:val="18"/>
          <w:vertAlign w:val="baseline"/>
        </w:rPr>
        <w:t> </w:t>
      </w:r>
      <w:r>
        <w:rPr>
          <w:sz w:val="18"/>
          <w:vertAlign w:val="baseline"/>
        </w:rPr>
        <w:t>Smith</w:t>
      </w:r>
      <w:r>
        <w:rPr>
          <w:spacing w:val="-2"/>
          <w:sz w:val="18"/>
          <w:vertAlign w:val="baseline"/>
        </w:rPr>
        <w:t> </w:t>
      </w:r>
      <w:r>
        <w:rPr>
          <w:sz w:val="18"/>
          <w:vertAlign w:val="baseline"/>
        </w:rPr>
        <w:t>Hatcher,</w:t>
      </w:r>
      <w:r>
        <w:rPr>
          <w:spacing w:val="-3"/>
          <w:sz w:val="18"/>
          <w:vertAlign w:val="baseline"/>
        </w:rPr>
        <w:t> </w:t>
      </w:r>
      <w:r>
        <w:rPr>
          <w:sz w:val="18"/>
          <w:vertAlign w:val="baseline"/>
        </w:rPr>
        <w:t>Craig</w:t>
      </w:r>
      <w:r>
        <w:rPr>
          <w:spacing w:val="-2"/>
          <w:sz w:val="18"/>
          <w:vertAlign w:val="baseline"/>
        </w:rPr>
        <w:t> </w:t>
      </w:r>
      <w:r>
        <w:rPr>
          <w:sz w:val="18"/>
          <w:vertAlign w:val="baseline"/>
        </w:rPr>
        <w:t>S.</w:t>
      </w:r>
      <w:r>
        <w:rPr>
          <w:spacing w:val="-2"/>
          <w:sz w:val="18"/>
          <w:vertAlign w:val="baseline"/>
        </w:rPr>
        <w:t> </w:t>
      </w:r>
      <w:r>
        <w:rPr>
          <w:sz w:val="18"/>
          <w:vertAlign w:val="baseline"/>
        </w:rPr>
        <w:t>Schwalbe,</w:t>
      </w:r>
      <w:r>
        <w:rPr>
          <w:spacing w:val="-3"/>
          <w:sz w:val="18"/>
          <w:vertAlign w:val="baseline"/>
        </w:rPr>
        <w:t> </w:t>
      </w:r>
      <w:r>
        <w:rPr>
          <w:sz w:val="18"/>
          <w:vertAlign w:val="baseline"/>
        </w:rPr>
        <w:t>and</w:t>
      </w:r>
      <w:r>
        <w:rPr>
          <w:spacing w:val="-2"/>
          <w:sz w:val="18"/>
          <w:vertAlign w:val="baseline"/>
        </w:rPr>
        <w:t> </w:t>
      </w:r>
      <w:r>
        <w:rPr>
          <w:sz w:val="18"/>
          <w:vertAlign w:val="baseline"/>
        </w:rPr>
        <w:t>Nancy</w:t>
      </w:r>
      <w:r>
        <w:rPr>
          <w:spacing w:val="-2"/>
          <w:sz w:val="18"/>
          <w:vertAlign w:val="baseline"/>
        </w:rPr>
        <w:t> </w:t>
      </w:r>
      <w:r>
        <w:rPr>
          <w:sz w:val="18"/>
          <w:vertAlign w:val="baseline"/>
        </w:rPr>
        <w:t>Scotto</w:t>
      </w:r>
      <w:r>
        <w:rPr>
          <w:spacing w:val="-2"/>
          <w:sz w:val="18"/>
          <w:vertAlign w:val="baseline"/>
        </w:rPr>
        <w:t> </w:t>
      </w:r>
      <w:r>
        <w:rPr>
          <w:sz w:val="18"/>
          <w:vertAlign w:val="baseline"/>
        </w:rPr>
        <w:t>Rosato.</w:t>
      </w:r>
      <w:r>
        <w:rPr>
          <w:spacing w:val="-2"/>
          <w:sz w:val="18"/>
          <w:vertAlign w:val="baseline"/>
        </w:rPr>
        <w:t> </w:t>
      </w:r>
      <w:r>
        <w:rPr>
          <w:sz w:val="18"/>
          <w:vertAlign w:val="baseline"/>
        </w:rPr>
        <w:t>2008.</w:t>
      </w:r>
      <w:r>
        <w:rPr>
          <w:spacing w:val="-2"/>
          <w:sz w:val="18"/>
          <w:vertAlign w:val="baseline"/>
        </w:rPr>
        <w:t> </w:t>
      </w:r>
      <w:r>
        <w:rPr>
          <w:sz w:val="18"/>
          <w:vertAlign w:val="baseline"/>
        </w:rPr>
        <w:t>“Mapping</w:t>
      </w:r>
      <w:r>
        <w:rPr>
          <w:spacing w:val="-2"/>
          <w:sz w:val="18"/>
          <w:vertAlign w:val="baseline"/>
        </w:rPr>
        <w:t> </w:t>
      </w:r>
      <w:r>
        <w:rPr>
          <w:sz w:val="18"/>
          <w:vertAlign w:val="baseline"/>
        </w:rPr>
        <w:t>the</w:t>
      </w:r>
      <w:r>
        <w:rPr>
          <w:spacing w:val="-2"/>
          <w:sz w:val="18"/>
          <w:vertAlign w:val="baseline"/>
        </w:rPr>
        <w:t> </w:t>
      </w:r>
      <w:r>
        <w:rPr>
          <w:sz w:val="18"/>
          <w:vertAlign w:val="baseline"/>
        </w:rPr>
        <w:t>Social</w:t>
      </w:r>
      <w:r>
        <w:rPr>
          <w:spacing w:val="-3"/>
          <w:sz w:val="18"/>
          <w:vertAlign w:val="baseline"/>
        </w:rPr>
        <w:t> </w:t>
      </w:r>
      <w:r>
        <w:rPr>
          <w:sz w:val="18"/>
          <w:vertAlign w:val="baseline"/>
        </w:rPr>
        <w:t>Service Pathways of Youth to and through the Juvenile Justice System: A Comprehensive Review.” </w:t>
      </w:r>
      <w:r>
        <w:rPr>
          <w:i/>
          <w:sz w:val="18"/>
          <w:vertAlign w:val="baseline"/>
        </w:rPr>
        <w:t>Children and Youth Services</w:t>
      </w:r>
      <w:r>
        <w:rPr>
          <w:i/>
          <w:sz w:val="18"/>
          <w:vertAlign w:val="baseline"/>
        </w:rPr>
        <w:t> Review </w:t>
      </w:r>
      <w:r>
        <w:rPr>
          <w:sz w:val="18"/>
          <w:vertAlign w:val="baseline"/>
        </w:rPr>
        <w:t>30 (12): 1376–85. https://doi.org/10.1016/j.childyouth.2008.04.006.</w:t>
      </w:r>
    </w:p>
    <w:p>
      <w:pPr>
        <w:spacing w:line="276" w:lineRule="auto" w:before="0"/>
        <w:ind w:left="463" w:right="481" w:firstLine="0"/>
        <w:jc w:val="left"/>
        <w:rPr>
          <w:sz w:val="18"/>
        </w:rPr>
      </w:pPr>
      <w:r>
        <w:rPr>
          <w:sz w:val="18"/>
          <w:vertAlign w:val="superscript"/>
        </w:rPr>
        <w:t>17</w:t>
      </w:r>
      <w:r>
        <w:rPr>
          <w:sz w:val="18"/>
          <w:vertAlign w:val="baseline"/>
        </w:rPr>
        <w:t>Wilber,</w:t>
      </w:r>
      <w:r>
        <w:rPr>
          <w:spacing w:val="-3"/>
          <w:sz w:val="18"/>
          <w:vertAlign w:val="baseline"/>
        </w:rPr>
        <w:t> </w:t>
      </w:r>
      <w:r>
        <w:rPr>
          <w:sz w:val="18"/>
          <w:vertAlign w:val="baseline"/>
        </w:rPr>
        <w:t>Shannaen.</w:t>
      </w:r>
      <w:r>
        <w:rPr>
          <w:spacing w:val="-2"/>
          <w:sz w:val="18"/>
          <w:vertAlign w:val="baseline"/>
        </w:rPr>
        <w:t> </w:t>
      </w:r>
      <w:r>
        <w:rPr>
          <w:sz w:val="18"/>
          <w:vertAlign w:val="baseline"/>
        </w:rPr>
        <w:t>Lesbian,</w:t>
      </w:r>
      <w:r>
        <w:rPr>
          <w:spacing w:val="-3"/>
          <w:sz w:val="18"/>
          <w:vertAlign w:val="baseline"/>
        </w:rPr>
        <w:t> </w:t>
      </w:r>
      <w:r>
        <w:rPr>
          <w:sz w:val="18"/>
          <w:vertAlign w:val="baseline"/>
        </w:rPr>
        <w:t>Gay,</w:t>
      </w:r>
      <w:r>
        <w:rPr>
          <w:spacing w:val="-3"/>
          <w:sz w:val="18"/>
          <w:vertAlign w:val="baseline"/>
        </w:rPr>
        <w:t> </w:t>
      </w:r>
      <w:r>
        <w:rPr>
          <w:sz w:val="18"/>
          <w:vertAlign w:val="baseline"/>
        </w:rPr>
        <w:t>Bisexual</w:t>
      </w:r>
      <w:r>
        <w:rPr>
          <w:spacing w:val="-3"/>
          <w:sz w:val="18"/>
          <w:vertAlign w:val="baseline"/>
        </w:rPr>
        <w:t> </w:t>
      </w:r>
      <w:r>
        <w:rPr>
          <w:sz w:val="18"/>
          <w:vertAlign w:val="baseline"/>
        </w:rPr>
        <w:t>and</w:t>
      </w:r>
      <w:r>
        <w:rPr>
          <w:spacing w:val="-2"/>
          <w:sz w:val="18"/>
          <w:vertAlign w:val="baseline"/>
        </w:rPr>
        <w:t> </w:t>
      </w:r>
      <w:r>
        <w:rPr>
          <w:sz w:val="18"/>
          <w:vertAlign w:val="baseline"/>
        </w:rPr>
        <w:t>Transgender</w:t>
      </w:r>
      <w:r>
        <w:rPr>
          <w:spacing w:val="-3"/>
          <w:sz w:val="18"/>
          <w:vertAlign w:val="baseline"/>
        </w:rPr>
        <w:t> </w:t>
      </w:r>
      <w:r>
        <w:rPr>
          <w:sz w:val="18"/>
          <w:vertAlign w:val="baseline"/>
        </w:rPr>
        <w:t>Youth</w:t>
      </w:r>
      <w:r>
        <w:rPr>
          <w:spacing w:val="-2"/>
          <w:sz w:val="18"/>
          <w:vertAlign w:val="baseline"/>
        </w:rPr>
        <w:t> </w:t>
      </w:r>
      <w:r>
        <w:rPr>
          <w:sz w:val="18"/>
          <w:vertAlign w:val="baseline"/>
        </w:rPr>
        <w:t>in</w:t>
      </w:r>
      <w:r>
        <w:rPr>
          <w:spacing w:val="-2"/>
          <w:sz w:val="18"/>
          <w:vertAlign w:val="baseline"/>
        </w:rPr>
        <w:t> </w:t>
      </w:r>
      <w:r>
        <w:rPr>
          <w:sz w:val="18"/>
          <w:vertAlign w:val="baseline"/>
        </w:rPr>
        <w:t>the</w:t>
      </w:r>
      <w:r>
        <w:rPr>
          <w:spacing w:val="-2"/>
          <w:sz w:val="18"/>
          <w:vertAlign w:val="baseline"/>
        </w:rPr>
        <w:t> </w:t>
      </w:r>
      <w:r>
        <w:rPr>
          <w:sz w:val="18"/>
          <w:vertAlign w:val="baseline"/>
        </w:rPr>
        <w:t>Juvenile</w:t>
      </w:r>
      <w:r>
        <w:rPr>
          <w:spacing w:val="-2"/>
          <w:sz w:val="18"/>
          <w:vertAlign w:val="baseline"/>
        </w:rPr>
        <w:t> </w:t>
      </w:r>
      <w:r>
        <w:rPr>
          <w:sz w:val="18"/>
          <w:vertAlign w:val="baseline"/>
        </w:rPr>
        <w:t>Justice</w:t>
      </w:r>
      <w:r>
        <w:rPr>
          <w:spacing w:val="-2"/>
          <w:sz w:val="18"/>
          <w:vertAlign w:val="baseline"/>
        </w:rPr>
        <w:t> </w:t>
      </w:r>
      <w:r>
        <w:rPr>
          <w:sz w:val="18"/>
          <w:vertAlign w:val="baseline"/>
        </w:rPr>
        <w:t>System</w:t>
      </w:r>
      <w:r>
        <w:rPr>
          <w:spacing w:val="-2"/>
          <w:sz w:val="18"/>
          <w:vertAlign w:val="baseline"/>
        </w:rPr>
        <w:t> </w:t>
      </w:r>
      <w:r>
        <w:rPr>
          <w:sz w:val="18"/>
          <w:vertAlign w:val="baseline"/>
        </w:rPr>
        <w:t>11</w:t>
      </w:r>
      <w:r>
        <w:rPr>
          <w:spacing w:val="-2"/>
          <w:sz w:val="18"/>
          <w:vertAlign w:val="baseline"/>
        </w:rPr>
        <w:t> </w:t>
      </w:r>
      <w:r>
        <w:rPr>
          <w:sz w:val="18"/>
          <w:vertAlign w:val="baseline"/>
        </w:rPr>
        <w:t>(Annie</w:t>
      </w:r>
      <w:r>
        <w:rPr>
          <w:spacing w:val="-2"/>
          <w:sz w:val="18"/>
          <w:vertAlign w:val="baseline"/>
        </w:rPr>
        <w:t> </w:t>
      </w:r>
      <w:r>
        <w:rPr>
          <w:sz w:val="18"/>
          <w:vertAlign w:val="baseline"/>
        </w:rPr>
        <w:t>E.</w:t>
      </w:r>
      <w:r>
        <w:rPr>
          <w:spacing w:val="-2"/>
          <w:sz w:val="18"/>
          <w:vertAlign w:val="baseline"/>
        </w:rPr>
        <w:t> </w:t>
      </w:r>
      <w:r>
        <w:rPr>
          <w:sz w:val="18"/>
          <w:vertAlign w:val="baseline"/>
        </w:rPr>
        <w:t>Casey Foundation 2015)</w:t>
      </w:r>
    </w:p>
    <w:p>
      <w:pPr>
        <w:spacing w:line="276" w:lineRule="auto" w:before="0"/>
        <w:ind w:left="463" w:right="310" w:firstLine="16"/>
        <w:jc w:val="left"/>
        <w:rPr>
          <w:sz w:val="18"/>
        </w:rPr>
      </w:pPr>
      <w:r>
        <w:rPr>
          <w:sz w:val="18"/>
        </w:rPr>
        <w:t>https://assets.aecf.org/m/resourcedoc/AECF-lesbiangaybisexualandtransgenderyouthinjj-2015.pdf</w:t>
      </w:r>
      <w:r>
        <w:rPr>
          <w:spacing w:val="-11"/>
          <w:sz w:val="18"/>
        </w:rPr>
        <w:t> </w:t>
      </w:r>
      <w:r>
        <w:rPr>
          <w:sz w:val="18"/>
          <w:vertAlign w:val="superscript"/>
        </w:rPr>
        <w:t>18</w:t>
      </w:r>
      <w:r>
        <w:rPr>
          <w:spacing w:val="-14"/>
          <w:sz w:val="18"/>
          <w:vertAlign w:val="baseline"/>
        </w:rPr>
        <w:t> </w:t>
      </w:r>
      <w:r>
        <w:rPr>
          <w:color w:val="212121"/>
          <w:sz w:val="18"/>
          <w:vertAlign w:val="baseline"/>
        </w:rPr>
        <w:t>Majd,</w:t>
      </w:r>
      <w:r>
        <w:rPr>
          <w:color w:val="212121"/>
          <w:spacing w:val="-10"/>
          <w:sz w:val="18"/>
          <w:vertAlign w:val="baseline"/>
        </w:rPr>
        <w:t> </w:t>
      </w:r>
      <w:r>
        <w:rPr>
          <w:color w:val="212121"/>
          <w:sz w:val="18"/>
          <w:vertAlign w:val="baseline"/>
        </w:rPr>
        <w:t>Katayoon,</w:t>
      </w:r>
      <w:r>
        <w:rPr>
          <w:color w:val="212121"/>
          <w:spacing w:val="-10"/>
          <w:sz w:val="18"/>
          <w:vertAlign w:val="baseline"/>
        </w:rPr>
        <w:t> </w:t>
      </w:r>
      <w:r>
        <w:rPr>
          <w:color w:val="212121"/>
          <w:sz w:val="18"/>
          <w:vertAlign w:val="baseline"/>
        </w:rPr>
        <w:t>Jody Marksamer, and Carolyn Reyes. "Hidden injustice: Lesbian, gay, bisexual and transgender youth in juvenile courts." (2016). </w:t>
      </w:r>
      <w:r>
        <w:rPr>
          <w:sz w:val="18"/>
          <w:vertAlign w:val="superscript"/>
        </w:rPr>
        <w:t>19</w:t>
      </w:r>
      <w:r>
        <w:rPr>
          <w:spacing w:val="-7"/>
          <w:sz w:val="18"/>
          <w:vertAlign w:val="baseline"/>
        </w:rPr>
        <w:t> </w:t>
      </w:r>
      <w:r>
        <w:rPr>
          <w:sz w:val="18"/>
          <w:vertAlign w:val="baseline"/>
        </w:rPr>
        <w:t>“The Mental Health and Well-Being of LGBTQ Youth Who Are Intersex.” n.d. https:</w:t>
      </w:r>
      <w:hyperlink r:id="rId285">
        <w:r>
          <w:rPr>
            <w:sz w:val="18"/>
            <w:vertAlign w:val="baseline"/>
          </w:rPr>
          <w:t>//www.thetrevorproject.org/wp</w:t>
        </w:r>
      </w:hyperlink>
      <w:r>
        <w:rPr>
          <w:sz w:val="18"/>
          <w:vertAlign w:val="baseline"/>
        </w:rPr>
        <w:t> </w:t>
      </w:r>
      <w:r>
        <w:rPr>
          <w:spacing w:val="-2"/>
          <w:sz w:val="18"/>
          <w:vertAlign w:val="baseline"/>
        </w:rPr>
        <w:t>content/uploads/2021/12/Intersex-Youth-Mental-Health-Report.pdf.</w:t>
      </w:r>
    </w:p>
    <w:p>
      <w:pPr>
        <w:spacing w:line="276" w:lineRule="auto" w:before="0"/>
        <w:ind w:left="464" w:right="228" w:firstLine="0"/>
        <w:jc w:val="left"/>
        <w:rPr>
          <w:sz w:val="18"/>
        </w:rPr>
      </w:pPr>
      <w:r>
        <w:rPr>
          <w:sz w:val="18"/>
          <w:vertAlign w:val="superscript"/>
        </w:rPr>
        <w:t>20</w:t>
      </w:r>
      <w:r>
        <w:rPr>
          <w:spacing w:val="-13"/>
          <w:sz w:val="18"/>
          <w:vertAlign w:val="baseline"/>
        </w:rPr>
        <w:t> </w:t>
      </w:r>
      <w:r>
        <w:rPr>
          <w:sz w:val="18"/>
          <w:vertAlign w:val="baseline"/>
        </w:rPr>
        <w:t>Carpenter,</w:t>
      </w:r>
      <w:r>
        <w:rPr>
          <w:spacing w:val="-5"/>
          <w:sz w:val="18"/>
          <w:vertAlign w:val="baseline"/>
        </w:rPr>
        <w:t> </w:t>
      </w:r>
      <w:r>
        <w:rPr>
          <w:sz w:val="18"/>
          <w:vertAlign w:val="baseline"/>
        </w:rPr>
        <w:t>Morgan.</w:t>
      </w:r>
      <w:r>
        <w:rPr>
          <w:spacing w:val="-3"/>
          <w:sz w:val="18"/>
          <w:vertAlign w:val="baseline"/>
        </w:rPr>
        <w:t> </w:t>
      </w:r>
      <w:r>
        <w:rPr>
          <w:sz w:val="18"/>
          <w:vertAlign w:val="baseline"/>
        </w:rPr>
        <w:t>2020.</w:t>
      </w:r>
      <w:r>
        <w:rPr>
          <w:spacing w:val="-3"/>
          <w:sz w:val="18"/>
          <w:vertAlign w:val="baseline"/>
        </w:rPr>
        <w:t> </w:t>
      </w:r>
      <w:r>
        <w:rPr>
          <w:sz w:val="18"/>
          <w:vertAlign w:val="baseline"/>
        </w:rPr>
        <w:t>“The</w:t>
      </w:r>
      <w:r>
        <w:rPr>
          <w:spacing w:val="-4"/>
          <w:sz w:val="18"/>
          <w:vertAlign w:val="baseline"/>
        </w:rPr>
        <w:t> </w:t>
      </w:r>
      <w:r>
        <w:rPr>
          <w:sz w:val="18"/>
          <w:vertAlign w:val="baseline"/>
        </w:rPr>
        <w:t>OHCHR</w:t>
      </w:r>
      <w:r>
        <w:rPr>
          <w:spacing w:val="-4"/>
          <w:sz w:val="18"/>
          <w:vertAlign w:val="baseline"/>
        </w:rPr>
        <w:t> </w:t>
      </w:r>
      <w:r>
        <w:rPr>
          <w:sz w:val="18"/>
          <w:vertAlign w:val="baseline"/>
        </w:rPr>
        <w:t>Background</w:t>
      </w:r>
      <w:r>
        <w:rPr>
          <w:spacing w:val="-3"/>
          <w:sz w:val="18"/>
          <w:vertAlign w:val="baseline"/>
        </w:rPr>
        <w:t> </w:t>
      </w:r>
      <w:r>
        <w:rPr>
          <w:sz w:val="18"/>
          <w:vertAlign w:val="baseline"/>
        </w:rPr>
        <w:t>Note</w:t>
      </w:r>
      <w:r>
        <w:rPr>
          <w:spacing w:val="-3"/>
          <w:sz w:val="18"/>
          <w:vertAlign w:val="baseline"/>
        </w:rPr>
        <w:t> </w:t>
      </w:r>
      <w:r>
        <w:rPr>
          <w:sz w:val="18"/>
          <w:vertAlign w:val="baseline"/>
        </w:rPr>
        <w:t>on</w:t>
      </w:r>
      <w:r>
        <w:rPr>
          <w:spacing w:val="-3"/>
          <w:sz w:val="18"/>
          <w:vertAlign w:val="baseline"/>
        </w:rPr>
        <w:t> </w:t>
      </w:r>
      <w:r>
        <w:rPr>
          <w:sz w:val="18"/>
          <w:vertAlign w:val="baseline"/>
        </w:rPr>
        <w:t>Human</w:t>
      </w:r>
      <w:r>
        <w:rPr>
          <w:spacing w:val="-3"/>
          <w:sz w:val="18"/>
          <w:vertAlign w:val="baseline"/>
        </w:rPr>
        <w:t> </w:t>
      </w:r>
      <w:r>
        <w:rPr>
          <w:sz w:val="18"/>
          <w:vertAlign w:val="baseline"/>
        </w:rPr>
        <w:t>Rights</w:t>
      </w:r>
      <w:r>
        <w:rPr>
          <w:spacing w:val="-3"/>
          <w:sz w:val="18"/>
          <w:vertAlign w:val="baseline"/>
        </w:rPr>
        <w:t> </w:t>
      </w:r>
      <w:r>
        <w:rPr>
          <w:sz w:val="18"/>
          <w:vertAlign w:val="baseline"/>
        </w:rPr>
        <w:t>Violations</w:t>
      </w:r>
      <w:r>
        <w:rPr>
          <w:spacing w:val="-3"/>
          <w:sz w:val="18"/>
          <w:vertAlign w:val="baseline"/>
        </w:rPr>
        <w:t> </w:t>
      </w:r>
      <w:r>
        <w:rPr>
          <w:sz w:val="18"/>
          <w:vertAlign w:val="baseline"/>
        </w:rPr>
        <w:t>against</w:t>
      </w:r>
      <w:r>
        <w:rPr>
          <w:spacing w:val="-4"/>
          <w:sz w:val="18"/>
          <w:vertAlign w:val="baseline"/>
        </w:rPr>
        <w:t> </w:t>
      </w:r>
      <w:r>
        <w:rPr>
          <w:sz w:val="18"/>
          <w:vertAlign w:val="baseline"/>
        </w:rPr>
        <w:t>Intersex</w:t>
      </w:r>
      <w:r>
        <w:rPr>
          <w:spacing w:val="-3"/>
          <w:sz w:val="18"/>
          <w:vertAlign w:val="baseline"/>
        </w:rPr>
        <w:t> </w:t>
      </w:r>
      <w:r>
        <w:rPr>
          <w:sz w:val="18"/>
          <w:vertAlign w:val="baseline"/>
        </w:rPr>
        <w:t>People.”</w:t>
      </w:r>
      <w:r>
        <w:rPr>
          <w:spacing w:val="-3"/>
          <w:sz w:val="18"/>
          <w:vertAlign w:val="baseline"/>
        </w:rPr>
        <w:t> </w:t>
      </w:r>
      <w:r>
        <w:rPr>
          <w:sz w:val="18"/>
          <w:vertAlign w:val="baseline"/>
        </w:rPr>
        <w:t>Sexual</w:t>
      </w:r>
      <w:r>
        <w:rPr>
          <w:spacing w:val="-4"/>
          <w:sz w:val="18"/>
          <w:vertAlign w:val="baseline"/>
        </w:rPr>
        <w:t> </w:t>
      </w:r>
      <w:r>
        <w:rPr>
          <w:sz w:val="18"/>
          <w:vertAlign w:val="baseline"/>
        </w:rPr>
        <w:t>and Reproductive Health Matters 28 (1): 1731298. </w:t>
      </w:r>
      <w:r>
        <w:rPr>
          <w:color w:val="1154CC"/>
          <w:sz w:val="18"/>
          <w:u w:val="single" w:color="1154CC"/>
          <w:vertAlign w:val="baseline"/>
        </w:rPr>
        <w:t>https://doi.org/10.1080/26410397.2020.1731298</w:t>
      </w:r>
      <w:r>
        <w:rPr>
          <w:sz w:val="18"/>
          <w:u w:val="none"/>
          <w:vertAlign w:val="baseline"/>
        </w:rPr>
        <w:t>. </w:t>
      </w:r>
      <w:r>
        <w:rPr>
          <w:sz w:val="18"/>
          <w:u w:val="none"/>
          <w:vertAlign w:val="superscript"/>
        </w:rPr>
        <w:t>21</w:t>
      </w:r>
      <w:r>
        <w:rPr>
          <w:spacing w:val="-5"/>
          <w:sz w:val="18"/>
          <w:u w:val="none"/>
          <w:vertAlign w:val="baseline"/>
        </w:rPr>
        <w:t> </w:t>
      </w:r>
      <w:r>
        <w:rPr>
          <w:sz w:val="18"/>
          <w:u w:val="none"/>
          <w:vertAlign w:val="baseline"/>
        </w:rPr>
        <w:t>Callens, Nina, Baudewijntje P.C. Kreukels, and Tim C. van de Grift. 2021. “Young Voices: Sexual Health and Transition Care Needs in Adolescents with Intersex/Differences of Sex Development—a Pilot Study.” </w:t>
      </w:r>
      <w:r>
        <w:rPr>
          <w:i/>
          <w:sz w:val="18"/>
          <w:u w:val="none"/>
          <w:vertAlign w:val="baseline"/>
        </w:rPr>
        <w:t>Journal of Pediatric and Adolescent Gynecology</w:t>
      </w:r>
      <w:r>
        <w:rPr>
          <w:i/>
          <w:sz w:val="18"/>
          <w:u w:val="none"/>
          <w:vertAlign w:val="baseline"/>
        </w:rPr>
        <w:t> </w:t>
      </w:r>
      <w:r>
        <w:rPr>
          <w:sz w:val="18"/>
          <w:u w:val="none"/>
          <w:vertAlign w:val="baseline"/>
        </w:rPr>
        <w:t>34 (2): 176-189.e2.</w:t>
      </w:r>
    </w:p>
    <w:p>
      <w:pPr>
        <w:spacing w:line="276" w:lineRule="auto" w:before="0"/>
        <w:ind w:left="464" w:right="318" w:firstLine="5"/>
        <w:jc w:val="left"/>
        <w:rPr>
          <w:sz w:val="18"/>
        </w:rPr>
      </w:pPr>
      <w:r>
        <w:rPr>
          <w:sz w:val="18"/>
          <w:vertAlign w:val="superscript"/>
        </w:rPr>
        <w:t>22</w:t>
      </w:r>
      <w:r>
        <w:rPr>
          <w:spacing w:val="-13"/>
          <w:sz w:val="18"/>
          <w:vertAlign w:val="baseline"/>
        </w:rPr>
        <w:t> </w:t>
      </w:r>
      <w:r>
        <w:rPr>
          <w:sz w:val="18"/>
          <w:vertAlign w:val="baseline"/>
        </w:rPr>
        <w:t>Rosenwohl-Mack,</w:t>
      </w:r>
      <w:r>
        <w:rPr>
          <w:spacing w:val="-5"/>
          <w:sz w:val="18"/>
          <w:vertAlign w:val="baseline"/>
        </w:rPr>
        <w:t> </w:t>
      </w:r>
      <w:r>
        <w:rPr>
          <w:sz w:val="18"/>
          <w:vertAlign w:val="baseline"/>
        </w:rPr>
        <w:t>Amy,</w:t>
      </w:r>
      <w:r>
        <w:rPr>
          <w:spacing w:val="-4"/>
          <w:sz w:val="18"/>
          <w:vertAlign w:val="baseline"/>
        </w:rPr>
        <w:t> </w:t>
      </w:r>
      <w:r>
        <w:rPr>
          <w:sz w:val="18"/>
          <w:vertAlign w:val="baseline"/>
        </w:rPr>
        <w:t>Suegee</w:t>
      </w:r>
      <w:r>
        <w:rPr>
          <w:spacing w:val="-3"/>
          <w:sz w:val="18"/>
          <w:vertAlign w:val="baseline"/>
        </w:rPr>
        <w:t> </w:t>
      </w:r>
      <w:r>
        <w:rPr>
          <w:sz w:val="18"/>
          <w:vertAlign w:val="baseline"/>
        </w:rPr>
        <w:t>Tamar-Mattis,</w:t>
      </w:r>
      <w:r>
        <w:rPr>
          <w:spacing w:val="-4"/>
          <w:sz w:val="18"/>
          <w:vertAlign w:val="baseline"/>
        </w:rPr>
        <w:t> </w:t>
      </w:r>
      <w:r>
        <w:rPr>
          <w:sz w:val="18"/>
          <w:vertAlign w:val="baseline"/>
        </w:rPr>
        <w:t>Arlene</w:t>
      </w:r>
      <w:r>
        <w:rPr>
          <w:spacing w:val="-3"/>
          <w:sz w:val="18"/>
          <w:vertAlign w:val="baseline"/>
        </w:rPr>
        <w:t> </w:t>
      </w:r>
      <w:r>
        <w:rPr>
          <w:sz w:val="18"/>
          <w:vertAlign w:val="baseline"/>
        </w:rPr>
        <w:t>B.</w:t>
      </w:r>
      <w:r>
        <w:rPr>
          <w:spacing w:val="-4"/>
          <w:sz w:val="18"/>
          <w:vertAlign w:val="baseline"/>
        </w:rPr>
        <w:t> </w:t>
      </w:r>
      <w:r>
        <w:rPr>
          <w:sz w:val="18"/>
          <w:vertAlign w:val="baseline"/>
        </w:rPr>
        <w:t>Baratz,</w:t>
      </w:r>
      <w:r>
        <w:rPr>
          <w:spacing w:val="-4"/>
          <w:sz w:val="18"/>
          <w:vertAlign w:val="baseline"/>
        </w:rPr>
        <w:t> </w:t>
      </w:r>
      <w:r>
        <w:rPr>
          <w:sz w:val="18"/>
          <w:vertAlign w:val="baseline"/>
        </w:rPr>
        <w:t>Katharine</w:t>
      </w:r>
      <w:r>
        <w:rPr>
          <w:spacing w:val="-3"/>
          <w:sz w:val="18"/>
          <w:vertAlign w:val="baseline"/>
        </w:rPr>
        <w:t> </w:t>
      </w:r>
      <w:r>
        <w:rPr>
          <w:sz w:val="18"/>
          <w:vertAlign w:val="baseline"/>
        </w:rPr>
        <w:t>B.</w:t>
      </w:r>
      <w:r>
        <w:rPr>
          <w:spacing w:val="-3"/>
          <w:sz w:val="18"/>
          <w:vertAlign w:val="baseline"/>
        </w:rPr>
        <w:t> </w:t>
      </w:r>
      <w:r>
        <w:rPr>
          <w:sz w:val="18"/>
          <w:vertAlign w:val="baseline"/>
        </w:rPr>
        <w:t>Dalke,</w:t>
      </w:r>
      <w:r>
        <w:rPr>
          <w:spacing w:val="-4"/>
          <w:sz w:val="18"/>
          <w:vertAlign w:val="baseline"/>
        </w:rPr>
        <w:t> </w:t>
      </w:r>
      <w:r>
        <w:rPr>
          <w:sz w:val="18"/>
          <w:vertAlign w:val="baseline"/>
        </w:rPr>
        <w:t>Alesdair</w:t>
      </w:r>
      <w:r>
        <w:rPr>
          <w:spacing w:val="-4"/>
          <w:sz w:val="18"/>
          <w:vertAlign w:val="baseline"/>
        </w:rPr>
        <w:t> </w:t>
      </w:r>
      <w:r>
        <w:rPr>
          <w:sz w:val="18"/>
          <w:vertAlign w:val="baseline"/>
        </w:rPr>
        <w:t>Ittelson,</w:t>
      </w:r>
      <w:r>
        <w:rPr>
          <w:spacing w:val="-4"/>
          <w:sz w:val="18"/>
          <w:vertAlign w:val="baseline"/>
        </w:rPr>
        <w:t> </w:t>
      </w:r>
      <w:r>
        <w:rPr>
          <w:sz w:val="18"/>
          <w:vertAlign w:val="baseline"/>
        </w:rPr>
        <w:t>Kimberly</w:t>
      </w:r>
      <w:r>
        <w:rPr>
          <w:spacing w:val="-3"/>
          <w:sz w:val="18"/>
          <w:vertAlign w:val="baseline"/>
        </w:rPr>
        <w:t> </w:t>
      </w:r>
      <w:r>
        <w:rPr>
          <w:sz w:val="18"/>
          <w:vertAlign w:val="baseline"/>
        </w:rPr>
        <w:t>Zieselman, and Jason D. Flatt. 2020. “A National Study on the Physical and Mental Health of Intersex Adults in the U.S.” Edited by Sergio A. Useche. </w:t>
      </w:r>
      <w:r>
        <w:rPr>
          <w:i/>
          <w:sz w:val="18"/>
          <w:vertAlign w:val="baseline"/>
        </w:rPr>
        <w:t>PLOS ONE </w:t>
      </w:r>
      <w:r>
        <w:rPr>
          <w:sz w:val="18"/>
          <w:vertAlign w:val="baseline"/>
        </w:rPr>
        <w:t>15 (10): e0240088. </w:t>
      </w:r>
      <w:r>
        <w:rPr>
          <w:color w:val="1154CC"/>
          <w:sz w:val="18"/>
          <w:u w:val="single" w:color="1154CC"/>
          <w:vertAlign w:val="baseline"/>
        </w:rPr>
        <w:t>https://doi.org/10.1371/journal.pone.0240088</w:t>
      </w:r>
      <w:r>
        <w:rPr>
          <w:sz w:val="18"/>
          <w:u w:val="none"/>
          <w:vertAlign w:val="baseline"/>
        </w:rPr>
        <w:t>.</w:t>
      </w:r>
    </w:p>
    <w:p>
      <w:pPr>
        <w:spacing w:line="276" w:lineRule="auto" w:before="0"/>
        <w:ind w:left="464" w:right="0" w:hanging="1"/>
        <w:jc w:val="left"/>
        <w:rPr>
          <w:sz w:val="18"/>
        </w:rPr>
      </w:pPr>
      <w:r>
        <w:rPr>
          <w:sz w:val="18"/>
          <w:vertAlign w:val="superscript"/>
        </w:rPr>
        <w:t>23</w:t>
      </w:r>
      <w:r>
        <w:rPr>
          <w:spacing w:val="-11"/>
          <w:sz w:val="18"/>
          <w:vertAlign w:val="baseline"/>
        </w:rPr>
        <w:t> </w:t>
      </w:r>
      <w:r>
        <w:rPr>
          <w:sz w:val="18"/>
          <w:vertAlign w:val="baseline"/>
        </w:rPr>
        <w:t>Medina, Caroline, and Lindsay Mahowald. 2021. “Key Issues Facing People with Intersex Traits.” Center for American Progress.</w:t>
      </w:r>
      <w:r>
        <w:rPr>
          <w:spacing w:val="-11"/>
          <w:sz w:val="18"/>
          <w:vertAlign w:val="baseline"/>
        </w:rPr>
        <w:t> </w:t>
      </w:r>
      <w:r>
        <w:rPr>
          <w:sz w:val="18"/>
          <w:vertAlign w:val="baseline"/>
        </w:rPr>
        <w:t>October</w:t>
      </w:r>
      <w:r>
        <w:rPr>
          <w:spacing w:val="-8"/>
          <w:sz w:val="18"/>
          <w:vertAlign w:val="baseline"/>
        </w:rPr>
        <w:t> </w:t>
      </w:r>
      <w:r>
        <w:rPr>
          <w:sz w:val="18"/>
          <w:vertAlign w:val="baseline"/>
        </w:rPr>
        <w:t>26,</w:t>
      </w:r>
      <w:r>
        <w:rPr>
          <w:spacing w:val="-8"/>
          <w:sz w:val="18"/>
          <w:vertAlign w:val="baseline"/>
        </w:rPr>
        <w:t> </w:t>
      </w:r>
      <w:r>
        <w:rPr>
          <w:sz w:val="18"/>
          <w:vertAlign w:val="baseline"/>
        </w:rPr>
        <w:t>2021.</w:t>
      </w:r>
      <w:r>
        <w:rPr>
          <w:spacing w:val="-7"/>
          <w:sz w:val="18"/>
          <w:vertAlign w:val="baseline"/>
        </w:rPr>
        <w:t> </w:t>
      </w:r>
      <w:r>
        <w:rPr>
          <w:sz w:val="18"/>
          <w:vertAlign w:val="baseline"/>
        </w:rPr>
        <w:t>https://</w:t>
      </w:r>
      <w:hyperlink r:id="rId286">
        <w:r>
          <w:rPr>
            <w:sz w:val="18"/>
            <w:vertAlign w:val="baseline"/>
          </w:rPr>
          <w:t>www.americanprogress.org/article/key-issues-facing-people-intersex-traits/.</w:t>
        </w:r>
      </w:hyperlink>
      <w:r>
        <w:rPr>
          <w:spacing w:val="-7"/>
          <w:sz w:val="18"/>
          <w:vertAlign w:val="baseline"/>
        </w:rPr>
        <w:t> </w:t>
      </w:r>
      <w:r>
        <w:rPr>
          <w:sz w:val="18"/>
          <w:vertAlign w:val="superscript"/>
        </w:rPr>
        <w:t>24</w:t>
      </w:r>
      <w:r>
        <w:rPr>
          <w:spacing w:val="-13"/>
          <w:sz w:val="18"/>
          <w:vertAlign w:val="baseline"/>
        </w:rPr>
        <w:t> </w:t>
      </w:r>
      <w:r>
        <w:rPr>
          <w:sz w:val="18"/>
          <w:vertAlign w:val="baseline"/>
        </w:rPr>
        <w:t>Ibid.</w:t>
      </w:r>
    </w:p>
    <w:p>
      <w:pPr>
        <w:spacing w:line="276" w:lineRule="auto" w:before="0"/>
        <w:ind w:left="464" w:right="245" w:firstLine="0"/>
        <w:jc w:val="both"/>
        <w:rPr>
          <w:sz w:val="18"/>
        </w:rPr>
      </w:pPr>
      <w:r>
        <w:rPr>
          <w:sz w:val="18"/>
          <w:vertAlign w:val="superscript"/>
        </w:rPr>
        <w:t>25</w:t>
      </w:r>
      <w:r>
        <w:rPr>
          <w:spacing w:val="-11"/>
          <w:sz w:val="18"/>
          <w:vertAlign w:val="baseline"/>
        </w:rPr>
        <w:t> </w:t>
      </w:r>
      <w:r>
        <w:rPr>
          <w:sz w:val="18"/>
          <w:vertAlign w:val="baseline"/>
        </w:rPr>
        <w:t>Carpenter,</w:t>
      </w:r>
      <w:r>
        <w:rPr>
          <w:spacing w:val="-7"/>
          <w:sz w:val="18"/>
          <w:vertAlign w:val="baseline"/>
        </w:rPr>
        <w:t> </w:t>
      </w:r>
      <w:r>
        <w:rPr>
          <w:sz w:val="18"/>
          <w:vertAlign w:val="baseline"/>
        </w:rPr>
        <w:t>Morgan.</w:t>
      </w:r>
      <w:r>
        <w:rPr>
          <w:spacing w:val="-3"/>
          <w:sz w:val="18"/>
          <w:vertAlign w:val="baseline"/>
        </w:rPr>
        <w:t> </w:t>
      </w:r>
      <w:r>
        <w:rPr>
          <w:sz w:val="18"/>
          <w:vertAlign w:val="baseline"/>
        </w:rPr>
        <w:t>2020.</w:t>
      </w:r>
      <w:r>
        <w:rPr>
          <w:spacing w:val="-3"/>
          <w:sz w:val="18"/>
          <w:vertAlign w:val="baseline"/>
        </w:rPr>
        <w:t> </w:t>
      </w:r>
      <w:r>
        <w:rPr>
          <w:sz w:val="18"/>
          <w:vertAlign w:val="baseline"/>
        </w:rPr>
        <w:t>“The</w:t>
      </w:r>
      <w:r>
        <w:rPr>
          <w:spacing w:val="-4"/>
          <w:sz w:val="18"/>
          <w:vertAlign w:val="baseline"/>
        </w:rPr>
        <w:t> </w:t>
      </w:r>
      <w:r>
        <w:rPr>
          <w:sz w:val="18"/>
          <w:vertAlign w:val="baseline"/>
        </w:rPr>
        <w:t>OHCHR</w:t>
      </w:r>
      <w:r>
        <w:rPr>
          <w:spacing w:val="-4"/>
          <w:sz w:val="18"/>
          <w:vertAlign w:val="baseline"/>
        </w:rPr>
        <w:t> </w:t>
      </w:r>
      <w:r>
        <w:rPr>
          <w:sz w:val="18"/>
          <w:vertAlign w:val="baseline"/>
        </w:rPr>
        <w:t>Background</w:t>
      </w:r>
      <w:r>
        <w:rPr>
          <w:spacing w:val="-3"/>
          <w:sz w:val="18"/>
          <w:vertAlign w:val="baseline"/>
        </w:rPr>
        <w:t> </w:t>
      </w:r>
      <w:r>
        <w:rPr>
          <w:sz w:val="18"/>
          <w:vertAlign w:val="baseline"/>
        </w:rPr>
        <w:t>Note</w:t>
      </w:r>
      <w:r>
        <w:rPr>
          <w:spacing w:val="-3"/>
          <w:sz w:val="18"/>
          <w:vertAlign w:val="baseline"/>
        </w:rPr>
        <w:t> </w:t>
      </w:r>
      <w:r>
        <w:rPr>
          <w:sz w:val="18"/>
          <w:vertAlign w:val="baseline"/>
        </w:rPr>
        <w:t>on</w:t>
      </w:r>
      <w:r>
        <w:rPr>
          <w:spacing w:val="-3"/>
          <w:sz w:val="18"/>
          <w:vertAlign w:val="baseline"/>
        </w:rPr>
        <w:t> </w:t>
      </w:r>
      <w:r>
        <w:rPr>
          <w:sz w:val="18"/>
          <w:vertAlign w:val="baseline"/>
        </w:rPr>
        <w:t>Human</w:t>
      </w:r>
      <w:r>
        <w:rPr>
          <w:spacing w:val="-3"/>
          <w:sz w:val="18"/>
          <w:vertAlign w:val="baseline"/>
        </w:rPr>
        <w:t> </w:t>
      </w:r>
      <w:r>
        <w:rPr>
          <w:sz w:val="18"/>
          <w:vertAlign w:val="baseline"/>
        </w:rPr>
        <w:t>Rights</w:t>
      </w:r>
      <w:r>
        <w:rPr>
          <w:spacing w:val="-3"/>
          <w:sz w:val="18"/>
          <w:vertAlign w:val="baseline"/>
        </w:rPr>
        <w:t> </w:t>
      </w:r>
      <w:r>
        <w:rPr>
          <w:sz w:val="18"/>
          <w:vertAlign w:val="baseline"/>
        </w:rPr>
        <w:t>Violations</w:t>
      </w:r>
      <w:r>
        <w:rPr>
          <w:spacing w:val="-3"/>
          <w:sz w:val="18"/>
          <w:vertAlign w:val="baseline"/>
        </w:rPr>
        <w:t> </w:t>
      </w:r>
      <w:r>
        <w:rPr>
          <w:sz w:val="18"/>
          <w:vertAlign w:val="baseline"/>
        </w:rPr>
        <w:t>against</w:t>
      </w:r>
      <w:r>
        <w:rPr>
          <w:spacing w:val="-4"/>
          <w:sz w:val="18"/>
          <w:vertAlign w:val="baseline"/>
        </w:rPr>
        <w:t> </w:t>
      </w:r>
      <w:r>
        <w:rPr>
          <w:sz w:val="18"/>
          <w:vertAlign w:val="baseline"/>
        </w:rPr>
        <w:t>Intersex</w:t>
      </w:r>
      <w:r>
        <w:rPr>
          <w:spacing w:val="-3"/>
          <w:sz w:val="18"/>
          <w:vertAlign w:val="baseline"/>
        </w:rPr>
        <w:t> </w:t>
      </w:r>
      <w:r>
        <w:rPr>
          <w:sz w:val="18"/>
          <w:vertAlign w:val="baseline"/>
        </w:rPr>
        <w:t>People.”</w:t>
      </w:r>
      <w:r>
        <w:rPr>
          <w:spacing w:val="-3"/>
          <w:sz w:val="18"/>
          <w:vertAlign w:val="baseline"/>
        </w:rPr>
        <w:t> </w:t>
      </w:r>
      <w:r>
        <w:rPr>
          <w:i/>
          <w:sz w:val="18"/>
          <w:vertAlign w:val="baseline"/>
        </w:rPr>
        <w:t>Sexual</w:t>
      </w:r>
      <w:r>
        <w:rPr>
          <w:i/>
          <w:spacing w:val="-4"/>
          <w:sz w:val="18"/>
          <w:vertAlign w:val="baseline"/>
        </w:rPr>
        <w:t> </w:t>
      </w:r>
      <w:r>
        <w:rPr>
          <w:i/>
          <w:sz w:val="18"/>
          <w:vertAlign w:val="baseline"/>
        </w:rPr>
        <w:t>and</w:t>
      </w:r>
      <w:r>
        <w:rPr>
          <w:i/>
          <w:sz w:val="18"/>
          <w:vertAlign w:val="baseline"/>
        </w:rPr>
        <w:t> Reproductive</w:t>
      </w:r>
      <w:r>
        <w:rPr>
          <w:i/>
          <w:spacing w:val="-6"/>
          <w:sz w:val="18"/>
          <w:vertAlign w:val="baseline"/>
        </w:rPr>
        <w:t> </w:t>
      </w:r>
      <w:r>
        <w:rPr>
          <w:i/>
          <w:sz w:val="18"/>
          <w:vertAlign w:val="baseline"/>
        </w:rPr>
        <w:t>Health</w:t>
      </w:r>
      <w:r>
        <w:rPr>
          <w:i/>
          <w:spacing w:val="-2"/>
          <w:sz w:val="18"/>
          <w:vertAlign w:val="baseline"/>
        </w:rPr>
        <w:t> </w:t>
      </w:r>
      <w:r>
        <w:rPr>
          <w:i/>
          <w:sz w:val="18"/>
          <w:vertAlign w:val="baseline"/>
        </w:rPr>
        <w:t>Matters</w:t>
      </w:r>
      <w:r>
        <w:rPr>
          <w:i/>
          <w:spacing w:val="-3"/>
          <w:sz w:val="18"/>
          <w:vertAlign w:val="baseline"/>
        </w:rPr>
        <w:t> </w:t>
      </w:r>
      <w:r>
        <w:rPr>
          <w:sz w:val="18"/>
          <w:vertAlign w:val="baseline"/>
        </w:rPr>
        <w:t>28</w:t>
      </w:r>
      <w:r>
        <w:rPr>
          <w:spacing w:val="-1"/>
          <w:sz w:val="18"/>
          <w:vertAlign w:val="baseline"/>
        </w:rPr>
        <w:t> </w:t>
      </w:r>
      <w:r>
        <w:rPr>
          <w:sz w:val="18"/>
          <w:vertAlign w:val="baseline"/>
        </w:rPr>
        <w:t>(1):</w:t>
      </w:r>
      <w:r>
        <w:rPr>
          <w:spacing w:val="-2"/>
          <w:sz w:val="18"/>
          <w:vertAlign w:val="baseline"/>
        </w:rPr>
        <w:t> </w:t>
      </w:r>
      <w:r>
        <w:rPr>
          <w:sz w:val="18"/>
          <w:vertAlign w:val="baseline"/>
        </w:rPr>
        <w:t>1731298.</w:t>
      </w:r>
      <w:r>
        <w:rPr>
          <w:spacing w:val="-2"/>
          <w:sz w:val="18"/>
          <w:vertAlign w:val="baseline"/>
        </w:rPr>
        <w:t> </w:t>
      </w:r>
      <w:r>
        <w:rPr>
          <w:color w:val="1154CC"/>
          <w:sz w:val="18"/>
          <w:u w:val="single" w:color="1154CC"/>
          <w:vertAlign w:val="baseline"/>
        </w:rPr>
        <w:t>https://doi.org/10.1080/26410397.2020.1731298</w:t>
      </w:r>
      <w:r>
        <w:rPr>
          <w:sz w:val="18"/>
          <w:u w:val="none"/>
          <w:vertAlign w:val="baseline"/>
        </w:rPr>
        <w:t>.</w:t>
      </w:r>
      <w:r>
        <w:rPr>
          <w:spacing w:val="-2"/>
          <w:sz w:val="18"/>
          <w:u w:val="none"/>
          <w:vertAlign w:val="baseline"/>
        </w:rPr>
        <w:t> </w:t>
      </w:r>
      <w:r>
        <w:rPr>
          <w:sz w:val="18"/>
          <w:u w:val="none"/>
          <w:vertAlign w:val="superscript"/>
        </w:rPr>
        <w:t>26</w:t>
      </w:r>
      <w:r>
        <w:rPr>
          <w:spacing w:val="-11"/>
          <w:sz w:val="18"/>
          <w:u w:val="none"/>
          <w:vertAlign w:val="baseline"/>
        </w:rPr>
        <w:t> </w:t>
      </w:r>
      <w:r>
        <w:rPr>
          <w:sz w:val="18"/>
          <w:u w:val="none"/>
          <w:vertAlign w:val="baseline"/>
        </w:rPr>
        <w:t>“Massachusetts</w:t>
      </w:r>
      <w:r>
        <w:rPr>
          <w:spacing w:val="-2"/>
          <w:sz w:val="18"/>
          <w:u w:val="none"/>
          <w:vertAlign w:val="baseline"/>
        </w:rPr>
        <w:t> </w:t>
      </w:r>
      <w:r>
        <w:rPr>
          <w:sz w:val="18"/>
          <w:u w:val="none"/>
          <w:vertAlign w:val="baseline"/>
        </w:rPr>
        <w:t>Medical Society: Oops!” n.d. Www.massmed.org. Accessed March 2, 2023.</w:t>
      </w:r>
    </w:p>
    <w:p>
      <w:pPr>
        <w:spacing w:after="0" w:line="276" w:lineRule="auto"/>
        <w:jc w:val="both"/>
        <w:rPr>
          <w:sz w:val="18"/>
        </w:rPr>
        <w:sectPr>
          <w:pgSz w:w="12240" w:h="15840"/>
          <w:pgMar w:header="721" w:footer="1061" w:top="1360" w:bottom="1260" w:left="1120" w:right="1340"/>
        </w:sectPr>
      </w:pPr>
    </w:p>
    <w:p>
      <w:pPr>
        <w:spacing w:line="276" w:lineRule="auto" w:before="68"/>
        <w:ind w:left="464" w:right="481" w:firstLine="7"/>
        <w:jc w:val="left"/>
        <w:rPr>
          <w:sz w:val="18"/>
        </w:rPr>
      </w:pPr>
      <w:r>
        <w:rPr>
          <w:spacing w:val="-2"/>
          <w:sz w:val="18"/>
        </w:rPr>
        <w:t>https:</w:t>
      </w:r>
      <w:hyperlink r:id="rId287">
        <w:r>
          <w:rPr>
            <w:spacing w:val="-2"/>
            <w:sz w:val="18"/>
          </w:rPr>
          <w:t>//www.massmed.org/News/Press-Releases/Massachusetts-Medical-Society-announces-policies-on-opioid-use-</w:t>
        </w:r>
      </w:hyperlink>
      <w:r>
        <w:rPr>
          <w:sz w:val="18"/>
        </w:rPr>
        <w:t> disorder. </w:t>
      </w:r>
      <w:r>
        <w:rPr>
          <w:sz w:val="18"/>
          <w:vertAlign w:val="superscript"/>
        </w:rPr>
        <w:t>27</w:t>
      </w:r>
      <w:r>
        <w:rPr>
          <w:spacing w:val="-6"/>
          <w:sz w:val="18"/>
          <w:vertAlign w:val="baseline"/>
        </w:rPr>
        <w:t> </w:t>
      </w:r>
      <w:r>
        <w:rPr>
          <w:sz w:val="18"/>
          <w:vertAlign w:val="baseline"/>
        </w:rPr>
        <w:t>“The Mental Health and Well-Being of LGBTQ Youth Who Are Intersex.” n.d. https:</w:t>
      </w:r>
      <w:hyperlink r:id="rId285">
        <w:r>
          <w:rPr>
            <w:sz w:val="18"/>
            <w:vertAlign w:val="baseline"/>
          </w:rPr>
          <w:t>//www.thetrevorproject.org/wp</w:t>
        </w:r>
      </w:hyperlink>
      <w:r>
        <w:rPr>
          <w:sz w:val="18"/>
          <w:vertAlign w:val="baseline"/>
        </w:rPr>
        <w:t> content/uploads/2021/12/Intersex-Youth-Mental-Health-Report.pdf.</w:t>
      </w:r>
    </w:p>
    <w:p>
      <w:pPr>
        <w:spacing w:line="276" w:lineRule="auto" w:before="1"/>
        <w:ind w:left="464" w:right="1807" w:hanging="8"/>
        <w:jc w:val="left"/>
        <w:rPr>
          <w:sz w:val="18"/>
        </w:rPr>
      </w:pPr>
      <w:r>
        <w:rPr>
          <w:sz w:val="18"/>
          <w:vertAlign w:val="superscript"/>
        </w:rPr>
        <w:t>28</w:t>
      </w:r>
      <w:r>
        <w:rPr>
          <w:spacing w:val="-13"/>
          <w:sz w:val="18"/>
          <w:vertAlign w:val="baseline"/>
        </w:rPr>
        <w:t> </w:t>
      </w:r>
      <w:r>
        <w:rPr>
          <w:sz w:val="18"/>
          <w:vertAlign w:val="baseline"/>
        </w:rPr>
        <w:t>World</w:t>
      </w:r>
      <w:r>
        <w:rPr>
          <w:spacing w:val="-6"/>
          <w:sz w:val="18"/>
          <w:vertAlign w:val="baseline"/>
        </w:rPr>
        <w:t> </w:t>
      </w:r>
      <w:r>
        <w:rPr>
          <w:sz w:val="18"/>
          <w:vertAlign w:val="baseline"/>
        </w:rPr>
        <w:t>Health</w:t>
      </w:r>
      <w:r>
        <w:rPr>
          <w:spacing w:val="-4"/>
          <w:sz w:val="18"/>
          <w:vertAlign w:val="baseline"/>
        </w:rPr>
        <w:t> </w:t>
      </w:r>
      <w:r>
        <w:rPr>
          <w:sz w:val="18"/>
          <w:vertAlign w:val="baseline"/>
        </w:rPr>
        <w:t>Organization.</w:t>
      </w:r>
      <w:r>
        <w:rPr>
          <w:spacing w:val="-4"/>
          <w:sz w:val="18"/>
          <w:vertAlign w:val="baseline"/>
        </w:rPr>
        <w:t> </w:t>
      </w:r>
      <w:r>
        <w:rPr>
          <w:sz w:val="18"/>
          <w:vertAlign w:val="baseline"/>
        </w:rPr>
        <w:t>2022.</w:t>
      </w:r>
      <w:r>
        <w:rPr>
          <w:spacing w:val="-4"/>
          <w:sz w:val="18"/>
          <w:vertAlign w:val="baseline"/>
        </w:rPr>
        <w:t> </w:t>
      </w:r>
      <w:r>
        <w:rPr>
          <w:sz w:val="18"/>
          <w:vertAlign w:val="baseline"/>
        </w:rPr>
        <w:t>“Social</w:t>
      </w:r>
      <w:r>
        <w:rPr>
          <w:spacing w:val="-5"/>
          <w:sz w:val="18"/>
          <w:vertAlign w:val="baseline"/>
        </w:rPr>
        <w:t> </w:t>
      </w:r>
      <w:r>
        <w:rPr>
          <w:sz w:val="18"/>
          <w:vertAlign w:val="baseline"/>
        </w:rPr>
        <w:t>Determinants</w:t>
      </w:r>
      <w:r>
        <w:rPr>
          <w:spacing w:val="-4"/>
          <w:sz w:val="18"/>
          <w:vertAlign w:val="baseline"/>
        </w:rPr>
        <w:t> </w:t>
      </w:r>
      <w:r>
        <w:rPr>
          <w:sz w:val="18"/>
          <w:vertAlign w:val="baseline"/>
        </w:rPr>
        <w:t>of</w:t>
      </w:r>
      <w:r>
        <w:rPr>
          <w:spacing w:val="-4"/>
          <w:sz w:val="18"/>
          <w:vertAlign w:val="baseline"/>
        </w:rPr>
        <w:t> </w:t>
      </w:r>
      <w:r>
        <w:rPr>
          <w:sz w:val="18"/>
          <w:vertAlign w:val="baseline"/>
        </w:rPr>
        <w:t>Health.”</w:t>
      </w:r>
      <w:r>
        <w:rPr>
          <w:spacing w:val="-4"/>
          <w:sz w:val="18"/>
          <w:vertAlign w:val="baseline"/>
        </w:rPr>
        <w:t> </w:t>
      </w:r>
      <w:r>
        <w:rPr>
          <w:sz w:val="18"/>
          <w:vertAlign w:val="baseline"/>
        </w:rPr>
        <w:t>World</w:t>
      </w:r>
      <w:r>
        <w:rPr>
          <w:spacing w:val="-4"/>
          <w:sz w:val="18"/>
          <w:vertAlign w:val="baseline"/>
        </w:rPr>
        <w:t> </w:t>
      </w:r>
      <w:r>
        <w:rPr>
          <w:sz w:val="18"/>
          <w:vertAlign w:val="baseline"/>
        </w:rPr>
        <w:t>Health</w:t>
      </w:r>
      <w:r>
        <w:rPr>
          <w:spacing w:val="-4"/>
          <w:sz w:val="18"/>
          <w:vertAlign w:val="baseline"/>
        </w:rPr>
        <w:t> </w:t>
      </w:r>
      <w:r>
        <w:rPr>
          <w:sz w:val="18"/>
          <w:vertAlign w:val="baseline"/>
        </w:rPr>
        <w:t>Organisation.</w:t>
      </w:r>
      <w:r>
        <w:rPr>
          <w:spacing w:val="-4"/>
          <w:sz w:val="18"/>
          <w:vertAlign w:val="baseline"/>
        </w:rPr>
        <w:t> </w:t>
      </w:r>
      <w:r>
        <w:rPr>
          <w:sz w:val="18"/>
          <w:vertAlign w:val="baseline"/>
        </w:rPr>
        <w:t>2022. </w:t>
      </w:r>
      <w:r>
        <w:rPr>
          <w:spacing w:val="-2"/>
          <w:sz w:val="18"/>
          <w:vertAlign w:val="baseline"/>
        </w:rPr>
        <w:t>https:</w:t>
      </w:r>
      <w:hyperlink r:id="rId288">
        <w:r>
          <w:rPr>
            <w:spacing w:val="-2"/>
            <w:sz w:val="18"/>
            <w:vertAlign w:val="baseline"/>
          </w:rPr>
          <w:t>//www.who.int/health-topics/social-determinants-of-health#tab=tab_1.</w:t>
        </w:r>
      </w:hyperlink>
    </w:p>
    <w:p>
      <w:pPr>
        <w:spacing w:line="276" w:lineRule="auto" w:before="0"/>
        <w:ind w:left="464" w:right="0" w:hanging="3"/>
        <w:jc w:val="left"/>
        <w:rPr>
          <w:sz w:val="18"/>
        </w:rPr>
      </w:pPr>
      <w:r>
        <w:rPr>
          <w:sz w:val="18"/>
          <w:vertAlign w:val="superscript"/>
        </w:rPr>
        <w:t>29</w:t>
      </w:r>
      <w:r>
        <w:rPr>
          <w:spacing w:val="-13"/>
          <w:sz w:val="18"/>
          <w:vertAlign w:val="baseline"/>
        </w:rPr>
        <w:t> </w:t>
      </w:r>
      <w:r>
        <w:rPr>
          <w:sz w:val="18"/>
          <w:vertAlign w:val="baseline"/>
        </w:rPr>
        <w:t>Badgett,</w:t>
      </w:r>
      <w:r>
        <w:rPr>
          <w:spacing w:val="-4"/>
          <w:sz w:val="18"/>
          <w:vertAlign w:val="baseline"/>
        </w:rPr>
        <w:t> </w:t>
      </w:r>
      <w:r>
        <w:rPr>
          <w:sz w:val="18"/>
          <w:vertAlign w:val="baseline"/>
        </w:rPr>
        <w:t>M.V.</w:t>
      </w:r>
      <w:r>
        <w:rPr>
          <w:spacing w:val="-2"/>
          <w:sz w:val="18"/>
          <w:vertAlign w:val="baseline"/>
        </w:rPr>
        <w:t> </w:t>
      </w:r>
      <w:r>
        <w:rPr>
          <w:sz w:val="18"/>
          <w:vertAlign w:val="baseline"/>
        </w:rPr>
        <w:t>Lee,</w:t>
      </w:r>
      <w:r>
        <w:rPr>
          <w:spacing w:val="-3"/>
          <w:sz w:val="18"/>
          <w:vertAlign w:val="baseline"/>
        </w:rPr>
        <w:t> </w:t>
      </w:r>
      <w:r>
        <w:rPr>
          <w:sz w:val="18"/>
          <w:vertAlign w:val="baseline"/>
        </w:rPr>
        <w:t>Soon</w:t>
      </w:r>
      <w:r>
        <w:rPr>
          <w:spacing w:val="-2"/>
          <w:sz w:val="18"/>
          <w:vertAlign w:val="baseline"/>
        </w:rPr>
        <w:t> </w:t>
      </w:r>
      <w:r>
        <w:rPr>
          <w:sz w:val="18"/>
          <w:vertAlign w:val="baseline"/>
        </w:rPr>
        <w:t>Kyu</w:t>
      </w:r>
      <w:r>
        <w:rPr>
          <w:spacing w:val="-2"/>
          <w:sz w:val="18"/>
          <w:vertAlign w:val="baseline"/>
        </w:rPr>
        <w:t> </w:t>
      </w:r>
      <w:r>
        <w:rPr>
          <w:sz w:val="18"/>
          <w:vertAlign w:val="baseline"/>
        </w:rPr>
        <w:t>Choi,</w:t>
      </w:r>
      <w:r>
        <w:rPr>
          <w:spacing w:val="-3"/>
          <w:sz w:val="18"/>
          <w:vertAlign w:val="baseline"/>
        </w:rPr>
        <w:t> </w:t>
      </w:r>
      <w:r>
        <w:rPr>
          <w:sz w:val="18"/>
          <w:vertAlign w:val="baseline"/>
        </w:rPr>
        <w:t>and</w:t>
      </w:r>
      <w:r>
        <w:rPr>
          <w:spacing w:val="-2"/>
          <w:sz w:val="18"/>
          <w:vertAlign w:val="baseline"/>
        </w:rPr>
        <w:t> </w:t>
      </w:r>
      <w:r>
        <w:rPr>
          <w:sz w:val="18"/>
          <w:vertAlign w:val="baseline"/>
        </w:rPr>
        <w:t>Bianca</w:t>
      </w:r>
      <w:r>
        <w:rPr>
          <w:spacing w:val="-2"/>
          <w:sz w:val="18"/>
          <w:vertAlign w:val="baseline"/>
        </w:rPr>
        <w:t> </w:t>
      </w:r>
      <w:r>
        <w:rPr>
          <w:sz w:val="18"/>
          <w:vertAlign w:val="baseline"/>
        </w:rPr>
        <w:t>D.M.</w:t>
      </w:r>
      <w:r>
        <w:rPr>
          <w:spacing w:val="-2"/>
          <w:sz w:val="18"/>
          <w:vertAlign w:val="baseline"/>
        </w:rPr>
        <w:t> </w:t>
      </w:r>
      <w:r>
        <w:rPr>
          <w:sz w:val="18"/>
          <w:vertAlign w:val="baseline"/>
        </w:rPr>
        <w:t>Wilson.</w:t>
      </w:r>
      <w:r>
        <w:rPr>
          <w:spacing w:val="-2"/>
          <w:sz w:val="18"/>
          <w:vertAlign w:val="baseline"/>
        </w:rPr>
        <w:t> </w:t>
      </w:r>
      <w:r>
        <w:rPr>
          <w:sz w:val="18"/>
          <w:vertAlign w:val="baseline"/>
        </w:rPr>
        <w:t>2019.</w:t>
      </w:r>
      <w:r>
        <w:rPr>
          <w:spacing w:val="-2"/>
          <w:sz w:val="18"/>
          <w:vertAlign w:val="baseline"/>
        </w:rPr>
        <w:t> </w:t>
      </w:r>
      <w:r>
        <w:rPr>
          <w:sz w:val="18"/>
          <w:vertAlign w:val="baseline"/>
        </w:rPr>
        <w:t>“LGBT</w:t>
      </w:r>
      <w:r>
        <w:rPr>
          <w:spacing w:val="-4"/>
          <w:sz w:val="18"/>
          <w:vertAlign w:val="baseline"/>
        </w:rPr>
        <w:t> </w:t>
      </w:r>
      <w:r>
        <w:rPr>
          <w:sz w:val="18"/>
          <w:vertAlign w:val="baseline"/>
        </w:rPr>
        <w:t>Poverty</w:t>
      </w:r>
      <w:r>
        <w:rPr>
          <w:spacing w:val="-2"/>
          <w:sz w:val="18"/>
          <w:vertAlign w:val="baseline"/>
        </w:rPr>
        <w:t> </w:t>
      </w:r>
      <w:r>
        <w:rPr>
          <w:sz w:val="18"/>
          <w:vertAlign w:val="baseline"/>
        </w:rPr>
        <w:t>in</w:t>
      </w:r>
      <w:r>
        <w:rPr>
          <w:spacing w:val="-2"/>
          <w:sz w:val="18"/>
          <w:vertAlign w:val="baseline"/>
        </w:rPr>
        <w:t> </w:t>
      </w:r>
      <w:r>
        <w:rPr>
          <w:sz w:val="18"/>
          <w:vertAlign w:val="baseline"/>
        </w:rPr>
        <w:t>the</w:t>
      </w:r>
      <w:r>
        <w:rPr>
          <w:spacing w:val="-2"/>
          <w:sz w:val="18"/>
          <w:vertAlign w:val="baseline"/>
        </w:rPr>
        <w:t> </w:t>
      </w:r>
      <w:r>
        <w:rPr>
          <w:sz w:val="18"/>
          <w:vertAlign w:val="baseline"/>
        </w:rPr>
        <w:t>United</w:t>
      </w:r>
      <w:r>
        <w:rPr>
          <w:spacing w:val="-2"/>
          <w:sz w:val="18"/>
          <w:vertAlign w:val="baseline"/>
        </w:rPr>
        <w:t> </w:t>
      </w:r>
      <w:r>
        <w:rPr>
          <w:sz w:val="18"/>
          <w:vertAlign w:val="baseline"/>
        </w:rPr>
        <w:t>States.”</w:t>
      </w:r>
      <w:r>
        <w:rPr>
          <w:spacing w:val="-2"/>
          <w:sz w:val="18"/>
          <w:vertAlign w:val="baseline"/>
        </w:rPr>
        <w:t> </w:t>
      </w:r>
      <w:r>
        <w:rPr>
          <w:sz w:val="18"/>
          <w:vertAlign w:val="baseline"/>
        </w:rPr>
        <w:t>Williams</w:t>
      </w:r>
      <w:r>
        <w:rPr>
          <w:spacing w:val="-2"/>
          <w:sz w:val="18"/>
          <w:vertAlign w:val="baseline"/>
        </w:rPr>
        <w:t> </w:t>
      </w:r>
      <w:r>
        <w:rPr>
          <w:sz w:val="18"/>
          <w:vertAlign w:val="baseline"/>
        </w:rPr>
        <w:t>Institute. October 2019. https://williamsinstitute.law.ucla.edu/publications/lgbt-poverty-us/.</w:t>
      </w:r>
    </w:p>
    <w:p>
      <w:pPr>
        <w:spacing w:line="276" w:lineRule="auto" w:before="0"/>
        <w:ind w:left="463" w:right="228" w:firstLine="2"/>
        <w:jc w:val="left"/>
        <w:rPr>
          <w:sz w:val="18"/>
        </w:rPr>
      </w:pPr>
      <w:r>
        <w:rPr>
          <w:sz w:val="18"/>
          <w:vertAlign w:val="superscript"/>
        </w:rPr>
        <w:t>30</w:t>
      </w:r>
      <w:r>
        <w:rPr>
          <w:spacing w:val="-13"/>
          <w:sz w:val="18"/>
          <w:vertAlign w:val="baseline"/>
        </w:rPr>
        <w:t> </w:t>
      </w:r>
      <w:r>
        <w:rPr>
          <w:color w:val="202020"/>
          <w:sz w:val="18"/>
          <w:vertAlign w:val="baseline"/>
        </w:rPr>
        <w:t>Corliss</w:t>
      </w:r>
      <w:r>
        <w:rPr>
          <w:color w:val="202020"/>
          <w:spacing w:val="-4"/>
          <w:sz w:val="18"/>
          <w:vertAlign w:val="baseline"/>
        </w:rPr>
        <w:t> </w:t>
      </w:r>
      <w:r>
        <w:rPr>
          <w:color w:val="202020"/>
          <w:sz w:val="18"/>
          <w:vertAlign w:val="baseline"/>
        </w:rPr>
        <w:t>HL,</w:t>
      </w:r>
      <w:r>
        <w:rPr>
          <w:color w:val="202020"/>
          <w:spacing w:val="-3"/>
          <w:sz w:val="18"/>
          <w:vertAlign w:val="baseline"/>
        </w:rPr>
        <w:t> </w:t>
      </w:r>
      <w:r>
        <w:rPr>
          <w:color w:val="202020"/>
          <w:sz w:val="18"/>
          <w:vertAlign w:val="baseline"/>
        </w:rPr>
        <w:t>Goodenow</w:t>
      </w:r>
      <w:r>
        <w:rPr>
          <w:color w:val="202020"/>
          <w:spacing w:val="-3"/>
          <w:sz w:val="18"/>
          <w:vertAlign w:val="baseline"/>
        </w:rPr>
        <w:t> </w:t>
      </w:r>
      <w:r>
        <w:rPr>
          <w:color w:val="202020"/>
          <w:sz w:val="18"/>
          <w:vertAlign w:val="baseline"/>
        </w:rPr>
        <w:t>CS,</w:t>
      </w:r>
      <w:r>
        <w:rPr>
          <w:color w:val="202020"/>
          <w:spacing w:val="-3"/>
          <w:sz w:val="18"/>
          <w:vertAlign w:val="baseline"/>
        </w:rPr>
        <w:t> </w:t>
      </w:r>
      <w:r>
        <w:rPr>
          <w:color w:val="202020"/>
          <w:sz w:val="18"/>
          <w:vertAlign w:val="baseline"/>
        </w:rPr>
        <w:t>Nichols</w:t>
      </w:r>
      <w:r>
        <w:rPr>
          <w:color w:val="202020"/>
          <w:spacing w:val="-3"/>
          <w:sz w:val="18"/>
          <w:vertAlign w:val="baseline"/>
        </w:rPr>
        <w:t> </w:t>
      </w:r>
      <w:r>
        <w:rPr>
          <w:color w:val="202020"/>
          <w:sz w:val="18"/>
          <w:vertAlign w:val="baseline"/>
        </w:rPr>
        <w:t>L,</w:t>
      </w:r>
      <w:r>
        <w:rPr>
          <w:color w:val="202020"/>
          <w:spacing w:val="-3"/>
          <w:sz w:val="18"/>
          <w:vertAlign w:val="baseline"/>
        </w:rPr>
        <w:t> </w:t>
      </w:r>
      <w:r>
        <w:rPr>
          <w:color w:val="202020"/>
          <w:sz w:val="18"/>
          <w:vertAlign w:val="baseline"/>
        </w:rPr>
        <w:t>Austin</w:t>
      </w:r>
      <w:r>
        <w:rPr>
          <w:color w:val="202020"/>
          <w:spacing w:val="-3"/>
          <w:sz w:val="18"/>
          <w:vertAlign w:val="baseline"/>
        </w:rPr>
        <w:t> </w:t>
      </w:r>
      <w:r>
        <w:rPr>
          <w:color w:val="202020"/>
          <w:sz w:val="18"/>
          <w:vertAlign w:val="baseline"/>
        </w:rPr>
        <w:t>SB.</w:t>
      </w:r>
      <w:r>
        <w:rPr>
          <w:color w:val="202020"/>
          <w:spacing w:val="-3"/>
          <w:sz w:val="18"/>
          <w:vertAlign w:val="baseline"/>
        </w:rPr>
        <w:t> </w:t>
      </w:r>
      <w:r>
        <w:rPr>
          <w:color w:val="202020"/>
          <w:sz w:val="18"/>
          <w:vertAlign w:val="baseline"/>
        </w:rPr>
        <w:t>High</w:t>
      </w:r>
      <w:r>
        <w:rPr>
          <w:color w:val="202020"/>
          <w:spacing w:val="-3"/>
          <w:sz w:val="18"/>
          <w:vertAlign w:val="baseline"/>
        </w:rPr>
        <w:t> </w:t>
      </w:r>
      <w:r>
        <w:rPr>
          <w:color w:val="202020"/>
          <w:sz w:val="18"/>
          <w:vertAlign w:val="baseline"/>
        </w:rPr>
        <w:t>burden</w:t>
      </w:r>
      <w:r>
        <w:rPr>
          <w:color w:val="202020"/>
          <w:spacing w:val="-3"/>
          <w:sz w:val="18"/>
          <w:vertAlign w:val="baseline"/>
        </w:rPr>
        <w:t> </w:t>
      </w:r>
      <w:r>
        <w:rPr>
          <w:color w:val="202020"/>
          <w:sz w:val="18"/>
          <w:vertAlign w:val="baseline"/>
        </w:rPr>
        <w:t>of</w:t>
      </w:r>
      <w:r>
        <w:rPr>
          <w:color w:val="202020"/>
          <w:spacing w:val="-3"/>
          <w:sz w:val="18"/>
          <w:vertAlign w:val="baseline"/>
        </w:rPr>
        <w:t> </w:t>
      </w:r>
      <w:r>
        <w:rPr>
          <w:color w:val="202020"/>
          <w:sz w:val="18"/>
          <w:vertAlign w:val="baseline"/>
        </w:rPr>
        <w:t>homelessness</w:t>
      </w:r>
      <w:r>
        <w:rPr>
          <w:color w:val="202020"/>
          <w:spacing w:val="-3"/>
          <w:sz w:val="18"/>
          <w:vertAlign w:val="baseline"/>
        </w:rPr>
        <w:t> </w:t>
      </w:r>
      <w:r>
        <w:rPr>
          <w:color w:val="202020"/>
          <w:sz w:val="18"/>
          <w:vertAlign w:val="baseline"/>
        </w:rPr>
        <w:t>among</w:t>
      </w:r>
      <w:r>
        <w:rPr>
          <w:color w:val="202020"/>
          <w:spacing w:val="-3"/>
          <w:sz w:val="18"/>
          <w:vertAlign w:val="baseline"/>
        </w:rPr>
        <w:t> </w:t>
      </w:r>
      <w:r>
        <w:rPr>
          <w:color w:val="202020"/>
          <w:sz w:val="18"/>
          <w:vertAlign w:val="baseline"/>
        </w:rPr>
        <w:t>sexual-minority</w:t>
      </w:r>
      <w:r>
        <w:rPr>
          <w:color w:val="202020"/>
          <w:spacing w:val="-3"/>
          <w:sz w:val="18"/>
          <w:vertAlign w:val="baseline"/>
        </w:rPr>
        <w:t> </w:t>
      </w:r>
      <w:r>
        <w:rPr>
          <w:color w:val="202020"/>
          <w:sz w:val="18"/>
          <w:vertAlign w:val="baseline"/>
        </w:rPr>
        <w:t>adolescents:</w:t>
      </w:r>
      <w:r>
        <w:rPr>
          <w:color w:val="202020"/>
          <w:spacing w:val="-3"/>
          <w:sz w:val="18"/>
          <w:vertAlign w:val="baseline"/>
        </w:rPr>
        <w:t> </w:t>
      </w:r>
      <w:r>
        <w:rPr>
          <w:color w:val="202020"/>
          <w:sz w:val="18"/>
          <w:vertAlign w:val="baseline"/>
        </w:rPr>
        <w:t>findings from a representative Massachusetts high school sample. Am J Public Health. 2011 Sep;101(9):1683-9. doi: 10.2105/AJPH.2011.300155. Epub 2011 Jul 21. PMID: 21778481; PMCID: PMC3154237.</w:t>
      </w:r>
    </w:p>
    <w:p>
      <w:pPr>
        <w:spacing w:line="276" w:lineRule="auto" w:before="0"/>
        <w:ind w:left="463" w:right="405" w:firstLine="0"/>
        <w:jc w:val="left"/>
        <w:rPr>
          <w:sz w:val="18"/>
        </w:rPr>
      </w:pPr>
      <w:r>
        <w:rPr>
          <w:sz w:val="18"/>
          <w:vertAlign w:val="superscript"/>
        </w:rPr>
        <w:t>31</w:t>
      </w:r>
      <w:r>
        <w:rPr>
          <w:spacing w:val="-13"/>
          <w:sz w:val="18"/>
          <w:vertAlign w:val="baseline"/>
        </w:rPr>
        <w:t> </w:t>
      </w:r>
      <w:r>
        <w:rPr>
          <w:color w:val="202020"/>
          <w:sz w:val="18"/>
          <w:vertAlign w:val="baseline"/>
        </w:rPr>
        <w:t>Craig</w:t>
      </w:r>
      <w:r>
        <w:rPr>
          <w:color w:val="202020"/>
          <w:spacing w:val="-3"/>
          <w:sz w:val="18"/>
          <w:vertAlign w:val="baseline"/>
        </w:rPr>
        <w:t> </w:t>
      </w:r>
      <w:r>
        <w:rPr>
          <w:color w:val="202020"/>
          <w:sz w:val="18"/>
          <w:vertAlign w:val="baseline"/>
        </w:rPr>
        <w:t>SL,</w:t>
      </w:r>
      <w:r>
        <w:rPr>
          <w:color w:val="202020"/>
          <w:spacing w:val="-3"/>
          <w:sz w:val="18"/>
          <w:vertAlign w:val="baseline"/>
        </w:rPr>
        <w:t> </w:t>
      </w:r>
      <w:r>
        <w:rPr>
          <w:color w:val="202020"/>
          <w:sz w:val="18"/>
          <w:vertAlign w:val="baseline"/>
        </w:rPr>
        <w:t>Austin</w:t>
      </w:r>
      <w:r>
        <w:rPr>
          <w:color w:val="202020"/>
          <w:spacing w:val="-2"/>
          <w:sz w:val="18"/>
          <w:vertAlign w:val="baseline"/>
        </w:rPr>
        <w:t> </w:t>
      </w:r>
      <w:r>
        <w:rPr>
          <w:color w:val="202020"/>
          <w:sz w:val="18"/>
          <w:vertAlign w:val="baseline"/>
        </w:rPr>
        <w:t>A,</w:t>
      </w:r>
      <w:r>
        <w:rPr>
          <w:color w:val="202020"/>
          <w:spacing w:val="-3"/>
          <w:sz w:val="18"/>
          <w:vertAlign w:val="baseline"/>
        </w:rPr>
        <w:t> </w:t>
      </w:r>
      <w:r>
        <w:rPr>
          <w:color w:val="202020"/>
          <w:sz w:val="18"/>
          <w:vertAlign w:val="baseline"/>
        </w:rPr>
        <w:t>Levenson</w:t>
      </w:r>
      <w:r>
        <w:rPr>
          <w:color w:val="202020"/>
          <w:spacing w:val="-2"/>
          <w:sz w:val="18"/>
          <w:vertAlign w:val="baseline"/>
        </w:rPr>
        <w:t> </w:t>
      </w:r>
      <w:r>
        <w:rPr>
          <w:color w:val="202020"/>
          <w:sz w:val="18"/>
          <w:vertAlign w:val="baseline"/>
        </w:rPr>
        <w:t>J,</w:t>
      </w:r>
      <w:r>
        <w:rPr>
          <w:color w:val="202020"/>
          <w:spacing w:val="-4"/>
          <w:sz w:val="18"/>
          <w:vertAlign w:val="baseline"/>
        </w:rPr>
        <w:t> </w:t>
      </w:r>
      <w:r>
        <w:rPr>
          <w:color w:val="202020"/>
          <w:sz w:val="18"/>
          <w:vertAlign w:val="baseline"/>
        </w:rPr>
        <w:t>Leung</w:t>
      </w:r>
      <w:r>
        <w:rPr>
          <w:color w:val="202020"/>
          <w:spacing w:val="-2"/>
          <w:sz w:val="18"/>
          <w:vertAlign w:val="baseline"/>
        </w:rPr>
        <w:t> </w:t>
      </w:r>
      <w:r>
        <w:rPr>
          <w:color w:val="202020"/>
          <w:sz w:val="18"/>
          <w:vertAlign w:val="baseline"/>
        </w:rPr>
        <w:t>VWY,</w:t>
      </w:r>
      <w:r>
        <w:rPr>
          <w:color w:val="202020"/>
          <w:spacing w:val="-3"/>
          <w:sz w:val="18"/>
          <w:vertAlign w:val="baseline"/>
        </w:rPr>
        <w:t> </w:t>
      </w:r>
      <w:r>
        <w:rPr>
          <w:color w:val="202020"/>
          <w:sz w:val="18"/>
          <w:vertAlign w:val="baseline"/>
        </w:rPr>
        <w:t>Eaton</w:t>
      </w:r>
      <w:r>
        <w:rPr>
          <w:color w:val="202020"/>
          <w:spacing w:val="-2"/>
          <w:sz w:val="18"/>
          <w:vertAlign w:val="baseline"/>
        </w:rPr>
        <w:t> </w:t>
      </w:r>
      <w:r>
        <w:rPr>
          <w:color w:val="202020"/>
          <w:sz w:val="18"/>
          <w:vertAlign w:val="baseline"/>
        </w:rPr>
        <w:t>AD,</w:t>
      </w:r>
      <w:r>
        <w:rPr>
          <w:color w:val="202020"/>
          <w:spacing w:val="-3"/>
          <w:sz w:val="18"/>
          <w:vertAlign w:val="baseline"/>
        </w:rPr>
        <w:t> </w:t>
      </w:r>
      <w:r>
        <w:rPr>
          <w:color w:val="202020"/>
          <w:sz w:val="18"/>
          <w:vertAlign w:val="baseline"/>
        </w:rPr>
        <w:t>D'Souza</w:t>
      </w:r>
      <w:r>
        <w:rPr>
          <w:color w:val="202020"/>
          <w:spacing w:val="-2"/>
          <w:sz w:val="18"/>
          <w:vertAlign w:val="baseline"/>
        </w:rPr>
        <w:t> </w:t>
      </w:r>
      <w:r>
        <w:rPr>
          <w:color w:val="202020"/>
          <w:sz w:val="18"/>
          <w:vertAlign w:val="baseline"/>
        </w:rPr>
        <w:t>SA.</w:t>
      </w:r>
      <w:r>
        <w:rPr>
          <w:color w:val="202020"/>
          <w:spacing w:val="-2"/>
          <w:sz w:val="18"/>
          <w:vertAlign w:val="baseline"/>
        </w:rPr>
        <w:t> </w:t>
      </w:r>
      <w:r>
        <w:rPr>
          <w:color w:val="202020"/>
          <w:sz w:val="18"/>
          <w:vertAlign w:val="baseline"/>
        </w:rPr>
        <w:t>Frequencies</w:t>
      </w:r>
      <w:r>
        <w:rPr>
          <w:color w:val="202020"/>
          <w:spacing w:val="-3"/>
          <w:sz w:val="18"/>
          <w:vertAlign w:val="baseline"/>
        </w:rPr>
        <w:t> </w:t>
      </w:r>
      <w:r>
        <w:rPr>
          <w:color w:val="202020"/>
          <w:sz w:val="18"/>
          <w:vertAlign w:val="baseline"/>
        </w:rPr>
        <w:t>and</w:t>
      </w:r>
      <w:r>
        <w:rPr>
          <w:color w:val="202020"/>
          <w:spacing w:val="-2"/>
          <w:sz w:val="18"/>
          <w:vertAlign w:val="baseline"/>
        </w:rPr>
        <w:t> </w:t>
      </w:r>
      <w:r>
        <w:rPr>
          <w:color w:val="202020"/>
          <w:sz w:val="18"/>
          <w:vertAlign w:val="baseline"/>
        </w:rPr>
        <w:t>patterns</w:t>
      </w:r>
      <w:r>
        <w:rPr>
          <w:color w:val="202020"/>
          <w:spacing w:val="-2"/>
          <w:sz w:val="18"/>
          <w:vertAlign w:val="baseline"/>
        </w:rPr>
        <w:t> </w:t>
      </w:r>
      <w:r>
        <w:rPr>
          <w:color w:val="202020"/>
          <w:sz w:val="18"/>
          <w:vertAlign w:val="baseline"/>
        </w:rPr>
        <w:t>of</w:t>
      </w:r>
      <w:r>
        <w:rPr>
          <w:color w:val="202020"/>
          <w:spacing w:val="-3"/>
          <w:sz w:val="18"/>
          <w:vertAlign w:val="baseline"/>
        </w:rPr>
        <w:t> </w:t>
      </w:r>
      <w:r>
        <w:rPr>
          <w:color w:val="202020"/>
          <w:sz w:val="18"/>
          <w:vertAlign w:val="baseline"/>
        </w:rPr>
        <w:t>adverse</w:t>
      </w:r>
      <w:r>
        <w:rPr>
          <w:color w:val="202020"/>
          <w:spacing w:val="-2"/>
          <w:sz w:val="18"/>
          <w:vertAlign w:val="baseline"/>
        </w:rPr>
        <w:t> </w:t>
      </w:r>
      <w:r>
        <w:rPr>
          <w:color w:val="202020"/>
          <w:sz w:val="18"/>
          <w:vertAlign w:val="baseline"/>
        </w:rPr>
        <w:t>childhood</w:t>
      </w:r>
      <w:r>
        <w:rPr>
          <w:color w:val="202020"/>
          <w:spacing w:val="-2"/>
          <w:sz w:val="18"/>
          <w:vertAlign w:val="baseline"/>
        </w:rPr>
        <w:t> </w:t>
      </w:r>
      <w:r>
        <w:rPr>
          <w:color w:val="202020"/>
          <w:sz w:val="18"/>
          <w:vertAlign w:val="baseline"/>
        </w:rPr>
        <w:t>events in LGBTQ youth. Child Abuse Negl. 2020 Sep;107:104623. doi: 10.1016/j.chiabu.2020.104623. Epub 2020 Jul 16. PMID: 32682145. </w:t>
      </w:r>
      <w:r>
        <w:rPr>
          <w:sz w:val="18"/>
          <w:vertAlign w:val="superscript"/>
        </w:rPr>
        <w:t>32</w:t>
      </w:r>
      <w:r>
        <w:rPr>
          <w:spacing w:val="-9"/>
          <w:sz w:val="18"/>
          <w:vertAlign w:val="baseline"/>
        </w:rPr>
        <w:t> </w:t>
      </w:r>
      <w:r>
        <w:rPr>
          <w:color w:val="333333"/>
          <w:sz w:val="18"/>
          <w:vertAlign w:val="baseline"/>
        </w:rPr>
        <w:t>Almeida, J., Johnson, R.M., Corliss, H.L. </w:t>
      </w:r>
      <w:r>
        <w:rPr>
          <w:i/>
          <w:color w:val="333333"/>
          <w:sz w:val="18"/>
          <w:vertAlign w:val="baseline"/>
        </w:rPr>
        <w:t>et al. </w:t>
      </w:r>
      <w:r>
        <w:rPr>
          <w:color w:val="333333"/>
          <w:sz w:val="18"/>
          <w:vertAlign w:val="baseline"/>
        </w:rPr>
        <w:t>Emotional Distress Among LGBT Youth: The Influence of Perceived Discrimination Based on Sexual Orientation. </w:t>
      </w:r>
      <w:r>
        <w:rPr>
          <w:i/>
          <w:color w:val="333333"/>
          <w:sz w:val="18"/>
          <w:vertAlign w:val="baseline"/>
        </w:rPr>
        <w:t>J Youth Adolescence </w:t>
      </w:r>
      <w:r>
        <w:rPr>
          <w:color w:val="333333"/>
          <w:sz w:val="18"/>
          <w:vertAlign w:val="baseline"/>
        </w:rPr>
        <w:t>38, 1001–1014 (2009). https://doi.org/10.1007/s10964-009- 9397-9</w:t>
      </w:r>
    </w:p>
    <w:p>
      <w:pPr>
        <w:spacing w:line="276" w:lineRule="auto" w:before="0"/>
        <w:ind w:left="464" w:right="318" w:firstLine="0"/>
        <w:jc w:val="left"/>
        <w:rPr>
          <w:sz w:val="18"/>
        </w:rPr>
      </w:pPr>
      <w:r>
        <w:rPr>
          <w:sz w:val="18"/>
          <w:vertAlign w:val="superscript"/>
        </w:rPr>
        <w:t>33</w:t>
      </w:r>
      <w:r>
        <w:rPr>
          <w:spacing w:val="-13"/>
          <w:sz w:val="18"/>
          <w:vertAlign w:val="baseline"/>
        </w:rPr>
        <w:t> </w:t>
      </w:r>
      <w:r>
        <w:rPr>
          <w:sz w:val="18"/>
          <w:vertAlign w:val="baseline"/>
        </w:rPr>
        <w:t>Meyer,</w:t>
      </w:r>
      <w:r>
        <w:rPr>
          <w:spacing w:val="-1"/>
          <w:sz w:val="18"/>
          <w:vertAlign w:val="baseline"/>
        </w:rPr>
        <w:t> </w:t>
      </w:r>
      <w:r>
        <w:rPr>
          <w:sz w:val="18"/>
          <w:vertAlign w:val="baseline"/>
        </w:rPr>
        <w:t>Ilan H. 2003. “Prejudice,</w:t>
      </w:r>
      <w:r>
        <w:rPr>
          <w:spacing w:val="-1"/>
          <w:sz w:val="18"/>
          <w:vertAlign w:val="baseline"/>
        </w:rPr>
        <w:t> </w:t>
      </w:r>
      <w:r>
        <w:rPr>
          <w:sz w:val="18"/>
          <w:vertAlign w:val="baseline"/>
        </w:rPr>
        <w:t>Social</w:t>
      </w:r>
      <w:r>
        <w:rPr>
          <w:spacing w:val="-1"/>
          <w:sz w:val="18"/>
          <w:vertAlign w:val="baseline"/>
        </w:rPr>
        <w:t> </w:t>
      </w:r>
      <w:r>
        <w:rPr>
          <w:sz w:val="18"/>
          <w:vertAlign w:val="baseline"/>
        </w:rPr>
        <w:t>Stress,</w:t>
      </w:r>
      <w:r>
        <w:rPr>
          <w:spacing w:val="-1"/>
          <w:sz w:val="18"/>
          <w:vertAlign w:val="baseline"/>
        </w:rPr>
        <w:t> </w:t>
      </w:r>
      <w:r>
        <w:rPr>
          <w:sz w:val="18"/>
          <w:vertAlign w:val="baseline"/>
        </w:rPr>
        <w:t>and Mental</w:t>
      </w:r>
      <w:r>
        <w:rPr>
          <w:spacing w:val="-1"/>
          <w:sz w:val="18"/>
          <w:vertAlign w:val="baseline"/>
        </w:rPr>
        <w:t> </w:t>
      </w:r>
      <w:r>
        <w:rPr>
          <w:sz w:val="18"/>
          <w:vertAlign w:val="baseline"/>
        </w:rPr>
        <w:t>Health in Lesbian,</w:t>
      </w:r>
      <w:r>
        <w:rPr>
          <w:spacing w:val="-1"/>
          <w:sz w:val="18"/>
          <w:vertAlign w:val="baseline"/>
        </w:rPr>
        <w:t> </w:t>
      </w:r>
      <w:r>
        <w:rPr>
          <w:sz w:val="18"/>
          <w:vertAlign w:val="baseline"/>
        </w:rPr>
        <w:t>Gay,</w:t>
      </w:r>
      <w:r>
        <w:rPr>
          <w:spacing w:val="-1"/>
          <w:sz w:val="18"/>
          <w:vertAlign w:val="baseline"/>
        </w:rPr>
        <w:t> </w:t>
      </w:r>
      <w:r>
        <w:rPr>
          <w:sz w:val="18"/>
          <w:vertAlign w:val="baseline"/>
        </w:rPr>
        <w:t>and Bisexual</w:t>
      </w:r>
      <w:r>
        <w:rPr>
          <w:spacing w:val="-2"/>
          <w:sz w:val="18"/>
          <w:vertAlign w:val="baseline"/>
        </w:rPr>
        <w:t> </w:t>
      </w:r>
      <w:r>
        <w:rPr>
          <w:sz w:val="18"/>
          <w:vertAlign w:val="baseline"/>
        </w:rPr>
        <w:t>Populations: Conceptual Issues and Research Evidence.” </w:t>
      </w:r>
      <w:r>
        <w:rPr>
          <w:i/>
          <w:sz w:val="18"/>
          <w:vertAlign w:val="baseline"/>
        </w:rPr>
        <w:t>Psychological Bulletin </w:t>
      </w:r>
      <w:r>
        <w:rPr>
          <w:sz w:val="18"/>
          <w:vertAlign w:val="baseline"/>
        </w:rPr>
        <w:t>129 (5): 674–97. https://doi.org/10.1037/0033-2909.129.5.674. </w:t>
      </w:r>
      <w:r>
        <w:rPr>
          <w:sz w:val="18"/>
          <w:vertAlign w:val="superscript"/>
        </w:rPr>
        <w:t>34</w:t>
      </w:r>
      <w:r>
        <w:rPr>
          <w:sz w:val="18"/>
          <w:vertAlign w:val="baseline"/>
        </w:rPr>
        <w:t> Earnshaw, V. A., D. D. Menino, L. M. Sava, J. Perrotti, T. N. Barnes, D. L. Humphrey, and S. L. Reisner. “LGBTQ Bullying: A Qualitative</w:t>
      </w:r>
      <w:r>
        <w:rPr>
          <w:spacing w:val="-2"/>
          <w:sz w:val="18"/>
          <w:vertAlign w:val="baseline"/>
        </w:rPr>
        <w:t> </w:t>
      </w:r>
      <w:r>
        <w:rPr>
          <w:sz w:val="18"/>
          <w:vertAlign w:val="baseline"/>
        </w:rPr>
        <w:t>Investigation</w:t>
      </w:r>
      <w:r>
        <w:rPr>
          <w:spacing w:val="-2"/>
          <w:sz w:val="18"/>
          <w:vertAlign w:val="baseline"/>
        </w:rPr>
        <w:t> </w:t>
      </w:r>
      <w:r>
        <w:rPr>
          <w:sz w:val="18"/>
          <w:vertAlign w:val="baseline"/>
        </w:rPr>
        <w:t>of</w:t>
      </w:r>
      <w:r>
        <w:rPr>
          <w:spacing w:val="-2"/>
          <w:sz w:val="18"/>
          <w:vertAlign w:val="baseline"/>
        </w:rPr>
        <w:t> </w:t>
      </w:r>
      <w:r>
        <w:rPr>
          <w:sz w:val="18"/>
          <w:vertAlign w:val="baseline"/>
        </w:rPr>
        <w:t>Student</w:t>
      </w:r>
      <w:r>
        <w:rPr>
          <w:spacing w:val="-3"/>
          <w:sz w:val="18"/>
          <w:vertAlign w:val="baseline"/>
        </w:rPr>
        <w:t> </w:t>
      </w:r>
      <w:r>
        <w:rPr>
          <w:sz w:val="18"/>
          <w:vertAlign w:val="baseline"/>
        </w:rPr>
        <w:t>and</w:t>
      </w:r>
      <w:r>
        <w:rPr>
          <w:spacing w:val="-2"/>
          <w:sz w:val="18"/>
          <w:vertAlign w:val="baseline"/>
        </w:rPr>
        <w:t> </w:t>
      </w:r>
      <w:r>
        <w:rPr>
          <w:sz w:val="18"/>
          <w:vertAlign w:val="baseline"/>
        </w:rPr>
        <w:t>School</w:t>
      </w:r>
      <w:r>
        <w:rPr>
          <w:spacing w:val="-3"/>
          <w:sz w:val="18"/>
          <w:vertAlign w:val="baseline"/>
        </w:rPr>
        <w:t> </w:t>
      </w:r>
      <w:r>
        <w:rPr>
          <w:sz w:val="18"/>
          <w:vertAlign w:val="baseline"/>
        </w:rPr>
        <w:t>Health</w:t>
      </w:r>
      <w:r>
        <w:rPr>
          <w:spacing w:val="-2"/>
          <w:sz w:val="18"/>
          <w:vertAlign w:val="baseline"/>
        </w:rPr>
        <w:t> </w:t>
      </w:r>
      <w:r>
        <w:rPr>
          <w:sz w:val="18"/>
          <w:vertAlign w:val="baseline"/>
        </w:rPr>
        <w:t>Professional</w:t>
      </w:r>
      <w:r>
        <w:rPr>
          <w:spacing w:val="-3"/>
          <w:sz w:val="18"/>
          <w:vertAlign w:val="baseline"/>
        </w:rPr>
        <w:t> </w:t>
      </w:r>
      <w:r>
        <w:rPr>
          <w:sz w:val="18"/>
          <w:vertAlign w:val="baseline"/>
        </w:rPr>
        <w:t>Perspectives.”</w:t>
      </w:r>
      <w:r>
        <w:rPr>
          <w:spacing w:val="-3"/>
          <w:sz w:val="18"/>
          <w:vertAlign w:val="baseline"/>
        </w:rPr>
        <w:t> </w:t>
      </w:r>
      <w:r>
        <w:rPr>
          <w:i/>
          <w:sz w:val="18"/>
          <w:vertAlign w:val="baseline"/>
        </w:rPr>
        <w:t>Journal</w:t>
      </w:r>
      <w:r>
        <w:rPr>
          <w:i/>
          <w:spacing w:val="-3"/>
          <w:sz w:val="18"/>
          <w:vertAlign w:val="baseline"/>
        </w:rPr>
        <w:t> </w:t>
      </w:r>
      <w:r>
        <w:rPr>
          <w:i/>
          <w:sz w:val="18"/>
          <w:vertAlign w:val="baseline"/>
        </w:rPr>
        <w:t>of</w:t>
      </w:r>
      <w:r>
        <w:rPr>
          <w:i/>
          <w:spacing w:val="-2"/>
          <w:sz w:val="18"/>
          <w:vertAlign w:val="baseline"/>
        </w:rPr>
        <w:t> </w:t>
      </w:r>
      <w:r>
        <w:rPr>
          <w:i/>
          <w:sz w:val="18"/>
          <w:vertAlign w:val="baseline"/>
        </w:rPr>
        <w:t>LGBT</w:t>
      </w:r>
      <w:r>
        <w:rPr>
          <w:i/>
          <w:spacing w:val="-2"/>
          <w:sz w:val="18"/>
          <w:vertAlign w:val="baseline"/>
        </w:rPr>
        <w:t> </w:t>
      </w:r>
      <w:r>
        <w:rPr>
          <w:i/>
          <w:sz w:val="18"/>
          <w:vertAlign w:val="baseline"/>
        </w:rPr>
        <w:t>Youth</w:t>
      </w:r>
      <w:r>
        <w:rPr>
          <w:i/>
          <w:spacing w:val="-3"/>
          <w:sz w:val="18"/>
          <w:vertAlign w:val="baseline"/>
        </w:rPr>
        <w:t> </w:t>
      </w:r>
      <w:r>
        <w:rPr>
          <w:sz w:val="18"/>
          <w:vertAlign w:val="baseline"/>
        </w:rPr>
        <w:t>17,</w:t>
      </w:r>
      <w:r>
        <w:rPr>
          <w:spacing w:val="-3"/>
          <w:sz w:val="18"/>
          <w:vertAlign w:val="baseline"/>
        </w:rPr>
        <w:t> </w:t>
      </w:r>
      <w:r>
        <w:rPr>
          <w:sz w:val="18"/>
          <w:vertAlign w:val="baseline"/>
        </w:rPr>
        <w:t>no.</w:t>
      </w:r>
      <w:r>
        <w:rPr>
          <w:spacing w:val="-2"/>
          <w:sz w:val="18"/>
          <w:vertAlign w:val="baseline"/>
        </w:rPr>
        <w:t> </w:t>
      </w:r>
      <w:r>
        <w:rPr>
          <w:sz w:val="18"/>
          <w:vertAlign w:val="baseline"/>
        </w:rPr>
        <w:t>3</w:t>
      </w:r>
      <w:r>
        <w:rPr>
          <w:spacing w:val="-2"/>
          <w:sz w:val="18"/>
          <w:vertAlign w:val="baseline"/>
        </w:rPr>
        <w:t> </w:t>
      </w:r>
      <w:r>
        <w:rPr>
          <w:sz w:val="18"/>
          <w:vertAlign w:val="baseline"/>
        </w:rPr>
        <w:t>(2019): 280– 97. https://doi.org/10.1080/19361653.2019.1653808.</w:t>
      </w:r>
    </w:p>
    <w:p>
      <w:pPr>
        <w:spacing w:line="276" w:lineRule="auto" w:before="0"/>
        <w:ind w:left="464" w:right="257" w:hanging="1"/>
        <w:jc w:val="left"/>
        <w:rPr>
          <w:sz w:val="18"/>
        </w:rPr>
      </w:pPr>
      <w:r>
        <w:rPr>
          <w:sz w:val="18"/>
          <w:vertAlign w:val="superscript"/>
        </w:rPr>
        <w:t>35</w:t>
      </w:r>
      <w:r>
        <w:rPr>
          <w:spacing w:val="-9"/>
          <w:sz w:val="18"/>
          <w:vertAlign w:val="baseline"/>
        </w:rPr>
        <w:t> </w:t>
      </w:r>
      <w:r>
        <w:rPr>
          <w:color w:val="202020"/>
          <w:sz w:val="18"/>
          <w:vertAlign w:val="baseline"/>
        </w:rPr>
        <w:t>Sava LM, Earnshaw VA, Menino DD, Perrotti J, Reisner SL. LGBTQ Student Health: A Mixed-Methods Study of Unmet</w:t>
      </w:r>
      <w:r>
        <w:rPr>
          <w:color w:val="202020"/>
          <w:sz w:val="18"/>
          <w:vertAlign w:val="baseline"/>
        </w:rPr>
        <w:t> Needs in Massachusetts Schools. J Sch Health. 2021 Nov;91(11):894-905. doi: 10.1111/josh.13082. Epub 2021 Sep 22.</w:t>
      </w:r>
      <w:r>
        <w:rPr>
          <w:color w:val="202020"/>
          <w:spacing w:val="40"/>
          <w:sz w:val="18"/>
          <w:vertAlign w:val="baseline"/>
        </w:rPr>
        <w:t> </w:t>
      </w:r>
      <w:r>
        <w:rPr>
          <w:color w:val="202020"/>
          <w:sz w:val="18"/>
          <w:vertAlign w:val="baseline"/>
        </w:rPr>
        <w:t>PMID: 34553384. </w:t>
      </w:r>
      <w:r>
        <w:rPr>
          <w:sz w:val="18"/>
          <w:vertAlign w:val="superscript"/>
        </w:rPr>
        <w:t>36</w:t>
      </w:r>
      <w:r>
        <w:rPr>
          <w:spacing w:val="-9"/>
          <w:sz w:val="18"/>
          <w:vertAlign w:val="baseline"/>
        </w:rPr>
        <w:t> </w:t>
      </w:r>
      <w:r>
        <w:rPr>
          <w:sz w:val="18"/>
          <w:vertAlign w:val="baseline"/>
        </w:rPr>
        <w:t>Paceley, Megan S., Jessica N. Fish, Aaron Conrad, and Nikolaus Schuetz. 2019. “Diverse Community Contexts</w:t>
      </w:r>
      <w:r>
        <w:rPr>
          <w:spacing w:val="-3"/>
          <w:sz w:val="18"/>
          <w:vertAlign w:val="baseline"/>
        </w:rPr>
        <w:t> </w:t>
      </w:r>
      <w:r>
        <w:rPr>
          <w:sz w:val="18"/>
          <w:vertAlign w:val="baseline"/>
        </w:rPr>
        <w:t>and</w:t>
      </w:r>
      <w:r>
        <w:rPr>
          <w:spacing w:val="-3"/>
          <w:sz w:val="18"/>
          <w:vertAlign w:val="baseline"/>
        </w:rPr>
        <w:t> </w:t>
      </w:r>
      <w:r>
        <w:rPr>
          <w:sz w:val="18"/>
          <w:vertAlign w:val="baseline"/>
        </w:rPr>
        <w:t>Community</w:t>
      </w:r>
      <w:r>
        <w:rPr>
          <w:spacing w:val="-3"/>
          <w:sz w:val="18"/>
          <w:vertAlign w:val="baseline"/>
        </w:rPr>
        <w:t> </w:t>
      </w:r>
      <w:r>
        <w:rPr>
          <w:sz w:val="18"/>
          <w:vertAlign w:val="baseline"/>
        </w:rPr>
        <w:t>Resources</w:t>
      </w:r>
      <w:r>
        <w:rPr>
          <w:spacing w:val="-3"/>
          <w:sz w:val="18"/>
          <w:vertAlign w:val="baseline"/>
        </w:rPr>
        <w:t> </w:t>
      </w:r>
      <w:r>
        <w:rPr>
          <w:sz w:val="18"/>
          <w:vertAlign w:val="baseline"/>
        </w:rPr>
        <w:t>for</w:t>
      </w:r>
      <w:r>
        <w:rPr>
          <w:spacing w:val="-4"/>
          <w:sz w:val="18"/>
          <w:vertAlign w:val="baseline"/>
        </w:rPr>
        <w:t> </w:t>
      </w:r>
      <w:r>
        <w:rPr>
          <w:sz w:val="18"/>
          <w:vertAlign w:val="baseline"/>
        </w:rPr>
        <w:t>Sexual</w:t>
      </w:r>
      <w:r>
        <w:rPr>
          <w:spacing w:val="-4"/>
          <w:sz w:val="18"/>
          <w:vertAlign w:val="baseline"/>
        </w:rPr>
        <w:t> </w:t>
      </w:r>
      <w:r>
        <w:rPr>
          <w:sz w:val="18"/>
          <w:vertAlign w:val="baseline"/>
        </w:rPr>
        <w:t>and</w:t>
      </w:r>
      <w:r>
        <w:rPr>
          <w:spacing w:val="-3"/>
          <w:sz w:val="18"/>
          <w:vertAlign w:val="baseline"/>
        </w:rPr>
        <w:t> </w:t>
      </w:r>
      <w:r>
        <w:rPr>
          <w:sz w:val="18"/>
          <w:vertAlign w:val="baseline"/>
        </w:rPr>
        <w:t>Gender</w:t>
      </w:r>
      <w:r>
        <w:rPr>
          <w:spacing w:val="-4"/>
          <w:sz w:val="18"/>
          <w:vertAlign w:val="baseline"/>
        </w:rPr>
        <w:t> </w:t>
      </w:r>
      <w:r>
        <w:rPr>
          <w:sz w:val="18"/>
          <w:vertAlign w:val="baseline"/>
        </w:rPr>
        <w:t>Minority</w:t>
      </w:r>
      <w:r>
        <w:rPr>
          <w:spacing w:val="-3"/>
          <w:sz w:val="18"/>
          <w:vertAlign w:val="baseline"/>
        </w:rPr>
        <w:t> </w:t>
      </w:r>
      <w:r>
        <w:rPr>
          <w:sz w:val="18"/>
          <w:vertAlign w:val="baseline"/>
        </w:rPr>
        <w:t>Youth:</w:t>
      </w:r>
      <w:r>
        <w:rPr>
          <w:spacing w:val="-3"/>
          <w:sz w:val="18"/>
          <w:vertAlign w:val="baseline"/>
        </w:rPr>
        <w:t> </w:t>
      </w:r>
      <w:r>
        <w:rPr>
          <w:sz w:val="18"/>
          <w:vertAlign w:val="baseline"/>
        </w:rPr>
        <w:t>A</w:t>
      </w:r>
      <w:r>
        <w:rPr>
          <w:spacing w:val="-3"/>
          <w:sz w:val="18"/>
          <w:vertAlign w:val="baseline"/>
        </w:rPr>
        <w:t> </w:t>
      </w:r>
      <w:r>
        <w:rPr>
          <w:sz w:val="18"/>
          <w:vertAlign w:val="baseline"/>
        </w:rPr>
        <w:t>Mixed-Methods</w:t>
      </w:r>
      <w:r>
        <w:rPr>
          <w:spacing w:val="-3"/>
          <w:sz w:val="18"/>
          <w:vertAlign w:val="baseline"/>
        </w:rPr>
        <w:t> </w:t>
      </w:r>
      <w:r>
        <w:rPr>
          <w:sz w:val="18"/>
          <w:vertAlign w:val="baseline"/>
        </w:rPr>
        <w:t>Study.”</w:t>
      </w:r>
      <w:r>
        <w:rPr>
          <w:spacing w:val="-3"/>
          <w:sz w:val="18"/>
          <w:vertAlign w:val="baseline"/>
        </w:rPr>
        <w:t> </w:t>
      </w:r>
      <w:r>
        <w:rPr>
          <w:i/>
          <w:sz w:val="18"/>
          <w:vertAlign w:val="baseline"/>
        </w:rPr>
        <w:t>Journal</w:t>
      </w:r>
      <w:r>
        <w:rPr>
          <w:i/>
          <w:spacing w:val="-4"/>
          <w:sz w:val="18"/>
          <w:vertAlign w:val="baseline"/>
        </w:rPr>
        <w:t> </w:t>
      </w:r>
      <w:r>
        <w:rPr>
          <w:i/>
          <w:sz w:val="18"/>
          <w:vertAlign w:val="baseline"/>
        </w:rPr>
        <w:t>of</w:t>
      </w:r>
      <w:r>
        <w:rPr>
          <w:i/>
          <w:spacing w:val="-3"/>
          <w:sz w:val="18"/>
          <w:vertAlign w:val="baseline"/>
        </w:rPr>
        <w:t> </w:t>
      </w:r>
      <w:r>
        <w:rPr>
          <w:i/>
          <w:sz w:val="18"/>
          <w:vertAlign w:val="baseline"/>
        </w:rPr>
        <w:t>Community</w:t>
      </w:r>
      <w:r>
        <w:rPr>
          <w:i/>
          <w:sz w:val="18"/>
          <w:vertAlign w:val="baseline"/>
        </w:rPr>
        <w:t> &amp; Applied Social Psychology </w:t>
      </w:r>
      <w:r>
        <w:rPr>
          <w:sz w:val="18"/>
          <w:vertAlign w:val="baseline"/>
        </w:rPr>
        <w:t>29 (6): 445–60. https://doi.org/10.1002/casp.2417.</w:t>
      </w:r>
    </w:p>
    <w:p>
      <w:pPr>
        <w:spacing w:line="276" w:lineRule="auto" w:before="0"/>
        <w:ind w:left="464" w:right="318" w:firstLine="4"/>
        <w:jc w:val="left"/>
        <w:rPr>
          <w:sz w:val="18"/>
        </w:rPr>
      </w:pPr>
      <w:r>
        <w:rPr>
          <w:sz w:val="18"/>
          <w:vertAlign w:val="superscript"/>
        </w:rPr>
        <w:t>37</w:t>
      </w:r>
      <w:r>
        <w:rPr>
          <w:spacing w:val="-11"/>
          <w:sz w:val="18"/>
          <w:vertAlign w:val="baseline"/>
        </w:rPr>
        <w:t> </w:t>
      </w:r>
      <w:r>
        <w:rPr>
          <w:color w:val="202020"/>
          <w:sz w:val="18"/>
          <w:vertAlign w:val="baseline"/>
        </w:rPr>
        <w:t>Goldbach JT, Parra LA, O'Brien RP, Rhoades H, Schrager SM. Explaining behavioral health differences in urban and rural sexual</w:t>
      </w:r>
      <w:r>
        <w:rPr>
          <w:color w:val="202020"/>
          <w:spacing w:val="-1"/>
          <w:sz w:val="18"/>
          <w:vertAlign w:val="baseline"/>
        </w:rPr>
        <w:t> </w:t>
      </w:r>
      <w:r>
        <w:rPr>
          <w:color w:val="202020"/>
          <w:sz w:val="18"/>
          <w:vertAlign w:val="baseline"/>
        </w:rPr>
        <w:t>minority adolescents: A longitudinal</w:t>
      </w:r>
      <w:r>
        <w:rPr>
          <w:color w:val="202020"/>
          <w:spacing w:val="-1"/>
          <w:sz w:val="18"/>
          <w:vertAlign w:val="baseline"/>
        </w:rPr>
        <w:t> </w:t>
      </w:r>
      <w:r>
        <w:rPr>
          <w:color w:val="202020"/>
          <w:sz w:val="18"/>
          <w:vertAlign w:val="baseline"/>
        </w:rPr>
        <w:t>investigation of minority stress in a diverse national</w:t>
      </w:r>
      <w:r>
        <w:rPr>
          <w:color w:val="202020"/>
          <w:spacing w:val="-1"/>
          <w:sz w:val="18"/>
          <w:vertAlign w:val="baseline"/>
        </w:rPr>
        <w:t> </w:t>
      </w:r>
      <w:r>
        <w:rPr>
          <w:color w:val="202020"/>
          <w:sz w:val="18"/>
          <w:vertAlign w:val="baseline"/>
        </w:rPr>
        <w:t>sample of sexual</w:t>
      </w:r>
      <w:r>
        <w:rPr>
          <w:color w:val="202020"/>
          <w:spacing w:val="-2"/>
          <w:sz w:val="18"/>
          <w:vertAlign w:val="baseline"/>
        </w:rPr>
        <w:t> </w:t>
      </w:r>
      <w:r>
        <w:rPr>
          <w:color w:val="202020"/>
          <w:sz w:val="18"/>
          <w:vertAlign w:val="baseline"/>
        </w:rPr>
        <w:t>minority adolescents: A longitudinal investigation of minority stress in a diverse national sample of sexual minority adolescents. J Rural</w:t>
      </w:r>
      <w:r>
        <w:rPr>
          <w:color w:val="202020"/>
          <w:spacing w:val="-6"/>
          <w:sz w:val="18"/>
          <w:vertAlign w:val="baseline"/>
        </w:rPr>
        <w:t> </w:t>
      </w:r>
      <w:r>
        <w:rPr>
          <w:color w:val="202020"/>
          <w:sz w:val="18"/>
          <w:vertAlign w:val="baseline"/>
        </w:rPr>
        <w:t>Health.</w:t>
      </w:r>
      <w:r>
        <w:rPr>
          <w:color w:val="202020"/>
          <w:spacing w:val="-3"/>
          <w:sz w:val="18"/>
          <w:vertAlign w:val="baseline"/>
        </w:rPr>
        <w:t> </w:t>
      </w:r>
      <w:r>
        <w:rPr>
          <w:color w:val="202020"/>
          <w:sz w:val="18"/>
          <w:vertAlign w:val="baseline"/>
        </w:rPr>
        <w:t>2023</w:t>
      </w:r>
      <w:r>
        <w:rPr>
          <w:color w:val="202020"/>
          <w:spacing w:val="-3"/>
          <w:sz w:val="18"/>
          <w:vertAlign w:val="baseline"/>
        </w:rPr>
        <w:t> </w:t>
      </w:r>
      <w:r>
        <w:rPr>
          <w:color w:val="202020"/>
          <w:sz w:val="18"/>
          <w:vertAlign w:val="baseline"/>
        </w:rPr>
        <w:t>Jan;39(1):262-271.</w:t>
      </w:r>
      <w:r>
        <w:rPr>
          <w:color w:val="202020"/>
          <w:spacing w:val="-3"/>
          <w:sz w:val="18"/>
          <w:vertAlign w:val="baseline"/>
        </w:rPr>
        <w:t> </w:t>
      </w:r>
      <w:r>
        <w:rPr>
          <w:color w:val="202020"/>
          <w:sz w:val="18"/>
          <w:vertAlign w:val="baseline"/>
        </w:rPr>
        <w:t>doi:</w:t>
      </w:r>
      <w:r>
        <w:rPr>
          <w:color w:val="202020"/>
          <w:spacing w:val="-3"/>
          <w:sz w:val="18"/>
          <w:vertAlign w:val="baseline"/>
        </w:rPr>
        <w:t> </w:t>
      </w:r>
      <w:r>
        <w:rPr>
          <w:color w:val="202020"/>
          <w:sz w:val="18"/>
          <w:vertAlign w:val="baseline"/>
        </w:rPr>
        <w:t>10.1111/jrh.12706.</w:t>
      </w:r>
      <w:r>
        <w:rPr>
          <w:color w:val="202020"/>
          <w:spacing w:val="-3"/>
          <w:sz w:val="18"/>
          <w:vertAlign w:val="baseline"/>
        </w:rPr>
        <w:t> </w:t>
      </w:r>
      <w:r>
        <w:rPr>
          <w:color w:val="202020"/>
          <w:sz w:val="18"/>
          <w:vertAlign w:val="baseline"/>
        </w:rPr>
        <w:t>Epub</w:t>
      </w:r>
      <w:r>
        <w:rPr>
          <w:color w:val="202020"/>
          <w:spacing w:val="-2"/>
          <w:sz w:val="18"/>
          <w:vertAlign w:val="baseline"/>
        </w:rPr>
        <w:t> </w:t>
      </w:r>
      <w:r>
        <w:rPr>
          <w:color w:val="202020"/>
          <w:sz w:val="18"/>
          <w:vertAlign w:val="baseline"/>
        </w:rPr>
        <w:t>2022</w:t>
      </w:r>
      <w:r>
        <w:rPr>
          <w:color w:val="202020"/>
          <w:spacing w:val="-3"/>
          <w:sz w:val="18"/>
          <w:vertAlign w:val="baseline"/>
        </w:rPr>
        <w:t> </w:t>
      </w:r>
      <w:r>
        <w:rPr>
          <w:color w:val="202020"/>
          <w:sz w:val="18"/>
          <w:vertAlign w:val="baseline"/>
        </w:rPr>
        <w:t>Aug</w:t>
      </w:r>
      <w:r>
        <w:rPr>
          <w:color w:val="202020"/>
          <w:spacing w:val="-3"/>
          <w:sz w:val="18"/>
          <w:vertAlign w:val="baseline"/>
        </w:rPr>
        <w:t> </w:t>
      </w:r>
      <w:r>
        <w:rPr>
          <w:color w:val="202020"/>
          <w:sz w:val="18"/>
          <w:vertAlign w:val="baseline"/>
        </w:rPr>
        <w:t>17.</w:t>
      </w:r>
      <w:r>
        <w:rPr>
          <w:color w:val="202020"/>
          <w:spacing w:val="-6"/>
          <w:sz w:val="18"/>
          <w:vertAlign w:val="baseline"/>
        </w:rPr>
        <w:t> </w:t>
      </w:r>
      <w:r>
        <w:rPr>
          <w:color w:val="202020"/>
          <w:sz w:val="18"/>
          <w:vertAlign w:val="baseline"/>
        </w:rPr>
        <w:t>PMID:</w:t>
      </w:r>
      <w:r>
        <w:rPr>
          <w:color w:val="202020"/>
          <w:spacing w:val="-3"/>
          <w:sz w:val="18"/>
          <w:vertAlign w:val="baseline"/>
        </w:rPr>
        <w:t> </w:t>
      </w:r>
      <w:r>
        <w:rPr>
          <w:color w:val="202020"/>
          <w:sz w:val="18"/>
          <w:vertAlign w:val="baseline"/>
        </w:rPr>
        <w:t>35977886;</w:t>
      </w:r>
      <w:r>
        <w:rPr>
          <w:color w:val="202020"/>
          <w:spacing w:val="-3"/>
          <w:sz w:val="18"/>
          <w:vertAlign w:val="baseline"/>
        </w:rPr>
        <w:t> </w:t>
      </w:r>
      <w:r>
        <w:rPr>
          <w:color w:val="202020"/>
          <w:sz w:val="18"/>
          <w:vertAlign w:val="baseline"/>
        </w:rPr>
        <w:t>PMCID:</w:t>
      </w:r>
      <w:r>
        <w:rPr>
          <w:color w:val="202020"/>
          <w:spacing w:val="-2"/>
          <w:sz w:val="18"/>
          <w:vertAlign w:val="baseline"/>
        </w:rPr>
        <w:t> PMC9771913.</w:t>
      </w:r>
    </w:p>
    <w:p>
      <w:pPr>
        <w:spacing w:line="276" w:lineRule="auto" w:before="0"/>
        <w:ind w:left="463" w:right="228" w:firstLine="0"/>
        <w:jc w:val="left"/>
        <w:rPr>
          <w:sz w:val="18"/>
        </w:rPr>
      </w:pPr>
      <w:r>
        <w:rPr>
          <w:sz w:val="18"/>
          <w:vertAlign w:val="superscript"/>
        </w:rPr>
        <w:t>38</w:t>
      </w:r>
      <w:r>
        <w:rPr>
          <w:spacing w:val="-10"/>
          <w:sz w:val="18"/>
          <w:vertAlign w:val="baseline"/>
        </w:rPr>
        <w:t> </w:t>
      </w:r>
      <w:r>
        <w:rPr>
          <w:color w:val="212121"/>
          <w:sz w:val="18"/>
          <w:vertAlign w:val="baseline"/>
        </w:rPr>
        <w:t>Whaibeh, Emile, Hossam Mahmoud, and Emily L. Vogt. "Reducing the treatment gap for LGBT mental health needs: The potential</w:t>
      </w:r>
      <w:r>
        <w:rPr>
          <w:color w:val="212121"/>
          <w:spacing w:val="-4"/>
          <w:sz w:val="18"/>
          <w:vertAlign w:val="baseline"/>
        </w:rPr>
        <w:t> </w:t>
      </w:r>
      <w:r>
        <w:rPr>
          <w:color w:val="212121"/>
          <w:sz w:val="18"/>
          <w:vertAlign w:val="baseline"/>
        </w:rPr>
        <w:t>of</w:t>
      </w:r>
      <w:r>
        <w:rPr>
          <w:color w:val="212121"/>
          <w:spacing w:val="-2"/>
          <w:sz w:val="18"/>
          <w:vertAlign w:val="baseline"/>
        </w:rPr>
        <w:t> </w:t>
      </w:r>
      <w:r>
        <w:rPr>
          <w:color w:val="212121"/>
          <w:sz w:val="18"/>
          <w:vertAlign w:val="baseline"/>
        </w:rPr>
        <w:t>telepsychiatry."</w:t>
      </w:r>
      <w:r>
        <w:rPr>
          <w:color w:val="212121"/>
          <w:spacing w:val="-2"/>
          <w:sz w:val="18"/>
          <w:vertAlign w:val="baseline"/>
        </w:rPr>
        <w:t> </w:t>
      </w:r>
      <w:r>
        <w:rPr>
          <w:i/>
          <w:color w:val="212121"/>
          <w:sz w:val="18"/>
          <w:vertAlign w:val="baseline"/>
        </w:rPr>
        <w:t>The</w:t>
      </w:r>
      <w:r>
        <w:rPr>
          <w:i/>
          <w:color w:val="212121"/>
          <w:spacing w:val="-2"/>
          <w:sz w:val="18"/>
          <w:vertAlign w:val="baseline"/>
        </w:rPr>
        <w:t> </w:t>
      </w:r>
      <w:r>
        <w:rPr>
          <w:i/>
          <w:color w:val="212121"/>
          <w:sz w:val="18"/>
          <w:vertAlign w:val="baseline"/>
        </w:rPr>
        <w:t>journal</w:t>
      </w:r>
      <w:r>
        <w:rPr>
          <w:i/>
          <w:color w:val="212121"/>
          <w:spacing w:val="-3"/>
          <w:sz w:val="18"/>
          <w:vertAlign w:val="baseline"/>
        </w:rPr>
        <w:t> </w:t>
      </w:r>
      <w:r>
        <w:rPr>
          <w:i/>
          <w:color w:val="212121"/>
          <w:sz w:val="18"/>
          <w:vertAlign w:val="baseline"/>
        </w:rPr>
        <w:t>of</w:t>
      </w:r>
      <w:r>
        <w:rPr>
          <w:i/>
          <w:color w:val="212121"/>
          <w:spacing w:val="-2"/>
          <w:sz w:val="18"/>
          <w:vertAlign w:val="baseline"/>
        </w:rPr>
        <w:t> </w:t>
      </w:r>
      <w:r>
        <w:rPr>
          <w:i/>
          <w:color w:val="212121"/>
          <w:sz w:val="18"/>
          <w:vertAlign w:val="baseline"/>
        </w:rPr>
        <w:t>behavioral</w:t>
      </w:r>
      <w:r>
        <w:rPr>
          <w:i/>
          <w:color w:val="212121"/>
          <w:spacing w:val="-3"/>
          <w:sz w:val="18"/>
          <w:vertAlign w:val="baseline"/>
        </w:rPr>
        <w:t> </w:t>
      </w:r>
      <w:r>
        <w:rPr>
          <w:i/>
          <w:color w:val="212121"/>
          <w:sz w:val="18"/>
          <w:vertAlign w:val="baseline"/>
        </w:rPr>
        <w:t>health</w:t>
      </w:r>
      <w:r>
        <w:rPr>
          <w:i/>
          <w:color w:val="212121"/>
          <w:spacing w:val="-3"/>
          <w:sz w:val="18"/>
          <w:vertAlign w:val="baseline"/>
        </w:rPr>
        <w:t> </w:t>
      </w:r>
      <w:r>
        <w:rPr>
          <w:i/>
          <w:color w:val="212121"/>
          <w:sz w:val="18"/>
          <w:vertAlign w:val="baseline"/>
        </w:rPr>
        <w:t>services</w:t>
      </w:r>
      <w:r>
        <w:rPr>
          <w:i/>
          <w:color w:val="212121"/>
          <w:spacing w:val="-3"/>
          <w:sz w:val="18"/>
          <w:vertAlign w:val="baseline"/>
        </w:rPr>
        <w:t> </w:t>
      </w:r>
      <w:r>
        <w:rPr>
          <w:i/>
          <w:color w:val="212121"/>
          <w:sz w:val="18"/>
          <w:vertAlign w:val="baseline"/>
        </w:rPr>
        <w:t>&amp;</w:t>
      </w:r>
      <w:r>
        <w:rPr>
          <w:i/>
          <w:color w:val="212121"/>
          <w:spacing w:val="-3"/>
          <w:sz w:val="18"/>
          <w:vertAlign w:val="baseline"/>
        </w:rPr>
        <w:t> </w:t>
      </w:r>
      <w:r>
        <w:rPr>
          <w:i/>
          <w:color w:val="212121"/>
          <w:sz w:val="18"/>
          <w:vertAlign w:val="baseline"/>
        </w:rPr>
        <w:t>research</w:t>
      </w:r>
      <w:r>
        <w:rPr>
          <w:i/>
          <w:color w:val="212121"/>
          <w:spacing w:val="-3"/>
          <w:sz w:val="18"/>
          <w:vertAlign w:val="baseline"/>
        </w:rPr>
        <w:t> </w:t>
      </w:r>
      <w:r>
        <w:rPr>
          <w:color w:val="212121"/>
          <w:sz w:val="18"/>
          <w:vertAlign w:val="baseline"/>
        </w:rPr>
        <w:t>47,</w:t>
      </w:r>
      <w:r>
        <w:rPr>
          <w:color w:val="212121"/>
          <w:spacing w:val="-3"/>
          <w:sz w:val="18"/>
          <w:vertAlign w:val="baseline"/>
        </w:rPr>
        <w:t> </w:t>
      </w:r>
      <w:r>
        <w:rPr>
          <w:color w:val="212121"/>
          <w:sz w:val="18"/>
          <w:vertAlign w:val="baseline"/>
        </w:rPr>
        <w:t>no.</w:t>
      </w:r>
      <w:r>
        <w:rPr>
          <w:color w:val="212121"/>
          <w:spacing w:val="-2"/>
          <w:sz w:val="18"/>
          <w:vertAlign w:val="baseline"/>
        </w:rPr>
        <w:t> </w:t>
      </w:r>
      <w:r>
        <w:rPr>
          <w:color w:val="212121"/>
          <w:sz w:val="18"/>
          <w:vertAlign w:val="baseline"/>
        </w:rPr>
        <w:t>3</w:t>
      </w:r>
      <w:r>
        <w:rPr>
          <w:color w:val="212121"/>
          <w:spacing w:val="-2"/>
          <w:sz w:val="18"/>
          <w:vertAlign w:val="baseline"/>
        </w:rPr>
        <w:t> </w:t>
      </w:r>
      <w:r>
        <w:rPr>
          <w:color w:val="212121"/>
          <w:sz w:val="18"/>
          <w:vertAlign w:val="baseline"/>
        </w:rPr>
        <w:t>(2020):</w:t>
      </w:r>
      <w:r>
        <w:rPr>
          <w:color w:val="212121"/>
          <w:spacing w:val="-4"/>
          <w:sz w:val="18"/>
          <w:vertAlign w:val="baseline"/>
        </w:rPr>
        <w:t> </w:t>
      </w:r>
      <w:r>
        <w:rPr>
          <w:color w:val="212121"/>
          <w:sz w:val="18"/>
          <w:vertAlign w:val="baseline"/>
        </w:rPr>
        <w:t>424-431.</w:t>
      </w:r>
      <w:r>
        <w:rPr>
          <w:color w:val="212121"/>
          <w:spacing w:val="-2"/>
          <w:sz w:val="18"/>
          <w:vertAlign w:val="baseline"/>
        </w:rPr>
        <w:t> </w:t>
      </w:r>
      <w:r>
        <w:rPr>
          <w:sz w:val="18"/>
          <w:vertAlign w:val="superscript"/>
        </w:rPr>
        <w:t>39</w:t>
      </w:r>
      <w:r>
        <w:rPr>
          <w:spacing w:val="-13"/>
          <w:sz w:val="18"/>
          <w:vertAlign w:val="baseline"/>
        </w:rPr>
        <w:t> </w:t>
      </w:r>
      <w:r>
        <w:rPr>
          <w:sz w:val="18"/>
          <w:vertAlign w:val="baseline"/>
        </w:rPr>
        <w:t>Marcin,</w:t>
      </w:r>
      <w:r>
        <w:rPr>
          <w:spacing w:val="-3"/>
          <w:sz w:val="18"/>
          <w:vertAlign w:val="baseline"/>
        </w:rPr>
        <w:t> </w:t>
      </w:r>
      <w:r>
        <w:rPr>
          <w:sz w:val="18"/>
          <w:vertAlign w:val="baseline"/>
        </w:rPr>
        <w:t>James P., Ulfat Shaikh, and Robin H. Steinhorn. 2015. “Addressing Health Disparities in Rural Communities Using Telehealth.” </w:t>
      </w:r>
      <w:r>
        <w:rPr>
          <w:i/>
          <w:sz w:val="18"/>
          <w:vertAlign w:val="baseline"/>
        </w:rPr>
        <w:t>Pediatric Research </w:t>
      </w:r>
      <w:r>
        <w:rPr>
          <w:sz w:val="18"/>
          <w:vertAlign w:val="baseline"/>
        </w:rPr>
        <w:t>79 (1-2): 169–76. https://doi.org/10.1038/pr.2015.192.</w:t>
      </w:r>
    </w:p>
    <w:p>
      <w:pPr>
        <w:spacing w:line="276" w:lineRule="auto" w:before="0"/>
        <w:ind w:left="464" w:right="468" w:hanging="4"/>
        <w:jc w:val="left"/>
        <w:rPr>
          <w:sz w:val="18"/>
        </w:rPr>
      </w:pPr>
      <w:r>
        <w:rPr>
          <w:sz w:val="18"/>
          <w:vertAlign w:val="superscript"/>
        </w:rPr>
        <w:t>40</w:t>
      </w:r>
      <w:r>
        <w:rPr>
          <w:spacing w:val="-9"/>
          <w:sz w:val="18"/>
          <w:vertAlign w:val="baseline"/>
        </w:rPr>
        <w:t> </w:t>
      </w:r>
      <w:r>
        <w:rPr>
          <w:sz w:val="18"/>
          <w:vertAlign w:val="baseline"/>
        </w:rPr>
        <w:t>Marcin, J. P., J. Ellis, R. Mawis, E. Nagrampa, T. S. Nesbitt, and R. J. Dimand. 2003. “Using Telemedicine to Provide Pediatric</w:t>
      </w:r>
      <w:r>
        <w:rPr>
          <w:spacing w:val="-4"/>
          <w:sz w:val="18"/>
          <w:vertAlign w:val="baseline"/>
        </w:rPr>
        <w:t> </w:t>
      </w:r>
      <w:r>
        <w:rPr>
          <w:sz w:val="18"/>
          <w:vertAlign w:val="baseline"/>
        </w:rPr>
        <w:t>Subspecialty</w:t>
      </w:r>
      <w:r>
        <w:rPr>
          <w:spacing w:val="-3"/>
          <w:sz w:val="18"/>
          <w:vertAlign w:val="baseline"/>
        </w:rPr>
        <w:t> </w:t>
      </w:r>
      <w:r>
        <w:rPr>
          <w:sz w:val="18"/>
          <w:vertAlign w:val="baseline"/>
        </w:rPr>
        <w:t>Care</w:t>
      </w:r>
      <w:r>
        <w:rPr>
          <w:spacing w:val="-3"/>
          <w:sz w:val="18"/>
          <w:vertAlign w:val="baseline"/>
        </w:rPr>
        <w:t> </w:t>
      </w:r>
      <w:r>
        <w:rPr>
          <w:sz w:val="18"/>
          <w:vertAlign w:val="baseline"/>
        </w:rPr>
        <w:t>to</w:t>
      </w:r>
      <w:r>
        <w:rPr>
          <w:spacing w:val="-3"/>
          <w:sz w:val="18"/>
          <w:vertAlign w:val="baseline"/>
        </w:rPr>
        <w:t> </w:t>
      </w:r>
      <w:r>
        <w:rPr>
          <w:sz w:val="18"/>
          <w:vertAlign w:val="baseline"/>
        </w:rPr>
        <w:t>Children</w:t>
      </w:r>
      <w:r>
        <w:rPr>
          <w:spacing w:val="-3"/>
          <w:sz w:val="18"/>
          <w:vertAlign w:val="baseline"/>
        </w:rPr>
        <w:t> </w:t>
      </w:r>
      <w:r>
        <w:rPr>
          <w:sz w:val="18"/>
          <w:vertAlign w:val="baseline"/>
        </w:rPr>
        <w:t>with</w:t>
      </w:r>
      <w:r>
        <w:rPr>
          <w:spacing w:val="-3"/>
          <w:sz w:val="18"/>
          <w:vertAlign w:val="baseline"/>
        </w:rPr>
        <w:t> </w:t>
      </w:r>
      <w:r>
        <w:rPr>
          <w:sz w:val="18"/>
          <w:vertAlign w:val="baseline"/>
        </w:rPr>
        <w:t>Special</w:t>
      </w:r>
      <w:r>
        <w:rPr>
          <w:spacing w:val="-4"/>
          <w:sz w:val="18"/>
          <w:vertAlign w:val="baseline"/>
        </w:rPr>
        <w:t> </w:t>
      </w:r>
      <w:r>
        <w:rPr>
          <w:sz w:val="18"/>
          <w:vertAlign w:val="baseline"/>
        </w:rPr>
        <w:t>Health</w:t>
      </w:r>
      <w:r>
        <w:rPr>
          <w:spacing w:val="-3"/>
          <w:sz w:val="18"/>
          <w:vertAlign w:val="baseline"/>
        </w:rPr>
        <w:t> </w:t>
      </w:r>
      <w:r>
        <w:rPr>
          <w:sz w:val="18"/>
          <w:vertAlign w:val="baseline"/>
        </w:rPr>
        <w:t>Care</w:t>
      </w:r>
      <w:r>
        <w:rPr>
          <w:spacing w:val="-3"/>
          <w:sz w:val="18"/>
          <w:vertAlign w:val="baseline"/>
        </w:rPr>
        <w:t> </w:t>
      </w:r>
      <w:r>
        <w:rPr>
          <w:sz w:val="18"/>
          <w:vertAlign w:val="baseline"/>
        </w:rPr>
        <w:t>Needs</w:t>
      </w:r>
      <w:r>
        <w:rPr>
          <w:spacing w:val="-3"/>
          <w:sz w:val="18"/>
          <w:vertAlign w:val="baseline"/>
        </w:rPr>
        <w:t> </w:t>
      </w:r>
      <w:r>
        <w:rPr>
          <w:sz w:val="18"/>
          <w:vertAlign w:val="baseline"/>
        </w:rPr>
        <w:t>in</w:t>
      </w:r>
      <w:r>
        <w:rPr>
          <w:spacing w:val="-3"/>
          <w:sz w:val="18"/>
          <w:vertAlign w:val="baseline"/>
        </w:rPr>
        <w:t> </w:t>
      </w:r>
      <w:r>
        <w:rPr>
          <w:sz w:val="18"/>
          <w:vertAlign w:val="baseline"/>
        </w:rPr>
        <w:t>an</w:t>
      </w:r>
      <w:r>
        <w:rPr>
          <w:spacing w:val="-3"/>
          <w:sz w:val="18"/>
          <w:vertAlign w:val="baseline"/>
        </w:rPr>
        <w:t> </w:t>
      </w:r>
      <w:r>
        <w:rPr>
          <w:sz w:val="18"/>
          <w:vertAlign w:val="baseline"/>
        </w:rPr>
        <w:t>Underserved</w:t>
      </w:r>
      <w:r>
        <w:rPr>
          <w:spacing w:val="-3"/>
          <w:sz w:val="18"/>
          <w:vertAlign w:val="baseline"/>
        </w:rPr>
        <w:t> </w:t>
      </w:r>
      <w:r>
        <w:rPr>
          <w:sz w:val="18"/>
          <w:vertAlign w:val="baseline"/>
        </w:rPr>
        <w:t>Rural</w:t>
      </w:r>
      <w:r>
        <w:rPr>
          <w:spacing w:val="-4"/>
          <w:sz w:val="18"/>
          <w:vertAlign w:val="baseline"/>
        </w:rPr>
        <w:t> </w:t>
      </w:r>
      <w:r>
        <w:rPr>
          <w:sz w:val="18"/>
          <w:vertAlign w:val="baseline"/>
        </w:rPr>
        <w:t>Community.”</w:t>
      </w:r>
      <w:r>
        <w:rPr>
          <w:spacing w:val="-3"/>
          <w:sz w:val="18"/>
          <w:vertAlign w:val="baseline"/>
        </w:rPr>
        <w:t> </w:t>
      </w:r>
      <w:r>
        <w:rPr>
          <w:i/>
          <w:sz w:val="18"/>
          <w:vertAlign w:val="baseline"/>
        </w:rPr>
        <w:t>PEDIATRICS</w:t>
      </w:r>
      <w:r>
        <w:rPr>
          <w:i/>
          <w:sz w:val="18"/>
          <w:vertAlign w:val="baseline"/>
        </w:rPr>
        <w:t> </w:t>
      </w:r>
      <w:r>
        <w:rPr>
          <w:sz w:val="18"/>
          <w:vertAlign w:val="baseline"/>
        </w:rPr>
        <w:t>113 (1): 1–6. https://doi.org/10.1542/peds.113.1.1.</w:t>
      </w:r>
    </w:p>
    <w:p>
      <w:pPr>
        <w:spacing w:line="276" w:lineRule="auto" w:before="0"/>
        <w:ind w:left="464" w:right="740" w:firstLine="1"/>
        <w:jc w:val="both"/>
        <w:rPr>
          <w:sz w:val="18"/>
        </w:rPr>
      </w:pPr>
      <w:r>
        <w:rPr>
          <w:sz w:val="18"/>
          <w:vertAlign w:val="superscript"/>
        </w:rPr>
        <w:t>41</w:t>
      </w:r>
      <w:r>
        <w:rPr>
          <w:spacing w:val="-11"/>
          <w:sz w:val="18"/>
          <w:vertAlign w:val="baseline"/>
        </w:rPr>
        <w:t> </w:t>
      </w:r>
      <w:r>
        <w:rPr>
          <w:sz w:val="18"/>
          <w:vertAlign w:val="baseline"/>
        </w:rPr>
        <w:t>McGregor,</w:t>
      </w:r>
      <w:r>
        <w:rPr>
          <w:spacing w:val="-7"/>
          <w:sz w:val="18"/>
          <w:vertAlign w:val="baseline"/>
        </w:rPr>
        <w:t> </w:t>
      </w:r>
      <w:r>
        <w:rPr>
          <w:sz w:val="18"/>
          <w:vertAlign w:val="baseline"/>
        </w:rPr>
        <w:t>Kerry,</w:t>
      </w:r>
      <w:r>
        <w:rPr>
          <w:spacing w:val="-3"/>
          <w:sz w:val="18"/>
          <w:vertAlign w:val="baseline"/>
        </w:rPr>
        <w:t> </w:t>
      </w:r>
      <w:r>
        <w:rPr>
          <w:sz w:val="18"/>
          <w:vertAlign w:val="baseline"/>
        </w:rPr>
        <w:t>Coleen</w:t>
      </w:r>
      <w:r>
        <w:rPr>
          <w:spacing w:val="-3"/>
          <w:sz w:val="18"/>
          <w:vertAlign w:val="baseline"/>
        </w:rPr>
        <w:t> </w:t>
      </w:r>
      <w:r>
        <w:rPr>
          <w:sz w:val="18"/>
          <w:vertAlign w:val="baseline"/>
        </w:rPr>
        <w:t>R</w:t>
      </w:r>
      <w:r>
        <w:rPr>
          <w:spacing w:val="-3"/>
          <w:sz w:val="18"/>
          <w:vertAlign w:val="baseline"/>
        </w:rPr>
        <w:t> </w:t>
      </w:r>
      <w:r>
        <w:rPr>
          <w:sz w:val="18"/>
          <w:vertAlign w:val="baseline"/>
        </w:rPr>
        <w:t>Williams,</w:t>
      </w:r>
      <w:r>
        <w:rPr>
          <w:spacing w:val="-3"/>
          <w:sz w:val="18"/>
          <w:vertAlign w:val="baseline"/>
        </w:rPr>
        <w:t> </w:t>
      </w:r>
      <w:r>
        <w:rPr>
          <w:sz w:val="18"/>
          <w:vertAlign w:val="baseline"/>
        </w:rPr>
        <w:t>Ariel</w:t>
      </w:r>
      <w:r>
        <w:rPr>
          <w:spacing w:val="-3"/>
          <w:sz w:val="18"/>
          <w:vertAlign w:val="baseline"/>
        </w:rPr>
        <w:t> </w:t>
      </w:r>
      <w:r>
        <w:rPr>
          <w:sz w:val="18"/>
          <w:vertAlign w:val="baseline"/>
        </w:rPr>
        <w:t>Botta,</w:t>
      </w:r>
      <w:r>
        <w:rPr>
          <w:spacing w:val="-4"/>
          <w:sz w:val="18"/>
          <w:vertAlign w:val="baseline"/>
        </w:rPr>
        <w:t> </w:t>
      </w:r>
      <w:r>
        <w:rPr>
          <w:sz w:val="18"/>
          <w:vertAlign w:val="baseline"/>
        </w:rPr>
        <w:t>Francie</w:t>
      </w:r>
      <w:r>
        <w:rPr>
          <w:spacing w:val="-3"/>
          <w:sz w:val="18"/>
          <w:vertAlign w:val="baseline"/>
        </w:rPr>
        <w:t> </w:t>
      </w:r>
      <w:r>
        <w:rPr>
          <w:sz w:val="18"/>
          <w:vertAlign w:val="baseline"/>
        </w:rPr>
        <w:t>Mandel,</w:t>
      </w:r>
      <w:r>
        <w:rPr>
          <w:spacing w:val="-3"/>
          <w:sz w:val="18"/>
          <w:vertAlign w:val="baseline"/>
        </w:rPr>
        <w:t> </w:t>
      </w:r>
      <w:r>
        <w:rPr>
          <w:sz w:val="18"/>
          <w:vertAlign w:val="baseline"/>
        </w:rPr>
        <w:t>and</w:t>
      </w:r>
      <w:r>
        <w:rPr>
          <w:spacing w:val="-3"/>
          <w:sz w:val="18"/>
          <w:vertAlign w:val="baseline"/>
        </w:rPr>
        <w:t> </w:t>
      </w:r>
      <w:r>
        <w:rPr>
          <w:sz w:val="18"/>
          <w:vertAlign w:val="baseline"/>
        </w:rPr>
        <w:t>Jennifer</w:t>
      </w:r>
      <w:r>
        <w:rPr>
          <w:spacing w:val="-4"/>
          <w:sz w:val="18"/>
          <w:vertAlign w:val="baseline"/>
        </w:rPr>
        <w:t> </w:t>
      </w:r>
      <w:r>
        <w:rPr>
          <w:sz w:val="18"/>
          <w:vertAlign w:val="baseline"/>
        </w:rPr>
        <w:t>Gentile.</w:t>
      </w:r>
      <w:r>
        <w:rPr>
          <w:spacing w:val="-3"/>
          <w:sz w:val="18"/>
          <w:vertAlign w:val="baseline"/>
        </w:rPr>
        <w:t> </w:t>
      </w:r>
      <w:r>
        <w:rPr>
          <w:sz w:val="18"/>
          <w:vertAlign w:val="baseline"/>
        </w:rPr>
        <w:t>“Providing</w:t>
      </w:r>
      <w:r>
        <w:rPr>
          <w:spacing w:val="-3"/>
          <w:sz w:val="18"/>
          <w:vertAlign w:val="baseline"/>
        </w:rPr>
        <w:t> </w:t>
      </w:r>
      <w:r>
        <w:rPr>
          <w:sz w:val="18"/>
          <w:vertAlign w:val="baseline"/>
        </w:rPr>
        <w:t>Essential</w:t>
      </w:r>
      <w:r>
        <w:rPr>
          <w:spacing w:val="-3"/>
          <w:sz w:val="18"/>
          <w:vertAlign w:val="baseline"/>
        </w:rPr>
        <w:t> </w:t>
      </w:r>
      <w:r>
        <w:rPr>
          <w:sz w:val="18"/>
          <w:vertAlign w:val="baseline"/>
        </w:rPr>
        <w:t>Gender- Affirming</w:t>
      </w:r>
      <w:r>
        <w:rPr>
          <w:spacing w:val="-1"/>
          <w:sz w:val="18"/>
          <w:vertAlign w:val="baseline"/>
        </w:rPr>
        <w:t> </w:t>
      </w:r>
      <w:r>
        <w:rPr>
          <w:sz w:val="18"/>
          <w:vertAlign w:val="baseline"/>
        </w:rPr>
        <w:t>Telehealth</w:t>
      </w:r>
      <w:r>
        <w:rPr>
          <w:spacing w:val="-1"/>
          <w:sz w:val="18"/>
          <w:vertAlign w:val="baseline"/>
        </w:rPr>
        <w:t> </w:t>
      </w:r>
      <w:r>
        <w:rPr>
          <w:sz w:val="18"/>
          <w:vertAlign w:val="baseline"/>
        </w:rPr>
        <w:t>Services</w:t>
      </w:r>
      <w:r>
        <w:rPr>
          <w:spacing w:val="-1"/>
          <w:sz w:val="18"/>
          <w:vertAlign w:val="baseline"/>
        </w:rPr>
        <w:t> </w:t>
      </w:r>
      <w:r>
        <w:rPr>
          <w:sz w:val="18"/>
          <w:vertAlign w:val="baseline"/>
        </w:rPr>
        <w:t>to</w:t>
      </w:r>
      <w:r>
        <w:rPr>
          <w:spacing w:val="-1"/>
          <w:sz w:val="18"/>
          <w:vertAlign w:val="baseline"/>
        </w:rPr>
        <w:t> </w:t>
      </w:r>
      <w:r>
        <w:rPr>
          <w:sz w:val="18"/>
          <w:vertAlign w:val="baseline"/>
        </w:rPr>
        <w:t>Transgender</w:t>
      </w:r>
      <w:r>
        <w:rPr>
          <w:spacing w:val="-2"/>
          <w:sz w:val="18"/>
          <w:vertAlign w:val="baseline"/>
        </w:rPr>
        <w:t> </w:t>
      </w:r>
      <w:r>
        <w:rPr>
          <w:sz w:val="18"/>
          <w:vertAlign w:val="baseline"/>
        </w:rPr>
        <w:t>Youth</w:t>
      </w:r>
      <w:r>
        <w:rPr>
          <w:spacing w:val="-1"/>
          <w:sz w:val="18"/>
          <w:vertAlign w:val="baseline"/>
        </w:rPr>
        <w:t> </w:t>
      </w:r>
      <w:r>
        <w:rPr>
          <w:sz w:val="18"/>
          <w:vertAlign w:val="baseline"/>
        </w:rPr>
        <w:t>during</w:t>
      </w:r>
      <w:r>
        <w:rPr>
          <w:spacing w:val="-1"/>
          <w:sz w:val="18"/>
          <w:vertAlign w:val="baseline"/>
        </w:rPr>
        <w:t> </w:t>
      </w:r>
      <w:r>
        <w:rPr>
          <w:sz w:val="18"/>
          <w:vertAlign w:val="baseline"/>
        </w:rPr>
        <w:t>COVID-19:</w:t>
      </w:r>
      <w:r>
        <w:rPr>
          <w:spacing w:val="-1"/>
          <w:sz w:val="18"/>
          <w:vertAlign w:val="baseline"/>
        </w:rPr>
        <w:t> </w:t>
      </w:r>
      <w:r>
        <w:rPr>
          <w:sz w:val="18"/>
          <w:vertAlign w:val="baseline"/>
        </w:rPr>
        <w:t>A</w:t>
      </w:r>
      <w:r>
        <w:rPr>
          <w:spacing w:val="-1"/>
          <w:sz w:val="18"/>
          <w:vertAlign w:val="baseline"/>
        </w:rPr>
        <w:t> </w:t>
      </w:r>
      <w:r>
        <w:rPr>
          <w:sz w:val="18"/>
          <w:vertAlign w:val="baseline"/>
        </w:rPr>
        <w:t>Service</w:t>
      </w:r>
      <w:r>
        <w:rPr>
          <w:spacing w:val="-1"/>
          <w:sz w:val="18"/>
          <w:vertAlign w:val="baseline"/>
        </w:rPr>
        <w:t> </w:t>
      </w:r>
      <w:r>
        <w:rPr>
          <w:sz w:val="18"/>
          <w:vertAlign w:val="baseline"/>
        </w:rPr>
        <w:t>Review.”</w:t>
      </w:r>
      <w:r>
        <w:rPr>
          <w:spacing w:val="-1"/>
          <w:sz w:val="18"/>
          <w:vertAlign w:val="baseline"/>
        </w:rPr>
        <w:t> </w:t>
      </w:r>
      <w:r>
        <w:rPr>
          <w:i/>
          <w:sz w:val="18"/>
          <w:vertAlign w:val="baseline"/>
        </w:rPr>
        <w:t>Journal</w:t>
      </w:r>
      <w:r>
        <w:rPr>
          <w:i/>
          <w:spacing w:val="-1"/>
          <w:sz w:val="18"/>
          <w:vertAlign w:val="baseline"/>
        </w:rPr>
        <w:t> </w:t>
      </w:r>
      <w:r>
        <w:rPr>
          <w:i/>
          <w:sz w:val="18"/>
          <w:vertAlign w:val="baseline"/>
        </w:rPr>
        <w:t>of</w:t>
      </w:r>
      <w:r>
        <w:rPr>
          <w:i/>
          <w:spacing w:val="-1"/>
          <w:sz w:val="18"/>
          <w:vertAlign w:val="baseline"/>
        </w:rPr>
        <w:t> </w:t>
      </w:r>
      <w:r>
        <w:rPr>
          <w:i/>
          <w:sz w:val="18"/>
          <w:vertAlign w:val="baseline"/>
        </w:rPr>
        <w:t>Telemedicine</w:t>
      </w:r>
      <w:r>
        <w:rPr>
          <w:i/>
          <w:spacing w:val="-1"/>
          <w:sz w:val="18"/>
          <w:vertAlign w:val="baseline"/>
        </w:rPr>
        <w:t> </w:t>
      </w:r>
      <w:r>
        <w:rPr>
          <w:i/>
          <w:sz w:val="18"/>
          <w:vertAlign w:val="baseline"/>
        </w:rPr>
        <w:t>and</w:t>
      </w:r>
      <w:r>
        <w:rPr>
          <w:i/>
          <w:sz w:val="18"/>
          <w:vertAlign w:val="baseline"/>
        </w:rPr>
        <w:t> Telecare </w:t>
      </w:r>
      <w:r>
        <w:rPr>
          <w:sz w:val="18"/>
          <w:vertAlign w:val="baseline"/>
        </w:rPr>
        <w:t>29, no. 2 (2022): 147–52. https://doi.org/10.1177/1357633x221095785.</w:t>
      </w:r>
    </w:p>
    <w:p>
      <w:pPr>
        <w:spacing w:line="276" w:lineRule="auto" w:before="0"/>
        <w:ind w:left="464" w:right="288" w:firstLine="0"/>
        <w:jc w:val="left"/>
        <w:rPr>
          <w:sz w:val="18"/>
        </w:rPr>
      </w:pPr>
      <w:r>
        <w:rPr>
          <w:sz w:val="18"/>
          <w:vertAlign w:val="superscript"/>
        </w:rPr>
        <w:t>42</w:t>
      </w:r>
      <w:r>
        <w:rPr>
          <w:spacing w:val="-8"/>
          <w:sz w:val="18"/>
          <w:vertAlign w:val="baseline"/>
        </w:rPr>
        <w:t> </w:t>
      </w:r>
      <w:r>
        <w:rPr>
          <w:sz w:val="18"/>
          <w:vertAlign w:val="baseline"/>
        </w:rPr>
        <w:t>Schoenberg, Shira. 2022. “Early Data Finds Telehealth Is Largely Cost Neutral.” CommonWealth Magazine. October 12, 2022. https://commonwealthmagazine.org/health-care/early-data-finds-telehealth-is-largely-cost-neutral/. </w:t>
      </w:r>
      <w:r>
        <w:rPr>
          <w:sz w:val="18"/>
          <w:vertAlign w:val="superscript"/>
        </w:rPr>
        <w:t>43</w:t>
      </w:r>
      <w:r>
        <w:rPr>
          <w:sz w:val="18"/>
          <w:vertAlign w:val="baseline"/>
        </w:rPr>
        <w:t> Gridley SJ, Crouch JM, Evans Y, Eng W, Antoon E, Lyapustina M, Schimmel-Bristow A, Woodward J, Dundon K, Schaff R, McCarty C, Ahrens</w:t>
      </w:r>
      <w:r>
        <w:rPr>
          <w:spacing w:val="-3"/>
          <w:sz w:val="18"/>
          <w:vertAlign w:val="baseline"/>
        </w:rPr>
        <w:t> </w:t>
      </w:r>
      <w:r>
        <w:rPr>
          <w:sz w:val="18"/>
          <w:vertAlign w:val="baseline"/>
        </w:rPr>
        <w:t>K,</w:t>
      </w:r>
      <w:r>
        <w:rPr>
          <w:spacing w:val="-3"/>
          <w:sz w:val="18"/>
          <w:vertAlign w:val="baseline"/>
        </w:rPr>
        <w:t> </w:t>
      </w:r>
      <w:r>
        <w:rPr>
          <w:sz w:val="18"/>
          <w:vertAlign w:val="baseline"/>
        </w:rPr>
        <w:t>Breland</w:t>
      </w:r>
      <w:r>
        <w:rPr>
          <w:spacing w:val="-3"/>
          <w:sz w:val="18"/>
          <w:vertAlign w:val="baseline"/>
        </w:rPr>
        <w:t> </w:t>
      </w:r>
      <w:r>
        <w:rPr>
          <w:sz w:val="18"/>
          <w:vertAlign w:val="baseline"/>
        </w:rPr>
        <w:t>DJ.</w:t>
      </w:r>
      <w:r>
        <w:rPr>
          <w:spacing w:val="-3"/>
          <w:sz w:val="18"/>
          <w:vertAlign w:val="baseline"/>
        </w:rPr>
        <w:t> </w:t>
      </w:r>
      <w:r>
        <w:rPr>
          <w:sz w:val="18"/>
          <w:vertAlign w:val="baseline"/>
        </w:rPr>
        <w:t>Youth</w:t>
      </w:r>
      <w:r>
        <w:rPr>
          <w:spacing w:val="-3"/>
          <w:sz w:val="18"/>
          <w:vertAlign w:val="baseline"/>
        </w:rPr>
        <w:t> </w:t>
      </w:r>
      <w:r>
        <w:rPr>
          <w:sz w:val="18"/>
          <w:vertAlign w:val="baseline"/>
        </w:rPr>
        <w:t>and</w:t>
      </w:r>
      <w:r>
        <w:rPr>
          <w:spacing w:val="-3"/>
          <w:sz w:val="18"/>
          <w:vertAlign w:val="baseline"/>
        </w:rPr>
        <w:t> </w:t>
      </w:r>
      <w:r>
        <w:rPr>
          <w:sz w:val="18"/>
          <w:vertAlign w:val="baseline"/>
        </w:rPr>
        <w:t>Caregiver</w:t>
      </w:r>
      <w:r>
        <w:rPr>
          <w:spacing w:val="-3"/>
          <w:sz w:val="18"/>
          <w:vertAlign w:val="baseline"/>
        </w:rPr>
        <w:t> </w:t>
      </w:r>
      <w:r>
        <w:rPr>
          <w:sz w:val="18"/>
          <w:vertAlign w:val="baseline"/>
        </w:rPr>
        <w:t>Perspectives</w:t>
      </w:r>
      <w:r>
        <w:rPr>
          <w:spacing w:val="-3"/>
          <w:sz w:val="18"/>
          <w:vertAlign w:val="baseline"/>
        </w:rPr>
        <w:t> </w:t>
      </w:r>
      <w:r>
        <w:rPr>
          <w:sz w:val="18"/>
          <w:vertAlign w:val="baseline"/>
        </w:rPr>
        <w:t>on</w:t>
      </w:r>
      <w:r>
        <w:rPr>
          <w:spacing w:val="-3"/>
          <w:sz w:val="18"/>
          <w:vertAlign w:val="baseline"/>
        </w:rPr>
        <w:t> </w:t>
      </w:r>
      <w:r>
        <w:rPr>
          <w:sz w:val="18"/>
          <w:vertAlign w:val="baseline"/>
        </w:rPr>
        <w:t>Barriers</w:t>
      </w:r>
      <w:r>
        <w:rPr>
          <w:spacing w:val="-3"/>
          <w:sz w:val="18"/>
          <w:vertAlign w:val="baseline"/>
        </w:rPr>
        <w:t> </w:t>
      </w:r>
      <w:r>
        <w:rPr>
          <w:sz w:val="18"/>
          <w:vertAlign w:val="baseline"/>
        </w:rPr>
        <w:t>to</w:t>
      </w:r>
      <w:r>
        <w:rPr>
          <w:spacing w:val="-3"/>
          <w:sz w:val="18"/>
          <w:vertAlign w:val="baseline"/>
        </w:rPr>
        <w:t> </w:t>
      </w:r>
      <w:r>
        <w:rPr>
          <w:sz w:val="18"/>
          <w:vertAlign w:val="baseline"/>
        </w:rPr>
        <w:t>Gender-Affirming</w:t>
      </w:r>
      <w:r>
        <w:rPr>
          <w:spacing w:val="-3"/>
          <w:sz w:val="18"/>
          <w:vertAlign w:val="baseline"/>
        </w:rPr>
        <w:t> </w:t>
      </w:r>
      <w:r>
        <w:rPr>
          <w:sz w:val="18"/>
          <w:vertAlign w:val="baseline"/>
        </w:rPr>
        <w:t>Health</w:t>
      </w:r>
      <w:r>
        <w:rPr>
          <w:spacing w:val="-3"/>
          <w:sz w:val="18"/>
          <w:vertAlign w:val="baseline"/>
        </w:rPr>
        <w:t> </w:t>
      </w:r>
      <w:r>
        <w:rPr>
          <w:sz w:val="18"/>
          <w:vertAlign w:val="baseline"/>
        </w:rPr>
        <w:t>Care</w:t>
      </w:r>
      <w:r>
        <w:rPr>
          <w:spacing w:val="-3"/>
          <w:sz w:val="18"/>
          <w:vertAlign w:val="baseline"/>
        </w:rPr>
        <w:t> </w:t>
      </w:r>
      <w:r>
        <w:rPr>
          <w:sz w:val="18"/>
          <w:vertAlign w:val="baseline"/>
        </w:rPr>
        <w:t>for</w:t>
      </w:r>
      <w:r>
        <w:rPr>
          <w:spacing w:val="-3"/>
          <w:sz w:val="18"/>
          <w:vertAlign w:val="baseline"/>
        </w:rPr>
        <w:t> </w:t>
      </w:r>
      <w:r>
        <w:rPr>
          <w:sz w:val="18"/>
          <w:vertAlign w:val="baseline"/>
        </w:rPr>
        <w:t>Transgender</w:t>
      </w:r>
      <w:r>
        <w:rPr>
          <w:spacing w:val="-3"/>
          <w:sz w:val="18"/>
          <w:vertAlign w:val="baseline"/>
        </w:rPr>
        <w:t> </w:t>
      </w:r>
      <w:r>
        <w:rPr>
          <w:sz w:val="18"/>
          <w:vertAlign w:val="baseline"/>
        </w:rPr>
        <w:t>Youth. J Adolesc Health. 2016 Sep;59(3):254-261. doi: 10.1016/j.jadohealth.2016.03.017. Epub 2016 May 24. PMID: 27235374. </w:t>
      </w:r>
      <w:r>
        <w:rPr>
          <w:sz w:val="18"/>
          <w:vertAlign w:val="superscript"/>
        </w:rPr>
        <w:t>44</w:t>
      </w:r>
      <w:r>
        <w:rPr>
          <w:sz w:val="18"/>
          <w:vertAlign w:val="baseline"/>
        </w:rPr>
        <w:t> Reisner, Sari &amp; Benyishay, Matan &amp; Stott, Brooke &amp; Vedilago, Virginia &amp; Almazan, Anthony &amp; Keuroghlian, Alex. (2021).</w:t>
      </w:r>
    </w:p>
    <w:p>
      <w:pPr>
        <w:spacing w:line="276" w:lineRule="auto" w:before="0"/>
        <w:ind w:left="463" w:right="0" w:firstLine="0"/>
        <w:jc w:val="left"/>
        <w:rPr>
          <w:sz w:val="18"/>
        </w:rPr>
      </w:pPr>
      <w:r>
        <w:rPr>
          <w:sz w:val="18"/>
        </w:rPr>
        <w:t>Gender-Affirming</w:t>
      </w:r>
      <w:r>
        <w:rPr>
          <w:spacing w:val="-2"/>
          <w:sz w:val="18"/>
        </w:rPr>
        <w:t> </w:t>
      </w:r>
      <w:r>
        <w:rPr>
          <w:sz w:val="18"/>
        </w:rPr>
        <w:t>Mental</w:t>
      </w:r>
      <w:r>
        <w:rPr>
          <w:spacing w:val="-3"/>
          <w:sz w:val="18"/>
        </w:rPr>
        <w:t> </w:t>
      </w:r>
      <w:r>
        <w:rPr>
          <w:sz w:val="18"/>
        </w:rPr>
        <w:t>Health</w:t>
      </w:r>
      <w:r>
        <w:rPr>
          <w:spacing w:val="-2"/>
          <w:sz w:val="18"/>
        </w:rPr>
        <w:t> </w:t>
      </w:r>
      <w:r>
        <w:rPr>
          <w:sz w:val="18"/>
        </w:rPr>
        <w:t>Care</w:t>
      </w:r>
      <w:r>
        <w:rPr>
          <w:spacing w:val="-2"/>
          <w:sz w:val="18"/>
        </w:rPr>
        <w:t> </w:t>
      </w:r>
      <w:r>
        <w:rPr>
          <w:sz w:val="18"/>
        </w:rPr>
        <w:t>Access</w:t>
      </w:r>
      <w:r>
        <w:rPr>
          <w:spacing w:val="-2"/>
          <w:sz w:val="18"/>
        </w:rPr>
        <w:t> </w:t>
      </w:r>
      <w:r>
        <w:rPr>
          <w:sz w:val="18"/>
        </w:rPr>
        <w:t>and</w:t>
      </w:r>
      <w:r>
        <w:rPr>
          <w:spacing w:val="-3"/>
          <w:sz w:val="18"/>
        </w:rPr>
        <w:t> </w:t>
      </w:r>
      <w:r>
        <w:rPr>
          <w:sz w:val="18"/>
        </w:rPr>
        <w:t>Utilization</w:t>
      </w:r>
      <w:r>
        <w:rPr>
          <w:spacing w:val="-2"/>
          <w:sz w:val="18"/>
        </w:rPr>
        <w:t> </w:t>
      </w:r>
      <w:r>
        <w:rPr>
          <w:sz w:val="18"/>
        </w:rPr>
        <w:t>Among</w:t>
      </w:r>
      <w:r>
        <w:rPr>
          <w:spacing w:val="-2"/>
          <w:sz w:val="18"/>
        </w:rPr>
        <w:t> </w:t>
      </w:r>
      <w:r>
        <w:rPr>
          <w:sz w:val="18"/>
        </w:rPr>
        <w:t>Rural</w:t>
      </w:r>
      <w:r>
        <w:rPr>
          <w:spacing w:val="-3"/>
          <w:sz w:val="18"/>
        </w:rPr>
        <w:t> </w:t>
      </w:r>
      <w:r>
        <w:rPr>
          <w:sz w:val="18"/>
        </w:rPr>
        <w:t>Transgender</w:t>
      </w:r>
      <w:r>
        <w:rPr>
          <w:spacing w:val="-3"/>
          <w:sz w:val="18"/>
        </w:rPr>
        <w:t> </w:t>
      </w:r>
      <w:r>
        <w:rPr>
          <w:sz w:val="18"/>
        </w:rPr>
        <w:t>and</w:t>
      </w:r>
      <w:r>
        <w:rPr>
          <w:spacing w:val="-2"/>
          <w:sz w:val="18"/>
        </w:rPr>
        <w:t> </w:t>
      </w:r>
      <w:r>
        <w:rPr>
          <w:sz w:val="18"/>
        </w:rPr>
        <w:t>Gender</w:t>
      </w:r>
      <w:r>
        <w:rPr>
          <w:spacing w:val="-4"/>
          <w:sz w:val="18"/>
        </w:rPr>
        <w:t> </w:t>
      </w:r>
      <w:r>
        <w:rPr>
          <w:sz w:val="18"/>
        </w:rPr>
        <w:t>Diverse</w:t>
      </w:r>
      <w:r>
        <w:rPr>
          <w:spacing w:val="-2"/>
          <w:sz w:val="18"/>
        </w:rPr>
        <w:t> </w:t>
      </w:r>
      <w:r>
        <w:rPr>
          <w:sz w:val="18"/>
        </w:rPr>
        <w:t>Adults</w:t>
      </w:r>
      <w:r>
        <w:rPr>
          <w:spacing w:val="-2"/>
          <w:sz w:val="18"/>
        </w:rPr>
        <w:t> </w:t>
      </w:r>
      <w:r>
        <w:rPr>
          <w:sz w:val="18"/>
        </w:rPr>
        <w:t>in</w:t>
      </w:r>
      <w:r>
        <w:rPr>
          <w:spacing w:val="-3"/>
          <w:sz w:val="18"/>
        </w:rPr>
        <w:t> </w:t>
      </w:r>
      <w:r>
        <w:rPr>
          <w:sz w:val="18"/>
        </w:rPr>
        <w:t>Five Northeastern U.S. States. Transgender Health. 7. 10.1089/trgh.2021.0010.</w:t>
      </w:r>
    </w:p>
    <w:p>
      <w:pPr>
        <w:spacing w:line="276" w:lineRule="auto" w:before="0"/>
        <w:ind w:left="463" w:right="228" w:firstLine="0"/>
        <w:jc w:val="left"/>
        <w:rPr>
          <w:sz w:val="18"/>
        </w:rPr>
      </w:pPr>
      <w:r>
        <w:rPr>
          <w:sz w:val="18"/>
          <w:vertAlign w:val="superscript"/>
        </w:rPr>
        <w:t>45</w:t>
      </w:r>
      <w:r>
        <w:rPr>
          <w:spacing w:val="-13"/>
          <w:sz w:val="18"/>
          <w:vertAlign w:val="baseline"/>
        </w:rPr>
        <w:t> </w:t>
      </w:r>
      <w:r>
        <w:rPr>
          <w:sz w:val="18"/>
          <w:vertAlign w:val="baseline"/>
        </w:rPr>
        <w:t>Nowaskie,</w:t>
      </w:r>
      <w:r>
        <w:rPr>
          <w:spacing w:val="-5"/>
          <w:sz w:val="18"/>
          <w:vertAlign w:val="baseline"/>
        </w:rPr>
        <w:t> </w:t>
      </w:r>
      <w:r>
        <w:rPr>
          <w:sz w:val="18"/>
          <w:vertAlign w:val="baseline"/>
        </w:rPr>
        <w:t>Dustin</w:t>
      </w:r>
      <w:r>
        <w:rPr>
          <w:spacing w:val="-2"/>
          <w:sz w:val="18"/>
          <w:vertAlign w:val="baseline"/>
        </w:rPr>
        <w:t> </w:t>
      </w:r>
      <w:r>
        <w:rPr>
          <w:sz w:val="18"/>
          <w:vertAlign w:val="baseline"/>
        </w:rPr>
        <w:t>Z.,</w:t>
      </w:r>
      <w:r>
        <w:rPr>
          <w:spacing w:val="-3"/>
          <w:sz w:val="18"/>
          <w:vertAlign w:val="baseline"/>
        </w:rPr>
        <w:t> </w:t>
      </w:r>
      <w:r>
        <w:rPr>
          <w:sz w:val="18"/>
          <w:vertAlign w:val="baseline"/>
        </w:rPr>
        <w:t>and</w:t>
      </w:r>
      <w:r>
        <w:rPr>
          <w:spacing w:val="-2"/>
          <w:sz w:val="18"/>
          <w:vertAlign w:val="baseline"/>
        </w:rPr>
        <w:t> </w:t>
      </w:r>
      <w:r>
        <w:rPr>
          <w:sz w:val="18"/>
          <w:vertAlign w:val="baseline"/>
        </w:rPr>
        <w:t>John</w:t>
      </w:r>
      <w:r>
        <w:rPr>
          <w:spacing w:val="-2"/>
          <w:sz w:val="18"/>
          <w:vertAlign w:val="baseline"/>
        </w:rPr>
        <w:t> </w:t>
      </w:r>
      <w:r>
        <w:rPr>
          <w:sz w:val="18"/>
          <w:vertAlign w:val="baseline"/>
        </w:rPr>
        <w:t>S.</w:t>
      </w:r>
      <w:r>
        <w:rPr>
          <w:spacing w:val="-2"/>
          <w:sz w:val="18"/>
          <w:vertAlign w:val="baseline"/>
        </w:rPr>
        <w:t> </w:t>
      </w:r>
      <w:r>
        <w:rPr>
          <w:sz w:val="18"/>
          <w:vertAlign w:val="baseline"/>
        </w:rPr>
        <w:t>Sowinski.</w:t>
      </w:r>
      <w:r>
        <w:rPr>
          <w:spacing w:val="-2"/>
          <w:sz w:val="18"/>
          <w:vertAlign w:val="baseline"/>
        </w:rPr>
        <w:t> </w:t>
      </w:r>
      <w:r>
        <w:rPr>
          <w:sz w:val="18"/>
          <w:vertAlign w:val="baseline"/>
        </w:rPr>
        <w:t>2018.</w:t>
      </w:r>
      <w:r>
        <w:rPr>
          <w:spacing w:val="-2"/>
          <w:sz w:val="18"/>
          <w:vertAlign w:val="baseline"/>
        </w:rPr>
        <w:t> </w:t>
      </w:r>
      <w:r>
        <w:rPr>
          <w:sz w:val="18"/>
          <w:vertAlign w:val="baseline"/>
        </w:rPr>
        <w:t>“Primary</w:t>
      </w:r>
      <w:r>
        <w:rPr>
          <w:spacing w:val="-2"/>
          <w:sz w:val="18"/>
          <w:vertAlign w:val="baseline"/>
        </w:rPr>
        <w:t> </w:t>
      </w:r>
      <w:r>
        <w:rPr>
          <w:sz w:val="18"/>
          <w:vertAlign w:val="baseline"/>
        </w:rPr>
        <w:t>Care</w:t>
      </w:r>
      <w:r>
        <w:rPr>
          <w:spacing w:val="-3"/>
          <w:sz w:val="18"/>
          <w:vertAlign w:val="baseline"/>
        </w:rPr>
        <w:t> </w:t>
      </w:r>
      <w:r>
        <w:rPr>
          <w:sz w:val="18"/>
          <w:vertAlign w:val="baseline"/>
        </w:rPr>
        <w:t>Providers’</w:t>
      </w:r>
      <w:r>
        <w:rPr>
          <w:spacing w:val="-3"/>
          <w:sz w:val="18"/>
          <w:vertAlign w:val="baseline"/>
        </w:rPr>
        <w:t> </w:t>
      </w:r>
      <w:r>
        <w:rPr>
          <w:sz w:val="18"/>
          <w:vertAlign w:val="baseline"/>
        </w:rPr>
        <w:t>Attitudes,</w:t>
      </w:r>
      <w:r>
        <w:rPr>
          <w:spacing w:val="-3"/>
          <w:sz w:val="18"/>
          <w:vertAlign w:val="baseline"/>
        </w:rPr>
        <w:t> </w:t>
      </w:r>
      <w:r>
        <w:rPr>
          <w:sz w:val="18"/>
          <w:vertAlign w:val="baseline"/>
        </w:rPr>
        <w:t>Practices,</w:t>
      </w:r>
      <w:r>
        <w:rPr>
          <w:spacing w:val="-3"/>
          <w:sz w:val="18"/>
          <w:vertAlign w:val="baseline"/>
        </w:rPr>
        <w:t> </w:t>
      </w:r>
      <w:r>
        <w:rPr>
          <w:sz w:val="18"/>
          <w:vertAlign w:val="baseline"/>
        </w:rPr>
        <w:t>and</w:t>
      </w:r>
      <w:r>
        <w:rPr>
          <w:spacing w:val="-2"/>
          <w:sz w:val="18"/>
          <w:vertAlign w:val="baseline"/>
        </w:rPr>
        <w:t> </w:t>
      </w:r>
      <w:r>
        <w:rPr>
          <w:sz w:val="18"/>
          <w:vertAlign w:val="baseline"/>
        </w:rPr>
        <w:t>Knowledge</w:t>
      </w:r>
      <w:r>
        <w:rPr>
          <w:spacing w:val="-3"/>
          <w:sz w:val="18"/>
          <w:vertAlign w:val="baseline"/>
        </w:rPr>
        <w:t> </w:t>
      </w:r>
      <w:r>
        <w:rPr>
          <w:sz w:val="18"/>
          <w:vertAlign w:val="baseline"/>
        </w:rPr>
        <w:t>in</w:t>
      </w:r>
      <w:r>
        <w:rPr>
          <w:spacing w:val="-2"/>
          <w:sz w:val="18"/>
          <w:vertAlign w:val="baseline"/>
        </w:rPr>
        <w:t> </w:t>
      </w:r>
      <w:r>
        <w:rPr>
          <w:sz w:val="18"/>
          <w:vertAlign w:val="baseline"/>
        </w:rPr>
        <w:t>Treating LGBTQ Communities.” Journal of Homosexuality 66 (13): 1927–47. https://doi.org/10.1080/00918369.2018.1519304. </w:t>
      </w:r>
      <w:r>
        <w:rPr>
          <w:sz w:val="18"/>
          <w:vertAlign w:val="superscript"/>
        </w:rPr>
        <w:t>46</w:t>
      </w:r>
      <w:r>
        <w:rPr>
          <w:sz w:val="18"/>
          <w:vertAlign w:val="baseline"/>
        </w:rPr>
        <w:t> Vance, Stanley R., Bonnie L. Halpern-Felsher, and Stephen M. Rosenthal. 2015. “Health Care Providers’ Comfort with and Barriers to Care of Transgender Youth.” </w:t>
      </w:r>
      <w:r>
        <w:rPr>
          <w:i/>
          <w:sz w:val="18"/>
          <w:vertAlign w:val="baseline"/>
        </w:rPr>
        <w:t>Journal of Adolescent Health </w:t>
      </w:r>
      <w:r>
        <w:rPr>
          <w:sz w:val="18"/>
          <w:vertAlign w:val="baseline"/>
        </w:rPr>
        <w:t>56 (2): 251–53.</w:t>
      </w:r>
    </w:p>
    <w:p>
      <w:pPr>
        <w:spacing w:after="0" w:line="276" w:lineRule="auto"/>
        <w:jc w:val="left"/>
        <w:rPr>
          <w:sz w:val="18"/>
        </w:rPr>
        <w:sectPr>
          <w:pgSz w:w="12240" w:h="15840"/>
          <w:pgMar w:header="721" w:footer="1061" w:top="1360" w:bottom="1260" w:left="1120" w:right="1340"/>
        </w:sectPr>
      </w:pPr>
    </w:p>
    <w:p>
      <w:pPr>
        <w:spacing w:before="68"/>
        <w:ind w:left="464" w:right="0" w:firstLine="0"/>
        <w:jc w:val="left"/>
        <w:rPr>
          <w:sz w:val="18"/>
        </w:rPr>
      </w:pPr>
      <w:r>
        <w:rPr>
          <w:spacing w:val="-2"/>
          <w:sz w:val="18"/>
        </w:rPr>
        <w:t>https://doi.org/10.1016/j.jadohealth.2014.11.002.</w:t>
      </w:r>
    </w:p>
    <w:p>
      <w:pPr>
        <w:spacing w:line="276" w:lineRule="auto" w:before="34"/>
        <w:ind w:left="464" w:right="288" w:firstLine="1"/>
        <w:jc w:val="left"/>
        <w:rPr>
          <w:sz w:val="18"/>
        </w:rPr>
      </w:pPr>
      <w:r>
        <w:rPr>
          <w:sz w:val="18"/>
          <w:vertAlign w:val="superscript"/>
        </w:rPr>
        <w:t>47</w:t>
      </w:r>
      <w:r>
        <w:rPr>
          <w:spacing w:val="-13"/>
          <w:sz w:val="18"/>
          <w:vertAlign w:val="baseline"/>
        </w:rPr>
        <w:t> </w:t>
      </w:r>
      <w:r>
        <w:rPr>
          <w:sz w:val="18"/>
          <w:vertAlign w:val="baseline"/>
        </w:rPr>
        <w:t>Medina,</w:t>
      </w:r>
      <w:r>
        <w:rPr>
          <w:spacing w:val="-5"/>
          <w:sz w:val="18"/>
          <w:vertAlign w:val="baseline"/>
        </w:rPr>
        <w:t> </w:t>
      </w:r>
      <w:r>
        <w:rPr>
          <w:sz w:val="18"/>
          <w:vertAlign w:val="baseline"/>
        </w:rPr>
        <w:t>Caroline,</w:t>
      </w:r>
      <w:r>
        <w:rPr>
          <w:spacing w:val="-4"/>
          <w:sz w:val="18"/>
          <w:vertAlign w:val="baseline"/>
        </w:rPr>
        <w:t> </w:t>
      </w:r>
      <w:r>
        <w:rPr>
          <w:sz w:val="18"/>
          <w:vertAlign w:val="baseline"/>
        </w:rPr>
        <w:t>Lindsay</w:t>
      </w:r>
      <w:r>
        <w:rPr>
          <w:spacing w:val="-3"/>
          <w:sz w:val="18"/>
          <w:vertAlign w:val="baseline"/>
        </w:rPr>
        <w:t> </w:t>
      </w:r>
      <w:r>
        <w:rPr>
          <w:sz w:val="18"/>
          <w:vertAlign w:val="baseline"/>
        </w:rPr>
        <w:t>Mahowald,</w:t>
      </w:r>
      <w:r>
        <w:rPr>
          <w:spacing w:val="-4"/>
          <w:sz w:val="18"/>
          <w:vertAlign w:val="baseline"/>
        </w:rPr>
        <w:t> </w:t>
      </w:r>
      <w:r>
        <w:rPr>
          <w:sz w:val="18"/>
          <w:vertAlign w:val="baseline"/>
        </w:rPr>
        <w:t>Thee</w:t>
      </w:r>
      <w:r>
        <w:rPr>
          <w:spacing w:val="-3"/>
          <w:sz w:val="18"/>
          <w:vertAlign w:val="baseline"/>
        </w:rPr>
        <w:t> </w:t>
      </w:r>
      <w:r>
        <w:rPr>
          <w:sz w:val="18"/>
          <w:vertAlign w:val="baseline"/>
        </w:rPr>
        <w:t>Santos,</w:t>
      </w:r>
      <w:r>
        <w:rPr>
          <w:spacing w:val="-4"/>
          <w:sz w:val="18"/>
          <w:vertAlign w:val="baseline"/>
        </w:rPr>
        <w:t> </w:t>
      </w:r>
      <w:r>
        <w:rPr>
          <w:sz w:val="18"/>
          <w:vertAlign w:val="baseline"/>
        </w:rPr>
        <w:t>and</w:t>
      </w:r>
      <w:r>
        <w:rPr>
          <w:spacing w:val="-3"/>
          <w:sz w:val="18"/>
          <w:vertAlign w:val="baseline"/>
        </w:rPr>
        <w:t> </w:t>
      </w:r>
      <w:r>
        <w:rPr>
          <w:sz w:val="18"/>
          <w:vertAlign w:val="baseline"/>
        </w:rPr>
        <w:t>Sharita</w:t>
      </w:r>
      <w:r>
        <w:rPr>
          <w:spacing w:val="-3"/>
          <w:sz w:val="18"/>
          <w:vertAlign w:val="baseline"/>
        </w:rPr>
        <w:t> </w:t>
      </w:r>
      <w:r>
        <w:rPr>
          <w:sz w:val="18"/>
          <w:vertAlign w:val="baseline"/>
        </w:rPr>
        <w:t>Gruberg.</w:t>
      </w:r>
      <w:r>
        <w:rPr>
          <w:spacing w:val="-3"/>
          <w:sz w:val="18"/>
          <w:vertAlign w:val="baseline"/>
        </w:rPr>
        <w:t> </w:t>
      </w:r>
      <w:r>
        <w:rPr>
          <w:sz w:val="18"/>
          <w:vertAlign w:val="baseline"/>
        </w:rPr>
        <w:t>2021.</w:t>
      </w:r>
      <w:r>
        <w:rPr>
          <w:spacing w:val="-4"/>
          <w:sz w:val="18"/>
          <w:vertAlign w:val="baseline"/>
        </w:rPr>
        <w:t> </w:t>
      </w:r>
      <w:r>
        <w:rPr>
          <w:sz w:val="18"/>
          <w:vertAlign w:val="baseline"/>
        </w:rPr>
        <w:t>“Protecting</w:t>
      </w:r>
      <w:r>
        <w:rPr>
          <w:spacing w:val="-3"/>
          <w:sz w:val="18"/>
          <w:vertAlign w:val="baseline"/>
        </w:rPr>
        <w:t> </w:t>
      </w:r>
      <w:r>
        <w:rPr>
          <w:sz w:val="18"/>
          <w:vertAlign w:val="baseline"/>
        </w:rPr>
        <w:t>and</w:t>
      </w:r>
      <w:r>
        <w:rPr>
          <w:spacing w:val="-3"/>
          <w:sz w:val="18"/>
          <w:vertAlign w:val="baseline"/>
        </w:rPr>
        <w:t> </w:t>
      </w:r>
      <w:r>
        <w:rPr>
          <w:sz w:val="18"/>
          <w:vertAlign w:val="baseline"/>
        </w:rPr>
        <w:t>Advancing</w:t>
      </w:r>
      <w:r>
        <w:rPr>
          <w:spacing w:val="-3"/>
          <w:sz w:val="18"/>
          <w:vertAlign w:val="baseline"/>
        </w:rPr>
        <w:t> </w:t>
      </w:r>
      <w:r>
        <w:rPr>
          <w:sz w:val="18"/>
          <w:vertAlign w:val="baseline"/>
        </w:rPr>
        <w:t>Health</w:t>
      </w:r>
      <w:r>
        <w:rPr>
          <w:spacing w:val="-3"/>
          <w:sz w:val="18"/>
          <w:vertAlign w:val="baseline"/>
        </w:rPr>
        <w:t> </w:t>
      </w:r>
      <w:r>
        <w:rPr>
          <w:sz w:val="18"/>
          <w:vertAlign w:val="baseline"/>
        </w:rPr>
        <w:t>Care</w:t>
      </w:r>
      <w:r>
        <w:rPr>
          <w:spacing w:val="-3"/>
          <w:sz w:val="18"/>
          <w:vertAlign w:val="baseline"/>
        </w:rPr>
        <w:t> </w:t>
      </w:r>
      <w:r>
        <w:rPr>
          <w:sz w:val="18"/>
          <w:vertAlign w:val="baseline"/>
        </w:rPr>
        <w:t>for Transgender Adult Communities.” Center for American Progress. August 18, 2021. </w:t>
      </w:r>
      <w:r>
        <w:rPr>
          <w:spacing w:val="-2"/>
          <w:sz w:val="18"/>
          <w:vertAlign w:val="baseline"/>
        </w:rPr>
        <w:t>https:</w:t>
      </w:r>
      <w:hyperlink r:id="rId289">
        <w:r>
          <w:rPr>
            <w:spacing w:val="-2"/>
            <w:sz w:val="18"/>
            <w:vertAlign w:val="baseline"/>
          </w:rPr>
          <w:t>//www.americanprogress.org/article/protecting-advancing-health-care-transgender-adult-communities/.</w:t>
        </w:r>
      </w:hyperlink>
    </w:p>
    <w:p>
      <w:pPr>
        <w:spacing w:line="276" w:lineRule="auto" w:before="0"/>
        <w:ind w:left="463" w:right="228" w:firstLine="2"/>
        <w:jc w:val="left"/>
        <w:rPr>
          <w:sz w:val="18"/>
        </w:rPr>
      </w:pPr>
      <w:r>
        <w:rPr>
          <w:sz w:val="18"/>
          <w:vertAlign w:val="superscript"/>
        </w:rPr>
        <w:t>48</w:t>
      </w:r>
      <w:r>
        <w:rPr>
          <w:spacing w:val="-13"/>
          <w:sz w:val="18"/>
          <w:vertAlign w:val="baseline"/>
        </w:rPr>
        <w:t> </w:t>
      </w:r>
      <w:r>
        <w:rPr>
          <w:sz w:val="18"/>
          <w:vertAlign w:val="baseline"/>
        </w:rPr>
        <w:t>American</w:t>
      </w:r>
      <w:r>
        <w:rPr>
          <w:spacing w:val="-5"/>
          <w:sz w:val="18"/>
          <w:vertAlign w:val="baseline"/>
        </w:rPr>
        <w:t> </w:t>
      </w:r>
      <w:r>
        <w:rPr>
          <w:sz w:val="18"/>
          <w:vertAlign w:val="baseline"/>
        </w:rPr>
        <w:t>Psychological</w:t>
      </w:r>
      <w:r>
        <w:rPr>
          <w:spacing w:val="-4"/>
          <w:sz w:val="18"/>
          <w:vertAlign w:val="baseline"/>
        </w:rPr>
        <w:t> </w:t>
      </w:r>
      <w:r>
        <w:rPr>
          <w:sz w:val="18"/>
          <w:vertAlign w:val="baseline"/>
        </w:rPr>
        <w:t>Association,</w:t>
      </w:r>
      <w:r>
        <w:rPr>
          <w:spacing w:val="-4"/>
          <w:sz w:val="18"/>
          <w:vertAlign w:val="baseline"/>
        </w:rPr>
        <w:t> </w:t>
      </w:r>
      <w:r>
        <w:rPr>
          <w:sz w:val="18"/>
          <w:vertAlign w:val="baseline"/>
        </w:rPr>
        <w:t>Position</w:t>
      </w:r>
      <w:r>
        <w:rPr>
          <w:spacing w:val="-3"/>
          <w:sz w:val="18"/>
          <w:vertAlign w:val="baseline"/>
        </w:rPr>
        <w:t> </w:t>
      </w:r>
      <w:r>
        <w:rPr>
          <w:sz w:val="18"/>
          <w:vertAlign w:val="baseline"/>
        </w:rPr>
        <w:t>Statement</w:t>
      </w:r>
      <w:r>
        <w:rPr>
          <w:spacing w:val="-4"/>
          <w:sz w:val="18"/>
          <w:vertAlign w:val="baseline"/>
        </w:rPr>
        <w:t> </w:t>
      </w:r>
      <w:r>
        <w:rPr>
          <w:sz w:val="18"/>
          <w:vertAlign w:val="baseline"/>
        </w:rPr>
        <w:t>on</w:t>
      </w:r>
      <w:r>
        <w:rPr>
          <w:spacing w:val="-3"/>
          <w:sz w:val="18"/>
          <w:vertAlign w:val="baseline"/>
        </w:rPr>
        <w:t> </w:t>
      </w:r>
      <w:r>
        <w:rPr>
          <w:sz w:val="18"/>
          <w:vertAlign w:val="baseline"/>
        </w:rPr>
        <w:t>Psychiatric</w:t>
      </w:r>
      <w:r>
        <w:rPr>
          <w:spacing w:val="-4"/>
          <w:sz w:val="18"/>
          <w:vertAlign w:val="baseline"/>
        </w:rPr>
        <w:t> </w:t>
      </w:r>
      <w:r>
        <w:rPr>
          <w:sz w:val="18"/>
          <w:vertAlign w:val="baseline"/>
        </w:rPr>
        <w:t>Hospitalization</w:t>
      </w:r>
      <w:r>
        <w:rPr>
          <w:spacing w:val="-3"/>
          <w:sz w:val="18"/>
          <w:vertAlign w:val="baseline"/>
        </w:rPr>
        <w:t> </w:t>
      </w:r>
      <w:r>
        <w:rPr>
          <w:sz w:val="18"/>
          <w:vertAlign w:val="baseline"/>
        </w:rPr>
        <w:t>of</w:t>
      </w:r>
      <w:r>
        <w:rPr>
          <w:spacing w:val="-3"/>
          <w:sz w:val="18"/>
          <w:vertAlign w:val="baseline"/>
        </w:rPr>
        <w:t> </w:t>
      </w:r>
      <w:r>
        <w:rPr>
          <w:sz w:val="18"/>
          <w:vertAlign w:val="baseline"/>
        </w:rPr>
        <w:t>Children</w:t>
      </w:r>
      <w:r>
        <w:rPr>
          <w:spacing w:val="-3"/>
          <w:sz w:val="18"/>
          <w:vertAlign w:val="baseline"/>
        </w:rPr>
        <w:t> </w:t>
      </w:r>
      <w:r>
        <w:rPr>
          <w:sz w:val="18"/>
          <w:vertAlign w:val="baseline"/>
        </w:rPr>
        <w:t>and</w:t>
      </w:r>
      <w:r>
        <w:rPr>
          <w:spacing w:val="-3"/>
          <w:sz w:val="18"/>
          <w:vertAlign w:val="baseline"/>
        </w:rPr>
        <w:t> </w:t>
      </w:r>
      <w:r>
        <w:rPr>
          <w:sz w:val="18"/>
          <w:vertAlign w:val="baseline"/>
        </w:rPr>
        <w:t>Adolescents, accessed January 10 2023, https:</w:t>
      </w:r>
      <w:hyperlink r:id="rId290">
        <w:r>
          <w:rPr>
            <w:sz w:val="18"/>
            <w:vertAlign w:val="baseline"/>
          </w:rPr>
          <w:t>//www.psychiatry.org/File%20Library/About-APA/Organization-Documents-</w:t>
        </w:r>
      </w:hyperlink>
      <w:r>
        <w:rPr>
          <w:sz w:val="18"/>
          <w:vertAlign w:val="baseline"/>
        </w:rPr>
        <w:t> Policies/Policies/Position 2016-Psychiatric-Hospitalization-of-Children-and-Adolescents.pdf</w:t>
      </w:r>
    </w:p>
    <w:p>
      <w:pPr>
        <w:spacing w:line="276" w:lineRule="auto" w:before="0"/>
        <w:ind w:left="464" w:right="318" w:hanging="1"/>
        <w:jc w:val="left"/>
        <w:rPr>
          <w:sz w:val="18"/>
        </w:rPr>
      </w:pPr>
      <w:r>
        <w:rPr>
          <w:sz w:val="18"/>
          <w:vertAlign w:val="superscript"/>
        </w:rPr>
        <w:t>49</w:t>
      </w:r>
      <w:r>
        <w:rPr>
          <w:spacing w:val="-13"/>
          <w:sz w:val="18"/>
          <w:vertAlign w:val="baseline"/>
        </w:rPr>
        <w:t> </w:t>
      </w:r>
      <w:r>
        <w:rPr>
          <w:sz w:val="18"/>
          <w:vertAlign w:val="baseline"/>
        </w:rPr>
        <w:t>The</w:t>
      </w:r>
      <w:r>
        <w:rPr>
          <w:spacing w:val="-4"/>
          <w:sz w:val="18"/>
          <w:vertAlign w:val="baseline"/>
        </w:rPr>
        <w:t> </w:t>
      </w:r>
      <w:r>
        <w:rPr>
          <w:sz w:val="18"/>
          <w:vertAlign w:val="baseline"/>
        </w:rPr>
        <w:t>Psychiatric</w:t>
      </w:r>
      <w:r>
        <w:rPr>
          <w:spacing w:val="-4"/>
          <w:sz w:val="18"/>
          <w:vertAlign w:val="baseline"/>
        </w:rPr>
        <w:t> </w:t>
      </w:r>
      <w:r>
        <w:rPr>
          <w:sz w:val="18"/>
          <w:vertAlign w:val="baseline"/>
        </w:rPr>
        <w:t>Bed</w:t>
      </w:r>
      <w:r>
        <w:rPr>
          <w:spacing w:val="-3"/>
          <w:sz w:val="18"/>
          <w:vertAlign w:val="baseline"/>
        </w:rPr>
        <w:t> </w:t>
      </w:r>
      <w:r>
        <w:rPr>
          <w:sz w:val="18"/>
          <w:vertAlign w:val="baseline"/>
        </w:rPr>
        <w:t>Crisis</w:t>
      </w:r>
      <w:r>
        <w:rPr>
          <w:spacing w:val="-3"/>
          <w:sz w:val="18"/>
          <w:vertAlign w:val="baseline"/>
        </w:rPr>
        <w:t> </w:t>
      </w:r>
      <w:r>
        <w:rPr>
          <w:sz w:val="18"/>
          <w:vertAlign w:val="baseline"/>
        </w:rPr>
        <w:t>in</w:t>
      </w:r>
      <w:r>
        <w:rPr>
          <w:spacing w:val="-3"/>
          <w:sz w:val="18"/>
          <w:vertAlign w:val="baseline"/>
        </w:rPr>
        <w:t> </w:t>
      </w:r>
      <w:r>
        <w:rPr>
          <w:sz w:val="18"/>
          <w:vertAlign w:val="baseline"/>
        </w:rPr>
        <w:t>the</w:t>
      </w:r>
      <w:r>
        <w:rPr>
          <w:spacing w:val="-3"/>
          <w:sz w:val="18"/>
          <w:vertAlign w:val="baseline"/>
        </w:rPr>
        <w:t> </w:t>
      </w:r>
      <w:r>
        <w:rPr>
          <w:sz w:val="18"/>
          <w:vertAlign w:val="baseline"/>
        </w:rPr>
        <w:t>US:</w:t>
      </w:r>
      <w:r>
        <w:rPr>
          <w:spacing w:val="-3"/>
          <w:sz w:val="18"/>
          <w:vertAlign w:val="baseline"/>
        </w:rPr>
        <w:t> </w:t>
      </w:r>
      <w:r>
        <w:rPr>
          <w:sz w:val="18"/>
          <w:vertAlign w:val="baseline"/>
        </w:rPr>
        <w:t>Understanding</w:t>
      </w:r>
      <w:r>
        <w:rPr>
          <w:spacing w:val="-3"/>
          <w:sz w:val="18"/>
          <w:vertAlign w:val="baseline"/>
        </w:rPr>
        <w:t> </w:t>
      </w:r>
      <w:r>
        <w:rPr>
          <w:sz w:val="18"/>
          <w:vertAlign w:val="baseline"/>
        </w:rPr>
        <w:t>the</w:t>
      </w:r>
      <w:r>
        <w:rPr>
          <w:spacing w:val="-3"/>
          <w:sz w:val="18"/>
          <w:vertAlign w:val="baseline"/>
        </w:rPr>
        <w:t> </w:t>
      </w:r>
      <w:r>
        <w:rPr>
          <w:sz w:val="18"/>
          <w:vertAlign w:val="baseline"/>
        </w:rPr>
        <w:t>Problem</w:t>
      </w:r>
      <w:r>
        <w:rPr>
          <w:spacing w:val="-3"/>
          <w:sz w:val="18"/>
          <w:vertAlign w:val="baseline"/>
        </w:rPr>
        <w:t> </w:t>
      </w:r>
      <w:r>
        <w:rPr>
          <w:sz w:val="18"/>
          <w:vertAlign w:val="baseline"/>
        </w:rPr>
        <w:t>and</w:t>
      </w:r>
      <w:r>
        <w:rPr>
          <w:spacing w:val="-3"/>
          <w:sz w:val="18"/>
          <w:vertAlign w:val="baseline"/>
        </w:rPr>
        <w:t> </w:t>
      </w:r>
      <w:r>
        <w:rPr>
          <w:sz w:val="18"/>
          <w:vertAlign w:val="baseline"/>
        </w:rPr>
        <w:t>Moving</w:t>
      </w:r>
      <w:r>
        <w:rPr>
          <w:spacing w:val="-3"/>
          <w:sz w:val="18"/>
          <w:vertAlign w:val="baseline"/>
        </w:rPr>
        <w:t> </w:t>
      </w:r>
      <w:r>
        <w:rPr>
          <w:sz w:val="18"/>
          <w:vertAlign w:val="baseline"/>
        </w:rPr>
        <w:t>Towards</w:t>
      </w:r>
      <w:r>
        <w:rPr>
          <w:spacing w:val="-3"/>
          <w:sz w:val="18"/>
          <w:vertAlign w:val="baseline"/>
        </w:rPr>
        <w:t> </w:t>
      </w:r>
      <w:r>
        <w:rPr>
          <w:sz w:val="18"/>
          <w:vertAlign w:val="baseline"/>
        </w:rPr>
        <w:t>Solutions.</w:t>
      </w:r>
      <w:r>
        <w:rPr>
          <w:spacing w:val="-3"/>
          <w:sz w:val="18"/>
          <w:vertAlign w:val="baseline"/>
        </w:rPr>
        <w:t> </w:t>
      </w:r>
      <w:r>
        <w:rPr>
          <w:sz w:val="18"/>
          <w:vertAlign w:val="baseline"/>
        </w:rPr>
        <w:t>American</w:t>
      </w:r>
      <w:r>
        <w:rPr>
          <w:spacing w:val="-3"/>
          <w:sz w:val="18"/>
          <w:vertAlign w:val="baseline"/>
        </w:rPr>
        <w:t> </w:t>
      </w:r>
      <w:r>
        <w:rPr>
          <w:sz w:val="18"/>
          <w:vertAlign w:val="baseline"/>
        </w:rPr>
        <w:t>Psychological Association, 2022. https:</w:t>
      </w:r>
      <w:hyperlink r:id="rId290">
        <w:r>
          <w:rPr>
            <w:sz w:val="18"/>
            <w:vertAlign w:val="baseline"/>
          </w:rPr>
          <w:t>//www.psychiatry.org/File%20Library/About-APA/Organization-Documents-</w:t>
        </w:r>
      </w:hyperlink>
      <w:r>
        <w:rPr>
          <w:sz w:val="18"/>
          <w:vertAlign w:val="baseline"/>
        </w:rPr>
        <w:t> Policies/Policies/Position 2016-Psychiatric-Hospitalization-of-Children-and-Adolescents.pdf</w:t>
      </w:r>
    </w:p>
    <w:p>
      <w:pPr>
        <w:spacing w:line="276" w:lineRule="auto" w:before="0"/>
        <w:ind w:left="464" w:right="481" w:firstLine="12"/>
        <w:jc w:val="left"/>
        <w:rPr>
          <w:sz w:val="18"/>
        </w:rPr>
      </w:pPr>
      <w:r>
        <w:rPr>
          <w:sz w:val="18"/>
          <w:vertAlign w:val="superscript"/>
        </w:rPr>
        <w:t>50</w:t>
      </w:r>
      <w:r>
        <w:rPr>
          <w:spacing w:val="-13"/>
          <w:sz w:val="18"/>
          <w:vertAlign w:val="baseline"/>
        </w:rPr>
        <w:t> </w:t>
      </w:r>
      <w:r>
        <w:rPr>
          <w:color w:val="212121"/>
          <w:sz w:val="18"/>
          <w:vertAlign w:val="baseline"/>
        </w:rPr>
        <w:t>Aranmolate,</w:t>
      </w:r>
      <w:r>
        <w:rPr>
          <w:color w:val="212121"/>
          <w:spacing w:val="-5"/>
          <w:sz w:val="18"/>
          <w:vertAlign w:val="baseline"/>
        </w:rPr>
        <w:t> </w:t>
      </w:r>
      <w:r>
        <w:rPr>
          <w:color w:val="212121"/>
          <w:sz w:val="18"/>
          <w:vertAlign w:val="baseline"/>
        </w:rPr>
        <w:t>Rasaki,</w:t>
      </w:r>
      <w:r>
        <w:rPr>
          <w:color w:val="212121"/>
          <w:spacing w:val="-3"/>
          <w:sz w:val="18"/>
          <w:vertAlign w:val="baseline"/>
        </w:rPr>
        <w:t> </w:t>
      </w:r>
      <w:r>
        <w:rPr>
          <w:color w:val="212121"/>
          <w:sz w:val="18"/>
          <w:vertAlign w:val="baseline"/>
        </w:rPr>
        <w:t>Danielle</w:t>
      </w:r>
      <w:r>
        <w:rPr>
          <w:color w:val="212121"/>
          <w:spacing w:val="-3"/>
          <w:sz w:val="18"/>
          <w:vertAlign w:val="baseline"/>
        </w:rPr>
        <w:t> </w:t>
      </w:r>
      <w:r>
        <w:rPr>
          <w:color w:val="212121"/>
          <w:sz w:val="18"/>
          <w:vertAlign w:val="baseline"/>
        </w:rPr>
        <w:t>R.</w:t>
      </w:r>
      <w:r>
        <w:rPr>
          <w:color w:val="212121"/>
          <w:spacing w:val="-3"/>
          <w:sz w:val="18"/>
          <w:vertAlign w:val="baseline"/>
        </w:rPr>
        <w:t> </w:t>
      </w:r>
      <w:r>
        <w:rPr>
          <w:color w:val="212121"/>
          <w:sz w:val="18"/>
          <w:vertAlign w:val="baseline"/>
        </w:rPr>
        <w:t>Bogan,</w:t>
      </w:r>
      <w:r>
        <w:rPr>
          <w:color w:val="212121"/>
          <w:spacing w:val="-3"/>
          <w:sz w:val="18"/>
          <w:vertAlign w:val="baseline"/>
        </w:rPr>
        <w:t> </w:t>
      </w:r>
      <w:r>
        <w:rPr>
          <w:color w:val="212121"/>
          <w:sz w:val="18"/>
          <w:vertAlign w:val="baseline"/>
        </w:rPr>
        <w:t>Tiffany</w:t>
      </w:r>
      <w:r>
        <w:rPr>
          <w:color w:val="212121"/>
          <w:spacing w:val="-3"/>
          <w:sz w:val="18"/>
          <w:vertAlign w:val="baseline"/>
        </w:rPr>
        <w:t> </w:t>
      </w:r>
      <w:r>
        <w:rPr>
          <w:color w:val="212121"/>
          <w:sz w:val="18"/>
          <w:vertAlign w:val="baseline"/>
        </w:rPr>
        <w:t>Hoard,</w:t>
      </w:r>
      <w:r>
        <w:rPr>
          <w:color w:val="212121"/>
          <w:spacing w:val="-3"/>
          <w:sz w:val="18"/>
          <w:vertAlign w:val="baseline"/>
        </w:rPr>
        <w:t> </w:t>
      </w:r>
      <w:r>
        <w:rPr>
          <w:color w:val="212121"/>
          <w:sz w:val="18"/>
          <w:vertAlign w:val="baseline"/>
        </w:rPr>
        <w:t>and</w:t>
      </w:r>
      <w:r>
        <w:rPr>
          <w:color w:val="212121"/>
          <w:spacing w:val="-3"/>
          <w:sz w:val="18"/>
          <w:vertAlign w:val="baseline"/>
        </w:rPr>
        <w:t> </w:t>
      </w:r>
      <w:r>
        <w:rPr>
          <w:color w:val="212121"/>
          <w:sz w:val="18"/>
          <w:vertAlign w:val="baseline"/>
        </w:rPr>
        <w:t>Anthony</w:t>
      </w:r>
      <w:r>
        <w:rPr>
          <w:color w:val="212121"/>
          <w:spacing w:val="-3"/>
          <w:sz w:val="18"/>
          <w:vertAlign w:val="baseline"/>
        </w:rPr>
        <w:t> </w:t>
      </w:r>
      <w:r>
        <w:rPr>
          <w:color w:val="212121"/>
          <w:sz w:val="18"/>
          <w:vertAlign w:val="baseline"/>
        </w:rPr>
        <w:t>R.</w:t>
      </w:r>
      <w:r>
        <w:rPr>
          <w:color w:val="212121"/>
          <w:spacing w:val="-3"/>
          <w:sz w:val="18"/>
          <w:vertAlign w:val="baseline"/>
        </w:rPr>
        <w:t> </w:t>
      </w:r>
      <w:r>
        <w:rPr>
          <w:color w:val="212121"/>
          <w:sz w:val="18"/>
          <w:vertAlign w:val="baseline"/>
        </w:rPr>
        <w:t>Mawson.</w:t>
      </w:r>
      <w:r>
        <w:rPr>
          <w:color w:val="212121"/>
          <w:spacing w:val="-3"/>
          <w:sz w:val="18"/>
          <w:vertAlign w:val="baseline"/>
        </w:rPr>
        <w:t> </w:t>
      </w:r>
      <w:r>
        <w:rPr>
          <w:color w:val="212121"/>
          <w:sz w:val="18"/>
          <w:vertAlign w:val="baseline"/>
        </w:rPr>
        <w:t>"Suicide</w:t>
      </w:r>
      <w:r>
        <w:rPr>
          <w:color w:val="212121"/>
          <w:spacing w:val="-3"/>
          <w:sz w:val="18"/>
          <w:vertAlign w:val="baseline"/>
        </w:rPr>
        <w:t> </w:t>
      </w:r>
      <w:r>
        <w:rPr>
          <w:color w:val="212121"/>
          <w:sz w:val="18"/>
          <w:vertAlign w:val="baseline"/>
        </w:rPr>
        <w:t>risk</w:t>
      </w:r>
      <w:r>
        <w:rPr>
          <w:color w:val="212121"/>
          <w:spacing w:val="-3"/>
          <w:sz w:val="18"/>
          <w:vertAlign w:val="baseline"/>
        </w:rPr>
        <w:t> </w:t>
      </w:r>
      <w:r>
        <w:rPr>
          <w:color w:val="212121"/>
          <w:sz w:val="18"/>
          <w:vertAlign w:val="baseline"/>
        </w:rPr>
        <w:t>factors</w:t>
      </w:r>
      <w:r>
        <w:rPr>
          <w:color w:val="212121"/>
          <w:spacing w:val="-3"/>
          <w:sz w:val="18"/>
          <w:vertAlign w:val="baseline"/>
        </w:rPr>
        <w:t> </w:t>
      </w:r>
      <w:r>
        <w:rPr>
          <w:color w:val="212121"/>
          <w:sz w:val="18"/>
          <w:vertAlign w:val="baseline"/>
        </w:rPr>
        <w:t>among</w:t>
      </w:r>
      <w:r>
        <w:rPr>
          <w:color w:val="212121"/>
          <w:spacing w:val="-3"/>
          <w:sz w:val="18"/>
          <w:vertAlign w:val="baseline"/>
        </w:rPr>
        <w:t> </w:t>
      </w:r>
      <w:r>
        <w:rPr>
          <w:color w:val="212121"/>
          <w:sz w:val="18"/>
          <w:vertAlign w:val="baseline"/>
        </w:rPr>
        <w:t>LGBTQ youth." </w:t>
      </w:r>
      <w:r>
        <w:rPr>
          <w:i/>
          <w:color w:val="212121"/>
          <w:sz w:val="18"/>
          <w:vertAlign w:val="baseline"/>
        </w:rPr>
        <w:t>JSM Schizophrenia </w:t>
      </w:r>
      <w:r>
        <w:rPr>
          <w:color w:val="212121"/>
          <w:sz w:val="18"/>
          <w:vertAlign w:val="baseline"/>
        </w:rPr>
        <w:t>2, no. 2 (2017): 1011.</w:t>
      </w:r>
    </w:p>
    <w:p>
      <w:pPr>
        <w:spacing w:line="276" w:lineRule="auto" w:before="0"/>
        <w:ind w:left="464" w:right="481" w:firstLine="12"/>
        <w:jc w:val="left"/>
        <w:rPr>
          <w:sz w:val="18"/>
        </w:rPr>
      </w:pPr>
      <w:r>
        <w:rPr>
          <w:sz w:val="18"/>
          <w:vertAlign w:val="superscript"/>
        </w:rPr>
        <w:t>51</w:t>
      </w:r>
      <w:r>
        <w:rPr>
          <w:spacing w:val="-13"/>
          <w:sz w:val="18"/>
          <w:vertAlign w:val="baseline"/>
        </w:rPr>
        <w:t> </w:t>
      </w:r>
      <w:r>
        <w:rPr>
          <w:sz w:val="18"/>
          <w:vertAlign w:val="baseline"/>
        </w:rPr>
        <w:t>Haas,</w:t>
      </w:r>
      <w:r>
        <w:rPr>
          <w:spacing w:val="-4"/>
          <w:sz w:val="18"/>
          <w:vertAlign w:val="baseline"/>
        </w:rPr>
        <w:t> </w:t>
      </w:r>
      <w:r>
        <w:rPr>
          <w:sz w:val="18"/>
          <w:vertAlign w:val="baseline"/>
        </w:rPr>
        <w:t>Ann</w:t>
      </w:r>
      <w:r>
        <w:rPr>
          <w:spacing w:val="-3"/>
          <w:sz w:val="18"/>
          <w:vertAlign w:val="baseline"/>
        </w:rPr>
        <w:t> </w:t>
      </w:r>
      <w:r>
        <w:rPr>
          <w:sz w:val="18"/>
          <w:vertAlign w:val="baseline"/>
        </w:rPr>
        <w:t>P.,</w:t>
      </w:r>
      <w:r>
        <w:rPr>
          <w:spacing w:val="-4"/>
          <w:sz w:val="18"/>
          <w:vertAlign w:val="baseline"/>
        </w:rPr>
        <w:t> </w:t>
      </w:r>
      <w:r>
        <w:rPr>
          <w:sz w:val="18"/>
          <w:vertAlign w:val="baseline"/>
        </w:rPr>
        <w:t>Mickey</w:t>
      </w:r>
      <w:r>
        <w:rPr>
          <w:spacing w:val="-2"/>
          <w:sz w:val="18"/>
          <w:vertAlign w:val="baseline"/>
        </w:rPr>
        <w:t> </w:t>
      </w:r>
      <w:r>
        <w:rPr>
          <w:sz w:val="18"/>
          <w:vertAlign w:val="baseline"/>
        </w:rPr>
        <w:t>Eliason,</w:t>
      </w:r>
      <w:r>
        <w:rPr>
          <w:spacing w:val="-2"/>
          <w:sz w:val="18"/>
          <w:vertAlign w:val="baseline"/>
        </w:rPr>
        <w:t> </w:t>
      </w:r>
      <w:r>
        <w:rPr>
          <w:sz w:val="18"/>
          <w:vertAlign w:val="baseline"/>
        </w:rPr>
        <w:t>Vickie</w:t>
      </w:r>
      <w:r>
        <w:rPr>
          <w:spacing w:val="-2"/>
          <w:sz w:val="18"/>
          <w:vertAlign w:val="baseline"/>
        </w:rPr>
        <w:t> </w:t>
      </w:r>
      <w:r>
        <w:rPr>
          <w:sz w:val="18"/>
          <w:vertAlign w:val="baseline"/>
        </w:rPr>
        <w:t>M.</w:t>
      </w:r>
      <w:r>
        <w:rPr>
          <w:spacing w:val="-2"/>
          <w:sz w:val="18"/>
          <w:vertAlign w:val="baseline"/>
        </w:rPr>
        <w:t> </w:t>
      </w:r>
      <w:r>
        <w:rPr>
          <w:sz w:val="18"/>
          <w:vertAlign w:val="baseline"/>
        </w:rPr>
        <w:t>Mays,</w:t>
      </w:r>
      <w:r>
        <w:rPr>
          <w:spacing w:val="-3"/>
          <w:sz w:val="18"/>
          <w:vertAlign w:val="baseline"/>
        </w:rPr>
        <w:t> </w:t>
      </w:r>
      <w:r>
        <w:rPr>
          <w:sz w:val="18"/>
          <w:vertAlign w:val="baseline"/>
        </w:rPr>
        <w:t>Robin</w:t>
      </w:r>
      <w:r>
        <w:rPr>
          <w:spacing w:val="-2"/>
          <w:sz w:val="18"/>
          <w:vertAlign w:val="baseline"/>
        </w:rPr>
        <w:t> </w:t>
      </w:r>
      <w:r>
        <w:rPr>
          <w:sz w:val="18"/>
          <w:vertAlign w:val="baseline"/>
        </w:rPr>
        <w:t>M.</w:t>
      </w:r>
      <w:r>
        <w:rPr>
          <w:spacing w:val="-2"/>
          <w:sz w:val="18"/>
          <w:vertAlign w:val="baseline"/>
        </w:rPr>
        <w:t> </w:t>
      </w:r>
      <w:r>
        <w:rPr>
          <w:sz w:val="18"/>
          <w:vertAlign w:val="baseline"/>
        </w:rPr>
        <w:t>Mathy,</w:t>
      </w:r>
      <w:r>
        <w:rPr>
          <w:spacing w:val="-2"/>
          <w:sz w:val="18"/>
          <w:vertAlign w:val="baseline"/>
        </w:rPr>
        <w:t> </w:t>
      </w:r>
      <w:r>
        <w:rPr>
          <w:sz w:val="18"/>
          <w:vertAlign w:val="baseline"/>
        </w:rPr>
        <w:t>Susan</w:t>
      </w:r>
      <w:r>
        <w:rPr>
          <w:spacing w:val="-2"/>
          <w:sz w:val="18"/>
          <w:vertAlign w:val="baseline"/>
        </w:rPr>
        <w:t> </w:t>
      </w:r>
      <w:r>
        <w:rPr>
          <w:sz w:val="18"/>
          <w:vertAlign w:val="baseline"/>
        </w:rPr>
        <w:t>D.</w:t>
      </w:r>
      <w:r>
        <w:rPr>
          <w:spacing w:val="-2"/>
          <w:sz w:val="18"/>
          <w:vertAlign w:val="baseline"/>
        </w:rPr>
        <w:t> </w:t>
      </w:r>
      <w:r>
        <w:rPr>
          <w:sz w:val="18"/>
          <w:vertAlign w:val="baseline"/>
        </w:rPr>
        <w:t>Cochran,</w:t>
      </w:r>
      <w:r>
        <w:rPr>
          <w:spacing w:val="-3"/>
          <w:sz w:val="18"/>
          <w:vertAlign w:val="baseline"/>
        </w:rPr>
        <w:t> </w:t>
      </w:r>
      <w:r>
        <w:rPr>
          <w:sz w:val="18"/>
          <w:vertAlign w:val="baseline"/>
        </w:rPr>
        <w:t>Anthony</w:t>
      </w:r>
      <w:r>
        <w:rPr>
          <w:spacing w:val="-2"/>
          <w:sz w:val="18"/>
          <w:vertAlign w:val="baseline"/>
        </w:rPr>
        <w:t> </w:t>
      </w:r>
      <w:r>
        <w:rPr>
          <w:sz w:val="18"/>
          <w:vertAlign w:val="baseline"/>
        </w:rPr>
        <w:t>R.</w:t>
      </w:r>
      <w:r>
        <w:rPr>
          <w:spacing w:val="-2"/>
          <w:sz w:val="18"/>
          <w:vertAlign w:val="baseline"/>
        </w:rPr>
        <w:t> </w:t>
      </w:r>
      <w:r>
        <w:rPr>
          <w:sz w:val="18"/>
          <w:vertAlign w:val="baseline"/>
        </w:rPr>
        <w:t>D’Augelli,</w:t>
      </w:r>
      <w:r>
        <w:rPr>
          <w:spacing w:val="-3"/>
          <w:sz w:val="18"/>
          <w:vertAlign w:val="baseline"/>
        </w:rPr>
        <w:t> </w:t>
      </w:r>
      <w:r>
        <w:rPr>
          <w:sz w:val="18"/>
          <w:vertAlign w:val="baseline"/>
        </w:rPr>
        <w:t>Morton</w:t>
      </w:r>
      <w:r>
        <w:rPr>
          <w:spacing w:val="-1"/>
          <w:sz w:val="18"/>
          <w:vertAlign w:val="baseline"/>
        </w:rPr>
        <w:t> </w:t>
      </w:r>
      <w:r>
        <w:rPr>
          <w:sz w:val="18"/>
          <w:vertAlign w:val="baseline"/>
        </w:rPr>
        <w:t>M. Silverman, et al. 2010. “Suicide and Suicide Risk in Lesbian, Gay, Bisexual, and Transgender Populations: Review and Recommendations.” </w:t>
      </w:r>
      <w:r>
        <w:rPr>
          <w:i/>
          <w:sz w:val="18"/>
          <w:vertAlign w:val="baseline"/>
        </w:rPr>
        <w:t>Journal of Homosexuality </w:t>
      </w:r>
      <w:r>
        <w:rPr>
          <w:sz w:val="18"/>
          <w:vertAlign w:val="baseline"/>
        </w:rPr>
        <w:t>58 (1): 10–51. https://doi.org/10.1080/00918369.2011.534038.</w:t>
      </w:r>
    </w:p>
    <w:p>
      <w:pPr>
        <w:spacing w:line="276" w:lineRule="auto" w:before="0"/>
        <w:ind w:left="463" w:right="318" w:hanging="9"/>
        <w:jc w:val="left"/>
        <w:rPr>
          <w:sz w:val="18"/>
        </w:rPr>
      </w:pPr>
      <w:r>
        <w:rPr>
          <w:sz w:val="18"/>
          <w:vertAlign w:val="superscript"/>
        </w:rPr>
        <w:t>52</w:t>
      </w:r>
      <w:r>
        <w:rPr>
          <w:spacing w:val="-13"/>
          <w:sz w:val="18"/>
          <w:vertAlign w:val="baseline"/>
        </w:rPr>
        <w:t> </w:t>
      </w:r>
      <w:r>
        <w:rPr>
          <w:sz w:val="18"/>
          <w:vertAlign w:val="baseline"/>
        </w:rPr>
        <w:t>“Know</w:t>
      </w:r>
      <w:r>
        <w:rPr>
          <w:spacing w:val="-6"/>
          <w:sz w:val="18"/>
          <w:vertAlign w:val="baseline"/>
        </w:rPr>
        <w:t> </w:t>
      </w:r>
      <w:r>
        <w:rPr>
          <w:sz w:val="18"/>
          <w:vertAlign w:val="baseline"/>
        </w:rPr>
        <w:t>Your</w:t>
      </w:r>
      <w:r>
        <w:rPr>
          <w:spacing w:val="-4"/>
          <w:sz w:val="18"/>
          <w:vertAlign w:val="baseline"/>
        </w:rPr>
        <w:t> </w:t>
      </w:r>
      <w:r>
        <w:rPr>
          <w:sz w:val="18"/>
          <w:vertAlign w:val="baseline"/>
        </w:rPr>
        <w:t>Rights:</w:t>
      </w:r>
      <w:r>
        <w:rPr>
          <w:spacing w:val="-3"/>
          <w:sz w:val="18"/>
          <w:vertAlign w:val="baseline"/>
        </w:rPr>
        <w:t> </w:t>
      </w:r>
      <w:r>
        <w:rPr>
          <w:sz w:val="18"/>
          <w:vertAlign w:val="baseline"/>
        </w:rPr>
        <w:t>Health</w:t>
      </w:r>
      <w:r>
        <w:rPr>
          <w:spacing w:val="-3"/>
          <w:sz w:val="18"/>
          <w:vertAlign w:val="baseline"/>
        </w:rPr>
        <w:t> </w:t>
      </w:r>
      <w:r>
        <w:rPr>
          <w:sz w:val="18"/>
          <w:vertAlign w:val="baseline"/>
        </w:rPr>
        <w:t>Care.”</w:t>
      </w:r>
      <w:r>
        <w:rPr>
          <w:spacing w:val="-3"/>
          <w:sz w:val="18"/>
          <w:vertAlign w:val="baseline"/>
        </w:rPr>
        <w:t> </w:t>
      </w:r>
      <w:r>
        <w:rPr>
          <w:sz w:val="18"/>
          <w:vertAlign w:val="baseline"/>
        </w:rPr>
        <w:t>2014.</w:t>
      </w:r>
      <w:r>
        <w:rPr>
          <w:spacing w:val="-3"/>
          <w:sz w:val="18"/>
          <w:vertAlign w:val="baseline"/>
        </w:rPr>
        <w:t> </w:t>
      </w:r>
      <w:r>
        <w:rPr>
          <w:sz w:val="18"/>
          <w:vertAlign w:val="baseline"/>
        </w:rPr>
        <w:t>National</w:t>
      </w:r>
      <w:r>
        <w:rPr>
          <w:spacing w:val="-4"/>
          <w:sz w:val="18"/>
          <w:vertAlign w:val="baseline"/>
        </w:rPr>
        <w:t> </w:t>
      </w:r>
      <w:r>
        <w:rPr>
          <w:sz w:val="18"/>
          <w:vertAlign w:val="baseline"/>
        </w:rPr>
        <w:t>Center</w:t>
      </w:r>
      <w:r>
        <w:rPr>
          <w:spacing w:val="-4"/>
          <w:sz w:val="18"/>
          <w:vertAlign w:val="baseline"/>
        </w:rPr>
        <w:t> </w:t>
      </w:r>
      <w:r>
        <w:rPr>
          <w:sz w:val="18"/>
          <w:vertAlign w:val="baseline"/>
        </w:rPr>
        <w:t>for</w:t>
      </w:r>
      <w:r>
        <w:rPr>
          <w:spacing w:val="-4"/>
          <w:sz w:val="18"/>
          <w:vertAlign w:val="baseline"/>
        </w:rPr>
        <w:t> </w:t>
      </w:r>
      <w:r>
        <w:rPr>
          <w:sz w:val="18"/>
          <w:vertAlign w:val="baseline"/>
        </w:rPr>
        <w:t>Transgender</w:t>
      </w:r>
      <w:r>
        <w:rPr>
          <w:spacing w:val="-4"/>
          <w:sz w:val="18"/>
          <w:vertAlign w:val="baseline"/>
        </w:rPr>
        <w:t> </w:t>
      </w:r>
      <w:r>
        <w:rPr>
          <w:sz w:val="18"/>
          <w:vertAlign w:val="baseline"/>
        </w:rPr>
        <w:t>Equality.</w:t>
      </w:r>
      <w:r>
        <w:rPr>
          <w:spacing w:val="-3"/>
          <w:sz w:val="18"/>
          <w:vertAlign w:val="baseline"/>
        </w:rPr>
        <w:t> </w:t>
      </w:r>
      <w:r>
        <w:rPr>
          <w:sz w:val="18"/>
          <w:vertAlign w:val="baseline"/>
        </w:rPr>
        <w:t>2014.</w:t>
      </w:r>
      <w:r>
        <w:rPr>
          <w:spacing w:val="-3"/>
          <w:sz w:val="18"/>
          <w:vertAlign w:val="baseline"/>
        </w:rPr>
        <w:t> </w:t>
      </w:r>
      <w:r>
        <w:rPr>
          <w:sz w:val="18"/>
          <w:vertAlign w:val="baseline"/>
        </w:rPr>
        <w:t>https://transequality.org/know- your</w:t>
      </w:r>
      <w:r>
        <w:rPr>
          <w:spacing w:val="-2"/>
          <w:sz w:val="18"/>
          <w:vertAlign w:val="baseline"/>
        </w:rPr>
        <w:t> </w:t>
      </w:r>
      <w:r>
        <w:rPr>
          <w:sz w:val="18"/>
          <w:vertAlign w:val="baseline"/>
        </w:rPr>
        <w:t>rights/health-care.</w:t>
      </w:r>
    </w:p>
    <w:p>
      <w:pPr>
        <w:spacing w:line="276" w:lineRule="auto" w:before="0"/>
        <w:ind w:left="464" w:right="318" w:firstLine="2"/>
        <w:jc w:val="left"/>
        <w:rPr>
          <w:sz w:val="18"/>
        </w:rPr>
      </w:pPr>
      <w:r>
        <w:rPr>
          <w:sz w:val="18"/>
          <w:vertAlign w:val="superscript"/>
        </w:rPr>
        <w:t>53</w:t>
      </w:r>
      <w:r>
        <w:rPr>
          <w:spacing w:val="-9"/>
          <w:sz w:val="18"/>
          <w:vertAlign w:val="baseline"/>
        </w:rPr>
        <w:t> </w:t>
      </w:r>
      <w:r>
        <w:rPr>
          <w:color w:val="202020"/>
          <w:sz w:val="18"/>
          <w:vertAlign w:val="baseline"/>
        </w:rPr>
        <w:t>Gridley SJ, Crouch JM, Evans Y, Eng W, Antoon E, Lyapustina M, Schimmel-Bristow A, Woodward J, Dundon K, Schaff R, McCarty C, Ahrens K, Breland DJ. Youth and Caregiver Perspectives on Barriers to Gender-Affirming Health Care for Transgender Youth. J Adolesc Health. 2016 Sep;59(3):254-261. doi: 10.1016/j.jadohealth.2016.03.017. Epub 2016</w:t>
      </w:r>
      <w:r>
        <w:rPr>
          <w:color w:val="202020"/>
          <w:spacing w:val="-1"/>
          <w:sz w:val="18"/>
          <w:vertAlign w:val="baseline"/>
        </w:rPr>
        <w:t> </w:t>
      </w:r>
      <w:r>
        <w:rPr>
          <w:color w:val="202020"/>
          <w:sz w:val="18"/>
          <w:vertAlign w:val="baseline"/>
        </w:rPr>
        <w:t>May 24. PMID: 27235374. </w:t>
      </w:r>
      <w:r>
        <w:rPr>
          <w:sz w:val="18"/>
          <w:vertAlign w:val="superscript"/>
        </w:rPr>
        <w:t>54</w:t>
      </w:r>
      <w:r>
        <w:rPr>
          <w:spacing w:val="-13"/>
          <w:sz w:val="18"/>
          <w:vertAlign w:val="baseline"/>
        </w:rPr>
        <w:t> </w:t>
      </w:r>
      <w:r>
        <w:rPr>
          <w:sz w:val="18"/>
          <w:vertAlign w:val="baseline"/>
        </w:rPr>
        <w:t>Dowshen, Nadia L., Julie Christensen, and Siobhan M. Gruschow. 2019. “Health Insurance Coverage of Recommended</w:t>
      </w:r>
      <w:r>
        <w:rPr>
          <w:spacing w:val="-4"/>
          <w:sz w:val="18"/>
          <w:vertAlign w:val="baseline"/>
        </w:rPr>
        <w:t> </w:t>
      </w:r>
      <w:r>
        <w:rPr>
          <w:sz w:val="18"/>
          <w:vertAlign w:val="baseline"/>
        </w:rPr>
        <w:t>Gender-Affirming</w:t>
      </w:r>
      <w:r>
        <w:rPr>
          <w:spacing w:val="-3"/>
          <w:sz w:val="18"/>
          <w:vertAlign w:val="baseline"/>
        </w:rPr>
        <w:t> </w:t>
      </w:r>
      <w:r>
        <w:rPr>
          <w:sz w:val="18"/>
          <w:vertAlign w:val="baseline"/>
        </w:rPr>
        <w:t>Health</w:t>
      </w:r>
      <w:r>
        <w:rPr>
          <w:spacing w:val="-3"/>
          <w:sz w:val="18"/>
          <w:vertAlign w:val="baseline"/>
        </w:rPr>
        <w:t> </w:t>
      </w:r>
      <w:r>
        <w:rPr>
          <w:sz w:val="18"/>
          <w:vertAlign w:val="baseline"/>
        </w:rPr>
        <w:t>Care</w:t>
      </w:r>
      <w:r>
        <w:rPr>
          <w:spacing w:val="-3"/>
          <w:sz w:val="18"/>
          <w:vertAlign w:val="baseline"/>
        </w:rPr>
        <w:t> </w:t>
      </w:r>
      <w:r>
        <w:rPr>
          <w:sz w:val="18"/>
          <w:vertAlign w:val="baseline"/>
        </w:rPr>
        <w:t>Services</w:t>
      </w:r>
      <w:r>
        <w:rPr>
          <w:spacing w:val="-3"/>
          <w:sz w:val="18"/>
          <w:vertAlign w:val="baseline"/>
        </w:rPr>
        <w:t> </w:t>
      </w:r>
      <w:r>
        <w:rPr>
          <w:sz w:val="18"/>
          <w:vertAlign w:val="baseline"/>
        </w:rPr>
        <w:t>for</w:t>
      </w:r>
      <w:r>
        <w:rPr>
          <w:spacing w:val="-4"/>
          <w:sz w:val="18"/>
          <w:vertAlign w:val="baseline"/>
        </w:rPr>
        <w:t> </w:t>
      </w:r>
      <w:r>
        <w:rPr>
          <w:sz w:val="18"/>
          <w:vertAlign w:val="baseline"/>
        </w:rPr>
        <w:t>Transgender</w:t>
      </w:r>
      <w:r>
        <w:rPr>
          <w:spacing w:val="-4"/>
          <w:sz w:val="18"/>
          <w:vertAlign w:val="baseline"/>
        </w:rPr>
        <w:t> </w:t>
      </w:r>
      <w:r>
        <w:rPr>
          <w:sz w:val="18"/>
          <w:vertAlign w:val="baseline"/>
        </w:rPr>
        <w:t>Youth:</w:t>
      </w:r>
      <w:r>
        <w:rPr>
          <w:spacing w:val="-3"/>
          <w:sz w:val="18"/>
          <w:vertAlign w:val="baseline"/>
        </w:rPr>
        <w:t> </w:t>
      </w:r>
      <w:r>
        <w:rPr>
          <w:sz w:val="18"/>
          <w:vertAlign w:val="baseline"/>
        </w:rPr>
        <w:t>Shopping</w:t>
      </w:r>
      <w:r>
        <w:rPr>
          <w:spacing w:val="-3"/>
          <w:sz w:val="18"/>
          <w:vertAlign w:val="baseline"/>
        </w:rPr>
        <w:t> </w:t>
      </w:r>
      <w:r>
        <w:rPr>
          <w:sz w:val="18"/>
          <w:vertAlign w:val="baseline"/>
        </w:rPr>
        <w:t>Online</w:t>
      </w:r>
      <w:r>
        <w:rPr>
          <w:spacing w:val="-3"/>
          <w:sz w:val="18"/>
          <w:vertAlign w:val="baseline"/>
        </w:rPr>
        <w:t> </w:t>
      </w:r>
      <w:r>
        <w:rPr>
          <w:sz w:val="18"/>
          <w:vertAlign w:val="baseline"/>
        </w:rPr>
        <w:t>for</w:t>
      </w:r>
      <w:r>
        <w:rPr>
          <w:spacing w:val="-4"/>
          <w:sz w:val="18"/>
          <w:vertAlign w:val="baseline"/>
        </w:rPr>
        <w:t> </w:t>
      </w:r>
      <w:r>
        <w:rPr>
          <w:sz w:val="18"/>
          <w:vertAlign w:val="baseline"/>
        </w:rPr>
        <w:t>Coverage</w:t>
      </w:r>
      <w:r>
        <w:rPr>
          <w:spacing w:val="-3"/>
          <w:sz w:val="18"/>
          <w:vertAlign w:val="baseline"/>
        </w:rPr>
        <w:t> </w:t>
      </w:r>
      <w:r>
        <w:rPr>
          <w:sz w:val="18"/>
          <w:vertAlign w:val="baseline"/>
        </w:rPr>
        <w:t>Information.” Transgender Health 4 (1): 131–35. https://doi.org/10.1089/trgh.2018.0055.</w:t>
      </w:r>
    </w:p>
    <w:p>
      <w:pPr>
        <w:spacing w:line="276" w:lineRule="auto" w:before="0"/>
        <w:ind w:left="463" w:right="759" w:hanging="9"/>
        <w:jc w:val="left"/>
        <w:rPr>
          <w:sz w:val="18"/>
        </w:rPr>
      </w:pPr>
      <w:r>
        <w:rPr>
          <w:sz w:val="18"/>
          <w:vertAlign w:val="superscript"/>
        </w:rPr>
        <w:t>55</w:t>
      </w:r>
      <w:r>
        <w:rPr>
          <w:spacing w:val="-10"/>
          <w:sz w:val="18"/>
          <w:vertAlign w:val="baseline"/>
        </w:rPr>
        <w:t> </w:t>
      </w:r>
      <w:r>
        <w:rPr>
          <w:sz w:val="18"/>
          <w:vertAlign w:val="baseline"/>
        </w:rPr>
        <w:t>Jessica Bartlett. “Boston Children’s Faced Months of Death Threats and Hate Mail. Here’s How Staff Members Are Coping.”</w:t>
      </w:r>
      <w:r>
        <w:rPr>
          <w:spacing w:val="-6"/>
          <w:sz w:val="18"/>
          <w:vertAlign w:val="baseline"/>
        </w:rPr>
        <w:t> </w:t>
      </w:r>
      <w:r>
        <w:rPr>
          <w:sz w:val="18"/>
          <w:vertAlign w:val="baseline"/>
        </w:rPr>
        <w:t>BostonGlobe.com.</w:t>
      </w:r>
      <w:r>
        <w:rPr>
          <w:spacing w:val="-6"/>
          <w:sz w:val="18"/>
          <w:vertAlign w:val="baseline"/>
        </w:rPr>
        <w:t> </w:t>
      </w:r>
      <w:r>
        <w:rPr>
          <w:sz w:val="18"/>
          <w:vertAlign w:val="baseline"/>
        </w:rPr>
        <w:t>Accessed</w:t>
      </w:r>
      <w:r>
        <w:rPr>
          <w:spacing w:val="-6"/>
          <w:sz w:val="18"/>
          <w:vertAlign w:val="baseline"/>
        </w:rPr>
        <w:t> </w:t>
      </w:r>
      <w:r>
        <w:rPr>
          <w:sz w:val="18"/>
          <w:vertAlign w:val="baseline"/>
        </w:rPr>
        <w:t>February</w:t>
      </w:r>
      <w:r>
        <w:rPr>
          <w:spacing w:val="-6"/>
          <w:sz w:val="18"/>
          <w:vertAlign w:val="baseline"/>
        </w:rPr>
        <w:t> </w:t>
      </w:r>
      <w:r>
        <w:rPr>
          <w:sz w:val="18"/>
          <w:vertAlign w:val="baseline"/>
        </w:rPr>
        <w:t>22,</w:t>
      </w:r>
      <w:r>
        <w:rPr>
          <w:spacing w:val="-7"/>
          <w:sz w:val="18"/>
          <w:vertAlign w:val="baseline"/>
        </w:rPr>
        <w:t> </w:t>
      </w:r>
      <w:r>
        <w:rPr>
          <w:sz w:val="18"/>
          <w:vertAlign w:val="baseline"/>
        </w:rPr>
        <w:t>2023.</w:t>
      </w:r>
      <w:r>
        <w:rPr>
          <w:spacing w:val="-6"/>
          <w:sz w:val="18"/>
          <w:vertAlign w:val="baseline"/>
        </w:rPr>
        <w:t> </w:t>
      </w:r>
      <w:r>
        <w:rPr>
          <w:sz w:val="18"/>
          <w:vertAlign w:val="baseline"/>
        </w:rPr>
        <w:t>https:</w:t>
      </w:r>
      <w:hyperlink r:id="rId291">
        <w:r>
          <w:rPr>
            <w:sz w:val="18"/>
            <w:vertAlign w:val="baseline"/>
          </w:rPr>
          <w:t>//www.bostonglobe.com/2022/12/03/metro/boston-</w:t>
        </w:r>
      </w:hyperlink>
      <w:r>
        <w:rPr>
          <w:sz w:val="18"/>
          <w:vertAlign w:val="baseline"/>
        </w:rPr>
        <w:t> childrens-faced months-death-threats-hate-mail-heres-how-staff-are-coping/?event=event12.</w:t>
      </w:r>
    </w:p>
    <w:p>
      <w:pPr>
        <w:spacing w:line="276" w:lineRule="auto" w:before="0"/>
        <w:ind w:left="463" w:right="285" w:firstLine="0"/>
        <w:jc w:val="left"/>
        <w:rPr>
          <w:sz w:val="18"/>
        </w:rPr>
      </w:pPr>
      <w:r>
        <w:rPr>
          <w:sz w:val="18"/>
          <w:vertAlign w:val="superscript"/>
        </w:rPr>
        <w:t>56</w:t>
      </w:r>
      <w:r>
        <w:rPr>
          <w:spacing w:val="-9"/>
          <w:sz w:val="18"/>
          <w:vertAlign w:val="baseline"/>
        </w:rPr>
        <w:t> </w:t>
      </w:r>
      <w:r>
        <w:rPr>
          <w:sz w:val="18"/>
          <w:vertAlign w:val="baseline"/>
        </w:rPr>
        <w:t>Stanton, Cady. n.d. “11 States Have Already Introduced Bills Targeting Transgender Health Care in 2023.” USA TODAY. https://</w:t>
      </w:r>
      <w:hyperlink r:id="rId292">
        <w:r>
          <w:rPr>
            <w:sz w:val="18"/>
            <w:vertAlign w:val="baseline"/>
          </w:rPr>
          <w:t>www.usatoday.com/story/news/nation/2023/01/09/bills-targeting-transgender-healthcare-2023/11012864002/.</w:t>
        </w:r>
      </w:hyperlink>
      <w:r>
        <w:rPr>
          <w:spacing w:val="-11"/>
          <w:sz w:val="18"/>
          <w:vertAlign w:val="baseline"/>
        </w:rPr>
        <w:t> </w:t>
      </w:r>
      <w:r>
        <w:rPr>
          <w:sz w:val="18"/>
          <w:vertAlign w:val="superscript"/>
        </w:rPr>
        <w:t>57</w:t>
      </w:r>
      <w:r>
        <w:rPr>
          <w:sz w:val="18"/>
          <w:vertAlign w:val="baseline"/>
        </w:rPr>
        <w:t> Nakajima, Koko, and Connie Hanzhang Jin. 2022. “Bills Targeting Trans Youth Are Growing More Common — and Radically Reshaping Lives.” NPR, November 28, 2022, sec. National. https://</w:t>
      </w:r>
      <w:hyperlink r:id="rId293">
        <w:r>
          <w:rPr>
            <w:sz w:val="18"/>
            <w:vertAlign w:val="baseline"/>
          </w:rPr>
          <w:t>www.npr.org/2022/11/28/1138396067/transgender-</w:t>
        </w:r>
      </w:hyperlink>
      <w:r>
        <w:rPr>
          <w:sz w:val="18"/>
          <w:vertAlign w:val="baseline"/>
        </w:rPr>
        <w:t> youth bills-trans-sports.</w:t>
      </w:r>
    </w:p>
    <w:p>
      <w:pPr>
        <w:spacing w:line="276" w:lineRule="auto" w:before="0"/>
        <w:ind w:left="463" w:right="481" w:hanging="9"/>
        <w:jc w:val="left"/>
        <w:rPr>
          <w:sz w:val="18"/>
        </w:rPr>
      </w:pPr>
      <w:r>
        <w:rPr>
          <w:sz w:val="18"/>
          <w:vertAlign w:val="superscript"/>
        </w:rPr>
        <w:t>58</w:t>
      </w:r>
      <w:r>
        <w:rPr>
          <w:spacing w:val="-13"/>
          <w:sz w:val="18"/>
          <w:vertAlign w:val="baseline"/>
        </w:rPr>
        <w:t> </w:t>
      </w:r>
      <w:r>
        <w:rPr>
          <w:sz w:val="18"/>
          <w:vertAlign w:val="baseline"/>
        </w:rPr>
        <w:t>“Mapping</w:t>
      </w:r>
      <w:r>
        <w:rPr>
          <w:spacing w:val="-4"/>
          <w:sz w:val="18"/>
          <w:vertAlign w:val="baseline"/>
        </w:rPr>
        <w:t> </w:t>
      </w:r>
      <w:r>
        <w:rPr>
          <w:sz w:val="18"/>
          <w:vertAlign w:val="baseline"/>
        </w:rPr>
        <w:t>Attacks</w:t>
      </w:r>
      <w:r>
        <w:rPr>
          <w:spacing w:val="-2"/>
          <w:sz w:val="18"/>
          <w:vertAlign w:val="baseline"/>
        </w:rPr>
        <w:t> </w:t>
      </w:r>
      <w:r>
        <w:rPr>
          <w:sz w:val="18"/>
          <w:vertAlign w:val="baseline"/>
        </w:rPr>
        <w:t>on</w:t>
      </w:r>
      <w:r>
        <w:rPr>
          <w:spacing w:val="-2"/>
          <w:sz w:val="18"/>
          <w:vertAlign w:val="baseline"/>
        </w:rPr>
        <w:t> </w:t>
      </w:r>
      <w:r>
        <w:rPr>
          <w:sz w:val="18"/>
          <w:vertAlign w:val="baseline"/>
        </w:rPr>
        <w:t>LGBTQ</w:t>
      </w:r>
      <w:r>
        <w:rPr>
          <w:spacing w:val="-2"/>
          <w:sz w:val="18"/>
          <w:vertAlign w:val="baseline"/>
        </w:rPr>
        <w:t> </w:t>
      </w:r>
      <w:r>
        <w:rPr>
          <w:sz w:val="18"/>
          <w:vertAlign w:val="baseline"/>
        </w:rPr>
        <w:t>Rights</w:t>
      </w:r>
      <w:r>
        <w:rPr>
          <w:spacing w:val="-2"/>
          <w:sz w:val="18"/>
          <w:vertAlign w:val="baseline"/>
        </w:rPr>
        <w:t> </w:t>
      </w:r>
      <w:r>
        <w:rPr>
          <w:sz w:val="18"/>
          <w:vertAlign w:val="baseline"/>
        </w:rPr>
        <w:t>in</w:t>
      </w:r>
      <w:r>
        <w:rPr>
          <w:spacing w:val="-2"/>
          <w:sz w:val="18"/>
          <w:vertAlign w:val="baseline"/>
        </w:rPr>
        <w:t> </w:t>
      </w:r>
      <w:r>
        <w:rPr>
          <w:sz w:val="18"/>
          <w:vertAlign w:val="baseline"/>
        </w:rPr>
        <w:t>U.S.</w:t>
      </w:r>
      <w:r>
        <w:rPr>
          <w:spacing w:val="-2"/>
          <w:sz w:val="18"/>
          <w:vertAlign w:val="baseline"/>
        </w:rPr>
        <w:t> </w:t>
      </w:r>
      <w:r>
        <w:rPr>
          <w:sz w:val="18"/>
          <w:vertAlign w:val="baseline"/>
        </w:rPr>
        <w:t>State</w:t>
      </w:r>
      <w:r>
        <w:rPr>
          <w:spacing w:val="-2"/>
          <w:sz w:val="18"/>
          <w:vertAlign w:val="baseline"/>
        </w:rPr>
        <w:t> </w:t>
      </w:r>
      <w:r>
        <w:rPr>
          <w:sz w:val="18"/>
          <w:vertAlign w:val="baseline"/>
        </w:rPr>
        <w:t>Legislatures,”</w:t>
      </w:r>
      <w:r>
        <w:rPr>
          <w:spacing w:val="-4"/>
          <w:sz w:val="18"/>
          <w:vertAlign w:val="baseline"/>
        </w:rPr>
        <w:t> </w:t>
      </w:r>
      <w:r>
        <w:rPr>
          <w:i/>
          <w:sz w:val="18"/>
          <w:vertAlign w:val="baseline"/>
        </w:rPr>
        <w:t>American</w:t>
      </w:r>
      <w:r>
        <w:rPr>
          <w:i/>
          <w:spacing w:val="-2"/>
          <w:sz w:val="18"/>
          <w:vertAlign w:val="baseline"/>
        </w:rPr>
        <w:t> </w:t>
      </w:r>
      <w:r>
        <w:rPr>
          <w:i/>
          <w:sz w:val="18"/>
          <w:vertAlign w:val="baseline"/>
        </w:rPr>
        <w:t>Civil</w:t>
      </w:r>
      <w:r>
        <w:rPr>
          <w:i/>
          <w:spacing w:val="-3"/>
          <w:sz w:val="18"/>
          <w:vertAlign w:val="baseline"/>
        </w:rPr>
        <w:t> </w:t>
      </w:r>
      <w:r>
        <w:rPr>
          <w:i/>
          <w:sz w:val="18"/>
          <w:vertAlign w:val="baseline"/>
        </w:rPr>
        <w:t>Liberties</w:t>
      </w:r>
      <w:r>
        <w:rPr>
          <w:i/>
          <w:spacing w:val="-3"/>
          <w:sz w:val="18"/>
          <w:vertAlign w:val="baseline"/>
        </w:rPr>
        <w:t> </w:t>
      </w:r>
      <w:r>
        <w:rPr>
          <w:i/>
          <w:sz w:val="18"/>
          <w:vertAlign w:val="baseline"/>
        </w:rPr>
        <w:t>Union</w:t>
      </w:r>
      <w:r>
        <w:rPr>
          <w:i/>
          <w:spacing w:val="-2"/>
          <w:sz w:val="18"/>
          <w:vertAlign w:val="baseline"/>
        </w:rPr>
        <w:t> </w:t>
      </w:r>
      <w:r>
        <w:rPr>
          <w:sz w:val="18"/>
          <w:vertAlign w:val="baseline"/>
        </w:rPr>
        <w:t>(blog),</w:t>
      </w:r>
      <w:r>
        <w:rPr>
          <w:spacing w:val="-3"/>
          <w:sz w:val="18"/>
          <w:vertAlign w:val="baseline"/>
        </w:rPr>
        <w:t> </w:t>
      </w:r>
      <w:r>
        <w:rPr>
          <w:sz w:val="18"/>
          <w:vertAlign w:val="baseline"/>
        </w:rPr>
        <w:t>accessed</w:t>
      </w:r>
      <w:r>
        <w:rPr>
          <w:spacing w:val="-3"/>
          <w:sz w:val="18"/>
          <w:vertAlign w:val="baseline"/>
        </w:rPr>
        <w:t> </w:t>
      </w:r>
      <w:r>
        <w:rPr>
          <w:sz w:val="18"/>
          <w:vertAlign w:val="baseline"/>
        </w:rPr>
        <w:t>April</w:t>
      </w:r>
      <w:r>
        <w:rPr>
          <w:spacing w:val="-3"/>
          <w:sz w:val="18"/>
          <w:vertAlign w:val="baseline"/>
        </w:rPr>
        <w:t> </w:t>
      </w:r>
      <w:r>
        <w:rPr>
          <w:sz w:val="18"/>
          <w:vertAlign w:val="baseline"/>
        </w:rPr>
        <w:t>24, 2023,</w:t>
      </w:r>
      <w:r>
        <w:rPr>
          <w:spacing w:val="-2"/>
          <w:sz w:val="18"/>
          <w:vertAlign w:val="baseline"/>
        </w:rPr>
        <w:t> </w:t>
      </w:r>
      <w:r>
        <w:rPr>
          <w:sz w:val="18"/>
          <w:vertAlign w:val="baseline"/>
        </w:rPr>
        <w:t>https:</w:t>
      </w:r>
      <w:hyperlink r:id="rId294">
        <w:r>
          <w:rPr>
            <w:sz w:val="18"/>
            <w:vertAlign w:val="baseline"/>
          </w:rPr>
          <w:t>//www.aclu.org/legislative-attacks-on-lgbtq-rights.</w:t>
        </w:r>
      </w:hyperlink>
    </w:p>
    <w:p>
      <w:pPr>
        <w:spacing w:line="276" w:lineRule="auto" w:before="0"/>
        <w:ind w:left="464" w:right="481" w:hanging="1"/>
        <w:jc w:val="left"/>
        <w:rPr>
          <w:sz w:val="18"/>
        </w:rPr>
      </w:pPr>
      <w:r>
        <w:rPr>
          <w:sz w:val="18"/>
          <w:vertAlign w:val="superscript"/>
        </w:rPr>
        <w:t>59</w:t>
      </w:r>
      <w:r>
        <w:rPr>
          <w:spacing w:val="-13"/>
          <w:sz w:val="18"/>
          <w:vertAlign w:val="baseline"/>
        </w:rPr>
        <w:t> </w:t>
      </w:r>
      <w:r>
        <w:rPr>
          <w:sz w:val="18"/>
          <w:vertAlign w:val="baseline"/>
        </w:rPr>
        <w:t>Hughto,</w:t>
      </w:r>
      <w:r>
        <w:rPr>
          <w:spacing w:val="-4"/>
          <w:sz w:val="18"/>
          <w:vertAlign w:val="baseline"/>
        </w:rPr>
        <w:t> </w:t>
      </w:r>
      <w:r>
        <w:rPr>
          <w:sz w:val="18"/>
          <w:vertAlign w:val="baseline"/>
        </w:rPr>
        <w:t>Jaclyn</w:t>
      </w:r>
      <w:r>
        <w:rPr>
          <w:spacing w:val="-2"/>
          <w:sz w:val="18"/>
          <w:vertAlign w:val="baseline"/>
        </w:rPr>
        <w:t> </w:t>
      </w:r>
      <w:r>
        <w:rPr>
          <w:sz w:val="18"/>
          <w:vertAlign w:val="baseline"/>
        </w:rPr>
        <w:t>M.</w:t>
      </w:r>
      <w:r>
        <w:rPr>
          <w:spacing w:val="-2"/>
          <w:sz w:val="18"/>
          <w:vertAlign w:val="baseline"/>
        </w:rPr>
        <w:t> </w:t>
      </w:r>
      <w:r>
        <w:rPr>
          <w:sz w:val="18"/>
          <w:vertAlign w:val="baseline"/>
        </w:rPr>
        <w:t>W.,</w:t>
      </w:r>
      <w:r>
        <w:rPr>
          <w:spacing w:val="-3"/>
          <w:sz w:val="18"/>
          <w:vertAlign w:val="baseline"/>
        </w:rPr>
        <w:t> </w:t>
      </w:r>
      <w:r>
        <w:rPr>
          <w:sz w:val="18"/>
          <w:vertAlign w:val="baseline"/>
        </w:rPr>
        <w:t>David</w:t>
      </w:r>
      <w:r>
        <w:rPr>
          <w:spacing w:val="-2"/>
          <w:sz w:val="18"/>
          <w:vertAlign w:val="baseline"/>
        </w:rPr>
        <w:t> </w:t>
      </w:r>
      <w:r>
        <w:rPr>
          <w:sz w:val="18"/>
          <w:vertAlign w:val="baseline"/>
        </w:rPr>
        <w:t>J.</w:t>
      </w:r>
      <w:r>
        <w:rPr>
          <w:spacing w:val="-2"/>
          <w:sz w:val="18"/>
          <w:vertAlign w:val="baseline"/>
        </w:rPr>
        <w:t> </w:t>
      </w:r>
      <w:r>
        <w:rPr>
          <w:sz w:val="18"/>
          <w:vertAlign w:val="baseline"/>
        </w:rPr>
        <w:t>Meyers,</w:t>
      </w:r>
      <w:r>
        <w:rPr>
          <w:spacing w:val="-3"/>
          <w:sz w:val="18"/>
          <w:vertAlign w:val="baseline"/>
        </w:rPr>
        <w:t> </w:t>
      </w:r>
      <w:r>
        <w:rPr>
          <w:sz w:val="18"/>
          <w:vertAlign w:val="baseline"/>
        </w:rPr>
        <w:t>Matthew</w:t>
      </w:r>
      <w:r>
        <w:rPr>
          <w:spacing w:val="-3"/>
          <w:sz w:val="18"/>
          <w:vertAlign w:val="baseline"/>
        </w:rPr>
        <w:t> </w:t>
      </w:r>
      <w:r>
        <w:rPr>
          <w:sz w:val="18"/>
          <w:vertAlign w:val="baseline"/>
        </w:rPr>
        <w:t>J.</w:t>
      </w:r>
      <w:r>
        <w:rPr>
          <w:spacing w:val="-2"/>
          <w:sz w:val="18"/>
          <w:vertAlign w:val="baseline"/>
        </w:rPr>
        <w:t> </w:t>
      </w:r>
      <w:r>
        <w:rPr>
          <w:sz w:val="18"/>
          <w:vertAlign w:val="baseline"/>
        </w:rPr>
        <w:t>Mimiaga,</w:t>
      </w:r>
      <w:r>
        <w:rPr>
          <w:spacing w:val="-3"/>
          <w:sz w:val="18"/>
          <w:vertAlign w:val="baseline"/>
        </w:rPr>
        <w:t> </w:t>
      </w:r>
      <w:r>
        <w:rPr>
          <w:sz w:val="18"/>
          <w:vertAlign w:val="baseline"/>
        </w:rPr>
        <w:t>Sari</w:t>
      </w:r>
      <w:r>
        <w:rPr>
          <w:spacing w:val="-3"/>
          <w:sz w:val="18"/>
          <w:vertAlign w:val="baseline"/>
        </w:rPr>
        <w:t> </w:t>
      </w:r>
      <w:r>
        <w:rPr>
          <w:sz w:val="18"/>
          <w:vertAlign w:val="baseline"/>
        </w:rPr>
        <w:t>L.</w:t>
      </w:r>
      <w:r>
        <w:rPr>
          <w:spacing w:val="-2"/>
          <w:sz w:val="18"/>
          <w:vertAlign w:val="baseline"/>
        </w:rPr>
        <w:t> </w:t>
      </w:r>
      <w:r>
        <w:rPr>
          <w:sz w:val="18"/>
          <w:vertAlign w:val="baseline"/>
        </w:rPr>
        <w:t>Reisner,</w:t>
      </w:r>
      <w:r>
        <w:rPr>
          <w:spacing w:val="-3"/>
          <w:sz w:val="18"/>
          <w:vertAlign w:val="baseline"/>
        </w:rPr>
        <w:t> </w:t>
      </w:r>
      <w:r>
        <w:rPr>
          <w:sz w:val="18"/>
          <w:vertAlign w:val="baseline"/>
        </w:rPr>
        <w:t>and</w:t>
      </w:r>
      <w:r>
        <w:rPr>
          <w:spacing w:val="-2"/>
          <w:sz w:val="18"/>
          <w:vertAlign w:val="baseline"/>
        </w:rPr>
        <w:t> </w:t>
      </w:r>
      <w:r>
        <w:rPr>
          <w:sz w:val="18"/>
          <w:vertAlign w:val="baseline"/>
        </w:rPr>
        <w:t>Sean</w:t>
      </w:r>
      <w:r>
        <w:rPr>
          <w:spacing w:val="-2"/>
          <w:sz w:val="18"/>
          <w:vertAlign w:val="baseline"/>
        </w:rPr>
        <w:t> </w:t>
      </w:r>
      <w:r>
        <w:rPr>
          <w:sz w:val="18"/>
          <w:vertAlign w:val="baseline"/>
        </w:rPr>
        <w:t>Cahill.</w:t>
      </w:r>
      <w:r>
        <w:rPr>
          <w:spacing w:val="-2"/>
          <w:sz w:val="18"/>
          <w:vertAlign w:val="baseline"/>
        </w:rPr>
        <w:t> </w:t>
      </w:r>
      <w:r>
        <w:rPr>
          <w:sz w:val="18"/>
          <w:vertAlign w:val="baseline"/>
        </w:rPr>
        <w:t>2021.</w:t>
      </w:r>
      <w:r>
        <w:rPr>
          <w:spacing w:val="-2"/>
          <w:sz w:val="18"/>
          <w:vertAlign w:val="baseline"/>
        </w:rPr>
        <w:t> </w:t>
      </w:r>
      <w:r>
        <w:rPr>
          <w:sz w:val="18"/>
          <w:vertAlign w:val="baseline"/>
        </w:rPr>
        <w:t>“Uncertainty</w:t>
      </w:r>
      <w:r>
        <w:rPr>
          <w:spacing w:val="-2"/>
          <w:sz w:val="18"/>
          <w:vertAlign w:val="baseline"/>
        </w:rPr>
        <w:t> </w:t>
      </w:r>
      <w:r>
        <w:rPr>
          <w:sz w:val="18"/>
          <w:vertAlign w:val="baseline"/>
        </w:rPr>
        <w:t>and Confusion Regarding Transgender Non-Discrimination Policies: Implications for the Mental Health of Transgender Americans.” Sexuality Research and Social Policy, June. https://doi.org/10.1007/s13178-021-00602-w.</w:t>
      </w:r>
    </w:p>
    <w:p>
      <w:pPr>
        <w:spacing w:line="276" w:lineRule="auto" w:before="0"/>
        <w:ind w:left="464" w:right="318" w:hanging="4"/>
        <w:jc w:val="left"/>
        <w:rPr>
          <w:sz w:val="18"/>
        </w:rPr>
      </w:pPr>
      <w:r>
        <w:rPr>
          <w:sz w:val="18"/>
          <w:vertAlign w:val="superscript"/>
        </w:rPr>
        <w:t>60</w:t>
      </w:r>
      <w:r>
        <w:rPr>
          <w:spacing w:val="-13"/>
          <w:sz w:val="18"/>
          <w:vertAlign w:val="baseline"/>
        </w:rPr>
        <w:t> </w:t>
      </w:r>
      <w:r>
        <w:rPr>
          <w:sz w:val="18"/>
          <w:vertAlign w:val="baseline"/>
        </w:rPr>
        <w:t>Weaver,</w:t>
      </w:r>
      <w:r>
        <w:rPr>
          <w:spacing w:val="-4"/>
          <w:sz w:val="18"/>
          <w:vertAlign w:val="baseline"/>
        </w:rPr>
        <w:t> </w:t>
      </w:r>
      <w:r>
        <w:rPr>
          <w:sz w:val="18"/>
          <w:vertAlign w:val="baseline"/>
        </w:rPr>
        <w:t>Josh.</w:t>
      </w:r>
      <w:r>
        <w:rPr>
          <w:spacing w:val="-3"/>
          <w:sz w:val="18"/>
          <w:vertAlign w:val="baseline"/>
        </w:rPr>
        <w:t> </w:t>
      </w:r>
      <w:r>
        <w:rPr>
          <w:sz w:val="18"/>
          <w:vertAlign w:val="baseline"/>
        </w:rPr>
        <w:t>“New</w:t>
      </w:r>
      <w:r>
        <w:rPr>
          <w:spacing w:val="-3"/>
          <w:sz w:val="18"/>
          <w:vertAlign w:val="baseline"/>
        </w:rPr>
        <w:t> </w:t>
      </w:r>
      <w:r>
        <w:rPr>
          <w:sz w:val="18"/>
          <w:vertAlign w:val="baseline"/>
        </w:rPr>
        <w:t>Poll</w:t>
      </w:r>
      <w:r>
        <w:rPr>
          <w:spacing w:val="-3"/>
          <w:sz w:val="18"/>
          <w:vertAlign w:val="baseline"/>
        </w:rPr>
        <w:t> </w:t>
      </w:r>
      <w:r>
        <w:rPr>
          <w:sz w:val="18"/>
          <w:vertAlign w:val="baseline"/>
        </w:rPr>
        <w:t>Illustrates</w:t>
      </w:r>
      <w:r>
        <w:rPr>
          <w:spacing w:val="-2"/>
          <w:sz w:val="18"/>
          <w:vertAlign w:val="baseline"/>
        </w:rPr>
        <w:t> </w:t>
      </w:r>
      <w:r>
        <w:rPr>
          <w:sz w:val="18"/>
          <w:vertAlign w:val="baseline"/>
        </w:rPr>
        <w:t>the</w:t>
      </w:r>
      <w:r>
        <w:rPr>
          <w:spacing w:val="-2"/>
          <w:sz w:val="18"/>
          <w:vertAlign w:val="baseline"/>
        </w:rPr>
        <w:t> </w:t>
      </w:r>
      <w:r>
        <w:rPr>
          <w:sz w:val="18"/>
          <w:vertAlign w:val="baseline"/>
        </w:rPr>
        <w:t>Impacts</w:t>
      </w:r>
      <w:r>
        <w:rPr>
          <w:spacing w:val="-3"/>
          <w:sz w:val="18"/>
          <w:vertAlign w:val="baseline"/>
        </w:rPr>
        <w:t> </w:t>
      </w:r>
      <w:r>
        <w:rPr>
          <w:sz w:val="18"/>
          <w:vertAlign w:val="baseline"/>
        </w:rPr>
        <w:t>of</w:t>
      </w:r>
      <w:r>
        <w:rPr>
          <w:spacing w:val="-2"/>
          <w:sz w:val="18"/>
          <w:vertAlign w:val="baseline"/>
        </w:rPr>
        <w:t> </w:t>
      </w:r>
      <w:r>
        <w:rPr>
          <w:sz w:val="18"/>
          <w:vertAlign w:val="baseline"/>
        </w:rPr>
        <w:t>Social</w:t>
      </w:r>
      <w:r>
        <w:rPr>
          <w:spacing w:val="-3"/>
          <w:sz w:val="18"/>
          <w:vertAlign w:val="baseline"/>
        </w:rPr>
        <w:t> </w:t>
      </w:r>
      <w:r>
        <w:rPr>
          <w:sz w:val="18"/>
          <w:vertAlign w:val="baseline"/>
        </w:rPr>
        <w:t>&amp;</w:t>
      </w:r>
      <w:r>
        <w:rPr>
          <w:spacing w:val="-3"/>
          <w:sz w:val="18"/>
          <w:vertAlign w:val="baseline"/>
        </w:rPr>
        <w:t> </w:t>
      </w:r>
      <w:r>
        <w:rPr>
          <w:sz w:val="18"/>
          <w:vertAlign w:val="baseline"/>
        </w:rPr>
        <w:t>Political</w:t>
      </w:r>
      <w:r>
        <w:rPr>
          <w:spacing w:val="-3"/>
          <w:sz w:val="18"/>
          <w:vertAlign w:val="baseline"/>
        </w:rPr>
        <w:t> </w:t>
      </w:r>
      <w:r>
        <w:rPr>
          <w:sz w:val="18"/>
          <w:vertAlign w:val="baseline"/>
        </w:rPr>
        <w:t>Issues</w:t>
      </w:r>
      <w:r>
        <w:rPr>
          <w:spacing w:val="-2"/>
          <w:sz w:val="18"/>
          <w:vertAlign w:val="baseline"/>
        </w:rPr>
        <w:t> </w:t>
      </w:r>
      <w:r>
        <w:rPr>
          <w:sz w:val="18"/>
          <w:vertAlign w:val="baseline"/>
        </w:rPr>
        <w:t>on</w:t>
      </w:r>
      <w:r>
        <w:rPr>
          <w:spacing w:val="-2"/>
          <w:sz w:val="18"/>
          <w:vertAlign w:val="baseline"/>
        </w:rPr>
        <w:t> </w:t>
      </w:r>
      <w:r>
        <w:rPr>
          <w:sz w:val="18"/>
          <w:vertAlign w:val="baseline"/>
        </w:rPr>
        <w:t>LGBTQ</w:t>
      </w:r>
      <w:r>
        <w:rPr>
          <w:spacing w:val="-2"/>
          <w:sz w:val="18"/>
          <w:vertAlign w:val="baseline"/>
        </w:rPr>
        <w:t> </w:t>
      </w:r>
      <w:r>
        <w:rPr>
          <w:sz w:val="18"/>
          <w:vertAlign w:val="baseline"/>
        </w:rPr>
        <w:t>Youth,”</w:t>
      </w:r>
      <w:r>
        <w:rPr>
          <w:spacing w:val="-2"/>
          <w:sz w:val="18"/>
          <w:vertAlign w:val="baseline"/>
        </w:rPr>
        <w:t> </w:t>
      </w:r>
      <w:r>
        <w:rPr>
          <w:sz w:val="18"/>
          <w:vertAlign w:val="baseline"/>
        </w:rPr>
        <w:t>The</w:t>
      </w:r>
      <w:r>
        <w:rPr>
          <w:spacing w:val="-3"/>
          <w:sz w:val="18"/>
          <w:vertAlign w:val="baseline"/>
        </w:rPr>
        <w:t> </w:t>
      </w:r>
      <w:r>
        <w:rPr>
          <w:sz w:val="18"/>
          <w:vertAlign w:val="baseline"/>
        </w:rPr>
        <w:t>Trevor</w:t>
      </w:r>
      <w:r>
        <w:rPr>
          <w:spacing w:val="-3"/>
          <w:sz w:val="18"/>
          <w:vertAlign w:val="baseline"/>
        </w:rPr>
        <w:t> </w:t>
      </w:r>
      <w:r>
        <w:rPr>
          <w:sz w:val="18"/>
          <w:vertAlign w:val="baseline"/>
        </w:rPr>
        <w:t>Project,</w:t>
      </w:r>
      <w:r>
        <w:rPr>
          <w:spacing w:val="-3"/>
          <w:sz w:val="18"/>
          <w:vertAlign w:val="baseline"/>
        </w:rPr>
        <w:t> </w:t>
      </w:r>
      <w:r>
        <w:rPr>
          <w:sz w:val="18"/>
          <w:vertAlign w:val="baseline"/>
        </w:rPr>
        <w:t>January 10,</w:t>
      </w:r>
      <w:r>
        <w:rPr>
          <w:spacing w:val="-2"/>
          <w:sz w:val="18"/>
          <w:vertAlign w:val="baseline"/>
        </w:rPr>
        <w:t> </w:t>
      </w:r>
      <w:r>
        <w:rPr>
          <w:sz w:val="18"/>
          <w:vertAlign w:val="baseline"/>
        </w:rPr>
        <w:t>2022.</w:t>
      </w:r>
    </w:p>
    <w:p>
      <w:pPr>
        <w:spacing w:line="276" w:lineRule="auto" w:before="0"/>
        <w:ind w:left="463" w:right="327" w:firstLine="0"/>
        <w:jc w:val="left"/>
        <w:rPr>
          <w:sz w:val="18"/>
        </w:rPr>
      </w:pPr>
      <w:r>
        <w:rPr>
          <w:sz w:val="18"/>
          <w:vertAlign w:val="superscript"/>
        </w:rPr>
        <w:t>61</w:t>
      </w:r>
      <w:r>
        <w:rPr>
          <w:spacing w:val="-8"/>
          <w:sz w:val="18"/>
          <w:vertAlign w:val="baseline"/>
        </w:rPr>
        <w:t> </w:t>
      </w:r>
      <w:r>
        <w:rPr>
          <w:sz w:val="18"/>
          <w:vertAlign w:val="baseline"/>
        </w:rPr>
        <w:t>GLAD. 2022. “Advocates Praise MA Protection for Abortion, Gender-Affirming Care.” GLAD. August 1, 2022. https:</w:t>
      </w:r>
      <w:hyperlink r:id="rId295">
        <w:r>
          <w:rPr>
            <w:sz w:val="18"/>
            <w:vertAlign w:val="baseline"/>
          </w:rPr>
          <w:t>//www.glad.org/post/advocates-praise-ma-protection-for-abortion-gender-affirming-care/.</w:t>
        </w:r>
      </w:hyperlink>
      <w:r>
        <w:rPr>
          <w:sz w:val="18"/>
          <w:vertAlign w:val="baseline"/>
        </w:rPr>
        <w:t> </w:t>
      </w:r>
      <w:r>
        <w:rPr>
          <w:sz w:val="18"/>
          <w:vertAlign w:val="superscript"/>
        </w:rPr>
        <w:t>62</w:t>
      </w:r>
      <w:r>
        <w:rPr>
          <w:sz w:val="18"/>
          <w:vertAlign w:val="baseline"/>
        </w:rPr>
        <w:t> Twitter, Instagram, Email,</w:t>
      </w:r>
      <w:r>
        <w:rPr>
          <w:spacing w:val="-4"/>
          <w:sz w:val="18"/>
          <w:vertAlign w:val="baseline"/>
        </w:rPr>
        <w:t> </w:t>
      </w:r>
      <w:r>
        <w:rPr>
          <w:sz w:val="18"/>
          <w:vertAlign w:val="baseline"/>
        </w:rPr>
        <w:t>and</w:t>
      </w:r>
      <w:r>
        <w:rPr>
          <w:spacing w:val="-3"/>
          <w:sz w:val="18"/>
          <w:vertAlign w:val="baseline"/>
        </w:rPr>
        <w:t> </w:t>
      </w:r>
      <w:r>
        <w:rPr>
          <w:sz w:val="18"/>
          <w:vertAlign w:val="baseline"/>
        </w:rPr>
        <w:t>Facebook.</w:t>
      </w:r>
      <w:r>
        <w:rPr>
          <w:spacing w:val="-3"/>
          <w:sz w:val="18"/>
          <w:vertAlign w:val="baseline"/>
        </w:rPr>
        <w:t> </w:t>
      </w:r>
      <w:r>
        <w:rPr>
          <w:sz w:val="18"/>
          <w:vertAlign w:val="baseline"/>
        </w:rPr>
        <w:t>2022.</w:t>
      </w:r>
      <w:r>
        <w:rPr>
          <w:spacing w:val="-3"/>
          <w:sz w:val="18"/>
          <w:vertAlign w:val="baseline"/>
        </w:rPr>
        <w:t> </w:t>
      </w:r>
      <w:r>
        <w:rPr>
          <w:sz w:val="18"/>
          <w:vertAlign w:val="baseline"/>
        </w:rPr>
        <w:t>“Newsom</w:t>
      </w:r>
      <w:r>
        <w:rPr>
          <w:spacing w:val="-3"/>
          <w:sz w:val="18"/>
          <w:vertAlign w:val="baseline"/>
        </w:rPr>
        <w:t> </w:t>
      </w:r>
      <w:r>
        <w:rPr>
          <w:sz w:val="18"/>
          <w:vertAlign w:val="baseline"/>
        </w:rPr>
        <w:t>Signs</w:t>
      </w:r>
      <w:r>
        <w:rPr>
          <w:spacing w:val="-3"/>
          <w:sz w:val="18"/>
          <w:vertAlign w:val="baseline"/>
        </w:rPr>
        <w:t> </w:t>
      </w:r>
      <w:r>
        <w:rPr>
          <w:sz w:val="18"/>
          <w:vertAlign w:val="baseline"/>
        </w:rPr>
        <w:t>Bill</w:t>
      </w:r>
      <w:r>
        <w:rPr>
          <w:spacing w:val="-4"/>
          <w:sz w:val="18"/>
          <w:vertAlign w:val="baseline"/>
        </w:rPr>
        <w:t> </w:t>
      </w:r>
      <w:r>
        <w:rPr>
          <w:sz w:val="18"/>
          <w:vertAlign w:val="baseline"/>
        </w:rPr>
        <w:t>Protecting</w:t>
      </w:r>
      <w:r>
        <w:rPr>
          <w:spacing w:val="-3"/>
          <w:sz w:val="18"/>
          <w:vertAlign w:val="baseline"/>
        </w:rPr>
        <w:t> </w:t>
      </w:r>
      <w:r>
        <w:rPr>
          <w:sz w:val="18"/>
          <w:vertAlign w:val="baseline"/>
        </w:rPr>
        <w:t>Transgender</w:t>
      </w:r>
      <w:r>
        <w:rPr>
          <w:spacing w:val="-4"/>
          <w:sz w:val="18"/>
          <w:vertAlign w:val="baseline"/>
        </w:rPr>
        <w:t> </w:t>
      </w:r>
      <w:r>
        <w:rPr>
          <w:sz w:val="18"/>
          <w:vertAlign w:val="baseline"/>
        </w:rPr>
        <w:t>Youths</w:t>
      </w:r>
      <w:r>
        <w:rPr>
          <w:spacing w:val="-3"/>
          <w:sz w:val="18"/>
          <w:vertAlign w:val="baseline"/>
        </w:rPr>
        <w:t> </w:t>
      </w:r>
      <w:r>
        <w:rPr>
          <w:sz w:val="18"/>
          <w:vertAlign w:val="baseline"/>
        </w:rPr>
        <w:t>and</w:t>
      </w:r>
      <w:r>
        <w:rPr>
          <w:spacing w:val="-3"/>
          <w:sz w:val="18"/>
          <w:vertAlign w:val="baseline"/>
        </w:rPr>
        <w:t> </w:t>
      </w:r>
      <w:r>
        <w:rPr>
          <w:sz w:val="18"/>
          <w:vertAlign w:val="baseline"/>
        </w:rPr>
        <w:t>Families</w:t>
      </w:r>
      <w:r>
        <w:rPr>
          <w:spacing w:val="-3"/>
          <w:sz w:val="18"/>
          <w:vertAlign w:val="baseline"/>
        </w:rPr>
        <w:t> </w:t>
      </w:r>
      <w:r>
        <w:rPr>
          <w:sz w:val="18"/>
          <w:vertAlign w:val="baseline"/>
        </w:rPr>
        <w:t>Fleeing</w:t>
      </w:r>
      <w:r>
        <w:rPr>
          <w:spacing w:val="-3"/>
          <w:sz w:val="18"/>
          <w:vertAlign w:val="baseline"/>
        </w:rPr>
        <w:t> </w:t>
      </w:r>
      <w:r>
        <w:rPr>
          <w:sz w:val="18"/>
          <w:vertAlign w:val="baseline"/>
        </w:rPr>
        <w:t>Red</w:t>
      </w:r>
      <w:r>
        <w:rPr>
          <w:spacing w:val="-3"/>
          <w:sz w:val="18"/>
          <w:vertAlign w:val="baseline"/>
        </w:rPr>
        <w:t> </w:t>
      </w:r>
      <w:r>
        <w:rPr>
          <w:sz w:val="18"/>
          <w:vertAlign w:val="baseline"/>
        </w:rPr>
        <w:t>State</w:t>
      </w:r>
      <w:r>
        <w:rPr>
          <w:spacing w:val="-4"/>
          <w:sz w:val="18"/>
          <w:vertAlign w:val="baseline"/>
        </w:rPr>
        <w:t> </w:t>
      </w:r>
      <w:r>
        <w:rPr>
          <w:sz w:val="18"/>
          <w:vertAlign w:val="baseline"/>
        </w:rPr>
        <w:t>Policies.”</w:t>
      </w:r>
      <w:r>
        <w:rPr>
          <w:spacing w:val="-3"/>
          <w:sz w:val="18"/>
          <w:vertAlign w:val="baseline"/>
        </w:rPr>
        <w:t> </w:t>
      </w:r>
      <w:r>
        <w:rPr>
          <w:sz w:val="18"/>
          <w:vertAlign w:val="baseline"/>
        </w:rPr>
        <w:t>Los Angeles Times. September 30, 2022. https:</w:t>
      </w:r>
      <w:hyperlink r:id="rId296">
        <w:r>
          <w:rPr>
            <w:sz w:val="18"/>
            <w:vertAlign w:val="baseline"/>
          </w:rPr>
          <w:t>//www.latimes.com/california/story/2022-09-29/with-new-law</w:t>
        </w:r>
      </w:hyperlink>
      <w:r>
        <w:rPr>
          <w:sz w:val="18"/>
          <w:vertAlign w:val="baseline"/>
        </w:rPr>
        <w:t> california- </w:t>
      </w:r>
      <w:r>
        <w:rPr>
          <w:spacing w:val="-2"/>
          <w:sz w:val="18"/>
          <w:vertAlign w:val="baseline"/>
        </w:rPr>
        <w:t>welcomes-out-of-state-transgender-youth.</w:t>
      </w:r>
    </w:p>
    <w:p>
      <w:pPr>
        <w:spacing w:line="276" w:lineRule="auto" w:before="0"/>
        <w:ind w:left="463" w:right="766" w:hanging="3"/>
        <w:jc w:val="left"/>
        <w:rPr>
          <w:sz w:val="18"/>
        </w:rPr>
      </w:pPr>
      <w:r>
        <w:rPr>
          <w:sz w:val="18"/>
          <w:vertAlign w:val="superscript"/>
        </w:rPr>
        <w:t>63</w:t>
      </w:r>
      <w:r>
        <w:rPr>
          <w:spacing w:val="-8"/>
          <w:sz w:val="18"/>
          <w:vertAlign w:val="baseline"/>
        </w:rPr>
        <w:t> </w:t>
      </w:r>
      <w:r>
        <w:rPr>
          <w:sz w:val="18"/>
          <w:vertAlign w:val="baseline"/>
        </w:rPr>
        <w:t>Sl, Reisner, White Jm, and Dunham Ee. n.d. “Discrimination and Health in Massachusetts: A Statewide Survey of Transgender</w:t>
      </w:r>
      <w:r>
        <w:rPr>
          <w:spacing w:val="-8"/>
          <w:sz w:val="18"/>
          <w:vertAlign w:val="baseline"/>
        </w:rPr>
        <w:t> </w:t>
      </w:r>
      <w:r>
        <w:rPr>
          <w:sz w:val="18"/>
          <w:vertAlign w:val="baseline"/>
        </w:rPr>
        <w:t>and</w:t>
      </w:r>
      <w:r>
        <w:rPr>
          <w:spacing w:val="-7"/>
          <w:sz w:val="18"/>
          <w:vertAlign w:val="baseline"/>
        </w:rPr>
        <w:t> </w:t>
      </w:r>
      <w:r>
        <w:rPr>
          <w:sz w:val="18"/>
          <w:vertAlign w:val="baseline"/>
        </w:rPr>
        <w:t>Gender</w:t>
      </w:r>
      <w:r>
        <w:rPr>
          <w:spacing w:val="-8"/>
          <w:sz w:val="18"/>
          <w:vertAlign w:val="baseline"/>
        </w:rPr>
        <w:t> </w:t>
      </w:r>
      <w:r>
        <w:rPr>
          <w:sz w:val="18"/>
          <w:vertAlign w:val="baseline"/>
        </w:rPr>
        <w:t>Nonconforming</w:t>
      </w:r>
      <w:r>
        <w:rPr>
          <w:spacing w:val="-7"/>
          <w:sz w:val="18"/>
          <w:vertAlign w:val="baseline"/>
        </w:rPr>
        <w:t> </w:t>
      </w:r>
      <w:r>
        <w:rPr>
          <w:sz w:val="18"/>
          <w:vertAlign w:val="baseline"/>
        </w:rPr>
        <w:t>Adults.”</w:t>
      </w:r>
      <w:r>
        <w:rPr>
          <w:spacing w:val="-7"/>
          <w:sz w:val="18"/>
          <w:vertAlign w:val="baseline"/>
        </w:rPr>
        <w:t> </w:t>
      </w:r>
      <w:r>
        <w:rPr>
          <w:sz w:val="18"/>
          <w:vertAlign w:val="baseline"/>
        </w:rPr>
        <w:t>https://fenwayhealth.org/documents/the-fenway-institute/policy- briefs/The-Fenway Institute-MTPC-Project-VOICE-Report-July-2014.pdf.</w:t>
      </w:r>
    </w:p>
    <w:p>
      <w:pPr>
        <w:spacing w:line="219" w:lineRule="exact" w:before="0"/>
        <w:ind w:left="464" w:right="0" w:firstLine="0"/>
        <w:jc w:val="left"/>
        <w:rPr>
          <w:sz w:val="18"/>
        </w:rPr>
      </w:pPr>
      <w:r>
        <w:rPr>
          <w:sz w:val="18"/>
          <w:vertAlign w:val="superscript"/>
        </w:rPr>
        <w:t>64</w:t>
      </w:r>
      <w:r>
        <w:rPr>
          <w:spacing w:val="-13"/>
          <w:sz w:val="18"/>
          <w:vertAlign w:val="baseline"/>
        </w:rPr>
        <w:t> </w:t>
      </w:r>
      <w:r>
        <w:rPr>
          <w:spacing w:val="-2"/>
          <w:sz w:val="18"/>
          <w:vertAlign w:val="baseline"/>
        </w:rPr>
        <w:t>Ibid.</w:t>
      </w:r>
    </w:p>
    <w:p>
      <w:pPr>
        <w:spacing w:before="33"/>
        <w:ind w:left="462" w:right="0" w:firstLine="0"/>
        <w:jc w:val="left"/>
        <w:rPr>
          <w:sz w:val="18"/>
        </w:rPr>
      </w:pPr>
      <w:r>
        <w:rPr>
          <w:sz w:val="18"/>
          <w:vertAlign w:val="superscript"/>
        </w:rPr>
        <w:t>65</w:t>
      </w:r>
      <w:r>
        <w:rPr>
          <w:spacing w:val="-15"/>
          <w:sz w:val="18"/>
          <w:vertAlign w:val="baseline"/>
        </w:rPr>
        <w:t> </w:t>
      </w:r>
      <w:r>
        <w:rPr>
          <w:sz w:val="18"/>
          <w:vertAlign w:val="baseline"/>
        </w:rPr>
        <w:t>Zajac,</w:t>
      </w:r>
      <w:r>
        <w:rPr>
          <w:spacing w:val="-5"/>
          <w:sz w:val="18"/>
          <w:vertAlign w:val="baseline"/>
        </w:rPr>
        <w:t> </w:t>
      </w:r>
      <w:r>
        <w:rPr>
          <w:sz w:val="18"/>
          <w:vertAlign w:val="baseline"/>
        </w:rPr>
        <w:t>Jacek,</w:t>
      </w:r>
      <w:r>
        <w:rPr>
          <w:spacing w:val="-3"/>
          <w:sz w:val="18"/>
          <w:vertAlign w:val="baseline"/>
        </w:rPr>
        <w:t> </w:t>
      </w:r>
      <w:r>
        <w:rPr>
          <w:sz w:val="18"/>
          <w:vertAlign w:val="baseline"/>
        </w:rPr>
        <w:t>Anil</w:t>
      </w:r>
      <w:r>
        <w:rPr>
          <w:spacing w:val="-3"/>
          <w:sz w:val="18"/>
          <w:vertAlign w:val="baseline"/>
        </w:rPr>
        <w:t> </w:t>
      </w:r>
      <w:r>
        <w:rPr>
          <w:sz w:val="18"/>
          <w:vertAlign w:val="baseline"/>
        </w:rPr>
        <w:t>Shrestha,</w:t>
      </w:r>
      <w:r>
        <w:rPr>
          <w:spacing w:val="-3"/>
          <w:sz w:val="18"/>
          <w:vertAlign w:val="baseline"/>
        </w:rPr>
        <w:t> </w:t>
      </w:r>
      <w:r>
        <w:rPr>
          <w:sz w:val="18"/>
          <w:vertAlign w:val="baseline"/>
        </w:rPr>
        <w:t>Parini</w:t>
      </w:r>
      <w:r>
        <w:rPr>
          <w:spacing w:val="-3"/>
          <w:sz w:val="18"/>
          <w:vertAlign w:val="baseline"/>
        </w:rPr>
        <w:t> </w:t>
      </w:r>
      <w:r>
        <w:rPr>
          <w:sz w:val="18"/>
          <w:vertAlign w:val="baseline"/>
        </w:rPr>
        <w:t>Patel,</w:t>
      </w:r>
      <w:r>
        <w:rPr>
          <w:spacing w:val="-3"/>
          <w:sz w:val="18"/>
          <w:vertAlign w:val="baseline"/>
        </w:rPr>
        <w:t> </w:t>
      </w:r>
      <w:r>
        <w:rPr>
          <w:sz w:val="18"/>
          <w:vertAlign w:val="baseline"/>
        </w:rPr>
        <w:t>and</w:t>
      </w:r>
      <w:r>
        <w:rPr>
          <w:spacing w:val="-2"/>
          <w:sz w:val="18"/>
          <w:vertAlign w:val="baseline"/>
        </w:rPr>
        <w:t> </w:t>
      </w:r>
      <w:r>
        <w:rPr>
          <w:sz w:val="18"/>
          <w:vertAlign w:val="baseline"/>
        </w:rPr>
        <w:t>Leonid</w:t>
      </w:r>
      <w:r>
        <w:rPr>
          <w:spacing w:val="-2"/>
          <w:sz w:val="18"/>
          <w:vertAlign w:val="baseline"/>
        </w:rPr>
        <w:t> </w:t>
      </w:r>
      <w:r>
        <w:rPr>
          <w:sz w:val="18"/>
          <w:vertAlign w:val="baseline"/>
        </w:rPr>
        <w:t>Poretsky.</w:t>
      </w:r>
      <w:r>
        <w:rPr>
          <w:spacing w:val="-2"/>
          <w:sz w:val="18"/>
          <w:vertAlign w:val="baseline"/>
        </w:rPr>
        <w:t> </w:t>
      </w:r>
      <w:r>
        <w:rPr>
          <w:sz w:val="18"/>
          <w:vertAlign w:val="baseline"/>
        </w:rPr>
        <w:t>"The</w:t>
      </w:r>
      <w:r>
        <w:rPr>
          <w:spacing w:val="-2"/>
          <w:sz w:val="18"/>
          <w:vertAlign w:val="baseline"/>
        </w:rPr>
        <w:t> </w:t>
      </w:r>
      <w:r>
        <w:rPr>
          <w:sz w:val="18"/>
          <w:vertAlign w:val="baseline"/>
        </w:rPr>
        <w:t>main</w:t>
      </w:r>
      <w:r>
        <w:rPr>
          <w:spacing w:val="-2"/>
          <w:sz w:val="18"/>
          <w:vertAlign w:val="baseline"/>
        </w:rPr>
        <w:t> </w:t>
      </w:r>
      <w:r>
        <w:rPr>
          <w:sz w:val="18"/>
          <w:vertAlign w:val="baseline"/>
        </w:rPr>
        <w:t>events</w:t>
      </w:r>
      <w:r>
        <w:rPr>
          <w:spacing w:val="-2"/>
          <w:sz w:val="18"/>
          <w:vertAlign w:val="baseline"/>
        </w:rPr>
        <w:t> </w:t>
      </w:r>
      <w:r>
        <w:rPr>
          <w:sz w:val="18"/>
          <w:vertAlign w:val="baseline"/>
        </w:rPr>
        <w:t>in</w:t>
      </w:r>
      <w:r>
        <w:rPr>
          <w:spacing w:val="-2"/>
          <w:sz w:val="18"/>
          <w:vertAlign w:val="baseline"/>
        </w:rPr>
        <w:t> </w:t>
      </w:r>
      <w:r>
        <w:rPr>
          <w:sz w:val="18"/>
          <w:vertAlign w:val="baseline"/>
        </w:rPr>
        <w:t>the</w:t>
      </w:r>
      <w:r>
        <w:rPr>
          <w:spacing w:val="-2"/>
          <w:sz w:val="18"/>
          <w:vertAlign w:val="baseline"/>
        </w:rPr>
        <w:t> </w:t>
      </w:r>
      <w:r>
        <w:rPr>
          <w:sz w:val="18"/>
          <w:vertAlign w:val="baseline"/>
        </w:rPr>
        <w:t>history</w:t>
      </w:r>
      <w:r>
        <w:rPr>
          <w:spacing w:val="-2"/>
          <w:sz w:val="18"/>
          <w:vertAlign w:val="baseline"/>
        </w:rPr>
        <w:t> </w:t>
      </w:r>
      <w:r>
        <w:rPr>
          <w:sz w:val="18"/>
          <w:vertAlign w:val="baseline"/>
        </w:rPr>
        <w:t>of</w:t>
      </w:r>
      <w:r>
        <w:rPr>
          <w:spacing w:val="-2"/>
          <w:sz w:val="18"/>
          <w:vertAlign w:val="baseline"/>
        </w:rPr>
        <w:t> </w:t>
      </w:r>
      <w:r>
        <w:rPr>
          <w:sz w:val="18"/>
          <w:vertAlign w:val="baseline"/>
        </w:rPr>
        <w:t>diabetes</w:t>
      </w:r>
      <w:r>
        <w:rPr>
          <w:spacing w:val="-2"/>
          <w:sz w:val="18"/>
          <w:vertAlign w:val="baseline"/>
        </w:rPr>
        <w:t> mellitus."</w:t>
      </w:r>
    </w:p>
    <w:p>
      <w:pPr>
        <w:spacing w:before="33"/>
        <w:ind w:left="463" w:right="0" w:firstLine="0"/>
        <w:jc w:val="left"/>
        <w:rPr>
          <w:sz w:val="18"/>
        </w:rPr>
      </w:pPr>
      <w:r>
        <w:rPr>
          <w:i/>
          <w:sz w:val="18"/>
        </w:rPr>
        <w:t>Principles</w:t>
      </w:r>
      <w:r>
        <w:rPr>
          <w:i/>
          <w:spacing w:val="-5"/>
          <w:sz w:val="18"/>
        </w:rPr>
        <w:t> </w:t>
      </w:r>
      <w:r>
        <w:rPr>
          <w:i/>
          <w:sz w:val="18"/>
        </w:rPr>
        <w:t>of</w:t>
      </w:r>
      <w:r>
        <w:rPr>
          <w:i/>
          <w:spacing w:val="-3"/>
          <w:sz w:val="18"/>
        </w:rPr>
        <w:t> </w:t>
      </w:r>
      <w:r>
        <w:rPr>
          <w:i/>
          <w:sz w:val="18"/>
        </w:rPr>
        <w:t>diabetes</w:t>
      </w:r>
      <w:r>
        <w:rPr>
          <w:i/>
          <w:spacing w:val="-4"/>
          <w:sz w:val="18"/>
        </w:rPr>
        <w:t> </w:t>
      </w:r>
      <w:r>
        <w:rPr>
          <w:i/>
          <w:sz w:val="18"/>
        </w:rPr>
        <w:t>mellitus</w:t>
      </w:r>
      <w:r>
        <w:rPr>
          <w:i/>
          <w:spacing w:val="-4"/>
          <w:sz w:val="18"/>
        </w:rPr>
        <w:t> </w:t>
      </w:r>
      <w:r>
        <w:rPr>
          <w:sz w:val="18"/>
        </w:rPr>
        <w:t>(2010):</w:t>
      </w:r>
      <w:r>
        <w:rPr>
          <w:spacing w:val="-3"/>
          <w:sz w:val="18"/>
        </w:rPr>
        <w:t> </w:t>
      </w:r>
      <w:r>
        <w:rPr>
          <w:sz w:val="18"/>
        </w:rPr>
        <w:t>3-</w:t>
      </w:r>
      <w:r>
        <w:rPr>
          <w:spacing w:val="-5"/>
          <w:sz w:val="18"/>
        </w:rPr>
        <w:t>16.</w:t>
      </w:r>
    </w:p>
    <w:p>
      <w:pPr>
        <w:spacing w:line="276" w:lineRule="auto" w:before="33"/>
        <w:ind w:left="464" w:right="318" w:hanging="3"/>
        <w:jc w:val="left"/>
        <w:rPr>
          <w:sz w:val="18"/>
        </w:rPr>
      </w:pPr>
      <w:r>
        <w:rPr>
          <w:sz w:val="18"/>
          <w:vertAlign w:val="superscript"/>
        </w:rPr>
        <w:t>66</w:t>
      </w:r>
      <w:r>
        <w:rPr>
          <w:spacing w:val="-13"/>
          <w:sz w:val="18"/>
          <w:vertAlign w:val="baseline"/>
        </w:rPr>
        <w:t> </w:t>
      </w:r>
      <w:r>
        <w:rPr>
          <w:sz w:val="18"/>
          <w:vertAlign w:val="baseline"/>
        </w:rPr>
        <w:t>Turban,</w:t>
      </w:r>
      <w:r>
        <w:rPr>
          <w:spacing w:val="-4"/>
          <w:sz w:val="18"/>
          <w:vertAlign w:val="baseline"/>
        </w:rPr>
        <w:t> </w:t>
      </w:r>
      <w:r>
        <w:rPr>
          <w:sz w:val="18"/>
          <w:vertAlign w:val="baseline"/>
        </w:rPr>
        <w:t>Jack</w:t>
      </w:r>
      <w:r>
        <w:rPr>
          <w:spacing w:val="-3"/>
          <w:sz w:val="18"/>
          <w:vertAlign w:val="baseline"/>
        </w:rPr>
        <w:t> </w:t>
      </w:r>
      <w:r>
        <w:rPr>
          <w:sz w:val="18"/>
          <w:vertAlign w:val="baseline"/>
        </w:rPr>
        <w:t>L.,</w:t>
      </w:r>
      <w:r>
        <w:rPr>
          <w:spacing w:val="-3"/>
          <w:sz w:val="18"/>
          <w:vertAlign w:val="baseline"/>
        </w:rPr>
        <w:t> </w:t>
      </w:r>
      <w:r>
        <w:rPr>
          <w:sz w:val="18"/>
          <w:vertAlign w:val="baseline"/>
        </w:rPr>
        <w:t>Dana</w:t>
      </w:r>
      <w:r>
        <w:rPr>
          <w:spacing w:val="-2"/>
          <w:sz w:val="18"/>
          <w:vertAlign w:val="baseline"/>
        </w:rPr>
        <w:t> </w:t>
      </w:r>
      <w:r>
        <w:rPr>
          <w:sz w:val="18"/>
          <w:vertAlign w:val="baseline"/>
        </w:rPr>
        <w:t>King,</w:t>
      </w:r>
      <w:r>
        <w:rPr>
          <w:spacing w:val="-3"/>
          <w:sz w:val="18"/>
          <w:vertAlign w:val="baseline"/>
        </w:rPr>
        <w:t> </w:t>
      </w:r>
      <w:r>
        <w:rPr>
          <w:sz w:val="18"/>
          <w:vertAlign w:val="baseline"/>
        </w:rPr>
        <w:t>Jeremi</w:t>
      </w:r>
      <w:r>
        <w:rPr>
          <w:spacing w:val="-3"/>
          <w:sz w:val="18"/>
          <w:vertAlign w:val="baseline"/>
        </w:rPr>
        <w:t> </w:t>
      </w:r>
      <w:r>
        <w:rPr>
          <w:sz w:val="18"/>
          <w:vertAlign w:val="baseline"/>
        </w:rPr>
        <w:t>M.</w:t>
      </w:r>
      <w:r>
        <w:rPr>
          <w:spacing w:val="-2"/>
          <w:sz w:val="18"/>
          <w:vertAlign w:val="baseline"/>
        </w:rPr>
        <w:t> </w:t>
      </w:r>
      <w:r>
        <w:rPr>
          <w:sz w:val="18"/>
          <w:vertAlign w:val="baseline"/>
        </w:rPr>
        <w:t>Carswell,</w:t>
      </w:r>
      <w:r>
        <w:rPr>
          <w:spacing w:val="-2"/>
          <w:sz w:val="18"/>
          <w:vertAlign w:val="baseline"/>
        </w:rPr>
        <w:t> </w:t>
      </w:r>
      <w:r>
        <w:rPr>
          <w:sz w:val="18"/>
          <w:vertAlign w:val="baseline"/>
        </w:rPr>
        <w:t>and</w:t>
      </w:r>
      <w:r>
        <w:rPr>
          <w:spacing w:val="-2"/>
          <w:sz w:val="18"/>
          <w:vertAlign w:val="baseline"/>
        </w:rPr>
        <w:t> </w:t>
      </w:r>
      <w:r>
        <w:rPr>
          <w:sz w:val="18"/>
          <w:vertAlign w:val="baseline"/>
        </w:rPr>
        <w:t>Alex</w:t>
      </w:r>
      <w:r>
        <w:rPr>
          <w:spacing w:val="-2"/>
          <w:sz w:val="18"/>
          <w:vertAlign w:val="baseline"/>
        </w:rPr>
        <w:t> </w:t>
      </w:r>
      <w:r>
        <w:rPr>
          <w:sz w:val="18"/>
          <w:vertAlign w:val="baseline"/>
        </w:rPr>
        <w:t>S.</w:t>
      </w:r>
      <w:r>
        <w:rPr>
          <w:spacing w:val="-2"/>
          <w:sz w:val="18"/>
          <w:vertAlign w:val="baseline"/>
        </w:rPr>
        <w:t> </w:t>
      </w:r>
      <w:r>
        <w:rPr>
          <w:sz w:val="18"/>
          <w:vertAlign w:val="baseline"/>
        </w:rPr>
        <w:t>Keuroghlian.</w:t>
      </w:r>
      <w:r>
        <w:rPr>
          <w:spacing w:val="-2"/>
          <w:sz w:val="18"/>
          <w:vertAlign w:val="baseline"/>
        </w:rPr>
        <w:t> </w:t>
      </w:r>
      <w:r>
        <w:rPr>
          <w:sz w:val="18"/>
          <w:vertAlign w:val="baseline"/>
        </w:rPr>
        <w:t>"Pubertal</w:t>
      </w:r>
      <w:r>
        <w:rPr>
          <w:spacing w:val="-3"/>
          <w:sz w:val="18"/>
          <w:vertAlign w:val="baseline"/>
        </w:rPr>
        <w:t> </w:t>
      </w:r>
      <w:r>
        <w:rPr>
          <w:sz w:val="18"/>
          <w:vertAlign w:val="baseline"/>
        </w:rPr>
        <w:t>suppression</w:t>
      </w:r>
      <w:r>
        <w:rPr>
          <w:spacing w:val="-2"/>
          <w:sz w:val="18"/>
          <w:vertAlign w:val="baseline"/>
        </w:rPr>
        <w:t> </w:t>
      </w:r>
      <w:r>
        <w:rPr>
          <w:sz w:val="18"/>
          <w:vertAlign w:val="baseline"/>
        </w:rPr>
        <w:t>for</w:t>
      </w:r>
      <w:r>
        <w:rPr>
          <w:spacing w:val="-3"/>
          <w:sz w:val="18"/>
          <w:vertAlign w:val="baseline"/>
        </w:rPr>
        <w:t> </w:t>
      </w:r>
      <w:r>
        <w:rPr>
          <w:sz w:val="18"/>
          <w:vertAlign w:val="baseline"/>
        </w:rPr>
        <w:t>transgender</w:t>
      </w:r>
      <w:r>
        <w:rPr>
          <w:spacing w:val="-3"/>
          <w:sz w:val="18"/>
          <w:vertAlign w:val="baseline"/>
        </w:rPr>
        <w:t> </w:t>
      </w:r>
      <w:r>
        <w:rPr>
          <w:sz w:val="18"/>
          <w:vertAlign w:val="baseline"/>
        </w:rPr>
        <w:t>youth</w:t>
      </w:r>
      <w:r>
        <w:rPr>
          <w:spacing w:val="-2"/>
          <w:sz w:val="18"/>
          <w:vertAlign w:val="baseline"/>
        </w:rPr>
        <w:t> </w:t>
      </w:r>
      <w:r>
        <w:rPr>
          <w:sz w:val="18"/>
          <w:vertAlign w:val="baseline"/>
        </w:rPr>
        <w:t>and risk of suicidal ideation." </w:t>
      </w:r>
      <w:r>
        <w:rPr>
          <w:i/>
          <w:sz w:val="18"/>
          <w:vertAlign w:val="baseline"/>
        </w:rPr>
        <w:t>Pediatrics </w:t>
      </w:r>
      <w:r>
        <w:rPr>
          <w:sz w:val="18"/>
          <w:vertAlign w:val="baseline"/>
        </w:rPr>
        <w:t>145, no. 2 (2020).</w:t>
      </w:r>
    </w:p>
    <w:p>
      <w:pPr>
        <w:spacing w:after="0" w:line="276" w:lineRule="auto"/>
        <w:jc w:val="left"/>
        <w:rPr>
          <w:sz w:val="18"/>
        </w:rPr>
        <w:sectPr>
          <w:pgSz w:w="12240" w:h="15840"/>
          <w:pgMar w:header="721" w:footer="1061" w:top="1360" w:bottom="1260" w:left="1120" w:right="1340"/>
        </w:sectPr>
      </w:pPr>
    </w:p>
    <w:p>
      <w:pPr>
        <w:spacing w:line="276" w:lineRule="auto" w:before="68"/>
        <w:ind w:left="463" w:right="481" w:firstLine="2"/>
        <w:jc w:val="left"/>
        <w:rPr>
          <w:sz w:val="18"/>
        </w:rPr>
      </w:pPr>
      <w:r>
        <w:rPr>
          <w:sz w:val="18"/>
          <w:vertAlign w:val="superscript"/>
        </w:rPr>
        <w:t>67</w:t>
      </w:r>
      <w:r>
        <w:rPr>
          <w:spacing w:val="-13"/>
          <w:sz w:val="18"/>
          <w:vertAlign w:val="baseline"/>
        </w:rPr>
        <w:t> </w:t>
      </w:r>
      <w:r>
        <w:rPr>
          <w:color w:val="212121"/>
          <w:sz w:val="18"/>
          <w:vertAlign w:val="baseline"/>
        </w:rPr>
        <w:t>Olson,</w:t>
      </w:r>
      <w:r>
        <w:rPr>
          <w:color w:val="212121"/>
          <w:spacing w:val="-4"/>
          <w:sz w:val="18"/>
          <w:vertAlign w:val="baseline"/>
        </w:rPr>
        <w:t> </w:t>
      </w:r>
      <w:r>
        <w:rPr>
          <w:color w:val="212121"/>
          <w:sz w:val="18"/>
          <w:vertAlign w:val="baseline"/>
        </w:rPr>
        <w:t>Kristina</w:t>
      </w:r>
      <w:r>
        <w:rPr>
          <w:color w:val="212121"/>
          <w:spacing w:val="-2"/>
          <w:sz w:val="18"/>
          <w:vertAlign w:val="baseline"/>
        </w:rPr>
        <w:t> </w:t>
      </w:r>
      <w:r>
        <w:rPr>
          <w:color w:val="212121"/>
          <w:sz w:val="18"/>
          <w:vertAlign w:val="baseline"/>
        </w:rPr>
        <w:t>R.,</w:t>
      </w:r>
      <w:r>
        <w:rPr>
          <w:color w:val="212121"/>
          <w:spacing w:val="-3"/>
          <w:sz w:val="18"/>
          <w:vertAlign w:val="baseline"/>
        </w:rPr>
        <w:t> </w:t>
      </w:r>
      <w:r>
        <w:rPr>
          <w:color w:val="212121"/>
          <w:sz w:val="18"/>
          <w:vertAlign w:val="baseline"/>
        </w:rPr>
        <w:t>Lily</w:t>
      </w:r>
      <w:r>
        <w:rPr>
          <w:color w:val="212121"/>
          <w:spacing w:val="-1"/>
          <w:sz w:val="18"/>
          <w:vertAlign w:val="baseline"/>
        </w:rPr>
        <w:t> </w:t>
      </w:r>
      <w:r>
        <w:rPr>
          <w:color w:val="212121"/>
          <w:sz w:val="18"/>
          <w:vertAlign w:val="baseline"/>
        </w:rPr>
        <w:t>Durwood,</w:t>
      </w:r>
      <w:r>
        <w:rPr>
          <w:color w:val="212121"/>
          <w:spacing w:val="-3"/>
          <w:sz w:val="18"/>
          <w:vertAlign w:val="baseline"/>
        </w:rPr>
        <w:t> </w:t>
      </w:r>
      <w:r>
        <w:rPr>
          <w:color w:val="212121"/>
          <w:sz w:val="18"/>
          <w:vertAlign w:val="baseline"/>
        </w:rPr>
        <w:t>Rachel</w:t>
      </w:r>
      <w:r>
        <w:rPr>
          <w:color w:val="212121"/>
          <w:spacing w:val="-3"/>
          <w:sz w:val="18"/>
          <w:vertAlign w:val="baseline"/>
        </w:rPr>
        <w:t> </w:t>
      </w:r>
      <w:r>
        <w:rPr>
          <w:color w:val="212121"/>
          <w:sz w:val="18"/>
          <w:vertAlign w:val="baseline"/>
        </w:rPr>
        <w:t>Horton,</w:t>
      </w:r>
      <w:r>
        <w:rPr>
          <w:color w:val="212121"/>
          <w:spacing w:val="-3"/>
          <w:sz w:val="18"/>
          <w:vertAlign w:val="baseline"/>
        </w:rPr>
        <w:t> </w:t>
      </w:r>
      <w:r>
        <w:rPr>
          <w:color w:val="212121"/>
          <w:sz w:val="18"/>
          <w:vertAlign w:val="baseline"/>
        </w:rPr>
        <w:t>Natalie</w:t>
      </w:r>
      <w:r>
        <w:rPr>
          <w:color w:val="212121"/>
          <w:spacing w:val="-2"/>
          <w:sz w:val="18"/>
          <w:vertAlign w:val="baseline"/>
        </w:rPr>
        <w:t> </w:t>
      </w:r>
      <w:r>
        <w:rPr>
          <w:color w:val="212121"/>
          <w:sz w:val="18"/>
          <w:vertAlign w:val="baseline"/>
        </w:rPr>
        <w:t>M.</w:t>
      </w:r>
      <w:r>
        <w:rPr>
          <w:color w:val="212121"/>
          <w:spacing w:val="-2"/>
          <w:sz w:val="18"/>
          <w:vertAlign w:val="baseline"/>
        </w:rPr>
        <w:t> </w:t>
      </w:r>
      <w:r>
        <w:rPr>
          <w:color w:val="212121"/>
          <w:sz w:val="18"/>
          <w:vertAlign w:val="baseline"/>
        </w:rPr>
        <w:t>Gallagher,</w:t>
      </w:r>
      <w:r>
        <w:rPr>
          <w:color w:val="212121"/>
          <w:spacing w:val="-3"/>
          <w:sz w:val="18"/>
          <w:vertAlign w:val="baseline"/>
        </w:rPr>
        <w:t> </w:t>
      </w:r>
      <w:r>
        <w:rPr>
          <w:color w:val="212121"/>
          <w:sz w:val="18"/>
          <w:vertAlign w:val="baseline"/>
        </w:rPr>
        <w:t>and</w:t>
      </w:r>
      <w:r>
        <w:rPr>
          <w:color w:val="212121"/>
          <w:spacing w:val="-2"/>
          <w:sz w:val="18"/>
          <w:vertAlign w:val="baseline"/>
        </w:rPr>
        <w:t> </w:t>
      </w:r>
      <w:r>
        <w:rPr>
          <w:color w:val="212121"/>
          <w:sz w:val="18"/>
          <w:vertAlign w:val="baseline"/>
        </w:rPr>
        <w:t>Aaron</w:t>
      </w:r>
      <w:r>
        <w:rPr>
          <w:color w:val="212121"/>
          <w:spacing w:val="-2"/>
          <w:sz w:val="18"/>
          <w:vertAlign w:val="baseline"/>
        </w:rPr>
        <w:t> </w:t>
      </w:r>
      <w:r>
        <w:rPr>
          <w:color w:val="212121"/>
          <w:sz w:val="18"/>
          <w:vertAlign w:val="baseline"/>
        </w:rPr>
        <w:t>Devor.</w:t>
      </w:r>
      <w:r>
        <w:rPr>
          <w:color w:val="212121"/>
          <w:spacing w:val="-2"/>
          <w:sz w:val="18"/>
          <w:vertAlign w:val="baseline"/>
        </w:rPr>
        <w:t> </w:t>
      </w:r>
      <w:r>
        <w:rPr>
          <w:color w:val="212121"/>
          <w:sz w:val="18"/>
          <w:vertAlign w:val="baseline"/>
        </w:rPr>
        <w:t>"Gender</w:t>
      </w:r>
      <w:r>
        <w:rPr>
          <w:color w:val="212121"/>
          <w:spacing w:val="-3"/>
          <w:sz w:val="18"/>
          <w:vertAlign w:val="baseline"/>
        </w:rPr>
        <w:t> </w:t>
      </w:r>
      <w:r>
        <w:rPr>
          <w:color w:val="212121"/>
          <w:sz w:val="18"/>
          <w:vertAlign w:val="baseline"/>
        </w:rPr>
        <w:t>identity</w:t>
      </w:r>
      <w:r>
        <w:rPr>
          <w:color w:val="212121"/>
          <w:spacing w:val="-2"/>
          <w:sz w:val="18"/>
          <w:vertAlign w:val="baseline"/>
        </w:rPr>
        <w:t> </w:t>
      </w:r>
      <w:r>
        <w:rPr>
          <w:color w:val="212121"/>
          <w:sz w:val="18"/>
          <w:vertAlign w:val="baseline"/>
        </w:rPr>
        <w:t>5</w:t>
      </w:r>
      <w:r>
        <w:rPr>
          <w:color w:val="212121"/>
          <w:spacing w:val="-2"/>
          <w:sz w:val="18"/>
          <w:vertAlign w:val="baseline"/>
        </w:rPr>
        <w:t> </w:t>
      </w:r>
      <w:r>
        <w:rPr>
          <w:color w:val="212121"/>
          <w:sz w:val="18"/>
          <w:vertAlign w:val="baseline"/>
        </w:rPr>
        <w:t>years</w:t>
      </w:r>
      <w:r>
        <w:rPr>
          <w:color w:val="212121"/>
          <w:spacing w:val="-2"/>
          <w:sz w:val="18"/>
          <w:vertAlign w:val="baseline"/>
        </w:rPr>
        <w:t> </w:t>
      </w:r>
      <w:r>
        <w:rPr>
          <w:color w:val="212121"/>
          <w:sz w:val="18"/>
          <w:vertAlign w:val="baseline"/>
        </w:rPr>
        <w:t>after social transition." </w:t>
      </w:r>
      <w:r>
        <w:rPr>
          <w:i/>
          <w:color w:val="212121"/>
          <w:sz w:val="18"/>
          <w:vertAlign w:val="baseline"/>
        </w:rPr>
        <w:t>Pediatrics </w:t>
      </w:r>
      <w:r>
        <w:rPr>
          <w:color w:val="212121"/>
          <w:sz w:val="18"/>
          <w:vertAlign w:val="baseline"/>
        </w:rPr>
        <w:t>150, no. 2 (2022).</w:t>
      </w:r>
    </w:p>
    <w:p>
      <w:pPr>
        <w:spacing w:line="276" w:lineRule="auto" w:before="0"/>
        <w:ind w:left="463" w:right="418" w:firstLine="2"/>
        <w:jc w:val="left"/>
        <w:rPr>
          <w:sz w:val="18"/>
        </w:rPr>
      </w:pPr>
      <w:r>
        <w:rPr>
          <w:sz w:val="18"/>
          <w:vertAlign w:val="superscript"/>
        </w:rPr>
        <w:t>68</w:t>
      </w:r>
      <w:r>
        <w:rPr>
          <w:spacing w:val="-14"/>
          <w:sz w:val="18"/>
          <w:vertAlign w:val="baseline"/>
        </w:rPr>
        <w:t> </w:t>
      </w:r>
      <w:r>
        <w:rPr>
          <w:color w:val="212121"/>
          <w:sz w:val="18"/>
          <w:vertAlign w:val="baseline"/>
        </w:rPr>
        <w:t>Puckett,</w:t>
      </w:r>
      <w:r>
        <w:rPr>
          <w:color w:val="212121"/>
          <w:spacing w:val="-5"/>
          <w:sz w:val="18"/>
          <w:vertAlign w:val="baseline"/>
        </w:rPr>
        <w:t> </w:t>
      </w:r>
      <w:r>
        <w:rPr>
          <w:color w:val="212121"/>
          <w:sz w:val="18"/>
          <w:vertAlign w:val="baseline"/>
        </w:rPr>
        <w:t>Jae</w:t>
      </w:r>
      <w:r>
        <w:rPr>
          <w:color w:val="212121"/>
          <w:spacing w:val="-2"/>
          <w:sz w:val="18"/>
          <w:vertAlign w:val="baseline"/>
        </w:rPr>
        <w:t> </w:t>
      </w:r>
      <w:r>
        <w:rPr>
          <w:color w:val="212121"/>
          <w:sz w:val="18"/>
          <w:vertAlign w:val="baseline"/>
        </w:rPr>
        <w:t>A.,</w:t>
      </w:r>
      <w:r>
        <w:rPr>
          <w:color w:val="212121"/>
          <w:spacing w:val="-3"/>
          <w:sz w:val="18"/>
          <w:vertAlign w:val="baseline"/>
        </w:rPr>
        <w:t> </w:t>
      </w:r>
      <w:r>
        <w:rPr>
          <w:color w:val="212121"/>
          <w:sz w:val="18"/>
          <w:vertAlign w:val="baseline"/>
        </w:rPr>
        <w:t>Peter</w:t>
      </w:r>
      <w:r>
        <w:rPr>
          <w:color w:val="212121"/>
          <w:spacing w:val="-3"/>
          <w:sz w:val="18"/>
          <w:vertAlign w:val="baseline"/>
        </w:rPr>
        <w:t> </w:t>
      </w:r>
      <w:r>
        <w:rPr>
          <w:color w:val="212121"/>
          <w:sz w:val="18"/>
          <w:vertAlign w:val="baseline"/>
        </w:rPr>
        <w:t>Cleary,</w:t>
      </w:r>
      <w:r>
        <w:rPr>
          <w:color w:val="212121"/>
          <w:spacing w:val="-3"/>
          <w:sz w:val="18"/>
          <w:vertAlign w:val="baseline"/>
        </w:rPr>
        <w:t> </w:t>
      </w:r>
      <w:r>
        <w:rPr>
          <w:color w:val="212121"/>
          <w:sz w:val="18"/>
          <w:vertAlign w:val="baseline"/>
        </w:rPr>
        <w:t>Kinton</w:t>
      </w:r>
      <w:r>
        <w:rPr>
          <w:color w:val="212121"/>
          <w:spacing w:val="-2"/>
          <w:sz w:val="18"/>
          <w:vertAlign w:val="baseline"/>
        </w:rPr>
        <w:t> </w:t>
      </w:r>
      <w:r>
        <w:rPr>
          <w:color w:val="212121"/>
          <w:sz w:val="18"/>
          <w:vertAlign w:val="baseline"/>
        </w:rPr>
        <w:t>Rossman,</w:t>
      </w:r>
      <w:r>
        <w:rPr>
          <w:color w:val="212121"/>
          <w:spacing w:val="-3"/>
          <w:sz w:val="18"/>
          <w:vertAlign w:val="baseline"/>
        </w:rPr>
        <w:t> </w:t>
      </w:r>
      <w:r>
        <w:rPr>
          <w:color w:val="212121"/>
          <w:sz w:val="18"/>
          <w:vertAlign w:val="baseline"/>
        </w:rPr>
        <w:t>Brian</w:t>
      </w:r>
      <w:r>
        <w:rPr>
          <w:color w:val="212121"/>
          <w:spacing w:val="-2"/>
          <w:sz w:val="18"/>
          <w:vertAlign w:val="baseline"/>
        </w:rPr>
        <w:t> </w:t>
      </w:r>
      <w:r>
        <w:rPr>
          <w:color w:val="212121"/>
          <w:sz w:val="18"/>
          <w:vertAlign w:val="baseline"/>
        </w:rPr>
        <w:t>Mustanski,</w:t>
      </w:r>
      <w:r>
        <w:rPr>
          <w:color w:val="212121"/>
          <w:spacing w:val="-3"/>
          <w:sz w:val="18"/>
          <w:vertAlign w:val="baseline"/>
        </w:rPr>
        <w:t> </w:t>
      </w:r>
      <w:r>
        <w:rPr>
          <w:color w:val="212121"/>
          <w:sz w:val="18"/>
          <w:vertAlign w:val="baseline"/>
        </w:rPr>
        <w:t>and</w:t>
      </w:r>
      <w:r>
        <w:rPr>
          <w:color w:val="212121"/>
          <w:spacing w:val="-2"/>
          <w:sz w:val="18"/>
          <w:vertAlign w:val="baseline"/>
        </w:rPr>
        <w:t> </w:t>
      </w:r>
      <w:r>
        <w:rPr>
          <w:color w:val="212121"/>
          <w:sz w:val="18"/>
          <w:vertAlign w:val="baseline"/>
        </w:rPr>
        <w:t>Michael</w:t>
      </w:r>
      <w:r>
        <w:rPr>
          <w:color w:val="212121"/>
          <w:spacing w:val="-3"/>
          <w:sz w:val="18"/>
          <w:vertAlign w:val="baseline"/>
        </w:rPr>
        <w:t> </w:t>
      </w:r>
      <w:r>
        <w:rPr>
          <w:color w:val="212121"/>
          <w:sz w:val="18"/>
          <w:vertAlign w:val="baseline"/>
        </w:rPr>
        <w:t>E.</w:t>
      </w:r>
      <w:r>
        <w:rPr>
          <w:color w:val="212121"/>
          <w:spacing w:val="-2"/>
          <w:sz w:val="18"/>
          <w:vertAlign w:val="baseline"/>
        </w:rPr>
        <w:t> </w:t>
      </w:r>
      <w:r>
        <w:rPr>
          <w:color w:val="212121"/>
          <w:sz w:val="18"/>
          <w:vertAlign w:val="baseline"/>
        </w:rPr>
        <w:t>Newcomb.</w:t>
      </w:r>
      <w:r>
        <w:rPr>
          <w:color w:val="212121"/>
          <w:spacing w:val="-2"/>
          <w:sz w:val="18"/>
          <w:vertAlign w:val="baseline"/>
        </w:rPr>
        <w:t> </w:t>
      </w:r>
      <w:r>
        <w:rPr>
          <w:color w:val="212121"/>
          <w:sz w:val="18"/>
          <w:vertAlign w:val="baseline"/>
        </w:rPr>
        <w:t>"Barriers</w:t>
      </w:r>
      <w:r>
        <w:rPr>
          <w:color w:val="212121"/>
          <w:spacing w:val="-2"/>
          <w:sz w:val="18"/>
          <w:vertAlign w:val="baseline"/>
        </w:rPr>
        <w:t> </w:t>
      </w:r>
      <w:r>
        <w:rPr>
          <w:color w:val="212121"/>
          <w:sz w:val="18"/>
          <w:vertAlign w:val="baseline"/>
        </w:rPr>
        <w:t>to</w:t>
      </w:r>
      <w:r>
        <w:rPr>
          <w:color w:val="212121"/>
          <w:spacing w:val="-2"/>
          <w:sz w:val="18"/>
          <w:vertAlign w:val="baseline"/>
        </w:rPr>
        <w:t> </w:t>
      </w:r>
      <w:r>
        <w:rPr>
          <w:color w:val="212121"/>
          <w:sz w:val="18"/>
          <w:vertAlign w:val="baseline"/>
        </w:rPr>
        <w:t>Gender-affirming care for transgender and gender nonconforming individuals." </w:t>
      </w:r>
      <w:r>
        <w:rPr>
          <w:i/>
          <w:color w:val="212121"/>
          <w:sz w:val="18"/>
          <w:vertAlign w:val="baseline"/>
        </w:rPr>
        <w:t>Sexuality Research and Social Policy </w:t>
      </w:r>
      <w:r>
        <w:rPr>
          <w:color w:val="212121"/>
          <w:sz w:val="18"/>
          <w:vertAlign w:val="baseline"/>
        </w:rPr>
        <w:t>15 (2018): 48-59. </w:t>
      </w:r>
      <w:r>
        <w:rPr>
          <w:sz w:val="18"/>
          <w:vertAlign w:val="superscript"/>
        </w:rPr>
        <w:t>69</w:t>
      </w:r>
      <w:r>
        <w:rPr>
          <w:sz w:val="18"/>
          <w:vertAlign w:val="baseline"/>
        </w:rPr>
        <w:t> Ducar, Dallas. “Gender-affirming health care is simply good health care. The Boston Globe, July, 2022. https://</w:t>
      </w:r>
      <w:hyperlink r:id="rId297">
        <w:r>
          <w:rPr>
            <w:sz w:val="18"/>
            <w:vertAlign w:val="baseline"/>
          </w:rPr>
          <w:t>www.bostonglobe.com/2022/07/04/opinion/gender-affirming-health-care-is-simply-good-health-care/</w:t>
        </w:r>
      </w:hyperlink>
      <w:r>
        <w:rPr>
          <w:sz w:val="18"/>
          <w:vertAlign w:val="baseline"/>
        </w:rPr>
        <w:t> </w:t>
      </w:r>
      <w:r>
        <w:rPr>
          <w:sz w:val="18"/>
          <w:vertAlign w:val="superscript"/>
        </w:rPr>
        <w:t>70</w:t>
      </w:r>
      <w:r>
        <w:rPr>
          <w:spacing w:val="-4"/>
          <w:sz w:val="18"/>
          <w:vertAlign w:val="baseline"/>
        </w:rPr>
        <w:t> </w:t>
      </w:r>
      <w:r>
        <w:rPr>
          <w:sz w:val="18"/>
          <w:vertAlign w:val="baseline"/>
        </w:rPr>
        <w:t>Loo, Stephanie, Anthony N. Almazan, Virginia Vedilago, Brooke Stott, Sari L. Reisner, and Alex S. Keuroghlian. 2021. “Understanding</w:t>
      </w:r>
      <w:r>
        <w:rPr>
          <w:spacing w:val="-1"/>
          <w:sz w:val="18"/>
          <w:vertAlign w:val="baseline"/>
        </w:rPr>
        <w:t> </w:t>
      </w:r>
      <w:r>
        <w:rPr>
          <w:sz w:val="18"/>
          <w:vertAlign w:val="baseline"/>
        </w:rPr>
        <w:t>Community Member</w:t>
      </w:r>
      <w:r>
        <w:rPr>
          <w:spacing w:val="-1"/>
          <w:sz w:val="18"/>
          <w:vertAlign w:val="baseline"/>
        </w:rPr>
        <w:t> </w:t>
      </w:r>
      <w:r>
        <w:rPr>
          <w:sz w:val="18"/>
          <w:vertAlign w:val="baseline"/>
        </w:rPr>
        <w:t>and Health Care Professional</w:t>
      </w:r>
      <w:r>
        <w:rPr>
          <w:spacing w:val="-1"/>
          <w:sz w:val="18"/>
          <w:vertAlign w:val="baseline"/>
        </w:rPr>
        <w:t> </w:t>
      </w:r>
      <w:r>
        <w:rPr>
          <w:sz w:val="18"/>
          <w:vertAlign w:val="baseline"/>
        </w:rPr>
        <w:t>Perspectives on Gender-Affirming Care—a Qualitative Study.” Edited by Stefano Federici. </w:t>
      </w:r>
      <w:r>
        <w:rPr>
          <w:i/>
          <w:sz w:val="18"/>
          <w:vertAlign w:val="baseline"/>
        </w:rPr>
        <w:t>PLOS ONE </w:t>
      </w:r>
      <w:r>
        <w:rPr>
          <w:sz w:val="18"/>
          <w:vertAlign w:val="baseline"/>
        </w:rPr>
        <w:t>16 (8): e0255568. https://doi.org/10.1371/journal.pone.0255568.</w:t>
      </w:r>
    </w:p>
    <w:p>
      <w:pPr>
        <w:spacing w:line="276" w:lineRule="auto" w:before="0"/>
        <w:ind w:left="464" w:right="228" w:hanging="7"/>
        <w:jc w:val="left"/>
        <w:rPr>
          <w:sz w:val="18"/>
        </w:rPr>
      </w:pPr>
      <w:r>
        <w:rPr>
          <w:sz w:val="18"/>
          <w:vertAlign w:val="superscript"/>
        </w:rPr>
        <w:t>71</w:t>
      </w:r>
      <w:r>
        <w:rPr>
          <w:spacing w:val="-13"/>
          <w:sz w:val="18"/>
          <w:vertAlign w:val="baseline"/>
        </w:rPr>
        <w:t> </w:t>
      </w:r>
      <w:r>
        <w:rPr>
          <w:color w:val="202020"/>
          <w:sz w:val="18"/>
          <w:vertAlign w:val="baseline"/>
        </w:rPr>
        <w:t>Goldhammer</w:t>
      </w:r>
      <w:r>
        <w:rPr>
          <w:color w:val="202020"/>
          <w:spacing w:val="-5"/>
          <w:sz w:val="18"/>
          <w:vertAlign w:val="baseline"/>
        </w:rPr>
        <w:t> </w:t>
      </w:r>
      <w:r>
        <w:rPr>
          <w:color w:val="202020"/>
          <w:sz w:val="18"/>
          <w:vertAlign w:val="baseline"/>
        </w:rPr>
        <w:t>H,</w:t>
      </w:r>
      <w:r>
        <w:rPr>
          <w:color w:val="202020"/>
          <w:spacing w:val="-3"/>
          <w:sz w:val="18"/>
          <w:vertAlign w:val="baseline"/>
        </w:rPr>
        <w:t> </w:t>
      </w:r>
      <w:r>
        <w:rPr>
          <w:color w:val="202020"/>
          <w:sz w:val="18"/>
          <w:vertAlign w:val="baseline"/>
        </w:rPr>
        <w:t>Grasso</w:t>
      </w:r>
      <w:r>
        <w:rPr>
          <w:color w:val="202020"/>
          <w:spacing w:val="-2"/>
          <w:sz w:val="18"/>
          <w:vertAlign w:val="baseline"/>
        </w:rPr>
        <w:t> </w:t>
      </w:r>
      <w:r>
        <w:rPr>
          <w:color w:val="202020"/>
          <w:sz w:val="18"/>
          <w:vertAlign w:val="baseline"/>
        </w:rPr>
        <w:t>C,</w:t>
      </w:r>
      <w:r>
        <w:rPr>
          <w:color w:val="202020"/>
          <w:spacing w:val="-3"/>
          <w:sz w:val="18"/>
          <w:vertAlign w:val="baseline"/>
        </w:rPr>
        <w:t> </w:t>
      </w:r>
      <w:r>
        <w:rPr>
          <w:color w:val="202020"/>
          <w:sz w:val="18"/>
          <w:vertAlign w:val="baseline"/>
        </w:rPr>
        <w:t>Katz-Wise</w:t>
      </w:r>
      <w:r>
        <w:rPr>
          <w:color w:val="202020"/>
          <w:spacing w:val="-2"/>
          <w:sz w:val="18"/>
          <w:vertAlign w:val="baseline"/>
        </w:rPr>
        <w:t> </w:t>
      </w:r>
      <w:r>
        <w:rPr>
          <w:color w:val="202020"/>
          <w:sz w:val="18"/>
          <w:vertAlign w:val="baseline"/>
        </w:rPr>
        <w:t>SL,</w:t>
      </w:r>
      <w:r>
        <w:rPr>
          <w:color w:val="202020"/>
          <w:spacing w:val="-3"/>
          <w:sz w:val="18"/>
          <w:vertAlign w:val="baseline"/>
        </w:rPr>
        <w:t> </w:t>
      </w:r>
      <w:r>
        <w:rPr>
          <w:color w:val="202020"/>
          <w:sz w:val="18"/>
          <w:vertAlign w:val="baseline"/>
        </w:rPr>
        <w:t>Thomson</w:t>
      </w:r>
      <w:r>
        <w:rPr>
          <w:color w:val="202020"/>
          <w:spacing w:val="-2"/>
          <w:sz w:val="18"/>
          <w:vertAlign w:val="baseline"/>
        </w:rPr>
        <w:t> </w:t>
      </w:r>
      <w:r>
        <w:rPr>
          <w:color w:val="202020"/>
          <w:sz w:val="18"/>
          <w:vertAlign w:val="baseline"/>
        </w:rPr>
        <w:t>K,</w:t>
      </w:r>
      <w:r>
        <w:rPr>
          <w:color w:val="202020"/>
          <w:spacing w:val="-3"/>
          <w:sz w:val="18"/>
          <w:vertAlign w:val="baseline"/>
        </w:rPr>
        <w:t> </w:t>
      </w:r>
      <w:r>
        <w:rPr>
          <w:color w:val="202020"/>
          <w:sz w:val="18"/>
          <w:vertAlign w:val="baseline"/>
        </w:rPr>
        <w:t>Gordon</w:t>
      </w:r>
      <w:r>
        <w:rPr>
          <w:color w:val="202020"/>
          <w:spacing w:val="-2"/>
          <w:sz w:val="18"/>
          <w:vertAlign w:val="baseline"/>
        </w:rPr>
        <w:t> </w:t>
      </w:r>
      <w:r>
        <w:rPr>
          <w:color w:val="202020"/>
          <w:sz w:val="18"/>
          <w:vertAlign w:val="baseline"/>
        </w:rPr>
        <w:t>AR,</w:t>
      </w:r>
      <w:r>
        <w:rPr>
          <w:color w:val="202020"/>
          <w:spacing w:val="-3"/>
          <w:sz w:val="18"/>
          <w:vertAlign w:val="baseline"/>
        </w:rPr>
        <w:t> </w:t>
      </w:r>
      <w:r>
        <w:rPr>
          <w:color w:val="202020"/>
          <w:sz w:val="18"/>
          <w:vertAlign w:val="baseline"/>
        </w:rPr>
        <w:t>Keuroghlian</w:t>
      </w:r>
      <w:r>
        <w:rPr>
          <w:color w:val="202020"/>
          <w:spacing w:val="-2"/>
          <w:sz w:val="18"/>
          <w:vertAlign w:val="baseline"/>
        </w:rPr>
        <w:t> </w:t>
      </w:r>
      <w:r>
        <w:rPr>
          <w:color w:val="202020"/>
          <w:sz w:val="18"/>
          <w:vertAlign w:val="baseline"/>
        </w:rPr>
        <w:t>AS.</w:t>
      </w:r>
      <w:r>
        <w:rPr>
          <w:color w:val="202020"/>
          <w:spacing w:val="-2"/>
          <w:sz w:val="18"/>
          <w:vertAlign w:val="baseline"/>
        </w:rPr>
        <w:t> </w:t>
      </w:r>
      <w:r>
        <w:rPr>
          <w:color w:val="202020"/>
          <w:sz w:val="18"/>
          <w:vertAlign w:val="baseline"/>
        </w:rPr>
        <w:t>Pediatric</w:t>
      </w:r>
      <w:r>
        <w:rPr>
          <w:color w:val="202020"/>
          <w:spacing w:val="-3"/>
          <w:sz w:val="18"/>
          <w:vertAlign w:val="baseline"/>
        </w:rPr>
        <w:t> </w:t>
      </w:r>
      <w:r>
        <w:rPr>
          <w:color w:val="202020"/>
          <w:sz w:val="18"/>
          <w:vertAlign w:val="baseline"/>
        </w:rPr>
        <w:t>sexual</w:t>
      </w:r>
      <w:r>
        <w:rPr>
          <w:color w:val="202020"/>
          <w:spacing w:val="-3"/>
          <w:sz w:val="18"/>
          <w:vertAlign w:val="baseline"/>
        </w:rPr>
        <w:t> </w:t>
      </w:r>
      <w:r>
        <w:rPr>
          <w:color w:val="202020"/>
          <w:sz w:val="18"/>
          <w:vertAlign w:val="baseline"/>
        </w:rPr>
        <w:t>orientation</w:t>
      </w:r>
      <w:r>
        <w:rPr>
          <w:color w:val="202020"/>
          <w:spacing w:val="-2"/>
          <w:sz w:val="18"/>
          <w:vertAlign w:val="baseline"/>
        </w:rPr>
        <w:t> </w:t>
      </w:r>
      <w:r>
        <w:rPr>
          <w:color w:val="202020"/>
          <w:sz w:val="18"/>
          <w:vertAlign w:val="baseline"/>
        </w:rPr>
        <w:t>and</w:t>
      </w:r>
      <w:r>
        <w:rPr>
          <w:color w:val="202020"/>
          <w:spacing w:val="-2"/>
          <w:sz w:val="18"/>
          <w:vertAlign w:val="baseline"/>
        </w:rPr>
        <w:t> </w:t>
      </w:r>
      <w:r>
        <w:rPr>
          <w:color w:val="202020"/>
          <w:sz w:val="18"/>
          <w:vertAlign w:val="baseline"/>
        </w:rPr>
        <w:t>gender identity data collection in the electronic health record. J Am Med Inform Assoc. 2022 Jun 14;29(7):1303-1309. doi: 10.1093/jamia/ocac048. PMID: 35396995; PMCID: PMC9196694.</w:t>
      </w:r>
    </w:p>
    <w:p>
      <w:pPr>
        <w:spacing w:line="276" w:lineRule="auto" w:before="0"/>
        <w:ind w:left="463" w:right="481" w:hanging="6"/>
        <w:jc w:val="left"/>
        <w:rPr>
          <w:sz w:val="18"/>
        </w:rPr>
      </w:pPr>
      <w:r>
        <w:rPr>
          <w:sz w:val="18"/>
          <w:vertAlign w:val="superscript"/>
        </w:rPr>
        <w:t>72</w:t>
      </w:r>
      <w:r>
        <w:rPr>
          <w:spacing w:val="-13"/>
          <w:sz w:val="18"/>
          <w:vertAlign w:val="baseline"/>
        </w:rPr>
        <w:t> </w:t>
      </w:r>
      <w:r>
        <w:rPr>
          <w:color w:val="212121"/>
          <w:sz w:val="18"/>
          <w:vertAlign w:val="baseline"/>
        </w:rPr>
        <w:t>Hembree,</w:t>
      </w:r>
      <w:r>
        <w:rPr>
          <w:color w:val="212121"/>
          <w:spacing w:val="-5"/>
          <w:sz w:val="18"/>
          <w:vertAlign w:val="baseline"/>
        </w:rPr>
        <w:t> </w:t>
      </w:r>
      <w:r>
        <w:rPr>
          <w:color w:val="212121"/>
          <w:sz w:val="18"/>
          <w:vertAlign w:val="baseline"/>
        </w:rPr>
        <w:t>Wylie</w:t>
      </w:r>
      <w:r>
        <w:rPr>
          <w:color w:val="212121"/>
          <w:spacing w:val="-2"/>
          <w:sz w:val="18"/>
          <w:vertAlign w:val="baseline"/>
        </w:rPr>
        <w:t> </w:t>
      </w:r>
      <w:r>
        <w:rPr>
          <w:color w:val="212121"/>
          <w:sz w:val="18"/>
          <w:vertAlign w:val="baseline"/>
        </w:rPr>
        <w:t>C.,</w:t>
      </w:r>
      <w:r>
        <w:rPr>
          <w:color w:val="212121"/>
          <w:spacing w:val="-3"/>
          <w:sz w:val="18"/>
          <w:vertAlign w:val="baseline"/>
        </w:rPr>
        <w:t> </w:t>
      </w:r>
      <w:r>
        <w:rPr>
          <w:color w:val="212121"/>
          <w:sz w:val="18"/>
          <w:vertAlign w:val="baseline"/>
        </w:rPr>
        <w:t>Peggy</w:t>
      </w:r>
      <w:r>
        <w:rPr>
          <w:color w:val="212121"/>
          <w:spacing w:val="-2"/>
          <w:sz w:val="18"/>
          <w:vertAlign w:val="baseline"/>
        </w:rPr>
        <w:t> </w:t>
      </w:r>
      <w:r>
        <w:rPr>
          <w:color w:val="212121"/>
          <w:sz w:val="18"/>
          <w:vertAlign w:val="baseline"/>
        </w:rPr>
        <w:t>T.</w:t>
      </w:r>
      <w:r>
        <w:rPr>
          <w:color w:val="212121"/>
          <w:spacing w:val="-2"/>
          <w:sz w:val="18"/>
          <w:vertAlign w:val="baseline"/>
        </w:rPr>
        <w:t> </w:t>
      </w:r>
      <w:r>
        <w:rPr>
          <w:color w:val="212121"/>
          <w:sz w:val="18"/>
          <w:vertAlign w:val="baseline"/>
        </w:rPr>
        <w:t>Cohen-Kettenis,</w:t>
      </w:r>
      <w:r>
        <w:rPr>
          <w:color w:val="212121"/>
          <w:spacing w:val="-3"/>
          <w:sz w:val="18"/>
          <w:vertAlign w:val="baseline"/>
        </w:rPr>
        <w:t> </w:t>
      </w:r>
      <w:r>
        <w:rPr>
          <w:color w:val="212121"/>
          <w:sz w:val="18"/>
          <w:vertAlign w:val="baseline"/>
        </w:rPr>
        <w:t>Louis</w:t>
      </w:r>
      <w:r>
        <w:rPr>
          <w:color w:val="212121"/>
          <w:spacing w:val="-2"/>
          <w:sz w:val="18"/>
          <w:vertAlign w:val="baseline"/>
        </w:rPr>
        <w:t> </w:t>
      </w:r>
      <w:r>
        <w:rPr>
          <w:color w:val="212121"/>
          <w:sz w:val="18"/>
          <w:vertAlign w:val="baseline"/>
        </w:rPr>
        <w:t>Gooren,</w:t>
      </w:r>
      <w:r>
        <w:rPr>
          <w:color w:val="212121"/>
          <w:spacing w:val="-3"/>
          <w:sz w:val="18"/>
          <w:vertAlign w:val="baseline"/>
        </w:rPr>
        <w:t> </w:t>
      </w:r>
      <w:r>
        <w:rPr>
          <w:color w:val="212121"/>
          <w:sz w:val="18"/>
          <w:vertAlign w:val="baseline"/>
        </w:rPr>
        <w:t>Sabine</w:t>
      </w:r>
      <w:r>
        <w:rPr>
          <w:color w:val="212121"/>
          <w:spacing w:val="-2"/>
          <w:sz w:val="18"/>
          <w:vertAlign w:val="baseline"/>
        </w:rPr>
        <w:t> </w:t>
      </w:r>
      <w:r>
        <w:rPr>
          <w:color w:val="212121"/>
          <w:sz w:val="18"/>
          <w:vertAlign w:val="baseline"/>
        </w:rPr>
        <w:t>E.</w:t>
      </w:r>
      <w:r>
        <w:rPr>
          <w:color w:val="212121"/>
          <w:spacing w:val="-2"/>
          <w:sz w:val="18"/>
          <w:vertAlign w:val="baseline"/>
        </w:rPr>
        <w:t> </w:t>
      </w:r>
      <w:r>
        <w:rPr>
          <w:color w:val="212121"/>
          <w:sz w:val="18"/>
          <w:vertAlign w:val="baseline"/>
        </w:rPr>
        <w:t>Hannema,</w:t>
      </w:r>
      <w:r>
        <w:rPr>
          <w:color w:val="212121"/>
          <w:spacing w:val="-3"/>
          <w:sz w:val="18"/>
          <w:vertAlign w:val="baseline"/>
        </w:rPr>
        <w:t> </w:t>
      </w:r>
      <w:r>
        <w:rPr>
          <w:color w:val="212121"/>
          <w:sz w:val="18"/>
          <w:vertAlign w:val="baseline"/>
        </w:rPr>
        <w:t>Walter</w:t>
      </w:r>
      <w:r>
        <w:rPr>
          <w:color w:val="212121"/>
          <w:spacing w:val="-3"/>
          <w:sz w:val="18"/>
          <w:vertAlign w:val="baseline"/>
        </w:rPr>
        <w:t> </w:t>
      </w:r>
      <w:r>
        <w:rPr>
          <w:color w:val="212121"/>
          <w:sz w:val="18"/>
          <w:vertAlign w:val="baseline"/>
        </w:rPr>
        <w:t>J.</w:t>
      </w:r>
      <w:r>
        <w:rPr>
          <w:color w:val="212121"/>
          <w:spacing w:val="-2"/>
          <w:sz w:val="18"/>
          <w:vertAlign w:val="baseline"/>
        </w:rPr>
        <w:t> </w:t>
      </w:r>
      <w:r>
        <w:rPr>
          <w:color w:val="212121"/>
          <w:sz w:val="18"/>
          <w:vertAlign w:val="baseline"/>
        </w:rPr>
        <w:t>Meyer,</w:t>
      </w:r>
      <w:r>
        <w:rPr>
          <w:color w:val="212121"/>
          <w:spacing w:val="-3"/>
          <w:sz w:val="18"/>
          <w:vertAlign w:val="baseline"/>
        </w:rPr>
        <w:t> </w:t>
      </w:r>
      <w:r>
        <w:rPr>
          <w:color w:val="212121"/>
          <w:sz w:val="18"/>
          <w:vertAlign w:val="baseline"/>
        </w:rPr>
        <w:t>M.</w:t>
      </w:r>
      <w:r>
        <w:rPr>
          <w:color w:val="212121"/>
          <w:spacing w:val="-2"/>
          <w:sz w:val="18"/>
          <w:vertAlign w:val="baseline"/>
        </w:rPr>
        <w:t> </w:t>
      </w:r>
      <w:r>
        <w:rPr>
          <w:color w:val="212121"/>
          <w:sz w:val="18"/>
          <w:vertAlign w:val="baseline"/>
        </w:rPr>
        <w:t>Hassan</w:t>
      </w:r>
      <w:r>
        <w:rPr>
          <w:color w:val="212121"/>
          <w:spacing w:val="-2"/>
          <w:sz w:val="18"/>
          <w:vertAlign w:val="baseline"/>
        </w:rPr>
        <w:t> </w:t>
      </w:r>
      <w:r>
        <w:rPr>
          <w:color w:val="212121"/>
          <w:sz w:val="18"/>
          <w:vertAlign w:val="baseline"/>
        </w:rPr>
        <w:t>Murad, Stephen M. Rosenthal, Joshua D. Safer, Vin Tangpricha, and Guy G. T’Sjoen. "Endocrine treatment of gender- dysphoric/gender incongruent persons: an endocrine society clinical practice guideline." </w:t>
      </w:r>
      <w:r>
        <w:rPr>
          <w:i/>
          <w:color w:val="212121"/>
          <w:sz w:val="18"/>
          <w:vertAlign w:val="baseline"/>
        </w:rPr>
        <w:t>The Journal of Clinical</w:t>
      </w:r>
      <w:r>
        <w:rPr>
          <w:i/>
          <w:color w:val="212121"/>
          <w:sz w:val="18"/>
          <w:vertAlign w:val="baseline"/>
        </w:rPr>
        <w:t> Endocrinology &amp; Metabolism </w:t>
      </w:r>
      <w:r>
        <w:rPr>
          <w:color w:val="212121"/>
          <w:sz w:val="18"/>
          <w:vertAlign w:val="baseline"/>
        </w:rPr>
        <w:t>102, no. 11 (2017): 3869-3903.</w:t>
      </w:r>
    </w:p>
    <w:p>
      <w:pPr>
        <w:spacing w:line="276" w:lineRule="auto" w:before="0"/>
        <w:ind w:left="463" w:right="228" w:hanging="9"/>
        <w:jc w:val="left"/>
        <w:rPr>
          <w:sz w:val="18"/>
        </w:rPr>
      </w:pPr>
      <w:r>
        <w:rPr>
          <w:sz w:val="18"/>
          <w:vertAlign w:val="superscript"/>
        </w:rPr>
        <w:t>73</w:t>
      </w:r>
      <w:r>
        <w:rPr>
          <w:spacing w:val="-13"/>
          <w:sz w:val="18"/>
          <w:vertAlign w:val="baseline"/>
        </w:rPr>
        <w:t> </w:t>
      </w:r>
      <w:r>
        <w:rPr>
          <w:color w:val="212121"/>
          <w:sz w:val="18"/>
          <w:vertAlign w:val="baseline"/>
        </w:rPr>
        <w:t>Ethics</w:t>
      </w:r>
      <w:r>
        <w:rPr>
          <w:color w:val="212121"/>
          <w:spacing w:val="-4"/>
          <w:sz w:val="18"/>
          <w:vertAlign w:val="baseline"/>
        </w:rPr>
        <w:t> </w:t>
      </w:r>
      <w:r>
        <w:rPr>
          <w:color w:val="212121"/>
          <w:sz w:val="18"/>
          <w:vertAlign w:val="baseline"/>
        </w:rPr>
        <w:t>Committee</w:t>
      </w:r>
      <w:r>
        <w:rPr>
          <w:color w:val="212121"/>
          <w:spacing w:val="-2"/>
          <w:sz w:val="18"/>
          <w:vertAlign w:val="baseline"/>
        </w:rPr>
        <w:t> </w:t>
      </w:r>
      <w:r>
        <w:rPr>
          <w:color w:val="212121"/>
          <w:sz w:val="18"/>
          <w:vertAlign w:val="baseline"/>
        </w:rPr>
        <w:t>of</w:t>
      </w:r>
      <w:r>
        <w:rPr>
          <w:color w:val="212121"/>
          <w:spacing w:val="-2"/>
          <w:sz w:val="18"/>
          <w:vertAlign w:val="baseline"/>
        </w:rPr>
        <w:t> </w:t>
      </w:r>
      <w:r>
        <w:rPr>
          <w:color w:val="212121"/>
          <w:sz w:val="18"/>
          <w:vertAlign w:val="baseline"/>
        </w:rPr>
        <w:t>the</w:t>
      </w:r>
      <w:r>
        <w:rPr>
          <w:color w:val="212121"/>
          <w:spacing w:val="-2"/>
          <w:sz w:val="18"/>
          <w:vertAlign w:val="baseline"/>
        </w:rPr>
        <w:t> </w:t>
      </w:r>
      <w:r>
        <w:rPr>
          <w:color w:val="212121"/>
          <w:sz w:val="18"/>
          <w:vertAlign w:val="baseline"/>
        </w:rPr>
        <w:t>American</w:t>
      </w:r>
      <w:r>
        <w:rPr>
          <w:color w:val="212121"/>
          <w:spacing w:val="-2"/>
          <w:sz w:val="18"/>
          <w:vertAlign w:val="baseline"/>
        </w:rPr>
        <w:t> </w:t>
      </w:r>
      <w:r>
        <w:rPr>
          <w:color w:val="212121"/>
          <w:sz w:val="18"/>
          <w:vertAlign w:val="baseline"/>
        </w:rPr>
        <w:t>Society</w:t>
      </w:r>
      <w:r>
        <w:rPr>
          <w:color w:val="212121"/>
          <w:spacing w:val="-2"/>
          <w:sz w:val="18"/>
          <w:vertAlign w:val="baseline"/>
        </w:rPr>
        <w:t> </w:t>
      </w:r>
      <w:r>
        <w:rPr>
          <w:color w:val="212121"/>
          <w:sz w:val="18"/>
          <w:vertAlign w:val="baseline"/>
        </w:rPr>
        <w:t>for</w:t>
      </w:r>
      <w:r>
        <w:rPr>
          <w:color w:val="212121"/>
          <w:spacing w:val="-3"/>
          <w:sz w:val="18"/>
          <w:vertAlign w:val="baseline"/>
        </w:rPr>
        <w:t> </w:t>
      </w:r>
      <w:r>
        <w:rPr>
          <w:color w:val="212121"/>
          <w:sz w:val="18"/>
          <w:vertAlign w:val="baseline"/>
        </w:rPr>
        <w:t>Reproductive</w:t>
      </w:r>
      <w:r>
        <w:rPr>
          <w:color w:val="212121"/>
          <w:spacing w:val="-2"/>
          <w:sz w:val="18"/>
          <w:vertAlign w:val="baseline"/>
        </w:rPr>
        <w:t> </w:t>
      </w:r>
      <w:r>
        <w:rPr>
          <w:color w:val="212121"/>
          <w:sz w:val="18"/>
          <w:vertAlign w:val="baseline"/>
        </w:rPr>
        <w:t>Medicine.</w:t>
      </w:r>
      <w:r>
        <w:rPr>
          <w:color w:val="212121"/>
          <w:spacing w:val="-2"/>
          <w:sz w:val="18"/>
          <w:vertAlign w:val="baseline"/>
        </w:rPr>
        <w:t> </w:t>
      </w:r>
      <w:r>
        <w:rPr>
          <w:color w:val="212121"/>
          <w:sz w:val="18"/>
          <w:vertAlign w:val="baseline"/>
        </w:rPr>
        <w:t>"Access</w:t>
      </w:r>
      <w:r>
        <w:rPr>
          <w:color w:val="212121"/>
          <w:spacing w:val="-2"/>
          <w:sz w:val="18"/>
          <w:vertAlign w:val="baseline"/>
        </w:rPr>
        <w:t> </w:t>
      </w:r>
      <w:r>
        <w:rPr>
          <w:color w:val="212121"/>
          <w:sz w:val="18"/>
          <w:vertAlign w:val="baseline"/>
        </w:rPr>
        <w:t>to</w:t>
      </w:r>
      <w:r>
        <w:rPr>
          <w:color w:val="212121"/>
          <w:spacing w:val="-2"/>
          <w:sz w:val="18"/>
          <w:vertAlign w:val="baseline"/>
        </w:rPr>
        <w:t> </w:t>
      </w:r>
      <w:r>
        <w:rPr>
          <w:color w:val="212121"/>
          <w:sz w:val="18"/>
          <w:vertAlign w:val="baseline"/>
        </w:rPr>
        <w:t>fertility</w:t>
      </w:r>
      <w:r>
        <w:rPr>
          <w:color w:val="212121"/>
          <w:spacing w:val="-2"/>
          <w:sz w:val="18"/>
          <w:vertAlign w:val="baseline"/>
        </w:rPr>
        <w:t> </w:t>
      </w:r>
      <w:r>
        <w:rPr>
          <w:color w:val="212121"/>
          <w:sz w:val="18"/>
          <w:vertAlign w:val="baseline"/>
        </w:rPr>
        <w:t>services</w:t>
      </w:r>
      <w:r>
        <w:rPr>
          <w:color w:val="212121"/>
          <w:spacing w:val="-2"/>
          <w:sz w:val="18"/>
          <w:vertAlign w:val="baseline"/>
        </w:rPr>
        <w:t> </w:t>
      </w:r>
      <w:r>
        <w:rPr>
          <w:color w:val="212121"/>
          <w:sz w:val="18"/>
          <w:vertAlign w:val="baseline"/>
        </w:rPr>
        <w:t>by</w:t>
      </w:r>
      <w:r>
        <w:rPr>
          <w:color w:val="212121"/>
          <w:spacing w:val="-2"/>
          <w:sz w:val="18"/>
          <w:vertAlign w:val="baseline"/>
        </w:rPr>
        <w:t> </w:t>
      </w:r>
      <w:r>
        <w:rPr>
          <w:color w:val="212121"/>
          <w:sz w:val="18"/>
          <w:vertAlign w:val="baseline"/>
        </w:rPr>
        <w:t>transgender</w:t>
      </w:r>
      <w:r>
        <w:rPr>
          <w:color w:val="212121"/>
          <w:spacing w:val="-4"/>
          <w:sz w:val="18"/>
          <w:vertAlign w:val="baseline"/>
        </w:rPr>
        <w:t> </w:t>
      </w:r>
      <w:r>
        <w:rPr>
          <w:color w:val="212121"/>
          <w:sz w:val="18"/>
          <w:vertAlign w:val="baseline"/>
        </w:rPr>
        <w:t>persons: an Ethics Committee opinion." </w:t>
      </w:r>
      <w:r>
        <w:rPr>
          <w:i/>
          <w:color w:val="212121"/>
          <w:sz w:val="18"/>
          <w:vertAlign w:val="baseline"/>
        </w:rPr>
        <w:t>Fertility and Sterility </w:t>
      </w:r>
      <w:r>
        <w:rPr>
          <w:color w:val="212121"/>
          <w:sz w:val="18"/>
          <w:vertAlign w:val="baseline"/>
        </w:rPr>
        <w:t>104, no. 5 (2015): 1111-1115.</w:t>
      </w:r>
    </w:p>
    <w:p>
      <w:pPr>
        <w:spacing w:line="276" w:lineRule="auto" w:before="0"/>
        <w:ind w:left="464" w:right="481" w:hanging="3"/>
        <w:jc w:val="left"/>
        <w:rPr>
          <w:sz w:val="18"/>
        </w:rPr>
      </w:pPr>
      <w:r>
        <w:rPr>
          <w:sz w:val="18"/>
          <w:vertAlign w:val="superscript"/>
        </w:rPr>
        <w:t>74</w:t>
      </w:r>
      <w:r>
        <w:rPr>
          <w:spacing w:val="-8"/>
          <w:sz w:val="18"/>
          <w:vertAlign w:val="baseline"/>
        </w:rPr>
        <w:t> </w:t>
      </w:r>
      <w:r>
        <w:rPr>
          <w:color w:val="212121"/>
          <w:sz w:val="18"/>
          <w:vertAlign w:val="baseline"/>
        </w:rPr>
        <w:t>Chen, Diane, Victoria D. Kolbuck, Megan E. Sutter, Amy C. Tishelman, Gwendolyn P. Quinn, and Leena Nahata. "Knowledge,</w:t>
      </w:r>
      <w:r>
        <w:rPr>
          <w:color w:val="212121"/>
          <w:spacing w:val="-4"/>
          <w:sz w:val="18"/>
          <w:vertAlign w:val="baseline"/>
        </w:rPr>
        <w:t> </w:t>
      </w:r>
      <w:r>
        <w:rPr>
          <w:color w:val="212121"/>
          <w:sz w:val="18"/>
          <w:vertAlign w:val="baseline"/>
        </w:rPr>
        <w:t>practice</w:t>
      </w:r>
      <w:r>
        <w:rPr>
          <w:color w:val="212121"/>
          <w:spacing w:val="-3"/>
          <w:sz w:val="18"/>
          <w:vertAlign w:val="baseline"/>
        </w:rPr>
        <w:t> </w:t>
      </w:r>
      <w:r>
        <w:rPr>
          <w:color w:val="212121"/>
          <w:sz w:val="18"/>
          <w:vertAlign w:val="baseline"/>
        </w:rPr>
        <w:t>behaviors,</w:t>
      </w:r>
      <w:r>
        <w:rPr>
          <w:color w:val="212121"/>
          <w:spacing w:val="-4"/>
          <w:sz w:val="18"/>
          <w:vertAlign w:val="baseline"/>
        </w:rPr>
        <w:t> </w:t>
      </w:r>
      <w:r>
        <w:rPr>
          <w:color w:val="212121"/>
          <w:sz w:val="18"/>
          <w:vertAlign w:val="baseline"/>
        </w:rPr>
        <w:t>and</w:t>
      </w:r>
      <w:r>
        <w:rPr>
          <w:color w:val="212121"/>
          <w:spacing w:val="-3"/>
          <w:sz w:val="18"/>
          <w:vertAlign w:val="baseline"/>
        </w:rPr>
        <w:t> </w:t>
      </w:r>
      <w:r>
        <w:rPr>
          <w:color w:val="212121"/>
          <w:sz w:val="18"/>
          <w:vertAlign w:val="baseline"/>
        </w:rPr>
        <w:t>perceived</w:t>
      </w:r>
      <w:r>
        <w:rPr>
          <w:color w:val="212121"/>
          <w:spacing w:val="-4"/>
          <w:sz w:val="18"/>
          <w:vertAlign w:val="baseline"/>
        </w:rPr>
        <w:t> </w:t>
      </w:r>
      <w:r>
        <w:rPr>
          <w:color w:val="212121"/>
          <w:sz w:val="18"/>
          <w:vertAlign w:val="baseline"/>
        </w:rPr>
        <w:t>barriers</w:t>
      </w:r>
      <w:r>
        <w:rPr>
          <w:color w:val="212121"/>
          <w:spacing w:val="-3"/>
          <w:sz w:val="18"/>
          <w:vertAlign w:val="baseline"/>
        </w:rPr>
        <w:t> </w:t>
      </w:r>
      <w:r>
        <w:rPr>
          <w:color w:val="212121"/>
          <w:sz w:val="18"/>
          <w:vertAlign w:val="baseline"/>
        </w:rPr>
        <w:t>to</w:t>
      </w:r>
      <w:r>
        <w:rPr>
          <w:color w:val="212121"/>
          <w:spacing w:val="-3"/>
          <w:sz w:val="18"/>
          <w:vertAlign w:val="baseline"/>
        </w:rPr>
        <w:t> </w:t>
      </w:r>
      <w:r>
        <w:rPr>
          <w:color w:val="212121"/>
          <w:sz w:val="18"/>
          <w:vertAlign w:val="baseline"/>
        </w:rPr>
        <w:t>fertility</w:t>
      </w:r>
      <w:r>
        <w:rPr>
          <w:color w:val="212121"/>
          <w:spacing w:val="-3"/>
          <w:sz w:val="18"/>
          <w:vertAlign w:val="baseline"/>
        </w:rPr>
        <w:t> </w:t>
      </w:r>
      <w:r>
        <w:rPr>
          <w:color w:val="212121"/>
          <w:sz w:val="18"/>
          <w:vertAlign w:val="baseline"/>
        </w:rPr>
        <w:t>care</w:t>
      </w:r>
      <w:r>
        <w:rPr>
          <w:color w:val="212121"/>
          <w:spacing w:val="-3"/>
          <w:sz w:val="18"/>
          <w:vertAlign w:val="baseline"/>
        </w:rPr>
        <w:t> </w:t>
      </w:r>
      <w:r>
        <w:rPr>
          <w:color w:val="212121"/>
          <w:sz w:val="18"/>
          <w:vertAlign w:val="baseline"/>
        </w:rPr>
        <w:t>among</w:t>
      </w:r>
      <w:r>
        <w:rPr>
          <w:color w:val="212121"/>
          <w:spacing w:val="-3"/>
          <w:sz w:val="18"/>
          <w:vertAlign w:val="baseline"/>
        </w:rPr>
        <w:t> </w:t>
      </w:r>
      <w:r>
        <w:rPr>
          <w:color w:val="212121"/>
          <w:sz w:val="18"/>
          <w:vertAlign w:val="baseline"/>
        </w:rPr>
        <w:t>providers</w:t>
      </w:r>
      <w:r>
        <w:rPr>
          <w:color w:val="212121"/>
          <w:spacing w:val="-3"/>
          <w:sz w:val="18"/>
          <w:vertAlign w:val="baseline"/>
        </w:rPr>
        <w:t> </w:t>
      </w:r>
      <w:r>
        <w:rPr>
          <w:color w:val="212121"/>
          <w:sz w:val="18"/>
          <w:vertAlign w:val="baseline"/>
        </w:rPr>
        <w:t>of</w:t>
      </w:r>
      <w:r>
        <w:rPr>
          <w:color w:val="212121"/>
          <w:spacing w:val="-3"/>
          <w:sz w:val="18"/>
          <w:vertAlign w:val="baseline"/>
        </w:rPr>
        <w:t> </w:t>
      </w:r>
      <w:r>
        <w:rPr>
          <w:color w:val="212121"/>
          <w:sz w:val="18"/>
          <w:vertAlign w:val="baseline"/>
        </w:rPr>
        <w:t>transgender</w:t>
      </w:r>
      <w:r>
        <w:rPr>
          <w:color w:val="212121"/>
          <w:spacing w:val="-4"/>
          <w:sz w:val="18"/>
          <w:vertAlign w:val="baseline"/>
        </w:rPr>
        <w:t> </w:t>
      </w:r>
      <w:r>
        <w:rPr>
          <w:color w:val="212121"/>
          <w:sz w:val="18"/>
          <w:vertAlign w:val="baseline"/>
        </w:rPr>
        <w:t>healthcare." </w:t>
      </w:r>
      <w:r>
        <w:rPr>
          <w:i/>
          <w:color w:val="212121"/>
          <w:sz w:val="18"/>
          <w:vertAlign w:val="baseline"/>
        </w:rPr>
        <w:t>Journal of Adolescent Health </w:t>
      </w:r>
      <w:r>
        <w:rPr>
          <w:color w:val="212121"/>
          <w:sz w:val="18"/>
          <w:vertAlign w:val="baseline"/>
        </w:rPr>
        <w:t>64, no. 2 (2019): 226-234.</w:t>
      </w:r>
    </w:p>
    <w:p>
      <w:pPr>
        <w:spacing w:line="276" w:lineRule="auto" w:before="0"/>
        <w:ind w:left="464" w:right="228" w:hanging="1"/>
        <w:jc w:val="left"/>
        <w:rPr>
          <w:sz w:val="18"/>
        </w:rPr>
      </w:pPr>
      <w:r>
        <w:rPr>
          <w:sz w:val="18"/>
          <w:vertAlign w:val="superscript"/>
        </w:rPr>
        <w:t>75</w:t>
      </w:r>
      <w:r>
        <w:rPr>
          <w:spacing w:val="-9"/>
          <w:sz w:val="18"/>
          <w:vertAlign w:val="baseline"/>
        </w:rPr>
        <w:t> </w:t>
      </w:r>
      <w:r>
        <w:rPr>
          <w:color w:val="212121"/>
          <w:sz w:val="18"/>
          <w:vertAlign w:val="baseline"/>
        </w:rPr>
        <w:t>Chen, Diane, Moira A. Kyweluk, Afiya Sajwani, Elisa J. Gordon, Emilie K. Johnson, Courtney A. Finlayson, and Teresa K. Woodruff.</w:t>
      </w:r>
      <w:r>
        <w:rPr>
          <w:color w:val="212121"/>
          <w:spacing w:val="-3"/>
          <w:sz w:val="18"/>
          <w:vertAlign w:val="baseline"/>
        </w:rPr>
        <w:t> </w:t>
      </w:r>
      <w:r>
        <w:rPr>
          <w:color w:val="212121"/>
          <w:sz w:val="18"/>
          <w:vertAlign w:val="baseline"/>
        </w:rPr>
        <w:t>"Factors</w:t>
      </w:r>
      <w:r>
        <w:rPr>
          <w:color w:val="212121"/>
          <w:spacing w:val="-3"/>
          <w:sz w:val="18"/>
          <w:vertAlign w:val="baseline"/>
        </w:rPr>
        <w:t> </w:t>
      </w:r>
      <w:r>
        <w:rPr>
          <w:color w:val="212121"/>
          <w:sz w:val="18"/>
          <w:vertAlign w:val="baseline"/>
        </w:rPr>
        <w:t>affecting</w:t>
      </w:r>
      <w:r>
        <w:rPr>
          <w:color w:val="212121"/>
          <w:spacing w:val="-3"/>
          <w:sz w:val="18"/>
          <w:vertAlign w:val="baseline"/>
        </w:rPr>
        <w:t> </w:t>
      </w:r>
      <w:r>
        <w:rPr>
          <w:color w:val="212121"/>
          <w:sz w:val="18"/>
          <w:vertAlign w:val="baseline"/>
        </w:rPr>
        <w:t>fertility</w:t>
      </w:r>
      <w:r>
        <w:rPr>
          <w:color w:val="212121"/>
          <w:spacing w:val="-3"/>
          <w:sz w:val="18"/>
          <w:vertAlign w:val="baseline"/>
        </w:rPr>
        <w:t> </w:t>
      </w:r>
      <w:r>
        <w:rPr>
          <w:color w:val="212121"/>
          <w:sz w:val="18"/>
          <w:vertAlign w:val="baseline"/>
        </w:rPr>
        <w:t>decision-making</w:t>
      </w:r>
      <w:r>
        <w:rPr>
          <w:color w:val="212121"/>
          <w:spacing w:val="-3"/>
          <w:sz w:val="18"/>
          <w:vertAlign w:val="baseline"/>
        </w:rPr>
        <w:t> </w:t>
      </w:r>
      <w:r>
        <w:rPr>
          <w:color w:val="212121"/>
          <w:sz w:val="18"/>
          <w:vertAlign w:val="baseline"/>
        </w:rPr>
        <w:t>among</w:t>
      </w:r>
      <w:r>
        <w:rPr>
          <w:color w:val="212121"/>
          <w:spacing w:val="-3"/>
          <w:sz w:val="18"/>
          <w:vertAlign w:val="baseline"/>
        </w:rPr>
        <w:t> </w:t>
      </w:r>
      <w:r>
        <w:rPr>
          <w:color w:val="212121"/>
          <w:sz w:val="18"/>
          <w:vertAlign w:val="baseline"/>
        </w:rPr>
        <w:t>transgender</w:t>
      </w:r>
      <w:r>
        <w:rPr>
          <w:color w:val="212121"/>
          <w:spacing w:val="-4"/>
          <w:sz w:val="18"/>
          <w:vertAlign w:val="baseline"/>
        </w:rPr>
        <w:t> </w:t>
      </w:r>
      <w:r>
        <w:rPr>
          <w:color w:val="212121"/>
          <w:sz w:val="18"/>
          <w:vertAlign w:val="baseline"/>
        </w:rPr>
        <w:t>adolescents</w:t>
      </w:r>
      <w:r>
        <w:rPr>
          <w:color w:val="212121"/>
          <w:spacing w:val="-3"/>
          <w:sz w:val="18"/>
          <w:vertAlign w:val="baseline"/>
        </w:rPr>
        <w:t> </w:t>
      </w:r>
      <w:r>
        <w:rPr>
          <w:color w:val="212121"/>
          <w:sz w:val="18"/>
          <w:vertAlign w:val="baseline"/>
        </w:rPr>
        <w:t>and</w:t>
      </w:r>
      <w:r>
        <w:rPr>
          <w:color w:val="212121"/>
          <w:spacing w:val="-3"/>
          <w:sz w:val="18"/>
          <w:vertAlign w:val="baseline"/>
        </w:rPr>
        <w:t> </w:t>
      </w:r>
      <w:r>
        <w:rPr>
          <w:color w:val="212121"/>
          <w:sz w:val="18"/>
          <w:vertAlign w:val="baseline"/>
        </w:rPr>
        <w:t>young</w:t>
      </w:r>
      <w:r>
        <w:rPr>
          <w:color w:val="212121"/>
          <w:spacing w:val="-4"/>
          <w:sz w:val="18"/>
          <w:vertAlign w:val="baseline"/>
        </w:rPr>
        <w:t> </w:t>
      </w:r>
      <w:r>
        <w:rPr>
          <w:color w:val="212121"/>
          <w:sz w:val="18"/>
          <w:vertAlign w:val="baseline"/>
        </w:rPr>
        <w:t>adults."</w:t>
      </w:r>
      <w:r>
        <w:rPr>
          <w:color w:val="212121"/>
          <w:spacing w:val="-3"/>
          <w:sz w:val="18"/>
          <w:vertAlign w:val="baseline"/>
        </w:rPr>
        <w:t> </w:t>
      </w:r>
      <w:r>
        <w:rPr>
          <w:i/>
          <w:color w:val="212121"/>
          <w:sz w:val="18"/>
          <w:vertAlign w:val="baseline"/>
        </w:rPr>
        <w:t>LGBT</w:t>
      </w:r>
      <w:r>
        <w:rPr>
          <w:i/>
          <w:color w:val="212121"/>
          <w:spacing w:val="-3"/>
          <w:sz w:val="18"/>
          <w:vertAlign w:val="baseline"/>
        </w:rPr>
        <w:t> </w:t>
      </w:r>
      <w:r>
        <w:rPr>
          <w:i/>
          <w:color w:val="212121"/>
          <w:sz w:val="18"/>
          <w:vertAlign w:val="baseline"/>
        </w:rPr>
        <w:t>health</w:t>
      </w:r>
      <w:r>
        <w:rPr>
          <w:i/>
          <w:color w:val="212121"/>
          <w:spacing w:val="-4"/>
          <w:sz w:val="18"/>
          <w:vertAlign w:val="baseline"/>
        </w:rPr>
        <w:t> </w:t>
      </w:r>
      <w:r>
        <w:rPr>
          <w:color w:val="212121"/>
          <w:sz w:val="18"/>
          <w:vertAlign w:val="baseline"/>
        </w:rPr>
        <w:t>6,</w:t>
      </w:r>
      <w:r>
        <w:rPr>
          <w:color w:val="212121"/>
          <w:spacing w:val="-4"/>
          <w:sz w:val="18"/>
          <w:vertAlign w:val="baseline"/>
        </w:rPr>
        <w:t> </w:t>
      </w:r>
      <w:r>
        <w:rPr>
          <w:color w:val="212121"/>
          <w:sz w:val="18"/>
          <w:vertAlign w:val="baseline"/>
        </w:rPr>
        <w:t>no. 3 (2019): 107-115.</w:t>
      </w:r>
    </w:p>
    <w:p>
      <w:pPr>
        <w:spacing w:line="276" w:lineRule="auto" w:before="1"/>
        <w:ind w:left="463" w:right="228" w:firstLine="3"/>
        <w:jc w:val="left"/>
        <w:rPr>
          <w:sz w:val="18"/>
        </w:rPr>
      </w:pPr>
      <w:r>
        <w:rPr>
          <w:sz w:val="18"/>
          <w:vertAlign w:val="superscript"/>
        </w:rPr>
        <w:t>76</w:t>
      </w:r>
      <w:r>
        <w:rPr>
          <w:spacing w:val="-13"/>
          <w:sz w:val="18"/>
          <w:vertAlign w:val="baseline"/>
        </w:rPr>
        <w:t> </w:t>
      </w:r>
      <w:r>
        <w:rPr>
          <w:sz w:val="18"/>
          <w:vertAlign w:val="baseline"/>
        </w:rPr>
        <w:t>Nahata,</w:t>
      </w:r>
      <w:r>
        <w:rPr>
          <w:spacing w:val="-4"/>
          <w:sz w:val="18"/>
          <w:vertAlign w:val="baseline"/>
        </w:rPr>
        <w:t> </w:t>
      </w:r>
      <w:r>
        <w:rPr>
          <w:sz w:val="18"/>
          <w:vertAlign w:val="baseline"/>
        </w:rPr>
        <w:t>Leena,</w:t>
      </w:r>
      <w:r>
        <w:rPr>
          <w:spacing w:val="-3"/>
          <w:sz w:val="18"/>
          <w:vertAlign w:val="baseline"/>
        </w:rPr>
        <w:t> </w:t>
      </w:r>
      <w:r>
        <w:rPr>
          <w:sz w:val="18"/>
          <w:vertAlign w:val="baseline"/>
        </w:rPr>
        <w:t>Diane</w:t>
      </w:r>
      <w:r>
        <w:rPr>
          <w:spacing w:val="-2"/>
          <w:sz w:val="18"/>
          <w:vertAlign w:val="baseline"/>
        </w:rPr>
        <w:t> </w:t>
      </w:r>
      <w:r>
        <w:rPr>
          <w:sz w:val="18"/>
          <w:vertAlign w:val="baseline"/>
        </w:rPr>
        <w:t>Chen,</w:t>
      </w:r>
      <w:r>
        <w:rPr>
          <w:spacing w:val="-3"/>
          <w:sz w:val="18"/>
          <w:vertAlign w:val="baseline"/>
        </w:rPr>
        <w:t> </w:t>
      </w:r>
      <w:r>
        <w:rPr>
          <w:sz w:val="18"/>
          <w:vertAlign w:val="baseline"/>
        </w:rPr>
        <w:t>Molly</w:t>
      </w:r>
      <w:r>
        <w:rPr>
          <w:spacing w:val="-2"/>
          <w:sz w:val="18"/>
          <w:vertAlign w:val="baseline"/>
        </w:rPr>
        <w:t> </w:t>
      </w:r>
      <w:r>
        <w:rPr>
          <w:sz w:val="18"/>
          <w:vertAlign w:val="baseline"/>
        </w:rPr>
        <w:t>B.</w:t>
      </w:r>
      <w:r>
        <w:rPr>
          <w:spacing w:val="-2"/>
          <w:sz w:val="18"/>
          <w:vertAlign w:val="baseline"/>
        </w:rPr>
        <w:t> </w:t>
      </w:r>
      <w:r>
        <w:rPr>
          <w:sz w:val="18"/>
          <w:vertAlign w:val="baseline"/>
        </w:rPr>
        <w:t>Moravek,</w:t>
      </w:r>
      <w:r>
        <w:rPr>
          <w:spacing w:val="-3"/>
          <w:sz w:val="18"/>
          <w:vertAlign w:val="baseline"/>
        </w:rPr>
        <w:t> </w:t>
      </w:r>
      <w:r>
        <w:rPr>
          <w:sz w:val="18"/>
          <w:vertAlign w:val="baseline"/>
        </w:rPr>
        <w:t>Gwendolyn</w:t>
      </w:r>
      <w:r>
        <w:rPr>
          <w:spacing w:val="-2"/>
          <w:sz w:val="18"/>
          <w:vertAlign w:val="baseline"/>
        </w:rPr>
        <w:t> </w:t>
      </w:r>
      <w:r>
        <w:rPr>
          <w:sz w:val="18"/>
          <w:vertAlign w:val="baseline"/>
        </w:rPr>
        <w:t>P.</w:t>
      </w:r>
      <w:r>
        <w:rPr>
          <w:spacing w:val="-3"/>
          <w:sz w:val="18"/>
          <w:vertAlign w:val="baseline"/>
        </w:rPr>
        <w:t> </w:t>
      </w:r>
      <w:r>
        <w:rPr>
          <w:sz w:val="18"/>
          <w:vertAlign w:val="baseline"/>
        </w:rPr>
        <w:t>Quinn,</w:t>
      </w:r>
      <w:r>
        <w:rPr>
          <w:spacing w:val="-3"/>
          <w:sz w:val="18"/>
          <w:vertAlign w:val="baseline"/>
        </w:rPr>
        <w:t> </w:t>
      </w:r>
      <w:r>
        <w:rPr>
          <w:sz w:val="18"/>
          <w:vertAlign w:val="baseline"/>
        </w:rPr>
        <w:t>Megan</w:t>
      </w:r>
      <w:r>
        <w:rPr>
          <w:spacing w:val="-2"/>
          <w:sz w:val="18"/>
          <w:vertAlign w:val="baseline"/>
        </w:rPr>
        <w:t> </w:t>
      </w:r>
      <w:r>
        <w:rPr>
          <w:sz w:val="18"/>
          <w:vertAlign w:val="baseline"/>
        </w:rPr>
        <w:t>E.</w:t>
      </w:r>
      <w:r>
        <w:rPr>
          <w:spacing w:val="-2"/>
          <w:sz w:val="18"/>
          <w:vertAlign w:val="baseline"/>
        </w:rPr>
        <w:t> </w:t>
      </w:r>
      <w:r>
        <w:rPr>
          <w:sz w:val="18"/>
          <w:vertAlign w:val="baseline"/>
        </w:rPr>
        <w:t>Sutter,</w:t>
      </w:r>
      <w:r>
        <w:rPr>
          <w:spacing w:val="-3"/>
          <w:sz w:val="18"/>
          <w:vertAlign w:val="baseline"/>
        </w:rPr>
        <w:t> </w:t>
      </w:r>
      <w:r>
        <w:rPr>
          <w:sz w:val="18"/>
          <w:vertAlign w:val="baseline"/>
        </w:rPr>
        <w:t>Julia</w:t>
      </w:r>
      <w:r>
        <w:rPr>
          <w:spacing w:val="-2"/>
          <w:sz w:val="18"/>
          <w:vertAlign w:val="baseline"/>
        </w:rPr>
        <w:t> </w:t>
      </w:r>
      <w:r>
        <w:rPr>
          <w:sz w:val="18"/>
          <w:vertAlign w:val="baseline"/>
        </w:rPr>
        <w:t>Taylor,</w:t>
      </w:r>
      <w:r>
        <w:rPr>
          <w:spacing w:val="-3"/>
          <w:sz w:val="18"/>
          <w:vertAlign w:val="baseline"/>
        </w:rPr>
        <w:t> </w:t>
      </w:r>
      <w:r>
        <w:rPr>
          <w:sz w:val="18"/>
          <w:vertAlign w:val="baseline"/>
        </w:rPr>
        <w:t>Amy</w:t>
      </w:r>
      <w:r>
        <w:rPr>
          <w:spacing w:val="-2"/>
          <w:sz w:val="18"/>
          <w:vertAlign w:val="baseline"/>
        </w:rPr>
        <w:t> </w:t>
      </w:r>
      <w:r>
        <w:rPr>
          <w:sz w:val="18"/>
          <w:vertAlign w:val="baseline"/>
        </w:rPr>
        <w:t>C.</w:t>
      </w:r>
      <w:r>
        <w:rPr>
          <w:spacing w:val="-2"/>
          <w:sz w:val="18"/>
          <w:vertAlign w:val="baseline"/>
        </w:rPr>
        <w:t> </w:t>
      </w:r>
      <w:r>
        <w:rPr>
          <w:sz w:val="18"/>
          <w:vertAlign w:val="baseline"/>
        </w:rPr>
        <w:t>Tishelman,</w:t>
      </w:r>
      <w:r>
        <w:rPr>
          <w:spacing w:val="-3"/>
          <w:sz w:val="18"/>
          <w:vertAlign w:val="baseline"/>
        </w:rPr>
        <w:t> </w:t>
      </w:r>
      <w:r>
        <w:rPr>
          <w:sz w:val="18"/>
          <w:vertAlign w:val="baseline"/>
        </w:rPr>
        <w:t>and Veronica Gomez-Lobo. 2019. “Understudied and Under-Reported: Fertility Issues in Transgender Youth—a Narrative Review.” The Journal of Pediatrics 205 (February): 265–71. https://doi.org/10.1016/j.jpeds.2018.09.009.</w:t>
      </w:r>
    </w:p>
    <w:p>
      <w:pPr>
        <w:spacing w:line="276" w:lineRule="auto" w:before="0"/>
        <w:ind w:left="463" w:right="0" w:hanging="9"/>
        <w:jc w:val="left"/>
        <w:rPr>
          <w:sz w:val="18"/>
        </w:rPr>
      </w:pPr>
      <w:r>
        <w:rPr>
          <w:sz w:val="18"/>
          <w:vertAlign w:val="superscript"/>
        </w:rPr>
        <w:t>77</w:t>
      </w:r>
      <w:r>
        <w:rPr>
          <w:spacing w:val="-13"/>
          <w:sz w:val="18"/>
          <w:vertAlign w:val="baseline"/>
        </w:rPr>
        <w:t> </w:t>
      </w:r>
      <w:r>
        <w:rPr>
          <w:sz w:val="18"/>
          <w:vertAlign w:val="baseline"/>
        </w:rPr>
        <w:t>Nahata,</w:t>
      </w:r>
      <w:r>
        <w:rPr>
          <w:spacing w:val="-5"/>
          <w:sz w:val="18"/>
          <w:vertAlign w:val="baseline"/>
        </w:rPr>
        <w:t> </w:t>
      </w:r>
      <w:r>
        <w:rPr>
          <w:sz w:val="18"/>
          <w:vertAlign w:val="baseline"/>
        </w:rPr>
        <w:t>Leena,</w:t>
      </w:r>
      <w:r>
        <w:rPr>
          <w:spacing w:val="-4"/>
          <w:sz w:val="18"/>
          <w:vertAlign w:val="baseline"/>
        </w:rPr>
        <w:t> </w:t>
      </w:r>
      <w:r>
        <w:rPr>
          <w:sz w:val="18"/>
          <w:vertAlign w:val="baseline"/>
        </w:rPr>
        <w:t>Amy</w:t>
      </w:r>
      <w:r>
        <w:rPr>
          <w:spacing w:val="-3"/>
          <w:sz w:val="18"/>
          <w:vertAlign w:val="baseline"/>
        </w:rPr>
        <w:t> </w:t>
      </w:r>
      <w:r>
        <w:rPr>
          <w:sz w:val="18"/>
          <w:vertAlign w:val="baseline"/>
        </w:rPr>
        <w:t>C.</w:t>
      </w:r>
      <w:r>
        <w:rPr>
          <w:spacing w:val="-3"/>
          <w:sz w:val="18"/>
          <w:vertAlign w:val="baseline"/>
        </w:rPr>
        <w:t> </w:t>
      </w:r>
      <w:r>
        <w:rPr>
          <w:sz w:val="18"/>
          <w:vertAlign w:val="baseline"/>
        </w:rPr>
        <w:t>Tishelman,</w:t>
      </w:r>
      <w:r>
        <w:rPr>
          <w:spacing w:val="-4"/>
          <w:sz w:val="18"/>
          <w:vertAlign w:val="baseline"/>
        </w:rPr>
        <w:t> </w:t>
      </w:r>
      <w:r>
        <w:rPr>
          <w:sz w:val="18"/>
          <w:vertAlign w:val="baseline"/>
        </w:rPr>
        <w:t>Nicole</w:t>
      </w:r>
      <w:r>
        <w:rPr>
          <w:spacing w:val="-3"/>
          <w:sz w:val="18"/>
          <w:vertAlign w:val="baseline"/>
        </w:rPr>
        <w:t> </w:t>
      </w:r>
      <w:r>
        <w:rPr>
          <w:sz w:val="18"/>
          <w:vertAlign w:val="baseline"/>
        </w:rPr>
        <w:t>M.</w:t>
      </w:r>
      <w:r>
        <w:rPr>
          <w:spacing w:val="-3"/>
          <w:sz w:val="18"/>
          <w:vertAlign w:val="baseline"/>
        </w:rPr>
        <w:t> </w:t>
      </w:r>
      <w:r>
        <w:rPr>
          <w:sz w:val="18"/>
          <w:vertAlign w:val="baseline"/>
        </w:rPr>
        <w:t>Caltabellotta,</w:t>
      </w:r>
      <w:r>
        <w:rPr>
          <w:spacing w:val="-4"/>
          <w:sz w:val="18"/>
          <w:vertAlign w:val="baseline"/>
        </w:rPr>
        <w:t> </w:t>
      </w:r>
      <w:r>
        <w:rPr>
          <w:sz w:val="18"/>
          <w:vertAlign w:val="baseline"/>
        </w:rPr>
        <w:t>and</w:t>
      </w:r>
      <w:r>
        <w:rPr>
          <w:spacing w:val="-3"/>
          <w:sz w:val="18"/>
          <w:vertAlign w:val="baseline"/>
        </w:rPr>
        <w:t> </w:t>
      </w:r>
      <w:r>
        <w:rPr>
          <w:sz w:val="18"/>
          <w:vertAlign w:val="baseline"/>
        </w:rPr>
        <w:t>Gwendolyn</w:t>
      </w:r>
      <w:r>
        <w:rPr>
          <w:spacing w:val="-3"/>
          <w:sz w:val="18"/>
          <w:vertAlign w:val="baseline"/>
        </w:rPr>
        <w:t> </w:t>
      </w:r>
      <w:r>
        <w:rPr>
          <w:sz w:val="18"/>
          <w:vertAlign w:val="baseline"/>
        </w:rPr>
        <w:t>P.</w:t>
      </w:r>
      <w:r>
        <w:rPr>
          <w:spacing w:val="-4"/>
          <w:sz w:val="18"/>
          <w:vertAlign w:val="baseline"/>
        </w:rPr>
        <w:t> </w:t>
      </w:r>
      <w:r>
        <w:rPr>
          <w:sz w:val="18"/>
          <w:vertAlign w:val="baseline"/>
        </w:rPr>
        <w:t>Quinn.</w:t>
      </w:r>
      <w:r>
        <w:rPr>
          <w:spacing w:val="-3"/>
          <w:sz w:val="18"/>
          <w:vertAlign w:val="baseline"/>
        </w:rPr>
        <w:t> </w:t>
      </w:r>
      <w:r>
        <w:rPr>
          <w:sz w:val="18"/>
          <w:vertAlign w:val="baseline"/>
        </w:rPr>
        <w:t>2017.</w:t>
      </w:r>
      <w:r>
        <w:rPr>
          <w:spacing w:val="-3"/>
          <w:sz w:val="18"/>
          <w:vertAlign w:val="baseline"/>
        </w:rPr>
        <w:t> </w:t>
      </w:r>
      <w:r>
        <w:rPr>
          <w:sz w:val="18"/>
          <w:vertAlign w:val="baseline"/>
        </w:rPr>
        <w:t>“Low</w:t>
      </w:r>
      <w:r>
        <w:rPr>
          <w:spacing w:val="-4"/>
          <w:sz w:val="18"/>
          <w:vertAlign w:val="baseline"/>
        </w:rPr>
        <w:t> </w:t>
      </w:r>
      <w:r>
        <w:rPr>
          <w:sz w:val="18"/>
          <w:vertAlign w:val="baseline"/>
        </w:rPr>
        <w:t>Fertility</w:t>
      </w:r>
      <w:r>
        <w:rPr>
          <w:spacing w:val="-3"/>
          <w:sz w:val="18"/>
          <w:vertAlign w:val="baseline"/>
        </w:rPr>
        <w:t> </w:t>
      </w:r>
      <w:r>
        <w:rPr>
          <w:sz w:val="18"/>
          <w:vertAlign w:val="baseline"/>
        </w:rPr>
        <w:t>Preservation Utilization among Transgender Youth.” Journal of Adolescent Health 61 (1): 40–44. </w:t>
      </w:r>
      <w:r>
        <w:rPr>
          <w:spacing w:val="-2"/>
          <w:sz w:val="18"/>
          <w:vertAlign w:val="baseline"/>
        </w:rPr>
        <w:t>https://doi.org/10.1016/j.jadohealth.2016.12.012.</w:t>
      </w:r>
    </w:p>
    <w:p>
      <w:pPr>
        <w:spacing w:line="276" w:lineRule="auto" w:before="0"/>
        <w:ind w:left="464" w:right="228" w:hanging="9"/>
        <w:jc w:val="left"/>
        <w:rPr>
          <w:sz w:val="18"/>
        </w:rPr>
      </w:pPr>
      <w:r>
        <w:rPr>
          <w:sz w:val="18"/>
          <w:vertAlign w:val="superscript"/>
        </w:rPr>
        <w:t>78</w:t>
      </w:r>
      <w:r>
        <w:rPr>
          <w:spacing w:val="-13"/>
          <w:sz w:val="18"/>
          <w:vertAlign w:val="baseline"/>
        </w:rPr>
        <w:t> </w:t>
      </w:r>
      <w:r>
        <w:rPr>
          <w:sz w:val="18"/>
          <w:vertAlign w:val="baseline"/>
        </w:rPr>
        <w:t>Vyas,</w:t>
      </w:r>
      <w:r>
        <w:rPr>
          <w:spacing w:val="-4"/>
          <w:sz w:val="18"/>
          <w:vertAlign w:val="baseline"/>
        </w:rPr>
        <w:t> </w:t>
      </w:r>
      <w:r>
        <w:rPr>
          <w:sz w:val="18"/>
          <w:vertAlign w:val="baseline"/>
        </w:rPr>
        <w:t>Nina,</w:t>
      </w:r>
      <w:r>
        <w:rPr>
          <w:spacing w:val="-3"/>
          <w:sz w:val="18"/>
          <w:vertAlign w:val="baseline"/>
        </w:rPr>
        <w:t> </w:t>
      </w:r>
      <w:r>
        <w:rPr>
          <w:sz w:val="18"/>
          <w:vertAlign w:val="baseline"/>
        </w:rPr>
        <w:t>Christopher</w:t>
      </w:r>
      <w:r>
        <w:rPr>
          <w:spacing w:val="-3"/>
          <w:sz w:val="18"/>
          <w:vertAlign w:val="baseline"/>
        </w:rPr>
        <w:t> </w:t>
      </w:r>
      <w:r>
        <w:rPr>
          <w:sz w:val="18"/>
          <w:vertAlign w:val="baseline"/>
        </w:rPr>
        <w:t>R.</w:t>
      </w:r>
      <w:r>
        <w:rPr>
          <w:spacing w:val="-2"/>
          <w:sz w:val="18"/>
          <w:vertAlign w:val="baseline"/>
        </w:rPr>
        <w:t> </w:t>
      </w:r>
      <w:r>
        <w:rPr>
          <w:sz w:val="18"/>
          <w:vertAlign w:val="baseline"/>
        </w:rPr>
        <w:t>Douglas,</w:t>
      </w:r>
      <w:r>
        <w:rPr>
          <w:spacing w:val="-3"/>
          <w:sz w:val="18"/>
          <w:vertAlign w:val="baseline"/>
        </w:rPr>
        <w:t> </w:t>
      </w:r>
      <w:r>
        <w:rPr>
          <w:sz w:val="18"/>
          <w:vertAlign w:val="baseline"/>
        </w:rPr>
        <w:t>Christopher</w:t>
      </w:r>
      <w:r>
        <w:rPr>
          <w:spacing w:val="-3"/>
          <w:sz w:val="18"/>
          <w:vertAlign w:val="baseline"/>
        </w:rPr>
        <w:t> </w:t>
      </w:r>
      <w:r>
        <w:rPr>
          <w:sz w:val="18"/>
          <w:vertAlign w:val="baseline"/>
        </w:rPr>
        <w:t>Mann,</w:t>
      </w:r>
      <w:r>
        <w:rPr>
          <w:spacing w:val="-3"/>
          <w:sz w:val="18"/>
          <w:vertAlign w:val="baseline"/>
        </w:rPr>
        <w:t> </w:t>
      </w:r>
      <w:r>
        <w:rPr>
          <w:sz w:val="18"/>
          <w:vertAlign w:val="baseline"/>
        </w:rPr>
        <w:t>Amy</w:t>
      </w:r>
      <w:r>
        <w:rPr>
          <w:spacing w:val="-2"/>
          <w:sz w:val="18"/>
          <w:vertAlign w:val="baseline"/>
        </w:rPr>
        <w:t> </w:t>
      </w:r>
      <w:r>
        <w:rPr>
          <w:sz w:val="18"/>
          <w:vertAlign w:val="baseline"/>
        </w:rPr>
        <w:t>K.</w:t>
      </w:r>
      <w:r>
        <w:rPr>
          <w:spacing w:val="-3"/>
          <w:sz w:val="18"/>
          <w:vertAlign w:val="baseline"/>
        </w:rPr>
        <w:t> </w:t>
      </w:r>
      <w:r>
        <w:rPr>
          <w:sz w:val="18"/>
          <w:vertAlign w:val="baseline"/>
        </w:rPr>
        <w:t>Weimer,</w:t>
      </w:r>
      <w:r>
        <w:rPr>
          <w:spacing w:val="-3"/>
          <w:sz w:val="18"/>
          <w:vertAlign w:val="baseline"/>
        </w:rPr>
        <w:t> </w:t>
      </w:r>
      <w:r>
        <w:rPr>
          <w:sz w:val="18"/>
          <w:vertAlign w:val="baseline"/>
        </w:rPr>
        <w:t>and</w:t>
      </w:r>
      <w:r>
        <w:rPr>
          <w:spacing w:val="-2"/>
          <w:sz w:val="18"/>
          <w:vertAlign w:val="baseline"/>
        </w:rPr>
        <w:t> </w:t>
      </w:r>
      <w:r>
        <w:rPr>
          <w:sz w:val="18"/>
          <w:vertAlign w:val="baseline"/>
        </w:rPr>
        <w:t>Molly</w:t>
      </w:r>
      <w:r>
        <w:rPr>
          <w:spacing w:val="-2"/>
          <w:sz w:val="18"/>
          <w:vertAlign w:val="baseline"/>
        </w:rPr>
        <w:t> </w:t>
      </w:r>
      <w:r>
        <w:rPr>
          <w:sz w:val="18"/>
          <w:vertAlign w:val="baseline"/>
        </w:rPr>
        <w:t>M.</w:t>
      </w:r>
      <w:r>
        <w:rPr>
          <w:spacing w:val="-2"/>
          <w:sz w:val="18"/>
          <w:vertAlign w:val="baseline"/>
        </w:rPr>
        <w:t> </w:t>
      </w:r>
      <w:r>
        <w:rPr>
          <w:sz w:val="18"/>
          <w:vertAlign w:val="baseline"/>
        </w:rPr>
        <w:t>Quinn.</w:t>
      </w:r>
      <w:r>
        <w:rPr>
          <w:spacing w:val="-2"/>
          <w:sz w:val="18"/>
          <w:vertAlign w:val="baseline"/>
        </w:rPr>
        <w:t> </w:t>
      </w:r>
      <w:r>
        <w:rPr>
          <w:sz w:val="18"/>
          <w:vertAlign w:val="baseline"/>
        </w:rPr>
        <w:t>2020.</w:t>
      </w:r>
      <w:r>
        <w:rPr>
          <w:spacing w:val="-2"/>
          <w:sz w:val="18"/>
          <w:vertAlign w:val="baseline"/>
        </w:rPr>
        <w:t> </w:t>
      </w:r>
      <w:r>
        <w:rPr>
          <w:sz w:val="18"/>
          <w:vertAlign w:val="baseline"/>
        </w:rPr>
        <w:t>“Access,</w:t>
      </w:r>
      <w:r>
        <w:rPr>
          <w:spacing w:val="-3"/>
          <w:sz w:val="18"/>
          <w:vertAlign w:val="baseline"/>
        </w:rPr>
        <w:t> </w:t>
      </w:r>
      <w:r>
        <w:rPr>
          <w:sz w:val="18"/>
          <w:vertAlign w:val="baseline"/>
        </w:rPr>
        <w:t>Barriers,</w:t>
      </w:r>
      <w:r>
        <w:rPr>
          <w:spacing w:val="-3"/>
          <w:sz w:val="18"/>
          <w:vertAlign w:val="baseline"/>
        </w:rPr>
        <w:t> </w:t>
      </w:r>
      <w:r>
        <w:rPr>
          <w:sz w:val="18"/>
          <w:vertAlign w:val="baseline"/>
        </w:rPr>
        <w:t>and Decisional Regret in Pursuit of Fertility Preservation among Transgender and Gender-Diverse Individuals.” </w:t>
      </w:r>
      <w:r>
        <w:rPr>
          <w:i/>
          <w:sz w:val="18"/>
          <w:vertAlign w:val="baseline"/>
        </w:rPr>
        <w:t>Fertility and</w:t>
      </w:r>
      <w:r>
        <w:rPr>
          <w:i/>
          <w:sz w:val="18"/>
          <w:vertAlign w:val="baseline"/>
        </w:rPr>
        <w:t> Sterility</w:t>
      </w:r>
      <w:r>
        <w:rPr>
          <w:sz w:val="18"/>
          <w:vertAlign w:val="baseline"/>
        </w:rPr>
        <w:t>, December. https://doi.org/10.1016/j.fertnstert.2020.09.007.</w:t>
      </w:r>
    </w:p>
    <w:p>
      <w:pPr>
        <w:spacing w:line="276" w:lineRule="auto" w:before="0"/>
        <w:ind w:left="464" w:right="481" w:hanging="4"/>
        <w:jc w:val="left"/>
        <w:rPr>
          <w:sz w:val="18"/>
        </w:rPr>
      </w:pPr>
      <w:r>
        <w:rPr>
          <w:sz w:val="18"/>
          <w:vertAlign w:val="superscript"/>
        </w:rPr>
        <w:t>79</w:t>
      </w:r>
      <w:r>
        <w:rPr>
          <w:spacing w:val="-10"/>
          <w:sz w:val="18"/>
          <w:vertAlign w:val="baseline"/>
        </w:rPr>
        <w:t> </w:t>
      </w:r>
      <w:r>
        <w:rPr>
          <w:sz w:val="18"/>
          <w:vertAlign w:val="baseline"/>
        </w:rPr>
        <w:t>Stolk, T. H. R., J. D. Asseler, J. A. F. Huirne, E. van den Boogaard, and N. M. van Mello. 2023. “Desire for Children and Fertility</w:t>
      </w:r>
      <w:r>
        <w:rPr>
          <w:spacing w:val="-3"/>
          <w:sz w:val="18"/>
          <w:vertAlign w:val="baseline"/>
        </w:rPr>
        <w:t> </w:t>
      </w:r>
      <w:r>
        <w:rPr>
          <w:sz w:val="18"/>
          <w:vertAlign w:val="baseline"/>
        </w:rPr>
        <w:t>Preservation</w:t>
      </w:r>
      <w:r>
        <w:rPr>
          <w:spacing w:val="-3"/>
          <w:sz w:val="18"/>
          <w:vertAlign w:val="baseline"/>
        </w:rPr>
        <w:t> </w:t>
      </w:r>
      <w:r>
        <w:rPr>
          <w:sz w:val="18"/>
          <w:vertAlign w:val="baseline"/>
        </w:rPr>
        <w:t>in</w:t>
      </w:r>
      <w:r>
        <w:rPr>
          <w:spacing w:val="-3"/>
          <w:sz w:val="18"/>
          <w:vertAlign w:val="baseline"/>
        </w:rPr>
        <w:t> </w:t>
      </w:r>
      <w:r>
        <w:rPr>
          <w:sz w:val="18"/>
          <w:vertAlign w:val="baseline"/>
        </w:rPr>
        <w:t>Transgender</w:t>
      </w:r>
      <w:r>
        <w:rPr>
          <w:spacing w:val="-4"/>
          <w:sz w:val="18"/>
          <w:vertAlign w:val="baseline"/>
        </w:rPr>
        <w:t> </w:t>
      </w:r>
      <w:r>
        <w:rPr>
          <w:sz w:val="18"/>
          <w:vertAlign w:val="baseline"/>
        </w:rPr>
        <w:t>and</w:t>
      </w:r>
      <w:r>
        <w:rPr>
          <w:spacing w:val="-4"/>
          <w:sz w:val="18"/>
          <w:vertAlign w:val="baseline"/>
        </w:rPr>
        <w:t> </w:t>
      </w:r>
      <w:r>
        <w:rPr>
          <w:sz w:val="18"/>
          <w:vertAlign w:val="baseline"/>
        </w:rPr>
        <w:t>Gender-Diverse</w:t>
      </w:r>
      <w:r>
        <w:rPr>
          <w:spacing w:val="-3"/>
          <w:sz w:val="18"/>
          <w:vertAlign w:val="baseline"/>
        </w:rPr>
        <w:t> </w:t>
      </w:r>
      <w:r>
        <w:rPr>
          <w:sz w:val="18"/>
          <w:vertAlign w:val="baseline"/>
        </w:rPr>
        <w:t>People:</w:t>
      </w:r>
      <w:r>
        <w:rPr>
          <w:spacing w:val="-3"/>
          <w:sz w:val="18"/>
          <w:vertAlign w:val="baseline"/>
        </w:rPr>
        <w:t> </w:t>
      </w:r>
      <w:r>
        <w:rPr>
          <w:sz w:val="18"/>
          <w:vertAlign w:val="baseline"/>
        </w:rPr>
        <w:t>A</w:t>
      </w:r>
      <w:r>
        <w:rPr>
          <w:spacing w:val="-3"/>
          <w:sz w:val="18"/>
          <w:vertAlign w:val="baseline"/>
        </w:rPr>
        <w:t> </w:t>
      </w:r>
      <w:r>
        <w:rPr>
          <w:sz w:val="18"/>
          <w:vertAlign w:val="baseline"/>
        </w:rPr>
        <w:t>Systematic</w:t>
      </w:r>
      <w:r>
        <w:rPr>
          <w:spacing w:val="-4"/>
          <w:sz w:val="18"/>
          <w:vertAlign w:val="baseline"/>
        </w:rPr>
        <w:t> </w:t>
      </w:r>
      <w:r>
        <w:rPr>
          <w:sz w:val="18"/>
          <w:vertAlign w:val="baseline"/>
        </w:rPr>
        <w:t>Review.”</w:t>
      </w:r>
      <w:r>
        <w:rPr>
          <w:spacing w:val="-3"/>
          <w:sz w:val="18"/>
          <w:vertAlign w:val="baseline"/>
        </w:rPr>
        <w:t> </w:t>
      </w:r>
      <w:r>
        <w:rPr>
          <w:i/>
          <w:sz w:val="18"/>
          <w:vertAlign w:val="baseline"/>
        </w:rPr>
        <w:t>Best</w:t>
      </w:r>
      <w:r>
        <w:rPr>
          <w:i/>
          <w:spacing w:val="-4"/>
          <w:sz w:val="18"/>
          <w:vertAlign w:val="baseline"/>
        </w:rPr>
        <w:t> </w:t>
      </w:r>
      <w:r>
        <w:rPr>
          <w:i/>
          <w:sz w:val="18"/>
          <w:vertAlign w:val="baseline"/>
        </w:rPr>
        <w:t>Practice</w:t>
      </w:r>
      <w:r>
        <w:rPr>
          <w:i/>
          <w:spacing w:val="-3"/>
          <w:sz w:val="18"/>
          <w:vertAlign w:val="baseline"/>
        </w:rPr>
        <w:t> </w:t>
      </w:r>
      <w:r>
        <w:rPr>
          <w:i/>
          <w:sz w:val="18"/>
          <w:vertAlign w:val="baseline"/>
        </w:rPr>
        <w:t>&amp;</w:t>
      </w:r>
      <w:r>
        <w:rPr>
          <w:i/>
          <w:spacing w:val="-3"/>
          <w:sz w:val="18"/>
          <w:vertAlign w:val="baseline"/>
        </w:rPr>
        <w:t> </w:t>
      </w:r>
      <w:r>
        <w:rPr>
          <w:i/>
          <w:sz w:val="18"/>
          <w:vertAlign w:val="baseline"/>
        </w:rPr>
        <w:t>Research</w:t>
      </w:r>
      <w:r>
        <w:rPr>
          <w:i/>
          <w:spacing w:val="-2"/>
          <w:sz w:val="18"/>
          <w:vertAlign w:val="baseline"/>
        </w:rPr>
        <w:t> </w:t>
      </w:r>
      <w:r>
        <w:rPr>
          <w:i/>
          <w:sz w:val="18"/>
          <w:vertAlign w:val="baseline"/>
        </w:rPr>
        <w:t>Clinical</w:t>
      </w:r>
      <w:r>
        <w:rPr>
          <w:i/>
          <w:sz w:val="18"/>
          <w:vertAlign w:val="baseline"/>
        </w:rPr>
        <w:t> Obstetrics &amp; Gynaecology </w:t>
      </w:r>
      <w:r>
        <w:rPr>
          <w:sz w:val="18"/>
          <w:vertAlign w:val="baseline"/>
        </w:rPr>
        <w:t>87 (March): 102312. https://doi.org/10.1016/j.bpobgyn.2023.102312.</w:t>
      </w:r>
    </w:p>
    <w:p>
      <w:pPr>
        <w:spacing w:line="276" w:lineRule="auto" w:before="0"/>
        <w:ind w:left="464" w:right="274" w:firstLine="0"/>
        <w:jc w:val="left"/>
        <w:rPr>
          <w:sz w:val="18"/>
        </w:rPr>
      </w:pPr>
      <w:r>
        <w:rPr>
          <w:sz w:val="18"/>
          <w:vertAlign w:val="superscript"/>
        </w:rPr>
        <w:t>80</w:t>
      </w:r>
      <w:r>
        <w:rPr>
          <w:spacing w:val="-12"/>
          <w:sz w:val="18"/>
          <w:vertAlign w:val="baseline"/>
        </w:rPr>
        <w:t> </w:t>
      </w:r>
      <w:r>
        <w:rPr>
          <w:sz w:val="18"/>
          <w:vertAlign w:val="baseline"/>
        </w:rPr>
        <w:t>Rogers, Chloë,</w:t>
      </w:r>
      <w:r>
        <w:rPr>
          <w:spacing w:val="-1"/>
          <w:sz w:val="18"/>
          <w:vertAlign w:val="baseline"/>
        </w:rPr>
        <w:t> </w:t>
      </w:r>
      <w:r>
        <w:rPr>
          <w:sz w:val="18"/>
          <w:vertAlign w:val="baseline"/>
        </w:rPr>
        <w:t>Mike Webberley, Roxana Mateescu, Yasmeen El</w:t>
      </w:r>
      <w:r>
        <w:rPr>
          <w:spacing w:val="-1"/>
          <w:sz w:val="18"/>
          <w:vertAlign w:val="baseline"/>
        </w:rPr>
        <w:t> </w:t>
      </w:r>
      <w:r>
        <w:rPr>
          <w:sz w:val="18"/>
          <w:vertAlign w:val="baseline"/>
        </w:rPr>
        <w:t>Rakhawy, Anaïs Daly-Gourdialsing, and Helen Webberley. 2020.</w:t>
      </w:r>
      <w:r>
        <w:rPr>
          <w:spacing w:val="-3"/>
          <w:sz w:val="18"/>
          <w:vertAlign w:val="baseline"/>
        </w:rPr>
        <w:t> </w:t>
      </w:r>
      <w:r>
        <w:rPr>
          <w:sz w:val="18"/>
          <w:vertAlign w:val="baseline"/>
        </w:rPr>
        <w:t>“A</w:t>
      </w:r>
      <w:r>
        <w:rPr>
          <w:spacing w:val="-3"/>
          <w:sz w:val="18"/>
          <w:vertAlign w:val="baseline"/>
        </w:rPr>
        <w:t> </w:t>
      </w:r>
      <w:r>
        <w:rPr>
          <w:sz w:val="18"/>
          <w:vertAlign w:val="baseline"/>
        </w:rPr>
        <w:t>Retrospective</w:t>
      </w:r>
      <w:r>
        <w:rPr>
          <w:spacing w:val="-3"/>
          <w:sz w:val="18"/>
          <w:vertAlign w:val="baseline"/>
        </w:rPr>
        <w:t> </w:t>
      </w:r>
      <w:r>
        <w:rPr>
          <w:sz w:val="18"/>
          <w:vertAlign w:val="baseline"/>
        </w:rPr>
        <w:t>Study</w:t>
      </w:r>
      <w:r>
        <w:rPr>
          <w:spacing w:val="-3"/>
          <w:sz w:val="18"/>
          <w:vertAlign w:val="baseline"/>
        </w:rPr>
        <w:t> </w:t>
      </w:r>
      <w:r>
        <w:rPr>
          <w:sz w:val="18"/>
          <w:vertAlign w:val="baseline"/>
        </w:rPr>
        <w:t>of</w:t>
      </w:r>
      <w:r>
        <w:rPr>
          <w:spacing w:val="-4"/>
          <w:sz w:val="18"/>
          <w:vertAlign w:val="baseline"/>
        </w:rPr>
        <w:t> </w:t>
      </w:r>
      <w:r>
        <w:rPr>
          <w:sz w:val="18"/>
          <w:vertAlign w:val="baseline"/>
        </w:rPr>
        <w:t>Positive</w:t>
      </w:r>
      <w:r>
        <w:rPr>
          <w:spacing w:val="-3"/>
          <w:sz w:val="18"/>
          <w:vertAlign w:val="baseline"/>
        </w:rPr>
        <w:t> </w:t>
      </w:r>
      <w:r>
        <w:rPr>
          <w:sz w:val="18"/>
          <w:vertAlign w:val="baseline"/>
        </w:rPr>
        <w:t>and</w:t>
      </w:r>
      <w:r>
        <w:rPr>
          <w:spacing w:val="-3"/>
          <w:sz w:val="18"/>
          <w:vertAlign w:val="baseline"/>
        </w:rPr>
        <w:t> </w:t>
      </w:r>
      <w:r>
        <w:rPr>
          <w:sz w:val="18"/>
          <w:vertAlign w:val="baseline"/>
        </w:rPr>
        <w:t>Negative</w:t>
      </w:r>
      <w:r>
        <w:rPr>
          <w:spacing w:val="-3"/>
          <w:sz w:val="18"/>
          <w:vertAlign w:val="baseline"/>
        </w:rPr>
        <w:t> </w:t>
      </w:r>
      <w:r>
        <w:rPr>
          <w:sz w:val="18"/>
          <w:vertAlign w:val="baseline"/>
        </w:rPr>
        <w:t>Determinants</w:t>
      </w:r>
      <w:r>
        <w:rPr>
          <w:spacing w:val="-3"/>
          <w:sz w:val="18"/>
          <w:vertAlign w:val="baseline"/>
        </w:rPr>
        <w:t> </w:t>
      </w:r>
      <w:r>
        <w:rPr>
          <w:sz w:val="18"/>
          <w:vertAlign w:val="baseline"/>
        </w:rPr>
        <w:t>of</w:t>
      </w:r>
      <w:r>
        <w:rPr>
          <w:spacing w:val="-3"/>
          <w:sz w:val="18"/>
          <w:vertAlign w:val="baseline"/>
        </w:rPr>
        <w:t> </w:t>
      </w:r>
      <w:r>
        <w:rPr>
          <w:sz w:val="18"/>
          <w:vertAlign w:val="baseline"/>
        </w:rPr>
        <w:t>Gamete</w:t>
      </w:r>
      <w:r>
        <w:rPr>
          <w:spacing w:val="-3"/>
          <w:sz w:val="18"/>
          <w:vertAlign w:val="baseline"/>
        </w:rPr>
        <w:t> </w:t>
      </w:r>
      <w:r>
        <w:rPr>
          <w:sz w:val="18"/>
          <w:vertAlign w:val="baseline"/>
        </w:rPr>
        <w:t>Storage</w:t>
      </w:r>
      <w:r>
        <w:rPr>
          <w:spacing w:val="-3"/>
          <w:sz w:val="18"/>
          <w:vertAlign w:val="baseline"/>
        </w:rPr>
        <w:t> </w:t>
      </w:r>
      <w:r>
        <w:rPr>
          <w:sz w:val="18"/>
          <w:vertAlign w:val="baseline"/>
        </w:rPr>
        <w:t>in</w:t>
      </w:r>
      <w:r>
        <w:rPr>
          <w:spacing w:val="-3"/>
          <w:sz w:val="18"/>
          <w:vertAlign w:val="baseline"/>
        </w:rPr>
        <w:t> </w:t>
      </w:r>
      <w:r>
        <w:rPr>
          <w:sz w:val="18"/>
          <w:vertAlign w:val="baseline"/>
        </w:rPr>
        <w:t>Transgender</w:t>
      </w:r>
      <w:r>
        <w:rPr>
          <w:spacing w:val="-4"/>
          <w:sz w:val="18"/>
          <w:vertAlign w:val="baseline"/>
        </w:rPr>
        <w:t> </w:t>
      </w:r>
      <w:r>
        <w:rPr>
          <w:sz w:val="18"/>
          <w:vertAlign w:val="baseline"/>
        </w:rPr>
        <w:t>and</w:t>
      </w:r>
      <w:r>
        <w:rPr>
          <w:spacing w:val="-4"/>
          <w:sz w:val="18"/>
          <w:vertAlign w:val="baseline"/>
        </w:rPr>
        <w:t> </w:t>
      </w:r>
      <w:r>
        <w:rPr>
          <w:sz w:val="18"/>
          <w:vertAlign w:val="baseline"/>
        </w:rPr>
        <w:t>Gender-Diverse Patients.” </w:t>
      </w:r>
      <w:r>
        <w:rPr>
          <w:i/>
          <w:sz w:val="18"/>
          <w:vertAlign w:val="baseline"/>
        </w:rPr>
        <w:t>International Journal of Transgender Health </w:t>
      </w:r>
      <w:r>
        <w:rPr>
          <w:sz w:val="18"/>
          <w:vertAlign w:val="baseline"/>
        </w:rPr>
        <w:t>22 (1-2): 167–78. https://doi.org/10.1080/26895269.2020.1848693. </w:t>
      </w:r>
      <w:r>
        <w:rPr>
          <w:sz w:val="18"/>
          <w:vertAlign w:val="superscript"/>
        </w:rPr>
        <w:t>81</w:t>
      </w:r>
      <w:r>
        <w:rPr>
          <w:spacing w:val="-9"/>
          <w:sz w:val="18"/>
          <w:vertAlign w:val="baseline"/>
        </w:rPr>
        <w:t> </w:t>
      </w:r>
      <w:r>
        <w:rPr>
          <w:sz w:val="18"/>
          <w:vertAlign w:val="baseline"/>
        </w:rPr>
        <w:t>Lindley, Lisa L., and Katrina M. Walsemann. 2015. “Sexual Orientation and Risk of Pregnancy among New York City High School Students.” </w:t>
      </w:r>
      <w:r>
        <w:rPr>
          <w:i/>
          <w:sz w:val="18"/>
          <w:vertAlign w:val="baseline"/>
        </w:rPr>
        <w:t>American Journal of Public Health </w:t>
      </w:r>
      <w:r>
        <w:rPr>
          <w:sz w:val="18"/>
          <w:vertAlign w:val="baseline"/>
        </w:rPr>
        <w:t>105 (7): 1379–86. https://doi.org/10.2105/ajph.2015.302553. </w:t>
      </w:r>
      <w:r>
        <w:rPr>
          <w:sz w:val="18"/>
          <w:vertAlign w:val="superscript"/>
        </w:rPr>
        <w:t>82</w:t>
      </w:r>
      <w:r>
        <w:rPr>
          <w:sz w:val="18"/>
          <w:vertAlign w:val="baseline"/>
        </w:rPr>
        <w:t> </w:t>
      </w:r>
      <w:r>
        <w:rPr>
          <w:color w:val="212121"/>
          <w:sz w:val="18"/>
          <w:vertAlign w:val="baseline"/>
        </w:rPr>
        <w:t>Stutterheim, Sarah E., Mart van Dijk, Haoyi Wang, and Kai J. Jonas. "The worldwide burden of HIV in transgender</w:t>
      </w:r>
      <w:r>
        <w:rPr>
          <w:color w:val="212121"/>
          <w:sz w:val="18"/>
          <w:vertAlign w:val="baseline"/>
        </w:rPr>
        <w:t> individuals: an updated systematic review and meta-analysis." </w:t>
      </w:r>
      <w:r>
        <w:rPr>
          <w:i/>
          <w:color w:val="212121"/>
          <w:sz w:val="18"/>
          <w:vertAlign w:val="baseline"/>
        </w:rPr>
        <w:t>PLoS One </w:t>
      </w:r>
      <w:r>
        <w:rPr>
          <w:color w:val="212121"/>
          <w:sz w:val="18"/>
          <w:vertAlign w:val="baseline"/>
        </w:rPr>
        <w:t>16, no. 12 (2021): e0260063.</w:t>
      </w:r>
    </w:p>
    <w:p>
      <w:pPr>
        <w:spacing w:line="276" w:lineRule="auto" w:before="0"/>
        <w:ind w:left="464" w:right="0" w:hanging="10"/>
        <w:jc w:val="left"/>
        <w:rPr>
          <w:sz w:val="18"/>
        </w:rPr>
      </w:pPr>
      <w:r>
        <w:rPr>
          <w:sz w:val="18"/>
          <w:vertAlign w:val="superscript"/>
        </w:rPr>
        <w:t>83</w:t>
      </w:r>
      <w:r>
        <w:rPr>
          <w:spacing w:val="-9"/>
          <w:sz w:val="18"/>
          <w:vertAlign w:val="baseline"/>
        </w:rPr>
        <w:t> </w:t>
      </w:r>
      <w:r>
        <w:rPr>
          <w:sz w:val="18"/>
          <w:vertAlign w:val="baseline"/>
        </w:rPr>
        <w:t>Massachusetts Department of Public Health, Bureau of Infectious Disease and Laboratory Sciences. Massachusetts HIV Epidemiologic</w:t>
      </w:r>
      <w:r>
        <w:rPr>
          <w:spacing w:val="-5"/>
          <w:sz w:val="18"/>
          <w:vertAlign w:val="baseline"/>
        </w:rPr>
        <w:t> </w:t>
      </w:r>
      <w:r>
        <w:rPr>
          <w:sz w:val="18"/>
          <w:vertAlign w:val="baseline"/>
        </w:rPr>
        <w:t>Profile,</w:t>
      </w:r>
      <w:r>
        <w:rPr>
          <w:spacing w:val="-5"/>
          <w:sz w:val="18"/>
          <w:vertAlign w:val="baseline"/>
        </w:rPr>
        <w:t> </w:t>
      </w:r>
      <w:r>
        <w:rPr>
          <w:sz w:val="18"/>
          <w:vertAlign w:val="baseline"/>
        </w:rPr>
        <w:t>Statewide</w:t>
      </w:r>
      <w:r>
        <w:rPr>
          <w:spacing w:val="-4"/>
          <w:sz w:val="18"/>
          <w:vertAlign w:val="baseline"/>
        </w:rPr>
        <w:t> </w:t>
      </w:r>
      <w:r>
        <w:rPr>
          <w:sz w:val="18"/>
          <w:vertAlign w:val="baseline"/>
        </w:rPr>
        <w:t>Report</w:t>
      </w:r>
      <w:r>
        <w:rPr>
          <w:spacing w:val="-5"/>
          <w:sz w:val="18"/>
          <w:vertAlign w:val="baseline"/>
        </w:rPr>
        <w:t> </w:t>
      </w:r>
      <w:r>
        <w:rPr>
          <w:sz w:val="18"/>
          <w:vertAlign w:val="baseline"/>
        </w:rPr>
        <w:t>–</w:t>
      </w:r>
      <w:r>
        <w:rPr>
          <w:spacing w:val="-4"/>
          <w:sz w:val="18"/>
          <w:vertAlign w:val="baseline"/>
        </w:rPr>
        <w:t> </w:t>
      </w:r>
      <w:r>
        <w:rPr>
          <w:sz w:val="18"/>
          <w:vertAlign w:val="baseline"/>
        </w:rPr>
        <w:t>Data</w:t>
      </w:r>
      <w:r>
        <w:rPr>
          <w:spacing w:val="-4"/>
          <w:sz w:val="18"/>
          <w:vertAlign w:val="baseline"/>
        </w:rPr>
        <w:t> </w:t>
      </w:r>
      <w:r>
        <w:rPr>
          <w:sz w:val="18"/>
          <w:vertAlign w:val="baseline"/>
        </w:rPr>
        <w:t>as</w:t>
      </w:r>
      <w:r>
        <w:rPr>
          <w:spacing w:val="-4"/>
          <w:sz w:val="18"/>
          <w:vertAlign w:val="baseline"/>
        </w:rPr>
        <w:t> </w:t>
      </w:r>
      <w:r>
        <w:rPr>
          <w:sz w:val="18"/>
          <w:vertAlign w:val="baseline"/>
        </w:rPr>
        <w:t>of</w:t>
      </w:r>
      <w:r>
        <w:rPr>
          <w:spacing w:val="-4"/>
          <w:sz w:val="18"/>
          <w:vertAlign w:val="baseline"/>
        </w:rPr>
        <w:t> </w:t>
      </w:r>
      <w:r>
        <w:rPr>
          <w:sz w:val="18"/>
          <w:vertAlign w:val="baseline"/>
        </w:rPr>
        <w:t>1/1/2022</w:t>
      </w:r>
      <w:r>
        <w:rPr>
          <w:spacing w:val="-4"/>
          <w:sz w:val="18"/>
          <w:vertAlign w:val="baseline"/>
        </w:rPr>
        <w:t> </w:t>
      </w:r>
      <w:r>
        <w:rPr>
          <w:sz w:val="18"/>
          <w:vertAlign w:val="baseline"/>
        </w:rPr>
        <w:t>https://</w:t>
      </w:r>
      <w:hyperlink r:id="rId298">
        <w:r>
          <w:rPr>
            <w:sz w:val="18"/>
            <w:vertAlign w:val="baseline"/>
          </w:rPr>
          <w:t>www.mass.gov/lists/hivaids-epidemiologic-profiles.</w:t>
        </w:r>
      </w:hyperlink>
      <w:r>
        <w:rPr>
          <w:sz w:val="18"/>
          <w:vertAlign w:val="baseline"/>
        </w:rPr>
        <w:t> Published February 2022. Accessed March 2 2023.</w:t>
      </w:r>
    </w:p>
    <w:p>
      <w:pPr>
        <w:spacing w:line="276" w:lineRule="auto" w:before="0"/>
        <w:ind w:left="463" w:right="228" w:firstLine="0"/>
        <w:jc w:val="left"/>
        <w:rPr>
          <w:sz w:val="18"/>
        </w:rPr>
      </w:pPr>
      <w:r>
        <w:rPr>
          <w:sz w:val="18"/>
          <w:vertAlign w:val="superscript"/>
        </w:rPr>
        <w:t>84</w:t>
      </w:r>
      <w:r>
        <w:rPr>
          <w:spacing w:val="-13"/>
          <w:sz w:val="18"/>
          <w:vertAlign w:val="baseline"/>
        </w:rPr>
        <w:t> </w:t>
      </w:r>
      <w:r>
        <w:rPr>
          <w:sz w:val="18"/>
          <w:vertAlign w:val="baseline"/>
        </w:rPr>
        <w:t>Fisher,</w:t>
      </w:r>
      <w:r>
        <w:rPr>
          <w:spacing w:val="-4"/>
          <w:sz w:val="18"/>
          <w:vertAlign w:val="baseline"/>
        </w:rPr>
        <w:t> </w:t>
      </w:r>
      <w:r>
        <w:rPr>
          <w:sz w:val="18"/>
          <w:vertAlign w:val="baseline"/>
        </w:rPr>
        <w:t>Celia</w:t>
      </w:r>
      <w:r>
        <w:rPr>
          <w:spacing w:val="-2"/>
          <w:sz w:val="18"/>
          <w:vertAlign w:val="baseline"/>
        </w:rPr>
        <w:t> </w:t>
      </w:r>
      <w:r>
        <w:rPr>
          <w:sz w:val="18"/>
          <w:vertAlign w:val="baseline"/>
        </w:rPr>
        <w:t>B.,</w:t>
      </w:r>
      <w:r>
        <w:rPr>
          <w:spacing w:val="-3"/>
          <w:sz w:val="18"/>
          <w:vertAlign w:val="baseline"/>
        </w:rPr>
        <w:t> </w:t>
      </w:r>
      <w:r>
        <w:rPr>
          <w:sz w:val="18"/>
          <w:vertAlign w:val="baseline"/>
        </w:rPr>
        <w:t>Adam</w:t>
      </w:r>
      <w:r>
        <w:rPr>
          <w:spacing w:val="-2"/>
          <w:sz w:val="18"/>
          <w:vertAlign w:val="baseline"/>
        </w:rPr>
        <w:t> </w:t>
      </w:r>
      <w:r>
        <w:rPr>
          <w:sz w:val="18"/>
          <w:vertAlign w:val="baseline"/>
        </w:rPr>
        <w:t>L.</w:t>
      </w:r>
      <w:r>
        <w:rPr>
          <w:spacing w:val="-2"/>
          <w:sz w:val="18"/>
          <w:vertAlign w:val="baseline"/>
        </w:rPr>
        <w:t> </w:t>
      </w:r>
      <w:r>
        <w:rPr>
          <w:sz w:val="18"/>
          <w:vertAlign w:val="baseline"/>
        </w:rPr>
        <w:t>Fried,</w:t>
      </w:r>
      <w:r>
        <w:rPr>
          <w:spacing w:val="-3"/>
          <w:sz w:val="18"/>
          <w:vertAlign w:val="baseline"/>
        </w:rPr>
        <w:t> </w:t>
      </w:r>
      <w:r>
        <w:rPr>
          <w:sz w:val="18"/>
          <w:vertAlign w:val="baseline"/>
        </w:rPr>
        <w:t>Margaret</w:t>
      </w:r>
      <w:r>
        <w:rPr>
          <w:spacing w:val="-3"/>
          <w:sz w:val="18"/>
          <w:vertAlign w:val="baseline"/>
        </w:rPr>
        <w:t> </w:t>
      </w:r>
      <w:r>
        <w:rPr>
          <w:sz w:val="18"/>
          <w:vertAlign w:val="baseline"/>
        </w:rPr>
        <w:t>Desmond,</w:t>
      </w:r>
      <w:r>
        <w:rPr>
          <w:spacing w:val="-3"/>
          <w:sz w:val="18"/>
          <w:vertAlign w:val="baseline"/>
        </w:rPr>
        <w:t> </w:t>
      </w:r>
      <w:r>
        <w:rPr>
          <w:sz w:val="18"/>
          <w:vertAlign w:val="baseline"/>
        </w:rPr>
        <w:t>Kathryn</w:t>
      </w:r>
      <w:r>
        <w:rPr>
          <w:spacing w:val="-2"/>
          <w:sz w:val="18"/>
          <w:vertAlign w:val="baseline"/>
        </w:rPr>
        <w:t> </w:t>
      </w:r>
      <w:r>
        <w:rPr>
          <w:sz w:val="18"/>
          <w:vertAlign w:val="baseline"/>
        </w:rPr>
        <w:t>Macapagal,</w:t>
      </w:r>
      <w:r>
        <w:rPr>
          <w:spacing w:val="-3"/>
          <w:sz w:val="18"/>
          <w:vertAlign w:val="baseline"/>
        </w:rPr>
        <w:t> </w:t>
      </w:r>
      <w:r>
        <w:rPr>
          <w:sz w:val="18"/>
          <w:vertAlign w:val="baseline"/>
        </w:rPr>
        <w:t>and</w:t>
      </w:r>
      <w:r>
        <w:rPr>
          <w:spacing w:val="-2"/>
          <w:sz w:val="18"/>
          <w:vertAlign w:val="baseline"/>
        </w:rPr>
        <w:t> </w:t>
      </w:r>
      <w:r>
        <w:rPr>
          <w:sz w:val="18"/>
          <w:vertAlign w:val="baseline"/>
        </w:rPr>
        <w:t>Brian</w:t>
      </w:r>
      <w:r>
        <w:rPr>
          <w:spacing w:val="-2"/>
          <w:sz w:val="18"/>
          <w:vertAlign w:val="baseline"/>
        </w:rPr>
        <w:t> </w:t>
      </w:r>
      <w:r>
        <w:rPr>
          <w:sz w:val="18"/>
          <w:vertAlign w:val="baseline"/>
        </w:rPr>
        <w:t>Mustanski.</w:t>
      </w:r>
      <w:r>
        <w:rPr>
          <w:spacing w:val="-2"/>
          <w:sz w:val="18"/>
          <w:vertAlign w:val="baseline"/>
        </w:rPr>
        <w:t> </w:t>
      </w:r>
      <w:r>
        <w:rPr>
          <w:sz w:val="18"/>
          <w:vertAlign w:val="baseline"/>
        </w:rPr>
        <w:t>2018.</w:t>
      </w:r>
      <w:r>
        <w:rPr>
          <w:spacing w:val="-2"/>
          <w:sz w:val="18"/>
          <w:vertAlign w:val="baseline"/>
        </w:rPr>
        <w:t> </w:t>
      </w:r>
      <w:r>
        <w:rPr>
          <w:sz w:val="18"/>
          <w:vertAlign w:val="baseline"/>
        </w:rPr>
        <w:t>“Perceived</w:t>
      </w:r>
      <w:r>
        <w:rPr>
          <w:spacing w:val="-3"/>
          <w:sz w:val="18"/>
          <w:vertAlign w:val="baseline"/>
        </w:rPr>
        <w:t> </w:t>
      </w:r>
      <w:r>
        <w:rPr>
          <w:sz w:val="18"/>
          <w:vertAlign w:val="baseline"/>
        </w:rPr>
        <w:t>Barriers</w:t>
      </w:r>
      <w:r>
        <w:rPr>
          <w:spacing w:val="-2"/>
          <w:sz w:val="18"/>
          <w:vertAlign w:val="baseline"/>
        </w:rPr>
        <w:t> </w:t>
      </w:r>
      <w:r>
        <w:rPr>
          <w:sz w:val="18"/>
          <w:vertAlign w:val="baseline"/>
        </w:rPr>
        <w:t>to HIV Prevention Services for Transgender Youth.” LGBT Health 5 (6): 350–58. https://doi.org/10.1089/lgbt.2017.0098. </w:t>
      </w:r>
      <w:r>
        <w:rPr>
          <w:sz w:val="18"/>
          <w:vertAlign w:val="superscript"/>
        </w:rPr>
        <w:t>85</w:t>
      </w:r>
      <w:r>
        <w:rPr>
          <w:sz w:val="18"/>
          <w:vertAlign w:val="baseline"/>
        </w:rPr>
        <w:t> Seiler, Naomi. n.d. Review of Enhancing Medicaid Provider and Patient Engagement and Education to Deliver PrEP Intervention Services. AcademyHealth. Accessed January 10, 2023.</w:t>
      </w:r>
    </w:p>
    <w:p>
      <w:pPr>
        <w:spacing w:after="0" w:line="276" w:lineRule="auto"/>
        <w:jc w:val="left"/>
        <w:rPr>
          <w:sz w:val="18"/>
        </w:rPr>
        <w:sectPr>
          <w:pgSz w:w="12240" w:h="15840"/>
          <w:pgMar w:header="721" w:footer="1061" w:top="1360" w:bottom="1260" w:left="1120" w:right="1340"/>
        </w:sectPr>
      </w:pPr>
    </w:p>
    <w:p>
      <w:pPr>
        <w:spacing w:line="276" w:lineRule="auto" w:before="68"/>
        <w:ind w:left="464" w:right="0" w:firstLine="8"/>
        <w:jc w:val="left"/>
        <w:rPr>
          <w:sz w:val="18"/>
        </w:rPr>
      </w:pPr>
      <w:r>
        <w:rPr>
          <w:sz w:val="18"/>
        </w:rPr>
        <w:t>https://academyhealth.org/sites/default/files/engagementmedicaidprep_issuebrief_may2019.pdf.</w:t>
      </w:r>
      <w:r>
        <w:rPr>
          <w:spacing w:val="-11"/>
          <w:sz w:val="18"/>
        </w:rPr>
        <w:t> </w:t>
      </w:r>
      <w:r>
        <w:rPr>
          <w:sz w:val="18"/>
          <w:vertAlign w:val="superscript"/>
        </w:rPr>
        <w:t>86</w:t>
      </w:r>
      <w:r>
        <w:rPr>
          <w:spacing w:val="-13"/>
          <w:sz w:val="18"/>
          <w:vertAlign w:val="baseline"/>
        </w:rPr>
        <w:t> </w:t>
      </w:r>
      <w:r>
        <w:rPr>
          <w:sz w:val="18"/>
          <w:vertAlign w:val="baseline"/>
        </w:rPr>
        <w:t>“PrEP</w:t>
      </w:r>
      <w:r>
        <w:rPr>
          <w:spacing w:val="-10"/>
          <w:sz w:val="18"/>
          <w:vertAlign w:val="baseline"/>
        </w:rPr>
        <w:t> </w:t>
      </w:r>
      <w:r>
        <w:rPr>
          <w:sz w:val="18"/>
          <w:vertAlign w:val="baseline"/>
        </w:rPr>
        <w:t>for</w:t>
      </w:r>
      <w:r>
        <w:rPr>
          <w:spacing w:val="-10"/>
          <w:sz w:val="18"/>
          <w:vertAlign w:val="baseline"/>
        </w:rPr>
        <w:t> </w:t>
      </w:r>
      <w:r>
        <w:rPr>
          <w:sz w:val="18"/>
          <w:vertAlign w:val="baseline"/>
        </w:rPr>
        <w:t>Minors</w:t>
      </w:r>
      <w:r>
        <w:rPr>
          <w:spacing w:val="-9"/>
          <w:sz w:val="18"/>
          <w:vertAlign w:val="baseline"/>
        </w:rPr>
        <w:t> </w:t>
      </w:r>
      <w:r>
        <w:rPr>
          <w:sz w:val="18"/>
          <w:vertAlign w:val="baseline"/>
        </w:rPr>
        <w:t>in Massachusetts.” n.d. GLAD. https:</w:t>
      </w:r>
      <w:hyperlink r:id="rId299">
        <w:r>
          <w:rPr>
            <w:sz w:val="18"/>
            <w:vertAlign w:val="baseline"/>
          </w:rPr>
          <w:t>//www.glad.org/prep-for-minors-in</w:t>
        </w:r>
      </w:hyperlink>
      <w:r>
        <w:rPr>
          <w:sz w:val="18"/>
          <w:vertAlign w:val="baseline"/>
        </w:rPr>
        <w:t> </w:t>
      </w:r>
      <w:r>
        <w:rPr>
          <w:spacing w:val="-2"/>
          <w:sz w:val="18"/>
          <w:vertAlign w:val="baseline"/>
        </w:rPr>
        <w:t>massachusetts/#:~:text=Massachusetts%20has%20a%20new%20law.</w:t>
      </w:r>
    </w:p>
    <w:p>
      <w:pPr>
        <w:spacing w:line="276" w:lineRule="auto" w:before="1"/>
        <w:ind w:left="464" w:right="283" w:firstLine="2"/>
        <w:jc w:val="both"/>
        <w:rPr>
          <w:sz w:val="18"/>
        </w:rPr>
      </w:pPr>
      <w:r>
        <w:rPr>
          <w:sz w:val="18"/>
          <w:vertAlign w:val="superscript"/>
        </w:rPr>
        <w:t>87</w:t>
      </w:r>
      <w:r>
        <w:rPr>
          <w:spacing w:val="-11"/>
          <w:sz w:val="18"/>
          <w:vertAlign w:val="baseline"/>
        </w:rPr>
        <w:t> </w:t>
      </w:r>
      <w:r>
        <w:rPr>
          <w:color w:val="212121"/>
          <w:sz w:val="18"/>
          <w:vertAlign w:val="baseline"/>
        </w:rPr>
        <w:t>Connolly,</w:t>
      </w:r>
      <w:r>
        <w:rPr>
          <w:color w:val="212121"/>
          <w:spacing w:val="-4"/>
          <w:sz w:val="18"/>
          <w:vertAlign w:val="baseline"/>
        </w:rPr>
        <w:t> </w:t>
      </w:r>
      <w:r>
        <w:rPr>
          <w:color w:val="212121"/>
          <w:sz w:val="18"/>
          <w:vertAlign w:val="baseline"/>
        </w:rPr>
        <w:t>Maureen</w:t>
      </w:r>
      <w:r>
        <w:rPr>
          <w:color w:val="212121"/>
          <w:spacing w:val="-1"/>
          <w:sz w:val="18"/>
          <w:vertAlign w:val="baseline"/>
        </w:rPr>
        <w:t> </w:t>
      </w:r>
      <w:r>
        <w:rPr>
          <w:color w:val="212121"/>
          <w:sz w:val="18"/>
          <w:vertAlign w:val="baseline"/>
        </w:rPr>
        <w:t>D.,</w:t>
      </w:r>
      <w:r>
        <w:rPr>
          <w:color w:val="212121"/>
          <w:spacing w:val="-2"/>
          <w:sz w:val="18"/>
          <w:vertAlign w:val="baseline"/>
        </w:rPr>
        <w:t> </w:t>
      </w:r>
      <w:r>
        <w:rPr>
          <w:color w:val="212121"/>
          <w:sz w:val="18"/>
          <w:vertAlign w:val="baseline"/>
        </w:rPr>
        <w:t>Doreen</w:t>
      </w:r>
      <w:r>
        <w:rPr>
          <w:color w:val="212121"/>
          <w:spacing w:val="-2"/>
          <w:sz w:val="18"/>
          <w:vertAlign w:val="baseline"/>
        </w:rPr>
        <w:t> </w:t>
      </w:r>
      <w:r>
        <w:rPr>
          <w:color w:val="212121"/>
          <w:sz w:val="18"/>
          <w:vertAlign w:val="baseline"/>
        </w:rPr>
        <w:t>N.</w:t>
      </w:r>
      <w:r>
        <w:rPr>
          <w:color w:val="212121"/>
          <w:spacing w:val="-1"/>
          <w:sz w:val="18"/>
          <w:vertAlign w:val="baseline"/>
        </w:rPr>
        <w:t> </w:t>
      </w:r>
      <w:r>
        <w:rPr>
          <w:color w:val="212121"/>
          <w:sz w:val="18"/>
          <w:vertAlign w:val="baseline"/>
        </w:rPr>
        <w:t>Dankerlui,</w:t>
      </w:r>
      <w:r>
        <w:rPr>
          <w:color w:val="212121"/>
          <w:spacing w:val="-2"/>
          <w:sz w:val="18"/>
          <w:vertAlign w:val="baseline"/>
        </w:rPr>
        <w:t> </w:t>
      </w:r>
      <w:r>
        <w:rPr>
          <w:color w:val="212121"/>
          <w:sz w:val="18"/>
          <w:vertAlign w:val="baseline"/>
        </w:rPr>
        <w:t>Tony</w:t>
      </w:r>
      <w:r>
        <w:rPr>
          <w:color w:val="212121"/>
          <w:spacing w:val="-1"/>
          <w:sz w:val="18"/>
          <w:vertAlign w:val="baseline"/>
        </w:rPr>
        <w:t> </w:t>
      </w:r>
      <w:r>
        <w:rPr>
          <w:color w:val="212121"/>
          <w:sz w:val="18"/>
          <w:vertAlign w:val="baseline"/>
        </w:rPr>
        <w:t>Eljallad,</w:t>
      </w:r>
      <w:r>
        <w:rPr>
          <w:color w:val="212121"/>
          <w:spacing w:val="-2"/>
          <w:sz w:val="18"/>
          <w:vertAlign w:val="baseline"/>
        </w:rPr>
        <w:t> </w:t>
      </w:r>
      <w:r>
        <w:rPr>
          <w:color w:val="212121"/>
          <w:sz w:val="18"/>
          <w:vertAlign w:val="baseline"/>
        </w:rPr>
        <w:t>Isadore</w:t>
      </w:r>
      <w:r>
        <w:rPr>
          <w:color w:val="212121"/>
          <w:spacing w:val="-1"/>
          <w:sz w:val="18"/>
          <w:vertAlign w:val="baseline"/>
        </w:rPr>
        <w:t> </w:t>
      </w:r>
      <w:r>
        <w:rPr>
          <w:color w:val="212121"/>
          <w:sz w:val="18"/>
          <w:vertAlign w:val="baseline"/>
        </w:rPr>
        <w:t>Dodard-Friedman,</w:t>
      </w:r>
      <w:r>
        <w:rPr>
          <w:color w:val="212121"/>
          <w:spacing w:val="-2"/>
          <w:sz w:val="18"/>
          <w:vertAlign w:val="baseline"/>
        </w:rPr>
        <w:t> </w:t>
      </w:r>
      <w:r>
        <w:rPr>
          <w:color w:val="212121"/>
          <w:sz w:val="18"/>
          <w:vertAlign w:val="baseline"/>
        </w:rPr>
        <w:t>Amy</w:t>
      </w:r>
      <w:r>
        <w:rPr>
          <w:color w:val="212121"/>
          <w:spacing w:val="-1"/>
          <w:sz w:val="18"/>
          <w:vertAlign w:val="baseline"/>
        </w:rPr>
        <w:t> </w:t>
      </w:r>
      <w:r>
        <w:rPr>
          <w:color w:val="212121"/>
          <w:sz w:val="18"/>
          <w:vertAlign w:val="baseline"/>
        </w:rPr>
        <w:t>Tang,</w:t>
      </w:r>
      <w:r>
        <w:rPr>
          <w:color w:val="212121"/>
          <w:spacing w:val="-3"/>
          <w:sz w:val="18"/>
          <w:vertAlign w:val="baseline"/>
        </w:rPr>
        <w:t> </w:t>
      </w:r>
      <w:r>
        <w:rPr>
          <w:color w:val="212121"/>
          <w:sz w:val="18"/>
          <w:vertAlign w:val="baseline"/>
        </w:rPr>
        <w:t>and</w:t>
      </w:r>
      <w:r>
        <w:rPr>
          <w:color w:val="212121"/>
          <w:spacing w:val="-1"/>
          <w:sz w:val="18"/>
          <w:vertAlign w:val="baseline"/>
        </w:rPr>
        <w:t> </w:t>
      </w:r>
      <w:r>
        <w:rPr>
          <w:color w:val="212121"/>
          <w:sz w:val="18"/>
          <w:vertAlign w:val="baseline"/>
        </w:rPr>
        <w:t>Christine</w:t>
      </w:r>
      <w:r>
        <w:rPr>
          <w:color w:val="212121"/>
          <w:spacing w:val="-1"/>
          <w:sz w:val="18"/>
          <w:vertAlign w:val="baseline"/>
        </w:rPr>
        <w:t> </w:t>
      </w:r>
      <w:r>
        <w:rPr>
          <w:color w:val="212121"/>
          <w:sz w:val="18"/>
          <w:vertAlign w:val="baseline"/>
        </w:rPr>
        <w:t>LM</w:t>
      </w:r>
      <w:r>
        <w:rPr>
          <w:color w:val="212121"/>
          <w:spacing w:val="-2"/>
          <w:sz w:val="18"/>
          <w:vertAlign w:val="baseline"/>
        </w:rPr>
        <w:t> </w:t>
      </w:r>
      <w:r>
        <w:rPr>
          <w:color w:val="212121"/>
          <w:sz w:val="18"/>
          <w:vertAlign w:val="baseline"/>
        </w:rPr>
        <w:t>Joseph. "Outcomes</w:t>
      </w:r>
      <w:r>
        <w:rPr>
          <w:color w:val="212121"/>
          <w:spacing w:val="-3"/>
          <w:sz w:val="18"/>
          <w:vertAlign w:val="baseline"/>
        </w:rPr>
        <w:t> </w:t>
      </w:r>
      <w:r>
        <w:rPr>
          <w:color w:val="212121"/>
          <w:sz w:val="18"/>
          <w:vertAlign w:val="baseline"/>
        </w:rPr>
        <w:t>of</w:t>
      </w:r>
      <w:r>
        <w:rPr>
          <w:color w:val="212121"/>
          <w:spacing w:val="-3"/>
          <w:sz w:val="18"/>
          <w:vertAlign w:val="baseline"/>
        </w:rPr>
        <w:t> </w:t>
      </w:r>
      <w:r>
        <w:rPr>
          <w:color w:val="212121"/>
          <w:sz w:val="18"/>
          <w:vertAlign w:val="baseline"/>
        </w:rPr>
        <w:t>a</w:t>
      </w:r>
      <w:r>
        <w:rPr>
          <w:color w:val="212121"/>
          <w:spacing w:val="-3"/>
          <w:sz w:val="18"/>
          <w:vertAlign w:val="baseline"/>
        </w:rPr>
        <w:t> </w:t>
      </w:r>
      <w:r>
        <w:rPr>
          <w:color w:val="212121"/>
          <w:sz w:val="18"/>
          <w:vertAlign w:val="baseline"/>
        </w:rPr>
        <w:t>PrEP</w:t>
      </w:r>
      <w:r>
        <w:rPr>
          <w:color w:val="212121"/>
          <w:spacing w:val="-3"/>
          <w:sz w:val="18"/>
          <w:vertAlign w:val="baseline"/>
        </w:rPr>
        <w:t> </w:t>
      </w:r>
      <w:r>
        <w:rPr>
          <w:color w:val="212121"/>
          <w:sz w:val="18"/>
          <w:vertAlign w:val="baseline"/>
        </w:rPr>
        <w:t>Demonstration</w:t>
      </w:r>
      <w:r>
        <w:rPr>
          <w:color w:val="212121"/>
          <w:spacing w:val="-3"/>
          <w:sz w:val="18"/>
          <w:vertAlign w:val="baseline"/>
        </w:rPr>
        <w:t> </w:t>
      </w:r>
      <w:r>
        <w:rPr>
          <w:color w:val="212121"/>
          <w:sz w:val="18"/>
          <w:vertAlign w:val="baseline"/>
        </w:rPr>
        <w:t>Project</w:t>
      </w:r>
      <w:r>
        <w:rPr>
          <w:color w:val="212121"/>
          <w:spacing w:val="-4"/>
          <w:sz w:val="18"/>
          <w:vertAlign w:val="baseline"/>
        </w:rPr>
        <w:t> </w:t>
      </w:r>
      <w:r>
        <w:rPr>
          <w:color w:val="212121"/>
          <w:sz w:val="18"/>
          <w:vertAlign w:val="baseline"/>
        </w:rPr>
        <w:t>with</w:t>
      </w:r>
      <w:r>
        <w:rPr>
          <w:color w:val="212121"/>
          <w:spacing w:val="-2"/>
          <w:sz w:val="18"/>
          <w:vertAlign w:val="baseline"/>
        </w:rPr>
        <w:t> </w:t>
      </w:r>
      <w:r>
        <w:rPr>
          <w:color w:val="212121"/>
          <w:sz w:val="18"/>
          <w:vertAlign w:val="baseline"/>
        </w:rPr>
        <w:t>LGBTQ</w:t>
      </w:r>
      <w:r>
        <w:rPr>
          <w:color w:val="212121"/>
          <w:spacing w:val="-3"/>
          <w:sz w:val="18"/>
          <w:vertAlign w:val="baseline"/>
        </w:rPr>
        <w:t> </w:t>
      </w:r>
      <w:r>
        <w:rPr>
          <w:color w:val="212121"/>
          <w:sz w:val="18"/>
          <w:vertAlign w:val="baseline"/>
        </w:rPr>
        <w:t>Youth</w:t>
      </w:r>
      <w:r>
        <w:rPr>
          <w:color w:val="212121"/>
          <w:spacing w:val="-3"/>
          <w:sz w:val="18"/>
          <w:vertAlign w:val="baseline"/>
        </w:rPr>
        <w:t> </w:t>
      </w:r>
      <w:r>
        <w:rPr>
          <w:color w:val="212121"/>
          <w:sz w:val="18"/>
          <w:vertAlign w:val="baseline"/>
        </w:rPr>
        <w:t>in</w:t>
      </w:r>
      <w:r>
        <w:rPr>
          <w:color w:val="212121"/>
          <w:spacing w:val="-4"/>
          <w:sz w:val="18"/>
          <w:vertAlign w:val="baseline"/>
        </w:rPr>
        <w:t> </w:t>
      </w:r>
      <w:r>
        <w:rPr>
          <w:color w:val="212121"/>
          <w:sz w:val="18"/>
          <w:vertAlign w:val="baseline"/>
        </w:rPr>
        <w:t>a</w:t>
      </w:r>
      <w:r>
        <w:rPr>
          <w:color w:val="212121"/>
          <w:spacing w:val="-3"/>
          <w:sz w:val="18"/>
          <w:vertAlign w:val="baseline"/>
        </w:rPr>
        <w:t> </w:t>
      </w:r>
      <w:r>
        <w:rPr>
          <w:color w:val="212121"/>
          <w:sz w:val="18"/>
          <w:vertAlign w:val="baseline"/>
        </w:rPr>
        <w:t>Community-Based</w:t>
      </w:r>
      <w:r>
        <w:rPr>
          <w:color w:val="212121"/>
          <w:spacing w:val="-3"/>
          <w:sz w:val="18"/>
          <w:vertAlign w:val="baseline"/>
        </w:rPr>
        <w:t> </w:t>
      </w:r>
      <w:r>
        <w:rPr>
          <w:color w:val="212121"/>
          <w:sz w:val="18"/>
          <w:vertAlign w:val="baseline"/>
        </w:rPr>
        <w:t>Clinic</w:t>
      </w:r>
      <w:r>
        <w:rPr>
          <w:color w:val="212121"/>
          <w:spacing w:val="-4"/>
          <w:sz w:val="18"/>
          <w:vertAlign w:val="baseline"/>
        </w:rPr>
        <w:t> </w:t>
      </w:r>
      <w:r>
        <w:rPr>
          <w:color w:val="212121"/>
          <w:sz w:val="18"/>
          <w:vertAlign w:val="baseline"/>
        </w:rPr>
        <w:t>Setting</w:t>
      </w:r>
      <w:r>
        <w:rPr>
          <w:color w:val="212121"/>
          <w:spacing w:val="-3"/>
          <w:sz w:val="18"/>
          <w:vertAlign w:val="baseline"/>
        </w:rPr>
        <w:t> </w:t>
      </w:r>
      <w:r>
        <w:rPr>
          <w:color w:val="212121"/>
          <w:sz w:val="18"/>
          <w:vertAlign w:val="baseline"/>
        </w:rPr>
        <w:t>with</w:t>
      </w:r>
      <w:r>
        <w:rPr>
          <w:color w:val="212121"/>
          <w:spacing w:val="-3"/>
          <w:sz w:val="18"/>
          <w:vertAlign w:val="baseline"/>
        </w:rPr>
        <w:t> </w:t>
      </w:r>
      <w:r>
        <w:rPr>
          <w:color w:val="212121"/>
          <w:sz w:val="18"/>
          <w:vertAlign w:val="baseline"/>
        </w:rPr>
        <w:t>Integrated</w:t>
      </w:r>
      <w:r>
        <w:rPr>
          <w:color w:val="212121"/>
          <w:spacing w:val="-3"/>
          <w:sz w:val="18"/>
          <w:vertAlign w:val="baseline"/>
        </w:rPr>
        <w:t> </w:t>
      </w:r>
      <w:r>
        <w:rPr>
          <w:color w:val="212121"/>
          <w:sz w:val="18"/>
          <w:vertAlign w:val="baseline"/>
        </w:rPr>
        <w:t>Gender Affirming Care." </w:t>
      </w:r>
      <w:r>
        <w:rPr>
          <w:i/>
          <w:color w:val="212121"/>
          <w:sz w:val="18"/>
          <w:vertAlign w:val="baseline"/>
        </w:rPr>
        <w:t>Transgender Health </w:t>
      </w:r>
      <w:r>
        <w:rPr>
          <w:color w:val="212121"/>
          <w:sz w:val="18"/>
          <w:vertAlign w:val="baseline"/>
        </w:rPr>
        <w:t>5, no. 2 (2020): 75-79.</w:t>
      </w:r>
    </w:p>
    <w:p>
      <w:pPr>
        <w:spacing w:line="276" w:lineRule="auto" w:before="0"/>
        <w:ind w:left="463" w:right="481" w:firstLine="0"/>
        <w:jc w:val="left"/>
        <w:rPr>
          <w:sz w:val="18"/>
        </w:rPr>
      </w:pPr>
      <w:r>
        <w:rPr>
          <w:sz w:val="18"/>
          <w:vertAlign w:val="superscript"/>
        </w:rPr>
        <w:t>88</w:t>
      </w:r>
      <w:r>
        <w:rPr>
          <w:spacing w:val="-13"/>
          <w:sz w:val="18"/>
          <w:vertAlign w:val="baseline"/>
        </w:rPr>
        <w:t> </w:t>
      </w:r>
      <w:r>
        <w:rPr>
          <w:color w:val="212121"/>
          <w:sz w:val="18"/>
          <w:vertAlign w:val="baseline"/>
        </w:rPr>
        <w:t>Valente,</w:t>
      </w:r>
      <w:r>
        <w:rPr>
          <w:color w:val="212121"/>
          <w:spacing w:val="-5"/>
          <w:sz w:val="18"/>
          <w:vertAlign w:val="baseline"/>
        </w:rPr>
        <w:t> </w:t>
      </w:r>
      <w:r>
        <w:rPr>
          <w:color w:val="212121"/>
          <w:sz w:val="18"/>
          <w:vertAlign w:val="baseline"/>
        </w:rPr>
        <w:t>Pablo</w:t>
      </w:r>
      <w:r>
        <w:rPr>
          <w:color w:val="212121"/>
          <w:spacing w:val="-2"/>
          <w:sz w:val="18"/>
          <w:vertAlign w:val="baseline"/>
        </w:rPr>
        <w:t> </w:t>
      </w:r>
      <w:r>
        <w:rPr>
          <w:color w:val="212121"/>
          <w:sz w:val="18"/>
          <w:vertAlign w:val="baseline"/>
        </w:rPr>
        <w:t>K.,</w:t>
      </w:r>
      <w:r>
        <w:rPr>
          <w:color w:val="212121"/>
          <w:spacing w:val="-3"/>
          <w:sz w:val="18"/>
          <w:vertAlign w:val="baseline"/>
        </w:rPr>
        <w:t> </w:t>
      </w:r>
      <w:r>
        <w:rPr>
          <w:color w:val="212121"/>
          <w:sz w:val="18"/>
          <w:vertAlign w:val="baseline"/>
        </w:rPr>
        <w:t>Jack</w:t>
      </w:r>
      <w:r>
        <w:rPr>
          <w:color w:val="212121"/>
          <w:spacing w:val="-3"/>
          <w:sz w:val="18"/>
          <w:vertAlign w:val="baseline"/>
        </w:rPr>
        <w:t> </w:t>
      </w:r>
      <w:r>
        <w:rPr>
          <w:color w:val="212121"/>
          <w:sz w:val="18"/>
          <w:vertAlign w:val="baseline"/>
        </w:rPr>
        <w:t>C.</w:t>
      </w:r>
      <w:r>
        <w:rPr>
          <w:color w:val="212121"/>
          <w:spacing w:val="-2"/>
          <w:sz w:val="18"/>
          <w:vertAlign w:val="baseline"/>
        </w:rPr>
        <w:t> </w:t>
      </w:r>
      <w:r>
        <w:rPr>
          <w:color w:val="212121"/>
          <w:sz w:val="18"/>
          <w:vertAlign w:val="baseline"/>
        </w:rPr>
        <w:t>Rusley,</w:t>
      </w:r>
      <w:r>
        <w:rPr>
          <w:color w:val="212121"/>
          <w:spacing w:val="-3"/>
          <w:sz w:val="18"/>
          <w:vertAlign w:val="baseline"/>
        </w:rPr>
        <w:t> </w:t>
      </w:r>
      <w:r>
        <w:rPr>
          <w:color w:val="212121"/>
          <w:sz w:val="18"/>
          <w:vertAlign w:val="baseline"/>
        </w:rPr>
        <w:t>Don</w:t>
      </w:r>
      <w:r>
        <w:rPr>
          <w:color w:val="212121"/>
          <w:spacing w:val="-2"/>
          <w:sz w:val="18"/>
          <w:vertAlign w:val="baseline"/>
        </w:rPr>
        <w:t> </w:t>
      </w:r>
      <w:r>
        <w:rPr>
          <w:color w:val="212121"/>
          <w:sz w:val="18"/>
          <w:vertAlign w:val="baseline"/>
        </w:rPr>
        <w:t>Operario,</w:t>
      </w:r>
      <w:r>
        <w:rPr>
          <w:color w:val="212121"/>
          <w:spacing w:val="-2"/>
          <w:sz w:val="18"/>
          <w:vertAlign w:val="baseline"/>
        </w:rPr>
        <w:t> </w:t>
      </w:r>
      <w:r>
        <w:rPr>
          <w:color w:val="212121"/>
          <w:sz w:val="18"/>
          <w:vertAlign w:val="baseline"/>
        </w:rPr>
        <w:t>and</w:t>
      </w:r>
      <w:r>
        <w:rPr>
          <w:color w:val="212121"/>
          <w:spacing w:val="-2"/>
          <w:sz w:val="18"/>
          <w:vertAlign w:val="baseline"/>
        </w:rPr>
        <w:t> </w:t>
      </w:r>
      <w:r>
        <w:rPr>
          <w:color w:val="212121"/>
          <w:sz w:val="18"/>
          <w:vertAlign w:val="baseline"/>
        </w:rPr>
        <w:t>Katie</w:t>
      </w:r>
      <w:r>
        <w:rPr>
          <w:color w:val="212121"/>
          <w:spacing w:val="-2"/>
          <w:sz w:val="18"/>
          <w:vertAlign w:val="baseline"/>
        </w:rPr>
        <w:t> </w:t>
      </w:r>
      <w:r>
        <w:rPr>
          <w:color w:val="212121"/>
          <w:sz w:val="18"/>
          <w:vertAlign w:val="baseline"/>
        </w:rPr>
        <w:t>B.</w:t>
      </w:r>
      <w:r>
        <w:rPr>
          <w:color w:val="212121"/>
          <w:spacing w:val="-3"/>
          <w:sz w:val="18"/>
          <w:vertAlign w:val="baseline"/>
        </w:rPr>
        <w:t> </w:t>
      </w:r>
      <w:r>
        <w:rPr>
          <w:color w:val="212121"/>
          <w:sz w:val="18"/>
          <w:vertAlign w:val="baseline"/>
        </w:rPr>
        <w:t>Biello.</w:t>
      </w:r>
      <w:r>
        <w:rPr>
          <w:color w:val="212121"/>
          <w:spacing w:val="-2"/>
          <w:sz w:val="18"/>
          <w:vertAlign w:val="baseline"/>
        </w:rPr>
        <w:t> </w:t>
      </w:r>
      <w:r>
        <w:rPr>
          <w:color w:val="212121"/>
          <w:sz w:val="18"/>
          <w:vertAlign w:val="baseline"/>
        </w:rPr>
        <w:t>"Readiness</w:t>
      </w:r>
      <w:r>
        <w:rPr>
          <w:color w:val="212121"/>
          <w:spacing w:val="-2"/>
          <w:sz w:val="18"/>
          <w:vertAlign w:val="baseline"/>
        </w:rPr>
        <w:t> </w:t>
      </w:r>
      <w:r>
        <w:rPr>
          <w:color w:val="212121"/>
          <w:sz w:val="18"/>
          <w:vertAlign w:val="baseline"/>
        </w:rPr>
        <w:t>to</w:t>
      </w:r>
      <w:r>
        <w:rPr>
          <w:color w:val="212121"/>
          <w:spacing w:val="-2"/>
          <w:sz w:val="18"/>
          <w:vertAlign w:val="baseline"/>
        </w:rPr>
        <w:t> </w:t>
      </w:r>
      <w:r>
        <w:rPr>
          <w:color w:val="212121"/>
          <w:sz w:val="18"/>
          <w:vertAlign w:val="baseline"/>
        </w:rPr>
        <w:t>Provide</w:t>
      </w:r>
      <w:r>
        <w:rPr>
          <w:color w:val="212121"/>
          <w:spacing w:val="-2"/>
          <w:sz w:val="18"/>
          <w:vertAlign w:val="baseline"/>
        </w:rPr>
        <w:t> </w:t>
      </w:r>
      <w:r>
        <w:rPr>
          <w:color w:val="212121"/>
          <w:sz w:val="18"/>
          <w:vertAlign w:val="baseline"/>
        </w:rPr>
        <w:t>Oral</w:t>
      </w:r>
      <w:r>
        <w:rPr>
          <w:color w:val="212121"/>
          <w:spacing w:val="-3"/>
          <w:sz w:val="18"/>
          <w:vertAlign w:val="baseline"/>
        </w:rPr>
        <w:t> </w:t>
      </w:r>
      <w:r>
        <w:rPr>
          <w:color w:val="212121"/>
          <w:sz w:val="18"/>
          <w:vertAlign w:val="baseline"/>
        </w:rPr>
        <w:t>and</w:t>
      </w:r>
      <w:r>
        <w:rPr>
          <w:color w:val="212121"/>
          <w:spacing w:val="-2"/>
          <w:sz w:val="18"/>
          <w:vertAlign w:val="baseline"/>
        </w:rPr>
        <w:t> </w:t>
      </w:r>
      <w:r>
        <w:rPr>
          <w:color w:val="212121"/>
          <w:sz w:val="18"/>
          <w:vertAlign w:val="baseline"/>
        </w:rPr>
        <w:t>Injectable</w:t>
      </w:r>
      <w:r>
        <w:rPr>
          <w:color w:val="212121"/>
          <w:spacing w:val="-2"/>
          <w:sz w:val="18"/>
          <w:vertAlign w:val="baseline"/>
        </w:rPr>
        <w:t> </w:t>
      </w:r>
      <w:r>
        <w:rPr>
          <w:color w:val="212121"/>
          <w:sz w:val="18"/>
          <w:vertAlign w:val="baseline"/>
        </w:rPr>
        <w:t>PrEP</w:t>
      </w:r>
      <w:r>
        <w:rPr>
          <w:color w:val="212121"/>
          <w:spacing w:val="-2"/>
          <w:sz w:val="18"/>
          <w:vertAlign w:val="baseline"/>
        </w:rPr>
        <w:t> </w:t>
      </w:r>
      <w:r>
        <w:rPr>
          <w:color w:val="212121"/>
          <w:sz w:val="18"/>
          <w:vertAlign w:val="baseline"/>
        </w:rPr>
        <w:t>for Sexual</w:t>
      </w:r>
      <w:r>
        <w:rPr>
          <w:color w:val="212121"/>
          <w:spacing w:val="-1"/>
          <w:sz w:val="18"/>
          <w:vertAlign w:val="baseline"/>
        </w:rPr>
        <w:t> </w:t>
      </w:r>
      <w:r>
        <w:rPr>
          <w:color w:val="212121"/>
          <w:sz w:val="18"/>
          <w:vertAlign w:val="baseline"/>
        </w:rPr>
        <w:t>and</w:t>
      </w:r>
      <w:r>
        <w:rPr>
          <w:color w:val="212121"/>
          <w:spacing w:val="-1"/>
          <w:sz w:val="18"/>
          <w:vertAlign w:val="baseline"/>
        </w:rPr>
        <w:t> </w:t>
      </w:r>
      <w:r>
        <w:rPr>
          <w:color w:val="212121"/>
          <w:sz w:val="18"/>
          <w:vertAlign w:val="baseline"/>
        </w:rPr>
        <w:t>Gender</w:t>
      </w:r>
      <w:r>
        <w:rPr>
          <w:color w:val="212121"/>
          <w:spacing w:val="-1"/>
          <w:sz w:val="18"/>
          <w:vertAlign w:val="baseline"/>
        </w:rPr>
        <w:t> </w:t>
      </w:r>
      <w:r>
        <w:rPr>
          <w:color w:val="212121"/>
          <w:sz w:val="18"/>
          <w:vertAlign w:val="baseline"/>
        </w:rPr>
        <w:t>Minority Youth Among Healthcare Providers and Clinics in the US Northeast." </w:t>
      </w:r>
      <w:r>
        <w:rPr>
          <w:i/>
          <w:color w:val="212121"/>
          <w:sz w:val="18"/>
          <w:vertAlign w:val="baseline"/>
        </w:rPr>
        <w:t>Journal</w:t>
      </w:r>
      <w:r>
        <w:rPr>
          <w:i/>
          <w:color w:val="212121"/>
          <w:spacing w:val="-1"/>
          <w:sz w:val="18"/>
          <w:vertAlign w:val="baseline"/>
        </w:rPr>
        <w:t> </w:t>
      </w:r>
      <w:r>
        <w:rPr>
          <w:i/>
          <w:color w:val="212121"/>
          <w:sz w:val="18"/>
          <w:vertAlign w:val="baseline"/>
        </w:rPr>
        <w:t>of Adolescent</w:t>
      </w:r>
      <w:r>
        <w:rPr>
          <w:i/>
          <w:color w:val="212121"/>
          <w:sz w:val="18"/>
          <w:vertAlign w:val="baseline"/>
        </w:rPr>
        <w:t> Health </w:t>
      </w:r>
      <w:r>
        <w:rPr>
          <w:color w:val="212121"/>
          <w:sz w:val="18"/>
          <w:vertAlign w:val="baseline"/>
        </w:rPr>
        <w:t>(2023). </w:t>
      </w:r>
      <w:r>
        <w:rPr>
          <w:sz w:val="18"/>
          <w:vertAlign w:val="superscript"/>
        </w:rPr>
        <w:t>89</w:t>
      </w:r>
      <w:r>
        <w:rPr>
          <w:spacing w:val="-9"/>
          <w:sz w:val="18"/>
          <w:vertAlign w:val="baseline"/>
        </w:rPr>
        <w:t> </w:t>
      </w:r>
      <w:r>
        <w:rPr>
          <w:sz w:val="18"/>
          <w:vertAlign w:val="baseline"/>
        </w:rPr>
        <w:t>The Trevor Project, “National Survey on LGBTQ Youth Mental Health 2021,” 2021, https:</w:t>
      </w:r>
      <w:hyperlink r:id="rId300">
        <w:r>
          <w:rPr>
            <w:sz w:val="18"/>
            <w:vertAlign w:val="baseline"/>
          </w:rPr>
          <w:t>//www.thetrevorproject.org/survey</w:t>
        </w:r>
      </w:hyperlink>
      <w:r>
        <w:rPr>
          <w:sz w:val="18"/>
          <w:vertAlign w:val="baseline"/>
        </w:rPr>
        <w:t> 2021/?section=Introduction.</w:t>
      </w:r>
    </w:p>
    <w:p>
      <w:pPr>
        <w:spacing w:line="276" w:lineRule="auto" w:before="0"/>
        <w:ind w:left="464" w:right="0" w:hanging="3"/>
        <w:jc w:val="left"/>
        <w:rPr>
          <w:sz w:val="18"/>
        </w:rPr>
      </w:pPr>
      <w:r>
        <w:rPr>
          <w:sz w:val="18"/>
          <w:vertAlign w:val="superscript"/>
        </w:rPr>
        <w:t>90</w:t>
      </w:r>
      <w:r>
        <w:rPr>
          <w:spacing w:val="-13"/>
          <w:sz w:val="18"/>
          <w:vertAlign w:val="baseline"/>
        </w:rPr>
        <w:t> </w:t>
      </w:r>
      <w:r>
        <w:rPr>
          <w:sz w:val="18"/>
          <w:vertAlign w:val="baseline"/>
        </w:rPr>
        <w:t>Andraska,</w:t>
      </w:r>
      <w:r>
        <w:rPr>
          <w:spacing w:val="-5"/>
          <w:sz w:val="18"/>
          <w:vertAlign w:val="baseline"/>
        </w:rPr>
        <w:t> </w:t>
      </w:r>
      <w:r>
        <w:rPr>
          <w:sz w:val="18"/>
          <w:vertAlign w:val="baseline"/>
        </w:rPr>
        <w:t>Elizabeth</w:t>
      </w:r>
      <w:r>
        <w:rPr>
          <w:spacing w:val="-3"/>
          <w:sz w:val="18"/>
          <w:vertAlign w:val="baseline"/>
        </w:rPr>
        <w:t> </w:t>
      </w:r>
      <w:r>
        <w:rPr>
          <w:sz w:val="18"/>
          <w:vertAlign w:val="baseline"/>
        </w:rPr>
        <w:t>Ann,</w:t>
      </w:r>
      <w:r>
        <w:rPr>
          <w:spacing w:val="-4"/>
          <w:sz w:val="18"/>
          <w:vertAlign w:val="baseline"/>
        </w:rPr>
        <w:t> </w:t>
      </w:r>
      <w:r>
        <w:rPr>
          <w:sz w:val="18"/>
          <w:vertAlign w:val="baseline"/>
        </w:rPr>
        <w:t>Olamide</w:t>
      </w:r>
      <w:r>
        <w:rPr>
          <w:spacing w:val="-3"/>
          <w:sz w:val="18"/>
          <w:vertAlign w:val="baseline"/>
        </w:rPr>
        <w:t> </w:t>
      </w:r>
      <w:r>
        <w:rPr>
          <w:sz w:val="18"/>
          <w:vertAlign w:val="baseline"/>
        </w:rPr>
        <w:t>Alabi,</w:t>
      </w:r>
      <w:r>
        <w:rPr>
          <w:spacing w:val="-4"/>
          <w:sz w:val="18"/>
          <w:vertAlign w:val="baseline"/>
        </w:rPr>
        <w:t> </w:t>
      </w:r>
      <w:r>
        <w:rPr>
          <w:sz w:val="18"/>
          <w:vertAlign w:val="baseline"/>
        </w:rPr>
        <w:t>Chelsea</w:t>
      </w:r>
      <w:r>
        <w:rPr>
          <w:spacing w:val="-3"/>
          <w:sz w:val="18"/>
          <w:vertAlign w:val="baseline"/>
        </w:rPr>
        <w:t> </w:t>
      </w:r>
      <w:r>
        <w:rPr>
          <w:sz w:val="18"/>
          <w:vertAlign w:val="baseline"/>
        </w:rPr>
        <w:t>Dorsey,</w:t>
      </w:r>
      <w:r>
        <w:rPr>
          <w:spacing w:val="-4"/>
          <w:sz w:val="18"/>
          <w:vertAlign w:val="baseline"/>
        </w:rPr>
        <w:t> </w:t>
      </w:r>
      <w:r>
        <w:rPr>
          <w:sz w:val="18"/>
          <w:vertAlign w:val="baseline"/>
        </w:rPr>
        <w:t>Young</w:t>
      </w:r>
      <w:r>
        <w:rPr>
          <w:spacing w:val="-3"/>
          <w:sz w:val="18"/>
          <w:vertAlign w:val="baseline"/>
        </w:rPr>
        <w:t> </w:t>
      </w:r>
      <w:r>
        <w:rPr>
          <w:sz w:val="18"/>
          <w:vertAlign w:val="baseline"/>
        </w:rPr>
        <w:t>Erben,</w:t>
      </w:r>
      <w:r>
        <w:rPr>
          <w:spacing w:val="-4"/>
          <w:sz w:val="18"/>
          <w:vertAlign w:val="baseline"/>
        </w:rPr>
        <w:t> </w:t>
      </w:r>
      <w:r>
        <w:rPr>
          <w:sz w:val="18"/>
          <w:vertAlign w:val="baseline"/>
        </w:rPr>
        <w:t>Gabriela</w:t>
      </w:r>
      <w:r>
        <w:rPr>
          <w:spacing w:val="-3"/>
          <w:sz w:val="18"/>
          <w:vertAlign w:val="baseline"/>
        </w:rPr>
        <w:t> </w:t>
      </w:r>
      <w:r>
        <w:rPr>
          <w:sz w:val="18"/>
          <w:vertAlign w:val="baseline"/>
        </w:rPr>
        <w:t>Velazquez,</w:t>
      </w:r>
      <w:r>
        <w:rPr>
          <w:spacing w:val="-4"/>
          <w:sz w:val="18"/>
          <w:vertAlign w:val="baseline"/>
        </w:rPr>
        <w:t> </w:t>
      </w:r>
      <w:r>
        <w:rPr>
          <w:sz w:val="18"/>
          <w:vertAlign w:val="baseline"/>
        </w:rPr>
        <w:t>Camila</w:t>
      </w:r>
      <w:r>
        <w:rPr>
          <w:spacing w:val="-3"/>
          <w:sz w:val="18"/>
          <w:vertAlign w:val="baseline"/>
        </w:rPr>
        <w:t> </w:t>
      </w:r>
      <w:r>
        <w:rPr>
          <w:sz w:val="18"/>
          <w:vertAlign w:val="baseline"/>
        </w:rPr>
        <w:t>Franco-Mesa,</w:t>
      </w:r>
      <w:r>
        <w:rPr>
          <w:spacing w:val="-4"/>
          <w:sz w:val="18"/>
          <w:vertAlign w:val="baseline"/>
        </w:rPr>
        <w:t> </w:t>
      </w:r>
      <w:r>
        <w:rPr>
          <w:sz w:val="18"/>
          <w:vertAlign w:val="baseline"/>
        </w:rPr>
        <w:t>and</w:t>
      </w:r>
      <w:r>
        <w:rPr>
          <w:spacing w:val="-3"/>
          <w:sz w:val="18"/>
          <w:vertAlign w:val="baseline"/>
        </w:rPr>
        <w:t> </w:t>
      </w:r>
      <w:r>
        <w:rPr>
          <w:sz w:val="18"/>
          <w:vertAlign w:val="baseline"/>
        </w:rPr>
        <w:t>Ulka Sachdev. 2021. “Health Care Disparities during the COVID-19 Pandemic.” Seminars in Vascular Surgery 34 (3). </w:t>
      </w:r>
      <w:r>
        <w:rPr>
          <w:spacing w:val="-2"/>
          <w:sz w:val="18"/>
          <w:vertAlign w:val="baseline"/>
        </w:rPr>
        <w:t>https://doi.org/10.1053/j.semvascsurg.2021.08.002.</w:t>
      </w:r>
    </w:p>
    <w:p>
      <w:pPr>
        <w:spacing w:line="276" w:lineRule="auto" w:before="0"/>
        <w:ind w:left="464" w:right="481" w:hanging="3"/>
        <w:jc w:val="left"/>
        <w:rPr>
          <w:sz w:val="18"/>
        </w:rPr>
      </w:pPr>
      <w:r>
        <w:rPr>
          <w:sz w:val="18"/>
          <w:vertAlign w:val="superscript"/>
        </w:rPr>
        <w:t>91</w:t>
      </w:r>
      <w:r>
        <w:rPr>
          <w:spacing w:val="-13"/>
          <w:sz w:val="18"/>
          <w:vertAlign w:val="baseline"/>
        </w:rPr>
        <w:t> </w:t>
      </w:r>
      <w:r>
        <w:rPr>
          <w:sz w:val="18"/>
          <w:vertAlign w:val="baseline"/>
        </w:rPr>
        <w:t>Cameron</w:t>
      </w:r>
      <w:r>
        <w:rPr>
          <w:spacing w:val="-4"/>
          <w:sz w:val="18"/>
          <w:vertAlign w:val="baseline"/>
        </w:rPr>
        <w:t> </w:t>
      </w:r>
      <w:r>
        <w:rPr>
          <w:sz w:val="18"/>
          <w:vertAlign w:val="baseline"/>
        </w:rPr>
        <w:t>K.</w:t>
      </w:r>
      <w:r>
        <w:rPr>
          <w:spacing w:val="-3"/>
          <w:sz w:val="18"/>
          <w:vertAlign w:val="baseline"/>
        </w:rPr>
        <w:t> </w:t>
      </w:r>
      <w:r>
        <w:rPr>
          <w:sz w:val="18"/>
          <w:vertAlign w:val="baseline"/>
        </w:rPr>
        <w:t>Ormiston</w:t>
      </w:r>
      <w:r>
        <w:rPr>
          <w:spacing w:val="-3"/>
          <w:sz w:val="18"/>
          <w:vertAlign w:val="baseline"/>
        </w:rPr>
        <w:t> </w:t>
      </w:r>
      <w:r>
        <w:rPr>
          <w:sz w:val="18"/>
          <w:vertAlign w:val="baseline"/>
        </w:rPr>
        <w:t>and</w:t>
      </w:r>
      <w:r>
        <w:rPr>
          <w:spacing w:val="-3"/>
          <w:sz w:val="18"/>
          <w:vertAlign w:val="baseline"/>
        </w:rPr>
        <w:t> </w:t>
      </w:r>
      <w:r>
        <w:rPr>
          <w:sz w:val="18"/>
          <w:vertAlign w:val="baseline"/>
        </w:rPr>
        <w:t>Faustine</w:t>
      </w:r>
      <w:r>
        <w:rPr>
          <w:spacing w:val="-3"/>
          <w:sz w:val="18"/>
          <w:vertAlign w:val="baseline"/>
        </w:rPr>
        <w:t> </w:t>
      </w:r>
      <w:r>
        <w:rPr>
          <w:sz w:val="18"/>
          <w:vertAlign w:val="baseline"/>
        </w:rPr>
        <w:t>Williams,</w:t>
      </w:r>
      <w:r>
        <w:rPr>
          <w:spacing w:val="-4"/>
          <w:sz w:val="18"/>
          <w:vertAlign w:val="baseline"/>
        </w:rPr>
        <w:t> </w:t>
      </w:r>
      <w:r>
        <w:rPr>
          <w:sz w:val="18"/>
          <w:vertAlign w:val="baseline"/>
        </w:rPr>
        <w:t>“LGBTQ</w:t>
      </w:r>
      <w:r>
        <w:rPr>
          <w:spacing w:val="-3"/>
          <w:sz w:val="18"/>
          <w:vertAlign w:val="baseline"/>
        </w:rPr>
        <w:t> </w:t>
      </w:r>
      <w:r>
        <w:rPr>
          <w:sz w:val="18"/>
          <w:vertAlign w:val="baseline"/>
        </w:rPr>
        <w:t>Youth</w:t>
      </w:r>
      <w:r>
        <w:rPr>
          <w:spacing w:val="-3"/>
          <w:sz w:val="18"/>
          <w:vertAlign w:val="baseline"/>
        </w:rPr>
        <w:t> </w:t>
      </w:r>
      <w:r>
        <w:rPr>
          <w:sz w:val="18"/>
          <w:vertAlign w:val="baseline"/>
        </w:rPr>
        <w:t>Mental</w:t>
      </w:r>
      <w:r>
        <w:rPr>
          <w:spacing w:val="-4"/>
          <w:sz w:val="18"/>
          <w:vertAlign w:val="baseline"/>
        </w:rPr>
        <w:t> </w:t>
      </w:r>
      <w:r>
        <w:rPr>
          <w:sz w:val="18"/>
          <w:vertAlign w:val="baseline"/>
        </w:rPr>
        <w:t>Health</w:t>
      </w:r>
      <w:r>
        <w:rPr>
          <w:spacing w:val="-3"/>
          <w:sz w:val="18"/>
          <w:vertAlign w:val="baseline"/>
        </w:rPr>
        <w:t> </w:t>
      </w:r>
      <w:r>
        <w:rPr>
          <w:sz w:val="18"/>
          <w:vertAlign w:val="baseline"/>
        </w:rPr>
        <w:t>during</w:t>
      </w:r>
      <w:r>
        <w:rPr>
          <w:spacing w:val="-3"/>
          <w:sz w:val="18"/>
          <w:vertAlign w:val="baseline"/>
        </w:rPr>
        <w:t> </w:t>
      </w:r>
      <w:r>
        <w:rPr>
          <w:sz w:val="18"/>
          <w:vertAlign w:val="baseline"/>
        </w:rPr>
        <w:t>COVID-19:</w:t>
      </w:r>
      <w:r>
        <w:rPr>
          <w:spacing w:val="-3"/>
          <w:sz w:val="18"/>
          <w:vertAlign w:val="baseline"/>
        </w:rPr>
        <w:t> </w:t>
      </w:r>
      <w:r>
        <w:rPr>
          <w:sz w:val="18"/>
          <w:vertAlign w:val="baseline"/>
        </w:rPr>
        <w:t>Unmet</w:t>
      </w:r>
      <w:r>
        <w:rPr>
          <w:spacing w:val="-4"/>
          <w:sz w:val="18"/>
          <w:vertAlign w:val="baseline"/>
        </w:rPr>
        <w:t> </w:t>
      </w:r>
      <w:r>
        <w:rPr>
          <w:sz w:val="18"/>
          <w:vertAlign w:val="baseline"/>
        </w:rPr>
        <w:t>Needs</w:t>
      </w:r>
      <w:r>
        <w:rPr>
          <w:spacing w:val="-3"/>
          <w:sz w:val="18"/>
          <w:vertAlign w:val="baseline"/>
        </w:rPr>
        <w:t> </w:t>
      </w:r>
      <w:r>
        <w:rPr>
          <w:sz w:val="18"/>
          <w:vertAlign w:val="baseline"/>
        </w:rPr>
        <w:t>in</w:t>
      </w:r>
      <w:r>
        <w:rPr>
          <w:spacing w:val="-4"/>
          <w:sz w:val="18"/>
          <w:vertAlign w:val="baseline"/>
        </w:rPr>
        <w:t> </w:t>
      </w:r>
      <w:r>
        <w:rPr>
          <w:sz w:val="18"/>
          <w:vertAlign w:val="baseline"/>
        </w:rPr>
        <w:t>Public health and Policy,” The Lancet 399 (2022): 501-503. https://doi.org/10.1016/S0140-6736(21)02872-5.</w:t>
      </w:r>
    </w:p>
    <w:p>
      <w:pPr>
        <w:spacing w:line="276" w:lineRule="auto" w:before="0"/>
        <w:ind w:left="464" w:right="0" w:hanging="4"/>
        <w:jc w:val="left"/>
        <w:rPr>
          <w:sz w:val="18"/>
        </w:rPr>
      </w:pPr>
      <w:r>
        <w:rPr>
          <w:sz w:val="18"/>
          <w:vertAlign w:val="superscript"/>
        </w:rPr>
        <w:t>92</w:t>
      </w:r>
      <w:r>
        <w:rPr>
          <w:spacing w:val="-13"/>
          <w:sz w:val="18"/>
          <w:vertAlign w:val="baseline"/>
        </w:rPr>
        <w:t> </w:t>
      </w:r>
      <w:r>
        <w:rPr>
          <w:sz w:val="18"/>
          <w:vertAlign w:val="baseline"/>
        </w:rPr>
        <w:t>“LGBTQ</w:t>
      </w:r>
      <w:r>
        <w:rPr>
          <w:spacing w:val="-8"/>
          <w:sz w:val="18"/>
          <w:vertAlign w:val="baseline"/>
        </w:rPr>
        <w:t> </w:t>
      </w:r>
      <w:r>
        <w:rPr>
          <w:sz w:val="18"/>
          <w:vertAlign w:val="baseline"/>
        </w:rPr>
        <w:t>Health</w:t>
      </w:r>
      <w:r>
        <w:rPr>
          <w:spacing w:val="-5"/>
          <w:sz w:val="18"/>
          <w:vertAlign w:val="baseline"/>
        </w:rPr>
        <w:t> </w:t>
      </w:r>
      <w:r>
        <w:rPr>
          <w:sz w:val="18"/>
          <w:vertAlign w:val="baseline"/>
        </w:rPr>
        <w:t>Disparities,”</w:t>
      </w:r>
      <w:r>
        <w:rPr>
          <w:spacing w:val="-5"/>
          <w:sz w:val="18"/>
          <w:vertAlign w:val="baseline"/>
        </w:rPr>
        <w:t> </w:t>
      </w:r>
      <w:r>
        <w:rPr>
          <w:sz w:val="18"/>
          <w:vertAlign w:val="baseline"/>
        </w:rPr>
        <w:t>Cigna,</w:t>
      </w:r>
      <w:r>
        <w:rPr>
          <w:spacing w:val="-6"/>
          <w:sz w:val="18"/>
          <w:vertAlign w:val="baseline"/>
        </w:rPr>
        <w:t> </w:t>
      </w:r>
      <w:r>
        <w:rPr>
          <w:sz w:val="18"/>
          <w:vertAlign w:val="baseline"/>
        </w:rPr>
        <w:t>February</w:t>
      </w:r>
      <w:r>
        <w:rPr>
          <w:spacing w:val="-5"/>
          <w:sz w:val="18"/>
          <w:vertAlign w:val="baseline"/>
        </w:rPr>
        <w:t> </w:t>
      </w:r>
      <w:r>
        <w:rPr>
          <w:sz w:val="18"/>
          <w:vertAlign w:val="baseline"/>
        </w:rPr>
        <w:t>2017,</w:t>
      </w:r>
      <w:r>
        <w:rPr>
          <w:spacing w:val="-6"/>
          <w:sz w:val="18"/>
          <w:vertAlign w:val="baseline"/>
        </w:rPr>
        <w:t> </w:t>
      </w:r>
      <w:r>
        <w:rPr>
          <w:sz w:val="18"/>
          <w:vertAlign w:val="baseline"/>
        </w:rPr>
        <w:t>https://</w:t>
      </w:r>
      <w:hyperlink r:id="rId301">
        <w:r>
          <w:rPr>
            <w:color w:val="0000FF"/>
            <w:sz w:val="18"/>
            <w:u w:val="single" w:color="0000FF"/>
            <w:vertAlign w:val="baseline"/>
          </w:rPr>
          <w:t>www.cigna.com/individuals-families/health-</w:t>
        </w:r>
        <w:r>
          <w:rPr>
            <w:color w:val="0000FF"/>
            <w:spacing w:val="-5"/>
            <w:sz w:val="18"/>
            <w:u w:val="single" w:color="0000FF"/>
            <w:vertAlign w:val="baseline"/>
          </w:rPr>
          <w:t> </w:t>
        </w:r>
        <w:r>
          <w:rPr>
            <w:sz w:val="18"/>
            <w:u w:val="none"/>
            <w:vertAlign w:val="baseline"/>
          </w:rPr>
          <w:t>wellness/lgbt</w:t>
        </w:r>
      </w:hyperlink>
      <w:r>
        <w:rPr>
          <w:sz w:val="18"/>
          <w:u w:val="none"/>
          <w:vertAlign w:val="baseline"/>
        </w:rPr>
        <w:t> </w:t>
      </w:r>
      <w:r>
        <w:rPr>
          <w:spacing w:val="-2"/>
          <w:sz w:val="18"/>
          <w:u w:val="none"/>
          <w:vertAlign w:val="baseline"/>
        </w:rPr>
        <w:t>disparities.</w:t>
      </w:r>
    </w:p>
    <w:p>
      <w:pPr>
        <w:spacing w:line="276" w:lineRule="auto" w:before="0"/>
        <w:ind w:left="464" w:right="382" w:hanging="4"/>
        <w:jc w:val="left"/>
        <w:rPr>
          <w:sz w:val="18"/>
        </w:rPr>
      </w:pPr>
      <w:r>
        <w:rPr>
          <w:sz w:val="18"/>
          <w:vertAlign w:val="superscript"/>
        </w:rPr>
        <w:t>93</w:t>
      </w:r>
      <w:r>
        <w:rPr>
          <w:spacing w:val="-7"/>
          <w:sz w:val="18"/>
          <w:vertAlign w:val="baseline"/>
        </w:rPr>
        <w:t> </w:t>
      </w:r>
      <w:r>
        <w:rPr>
          <w:sz w:val="18"/>
          <w:vertAlign w:val="baseline"/>
        </w:rPr>
        <w:t>“People with Certain Medical Conditions,” Center for Disease Control and Prevention, April 29, 2021, https://</w:t>
      </w:r>
      <w:hyperlink r:id="rId302">
        <w:r>
          <w:rPr>
            <w:color w:val="0000FF"/>
            <w:sz w:val="18"/>
            <w:u w:val="single" w:color="0000FF"/>
            <w:vertAlign w:val="baseline"/>
          </w:rPr>
          <w:t>www.cdc.gov/coronavirus/2019-ncov/need-extra-precautions/people-with-medical-conditions.html. </w:t>
        </w:r>
        <w:r>
          <w:rPr>
            <w:sz w:val="18"/>
            <w:u w:val="none"/>
            <w:vertAlign w:val="superscript"/>
          </w:rPr>
          <w:t>94</w:t>
        </w:r>
      </w:hyperlink>
      <w:r>
        <w:rPr>
          <w:sz w:val="18"/>
          <w:u w:val="none"/>
          <w:vertAlign w:val="baseline"/>
        </w:rPr>
        <w:t> M.V. Lee Badgett,</w:t>
      </w:r>
      <w:r>
        <w:rPr>
          <w:spacing w:val="-3"/>
          <w:sz w:val="18"/>
          <w:u w:val="none"/>
          <w:vertAlign w:val="baseline"/>
        </w:rPr>
        <w:t> </w:t>
      </w:r>
      <w:r>
        <w:rPr>
          <w:sz w:val="18"/>
          <w:u w:val="none"/>
          <w:vertAlign w:val="baseline"/>
        </w:rPr>
        <w:t>Soon</w:t>
      </w:r>
      <w:r>
        <w:rPr>
          <w:spacing w:val="-2"/>
          <w:sz w:val="18"/>
          <w:u w:val="none"/>
          <w:vertAlign w:val="baseline"/>
        </w:rPr>
        <w:t> </w:t>
      </w:r>
      <w:r>
        <w:rPr>
          <w:sz w:val="18"/>
          <w:u w:val="none"/>
          <w:vertAlign w:val="baseline"/>
        </w:rPr>
        <w:t>Kyu</w:t>
      </w:r>
      <w:r>
        <w:rPr>
          <w:spacing w:val="-2"/>
          <w:sz w:val="18"/>
          <w:u w:val="none"/>
          <w:vertAlign w:val="baseline"/>
        </w:rPr>
        <w:t> </w:t>
      </w:r>
      <w:r>
        <w:rPr>
          <w:sz w:val="18"/>
          <w:u w:val="none"/>
          <w:vertAlign w:val="baseline"/>
        </w:rPr>
        <w:t>Choi,</w:t>
      </w:r>
      <w:r>
        <w:rPr>
          <w:spacing w:val="-3"/>
          <w:sz w:val="18"/>
          <w:u w:val="none"/>
          <w:vertAlign w:val="baseline"/>
        </w:rPr>
        <w:t> </w:t>
      </w:r>
      <w:r>
        <w:rPr>
          <w:sz w:val="18"/>
          <w:u w:val="none"/>
          <w:vertAlign w:val="baseline"/>
        </w:rPr>
        <w:t>and</w:t>
      </w:r>
      <w:r>
        <w:rPr>
          <w:spacing w:val="-2"/>
          <w:sz w:val="18"/>
          <w:u w:val="none"/>
          <w:vertAlign w:val="baseline"/>
        </w:rPr>
        <w:t> </w:t>
      </w:r>
      <w:r>
        <w:rPr>
          <w:sz w:val="18"/>
          <w:u w:val="none"/>
          <w:vertAlign w:val="baseline"/>
        </w:rPr>
        <w:t>Bianca</w:t>
      </w:r>
      <w:r>
        <w:rPr>
          <w:spacing w:val="-2"/>
          <w:sz w:val="18"/>
          <w:u w:val="none"/>
          <w:vertAlign w:val="baseline"/>
        </w:rPr>
        <w:t> </w:t>
      </w:r>
      <w:r>
        <w:rPr>
          <w:sz w:val="18"/>
          <w:u w:val="none"/>
          <w:vertAlign w:val="baseline"/>
        </w:rPr>
        <w:t>D.M.</w:t>
      </w:r>
      <w:r>
        <w:rPr>
          <w:spacing w:val="-2"/>
          <w:sz w:val="18"/>
          <w:u w:val="none"/>
          <w:vertAlign w:val="baseline"/>
        </w:rPr>
        <w:t> </w:t>
      </w:r>
      <w:r>
        <w:rPr>
          <w:sz w:val="18"/>
          <w:u w:val="none"/>
          <w:vertAlign w:val="baseline"/>
        </w:rPr>
        <w:t>Wilson,</w:t>
      </w:r>
      <w:r>
        <w:rPr>
          <w:spacing w:val="-3"/>
          <w:sz w:val="18"/>
          <w:u w:val="none"/>
          <w:vertAlign w:val="baseline"/>
        </w:rPr>
        <w:t> </w:t>
      </w:r>
      <w:r>
        <w:rPr>
          <w:i/>
          <w:sz w:val="18"/>
          <w:u w:val="none"/>
          <w:vertAlign w:val="baseline"/>
        </w:rPr>
        <w:t>LGBT</w:t>
      </w:r>
      <w:r>
        <w:rPr>
          <w:i/>
          <w:spacing w:val="-2"/>
          <w:sz w:val="18"/>
          <w:u w:val="none"/>
          <w:vertAlign w:val="baseline"/>
        </w:rPr>
        <w:t> </w:t>
      </w:r>
      <w:r>
        <w:rPr>
          <w:i/>
          <w:sz w:val="18"/>
          <w:u w:val="none"/>
          <w:vertAlign w:val="baseline"/>
        </w:rPr>
        <w:t>Poverty</w:t>
      </w:r>
      <w:r>
        <w:rPr>
          <w:i/>
          <w:spacing w:val="-2"/>
          <w:sz w:val="18"/>
          <w:u w:val="none"/>
          <w:vertAlign w:val="baseline"/>
        </w:rPr>
        <w:t> </w:t>
      </w:r>
      <w:r>
        <w:rPr>
          <w:i/>
          <w:sz w:val="18"/>
          <w:u w:val="none"/>
          <w:vertAlign w:val="baseline"/>
        </w:rPr>
        <w:t>in</w:t>
      </w:r>
      <w:r>
        <w:rPr>
          <w:i/>
          <w:spacing w:val="-3"/>
          <w:sz w:val="18"/>
          <w:u w:val="none"/>
          <w:vertAlign w:val="baseline"/>
        </w:rPr>
        <w:t> </w:t>
      </w:r>
      <w:r>
        <w:rPr>
          <w:i/>
          <w:sz w:val="18"/>
          <w:u w:val="none"/>
          <w:vertAlign w:val="baseline"/>
        </w:rPr>
        <w:t>the</w:t>
      </w:r>
      <w:r>
        <w:rPr>
          <w:i/>
          <w:spacing w:val="-2"/>
          <w:sz w:val="18"/>
          <w:u w:val="none"/>
          <w:vertAlign w:val="baseline"/>
        </w:rPr>
        <w:t> </w:t>
      </w:r>
      <w:r>
        <w:rPr>
          <w:i/>
          <w:sz w:val="18"/>
          <w:u w:val="none"/>
          <w:vertAlign w:val="baseline"/>
        </w:rPr>
        <w:t>United</w:t>
      </w:r>
      <w:r>
        <w:rPr>
          <w:i/>
          <w:spacing w:val="-3"/>
          <w:sz w:val="18"/>
          <w:u w:val="none"/>
          <w:vertAlign w:val="baseline"/>
        </w:rPr>
        <w:t> </w:t>
      </w:r>
      <w:r>
        <w:rPr>
          <w:i/>
          <w:sz w:val="18"/>
          <w:u w:val="none"/>
          <w:vertAlign w:val="baseline"/>
        </w:rPr>
        <w:t>States:</w:t>
      </w:r>
      <w:r>
        <w:rPr>
          <w:i/>
          <w:spacing w:val="-2"/>
          <w:sz w:val="18"/>
          <w:u w:val="none"/>
          <w:vertAlign w:val="baseline"/>
        </w:rPr>
        <w:t> </w:t>
      </w:r>
      <w:r>
        <w:rPr>
          <w:i/>
          <w:sz w:val="18"/>
          <w:u w:val="none"/>
          <w:vertAlign w:val="baseline"/>
        </w:rPr>
        <w:t>A</w:t>
      </w:r>
      <w:r>
        <w:rPr>
          <w:i/>
          <w:spacing w:val="-2"/>
          <w:sz w:val="18"/>
          <w:u w:val="none"/>
          <w:vertAlign w:val="baseline"/>
        </w:rPr>
        <w:t> </w:t>
      </w:r>
      <w:r>
        <w:rPr>
          <w:i/>
          <w:sz w:val="18"/>
          <w:u w:val="none"/>
          <w:vertAlign w:val="baseline"/>
        </w:rPr>
        <w:t>Study</w:t>
      </w:r>
      <w:r>
        <w:rPr>
          <w:i/>
          <w:spacing w:val="-2"/>
          <w:sz w:val="18"/>
          <w:u w:val="none"/>
          <w:vertAlign w:val="baseline"/>
        </w:rPr>
        <w:t> </w:t>
      </w:r>
      <w:r>
        <w:rPr>
          <w:i/>
          <w:sz w:val="18"/>
          <w:u w:val="none"/>
          <w:vertAlign w:val="baseline"/>
        </w:rPr>
        <w:t>of</w:t>
      </w:r>
      <w:r>
        <w:rPr>
          <w:i/>
          <w:spacing w:val="-2"/>
          <w:sz w:val="18"/>
          <w:u w:val="none"/>
          <w:vertAlign w:val="baseline"/>
        </w:rPr>
        <w:t> </w:t>
      </w:r>
      <w:r>
        <w:rPr>
          <w:i/>
          <w:sz w:val="18"/>
          <w:u w:val="none"/>
          <w:vertAlign w:val="baseline"/>
        </w:rPr>
        <w:t>Differences</w:t>
      </w:r>
      <w:r>
        <w:rPr>
          <w:i/>
          <w:spacing w:val="-3"/>
          <w:sz w:val="18"/>
          <w:u w:val="none"/>
          <w:vertAlign w:val="baseline"/>
        </w:rPr>
        <w:t> </w:t>
      </w:r>
      <w:r>
        <w:rPr>
          <w:i/>
          <w:sz w:val="18"/>
          <w:u w:val="none"/>
          <w:vertAlign w:val="baseline"/>
        </w:rPr>
        <w:t>between</w:t>
      </w:r>
      <w:r>
        <w:rPr>
          <w:i/>
          <w:spacing w:val="-3"/>
          <w:sz w:val="18"/>
          <w:u w:val="none"/>
          <w:vertAlign w:val="baseline"/>
        </w:rPr>
        <w:t> </w:t>
      </w:r>
      <w:r>
        <w:rPr>
          <w:i/>
          <w:sz w:val="18"/>
          <w:u w:val="none"/>
          <w:vertAlign w:val="baseline"/>
        </w:rPr>
        <w:t>Sexual</w:t>
      </w:r>
      <w:r>
        <w:rPr>
          <w:i/>
          <w:sz w:val="18"/>
          <w:u w:val="none"/>
          <w:vertAlign w:val="baseline"/>
        </w:rPr>
        <w:t> Orientation and Gender Identify Groups </w:t>
      </w:r>
      <w:r>
        <w:rPr>
          <w:sz w:val="18"/>
          <w:u w:val="none"/>
          <w:vertAlign w:val="baseline"/>
        </w:rPr>
        <w:t>(Los Angeles: Williams Institute at UCLA School of Law, 2019), </w:t>
      </w:r>
      <w:r>
        <w:rPr>
          <w:color w:val="0000FF"/>
          <w:spacing w:val="-2"/>
          <w:sz w:val="18"/>
          <w:u w:val="single" w:color="0000FF"/>
          <w:vertAlign w:val="baseline"/>
        </w:rPr>
        <w:t>https://williamsinstitute.law.ucla.edu/wp-content/uploads/National-LGBT-Poverty-Oct-2019.pdf</w:t>
      </w:r>
      <w:r>
        <w:rPr>
          <w:spacing w:val="-2"/>
          <w:sz w:val="18"/>
          <w:u w:val="none"/>
          <w:vertAlign w:val="baseline"/>
        </w:rPr>
        <w:t>.</w:t>
      </w:r>
    </w:p>
    <w:p>
      <w:pPr>
        <w:spacing w:after="0" w:line="276" w:lineRule="auto"/>
        <w:jc w:val="left"/>
        <w:rPr>
          <w:sz w:val="18"/>
        </w:rPr>
        <w:sectPr>
          <w:pgSz w:w="12240" w:h="15840"/>
          <w:pgMar w:header="721" w:footer="1061" w:top="1360" w:bottom="1260" w:left="1120" w:right="1340"/>
        </w:sectPr>
      </w:pPr>
    </w:p>
    <w:p>
      <w:pPr>
        <w:pStyle w:val="BodyText"/>
        <w:rPr>
          <w:sz w:val="34"/>
        </w:rPr>
      </w:pPr>
    </w:p>
    <w:p>
      <w:pPr>
        <w:pStyle w:val="BodyText"/>
        <w:spacing w:before="243"/>
        <w:rPr>
          <w:sz w:val="34"/>
        </w:rPr>
      </w:pPr>
    </w:p>
    <w:p>
      <w:pPr>
        <w:spacing w:line="359" w:lineRule="exact" w:before="1"/>
        <w:ind w:left="494" w:right="0" w:firstLine="0"/>
        <w:jc w:val="left"/>
        <w:rPr>
          <w:sz w:val="34"/>
        </w:rPr>
      </w:pPr>
      <w:r>
        <w:rPr>
          <w:color w:val="FFFFFF"/>
          <w:w w:val="120"/>
          <w:sz w:val="34"/>
        </w:rPr>
        <w:t>COMMISSION</w:t>
      </w:r>
      <w:r>
        <w:rPr>
          <w:color w:val="FFFFFF"/>
          <w:spacing w:val="17"/>
          <w:w w:val="120"/>
          <w:sz w:val="34"/>
        </w:rPr>
        <w:t> </w:t>
      </w:r>
      <w:r>
        <w:rPr>
          <w:color w:val="FFFFFF"/>
          <w:w w:val="120"/>
          <w:sz w:val="34"/>
        </w:rPr>
        <w:t>ON</w:t>
      </w:r>
      <w:r>
        <w:rPr>
          <w:color w:val="FFFFFF"/>
          <w:spacing w:val="17"/>
          <w:w w:val="120"/>
          <w:sz w:val="34"/>
        </w:rPr>
        <w:t> </w:t>
      </w:r>
      <w:r>
        <w:rPr>
          <w:color w:val="FFFFFF"/>
          <w:w w:val="120"/>
          <w:sz w:val="34"/>
        </w:rPr>
        <w:t>LGBTQ</w:t>
      </w:r>
      <w:r>
        <w:rPr>
          <w:color w:val="FFFFFF"/>
          <w:spacing w:val="17"/>
          <w:w w:val="120"/>
          <w:sz w:val="34"/>
        </w:rPr>
        <w:t> </w:t>
      </w:r>
      <w:r>
        <w:rPr>
          <w:color w:val="FFFFFF"/>
          <w:spacing w:val="-2"/>
          <w:w w:val="120"/>
          <w:sz w:val="34"/>
        </w:rPr>
        <w:t>YOUTH</w:t>
      </w:r>
    </w:p>
    <w:p>
      <w:pPr>
        <w:pStyle w:val="Heading1"/>
        <w:spacing w:line="187" w:lineRule="auto"/>
        <w:ind w:right="2207"/>
      </w:pPr>
      <w:r>
        <w:rPr>
          <w:color w:val="FFFFFF"/>
          <w:spacing w:val="-2"/>
          <w:w w:val="90"/>
        </w:rPr>
        <w:t>PEDIATRIC </w:t>
      </w:r>
      <w:r>
        <w:rPr>
          <w:color w:val="FFFFFF"/>
          <w:spacing w:val="-28"/>
        </w:rPr>
        <w:t>HEALTH</w:t>
      </w:r>
    </w:p>
    <w:p>
      <w:pPr>
        <w:pStyle w:val="BodyText"/>
        <w:rPr>
          <w:rFonts w:ascii="Arial Black"/>
          <w:sz w:val="20"/>
        </w:rPr>
      </w:pPr>
    </w:p>
    <w:p>
      <w:pPr>
        <w:pStyle w:val="BodyText"/>
        <w:rPr>
          <w:rFonts w:ascii="Arial Black"/>
          <w:sz w:val="20"/>
        </w:rPr>
      </w:pPr>
    </w:p>
    <w:p>
      <w:pPr>
        <w:pStyle w:val="BodyText"/>
        <w:rPr>
          <w:rFonts w:ascii="Arial Black"/>
          <w:sz w:val="20"/>
        </w:rPr>
      </w:pPr>
    </w:p>
    <w:p>
      <w:pPr>
        <w:pStyle w:val="BodyText"/>
        <w:spacing w:before="115"/>
        <w:rPr>
          <w:rFonts w:ascii="Arial Black"/>
          <w:sz w:val="20"/>
        </w:rPr>
      </w:pPr>
    </w:p>
    <w:p>
      <w:pPr>
        <w:spacing w:after="0"/>
        <w:rPr>
          <w:rFonts w:ascii="Arial Black"/>
          <w:sz w:val="20"/>
        </w:rPr>
        <w:sectPr>
          <w:headerReference w:type="default" r:id="rId303"/>
          <w:footerReference w:type="default" r:id="rId304"/>
          <w:pgSz w:w="12240" w:h="15840"/>
          <w:pgMar w:header="0" w:footer="0" w:top="0" w:bottom="280" w:left="1100" w:right="340"/>
        </w:sectPr>
      </w:pPr>
    </w:p>
    <w:p>
      <w:pPr>
        <w:pStyle w:val="Heading9"/>
        <w:ind w:left="143"/>
        <w:rPr>
          <w:i/>
        </w:rPr>
      </w:pPr>
      <w:r>
        <w:rPr>
          <w:i/>
          <w:spacing w:val="11"/>
          <w:w w:val="125"/>
        </w:rPr>
        <w:t>ABOUT</w:t>
      </w:r>
    </w:p>
    <w:p>
      <w:pPr>
        <w:spacing w:line="271" w:lineRule="auto" w:before="40"/>
        <w:ind w:left="151" w:right="38" w:firstLine="0"/>
        <w:jc w:val="both"/>
        <w:rPr>
          <w:rFonts w:ascii="Georgia"/>
          <w:sz w:val="20"/>
        </w:rPr>
      </w:pPr>
      <w:r>
        <w:rPr>
          <w:rFonts w:ascii="Georgia"/>
          <w:sz w:val="20"/>
        </w:rPr>
        <w:t>The history of LGBTQ pediatric health is plagued by stigma, harm, and discrimination. Across the Commonwealth, LGBTQ youth continue to face numerous challenges in accessing quality, culturally competent healthcare, including a lack of affordable</w:t>
      </w:r>
      <w:r>
        <w:rPr>
          <w:rFonts w:ascii="Georgia"/>
          <w:spacing w:val="40"/>
          <w:sz w:val="20"/>
        </w:rPr>
        <w:t> </w:t>
      </w:r>
      <w:r>
        <w:rPr>
          <w:rFonts w:ascii="Georgia"/>
          <w:sz w:val="20"/>
        </w:rPr>
        <w:t>and inclusive services.</w:t>
      </w:r>
    </w:p>
    <w:p>
      <w:pPr>
        <w:pStyle w:val="BodyText"/>
        <w:spacing w:before="29"/>
        <w:rPr>
          <w:rFonts w:ascii="Georgia"/>
          <w:sz w:val="20"/>
        </w:rPr>
      </w:pPr>
    </w:p>
    <w:p>
      <w:pPr>
        <w:spacing w:line="271" w:lineRule="auto" w:before="1"/>
        <w:ind w:left="151" w:right="38" w:firstLine="0"/>
        <w:jc w:val="both"/>
        <w:rPr>
          <w:rFonts w:ascii="Georgia"/>
          <w:sz w:val="20"/>
        </w:rPr>
      </w:pPr>
      <w:r>
        <w:rPr/>
        <mc:AlternateContent>
          <mc:Choice Requires="wps">
            <w:drawing>
              <wp:anchor distT="0" distB="0" distL="0" distR="0" allowOverlap="1" layoutInCell="1" locked="0" behindDoc="0" simplePos="0" relativeHeight="15774720">
                <wp:simplePos x="0" y="0"/>
                <wp:positionH relativeFrom="page">
                  <wp:posOffset>655211</wp:posOffset>
                </wp:positionH>
                <wp:positionV relativeFrom="paragraph">
                  <wp:posOffset>1478570</wp:posOffset>
                </wp:positionV>
                <wp:extent cx="3554729" cy="3113405"/>
                <wp:effectExtent l="0" t="0" r="0" b="0"/>
                <wp:wrapNone/>
                <wp:docPr id="269" name="Group 269"/>
                <wp:cNvGraphicFramePr>
                  <a:graphicFrameLocks/>
                </wp:cNvGraphicFramePr>
                <a:graphic>
                  <a:graphicData uri="http://schemas.microsoft.com/office/word/2010/wordprocessingGroup">
                    <wpg:wgp>
                      <wpg:cNvPr id="269" name="Group 269"/>
                      <wpg:cNvGrpSpPr/>
                      <wpg:grpSpPr>
                        <a:xfrm>
                          <a:off x="0" y="0"/>
                          <a:ext cx="3554729" cy="3113405"/>
                          <a:chExt cx="3554729" cy="3113405"/>
                        </a:xfrm>
                      </wpg:grpSpPr>
                      <pic:pic>
                        <pic:nvPicPr>
                          <pic:cNvPr id="270" name="Image 270"/>
                          <pic:cNvPicPr/>
                        </pic:nvPicPr>
                        <pic:blipFill>
                          <a:blip r:embed="rId305" cstate="print"/>
                          <a:stretch>
                            <a:fillRect/>
                          </a:stretch>
                        </pic:blipFill>
                        <pic:spPr>
                          <a:xfrm>
                            <a:off x="0" y="0"/>
                            <a:ext cx="3554512" cy="3112999"/>
                          </a:xfrm>
                          <a:prstGeom prst="rect">
                            <a:avLst/>
                          </a:prstGeom>
                        </pic:spPr>
                      </pic:pic>
                      <wps:wsp>
                        <wps:cNvPr id="271" name="Textbox 271"/>
                        <wps:cNvSpPr txBox="1"/>
                        <wps:spPr>
                          <a:xfrm>
                            <a:off x="121800" y="86387"/>
                            <a:ext cx="3159760" cy="1659889"/>
                          </a:xfrm>
                          <a:prstGeom prst="rect">
                            <a:avLst/>
                          </a:prstGeom>
                        </wps:spPr>
                        <wps:txbx>
                          <w:txbxContent>
                            <w:p>
                              <w:pPr>
                                <w:spacing w:before="26"/>
                                <w:ind w:left="20" w:right="0" w:firstLine="0"/>
                                <w:jc w:val="left"/>
                                <w:rPr>
                                  <w:b/>
                                  <w:i/>
                                  <w:sz w:val="34"/>
                                </w:rPr>
                              </w:pPr>
                              <w:r>
                                <w:rPr>
                                  <w:b/>
                                  <w:i/>
                                  <w:spacing w:val="13"/>
                                  <w:w w:val="125"/>
                                  <w:sz w:val="34"/>
                                </w:rPr>
                                <w:t>RECOMMENDATIONS</w:t>
                              </w:r>
                            </w:p>
                            <w:p>
                              <w:pPr>
                                <w:spacing w:line="276" w:lineRule="auto" w:before="128"/>
                                <w:ind w:left="723" w:right="87" w:firstLine="0"/>
                                <w:jc w:val="both"/>
                                <w:rPr>
                                  <w:rFonts w:ascii="Georgia"/>
                                  <w:sz w:val="18"/>
                                </w:rPr>
                              </w:pPr>
                              <w:r>
                                <w:rPr>
                                  <w:rFonts w:ascii="Georgia"/>
                                  <w:w w:val="105"/>
                                  <w:sz w:val="18"/>
                                </w:rPr>
                                <w:t>Invest in access to culturally competent LGBTQ healthcare</w:t>
                              </w:r>
                              <w:r>
                                <w:rPr>
                                  <w:rFonts w:ascii="Georgia"/>
                                  <w:spacing w:val="-12"/>
                                  <w:w w:val="105"/>
                                  <w:sz w:val="18"/>
                                </w:rPr>
                                <w:t> </w:t>
                              </w:r>
                              <w:r>
                                <w:rPr>
                                  <w:rFonts w:ascii="Georgia"/>
                                  <w:w w:val="105"/>
                                  <w:sz w:val="18"/>
                                </w:rPr>
                                <w:t>in</w:t>
                              </w:r>
                              <w:r>
                                <w:rPr>
                                  <w:rFonts w:ascii="Georgia"/>
                                  <w:spacing w:val="-11"/>
                                  <w:w w:val="105"/>
                                  <w:sz w:val="18"/>
                                </w:rPr>
                                <w:t> </w:t>
                              </w:r>
                              <w:r>
                                <w:rPr>
                                  <w:rFonts w:ascii="Georgia"/>
                                  <w:w w:val="105"/>
                                  <w:sz w:val="18"/>
                                </w:rPr>
                                <w:t>rural</w:t>
                              </w:r>
                              <w:r>
                                <w:rPr>
                                  <w:rFonts w:ascii="Georgia"/>
                                  <w:spacing w:val="-11"/>
                                  <w:w w:val="105"/>
                                  <w:sz w:val="18"/>
                                </w:rPr>
                                <w:t> </w:t>
                              </w:r>
                              <w:r>
                                <w:rPr>
                                  <w:rFonts w:ascii="Georgia"/>
                                  <w:w w:val="105"/>
                                  <w:sz w:val="18"/>
                                </w:rPr>
                                <w:t>and</w:t>
                              </w:r>
                              <w:r>
                                <w:rPr>
                                  <w:rFonts w:ascii="Georgia"/>
                                  <w:spacing w:val="-11"/>
                                  <w:w w:val="105"/>
                                  <w:sz w:val="18"/>
                                </w:rPr>
                                <w:t> </w:t>
                              </w:r>
                              <w:r>
                                <w:rPr>
                                  <w:rFonts w:ascii="Georgia"/>
                                  <w:w w:val="105"/>
                                  <w:sz w:val="18"/>
                                </w:rPr>
                                <w:t>underserved</w:t>
                              </w:r>
                              <w:r>
                                <w:rPr>
                                  <w:rFonts w:ascii="Georgia"/>
                                  <w:spacing w:val="-11"/>
                                  <w:w w:val="105"/>
                                  <w:sz w:val="18"/>
                                </w:rPr>
                                <w:t> </w:t>
                              </w:r>
                              <w:r>
                                <w:rPr>
                                  <w:rFonts w:ascii="Georgia"/>
                                  <w:spacing w:val="-2"/>
                                  <w:w w:val="105"/>
                                  <w:sz w:val="18"/>
                                </w:rPr>
                                <w:t>communities.</w:t>
                              </w:r>
                            </w:p>
                            <w:p>
                              <w:pPr>
                                <w:spacing w:line="240" w:lineRule="auto" w:before="10"/>
                                <w:rPr>
                                  <w:rFonts w:ascii="Georgia"/>
                                  <w:sz w:val="18"/>
                                </w:rPr>
                              </w:pPr>
                            </w:p>
                            <w:p>
                              <w:pPr>
                                <w:spacing w:line="276" w:lineRule="auto" w:before="0"/>
                                <w:ind w:left="723" w:right="83" w:firstLine="0"/>
                                <w:jc w:val="both"/>
                                <w:rPr>
                                  <w:rFonts w:ascii="Georgia"/>
                                  <w:sz w:val="18"/>
                                </w:rPr>
                              </w:pPr>
                              <w:r>
                                <w:rPr>
                                  <w:rFonts w:ascii="Georgia"/>
                                  <w:w w:val="105"/>
                                  <w:sz w:val="18"/>
                                </w:rPr>
                                <w:t>Improve</w:t>
                              </w:r>
                              <w:r>
                                <w:rPr>
                                  <w:rFonts w:ascii="Georgia"/>
                                  <w:spacing w:val="-5"/>
                                  <w:w w:val="105"/>
                                  <w:sz w:val="18"/>
                                </w:rPr>
                                <w:t> </w:t>
                              </w:r>
                              <w:r>
                                <w:rPr>
                                  <w:rFonts w:ascii="Georgia"/>
                                  <w:w w:val="105"/>
                                  <w:sz w:val="18"/>
                                </w:rPr>
                                <w:t>research</w:t>
                              </w:r>
                              <w:r>
                                <w:rPr>
                                  <w:rFonts w:ascii="Georgia"/>
                                  <w:spacing w:val="-5"/>
                                  <w:w w:val="105"/>
                                  <w:sz w:val="18"/>
                                </w:rPr>
                                <w:t> </w:t>
                              </w:r>
                              <w:r>
                                <w:rPr>
                                  <w:rFonts w:ascii="Georgia"/>
                                  <w:w w:val="105"/>
                                  <w:sz w:val="18"/>
                                </w:rPr>
                                <w:t>on</w:t>
                              </w:r>
                              <w:r>
                                <w:rPr>
                                  <w:rFonts w:ascii="Georgia"/>
                                  <w:spacing w:val="-5"/>
                                  <w:w w:val="105"/>
                                  <w:sz w:val="18"/>
                                </w:rPr>
                                <w:t> </w:t>
                              </w:r>
                              <w:r>
                                <w:rPr>
                                  <w:rFonts w:ascii="Georgia"/>
                                  <w:w w:val="105"/>
                                  <w:sz w:val="18"/>
                                </w:rPr>
                                <w:t>intersex</w:t>
                              </w:r>
                              <w:r>
                                <w:rPr>
                                  <w:rFonts w:ascii="Georgia"/>
                                  <w:spacing w:val="-5"/>
                                  <w:w w:val="105"/>
                                  <w:sz w:val="18"/>
                                </w:rPr>
                                <w:t> </w:t>
                              </w:r>
                              <w:r>
                                <w:rPr>
                                  <w:rFonts w:ascii="Georgia"/>
                                  <w:w w:val="105"/>
                                  <w:sz w:val="18"/>
                                </w:rPr>
                                <w:t>youth</w:t>
                              </w:r>
                              <w:r>
                                <w:rPr>
                                  <w:rFonts w:ascii="Georgia"/>
                                  <w:spacing w:val="-5"/>
                                  <w:w w:val="105"/>
                                  <w:sz w:val="18"/>
                                </w:rPr>
                                <w:t> </w:t>
                              </w:r>
                              <w:r>
                                <w:rPr>
                                  <w:rFonts w:ascii="Georgia"/>
                                  <w:w w:val="105"/>
                                  <w:sz w:val="18"/>
                                </w:rPr>
                                <w:t>communities, and</w:t>
                              </w:r>
                              <w:r>
                                <w:rPr>
                                  <w:rFonts w:ascii="Georgia"/>
                                  <w:spacing w:val="-12"/>
                                  <w:w w:val="105"/>
                                  <w:sz w:val="18"/>
                                </w:rPr>
                                <w:t> </w:t>
                              </w:r>
                              <w:r>
                                <w:rPr>
                                  <w:rFonts w:ascii="Georgia"/>
                                  <w:w w:val="105"/>
                                  <w:sz w:val="18"/>
                                </w:rPr>
                                <w:t>prohibit</w:t>
                              </w:r>
                              <w:r>
                                <w:rPr>
                                  <w:rFonts w:ascii="Georgia"/>
                                  <w:spacing w:val="-11"/>
                                  <w:w w:val="105"/>
                                  <w:sz w:val="18"/>
                                </w:rPr>
                                <w:t> </w:t>
                              </w:r>
                              <w:r>
                                <w:rPr>
                                  <w:rFonts w:ascii="Georgia"/>
                                  <w:w w:val="105"/>
                                  <w:sz w:val="18"/>
                                </w:rPr>
                                <w:t>non-consensual</w:t>
                              </w:r>
                              <w:r>
                                <w:rPr>
                                  <w:rFonts w:ascii="Georgia"/>
                                  <w:spacing w:val="-12"/>
                                  <w:w w:val="105"/>
                                  <w:sz w:val="18"/>
                                </w:rPr>
                                <w:t> </w:t>
                              </w:r>
                              <w:r>
                                <w:rPr>
                                  <w:rFonts w:ascii="Georgia"/>
                                  <w:w w:val="105"/>
                                  <w:sz w:val="18"/>
                                </w:rPr>
                                <w:t>unnecessary</w:t>
                              </w:r>
                              <w:r>
                                <w:rPr>
                                  <w:rFonts w:ascii="Georgia"/>
                                  <w:spacing w:val="-11"/>
                                  <w:w w:val="105"/>
                                  <w:sz w:val="18"/>
                                </w:rPr>
                                <w:t> </w:t>
                              </w:r>
                              <w:r>
                                <w:rPr>
                                  <w:rFonts w:ascii="Georgia"/>
                                  <w:w w:val="105"/>
                                  <w:sz w:val="18"/>
                                </w:rPr>
                                <w:t>medical interventions on minors.</w:t>
                              </w:r>
                            </w:p>
                            <w:p>
                              <w:pPr>
                                <w:spacing w:line="276" w:lineRule="auto" w:before="184"/>
                                <w:ind w:left="723" w:right="0" w:firstLine="0"/>
                                <w:jc w:val="left"/>
                                <w:rPr>
                                  <w:rFonts w:ascii="Georgia"/>
                                  <w:sz w:val="18"/>
                                </w:rPr>
                              </w:pPr>
                              <w:r>
                                <w:rPr>
                                  <w:rFonts w:ascii="Georgia"/>
                                  <w:w w:val="105"/>
                                  <w:sz w:val="18"/>
                                </w:rPr>
                                <w:t>Expand</w:t>
                              </w:r>
                              <w:r>
                                <w:rPr>
                                  <w:rFonts w:ascii="Georgia"/>
                                  <w:spacing w:val="-12"/>
                                  <w:w w:val="105"/>
                                  <w:sz w:val="18"/>
                                </w:rPr>
                                <w:t> </w:t>
                              </w:r>
                              <w:r>
                                <w:rPr>
                                  <w:rFonts w:ascii="Georgia"/>
                                  <w:w w:val="105"/>
                                  <w:sz w:val="18"/>
                                </w:rPr>
                                <w:t>coverage</w:t>
                              </w:r>
                              <w:r>
                                <w:rPr>
                                  <w:rFonts w:ascii="Georgia"/>
                                  <w:spacing w:val="-11"/>
                                  <w:w w:val="105"/>
                                  <w:sz w:val="18"/>
                                </w:rPr>
                                <w:t> </w:t>
                              </w:r>
                              <w:r>
                                <w:rPr>
                                  <w:rFonts w:ascii="Georgia"/>
                                  <w:w w:val="105"/>
                                  <w:sz w:val="18"/>
                                </w:rPr>
                                <w:t>of</w:t>
                              </w:r>
                              <w:r>
                                <w:rPr>
                                  <w:rFonts w:ascii="Georgia"/>
                                  <w:spacing w:val="-12"/>
                                  <w:w w:val="105"/>
                                  <w:sz w:val="18"/>
                                </w:rPr>
                                <w:t> </w:t>
                              </w:r>
                              <w:r>
                                <w:rPr>
                                  <w:rFonts w:ascii="Georgia"/>
                                  <w:w w:val="105"/>
                                  <w:sz w:val="18"/>
                                </w:rPr>
                                <w:t>gender-affirming</w:t>
                              </w:r>
                              <w:r>
                                <w:rPr>
                                  <w:rFonts w:ascii="Georgia"/>
                                  <w:spacing w:val="-11"/>
                                  <w:w w:val="105"/>
                                  <w:sz w:val="18"/>
                                </w:rPr>
                                <w:t> </w:t>
                              </w:r>
                              <w:r>
                                <w:rPr>
                                  <w:rFonts w:ascii="Georgia"/>
                                  <w:w w:val="105"/>
                                  <w:sz w:val="18"/>
                                </w:rPr>
                                <w:t>care</w:t>
                              </w:r>
                              <w:r>
                                <w:rPr>
                                  <w:rFonts w:ascii="Georgia"/>
                                  <w:spacing w:val="-11"/>
                                  <w:w w:val="105"/>
                                  <w:sz w:val="18"/>
                                </w:rPr>
                                <w:t> </w:t>
                              </w:r>
                              <w:r>
                                <w:rPr>
                                  <w:rFonts w:ascii="Georgia"/>
                                  <w:w w:val="105"/>
                                  <w:sz w:val="18"/>
                                </w:rPr>
                                <w:t>and increase reimbursement to incentivize care.</w:t>
                              </w:r>
                            </w:p>
                          </w:txbxContent>
                        </wps:txbx>
                        <wps:bodyPr wrap="square" lIns="0" tIns="0" rIns="0" bIns="0" rtlCol="0">
                          <a:noAutofit/>
                        </wps:bodyPr>
                      </wps:wsp>
                      <wps:wsp>
                        <wps:cNvPr id="272" name="Textbox 272"/>
                        <wps:cNvSpPr txBox="1"/>
                        <wps:spPr>
                          <a:xfrm>
                            <a:off x="115102" y="2103026"/>
                            <a:ext cx="3190875" cy="639445"/>
                          </a:xfrm>
                          <a:prstGeom prst="rect">
                            <a:avLst/>
                          </a:prstGeom>
                        </wps:spPr>
                        <wps:txbx>
                          <w:txbxContent>
                            <w:p>
                              <w:pPr>
                                <w:spacing w:before="26"/>
                                <w:ind w:left="20" w:right="0" w:firstLine="0"/>
                                <w:jc w:val="left"/>
                                <w:rPr>
                                  <w:b/>
                                  <w:i/>
                                  <w:sz w:val="34"/>
                                </w:rPr>
                              </w:pPr>
                              <w:r>
                                <w:rPr>
                                  <w:b/>
                                  <w:i/>
                                  <w:spacing w:val="13"/>
                                  <w:w w:val="130"/>
                                  <w:sz w:val="34"/>
                                </w:rPr>
                                <w:t>LEGISLATION</w:t>
                              </w:r>
                            </w:p>
                            <w:p>
                              <w:pPr>
                                <w:spacing w:before="292"/>
                                <w:ind w:left="30" w:right="0" w:firstLine="0"/>
                                <w:jc w:val="left"/>
                                <w:rPr>
                                  <w:rFonts w:ascii="Georgia"/>
                                  <w:sz w:val="22"/>
                                </w:rPr>
                              </w:pPr>
                              <w:r>
                                <w:rPr>
                                  <w:rFonts w:ascii="Georgia"/>
                                  <w:spacing w:val="-2"/>
                                  <w:sz w:val="22"/>
                                </w:rPr>
                                <w:t>S.</w:t>
                              </w:r>
                              <w:r>
                                <w:rPr>
                                  <w:rFonts w:ascii="Georgia"/>
                                  <w:spacing w:val="-5"/>
                                  <w:sz w:val="22"/>
                                </w:rPr>
                                <w:t> </w:t>
                              </w:r>
                              <w:r>
                                <w:rPr>
                                  <w:rFonts w:ascii="Georgia"/>
                                  <w:spacing w:val="-2"/>
                                  <w:sz w:val="22"/>
                                </w:rPr>
                                <w:t>596/H.1037:</w:t>
                              </w:r>
                              <w:r>
                                <w:rPr>
                                  <w:rFonts w:ascii="Georgia"/>
                                  <w:spacing w:val="-5"/>
                                  <w:sz w:val="22"/>
                                </w:rPr>
                                <w:t> </w:t>
                              </w:r>
                              <w:r>
                                <w:rPr>
                                  <w:rFonts w:ascii="Georgia"/>
                                  <w:spacing w:val="-2"/>
                                  <w:sz w:val="22"/>
                                </w:rPr>
                                <w:t>Trans-Inclusive</w:t>
                              </w:r>
                              <w:r>
                                <w:rPr>
                                  <w:rFonts w:ascii="Georgia"/>
                                  <w:spacing w:val="-5"/>
                                  <w:sz w:val="22"/>
                                </w:rPr>
                                <w:t> </w:t>
                              </w:r>
                              <w:r>
                                <w:rPr>
                                  <w:rFonts w:ascii="Georgia"/>
                                  <w:spacing w:val="-2"/>
                                  <w:sz w:val="22"/>
                                </w:rPr>
                                <w:t>Health</w:t>
                              </w:r>
                              <w:r>
                                <w:rPr>
                                  <w:rFonts w:ascii="Georgia"/>
                                  <w:spacing w:val="-5"/>
                                  <w:sz w:val="22"/>
                                </w:rPr>
                                <w:t> </w:t>
                              </w:r>
                              <w:r>
                                <w:rPr>
                                  <w:rFonts w:ascii="Georgia"/>
                                  <w:spacing w:val="-2"/>
                                  <w:sz w:val="22"/>
                                </w:rPr>
                                <w:t>Care</w:t>
                              </w:r>
                              <w:r>
                                <w:rPr>
                                  <w:rFonts w:ascii="Georgia"/>
                                  <w:spacing w:val="-5"/>
                                  <w:sz w:val="22"/>
                                </w:rPr>
                                <w:t> </w:t>
                              </w:r>
                              <w:r>
                                <w:rPr>
                                  <w:rFonts w:ascii="Georgia"/>
                                  <w:spacing w:val="-2"/>
                                  <w:sz w:val="22"/>
                                </w:rPr>
                                <w:t>Access</w:t>
                              </w:r>
                            </w:p>
                          </w:txbxContent>
                        </wps:txbx>
                        <wps:bodyPr wrap="square" lIns="0" tIns="0" rIns="0" bIns="0" rtlCol="0">
                          <a:noAutofit/>
                        </wps:bodyPr>
                      </wps:wsp>
                    </wpg:wgp>
                  </a:graphicData>
                </a:graphic>
              </wp:anchor>
            </w:drawing>
          </mc:Choice>
          <mc:Fallback>
            <w:pict>
              <v:group style="position:absolute;margin-left:51.591457pt;margin-top:116.422897pt;width:279.9pt;height:245.15pt;mso-position-horizontal-relative:page;mso-position-vertical-relative:paragraph;z-index:15774720" id="docshapegroup214" coordorigin="1032,2328" coordsize="5598,4903">
                <v:shape style="position:absolute;left:1031;top:2328;width:5598;height:4903" type="#_x0000_t75" id="docshape215" stroked="false">
                  <v:imagedata r:id="rId305" o:title=""/>
                </v:shape>
                <v:shape style="position:absolute;left:1223;top:2464;width:4976;height:2614" type="#_x0000_t202" id="docshape216" filled="false" stroked="false">
                  <v:textbox inset="0,0,0,0">
                    <w:txbxContent>
                      <w:p>
                        <w:pPr>
                          <w:spacing w:before="26"/>
                          <w:ind w:left="20" w:right="0" w:firstLine="0"/>
                          <w:jc w:val="left"/>
                          <w:rPr>
                            <w:b/>
                            <w:i/>
                            <w:sz w:val="34"/>
                          </w:rPr>
                        </w:pPr>
                        <w:r>
                          <w:rPr>
                            <w:b/>
                            <w:i/>
                            <w:spacing w:val="13"/>
                            <w:w w:val="125"/>
                            <w:sz w:val="34"/>
                          </w:rPr>
                          <w:t>RECOMMENDATIONS</w:t>
                        </w:r>
                      </w:p>
                      <w:p>
                        <w:pPr>
                          <w:spacing w:line="276" w:lineRule="auto" w:before="128"/>
                          <w:ind w:left="723" w:right="87" w:firstLine="0"/>
                          <w:jc w:val="both"/>
                          <w:rPr>
                            <w:rFonts w:ascii="Georgia"/>
                            <w:sz w:val="18"/>
                          </w:rPr>
                        </w:pPr>
                        <w:r>
                          <w:rPr>
                            <w:rFonts w:ascii="Georgia"/>
                            <w:w w:val="105"/>
                            <w:sz w:val="18"/>
                          </w:rPr>
                          <w:t>Invest in access to culturally competent LGBTQ healthcare</w:t>
                        </w:r>
                        <w:r>
                          <w:rPr>
                            <w:rFonts w:ascii="Georgia"/>
                            <w:spacing w:val="-12"/>
                            <w:w w:val="105"/>
                            <w:sz w:val="18"/>
                          </w:rPr>
                          <w:t> </w:t>
                        </w:r>
                        <w:r>
                          <w:rPr>
                            <w:rFonts w:ascii="Georgia"/>
                            <w:w w:val="105"/>
                            <w:sz w:val="18"/>
                          </w:rPr>
                          <w:t>in</w:t>
                        </w:r>
                        <w:r>
                          <w:rPr>
                            <w:rFonts w:ascii="Georgia"/>
                            <w:spacing w:val="-11"/>
                            <w:w w:val="105"/>
                            <w:sz w:val="18"/>
                          </w:rPr>
                          <w:t> </w:t>
                        </w:r>
                        <w:r>
                          <w:rPr>
                            <w:rFonts w:ascii="Georgia"/>
                            <w:w w:val="105"/>
                            <w:sz w:val="18"/>
                          </w:rPr>
                          <w:t>rural</w:t>
                        </w:r>
                        <w:r>
                          <w:rPr>
                            <w:rFonts w:ascii="Georgia"/>
                            <w:spacing w:val="-11"/>
                            <w:w w:val="105"/>
                            <w:sz w:val="18"/>
                          </w:rPr>
                          <w:t> </w:t>
                        </w:r>
                        <w:r>
                          <w:rPr>
                            <w:rFonts w:ascii="Georgia"/>
                            <w:w w:val="105"/>
                            <w:sz w:val="18"/>
                          </w:rPr>
                          <w:t>and</w:t>
                        </w:r>
                        <w:r>
                          <w:rPr>
                            <w:rFonts w:ascii="Georgia"/>
                            <w:spacing w:val="-11"/>
                            <w:w w:val="105"/>
                            <w:sz w:val="18"/>
                          </w:rPr>
                          <w:t> </w:t>
                        </w:r>
                        <w:r>
                          <w:rPr>
                            <w:rFonts w:ascii="Georgia"/>
                            <w:w w:val="105"/>
                            <w:sz w:val="18"/>
                          </w:rPr>
                          <w:t>underserved</w:t>
                        </w:r>
                        <w:r>
                          <w:rPr>
                            <w:rFonts w:ascii="Georgia"/>
                            <w:spacing w:val="-11"/>
                            <w:w w:val="105"/>
                            <w:sz w:val="18"/>
                          </w:rPr>
                          <w:t> </w:t>
                        </w:r>
                        <w:r>
                          <w:rPr>
                            <w:rFonts w:ascii="Georgia"/>
                            <w:spacing w:val="-2"/>
                            <w:w w:val="105"/>
                            <w:sz w:val="18"/>
                          </w:rPr>
                          <w:t>communities.</w:t>
                        </w:r>
                      </w:p>
                      <w:p>
                        <w:pPr>
                          <w:spacing w:line="240" w:lineRule="auto" w:before="10"/>
                          <w:rPr>
                            <w:rFonts w:ascii="Georgia"/>
                            <w:sz w:val="18"/>
                          </w:rPr>
                        </w:pPr>
                      </w:p>
                      <w:p>
                        <w:pPr>
                          <w:spacing w:line="276" w:lineRule="auto" w:before="0"/>
                          <w:ind w:left="723" w:right="83" w:firstLine="0"/>
                          <w:jc w:val="both"/>
                          <w:rPr>
                            <w:rFonts w:ascii="Georgia"/>
                            <w:sz w:val="18"/>
                          </w:rPr>
                        </w:pPr>
                        <w:r>
                          <w:rPr>
                            <w:rFonts w:ascii="Georgia"/>
                            <w:w w:val="105"/>
                            <w:sz w:val="18"/>
                          </w:rPr>
                          <w:t>Improve</w:t>
                        </w:r>
                        <w:r>
                          <w:rPr>
                            <w:rFonts w:ascii="Georgia"/>
                            <w:spacing w:val="-5"/>
                            <w:w w:val="105"/>
                            <w:sz w:val="18"/>
                          </w:rPr>
                          <w:t> </w:t>
                        </w:r>
                        <w:r>
                          <w:rPr>
                            <w:rFonts w:ascii="Georgia"/>
                            <w:w w:val="105"/>
                            <w:sz w:val="18"/>
                          </w:rPr>
                          <w:t>research</w:t>
                        </w:r>
                        <w:r>
                          <w:rPr>
                            <w:rFonts w:ascii="Georgia"/>
                            <w:spacing w:val="-5"/>
                            <w:w w:val="105"/>
                            <w:sz w:val="18"/>
                          </w:rPr>
                          <w:t> </w:t>
                        </w:r>
                        <w:r>
                          <w:rPr>
                            <w:rFonts w:ascii="Georgia"/>
                            <w:w w:val="105"/>
                            <w:sz w:val="18"/>
                          </w:rPr>
                          <w:t>on</w:t>
                        </w:r>
                        <w:r>
                          <w:rPr>
                            <w:rFonts w:ascii="Georgia"/>
                            <w:spacing w:val="-5"/>
                            <w:w w:val="105"/>
                            <w:sz w:val="18"/>
                          </w:rPr>
                          <w:t> </w:t>
                        </w:r>
                        <w:r>
                          <w:rPr>
                            <w:rFonts w:ascii="Georgia"/>
                            <w:w w:val="105"/>
                            <w:sz w:val="18"/>
                          </w:rPr>
                          <w:t>intersex</w:t>
                        </w:r>
                        <w:r>
                          <w:rPr>
                            <w:rFonts w:ascii="Georgia"/>
                            <w:spacing w:val="-5"/>
                            <w:w w:val="105"/>
                            <w:sz w:val="18"/>
                          </w:rPr>
                          <w:t> </w:t>
                        </w:r>
                        <w:r>
                          <w:rPr>
                            <w:rFonts w:ascii="Georgia"/>
                            <w:w w:val="105"/>
                            <w:sz w:val="18"/>
                          </w:rPr>
                          <w:t>youth</w:t>
                        </w:r>
                        <w:r>
                          <w:rPr>
                            <w:rFonts w:ascii="Georgia"/>
                            <w:spacing w:val="-5"/>
                            <w:w w:val="105"/>
                            <w:sz w:val="18"/>
                          </w:rPr>
                          <w:t> </w:t>
                        </w:r>
                        <w:r>
                          <w:rPr>
                            <w:rFonts w:ascii="Georgia"/>
                            <w:w w:val="105"/>
                            <w:sz w:val="18"/>
                          </w:rPr>
                          <w:t>communities, and</w:t>
                        </w:r>
                        <w:r>
                          <w:rPr>
                            <w:rFonts w:ascii="Georgia"/>
                            <w:spacing w:val="-12"/>
                            <w:w w:val="105"/>
                            <w:sz w:val="18"/>
                          </w:rPr>
                          <w:t> </w:t>
                        </w:r>
                        <w:r>
                          <w:rPr>
                            <w:rFonts w:ascii="Georgia"/>
                            <w:w w:val="105"/>
                            <w:sz w:val="18"/>
                          </w:rPr>
                          <w:t>prohibit</w:t>
                        </w:r>
                        <w:r>
                          <w:rPr>
                            <w:rFonts w:ascii="Georgia"/>
                            <w:spacing w:val="-11"/>
                            <w:w w:val="105"/>
                            <w:sz w:val="18"/>
                          </w:rPr>
                          <w:t> </w:t>
                        </w:r>
                        <w:r>
                          <w:rPr>
                            <w:rFonts w:ascii="Georgia"/>
                            <w:w w:val="105"/>
                            <w:sz w:val="18"/>
                          </w:rPr>
                          <w:t>non-consensual</w:t>
                        </w:r>
                        <w:r>
                          <w:rPr>
                            <w:rFonts w:ascii="Georgia"/>
                            <w:spacing w:val="-12"/>
                            <w:w w:val="105"/>
                            <w:sz w:val="18"/>
                          </w:rPr>
                          <w:t> </w:t>
                        </w:r>
                        <w:r>
                          <w:rPr>
                            <w:rFonts w:ascii="Georgia"/>
                            <w:w w:val="105"/>
                            <w:sz w:val="18"/>
                          </w:rPr>
                          <w:t>unnecessary</w:t>
                        </w:r>
                        <w:r>
                          <w:rPr>
                            <w:rFonts w:ascii="Georgia"/>
                            <w:spacing w:val="-11"/>
                            <w:w w:val="105"/>
                            <w:sz w:val="18"/>
                          </w:rPr>
                          <w:t> </w:t>
                        </w:r>
                        <w:r>
                          <w:rPr>
                            <w:rFonts w:ascii="Georgia"/>
                            <w:w w:val="105"/>
                            <w:sz w:val="18"/>
                          </w:rPr>
                          <w:t>medical interventions on minors.</w:t>
                        </w:r>
                      </w:p>
                      <w:p>
                        <w:pPr>
                          <w:spacing w:line="276" w:lineRule="auto" w:before="184"/>
                          <w:ind w:left="723" w:right="0" w:firstLine="0"/>
                          <w:jc w:val="left"/>
                          <w:rPr>
                            <w:rFonts w:ascii="Georgia"/>
                            <w:sz w:val="18"/>
                          </w:rPr>
                        </w:pPr>
                        <w:r>
                          <w:rPr>
                            <w:rFonts w:ascii="Georgia"/>
                            <w:w w:val="105"/>
                            <w:sz w:val="18"/>
                          </w:rPr>
                          <w:t>Expand</w:t>
                        </w:r>
                        <w:r>
                          <w:rPr>
                            <w:rFonts w:ascii="Georgia"/>
                            <w:spacing w:val="-12"/>
                            <w:w w:val="105"/>
                            <w:sz w:val="18"/>
                          </w:rPr>
                          <w:t> </w:t>
                        </w:r>
                        <w:r>
                          <w:rPr>
                            <w:rFonts w:ascii="Georgia"/>
                            <w:w w:val="105"/>
                            <w:sz w:val="18"/>
                          </w:rPr>
                          <w:t>coverage</w:t>
                        </w:r>
                        <w:r>
                          <w:rPr>
                            <w:rFonts w:ascii="Georgia"/>
                            <w:spacing w:val="-11"/>
                            <w:w w:val="105"/>
                            <w:sz w:val="18"/>
                          </w:rPr>
                          <w:t> </w:t>
                        </w:r>
                        <w:r>
                          <w:rPr>
                            <w:rFonts w:ascii="Georgia"/>
                            <w:w w:val="105"/>
                            <w:sz w:val="18"/>
                          </w:rPr>
                          <w:t>of</w:t>
                        </w:r>
                        <w:r>
                          <w:rPr>
                            <w:rFonts w:ascii="Georgia"/>
                            <w:spacing w:val="-12"/>
                            <w:w w:val="105"/>
                            <w:sz w:val="18"/>
                          </w:rPr>
                          <w:t> </w:t>
                        </w:r>
                        <w:r>
                          <w:rPr>
                            <w:rFonts w:ascii="Georgia"/>
                            <w:w w:val="105"/>
                            <w:sz w:val="18"/>
                          </w:rPr>
                          <w:t>gender-affirming</w:t>
                        </w:r>
                        <w:r>
                          <w:rPr>
                            <w:rFonts w:ascii="Georgia"/>
                            <w:spacing w:val="-11"/>
                            <w:w w:val="105"/>
                            <w:sz w:val="18"/>
                          </w:rPr>
                          <w:t> </w:t>
                        </w:r>
                        <w:r>
                          <w:rPr>
                            <w:rFonts w:ascii="Georgia"/>
                            <w:w w:val="105"/>
                            <w:sz w:val="18"/>
                          </w:rPr>
                          <w:t>care</w:t>
                        </w:r>
                        <w:r>
                          <w:rPr>
                            <w:rFonts w:ascii="Georgia"/>
                            <w:spacing w:val="-11"/>
                            <w:w w:val="105"/>
                            <w:sz w:val="18"/>
                          </w:rPr>
                          <w:t> </w:t>
                        </w:r>
                        <w:r>
                          <w:rPr>
                            <w:rFonts w:ascii="Georgia"/>
                            <w:w w:val="105"/>
                            <w:sz w:val="18"/>
                          </w:rPr>
                          <w:t>and increase reimbursement to incentivize care.</w:t>
                        </w:r>
                      </w:p>
                    </w:txbxContent>
                  </v:textbox>
                  <w10:wrap type="none"/>
                </v:shape>
                <v:shape style="position:absolute;left:1213;top:5640;width:5025;height:1007" type="#_x0000_t202" id="docshape217" filled="false" stroked="false">
                  <v:textbox inset="0,0,0,0">
                    <w:txbxContent>
                      <w:p>
                        <w:pPr>
                          <w:spacing w:before="26"/>
                          <w:ind w:left="20" w:right="0" w:firstLine="0"/>
                          <w:jc w:val="left"/>
                          <w:rPr>
                            <w:b/>
                            <w:i/>
                            <w:sz w:val="34"/>
                          </w:rPr>
                        </w:pPr>
                        <w:r>
                          <w:rPr>
                            <w:b/>
                            <w:i/>
                            <w:spacing w:val="13"/>
                            <w:w w:val="130"/>
                            <w:sz w:val="34"/>
                          </w:rPr>
                          <w:t>LEGISLATION</w:t>
                        </w:r>
                      </w:p>
                      <w:p>
                        <w:pPr>
                          <w:spacing w:before="292"/>
                          <w:ind w:left="30" w:right="0" w:firstLine="0"/>
                          <w:jc w:val="left"/>
                          <w:rPr>
                            <w:rFonts w:ascii="Georgia"/>
                            <w:sz w:val="22"/>
                          </w:rPr>
                        </w:pPr>
                        <w:r>
                          <w:rPr>
                            <w:rFonts w:ascii="Georgia"/>
                            <w:spacing w:val="-2"/>
                            <w:sz w:val="22"/>
                          </w:rPr>
                          <w:t>S.</w:t>
                        </w:r>
                        <w:r>
                          <w:rPr>
                            <w:rFonts w:ascii="Georgia"/>
                            <w:spacing w:val="-5"/>
                            <w:sz w:val="22"/>
                          </w:rPr>
                          <w:t> </w:t>
                        </w:r>
                        <w:r>
                          <w:rPr>
                            <w:rFonts w:ascii="Georgia"/>
                            <w:spacing w:val="-2"/>
                            <w:sz w:val="22"/>
                          </w:rPr>
                          <w:t>596/H.1037:</w:t>
                        </w:r>
                        <w:r>
                          <w:rPr>
                            <w:rFonts w:ascii="Georgia"/>
                            <w:spacing w:val="-5"/>
                            <w:sz w:val="22"/>
                          </w:rPr>
                          <w:t> </w:t>
                        </w:r>
                        <w:r>
                          <w:rPr>
                            <w:rFonts w:ascii="Georgia"/>
                            <w:spacing w:val="-2"/>
                            <w:sz w:val="22"/>
                          </w:rPr>
                          <w:t>Trans-Inclusive</w:t>
                        </w:r>
                        <w:r>
                          <w:rPr>
                            <w:rFonts w:ascii="Georgia"/>
                            <w:spacing w:val="-5"/>
                            <w:sz w:val="22"/>
                          </w:rPr>
                          <w:t> </w:t>
                        </w:r>
                        <w:r>
                          <w:rPr>
                            <w:rFonts w:ascii="Georgia"/>
                            <w:spacing w:val="-2"/>
                            <w:sz w:val="22"/>
                          </w:rPr>
                          <w:t>Health</w:t>
                        </w:r>
                        <w:r>
                          <w:rPr>
                            <w:rFonts w:ascii="Georgia"/>
                            <w:spacing w:val="-5"/>
                            <w:sz w:val="22"/>
                          </w:rPr>
                          <w:t> </w:t>
                        </w:r>
                        <w:r>
                          <w:rPr>
                            <w:rFonts w:ascii="Georgia"/>
                            <w:spacing w:val="-2"/>
                            <w:sz w:val="22"/>
                          </w:rPr>
                          <w:t>Care</w:t>
                        </w:r>
                        <w:r>
                          <w:rPr>
                            <w:rFonts w:ascii="Georgia"/>
                            <w:spacing w:val="-5"/>
                            <w:sz w:val="22"/>
                          </w:rPr>
                          <w:t> </w:t>
                        </w:r>
                        <w:r>
                          <w:rPr>
                            <w:rFonts w:ascii="Georgia"/>
                            <w:spacing w:val="-2"/>
                            <w:sz w:val="22"/>
                          </w:rPr>
                          <w:t>Access</w:t>
                        </w:r>
                      </w:p>
                    </w:txbxContent>
                  </v:textbox>
                  <w10:wrap type="none"/>
                </v:shape>
                <w10:wrap type="none"/>
              </v:group>
            </w:pict>
          </mc:Fallback>
        </mc:AlternateContent>
      </w:r>
      <w:r>
        <w:rPr>
          <w:rFonts w:ascii="Georgia"/>
          <w:sz w:val="20"/>
        </w:rPr>
        <w:t>It is imperative that the Commonwealth continue to address priority needs and work on centering intersectionality with an eye on the multiple forms of oppression often experienced by individuals in</w:t>
      </w:r>
      <w:r>
        <w:rPr>
          <w:rFonts w:ascii="Georgia"/>
          <w:spacing w:val="80"/>
          <w:sz w:val="20"/>
        </w:rPr>
        <w:t> </w:t>
      </w:r>
      <w:r>
        <w:rPr>
          <w:rFonts w:ascii="Georgia"/>
          <w:sz w:val="20"/>
        </w:rPr>
        <w:t>uniquely adverse situations. Importantly, intersectionality recognizes the intertwined,</w:t>
      </w:r>
      <w:r>
        <w:rPr>
          <w:rFonts w:ascii="Georgia"/>
          <w:spacing w:val="80"/>
          <w:sz w:val="20"/>
        </w:rPr>
        <w:t> </w:t>
      </w:r>
      <w:r>
        <w:rPr>
          <w:rFonts w:ascii="Georgia"/>
          <w:sz w:val="20"/>
        </w:rPr>
        <w:t>inequitable social systems that create disease and </w:t>
      </w:r>
      <w:r>
        <w:rPr>
          <w:rFonts w:ascii="Georgia"/>
          <w:spacing w:val="-2"/>
          <w:sz w:val="20"/>
        </w:rPr>
        <w:t>disparities.</w:t>
      </w:r>
    </w:p>
    <w:p>
      <w:pPr>
        <w:spacing w:line="1080" w:lineRule="exact" w:before="333"/>
        <w:ind w:left="1169" w:right="0" w:firstLine="0"/>
        <w:jc w:val="left"/>
        <w:rPr>
          <w:rFonts w:ascii="Arial Black"/>
          <w:sz w:val="77"/>
        </w:rPr>
      </w:pPr>
      <w:r>
        <w:rPr/>
        <w:br w:type="column"/>
      </w:r>
      <w:r>
        <w:rPr>
          <w:rFonts w:ascii="Arial Black"/>
          <w:emboss/>
          <w:color w:val="F46E16"/>
          <w:spacing w:val="20"/>
          <w:w w:val="95"/>
          <w:sz w:val="77"/>
        </w:rPr>
        <w:t>33%</w:t>
      </w:r>
    </w:p>
    <w:p>
      <w:pPr>
        <w:pStyle w:val="BodyText"/>
        <w:spacing w:line="266" w:lineRule="auto"/>
        <w:ind w:right="921"/>
        <w:jc w:val="center"/>
        <w:rPr>
          <w:rFonts w:ascii="Georgia"/>
        </w:rPr>
      </w:pPr>
      <w:r>
        <w:rPr>
          <w:rFonts w:ascii="Georgia"/>
          <w:w w:val="105"/>
        </w:rPr>
        <w:t>of insurance plans flag or deny </w:t>
      </w:r>
      <w:r>
        <w:rPr>
          <w:rFonts w:ascii="Georgia"/>
          <w:spacing w:val="-2"/>
          <w:w w:val="105"/>
        </w:rPr>
        <w:t>converage</w:t>
      </w:r>
      <w:r>
        <w:rPr>
          <w:rFonts w:ascii="Georgia"/>
          <w:spacing w:val="-12"/>
          <w:w w:val="105"/>
        </w:rPr>
        <w:t> </w:t>
      </w:r>
      <w:r>
        <w:rPr>
          <w:rFonts w:ascii="Georgia"/>
          <w:spacing w:val="-2"/>
          <w:w w:val="105"/>
        </w:rPr>
        <w:t>based</w:t>
      </w:r>
      <w:r>
        <w:rPr>
          <w:rFonts w:ascii="Georgia"/>
          <w:spacing w:val="-12"/>
          <w:w w:val="105"/>
        </w:rPr>
        <w:t> </w:t>
      </w:r>
      <w:r>
        <w:rPr>
          <w:rFonts w:ascii="Georgia"/>
          <w:spacing w:val="-2"/>
          <w:w w:val="105"/>
        </w:rPr>
        <w:t>on</w:t>
      </w:r>
      <w:r>
        <w:rPr>
          <w:rFonts w:ascii="Georgia"/>
          <w:spacing w:val="-12"/>
          <w:w w:val="105"/>
        </w:rPr>
        <w:t> </w:t>
      </w:r>
      <w:r>
        <w:rPr>
          <w:rFonts w:ascii="Georgia"/>
          <w:spacing w:val="-2"/>
          <w:w w:val="105"/>
        </w:rPr>
        <w:t>gender</w:t>
      </w:r>
      <w:r>
        <w:rPr>
          <w:rFonts w:ascii="Georgia"/>
          <w:spacing w:val="-12"/>
          <w:w w:val="105"/>
        </w:rPr>
        <w:t> </w:t>
      </w:r>
      <w:r>
        <w:rPr>
          <w:rFonts w:ascii="Georgia"/>
          <w:spacing w:val="-2"/>
          <w:w w:val="105"/>
        </w:rPr>
        <w:t>markers</w:t>
      </w:r>
    </w:p>
    <w:p>
      <w:pPr>
        <w:pStyle w:val="BodyText"/>
        <w:spacing w:before="186"/>
        <w:rPr>
          <w:rFonts w:ascii="Georgia"/>
        </w:rPr>
      </w:pPr>
    </w:p>
    <w:p>
      <w:pPr>
        <w:pStyle w:val="Heading4"/>
        <w:spacing w:line="1055" w:lineRule="exact"/>
        <w:ind w:left="1198"/>
      </w:pPr>
      <w:r>
        <w:rPr>
          <w:emboss/>
          <w:color w:val="F46E16"/>
          <w:spacing w:val="13"/>
        </w:rPr>
        <w:t>70%</w:t>
      </w:r>
    </w:p>
    <w:p>
      <w:pPr>
        <w:pStyle w:val="BodyText"/>
        <w:spacing w:line="266" w:lineRule="auto"/>
        <w:ind w:left="414" w:right="1259"/>
        <w:jc w:val="center"/>
        <w:rPr>
          <w:rFonts w:ascii="Georgia"/>
        </w:rPr>
      </w:pPr>
      <w:r>
        <w:rPr>
          <w:rFonts w:ascii="Georgia"/>
        </w:rPr>
        <w:t>of LGBTQ youth say their mental health was poor during the COVID-19 pandemic</w:t>
      </w:r>
    </w:p>
    <w:p>
      <w:pPr>
        <w:pStyle w:val="BodyText"/>
        <w:rPr>
          <w:rFonts w:ascii="Georgia"/>
        </w:rPr>
      </w:pPr>
    </w:p>
    <w:p>
      <w:pPr>
        <w:pStyle w:val="Heading4"/>
        <w:spacing w:line="1026" w:lineRule="exact"/>
        <w:ind w:left="1252"/>
      </w:pPr>
      <w:r>
        <w:rPr>
          <w:emboss/>
          <w:color w:val="F46E16"/>
          <w:spacing w:val="19"/>
          <w:w w:val="95"/>
        </w:rPr>
        <w:t>510</w:t>
      </w:r>
    </w:p>
    <w:p>
      <w:pPr>
        <w:pStyle w:val="BodyText"/>
        <w:spacing w:line="218" w:lineRule="exact"/>
        <w:ind w:right="843"/>
        <w:jc w:val="center"/>
        <w:rPr>
          <w:rFonts w:ascii="Georgia"/>
        </w:rPr>
      </w:pPr>
      <w:r>
        <w:rPr>
          <w:rFonts w:ascii="Georgia"/>
        </w:rPr>
        <w:t>Bills</w:t>
      </w:r>
      <w:r>
        <w:rPr>
          <w:rFonts w:ascii="Georgia"/>
          <w:spacing w:val="-10"/>
        </w:rPr>
        <w:t> </w:t>
      </w:r>
      <w:r>
        <w:rPr>
          <w:rFonts w:ascii="Georgia"/>
        </w:rPr>
        <w:t>as</w:t>
      </w:r>
      <w:r>
        <w:rPr>
          <w:rFonts w:ascii="Georgia"/>
          <w:spacing w:val="-9"/>
        </w:rPr>
        <w:t> </w:t>
      </w:r>
      <w:r>
        <w:rPr>
          <w:rFonts w:ascii="Georgia"/>
        </w:rPr>
        <w:t>of</w:t>
      </w:r>
      <w:r>
        <w:rPr>
          <w:rFonts w:ascii="Georgia"/>
          <w:spacing w:val="35"/>
        </w:rPr>
        <w:t> </w:t>
      </w:r>
      <w:r>
        <w:rPr>
          <w:rFonts w:ascii="Georgia"/>
        </w:rPr>
        <w:t>2023</w:t>
      </w:r>
      <w:r>
        <w:rPr>
          <w:rFonts w:ascii="Georgia"/>
          <w:spacing w:val="-10"/>
        </w:rPr>
        <w:t> </w:t>
      </w:r>
      <w:r>
        <w:rPr>
          <w:rFonts w:ascii="Georgia"/>
        </w:rPr>
        <w:t>target</w:t>
      </w:r>
      <w:r>
        <w:rPr>
          <w:rFonts w:ascii="Georgia"/>
          <w:spacing w:val="-9"/>
        </w:rPr>
        <w:t> </w:t>
      </w:r>
      <w:r>
        <w:rPr>
          <w:rFonts w:ascii="Georgia"/>
          <w:spacing w:val="-4"/>
        </w:rPr>
        <w:t>LGBTQ</w:t>
      </w:r>
    </w:p>
    <w:p>
      <w:pPr>
        <w:pStyle w:val="BodyText"/>
        <w:spacing w:line="266" w:lineRule="auto" w:before="27"/>
        <w:ind w:left="652" w:right="1497" w:hanging="1"/>
        <w:jc w:val="center"/>
        <w:rPr>
          <w:rFonts w:ascii="Georgia"/>
        </w:rPr>
      </w:pPr>
      <w:r>
        <w:rPr>
          <w:rFonts w:ascii="Georgia"/>
          <w:w w:val="105"/>
        </w:rPr>
        <w:t>youth across the nation, </w:t>
      </w:r>
      <w:r>
        <w:rPr>
          <w:rFonts w:ascii="Georgia"/>
        </w:rPr>
        <w:t>including banning gender- </w:t>
      </w:r>
      <w:r>
        <w:rPr>
          <w:rFonts w:ascii="Georgia"/>
          <w:w w:val="105"/>
        </w:rPr>
        <w:t>affirming health care</w:t>
      </w:r>
    </w:p>
    <w:p>
      <w:pPr>
        <w:spacing w:after="0" w:line="266" w:lineRule="auto"/>
        <w:jc w:val="center"/>
        <w:rPr>
          <w:rFonts w:ascii="Georgia"/>
        </w:rPr>
        <w:sectPr>
          <w:type w:val="continuous"/>
          <w:pgSz w:w="12240" w:h="15840"/>
          <w:pgMar w:header="0" w:footer="0" w:top="1420" w:bottom="280" w:left="1100" w:right="340"/>
          <w:cols w:num="2" w:equalWidth="0">
            <w:col w:w="5133" w:space="879"/>
            <w:col w:w="4788"/>
          </w:cols>
        </w:sectPr>
      </w:pPr>
    </w:p>
    <w:p>
      <w:pPr>
        <w:pStyle w:val="BodyText"/>
        <w:ind w:left="5955"/>
        <w:rPr>
          <w:rFonts w:ascii="Georgia"/>
          <w:sz w:val="20"/>
        </w:rPr>
      </w:pPr>
      <w:r>
        <w:rPr/>
        <mc:AlternateContent>
          <mc:Choice Requires="wps">
            <w:drawing>
              <wp:anchor distT="0" distB="0" distL="0" distR="0" allowOverlap="1" layoutInCell="1" locked="0" behindDoc="1" simplePos="0" relativeHeight="482595840">
                <wp:simplePos x="0" y="0"/>
                <wp:positionH relativeFrom="page">
                  <wp:posOffset>0</wp:posOffset>
                </wp:positionH>
                <wp:positionV relativeFrom="page">
                  <wp:posOffset>0</wp:posOffset>
                </wp:positionV>
                <wp:extent cx="7772400" cy="5882640"/>
                <wp:effectExtent l="0" t="0" r="0" b="0"/>
                <wp:wrapNone/>
                <wp:docPr id="273" name="Group 273"/>
                <wp:cNvGraphicFramePr>
                  <a:graphicFrameLocks/>
                </wp:cNvGraphicFramePr>
                <a:graphic>
                  <a:graphicData uri="http://schemas.microsoft.com/office/word/2010/wordprocessingGroup">
                    <wpg:wgp>
                      <wpg:cNvPr id="273" name="Group 273"/>
                      <wpg:cNvGrpSpPr/>
                      <wpg:grpSpPr>
                        <a:xfrm>
                          <a:off x="0" y="0"/>
                          <a:ext cx="7772400" cy="5882640"/>
                          <a:chExt cx="7772400" cy="5882640"/>
                        </a:xfrm>
                      </wpg:grpSpPr>
                      <pic:pic>
                        <pic:nvPicPr>
                          <pic:cNvPr id="274" name="Image 274"/>
                          <pic:cNvPicPr/>
                        </pic:nvPicPr>
                        <pic:blipFill>
                          <a:blip r:embed="rId306" cstate="print"/>
                          <a:stretch>
                            <a:fillRect/>
                          </a:stretch>
                        </pic:blipFill>
                        <pic:spPr>
                          <a:xfrm>
                            <a:off x="0" y="0"/>
                            <a:ext cx="7772400" cy="3173439"/>
                          </a:xfrm>
                          <a:prstGeom prst="rect">
                            <a:avLst/>
                          </a:prstGeom>
                        </pic:spPr>
                      </pic:pic>
                      <pic:pic>
                        <pic:nvPicPr>
                          <pic:cNvPr id="275" name="Image 275"/>
                          <pic:cNvPicPr/>
                        </pic:nvPicPr>
                        <pic:blipFill>
                          <a:blip r:embed="rId98" cstate="print"/>
                          <a:stretch>
                            <a:fillRect/>
                          </a:stretch>
                        </pic:blipFill>
                        <pic:spPr>
                          <a:xfrm>
                            <a:off x="4978373" y="735421"/>
                            <a:ext cx="1480888" cy="1480632"/>
                          </a:xfrm>
                          <a:prstGeom prst="rect">
                            <a:avLst/>
                          </a:prstGeom>
                        </pic:spPr>
                      </pic:pic>
                      <wps:wsp>
                        <wps:cNvPr id="276" name="Graphic 276"/>
                        <wps:cNvSpPr/>
                        <wps:spPr>
                          <a:xfrm>
                            <a:off x="4964628" y="721667"/>
                            <a:ext cx="1508125" cy="1508125"/>
                          </a:xfrm>
                          <a:custGeom>
                            <a:avLst/>
                            <a:gdLst/>
                            <a:ahLst/>
                            <a:cxnLst/>
                            <a:rect l="l" t="t" r="r" b="b"/>
                            <a:pathLst>
                              <a:path w="1508125" h="1508125">
                                <a:moveTo>
                                  <a:pt x="754061" y="1508119"/>
                                </a:moveTo>
                                <a:lnTo>
                                  <a:pt x="706443" y="1506633"/>
                                </a:lnTo>
                                <a:lnTo>
                                  <a:pt x="659603" y="1502233"/>
                                </a:lnTo>
                                <a:lnTo>
                                  <a:pt x="613628" y="1495009"/>
                                </a:lnTo>
                                <a:lnTo>
                                  <a:pt x="568609" y="1485050"/>
                                </a:lnTo>
                                <a:lnTo>
                                  <a:pt x="524634" y="1472444"/>
                                </a:lnTo>
                                <a:lnTo>
                                  <a:pt x="481792" y="1457281"/>
                                </a:lnTo>
                                <a:lnTo>
                                  <a:pt x="440173" y="1439650"/>
                                </a:lnTo>
                                <a:lnTo>
                                  <a:pt x="399864" y="1419640"/>
                                </a:lnTo>
                                <a:lnTo>
                                  <a:pt x="360956" y="1397339"/>
                                </a:lnTo>
                                <a:lnTo>
                                  <a:pt x="323537" y="1372837"/>
                                </a:lnTo>
                                <a:lnTo>
                                  <a:pt x="287696" y="1346223"/>
                                </a:lnTo>
                                <a:lnTo>
                                  <a:pt x="253523" y="1317586"/>
                                </a:lnTo>
                                <a:lnTo>
                                  <a:pt x="221106" y="1287014"/>
                                </a:lnTo>
                                <a:lnTo>
                                  <a:pt x="190534" y="1254598"/>
                                </a:lnTo>
                                <a:lnTo>
                                  <a:pt x="161896" y="1220425"/>
                                </a:lnTo>
                                <a:lnTo>
                                  <a:pt x="135282" y="1184585"/>
                                </a:lnTo>
                                <a:lnTo>
                                  <a:pt x="110780" y="1147166"/>
                                </a:lnTo>
                                <a:lnTo>
                                  <a:pt x="88479" y="1108259"/>
                                </a:lnTo>
                                <a:lnTo>
                                  <a:pt x="68468" y="1067951"/>
                                </a:lnTo>
                                <a:lnTo>
                                  <a:pt x="50770" y="1026142"/>
                                </a:lnTo>
                                <a:lnTo>
                                  <a:pt x="35669" y="983473"/>
                                </a:lnTo>
                                <a:lnTo>
                                  <a:pt x="23075" y="939517"/>
                                </a:lnTo>
                                <a:lnTo>
                                  <a:pt x="13118" y="894499"/>
                                </a:lnTo>
                                <a:lnTo>
                                  <a:pt x="5894" y="848526"/>
                                </a:lnTo>
                                <a:lnTo>
                                  <a:pt x="1491" y="801686"/>
                                </a:lnTo>
                                <a:lnTo>
                                  <a:pt x="0" y="754070"/>
                                </a:lnTo>
                                <a:lnTo>
                                  <a:pt x="1494" y="706368"/>
                                </a:lnTo>
                                <a:lnTo>
                                  <a:pt x="5906" y="659480"/>
                                </a:lnTo>
                                <a:lnTo>
                                  <a:pt x="13140" y="613502"/>
                                </a:lnTo>
                                <a:lnTo>
                                  <a:pt x="23094" y="568530"/>
                                </a:lnTo>
                                <a:lnTo>
                                  <a:pt x="35676" y="524643"/>
                                </a:lnTo>
                                <a:lnTo>
                                  <a:pt x="50851" y="481801"/>
                                </a:lnTo>
                                <a:lnTo>
                                  <a:pt x="68470" y="440181"/>
                                </a:lnTo>
                                <a:lnTo>
                                  <a:pt x="88480" y="399872"/>
                                </a:lnTo>
                                <a:lnTo>
                                  <a:pt x="110781" y="360964"/>
                                </a:lnTo>
                                <a:lnTo>
                                  <a:pt x="135284" y="323544"/>
                                </a:lnTo>
                                <a:lnTo>
                                  <a:pt x="161898" y="287703"/>
                                </a:lnTo>
                                <a:lnTo>
                                  <a:pt x="190536" y="253529"/>
                                </a:lnTo>
                                <a:lnTo>
                                  <a:pt x="221108" y="221111"/>
                                </a:lnTo>
                                <a:lnTo>
                                  <a:pt x="253526" y="190539"/>
                                </a:lnTo>
                                <a:lnTo>
                                  <a:pt x="287699" y="161901"/>
                                </a:lnTo>
                                <a:lnTo>
                                  <a:pt x="323540" y="135286"/>
                                </a:lnTo>
                                <a:lnTo>
                                  <a:pt x="360959" y="110783"/>
                                </a:lnTo>
                                <a:lnTo>
                                  <a:pt x="399867" y="88482"/>
                                </a:lnTo>
                                <a:lnTo>
                                  <a:pt x="440175" y="68471"/>
                                </a:lnTo>
                                <a:lnTo>
                                  <a:pt x="481795" y="50839"/>
                                </a:lnTo>
                                <a:lnTo>
                                  <a:pt x="524636" y="35676"/>
                                </a:lnTo>
                                <a:lnTo>
                                  <a:pt x="568611" y="23070"/>
                                </a:lnTo>
                                <a:lnTo>
                                  <a:pt x="613630" y="13110"/>
                                </a:lnTo>
                                <a:lnTo>
                                  <a:pt x="659604" y="5886"/>
                                </a:lnTo>
                                <a:lnTo>
                                  <a:pt x="706444" y="1486"/>
                                </a:lnTo>
                                <a:lnTo>
                                  <a:pt x="754061" y="0"/>
                                </a:lnTo>
                                <a:lnTo>
                                  <a:pt x="801678" y="1486"/>
                                </a:lnTo>
                                <a:lnTo>
                                  <a:pt x="848519" y="5886"/>
                                </a:lnTo>
                                <a:lnTo>
                                  <a:pt x="894494" y="13110"/>
                                </a:lnTo>
                                <a:lnTo>
                                  <a:pt x="939513" y="23070"/>
                                </a:lnTo>
                                <a:lnTo>
                                  <a:pt x="954942" y="27493"/>
                                </a:lnTo>
                                <a:lnTo>
                                  <a:pt x="754061" y="27493"/>
                                </a:lnTo>
                                <a:lnTo>
                                  <a:pt x="706360" y="29041"/>
                                </a:lnTo>
                                <a:lnTo>
                                  <a:pt x="659472" y="33622"/>
                                </a:lnTo>
                                <a:lnTo>
                                  <a:pt x="613495" y="41139"/>
                                </a:lnTo>
                                <a:lnTo>
                                  <a:pt x="568524" y="51496"/>
                                </a:lnTo>
                                <a:lnTo>
                                  <a:pt x="524656" y="64596"/>
                                </a:lnTo>
                                <a:lnTo>
                                  <a:pt x="481987" y="80342"/>
                                </a:lnTo>
                                <a:lnTo>
                                  <a:pt x="440615" y="98639"/>
                                </a:lnTo>
                                <a:lnTo>
                                  <a:pt x="400634" y="119389"/>
                                </a:lnTo>
                                <a:lnTo>
                                  <a:pt x="362143" y="142496"/>
                                </a:lnTo>
                                <a:lnTo>
                                  <a:pt x="325237" y="167865"/>
                                </a:lnTo>
                                <a:lnTo>
                                  <a:pt x="290013" y="195397"/>
                                </a:lnTo>
                                <a:lnTo>
                                  <a:pt x="256567" y="224997"/>
                                </a:lnTo>
                                <a:lnTo>
                                  <a:pt x="224996" y="256569"/>
                                </a:lnTo>
                                <a:lnTo>
                                  <a:pt x="195396" y="290015"/>
                                </a:lnTo>
                                <a:lnTo>
                                  <a:pt x="167863" y="325240"/>
                                </a:lnTo>
                                <a:lnTo>
                                  <a:pt x="142496" y="362147"/>
                                </a:lnTo>
                                <a:lnTo>
                                  <a:pt x="119388" y="400639"/>
                                </a:lnTo>
                                <a:lnTo>
                                  <a:pt x="98638" y="440619"/>
                                </a:lnTo>
                                <a:lnTo>
                                  <a:pt x="80342" y="481993"/>
                                </a:lnTo>
                                <a:lnTo>
                                  <a:pt x="64597" y="524662"/>
                                </a:lnTo>
                                <a:lnTo>
                                  <a:pt x="51475" y="568619"/>
                                </a:lnTo>
                                <a:lnTo>
                                  <a:pt x="41117" y="613638"/>
                                </a:lnTo>
                                <a:lnTo>
                                  <a:pt x="33609" y="659613"/>
                                </a:lnTo>
                                <a:lnTo>
                                  <a:pt x="29039" y="706453"/>
                                </a:lnTo>
                                <a:lnTo>
                                  <a:pt x="27493" y="754070"/>
                                </a:lnTo>
                                <a:lnTo>
                                  <a:pt x="29047" y="801771"/>
                                </a:lnTo>
                                <a:lnTo>
                                  <a:pt x="33631" y="848659"/>
                                </a:lnTo>
                                <a:lnTo>
                                  <a:pt x="41148" y="894637"/>
                                </a:lnTo>
                                <a:lnTo>
                                  <a:pt x="51502" y="939608"/>
                                </a:lnTo>
                                <a:lnTo>
                                  <a:pt x="64602" y="983492"/>
                                </a:lnTo>
                                <a:lnTo>
                                  <a:pt x="80341" y="1026142"/>
                                </a:lnTo>
                                <a:lnTo>
                                  <a:pt x="98638" y="1067517"/>
                                </a:lnTo>
                                <a:lnTo>
                                  <a:pt x="119388" y="1107497"/>
                                </a:lnTo>
                                <a:lnTo>
                                  <a:pt x="142496" y="1145988"/>
                                </a:lnTo>
                                <a:lnTo>
                                  <a:pt x="167864" y="1182894"/>
                                </a:lnTo>
                                <a:lnTo>
                                  <a:pt x="195396" y="1218118"/>
                                </a:lnTo>
                                <a:lnTo>
                                  <a:pt x="224996" y="1251564"/>
                                </a:lnTo>
                                <a:lnTo>
                                  <a:pt x="256567" y="1283135"/>
                                </a:lnTo>
                                <a:lnTo>
                                  <a:pt x="290013" y="1312734"/>
                                </a:lnTo>
                                <a:lnTo>
                                  <a:pt x="325237" y="1340266"/>
                                </a:lnTo>
                                <a:lnTo>
                                  <a:pt x="362143" y="1365634"/>
                                </a:lnTo>
                                <a:lnTo>
                                  <a:pt x="400635" y="1388741"/>
                                </a:lnTo>
                                <a:lnTo>
                                  <a:pt x="440615" y="1409491"/>
                                </a:lnTo>
                                <a:lnTo>
                                  <a:pt x="481988" y="1427787"/>
                                </a:lnTo>
                                <a:lnTo>
                                  <a:pt x="524656" y="1443533"/>
                                </a:lnTo>
                                <a:lnTo>
                                  <a:pt x="568524" y="1456632"/>
                                </a:lnTo>
                                <a:lnTo>
                                  <a:pt x="613495" y="1466989"/>
                                </a:lnTo>
                                <a:lnTo>
                                  <a:pt x="659473" y="1474506"/>
                                </a:lnTo>
                                <a:lnTo>
                                  <a:pt x="706361" y="1479087"/>
                                </a:lnTo>
                                <a:lnTo>
                                  <a:pt x="754061" y="1480635"/>
                                </a:lnTo>
                                <a:lnTo>
                                  <a:pt x="954914" y="1480635"/>
                                </a:lnTo>
                                <a:lnTo>
                                  <a:pt x="939512" y="1485050"/>
                                </a:lnTo>
                                <a:lnTo>
                                  <a:pt x="894493" y="1495009"/>
                                </a:lnTo>
                                <a:lnTo>
                                  <a:pt x="848519" y="1502233"/>
                                </a:lnTo>
                                <a:lnTo>
                                  <a:pt x="801678" y="1506633"/>
                                </a:lnTo>
                                <a:lnTo>
                                  <a:pt x="754061" y="1508119"/>
                                </a:lnTo>
                                <a:close/>
                              </a:path>
                              <a:path w="1508125" h="1508125">
                                <a:moveTo>
                                  <a:pt x="954914" y="1480635"/>
                                </a:moveTo>
                                <a:lnTo>
                                  <a:pt x="754061" y="1480635"/>
                                </a:lnTo>
                                <a:lnTo>
                                  <a:pt x="801761" y="1479087"/>
                                </a:lnTo>
                                <a:lnTo>
                                  <a:pt x="848648" y="1474506"/>
                                </a:lnTo>
                                <a:lnTo>
                                  <a:pt x="894626" y="1466989"/>
                                </a:lnTo>
                                <a:lnTo>
                                  <a:pt x="939597" y="1456632"/>
                                </a:lnTo>
                                <a:lnTo>
                                  <a:pt x="983465" y="1443532"/>
                                </a:lnTo>
                                <a:lnTo>
                                  <a:pt x="1026134" y="1427786"/>
                                </a:lnTo>
                                <a:lnTo>
                                  <a:pt x="1067507" y="1409490"/>
                                </a:lnTo>
                                <a:lnTo>
                                  <a:pt x="1107487" y="1388740"/>
                                </a:lnTo>
                                <a:lnTo>
                                  <a:pt x="1145979" y="1365633"/>
                                </a:lnTo>
                                <a:lnTo>
                                  <a:pt x="1182885" y="1340265"/>
                                </a:lnTo>
                                <a:lnTo>
                                  <a:pt x="1218110" y="1312732"/>
                                </a:lnTo>
                                <a:lnTo>
                                  <a:pt x="1251556" y="1283133"/>
                                </a:lnTo>
                                <a:lnTo>
                                  <a:pt x="1283128" y="1251562"/>
                                </a:lnTo>
                                <a:lnTo>
                                  <a:pt x="1312728" y="1218116"/>
                                </a:lnTo>
                                <a:lnTo>
                                  <a:pt x="1340261" y="1182892"/>
                                </a:lnTo>
                                <a:lnTo>
                                  <a:pt x="1365629" y="1145986"/>
                                </a:lnTo>
                                <a:lnTo>
                                  <a:pt x="1388737" y="1107494"/>
                                </a:lnTo>
                                <a:lnTo>
                                  <a:pt x="1409488" y="1067514"/>
                                </a:lnTo>
                                <a:lnTo>
                                  <a:pt x="1427785" y="1026142"/>
                                </a:lnTo>
                                <a:lnTo>
                                  <a:pt x="1443530" y="983473"/>
                                </a:lnTo>
                                <a:lnTo>
                                  <a:pt x="1456652" y="939517"/>
                                </a:lnTo>
                                <a:lnTo>
                                  <a:pt x="1467010" y="894499"/>
                                </a:lnTo>
                                <a:lnTo>
                                  <a:pt x="1474518" y="848526"/>
                                </a:lnTo>
                                <a:lnTo>
                                  <a:pt x="1479089" y="801686"/>
                                </a:lnTo>
                                <a:lnTo>
                                  <a:pt x="1480635" y="754070"/>
                                </a:lnTo>
                                <a:lnTo>
                                  <a:pt x="1479081" y="706368"/>
                                </a:lnTo>
                                <a:lnTo>
                                  <a:pt x="1474497" y="659480"/>
                                </a:lnTo>
                                <a:lnTo>
                                  <a:pt x="1466979" y="613502"/>
                                </a:lnTo>
                                <a:lnTo>
                                  <a:pt x="1456625" y="568530"/>
                                </a:lnTo>
                                <a:lnTo>
                                  <a:pt x="1443524" y="524643"/>
                                </a:lnTo>
                                <a:lnTo>
                                  <a:pt x="1427785" y="481993"/>
                                </a:lnTo>
                                <a:lnTo>
                                  <a:pt x="1409488" y="440619"/>
                                </a:lnTo>
                                <a:lnTo>
                                  <a:pt x="1388737" y="400639"/>
                                </a:lnTo>
                                <a:lnTo>
                                  <a:pt x="1365630" y="362147"/>
                                </a:lnTo>
                                <a:lnTo>
                                  <a:pt x="1340261" y="325240"/>
                                </a:lnTo>
                                <a:lnTo>
                                  <a:pt x="1312729" y="290015"/>
                                </a:lnTo>
                                <a:lnTo>
                                  <a:pt x="1283128" y="256569"/>
                                </a:lnTo>
                                <a:lnTo>
                                  <a:pt x="1251557" y="224997"/>
                                </a:lnTo>
                                <a:lnTo>
                                  <a:pt x="1218110" y="195397"/>
                                </a:lnTo>
                                <a:lnTo>
                                  <a:pt x="1182886" y="167865"/>
                                </a:lnTo>
                                <a:lnTo>
                                  <a:pt x="1145979" y="142496"/>
                                </a:lnTo>
                                <a:lnTo>
                                  <a:pt x="1107487" y="119389"/>
                                </a:lnTo>
                                <a:lnTo>
                                  <a:pt x="1067507" y="98639"/>
                                </a:lnTo>
                                <a:lnTo>
                                  <a:pt x="1026134" y="80342"/>
                                </a:lnTo>
                                <a:lnTo>
                                  <a:pt x="983465" y="64596"/>
                                </a:lnTo>
                                <a:lnTo>
                                  <a:pt x="939597" y="51496"/>
                                </a:lnTo>
                                <a:lnTo>
                                  <a:pt x="894626" y="41139"/>
                                </a:lnTo>
                                <a:lnTo>
                                  <a:pt x="848649" y="33622"/>
                                </a:lnTo>
                                <a:lnTo>
                                  <a:pt x="801762" y="29041"/>
                                </a:lnTo>
                                <a:lnTo>
                                  <a:pt x="754061" y="27493"/>
                                </a:lnTo>
                                <a:lnTo>
                                  <a:pt x="954942" y="27493"/>
                                </a:lnTo>
                                <a:lnTo>
                                  <a:pt x="1026330" y="50839"/>
                                </a:lnTo>
                                <a:lnTo>
                                  <a:pt x="1067949" y="68471"/>
                                </a:lnTo>
                                <a:lnTo>
                                  <a:pt x="1108258" y="88482"/>
                                </a:lnTo>
                                <a:lnTo>
                                  <a:pt x="1147166" y="110784"/>
                                </a:lnTo>
                                <a:lnTo>
                                  <a:pt x="1184585" y="135287"/>
                                </a:lnTo>
                                <a:lnTo>
                                  <a:pt x="1220425" y="161902"/>
                                </a:lnTo>
                                <a:lnTo>
                                  <a:pt x="1254599" y="190540"/>
                                </a:lnTo>
                                <a:lnTo>
                                  <a:pt x="1287016" y="221113"/>
                                </a:lnTo>
                                <a:lnTo>
                                  <a:pt x="1317588" y="253530"/>
                                </a:lnTo>
                                <a:lnTo>
                                  <a:pt x="1346225" y="287704"/>
                                </a:lnTo>
                                <a:lnTo>
                                  <a:pt x="1372840" y="323546"/>
                                </a:lnTo>
                                <a:lnTo>
                                  <a:pt x="1397342" y="360965"/>
                                </a:lnTo>
                                <a:lnTo>
                                  <a:pt x="1419643" y="399874"/>
                                </a:lnTo>
                                <a:lnTo>
                                  <a:pt x="1439653" y="440182"/>
                                </a:lnTo>
                                <a:lnTo>
                                  <a:pt x="1457352" y="481993"/>
                                </a:lnTo>
                                <a:lnTo>
                                  <a:pt x="1472452" y="524662"/>
                                </a:lnTo>
                                <a:lnTo>
                                  <a:pt x="1485047" y="568619"/>
                                </a:lnTo>
                                <a:lnTo>
                                  <a:pt x="1495003" y="613638"/>
                                </a:lnTo>
                                <a:lnTo>
                                  <a:pt x="1502228" y="659613"/>
                                </a:lnTo>
                                <a:lnTo>
                                  <a:pt x="1506630" y="706453"/>
                                </a:lnTo>
                                <a:lnTo>
                                  <a:pt x="1508122" y="754070"/>
                                </a:lnTo>
                                <a:lnTo>
                                  <a:pt x="1506628" y="801771"/>
                                </a:lnTo>
                                <a:lnTo>
                                  <a:pt x="1502215" y="848659"/>
                                </a:lnTo>
                                <a:lnTo>
                                  <a:pt x="1494982" y="894637"/>
                                </a:lnTo>
                                <a:lnTo>
                                  <a:pt x="1485027" y="939608"/>
                                </a:lnTo>
                                <a:lnTo>
                                  <a:pt x="1472446" y="983492"/>
                                </a:lnTo>
                                <a:lnTo>
                                  <a:pt x="1457271" y="1026333"/>
                                </a:lnTo>
                                <a:lnTo>
                                  <a:pt x="1439652" y="1067952"/>
                                </a:lnTo>
                                <a:lnTo>
                                  <a:pt x="1419642" y="1108260"/>
                                </a:lnTo>
                                <a:lnTo>
                                  <a:pt x="1397341" y="1147168"/>
                                </a:lnTo>
                                <a:lnTo>
                                  <a:pt x="1372839" y="1184586"/>
                                </a:lnTo>
                                <a:lnTo>
                                  <a:pt x="1346224" y="1220426"/>
                                </a:lnTo>
                                <a:lnTo>
                                  <a:pt x="1317587" y="1254599"/>
                                </a:lnTo>
                                <a:lnTo>
                                  <a:pt x="1287015" y="1287016"/>
                                </a:lnTo>
                                <a:lnTo>
                                  <a:pt x="1254598" y="1317587"/>
                                </a:lnTo>
                                <a:lnTo>
                                  <a:pt x="1220424" y="1346224"/>
                                </a:lnTo>
                                <a:lnTo>
                                  <a:pt x="1184584" y="1372838"/>
                                </a:lnTo>
                                <a:lnTo>
                                  <a:pt x="1147165" y="1397340"/>
                                </a:lnTo>
                                <a:lnTo>
                                  <a:pt x="1108257" y="1419641"/>
                                </a:lnTo>
                                <a:lnTo>
                                  <a:pt x="1067948" y="1439651"/>
                                </a:lnTo>
                                <a:lnTo>
                                  <a:pt x="1026329" y="1457282"/>
                                </a:lnTo>
                                <a:lnTo>
                                  <a:pt x="983487" y="1472445"/>
                                </a:lnTo>
                                <a:lnTo>
                                  <a:pt x="954914" y="1480635"/>
                                </a:lnTo>
                                <a:close/>
                              </a:path>
                            </a:pathLst>
                          </a:custGeom>
                          <a:solidFill>
                            <a:srgbClr val="FFFFFF"/>
                          </a:solidFill>
                        </wps:spPr>
                        <wps:bodyPr wrap="square" lIns="0" tIns="0" rIns="0" bIns="0" rtlCol="0">
                          <a:prstTxWarp prst="textNoShape">
                            <a:avLst/>
                          </a:prstTxWarp>
                          <a:noAutofit/>
                        </wps:bodyPr>
                      </wps:wsp>
                      <wps:wsp>
                        <wps:cNvPr id="277" name="Graphic 277"/>
                        <wps:cNvSpPr/>
                        <wps:spPr>
                          <a:xfrm>
                            <a:off x="655211" y="2933569"/>
                            <a:ext cx="3471545" cy="2885440"/>
                          </a:xfrm>
                          <a:custGeom>
                            <a:avLst/>
                            <a:gdLst/>
                            <a:ahLst/>
                            <a:cxnLst/>
                            <a:rect l="l" t="t" r="r" b="b"/>
                            <a:pathLst>
                              <a:path w="3471545" h="2885440">
                                <a:moveTo>
                                  <a:pt x="3113780" y="2885116"/>
                                </a:moveTo>
                                <a:lnTo>
                                  <a:pt x="361948" y="2885116"/>
                                </a:lnTo>
                                <a:lnTo>
                                  <a:pt x="312835" y="2881812"/>
                                </a:lnTo>
                                <a:lnTo>
                                  <a:pt x="265729" y="2872187"/>
                                </a:lnTo>
                                <a:lnTo>
                                  <a:pt x="221062" y="2856673"/>
                                </a:lnTo>
                                <a:lnTo>
                                  <a:pt x="179266" y="2835700"/>
                                </a:lnTo>
                                <a:lnTo>
                                  <a:pt x="140773" y="2809700"/>
                                </a:lnTo>
                                <a:lnTo>
                                  <a:pt x="106012" y="2779104"/>
                                </a:lnTo>
                                <a:lnTo>
                                  <a:pt x="75416" y="2744343"/>
                                </a:lnTo>
                                <a:lnTo>
                                  <a:pt x="49416" y="2705850"/>
                                </a:lnTo>
                                <a:lnTo>
                                  <a:pt x="28443" y="2664054"/>
                                </a:lnTo>
                                <a:lnTo>
                                  <a:pt x="12929" y="2619387"/>
                                </a:lnTo>
                                <a:lnTo>
                                  <a:pt x="3304" y="2572281"/>
                                </a:lnTo>
                                <a:lnTo>
                                  <a:pt x="0" y="2523166"/>
                                </a:lnTo>
                                <a:lnTo>
                                  <a:pt x="0" y="361950"/>
                                </a:lnTo>
                                <a:lnTo>
                                  <a:pt x="3304" y="312835"/>
                                </a:lnTo>
                                <a:lnTo>
                                  <a:pt x="12929" y="265729"/>
                                </a:lnTo>
                                <a:lnTo>
                                  <a:pt x="28443" y="221062"/>
                                </a:lnTo>
                                <a:lnTo>
                                  <a:pt x="49416" y="179266"/>
                                </a:lnTo>
                                <a:lnTo>
                                  <a:pt x="75416" y="140773"/>
                                </a:lnTo>
                                <a:lnTo>
                                  <a:pt x="106012" y="106012"/>
                                </a:lnTo>
                                <a:lnTo>
                                  <a:pt x="140773" y="75416"/>
                                </a:lnTo>
                                <a:lnTo>
                                  <a:pt x="179266" y="49416"/>
                                </a:lnTo>
                                <a:lnTo>
                                  <a:pt x="221062" y="28443"/>
                                </a:lnTo>
                                <a:lnTo>
                                  <a:pt x="265729" y="12929"/>
                                </a:lnTo>
                                <a:lnTo>
                                  <a:pt x="312835" y="3304"/>
                                </a:lnTo>
                                <a:lnTo>
                                  <a:pt x="361950" y="0"/>
                                </a:lnTo>
                                <a:lnTo>
                                  <a:pt x="3113778" y="0"/>
                                </a:lnTo>
                                <a:lnTo>
                                  <a:pt x="3162893" y="3304"/>
                                </a:lnTo>
                                <a:lnTo>
                                  <a:pt x="3209999" y="12929"/>
                                </a:lnTo>
                                <a:lnTo>
                                  <a:pt x="3254666" y="28443"/>
                                </a:lnTo>
                                <a:lnTo>
                                  <a:pt x="3296461" y="49416"/>
                                </a:lnTo>
                                <a:lnTo>
                                  <a:pt x="3334955" y="75416"/>
                                </a:lnTo>
                                <a:lnTo>
                                  <a:pt x="3369716" y="106012"/>
                                </a:lnTo>
                                <a:lnTo>
                                  <a:pt x="3400312" y="140773"/>
                                </a:lnTo>
                                <a:lnTo>
                                  <a:pt x="3426312" y="179266"/>
                                </a:lnTo>
                                <a:lnTo>
                                  <a:pt x="3447285" y="221062"/>
                                </a:lnTo>
                                <a:lnTo>
                                  <a:pt x="3462799" y="265729"/>
                                </a:lnTo>
                                <a:lnTo>
                                  <a:pt x="3471156" y="306627"/>
                                </a:lnTo>
                                <a:lnTo>
                                  <a:pt x="3471156" y="2578489"/>
                                </a:lnTo>
                                <a:lnTo>
                                  <a:pt x="3462799" y="2619387"/>
                                </a:lnTo>
                                <a:lnTo>
                                  <a:pt x="3447285" y="2664054"/>
                                </a:lnTo>
                                <a:lnTo>
                                  <a:pt x="3426312" y="2705850"/>
                                </a:lnTo>
                                <a:lnTo>
                                  <a:pt x="3400312" y="2744343"/>
                                </a:lnTo>
                                <a:lnTo>
                                  <a:pt x="3369716" y="2779104"/>
                                </a:lnTo>
                                <a:lnTo>
                                  <a:pt x="3334955" y="2809700"/>
                                </a:lnTo>
                                <a:lnTo>
                                  <a:pt x="3296461" y="2835700"/>
                                </a:lnTo>
                                <a:lnTo>
                                  <a:pt x="3254666" y="2856673"/>
                                </a:lnTo>
                                <a:lnTo>
                                  <a:pt x="3209999" y="2872187"/>
                                </a:lnTo>
                                <a:lnTo>
                                  <a:pt x="3162893" y="2881812"/>
                                </a:lnTo>
                                <a:lnTo>
                                  <a:pt x="3113780" y="2885116"/>
                                </a:lnTo>
                                <a:close/>
                              </a:path>
                            </a:pathLst>
                          </a:custGeom>
                          <a:solidFill>
                            <a:srgbClr val="F2AB97">
                              <a:alpha val="55999"/>
                            </a:srgbClr>
                          </a:solidFill>
                        </wps:spPr>
                        <wps:bodyPr wrap="square" lIns="0" tIns="0" rIns="0" bIns="0" rtlCol="0">
                          <a:prstTxWarp prst="textNoShape">
                            <a:avLst/>
                          </a:prstTxWarp>
                          <a:noAutofit/>
                        </wps:bodyPr>
                      </wps:wsp>
                      <wps:wsp>
                        <wps:cNvPr id="278" name="Graphic 278"/>
                        <wps:cNvSpPr/>
                        <wps:spPr>
                          <a:xfrm>
                            <a:off x="4356887" y="4390915"/>
                            <a:ext cx="2773680" cy="1270"/>
                          </a:xfrm>
                          <a:custGeom>
                            <a:avLst/>
                            <a:gdLst/>
                            <a:ahLst/>
                            <a:cxnLst/>
                            <a:rect l="l" t="t" r="r" b="b"/>
                            <a:pathLst>
                              <a:path w="2773680" h="0">
                                <a:moveTo>
                                  <a:pt x="0" y="0"/>
                                </a:moveTo>
                                <a:lnTo>
                                  <a:pt x="2773600" y="0"/>
                                </a:lnTo>
                              </a:path>
                            </a:pathLst>
                          </a:custGeom>
                          <a:ln w="28574">
                            <a:solidFill>
                              <a:srgbClr val="F46E16"/>
                            </a:solidFill>
                            <a:prstDash val="sysDash"/>
                          </a:ln>
                        </wps:spPr>
                        <wps:bodyPr wrap="square" lIns="0" tIns="0" rIns="0" bIns="0" rtlCol="0">
                          <a:prstTxWarp prst="textNoShape">
                            <a:avLst/>
                          </a:prstTxWarp>
                          <a:noAutofit/>
                        </wps:bodyPr>
                      </wps:wsp>
                      <wps:wsp>
                        <wps:cNvPr id="279" name="Graphic 279"/>
                        <wps:cNvSpPr/>
                        <wps:spPr>
                          <a:xfrm>
                            <a:off x="4356887" y="5867891"/>
                            <a:ext cx="2773680" cy="1270"/>
                          </a:xfrm>
                          <a:custGeom>
                            <a:avLst/>
                            <a:gdLst/>
                            <a:ahLst/>
                            <a:cxnLst/>
                            <a:rect l="l" t="t" r="r" b="b"/>
                            <a:pathLst>
                              <a:path w="2773680" h="0">
                                <a:moveTo>
                                  <a:pt x="0" y="0"/>
                                </a:moveTo>
                                <a:lnTo>
                                  <a:pt x="2773600" y="0"/>
                                </a:lnTo>
                              </a:path>
                            </a:pathLst>
                          </a:custGeom>
                          <a:ln w="28574">
                            <a:solidFill>
                              <a:srgbClr val="F46E16"/>
                            </a:solidFill>
                            <a:prstDash val="sysDash"/>
                          </a:ln>
                        </wps:spPr>
                        <wps:bodyPr wrap="square" lIns="0" tIns="0" rIns="0" bIns="0" rtlCol="0">
                          <a:prstTxWarp prst="textNoShape">
                            <a:avLst/>
                          </a:prstTxWarp>
                          <a:noAutofit/>
                        </wps:bodyPr>
                      </wps:wsp>
                      <wps:wsp>
                        <wps:cNvPr id="280" name="Graphic 280"/>
                        <wps:cNvSpPr/>
                        <wps:spPr>
                          <a:xfrm>
                            <a:off x="3658590" y="1627873"/>
                            <a:ext cx="942340" cy="892810"/>
                          </a:xfrm>
                          <a:custGeom>
                            <a:avLst/>
                            <a:gdLst/>
                            <a:ahLst/>
                            <a:cxnLst/>
                            <a:rect l="l" t="t" r="r" b="b"/>
                            <a:pathLst>
                              <a:path w="942340" h="892810">
                                <a:moveTo>
                                  <a:pt x="758825" y="590524"/>
                                </a:moveTo>
                                <a:lnTo>
                                  <a:pt x="586778" y="590651"/>
                                </a:lnTo>
                                <a:lnTo>
                                  <a:pt x="519417" y="720013"/>
                                </a:lnTo>
                                <a:lnTo>
                                  <a:pt x="514477" y="726935"/>
                                </a:lnTo>
                                <a:lnTo>
                                  <a:pt x="508012" y="732129"/>
                                </a:lnTo>
                                <a:lnTo>
                                  <a:pt x="500430" y="735406"/>
                                </a:lnTo>
                                <a:lnTo>
                                  <a:pt x="492137" y="736549"/>
                                </a:lnTo>
                                <a:lnTo>
                                  <a:pt x="488988" y="736396"/>
                                </a:lnTo>
                                <a:lnTo>
                                  <a:pt x="408533" y="417880"/>
                                </a:lnTo>
                                <a:lnTo>
                                  <a:pt x="369887" y="567461"/>
                                </a:lnTo>
                                <a:lnTo>
                                  <a:pt x="365734" y="576795"/>
                                </a:lnTo>
                                <a:lnTo>
                                  <a:pt x="358952" y="584085"/>
                                </a:lnTo>
                                <a:lnTo>
                                  <a:pt x="350202" y="588822"/>
                                </a:lnTo>
                                <a:lnTo>
                                  <a:pt x="340131" y="590524"/>
                                </a:lnTo>
                                <a:lnTo>
                                  <a:pt x="186258" y="590524"/>
                                </a:lnTo>
                                <a:lnTo>
                                  <a:pt x="455955" y="888822"/>
                                </a:lnTo>
                                <a:lnTo>
                                  <a:pt x="464235" y="892467"/>
                                </a:lnTo>
                                <a:lnTo>
                                  <a:pt x="481622" y="892467"/>
                                </a:lnTo>
                                <a:lnTo>
                                  <a:pt x="489966" y="888822"/>
                                </a:lnTo>
                                <a:lnTo>
                                  <a:pt x="758825" y="590524"/>
                                </a:lnTo>
                                <a:close/>
                              </a:path>
                              <a:path w="942340" h="892810">
                                <a:moveTo>
                                  <a:pt x="941882" y="240284"/>
                                </a:moveTo>
                                <a:lnTo>
                                  <a:pt x="940473" y="224764"/>
                                </a:lnTo>
                                <a:lnTo>
                                  <a:pt x="928077" y="179832"/>
                                </a:lnTo>
                                <a:lnTo>
                                  <a:pt x="908405" y="138214"/>
                                </a:lnTo>
                                <a:lnTo>
                                  <a:pt x="886968" y="107480"/>
                                </a:lnTo>
                                <a:lnTo>
                                  <a:pt x="882269" y="100736"/>
                                </a:lnTo>
                                <a:lnTo>
                                  <a:pt x="850455" y="68237"/>
                                </a:lnTo>
                                <a:lnTo>
                                  <a:pt x="813803" y="41516"/>
                                </a:lnTo>
                                <a:lnTo>
                                  <a:pt x="773087" y="21412"/>
                                </a:lnTo>
                                <a:lnTo>
                                  <a:pt x="729132" y="8750"/>
                                </a:lnTo>
                                <a:lnTo>
                                  <a:pt x="682739" y="4343"/>
                                </a:lnTo>
                                <a:lnTo>
                                  <a:pt x="632739" y="8864"/>
                                </a:lnTo>
                                <a:lnTo>
                                  <a:pt x="585787" y="22034"/>
                                </a:lnTo>
                                <a:lnTo>
                                  <a:pt x="542798" y="43256"/>
                                </a:lnTo>
                                <a:lnTo>
                                  <a:pt x="504723" y="71932"/>
                                </a:lnTo>
                                <a:lnTo>
                                  <a:pt x="472490" y="107480"/>
                                </a:lnTo>
                                <a:lnTo>
                                  <a:pt x="439801" y="70739"/>
                                </a:lnTo>
                                <a:lnTo>
                                  <a:pt x="401307" y="40894"/>
                                </a:lnTo>
                                <a:lnTo>
                                  <a:pt x="358101" y="18656"/>
                                </a:lnTo>
                                <a:lnTo>
                                  <a:pt x="311302" y="4787"/>
                                </a:lnTo>
                                <a:lnTo>
                                  <a:pt x="262051" y="0"/>
                                </a:lnTo>
                                <a:lnTo>
                                  <a:pt x="215658" y="4483"/>
                                </a:lnTo>
                                <a:lnTo>
                                  <a:pt x="171704" y="17386"/>
                                </a:lnTo>
                                <a:lnTo>
                                  <a:pt x="130987" y="37871"/>
                                </a:lnTo>
                                <a:lnTo>
                                  <a:pt x="94322" y="65087"/>
                                </a:lnTo>
                                <a:lnTo>
                                  <a:pt x="62522" y="98209"/>
                                </a:lnTo>
                                <a:lnTo>
                                  <a:pt x="36385" y="136385"/>
                                </a:lnTo>
                                <a:lnTo>
                                  <a:pt x="16713" y="178777"/>
                                </a:lnTo>
                                <a:lnTo>
                                  <a:pt x="4318" y="224561"/>
                                </a:lnTo>
                                <a:lnTo>
                                  <a:pt x="0" y="272884"/>
                                </a:lnTo>
                                <a:lnTo>
                                  <a:pt x="4457" y="320001"/>
                                </a:lnTo>
                                <a:lnTo>
                                  <a:pt x="16941" y="363232"/>
                                </a:lnTo>
                                <a:lnTo>
                                  <a:pt x="36080" y="405231"/>
                                </a:lnTo>
                                <a:lnTo>
                                  <a:pt x="60528" y="448830"/>
                                </a:lnTo>
                                <a:lnTo>
                                  <a:pt x="61861" y="452018"/>
                                </a:lnTo>
                                <a:lnTo>
                                  <a:pt x="63715" y="454939"/>
                                </a:lnTo>
                                <a:lnTo>
                                  <a:pt x="66078" y="457593"/>
                                </a:lnTo>
                                <a:lnTo>
                                  <a:pt x="130733" y="529145"/>
                                </a:lnTo>
                                <a:lnTo>
                                  <a:pt x="316318" y="529209"/>
                                </a:lnTo>
                                <a:lnTo>
                                  <a:pt x="383933" y="267246"/>
                                </a:lnTo>
                                <a:lnTo>
                                  <a:pt x="388264" y="257492"/>
                                </a:lnTo>
                                <a:lnTo>
                                  <a:pt x="395351" y="249770"/>
                                </a:lnTo>
                                <a:lnTo>
                                  <a:pt x="404444" y="245033"/>
                                </a:lnTo>
                                <a:lnTo>
                                  <a:pt x="414769" y="244221"/>
                                </a:lnTo>
                                <a:lnTo>
                                  <a:pt x="425030" y="246392"/>
                                </a:lnTo>
                                <a:lnTo>
                                  <a:pt x="433755" y="251714"/>
                                </a:lnTo>
                                <a:lnTo>
                                  <a:pt x="440258" y="259575"/>
                                </a:lnTo>
                                <a:lnTo>
                                  <a:pt x="443865" y="269417"/>
                                </a:lnTo>
                                <a:lnTo>
                                  <a:pt x="506183" y="612127"/>
                                </a:lnTo>
                                <a:lnTo>
                                  <a:pt x="540829" y="545706"/>
                                </a:lnTo>
                                <a:lnTo>
                                  <a:pt x="545706" y="538822"/>
                                </a:lnTo>
                                <a:lnTo>
                                  <a:pt x="552145" y="533615"/>
                                </a:lnTo>
                                <a:lnTo>
                                  <a:pt x="559752" y="530326"/>
                                </a:lnTo>
                                <a:lnTo>
                                  <a:pt x="568096" y="529170"/>
                                </a:lnTo>
                                <a:lnTo>
                                  <a:pt x="814158" y="529170"/>
                                </a:lnTo>
                                <a:lnTo>
                                  <a:pt x="878713" y="457593"/>
                                </a:lnTo>
                                <a:lnTo>
                                  <a:pt x="880922" y="455041"/>
                                </a:lnTo>
                                <a:lnTo>
                                  <a:pt x="882713" y="452208"/>
                                </a:lnTo>
                                <a:lnTo>
                                  <a:pt x="884034" y="449211"/>
                                </a:lnTo>
                                <a:lnTo>
                                  <a:pt x="908088" y="406234"/>
                                </a:lnTo>
                                <a:lnTo>
                                  <a:pt x="927354" y="363931"/>
                                </a:lnTo>
                                <a:lnTo>
                                  <a:pt x="940130" y="320052"/>
                                </a:lnTo>
                                <a:lnTo>
                                  <a:pt x="941882" y="302082"/>
                                </a:lnTo>
                                <a:lnTo>
                                  <a:pt x="941882" y="244221"/>
                                </a:lnTo>
                                <a:lnTo>
                                  <a:pt x="941882" y="240284"/>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000005pt;margin-top:-.00005pt;width:612pt;height:463.2pt;mso-position-horizontal-relative:page;mso-position-vertical-relative:page;z-index:-20720640" id="docshapegroup218" coordorigin="0,0" coordsize="12240,9264">
                <v:shape style="position:absolute;left:0;top:0;width:12240;height:4998" type="#_x0000_t75" id="docshape219" stroked="false">
                  <v:imagedata r:id="rId306" o:title=""/>
                </v:shape>
                <v:shape style="position:absolute;left:7839;top:1158;width:2333;height:2332" type="#_x0000_t75" id="docshape220" stroked="false">
                  <v:imagedata r:id="rId98" o:title=""/>
                </v:shape>
                <v:shape style="position:absolute;left:7818;top:1136;width:2375;height:2375" id="docshape221" coordorigin="7818,1136" coordsize="2375,2375" path="m9006,3511l8931,3509,8857,3502,8785,3491,8714,3475,8645,3455,8577,3431,8511,3404,8448,3372,8387,3337,8328,3298,8271,3257,8218,3211,8167,3163,8118,3112,8073,3058,8031,3002,7993,2943,7958,2882,7926,2818,7898,2752,7874,2685,7855,2616,7839,2545,7828,2473,7821,2399,7818,2324,7821,2249,7828,2175,7839,2103,7855,2032,7874,1963,7898,1895,7926,1830,7958,1766,7993,1705,8031,1646,8073,1590,8118,1536,8167,1485,8218,1437,8271,1391,8328,1350,8387,1311,8448,1276,8512,1244,8577,1217,8645,1193,8714,1173,8785,1157,8857,1146,8931,1139,9006,1136,9081,1139,9155,1146,9227,1157,9298,1173,9322,1180,9006,1180,8931,1182,8857,1189,8784,1201,8714,1218,8645,1238,8577,1263,8512,1292,8449,1324,8389,1361,8330,1401,8275,1444,8222,1491,8173,1541,8126,1593,8083,1649,8043,1707,8006,1767,7974,1830,7945,1896,7920,1963,7899,2032,7883,2103,7871,2175,7864,2249,7862,2324,7864,2399,7871,2473,7883,2545,7899,2616,7920,2685,7945,2752,7974,2818,8006,2881,8043,2941,8083,2999,8126,3055,8173,3107,8222,3157,8275,3204,8330,3247,8389,3287,8449,3323,8512,3356,8577,3385,8645,3410,8714,3430,8784,3447,8857,3459,8931,3466,9006,3468,9322,3468,9298,3475,9227,3491,9155,3502,9081,3509,9006,3511xm9322,3468l9006,3468,9081,3466,9155,3459,9227,3447,9298,3430,9367,3410,9434,3385,9499,3356,9562,3323,9623,3287,9681,3247,9737,3204,9789,3157,9839,3107,9886,3055,9929,2999,9969,2941,10005,2881,10038,2818,10067,2752,10092,2685,10112,2616,10129,2545,10140,2473,10148,2399,10150,2324,10148,2249,10140,2175,10129,2103,10112,2032,10092,1963,10067,1896,10038,1830,10005,1767,9969,1707,9929,1649,9886,1593,9839,1541,9789,1491,9737,1444,9681,1401,9623,1361,9562,1324,9499,1292,9434,1263,9367,1238,9298,1218,9227,1201,9155,1189,9081,1182,9006,1180,9322,1180,9367,1193,9435,1217,9500,1244,9564,1276,9625,1311,9684,1350,9740,1391,9794,1437,9845,1485,9893,1536,9938,1590,9980,1646,10019,1705,10054,1766,10085,1830,10113,1896,10137,1963,10157,2032,10173,2103,10184,2175,10191,2249,10193,2324,10191,2399,10184,2473,10173,2545,10157,2616,10137,2685,10113,2753,10085,2818,10054,2882,10019,2943,9980,3002,9938,3058,9893,3112,9845,3163,9794,3211,9740,3257,9684,3298,9625,3337,9564,3372,9500,3404,9435,3431,9367,3455,9322,3468xe" filled="true" fillcolor="#ffffff" stroked="false">
                  <v:path arrowok="t"/>
                  <v:fill type="solid"/>
                </v:shape>
                <v:shape style="position:absolute;left:1031;top:4619;width:5467;height:4544" id="docshape222" coordorigin="1032,4620" coordsize="5467,4544" path="m5935,9163l1602,9163,1524,9158,1450,9143,1380,9118,1314,9085,1254,9045,1199,8996,1151,8942,1110,8881,1077,8815,1052,8745,1037,8671,1032,8593,1032,5190,1037,5112,1052,5038,1077,4968,1110,4902,1151,4841,1199,4787,1254,4739,1314,4698,1380,4665,1450,4640,1524,4625,1602,4620,5935,4620,6013,4625,6087,4640,6157,4665,6223,4698,6284,4739,6338,4787,6387,4841,6428,4902,6461,4968,6485,5038,6498,5103,6498,8680,6485,8745,6461,8815,6428,8881,6387,8942,6338,8996,6284,9045,6223,9085,6157,9118,6087,9143,6013,9158,5935,9163xe" filled="true" fillcolor="#f2ab97" stroked="false">
                  <v:path arrowok="t"/>
                  <v:fill opacity="36700f" type="solid"/>
                </v:shape>
                <v:line style="position:absolute" from="6861,6915" to="11229,6915" stroked="true" strokeweight="2.25pt" strokecolor="#f46e16">
                  <v:stroke dashstyle="shortdash"/>
                </v:line>
                <v:line style="position:absolute" from="6861,9241" to="11229,9241" stroked="true" strokeweight="2.25pt" strokecolor="#f46e16">
                  <v:stroke dashstyle="shortdash"/>
                </v:line>
                <v:shape style="position:absolute;left:5761;top:2563;width:1484;height:1406" id="docshape223" coordorigin="5762,2564" coordsize="1484,1406" path="m6957,3494l6686,3494,6580,3697,6572,3708,6562,3717,6550,3722,6537,3723,6532,3723,6529,3723,6515,3718,6503,3710,6494,3698,6489,3684,6405,3222,6344,3457,6338,3472,6327,3483,6313,3491,6297,3494,6055,3494,6480,3963,6493,3969,6520,3969,6533,3963,6957,3494xm7245,2942l7243,2918,7223,2847,7192,2781,7158,2733,7151,2722,7101,2671,7043,2629,6979,2597,6910,2577,6837,2570,6758,2578,6684,2598,6616,2632,6556,2677,6506,2733,6454,2675,6394,2628,6326,2593,6252,2571,6174,2564,6101,2571,6032,2591,5968,2623,5910,2666,5860,2718,5819,2778,5788,2845,5768,2917,5762,2993,5769,3068,5788,3136,5818,3202,5857,3270,5859,3275,5862,3280,5866,3284,5967,3397,6260,3397,6366,2984,6373,2969,6384,2957,6398,2949,6415,2948,6431,2952,6445,2960,6455,2972,6461,2988,6559,3528,6613,3423,6621,3412,6631,3404,6643,3399,6656,3397,7044,3397,7145,3284,7149,3280,7152,3276,7154,3271,7192,3203,7222,3137,7242,3068,7245,3039,7245,2948,7245,2942xe" filled="true" fillcolor="#ffffff" stroked="false">
                  <v:path arrowok="t"/>
                  <v:fill type="solid"/>
                </v:shape>
                <w10:wrap type="none"/>
              </v:group>
            </w:pict>
          </mc:Fallback>
        </mc:AlternateContent>
      </w:r>
      <w:r>
        <w:rPr>
          <w:rFonts w:ascii="Georgia"/>
          <w:sz w:val="20"/>
        </w:rPr>
        <w:drawing>
          <wp:inline distT="0" distB="0" distL="0" distR="0">
            <wp:extent cx="2950964" cy="2599658"/>
            <wp:effectExtent l="0" t="0" r="0" b="0"/>
            <wp:docPr id="281" name="Image 281"/>
            <wp:cNvGraphicFramePr>
              <a:graphicFrameLocks/>
            </wp:cNvGraphicFramePr>
            <a:graphic>
              <a:graphicData uri="http://schemas.openxmlformats.org/drawingml/2006/picture">
                <pic:pic>
                  <pic:nvPicPr>
                    <pic:cNvPr id="281" name="Image 281"/>
                    <pic:cNvPicPr/>
                  </pic:nvPicPr>
                  <pic:blipFill>
                    <a:blip r:embed="rId307" cstate="print"/>
                    <a:stretch>
                      <a:fillRect/>
                    </a:stretch>
                  </pic:blipFill>
                  <pic:spPr>
                    <a:xfrm>
                      <a:off x="0" y="0"/>
                      <a:ext cx="2950964" cy="2599658"/>
                    </a:xfrm>
                    <a:prstGeom prst="rect">
                      <a:avLst/>
                    </a:prstGeom>
                  </pic:spPr>
                </pic:pic>
              </a:graphicData>
            </a:graphic>
          </wp:inline>
        </w:drawing>
      </w:r>
      <w:r>
        <w:rPr>
          <w:rFonts w:ascii="Georgia"/>
          <w:sz w:val="20"/>
        </w:rPr>
      </w:r>
    </w:p>
    <w:p>
      <w:pPr>
        <w:spacing w:after="0"/>
        <w:rPr>
          <w:rFonts w:ascii="Georgia"/>
          <w:sz w:val="20"/>
        </w:rPr>
        <w:sectPr>
          <w:type w:val="continuous"/>
          <w:pgSz w:w="12240" w:h="15840"/>
          <w:pgMar w:header="0" w:footer="0" w:top="1420" w:bottom="280" w:left="1100" w:right="340"/>
        </w:sectPr>
      </w:pPr>
    </w:p>
    <w:p>
      <w:pPr>
        <w:pStyle w:val="Heading7"/>
        <w:spacing w:before="308"/>
        <w:ind w:left="463"/>
      </w:pPr>
      <w:bookmarkStart w:name="FY 2025 - Pregnancy_Gynecological - Fina" w:id="362"/>
      <w:bookmarkEnd w:id="362"/>
      <w:r>
        <w:rPr/>
      </w:r>
      <w:bookmarkStart w:name="_bookmark193" w:id="363"/>
      <w:bookmarkEnd w:id="363"/>
      <w:r>
        <w:rPr/>
      </w:r>
      <w:hyperlink w:history="true" w:anchor="_bookmark3">
        <w:r>
          <w:rPr>
            <w:color w:val="365F91"/>
            <w:spacing w:val="-10"/>
          </w:rPr>
          <w:t>Broadening</w:t>
        </w:r>
        <w:r>
          <w:rPr>
            <w:color w:val="365F91"/>
            <w:spacing w:val="1"/>
          </w:rPr>
          <w:t> </w:t>
        </w:r>
        <w:r>
          <w:rPr>
            <w:color w:val="365F91"/>
            <w:spacing w:val="-10"/>
          </w:rPr>
          <w:t>Pregnancy</w:t>
        </w:r>
        <w:r>
          <w:rPr>
            <w:color w:val="365F91"/>
          </w:rPr>
          <w:t> </w:t>
        </w:r>
        <w:r>
          <w:rPr>
            <w:color w:val="365F91"/>
            <w:spacing w:val="-10"/>
          </w:rPr>
          <w:t>and</w:t>
        </w:r>
        <w:r>
          <w:rPr>
            <w:color w:val="365F91"/>
            <w:spacing w:val="1"/>
          </w:rPr>
          <w:t> </w:t>
        </w:r>
        <w:r>
          <w:rPr>
            <w:color w:val="365F91"/>
            <w:spacing w:val="-10"/>
          </w:rPr>
          <w:t>Gynecological</w:t>
        </w:r>
        <w:r>
          <w:rPr>
            <w:color w:val="365F91"/>
          </w:rPr>
          <w:t> </w:t>
        </w:r>
        <w:r>
          <w:rPr>
            <w:color w:val="365F91"/>
            <w:spacing w:val="-10"/>
          </w:rPr>
          <w:t>Health</w:t>
        </w:r>
      </w:hyperlink>
    </w:p>
    <w:p>
      <w:pPr>
        <w:pStyle w:val="BodyText"/>
        <w:rPr>
          <w:sz w:val="20"/>
        </w:rPr>
      </w:pPr>
    </w:p>
    <w:p>
      <w:pPr>
        <w:pStyle w:val="BodyText"/>
        <w:spacing w:before="141"/>
        <w:rPr>
          <w:sz w:val="20"/>
        </w:rPr>
      </w:pPr>
      <w:r>
        <w:rPr/>
        <mc:AlternateContent>
          <mc:Choice Requires="wps">
            <w:drawing>
              <wp:anchor distT="0" distB="0" distL="0" distR="0" allowOverlap="1" layoutInCell="1" locked="0" behindDoc="1" simplePos="0" relativeHeight="487634432">
                <wp:simplePos x="0" y="0"/>
                <wp:positionH relativeFrom="page">
                  <wp:posOffset>889000</wp:posOffset>
                </wp:positionH>
                <wp:positionV relativeFrom="paragraph">
                  <wp:posOffset>260158</wp:posOffset>
                </wp:positionV>
                <wp:extent cx="6350" cy="12700"/>
                <wp:effectExtent l="0" t="0" r="0" b="0"/>
                <wp:wrapTopAndBottom/>
                <wp:docPr id="285" name="Graphic 285"/>
                <wp:cNvGraphicFramePr>
                  <a:graphicFrameLocks/>
                </wp:cNvGraphicFramePr>
                <a:graphic>
                  <a:graphicData uri="http://schemas.microsoft.com/office/word/2010/wordprocessingShape">
                    <wps:wsp>
                      <wps:cNvPr id="285" name="Graphic 285"/>
                      <wps:cNvSpPr/>
                      <wps:spPr>
                        <a:xfrm>
                          <a:off x="0" y="0"/>
                          <a:ext cx="6350" cy="12700"/>
                        </a:xfrm>
                        <a:custGeom>
                          <a:avLst/>
                          <a:gdLst/>
                          <a:ahLst/>
                          <a:cxnLst/>
                          <a:rect l="l" t="t" r="r" b="b"/>
                          <a:pathLst>
                            <a:path w="6350" h="12700">
                              <a:moveTo>
                                <a:pt x="6337" y="0"/>
                              </a:moveTo>
                              <a:lnTo>
                                <a:pt x="0" y="0"/>
                              </a:lnTo>
                              <a:lnTo>
                                <a:pt x="0" y="12217"/>
                              </a:lnTo>
                              <a:lnTo>
                                <a:pt x="6337" y="12217"/>
                              </a:lnTo>
                              <a:lnTo>
                                <a:pt x="6337" y="0"/>
                              </a:lnTo>
                              <a:close/>
                            </a:path>
                          </a:pathLst>
                        </a:custGeom>
                        <a:solidFill>
                          <a:srgbClr val="4470C4"/>
                        </a:solidFill>
                      </wps:spPr>
                      <wps:bodyPr wrap="square" lIns="0" tIns="0" rIns="0" bIns="0" rtlCol="0">
                        <a:prstTxWarp prst="textNoShape">
                          <a:avLst/>
                        </a:prstTxWarp>
                        <a:noAutofit/>
                      </wps:bodyPr>
                    </wps:wsp>
                  </a:graphicData>
                </a:graphic>
              </wp:anchor>
            </w:drawing>
          </mc:Choice>
          <mc:Fallback>
            <w:pict>
              <v:rect style="position:absolute;margin-left:70pt;margin-top:20.484907pt;width:.499pt;height:.962pt;mso-position-horizontal-relative:page;mso-position-vertical-relative:paragraph;z-index:-15682048;mso-wrap-distance-left:0;mso-wrap-distance-right:0" id="docshape227" filled="true" fillcolor="#4470c4" stroked="false">
                <v:fill type="solid"/>
                <w10:wrap type="topAndBottom"/>
              </v:rect>
            </w:pict>
          </mc:Fallback>
        </mc:AlternateContent>
      </w:r>
    </w:p>
    <w:p>
      <w:pPr>
        <w:spacing w:before="0"/>
        <w:ind w:left="463" w:right="0" w:firstLine="0"/>
        <w:jc w:val="left"/>
        <w:rPr>
          <w:sz w:val="32"/>
        </w:rPr>
      </w:pPr>
      <w:bookmarkStart w:name="Introduction" w:id="364"/>
      <w:bookmarkEnd w:id="364"/>
      <w:r>
        <w:rPr/>
      </w:r>
      <w:r>
        <w:rPr>
          <w:color w:val="365F91"/>
          <w:spacing w:val="-2"/>
          <w:sz w:val="32"/>
        </w:rPr>
        <w:t>Introduction</w:t>
      </w:r>
    </w:p>
    <w:p>
      <w:pPr>
        <w:pStyle w:val="BodyText"/>
        <w:spacing w:before="6"/>
        <w:rPr>
          <w:sz w:val="4"/>
        </w:rPr>
      </w:pPr>
      <w:r>
        <w:rPr/>
        <mc:AlternateContent>
          <mc:Choice Requires="wps">
            <w:drawing>
              <wp:anchor distT="0" distB="0" distL="0" distR="0" allowOverlap="1" layoutInCell="1" locked="0" behindDoc="1" simplePos="0" relativeHeight="487634944">
                <wp:simplePos x="0" y="0"/>
                <wp:positionH relativeFrom="page">
                  <wp:posOffset>897636</wp:posOffset>
                </wp:positionH>
                <wp:positionV relativeFrom="paragraph">
                  <wp:posOffset>50288</wp:posOffset>
                </wp:positionV>
                <wp:extent cx="6103620" cy="6350"/>
                <wp:effectExtent l="0" t="0" r="0" b="0"/>
                <wp:wrapTopAndBottom/>
                <wp:docPr id="286" name="Graphic 286"/>
                <wp:cNvGraphicFramePr>
                  <a:graphicFrameLocks/>
                </wp:cNvGraphicFramePr>
                <a:graphic>
                  <a:graphicData uri="http://schemas.microsoft.com/office/word/2010/wordprocessingShape">
                    <wps:wsp>
                      <wps:cNvPr id="286" name="Graphic 286"/>
                      <wps:cNvSpPr/>
                      <wps:spPr>
                        <a:xfrm>
                          <a:off x="0" y="0"/>
                          <a:ext cx="6103620" cy="6350"/>
                        </a:xfrm>
                        <a:custGeom>
                          <a:avLst/>
                          <a:gdLst/>
                          <a:ahLst/>
                          <a:cxnLst/>
                          <a:rect l="l" t="t" r="r" b="b"/>
                          <a:pathLst>
                            <a:path w="6103620" h="6350">
                              <a:moveTo>
                                <a:pt x="6103620" y="0"/>
                              </a:moveTo>
                              <a:lnTo>
                                <a:pt x="0" y="0"/>
                              </a:lnTo>
                              <a:lnTo>
                                <a:pt x="0" y="6108"/>
                              </a:lnTo>
                              <a:lnTo>
                                <a:pt x="6103620" y="6108"/>
                              </a:lnTo>
                              <a:lnTo>
                                <a:pt x="6103620" y="0"/>
                              </a:lnTo>
                              <a:close/>
                            </a:path>
                          </a:pathLst>
                        </a:custGeom>
                        <a:solidFill>
                          <a:srgbClr val="4F81BC"/>
                        </a:solidFill>
                      </wps:spPr>
                      <wps:bodyPr wrap="square" lIns="0" tIns="0" rIns="0" bIns="0" rtlCol="0">
                        <a:prstTxWarp prst="textNoShape">
                          <a:avLst/>
                        </a:prstTxWarp>
                        <a:noAutofit/>
                      </wps:bodyPr>
                    </wps:wsp>
                  </a:graphicData>
                </a:graphic>
              </wp:anchor>
            </w:drawing>
          </mc:Choice>
          <mc:Fallback>
            <w:pict>
              <v:rect style="position:absolute;margin-left:70.680pt;margin-top:3.95975pt;width:480.6pt;height:.481pt;mso-position-horizontal-relative:page;mso-position-vertical-relative:paragraph;z-index:-15681536;mso-wrap-distance-left:0;mso-wrap-distance-right:0" id="docshape228" filled="true" fillcolor="#4f81bc" stroked="false">
                <v:fill type="solid"/>
                <w10:wrap type="topAndBottom"/>
              </v:rect>
            </w:pict>
          </mc:Fallback>
        </mc:AlternateContent>
      </w:r>
    </w:p>
    <w:p>
      <w:pPr>
        <w:spacing w:line="276" w:lineRule="auto" w:before="240"/>
        <w:ind w:left="463" w:right="242" w:firstLine="0"/>
        <w:jc w:val="both"/>
        <w:rPr>
          <w:i/>
          <w:sz w:val="22"/>
        </w:rPr>
      </w:pPr>
      <w:bookmarkStart w:name="(first published in FY 2024 Annual Recom" w:id="365"/>
      <w:bookmarkEnd w:id="365"/>
      <w:r>
        <w:rPr/>
      </w:r>
      <w:r>
        <w:rPr>
          <w:i/>
          <w:sz w:val="22"/>
        </w:rPr>
        <w:t>(first published in FY 2024 Annual Recommendations Report, minor updates made to bring current to FY</w:t>
      </w:r>
      <w:r>
        <w:rPr>
          <w:i/>
          <w:sz w:val="22"/>
        </w:rPr>
        <w:t> </w:t>
      </w:r>
      <w:r>
        <w:rPr>
          <w:i/>
          <w:spacing w:val="-2"/>
          <w:sz w:val="22"/>
        </w:rPr>
        <w:t>2025)</w:t>
      </w:r>
    </w:p>
    <w:p>
      <w:pPr>
        <w:pStyle w:val="BodyText"/>
        <w:spacing w:line="276" w:lineRule="auto" w:before="241"/>
        <w:ind w:left="463" w:right="241"/>
        <w:jc w:val="both"/>
      </w:pPr>
      <w:r>
        <w:rPr/>
        <w:t>This</w:t>
      </w:r>
      <w:r>
        <w:rPr>
          <w:spacing w:val="-2"/>
        </w:rPr>
        <w:t> </w:t>
      </w:r>
      <w:r>
        <w:rPr/>
        <w:t>report</w:t>
      </w:r>
      <w:r>
        <w:rPr>
          <w:spacing w:val="-2"/>
        </w:rPr>
        <w:t> </w:t>
      </w:r>
      <w:r>
        <w:rPr/>
        <w:t>provides</w:t>
      </w:r>
      <w:r>
        <w:rPr>
          <w:spacing w:val="-2"/>
        </w:rPr>
        <w:t> </w:t>
      </w:r>
      <w:r>
        <w:rPr/>
        <w:t>background</w:t>
      </w:r>
      <w:r>
        <w:rPr>
          <w:spacing w:val="-2"/>
        </w:rPr>
        <w:t> </w:t>
      </w:r>
      <w:r>
        <w:rPr/>
        <w:t>information</w:t>
      </w:r>
      <w:r>
        <w:rPr>
          <w:spacing w:val="-2"/>
        </w:rPr>
        <w:t> </w:t>
      </w:r>
      <w:r>
        <w:rPr/>
        <w:t>and</w:t>
      </w:r>
      <w:r>
        <w:rPr>
          <w:spacing w:val="-2"/>
        </w:rPr>
        <w:t> </w:t>
      </w:r>
      <w:r>
        <w:rPr/>
        <w:t>literature</w:t>
      </w:r>
      <w:r>
        <w:rPr>
          <w:spacing w:val="-2"/>
        </w:rPr>
        <w:t> </w:t>
      </w:r>
      <w:r>
        <w:rPr/>
        <w:t>regarding</w:t>
      </w:r>
      <w:r>
        <w:rPr>
          <w:spacing w:val="-2"/>
        </w:rPr>
        <w:t> </w:t>
      </w:r>
      <w:r>
        <w:rPr/>
        <w:t>issues</w:t>
      </w:r>
      <w:r>
        <w:rPr>
          <w:spacing w:val="-2"/>
        </w:rPr>
        <w:t> </w:t>
      </w:r>
      <w:r>
        <w:rPr/>
        <w:t>that</w:t>
      </w:r>
      <w:r>
        <w:rPr>
          <w:spacing w:val="-2"/>
        </w:rPr>
        <w:t> </w:t>
      </w:r>
      <w:r>
        <w:rPr/>
        <w:t>fall</w:t>
      </w:r>
      <w:r>
        <w:rPr>
          <w:spacing w:val="-2"/>
        </w:rPr>
        <w:t> </w:t>
      </w:r>
      <w:r>
        <w:rPr/>
        <w:t>under</w:t>
      </w:r>
      <w:r>
        <w:rPr>
          <w:spacing w:val="-2"/>
        </w:rPr>
        <w:t> </w:t>
      </w:r>
      <w:r>
        <w:rPr/>
        <w:t>the</w:t>
      </w:r>
      <w:r>
        <w:rPr>
          <w:spacing w:val="-2"/>
        </w:rPr>
        <w:t> </w:t>
      </w:r>
      <w:r>
        <w:rPr/>
        <w:t>umbrella</w:t>
      </w:r>
      <w:r>
        <w:rPr>
          <w:spacing w:val="-2"/>
        </w:rPr>
        <w:t> </w:t>
      </w:r>
      <w:r>
        <w:rPr/>
        <w:t>of pregnancy and gynecological health related to LGBTQ youth. The information details healthcare services such as gender-affirming care, contraceptives, fertility treatments, and abortion discussed in relation to LGBTQ youth and the general LGBTQ population. Background on menstruation and pregnancy is detailed below</w:t>
      </w:r>
      <w:r>
        <w:rPr>
          <w:spacing w:val="-6"/>
        </w:rPr>
        <w:t> </w:t>
      </w:r>
      <w:r>
        <w:rPr/>
        <w:t>to</w:t>
      </w:r>
      <w:r>
        <w:rPr>
          <w:spacing w:val="-5"/>
        </w:rPr>
        <w:t> </w:t>
      </w:r>
      <w:r>
        <w:rPr/>
        <w:t>capture</w:t>
      </w:r>
      <w:r>
        <w:rPr>
          <w:spacing w:val="-7"/>
        </w:rPr>
        <w:t> </w:t>
      </w:r>
      <w:r>
        <w:rPr/>
        <w:t>the</w:t>
      </w:r>
      <w:r>
        <w:rPr>
          <w:spacing w:val="-5"/>
        </w:rPr>
        <w:t> </w:t>
      </w:r>
      <w:r>
        <w:rPr/>
        <w:t>inequities</w:t>
      </w:r>
      <w:r>
        <w:rPr>
          <w:spacing w:val="-6"/>
        </w:rPr>
        <w:t> </w:t>
      </w:r>
      <w:r>
        <w:rPr/>
        <w:t>LGBTQ</w:t>
      </w:r>
      <w:r>
        <w:rPr>
          <w:spacing w:val="-5"/>
        </w:rPr>
        <w:t> </w:t>
      </w:r>
      <w:r>
        <w:rPr/>
        <w:t>youth</w:t>
      </w:r>
      <w:r>
        <w:rPr>
          <w:spacing w:val="-7"/>
        </w:rPr>
        <w:t> </w:t>
      </w:r>
      <w:r>
        <w:rPr/>
        <w:t>and</w:t>
      </w:r>
      <w:r>
        <w:rPr>
          <w:spacing w:val="-5"/>
        </w:rPr>
        <w:t> </w:t>
      </w:r>
      <w:r>
        <w:rPr/>
        <w:t>the</w:t>
      </w:r>
      <w:r>
        <w:rPr>
          <w:spacing w:val="-4"/>
        </w:rPr>
        <w:t> </w:t>
      </w:r>
      <w:r>
        <w:rPr/>
        <w:t>general</w:t>
      </w:r>
      <w:r>
        <w:rPr>
          <w:spacing w:val="-6"/>
        </w:rPr>
        <w:t> </w:t>
      </w:r>
      <w:r>
        <w:rPr/>
        <w:t>LGBTQ</w:t>
      </w:r>
      <w:r>
        <w:rPr>
          <w:spacing w:val="-7"/>
        </w:rPr>
        <w:t> </w:t>
      </w:r>
      <w:r>
        <w:rPr/>
        <w:t>population</w:t>
      </w:r>
      <w:r>
        <w:rPr>
          <w:spacing w:val="-4"/>
        </w:rPr>
        <w:t> </w:t>
      </w:r>
      <w:r>
        <w:rPr/>
        <w:t>experience</w:t>
      </w:r>
      <w:r>
        <w:rPr>
          <w:spacing w:val="-5"/>
        </w:rPr>
        <w:t> </w:t>
      </w:r>
      <w:r>
        <w:rPr/>
        <w:t>with</w:t>
      </w:r>
      <w:r>
        <w:rPr>
          <w:spacing w:val="-5"/>
        </w:rPr>
        <w:t> </w:t>
      </w:r>
      <w:r>
        <w:rPr/>
        <w:t>these</w:t>
      </w:r>
      <w:r>
        <w:rPr>
          <w:spacing w:val="-5"/>
        </w:rPr>
        <w:t> </w:t>
      </w:r>
      <w:r>
        <w:rPr/>
        <w:t>two biological functions. Maternal mortality is also a topic of discussion as there is a lack of universal data collection on maternal deaths for LGBTQ birthing people.</w:t>
      </w:r>
    </w:p>
    <w:p>
      <w:pPr>
        <w:pStyle w:val="BodyText"/>
        <w:spacing w:before="240"/>
        <w:ind w:left="463" w:right="241"/>
        <w:jc w:val="both"/>
      </w:pPr>
      <w:r>
        <w:rPr/>
        <w:t>The second part of this report demonstrates Massachusetts’ efforts in expanding reproductive health care that could improve pregnancy and gynecological outcomes for LGBTQ youth and where some policies fall short. Healthcare coverage is an essential component that can provide LGBTQ youth patients access to healthcare providers and facilities. This is crucial for LGBTQ birthing people who need healthcare access during</w:t>
      </w:r>
      <w:r>
        <w:rPr>
          <w:spacing w:val="-10"/>
        </w:rPr>
        <w:t> </w:t>
      </w:r>
      <w:r>
        <w:rPr/>
        <w:t>pregnancy</w:t>
      </w:r>
      <w:r>
        <w:rPr>
          <w:spacing w:val="-11"/>
        </w:rPr>
        <w:t> </w:t>
      </w:r>
      <w:r>
        <w:rPr/>
        <w:t>and</w:t>
      </w:r>
      <w:r>
        <w:rPr>
          <w:spacing w:val="-10"/>
        </w:rPr>
        <w:t> </w:t>
      </w:r>
      <w:r>
        <w:rPr/>
        <w:t>post-partum.</w:t>
      </w:r>
      <w:r>
        <w:rPr>
          <w:spacing w:val="-12"/>
        </w:rPr>
        <w:t> </w:t>
      </w:r>
      <w:r>
        <w:rPr/>
        <w:t>LGBTQ</w:t>
      </w:r>
      <w:r>
        <w:rPr>
          <w:spacing w:val="-11"/>
        </w:rPr>
        <w:t> </w:t>
      </w:r>
      <w:r>
        <w:rPr/>
        <w:t>youth</w:t>
      </w:r>
      <w:r>
        <w:rPr>
          <w:spacing w:val="-11"/>
        </w:rPr>
        <w:t> </w:t>
      </w:r>
      <w:r>
        <w:rPr/>
        <w:t>may</w:t>
      </w:r>
      <w:r>
        <w:rPr>
          <w:spacing w:val="-11"/>
        </w:rPr>
        <w:t> </w:t>
      </w:r>
      <w:r>
        <w:rPr/>
        <w:t>experience</w:t>
      </w:r>
      <w:r>
        <w:rPr>
          <w:spacing w:val="-11"/>
        </w:rPr>
        <w:t> </w:t>
      </w:r>
      <w:r>
        <w:rPr/>
        <w:t>infertility</w:t>
      </w:r>
      <w:r>
        <w:rPr>
          <w:spacing w:val="-10"/>
        </w:rPr>
        <w:t> </w:t>
      </w:r>
      <w:r>
        <w:rPr/>
        <w:t>due</w:t>
      </w:r>
      <w:r>
        <w:rPr>
          <w:spacing w:val="-9"/>
        </w:rPr>
        <w:t> </w:t>
      </w:r>
      <w:r>
        <w:rPr/>
        <w:t>to</w:t>
      </w:r>
      <w:r>
        <w:rPr>
          <w:spacing w:val="-11"/>
        </w:rPr>
        <w:t> </w:t>
      </w:r>
      <w:r>
        <w:rPr/>
        <w:t>hormone</w:t>
      </w:r>
      <w:r>
        <w:rPr>
          <w:spacing w:val="-10"/>
        </w:rPr>
        <w:t> </w:t>
      </w:r>
      <w:r>
        <w:rPr/>
        <w:t>therapy</w:t>
      </w:r>
      <w:r>
        <w:rPr>
          <w:spacing w:val="-11"/>
        </w:rPr>
        <w:t> </w:t>
      </w:r>
      <w:r>
        <w:rPr/>
        <w:t>or</w:t>
      </w:r>
      <w:r>
        <w:rPr>
          <w:spacing w:val="-11"/>
        </w:rPr>
        <w:t> </w:t>
      </w:r>
      <w:r>
        <w:rPr/>
        <w:t>may not be able to conceive with a partner who is the same sex or has the same reproductive anatomy. Expanding</w:t>
      </w:r>
      <w:r>
        <w:rPr>
          <w:spacing w:val="-13"/>
        </w:rPr>
        <w:t> </w:t>
      </w:r>
      <w:r>
        <w:rPr/>
        <w:t>access</w:t>
      </w:r>
      <w:r>
        <w:rPr>
          <w:spacing w:val="-12"/>
        </w:rPr>
        <w:t> </w:t>
      </w:r>
      <w:r>
        <w:rPr/>
        <w:t>to</w:t>
      </w:r>
      <w:r>
        <w:rPr>
          <w:spacing w:val="-13"/>
        </w:rPr>
        <w:t> </w:t>
      </w:r>
      <w:r>
        <w:rPr/>
        <w:t>fertility</w:t>
      </w:r>
      <w:r>
        <w:rPr>
          <w:spacing w:val="-12"/>
        </w:rPr>
        <w:t> </w:t>
      </w:r>
      <w:r>
        <w:rPr/>
        <w:t>treatments</w:t>
      </w:r>
      <w:r>
        <w:rPr>
          <w:spacing w:val="-13"/>
        </w:rPr>
        <w:t> </w:t>
      </w:r>
      <w:r>
        <w:rPr/>
        <w:t>for</w:t>
      </w:r>
      <w:r>
        <w:rPr>
          <w:spacing w:val="-12"/>
        </w:rPr>
        <w:t> </w:t>
      </w:r>
      <w:r>
        <w:rPr/>
        <w:t>LGBTQ</w:t>
      </w:r>
      <w:r>
        <w:rPr>
          <w:spacing w:val="-13"/>
        </w:rPr>
        <w:t> </w:t>
      </w:r>
      <w:r>
        <w:rPr/>
        <w:t>individuals</w:t>
      </w:r>
      <w:r>
        <w:rPr>
          <w:spacing w:val="-12"/>
        </w:rPr>
        <w:t> </w:t>
      </w:r>
      <w:r>
        <w:rPr/>
        <w:t>assigned</w:t>
      </w:r>
      <w:r>
        <w:rPr>
          <w:spacing w:val="-12"/>
        </w:rPr>
        <w:t> </w:t>
      </w:r>
      <w:r>
        <w:rPr/>
        <w:t>female</w:t>
      </w:r>
      <w:r>
        <w:rPr>
          <w:spacing w:val="-13"/>
        </w:rPr>
        <w:t> </w:t>
      </w:r>
      <w:r>
        <w:rPr/>
        <w:t>at</w:t>
      </w:r>
      <w:r>
        <w:rPr>
          <w:spacing w:val="-12"/>
        </w:rPr>
        <w:t> </w:t>
      </w:r>
      <w:r>
        <w:rPr/>
        <w:t>birth</w:t>
      </w:r>
      <w:r>
        <w:rPr>
          <w:spacing w:val="-13"/>
        </w:rPr>
        <w:t> </w:t>
      </w:r>
      <w:r>
        <w:rPr/>
        <w:t>furthers</w:t>
      </w:r>
      <w:r>
        <w:rPr>
          <w:spacing w:val="-12"/>
        </w:rPr>
        <w:t> </w:t>
      </w:r>
      <w:r>
        <w:rPr/>
        <w:t>reproductive rights for those who do not fall under the heteronormative ideals of what a “mother” or parent should be. For LGBTQ youth, doula services can provide a wide range of support whether it be for pregnancy-related reasons,</w:t>
      </w:r>
      <w:r>
        <w:rPr>
          <w:spacing w:val="-10"/>
        </w:rPr>
        <w:t> </w:t>
      </w:r>
      <w:r>
        <w:rPr/>
        <w:t>abortion</w:t>
      </w:r>
      <w:r>
        <w:rPr>
          <w:spacing w:val="-10"/>
        </w:rPr>
        <w:t> </w:t>
      </w:r>
      <w:r>
        <w:rPr/>
        <w:t>support,</w:t>
      </w:r>
      <w:r>
        <w:rPr>
          <w:spacing w:val="-8"/>
        </w:rPr>
        <w:t> </w:t>
      </w:r>
      <w:r>
        <w:rPr/>
        <w:t>and</w:t>
      </w:r>
      <w:r>
        <w:rPr>
          <w:spacing w:val="-10"/>
        </w:rPr>
        <w:t> </w:t>
      </w:r>
      <w:r>
        <w:rPr/>
        <w:t>even</w:t>
      </w:r>
      <w:r>
        <w:rPr>
          <w:spacing w:val="-9"/>
        </w:rPr>
        <w:t> </w:t>
      </w:r>
      <w:r>
        <w:rPr/>
        <w:t>gender-affirming</w:t>
      </w:r>
      <w:r>
        <w:rPr>
          <w:spacing w:val="-8"/>
        </w:rPr>
        <w:t> </w:t>
      </w:r>
      <w:r>
        <w:rPr/>
        <w:t>healthcare</w:t>
      </w:r>
      <w:r>
        <w:rPr>
          <w:spacing w:val="-10"/>
        </w:rPr>
        <w:t> </w:t>
      </w:r>
      <w:r>
        <w:rPr/>
        <w:t>support.</w:t>
      </w:r>
      <w:r>
        <w:rPr>
          <w:spacing w:val="-10"/>
        </w:rPr>
        <w:t> </w:t>
      </w:r>
      <w:r>
        <w:rPr/>
        <w:t>LGBTQ</w:t>
      </w:r>
      <w:r>
        <w:rPr>
          <w:spacing w:val="-9"/>
        </w:rPr>
        <w:t> </w:t>
      </w:r>
      <w:r>
        <w:rPr/>
        <w:t>youth</w:t>
      </w:r>
      <w:r>
        <w:rPr>
          <w:spacing w:val="-9"/>
        </w:rPr>
        <w:t> </w:t>
      </w:r>
      <w:r>
        <w:rPr/>
        <w:t>also</w:t>
      </w:r>
      <w:r>
        <w:rPr>
          <w:spacing w:val="-9"/>
        </w:rPr>
        <w:t> </w:t>
      </w:r>
      <w:r>
        <w:rPr/>
        <w:t>deserve</w:t>
      </w:r>
      <w:r>
        <w:rPr>
          <w:spacing w:val="-10"/>
        </w:rPr>
        <w:t> </w:t>
      </w:r>
      <w:r>
        <w:rPr/>
        <w:t>access to abortion care, birth control access, and access to menstrual products and the Commonwealth has the opportunity to further expand access through legislation.</w:t>
      </w:r>
    </w:p>
    <w:p>
      <w:pPr>
        <w:pStyle w:val="BodyText"/>
        <w:spacing w:before="130"/>
      </w:pPr>
    </w:p>
    <w:p>
      <w:pPr>
        <w:spacing w:line="379" w:lineRule="auto" w:before="0"/>
        <w:ind w:left="463" w:right="243" w:hanging="1"/>
        <w:jc w:val="both"/>
        <w:rPr>
          <w:sz w:val="28"/>
        </w:rPr>
      </w:pPr>
      <w:r>
        <w:rPr/>
        <mc:AlternateContent>
          <mc:Choice Requires="wps">
            <w:drawing>
              <wp:anchor distT="0" distB="0" distL="0" distR="0" allowOverlap="1" layoutInCell="1" locked="0" behindDoc="0" simplePos="0" relativeHeight="15776256">
                <wp:simplePos x="0" y="0"/>
                <wp:positionH relativeFrom="page">
                  <wp:posOffset>897636</wp:posOffset>
                </wp:positionH>
                <wp:positionV relativeFrom="paragraph">
                  <wp:posOffset>573181</wp:posOffset>
                </wp:positionV>
                <wp:extent cx="6103620" cy="6350"/>
                <wp:effectExtent l="0" t="0" r="0" b="0"/>
                <wp:wrapNone/>
                <wp:docPr id="287" name="Graphic 287"/>
                <wp:cNvGraphicFramePr>
                  <a:graphicFrameLocks/>
                </wp:cNvGraphicFramePr>
                <a:graphic>
                  <a:graphicData uri="http://schemas.microsoft.com/office/word/2010/wordprocessingShape">
                    <wps:wsp>
                      <wps:cNvPr id="287" name="Graphic 287"/>
                      <wps:cNvSpPr/>
                      <wps:spPr>
                        <a:xfrm>
                          <a:off x="0" y="0"/>
                          <a:ext cx="6103620" cy="6350"/>
                        </a:xfrm>
                        <a:custGeom>
                          <a:avLst/>
                          <a:gdLst/>
                          <a:ahLst/>
                          <a:cxnLst/>
                          <a:rect l="l" t="t" r="r" b="b"/>
                          <a:pathLst>
                            <a:path w="6103620" h="6350">
                              <a:moveTo>
                                <a:pt x="6103620" y="0"/>
                              </a:moveTo>
                              <a:lnTo>
                                <a:pt x="0" y="0"/>
                              </a:lnTo>
                              <a:lnTo>
                                <a:pt x="0" y="6096"/>
                              </a:lnTo>
                              <a:lnTo>
                                <a:pt x="6103620" y="6096"/>
                              </a:lnTo>
                              <a:lnTo>
                                <a:pt x="6103620" y="0"/>
                              </a:lnTo>
                              <a:close/>
                            </a:path>
                          </a:pathLst>
                        </a:custGeom>
                        <a:solidFill>
                          <a:srgbClr val="4F81BC"/>
                        </a:solidFill>
                      </wps:spPr>
                      <wps:bodyPr wrap="square" lIns="0" tIns="0" rIns="0" bIns="0" rtlCol="0">
                        <a:prstTxWarp prst="textNoShape">
                          <a:avLst/>
                        </a:prstTxWarp>
                        <a:noAutofit/>
                      </wps:bodyPr>
                    </wps:wsp>
                  </a:graphicData>
                </a:graphic>
              </wp:anchor>
            </w:drawing>
          </mc:Choice>
          <mc:Fallback>
            <w:pict>
              <v:rect style="position:absolute;margin-left:70.680pt;margin-top:45.132401pt;width:480.6pt;height:.48pt;mso-position-horizontal-relative:page;mso-position-vertical-relative:paragraph;z-index:15776256" id="docshape229" filled="true" fillcolor="#4f81bc" stroked="false">
                <v:fill type="solid"/>
                <w10:wrap type="none"/>
              </v:rect>
            </w:pict>
          </mc:Fallback>
        </mc:AlternateContent>
      </w:r>
      <w:r>
        <w:rPr/>
        <mc:AlternateContent>
          <mc:Choice Requires="wps">
            <w:drawing>
              <wp:anchor distT="0" distB="0" distL="0" distR="0" allowOverlap="1" layoutInCell="1" locked="0" behindDoc="0" simplePos="0" relativeHeight="15776768">
                <wp:simplePos x="0" y="0"/>
                <wp:positionH relativeFrom="page">
                  <wp:posOffset>889000</wp:posOffset>
                </wp:positionH>
                <wp:positionV relativeFrom="paragraph">
                  <wp:posOffset>330827</wp:posOffset>
                </wp:positionV>
                <wp:extent cx="6350" cy="12700"/>
                <wp:effectExtent l="0" t="0" r="0" b="0"/>
                <wp:wrapNone/>
                <wp:docPr id="288" name="Graphic 288"/>
                <wp:cNvGraphicFramePr>
                  <a:graphicFrameLocks/>
                </wp:cNvGraphicFramePr>
                <a:graphic>
                  <a:graphicData uri="http://schemas.microsoft.com/office/word/2010/wordprocessingShape">
                    <wps:wsp>
                      <wps:cNvPr id="288" name="Graphic 288"/>
                      <wps:cNvSpPr/>
                      <wps:spPr>
                        <a:xfrm>
                          <a:off x="0" y="0"/>
                          <a:ext cx="6350" cy="12700"/>
                        </a:xfrm>
                        <a:custGeom>
                          <a:avLst/>
                          <a:gdLst/>
                          <a:ahLst/>
                          <a:cxnLst/>
                          <a:rect l="l" t="t" r="r" b="b"/>
                          <a:pathLst>
                            <a:path w="6350" h="12700">
                              <a:moveTo>
                                <a:pt x="6337" y="0"/>
                              </a:moveTo>
                              <a:lnTo>
                                <a:pt x="0" y="0"/>
                              </a:lnTo>
                              <a:lnTo>
                                <a:pt x="0" y="12204"/>
                              </a:lnTo>
                              <a:lnTo>
                                <a:pt x="6337" y="12204"/>
                              </a:lnTo>
                              <a:lnTo>
                                <a:pt x="6337" y="0"/>
                              </a:lnTo>
                              <a:close/>
                            </a:path>
                          </a:pathLst>
                        </a:custGeom>
                        <a:solidFill>
                          <a:srgbClr val="4470C4"/>
                        </a:solidFill>
                      </wps:spPr>
                      <wps:bodyPr wrap="square" lIns="0" tIns="0" rIns="0" bIns="0" rtlCol="0">
                        <a:prstTxWarp prst="textNoShape">
                          <a:avLst/>
                        </a:prstTxWarp>
                        <a:noAutofit/>
                      </wps:bodyPr>
                    </wps:wsp>
                  </a:graphicData>
                </a:graphic>
              </wp:anchor>
            </w:drawing>
          </mc:Choice>
          <mc:Fallback>
            <w:pict>
              <v:rect style="position:absolute;margin-left:70pt;margin-top:26.049402pt;width:.499pt;height:.961pt;mso-position-horizontal-relative:page;mso-position-vertical-relative:paragraph;z-index:15776768" id="docshape230" filled="true" fillcolor="#4470c4" stroked="false">
                <v:fill type="solid"/>
                <w10:wrap type="none"/>
              </v:rect>
            </w:pict>
          </mc:Fallback>
        </mc:AlternateContent>
      </w:r>
      <w:bookmarkStart w:name="FY 2025 Recommendations to the Governor " w:id="366"/>
      <w:bookmarkEnd w:id="366"/>
      <w:r>
        <w:rPr/>
      </w:r>
      <w:r>
        <w:rPr>
          <w:color w:val="365F91"/>
          <w:sz w:val="28"/>
        </w:rPr>
        <w:t>FY 2025 Recommendations to the Governor and Legislature on Pregnancy &amp; Gynecological Health</w:t>
      </w:r>
    </w:p>
    <w:p>
      <w:pPr>
        <w:numPr>
          <w:ilvl w:val="0"/>
          <w:numId w:val="22"/>
        </w:numPr>
        <w:tabs>
          <w:tab w:pos="461" w:val="left" w:leader="none"/>
          <w:tab w:pos="463" w:val="left" w:leader="none"/>
        </w:tabs>
        <w:spacing w:before="72"/>
        <w:ind w:left="463" w:right="241" w:hanging="360"/>
        <w:jc w:val="left"/>
        <w:rPr>
          <w:b/>
          <w:sz w:val="22"/>
        </w:rPr>
      </w:pPr>
      <w:r>
        <w:rPr>
          <w:b/>
          <w:sz w:val="22"/>
        </w:rPr>
        <w:t>Improve SOGI data collection efforts across state services as it relates to pregnancy service needs and</w:t>
      </w:r>
      <w:r>
        <w:rPr>
          <w:b/>
          <w:spacing w:val="40"/>
          <w:sz w:val="22"/>
        </w:rPr>
        <w:t> </w:t>
      </w:r>
      <w:r>
        <w:rPr>
          <w:b/>
          <w:sz w:val="22"/>
        </w:rPr>
        <w:t>mortality rates.</w:t>
      </w:r>
    </w:p>
    <w:p>
      <w:pPr>
        <w:pStyle w:val="BodyText"/>
        <w:spacing w:line="276" w:lineRule="auto" w:before="241"/>
        <w:ind w:left="463" w:right="243"/>
        <w:jc w:val="both"/>
      </w:pPr>
      <w:r>
        <w:rPr/>
        <w:t>As discussed throughout this section, there remains a critical lack of SOGI data collection as it relates to pregnancy</w:t>
      </w:r>
      <w:r>
        <w:rPr>
          <w:spacing w:val="-1"/>
        </w:rPr>
        <w:t> </w:t>
      </w:r>
      <w:r>
        <w:rPr/>
        <w:t>and</w:t>
      </w:r>
      <w:r>
        <w:rPr>
          <w:spacing w:val="-2"/>
        </w:rPr>
        <w:t> </w:t>
      </w:r>
      <w:r>
        <w:rPr/>
        <w:t>abortion</w:t>
      </w:r>
      <w:r>
        <w:rPr>
          <w:spacing w:val="-2"/>
        </w:rPr>
        <w:t> </w:t>
      </w:r>
      <w:r>
        <w:rPr/>
        <w:t>services,</w:t>
      </w:r>
      <w:r>
        <w:rPr>
          <w:spacing w:val="-1"/>
        </w:rPr>
        <w:t> </w:t>
      </w:r>
      <w:r>
        <w:rPr/>
        <w:t>as</w:t>
      </w:r>
      <w:r>
        <w:rPr>
          <w:spacing w:val="-1"/>
        </w:rPr>
        <w:t> </w:t>
      </w:r>
      <w:r>
        <w:rPr/>
        <w:t>well</w:t>
      </w:r>
      <w:r>
        <w:rPr>
          <w:spacing w:val="-2"/>
        </w:rPr>
        <w:t> </w:t>
      </w:r>
      <w:r>
        <w:rPr/>
        <w:t>as</w:t>
      </w:r>
      <w:r>
        <w:rPr>
          <w:spacing w:val="-1"/>
        </w:rPr>
        <w:t> </w:t>
      </w:r>
      <w:r>
        <w:rPr/>
        <w:t>mortality rates</w:t>
      </w:r>
      <w:r>
        <w:rPr>
          <w:spacing w:val="-1"/>
        </w:rPr>
        <w:t> </w:t>
      </w:r>
      <w:r>
        <w:rPr/>
        <w:t>for</w:t>
      </w:r>
      <w:r>
        <w:rPr>
          <w:spacing w:val="-1"/>
        </w:rPr>
        <w:t> </w:t>
      </w:r>
      <w:r>
        <w:rPr/>
        <w:t>birthing</w:t>
      </w:r>
      <w:r>
        <w:rPr>
          <w:spacing w:val="-1"/>
        </w:rPr>
        <w:t> </w:t>
      </w:r>
      <w:r>
        <w:rPr/>
        <w:t>people. Without</w:t>
      </w:r>
      <w:r>
        <w:rPr>
          <w:spacing w:val="-1"/>
        </w:rPr>
        <w:t> </w:t>
      </w:r>
      <w:r>
        <w:rPr/>
        <w:t>this information,</w:t>
      </w:r>
      <w:r>
        <w:rPr>
          <w:spacing w:val="-1"/>
        </w:rPr>
        <w:t> </w:t>
      </w:r>
      <w:r>
        <w:rPr/>
        <w:t>it </w:t>
      </w:r>
      <w:r>
        <w:rPr>
          <w:spacing w:val="-2"/>
        </w:rPr>
        <w:t>is</w:t>
      </w:r>
      <w:r>
        <w:rPr>
          <w:spacing w:val="-3"/>
        </w:rPr>
        <w:t> </w:t>
      </w:r>
      <w:r>
        <w:rPr>
          <w:spacing w:val="-2"/>
        </w:rPr>
        <w:t>difficult</w:t>
      </w:r>
      <w:r>
        <w:rPr>
          <w:spacing w:val="-3"/>
        </w:rPr>
        <w:t> </w:t>
      </w:r>
      <w:r>
        <w:rPr>
          <w:spacing w:val="-2"/>
        </w:rPr>
        <w:t>to</w:t>
      </w:r>
      <w:r>
        <w:rPr>
          <w:spacing w:val="-3"/>
        </w:rPr>
        <w:t> </w:t>
      </w:r>
      <w:r>
        <w:rPr>
          <w:spacing w:val="-2"/>
        </w:rPr>
        <w:t>accurately</w:t>
      </w:r>
      <w:r>
        <w:rPr>
          <w:spacing w:val="-3"/>
        </w:rPr>
        <w:t> </w:t>
      </w:r>
      <w:r>
        <w:rPr>
          <w:spacing w:val="-2"/>
        </w:rPr>
        <w:t>capture</w:t>
      </w:r>
      <w:r>
        <w:rPr>
          <w:spacing w:val="-3"/>
        </w:rPr>
        <w:t> </w:t>
      </w:r>
      <w:r>
        <w:rPr>
          <w:spacing w:val="-2"/>
        </w:rPr>
        <w:t>the</w:t>
      </w:r>
      <w:r>
        <w:rPr>
          <w:spacing w:val="-3"/>
        </w:rPr>
        <w:t> </w:t>
      </w:r>
      <w:r>
        <w:rPr>
          <w:spacing w:val="-2"/>
        </w:rPr>
        <w:t>experiences</w:t>
      </w:r>
      <w:r>
        <w:rPr>
          <w:spacing w:val="-3"/>
        </w:rPr>
        <w:t> </w:t>
      </w:r>
      <w:r>
        <w:rPr>
          <w:spacing w:val="-2"/>
        </w:rPr>
        <w:t>of</w:t>
      </w:r>
      <w:r>
        <w:rPr>
          <w:spacing w:val="-3"/>
        </w:rPr>
        <w:t> </w:t>
      </w:r>
      <w:r>
        <w:rPr>
          <w:spacing w:val="-2"/>
        </w:rPr>
        <w:t>LGBTQ</w:t>
      </w:r>
      <w:r>
        <w:rPr>
          <w:spacing w:val="-3"/>
        </w:rPr>
        <w:t> </w:t>
      </w:r>
      <w:r>
        <w:rPr>
          <w:spacing w:val="-2"/>
        </w:rPr>
        <w:t>individuals</w:t>
      </w:r>
      <w:r>
        <w:rPr>
          <w:spacing w:val="-3"/>
        </w:rPr>
        <w:t> </w:t>
      </w:r>
      <w:r>
        <w:rPr>
          <w:spacing w:val="-2"/>
        </w:rPr>
        <w:t>across</w:t>
      </w:r>
      <w:r>
        <w:rPr>
          <w:spacing w:val="-3"/>
        </w:rPr>
        <w:t> </w:t>
      </w:r>
      <w:r>
        <w:rPr>
          <w:spacing w:val="-2"/>
        </w:rPr>
        <w:t>the</w:t>
      </w:r>
      <w:r>
        <w:rPr>
          <w:spacing w:val="-3"/>
        </w:rPr>
        <w:t> </w:t>
      </w:r>
      <w:r>
        <w:rPr>
          <w:spacing w:val="-2"/>
        </w:rPr>
        <w:t>state</w:t>
      </w:r>
      <w:r>
        <w:rPr>
          <w:spacing w:val="-3"/>
        </w:rPr>
        <w:t> </w:t>
      </w:r>
      <w:r>
        <w:rPr>
          <w:spacing w:val="-2"/>
        </w:rPr>
        <w:t>who</w:t>
      </w:r>
      <w:r>
        <w:rPr>
          <w:spacing w:val="-3"/>
        </w:rPr>
        <w:t> </w:t>
      </w:r>
      <w:r>
        <w:rPr>
          <w:spacing w:val="-2"/>
        </w:rPr>
        <w:t>seek</w:t>
      </w:r>
      <w:r>
        <w:rPr>
          <w:spacing w:val="-3"/>
        </w:rPr>
        <w:t> </w:t>
      </w:r>
      <w:r>
        <w:rPr>
          <w:spacing w:val="-2"/>
        </w:rPr>
        <w:t>reproductive </w:t>
      </w:r>
      <w:r>
        <w:rPr/>
        <w:t>health</w:t>
      </w:r>
      <w:r>
        <w:rPr>
          <w:spacing w:val="-13"/>
        </w:rPr>
        <w:t> </w:t>
      </w:r>
      <w:r>
        <w:rPr/>
        <w:t>care.</w:t>
      </w:r>
      <w:r>
        <w:rPr>
          <w:spacing w:val="-12"/>
        </w:rPr>
        <w:t> </w:t>
      </w:r>
      <w:r>
        <w:rPr/>
        <w:t>The</w:t>
      </w:r>
      <w:r>
        <w:rPr>
          <w:spacing w:val="-13"/>
        </w:rPr>
        <w:t> </w:t>
      </w:r>
      <w:r>
        <w:rPr/>
        <w:t>Commission</w:t>
      </w:r>
      <w:r>
        <w:rPr>
          <w:spacing w:val="-12"/>
        </w:rPr>
        <w:t> </w:t>
      </w:r>
      <w:r>
        <w:rPr/>
        <w:t>recommends</w:t>
      </w:r>
      <w:r>
        <w:rPr>
          <w:spacing w:val="-13"/>
        </w:rPr>
        <w:t> </w:t>
      </w:r>
      <w:r>
        <w:rPr/>
        <w:t>that</w:t>
      </w:r>
      <w:r>
        <w:rPr>
          <w:spacing w:val="-12"/>
        </w:rPr>
        <w:t> </w:t>
      </w:r>
      <w:r>
        <w:rPr/>
        <w:t>agencies</w:t>
      </w:r>
      <w:r>
        <w:rPr>
          <w:spacing w:val="-12"/>
        </w:rPr>
        <w:t> </w:t>
      </w:r>
      <w:r>
        <w:rPr/>
        <w:t>explore</w:t>
      </w:r>
      <w:r>
        <w:rPr>
          <w:spacing w:val="-10"/>
        </w:rPr>
        <w:t> </w:t>
      </w:r>
      <w:r>
        <w:rPr/>
        <w:t>ways</w:t>
      </w:r>
      <w:r>
        <w:rPr>
          <w:spacing w:val="-12"/>
        </w:rPr>
        <w:t> </w:t>
      </w:r>
      <w:r>
        <w:rPr/>
        <w:t>to</w:t>
      </w:r>
      <w:r>
        <w:rPr>
          <w:spacing w:val="-12"/>
        </w:rPr>
        <w:t> </w:t>
      </w:r>
      <w:r>
        <w:rPr/>
        <w:t>include</w:t>
      </w:r>
      <w:r>
        <w:rPr>
          <w:spacing w:val="-13"/>
        </w:rPr>
        <w:t> </w:t>
      </w:r>
      <w:r>
        <w:rPr/>
        <w:t>SOGI</w:t>
      </w:r>
      <w:r>
        <w:rPr>
          <w:spacing w:val="-12"/>
        </w:rPr>
        <w:t> </w:t>
      </w:r>
      <w:r>
        <w:rPr/>
        <w:t>data</w:t>
      </w:r>
      <w:r>
        <w:rPr>
          <w:spacing w:val="-11"/>
        </w:rPr>
        <w:t> </w:t>
      </w:r>
      <w:r>
        <w:rPr/>
        <w:t>collection</w:t>
      </w:r>
      <w:r>
        <w:rPr>
          <w:spacing w:val="-13"/>
        </w:rPr>
        <w:t> </w:t>
      </w:r>
      <w:r>
        <w:rPr/>
        <w:t>where appropriate to better understand the need for LGBTQ-inclusive health care in all areas.</w:t>
      </w:r>
    </w:p>
    <w:p>
      <w:pPr>
        <w:spacing w:after="0" w:line="276" w:lineRule="auto"/>
        <w:jc w:val="both"/>
        <w:sectPr>
          <w:headerReference w:type="default" r:id="rId308"/>
          <w:footerReference w:type="default" r:id="rId309"/>
          <w:pgSz w:w="12240" w:h="15840"/>
          <w:pgMar w:header="800" w:footer="1530" w:top="1080" w:bottom="1720" w:left="980" w:right="1000"/>
          <w:pgNumType w:start="110"/>
        </w:sectPr>
      </w:pPr>
    </w:p>
    <w:p>
      <w:pPr>
        <w:numPr>
          <w:ilvl w:val="0"/>
          <w:numId w:val="22"/>
        </w:numPr>
        <w:tabs>
          <w:tab w:pos="461" w:val="left" w:leader="none"/>
          <w:tab w:pos="463" w:val="left" w:leader="none"/>
        </w:tabs>
        <w:spacing w:line="276" w:lineRule="auto" w:before="69"/>
        <w:ind w:left="463" w:right="242" w:hanging="360"/>
        <w:jc w:val="left"/>
        <w:rPr>
          <w:b/>
          <w:sz w:val="22"/>
        </w:rPr>
      </w:pPr>
      <w:r>
        <w:rPr>
          <w:b/>
          <w:sz w:val="22"/>
        </w:rPr>
        <w:t>Create</w:t>
      </w:r>
      <w:r>
        <w:rPr>
          <w:b/>
          <w:spacing w:val="-1"/>
          <w:sz w:val="22"/>
        </w:rPr>
        <w:t> </w:t>
      </w:r>
      <w:r>
        <w:rPr>
          <w:b/>
          <w:sz w:val="22"/>
        </w:rPr>
        <w:t>and</w:t>
      </w:r>
      <w:r>
        <w:rPr>
          <w:b/>
          <w:spacing w:val="-1"/>
          <w:sz w:val="22"/>
        </w:rPr>
        <w:t> </w:t>
      </w:r>
      <w:r>
        <w:rPr>
          <w:b/>
          <w:sz w:val="22"/>
        </w:rPr>
        <w:t>fund</w:t>
      </w:r>
      <w:r>
        <w:rPr>
          <w:b/>
          <w:spacing w:val="-2"/>
          <w:sz w:val="22"/>
        </w:rPr>
        <w:t> </w:t>
      </w:r>
      <w:r>
        <w:rPr>
          <w:b/>
          <w:sz w:val="22"/>
        </w:rPr>
        <w:t>community</w:t>
      </w:r>
      <w:r>
        <w:rPr>
          <w:b/>
          <w:spacing w:val="-1"/>
          <w:sz w:val="22"/>
        </w:rPr>
        <w:t> </w:t>
      </w:r>
      <w:r>
        <w:rPr>
          <w:b/>
          <w:sz w:val="22"/>
        </w:rPr>
        <w:t>birthing</w:t>
      </w:r>
      <w:r>
        <w:rPr>
          <w:b/>
          <w:spacing w:val="-1"/>
          <w:sz w:val="22"/>
        </w:rPr>
        <w:t> </w:t>
      </w:r>
      <w:r>
        <w:rPr>
          <w:b/>
          <w:sz w:val="22"/>
        </w:rPr>
        <w:t>centers across the</w:t>
      </w:r>
      <w:r>
        <w:rPr>
          <w:b/>
          <w:spacing w:val="-1"/>
          <w:sz w:val="22"/>
        </w:rPr>
        <w:t> </w:t>
      </w:r>
      <w:r>
        <w:rPr>
          <w:b/>
          <w:sz w:val="22"/>
        </w:rPr>
        <w:t>Commonwealth</w:t>
      </w:r>
      <w:r>
        <w:rPr>
          <w:b/>
          <w:spacing w:val="-2"/>
          <w:sz w:val="22"/>
        </w:rPr>
        <w:t> </w:t>
      </w:r>
      <w:r>
        <w:rPr>
          <w:b/>
          <w:sz w:val="22"/>
        </w:rPr>
        <w:t>and increase</w:t>
      </w:r>
      <w:r>
        <w:rPr>
          <w:b/>
          <w:spacing w:val="-1"/>
          <w:sz w:val="22"/>
        </w:rPr>
        <w:t> </w:t>
      </w:r>
      <w:r>
        <w:rPr>
          <w:b/>
          <w:sz w:val="22"/>
        </w:rPr>
        <w:t>access</w:t>
      </w:r>
      <w:r>
        <w:rPr>
          <w:b/>
          <w:spacing w:val="-2"/>
          <w:sz w:val="22"/>
        </w:rPr>
        <w:t> </w:t>
      </w:r>
      <w:r>
        <w:rPr>
          <w:b/>
          <w:sz w:val="22"/>
        </w:rPr>
        <w:t>to</w:t>
      </w:r>
      <w:r>
        <w:rPr>
          <w:b/>
          <w:spacing w:val="-2"/>
          <w:sz w:val="22"/>
        </w:rPr>
        <w:t> </w:t>
      </w:r>
      <w:r>
        <w:rPr>
          <w:b/>
          <w:sz w:val="22"/>
        </w:rPr>
        <w:t>culturally competent doula services.</w:t>
      </w:r>
    </w:p>
    <w:p>
      <w:pPr>
        <w:pStyle w:val="BodyText"/>
        <w:spacing w:line="276" w:lineRule="auto" w:before="240"/>
        <w:ind w:left="463" w:right="241"/>
        <w:jc w:val="both"/>
      </w:pPr>
      <w:r>
        <w:rPr/>
        <w:t>In a 2022 national poll from the American Association of Medical Colleges, 51% of LGBTQ birthing people reported that the quality of their birthing experiences was negatively impacted by bias or discrimination.</w:t>
      </w:r>
      <w:hyperlink w:history="true" w:anchor="_bookmark194">
        <w:r>
          <w:rPr>
            <w:vertAlign w:val="superscript"/>
          </w:rPr>
          <w:t>1</w:t>
        </w:r>
      </w:hyperlink>
      <w:r>
        <w:rPr>
          <w:vertAlign w:val="baseline"/>
        </w:rPr>
        <w:t> For many people, birthing centers provide a more comfortable space for people with low-risk pregnancies to give birth, especially for transgender or gender expansive people who may be more likely to face discrimination</w:t>
      </w:r>
      <w:r>
        <w:rPr>
          <w:spacing w:val="-5"/>
          <w:vertAlign w:val="baseline"/>
        </w:rPr>
        <w:t> </w:t>
      </w:r>
      <w:r>
        <w:rPr>
          <w:vertAlign w:val="baseline"/>
        </w:rPr>
        <w:t>in</w:t>
      </w:r>
      <w:r>
        <w:rPr>
          <w:spacing w:val="-5"/>
          <w:vertAlign w:val="baseline"/>
        </w:rPr>
        <w:t> </w:t>
      </w:r>
      <w:r>
        <w:rPr>
          <w:vertAlign w:val="baseline"/>
        </w:rPr>
        <w:t>a</w:t>
      </w:r>
      <w:r>
        <w:rPr>
          <w:spacing w:val="-4"/>
          <w:vertAlign w:val="baseline"/>
        </w:rPr>
        <w:t> </w:t>
      </w:r>
      <w:r>
        <w:rPr>
          <w:vertAlign w:val="baseline"/>
        </w:rPr>
        <w:t>hospital</w:t>
      </w:r>
      <w:r>
        <w:rPr>
          <w:spacing w:val="-5"/>
          <w:vertAlign w:val="baseline"/>
        </w:rPr>
        <w:t> </w:t>
      </w:r>
      <w:r>
        <w:rPr>
          <w:vertAlign w:val="baseline"/>
        </w:rPr>
        <w:t>setting.</w:t>
      </w:r>
      <w:r>
        <w:rPr>
          <w:spacing w:val="-4"/>
          <w:vertAlign w:val="baseline"/>
        </w:rPr>
        <w:t> </w:t>
      </w:r>
      <w:r>
        <w:rPr>
          <w:vertAlign w:val="baseline"/>
        </w:rPr>
        <w:t>In</w:t>
      </w:r>
      <w:r>
        <w:rPr>
          <w:spacing w:val="-5"/>
          <w:vertAlign w:val="baseline"/>
        </w:rPr>
        <w:t> </w:t>
      </w:r>
      <w:r>
        <w:rPr>
          <w:vertAlign w:val="baseline"/>
        </w:rPr>
        <w:t>Massachusetts,</w:t>
      </w:r>
      <w:r>
        <w:rPr>
          <w:spacing w:val="-5"/>
          <w:vertAlign w:val="baseline"/>
        </w:rPr>
        <w:t> </w:t>
      </w:r>
      <w:r>
        <w:rPr>
          <w:vertAlign w:val="baseline"/>
        </w:rPr>
        <w:t>only</w:t>
      </w:r>
      <w:r>
        <w:rPr>
          <w:spacing w:val="-5"/>
          <w:vertAlign w:val="baseline"/>
        </w:rPr>
        <w:t> </w:t>
      </w:r>
      <w:r>
        <w:rPr>
          <w:vertAlign w:val="baseline"/>
        </w:rPr>
        <w:t>one</w:t>
      </w:r>
      <w:r>
        <w:rPr>
          <w:spacing w:val="-4"/>
          <w:vertAlign w:val="baseline"/>
        </w:rPr>
        <w:t> </w:t>
      </w:r>
      <w:r>
        <w:rPr>
          <w:vertAlign w:val="baseline"/>
        </w:rPr>
        <w:t>community</w:t>
      </w:r>
      <w:r>
        <w:rPr>
          <w:spacing w:val="-4"/>
          <w:vertAlign w:val="baseline"/>
        </w:rPr>
        <w:t> </w:t>
      </w:r>
      <w:r>
        <w:rPr>
          <w:vertAlign w:val="baseline"/>
        </w:rPr>
        <w:t>birthing</w:t>
      </w:r>
      <w:r>
        <w:rPr>
          <w:spacing w:val="-4"/>
          <w:vertAlign w:val="baseline"/>
        </w:rPr>
        <w:t> </w:t>
      </w:r>
      <w:r>
        <w:rPr>
          <w:vertAlign w:val="baseline"/>
        </w:rPr>
        <w:t>center</w:t>
      </w:r>
      <w:r>
        <w:rPr>
          <w:spacing w:val="-4"/>
          <w:vertAlign w:val="baseline"/>
        </w:rPr>
        <w:t> </w:t>
      </w:r>
      <w:r>
        <w:rPr>
          <w:vertAlign w:val="baseline"/>
        </w:rPr>
        <w:t>currently</w:t>
      </w:r>
      <w:r>
        <w:rPr>
          <w:spacing w:val="-4"/>
          <w:vertAlign w:val="baseline"/>
        </w:rPr>
        <w:t> </w:t>
      </w:r>
      <w:r>
        <w:rPr>
          <w:vertAlign w:val="baseline"/>
        </w:rPr>
        <w:t>exists</w:t>
      </w:r>
      <w:r>
        <w:rPr>
          <w:spacing w:val="-3"/>
          <w:vertAlign w:val="baseline"/>
        </w:rPr>
        <w:t> </w:t>
      </w:r>
      <w:r>
        <w:rPr>
          <w:vertAlign w:val="baseline"/>
        </w:rPr>
        <w:t>- </w:t>
      </w:r>
      <w:hyperlink r:id="rId310">
        <w:r>
          <w:rPr>
            <w:color w:val="1153CC"/>
            <w:u w:val="single" w:color="1153CC"/>
            <w:vertAlign w:val="baseline"/>
          </w:rPr>
          <w:t>Seven Sisters Midwifery &amp; Community Birth Center</w:t>
        </w:r>
      </w:hyperlink>
      <w:r>
        <w:rPr>
          <w:color w:val="1153CC"/>
          <w:u w:val="none"/>
          <w:vertAlign w:val="baseline"/>
        </w:rPr>
        <w:t> </w:t>
      </w:r>
      <w:r>
        <w:rPr>
          <w:u w:val="none"/>
          <w:vertAlign w:val="baseline"/>
        </w:rPr>
        <w:t>- and, though the Commission is pleased to note that the center offers gender-affirming care, there remains a great need for more community birthing centers across the state. The Commission recommends that the Commonwealth invest in community birthing centers across the state to alleviate medical costs and health inequities for all birthing people across the state.</w:t>
      </w:r>
      <w:r>
        <w:rPr>
          <w:spacing w:val="-7"/>
          <w:u w:val="none"/>
          <w:vertAlign w:val="baseline"/>
        </w:rPr>
        <w:t> </w:t>
      </w:r>
      <w:r>
        <w:rPr>
          <w:u w:val="none"/>
          <w:vertAlign w:val="baseline"/>
        </w:rPr>
        <w:t>The</w:t>
      </w:r>
      <w:r>
        <w:rPr>
          <w:spacing w:val="-7"/>
          <w:u w:val="none"/>
          <w:vertAlign w:val="baseline"/>
        </w:rPr>
        <w:t> </w:t>
      </w:r>
      <w:r>
        <w:rPr>
          <w:u w:val="none"/>
          <w:vertAlign w:val="baseline"/>
        </w:rPr>
        <w:t>Commission</w:t>
      </w:r>
      <w:r>
        <w:rPr>
          <w:spacing w:val="-8"/>
          <w:u w:val="none"/>
          <w:vertAlign w:val="baseline"/>
        </w:rPr>
        <w:t> </w:t>
      </w:r>
      <w:r>
        <w:rPr>
          <w:u w:val="none"/>
          <w:vertAlign w:val="baseline"/>
        </w:rPr>
        <w:t>urges</w:t>
      </w:r>
      <w:r>
        <w:rPr>
          <w:spacing w:val="-7"/>
          <w:u w:val="none"/>
          <w:vertAlign w:val="baseline"/>
        </w:rPr>
        <w:t> </w:t>
      </w:r>
      <w:r>
        <w:rPr>
          <w:u w:val="none"/>
          <w:vertAlign w:val="baseline"/>
        </w:rPr>
        <w:t>the</w:t>
      </w:r>
      <w:r>
        <w:rPr>
          <w:spacing w:val="-7"/>
          <w:u w:val="none"/>
          <w:vertAlign w:val="baseline"/>
        </w:rPr>
        <w:t> </w:t>
      </w:r>
      <w:r>
        <w:rPr>
          <w:u w:val="none"/>
          <w:vertAlign w:val="baseline"/>
        </w:rPr>
        <w:t>legislature</w:t>
      </w:r>
      <w:r>
        <w:rPr>
          <w:spacing w:val="-8"/>
          <w:u w:val="none"/>
          <w:vertAlign w:val="baseline"/>
        </w:rPr>
        <w:t> </w:t>
      </w:r>
      <w:r>
        <w:rPr>
          <w:u w:val="none"/>
          <w:vertAlign w:val="baseline"/>
        </w:rPr>
        <w:t>to</w:t>
      </w:r>
      <w:r>
        <w:rPr>
          <w:spacing w:val="-6"/>
          <w:u w:val="none"/>
          <w:vertAlign w:val="baseline"/>
        </w:rPr>
        <w:t> </w:t>
      </w:r>
      <w:r>
        <w:rPr>
          <w:u w:val="none"/>
          <w:vertAlign w:val="baseline"/>
        </w:rPr>
        <w:t>pass</w:t>
      </w:r>
      <w:r>
        <w:rPr>
          <w:spacing w:val="-7"/>
          <w:u w:val="none"/>
          <w:vertAlign w:val="baseline"/>
        </w:rPr>
        <w:t> </w:t>
      </w:r>
      <w:r>
        <w:rPr>
          <w:i/>
          <w:u w:val="none"/>
          <w:vertAlign w:val="baseline"/>
        </w:rPr>
        <w:t>An</w:t>
      </w:r>
      <w:r>
        <w:rPr>
          <w:i/>
          <w:spacing w:val="-8"/>
          <w:u w:val="none"/>
          <w:vertAlign w:val="baseline"/>
        </w:rPr>
        <w:t> </w:t>
      </w:r>
      <w:r>
        <w:rPr>
          <w:i/>
          <w:u w:val="none"/>
          <w:vertAlign w:val="baseline"/>
        </w:rPr>
        <w:t>Act</w:t>
      </w:r>
      <w:r>
        <w:rPr>
          <w:i/>
          <w:spacing w:val="-7"/>
          <w:u w:val="none"/>
          <w:vertAlign w:val="baseline"/>
        </w:rPr>
        <w:t> </w:t>
      </w:r>
      <w:r>
        <w:rPr>
          <w:i/>
          <w:u w:val="none"/>
          <w:vertAlign w:val="baseline"/>
        </w:rPr>
        <w:t>Relative</w:t>
      </w:r>
      <w:r>
        <w:rPr>
          <w:i/>
          <w:spacing w:val="-7"/>
          <w:u w:val="none"/>
          <w:vertAlign w:val="baseline"/>
        </w:rPr>
        <w:t> </w:t>
      </w:r>
      <w:r>
        <w:rPr>
          <w:i/>
          <w:u w:val="none"/>
          <w:vertAlign w:val="baseline"/>
        </w:rPr>
        <w:t>to</w:t>
      </w:r>
      <w:r>
        <w:rPr>
          <w:i/>
          <w:spacing w:val="-8"/>
          <w:u w:val="none"/>
          <w:vertAlign w:val="baseline"/>
        </w:rPr>
        <w:t> </w:t>
      </w:r>
      <w:r>
        <w:rPr>
          <w:i/>
          <w:u w:val="none"/>
          <w:vertAlign w:val="baseline"/>
        </w:rPr>
        <w:t>Birthing</w:t>
      </w:r>
      <w:r>
        <w:rPr>
          <w:i/>
          <w:spacing w:val="-7"/>
          <w:u w:val="none"/>
          <w:vertAlign w:val="baseline"/>
        </w:rPr>
        <w:t> </w:t>
      </w:r>
      <w:r>
        <w:rPr>
          <w:i/>
          <w:u w:val="none"/>
          <w:vertAlign w:val="baseline"/>
        </w:rPr>
        <w:t>Justice</w:t>
      </w:r>
      <w:r>
        <w:rPr>
          <w:i/>
          <w:spacing w:val="-8"/>
          <w:u w:val="none"/>
          <w:vertAlign w:val="baseline"/>
        </w:rPr>
        <w:t> </w:t>
      </w:r>
      <w:r>
        <w:rPr>
          <w:i/>
          <w:u w:val="none"/>
          <w:vertAlign w:val="baseline"/>
        </w:rPr>
        <w:t>in</w:t>
      </w:r>
      <w:r>
        <w:rPr>
          <w:i/>
          <w:spacing w:val="-7"/>
          <w:u w:val="none"/>
          <w:vertAlign w:val="baseline"/>
        </w:rPr>
        <w:t> </w:t>
      </w:r>
      <w:r>
        <w:rPr>
          <w:i/>
          <w:u w:val="none"/>
          <w:vertAlign w:val="baseline"/>
        </w:rPr>
        <w:t>the</w:t>
      </w:r>
      <w:r>
        <w:rPr>
          <w:i/>
          <w:spacing w:val="-8"/>
          <w:u w:val="none"/>
          <w:vertAlign w:val="baseline"/>
        </w:rPr>
        <w:t> </w:t>
      </w:r>
      <w:r>
        <w:rPr>
          <w:i/>
          <w:u w:val="none"/>
          <w:vertAlign w:val="baseline"/>
        </w:rPr>
        <w:t>Commonwealth</w:t>
      </w:r>
      <w:r>
        <w:rPr>
          <w:i/>
          <w:u w:val="none"/>
          <w:vertAlign w:val="baseline"/>
        </w:rPr>
        <w:t> </w:t>
      </w:r>
      <w:r>
        <w:rPr>
          <w:u w:val="none"/>
          <w:vertAlign w:val="baseline"/>
        </w:rPr>
        <w:t>(</w:t>
      </w:r>
      <w:hyperlink r:id="rId311">
        <w:r>
          <w:rPr>
            <w:color w:val="1153CC"/>
            <w:u w:val="single" w:color="1153CC"/>
            <w:vertAlign w:val="baseline"/>
          </w:rPr>
          <w:t>S.1415</w:t>
        </w:r>
      </w:hyperlink>
      <w:r>
        <w:rPr>
          <w:u w:val="none"/>
          <w:vertAlign w:val="baseline"/>
        </w:rPr>
        <w:t>), which would introduce a framework to better address health inequities faced by birthing people across the state.</w:t>
      </w:r>
    </w:p>
    <w:p>
      <w:pPr>
        <w:pStyle w:val="BodyText"/>
        <w:spacing w:line="276" w:lineRule="auto" w:before="239"/>
        <w:ind w:left="463" w:right="240"/>
        <w:jc w:val="both"/>
      </w:pPr>
      <w:r>
        <w:rPr/>
        <w:t>Furthermore, the Commission urges legislators and agencies to expand access to affirming doula services across the Commonwealth. As discussed later in this section, doulas can alleviate health inequities and provide greater physical, emotional, and informational support for birthing people, particularly for Black LGBTQ</w:t>
      </w:r>
      <w:r>
        <w:rPr>
          <w:spacing w:val="-4"/>
        </w:rPr>
        <w:t> </w:t>
      </w:r>
      <w:r>
        <w:rPr/>
        <w:t>birthing</w:t>
      </w:r>
      <w:r>
        <w:rPr>
          <w:spacing w:val="-4"/>
        </w:rPr>
        <w:t> </w:t>
      </w:r>
      <w:r>
        <w:rPr/>
        <w:t>communities</w:t>
      </w:r>
      <w:r>
        <w:rPr>
          <w:spacing w:val="-5"/>
        </w:rPr>
        <w:t> </w:t>
      </w:r>
      <w:r>
        <w:rPr/>
        <w:t>who</w:t>
      </w:r>
      <w:r>
        <w:rPr>
          <w:spacing w:val="-5"/>
        </w:rPr>
        <w:t> </w:t>
      </w:r>
      <w:r>
        <w:rPr/>
        <w:t>face</w:t>
      </w:r>
      <w:r>
        <w:rPr>
          <w:spacing w:val="-3"/>
        </w:rPr>
        <w:t> </w:t>
      </w:r>
      <w:r>
        <w:rPr/>
        <w:t>greater</w:t>
      </w:r>
      <w:r>
        <w:rPr>
          <w:spacing w:val="-4"/>
        </w:rPr>
        <w:t> </w:t>
      </w:r>
      <w:r>
        <w:rPr/>
        <w:t>health</w:t>
      </w:r>
      <w:r>
        <w:rPr>
          <w:spacing w:val="-5"/>
        </w:rPr>
        <w:t> </w:t>
      </w:r>
      <w:r>
        <w:rPr/>
        <w:t>risks,</w:t>
      </w:r>
      <w:r>
        <w:rPr>
          <w:spacing w:val="-5"/>
        </w:rPr>
        <w:t> </w:t>
      </w:r>
      <w:r>
        <w:rPr/>
        <w:t>bias,</w:t>
      </w:r>
      <w:r>
        <w:rPr>
          <w:spacing w:val="-4"/>
        </w:rPr>
        <w:t> </w:t>
      </w:r>
      <w:r>
        <w:rPr/>
        <w:t>or</w:t>
      </w:r>
      <w:r>
        <w:rPr>
          <w:spacing w:val="-5"/>
        </w:rPr>
        <w:t> </w:t>
      </w:r>
      <w:r>
        <w:rPr/>
        <w:t>discrimination</w:t>
      </w:r>
      <w:r>
        <w:rPr>
          <w:spacing w:val="-5"/>
        </w:rPr>
        <w:t> </w:t>
      </w:r>
      <w:r>
        <w:rPr/>
        <w:t>when</w:t>
      </w:r>
      <w:r>
        <w:rPr>
          <w:spacing w:val="-4"/>
        </w:rPr>
        <w:t> </w:t>
      </w:r>
      <w:r>
        <w:rPr/>
        <w:t>birthing</w:t>
      </w:r>
      <w:r>
        <w:rPr>
          <w:spacing w:val="-4"/>
        </w:rPr>
        <w:t> </w:t>
      </w:r>
      <w:r>
        <w:rPr/>
        <w:t>in</w:t>
      </w:r>
      <w:r>
        <w:rPr>
          <w:spacing w:val="-4"/>
        </w:rPr>
        <w:t> </w:t>
      </w:r>
      <w:r>
        <w:rPr/>
        <w:t>hospital spaces. Additionally, the Commission recommends that the Commonwealth expand its approach to doula services and consider investing in gender doulas to provide transition support for trans and gender expansive communities.</w:t>
      </w:r>
    </w:p>
    <w:p>
      <w:pPr>
        <w:numPr>
          <w:ilvl w:val="0"/>
          <w:numId w:val="22"/>
        </w:numPr>
        <w:tabs>
          <w:tab w:pos="461" w:val="left" w:leader="none"/>
          <w:tab w:pos="463" w:val="left" w:leader="none"/>
        </w:tabs>
        <w:spacing w:line="276" w:lineRule="auto" w:before="241"/>
        <w:ind w:left="463" w:right="242" w:hanging="360"/>
        <w:jc w:val="left"/>
        <w:rPr>
          <w:b/>
          <w:sz w:val="22"/>
        </w:rPr>
      </w:pPr>
      <w:r>
        <w:rPr>
          <w:b/>
          <w:sz w:val="22"/>
        </w:rPr>
        <w:t>Expand LGBTQ cultural awareness, anti-bias, and racial equity trainings for public hospital providers and </w:t>
      </w:r>
      <w:r>
        <w:rPr>
          <w:b/>
          <w:spacing w:val="-2"/>
          <w:sz w:val="22"/>
        </w:rPr>
        <w:t>staff.</w:t>
      </w:r>
    </w:p>
    <w:p>
      <w:pPr>
        <w:pStyle w:val="BodyText"/>
        <w:spacing w:line="276" w:lineRule="auto" w:before="240"/>
        <w:ind w:left="463" w:right="239"/>
        <w:jc w:val="both"/>
      </w:pPr>
      <w:r>
        <w:rPr/>
        <w:t>Given the alarming disparities and structural racism faced by Black birthing people in Massachusetts, the Commission</w:t>
      </w:r>
      <w:r>
        <w:rPr>
          <w:spacing w:val="-10"/>
        </w:rPr>
        <w:t> </w:t>
      </w:r>
      <w:r>
        <w:rPr/>
        <w:t>strongly</w:t>
      </w:r>
      <w:r>
        <w:rPr>
          <w:spacing w:val="-10"/>
        </w:rPr>
        <w:t> </w:t>
      </w:r>
      <w:r>
        <w:rPr/>
        <w:t>recommends</w:t>
      </w:r>
      <w:r>
        <w:rPr>
          <w:spacing w:val="-9"/>
        </w:rPr>
        <w:t> </w:t>
      </w:r>
      <w:r>
        <w:rPr/>
        <w:t>that</w:t>
      </w:r>
      <w:r>
        <w:rPr>
          <w:spacing w:val="-9"/>
        </w:rPr>
        <w:t> </w:t>
      </w:r>
      <w:r>
        <w:rPr/>
        <w:t>the</w:t>
      </w:r>
      <w:r>
        <w:rPr>
          <w:spacing w:val="-9"/>
        </w:rPr>
        <w:t> </w:t>
      </w:r>
      <w:r>
        <w:rPr/>
        <w:t>Commonwealth</w:t>
      </w:r>
      <w:r>
        <w:rPr>
          <w:spacing w:val="-10"/>
        </w:rPr>
        <w:t> </w:t>
      </w:r>
      <w:r>
        <w:rPr/>
        <w:t>explore</w:t>
      </w:r>
      <w:r>
        <w:rPr>
          <w:spacing w:val="-10"/>
        </w:rPr>
        <w:t> </w:t>
      </w:r>
      <w:r>
        <w:rPr/>
        <w:t>the</w:t>
      </w:r>
      <w:r>
        <w:rPr>
          <w:spacing w:val="-10"/>
        </w:rPr>
        <w:t> </w:t>
      </w:r>
      <w:r>
        <w:rPr/>
        <w:t>expansion</w:t>
      </w:r>
      <w:r>
        <w:rPr>
          <w:spacing w:val="-10"/>
        </w:rPr>
        <w:t> </w:t>
      </w:r>
      <w:r>
        <w:rPr/>
        <w:t>of</w:t>
      </w:r>
      <w:r>
        <w:rPr>
          <w:spacing w:val="-10"/>
        </w:rPr>
        <w:t> </w:t>
      </w:r>
      <w:r>
        <w:rPr/>
        <w:t>mandated</w:t>
      </w:r>
      <w:r>
        <w:rPr>
          <w:spacing w:val="-10"/>
        </w:rPr>
        <w:t> </w:t>
      </w:r>
      <w:r>
        <w:rPr/>
        <w:t>trainings</w:t>
      </w:r>
      <w:r>
        <w:rPr>
          <w:spacing w:val="-8"/>
        </w:rPr>
        <w:t> </w:t>
      </w:r>
      <w:r>
        <w:rPr/>
        <w:t>to reduce</w:t>
      </w:r>
      <w:r>
        <w:rPr>
          <w:spacing w:val="-3"/>
        </w:rPr>
        <w:t> </w:t>
      </w:r>
      <w:r>
        <w:rPr/>
        <w:t>incidents</w:t>
      </w:r>
      <w:r>
        <w:rPr>
          <w:spacing w:val="-3"/>
        </w:rPr>
        <w:t> </w:t>
      </w:r>
      <w:r>
        <w:rPr/>
        <w:t>of</w:t>
      </w:r>
      <w:r>
        <w:rPr>
          <w:spacing w:val="-2"/>
        </w:rPr>
        <w:t> </w:t>
      </w:r>
      <w:r>
        <w:rPr/>
        <w:t>discrimination,</w:t>
      </w:r>
      <w:r>
        <w:rPr>
          <w:spacing w:val="-3"/>
        </w:rPr>
        <w:t> </w:t>
      </w:r>
      <w:r>
        <w:rPr/>
        <w:t>bias,</w:t>
      </w:r>
      <w:r>
        <w:rPr>
          <w:spacing w:val="-1"/>
        </w:rPr>
        <w:t> </w:t>
      </w:r>
      <w:r>
        <w:rPr/>
        <w:t>and</w:t>
      </w:r>
      <w:r>
        <w:rPr>
          <w:spacing w:val="-3"/>
        </w:rPr>
        <w:t> </w:t>
      </w:r>
      <w:r>
        <w:rPr/>
        <w:t>racism</w:t>
      </w:r>
      <w:r>
        <w:rPr>
          <w:spacing w:val="-3"/>
        </w:rPr>
        <w:t> </w:t>
      </w:r>
      <w:r>
        <w:rPr/>
        <w:t>faced</w:t>
      </w:r>
      <w:r>
        <w:rPr>
          <w:spacing w:val="-2"/>
        </w:rPr>
        <w:t> </w:t>
      </w:r>
      <w:r>
        <w:rPr/>
        <w:t>by</w:t>
      </w:r>
      <w:r>
        <w:rPr>
          <w:spacing w:val="-2"/>
        </w:rPr>
        <w:t> </w:t>
      </w:r>
      <w:r>
        <w:rPr/>
        <w:t>LGBTQ</w:t>
      </w:r>
      <w:r>
        <w:rPr>
          <w:spacing w:val="-3"/>
        </w:rPr>
        <w:t> </w:t>
      </w:r>
      <w:r>
        <w:rPr/>
        <w:t>and</w:t>
      </w:r>
      <w:r>
        <w:rPr>
          <w:spacing w:val="-3"/>
        </w:rPr>
        <w:t> </w:t>
      </w:r>
      <w:r>
        <w:rPr/>
        <w:t>BIPOC individuals</w:t>
      </w:r>
      <w:r>
        <w:rPr>
          <w:spacing w:val="-1"/>
        </w:rPr>
        <w:t> </w:t>
      </w:r>
      <w:r>
        <w:rPr/>
        <w:t>across</w:t>
      </w:r>
      <w:r>
        <w:rPr>
          <w:spacing w:val="-3"/>
        </w:rPr>
        <w:t> </w:t>
      </w:r>
      <w:r>
        <w:rPr/>
        <w:t>the</w:t>
      </w:r>
      <w:r>
        <w:rPr>
          <w:spacing w:val="-3"/>
        </w:rPr>
        <w:t> </w:t>
      </w:r>
      <w:r>
        <w:rPr/>
        <w:t>state. Agencies should examine professional development practices where relevant in public hospitals and facilities</w:t>
      </w:r>
      <w:r>
        <w:rPr>
          <w:spacing w:val="-3"/>
        </w:rPr>
        <w:t> </w:t>
      </w:r>
      <w:r>
        <w:rPr/>
        <w:t>to</w:t>
      </w:r>
      <w:r>
        <w:rPr>
          <w:spacing w:val="-3"/>
        </w:rPr>
        <w:t> </w:t>
      </w:r>
      <w:r>
        <w:rPr/>
        <w:t>ensure</w:t>
      </w:r>
      <w:r>
        <w:rPr>
          <w:spacing w:val="-4"/>
        </w:rPr>
        <w:t> </w:t>
      </w:r>
      <w:r>
        <w:rPr/>
        <w:t>that</w:t>
      </w:r>
      <w:r>
        <w:rPr>
          <w:spacing w:val="-4"/>
        </w:rPr>
        <w:t> </w:t>
      </w:r>
      <w:r>
        <w:rPr/>
        <w:t>medical</w:t>
      </w:r>
      <w:r>
        <w:rPr>
          <w:spacing w:val="-4"/>
        </w:rPr>
        <w:t> </w:t>
      </w:r>
      <w:r>
        <w:rPr/>
        <w:t>providers</w:t>
      </w:r>
      <w:r>
        <w:rPr>
          <w:spacing w:val="-5"/>
        </w:rPr>
        <w:t> </w:t>
      </w:r>
      <w:r>
        <w:rPr/>
        <w:t>and</w:t>
      </w:r>
      <w:r>
        <w:rPr>
          <w:spacing w:val="-4"/>
        </w:rPr>
        <w:t> </w:t>
      </w:r>
      <w:r>
        <w:rPr/>
        <w:t>staff</w:t>
      </w:r>
      <w:r>
        <w:rPr>
          <w:spacing w:val="-4"/>
        </w:rPr>
        <w:t> </w:t>
      </w:r>
      <w:r>
        <w:rPr/>
        <w:t>are</w:t>
      </w:r>
      <w:r>
        <w:rPr>
          <w:spacing w:val="-5"/>
        </w:rPr>
        <w:t> </w:t>
      </w:r>
      <w:r>
        <w:rPr/>
        <w:t>receiving</w:t>
      </w:r>
      <w:r>
        <w:rPr>
          <w:spacing w:val="-3"/>
        </w:rPr>
        <w:t> </w:t>
      </w:r>
      <w:r>
        <w:rPr/>
        <w:t>frequent</w:t>
      </w:r>
      <w:r>
        <w:rPr>
          <w:spacing w:val="-6"/>
        </w:rPr>
        <w:t> </w:t>
      </w:r>
      <w:r>
        <w:rPr/>
        <w:t>and</w:t>
      </w:r>
      <w:r>
        <w:rPr>
          <w:spacing w:val="-3"/>
        </w:rPr>
        <w:t> </w:t>
      </w:r>
      <w:r>
        <w:rPr/>
        <w:t>mandatory</w:t>
      </w:r>
      <w:r>
        <w:rPr>
          <w:spacing w:val="-5"/>
        </w:rPr>
        <w:t> </w:t>
      </w:r>
      <w:r>
        <w:rPr/>
        <w:t>opportunities</w:t>
      </w:r>
      <w:r>
        <w:rPr>
          <w:spacing w:val="-5"/>
        </w:rPr>
        <w:t> </w:t>
      </w:r>
      <w:r>
        <w:rPr/>
        <w:t>for LGBTQ cultural awareness, anti-bias, and racial equity trainings.</w:t>
      </w:r>
    </w:p>
    <w:p>
      <w:pPr>
        <w:spacing w:before="239"/>
        <w:ind w:left="463" w:right="0" w:firstLine="0"/>
        <w:jc w:val="both"/>
        <w:rPr>
          <w:sz w:val="28"/>
        </w:rPr>
      </w:pPr>
      <w:bookmarkStart w:name="Research: LGBTQ Youth and Healthcare Acc" w:id="367"/>
      <w:bookmarkEnd w:id="367"/>
      <w:r>
        <w:rPr/>
      </w:r>
      <w:r>
        <w:rPr>
          <w:color w:val="365F91"/>
          <w:sz w:val="28"/>
        </w:rPr>
        <w:t>Research:</w:t>
      </w:r>
      <w:r>
        <w:rPr>
          <w:color w:val="365F91"/>
          <w:spacing w:val="-10"/>
          <w:sz w:val="28"/>
        </w:rPr>
        <w:t> </w:t>
      </w:r>
      <w:r>
        <w:rPr>
          <w:color w:val="365F91"/>
          <w:sz w:val="28"/>
        </w:rPr>
        <w:t>LGBTQ</w:t>
      </w:r>
      <w:r>
        <w:rPr>
          <w:color w:val="365F91"/>
          <w:spacing w:val="-10"/>
          <w:sz w:val="28"/>
        </w:rPr>
        <w:t> </w:t>
      </w:r>
      <w:r>
        <w:rPr>
          <w:color w:val="365F91"/>
          <w:sz w:val="28"/>
        </w:rPr>
        <w:t>Youth</w:t>
      </w:r>
      <w:r>
        <w:rPr>
          <w:color w:val="365F91"/>
          <w:spacing w:val="-11"/>
          <w:sz w:val="28"/>
        </w:rPr>
        <w:t> </w:t>
      </w:r>
      <w:r>
        <w:rPr>
          <w:color w:val="365F91"/>
          <w:sz w:val="28"/>
        </w:rPr>
        <w:t>and</w:t>
      </w:r>
      <w:r>
        <w:rPr>
          <w:color w:val="365F91"/>
          <w:spacing w:val="-11"/>
          <w:sz w:val="28"/>
        </w:rPr>
        <w:t> </w:t>
      </w:r>
      <w:r>
        <w:rPr>
          <w:color w:val="365F91"/>
          <w:sz w:val="28"/>
        </w:rPr>
        <w:t>Healthcare</w:t>
      </w:r>
      <w:r>
        <w:rPr>
          <w:color w:val="365F91"/>
          <w:spacing w:val="-11"/>
          <w:sz w:val="28"/>
        </w:rPr>
        <w:t> </w:t>
      </w:r>
      <w:r>
        <w:rPr>
          <w:color w:val="365F91"/>
          <w:spacing w:val="-2"/>
          <w:sz w:val="28"/>
        </w:rPr>
        <w:t>Access</w:t>
      </w:r>
    </w:p>
    <w:p>
      <w:pPr>
        <w:pStyle w:val="BodyText"/>
        <w:spacing w:before="10"/>
        <w:rPr>
          <w:sz w:val="3"/>
        </w:rPr>
      </w:pPr>
      <w:r>
        <w:rPr/>
        <mc:AlternateContent>
          <mc:Choice Requires="wps">
            <w:drawing>
              <wp:anchor distT="0" distB="0" distL="0" distR="0" allowOverlap="1" layoutInCell="1" locked="0" behindDoc="1" simplePos="0" relativeHeight="487636480">
                <wp:simplePos x="0" y="0"/>
                <wp:positionH relativeFrom="page">
                  <wp:posOffset>897636</wp:posOffset>
                </wp:positionH>
                <wp:positionV relativeFrom="paragraph">
                  <wp:posOffset>44884</wp:posOffset>
                </wp:positionV>
                <wp:extent cx="6103620" cy="6350"/>
                <wp:effectExtent l="0" t="0" r="0" b="0"/>
                <wp:wrapTopAndBottom/>
                <wp:docPr id="289" name="Graphic 289"/>
                <wp:cNvGraphicFramePr>
                  <a:graphicFrameLocks/>
                </wp:cNvGraphicFramePr>
                <a:graphic>
                  <a:graphicData uri="http://schemas.microsoft.com/office/word/2010/wordprocessingShape">
                    <wps:wsp>
                      <wps:cNvPr id="289" name="Graphic 289"/>
                      <wps:cNvSpPr/>
                      <wps:spPr>
                        <a:xfrm>
                          <a:off x="0" y="0"/>
                          <a:ext cx="6103620" cy="6350"/>
                        </a:xfrm>
                        <a:custGeom>
                          <a:avLst/>
                          <a:gdLst/>
                          <a:ahLst/>
                          <a:cxnLst/>
                          <a:rect l="l" t="t" r="r" b="b"/>
                          <a:pathLst>
                            <a:path w="6103620" h="6350">
                              <a:moveTo>
                                <a:pt x="6103620" y="0"/>
                              </a:moveTo>
                              <a:lnTo>
                                <a:pt x="0" y="0"/>
                              </a:lnTo>
                              <a:lnTo>
                                <a:pt x="0" y="6108"/>
                              </a:lnTo>
                              <a:lnTo>
                                <a:pt x="6103620" y="6108"/>
                              </a:lnTo>
                              <a:lnTo>
                                <a:pt x="6103620" y="0"/>
                              </a:lnTo>
                              <a:close/>
                            </a:path>
                          </a:pathLst>
                        </a:custGeom>
                        <a:solidFill>
                          <a:srgbClr val="4F81BC"/>
                        </a:solidFill>
                      </wps:spPr>
                      <wps:bodyPr wrap="square" lIns="0" tIns="0" rIns="0" bIns="0" rtlCol="0">
                        <a:prstTxWarp prst="textNoShape">
                          <a:avLst/>
                        </a:prstTxWarp>
                        <a:noAutofit/>
                      </wps:bodyPr>
                    </wps:wsp>
                  </a:graphicData>
                </a:graphic>
              </wp:anchor>
            </w:drawing>
          </mc:Choice>
          <mc:Fallback>
            <w:pict>
              <v:rect style="position:absolute;margin-left:70.680pt;margin-top:3.534215pt;width:480.6pt;height:.481pt;mso-position-horizontal-relative:page;mso-position-vertical-relative:paragraph;z-index:-15680000;mso-wrap-distance-left:0;mso-wrap-distance-right:0" id="docshape231" filled="true" fillcolor="#4f81bc" stroked="false">
                <v:fill type="solid"/>
                <w10:wrap type="topAndBottom"/>
              </v:rect>
            </w:pict>
          </mc:Fallback>
        </mc:AlternateContent>
      </w:r>
    </w:p>
    <w:p>
      <w:pPr>
        <w:pStyle w:val="BodyText"/>
        <w:spacing w:line="276" w:lineRule="auto" w:before="241"/>
        <w:ind w:left="463" w:right="242"/>
        <w:jc w:val="both"/>
      </w:pPr>
      <w:r>
        <w:rPr/>
        <w:t>Pregnancy and</w:t>
      </w:r>
      <w:r>
        <w:rPr>
          <w:spacing w:val="-2"/>
        </w:rPr>
        <w:t> </w:t>
      </w:r>
      <w:r>
        <w:rPr/>
        <w:t>gynecological</w:t>
      </w:r>
      <w:r>
        <w:rPr>
          <w:spacing w:val="-2"/>
        </w:rPr>
        <w:t> </w:t>
      </w:r>
      <w:r>
        <w:rPr/>
        <w:t>healthcare</w:t>
      </w:r>
      <w:r>
        <w:rPr>
          <w:spacing w:val="-1"/>
        </w:rPr>
        <w:t> </w:t>
      </w:r>
      <w:r>
        <w:rPr/>
        <w:t>have</w:t>
      </w:r>
      <w:r>
        <w:rPr>
          <w:spacing w:val="-2"/>
        </w:rPr>
        <w:t> </w:t>
      </w:r>
      <w:r>
        <w:rPr/>
        <w:t>typically been</w:t>
      </w:r>
      <w:r>
        <w:rPr>
          <w:spacing w:val="-2"/>
        </w:rPr>
        <w:t> </w:t>
      </w:r>
      <w:r>
        <w:rPr/>
        <w:t>framed</w:t>
      </w:r>
      <w:r>
        <w:rPr>
          <w:spacing w:val="-1"/>
        </w:rPr>
        <w:t> </w:t>
      </w:r>
      <w:r>
        <w:rPr/>
        <w:t>as</w:t>
      </w:r>
      <w:r>
        <w:rPr>
          <w:spacing w:val="-1"/>
        </w:rPr>
        <w:t> </w:t>
      </w:r>
      <w:r>
        <w:rPr/>
        <w:t>a</w:t>
      </w:r>
      <w:r>
        <w:rPr>
          <w:spacing w:val="-1"/>
        </w:rPr>
        <w:t> </w:t>
      </w:r>
      <w:r>
        <w:rPr/>
        <w:t>heterosexual cisgender</w:t>
      </w:r>
      <w:r>
        <w:rPr>
          <w:spacing w:val="-1"/>
        </w:rPr>
        <w:t> </w:t>
      </w:r>
      <w:r>
        <w:rPr/>
        <w:t>“women’s rights” issue, but many LGBTQ people such as lesbians, bisexual women, transgender men, Two-Spirit, intersex, nonbinary and gender nonconforming individuals use contraception, have the capacity to carry pregnancy, experience miscarriages, and choose to get abortions. While LGBTQ people often explore numerous paths to parenthood, this report focuses on the experiences of people with the capacity for pregnancy and need for affirming-gynecological care in the Massachusetts healthcare system.</w:t>
      </w:r>
    </w:p>
    <w:p>
      <w:pPr>
        <w:spacing w:after="0" w:line="276" w:lineRule="auto"/>
        <w:jc w:val="both"/>
        <w:sectPr>
          <w:pgSz w:w="12240" w:h="15840"/>
          <w:pgMar w:header="800" w:footer="1530" w:top="1080" w:bottom="1760" w:left="980" w:right="1000"/>
        </w:sectPr>
      </w:pPr>
    </w:p>
    <w:p>
      <w:pPr>
        <w:pStyle w:val="BodyText"/>
        <w:spacing w:line="276" w:lineRule="auto" w:before="69"/>
        <w:ind w:left="463" w:right="241"/>
        <w:jc w:val="both"/>
      </w:pPr>
      <w:r>
        <w:rPr/>
        <w:t>Research has shown that LGBTQ people face systemic and individual barriers to accessing health care. </w:t>
      </w:r>
      <w:hyperlink w:history="true" w:anchor="_bookmark195">
        <w:r>
          <w:rPr>
            <w:vertAlign w:val="superscript"/>
          </w:rPr>
          <w:t>2</w:t>
        </w:r>
      </w:hyperlink>
      <w:r>
        <w:rPr>
          <w:vertAlign w:val="baseline"/>
        </w:rPr>
        <w:t> LGBTQ individuals are more likely to be underinsured and uninsured, making cost a major barrier to accessing health care. This is especially true for transgender and nonbinary individuals. According to the 2015 U.S. Transgender Survey, a third of respondents could not afford healthcare services when they needed them; transgender people of color, including multiracial, American Indian, Black, and Latinx respondents were more likely to not have seen a healthcare provider in the past year due to cost</w:t>
      </w:r>
      <w:hyperlink w:history="true" w:anchor="_bookmark196">
        <w:r>
          <w:rPr>
            <w:vertAlign w:val="baseline"/>
          </w:rPr>
          <w:t>.</w:t>
        </w:r>
        <w:r>
          <w:rPr>
            <w:vertAlign w:val="superscript"/>
          </w:rPr>
          <w:t>3</w:t>
        </w:r>
      </w:hyperlink>
      <w:r>
        <w:rPr>
          <w:vertAlign w:val="baseline"/>
        </w:rPr>
        <w:t> LGBTQ immigrants</w:t>
      </w:r>
      <w:r>
        <w:rPr>
          <w:spacing w:val="-5"/>
          <w:vertAlign w:val="baseline"/>
        </w:rPr>
        <w:t> </w:t>
      </w:r>
      <w:r>
        <w:rPr>
          <w:vertAlign w:val="baseline"/>
        </w:rPr>
        <w:t>face</w:t>
      </w:r>
      <w:r>
        <w:rPr>
          <w:spacing w:val="-6"/>
          <w:vertAlign w:val="baseline"/>
        </w:rPr>
        <w:t> </w:t>
      </w:r>
      <w:r>
        <w:rPr>
          <w:vertAlign w:val="baseline"/>
        </w:rPr>
        <w:t>multiple</w:t>
      </w:r>
      <w:r>
        <w:rPr>
          <w:spacing w:val="-4"/>
          <w:vertAlign w:val="baseline"/>
        </w:rPr>
        <w:t> </w:t>
      </w:r>
      <w:r>
        <w:rPr>
          <w:vertAlign w:val="baseline"/>
        </w:rPr>
        <w:t>barriers</w:t>
      </w:r>
      <w:r>
        <w:rPr>
          <w:spacing w:val="-5"/>
          <w:vertAlign w:val="baseline"/>
        </w:rPr>
        <w:t> </w:t>
      </w:r>
      <w:r>
        <w:rPr>
          <w:vertAlign w:val="baseline"/>
        </w:rPr>
        <w:t>to</w:t>
      </w:r>
      <w:r>
        <w:rPr>
          <w:spacing w:val="-5"/>
          <w:vertAlign w:val="baseline"/>
        </w:rPr>
        <w:t> </w:t>
      </w:r>
      <w:r>
        <w:rPr>
          <w:vertAlign w:val="baseline"/>
        </w:rPr>
        <w:t>healthcare</w:t>
      </w:r>
      <w:r>
        <w:rPr>
          <w:spacing w:val="-6"/>
          <w:vertAlign w:val="baseline"/>
        </w:rPr>
        <w:t> </w:t>
      </w:r>
      <w:r>
        <w:rPr>
          <w:vertAlign w:val="baseline"/>
        </w:rPr>
        <w:t>access</w:t>
      </w:r>
      <w:r>
        <w:rPr>
          <w:spacing w:val="-5"/>
          <w:vertAlign w:val="baseline"/>
        </w:rPr>
        <w:t> </w:t>
      </w:r>
      <w:r>
        <w:rPr>
          <w:vertAlign w:val="baseline"/>
        </w:rPr>
        <w:t>due</w:t>
      </w:r>
      <w:r>
        <w:rPr>
          <w:spacing w:val="-6"/>
          <w:vertAlign w:val="baseline"/>
        </w:rPr>
        <w:t> </w:t>
      </w:r>
      <w:r>
        <w:rPr>
          <w:vertAlign w:val="baseline"/>
        </w:rPr>
        <w:t>to</w:t>
      </w:r>
      <w:r>
        <w:rPr>
          <w:spacing w:val="-4"/>
          <w:vertAlign w:val="baseline"/>
        </w:rPr>
        <w:t> </w:t>
      </w:r>
      <w:r>
        <w:rPr>
          <w:vertAlign w:val="baseline"/>
        </w:rPr>
        <w:t>their</w:t>
      </w:r>
      <w:r>
        <w:rPr>
          <w:spacing w:val="-5"/>
          <w:vertAlign w:val="baseline"/>
        </w:rPr>
        <w:t> </w:t>
      </w:r>
      <w:r>
        <w:rPr>
          <w:vertAlign w:val="baseline"/>
        </w:rPr>
        <w:t>citizenship</w:t>
      </w:r>
      <w:r>
        <w:rPr>
          <w:spacing w:val="-6"/>
          <w:vertAlign w:val="baseline"/>
        </w:rPr>
        <w:t> </w:t>
      </w:r>
      <w:r>
        <w:rPr>
          <w:vertAlign w:val="baseline"/>
        </w:rPr>
        <w:t>status</w:t>
      </w:r>
      <w:r>
        <w:rPr>
          <w:spacing w:val="-5"/>
          <w:vertAlign w:val="baseline"/>
        </w:rPr>
        <w:t> </w:t>
      </w:r>
      <w:r>
        <w:rPr>
          <w:vertAlign w:val="baseline"/>
        </w:rPr>
        <w:t>and</w:t>
      </w:r>
      <w:r>
        <w:rPr>
          <w:spacing w:val="-4"/>
          <w:vertAlign w:val="baseline"/>
        </w:rPr>
        <w:t> </w:t>
      </w:r>
      <w:r>
        <w:rPr>
          <w:vertAlign w:val="baseline"/>
        </w:rPr>
        <w:t>sexual</w:t>
      </w:r>
      <w:r>
        <w:rPr>
          <w:spacing w:val="-6"/>
          <w:vertAlign w:val="baseline"/>
        </w:rPr>
        <w:t> </w:t>
      </w:r>
      <w:r>
        <w:rPr>
          <w:vertAlign w:val="baseline"/>
        </w:rPr>
        <w:t>orientation or gender identity. In the U.S. it is estimated that 22% of the LGBTQ population is undocumented,</w:t>
      </w:r>
      <w:hyperlink w:history="true" w:anchor="_bookmark197">
        <w:r>
          <w:rPr>
            <w:vertAlign w:val="superscript"/>
          </w:rPr>
          <w:t>4</w:t>
        </w:r>
      </w:hyperlink>
      <w:r>
        <w:rPr>
          <w:vertAlign w:val="baseline"/>
        </w:rPr>
        <w:t> though there</w:t>
      </w:r>
      <w:r>
        <w:rPr>
          <w:spacing w:val="-10"/>
          <w:vertAlign w:val="baseline"/>
        </w:rPr>
        <w:t> </w:t>
      </w:r>
      <w:r>
        <w:rPr>
          <w:vertAlign w:val="baseline"/>
        </w:rPr>
        <w:t>is</w:t>
      </w:r>
      <w:r>
        <w:rPr>
          <w:spacing w:val="-9"/>
          <w:vertAlign w:val="baseline"/>
        </w:rPr>
        <w:t> </w:t>
      </w:r>
      <w:r>
        <w:rPr>
          <w:vertAlign w:val="baseline"/>
        </w:rPr>
        <w:t>no</w:t>
      </w:r>
      <w:r>
        <w:rPr>
          <w:spacing w:val="-8"/>
          <w:vertAlign w:val="baseline"/>
        </w:rPr>
        <w:t> </w:t>
      </w:r>
      <w:r>
        <w:rPr>
          <w:vertAlign w:val="baseline"/>
        </w:rPr>
        <w:t>current</w:t>
      </w:r>
      <w:r>
        <w:rPr>
          <w:spacing w:val="-10"/>
          <w:vertAlign w:val="baseline"/>
        </w:rPr>
        <w:t> </w:t>
      </w:r>
      <w:r>
        <w:rPr>
          <w:vertAlign w:val="baseline"/>
        </w:rPr>
        <w:t>empirical</w:t>
      </w:r>
      <w:r>
        <w:rPr>
          <w:spacing w:val="-10"/>
          <w:vertAlign w:val="baseline"/>
        </w:rPr>
        <w:t> </w:t>
      </w:r>
      <w:r>
        <w:rPr>
          <w:vertAlign w:val="baseline"/>
        </w:rPr>
        <w:t>data</w:t>
      </w:r>
      <w:r>
        <w:rPr>
          <w:spacing w:val="-10"/>
          <w:vertAlign w:val="baseline"/>
        </w:rPr>
        <w:t> </w:t>
      </w:r>
      <w:r>
        <w:rPr>
          <w:vertAlign w:val="baseline"/>
        </w:rPr>
        <w:t>on</w:t>
      </w:r>
      <w:r>
        <w:rPr>
          <w:spacing w:val="-10"/>
          <w:vertAlign w:val="baseline"/>
        </w:rPr>
        <w:t> </w:t>
      </w:r>
      <w:r>
        <w:rPr>
          <w:vertAlign w:val="baseline"/>
        </w:rPr>
        <w:t>the</w:t>
      </w:r>
      <w:r>
        <w:rPr>
          <w:spacing w:val="-9"/>
          <w:vertAlign w:val="baseline"/>
        </w:rPr>
        <w:t> </w:t>
      </w:r>
      <w:r>
        <w:rPr>
          <w:vertAlign w:val="baseline"/>
        </w:rPr>
        <w:t>percentage</w:t>
      </w:r>
      <w:r>
        <w:rPr>
          <w:spacing w:val="-9"/>
          <w:vertAlign w:val="baseline"/>
        </w:rPr>
        <w:t> </w:t>
      </w:r>
      <w:r>
        <w:rPr>
          <w:vertAlign w:val="baseline"/>
        </w:rPr>
        <w:t>of</w:t>
      </w:r>
      <w:r>
        <w:rPr>
          <w:spacing w:val="-10"/>
          <w:vertAlign w:val="baseline"/>
        </w:rPr>
        <w:t> </w:t>
      </w:r>
      <w:r>
        <w:rPr>
          <w:vertAlign w:val="baseline"/>
        </w:rPr>
        <w:t>undocumented</w:t>
      </w:r>
      <w:r>
        <w:rPr>
          <w:spacing w:val="-10"/>
          <w:vertAlign w:val="baseline"/>
        </w:rPr>
        <w:t> </w:t>
      </w:r>
      <w:r>
        <w:rPr>
          <w:vertAlign w:val="baseline"/>
        </w:rPr>
        <w:t>LGBTQ</w:t>
      </w:r>
      <w:r>
        <w:rPr>
          <w:spacing w:val="-10"/>
          <w:vertAlign w:val="baseline"/>
        </w:rPr>
        <w:t> </w:t>
      </w:r>
      <w:r>
        <w:rPr>
          <w:vertAlign w:val="baseline"/>
        </w:rPr>
        <w:t>individuals</w:t>
      </w:r>
      <w:r>
        <w:rPr>
          <w:spacing w:val="-9"/>
          <w:vertAlign w:val="baseline"/>
        </w:rPr>
        <w:t> </w:t>
      </w:r>
      <w:r>
        <w:rPr>
          <w:vertAlign w:val="baseline"/>
        </w:rPr>
        <w:t>in</w:t>
      </w:r>
      <w:r>
        <w:rPr>
          <w:spacing w:val="-9"/>
          <w:vertAlign w:val="baseline"/>
        </w:rPr>
        <w:t> </w:t>
      </w:r>
      <w:r>
        <w:rPr>
          <w:vertAlign w:val="baseline"/>
        </w:rPr>
        <w:t>Massachusetts. Undocumented LGBTQ individuals may have an additional layer of difficulty when trying to access healthcare through Medicaid and other public programs, leading to not having unmet healthcare needs. Transgender adolescents and youth are further disadvantaged, as they might rely on their parents for insurance</w:t>
      </w:r>
      <w:r>
        <w:rPr>
          <w:spacing w:val="-8"/>
          <w:vertAlign w:val="baseline"/>
        </w:rPr>
        <w:t> </w:t>
      </w:r>
      <w:r>
        <w:rPr>
          <w:vertAlign w:val="baseline"/>
        </w:rPr>
        <w:t>coverage.</w:t>
      </w:r>
      <w:r>
        <w:rPr>
          <w:spacing w:val="-8"/>
          <w:vertAlign w:val="baseline"/>
        </w:rPr>
        <w:t> </w:t>
      </w:r>
      <w:r>
        <w:rPr>
          <w:vertAlign w:val="baseline"/>
        </w:rPr>
        <w:t>This</w:t>
      </w:r>
      <w:r>
        <w:rPr>
          <w:spacing w:val="-7"/>
          <w:vertAlign w:val="baseline"/>
        </w:rPr>
        <w:t> </w:t>
      </w:r>
      <w:r>
        <w:rPr>
          <w:vertAlign w:val="baseline"/>
        </w:rPr>
        <w:t>could</w:t>
      </w:r>
      <w:r>
        <w:rPr>
          <w:spacing w:val="-8"/>
          <w:vertAlign w:val="baseline"/>
        </w:rPr>
        <w:t> </w:t>
      </w:r>
      <w:r>
        <w:rPr>
          <w:vertAlign w:val="baseline"/>
        </w:rPr>
        <w:t>be</w:t>
      </w:r>
      <w:r>
        <w:rPr>
          <w:spacing w:val="-8"/>
          <w:vertAlign w:val="baseline"/>
        </w:rPr>
        <w:t> </w:t>
      </w:r>
      <w:r>
        <w:rPr>
          <w:vertAlign w:val="baseline"/>
        </w:rPr>
        <w:t>problematic</w:t>
      </w:r>
      <w:r>
        <w:rPr>
          <w:spacing w:val="-8"/>
          <w:vertAlign w:val="baseline"/>
        </w:rPr>
        <w:t> </w:t>
      </w:r>
      <w:r>
        <w:rPr>
          <w:vertAlign w:val="baseline"/>
        </w:rPr>
        <w:t>if</w:t>
      </w:r>
      <w:r>
        <w:rPr>
          <w:spacing w:val="-7"/>
          <w:vertAlign w:val="baseline"/>
        </w:rPr>
        <w:t> </w:t>
      </w:r>
      <w:r>
        <w:rPr>
          <w:vertAlign w:val="baseline"/>
        </w:rPr>
        <w:t>their</w:t>
      </w:r>
      <w:r>
        <w:rPr>
          <w:spacing w:val="-7"/>
          <w:vertAlign w:val="baseline"/>
        </w:rPr>
        <w:t> </w:t>
      </w:r>
      <w:r>
        <w:rPr>
          <w:vertAlign w:val="baseline"/>
        </w:rPr>
        <w:t>parents</w:t>
      </w:r>
      <w:r>
        <w:rPr>
          <w:spacing w:val="-8"/>
          <w:vertAlign w:val="baseline"/>
        </w:rPr>
        <w:t> </w:t>
      </w:r>
      <w:r>
        <w:rPr>
          <w:vertAlign w:val="baseline"/>
        </w:rPr>
        <w:t>or</w:t>
      </w:r>
      <w:r>
        <w:rPr>
          <w:spacing w:val="-8"/>
          <w:vertAlign w:val="baseline"/>
        </w:rPr>
        <w:t> </w:t>
      </w:r>
      <w:r>
        <w:rPr>
          <w:vertAlign w:val="baseline"/>
        </w:rPr>
        <w:t>guardians</w:t>
      </w:r>
      <w:r>
        <w:rPr>
          <w:spacing w:val="-8"/>
          <w:vertAlign w:val="baseline"/>
        </w:rPr>
        <w:t> </w:t>
      </w:r>
      <w:r>
        <w:rPr>
          <w:vertAlign w:val="baseline"/>
        </w:rPr>
        <w:t>lack</w:t>
      </w:r>
      <w:r>
        <w:rPr>
          <w:spacing w:val="-8"/>
          <w:vertAlign w:val="baseline"/>
        </w:rPr>
        <w:t> </w:t>
      </w:r>
      <w:r>
        <w:rPr>
          <w:vertAlign w:val="baseline"/>
        </w:rPr>
        <w:t>health</w:t>
      </w:r>
      <w:r>
        <w:rPr>
          <w:spacing w:val="-8"/>
          <w:vertAlign w:val="baseline"/>
        </w:rPr>
        <w:t> </w:t>
      </w:r>
      <w:r>
        <w:rPr>
          <w:vertAlign w:val="baseline"/>
        </w:rPr>
        <w:t>care</w:t>
      </w:r>
      <w:r>
        <w:rPr>
          <w:spacing w:val="-8"/>
          <w:vertAlign w:val="baseline"/>
        </w:rPr>
        <w:t> </w:t>
      </w:r>
      <w:r>
        <w:rPr>
          <w:vertAlign w:val="baseline"/>
        </w:rPr>
        <w:t>coverage</w:t>
      </w:r>
      <w:r>
        <w:rPr>
          <w:spacing w:val="-7"/>
          <w:vertAlign w:val="baseline"/>
        </w:rPr>
        <w:t> </w:t>
      </w:r>
      <w:r>
        <w:rPr>
          <w:vertAlign w:val="baseline"/>
        </w:rPr>
        <w:t>due</w:t>
      </w:r>
      <w:r>
        <w:rPr>
          <w:spacing w:val="-8"/>
          <w:vertAlign w:val="baseline"/>
        </w:rPr>
        <w:t> </w:t>
      </w:r>
      <w:r>
        <w:rPr>
          <w:vertAlign w:val="baseline"/>
        </w:rPr>
        <w:t>to economic reasons, or if their parents are unsupportive of their sexuality and gender identity, thus cutting off a trans youth’s access to insurance coverage.</w:t>
      </w:r>
    </w:p>
    <w:p>
      <w:pPr>
        <w:pStyle w:val="BodyText"/>
        <w:spacing w:line="276" w:lineRule="auto" w:before="240"/>
        <w:ind w:left="463" w:right="240"/>
        <w:jc w:val="both"/>
      </w:pPr>
      <w:r>
        <w:rPr/>
        <w:t>Although the reproductive health care needs of LGBTQ individuals assigned female at birth are similar to cisgender,</w:t>
      </w:r>
      <w:r>
        <w:rPr>
          <w:spacing w:val="-8"/>
        </w:rPr>
        <w:t> </w:t>
      </w:r>
      <w:r>
        <w:rPr/>
        <w:t>heterosexual</w:t>
      </w:r>
      <w:r>
        <w:rPr>
          <w:spacing w:val="-8"/>
        </w:rPr>
        <w:t> </w:t>
      </w:r>
      <w:r>
        <w:rPr/>
        <w:t>individuals,</w:t>
      </w:r>
      <w:r>
        <w:rPr>
          <w:spacing w:val="-8"/>
        </w:rPr>
        <w:t> </w:t>
      </w:r>
      <w:r>
        <w:rPr/>
        <w:t>LGBTQ</w:t>
      </w:r>
      <w:r>
        <w:rPr>
          <w:spacing w:val="-8"/>
        </w:rPr>
        <w:t> </w:t>
      </w:r>
      <w:r>
        <w:rPr/>
        <w:t>people</w:t>
      </w:r>
      <w:r>
        <w:rPr>
          <w:spacing w:val="-8"/>
        </w:rPr>
        <w:t> </w:t>
      </w:r>
      <w:r>
        <w:rPr/>
        <w:t>still</w:t>
      </w:r>
      <w:r>
        <w:rPr>
          <w:spacing w:val="-8"/>
        </w:rPr>
        <w:t> </w:t>
      </w:r>
      <w:r>
        <w:rPr/>
        <w:t>have</w:t>
      </w:r>
      <w:r>
        <w:rPr>
          <w:spacing w:val="-8"/>
        </w:rPr>
        <w:t> </w:t>
      </w:r>
      <w:r>
        <w:rPr/>
        <w:t>unique</w:t>
      </w:r>
      <w:r>
        <w:rPr>
          <w:spacing w:val="-8"/>
        </w:rPr>
        <w:t> </w:t>
      </w:r>
      <w:r>
        <w:rPr/>
        <w:t>needs</w:t>
      </w:r>
      <w:r>
        <w:rPr>
          <w:spacing w:val="-7"/>
        </w:rPr>
        <w:t> </w:t>
      </w:r>
      <w:r>
        <w:rPr/>
        <w:t>in</w:t>
      </w:r>
      <w:r>
        <w:rPr>
          <w:spacing w:val="-8"/>
        </w:rPr>
        <w:t> </w:t>
      </w:r>
      <w:r>
        <w:rPr/>
        <w:t>regards</w:t>
      </w:r>
      <w:r>
        <w:rPr>
          <w:spacing w:val="-7"/>
        </w:rPr>
        <w:t> </w:t>
      </w:r>
      <w:r>
        <w:rPr/>
        <w:t>to</w:t>
      </w:r>
      <w:r>
        <w:rPr>
          <w:spacing w:val="-8"/>
        </w:rPr>
        <w:t> </w:t>
      </w:r>
      <w:r>
        <w:rPr/>
        <w:t>reproductive</w:t>
      </w:r>
      <w:r>
        <w:rPr>
          <w:spacing w:val="-8"/>
        </w:rPr>
        <w:t> </w:t>
      </w:r>
      <w:r>
        <w:rPr/>
        <w:t>health care</w:t>
      </w:r>
      <w:r>
        <w:rPr>
          <w:spacing w:val="-11"/>
        </w:rPr>
        <w:t> </w:t>
      </w:r>
      <w:r>
        <w:rPr/>
        <w:t>and</w:t>
      </w:r>
      <w:r>
        <w:rPr>
          <w:spacing w:val="-12"/>
        </w:rPr>
        <w:t> </w:t>
      </w:r>
      <w:r>
        <w:rPr/>
        <w:t>face</w:t>
      </w:r>
      <w:r>
        <w:rPr>
          <w:spacing w:val="-10"/>
        </w:rPr>
        <w:t> </w:t>
      </w:r>
      <w:r>
        <w:rPr/>
        <w:t>barriers</w:t>
      </w:r>
      <w:r>
        <w:rPr>
          <w:spacing w:val="-11"/>
        </w:rPr>
        <w:t> </w:t>
      </w:r>
      <w:r>
        <w:rPr/>
        <w:t>when</w:t>
      </w:r>
      <w:r>
        <w:rPr>
          <w:spacing w:val="-12"/>
        </w:rPr>
        <w:t> </w:t>
      </w:r>
      <w:r>
        <w:rPr/>
        <w:t>pursuing</w:t>
      </w:r>
      <w:r>
        <w:rPr>
          <w:spacing w:val="-10"/>
        </w:rPr>
        <w:t> </w:t>
      </w:r>
      <w:r>
        <w:rPr/>
        <w:t>care</w:t>
      </w:r>
      <w:hyperlink w:history="true" w:anchor="_bookmark198">
        <w:r>
          <w:rPr/>
          <w:t>.</w:t>
        </w:r>
        <w:r>
          <w:rPr>
            <w:vertAlign w:val="superscript"/>
          </w:rPr>
          <w:t>5</w:t>
        </w:r>
      </w:hyperlink>
      <w:r>
        <w:rPr>
          <w:spacing w:val="-12"/>
          <w:vertAlign w:val="baseline"/>
        </w:rPr>
        <w:t> </w:t>
      </w:r>
      <w:r>
        <w:rPr>
          <w:vertAlign w:val="baseline"/>
        </w:rPr>
        <w:t>When</w:t>
      </w:r>
      <w:r>
        <w:rPr>
          <w:spacing w:val="-10"/>
          <w:vertAlign w:val="baseline"/>
        </w:rPr>
        <w:t> </w:t>
      </w:r>
      <w:r>
        <w:rPr>
          <w:vertAlign w:val="baseline"/>
        </w:rPr>
        <w:t>actually</w:t>
      </w:r>
      <w:r>
        <w:rPr>
          <w:spacing w:val="-11"/>
          <w:vertAlign w:val="baseline"/>
        </w:rPr>
        <w:t> </w:t>
      </w:r>
      <w:r>
        <w:rPr>
          <w:vertAlign w:val="baseline"/>
        </w:rPr>
        <w:t>attempting</w:t>
      </w:r>
      <w:r>
        <w:rPr>
          <w:spacing w:val="-10"/>
          <w:vertAlign w:val="baseline"/>
        </w:rPr>
        <w:t> </w:t>
      </w:r>
      <w:r>
        <w:rPr>
          <w:vertAlign w:val="baseline"/>
        </w:rPr>
        <w:t>to</w:t>
      </w:r>
      <w:r>
        <w:rPr>
          <w:spacing w:val="-11"/>
          <w:vertAlign w:val="baseline"/>
        </w:rPr>
        <w:t> </w:t>
      </w:r>
      <w:r>
        <w:rPr>
          <w:vertAlign w:val="baseline"/>
        </w:rPr>
        <w:t>access</w:t>
      </w:r>
      <w:r>
        <w:rPr>
          <w:spacing w:val="-10"/>
          <w:vertAlign w:val="baseline"/>
        </w:rPr>
        <w:t> </w:t>
      </w:r>
      <w:r>
        <w:rPr>
          <w:vertAlign w:val="baseline"/>
        </w:rPr>
        <w:t>health</w:t>
      </w:r>
      <w:r>
        <w:rPr>
          <w:spacing w:val="-10"/>
          <w:vertAlign w:val="baseline"/>
        </w:rPr>
        <w:t> </w:t>
      </w:r>
      <w:r>
        <w:rPr>
          <w:vertAlign w:val="baseline"/>
        </w:rPr>
        <w:t>care</w:t>
      </w:r>
      <w:r>
        <w:rPr>
          <w:spacing w:val="-10"/>
          <w:vertAlign w:val="baseline"/>
        </w:rPr>
        <w:t> </w:t>
      </w:r>
      <w:r>
        <w:rPr>
          <w:vertAlign w:val="baseline"/>
        </w:rPr>
        <w:t>services,</w:t>
      </w:r>
      <w:r>
        <w:rPr>
          <w:spacing w:val="-11"/>
          <w:vertAlign w:val="baseline"/>
        </w:rPr>
        <w:t> </w:t>
      </w:r>
      <w:r>
        <w:rPr>
          <w:vertAlign w:val="baseline"/>
        </w:rPr>
        <w:t>studies </w:t>
      </w:r>
      <w:r>
        <w:rPr>
          <w:spacing w:val="-2"/>
          <w:vertAlign w:val="baseline"/>
        </w:rPr>
        <w:t>have shown that LGBTQ youth had negative experiences with primary health care providers</w:t>
      </w:r>
      <w:hyperlink w:history="true" w:anchor="_bookmark199">
        <w:r>
          <w:rPr>
            <w:spacing w:val="-2"/>
            <w:vertAlign w:val="baseline"/>
          </w:rPr>
          <w:t>.</w:t>
        </w:r>
        <w:r>
          <w:rPr>
            <w:spacing w:val="-2"/>
            <w:vertAlign w:val="superscript"/>
          </w:rPr>
          <w:t>6</w:t>
        </w:r>
      </w:hyperlink>
      <w:r>
        <w:rPr>
          <w:spacing w:val="-2"/>
          <w:vertAlign w:val="baseline"/>
        </w:rPr>
        <w:t> Discrimination, </w:t>
      </w:r>
      <w:r>
        <w:rPr>
          <w:vertAlign w:val="baseline"/>
        </w:rPr>
        <w:t>or</w:t>
      </w:r>
      <w:r>
        <w:rPr>
          <w:spacing w:val="-4"/>
          <w:vertAlign w:val="baseline"/>
        </w:rPr>
        <w:t> </w:t>
      </w:r>
      <w:r>
        <w:rPr>
          <w:vertAlign w:val="baseline"/>
        </w:rPr>
        <w:t>the</w:t>
      </w:r>
      <w:r>
        <w:rPr>
          <w:spacing w:val="-4"/>
          <w:vertAlign w:val="baseline"/>
        </w:rPr>
        <w:t> </w:t>
      </w:r>
      <w:r>
        <w:rPr>
          <w:vertAlign w:val="baseline"/>
        </w:rPr>
        <w:t>potential</w:t>
      </w:r>
      <w:r>
        <w:rPr>
          <w:spacing w:val="-4"/>
          <w:vertAlign w:val="baseline"/>
        </w:rPr>
        <w:t> </w:t>
      </w:r>
      <w:r>
        <w:rPr>
          <w:vertAlign w:val="baseline"/>
        </w:rPr>
        <w:t>for</w:t>
      </w:r>
      <w:r>
        <w:rPr>
          <w:spacing w:val="-4"/>
          <w:vertAlign w:val="baseline"/>
        </w:rPr>
        <w:t> </w:t>
      </w:r>
      <w:r>
        <w:rPr>
          <w:vertAlign w:val="baseline"/>
        </w:rPr>
        <w:t>discrimination</w:t>
      </w:r>
      <w:r>
        <w:rPr>
          <w:spacing w:val="-4"/>
          <w:vertAlign w:val="baseline"/>
        </w:rPr>
        <w:t> </w:t>
      </w:r>
      <w:r>
        <w:rPr>
          <w:vertAlign w:val="baseline"/>
        </w:rPr>
        <w:t>in</w:t>
      </w:r>
      <w:r>
        <w:rPr>
          <w:spacing w:val="-3"/>
          <w:vertAlign w:val="baseline"/>
        </w:rPr>
        <w:t> </w:t>
      </w:r>
      <w:r>
        <w:rPr>
          <w:vertAlign w:val="baseline"/>
        </w:rPr>
        <w:t>healthcare</w:t>
      </w:r>
      <w:r>
        <w:rPr>
          <w:spacing w:val="-3"/>
          <w:vertAlign w:val="baseline"/>
        </w:rPr>
        <w:t> </w:t>
      </w:r>
      <w:r>
        <w:rPr>
          <w:vertAlign w:val="baseline"/>
        </w:rPr>
        <w:t>settings,</w:t>
      </w:r>
      <w:r>
        <w:rPr>
          <w:spacing w:val="-4"/>
          <w:vertAlign w:val="baseline"/>
        </w:rPr>
        <w:t> </w:t>
      </w:r>
      <w:r>
        <w:rPr>
          <w:vertAlign w:val="baseline"/>
        </w:rPr>
        <w:t>deters</w:t>
      </w:r>
      <w:r>
        <w:rPr>
          <w:spacing w:val="-4"/>
          <w:vertAlign w:val="baseline"/>
        </w:rPr>
        <w:t> </w:t>
      </w:r>
      <w:r>
        <w:rPr>
          <w:vertAlign w:val="baseline"/>
        </w:rPr>
        <w:t>LGBTQ</w:t>
      </w:r>
      <w:r>
        <w:rPr>
          <w:spacing w:val="-4"/>
          <w:vertAlign w:val="baseline"/>
        </w:rPr>
        <w:t> </w:t>
      </w:r>
      <w:r>
        <w:rPr>
          <w:vertAlign w:val="baseline"/>
        </w:rPr>
        <w:t>individuals</w:t>
      </w:r>
      <w:r>
        <w:rPr>
          <w:spacing w:val="-4"/>
          <w:vertAlign w:val="baseline"/>
        </w:rPr>
        <w:t> </w:t>
      </w:r>
      <w:r>
        <w:rPr>
          <w:vertAlign w:val="baseline"/>
        </w:rPr>
        <w:t>from</w:t>
      </w:r>
      <w:r>
        <w:rPr>
          <w:spacing w:val="-4"/>
          <w:vertAlign w:val="baseline"/>
        </w:rPr>
        <w:t> </w:t>
      </w:r>
      <w:r>
        <w:rPr>
          <w:vertAlign w:val="baseline"/>
        </w:rPr>
        <w:t>seeking</w:t>
      </w:r>
      <w:r>
        <w:rPr>
          <w:spacing w:val="-4"/>
          <w:vertAlign w:val="baseline"/>
        </w:rPr>
        <w:t> </w:t>
      </w:r>
      <w:r>
        <w:rPr>
          <w:vertAlign w:val="baseline"/>
        </w:rPr>
        <w:t>healthcare due</w:t>
      </w:r>
      <w:r>
        <w:rPr>
          <w:spacing w:val="-3"/>
          <w:vertAlign w:val="baseline"/>
        </w:rPr>
        <w:t> </w:t>
      </w:r>
      <w:r>
        <w:rPr>
          <w:vertAlign w:val="baseline"/>
        </w:rPr>
        <w:t>to</w:t>
      </w:r>
      <w:r>
        <w:rPr>
          <w:spacing w:val="-2"/>
          <w:vertAlign w:val="baseline"/>
        </w:rPr>
        <w:t> </w:t>
      </w:r>
      <w:r>
        <w:rPr>
          <w:vertAlign w:val="baseline"/>
        </w:rPr>
        <w:t>past</w:t>
      </w:r>
      <w:r>
        <w:rPr>
          <w:spacing w:val="-3"/>
          <w:vertAlign w:val="baseline"/>
        </w:rPr>
        <w:t> </w:t>
      </w:r>
      <w:r>
        <w:rPr>
          <w:vertAlign w:val="baseline"/>
        </w:rPr>
        <w:t>experiences</w:t>
      </w:r>
      <w:r>
        <w:rPr>
          <w:spacing w:val="-2"/>
          <w:vertAlign w:val="baseline"/>
        </w:rPr>
        <w:t> </w:t>
      </w:r>
      <w:r>
        <w:rPr>
          <w:vertAlign w:val="baseline"/>
        </w:rPr>
        <w:t>with</w:t>
      </w:r>
      <w:r>
        <w:rPr>
          <w:spacing w:val="-3"/>
          <w:vertAlign w:val="baseline"/>
        </w:rPr>
        <w:t> </w:t>
      </w:r>
      <w:r>
        <w:rPr>
          <w:vertAlign w:val="baseline"/>
        </w:rPr>
        <w:t>being</w:t>
      </w:r>
      <w:r>
        <w:rPr>
          <w:spacing w:val="-3"/>
          <w:vertAlign w:val="baseline"/>
        </w:rPr>
        <w:t> </w:t>
      </w:r>
      <w:r>
        <w:rPr>
          <w:vertAlign w:val="baseline"/>
        </w:rPr>
        <w:t>misgendered,</w:t>
      </w:r>
      <w:r>
        <w:rPr>
          <w:spacing w:val="-2"/>
          <w:vertAlign w:val="baseline"/>
        </w:rPr>
        <w:t> </w:t>
      </w:r>
      <w:r>
        <w:rPr>
          <w:vertAlign w:val="baseline"/>
        </w:rPr>
        <w:t>mistreated</w:t>
      </w:r>
      <w:r>
        <w:rPr>
          <w:spacing w:val="-3"/>
          <w:vertAlign w:val="baseline"/>
        </w:rPr>
        <w:t> </w:t>
      </w:r>
      <w:r>
        <w:rPr>
          <w:vertAlign w:val="baseline"/>
        </w:rPr>
        <w:t>for</w:t>
      </w:r>
      <w:r>
        <w:rPr>
          <w:spacing w:val="-3"/>
          <w:vertAlign w:val="baseline"/>
        </w:rPr>
        <w:t> </w:t>
      </w:r>
      <w:r>
        <w:rPr>
          <w:vertAlign w:val="baseline"/>
        </w:rPr>
        <w:t>their</w:t>
      </w:r>
      <w:r>
        <w:rPr>
          <w:spacing w:val="-4"/>
          <w:vertAlign w:val="baseline"/>
        </w:rPr>
        <w:t> </w:t>
      </w:r>
      <w:r>
        <w:rPr>
          <w:vertAlign w:val="baseline"/>
        </w:rPr>
        <w:t>sexuality</w:t>
      </w:r>
      <w:r>
        <w:rPr>
          <w:spacing w:val="-1"/>
          <w:vertAlign w:val="baseline"/>
        </w:rPr>
        <w:t> </w:t>
      </w:r>
      <w:r>
        <w:rPr>
          <w:vertAlign w:val="baseline"/>
        </w:rPr>
        <w:t>or</w:t>
      </w:r>
      <w:r>
        <w:rPr>
          <w:spacing w:val="-4"/>
          <w:vertAlign w:val="baseline"/>
        </w:rPr>
        <w:t> </w:t>
      </w:r>
      <w:r>
        <w:rPr>
          <w:vertAlign w:val="baseline"/>
        </w:rPr>
        <w:t>gender</w:t>
      </w:r>
      <w:r>
        <w:rPr>
          <w:spacing w:val="-3"/>
          <w:vertAlign w:val="baseline"/>
        </w:rPr>
        <w:t> </w:t>
      </w:r>
      <w:r>
        <w:rPr>
          <w:vertAlign w:val="baseline"/>
        </w:rPr>
        <w:t>identity,</w:t>
      </w:r>
      <w:r>
        <w:rPr>
          <w:spacing w:val="-2"/>
          <w:vertAlign w:val="baseline"/>
        </w:rPr>
        <w:t> </w:t>
      </w:r>
      <w:r>
        <w:rPr>
          <w:vertAlign w:val="baseline"/>
        </w:rPr>
        <w:t>or</w:t>
      </w:r>
      <w:r>
        <w:rPr>
          <w:spacing w:val="-3"/>
          <w:vertAlign w:val="baseline"/>
        </w:rPr>
        <w:t> </w:t>
      </w:r>
      <w:r>
        <w:rPr>
          <w:vertAlign w:val="baseline"/>
        </w:rPr>
        <w:t>being denied</w:t>
      </w:r>
      <w:r>
        <w:rPr>
          <w:spacing w:val="-2"/>
          <w:vertAlign w:val="baseline"/>
        </w:rPr>
        <w:t> </w:t>
      </w:r>
      <w:r>
        <w:rPr>
          <w:vertAlign w:val="baseline"/>
        </w:rPr>
        <w:t>healthcare</w:t>
      </w:r>
      <w:r>
        <w:rPr>
          <w:spacing w:val="-3"/>
          <w:vertAlign w:val="baseline"/>
        </w:rPr>
        <w:t> </w:t>
      </w:r>
      <w:r>
        <w:rPr>
          <w:vertAlign w:val="baseline"/>
        </w:rPr>
        <w:t>services</w:t>
      </w:r>
      <w:r>
        <w:rPr>
          <w:spacing w:val="-2"/>
          <w:vertAlign w:val="baseline"/>
        </w:rPr>
        <w:t> </w:t>
      </w:r>
      <w:r>
        <w:rPr>
          <w:vertAlign w:val="baseline"/>
        </w:rPr>
        <w:t>that</w:t>
      </w:r>
      <w:r>
        <w:rPr>
          <w:spacing w:val="-3"/>
          <w:vertAlign w:val="baseline"/>
        </w:rPr>
        <w:t> </w:t>
      </w:r>
      <w:r>
        <w:rPr>
          <w:vertAlign w:val="baseline"/>
        </w:rPr>
        <w:t>are</w:t>
      </w:r>
      <w:r>
        <w:rPr>
          <w:spacing w:val="-3"/>
          <w:vertAlign w:val="baseline"/>
        </w:rPr>
        <w:t> </w:t>
      </w:r>
      <w:r>
        <w:rPr>
          <w:vertAlign w:val="baseline"/>
        </w:rPr>
        <w:t>related</w:t>
      </w:r>
      <w:r>
        <w:rPr>
          <w:spacing w:val="-3"/>
          <w:vertAlign w:val="baseline"/>
        </w:rPr>
        <w:t> </w:t>
      </w:r>
      <w:r>
        <w:rPr>
          <w:vertAlign w:val="baseline"/>
        </w:rPr>
        <w:t>to</w:t>
      </w:r>
      <w:r>
        <w:rPr>
          <w:spacing w:val="-2"/>
          <w:vertAlign w:val="baseline"/>
        </w:rPr>
        <w:t> </w:t>
      </w:r>
      <w:r>
        <w:rPr>
          <w:vertAlign w:val="baseline"/>
        </w:rPr>
        <w:t>their</w:t>
      </w:r>
      <w:r>
        <w:rPr>
          <w:spacing w:val="-1"/>
          <w:vertAlign w:val="baseline"/>
        </w:rPr>
        <w:t> </w:t>
      </w:r>
      <w:r>
        <w:rPr>
          <w:vertAlign w:val="baseline"/>
        </w:rPr>
        <w:t>gender</w:t>
      </w:r>
      <w:r>
        <w:rPr>
          <w:spacing w:val="-1"/>
          <w:vertAlign w:val="baseline"/>
        </w:rPr>
        <w:t> </w:t>
      </w:r>
      <w:r>
        <w:rPr>
          <w:vertAlign w:val="baseline"/>
        </w:rPr>
        <w:t>transition.</w:t>
      </w:r>
      <w:r>
        <w:rPr>
          <w:spacing w:val="-4"/>
          <w:vertAlign w:val="baseline"/>
        </w:rPr>
        <w:t> </w:t>
      </w:r>
      <w:hyperlink w:history="true" w:anchor="_bookmark200">
        <w:r>
          <w:rPr>
            <w:vertAlign w:val="superscript"/>
          </w:rPr>
          <w:t>7</w:t>
        </w:r>
      </w:hyperlink>
      <w:r>
        <w:rPr>
          <w:spacing w:val="-3"/>
          <w:vertAlign w:val="baseline"/>
        </w:rPr>
        <w:t> </w:t>
      </w:r>
      <w:r>
        <w:rPr>
          <w:vertAlign w:val="baseline"/>
        </w:rPr>
        <w:t>Transmasculine</w:t>
      </w:r>
      <w:r>
        <w:rPr>
          <w:spacing w:val="-3"/>
          <w:vertAlign w:val="baseline"/>
        </w:rPr>
        <w:t> </w:t>
      </w:r>
      <w:r>
        <w:rPr>
          <w:vertAlign w:val="baseline"/>
        </w:rPr>
        <w:t>youth</w:t>
      </w:r>
      <w:r>
        <w:rPr>
          <w:spacing w:val="-3"/>
          <w:vertAlign w:val="baseline"/>
        </w:rPr>
        <w:t> </w:t>
      </w:r>
      <w:r>
        <w:rPr>
          <w:vertAlign w:val="baseline"/>
        </w:rPr>
        <w:t>of</w:t>
      </w:r>
      <w:r>
        <w:rPr>
          <w:spacing w:val="-3"/>
          <w:vertAlign w:val="baseline"/>
        </w:rPr>
        <w:t> </w:t>
      </w:r>
      <w:r>
        <w:rPr>
          <w:vertAlign w:val="baseline"/>
        </w:rPr>
        <w:t>color</w:t>
      </w:r>
      <w:r>
        <w:rPr>
          <w:spacing w:val="-3"/>
          <w:vertAlign w:val="baseline"/>
        </w:rPr>
        <w:t> </w:t>
      </w:r>
      <w:r>
        <w:rPr>
          <w:vertAlign w:val="baseline"/>
        </w:rPr>
        <w:t>have reported</w:t>
      </w:r>
      <w:r>
        <w:rPr>
          <w:spacing w:val="-13"/>
          <w:vertAlign w:val="baseline"/>
        </w:rPr>
        <w:t> </w:t>
      </w:r>
      <w:r>
        <w:rPr>
          <w:vertAlign w:val="baseline"/>
        </w:rPr>
        <w:t>experiencing</w:t>
      </w:r>
      <w:r>
        <w:rPr>
          <w:spacing w:val="-12"/>
          <w:vertAlign w:val="baseline"/>
        </w:rPr>
        <w:t> </w:t>
      </w:r>
      <w:r>
        <w:rPr>
          <w:vertAlign w:val="baseline"/>
        </w:rPr>
        <w:t>cissexism,</w:t>
      </w:r>
      <w:r>
        <w:rPr>
          <w:spacing w:val="-13"/>
          <w:vertAlign w:val="baseline"/>
        </w:rPr>
        <w:t> </w:t>
      </w:r>
      <w:r>
        <w:rPr>
          <w:vertAlign w:val="baseline"/>
        </w:rPr>
        <w:t>heterosexism,</w:t>
      </w:r>
      <w:r>
        <w:rPr>
          <w:spacing w:val="-12"/>
          <w:vertAlign w:val="baseline"/>
        </w:rPr>
        <w:t> </w:t>
      </w:r>
      <w:r>
        <w:rPr>
          <w:vertAlign w:val="baseline"/>
        </w:rPr>
        <w:t>and</w:t>
      </w:r>
      <w:r>
        <w:rPr>
          <w:spacing w:val="-13"/>
          <w:vertAlign w:val="baseline"/>
        </w:rPr>
        <w:t> </w:t>
      </w:r>
      <w:r>
        <w:rPr>
          <w:vertAlign w:val="baseline"/>
        </w:rPr>
        <w:t>racism</w:t>
      </w:r>
      <w:r>
        <w:rPr>
          <w:spacing w:val="-12"/>
          <w:vertAlign w:val="baseline"/>
        </w:rPr>
        <w:t> </w:t>
      </w:r>
      <w:r>
        <w:rPr>
          <w:vertAlign w:val="baseline"/>
        </w:rPr>
        <w:t>when</w:t>
      </w:r>
      <w:r>
        <w:rPr>
          <w:spacing w:val="-13"/>
          <w:vertAlign w:val="baseline"/>
        </w:rPr>
        <w:t> </w:t>
      </w:r>
      <w:r>
        <w:rPr>
          <w:vertAlign w:val="baseline"/>
        </w:rPr>
        <w:t>accessing</w:t>
      </w:r>
      <w:r>
        <w:rPr>
          <w:spacing w:val="-12"/>
          <w:vertAlign w:val="baseline"/>
        </w:rPr>
        <w:t> </w:t>
      </w:r>
      <w:r>
        <w:rPr>
          <w:vertAlign w:val="baseline"/>
        </w:rPr>
        <w:t>and</w:t>
      </w:r>
      <w:r>
        <w:rPr>
          <w:spacing w:val="-12"/>
          <w:vertAlign w:val="baseline"/>
        </w:rPr>
        <w:t> </w:t>
      </w:r>
      <w:r>
        <w:rPr>
          <w:vertAlign w:val="baseline"/>
        </w:rPr>
        <w:t>utilizing</w:t>
      </w:r>
      <w:r>
        <w:rPr>
          <w:spacing w:val="-12"/>
          <w:vertAlign w:val="baseline"/>
        </w:rPr>
        <w:t> </w:t>
      </w:r>
      <w:r>
        <w:rPr>
          <w:vertAlign w:val="baseline"/>
        </w:rPr>
        <w:t>reproductive</w:t>
      </w:r>
      <w:r>
        <w:rPr>
          <w:spacing w:val="-11"/>
          <w:vertAlign w:val="baseline"/>
        </w:rPr>
        <w:t> </w:t>
      </w:r>
      <w:r>
        <w:rPr>
          <w:vertAlign w:val="baseline"/>
        </w:rPr>
        <w:t>health services, particularly gynecological health care</w:t>
      </w:r>
      <w:hyperlink w:history="true" w:anchor="_bookmark201">
        <w:r>
          <w:rPr>
            <w:vertAlign w:val="baseline"/>
          </w:rPr>
          <w:t>.</w:t>
        </w:r>
        <w:r>
          <w:rPr>
            <w:vertAlign w:val="superscript"/>
          </w:rPr>
          <w:t>8</w:t>
        </w:r>
      </w:hyperlink>
      <w:r>
        <w:rPr>
          <w:vertAlign w:val="baseline"/>
        </w:rPr>
        <w:t> Studies have shown that primary care providers are less likely</w:t>
      </w:r>
      <w:r>
        <w:rPr>
          <w:spacing w:val="-5"/>
          <w:vertAlign w:val="baseline"/>
        </w:rPr>
        <w:t> </w:t>
      </w:r>
      <w:r>
        <w:rPr>
          <w:vertAlign w:val="baseline"/>
        </w:rPr>
        <w:t>to</w:t>
      </w:r>
      <w:r>
        <w:rPr>
          <w:spacing w:val="-6"/>
          <w:vertAlign w:val="baseline"/>
        </w:rPr>
        <w:t> </w:t>
      </w:r>
      <w:r>
        <w:rPr>
          <w:vertAlign w:val="baseline"/>
        </w:rPr>
        <w:t>discuss</w:t>
      </w:r>
      <w:r>
        <w:rPr>
          <w:spacing w:val="-6"/>
          <w:vertAlign w:val="baseline"/>
        </w:rPr>
        <w:t> </w:t>
      </w:r>
      <w:r>
        <w:rPr>
          <w:vertAlign w:val="baseline"/>
        </w:rPr>
        <w:t>birth</w:t>
      </w:r>
      <w:r>
        <w:rPr>
          <w:spacing w:val="-6"/>
          <w:vertAlign w:val="baseline"/>
        </w:rPr>
        <w:t> </w:t>
      </w:r>
      <w:r>
        <w:rPr>
          <w:vertAlign w:val="baseline"/>
        </w:rPr>
        <w:t>control</w:t>
      </w:r>
      <w:r>
        <w:rPr>
          <w:spacing w:val="-7"/>
          <w:vertAlign w:val="baseline"/>
        </w:rPr>
        <w:t> </w:t>
      </w:r>
      <w:r>
        <w:rPr>
          <w:vertAlign w:val="baseline"/>
        </w:rPr>
        <w:t>with</w:t>
      </w:r>
      <w:r>
        <w:rPr>
          <w:spacing w:val="-6"/>
          <w:vertAlign w:val="baseline"/>
        </w:rPr>
        <w:t> </w:t>
      </w:r>
      <w:r>
        <w:rPr>
          <w:vertAlign w:val="baseline"/>
        </w:rPr>
        <w:t>LGBTQ</w:t>
      </w:r>
      <w:r>
        <w:rPr>
          <w:spacing w:val="-7"/>
          <w:vertAlign w:val="baseline"/>
        </w:rPr>
        <w:t> </w:t>
      </w:r>
      <w:r>
        <w:rPr>
          <w:vertAlign w:val="baseline"/>
        </w:rPr>
        <w:t>youth</w:t>
      </w:r>
      <w:r>
        <w:rPr>
          <w:spacing w:val="-7"/>
          <w:vertAlign w:val="baseline"/>
        </w:rPr>
        <w:t> </w:t>
      </w:r>
      <w:r>
        <w:rPr>
          <w:vertAlign w:val="baseline"/>
        </w:rPr>
        <w:t>patients</w:t>
      </w:r>
      <w:hyperlink w:history="true" w:anchor="_bookmark202">
        <w:r>
          <w:rPr>
            <w:vertAlign w:val="baseline"/>
          </w:rPr>
          <w:t>,</w:t>
        </w:r>
        <w:r>
          <w:rPr>
            <w:vertAlign w:val="superscript"/>
          </w:rPr>
          <w:t>9</w:t>
        </w:r>
      </w:hyperlink>
      <w:r>
        <w:rPr>
          <w:spacing w:val="-7"/>
          <w:vertAlign w:val="baseline"/>
        </w:rPr>
        <w:t> </w:t>
      </w:r>
      <w:r>
        <w:rPr>
          <w:vertAlign w:val="baseline"/>
        </w:rPr>
        <w:t>thus</w:t>
      </w:r>
      <w:r>
        <w:rPr>
          <w:spacing w:val="-6"/>
          <w:vertAlign w:val="baseline"/>
        </w:rPr>
        <w:t> </w:t>
      </w:r>
      <w:r>
        <w:rPr>
          <w:vertAlign w:val="baseline"/>
        </w:rPr>
        <w:t>showing</w:t>
      </w:r>
      <w:r>
        <w:rPr>
          <w:spacing w:val="-6"/>
          <w:vertAlign w:val="baseline"/>
        </w:rPr>
        <w:t> </w:t>
      </w:r>
      <w:r>
        <w:rPr>
          <w:vertAlign w:val="baseline"/>
        </w:rPr>
        <w:t>how</w:t>
      </w:r>
      <w:r>
        <w:rPr>
          <w:spacing w:val="-6"/>
          <w:vertAlign w:val="baseline"/>
        </w:rPr>
        <w:t> </w:t>
      </w:r>
      <w:r>
        <w:rPr>
          <w:vertAlign w:val="baseline"/>
        </w:rPr>
        <w:t>healthcare</w:t>
      </w:r>
      <w:r>
        <w:rPr>
          <w:spacing w:val="-5"/>
          <w:vertAlign w:val="baseline"/>
        </w:rPr>
        <w:t> </w:t>
      </w:r>
      <w:r>
        <w:rPr>
          <w:vertAlign w:val="baseline"/>
        </w:rPr>
        <w:t>providers</w:t>
      </w:r>
      <w:r>
        <w:rPr>
          <w:spacing w:val="-6"/>
          <w:vertAlign w:val="baseline"/>
        </w:rPr>
        <w:t> </w:t>
      </w:r>
      <w:r>
        <w:rPr>
          <w:vertAlign w:val="baseline"/>
        </w:rPr>
        <w:t>approach LGBTQ patients through a heteronormative lens and assuming that contraceptives are only necessary for people who engage in primarily heterosexual relations.</w:t>
      </w:r>
    </w:p>
    <w:p>
      <w:pPr>
        <w:spacing w:before="239"/>
        <w:ind w:left="463" w:right="0" w:firstLine="0"/>
        <w:jc w:val="both"/>
        <w:rPr>
          <w:sz w:val="28"/>
        </w:rPr>
      </w:pPr>
      <w:bookmarkStart w:name="Gender-Affirming Health Care" w:id="368"/>
      <w:bookmarkEnd w:id="368"/>
      <w:r>
        <w:rPr/>
      </w:r>
      <w:r>
        <w:rPr>
          <w:color w:val="365F91"/>
          <w:spacing w:val="-2"/>
          <w:sz w:val="28"/>
        </w:rPr>
        <w:t>Gender-Affirming</w:t>
      </w:r>
      <w:r>
        <w:rPr>
          <w:color w:val="365F91"/>
          <w:spacing w:val="4"/>
          <w:sz w:val="28"/>
        </w:rPr>
        <w:t> </w:t>
      </w:r>
      <w:r>
        <w:rPr>
          <w:color w:val="365F91"/>
          <w:spacing w:val="-2"/>
          <w:sz w:val="28"/>
        </w:rPr>
        <w:t>Health</w:t>
      </w:r>
      <w:r>
        <w:rPr>
          <w:color w:val="365F91"/>
          <w:spacing w:val="4"/>
          <w:sz w:val="28"/>
        </w:rPr>
        <w:t> </w:t>
      </w:r>
      <w:r>
        <w:rPr>
          <w:color w:val="365F91"/>
          <w:spacing w:val="-4"/>
          <w:sz w:val="28"/>
        </w:rPr>
        <w:t>Care</w:t>
      </w:r>
    </w:p>
    <w:p>
      <w:pPr>
        <w:pStyle w:val="BodyText"/>
        <w:spacing w:line="276" w:lineRule="auto" w:before="293"/>
        <w:ind w:left="463" w:right="241"/>
        <w:jc w:val="both"/>
      </w:pPr>
      <w:r>
        <w:rPr/>
        <w:t>Transgender,</w:t>
      </w:r>
      <w:r>
        <w:rPr>
          <w:spacing w:val="-1"/>
        </w:rPr>
        <w:t> </w:t>
      </w:r>
      <w:r>
        <w:rPr/>
        <w:t>nonbinary,</w:t>
      </w:r>
      <w:r>
        <w:rPr>
          <w:spacing w:val="-3"/>
        </w:rPr>
        <w:t> </w:t>
      </w:r>
      <w:r>
        <w:rPr/>
        <w:t>and</w:t>
      </w:r>
      <w:r>
        <w:rPr>
          <w:spacing w:val="-3"/>
        </w:rPr>
        <w:t> </w:t>
      </w:r>
      <w:r>
        <w:rPr/>
        <w:t>gender-nonconforming</w:t>
      </w:r>
      <w:r>
        <w:rPr>
          <w:spacing w:val="-2"/>
        </w:rPr>
        <w:t> </w:t>
      </w:r>
      <w:r>
        <w:rPr/>
        <w:t>patients</w:t>
      </w:r>
      <w:r>
        <w:rPr>
          <w:spacing w:val="-3"/>
        </w:rPr>
        <w:t> </w:t>
      </w:r>
      <w:r>
        <w:rPr/>
        <w:t>who</w:t>
      </w:r>
      <w:r>
        <w:rPr>
          <w:spacing w:val="-1"/>
        </w:rPr>
        <w:t> </w:t>
      </w:r>
      <w:r>
        <w:rPr/>
        <w:t>have</w:t>
      </w:r>
      <w:r>
        <w:rPr>
          <w:spacing w:val="-4"/>
        </w:rPr>
        <w:t> </w:t>
      </w:r>
      <w:r>
        <w:rPr/>
        <w:t>retained</w:t>
      </w:r>
      <w:r>
        <w:rPr>
          <w:spacing w:val="-4"/>
        </w:rPr>
        <w:t> </w:t>
      </w:r>
      <w:r>
        <w:rPr/>
        <w:t>their</w:t>
      </w:r>
      <w:r>
        <w:rPr>
          <w:spacing w:val="-2"/>
        </w:rPr>
        <w:t> </w:t>
      </w:r>
      <w:r>
        <w:rPr/>
        <w:t>reproductive</w:t>
      </w:r>
      <w:r>
        <w:rPr>
          <w:spacing w:val="-4"/>
        </w:rPr>
        <w:t> </w:t>
      </w:r>
      <w:r>
        <w:rPr/>
        <w:t>organs including the cervix, uterus, one or both fallopian tubes and/or ovaries require routine gynecological care. This includes standard sexual reproductive care such as contraception counseling, reproductive health education,</w:t>
      </w:r>
      <w:r>
        <w:rPr>
          <w:spacing w:val="-4"/>
        </w:rPr>
        <w:t> </w:t>
      </w:r>
      <w:r>
        <w:rPr/>
        <w:t>breast,</w:t>
      </w:r>
      <w:r>
        <w:rPr>
          <w:spacing w:val="-4"/>
        </w:rPr>
        <w:t> </w:t>
      </w:r>
      <w:r>
        <w:rPr/>
        <w:t>and</w:t>
      </w:r>
      <w:r>
        <w:rPr>
          <w:spacing w:val="-4"/>
        </w:rPr>
        <w:t> </w:t>
      </w:r>
      <w:r>
        <w:rPr/>
        <w:t>gynecological</w:t>
      </w:r>
      <w:r>
        <w:rPr>
          <w:spacing w:val="-3"/>
        </w:rPr>
        <w:t> </w:t>
      </w:r>
      <w:r>
        <w:rPr/>
        <w:t>cancer</w:t>
      </w:r>
      <w:r>
        <w:rPr>
          <w:spacing w:val="-4"/>
        </w:rPr>
        <w:t> </w:t>
      </w:r>
      <w:r>
        <w:rPr/>
        <w:t>screenings,</w:t>
      </w:r>
      <w:r>
        <w:rPr>
          <w:spacing w:val="-4"/>
        </w:rPr>
        <w:t> </w:t>
      </w:r>
      <w:r>
        <w:rPr/>
        <w:t>STI</w:t>
      </w:r>
      <w:r>
        <w:rPr>
          <w:spacing w:val="-3"/>
        </w:rPr>
        <w:t> </w:t>
      </w:r>
      <w:r>
        <w:rPr/>
        <w:t>testing,</w:t>
      </w:r>
      <w:r>
        <w:rPr>
          <w:spacing w:val="-4"/>
        </w:rPr>
        <w:t> </w:t>
      </w:r>
      <w:r>
        <w:rPr/>
        <w:t>and</w:t>
      </w:r>
      <w:r>
        <w:rPr>
          <w:spacing w:val="-4"/>
        </w:rPr>
        <w:t> </w:t>
      </w:r>
      <w:r>
        <w:rPr/>
        <w:t>menstruation</w:t>
      </w:r>
      <w:r>
        <w:rPr>
          <w:spacing w:val="-4"/>
        </w:rPr>
        <w:t> </w:t>
      </w:r>
      <w:r>
        <w:rPr/>
        <w:t>management.</w:t>
      </w:r>
      <w:r>
        <w:rPr>
          <w:spacing w:val="-4"/>
        </w:rPr>
        <w:t> </w:t>
      </w:r>
      <w:r>
        <w:rPr/>
        <w:t>Breast exams are also part of gynecological care. For transmen and gender diverse patients who underwent top surgery to remove their breasts, they may still need chest exams as they could still be at risk for breast cancer. The LGBTQ community is not a monolithic population and youth within this community have different needs and experiences with accessing reproductive and sexual healthcare. All people who are capable</w:t>
      </w:r>
      <w:r>
        <w:rPr>
          <w:spacing w:val="-4"/>
        </w:rPr>
        <w:t> </w:t>
      </w:r>
      <w:r>
        <w:rPr/>
        <w:t>of</w:t>
      </w:r>
      <w:r>
        <w:rPr>
          <w:spacing w:val="-5"/>
        </w:rPr>
        <w:t> </w:t>
      </w:r>
      <w:r>
        <w:rPr/>
        <w:t>becoming</w:t>
      </w:r>
      <w:r>
        <w:rPr>
          <w:spacing w:val="-4"/>
        </w:rPr>
        <w:t> </w:t>
      </w:r>
      <w:r>
        <w:rPr/>
        <w:t>pregnant,</w:t>
      </w:r>
      <w:r>
        <w:rPr>
          <w:spacing w:val="-5"/>
        </w:rPr>
        <w:t> </w:t>
      </w:r>
      <w:r>
        <w:rPr/>
        <w:t>including</w:t>
      </w:r>
      <w:r>
        <w:rPr>
          <w:spacing w:val="-4"/>
        </w:rPr>
        <w:t> </w:t>
      </w:r>
      <w:r>
        <w:rPr/>
        <w:t>queer</w:t>
      </w:r>
      <w:r>
        <w:rPr>
          <w:spacing w:val="-5"/>
        </w:rPr>
        <w:t> </w:t>
      </w:r>
      <w:r>
        <w:rPr/>
        <w:t>women,</w:t>
      </w:r>
      <w:r>
        <w:rPr>
          <w:spacing w:val="-5"/>
        </w:rPr>
        <w:t> </w:t>
      </w:r>
      <w:r>
        <w:rPr/>
        <w:t>transmasculine</w:t>
      </w:r>
      <w:r>
        <w:rPr>
          <w:spacing w:val="-4"/>
        </w:rPr>
        <w:t> </w:t>
      </w:r>
      <w:r>
        <w:rPr/>
        <w:t>people,</w:t>
      </w:r>
      <w:r>
        <w:rPr>
          <w:spacing w:val="-4"/>
        </w:rPr>
        <w:t> </w:t>
      </w:r>
      <w:r>
        <w:rPr/>
        <w:t>and</w:t>
      </w:r>
      <w:r>
        <w:rPr>
          <w:spacing w:val="-5"/>
        </w:rPr>
        <w:t> </w:t>
      </w:r>
      <w:r>
        <w:rPr/>
        <w:t>nonbinary</w:t>
      </w:r>
      <w:r>
        <w:rPr>
          <w:spacing w:val="-5"/>
        </w:rPr>
        <w:t> </w:t>
      </w:r>
      <w:r>
        <w:rPr/>
        <w:t>people</w:t>
      </w:r>
      <w:r>
        <w:rPr>
          <w:spacing w:val="-4"/>
        </w:rPr>
        <w:t> </w:t>
      </w:r>
      <w:r>
        <w:rPr/>
        <w:t>may need full spectrum pregnancy care, family planning, and abortion care.</w:t>
      </w:r>
    </w:p>
    <w:p>
      <w:pPr>
        <w:spacing w:after="0" w:line="276" w:lineRule="auto"/>
        <w:jc w:val="both"/>
        <w:sectPr>
          <w:pgSz w:w="12240" w:h="15840"/>
          <w:pgMar w:header="800" w:footer="1530" w:top="1080" w:bottom="1760" w:left="980" w:right="1000"/>
        </w:sectPr>
      </w:pPr>
    </w:p>
    <w:p>
      <w:pPr>
        <w:pStyle w:val="BodyText"/>
        <w:spacing w:line="276" w:lineRule="auto" w:before="69"/>
        <w:ind w:left="463" w:right="241"/>
        <w:jc w:val="both"/>
      </w:pPr>
      <w:r>
        <w:rPr/>
        <w:t>Intersex people also need gender-affirming health care. It is important to note that people born with variations</w:t>
      </w:r>
      <w:r>
        <w:rPr>
          <w:spacing w:val="-11"/>
        </w:rPr>
        <w:t> </w:t>
      </w:r>
      <w:r>
        <w:rPr/>
        <w:t>in</w:t>
      </w:r>
      <w:r>
        <w:rPr>
          <w:spacing w:val="-12"/>
        </w:rPr>
        <w:t> </w:t>
      </w:r>
      <w:r>
        <w:rPr/>
        <w:t>their</w:t>
      </w:r>
      <w:r>
        <w:rPr>
          <w:spacing w:val="-11"/>
        </w:rPr>
        <w:t> </w:t>
      </w:r>
      <w:r>
        <w:rPr/>
        <w:t>sex</w:t>
      </w:r>
      <w:r>
        <w:rPr>
          <w:spacing w:val="-10"/>
        </w:rPr>
        <w:t> </w:t>
      </w:r>
      <w:r>
        <w:rPr/>
        <w:t>characteristics</w:t>
      </w:r>
      <w:r>
        <w:rPr>
          <w:spacing w:val="-11"/>
        </w:rPr>
        <w:t> </w:t>
      </w:r>
      <w:r>
        <w:rPr/>
        <w:t>may</w:t>
      </w:r>
      <w:r>
        <w:rPr>
          <w:spacing w:val="-10"/>
        </w:rPr>
        <w:t> </w:t>
      </w:r>
      <w:r>
        <w:rPr/>
        <w:t>or</w:t>
      </w:r>
      <w:r>
        <w:rPr>
          <w:spacing w:val="-11"/>
        </w:rPr>
        <w:t> </w:t>
      </w:r>
      <w:r>
        <w:rPr/>
        <w:t>may</w:t>
      </w:r>
      <w:r>
        <w:rPr>
          <w:spacing w:val="-11"/>
        </w:rPr>
        <w:t> </w:t>
      </w:r>
      <w:r>
        <w:rPr/>
        <w:t>not</w:t>
      </w:r>
      <w:r>
        <w:rPr>
          <w:spacing w:val="-12"/>
        </w:rPr>
        <w:t> </w:t>
      </w:r>
      <w:r>
        <w:rPr/>
        <w:t>identify</w:t>
      </w:r>
      <w:r>
        <w:rPr>
          <w:spacing w:val="-11"/>
        </w:rPr>
        <w:t> </w:t>
      </w:r>
      <w:r>
        <w:rPr/>
        <w:t>as</w:t>
      </w:r>
      <w:r>
        <w:rPr>
          <w:spacing w:val="-11"/>
        </w:rPr>
        <w:t> </w:t>
      </w:r>
      <w:r>
        <w:rPr/>
        <w:t>intersex</w:t>
      </w:r>
      <w:r>
        <w:rPr>
          <w:spacing w:val="-12"/>
        </w:rPr>
        <w:t> </w:t>
      </w:r>
      <w:r>
        <w:rPr/>
        <w:t>or</w:t>
      </w:r>
      <w:r>
        <w:rPr>
          <w:spacing w:val="-11"/>
        </w:rPr>
        <w:t> </w:t>
      </w:r>
      <w:r>
        <w:rPr/>
        <w:t>as</w:t>
      </w:r>
      <w:r>
        <w:rPr>
          <w:spacing w:val="-11"/>
        </w:rPr>
        <w:t> </w:t>
      </w:r>
      <w:r>
        <w:rPr/>
        <w:t>part</w:t>
      </w:r>
      <w:r>
        <w:rPr>
          <w:spacing w:val="-11"/>
        </w:rPr>
        <w:t> </w:t>
      </w:r>
      <w:r>
        <w:rPr/>
        <w:t>of</w:t>
      </w:r>
      <w:r>
        <w:rPr>
          <w:spacing w:val="-11"/>
        </w:rPr>
        <w:t> </w:t>
      </w:r>
      <w:r>
        <w:rPr/>
        <w:t>the</w:t>
      </w:r>
      <w:r>
        <w:rPr>
          <w:spacing w:val="-12"/>
        </w:rPr>
        <w:t> </w:t>
      </w:r>
      <w:r>
        <w:rPr/>
        <w:t>LGBTQ</w:t>
      </w:r>
      <w:r>
        <w:rPr>
          <w:spacing w:val="-10"/>
        </w:rPr>
        <w:t> </w:t>
      </w:r>
      <w:r>
        <w:rPr/>
        <w:t>community, but their reproductive and gynecological healthcare needs may be similar to transgender and gender non- conforming patients in that they may have</w:t>
      </w:r>
      <w:r>
        <w:rPr>
          <w:spacing w:val="-1"/>
        </w:rPr>
        <w:t> </w:t>
      </w:r>
      <w:r>
        <w:rPr/>
        <w:t>a gender identity that does not corresponded with the sex they were assigned at birth. Intersex patients also experience barriers when accessing gender affirming healthcare and reproductive healthcare based on the fact that they have sex characteristic variations that transcend typical notions of female and male bodies</w:t>
      </w:r>
      <w:hyperlink w:history="true" w:anchor="_bookmark203">
        <w:r>
          <w:rPr/>
          <w:t>.</w:t>
        </w:r>
        <w:r>
          <w:rPr>
            <w:vertAlign w:val="superscript"/>
          </w:rPr>
          <w:t>10</w:t>
        </w:r>
      </w:hyperlink>
      <w:r>
        <w:rPr>
          <w:vertAlign w:val="baseline"/>
        </w:rPr>
        <w:t> Sex characteristic variations may occur in the chromosomes, external genitalia, gonads, hormone production, hormone responsiveness, internal reproductive organs, or any combination of these, among others. People born with variations of sex characteristics that do not fit the gender binary may be subjected to unnecessary medical procedures and surgeries without their consent, usually when they are children thus not being able to consent to these procedures.</w:t>
      </w:r>
      <w:r>
        <w:rPr>
          <w:spacing w:val="-4"/>
          <w:vertAlign w:val="baseline"/>
        </w:rPr>
        <w:t> </w:t>
      </w:r>
      <w:r>
        <w:rPr>
          <w:vertAlign w:val="baseline"/>
        </w:rPr>
        <w:t>There</w:t>
      </w:r>
      <w:r>
        <w:rPr>
          <w:spacing w:val="-6"/>
          <w:vertAlign w:val="baseline"/>
        </w:rPr>
        <w:t> </w:t>
      </w:r>
      <w:r>
        <w:rPr>
          <w:vertAlign w:val="baseline"/>
        </w:rPr>
        <w:t>is</w:t>
      </w:r>
      <w:r>
        <w:rPr>
          <w:spacing w:val="-4"/>
          <w:vertAlign w:val="baseline"/>
        </w:rPr>
        <w:t> </w:t>
      </w:r>
      <w:r>
        <w:rPr>
          <w:vertAlign w:val="baseline"/>
        </w:rPr>
        <w:t>no</w:t>
      </w:r>
      <w:r>
        <w:rPr>
          <w:spacing w:val="-5"/>
          <w:vertAlign w:val="baseline"/>
        </w:rPr>
        <w:t> </w:t>
      </w:r>
      <w:r>
        <w:rPr>
          <w:vertAlign w:val="baseline"/>
        </w:rPr>
        <w:t>evidence</w:t>
      </w:r>
      <w:r>
        <w:rPr>
          <w:spacing w:val="-6"/>
          <w:vertAlign w:val="baseline"/>
        </w:rPr>
        <w:t> </w:t>
      </w:r>
      <w:r>
        <w:rPr>
          <w:vertAlign w:val="baseline"/>
        </w:rPr>
        <w:t>demonstrating</w:t>
      </w:r>
      <w:r>
        <w:rPr>
          <w:spacing w:val="-4"/>
          <w:vertAlign w:val="baseline"/>
        </w:rPr>
        <w:t> </w:t>
      </w:r>
      <w:r>
        <w:rPr>
          <w:vertAlign w:val="baseline"/>
        </w:rPr>
        <w:t>the</w:t>
      </w:r>
      <w:r>
        <w:rPr>
          <w:spacing w:val="-4"/>
          <w:vertAlign w:val="baseline"/>
        </w:rPr>
        <w:t> </w:t>
      </w:r>
      <w:r>
        <w:rPr>
          <w:vertAlign w:val="baseline"/>
        </w:rPr>
        <w:t>benefits</w:t>
      </w:r>
      <w:r>
        <w:rPr>
          <w:spacing w:val="-5"/>
          <w:vertAlign w:val="baseline"/>
        </w:rPr>
        <w:t> </w:t>
      </w:r>
      <w:r>
        <w:rPr>
          <w:vertAlign w:val="baseline"/>
        </w:rPr>
        <w:t>of</w:t>
      </w:r>
      <w:r>
        <w:rPr>
          <w:spacing w:val="-6"/>
          <w:vertAlign w:val="baseline"/>
        </w:rPr>
        <w:t> </w:t>
      </w:r>
      <w:r>
        <w:rPr>
          <w:vertAlign w:val="baseline"/>
        </w:rPr>
        <w:t>cosmetic</w:t>
      </w:r>
      <w:r>
        <w:rPr>
          <w:spacing w:val="-6"/>
          <w:vertAlign w:val="baseline"/>
        </w:rPr>
        <w:t> </w:t>
      </w:r>
      <w:r>
        <w:rPr>
          <w:vertAlign w:val="baseline"/>
        </w:rPr>
        <w:t>surgeries</w:t>
      </w:r>
      <w:r>
        <w:rPr>
          <w:spacing w:val="-5"/>
          <w:vertAlign w:val="baseline"/>
        </w:rPr>
        <w:t> </w:t>
      </w:r>
      <w:r>
        <w:rPr>
          <w:vertAlign w:val="baseline"/>
        </w:rPr>
        <w:t>and</w:t>
      </w:r>
      <w:r>
        <w:rPr>
          <w:spacing w:val="-4"/>
          <w:vertAlign w:val="baseline"/>
        </w:rPr>
        <w:t> </w:t>
      </w:r>
      <w:r>
        <w:rPr>
          <w:vertAlign w:val="baseline"/>
        </w:rPr>
        <w:t>genital</w:t>
      </w:r>
      <w:r>
        <w:rPr>
          <w:spacing w:val="-5"/>
          <w:vertAlign w:val="baseline"/>
        </w:rPr>
        <w:t> </w:t>
      </w:r>
      <w:r>
        <w:rPr>
          <w:vertAlign w:val="baseline"/>
        </w:rPr>
        <w:t>surgeries</w:t>
      </w:r>
      <w:r>
        <w:rPr>
          <w:spacing w:val="-5"/>
          <w:vertAlign w:val="baseline"/>
        </w:rPr>
        <w:t> </w:t>
      </w:r>
      <w:r>
        <w:rPr>
          <w:vertAlign w:val="baseline"/>
        </w:rPr>
        <w:t>on intersex children.</w:t>
      </w:r>
      <w:hyperlink w:history="true" w:anchor="_bookmark204">
        <w:r>
          <w:rPr>
            <w:vertAlign w:val="superscript"/>
          </w:rPr>
          <w:t>11</w:t>
        </w:r>
      </w:hyperlink>
    </w:p>
    <w:p>
      <w:pPr>
        <w:pStyle w:val="BodyText"/>
        <w:spacing w:line="276" w:lineRule="auto" w:before="240"/>
        <w:ind w:left="463" w:right="242"/>
        <w:jc w:val="both"/>
      </w:pPr>
      <w:r>
        <w:rPr/>
        <w:t>survey found that 6% of transgender and gender-diverse individuals residing in rural areas across five northeastern</w:t>
      </w:r>
      <w:r>
        <w:rPr>
          <w:spacing w:val="-13"/>
        </w:rPr>
        <w:t> </w:t>
      </w:r>
      <w:r>
        <w:rPr/>
        <w:t>states,</w:t>
      </w:r>
      <w:r>
        <w:rPr>
          <w:spacing w:val="-12"/>
        </w:rPr>
        <w:t> </w:t>
      </w:r>
      <w:r>
        <w:rPr/>
        <w:t>such</w:t>
      </w:r>
      <w:r>
        <w:rPr>
          <w:spacing w:val="-13"/>
        </w:rPr>
        <w:t> </w:t>
      </w:r>
      <w:r>
        <w:rPr/>
        <w:t>as</w:t>
      </w:r>
      <w:r>
        <w:rPr>
          <w:spacing w:val="-12"/>
        </w:rPr>
        <w:t> </w:t>
      </w:r>
      <w:r>
        <w:rPr/>
        <w:t>Connecticut,</w:t>
      </w:r>
      <w:r>
        <w:rPr>
          <w:spacing w:val="-13"/>
        </w:rPr>
        <w:t> </w:t>
      </w:r>
      <w:r>
        <w:rPr/>
        <w:t>Massachusetts,</w:t>
      </w:r>
      <w:r>
        <w:rPr>
          <w:spacing w:val="-12"/>
        </w:rPr>
        <w:t> </w:t>
      </w:r>
      <w:r>
        <w:rPr/>
        <w:t>New</w:t>
      </w:r>
      <w:r>
        <w:rPr>
          <w:spacing w:val="-13"/>
        </w:rPr>
        <w:t> </w:t>
      </w:r>
      <w:r>
        <w:rPr/>
        <w:t>Hampshire,</w:t>
      </w:r>
      <w:r>
        <w:rPr>
          <w:spacing w:val="-12"/>
        </w:rPr>
        <w:t> </w:t>
      </w:r>
      <w:r>
        <w:rPr/>
        <w:t>New</w:t>
      </w:r>
      <w:r>
        <w:rPr>
          <w:spacing w:val="-12"/>
        </w:rPr>
        <w:t> </w:t>
      </w:r>
      <w:r>
        <w:rPr/>
        <w:t>York,</w:t>
      </w:r>
      <w:r>
        <w:rPr>
          <w:spacing w:val="-13"/>
        </w:rPr>
        <w:t> </w:t>
      </w:r>
      <w:r>
        <w:rPr/>
        <w:t>and</w:t>
      </w:r>
      <w:r>
        <w:rPr>
          <w:spacing w:val="-12"/>
        </w:rPr>
        <w:t> </w:t>
      </w:r>
      <w:r>
        <w:rPr/>
        <w:t>Vermont</w:t>
      </w:r>
      <w:r>
        <w:rPr>
          <w:spacing w:val="-13"/>
        </w:rPr>
        <w:t> </w:t>
      </w:r>
      <w:r>
        <w:rPr/>
        <w:t>reported that there were no gender-affirming clinicians available where they accessed primary care. They also reported that they had to travel at least two hours for gender-affirming primary care</w:t>
      </w:r>
      <w:hyperlink w:history="true" w:anchor="_bookmark205">
        <w:r>
          <w:rPr/>
          <w:t>.</w:t>
        </w:r>
        <w:r>
          <w:rPr>
            <w:vertAlign w:val="superscript"/>
          </w:rPr>
          <w:t>12</w:t>
        </w:r>
      </w:hyperlink>
    </w:p>
    <w:p>
      <w:pPr>
        <w:pStyle w:val="BodyText"/>
      </w:pPr>
    </w:p>
    <w:p>
      <w:pPr>
        <w:pStyle w:val="BodyText"/>
        <w:spacing w:before="237"/>
      </w:pPr>
    </w:p>
    <w:p>
      <w:pPr>
        <w:spacing w:before="0"/>
        <w:ind w:left="463" w:right="0" w:firstLine="0"/>
        <w:jc w:val="left"/>
        <w:rPr>
          <w:sz w:val="28"/>
        </w:rPr>
      </w:pPr>
      <w:bookmarkStart w:name="Menstruation" w:id="369"/>
      <w:bookmarkEnd w:id="369"/>
      <w:r>
        <w:rPr/>
      </w:r>
      <w:r>
        <w:rPr>
          <w:color w:val="365F91"/>
          <w:spacing w:val="-2"/>
          <w:sz w:val="28"/>
        </w:rPr>
        <w:t>Menstruation</w:t>
      </w:r>
    </w:p>
    <w:p>
      <w:pPr>
        <w:pStyle w:val="BodyText"/>
        <w:spacing w:line="276" w:lineRule="auto" w:before="292"/>
        <w:ind w:left="463" w:right="243"/>
        <w:jc w:val="both"/>
      </w:pPr>
      <w:r>
        <w:rPr/>
        <w:t>Transgender, non-binary and gender non-conforming individuals with female reproductive organs experience menstruation, which may lead to dysphoria for some</w:t>
      </w:r>
    </w:p>
    <w:p>
      <w:pPr>
        <w:pStyle w:val="BodyText"/>
        <w:spacing w:line="276" w:lineRule="auto"/>
        <w:ind w:left="463" w:right="4082" w:hanging="1"/>
        <w:jc w:val="both"/>
      </w:pPr>
      <w:r>
        <w:rPr/>
        <w:drawing>
          <wp:anchor distT="0" distB="0" distL="0" distR="0" allowOverlap="1" layoutInCell="1" locked="0" behindDoc="0" simplePos="0" relativeHeight="15777792">
            <wp:simplePos x="0" y="0"/>
            <wp:positionH relativeFrom="page">
              <wp:posOffset>4636136</wp:posOffset>
            </wp:positionH>
            <wp:positionV relativeFrom="paragraph">
              <wp:posOffset>41829</wp:posOffset>
            </wp:positionV>
            <wp:extent cx="2266796" cy="950582"/>
            <wp:effectExtent l="0" t="0" r="0" b="0"/>
            <wp:wrapNone/>
            <wp:docPr id="290" name="Image 290"/>
            <wp:cNvGraphicFramePr>
              <a:graphicFrameLocks/>
            </wp:cNvGraphicFramePr>
            <a:graphic>
              <a:graphicData uri="http://schemas.openxmlformats.org/drawingml/2006/picture">
                <pic:pic>
                  <pic:nvPicPr>
                    <pic:cNvPr id="290" name="Image 290"/>
                    <pic:cNvPicPr/>
                  </pic:nvPicPr>
                  <pic:blipFill>
                    <a:blip r:embed="rId312" cstate="print"/>
                    <a:stretch>
                      <a:fillRect/>
                    </a:stretch>
                  </pic:blipFill>
                  <pic:spPr>
                    <a:xfrm>
                      <a:off x="0" y="0"/>
                      <a:ext cx="2266796" cy="950582"/>
                    </a:xfrm>
                    <a:prstGeom prst="rect">
                      <a:avLst/>
                    </a:prstGeom>
                  </pic:spPr>
                </pic:pic>
              </a:graphicData>
            </a:graphic>
          </wp:anchor>
        </w:drawing>
      </w:r>
      <w:r>
        <w:rPr/>
        <w:t>transgender and non-binary folks</w:t>
      </w:r>
      <w:hyperlink w:history="true" w:anchor="_bookmark206">
        <w:r>
          <w:rPr/>
          <w:t>.</w:t>
        </w:r>
        <w:r>
          <w:rPr>
            <w:vertAlign w:val="superscript"/>
          </w:rPr>
          <w:t>13</w:t>
        </w:r>
      </w:hyperlink>
      <w:r>
        <w:rPr>
          <w:vertAlign w:val="baseline"/>
        </w:rPr>
        <w:t> A recent study has shown that 93% of trans and nonbinary youth experience distress related</w:t>
      </w:r>
      <w:r>
        <w:rPr>
          <w:spacing w:val="-13"/>
          <w:vertAlign w:val="baseline"/>
        </w:rPr>
        <w:t> </w:t>
      </w:r>
      <w:r>
        <w:rPr>
          <w:vertAlign w:val="baseline"/>
        </w:rPr>
        <w:t>to</w:t>
      </w:r>
      <w:r>
        <w:rPr>
          <w:spacing w:val="-12"/>
          <w:vertAlign w:val="baseline"/>
        </w:rPr>
        <w:t> </w:t>
      </w:r>
      <w:r>
        <w:rPr>
          <w:vertAlign w:val="baseline"/>
        </w:rPr>
        <w:t>having</w:t>
      </w:r>
      <w:r>
        <w:rPr>
          <w:spacing w:val="-13"/>
          <w:vertAlign w:val="baseline"/>
        </w:rPr>
        <w:t> </w:t>
      </w:r>
      <w:r>
        <w:rPr>
          <w:vertAlign w:val="baseline"/>
        </w:rPr>
        <w:t>their</w:t>
      </w:r>
      <w:r>
        <w:rPr>
          <w:spacing w:val="-12"/>
          <w:vertAlign w:val="baseline"/>
        </w:rPr>
        <w:t> </w:t>
      </w:r>
      <w:r>
        <w:rPr>
          <w:vertAlign w:val="baseline"/>
        </w:rPr>
        <w:t>periods,</w:t>
      </w:r>
      <w:r>
        <w:rPr>
          <w:spacing w:val="-13"/>
          <w:vertAlign w:val="baseline"/>
        </w:rPr>
        <w:t> </w:t>
      </w:r>
      <w:r>
        <w:rPr>
          <w:vertAlign w:val="baseline"/>
        </w:rPr>
        <w:t>and</w:t>
      </w:r>
      <w:r>
        <w:rPr>
          <w:spacing w:val="-12"/>
          <w:vertAlign w:val="baseline"/>
        </w:rPr>
        <w:t> </w:t>
      </w:r>
      <w:r>
        <w:rPr>
          <w:vertAlign w:val="baseline"/>
        </w:rPr>
        <w:t>reported</w:t>
      </w:r>
      <w:r>
        <w:rPr>
          <w:spacing w:val="-13"/>
          <w:vertAlign w:val="baseline"/>
        </w:rPr>
        <w:t> </w:t>
      </w:r>
      <w:r>
        <w:rPr>
          <w:vertAlign w:val="baseline"/>
        </w:rPr>
        <w:t>a</w:t>
      </w:r>
      <w:r>
        <w:rPr>
          <w:spacing w:val="-12"/>
          <w:vertAlign w:val="baseline"/>
        </w:rPr>
        <w:t> </w:t>
      </w:r>
      <w:r>
        <w:rPr>
          <w:vertAlign w:val="baseline"/>
        </w:rPr>
        <w:t>desire</w:t>
      </w:r>
      <w:r>
        <w:rPr>
          <w:spacing w:val="-12"/>
          <w:vertAlign w:val="baseline"/>
        </w:rPr>
        <w:t> </w:t>
      </w:r>
      <w:r>
        <w:rPr>
          <w:vertAlign w:val="baseline"/>
        </w:rPr>
        <w:t>for</w:t>
      </w:r>
      <w:r>
        <w:rPr>
          <w:spacing w:val="-13"/>
          <w:vertAlign w:val="baseline"/>
        </w:rPr>
        <w:t> </w:t>
      </w:r>
      <w:r>
        <w:rPr>
          <w:vertAlign w:val="baseline"/>
        </w:rPr>
        <w:t>medical assistance to reduce or eliminate their periods. </w:t>
      </w:r>
      <w:hyperlink w:history="true" w:anchor="_bookmark207">
        <w:r>
          <w:rPr>
            <w:vertAlign w:val="superscript"/>
          </w:rPr>
          <w:t>14</w:t>
        </w:r>
      </w:hyperlink>
      <w:r>
        <w:rPr>
          <w:vertAlign w:val="baseline"/>
        </w:rPr>
        <w:t> Gender- affirming hormone therapy is a viable option for transgender youths</w:t>
      </w:r>
      <w:r>
        <w:rPr>
          <w:spacing w:val="16"/>
          <w:vertAlign w:val="baseline"/>
        </w:rPr>
        <w:t> </w:t>
      </w:r>
      <w:r>
        <w:rPr>
          <w:vertAlign w:val="baseline"/>
        </w:rPr>
        <w:t>who</w:t>
      </w:r>
      <w:r>
        <w:rPr>
          <w:spacing w:val="17"/>
          <w:vertAlign w:val="baseline"/>
        </w:rPr>
        <w:t> </w:t>
      </w:r>
      <w:r>
        <w:rPr>
          <w:vertAlign w:val="baseline"/>
        </w:rPr>
        <w:t>are</w:t>
      </w:r>
      <w:r>
        <w:rPr>
          <w:spacing w:val="16"/>
          <w:vertAlign w:val="baseline"/>
        </w:rPr>
        <w:t> </w:t>
      </w:r>
      <w:r>
        <w:rPr>
          <w:vertAlign w:val="baseline"/>
        </w:rPr>
        <w:t>interested</w:t>
      </w:r>
      <w:r>
        <w:rPr>
          <w:spacing w:val="17"/>
          <w:vertAlign w:val="baseline"/>
        </w:rPr>
        <w:t> </w:t>
      </w:r>
      <w:r>
        <w:rPr>
          <w:vertAlign w:val="baseline"/>
        </w:rPr>
        <w:t>in</w:t>
      </w:r>
      <w:r>
        <w:rPr>
          <w:spacing w:val="17"/>
          <w:vertAlign w:val="baseline"/>
        </w:rPr>
        <w:t> </w:t>
      </w:r>
      <w:r>
        <w:rPr>
          <w:vertAlign w:val="baseline"/>
        </w:rPr>
        <w:t>amenorrhea,</w:t>
      </w:r>
      <w:r>
        <w:rPr>
          <w:spacing w:val="16"/>
          <w:vertAlign w:val="baseline"/>
        </w:rPr>
        <w:t> </w:t>
      </w:r>
      <w:r>
        <w:rPr>
          <w:vertAlign w:val="baseline"/>
        </w:rPr>
        <w:t>or</w:t>
      </w:r>
      <w:r>
        <w:rPr>
          <w:spacing w:val="17"/>
          <w:vertAlign w:val="baseline"/>
        </w:rPr>
        <w:t> </w:t>
      </w:r>
      <w:r>
        <w:rPr>
          <w:vertAlign w:val="baseline"/>
        </w:rPr>
        <w:t>the</w:t>
      </w:r>
      <w:r>
        <w:rPr>
          <w:spacing w:val="19"/>
          <w:vertAlign w:val="baseline"/>
        </w:rPr>
        <w:t> </w:t>
      </w:r>
      <w:r>
        <w:rPr>
          <w:vertAlign w:val="baseline"/>
        </w:rPr>
        <w:t>cessation</w:t>
      </w:r>
      <w:r>
        <w:rPr>
          <w:spacing w:val="16"/>
          <w:vertAlign w:val="baseline"/>
        </w:rPr>
        <w:t> </w:t>
      </w:r>
      <w:r>
        <w:rPr>
          <w:spacing w:val="-5"/>
          <w:vertAlign w:val="baseline"/>
        </w:rPr>
        <w:t>of</w:t>
      </w:r>
    </w:p>
    <w:p>
      <w:pPr>
        <w:pStyle w:val="BodyText"/>
        <w:spacing w:line="276" w:lineRule="auto"/>
        <w:ind w:left="463" w:right="240" w:hanging="1"/>
        <w:jc w:val="both"/>
      </w:pPr>
      <w:r>
        <w:rPr/>
        <w:t>menstruation</w:t>
      </w:r>
      <w:hyperlink w:history="true" w:anchor="_bookmark208">
        <w:r>
          <w:rPr/>
          <w:t>.</w:t>
        </w:r>
        <w:r>
          <w:rPr>
            <w:vertAlign w:val="superscript"/>
          </w:rPr>
          <w:t>15</w:t>
        </w:r>
      </w:hyperlink>
      <w:r>
        <w:rPr>
          <w:vertAlign w:val="baseline"/>
        </w:rPr>
        <w:t> Although hormone therapy is an option, many LGBTQ youth may be too young or uninterested</w:t>
      </w:r>
      <w:r>
        <w:rPr>
          <w:spacing w:val="-3"/>
          <w:vertAlign w:val="baseline"/>
        </w:rPr>
        <w:t> </w:t>
      </w:r>
      <w:r>
        <w:rPr>
          <w:vertAlign w:val="baseline"/>
        </w:rPr>
        <w:t>in</w:t>
      </w:r>
      <w:r>
        <w:rPr>
          <w:spacing w:val="-5"/>
          <w:vertAlign w:val="baseline"/>
        </w:rPr>
        <w:t> </w:t>
      </w:r>
      <w:r>
        <w:rPr>
          <w:vertAlign w:val="baseline"/>
        </w:rPr>
        <w:t>taking</w:t>
      </w:r>
      <w:r>
        <w:rPr>
          <w:spacing w:val="-4"/>
          <w:vertAlign w:val="baseline"/>
        </w:rPr>
        <w:t> </w:t>
      </w:r>
      <w:r>
        <w:rPr>
          <w:vertAlign w:val="baseline"/>
        </w:rPr>
        <w:t>testosterone,</w:t>
      </w:r>
      <w:r>
        <w:rPr>
          <w:spacing w:val="-5"/>
          <w:vertAlign w:val="baseline"/>
        </w:rPr>
        <w:t> </w:t>
      </w:r>
      <w:r>
        <w:rPr>
          <w:vertAlign w:val="baseline"/>
        </w:rPr>
        <w:t>leaving</w:t>
      </w:r>
      <w:r>
        <w:rPr>
          <w:spacing w:val="-5"/>
          <w:vertAlign w:val="baseline"/>
        </w:rPr>
        <w:t> </w:t>
      </w:r>
      <w:r>
        <w:rPr>
          <w:vertAlign w:val="baseline"/>
        </w:rPr>
        <w:t>the</w:t>
      </w:r>
      <w:r>
        <w:rPr>
          <w:spacing w:val="-4"/>
          <w:vertAlign w:val="baseline"/>
        </w:rPr>
        <w:t> </w:t>
      </w:r>
      <w:r>
        <w:rPr>
          <w:vertAlign w:val="baseline"/>
        </w:rPr>
        <w:t>best</w:t>
      </w:r>
      <w:r>
        <w:rPr>
          <w:spacing w:val="-3"/>
          <w:vertAlign w:val="baseline"/>
        </w:rPr>
        <w:t> </w:t>
      </w:r>
      <w:r>
        <w:rPr>
          <w:vertAlign w:val="baseline"/>
        </w:rPr>
        <w:t>menstrual</w:t>
      </w:r>
      <w:r>
        <w:rPr>
          <w:spacing w:val="-4"/>
          <w:vertAlign w:val="baseline"/>
        </w:rPr>
        <w:t> </w:t>
      </w:r>
      <w:r>
        <w:rPr>
          <w:vertAlign w:val="baseline"/>
        </w:rPr>
        <w:t>care</w:t>
      </w:r>
      <w:r>
        <w:rPr>
          <w:spacing w:val="-5"/>
          <w:vertAlign w:val="baseline"/>
        </w:rPr>
        <w:t> </w:t>
      </w:r>
      <w:r>
        <w:rPr>
          <w:vertAlign w:val="baseline"/>
        </w:rPr>
        <w:t>treatment</w:t>
      </w:r>
      <w:r>
        <w:rPr>
          <w:spacing w:val="-4"/>
          <w:vertAlign w:val="baseline"/>
        </w:rPr>
        <w:t> </w:t>
      </w:r>
      <w:r>
        <w:rPr>
          <w:vertAlign w:val="baseline"/>
        </w:rPr>
        <w:t>for</w:t>
      </w:r>
      <w:r>
        <w:rPr>
          <w:spacing w:val="-5"/>
          <w:vertAlign w:val="baseline"/>
        </w:rPr>
        <w:t> </w:t>
      </w:r>
      <w:r>
        <w:rPr>
          <w:vertAlign w:val="baseline"/>
        </w:rPr>
        <w:t>LGBTQ</w:t>
      </w:r>
      <w:r>
        <w:rPr>
          <w:spacing w:val="-4"/>
          <w:vertAlign w:val="baseline"/>
        </w:rPr>
        <w:t> </w:t>
      </w:r>
      <w:r>
        <w:rPr>
          <w:vertAlign w:val="baseline"/>
        </w:rPr>
        <w:t>youth</w:t>
      </w:r>
      <w:r>
        <w:rPr>
          <w:spacing w:val="-4"/>
          <w:vertAlign w:val="baseline"/>
        </w:rPr>
        <w:t> </w:t>
      </w:r>
      <w:r>
        <w:rPr>
          <w:vertAlign w:val="baseline"/>
        </w:rPr>
        <w:t>unclear.</w:t>
      </w:r>
      <w:r>
        <w:rPr>
          <w:spacing w:val="-4"/>
          <w:vertAlign w:val="baseline"/>
        </w:rPr>
        <w:t> </w:t>
      </w:r>
      <w:r>
        <w:rPr>
          <w:vertAlign w:val="baseline"/>
        </w:rPr>
        <w:t>In the meantime, LGBTQ youth with menstrual cycles still need gynecological and sexual health treatment.</w:t>
      </w:r>
    </w:p>
    <w:p>
      <w:pPr>
        <w:pStyle w:val="BodyText"/>
        <w:spacing w:line="276" w:lineRule="auto" w:before="240"/>
        <w:ind w:left="463" w:right="242"/>
        <w:jc w:val="both"/>
      </w:pPr>
      <w:r>
        <w:rPr/>
        <w:t>Along</w:t>
      </w:r>
      <w:r>
        <w:rPr>
          <w:spacing w:val="-8"/>
        </w:rPr>
        <w:t> </w:t>
      </w:r>
      <w:r>
        <w:rPr/>
        <w:t>with</w:t>
      </w:r>
      <w:r>
        <w:rPr>
          <w:spacing w:val="-7"/>
        </w:rPr>
        <w:t> </w:t>
      </w:r>
      <w:r>
        <w:rPr/>
        <w:t>healthcare</w:t>
      </w:r>
      <w:r>
        <w:rPr>
          <w:spacing w:val="-7"/>
        </w:rPr>
        <w:t> </w:t>
      </w:r>
      <w:r>
        <w:rPr/>
        <w:t>access,</w:t>
      </w:r>
      <w:r>
        <w:rPr>
          <w:spacing w:val="-7"/>
        </w:rPr>
        <w:t> </w:t>
      </w:r>
      <w:r>
        <w:rPr/>
        <w:t>LGBTQ</w:t>
      </w:r>
      <w:r>
        <w:rPr>
          <w:spacing w:val="-7"/>
        </w:rPr>
        <w:t> </w:t>
      </w:r>
      <w:r>
        <w:rPr/>
        <w:t>youth</w:t>
      </w:r>
      <w:r>
        <w:rPr>
          <w:spacing w:val="-7"/>
        </w:rPr>
        <w:t> </w:t>
      </w:r>
      <w:r>
        <w:rPr/>
        <w:t>need</w:t>
      </w:r>
      <w:r>
        <w:rPr>
          <w:spacing w:val="-8"/>
        </w:rPr>
        <w:t> </w:t>
      </w:r>
      <w:r>
        <w:rPr/>
        <w:t>access</w:t>
      </w:r>
      <w:r>
        <w:rPr>
          <w:spacing w:val="-7"/>
        </w:rPr>
        <w:t> </w:t>
      </w:r>
      <w:r>
        <w:rPr/>
        <w:t>to</w:t>
      </w:r>
      <w:r>
        <w:rPr>
          <w:spacing w:val="-7"/>
        </w:rPr>
        <w:t> </w:t>
      </w:r>
      <w:r>
        <w:rPr/>
        <w:t>menstrual</w:t>
      </w:r>
      <w:r>
        <w:rPr>
          <w:spacing w:val="-8"/>
        </w:rPr>
        <w:t> </w:t>
      </w:r>
      <w:r>
        <w:rPr/>
        <w:t>products.</w:t>
      </w:r>
      <w:r>
        <w:rPr>
          <w:spacing w:val="-6"/>
        </w:rPr>
        <w:t> </w:t>
      </w:r>
      <w:r>
        <w:rPr/>
        <w:t>Period</w:t>
      </w:r>
      <w:r>
        <w:rPr>
          <w:spacing w:val="-8"/>
        </w:rPr>
        <w:t> </w:t>
      </w:r>
      <w:r>
        <w:rPr/>
        <w:t>poverty</w:t>
      </w:r>
      <w:r>
        <w:rPr>
          <w:spacing w:val="-8"/>
        </w:rPr>
        <w:t> </w:t>
      </w:r>
      <w:r>
        <w:rPr/>
        <w:t>refers</w:t>
      </w:r>
      <w:r>
        <w:rPr>
          <w:spacing w:val="-6"/>
        </w:rPr>
        <w:t> </w:t>
      </w:r>
      <w:r>
        <w:rPr/>
        <w:t>to</w:t>
      </w:r>
      <w:r>
        <w:rPr>
          <w:spacing w:val="-7"/>
        </w:rPr>
        <w:t> </w:t>
      </w:r>
      <w:r>
        <w:rPr/>
        <w:t>the phenomena of not being able to afford menstrual products such as pads, tampons, or liners to manage bleeding.</w:t>
      </w:r>
      <w:r>
        <w:rPr>
          <w:spacing w:val="-12"/>
        </w:rPr>
        <w:t> </w:t>
      </w:r>
      <w:r>
        <w:rPr/>
        <w:t>It</w:t>
      </w:r>
      <w:r>
        <w:rPr>
          <w:spacing w:val="-12"/>
        </w:rPr>
        <w:t> </w:t>
      </w:r>
      <w:r>
        <w:rPr/>
        <w:t>has</w:t>
      </w:r>
      <w:r>
        <w:rPr>
          <w:spacing w:val="-11"/>
        </w:rPr>
        <w:t> </w:t>
      </w:r>
      <w:r>
        <w:rPr/>
        <w:t>been</w:t>
      </w:r>
      <w:r>
        <w:rPr>
          <w:spacing w:val="-12"/>
        </w:rPr>
        <w:t> </w:t>
      </w:r>
      <w:r>
        <w:rPr/>
        <w:t>reported</w:t>
      </w:r>
      <w:r>
        <w:rPr>
          <w:spacing w:val="-12"/>
        </w:rPr>
        <w:t> </w:t>
      </w:r>
      <w:r>
        <w:rPr/>
        <w:t>that</w:t>
      </w:r>
      <w:r>
        <w:rPr>
          <w:spacing w:val="-12"/>
        </w:rPr>
        <w:t> </w:t>
      </w:r>
      <w:r>
        <w:rPr/>
        <w:t>1</w:t>
      </w:r>
      <w:r>
        <w:rPr>
          <w:spacing w:val="-11"/>
        </w:rPr>
        <w:t> </w:t>
      </w:r>
      <w:r>
        <w:rPr/>
        <w:t>in</w:t>
      </w:r>
      <w:r>
        <w:rPr>
          <w:spacing w:val="-12"/>
        </w:rPr>
        <w:t> </w:t>
      </w:r>
      <w:r>
        <w:rPr/>
        <w:t>5</w:t>
      </w:r>
      <w:r>
        <w:rPr>
          <w:spacing w:val="-10"/>
        </w:rPr>
        <w:t> </w:t>
      </w:r>
      <w:r>
        <w:rPr/>
        <w:t>girls</w:t>
      </w:r>
      <w:r>
        <w:rPr>
          <w:spacing w:val="-11"/>
        </w:rPr>
        <w:t> </w:t>
      </w:r>
      <w:r>
        <w:rPr/>
        <w:t>have</w:t>
      </w:r>
      <w:r>
        <w:rPr>
          <w:spacing w:val="-12"/>
        </w:rPr>
        <w:t> </w:t>
      </w:r>
      <w:r>
        <w:rPr/>
        <w:t>stayed</w:t>
      </w:r>
      <w:r>
        <w:rPr>
          <w:spacing w:val="-12"/>
        </w:rPr>
        <w:t> </w:t>
      </w:r>
      <w:r>
        <w:rPr/>
        <w:t>home</w:t>
      </w:r>
      <w:r>
        <w:rPr>
          <w:spacing w:val="-12"/>
        </w:rPr>
        <w:t> </w:t>
      </w:r>
      <w:r>
        <w:rPr/>
        <w:t>from</w:t>
      </w:r>
      <w:r>
        <w:rPr>
          <w:spacing w:val="-12"/>
        </w:rPr>
        <w:t> </w:t>
      </w:r>
      <w:r>
        <w:rPr/>
        <w:t>school</w:t>
      </w:r>
      <w:r>
        <w:rPr>
          <w:spacing w:val="-11"/>
        </w:rPr>
        <w:t> </w:t>
      </w:r>
      <w:r>
        <w:rPr/>
        <w:t>while</w:t>
      </w:r>
      <w:r>
        <w:rPr>
          <w:spacing w:val="-12"/>
        </w:rPr>
        <w:t> </w:t>
      </w:r>
      <w:r>
        <w:rPr/>
        <w:t>on</w:t>
      </w:r>
      <w:r>
        <w:rPr>
          <w:spacing w:val="-12"/>
        </w:rPr>
        <w:t> </w:t>
      </w:r>
      <w:r>
        <w:rPr/>
        <w:t>their</w:t>
      </w:r>
      <w:r>
        <w:rPr>
          <w:spacing w:val="-11"/>
        </w:rPr>
        <w:t> </w:t>
      </w:r>
      <w:r>
        <w:rPr/>
        <w:t>period</w:t>
      </w:r>
      <w:r>
        <w:rPr>
          <w:spacing w:val="-12"/>
        </w:rPr>
        <w:t> </w:t>
      </w:r>
      <w:r>
        <w:rPr/>
        <w:t>and</w:t>
      </w:r>
      <w:r>
        <w:rPr>
          <w:spacing w:val="-12"/>
        </w:rPr>
        <w:t> </w:t>
      </w:r>
      <w:r>
        <w:rPr/>
        <w:t>many youth in New Bedford and Southeastern Massachusetts are currently experiencing period poverty.</w:t>
      </w:r>
      <w:hyperlink w:history="true" w:anchor="_bookmark209">
        <w:r>
          <w:rPr>
            <w:vertAlign w:val="superscript"/>
          </w:rPr>
          <w:t>16</w:t>
        </w:r>
      </w:hyperlink>
      <w:r>
        <w:rPr>
          <w:vertAlign w:val="baseline"/>
        </w:rPr>
        <w:t> Transgender</w:t>
      </w:r>
      <w:r>
        <w:rPr>
          <w:spacing w:val="-6"/>
          <w:vertAlign w:val="baseline"/>
        </w:rPr>
        <w:t> </w:t>
      </w:r>
      <w:r>
        <w:rPr>
          <w:vertAlign w:val="baseline"/>
        </w:rPr>
        <w:t>populations</w:t>
      </w:r>
      <w:r>
        <w:rPr>
          <w:spacing w:val="-7"/>
          <w:vertAlign w:val="baseline"/>
        </w:rPr>
        <w:t> </w:t>
      </w:r>
      <w:r>
        <w:rPr>
          <w:vertAlign w:val="baseline"/>
        </w:rPr>
        <w:t>are</w:t>
      </w:r>
      <w:r>
        <w:rPr>
          <w:spacing w:val="-8"/>
          <w:vertAlign w:val="baseline"/>
        </w:rPr>
        <w:t> </w:t>
      </w:r>
      <w:r>
        <w:rPr>
          <w:vertAlign w:val="baseline"/>
        </w:rPr>
        <w:t>three</w:t>
      </w:r>
      <w:r>
        <w:rPr>
          <w:spacing w:val="-8"/>
          <w:vertAlign w:val="baseline"/>
        </w:rPr>
        <w:t> </w:t>
      </w:r>
      <w:r>
        <w:rPr>
          <w:vertAlign w:val="baseline"/>
        </w:rPr>
        <w:t>times</w:t>
      </w:r>
      <w:r>
        <w:rPr>
          <w:spacing w:val="-7"/>
          <w:vertAlign w:val="baseline"/>
        </w:rPr>
        <w:t> </w:t>
      </w:r>
      <w:r>
        <w:rPr>
          <w:vertAlign w:val="baseline"/>
        </w:rPr>
        <w:t>more</w:t>
      </w:r>
      <w:r>
        <w:rPr>
          <w:spacing w:val="-8"/>
          <w:vertAlign w:val="baseline"/>
        </w:rPr>
        <w:t> </w:t>
      </w:r>
      <w:r>
        <w:rPr>
          <w:vertAlign w:val="baseline"/>
        </w:rPr>
        <w:t>likely</w:t>
      </w:r>
      <w:r>
        <w:rPr>
          <w:spacing w:val="-6"/>
          <w:vertAlign w:val="baseline"/>
        </w:rPr>
        <w:t> </w:t>
      </w:r>
      <w:r>
        <w:rPr>
          <w:vertAlign w:val="baseline"/>
        </w:rPr>
        <w:t>to</w:t>
      </w:r>
      <w:r>
        <w:rPr>
          <w:spacing w:val="-7"/>
          <w:vertAlign w:val="baseline"/>
        </w:rPr>
        <w:t> </w:t>
      </w:r>
      <w:r>
        <w:rPr>
          <w:vertAlign w:val="baseline"/>
        </w:rPr>
        <w:t>be</w:t>
      </w:r>
      <w:r>
        <w:rPr>
          <w:spacing w:val="-7"/>
          <w:vertAlign w:val="baseline"/>
        </w:rPr>
        <w:t> </w:t>
      </w:r>
      <w:r>
        <w:rPr>
          <w:vertAlign w:val="baseline"/>
        </w:rPr>
        <w:t>unemployed</w:t>
      </w:r>
      <w:r>
        <w:rPr>
          <w:spacing w:val="-8"/>
          <w:vertAlign w:val="baseline"/>
        </w:rPr>
        <w:t> </w:t>
      </w:r>
      <w:r>
        <w:rPr>
          <w:vertAlign w:val="baseline"/>
        </w:rPr>
        <w:t>and</w:t>
      </w:r>
      <w:r>
        <w:rPr>
          <w:spacing w:val="-7"/>
          <w:vertAlign w:val="baseline"/>
        </w:rPr>
        <w:t> </w:t>
      </w:r>
      <w:r>
        <w:rPr>
          <w:vertAlign w:val="baseline"/>
        </w:rPr>
        <w:t>more</w:t>
      </w:r>
      <w:r>
        <w:rPr>
          <w:spacing w:val="-8"/>
          <w:vertAlign w:val="baseline"/>
        </w:rPr>
        <w:t> </w:t>
      </w:r>
      <w:r>
        <w:rPr>
          <w:vertAlign w:val="baseline"/>
        </w:rPr>
        <w:t>than</w:t>
      </w:r>
      <w:r>
        <w:rPr>
          <w:spacing w:val="-7"/>
          <w:vertAlign w:val="baseline"/>
        </w:rPr>
        <w:t> </w:t>
      </w:r>
      <w:r>
        <w:rPr>
          <w:vertAlign w:val="baseline"/>
        </w:rPr>
        <w:t>twice</w:t>
      </w:r>
      <w:r>
        <w:rPr>
          <w:spacing w:val="-7"/>
          <w:vertAlign w:val="baseline"/>
        </w:rPr>
        <w:t> </w:t>
      </w:r>
      <w:r>
        <w:rPr>
          <w:vertAlign w:val="baseline"/>
        </w:rPr>
        <w:t>as</w:t>
      </w:r>
      <w:r>
        <w:rPr>
          <w:spacing w:val="-7"/>
          <w:vertAlign w:val="baseline"/>
        </w:rPr>
        <w:t> </w:t>
      </w:r>
      <w:r>
        <w:rPr>
          <w:vertAlign w:val="baseline"/>
        </w:rPr>
        <w:t>likely</w:t>
      </w:r>
      <w:r>
        <w:rPr>
          <w:spacing w:val="-8"/>
          <w:vertAlign w:val="baseline"/>
        </w:rPr>
        <w:t> </w:t>
      </w:r>
      <w:r>
        <w:rPr>
          <w:vertAlign w:val="baseline"/>
        </w:rPr>
        <w:t>to</w:t>
      </w:r>
      <w:r>
        <w:rPr>
          <w:spacing w:val="-7"/>
          <w:vertAlign w:val="baseline"/>
        </w:rPr>
        <w:t> </w:t>
      </w:r>
      <w:r>
        <w:rPr>
          <w:vertAlign w:val="baseline"/>
        </w:rPr>
        <w:t>live in poverty compared to the general population, thus making transgender youth more likely to experience period</w:t>
      </w:r>
      <w:r>
        <w:rPr>
          <w:spacing w:val="-4"/>
          <w:vertAlign w:val="baseline"/>
        </w:rPr>
        <w:t> </w:t>
      </w:r>
      <w:r>
        <w:rPr>
          <w:vertAlign w:val="baseline"/>
        </w:rPr>
        <w:t>poverty.</w:t>
      </w:r>
      <w:r>
        <w:rPr>
          <w:spacing w:val="-4"/>
          <w:vertAlign w:val="baseline"/>
        </w:rPr>
        <w:t> </w:t>
      </w:r>
      <w:r>
        <w:rPr>
          <w:vertAlign w:val="baseline"/>
        </w:rPr>
        <w:t>Those</w:t>
      </w:r>
      <w:r>
        <w:rPr>
          <w:spacing w:val="-3"/>
          <w:vertAlign w:val="baseline"/>
        </w:rPr>
        <w:t> </w:t>
      </w:r>
      <w:r>
        <w:rPr>
          <w:vertAlign w:val="baseline"/>
        </w:rPr>
        <w:t>who</w:t>
      </w:r>
      <w:r>
        <w:rPr>
          <w:spacing w:val="-2"/>
          <w:vertAlign w:val="baseline"/>
        </w:rPr>
        <w:t> </w:t>
      </w:r>
      <w:r>
        <w:rPr>
          <w:vertAlign w:val="baseline"/>
        </w:rPr>
        <w:t>are</w:t>
      </w:r>
      <w:r>
        <w:rPr>
          <w:spacing w:val="-4"/>
          <w:vertAlign w:val="baseline"/>
        </w:rPr>
        <w:t> </w:t>
      </w:r>
      <w:r>
        <w:rPr>
          <w:vertAlign w:val="baseline"/>
        </w:rPr>
        <w:t>disabled,</w:t>
      </w:r>
      <w:r>
        <w:rPr>
          <w:spacing w:val="-1"/>
          <w:vertAlign w:val="baseline"/>
        </w:rPr>
        <w:t> </w:t>
      </w:r>
      <w:r>
        <w:rPr>
          <w:vertAlign w:val="baseline"/>
        </w:rPr>
        <w:t>people</w:t>
      </w:r>
      <w:r>
        <w:rPr>
          <w:spacing w:val="-4"/>
          <w:vertAlign w:val="baseline"/>
        </w:rPr>
        <w:t> </w:t>
      </w:r>
      <w:r>
        <w:rPr>
          <w:vertAlign w:val="baseline"/>
        </w:rPr>
        <w:t>of</w:t>
      </w:r>
      <w:r>
        <w:rPr>
          <w:spacing w:val="-3"/>
          <w:vertAlign w:val="baseline"/>
        </w:rPr>
        <w:t> </w:t>
      </w:r>
      <w:r>
        <w:rPr>
          <w:vertAlign w:val="baseline"/>
        </w:rPr>
        <w:t>color,</w:t>
      </w:r>
      <w:r>
        <w:rPr>
          <w:spacing w:val="-4"/>
          <w:vertAlign w:val="baseline"/>
        </w:rPr>
        <w:t> </w:t>
      </w:r>
      <w:r>
        <w:rPr>
          <w:vertAlign w:val="baseline"/>
        </w:rPr>
        <w:t>or</w:t>
      </w:r>
      <w:r>
        <w:rPr>
          <w:spacing w:val="-4"/>
          <w:vertAlign w:val="baseline"/>
        </w:rPr>
        <w:t> </w:t>
      </w:r>
      <w:r>
        <w:rPr>
          <w:vertAlign w:val="baseline"/>
        </w:rPr>
        <w:t>undocumented</w:t>
      </w:r>
      <w:r>
        <w:rPr>
          <w:spacing w:val="-3"/>
          <w:vertAlign w:val="baseline"/>
        </w:rPr>
        <w:t> </w:t>
      </w:r>
      <w:r>
        <w:rPr>
          <w:vertAlign w:val="baseline"/>
        </w:rPr>
        <w:t>immigrants</w:t>
      </w:r>
      <w:r>
        <w:rPr>
          <w:spacing w:val="-4"/>
          <w:vertAlign w:val="baseline"/>
        </w:rPr>
        <w:t> </w:t>
      </w:r>
      <w:r>
        <w:rPr>
          <w:vertAlign w:val="baseline"/>
        </w:rPr>
        <w:t>are</w:t>
      </w:r>
      <w:r>
        <w:rPr>
          <w:spacing w:val="-3"/>
          <w:vertAlign w:val="baseline"/>
        </w:rPr>
        <w:t> </w:t>
      </w:r>
      <w:r>
        <w:rPr>
          <w:vertAlign w:val="baseline"/>
        </w:rPr>
        <w:t>especially</w:t>
      </w:r>
      <w:r>
        <w:rPr>
          <w:spacing w:val="-3"/>
          <w:vertAlign w:val="baseline"/>
        </w:rPr>
        <w:t> </w:t>
      </w:r>
      <w:r>
        <w:rPr>
          <w:vertAlign w:val="baseline"/>
        </w:rPr>
        <w:t>likely</w:t>
      </w:r>
    </w:p>
    <w:p>
      <w:pPr>
        <w:spacing w:after="0" w:line="276" w:lineRule="auto"/>
        <w:jc w:val="both"/>
        <w:sectPr>
          <w:pgSz w:w="12240" w:h="15840"/>
          <w:pgMar w:header="800" w:footer="1530" w:top="1080" w:bottom="1760" w:left="980" w:right="1000"/>
        </w:sectPr>
      </w:pPr>
    </w:p>
    <w:p>
      <w:pPr>
        <w:pStyle w:val="BodyText"/>
        <w:spacing w:line="276" w:lineRule="auto" w:before="69"/>
        <w:ind w:left="463" w:right="240"/>
        <w:jc w:val="both"/>
      </w:pPr>
      <w:r>
        <w:rPr/>
        <w:t>to be unemployed and living in poverty</w:t>
      </w:r>
      <w:hyperlink w:history="true" w:anchor="_bookmark210">
        <w:r>
          <w:rPr/>
          <w:t>.</w:t>
        </w:r>
        <w:r>
          <w:rPr>
            <w:vertAlign w:val="superscript"/>
          </w:rPr>
          <w:t>17</w:t>
        </w:r>
      </w:hyperlink>
      <w:r>
        <w:rPr>
          <w:vertAlign w:val="baseline"/>
        </w:rPr>
        <w:t> Even when menstrual products are free, transgender individuals may not be able to access them still. While menstrual products are sometimes available in women’s restrooms, they may not be available in men’s restrooms, making them inaccessible for menstruating individuals</w:t>
      </w:r>
      <w:r>
        <w:rPr>
          <w:spacing w:val="-2"/>
          <w:vertAlign w:val="baseline"/>
        </w:rPr>
        <w:t> </w:t>
      </w:r>
      <w:r>
        <w:rPr>
          <w:vertAlign w:val="baseline"/>
        </w:rPr>
        <w:t>who</w:t>
      </w:r>
      <w:r>
        <w:rPr>
          <w:spacing w:val="-2"/>
          <w:vertAlign w:val="baseline"/>
        </w:rPr>
        <w:t> </w:t>
      </w:r>
      <w:r>
        <w:rPr>
          <w:vertAlign w:val="baseline"/>
        </w:rPr>
        <w:t>feel</w:t>
      </w:r>
      <w:r>
        <w:rPr>
          <w:spacing w:val="-2"/>
          <w:vertAlign w:val="baseline"/>
        </w:rPr>
        <w:t> </w:t>
      </w:r>
      <w:r>
        <w:rPr>
          <w:vertAlign w:val="baseline"/>
        </w:rPr>
        <w:t>comfortable</w:t>
      </w:r>
      <w:r>
        <w:rPr>
          <w:spacing w:val="-3"/>
          <w:vertAlign w:val="baseline"/>
        </w:rPr>
        <w:t> </w:t>
      </w:r>
      <w:r>
        <w:rPr>
          <w:vertAlign w:val="baseline"/>
        </w:rPr>
        <w:t>using</w:t>
      </w:r>
      <w:r>
        <w:rPr>
          <w:spacing w:val="-2"/>
          <w:vertAlign w:val="baseline"/>
        </w:rPr>
        <w:t> </w:t>
      </w:r>
      <w:r>
        <w:rPr>
          <w:vertAlign w:val="baseline"/>
        </w:rPr>
        <w:t>a</w:t>
      </w:r>
      <w:r>
        <w:rPr>
          <w:spacing w:val="-3"/>
          <w:vertAlign w:val="baseline"/>
        </w:rPr>
        <w:t> </w:t>
      </w:r>
      <w:r>
        <w:rPr>
          <w:vertAlign w:val="baseline"/>
        </w:rPr>
        <w:t>men’s</w:t>
      </w:r>
      <w:r>
        <w:rPr>
          <w:spacing w:val="-2"/>
          <w:vertAlign w:val="baseline"/>
        </w:rPr>
        <w:t> </w:t>
      </w:r>
      <w:r>
        <w:rPr>
          <w:vertAlign w:val="baseline"/>
        </w:rPr>
        <w:t>restroom.</w:t>
      </w:r>
      <w:r>
        <w:rPr>
          <w:spacing w:val="-3"/>
          <w:vertAlign w:val="baseline"/>
        </w:rPr>
        <w:t> </w:t>
      </w:r>
      <w:r>
        <w:rPr>
          <w:vertAlign w:val="baseline"/>
        </w:rPr>
        <w:t>Homeless</w:t>
      </w:r>
      <w:r>
        <w:rPr>
          <w:spacing w:val="-2"/>
          <w:vertAlign w:val="baseline"/>
        </w:rPr>
        <w:t> </w:t>
      </w:r>
      <w:r>
        <w:rPr>
          <w:vertAlign w:val="baseline"/>
        </w:rPr>
        <w:t>transmasculine</w:t>
      </w:r>
      <w:r>
        <w:rPr>
          <w:spacing w:val="-2"/>
          <w:vertAlign w:val="baseline"/>
        </w:rPr>
        <w:t> </w:t>
      </w:r>
      <w:r>
        <w:rPr>
          <w:vertAlign w:val="baseline"/>
        </w:rPr>
        <w:t>individuals</w:t>
      </w:r>
      <w:r>
        <w:rPr>
          <w:spacing w:val="-2"/>
          <w:vertAlign w:val="baseline"/>
        </w:rPr>
        <w:t> </w:t>
      </w:r>
      <w:r>
        <w:rPr>
          <w:vertAlign w:val="baseline"/>
        </w:rPr>
        <w:t>face</w:t>
      </w:r>
      <w:r>
        <w:rPr>
          <w:spacing w:val="-3"/>
          <w:vertAlign w:val="baseline"/>
        </w:rPr>
        <w:t> </w:t>
      </w:r>
      <w:r>
        <w:rPr>
          <w:vertAlign w:val="baseline"/>
        </w:rPr>
        <w:t>similar barriers in men’s homeless shelters where virtually no menstrual products are provided.</w:t>
      </w:r>
      <w:hyperlink w:history="true" w:anchor="_bookmark211">
        <w:r>
          <w:rPr>
            <w:vertAlign w:val="superscript"/>
          </w:rPr>
          <w:t>18</w:t>
        </w:r>
      </w:hyperlink>
      <w:r>
        <w:rPr>
          <w:vertAlign w:val="baseline"/>
        </w:rPr>
        <w:t> Access to menstrual products is also an issue in both women and men’s prisons, where transgender and nonbinary individuals might be incarcerated in either.</w:t>
      </w:r>
    </w:p>
    <w:p>
      <w:pPr>
        <w:pStyle w:val="BodyText"/>
      </w:pPr>
    </w:p>
    <w:p>
      <w:pPr>
        <w:pStyle w:val="BodyText"/>
        <w:spacing w:before="236"/>
      </w:pPr>
    </w:p>
    <w:p>
      <w:pPr>
        <w:spacing w:before="0"/>
        <w:ind w:left="463" w:right="0" w:firstLine="0"/>
        <w:jc w:val="left"/>
        <w:rPr>
          <w:sz w:val="28"/>
        </w:rPr>
      </w:pPr>
      <w:bookmarkStart w:name="Contraceptives" w:id="370"/>
      <w:bookmarkEnd w:id="370"/>
      <w:r>
        <w:rPr/>
      </w:r>
      <w:r>
        <w:rPr>
          <w:color w:val="365F91"/>
          <w:spacing w:val="-2"/>
          <w:sz w:val="28"/>
        </w:rPr>
        <w:t>Contraceptives</w:t>
      </w:r>
    </w:p>
    <w:p>
      <w:pPr>
        <w:pStyle w:val="BodyText"/>
        <w:spacing w:line="276" w:lineRule="auto" w:before="293"/>
        <w:ind w:left="463" w:right="240"/>
        <w:jc w:val="both"/>
      </w:pPr>
      <w:r>
        <w:rPr/>
        <w:t>Due to heteronormative social structures, the use of contraceptives, or birth control, has been culturally understood to be exclusively by cisgender women who have heterosexual relations with cisgender men to prevent</w:t>
      </w:r>
      <w:r>
        <w:rPr>
          <w:spacing w:val="-7"/>
        </w:rPr>
        <w:t> </w:t>
      </w:r>
      <w:r>
        <w:rPr/>
        <w:t>pregnancy,</w:t>
      </w:r>
      <w:r>
        <w:rPr>
          <w:spacing w:val="-6"/>
        </w:rPr>
        <w:t> </w:t>
      </w:r>
      <w:r>
        <w:rPr/>
        <w:t>even</w:t>
      </w:r>
      <w:r>
        <w:rPr>
          <w:spacing w:val="-6"/>
        </w:rPr>
        <w:t> </w:t>
      </w:r>
      <w:r>
        <w:rPr/>
        <w:t>though</w:t>
      </w:r>
      <w:r>
        <w:rPr>
          <w:spacing w:val="-6"/>
        </w:rPr>
        <w:t> </w:t>
      </w:r>
      <w:r>
        <w:rPr/>
        <w:t>there</w:t>
      </w:r>
      <w:r>
        <w:rPr>
          <w:spacing w:val="-5"/>
        </w:rPr>
        <w:t> </w:t>
      </w:r>
      <w:r>
        <w:rPr/>
        <w:t>are</w:t>
      </w:r>
      <w:r>
        <w:rPr>
          <w:spacing w:val="-8"/>
        </w:rPr>
        <w:t> </w:t>
      </w:r>
      <w:r>
        <w:rPr/>
        <w:t>a</w:t>
      </w:r>
      <w:r>
        <w:rPr>
          <w:spacing w:val="-6"/>
        </w:rPr>
        <w:t> </w:t>
      </w:r>
      <w:r>
        <w:rPr/>
        <w:t>variety</w:t>
      </w:r>
      <w:r>
        <w:rPr>
          <w:spacing w:val="-5"/>
        </w:rPr>
        <w:t> </w:t>
      </w:r>
      <w:r>
        <w:rPr/>
        <w:t>of</w:t>
      </w:r>
      <w:r>
        <w:rPr>
          <w:spacing w:val="-8"/>
        </w:rPr>
        <w:t> </w:t>
      </w:r>
      <w:r>
        <w:rPr/>
        <w:t>health</w:t>
      </w:r>
      <w:r>
        <w:rPr>
          <w:spacing w:val="-7"/>
        </w:rPr>
        <w:t> </w:t>
      </w:r>
      <w:r>
        <w:rPr/>
        <w:t>reasons</w:t>
      </w:r>
      <w:r>
        <w:rPr>
          <w:spacing w:val="-7"/>
        </w:rPr>
        <w:t> </w:t>
      </w:r>
      <w:r>
        <w:rPr/>
        <w:t>why</w:t>
      </w:r>
      <w:r>
        <w:rPr>
          <w:spacing w:val="-6"/>
        </w:rPr>
        <w:t> </w:t>
      </w:r>
      <w:r>
        <w:rPr/>
        <w:t>women</w:t>
      </w:r>
      <w:r>
        <w:rPr>
          <w:spacing w:val="-7"/>
        </w:rPr>
        <w:t> </w:t>
      </w:r>
      <w:r>
        <w:rPr/>
        <w:t>would</w:t>
      </w:r>
      <w:r>
        <w:rPr>
          <w:spacing w:val="-6"/>
        </w:rPr>
        <w:t> </w:t>
      </w:r>
      <w:r>
        <w:rPr/>
        <w:t>choose</w:t>
      </w:r>
      <w:r>
        <w:rPr>
          <w:spacing w:val="-8"/>
        </w:rPr>
        <w:t> </w:t>
      </w:r>
      <w:r>
        <w:rPr/>
        <w:t>or</w:t>
      </w:r>
      <w:r>
        <w:rPr>
          <w:spacing w:val="-8"/>
        </w:rPr>
        <w:t> </w:t>
      </w:r>
      <w:r>
        <w:rPr/>
        <w:t>need</w:t>
      </w:r>
      <w:r>
        <w:rPr>
          <w:spacing w:val="-7"/>
        </w:rPr>
        <w:t> </w:t>
      </w:r>
      <w:r>
        <w:rPr/>
        <w:t>to be on birth control. These heteronormative cultural understandings of birth control exclude LGBTQ youth from</w:t>
      </w:r>
      <w:r>
        <w:rPr>
          <w:spacing w:val="-13"/>
        </w:rPr>
        <w:t> </w:t>
      </w:r>
      <w:r>
        <w:rPr/>
        <w:t>discourse</w:t>
      </w:r>
      <w:r>
        <w:rPr>
          <w:spacing w:val="-12"/>
        </w:rPr>
        <w:t> </w:t>
      </w:r>
      <w:r>
        <w:rPr/>
        <w:t>around</w:t>
      </w:r>
      <w:r>
        <w:rPr>
          <w:spacing w:val="-13"/>
        </w:rPr>
        <w:t> </w:t>
      </w:r>
      <w:r>
        <w:rPr/>
        <w:t>contraceptives,</w:t>
      </w:r>
      <w:r>
        <w:rPr>
          <w:spacing w:val="-11"/>
        </w:rPr>
        <w:t> </w:t>
      </w:r>
      <w:r>
        <w:rPr/>
        <w:t>which</w:t>
      </w:r>
      <w:r>
        <w:rPr>
          <w:spacing w:val="-12"/>
        </w:rPr>
        <w:t> </w:t>
      </w:r>
      <w:r>
        <w:rPr/>
        <w:t>takes</w:t>
      </w:r>
      <w:r>
        <w:rPr>
          <w:spacing w:val="-12"/>
        </w:rPr>
        <w:t> </w:t>
      </w:r>
      <w:r>
        <w:rPr/>
        <w:t>root</w:t>
      </w:r>
      <w:r>
        <w:rPr>
          <w:spacing w:val="-13"/>
        </w:rPr>
        <w:t> </w:t>
      </w:r>
      <w:r>
        <w:rPr/>
        <w:t>in</w:t>
      </w:r>
      <w:r>
        <w:rPr>
          <w:spacing w:val="-12"/>
        </w:rPr>
        <w:t> </w:t>
      </w:r>
      <w:r>
        <w:rPr/>
        <w:t>the</w:t>
      </w:r>
      <w:r>
        <w:rPr>
          <w:spacing w:val="-12"/>
        </w:rPr>
        <w:t> </w:t>
      </w:r>
      <w:r>
        <w:rPr/>
        <w:t>medical</w:t>
      </w:r>
      <w:r>
        <w:rPr>
          <w:spacing w:val="-13"/>
        </w:rPr>
        <w:t> </w:t>
      </w:r>
      <w:r>
        <w:rPr/>
        <w:t>system.</w:t>
      </w:r>
      <w:r>
        <w:rPr>
          <w:spacing w:val="-10"/>
        </w:rPr>
        <w:t> </w:t>
      </w:r>
      <w:r>
        <w:rPr/>
        <w:t>Healthcare</w:t>
      </w:r>
      <w:r>
        <w:rPr>
          <w:spacing w:val="-13"/>
        </w:rPr>
        <w:t> </w:t>
      </w:r>
      <w:r>
        <w:rPr/>
        <w:t>providers</w:t>
      </w:r>
      <w:r>
        <w:rPr>
          <w:spacing w:val="-11"/>
        </w:rPr>
        <w:t> </w:t>
      </w:r>
      <w:r>
        <w:rPr/>
        <w:t>are</w:t>
      </w:r>
      <w:r>
        <w:rPr>
          <w:spacing w:val="-13"/>
        </w:rPr>
        <w:t> </w:t>
      </w:r>
      <w:r>
        <w:rPr/>
        <w:t>less likely</w:t>
      </w:r>
      <w:r>
        <w:rPr>
          <w:spacing w:val="-5"/>
        </w:rPr>
        <w:t> </w:t>
      </w:r>
      <w:r>
        <w:rPr/>
        <w:t>to</w:t>
      </w:r>
      <w:r>
        <w:rPr>
          <w:spacing w:val="-5"/>
        </w:rPr>
        <w:t> </w:t>
      </w:r>
      <w:r>
        <w:rPr/>
        <w:t>discuss</w:t>
      </w:r>
      <w:r>
        <w:rPr>
          <w:spacing w:val="-6"/>
        </w:rPr>
        <w:t> </w:t>
      </w:r>
      <w:r>
        <w:rPr/>
        <w:t>birth</w:t>
      </w:r>
      <w:r>
        <w:rPr>
          <w:spacing w:val="-4"/>
        </w:rPr>
        <w:t> </w:t>
      </w:r>
      <w:r>
        <w:rPr/>
        <w:t>control</w:t>
      </w:r>
      <w:r>
        <w:rPr>
          <w:spacing w:val="-7"/>
        </w:rPr>
        <w:t> </w:t>
      </w:r>
      <w:r>
        <w:rPr/>
        <w:t>options</w:t>
      </w:r>
      <w:r>
        <w:rPr>
          <w:spacing w:val="-5"/>
        </w:rPr>
        <w:t> </w:t>
      </w:r>
      <w:r>
        <w:rPr/>
        <w:t>with</w:t>
      </w:r>
      <w:r>
        <w:rPr>
          <w:spacing w:val="-7"/>
        </w:rPr>
        <w:t> </w:t>
      </w:r>
      <w:r>
        <w:rPr/>
        <w:t>LGBTQ</w:t>
      </w:r>
      <w:r>
        <w:rPr>
          <w:spacing w:val="-6"/>
        </w:rPr>
        <w:t> </w:t>
      </w:r>
      <w:r>
        <w:rPr/>
        <w:t>youth</w:t>
      </w:r>
      <w:r>
        <w:rPr>
          <w:spacing w:val="-7"/>
        </w:rPr>
        <w:t> </w:t>
      </w:r>
      <w:r>
        <w:rPr/>
        <w:t>patients.</w:t>
      </w:r>
      <w:r>
        <w:rPr>
          <w:spacing w:val="-6"/>
        </w:rPr>
        <w:t> </w:t>
      </w:r>
      <w:hyperlink w:history="true" w:anchor="_bookmark212">
        <w:r>
          <w:rPr>
            <w:vertAlign w:val="superscript"/>
          </w:rPr>
          <w:t>19</w:t>
        </w:r>
      </w:hyperlink>
      <w:r>
        <w:rPr>
          <w:spacing w:val="-5"/>
          <w:vertAlign w:val="baseline"/>
        </w:rPr>
        <w:t> </w:t>
      </w:r>
      <w:r>
        <w:rPr>
          <w:vertAlign w:val="baseline"/>
        </w:rPr>
        <w:t>LGBTQ</w:t>
      </w:r>
      <w:r>
        <w:rPr>
          <w:spacing w:val="-6"/>
          <w:vertAlign w:val="baseline"/>
        </w:rPr>
        <w:t> </w:t>
      </w:r>
      <w:r>
        <w:rPr>
          <w:vertAlign w:val="baseline"/>
        </w:rPr>
        <w:t>youth</w:t>
      </w:r>
      <w:r>
        <w:rPr>
          <w:spacing w:val="-6"/>
          <w:vertAlign w:val="baseline"/>
        </w:rPr>
        <w:t> </w:t>
      </w:r>
      <w:r>
        <w:rPr>
          <w:vertAlign w:val="baseline"/>
        </w:rPr>
        <w:t>patients</w:t>
      </w:r>
      <w:r>
        <w:rPr>
          <w:spacing w:val="-6"/>
          <w:vertAlign w:val="baseline"/>
        </w:rPr>
        <w:t> </w:t>
      </w:r>
      <w:r>
        <w:rPr>
          <w:vertAlign w:val="baseline"/>
        </w:rPr>
        <w:t>deserve</w:t>
      </w:r>
      <w:r>
        <w:rPr>
          <w:spacing w:val="-7"/>
          <w:vertAlign w:val="baseline"/>
        </w:rPr>
        <w:t> </w:t>
      </w:r>
      <w:r>
        <w:rPr>
          <w:vertAlign w:val="baseline"/>
        </w:rPr>
        <w:t>access</w:t>
      </w:r>
      <w:r>
        <w:rPr>
          <w:spacing w:val="-6"/>
          <w:vertAlign w:val="baseline"/>
        </w:rPr>
        <w:t> </w:t>
      </w:r>
      <w:r>
        <w:rPr>
          <w:vertAlign w:val="baseline"/>
        </w:rPr>
        <w:t>to contraceptives</w:t>
      </w:r>
      <w:r>
        <w:rPr>
          <w:spacing w:val="-3"/>
          <w:vertAlign w:val="baseline"/>
        </w:rPr>
        <w:t> </w:t>
      </w:r>
      <w:r>
        <w:rPr>
          <w:vertAlign w:val="baseline"/>
        </w:rPr>
        <w:t>and</w:t>
      </w:r>
      <w:r>
        <w:rPr>
          <w:spacing w:val="-2"/>
          <w:vertAlign w:val="baseline"/>
        </w:rPr>
        <w:t> </w:t>
      </w:r>
      <w:r>
        <w:rPr>
          <w:vertAlign w:val="baseline"/>
        </w:rPr>
        <w:t>health</w:t>
      </w:r>
      <w:r>
        <w:rPr>
          <w:spacing w:val="-2"/>
          <w:vertAlign w:val="baseline"/>
        </w:rPr>
        <w:t> </w:t>
      </w:r>
      <w:r>
        <w:rPr>
          <w:vertAlign w:val="baseline"/>
        </w:rPr>
        <w:t>care</w:t>
      </w:r>
      <w:r>
        <w:rPr>
          <w:spacing w:val="-2"/>
          <w:vertAlign w:val="baseline"/>
        </w:rPr>
        <w:t> </w:t>
      </w:r>
      <w:r>
        <w:rPr>
          <w:vertAlign w:val="baseline"/>
        </w:rPr>
        <w:t>providers</w:t>
      </w:r>
      <w:r>
        <w:rPr>
          <w:spacing w:val="-3"/>
          <w:vertAlign w:val="baseline"/>
        </w:rPr>
        <w:t> </w:t>
      </w:r>
      <w:r>
        <w:rPr>
          <w:vertAlign w:val="baseline"/>
        </w:rPr>
        <w:t>need</w:t>
      </w:r>
      <w:r>
        <w:rPr>
          <w:spacing w:val="-2"/>
          <w:vertAlign w:val="baseline"/>
        </w:rPr>
        <w:t> </w:t>
      </w:r>
      <w:r>
        <w:rPr>
          <w:vertAlign w:val="baseline"/>
        </w:rPr>
        <w:t>to</w:t>
      </w:r>
      <w:r>
        <w:rPr>
          <w:spacing w:val="-2"/>
          <w:vertAlign w:val="baseline"/>
        </w:rPr>
        <w:t> </w:t>
      </w:r>
      <w:r>
        <w:rPr>
          <w:vertAlign w:val="baseline"/>
        </w:rPr>
        <w:t>inform</w:t>
      </w:r>
      <w:r>
        <w:rPr>
          <w:spacing w:val="-3"/>
          <w:vertAlign w:val="baseline"/>
        </w:rPr>
        <w:t> </w:t>
      </w:r>
      <w:r>
        <w:rPr>
          <w:vertAlign w:val="baseline"/>
        </w:rPr>
        <w:t>them</w:t>
      </w:r>
      <w:r>
        <w:rPr>
          <w:spacing w:val="-3"/>
          <w:vertAlign w:val="baseline"/>
        </w:rPr>
        <w:t> </w:t>
      </w:r>
      <w:r>
        <w:rPr>
          <w:vertAlign w:val="baseline"/>
        </w:rPr>
        <w:t>of their</w:t>
      </w:r>
      <w:r>
        <w:rPr>
          <w:spacing w:val="-3"/>
          <w:vertAlign w:val="baseline"/>
        </w:rPr>
        <w:t> </w:t>
      </w:r>
      <w:r>
        <w:rPr>
          <w:vertAlign w:val="baseline"/>
        </w:rPr>
        <w:t>options</w:t>
      </w:r>
      <w:r>
        <w:rPr>
          <w:spacing w:val="-1"/>
          <w:vertAlign w:val="baseline"/>
        </w:rPr>
        <w:t> </w:t>
      </w:r>
      <w:r>
        <w:rPr>
          <w:vertAlign w:val="baseline"/>
        </w:rPr>
        <w:t>whether</w:t>
      </w:r>
      <w:r>
        <w:rPr>
          <w:spacing w:val="-3"/>
          <w:vertAlign w:val="baseline"/>
        </w:rPr>
        <w:t> </w:t>
      </w:r>
      <w:r>
        <w:rPr>
          <w:vertAlign w:val="baseline"/>
        </w:rPr>
        <w:t>it</w:t>
      </w:r>
      <w:r>
        <w:rPr>
          <w:spacing w:val="-2"/>
          <w:vertAlign w:val="baseline"/>
        </w:rPr>
        <w:t> </w:t>
      </w:r>
      <w:r>
        <w:rPr>
          <w:vertAlign w:val="baseline"/>
        </w:rPr>
        <w:t>be</w:t>
      </w:r>
      <w:r>
        <w:rPr>
          <w:spacing w:val="-2"/>
          <w:vertAlign w:val="baseline"/>
        </w:rPr>
        <w:t> </w:t>
      </w:r>
      <w:r>
        <w:rPr>
          <w:vertAlign w:val="baseline"/>
        </w:rPr>
        <w:t>for</w:t>
      </w:r>
      <w:r>
        <w:rPr>
          <w:spacing w:val="-3"/>
          <w:vertAlign w:val="baseline"/>
        </w:rPr>
        <w:t> </w:t>
      </w:r>
      <w:r>
        <w:rPr>
          <w:vertAlign w:val="baseline"/>
        </w:rPr>
        <w:t>pregnancy prevention,</w:t>
      </w:r>
      <w:r>
        <w:rPr>
          <w:spacing w:val="-6"/>
          <w:vertAlign w:val="baseline"/>
        </w:rPr>
        <w:t> </w:t>
      </w:r>
      <w:r>
        <w:rPr>
          <w:vertAlign w:val="baseline"/>
        </w:rPr>
        <w:t>menstrual</w:t>
      </w:r>
      <w:r>
        <w:rPr>
          <w:spacing w:val="-7"/>
          <w:vertAlign w:val="baseline"/>
        </w:rPr>
        <w:t> </w:t>
      </w:r>
      <w:r>
        <w:rPr>
          <w:vertAlign w:val="baseline"/>
        </w:rPr>
        <w:t>suppression,</w:t>
      </w:r>
      <w:r>
        <w:rPr>
          <w:spacing w:val="-8"/>
          <w:vertAlign w:val="baseline"/>
        </w:rPr>
        <w:t> </w:t>
      </w:r>
      <w:r>
        <w:rPr>
          <w:vertAlign w:val="baseline"/>
        </w:rPr>
        <w:t>or</w:t>
      </w:r>
      <w:r>
        <w:rPr>
          <w:spacing w:val="-7"/>
          <w:vertAlign w:val="baseline"/>
        </w:rPr>
        <w:t> </w:t>
      </w:r>
      <w:r>
        <w:rPr>
          <w:vertAlign w:val="baseline"/>
        </w:rPr>
        <w:t>both;</w:t>
      </w:r>
      <w:r>
        <w:rPr>
          <w:spacing w:val="-8"/>
          <w:vertAlign w:val="baseline"/>
        </w:rPr>
        <w:t> </w:t>
      </w:r>
      <w:r>
        <w:rPr>
          <w:vertAlign w:val="baseline"/>
        </w:rPr>
        <w:t>oral</w:t>
      </w:r>
      <w:r>
        <w:rPr>
          <w:spacing w:val="-7"/>
          <w:vertAlign w:val="baseline"/>
        </w:rPr>
        <w:t> </w:t>
      </w:r>
      <w:r>
        <w:rPr>
          <w:vertAlign w:val="baseline"/>
        </w:rPr>
        <w:t>contraceptives,</w:t>
      </w:r>
      <w:r>
        <w:rPr>
          <w:spacing w:val="-7"/>
          <w:vertAlign w:val="baseline"/>
        </w:rPr>
        <w:t> </w:t>
      </w:r>
      <w:r>
        <w:rPr>
          <w:vertAlign w:val="baseline"/>
        </w:rPr>
        <w:t>IUDs,</w:t>
      </w:r>
      <w:r>
        <w:rPr>
          <w:spacing w:val="-8"/>
          <w:vertAlign w:val="baseline"/>
        </w:rPr>
        <w:t> </w:t>
      </w:r>
      <w:r>
        <w:rPr>
          <w:vertAlign w:val="baseline"/>
        </w:rPr>
        <w:t>contraceptive</w:t>
      </w:r>
      <w:r>
        <w:rPr>
          <w:spacing w:val="-7"/>
          <w:vertAlign w:val="baseline"/>
        </w:rPr>
        <w:t> </w:t>
      </w:r>
      <w:r>
        <w:rPr>
          <w:vertAlign w:val="baseline"/>
        </w:rPr>
        <w:t>patches,</w:t>
      </w:r>
      <w:r>
        <w:rPr>
          <w:spacing w:val="-8"/>
          <w:vertAlign w:val="baseline"/>
        </w:rPr>
        <w:t> </w:t>
      </w:r>
      <w:r>
        <w:rPr>
          <w:vertAlign w:val="baseline"/>
        </w:rPr>
        <w:t>vaginal</w:t>
      </w:r>
      <w:r>
        <w:rPr>
          <w:spacing w:val="-8"/>
          <w:vertAlign w:val="baseline"/>
        </w:rPr>
        <w:t> </w:t>
      </w:r>
      <w:r>
        <w:rPr>
          <w:vertAlign w:val="baseline"/>
        </w:rPr>
        <w:t>rings, Depo injections, implants, and the emergency contraceptive pills are viable options for LGBTQ youth, especially for transgender and gender diverse patients who were assigned female at birth. </w:t>
      </w:r>
      <w:hyperlink w:history="true" w:anchor="_bookmark213">
        <w:r>
          <w:rPr>
            <w:vertAlign w:val="superscript"/>
          </w:rPr>
          <w:t>20</w:t>
        </w:r>
      </w:hyperlink>
      <w:r>
        <w:rPr>
          <w:vertAlign w:val="baseline"/>
        </w:rPr>
        <w:t> Access to contraceptives helps LGBTQ youth prevent pregnancy and manage menstruation, two biological functions that might cause distress and gender dysmorphia, as noted above.</w:t>
      </w:r>
    </w:p>
    <w:p>
      <w:pPr>
        <w:pStyle w:val="BodyText"/>
        <w:spacing w:line="276" w:lineRule="auto" w:before="239"/>
        <w:ind w:left="5803" w:right="241"/>
        <w:jc w:val="both"/>
      </w:pPr>
      <w:r>
        <w:rPr/>
        <w:drawing>
          <wp:anchor distT="0" distB="0" distL="0" distR="0" allowOverlap="1" layoutInCell="1" locked="0" behindDoc="0" simplePos="0" relativeHeight="15778304">
            <wp:simplePos x="0" y="0"/>
            <wp:positionH relativeFrom="page">
              <wp:posOffset>825500</wp:posOffset>
            </wp:positionH>
            <wp:positionV relativeFrom="paragraph">
              <wp:posOffset>157831</wp:posOffset>
            </wp:positionV>
            <wp:extent cx="3383279" cy="2468876"/>
            <wp:effectExtent l="0" t="0" r="0" b="0"/>
            <wp:wrapNone/>
            <wp:docPr id="291" name="Image 291"/>
            <wp:cNvGraphicFramePr>
              <a:graphicFrameLocks/>
            </wp:cNvGraphicFramePr>
            <a:graphic>
              <a:graphicData uri="http://schemas.openxmlformats.org/drawingml/2006/picture">
                <pic:pic>
                  <pic:nvPicPr>
                    <pic:cNvPr id="291" name="Image 291"/>
                    <pic:cNvPicPr/>
                  </pic:nvPicPr>
                  <pic:blipFill>
                    <a:blip r:embed="rId313" cstate="print"/>
                    <a:stretch>
                      <a:fillRect/>
                    </a:stretch>
                  </pic:blipFill>
                  <pic:spPr>
                    <a:xfrm>
                      <a:off x="0" y="0"/>
                      <a:ext cx="3383279" cy="2468876"/>
                    </a:xfrm>
                    <a:prstGeom prst="rect">
                      <a:avLst/>
                    </a:prstGeom>
                  </pic:spPr>
                </pic:pic>
              </a:graphicData>
            </a:graphic>
          </wp:anchor>
        </w:drawing>
      </w:r>
      <w:r>
        <w:rPr/>
        <w:t>Some transgender men and genderqueer youths assigned female at birth may lack sufficient knowledge around contraceptives and their reproductive capacity when undergoing</w:t>
      </w:r>
      <w:r>
        <w:rPr>
          <w:spacing w:val="-7"/>
        </w:rPr>
        <w:t> </w:t>
      </w:r>
      <w:r>
        <w:rPr/>
        <w:t>testosterone</w:t>
      </w:r>
      <w:r>
        <w:rPr>
          <w:spacing w:val="-7"/>
        </w:rPr>
        <w:t> </w:t>
      </w:r>
      <w:r>
        <w:rPr/>
        <w:t>therapy,</w:t>
      </w:r>
      <w:r>
        <w:rPr>
          <w:spacing w:val="-7"/>
        </w:rPr>
        <w:t> </w:t>
      </w:r>
      <w:r>
        <w:rPr/>
        <w:t>which</w:t>
      </w:r>
      <w:r>
        <w:rPr>
          <w:spacing w:val="-7"/>
        </w:rPr>
        <w:t> </w:t>
      </w:r>
      <w:r>
        <w:rPr/>
        <w:t>is</w:t>
      </w:r>
      <w:r>
        <w:rPr>
          <w:spacing w:val="-6"/>
        </w:rPr>
        <w:t> </w:t>
      </w:r>
      <w:r>
        <w:rPr/>
        <w:t>why it</w:t>
      </w:r>
      <w:r>
        <w:rPr>
          <w:spacing w:val="-11"/>
        </w:rPr>
        <w:t> </w:t>
      </w:r>
      <w:r>
        <w:rPr/>
        <w:t>is</w:t>
      </w:r>
      <w:r>
        <w:rPr>
          <w:spacing w:val="-9"/>
        </w:rPr>
        <w:t> </w:t>
      </w:r>
      <w:r>
        <w:rPr/>
        <w:t>essential</w:t>
      </w:r>
      <w:r>
        <w:rPr>
          <w:spacing w:val="-9"/>
        </w:rPr>
        <w:t> </w:t>
      </w:r>
      <w:r>
        <w:rPr/>
        <w:t>for</w:t>
      </w:r>
      <w:r>
        <w:rPr>
          <w:spacing w:val="-11"/>
        </w:rPr>
        <w:t> </w:t>
      </w:r>
      <w:r>
        <w:rPr/>
        <w:t>LGBTQ</w:t>
      </w:r>
      <w:r>
        <w:rPr>
          <w:spacing w:val="-10"/>
        </w:rPr>
        <w:t> </w:t>
      </w:r>
      <w:r>
        <w:rPr/>
        <w:t>youth</w:t>
      </w:r>
      <w:r>
        <w:rPr>
          <w:spacing w:val="-10"/>
        </w:rPr>
        <w:t> </w:t>
      </w:r>
      <w:r>
        <w:rPr/>
        <w:t>to</w:t>
      </w:r>
      <w:r>
        <w:rPr>
          <w:spacing w:val="-9"/>
        </w:rPr>
        <w:t> </w:t>
      </w:r>
      <w:r>
        <w:rPr/>
        <w:t>have</w:t>
      </w:r>
      <w:r>
        <w:rPr>
          <w:spacing w:val="-11"/>
        </w:rPr>
        <w:t> </w:t>
      </w:r>
      <w:r>
        <w:rPr/>
        <w:t>access</w:t>
      </w:r>
      <w:r>
        <w:rPr>
          <w:spacing w:val="-9"/>
        </w:rPr>
        <w:t> </w:t>
      </w:r>
      <w:r>
        <w:rPr/>
        <w:t>to LGBTQ-competent healthcare providers and facilities. Although testosterone reduces fertility, it is still possible for transgender individuals with female reproductive capacity on testosterone therapy to become pregnant. Existing misconceptions about testosterone as an effective contraceptive may lead transgender</w:t>
      </w:r>
      <w:r>
        <w:rPr>
          <w:spacing w:val="62"/>
        </w:rPr>
        <w:t>  </w:t>
      </w:r>
      <w:r>
        <w:rPr/>
        <w:t>men</w:t>
      </w:r>
      <w:r>
        <w:rPr>
          <w:spacing w:val="63"/>
        </w:rPr>
        <w:t>  </w:t>
      </w:r>
      <w:r>
        <w:rPr/>
        <w:t>and</w:t>
      </w:r>
      <w:r>
        <w:rPr>
          <w:spacing w:val="64"/>
        </w:rPr>
        <w:t>  </w:t>
      </w:r>
      <w:r>
        <w:rPr/>
        <w:t>other</w:t>
      </w:r>
      <w:r>
        <w:rPr>
          <w:spacing w:val="62"/>
        </w:rPr>
        <w:t>  </w:t>
      </w:r>
      <w:r>
        <w:rPr>
          <w:spacing w:val="-2"/>
        </w:rPr>
        <w:t>individuals</w:t>
      </w:r>
    </w:p>
    <w:p>
      <w:pPr>
        <w:pStyle w:val="BodyText"/>
        <w:spacing w:line="276" w:lineRule="auto"/>
        <w:ind w:left="463" w:right="240"/>
        <w:jc w:val="both"/>
      </w:pPr>
      <w:r>
        <w:rPr/>
        <w:t>assigned female at birth to believe that they are infertile. Consequently, this can lead to unintended pregnancies in transgender men undergoing testosterone therapy. A study found that one- third of pregnancies for trans men were unplanned and that usage of contraceptives prior to pregnancy was lower</w:t>
      </w:r>
    </w:p>
    <w:p>
      <w:pPr>
        <w:spacing w:after="0" w:line="276" w:lineRule="auto"/>
        <w:jc w:val="both"/>
        <w:sectPr>
          <w:pgSz w:w="12240" w:h="15840"/>
          <w:pgMar w:header="800" w:footer="1530" w:top="1080" w:bottom="1760" w:left="980" w:right="1000"/>
        </w:sectPr>
      </w:pPr>
    </w:p>
    <w:p>
      <w:pPr>
        <w:pStyle w:val="BodyText"/>
        <w:spacing w:line="276" w:lineRule="auto" w:before="69"/>
        <w:ind w:left="463" w:right="245"/>
        <w:jc w:val="both"/>
      </w:pPr>
      <w:r>
        <w:rPr/>
        <w:t>for</w:t>
      </w:r>
      <w:r>
        <w:rPr>
          <w:spacing w:val="-3"/>
        </w:rPr>
        <w:t> </w:t>
      </w:r>
      <w:r>
        <w:rPr/>
        <w:t>transgender</w:t>
      </w:r>
      <w:r>
        <w:rPr>
          <w:spacing w:val="-3"/>
        </w:rPr>
        <w:t> </w:t>
      </w:r>
      <w:r>
        <w:rPr/>
        <w:t>individuals</w:t>
      </w:r>
      <w:r>
        <w:rPr>
          <w:spacing w:val="-1"/>
        </w:rPr>
        <w:t> </w:t>
      </w:r>
      <w:r>
        <w:rPr/>
        <w:t>who</w:t>
      </w:r>
      <w:r>
        <w:rPr>
          <w:spacing w:val="-2"/>
        </w:rPr>
        <w:t> </w:t>
      </w:r>
      <w:r>
        <w:rPr/>
        <w:t>were</w:t>
      </w:r>
      <w:r>
        <w:rPr>
          <w:spacing w:val="-2"/>
        </w:rPr>
        <w:t> </w:t>
      </w:r>
      <w:r>
        <w:rPr/>
        <w:t>using</w:t>
      </w:r>
      <w:r>
        <w:rPr>
          <w:spacing w:val="-2"/>
        </w:rPr>
        <w:t> </w:t>
      </w:r>
      <w:r>
        <w:rPr/>
        <w:t>testosterone</w:t>
      </w:r>
      <w:r>
        <w:rPr>
          <w:spacing w:val="-3"/>
        </w:rPr>
        <w:t> </w:t>
      </w:r>
      <w:r>
        <w:rPr/>
        <w:t>gender</w:t>
      </w:r>
      <w:r>
        <w:rPr>
          <w:spacing w:val="-1"/>
        </w:rPr>
        <w:t> </w:t>
      </w:r>
      <w:r>
        <w:rPr/>
        <w:t>affirming</w:t>
      </w:r>
      <w:r>
        <w:rPr>
          <w:spacing w:val="-2"/>
        </w:rPr>
        <w:t> </w:t>
      </w:r>
      <w:r>
        <w:rPr/>
        <w:t>therapy</w:t>
      </w:r>
      <w:r>
        <w:rPr>
          <w:spacing w:val="-3"/>
        </w:rPr>
        <w:t> </w:t>
      </w:r>
      <w:r>
        <w:rPr/>
        <w:t>compared</w:t>
      </w:r>
      <w:r>
        <w:rPr>
          <w:spacing w:val="-3"/>
        </w:rPr>
        <w:t> </w:t>
      </w:r>
      <w:r>
        <w:rPr/>
        <w:t>to</w:t>
      </w:r>
      <w:r>
        <w:rPr>
          <w:spacing w:val="-1"/>
        </w:rPr>
        <w:t> </w:t>
      </w:r>
      <w:r>
        <w:rPr/>
        <w:t>those</w:t>
      </w:r>
      <w:r>
        <w:rPr>
          <w:spacing w:val="-2"/>
        </w:rPr>
        <w:t> </w:t>
      </w:r>
      <w:r>
        <w:rPr/>
        <w:t>who had not had testosterone.</w:t>
      </w:r>
      <w:hyperlink w:history="true" w:anchor="_bookmark214">
        <w:r>
          <w:rPr>
            <w:vertAlign w:val="superscript"/>
          </w:rPr>
          <w:t>21</w:t>
        </w:r>
      </w:hyperlink>
    </w:p>
    <w:p>
      <w:pPr>
        <w:pStyle w:val="BodyText"/>
        <w:spacing w:line="276" w:lineRule="auto" w:before="240"/>
        <w:ind w:left="463" w:right="242"/>
        <w:jc w:val="both"/>
      </w:pPr>
      <w:r>
        <w:rPr/>
        <w:t>For transmen and</w:t>
      </w:r>
      <w:r>
        <w:rPr>
          <w:spacing w:val="-1"/>
        </w:rPr>
        <w:t> </w:t>
      </w:r>
      <w:r>
        <w:rPr/>
        <w:t>other gender diverse patients assigned</w:t>
      </w:r>
      <w:r>
        <w:rPr>
          <w:spacing w:val="-1"/>
        </w:rPr>
        <w:t> </w:t>
      </w:r>
      <w:r>
        <w:rPr/>
        <w:t>female</w:t>
      </w:r>
      <w:r>
        <w:rPr>
          <w:spacing w:val="-1"/>
        </w:rPr>
        <w:t> </w:t>
      </w:r>
      <w:r>
        <w:rPr/>
        <w:t>at</w:t>
      </w:r>
      <w:r>
        <w:rPr>
          <w:spacing w:val="-1"/>
        </w:rPr>
        <w:t> </w:t>
      </w:r>
      <w:r>
        <w:rPr/>
        <w:t>birth</w:t>
      </w:r>
      <w:r>
        <w:rPr>
          <w:spacing w:val="-1"/>
        </w:rPr>
        <w:t> </w:t>
      </w:r>
      <w:r>
        <w:rPr/>
        <w:t>who desire</w:t>
      </w:r>
      <w:r>
        <w:rPr>
          <w:spacing w:val="-1"/>
        </w:rPr>
        <w:t> </w:t>
      </w:r>
      <w:r>
        <w:rPr/>
        <w:t>birth control</w:t>
      </w:r>
      <w:r>
        <w:rPr>
          <w:spacing w:val="-1"/>
        </w:rPr>
        <w:t> </w:t>
      </w:r>
      <w:r>
        <w:rPr/>
        <w:t>to either prevent pregnancy or to prompt the cessation of menstruation, it is important that they have access to contraceptive resources and consult with a healthcare provider on which forms of contraceptives are right for them, especially during testosterone gender affirming therapy. Progestin-only contraceptive methods, such as pills, IUDs, and implants do not interfere with testosterone. This may be a preferable method for patients</w:t>
      </w:r>
      <w:r>
        <w:rPr>
          <w:spacing w:val="-11"/>
        </w:rPr>
        <w:t> </w:t>
      </w:r>
      <w:r>
        <w:rPr/>
        <w:t>due</w:t>
      </w:r>
      <w:r>
        <w:rPr>
          <w:spacing w:val="-9"/>
        </w:rPr>
        <w:t> </w:t>
      </w:r>
      <w:r>
        <w:rPr/>
        <w:t>to</w:t>
      </w:r>
      <w:r>
        <w:rPr>
          <w:spacing w:val="-11"/>
        </w:rPr>
        <w:t> </w:t>
      </w:r>
      <w:r>
        <w:rPr/>
        <w:t>progestin’s</w:t>
      </w:r>
      <w:r>
        <w:rPr>
          <w:spacing w:val="-10"/>
        </w:rPr>
        <w:t> </w:t>
      </w:r>
      <w:r>
        <w:rPr/>
        <w:t>high</w:t>
      </w:r>
      <w:r>
        <w:rPr>
          <w:spacing w:val="-10"/>
        </w:rPr>
        <w:t> </w:t>
      </w:r>
      <w:r>
        <w:rPr/>
        <w:t>rates</w:t>
      </w:r>
      <w:r>
        <w:rPr>
          <w:spacing w:val="-11"/>
        </w:rPr>
        <w:t> </w:t>
      </w:r>
      <w:r>
        <w:rPr/>
        <w:t>of</w:t>
      </w:r>
      <w:r>
        <w:rPr>
          <w:spacing w:val="-10"/>
        </w:rPr>
        <w:t> </w:t>
      </w:r>
      <w:r>
        <w:rPr/>
        <w:t>amenorrhea</w:t>
      </w:r>
      <w:r>
        <w:rPr>
          <w:spacing w:val="-10"/>
        </w:rPr>
        <w:t> </w:t>
      </w:r>
      <w:r>
        <w:rPr/>
        <w:t>and</w:t>
      </w:r>
      <w:r>
        <w:rPr>
          <w:spacing w:val="-11"/>
        </w:rPr>
        <w:t> </w:t>
      </w:r>
      <w:r>
        <w:rPr/>
        <w:t>potential</w:t>
      </w:r>
      <w:r>
        <w:rPr>
          <w:spacing w:val="-10"/>
        </w:rPr>
        <w:t> </w:t>
      </w:r>
      <w:r>
        <w:rPr/>
        <w:t>for</w:t>
      </w:r>
      <w:r>
        <w:rPr>
          <w:spacing w:val="-11"/>
        </w:rPr>
        <w:t> </w:t>
      </w:r>
      <w:r>
        <w:rPr/>
        <w:t>masculinizing</w:t>
      </w:r>
      <w:r>
        <w:rPr>
          <w:spacing w:val="-10"/>
        </w:rPr>
        <w:t> </w:t>
      </w:r>
      <w:r>
        <w:rPr/>
        <w:t>effects.</w:t>
      </w:r>
      <w:r>
        <w:rPr>
          <w:spacing w:val="-10"/>
        </w:rPr>
        <w:t> </w:t>
      </w:r>
      <w:hyperlink w:history="true" w:anchor="_bookmark215">
        <w:r>
          <w:rPr>
            <w:vertAlign w:val="superscript"/>
          </w:rPr>
          <w:t>22</w:t>
        </w:r>
      </w:hyperlink>
      <w:r>
        <w:rPr>
          <w:spacing w:val="-12"/>
          <w:vertAlign w:val="baseline"/>
        </w:rPr>
        <w:t> </w:t>
      </w:r>
      <w:r>
        <w:rPr>
          <w:vertAlign w:val="baseline"/>
        </w:rPr>
        <w:t>Another</w:t>
      </w:r>
      <w:r>
        <w:rPr>
          <w:spacing w:val="-10"/>
          <w:vertAlign w:val="baseline"/>
        </w:rPr>
        <w:t> </w:t>
      </w:r>
      <w:r>
        <w:rPr>
          <w:vertAlign w:val="baseline"/>
        </w:rPr>
        <w:t>type of hormonal birth control is combined hormonal contraceptives (CHC), which includes pills, patches, and vaginal</w:t>
      </w:r>
      <w:r>
        <w:rPr>
          <w:spacing w:val="-13"/>
          <w:vertAlign w:val="baseline"/>
        </w:rPr>
        <w:t> </w:t>
      </w:r>
      <w:r>
        <w:rPr>
          <w:vertAlign w:val="baseline"/>
        </w:rPr>
        <w:t>rings.</w:t>
      </w:r>
      <w:r>
        <w:rPr>
          <w:spacing w:val="-9"/>
          <w:vertAlign w:val="baseline"/>
        </w:rPr>
        <w:t> </w:t>
      </w:r>
      <w:r>
        <w:rPr>
          <w:vertAlign w:val="baseline"/>
        </w:rPr>
        <w:t>However,</w:t>
      </w:r>
      <w:r>
        <w:rPr>
          <w:spacing w:val="-12"/>
          <w:vertAlign w:val="baseline"/>
        </w:rPr>
        <w:t> </w:t>
      </w:r>
      <w:r>
        <w:rPr>
          <w:vertAlign w:val="baseline"/>
        </w:rPr>
        <w:t>there</w:t>
      </w:r>
      <w:r>
        <w:rPr>
          <w:spacing w:val="-13"/>
          <w:vertAlign w:val="baseline"/>
        </w:rPr>
        <w:t> </w:t>
      </w:r>
      <w:r>
        <w:rPr>
          <w:vertAlign w:val="baseline"/>
        </w:rPr>
        <w:t>is</w:t>
      </w:r>
      <w:r>
        <w:rPr>
          <w:spacing w:val="-11"/>
          <w:vertAlign w:val="baseline"/>
        </w:rPr>
        <w:t> </w:t>
      </w:r>
      <w:r>
        <w:rPr>
          <w:vertAlign w:val="baseline"/>
        </w:rPr>
        <w:t>a</w:t>
      </w:r>
      <w:r>
        <w:rPr>
          <w:spacing w:val="-12"/>
          <w:vertAlign w:val="baseline"/>
        </w:rPr>
        <w:t> </w:t>
      </w:r>
      <w:r>
        <w:rPr>
          <w:vertAlign w:val="baseline"/>
        </w:rPr>
        <w:t>lack</w:t>
      </w:r>
      <w:r>
        <w:rPr>
          <w:spacing w:val="-13"/>
          <w:vertAlign w:val="baseline"/>
        </w:rPr>
        <w:t> </w:t>
      </w:r>
      <w:r>
        <w:rPr>
          <w:vertAlign w:val="baseline"/>
        </w:rPr>
        <w:t>of</w:t>
      </w:r>
      <w:r>
        <w:rPr>
          <w:spacing w:val="-10"/>
          <w:vertAlign w:val="baseline"/>
        </w:rPr>
        <w:t> </w:t>
      </w:r>
      <w:r>
        <w:rPr>
          <w:vertAlign w:val="baseline"/>
        </w:rPr>
        <w:t>evidence</w:t>
      </w:r>
      <w:r>
        <w:rPr>
          <w:spacing w:val="-13"/>
          <w:vertAlign w:val="baseline"/>
        </w:rPr>
        <w:t> </w:t>
      </w:r>
      <w:r>
        <w:rPr>
          <w:vertAlign w:val="baseline"/>
        </w:rPr>
        <w:t>on</w:t>
      </w:r>
      <w:r>
        <w:rPr>
          <w:spacing w:val="-11"/>
          <w:vertAlign w:val="baseline"/>
        </w:rPr>
        <w:t> </w:t>
      </w:r>
      <w:r>
        <w:rPr>
          <w:vertAlign w:val="baseline"/>
        </w:rPr>
        <w:t>whether</w:t>
      </w:r>
      <w:r>
        <w:rPr>
          <w:spacing w:val="-12"/>
          <w:vertAlign w:val="baseline"/>
        </w:rPr>
        <w:t> </w:t>
      </w:r>
      <w:r>
        <w:rPr>
          <w:vertAlign w:val="baseline"/>
        </w:rPr>
        <w:t>the</w:t>
      </w:r>
      <w:r>
        <w:rPr>
          <w:spacing w:val="-12"/>
          <w:vertAlign w:val="baseline"/>
        </w:rPr>
        <w:t> </w:t>
      </w:r>
      <w:r>
        <w:rPr>
          <w:vertAlign w:val="baseline"/>
        </w:rPr>
        <w:t>estrogen</w:t>
      </w:r>
      <w:r>
        <w:rPr>
          <w:spacing w:val="-13"/>
          <w:vertAlign w:val="baseline"/>
        </w:rPr>
        <w:t> </w:t>
      </w:r>
      <w:r>
        <w:rPr>
          <w:vertAlign w:val="baseline"/>
        </w:rPr>
        <w:t>in</w:t>
      </w:r>
      <w:r>
        <w:rPr>
          <w:spacing w:val="-12"/>
          <w:vertAlign w:val="baseline"/>
        </w:rPr>
        <w:t> </w:t>
      </w:r>
      <w:r>
        <w:rPr>
          <w:vertAlign w:val="baseline"/>
        </w:rPr>
        <w:t>CHCs</w:t>
      </w:r>
      <w:r>
        <w:rPr>
          <w:spacing w:val="-12"/>
          <w:vertAlign w:val="baseline"/>
        </w:rPr>
        <w:t> </w:t>
      </w:r>
      <w:r>
        <w:rPr>
          <w:vertAlign w:val="baseline"/>
        </w:rPr>
        <w:t>may</w:t>
      </w:r>
      <w:r>
        <w:rPr>
          <w:spacing w:val="-12"/>
          <w:vertAlign w:val="baseline"/>
        </w:rPr>
        <w:t> </w:t>
      </w:r>
      <w:r>
        <w:rPr>
          <w:vertAlign w:val="baseline"/>
        </w:rPr>
        <w:t>or</w:t>
      </w:r>
      <w:r>
        <w:rPr>
          <w:spacing w:val="-12"/>
          <w:vertAlign w:val="baseline"/>
        </w:rPr>
        <w:t> </w:t>
      </w:r>
      <w:r>
        <w:rPr>
          <w:vertAlign w:val="baseline"/>
        </w:rPr>
        <w:t>may</w:t>
      </w:r>
      <w:r>
        <w:rPr>
          <w:spacing w:val="-13"/>
          <w:vertAlign w:val="baseline"/>
        </w:rPr>
        <w:t> </w:t>
      </w:r>
      <w:r>
        <w:rPr>
          <w:vertAlign w:val="baseline"/>
        </w:rPr>
        <w:t>not</w:t>
      </w:r>
      <w:r>
        <w:rPr>
          <w:spacing w:val="-12"/>
          <w:vertAlign w:val="baseline"/>
        </w:rPr>
        <w:t> </w:t>
      </w:r>
      <w:r>
        <w:rPr>
          <w:vertAlign w:val="baseline"/>
        </w:rPr>
        <w:t>interfere with</w:t>
      </w:r>
      <w:r>
        <w:rPr>
          <w:spacing w:val="-8"/>
          <w:vertAlign w:val="baseline"/>
        </w:rPr>
        <w:t> </w:t>
      </w:r>
      <w:r>
        <w:rPr>
          <w:vertAlign w:val="baseline"/>
        </w:rPr>
        <w:t>testosterone</w:t>
      </w:r>
      <w:r>
        <w:rPr>
          <w:spacing w:val="-9"/>
          <w:vertAlign w:val="baseline"/>
        </w:rPr>
        <w:t> </w:t>
      </w:r>
      <w:r>
        <w:rPr>
          <w:vertAlign w:val="baseline"/>
        </w:rPr>
        <w:t>for</w:t>
      </w:r>
      <w:r>
        <w:rPr>
          <w:spacing w:val="-7"/>
          <w:vertAlign w:val="baseline"/>
        </w:rPr>
        <w:t> </w:t>
      </w:r>
      <w:r>
        <w:rPr>
          <w:vertAlign w:val="baseline"/>
        </w:rPr>
        <w:t>transgender</w:t>
      </w:r>
      <w:r>
        <w:rPr>
          <w:spacing w:val="-6"/>
          <w:vertAlign w:val="baseline"/>
        </w:rPr>
        <w:t> </w:t>
      </w:r>
      <w:r>
        <w:rPr>
          <w:vertAlign w:val="baseline"/>
        </w:rPr>
        <w:t>men.</w:t>
      </w:r>
      <w:r>
        <w:rPr>
          <w:spacing w:val="-7"/>
          <w:vertAlign w:val="baseline"/>
        </w:rPr>
        <w:t> </w:t>
      </w:r>
      <w:r>
        <w:rPr>
          <w:vertAlign w:val="baseline"/>
        </w:rPr>
        <w:t>Though</w:t>
      </w:r>
      <w:r>
        <w:rPr>
          <w:spacing w:val="-7"/>
          <w:vertAlign w:val="baseline"/>
        </w:rPr>
        <w:t> </w:t>
      </w:r>
      <w:r>
        <w:rPr>
          <w:vertAlign w:val="baseline"/>
        </w:rPr>
        <w:t>transgender</w:t>
      </w:r>
      <w:r>
        <w:rPr>
          <w:spacing w:val="-6"/>
          <w:vertAlign w:val="baseline"/>
        </w:rPr>
        <w:t> </w:t>
      </w:r>
      <w:r>
        <w:rPr>
          <w:vertAlign w:val="baseline"/>
        </w:rPr>
        <w:t>male</w:t>
      </w:r>
      <w:r>
        <w:rPr>
          <w:spacing w:val="-6"/>
          <w:vertAlign w:val="baseline"/>
        </w:rPr>
        <w:t> </w:t>
      </w:r>
      <w:r>
        <w:rPr>
          <w:vertAlign w:val="baseline"/>
        </w:rPr>
        <w:t>patients</w:t>
      </w:r>
      <w:r>
        <w:rPr>
          <w:spacing w:val="-7"/>
          <w:vertAlign w:val="baseline"/>
        </w:rPr>
        <w:t> </w:t>
      </w:r>
      <w:r>
        <w:rPr>
          <w:vertAlign w:val="baseline"/>
        </w:rPr>
        <w:t>can</w:t>
      </w:r>
      <w:r>
        <w:rPr>
          <w:spacing w:val="-8"/>
          <w:vertAlign w:val="baseline"/>
        </w:rPr>
        <w:t> </w:t>
      </w:r>
      <w:r>
        <w:rPr>
          <w:vertAlign w:val="baseline"/>
        </w:rPr>
        <w:t>choose</w:t>
      </w:r>
      <w:r>
        <w:rPr>
          <w:spacing w:val="-9"/>
          <w:vertAlign w:val="baseline"/>
        </w:rPr>
        <w:t> </w:t>
      </w:r>
      <w:r>
        <w:rPr>
          <w:vertAlign w:val="baseline"/>
        </w:rPr>
        <w:t>CHCs,</w:t>
      </w:r>
      <w:r>
        <w:rPr>
          <w:spacing w:val="-7"/>
          <w:vertAlign w:val="baseline"/>
        </w:rPr>
        <w:t> </w:t>
      </w:r>
      <w:r>
        <w:rPr>
          <w:vertAlign w:val="baseline"/>
        </w:rPr>
        <w:t>some</w:t>
      </w:r>
      <w:r>
        <w:rPr>
          <w:spacing w:val="-9"/>
          <w:vertAlign w:val="baseline"/>
        </w:rPr>
        <w:t> </w:t>
      </w:r>
      <w:r>
        <w:rPr>
          <w:vertAlign w:val="baseline"/>
        </w:rPr>
        <w:t>may</w:t>
      </w:r>
      <w:r>
        <w:rPr>
          <w:spacing w:val="-7"/>
          <w:vertAlign w:val="baseline"/>
        </w:rPr>
        <w:t> </w:t>
      </w:r>
      <w:r>
        <w:rPr>
          <w:vertAlign w:val="baseline"/>
        </w:rPr>
        <w:t>not prefer</w:t>
      </w:r>
      <w:r>
        <w:rPr>
          <w:spacing w:val="-10"/>
          <w:vertAlign w:val="baseline"/>
        </w:rPr>
        <w:t> </w:t>
      </w:r>
      <w:r>
        <w:rPr>
          <w:vertAlign w:val="baseline"/>
        </w:rPr>
        <w:t>this</w:t>
      </w:r>
      <w:r>
        <w:rPr>
          <w:spacing w:val="-8"/>
          <w:vertAlign w:val="baseline"/>
        </w:rPr>
        <w:t> </w:t>
      </w:r>
      <w:r>
        <w:rPr>
          <w:vertAlign w:val="baseline"/>
        </w:rPr>
        <w:t>method</w:t>
      </w:r>
      <w:r>
        <w:rPr>
          <w:spacing w:val="-9"/>
          <w:vertAlign w:val="baseline"/>
        </w:rPr>
        <w:t> </w:t>
      </w:r>
      <w:r>
        <w:rPr>
          <w:vertAlign w:val="baseline"/>
        </w:rPr>
        <w:t>due</w:t>
      </w:r>
      <w:r>
        <w:rPr>
          <w:spacing w:val="-9"/>
          <w:vertAlign w:val="baseline"/>
        </w:rPr>
        <w:t> </w:t>
      </w:r>
      <w:r>
        <w:rPr>
          <w:vertAlign w:val="baseline"/>
        </w:rPr>
        <w:t>to</w:t>
      </w:r>
      <w:r>
        <w:rPr>
          <w:spacing w:val="-7"/>
          <w:vertAlign w:val="baseline"/>
        </w:rPr>
        <w:t> </w:t>
      </w:r>
      <w:r>
        <w:rPr>
          <w:vertAlign w:val="baseline"/>
        </w:rPr>
        <w:t>concerns</w:t>
      </w:r>
      <w:r>
        <w:rPr>
          <w:spacing w:val="-8"/>
          <w:vertAlign w:val="baseline"/>
        </w:rPr>
        <w:t> </w:t>
      </w:r>
      <w:r>
        <w:rPr>
          <w:vertAlign w:val="baseline"/>
        </w:rPr>
        <w:t>about</w:t>
      </w:r>
      <w:r>
        <w:rPr>
          <w:spacing w:val="-9"/>
          <w:vertAlign w:val="baseline"/>
        </w:rPr>
        <w:t> </w:t>
      </w:r>
      <w:r>
        <w:rPr>
          <w:vertAlign w:val="baseline"/>
        </w:rPr>
        <w:t>having</w:t>
      </w:r>
      <w:r>
        <w:rPr>
          <w:spacing w:val="-9"/>
          <w:vertAlign w:val="baseline"/>
        </w:rPr>
        <w:t> </w:t>
      </w:r>
      <w:r>
        <w:rPr>
          <w:vertAlign w:val="baseline"/>
        </w:rPr>
        <w:t>estrogen</w:t>
      </w:r>
      <w:r>
        <w:rPr>
          <w:spacing w:val="-10"/>
          <w:vertAlign w:val="baseline"/>
        </w:rPr>
        <w:t> </w:t>
      </w:r>
      <w:r>
        <w:rPr>
          <w:vertAlign w:val="baseline"/>
        </w:rPr>
        <w:t>in</w:t>
      </w:r>
      <w:r>
        <w:rPr>
          <w:spacing w:val="-9"/>
          <w:vertAlign w:val="baseline"/>
        </w:rPr>
        <w:t> </w:t>
      </w:r>
      <w:r>
        <w:rPr>
          <w:vertAlign w:val="baseline"/>
        </w:rPr>
        <w:t>their</w:t>
      </w:r>
      <w:r>
        <w:rPr>
          <w:spacing w:val="-9"/>
          <w:vertAlign w:val="baseline"/>
        </w:rPr>
        <w:t> </w:t>
      </w:r>
      <w:r>
        <w:rPr>
          <w:vertAlign w:val="baseline"/>
        </w:rPr>
        <w:t>system</w:t>
      </w:r>
      <w:r>
        <w:rPr>
          <w:spacing w:val="-10"/>
          <w:vertAlign w:val="baseline"/>
        </w:rPr>
        <w:t> </w:t>
      </w:r>
      <w:r>
        <w:rPr>
          <w:vertAlign w:val="baseline"/>
        </w:rPr>
        <w:t>and</w:t>
      </w:r>
      <w:r>
        <w:rPr>
          <w:spacing w:val="-9"/>
          <w:vertAlign w:val="baseline"/>
        </w:rPr>
        <w:t> </w:t>
      </w:r>
      <w:r>
        <w:rPr>
          <w:vertAlign w:val="baseline"/>
        </w:rPr>
        <w:t>for</w:t>
      </w:r>
      <w:r>
        <w:rPr>
          <w:spacing w:val="-10"/>
          <w:vertAlign w:val="baseline"/>
        </w:rPr>
        <w:t> </w:t>
      </w:r>
      <w:r>
        <w:rPr>
          <w:vertAlign w:val="baseline"/>
        </w:rPr>
        <w:t>potential</w:t>
      </w:r>
      <w:r>
        <w:rPr>
          <w:spacing w:val="-10"/>
          <w:vertAlign w:val="baseline"/>
        </w:rPr>
        <w:t> </w:t>
      </w:r>
      <w:r>
        <w:rPr>
          <w:vertAlign w:val="baseline"/>
        </w:rPr>
        <w:t>feminizing</w:t>
      </w:r>
      <w:r>
        <w:rPr>
          <w:spacing w:val="-9"/>
          <w:vertAlign w:val="baseline"/>
        </w:rPr>
        <w:t> </w:t>
      </w:r>
      <w:r>
        <w:rPr>
          <w:vertAlign w:val="baseline"/>
        </w:rPr>
        <w:t>traits to appear</w:t>
      </w:r>
      <w:hyperlink w:history="true" w:anchor="_bookmark216">
        <w:r>
          <w:rPr>
            <w:vertAlign w:val="baseline"/>
          </w:rPr>
          <w:t>.</w:t>
        </w:r>
        <w:r>
          <w:rPr>
            <w:vertAlign w:val="superscript"/>
          </w:rPr>
          <w:t>23</w:t>
        </w:r>
      </w:hyperlink>
    </w:p>
    <w:p>
      <w:pPr>
        <w:pStyle w:val="BodyText"/>
        <w:spacing w:line="276" w:lineRule="auto" w:before="240"/>
        <w:ind w:left="463" w:right="242"/>
        <w:jc w:val="both"/>
      </w:pPr>
      <w:r>
        <w:rPr/>
        <w:t>Non-hormonal</w:t>
      </w:r>
      <w:r>
        <w:rPr>
          <w:spacing w:val="-1"/>
        </w:rPr>
        <w:t> </w:t>
      </w:r>
      <w:r>
        <w:rPr/>
        <w:t>contraceptives, such as the copper IUD, does not interfere with testosterone, but there are risks of bleeding, both insertion and menstrual bleeding, which may not be ideal for transgender men and nonbinary patients experiencing gender dysmorphia</w:t>
      </w:r>
      <w:hyperlink w:history="true" w:anchor="_bookmark217">
        <w:r>
          <w:rPr/>
          <w:t>.</w:t>
        </w:r>
        <w:r>
          <w:rPr>
            <w:vertAlign w:val="superscript"/>
          </w:rPr>
          <w:t>24</w:t>
        </w:r>
      </w:hyperlink>
      <w:r>
        <w:rPr>
          <w:vertAlign w:val="baseline"/>
        </w:rPr>
        <w:t> However, some transmasculine patients elect to have</w:t>
      </w:r>
      <w:r>
        <w:rPr>
          <w:spacing w:val="-2"/>
          <w:vertAlign w:val="baseline"/>
        </w:rPr>
        <w:t> </w:t>
      </w:r>
      <w:r>
        <w:rPr>
          <w:vertAlign w:val="baseline"/>
        </w:rPr>
        <w:t>an</w:t>
      </w:r>
      <w:r>
        <w:rPr>
          <w:spacing w:val="-2"/>
          <w:vertAlign w:val="baseline"/>
        </w:rPr>
        <w:t> </w:t>
      </w:r>
      <w:r>
        <w:rPr>
          <w:vertAlign w:val="baseline"/>
        </w:rPr>
        <w:t>IUD because</w:t>
      </w:r>
      <w:r>
        <w:rPr>
          <w:spacing w:val="-1"/>
          <w:vertAlign w:val="baseline"/>
        </w:rPr>
        <w:t> </w:t>
      </w:r>
      <w:r>
        <w:rPr>
          <w:vertAlign w:val="baseline"/>
        </w:rPr>
        <w:t>they</w:t>
      </w:r>
      <w:r>
        <w:rPr>
          <w:spacing w:val="-1"/>
          <w:vertAlign w:val="baseline"/>
        </w:rPr>
        <w:t> </w:t>
      </w:r>
      <w:r>
        <w:rPr>
          <w:vertAlign w:val="baseline"/>
        </w:rPr>
        <w:t>may</w:t>
      </w:r>
      <w:r>
        <w:rPr>
          <w:spacing w:val="-2"/>
          <w:vertAlign w:val="baseline"/>
        </w:rPr>
        <w:t> </w:t>
      </w:r>
      <w:r>
        <w:rPr>
          <w:vertAlign w:val="baseline"/>
        </w:rPr>
        <w:t>prefer</w:t>
      </w:r>
      <w:r>
        <w:rPr>
          <w:spacing w:val="-2"/>
          <w:vertAlign w:val="baseline"/>
        </w:rPr>
        <w:t> </w:t>
      </w:r>
      <w:r>
        <w:rPr>
          <w:vertAlign w:val="baseline"/>
        </w:rPr>
        <w:t>not</w:t>
      </w:r>
      <w:r>
        <w:rPr>
          <w:spacing w:val="-2"/>
          <w:vertAlign w:val="baseline"/>
        </w:rPr>
        <w:t> </w:t>
      </w:r>
      <w:r>
        <w:rPr>
          <w:vertAlign w:val="baseline"/>
        </w:rPr>
        <w:t>to</w:t>
      </w:r>
      <w:r>
        <w:rPr>
          <w:spacing w:val="-1"/>
          <w:vertAlign w:val="baseline"/>
        </w:rPr>
        <w:t> </w:t>
      </w:r>
      <w:r>
        <w:rPr>
          <w:vertAlign w:val="baseline"/>
        </w:rPr>
        <w:t>take</w:t>
      </w:r>
      <w:r>
        <w:rPr>
          <w:spacing w:val="-2"/>
          <w:vertAlign w:val="baseline"/>
        </w:rPr>
        <w:t> </w:t>
      </w:r>
      <w:r>
        <w:rPr>
          <w:vertAlign w:val="baseline"/>
        </w:rPr>
        <w:t>birth</w:t>
      </w:r>
      <w:r>
        <w:rPr>
          <w:spacing w:val="-2"/>
          <w:vertAlign w:val="baseline"/>
        </w:rPr>
        <w:t> </w:t>
      </w:r>
      <w:r>
        <w:rPr>
          <w:vertAlign w:val="baseline"/>
        </w:rPr>
        <w:t>control</w:t>
      </w:r>
      <w:r>
        <w:rPr>
          <w:spacing w:val="-2"/>
          <w:vertAlign w:val="baseline"/>
        </w:rPr>
        <w:t> </w:t>
      </w:r>
      <w:r>
        <w:rPr>
          <w:vertAlign w:val="baseline"/>
        </w:rPr>
        <w:t>pills</w:t>
      </w:r>
      <w:r>
        <w:rPr>
          <w:spacing w:val="-2"/>
          <w:vertAlign w:val="baseline"/>
        </w:rPr>
        <w:t> </w:t>
      </w:r>
      <w:r>
        <w:rPr>
          <w:vertAlign w:val="baseline"/>
        </w:rPr>
        <w:t>daily</w:t>
      </w:r>
      <w:r>
        <w:rPr>
          <w:spacing w:val="-2"/>
          <w:vertAlign w:val="baseline"/>
        </w:rPr>
        <w:t> </w:t>
      </w:r>
      <w:r>
        <w:rPr>
          <w:vertAlign w:val="baseline"/>
        </w:rPr>
        <w:t>as</w:t>
      </w:r>
      <w:r>
        <w:rPr>
          <w:spacing w:val="-2"/>
          <w:vertAlign w:val="baseline"/>
        </w:rPr>
        <w:t> </w:t>
      </w:r>
      <w:r>
        <w:rPr>
          <w:vertAlign w:val="baseline"/>
        </w:rPr>
        <w:t>this</w:t>
      </w:r>
      <w:r>
        <w:rPr>
          <w:spacing w:val="-2"/>
          <w:vertAlign w:val="baseline"/>
        </w:rPr>
        <w:t> </w:t>
      </w:r>
      <w:r>
        <w:rPr>
          <w:vertAlign w:val="baseline"/>
        </w:rPr>
        <w:t>task</w:t>
      </w:r>
      <w:r>
        <w:rPr>
          <w:spacing w:val="-2"/>
          <w:vertAlign w:val="baseline"/>
        </w:rPr>
        <w:t> </w:t>
      </w:r>
      <w:r>
        <w:rPr>
          <w:vertAlign w:val="baseline"/>
        </w:rPr>
        <w:t>can</w:t>
      </w:r>
      <w:r>
        <w:rPr>
          <w:spacing w:val="-2"/>
          <w:vertAlign w:val="baseline"/>
        </w:rPr>
        <w:t> </w:t>
      </w:r>
      <w:r>
        <w:rPr>
          <w:vertAlign w:val="baseline"/>
        </w:rPr>
        <w:t>be</w:t>
      </w:r>
      <w:r>
        <w:rPr>
          <w:spacing w:val="-2"/>
          <w:vertAlign w:val="baseline"/>
        </w:rPr>
        <w:t> </w:t>
      </w:r>
      <w:r>
        <w:rPr>
          <w:vertAlign w:val="baseline"/>
        </w:rPr>
        <w:t>associated</w:t>
      </w:r>
      <w:r>
        <w:rPr>
          <w:spacing w:val="-2"/>
          <w:vertAlign w:val="baseline"/>
        </w:rPr>
        <w:t> </w:t>
      </w:r>
      <w:r>
        <w:rPr>
          <w:vertAlign w:val="baseline"/>
        </w:rPr>
        <w:t>with cisgender</w:t>
      </w:r>
      <w:r>
        <w:rPr>
          <w:spacing w:val="-13"/>
          <w:vertAlign w:val="baseline"/>
        </w:rPr>
        <w:t> </w:t>
      </w:r>
      <w:r>
        <w:rPr>
          <w:vertAlign w:val="baseline"/>
        </w:rPr>
        <w:t>women.</w:t>
      </w:r>
      <w:hyperlink w:history="true" w:anchor="_bookmark218">
        <w:r>
          <w:rPr>
            <w:vertAlign w:val="superscript"/>
          </w:rPr>
          <w:t>25</w:t>
        </w:r>
      </w:hyperlink>
      <w:r>
        <w:rPr>
          <w:spacing w:val="-12"/>
          <w:vertAlign w:val="baseline"/>
        </w:rPr>
        <w:t> </w:t>
      </w:r>
      <w:r>
        <w:rPr>
          <w:vertAlign w:val="baseline"/>
        </w:rPr>
        <w:t>LGBTQ-</w:t>
      </w:r>
      <w:r>
        <w:rPr>
          <w:spacing w:val="-13"/>
          <w:vertAlign w:val="baseline"/>
        </w:rPr>
        <w:t> </w:t>
      </w:r>
      <w:r>
        <w:rPr>
          <w:vertAlign w:val="baseline"/>
        </w:rPr>
        <w:t>focused</w:t>
      </w:r>
      <w:r>
        <w:rPr>
          <w:spacing w:val="-12"/>
          <w:vertAlign w:val="baseline"/>
        </w:rPr>
        <w:t> </w:t>
      </w:r>
      <w:r>
        <w:rPr>
          <w:vertAlign w:val="baseline"/>
        </w:rPr>
        <w:t>healthcare</w:t>
      </w:r>
      <w:r>
        <w:rPr>
          <w:spacing w:val="-13"/>
          <w:vertAlign w:val="baseline"/>
        </w:rPr>
        <w:t> </w:t>
      </w:r>
      <w:r>
        <w:rPr>
          <w:vertAlign w:val="baseline"/>
        </w:rPr>
        <w:t>providers</w:t>
      </w:r>
      <w:r>
        <w:rPr>
          <w:spacing w:val="-12"/>
          <w:vertAlign w:val="baseline"/>
        </w:rPr>
        <w:t> </w:t>
      </w:r>
      <w:r>
        <w:rPr>
          <w:vertAlign w:val="baseline"/>
        </w:rPr>
        <w:t>should</w:t>
      </w:r>
      <w:r>
        <w:rPr>
          <w:spacing w:val="-13"/>
          <w:vertAlign w:val="baseline"/>
        </w:rPr>
        <w:t> </w:t>
      </w:r>
      <w:r>
        <w:rPr>
          <w:vertAlign w:val="baseline"/>
        </w:rPr>
        <w:t>be</w:t>
      </w:r>
      <w:r>
        <w:rPr>
          <w:spacing w:val="-12"/>
          <w:vertAlign w:val="baseline"/>
        </w:rPr>
        <w:t> </w:t>
      </w:r>
      <w:r>
        <w:rPr>
          <w:vertAlign w:val="baseline"/>
        </w:rPr>
        <w:t>equipped</w:t>
      </w:r>
      <w:r>
        <w:rPr>
          <w:spacing w:val="-12"/>
          <w:vertAlign w:val="baseline"/>
        </w:rPr>
        <w:t> </w:t>
      </w:r>
      <w:r>
        <w:rPr>
          <w:vertAlign w:val="baseline"/>
        </w:rPr>
        <w:t>with</w:t>
      </w:r>
      <w:r>
        <w:rPr>
          <w:spacing w:val="-13"/>
          <w:vertAlign w:val="baseline"/>
        </w:rPr>
        <w:t> </w:t>
      </w:r>
      <w:r>
        <w:rPr>
          <w:vertAlign w:val="baseline"/>
        </w:rPr>
        <w:t>this</w:t>
      </w:r>
      <w:r>
        <w:rPr>
          <w:spacing w:val="-11"/>
          <w:vertAlign w:val="baseline"/>
        </w:rPr>
        <w:t> </w:t>
      </w:r>
      <w:r>
        <w:rPr>
          <w:vertAlign w:val="baseline"/>
        </w:rPr>
        <w:t>medical</w:t>
      </w:r>
      <w:r>
        <w:rPr>
          <w:spacing w:val="-13"/>
          <w:vertAlign w:val="baseline"/>
        </w:rPr>
        <w:t> </w:t>
      </w:r>
      <w:r>
        <w:rPr>
          <w:vertAlign w:val="baseline"/>
        </w:rPr>
        <w:t>information and</w:t>
      </w:r>
      <w:r>
        <w:rPr>
          <w:spacing w:val="-4"/>
          <w:vertAlign w:val="baseline"/>
        </w:rPr>
        <w:t> </w:t>
      </w:r>
      <w:r>
        <w:rPr>
          <w:vertAlign w:val="baseline"/>
        </w:rPr>
        <w:t>familiarize</w:t>
      </w:r>
      <w:r>
        <w:rPr>
          <w:spacing w:val="-4"/>
          <w:vertAlign w:val="baseline"/>
        </w:rPr>
        <w:t> </w:t>
      </w:r>
      <w:r>
        <w:rPr>
          <w:vertAlign w:val="baseline"/>
        </w:rPr>
        <w:t>themselves</w:t>
      </w:r>
      <w:r>
        <w:rPr>
          <w:spacing w:val="-2"/>
          <w:vertAlign w:val="baseline"/>
        </w:rPr>
        <w:t> </w:t>
      </w:r>
      <w:r>
        <w:rPr>
          <w:vertAlign w:val="baseline"/>
        </w:rPr>
        <w:t>with</w:t>
      </w:r>
      <w:r>
        <w:rPr>
          <w:spacing w:val="-4"/>
          <w:vertAlign w:val="baseline"/>
        </w:rPr>
        <w:t> </w:t>
      </w:r>
      <w:r>
        <w:rPr>
          <w:vertAlign w:val="baseline"/>
        </w:rPr>
        <w:t>the</w:t>
      </w:r>
      <w:r>
        <w:rPr>
          <w:spacing w:val="-4"/>
          <w:vertAlign w:val="baseline"/>
        </w:rPr>
        <w:t> </w:t>
      </w:r>
      <w:r>
        <w:rPr>
          <w:vertAlign w:val="baseline"/>
        </w:rPr>
        <w:t>nuances</w:t>
      </w:r>
      <w:r>
        <w:rPr>
          <w:spacing w:val="-4"/>
          <w:vertAlign w:val="baseline"/>
        </w:rPr>
        <w:t> </w:t>
      </w:r>
      <w:r>
        <w:rPr>
          <w:vertAlign w:val="baseline"/>
        </w:rPr>
        <w:t>of</w:t>
      </w:r>
      <w:r>
        <w:rPr>
          <w:spacing w:val="-4"/>
          <w:vertAlign w:val="baseline"/>
        </w:rPr>
        <w:t> </w:t>
      </w:r>
      <w:r>
        <w:rPr>
          <w:vertAlign w:val="baseline"/>
        </w:rPr>
        <w:t>the</w:t>
      </w:r>
      <w:r>
        <w:rPr>
          <w:spacing w:val="-4"/>
          <w:vertAlign w:val="baseline"/>
        </w:rPr>
        <w:t> </w:t>
      </w:r>
      <w:r>
        <w:rPr>
          <w:vertAlign w:val="baseline"/>
        </w:rPr>
        <w:t>reproductive</w:t>
      </w:r>
      <w:r>
        <w:rPr>
          <w:spacing w:val="-4"/>
          <w:vertAlign w:val="baseline"/>
        </w:rPr>
        <w:t> </w:t>
      </w:r>
      <w:r>
        <w:rPr>
          <w:vertAlign w:val="baseline"/>
        </w:rPr>
        <w:t>healthcare</w:t>
      </w:r>
      <w:r>
        <w:rPr>
          <w:spacing w:val="-3"/>
          <w:vertAlign w:val="baseline"/>
        </w:rPr>
        <w:t> </w:t>
      </w:r>
      <w:r>
        <w:rPr>
          <w:vertAlign w:val="baseline"/>
        </w:rPr>
        <w:t>needs</w:t>
      </w:r>
      <w:r>
        <w:rPr>
          <w:spacing w:val="-4"/>
          <w:vertAlign w:val="baseline"/>
        </w:rPr>
        <w:t> </w:t>
      </w:r>
      <w:r>
        <w:rPr>
          <w:vertAlign w:val="baseline"/>
        </w:rPr>
        <w:t>of</w:t>
      </w:r>
      <w:r>
        <w:rPr>
          <w:spacing w:val="-4"/>
          <w:vertAlign w:val="baseline"/>
        </w:rPr>
        <w:t> </w:t>
      </w:r>
      <w:r>
        <w:rPr>
          <w:vertAlign w:val="baseline"/>
        </w:rPr>
        <w:t>LGBTQ</w:t>
      </w:r>
      <w:r>
        <w:rPr>
          <w:spacing w:val="-3"/>
          <w:vertAlign w:val="baseline"/>
        </w:rPr>
        <w:t> </w:t>
      </w:r>
      <w:r>
        <w:rPr>
          <w:vertAlign w:val="baseline"/>
        </w:rPr>
        <w:t>youth</w:t>
      </w:r>
      <w:r>
        <w:rPr>
          <w:spacing w:val="-4"/>
          <w:vertAlign w:val="baseline"/>
        </w:rPr>
        <w:t> </w:t>
      </w:r>
      <w:r>
        <w:rPr>
          <w:vertAlign w:val="baseline"/>
        </w:rPr>
        <w:t>in</w:t>
      </w:r>
      <w:r>
        <w:rPr>
          <w:spacing w:val="-4"/>
          <w:vertAlign w:val="baseline"/>
        </w:rPr>
        <w:t> </w:t>
      </w:r>
      <w:r>
        <w:rPr>
          <w:vertAlign w:val="baseline"/>
        </w:rPr>
        <w:t>order to empower their transgender and nonbinary patients when considering birth control options while going through gender-affirming hormone therapy. There is currently no evidence-based guidelines to draw from in offering contraception to transmasculine individuals who are on hormone-based therapy and typically, empirical</w:t>
      </w:r>
      <w:r>
        <w:rPr>
          <w:spacing w:val="-5"/>
          <w:vertAlign w:val="baseline"/>
        </w:rPr>
        <w:t> </w:t>
      </w:r>
      <w:r>
        <w:rPr>
          <w:vertAlign w:val="baseline"/>
        </w:rPr>
        <w:t>assumptions</w:t>
      </w:r>
      <w:r>
        <w:rPr>
          <w:spacing w:val="-5"/>
          <w:vertAlign w:val="baseline"/>
        </w:rPr>
        <w:t> </w:t>
      </w:r>
      <w:r>
        <w:rPr>
          <w:vertAlign w:val="baseline"/>
        </w:rPr>
        <w:t>have</w:t>
      </w:r>
      <w:r>
        <w:rPr>
          <w:spacing w:val="-5"/>
          <w:vertAlign w:val="baseline"/>
        </w:rPr>
        <w:t> </w:t>
      </w:r>
      <w:r>
        <w:rPr>
          <w:vertAlign w:val="baseline"/>
        </w:rPr>
        <w:t>been</w:t>
      </w:r>
      <w:r>
        <w:rPr>
          <w:spacing w:val="-4"/>
          <w:vertAlign w:val="baseline"/>
        </w:rPr>
        <w:t> </w:t>
      </w:r>
      <w:r>
        <w:rPr>
          <w:vertAlign w:val="baseline"/>
        </w:rPr>
        <w:t>that</w:t>
      </w:r>
      <w:r>
        <w:rPr>
          <w:spacing w:val="-5"/>
          <w:vertAlign w:val="baseline"/>
        </w:rPr>
        <w:t> </w:t>
      </w:r>
      <w:r>
        <w:rPr>
          <w:vertAlign w:val="baseline"/>
        </w:rPr>
        <w:t>all</w:t>
      </w:r>
      <w:r>
        <w:rPr>
          <w:spacing w:val="-5"/>
          <w:vertAlign w:val="baseline"/>
        </w:rPr>
        <w:t> </w:t>
      </w:r>
      <w:r>
        <w:rPr>
          <w:vertAlign w:val="baseline"/>
        </w:rPr>
        <w:t>contraception</w:t>
      </w:r>
      <w:r>
        <w:rPr>
          <w:spacing w:val="-5"/>
          <w:vertAlign w:val="baseline"/>
        </w:rPr>
        <w:t> </w:t>
      </w:r>
      <w:r>
        <w:rPr>
          <w:vertAlign w:val="baseline"/>
        </w:rPr>
        <w:t>available</w:t>
      </w:r>
      <w:r>
        <w:rPr>
          <w:spacing w:val="-5"/>
          <w:vertAlign w:val="baseline"/>
        </w:rPr>
        <w:t> </w:t>
      </w:r>
      <w:r>
        <w:rPr>
          <w:vertAlign w:val="baseline"/>
        </w:rPr>
        <w:t>to</w:t>
      </w:r>
      <w:r>
        <w:rPr>
          <w:spacing w:val="-5"/>
          <w:vertAlign w:val="baseline"/>
        </w:rPr>
        <w:t> </w:t>
      </w:r>
      <w:r>
        <w:rPr>
          <w:vertAlign w:val="baseline"/>
        </w:rPr>
        <w:t>cisgender</w:t>
      </w:r>
      <w:r>
        <w:rPr>
          <w:spacing w:val="-4"/>
          <w:vertAlign w:val="baseline"/>
        </w:rPr>
        <w:t> </w:t>
      </w:r>
      <w:r>
        <w:rPr>
          <w:vertAlign w:val="baseline"/>
        </w:rPr>
        <w:t>women</w:t>
      </w:r>
      <w:r>
        <w:rPr>
          <w:spacing w:val="-5"/>
          <w:vertAlign w:val="baseline"/>
        </w:rPr>
        <w:t> </w:t>
      </w:r>
      <w:r>
        <w:rPr>
          <w:vertAlign w:val="baseline"/>
        </w:rPr>
        <w:t>are</w:t>
      </w:r>
      <w:r>
        <w:rPr>
          <w:spacing w:val="-5"/>
          <w:vertAlign w:val="baseline"/>
        </w:rPr>
        <w:t> </w:t>
      </w:r>
      <w:r>
        <w:rPr>
          <w:vertAlign w:val="baseline"/>
        </w:rPr>
        <w:t>all</w:t>
      </w:r>
      <w:r>
        <w:rPr>
          <w:spacing w:val="-5"/>
          <w:vertAlign w:val="baseline"/>
        </w:rPr>
        <w:t> </w:t>
      </w:r>
      <w:r>
        <w:rPr>
          <w:vertAlign w:val="baseline"/>
        </w:rPr>
        <w:t>viable</w:t>
      </w:r>
      <w:r>
        <w:rPr>
          <w:spacing w:val="-5"/>
          <w:vertAlign w:val="baseline"/>
        </w:rPr>
        <w:t> </w:t>
      </w:r>
      <w:r>
        <w:rPr>
          <w:vertAlign w:val="baseline"/>
        </w:rPr>
        <w:t>options for</w:t>
      </w:r>
      <w:r>
        <w:rPr>
          <w:spacing w:val="-9"/>
          <w:vertAlign w:val="baseline"/>
        </w:rPr>
        <w:t> </w:t>
      </w:r>
      <w:r>
        <w:rPr>
          <w:vertAlign w:val="baseline"/>
        </w:rPr>
        <w:t>transgender</w:t>
      </w:r>
      <w:r>
        <w:rPr>
          <w:spacing w:val="-9"/>
          <w:vertAlign w:val="baseline"/>
        </w:rPr>
        <w:t> </w:t>
      </w:r>
      <w:r>
        <w:rPr>
          <w:vertAlign w:val="baseline"/>
        </w:rPr>
        <w:t>and</w:t>
      </w:r>
      <w:r>
        <w:rPr>
          <w:spacing w:val="-9"/>
          <w:vertAlign w:val="baseline"/>
        </w:rPr>
        <w:t> </w:t>
      </w:r>
      <w:r>
        <w:rPr>
          <w:vertAlign w:val="baseline"/>
        </w:rPr>
        <w:t>nonbinary</w:t>
      </w:r>
      <w:r>
        <w:rPr>
          <w:spacing w:val="-9"/>
          <w:vertAlign w:val="baseline"/>
        </w:rPr>
        <w:t> </w:t>
      </w:r>
      <w:r>
        <w:rPr>
          <w:vertAlign w:val="baseline"/>
        </w:rPr>
        <w:t>patients</w:t>
      </w:r>
      <w:hyperlink w:history="true" w:anchor="_bookmark219">
        <w:r>
          <w:rPr>
            <w:vertAlign w:val="baseline"/>
          </w:rPr>
          <w:t>.</w:t>
        </w:r>
        <w:r>
          <w:rPr>
            <w:vertAlign w:val="superscript"/>
          </w:rPr>
          <w:t>26</w:t>
        </w:r>
      </w:hyperlink>
      <w:r>
        <w:rPr>
          <w:spacing w:val="-9"/>
          <w:vertAlign w:val="baseline"/>
        </w:rPr>
        <w:t> </w:t>
      </w:r>
      <w:r>
        <w:rPr>
          <w:vertAlign w:val="baseline"/>
        </w:rPr>
        <w:t>More</w:t>
      </w:r>
      <w:r>
        <w:rPr>
          <w:spacing w:val="-9"/>
          <w:vertAlign w:val="baseline"/>
        </w:rPr>
        <w:t> </w:t>
      </w:r>
      <w:r>
        <w:rPr>
          <w:vertAlign w:val="baseline"/>
        </w:rPr>
        <w:t>research</w:t>
      </w:r>
      <w:r>
        <w:rPr>
          <w:spacing w:val="-9"/>
          <w:vertAlign w:val="baseline"/>
        </w:rPr>
        <w:t> </w:t>
      </w:r>
      <w:r>
        <w:rPr>
          <w:vertAlign w:val="baseline"/>
        </w:rPr>
        <w:t>is</w:t>
      </w:r>
      <w:r>
        <w:rPr>
          <w:spacing w:val="-8"/>
          <w:vertAlign w:val="baseline"/>
        </w:rPr>
        <w:t> </w:t>
      </w:r>
      <w:r>
        <w:rPr>
          <w:vertAlign w:val="baseline"/>
        </w:rPr>
        <w:t>needed</w:t>
      </w:r>
      <w:r>
        <w:rPr>
          <w:spacing w:val="-8"/>
          <w:vertAlign w:val="baseline"/>
        </w:rPr>
        <w:t> </w:t>
      </w:r>
      <w:r>
        <w:rPr>
          <w:vertAlign w:val="baseline"/>
        </w:rPr>
        <w:t>on</w:t>
      </w:r>
      <w:r>
        <w:rPr>
          <w:spacing w:val="-9"/>
          <w:vertAlign w:val="baseline"/>
        </w:rPr>
        <w:t> </w:t>
      </w:r>
      <w:r>
        <w:rPr>
          <w:vertAlign w:val="baseline"/>
        </w:rPr>
        <w:t>the</w:t>
      </w:r>
      <w:r>
        <w:rPr>
          <w:spacing w:val="-8"/>
          <w:vertAlign w:val="baseline"/>
        </w:rPr>
        <w:t> </w:t>
      </w:r>
      <w:r>
        <w:rPr>
          <w:vertAlign w:val="baseline"/>
        </w:rPr>
        <w:t>interactions</w:t>
      </w:r>
      <w:r>
        <w:rPr>
          <w:spacing w:val="-8"/>
          <w:vertAlign w:val="baseline"/>
        </w:rPr>
        <w:t> </w:t>
      </w:r>
      <w:r>
        <w:rPr>
          <w:vertAlign w:val="baseline"/>
        </w:rPr>
        <w:t>and</w:t>
      </w:r>
      <w:r>
        <w:rPr>
          <w:spacing w:val="-8"/>
          <w:vertAlign w:val="baseline"/>
        </w:rPr>
        <w:t> </w:t>
      </w:r>
      <w:r>
        <w:rPr>
          <w:vertAlign w:val="baseline"/>
        </w:rPr>
        <w:t>effects</w:t>
      </w:r>
      <w:r>
        <w:rPr>
          <w:spacing w:val="-8"/>
          <w:vertAlign w:val="baseline"/>
        </w:rPr>
        <w:t> </w:t>
      </w:r>
      <w:r>
        <w:rPr>
          <w:vertAlign w:val="baseline"/>
        </w:rPr>
        <w:t>between contraceptives containing estrogen and testosterone therapy.</w:t>
      </w:r>
    </w:p>
    <w:p>
      <w:pPr>
        <w:spacing w:before="239"/>
        <w:ind w:left="463" w:right="0" w:firstLine="0"/>
        <w:jc w:val="both"/>
        <w:rPr>
          <w:sz w:val="28"/>
        </w:rPr>
      </w:pPr>
      <w:bookmarkStart w:name="Fertility Preservation" w:id="371"/>
      <w:bookmarkEnd w:id="371"/>
      <w:r>
        <w:rPr/>
      </w:r>
      <w:r>
        <w:rPr>
          <w:color w:val="365F91"/>
          <w:sz w:val="28"/>
        </w:rPr>
        <w:t>Fertility</w:t>
      </w:r>
      <w:r>
        <w:rPr>
          <w:color w:val="365F91"/>
          <w:spacing w:val="-11"/>
          <w:sz w:val="28"/>
        </w:rPr>
        <w:t> </w:t>
      </w:r>
      <w:r>
        <w:rPr>
          <w:color w:val="365F91"/>
          <w:spacing w:val="-2"/>
          <w:sz w:val="28"/>
        </w:rPr>
        <w:t>Preservation</w:t>
      </w:r>
    </w:p>
    <w:p>
      <w:pPr>
        <w:pStyle w:val="BodyText"/>
        <w:spacing w:line="276" w:lineRule="auto" w:before="292"/>
        <w:ind w:left="463" w:right="240"/>
        <w:jc w:val="both"/>
      </w:pPr>
      <w:r>
        <w:rPr/>
        <w:t>Counseling</w:t>
      </w:r>
      <w:r>
        <w:rPr>
          <w:spacing w:val="-3"/>
        </w:rPr>
        <w:t> </w:t>
      </w:r>
      <w:r>
        <w:rPr/>
        <w:t>on</w:t>
      </w:r>
      <w:r>
        <w:rPr>
          <w:spacing w:val="-3"/>
        </w:rPr>
        <w:t> </w:t>
      </w:r>
      <w:r>
        <w:rPr/>
        <w:t>fertility</w:t>
      </w:r>
      <w:r>
        <w:rPr>
          <w:spacing w:val="-2"/>
        </w:rPr>
        <w:t> </w:t>
      </w:r>
      <w:r>
        <w:rPr/>
        <w:t>and</w:t>
      </w:r>
      <w:r>
        <w:rPr>
          <w:spacing w:val="-2"/>
        </w:rPr>
        <w:t> </w:t>
      </w:r>
      <w:r>
        <w:rPr/>
        <w:t>reproductive</w:t>
      </w:r>
      <w:r>
        <w:rPr>
          <w:spacing w:val="-2"/>
        </w:rPr>
        <w:t> </w:t>
      </w:r>
      <w:r>
        <w:rPr/>
        <w:t>options</w:t>
      </w:r>
      <w:r>
        <w:rPr>
          <w:spacing w:val="-2"/>
        </w:rPr>
        <w:t> </w:t>
      </w:r>
      <w:r>
        <w:rPr/>
        <w:t>is</w:t>
      </w:r>
      <w:r>
        <w:rPr>
          <w:spacing w:val="-1"/>
        </w:rPr>
        <w:t> </w:t>
      </w:r>
      <w:r>
        <w:rPr/>
        <w:t>recommended</w:t>
      </w:r>
      <w:r>
        <w:rPr>
          <w:spacing w:val="-1"/>
        </w:rPr>
        <w:t> </w:t>
      </w:r>
      <w:r>
        <w:rPr/>
        <w:t>prior</w:t>
      </w:r>
      <w:r>
        <w:rPr>
          <w:spacing w:val="-3"/>
        </w:rPr>
        <w:t> </w:t>
      </w:r>
      <w:r>
        <w:rPr/>
        <w:t>to</w:t>
      </w:r>
      <w:r>
        <w:rPr>
          <w:spacing w:val="-1"/>
        </w:rPr>
        <w:t> </w:t>
      </w:r>
      <w:r>
        <w:rPr/>
        <w:t>the</w:t>
      </w:r>
      <w:r>
        <w:rPr>
          <w:spacing w:val="-2"/>
        </w:rPr>
        <w:t> </w:t>
      </w:r>
      <w:r>
        <w:rPr/>
        <w:t>initiation</w:t>
      </w:r>
      <w:r>
        <w:rPr>
          <w:spacing w:val="-2"/>
        </w:rPr>
        <w:t> </w:t>
      </w:r>
      <w:r>
        <w:rPr/>
        <w:t>of</w:t>
      </w:r>
      <w:r>
        <w:rPr>
          <w:spacing w:val="-3"/>
        </w:rPr>
        <w:t> </w:t>
      </w:r>
      <w:r>
        <w:rPr/>
        <w:t>puberty</w:t>
      </w:r>
      <w:r>
        <w:rPr>
          <w:spacing w:val="-1"/>
        </w:rPr>
        <w:t> </w:t>
      </w:r>
      <w:r>
        <w:rPr/>
        <w:t>blockers or gender-affirming hormones for transgender youth. Studies have shown that around half of transgender adults wished to have children, and more than a third of transmasculine adults and half of transfeminine adults report they would have considered preserving reproductive gametes had this been an available option for them.</w:t>
      </w:r>
      <w:hyperlink w:history="true" w:anchor="_bookmark220">
        <w:r>
          <w:rPr>
            <w:vertAlign w:val="superscript"/>
          </w:rPr>
          <w:t>27</w:t>
        </w:r>
      </w:hyperlink>
      <w:r>
        <w:rPr>
          <w:vertAlign w:val="baseline"/>
        </w:rPr>
        <w:t> Although fertility preservation services are routinely offered, reports have shown that only between 0%-2% of transmasculine youth and 8%-14% of transfeminine youth complete fertility preservations</w:t>
      </w:r>
      <w:r>
        <w:rPr>
          <w:spacing w:val="-6"/>
          <w:vertAlign w:val="baseline"/>
        </w:rPr>
        <w:t> </w:t>
      </w:r>
      <w:r>
        <w:rPr>
          <w:vertAlign w:val="baseline"/>
        </w:rPr>
        <w:t>prior</w:t>
      </w:r>
      <w:r>
        <w:rPr>
          <w:spacing w:val="-6"/>
          <w:vertAlign w:val="baseline"/>
        </w:rPr>
        <w:t> </w:t>
      </w:r>
      <w:r>
        <w:rPr>
          <w:vertAlign w:val="baseline"/>
        </w:rPr>
        <w:t>to</w:t>
      </w:r>
      <w:r>
        <w:rPr>
          <w:spacing w:val="-6"/>
          <w:vertAlign w:val="baseline"/>
        </w:rPr>
        <w:t> </w:t>
      </w:r>
      <w:r>
        <w:rPr>
          <w:vertAlign w:val="baseline"/>
        </w:rPr>
        <w:t>starting</w:t>
      </w:r>
      <w:r>
        <w:rPr>
          <w:spacing w:val="-7"/>
          <w:vertAlign w:val="baseline"/>
        </w:rPr>
        <w:t> </w:t>
      </w:r>
      <w:r>
        <w:rPr>
          <w:vertAlign w:val="baseline"/>
        </w:rPr>
        <w:t>gender-affirming</w:t>
      </w:r>
      <w:r>
        <w:rPr>
          <w:spacing w:val="-5"/>
          <w:vertAlign w:val="baseline"/>
        </w:rPr>
        <w:t> </w:t>
      </w:r>
      <w:r>
        <w:rPr>
          <w:vertAlign w:val="baseline"/>
        </w:rPr>
        <w:t>medical</w:t>
      </w:r>
      <w:r>
        <w:rPr>
          <w:spacing w:val="-6"/>
          <w:vertAlign w:val="baseline"/>
        </w:rPr>
        <w:t> </w:t>
      </w:r>
      <w:r>
        <w:rPr>
          <w:vertAlign w:val="baseline"/>
        </w:rPr>
        <w:t>treatment</w:t>
      </w:r>
      <w:hyperlink w:history="true" w:anchor="_bookmark221">
        <w:r>
          <w:rPr>
            <w:vertAlign w:val="baseline"/>
          </w:rPr>
          <w:t>.</w:t>
        </w:r>
        <w:r>
          <w:rPr>
            <w:vertAlign w:val="superscript"/>
          </w:rPr>
          <w:t>28</w:t>
        </w:r>
      </w:hyperlink>
      <w:r>
        <w:rPr>
          <w:spacing w:val="-7"/>
          <w:vertAlign w:val="baseline"/>
        </w:rPr>
        <w:t> </w:t>
      </w:r>
      <w:r>
        <w:rPr>
          <w:vertAlign w:val="baseline"/>
        </w:rPr>
        <w:t>There</w:t>
      </w:r>
      <w:r>
        <w:rPr>
          <w:spacing w:val="-7"/>
          <w:vertAlign w:val="baseline"/>
        </w:rPr>
        <w:t> </w:t>
      </w:r>
      <w:r>
        <w:rPr>
          <w:vertAlign w:val="baseline"/>
        </w:rPr>
        <w:t>are</w:t>
      </w:r>
      <w:r>
        <w:rPr>
          <w:spacing w:val="-5"/>
          <w:vertAlign w:val="baseline"/>
        </w:rPr>
        <w:t> </w:t>
      </w:r>
      <w:r>
        <w:rPr>
          <w:vertAlign w:val="baseline"/>
        </w:rPr>
        <w:t>numerous</w:t>
      </w:r>
      <w:r>
        <w:rPr>
          <w:spacing w:val="-6"/>
          <w:vertAlign w:val="baseline"/>
        </w:rPr>
        <w:t> </w:t>
      </w:r>
      <w:r>
        <w:rPr>
          <w:vertAlign w:val="baseline"/>
        </w:rPr>
        <w:t>factors</w:t>
      </w:r>
      <w:r>
        <w:rPr>
          <w:spacing w:val="-6"/>
          <w:vertAlign w:val="baseline"/>
        </w:rPr>
        <w:t> </w:t>
      </w:r>
      <w:r>
        <w:rPr>
          <w:vertAlign w:val="baseline"/>
        </w:rPr>
        <w:t>that</w:t>
      </w:r>
      <w:r>
        <w:rPr>
          <w:spacing w:val="-6"/>
          <w:vertAlign w:val="baseline"/>
        </w:rPr>
        <w:t> </w:t>
      </w:r>
      <w:r>
        <w:rPr>
          <w:vertAlign w:val="baseline"/>
        </w:rPr>
        <w:t>pose barriers</w:t>
      </w:r>
      <w:r>
        <w:rPr>
          <w:spacing w:val="-9"/>
          <w:vertAlign w:val="baseline"/>
        </w:rPr>
        <w:t> </w:t>
      </w:r>
      <w:r>
        <w:rPr>
          <w:vertAlign w:val="baseline"/>
        </w:rPr>
        <w:t>to</w:t>
      </w:r>
      <w:r>
        <w:rPr>
          <w:spacing w:val="-9"/>
          <w:vertAlign w:val="baseline"/>
        </w:rPr>
        <w:t> </w:t>
      </w:r>
      <w:r>
        <w:rPr>
          <w:vertAlign w:val="baseline"/>
        </w:rPr>
        <w:t>transgender</w:t>
      </w:r>
      <w:r>
        <w:rPr>
          <w:spacing w:val="-10"/>
          <w:vertAlign w:val="baseline"/>
        </w:rPr>
        <w:t> </w:t>
      </w:r>
      <w:r>
        <w:rPr>
          <w:vertAlign w:val="baseline"/>
        </w:rPr>
        <w:t>youth</w:t>
      </w:r>
      <w:r>
        <w:rPr>
          <w:spacing w:val="-10"/>
          <w:vertAlign w:val="baseline"/>
        </w:rPr>
        <w:t> </w:t>
      </w:r>
      <w:r>
        <w:rPr>
          <w:vertAlign w:val="baseline"/>
        </w:rPr>
        <w:t>receiving</w:t>
      </w:r>
      <w:r>
        <w:rPr>
          <w:spacing w:val="-9"/>
          <w:vertAlign w:val="baseline"/>
        </w:rPr>
        <w:t> </w:t>
      </w:r>
      <w:r>
        <w:rPr>
          <w:vertAlign w:val="baseline"/>
        </w:rPr>
        <w:t>fertility</w:t>
      </w:r>
      <w:r>
        <w:rPr>
          <w:spacing w:val="-9"/>
          <w:vertAlign w:val="baseline"/>
        </w:rPr>
        <w:t> </w:t>
      </w:r>
      <w:r>
        <w:rPr>
          <w:vertAlign w:val="baseline"/>
        </w:rPr>
        <w:t>preservation</w:t>
      </w:r>
      <w:r>
        <w:rPr>
          <w:spacing w:val="-10"/>
          <w:vertAlign w:val="baseline"/>
        </w:rPr>
        <w:t> </w:t>
      </w:r>
      <w:r>
        <w:rPr>
          <w:vertAlign w:val="baseline"/>
        </w:rPr>
        <w:t>services,</w:t>
      </w:r>
      <w:r>
        <w:rPr>
          <w:spacing w:val="-10"/>
          <w:vertAlign w:val="baseline"/>
        </w:rPr>
        <w:t> </w:t>
      </w:r>
      <w:r>
        <w:rPr>
          <w:vertAlign w:val="baseline"/>
        </w:rPr>
        <w:t>including</w:t>
      </w:r>
      <w:r>
        <w:rPr>
          <w:spacing w:val="-8"/>
          <w:vertAlign w:val="baseline"/>
        </w:rPr>
        <w:t> </w:t>
      </w:r>
      <w:r>
        <w:rPr>
          <w:vertAlign w:val="baseline"/>
        </w:rPr>
        <w:t>dysphoria</w:t>
      </w:r>
      <w:r>
        <w:rPr>
          <w:spacing w:val="-10"/>
          <w:vertAlign w:val="baseline"/>
        </w:rPr>
        <w:t> </w:t>
      </w:r>
      <w:r>
        <w:rPr>
          <w:vertAlign w:val="baseline"/>
        </w:rPr>
        <w:t>related</w:t>
      </w:r>
      <w:r>
        <w:rPr>
          <w:spacing w:val="-9"/>
          <w:vertAlign w:val="baseline"/>
        </w:rPr>
        <w:t> </w:t>
      </w:r>
      <w:r>
        <w:rPr>
          <w:vertAlign w:val="baseline"/>
        </w:rPr>
        <w:t>to</w:t>
      </w:r>
      <w:r>
        <w:rPr>
          <w:spacing w:val="-9"/>
          <w:vertAlign w:val="baseline"/>
        </w:rPr>
        <w:t> </w:t>
      </w:r>
      <w:r>
        <w:rPr>
          <w:vertAlign w:val="baseline"/>
        </w:rPr>
        <w:t>fertility preservation</w:t>
      </w:r>
      <w:r>
        <w:rPr>
          <w:spacing w:val="-1"/>
          <w:vertAlign w:val="baseline"/>
        </w:rPr>
        <w:t> </w:t>
      </w:r>
      <w:r>
        <w:rPr>
          <w:vertAlign w:val="baseline"/>
        </w:rPr>
        <w:t>procedures, invasiveness of procedures, cost, lack</w:t>
      </w:r>
      <w:r>
        <w:rPr>
          <w:spacing w:val="-1"/>
          <w:vertAlign w:val="baseline"/>
        </w:rPr>
        <w:t> </w:t>
      </w:r>
      <w:r>
        <w:rPr>
          <w:vertAlign w:val="baseline"/>
        </w:rPr>
        <w:t>of coverage</w:t>
      </w:r>
      <w:r>
        <w:rPr>
          <w:spacing w:val="-1"/>
          <w:vertAlign w:val="baseline"/>
        </w:rPr>
        <w:t> </w:t>
      </w:r>
      <w:r>
        <w:rPr>
          <w:vertAlign w:val="baseline"/>
        </w:rPr>
        <w:t>of these</w:t>
      </w:r>
      <w:r>
        <w:rPr>
          <w:spacing w:val="-1"/>
          <w:vertAlign w:val="baseline"/>
        </w:rPr>
        <w:t> </w:t>
      </w:r>
      <w:r>
        <w:rPr>
          <w:vertAlign w:val="baseline"/>
        </w:rPr>
        <w:t>services by insurance, concerns about delaying or pausing gender-affirming care to undergo fertility preservation, and lack of affirming providers and facilities that offer fertility preservation.</w:t>
      </w:r>
      <w:hyperlink w:history="true" w:anchor="_bookmark222">
        <w:r>
          <w:rPr>
            <w:vertAlign w:val="superscript"/>
          </w:rPr>
          <w:t>29</w:t>
        </w:r>
      </w:hyperlink>
    </w:p>
    <w:p>
      <w:pPr>
        <w:spacing w:after="0" w:line="276" w:lineRule="auto"/>
        <w:jc w:val="both"/>
        <w:sectPr>
          <w:pgSz w:w="12240" w:h="15840"/>
          <w:pgMar w:header="800" w:footer="1530" w:top="1080" w:bottom="1760" w:left="980" w:right="1000"/>
        </w:sectPr>
      </w:pPr>
    </w:p>
    <w:p>
      <w:pPr>
        <w:pStyle w:val="BodyText"/>
        <w:spacing w:before="261"/>
        <w:rPr>
          <w:sz w:val="28"/>
        </w:rPr>
      </w:pPr>
    </w:p>
    <w:p>
      <w:pPr>
        <w:spacing w:before="0"/>
        <w:ind w:left="463" w:right="0" w:firstLine="0"/>
        <w:jc w:val="left"/>
        <w:rPr>
          <w:sz w:val="28"/>
        </w:rPr>
      </w:pPr>
      <w:bookmarkStart w:name="Pregnancy" w:id="372"/>
      <w:bookmarkEnd w:id="372"/>
      <w:r>
        <w:rPr/>
      </w:r>
      <w:r>
        <w:rPr>
          <w:color w:val="365F91"/>
          <w:spacing w:val="-2"/>
          <w:sz w:val="28"/>
        </w:rPr>
        <w:t>Pregnancy</w:t>
      </w:r>
    </w:p>
    <w:p>
      <w:pPr>
        <w:pStyle w:val="BodyText"/>
        <w:spacing w:line="276" w:lineRule="auto" w:before="292"/>
        <w:ind w:left="463" w:right="4084"/>
        <w:jc w:val="both"/>
      </w:pPr>
      <w:r>
        <w:rPr/>
        <w:drawing>
          <wp:anchor distT="0" distB="0" distL="0" distR="0" allowOverlap="1" layoutInCell="1" locked="0" behindDoc="0" simplePos="0" relativeHeight="15778816">
            <wp:simplePos x="0" y="0"/>
            <wp:positionH relativeFrom="page">
              <wp:posOffset>4632960</wp:posOffset>
            </wp:positionH>
            <wp:positionV relativeFrom="paragraph">
              <wp:posOffset>196142</wp:posOffset>
            </wp:positionV>
            <wp:extent cx="2440939" cy="2440925"/>
            <wp:effectExtent l="0" t="0" r="0" b="0"/>
            <wp:wrapNone/>
            <wp:docPr id="292" name="Image 292"/>
            <wp:cNvGraphicFramePr>
              <a:graphicFrameLocks/>
            </wp:cNvGraphicFramePr>
            <a:graphic>
              <a:graphicData uri="http://schemas.openxmlformats.org/drawingml/2006/picture">
                <pic:pic>
                  <pic:nvPicPr>
                    <pic:cNvPr id="292" name="Image 292"/>
                    <pic:cNvPicPr/>
                  </pic:nvPicPr>
                  <pic:blipFill>
                    <a:blip r:embed="rId314" cstate="print"/>
                    <a:stretch>
                      <a:fillRect/>
                    </a:stretch>
                  </pic:blipFill>
                  <pic:spPr>
                    <a:xfrm>
                      <a:off x="0" y="0"/>
                      <a:ext cx="2440939" cy="2440925"/>
                    </a:xfrm>
                    <a:prstGeom prst="rect">
                      <a:avLst/>
                    </a:prstGeom>
                  </pic:spPr>
                </pic:pic>
              </a:graphicData>
            </a:graphic>
          </wp:anchor>
        </w:drawing>
      </w:r>
      <w:r>
        <w:rPr/>
        <w:t>Due to heteronormative societal structures, LGBTQ youth may feel pressured to conform to such standards by having sexual intercourse to prove they are heterosexual, thus increasing the risk of pregnancy. LGBTQ individuals under the age of 20 are more</w:t>
      </w:r>
      <w:r>
        <w:rPr>
          <w:spacing w:val="-9"/>
        </w:rPr>
        <w:t> </w:t>
      </w:r>
      <w:r>
        <w:rPr/>
        <w:t>likely</w:t>
      </w:r>
      <w:r>
        <w:rPr>
          <w:spacing w:val="-7"/>
        </w:rPr>
        <w:t> </w:t>
      </w:r>
      <w:r>
        <w:rPr/>
        <w:t>to</w:t>
      </w:r>
      <w:r>
        <w:rPr>
          <w:spacing w:val="-7"/>
        </w:rPr>
        <w:t> </w:t>
      </w:r>
      <w:r>
        <w:rPr/>
        <w:t>experience</w:t>
      </w:r>
      <w:r>
        <w:rPr>
          <w:spacing w:val="-7"/>
        </w:rPr>
        <w:t> </w:t>
      </w:r>
      <w:r>
        <w:rPr/>
        <w:t>an</w:t>
      </w:r>
      <w:r>
        <w:rPr>
          <w:spacing w:val="-9"/>
        </w:rPr>
        <w:t> </w:t>
      </w:r>
      <w:r>
        <w:rPr/>
        <w:t>unintended</w:t>
      </w:r>
      <w:r>
        <w:rPr>
          <w:spacing w:val="-8"/>
        </w:rPr>
        <w:t> </w:t>
      </w:r>
      <w:r>
        <w:rPr/>
        <w:t>pregnancy,</w:t>
      </w:r>
      <w:r>
        <w:rPr>
          <w:spacing w:val="-8"/>
        </w:rPr>
        <w:t> </w:t>
      </w:r>
      <w:r>
        <w:rPr/>
        <w:t>especially</w:t>
      </w:r>
      <w:r>
        <w:rPr>
          <w:spacing w:val="-7"/>
        </w:rPr>
        <w:t> </w:t>
      </w:r>
      <w:r>
        <w:rPr/>
        <w:t>a teen pregnancy, compared to their heterosexual counterparts. </w:t>
      </w:r>
      <w:hyperlink w:history="true" w:anchor="_bookmark223">
        <w:r>
          <w:rPr>
            <w:vertAlign w:val="superscript"/>
          </w:rPr>
          <w:t>30</w:t>
        </w:r>
      </w:hyperlink>
      <w:r>
        <w:rPr>
          <w:spacing w:val="-1"/>
          <w:vertAlign w:val="baseline"/>
        </w:rPr>
        <w:t> </w:t>
      </w:r>
      <w:r>
        <w:rPr>
          <w:vertAlign w:val="baseline"/>
        </w:rPr>
        <w:t>This is</w:t>
      </w:r>
      <w:r>
        <w:rPr>
          <w:spacing w:val="-1"/>
          <w:vertAlign w:val="baseline"/>
        </w:rPr>
        <w:t> </w:t>
      </w:r>
      <w:r>
        <w:rPr>
          <w:vertAlign w:val="baseline"/>
        </w:rPr>
        <w:t>alarming, especially</w:t>
      </w:r>
      <w:r>
        <w:rPr>
          <w:spacing w:val="-1"/>
          <w:vertAlign w:val="baseline"/>
        </w:rPr>
        <w:t> </w:t>
      </w:r>
      <w:r>
        <w:rPr>
          <w:vertAlign w:val="baseline"/>
        </w:rPr>
        <w:t>for LGBTQ youth in Massachusetts high schools who have a higher percentage of experiencing sexual assault compared to their non- LGBTQ peers</w:t>
      </w:r>
      <w:hyperlink w:history="true" w:anchor="_bookmark224">
        <w:r>
          <w:rPr>
            <w:vertAlign w:val="baseline"/>
          </w:rPr>
          <w:t>.</w:t>
        </w:r>
        <w:r>
          <w:rPr>
            <w:vertAlign w:val="superscript"/>
          </w:rPr>
          <w:t>31</w:t>
        </w:r>
      </w:hyperlink>
      <w:r>
        <w:rPr>
          <w:vertAlign w:val="baseline"/>
        </w:rPr>
        <w:t> Furthermore, one study showed that sexual minority (lesbian and bisexual women) individuals between the ages of 16-45 experience worse pregnancy outcomes, such as miscarriages, stillbirths,</w:t>
      </w:r>
      <w:r>
        <w:rPr>
          <w:spacing w:val="-8"/>
          <w:vertAlign w:val="baseline"/>
        </w:rPr>
        <w:t> </w:t>
      </w:r>
      <w:r>
        <w:rPr>
          <w:vertAlign w:val="baseline"/>
        </w:rPr>
        <w:t>low</w:t>
      </w:r>
      <w:r>
        <w:rPr>
          <w:spacing w:val="-8"/>
          <w:vertAlign w:val="baseline"/>
        </w:rPr>
        <w:t> </w:t>
      </w:r>
      <w:r>
        <w:rPr>
          <w:vertAlign w:val="baseline"/>
        </w:rPr>
        <w:t>birth</w:t>
      </w:r>
      <w:r>
        <w:rPr>
          <w:spacing w:val="-7"/>
          <w:vertAlign w:val="baseline"/>
        </w:rPr>
        <w:t> </w:t>
      </w:r>
      <w:r>
        <w:rPr>
          <w:vertAlign w:val="baseline"/>
        </w:rPr>
        <w:t>weights,</w:t>
      </w:r>
      <w:r>
        <w:rPr>
          <w:spacing w:val="-8"/>
          <w:vertAlign w:val="baseline"/>
        </w:rPr>
        <w:t> </w:t>
      </w:r>
      <w:r>
        <w:rPr>
          <w:vertAlign w:val="baseline"/>
        </w:rPr>
        <w:t>and</w:t>
      </w:r>
      <w:r>
        <w:rPr>
          <w:spacing w:val="-8"/>
          <w:vertAlign w:val="baseline"/>
        </w:rPr>
        <w:t> </w:t>
      </w:r>
      <w:r>
        <w:rPr>
          <w:vertAlign w:val="baseline"/>
        </w:rPr>
        <w:t>premature</w:t>
      </w:r>
      <w:r>
        <w:rPr>
          <w:spacing w:val="-8"/>
          <w:vertAlign w:val="baseline"/>
        </w:rPr>
        <w:t> </w:t>
      </w:r>
      <w:r>
        <w:rPr>
          <w:vertAlign w:val="baseline"/>
        </w:rPr>
        <w:t>births</w:t>
      </w:r>
      <w:r>
        <w:rPr>
          <w:spacing w:val="-7"/>
          <w:vertAlign w:val="baseline"/>
        </w:rPr>
        <w:t> </w:t>
      </w:r>
      <w:r>
        <w:rPr>
          <w:vertAlign w:val="baseline"/>
        </w:rPr>
        <w:t>compared</w:t>
      </w:r>
      <w:r>
        <w:rPr>
          <w:spacing w:val="-8"/>
          <w:vertAlign w:val="baseline"/>
        </w:rPr>
        <w:t> </w:t>
      </w:r>
      <w:r>
        <w:rPr>
          <w:spacing w:val="-5"/>
          <w:vertAlign w:val="baseline"/>
        </w:rPr>
        <w:t>to</w:t>
      </w:r>
    </w:p>
    <w:p>
      <w:pPr>
        <w:pStyle w:val="BodyText"/>
        <w:spacing w:line="276" w:lineRule="auto"/>
        <w:ind w:left="463" w:right="241" w:hanging="1"/>
        <w:jc w:val="both"/>
      </w:pPr>
      <w:r>
        <w:rPr/>
        <w:t>heterosexual patients. </w:t>
      </w:r>
      <w:hyperlink w:history="true" w:anchor="_bookmark225">
        <w:r>
          <w:rPr>
            <w:vertAlign w:val="superscript"/>
          </w:rPr>
          <w:t>32</w:t>
        </w:r>
      </w:hyperlink>
      <w:r>
        <w:rPr>
          <w:vertAlign w:val="baseline"/>
        </w:rPr>
        <w:t> At the intersection of race, ethnicity, and sexual identity, Black and Latina lesbian and</w:t>
      </w:r>
      <w:r>
        <w:rPr>
          <w:spacing w:val="-12"/>
          <w:vertAlign w:val="baseline"/>
        </w:rPr>
        <w:t> </w:t>
      </w:r>
      <w:r>
        <w:rPr>
          <w:vertAlign w:val="baseline"/>
        </w:rPr>
        <w:t>bisexual</w:t>
      </w:r>
      <w:r>
        <w:rPr>
          <w:spacing w:val="-9"/>
          <w:vertAlign w:val="baseline"/>
        </w:rPr>
        <w:t> </w:t>
      </w:r>
      <w:r>
        <w:rPr>
          <w:vertAlign w:val="baseline"/>
        </w:rPr>
        <w:t>women</w:t>
      </w:r>
      <w:r>
        <w:rPr>
          <w:spacing w:val="-10"/>
          <w:vertAlign w:val="baseline"/>
        </w:rPr>
        <w:t> </w:t>
      </w:r>
      <w:r>
        <w:rPr>
          <w:vertAlign w:val="baseline"/>
        </w:rPr>
        <w:t>have</w:t>
      </w:r>
      <w:r>
        <w:rPr>
          <w:spacing w:val="-10"/>
          <w:vertAlign w:val="baseline"/>
        </w:rPr>
        <w:t> </w:t>
      </w:r>
      <w:r>
        <w:rPr>
          <w:vertAlign w:val="baseline"/>
        </w:rPr>
        <w:t>an</w:t>
      </w:r>
      <w:r>
        <w:rPr>
          <w:spacing w:val="-12"/>
          <w:vertAlign w:val="baseline"/>
        </w:rPr>
        <w:t> </w:t>
      </w:r>
      <w:r>
        <w:rPr>
          <w:vertAlign w:val="baseline"/>
        </w:rPr>
        <w:t>additional</w:t>
      </w:r>
      <w:r>
        <w:rPr>
          <w:spacing w:val="-10"/>
          <w:vertAlign w:val="baseline"/>
        </w:rPr>
        <w:t> </w:t>
      </w:r>
      <w:r>
        <w:rPr>
          <w:vertAlign w:val="baseline"/>
        </w:rPr>
        <w:t>risk</w:t>
      </w:r>
      <w:r>
        <w:rPr>
          <w:spacing w:val="-12"/>
          <w:vertAlign w:val="baseline"/>
        </w:rPr>
        <w:t> </w:t>
      </w:r>
      <w:r>
        <w:rPr>
          <w:vertAlign w:val="baseline"/>
        </w:rPr>
        <w:t>for</w:t>
      </w:r>
      <w:r>
        <w:rPr>
          <w:spacing w:val="-11"/>
          <w:vertAlign w:val="baseline"/>
        </w:rPr>
        <w:t> </w:t>
      </w:r>
      <w:r>
        <w:rPr>
          <w:vertAlign w:val="baseline"/>
        </w:rPr>
        <w:t>adverse</w:t>
      </w:r>
      <w:r>
        <w:rPr>
          <w:spacing w:val="-12"/>
          <w:vertAlign w:val="baseline"/>
        </w:rPr>
        <w:t> </w:t>
      </w:r>
      <w:r>
        <w:rPr>
          <w:vertAlign w:val="baseline"/>
        </w:rPr>
        <w:t>birth</w:t>
      </w:r>
      <w:r>
        <w:rPr>
          <w:spacing w:val="-12"/>
          <w:vertAlign w:val="baseline"/>
        </w:rPr>
        <w:t> </w:t>
      </w:r>
      <w:r>
        <w:rPr>
          <w:vertAlign w:val="baseline"/>
        </w:rPr>
        <w:t>outcomes</w:t>
      </w:r>
      <w:hyperlink w:history="true" w:anchor="_bookmark226">
        <w:r>
          <w:rPr>
            <w:vertAlign w:val="baseline"/>
          </w:rPr>
          <w:t>.</w:t>
        </w:r>
        <w:r>
          <w:rPr>
            <w:vertAlign w:val="superscript"/>
          </w:rPr>
          <w:t>33</w:t>
        </w:r>
      </w:hyperlink>
      <w:r>
        <w:rPr>
          <w:spacing w:val="-11"/>
          <w:vertAlign w:val="baseline"/>
        </w:rPr>
        <w:t> </w:t>
      </w:r>
      <w:r>
        <w:rPr>
          <w:vertAlign w:val="baseline"/>
        </w:rPr>
        <w:t>Data</w:t>
      </w:r>
      <w:r>
        <w:rPr>
          <w:spacing w:val="-11"/>
          <w:vertAlign w:val="baseline"/>
        </w:rPr>
        <w:t> </w:t>
      </w:r>
      <w:r>
        <w:rPr>
          <w:vertAlign w:val="baseline"/>
        </w:rPr>
        <w:t>is</w:t>
      </w:r>
      <w:r>
        <w:rPr>
          <w:spacing w:val="-10"/>
          <w:vertAlign w:val="baseline"/>
        </w:rPr>
        <w:t> </w:t>
      </w:r>
      <w:r>
        <w:rPr>
          <w:vertAlign w:val="baseline"/>
        </w:rPr>
        <w:t>currently</w:t>
      </w:r>
      <w:r>
        <w:rPr>
          <w:spacing w:val="-10"/>
          <w:vertAlign w:val="baseline"/>
        </w:rPr>
        <w:t> </w:t>
      </w:r>
      <w:r>
        <w:rPr>
          <w:vertAlign w:val="baseline"/>
        </w:rPr>
        <w:t>limited</w:t>
      </w:r>
      <w:r>
        <w:rPr>
          <w:spacing w:val="-10"/>
          <w:vertAlign w:val="baseline"/>
        </w:rPr>
        <w:t> </w:t>
      </w:r>
      <w:r>
        <w:rPr>
          <w:vertAlign w:val="baseline"/>
        </w:rPr>
        <w:t>regarding the pregnancy outcomes of transgender birthing people.</w:t>
      </w:r>
    </w:p>
    <w:p>
      <w:pPr>
        <w:pStyle w:val="BodyText"/>
        <w:spacing w:line="276" w:lineRule="auto" w:before="240"/>
        <w:ind w:left="463" w:right="240"/>
        <w:jc w:val="both"/>
      </w:pPr>
      <w:r>
        <w:rPr/>
        <w:t>Transgender</w:t>
      </w:r>
      <w:r>
        <w:rPr>
          <w:spacing w:val="-4"/>
        </w:rPr>
        <w:t> </w:t>
      </w:r>
      <w:r>
        <w:rPr/>
        <w:t>men</w:t>
      </w:r>
      <w:r>
        <w:rPr>
          <w:spacing w:val="-5"/>
        </w:rPr>
        <w:t> </w:t>
      </w:r>
      <w:r>
        <w:rPr/>
        <w:t>and</w:t>
      </w:r>
      <w:r>
        <w:rPr>
          <w:spacing w:val="-4"/>
        </w:rPr>
        <w:t> </w:t>
      </w:r>
      <w:r>
        <w:rPr/>
        <w:t>nonbinary</w:t>
      </w:r>
      <w:r>
        <w:rPr>
          <w:spacing w:val="-5"/>
        </w:rPr>
        <w:t> </w:t>
      </w:r>
      <w:r>
        <w:rPr/>
        <w:t>individuals</w:t>
      </w:r>
      <w:r>
        <w:rPr>
          <w:spacing w:val="-5"/>
        </w:rPr>
        <w:t> </w:t>
      </w:r>
      <w:r>
        <w:rPr/>
        <w:t>who</w:t>
      </w:r>
      <w:r>
        <w:rPr>
          <w:spacing w:val="-5"/>
        </w:rPr>
        <w:t> </w:t>
      </w:r>
      <w:r>
        <w:rPr/>
        <w:t>have</w:t>
      </w:r>
      <w:r>
        <w:rPr>
          <w:spacing w:val="-5"/>
        </w:rPr>
        <w:t> </w:t>
      </w:r>
      <w:r>
        <w:rPr/>
        <w:t>transitioned</w:t>
      </w:r>
      <w:r>
        <w:rPr>
          <w:spacing w:val="-5"/>
        </w:rPr>
        <w:t> </w:t>
      </w:r>
      <w:r>
        <w:rPr/>
        <w:t>hormonally</w:t>
      </w:r>
      <w:r>
        <w:rPr>
          <w:spacing w:val="-4"/>
        </w:rPr>
        <w:t> </w:t>
      </w:r>
      <w:r>
        <w:rPr/>
        <w:t>and</w:t>
      </w:r>
      <w:r>
        <w:rPr>
          <w:spacing w:val="-5"/>
        </w:rPr>
        <w:t> </w:t>
      </w:r>
      <w:r>
        <w:rPr/>
        <w:t>are</w:t>
      </w:r>
      <w:r>
        <w:rPr>
          <w:spacing w:val="-5"/>
        </w:rPr>
        <w:t> </w:t>
      </w:r>
      <w:r>
        <w:rPr/>
        <w:t>taking</w:t>
      </w:r>
      <w:r>
        <w:rPr>
          <w:spacing w:val="-5"/>
        </w:rPr>
        <w:t> </w:t>
      </w:r>
      <w:r>
        <w:rPr/>
        <w:t>testosterone but</w:t>
      </w:r>
      <w:r>
        <w:rPr>
          <w:spacing w:val="-8"/>
        </w:rPr>
        <w:t> </w:t>
      </w:r>
      <w:r>
        <w:rPr/>
        <w:t>retain</w:t>
      </w:r>
      <w:r>
        <w:rPr>
          <w:spacing w:val="-8"/>
        </w:rPr>
        <w:t> </w:t>
      </w:r>
      <w:r>
        <w:rPr/>
        <w:t>their</w:t>
      </w:r>
      <w:r>
        <w:rPr>
          <w:spacing w:val="-9"/>
        </w:rPr>
        <w:t> </w:t>
      </w:r>
      <w:r>
        <w:rPr/>
        <w:t>female</w:t>
      </w:r>
      <w:r>
        <w:rPr>
          <w:spacing w:val="-8"/>
        </w:rPr>
        <w:t> </w:t>
      </w:r>
      <w:r>
        <w:rPr/>
        <w:t>reproductive</w:t>
      </w:r>
      <w:r>
        <w:rPr>
          <w:spacing w:val="-8"/>
        </w:rPr>
        <w:t> </w:t>
      </w:r>
      <w:r>
        <w:rPr/>
        <w:t>organs</w:t>
      </w:r>
      <w:r>
        <w:rPr>
          <w:spacing w:val="-8"/>
        </w:rPr>
        <w:t> </w:t>
      </w:r>
      <w:r>
        <w:rPr/>
        <w:t>have</w:t>
      </w:r>
      <w:r>
        <w:rPr>
          <w:spacing w:val="-8"/>
        </w:rPr>
        <w:t> </w:t>
      </w:r>
      <w:r>
        <w:rPr/>
        <w:t>the</w:t>
      </w:r>
      <w:r>
        <w:rPr>
          <w:spacing w:val="-8"/>
        </w:rPr>
        <w:t> </w:t>
      </w:r>
      <w:r>
        <w:rPr/>
        <w:t>potential</w:t>
      </w:r>
      <w:r>
        <w:rPr>
          <w:spacing w:val="-8"/>
        </w:rPr>
        <w:t> </w:t>
      </w:r>
      <w:r>
        <w:rPr/>
        <w:t>to</w:t>
      </w:r>
      <w:r>
        <w:rPr>
          <w:spacing w:val="-8"/>
        </w:rPr>
        <w:t> </w:t>
      </w:r>
      <w:r>
        <w:rPr/>
        <w:t>become</w:t>
      </w:r>
      <w:r>
        <w:rPr>
          <w:spacing w:val="-8"/>
        </w:rPr>
        <w:t> </w:t>
      </w:r>
      <w:r>
        <w:rPr/>
        <w:t>pregnant.</w:t>
      </w:r>
      <w:r>
        <w:rPr>
          <w:spacing w:val="-8"/>
        </w:rPr>
        <w:t> </w:t>
      </w:r>
      <w:r>
        <w:rPr/>
        <w:t>Since</w:t>
      </w:r>
      <w:r>
        <w:rPr>
          <w:spacing w:val="-8"/>
        </w:rPr>
        <w:t> </w:t>
      </w:r>
      <w:r>
        <w:rPr/>
        <w:t>the</w:t>
      </w:r>
      <w:r>
        <w:rPr>
          <w:spacing w:val="-6"/>
        </w:rPr>
        <w:t> </w:t>
      </w:r>
      <w:r>
        <w:rPr/>
        <w:t>United</w:t>
      </w:r>
      <w:r>
        <w:rPr>
          <w:spacing w:val="-8"/>
        </w:rPr>
        <w:t> </w:t>
      </w:r>
      <w:r>
        <w:rPr/>
        <w:t>States has been tracking pregnant people as female, there is a lack of data on how many transgender men and nonbinary people give birth each year. A report on pregnancy in transgender men found that pregnant transmasculine individuals who were previously on testosterone therapy preferred to have elective cesarean as the mode of delivery to lessen dysphoria</w:t>
      </w:r>
      <w:hyperlink w:history="true" w:anchor="_bookmark227">
        <w:r>
          <w:rPr/>
          <w:t>.</w:t>
        </w:r>
        <w:r>
          <w:rPr>
            <w:vertAlign w:val="superscript"/>
          </w:rPr>
          <w:t>34</w:t>
        </w:r>
      </w:hyperlink>
      <w:r>
        <w:rPr>
          <w:vertAlign w:val="baseline"/>
        </w:rPr>
        <w:t>A Rutgers University study shows that pregnant transgender</w:t>
      </w:r>
      <w:r>
        <w:rPr>
          <w:spacing w:val="-8"/>
          <w:vertAlign w:val="baseline"/>
        </w:rPr>
        <w:t> </w:t>
      </w:r>
      <w:r>
        <w:rPr>
          <w:vertAlign w:val="baseline"/>
        </w:rPr>
        <w:t>men</w:t>
      </w:r>
      <w:r>
        <w:rPr>
          <w:spacing w:val="-8"/>
          <w:vertAlign w:val="baseline"/>
        </w:rPr>
        <w:t> </w:t>
      </w:r>
      <w:r>
        <w:rPr>
          <w:vertAlign w:val="baseline"/>
        </w:rPr>
        <w:t>are</w:t>
      </w:r>
      <w:r>
        <w:rPr>
          <w:spacing w:val="-8"/>
          <w:vertAlign w:val="baseline"/>
        </w:rPr>
        <w:t> </w:t>
      </w:r>
      <w:r>
        <w:rPr>
          <w:vertAlign w:val="baseline"/>
        </w:rPr>
        <w:t>at</w:t>
      </w:r>
      <w:r>
        <w:rPr>
          <w:spacing w:val="-8"/>
          <w:vertAlign w:val="baseline"/>
        </w:rPr>
        <w:t> </w:t>
      </w:r>
      <w:r>
        <w:rPr>
          <w:vertAlign w:val="baseline"/>
        </w:rPr>
        <w:t>risk</w:t>
      </w:r>
      <w:r>
        <w:rPr>
          <w:spacing w:val="-8"/>
          <w:vertAlign w:val="baseline"/>
        </w:rPr>
        <w:t> </w:t>
      </w:r>
      <w:r>
        <w:rPr>
          <w:vertAlign w:val="baseline"/>
        </w:rPr>
        <w:t>for</w:t>
      </w:r>
      <w:r>
        <w:rPr>
          <w:spacing w:val="-8"/>
          <w:vertAlign w:val="baseline"/>
        </w:rPr>
        <w:t> </w:t>
      </w:r>
      <w:r>
        <w:rPr>
          <w:vertAlign w:val="baseline"/>
        </w:rPr>
        <w:t>depression</w:t>
      </w:r>
      <w:hyperlink w:history="true" w:anchor="_bookmark228">
        <w:r>
          <w:rPr>
            <w:vertAlign w:val="baseline"/>
          </w:rPr>
          <w:t>.</w:t>
        </w:r>
        <w:r>
          <w:rPr>
            <w:vertAlign w:val="superscript"/>
          </w:rPr>
          <w:t>35</w:t>
        </w:r>
      </w:hyperlink>
      <w:r>
        <w:rPr>
          <w:spacing w:val="-8"/>
          <w:vertAlign w:val="baseline"/>
        </w:rPr>
        <w:t> </w:t>
      </w:r>
      <w:r>
        <w:rPr>
          <w:vertAlign w:val="baseline"/>
        </w:rPr>
        <w:t>This</w:t>
      </w:r>
      <w:r>
        <w:rPr>
          <w:spacing w:val="-7"/>
          <w:vertAlign w:val="baseline"/>
        </w:rPr>
        <w:t> </w:t>
      </w:r>
      <w:r>
        <w:rPr>
          <w:vertAlign w:val="baseline"/>
        </w:rPr>
        <w:t>is</w:t>
      </w:r>
      <w:r>
        <w:rPr>
          <w:spacing w:val="-7"/>
          <w:vertAlign w:val="baseline"/>
        </w:rPr>
        <w:t> </w:t>
      </w:r>
      <w:r>
        <w:rPr>
          <w:vertAlign w:val="baseline"/>
        </w:rPr>
        <w:t>alarming</w:t>
      </w:r>
      <w:r>
        <w:rPr>
          <w:spacing w:val="-8"/>
          <w:vertAlign w:val="baseline"/>
        </w:rPr>
        <w:t> </w:t>
      </w:r>
      <w:r>
        <w:rPr>
          <w:vertAlign w:val="baseline"/>
        </w:rPr>
        <w:t>since</w:t>
      </w:r>
      <w:r>
        <w:rPr>
          <w:spacing w:val="-7"/>
          <w:vertAlign w:val="baseline"/>
        </w:rPr>
        <w:t> </w:t>
      </w:r>
      <w:r>
        <w:rPr>
          <w:vertAlign w:val="baseline"/>
        </w:rPr>
        <w:t>transgender</w:t>
      </w:r>
      <w:r>
        <w:rPr>
          <w:spacing w:val="-8"/>
          <w:vertAlign w:val="baseline"/>
        </w:rPr>
        <w:t> </w:t>
      </w:r>
      <w:r>
        <w:rPr>
          <w:vertAlign w:val="baseline"/>
        </w:rPr>
        <w:t>individuals</w:t>
      </w:r>
      <w:r>
        <w:rPr>
          <w:spacing w:val="-7"/>
          <w:vertAlign w:val="baseline"/>
        </w:rPr>
        <w:t> </w:t>
      </w:r>
      <w:r>
        <w:rPr>
          <w:vertAlign w:val="baseline"/>
        </w:rPr>
        <w:t>are</w:t>
      </w:r>
      <w:r>
        <w:rPr>
          <w:spacing w:val="-8"/>
          <w:vertAlign w:val="baseline"/>
        </w:rPr>
        <w:t> </w:t>
      </w:r>
      <w:r>
        <w:rPr>
          <w:vertAlign w:val="baseline"/>
        </w:rPr>
        <w:t>at</w:t>
      </w:r>
      <w:r>
        <w:rPr>
          <w:spacing w:val="-8"/>
          <w:vertAlign w:val="baseline"/>
        </w:rPr>
        <w:t> </w:t>
      </w:r>
      <w:r>
        <w:rPr>
          <w:vertAlign w:val="baseline"/>
        </w:rPr>
        <w:t>higher</w:t>
      </w:r>
      <w:r>
        <w:rPr>
          <w:spacing w:val="-8"/>
          <w:vertAlign w:val="baseline"/>
        </w:rPr>
        <w:t> </w:t>
      </w:r>
      <w:r>
        <w:rPr>
          <w:vertAlign w:val="baseline"/>
        </w:rPr>
        <w:t>risk for suicide compared to the general population in the United States</w:t>
      </w:r>
      <w:hyperlink w:history="true" w:anchor="_bookmark229">
        <w:r>
          <w:rPr>
            <w:vertAlign w:val="baseline"/>
          </w:rPr>
          <w:t>.</w:t>
        </w:r>
        <w:r>
          <w:rPr>
            <w:vertAlign w:val="superscript"/>
          </w:rPr>
          <w:t>36</w:t>
        </w:r>
      </w:hyperlink>
      <w:r>
        <w:rPr>
          <w:vertAlign w:val="baseline"/>
        </w:rPr>
        <w:t> Just as a cisgender woman is at risk for postpartum depression, transmasculine patients who give birth are also at risk for postpartum </w:t>
      </w:r>
      <w:r>
        <w:rPr>
          <w:spacing w:val="-2"/>
          <w:vertAlign w:val="baseline"/>
        </w:rPr>
        <w:t>depression.</w:t>
      </w:r>
    </w:p>
    <w:p>
      <w:pPr>
        <w:pStyle w:val="BodyText"/>
        <w:spacing w:line="276" w:lineRule="auto" w:before="240"/>
        <w:ind w:left="463" w:right="241"/>
        <w:jc w:val="both"/>
      </w:pPr>
      <w:r>
        <w:rPr/>
        <w:t>A study that interviewed 22 healthcare providers demonstrated that they typically advised transgender patients</w:t>
      </w:r>
      <w:r>
        <w:rPr>
          <w:spacing w:val="-12"/>
        </w:rPr>
        <w:t> </w:t>
      </w:r>
      <w:r>
        <w:rPr/>
        <w:t>to</w:t>
      </w:r>
      <w:r>
        <w:rPr>
          <w:spacing w:val="-11"/>
        </w:rPr>
        <w:t> </w:t>
      </w:r>
      <w:r>
        <w:rPr/>
        <w:t>discontinue</w:t>
      </w:r>
      <w:r>
        <w:rPr>
          <w:spacing w:val="-11"/>
        </w:rPr>
        <w:t> </w:t>
      </w:r>
      <w:r>
        <w:rPr/>
        <w:t>testosterone</w:t>
      </w:r>
      <w:r>
        <w:rPr>
          <w:spacing w:val="-11"/>
        </w:rPr>
        <w:t> </w:t>
      </w:r>
      <w:r>
        <w:rPr/>
        <w:t>therapy</w:t>
      </w:r>
      <w:r>
        <w:rPr>
          <w:spacing w:val="-12"/>
        </w:rPr>
        <w:t> </w:t>
      </w:r>
      <w:r>
        <w:rPr/>
        <w:t>either</w:t>
      </w:r>
      <w:r>
        <w:rPr>
          <w:spacing w:val="-11"/>
        </w:rPr>
        <w:t> </w:t>
      </w:r>
      <w:r>
        <w:rPr/>
        <w:t>six</w:t>
      </w:r>
      <w:r>
        <w:rPr>
          <w:spacing w:val="-11"/>
        </w:rPr>
        <w:t> </w:t>
      </w:r>
      <w:r>
        <w:rPr/>
        <w:t>months</w:t>
      </w:r>
      <w:r>
        <w:rPr>
          <w:spacing w:val="-11"/>
        </w:rPr>
        <w:t> </w:t>
      </w:r>
      <w:r>
        <w:rPr/>
        <w:t>before</w:t>
      </w:r>
      <w:r>
        <w:rPr>
          <w:spacing w:val="-13"/>
        </w:rPr>
        <w:t> </w:t>
      </w:r>
      <w:r>
        <w:rPr/>
        <w:t>trying</w:t>
      </w:r>
      <w:r>
        <w:rPr>
          <w:spacing w:val="-10"/>
        </w:rPr>
        <w:t> </w:t>
      </w:r>
      <w:r>
        <w:rPr/>
        <w:t>to</w:t>
      </w:r>
      <w:r>
        <w:rPr>
          <w:spacing w:val="-11"/>
        </w:rPr>
        <w:t> </w:t>
      </w:r>
      <w:r>
        <w:rPr/>
        <w:t>get</w:t>
      </w:r>
      <w:r>
        <w:rPr>
          <w:spacing w:val="-12"/>
        </w:rPr>
        <w:t> </w:t>
      </w:r>
      <w:r>
        <w:rPr/>
        <w:t>pregnant</w:t>
      </w:r>
      <w:r>
        <w:rPr>
          <w:spacing w:val="-10"/>
        </w:rPr>
        <w:t> </w:t>
      </w:r>
      <w:r>
        <w:rPr/>
        <w:t>or</w:t>
      </w:r>
      <w:r>
        <w:rPr>
          <w:spacing w:val="-12"/>
        </w:rPr>
        <w:t> </w:t>
      </w:r>
      <w:r>
        <w:rPr/>
        <w:t>immediately after</w:t>
      </w:r>
      <w:r>
        <w:rPr>
          <w:spacing w:val="-10"/>
        </w:rPr>
        <w:t> </w:t>
      </w:r>
      <w:r>
        <w:rPr/>
        <w:t>finding</w:t>
      </w:r>
      <w:r>
        <w:rPr>
          <w:spacing w:val="-8"/>
        </w:rPr>
        <w:t> </w:t>
      </w:r>
      <w:r>
        <w:rPr/>
        <w:t>out</w:t>
      </w:r>
      <w:r>
        <w:rPr>
          <w:spacing w:val="-10"/>
        </w:rPr>
        <w:t> </w:t>
      </w:r>
      <w:r>
        <w:rPr/>
        <w:t>about</w:t>
      </w:r>
      <w:r>
        <w:rPr>
          <w:spacing w:val="-9"/>
        </w:rPr>
        <w:t> </w:t>
      </w:r>
      <w:r>
        <w:rPr/>
        <w:t>the</w:t>
      </w:r>
      <w:r>
        <w:rPr>
          <w:spacing w:val="-9"/>
        </w:rPr>
        <w:t> </w:t>
      </w:r>
      <w:r>
        <w:rPr/>
        <w:t>pregnancy;</w:t>
      </w:r>
      <w:r>
        <w:rPr>
          <w:spacing w:val="-9"/>
        </w:rPr>
        <w:t> </w:t>
      </w:r>
      <w:r>
        <w:rPr/>
        <w:t>they</w:t>
      </w:r>
      <w:r>
        <w:rPr>
          <w:spacing w:val="-10"/>
        </w:rPr>
        <w:t> </w:t>
      </w:r>
      <w:r>
        <w:rPr/>
        <w:t>also</w:t>
      </w:r>
      <w:r>
        <w:rPr>
          <w:spacing w:val="-9"/>
        </w:rPr>
        <w:t> </w:t>
      </w:r>
      <w:r>
        <w:rPr/>
        <w:t>advised</w:t>
      </w:r>
      <w:r>
        <w:rPr>
          <w:spacing w:val="-10"/>
        </w:rPr>
        <w:t> </w:t>
      </w:r>
      <w:r>
        <w:rPr/>
        <w:t>withholding</w:t>
      </w:r>
      <w:r>
        <w:rPr>
          <w:spacing w:val="-9"/>
        </w:rPr>
        <w:t> </w:t>
      </w:r>
      <w:r>
        <w:rPr/>
        <w:t>hormone</w:t>
      </w:r>
      <w:r>
        <w:rPr>
          <w:spacing w:val="-9"/>
        </w:rPr>
        <w:t> </w:t>
      </w:r>
      <w:r>
        <w:rPr/>
        <w:t>therapy</w:t>
      </w:r>
      <w:r>
        <w:rPr>
          <w:spacing w:val="-9"/>
        </w:rPr>
        <w:t> </w:t>
      </w:r>
      <w:r>
        <w:rPr/>
        <w:t>during</w:t>
      </w:r>
      <w:r>
        <w:rPr>
          <w:spacing w:val="-10"/>
        </w:rPr>
        <w:t> </w:t>
      </w:r>
      <w:r>
        <w:rPr/>
        <w:t>chestfeeding. These</w:t>
      </w:r>
      <w:r>
        <w:rPr>
          <w:spacing w:val="-10"/>
        </w:rPr>
        <w:t> </w:t>
      </w:r>
      <w:r>
        <w:rPr/>
        <w:t>guidelines</w:t>
      </w:r>
      <w:r>
        <w:rPr>
          <w:spacing w:val="-11"/>
        </w:rPr>
        <w:t> </w:t>
      </w:r>
      <w:r>
        <w:rPr/>
        <w:t>are</w:t>
      </w:r>
      <w:r>
        <w:rPr>
          <w:spacing w:val="-12"/>
        </w:rPr>
        <w:t> </w:t>
      </w:r>
      <w:r>
        <w:rPr/>
        <w:t>advised</w:t>
      </w:r>
      <w:r>
        <w:rPr>
          <w:spacing w:val="-11"/>
        </w:rPr>
        <w:t> </w:t>
      </w:r>
      <w:r>
        <w:rPr/>
        <w:t>to</w:t>
      </w:r>
      <w:r>
        <w:rPr>
          <w:spacing w:val="-11"/>
        </w:rPr>
        <w:t> </w:t>
      </w:r>
      <w:r>
        <w:rPr/>
        <w:t>pregnant</w:t>
      </w:r>
      <w:r>
        <w:rPr>
          <w:spacing w:val="-11"/>
        </w:rPr>
        <w:t> </w:t>
      </w:r>
      <w:r>
        <w:rPr/>
        <w:t>transmen</w:t>
      </w:r>
      <w:r>
        <w:rPr>
          <w:spacing w:val="-9"/>
        </w:rPr>
        <w:t> </w:t>
      </w:r>
      <w:r>
        <w:rPr/>
        <w:t>and</w:t>
      </w:r>
      <w:r>
        <w:rPr>
          <w:spacing w:val="-12"/>
        </w:rPr>
        <w:t> </w:t>
      </w:r>
      <w:r>
        <w:rPr/>
        <w:t>nonbinary</w:t>
      </w:r>
      <w:r>
        <w:rPr>
          <w:spacing w:val="-11"/>
        </w:rPr>
        <w:t> </w:t>
      </w:r>
      <w:r>
        <w:rPr/>
        <w:t>patients</w:t>
      </w:r>
      <w:r>
        <w:rPr>
          <w:spacing w:val="-11"/>
        </w:rPr>
        <w:t> </w:t>
      </w:r>
      <w:r>
        <w:rPr/>
        <w:t>out</w:t>
      </w:r>
      <w:r>
        <w:rPr>
          <w:spacing w:val="-11"/>
        </w:rPr>
        <w:t> </w:t>
      </w:r>
      <w:r>
        <w:rPr/>
        <w:t>of</w:t>
      </w:r>
      <w:r>
        <w:rPr>
          <w:spacing w:val="-11"/>
        </w:rPr>
        <w:t> </w:t>
      </w:r>
      <w:r>
        <w:rPr/>
        <w:t>concern</w:t>
      </w:r>
      <w:r>
        <w:rPr>
          <w:spacing w:val="-10"/>
        </w:rPr>
        <w:t> </w:t>
      </w:r>
      <w:r>
        <w:rPr/>
        <w:t>that</w:t>
      </w:r>
      <w:r>
        <w:rPr>
          <w:spacing w:val="-12"/>
        </w:rPr>
        <w:t> </w:t>
      </w:r>
      <w:r>
        <w:rPr/>
        <w:t>testosterone will cause excess androgen exposure to the fetus. The same study interviewed 70 transgender and nonbinary people who were pregnant or were intending to be pregnant; they reported that they felt like they had to choose between their mental health or the well-being of their child when making decisions about pausing hormone therapy during pregnancy. There is inadequate empirical evidence guiding the practice of pausing testosterone therapy for pregnant transmen and gender-diverse patients. Most of the existing</w:t>
      </w:r>
      <w:r>
        <w:rPr>
          <w:spacing w:val="25"/>
        </w:rPr>
        <w:t> </w:t>
      </w:r>
      <w:r>
        <w:rPr/>
        <w:t>medical</w:t>
      </w:r>
      <w:r>
        <w:rPr>
          <w:spacing w:val="24"/>
        </w:rPr>
        <w:t> </w:t>
      </w:r>
      <w:r>
        <w:rPr/>
        <w:t>research</w:t>
      </w:r>
      <w:r>
        <w:rPr>
          <w:spacing w:val="25"/>
        </w:rPr>
        <w:t> </w:t>
      </w:r>
      <w:r>
        <w:rPr/>
        <w:t>on</w:t>
      </w:r>
      <w:r>
        <w:rPr>
          <w:spacing w:val="24"/>
        </w:rPr>
        <w:t> </w:t>
      </w:r>
      <w:r>
        <w:rPr/>
        <w:t>the</w:t>
      </w:r>
      <w:r>
        <w:rPr>
          <w:spacing w:val="24"/>
        </w:rPr>
        <w:t> </w:t>
      </w:r>
      <w:r>
        <w:rPr/>
        <w:t>effects</w:t>
      </w:r>
      <w:r>
        <w:rPr>
          <w:spacing w:val="24"/>
        </w:rPr>
        <w:t> </w:t>
      </w:r>
      <w:r>
        <w:rPr/>
        <w:t>of</w:t>
      </w:r>
      <w:r>
        <w:rPr>
          <w:spacing w:val="24"/>
        </w:rPr>
        <w:t> </w:t>
      </w:r>
      <w:r>
        <w:rPr/>
        <w:t>excess</w:t>
      </w:r>
      <w:r>
        <w:rPr>
          <w:spacing w:val="24"/>
        </w:rPr>
        <w:t> </w:t>
      </w:r>
      <w:r>
        <w:rPr/>
        <w:t>androgen</w:t>
      </w:r>
      <w:r>
        <w:rPr>
          <w:spacing w:val="24"/>
        </w:rPr>
        <w:t> </w:t>
      </w:r>
      <w:r>
        <w:rPr/>
        <w:t>exposure</w:t>
      </w:r>
      <w:r>
        <w:rPr>
          <w:spacing w:val="24"/>
        </w:rPr>
        <w:t> </w:t>
      </w:r>
      <w:r>
        <w:rPr/>
        <w:t>to</w:t>
      </w:r>
      <w:r>
        <w:rPr>
          <w:spacing w:val="25"/>
        </w:rPr>
        <w:t> </w:t>
      </w:r>
      <w:r>
        <w:rPr/>
        <w:t>the</w:t>
      </w:r>
      <w:r>
        <w:rPr>
          <w:spacing w:val="25"/>
        </w:rPr>
        <w:t> </w:t>
      </w:r>
      <w:r>
        <w:rPr/>
        <w:t>fetus</w:t>
      </w:r>
      <w:r>
        <w:rPr>
          <w:spacing w:val="24"/>
        </w:rPr>
        <w:t> </w:t>
      </w:r>
      <w:r>
        <w:rPr/>
        <w:t>focuses</w:t>
      </w:r>
      <w:r>
        <w:rPr>
          <w:spacing w:val="26"/>
        </w:rPr>
        <w:t> </w:t>
      </w:r>
      <w:r>
        <w:rPr/>
        <w:t>on</w:t>
      </w:r>
      <w:r>
        <w:rPr>
          <w:spacing w:val="24"/>
        </w:rPr>
        <w:t> </w:t>
      </w:r>
      <w:r>
        <w:rPr/>
        <w:t>pregnant</w:t>
      </w:r>
    </w:p>
    <w:p>
      <w:pPr>
        <w:spacing w:after="0" w:line="276" w:lineRule="auto"/>
        <w:jc w:val="both"/>
        <w:sectPr>
          <w:pgSz w:w="12240" w:h="15840"/>
          <w:pgMar w:header="800" w:footer="1530" w:top="1080" w:bottom="1760" w:left="980" w:right="1000"/>
        </w:sectPr>
      </w:pPr>
    </w:p>
    <w:p>
      <w:pPr>
        <w:pStyle w:val="BodyText"/>
        <w:spacing w:line="276" w:lineRule="auto" w:before="69"/>
        <w:ind w:left="463" w:right="241"/>
        <w:jc w:val="both"/>
      </w:pPr>
      <w:r>
        <w:rPr/>
        <w:t>people with polycystic ovary syndrome whose testosterone levels fall between those of cisgender women and</w:t>
      </w:r>
      <w:r>
        <w:rPr>
          <w:spacing w:val="-1"/>
        </w:rPr>
        <w:t> </w:t>
      </w:r>
      <w:r>
        <w:rPr/>
        <w:t>cisgender men</w:t>
      </w:r>
      <w:hyperlink w:history="true" w:anchor="_bookmark230">
        <w:r>
          <w:rPr/>
          <w:t>.</w:t>
        </w:r>
        <w:r>
          <w:rPr>
            <w:vertAlign w:val="superscript"/>
          </w:rPr>
          <w:t>37</w:t>
        </w:r>
      </w:hyperlink>
      <w:r>
        <w:rPr>
          <w:spacing w:val="-1"/>
          <w:vertAlign w:val="baseline"/>
        </w:rPr>
        <w:t> </w:t>
      </w:r>
      <w:r>
        <w:rPr>
          <w:vertAlign w:val="baseline"/>
        </w:rPr>
        <w:t>More</w:t>
      </w:r>
      <w:r>
        <w:rPr>
          <w:spacing w:val="-1"/>
          <w:vertAlign w:val="baseline"/>
        </w:rPr>
        <w:t> </w:t>
      </w:r>
      <w:r>
        <w:rPr>
          <w:vertAlign w:val="baseline"/>
        </w:rPr>
        <w:t>research</w:t>
      </w:r>
      <w:r>
        <w:rPr>
          <w:spacing w:val="-1"/>
          <w:vertAlign w:val="baseline"/>
        </w:rPr>
        <w:t> </w:t>
      </w:r>
      <w:r>
        <w:rPr>
          <w:vertAlign w:val="baseline"/>
        </w:rPr>
        <w:t>on various dosages of testosterone</w:t>
      </w:r>
      <w:r>
        <w:rPr>
          <w:spacing w:val="-1"/>
          <w:vertAlign w:val="baseline"/>
        </w:rPr>
        <w:t> </w:t>
      </w:r>
      <w:r>
        <w:rPr>
          <w:vertAlign w:val="baseline"/>
        </w:rPr>
        <w:t>may affect</w:t>
      </w:r>
      <w:r>
        <w:rPr>
          <w:spacing w:val="-1"/>
          <w:vertAlign w:val="baseline"/>
        </w:rPr>
        <w:t> </w:t>
      </w:r>
      <w:r>
        <w:rPr>
          <w:vertAlign w:val="baseline"/>
        </w:rPr>
        <w:t>all</w:t>
      </w:r>
      <w:r>
        <w:rPr>
          <w:spacing w:val="-1"/>
          <w:vertAlign w:val="baseline"/>
        </w:rPr>
        <w:t> </w:t>
      </w:r>
      <w:r>
        <w:rPr>
          <w:vertAlign w:val="baseline"/>
        </w:rPr>
        <w:t>stages of pregnancy and</w:t>
      </w:r>
      <w:r>
        <w:rPr>
          <w:spacing w:val="-5"/>
          <w:vertAlign w:val="baseline"/>
        </w:rPr>
        <w:t> </w:t>
      </w:r>
      <w:r>
        <w:rPr>
          <w:vertAlign w:val="baseline"/>
        </w:rPr>
        <w:t>chestfeeding</w:t>
      </w:r>
      <w:r>
        <w:rPr>
          <w:spacing w:val="-5"/>
          <w:vertAlign w:val="baseline"/>
        </w:rPr>
        <w:t> </w:t>
      </w:r>
      <w:r>
        <w:rPr>
          <w:vertAlign w:val="baseline"/>
        </w:rPr>
        <w:t>and</w:t>
      </w:r>
      <w:r>
        <w:rPr>
          <w:spacing w:val="-4"/>
          <w:vertAlign w:val="baseline"/>
        </w:rPr>
        <w:t> </w:t>
      </w:r>
      <w:r>
        <w:rPr>
          <w:vertAlign w:val="baseline"/>
        </w:rPr>
        <w:t>is</w:t>
      </w:r>
      <w:r>
        <w:rPr>
          <w:spacing w:val="-5"/>
          <w:vertAlign w:val="baseline"/>
        </w:rPr>
        <w:t> </w:t>
      </w:r>
      <w:r>
        <w:rPr>
          <w:vertAlign w:val="baseline"/>
        </w:rPr>
        <w:t>needed</w:t>
      </w:r>
      <w:r>
        <w:rPr>
          <w:spacing w:val="-5"/>
          <w:vertAlign w:val="baseline"/>
        </w:rPr>
        <w:t> </w:t>
      </w:r>
      <w:r>
        <w:rPr>
          <w:vertAlign w:val="baseline"/>
        </w:rPr>
        <w:t>to</w:t>
      </w:r>
      <w:r>
        <w:rPr>
          <w:spacing w:val="-5"/>
          <w:vertAlign w:val="baseline"/>
        </w:rPr>
        <w:t> </w:t>
      </w:r>
      <w:r>
        <w:rPr>
          <w:vertAlign w:val="baseline"/>
        </w:rPr>
        <w:t>further</w:t>
      </w:r>
      <w:r>
        <w:rPr>
          <w:spacing w:val="-5"/>
          <w:vertAlign w:val="baseline"/>
        </w:rPr>
        <w:t> </w:t>
      </w:r>
      <w:r>
        <w:rPr>
          <w:vertAlign w:val="baseline"/>
        </w:rPr>
        <w:t>expand</w:t>
      </w:r>
      <w:r>
        <w:rPr>
          <w:spacing w:val="-5"/>
          <w:vertAlign w:val="baseline"/>
        </w:rPr>
        <w:t> </w:t>
      </w:r>
      <w:r>
        <w:rPr>
          <w:vertAlign w:val="baseline"/>
        </w:rPr>
        <w:t>better</w:t>
      </w:r>
      <w:r>
        <w:rPr>
          <w:spacing w:val="-5"/>
          <w:vertAlign w:val="baseline"/>
        </w:rPr>
        <w:t> </w:t>
      </w:r>
      <w:r>
        <w:rPr>
          <w:vertAlign w:val="baseline"/>
        </w:rPr>
        <w:t>pregnancy</w:t>
      </w:r>
      <w:r>
        <w:rPr>
          <w:spacing w:val="-5"/>
          <w:vertAlign w:val="baseline"/>
        </w:rPr>
        <w:t> </w:t>
      </w:r>
      <w:r>
        <w:rPr>
          <w:vertAlign w:val="baseline"/>
        </w:rPr>
        <w:t>and</w:t>
      </w:r>
      <w:r>
        <w:rPr>
          <w:spacing w:val="-5"/>
          <w:vertAlign w:val="baseline"/>
        </w:rPr>
        <w:t> </w:t>
      </w:r>
      <w:r>
        <w:rPr>
          <w:vertAlign w:val="baseline"/>
        </w:rPr>
        <w:t>birthing</w:t>
      </w:r>
      <w:r>
        <w:rPr>
          <w:spacing w:val="-5"/>
          <w:vertAlign w:val="baseline"/>
        </w:rPr>
        <w:t> </w:t>
      </w:r>
      <w:r>
        <w:rPr>
          <w:vertAlign w:val="baseline"/>
        </w:rPr>
        <w:t>outcomes</w:t>
      </w:r>
      <w:r>
        <w:rPr>
          <w:spacing w:val="-5"/>
          <w:vertAlign w:val="baseline"/>
        </w:rPr>
        <w:t> </w:t>
      </w:r>
      <w:r>
        <w:rPr>
          <w:vertAlign w:val="baseline"/>
        </w:rPr>
        <w:t>for</w:t>
      </w:r>
      <w:r>
        <w:rPr>
          <w:spacing w:val="-5"/>
          <w:vertAlign w:val="baseline"/>
        </w:rPr>
        <w:t> </w:t>
      </w:r>
      <w:r>
        <w:rPr>
          <w:vertAlign w:val="baseline"/>
        </w:rPr>
        <w:t>transgender and</w:t>
      </w:r>
      <w:r>
        <w:rPr>
          <w:spacing w:val="40"/>
          <w:vertAlign w:val="baseline"/>
        </w:rPr>
        <w:t> </w:t>
      </w:r>
      <w:r>
        <w:rPr>
          <w:vertAlign w:val="baseline"/>
        </w:rPr>
        <w:t>nonbinary</w:t>
      </w:r>
      <w:r>
        <w:rPr>
          <w:spacing w:val="40"/>
          <w:vertAlign w:val="baseline"/>
        </w:rPr>
        <w:t> </w:t>
      </w:r>
      <w:r>
        <w:rPr>
          <w:vertAlign w:val="baseline"/>
        </w:rPr>
        <w:t>birthing</w:t>
      </w:r>
      <w:r>
        <w:rPr>
          <w:spacing w:val="40"/>
          <w:vertAlign w:val="baseline"/>
        </w:rPr>
        <w:t> </w:t>
      </w:r>
      <w:r>
        <w:rPr>
          <w:vertAlign w:val="baseline"/>
        </w:rPr>
        <w:t>people.</w:t>
      </w:r>
      <w:r>
        <w:rPr>
          <w:spacing w:val="40"/>
          <w:vertAlign w:val="baseline"/>
        </w:rPr>
        <w:t> </w:t>
      </w:r>
      <w:r>
        <w:rPr>
          <w:vertAlign w:val="baseline"/>
        </w:rPr>
        <w:t>It’s</w:t>
      </w:r>
      <w:r>
        <w:rPr>
          <w:spacing w:val="40"/>
          <w:vertAlign w:val="baseline"/>
        </w:rPr>
        <w:t> </w:t>
      </w:r>
      <w:r>
        <w:rPr>
          <w:vertAlign w:val="baseline"/>
        </w:rPr>
        <w:t>important</w:t>
      </w:r>
      <w:r>
        <w:rPr>
          <w:spacing w:val="40"/>
          <w:vertAlign w:val="baseline"/>
        </w:rPr>
        <w:t> </w:t>
      </w:r>
      <w:r>
        <w:rPr>
          <w:vertAlign w:val="baseline"/>
        </w:rPr>
        <w:t>for</w:t>
      </w:r>
      <w:r>
        <w:rPr>
          <w:spacing w:val="40"/>
          <w:vertAlign w:val="baseline"/>
        </w:rPr>
        <w:t> </w:t>
      </w:r>
      <w:r>
        <w:rPr>
          <w:vertAlign w:val="baseline"/>
        </w:rPr>
        <w:t>healthcare</w:t>
      </w:r>
      <w:r>
        <w:rPr>
          <w:spacing w:val="40"/>
          <w:vertAlign w:val="baseline"/>
        </w:rPr>
        <w:t> </w:t>
      </w:r>
      <w:r>
        <w:rPr>
          <w:vertAlign w:val="baseline"/>
        </w:rPr>
        <w:t>providers</w:t>
      </w:r>
      <w:r>
        <w:rPr>
          <w:spacing w:val="40"/>
          <w:vertAlign w:val="baseline"/>
        </w:rPr>
        <w:t> </w:t>
      </w:r>
      <w:r>
        <w:rPr>
          <w:vertAlign w:val="baseline"/>
        </w:rPr>
        <w:t>to</w:t>
      </w:r>
      <w:r>
        <w:rPr>
          <w:spacing w:val="40"/>
          <w:vertAlign w:val="baseline"/>
        </w:rPr>
        <w:t> </w:t>
      </w:r>
      <w:r>
        <w:rPr>
          <w:vertAlign w:val="baseline"/>
        </w:rPr>
        <w:t>understand</w:t>
      </w:r>
      <w:r>
        <w:rPr>
          <w:spacing w:val="40"/>
          <w:vertAlign w:val="baseline"/>
        </w:rPr>
        <w:t> </w:t>
      </w:r>
      <w:r>
        <w:rPr>
          <w:vertAlign w:val="baseline"/>
        </w:rPr>
        <w:t>how</w:t>
      </w:r>
      <w:r>
        <w:rPr>
          <w:spacing w:val="40"/>
          <w:vertAlign w:val="baseline"/>
        </w:rPr>
        <w:t> </w:t>
      </w:r>
      <w:r>
        <w:rPr>
          <w:vertAlign w:val="baseline"/>
        </w:rPr>
        <w:t>gendered</w:t>
      </w:r>
    </w:p>
    <w:p>
      <w:pPr>
        <w:pStyle w:val="BodyText"/>
        <w:spacing w:before="4"/>
        <w:rPr>
          <w:sz w:val="10"/>
        </w:rPr>
      </w:pPr>
      <w:r>
        <w:rPr/>
        <w:drawing>
          <wp:anchor distT="0" distB="0" distL="0" distR="0" allowOverlap="1" layoutInCell="1" locked="0" behindDoc="1" simplePos="0" relativeHeight="487638528">
            <wp:simplePos x="0" y="0"/>
            <wp:positionH relativeFrom="page">
              <wp:posOffset>2190750</wp:posOffset>
            </wp:positionH>
            <wp:positionV relativeFrom="paragraph">
              <wp:posOffset>95407</wp:posOffset>
            </wp:positionV>
            <wp:extent cx="3368192" cy="2357723"/>
            <wp:effectExtent l="0" t="0" r="0" b="0"/>
            <wp:wrapTopAndBottom/>
            <wp:docPr id="293" name="Image 293"/>
            <wp:cNvGraphicFramePr>
              <a:graphicFrameLocks/>
            </wp:cNvGraphicFramePr>
            <a:graphic>
              <a:graphicData uri="http://schemas.openxmlformats.org/drawingml/2006/picture">
                <pic:pic>
                  <pic:nvPicPr>
                    <pic:cNvPr id="293" name="Image 293"/>
                    <pic:cNvPicPr/>
                  </pic:nvPicPr>
                  <pic:blipFill>
                    <a:blip r:embed="rId315" cstate="print"/>
                    <a:stretch>
                      <a:fillRect/>
                    </a:stretch>
                  </pic:blipFill>
                  <pic:spPr>
                    <a:xfrm>
                      <a:off x="0" y="0"/>
                      <a:ext cx="3368192" cy="2357723"/>
                    </a:xfrm>
                    <a:prstGeom prst="rect">
                      <a:avLst/>
                    </a:prstGeom>
                  </pic:spPr>
                </pic:pic>
              </a:graphicData>
            </a:graphic>
          </wp:anchor>
        </w:drawing>
      </w:r>
    </w:p>
    <w:p>
      <w:pPr>
        <w:pStyle w:val="BodyText"/>
        <w:spacing w:line="276" w:lineRule="auto" w:before="160"/>
        <w:ind w:left="463" w:right="243"/>
        <w:jc w:val="both"/>
      </w:pPr>
      <w:r>
        <w:rPr/>
        <w:t>expectations</w:t>
      </w:r>
      <w:r>
        <w:rPr>
          <w:spacing w:val="40"/>
        </w:rPr>
        <w:t> </w:t>
      </w:r>
      <w:r>
        <w:rPr/>
        <w:t>and heteronormative ideals of birthing could elicit gender dysmorphia, depression, and distress for birthing transgender people even if they desired pregnancy from the beginning.</w:t>
      </w:r>
    </w:p>
    <w:p>
      <w:pPr>
        <w:spacing w:before="239"/>
        <w:ind w:left="463" w:right="0" w:firstLine="0"/>
        <w:jc w:val="both"/>
        <w:rPr>
          <w:sz w:val="28"/>
        </w:rPr>
      </w:pPr>
      <w:bookmarkStart w:name="Fertility Treatments" w:id="373"/>
      <w:bookmarkEnd w:id="373"/>
      <w:r>
        <w:rPr/>
      </w:r>
      <w:r>
        <w:rPr>
          <w:color w:val="365F91"/>
          <w:sz w:val="28"/>
        </w:rPr>
        <w:t>Fertility</w:t>
      </w:r>
      <w:r>
        <w:rPr>
          <w:color w:val="365F91"/>
          <w:spacing w:val="-11"/>
          <w:sz w:val="28"/>
        </w:rPr>
        <w:t> </w:t>
      </w:r>
      <w:r>
        <w:rPr>
          <w:color w:val="365F91"/>
          <w:spacing w:val="-2"/>
          <w:sz w:val="28"/>
        </w:rPr>
        <w:t>Treatments</w:t>
      </w:r>
    </w:p>
    <w:p>
      <w:pPr>
        <w:pStyle w:val="BodyText"/>
        <w:spacing w:line="276" w:lineRule="auto" w:before="293"/>
        <w:ind w:left="463" w:right="242"/>
        <w:jc w:val="both"/>
      </w:pPr>
      <w:r>
        <w:rPr/>
        <w:t>The</w:t>
      </w:r>
      <w:r>
        <w:rPr>
          <w:spacing w:val="-10"/>
        </w:rPr>
        <w:t> </w:t>
      </w:r>
      <w:r>
        <w:rPr/>
        <w:t>World</w:t>
      </w:r>
      <w:r>
        <w:rPr>
          <w:spacing w:val="-9"/>
        </w:rPr>
        <w:t> </w:t>
      </w:r>
      <w:r>
        <w:rPr/>
        <w:t>Health</w:t>
      </w:r>
      <w:r>
        <w:rPr>
          <w:spacing w:val="-10"/>
        </w:rPr>
        <w:t> </w:t>
      </w:r>
      <w:r>
        <w:rPr/>
        <w:t>Organization</w:t>
      </w:r>
      <w:r>
        <w:rPr>
          <w:spacing w:val="-10"/>
        </w:rPr>
        <w:t> </w:t>
      </w:r>
      <w:r>
        <w:rPr/>
        <w:t>defines</w:t>
      </w:r>
      <w:r>
        <w:rPr>
          <w:spacing w:val="-9"/>
        </w:rPr>
        <w:t> </w:t>
      </w:r>
      <w:r>
        <w:rPr/>
        <w:t>“infertility”</w:t>
      </w:r>
      <w:r>
        <w:rPr>
          <w:spacing w:val="-8"/>
        </w:rPr>
        <w:t> </w:t>
      </w:r>
      <w:r>
        <w:rPr/>
        <w:t>as</w:t>
      </w:r>
      <w:r>
        <w:rPr>
          <w:spacing w:val="-9"/>
        </w:rPr>
        <w:t> </w:t>
      </w:r>
      <w:r>
        <w:rPr/>
        <w:t>a</w:t>
      </w:r>
      <w:r>
        <w:rPr>
          <w:spacing w:val="-10"/>
        </w:rPr>
        <w:t> </w:t>
      </w:r>
      <w:r>
        <w:rPr/>
        <w:t>disease</w:t>
      </w:r>
      <w:r>
        <w:rPr>
          <w:spacing w:val="-10"/>
        </w:rPr>
        <w:t> </w:t>
      </w:r>
      <w:r>
        <w:rPr/>
        <w:t>of</w:t>
      </w:r>
      <w:r>
        <w:rPr>
          <w:spacing w:val="-10"/>
        </w:rPr>
        <w:t> </w:t>
      </w:r>
      <w:r>
        <w:rPr/>
        <w:t>the</w:t>
      </w:r>
      <w:r>
        <w:rPr>
          <w:spacing w:val="-10"/>
        </w:rPr>
        <w:t> </w:t>
      </w:r>
      <w:r>
        <w:rPr/>
        <w:t>male</w:t>
      </w:r>
      <w:r>
        <w:rPr>
          <w:spacing w:val="-9"/>
        </w:rPr>
        <w:t> </w:t>
      </w:r>
      <w:r>
        <w:rPr/>
        <w:t>and</w:t>
      </w:r>
      <w:r>
        <w:rPr>
          <w:spacing w:val="-10"/>
        </w:rPr>
        <w:t> </w:t>
      </w:r>
      <w:r>
        <w:rPr/>
        <w:t>female</w:t>
      </w:r>
      <w:r>
        <w:rPr>
          <w:spacing w:val="-10"/>
        </w:rPr>
        <w:t> </w:t>
      </w:r>
      <w:r>
        <w:rPr/>
        <w:t>reproductive</w:t>
      </w:r>
      <w:r>
        <w:rPr>
          <w:spacing w:val="-9"/>
        </w:rPr>
        <w:t> </w:t>
      </w:r>
      <w:r>
        <w:rPr/>
        <w:t>system defined by the failure to achieve pregnancy after 12 months of or more of regular unprotected sexual intercourse</w:t>
      </w:r>
      <w:hyperlink w:history="true" w:anchor="_bookmark231">
        <w:r>
          <w:rPr/>
          <w:t>.</w:t>
        </w:r>
        <w:r>
          <w:rPr>
            <w:vertAlign w:val="superscript"/>
          </w:rPr>
          <w:t>38</w:t>
        </w:r>
      </w:hyperlink>
      <w:r>
        <w:rPr>
          <w:vertAlign w:val="baseline"/>
        </w:rPr>
        <w:t> This physical understanding of “infertility” does not capture the experience of most LGBTQ individuals;</w:t>
      </w:r>
      <w:r>
        <w:rPr>
          <w:spacing w:val="-4"/>
          <w:vertAlign w:val="baseline"/>
        </w:rPr>
        <w:t> </w:t>
      </w:r>
      <w:r>
        <w:rPr>
          <w:vertAlign w:val="baseline"/>
        </w:rPr>
        <w:t>for</w:t>
      </w:r>
      <w:r>
        <w:rPr>
          <w:spacing w:val="-4"/>
          <w:vertAlign w:val="baseline"/>
        </w:rPr>
        <w:t> </w:t>
      </w:r>
      <w:r>
        <w:rPr>
          <w:vertAlign w:val="baseline"/>
        </w:rPr>
        <w:t>some</w:t>
      </w:r>
      <w:r>
        <w:rPr>
          <w:spacing w:val="-4"/>
          <w:vertAlign w:val="baseline"/>
        </w:rPr>
        <w:t> </w:t>
      </w:r>
      <w:r>
        <w:rPr>
          <w:vertAlign w:val="baseline"/>
        </w:rPr>
        <w:t>LGBTQ</w:t>
      </w:r>
      <w:r>
        <w:rPr>
          <w:spacing w:val="-4"/>
          <w:vertAlign w:val="baseline"/>
        </w:rPr>
        <w:t> </w:t>
      </w:r>
      <w:r>
        <w:rPr>
          <w:vertAlign w:val="baseline"/>
        </w:rPr>
        <w:t>individuals,</w:t>
      </w:r>
      <w:r>
        <w:rPr>
          <w:spacing w:val="-4"/>
          <w:vertAlign w:val="baseline"/>
        </w:rPr>
        <w:t> </w:t>
      </w:r>
      <w:r>
        <w:rPr>
          <w:vertAlign w:val="baseline"/>
        </w:rPr>
        <w:t>they</w:t>
      </w:r>
      <w:r>
        <w:rPr>
          <w:spacing w:val="-4"/>
          <w:vertAlign w:val="baseline"/>
        </w:rPr>
        <w:t> </w:t>
      </w:r>
      <w:r>
        <w:rPr>
          <w:vertAlign w:val="baseline"/>
        </w:rPr>
        <w:t>are</w:t>
      </w:r>
      <w:r>
        <w:rPr>
          <w:spacing w:val="-4"/>
          <w:vertAlign w:val="baseline"/>
        </w:rPr>
        <w:t> </w:t>
      </w:r>
      <w:r>
        <w:rPr>
          <w:vertAlign w:val="baseline"/>
        </w:rPr>
        <w:t>not</w:t>
      </w:r>
      <w:r>
        <w:rPr>
          <w:spacing w:val="-4"/>
          <w:vertAlign w:val="baseline"/>
        </w:rPr>
        <w:t> </w:t>
      </w:r>
      <w:r>
        <w:rPr>
          <w:vertAlign w:val="baseline"/>
        </w:rPr>
        <w:t>biologically</w:t>
      </w:r>
      <w:r>
        <w:rPr>
          <w:spacing w:val="-4"/>
          <w:vertAlign w:val="baseline"/>
        </w:rPr>
        <w:t> </w:t>
      </w:r>
      <w:r>
        <w:rPr>
          <w:vertAlign w:val="baseline"/>
        </w:rPr>
        <w:t>infertile</w:t>
      </w:r>
      <w:r>
        <w:rPr>
          <w:spacing w:val="-4"/>
          <w:vertAlign w:val="baseline"/>
        </w:rPr>
        <w:t> </w:t>
      </w:r>
      <w:r>
        <w:rPr>
          <w:vertAlign w:val="baseline"/>
        </w:rPr>
        <w:t>yet</w:t>
      </w:r>
      <w:r>
        <w:rPr>
          <w:spacing w:val="-4"/>
          <w:vertAlign w:val="baseline"/>
        </w:rPr>
        <w:t> </w:t>
      </w:r>
      <w:r>
        <w:rPr>
          <w:vertAlign w:val="baseline"/>
        </w:rPr>
        <w:t>cannot</w:t>
      </w:r>
      <w:r>
        <w:rPr>
          <w:spacing w:val="-4"/>
          <w:vertAlign w:val="baseline"/>
        </w:rPr>
        <w:t> </w:t>
      </w:r>
      <w:r>
        <w:rPr>
          <w:vertAlign w:val="baseline"/>
        </w:rPr>
        <w:t>become</w:t>
      </w:r>
      <w:r>
        <w:rPr>
          <w:spacing w:val="-4"/>
          <w:vertAlign w:val="baseline"/>
        </w:rPr>
        <w:t> </w:t>
      </w:r>
      <w:r>
        <w:rPr>
          <w:vertAlign w:val="baseline"/>
        </w:rPr>
        <w:t>pregnant.</w:t>
      </w:r>
      <w:r>
        <w:rPr>
          <w:spacing w:val="-4"/>
          <w:vertAlign w:val="baseline"/>
        </w:rPr>
        <w:t> </w:t>
      </w:r>
      <w:r>
        <w:rPr>
          <w:vertAlign w:val="baseline"/>
        </w:rPr>
        <w:t>For example,</w:t>
      </w:r>
      <w:r>
        <w:rPr>
          <w:spacing w:val="-4"/>
          <w:vertAlign w:val="baseline"/>
        </w:rPr>
        <w:t> </w:t>
      </w:r>
      <w:r>
        <w:rPr>
          <w:vertAlign w:val="baseline"/>
        </w:rPr>
        <w:t>a</w:t>
      </w:r>
      <w:r>
        <w:rPr>
          <w:spacing w:val="-4"/>
          <w:vertAlign w:val="baseline"/>
        </w:rPr>
        <w:t> </w:t>
      </w:r>
      <w:r>
        <w:rPr>
          <w:vertAlign w:val="baseline"/>
        </w:rPr>
        <w:t>lesbian</w:t>
      </w:r>
      <w:r>
        <w:rPr>
          <w:spacing w:val="-5"/>
          <w:vertAlign w:val="baseline"/>
        </w:rPr>
        <w:t> </w:t>
      </w:r>
      <w:r>
        <w:rPr>
          <w:vertAlign w:val="baseline"/>
        </w:rPr>
        <w:t>assigned</w:t>
      </w:r>
      <w:r>
        <w:rPr>
          <w:spacing w:val="-5"/>
          <w:vertAlign w:val="baseline"/>
        </w:rPr>
        <w:t> </w:t>
      </w:r>
      <w:r>
        <w:rPr>
          <w:vertAlign w:val="baseline"/>
        </w:rPr>
        <w:t>female</w:t>
      </w:r>
      <w:r>
        <w:rPr>
          <w:spacing w:val="-4"/>
          <w:vertAlign w:val="baseline"/>
        </w:rPr>
        <w:t> </w:t>
      </w:r>
      <w:r>
        <w:rPr>
          <w:vertAlign w:val="baseline"/>
        </w:rPr>
        <w:t>at</w:t>
      </w:r>
      <w:r>
        <w:rPr>
          <w:spacing w:val="-4"/>
          <w:vertAlign w:val="baseline"/>
        </w:rPr>
        <w:t> </w:t>
      </w:r>
      <w:r>
        <w:rPr>
          <w:vertAlign w:val="baseline"/>
        </w:rPr>
        <w:t>birth</w:t>
      </w:r>
      <w:r>
        <w:rPr>
          <w:spacing w:val="-4"/>
          <w:vertAlign w:val="baseline"/>
        </w:rPr>
        <w:t> </w:t>
      </w:r>
      <w:r>
        <w:rPr>
          <w:vertAlign w:val="baseline"/>
        </w:rPr>
        <w:t>could</w:t>
      </w:r>
      <w:r>
        <w:rPr>
          <w:spacing w:val="-3"/>
          <w:vertAlign w:val="baseline"/>
        </w:rPr>
        <w:t> </w:t>
      </w:r>
      <w:r>
        <w:rPr>
          <w:vertAlign w:val="baseline"/>
        </w:rPr>
        <w:t>have</w:t>
      </w:r>
      <w:r>
        <w:rPr>
          <w:spacing w:val="-5"/>
          <w:vertAlign w:val="baseline"/>
        </w:rPr>
        <w:t> </w:t>
      </w:r>
      <w:r>
        <w:rPr>
          <w:vertAlign w:val="baseline"/>
        </w:rPr>
        <w:t>the</w:t>
      </w:r>
      <w:r>
        <w:rPr>
          <w:spacing w:val="-4"/>
          <w:vertAlign w:val="baseline"/>
        </w:rPr>
        <w:t> </w:t>
      </w:r>
      <w:r>
        <w:rPr>
          <w:vertAlign w:val="baseline"/>
        </w:rPr>
        <w:t>reproductive</w:t>
      </w:r>
      <w:r>
        <w:rPr>
          <w:spacing w:val="-3"/>
          <w:vertAlign w:val="baseline"/>
        </w:rPr>
        <w:t> </w:t>
      </w:r>
      <w:r>
        <w:rPr>
          <w:vertAlign w:val="baseline"/>
        </w:rPr>
        <w:t>capabilities</w:t>
      </w:r>
      <w:r>
        <w:rPr>
          <w:spacing w:val="-5"/>
          <w:vertAlign w:val="baseline"/>
        </w:rPr>
        <w:t> </w:t>
      </w:r>
      <w:r>
        <w:rPr>
          <w:vertAlign w:val="baseline"/>
        </w:rPr>
        <w:t>of</w:t>
      </w:r>
      <w:r>
        <w:rPr>
          <w:spacing w:val="-4"/>
          <w:vertAlign w:val="baseline"/>
        </w:rPr>
        <w:t> </w:t>
      </w:r>
      <w:r>
        <w:rPr>
          <w:vertAlign w:val="baseline"/>
        </w:rPr>
        <w:t>becoming</w:t>
      </w:r>
      <w:r>
        <w:rPr>
          <w:spacing w:val="-4"/>
          <w:vertAlign w:val="baseline"/>
        </w:rPr>
        <w:t> </w:t>
      </w:r>
      <w:r>
        <w:rPr>
          <w:vertAlign w:val="baseline"/>
        </w:rPr>
        <w:t>pregnant, but they cannot</w:t>
      </w:r>
      <w:r>
        <w:rPr>
          <w:spacing w:val="-1"/>
          <w:vertAlign w:val="baseline"/>
        </w:rPr>
        <w:t> </w:t>
      </w:r>
      <w:r>
        <w:rPr>
          <w:vertAlign w:val="baseline"/>
        </w:rPr>
        <w:t>get pregnant</w:t>
      </w:r>
      <w:r>
        <w:rPr>
          <w:spacing w:val="-1"/>
          <w:vertAlign w:val="baseline"/>
        </w:rPr>
        <w:t> </w:t>
      </w:r>
      <w:r>
        <w:rPr>
          <w:vertAlign w:val="baseline"/>
        </w:rPr>
        <w:t>by their partner who is also female assigned</w:t>
      </w:r>
      <w:r>
        <w:rPr>
          <w:spacing w:val="-1"/>
          <w:vertAlign w:val="baseline"/>
        </w:rPr>
        <w:t> </w:t>
      </w:r>
      <w:r>
        <w:rPr>
          <w:vertAlign w:val="baseline"/>
        </w:rPr>
        <w:t>at birth.</w:t>
      </w:r>
      <w:r>
        <w:rPr>
          <w:spacing w:val="-1"/>
          <w:vertAlign w:val="baseline"/>
        </w:rPr>
        <w:t> </w:t>
      </w:r>
      <w:r>
        <w:rPr>
          <w:vertAlign w:val="baseline"/>
        </w:rPr>
        <w:t>Biologically, this couple cannot conceive together through sexual intercourse. Medically, the language around fertility assumes heterosexuality.</w:t>
      </w:r>
      <w:r>
        <w:rPr>
          <w:spacing w:val="-4"/>
          <w:vertAlign w:val="baseline"/>
        </w:rPr>
        <w:t> </w:t>
      </w:r>
      <w:r>
        <w:rPr>
          <w:vertAlign w:val="baseline"/>
        </w:rPr>
        <w:t>Many</w:t>
      </w:r>
      <w:r>
        <w:rPr>
          <w:spacing w:val="-5"/>
          <w:vertAlign w:val="baseline"/>
        </w:rPr>
        <w:t> </w:t>
      </w:r>
      <w:r>
        <w:rPr>
          <w:vertAlign w:val="baseline"/>
        </w:rPr>
        <w:t>LGBTQ</w:t>
      </w:r>
      <w:r>
        <w:rPr>
          <w:spacing w:val="-4"/>
          <w:vertAlign w:val="baseline"/>
        </w:rPr>
        <w:t> </w:t>
      </w:r>
      <w:r>
        <w:rPr>
          <w:vertAlign w:val="baseline"/>
        </w:rPr>
        <w:t>individuals</w:t>
      </w:r>
      <w:r>
        <w:rPr>
          <w:spacing w:val="-5"/>
          <w:vertAlign w:val="baseline"/>
        </w:rPr>
        <w:t> </w:t>
      </w:r>
      <w:r>
        <w:rPr>
          <w:vertAlign w:val="baseline"/>
        </w:rPr>
        <w:t>make</w:t>
      </w:r>
      <w:r>
        <w:rPr>
          <w:spacing w:val="-3"/>
          <w:vertAlign w:val="baseline"/>
        </w:rPr>
        <w:t> </w:t>
      </w:r>
      <w:r>
        <w:rPr>
          <w:vertAlign w:val="baseline"/>
        </w:rPr>
        <w:t>their</w:t>
      </w:r>
      <w:r>
        <w:rPr>
          <w:spacing w:val="-3"/>
          <w:vertAlign w:val="baseline"/>
        </w:rPr>
        <w:t> </w:t>
      </w:r>
      <w:r>
        <w:rPr>
          <w:vertAlign w:val="baseline"/>
        </w:rPr>
        <w:t>own</w:t>
      </w:r>
      <w:r>
        <w:rPr>
          <w:spacing w:val="-4"/>
          <w:vertAlign w:val="baseline"/>
        </w:rPr>
        <w:t> </w:t>
      </w:r>
      <w:r>
        <w:rPr>
          <w:vertAlign w:val="baseline"/>
        </w:rPr>
        <w:t>choice</w:t>
      </w:r>
      <w:r>
        <w:rPr>
          <w:spacing w:val="-4"/>
          <w:vertAlign w:val="baseline"/>
        </w:rPr>
        <w:t> </w:t>
      </w:r>
      <w:r>
        <w:rPr>
          <w:vertAlign w:val="baseline"/>
        </w:rPr>
        <w:t>in</w:t>
      </w:r>
      <w:r>
        <w:rPr>
          <w:spacing w:val="-4"/>
          <w:vertAlign w:val="baseline"/>
        </w:rPr>
        <w:t> </w:t>
      </w:r>
      <w:r>
        <w:rPr>
          <w:vertAlign w:val="baseline"/>
        </w:rPr>
        <w:t>going</w:t>
      </w:r>
      <w:r>
        <w:rPr>
          <w:spacing w:val="-4"/>
          <w:vertAlign w:val="baseline"/>
        </w:rPr>
        <w:t> </w:t>
      </w:r>
      <w:r>
        <w:rPr>
          <w:vertAlign w:val="baseline"/>
        </w:rPr>
        <w:t>through</w:t>
      </w:r>
      <w:r>
        <w:rPr>
          <w:spacing w:val="-4"/>
          <w:vertAlign w:val="baseline"/>
        </w:rPr>
        <w:t> </w:t>
      </w:r>
      <w:r>
        <w:rPr>
          <w:vertAlign w:val="baseline"/>
        </w:rPr>
        <w:t>pregnancy,</w:t>
      </w:r>
      <w:r>
        <w:rPr>
          <w:spacing w:val="-5"/>
          <w:vertAlign w:val="baseline"/>
        </w:rPr>
        <w:t> </w:t>
      </w:r>
      <w:r>
        <w:rPr>
          <w:vertAlign w:val="baseline"/>
        </w:rPr>
        <w:t>often</w:t>
      </w:r>
      <w:r>
        <w:rPr>
          <w:spacing w:val="-4"/>
          <w:vertAlign w:val="baseline"/>
        </w:rPr>
        <w:t> </w:t>
      </w:r>
      <w:r>
        <w:rPr>
          <w:vertAlign w:val="baseline"/>
        </w:rPr>
        <w:t>seeking fertility treatments to achieve</w:t>
      </w:r>
      <w:r>
        <w:rPr>
          <w:spacing w:val="-1"/>
          <w:vertAlign w:val="baseline"/>
        </w:rPr>
        <w:t> </w:t>
      </w:r>
      <w:r>
        <w:rPr>
          <w:vertAlign w:val="baseline"/>
        </w:rPr>
        <w:t>pregnancy</w:t>
      </w:r>
      <w:hyperlink w:history="true" w:anchor="_bookmark232">
        <w:r>
          <w:rPr>
            <w:vertAlign w:val="baseline"/>
          </w:rPr>
          <w:t>,</w:t>
        </w:r>
        <w:r>
          <w:rPr>
            <w:vertAlign w:val="superscript"/>
          </w:rPr>
          <w:t>39</w:t>
        </w:r>
      </w:hyperlink>
      <w:r>
        <w:rPr>
          <w:spacing w:val="-1"/>
          <w:vertAlign w:val="baseline"/>
        </w:rPr>
        <w:t> </w:t>
      </w:r>
      <w:r>
        <w:rPr>
          <w:vertAlign w:val="baseline"/>
        </w:rPr>
        <w:t>although disparities in access to fertility treatments exist along the lines of race, ethnicity, education, class, gender identity, and sexual orientation.</w:t>
      </w:r>
      <w:hyperlink w:history="true" w:anchor="_bookmark233">
        <w:r>
          <w:rPr>
            <w:vertAlign w:val="superscript"/>
          </w:rPr>
          <w:t>40</w:t>
        </w:r>
      </w:hyperlink>
      <w:r>
        <w:rPr>
          <w:vertAlign w:val="baseline"/>
        </w:rPr>
        <w:t> Even when living in states</w:t>
      </w:r>
      <w:r>
        <w:rPr>
          <w:spacing w:val="-6"/>
          <w:vertAlign w:val="baseline"/>
        </w:rPr>
        <w:t> </w:t>
      </w:r>
      <w:r>
        <w:rPr>
          <w:vertAlign w:val="baseline"/>
        </w:rPr>
        <w:t>with</w:t>
      </w:r>
      <w:r>
        <w:rPr>
          <w:spacing w:val="-5"/>
          <w:vertAlign w:val="baseline"/>
        </w:rPr>
        <w:t> </w:t>
      </w:r>
      <w:r>
        <w:rPr>
          <w:vertAlign w:val="baseline"/>
        </w:rPr>
        <w:t>mandated</w:t>
      </w:r>
      <w:r>
        <w:rPr>
          <w:spacing w:val="-5"/>
          <w:vertAlign w:val="baseline"/>
        </w:rPr>
        <w:t> </w:t>
      </w:r>
      <w:r>
        <w:rPr>
          <w:vertAlign w:val="baseline"/>
        </w:rPr>
        <w:t>insurance</w:t>
      </w:r>
      <w:r>
        <w:rPr>
          <w:spacing w:val="-5"/>
          <w:vertAlign w:val="baseline"/>
        </w:rPr>
        <w:t> </w:t>
      </w:r>
      <w:r>
        <w:rPr>
          <w:vertAlign w:val="baseline"/>
        </w:rPr>
        <w:t>coverage</w:t>
      </w:r>
      <w:r>
        <w:rPr>
          <w:spacing w:val="-7"/>
          <w:vertAlign w:val="baseline"/>
        </w:rPr>
        <w:t> </w:t>
      </w:r>
      <w:r>
        <w:rPr>
          <w:vertAlign w:val="baseline"/>
        </w:rPr>
        <w:t>for</w:t>
      </w:r>
      <w:r>
        <w:rPr>
          <w:spacing w:val="-5"/>
          <w:vertAlign w:val="baseline"/>
        </w:rPr>
        <w:t> </w:t>
      </w:r>
      <w:r>
        <w:rPr>
          <w:vertAlign w:val="baseline"/>
        </w:rPr>
        <w:t>fertility</w:t>
      </w:r>
      <w:r>
        <w:rPr>
          <w:spacing w:val="-5"/>
          <w:vertAlign w:val="baseline"/>
        </w:rPr>
        <w:t> </w:t>
      </w:r>
      <w:r>
        <w:rPr>
          <w:vertAlign w:val="baseline"/>
        </w:rPr>
        <w:t>treatments,</w:t>
      </w:r>
      <w:r>
        <w:rPr>
          <w:spacing w:val="-6"/>
          <w:vertAlign w:val="baseline"/>
        </w:rPr>
        <w:t> </w:t>
      </w:r>
      <w:r>
        <w:rPr>
          <w:vertAlign w:val="baseline"/>
        </w:rPr>
        <w:t>racial</w:t>
      </w:r>
      <w:r>
        <w:rPr>
          <w:spacing w:val="-6"/>
          <w:vertAlign w:val="baseline"/>
        </w:rPr>
        <w:t> </w:t>
      </w:r>
      <w:r>
        <w:rPr>
          <w:vertAlign w:val="baseline"/>
        </w:rPr>
        <w:t>and</w:t>
      </w:r>
      <w:r>
        <w:rPr>
          <w:spacing w:val="-7"/>
          <w:vertAlign w:val="baseline"/>
        </w:rPr>
        <w:t> </w:t>
      </w:r>
      <w:r>
        <w:rPr>
          <w:vertAlign w:val="baseline"/>
        </w:rPr>
        <w:t>socioeconomic</w:t>
      </w:r>
      <w:r>
        <w:rPr>
          <w:spacing w:val="-6"/>
          <w:vertAlign w:val="baseline"/>
        </w:rPr>
        <w:t> </w:t>
      </w:r>
      <w:r>
        <w:rPr>
          <w:vertAlign w:val="baseline"/>
        </w:rPr>
        <w:t>disparities</w:t>
      </w:r>
      <w:r>
        <w:rPr>
          <w:spacing w:val="-6"/>
          <w:vertAlign w:val="baseline"/>
        </w:rPr>
        <w:t> </w:t>
      </w:r>
      <w:r>
        <w:rPr>
          <w:vertAlign w:val="baseline"/>
        </w:rPr>
        <w:t>exist among</w:t>
      </w:r>
      <w:r>
        <w:rPr>
          <w:spacing w:val="-8"/>
          <w:vertAlign w:val="baseline"/>
        </w:rPr>
        <w:t> </w:t>
      </w:r>
      <w:r>
        <w:rPr>
          <w:vertAlign w:val="baseline"/>
        </w:rPr>
        <w:t>fertility</w:t>
      </w:r>
      <w:r>
        <w:rPr>
          <w:spacing w:val="-7"/>
          <w:vertAlign w:val="baseline"/>
        </w:rPr>
        <w:t> </w:t>
      </w:r>
      <w:r>
        <w:rPr>
          <w:vertAlign w:val="baseline"/>
        </w:rPr>
        <w:t>patients</w:t>
      </w:r>
      <w:r>
        <w:rPr>
          <w:spacing w:val="-7"/>
          <w:vertAlign w:val="baseline"/>
        </w:rPr>
        <w:t> </w:t>
      </w:r>
      <w:r>
        <w:rPr>
          <w:vertAlign w:val="baseline"/>
        </w:rPr>
        <w:t>accessing</w:t>
      </w:r>
      <w:r>
        <w:rPr>
          <w:spacing w:val="-8"/>
          <w:vertAlign w:val="baseline"/>
        </w:rPr>
        <w:t> </w:t>
      </w:r>
      <w:r>
        <w:rPr>
          <w:vertAlign w:val="baseline"/>
        </w:rPr>
        <w:t>care.</w:t>
      </w:r>
      <w:r>
        <w:rPr>
          <w:spacing w:val="-9"/>
          <w:vertAlign w:val="baseline"/>
        </w:rPr>
        <w:t> </w:t>
      </w:r>
      <w:hyperlink w:history="true" w:anchor="_bookmark234">
        <w:r>
          <w:rPr>
            <w:vertAlign w:val="superscript"/>
          </w:rPr>
          <w:t>41</w:t>
        </w:r>
      </w:hyperlink>
      <w:r>
        <w:rPr>
          <w:spacing w:val="-7"/>
          <w:vertAlign w:val="baseline"/>
        </w:rPr>
        <w:t> </w:t>
      </w:r>
      <w:r>
        <w:rPr>
          <w:vertAlign w:val="baseline"/>
        </w:rPr>
        <w:t>As</w:t>
      </w:r>
      <w:r>
        <w:rPr>
          <w:spacing w:val="-7"/>
          <w:vertAlign w:val="baseline"/>
        </w:rPr>
        <w:t> </w:t>
      </w:r>
      <w:r>
        <w:rPr>
          <w:vertAlign w:val="baseline"/>
        </w:rPr>
        <w:t>discussed</w:t>
      </w:r>
      <w:r>
        <w:rPr>
          <w:spacing w:val="-7"/>
          <w:vertAlign w:val="baseline"/>
        </w:rPr>
        <w:t> </w:t>
      </w:r>
      <w:r>
        <w:rPr>
          <w:vertAlign w:val="baseline"/>
        </w:rPr>
        <w:t>further</w:t>
      </w:r>
      <w:r>
        <w:rPr>
          <w:spacing w:val="-7"/>
          <w:vertAlign w:val="baseline"/>
        </w:rPr>
        <w:t> </w:t>
      </w:r>
      <w:r>
        <w:rPr>
          <w:vertAlign w:val="baseline"/>
        </w:rPr>
        <w:t>below,</w:t>
      </w:r>
      <w:r>
        <w:rPr>
          <w:spacing w:val="-7"/>
          <w:vertAlign w:val="baseline"/>
        </w:rPr>
        <w:t> </w:t>
      </w:r>
      <w:r>
        <w:rPr>
          <w:vertAlign w:val="baseline"/>
        </w:rPr>
        <w:t>infertility</w:t>
      </w:r>
      <w:r>
        <w:rPr>
          <w:spacing w:val="-7"/>
          <w:vertAlign w:val="baseline"/>
        </w:rPr>
        <w:t> </w:t>
      </w:r>
      <w:r>
        <w:rPr>
          <w:vertAlign w:val="baseline"/>
        </w:rPr>
        <w:t>for</w:t>
      </w:r>
      <w:r>
        <w:rPr>
          <w:spacing w:val="-7"/>
          <w:vertAlign w:val="baseline"/>
        </w:rPr>
        <w:t> </w:t>
      </w:r>
      <w:r>
        <w:rPr>
          <w:vertAlign w:val="baseline"/>
        </w:rPr>
        <w:t>the</w:t>
      </w:r>
      <w:r>
        <w:rPr>
          <w:spacing w:val="-8"/>
          <w:vertAlign w:val="baseline"/>
        </w:rPr>
        <w:t> </w:t>
      </w:r>
      <w:r>
        <w:rPr>
          <w:vertAlign w:val="baseline"/>
        </w:rPr>
        <w:t>LGBTQ</w:t>
      </w:r>
      <w:r>
        <w:rPr>
          <w:spacing w:val="-7"/>
          <w:vertAlign w:val="baseline"/>
        </w:rPr>
        <w:t> </w:t>
      </w:r>
      <w:r>
        <w:rPr>
          <w:vertAlign w:val="baseline"/>
        </w:rPr>
        <w:t>community</w:t>
      </w:r>
      <w:r>
        <w:rPr>
          <w:spacing w:val="-7"/>
          <w:vertAlign w:val="baseline"/>
        </w:rPr>
        <w:t> </w:t>
      </w:r>
      <w:r>
        <w:rPr>
          <w:vertAlign w:val="baseline"/>
        </w:rPr>
        <w:t>is usually</w:t>
      </w:r>
      <w:r>
        <w:rPr>
          <w:spacing w:val="-2"/>
          <w:vertAlign w:val="baseline"/>
        </w:rPr>
        <w:t> </w:t>
      </w:r>
      <w:r>
        <w:rPr>
          <w:vertAlign w:val="baseline"/>
        </w:rPr>
        <w:t>the</w:t>
      </w:r>
      <w:r>
        <w:rPr>
          <w:spacing w:val="-2"/>
          <w:vertAlign w:val="baseline"/>
        </w:rPr>
        <w:t> </w:t>
      </w:r>
      <w:r>
        <w:rPr>
          <w:vertAlign w:val="baseline"/>
        </w:rPr>
        <w:t>inability</w:t>
      </w:r>
      <w:r>
        <w:rPr>
          <w:spacing w:val="-2"/>
          <w:vertAlign w:val="baseline"/>
        </w:rPr>
        <w:t> </w:t>
      </w:r>
      <w:r>
        <w:rPr>
          <w:vertAlign w:val="baseline"/>
        </w:rPr>
        <w:t>to</w:t>
      </w:r>
      <w:r>
        <w:rPr>
          <w:spacing w:val="-1"/>
          <w:vertAlign w:val="baseline"/>
        </w:rPr>
        <w:t> </w:t>
      </w:r>
      <w:r>
        <w:rPr>
          <w:vertAlign w:val="baseline"/>
        </w:rPr>
        <w:t>be</w:t>
      </w:r>
      <w:r>
        <w:rPr>
          <w:spacing w:val="-2"/>
          <w:vertAlign w:val="baseline"/>
        </w:rPr>
        <w:t> </w:t>
      </w:r>
      <w:r>
        <w:rPr>
          <w:vertAlign w:val="baseline"/>
        </w:rPr>
        <w:t>able</w:t>
      </w:r>
      <w:r>
        <w:rPr>
          <w:spacing w:val="-2"/>
          <w:vertAlign w:val="baseline"/>
        </w:rPr>
        <w:t> </w:t>
      </w:r>
      <w:r>
        <w:rPr>
          <w:vertAlign w:val="baseline"/>
        </w:rPr>
        <w:t>to</w:t>
      </w:r>
      <w:r>
        <w:rPr>
          <w:spacing w:val="-2"/>
          <w:vertAlign w:val="baseline"/>
        </w:rPr>
        <w:t> </w:t>
      </w:r>
      <w:r>
        <w:rPr>
          <w:vertAlign w:val="baseline"/>
        </w:rPr>
        <w:t>afford</w:t>
      </w:r>
      <w:r>
        <w:rPr>
          <w:spacing w:val="-2"/>
          <w:vertAlign w:val="baseline"/>
        </w:rPr>
        <w:t> </w:t>
      </w:r>
      <w:r>
        <w:rPr>
          <w:vertAlign w:val="baseline"/>
        </w:rPr>
        <w:t>fertility</w:t>
      </w:r>
      <w:r>
        <w:rPr>
          <w:spacing w:val="-2"/>
          <w:vertAlign w:val="baseline"/>
        </w:rPr>
        <w:t> </w:t>
      </w:r>
      <w:r>
        <w:rPr>
          <w:vertAlign w:val="baseline"/>
        </w:rPr>
        <w:t>treatments</w:t>
      </w:r>
      <w:r>
        <w:rPr>
          <w:spacing w:val="-1"/>
          <w:vertAlign w:val="baseline"/>
        </w:rPr>
        <w:t> </w:t>
      </w:r>
      <w:r>
        <w:rPr>
          <w:vertAlign w:val="baseline"/>
        </w:rPr>
        <w:t>to</w:t>
      </w:r>
      <w:r>
        <w:rPr>
          <w:spacing w:val="-1"/>
          <w:vertAlign w:val="baseline"/>
        </w:rPr>
        <w:t> </w:t>
      </w:r>
      <w:r>
        <w:rPr>
          <w:vertAlign w:val="baseline"/>
        </w:rPr>
        <w:t>get</w:t>
      </w:r>
      <w:r>
        <w:rPr>
          <w:spacing w:val="-1"/>
          <w:vertAlign w:val="baseline"/>
        </w:rPr>
        <w:t> </w:t>
      </w:r>
      <w:r>
        <w:rPr>
          <w:vertAlign w:val="baseline"/>
        </w:rPr>
        <w:t>pregnant,</w:t>
      </w:r>
      <w:r>
        <w:rPr>
          <w:spacing w:val="-2"/>
          <w:vertAlign w:val="baseline"/>
        </w:rPr>
        <w:t> </w:t>
      </w:r>
      <w:r>
        <w:rPr>
          <w:vertAlign w:val="baseline"/>
        </w:rPr>
        <w:t>whereas</w:t>
      </w:r>
      <w:r>
        <w:rPr>
          <w:spacing w:val="-2"/>
          <w:vertAlign w:val="baseline"/>
        </w:rPr>
        <w:t> </w:t>
      </w:r>
      <w:r>
        <w:rPr>
          <w:vertAlign w:val="baseline"/>
        </w:rPr>
        <w:t>heterosexual</w:t>
      </w:r>
      <w:r>
        <w:rPr>
          <w:spacing w:val="-2"/>
          <w:vertAlign w:val="baseline"/>
        </w:rPr>
        <w:t> </w:t>
      </w:r>
      <w:r>
        <w:rPr>
          <w:vertAlign w:val="baseline"/>
        </w:rPr>
        <w:t>families are more likely to afford fertility treatments through tax loopholes.</w:t>
      </w:r>
    </w:p>
    <w:p>
      <w:pPr>
        <w:spacing w:before="239"/>
        <w:ind w:left="463" w:right="0" w:firstLine="0"/>
        <w:jc w:val="both"/>
        <w:rPr>
          <w:sz w:val="28"/>
        </w:rPr>
      </w:pPr>
      <w:bookmarkStart w:name="Maternal Mortality" w:id="374"/>
      <w:bookmarkEnd w:id="374"/>
      <w:r>
        <w:rPr/>
      </w:r>
      <w:r>
        <w:rPr>
          <w:color w:val="365F91"/>
          <w:sz w:val="28"/>
        </w:rPr>
        <w:t>Maternal</w:t>
      </w:r>
      <w:r>
        <w:rPr>
          <w:color w:val="365F91"/>
          <w:spacing w:val="-15"/>
          <w:sz w:val="28"/>
        </w:rPr>
        <w:t> </w:t>
      </w:r>
      <w:r>
        <w:rPr>
          <w:color w:val="365F91"/>
          <w:spacing w:val="-2"/>
          <w:sz w:val="28"/>
        </w:rPr>
        <w:t>Mortality</w:t>
      </w:r>
    </w:p>
    <w:p>
      <w:pPr>
        <w:pStyle w:val="BodyText"/>
        <w:spacing w:before="292"/>
        <w:ind w:left="463"/>
        <w:jc w:val="both"/>
      </w:pPr>
      <w:r>
        <w:rPr/>
        <w:t>In</w:t>
      </w:r>
      <w:r>
        <w:rPr>
          <w:spacing w:val="-11"/>
        </w:rPr>
        <w:t> </w:t>
      </w:r>
      <w:r>
        <w:rPr/>
        <w:t>recent</w:t>
      </w:r>
      <w:r>
        <w:rPr>
          <w:spacing w:val="-10"/>
        </w:rPr>
        <w:t> </w:t>
      </w:r>
      <w:r>
        <w:rPr/>
        <w:t>years,</w:t>
      </w:r>
      <w:r>
        <w:rPr>
          <w:spacing w:val="-10"/>
        </w:rPr>
        <w:t> </w:t>
      </w:r>
      <w:r>
        <w:rPr/>
        <w:t>the</w:t>
      </w:r>
      <w:r>
        <w:rPr>
          <w:spacing w:val="-9"/>
        </w:rPr>
        <w:t> </w:t>
      </w:r>
      <w:r>
        <w:rPr/>
        <w:t>United</w:t>
      </w:r>
      <w:r>
        <w:rPr>
          <w:spacing w:val="-10"/>
        </w:rPr>
        <w:t> </w:t>
      </w:r>
      <w:r>
        <w:rPr/>
        <w:t>States</w:t>
      </w:r>
      <w:r>
        <w:rPr>
          <w:spacing w:val="-9"/>
        </w:rPr>
        <w:t> </w:t>
      </w:r>
      <w:r>
        <w:rPr/>
        <w:t>has</w:t>
      </w:r>
      <w:r>
        <w:rPr>
          <w:spacing w:val="-10"/>
        </w:rPr>
        <w:t> </w:t>
      </w:r>
      <w:r>
        <w:rPr/>
        <w:t>seen</w:t>
      </w:r>
      <w:r>
        <w:rPr>
          <w:spacing w:val="-10"/>
        </w:rPr>
        <w:t> </w:t>
      </w:r>
      <w:r>
        <w:rPr/>
        <w:t>an</w:t>
      </w:r>
      <w:r>
        <w:rPr>
          <w:spacing w:val="-10"/>
        </w:rPr>
        <w:t> </w:t>
      </w:r>
      <w:r>
        <w:rPr/>
        <w:t>increase</w:t>
      </w:r>
      <w:r>
        <w:rPr>
          <w:spacing w:val="-10"/>
        </w:rPr>
        <w:t> </w:t>
      </w:r>
      <w:r>
        <w:rPr/>
        <w:t>in</w:t>
      </w:r>
      <w:r>
        <w:rPr>
          <w:spacing w:val="-10"/>
        </w:rPr>
        <w:t> </w:t>
      </w:r>
      <w:r>
        <w:rPr/>
        <w:t>maternal</w:t>
      </w:r>
      <w:r>
        <w:rPr>
          <w:spacing w:val="-8"/>
        </w:rPr>
        <w:t> </w:t>
      </w:r>
      <w:r>
        <w:rPr/>
        <w:t>mortality</w:t>
      </w:r>
      <w:r>
        <w:rPr>
          <w:spacing w:val="-9"/>
        </w:rPr>
        <w:t> </w:t>
      </w:r>
      <w:r>
        <w:rPr/>
        <w:t>by</w:t>
      </w:r>
      <w:r>
        <w:rPr>
          <w:spacing w:val="-9"/>
        </w:rPr>
        <w:t> </w:t>
      </w:r>
      <w:r>
        <w:rPr/>
        <w:t>26.6%,</w:t>
      </w:r>
      <w:r>
        <w:rPr>
          <w:spacing w:val="-9"/>
        </w:rPr>
        <w:t> </w:t>
      </w:r>
      <w:r>
        <w:rPr/>
        <w:t>from</w:t>
      </w:r>
      <w:r>
        <w:rPr>
          <w:spacing w:val="-10"/>
        </w:rPr>
        <w:t> </w:t>
      </w:r>
      <w:r>
        <w:rPr/>
        <w:t>18.8</w:t>
      </w:r>
      <w:r>
        <w:rPr>
          <w:spacing w:val="-9"/>
        </w:rPr>
        <w:t> </w:t>
      </w:r>
      <w:r>
        <w:rPr/>
        <w:t>in</w:t>
      </w:r>
      <w:r>
        <w:rPr>
          <w:spacing w:val="-11"/>
        </w:rPr>
        <w:t> </w:t>
      </w:r>
      <w:r>
        <w:rPr/>
        <w:t>2000</w:t>
      </w:r>
      <w:r>
        <w:rPr>
          <w:spacing w:val="-8"/>
        </w:rPr>
        <w:t> </w:t>
      </w:r>
      <w:r>
        <w:rPr>
          <w:spacing w:val="-7"/>
        </w:rPr>
        <w:t>to</w:t>
      </w:r>
    </w:p>
    <w:p>
      <w:pPr>
        <w:pStyle w:val="BodyText"/>
        <w:spacing w:line="276" w:lineRule="auto" w:before="40"/>
        <w:ind w:left="463"/>
      </w:pPr>
      <w:r>
        <w:rPr/>
        <w:t>23.8</w:t>
      </w:r>
      <w:r>
        <w:rPr>
          <w:spacing w:val="-13"/>
        </w:rPr>
        <w:t> </w:t>
      </w:r>
      <w:r>
        <w:rPr/>
        <w:t>in</w:t>
      </w:r>
      <w:r>
        <w:rPr>
          <w:spacing w:val="-13"/>
        </w:rPr>
        <w:t> </w:t>
      </w:r>
      <w:r>
        <w:rPr/>
        <w:t>2014.</w:t>
      </w:r>
      <w:hyperlink w:history="true" w:anchor="_bookmark235">
        <w:r>
          <w:rPr>
            <w:vertAlign w:val="superscript"/>
          </w:rPr>
          <w:t>42</w:t>
        </w:r>
      </w:hyperlink>
      <w:r>
        <w:rPr>
          <w:spacing w:val="-13"/>
          <w:vertAlign w:val="baseline"/>
        </w:rPr>
        <w:t> </w:t>
      </w:r>
      <w:r>
        <w:rPr>
          <w:vertAlign w:val="baseline"/>
        </w:rPr>
        <w:t>States</w:t>
      </w:r>
      <w:r>
        <w:rPr>
          <w:spacing w:val="-13"/>
          <w:vertAlign w:val="baseline"/>
        </w:rPr>
        <w:t> </w:t>
      </w:r>
      <w:r>
        <w:rPr>
          <w:vertAlign w:val="baseline"/>
        </w:rPr>
        <w:t>vary</w:t>
      </w:r>
      <w:r>
        <w:rPr>
          <w:spacing w:val="-13"/>
          <w:vertAlign w:val="baseline"/>
        </w:rPr>
        <w:t> </w:t>
      </w:r>
      <w:r>
        <w:rPr>
          <w:vertAlign w:val="baseline"/>
        </w:rPr>
        <w:t>in</w:t>
      </w:r>
      <w:r>
        <w:rPr>
          <w:spacing w:val="-13"/>
          <w:vertAlign w:val="baseline"/>
        </w:rPr>
        <w:t> </w:t>
      </w:r>
      <w:r>
        <w:rPr>
          <w:vertAlign w:val="baseline"/>
        </w:rPr>
        <w:t>degrees</w:t>
      </w:r>
      <w:r>
        <w:rPr>
          <w:spacing w:val="-13"/>
          <w:vertAlign w:val="baseline"/>
        </w:rPr>
        <w:t> </w:t>
      </w:r>
      <w:r>
        <w:rPr>
          <w:vertAlign w:val="baseline"/>
        </w:rPr>
        <w:t>of</w:t>
      </w:r>
      <w:r>
        <w:rPr>
          <w:spacing w:val="-13"/>
          <w:vertAlign w:val="baseline"/>
        </w:rPr>
        <w:t> </w:t>
      </w:r>
      <w:r>
        <w:rPr>
          <w:vertAlign w:val="baseline"/>
        </w:rPr>
        <w:t>disparity</w:t>
      </w:r>
      <w:r>
        <w:rPr>
          <w:spacing w:val="-13"/>
          <w:vertAlign w:val="baseline"/>
        </w:rPr>
        <w:t> </w:t>
      </w:r>
      <w:r>
        <w:rPr>
          <w:vertAlign w:val="baseline"/>
        </w:rPr>
        <w:t>due</w:t>
      </w:r>
      <w:r>
        <w:rPr>
          <w:spacing w:val="-12"/>
          <w:vertAlign w:val="baseline"/>
        </w:rPr>
        <w:t> </w:t>
      </w:r>
      <w:r>
        <w:rPr>
          <w:vertAlign w:val="baseline"/>
        </w:rPr>
        <w:t>to</w:t>
      </w:r>
      <w:r>
        <w:rPr>
          <w:spacing w:val="-13"/>
          <w:vertAlign w:val="baseline"/>
        </w:rPr>
        <w:t> </w:t>
      </w:r>
      <w:r>
        <w:rPr>
          <w:vertAlign w:val="baseline"/>
        </w:rPr>
        <w:t>the</w:t>
      </w:r>
      <w:r>
        <w:rPr>
          <w:spacing w:val="-13"/>
          <w:vertAlign w:val="baseline"/>
        </w:rPr>
        <w:t> </w:t>
      </w:r>
      <w:r>
        <w:rPr>
          <w:vertAlign w:val="baseline"/>
        </w:rPr>
        <w:t>availability</w:t>
      </w:r>
      <w:r>
        <w:rPr>
          <w:spacing w:val="-13"/>
          <w:vertAlign w:val="baseline"/>
        </w:rPr>
        <w:t> </w:t>
      </w:r>
      <w:r>
        <w:rPr>
          <w:vertAlign w:val="baseline"/>
        </w:rPr>
        <w:t>of</w:t>
      </w:r>
      <w:r>
        <w:rPr>
          <w:spacing w:val="-13"/>
          <w:vertAlign w:val="baseline"/>
        </w:rPr>
        <w:t> </w:t>
      </w:r>
      <w:r>
        <w:rPr>
          <w:vertAlign w:val="baseline"/>
        </w:rPr>
        <w:t>programs</w:t>
      </w:r>
      <w:r>
        <w:rPr>
          <w:spacing w:val="-13"/>
          <w:vertAlign w:val="baseline"/>
        </w:rPr>
        <w:t> </w:t>
      </w:r>
      <w:r>
        <w:rPr>
          <w:vertAlign w:val="baseline"/>
        </w:rPr>
        <w:t>and</w:t>
      </w:r>
      <w:r>
        <w:rPr>
          <w:spacing w:val="-12"/>
          <w:vertAlign w:val="baseline"/>
        </w:rPr>
        <w:t> </w:t>
      </w:r>
      <w:r>
        <w:rPr>
          <w:vertAlign w:val="baseline"/>
        </w:rPr>
        <w:t>policies</w:t>
      </w:r>
      <w:r>
        <w:rPr>
          <w:spacing w:val="-13"/>
          <w:vertAlign w:val="baseline"/>
        </w:rPr>
        <w:t> </w:t>
      </w:r>
      <w:r>
        <w:rPr>
          <w:vertAlign w:val="baseline"/>
        </w:rPr>
        <w:t>for</w:t>
      </w:r>
      <w:r>
        <w:rPr>
          <w:spacing w:val="-13"/>
          <w:vertAlign w:val="baseline"/>
        </w:rPr>
        <w:t> </w:t>
      </w:r>
      <w:r>
        <w:rPr>
          <w:vertAlign w:val="baseline"/>
        </w:rPr>
        <w:t>pregnant people.</w:t>
      </w:r>
      <w:r>
        <w:rPr>
          <w:spacing w:val="4"/>
          <w:vertAlign w:val="baseline"/>
        </w:rPr>
        <w:t> </w:t>
      </w:r>
      <w:r>
        <w:rPr>
          <w:vertAlign w:val="baseline"/>
        </w:rPr>
        <w:t>For</w:t>
      </w:r>
      <w:r>
        <w:rPr>
          <w:spacing w:val="5"/>
          <w:vertAlign w:val="baseline"/>
        </w:rPr>
        <w:t> </w:t>
      </w:r>
      <w:r>
        <w:rPr>
          <w:vertAlign w:val="baseline"/>
        </w:rPr>
        <w:t>Massachusetts,</w:t>
      </w:r>
      <w:r>
        <w:rPr>
          <w:spacing w:val="4"/>
          <w:vertAlign w:val="baseline"/>
        </w:rPr>
        <w:t> </w:t>
      </w:r>
      <w:r>
        <w:rPr>
          <w:vertAlign w:val="baseline"/>
        </w:rPr>
        <w:t>the</w:t>
      </w:r>
      <w:r>
        <w:rPr>
          <w:spacing w:val="4"/>
          <w:vertAlign w:val="baseline"/>
        </w:rPr>
        <w:t> </w:t>
      </w:r>
      <w:r>
        <w:rPr>
          <w:vertAlign w:val="baseline"/>
        </w:rPr>
        <w:t>maternal</w:t>
      </w:r>
      <w:r>
        <w:rPr>
          <w:spacing w:val="3"/>
          <w:vertAlign w:val="baseline"/>
        </w:rPr>
        <w:t> </w:t>
      </w:r>
      <w:r>
        <w:rPr>
          <w:vertAlign w:val="baseline"/>
        </w:rPr>
        <w:t>mortality</w:t>
      </w:r>
      <w:r>
        <w:rPr>
          <w:spacing w:val="6"/>
          <w:vertAlign w:val="baseline"/>
        </w:rPr>
        <w:t> </w:t>
      </w:r>
      <w:r>
        <w:rPr>
          <w:vertAlign w:val="baseline"/>
        </w:rPr>
        <w:t>rate</w:t>
      </w:r>
      <w:r>
        <w:rPr>
          <w:spacing w:val="3"/>
          <w:vertAlign w:val="baseline"/>
        </w:rPr>
        <w:t> </w:t>
      </w:r>
      <w:r>
        <w:rPr>
          <w:vertAlign w:val="baseline"/>
        </w:rPr>
        <w:t>is</w:t>
      </w:r>
      <w:r>
        <w:rPr>
          <w:spacing w:val="5"/>
          <w:vertAlign w:val="baseline"/>
        </w:rPr>
        <w:t> </w:t>
      </w:r>
      <w:r>
        <w:rPr>
          <w:vertAlign w:val="baseline"/>
        </w:rPr>
        <w:t>8.4</w:t>
      </w:r>
      <w:r>
        <w:rPr>
          <w:spacing w:val="4"/>
          <w:vertAlign w:val="baseline"/>
        </w:rPr>
        <w:t> </w:t>
      </w:r>
      <w:r>
        <w:rPr>
          <w:vertAlign w:val="baseline"/>
        </w:rPr>
        <w:t>per</w:t>
      </w:r>
      <w:r>
        <w:rPr>
          <w:spacing w:val="3"/>
          <w:vertAlign w:val="baseline"/>
        </w:rPr>
        <w:t> </w:t>
      </w:r>
      <w:r>
        <w:rPr>
          <w:vertAlign w:val="baseline"/>
        </w:rPr>
        <w:t>100,000</w:t>
      </w:r>
      <w:r>
        <w:rPr>
          <w:spacing w:val="4"/>
          <w:vertAlign w:val="baseline"/>
        </w:rPr>
        <w:t> </w:t>
      </w:r>
      <w:r>
        <w:rPr>
          <w:vertAlign w:val="baseline"/>
        </w:rPr>
        <w:t>births,</w:t>
      </w:r>
      <w:r>
        <w:rPr>
          <w:spacing w:val="3"/>
          <w:vertAlign w:val="baseline"/>
        </w:rPr>
        <w:t> </w:t>
      </w:r>
      <w:r>
        <w:rPr>
          <w:vertAlign w:val="baseline"/>
        </w:rPr>
        <w:t>making</w:t>
      </w:r>
      <w:r>
        <w:rPr>
          <w:spacing w:val="5"/>
          <w:vertAlign w:val="baseline"/>
        </w:rPr>
        <w:t> </w:t>
      </w:r>
      <w:r>
        <w:rPr>
          <w:vertAlign w:val="baseline"/>
        </w:rPr>
        <w:t>it</w:t>
      </w:r>
      <w:r>
        <w:rPr>
          <w:spacing w:val="4"/>
          <w:vertAlign w:val="baseline"/>
        </w:rPr>
        <w:t> </w:t>
      </w:r>
      <w:r>
        <w:rPr>
          <w:vertAlign w:val="baseline"/>
        </w:rPr>
        <w:t>the</w:t>
      </w:r>
      <w:r>
        <w:rPr>
          <w:spacing w:val="4"/>
          <w:vertAlign w:val="baseline"/>
        </w:rPr>
        <w:t> </w:t>
      </w:r>
      <w:r>
        <w:rPr>
          <w:vertAlign w:val="baseline"/>
        </w:rPr>
        <w:t>state</w:t>
      </w:r>
      <w:r>
        <w:rPr>
          <w:spacing w:val="5"/>
          <w:vertAlign w:val="baseline"/>
        </w:rPr>
        <w:t> </w:t>
      </w:r>
      <w:r>
        <w:rPr>
          <w:spacing w:val="-4"/>
          <w:vertAlign w:val="baseline"/>
        </w:rPr>
        <w:t>with</w:t>
      </w:r>
    </w:p>
    <w:p>
      <w:pPr>
        <w:spacing w:after="0" w:line="276" w:lineRule="auto"/>
        <w:sectPr>
          <w:pgSz w:w="12240" w:h="15840"/>
          <w:pgMar w:header="800" w:footer="1530" w:top="1080" w:bottom="1760" w:left="980" w:right="1000"/>
        </w:sectPr>
      </w:pPr>
    </w:p>
    <w:p>
      <w:pPr>
        <w:pStyle w:val="BodyText"/>
        <w:spacing w:line="276" w:lineRule="auto" w:before="69"/>
        <w:ind w:left="463" w:right="240"/>
        <w:jc w:val="both"/>
      </w:pPr>
      <w:r>
        <w:rPr/>
        <w:t>the second lowest maternal mortality rate.</w:t>
      </w:r>
      <w:hyperlink w:history="true" w:anchor="_bookmark236">
        <w:r>
          <w:rPr>
            <w:vertAlign w:val="superscript"/>
          </w:rPr>
          <w:t>43</w:t>
        </w:r>
      </w:hyperlink>
      <w:r>
        <w:rPr>
          <w:vertAlign w:val="baseline"/>
        </w:rPr>
        <w:t> Although maternal deaths are low in Massachusetts, racial, ethnic,</w:t>
      </w:r>
      <w:r>
        <w:rPr>
          <w:spacing w:val="-6"/>
          <w:vertAlign w:val="baseline"/>
        </w:rPr>
        <w:t> </w:t>
      </w:r>
      <w:r>
        <w:rPr>
          <w:vertAlign w:val="baseline"/>
        </w:rPr>
        <w:t>age</w:t>
      </w:r>
      <w:r>
        <w:rPr>
          <w:spacing w:val="-7"/>
          <w:vertAlign w:val="baseline"/>
        </w:rPr>
        <w:t> </w:t>
      </w:r>
      <w:r>
        <w:rPr>
          <w:vertAlign w:val="baseline"/>
        </w:rPr>
        <w:t>and</w:t>
      </w:r>
      <w:r>
        <w:rPr>
          <w:spacing w:val="-7"/>
          <w:vertAlign w:val="baseline"/>
        </w:rPr>
        <w:t> </w:t>
      </w:r>
      <w:r>
        <w:rPr>
          <w:vertAlign w:val="baseline"/>
        </w:rPr>
        <w:t>insurance</w:t>
      </w:r>
      <w:r>
        <w:rPr>
          <w:spacing w:val="-4"/>
          <w:vertAlign w:val="baseline"/>
        </w:rPr>
        <w:t> </w:t>
      </w:r>
      <w:r>
        <w:rPr>
          <w:vertAlign w:val="baseline"/>
        </w:rPr>
        <w:t>disparities</w:t>
      </w:r>
      <w:r>
        <w:rPr>
          <w:spacing w:val="-6"/>
          <w:vertAlign w:val="baseline"/>
        </w:rPr>
        <w:t> </w:t>
      </w:r>
      <w:r>
        <w:rPr>
          <w:vertAlign w:val="baseline"/>
        </w:rPr>
        <w:t>remain.</w:t>
      </w:r>
      <w:r>
        <w:rPr>
          <w:spacing w:val="-6"/>
          <w:vertAlign w:val="baseline"/>
        </w:rPr>
        <w:t> </w:t>
      </w:r>
      <w:r>
        <w:rPr>
          <w:vertAlign w:val="baseline"/>
        </w:rPr>
        <w:t>A</w:t>
      </w:r>
      <w:r>
        <w:rPr>
          <w:spacing w:val="-6"/>
          <w:vertAlign w:val="baseline"/>
        </w:rPr>
        <w:t> </w:t>
      </w:r>
      <w:r>
        <w:rPr>
          <w:vertAlign w:val="baseline"/>
        </w:rPr>
        <w:t>report</w:t>
      </w:r>
      <w:r>
        <w:rPr>
          <w:spacing w:val="-7"/>
          <w:vertAlign w:val="baseline"/>
        </w:rPr>
        <w:t> </w:t>
      </w:r>
      <w:r>
        <w:rPr>
          <w:vertAlign w:val="baseline"/>
        </w:rPr>
        <w:t>from</w:t>
      </w:r>
      <w:r>
        <w:rPr>
          <w:spacing w:val="-6"/>
          <w:vertAlign w:val="baseline"/>
        </w:rPr>
        <w:t> </w:t>
      </w:r>
      <w:r>
        <w:rPr>
          <w:vertAlign w:val="baseline"/>
        </w:rPr>
        <w:t>the</w:t>
      </w:r>
      <w:r>
        <w:rPr>
          <w:spacing w:val="-7"/>
          <w:vertAlign w:val="baseline"/>
        </w:rPr>
        <w:t> </w:t>
      </w:r>
      <w:r>
        <w:rPr>
          <w:vertAlign w:val="baseline"/>
        </w:rPr>
        <w:t>Massachusetts</w:t>
      </w:r>
      <w:r>
        <w:rPr>
          <w:spacing w:val="-5"/>
          <w:vertAlign w:val="baseline"/>
        </w:rPr>
        <w:t> </w:t>
      </w:r>
      <w:r>
        <w:rPr>
          <w:vertAlign w:val="baseline"/>
        </w:rPr>
        <w:t>Department</w:t>
      </w:r>
      <w:r>
        <w:rPr>
          <w:spacing w:val="-6"/>
          <w:vertAlign w:val="baseline"/>
        </w:rPr>
        <w:t> </w:t>
      </w:r>
      <w:r>
        <w:rPr>
          <w:vertAlign w:val="baseline"/>
        </w:rPr>
        <w:t>of</w:t>
      </w:r>
      <w:r>
        <w:rPr>
          <w:spacing w:val="-6"/>
          <w:vertAlign w:val="baseline"/>
        </w:rPr>
        <w:t> </w:t>
      </w:r>
      <w:r>
        <w:rPr>
          <w:vertAlign w:val="baseline"/>
        </w:rPr>
        <w:t>Public</w:t>
      </w:r>
      <w:r>
        <w:rPr>
          <w:spacing w:val="-6"/>
          <w:vertAlign w:val="baseline"/>
        </w:rPr>
        <w:t> </w:t>
      </w:r>
      <w:r>
        <w:rPr>
          <w:vertAlign w:val="baseline"/>
        </w:rPr>
        <w:t>Health showed that Black women were approximately twice as likely as white women to experience pregnancy- associated mortality, with a large percentage of these deaths reported to be preventable</w:t>
      </w:r>
      <w:hyperlink w:history="true" w:anchor="_bookmark237">
        <w:r>
          <w:rPr>
            <w:vertAlign w:val="baseline"/>
          </w:rPr>
          <w:t>.</w:t>
        </w:r>
        <w:r>
          <w:rPr>
            <w:vertAlign w:val="superscript"/>
          </w:rPr>
          <w:t>44</w:t>
        </w:r>
      </w:hyperlink>
      <w:r>
        <w:rPr>
          <w:vertAlign w:val="baseline"/>
        </w:rPr>
        <w:t> At the intersection of race, Black women with pregnancy-related conditions such as preeclampsia, eclampsia, </w:t>
      </w:r>
      <w:r>
        <w:rPr>
          <w:spacing w:val="-2"/>
          <w:vertAlign w:val="baseline"/>
        </w:rPr>
        <w:t>placental abruption, placenta previa, and postpartum hemorrhage, who gave birth are four times more likely </w:t>
      </w:r>
      <w:r>
        <w:rPr>
          <w:vertAlign w:val="baseline"/>
        </w:rPr>
        <w:t>to die than white women who gave birth. Alarmingly, Black pregnant people do not show a higher significance</w:t>
      </w:r>
      <w:r>
        <w:rPr>
          <w:spacing w:val="-9"/>
          <w:vertAlign w:val="baseline"/>
        </w:rPr>
        <w:t> </w:t>
      </w:r>
      <w:r>
        <w:rPr>
          <w:vertAlign w:val="baseline"/>
        </w:rPr>
        <w:t>of</w:t>
      </w:r>
      <w:r>
        <w:rPr>
          <w:spacing w:val="-10"/>
          <w:vertAlign w:val="baseline"/>
        </w:rPr>
        <w:t> </w:t>
      </w:r>
      <w:r>
        <w:rPr>
          <w:vertAlign w:val="baseline"/>
        </w:rPr>
        <w:t>pregnancy-related</w:t>
      </w:r>
      <w:r>
        <w:rPr>
          <w:spacing w:val="-9"/>
          <w:vertAlign w:val="baseline"/>
        </w:rPr>
        <w:t> </w:t>
      </w:r>
      <w:r>
        <w:rPr>
          <w:vertAlign w:val="baseline"/>
        </w:rPr>
        <w:t>medical</w:t>
      </w:r>
      <w:r>
        <w:rPr>
          <w:spacing w:val="-10"/>
          <w:vertAlign w:val="baseline"/>
        </w:rPr>
        <w:t> </w:t>
      </w:r>
      <w:r>
        <w:rPr>
          <w:vertAlign w:val="baseline"/>
        </w:rPr>
        <w:t>conditions</w:t>
      </w:r>
      <w:r>
        <w:rPr>
          <w:spacing w:val="-7"/>
          <w:vertAlign w:val="baseline"/>
        </w:rPr>
        <w:t> </w:t>
      </w:r>
      <w:r>
        <w:rPr>
          <w:vertAlign w:val="baseline"/>
        </w:rPr>
        <w:t>but</w:t>
      </w:r>
      <w:r>
        <w:rPr>
          <w:spacing w:val="-9"/>
          <w:vertAlign w:val="baseline"/>
        </w:rPr>
        <w:t> </w:t>
      </w:r>
      <w:r>
        <w:rPr>
          <w:vertAlign w:val="baseline"/>
        </w:rPr>
        <w:t>were</w:t>
      </w:r>
      <w:r>
        <w:rPr>
          <w:spacing w:val="-8"/>
          <w:vertAlign w:val="baseline"/>
        </w:rPr>
        <w:t> </w:t>
      </w:r>
      <w:r>
        <w:rPr>
          <w:vertAlign w:val="baseline"/>
        </w:rPr>
        <w:t>more</w:t>
      </w:r>
      <w:r>
        <w:rPr>
          <w:spacing w:val="-10"/>
          <w:vertAlign w:val="baseline"/>
        </w:rPr>
        <w:t> </w:t>
      </w:r>
      <w:r>
        <w:rPr>
          <w:vertAlign w:val="baseline"/>
        </w:rPr>
        <w:t>likely</w:t>
      </w:r>
      <w:r>
        <w:rPr>
          <w:spacing w:val="-9"/>
          <w:vertAlign w:val="baseline"/>
        </w:rPr>
        <w:t> </w:t>
      </w:r>
      <w:r>
        <w:rPr>
          <w:vertAlign w:val="baseline"/>
        </w:rPr>
        <w:t>to</w:t>
      </w:r>
      <w:r>
        <w:rPr>
          <w:spacing w:val="-8"/>
          <w:vertAlign w:val="baseline"/>
        </w:rPr>
        <w:t> </w:t>
      </w:r>
      <w:r>
        <w:rPr>
          <w:vertAlign w:val="baseline"/>
        </w:rPr>
        <w:t>die</w:t>
      </w:r>
      <w:r>
        <w:rPr>
          <w:spacing w:val="-8"/>
          <w:vertAlign w:val="baseline"/>
        </w:rPr>
        <w:t> </w:t>
      </w:r>
      <w:r>
        <w:rPr>
          <w:vertAlign w:val="baseline"/>
        </w:rPr>
        <w:t>from</w:t>
      </w:r>
      <w:r>
        <w:rPr>
          <w:spacing w:val="-10"/>
          <w:vertAlign w:val="baseline"/>
        </w:rPr>
        <w:t> </w:t>
      </w:r>
      <w:r>
        <w:rPr>
          <w:vertAlign w:val="baseline"/>
        </w:rPr>
        <w:t>these</w:t>
      </w:r>
      <w:r>
        <w:rPr>
          <w:spacing w:val="-9"/>
          <w:vertAlign w:val="baseline"/>
        </w:rPr>
        <w:t> </w:t>
      </w:r>
      <w:r>
        <w:rPr>
          <w:vertAlign w:val="baseline"/>
        </w:rPr>
        <w:t>conditions</w:t>
      </w:r>
      <w:r>
        <w:rPr>
          <w:spacing w:val="-8"/>
          <w:vertAlign w:val="baseline"/>
        </w:rPr>
        <w:t> </w:t>
      </w:r>
      <w:r>
        <w:rPr>
          <w:vertAlign w:val="baseline"/>
        </w:rPr>
        <w:t>than white pregnant people with the same pregnancy-related conditions</w:t>
      </w:r>
      <w:hyperlink w:history="true" w:anchor="_bookmark238">
        <w:r>
          <w:rPr>
            <w:vertAlign w:val="baseline"/>
          </w:rPr>
          <w:t>.</w:t>
        </w:r>
        <w:r>
          <w:rPr>
            <w:vertAlign w:val="superscript"/>
          </w:rPr>
          <w:t>45</w:t>
        </w:r>
      </w:hyperlink>
      <w:r>
        <w:rPr>
          <w:vertAlign w:val="baseline"/>
        </w:rPr>
        <w:t> The lack of universal data collection on the gender identity and sexuality of pregnant people makes it difficult to know the extent of pregnancy associated-deaths in LGBTQ populations.</w:t>
      </w:r>
    </w:p>
    <w:p>
      <w:pPr>
        <w:spacing w:before="239"/>
        <w:ind w:left="463" w:right="0" w:firstLine="0"/>
        <w:jc w:val="left"/>
        <w:rPr>
          <w:sz w:val="28"/>
        </w:rPr>
      </w:pPr>
      <w:bookmarkStart w:name="Abortion" w:id="375"/>
      <w:bookmarkEnd w:id="375"/>
      <w:r>
        <w:rPr/>
      </w:r>
      <w:r>
        <w:rPr>
          <w:color w:val="365F91"/>
          <w:spacing w:val="-2"/>
          <w:sz w:val="28"/>
        </w:rPr>
        <w:t>Abortion</w:t>
      </w:r>
    </w:p>
    <w:p>
      <w:pPr>
        <w:pStyle w:val="BodyText"/>
        <w:spacing w:line="276" w:lineRule="auto" w:before="292"/>
        <w:ind w:left="463" w:right="242"/>
        <w:jc w:val="both"/>
      </w:pPr>
      <w:r>
        <w:rPr/>
        <w:t>In 1973, the Supreme Court had constitutionally ruled the right to an abortion in </w:t>
      </w:r>
      <w:r>
        <w:rPr>
          <w:i/>
        </w:rPr>
        <w:t>Roe v. Wade</w:t>
      </w:r>
      <w:r>
        <w:rPr/>
        <w:t>, until the ruling was reversed in the summer of 2022. At the time before the overturning, the federal Medicaid program covered the cost of an abortion. The Hyde Amendment, which prohibits Medicaid funding for abortion</w:t>
      </w:r>
      <w:r>
        <w:rPr>
          <w:spacing w:val="-8"/>
        </w:rPr>
        <w:t> </w:t>
      </w:r>
      <w:r>
        <w:rPr/>
        <w:t>services,</w:t>
      </w:r>
      <w:r>
        <w:rPr>
          <w:spacing w:val="-7"/>
        </w:rPr>
        <w:t> </w:t>
      </w:r>
      <w:r>
        <w:rPr/>
        <w:t>was</w:t>
      </w:r>
      <w:r>
        <w:rPr>
          <w:spacing w:val="-7"/>
        </w:rPr>
        <w:t> </w:t>
      </w:r>
      <w:r>
        <w:rPr/>
        <w:t>passed</w:t>
      </w:r>
      <w:r>
        <w:rPr>
          <w:spacing w:val="-8"/>
        </w:rPr>
        <w:t> </w:t>
      </w:r>
      <w:r>
        <w:rPr/>
        <w:t>and</w:t>
      </w:r>
      <w:r>
        <w:rPr>
          <w:spacing w:val="-8"/>
        </w:rPr>
        <w:t> </w:t>
      </w:r>
      <w:r>
        <w:rPr/>
        <w:t>implemented</w:t>
      </w:r>
      <w:r>
        <w:rPr>
          <w:spacing w:val="-7"/>
        </w:rPr>
        <w:t> </w:t>
      </w:r>
      <w:r>
        <w:rPr/>
        <w:t>in</w:t>
      </w:r>
      <w:r>
        <w:rPr>
          <w:spacing w:val="-7"/>
        </w:rPr>
        <w:t> </w:t>
      </w:r>
      <w:r>
        <w:rPr/>
        <w:t>the</w:t>
      </w:r>
      <w:r>
        <w:rPr>
          <w:spacing w:val="-8"/>
        </w:rPr>
        <w:t> </w:t>
      </w:r>
      <w:r>
        <w:rPr/>
        <w:t>Medicare</w:t>
      </w:r>
      <w:r>
        <w:rPr>
          <w:spacing w:val="-8"/>
        </w:rPr>
        <w:t> </w:t>
      </w:r>
      <w:r>
        <w:rPr/>
        <w:t>funding</w:t>
      </w:r>
      <w:r>
        <w:rPr>
          <w:spacing w:val="-7"/>
        </w:rPr>
        <w:t> </w:t>
      </w:r>
      <w:r>
        <w:rPr/>
        <w:t>bill</w:t>
      </w:r>
      <w:r>
        <w:rPr>
          <w:spacing w:val="-7"/>
        </w:rPr>
        <w:t> </w:t>
      </w:r>
      <w:r>
        <w:rPr/>
        <w:t>in</w:t>
      </w:r>
      <w:r>
        <w:rPr>
          <w:spacing w:val="-7"/>
        </w:rPr>
        <w:t> </w:t>
      </w:r>
      <w:r>
        <w:rPr/>
        <w:t>1976.</w:t>
      </w:r>
      <w:r>
        <w:rPr>
          <w:spacing w:val="-8"/>
        </w:rPr>
        <w:t> </w:t>
      </w:r>
      <w:r>
        <w:rPr/>
        <w:t>As</w:t>
      </w:r>
      <w:r>
        <w:rPr>
          <w:spacing w:val="-7"/>
        </w:rPr>
        <w:t> </w:t>
      </w:r>
      <w:r>
        <w:rPr/>
        <w:t>a</w:t>
      </w:r>
      <w:r>
        <w:rPr>
          <w:spacing w:val="-7"/>
        </w:rPr>
        <w:t> </w:t>
      </w:r>
      <w:r>
        <w:rPr/>
        <w:t>result,</w:t>
      </w:r>
      <w:r>
        <w:rPr>
          <w:spacing w:val="-6"/>
        </w:rPr>
        <w:t> </w:t>
      </w:r>
      <w:r>
        <w:rPr/>
        <w:t>this</w:t>
      </w:r>
      <w:r>
        <w:rPr>
          <w:spacing w:val="-7"/>
        </w:rPr>
        <w:t> </w:t>
      </w:r>
      <w:r>
        <w:rPr/>
        <w:t>affects LGBTQ individuals who already experience access disparities for healthcare services due to a lack of insurance coverage or being underinsured. A 2018 survey by the Center for American Progress found that 20% of LGBTQ people reported receiving Medicaid benefits compared to 12.9% of non-LGBTQ people. LGBTQ</w:t>
      </w:r>
      <w:r>
        <w:rPr>
          <w:spacing w:val="-6"/>
        </w:rPr>
        <w:t> </w:t>
      </w:r>
      <w:r>
        <w:rPr/>
        <w:t>people</w:t>
      </w:r>
      <w:r>
        <w:rPr>
          <w:spacing w:val="-6"/>
        </w:rPr>
        <w:t> </w:t>
      </w:r>
      <w:r>
        <w:rPr/>
        <w:t>of</w:t>
      </w:r>
      <w:r>
        <w:rPr>
          <w:spacing w:val="-5"/>
        </w:rPr>
        <w:t> </w:t>
      </w:r>
      <w:r>
        <w:rPr/>
        <w:t>color</w:t>
      </w:r>
      <w:r>
        <w:rPr>
          <w:spacing w:val="-5"/>
        </w:rPr>
        <w:t> </w:t>
      </w:r>
      <w:r>
        <w:rPr/>
        <w:t>reported</w:t>
      </w:r>
      <w:r>
        <w:rPr>
          <w:spacing w:val="-6"/>
        </w:rPr>
        <w:t> </w:t>
      </w:r>
      <w:r>
        <w:rPr/>
        <w:t>receiving</w:t>
      </w:r>
      <w:r>
        <w:rPr>
          <w:spacing w:val="-6"/>
        </w:rPr>
        <w:t> </w:t>
      </w:r>
      <w:r>
        <w:rPr/>
        <w:t>Medicaid</w:t>
      </w:r>
      <w:r>
        <w:rPr>
          <w:spacing w:val="-4"/>
        </w:rPr>
        <w:t> </w:t>
      </w:r>
      <w:r>
        <w:rPr/>
        <w:t>benefits</w:t>
      </w:r>
      <w:r>
        <w:rPr>
          <w:spacing w:val="-5"/>
        </w:rPr>
        <w:t> </w:t>
      </w:r>
      <w:r>
        <w:rPr/>
        <w:t>at</w:t>
      </w:r>
      <w:r>
        <w:rPr>
          <w:spacing w:val="-5"/>
        </w:rPr>
        <w:t> </w:t>
      </w:r>
      <w:r>
        <w:rPr/>
        <w:t>the</w:t>
      </w:r>
      <w:r>
        <w:rPr>
          <w:spacing w:val="-6"/>
        </w:rPr>
        <w:t> </w:t>
      </w:r>
      <w:r>
        <w:rPr/>
        <w:t>rate</w:t>
      </w:r>
      <w:r>
        <w:rPr>
          <w:spacing w:val="-6"/>
        </w:rPr>
        <w:t> </w:t>
      </w:r>
      <w:r>
        <w:rPr/>
        <w:t>of</w:t>
      </w:r>
      <w:r>
        <w:rPr>
          <w:spacing w:val="-5"/>
        </w:rPr>
        <w:t> </w:t>
      </w:r>
      <w:r>
        <w:rPr/>
        <w:t>24%</w:t>
      </w:r>
      <w:r>
        <w:rPr>
          <w:spacing w:val="-5"/>
        </w:rPr>
        <w:t> </w:t>
      </w:r>
      <w:r>
        <w:rPr/>
        <w:t>compared</w:t>
      </w:r>
      <w:r>
        <w:rPr>
          <w:spacing w:val="-4"/>
        </w:rPr>
        <w:t> </w:t>
      </w:r>
      <w:r>
        <w:rPr/>
        <w:t>to</w:t>
      </w:r>
      <w:r>
        <w:rPr>
          <w:spacing w:val="-5"/>
        </w:rPr>
        <w:t> </w:t>
      </w:r>
      <w:r>
        <w:rPr/>
        <w:t>18.8%</w:t>
      </w:r>
      <w:r>
        <w:rPr>
          <w:spacing w:val="-5"/>
        </w:rPr>
        <w:t> </w:t>
      </w:r>
      <w:r>
        <w:rPr/>
        <w:t>of</w:t>
      </w:r>
      <w:r>
        <w:rPr>
          <w:spacing w:val="-5"/>
        </w:rPr>
        <w:t> </w:t>
      </w:r>
      <w:r>
        <w:rPr/>
        <w:t>white LGBTQ people; and 21.4% of transgender people reported that they or their family received Medicaid benefits,</w:t>
      </w:r>
      <w:r>
        <w:rPr>
          <w:spacing w:val="-4"/>
        </w:rPr>
        <w:t> </w:t>
      </w:r>
      <w:r>
        <w:rPr/>
        <w:t>compared</w:t>
      </w:r>
      <w:r>
        <w:rPr>
          <w:spacing w:val="-4"/>
        </w:rPr>
        <w:t> </w:t>
      </w:r>
      <w:r>
        <w:rPr/>
        <w:t>to</w:t>
      </w:r>
      <w:r>
        <w:rPr>
          <w:spacing w:val="-5"/>
        </w:rPr>
        <w:t> </w:t>
      </w:r>
      <w:r>
        <w:rPr/>
        <w:t>13.4%</w:t>
      </w:r>
      <w:r>
        <w:rPr>
          <w:spacing w:val="-5"/>
        </w:rPr>
        <w:t> </w:t>
      </w:r>
      <w:r>
        <w:rPr/>
        <w:t>of</w:t>
      </w:r>
      <w:r>
        <w:rPr>
          <w:spacing w:val="-4"/>
        </w:rPr>
        <w:t> </w:t>
      </w:r>
      <w:r>
        <w:rPr/>
        <w:t>cisgender</w:t>
      </w:r>
      <w:r>
        <w:rPr>
          <w:spacing w:val="-5"/>
        </w:rPr>
        <w:t> </w:t>
      </w:r>
      <w:r>
        <w:rPr/>
        <w:t>people.</w:t>
      </w:r>
      <w:r>
        <w:rPr>
          <w:spacing w:val="-4"/>
        </w:rPr>
        <w:t> </w:t>
      </w:r>
      <w:r>
        <w:rPr/>
        <w:t>Additionally,</w:t>
      </w:r>
      <w:r>
        <w:rPr>
          <w:spacing w:val="-5"/>
        </w:rPr>
        <w:t> </w:t>
      </w:r>
      <w:r>
        <w:rPr/>
        <w:t>LGBTQ</w:t>
      </w:r>
      <w:r>
        <w:rPr>
          <w:spacing w:val="-4"/>
        </w:rPr>
        <w:t> </w:t>
      </w:r>
      <w:r>
        <w:rPr/>
        <w:t>individuals</w:t>
      </w:r>
      <w:r>
        <w:rPr>
          <w:spacing w:val="-5"/>
        </w:rPr>
        <w:t> </w:t>
      </w:r>
      <w:r>
        <w:rPr/>
        <w:t>with</w:t>
      </w:r>
      <w:r>
        <w:rPr>
          <w:spacing w:val="-3"/>
        </w:rPr>
        <w:t> </w:t>
      </w:r>
      <w:r>
        <w:rPr/>
        <w:t>disabilities</w:t>
      </w:r>
      <w:r>
        <w:rPr>
          <w:spacing w:val="-5"/>
        </w:rPr>
        <w:t> </w:t>
      </w:r>
      <w:r>
        <w:rPr/>
        <w:t>reported receiving Medicaid benefits at a rate of 44.4%, as compared to 11.8% of non-disabled LGBTQ people.</w:t>
      </w:r>
      <w:hyperlink w:history="true" w:anchor="_bookmark239">
        <w:r>
          <w:rPr>
            <w:vertAlign w:val="superscript"/>
          </w:rPr>
          <w:t>46</w:t>
        </w:r>
      </w:hyperlink>
    </w:p>
    <w:p>
      <w:pPr>
        <w:pStyle w:val="BodyText"/>
        <w:spacing w:line="276" w:lineRule="auto" w:before="240"/>
        <w:ind w:left="463" w:right="240"/>
        <w:jc w:val="both"/>
      </w:pPr>
      <w:r>
        <w:rPr/>
        <w:t>LGBTQ people who receive Medicaid may experience cost barriers when seeking abortion services, especially</w:t>
      </w:r>
      <w:r>
        <w:rPr>
          <w:spacing w:val="-10"/>
        </w:rPr>
        <w:t> </w:t>
      </w:r>
      <w:r>
        <w:rPr/>
        <w:t>since</w:t>
      </w:r>
      <w:r>
        <w:rPr>
          <w:spacing w:val="-11"/>
        </w:rPr>
        <w:t> </w:t>
      </w:r>
      <w:r>
        <w:rPr/>
        <w:t>LGBTQ</w:t>
      </w:r>
      <w:r>
        <w:rPr>
          <w:spacing w:val="-10"/>
        </w:rPr>
        <w:t> </w:t>
      </w:r>
      <w:r>
        <w:rPr/>
        <w:t>individuals</w:t>
      </w:r>
      <w:r>
        <w:rPr>
          <w:spacing w:val="-11"/>
        </w:rPr>
        <w:t> </w:t>
      </w:r>
      <w:r>
        <w:rPr/>
        <w:t>under</w:t>
      </w:r>
      <w:r>
        <w:rPr>
          <w:spacing w:val="-10"/>
        </w:rPr>
        <w:t> </w:t>
      </w:r>
      <w:r>
        <w:rPr/>
        <w:t>the</w:t>
      </w:r>
      <w:r>
        <w:rPr>
          <w:spacing w:val="-11"/>
        </w:rPr>
        <w:t> </w:t>
      </w:r>
      <w:r>
        <w:rPr/>
        <w:t>age</w:t>
      </w:r>
      <w:r>
        <w:rPr>
          <w:spacing w:val="-10"/>
        </w:rPr>
        <w:t> </w:t>
      </w:r>
      <w:r>
        <w:rPr/>
        <w:t>of</w:t>
      </w:r>
      <w:r>
        <w:rPr>
          <w:spacing w:val="-11"/>
        </w:rPr>
        <w:t> </w:t>
      </w:r>
      <w:r>
        <w:rPr/>
        <w:t>20</w:t>
      </w:r>
      <w:r>
        <w:rPr>
          <w:spacing w:val="-10"/>
        </w:rPr>
        <w:t> </w:t>
      </w:r>
      <w:r>
        <w:rPr/>
        <w:t>are</w:t>
      </w:r>
      <w:r>
        <w:rPr>
          <w:spacing w:val="-10"/>
        </w:rPr>
        <w:t> </w:t>
      </w:r>
      <w:r>
        <w:rPr/>
        <w:t>more</w:t>
      </w:r>
      <w:r>
        <w:rPr>
          <w:spacing w:val="-11"/>
        </w:rPr>
        <w:t> </w:t>
      </w:r>
      <w:r>
        <w:rPr/>
        <w:t>likely</w:t>
      </w:r>
      <w:r>
        <w:rPr>
          <w:spacing w:val="-11"/>
        </w:rPr>
        <w:t> </w:t>
      </w:r>
      <w:r>
        <w:rPr/>
        <w:t>to</w:t>
      </w:r>
      <w:r>
        <w:rPr>
          <w:spacing w:val="-10"/>
        </w:rPr>
        <w:t> </w:t>
      </w:r>
      <w:r>
        <w:rPr/>
        <w:t>have</w:t>
      </w:r>
      <w:r>
        <w:rPr>
          <w:spacing w:val="-11"/>
        </w:rPr>
        <w:t> </w:t>
      </w:r>
      <w:r>
        <w:rPr/>
        <w:t>an</w:t>
      </w:r>
      <w:r>
        <w:rPr>
          <w:spacing w:val="-9"/>
        </w:rPr>
        <w:t> </w:t>
      </w:r>
      <w:r>
        <w:rPr/>
        <w:t>abortion</w:t>
      </w:r>
      <w:r>
        <w:rPr>
          <w:spacing w:val="-11"/>
        </w:rPr>
        <w:t> </w:t>
      </w:r>
      <w:r>
        <w:rPr/>
        <w:t>compared</w:t>
      </w:r>
      <w:r>
        <w:rPr>
          <w:spacing w:val="-10"/>
        </w:rPr>
        <w:t> </w:t>
      </w:r>
      <w:r>
        <w:rPr/>
        <w:t>to</w:t>
      </w:r>
      <w:r>
        <w:rPr>
          <w:spacing w:val="-11"/>
        </w:rPr>
        <w:t> </w:t>
      </w:r>
      <w:r>
        <w:rPr/>
        <w:t>their heterosexual counterparts</w:t>
      </w:r>
      <w:hyperlink w:history="true" w:anchor="_bookmark240">
        <w:r>
          <w:rPr/>
          <w:t>.</w:t>
        </w:r>
        <w:r>
          <w:rPr>
            <w:vertAlign w:val="superscript"/>
          </w:rPr>
          <w:t>47</w:t>
        </w:r>
      </w:hyperlink>
      <w:r>
        <w:rPr>
          <w:vertAlign w:val="baseline"/>
        </w:rPr>
        <w:t> A 2017 study showed that an estimated number of 462 to 530 transgender and nonbinary individuals obtained abortion care services, but only 23% of those clinics provided transgender-specific</w:t>
      </w:r>
      <w:r>
        <w:rPr>
          <w:spacing w:val="-2"/>
          <w:vertAlign w:val="baseline"/>
        </w:rPr>
        <w:t> </w:t>
      </w:r>
      <w:r>
        <w:rPr>
          <w:vertAlign w:val="baseline"/>
        </w:rPr>
        <w:t>care.</w:t>
      </w:r>
      <w:r>
        <w:rPr>
          <w:spacing w:val="-3"/>
          <w:vertAlign w:val="baseline"/>
        </w:rPr>
        <w:t> </w:t>
      </w:r>
      <w:hyperlink w:history="true" w:anchor="_bookmark241">
        <w:r>
          <w:rPr>
            <w:vertAlign w:val="superscript"/>
          </w:rPr>
          <w:t>48</w:t>
        </w:r>
      </w:hyperlink>
      <w:r>
        <w:rPr>
          <w:spacing w:val="-4"/>
          <w:vertAlign w:val="baseline"/>
        </w:rPr>
        <w:t> </w:t>
      </w:r>
      <w:r>
        <w:rPr>
          <w:vertAlign w:val="baseline"/>
        </w:rPr>
        <w:t>The</w:t>
      </w:r>
      <w:r>
        <w:rPr>
          <w:spacing w:val="-4"/>
          <w:vertAlign w:val="baseline"/>
        </w:rPr>
        <w:t> </w:t>
      </w:r>
      <w:r>
        <w:rPr>
          <w:vertAlign w:val="baseline"/>
        </w:rPr>
        <w:t>recent</w:t>
      </w:r>
      <w:r>
        <w:rPr>
          <w:spacing w:val="-2"/>
          <w:vertAlign w:val="baseline"/>
        </w:rPr>
        <w:t> </w:t>
      </w:r>
      <w:r>
        <w:rPr>
          <w:vertAlign w:val="baseline"/>
        </w:rPr>
        <w:t>overturn</w:t>
      </w:r>
      <w:r>
        <w:rPr>
          <w:spacing w:val="-4"/>
          <w:vertAlign w:val="baseline"/>
        </w:rPr>
        <w:t> </w:t>
      </w:r>
      <w:r>
        <w:rPr>
          <w:vertAlign w:val="baseline"/>
        </w:rPr>
        <w:t>of</w:t>
      </w:r>
      <w:r>
        <w:rPr>
          <w:spacing w:val="-3"/>
          <w:vertAlign w:val="baseline"/>
        </w:rPr>
        <w:t> </w:t>
      </w:r>
      <w:r>
        <w:rPr>
          <w:i/>
          <w:vertAlign w:val="baseline"/>
        </w:rPr>
        <w:t>Roe</w:t>
      </w:r>
      <w:r>
        <w:rPr>
          <w:i/>
          <w:spacing w:val="-5"/>
          <w:vertAlign w:val="baseline"/>
        </w:rPr>
        <w:t> </w:t>
      </w:r>
      <w:r>
        <w:rPr>
          <w:i/>
          <w:vertAlign w:val="baseline"/>
        </w:rPr>
        <w:t>v.</w:t>
      </w:r>
      <w:r>
        <w:rPr>
          <w:i/>
          <w:spacing w:val="-3"/>
          <w:vertAlign w:val="baseline"/>
        </w:rPr>
        <w:t> </w:t>
      </w:r>
      <w:r>
        <w:rPr>
          <w:i/>
          <w:vertAlign w:val="baseline"/>
        </w:rPr>
        <w:t>Wade</w:t>
      </w:r>
      <w:r>
        <w:rPr>
          <w:i/>
          <w:spacing w:val="-3"/>
          <w:vertAlign w:val="baseline"/>
        </w:rPr>
        <w:t> </w:t>
      </w:r>
      <w:r>
        <w:rPr>
          <w:vertAlign w:val="baseline"/>
        </w:rPr>
        <w:t>may</w:t>
      </w:r>
      <w:r>
        <w:rPr>
          <w:spacing w:val="-4"/>
          <w:vertAlign w:val="baseline"/>
        </w:rPr>
        <w:t> </w:t>
      </w:r>
      <w:r>
        <w:rPr>
          <w:vertAlign w:val="baseline"/>
        </w:rPr>
        <w:t>add</w:t>
      </w:r>
      <w:r>
        <w:rPr>
          <w:spacing w:val="-3"/>
          <w:vertAlign w:val="baseline"/>
        </w:rPr>
        <w:t> </w:t>
      </w:r>
      <w:r>
        <w:rPr>
          <w:vertAlign w:val="baseline"/>
        </w:rPr>
        <w:t>another</w:t>
      </w:r>
      <w:r>
        <w:rPr>
          <w:spacing w:val="-4"/>
          <w:vertAlign w:val="baseline"/>
        </w:rPr>
        <w:t> </w:t>
      </w:r>
      <w:r>
        <w:rPr>
          <w:vertAlign w:val="baseline"/>
        </w:rPr>
        <w:t>layer</w:t>
      </w:r>
      <w:r>
        <w:rPr>
          <w:spacing w:val="-4"/>
          <w:vertAlign w:val="baseline"/>
        </w:rPr>
        <w:t> </w:t>
      </w:r>
      <w:r>
        <w:rPr>
          <w:vertAlign w:val="baseline"/>
        </w:rPr>
        <w:t>of</w:t>
      </w:r>
      <w:r>
        <w:rPr>
          <w:spacing w:val="-3"/>
          <w:vertAlign w:val="baseline"/>
        </w:rPr>
        <w:t> </w:t>
      </w:r>
      <w:r>
        <w:rPr>
          <w:vertAlign w:val="baseline"/>
        </w:rPr>
        <w:t>inaccessibility</w:t>
      </w:r>
      <w:r>
        <w:rPr>
          <w:spacing w:val="-2"/>
          <w:vertAlign w:val="baseline"/>
        </w:rPr>
        <w:t> </w:t>
      </w:r>
      <w:r>
        <w:rPr>
          <w:vertAlign w:val="baseline"/>
        </w:rPr>
        <w:t>to abortion</w:t>
      </w:r>
      <w:r>
        <w:rPr>
          <w:spacing w:val="-2"/>
          <w:vertAlign w:val="baseline"/>
        </w:rPr>
        <w:t> </w:t>
      </w:r>
      <w:r>
        <w:rPr>
          <w:vertAlign w:val="baseline"/>
        </w:rPr>
        <w:t>care services</w:t>
      </w:r>
      <w:r>
        <w:rPr>
          <w:spacing w:val="-1"/>
          <w:vertAlign w:val="baseline"/>
        </w:rPr>
        <w:t> </w:t>
      </w:r>
      <w:r>
        <w:rPr>
          <w:vertAlign w:val="baseline"/>
        </w:rPr>
        <w:t>for</w:t>
      </w:r>
      <w:r>
        <w:rPr>
          <w:spacing w:val="-1"/>
          <w:vertAlign w:val="baseline"/>
        </w:rPr>
        <w:t> </w:t>
      </w:r>
      <w:r>
        <w:rPr>
          <w:vertAlign w:val="baseline"/>
        </w:rPr>
        <w:t>LGBTQ</w:t>
      </w:r>
      <w:r>
        <w:rPr>
          <w:spacing w:val="-2"/>
          <w:vertAlign w:val="baseline"/>
        </w:rPr>
        <w:t> </w:t>
      </w:r>
      <w:r>
        <w:rPr>
          <w:vertAlign w:val="baseline"/>
        </w:rPr>
        <w:t>youth, particularly in</w:t>
      </w:r>
      <w:r>
        <w:rPr>
          <w:spacing w:val="-2"/>
          <w:vertAlign w:val="baseline"/>
        </w:rPr>
        <w:t> </w:t>
      </w:r>
      <w:r>
        <w:rPr>
          <w:vertAlign w:val="baseline"/>
        </w:rPr>
        <w:t>more conservative</w:t>
      </w:r>
      <w:r>
        <w:rPr>
          <w:spacing w:val="-2"/>
          <w:vertAlign w:val="baseline"/>
        </w:rPr>
        <w:t> </w:t>
      </w:r>
      <w:r>
        <w:rPr>
          <w:vertAlign w:val="baseline"/>
        </w:rPr>
        <w:t>states and</w:t>
      </w:r>
      <w:r>
        <w:rPr>
          <w:spacing w:val="-2"/>
          <w:vertAlign w:val="baseline"/>
        </w:rPr>
        <w:t> </w:t>
      </w:r>
      <w:r>
        <w:rPr>
          <w:vertAlign w:val="baseline"/>
        </w:rPr>
        <w:t>rural areas.</w:t>
      </w:r>
      <w:r>
        <w:rPr>
          <w:spacing w:val="-2"/>
          <w:vertAlign w:val="baseline"/>
        </w:rPr>
        <w:t> </w:t>
      </w:r>
      <w:r>
        <w:rPr>
          <w:vertAlign w:val="baseline"/>
        </w:rPr>
        <w:t>According to</w:t>
      </w:r>
      <w:r>
        <w:rPr>
          <w:spacing w:val="-4"/>
          <w:vertAlign w:val="baseline"/>
        </w:rPr>
        <w:t> </w:t>
      </w:r>
      <w:r>
        <w:rPr>
          <w:vertAlign w:val="baseline"/>
        </w:rPr>
        <w:t>a</w:t>
      </w:r>
      <w:r>
        <w:rPr>
          <w:spacing w:val="-4"/>
          <w:vertAlign w:val="baseline"/>
        </w:rPr>
        <w:t> </w:t>
      </w:r>
      <w:r>
        <w:rPr>
          <w:vertAlign w:val="baseline"/>
        </w:rPr>
        <w:t>recent</w:t>
      </w:r>
      <w:r>
        <w:rPr>
          <w:spacing w:val="-3"/>
          <w:vertAlign w:val="baseline"/>
        </w:rPr>
        <w:t> </w:t>
      </w:r>
      <w:r>
        <w:rPr>
          <w:vertAlign w:val="baseline"/>
        </w:rPr>
        <w:t>survey</w:t>
      </w:r>
      <w:r>
        <w:rPr>
          <w:spacing w:val="-4"/>
          <w:vertAlign w:val="baseline"/>
        </w:rPr>
        <w:t> </w:t>
      </w:r>
      <w:r>
        <w:rPr>
          <w:vertAlign w:val="baseline"/>
        </w:rPr>
        <w:t>by</w:t>
      </w:r>
      <w:r>
        <w:rPr>
          <w:spacing w:val="-3"/>
          <w:vertAlign w:val="baseline"/>
        </w:rPr>
        <w:t> </w:t>
      </w:r>
      <w:r>
        <w:rPr>
          <w:vertAlign w:val="baseline"/>
        </w:rPr>
        <w:t>the</w:t>
      </w:r>
      <w:r>
        <w:rPr>
          <w:spacing w:val="-3"/>
          <w:vertAlign w:val="baseline"/>
        </w:rPr>
        <w:t> </w:t>
      </w:r>
      <w:r>
        <w:rPr>
          <w:vertAlign w:val="baseline"/>
        </w:rPr>
        <w:t>Trevor</w:t>
      </w:r>
      <w:r>
        <w:rPr>
          <w:spacing w:val="-4"/>
          <w:vertAlign w:val="baseline"/>
        </w:rPr>
        <w:t> </w:t>
      </w:r>
      <w:r>
        <w:rPr>
          <w:vertAlign w:val="baseline"/>
        </w:rPr>
        <w:t>Project,</w:t>
      </w:r>
      <w:r>
        <w:rPr>
          <w:spacing w:val="-4"/>
          <w:vertAlign w:val="baseline"/>
        </w:rPr>
        <w:t> </w:t>
      </w:r>
      <w:r>
        <w:rPr>
          <w:vertAlign w:val="baseline"/>
        </w:rPr>
        <w:t>over</w:t>
      </w:r>
      <w:r>
        <w:rPr>
          <w:spacing w:val="-4"/>
          <w:vertAlign w:val="baseline"/>
        </w:rPr>
        <w:t> </w:t>
      </w:r>
      <w:r>
        <w:rPr>
          <w:vertAlign w:val="baseline"/>
        </w:rPr>
        <w:t>65%</w:t>
      </w:r>
      <w:r>
        <w:rPr>
          <w:spacing w:val="-4"/>
          <w:vertAlign w:val="baseline"/>
        </w:rPr>
        <w:t> </w:t>
      </w:r>
      <w:r>
        <w:rPr>
          <w:vertAlign w:val="baseline"/>
        </w:rPr>
        <w:t>of</w:t>
      </w:r>
      <w:r>
        <w:rPr>
          <w:spacing w:val="-3"/>
          <w:vertAlign w:val="baseline"/>
        </w:rPr>
        <w:t> </w:t>
      </w:r>
      <w:r>
        <w:rPr>
          <w:vertAlign w:val="baseline"/>
        </w:rPr>
        <w:t>LGBTQ</w:t>
      </w:r>
      <w:r>
        <w:rPr>
          <w:spacing w:val="-3"/>
          <w:vertAlign w:val="baseline"/>
        </w:rPr>
        <w:t> </w:t>
      </w:r>
      <w:r>
        <w:rPr>
          <w:vertAlign w:val="baseline"/>
        </w:rPr>
        <w:t>youth</w:t>
      </w:r>
      <w:r>
        <w:rPr>
          <w:spacing w:val="-2"/>
          <w:vertAlign w:val="baseline"/>
        </w:rPr>
        <w:t> </w:t>
      </w:r>
      <w:r>
        <w:rPr>
          <w:vertAlign w:val="baseline"/>
        </w:rPr>
        <w:t>expressed</w:t>
      </w:r>
      <w:r>
        <w:rPr>
          <w:spacing w:val="-3"/>
          <w:vertAlign w:val="baseline"/>
        </w:rPr>
        <w:t> </w:t>
      </w:r>
      <w:r>
        <w:rPr>
          <w:vertAlign w:val="baseline"/>
        </w:rPr>
        <w:t>that</w:t>
      </w:r>
      <w:r>
        <w:rPr>
          <w:spacing w:val="-4"/>
          <w:vertAlign w:val="baseline"/>
        </w:rPr>
        <w:t> </w:t>
      </w:r>
      <w:r>
        <w:rPr>
          <w:vertAlign w:val="baseline"/>
        </w:rPr>
        <w:t>abortion</w:t>
      </w:r>
      <w:r>
        <w:rPr>
          <w:spacing w:val="-4"/>
          <w:vertAlign w:val="baseline"/>
        </w:rPr>
        <w:t> </w:t>
      </w:r>
      <w:r>
        <w:rPr>
          <w:vertAlign w:val="baseline"/>
        </w:rPr>
        <w:t>restrictions</w:t>
      </w:r>
      <w:r>
        <w:rPr>
          <w:spacing w:val="-4"/>
          <w:vertAlign w:val="baseline"/>
        </w:rPr>
        <w:t> </w:t>
      </w:r>
      <w:r>
        <w:rPr>
          <w:vertAlign w:val="baseline"/>
        </w:rPr>
        <w:t>and bans heighten their feelings of stress and anxiety</w:t>
      </w:r>
      <w:hyperlink w:history="true" w:anchor="_bookmark242">
        <w:r>
          <w:rPr>
            <w:vertAlign w:val="baseline"/>
          </w:rPr>
          <w:t>.</w:t>
        </w:r>
        <w:r>
          <w:rPr>
            <w:vertAlign w:val="superscript"/>
          </w:rPr>
          <w:t>49</w:t>
        </w:r>
      </w:hyperlink>
    </w:p>
    <w:p>
      <w:pPr>
        <w:pStyle w:val="BodyText"/>
        <w:spacing w:line="276" w:lineRule="auto" w:before="241"/>
        <w:ind w:left="463" w:right="241"/>
        <w:jc w:val="both"/>
      </w:pPr>
      <w:r>
        <w:rPr/>
        <w:t>Although Massachusetts tends to have progressive</w:t>
      </w:r>
      <w:r>
        <w:rPr>
          <w:spacing w:val="-1"/>
        </w:rPr>
        <w:t> </w:t>
      </w:r>
      <w:r>
        <w:rPr/>
        <w:t>views and</w:t>
      </w:r>
      <w:r>
        <w:rPr>
          <w:spacing w:val="-1"/>
        </w:rPr>
        <w:t> </w:t>
      </w:r>
      <w:r>
        <w:rPr/>
        <w:t>policies on</w:t>
      </w:r>
      <w:r>
        <w:rPr>
          <w:spacing w:val="-1"/>
        </w:rPr>
        <w:t> </w:t>
      </w:r>
      <w:r>
        <w:rPr/>
        <w:t>abortion</w:t>
      </w:r>
      <w:r>
        <w:rPr>
          <w:spacing w:val="-1"/>
        </w:rPr>
        <w:t> </w:t>
      </w:r>
      <w:r>
        <w:rPr/>
        <w:t>rights, certain</w:t>
      </w:r>
      <w:r>
        <w:rPr>
          <w:spacing w:val="-1"/>
        </w:rPr>
        <w:t> </w:t>
      </w:r>
      <w:r>
        <w:rPr/>
        <w:t>regions in the state lack access to routine abortion care providers, making it difficult to schedule an appointment for an</w:t>
      </w:r>
      <w:r>
        <w:rPr>
          <w:spacing w:val="-13"/>
        </w:rPr>
        <w:t> </w:t>
      </w:r>
      <w:r>
        <w:rPr/>
        <w:t>abortion;</w:t>
      </w:r>
      <w:r>
        <w:rPr>
          <w:spacing w:val="-12"/>
        </w:rPr>
        <w:t> </w:t>
      </w:r>
      <w:r>
        <w:rPr/>
        <w:t>these</w:t>
      </w:r>
      <w:r>
        <w:rPr>
          <w:spacing w:val="-13"/>
        </w:rPr>
        <w:t> </w:t>
      </w:r>
      <w:r>
        <w:rPr/>
        <w:t>areas</w:t>
      </w:r>
      <w:r>
        <w:rPr>
          <w:spacing w:val="-12"/>
        </w:rPr>
        <w:t> </w:t>
      </w:r>
      <w:r>
        <w:rPr/>
        <w:t>include</w:t>
      </w:r>
      <w:r>
        <w:rPr>
          <w:spacing w:val="-13"/>
        </w:rPr>
        <w:t> </w:t>
      </w:r>
      <w:r>
        <w:rPr/>
        <w:t>Cape</w:t>
      </w:r>
      <w:r>
        <w:rPr>
          <w:spacing w:val="-12"/>
        </w:rPr>
        <w:t> </w:t>
      </w:r>
      <w:r>
        <w:rPr/>
        <w:t>Cod,</w:t>
      </w:r>
      <w:r>
        <w:rPr>
          <w:spacing w:val="-13"/>
        </w:rPr>
        <w:t> </w:t>
      </w:r>
      <w:r>
        <w:rPr/>
        <w:t>Martha’s</w:t>
      </w:r>
      <w:r>
        <w:rPr>
          <w:spacing w:val="-12"/>
        </w:rPr>
        <w:t> </w:t>
      </w:r>
      <w:r>
        <w:rPr/>
        <w:t>Vineyard,</w:t>
      </w:r>
      <w:r>
        <w:rPr>
          <w:spacing w:val="-12"/>
        </w:rPr>
        <w:t> </w:t>
      </w:r>
      <w:r>
        <w:rPr/>
        <w:t>Plymouth</w:t>
      </w:r>
      <w:r>
        <w:rPr>
          <w:spacing w:val="-13"/>
        </w:rPr>
        <w:t> </w:t>
      </w:r>
      <w:r>
        <w:rPr/>
        <w:t>County,</w:t>
      </w:r>
      <w:r>
        <w:rPr>
          <w:spacing w:val="-12"/>
        </w:rPr>
        <w:t> </w:t>
      </w:r>
      <w:r>
        <w:rPr/>
        <w:t>and</w:t>
      </w:r>
      <w:r>
        <w:rPr>
          <w:spacing w:val="-13"/>
        </w:rPr>
        <w:t> </w:t>
      </w:r>
      <w:r>
        <w:rPr/>
        <w:t>the</w:t>
      </w:r>
      <w:r>
        <w:rPr>
          <w:spacing w:val="-12"/>
        </w:rPr>
        <w:t> </w:t>
      </w:r>
      <w:r>
        <w:rPr/>
        <w:t>entire</w:t>
      </w:r>
      <w:r>
        <w:rPr>
          <w:spacing w:val="-13"/>
        </w:rPr>
        <w:t> </w:t>
      </w:r>
      <w:r>
        <w:rPr/>
        <w:t>South</w:t>
      </w:r>
      <w:r>
        <w:rPr>
          <w:spacing w:val="-12"/>
        </w:rPr>
        <w:t> </w:t>
      </w:r>
      <w:r>
        <w:rPr/>
        <w:t>Coast, which includes two major gateway cities, New Bedford and Fall River, home to a million residents and numerous hospitals and medical centers. There are also limited abortion providers in Western Massachusetts</w:t>
      </w:r>
      <w:r>
        <w:rPr>
          <w:spacing w:val="-12"/>
        </w:rPr>
        <w:t> </w:t>
      </w:r>
      <w:r>
        <w:rPr/>
        <w:t>and</w:t>
      </w:r>
      <w:r>
        <w:rPr>
          <w:spacing w:val="-11"/>
        </w:rPr>
        <w:t> </w:t>
      </w:r>
      <w:r>
        <w:rPr/>
        <w:t>although</w:t>
      </w:r>
      <w:r>
        <w:rPr>
          <w:spacing w:val="-11"/>
        </w:rPr>
        <w:t> </w:t>
      </w:r>
      <w:r>
        <w:rPr/>
        <w:t>populations</w:t>
      </w:r>
      <w:r>
        <w:rPr>
          <w:spacing w:val="-12"/>
        </w:rPr>
        <w:t> </w:t>
      </w:r>
      <w:r>
        <w:rPr/>
        <w:t>are</w:t>
      </w:r>
      <w:r>
        <w:rPr>
          <w:spacing w:val="-11"/>
        </w:rPr>
        <w:t> </w:t>
      </w:r>
      <w:r>
        <w:rPr/>
        <w:t>low</w:t>
      </w:r>
      <w:r>
        <w:rPr>
          <w:spacing w:val="-12"/>
        </w:rPr>
        <w:t> </w:t>
      </w:r>
      <w:r>
        <w:rPr/>
        <w:t>and</w:t>
      </w:r>
      <w:r>
        <w:rPr>
          <w:spacing w:val="-12"/>
        </w:rPr>
        <w:t> </w:t>
      </w:r>
      <w:r>
        <w:rPr/>
        <w:t>dispersed,</w:t>
      </w:r>
      <w:r>
        <w:rPr>
          <w:spacing w:val="-11"/>
        </w:rPr>
        <w:t> </w:t>
      </w:r>
      <w:r>
        <w:rPr/>
        <w:t>there</w:t>
      </w:r>
      <w:r>
        <w:rPr>
          <w:spacing w:val="-11"/>
        </w:rPr>
        <w:t> </w:t>
      </w:r>
      <w:r>
        <w:rPr/>
        <w:t>is</w:t>
      </w:r>
      <w:r>
        <w:rPr>
          <w:spacing w:val="-12"/>
        </w:rPr>
        <w:t> </w:t>
      </w:r>
      <w:r>
        <w:rPr/>
        <w:t>still</w:t>
      </w:r>
      <w:r>
        <w:rPr>
          <w:spacing w:val="-11"/>
        </w:rPr>
        <w:t> </w:t>
      </w:r>
      <w:r>
        <w:rPr/>
        <w:t>a</w:t>
      </w:r>
      <w:r>
        <w:rPr>
          <w:spacing w:val="-10"/>
        </w:rPr>
        <w:t> </w:t>
      </w:r>
      <w:r>
        <w:rPr/>
        <w:t>huge</w:t>
      </w:r>
      <w:r>
        <w:rPr>
          <w:spacing w:val="-11"/>
        </w:rPr>
        <w:t> </w:t>
      </w:r>
      <w:r>
        <w:rPr/>
        <w:t>travel</w:t>
      </w:r>
      <w:r>
        <w:rPr>
          <w:spacing w:val="-11"/>
        </w:rPr>
        <w:t> </w:t>
      </w:r>
      <w:r>
        <w:rPr/>
        <w:t>distance</w:t>
      </w:r>
      <w:r>
        <w:rPr>
          <w:spacing w:val="-11"/>
        </w:rPr>
        <w:t> </w:t>
      </w:r>
      <w:r>
        <w:rPr/>
        <w:t>between residents and abortion services</w:t>
      </w:r>
      <w:hyperlink w:history="true" w:anchor="_bookmark243">
        <w:r>
          <w:rPr/>
          <w:t>.</w:t>
        </w:r>
        <w:r>
          <w:rPr>
            <w:vertAlign w:val="superscript"/>
          </w:rPr>
          <w:t>50</w:t>
        </w:r>
      </w:hyperlink>
      <w:r>
        <w:rPr>
          <w:vertAlign w:val="baseline"/>
        </w:rPr>
        <w:t> Abortions are not illegal in these areas but many hospitals and medical</w:t>
      </w:r>
    </w:p>
    <w:p>
      <w:pPr>
        <w:spacing w:after="0" w:line="276" w:lineRule="auto"/>
        <w:jc w:val="both"/>
        <w:sectPr>
          <w:pgSz w:w="12240" w:h="15840"/>
          <w:pgMar w:header="800" w:footer="1530" w:top="1080" w:bottom="1760" w:left="980" w:right="1000"/>
        </w:sectPr>
      </w:pPr>
    </w:p>
    <w:p>
      <w:pPr>
        <w:pStyle w:val="BodyText"/>
        <w:spacing w:line="276" w:lineRule="auto" w:before="69"/>
        <w:ind w:left="463" w:right="239"/>
        <w:jc w:val="both"/>
      </w:pPr>
      <w:r>
        <w:rPr/>
        <w:t>providers are not required to provide routine abortion services. Instead, they are expected to perform an abortion</w:t>
      </w:r>
      <w:r>
        <w:rPr>
          <w:spacing w:val="-12"/>
        </w:rPr>
        <w:t> </w:t>
      </w:r>
      <w:r>
        <w:rPr/>
        <w:t>if</w:t>
      </w:r>
      <w:r>
        <w:rPr>
          <w:spacing w:val="-11"/>
        </w:rPr>
        <w:t> </w:t>
      </w:r>
      <w:r>
        <w:rPr/>
        <w:t>necessary,</w:t>
      </w:r>
      <w:r>
        <w:rPr>
          <w:spacing w:val="-11"/>
        </w:rPr>
        <w:t> </w:t>
      </w:r>
      <w:r>
        <w:rPr/>
        <w:t>such</w:t>
      </w:r>
      <w:r>
        <w:rPr>
          <w:spacing w:val="-10"/>
        </w:rPr>
        <w:t> </w:t>
      </w:r>
      <w:r>
        <w:rPr/>
        <w:t>as</w:t>
      </w:r>
      <w:r>
        <w:rPr>
          <w:spacing w:val="-11"/>
        </w:rPr>
        <w:t> </w:t>
      </w:r>
      <w:r>
        <w:rPr/>
        <w:t>when</w:t>
      </w:r>
      <w:r>
        <w:rPr>
          <w:spacing w:val="-12"/>
        </w:rPr>
        <w:t> </w:t>
      </w:r>
      <w:r>
        <w:rPr/>
        <w:t>the</w:t>
      </w:r>
      <w:r>
        <w:rPr>
          <w:spacing w:val="-10"/>
        </w:rPr>
        <w:t> </w:t>
      </w:r>
      <w:r>
        <w:rPr/>
        <w:t>pregnant</w:t>
      </w:r>
      <w:r>
        <w:rPr>
          <w:spacing w:val="-11"/>
        </w:rPr>
        <w:t> </w:t>
      </w:r>
      <w:r>
        <w:rPr/>
        <w:t>person</w:t>
      </w:r>
      <w:r>
        <w:rPr>
          <w:spacing w:val="-12"/>
        </w:rPr>
        <w:t> </w:t>
      </w:r>
      <w:r>
        <w:rPr/>
        <w:t>is</w:t>
      </w:r>
      <w:r>
        <w:rPr>
          <w:spacing w:val="-11"/>
        </w:rPr>
        <w:t> </w:t>
      </w:r>
      <w:r>
        <w:rPr/>
        <w:t>in</w:t>
      </w:r>
      <w:r>
        <w:rPr>
          <w:spacing w:val="-12"/>
        </w:rPr>
        <w:t> </w:t>
      </w:r>
      <w:r>
        <w:rPr/>
        <w:t>a</w:t>
      </w:r>
      <w:r>
        <w:rPr>
          <w:spacing w:val="-10"/>
        </w:rPr>
        <w:t> </w:t>
      </w:r>
      <w:r>
        <w:rPr/>
        <w:t>medical</w:t>
      </w:r>
      <w:r>
        <w:rPr>
          <w:spacing w:val="-11"/>
        </w:rPr>
        <w:t> </w:t>
      </w:r>
      <w:r>
        <w:rPr/>
        <w:t>emergency</w:t>
      </w:r>
      <w:r>
        <w:rPr>
          <w:spacing w:val="-11"/>
        </w:rPr>
        <w:t> </w:t>
      </w:r>
      <w:r>
        <w:rPr/>
        <w:t>and</w:t>
      </w:r>
      <w:r>
        <w:rPr>
          <w:spacing w:val="-10"/>
        </w:rPr>
        <w:t> </w:t>
      </w:r>
      <w:r>
        <w:rPr/>
        <w:t>the</w:t>
      </w:r>
      <w:r>
        <w:rPr>
          <w:spacing w:val="-10"/>
        </w:rPr>
        <w:t> </w:t>
      </w:r>
      <w:r>
        <w:rPr/>
        <w:t>medical</w:t>
      </w:r>
      <w:r>
        <w:rPr>
          <w:spacing w:val="-10"/>
        </w:rPr>
        <w:t> </w:t>
      </w:r>
      <w:r>
        <w:rPr/>
        <w:t>provider needs to perform an abortion to stabilize the patient. In compliance with the Massachusetts Health and Hospital</w:t>
      </w:r>
      <w:r>
        <w:rPr>
          <w:spacing w:val="-8"/>
        </w:rPr>
        <w:t> </w:t>
      </w:r>
      <w:r>
        <w:rPr/>
        <w:t>Association,</w:t>
      </w:r>
      <w:r>
        <w:rPr>
          <w:spacing w:val="-7"/>
        </w:rPr>
        <w:t> </w:t>
      </w:r>
      <w:r>
        <w:rPr/>
        <w:t>all</w:t>
      </w:r>
      <w:r>
        <w:rPr>
          <w:spacing w:val="-7"/>
        </w:rPr>
        <w:t> </w:t>
      </w:r>
      <w:r>
        <w:rPr/>
        <w:t>hospitals</w:t>
      </w:r>
      <w:r>
        <w:rPr>
          <w:spacing w:val="-7"/>
        </w:rPr>
        <w:t> </w:t>
      </w:r>
      <w:r>
        <w:rPr/>
        <w:t>are</w:t>
      </w:r>
      <w:r>
        <w:rPr>
          <w:spacing w:val="-8"/>
        </w:rPr>
        <w:t> </w:t>
      </w:r>
      <w:r>
        <w:rPr/>
        <w:t>expected</w:t>
      </w:r>
      <w:r>
        <w:rPr>
          <w:spacing w:val="-7"/>
        </w:rPr>
        <w:t> </w:t>
      </w:r>
      <w:r>
        <w:rPr/>
        <w:t>to</w:t>
      </w:r>
      <w:r>
        <w:rPr>
          <w:spacing w:val="-7"/>
        </w:rPr>
        <w:t> </w:t>
      </w:r>
      <w:r>
        <w:rPr/>
        <w:t>perform</w:t>
      </w:r>
      <w:r>
        <w:rPr>
          <w:spacing w:val="-8"/>
        </w:rPr>
        <w:t> </w:t>
      </w:r>
      <w:r>
        <w:rPr/>
        <w:t>an</w:t>
      </w:r>
      <w:r>
        <w:rPr>
          <w:spacing w:val="-8"/>
        </w:rPr>
        <w:t> </w:t>
      </w:r>
      <w:r>
        <w:rPr/>
        <w:t>abortion</w:t>
      </w:r>
      <w:r>
        <w:rPr>
          <w:spacing w:val="-8"/>
        </w:rPr>
        <w:t> </w:t>
      </w:r>
      <w:r>
        <w:rPr/>
        <w:t>if</w:t>
      </w:r>
      <w:r>
        <w:rPr>
          <w:spacing w:val="-6"/>
        </w:rPr>
        <w:t> </w:t>
      </w:r>
      <w:r>
        <w:rPr/>
        <w:t>necessary</w:t>
      </w:r>
      <w:r>
        <w:rPr>
          <w:spacing w:val="-8"/>
        </w:rPr>
        <w:t> </w:t>
      </w:r>
      <w:r>
        <w:rPr/>
        <w:t>to</w:t>
      </w:r>
      <w:r>
        <w:rPr>
          <w:spacing w:val="-7"/>
        </w:rPr>
        <w:t> </w:t>
      </w:r>
      <w:r>
        <w:rPr/>
        <w:t>stabilize</w:t>
      </w:r>
      <w:r>
        <w:rPr>
          <w:spacing w:val="-8"/>
        </w:rPr>
        <w:t> </w:t>
      </w:r>
      <w:r>
        <w:rPr/>
        <w:t>the</w:t>
      </w:r>
      <w:r>
        <w:rPr>
          <w:spacing w:val="-8"/>
        </w:rPr>
        <w:t> </w:t>
      </w:r>
      <w:r>
        <w:rPr/>
        <w:t>pregnant patient.</w:t>
      </w:r>
      <w:r>
        <w:rPr>
          <w:spacing w:val="-3"/>
        </w:rPr>
        <w:t> </w:t>
      </w:r>
      <w:r>
        <w:rPr/>
        <w:t>However,</w:t>
      </w:r>
      <w:r>
        <w:rPr>
          <w:spacing w:val="-3"/>
        </w:rPr>
        <w:t> </w:t>
      </w:r>
      <w:r>
        <w:rPr/>
        <w:t>hospitals</w:t>
      </w:r>
      <w:r>
        <w:rPr>
          <w:spacing w:val="-3"/>
        </w:rPr>
        <w:t> </w:t>
      </w:r>
      <w:r>
        <w:rPr/>
        <w:t>and</w:t>
      </w:r>
      <w:r>
        <w:rPr>
          <w:spacing w:val="-3"/>
        </w:rPr>
        <w:t> </w:t>
      </w:r>
      <w:r>
        <w:rPr/>
        <w:t>medical</w:t>
      </w:r>
      <w:r>
        <w:rPr>
          <w:spacing w:val="-2"/>
        </w:rPr>
        <w:t> </w:t>
      </w:r>
      <w:r>
        <w:rPr/>
        <w:t>providers</w:t>
      </w:r>
      <w:r>
        <w:rPr>
          <w:spacing w:val="-3"/>
        </w:rPr>
        <w:t> </w:t>
      </w:r>
      <w:r>
        <w:rPr/>
        <w:t>are</w:t>
      </w:r>
      <w:r>
        <w:rPr>
          <w:spacing w:val="-3"/>
        </w:rPr>
        <w:t> </w:t>
      </w:r>
      <w:r>
        <w:rPr/>
        <w:t>not</w:t>
      </w:r>
      <w:r>
        <w:rPr>
          <w:spacing w:val="-3"/>
        </w:rPr>
        <w:t> </w:t>
      </w:r>
      <w:r>
        <w:rPr/>
        <w:t>required</w:t>
      </w:r>
      <w:r>
        <w:rPr>
          <w:spacing w:val="-3"/>
        </w:rPr>
        <w:t> </w:t>
      </w:r>
      <w:r>
        <w:rPr/>
        <w:t>to</w:t>
      </w:r>
      <w:r>
        <w:rPr>
          <w:spacing w:val="-2"/>
        </w:rPr>
        <w:t> </w:t>
      </w:r>
      <w:r>
        <w:rPr/>
        <w:t>provide</w:t>
      </w:r>
      <w:r>
        <w:rPr>
          <w:spacing w:val="-2"/>
        </w:rPr>
        <w:t> </w:t>
      </w:r>
      <w:r>
        <w:rPr/>
        <w:t>abortion</w:t>
      </w:r>
      <w:r>
        <w:rPr>
          <w:spacing w:val="-3"/>
        </w:rPr>
        <w:t> </w:t>
      </w:r>
      <w:r>
        <w:rPr/>
        <w:t>as</w:t>
      </w:r>
      <w:r>
        <w:rPr>
          <w:spacing w:val="-3"/>
        </w:rPr>
        <w:t> </w:t>
      </w:r>
      <w:r>
        <w:rPr/>
        <w:t>a</w:t>
      </w:r>
      <w:r>
        <w:rPr>
          <w:spacing w:val="-3"/>
        </w:rPr>
        <w:t> </w:t>
      </w:r>
      <w:r>
        <w:rPr/>
        <w:t>regular</w:t>
      </w:r>
      <w:r>
        <w:rPr>
          <w:spacing w:val="-3"/>
        </w:rPr>
        <w:t> </w:t>
      </w:r>
      <w:r>
        <w:rPr/>
        <w:t>service but</w:t>
      </w:r>
      <w:r>
        <w:rPr>
          <w:spacing w:val="-2"/>
        </w:rPr>
        <w:t> </w:t>
      </w:r>
      <w:r>
        <w:rPr/>
        <w:t>can</w:t>
      </w:r>
      <w:r>
        <w:rPr>
          <w:spacing w:val="-2"/>
        </w:rPr>
        <w:t> </w:t>
      </w:r>
      <w:r>
        <w:rPr/>
        <w:t>refer pregnant</w:t>
      </w:r>
      <w:r>
        <w:rPr>
          <w:spacing w:val="-2"/>
        </w:rPr>
        <w:t> </w:t>
      </w:r>
      <w:r>
        <w:rPr/>
        <w:t>people</w:t>
      </w:r>
      <w:r>
        <w:rPr>
          <w:spacing w:val="-2"/>
        </w:rPr>
        <w:t> </w:t>
      </w:r>
      <w:r>
        <w:rPr/>
        <w:t>with</w:t>
      </w:r>
      <w:r>
        <w:rPr>
          <w:spacing w:val="-2"/>
        </w:rPr>
        <w:t> </w:t>
      </w:r>
      <w:r>
        <w:rPr/>
        <w:t>unintended</w:t>
      </w:r>
      <w:r>
        <w:rPr>
          <w:spacing w:val="-2"/>
        </w:rPr>
        <w:t> </w:t>
      </w:r>
      <w:r>
        <w:rPr/>
        <w:t>pregnancies</w:t>
      </w:r>
      <w:r>
        <w:rPr>
          <w:spacing w:val="-2"/>
        </w:rPr>
        <w:t> </w:t>
      </w:r>
      <w:r>
        <w:rPr/>
        <w:t>to</w:t>
      </w:r>
      <w:r>
        <w:rPr>
          <w:spacing w:val="-2"/>
        </w:rPr>
        <w:t> </w:t>
      </w:r>
      <w:r>
        <w:rPr/>
        <w:t>other</w:t>
      </w:r>
      <w:r>
        <w:rPr>
          <w:spacing w:val="-2"/>
        </w:rPr>
        <w:t> </w:t>
      </w:r>
      <w:r>
        <w:rPr/>
        <w:t>medical</w:t>
      </w:r>
      <w:r>
        <w:rPr>
          <w:spacing w:val="-2"/>
        </w:rPr>
        <w:t> </w:t>
      </w:r>
      <w:r>
        <w:rPr/>
        <w:t>centers</w:t>
      </w:r>
      <w:r>
        <w:rPr>
          <w:spacing w:val="-2"/>
        </w:rPr>
        <w:t> </w:t>
      </w:r>
      <w:r>
        <w:rPr/>
        <w:t>or</w:t>
      </w:r>
      <w:r>
        <w:rPr>
          <w:spacing w:val="-2"/>
        </w:rPr>
        <w:t> </w:t>
      </w:r>
      <w:r>
        <w:rPr/>
        <w:t>providers</w:t>
      </w:r>
      <w:r>
        <w:rPr>
          <w:spacing w:val="-2"/>
        </w:rPr>
        <w:t> </w:t>
      </w:r>
      <w:r>
        <w:rPr/>
        <w:t>who</w:t>
      </w:r>
      <w:r>
        <w:rPr>
          <w:spacing w:val="-2"/>
        </w:rPr>
        <w:t> </w:t>
      </w:r>
      <w:r>
        <w:rPr/>
        <w:t>can provide routine abortion services. Statewide, only nine hospitals provide routine abortion services with seven of them being in Boston and Cambridge. Fortunately, those nine hospitals that provide routine abortion services appear to also provide gender-affirming care or are trained in LGBTQ healthcare.</w:t>
      </w:r>
    </w:p>
    <w:p>
      <w:pPr>
        <w:pStyle w:val="BodyText"/>
        <w:spacing w:line="276" w:lineRule="auto" w:before="239"/>
        <w:ind w:left="463" w:right="240"/>
        <w:jc w:val="both"/>
      </w:pPr>
      <w:r>
        <w:rPr/>
        <w:t>According</w:t>
      </w:r>
      <w:r>
        <w:rPr>
          <w:spacing w:val="-9"/>
        </w:rPr>
        <w:t> </w:t>
      </w:r>
      <w:r>
        <w:rPr/>
        <w:t>to</w:t>
      </w:r>
      <w:r>
        <w:rPr>
          <w:spacing w:val="-7"/>
        </w:rPr>
        <w:t> </w:t>
      </w:r>
      <w:r>
        <w:rPr/>
        <w:t>a</w:t>
      </w:r>
      <w:r>
        <w:rPr>
          <w:spacing w:val="-8"/>
        </w:rPr>
        <w:t> </w:t>
      </w:r>
      <w:r>
        <w:rPr/>
        <w:t>directory</w:t>
      </w:r>
      <w:r>
        <w:rPr>
          <w:spacing w:val="-9"/>
        </w:rPr>
        <w:t> </w:t>
      </w:r>
      <w:r>
        <w:rPr/>
        <w:t>designed</w:t>
      </w:r>
      <w:r>
        <w:rPr>
          <w:spacing w:val="-9"/>
        </w:rPr>
        <w:t> </w:t>
      </w:r>
      <w:r>
        <w:rPr/>
        <w:t>by</w:t>
      </w:r>
      <w:r>
        <w:rPr>
          <w:spacing w:val="-9"/>
        </w:rPr>
        <w:t> </w:t>
      </w:r>
      <w:r>
        <w:rPr/>
        <w:t>a</w:t>
      </w:r>
      <w:r>
        <w:rPr>
          <w:spacing w:val="-7"/>
        </w:rPr>
        <w:t> </w:t>
      </w:r>
      <w:r>
        <w:rPr/>
        <w:t>New</w:t>
      </w:r>
      <w:r>
        <w:rPr>
          <w:spacing w:val="-9"/>
        </w:rPr>
        <w:t> </w:t>
      </w:r>
      <w:r>
        <w:rPr/>
        <w:t>England-based</w:t>
      </w:r>
      <w:r>
        <w:rPr>
          <w:spacing w:val="-9"/>
        </w:rPr>
        <w:t> </w:t>
      </w:r>
      <w:r>
        <w:rPr/>
        <w:t>abortion</w:t>
      </w:r>
      <w:r>
        <w:rPr>
          <w:spacing w:val="-9"/>
        </w:rPr>
        <w:t> </w:t>
      </w:r>
      <w:r>
        <w:rPr/>
        <w:t>rights</w:t>
      </w:r>
      <w:r>
        <w:rPr>
          <w:spacing w:val="-8"/>
        </w:rPr>
        <w:t> </w:t>
      </w:r>
      <w:r>
        <w:rPr/>
        <w:t>group,</w:t>
      </w:r>
      <w:r>
        <w:rPr>
          <w:spacing w:val="-8"/>
        </w:rPr>
        <w:t> </w:t>
      </w:r>
      <w:r>
        <w:rPr/>
        <w:t>Reproductive</w:t>
      </w:r>
      <w:r>
        <w:rPr>
          <w:spacing w:val="-9"/>
        </w:rPr>
        <w:t> </w:t>
      </w:r>
      <w:r>
        <w:rPr/>
        <w:t>Equity</w:t>
      </w:r>
      <w:r>
        <w:rPr>
          <w:spacing w:val="-9"/>
        </w:rPr>
        <w:t> </w:t>
      </w:r>
      <w:r>
        <w:rPr/>
        <w:t>Now, the nearest abortion service providers in New Bedford are 43 miles away – Four Women's Health Services in</w:t>
      </w:r>
      <w:r>
        <w:rPr>
          <w:spacing w:val="-10"/>
        </w:rPr>
        <w:t> </w:t>
      </w:r>
      <w:r>
        <w:rPr/>
        <w:t>Attleboro</w:t>
      </w:r>
      <w:r>
        <w:rPr>
          <w:spacing w:val="-10"/>
        </w:rPr>
        <w:t> </w:t>
      </w:r>
      <w:r>
        <w:rPr/>
        <w:t>and</w:t>
      </w:r>
      <w:r>
        <w:rPr>
          <w:spacing w:val="-9"/>
        </w:rPr>
        <w:t> </w:t>
      </w:r>
      <w:r>
        <w:rPr/>
        <w:t>the</w:t>
      </w:r>
      <w:r>
        <w:rPr>
          <w:spacing w:val="-9"/>
        </w:rPr>
        <w:t> </w:t>
      </w:r>
      <w:r>
        <w:rPr/>
        <w:t>Women</w:t>
      </w:r>
      <w:r>
        <w:rPr>
          <w:spacing w:val="-10"/>
        </w:rPr>
        <w:t> </w:t>
      </w:r>
      <w:r>
        <w:rPr/>
        <w:t>and</w:t>
      </w:r>
      <w:r>
        <w:rPr>
          <w:spacing w:val="-9"/>
        </w:rPr>
        <w:t> </w:t>
      </w:r>
      <w:r>
        <w:rPr/>
        <w:t>Infant</w:t>
      </w:r>
      <w:r>
        <w:rPr>
          <w:spacing w:val="-8"/>
        </w:rPr>
        <w:t> </w:t>
      </w:r>
      <w:r>
        <w:rPr/>
        <w:t>Hospital</w:t>
      </w:r>
      <w:r>
        <w:rPr>
          <w:spacing w:val="-10"/>
        </w:rPr>
        <w:t> </w:t>
      </w:r>
      <w:r>
        <w:rPr/>
        <w:t>in</w:t>
      </w:r>
      <w:r>
        <w:rPr>
          <w:spacing w:val="-9"/>
        </w:rPr>
        <w:t> </w:t>
      </w:r>
      <w:r>
        <w:rPr/>
        <w:t>Providence,</w:t>
      </w:r>
      <w:r>
        <w:rPr>
          <w:spacing w:val="-9"/>
        </w:rPr>
        <w:t> </w:t>
      </w:r>
      <w:r>
        <w:rPr/>
        <w:t>RI.</w:t>
      </w:r>
      <w:r>
        <w:rPr>
          <w:spacing w:val="-8"/>
        </w:rPr>
        <w:t> </w:t>
      </w:r>
      <w:r>
        <w:rPr/>
        <w:t>Pregnant</w:t>
      </w:r>
      <w:r>
        <w:rPr>
          <w:spacing w:val="-9"/>
        </w:rPr>
        <w:t> </w:t>
      </w:r>
      <w:r>
        <w:rPr/>
        <w:t>people</w:t>
      </w:r>
      <w:r>
        <w:rPr>
          <w:spacing w:val="-10"/>
        </w:rPr>
        <w:t> </w:t>
      </w:r>
      <w:r>
        <w:rPr/>
        <w:t>in</w:t>
      </w:r>
      <w:r>
        <w:rPr>
          <w:spacing w:val="-10"/>
        </w:rPr>
        <w:t> </w:t>
      </w:r>
      <w:r>
        <w:rPr/>
        <w:t>Cape</w:t>
      </w:r>
      <w:r>
        <w:rPr>
          <w:spacing w:val="-9"/>
        </w:rPr>
        <w:t> </w:t>
      </w:r>
      <w:r>
        <w:rPr/>
        <w:t>Cod</w:t>
      </w:r>
      <w:r>
        <w:rPr>
          <w:spacing w:val="-10"/>
        </w:rPr>
        <w:t> </w:t>
      </w:r>
      <w:r>
        <w:rPr/>
        <w:t>would</w:t>
      </w:r>
      <w:r>
        <w:rPr>
          <w:spacing w:val="-9"/>
        </w:rPr>
        <w:t> </w:t>
      </w:r>
      <w:r>
        <w:rPr/>
        <w:t>need to travel almost 100 miles to access routine abortion service providers in the greater Boston area</w:t>
      </w:r>
      <w:hyperlink w:history="true" w:anchor="_bookmark244">
        <w:r>
          <w:rPr/>
          <w:t>.</w:t>
        </w:r>
        <w:r>
          <w:rPr>
            <w:vertAlign w:val="superscript"/>
          </w:rPr>
          <w:t>51</w:t>
        </w:r>
      </w:hyperlink>
      <w:r>
        <w:rPr>
          <w:vertAlign w:val="baseline"/>
        </w:rPr>
        <w:t> This becomes a barrier</w:t>
      </w:r>
      <w:r>
        <w:rPr>
          <w:spacing w:val="-2"/>
          <w:vertAlign w:val="baseline"/>
        </w:rPr>
        <w:t> </w:t>
      </w:r>
      <w:r>
        <w:rPr>
          <w:vertAlign w:val="baseline"/>
        </w:rPr>
        <w:t>to</w:t>
      </w:r>
      <w:r>
        <w:rPr>
          <w:spacing w:val="-1"/>
          <w:vertAlign w:val="baseline"/>
        </w:rPr>
        <w:t> </w:t>
      </w:r>
      <w:r>
        <w:rPr>
          <w:vertAlign w:val="baseline"/>
        </w:rPr>
        <w:t>abortion</w:t>
      </w:r>
      <w:r>
        <w:rPr>
          <w:spacing w:val="-2"/>
          <w:vertAlign w:val="baseline"/>
        </w:rPr>
        <w:t> </w:t>
      </w:r>
      <w:r>
        <w:rPr>
          <w:vertAlign w:val="baseline"/>
        </w:rPr>
        <w:t>access</w:t>
      </w:r>
      <w:r>
        <w:rPr>
          <w:spacing w:val="-1"/>
          <w:vertAlign w:val="baseline"/>
        </w:rPr>
        <w:t> </w:t>
      </w:r>
      <w:r>
        <w:rPr>
          <w:vertAlign w:val="baseline"/>
        </w:rPr>
        <w:t>for</w:t>
      </w:r>
      <w:r>
        <w:rPr>
          <w:spacing w:val="-2"/>
          <w:vertAlign w:val="baseline"/>
        </w:rPr>
        <w:t> </w:t>
      </w:r>
      <w:r>
        <w:rPr>
          <w:vertAlign w:val="baseline"/>
        </w:rPr>
        <w:t>LGBTQ</w:t>
      </w:r>
      <w:r>
        <w:rPr>
          <w:spacing w:val="-1"/>
          <w:vertAlign w:val="baseline"/>
        </w:rPr>
        <w:t> </w:t>
      </w:r>
      <w:r>
        <w:rPr>
          <w:vertAlign w:val="baseline"/>
        </w:rPr>
        <w:t>youth</w:t>
      </w:r>
      <w:r>
        <w:rPr>
          <w:spacing w:val="-2"/>
          <w:vertAlign w:val="baseline"/>
        </w:rPr>
        <w:t> </w:t>
      </w:r>
      <w:r>
        <w:rPr>
          <w:vertAlign w:val="baseline"/>
        </w:rPr>
        <w:t>who cannot</w:t>
      </w:r>
      <w:r>
        <w:rPr>
          <w:spacing w:val="-1"/>
          <w:vertAlign w:val="baseline"/>
        </w:rPr>
        <w:t> </w:t>
      </w:r>
      <w:r>
        <w:rPr>
          <w:vertAlign w:val="baseline"/>
        </w:rPr>
        <w:t>afford</w:t>
      </w:r>
      <w:r>
        <w:rPr>
          <w:spacing w:val="-1"/>
          <w:vertAlign w:val="baseline"/>
        </w:rPr>
        <w:t> </w:t>
      </w:r>
      <w:r>
        <w:rPr>
          <w:vertAlign w:val="baseline"/>
        </w:rPr>
        <w:t>to cover</w:t>
      </w:r>
      <w:r>
        <w:rPr>
          <w:spacing w:val="-2"/>
          <w:vertAlign w:val="baseline"/>
        </w:rPr>
        <w:t> </w:t>
      </w:r>
      <w:r>
        <w:rPr>
          <w:vertAlign w:val="baseline"/>
        </w:rPr>
        <w:t>travel</w:t>
      </w:r>
      <w:r>
        <w:rPr>
          <w:spacing w:val="-1"/>
          <w:vertAlign w:val="baseline"/>
        </w:rPr>
        <w:t> </w:t>
      </w:r>
      <w:r>
        <w:rPr>
          <w:vertAlign w:val="baseline"/>
        </w:rPr>
        <w:t>expenses,</w:t>
      </w:r>
      <w:r>
        <w:rPr>
          <w:spacing w:val="-2"/>
          <w:vertAlign w:val="baseline"/>
        </w:rPr>
        <w:t> </w:t>
      </w:r>
      <w:r>
        <w:rPr>
          <w:vertAlign w:val="baseline"/>
        </w:rPr>
        <w:t>such</w:t>
      </w:r>
      <w:r>
        <w:rPr>
          <w:spacing w:val="-2"/>
          <w:vertAlign w:val="baseline"/>
        </w:rPr>
        <w:t> </w:t>
      </w:r>
      <w:r>
        <w:rPr>
          <w:vertAlign w:val="baseline"/>
        </w:rPr>
        <w:t>as gas, especially if the lack of accessible public transportation is an existing problem as well. They also might not be able to take time off from work to travel for an abortion appointment or miss classes if they attend a state college or university in those areas that lack routine abortion providers nearby. Some LGBTQ youth may not be able to travel freely if they are under the care of a parent or guardian and may not feel comfortable disclosing their pregnancy to them.</w:t>
      </w:r>
    </w:p>
    <w:p>
      <w:pPr>
        <w:spacing w:before="240"/>
        <w:ind w:left="463" w:right="0" w:firstLine="0"/>
        <w:jc w:val="left"/>
        <w:rPr>
          <w:sz w:val="28"/>
        </w:rPr>
      </w:pPr>
      <w:bookmarkStart w:name="Policy" w:id="376"/>
      <w:bookmarkEnd w:id="376"/>
      <w:r>
        <w:rPr/>
      </w:r>
      <w:r>
        <w:rPr>
          <w:color w:val="365F91"/>
          <w:spacing w:val="-2"/>
          <w:sz w:val="28"/>
        </w:rPr>
        <w:t>Policy</w:t>
      </w:r>
    </w:p>
    <w:p>
      <w:pPr>
        <w:spacing w:line="276" w:lineRule="auto" w:before="292"/>
        <w:ind w:left="463" w:right="5459" w:firstLine="0"/>
        <w:jc w:val="both"/>
        <w:rPr>
          <w:sz w:val="21"/>
        </w:rPr>
      </w:pPr>
      <w:r>
        <w:rPr/>
        <w:drawing>
          <wp:anchor distT="0" distB="0" distL="0" distR="0" allowOverlap="1" layoutInCell="1" locked="0" behindDoc="0" simplePos="0" relativeHeight="15779840">
            <wp:simplePos x="0" y="0"/>
            <wp:positionH relativeFrom="page">
              <wp:posOffset>3759200</wp:posOffset>
            </wp:positionH>
            <wp:positionV relativeFrom="paragraph">
              <wp:posOffset>199303</wp:posOffset>
            </wp:positionV>
            <wp:extent cx="3309607" cy="2038794"/>
            <wp:effectExtent l="0" t="0" r="0" b="0"/>
            <wp:wrapNone/>
            <wp:docPr id="294" name="Image 294"/>
            <wp:cNvGraphicFramePr>
              <a:graphicFrameLocks/>
            </wp:cNvGraphicFramePr>
            <a:graphic>
              <a:graphicData uri="http://schemas.openxmlformats.org/drawingml/2006/picture">
                <pic:pic>
                  <pic:nvPicPr>
                    <pic:cNvPr id="294" name="Image 294"/>
                    <pic:cNvPicPr/>
                  </pic:nvPicPr>
                  <pic:blipFill>
                    <a:blip r:embed="rId316" cstate="print"/>
                    <a:stretch>
                      <a:fillRect/>
                    </a:stretch>
                  </pic:blipFill>
                  <pic:spPr>
                    <a:xfrm>
                      <a:off x="0" y="0"/>
                      <a:ext cx="3309607" cy="2038794"/>
                    </a:xfrm>
                    <a:prstGeom prst="rect">
                      <a:avLst/>
                    </a:prstGeom>
                  </pic:spPr>
                </pic:pic>
              </a:graphicData>
            </a:graphic>
          </wp:anchor>
        </w:drawing>
      </w:r>
      <w:r>
        <w:rPr>
          <w:sz w:val="21"/>
        </w:rPr>
        <w:t>A systemic policy review of maternal health- related policies and legislations addressing racial disparities</w:t>
      </w:r>
      <w:r>
        <w:rPr>
          <w:spacing w:val="-12"/>
          <w:sz w:val="21"/>
        </w:rPr>
        <w:t> </w:t>
      </w:r>
      <w:r>
        <w:rPr>
          <w:sz w:val="21"/>
        </w:rPr>
        <w:t>proposed</w:t>
      </w:r>
      <w:r>
        <w:rPr>
          <w:spacing w:val="-12"/>
          <w:sz w:val="21"/>
        </w:rPr>
        <w:t> </w:t>
      </w:r>
      <w:r>
        <w:rPr>
          <w:sz w:val="21"/>
        </w:rPr>
        <w:t>federally</w:t>
      </w:r>
      <w:r>
        <w:rPr>
          <w:spacing w:val="-12"/>
          <w:sz w:val="21"/>
        </w:rPr>
        <w:t> </w:t>
      </w:r>
      <w:r>
        <w:rPr>
          <w:sz w:val="21"/>
        </w:rPr>
        <w:t>and</w:t>
      </w:r>
      <w:r>
        <w:rPr>
          <w:spacing w:val="-12"/>
          <w:sz w:val="21"/>
        </w:rPr>
        <w:t> </w:t>
      </w:r>
      <w:r>
        <w:rPr>
          <w:sz w:val="21"/>
        </w:rPr>
        <w:t>at</w:t>
      </w:r>
      <w:r>
        <w:rPr>
          <w:spacing w:val="-12"/>
          <w:sz w:val="21"/>
        </w:rPr>
        <w:t> </w:t>
      </w:r>
      <w:r>
        <w:rPr>
          <w:sz w:val="21"/>
        </w:rPr>
        <w:t>the</w:t>
      </w:r>
      <w:r>
        <w:rPr>
          <w:spacing w:val="-12"/>
          <w:sz w:val="21"/>
        </w:rPr>
        <w:t> </w:t>
      </w:r>
      <w:r>
        <w:rPr>
          <w:sz w:val="21"/>
        </w:rPr>
        <w:t>state-level in</w:t>
      </w:r>
      <w:r>
        <w:rPr>
          <w:spacing w:val="-1"/>
          <w:sz w:val="21"/>
        </w:rPr>
        <w:t> </w:t>
      </w:r>
      <w:r>
        <w:rPr>
          <w:sz w:val="21"/>
        </w:rPr>
        <w:t>Massachusetts</w:t>
      </w:r>
      <w:r>
        <w:rPr>
          <w:spacing w:val="-2"/>
          <w:sz w:val="21"/>
        </w:rPr>
        <w:t> </w:t>
      </w:r>
      <w:r>
        <w:rPr>
          <w:sz w:val="21"/>
        </w:rPr>
        <w:t>between</w:t>
      </w:r>
      <w:r>
        <w:rPr>
          <w:spacing w:val="-2"/>
          <w:sz w:val="21"/>
        </w:rPr>
        <w:t> </w:t>
      </w:r>
      <w:r>
        <w:rPr>
          <w:sz w:val="21"/>
        </w:rPr>
        <w:t>2010</w:t>
      </w:r>
      <w:r>
        <w:rPr>
          <w:spacing w:val="-2"/>
          <w:sz w:val="21"/>
        </w:rPr>
        <w:t> </w:t>
      </w:r>
      <w:r>
        <w:rPr>
          <w:sz w:val="21"/>
        </w:rPr>
        <w:t>and</w:t>
      </w:r>
      <w:r>
        <w:rPr>
          <w:spacing w:val="-2"/>
          <w:sz w:val="21"/>
        </w:rPr>
        <w:t> </w:t>
      </w:r>
      <w:r>
        <w:rPr>
          <w:sz w:val="21"/>
        </w:rPr>
        <w:t>2020</w:t>
      </w:r>
      <w:r>
        <w:rPr>
          <w:spacing w:val="-1"/>
          <w:sz w:val="21"/>
        </w:rPr>
        <w:t> </w:t>
      </w:r>
      <w:r>
        <w:rPr>
          <w:sz w:val="21"/>
        </w:rPr>
        <w:t>showed that</w:t>
      </w:r>
      <w:r>
        <w:rPr>
          <w:spacing w:val="-9"/>
          <w:sz w:val="21"/>
        </w:rPr>
        <w:t> </w:t>
      </w:r>
      <w:r>
        <w:rPr>
          <w:sz w:val="21"/>
        </w:rPr>
        <w:t>16-state</w:t>
      </w:r>
      <w:r>
        <w:rPr>
          <w:spacing w:val="-10"/>
          <w:sz w:val="21"/>
        </w:rPr>
        <w:t> </w:t>
      </w:r>
      <w:r>
        <w:rPr>
          <w:sz w:val="21"/>
        </w:rPr>
        <w:t>level</w:t>
      </w:r>
      <w:r>
        <w:rPr>
          <w:spacing w:val="-9"/>
          <w:sz w:val="21"/>
        </w:rPr>
        <w:t> </w:t>
      </w:r>
      <w:r>
        <w:rPr>
          <w:sz w:val="21"/>
        </w:rPr>
        <w:t>bills</w:t>
      </w:r>
      <w:r>
        <w:rPr>
          <w:spacing w:val="-9"/>
          <w:sz w:val="21"/>
        </w:rPr>
        <w:t> </w:t>
      </w:r>
      <w:r>
        <w:rPr>
          <w:sz w:val="21"/>
        </w:rPr>
        <w:t>were</w:t>
      </w:r>
      <w:r>
        <w:rPr>
          <w:spacing w:val="-9"/>
          <w:sz w:val="21"/>
        </w:rPr>
        <w:t> </w:t>
      </w:r>
      <w:r>
        <w:rPr>
          <w:sz w:val="21"/>
        </w:rPr>
        <w:t>proposed.</w:t>
      </w:r>
      <w:r>
        <w:rPr>
          <w:spacing w:val="-9"/>
          <w:sz w:val="21"/>
        </w:rPr>
        <w:t> </w:t>
      </w:r>
      <w:r>
        <w:rPr>
          <w:sz w:val="21"/>
        </w:rPr>
        <w:t>Of</w:t>
      </w:r>
      <w:r>
        <w:rPr>
          <w:spacing w:val="-10"/>
          <w:sz w:val="21"/>
        </w:rPr>
        <w:t> </w:t>
      </w:r>
      <w:r>
        <w:rPr>
          <w:sz w:val="21"/>
        </w:rPr>
        <w:t>those</w:t>
      </w:r>
      <w:r>
        <w:rPr>
          <w:spacing w:val="-9"/>
          <w:sz w:val="21"/>
        </w:rPr>
        <w:t> </w:t>
      </w:r>
      <w:r>
        <w:rPr>
          <w:sz w:val="21"/>
        </w:rPr>
        <w:t>16 proposed only 2 of them were signed into law. Interestingly,</w:t>
      </w:r>
      <w:r>
        <w:rPr>
          <w:spacing w:val="-2"/>
          <w:sz w:val="21"/>
        </w:rPr>
        <w:t> </w:t>
      </w:r>
      <w:r>
        <w:rPr>
          <w:sz w:val="21"/>
        </w:rPr>
        <w:t>a</w:t>
      </w:r>
      <w:r>
        <w:rPr>
          <w:spacing w:val="-2"/>
          <w:sz w:val="21"/>
        </w:rPr>
        <w:t> </w:t>
      </w:r>
      <w:r>
        <w:rPr>
          <w:sz w:val="21"/>
        </w:rPr>
        <w:t>majority</w:t>
      </w:r>
      <w:r>
        <w:rPr>
          <w:spacing w:val="-3"/>
          <w:sz w:val="21"/>
        </w:rPr>
        <w:t> </w:t>
      </w:r>
      <w:r>
        <w:rPr>
          <w:sz w:val="21"/>
        </w:rPr>
        <w:t>of</w:t>
      </w:r>
      <w:r>
        <w:rPr>
          <w:spacing w:val="-3"/>
          <w:sz w:val="21"/>
        </w:rPr>
        <w:t> </w:t>
      </w:r>
      <w:r>
        <w:rPr>
          <w:sz w:val="21"/>
        </w:rPr>
        <w:t>the</w:t>
      </w:r>
      <w:r>
        <w:rPr>
          <w:spacing w:val="-3"/>
          <w:sz w:val="21"/>
        </w:rPr>
        <w:t> </w:t>
      </w:r>
      <w:r>
        <w:rPr>
          <w:sz w:val="21"/>
        </w:rPr>
        <w:t>bills</w:t>
      </w:r>
      <w:r>
        <w:rPr>
          <w:spacing w:val="-3"/>
          <w:sz w:val="21"/>
        </w:rPr>
        <w:t> </w:t>
      </w:r>
      <w:r>
        <w:rPr>
          <w:sz w:val="21"/>
        </w:rPr>
        <w:t>proposed</w:t>
      </w:r>
      <w:r>
        <w:rPr>
          <w:spacing w:val="-3"/>
          <w:sz w:val="21"/>
        </w:rPr>
        <w:t> </w:t>
      </w:r>
      <w:r>
        <w:rPr>
          <w:sz w:val="21"/>
        </w:rPr>
        <w:t>were centered around expanding healthcare coverage that would cover prenatal, pregnancy, and postpartum services, and would allow for care beyond the current coverage of 60 days postpartum</w:t>
      </w:r>
      <w:r>
        <w:rPr>
          <w:spacing w:val="74"/>
          <w:w w:val="150"/>
          <w:sz w:val="21"/>
        </w:rPr>
        <w:t> </w:t>
      </w:r>
      <w:r>
        <w:rPr>
          <w:sz w:val="21"/>
        </w:rPr>
        <w:t>through</w:t>
      </w:r>
      <w:r>
        <w:rPr>
          <w:spacing w:val="74"/>
          <w:w w:val="150"/>
          <w:sz w:val="21"/>
        </w:rPr>
        <w:t> </w:t>
      </w:r>
      <w:r>
        <w:rPr>
          <w:sz w:val="21"/>
        </w:rPr>
        <w:t>Medicaid</w:t>
      </w:r>
      <w:r>
        <w:rPr>
          <w:spacing w:val="74"/>
          <w:w w:val="150"/>
          <w:sz w:val="21"/>
        </w:rPr>
        <w:t> </w:t>
      </w:r>
      <w:r>
        <w:rPr>
          <w:sz w:val="21"/>
        </w:rPr>
        <w:t>for</w:t>
      </w:r>
      <w:r>
        <w:rPr>
          <w:spacing w:val="74"/>
          <w:w w:val="150"/>
          <w:sz w:val="21"/>
        </w:rPr>
        <w:t> </w:t>
      </w:r>
      <w:r>
        <w:rPr>
          <w:sz w:val="21"/>
        </w:rPr>
        <w:t>low-</w:t>
      </w:r>
      <w:r>
        <w:rPr>
          <w:spacing w:val="-2"/>
          <w:sz w:val="21"/>
        </w:rPr>
        <w:t>income</w:t>
      </w:r>
    </w:p>
    <w:p>
      <w:pPr>
        <w:spacing w:line="276" w:lineRule="auto" w:before="1"/>
        <w:ind w:left="463" w:right="240" w:firstLine="0"/>
        <w:jc w:val="both"/>
        <w:rPr>
          <w:sz w:val="21"/>
        </w:rPr>
      </w:pPr>
      <w:r>
        <w:rPr>
          <w:sz w:val="21"/>
        </w:rPr>
        <w:t>people who had just given birth. It is clear that expanding healthcare coverage is essential for pregnancy and gynecological health needs, especially after giving birth. Under federal law, Medicaid can only cover 60 days postpartum.</w:t>
      </w:r>
      <w:r>
        <w:rPr>
          <w:spacing w:val="-1"/>
          <w:sz w:val="21"/>
        </w:rPr>
        <w:t> </w:t>
      </w:r>
      <w:r>
        <w:rPr>
          <w:sz w:val="21"/>
        </w:rPr>
        <w:t>This</w:t>
      </w:r>
      <w:r>
        <w:rPr>
          <w:spacing w:val="-1"/>
          <w:sz w:val="21"/>
        </w:rPr>
        <w:t> </w:t>
      </w:r>
      <w:r>
        <w:rPr>
          <w:sz w:val="21"/>
        </w:rPr>
        <w:t>policy</w:t>
      </w:r>
      <w:r>
        <w:rPr>
          <w:spacing w:val="-1"/>
          <w:sz w:val="21"/>
        </w:rPr>
        <w:t> </w:t>
      </w:r>
      <w:r>
        <w:rPr>
          <w:sz w:val="21"/>
        </w:rPr>
        <w:t>design</w:t>
      </w:r>
      <w:r>
        <w:rPr>
          <w:spacing w:val="-1"/>
          <w:sz w:val="21"/>
        </w:rPr>
        <w:t> </w:t>
      </w:r>
      <w:r>
        <w:rPr>
          <w:sz w:val="21"/>
        </w:rPr>
        <w:t>does</w:t>
      </w:r>
      <w:r>
        <w:rPr>
          <w:spacing w:val="-1"/>
          <w:sz w:val="21"/>
        </w:rPr>
        <w:t> </w:t>
      </w:r>
      <w:r>
        <w:rPr>
          <w:sz w:val="21"/>
        </w:rPr>
        <w:t>not take</w:t>
      </w:r>
      <w:r>
        <w:rPr>
          <w:spacing w:val="-1"/>
          <w:sz w:val="21"/>
        </w:rPr>
        <w:t> </w:t>
      </w:r>
      <w:r>
        <w:rPr>
          <w:sz w:val="21"/>
        </w:rPr>
        <w:t>into</w:t>
      </w:r>
      <w:r>
        <w:rPr>
          <w:spacing w:val="-1"/>
          <w:sz w:val="21"/>
        </w:rPr>
        <w:t> </w:t>
      </w:r>
      <w:r>
        <w:rPr>
          <w:sz w:val="21"/>
        </w:rPr>
        <w:t>consideration</w:t>
      </w:r>
      <w:r>
        <w:rPr>
          <w:spacing w:val="-1"/>
          <w:sz w:val="21"/>
        </w:rPr>
        <w:t> </w:t>
      </w:r>
      <w:r>
        <w:rPr>
          <w:sz w:val="21"/>
        </w:rPr>
        <w:t>the</w:t>
      </w:r>
      <w:r>
        <w:rPr>
          <w:spacing w:val="-1"/>
          <w:sz w:val="21"/>
        </w:rPr>
        <w:t> </w:t>
      </w:r>
      <w:r>
        <w:rPr>
          <w:sz w:val="21"/>
        </w:rPr>
        <w:t>fact that pregnant people</w:t>
      </w:r>
      <w:r>
        <w:rPr>
          <w:spacing w:val="-1"/>
          <w:sz w:val="21"/>
        </w:rPr>
        <w:t> </w:t>
      </w:r>
      <w:r>
        <w:rPr>
          <w:sz w:val="21"/>
        </w:rPr>
        <w:t>are</w:t>
      </w:r>
      <w:r>
        <w:rPr>
          <w:spacing w:val="-2"/>
          <w:sz w:val="21"/>
        </w:rPr>
        <w:t> </w:t>
      </w:r>
      <w:r>
        <w:rPr>
          <w:sz w:val="21"/>
        </w:rPr>
        <w:t>more</w:t>
      </w:r>
      <w:r>
        <w:rPr>
          <w:spacing w:val="-1"/>
          <w:sz w:val="21"/>
        </w:rPr>
        <w:t> </w:t>
      </w:r>
      <w:r>
        <w:rPr>
          <w:sz w:val="21"/>
        </w:rPr>
        <w:t>likely</w:t>
      </w:r>
      <w:r>
        <w:rPr>
          <w:spacing w:val="-1"/>
          <w:sz w:val="21"/>
        </w:rPr>
        <w:t> </w:t>
      </w:r>
      <w:r>
        <w:rPr>
          <w:sz w:val="21"/>
        </w:rPr>
        <w:t>to experience postpartum complications after 60 days of giving birth.</w:t>
      </w:r>
    </w:p>
    <w:p>
      <w:pPr>
        <w:spacing w:line="276" w:lineRule="auto" w:before="239"/>
        <w:ind w:left="463" w:right="239" w:firstLine="0"/>
        <w:jc w:val="both"/>
        <w:rPr>
          <w:sz w:val="21"/>
        </w:rPr>
      </w:pPr>
      <w:r>
        <w:rPr>
          <w:sz w:val="21"/>
        </w:rPr>
        <w:t>In April 2022,</w:t>
      </w:r>
      <w:r>
        <w:rPr>
          <w:spacing w:val="-1"/>
          <w:sz w:val="21"/>
        </w:rPr>
        <w:t> </w:t>
      </w:r>
      <w:r>
        <w:rPr>
          <w:sz w:val="21"/>
        </w:rPr>
        <w:t>the Biden-Harris Administration announced that 720,000 pregnant and postpartum people across the United States could be eligible for Medicaid and Children’s Health Insurance Program coverage for a full 12 months</w:t>
      </w:r>
      <w:r>
        <w:rPr>
          <w:spacing w:val="-7"/>
          <w:sz w:val="21"/>
        </w:rPr>
        <w:t> </w:t>
      </w:r>
      <w:r>
        <w:rPr>
          <w:sz w:val="21"/>
        </w:rPr>
        <w:t>rather</w:t>
      </w:r>
      <w:r>
        <w:rPr>
          <w:spacing w:val="-8"/>
          <w:sz w:val="21"/>
        </w:rPr>
        <w:t> </w:t>
      </w:r>
      <w:r>
        <w:rPr>
          <w:sz w:val="21"/>
        </w:rPr>
        <w:t>than</w:t>
      </w:r>
      <w:r>
        <w:rPr>
          <w:spacing w:val="-8"/>
          <w:sz w:val="21"/>
        </w:rPr>
        <w:t> </w:t>
      </w:r>
      <w:r>
        <w:rPr>
          <w:sz w:val="21"/>
        </w:rPr>
        <w:t>60</w:t>
      </w:r>
      <w:r>
        <w:rPr>
          <w:spacing w:val="-8"/>
          <w:sz w:val="21"/>
        </w:rPr>
        <w:t> </w:t>
      </w:r>
      <w:r>
        <w:rPr>
          <w:sz w:val="21"/>
        </w:rPr>
        <w:t>days.</w:t>
      </w:r>
      <w:r>
        <w:rPr>
          <w:spacing w:val="-8"/>
          <w:sz w:val="21"/>
        </w:rPr>
        <w:t> </w:t>
      </w:r>
      <w:r>
        <w:rPr>
          <w:sz w:val="21"/>
        </w:rPr>
        <w:t>Under</w:t>
      </w:r>
      <w:r>
        <w:rPr>
          <w:spacing w:val="-7"/>
          <w:sz w:val="21"/>
        </w:rPr>
        <w:t> </w:t>
      </w:r>
      <w:r>
        <w:rPr>
          <w:sz w:val="21"/>
        </w:rPr>
        <w:t>the</w:t>
      </w:r>
      <w:r>
        <w:rPr>
          <w:spacing w:val="-7"/>
          <w:sz w:val="21"/>
        </w:rPr>
        <w:t> </w:t>
      </w:r>
      <w:r>
        <w:rPr>
          <w:sz w:val="21"/>
        </w:rPr>
        <w:t>American</w:t>
      </w:r>
      <w:r>
        <w:rPr>
          <w:spacing w:val="-7"/>
          <w:sz w:val="21"/>
        </w:rPr>
        <w:t> </w:t>
      </w:r>
      <w:r>
        <w:rPr>
          <w:sz w:val="21"/>
        </w:rPr>
        <w:t>Rescue</w:t>
      </w:r>
      <w:r>
        <w:rPr>
          <w:spacing w:val="-8"/>
          <w:sz w:val="21"/>
        </w:rPr>
        <w:t> </w:t>
      </w:r>
      <w:r>
        <w:rPr>
          <w:sz w:val="21"/>
        </w:rPr>
        <w:t>Plan</w:t>
      </w:r>
      <w:r>
        <w:rPr>
          <w:spacing w:val="-7"/>
          <w:sz w:val="21"/>
        </w:rPr>
        <w:t> </w:t>
      </w:r>
      <w:r>
        <w:rPr>
          <w:sz w:val="21"/>
        </w:rPr>
        <w:t>Act</w:t>
      </w:r>
      <w:r>
        <w:rPr>
          <w:spacing w:val="-6"/>
          <w:sz w:val="21"/>
        </w:rPr>
        <w:t> </w:t>
      </w:r>
      <w:r>
        <w:rPr>
          <w:sz w:val="21"/>
        </w:rPr>
        <w:t>of</w:t>
      </w:r>
      <w:r>
        <w:rPr>
          <w:spacing w:val="-7"/>
          <w:sz w:val="21"/>
        </w:rPr>
        <w:t> </w:t>
      </w:r>
      <w:r>
        <w:rPr>
          <w:sz w:val="21"/>
        </w:rPr>
        <w:t>2021</w:t>
      </w:r>
      <w:r>
        <w:rPr>
          <w:spacing w:val="-6"/>
          <w:sz w:val="21"/>
        </w:rPr>
        <w:t> </w:t>
      </w:r>
      <w:r>
        <w:rPr>
          <w:sz w:val="21"/>
        </w:rPr>
        <w:t>(ARP),</w:t>
      </w:r>
      <w:r>
        <w:rPr>
          <w:spacing w:val="-6"/>
          <w:sz w:val="21"/>
        </w:rPr>
        <w:t> </w:t>
      </w:r>
      <w:r>
        <w:rPr>
          <w:sz w:val="21"/>
        </w:rPr>
        <w:t>states</w:t>
      </w:r>
      <w:r>
        <w:rPr>
          <w:spacing w:val="-7"/>
          <w:sz w:val="21"/>
        </w:rPr>
        <w:t> </w:t>
      </w:r>
      <w:r>
        <w:rPr>
          <w:sz w:val="21"/>
        </w:rPr>
        <w:t>were</w:t>
      </w:r>
      <w:r>
        <w:rPr>
          <w:spacing w:val="-7"/>
          <w:sz w:val="21"/>
        </w:rPr>
        <w:t> </w:t>
      </w:r>
      <w:r>
        <w:rPr>
          <w:sz w:val="21"/>
        </w:rPr>
        <w:t>given</w:t>
      </w:r>
      <w:r>
        <w:rPr>
          <w:spacing w:val="-7"/>
          <w:sz w:val="21"/>
        </w:rPr>
        <w:t> </w:t>
      </w:r>
      <w:r>
        <w:rPr>
          <w:sz w:val="21"/>
        </w:rPr>
        <w:t>the</w:t>
      </w:r>
      <w:r>
        <w:rPr>
          <w:spacing w:val="-7"/>
          <w:sz w:val="21"/>
        </w:rPr>
        <w:t> </w:t>
      </w:r>
      <w:r>
        <w:rPr>
          <w:sz w:val="21"/>
        </w:rPr>
        <w:t>incentives</w:t>
      </w:r>
    </w:p>
    <w:p>
      <w:pPr>
        <w:spacing w:after="0" w:line="276" w:lineRule="auto"/>
        <w:jc w:val="both"/>
        <w:rPr>
          <w:sz w:val="21"/>
        </w:rPr>
        <w:sectPr>
          <w:pgSz w:w="12240" w:h="15840"/>
          <w:pgMar w:header="800" w:footer="1530" w:top="1080" w:bottom="1760" w:left="980" w:right="1000"/>
        </w:sectPr>
      </w:pPr>
    </w:p>
    <w:p>
      <w:pPr>
        <w:spacing w:before="69"/>
        <w:ind w:left="463" w:right="0" w:firstLine="0"/>
        <w:jc w:val="both"/>
        <w:rPr>
          <w:sz w:val="21"/>
        </w:rPr>
      </w:pPr>
      <w:r>
        <w:rPr>
          <w:sz w:val="21"/>
        </w:rPr>
        <w:t>and</w:t>
      </w:r>
      <w:r>
        <w:rPr>
          <w:spacing w:val="9"/>
          <w:sz w:val="21"/>
        </w:rPr>
        <w:t> </w:t>
      </w:r>
      <w:r>
        <w:rPr>
          <w:sz w:val="21"/>
        </w:rPr>
        <w:t>option</w:t>
      </w:r>
      <w:r>
        <w:rPr>
          <w:spacing w:val="11"/>
          <w:sz w:val="21"/>
        </w:rPr>
        <w:t> </w:t>
      </w:r>
      <w:r>
        <w:rPr>
          <w:sz w:val="21"/>
        </w:rPr>
        <w:t>to</w:t>
      </w:r>
      <w:r>
        <w:rPr>
          <w:spacing w:val="12"/>
          <w:sz w:val="21"/>
        </w:rPr>
        <w:t> </w:t>
      </w:r>
      <w:r>
        <w:rPr>
          <w:sz w:val="21"/>
        </w:rPr>
        <w:t>expand</w:t>
      </w:r>
      <w:r>
        <w:rPr>
          <w:spacing w:val="11"/>
          <w:sz w:val="21"/>
        </w:rPr>
        <w:t> </w:t>
      </w:r>
      <w:r>
        <w:rPr>
          <w:sz w:val="21"/>
        </w:rPr>
        <w:t>Medicaid</w:t>
      </w:r>
      <w:r>
        <w:rPr>
          <w:spacing w:val="11"/>
          <w:sz w:val="21"/>
        </w:rPr>
        <w:t> </w:t>
      </w:r>
      <w:r>
        <w:rPr>
          <w:sz w:val="21"/>
        </w:rPr>
        <w:t>services</w:t>
      </w:r>
      <w:r>
        <w:rPr>
          <w:spacing w:val="12"/>
          <w:sz w:val="21"/>
        </w:rPr>
        <w:t> </w:t>
      </w:r>
      <w:r>
        <w:rPr>
          <w:sz w:val="21"/>
        </w:rPr>
        <w:t>for</w:t>
      </w:r>
      <w:r>
        <w:rPr>
          <w:spacing w:val="11"/>
          <w:sz w:val="21"/>
        </w:rPr>
        <w:t> </w:t>
      </w:r>
      <w:r>
        <w:rPr>
          <w:sz w:val="21"/>
        </w:rPr>
        <w:t>postpartum</w:t>
      </w:r>
      <w:r>
        <w:rPr>
          <w:spacing w:val="12"/>
          <w:sz w:val="21"/>
        </w:rPr>
        <w:t> </w:t>
      </w:r>
      <w:r>
        <w:rPr>
          <w:sz w:val="21"/>
        </w:rPr>
        <w:t>services</w:t>
      </w:r>
      <w:r>
        <w:rPr>
          <w:spacing w:val="11"/>
          <w:sz w:val="21"/>
        </w:rPr>
        <w:t> </w:t>
      </w:r>
      <w:r>
        <w:rPr>
          <w:sz w:val="21"/>
        </w:rPr>
        <w:t>from</w:t>
      </w:r>
      <w:r>
        <w:rPr>
          <w:spacing w:val="11"/>
          <w:sz w:val="21"/>
        </w:rPr>
        <w:t> </w:t>
      </w:r>
      <w:r>
        <w:rPr>
          <w:sz w:val="21"/>
        </w:rPr>
        <w:t>60</w:t>
      </w:r>
      <w:r>
        <w:rPr>
          <w:spacing w:val="12"/>
          <w:sz w:val="21"/>
        </w:rPr>
        <w:t> </w:t>
      </w:r>
      <w:r>
        <w:rPr>
          <w:sz w:val="21"/>
        </w:rPr>
        <w:t>days</w:t>
      </w:r>
      <w:r>
        <w:rPr>
          <w:spacing w:val="11"/>
          <w:sz w:val="21"/>
        </w:rPr>
        <w:t> </w:t>
      </w:r>
      <w:r>
        <w:rPr>
          <w:sz w:val="21"/>
        </w:rPr>
        <w:t>to</w:t>
      </w:r>
      <w:r>
        <w:rPr>
          <w:spacing w:val="11"/>
          <w:sz w:val="21"/>
        </w:rPr>
        <w:t> </w:t>
      </w:r>
      <w:r>
        <w:rPr>
          <w:sz w:val="21"/>
        </w:rPr>
        <w:t>12</w:t>
      </w:r>
      <w:r>
        <w:rPr>
          <w:spacing w:val="11"/>
          <w:sz w:val="21"/>
        </w:rPr>
        <w:t> </w:t>
      </w:r>
      <w:r>
        <w:rPr>
          <w:sz w:val="21"/>
        </w:rPr>
        <w:t>months.</w:t>
      </w:r>
      <w:r>
        <w:rPr>
          <w:spacing w:val="11"/>
          <w:sz w:val="21"/>
        </w:rPr>
        <w:t> </w:t>
      </w:r>
      <w:r>
        <w:rPr>
          <w:sz w:val="21"/>
        </w:rPr>
        <w:t>In</w:t>
      </w:r>
      <w:r>
        <w:rPr>
          <w:spacing w:val="11"/>
          <w:sz w:val="21"/>
        </w:rPr>
        <w:t> </w:t>
      </w:r>
      <w:r>
        <w:rPr>
          <w:sz w:val="21"/>
        </w:rPr>
        <w:t>July</w:t>
      </w:r>
      <w:r>
        <w:rPr>
          <w:spacing w:val="11"/>
          <w:sz w:val="21"/>
        </w:rPr>
        <w:t> </w:t>
      </w:r>
      <w:r>
        <w:rPr>
          <w:sz w:val="21"/>
        </w:rPr>
        <w:t>2022,</w:t>
      </w:r>
      <w:r>
        <w:rPr>
          <w:spacing w:val="13"/>
          <w:sz w:val="21"/>
        </w:rPr>
        <w:t> </w:t>
      </w:r>
      <w:r>
        <w:rPr>
          <w:spacing w:val="-5"/>
          <w:sz w:val="21"/>
        </w:rPr>
        <w:t>the</w:t>
      </w:r>
    </w:p>
    <w:p>
      <w:pPr>
        <w:spacing w:line="276" w:lineRule="auto" w:before="38"/>
        <w:ind w:left="463" w:right="239" w:firstLine="0"/>
        <w:jc w:val="both"/>
        <w:rPr>
          <w:sz w:val="21"/>
        </w:rPr>
      </w:pPr>
      <w:r>
        <w:rPr>
          <w:sz w:val="21"/>
        </w:rPr>
        <w:t>U.S. Department of Health and Human Services (HHS), through the Federal Centers for Medicare and Medicaid Services, approved Massachusetts’ request to extend MassHealth coverage from 60 days to 12 months after pregnancy. This coverage expansion will allow an additional 8,000 individuals annually to access MassHealth services</w:t>
      </w:r>
      <w:hyperlink w:history="true" w:anchor="_bookmark245">
        <w:r>
          <w:rPr>
            <w:sz w:val="21"/>
          </w:rPr>
          <w:t>.</w:t>
        </w:r>
        <w:r>
          <w:rPr>
            <w:sz w:val="21"/>
            <w:vertAlign w:val="superscript"/>
          </w:rPr>
          <w:t>52</w:t>
        </w:r>
      </w:hyperlink>
      <w:r>
        <w:rPr>
          <w:sz w:val="21"/>
          <w:vertAlign w:val="baseline"/>
        </w:rPr>
        <w:t> The ARP’s state plan option is currently limited to a five-year period that ends March 31, 2027, meaning that this state coverage expansion will expire.</w:t>
      </w:r>
    </w:p>
    <w:p>
      <w:pPr>
        <w:spacing w:line="276" w:lineRule="auto" w:before="240"/>
        <w:ind w:left="463" w:right="239" w:firstLine="0"/>
        <w:jc w:val="both"/>
        <w:rPr>
          <w:sz w:val="21"/>
        </w:rPr>
      </w:pPr>
      <w:r>
        <w:rPr>
          <w:sz w:val="21"/>
        </w:rPr>
        <w:t>Although the APR’s state plan has a lengthy expansion period, Massachusetts needs to pass legislation that requires</w:t>
      </w:r>
      <w:r>
        <w:rPr>
          <w:spacing w:val="-6"/>
          <w:sz w:val="21"/>
        </w:rPr>
        <w:t> </w:t>
      </w:r>
      <w:r>
        <w:rPr>
          <w:sz w:val="21"/>
        </w:rPr>
        <w:t>MassHealth</w:t>
      </w:r>
      <w:r>
        <w:rPr>
          <w:spacing w:val="-6"/>
          <w:sz w:val="21"/>
        </w:rPr>
        <w:t> </w:t>
      </w:r>
      <w:r>
        <w:rPr>
          <w:sz w:val="21"/>
        </w:rPr>
        <w:t>to</w:t>
      </w:r>
      <w:r>
        <w:rPr>
          <w:spacing w:val="-6"/>
          <w:sz w:val="21"/>
        </w:rPr>
        <w:t> </w:t>
      </w:r>
      <w:r>
        <w:rPr>
          <w:sz w:val="21"/>
        </w:rPr>
        <w:t>grant</w:t>
      </w:r>
      <w:r>
        <w:rPr>
          <w:spacing w:val="-6"/>
          <w:sz w:val="21"/>
        </w:rPr>
        <w:t> </w:t>
      </w:r>
      <w:r>
        <w:rPr>
          <w:sz w:val="21"/>
        </w:rPr>
        <w:t>recipients</w:t>
      </w:r>
      <w:r>
        <w:rPr>
          <w:spacing w:val="-6"/>
          <w:sz w:val="21"/>
        </w:rPr>
        <w:t> </w:t>
      </w:r>
      <w:r>
        <w:rPr>
          <w:sz w:val="21"/>
        </w:rPr>
        <w:t>a</w:t>
      </w:r>
      <w:r>
        <w:rPr>
          <w:spacing w:val="-8"/>
          <w:sz w:val="21"/>
        </w:rPr>
        <w:t> </w:t>
      </w:r>
      <w:r>
        <w:rPr>
          <w:sz w:val="21"/>
        </w:rPr>
        <w:t>12-month</w:t>
      </w:r>
      <w:r>
        <w:rPr>
          <w:spacing w:val="-7"/>
          <w:sz w:val="21"/>
        </w:rPr>
        <w:t> </w:t>
      </w:r>
      <w:r>
        <w:rPr>
          <w:sz w:val="21"/>
        </w:rPr>
        <w:t>expansion</w:t>
      </w:r>
      <w:r>
        <w:rPr>
          <w:spacing w:val="-6"/>
          <w:sz w:val="21"/>
        </w:rPr>
        <w:t> </w:t>
      </w:r>
      <w:r>
        <w:rPr>
          <w:sz w:val="21"/>
        </w:rPr>
        <w:t>of</w:t>
      </w:r>
      <w:r>
        <w:rPr>
          <w:spacing w:val="-6"/>
          <w:sz w:val="21"/>
        </w:rPr>
        <w:t> </w:t>
      </w:r>
      <w:r>
        <w:rPr>
          <w:sz w:val="21"/>
        </w:rPr>
        <w:t>postpartum</w:t>
      </w:r>
      <w:r>
        <w:rPr>
          <w:spacing w:val="-6"/>
          <w:sz w:val="21"/>
        </w:rPr>
        <w:t> </w:t>
      </w:r>
      <w:r>
        <w:rPr>
          <w:sz w:val="21"/>
        </w:rPr>
        <w:t>care</w:t>
      </w:r>
      <w:r>
        <w:rPr>
          <w:spacing w:val="-6"/>
          <w:sz w:val="21"/>
        </w:rPr>
        <w:t> </w:t>
      </w:r>
      <w:r>
        <w:rPr>
          <w:sz w:val="21"/>
        </w:rPr>
        <w:t>services</w:t>
      </w:r>
      <w:r>
        <w:rPr>
          <w:spacing w:val="-6"/>
          <w:sz w:val="21"/>
        </w:rPr>
        <w:t> </w:t>
      </w:r>
      <w:r>
        <w:rPr>
          <w:sz w:val="21"/>
        </w:rPr>
        <w:t>under</w:t>
      </w:r>
      <w:r>
        <w:rPr>
          <w:spacing w:val="-6"/>
          <w:sz w:val="21"/>
        </w:rPr>
        <w:t> </w:t>
      </w:r>
      <w:r>
        <w:rPr>
          <w:sz w:val="21"/>
        </w:rPr>
        <w:t>their</w:t>
      </w:r>
      <w:r>
        <w:rPr>
          <w:spacing w:val="-6"/>
          <w:sz w:val="21"/>
        </w:rPr>
        <w:t> </w:t>
      </w:r>
      <w:r>
        <w:rPr>
          <w:sz w:val="21"/>
        </w:rPr>
        <w:t>Medicaid benefits</w:t>
      </w:r>
      <w:r>
        <w:rPr>
          <w:spacing w:val="-7"/>
          <w:sz w:val="21"/>
        </w:rPr>
        <w:t> </w:t>
      </w:r>
      <w:r>
        <w:rPr>
          <w:sz w:val="21"/>
        </w:rPr>
        <w:t>after</w:t>
      </w:r>
      <w:r>
        <w:rPr>
          <w:spacing w:val="-7"/>
          <w:sz w:val="21"/>
        </w:rPr>
        <w:t> </w:t>
      </w:r>
      <w:r>
        <w:rPr>
          <w:sz w:val="21"/>
        </w:rPr>
        <w:t>the</w:t>
      </w:r>
      <w:r>
        <w:rPr>
          <w:spacing w:val="-7"/>
          <w:sz w:val="21"/>
        </w:rPr>
        <w:t> </w:t>
      </w:r>
      <w:r>
        <w:rPr>
          <w:sz w:val="21"/>
        </w:rPr>
        <w:t>ARP’s</w:t>
      </w:r>
      <w:r>
        <w:rPr>
          <w:spacing w:val="-7"/>
          <w:sz w:val="21"/>
        </w:rPr>
        <w:t> </w:t>
      </w:r>
      <w:r>
        <w:rPr>
          <w:sz w:val="21"/>
        </w:rPr>
        <w:t>state</w:t>
      </w:r>
      <w:r>
        <w:rPr>
          <w:spacing w:val="-7"/>
          <w:sz w:val="21"/>
        </w:rPr>
        <w:t> </w:t>
      </w:r>
      <w:r>
        <w:rPr>
          <w:sz w:val="21"/>
        </w:rPr>
        <w:t>plan</w:t>
      </w:r>
      <w:r>
        <w:rPr>
          <w:spacing w:val="-7"/>
          <w:sz w:val="21"/>
        </w:rPr>
        <w:t> </w:t>
      </w:r>
      <w:r>
        <w:rPr>
          <w:sz w:val="21"/>
        </w:rPr>
        <w:t>expires</w:t>
      </w:r>
      <w:r>
        <w:rPr>
          <w:spacing w:val="-9"/>
          <w:sz w:val="21"/>
        </w:rPr>
        <w:t> </w:t>
      </w:r>
      <w:r>
        <w:rPr>
          <w:sz w:val="21"/>
        </w:rPr>
        <w:t>in</w:t>
      </w:r>
      <w:r>
        <w:rPr>
          <w:spacing w:val="-7"/>
          <w:sz w:val="21"/>
        </w:rPr>
        <w:t> </w:t>
      </w:r>
      <w:r>
        <w:rPr>
          <w:sz w:val="21"/>
        </w:rPr>
        <w:t>2027,</w:t>
      </w:r>
      <w:r>
        <w:rPr>
          <w:spacing w:val="-6"/>
          <w:sz w:val="21"/>
        </w:rPr>
        <w:t> </w:t>
      </w:r>
      <w:r>
        <w:rPr>
          <w:sz w:val="21"/>
        </w:rPr>
        <w:t>if</w:t>
      </w:r>
      <w:r>
        <w:rPr>
          <w:spacing w:val="-7"/>
          <w:sz w:val="21"/>
        </w:rPr>
        <w:t> </w:t>
      </w:r>
      <w:r>
        <w:rPr>
          <w:sz w:val="21"/>
        </w:rPr>
        <w:t>the</w:t>
      </w:r>
      <w:r>
        <w:rPr>
          <w:spacing w:val="-9"/>
          <w:sz w:val="21"/>
        </w:rPr>
        <w:t> </w:t>
      </w:r>
      <w:r>
        <w:rPr>
          <w:sz w:val="21"/>
        </w:rPr>
        <w:t>presidential</w:t>
      </w:r>
      <w:r>
        <w:rPr>
          <w:spacing w:val="-7"/>
          <w:sz w:val="21"/>
        </w:rPr>
        <w:t> </w:t>
      </w:r>
      <w:r>
        <w:rPr>
          <w:sz w:val="21"/>
        </w:rPr>
        <w:t>administration</w:t>
      </w:r>
      <w:r>
        <w:rPr>
          <w:spacing w:val="-7"/>
          <w:sz w:val="21"/>
        </w:rPr>
        <w:t> </w:t>
      </w:r>
      <w:r>
        <w:rPr>
          <w:sz w:val="21"/>
        </w:rPr>
        <w:t>at</w:t>
      </w:r>
      <w:r>
        <w:rPr>
          <w:spacing w:val="-6"/>
          <w:sz w:val="21"/>
        </w:rPr>
        <w:t> </w:t>
      </w:r>
      <w:r>
        <w:rPr>
          <w:sz w:val="21"/>
        </w:rPr>
        <w:t>that</w:t>
      </w:r>
      <w:r>
        <w:rPr>
          <w:spacing w:val="-8"/>
          <w:sz w:val="21"/>
        </w:rPr>
        <w:t> </w:t>
      </w:r>
      <w:r>
        <w:rPr>
          <w:sz w:val="21"/>
        </w:rPr>
        <w:t>time</w:t>
      </w:r>
      <w:r>
        <w:rPr>
          <w:spacing w:val="-7"/>
          <w:sz w:val="21"/>
        </w:rPr>
        <w:t> </w:t>
      </w:r>
      <w:r>
        <w:rPr>
          <w:sz w:val="21"/>
        </w:rPr>
        <w:t>does</w:t>
      </w:r>
      <w:r>
        <w:rPr>
          <w:spacing w:val="-7"/>
          <w:sz w:val="21"/>
        </w:rPr>
        <w:t> </w:t>
      </w:r>
      <w:r>
        <w:rPr>
          <w:sz w:val="21"/>
        </w:rPr>
        <w:t>not</w:t>
      </w:r>
      <w:r>
        <w:rPr>
          <w:spacing w:val="-6"/>
          <w:sz w:val="21"/>
        </w:rPr>
        <w:t> </w:t>
      </w:r>
      <w:r>
        <w:rPr>
          <w:sz w:val="21"/>
        </w:rPr>
        <w:t>extend </w:t>
      </w:r>
      <w:r>
        <w:rPr>
          <w:spacing w:val="-4"/>
          <w:sz w:val="21"/>
        </w:rPr>
        <w:t>it.</w:t>
      </w:r>
    </w:p>
    <w:p>
      <w:pPr>
        <w:spacing w:before="240"/>
        <w:ind w:left="463" w:right="0" w:firstLine="0"/>
        <w:jc w:val="both"/>
        <w:rPr>
          <w:sz w:val="28"/>
        </w:rPr>
      </w:pPr>
      <w:bookmarkStart w:name="Access to Fertility Treatments" w:id="377"/>
      <w:bookmarkEnd w:id="377"/>
      <w:r>
        <w:rPr/>
      </w:r>
      <w:r>
        <w:rPr>
          <w:color w:val="365F91"/>
          <w:sz w:val="28"/>
        </w:rPr>
        <w:t>Access</w:t>
      </w:r>
      <w:r>
        <w:rPr>
          <w:color w:val="365F91"/>
          <w:spacing w:val="-8"/>
          <w:sz w:val="28"/>
        </w:rPr>
        <w:t> </w:t>
      </w:r>
      <w:r>
        <w:rPr>
          <w:color w:val="365F91"/>
          <w:sz w:val="28"/>
        </w:rPr>
        <w:t>to</w:t>
      </w:r>
      <w:r>
        <w:rPr>
          <w:color w:val="365F91"/>
          <w:spacing w:val="-8"/>
          <w:sz w:val="28"/>
        </w:rPr>
        <w:t> </w:t>
      </w:r>
      <w:r>
        <w:rPr>
          <w:color w:val="365F91"/>
          <w:sz w:val="28"/>
        </w:rPr>
        <w:t>Fertility</w:t>
      </w:r>
      <w:r>
        <w:rPr>
          <w:color w:val="365F91"/>
          <w:spacing w:val="-8"/>
          <w:sz w:val="28"/>
        </w:rPr>
        <w:t> </w:t>
      </w:r>
      <w:r>
        <w:rPr>
          <w:color w:val="365F91"/>
          <w:spacing w:val="-2"/>
          <w:sz w:val="28"/>
        </w:rPr>
        <w:t>Treatments</w:t>
      </w:r>
    </w:p>
    <w:p>
      <w:pPr>
        <w:pStyle w:val="BodyText"/>
        <w:spacing w:line="276" w:lineRule="auto" w:before="291"/>
        <w:ind w:left="463" w:right="240"/>
        <w:jc w:val="both"/>
      </w:pPr>
      <w:r>
        <w:rPr/>
        <w:t>Heteronormative ideals of pregnancy and parenting typically frame fertility treatments as a service that cisgender women struggling with infertility seek. LGBTQ individuals who desire to become pregnant and parent</w:t>
      </w:r>
      <w:r>
        <w:rPr>
          <w:spacing w:val="-9"/>
        </w:rPr>
        <w:t> </w:t>
      </w:r>
      <w:r>
        <w:rPr/>
        <w:t>a</w:t>
      </w:r>
      <w:r>
        <w:rPr>
          <w:spacing w:val="-9"/>
        </w:rPr>
        <w:t> </w:t>
      </w:r>
      <w:r>
        <w:rPr/>
        <w:t>child</w:t>
      </w:r>
      <w:r>
        <w:rPr>
          <w:spacing w:val="-9"/>
        </w:rPr>
        <w:t> </w:t>
      </w:r>
      <w:r>
        <w:rPr/>
        <w:t>seek</w:t>
      </w:r>
      <w:r>
        <w:rPr>
          <w:spacing w:val="-9"/>
        </w:rPr>
        <w:t> </w:t>
      </w:r>
      <w:r>
        <w:rPr/>
        <w:t>out</w:t>
      </w:r>
      <w:r>
        <w:rPr>
          <w:spacing w:val="-9"/>
        </w:rPr>
        <w:t> </w:t>
      </w:r>
      <w:r>
        <w:rPr/>
        <w:t>fertility</w:t>
      </w:r>
      <w:r>
        <w:rPr>
          <w:spacing w:val="-9"/>
        </w:rPr>
        <w:t> </w:t>
      </w:r>
      <w:r>
        <w:rPr/>
        <w:t>treatments</w:t>
      </w:r>
      <w:r>
        <w:rPr>
          <w:spacing w:val="-10"/>
        </w:rPr>
        <w:t> </w:t>
      </w:r>
      <w:r>
        <w:rPr/>
        <w:t>if</w:t>
      </w:r>
      <w:r>
        <w:rPr>
          <w:spacing w:val="-9"/>
        </w:rPr>
        <w:t> </w:t>
      </w:r>
      <w:r>
        <w:rPr/>
        <w:t>they</w:t>
      </w:r>
      <w:r>
        <w:rPr>
          <w:spacing w:val="-8"/>
        </w:rPr>
        <w:t> </w:t>
      </w:r>
      <w:r>
        <w:rPr/>
        <w:t>cannot</w:t>
      </w:r>
      <w:r>
        <w:rPr>
          <w:spacing w:val="-9"/>
        </w:rPr>
        <w:t> </w:t>
      </w:r>
      <w:r>
        <w:rPr/>
        <w:t>conceive</w:t>
      </w:r>
      <w:r>
        <w:rPr>
          <w:spacing w:val="-8"/>
        </w:rPr>
        <w:t> </w:t>
      </w:r>
      <w:r>
        <w:rPr/>
        <w:t>a</w:t>
      </w:r>
      <w:r>
        <w:rPr>
          <w:spacing w:val="-10"/>
        </w:rPr>
        <w:t> </w:t>
      </w:r>
      <w:r>
        <w:rPr/>
        <w:t>pregnancy</w:t>
      </w:r>
      <w:r>
        <w:rPr>
          <w:spacing w:val="-9"/>
        </w:rPr>
        <w:t> </w:t>
      </w:r>
      <w:r>
        <w:rPr/>
        <w:t>if</w:t>
      </w:r>
      <w:r>
        <w:rPr>
          <w:spacing w:val="-10"/>
        </w:rPr>
        <w:t> </w:t>
      </w:r>
      <w:r>
        <w:rPr/>
        <w:t>they</w:t>
      </w:r>
      <w:r>
        <w:rPr>
          <w:spacing w:val="-9"/>
        </w:rPr>
        <w:t> </w:t>
      </w:r>
      <w:r>
        <w:rPr/>
        <w:t>do</w:t>
      </w:r>
      <w:r>
        <w:rPr>
          <w:spacing w:val="-10"/>
        </w:rPr>
        <w:t> </w:t>
      </w:r>
      <w:r>
        <w:rPr/>
        <w:t>not</w:t>
      </w:r>
      <w:r>
        <w:rPr>
          <w:spacing w:val="-8"/>
        </w:rPr>
        <w:t> </w:t>
      </w:r>
      <w:r>
        <w:rPr/>
        <w:t>desire</w:t>
      </w:r>
      <w:r>
        <w:rPr>
          <w:spacing w:val="-10"/>
        </w:rPr>
        <w:t> </w:t>
      </w:r>
      <w:r>
        <w:rPr/>
        <w:t>sex</w:t>
      </w:r>
      <w:r>
        <w:rPr>
          <w:spacing w:val="-9"/>
        </w:rPr>
        <w:t> </w:t>
      </w:r>
      <w:r>
        <w:rPr/>
        <w:t>with someone</w:t>
      </w:r>
      <w:r>
        <w:rPr>
          <w:spacing w:val="-2"/>
        </w:rPr>
        <w:t> </w:t>
      </w:r>
      <w:r>
        <w:rPr/>
        <w:t>with</w:t>
      </w:r>
      <w:r>
        <w:rPr>
          <w:spacing w:val="-2"/>
        </w:rPr>
        <w:t> </w:t>
      </w:r>
      <w:r>
        <w:rPr/>
        <w:t>a</w:t>
      </w:r>
      <w:r>
        <w:rPr>
          <w:spacing w:val="-1"/>
        </w:rPr>
        <w:t> </w:t>
      </w:r>
      <w:r>
        <w:rPr/>
        <w:t>penis,</w:t>
      </w:r>
      <w:r>
        <w:rPr>
          <w:spacing w:val="-1"/>
        </w:rPr>
        <w:t> </w:t>
      </w:r>
      <w:r>
        <w:rPr/>
        <w:t>particularly</w:t>
      </w:r>
      <w:r>
        <w:rPr>
          <w:spacing w:val="-1"/>
        </w:rPr>
        <w:t> </w:t>
      </w:r>
      <w:r>
        <w:rPr/>
        <w:t>a cisgender male.</w:t>
      </w:r>
      <w:r>
        <w:rPr>
          <w:spacing w:val="-1"/>
        </w:rPr>
        <w:t> </w:t>
      </w:r>
      <w:r>
        <w:rPr/>
        <w:t>LGBTQ</w:t>
      </w:r>
      <w:r>
        <w:rPr>
          <w:spacing w:val="-1"/>
        </w:rPr>
        <w:t> </w:t>
      </w:r>
      <w:r>
        <w:rPr/>
        <w:t>patients</w:t>
      </w:r>
      <w:r>
        <w:rPr>
          <w:spacing w:val="-1"/>
        </w:rPr>
        <w:t> </w:t>
      </w:r>
      <w:r>
        <w:rPr/>
        <w:t>might</w:t>
      </w:r>
      <w:r>
        <w:rPr>
          <w:spacing w:val="-2"/>
        </w:rPr>
        <w:t> </w:t>
      </w:r>
      <w:r>
        <w:rPr/>
        <w:t>also</w:t>
      </w:r>
      <w:r>
        <w:rPr>
          <w:spacing w:val="-1"/>
        </w:rPr>
        <w:t> </w:t>
      </w:r>
      <w:r>
        <w:rPr/>
        <w:t>look</w:t>
      </w:r>
      <w:r>
        <w:rPr>
          <w:spacing w:val="-2"/>
        </w:rPr>
        <w:t> </w:t>
      </w:r>
      <w:r>
        <w:rPr/>
        <w:t>to</w:t>
      </w:r>
      <w:r>
        <w:rPr>
          <w:spacing w:val="-1"/>
        </w:rPr>
        <w:t> </w:t>
      </w:r>
      <w:r>
        <w:rPr/>
        <w:t>fertility</w:t>
      </w:r>
      <w:r>
        <w:rPr>
          <w:spacing w:val="-1"/>
        </w:rPr>
        <w:t> </w:t>
      </w:r>
      <w:r>
        <w:rPr/>
        <w:t>treatments due to infertility caused by hormone therapy. As mentioned earlier in this section, LGBTQ folks who desire to</w:t>
      </w:r>
      <w:r>
        <w:rPr>
          <w:spacing w:val="-13"/>
        </w:rPr>
        <w:t> </w:t>
      </w:r>
      <w:r>
        <w:rPr/>
        <w:t>become</w:t>
      </w:r>
      <w:r>
        <w:rPr>
          <w:spacing w:val="-12"/>
        </w:rPr>
        <w:t> </w:t>
      </w:r>
      <w:r>
        <w:rPr/>
        <w:t>pregnant</w:t>
      </w:r>
      <w:r>
        <w:rPr>
          <w:spacing w:val="-13"/>
        </w:rPr>
        <w:t> </w:t>
      </w:r>
      <w:r>
        <w:rPr/>
        <w:t>often</w:t>
      </w:r>
      <w:r>
        <w:rPr>
          <w:spacing w:val="-12"/>
        </w:rPr>
        <w:t> </w:t>
      </w:r>
      <w:r>
        <w:rPr/>
        <w:t>cannot</w:t>
      </w:r>
      <w:r>
        <w:rPr>
          <w:spacing w:val="-13"/>
        </w:rPr>
        <w:t> </w:t>
      </w:r>
      <w:r>
        <w:rPr/>
        <w:t>afford</w:t>
      </w:r>
      <w:r>
        <w:rPr>
          <w:spacing w:val="-12"/>
        </w:rPr>
        <w:t> </w:t>
      </w:r>
      <w:r>
        <w:rPr/>
        <w:t>fertility</w:t>
      </w:r>
      <w:r>
        <w:rPr>
          <w:spacing w:val="-13"/>
        </w:rPr>
        <w:t> </w:t>
      </w:r>
      <w:r>
        <w:rPr/>
        <w:t>treatments.</w:t>
      </w:r>
      <w:r>
        <w:rPr>
          <w:spacing w:val="-12"/>
        </w:rPr>
        <w:t> </w:t>
      </w:r>
      <w:r>
        <w:rPr/>
        <w:t>In</w:t>
      </w:r>
      <w:r>
        <w:rPr>
          <w:spacing w:val="-12"/>
        </w:rPr>
        <w:t> </w:t>
      </w:r>
      <w:r>
        <w:rPr/>
        <w:t>June</w:t>
      </w:r>
      <w:r>
        <w:rPr>
          <w:spacing w:val="-13"/>
        </w:rPr>
        <w:t> </w:t>
      </w:r>
      <w:r>
        <w:rPr/>
        <w:t>2022,</w:t>
      </w:r>
      <w:r>
        <w:rPr>
          <w:spacing w:val="-12"/>
        </w:rPr>
        <w:t> </w:t>
      </w:r>
      <w:r>
        <w:rPr/>
        <w:t>The</w:t>
      </w:r>
      <w:r>
        <w:rPr>
          <w:spacing w:val="-13"/>
        </w:rPr>
        <w:t> </w:t>
      </w:r>
      <w:r>
        <w:rPr/>
        <w:t>Equal</w:t>
      </w:r>
      <w:r>
        <w:rPr>
          <w:spacing w:val="-12"/>
        </w:rPr>
        <w:t> </w:t>
      </w:r>
      <w:r>
        <w:rPr/>
        <w:t>Access</w:t>
      </w:r>
      <w:r>
        <w:rPr>
          <w:spacing w:val="-13"/>
        </w:rPr>
        <w:t> </w:t>
      </w:r>
      <w:r>
        <w:rPr/>
        <w:t>to</w:t>
      </w:r>
      <w:r>
        <w:rPr>
          <w:spacing w:val="-12"/>
        </w:rPr>
        <w:t> </w:t>
      </w:r>
      <w:r>
        <w:rPr/>
        <w:t>Reproductive Care Act (H.R.8190) was introduced in the United States Congress, though this bill did not progress, which would have closed a loophole in the tax code to cover fertility treatments as “medical care.” Heterosexual couples can usually cover the cost of fertility by claiming the expenses associated with surrogacy or IVF treatments</w:t>
      </w:r>
      <w:r>
        <w:rPr>
          <w:spacing w:val="-7"/>
        </w:rPr>
        <w:t> </w:t>
      </w:r>
      <w:r>
        <w:rPr/>
        <w:t>in</w:t>
      </w:r>
      <w:r>
        <w:rPr>
          <w:spacing w:val="-7"/>
        </w:rPr>
        <w:t> </w:t>
      </w:r>
      <w:r>
        <w:rPr/>
        <w:t>their</w:t>
      </w:r>
      <w:r>
        <w:rPr>
          <w:spacing w:val="-6"/>
        </w:rPr>
        <w:t> </w:t>
      </w:r>
      <w:r>
        <w:rPr/>
        <w:t>income</w:t>
      </w:r>
      <w:r>
        <w:rPr>
          <w:spacing w:val="-7"/>
        </w:rPr>
        <w:t> </w:t>
      </w:r>
      <w:r>
        <w:rPr/>
        <w:t>tax.</w:t>
      </w:r>
      <w:r>
        <w:rPr>
          <w:spacing w:val="-7"/>
        </w:rPr>
        <w:t> </w:t>
      </w:r>
      <w:r>
        <w:rPr/>
        <w:t>The</w:t>
      </w:r>
      <w:r>
        <w:rPr>
          <w:spacing w:val="-7"/>
        </w:rPr>
        <w:t> </w:t>
      </w:r>
      <w:r>
        <w:rPr/>
        <w:t>legislation</w:t>
      </w:r>
      <w:r>
        <w:rPr>
          <w:spacing w:val="-8"/>
        </w:rPr>
        <w:t> </w:t>
      </w:r>
      <w:r>
        <w:rPr/>
        <w:t>would</w:t>
      </w:r>
      <w:r>
        <w:rPr>
          <w:spacing w:val="-7"/>
        </w:rPr>
        <w:t> </w:t>
      </w:r>
      <w:r>
        <w:rPr/>
        <w:t>then</w:t>
      </w:r>
      <w:r>
        <w:rPr>
          <w:spacing w:val="-7"/>
        </w:rPr>
        <w:t> </w:t>
      </w:r>
      <w:r>
        <w:rPr/>
        <w:t>classify</w:t>
      </w:r>
      <w:r>
        <w:rPr>
          <w:spacing w:val="-7"/>
        </w:rPr>
        <w:t> </w:t>
      </w:r>
      <w:r>
        <w:rPr/>
        <w:t>assisted</w:t>
      </w:r>
      <w:r>
        <w:rPr>
          <w:spacing w:val="-8"/>
        </w:rPr>
        <w:t> </w:t>
      </w:r>
      <w:r>
        <w:rPr/>
        <w:t>reproduction</w:t>
      </w:r>
      <w:r>
        <w:rPr>
          <w:spacing w:val="-8"/>
        </w:rPr>
        <w:t> </w:t>
      </w:r>
      <w:r>
        <w:rPr/>
        <w:t>as</w:t>
      </w:r>
      <w:r>
        <w:rPr>
          <w:spacing w:val="-7"/>
        </w:rPr>
        <w:t> </w:t>
      </w:r>
      <w:r>
        <w:rPr/>
        <w:t>a</w:t>
      </w:r>
      <w:r>
        <w:rPr>
          <w:spacing w:val="-7"/>
        </w:rPr>
        <w:t> </w:t>
      </w:r>
      <w:r>
        <w:rPr/>
        <w:t>tax-deductible medical expense, which would expand access to fertility treatments for LGBTQ families.</w:t>
      </w:r>
    </w:p>
    <w:p>
      <w:pPr>
        <w:spacing w:before="239"/>
        <w:ind w:left="463" w:right="0" w:firstLine="0"/>
        <w:jc w:val="both"/>
        <w:rPr>
          <w:sz w:val="28"/>
        </w:rPr>
      </w:pPr>
      <w:bookmarkStart w:name="Doula Services" w:id="378"/>
      <w:bookmarkEnd w:id="378"/>
      <w:r>
        <w:rPr/>
      </w:r>
      <w:r>
        <w:rPr>
          <w:color w:val="365F91"/>
          <w:sz w:val="28"/>
        </w:rPr>
        <w:t>Doula</w:t>
      </w:r>
      <w:r>
        <w:rPr>
          <w:color w:val="365F91"/>
          <w:spacing w:val="-9"/>
          <w:sz w:val="28"/>
        </w:rPr>
        <w:t> </w:t>
      </w:r>
      <w:r>
        <w:rPr>
          <w:color w:val="365F91"/>
          <w:spacing w:val="-2"/>
          <w:sz w:val="28"/>
        </w:rPr>
        <w:t>Services</w:t>
      </w:r>
    </w:p>
    <w:p>
      <w:pPr>
        <w:pStyle w:val="BodyText"/>
        <w:spacing w:line="276" w:lineRule="auto" w:before="293"/>
        <w:ind w:left="463" w:right="240"/>
        <w:jc w:val="both"/>
      </w:pPr>
      <w:r>
        <w:rPr/>
        <w:t>A</w:t>
      </w:r>
      <w:r>
        <w:rPr>
          <w:spacing w:val="-13"/>
        </w:rPr>
        <w:t> </w:t>
      </w:r>
      <w:r>
        <w:rPr/>
        <w:t>systemic</w:t>
      </w:r>
      <w:r>
        <w:rPr>
          <w:spacing w:val="-12"/>
        </w:rPr>
        <w:t> </w:t>
      </w:r>
      <w:r>
        <w:rPr/>
        <w:t>policy</w:t>
      </w:r>
      <w:r>
        <w:rPr>
          <w:spacing w:val="-13"/>
        </w:rPr>
        <w:t> </w:t>
      </w:r>
      <w:r>
        <w:rPr/>
        <w:t>review</w:t>
      </w:r>
      <w:r>
        <w:rPr>
          <w:spacing w:val="-12"/>
        </w:rPr>
        <w:t> </w:t>
      </w:r>
      <w:r>
        <w:rPr/>
        <w:t>study</w:t>
      </w:r>
      <w:r>
        <w:rPr>
          <w:spacing w:val="-13"/>
        </w:rPr>
        <w:t> </w:t>
      </w:r>
      <w:r>
        <w:rPr/>
        <w:t>on</w:t>
      </w:r>
      <w:r>
        <w:rPr>
          <w:spacing w:val="-12"/>
        </w:rPr>
        <w:t> </w:t>
      </w:r>
      <w:r>
        <w:rPr/>
        <w:t>Massachusetts</w:t>
      </w:r>
      <w:r>
        <w:rPr>
          <w:spacing w:val="-13"/>
        </w:rPr>
        <w:t> </w:t>
      </w:r>
      <w:r>
        <w:rPr/>
        <w:t>bills</w:t>
      </w:r>
      <w:r>
        <w:rPr>
          <w:spacing w:val="-12"/>
        </w:rPr>
        <w:t> </w:t>
      </w:r>
      <w:r>
        <w:rPr/>
        <w:t>related</w:t>
      </w:r>
      <w:r>
        <w:rPr>
          <w:spacing w:val="-12"/>
        </w:rPr>
        <w:t> </w:t>
      </w:r>
      <w:r>
        <w:rPr/>
        <w:t>to</w:t>
      </w:r>
      <w:r>
        <w:rPr>
          <w:spacing w:val="-13"/>
        </w:rPr>
        <w:t> </w:t>
      </w:r>
      <w:r>
        <w:rPr/>
        <w:t>maternal</w:t>
      </w:r>
      <w:r>
        <w:rPr>
          <w:spacing w:val="-12"/>
        </w:rPr>
        <w:t> </w:t>
      </w:r>
      <w:r>
        <w:rPr/>
        <w:t>health</w:t>
      </w:r>
      <w:r>
        <w:rPr>
          <w:spacing w:val="-13"/>
        </w:rPr>
        <w:t> </w:t>
      </w:r>
      <w:r>
        <w:rPr/>
        <w:t>and</w:t>
      </w:r>
      <w:r>
        <w:rPr>
          <w:spacing w:val="-12"/>
        </w:rPr>
        <w:t> </w:t>
      </w:r>
      <w:r>
        <w:rPr/>
        <w:t>racial</w:t>
      </w:r>
      <w:r>
        <w:rPr>
          <w:spacing w:val="-13"/>
        </w:rPr>
        <w:t> </w:t>
      </w:r>
      <w:r>
        <w:rPr/>
        <w:t>equity</w:t>
      </w:r>
      <w:r>
        <w:rPr>
          <w:spacing w:val="-12"/>
        </w:rPr>
        <w:t> </w:t>
      </w:r>
      <w:r>
        <w:rPr/>
        <w:t>has</w:t>
      </w:r>
      <w:r>
        <w:rPr>
          <w:spacing w:val="-12"/>
        </w:rPr>
        <w:t> </w:t>
      </w:r>
      <w:r>
        <w:rPr/>
        <w:t>shown that the common theme among legislative bills relates to the need for doula and midwives services</w:t>
      </w:r>
      <w:hyperlink w:history="true" w:anchor="_bookmark246">
        <w:r>
          <w:rPr/>
          <w:t>.</w:t>
        </w:r>
        <w:r>
          <w:rPr>
            <w:vertAlign w:val="superscript"/>
          </w:rPr>
          <w:t>53</w:t>
        </w:r>
      </w:hyperlink>
      <w:r>
        <w:rPr>
          <w:vertAlign w:val="baseline"/>
        </w:rPr>
        <w:t> A doula is a trained professional who provides continuous physical, emotional, and informational support to clients</w:t>
      </w:r>
      <w:r>
        <w:rPr>
          <w:spacing w:val="-3"/>
          <w:vertAlign w:val="baseline"/>
        </w:rPr>
        <w:t> </w:t>
      </w:r>
      <w:r>
        <w:rPr>
          <w:vertAlign w:val="baseline"/>
        </w:rPr>
        <w:t>before,</w:t>
      </w:r>
      <w:r>
        <w:rPr>
          <w:spacing w:val="-3"/>
          <w:vertAlign w:val="baseline"/>
        </w:rPr>
        <w:t> </w:t>
      </w:r>
      <w:r>
        <w:rPr>
          <w:vertAlign w:val="baseline"/>
        </w:rPr>
        <w:t>during,</w:t>
      </w:r>
      <w:r>
        <w:rPr>
          <w:spacing w:val="-3"/>
          <w:vertAlign w:val="baseline"/>
        </w:rPr>
        <w:t> </w:t>
      </w:r>
      <w:r>
        <w:rPr>
          <w:vertAlign w:val="baseline"/>
        </w:rPr>
        <w:t>and</w:t>
      </w:r>
      <w:r>
        <w:rPr>
          <w:spacing w:val="-3"/>
          <w:vertAlign w:val="baseline"/>
        </w:rPr>
        <w:t> </w:t>
      </w:r>
      <w:r>
        <w:rPr>
          <w:vertAlign w:val="baseline"/>
        </w:rPr>
        <w:t>after</w:t>
      </w:r>
      <w:r>
        <w:rPr>
          <w:spacing w:val="-3"/>
          <w:vertAlign w:val="baseline"/>
        </w:rPr>
        <w:t> </w:t>
      </w:r>
      <w:r>
        <w:rPr>
          <w:vertAlign w:val="baseline"/>
        </w:rPr>
        <w:t>childbirth</w:t>
      </w:r>
      <w:hyperlink w:history="true" w:anchor="_bookmark247">
        <w:r>
          <w:rPr>
            <w:vertAlign w:val="baseline"/>
          </w:rPr>
          <w:t>.</w:t>
        </w:r>
        <w:r>
          <w:rPr>
            <w:vertAlign w:val="superscript"/>
          </w:rPr>
          <w:t>54</w:t>
        </w:r>
      </w:hyperlink>
      <w:r>
        <w:rPr>
          <w:spacing w:val="-3"/>
          <w:vertAlign w:val="baseline"/>
        </w:rPr>
        <w:t> </w:t>
      </w:r>
      <w:r>
        <w:rPr>
          <w:vertAlign w:val="baseline"/>
        </w:rPr>
        <w:t>Unlike</w:t>
      </w:r>
      <w:r>
        <w:rPr>
          <w:spacing w:val="-3"/>
          <w:vertAlign w:val="baseline"/>
        </w:rPr>
        <w:t> </w:t>
      </w:r>
      <w:r>
        <w:rPr>
          <w:vertAlign w:val="baseline"/>
        </w:rPr>
        <w:t>midwives,</w:t>
      </w:r>
      <w:r>
        <w:rPr>
          <w:spacing w:val="-3"/>
          <w:vertAlign w:val="baseline"/>
        </w:rPr>
        <w:t> </w:t>
      </w:r>
      <w:r>
        <w:rPr>
          <w:vertAlign w:val="baseline"/>
        </w:rPr>
        <w:t>they</w:t>
      </w:r>
      <w:r>
        <w:rPr>
          <w:spacing w:val="-3"/>
          <w:vertAlign w:val="baseline"/>
        </w:rPr>
        <w:t> </w:t>
      </w:r>
      <w:r>
        <w:rPr>
          <w:vertAlign w:val="baseline"/>
        </w:rPr>
        <w:t>do</w:t>
      </w:r>
      <w:r>
        <w:rPr>
          <w:spacing w:val="-3"/>
          <w:vertAlign w:val="baseline"/>
        </w:rPr>
        <w:t> </w:t>
      </w:r>
      <w:r>
        <w:rPr>
          <w:vertAlign w:val="baseline"/>
        </w:rPr>
        <w:t>not</w:t>
      </w:r>
      <w:r>
        <w:rPr>
          <w:spacing w:val="-3"/>
          <w:vertAlign w:val="baseline"/>
        </w:rPr>
        <w:t> </w:t>
      </w:r>
      <w:r>
        <w:rPr>
          <w:vertAlign w:val="baseline"/>
        </w:rPr>
        <w:t>provide</w:t>
      </w:r>
      <w:r>
        <w:rPr>
          <w:spacing w:val="-3"/>
          <w:vertAlign w:val="baseline"/>
        </w:rPr>
        <w:t> </w:t>
      </w:r>
      <w:r>
        <w:rPr>
          <w:vertAlign w:val="baseline"/>
        </w:rPr>
        <w:t>medical</w:t>
      </w:r>
      <w:r>
        <w:rPr>
          <w:spacing w:val="-3"/>
          <w:vertAlign w:val="baseline"/>
        </w:rPr>
        <w:t> </w:t>
      </w:r>
      <w:r>
        <w:rPr>
          <w:vertAlign w:val="baseline"/>
        </w:rPr>
        <w:t>care</w:t>
      </w:r>
      <w:r>
        <w:rPr>
          <w:spacing w:val="-3"/>
          <w:vertAlign w:val="baseline"/>
        </w:rPr>
        <w:t> </w:t>
      </w:r>
      <w:r>
        <w:rPr>
          <w:vertAlign w:val="baseline"/>
        </w:rPr>
        <w:t>and</w:t>
      </w:r>
      <w:r>
        <w:rPr>
          <w:spacing w:val="-3"/>
          <w:vertAlign w:val="baseline"/>
        </w:rPr>
        <w:t> </w:t>
      </w:r>
      <w:r>
        <w:rPr>
          <w:vertAlign w:val="baseline"/>
        </w:rPr>
        <w:t>cannot assist in delivery. Rather, they are a companion who supports their client with reproductive health related experiences. According to DONA International, birthing people who use doulas are less likely to have cesarean sections, make fewer requests for pain medications, report less anxiety, and overall have greater salinification</w:t>
      </w:r>
      <w:r>
        <w:rPr>
          <w:spacing w:val="-3"/>
          <w:vertAlign w:val="baseline"/>
        </w:rPr>
        <w:t> </w:t>
      </w:r>
      <w:r>
        <w:rPr>
          <w:vertAlign w:val="baseline"/>
        </w:rPr>
        <w:t>with</w:t>
      </w:r>
      <w:r>
        <w:rPr>
          <w:spacing w:val="-3"/>
          <w:vertAlign w:val="baseline"/>
        </w:rPr>
        <w:t> </w:t>
      </w:r>
      <w:r>
        <w:rPr>
          <w:vertAlign w:val="baseline"/>
        </w:rPr>
        <w:t>their</w:t>
      </w:r>
      <w:r>
        <w:rPr>
          <w:spacing w:val="-3"/>
          <w:vertAlign w:val="baseline"/>
        </w:rPr>
        <w:t> </w:t>
      </w:r>
      <w:r>
        <w:rPr>
          <w:vertAlign w:val="baseline"/>
        </w:rPr>
        <w:t>birth</w:t>
      </w:r>
      <w:r>
        <w:rPr>
          <w:spacing w:val="-4"/>
          <w:vertAlign w:val="baseline"/>
        </w:rPr>
        <w:t> </w:t>
      </w:r>
      <w:r>
        <w:rPr>
          <w:vertAlign w:val="baseline"/>
        </w:rPr>
        <w:t>experiences</w:t>
      </w:r>
      <w:hyperlink w:history="true" w:anchor="_bookmark248">
        <w:r>
          <w:rPr>
            <w:vertAlign w:val="baseline"/>
          </w:rPr>
          <w:t>.</w:t>
        </w:r>
        <w:r>
          <w:rPr>
            <w:vertAlign w:val="superscript"/>
          </w:rPr>
          <w:t>55</w:t>
        </w:r>
      </w:hyperlink>
      <w:r>
        <w:rPr>
          <w:spacing w:val="-4"/>
          <w:vertAlign w:val="baseline"/>
        </w:rPr>
        <w:t> </w:t>
      </w:r>
      <w:r>
        <w:rPr>
          <w:vertAlign w:val="baseline"/>
        </w:rPr>
        <w:t>Doulas</w:t>
      </w:r>
      <w:r>
        <w:rPr>
          <w:spacing w:val="-4"/>
          <w:vertAlign w:val="baseline"/>
        </w:rPr>
        <w:t> </w:t>
      </w:r>
      <w:r>
        <w:rPr>
          <w:vertAlign w:val="baseline"/>
        </w:rPr>
        <w:t>that</w:t>
      </w:r>
      <w:r>
        <w:rPr>
          <w:spacing w:val="-4"/>
          <w:vertAlign w:val="baseline"/>
        </w:rPr>
        <w:t> </w:t>
      </w:r>
      <w:r>
        <w:rPr>
          <w:vertAlign w:val="baseline"/>
        </w:rPr>
        <w:t>specialize</w:t>
      </w:r>
      <w:r>
        <w:rPr>
          <w:spacing w:val="-3"/>
          <w:vertAlign w:val="baseline"/>
        </w:rPr>
        <w:t> </w:t>
      </w:r>
      <w:r>
        <w:rPr>
          <w:vertAlign w:val="baseline"/>
        </w:rPr>
        <w:t>in</w:t>
      </w:r>
      <w:r>
        <w:rPr>
          <w:spacing w:val="-4"/>
          <w:vertAlign w:val="baseline"/>
        </w:rPr>
        <w:t> </w:t>
      </w:r>
      <w:r>
        <w:rPr>
          <w:vertAlign w:val="baseline"/>
        </w:rPr>
        <w:t>LGBTQ</w:t>
      </w:r>
      <w:r>
        <w:rPr>
          <w:spacing w:val="-4"/>
          <w:vertAlign w:val="baseline"/>
        </w:rPr>
        <w:t> </w:t>
      </w:r>
      <w:r>
        <w:rPr>
          <w:vertAlign w:val="baseline"/>
        </w:rPr>
        <w:t>issues</w:t>
      </w:r>
      <w:r>
        <w:rPr>
          <w:spacing w:val="-4"/>
          <w:vertAlign w:val="baseline"/>
        </w:rPr>
        <w:t> </w:t>
      </w:r>
      <w:r>
        <w:rPr>
          <w:vertAlign w:val="baseline"/>
        </w:rPr>
        <w:t>can</w:t>
      </w:r>
      <w:r>
        <w:rPr>
          <w:spacing w:val="-3"/>
          <w:vertAlign w:val="baseline"/>
        </w:rPr>
        <w:t> </w:t>
      </w:r>
      <w:r>
        <w:rPr>
          <w:vertAlign w:val="baseline"/>
        </w:rPr>
        <w:t>be</w:t>
      </w:r>
      <w:r>
        <w:rPr>
          <w:spacing w:val="-3"/>
          <w:vertAlign w:val="baseline"/>
        </w:rPr>
        <w:t> </w:t>
      </w:r>
      <w:r>
        <w:rPr>
          <w:vertAlign w:val="baseline"/>
        </w:rPr>
        <w:t>helpful</w:t>
      </w:r>
      <w:r>
        <w:rPr>
          <w:spacing w:val="-4"/>
          <w:vertAlign w:val="baseline"/>
        </w:rPr>
        <w:t> </w:t>
      </w:r>
      <w:r>
        <w:rPr>
          <w:vertAlign w:val="baseline"/>
        </w:rPr>
        <w:t>for</w:t>
      </w:r>
      <w:r>
        <w:rPr>
          <w:spacing w:val="-4"/>
          <w:vertAlign w:val="baseline"/>
        </w:rPr>
        <w:t> </w:t>
      </w:r>
      <w:r>
        <w:rPr>
          <w:vertAlign w:val="baseline"/>
        </w:rPr>
        <w:t>LGBTQ individuals who need support navigating a health care system that oftentimes may discriminate against them, mistreat them, and misgender them based on heteronormative societal ideals around birthing and parenting. </w:t>
      </w:r>
      <w:hyperlink w:history="true" w:anchor="_bookmark249">
        <w:r>
          <w:rPr>
            <w:vertAlign w:val="superscript"/>
          </w:rPr>
          <w:t>56</w:t>
        </w:r>
      </w:hyperlink>
      <w:r>
        <w:rPr>
          <w:vertAlign w:val="baseline"/>
        </w:rPr>
        <w:t> Doulas</w:t>
      </w:r>
      <w:r>
        <w:rPr>
          <w:spacing w:val="-1"/>
          <w:vertAlign w:val="baseline"/>
        </w:rPr>
        <w:t> </w:t>
      </w:r>
      <w:r>
        <w:rPr>
          <w:vertAlign w:val="baseline"/>
        </w:rPr>
        <w:t>can</w:t>
      </w:r>
      <w:r>
        <w:rPr>
          <w:spacing w:val="-1"/>
          <w:vertAlign w:val="baseline"/>
        </w:rPr>
        <w:t> </w:t>
      </w:r>
      <w:r>
        <w:rPr>
          <w:vertAlign w:val="baseline"/>
        </w:rPr>
        <w:t>also help</w:t>
      </w:r>
      <w:r>
        <w:rPr>
          <w:spacing w:val="-1"/>
          <w:vertAlign w:val="baseline"/>
        </w:rPr>
        <w:t> </w:t>
      </w:r>
      <w:r>
        <w:rPr>
          <w:vertAlign w:val="baseline"/>
        </w:rPr>
        <w:t>reduce</w:t>
      </w:r>
      <w:r>
        <w:rPr>
          <w:spacing w:val="-1"/>
          <w:vertAlign w:val="baseline"/>
        </w:rPr>
        <w:t> </w:t>
      </w:r>
      <w:r>
        <w:rPr>
          <w:vertAlign w:val="baseline"/>
        </w:rPr>
        <w:t>racial,</w:t>
      </w:r>
      <w:r>
        <w:rPr>
          <w:spacing w:val="-1"/>
          <w:vertAlign w:val="baseline"/>
        </w:rPr>
        <w:t> </w:t>
      </w:r>
      <w:r>
        <w:rPr>
          <w:vertAlign w:val="baseline"/>
        </w:rPr>
        <w:t>gender,</w:t>
      </w:r>
      <w:r>
        <w:rPr>
          <w:spacing w:val="-1"/>
          <w:vertAlign w:val="baseline"/>
        </w:rPr>
        <w:t> </w:t>
      </w:r>
      <w:r>
        <w:rPr>
          <w:vertAlign w:val="baseline"/>
        </w:rPr>
        <w:t>and</w:t>
      </w:r>
      <w:r>
        <w:rPr>
          <w:spacing w:val="-1"/>
          <w:vertAlign w:val="baseline"/>
        </w:rPr>
        <w:t> </w:t>
      </w:r>
      <w:r>
        <w:rPr>
          <w:vertAlign w:val="baseline"/>
        </w:rPr>
        <w:t>other health inequities</w:t>
      </w:r>
      <w:r>
        <w:rPr>
          <w:spacing w:val="-1"/>
          <w:vertAlign w:val="baseline"/>
        </w:rPr>
        <w:t> </w:t>
      </w:r>
      <w:r>
        <w:rPr>
          <w:vertAlign w:val="baseline"/>
        </w:rPr>
        <w:t>in health care</w:t>
      </w:r>
      <w:r>
        <w:rPr>
          <w:spacing w:val="-1"/>
          <w:vertAlign w:val="baseline"/>
        </w:rPr>
        <w:t> </w:t>
      </w:r>
      <w:r>
        <w:rPr>
          <w:vertAlign w:val="baseline"/>
        </w:rPr>
        <w:t>settings.</w:t>
      </w:r>
    </w:p>
    <w:p>
      <w:pPr>
        <w:pStyle w:val="BodyText"/>
        <w:spacing w:line="276" w:lineRule="auto" w:before="240"/>
        <w:ind w:left="463" w:right="243" w:hanging="1"/>
        <w:jc w:val="both"/>
      </w:pPr>
      <w:r>
        <w:rPr/>
        <w:t>Birth doulas are the most known type of doula but there are different types of doulas, many of which can be helpful for LGBTQ populations and youth who need support navigating the various stages of birthing experiences.</w:t>
      </w:r>
      <w:r>
        <w:rPr>
          <w:spacing w:val="-13"/>
        </w:rPr>
        <w:t> </w:t>
      </w:r>
      <w:r>
        <w:rPr/>
        <w:t>Transition</w:t>
      </w:r>
      <w:r>
        <w:rPr>
          <w:spacing w:val="-12"/>
        </w:rPr>
        <w:t> </w:t>
      </w:r>
      <w:r>
        <w:rPr/>
        <w:t>doulas</w:t>
      </w:r>
      <w:r>
        <w:rPr>
          <w:spacing w:val="-13"/>
        </w:rPr>
        <w:t> </w:t>
      </w:r>
      <w:r>
        <w:rPr/>
        <w:t>are</w:t>
      </w:r>
      <w:r>
        <w:rPr>
          <w:spacing w:val="-12"/>
        </w:rPr>
        <w:t> </w:t>
      </w:r>
      <w:r>
        <w:rPr/>
        <w:t>caregivers</w:t>
      </w:r>
      <w:r>
        <w:rPr>
          <w:spacing w:val="-13"/>
        </w:rPr>
        <w:t> </w:t>
      </w:r>
      <w:r>
        <w:rPr/>
        <w:t>for</w:t>
      </w:r>
      <w:r>
        <w:rPr>
          <w:spacing w:val="-12"/>
        </w:rPr>
        <w:t> </w:t>
      </w:r>
      <w:r>
        <w:rPr/>
        <w:t>clients</w:t>
      </w:r>
      <w:r>
        <w:rPr>
          <w:spacing w:val="-13"/>
        </w:rPr>
        <w:t> </w:t>
      </w:r>
      <w:r>
        <w:rPr/>
        <w:t>experiencing</w:t>
      </w:r>
      <w:r>
        <w:rPr>
          <w:spacing w:val="-12"/>
        </w:rPr>
        <w:t> </w:t>
      </w:r>
      <w:r>
        <w:rPr/>
        <w:t>the</w:t>
      </w:r>
      <w:r>
        <w:rPr>
          <w:spacing w:val="-12"/>
        </w:rPr>
        <w:t> </w:t>
      </w:r>
      <w:r>
        <w:rPr/>
        <w:t>wide</w:t>
      </w:r>
      <w:r>
        <w:rPr>
          <w:spacing w:val="-13"/>
        </w:rPr>
        <w:t> </w:t>
      </w:r>
      <w:r>
        <w:rPr/>
        <w:t>spectrum</w:t>
      </w:r>
      <w:r>
        <w:rPr>
          <w:spacing w:val="-12"/>
        </w:rPr>
        <w:t> </w:t>
      </w:r>
      <w:r>
        <w:rPr/>
        <w:t>of</w:t>
      </w:r>
      <w:r>
        <w:rPr>
          <w:spacing w:val="-13"/>
        </w:rPr>
        <w:t> </w:t>
      </w:r>
      <w:r>
        <w:rPr/>
        <w:t>gender-affirming</w:t>
      </w:r>
    </w:p>
    <w:p>
      <w:pPr>
        <w:spacing w:after="0" w:line="276" w:lineRule="auto"/>
        <w:jc w:val="both"/>
        <w:sectPr>
          <w:pgSz w:w="12240" w:h="15840"/>
          <w:pgMar w:header="800" w:footer="1530" w:top="1080" w:bottom="1760" w:left="980" w:right="1000"/>
        </w:sectPr>
      </w:pPr>
    </w:p>
    <w:p>
      <w:pPr>
        <w:pStyle w:val="BodyText"/>
        <w:spacing w:line="276" w:lineRule="auto" w:before="69"/>
        <w:ind w:left="463" w:right="243"/>
        <w:jc w:val="both"/>
      </w:pPr>
      <w:r>
        <w:rPr/>
        <w:t>transitions. They may provide resources and referrals centered around LGBTQ healthcare, support clients receiving hormone shots, and provide compassionate trauma-informed wellness and support. Abortion doulas can also be helpful for LGBTQ youth who need support navigating the experience of getting an </w:t>
      </w:r>
      <w:r>
        <w:rPr>
          <w:spacing w:val="-2"/>
        </w:rPr>
        <w:t>abortion.</w:t>
      </w:r>
    </w:p>
    <w:p>
      <w:pPr>
        <w:pStyle w:val="BodyText"/>
        <w:spacing w:line="276" w:lineRule="auto" w:before="240"/>
        <w:ind w:left="463" w:right="241"/>
        <w:jc w:val="both"/>
      </w:pPr>
      <w:r>
        <w:rPr>
          <w:i/>
        </w:rPr>
        <w:t>An</w:t>
      </w:r>
      <w:r>
        <w:rPr>
          <w:i/>
          <w:spacing w:val="-3"/>
        </w:rPr>
        <w:t> </w:t>
      </w:r>
      <w:r>
        <w:rPr>
          <w:i/>
        </w:rPr>
        <w:t>Act</w:t>
      </w:r>
      <w:r>
        <w:rPr>
          <w:i/>
          <w:spacing w:val="-2"/>
        </w:rPr>
        <w:t> </w:t>
      </w:r>
      <w:r>
        <w:rPr>
          <w:i/>
        </w:rPr>
        <w:t>Relative</w:t>
      </w:r>
      <w:r>
        <w:rPr>
          <w:i/>
          <w:spacing w:val="-4"/>
        </w:rPr>
        <w:t> </w:t>
      </w:r>
      <w:r>
        <w:rPr>
          <w:i/>
        </w:rPr>
        <w:t>to</w:t>
      </w:r>
      <w:r>
        <w:rPr>
          <w:i/>
          <w:spacing w:val="-3"/>
        </w:rPr>
        <w:t> </w:t>
      </w:r>
      <w:r>
        <w:rPr>
          <w:i/>
        </w:rPr>
        <w:t>Medicaid</w:t>
      </w:r>
      <w:r>
        <w:rPr>
          <w:i/>
          <w:spacing w:val="-3"/>
        </w:rPr>
        <w:t> </w:t>
      </w:r>
      <w:r>
        <w:rPr>
          <w:i/>
        </w:rPr>
        <w:t>Coverage</w:t>
      </w:r>
      <w:r>
        <w:rPr>
          <w:i/>
          <w:spacing w:val="-4"/>
        </w:rPr>
        <w:t> </w:t>
      </w:r>
      <w:r>
        <w:rPr>
          <w:i/>
        </w:rPr>
        <w:t>for</w:t>
      </w:r>
      <w:r>
        <w:rPr>
          <w:i/>
          <w:spacing w:val="-3"/>
        </w:rPr>
        <w:t> </w:t>
      </w:r>
      <w:r>
        <w:rPr>
          <w:i/>
        </w:rPr>
        <w:t>Doula</w:t>
      </w:r>
      <w:r>
        <w:rPr>
          <w:i/>
          <w:spacing w:val="-3"/>
        </w:rPr>
        <w:t> </w:t>
      </w:r>
      <w:r>
        <w:rPr>
          <w:i/>
        </w:rPr>
        <w:t>Services</w:t>
      </w:r>
      <w:r>
        <w:rPr>
          <w:i/>
          <w:spacing w:val="-2"/>
        </w:rPr>
        <w:t> </w:t>
      </w:r>
      <w:hyperlink r:id="rId317">
        <w:r>
          <w:rPr/>
          <w:t>(</w:t>
        </w:r>
      </w:hyperlink>
      <w:hyperlink r:id="rId317">
        <w:r>
          <w:rPr>
            <w:b/>
            <w:color w:val="1153CC"/>
            <w:u w:val="single" w:color="1153CC"/>
          </w:rPr>
          <w:t>S.782</w:t>
        </w:r>
      </w:hyperlink>
      <w:r>
        <w:rPr>
          <w:b/>
          <w:u w:val="none"/>
        </w:rPr>
        <w:t>/</w:t>
      </w:r>
      <w:hyperlink r:id="rId318">
        <w:r>
          <w:rPr>
            <w:b/>
            <w:color w:val="1153CC"/>
            <w:u w:val="single" w:color="1153CC"/>
          </w:rPr>
          <w:t>H.1240</w:t>
        </w:r>
      </w:hyperlink>
      <w:r>
        <w:rPr>
          <w:u w:val="none"/>
        </w:rPr>
        <w:t>)</w:t>
      </w:r>
      <w:r>
        <w:rPr>
          <w:spacing w:val="-2"/>
          <w:u w:val="none"/>
        </w:rPr>
        <w:t> </w:t>
      </w:r>
      <w:r>
        <w:rPr>
          <w:u w:val="none"/>
        </w:rPr>
        <w:t>was</w:t>
      </w:r>
      <w:r>
        <w:rPr>
          <w:spacing w:val="-3"/>
          <w:u w:val="none"/>
        </w:rPr>
        <w:t> </w:t>
      </w:r>
      <w:r>
        <w:rPr>
          <w:u w:val="none"/>
        </w:rPr>
        <w:t>initially</w:t>
      </w:r>
      <w:r>
        <w:rPr>
          <w:spacing w:val="-3"/>
          <w:u w:val="none"/>
        </w:rPr>
        <w:t> </w:t>
      </w:r>
      <w:r>
        <w:rPr>
          <w:u w:val="none"/>
        </w:rPr>
        <w:t>proposed</w:t>
      </w:r>
      <w:r>
        <w:rPr>
          <w:spacing w:val="-3"/>
          <w:u w:val="none"/>
        </w:rPr>
        <w:t> </w:t>
      </w:r>
      <w:r>
        <w:rPr>
          <w:u w:val="none"/>
        </w:rPr>
        <w:t>in</w:t>
      </w:r>
      <w:r>
        <w:rPr>
          <w:spacing w:val="-2"/>
          <w:u w:val="none"/>
        </w:rPr>
        <w:t> </w:t>
      </w:r>
      <w:r>
        <w:rPr>
          <w:u w:val="none"/>
        </w:rPr>
        <w:t>2019,</w:t>
      </w:r>
      <w:r>
        <w:rPr>
          <w:spacing w:val="-3"/>
          <w:u w:val="none"/>
        </w:rPr>
        <w:t> </w:t>
      </w:r>
      <w:r>
        <w:rPr>
          <w:u w:val="none"/>
        </w:rPr>
        <w:t>and during the 2023-2024 Massachusetts legislative session was re-introduced; this bill would require MassHealth to provide coverage for doula services, which are services typically paid for out-of-pocket. Additionally, the bill would also produce a Doula Care Advisory Commission which would handle many of the administrative aspects of implementation. If Massachusetts accomplishes implementing MassHealth coverage for doula services, the state would join alongside other states who have their state Medicaid services cover doula services, such as California, whose Medicaid program made doula services free for Medi-Cal</w:t>
      </w:r>
      <w:r>
        <w:rPr>
          <w:spacing w:val="-3"/>
          <w:u w:val="none"/>
        </w:rPr>
        <w:t> </w:t>
      </w:r>
      <w:r>
        <w:rPr>
          <w:u w:val="none"/>
        </w:rPr>
        <w:t>recipients</w:t>
      </w:r>
      <w:r>
        <w:rPr>
          <w:spacing w:val="-1"/>
          <w:u w:val="none"/>
        </w:rPr>
        <w:t> </w:t>
      </w:r>
      <w:r>
        <w:rPr>
          <w:u w:val="none"/>
        </w:rPr>
        <w:t>in</w:t>
      </w:r>
      <w:r>
        <w:rPr>
          <w:spacing w:val="-1"/>
          <w:u w:val="none"/>
        </w:rPr>
        <w:t> </w:t>
      </w:r>
      <w:r>
        <w:rPr>
          <w:u w:val="none"/>
        </w:rPr>
        <w:t>January</w:t>
      </w:r>
      <w:r>
        <w:rPr>
          <w:spacing w:val="-3"/>
          <w:u w:val="none"/>
        </w:rPr>
        <w:t> </w:t>
      </w:r>
      <w:r>
        <w:rPr>
          <w:u w:val="none"/>
        </w:rPr>
        <w:t>2023,</w:t>
      </w:r>
      <w:r>
        <w:rPr>
          <w:spacing w:val="-3"/>
          <w:u w:val="none"/>
        </w:rPr>
        <w:t> </w:t>
      </w:r>
      <w:hyperlink w:history="true" w:anchor="_bookmark250">
        <w:r>
          <w:rPr>
            <w:u w:val="none"/>
            <w:vertAlign w:val="superscript"/>
          </w:rPr>
          <w:t>57</w:t>
        </w:r>
      </w:hyperlink>
      <w:r>
        <w:rPr>
          <w:spacing w:val="-2"/>
          <w:u w:val="none"/>
          <w:vertAlign w:val="baseline"/>
        </w:rPr>
        <w:t> </w:t>
      </w:r>
      <w:r>
        <w:rPr>
          <w:u w:val="none"/>
          <w:vertAlign w:val="baseline"/>
        </w:rPr>
        <w:t>and</w:t>
      </w:r>
      <w:r>
        <w:rPr>
          <w:spacing w:val="-2"/>
          <w:u w:val="none"/>
          <w:vertAlign w:val="baseline"/>
        </w:rPr>
        <w:t> </w:t>
      </w:r>
      <w:r>
        <w:rPr>
          <w:u w:val="none"/>
          <w:vertAlign w:val="baseline"/>
        </w:rPr>
        <w:t>Oregon</w:t>
      </w:r>
      <w:r>
        <w:rPr>
          <w:spacing w:val="-2"/>
          <w:u w:val="none"/>
          <w:vertAlign w:val="baseline"/>
        </w:rPr>
        <w:t> </w:t>
      </w:r>
      <w:r>
        <w:rPr>
          <w:u w:val="none"/>
          <w:vertAlign w:val="baseline"/>
        </w:rPr>
        <w:t>and</w:t>
      </w:r>
      <w:r>
        <w:rPr>
          <w:spacing w:val="-3"/>
          <w:u w:val="none"/>
          <w:vertAlign w:val="baseline"/>
        </w:rPr>
        <w:t> </w:t>
      </w:r>
      <w:r>
        <w:rPr>
          <w:u w:val="none"/>
          <w:vertAlign w:val="baseline"/>
        </w:rPr>
        <w:t>Minnesota</w:t>
      </w:r>
      <w:r>
        <w:rPr>
          <w:spacing w:val="-1"/>
          <w:u w:val="none"/>
          <w:vertAlign w:val="baseline"/>
        </w:rPr>
        <w:t> </w:t>
      </w:r>
      <w:r>
        <w:rPr>
          <w:u w:val="none"/>
          <w:vertAlign w:val="baseline"/>
        </w:rPr>
        <w:t>which</w:t>
      </w:r>
      <w:r>
        <w:rPr>
          <w:spacing w:val="-2"/>
          <w:u w:val="none"/>
          <w:vertAlign w:val="baseline"/>
        </w:rPr>
        <w:t> </w:t>
      </w:r>
      <w:r>
        <w:rPr>
          <w:u w:val="none"/>
          <w:vertAlign w:val="baseline"/>
        </w:rPr>
        <w:t>both</w:t>
      </w:r>
      <w:r>
        <w:rPr>
          <w:spacing w:val="-2"/>
          <w:u w:val="none"/>
          <w:vertAlign w:val="baseline"/>
        </w:rPr>
        <w:t> </w:t>
      </w:r>
      <w:r>
        <w:rPr>
          <w:u w:val="none"/>
          <w:vertAlign w:val="baseline"/>
        </w:rPr>
        <w:t>have</w:t>
      </w:r>
      <w:r>
        <w:rPr>
          <w:spacing w:val="-3"/>
          <w:u w:val="none"/>
          <w:vertAlign w:val="baseline"/>
        </w:rPr>
        <w:t> </w:t>
      </w:r>
      <w:r>
        <w:rPr>
          <w:u w:val="none"/>
          <w:vertAlign w:val="baseline"/>
        </w:rPr>
        <w:t>legislation</w:t>
      </w:r>
      <w:r>
        <w:rPr>
          <w:spacing w:val="-2"/>
          <w:u w:val="none"/>
          <w:vertAlign w:val="baseline"/>
        </w:rPr>
        <w:t> </w:t>
      </w:r>
      <w:r>
        <w:rPr>
          <w:u w:val="none"/>
          <w:vertAlign w:val="baseline"/>
        </w:rPr>
        <w:t>that</w:t>
      </w:r>
      <w:r>
        <w:rPr>
          <w:spacing w:val="-2"/>
          <w:u w:val="none"/>
          <w:vertAlign w:val="baseline"/>
        </w:rPr>
        <w:t> </w:t>
      </w:r>
      <w:r>
        <w:rPr>
          <w:u w:val="none"/>
          <w:vertAlign w:val="baseline"/>
        </w:rPr>
        <w:t>require their Medicaid programs to cover doula services</w:t>
      </w:r>
      <w:hyperlink w:history="true" w:anchor="_bookmark251">
        <w:r>
          <w:rPr>
            <w:u w:val="none"/>
            <w:vertAlign w:val="baseline"/>
          </w:rPr>
          <w:t>.</w:t>
        </w:r>
        <w:r>
          <w:rPr>
            <w:u w:val="none"/>
            <w:vertAlign w:val="superscript"/>
          </w:rPr>
          <w:t>58</w:t>
        </w:r>
      </w:hyperlink>
    </w:p>
    <w:p>
      <w:pPr>
        <w:pStyle w:val="BodyText"/>
        <w:spacing w:line="276" w:lineRule="auto" w:before="240"/>
        <w:ind w:left="5143" w:right="242"/>
        <w:jc w:val="both"/>
      </w:pPr>
      <w:r>
        <w:rPr/>
        <w:drawing>
          <wp:anchor distT="0" distB="0" distL="0" distR="0" allowOverlap="1" layoutInCell="1" locked="0" behindDoc="0" simplePos="0" relativeHeight="15780352">
            <wp:simplePos x="0" y="0"/>
            <wp:positionH relativeFrom="page">
              <wp:posOffset>825500</wp:posOffset>
            </wp:positionH>
            <wp:positionV relativeFrom="paragraph">
              <wp:posOffset>348353</wp:posOffset>
            </wp:positionV>
            <wp:extent cx="2971393" cy="1883409"/>
            <wp:effectExtent l="0" t="0" r="0" b="0"/>
            <wp:wrapNone/>
            <wp:docPr id="295" name="Image 295"/>
            <wp:cNvGraphicFramePr>
              <a:graphicFrameLocks/>
            </wp:cNvGraphicFramePr>
            <a:graphic>
              <a:graphicData uri="http://schemas.openxmlformats.org/drawingml/2006/picture">
                <pic:pic>
                  <pic:nvPicPr>
                    <pic:cNvPr id="295" name="Image 295"/>
                    <pic:cNvPicPr/>
                  </pic:nvPicPr>
                  <pic:blipFill>
                    <a:blip r:embed="rId319" cstate="print"/>
                    <a:stretch>
                      <a:fillRect/>
                    </a:stretch>
                  </pic:blipFill>
                  <pic:spPr>
                    <a:xfrm>
                      <a:off x="0" y="0"/>
                      <a:ext cx="2971393" cy="1883409"/>
                    </a:xfrm>
                    <a:prstGeom prst="rect">
                      <a:avLst/>
                    </a:prstGeom>
                  </pic:spPr>
                </pic:pic>
              </a:graphicData>
            </a:graphic>
          </wp:anchor>
        </w:drawing>
      </w:r>
      <w:r>
        <w:rPr/>
        <w:t>Although legislation requiring Medicaid-provided doulas services has not passed into law yet, Massachusetts</w:t>
      </w:r>
      <w:r>
        <w:rPr>
          <w:spacing w:val="-3"/>
        </w:rPr>
        <w:t> </w:t>
      </w:r>
      <w:r>
        <w:rPr/>
        <w:t>is</w:t>
      </w:r>
      <w:r>
        <w:rPr>
          <w:spacing w:val="-3"/>
        </w:rPr>
        <w:t> </w:t>
      </w:r>
      <w:r>
        <w:rPr/>
        <w:t>making</w:t>
      </w:r>
      <w:r>
        <w:rPr>
          <w:spacing w:val="-4"/>
        </w:rPr>
        <w:t> </w:t>
      </w:r>
      <w:r>
        <w:rPr/>
        <w:t>the</w:t>
      </w:r>
      <w:r>
        <w:rPr>
          <w:spacing w:val="-4"/>
        </w:rPr>
        <w:t> </w:t>
      </w:r>
      <w:r>
        <w:rPr/>
        <w:t>effort</w:t>
      </w:r>
      <w:r>
        <w:rPr>
          <w:spacing w:val="-4"/>
        </w:rPr>
        <w:t> </w:t>
      </w:r>
      <w:r>
        <w:rPr/>
        <w:t>to</w:t>
      </w:r>
      <w:r>
        <w:rPr>
          <w:spacing w:val="-2"/>
        </w:rPr>
        <w:t> </w:t>
      </w:r>
      <w:r>
        <w:rPr/>
        <w:t>build</w:t>
      </w:r>
      <w:r>
        <w:rPr>
          <w:spacing w:val="-4"/>
        </w:rPr>
        <w:t> </w:t>
      </w:r>
      <w:r>
        <w:rPr/>
        <w:t>awareness for doula services and how they can benefit low- income, BIPOC communities. The Birth Equity and Support through the Inclusion of Doula Expertise (BESIDE) Investment Program, offered by the Massachusetts Health Policy Commission, seeks to address inequities in maternal health outcomes and improve the care and patient experience of Black birthing people by increasing access to doula </w:t>
      </w:r>
      <w:r>
        <w:rPr>
          <w:spacing w:val="-2"/>
        </w:rPr>
        <w:t>services</w:t>
      </w:r>
      <w:hyperlink w:history="true" w:anchor="_bookmark252">
        <w:r>
          <w:rPr>
            <w:spacing w:val="-2"/>
          </w:rPr>
          <w:t>.</w:t>
        </w:r>
        <w:r>
          <w:rPr>
            <w:spacing w:val="-2"/>
            <w:vertAlign w:val="superscript"/>
          </w:rPr>
          <w:t>59</w:t>
        </w:r>
      </w:hyperlink>
    </w:p>
    <w:p>
      <w:pPr>
        <w:pStyle w:val="BodyText"/>
        <w:spacing w:line="276" w:lineRule="auto" w:before="239"/>
        <w:ind w:left="463" w:right="240"/>
        <w:jc w:val="both"/>
      </w:pPr>
      <w:r>
        <w:rPr/>
        <w:t>Of the over 400 birth centers in the United States, there is only one community birthing center in Massachusetts. The Commonwealth and the Department of Public Health should work to invest and grant funding for community birthing centers, especially LGBTQ-friendly and gender affirming birthing centers. Birthing centers with both midwifery services and doula services could create better pregnancy outcomes and birthing experiences for LGBTQ youth, especially transgender birthing people who are more likely to choose</w:t>
      </w:r>
      <w:r>
        <w:rPr>
          <w:spacing w:val="-1"/>
        </w:rPr>
        <w:t> </w:t>
      </w:r>
      <w:r>
        <w:rPr/>
        <w:t>alternative</w:t>
      </w:r>
      <w:r>
        <w:rPr>
          <w:spacing w:val="-1"/>
        </w:rPr>
        <w:t> </w:t>
      </w:r>
      <w:r>
        <w:rPr/>
        <w:t>settings for birthing to avoid</w:t>
      </w:r>
      <w:r>
        <w:rPr>
          <w:spacing w:val="-1"/>
        </w:rPr>
        <w:t> </w:t>
      </w:r>
      <w:r>
        <w:rPr/>
        <w:t>harassment</w:t>
      </w:r>
      <w:r>
        <w:rPr>
          <w:spacing w:val="-1"/>
        </w:rPr>
        <w:t> </w:t>
      </w:r>
      <w:r>
        <w:rPr/>
        <w:t>and</w:t>
      </w:r>
      <w:r>
        <w:rPr>
          <w:spacing w:val="-1"/>
        </w:rPr>
        <w:t> </w:t>
      </w:r>
      <w:r>
        <w:rPr/>
        <w:t>discrimination from</w:t>
      </w:r>
      <w:r>
        <w:rPr>
          <w:spacing w:val="-1"/>
        </w:rPr>
        <w:t> </w:t>
      </w:r>
      <w:r>
        <w:rPr/>
        <w:t>medical</w:t>
      </w:r>
      <w:r>
        <w:rPr>
          <w:spacing w:val="-1"/>
        </w:rPr>
        <w:t> </w:t>
      </w:r>
      <w:r>
        <w:rPr/>
        <w:t>facilities who may not have effective LGBTQ training for healthcare providers</w:t>
      </w:r>
      <w:hyperlink w:history="true" w:anchor="_bookmark253">
        <w:r>
          <w:rPr/>
          <w:t>.</w:t>
        </w:r>
        <w:r>
          <w:rPr>
            <w:vertAlign w:val="superscript"/>
          </w:rPr>
          <w:t>60</w:t>
        </w:r>
      </w:hyperlink>
      <w:r>
        <w:rPr>
          <w:vertAlign w:val="baseline"/>
        </w:rPr>
        <w:t> Aside from birthing doulas, abortion doulas and gender doulas can alleviate health inequity outcomes and aid LGBTQ youth with navigating the healthcare system when seeking pregnancy and gynecological healthcare. The MA Department of Public Health should consider implementing pilot programs for gender doulas that can provide guidance and support for LGBTQ youth seeking gynecological healthcare, thus reducing gender dysphoria.</w:t>
      </w:r>
    </w:p>
    <w:p>
      <w:pPr>
        <w:spacing w:after="0" w:line="276" w:lineRule="auto"/>
        <w:jc w:val="both"/>
        <w:sectPr>
          <w:pgSz w:w="12240" w:h="15840"/>
          <w:pgMar w:header="800" w:footer="1530" w:top="1080" w:bottom="1760" w:left="980" w:right="1000"/>
        </w:sectPr>
      </w:pPr>
    </w:p>
    <w:p>
      <w:pPr>
        <w:spacing w:before="68"/>
        <w:ind w:left="463" w:right="0" w:firstLine="0"/>
        <w:jc w:val="both"/>
        <w:rPr>
          <w:sz w:val="28"/>
        </w:rPr>
      </w:pPr>
      <w:bookmarkStart w:name="Maternity Leave" w:id="379"/>
      <w:bookmarkEnd w:id="379"/>
      <w:r>
        <w:rPr/>
      </w:r>
      <w:r>
        <w:rPr>
          <w:color w:val="365F91"/>
          <w:sz w:val="28"/>
        </w:rPr>
        <w:t>Maternity</w:t>
      </w:r>
      <w:r>
        <w:rPr>
          <w:color w:val="365F91"/>
          <w:spacing w:val="-15"/>
          <w:sz w:val="28"/>
        </w:rPr>
        <w:t> </w:t>
      </w:r>
      <w:r>
        <w:rPr>
          <w:color w:val="365F91"/>
          <w:spacing w:val="-2"/>
          <w:sz w:val="28"/>
        </w:rPr>
        <w:t>Leave</w:t>
      </w:r>
    </w:p>
    <w:p>
      <w:pPr>
        <w:pStyle w:val="BodyText"/>
        <w:spacing w:line="276" w:lineRule="auto" w:before="292"/>
        <w:ind w:left="463" w:right="239"/>
        <w:jc w:val="both"/>
      </w:pPr>
      <w:r>
        <w:rPr/>
        <w:t>The</w:t>
      </w:r>
      <w:r>
        <w:rPr>
          <w:spacing w:val="-6"/>
        </w:rPr>
        <w:t> </w:t>
      </w:r>
      <w:r>
        <w:rPr/>
        <w:t>United</w:t>
      </w:r>
      <w:r>
        <w:rPr>
          <w:spacing w:val="-6"/>
        </w:rPr>
        <w:t> </w:t>
      </w:r>
      <w:r>
        <w:rPr/>
        <w:t>States</w:t>
      </w:r>
      <w:r>
        <w:rPr>
          <w:spacing w:val="-6"/>
        </w:rPr>
        <w:t> </w:t>
      </w:r>
      <w:r>
        <w:rPr/>
        <w:t>is</w:t>
      </w:r>
      <w:r>
        <w:rPr>
          <w:spacing w:val="-6"/>
        </w:rPr>
        <w:t> </w:t>
      </w:r>
      <w:r>
        <w:rPr/>
        <w:t>one</w:t>
      </w:r>
      <w:r>
        <w:rPr>
          <w:spacing w:val="-7"/>
        </w:rPr>
        <w:t> </w:t>
      </w:r>
      <w:r>
        <w:rPr/>
        <w:t>of</w:t>
      </w:r>
      <w:r>
        <w:rPr>
          <w:spacing w:val="-6"/>
        </w:rPr>
        <w:t> </w:t>
      </w:r>
      <w:r>
        <w:rPr/>
        <w:t>the</w:t>
      </w:r>
      <w:r>
        <w:rPr>
          <w:spacing w:val="-7"/>
        </w:rPr>
        <w:t> </w:t>
      </w:r>
      <w:r>
        <w:rPr/>
        <w:t>few</w:t>
      </w:r>
      <w:r>
        <w:rPr>
          <w:spacing w:val="-6"/>
        </w:rPr>
        <w:t> </w:t>
      </w:r>
      <w:r>
        <w:rPr/>
        <w:t>industrialized</w:t>
      </w:r>
      <w:r>
        <w:rPr>
          <w:spacing w:val="-6"/>
        </w:rPr>
        <w:t> </w:t>
      </w:r>
      <w:r>
        <w:rPr/>
        <w:t>nations</w:t>
      </w:r>
      <w:r>
        <w:rPr>
          <w:spacing w:val="-6"/>
        </w:rPr>
        <w:t> </w:t>
      </w:r>
      <w:r>
        <w:rPr/>
        <w:t>without</w:t>
      </w:r>
      <w:r>
        <w:rPr>
          <w:spacing w:val="-7"/>
        </w:rPr>
        <w:t> </w:t>
      </w:r>
      <w:r>
        <w:rPr/>
        <w:t>federally</w:t>
      </w:r>
      <w:r>
        <w:rPr>
          <w:spacing w:val="-6"/>
        </w:rPr>
        <w:t> </w:t>
      </w:r>
      <w:r>
        <w:rPr/>
        <w:t>paid</w:t>
      </w:r>
      <w:r>
        <w:rPr>
          <w:spacing w:val="-5"/>
        </w:rPr>
        <w:t> </w:t>
      </w:r>
      <w:r>
        <w:rPr/>
        <w:t>maternity</w:t>
      </w:r>
      <w:r>
        <w:rPr>
          <w:spacing w:val="-6"/>
        </w:rPr>
        <w:t> </w:t>
      </w:r>
      <w:r>
        <w:rPr/>
        <w:t>leave.</w:t>
      </w:r>
      <w:r>
        <w:rPr>
          <w:spacing w:val="-7"/>
        </w:rPr>
        <w:t> </w:t>
      </w:r>
      <w:r>
        <w:rPr/>
        <w:t>Compared to other countries, the U.S. offers unpaid, job-protected leave for only 12 weeks through the Family and Medical Leave Act. A number of states, including Massachusetts, have their own paid family and parental leave</w:t>
      </w:r>
      <w:r>
        <w:rPr>
          <w:spacing w:val="-11"/>
        </w:rPr>
        <w:t> </w:t>
      </w:r>
      <w:r>
        <w:rPr/>
        <w:t>programs.</w:t>
      </w:r>
      <w:r>
        <w:rPr>
          <w:spacing w:val="-12"/>
        </w:rPr>
        <w:t> </w:t>
      </w:r>
      <w:r>
        <w:rPr/>
        <w:t>The</w:t>
      </w:r>
      <w:r>
        <w:rPr>
          <w:spacing w:val="-11"/>
        </w:rPr>
        <w:t> </w:t>
      </w:r>
      <w:r>
        <w:rPr/>
        <w:t>Paid</w:t>
      </w:r>
      <w:r>
        <w:rPr>
          <w:spacing w:val="-10"/>
        </w:rPr>
        <w:t> </w:t>
      </w:r>
      <w:r>
        <w:rPr/>
        <w:t>Family</w:t>
      </w:r>
      <w:r>
        <w:rPr>
          <w:spacing w:val="-11"/>
        </w:rPr>
        <w:t> </w:t>
      </w:r>
      <w:r>
        <w:rPr/>
        <w:t>and</w:t>
      </w:r>
      <w:r>
        <w:rPr>
          <w:spacing w:val="-11"/>
        </w:rPr>
        <w:t> </w:t>
      </w:r>
      <w:r>
        <w:rPr/>
        <w:t>Medical</w:t>
      </w:r>
      <w:r>
        <w:rPr>
          <w:spacing w:val="-11"/>
        </w:rPr>
        <w:t> </w:t>
      </w:r>
      <w:r>
        <w:rPr/>
        <w:t>Leave</w:t>
      </w:r>
      <w:r>
        <w:rPr>
          <w:spacing w:val="-11"/>
        </w:rPr>
        <w:t> </w:t>
      </w:r>
      <w:r>
        <w:rPr/>
        <w:t>(PFML)</w:t>
      </w:r>
      <w:r>
        <w:rPr>
          <w:spacing w:val="-11"/>
        </w:rPr>
        <w:t> </w:t>
      </w:r>
      <w:r>
        <w:rPr/>
        <w:t>program</w:t>
      </w:r>
      <w:r>
        <w:rPr>
          <w:spacing w:val="-12"/>
        </w:rPr>
        <w:t> </w:t>
      </w:r>
      <w:r>
        <w:rPr/>
        <w:t>in</w:t>
      </w:r>
      <w:r>
        <w:rPr>
          <w:spacing w:val="-11"/>
        </w:rPr>
        <w:t> </w:t>
      </w:r>
      <w:r>
        <w:rPr/>
        <w:t>Massachusetts</w:t>
      </w:r>
      <w:r>
        <w:rPr>
          <w:spacing w:val="-11"/>
        </w:rPr>
        <w:t> </w:t>
      </w:r>
      <w:r>
        <w:rPr/>
        <w:t>is</w:t>
      </w:r>
      <w:r>
        <w:rPr>
          <w:spacing w:val="-11"/>
        </w:rPr>
        <w:t> </w:t>
      </w:r>
      <w:r>
        <w:rPr/>
        <w:t>a</w:t>
      </w:r>
      <w:r>
        <w:rPr>
          <w:spacing w:val="-11"/>
        </w:rPr>
        <w:t> </w:t>
      </w:r>
      <w:r>
        <w:rPr/>
        <w:t>program</w:t>
      </w:r>
      <w:r>
        <w:rPr>
          <w:spacing w:val="-12"/>
        </w:rPr>
        <w:t> </w:t>
      </w:r>
      <w:r>
        <w:rPr/>
        <w:t>different from</w:t>
      </w:r>
      <w:r>
        <w:rPr>
          <w:spacing w:val="-3"/>
        </w:rPr>
        <w:t> </w:t>
      </w:r>
      <w:r>
        <w:rPr/>
        <w:t>the</w:t>
      </w:r>
      <w:r>
        <w:rPr>
          <w:spacing w:val="-2"/>
        </w:rPr>
        <w:t> </w:t>
      </w:r>
      <w:r>
        <w:rPr/>
        <w:t>Family</w:t>
      </w:r>
      <w:r>
        <w:rPr>
          <w:spacing w:val="-3"/>
        </w:rPr>
        <w:t> </w:t>
      </w:r>
      <w:r>
        <w:rPr/>
        <w:t>and</w:t>
      </w:r>
      <w:r>
        <w:rPr>
          <w:spacing w:val="-2"/>
        </w:rPr>
        <w:t> </w:t>
      </w:r>
      <w:r>
        <w:rPr/>
        <w:t>Medical</w:t>
      </w:r>
      <w:r>
        <w:rPr>
          <w:spacing w:val="-3"/>
        </w:rPr>
        <w:t> </w:t>
      </w:r>
      <w:r>
        <w:rPr/>
        <w:t>Leave</w:t>
      </w:r>
      <w:r>
        <w:rPr>
          <w:spacing w:val="-2"/>
        </w:rPr>
        <w:t> </w:t>
      </w:r>
      <w:r>
        <w:rPr/>
        <w:t>Act</w:t>
      </w:r>
      <w:r>
        <w:rPr>
          <w:spacing w:val="-2"/>
        </w:rPr>
        <w:t> </w:t>
      </w:r>
      <w:r>
        <w:rPr/>
        <w:t>and</w:t>
      </w:r>
      <w:r>
        <w:rPr>
          <w:spacing w:val="-2"/>
        </w:rPr>
        <w:t> </w:t>
      </w:r>
      <w:r>
        <w:rPr/>
        <w:t>is</w:t>
      </w:r>
      <w:r>
        <w:rPr>
          <w:spacing w:val="-3"/>
        </w:rPr>
        <w:t> </w:t>
      </w:r>
      <w:r>
        <w:rPr/>
        <w:t>funded</w:t>
      </w:r>
      <w:r>
        <w:rPr>
          <w:spacing w:val="-2"/>
        </w:rPr>
        <w:t> </w:t>
      </w:r>
      <w:r>
        <w:rPr/>
        <w:t>through</w:t>
      </w:r>
      <w:r>
        <w:rPr>
          <w:spacing w:val="-2"/>
        </w:rPr>
        <w:t> </w:t>
      </w:r>
      <w:r>
        <w:rPr/>
        <w:t>employer</w:t>
      </w:r>
      <w:r>
        <w:rPr>
          <w:spacing w:val="-3"/>
        </w:rPr>
        <w:t> </w:t>
      </w:r>
      <w:r>
        <w:rPr/>
        <w:t>and</w:t>
      </w:r>
      <w:r>
        <w:rPr>
          <w:spacing w:val="-2"/>
        </w:rPr>
        <w:t> </w:t>
      </w:r>
      <w:r>
        <w:rPr/>
        <w:t>employee</w:t>
      </w:r>
      <w:r>
        <w:rPr>
          <w:spacing w:val="-2"/>
        </w:rPr>
        <w:t> </w:t>
      </w:r>
      <w:r>
        <w:rPr/>
        <w:t>contributions.</w:t>
      </w:r>
      <w:r>
        <w:rPr>
          <w:spacing w:val="-2"/>
        </w:rPr>
        <w:t> </w:t>
      </w:r>
      <w:r>
        <w:rPr/>
        <w:t>Most Massachusetts</w:t>
      </w:r>
      <w:r>
        <w:rPr>
          <w:spacing w:val="-4"/>
        </w:rPr>
        <w:t> </w:t>
      </w:r>
      <w:r>
        <w:rPr/>
        <w:t>employees</w:t>
      </w:r>
      <w:r>
        <w:rPr>
          <w:spacing w:val="-2"/>
        </w:rPr>
        <w:t> </w:t>
      </w:r>
      <w:r>
        <w:rPr/>
        <w:t>are</w:t>
      </w:r>
      <w:r>
        <w:rPr>
          <w:spacing w:val="-3"/>
        </w:rPr>
        <w:t> </w:t>
      </w:r>
      <w:r>
        <w:rPr/>
        <w:t>eligible</w:t>
      </w:r>
      <w:r>
        <w:rPr>
          <w:spacing w:val="-4"/>
        </w:rPr>
        <w:t> </w:t>
      </w:r>
      <w:r>
        <w:rPr/>
        <w:t>for</w:t>
      </w:r>
      <w:r>
        <w:rPr>
          <w:spacing w:val="-4"/>
        </w:rPr>
        <w:t> </w:t>
      </w:r>
      <w:r>
        <w:rPr/>
        <w:t>up</w:t>
      </w:r>
      <w:r>
        <w:rPr>
          <w:spacing w:val="-3"/>
        </w:rPr>
        <w:t> </w:t>
      </w:r>
      <w:r>
        <w:rPr/>
        <w:t>to</w:t>
      </w:r>
      <w:r>
        <w:rPr>
          <w:spacing w:val="-4"/>
        </w:rPr>
        <w:t> </w:t>
      </w:r>
      <w:r>
        <w:rPr/>
        <w:t>26</w:t>
      </w:r>
      <w:r>
        <w:rPr>
          <w:spacing w:val="-3"/>
        </w:rPr>
        <w:t> </w:t>
      </w:r>
      <w:r>
        <w:rPr/>
        <w:t>weeks</w:t>
      </w:r>
      <w:r>
        <w:rPr>
          <w:spacing w:val="-4"/>
        </w:rPr>
        <w:t> </w:t>
      </w:r>
      <w:r>
        <w:rPr/>
        <w:t>of</w:t>
      </w:r>
      <w:r>
        <w:rPr>
          <w:spacing w:val="-3"/>
        </w:rPr>
        <w:t> </w:t>
      </w:r>
      <w:r>
        <w:rPr/>
        <w:t>combined</w:t>
      </w:r>
      <w:r>
        <w:rPr>
          <w:spacing w:val="-3"/>
        </w:rPr>
        <w:t> </w:t>
      </w:r>
      <w:r>
        <w:rPr/>
        <w:t>family</w:t>
      </w:r>
      <w:r>
        <w:rPr>
          <w:spacing w:val="-3"/>
        </w:rPr>
        <w:t> </w:t>
      </w:r>
      <w:r>
        <w:rPr/>
        <w:t>and</w:t>
      </w:r>
      <w:r>
        <w:rPr>
          <w:spacing w:val="-3"/>
        </w:rPr>
        <w:t> </w:t>
      </w:r>
      <w:r>
        <w:rPr/>
        <w:t>medical</w:t>
      </w:r>
      <w:r>
        <w:rPr>
          <w:spacing w:val="-3"/>
        </w:rPr>
        <w:t> </w:t>
      </w:r>
      <w:r>
        <w:rPr/>
        <w:t>leave</w:t>
      </w:r>
      <w:r>
        <w:rPr>
          <w:spacing w:val="-4"/>
        </w:rPr>
        <w:t> </w:t>
      </w:r>
      <w:r>
        <w:rPr/>
        <w:t>per</w:t>
      </w:r>
      <w:r>
        <w:rPr>
          <w:spacing w:val="-3"/>
        </w:rPr>
        <w:t> </w:t>
      </w:r>
      <w:r>
        <w:rPr/>
        <w:t>benefit </w:t>
      </w:r>
      <w:r>
        <w:rPr>
          <w:spacing w:val="-2"/>
        </w:rPr>
        <w:t>year.</w:t>
      </w:r>
    </w:p>
    <w:p>
      <w:pPr>
        <w:spacing w:before="239"/>
        <w:ind w:left="463" w:right="0" w:firstLine="0"/>
        <w:jc w:val="both"/>
        <w:rPr>
          <w:sz w:val="28"/>
        </w:rPr>
      </w:pPr>
      <w:bookmarkStart w:name="Abortion Access" w:id="380"/>
      <w:bookmarkEnd w:id="380"/>
      <w:r>
        <w:rPr/>
      </w:r>
      <w:r>
        <w:rPr>
          <w:color w:val="365F91"/>
          <w:sz w:val="28"/>
        </w:rPr>
        <w:t>Abortion</w:t>
      </w:r>
      <w:r>
        <w:rPr>
          <w:color w:val="365F91"/>
          <w:spacing w:val="-13"/>
          <w:sz w:val="28"/>
        </w:rPr>
        <w:t> </w:t>
      </w:r>
      <w:r>
        <w:rPr>
          <w:color w:val="365F91"/>
          <w:spacing w:val="-2"/>
          <w:sz w:val="28"/>
        </w:rPr>
        <w:t>Access</w:t>
      </w:r>
    </w:p>
    <w:p>
      <w:pPr>
        <w:pStyle w:val="BodyText"/>
        <w:spacing w:line="276" w:lineRule="auto" w:before="293"/>
        <w:ind w:left="463" w:right="242"/>
        <w:jc w:val="both"/>
      </w:pPr>
      <w:r>
        <w:rPr/>
        <w:t>In the United States alone, there are over 600,000 abortions performed annually</w:t>
      </w:r>
      <w:hyperlink w:history="true" w:anchor="_bookmark254">
        <w:r>
          <w:rPr/>
          <w:t>.</w:t>
        </w:r>
        <w:r>
          <w:rPr>
            <w:vertAlign w:val="superscript"/>
          </w:rPr>
          <w:t>61</w:t>
        </w:r>
      </w:hyperlink>
      <w:r>
        <w:rPr>
          <w:vertAlign w:val="baseline"/>
        </w:rPr>
        <w:t> Despite the fact that abortions are quite common and a necessary healthcare procedure, abortion inaccessibility in the United States</w:t>
      </w:r>
      <w:r>
        <w:rPr>
          <w:spacing w:val="-4"/>
          <w:vertAlign w:val="baseline"/>
        </w:rPr>
        <w:t> </w:t>
      </w:r>
      <w:r>
        <w:rPr>
          <w:vertAlign w:val="baseline"/>
        </w:rPr>
        <w:t>continues</w:t>
      </w:r>
      <w:r>
        <w:rPr>
          <w:spacing w:val="-5"/>
          <w:vertAlign w:val="baseline"/>
        </w:rPr>
        <w:t> </w:t>
      </w:r>
      <w:r>
        <w:rPr>
          <w:vertAlign w:val="baseline"/>
        </w:rPr>
        <w:t>to</w:t>
      </w:r>
      <w:r>
        <w:rPr>
          <w:spacing w:val="-5"/>
          <w:vertAlign w:val="baseline"/>
        </w:rPr>
        <w:t> </w:t>
      </w:r>
      <w:r>
        <w:rPr>
          <w:vertAlign w:val="baseline"/>
        </w:rPr>
        <w:t>grow.</w:t>
      </w:r>
      <w:r>
        <w:rPr>
          <w:spacing w:val="-3"/>
          <w:vertAlign w:val="baseline"/>
        </w:rPr>
        <w:t> </w:t>
      </w:r>
      <w:r>
        <w:rPr>
          <w:vertAlign w:val="baseline"/>
        </w:rPr>
        <w:t>The</w:t>
      </w:r>
      <w:r>
        <w:rPr>
          <w:spacing w:val="-6"/>
          <w:vertAlign w:val="baseline"/>
        </w:rPr>
        <w:t> </w:t>
      </w:r>
      <w:r>
        <w:rPr>
          <w:vertAlign w:val="baseline"/>
        </w:rPr>
        <w:t>recent</w:t>
      </w:r>
      <w:r>
        <w:rPr>
          <w:spacing w:val="-6"/>
          <w:vertAlign w:val="baseline"/>
        </w:rPr>
        <w:t> </w:t>
      </w:r>
      <w:r>
        <w:rPr>
          <w:vertAlign w:val="baseline"/>
        </w:rPr>
        <w:t>overturn</w:t>
      </w:r>
      <w:r>
        <w:rPr>
          <w:spacing w:val="-4"/>
          <w:vertAlign w:val="baseline"/>
        </w:rPr>
        <w:t> </w:t>
      </w:r>
      <w:r>
        <w:rPr>
          <w:vertAlign w:val="baseline"/>
        </w:rPr>
        <w:t>of</w:t>
      </w:r>
      <w:r>
        <w:rPr>
          <w:spacing w:val="-5"/>
          <w:vertAlign w:val="baseline"/>
        </w:rPr>
        <w:t> </w:t>
      </w:r>
      <w:r>
        <w:rPr>
          <w:i/>
          <w:vertAlign w:val="baseline"/>
        </w:rPr>
        <w:t>Roe</w:t>
      </w:r>
      <w:r>
        <w:rPr>
          <w:i/>
          <w:spacing w:val="-5"/>
          <w:vertAlign w:val="baseline"/>
        </w:rPr>
        <w:t> </w:t>
      </w:r>
      <w:r>
        <w:rPr>
          <w:i/>
          <w:vertAlign w:val="baseline"/>
        </w:rPr>
        <w:t>v.</w:t>
      </w:r>
      <w:r>
        <w:rPr>
          <w:i/>
          <w:spacing w:val="-6"/>
          <w:vertAlign w:val="baseline"/>
        </w:rPr>
        <w:t> </w:t>
      </w:r>
      <w:r>
        <w:rPr>
          <w:i/>
          <w:vertAlign w:val="baseline"/>
        </w:rPr>
        <w:t>Wade</w:t>
      </w:r>
      <w:r>
        <w:rPr>
          <w:i/>
          <w:spacing w:val="-5"/>
          <w:vertAlign w:val="baseline"/>
        </w:rPr>
        <w:t> </w:t>
      </w:r>
      <w:r>
        <w:rPr>
          <w:vertAlign w:val="baseline"/>
        </w:rPr>
        <w:t>has</w:t>
      </w:r>
      <w:r>
        <w:rPr>
          <w:spacing w:val="-4"/>
          <w:vertAlign w:val="baseline"/>
        </w:rPr>
        <w:t> </w:t>
      </w:r>
      <w:r>
        <w:rPr>
          <w:vertAlign w:val="baseline"/>
        </w:rPr>
        <w:t>sparked</w:t>
      </w:r>
      <w:r>
        <w:rPr>
          <w:spacing w:val="-6"/>
          <w:vertAlign w:val="baseline"/>
        </w:rPr>
        <w:t> </w:t>
      </w:r>
      <w:r>
        <w:rPr>
          <w:vertAlign w:val="baseline"/>
        </w:rPr>
        <w:t>uncertainty</w:t>
      </w:r>
      <w:r>
        <w:rPr>
          <w:spacing w:val="-5"/>
          <w:vertAlign w:val="baseline"/>
        </w:rPr>
        <w:t> </w:t>
      </w:r>
      <w:r>
        <w:rPr>
          <w:vertAlign w:val="baseline"/>
        </w:rPr>
        <w:t>around</w:t>
      </w:r>
      <w:r>
        <w:rPr>
          <w:spacing w:val="-6"/>
          <w:vertAlign w:val="baseline"/>
        </w:rPr>
        <w:t> </w:t>
      </w:r>
      <w:r>
        <w:rPr>
          <w:vertAlign w:val="baseline"/>
        </w:rPr>
        <w:t>the</w:t>
      </w:r>
      <w:r>
        <w:rPr>
          <w:spacing w:val="-6"/>
          <w:vertAlign w:val="baseline"/>
        </w:rPr>
        <w:t> </w:t>
      </w:r>
      <w:r>
        <w:rPr>
          <w:vertAlign w:val="baseline"/>
        </w:rPr>
        <w:t>future</w:t>
      </w:r>
      <w:r>
        <w:rPr>
          <w:spacing w:val="-3"/>
          <w:vertAlign w:val="baseline"/>
        </w:rPr>
        <w:t> </w:t>
      </w:r>
      <w:r>
        <w:rPr>
          <w:vertAlign w:val="baseline"/>
        </w:rPr>
        <w:t>of abortion access across the country, particularly in states with strong anti-abortion views. In the United States, 13 states – Arkansas, Idaho, Kentucky, Louisiana, Mississippi, Missouri, North Dakota, Oklahoma, South</w:t>
      </w:r>
      <w:r>
        <w:rPr>
          <w:spacing w:val="-5"/>
          <w:vertAlign w:val="baseline"/>
        </w:rPr>
        <w:t> </w:t>
      </w:r>
      <w:r>
        <w:rPr>
          <w:vertAlign w:val="baseline"/>
        </w:rPr>
        <w:t>Dakota,</w:t>
      </w:r>
      <w:r>
        <w:rPr>
          <w:spacing w:val="-6"/>
          <w:vertAlign w:val="baseline"/>
        </w:rPr>
        <w:t> </w:t>
      </w:r>
      <w:r>
        <w:rPr>
          <w:vertAlign w:val="baseline"/>
        </w:rPr>
        <w:t>Tennessee,</w:t>
      </w:r>
      <w:r>
        <w:rPr>
          <w:spacing w:val="-5"/>
          <w:vertAlign w:val="baseline"/>
        </w:rPr>
        <w:t> </w:t>
      </w:r>
      <w:r>
        <w:rPr>
          <w:vertAlign w:val="baseline"/>
        </w:rPr>
        <w:t>Texas,</w:t>
      </w:r>
      <w:r>
        <w:rPr>
          <w:spacing w:val="-6"/>
          <w:vertAlign w:val="baseline"/>
        </w:rPr>
        <w:t> </w:t>
      </w:r>
      <w:r>
        <w:rPr>
          <w:vertAlign w:val="baseline"/>
        </w:rPr>
        <w:t>Utah,</w:t>
      </w:r>
      <w:r>
        <w:rPr>
          <w:spacing w:val="-5"/>
          <w:vertAlign w:val="baseline"/>
        </w:rPr>
        <w:t> </w:t>
      </w:r>
      <w:r>
        <w:rPr>
          <w:vertAlign w:val="baseline"/>
        </w:rPr>
        <w:t>and</w:t>
      </w:r>
      <w:r>
        <w:rPr>
          <w:spacing w:val="-7"/>
          <w:vertAlign w:val="baseline"/>
        </w:rPr>
        <w:t> </w:t>
      </w:r>
      <w:r>
        <w:rPr>
          <w:vertAlign w:val="baseline"/>
        </w:rPr>
        <w:t>Wyoming--</w:t>
      </w:r>
      <w:r>
        <w:rPr>
          <w:spacing w:val="-6"/>
          <w:vertAlign w:val="baseline"/>
        </w:rPr>
        <w:t> </w:t>
      </w:r>
      <w:r>
        <w:rPr>
          <w:vertAlign w:val="baseline"/>
        </w:rPr>
        <w:t>have</w:t>
      </w:r>
      <w:r>
        <w:rPr>
          <w:spacing w:val="-5"/>
          <w:vertAlign w:val="baseline"/>
        </w:rPr>
        <w:t> </w:t>
      </w:r>
      <w:r>
        <w:rPr>
          <w:vertAlign w:val="baseline"/>
        </w:rPr>
        <w:t>implemented</w:t>
      </w:r>
      <w:r>
        <w:rPr>
          <w:spacing w:val="-5"/>
          <w:vertAlign w:val="baseline"/>
        </w:rPr>
        <w:t> </w:t>
      </w:r>
      <w:r>
        <w:rPr>
          <w:vertAlign w:val="baseline"/>
        </w:rPr>
        <w:t>trigger</w:t>
      </w:r>
      <w:r>
        <w:rPr>
          <w:spacing w:val="-6"/>
          <w:vertAlign w:val="baseline"/>
        </w:rPr>
        <w:t> </w:t>
      </w:r>
      <w:r>
        <w:rPr>
          <w:vertAlign w:val="baseline"/>
        </w:rPr>
        <w:t>bans,</w:t>
      </w:r>
      <w:r>
        <w:rPr>
          <w:spacing w:val="-5"/>
          <w:vertAlign w:val="baseline"/>
        </w:rPr>
        <w:t> </w:t>
      </w:r>
      <w:r>
        <w:rPr>
          <w:vertAlign w:val="baseline"/>
        </w:rPr>
        <w:t>which</w:t>
      </w:r>
      <w:r>
        <w:rPr>
          <w:spacing w:val="-7"/>
          <w:vertAlign w:val="baseline"/>
        </w:rPr>
        <w:t> </w:t>
      </w:r>
      <w:r>
        <w:rPr>
          <w:vertAlign w:val="baseline"/>
        </w:rPr>
        <w:t>are</w:t>
      </w:r>
      <w:r>
        <w:rPr>
          <w:spacing w:val="-5"/>
          <w:vertAlign w:val="baseline"/>
        </w:rPr>
        <w:t> </w:t>
      </w:r>
      <w:r>
        <w:rPr>
          <w:vertAlign w:val="baseline"/>
        </w:rPr>
        <w:t>laws</w:t>
      </w:r>
      <w:r>
        <w:rPr>
          <w:spacing w:val="-5"/>
          <w:vertAlign w:val="baseline"/>
        </w:rPr>
        <w:t> </w:t>
      </w:r>
      <w:r>
        <w:rPr>
          <w:vertAlign w:val="baseline"/>
        </w:rPr>
        <w:t>that would automatically ban abortion after a </w:t>
      </w:r>
      <w:r>
        <w:rPr>
          <w:i/>
          <w:vertAlign w:val="baseline"/>
        </w:rPr>
        <w:t>Roe v. Wade </w:t>
      </w:r>
      <w:r>
        <w:rPr>
          <w:vertAlign w:val="baseline"/>
        </w:rPr>
        <w:t>overturn</w:t>
      </w:r>
      <w:hyperlink w:history="true" w:anchor="_bookmark255">
        <w:r>
          <w:rPr>
            <w:vertAlign w:val="baseline"/>
          </w:rPr>
          <w:t>.</w:t>
        </w:r>
        <w:r>
          <w:rPr>
            <w:vertAlign w:val="superscript"/>
          </w:rPr>
          <w:t>62</w:t>
        </w:r>
      </w:hyperlink>
    </w:p>
    <w:p>
      <w:pPr>
        <w:pStyle w:val="BodyText"/>
        <w:spacing w:line="276" w:lineRule="auto" w:before="239"/>
        <w:ind w:left="463" w:right="242"/>
        <w:jc w:val="both"/>
      </w:pPr>
      <w:r>
        <w:rPr/>
        <w:t>In 2017, 18,850 abortions were provided in Massachusetts, though some of the abortions were not performed for Massachusetts residents but for out-of-state individuals. It’s possible that some people in Massachusetts traveled to other states to get an abortion. In 2017, some 43% of Massachusetts counties had no clinics that provide abortion, and 13% of Massachusetts women live in those counties. It should be noted that the statistics mentioned may not cover birthing people across the gender spectrum. In Massachusetts, abortion is legal at 24 weeks but may be performed past 24 weeks or more in cases where the pregnant person’s life is determined to be endangered or there is a lethal fetal anomaly. Although the Hyde</w:t>
      </w:r>
      <w:r>
        <w:rPr>
          <w:spacing w:val="-4"/>
        </w:rPr>
        <w:t> </w:t>
      </w:r>
      <w:r>
        <w:rPr/>
        <w:t>Amendment</w:t>
      </w:r>
      <w:r>
        <w:rPr>
          <w:spacing w:val="-3"/>
        </w:rPr>
        <w:t> </w:t>
      </w:r>
      <w:r>
        <w:rPr/>
        <w:t>prevents</w:t>
      </w:r>
      <w:r>
        <w:rPr>
          <w:spacing w:val="-4"/>
        </w:rPr>
        <w:t> </w:t>
      </w:r>
      <w:r>
        <w:rPr/>
        <w:t>Medicaid</w:t>
      </w:r>
      <w:r>
        <w:rPr>
          <w:spacing w:val="-4"/>
        </w:rPr>
        <w:t> </w:t>
      </w:r>
      <w:r>
        <w:rPr/>
        <w:t>from</w:t>
      </w:r>
      <w:r>
        <w:rPr>
          <w:spacing w:val="-4"/>
        </w:rPr>
        <w:t> </w:t>
      </w:r>
      <w:r>
        <w:rPr/>
        <w:t>using</w:t>
      </w:r>
      <w:r>
        <w:rPr>
          <w:spacing w:val="-4"/>
        </w:rPr>
        <w:t> </w:t>
      </w:r>
      <w:r>
        <w:rPr/>
        <w:t>federal</w:t>
      </w:r>
      <w:r>
        <w:rPr>
          <w:spacing w:val="-4"/>
        </w:rPr>
        <w:t> </w:t>
      </w:r>
      <w:r>
        <w:rPr/>
        <w:t>funding</w:t>
      </w:r>
      <w:r>
        <w:rPr>
          <w:spacing w:val="-4"/>
        </w:rPr>
        <w:t> </w:t>
      </w:r>
      <w:r>
        <w:rPr/>
        <w:t>to</w:t>
      </w:r>
      <w:r>
        <w:rPr>
          <w:spacing w:val="-3"/>
        </w:rPr>
        <w:t> </w:t>
      </w:r>
      <w:r>
        <w:rPr/>
        <w:t>cover</w:t>
      </w:r>
      <w:r>
        <w:rPr>
          <w:spacing w:val="-4"/>
        </w:rPr>
        <w:t> </w:t>
      </w:r>
      <w:r>
        <w:rPr/>
        <w:t>abortion</w:t>
      </w:r>
      <w:r>
        <w:rPr>
          <w:spacing w:val="-4"/>
        </w:rPr>
        <w:t> </w:t>
      </w:r>
      <w:r>
        <w:rPr/>
        <w:t>services,</w:t>
      </w:r>
      <w:r>
        <w:rPr>
          <w:spacing w:val="-4"/>
        </w:rPr>
        <w:t> </w:t>
      </w:r>
      <w:r>
        <w:rPr/>
        <w:t>Massachusetts is one of the 33 states that use state funding to cover abortion services for MassHealth beneficiaries</w:t>
      </w:r>
      <w:hyperlink w:history="true" w:anchor="_bookmark256">
        <w:r>
          <w:rPr/>
          <w:t>.</w:t>
        </w:r>
        <w:r>
          <w:rPr>
            <w:vertAlign w:val="superscript"/>
          </w:rPr>
          <w:t>63</w:t>
        </w:r>
      </w:hyperlink>
    </w:p>
    <w:p>
      <w:pPr>
        <w:pStyle w:val="BodyText"/>
        <w:spacing w:line="276" w:lineRule="auto" w:before="241"/>
        <w:ind w:left="463" w:right="239"/>
        <w:jc w:val="both"/>
      </w:pPr>
      <w:r>
        <w:rPr/>
        <w:t>The ROE Act (S.1209) was codified into law by the Massachusetts legislature, expanding abortion access in the</w:t>
      </w:r>
      <w:r>
        <w:rPr>
          <w:spacing w:val="-7"/>
        </w:rPr>
        <w:t> </w:t>
      </w:r>
      <w:r>
        <w:rPr/>
        <w:t>Commonwealth</w:t>
      </w:r>
      <w:r>
        <w:rPr>
          <w:spacing w:val="-7"/>
        </w:rPr>
        <w:t> </w:t>
      </w:r>
      <w:r>
        <w:rPr/>
        <w:t>after</w:t>
      </w:r>
      <w:r>
        <w:rPr>
          <w:spacing w:val="-6"/>
        </w:rPr>
        <w:t> </w:t>
      </w:r>
      <w:r>
        <w:rPr/>
        <w:t>the</w:t>
      </w:r>
      <w:r>
        <w:rPr>
          <w:spacing w:val="-7"/>
        </w:rPr>
        <w:t> </w:t>
      </w:r>
      <w:r>
        <w:rPr/>
        <w:t>Senate</w:t>
      </w:r>
      <w:r>
        <w:rPr>
          <w:spacing w:val="-7"/>
        </w:rPr>
        <w:t> </w:t>
      </w:r>
      <w:r>
        <w:rPr/>
        <w:t>overrode</w:t>
      </w:r>
      <w:r>
        <w:rPr>
          <w:spacing w:val="-7"/>
        </w:rPr>
        <w:t> </w:t>
      </w:r>
      <w:r>
        <w:rPr/>
        <w:t>Governor</w:t>
      </w:r>
      <w:r>
        <w:rPr>
          <w:spacing w:val="-6"/>
        </w:rPr>
        <w:t> </w:t>
      </w:r>
      <w:r>
        <w:rPr/>
        <w:t>Baker’s</w:t>
      </w:r>
      <w:r>
        <w:rPr>
          <w:spacing w:val="-6"/>
        </w:rPr>
        <w:t> </w:t>
      </w:r>
      <w:r>
        <w:rPr/>
        <w:t>veto.</w:t>
      </w:r>
      <w:r>
        <w:rPr>
          <w:spacing w:val="-7"/>
        </w:rPr>
        <w:t> </w:t>
      </w:r>
      <w:r>
        <w:rPr/>
        <w:t>Despite</w:t>
      </w:r>
      <w:r>
        <w:rPr>
          <w:spacing w:val="-5"/>
        </w:rPr>
        <w:t> </w:t>
      </w:r>
      <w:r>
        <w:rPr/>
        <w:t>Governor</w:t>
      </w:r>
      <w:r>
        <w:rPr>
          <w:spacing w:val="-6"/>
        </w:rPr>
        <w:t> </w:t>
      </w:r>
      <w:r>
        <w:rPr/>
        <w:t>Baker’s</w:t>
      </w:r>
      <w:r>
        <w:rPr>
          <w:spacing w:val="-6"/>
        </w:rPr>
        <w:t> </w:t>
      </w:r>
      <w:r>
        <w:rPr/>
        <w:t>veto</w:t>
      </w:r>
      <w:r>
        <w:rPr>
          <w:spacing w:val="-6"/>
        </w:rPr>
        <w:t> </w:t>
      </w:r>
      <w:r>
        <w:rPr/>
        <w:t>of</w:t>
      </w:r>
      <w:r>
        <w:rPr>
          <w:spacing w:val="-6"/>
        </w:rPr>
        <w:t> </w:t>
      </w:r>
      <w:r>
        <w:rPr/>
        <w:t>the ROE Act, Baker signed an executive order after </w:t>
      </w:r>
      <w:r>
        <w:rPr>
          <w:i/>
        </w:rPr>
        <w:t>Roe v. Wade </w:t>
      </w:r>
      <w:r>
        <w:rPr/>
        <w:t>was overturned, preventing criminal action against out-of- state individuals seeking abortion care in Massachusetts.</w:t>
      </w:r>
    </w:p>
    <w:p>
      <w:pPr>
        <w:pStyle w:val="BodyText"/>
        <w:spacing w:line="276" w:lineRule="auto" w:before="239"/>
        <w:ind w:left="463" w:right="242"/>
        <w:jc w:val="both"/>
      </w:pPr>
      <w:r>
        <w:rPr/>
        <w:t>The</w:t>
      </w:r>
      <w:r>
        <w:rPr>
          <w:spacing w:val="-7"/>
        </w:rPr>
        <w:t> </w:t>
      </w:r>
      <w:r>
        <w:rPr/>
        <w:t>parent</w:t>
      </w:r>
      <w:r>
        <w:rPr>
          <w:spacing w:val="-7"/>
        </w:rPr>
        <w:t> </w:t>
      </w:r>
      <w:r>
        <w:rPr/>
        <w:t>or</w:t>
      </w:r>
      <w:r>
        <w:rPr>
          <w:spacing w:val="-8"/>
        </w:rPr>
        <w:t> </w:t>
      </w:r>
      <w:r>
        <w:rPr/>
        <w:t>guardian</w:t>
      </w:r>
      <w:r>
        <w:rPr>
          <w:spacing w:val="-7"/>
        </w:rPr>
        <w:t> </w:t>
      </w:r>
      <w:r>
        <w:rPr/>
        <w:t>of</w:t>
      </w:r>
      <w:r>
        <w:rPr>
          <w:spacing w:val="-8"/>
        </w:rPr>
        <w:t> </w:t>
      </w:r>
      <w:r>
        <w:rPr/>
        <w:t>a</w:t>
      </w:r>
      <w:r>
        <w:rPr>
          <w:spacing w:val="-6"/>
        </w:rPr>
        <w:t> </w:t>
      </w:r>
      <w:r>
        <w:rPr/>
        <w:t>minor</w:t>
      </w:r>
      <w:r>
        <w:rPr>
          <w:spacing w:val="-8"/>
        </w:rPr>
        <w:t> </w:t>
      </w:r>
      <w:r>
        <w:rPr/>
        <w:t>younger</w:t>
      </w:r>
      <w:r>
        <w:rPr>
          <w:spacing w:val="-8"/>
        </w:rPr>
        <w:t> </w:t>
      </w:r>
      <w:r>
        <w:rPr/>
        <w:t>than</w:t>
      </w:r>
      <w:r>
        <w:rPr>
          <w:spacing w:val="-7"/>
        </w:rPr>
        <w:t> </w:t>
      </w:r>
      <w:r>
        <w:rPr/>
        <w:t>16</w:t>
      </w:r>
      <w:r>
        <w:rPr>
          <w:spacing w:val="-6"/>
        </w:rPr>
        <w:t> </w:t>
      </w:r>
      <w:r>
        <w:rPr/>
        <w:t>must</w:t>
      </w:r>
      <w:r>
        <w:rPr>
          <w:spacing w:val="-7"/>
        </w:rPr>
        <w:t> </w:t>
      </w:r>
      <w:r>
        <w:rPr/>
        <w:t>consent</w:t>
      </w:r>
      <w:r>
        <w:rPr>
          <w:spacing w:val="-6"/>
        </w:rPr>
        <w:t> </w:t>
      </w:r>
      <w:r>
        <w:rPr/>
        <w:t>before</w:t>
      </w:r>
      <w:r>
        <w:rPr>
          <w:spacing w:val="-8"/>
        </w:rPr>
        <w:t> </w:t>
      </w:r>
      <w:r>
        <w:rPr/>
        <w:t>an</w:t>
      </w:r>
      <w:r>
        <w:rPr>
          <w:spacing w:val="-7"/>
        </w:rPr>
        <w:t> </w:t>
      </w:r>
      <w:r>
        <w:rPr/>
        <w:t>abortion</w:t>
      </w:r>
      <w:r>
        <w:rPr>
          <w:spacing w:val="-8"/>
        </w:rPr>
        <w:t> </w:t>
      </w:r>
      <w:r>
        <w:rPr/>
        <w:t>is</w:t>
      </w:r>
      <w:r>
        <w:rPr>
          <w:spacing w:val="-6"/>
        </w:rPr>
        <w:t> </w:t>
      </w:r>
      <w:r>
        <w:rPr/>
        <w:t>provided</w:t>
      </w:r>
      <w:hyperlink w:history="true" w:anchor="_bookmark257">
        <w:r>
          <w:rPr/>
          <w:t>.</w:t>
        </w:r>
        <w:r>
          <w:rPr>
            <w:vertAlign w:val="superscript"/>
          </w:rPr>
          <w:t>64</w:t>
        </w:r>
      </w:hyperlink>
      <w:r>
        <w:rPr>
          <w:spacing w:val="-7"/>
          <w:vertAlign w:val="baseline"/>
        </w:rPr>
        <w:t> </w:t>
      </w:r>
      <w:r>
        <w:rPr>
          <w:vertAlign w:val="baseline"/>
        </w:rPr>
        <w:t>After</w:t>
      </w:r>
      <w:r>
        <w:rPr>
          <w:spacing w:val="-6"/>
          <w:vertAlign w:val="baseline"/>
        </w:rPr>
        <w:t> </w:t>
      </w:r>
      <w:r>
        <w:rPr>
          <w:vertAlign w:val="baseline"/>
        </w:rPr>
        <w:t>the ROE</w:t>
      </w:r>
      <w:r>
        <w:rPr>
          <w:spacing w:val="-3"/>
          <w:vertAlign w:val="baseline"/>
        </w:rPr>
        <w:t> </w:t>
      </w:r>
      <w:r>
        <w:rPr>
          <w:vertAlign w:val="baseline"/>
        </w:rPr>
        <w:t>Act</w:t>
      </w:r>
      <w:r>
        <w:rPr>
          <w:spacing w:val="-3"/>
          <w:vertAlign w:val="baseline"/>
        </w:rPr>
        <w:t> </w:t>
      </w:r>
      <w:r>
        <w:rPr>
          <w:vertAlign w:val="baseline"/>
        </w:rPr>
        <w:t>became</w:t>
      </w:r>
      <w:r>
        <w:rPr>
          <w:spacing w:val="-4"/>
          <w:vertAlign w:val="baseline"/>
        </w:rPr>
        <w:t> </w:t>
      </w:r>
      <w:r>
        <w:rPr>
          <w:vertAlign w:val="baseline"/>
        </w:rPr>
        <w:t>law,</w:t>
      </w:r>
      <w:r>
        <w:rPr>
          <w:spacing w:val="-4"/>
          <w:vertAlign w:val="baseline"/>
        </w:rPr>
        <w:t> </w:t>
      </w:r>
      <w:r>
        <w:rPr>
          <w:vertAlign w:val="baseline"/>
        </w:rPr>
        <w:t>it</w:t>
      </w:r>
      <w:r>
        <w:rPr>
          <w:spacing w:val="-4"/>
          <w:vertAlign w:val="baseline"/>
        </w:rPr>
        <w:t> </w:t>
      </w:r>
      <w:r>
        <w:rPr>
          <w:vertAlign w:val="baseline"/>
        </w:rPr>
        <w:t>repealed</w:t>
      </w:r>
      <w:r>
        <w:rPr>
          <w:spacing w:val="-3"/>
          <w:vertAlign w:val="baseline"/>
        </w:rPr>
        <w:t> </w:t>
      </w:r>
      <w:r>
        <w:rPr>
          <w:vertAlign w:val="baseline"/>
        </w:rPr>
        <w:t>the</w:t>
      </w:r>
      <w:r>
        <w:rPr>
          <w:spacing w:val="-3"/>
          <w:vertAlign w:val="baseline"/>
        </w:rPr>
        <w:t> </w:t>
      </w:r>
      <w:r>
        <w:rPr>
          <w:vertAlign w:val="baseline"/>
        </w:rPr>
        <w:t>parental</w:t>
      </w:r>
      <w:r>
        <w:rPr>
          <w:spacing w:val="-3"/>
          <w:vertAlign w:val="baseline"/>
        </w:rPr>
        <w:t> </w:t>
      </w:r>
      <w:r>
        <w:rPr>
          <w:vertAlign w:val="baseline"/>
        </w:rPr>
        <w:t>consent</w:t>
      </w:r>
      <w:r>
        <w:rPr>
          <w:spacing w:val="-3"/>
          <w:vertAlign w:val="baseline"/>
        </w:rPr>
        <w:t> </w:t>
      </w:r>
      <w:r>
        <w:rPr>
          <w:vertAlign w:val="baseline"/>
        </w:rPr>
        <w:t>provision</w:t>
      </w:r>
      <w:r>
        <w:rPr>
          <w:spacing w:val="-4"/>
          <w:vertAlign w:val="baseline"/>
        </w:rPr>
        <w:t> </w:t>
      </w:r>
      <w:r>
        <w:rPr>
          <w:vertAlign w:val="baseline"/>
        </w:rPr>
        <w:t>for</w:t>
      </w:r>
      <w:r>
        <w:rPr>
          <w:spacing w:val="-4"/>
          <w:vertAlign w:val="baseline"/>
        </w:rPr>
        <w:t> </w:t>
      </w:r>
      <w:r>
        <w:rPr>
          <w:vertAlign w:val="baseline"/>
        </w:rPr>
        <w:t>older</w:t>
      </w:r>
      <w:r>
        <w:rPr>
          <w:spacing w:val="-3"/>
          <w:vertAlign w:val="baseline"/>
        </w:rPr>
        <w:t> </w:t>
      </w:r>
      <w:r>
        <w:rPr>
          <w:vertAlign w:val="baseline"/>
        </w:rPr>
        <w:t>teens</w:t>
      </w:r>
      <w:r>
        <w:rPr>
          <w:spacing w:val="-4"/>
          <w:vertAlign w:val="baseline"/>
        </w:rPr>
        <w:t> </w:t>
      </w:r>
      <w:r>
        <w:rPr>
          <w:vertAlign w:val="baseline"/>
        </w:rPr>
        <w:t>aged</w:t>
      </w:r>
      <w:r>
        <w:rPr>
          <w:spacing w:val="-4"/>
          <w:vertAlign w:val="baseline"/>
        </w:rPr>
        <w:t> </w:t>
      </w:r>
      <w:r>
        <w:rPr>
          <w:vertAlign w:val="baseline"/>
        </w:rPr>
        <w:t>16</w:t>
      </w:r>
      <w:r>
        <w:rPr>
          <w:spacing w:val="-3"/>
          <w:vertAlign w:val="baseline"/>
        </w:rPr>
        <w:t> </w:t>
      </w:r>
      <w:r>
        <w:rPr>
          <w:vertAlign w:val="baseline"/>
        </w:rPr>
        <w:t>and</w:t>
      </w:r>
      <w:r>
        <w:rPr>
          <w:spacing w:val="-3"/>
          <w:vertAlign w:val="baseline"/>
        </w:rPr>
        <w:t> </w:t>
      </w:r>
      <w:r>
        <w:rPr>
          <w:vertAlign w:val="baseline"/>
        </w:rPr>
        <w:t>17</w:t>
      </w:r>
      <w:r>
        <w:rPr>
          <w:spacing w:val="-4"/>
          <w:vertAlign w:val="baseline"/>
        </w:rPr>
        <w:t> </w:t>
      </w:r>
      <w:r>
        <w:rPr>
          <w:vertAlign w:val="baseline"/>
        </w:rPr>
        <w:t>years</w:t>
      </w:r>
      <w:r>
        <w:rPr>
          <w:spacing w:val="-4"/>
          <w:vertAlign w:val="baseline"/>
        </w:rPr>
        <w:t> </w:t>
      </w:r>
      <w:r>
        <w:rPr>
          <w:vertAlign w:val="baseline"/>
        </w:rPr>
        <w:t>old.</w:t>
      </w:r>
      <w:r>
        <w:rPr>
          <w:spacing w:val="-3"/>
          <w:vertAlign w:val="baseline"/>
        </w:rPr>
        <w:t> </w:t>
      </w:r>
      <w:r>
        <w:rPr>
          <w:vertAlign w:val="baseline"/>
        </w:rPr>
        <w:t>It also made it official for judicial bypass hearings to take place virtually rather than in person. The Massachusetts Judicial Bypass Process law requires minors under the age of 16 to obtain parental consent or navigate the court system to obtain a judge’s permission to move forward with an abortion</w:t>
      </w:r>
      <w:hyperlink w:history="true" w:anchor="_bookmark258">
        <w:r>
          <w:rPr>
            <w:vertAlign w:val="baseline"/>
          </w:rPr>
          <w:t>.</w:t>
        </w:r>
        <w:r>
          <w:rPr>
            <w:vertAlign w:val="superscript"/>
          </w:rPr>
          <w:t>65</w:t>
        </w:r>
      </w:hyperlink>
      <w:r>
        <w:rPr>
          <w:vertAlign w:val="baseline"/>
        </w:rPr>
        <w:t> Although the</w:t>
      </w:r>
      <w:r>
        <w:rPr>
          <w:spacing w:val="31"/>
          <w:vertAlign w:val="baseline"/>
        </w:rPr>
        <w:t> </w:t>
      </w:r>
      <w:r>
        <w:rPr>
          <w:vertAlign w:val="baseline"/>
        </w:rPr>
        <w:t>judicial</w:t>
      </w:r>
      <w:r>
        <w:rPr>
          <w:spacing w:val="31"/>
          <w:vertAlign w:val="baseline"/>
        </w:rPr>
        <w:t> </w:t>
      </w:r>
      <w:r>
        <w:rPr>
          <w:vertAlign w:val="baseline"/>
        </w:rPr>
        <w:t>bypass</w:t>
      </w:r>
      <w:r>
        <w:rPr>
          <w:spacing w:val="31"/>
          <w:vertAlign w:val="baseline"/>
        </w:rPr>
        <w:t> </w:t>
      </w:r>
      <w:r>
        <w:rPr>
          <w:vertAlign w:val="baseline"/>
        </w:rPr>
        <w:t>law</w:t>
      </w:r>
      <w:r>
        <w:rPr>
          <w:spacing w:val="31"/>
          <w:vertAlign w:val="baseline"/>
        </w:rPr>
        <w:t> </w:t>
      </w:r>
      <w:r>
        <w:rPr>
          <w:vertAlign w:val="baseline"/>
        </w:rPr>
        <w:t>is</w:t>
      </w:r>
      <w:r>
        <w:rPr>
          <w:spacing w:val="30"/>
          <w:vertAlign w:val="baseline"/>
        </w:rPr>
        <w:t> </w:t>
      </w:r>
      <w:r>
        <w:rPr>
          <w:vertAlign w:val="baseline"/>
        </w:rPr>
        <w:t>an</w:t>
      </w:r>
      <w:r>
        <w:rPr>
          <w:spacing w:val="31"/>
          <w:vertAlign w:val="baseline"/>
        </w:rPr>
        <w:t> </w:t>
      </w:r>
      <w:r>
        <w:rPr>
          <w:vertAlign w:val="baseline"/>
        </w:rPr>
        <w:t>option</w:t>
      </w:r>
      <w:r>
        <w:rPr>
          <w:spacing w:val="31"/>
          <w:vertAlign w:val="baseline"/>
        </w:rPr>
        <w:t> </w:t>
      </w:r>
      <w:r>
        <w:rPr>
          <w:vertAlign w:val="baseline"/>
        </w:rPr>
        <w:t>for</w:t>
      </w:r>
      <w:r>
        <w:rPr>
          <w:spacing w:val="31"/>
          <w:vertAlign w:val="baseline"/>
        </w:rPr>
        <w:t> </w:t>
      </w:r>
      <w:r>
        <w:rPr>
          <w:vertAlign w:val="baseline"/>
        </w:rPr>
        <w:t>youths</w:t>
      </w:r>
      <w:r>
        <w:rPr>
          <w:spacing w:val="31"/>
          <w:vertAlign w:val="baseline"/>
        </w:rPr>
        <w:t> </w:t>
      </w:r>
      <w:r>
        <w:rPr>
          <w:vertAlign w:val="baseline"/>
        </w:rPr>
        <w:t>to</w:t>
      </w:r>
      <w:r>
        <w:rPr>
          <w:spacing w:val="32"/>
          <w:vertAlign w:val="baseline"/>
        </w:rPr>
        <w:t> </w:t>
      </w:r>
      <w:r>
        <w:rPr>
          <w:vertAlign w:val="baseline"/>
        </w:rPr>
        <w:t>access</w:t>
      </w:r>
      <w:r>
        <w:rPr>
          <w:spacing w:val="31"/>
          <w:vertAlign w:val="baseline"/>
        </w:rPr>
        <w:t> </w:t>
      </w:r>
      <w:r>
        <w:rPr>
          <w:vertAlign w:val="baseline"/>
        </w:rPr>
        <w:t>an</w:t>
      </w:r>
      <w:r>
        <w:rPr>
          <w:spacing w:val="31"/>
          <w:vertAlign w:val="baseline"/>
        </w:rPr>
        <w:t> </w:t>
      </w:r>
      <w:r>
        <w:rPr>
          <w:vertAlign w:val="baseline"/>
        </w:rPr>
        <w:t>abortion</w:t>
      </w:r>
      <w:r>
        <w:rPr>
          <w:spacing w:val="31"/>
          <w:vertAlign w:val="baseline"/>
        </w:rPr>
        <w:t> </w:t>
      </w:r>
      <w:r>
        <w:rPr>
          <w:vertAlign w:val="baseline"/>
        </w:rPr>
        <w:t>without</w:t>
      </w:r>
      <w:r>
        <w:rPr>
          <w:spacing w:val="31"/>
          <w:vertAlign w:val="baseline"/>
        </w:rPr>
        <w:t> </w:t>
      </w:r>
      <w:r>
        <w:rPr>
          <w:vertAlign w:val="baseline"/>
        </w:rPr>
        <w:t>parental</w:t>
      </w:r>
      <w:r>
        <w:rPr>
          <w:spacing w:val="31"/>
          <w:vertAlign w:val="baseline"/>
        </w:rPr>
        <w:t> </w:t>
      </w:r>
      <w:r>
        <w:rPr>
          <w:vertAlign w:val="baseline"/>
        </w:rPr>
        <w:t>permission,</w:t>
      </w:r>
      <w:r>
        <w:rPr>
          <w:spacing w:val="31"/>
          <w:vertAlign w:val="baseline"/>
        </w:rPr>
        <w:t> </w:t>
      </w:r>
      <w:r>
        <w:rPr>
          <w:vertAlign w:val="baseline"/>
        </w:rPr>
        <w:t>the</w:t>
      </w:r>
    </w:p>
    <w:p>
      <w:pPr>
        <w:spacing w:after="0" w:line="276" w:lineRule="auto"/>
        <w:jc w:val="both"/>
        <w:sectPr>
          <w:pgSz w:w="12240" w:h="15840"/>
          <w:pgMar w:header="800" w:footer="1530" w:top="1080" w:bottom="1760" w:left="980" w:right="1000"/>
        </w:sectPr>
      </w:pPr>
    </w:p>
    <w:p>
      <w:pPr>
        <w:pStyle w:val="BodyText"/>
        <w:spacing w:line="276" w:lineRule="auto" w:before="69"/>
        <w:ind w:left="463" w:right="247"/>
        <w:jc w:val="both"/>
      </w:pPr>
      <w:r>
        <w:rPr/>
        <w:t>implementation of parental consent laws for youths under 16 makes it difficult for those with unintended pregnancies who might not feel comfortable disclosing their pregnancies to their parents or guardians.</w:t>
      </w:r>
    </w:p>
    <w:p>
      <w:pPr>
        <w:pStyle w:val="BodyText"/>
        <w:spacing w:line="276" w:lineRule="auto" w:before="240"/>
        <w:ind w:left="463" w:right="242"/>
        <w:jc w:val="both"/>
      </w:pPr>
      <w:r>
        <w:rPr/>
        <w:t>A</w:t>
      </w:r>
      <w:r>
        <w:rPr>
          <w:spacing w:val="-6"/>
        </w:rPr>
        <w:t> </w:t>
      </w:r>
      <w:r>
        <w:rPr/>
        <w:t>study</w:t>
      </w:r>
      <w:r>
        <w:rPr>
          <w:spacing w:val="-6"/>
        </w:rPr>
        <w:t> </w:t>
      </w:r>
      <w:r>
        <w:rPr/>
        <w:t>found</w:t>
      </w:r>
      <w:r>
        <w:rPr>
          <w:spacing w:val="-7"/>
        </w:rPr>
        <w:t> </w:t>
      </w:r>
      <w:r>
        <w:rPr/>
        <w:t>that</w:t>
      </w:r>
      <w:r>
        <w:rPr>
          <w:spacing w:val="-6"/>
        </w:rPr>
        <w:t> </w:t>
      </w:r>
      <w:r>
        <w:rPr/>
        <w:t>the</w:t>
      </w:r>
      <w:r>
        <w:rPr>
          <w:spacing w:val="-7"/>
        </w:rPr>
        <w:t> </w:t>
      </w:r>
      <w:r>
        <w:rPr/>
        <w:t>Massachusetts</w:t>
      </w:r>
      <w:r>
        <w:rPr>
          <w:spacing w:val="-6"/>
        </w:rPr>
        <w:t> </w:t>
      </w:r>
      <w:r>
        <w:rPr/>
        <w:t>Judicial</w:t>
      </w:r>
      <w:r>
        <w:rPr>
          <w:spacing w:val="-6"/>
        </w:rPr>
        <w:t> </w:t>
      </w:r>
      <w:r>
        <w:rPr/>
        <w:t>Bypass</w:t>
      </w:r>
      <w:r>
        <w:rPr>
          <w:spacing w:val="-6"/>
        </w:rPr>
        <w:t> </w:t>
      </w:r>
      <w:r>
        <w:rPr/>
        <w:t>Process</w:t>
      </w:r>
      <w:r>
        <w:rPr>
          <w:spacing w:val="-6"/>
        </w:rPr>
        <w:t> </w:t>
      </w:r>
      <w:r>
        <w:rPr/>
        <w:t>Law</w:t>
      </w:r>
      <w:r>
        <w:rPr>
          <w:spacing w:val="-7"/>
        </w:rPr>
        <w:t> </w:t>
      </w:r>
      <w:r>
        <w:rPr/>
        <w:t>delays</w:t>
      </w:r>
      <w:r>
        <w:rPr>
          <w:spacing w:val="-6"/>
        </w:rPr>
        <w:t> </w:t>
      </w:r>
      <w:r>
        <w:rPr/>
        <w:t>youth’s</w:t>
      </w:r>
      <w:r>
        <w:rPr>
          <w:spacing w:val="-6"/>
        </w:rPr>
        <w:t> </w:t>
      </w:r>
      <w:r>
        <w:rPr/>
        <w:t>access</w:t>
      </w:r>
      <w:r>
        <w:rPr>
          <w:spacing w:val="-6"/>
        </w:rPr>
        <w:t> </w:t>
      </w:r>
      <w:r>
        <w:rPr/>
        <w:t>to</w:t>
      </w:r>
      <w:r>
        <w:rPr>
          <w:spacing w:val="-6"/>
        </w:rPr>
        <w:t> </w:t>
      </w:r>
      <w:r>
        <w:rPr/>
        <w:t>abortion</w:t>
      </w:r>
      <w:r>
        <w:rPr>
          <w:spacing w:val="-7"/>
        </w:rPr>
        <w:t> </w:t>
      </w:r>
      <w:r>
        <w:rPr/>
        <w:t>by</w:t>
      </w:r>
      <w:r>
        <w:rPr>
          <w:spacing w:val="-6"/>
        </w:rPr>
        <w:t> </w:t>
      </w:r>
      <w:r>
        <w:rPr/>
        <w:t>14.8 days,</w:t>
      </w:r>
      <w:r>
        <w:rPr>
          <w:spacing w:val="-2"/>
        </w:rPr>
        <w:t> </w:t>
      </w:r>
      <w:r>
        <w:rPr/>
        <w:t>which</w:t>
      </w:r>
      <w:r>
        <w:rPr>
          <w:spacing w:val="-1"/>
        </w:rPr>
        <w:t> </w:t>
      </w:r>
      <w:r>
        <w:rPr/>
        <w:t>is</w:t>
      </w:r>
      <w:r>
        <w:rPr>
          <w:spacing w:val="-1"/>
        </w:rPr>
        <w:t> </w:t>
      </w:r>
      <w:r>
        <w:rPr/>
        <w:t>6.1</w:t>
      </w:r>
      <w:r>
        <w:rPr>
          <w:spacing w:val="-2"/>
        </w:rPr>
        <w:t> </w:t>
      </w:r>
      <w:r>
        <w:rPr/>
        <w:t>days</w:t>
      </w:r>
      <w:r>
        <w:rPr>
          <w:spacing w:val="-1"/>
        </w:rPr>
        <w:t> </w:t>
      </w:r>
      <w:r>
        <w:rPr/>
        <w:t>longer</w:t>
      </w:r>
      <w:r>
        <w:rPr>
          <w:spacing w:val="-2"/>
        </w:rPr>
        <w:t> </w:t>
      </w:r>
      <w:r>
        <w:rPr/>
        <w:t>than</w:t>
      </w:r>
      <w:r>
        <w:rPr>
          <w:spacing w:val="-2"/>
        </w:rPr>
        <w:t> </w:t>
      </w:r>
      <w:r>
        <w:rPr/>
        <w:t>youth</w:t>
      </w:r>
      <w:r>
        <w:rPr>
          <w:spacing w:val="-2"/>
        </w:rPr>
        <w:t> </w:t>
      </w:r>
      <w:r>
        <w:rPr/>
        <w:t>who</w:t>
      </w:r>
      <w:r>
        <w:rPr>
          <w:spacing w:val="-1"/>
        </w:rPr>
        <w:t> </w:t>
      </w:r>
      <w:r>
        <w:rPr/>
        <w:t>had</w:t>
      </w:r>
      <w:r>
        <w:rPr>
          <w:spacing w:val="-1"/>
        </w:rPr>
        <w:t> </w:t>
      </w:r>
      <w:r>
        <w:rPr/>
        <w:t>parental</w:t>
      </w:r>
      <w:r>
        <w:rPr>
          <w:spacing w:val="-2"/>
        </w:rPr>
        <w:t> </w:t>
      </w:r>
      <w:r>
        <w:rPr/>
        <w:t>permission.</w:t>
      </w:r>
      <w:r>
        <w:rPr>
          <w:spacing w:val="-2"/>
        </w:rPr>
        <w:t> </w:t>
      </w:r>
      <w:r>
        <w:rPr/>
        <w:t>It</w:t>
      </w:r>
      <w:r>
        <w:rPr>
          <w:spacing w:val="-2"/>
        </w:rPr>
        <w:t> </w:t>
      </w:r>
      <w:r>
        <w:rPr/>
        <w:t>is</w:t>
      </w:r>
      <w:r>
        <w:rPr>
          <w:spacing w:val="-1"/>
        </w:rPr>
        <w:t> </w:t>
      </w:r>
      <w:r>
        <w:rPr/>
        <w:t>also noted</w:t>
      </w:r>
      <w:r>
        <w:rPr>
          <w:spacing w:val="-1"/>
        </w:rPr>
        <w:t> </w:t>
      </w:r>
      <w:r>
        <w:rPr/>
        <w:t>that</w:t>
      </w:r>
      <w:r>
        <w:rPr>
          <w:spacing w:val="-1"/>
        </w:rPr>
        <w:t> </w:t>
      </w:r>
      <w:r>
        <w:rPr/>
        <w:t>the</w:t>
      </w:r>
      <w:r>
        <w:rPr>
          <w:spacing w:val="-2"/>
        </w:rPr>
        <w:t> </w:t>
      </w:r>
      <w:r>
        <w:rPr/>
        <w:t>majority</w:t>
      </w:r>
      <w:r>
        <w:rPr>
          <w:spacing w:val="-2"/>
        </w:rPr>
        <w:t> </w:t>
      </w:r>
      <w:r>
        <w:rPr/>
        <w:t>of young people navigating the judicial system to obtain a judge’s permission were disproportionately low- income, people of color</w:t>
      </w:r>
      <w:hyperlink w:history="true" w:anchor="_bookmark259">
        <w:r>
          <w:rPr/>
          <w:t>.</w:t>
        </w:r>
        <w:r>
          <w:rPr>
            <w:vertAlign w:val="superscript"/>
          </w:rPr>
          <w:t>66</w:t>
        </w:r>
      </w:hyperlink>
      <w:r>
        <w:rPr>
          <w:vertAlign w:val="baseline"/>
        </w:rPr>
        <w:t> Going through the legal process may also be time-consuming, especially if the pregnant</w:t>
      </w:r>
      <w:r>
        <w:rPr>
          <w:spacing w:val="-13"/>
          <w:vertAlign w:val="baseline"/>
        </w:rPr>
        <w:t> </w:t>
      </w:r>
      <w:r>
        <w:rPr>
          <w:vertAlign w:val="baseline"/>
        </w:rPr>
        <w:t>person</w:t>
      </w:r>
      <w:r>
        <w:rPr>
          <w:spacing w:val="-12"/>
          <w:vertAlign w:val="baseline"/>
        </w:rPr>
        <w:t> </w:t>
      </w:r>
      <w:r>
        <w:rPr>
          <w:vertAlign w:val="baseline"/>
        </w:rPr>
        <w:t>does</w:t>
      </w:r>
      <w:r>
        <w:rPr>
          <w:spacing w:val="-12"/>
          <w:vertAlign w:val="baseline"/>
        </w:rPr>
        <w:t> </w:t>
      </w:r>
      <w:r>
        <w:rPr>
          <w:vertAlign w:val="baseline"/>
        </w:rPr>
        <w:t>not</w:t>
      </w:r>
      <w:r>
        <w:rPr>
          <w:spacing w:val="-11"/>
          <w:vertAlign w:val="baseline"/>
        </w:rPr>
        <w:t> </w:t>
      </w:r>
      <w:r>
        <w:rPr>
          <w:vertAlign w:val="baseline"/>
        </w:rPr>
        <w:t>have</w:t>
      </w:r>
      <w:r>
        <w:rPr>
          <w:spacing w:val="-13"/>
          <w:vertAlign w:val="baseline"/>
        </w:rPr>
        <w:t> </w:t>
      </w:r>
      <w:r>
        <w:rPr>
          <w:vertAlign w:val="baseline"/>
        </w:rPr>
        <w:t>the</w:t>
      </w:r>
      <w:r>
        <w:rPr>
          <w:spacing w:val="-11"/>
          <w:vertAlign w:val="baseline"/>
        </w:rPr>
        <w:t> </w:t>
      </w:r>
      <w:r>
        <w:rPr>
          <w:vertAlign w:val="baseline"/>
        </w:rPr>
        <w:t>privilege</w:t>
      </w:r>
      <w:r>
        <w:rPr>
          <w:spacing w:val="-13"/>
          <w:vertAlign w:val="baseline"/>
        </w:rPr>
        <w:t> </w:t>
      </w:r>
      <w:r>
        <w:rPr>
          <w:vertAlign w:val="baseline"/>
        </w:rPr>
        <w:t>of</w:t>
      </w:r>
      <w:r>
        <w:rPr>
          <w:spacing w:val="-10"/>
          <w:vertAlign w:val="baseline"/>
        </w:rPr>
        <w:t> </w:t>
      </w:r>
      <w:r>
        <w:rPr>
          <w:vertAlign w:val="baseline"/>
        </w:rPr>
        <w:t>taking</w:t>
      </w:r>
      <w:r>
        <w:rPr>
          <w:spacing w:val="-12"/>
          <w:vertAlign w:val="baseline"/>
        </w:rPr>
        <w:t> </w:t>
      </w:r>
      <w:r>
        <w:rPr>
          <w:vertAlign w:val="baseline"/>
        </w:rPr>
        <w:t>time</w:t>
      </w:r>
      <w:r>
        <w:rPr>
          <w:spacing w:val="-12"/>
          <w:vertAlign w:val="baseline"/>
        </w:rPr>
        <w:t> </w:t>
      </w:r>
      <w:r>
        <w:rPr>
          <w:vertAlign w:val="baseline"/>
        </w:rPr>
        <w:t>off</w:t>
      </w:r>
      <w:r>
        <w:rPr>
          <w:spacing w:val="-12"/>
          <w:vertAlign w:val="baseline"/>
        </w:rPr>
        <w:t> </w:t>
      </w:r>
      <w:r>
        <w:rPr>
          <w:vertAlign w:val="baseline"/>
        </w:rPr>
        <w:t>from</w:t>
      </w:r>
      <w:r>
        <w:rPr>
          <w:spacing w:val="-12"/>
          <w:vertAlign w:val="baseline"/>
        </w:rPr>
        <w:t> </w:t>
      </w:r>
      <w:r>
        <w:rPr>
          <w:vertAlign w:val="baseline"/>
        </w:rPr>
        <w:t>work</w:t>
      </w:r>
      <w:r>
        <w:rPr>
          <w:spacing w:val="-13"/>
          <w:vertAlign w:val="baseline"/>
        </w:rPr>
        <w:t> </w:t>
      </w:r>
      <w:r>
        <w:rPr>
          <w:vertAlign w:val="baseline"/>
        </w:rPr>
        <w:t>to</w:t>
      </w:r>
      <w:r>
        <w:rPr>
          <w:spacing w:val="-10"/>
          <w:vertAlign w:val="baseline"/>
        </w:rPr>
        <w:t> </w:t>
      </w:r>
      <w:r>
        <w:rPr>
          <w:vertAlign w:val="baseline"/>
        </w:rPr>
        <w:t>navigate</w:t>
      </w:r>
      <w:r>
        <w:rPr>
          <w:spacing w:val="-13"/>
          <w:vertAlign w:val="baseline"/>
        </w:rPr>
        <w:t> </w:t>
      </w:r>
      <w:r>
        <w:rPr>
          <w:vertAlign w:val="baseline"/>
        </w:rPr>
        <w:t>the</w:t>
      </w:r>
      <w:r>
        <w:rPr>
          <w:spacing w:val="-11"/>
          <w:vertAlign w:val="baseline"/>
        </w:rPr>
        <w:t> </w:t>
      </w:r>
      <w:r>
        <w:rPr>
          <w:vertAlign w:val="baseline"/>
        </w:rPr>
        <w:t>legal</w:t>
      </w:r>
      <w:r>
        <w:rPr>
          <w:spacing w:val="-12"/>
          <w:vertAlign w:val="baseline"/>
        </w:rPr>
        <w:t> </w:t>
      </w:r>
      <w:r>
        <w:rPr>
          <w:vertAlign w:val="baseline"/>
        </w:rPr>
        <w:t>system,</w:t>
      </w:r>
      <w:r>
        <w:rPr>
          <w:spacing w:val="-12"/>
          <w:vertAlign w:val="baseline"/>
        </w:rPr>
        <w:t> </w:t>
      </w:r>
      <w:r>
        <w:rPr>
          <w:vertAlign w:val="baseline"/>
        </w:rPr>
        <w:t>which can be a distressing situation. The judicial bypass process not only delays access to surgical abortions but also delays youths' eligibility for medication abortions. Medication abortions might be the only safe and private way for youths to terminate their unintended pregnancies.</w:t>
      </w:r>
    </w:p>
    <w:p>
      <w:pPr>
        <w:pStyle w:val="BodyText"/>
        <w:spacing w:line="276" w:lineRule="auto" w:before="240"/>
        <w:ind w:left="463" w:right="240"/>
        <w:jc w:val="both"/>
      </w:pPr>
      <w:r>
        <w:rPr/>
        <w:t>In July 2022, former Governor Charlie Baker signed An Act Expanding Protections For Reproductive and Gender- affirming Care which expanded reproductive healthcare and gender-affirming services in the Commonwealth.</w:t>
      </w:r>
      <w:r>
        <w:rPr>
          <w:spacing w:val="-7"/>
        </w:rPr>
        <w:t> </w:t>
      </w:r>
      <w:r>
        <w:rPr/>
        <w:t>The</w:t>
      </w:r>
      <w:r>
        <w:rPr>
          <w:spacing w:val="-7"/>
        </w:rPr>
        <w:t> </w:t>
      </w:r>
      <w:r>
        <w:rPr/>
        <w:t>bill,</w:t>
      </w:r>
      <w:r>
        <w:rPr>
          <w:spacing w:val="-7"/>
        </w:rPr>
        <w:t> </w:t>
      </w:r>
      <w:r>
        <w:rPr/>
        <w:t>now</w:t>
      </w:r>
      <w:r>
        <w:rPr>
          <w:spacing w:val="-7"/>
        </w:rPr>
        <w:t> </w:t>
      </w:r>
      <w:r>
        <w:rPr/>
        <w:t>law,</w:t>
      </w:r>
      <w:r>
        <w:rPr>
          <w:spacing w:val="-7"/>
        </w:rPr>
        <w:t> </w:t>
      </w:r>
      <w:r>
        <w:rPr/>
        <w:t>included</w:t>
      </w:r>
      <w:r>
        <w:rPr>
          <w:spacing w:val="-8"/>
        </w:rPr>
        <w:t> </w:t>
      </w:r>
      <w:r>
        <w:rPr/>
        <w:t>a</w:t>
      </w:r>
      <w:r>
        <w:rPr>
          <w:spacing w:val="-7"/>
        </w:rPr>
        <w:t> </w:t>
      </w:r>
      <w:r>
        <w:rPr/>
        <w:t>section</w:t>
      </w:r>
      <w:r>
        <w:rPr>
          <w:spacing w:val="-7"/>
        </w:rPr>
        <w:t> </w:t>
      </w:r>
      <w:r>
        <w:rPr/>
        <w:t>that</w:t>
      </w:r>
      <w:r>
        <w:rPr>
          <w:spacing w:val="-7"/>
        </w:rPr>
        <w:t> </w:t>
      </w:r>
      <w:r>
        <w:rPr/>
        <w:t>ensures</w:t>
      </w:r>
      <w:r>
        <w:rPr>
          <w:spacing w:val="-6"/>
        </w:rPr>
        <w:t> </w:t>
      </w:r>
      <w:r>
        <w:rPr/>
        <w:t>public</w:t>
      </w:r>
      <w:r>
        <w:rPr>
          <w:spacing w:val="-8"/>
        </w:rPr>
        <w:t> </w:t>
      </w:r>
      <w:r>
        <w:rPr/>
        <w:t>university</w:t>
      </w:r>
      <w:r>
        <w:rPr>
          <w:spacing w:val="-7"/>
        </w:rPr>
        <w:t> </w:t>
      </w:r>
      <w:r>
        <w:rPr/>
        <w:t>students</w:t>
      </w:r>
      <w:r>
        <w:rPr>
          <w:spacing w:val="-6"/>
        </w:rPr>
        <w:t> </w:t>
      </w:r>
      <w:r>
        <w:rPr/>
        <w:t>have</w:t>
      </w:r>
      <w:r>
        <w:rPr>
          <w:spacing w:val="-8"/>
        </w:rPr>
        <w:t> </w:t>
      </w:r>
      <w:r>
        <w:rPr/>
        <w:t>access</w:t>
      </w:r>
      <w:r>
        <w:rPr>
          <w:spacing w:val="-6"/>
        </w:rPr>
        <w:t> </w:t>
      </w:r>
      <w:r>
        <w:rPr/>
        <w:t>to medication abortion through their university’s health services or by being connected to outside resources. This</w:t>
      </w:r>
      <w:r>
        <w:rPr>
          <w:spacing w:val="-11"/>
        </w:rPr>
        <w:t> </w:t>
      </w:r>
      <w:r>
        <w:rPr/>
        <w:t>legislation</w:t>
      </w:r>
      <w:r>
        <w:rPr>
          <w:spacing w:val="-11"/>
        </w:rPr>
        <w:t> </w:t>
      </w:r>
      <w:r>
        <w:rPr/>
        <w:t>also</w:t>
      </w:r>
      <w:r>
        <w:rPr>
          <w:spacing w:val="-11"/>
        </w:rPr>
        <w:t> </w:t>
      </w:r>
      <w:r>
        <w:rPr/>
        <w:t>created</w:t>
      </w:r>
      <w:r>
        <w:rPr>
          <w:spacing w:val="-11"/>
        </w:rPr>
        <w:t> </w:t>
      </w:r>
      <w:r>
        <w:rPr/>
        <w:t>the</w:t>
      </w:r>
      <w:r>
        <w:rPr>
          <w:spacing w:val="-11"/>
        </w:rPr>
        <w:t> </w:t>
      </w:r>
      <w:r>
        <w:rPr/>
        <w:t>Public</w:t>
      </w:r>
      <w:r>
        <w:rPr>
          <w:spacing w:val="-10"/>
        </w:rPr>
        <w:t> </w:t>
      </w:r>
      <w:r>
        <w:rPr/>
        <w:t>University</w:t>
      </w:r>
      <w:r>
        <w:rPr>
          <w:spacing w:val="-11"/>
        </w:rPr>
        <w:t> </w:t>
      </w:r>
      <w:r>
        <w:rPr/>
        <w:t>Health</w:t>
      </w:r>
      <w:r>
        <w:rPr>
          <w:spacing w:val="-11"/>
        </w:rPr>
        <w:t> </w:t>
      </w:r>
      <w:r>
        <w:rPr/>
        <w:t>Center</w:t>
      </w:r>
      <w:r>
        <w:rPr>
          <w:spacing w:val="-11"/>
        </w:rPr>
        <w:t> </w:t>
      </w:r>
      <w:r>
        <w:rPr/>
        <w:t>Sexual</w:t>
      </w:r>
      <w:r>
        <w:rPr>
          <w:spacing w:val="-11"/>
        </w:rPr>
        <w:t> </w:t>
      </w:r>
      <w:r>
        <w:rPr/>
        <w:t>and</w:t>
      </w:r>
      <w:r>
        <w:rPr>
          <w:spacing w:val="-11"/>
        </w:rPr>
        <w:t> </w:t>
      </w:r>
      <w:r>
        <w:rPr/>
        <w:t>Reproductive</w:t>
      </w:r>
      <w:r>
        <w:rPr>
          <w:spacing w:val="-10"/>
        </w:rPr>
        <w:t> </w:t>
      </w:r>
      <w:r>
        <w:rPr/>
        <w:t>Health</w:t>
      </w:r>
      <w:r>
        <w:rPr>
          <w:spacing w:val="-11"/>
        </w:rPr>
        <w:t> </w:t>
      </w:r>
      <w:r>
        <w:rPr/>
        <w:t>Preparation Fund to help cover expenses for implementing new programs</w:t>
      </w:r>
      <w:hyperlink w:history="true" w:anchor="_bookmark259">
        <w:r>
          <w:rPr/>
          <w:t>.</w:t>
        </w:r>
        <w:r>
          <w:rPr>
            <w:vertAlign w:val="superscript"/>
          </w:rPr>
          <w:t>67</w:t>
        </w:r>
      </w:hyperlink>
    </w:p>
    <w:p>
      <w:pPr>
        <w:pStyle w:val="BodyText"/>
        <w:spacing w:line="276" w:lineRule="auto" w:before="240"/>
        <w:ind w:left="463" w:right="241"/>
        <w:jc w:val="both"/>
      </w:pPr>
      <w:r>
        <w:rPr/>
        <w:t>Additionally,</w:t>
      </w:r>
      <w:r>
        <w:rPr>
          <w:spacing w:val="-3"/>
        </w:rPr>
        <w:t> </w:t>
      </w:r>
      <w:r>
        <w:rPr/>
        <w:t>in</w:t>
      </w:r>
      <w:r>
        <w:rPr>
          <w:spacing w:val="-4"/>
        </w:rPr>
        <w:t> </w:t>
      </w:r>
      <w:r>
        <w:rPr/>
        <w:t>April</w:t>
      </w:r>
      <w:r>
        <w:rPr>
          <w:spacing w:val="-4"/>
        </w:rPr>
        <w:t> </w:t>
      </w:r>
      <w:r>
        <w:rPr/>
        <w:t>of</w:t>
      </w:r>
      <w:r>
        <w:rPr>
          <w:spacing w:val="-3"/>
        </w:rPr>
        <w:t> </w:t>
      </w:r>
      <w:r>
        <w:rPr/>
        <w:t>2023,</w:t>
      </w:r>
      <w:r>
        <w:rPr>
          <w:spacing w:val="-4"/>
        </w:rPr>
        <w:t> </w:t>
      </w:r>
      <w:r>
        <w:rPr/>
        <w:t>after</w:t>
      </w:r>
      <w:r>
        <w:rPr>
          <w:spacing w:val="-3"/>
        </w:rPr>
        <w:t> </w:t>
      </w:r>
      <w:r>
        <w:rPr/>
        <w:t>a</w:t>
      </w:r>
      <w:r>
        <w:rPr>
          <w:spacing w:val="-4"/>
        </w:rPr>
        <w:t> </w:t>
      </w:r>
      <w:r>
        <w:rPr/>
        <w:t>federal</w:t>
      </w:r>
      <w:r>
        <w:rPr>
          <w:spacing w:val="-4"/>
        </w:rPr>
        <w:t> </w:t>
      </w:r>
      <w:r>
        <w:rPr/>
        <w:t>court</w:t>
      </w:r>
      <w:r>
        <w:rPr>
          <w:spacing w:val="-5"/>
        </w:rPr>
        <w:t> </w:t>
      </w:r>
      <w:r>
        <w:rPr/>
        <w:t>ruling</w:t>
      </w:r>
      <w:r>
        <w:rPr>
          <w:spacing w:val="-4"/>
        </w:rPr>
        <w:t> </w:t>
      </w:r>
      <w:r>
        <w:rPr/>
        <w:t>from</w:t>
      </w:r>
      <w:r>
        <w:rPr>
          <w:spacing w:val="-2"/>
        </w:rPr>
        <w:t> </w:t>
      </w:r>
      <w:r>
        <w:rPr/>
        <w:t>Texas</w:t>
      </w:r>
      <w:r>
        <w:rPr>
          <w:spacing w:val="-4"/>
        </w:rPr>
        <w:t> </w:t>
      </w:r>
      <w:r>
        <w:rPr/>
        <w:t>that</w:t>
      </w:r>
      <w:r>
        <w:rPr>
          <w:spacing w:val="-2"/>
        </w:rPr>
        <w:t> </w:t>
      </w:r>
      <w:r>
        <w:rPr/>
        <w:t>blocked</w:t>
      </w:r>
      <w:r>
        <w:rPr>
          <w:spacing w:val="-4"/>
        </w:rPr>
        <w:t> </w:t>
      </w:r>
      <w:r>
        <w:rPr/>
        <w:t>further</w:t>
      </w:r>
      <w:r>
        <w:rPr>
          <w:spacing w:val="-3"/>
        </w:rPr>
        <w:t> </w:t>
      </w:r>
      <w:r>
        <w:rPr/>
        <w:t>distribution</w:t>
      </w:r>
      <w:r>
        <w:rPr>
          <w:spacing w:val="-3"/>
        </w:rPr>
        <w:t> </w:t>
      </w:r>
      <w:r>
        <w:rPr/>
        <w:t>of</w:t>
      </w:r>
      <w:r>
        <w:rPr>
          <w:spacing w:val="-3"/>
        </w:rPr>
        <w:t> </w:t>
      </w:r>
      <w:r>
        <w:rPr/>
        <w:t>the medication abortion pill mifepristone, Governor Maura Healey issued an Executive Order affirming protections for abortion access in Massachusetts, and directing the state to begin stockpiling more than 15,000 doses of mifepristone to ensure access to the medication for over one year.</w:t>
      </w:r>
      <w:hyperlink w:history="true" w:anchor="_bookmark260">
        <w:r>
          <w:rPr>
            <w:vertAlign w:val="superscript"/>
          </w:rPr>
          <w:t>68</w:t>
        </w:r>
      </w:hyperlink>
    </w:p>
    <w:p>
      <w:pPr>
        <w:pStyle w:val="BodyText"/>
        <w:spacing w:line="276" w:lineRule="auto" w:before="239"/>
        <w:ind w:left="463" w:right="238"/>
        <w:jc w:val="both"/>
      </w:pPr>
      <w:r>
        <w:rPr/>
        <w:t>However,</w:t>
      </w:r>
      <w:r>
        <w:rPr>
          <w:spacing w:val="-13"/>
        </w:rPr>
        <w:t> </w:t>
      </w:r>
      <w:r>
        <w:rPr/>
        <w:t>though</w:t>
      </w:r>
      <w:r>
        <w:rPr>
          <w:spacing w:val="-12"/>
        </w:rPr>
        <w:t> </w:t>
      </w:r>
      <w:r>
        <w:rPr/>
        <w:t>Massachusetts</w:t>
      </w:r>
      <w:r>
        <w:rPr>
          <w:spacing w:val="-13"/>
        </w:rPr>
        <w:t> </w:t>
      </w:r>
      <w:r>
        <w:rPr/>
        <w:t>leans</w:t>
      </w:r>
      <w:r>
        <w:rPr>
          <w:spacing w:val="-12"/>
        </w:rPr>
        <w:t> </w:t>
      </w:r>
      <w:r>
        <w:rPr/>
        <w:t>progressively</w:t>
      </w:r>
      <w:r>
        <w:rPr>
          <w:spacing w:val="-13"/>
        </w:rPr>
        <w:t> </w:t>
      </w:r>
      <w:r>
        <w:rPr/>
        <w:t>toward</w:t>
      </w:r>
      <w:r>
        <w:rPr>
          <w:spacing w:val="-12"/>
        </w:rPr>
        <w:t> </w:t>
      </w:r>
      <w:r>
        <w:rPr/>
        <w:t>abortion</w:t>
      </w:r>
      <w:r>
        <w:rPr>
          <w:spacing w:val="-13"/>
        </w:rPr>
        <w:t> </w:t>
      </w:r>
      <w:r>
        <w:rPr/>
        <w:t>rights,</w:t>
      </w:r>
      <w:r>
        <w:rPr>
          <w:spacing w:val="-12"/>
        </w:rPr>
        <w:t> </w:t>
      </w:r>
      <w:r>
        <w:rPr/>
        <w:t>the</w:t>
      </w:r>
      <w:r>
        <w:rPr>
          <w:spacing w:val="-12"/>
        </w:rPr>
        <w:t> </w:t>
      </w:r>
      <w:r>
        <w:rPr/>
        <w:t>Massachusetts</w:t>
      </w:r>
      <w:r>
        <w:rPr>
          <w:spacing w:val="-13"/>
        </w:rPr>
        <w:t> </w:t>
      </w:r>
      <w:r>
        <w:rPr/>
        <w:t>Department of Public Health's lack of requiring medical providers and facilities it funds to provide routine abortion services</w:t>
      </w:r>
      <w:r>
        <w:rPr>
          <w:spacing w:val="-5"/>
        </w:rPr>
        <w:t> </w:t>
      </w:r>
      <w:r>
        <w:rPr/>
        <w:t>create</w:t>
      </w:r>
      <w:r>
        <w:rPr>
          <w:spacing w:val="-6"/>
        </w:rPr>
        <w:t> </w:t>
      </w:r>
      <w:r>
        <w:rPr/>
        <w:t>a</w:t>
      </w:r>
      <w:r>
        <w:rPr>
          <w:spacing w:val="-4"/>
        </w:rPr>
        <w:t> </w:t>
      </w:r>
      <w:r>
        <w:rPr/>
        <w:t>barrier</w:t>
      </w:r>
      <w:r>
        <w:rPr>
          <w:spacing w:val="-5"/>
        </w:rPr>
        <w:t> </w:t>
      </w:r>
      <w:r>
        <w:rPr/>
        <w:t>for</w:t>
      </w:r>
      <w:r>
        <w:rPr>
          <w:spacing w:val="-5"/>
        </w:rPr>
        <w:t> </w:t>
      </w:r>
      <w:r>
        <w:rPr/>
        <w:t>Massachusetts</w:t>
      </w:r>
      <w:r>
        <w:rPr>
          <w:spacing w:val="-5"/>
        </w:rPr>
        <w:t> </w:t>
      </w:r>
      <w:r>
        <w:rPr/>
        <w:t>residents</w:t>
      </w:r>
      <w:r>
        <w:rPr>
          <w:spacing w:val="-4"/>
        </w:rPr>
        <w:t> </w:t>
      </w:r>
      <w:r>
        <w:rPr/>
        <w:t>to</w:t>
      </w:r>
      <w:r>
        <w:rPr>
          <w:spacing w:val="-5"/>
        </w:rPr>
        <w:t> </w:t>
      </w:r>
      <w:r>
        <w:rPr/>
        <w:t>access</w:t>
      </w:r>
      <w:r>
        <w:rPr>
          <w:spacing w:val="-4"/>
        </w:rPr>
        <w:t> </w:t>
      </w:r>
      <w:r>
        <w:rPr/>
        <w:t>abortion</w:t>
      </w:r>
      <w:r>
        <w:rPr>
          <w:spacing w:val="-6"/>
        </w:rPr>
        <w:t> </w:t>
      </w:r>
      <w:r>
        <w:rPr/>
        <w:t>services</w:t>
      </w:r>
      <w:r>
        <w:rPr>
          <w:spacing w:val="-4"/>
        </w:rPr>
        <w:t> </w:t>
      </w:r>
      <w:r>
        <w:rPr/>
        <w:t>at</w:t>
      </w:r>
      <w:r>
        <w:rPr>
          <w:spacing w:val="-6"/>
        </w:rPr>
        <w:t> </w:t>
      </w:r>
      <w:r>
        <w:rPr/>
        <w:t>certain</w:t>
      </w:r>
      <w:r>
        <w:rPr>
          <w:spacing w:val="-4"/>
        </w:rPr>
        <w:t> </w:t>
      </w:r>
      <w:r>
        <w:rPr/>
        <w:t>medical</w:t>
      </w:r>
      <w:r>
        <w:rPr>
          <w:spacing w:val="-4"/>
        </w:rPr>
        <w:t> </w:t>
      </w:r>
      <w:r>
        <w:rPr/>
        <w:t>facilities in the state, thus causing pregnant people to travel far distances for abortion services. Fortunately, the Commonwealth</w:t>
      </w:r>
      <w:r>
        <w:rPr>
          <w:spacing w:val="-3"/>
        </w:rPr>
        <w:t> </w:t>
      </w:r>
      <w:r>
        <w:rPr/>
        <w:t>has</w:t>
      </w:r>
      <w:r>
        <w:rPr>
          <w:spacing w:val="-4"/>
        </w:rPr>
        <w:t> </w:t>
      </w:r>
      <w:r>
        <w:rPr/>
        <w:t>ensured</w:t>
      </w:r>
      <w:r>
        <w:rPr>
          <w:spacing w:val="-4"/>
        </w:rPr>
        <w:t> </w:t>
      </w:r>
      <w:r>
        <w:rPr/>
        <w:t>that</w:t>
      </w:r>
      <w:r>
        <w:rPr>
          <w:spacing w:val="-3"/>
        </w:rPr>
        <w:t> </w:t>
      </w:r>
      <w:r>
        <w:rPr/>
        <w:t>medical</w:t>
      </w:r>
      <w:r>
        <w:rPr>
          <w:spacing w:val="-4"/>
        </w:rPr>
        <w:t> </w:t>
      </w:r>
      <w:r>
        <w:rPr/>
        <w:t>providers</w:t>
      </w:r>
      <w:r>
        <w:rPr>
          <w:spacing w:val="-2"/>
        </w:rPr>
        <w:t> </w:t>
      </w:r>
      <w:r>
        <w:rPr/>
        <w:t>and</w:t>
      </w:r>
      <w:r>
        <w:rPr>
          <w:spacing w:val="-4"/>
        </w:rPr>
        <w:t> </w:t>
      </w:r>
      <w:r>
        <w:rPr/>
        <w:t>facilities</w:t>
      </w:r>
      <w:r>
        <w:rPr>
          <w:spacing w:val="-2"/>
        </w:rPr>
        <w:t> </w:t>
      </w:r>
      <w:r>
        <w:rPr/>
        <w:t>perform</w:t>
      </w:r>
      <w:r>
        <w:rPr>
          <w:spacing w:val="-4"/>
        </w:rPr>
        <w:t> </w:t>
      </w:r>
      <w:r>
        <w:rPr/>
        <w:t>emergency</w:t>
      </w:r>
      <w:r>
        <w:rPr>
          <w:spacing w:val="-3"/>
        </w:rPr>
        <w:t> </w:t>
      </w:r>
      <w:r>
        <w:rPr/>
        <w:t>abortions</w:t>
      </w:r>
      <w:r>
        <w:rPr>
          <w:spacing w:val="-4"/>
        </w:rPr>
        <w:t> </w:t>
      </w:r>
      <w:r>
        <w:rPr/>
        <w:t>to</w:t>
      </w:r>
      <w:r>
        <w:rPr>
          <w:spacing w:val="-3"/>
        </w:rPr>
        <w:t> </w:t>
      </w:r>
      <w:r>
        <w:rPr/>
        <w:t>stabilize the pregnant person in the event of a medical emergency. However, lack of access to routine abortion services can negatively impact LGBTQ youth with unintended pregnancies. Although unintended pregnancies are not classified as “emergencies” or “life-threatening,” unwanted pregnancies are still distressing to LGBTQ youth who do not want to be pregnant, especially if the pregnancy amplifies feelings of</w:t>
      </w:r>
      <w:r>
        <w:rPr>
          <w:spacing w:val="-13"/>
        </w:rPr>
        <w:t> </w:t>
      </w:r>
      <w:r>
        <w:rPr/>
        <w:t>gender</w:t>
      </w:r>
      <w:r>
        <w:rPr>
          <w:spacing w:val="-12"/>
        </w:rPr>
        <w:t> </w:t>
      </w:r>
      <w:r>
        <w:rPr/>
        <w:t>dysphoria.</w:t>
      </w:r>
      <w:r>
        <w:rPr>
          <w:spacing w:val="-13"/>
        </w:rPr>
        <w:t> </w:t>
      </w:r>
      <w:r>
        <w:rPr/>
        <w:t>The</w:t>
      </w:r>
      <w:r>
        <w:rPr>
          <w:spacing w:val="-12"/>
        </w:rPr>
        <w:t> </w:t>
      </w:r>
      <w:r>
        <w:rPr/>
        <w:t>Commonwealth</w:t>
      </w:r>
      <w:r>
        <w:rPr>
          <w:spacing w:val="-13"/>
        </w:rPr>
        <w:t> </w:t>
      </w:r>
      <w:r>
        <w:rPr/>
        <w:t>should</w:t>
      </w:r>
      <w:r>
        <w:rPr>
          <w:spacing w:val="-12"/>
        </w:rPr>
        <w:t> </w:t>
      </w:r>
      <w:r>
        <w:rPr/>
        <w:t>urge</w:t>
      </w:r>
      <w:r>
        <w:rPr>
          <w:spacing w:val="-13"/>
        </w:rPr>
        <w:t> </w:t>
      </w:r>
      <w:r>
        <w:rPr/>
        <w:t>the</w:t>
      </w:r>
      <w:r>
        <w:rPr>
          <w:spacing w:val="-12"/>
        </w:rPr>
        <w:t> </w:t>
      </w:r>
      <w:r>
        <w:rPr/>
        <w:t>Department</w:t>
      </w:r>
      <w:r>
        <w:rPr>
          <w:spacing w:val="-12"/>
        </w:rPr>
        <w:t> </w:t>
      </w:r>
      <w:r>
        <w:rPr/>
        <w:t>of</w:t>
      </w:r>
      <w:r>
        <w:rPr>
          <w:spacing w:val="-13"/>
        </w:rPr>
        <w:t> </w:t>
      </w:r>
      <w:r>
        <w:rPr/>
        <w:t>Public</w:t>
      </w:r>
      <w:r>
        <w:rPr>
          <w:spacing w:val="-12"/>
        </w:rPr>
        <w:t> </w:t>
      </w:r>
      <w:r>
        <w:rPr/>
        <w:t>Health</w:t>
      </w:r>
      <w:r>
        <w:rPr>
          <w:spacing w:val="-13"/>
        </w:rPr>
        <w:t> </w:t>
      </w:r>
      <w:r>
        <w:rPr/>
        <w:t>to</w:t>
      </w:r>
      <w:r>
        <w:rPr>
          <w:spacing w:val="-12"/>
        </w:rPr>
        <w:t> </w:t>
      </w:r>
      <w:r>
        <w:rPr/>
        <w:t>revise</w:t>
      </w:r>
      <w:r>
        <w:rPr>
          <w:spacing w:val="-13"/>
        </w:rPr>
        <w:t> </w:t>
      </w:r>
      <w:r>
        <w:rPr/>
        <w:t>its</w:t>
      </w:r>
      <w:r>
        <w:rPr>
          <w:spacing w:val="-12"/>
        </w:rPr>
        <w:t> </w:t>
      </w:r>
      <w:r>
        <w:rPr/>
        <w:t>provision of abortion requirements for medical facilities and programs it funds. The state should also work with the Department of Public Health to expand funding to invest in abortion-competent medical providers and resources in order to expand routine abortion service access to Massachusetts residents. Pregnant people with unintended pregnancies would not have to travel long distances within the state for an abortion.</w:t>
      </w:r>
    </w:p>
    <w:p>
      <w:pPr>
        <w:spacing w:before="241"/>
        <w:ind w:left="463" w:right="0" w:firstLine="0"/>
        <w:jc w:val="both"/>
        <w:rPr>
          <w:sz w:val="28"/>
        </w:rPr>
      </w:pPr>
      <w:bookmarkStart w:name="Birth Control Access" w:id="381"/>
      <w:bookmarkEnd w:id="381"/>
      <w:r>
        <w:rPr/>
      </w:r>
      <w:r>
        <w:rPr>
          <w:color w:val="365F91"/>
          <w:sz w:val="28"/>
        </w:rPr>
        <w:t>Birth</w:t>
      </w:r>
      <w:r>
        <w:rPr>
          <w:color w:val="365F91"/>
          <w:spacing w:val="-10"/>
          <w:sz w:val="28"/>
        </w:rPr>
        <w:t> </w:t>
      </w:r>
      <w:r>
        <w:rPr>
          <w:color w:val="365F91"/>
          <w:sz w:val="28"/>
        </w:rPr>
        <w:t>Control</w:t>
      </w:r>
      <w:r>
        <w:rPr>
          <w:color w:val="365F91"/>
          <w:spacing w:val="-10"/>
          <w:sz w:val="28"/>
        </w:rPr>
        <w:t> </w:t>
      </w:r>
      <w:r>
        <w:rPr>
          <w:color w:val="365F91"/>
          <w:spacing w:val="-2"/>
          <w:sz w:val="28"/>
        </w:rPr>
        <w:t>Access</w:t>
      </w:r>
    </w:p>
    <w:p>
      <w:pPr>
        <w:spacing w:line="276" w:lineRule="auto" w:before="291"/>
        <w:ind w:left="463" w:right="240" w:firstLine="0"/>
        <w:jc w:val="both"/>
        <w:rPr>
          <w:sz w:val="21"/>
        </w:rPr>
      </w:pPr>
      <w:r>
        <w:rPr>
          <w:sz w:val="21"/>
        </w:rPr>
        <w:t>In November 2017, Governor Charlie Baker signed An Act Relative to Advancing Contraceptive Coverage and Economic Security (ACCESS), which further expanded access to birth control. This law allows (1) eligible people</w:t>
      </w:r>
    </w:p>
    <w:p>
      <w:pPr>
        <w:spacing w:after="0" w:line="276" w:lineRule="auto"/>
        <w:jc w:val="both"/>
        <w:rPr>
          <w:sz w:val="21"/>
        </w:rPr>
        <w:sectPr>
          <w:pgSz w:w="12240" w:h="15840"/>
          <w:pgMar w:header="800" w:footer="1530" w:top="1080" w:bottom="1720" w:left="980" w:right="1000"/>
        </w:sectPr>
      </w:pPr>
    </w:p>
    <w:p>
      <w:pPr>
        <w:spacing w:line="276" w:lineRule="auto" w:before="69"/>
        <w:ind w:left="463" w:right="237" w:firstLine="0"/>
        <w:jc w:val="both"/>
        <w:rPr>
          <w:sz w:val="21"/>
        </w:rPr>
      </w:pPr>
      <w:r>
        <w:rPr>
          <w:sz w:val="21"/>
        </w:rPr>
        <w:t>to</w:t>
      </w:r>
      <w:r>
        <w:rPr>
          <w:spacing w:val="-3"/>
          <w:sz w:val="21"/>
        </w:rPr>
        <w:t> </w:t>
      </w:r>
      <w:r>
        <w:rPr>
          <w:sz w:val="21"/>
        </w:rPr>
        <w:t>get</w:t>
      </w:r>
      <w:r>
        <w:rPr>
          <w:spacing w:val="-3"/>
          <w:sz w:val="21"/>
        </w:rPr>
        <w:t> </w:t>
      </w:r>
      <w:r>
        <w:rPr>
          <w:sz w:val="21"/>
        </w:rPr>
        <w:t>a</w:t>
      </w:r>
      <w:r>
        <w:rPr>
          <w:spacing w:val="-3"/>
          <w:sz w:val="21"/>
        </w:rPr>
        <w:t> </w:t>
      </w:r>
      <w:r>
        <w:rPr>
          <w:sz w:val="21"/>
        </w:rPr>
        <w:t>year’s</w:t>
      </w:r>
      <w:r>
        <w:rPr>
          <w:spacing w:val="-4"/>
          <w:sz w:val="21"/>
        </w:rPr>
        <w:t> </w:t>
      </w:r>
      <w:r>
        <w:rPr>
          <w:sz w:val="21"/>
        </w:rPr>
        <w:t>supply</w:t>
      </w:r>
      <w:r>
        <w:rPr>
          <w:spacing w:val="-3"/>
          <w:sz w:val="21"/>
        </w:rPr>
        <w:t> </w:t>
      </w:r>
      <w:r>
        <w:rPr>
          <w:sz w:val="21"/>
        </w:rPr>
        <w:t>of</w:t>
      </w:r>
      <w:r>
        <w:rPr>
          <w:spacing w:val="-4"/>
          <w:sz w:val="21"/>
        </w:rPr>
        <w:t> </w:t>
      </w:r>
      <w:r>
        <w:rPr>
          <w:sz w:val="21"/>
        </w:rPr>
        <w:t>no-cost</w:t>
      </w:r>
      <w:r>
        <w:rPr>
          <w:spacing w:val="-3"/>
          <w:sz w:val="21"/>
        </w:rPr>
        <w:t> </w:t>
      </w:r>
      <w:r>
        <w:rPr>
          <w:sz w:val="21"/>
        </w:rPr>
        <w:t>birth</w:t>
      </w:r>
      <w:r>
        <w:rPr>
          <w:spacing w:val="-3"/>
          <w:sz w:val="21"/>
        </w:rPr>
        <w:t> </w:t>
      </w:r>
      <w:r>
        <w:rPr>
          <w:sz w:val="21"/>
        </w:rPr>
        <w:t>control</w:t>
      </w:r>
      <w:r>
        <w:rPr>
          <w:spacing w:val="-3"/>
          <w:sz w:val="21"/>
        </w:rPr>
        <w:t> </w:t>
      </w:r>
      <w:r>
        <w:rPr>
          <w:sz w:val="21"/>
        </w:rPr>
        <w:t>and</w:t>
      </w:r>
      <w:r>
        <w:rPr>
          <w:spacing w:val="-3"/>
          <w:sz w:val="21"/>
        </w:rPr>
        <w:t> </w:t>
      </w:r>
      <w:r>
        <w:rPr>
          <w:sz w:val="21"/>
        </w:rPr>
        <w:t>(2)</w:t>
      </w:r>
      <w:r>
        <w:rPr>
          <w:spacing w:val="-3"/>
          <w:sz w:val="21"/>
        </w:rPr>
        <w:t> </w:t>
      </w:r>
      <w:r>
        <w:rPr>
          <w:sz w:val="21"/>
        </w:rPr>
        <w:t>emergency</w:t>
      </w:r>
      <w:r>
        <w:rPr>
          <w:spacing w:val="-3"/>
          <w:sz w:val="21"/>
        </w:rPr>
        <w:t> </w:t>
      </w:r>
      <w:r>
        <w:rPr>
          <w:sz w:val="21"/>
        </w:rPr>
        <w:t>contraceptives,</w:t>
      </w:r>
      <w:r>
        <w:rPr>
          <w:spacing w:val="-3"/>
          <w:sz w:val="21"/>
        </w:rPr>
        <w:t> </w:t>
      </w:r>
      <w:r>
        <w:rPr>
          <w:sz w:val="21"/>
        </w:rPr>
        <w:t>such</w:t>
      </w:r>
      <w:r>
        <w:rPr>
          <w:spacing w:val="-3"/>
          <w:sz w:val="21"/>
        </w:rPr>
        <w:t> </w:t>
      </w:r>
      <w:r>
        <w:rPr>
          <w:sz w:val="21"/>
        </w:rPr>
        <w:t>as</w:t>
      </w:r>
      <w:r>
        <w:rPr>
          <w:spacing w:val="-4"/>
          <w:sz w:val="21"/>
        </w:rPr>
        <w:t> </w:t>
      </w:r>
      <w:r>
        <w:rPr>
          <w:sz w:val="21"/>
        </w:rPr>
        <w:t>Plan</w:t>
      </w:r>
      <w:r>
        <w:rPr>
          <w:spacing w:val="-3"/>
          <w:sz w:val="21"/>
        </w:rPr>
        <w:t> </w:t>
      </w:r>
      <w:r>
        <w:rPr>
          <w:sz w:val="21"/>
        </w:rPr>
        <w:t>B</w:t>
      </w:r>
      <w:r>
        <w:rPr>
          <w:spacing w:val="-2"/>
          <w:sz w:val="21"/>
        </w:rPr>
        <w:t> </w:t>
      </w:r>
      <w:r>
        <w:rPr>
          <w:sz w:val="21"/>
        </w:rPr>
        <w:t>One-Step</w:t>
      </w:r>
      <w:r>
        <w:rPr>
          <w:spacing w:val="-3"/>
          <w:sz w:val="21"/>
        </w:rPr>
        <w:t> </w:t>
      </w:r>
      <w:r>
        <w:rPr>
          <w:sz w:val="21"/>
        </w:rPr>
        <w:t>or</w:t>
      </w:r>
      <w:r>
        <w:rPr>
          <w:spacing w:val="-3"/>
          <w:sz w:val="21"/>
        </w:rPr>
        <w:t> </w:t>
      </w:r>
      <w:r>
        <w:rPr>
          <w:sz w:val="21"/>
        </w:rPr>
        <w:t>ella. Eligible patients can get birth control pills, patches, rings, or injectable birth control. To be eligible, one must be fully insured by a health insurance plan subject to Massachusetts law, including health plans from MassHealth and plans purchased on the MA Health Connector. Insurance through the MA Group Insurance Commission is also covered. This is an essential component that furthers reproductive rights.</w:t>
      </w:r>
    </w:p>
    <w:p>
      <w:pPr>
        <w:spacing w:line="276" w:lineRule="auto" w:before="239"/>
        <w:ind w:left="463" w:right="240" w:firstLine="0"/>
        <w:jc w:val="both"/>
        <w:rPr>
          <w:sz w:val="21"/>
        </w:rPr>
      </w:pPr>
      <w:r>
        <w:rPr>
          <w:sz w:val="21"/>
        </w:rPr>
        <w:t>Unfortunately, this provision may not have been effectively implemented; only about 300 eligible AFAB people obtained</w:t>
      </w:r>
      <w:r>
        <w:rPr>
          <w:spacing w:val="-4"/>
          <w:sz w:val="21"/>
        </w:rPr>
        <w:t> </w:t>
      </w:r>
      <w:r>
        <w:rPr>
          <w:sz w:val="21"/>
        </w:rPr>
        <w:t>a</w:t>
      </w:r>
      <w:r>
        <w:rPr>
          <w:spacing w:val="-4"/>
          <w:sz w:val="21"/>
        </w:rPr>
        <w:t> </w:t>
      </w:r>
      <w:r>
        <w:rPr>
          <w:sz w:val="21"/>
        </w:rPr>
        <w:t>12-month</w:t>
      </w:r>
      <w:r>
        <w:rPr>
          <w:spacing w:val="-4"/>
          <w:sz w:val="21"/>
        </w:rPr>
        <w:t> </w:t>
      </w:r>
      <w:r>
        <w:rPr>
          <w:sz w:val="21"/>
        </w:rPr>
        <w:t>supply</w:t>
      </w:r>
      <w:r>
        <w:rPr>
          <w:spacing w:val="-5"/>
          <w:sz w:val="21"/>
        </w:rPr>
        <w:t> </w:t>
      </w:r>
      <w:r>
        <w:rPr>
          <w:sz w:val="21"/>
        </w:rPr>
        <w:t>of</w:t>
      </w:r>
      <w:r>
        <w:rPr>
          <w:spacing w:val="-5"/>
          <w:sz w:val="21"/>
        </w:rPr>
        <w:t> </w:t>
      </w:r>
      <w:r>
        <w:rPr>
          <w:sz w:val="21"/>
        </w:rPr>
        <w:t>birth</w:t>
      </w:r>
      <w:r>
        <w:rPr>
          <w:spacing w:val="-4"/>
          <w:sz w:val="21"/>
        </w:rPr>
        <w:t> </w:t>
      </w:r>
      <w:r>
        <w:rPr>
          <w:sz w:val="21"/>
        </w:rPr>
        <w:t>control</w:t>
      </w:r>
      <w:r>
        <w:rPr>
          <w:spacing w:val="-5"/>
          <w:sz w:val="21"/>
        </w:rPr>
        <w:t> </w:t>
      </w:r>
      <w:r>
        <w:rPr>
          <w:sz w:val="21"/>
        </w:rPr>
        <w:t>in</w:t>
      </w:r>
      <w:r>
        <w:rPr>
          <w:spacing w:val="-4"/>
          <w:sz w:val="21"/>
        </w:rPr>
        <w:t> </w:t>
      </w:r>
      <w:r>
        <w:rPr>
          <w:sz w:val="21"/>
        </w:rPr>
        <w:t>2020</w:t>
      </w:r>
      <w:r>
        <w:rPr>
          <w:spacing w:val="-5"/>
          <w:sz w:val="21"/>
        </w:rPr>
        <w:t> </w:t>
      </w:r>
      <w:r>
        <w:rPr>
          <w:sz w:val="21"/>
        </w:rPr>
        <w:t>through</w:t>
      </w:r>
      <w:r>
        <w:rPr>
          <w:spacing w:val="-4"/>
          <w:sz w:val="21"/>
        </w:rPr>
        <w:t> </w:t>
      </w:r>
      <w:r>
        <w:rPr>
          <w:sz w:val="21"/>
        </w:rPr>
        <w:t>the</w:t>
      </w:r>
      <w:r>
        <w:rPr>
          <w:spacing w:val="-4"/>
          <w:sz w:val="21"/>
        </w:rPr>
        <w:t> </w:t>
      </w:r>
      <w:r>
        <w:rPr>
          <w:sz w:val="21"/>
        </w:rPr>
        <w:t>state’s</w:t>
      </w:r>
      <w:r>
        <w:rPr>
          <w:spacing w:val="-5"/>
          <w:sz w:val="21"/>
        </w:rPr>
        <w:t> </w:t>
      </w:r>
      <w:r>
        <w:rPr>
          <w:sz w:val="21"/>
        </w:rPr>
        <w:t>largest</w:t>
      </w:r>
      <w:r>
        <w:rPr>
          <w:spacing w:val="-4"/>
          <w:sz w:val="21"/>
        </w:rPr>
        <w:t> </w:t>
      </w:r>
      <w:r>
        <w:rPr>
          <w:sz w:val="21"/>
        </w:rPr>
        <w:t>insurers.</w:t>
      </w:r>
      <w:r>
        <w:rPr>
          <w:spacing w:val="-5"/>
          <w:sz w:val="21"/>
        </w:rPr>
        <w:t> </w:t>
      </w:r>
      <w:r>
        <w:rPr>
          <w:sz w:val="21"/>
        </w:rPr>
        <w:t>Patients</w:t>
      </w:r>
      <w:r>
        <w:rPr>
          <w:spacing w:val="-5"/>
          <w:sz w:val="21"/>
        </w:rPr>
        <w:t> </w:t>
      </w:r>
      <w:r>
        <w:rPr>
          <w:sz w:val="21"/>
        </w:rPr>
        <w:t>and</w:t>
      </w:r>
      <w:r>
        <w:rPr>
          <w:spacing w:val="-4"/>
          <w:sz w:val="21"/>
        </w:rPr>
        <w:t> </w:t>
      </w:r>
      <w:r>
        <w:rPr>
          <w:sz w:val="21"/>
        </w:rPr>
        <w:t>healthcare providers have reported poor experiences with trying</w:t>
      </w:r>
      <w:r>
        <w:rPr>
          <w:spacing w:val="-1"/>
          <w:sz w:val="21"/>
        </w:rPr>
        <w:t> </w:t>
      </w:r>
      <w:r>
        <w:rPr>
          <w:sz w:val="21"/>
        </w:rPr>
        <w:t>to obtain or prescribe a 12-month supply</w:t>
      </w:r>
      <w:r>
        <w:rPr>
          <w:spacing w:val="-2"/>
          <w:sz w:val="21"/>
        </w:rPr>
        <w:t> </w:t>
      </w:r>
      <w:r>
        <w:rPr>
          <w:sz w:val="21"/>
        </w:rPr>
        <w:t>of birth control. Not</w:t>
      </w:r>
      <w:r>
        <w:rPr>
          <w:spacing w:val="-3"/>
          <w:sz w:val="21"/>
        </w:rPr>
        <w:t> </w:t>
      </w:r>
      <w:r>
        <w:rPr>
          <w:sz w:val="21"/>
        </w:rPr>
        <w:t>many</w:t>
      </w:r>
      <w:r>
        <w:rPr>
          <w:spacing w:val="-3"/>
          <w:sz w:val="21"/>
        </w:rPr>
        <w:t> </w:t>
      </w:r>
      <w:r>
        <w:rPr>
          <w:sz w:val="21"/>
        </w:rPr>
        <w:t>eligible</w:t>
      </w:r>
      <w:r>
        <w:rPr>
          <w:spacing w:val="-3"/>
          <w:sz w:val="21"/>
        </w:rPr>
        <w:t> </w:t>
      </w:r>
      <w:r>
        <w:rPr>
          <w:sz w:val="21"/>
        </w:rPr>
        <w:t>patients,</w:t>
      </w:r>
      <w:r>
        <w:rPr>
          <w:spacing w:val="-3"/>
          <w:sz w:val="21"/>
        </w:rPr>
        <w:t> </w:t>
      </w:r>
      <w:r>
        <w:rPr>
          <w:sz w:val="21"/>
        </w:rPr>
        <w:t>healthcare</w:t>
      </w:r>
      <w:r>
        <w:rPr>
          <w:spacing w:val="-3"/>
          <w:sz w:val="21"/>
        </w:rPr>
        <w:t> </w:t>
      </w:r>
      <w:r>
        <w:rPr>
          <w:sz w:val="21"/>
        </w:rPr>
        <w:t>providers,</w:t>
      </w:r>
      <w:r>
        <w:rPr>
          <w:spacing w:val="-3"/>
          <w:sz w:val="21"/>
        </w:rPr>
        <w:t> </w:t>
      </w:r>
      <w:r>
        <w:rPr>
          <w:sz w:val="21"/>
        </w:rPr>
        <w:t>and</w:t>
      </w:r>
      <w:r>
        <w:rPr>
          <w:spacing w:val="-3"/>
          <w:sz w:val="21"/>
        </w:rPr>
        <w:t> </w:t>
      </w:r>
      <w:r>
        <w:rPr>
          <w:sz w:val="21"/>
        </w:rPr>
        <w:t>pharmacies</w:t>
      </w:r>
      <w:r>
        <w:rPr>
          <w:spacing w:val="-4"/>
          <w:sz w:val="21"/>
        </w:rPr>
        <w:t> </w:t>
      </w:r>
      <w:r>
        <w:rPr>
          <w:sz w:val="21"/>
        </w:rPr>
        <w:t>are</w:t>
      </w:r>
      <w:r>
        <w:rPr>
          <w:spacing w:val="-3"/>
          <w:sz w:val="21"/>
        </w:rPr>
        <w:t> </w:t>
      </w:r>
      <w:r>
        <w:rPr>
          <w:sz w:val="21"/>
        </w:rPr>
        <w:t>even</w:t>
      </w:r>
      <w:r>
        <w:rPr>
          <w:spacing w:val="-3"/>
          <w:sz w:val="21"/>
        </w:rPr>
        <w:t> </w:t>
      </w:r>
      <w:r>
        <w:rPr>
          <w:sz w:val="21"/>
        </w:rPr>
        <w:t>aware</w:t>
      </w:r>
      <w:r>
        <w:rPr>
          <w:spacing w:val="-3"/>
          <w:sz w:val="21"/>
        </w:rPr>
        <w:t> </w:t>
      </w:r>
      <w:r>
        <w:rPr>
          <w:sz w:val="21"/>
        </w:rPr>
        <w:t>of</w:t>
      </w:r>
      <w:r>
        <w:rPr>
          <w:spacing w:val="-4"/>
          <w:sz w:val="21"/>
        </w:rPr>
        <w:t> </w:t>
      </w:r>
      <w:r>
        <w:rPr>
          <w:sz w:val="21"/>
        </w:rPr>
        <w:t>this</w:t>
      </w:r>
      <w:r>
        <w:rPr>
          <w:spacing w:val="-4"/>
          <w:sz w:val="21"/>
        </w:rPr>
        <w:t> </w:t>
      </w:r>
      <w:r>
        <w:rPr>
          <w:sz w:val="21"/>
        </w:rPr>
        <w:t>provision</w:t>
      </w:r>
      <w:r>
        <w:rPr>
          <w:spacing w:val="-3"/>
          <w:sz w:val="21"/>
        </w:rPr>
        <w:t> </w:t>
      </w:r>
      <w:r>
        <w:rPr>
          <w:sz w:val="21"/>
        </w:rPr>
        <w:t>and</w:t>
      </w:r>
      <w:r>
        <w:rPr>
          <w:spacing w:val="-3"/>
          <w:sz w:val="21"/>
        </w:rPr>
        <w:t> </w:t>
      </w:r>
      <w:r>
        <w:rPr>
          <w:sz w:val="21"/>
        </w:rPr>
        <w:t>there</w:t>
      </w:r>
      <w:r>
        <w:rPr>
          <w:spacing w:val="-3"/>
          <w:sz w:val="21"/>
        </w:rPr>
        <w:t> </w:t>
      </w:r>
      <w:r>
        <w:rPr>
          <w:sz w:val="21"/>
        </w:rPr>
        <w:t>has been confusion on whether MassHealth beneficiaries are eligible due to poor awareness of the law and roll-out of the provision</w:t>
      </w:r>
      <w:hyperlink w:history="true" w:anchor="_bookmark261">
        <w:r>
          <w:rPr>
            <w:sz w:val="21"/>
          </w:rPr>
          <w:t>.</w:t>
        </w:r>
        <w:r>
          <w:rPr>
            <w:sz w:val="21"/>
            <w:vertAlign w:val="superscript"/>
          </w:rPr>
          <w:t>69</w:t>
        </w:r>
      </w:hyperlink>
    </w:p>
    <w:p>
      <w:pPr>
        <w:spacing w:line="276" w:lineRule="auto" w:before="240"/>
        <w:ind w:left="463" w:right="238" w:hanging="1"/>
        <w:jc w:val="both"/>
        <w:rPr>
          <w:sz w:val="21"/>
        </w:rPr>
      </w:pPr>
      <w:r>
        <w:rPr>
          <w:sz w:val="21"/>
        </w:rPr>
        <w:t>However, information about the ACCESS law is housed in the Mass.gov web services</w:t>
      </w:r>
      <w:hyperlink w:history="true" w:anchor="_bookmark262">
        <w:r>
          <w:rPr>
            <w:sz w:val="21"/>
          </w:rPr>
          <w:t>,</w:t>
        </w:r>
        <w:r>
          <w:rPr>
            <w:sz w:val="21"/>
            <w:vertAlign w:val="superscript"/>
          </w:rPr>
          <w:t>70</w:t>
        </w:r>
      </w:hyperlink>
      <w:r>
        <w:rPr>
          <w:sz w:val="21"/>
          <w:vertAlign w:val="baseline"/>
        </w:rPr>
        <w:t> where there is some detailed advice on how to find out if you are eligible for a one-year supply of prescription birth control, which includes</w:t>
      </w:r>
      <w:r>
        <w:rPr>
          <w:spacing w:val="-6"/>
          <w:sz w:val="21"/>
          <w:vertAlign w:val="baseline"/>
        </w:rPr>
        <w:t> </w:t>
      </w:r>
      <w:r>
        <w:rPr>
          <w:sz w:val="21"/>
          <w:vertAlign w:val="baseline"/>
        </w:rPr>
        <w:t>speaking</w:t>
      </w:r>
      <w:r>
        <w:rPr>
          <w:spacing w:val="-6"/>
          <w:sz w:val="21"/>
          <w:vertAlign w:val="baseline"/>
        </w:rPr>
        <w:t> </w:t>
      </w:r>
      <w:r>
        <w:rPr>
          <w:sz w:val="21"/>
          <w:vertAlign w:val="baseline"/>
        </w:rPr>
        <w:t>with</w:t>
      </w:r>
      <w:r>
        <w:rPr>
          <w:spacing w:val="-5"/>
          <w:sz w:val="21"/>
          <w:vertAlign w:val="baseline"/>
        </w:rPr>
        <w:t> </w:t>
      </w:r>
      <w:r>
        <w:rPr>
          <w:sz w:val="21"/>
          <w:vertAlign w:val="baseline"/>
        </w:rPr>
        <w:t>your</w:t>
      </w:r>
      <w:r>
        <w:rPr>
          <w:spacing w:val="-5"/>
          <w:sz w:val="21"/>
          <w:vertAlign w:val="baseline"/>
        </w:rPr>
        <w:t> </w:t>
      </w:r>
      <w:r>
        <w:rPr>
          <w:sz w:val="21"/>
          <w:vertAlign w:val="baseline"/>
        </w:rPr>
        <w:t>health</w:t>
      </w:r>
      <w:r>
        <w:rPr>
          <w:spacing w:val="-5"/>
          <w:sz w:val="21"/>
          <w:vertAlign w:val="baseline"/>
        </w:rPr>
        <w:t> </w:t>
      </w:r>
      <w:r>
        <w:rPr>
          <w:sz w:val="21"/>
          <w:vertAlign w:val="baseline"/>
        </w:rPr>
        <w:t>insurance</w:t>
      </w:r>
      <w:r>
        <w:rPr>
          <w:spacing w:val="-5"/>
          <w:sz w:val="21"/>
          <w:vertAlign w:val="baseline"/>
        </w:rPr>
        <w:t> </w:t>
      </w:r>
      <w:r>
        <w:rPr>
          <w:sz w:val="21"/>
          <w:vertAlign w:val="baseline"/>
        </w:rPr>
        <w:t>provider,</w:t>
      </w:r>
      <w:r>
        <w:rPr>
          <w:spacing w:val="-5"/>
          <w:sz w:val="21"/>
          <w:vertAlign w:val="baseline"/>
        </w:rPr>
        <w:t> </w:t>
      </w:r>
      <w:r>
        <w:rPr>
          <w:sz w:val="21"/>
          <w:vertAlign w:val="baseline"/>
        </w:rPr>
        <w:t>employee</w:t>
      </w:r>
      <w:r>
        <w:rPr>
          <w:spacing w:val="-5"/>
          <w:sz w:val="21"/>
          <w:vertAlign w:val="baseline"/>
        </w:rPr>
        <w:t> </w:t>
      </w:r>
      <w:r>
        <w:rPr>
          <w:sz w:val="21"/>
          <w:vertAlign w:val="baseline"/>
        </w:rPr>
        <w:t>benefits</w:t>
      </w:r>
      <w:r>
        <w:rPr>
          <w:spacing w:val="-6"/>
          <w:sz w:val="21"/>
          <w:vertAlign w:val="baseline"/>
        </w:rPr>
        <w:t> </w:t>
      </w:r>
      <w:r>
        <w:rPr>
          <w:sz w:val="21"/>
          <w:vertAlign w:val="baseline"/>
        </w:rPr>
        <w:t>administrator,</w:t>
      </w:r>
      <w:r>
        <w:rPr>
          <w:spacing w:val="-5"/>
          <w:sz w:val="21"/>
          <w:vertAlign w:val="baseline"/>
        </w:rPr>
        <w:t> </w:t>
      </w:r>
      <w:r>
        <w:rPr>
          <w:sz w:val="21"/>
          <w:vertAlign w:val="baseline"/>
        </w:rPr>
        <w:t>or</w:t>
      </w:r>
      <w:r>
        <w:rPr>
          <w:spacing w:val="-5"/>
          <w:sz w:val="21"/>
          <w:vertAlign w:val="baseline"/>
        </w:rPr>
        <w:t> </w:t>
      </w:r>
      <w:r>
        <w:rPr>
          <w:sz w:val="21"/>
          <w:vertAlign w:val="baseline"/>
        </w:rPr>
        <w:t>human</w:t>
      </w:r>
      <w:r>
        <w:rPr>
          <w:spacing w:val="-5"/>
          <w:sz w:val="21"/>
          <w:vertAlign w:val="baseline"/>
        </w:rPr>
        <w:t> </w:t>
      </w:r>
      <w:r>
        <w:rPr>
          <w:sz w:val="21"/>
          <w:vertAlign w:val="baseline"/>
        </w:rPr>
        <w:t>resources.</w:t>
      </w:r>
      <w:r>
        <w:rPr>
          <w:spacing w:val="-6"/>
          <w:sz w:val="21"/>
          <w:vertAlign w:val="baseline"/>
        </w:rPr>
        <w:t> </w:t>
      </w:r>
      <w:r>
        <w:rPr>
          <w:sz w:val="21"/>
          <w:vertAlign w:val="baseline"/>
        </w:rPr>
        <w:t>In the</w:t>
      </w:r>
      <w:r>
        <w:rPr>
          <w:spacing w:val="-3"/>
          <w:sz w:val="21"/>
          <w:vertAlign w:val="baseline"/>
        </w:rPr>
        <w:t> </w:t>
      </w:r>
      <w:r>
        <w:rPr>
          <w:sz w:val="21"/>
          <w:vertAlign w:val="baseline"/>
        </w:rPr>
        <w:t>event</w:t>
      </w:r>
      <w:r>
        <w:rPr>
          <w:spacing w:val="-4"/>
          <w:sz w:val="21"/>
          <w:vertAlign w:val="baseline"/>
        </w:rPr>
        <w:t> </w:t>
      </w:r>
      <w:r>
        <w:rPr>
          <w:sz w:val="21"/>
          <w:vertAlign w:val="baseline"/>
        </w:rPr>
        <w:t>that</w:t>
      </w:r>
      <w:r>
        <w:rPr>
          <w:spacing w:val="-4"/>
          <w:sz w:val="21"/>
          <w:vertAlign w:val="baseline"/>
        </w:rPr>
        <w:t> </w:t>
      </w:r>
      <w:r>
        <w:rPr>
          <w:sz w:val="21"/>
          <w:vertAlign w:val="baseline"/>
        </w:rPr>
        <w:t>a</w:t>
      </w:r>
      <w:r>
        <w:rPr>
          <w:spacing w:val="-3"/>
          <w:sz w:val="21"/>
          <w:vertAlign w:val="baseline"/>
        </w:rPr>
        <w:t> </w:t>
      </w:r>
      <w:r>
        <w:rPr>
          <w:sz w:val="21"/>
          <w:vertAlign w:val="baseline"/>
        </w:rPr>
        <w:t>patient’s</w:t>
      </w:r>
      <w:r>
        <w:rPr>
          <w:spacing w:val="-4"/>
          <w:sz w:val="21"/>
          <w:vertAlign w:val="baseline"/>
        </w:rPr>
        <w:t> </w:t>
      </w:r>
      <w:r>
        <w:rPr>
          <w:sz w:val="21"/>
          <w:vertAlign w:val="baseline"/>
        </w:rPr>
        <w:t>clinician</w:t>
      </w:r>
      <w:r>
        <w:rPr>
          <w:spacing w:val="-3"/>
          <w:sz w:val="21"/>
          <w:vertAlign w:val="baseline"/>
        </w:rPr>
        <w:t> </w:t>
      </w:r>
      <w:r>
        <w:rPr>
          <w:sz w:val="21"/>
          <w:vertAlign w:val="baseline"/>
        </w:rPr>
        <w:t>or</w:t>
      </w:r>
      <w:r>
        <w:rPr>
          <w:spacing w:val="-3"/>
          <w:sz w:val="21"/>
          <w:vertAlign w:val="baseline"/>
        </w:rPr>
        <w:t> </w:t>
      </w:r>
      <w:r>
        <w:rPr>
          <w:sz w:val="21"/>
          <w:vertAlign w:val="baseline"/>
        </w:rPr>
        <w:t>pharmacist</w:t>
      </w:r>
      <w:r>
        <w:rPr>
          <w:spacing w:val="-3"/>
          <w:sz w:val="21"/>
          <w:vertAlign w:val="baseline"/>
        </w:rPr>
        <w:t> </w:t>
      </w:r>
      <w:r>
        <w:rPr>
          <w:sz w:val="21"/>
          <w:vertAlign w:val="baseline"/>
        </w:rPr>
        <w:t>claims</w:t>
      </w:r>
      <w:r>
        <w:rPr>
          <w:spacing w:val="-5"/>
          <w:sz w:val="21"/>
          <w:vertAlign w:val="baseline"/>
        </w:rPr>
        <w:t> </w:t>
      </w:r>
      <w:r>
        <w:rPr>
          <w:sz w:val="21"/>
          <w:vertAlign w:val="baseline"/>
        </w:rPr>
        <w:t>to</w:t>
      </w:r>
      <w:r>
        <w:rPr>
          <w:spacing w:val="-3"/>
          <w:sz w:val="21"/>
          <w:vertAlign w:val="baseline"/>
        </w:rPr>
        <w:t> </w:t>
      </w:r>
      <w:r>
        <w:rPr>
          <w:sz w:val="21"/>
          <w:vertAlign w:val="baseline"/>
        </w:rPr>
        <w:t>be</w:t>
      </w:r>
      <w:r>
        <w:rPr>
          <w:spacing w:val="-3"/>
          <w:sz w:val="21"/>
          <w:vertAlign w:val="baseline"/>
        </w:rPr>
        <w:t> </w:t>
      </w:r>
      <w:r>
        <w:rPr>
          <w:sz w:val="21"/>
          <w:vertAlign w:val="baseline"/>
        </w:rPr>
        <w:t>unaware</w:t>
      </w:r>
      <w:r>
        <w:rPr>
          <w:spacing w:val="-3"/>
          <w:sz w:val="21"/>
          <w:vertAlign w:val="baseline"/>
        </w:rPr>
        <w:t> </w:t>
      </w:r>
      <w:r>
        <w:rPr>
          <w:sz w:val="21"/>
          <w:vertAlign w:val="baseline"/>
        </w:rPr>
        <w:t>of</w:t>
      </w:r>
      <w:r>
        <w:rPr>
          <w:spacing w:val="-4"/>
          <w:sz w:val="21"/>
          <w:vertAlign w:val="baseline"/>
        </w:rPr>
        <w:t> </w:t>
      </w:r>
      <w:r>
        <w:rPr>
          <w:sz w:val="21"/>
          <w:vertAlign w:val="baseline"/>
        </w:rPr>
        <w:t>the</w:t>
      </w:r>
      <w:r>
        <w:rPr>
          <w:spacing w:val="-3"/>
          <w:sz w:val="21"/>
          <w:vertAlign w:val="baseline"/>
        </w:rPr>
        <w:t> </w:t>
      </w:r>
      <w:r>
        <w:rPr>
          <w:sz w:val="21"/>
          <w:vertAlign w:val="baseline"/>
        </w:rPr>
        <w:t>ACCESS</w:t>
      </w:r>
      <w:r>
        <w:rPr>
          <w:spacing w:val="-4"/>
          <w:sz w:val="21"/>
          <w:vertAlign w:val="baseline"/>
        </w:rPr>
        <w:t> </w:t>
      </w:r>
      <w:r>
        <w:rPr>
          <w:sz w:val="21"/>
          <w:vertAlign w:val="baseline"/>
        </w:rPr>
        <w:t>provisions,</w:t>
      </w:r>
      <w:r>
        <w:rPr>
          <w:spacing w:val="-3"/>
          <w:sz w:val="21"/>
          <w:vertAlign w:val="baseline"/>
        </w:rPr>
        <w:t> </w:t>
      </w:r>
      <w:r>
        <w:rPr>
          <w:sz w:val="21"/>
          <w:vertAlign w:val="baseline"/>
        </w:rPr>
        <w:t>there</w:t>
      </w:r>
      <w:r>
        <w:rPr>
          <w:spacing w:val="-3"/>
          <w:sz w:val="21"/>
          <w:vertAlign w:val="baseline"/>
        </w:rPr>
        <w:t> </w:t>
      </w:r>
      <w:r>
        <w:rPr>
          <w:sz w:val="21"/>
          <w:vertAlign w:val="baseline"/>
        </w:rPr>
        <w:t>is</w:t>
      </w:r>
      <w:r>
        <w:rPr>
          <w:spacing w:val="-4"/>
          <w:sz w:val="21"/>
          <w:vertAlign w:val="baseline"/>
        </w:rPr>
        <w:t> </w:t>
      </w:r>
      <w:r>
        <w:rPr>
          <w:sz w:val="21"/>
          <w:vertAlign w:val="baseline"/>
        </w:rPr>
        <w:t>a</w:t>
      </w:r>
      <w:r>
        <w:rPr>
          <w:spacing w:val="-3"/>
          <w:sz w:val="21"/>
          <w:vertAlign w:val="baseline"/>
        </w:rPr>
        <w:t> </w:t>
      </w:r>
      <w:r>
        <w:rPr>
          <w:sz w:val="21"/>
          <w:vertAlign w:val="baseline"/>
        </w:rPr>
        <w:t>script provided for patients to utilize when discussing their desire for birth control.</w:t>
      </w:r>
      <w:hyperlink w:history="true" w:anchor="_bookmark263">
        <w:r>
          <w:rPr>
            <w:sz w:val="21"/>
            <w:vertAlign w:val="superscript"/>
          </w:rPr>
          <w:t>71</w:t>
        </w:r>
      </w:hyperlink>
      <w:r>
        <w:rPr>
          <w:sz w:val="21"/>
          <w:vertAlign w:val="baseline"/>
        </w:rPr>
        <w:t> Providing advice and conversational starter tips on accessing a one-year supply of birth control are helpful at the individual level. Despite this, instead of the issue of access falling on the legislature or agencies, it becomes an individualized problem that shifts the responsibility to the patient rather than the state.</w:t>
      </w:r>
    </w:p>
    <w:p>
      <w:pPr>
        <w:spacing w:line="276" w:lineRule="auto" w:before="241"/>
        <w:ind w:left="463" w:right="4890" w:firstLine="0"/>
        <w:jc w:val="both"/>
        <w:rPr>
          <w:sz w:val="21"/>
        </w:rPr>
      </w:pPr>
      <w:r>
        <w:rPr/>
        <w:drawing>
          <wp:anchor distT="0" distB="0" distL="0" distR="0" allowOverlap="1" layoutInCell="1" locked="0" behindDoc="0" simplePos="0" relativeHeight="15780864">
            <wp:simplePos x="0" y="0"/>
            <wp:positionH relativeFrom="page">
              <wp:posOffset>4120515</wp:posOffset>
            </wp:positionH>
            <wp:positionV relativeFrom="paragraph">
              <wp:posOffset>162934</wp:posOffset>
            </wp:positionV>
            <wp:extent cx="2952846" cy="2258056"/>
            <wp:effectExtent l="0" t="0" r="0" b="0"/>
            <wp:wrapNone/>
            <wp:docPr id="296" name="Image 296"/>
            <wp:cNvGraphicFramePr>
              <a:graphicFrameLocks/>
            </wp:cNvGraphicFramePr>
            <a:graphic>
              <a:graphicData uri="http://schemas.openxmlformats.org/drawingml/2006/picture">
                <pic:pic>
                  <pic:nvPicPr>
                    <pic:cNvPr id="296" name="Image 296"/>
                    <pic:cNvPicPr/>
                  </pic:nvPicPr>
                  <pic:blipFill>
                    <a:blip r:embed="rId320" cstate="print"/>
                    <a:stretch>
                      <a:fillRect/>
                    </a:stretch>
                  </pic:blipFill>
                  <pic:spPr>
                    <a:xfrm>
                      <a:off x="0" y="0"/>
                      <a:ext cx="2952846" cy="2258056"/>
                    </a:xfrm>
                    <a:prstGeom prst="rect">
                      <a:avLst/>
                    </a:prstGeom>
                  </pic:spPr>
                </pic:pic>
              </a:graphicData>
            </a:graphic>
          </wp:anchor>
        </w:drawing>
      </w:r>
      <w:r>
        <w:rPr>
          <w:sz w:val="21"/>
        </w:rPr>
        <w:t>At the national level, groups of reproductive justice and youth activists, advocacy groups, and healthcare professionals have formed the Free the Pill coalition to push for over-the-counter birth control pills. Over-the- counter birth control pills would be a major step in advancing reproductive rights and access. However, this process</w:t>
      </w:r>
      <w:r>
        <w:rPr>
          <w:spacing w:val="-2"/>
          <w:sz w:val="21"/>
        </w:rPr>
        <w:t> </w:t>
      </w:r>
      <w:r>
        <w:rPr>
          <w:sz w:val="21"/>
        </w:rPr>
        <w:t>requires</w:t>
      </w:r>
      <w:r>
        <w:rPr>
          <w:spacing w:val="-2"/>
          <w:sz w:val="21"/>
        </w:rPr>
        <w:t> </w:t>
      </w:r>
      <w:r>
        <w:rPr>
          <w:sz w:val="21"/>
        </w:rPr>
        <w:t>a</w:t>
      </w:r>
      <w:r>
        <w:rPr>
          <w:spacing w:val="-2"/>
          <w:sz w:val="21"/>
        </w:rPr>
        <w:t> </w:t>
      </w:r>
      <w:r>
        <w:rPr>
          <w:sz w:val="21"/>
        </w:rPr>
        <w:t>pharmaceutical</w:t>
      </w:r>
      <w:r>
        <w:rPr>
          <w:spacing w:val="-2"/>
          <w:sz w:val="21"/>
        </w:rPr>
        <w:t> </w:t>
      </w:r>
      <w:r>
        <w:rPr>
          <w:sz w:val="21"/>
        </w:rPr>
        <w:t>company</w:t>
      </w:r>
      <w:r>
        <w:rPr>
          <w:spacing w:val="-2"/>
          <w:sz w:val="21"/>
        </w:rPr>
        <w:t> </w:t>
      </w:r>
      <w:r>
        <w:rPr>
          <w:sz w:val="21"/>
        </w:rPr>
        <w:t>to</w:t>
      </w:r>
      <w:r>
        <w:rPr>
          <w:spacing w:val="-2"/>
          <w:sz w:val="21"/>
        </w:rPr>
        <w:t> </w:t>
      </w:r>
      <w:r>
        <w:rPr>
          <w:sz w:val="21"/>
        </w:rPr>
        <w:t>submit</w:t>
      </w:r>
      <w:r>
        <w:rPr>
          <w:spacing w:val="-2"/>
          <w:sz w:val="21"/>
        </w:rPr>
        <w:t> </w:t>
      </w:r>
      <w:r>
        <w:rPr>
          <w:sz w:val="21"/>
        </w:rPr>
        <w:t>an Rx-to-OTC</w:t>
      </w:r>
      <w:r>
        <w:rPr>
          <w:spacing w:val="-12"/>
          <w:sz w:val="21"/>
        </w:rPr>
        <w:t> </w:t>
      </w:r>
      <w:r>
        <w:rPr>
          <w:sz w:val="21"/>
        </w:rPr>
        <w:t>switch</w:t>
      </w:r>
      <w:r>
        <w:rPr>
          <w:spacing w:val="-12"/>
          <w:sz w:val="21"/>
        </w:rPr>
        <w:t> </w:t>
      </w:r>
      <w:r>
        <w:rPr>
          <w:sz w:val="21"/>
        </w:rPr>
        <w:t>application</w:t>
      </w:r>
      <w:r>
        <w:rPr>
          <w:spacing w:val="-11"/>
          <w:sz w:val="21"/>
        </w:rPr>
        <w:t> </w:t>
      </w:r>
      <w:r>
        <w:rPr>
          <w:sz w:val="21"/>
        </w:rPr>
        <w:t>to</w:t>
      </w:r>
      <w:r>
        <w:rPr>
          <w:spacing w:val="-12"/>
          <w:sz w:val="21"/>
        </w:rPr>
        <w:t> </w:t>
      </w:r>
      <w:r>
        <w:rPr>
          <w:sz w:val="21"/>
        </w:rPr>
        <w:t>the</w:t>
      </w:r>
      <w:r>
        <w:rPr>
          <w:spacing w:val="-11"/>
          <w:sz w:val="21"/>
        </w:rPr>
        <w:t> </w:t>
      </w:r>
      <w:r>
        <w:rPr>
          <w:sz w:val="21"/>
        </w:rPr>
        <w:t>FDA,</w:t>
      </w:r>
      <w:r>
        <w:rPr>
          <w:spacing w:val="-12"/>
          <w:sz w:val="21"/>
        </w:rPr>
        <w:t> </w:t>
      </w:r>
      <w:r>
        <w:rPr>
          <w:sz w:val="21"/>
        </w:rPr>
        <w:t>which</w:t>
      </w:r>
      <w:r>
        <w:rPr>
          <w:spacing w:val="-11"/>
          <w:sz w:val="21"/>
        </w:rPr>
        <w:t> </w:t>
      </w:r>
      <w:r>
        <w:rPr>
          <w:sz w:val="21"/>
        </w:rPr>
        <w:t>could</w:t>
      </w:r>
      <w:r>
        <w:rPr>
          <w:spacing w:val="-11"/>
          <w:sz w:val="21"/>
        </w:rPr>
        <w:t> </w:t>
      </w:r>
      <w:r>
        <w:rPr>
          <w:sz w:val="21"/>
        </w:rPr>
        <w:t>take time</w:t>
      </w:r>
      <w:r>
        <w:rPr>
          <w:spacing w:val="-11"/>
          <w:sz w:val="21"/>
        </w:rPr>
        <w:t> </w:t>
      </w:r>
      <w:r>
        <w:rPr>
          <w:sz w:val="21"/>
        </w:rPr>
        <w:t>to</w:t>
      </w:r>
      <w:r>
        <w:rPr>
          <w:spacing w:val="-12"/>
          <w:sz w:val="21"/>
        </w:rPr>
        <w:t> </w:t>
      </w:r>
      <w:r>
        <w:rPr>
          <w:sz w:val="21"/>
        </w:rPr>
        <w:t>process</w:t>
      </w:r>
      <w:r>
        <w:rPr>
          <w:spacing w:val="-12"/>
          <w:sz w:val="21"/>
        </w:rPr>
        <w:t> </w:t>
      </w:r>
      <w:r>
        <w:rPr>
          <w:sz w:val="21"/>
        </w:rPr>
        <w:t>and</w:t>
      </w:r>
      <w:r>
        <w:rPr>
          <w:spacing w:val="-11"/>
          <w:sz w:val="21"/>
        </w:rPr>
        <w:t> </w:t>
      </w:r>
      <w:r>
        <w:rPr>
          <w:sz w:val="21"/>
        </w:rPr>
        <w:t>pass.</w:t>
      </w:r>
      <w:r>
        <w:rPr>
          <w:spacing w:val="-11"/>
          <w:sz w:val="21"/>
        </w:rPr>
        <w:t> </w:t>
      </w:r>
      <w:r>
        <w:rPr>
          <w:sz w:val="21"/>
        </w:rPr>
        <w:t>OTC</w:t>
      </w:r>
      <w:r>
        <w:rPr>
          <w:spacing w:val="-12"/>
          <w:sz w:val="21"/>
        </w:rPr>
        <w:t> </w:t>
      </w:r>
      <w:r>
        <w:rPr>
          <w:sz w:val="21"/>
        </w:rPr>
        <w:t>birth</w:t>
      </w:r>
      <w:r>
        <w:rPr>
          <w:spacing w:val="-11"/>
          <w:sz w:val="21"/>
        </w:rPr>
        <w:t> </w:t>
      </w:r>
      <w:r>
        <w:rPr>
          <w:sz w:val="21"/>
        </w:rPr>
        <w:t>control</w:t>
      </w:r>
      <w:r>
        <w:rPr>
          <w:spacing w:val="-11"/>
          <w:sz w:val="21"/>
        </w:rPr>
        <w:t> </w:t>
      </w:r>
      <w:r>
        <w:rPr>
          <w:sz w:val="21"/>
        </w:rPr>
        <w:t>would</w:t>
      </w:r>
      <w:r>
        <w:rPr>
          <w:spacing w:val="-11"/>
          <w:sz w:val="21"/>
        </w:rPr>
        <w:t> </w:t>
      </w:r>
      <w:r>
        <w:rPr>
          <w:sz w:val="21"/>
        </w:rPr>
        <w:t>remove an</w:t>
      </w:r>
      <w:r>
        <w:rPr>
          <w:spacing w:val="-5"/>
          <w:sz w:val="21"/>
        </w:rPr>
        <w:t> </w:t>
      </w:r>
      <w:r>
        <w:rPr>
          <w:sz w:val="21"/>
        </w:rPr>
        <w:t>access</w:t>
      </w:r>
      <w:r>
        <w:rPr>
          <w:spacing w:val="-6"/>
          <w:sz w:val="21"/>
        </w:rPr>
        <w:t> </w:t>
      </w:r>
      <w:r>
        <w:rPr>
          <w:sz w:val="21"/>
        </w:rPr>
        <w:t>barrier</w:t>
      </w:r>
      <w:r>
        <w:rPr>
          <w:spacing w:val="-5"/>
          <w:sz w:val="21"/>
        </w:rPr>
        <w:t> </w:t>
      </w:r>
      <w:r>
        <w:rPr>
          <w:sz w:val="21"/>
        </w:rPr>
        <w:t>for</w:t>
      </w:r>
      <w:r>
        <w:rPr>
          <w:spacing w:val="-5"/>
          <w:sz w:val="21"/>
        </w:rPr>
        <w:t> </w:t>
      </w:r>
      <w:r>
        <w:rPr>
          <w:sz w:val="21"/>
        </w:rPr>
        <w:t>people</w:t>
      </w:r>
      <w:r>
        <w:rPr>
          <w:spacing w:val="-5"/>
          <w:sz w:val="21"/>
        </w:rPr>
        <w:t> </w:t>
      </w:r>
      <w:r>
        <w:rPr>
          <w:sz w:val="21"/>
        </w:rPr>
        <w:t>assigned</w:t>
      </w:r>
      <w:r>
        <w:rPr>
          <w:spacing w:val="-5"/>
          <w:sz w:val="21"/>
        </w:rPr>
        <w:t> </w:t>
      </w:r>
      <w:r>
        <w:rPr>
          <w:sz w:val="21"/>
        </w:rPr>
        <w:t>female</w:t>
      </w:r>
      <w:r>
        <w:rPr>
          <w:spacing w:val="-5"/>
          <w:sz w:val="21"/>
        </w:rPr>
        <w:t> </w:t>
      </w:r>
      <w:r>
        <w:rPr>
          <w:sz w:val="21"/>
        </w:rPr>
        <w:t>at</w:t>
      </w:r>
      <w:r>
        <w:rPr>
          <w:spacing w:val="-5"/>
          <w:sz w:val="21"/>
        </w:rPr>
        <w:t> </w:t>
      </w:r>
      <w:r>
        <w:rPr>
          <w:sz w:val="21"/>
        </w:rPr>
        <w:t>birth.</w:t>
      </w:r>
      <w:r>
        <w:rPr>
          <w:spacing w:val="-7"/>
          <w:sz w:val="21"/>
        </w:rPr>
        <w:t> </w:t>
      </w:r>
      <w:r>
        <w:rPr>
          <w:sz w:val="21"/>
        </w:rPr>
        <w:t>This would make it so they would not need to acquire a prescription, thus making it easier for LGBTQ youth who need</w:t>
      </w:r>
      <w:r>
        <w:rPr>
          <w:spacing w:val="21"/>
          <w:sz w:val="21"/>
        </w:rPr>
        <w:t> </w:t>
      </w:r>
      <w:r>
        <w:rPr>
          <w:sz w:val="21"/>
        </w:rPr>
        <w:t>to</w:t>
      </w:r>
      <w:r>
        <w:rPr>
          <w:spacing w:val="21"/>
          <w:sz w:val="21"/>
        </w:rPr>
        <w:t> </w:t>
      </w:r>
      <w:r>
        <w:rPr>
          <w:sz w:val="21"/>
        </w:rPr>
        <w:t>quickly</w:t>
      </w:r>
      <w:r>
        <w:rPr>
          <w:spacing w:val="23"/>
          <w:sz w:val="21"/>
        </w:rPr>
        <w:t> </w:t>
      </w:r>
      <w:r>
        <w:rPr>
          <w:sz w:val="21"/>
        </w:rPr>
        <w:t>get</w:t>
      </w:r>
      <w:r>
        <w:rPr>
          <w:spacing w:val="23"/>
          <w:sz w:val="21"/>
        </w:rPr>
        <w:t> </w:t>
      </w:r>
      <w:r>
        <w:rPr>
          <w:sz w:val="21"/>
        </w:rPr>
        <w:t>birth</w:t>
      </w:r>
      <w:r>
        <w:rPr>
          <w:spacing w:val="23"/>
          <w:sz w:val="21"/>
        </w:rPr>
        <w:t> </w:t>
      </w:r>
      <w:r>
        <w:rPr>
          <w:sz w:val="21"/>
        </w:rPr>
        <w:t>control</w:t>
      </w:r>
      <w:r>
        <w:rPr>
          <w:spacing w:val="23"/>
          <w:sz w:val="21"/>
        </w:rPr>
        <w:t> </w:t>
      </w:r>
      <w:r>
        <w:rPr>
          <w:sz w:val="21"/>
        </w:rPr>
        <w:t>and</w:t>
      </w:r>
      <w:r>
        <w:rPr>
          <w:spacing w:val="22"/>
          <w:sz w:val="21"/>
        </w:rPr>
        <w:t> </w:t>
      </w:r>
      <w:r>
        <w:rPr>
          <w:sz w:val="21"/>
        </w:rPr>
        <w:t>would</w:t>
      </w:r>
      <w:r>
        <w:rPr>
          <w:spacing w:val="23"/>
          <w:sz w:val="21"/>
        </w:rPr>
        <w:t> </w:t>
      </w:r>
      <w:r>
        <w:rPr>
          <w:sz w:val="21"/>
        </w:rPr>
        <w:t>not</w:t>
      </w:r>
      <w:r>
        <w:rPr>
          <w:spacing w:val="23"/>
          <w:sz w:val="21"/>
        </w:rPr>
        <w:t> </w:t>
      </w:r>
      <w:r>
        <w:rPr>
          <w:sz w:val="21"/>
        </w:rPr>
        <w:t>need</w:t>
      </w:r>
      <w:r>
        <w:rPr>
          <w:spacing w:val="23"/>
          <w:sz w:val="21"/>
        </w:rPr>
        <w:t> </w:t>
      </w:r>
      <w:r>
        <w:rPr>
          <w:spacing w:val="-10"/>
          <w:sz w:val="21"/>
        </w:rPr>
        <w:t>a</w:t>
      </w:r>
    </w:p>
    <w:p>
      <w:pPr>
        <w:spacing w:line="276" w:lineRule="auto" w:before="0"/>
        <w:ind w:left="463" w:right="238" w:firstLine="0"/>
        <w:jc w:val="both"/>
        <w:rPr>
          <w:sz w:val="21"/>
        </w:rPr>
      </w:pPr>
      <w:r>
        <w:rPr>
          <w:sz w:val="21"/>
        </w:rPr>
        <w:t>prescription from a clinician or primary care doctor. Aside from shielding LGBTQ youth from the possibility of experiencing trauma, discrimination, and mistreatment from primary care doctors, it can already be difficult to schedule an appointment with a</w:t>
      </w:r>
      <w:r>
        <w:rPr>
          <w:spacing w:val="-1"/>
          <w:sz w:val="21"/>
        </w:rPr>
        <w:t> </w:t>
      </w:r>
      <w:r>
        <w:rPr>
          <w:sz w:val="21"/>
        </w:rPr>
        <w:t>healthcare provider for a</w:t>
      </w:r>
      <w:r>
        <w:rPr>
          <w:spacing w:val="-1"/>
          <w:sz w:val="21"/>
        </w:rPr>
        <w:t> </w:t>
      </w:r>
      <w:r>
        <w:rPr>
          <w:sz w:val="21"/>
        </w:rPr>
        <w:t>birth</w:t>
      </w:r>
      <w:r>
        <w:rPr>
          <w:spacing w:val="-1"/>
          <w:sz w:val="21"/>
        </w:rPr>
        <w:t> </w:t>
      </w:r>
      <w:r>
        <w:rPr>
          <w:sz w:val="21"/>
        </w:rPr>
        <w:t>control prescription since appointments</w:t>
      </w:r>
      <w:r>
        <w:rPr>
          <w:spacing w:val="-1"/>
          <w:sz w:val="21"/>
        </w:rPr>
        <w:t> </w:t>
      </w:r>
      <w:r>
        <w:rPr>
          <w:sz w:val="21"/>
        </w:rPr>
        <w:t>tend</w:t>
      </w:r>
      <w:r>
        <w:rPr>
          <w:spacing w:val="-2"/>
          <w:sz w:val="21"/>
        </w:rPr>
        <w:t> </w:t>
      </w:r>
      <w:r>
        <w:rPr>
          <w:sz w:val="21"/>
        </w:rPr>
        <w:t>to get scheduled 2-3 months out. Since there does not seem to be any legislative push for over-the-counter birth control</w:t>
      </w:r>
      <w:r>
        <w:rPr>
          <w:spacing w:val="-10"/>
          <w:sz w:val="21"/>
        </w:rPr>
        <w:t> </w:t>
      </w:r>
      <w:r>
        <w:rPr>
          <w:sz w:val="21"/>
        </w:rPr>
        <w:t>at</w:t>
      </w:r>
      <w:r>
        <w:rPr>
          <w:spacing w:val="-10"/>
          <w:sz w:val="21"/>
        </w:rPr>
        <w:t> </w:t>
      </w:r>
      <w:r>
        <w:rPr>
          <w:sz w:val="21"/>
        </w:rPr>
        <w:t>the</w:t>
      </w:r>
      <w:r>
        <w:rPr>
          <w:spacing w:val="-12"/>
          <w:sz w:val="21"/>
        </w:rPr>
        <w:t> </w:t>
      </w:r>
      <w:r>
        <w:rPr>
          <w:sz w:val="21"/>
        </w:rPr>
        <w:t>state</w:t>
      </w:r>
      <w:r>
        <w:rPr>
          <w:spacing w:val="-10"/>
          <w:sz w:val="21"/>
        </w:rPr>
        <w:t> </w:t>
      </w:r>
      <w:r>
        <w:rPr>
          <w:sz w:val="21"/>
        </w:rPr>
        <w:t>level,</w:t>
      </w:r>
      <w:r>
        <w:rPr>
          <w:spacing w:val="-10"/>
          <w:sz w:val="21"/>
        </w:rPr>
        <w:t> </w:t>
      </w:r>
      <w:r>
        <w:rPr>
          <w:sz w:val="21"/>
        </w:rPr>
        <w:t>in</w:t>
      </w:r>
      <w:r>
        <w:rPr>
          <w:spacing w:val="-10"/>
          <w:sz w:val="21"/>
        </w:rPr>
        <w:t> </w:t>
      </w:r>
      <w:r>
        <w:rPr>
          <w:sz w:val="21"/>
        </w:rPr>
        <w:t>the</w:t>
      </w:r>
      <w:r>
        <w:rPr>
          <w:spacing w:val="-10"/>
          <w:sz w:val="21"/>
        </w:rPr>
        <w:t> </w:t>
      </w:r>
      <w:r>
        <w:rPr>
          <w:sz w:val="21"/>
        </w:rPr>
        <w:t>meantime,</w:t>
      </w:r>
      <w:r>
        <w:rPr>
          <w:spacing w:val="-12"/>
          <w:sz w:val="21"/>
        </w:rPr>
        <w:t> </w:t>
      </w:r>
      <w:r>
        <w:rPr>
          <w:sz w:val="21"/>
        </w:rPr>
        <w:t>it’s</w:t>
      </w:r>
      <w:r>
        <w:rPr>
          <w:spacing w:val="-11"/>
          <w:sz w:val="21"/>
        </w:rPr>
        <w:t> </w:t>
      </w:r>
      <w:r>
        <w:rPr>
          <w:sz w:val="21"/>
        </w:rPr>
        <w:t>recommended</w:t>
      </w:r>
      <w:r>
        <w:rPr>
          <w:spacing w:val="-10"/>
          <w:sz w:val="21"/>
        </w:rPr>
        <w:t> </w:t>
      </w:r>
      <w:r>
        <w:rPr>
          <w:sz w:val="21"/>
        </w:rPr>
        <w:t>that</w:t>
      </w:r>
      <w:r>
        <w:rPr>
          <w:spacing w:val="-11"/>
          <w:sz w:val="21"/>
        </w:rPr>
        <w:t> </w:t>
      </w:r>
      <w:r>
        <w:rPr>
          <w:sz w:val="21"/>
        </w:rPr>
        <w:t>the</w:t>
      </w:r>
      <w:r>
        <w:rPr>
          <w:spacing w:val="-10"/>
          <w:sz w:val="21"/>
        </w:rPr>
        <w:t> </w:t>
      </w:r>
      <w:r>
        <w:rPr>
          <w:sz w:val="21"/>
        </w:rPr>
        <w:t>Commonwealth</w:t>
      </w:r>
      <w:r>
        <w:rPr>
          <w:spacing w:val="-10"/>
          <w:sz w:val="21"/>
        </w:rPr>
        <w:t> </w:t>
      </w:r>
      <w:r>
        <w:rPr>
          <w:sz w:val="21"/>
        </w:rPr>
        <w:t>invests</w:t>
      </w:r>
      <w:r>
        <w:rPr>
          <w:spacing w:val="-11"/>
          <w:sz w:val="21"/>
        </w:rPr>
        <w:t> </w:t>
      </w:r>
      <w:r>
        <w:rPr>
          <w:sz w:val="21"/>
        </w:rPr>
        <w:t>in</w:t>
      </w:r>
      <w:r>
        <w:rPr>
          <w:spacing w:val="-10"/>
          <w:sz w:val="21"/>
        </w:rPr>
        <w:t> </w:t>
      </w:r>
      <w:r>
        <w:rPr>
          <w:sz w:val="21"/>
        </w:rPr>
        <w:t>robust</w:t>
      </w:r>
      <w:r>
        <w:rPr>
          <w:spacing w:val="-10"/>
          <w:sz w:val="21"/>
        </w:rPr>
        <w:t> </w:t>
      </w:r>
      <w:r>
        <w:rPr>
          <w:sz w:val="21"/>
        </w:rPr>
        <w:t>planning, implementation,</w:t>
      </w:r>
      <w:r>
        <w:rPr>
          <w:spacing w:val="-12"/>
          <w:sz w:val="21"/>
        </w:rPr>
        <w:t> </w:t>
      </w:r>
      <w:r>
        <w:rPr>
          <w:sz w:val="21"/>
        </w:rPr>
        <w:t>and</w:t>
      </w:r>
      <w:r>
        <w:rPr>
          <w:spacing w:val="-12"/>
          <w:sz w:val="21"/>
        </w:rPr>
        <w:t> </w:t>
      </w:r>
      <w:r>
        <w:rPr>
          <w:sz w:val="21"/>
        </w:rPr>
        <w:t>campaigning</w:t>
      </w:r>
      <w:r>
        <w:rPr>
          <w:spacing w:val="-12"/>
          <w:sz w:val="21"/>
        </w:rPr>
        <w:t> </w:t>
      </w:r>
      <w:r>
        <w:rPr>
          <w:sz w:val="21"/>
        </w:rPr>
        <w:t>when</w:t>
      </w:r>
      <w:r>
        <w:rPr>
          <w:spacing w:val="-12"/>
          <w:sz w:val="21"/>
        </w:rPr>
        <w:t> </w:t>
      </w:r>
      <w:r>
        <w:rPr>
          <w:sz w:val="21"/>
        </w:rPr>
        <w:t>rolling</w:t>
      </w:r>
      <w:r>
        <w:rPr>
          <w:spacing w:val="-12"/>
          <w:sz w:val="21"/>
        </w:rPr>
        <w:t> </w:t>
      </w:r>
      <w:r>
        <w:rPr>
          <w:sz w:val="21"/>
        </w:rPr>
        <w:t>out</w:t>
      </w:r>
      <w:r>
        <w:rPr>
          <w:spacing w:val="-12"/>
          <w:sz w:val="21"/>
        </w:rPr>
        <w:t> </w:t>
      </w:r>
      <w:r>
        <w:rPr>
          <w:sz w:val="21"/>
        </w:rPr>
        <w:t>reproductive</w:t>
      </w:r>
      <w:r>
        <w:rPr>
          <w:spacing w:val="-12"/>
          <w:sz w:val="21"/>
        </w:rPr>
        <w:t> </w:t>
      </w:r>
      <w:r>
        <w:rPr>
          <w:sz w:val="21"/>
        </w:rPr>
        <w:t>health</w:t>
      </w:r>
      <w:r>
        <w:rPr>
          <w:spacing w:val="-11"/>
          <w:sz w:val="21"/>
        </w:rPr>
        <w:t> </w:t>
      </w:r>
      <w:r>
        <w:rPr>
          <w:sz w:val="21"/>
        </w:rPr>
        <w:t>policies.</w:t>
      </w:r>
      <w:r>
        <w:rPr>
          <w:spacing w:val="-12"/>
          <w:sz w:val="21"/>
        </w:rPr>
        <w:t> </w:t>
      </w:r>
      <w:r>
        <w:rPr>
          <w:sz w:val="21"/>
        </w:rPr>
        <w:t>The</w:t>
      </w:r>
      <w:r>
        <w:rPr>
          <w:spacing w:val="-12"/>
          <w:sz w:val="21"/>
        </w:rPr>
        <w:t> </w:t>
      </w:r>
      <w:r>
        <w:rPr>
          <w:sz w:val="21"/>
        </w:rPr>
        <w:t>state</w:t>
      </w:r>
      <w:r>
        <w:rPr>
          <w:spacing w:val="-12"/>
          <w:sz w:val="21"/>
        </w:rPr>
        <w:t> </w:t>
      </w:r>
      <w:r>
        <w:rPr>
          <w:sz w:val="21"/>
        </w:rPr>
        <w:t>health</w:t>
      </w:r>
      <w:r>
        <w:rPr>
          <w:spacing w:val="-12"/>
          <w:sz w:val="21"/>
        </w:rPr>
        <w:t> </w:t>
      </w:r>
      <w:r>
        <w:rPr>
          <w:sz w:val="21"/>
        </w:rPr>
        <w:t>agencies</w:t>
      </w:r>
      <w:r>
        <w:rPr>
          <w:spacing w:val="-12"/>
          <w:sz w:val="21"/>
        </w:rPr>
        <w:t> </w:t>
      </w:r>
      <w:r>
        <w:rPr>
          <w:sz w:val="21"/>
        </w:rPr>
        <w:t>should invest</w:t>
      </w:r>
      <w:r>
        <w:rPr>
          <w:spacing w:val="-11"/>
          <w:sz w:val="21"/>
        </w:rPr>
        <w:t> </w:t>
      </w:r>
      <w:r>
        <w:rPr>
          <w:sz w:val="21"/>
        </w:rPr>
        <w:t>in</w:t>
      </w:r>
      <w:r>
        <w:rPr>
          <w:spacing w:val="-11"/>
          <w:sz w:val="21"/>
        </w:rPr>
        <w:t> </w:t>
      </w:r>
      <w:r>
        <w:rPr>
          <w:sz w:val="21"/>
        </w:rPr>
        <w:t>and</w:t>
      </w:r>
      <w:r>
        <w:rPr>
          <w:spacing w:val="-12"/>
          <w:sz w:val="21"/>
        </w:rPr>
        <w:t> </w:t>
      </w:r>
      <w:r>
        <w:rPr>
          <w:sz w:val="21"/>
        </w:rPr>
        <w:t>implement</w:t>
      </w:r>
      <w:r>
        <w:rPr>
          <w:spacing w:val="-12"/>
          <w:sz w:val="21"/>
        </w:rPr>
        <w:t> </w:t>
      </w:r>
      <w:r>
        <w:rPr>
          <w:sz w:val="21"/>
        </w:rPr>
        <w:t>training</w:t>
      </w:r>
      <w:r>
        <w:rPr>
          <w:spacing w:val="-11"/>
          <w:sz w:val="21"/>
        </w:rPr>
        <w:t> </w:t>
      </w:r>
      <w:r>
        <w:rPr>
          <w:sz w:val="21"/>
        </w:rPr>
        <w:t>for</w:t>
      </w:r>
      <w:r>
        <w:rPr>
          <w:spacing w:val="-11"/>
          <w:sz w:val="21"/>
        </w:rPr>
        <w:t> </w:t>
      </w:r>
      <w:r>
        <w:rPr>
          <w:sz w:val="21"/>
        </w:rPr>
        <w:t>healthcare</w:t>
      </w:r>
      <w:r>
        <w:rPr>
          <w:spacing w:val="-11"/>
          <w:sz w:val="21"/>
        </w:rPr>
        <w:t> </w:t>
      </w:r>
      <w:r>
        <w:rPr>
          <w:sz w:val="21"/>
        </w:rPr>
        <w:t>providers,</w:t>
      </w:r>
      <w:r>
        <w:rPr>
          <w:spacing w:val="-11"/>
          <w:sz w:val="21"/>
        </w:rPr>
        <w:t> </w:t>
      </w:r>
      <w:r>
        <w:rPr>
          <w:sz w:val="21"/>
        </w:rPr>
        <w:t>pharmacists,</w:t>
      </w:r>
      <w:r>
        <w:rPr>
          <w:spacing w:val="-11"/>
          <w:sz w:val="21"/>
        </w:rPr>
        <w:t> </w:t>
      </w:r>
      <w:r>
        <w:rPr>
          <w:sz w:val="21"/>
        </w:rPr>
        <w:t>and</w:t>
      </w:r>
      <w:r>
        <w:rPr>
          <w:spacing w:val="-11"/>
          <w:sz w:val="21"/>
        </w:rPr>
        <w:t> </w:t>
      </w:r>
      <w:r>
        <w:rPr>
          <w:sz w:val="21"/>
        </w:rPr>
        <w:t>insurers</w:t>
      </w:r>
      <w:r>
        <w:rPr>
          <w:spacing w:val="-12"/>
          <w:sz w:val="21"/>
        </w:rPr>
        <w:t> </w:t>
      </w:r>
      <w:r>
        <w:rPr>
          <w:sz w:val="21"/>
        </w:rPr>
        <w:t>on</w:t>
      </w:r>
      <w:r>
        <w:rPr>
          <w:spacing w:val="-11"/>
          <w:sz w:val="21"/>
        </w:rPr>
        <w:t> </w:t>
      </w:r>
      <w:r>
        <w:rPr>
          <w:sz w:val="21"/>
        </w:rPr>
        <w:t>the</w:t>
      </w:r>
      <w:r>
        <w:rPr>
          <w:spacing w:val="-12"/>
          <w:sz w:val="21"/>
        </w:rPr>
        <w:t> </w:t>
      </w:r>
      <w:r>
        <w:rPr>
          <w:sz w:val="21"/>
        </w:rPr>
        <w:t>ACCESS</w:t>
      </w:r>
      <w:r>
        <w:rPr>
          <w:spacing w:val="-12"/>
          <w:sz w:val="21"/>
        </w:rPr>
        <w:t> </w:t>
      </w:r>
      <w:r>
        <w:rPr>
          <w:sz w:val="21"/>
        </w:rPr>
        <w:t>law</w:t>
      </w:r>
      <w:r>
        <w:rPr>
          <w:spacing w:val="-10"/>
          <w:sz w:val="21"/>
        </w:rPr>
        <w:t> </w:t>
      </w:r>
      <w:r>
        <w:rPr>
          <w:sz w:val="21"/>
        </w:rPr>
        <w:t>and</w:t>
      </w:r>
      <w:r>
        <w:rPr>
          <w:spacing w:val="-12"/>
          <w:sz w:val="21"/>
        </w:rPr>
        <w:t> </w:t>
      </w:r>
      <w:r>
        <w:rPr>
          <w:sz w:val="21"/>
        </w:rPr>
        <w:t>other wide ranges of reproductive health-related provisions. The Commonwealth should also invest in creating more effective campaigning and implementing an education component to the ACCESS law.</w:t>
      </w:r>
    </w:p>
    <w:p>
      <w:pPr>
        <w:spacing w:after="0" w:line="276" w:lineRule="auto"/>
        <w:jc w:val="both"/>
        <w:rPr>
          <w:sz w:val="21"/>
        </w:rPr>
        <w:sectPr>
          <w:pgSz w:w="12240" w:h="15840"/>
          <w:pgMar w:header="800" w:footer="1530" w:top="1080" w:bottom="1760" w:left="980" w:right="1000"/>
        </w:sectPr>
      </w:pPr>
    </w:p>
    <w:p>
      <w:pPr>
        <w:spacing w:line="276" w:lineRule="auto" w:before="69"/>
        <w:ind w:left="463" w:right="242" w:firstLine="0"/>
        <w:jc w:val="both"/>
        <w:rPr>
          <w:sz w:val="21"/>
        </w:rPr>
      </w:pPr>
      <w:r>
        <w:rPr>
          <w:sz w:val="21"/>
        </w:rPr>
        <w:t>In</w:t>
      </w:r>
      <w:r>
        <w:rPr>
          <w:spacing w:val="-12"/>
          <w:sz w:val="21"/>
        </w:rPr>
        <w:t> </w:t>
      </w:r>
      <w:r>
        <w:rPr>
          <w:sz w:val="21"/>
        </w:rPr>
        <w:t>Massachusetts,</w:t>
      </w:r>
      <w:r>
        <w:rPr>
          <w:spacing w:val="-12"/>
          <w:sz w:val="21"/>
        </w:rPr>
        <w:t> </w:t>
      </w:r>
      <w:r>
        <w:rPr>
          <w:sz w:val="21"/>
        </w:rPr>
        <w:t>youth</w:t>
      </w:r>
      <w:r>
        <w:rPr>
          <w:spacing w:val="-12"/>
          <w:sz w:val="21"/>
        </w:rPr>
        <w:t> </w:t>
      </w:r>
      <w:r>
        <w:rPr>
          <w:sz w:val="21"/>
        </w:rPr>
        <w:t>under</w:t>
      </w:r>
      <w:r>
        <w:rPr>
          <w:spacing w:val="-12"/>
          <w:sz w:val="21"/>
        </w:rPr>
        <w:t> </w:t>
      </w:r>
      <w:r>
        <w:rPr>
          <w:sz w:val="21"/>
        </w:rPr>
        <w:t>the</w:t>
      </w:r>
      <w:r>
        <w:rPr>
          <w:spacing w:val="-12"/>
          <w:sz w:val="21"/>
        </w:rPr>
        <w:t> </w:t>
      </w:r>
      <w:r>
        <w:rPr>
          <w:sz w:val="21"/>
        </w:rPr>
        <w:t>age</w:t>
      </w:r>
      <w:r>
        <w:rPr>
          <w:spacing w:val="-12"/>
          <w:sz w:val="21"/>
        </w:rPr>
        <w:t> </w:t>
      </w:r>
      <w:r>
        <w:rPr>
          <w:sz w:val="21"/>
        </w:rPr>
        <w:t>of</w:t>
      </w:r>
      <w:r>
        <w:rPr>
          <w:spacing w:val="-12"/>
          <w:sz w:val="21"/>
        </w:rPr>
        <w:t> </w:t>
      </w:r>
      <w:r>
        <w:rPr>
          <w:sz w:val="21"/>
        </w:rPr>
        <w:t>18</w:t>
      </w:r>
      <w:r>
        <w:rPr>
          <w:spacing w:val="-11"/>
          <w:sz w:val="21"/>
        </w:rPr>
        <w:t> </w:t>
      </w:r>
      <w:r>
        <w:rPr>
          <w:sz w:val="21"/>
        </w:rPr>
        <w:t>can</w:t>
      </w:r>
      <w:r>
        <w:rPr>
          <w:spacing w:val="-12"/>
          <w:sz w:val="21"/>
        </w:rPr>
        <w:t> </w:t>
      </w:r>
      <w:r>
        <w:rPr>
          <w:sz w:val="21"/>
        </w:rPr>
        <w:t>get</w:t>
      </w:r>
      <w:r>
        <w:rPr>
          <w:spacing w:val="-12"/>
          <w:sz w:val="21"/>
        </w:rPr>
        <w:t> </w:t>
      </w:r>
      <w:r>
        <w:rPr>
          <w:sz w:val="21"/>
        </w:rPr>
        <w:t>a</w:t>
      </w:r>
      <w:r>
        <w:rPr>
          <w:spacing w:val="-12"/>
          <w:sz w:val="21"/>
        </w:rPr>
        <w:t> </w:t>
      </w:r>
      <w:r>
        <w:rPr>
          <w:sz w:val="21"/>
        </w:rPr>
        <w:t>prescription</w:t>
      </w:r>
      <w:r>
        <w:rPr>
          <w:spacing w:val="-12"/>
          <w:sz w:val="21"/>
        </w:rPr>
        <w:t> </w:t>
      </w:r>
      <w:r>
        <w:rPr>
          <w:sz w:val="21"/>
        </w:rPr>
        <w:t>for</w:t>
      </w:r>
      <w:r>
        <w:rPr>
          <w:spacing w:val="-12"/>
          <w:sz w:val="21"/>
        </w:rPr>
        <w:t> </w:t>
      </w:r>
      <w:r>
        <w:rPr>
          <w:sz w:val="21"/>
        </w:rPr>
        <w:t>birth</w:t>
      </w:r>
      <w:r>
        <w:rPr>
          <w:spacing w:val="-12"/>
          <w:sz w:val="21"/>
        </w:rPr>
        <w:t> </w:t>
      </w:r>
      <w:r>
        <w:rPr>
          <w:sz w:val="21"/>
        </w:rPr>
        <w:t>control</w:t>
      </w:r>
      <w:r>
        <w:rPr>
          <w:spacing w:val="-12"/>
          <w:sz w:val="21"/>
        </w:rPr>
        <w:t> </w:t>
      </w:r>
      <w:r>
        <w:rPr>
          <w:sz w:val="21"/>
        </w:rPr>
        <w:t>without</w:t>
      </w:r>
      <w:r>
        <w:rPr>
          <w:spacing w:val="-11"/>
          <w:sz w:val="21"/>
        </w:rPr>
        <w:t> </w:t>
      </w:r>
      <w:r>
        <w:rPr>
          <w:sz w:val="21"/>
        </w:rPr>
        <w:t>parental</w:t>
      </w:r>
      <w:r>
        <w:rPr>
          <w:spacing w:val="-12"/>
          <w:sz w:val="21"/>
        </w:rPr>
        <w:t> </w:t>
      </w:r>
      <w:r>
        <w:rPr>
          <w:sz w:val="21"/>
        </w:rPr>
        <w:t>or</w:t>
      </w:r>
      <w:r>
        <w:rPr>
          <w:spacing w:val="-12"/>
          <w:sz w:val="21"/>
        </w:rPr>
        <w:t> </w:t>
      </w:r>
      <w:r>
        <w:rPr>
          <w:sz w:val="21"/>
        </w:rPr>
        <w:t>guardian’s permission, though they do need parental consent for abortion procedures. Essentially, anyone of any age can get prescription</w:t>
      </w:r>
      <w:r>
        <w:rPr>
          <w:spacing w:val="-1"/>
          <w:sz w:val="21"/>
        </w:rPr>
        <w:t> </w:t>
      </w:r>
      <w:r>
        <w:rPr>
          <w:sz w:val="21"/>
        </w:rPr>
        <w:t>birth</w:t>
      </w:r>
      <w:r>
        <w:rPr>
          <w:spacing w:val="-1"/>
          <w:sz w:val="21"/>
        </w:rPr>
        <w:t> </w:t>
      </w:r>
      <w:r>
        <w:rPr>
          <w:sz w:val="21"/>
        </w:rPr>
        <w:t>control.</w:t>
      </w:r>
      <w:r>
        <w:rPr>
          <w:spacing w:val="-1"/>
          <w:sz w:val="21"/>
        </w:rPr>
        <w:t> </w:t>
      </w:r>
      <w:r>
        <w:rPr>
          <w:sz w:val="21"/>
        </w:rPr>
        <w:t>The</w:t>
      </w:r>
      <w:r>
        <w:rPr>
          <w:spacing w:val="-1"/>
          <w:sz w:val="21"/>
        </w:rPr>
        <w:t> </w:t>
      </w:r>
      <w:r>
        <w:rPr>
          <w:sz w:val="21"/>
        </w:rPr>
        <w:t>Massachusetts</w:t>
      </w:r>
      <w:r>
        <w:rPr>
          <w:spacing w:val="-1"/>
          <w:sz w:val="21"/>
        </w:rPr>
        <w:t> </w:t>
      </w:r>
      <w:r>
        <w:rPr>
          <w:sz w:val="21"/>
        </w:rPr>
        <w:t>Department of</w:t>
      </w:r>
      <w:r>
        <w:rPr>
          <w:spacing w:val="-1"/>
          <w:sz w:val="21"/>
        </w:rPr>
        <w:t> </w:t>
      </w:r>
      <w:r>
        <w:rPr>
          <w:sz w:val="21"/>
        </w:rPr>
        <w:t>Public</w:t>
      </w:r>
      <w:r>
        <w:rPr>
          <w:spacing w:val="-1"/>
          <w:sz w:val="21"/>
        </w:rPr>
        <w:t> </w:t>
      </w:r>
      <w:r>
        <w:rPr>
          <w:sz w:val="21"/>
        </w:rPr>
        <w:t>Health</w:t>
      </w:r>
      <w:r>
        <w:rPr>
          <w:spacing w:val="-1"/>
          <w:sz w:val="21"/>
        </w:rPr>
        <w:t> </w:t>
      </w:r>
      <w:r>
        <w:rPr>
          <w:sz w:val="21"/>
        </w:rPr>
        <w:t>funds</w:t>
      </w:r>
      <w:r>
        <w:rPr>
          <w:spacing w:val="-1"/>
          <w:sz w:val="21"/>
        </w:rPr>
        <w:t> </w:t>
      </w:r>
      <w:r>
        <w:rPr>
          <w:sz w:val="21"/>
        </w:rPr>
        <w:t>state-wide</w:t>
      </w:r>
      <w:r>
        <w:rPr>
          <w:spacing w:val="-2"/>
          <w:sz w:val="21"/>
        </w:rPr>
        <w:t> </w:t>
      </w:r>
      <w:r>
        <w:rPr>
          <w:sz w:val="21"/>
        </w:rPr>
        <w:t>family</w:t>
      </w:r>
      <w:r>
        <w:rPr>
          <w:spacing w:val="-1"/>
          <w:sz w:val="21"/>
        </w:rPr>
        <w:t> </w:t>
      </w:r>
      <w:r>
        <w:rPr>
          <w:sz w:val="21"/>
        </w:rPr>
        <w:t>planning programs that provide low or no-cost reproductive and sexual health healthcare and information that adolescents can access</w:t>
      </w:r>
      <w:hyperlink w:history="true" w:anchor="_bookmark264">
        <w:r>
          <w:rPr>
            <w:sz w:val="21"/>
          </w:rPr>
          <w:t>.</w:t>
        </w:r>
        <w:r>
          <w:rPr>
            <w:sz w:val="21"/>
            <w:vertAlign w:val="superscript"/>
          </w:rPr>
          <w:t>72</w:t>
        </w:r>
      </w:hyperlink>
    </w:p>
    <w:p>
      <w:pPr>
        <w:spacing w:before="238"/>
        <w:ind w:left="463" w:right="0" w:firstLine="0"/>
        <w:jc w:val="both"/>
        <w:rPr>
          <w:sz w:val="28"/>
        </w:rPr>
      </w:pPr>
      <w:bookmarkStart w:name="Access to Menstrual Products" w:id="382"/>
      <w:bookmarkEnd w:id="382"/>
      <w:r>
        <w:rPr/>
      </w:r>
      <w:r>
        <w:rPr>
          <w:color w:val="365F91"/>
          <w:sz w:val="28"/>
        </w:rPr>
        <w:t>Access</w:t>
      </w:r>
      <w:r>
        <w:rPr>
          <w:color w:val="365F91"/>
          <w:spacing w:val="-10"/>
          <w:sz w:val="28"/>
        </w:rPr>
        <w:t> </w:t>
      </w:r>
      <w:r>
        <w:rPr>
          <w:color w:val="365F91"/>
          <w:sz w:val="28"/>
        </w:rPr>
        <w:t>to</w:t>
      </w:r>
      <w:r>
        <w:rPr>
          <w:color w:val="365F91"/>
          <w:spacing w:val="-9"/>
          <w:sz w:val="28"/>
        </w:rPr>
        <w:t> </w:t>
      </w:r>
      <w:r>
        <w:rPr>
          <w:color w:val="365F91"/>
          <w:sz w:val="28"/>
        </w:rPr>
        <w:t>Menstrual</w:t>
      </w:r>
      <w:r>
        <w:rPr>
          <w:color w:val="365F91"/>
          <w:spacing w:val="-9"/>
          <w:sz w:val="28"/>
        </w:rPr>
        <w:t> </w:t>
      </w:r>
      <w:r>
        <w:rPr>
          <w:color w:val="365F91"/>
          <w:spacing w:val="-2"/>
          <w:sz w:val="28"/>
        </w:rPr>
        <w:t>Products</w:t>
      </w:r>
    </w:p>
    <w:p>
      <w:pPr>
        <w:pStyle w:val="BodyText"/>
        <w:spacing w:line="276" w:lineRule="auto" w:before="293"/>
        <w:ind w:left="463" w:right="240"/>
        <w:jc w:val="both"/>
      </w:pPr>
      <w:r>
        <w:rPr/>
        <w:t>In</w:t>
      </w:r>
      <w:r>
        <w:rPr>
          <w:spacing w:val="-3"/>
        </w:rPr>
        <w:t> </w:t>
      </w:r>
      <w:r>
        <w:rPr/>
        <w:t>May</w:t>
      </w:r>
      <w:r>
        <w:rPr>
          <w:spacing w:val="-3"/>
        </w:rPr>
        <w:t> </w:t>
      </w:r>
      <w:r>
        <w:rPr/>
        <w:t>2021,</w:t>
      </w:r>
      <w:r>
        <w:rPr>
          <w:spacing w:val="-3"/>
        </w:rPr>
        <w:t> </w:t>
      </w:r>
      <w:r>
        <w:rPr/>
        <w:t>to</w:t>
      </w:r>
      <w:r>
        <w:rPr>
          <w:spacing w:val="-2"/>
        </w:rPr>
        <w:t> </w:t>
      </w:r>
      <w:r>
        <w:rPr/>
        <w:t>commemorate</w:t>
      </w:r>
      <w:r>
        <w:rPr>
          <w:spacing w:val="-3"/>
        </w:rPr>
        <w:t> </w:t>
      </w:r>
      <w:r>
        <w:rPr>
          <w:i/>
        </w:rPr>
        <w:t>Menstrual</w:t>
      </w:r>
      <w:r>
        <w:rPr>
          <w:i/>
          <w:spacing w:val="-3"/>
        </w:rPr>
        <w:t> </w:t>
      </w:r>
      <w:r>
        <w:rPr>
          <w:i/>
        </w:rPr>
        <w:t>Hygiene</w:t>
      </w:r>
      <w:r>
        <w:rPr>
          <w:i/>
          <w:spacing w:val="-4"/>
        </w:rPr>
        <w:t> </w:t>
      </w:r>
      <w:r>
        <w:rPr>
          <w:i/>
        </w:rPr>
        <w:t>Day</w:t>
      </w:r>
      <w:r>
        <w:rPr/>
        <w:t>,</w:t>
      </w:r>
      <w:r>
        <w:rPr>
          <w:spacing w:val="-3"/>
        </w:rPr>
        <w:t> </w:t>
      </w:r>
      <w:r>
        <w:rPr/>
        <w:t>the</w:t>
      </w:r>
      <w:r>
        <w:rPr>
          <w:spacing w:val="-3"/>
        </w:rPr>
        <w:t> </w:t>
      </w:r>
      <w:r>
        <w:rPr/>
        <w:t>Menstrual</w:t>
      </w:r>
      <w:r>
        <w:rPr>
          <w:spacing w:val="-3"/>
        </w:rPr>
        <w:t> </w:t>
      </w:r>
      <w:r>
        <w:rPr/>
        <w:t>Equity</w:t>
      </w:r>
      <w:r>
        <w:rPr>
          <w:spacing w:val="-3"/>
        </w:rPr>
        <w:t> </w:t>
      </w:r>
      <w:r>
        <w:rPr/>
        <w:t>for</w:t>
      </w:r>
      <w:r>
        <w:rPr>
          <w:spacing w:val="-3"/>
        </w:rPr>
        <w:t> </w:t>
      </w:r>
      <w:r>
        <w:rPr/>
        <w:t>All</w:t>
      </w:r>
      <w:r>
        <w:rPr>
          <w:spacing w:val="-3"/>
        </w:rPr>
        <w:t> </w:t>
      </w:r>
      <w:r>
        <w:rPr/>
        <w:t>Act</w:t>
      </w:r>
      <w:r>
        <w:rPr>
          <w:spacing w:val="-3"/>
        </w:rPr>
        <w:t> </w:t>
      </w:r>
      <w:r>
        <w:rPr/>
        <w:t>of</w:t>
      </w:r>
      <w:r>
        <w:rPr>
          <w:spacing w:val="-3"/>
        </w:rPr>
        <w:t> </w:t>
      </w:r>
      <w:r>
        <w:rPr/>
        <w:t>2021</w:t>
      </w:r>
      <w:r>
        <w:rPr>
          <w:spacing w:val="-3"/>
        </w:rPr>
        <w:t> </w:t>
      </w:r>
      <w:r>
        <w:rPr/>
        <w:t>(H.R.3614) was introduced to the United States Congress, though did not progress. The bill aimed to increase the availability and affordability of menstrual products for individuals with limited access, and for other purposes. The legislation’s components include giving states the option to use federal funds to provide students with free menstrual products in schools, incentivizing universities to implement pilot programs that provide free menstrual products, ensuring free menstrual products to detainees in federal, state, and local facilities (including immigration detention centers), ensure that homeless shelters can use grants to cover menstrual products, requiring Medicaid to cover the cost of menstrual products, directing large employers with 100 employees or more to provide free menstrual products to employees, and require all federal</w:t>
      </w:r>
      <w:r>
        <w:rPr>
          <w:spacing w:val="-10"/>
        </w:rPr>
        <w:t> </w:t>
      </w:r>
      <w:r>
        <w:rPr/>
        <w:t>buildings</w:t>
      </w:r>
      <w:r>
        <w:rPr>
          <w:spacing w:val="-10"/>
        </w:rPr>
        <w:t> </w:t>
      </w:r>
      <w:r>
        <w:rPr/>
        <w:t>to</w:t>
      </w:r>
      <w:r>
        <w:rPr>
          <w:spacing w:val="-9"/>
        </w:rPr>
        <w:t> </w:t>
      </w:r>
      <w:r>
        <w:rPr/>
        <w:t>provide</w:t>
      </w:r>
      <w:r>
        <w:rPr>
          <w:spacing w:val="-10"/>
        </w:rPr>
        <w:t> </w:t>
      </w:r>
      <w:r>
        <w:rPr/>
        <w:t>free</w:t>
      </w:r>
      <w:r>
        <w:rPr>
          <w:spacing w:val="-10"/>
        </w:rPr>
        <w:t> </w:t>
      </w:r>
      <w:r>
        <w:rPr/>
        <w:t>menstrual</w:t>
      </w:r>
      <w:r>
        <w:rPr>
          <w:spacing w:val="-10"/>
        </w:rPr>
        <w:t> </w:t>
      </w:r>
      <w:r>
        <w:rPr/>
        <w:t>products</w:t>
      </w:r>
      <w:r>
        <w:rPr>
          <w:spacing w:val="-10"/>
        </w:rPr>
        <w:t> </w:t>
      </w:r>
      <w:r>
        <w:rPr/>
        <w:t>in</w:t>
      </w:r>
      <w:r>
        <w:rPr>
          <w:spacing w:val="-10"/>
        </w:rPr>
        <w:t> </w:t>
      </w:r>
      <w:r>
        <w:rPr/>
        <w:t>restrooms.</w:t>
      </w:r>
      <w:r>
        <w:rPr>
          <w:spacing w:val="-10"/>
        </w:rPr>
        <w:t> </w:t>
      </w:r>
      <w:r>
        <w:rPr/>
        <w:t>This</w:t>
      </w:r>
      <w:r>
        <w:rPr>
          <w:spacing w:val="-10"/>
        </w:rPr>
        <w:t> </w:t>
      </w:r>
      <w:r>
        <w:rPr/>
        <w:t>is</w:t>
      </w:r>
      <w:r>
        <w:rPr>
          <w:spacing w:val="-10"/>
        </w:rPr>
        <w:t> </w:t>
      </w:r>
      <w:r>
        <w:rPr/>
        <w:t>a</w:t>
      </w:r>
      <w:r>
        <w:rPr>
          <w:spacing w:val="-10"/>
        </w:rPr>
        <w:t> </w:t>
      </w:r>
      <w:r>
        <w:rPr/>
        <w:t>federal,</w:t>
      </w:r>
      <w:r>
        <w:rPr>
          <w:spacing w:val="-10"/>
        </w:rPr>
        <w:t> </w:t>
      </w:r>
      <w:r>
        <w:rPr/>
        <w:t>comprehensive</w:t>
      </w:r>
      <w:r>
        <w:rPr>
          <w:spacing w:val="-10"/>
        </w:rPr>
        <w:t> </w:t>
      </w:r>
      <w:r>
        <w:rPr/>
        <w:t>initiative that</w:t>
      </w:r>
      <w:r>
        <w:rPr>
          <w:spacing w:val="-3"/>
        </w:rPr>
        <w:t> </w:t>
      </w:r>
      <w:r>
        <w:rPr/>
        <w:t>would</w:t>
      </w:r>
      <w:r>
        <w:rPr>
          <w:spacing w:val="-3"/>
        </w:rPr>
        <w:t> </w:t>
      </w:r>
      <w:r>
        <w:rPr/>
        <w:t>further</w:t>
      </w:r>
      <w:r>
        <w:rPr>
          <w:spacing w:val="-4"/>
        </w:rPr>
        <w:t> </w:t>
      </w:r>
      <w:r>
        <w:rPr/>
        <w:t>reproductive</w:t>
      </w:r>
      <w:r>
        <w:rPr>
          <w:spacing w:val="-3"/>
        </w:rPr>
        <w:t> </w:t>
      </w:r>
      <w:r>
        <w:rPr/>
        <w:t>access</w:t>
      </w:r>
      <w:r>
        <w:rPr>
          <w:spacing w:val="-4"/>
        </w:rPr>
        <w:t> </w:t>
      </w:r>
      <w:r>
        <w:rPr/>
        <w:t>for</w:t>
      </w:r>
      <w:r>
        <w:rPr>
          <w:spacing w:val="-4"/>
        </w:rPr>
        <w:t> </w:t>
      </w:r>
      <w:r>
        <w:rPr/>
        <w:t>menstruating</w:t>
      </w:r>
      <w:r>
        <w:rPr>
          <w:spacing w:val="-4"/>
        </w:rPr>
        <w:t> </w:t>
      </w:r>
      <w:r>
        <w:rPr/>
        <w:t>LGBTQ</w:t>
      </w:r>
      <w:r>
        <w:rPr>
          <w:spacing w:val="-3"/>
        </w:rPr>
        <w:t> </w:t>
      </w:r>
      <w:r>
        <w:rPr/>
        <w:t>youth,</w:t>
      </w:r>
      <w:r>
        <w:rPr>
          <w:spacing w:val="-2"/>
        </w:rPr>
        <w:t> </w:t>
      </w:r>
      <w:r>
        <w:rPr/>
        <w:t>especially</w:t>
      </w:r>
      <w:r>
        <w:rPr>
          <w:spacing w:val="-4"/>
        </w:rPr>
        <w:t> </w:t>
      </w:r>
      <w:r>
        <w:rPr/>
        <w:t>youth</w:t>
      </w:r>
      <w:r>
        <w:rPr>
          <w:spacing w:val="-3"/>
        </w:rPr>
        <w:t> </w:t>
      </w:r>
      <w:r>
        <w:rPr/>
        <w:t>in</w:t>
      </w:r>
      <w:r>
        <w:rPr>
          <w:spacing w:val="-3"/>
        </w:rPr>
        <w:t> </w:t>
      </w:r>
      <w:r>
        <w:rPr/>
        <w:t>schools,</w:t>
      </w:r>
      <w:r>
        <w:rPr>
          <w:spacing w:val="-4"/>
        </w:rPr>
        <w:t> </w:t>
      </w:r>
      <w:r>
        <w:rPr/>
        <w:t>prisons, and homeless shelters. The progression of this bill has remained stagnant since its introduction to the U.S. Congress. However, various states such as California, Illinois, and Maryland have passed menstrual equity legislation that requires schools to provide menstrual products to students in female restrooms. Other states, including Massachusetts, have introduced menstrual equity bills.</w:t>
      </w:r>
    </w:p>
    <w:p>
      <w:pPr>
        <w:pStyle w:val="BodyText"/>
        <w:spacing w:line="276" w:lineRule="auto" w:before="240"/>
        <w:ind w:left="4005" w:right="241"/>
        <w:jc w:val="both"/>
      </w:pPr>
      <w:r>
        <w:rPr/>
        <w:drawing>
          <wp:anchor distT="0" distB="0" distL="0" distR="0" allowOverlap="1" layoutInCell="1" locked="0" behindDoc="0" simplePos="0" relativeHeight="15781376">
            <wp:simplePos x="0" y="0"/>
            <wp:positionH relativeFrom="page">
              <wp:posOffset>825500</wp:posOffset>
            </wp:positionH>
            <wp:positionV relativeFrom="paragraph">
              <wp:posOffset>164374</wp:posOffset>
            </wp:positionV>
            <wp:extent cx="2249169" cy="2422879"/>
            <wp:effectExtent l="0" t="0" r="0" b="0"/>
            <wp:wrapNone/>
            <wp:docPr id="297" name="Image 297"/>
            <wp:cNvGraphicFramePr>
              <a:graphicFrameLocks/>
            </wp:cNvGraphicFramePr>
            <a:graphic>
              <a:graphicData uri="http://schemas.openxmlformats.org/drawingml/2006/picture">
                <pic:pic>
                  <pic:nvPicPr>
                    <pic:cNvPr id="297" name="Image 297"/>
                    <pic:cNvPicPr/>
                  </pic:nvPicPr>
                  <pic:blipFill>
                    <a:blip r:embed="rId321" cstate="print"/>
                    <a:stretch>
                      <a:fillRect/>
                    </a:stretch>
                  </pic:blipFill>
                  <pic:spPr>
                    <a:xfrm>
                      <a:off x="0" y="0"/>
                      <a:ext cx="2249169" cy="2422879"/>
                    </a:xfrm>
                    <a:prstGeom prst="rect">
                      <a:avLst/>
                    </a:prstGeom>
                  </pic:spPr>
                </pic:pic>
              </a:graphicData>
            </a:graphic>
          </wp:anchor>
        </w:drawing>
      </w:r>
      <w:r>
        <w:rPr/>
        <w:t>In the 2023-2024 legislative session, Massachusetts lawmakers reintroduced </w:t>
      </w:r>
      <w:r>
        <w:rPr>
          <w:i/>
        </w:rPr>
        <w:t>An Act to Increase Access to Disposable Menstrual</w:t>
      </w:r>
      <w:r>
        <w:rPr>
          <w:i/>
        </w:rPr>
        <w:t> Products </w:t>
      </w:r>
      <w:r>
        <w:rPr/>
        <w:t>(</w:t>
      </w:r>
      <w:hyperlink r:id="rId322">
        <w:r>
          <w:rPr>
            <w:color w:val="1153CC"/>
            <w:u w:val="single" w:color="1153CC"/>
          </w:rPr>
          <w:t>S.1381</w:t>
        </w:r>
      </w:hyperlink>
      <w:r>
        <w:rPr>
          <w:u w:val="none"/>
        </w:rPr>
        <w:t>/</w:t>
      </w:r>
      <w:hyperlink r:id="rId323">
        <w:r>
          <w:rPr>
            <w:color w:val="1153CC"/>
            <w:u w:val="single" w:color="1153CC"/>
          </w:rPr>
          <w:t>H.534</w:t>
        </w:r>
      </w:hyperlink>
      <w:hyperlink r:id="rId323">
        <w:r>
          <w:rPr>
            <w:u w:val="none"/>
          </w:rPr>
          <w:t>)</w:t>
        </w:r>
      </w:hyperlink>
      <w:r>
        <w:rPr>
          <w:u w:val="none"/>
        </w:rPr>
        <w:t> which would provide access to free menstrual products to all menstruating individuals in schools, shelters,</w:t>
      </w:r>
      <w:r>
        <w:rPr>
          <w:spacing w:val="-5"/>
          <w:u w:val="none"/>
        </w:rPr>
        <w:t> </w:t>
      </w:r>
      <w:r>
        <w:rPr>
          <w:u w:val="none"/>
        </w:rPr>
        <w:t>and</w:t>
      </w:r>
      <w:r>
        <w:rPr>
          <w:spacing w:val="-4"/>
          <w:u w:val="none"/>
        </w:rPr>
        <w:t> </w:t>
      </w:r>
      <w:r>
        <w:rPr>
          <w:u w:val="none"/>
        </w:rPr>
        <w:t>prisons.</w:t>
      </w:r>
      <w:r>
        <w:rPr>
          <w:spacing w:val="-5"/>
          <w:u w:val="none"/>
        </w:rPr>
        <w:t> </w:t>
      </w:r>
      <w:r>
        <w:rPr>
          <w:u w:val="none"/>
        </w:rPr>
        <w:t>Just</w:t>
      </w:r>
      <w:r>
        <w:rPr>
          <w:spacing w:val="-5"/>
          <w:u w:val="none"/>
        </w:rPr>
        <w:t> </w:t>
      </w:r>
      <w:r>
        <w:rPr>
          <w:u w:val="none"/>
        </w:rPr>
        <w:t>like</w:t>
      </w:r>
      <w:r>
        <w:rPr>
          <w:spacing w:val="-5"/>
          <w:u w:val="none"/>
        </w:rPr>
        <w:t> </w:t>
      </w:r>
      <w:r>
        <w:rPr>
          <w:u w:val="none"/>
        </w:rPr>
        <w:t>the</w:t>
      </w:r>
      <w:r>
        <w:rPr>
          <w:spacing w:val="-5"/>
          <w:u w:val="none"/>
        </w:rPr>
        <w:t> </w:t>
      </w:r>
      <w:r>
        <w:rPr>
          <w:u w:val="none"/>
        </w:rPr>
        <w:t>Menstrual</w:t>
      </w:r>
      <w:r>
        <w:rPr>
          <w:spacing w:val="-5"/>
          <w:u w:val="none"/>
        </w:rPr>
        <w:t> </w:t>
      </w:r>
      <w:r>
        <w:rPr>
          <w:u w:val="none"/>
        </w:rPr>
        <w:t>Equity</w:t>
      </w:r>
      <w:r>
        <w:rPr>
          <w:spacing w:val="-5"/>
          <w:u w:val="none"/>
        </w:rPr>
        <w:t> </w:t>
      </w:r>
      <w:r>
        <w:rPr>
          <w:u w:val="none"/>
        </w:rPr>
        <w:t>for</w:t>
      </w:r>
      <w:r>
        <w:rPr>
          <w:spacing w:val="-5"/>
          <w:u w:val="none"/>
        </w:rPr>
        <w:t> </w:t>
      </w:r>
      <w:r>
        <w:rPr>
          <w:u w:val="none"/>
        </w:rPr>
        <w:t>All</w:t>
      </w:r>
      <w:r>
        <w:rPr>
          <w:spacing w:val="-5"/>
          <w:u w:val="none"/>
        </w:rPr>
        <w:t> </w:t>
      </w:r>
      <w:r>
        <w:rPr>
          <w:u w:val="none"/>
        </w:rPr>
        <w:t>Act,</w:t>
      </w:r>
      <w:r>
        <w:rPr>
          <w:spacing w:val="-5"/>
          <w:u w:val="none"/>
        </w:rPr>
        <w:t> </w:t>
      </w:r>
      <w:r>
        <w:rPr>
          <w:u w:val="none"/>
        </w:rPr>
        <w:t>the</w:t>
      </w:r>
      <w:r>
        <w:rPr>
          <w:spacing w:val="-5"/>
          <w:u w:val="none"/>
        </w:rPr>
        <w:t> </w:t>
      </w:r>
      <w:r>
        <w:rPr>
          <w:u w:val="none"/>
        </w:rPr>
        <w:t>I AM bill would expand reproductive care for menstruating LGBTQ youth primarily in Massachusetts who attend public schools, are experiencing homelessness and need to stay in homeless shelters, or are incarcerated in the prison system. In 2019, Boston Public Schools launched a period product pilot program that brought</w:t>
      </w:r>
      <w:r>
        <w:rPr>
          <w:spacing w:val="-1"/>
          <w:u w:val="none"/>
        </w:rPr>
        <w:t> </w:t>
      </w:r>
      <w:r>
        <w:rPr>
          <w:u w:val="none"/>
        </w:rPr>
        <w:t>free menstrual supplies to students. This initiative came out around three years after Cambridge and Somerville Public Schools started similar</w:t>
      </w:r>
      <w:r>
        <w:rPr>
          <w:spacing w:val="47"/>
          <w:u w:val="none"/>
        </w:rPr>
        <w:t> </w:t>
      </w:r>
      <w:r>
        <w:rPr>
          <w:u w:val="none"/>
        </w:rPr>
        <w:t>programs.</w:t>
      </w:r>
      <w:r>
        <w:rPr>
          <w:spacing w:val="46"/>
          <w:u w:val="none"/>
        </w:rPr>
        <w:t> </w:t>
      </w:r>
      <w:r>
        <w:rPr>
          <w:u w:val="none"/>
        </w:rPr>
        <w:t>Public</w:t>
      </w:r>
      <w:r>
        <w:rPr>
          <w:spacing w:val="47"/>
          <w:u w:val="none"/>
        </w:rPr>
        <w:t> </w:t>
      </w:r>
      <w:r>
        <w:rPr>
          <w:u w:val="none"/>
        </w:rPr>
        <w:t>school</w:t>
      </w:r>
      <w:r>
        <w:rPr>
          <w:spacing w:val="48"/>
          <w:u w:val="none"/>
        </w:rPr>
        <w:t> </w:t>
      </w:r>
      <w:r>
        <w:rPr>
          <w:u w:val="none"/>
        </w:rPr>
        <w:t>systems</w:t>
      </w:r>
      <w:r>
        <w:rPr>
          <w:spacing w:val="47"/>
          <w:u w:val="none"/>
        </w:rPr>
        <w:t> </w:t>
      </w:r>
      <w:r>
        <w:rPr>
          <w:u w:val="none"/>
        </w:rPr>
        <w:t>taking</w:t>
      </w:r>
      <w:r>
        <w:rPr>
          <w:spacing w:val="48"/>
          <w:u w:val="none"/>
        </w:rPr>
        <w:t> </w:t>
      </w:r>
      <w:r>
        <w:rPr>
          <w:u w:val="none"/>
        </w:rPr>
        <w:t>initiative</w:t>
      </w:r>
      <w:r>
        <w:rPr>
          <w:spacing w:val="48"/>
          <w:u w:val="none"/>
        </w:rPr>
        <w:t> </w:t>
      </w:r>
      <w:r>
        <w:rPr>
          <w:u w:val="none"/>
        </w:rPr>
        <w:t>to</w:t>
      </w:r>
      <w:r>
        <w:rPr>
          <w:spacing w:val="47"/>
          <w:u w:val="none"/>
        </w:rPr>
        <w:t> </w:t>
      </w:r>
      <w:r>
        <w:rPr>
          <w:spacing w:val="-5"/>
          <w:u w:val="none"/>
        </w:rPr>
        <w:t>run</w:t>
      </w:r>
    </w:p>
    <w:p>
      <w:pPr>
        <w:pStyle w:val="BodyText"/>
        <w:spacing w:line="276" w:lineRule="auto"/>
        <w:ind w:left="463" w:right="242"/>
        <w:jc w:val="both"/>
      </w:pPr>
      <w:r>
        <w:rPr/>
        <w:t>menstrual</w:t>
      </w:r>
      <w:r>
        <w:rPr>
          <w:spacing w:val="-13"/>
        </w:rPr>
        <w:t> </w:t>
      </w:r>
      <w:r>
        <w:rPr/>
        <w:t>product</w:t>
      </w:r>
      <w:r>
        <w:rPr>
          <w:spacing w:val="-12"/>
        </w:rPr>
        <w:t> </w:t>
      </w:r>
      <w:r>
        <w:rPr/>
        <w:t>programs</w:t>
      </w:r>
      <w:r>
        <w:rPr>
          <w:spacing w:val="-13"/>
        </w:rPr>
        <w:t> </w:t>
      </w:r>
      <w:r>
        <w:rPr/>
        <w:t>alleviate</w:t>
      </w:r>
      <w:r>
        <w:rPr>
          <w:spacing w:val="-12"/>
        </w:rPr>
        <w:t> </w:t>
      </w:r>
      <w:r>
        <w:rPr/>
        <w:t>some</w:t>
      </w:r>
      <w:r>
        <w:rPr>
          <w:spacing w:val="-13"/>
        </w:rPr>
        <w:t> </w:t>
      </w:r>
      <w:r>
        <w:rPr/>
        <w:t>inaccessibility</w:t>
      </w:r>
      <w:r>
        <w:rPr>
          <w:spacing w:val="-12"/>
        </w:rPr>
        <w:t> </w:t>
      </w:r>
      <w:r>
        <w:rPr/>
        <w:t>to</w:t>
      </w:r>
      <w:r>
        <w:rPr>
          <w:spacing w:val="-13"/>
        </w:rPr>
        <w:t> </w:t>
      </w:r>
      <w:r>
        <w:rPr/>
        <w:t>period</w:t>
      </w:r>
      <w:r>
        <w:rPr>
          <w:spacing w:val="-12"/>
        </w:rPr>
        <w:t> </w:t>
      </w:r>
      <w:r>
        <w:rPr/>
        <w:t>products</w:t>
      </w:r>
      <w:r>
        <w:rPr>
          <w:spacing w:val="-12"/>
        </w:rPr>
        <w:t> </w:t>
      </w:r>
      <w:r>
        <w:rPr/>
        <w:t>for</w:t>
      </w:r>
      <w:r>
        <w:rPr>
          <w:spacing w:val="-13"/>
        </w:rPr>
        <w:t> </w:t>
      </w:r>
      <w:r>
        <w:rPr/>
        <w:t>menstruating</w:t>
      </w:r>
      <w:r>
        <w:rPr>
          <w:spacing w:val="-12"/>
        </w:rPr>
        <w:t> </w:t>
      </w:r>
      <w:r>
        <w:rPr/>
        <w:t>LGBTQ</w:t>
      </w:r>
      <w:r>
        <w:rPr>
          <w:spacing w:val="-13"/>
        </w:rPr>
        <w:t> </w:t>
      </w:r>
      <w:r>
        <w:rPr/>
        <w:t>youth and reduce the stigma around menstruation. The Commission urges the Commonwealth to sign the I AM bill into law to further expand access to menstrual products across the state.</w:t>
      </w:r>
    </w:p>
    <w:p>
      <w:pPr>
        <w:spacing w:after="0" w:line="276" w:lineRule="auto"/>
        <w:jc w:val="both"/>
        <w:sectPr>
          <w:pgSz w:w="12240" w:h="15840"/>
          <w:pgMar w:header="800" w:footer="1530" w:top="1080" w:bottom="1760" w:left="980" w:right="1000"/>
        </w:sectPr>
      </w:pPr>
    </w:p>
    <w:p>
      <w:pPr>
        <w:pStyle w:val="BodyText"/>
        <w:spacing w:line="276" w:lineRule="auto" w:before="69"/>
        <w:ind w:left="463" w:right="243"/>
        <w:jc w:val="both"/>
      </w:pPr>
      <w:r>
        <w:rPr/>
        <w:t>Another way to expand access to menstrual products is through the Supplemental Nutrition Assistance Program, the federal nutrition program that aims to</w:t>
      </w:r>
    </w:p>
    <w:p>
      <w:pPr>
        <w:pStyle w:val="BodyText"/>
        <w:spacing w:line="276" w:lineRule="auto" w:before="240"/>
        <w:ind w:left="463" w:right="239"/>
        <w:jc w:val="both"/>
      </w:pPr>
      <w:r>
        <w:rPr/>
        <w:t>reduce</w:t>
      </w:r>
      <w:r>
        <w:rPr>
          <w:spacing w:val="-8"/>
        </w:rPr>
        <w:t> </w:t>
      </w:r>
      <w:r>
        <w:rPr/>
        <w:t>food</w:t>
      </w:r>
      <w:r>
        <w:rPr>
          <w:spacing w:val="-8"/>
        </w:rPr>
        <w:t> </w:t>
      </w:r>
      <w:r>
        <w:rPr/>
        <w:t>insecurity</w:t>
      </w:r>
      <w:r>
        <w:rPr>
          <w:spacing w:val="-6"/>
        </w:rPr>
        <w:t> </w:t>
      </w:r>
      <w:r>
        <w:rPr/>
        <w:t>for</w:t>
      </w:r>
      <w:r>
        <w:rPr>
          <w:spacing w:val="-8"/>
        </w:rPr>
        <w:t> </w:t>
      </w:r>
      <w:r>
        <w:rPr/>
        <w:t>low-income</w:t>
      </w:r>
      <w:r>
        <w:rPr>
          <w:spacing w:val="-7"/>
        </w:rPr>
        <w:t> </w:t>
      </w:r>
      <w:r>
        <w:rPr/>
        <w:t>communities.</w:t>
      </w:r>
      <w:r>
        <w:rPr>
          <w:spacing w:val="-7"/>
        </w:rPr>
        <w:t> </w:t>
      </w:r>
      <w:r>
        <w:rPr/>
        <w:t>Surveys</w:t>
      </w:r>
      <w:r>
        <w:rPr>
          <w:spacing w:val="-7"/>
        </w:rPr>
        <w:t> </w:t>
      </w:r>
      <w:r>
        <w:rPr/>
        <w:t>have</w:t>
      </w:r>
      <w:r>
        <w:rPr>
          <w:spacing w:val="-7"/>
        </w:rPr>
        <w:t> </w:t>
      </w:r>
      <w:r>
        <w:rPr/>
        <w:t>shown</w:t>
      </w:r>
      <w:r>
        <w:rPr>
          <w:spacing w:val="-8"/>
        </w:rPr>
        <w:t> </w:t>
      </w:r>
      <w:r>
        <w:rPr/>
        <w:t>that</w:t>
      </w:r>
      <w:r>
        <w:rPr>
          <w:spacing w:val="-7"/>
        </w:rPr>
        <w:t> </w:t>
      </w:r>
      <w:r>
        <w:rPr/>
        <w:t>more</w:t>
      </w:r>
      <w:r>
        <w:rPr>
          <w:spacing w:val="-8"/>
        </w:rPr>
        <w:t> </w:t>
      </w:r>
      <w:r>
        <w:rPr/>
        <w:t>than</w:t>
      </w:r>
      <w:r>
        <w:rPr>
          <w:spacing w:val="-8"/>
        </w:rPr>
        <w:t> </w:t>
      </w:r>
      <w:r>
        <w:rPr/>
        <w:t>1</w:t>
      </w:r>
      <w:r>
        <w:rPr>
          <w:spacing w:val="-8"/>
        </w:rPr>
        <w:t> </w:t>
      </w:r>
      <w:r>
        <w:rPr/>
        <w:t>in</w:t>
      </w:r>
      <w:r>
        <w:rPr>
          <w:spacing w:val="-6"/>
        </w:rPr>
        <w:t> </w:t>
      </w:r>
      <w:r>
        <w:rPr/>
        <w:t>4</w:t>
      </w:r>
      <w:r>
        <w:rPr>
          <w:spacing w:val="-8"/>
        </w:rPr>
        <w:t> </w:t>
      </w:r>
      <w:r>
        <w:rPr/>
        <w:t>lesbian,</w:t>
      </w:r>
      <w:r>
        <w:rPr>
          <w:spacing w:val="-7"/>
        </w:rPr>
        <w:t> </w:t>
      </w:r>
      <w:r>
        <w:rPr/>
        <w:t>gay, and bisexual individuals aged 18-44 participated in SNAP, compared to 20% of heterosexual participants</w:t>
      </w:r>
      <w:hyperlink w:history="true" w:anchor="_bookmark265">
        <w:r>
          <w:rPr/>
          <w:t>.</w:t>
        </w:r>
        <w:r>
          <w:rPr>
            <w:vertAlign w:val="superscript"/>
          </w:rPr>
          <w:t>73</w:t>
        </w:r>
      </w:hyperlink>
      <w:r>
        <w:rPr>
          <w:vertAlign w:val="baseline"/>
        </w:rPr>
        <w:t> Most</w:t>
      </w:r>
      <w:r>
        <w:rPr>
          <w:spacing w:val="-2"/>
          <w:vertAlign w:val="baseline"/>
        </w:rPr>
        <w:t> </w:t>
      </w:r>
      <w:r>
        <w:rPr>
          <w:vertAlign w:val="baseline"/>
        </w:rPr>
        <w:t>federal surveys</w:t>
      </w:r>
      <w:r>
        <w:rPr>
          <w:spacing w:val="-1"/>
          <w:vertAlign w:val="baseline"/>
        </w:rPr>
        <w:t> </w:t>
      </w:r>
      <w:r>
        <w:rPr>
          <w:vertAlign w:val="baseline"/>
        </w:rPr>
        <w:t>do not</w:t>
      </w:r>
      <w:r>
        <w:rPr>
          <w:spacing w:val="-2"/>
          <w:vertAlign w:val="baseline"/>
        </w:rPr>
        <w:t> </w:t>
      </w:r>
      <w:r>
        <w:rPr>
          <w:vertAlign w:val="baseline"/>
        </w:rPr>
        <w:t>sufficiently</w:t>
      </w:r>
      <w:r>
        <w:rPr>
          <w:spacing w:val="-1"/>
          <w:vertAlign w:val="baseline"/>
        </w:rPr>
        <w:t> </w:t>
      </w:r>
      <w:r>
        <w:rPr>
          <w:vertAlign w:val="baseline"/>
        </w:rPr>
        <w:t>measure</w:t>
      </w:r>
      <w:r>
        <w:rPr>
          <w:spacing w:val="-1"/>
          <w:vertAlign w:val="baseline"/>
        </w:rPr>
        <w:t> </w:t>
      </w:r>
      <w:r>
        <w:rPr>
          <w:vertAlign w:val="baseline"/>
        </w:rPr>
        <w:t>participants’ gender</w:t>
      </w:r>
      <w:r>
        <w:rPr>
          <w:spacing w:val="-2"/>
          <w:vertAlign w:val="baseline"/>
        </w:rPr>
        <w:t> </w:t>
      </w:r>
      <w:r>
        <w:rPr>
          <w:vertAlign w:val="baseline"/>
        </w:rPr>
        <w:t>identity</w:t>
      </w:r>
      <w:r>
        <w:rPr>
          <w:spacing w:val="-1"/>
          <w:vertAlign w:val="baseline"/>
        </w:rPr>
        <w:t> </w:t>
      </w:r>
      <w:r>
        <w:rPr>
          <w:vertAlign w:val="baseline"/>
        </w:rPr>
        <w:t>but</w:t>
      </w:r>
      <w:r>
        <w:rPr>
          <w:spacing w:val="-1"/>
          <w:vertAlign w:val="baseline"/>
        </w:rPr>
        <w:t> </w:t>
      </w:r>
      <w:r>
        <w:rPr>
          <w:vertAlign w:val="baseline"/>
        </w:rPr>
        <w:t>studies have</w:t>
      </w:r>
      <w:r>
        <w:rPr>
          <w:spacing w:val="-2"/>
          <w:vertAlign w:val="baseline"/>
        </w:rPr>
        <w:t> </w:t>
      </w:r>
      <w:r>
        <w:rPr>
          <w:vertAlign w:val="baseline"/>
        </w:rPr>
        <w:t>shown</w:t>
      </w:r>
      <w:r>
        <w:rPr>
          <w:spacing w:val="-1"/>
          <w:vertAlign w:val="baseline"/>
        </w:rPr>
        <w:t> </w:t>
      </w:r>
      <w:r>
        <w:rPr>
          <w:vertAlign w:val="baseline"/>
        </w:rPr>
        <w:t>that transgender</w:t>
      </w:r>
      <w:r>
        <w:rPr>
          <w:spacing w:val="-9"/>
          <w:vertAlign w:val="baseline"/>
        </w:rPr>
        <w:t> </w:t>
      </w:r>
      <w:r>
        <w:rPr>
          <w:vertAlign w:val="baseline"/>
        </w:rPr>
        <w:t>individuals</w:t>
      </w:r>
      <w:r>
        <w:rPr>
          <w:spacing w:val="-7"/>
          <w:vertAlign w:val="baseline"/>
        </w:rPr>
        <w:t> </w:t>
      </w:r>
      <w:r>
        <w:rPr>
          <w:vertAlign w:val="baseline"/>
        </w:rPr>
        <w:t>have</w:t>
      </w:r>
      <w:r>
        <w:rPr>
          <w:spacing w:val="-9"/>
          <w:vertAlign w:val="baseline"/>
        </w:rPr>
        <w:t> </w:t>
      </w:r>
      <w:r>
        <w:rPr>
          <w:vertAlign w:val="baseline"/>
        </w:rPr>
        <w:t>struggled</w:t>
      </w:r>
      <w:r>
        <w:rPr>
          <w:spacing w:val="-7"/>
          <w:vertAlign w:val="baseline"/>
        </w:rPr>
        <w:t> </w:t>
      </w:r>
      <w:r>
        <w:rPr>
          <w:vertAlign w:val="baseline"/>
        </w:rPr>
        <w:t>with</w:t>
      </w:r>
      <w:r>
        <w:rPr>
          <w:spacing w:val="-9"/>
          <w:vertAlign w:val="baseline"/>
        </w:rPr>
        <w:t> </w:t>
      </w:r>
      <w:r>
        <w:rPr>
          <w:vertAlign w:val="baseline"/>
        </w:rPr>
        <w:t>food</w:t>
      </w:r>
      <w:r>
        <w:rPr>
          <w:spacing w:val="-8"/>
          <w:vertAlign w:val="baseline"/>
        </w:rPr>
        <w:t> </w:t>
      </w:r>
      <w:r>
        <w:rPr>
          <w:vertAlign w:val="baseline"/>
        </w:rPr>
        <w:t>insecurity</w:t>
      </w:r>
      <w:r>
        <w:rPr>
          <w:spacing w:val="-7"/>
          <w:vertAlign w:val="baseline"/>
        </w:rPr>
        <w:t> </w:t>
      </w:r>
      <w:r>
        <w:rPr>
          <w:vertAlign w:val="baseline"/>
        </w:rPr>
        <w:t>more</w:t>
      </w:r>
      <w:r>
        <w:rPr>
          <w:spacing w:val="-6"/>
          <w:vertAlign w:val="baseline"/>
        </w:rPr>
        <w:t> </w:t>
      </w:r>
      <w:r>
        <w:rPr>
          <w:vertAlign w:val="baseline"/>
        </w:rPr>
        <w:t>so</w:t>
      </w:r>
      <w:r>
        <w:rPr>
          <w:spacing w:val="-8"/>
          <w:vertAlign w:val="baseline"/>
        </w:rPr>
        <w:t> </w:t>
      </w:r>
      <w:r>
        <w:rPr>
          <w:vertAlign w:val="baseline"/>
        </w:rPr>
        <w:t>than</w:t>
      </w:r>
      <w:r>
        <w:rPr>
          <w:spacing w:val="-8"/>
          <w:vertAlign w:val="baseline"/>
        </w:rPr>
        <w:t> </w:t>
      </w:r>
      <w:r>
        <w:rPr>
          <w:vertAlign w:val="baseline"/>
        </w:rPr>
        <w:t>their</w:t>
      </w:r>
      <w:r>
        <w:rPr>
          <w:spacing w:val="-6"/>
          <w:vertAlign w:val="baseline"/>
        </w:rPr>
        <w:t> </w:t>
      </w:r>
      <w:r>
        <w:rPr>
          <w:vertAlign w:val="baseline"/>
        </w:rPr>
        <w:t>cisgender</w:t>
      </w:r>
      <w:r>
        <w:rPr>
          <w:spacing w:val="-7"/>
          <w:vertAlign w:val="baseline"/>
        </w:rPr>
        <w:t> </w:t>
      </w:r>
      <w:r>
        <w:rPr>
          <w:vertAlign w:val="baseline"/>
        </w:rPr>
        <w:t>counterparts.</w:t>
      </w:r>
      <w:r>
        <w:rPr>
          <w:spacing w:val="-8"/>
          <w:vertAlign w:val="baseline"/>
        </w:rPr>
        <w:t> </w:t>
      </w:r>
      <w:hyperlink w:history="true" w:anchor="_bookmark266">
        <w:r>
          <w:rPr>
            <w:vertAlign w:val="superscript"/>
          </w:rPr>
          <w:t>74</w:t>
        </w:r>
      </w:hyperlink>
      <w:r>
        <w:rPr>
          <w:spacing w:val="-8"/>
          <w:vertAlign w:val="baseline"/>
        </w:rPr>
        <w:t> </w:t>
      </w:r>
      <w:r>
        <w:rPr>
          <w:vertAlign w:val="baseline"/>
        </w:rPr>
        <w:t>At the federal level, menstrual products are not covered by SNAP benefits. However, the Commonwealth can introduce legislation that can allow SNAP recipients to purchase period products with their benefits, like what Illinois implemented in January 2022</w:t>
      </w:r>
      <w:hyperlink w:history="true" w:anchor="_bookmark267">
        <w:r>
          <w:rPr>
            <w:vertAlign w:val="baseline"/>
          </w:rPr>
          <w:t>.</w:t>
        </w:r>
        <w:r>
          <w:rPr>
            <w:vertAlign w:val="superscript"/>
          </w:rPr>
          <w:t>75</w:t>
        </w:r>
      </w:hyperlink>
    </w:p>
    <w:p>
      <w:pPr>
        <w:pStyle w:val="BodyText"/>
        <w:spacing w:line="276" w:lineRule="auto" w:before="239"/>
        <w:ind w:left="463" w:right="238"/>
        <w:jc w:val="both"/>
      </w:pPr>
      <w:r>
        <w:rPr/>
        <w:t>As mentioned earlier in the report, Massachusetts is one of the states with the lowest maternal mortality rates. However, disparities among racial, ethnic, and class backgrounds remain. Massachusetts has a Maternal</w:t>
      </w:r>
      <w:r>
        <w:rPr>
          <w:spacing w:val="-8"/>
        </w:rPr>
        <w:t> </w:t>
      </w:r>
      <w:r>
        <w:rPr/>
        <w:t>Mortality</w:t>
      </w:r>
      <w:r>
        <w:rPr>
          <w:spacing w:val="-7"/>
        </w:rPr>
        <w:t> </w:t>
      </w:r>
      <w:r>
        <w:rPr/>
        <w:t>Review</w:t>
      </w:r>
      <w:r>
        <w:rPr>
          <w:spacing w:val="-7"/>
        </w:rPr>
        <w:t> </w:t>
      </w:r>
      <w:r>
        <w:rPr/>
        <w:t>Committee</w:t>
      </w:r>
      <w:r>
        <w:rPr>
          <w:spacing w:val="-6"/>
        </w:rPr>
        <w:t> </w:t>
      </w:r>
      <w:r>
        <w:rPr/>
        <w:t>that</w:t>
      </w:r>
      <w:r>
        <w:rPr>
          <w:spacing w:val="-8"/>
        </w:rPr>
        <w:t> </w:t>
      </w:r>
      <w:r>
        <w:rPr/>
        <w:t>reviews</w:t>
      </w:r>
      <w:r>
        <w:rPr>
          <w:spacing w:val="-7"/>
        </w:rPr>
        <w:t> </w:t>
      </w:r>
      <w:r>
        <w:rPr/>
        <w:t>maternal</w:t>
      </w:r>
      <w:r>
        <w:rPr>
          <w:spacing w:val="-7"/>
        </w:rPr>
        <w:t> </w:t>
      </w:r>
      <w:r>
        <w:rPr/>
        <w:t>deaths,</w:t>
      </w:r>
      <w:r>
        <w:rPr>
          <w:spacing w:val="-7"/>
        </w:rPr>
        <w:t> </w:t>
      </w:r>
      <w:r>
        <w:rPr/>
        <w:t>studies</w:t>
      </w:r>
      <w:r>
        <w:rPr>
          <w:spacing w:val="-7"/>
        </w:rPr>
        <w:t> </w:t>
      </w:r>
      <w:r>
        <w:rPr/>
        <w:t>pregnancy</w:t>
      </w:r>
      <w:r>
        <w:rPr>
          <w:spacing w:val="-6"/>
        </w:rPr>
        <w:t> </w:t>
      </w:r>
      <w:r>
        <w:rPr/>
        <w:t>complications,</w:t>
      </w:r>
      <w:r>
        <w:rPr>
          <w:spacing w:val="-7"/>
        </w:rPr>
        <w:t> </w:t>
      </w:r>
      <w:r>
        <w:rPr/>
        <w:t>and makes recommendations to improve maternal</w:t>
      </w:r>
      <w:r>
        <w:rPr>
          <w:spacing w:val="-1"/>
        </w:rPr>
        <w:t> </w:t>
      </w:r>
      <w:r>
        <w:rPr/>
        <w:t>outcomes and prevent mortality</w:t>
      </w:r>
      <w:hyperlink w:history="true" w:anchor="_bookmark268">
        <w:r>
          <w:rPr/>
          <w:t>.</w:t>
        </w:r>
        <w:r>
          <w:rPr>
            <w:color w:val="1154CC"/>
            <w:u w:val="single" w:color="1154CC"/>
            <w:vertAlign w:val="superscript"/>
          </w:rPr>
          <w:t>76</w:t>
        </w:r>
      </w:hyperlink>
      <w:r>
        <w:rPr>
          <w:color w:val="1154CC"/>
          <w:spacing w:val="-1"/>
          <w:u w:val="none"/>
          <w:vertAlign w:val="baseline"/>
        </w:rPr>
        <w:t> </w:t>
      </w:r>
      <w:r>
        <w:rPr>
          <w:u w:val="none"/>
          <w:vertAlign w:val="baseline"/>
        </w:rPr>
        <w:t>This is a step</w:t>
      </w:r>
      <w:r>
        <w:rPr>
          <w:spacing w:val="-1"/>
          <w:u w:val="none"/>
          <w:vertAlign w:val="baseline"/>
        </w:rPr>
        <w:t> </w:t>
      </w:r>
      <w:r>
        <w:rPr>
          <w:u w:val="none"/>
          <w:vertAlign w:val="baseline"/>
        </w:rPr>
        <w:t>in the</w:t>
      </w:r>
      <w:r>
        <w:rPr>
          <w:spacing w:val="-1"/>
          <w:u w:val="none"/>
          <w:vertAlign w:val="baseline"/>
        </w:rPr>
        <w:t> </w:t>
      </w:r>
      <w:r>
        <w:rPr>
          <w:u w:val="none"/>
          <w:vertAlign w:val="baseline"/>
        </w:rPr>
        <w:t>right direction in addressing maternal mortality inequities as a study has shown that states with maternal mortality review committees play an integral role in understanding preventable causes of maternal mortality. They also apply a health equity approach to understand the structural drivers of racial, ethnic, and geographic inequities in maternal deaths</w:t>
      </w:r>
      <w:hyperlink w:history="true" w:anchor="_bookmark269">
        <w:r>
          <w:rPr>
            <w:u w:val="none"/>
            <w:vertAlign w:val="baseline"/>
          </w:rPr>
          <w:t>.</w:t>
        </w:r>
        <w:r>
          <w:rPr>
            <w:color w:val="1154CC"/>
            <w:u w:val="single" w:color="1154CC"/>
            <w:vertAlign w:val="superscript"/>
          </w:rPr>
          <w:t>77</w:t>
        </w:r>
      </w:hyperlink>
      <w:r>
        <w:rPr>
          <w:color w:val="1154CC"/>
          <w:u w:val="none"/>
          <w:vertAlign w:val="baseline"/>
        </w:rPr>
        <w:t> </w:t>
      </w:r>
      <w:r>
        <w:rPr>
          <w:u w:val="none"/>
          <w:vertAlign w:val="baseline"/>
        </w:rPr>
        <w:t>The MA Maternal Mortality Review Committee and the Department of Public Health should consider applying an LGBTQ-inclusive lens approach when reviewing maternal deaths in the state.</w:t>
      </w:r>
    </w:p>
    <w:p>
      <w:pPr>
        <w:pStyle w:val="BodyText"/>
      </w:pPr>
    </w:p>
    <w:p>
      <w:pPr>
        <w:pStyle w:val="BodyText"/>
        <w:spacing w:before="238"/>
      </w:pPr>
    </w:p>
    <w:p>
      <w:pPr>
        <w:spacing w:before="0"/>
        <w:ind w:left="463" w:right="0" w:firstLine="0"/>
        <w:jc w:val="both"/>
        <w:rPr>
          <w:sz w:val="32"/>
        </w:rPr>
      </w:pPr>
      <w:bookmarkStart w:name="Acknowledgments &amp; Citations" w:id="383"/>
      <w:bookmarkEnd w:id="383"/>
      <w:r>
        <w:rPr/>
      </w:r>
      <w:r>
        <w:rPr>
          <w:color w:val="365F91"/>
          <w:sz w:val="32"/>
        </w:rPr>
        <w:t>Acknowledgments</w:t>
      </w:r>
      <w:r>
        <w:rPr>
          <w:color w:val="365F91"/>
          <w:spacing w:val="-6"/>
          <w:sz w:val="32"/>
        </w:rPr>
        <w:t> </w:t>
      </w:r>
      <w:r>
        <w:rPr>
          <w:color w:val="365F91"/>
          <w:sz w:val="32"/>
        </w:rPr>
        <w:t>&amp;</w:t>
      </w:r>
      <w:r>
        <w:rPr>
          <w:color w:val="365F91"/>
          <w:spacing w:val="-5"/>
          <w:sz w:val="32"/>
        </w:rPr>
        <w:t> </w:t>
      </w:r>
      <w:r>
        <w:rPr>
          <w:color w:val="365F91"/>
          <w:spacing w:val="-2"/>
          <w:sz w:val="32"/>
        </w:rPr>
        <w:t>Citations</w:t>
      </w:r>
    </w:p>
    <w:p>
      <w:pPr>
        <w:pStyle w:val="BodyText"/>
        <w:spacing w:before="6"/>
        <w:rPr>
          <w:sz w:val="4"/>
        </w:rPr>
      </w:pPr>
      <w:r>
        <w:rPr/>
        <mc:AlternateContent>
          <mc:Choice Requires="wps">
            <w:drawing>
              <wp:anchor distT="0" distB="0" distL="0" distR="0" allowOverlap="1" layoutInCell="1" locked="0" behindDoc="1" simplePos="0" relativeHeight="487641088">
                <wp:simplePos x="0" y="0"/>
                <wp:positionH relativeFrom="page">
                  <wp:posOffset>897636</wp:posOffset>
                </wp:positionH>
                <wp:positionV relativeFrom="paragraph">
                  <wp:posOffset>50257</wp:posOffset>
                </wp:positionV>
                <wp:extent cx="6103620" cy="6350"/>
                <wp:effectExtent l="0" t="0" r="0" b="0"/>
                <wp:wrapTopAndBottom/>
                <wp:docPr id="298" name="Graphic 298"/>
                <wp:cNvGraphicFramePr>
                  <a:graphicFrameLocks/>
                </wp:cNvGraphicFramePr>
                <a:graphic>
                  <a:graphicData uri="http://schemas.microsoft.com/office/word/2010/wordprocessingShape">
                    <wps:wsp>
                      <wps:cNvPr id="298" name="Graphic 298"/>
                      <wps:cNvSpPr/>
                      <wps:spPr>
                        <a:xfrm>
                          <a:off x="0" y="0"/>
                          <a:ext cx="6103620" cy="6350"/>
                        </a:xfrm>
                        <a:custGeom>
                          <a:avLst/>
                          <a:gdLst/>
                          <a:ahLst/>
                          <a:cxnLst/>
                          <a:rect l="l" t="t" r="r" b="b"/>
                          <a:pathLst>
                            <a:path w="6103620" h="6350">
                              <a:moveTo>
                                <a:pt x="6103620" y="0"/>
                              </a:moveTo>
                              <a:lnTo>
                                <a:pt x="0" y="0"/>
                              </a:lnTo>
                              <a:lnTo>
                                <a:pt x="0" y="6096"/>
                              </a:lnTo>
                              <a:lnTo>
                                <a:pt x="6103620" y="6096"/>
                              </a:lnTo>
                              <a:lnTo>
                                <a:pt x="6103620" y="0"/>
                              </a:lnTo>
                              <a:close/>
                            </a:path>
                          </a:pathLst>
                        </a:custGeom>
                        <a:solidFill>
                          <a:srgbClr val="4F81BC"/>
                        </a:solidFill>
                      </wps:spPr>
                      <wps:bodyPr wrap="square" lIns="0" tIns="0" rIns="0" bIns="0" rtlCol="0">
                        <a:prstTxWarp prst="textNoShape">
                          <a:avLst/>
                        </a:prstTxWarp>
                        <a:noAutofit/>
                      </wps:bodyPr>
                    </wps:wsp>
                  </a:graphicData>
                </a:graphic>
              </wp:anchor>
            </w:drawing>
          </mc:Choice>
          <mc:Fallback>
            <w:pict>
              <v:rect style="position:absolute;margin-left:70.680pt;margin-top:3.957285pt;width:480.6pt;height:.48pt;mso-position-horizontal-relative:page;mso-position-vertical-relative:paragraph;z-index:-15675392;mso-wrap-distance-left:0;mso-wrap-distance-right:0" id="docshape232" filled="true" fillcolor="#4f81bc" stroked="false">
                <v:fill type="solid"/>
                <w10:wrap type="topAndBottom"/>
              </v:rect>
            </w:pict>
          </mc:Fallback>
        </mc:AlternateContent>
      </w:r>
    </w:p>
    <w:p>
      <w:pPr>
        <w:spacing w:before="240"/>
        <w:ind w:left="463" w:right="0" w:firstLine="0"/>
        <w:jc w:val="left"/>
        <w:rPr>
          <w:i/>
          <w:sz w:val="21"/>
        </w:rPr>
      </w:pPr>
      <w:r>
        <w:rPr>
          <w:i/>
          <w:sz w:val="21"/>
        </w:rPr>
        <w:t>Acknowledgments:</w:t>
      </w:r>
      <w:r>
        <w:rPr>
          <w:i/>
          <w:spacing w:val="-3"/>
          <w:sz w:val="21"/>
        </w:rPr>
        <w:t> </w:t>
      </w:r>
      <w:r>
        <w:rPr>
          <w:i/>
          <w:sz w:val="21"/>
        </w:rPr>
        <w:t>Karina</w:t>
      </w:r>
      <w:r>
        <w:rPr>
          <w:i/>
          <w:spacing w:val="-4"/>
          <w:sz w:val="21"/>
        </w:rPr>
        <w:t> </w:t>
      </w:r>
      <w:r>
        <w:rPr>
          <w:i/>
          <w:sz w:val="21"/>
        </w:rPr>
        <w:t>Sumano,</w:t>
      </w:r>
      <w:r>
        <w:rPr>
          <w:i/>
          <w:spacing w:val="-2"/>
          <w:sz w:val="21"/>
        </w:rPr>
        <w:t> </w:t>
      </w:r>
      <w:r>
        <w:rPr>
          <w:i/>
          <w:sz w:val="21"/>
        </w:rPr>
        <w:t>lead</w:t>
      </w:r>
      <w:r>
        <w:rPr>
          <w:i/>
          <w:spacing w:val="-3"/>
          <w:sz w:val="21"/>
        </w:rPr>
        <w:t> </w:t>
      </w:r>
      <w:r>
        <w:rPr>
          <w:i/>
          <w:sz w:val="21"/>
        </w:rPr>
        <w:t>researcher</w:t>
      </w:r>
      <w:r>
        <w:rPr>
          <w:i/>
          <w:spacing w:val="-4"/>
          <w:sz w:val="21"/>
        </w:rPr>
        <w:t> </w:t>
      </w:r>
      <w:r>
        <w:rPr>
          <w:i/>
          <w:sz w:val="21"/>
        </w:rPr>
        <w:t>&amp;</w:t>
      </w:r>
      <w:r>
        <w:rPr>
          <w:i/>
          <w:spacing w:val="-3"/>
          <w:sz w:val="21"/>
        </w:rPr>
        <w:t> </w:t>
      </w:r>
      <w:r>
        <w:rPr>
          <w:i/>
          <w:sz w:val="21"/>
        </w:rPr>
        <w:t>author</w:t>
      </w:r>
      <w:r>
        <w:rPr>
          <w:i/>
          <w:spacing w:val="-2"/>
          <w:sz w:val="21"/>
        </w:rPr>
        <w:t> (2023)</w:t>
      </w:r>
    </w:p>
    <w:p>
      <w:pPr>
        <w:pStyle w:val="BodyText"/>
        <w:spacing w:before="242"/>
        <w:rPr>
          <w:i/>
          <w:sz w:val="21"/>
        </w:rPr>
      </w:pPr>
    </w:p>
    <w:p>
      <w:pPr>
        <w:spacing w:before="0"/>
        <w:ind w:left="463" w:right="261" w:firstLine="0"/>
        <w:jc w:val="left"/>
        <w:rPr>
          <w:sz w:val="18"/>
        </w:rPr>
      </w:pPr>
      <w:bookmarkStart w:name="_bookmark194" w:id="384"/>
      <w:bookmarkEnd w:id="384"/>
      <w:r>
        <w:rPr/>
      </w:r>
      <w:r>
        <w:rPr>
          <w:sz w:val="18"/>
          <w:vertAlign w:val="superscript"/>
        </w:rPr>
        <w:t>1</w:t>
      </w:r>
      <w:r>
        <w:rPr>
          <w:spacing w:val="-13"/>
          <w:sz w:val="18"/>
          <w:vertAlign w:val="baseline"/>
        </w:rPr>
        <w:t> </w:t>
      </w:r>
      <w:r>
        <w:rPr>
          <w:sz w:val="18"/>
          <w:vertAlign w:val="baseline"/>
        </w:rPr>
        <w:t>“Polling</w:t>
      </w:r>
      <w:r>
        <w:rPr>
          <w:spacing w:val="-4"/>
          <w:sz w:val="18"/>
          <w:vertAlign w:val="baseline"/>
        </w:rPr>
        <w:t> </w:t>
      </w:r>
      <w:r>
        <w:rPr>
          <w:sz w:val="18"/>
          <w:vertAlign w:val="baseline"/>
        </w:rPr>
        <w:t>Spotlight:</w:t>
      </w:r>
      <w:r>
        <w:rPr>
          <w:spacing w:val="-2"/>
          <w:sz w:val="18"/>
          <w:vertAlign w:val="baseline"/>
        </w:rPr>
        <w:t> </w:t>
      </w:r>
      <w:r>
        <w:rPr>
          <w:sz w:val="18"/>
          <w:vertAlign w:val="baseline"/>
        </w:rPr>
        <w:t>Understanding</w:t>
      </w:r>
      <w:r>
        <w:rPr>
          <w:spacing w:val="-2"/>
          <w:sz w:val="18"/>
          <w:vertAlign w:val="baseline"/>
        </w:rPr>
        <w:t> </w:t>
      </w:r>
      <w:r>
        <w:rPr>
          <w:sz w:val="18"/>
          <w:vertAlign w:val="baseline"/>
        </w:rPr>
        <w:t>the</w:t>
      </w:r>
      <w:r>
        <w:rPr>
          <w:spacing w:val="-2"/>
          <w:sz w:val="18"/>
          <w:vertAlign w:val="baseline"/>
        </w:rPr>
        <w:t> </w:t>
      </w:r>
      <w:r>
        <w:rPr>
          <w:sz w:val="18"/>
          <w:vertAlign w:val="baseline"/>
        </w:rPr>
        <w:t>Experiences</w:t>
      </w:r>
      <w:r>
        <w:rPr>
          <w:spacing w:val="-2"/>
          <w:sz w:val="18"/>
          <w:vertAlign w:val="baseline"/>
        </w:rPr>
        <w:t> </w:t>
      </w:r>
      <w:r>
        <w:rPr>
          <w:sz w:val="18"/>
          <w:vertAlign w:val="baseline"/>
        </w:rPr>
        <w:t>of</w:t>
      </w:r>
      <w:r>
        <w:rPr>
          <w:spacing w:val="-2"/>
          <w:sz w:val="18"/>
          <w:vertAlign w:val="baseline"/>
        </w:rPr>
        <w:t> </w:t>
      </w:r>
      <w:r>
        <w:rPr>
          <w:sz w:val="18"/>
          <w:vertAlign w:val="baseline"/>
        </w:rPr>
        <w:t>LGBTQ+</w:t>
      </w:r>
      <w:r>
        <w:rPr>
          <w:spacing w:val="-3"/>
          <w:sz w:val="18"/>
          <w:vertAlign w:val="baseline"/>
        </w:rPr>
        <w:t> </w:t>
      </w:r>
      <w:r>
        <w:rPr>
          <w:sz w:val="18"/>
          <w:vertAlign w:val="baseline"/>
        </w:rPr>
        <w:t>Birthing</w:t>
      </w:r>
      <w:r>
        <w:rPr>
          <w:spacing w:val="-2"/>
          <w:sz w:val="18"/>
          <w:vertAlign w:val="baseline"/>
        </w:rPr>
        <w:t> </w:t>
      </w:r>
      <w:r>
        <w:rPr>
          <w:sz w:val="18"/>
          <w:vertAlign w:val="baseline"/>
        </w:rPr>
        <w:t>People,”</w:t>
      </w:r>
      <w:r>
        <w:rPr>
          <w:spacing w:val="-2"/>
          <w:sz w:val="18"/>
          <w:vertAlign w:val="baseline"/>
        </w:rPr>
        <w:t> </w:t>
      </w:r>
      <w:r>
        <w:rPr>
          <w:sz w:val="18"/>
          <w:vertAlign w:val="baseline"/>
        </w:rPr>
        <w:t>Center</w:t>
      </w:r>
      <w:r>
        <w:rPr>
          <w:spacing w:val="-3"/>
          <w:sz w:val="18"/>
          <w:vertAlign w:val="baseline"/>
        </w:rPr>
        <w:t> </w:t>
      </w:r>
      <w:r>
        <w:rPr>
          <w:sz w:val="18"/>
          <w:vertAlign w:val="baseline"/>
        </w:rPr>
        <w:t>For</w:t>
      </w:r>
      <w:r>
        <w:rPr>
          <w:spacing w:val="-3"/>
          <w:sz w:val="18"/>
          <w:vertAlign w:val="baseline"/>
        </w:rPr>
        <w:t> </w:t>
      </w:r>
      <w:r>
        <w:rPr>
          <w:sz w:val="18"/>
          <w:vertAlign w:val="baseline"/>
        </w:rPr>
        <w:t>Health</w:t>
      </w:r>
      <w:r>
        <w:rPr>
          <w:spacing w:val="-2"/>
          <w:sz w:val="18"/>
          <w:vertAlign w:val="baseline"/>
        </w:rPr>
        <w:t> </w:t>
      </w:r>
      <w:r>
        <w:rPr>
          <w:sz w:val="18"/>
          <w:vertAlign w:val="baseline"/>
        </w:rPr>
        <w:t>Justice,</w:t>
      </w:r>
      <w:r>
        <w:rPr>
          <w:spacing w:val="-3"/>
          <w:sz w:val="18"/>
          <w:vertAlign w:val="baseline"/>
        </w:rPr>
        <w:t> </w:t>
      </w:r>
      <w:r>
        <w:rPr>
          <w:sz w:val="18"/>
          <w:vertAlign w:val="baseline"/>
        </w:rPr>
        <w:t>accessed</w:t>
      </w:r>
      <w:r>
        <w:rPr>
          <w:spacing w:val="-2"/>
          <w:sz w:val="18"/>
          <w:vertAlign w:val="baseline"/>
        </w:rPr>
        <w:t> </w:t>
      </w:r>
      <w:r>
        <w:rPr>
          <w:sz w:val="18"/>
          <w:vertAlign w:val="baseline"/>
        </w:rPr>
        <w:t>April</w:t>
      </w:r>
      <w:r>
        <w:rPr>
          <w:spacing w:val="-3"/>
          <w:sz w:val="18"/>
          <w:vertAlign w:val="baseline"/>
        </w:rPr>
        <w:t> </w:t>
      </w:r>
      <w:r>
        <w:rPr>
          <w:sz w:val="18"/>
          <w:vertAlign w:val="baseline"/>
        </w:rPr>
        <w:t>24,</w:t>
      </w:r>
      <w:r>
        <w:rPr>
          <w:spacing w:val="-3"/>
          <w:sz w:val="18"/>
          <w:vertAlign w:val="baseline"/>
        </w:rPr>
        <w:t> </w:t>
      </w:r>
      <w:r>
        <w:rPr>
          <w:sz w:val="18"/>
          <w:vertAlign w:val="baseline"/>
        </w:rPr>
        <w:t>2023, </w:t>
      </w:r>
      <w:bookmarkStart w:name="_bookmark195" w:id="385"/>
      <w:bookmarkEnd w:id="385"/>
      <w:r>
        <w:rPr>
          <w:spacing w:val="-2"/>
          <w:sz w:val="18"/>
          <w:vertAlign w:val="baseline"/>
        </w:rPr>
        <w:t>h</w:t>
      </w:r>
      <w:r>
        <w:rPr>
          <w:spacing w:val="-2"/>
          <w:sz w:val="18"/>
          <w:vertAlign w:val="baseline"/>
        </w:rPr>
        <w:t>ttps://</w:t>
      </w:r>
      <w:hyperlink r:id="rId324">
        <w:r>
          <w:rPr>
            <w:spacing w:val="-2"/>
            <w:sz w:val="18"/>
            <w:vertAlign w:val="baseline"/>
          </w:rPr>
          <w:t>www.aamchealthjustice.org/news/polling/lgbtq-birth.</w:t>
        </w:r>
      </w:hyperlink>
    </w:p>
    <w:p>
      <w:pPr>
        <w:spacing w:before="0"/>
        <w:ind w:left="463" w:right="261" w:hanging="1"/>
        <w:jc w:val="left"/>
        <w:rPr>
          <w:sz w:val="18"/>
        </w:rPr>
      </w:pPr>
      <w:r>
        <w:rPr>
          <w:sz w:val="18"/>
          <w:vertAlign w:val="superscript"/>
        </w:rPr>
        <w:t>2</w:t>
      </w:r>
      <w:r>
        <w:rPr>
          <w:spacing w:val="-13"/>
          <w:sz w:val="18"/>
          <w:vertAlign w:val="baseline"/>
        </w:rPr>
        <w:t> </w:t>
      </w:r>
      <w:r>
        <w:rPr>
          <w:sz w:val="18"/>
          <w:vertAlign w:val="baseline"/>
        </w:rPr>
        <w:t>Meghan</w:t>
      </w:r>
      <w:r>
        <w:rPr>
          <w:spacing w:val="-4"/>
          <w:sz w:val="18"/>
          <w:vertAlign w:val="baseline"/>
        </w:rPr>
        <w:t> </w:t>
      </w:r>
      <w:r>
        <w:rPr>
          <w:sz w:val="18"/>
          <w:vertAlign w:val="baseline"/>
        </w:rPr>
        <w:t>Romanelli</w:t>
      </w:r>
      <w:r>
        <w:rPr>
          <w:spacing w:val="-3"/>
          <w:sz w:val="18"/>
          <w:vertAlign w:val="baseline"/>
        </w:rPr>
        <w:t> </w:t>
      </w:r>
      <w:r>
        <w:rPr>
          <w:sz w:val="18"/>
          <w:vertAlign w:val="baseline"/>
        </w:rPr>
        <w:t>and</w:t>
      </w:r>
      <w:r>
        <w:rPr>
          <w:spacing w:val="-2"/>
          <w:sz w:val="18"/>
          <w:vertAlign w:val="baseline"/>
        </w:rPr>
        <w:t> </w:t>
      </w:r>
      <w:r>
        <w:rPr>
          <w:sz w:val="18"/>
          <w:vertAlign w:val="baseline"/>
        </w:rPr>
        <w:t>Kimberly</w:t>
      </w:r>
      <w:r>
        <w:rPr>
          <w:spacing w:val="-2"/>
          <w:sz w:val="18"/>
          <w:vertAlign w:val="baseline"/>
        </w:rPr>
        <w:t> </w:t>
      </w:r>
      <w:r>
        <w:rPr>
          <w:sz w:val="18"/>
          <w:vertAlign w:val="baseline"/>
        </w:rPr>
        <w:t>D.</w:t>
      </w:r>
      <w:r>
        <w:rPr>
          <w:spacing w:val="-2"/>
          <w:sz w:val="18"/>
          <w:vertAlign w:val="baseline"/>
        </w:rPr>
        <w:t> </w:t>
      </w:r>
      <w:r>
        <w:rPr>
          <w:sz w:val="18"/>
          <w:vertAlign w:val="baseline"/>
        </w:rPr>
        <w:t>Hudson,</w:t>
      </w:r>
      <w:r>
        <w:rPr>
          <w:spacing w:val="-3"/>
          <w:sz w:val="18"/>
          <w:vertAlign w:val="baseline"/>
        </w:rPr>
        <w:t> </w:t>
      </w:r>
      <w:r>
        <w:rPr>
          <w:sz w:val="18"/>
          <w:vertAlign w:val="baseline"/>
        </w:rPr>
        <w:t>“Individual</w:t>
      </w:r>
      <w:r>
        <w:rPr>
          <w:spacing w:val="-3"/>
          <w:sz w:val="18"/>
          <w:vertAlign w:val="baseline"/>
        </w:rPr>
        <w:t> </w:t>
      </w:r>
      <w:r>
        <w:rPr>
          <w:sz w:val="18"/>
          <w:vertAlign w:val="baseline"/>
        </w:rPr>
        <w:t>and</w:t>
      </w:r>
      <w:r>
        <w:rPr>
          <w:spacing w:val="-2"/>
          <w:sz w:val="18"/>
          <w:vertAlign w:val="baseline"/>
        </w:rPr>
        <w:t> </w:t>
      </w:r>
      <w:r>
        <w:rPr>
          <w:sz w:val="18"/>
          <w:vertAlign w:val="baseline"/>
        </w:rPr>
        <w:t>Systemic</w:t>
      </w:r>
      <w:r>
        <w:rPr>
          <w:spacing w:val="-3"/>
          <w:sz w:val="18"/>
          <w:vertAlign w:val="baseline"/>
        </w:rPr>
        <w:t> </w:t>
      </w:r>
      <w:r>
        <w:rPr>
          <w:sz w:val="18"/>
          <w:vertAlign w:val="baseline"/>
        </w:rPr>
        <w:t>Barriers</w:t>
      </w:r>
      <w:r>
        <w:rPr>
          <w:spacing w:val="-2"/>
          <w:sz w:val="18"/>
          <w:vertAlign w:val="baseline"/>
        </w:rPr>
        <w:t> </w:t>
      </w:r>
      <w:r>
        <w:rPr>
          <w:sz w:val="18"/>
          <w:vertAlign w:val="baseline"/>
        </w:rPr>
        <w:t>to</w:t>
      </w:r>
      <w:r>
        <w:rPr>
          <w:spacing w:val="-2"/>
          <w:sz w:val="18"/>
          <w:vertAlign w:val="baseline"/>
        </w:rPr>
        <w:t> </w:t>
      </w:r>
      <w:r>
        <w:rPr>
          <w:sz w:val="18"/>
          <w:vertAlign w:val="baseline"/>
        </w:rPr>
        <w:t>Health</w:t>
      </w:r>
      <w:r>
        <w:rPr>
          <w:spacing w:val="-2"/>
          <w:sz w:val="18"/>
          <w:vertAlign w:val="baseline"/>
        </w:rPr>
        <w:t> </w:t>
      </w:r>
      <w:r>
        <w:rPr>
          <w:sz w:val="18"/>
          <w:vertAlign w:val="baseline"/>
        </w:rPr>
        <w:t>Care:</w:t>
      </w:r>
      <w:r>
        <w:rPr>
          <w:spacing w:val="-2"/>
          <w:sz w:val="18"/>
          <w:vertAlign w:val="baseline"/>
        </w:rPr>
        <w:t> </w:t>
      </w:r>
      <w:r>
        <w:rPr>
          <w:sz w:val="18"/>
          <w:vertAlign w:val="baseline"/>
        </w:rPr>
        <w:t>Perspectives</w:t>
      </w:r>
      <w:r>
        <w:rPr>
          <w:spacing w:val="-2"/>
          <w:sz w:val="18"/>
          <w:vertAlign w:val="baseline"/>
        </w:rPr>
        <w:t> </w:t>
      </w:r>
      <w:r>
        <w:rPr>
          <w:sz w:val="18"/>
          <w:vertAlign w:val="baseline"/>
        </w:rPr>
        <w:t>of</w:t>
      </w:r>
      <w:r>
        <w:rPr>
          <w:spacing w:val="-2"/>
          <w:sz w:val="18"/>
          <w:vertAlign w:val="baseline"/>
        </w:rPr>
        <w:t> </w:t>
      </w:r>
      <w:r>
        <w:rPr>
          <w:sz w:val="18"/>
          <w:vertAlign w:val="baseline"/>
        </w:rPr>
        <w:t>Lesbian,</w:t>
      </w:r>
      <w:r>
        <w:rPr>
          <w:spacing w:val="-3"/>
          <w:sz w:val="18"/>
          <w:vertAlign w:val="baseline"/>
        </w:rPr>
        <w:t> </w:t>
      </w:r>
      <w:r>
        <w:rPr>
          <w:sz w:val="18"/>
          <w:vertAlign w:val="baseline"/>
        </w:rPr>
        <w:t>Gay, Bisexual, and Transgender Adults,” </w:t>
      </w:r>
      <w:r>
        <w:rPr>
          <w:i/>
          <w:sz w:val="18"/>
          <w:vertAlign w:val="baseline"/>
        </w:rPr>
        <w:t>American Journal of Orthopsychiatry </w:t>
      </w:r>
      <w:r>
        <w:rPr>
          <w:sz w:val="18"/>
          <w:vertAlign w:val="baseline"/>
        </w:rPr>
        <w:t>87, no. 6 (2017): 714–28, </w:t>
      </w:r>
      <w:bookmarkStart w:name="_bookmark196" w:id="386"/>
      <w:bookmarkEnd w:id="386"/>
      <w:r>
        <w:rPr>
          <w:sz w:val="18"/>
          <w:vertAlign w:val="baseline"/>
        </w:rPr>
      </w:r>
      <w:hyperlink r:id="rId325">
        <w:r>
          <w:rPr>
            <w:color w:val="0561C1"/>
            <w:spacing w:val="-2"/>
            <w:sz w:val="18"/>
            <w:u w:val="single" w:color="0561C1"/>
            <w:vertAlign w:val="baseline"/>
          </w:rPr>
          <w:t>https://doi.org/10.1037/ort0000306</w:t>
        </w:r>
      </w:hyperlink>
      <w:hyperlink r:id="rId325">
        <w:r>
          <w:rPr>
            <w:spacing w:val="-2"/>
            <w:sz w:val="18"/>
            <w:u w:val="none"/>
            <w:vertAlign w:val="baseline"/>
          </w:rPr>
          <w:t>.</w:t>
        </w:r>
      </w:hyperlink>
    </w:p>
    <w:p>
      <w:pPr>
        <w:spacing w:before="0"/>
        <w:ind w:left="463" w:right="391" w:hanging="1"/>
        <w:jc w:val="left"/>
        <w:rPr>
          <w:sz w:val="18"/>
        </w:rPr>
      </w:pPr>
      <w:r>
        <w:rPr>
          <w:sz w:val="18"/>
          <w:vertAlign w:val="superscript"/>
        </w:rPr>
        <w:t>3</w:t>
      </w:r>
      <w:r>
        <w:rPr>
          <w:spacing w:val="-13"/>
          <w:sz w:val="18"/>
          <w:vertAlign w:val="baseline"/>
        </w:rPr>
        <w:t> </w:t>
      </w:r>
      <w:r>
        <w:rPr>
          <w:sz w:val="18"/>
          <w:vertAlign w:val="baseline"/>
        </w:rPr>
        <w:t>James,</w:t>
      </w:r>
      <w:r>
        <w:rPr>
          <w:spacing w:val="-3"/>
          <w:sz w:val="18"/>
          <w:vertAlign w:val="baseline"/>
        </w:rPr>
        <w:t> </w:t>
      </w:r>
      <w:r>
        <w:rPr>
          <w:sz w:val="18"/>
          <w:vertAlign w:val="baseline"/>
        </w:rPr>
        <w:t>S.</w:t>
      </w:r>
      <w:r>
        <w:rPr>
          <w:spacing w:val="-1"/>
          <w:sz w:val="18"/>
          <w:vertAlign w:val="baseline"/>
        </w:rPr>
        <w:t> </w:t>
      </w:r>
      <w:r>
        <w:rPr>
          <w:sz w:val="18"/>
          <w:vertAlign w:val="baseline"/>
        </w:rPr>
        <w:t>E.,</w:t>
      </w:r>
      <w:r>
        <w:rPr>
          <w:spacing w:val="-2"/>
          <w:sz w:val="18"/>
          <w:vertAlign w:val="baseline"/>
        </w:rPr>
        <w:t> </w:t>
      </w:r>
      <w:r>
        <w:rPr>
          <w:sz w:val="18"/>
          <w:vertAlign w:val="baseline"/>
        </w:rPr>
        <w:t>Herman,</w:t>
      </w:r>
      <w:r>
        <w:rPr>
          <w:spacing w:val="-2"/>
          <w:sz w:val="18"/>
          <w:vertAlign w:val="baseline"/>
        </w:rPr>
        <w:t> </w:t>
      </w:r>
      <w:r>
        <w:rPr>
          <w:sz w:val="18"/>
          <w:vertAlign w:val="baseline"/>
        </w:rPr>
        <w:t>J.</w:t>
      </w:r>
      <w:r>
        <w:rPr>
          <w:spacing w:val="-1"/>
          <w:sz w:val="18"/>
          <w:vertAlign w:val="baseline"/>
        </w:rPr>
        <w:t> </w:t>
      </w:r>
      <w:r>
        <w:rPr>
          <w:sz w:val="18"/>
          <w:vertAlign w:val="baseline"/>
        </w:rPr>
        <w:t>L.,</w:t>
      </w:r>
      <w:r>
        <w:rPr>
          <w:spacing w:val="-2"/>
          <w:sz w:val="18"/>
          <w:vertAlign w:val="baseline"/>
        </w:rPr>
        <w:t> </w:t>
      </w:r>
      <w:r>
        <w:rPr>
          <w:sz w:val="18"/>
          <w:vertAlign w:val="baseline"/>
        </w:rPr>
        <w:t>Rankin,</w:t>
      </w:r>
      <w:r>
        <w:rPr>
          <w:spacing w:val="-2"/>
          <w:sz w:val="18"/>
          <w:vertAlign w:val="baseline"/>
        </w:rPr>
        <w:t> </w:t>
      </w:r>
      <w:r>
        <w:rPr>
          <w:sz w:val="18"/>
          <w:vertAlign w:val="baseline"/>
        </w:rPr>
        <w:t>S.,</w:t>
      </w:r>
      <w:r>
        <w:rPr>
          <w:spacing w:val="-2"/>
          <w:sz w:val="18"/>
          <w:vertAlign w:val="baseline"/>
        </w:rPr>
        <w:t> </w:t>
      </w:r>
      <w:r>
        <w:rPr>
          <w:sz w:val="18"/>
          <w:vertAlign w:val="baseline"/>
        </w:rPr>
        <w:t>Keisling,</w:t>
      </w:r>
      <w:r>
        <w:rPr>
          <w:spacing w:val="-2"/>
          <w:sz w:val="18"/>
          <w:vertAlign w:val="baseline"/>
        </w:rPr>
        <w:t> </w:t>
      </w:r>
      <w:r>
        <w:rPr>
          <w:sz w:val="18"/>
          <w:vertAlign w:val="baseline"/>
        </w:rPr>
        <w:t>M.,</w:t>
      </w:r>
      <w:r>
        <w:rPr>
          <w:spacing w:val="-2"/>
          <w:sz w:val="18"/>
          <w:vertAlign w:val="baseline"/>
        </w:rPr>
        <w:t> </w:t>
      </w:r>
      <w:r>
        <w:rPr>
          <w:sz w:val="18"/>
          <w:vertAlign w:val="baseline"/>
        </w:rPr>
        <w:t>Mottet,</w:t>
      </w:r>
      <w:r>
        <w:rPr>
          <w:spacing w:val="-2"/>
          <w:sz w:val="18"/>
          <w:vertAlign w:val="baseline"/>
        </w:rPr>
        <w:t> </w:t>
      </w:r>
      <w:r>
        <w:rPr>
          <w:sz w:val="18"/>
          <w:vertAlign w:val="baseline"/>
        </w:rPr>
        <w:t>L.,</w:t>
      </w:r>
      <w:r>
        <w:rPr>
          <w:spacing w:val="-2"/>
          <w:sz w:val="18"/>
          <w:vertAlign w:val="baseline"/>
        </w:rPr>
        <w:t> </w:t>
      </w:r>
      <w:r>
        <w:rPr>
          <w:sz w:val="18"/>
          <w:vertAlign w:val="baseline"/>
        </w:rPr>
        <w:t>&amp;</w:t>
      </w:r>
      <w:r>
        <w:rPr>
          <w:spacing w:val="-2"/>
          <w:sz w:val="18"/>
          <w:vertAlign w:val="baseline"/>
        </w:rPr>
        <w:t> </w:t>
      </w:r>
      <w:r>
        <w:rPr>
          <w:sz w:val="18"/>
          <w:vertAlign w:val="baseline"/>
        </w:rPr>
        <w:t>Anafi,</w:t>
      </w:r>
      <w:r>
        <w:rPr>
          <w:spacing w:val="-2"/>
          <w:sz w:val="18"/>
          <w:vertAlign w:val="baseline"/>
        </w:rPr>
        <w:t> </w:t>
      </w:r>
      <w:r>
        <w:rPr>
          <w:sz w:val="18"/>
          <w:vertAlign w:val="baseline"/>
        </w:rPr>
        <w:t>M.</w:t>
      </w:r>
      <w:r>
        <w:rPr>
          <w:spacing w:val="-1"/>
          <w:sz w:val="18"/>
          <w:vertAlign w:val="baseline"/>
        </w:rPr>
        <w:t> </w:t>
      </w:r>
      <w:r>
        <w:rPr>
          <w:sz w:val="18"/>
          <w:vertAlign w:val="baseline"/>
        </w:rPr>
        <w:t>(2016).</w:t>
      </w:r>
      <w:r>
        <w:rPr>
          <w:spacing w:val="-2"/>
          <w:sz w:val="18"/>
          <w:vertAlign w:val="baseline"/>
        </w:rPr>
        <w:t> </w:t>
      </w:r>
      <w:r>
        <w:rPr>
          <w:sz w:val="18"/>
          <w:vertAlign w:val="baseline"/>
        </w:rPr>
        <w:t>The</w:t>
      </w:r>
      <w:r>
        <w:rPr>
          <w:spacing w:val="-1"/>
          <w:sz w:val="18"/>
          <w:vertAlign w:val="baseline"/>
        </w:rPr>
        <w:t> </w:t>
      </w:r>
      <w:r>
        <w:rPr>
          <w:sz w:val="18"/>
          <w:vertAlign w:val="baseline"/>
        </w:rPr>
        <w:t>Report</w:t>
      </w:r>
      <w:r>
        <w:rPr>
          <w:spacing w:val="-2"/>
          <w:sz w:val="18"/>
          <w:vertAlign w:val="baseline"/>
        </w:rPr>
        <w:t> </w:t>
      </w:r>
      <w:r>
        <w:rPr>
          <w:sz w:val="18"/>
          <w:vertAlign w:val="baseline"/>
        </w:rPr>
        <w:t>of</w:t>
      </w:r>
      <w:r>
        <w:rPr>
          <w:spacing w:val="-1"/>
          <w:sz w:val="18"/>
          <w:vertAlign w:val="baseline"/>
        </w:rPr>
        <w:t> </w:t>
      </w:r>
      <w:r>
        <w:rPr>
          <w:sz w:val="18"/>
          <w:vertAlign w:val="baseline"/>
        </w:rPr>
        <w:t>the</w:t>
      </w:r>
      <w:r>
        <w:rPr>
          <w:spacing w:val="-1"/>
          <w:sz w:val="18"/>
          <w:vertAlign w:val="baseline"/>
        </w:rPr>
        <w:t> </w:t>
      </w:r>
      <w:r>
        <w:rPr>
          <w:sz w:val="18"/>
          <w:vertAlign w:val="baseline"/>
        </w:rPr>
        <w:t>2015</w:t>
      </w:r>
      <w:r>
        <w:rPr>
          <w:spacing w:val="-1"/>
          <w:sz w:val="18"/>
          <w:vertAlign w:val="baseline"/>
        </w:rPr>
        <w:t> </w:t>
      </w:r>
      <w:r>
        <w:rPr>
          <w:sz w:val="18"/>
          <w:vertAlign w:val="baseline"/>
        </w:rPr>
        <w:t>U.S.</w:t>
      </w:r>
      <w:r>
        <w:rPr>
          <w:spacing w:val="-1"/>
          <w:sz w:val="18"/>
          <w:vertAlign w:val="baseline"/>
        </w:rPr>
        <w:t> </w:t>
      </w:r>
      <w:r>
        <w:rPr>
          <w:sz w:val="18"/>
          <w:vertAlign w:val="baseline"/>
        </w:rPr>
        <w:t>Transgender </w:t>
      </w:r>
      <w:bookmarkStart w:name="_bookmark197" w:id="387"/>
      <w:bookmarkEnd w:id="387"/>
      <w:r>
        <w:rPr>
          <w:sz w:val="18"/>
          <w:vertAlign w:val="baseline"/>
        </w:rPr>
        <w:t>Su</w:t>
      </w:r>
      <w:r>
        <w:rPr>
          <w:sz w:val="18"/>
          <w:vertAlign w:val="baseline"/>
        </w:rPr>
        <w:t>rvey. Washington, DC: National Center for Transgender Equality.</w:t>
      </w:r>
    </w:p>
    <w:p>
      <w:pPr>
        <w:spacing w:before="0"/>
        <w:ind w:left="463" w:right="964" w:hanging="1"/>
        <w:jc w:val="left"/>
        <w:rPr>
          <w:sz w:val="18"/>
        </w:rPr>
      </w:pPr>
      <w:r>
        <w:rPr>
          <w:sz w:val="18"/>
          <w:vertAlign w:val="superscript"/>
        </w:rPr>
        <w:t>4</w:t>
      </w:r>
      <w:r>
        <w:rPr>
          <w:spacing w:val="-13"/>
          <w:sz w:val="18"/>
          <w:vertAlign w:val="baseline"/>
        </w:rPr>
        <w:t> </w:t>
      </w:r>
      <w:r>
        <w:rPr>
          <w:sz w:val="18"/>
          <w:vertAlign w:val="baseline"/>
        </w:rPr>
        <w:t>Abbi</w:t>
      </w:r>
      <w:r>
        <w:rPr>
          <w:spacing w:val="-4"/>
          <w:sz w:val="18"/>
          <w:vertAlign w:val="baseline"/>
        </w:rPr>
        <w:t> </w:t>
      </w:r>
      <w:r>
        <w:rPr>
          <w:sz w:val="18"/>
          <w:vertAlign w:val="baseline"/>
        </w:rPr>
        <w:t>Coursolle,</w:t>
      </w:r>
      <w:r>
        <w:rPr>
          <w:spacing w:val="-3"/>
          <w:sz w:val="18"/>
          <w:vertAlign w:val="baseline"/>
        </w:rPr>
        <w:t> </w:t>
      </w:r>
      <w:r>
        <w:rPr>
          <w:sz w:val="18"/>
          <w:vertAlign w:val="baseline"/>
        </w:rPr>
        <w:t>“Meeting</w:t>
      </w:r>
      <w:r>
        <w:rPr>
          <w:spacing w:val="-2"/>
          <w:sz w:val="18"/>
          <w:vertAlign w:val="baseline"/>
        </w:rPr>
        <w:t> </w:t>
      </w:r>
      <w:r>
        <w:rPr>
          <w:sz w:val="18"/>
          <w:vertAlign w:val="baseline"/>
        </w:rPr>
        <w:t>the</w:t>
      </w:r>
      <w:r>
        <w:rPr>
          <w:spacing w:val="-2"/>
          <w:sz w:val="18"/>
          <w:vertAlign w:val="baseline"/>
        </w:rPr>
        <w:t> </w:t>
      </w:r>
      <w:r>
        <w:rPr>
          <w:sz w:val="18"/>
          <w:vertAlign w:val="baseline"/>
        </w:rPr>
        <w:t>Health</w:t>
      </w:r>
      <w:r>
        <w:rPr>
          <w:spacing w:val="-2"/>
          <w:sz w:val="18"/>
          <w:vertAlign w:val="baseline"/>
        </w:rPr>
        <w:t> </w:t>
      </w:r>
      <w:r>
        <w:rPr>
          <w:sz w:val="18"/>
          <w:vertAlign w:val="baseline"/>
        </w:rPr>
        <w:t>Care</w:t>
      </w:r>
      <w:r>
        <w:rPr>
          <w:spacing w:val="-2"/>
          <w:sz w:val="18"/>
          <w:vertAlign w:val="baseline"/>
        </w:rPr>
        <w:t> </w:t>
      </w:r>
      <w:r>
        <w:rPr>
          <w:sz w:val="18"/>
          <w:vertAlign w:val="baseline"/>
        </w:rPr>
        <w:t>Needs</w:t>
      </w:r>
      <w:r>
        <w:rPr>
          <w:spacing w:val="-2"/>
          <w:sz w:val="18"/>
          <w:vertAlign w:val="baseline"/>
        </w:rPr>
        <w:t> </w:t>
      </w:r>
      <w:r>
        <w:rPr>
          <w:sz w:val="18"/>
          <w:vertAlign w:val="baseline"/>
        </w:rPr>
        <w:t>of</w:t>
      </w:r>
      <w:r>
        <w:rPr>
          <w:spacing w:val="-2"/>
          <w:sz w:val="18"/>
          <w:vertAlign w:val="baseline"/>
        </w:rPr>
        <w:t> </w:t>
      </w:r>
      <w:r>
        <w:rPr>
          <w:sz w:val="18"/>
          <w:vertAlign w:val="baseline"/>
        </w:rPr>
        <w:t>LGBTQ</w:t>
      </w:r>
      <w:r>
        <w:rPr>
          <w:spacing w:val="-4"/>
          <w:sz w:val="18"/>
          <w:vertAlign w:val="baseline"/>
        </w:rPr>
        <w:t> </w:t>
      </w:r>
      <w:r>
        <w:rPr>
          <w:sz w:val="18"/>
          <w:vertAlign w:val="baseline"/>
        </w:rPr>
        <w:t>Immigrants,”</w:t>
      </w:r>
      <w:r>
        <w:rPr>
          <w:spacing w:val="-2"/>
          <w:sz w:val="18"/>
          <w:vertAlign w:val="baseline"/>
        </w:rPr>
        <w:t> </w:t>
      </w:r>
      <w:r>
        <w:rPr>
          <w:sz w:val="18"/>
          <w:vertAlign w:val="baseline"/>
        </w:rPr>
        <w:t>National</w:t>
      </w:r>
      <w:r>
        <w:rPr>
          <w:spacing w:val="-3"/>
          <w:sz w:val="18"/>
          <w:vertAlign w:val="baseline"/>
        </w:rPr>
        <w:t> </w:t>
      </w:r>
      <w:r>
        <w:rPr>
          <w:sz w:val="18"/>
          <w:vertAlign w:val="baseline"/>
        </w:rPr>
        <w:t>Health</w:t>
      </w:r>
      <w:r>
        <w:rPr>
          <w:spacing w:val="-2"/>
          <w:sz w:val="18"/>
          <w:vertAlign w:val="baseline"/>
        </w:rPr>
        <w:t> </w:t>
      </w:r>
      <w:r>
        <w:rPr>
          <w:sz w:val="18"/>
          <w:vertAlign w:val="baseline"/>
        </w:rPr>
        <w:t>Law</w:t>
      </w:r>
      <w:r>
        <w:rPr>
          <w:spacing w:val="-3"/>
          <w:sz w:val="18"/>
          <w:vertAlign w:val="baseline"/>
        </w:rPr>
        <w:t> </w:t>
      </w:r>
      <w:r>
        <w:rPr>
          <w:sz w:val="18"/>
          <w:vertAlign w:val="baseline"/>
        </w:rPr>
        <w:t>Program,</w:t>
      </w:r>
      <w:r>
        <w:rPr>
          <w:spacing w:val="-3"/>
          <w:sz w:val="18"/>
          <w:vertAlign w:val="baseline"/>
        </w:rPr>
        <w:t> </w:t>
      </w:r>
      <w:r>
        <w:rPr>
          <w:sz w:val="18"/>
          <w:vertAlign w:val="baseline"/>
        </w:rPr>
        <w:t>August</w:t>
      </w:r>
      <w:r>
        <w:rPr>
          <w:spacing w:val="-3"/>
          <w:sz w:val="18"/>
          <w:vertAlign w:val="baseline"/>
        </w:rPr>
        <w:t> </w:t>
      </w:r>
      <w:r>
        <w:rPr>
          <w:sz w:val="18"/>
          <w:vertAlign w:val="baseline"/>
        </w:rPr>
        <w:t>16,</w:t>
      </w:r>
      <w:r>
        <w:rPr>
          <w:spacing w:val="-3"/>
          <w:sz w:val="18"/>
          <w:vertAlign w:val="baseline"/>
        </w:rPr>
        <w:t> </w:t>
      </w:r>
      <w:r>
        <w:rPr>
          <w:sz w:val="18"/>
          <w:vertAlign w:val="baseline"/>
        </w:rPr>
        <w:t>2021, </w:t>
      </w:r>
      <w:hyperlink r:id="rId326">
        <w:r>
          <w:rPr>
            <w:color w:val="0561C1"/>
            <w:spacing w:val="-2"/>
            <w:sz w:val="18"/>
            <w:u w:val="single" w:color="0561C1"/>
            <w:vertAlign w:val="baseline"/>
          </w:rPr>
          <w:t>https://healthlaw.org/meeting-the-health-care-needs-of-lgbtq-immigrants/</w:t>
        </w:r>
      </w:hyperlink>
      <w:hyperlink r:id="rId326">
        <w:r>
          <w:rPr>
            <w:spacing w:val="-2"/>
            <w:sz w:val="18"/>
            <w:u w:val="none"/>
            <w:vertAlign w:val="baseline"/>
          </w:rPr>
          <w:t>.</w:t>
        </w:r>
      </w:hyperlink>
    </w:p>
    <w:p>
      <w:pPr>
        <w:spacing w:before="0"/>
        <w:ind w:left="463" w:right="261" w:hanging="1"/>
        <w:jc w:val="left"/>
        <w:rPr>
          <w:sz w:val="18"/>
        </w:rPr>
      </w:pPr>
      <w:bookmarkStart w:name="_bookmark198" w:id="388"/>
      <w:bookmarkEnd w:id="388"/>
      <w:r>
        <w:rPr/>
      </w:r>
      <w:r>
        <w:rPr>
          <w:sz w:val="18"/>
          <w:vertAlign w:val="superscript"/>
        </w:rPr>
        <w:t>5</w:t>
      </w:r>
      <w:r>
        <w:rPr>
          <w:spacing w:val="-13"/>
          <w:sz w:val="18"/>
          <w:vertAlign w:val="baseline"/>
        </w:rPr>
        <w:t> </w:t>
      </w:r>
      <w:r>
        <w:rPr>
          <w:sz w:val="18"/>
          <w:vertAlign w:val="baseline"/>
        </w:rPr>
        <w:t>Wingo,</w:t>
      </w:r>
      <w:r>
        <w:rPr>
          <w:spacing w:val="-5"/>
          <w:sz w:val="18"/>
          <w:vertAlign w:val="baseline"/>
        </w:rPr>
        <w:t> </w:t>
      </w:r>
      <w:r>
        <w:rPr>
          <w:sz w:val="18"/>
          <w:vertAlign w:val="baseline"/>
        </w:rPr>
        <w:t>Erin,</w:t>
      </w:r>
      <w:r>
        <w:rPr>
          <w:spacing w:val="-3"/>
          <w:sz w:val="18"/>
          <w:vertAlign w:val="baseline"/>
        </w:rPr>
        <w:t> </w:t>
      </w:r>
      <w:r>
        <w:rPr>
          <w:sz w:val="18"/>
          <w:vertAlign w:val="baseline"/>
        </w:rPr>
        <w:t>Natalie</w:t>
      </w:r>
      <w:r>
        <w:rPr>
          <w:spacing w:val="-2"/>
          <w:sz w:val="18"/>
          <w:vertAlign w:val="baseline"/>
        </w:rPr>
        <w:t> </w:t>
      </w:r>
      <w:r>
        <w:rPr>
          <w:sz w:val="18"/>
          <w:vertAlign w:val="baseline"/>
        </w:rPr>
        <w:t>Ingraham,</w:t>
      </w:r>
      <w:r>
        <w:rPr>
          <w:spacing w:val="-3"/>
          <w:sz w:val="18"/>
          <w:vertAlign w:val="baseline"/>
        </w:rPr>
        <w:t> </w:t>
      </w:r>
      <w:r>
        <w:rPr>
          <w:sz w:val="18"/>
          <w:vertAlign w:val="baseline"/>
        </w:rPr>
        <w:t>and</w:t>
      </w:r>
      <w:r>
        <w:rPr>
          <w:spacing w:val="-2"/>
          <w:sz w:val="18"/>
          <w:vertAlign w:val="baseline"/>
        </w:rPr>
        <w:t> </w:t>
      </w:r>
      <w:r>
        <w:rPr>
          <w:sz w:val="18"/>
          <w:vertAlign w:val="baseline"/>
        </w:rPr>
        <w:t>Sarah</w:t>
      </w:r>
      <w:r>
        <w:rPr>
          <w:spacing w:val="-2"/>
          <w:sz w:val="18"/>
          <w:vertAlign w:val="baseline"/>
        </w:rPr>
        <w:t> </w:t>
      </w:r>
      <w:r>
        <w:rPr>
          <w:sz w:val="18"/>
          <w:vertAlign w:val="baseline"/>
        </w:rPr>
        <w:t>C.M.</w:t>
      </w:r>
      <w:r>
        <w:rPr>
          <w:spacing w:val="-3"/>
          <w:sz w:val="18"/>
          <w:vertAlign w:val="baseline"/>
        </w:rPr>
        <w:t> </w:t>
      </w:r>
      <w:r>
        <w:rPr>
          <w:sz w:val="18"/>
          <w:vertAlign w:val="baseline"/>
        </w:rPr>
        <w:t>Roberts.</w:t>
      </w:r>
      <w:r>
        <w:rPr>
          <w:spacing w:val="-2"/>
          <w:sz w:val="18"/>
          <w:vertAlign w:val="baseline"/>
        </w:rPr>
        <w:t> </w:t>
      </w:r>
      <w:r>
        <w:rPr>
          <w:sz w:val="18"/>
          <w:vertAlign w:val="baseline"/>
        </w:rPr>
        <w:t>“Reproductive</w:t>
      </w:r>
      <w:r>
        <w:rPr>
          <w:spacing w:val="-2"/>
          <w:sz w:val="18"/>
          <w:vertAlign w:val="baseline"/>
        </w:rPr>
        <w:t> </w:t>
      </w:r>
      <w:r>
        <w:rPr>
          <w:sz w:val="18"/>
          <w:vertAlign w:val="baseline"/>
        </w:rPr>
        <w:t>Health</w:t>
      </w:r>
      <w:r>
        <w:rPr>
          <w:spacing w:val="-2"/>
          <w:sz w:val="18"/>
          <w:vertAlign w:val="baseline"/>
        </w:rPr>
        <w:t> </w:t>
      </w:r>
      <w:r>
        <w:rPr>
          <w:sz w:val="18"/>
          <w:vertAlign w:val="baseline"/>
        </w:rPr>
        <w:t>Care</w:t>
      </w:r>
      <w:r>
        <w:rPr>
          <w:spacing w:val="-2"/>
          <w:sz w:val="18"/>
          <w:vertAlign w:val="baseline"/>
        </w:rPr>
        <w:t> </w:t>
      </w:r>
      <w:r>
        <w:rPr>
          <w:sz w:val="18"/>
          <w:vertAlign w:val="baseline"/>
        </w:rPr>
        <w:t>Priorities</w:t>
      </w:r>
      <w:r>
        <w:rPr>
          <w:spacing w:val="-2"/>
          <w:sz w:val="18"/>
          <w:vertAlign w:val="baseline"/>
        </w:rPr>
        <w:t> </w:t>
      </w:r>
      <w:r>
        <w:rPr>
          <w:sz w:val="18"/>
          <w:vertAlign w:val="baseline"/>
        </w:rPr>
        <w:t>and</w:t>
      </w:r>
      <w:r>
        <w:rPr>
          <w:spacing w:val="-2"/>
          <w:sz w:val="18"/>
          <w:vertAlign w:val="baseline"/>
        </w:rPr>
        <w:t> </w:t>
      </w:r>
      <w:r>
        <w:rPr>
          <w:sz w:val="18"/>
          <w:vertAlign w:val="baseline"/>
        </w:rPr>
        <w:t>Barriers</w:t>
      </w:r>
      <w:r>
        <w:rPr>
          <w:spacing w:val="-2"/>
          <w:sz w:val="18"/>
          <w:vertAlign w:val="baseline"/>
        </w:rPr>
        <w:t> </w:t>
      </w:r>
      <w:r>
        <w:rPr>
          <w:sz w:val="18"/>
          <w:vertAlign w:val="baseline"/>
        </w:rPr>
        <w:t>to</w:t>
      </w:r>
      <w:r>
        <w:rPr>
          <w:spacing w:val="-2"/>
          <w:sz w:val="18"/>
          <w:vertAlign w:val="baseline"/>
        </w:rPr>
        <w:t> </w:t>
      </w:r>
      <w:r>
        <w:rPr>
          <w:sz w:val="18"/>
          <w:vertAlign w:val="baseline"/>
        </w:rPr>
        <w:t>Effective</w:t>
      </w:r>
      <w:r>
        <w:rPr>
          <w:spacing w:val="-2"/>
          <w:sz w:val="18"/>
          <w:vertAlign w:val="baseline"/>
        </w:rPr>
        <w:t> </w:t>
      </w:r>
      <w:r>
        <w:rPr>
          <w:sz w:val="18"/>
          <w:vertAlign w:val="baseline"/>
        </w:rPr>
        <w:t>Care</w:t>
      </w:r>
      <w:r>
        <w:rPr>
          <w:spacing w:val="-2"/>
          <w:sz w:val="18"/>
          <w:vertAlign w:val="baseline"/>
        </w:rPr>
        <w:t> </w:t>
      </w:r>
      <w:r>
        <w:rPr>
          <w:sz w:val="18"/>
          <w:vertAlign w:val="baseline"/>
        </w:rPr>
        <w:t>for LGBTQ People Assigned Female at Birth: A Qualitative Study.” </w:t>
      </w:r>
      <w:r>
        <w:rPr>
          <w:i/>
          <w:sz w:val="18"/>
          <w:vertAlign w:val="baseline"/>
        </w:rPr>
        <w:t>Women’s Health Issues </w:t>
      </w:r>
      <w:r>
        <w:rPr>
          <w:sz w:val="18"/>
          <w:vertAlign w:val="baseline"/>
        </w:rPr>
        <w:t>28, no. 4 (July 2018): 350–57. </w:t>
      </w:r>
      <w:hyperlink r:id="rId327">
        <w:r>
          <w:rPr>
            <w:color w:val="0561C1"/>
            <w:spacing w:val="-2"/>
            <w:sz w:val="18"/>
            <w:u w:val="single" w:color="0561C1"/>
            <w:vertAlign w:val="baseline"/>
          </w:rPr>
          <w:t>https://doi.org/10.1016/j.whi.2018.03.002</w:t>
        </w:r>
      </w:hyperlink>
      <w:hyperlink r:id="rId327">
        <w:r>
          <w:rPr>
            <w:spacing w:val="-2"/>
            <w:sz w:val="18"/>
            <w:u w:val="none"/>
            <w:vertAlign w:val="baseline"/>
          </w:rPr>
          <w:t>.</w:t>
        </w:r>
      </w:hyperlink>
    </w:p>
    <w:p>
      <w:pPr>
        <w:spacing w:before="0"/>
        <w:ind w:left="463" w:right="261" w:hanging="1"/>
        <w:jc w:val="left"/>
        <w:rPr>
          <w:sz w:val="18"/>
        </w:rPr>
      </w:pPr>
      <w:bookmarkStart w:name="_bookmark199" w:id="389"/>
      <w:bookmarkEnd w:id="389"/>
      <w:r>
        <w:rPr/>
      </w:r>
      <w:r>
        <w:rPr>
          <w:sz w:val="18"/>
          <w:vertAlign w:val="superscript"/>
        </w:rPr>
        <w:t>6</w:t>
      </w:r>
      <w:r>
        <w:rPr>
          <w:spacing w:val="-13"/>
          <w:sz w:val="18"/>
          <w:vertAlign w:val="baseline"/>
        </w:rPr>
        <w:t> </w:t>
      </w:r>
      <w:r>
        <w:rPr>
          <w:sz w:val="18"/>
          <w:vertAlign w:val="baseline"/>
        </w:rPr>
        <w:t>Barbara</w:t>
      </w:r>
      <w:r>
        <w:rPr>
          <w:spacing w:val="-3"/>
          <w:sz w:val="18"/>
          <w:vertAlign w:val="baseline"/>
        </w:rPr>
        <w:t> </w:t>
      </w:r>
      <w:r>
        <w:rPr>
          <w:sz w:val="18"/>
          <w:vertAlign w:val="baseline"/>
        </w:rPr>
        <w:t>K.</w:t>
      </w:r>
      <w:r>
        <w:rPr>
          <w:spacing w:val="-3"/>
          <w:sz w:val="18"/>
          <w:vertAlign w:val="baseline"/>
        </w:rPr>
        <w:t> </w:t>
      </w:r>
      <w:r>
        <w:rPr>
          <w:sz w:val="18"/>
          <w:vertAlign w:val="baseline"/>
        </w:rPr>
        <w:t>Snyder,</w:t>
      </w:r>
      <w:r>
        <w:rPr>
          <w:spacing w:val="-3"/>
          <w:sz w:val="18"/>
          <w:vertAlign w:val="baseline"/>
        </w:rPr>
        <w:t> </w:t>
      </w:r>
      <w:r>
        <w:rPr>
          <w:sz w:val="18"/>
          <w:vertAlign w:val="baseline"/>
        </w:rPr>
        <w:t>Gail</w:t>
      </w:r>
      <w:r>
        <w:rPr>
          <w:spacing w:val="-3"/>
          <w:sz w:val="18"/>
          <w:vertAlign w:val="baseline"/>
        </w:rPr>
        <w:t> </w:t>
      </w:r>
      <w:r>
        <w:rPr>
          <w:sz w:val="18"/>
          <w:vertAlign w:val="baseline"/>
        </w:rPr>
        <w:t>D.</w:t>
      </w:r>
      <w:r>
        <w:rPr>
          <w:spacing w:val="-2"/>
          <w:sz w:val="18"/>
          <w:vertAlign w:val="baseline"/>
        </w:rPr>
        <w:t> </w:t>
      </w:r>
      <w:r>
        <w:rPr>
          <w:sz w:val="18"/>
          <w:vertAlign w:val="baseline"/>
        </w:rPr>
        <w:t>Burack,</w:t>
      </w:r>
      <w:r>
        <w:rPr>
          <w:spacing w:val="-3"/>
          <w:sz w:val="18"/>
          <w:vertAlign w:val="baseline"/>
        </w:rPr>
        <w:t> </w:t>
      </w:r>
      <w:r>
        <w:rPr>
          <w:sz w:val="18"/>
          <w:vertAlign w:val="baseline"/>
        </w:rPr>
        <w:t>and</w:t>
      </w:r>
      <w:r>
        <w:rPr>
          <w:spacing w:val="-2"/>
          <w:sz w:val="18"/>
          <w:vertAlign w:val="baseline"/>
        </w:rPr>
        <w:t> </w:t>
      </w:r>
      <w:r>
        <w:rPr>
          <w:sz w:val="18"/>
          <w:vertAlign w:val="baseline"/>
        </w:rPr>
        <w:t>Anna</w:t>
      </w:r>
      <w:r>
        <w:rPr>
          <w:spacing w:val="-2"/>
          <w:sz w:val="18"/>
          <w:vertAlign w:val="baseline"/>
        </w:rPr>
        <w:t> </w:t>
      </w:r>
      <w:r>
        <w:rPr>
          <w:sz w:val="18"/>
          <w:vertAlign w:val="baseline"/>
        </w:rPr>
        <w:t>Petrova,</w:t>
      </w:r>
      <w:r>
        <w:rPr>
          <w:spacing w:val="-3"/>
          <w:sz w:val="18"/>
          <w:vertAlign w:val="baseline"/>
        </w:rPr>
        <w:t> </w:t>
      </w:r>
      <w:r>
        <w:rPr>
          <w:sz w:val="18"/>
          <w:vertAlign w:val="baseline"/>
        </w:rPr>
        <w:t>“LGBTQ</w:t>
      </w:r>
      <w:r>
        <w:rPr>
          <w:spacing w:val="-2"/>
          <w:sz w:val="18"/>
          <w:vertAlign w:val="baseline"/>
        </w:rPr>
        <w:t> </w:t>
      </w:r>
      <w:r>
        <w:rPr>
          <w:sz w:val="18"/>
          <w:vertAlign w:val="baseline"/>
        </w:rPr>
        <w:t>Youth’s</w:t>
      </w:r>
      <w:r>
        <w:rPr>
          <w:spacing w:val="-2"/>
          <w:sz w:val="18"/>
          <w:vertAlign w:val="baseline"/>
        </w:rPr>
        <w:t> </w:t>
      </w:r>
      <w:r>
        <w:rPr>
          <w:sz w:val="18"/>
          <w:vertAlign w:val="baseline"/>
        </w:rPr>
        <w:t>Perceptions</w:t>
      </w:r>
      <w:r>
        <w:rPr>
          <w:spacing w:val="-2"/>
          <w:sz w:val="18"/>
          <w:vertAlign w:val="baseline"/>
        </w:rPr>
        <w:t> </w:t>
      </w:r>
      <w:r>
        <w:rPr>
          <w:sz w:val="18"/>
          <w:vertAlign w:val="baseline"/>
        </w:rPr>
        <w:t>of</w:t>
      </w:r>
      <w:r>
        <w:rPr>
          <w:spacing w:val="-2"/>
          <w:sz w:val="18"/>
          <w:vertAlign w:val="baseline"/>
        </w:rPr>
        <w:t> </w:t>
      </w:r>
      <w:r>
        <w:rPr>
          <w:sz w:val="18"/>
          <w:vertAlign w:val="baseline"/>
        </w:rPr>
        <w:t>Primary</w:t>
      </w:r>
      <w:r>
        <w:rPr>
          <w:spacing w:val="-2"/>
          <w:sz w:val="18"/>
          <w:vertAlign w:val="baseline"/>
        </w:rPr>
        <w:t> </w:t>
      </w:r>
      <w:r>
        <w:rPr>
          <w:sz w:val="18"/>
          <w:vertAlign w:val="baseline"/>
        </w:rPr>
        <w:t>Care,”</w:t>
      </w:r>
      <w:r>
        <w:rPr>
          <w:spacing w:val="-2"/>
          <w:sz w:val="18"/>
          <w:vertAlign w:val="baseline"/>
        </w:rPr>
        <w:t> </w:t>
      </w:r>
      <w:r>
        <w:rPr>
          <w:i/>
          <w:sz w:val="18"/>
          <w:vertAlign w:val="baseline"/>
        </w:rPr>
        <w:t>Clinical</w:t>
      </w:r>
      <w:r>
        <w:rPr>
          <w:i/>
          <w:spacing w:val="-3"/>
          <w:sz w:val="18"/>
          <w:vertAlign w:val="baseline"/>
        </w:rPr>
        <w:t> </w:t>
      </w:r>
      <w:r>
        <w:rPr>
          <w:i/>
          <w:sz w:val="18"/>
          <w:vertAlign w:val="baseline"/>
        </w:rPr>
        <w:t>Pediatrics</w:t>
      </w:r>
      <w:r>
        <w:rPr>
          <w:i/>
          <w:spacing w:val="-3"/>
          <w:sz w:val="18"/>
          <w:vertAlign w:val="baseline"/>
        </w:rPr>
        <w:t> </w:t>
      </w:r>
      <w:r>
        <w:rPr>
          <w:sz w:val="18"/>
          <w:vertAlign w:val="baseline"/>
        </w:rPr>
        <w:t>56,</w:t>
      </w:r>
      <w:r>
        <w:rPr>
          <w:spacing w:val="-3"/>
          <w:sz w:val="18"/>
          <w:vertAlign w:val="baseline"/>
        </w:rPr>
        <w:t> </w:t>
      </w:r>
      <w:r>
        <w:rPr>
          <w:sz w:val="18"/>
          <w:vertAlign w:val="baseline"/>
        </w:rPr>
        <w:t>no.</w:t>
      </w:r>
      <w:r>
        <w:rPr>
          <w:spacing w:val="-2"/>
          <w:sz w:val="18"/>
          <w:vertAlign w:val="baseline"/>
        </w:rPr>
        <w:t> </w:t>
      </w:r>
      <w:r>
        <w:rPr>
          <w:sz w:val="18"/>
          <w:vertAlign w:val="baseline"/>
        </w:rPr>
        <w:t>5 (May 2017): 443–50, </w:t>
      </w:r>
      <w:hyperlink r:id="rId328">
        <w:r>
          <w:rPr>
            <w:color w:val="0561C1"/>
            <w:sz w:val="18"/>
            <w:u w:val="single" w:color="0561C1"/>
            <w:vertAlign w:val="baseline"/>
          </w:rPr>
          <w:t>https://doi.org/10.1177/0009922816673306</w:t>
        </w:r>
      </w:hyperlink>
      <w:hyperlink r:id="rId328">
        <w:r>
          <w:rPr>
            <w:sz w:val="18"/>
            <w:u w:val="none"/>
            <w:vertAlign w:val="baseline"/>
          </w:rPr>
          <w:t>.</w:t>
        </w:r>
      </w:hyperlink>
    </w:p>
    <w:p>
      <w:pPr>
        <w:spacing w:before="0"/>
        <w:ind w:left="463" w:right="261" w:hanging="1"/>
        <w:jc w:val="left"/>
        <w:rPr>
          <w:sz w:val="18"/>
        </w:rPr>
      </w:pPr>
      <w:bookmarkStart w:name="_bookmark200" w:id="390"/>
      <w:bookmarkEnd w:id="390"/>
      <w:r>
        <w:rPr/>
      </w:r>
      <w:r>
        <w:rPr>
          <w:sz w:val="18"/>
          <w:vertAlign w:val="superscript"/>
        </w:rPr>
        <w:t>7</w:t>
      </w:r>
      <w:r>
        <w:rPr>
          <w:spacing w:val="-13"/>
          <w:sz w:val="18"/>
          <w:vertAlign w:val="baseline"/>
        </w:rPr>
        <w:t> </w:t>
      </w:r>
      <w:r>
        <w:rPr>
          <w:sz w:val="18"/>
          <w:vertAlign w:val="baseline"/>
        </w:rPr>
        <w:t>“Discrimination</w:t>
      </w:r>
      <w:r>
        <w:rPr>
          <w:spacing w:val="-3"/>
          <w:sz w:val="18"/>
          <w:vertAlign w:val="baseline"/>
        </w:rPr>
        <w:t> </w:t>
      </w:r>
      <w:r>
        <w:rPr>
          <w:sz w:val="18"/>
          <w:vertAlign w:val="baseline"/>
        </w:rPr>
        <w:t>Prevents</w:t>
      </w:r>
      <w:r>
        <w:rPr>
          <w:spacing w:val="-3"/>
          <w:sz w:val="18"/>
          <w:vertAlign w:val="baseline"/>
        </w:rPr>
        <w:t> </w:t>
      </w:r>
      <w:r>
        <w:rPr>
          <w:sz w:val="18"/>
          <w:vertAlign w:val="baseline"/>
        </w:rPr>
        <w:t>LGBTQ</w:t>
      </w:r>
      <w:r>
        <w:rPr>
          <w:spacing w:val="-3"/>
          <w:sz w:val="18"/>
          <w:vertAlign w:val="baseline"/>
        </w:rPr>
        <w:t> </w:t>
      </w:r>
      <w:r>
        <w:rPr>
          <w:sz w:val="18"/>
          <w:vertAlign w:val="baseline"/>
        </w:rPr>
        <w:t>People</w:t>
      </w:r>
      <w:r>
        <w:rPr>
          <w:spacing w:val="-3"/>
          <w:sz w:val="18"/>
          <w:vertAlign w:val="baseline"/>
        </w:rPr>
        <w:t> </w:t>
      </w:r>
      <w:r>
        <w:rPr>
          <w:sz w:val="18"/>
          <w:vertAlign w:val="baseline"/>
        </w:rPr>
        <w:t>From</w:t>
      </w:r>
      <w:r>
        <w:rPr>
          <w:spacing w:val="-3"/>
          <w:sz w:val="18"/>
          <w:vertAlign w:val="baseline"/>
        </w:rPr>
        <w:t> </w:t>
      </w:r>
      <w:r>
        <w:rPr>
          <w:sz w:val="18"/>
          <w:vertAlign w:val="baseline"/>
        </w:rPr>
        <w:t>Accessing</w:t>
      </w:r>
      <w:r>
        <w:rPr>
          <w:spacing w:val="-3"/>
          <w:sz w:val="18"/>
          <w:vertAlign w:val="baseline"/>
        </w:rPr>
        <w:t> </w:t>
      </w:r>
      <w:r>
        <w:rPr>
          <w:sz w:val="18"/>
          <w:vertAlign w:val="baseline"/>
        </w:rPr>
        <w:t>Health</w:t>
      </w:r>
      <w:r>
        <w:rPr>
          <w:spacing w:val="-3"/>
          <w:sz w:val="18"/>
          <w:vertAlign w:val="baseline"/>
        </w:rPr>
        <w:t> </w:t>
      </w:r>
      <w:r>
        <w:rPr>
          <w:sz w:val="18"/>
          <w:vertAlign w:val="baseline"/>
        </w:rPr>
        <w:t>Care,”</w:t>
      </w:r>
      <w:r>
        <w:rPr>
          <w:spacing w:val="-3"/>
          <w:sz w:val="18"/>
          <w:vertAlign w:val="baseline"/>
        </w:rPr>
        <w:t> </w:t>
      </w:r>
      <w:r>
        <w:rPr>
          <w:i/>
          <w:sz w:val="18"/>
          <w:vertAlign w:val="baseline"/>
        </w:rPr>
        <w:t>Center</w:t>
      </w:r>
      <w:r>
        <w:rPr>
          <w:i/>
          <w:spacing w:val="-3"/>
          <w:sz w:val="18"/>
          <w:vertAlign w:val="baseline"/>
        </w:rPr>
        <w:t> </w:t>
      </w:r>
      <w:r>
        <w:rPr>
          <w:i/>
          <w:sz w:val="18"/>
          <w:vertAlign w:val="baseline"/>
        </w:rPr>
        <w:t>for</w:t>
      </w:r>
      <w:r>
        <w:rPr>
          <w:i/>
          <w:spacing w:val="-3"/>
          <w:sz w:val="18"/>
          <w:vertAlign w:val="baseline"/>
        </w:rPr>
        <w:t> </w:t>
      </w:r>
      <w:r>
        <w:rPr>
          <w:i/>
          <w:sz w:val="18"/>
          <w:vertAlign w:val="baseline"/>
        </w:rPr>
        <w:t>American</w:t>
      </w:r>
      <w:r>
        <w:rPr>
          <w:i/>
          <w:spacing w:val="-3"/>
          <w:sz w:val="18"/>
          <w:vertAlign w:val="baseline"/>
        </w:rPr>
        <w:t> </w:t>
      </w:r>
      <w:r>
        <w:rPr>
          <w:i/>
          <w:sz w:val="18"/>
          <w:vertAlign w:val="baseline"/>
        </w:rPr>
        <w:t>Progress</w:t>
      </w:r>
      <w:r>
        <w:rPr>
          <w:i/>
          <w:spacing w:val="-3"/>
          <w:sz w:val="18"/>
          <w:vertAlign w:val="baseline"/>
        </w:rPr>
        <w:t> </w:t>
      </w:r>
      <w:r>
        <w:rPr>
          <w:sz w:val="18"/>
          <w:vertAlign w:val="baseline"/>
        </w:rPr>
        <w:t>(blog),</w:t>
      </w:r>
      <w:r>
        <w:rPr>
          <w:spacing w:val="-3"/>
          <w:sz w:val="18"/>
          <w:vertAlign w:val="baseline"/>
        </w:rPr>
        <w:t> </w:t>
      </w:r>
      <w:r>
        <w:rPr>
          <w:sz w:val="18"/>
          <w:vertAlign w:val="baseline"/>
        </w:rPr>
        <w:t>accessed</w:t>
      </w:r>
      <w:r>
        <w:rPr>
          <w:spacing w:val="-3"/>
          <w:sz w:val="18"/>
          <w:vertAlign w:val="baseline"/>
        </w:rPr>
        <w:t> </w:t>
      </w:r>
      <w:r>
        <w:rPr>
          <w:sz w:val="18"/>
          <w:vertAlign w:val="baseline"/>
        </w:rPr>
        <w:t>August</w:t>
      </w:r>
      <w:r>
        <w:rPr>
          <w:spacing w:val="-3"/>
          <w:sz w:val="18"/>
          <w:vertAlign w:val="baseline"/>
        </w:rPr>
        <w:t> </w:t>
      </w:r>
      <w:r>
        <w:rPr>
          <w:sz w:val="18"/>
          <w:vertAlign w:val="baseline"/>
        </w:rPr>
        <w:t>11, 2022,</w:t>
      </w:r>
      <w:r>
        <w:rPr>
          <w:spacing w:val="-2"/>
          <w:sz w:val="18"/>
          <w:vertAlign w:val="baseline"/>
        </w:rPr>
        <w:t> </w:t>
      </w:r>
      <w:hyperlink r:id="rId329">
        <w:r>
          <w:rPr>
            <w:color w:val="0561C1"/>
            <w:sz w:val="18"/>
            <w:u w:val="single" w:color="0561C1"/>
            <w:vertAlign w:val="baseline"/>
          </w:rPr>
          <w:t>https://www.americanprogress.org/article/discrimination-prevents-lgbtq-people-accessing-health-care/</w:t>
        </w:r>
      </w:hyperlink>
      <w:hyperlink r:id="rId329">
        <w:r>
          <w:rPr>
            <w:sz w:val="18"/>
            <w:u w:val="none"/>
            <w:vertAlign w:val="baseline"/>
          </w:rPr>
          <w:t>.</w:t>
        </w:r>
      </w:hyperlink>
    </w:p>
    <w:p>
      <w:pPr>
        <w:spacing w:before="0"/>
        <w:ind w:left="463" w:right="0" w:hanging="1"/>
        <w:jc w:val="left"/>
        <w:rPr>
          <w:sz w:val="18"/>
        </w:rPr>
      </w:pPr>
      <w:bookmarkStart w:name="_bookmark201" w:id="391"/>
      <w:bookmarkEnd w:id="391"/>
      <w:r>
        <w:rPr/>
      </w:r>
      <w:r>
        <w:rPr>
          <w:sz w:val="18"/>
          <w:vertAlign w:val="superscript"/>
        </w:rPr>
        <w:t>8</w:t>
      </w:r>
      <w:r>
        <w:rPr>
          <w:spacing w:val="-13"/>
          <w:sz w:val="18"/>
          <w:vertAlign w:val="baseline"/>
        </w:rPr>
        <w:t> </w:t>
      </w:r>
      <w:r>
        <w:rPr>
          <w:sz w:val="18"/>
          <w:vertAlign w:val="baseline"/>
        </w:rPr>
        <w:t>Agénor,</w:t>
      </w:r>
      <w:r>
        <w:rPr>
          <w:spacing w:val="-5"/>
          <w:sz w:val="18"/>
          <w:vertAlign w:val="baseline"/>
        </w:rPr>
        <w:t> </w:t>
      </w:r>
      <w:r>
        <w:rPr>
          <w:sz w:val="18"/>
          <w:vertAlign w:val="baseline"/>
        </w:rPr>
        <w:t>Madina,</w:t>
      </w:r>
      <w:r>
        <w:rPr>
          <w:spacing w:val="-3"/>
          <w:sz w:val="18"/>
          <w:vertAlign w:val="baseline"/>
        </w:rPr>
        <w:t> </w:t>
      </w:r>
      <w:r>
        <w:rPr>
          <w:sz w:val="18"/>
          <w:vertAlign w:val="baseline"/>
        </w:rPr>
        <w:t>Dougie</w:t>
      </w:r>
      <w:r>
        <w:rPr>
          <w:spacing w:val="-2"/>
          <w:sz w:val="18"/>
          <w:vertAlign w:val="baseline"/>
        </w:rPr>
        <w:t> </w:t>
      </w:r>
      <w:r>
        <w:rPr>
          <w:sz w:val="18"/>
          <w:vertAlign w:val="baseline"/>
        </w:rPr>
        <w:t>Zubizarreta,</w:t>
      </w:r>
      <w:r>
        <w:rPr>
          <w:spacing w:val="-3"/>
          <w:sz w:val="18"/>
          <w:vertAlign w:val="baseline"/>
        </w:rPr>
        <w:t> </w:t>
      </w:r>
      <w:r>
        <w:rPr>
          <w:sz w:val="18"/>
          <w:vertAlign w:val="baseline"/>
        </w:rPr>
        <w:t>Sophia</w:t>
      </w:r>
      <w:r>
        <w:rPr>
          <w:spacing w:val="-2"/>
          <w:sz w:val="18"/>
          <w:vertAlign w:val="baseline"/>
        </w:rPr>
        <w:t> </w:t>
      </w:r>
      <w:r>
        <w:rPr>
          <w:sz w:val="18"/>
          <w:vertAlign w:val="baseline"/>
        </w:rPr>
        <w:t>Geffen,</w:t>
      </w:r>
      <w:r>
        <w:rPr>
          <w:spacing w:val="-3"/>
          <w:sz w:val="18"/>
          <w:vertAlign w:val="baseline"/>
        </w:rPr>
        <w:t> </w:t>
      </w:r>
      <w:r>
        <w:rPr>
          <w:sz w:val="18"/>
          <w:vertAlign w:val="baseline"/>
        </w:rPr>
        <w:t>Natasha</w:t>
      </w:r>
      <w:r>
        <w:rPr>
          <w:spacing w:val="-2"/>
          <w:sz w:val="18"/>
          <w:vertAlign w:val="baseline"/>
        </w:rPr>
        <w:t> </w:t>
      </w:r>
      <w:r>
        <w:rPr>
          <w:sz w:val="18"/>
          <w:vertAlign w:val="baseline"/>
        </w:rPr>
        <w:t>Ramanayake,</w:t>
      </w:r>
      <w:r>
        <w:rPr>
          <w:spacing w:val="-3"/>
          <w:sz w:val="18"/>
          <w:vertAlign w:val="baseline"/>
        </w:rPr>
        <w:t> </w:t>
      </w:r>
      <w:r>
        <w:rPr>
          <w:sz w:val="18"/>
          <w:vertAlign w:val="baseline"/>
        </w:rPr>
        <w:t>Shane</w:t>
      </w:r>
      <w:r>
        <w:rPr>
          <w:spacing w:val="-2"/>
          <w:sz w:val="18"/>
          <w:vertAlign w:val="baseline"/>
        </w:rPr>
        <w:t> </w:t>
      </w:r>
      <w:r>
        <w:rPr>
          <w:sz w:val="18"/>
          <w:vertAlign w:val="baseline"/>
        </w:rPr>
        <w:t>Giraldo,</w:t>
      </w:r>
      <w:r>
        <w:rPr>
          <w:spacing w:val="-3"/>
          <w:sz w:val="18"/>
          <w:vertAlign w:val="baseline"/>
        </w:rPr>
        <w:t> </w:t>
      </w:r>
      <w:r>
        <w:rPr>
          <w:sz w:val="18"/>
          <w:vertAlign w:val="baseline"/>
        </w:rPr>
        <w:t>Allison</w:t>
      </w:r>
      <w:r>
        <w:rPr>
          <w:spacing w:val="-2"/>
          <w:sz w:val="18"/>
          <w:vertAlign w:val="baseline"/>
        </w:rPr>
        <w:t> </w:t>
      </w:r>
      <w:r>
        <w:rPr>
          <w:sz w:val="18"/>
          <w:vertAlign w:val="baseline"/>
        </w:rPr>
        <w:t>McGuirk,</w:t>
      </w:r>
      <w:r>
        <w:rPr>
          <w:spacing w:val="-3"/>
          <w:sz w:val="18"/>
          <w:vertAlign w:val="baseline"/>
        </w:rPr>
        <w:t> </w:t>
      </w:r>
      <w:r>
        <w:rPr>
          <w:sz w:val="18"/>
          <w:vertAlign w:val="baseline"/>
        </w:rPr>
        <w:t>Mateo</w:t>
      </w:r>
      <w:r>
        <w:rPr>
          <w:spacing w:val="-2"/>
          <w:sz w:val="18"/>
          <w:vertAlign w:val="baseline"/>
        </w:rPr>
        <w:t> </w:t>
      </w:r>
      <w:r>
        <w:rPr>
          <w:sz w:val="18"/>
          <w:vertAlign w:val="baseline"/>
        </w:rPr>
        <w:t>Caballero,</w:t>
      </w:r>
      <w:r>
        <w:rPr>
          <w:spacing w:val="-3"/>
          <w:sz w:val="18"/>
          <w:vertAlign w:val="baseline"/>
        </w:rPr>
        <w:t> </w:t>
      </w:r>
      <w:r>
        <w:rPr>
          <w:sz w:val="18"/>
          <w:vertAlign w:val="baseline"/>
        </w:rPr>
        <w:t>and Keosha Bond. 2022. “‘Making a Way Out of No Way:’ Understanding the Sexual and Reproductive Health Care Experiences of</w:t>
      </w:r>
    </w:p>
    <w:p>
      <w:pPr>
        <w:spacing w:after="0"/>
        <w:jc w:val="left"/>
        <w:rPr>
          <w:sz w:val="18"/>
        </w:rPr>
        <w:sectPr>
          <w:pgSz w:w="12240" w:h="15840"/>
          <w:pgMar w:header="800" w:footer="1530" w:top="1080" w:bottom="1760" w:left="980" w:right="1000"/>
        </w:sectPr>
      </w:pPr>
    </w:p>
    <w:p>
      <w:pPr>
        <w:spacing w:before="68"/>
        <w:ind w:left="463" w:right="0" w:firstLine="0"/>
        <w:jc w:val="left"/>
        <w:rPr>
          <w:sz w:val="18"/>
        </w:rPr>
      </w:pPr>
      <w:r>
        <w:rPr>
          <w:sz w:val="18"/>
        </w:rPr>
        <w:t>Transmasculine</w:t>
      </w:r>
      <w:r>
        <w:rPr>
          <w:spacing w:val="-4"/>
          <w:sz w:val="18"/>
        </w:rPr>
        <w:t> </w:t>
      </w:r>
      <w:r>
        <w:rPr>
          <w:sz w:val="18"/>
        </w:rPr>
        <w:t>Young</w:t>
      </w:r>
      <w:r>
        <w:rPr>
          <w:spacing w:val="-3"/>
          <w:sz w:val="18"/>
        </w:rPr>
        <w:t> </w:t>
      </w:r>
      <w:r>
        <w:rPr>
          <w:sz w:val="18"/>
        </w:rPr>
        <w:t>Adults</w:t>
      </w:r>
      <w:r>
        <w:rPr>
          <w:spacing w:val="-3"/>
          <w:sz w:val="18"/>
        </w:rPr>
        <w:t> </w:t>
      </w:r>
      <w:r>
        <w:rPr>
          <w:sz w:val="18"/>
        </w:rPr>
        <w:t>of</w:t>
      </w:r>
      <w:r>
        <w:rPr>
          <w:spacing w:val="-4"/>
          <w:sz w:val="18"/>
        </w:rPr>
        <w:t> </w:t>
      </w:r>
      <w:r>
        <w:rPr>
          <w:sz w:val="18"/>
        </w:rPr>
        <w:t>Color</w:t>
      </w:r>
      <w:r>
        <w:rPr>
          <w:spacing w:val="-4"/>
          <w:sz w:val="18"/>
        </w:rPr>
        <w:t> </w:t>
      </w:r>
      <w:r>
        <w:rPr>
          <w:sz w:val="18"/>
        </w:rPr>
        <w:t>in</w:t>
      </w:r>
      <w:r>
        <w:rPr>
          <w:spacing w:val="-3"/>
          <w:sz w:val="18"/>
        </w:rPr>
        <w:t> </w:t>
      </w:r>
      <w:r>
        <w:rPr>
          <w:sz w:val="18"/>
        </w:rPr>
        <w:t>the</w:t>
      </w:r>
      <w:r>
        <w:rPr>
          <w:spacing w:val="-3"/>
          <w:sz w:val="18"/>
        </w:rPr>
        <w:t> </w:t>
      </w:r>
      <w:r>
        <w:rPr>
          <w:sz w:val="18"/>
        </w:rPr>
        <w:t>United</w:t>
      </w:r>
      <w:r>
        <w:rPr>
          <w:spacing w:val="-3"/>
          <w:sz w:val="18"/>
        </w:rPr>
        <w:t> </w:t>
      </w:r>
      <w:r>
        <w:rPr>
          <w:sz w:val="18"/>
        </w:rPr>
        <w:t>States.”</w:t>
      </w:r>
      <w:r>
        <w:rPr>
          <w:spacing w:val="-4"/>
          <w:sz w:val="18"/>
        </w:rPr>
        <w:t> </w:t>
      </w:r>
      <w:r>
        <w:rPr>
          <w:i/>
          <w:sz w:val="18"/>
        </w:rPr>
        <w:t>Qualitative</w:t>
      </w:r>
      <w:r>
        <w:rPr>
          <w:i/>
          <w:spacing w:val="-3"/>
          <w:sz w:val="18"/>
        </w:rPr>
        <w:t> </w:t>
      </w:r>
      <w:r>
        <w:rPr>
          <w:i/>
          <w:sz w:val="18"/>
        </w:rPr>
        <w:t>Health</w:t>
      </w:r>
      <w:r>
        <w:rPr>
          <w:i/>
          <w:spacing w:val="-2"/>
          <w:sz w:val="18"/>
        </w:rPr>
        <w:t> </w:t>
      </w:r>
      <w:r>
        <w:rPr>
          <w:i/>
          <w:sz w:val="18"/>
        </w:rPr>
        <w:t>Research</w:t>
      </w:r>
      <w:r>
        <w:rPr>
          <w:i/>
          <w:spacing w:val="-3"/>
          <w:sz w:val="18"/>
        </w:rPr>
        <w:t> </w:t>
      </w:r>
      <w:r>
        <w:rPr>
          <w:sz w:val="18"/>
        </w:rPr>
        <w:t>32</w:t>
      </w:r>
      <w:r>
        <w:rPr>
          <w:spacing w:val="-3"/>
          <w:sz w:val="18"/>
        </w:rPr>
        <w:t> </w:t>
      </w:r>
      <w:r>
        <w:rPr>
          <w:sz w:val="18"/>
        </w:rPr>
        <w:t>(1):</w:t>
      </w:r>
      <w:r>
        <w:rPr>
          <w:spacing w:val="-3"/>
          <w:sz w:val="18"/>
        </w:rPr>
        <w:t> </w:t>
      </w:r>
      <w:r>
        <w:rPr>
          <w:sz w:val="18"/>
        </w:rPr>
        <w:t>121–34. </w:t>
      </w:r>
      <w:bookmarkStart w:name="_bookmark202" w:id="392"/>
      <w:bookmarkEnd w:id="392"/>
      <w:r>
        <w:rPr>
          <w:spacing w:val="-1"/>
          <w:sz w:val="18"/>
        </w:rPr>
      </w:r>
      <w:hyperlink r:id="rId330">
        <w:r>
          <w:rPr>
            <w:color w:val="0561C1"/>
            <w:spacing w:val="-2"/>
            <w:sz w:val="18"/>
            <w:u w:val="single" w:color="0561C1"/>
          </w:rPr>
          <w:t>https://doi.org/10.1177/10497323211050051</w:t>
        </w:r>
      </w:hyperlink>
      <w:hyperlink r:id="rId330">
        <w:r>
          <w:rPr>
            <w:spacing w:val="-2"/>
            <w:sz w:val="18"/>
            <w:u w:val="none"/>
          </w:rPr>
          <w:t>.</w:t>
        </w:r>
      </w:hyperlink>
    </w:p>
    <w:p>
      <w:pPr>
        <w:spacing w:before="0"/>
        <w:ind w:left="463" w:right="261" w:hanging="1"/>
        <w:jc w:val="left"/>
        <w:rPr>
          <w:sz w:val="18"/>
        </w:rPr>
      </w:pPr>
      <w:r>
        <w:rPr>
          <w:sz w:val="18"/>
          <w:vertAlign w:val="superscript"/>
        </w:rPr>
        <w:t>9</w:t>
      </w:r>
      <w:r>
        <w:rPr>
          <w:spacing w:val="-13"/>
          <w:sz w:val="18"/>
          <w:vertAlign w:val="baseline"/>
        </w:rPr>
        <w:t> </w:t>
      </w:r>
      <w:r>
        <w:rPr>
          <w:sz w:val="18"/>
          <w:vertAlign w:val="baseline"/>
        </w:rPr>
        <w:t>Barbara</w:t>
      </w:r>
      <w:r>
        <w:rPr>
          <w:spacing w:val="-3"/>
          <w:sz w:val="18"/>
          <w:vertAlign w:val="baseline"/>
        </w:rPr>
        <w:t> </w:t>
      </w:r>
      <w:r>
        <w:rPr>
          <w:sz w:val="18"/>
          <w:vertAlign w:val="baseline"/>
        </w:rPr>
        <w:t>K.</w:t>
      </w:r>
      <w:r>
        <w:rPr>
          <w:spacing w:val="-3"/>
          <w:sz w:val="18"/>
          <w:vertAlign w:val="baseline"/>
        </w:rPr>
        <w:t> </w:t>
      </w:r>
      <w:r>
        <w:rPr>
          <w:sz w:val="18"/>
          <w:vertAlign w:val="baseline"/>
        </w:rPr>
        <w:t>Snyder,</w:t>
      </w:r>
      <w:r>
        <w:rPr>
          <w:spacing w:val="-3"/>
          <w:sz w:val="18"/>
          <w:vertAlign w:val="baseline"/>
        </w:rPr>
        <w:t> </w:t>
      </w:r>
      <w:r>
        <w:rPr>
          <w:sz w:val="18"/>
          <w:vertAlign w:val="baseline"/>
        </w:rPr>
        <w:t>Gail</w:t>
      </w:r>
      <w:r>
        <w:rPr>
          <w:spacing w:val="-3"/>
          <w:sz w:val="18"/>
          <w:vertAlign w:val="baseline"/>
        </w:rPr>
        <w:t> </w:t>
      </w:r>
      <w:r>
        <w:rPr>
          <w:sz w:val="18"/>
          <w:vertAlign w:val="baseline"/>
        </w:rPr>
        <w:t>D.</w:t>
      </w:r>
      <w:r>
        <w:rPr>
          <w:spacing w:val="-2"/>
          <w:sz w:val="18"/>
          <w:vertAlign w:val="baseline"/>
        </w:rPr>
        <w:t> </w:t>
      </w:r>
      <w:r>
        <w:rPr>
          <w:sz w:val="18"/>
          <w:vertAlign w:val="baseline"/>
        </w:rPr>
        <w:t>Burack,</w:t>
      </w:r>
      <w:r>
        <w:rPr>
          <w:spacing w:val="-3"/>
          <w:sz w:val="18"/>
          <w:vertAlign w:val="baseline"/>
        </w:rPr>
        <w:t> </w:t>
      </w:r>
      <w:r>
        <w:rPr>
          <w:sz w:val="18"/>
          <w:vertAlign w:val="baseline"/>
        </w:rPr>
        <w:t>and</w:t>
      </w:r>
      <w:r>
        <w:rPr>
          <w:spacing w:val="-2"/>
          <w:sz w:val="18"/>
          <w:vertAlign w:val="baseline"/>
        </w:rPr>
        <w:t> </w:t>
      </w:r>
      <w:r>
        <w:rPr>
          <w:sz w:val="18"/>
          <w:vertAlign w:val="baseline"/>
        </w:rPr>
        <w:t>Anna</w:t>
      </w:r>
      <w:r>
        <w:rPr>
          <w:spacing w:val="-2"/>
          <w:sz w:val="18"/>
          <w:vertAlign w:val="baseline"/>
        </w:rPr>
        <w:t> </w:t>
      </w:r>
      <w:r>
        <w:rPr>
          <w:sz w:val="18"/>
          <w:vertAlign w:val="baseline"/>
        </w:rPr>
        <w:t>Petrova,</w:t>
      </w:r>
      <w:r>
        <w:rPr>
          <w:spacing w:val="-3"/>
          <w:sz w:val="18"/>
          <w:vertAlign w:val="baseline"/>
        </w:rPr>
        <w:t> </w:t>
      </w:r>
      <w:r>
        <w:rPr>
          <w:sz w:val="18"/>
          <w:vertAlign w:val="baseline"/>
        </w:rPr>
        <w:t>“LGBTQ</w:t>
      </w:r>
      <w:r>
        <w:rPr>
          <w:spacing w:val="-2"/>
          <w:sz w:val="18"/>
          <w:vertAlign w:val="baseline"/>
        </w:rPr>
        <w:t> </w:t>
      </w:r>
      <w:r>
        <w:rPr>
          <w:sz w:val="18"/>
          <w:vertAlign w:val="baseline"/>
        </w:rPr>
        <w:t>Youth’s</w:t>
      </w:r>
      <w:r>
        <w:rPr>
          <w:spacing w:val="-2"/>
          <w:sz w:val="18"/>
          <w:vertAlign w:val="baseline"/>
        </w:rPr>
        <w:t> </w:t>
      </w:r>
      <w:r>
        <w:rPr>
          <w:sz w:val="18"/>
          <w:vertAlign w:val="baseline"/>
        </w:rPr>
        <w:t>Perceptions</w:t>
      </w:r>
      <w:r>
        <w:rPr>
          <w:spacing w:val="-2"/>
          <w:sz w:val="18"/>
          <w:vertAlign w:val="baseline"/>
        </w:rPr>
        <w:t> </w:t>
      </w:r>
      <w:r>
        <w:rPr>
          <w:sz w:val="18"/>
          <w:vertAlign w:val="baseline"/>
        </w:rPr>
        <w:t>of</w:t>
      </w:r>
      <w:r>
        <w:rPr>
          <w:spacing w:val="-2"/>
          <w:sz w:val="18"/>
          <w:vertAlign w:val="baseline"/>
        </w:rPr>
        <w:t> </w:t>
      </w:r>
      <w:r>
        <w:rPr>
          <w:sz w:val="18"/>
          <w:vertAlign w:val="baseline"/>
        </w:rPr>
        <w:t>Primary</w:t>
      </w:r>
      <w:r>
        <w:rPr>
          <w:spacing w:val="-2"/>
          <w:sz w:val="18"/>
          <w:vertAlign w:val="baseline"/>
        </w:rPr>
        <w:t> </w:t>
      </w:r>
      <w:r>
        <w:rPr>
          <w:sz w:val="18"/>
          <w:vertAlign w:val="baseline"/>
        </w:rPr>
        <w:t>Care,”</w:t>
      </w:r>
      <w:r>
        <w:rPr>
          <w:spacing w:val="-2"/>
          <w:sz w:val="18"/>
          <w:vertAlign w:val="baseline"/>
        </w:rPr>
        <w:t> </w:t>
      </w:r>
      <w:r>
        <w:rPr>
          <w:i/>
          <w:sz w:val="18"/>
          <w:vertAlign w:val="baseline"/>
        </w:rPr>
        <w:t>Clinical</w:t>
      </w:r>
      <w:r>
        <w:rPr>
          <w:i/>
          <w:spacing w:val="-3"/>
          <w:sz w:val="18"/>
          <w:vertAlign w:val="baseline"/>
        </w:rPr>
        <w:t> </w:t>
      </w:r>
      <w:r>
        <w:rPr>
          <w:i/>
          <w:sz w:val="18"/>
          <w:vertAlign w:val="baseline"/>
        </w:rPr>
        <w:t>Pediatrics</w:t>
      </w:r>
      <w:r>
        <w:rPr>
          <w:i/>
          <w:spacing w:val="-3"/>
          <w:sz w:val="18"/>
          <w:vertAlign w:val="baseline"/>
        </w:rPr>
        <w:t> </w:t>
      </w:r>
      <w:r>
        <w:rPr>
          <w:sz w:val="18"/>
          <w:vertAlign w:val="baseline"/>
        </w:rPr>
        <w:t>56,</w:t>
      </w:r>
      <w:r>
        <w:rPr>
          <w:spacing w:val="-3"/>
          <w:sz w:val="18"/>
          <w:vertAlign w:val="baseline"/>
        </w:rPr>
        <w:t> </w:t>
      </w:r>
      <w:r>
        <w:rPr>
          <w:sz w:val="18"/>
          <w:vertAlign w:val="baseline"/>
        </w:rPr>
        <w:t>no.</w:t>
      </w:r>
      <w:r>
        <w:rPr>
          <w:spacing w:val="-2"/>
          <w:sz w:val="18"/>
          <w:vertAlign w:val="baseline"/>
        </w:rPr>
        <w:t> </w:t>
      </w:r>
      <w:r>
        <w:rPr>
          <w:sz w:val="18"/>
          <w:vertAlign w:val="baseline"/>
        </w:rPr>
        <w:t>5 </w:t>
      </w:r>
      <w:bookmarkStart w:name="_bookmark203" w:id="393"/>
      <w:bookmarkEnd w:id="393"/>
      <w:r>
        <w:rPr>
          <w:sz w:val="18"/>
          <w:vertAlign w:val="baseline"/>
        </w:rPr>
        <w:t>(</w:t>
      </w:r>
      <w:r>
        <w:rPr>
          <w:sz w:val="18"/>
          <w:vertAlign w:val="baseline"/>
        </w:rPr>
        <w:t>May 2017): 443–50, </w:t>
      </w:r>
      <w:hyperlink r:id="rId328">
        <w:r>
          <w:rPr>
            <w:color w:val="0561C1"/>
            <w:sz w:val="18"/>
            <w:u w:val="single" w:color="0561C1"/>
            <w:vertAlign w:val="baseline"/>
          </w:rPr>
          <w:t>https://doi.org/10.1177/0009922816673306</w:t>
        </w:r>
      </w:hyperlink>
      <w:hyperlink r:id="rId328">
        <w:r>
          <w:rPr>
            <w:sz w:val="18"/>
            <w:u w:val="none"/>
            <w:vertAlign w:val="baseline"/>
          </w:rPr>
          <w:t>.</w:t>
        </w:r>
      </w:hyperlink>
    </w:p>
    <w:p>
      <w:pPr>
        <w:spacing w:before="1"/>
        <w:ind w:left="463" w:right="889" w:firstLine="0"/>
        <w:jc w:val="left"/>
        <w:rPr>
          <w:sz w:val="18"/>
        </w:rPr>
      </w:pPr>
      <w:r>
        <w:rPr>
          <w:sz w:val="18"/>
          <w:vertAlign w:val="superscript"/>
        </w:rPr>
        <w:t>10</w:t>
      </w:r>
      <w:r>
        <w:rPr>
          <w:spacing w:val="-14"/>
          <w:sz w:val="18"/>
          <w:vertAlign w:val="baseline"/>
        </w:rPr>
        <w:t> </w:t>
      </w:r>
      <w:r>
        <w:rPr>
          <w:sz w:val="18"/>
          <w:vertAlign w:val="baseline"/>
        </w:rPr>
        <w:t>Publication</w:t>
      </w:r>
      <w:r>
        <w:rPr>
          <w:spacing w:val="-4"/>
          <w:sz w:val="18"/>
          <w:vertAlign w:val="baseline"/>
        </w:rPr>
        <w:t> </w:t>
      </w:r>
      <w:r>
        <w:rPr>
          <w:sz w:val="18"/>
          <w:vertAlign w:val="baseline"/>
        </w:rPr>
        <w:t>Published</w:t>
      </w:r>
      <w:r>
        <w:rPr>
          <w:spacing w:val="-3"/>
          <w:sz w:val="18"/>
          <w:vertAlign w:val="baseline"/>
        </w:rPr>
        <w:t> </w:t>
      </w:r>
      <w:r>
        <w:rPr>
          <w:sz w:val="18"/>
          <w:vertAlign w:val="baseline"/>
        </w:rPr>
        <w:t>on</w:t>
      </w:r>
      <w:r>
        <w:rPr>
          <w:spacing w:val="-3"/>
          <w:sz w:val="18"/>
          <w:vertAlign w:val="baseline"/>
        </w:rPr>
        <w:t> </w:t>
      </w:r>
      <w:r>
        <w:rPr>
          <w:sz w:val="18"/>
          <w:vertAlign w:val="baseline"/>
        </w:rPr>
        <w:t>6</w:t>
      </w:r>
      <w:r>
        <w:rPr>
          <w:spacing w:val="-3"/>
          <w:sz w:val="18"/>
          <w:vertAlign w:val="baseline"/>
        </w:rPr>
        <w:t> </w:t>
      </w:r>
      <w:r>
        <w:rPr>
          <w:sz w:val="18"/>
          <w:vertAlign w:val="baseline"/>
        </w:rPr>
        <w:t>August</w:t>
      </w:r>
      <w:r>
        <w:rPr>
          <w:spacing w:val="-4"/>
          <w:sz w:val="18"/>
          <w:vertAlign w:val="baseline"/>
        </w:rPr>
        <w:t> </w:t>
      </w:r>
      <w:r>
        <w:rPr>
          <w:sz w:val="18"/>
          <w:vertAlign w:val="baseline"/>
        </w:rPr>
        <w:t>2020,</w:t>
      </w:r>
      <w:r>
        <w:rPr>
          <w:spacing w:val="-4"/>
          <w:sz w:val="18"/>
          <w:vertAlign w:val="baseline"/>
        </w:rPr>
        <w:t> </w:t>
      </w:r>
      <w:r>
        <w:rPr>
          <w:sz w:val="18"/>
          <w:vertAlign w:val="baseline"/>
        </w:rPr>
        <w:t>“Affirming</w:t>
      </w:r>
      <w:r>
        <w:rPr>
          <w:spacing w:val="-3"/>
          <w:sz w:val="18"/>
          <w:vertAlign w:val="baseline"/>
        </w:rPr>
        <w:t> </w:t>
      </w:r>
      <w:r>
        <w:rPr>
          <w:sz w:val="18"/>
          <w:vertAlign w:val="baseline"/>
        </w:rPr>
        <w:t>Primary</w:t>
      </w:r>
      <w:r>
        <w:rPr>
          <w:spacing w:val="-3"/>
          <w:sz w:val="18"/>
          <w:vertAlign w:val="baseline"/>
        </w:rPr>
        <w:t> </w:t>
      </w:r>
      <w:r>
        <w:rPr>
          <w:sz w:val="18"/>
          <w:vertAlign w:val="baseline"/>
        </w:rPr>
        <w:t>Care</w:t>
      </w:r>
      <w:r>
        <w:rPr>
          <w:spacing w:val="-3"/>
          <w:sz w:val="18"/>
          <w:vertAlign w:val="baseline"/>
        </w:rPr>
        <w:t> </w:t>
      </w:r>
      <w:r>
        <w:rPr>
          <w:sz w:val="18"/>
          <w:vertAlign w:val="baseline"/>
        </w:rPr>
        <w:t>for</w:t>
      </w:r>
      <w:r>
        <w:rPr>
          <w:spacing w:val="-4"/>
          <w:sz w:val="18"/>
          <w:vertAlign w:val="baseline"/>
        </w:rPr>
        <w:t> </w:t>
      </w:r>
      <w:r>
        <w:rPr>
          <w:sz w:val="18"/>
          <w:vertAlign w:val="baseline"/>
        </w:rPr>
        <w:t>Intersex</w:t>
      </w:r>
      <w:r>
        <w:rPr>
          <w:spacing w:val="-4"/>
          <w:sz w:val="18"/>
          <w:vertAlign w:val="baseline"/>
        </w:rPr>
        <w:t> </w:t>
      </w:r>
      <w:r>
        <w:rPr>
          <w:sz w:val="18"/>
          <w:vertAlign w:val="baseline"/>
        </w:rPr>
        <w:t>People</w:t>
      </w:r>
      <w:r>
        <w:rPr>
          <w:spacing w:val="-3"/>
          <w:sz w:val="18"/>
          <w:vertAlign w:val="baseline"/>
        </w:rPr>
        <w:t> </w:t>
      </w:r>
      <w:r>
        <w:rPr>
          <w:sz w:val="18"/>
          <w:vertAlign w:val="baseline"/>
        </w:rPr>
        <w:t>2020</w:t>
      </w:r>
      <w:r>
        <w:rPr>
          <w:spacing w:val="-3"/>
          <w:sz w:val="18"/>
          <w:vertAlign w:val="baseline"/>
        </w:rPr>
        <w:t> </w:t>
      </w:r>
      <w:r>
        <w:rPr>
          <w:sz w:val="18"/>
          <w:vertAlign w:val="baseline"/>
        </w:rPr>
        <w:t>»</w:t>
      </w:r>
      <w:r>
        <w:rPr>
          <w:spacing w:val="-3"/>
          <w:sz w:val="18"/>
          <w:vertAlign w:val="baseline"/>
        </w:rPr>
        <w:t> </w:t>
      </w:r>
      <w:r>
        <w:rPr>
          <w:sz w:val="18"/>
          <w:vertAlign w:val="baseline"/>
        </w:rPr>
        <w:t>LGBTQIA+</w:t>
      </w:r>
      <w:r>
        <w:rPr>
          <w:spacing w:val="-3"/>
          <w:sz w:val="18"/>
          <w:vertAlign w:val="baseline"/>
        </w:rPr>
        <w:t> </w:t>
      </w:r>
      <w:r>
        <w:rPr>
          <w:sz w:val="18"/>
          <w:vertAlign w:val="baseline"/>
        </w:rPr>
        <w:t>Health</w:t>
      </w:r>
      <w:r>
        <w:rPr>
          <w:spacing w:val="-3"/>
          <w:sz w:val="18"/>
          <w:vertAlign w:val="baseline"/>
        </w:rPr>
        <w:t> </w:t>
      </w:r>
      <w:r>
        <w:rPr>
          <w:sz w:val="18"/>
          <w:vertAlign w:val="baseline"/>
        </w:rPr>
        <w:t>Education Center,” </w:t>
      </w:r>
      <w:r>
        <w:rPr>
          <w:i/>
          <w:sz w:val="18"/>
          <w:vertAlign w:val="baseline"/>
        </w:rPr>
        <w:t>LGBTQIA+ Health Education Center </w:t>
      </w:r>
      <w:r>
        <w:rPr>
          <w:sz w:val="18"/>
          <w:vertAlign w:val="baseline"/>
        </w:rPr>
        <w:t>(blog), accessed December 3, 2022, </w:t>
      </w:r>
      <w:bookmarkStart w:name="_bookmark204" w:id="394"/>
      <w:bookmarkEnd w:id="394"/>
      <w:r>
        <w:rPr>
          <w:sz w:val="18"/>
          <w:vertAlign w:val="baseline"/>
        </w:rPr>
      </w:r>
      <w:hyperlink r:id="rId331">
        <w:r>
          <w:rPr>
            <w:color w:val="0561C1"/>
            <w:spacing w:val="-2"/>
            <w:sz w:val="18"/>
            <w:u w:val="single" w:color="0561C1"/>
            <w:vertAlign w:val="baseline"/>
          </w:rPr>
          <w:t>https://www.lgbtqiahealtheducation.org/publication/affirming-primary-care-for-intersex-people-2020/</w:t>
        </w:r>
      </w:hyperlink>
      <w:hyperlink r:id="rId331">
        <w:r>
          <w:rPr>
            <w:spacing w:val="-2"/>
            <w:sz w:val="18"/>
            <w:u w:val="none"/>
            <w:vertAlign w:val="baseline"/>
          </w:rPr>
          <w:t>.</w:t>
        </w:r>
      </w:hyperlink>
    </w:p>
    <w:p>
      <w:pPr>
        <w:spacing w:line="219" w:lineRule="exact" w:before="0"/>
        <w:ind w:left="463" w:right="0" w:firstLine="0"/>
        <w:jc w:val="left"/>
        <w:rPr>
          <w:sz w:val="18"/>
        </w:rPr>
      </w:pPr>
      <w:r>
        <w:rPr>
          <w:sz w:val="18"/>
          <w:vertAlign w:val="superscript"/>
        </w:rPr>
        <w:t>11</w:t>
      </w:r>
      <w:r>
        <w:rPr>
          <w:spacing w:val="-13"/>
          <w:sz w:val="18"/>
          <w:vertAlign w:val="baseline"/>
        </w:rPr>
        <w:t> </w:t>
      </w:r>
      <w:bookmarkStart w:name="_bookmark205" w:id="395"/>
      <w:bookmarkEnd w:id="395"/>
      <w:r>
        <w:rPr>
          <w:spacing w:val="-4"/>
          <w:sz w:val="18"/>
          <w:vertAlign w:val="baseline"/>
        </w:rPr>
        <w:t>l</w:t>
      </w:r>
      <w:r>
        <w:rPr>
          <w:spacing w:val="-4"/>
          <w:sz w:val="18"/>
          <w:vertAlign w:val="baseline"/>
        </w:rPr>
        <w:t>bid</w:t>
      </w:r>
    </w:p>
    <w:p>
      <w:pPr>
        <w:spacing w:before="0"/>
        <w:ind w:left="463" w:right="391" w:firstLine="0"/>
        <w:jc w:val="left"/>
        <w:rPr>
          <w:sz w:val="18"/>
        </w:rPr>
      </w:pPr>
      <w:r>
        <w:rPr>
          <w:sz w:val="18"/>
          <w:vertAlign w:val="superscript"/>
        </w:rPr>
        <w:t>12</w:t>
      </w:r>
      <w:r>
        <w:rPr>
          <w:spacing w:val="-8"/>
          <w:sz w:val="18"/>
          <w:vertAlign w:val="baseline"/>
        </w:rPr>
        <w:t> </w:t>
      </w:r>
      <w:r>
        <w:rPr>
          <w:sz w:val="18"/>
          <w:vertAlign w:val="baseline"/>
        </w:rPr>
        <w:t>“New Study Finds Significant Barriers to Gender-Affirming Primary Care among Transgender People Living in Rural Areas - Fenway</w:t>
      </w:r>
      <w:r>
        <w:rPr>
          <w:spacing w:val="-3"/>
          <w:sz w:val="18"/>
          <w:vertAlign w:val="baseline"/>
        </w:rPr>
        <w:t> </w:t>
      </w:r>
      <w:r>
        <w:rPr>
          <w:sz w:val="18"/>
          <w:vertAlign w:val="baseline"/>
        </w:rPr>
        <w:t>Health:</w:t>
      </w:r>
      <w:r>
        <w:rPr>
          <w:spacing w:val="-3"/>
          <w:sz w:val="18"/>
          <w:vertAlign w:val="baseline"/>
        </w:rPr>
        <w:t> </w:t>
      </w:r>
      <w:r>
        <w:rPr>
          <w:sz w:val="18"/>
          <w:vertAlign w:val="baseline"/>
        </w:rPr>
        <w:t>Health</w:t>
      </w:r>
      <w:r>
        <w:rPr>
          <w:spacing w:val="-3"/>
          <w:sz w:val="18"/>
          <w:vertAlign w:val="baseline"/>
        </w:rPr>
        <w:t> </w:t>
      </w:r>
      <w:r>
        <w:rPr>
          <w:sz w:val="18"/>
          <w:vertAlign w:val="baseline"/>
        </w:rPr>
        <w:t>Care</w:t>
      </w:r>
      <w:r>
        <w:rPr>
          <w:spacing w:val="-3"/>
          <w:sz w:val="18"/>
          <w:vertAlign w:val="baseline"/>
        </w:rPr>
        <w:t> </w:t>
      </w:r>
      <w:r>
        <w:rPr>
          <w:sz w:val="18"/>
          <w:vertAlign w:val="baseline"/>
        </w:rPr>
        <w:t>Is</w:t>
      </w:r>
      <w:r>
        <w:rPr>
          <w:spacing w:val="-3"/>
          <w:sz w:val="18"/>
          <w:vertAlign w:val="baseline"/>
        </w:rPr>
        <w:t> </w:t>
      </w:r>
      <w:r>
        <w:rPr>
          <w:sz w:val="18"/>
          <w:vertAlign w:val="baseline"/>
        </w:rPr>
        <w:t>A</w:t>
      </w:r>
      <w:r>
        <w:rPr>
          <w:spacing w:val="-4"/>
          <w:sz w:val="18"/>
          <w:vertAlign w:val="baseline"/>
        </w:rPr>
        <w:t> </w:t>
      </w:r>
      <w:r>
        <w:rPr>
          <w:sz w:val="18"/>
          <w:vertAlign w:val="baseline"/>
        </w:rPr>
        <w:t>Right,</w:t>
      </w:r>
      <w:r>
        <w:rPr>
          <w:spacing w:val="-4"/>
          <w:sz w:val="18"/>
          <w:vertAlign w:val="baseline"/>
        </w:rPr>
        <w:t> </w:t>
      </w:r>
      <w:r>
        <w:rPr>
          <w:sz w:val="18"/>
          <w:vertAlign w:val="baseline"/>
        </w:rPr>
        <w:t>Not</w:t>
      </w:r>
      <w:r>
        <w:rPr>
          <w:spacing w:val="-4"/>
          <w:sz w:val="18"/>
          <w:vertAlign w:val="baseline"/>
        </w:rPr>
        <w:t> </w:t>
      </w:r>
      <w:r>
        <w:rPr>
          <w:sz w:val="18"/>
          <w:vertAlign w:val="baseline"/>
        </w:rPr>
        <w:t>A</w:t>
      </w:r>
      <w:r>
        <w:rPr>
          <w:spacing w:val="-3"/>
          <w:sz w:val="18"/>
          <w:vertAlign w:val="baseline"/>
        </w:rPr>
        <w:t> </w:t>
      </w:r>
      <w:r>
        <w:rPr>
          <w:sz w:val="18"/>
          <w:vertAlign w:val="baseline"/>
        </w:rPr>
        <w:t>Privilege.,”</w:t>
      </w:r>
      <w:r>
        <w:rPr>
          <w:spacing w:val="-3"/>
          <w:sz w:val="18"/>
          <w:vertAlign w:val="baseline"/>
        </w:rPr>
        <w:t> </w:t>
      </w:r>
      <w:r>
        <w:rPr>
          <w:sz w:val="18"/>
          <w:vertAlign w:val="baseline"/>
        </w:rPr>
        <w:t>August</w:t>
      </w:r>
      <w:r>
        <w:rPr>
          <w:spacing w:val="-4"/>
          <w:sz w:val="18"/>
          <w:vertAlign w:val="baseline"/>
        </w:rPr>
        <w:t> </w:t>
      </w:r>
      <w:r>
        <w:rPr>
          <w:sz w:val="18"/>
          <w:vertAlign w:val="baseline"/>
        </w:rPr>
        <w:t>18,</w:t>
      </w:r>
      <w:r>
        <w:rPr>
          <w:spacing w:val="-4"/>
          <w:sz w:val="18"/>
          <w:vertAlign w:val="baseline"/>
        </w:rPr>
        <w:t> </w:t>
      </w:r>
      <w:r>
        <w:rPr>
          <w:sz w:val="18"/>
          <w:vertAlign w:val="baseline"/>
        </w:rPr>
        <w:t>2022,</w:t>
      </w:r>
      <w:r>
        <w:rPr>
          <w:spacing w:val="-4"/>
          <w:sz w:val="18"/>
          <w:vertAlign w:val="baseline"/>
        </w:rPr>
        <w:t> </w:t>
      </w:r>
      <w:hyperlink r:id="rId332">
        <w:r>
          <w:rPr>
            <w:color w:val="0561C1"/>
            <w:sz w:val="18"/>
            <w:u w:val="single" w:color="0561C1"/>
            <w:vertAlign w:val="baseline"/>
          </w:rPr>
          <w:t>https://fenwayhealth.org/new-study-finds-</w:t>
        </w:r>
      </w:hyperlink>
      <w:r>
        <w:rPr>
          <w:color w:val="0561C1"/>
          <w:spacing w:val="-4"/>
          <w:sz w:val="18"/>
          <w:u w:val="single" w:color="0561C1"/>
          <w:vertAlign w:val="baseline"/>
        </w:rPr>
        <w:t> </w:t>
      </w:r>
      <w:hyperlink r:id="rId332">
        <w:r>
          <w:rPr>
            <w:color w:val="0561C1"/>
            <w:sz w:val="18"/>
            <w:u w:val="single" w:color="0561C1"/>
            <w:vertAlign w:val="baseline"/>
          </w:rPr>
          <w:t>significant-</w:t>
        </w:r>
      </w:hyperlink>
      <w:r>
        <w:rPr>
          <w:color w:val="0561C1"/>
          <w:sz w:val="18"/>
          <w:u w:val="none"/>
          <w:vertAlign w:val="baseline"/>
        </w:rPr>
        <w:t> </w:t>
      </w:r>
      <w:bookmarkStart w:name="_bookmark206" w:id="396"/>
      <w:bookmarkEnd w:id="396"/>
      <w:r>
        <w:rPr>
          <w:color w:val="0561C1"/>
          <w:sz w:val="18"/>
          <w:u w:val="none"/>
          <w:vertAlign w:val="baseline"/>
        </w:rPr>
      </w:r>
      <w:hyperlink r:id="rId332">
        <w:r>
          <w:rPr>
            <w:color w:val="0561C1"/>
            <w:spacing w:val="-2"/>
            <w:sz w:val="18"/>
            <w:u w:val="single" w:color="0561C1"/>
            <w:vertAlign w:val="baseline"/>
          </w:rPr>
          <w:t>barriers-to-gender-affirming-primary-care-among-transgender-people-living-in-rural-areas/</w:t>
        </w:r>
      </w:hyperlink>
      <w:hyperlink r:id="rId332">
        <w:r>
          <w:rPr>
            <w:spacing w:val="-2"/>
            <w:sz w:val="18"/>
            <w:u w:val="none"/>
            <w:vertAlign w:val="baseline"/>
          </w:rPr>
          <w:t>.</w:t>
        </w:r>
      </w:hyperlink>
    </w:p>
    <w:p>
      <w:pPr>
        <w:spacing w:before="0"/>
        <w:ind w:left="463" w:right="391" w:hanging="1"/>
        <w:jc w:val="left"/>
        <w:rPr>
          <w:sz w:val="18"/>
        </w:rPr>
      </w:pPr>
      <w:r>
        <w:rPr>
          <w:sz w:val="18"/>
          <w:vertAlign w:val="superscript"/>
        </w:rPr>
        <w:t>13</w:t>
      </w:r>
      <w:r>
        <w:rPr>
          <w:spacing w:val="-13"/>
          <w:sz w:val="18"/>
          <w:vertAlign w:val="baseline"/>
        </w:rPr>
        <w:t> </w:t>
      </w:r>
      <w:r>
        <w:rPr>
          <w:sz w:val="18"/>
          <w:vertAlign w:val="baseline"/>
        </w:rPr>
        <w:t>Claire</w:t>
      </w:r>
      <w:r>
        <w:rPr>
          <w:spacing w:val="-3"/>
          <w:sz w:val="18"/>
          <w:vertAlign w:val="baseline"/>
        </w:rPr>
        <w:t> </w:t>
      </w:r>
      <w:r>
        <w:rPr>
          <w:sz w:val="18"/>
          <w:vertAlign w:val="baseline"/>
        </w:rPr>
        <w:t>E.</w:t>
      </w:r>
      <w:r>
        <w:rPr>
          <w:spacing w:val="-2"/>
          <w:sz w:val="18"/>
          <w:vertAlign w:val="baseline"/>
        </w:rPr>
        <w:t> </w:t>
      </w:r>
      <w:r>
        <w:rPr>
          <w:sz w:val="18"/>
          <w:vertAlign w:val="baseline"/>
        </w:rPr>
        <w:t>Lunde</w:t>
      </w:r>
      <w:r>
        <w:rPr>
          <w:spacing w:val="-2"/>
          <w:sz w:val="18"/>
          <w:vertAlign w:val="baseline"/>
        </w:rPr>
        <w:t> </w:t>
      </w:r>
      <w:r>
        <w:rPr>
          <w:sz w:val="18"/>
          <w:vertAlign w:val="baseline"/>
        </w:rPr>
        <w:t>et</w:t>
      </w:r>
      <w:r>
        <w:rPr>
          <w:spacing w:val="-3"/>
          <w:sz w:val="18"/>
          <w:vertAlign w:val="baseline"/>
        </w:rPr>
        <w:t> </w:t>
      </w:r>
      <w:r>
        <w:rPr>
          <w:sz w:val="18"/>
          <w:vertAlign w:val="baseline"/>
        </w:rPr>
        <w:t>al.,</w:t>
      </w:r>
      <w:r>
        <w:rPr>
          <w:spacing w:val="-3"/>
          <w:sz w:val="18"/>
          <w:vertAlign w:val="baseline"/>
        </w:rPr>
        <w:t> </w:t>
      </w:r>
      <w:r>
        <w:rPr>
          <w:sz w:val="18"/>
          <w:vertAlign w:val="baseline"/>
        </w:rPr>
        <w:t>“Beyond</w:t>
      </w:r>
      <w:r>
        <w:rPr>
          <w:spacing w:val="-3"/>
          <w:sz w:val="18"/>
          <w:vertAlign w:val="baseline"/>
        </w:rPr>
        <w:t> </w:t>
      </w:r>
      <w:r>
        <w:rPr>
          <w:sz w:val="18"/>
          <w:vertAlign w:val="baseline"/>
        </w:rPr>
        <w:t>the</w:t>
      </w:r>
      <w:r>
        <w:rPr>
          <w:spacing w:val="-2"/>
          <w:sz w:val="18"/>
          <w:vertAlign w:val="baseline"/>
        </w:rPr>
        <w:t> </w:t>
      </w:r>
      <w:r>
        <w:rPr>
          <w:sz w:val="18"/>
          <w:vertAlign w:val="baseline"/>
        </w:rPr>
        <w:t>Binary:</w:t>
      </w:r>
      <w:r>
        <w:rPr>
          <w:spacing w:val="-2"/>
          <w:sz w:val="18"/>
          <w:vertAlign w:val="baseline"/>
        </w:rPr>
        <w:t> </w:t>
      </w:r>
      <w:r>
        <w:rPr>
          <w:sz w:val="18"/>
          <w:vertAlign w:val="baseline"/>
        </w:rPr>
        <w:t>Sexual</w:t>
      </w:r>
      <w:r>
        <w:rPr>
          <w:spacing w:val="-3"/>
          <w:sz w:val="18"/>
          <w:vertAlign w:val="baseline"/>
        </w:rPr>
        <w:t> </w:t>
      </w:r>
      <w:r>
        <w:rPr>
          <w:sz w:val="18"/>
          <w:vertAlign w:val="baseline"/>
        </w:rPr>
        <w:t>and</w:t>
      </w:r>
      <w:r>
        <w:rPr>
          <w:spacing w:val="-2"/>
          <w:sz w:val="18"/>
          <w:vertAlign w:val="baseline"/>
        </w:rPr>
        <w:t> </w:t>
      </w:r>
      <w:r>
        <w:rPr>
          <w:sz w:val="18"/>
          <w:vertAlign w:val="baseline"/>
        </w:rPr>
        <w:t>Reproductive</w:t>
      </w:r>
      <w:r>
        <w:rPr>
          <w:spacing w:val="-2"/>
          <w:sz w:val="18"/>
          <w:vertAlign w:val="baseline"/>
        </w:rPr>
        <w:t> </w:t>
      </w:r>
      <w:r>
        <w:rPr>
          <w:sz w:val="18"/>
          <w:vertAlign w:val="baseline"/>
        </w:rPr>
        <w:t>Health</w:t>
      </w:r>
      <w:r>
        <w:rPr>
          <w:spacing w:val="-2"/>
          <w:sz w:val="18"/>
          <w:vertAlign w:val="baseline"/>
        </w:rPr>
        <w:t> </w:t>
      </w:r>
      <w:r>
        <w:rPr>
          <w:sz w:val="18"/>
          <w:vertAlign w:val="baseline"/>
        </w:rPr>
        <w:t>Considerations</w:t>
      </w:r>
      <w:r>
        <w:rPr>
          <w:spacing w:val="-2"/>
          <w:sz w:val="18"/>
          <w:vertAlign w:val="baseline"/>
        </w:rPr>
        <w:t> </w:t>
      </w:r>
      <w:r>
        <w:rPr>
          <w:sz w:val="18"/>
          <w:vertAlign w:val="baseline"/>
        </w:rPr>
        <w:t>for</w:t>
      </w:r>
      <w:r>
        <w:rPr>
          <w:spacing w:val="-3"/>
          <w:sz w:val="18"/>
          <w:vertAlign w:val="baseline"/>
        </w:rPr>
        <w:t> </w:t>
      </w:r>
      <w:r>
        <w:rPr>
          <w:sz w:val="18"/>
          <w:vertAlign w:val="baseline"/>
        </w:rPr>
        <w:t>Transgender</w:t>
      </w:r>
      <w:r>
        <w:rPr>
          <w:spacing w:val="-3"/>
          <w:sz w:val="18"/>
          <w:vertAlign w:val="baseline"/>
        </w:rPr>
        <w:t> </w:t>
      </w:r>
      <w:r>
        <w:rPr>
          <w:sz w:val="18"/>
          <w:vertAlign w:val="baseline"/>
        </w:rPr>
        <w:t>and</w:t>
      </w:r>
      <w:r>
        <w:rPr>
          <w:spacing w:val="-3"/>
          <w:sz w:val="18"/>
          <w:vertAlign w:val="baseline"/>
        </w:rPr>
        <w:t> </w:t>
      </w:r>
      <w:r>
        <w:rPr>
          <w:sz w:val="18"/>
          <w:vertAlign w:val="baseline"/>
        </w:rPr>
        <w:t>Gender Expansive Adolescents,” </w:t>
      </w:r>
      <w:r>
        <w:rPr>
          <w:i/>
          <w:sz w:val="18"/>
          <w:vertAlign w:val="baseline"/>
        </w:rPr>
        <w:t>Frontiers in Reproductive Health </w:t>
      </w:r>
      <w:r>
        <w:rPr>
          <w:sz w:val="18"/>
          <w:vertAlign w:val="baseline"/>
        </w:rPr>
        <w:t>3 (2021), </w:t>
      </w:r>
      <w:bookmarkStart w:name="_bookmark207" w:id="397"/>
      <w:bookmarkEnd w:id="397"/>
      <w:r>
        <w:rPr>
          <w:sz w:val="18"/>
          <w:vertAlign w:val="baseline"/>
        </w:rPr>
      </w:r>
      <w:hyperlink r:id="rId333">
        <w:r>
          <w:rPr>
            <w:color w:val="0561C1"/>
            <w:spacing w:val="-2"/>
            <w:sz w:val="18"/>
            <w:u w:val="single" w:color="0561C1"/>
            <w:vertAlign w:val="baseline"/>
          </w:rPr>
          <w:t>https://www.frontiersin.org/articles/10.3389/frph.2021.670919</w:t>
        </w:r>
      </w:hyperlink>
      <w:hyperlink r:id="rId333">
        <w:r>
          <w:rPr>
            <w:spacing w:val="-2"/>
            <w:sz w:val="18"/>
            <w:u w:val="none"/>
            <w:vertAlign w:val="baseline"/>
          </w:rPr>
          <w:t>.</w:t>
        </w:r>
      </w:hyperlink>
    </w:p>
    <w:p>
      <w:pPr>
        <w:spacing w:before="0"/>
        <w:ind w:left="463" w:right="0" w:hanging="1"/>
        <w:jc w:val="left"/>
        <w:rPr>
          <w:sz w:val="18"/>
        </w:rPr>
      </w:pPr>
      <w:r>
        <w:rPr>
          <w:sz w:val="18"/>
          <w:vertAlign w:val="superscript"/>
        </w:rPr>
        <w:t>14</w:t>
      </w:r>
      <w:r>
        <w:rPr>
          <w:spacing w:val="-13"/>
          <w:sz w:val="18"/>
          <w:vertAlign w:val="baseline"/>
        </w:rPr>
        <w:t> </w:t>
      </w:r>
      <w:r>
        <w:rPr>
          <w:sz w:val="18"/>
          <w:vertAlign w:val="baseline"/>
        </w:rPr>
        <w:t>Beth</w:t>
      </w:r>
      <w:r>
        <w:rPr>
          <w:spacing w:val="-3"/>
          <w:sz w:val="18"/>
          <w:vertAlign w:val="baseline"/>
        </w:rPr>
        <w:t> </w:t>
      </w:r>
      <w:r>
        <w:rPr>
          <w:sz w:val="18"/>
          <w:vertAlign w:val="baseline"/>
        </w:rPr>
        <w:t>I.</w:t>
      </w:r>
      <w:r>
        <w:rPr>
          <w:spacing w:val="-2"/>
          <w:sz w:val="18"/>
          <w:vertAlign w:val="baseline"/>
        </w:rPr>
        <w:t> </w:t>
      </w:r>
      <w:r>
        <w:rPr>
          <w:sz w:val="18"/>
          <w:vertAlign w:val="baseline"/>
        </w:rPr>
        <w:t>Schwartz</w:t>
      </w:r>
      <w:r>
        <w:rPr>
          <w:spacing w:val="-3"/>
          <w:sz w:val="18"/>
          <w:vertAlign w:val="baseline"/>
        </w:rPr>
        <w:t> </w:t>
      </w:r>
      <w:r>
        <w:rPr>
          <w:sz w:val="18"/>
          <w:vertAlign w:val="baseline"/>
        </w:rPr>
        <w:t>et</w:t>
      </w:r>
      <w:r>
        <w:rPr>
          <w:spacing w:val="-3"/>
          <w:sz w:val="18"/>
          <w:vertAlign w:val="baseline"/>
        </w:rPr>
        <w:t> </w:t>
      </w:r>
      <w:r>
        <w:rPr>
          <w:sz w:val="18"/>
          <w:vertAlign w:val="baseline"/>
        </w:rPr>
        <w:t>al.,</w:t>
      </w:r>
      <w:r>
        <w:rPr>
          <w:spacing w:val="-3"/>
          <w:sz w:val="18"/>
          <w:vertAlign w:val="baseline"/>
        </w:rPr>
        <w:t> </w:t>
      </w:r>
      <w:r>
        <w:rPr>
          <w:sz w:val="18"/>
          <w:vertAlign w:val="baseline"/>
        </w:rPr>
        <w:t>“Experiences</w:t>
      </w:r>
      <w:r>
        <w:rPr>
          <w:spacing w:val="-2"/>
          <w:sz w:val="18"/>
          <w:vertAlign w:val="baseline"/>
        </w:rPr>
        <w:t> </w:t>
      </w:r>
      <w:r>
        <w:rPr>
          <w:sz w:val="18"/>
          <w:vertAlign w:val="baseline"/>
        </w:rPr>
        <w:t>with</w:t>
      </w:r>
      <w:r>
        <w:rPr>
          <w:spacing w:val="-2"/>
          <w:sz w:val="18"/>
          <w:vertAlign w:val="baseline"/>
        </w:rPr>
        <w:t> </w:t>
      </w:r>
      <w:r>
        <w:rPr>
          <w:sz w:val="18"/>
          <w:vertAlign w:val="baseline"/>
        </w:rPr>
        <w:t>Menses</w:t>
      </w:r>
      <w:r>
        <w:rPr>
          <w:spacing w:val="-2"/>
          <w:sz w:val="18"/>
          <w:vertAlign w:val="baseline"/>
        </w:rPr>
        <w:t> </w:t>
      </w:r>
      <w:r>
        <w:rPr>
          <w:sz w:val="18"/>
          <w:vertAlign w:val="baseline"/>
        </w:rPr>
        <w:t>in</w:t>
      </w:r>
      <w:r>
        <w:rPr>
          <w:spacing w:val="-2"/>
          <w:sz w:val="18"/>
          <w:vertAlign w:val="baseline"/>
        </w:rPr>
        <w:t> </w:t>
      </w:r>
      <w:r>
        <w:rPr>
          <w:sz w:val="18"/>
          <w:vertAlign w:val="baseline"/>
        </w:rPr>
        <w:t>Transgender</w:t>
      </w:r>
      <w:r>
        <w:rPr>
          <w:spacing w:val="-3"/>
          <w:sz w:val="18"/>
          <w:vertAlign w:val="baseline"/>
        </w:rPr>
        <w:t> </w:t>
      </w:r>
      <w:r>
        <w:rPr>
          <w:sz w:val="18"/>
          <w:vertAlign w:val="baseline"/>
        </w:rPr>
        <w:t>and</w:t>
      </w:r>
      <w:r>
        <w:rPr>
          <w:spacing w:val="-2"/>
          <w:sz w:val="18"/>
          <w:vertAlign w:val="baseline"/>
        </w:rPr>
        <w:t> </w:t>
      </w:r>
      <w:r>
        <w:rPr>
          <w:sz w:val="18"/>
          <w:vertAlign w:val="baseline"/>
        </w:rPr>
        <w:t>Gender</w:t>
      </w:r>
      <w:r>
        <w:rPr>
          <w:spacing w:val="-3"/>
          <w:sz w:val="18"/>
          <w:vertAlign w:val="baseline"/>
        </w:rPr>
        <w:t> </w:t>
      </w:r>
      <w:r>
        <w:rPr>
          <w:sz w:val="18"/>
          <w:vertAlign w:val="baseline"/>
        </w:rPr>
        <w:t>Nonbinary</w:t>
      </w:r>
      <w:r>
        <w:rPr>
          <w:spacing w:val="-2"/>
          <w:sz w:val="18"/>
          <w:vertAlign w:val="baseline"/>
        </w:rPr>
        <w:t> </w:t>
      </w:r>
      <w:r>
        <w:rPr>
          <w:sz w:val="18"/>
          <w:vertAlign w:val="baseline"/>
        </w:rPr>
        <w:t>Adolescents,”</w:t>
      </w:r>
      <w:r>
        <w:rPr>
          <w:spacing w:val="-2"/>
          <w:sz w:val="18"/>
          <w:vertAlign w:val="baseline"/>
        </w:rPr>
        <w:t> </w:t>
      </w:r>
      <w:r>
        <w:rPr>
          <w:i/>
          <w:sz w:val="18"/>
          <w:vertAlign w:val="baseline"/>
        </w:rPr>
        <w:t>Journal</w:t>
      </w:r>
      <w:r>
        <w:rPr>
          <w:i/>
          <w:spacing w:val="-3"/>
          <w:sz w:val="18"/>
          <w:vertAlign w:val="baseline"/>
        </w:rPr>
        <w:t> </w:t>
      </w:r>
      <w:r>
        <w:rPr>
          <w:i/>
          <w:sz w:val="18"/>
          <w:vertAlign w:val="baseline"/>
        </w:rPr>
        <w:t>of</w:t>
      </w:r>
      <w:r>
        <w:rPr>
          <w:i/>
          <w:spacing w:val="-2"/>
          <w:sz w:val="18"/>
          <w:vertAlign w:val="baseline"/>
        </w:rPr>
        <w:t> </w:t>
      </w:r>
      <w:r>
        <w:rPr>
          <w:i/>
          <w:sz w:val="18"/>
          <w:vertAlign w:val="baseline"/>
        </w:rPr>
        <w:t>Pediatric</w:t>
      </w:r>
      <w:r>
        <w:rPr>
          <w:i/>
          <w:spacing w:val="-3"/>
          <w:sz w:val="18"/>
          <w:vertAlign w:val="baseline"/>
        </w:rPr>
        <w:t> </w:t>
      </w:r>
      <w:r>
        <w:rPr>
          <w:i/>
          <w:sz w:val="18"/>
          <w:vertAlign w:val="baseline"/>
        </w:rPr>
        <w:t>and</w:t>
      </w:r>
      <w:r>
        <w:rPr>
          <w:i/>
          <w:sz w:val="18"/>
          <w:vertAlign w:val="baseline"/>
        </w:rPr>
        <w:t> </w:t>
      </w:r>
      <w:bookmarkStart w:name="_bookmark208" w:id="398"/>
      <w:bookmarkEnd w:id="398"/>
      <w:r>
        <w:rPr>
          <w:i/>
          <w:sz w:val="18"/>
          <w:vertAlign w:val="baseline"/>
        </w:rPr>
        <w:t>A</w:t>
      </w:r>
      <w:r>
        <w:rPr>
          <w:i/>
          <w:sz w:val="18"/>
          <w:vertAlign w:val="baseline"/>
        </w:rPr>
        <w:t>dolescent Gynecology </w:t>
      </w:r>
      <w:r>
        <w:rPr>
          <w:sz w:val="18"/>
          <w:vertAlign w:val="baseline"/>
        </w:rPr>
        <w:t>35, no. 4 (August 2022): 450–56, </w:t>
      </w:r>
      <w:hyperlink r:id="rId334">
        <w:r>
          <w:rPr>
            <w:color w:val="0561C1"/>
            <w:sz w:val="18"/>
            <w:u w:val="single" w:color="0561C1"/>
            <w:vertAlign w:val="baseline"/>
          </w:rPr>
          <w:t>https://doi.org/10.1016/j.jpag.2022.01.015</w:t>
        </w:r>
      </w:hyperlink>
      <w:hyperlink r:id="rId334">
        <w:r>
          <w:rPr>
            <w:sz w:val="18"/>
            <w:u w:val="none"/>
            <w:vertAlign w:val="baseline"/>
          </w:rPr>
          <w:t>.</w:t>
        </w:r>
      </w:hyperlink>
    </w:p>
    <w:p>
      <w:pPr>
        <w:spacing w:before="0"/>
        <w:ind w:left="463" w:right="261" w:hanging="1"/>
        <w:jc w:val="left"/>
        <w:rPr>
          <w:sz w:val="18"/>
        </w:rPr>
      </w:pPr>
      <w:r>
        <w:rPr>
          <w:sz w:val="18"/>
          <w:vertAlign w:val="superscript"/>
        </w:rPr>
        <w:t>15</w:t>
      </w:r>
      <w:r>
        <w:rPr>
          <w:spacing w:val="-13"/>
          <w:sz w:val="18"/>
          <w:vertAlign w:val="baseline"/>
        </w:rPr>
        <w:t> </w:t>
      </w:r>
      <w:r>
        <w:rPr>
          <w:sz w:val="18"/>
          <w:vertAlign w:val="baseline"/>
        </w:rPr>
        <w:t>Molly</w:t>
      </w:r>
      <w:r>
        <w:rPr>
          <w:spacing w:val="-4"/>
          <w:sz w:val="18"/>
          <w:vertAlign w:val="baseline"/>
        </w:rPr>
        <w:t> </w:t>
      </w:r>
      <w:r>
        <w:rPr>
          <w:sz w:val="18"/>
          <w:vertAlign w:val="baseline"/>
        </w:rPr>
        <w:t>B.</w:t>
      </w:r>
      <w:r>
        <w:rPr>
          <w:spacing w:val="-2"/>
          <w:sz w:val="18"/>
          <w:vertAlign w:val="baseline"/>
        </w:rPr>
        <w:t> </w:t>
      </w:r>
      <w:r>
        <w:rPr>
          <w:sz w:val="18"/>
          <w:vertAlign w:val="baseline"/>
        </w:rPr>
        <w:t>Moravek,</w:t>
      </w:r>
      <w:r>
        <w:rPr>
          <w:spacing w:val="-3"/>
          <w:sz w:val="18"/>
          <w:vertAlign w:val="baseline"/>
        </w:rPr>
        <w:t> </w:t>
      </w:r>
      <w:r>
        <w:rPr>
          <w:sz w:val="18"/>
          <w:vertAlign w:val="baseline"/>
        </w:rPr>
        <w:t>“Gender-Affirming</w:t>
      </w:r>
      <w:r>
        <w:rPr>
          <w:spacing w:val="-2"/>
          <w:sz w:val="18"/>
          <w:vertAlign w:val="baseline"/>
        </w:rPr>
        <w:t> </w:t>
      </w:r>
      <w:r>
        <w:rPr>
          <w:sz w:val="18"/>
          <w:vertAlign w:val="baseline"/>
        </w:rPr>
        <w:t>Hormone</w:t>
      </w:r>
      <w:r>
        <w:rPr>
          <w:spacing w:val="-2"/>
          <w:sz w:val="18"/>
          <w:vertAlign w:val="baseline"/>
        </w:rPr>
        <w:t> </w:t>
      </w:r>
      <w:r>
        <w:rPr>
          <w:sz w:val="18"/>
          <w:vertAlign w:val="baseline"/>
        </w:rPr>
        <w:t>Therapy</w:t>
      </w:r>
      <w:r>
        <w:rPr>
          <w:spacing w:val="-2"/>
          <w:sz w:val="18"/>
          <w:vertAlign w:val="baseline"/>
        </w:rPr>
        <w:t> </w:t>
      </w:r>
      <w:r>
        <w:rPr>
          <w:sz w:val="18"/>
          <w:vertAlign w:val="baseline"/>
        </w:rPr>
        <w:t>for</w:t>
      </w:r>
      <w:r>
        <w:rPr>
          <w:spacing w:val="-3"/>
          <w:sz w:val="18"/>
          <w:vertAlign w:val="baseline"/>
        </w:rPr>
        <w:t> </w:t>
      </w:r>
      <w:r>
        <w:rPr>
          <w:sz w:val="18"/>
          <w:vertAlign w:val="baseline"/>
        </w:rPr>
        <w:t>Transgender</w:t>
      </w:r>
      <w:r>
        <w:rPr>
          <w:spacing w:val="-3"/>
          <w:sz w:val="18"/>
          <w:vertAlign w:val="baseline"/>
        </w:rPr>
        <w:t> </w:t>
      </w:r>
      <w:r>
        <w:rPr>
          <w:sz w:val="18"/>
          <w:vertAlign w:val="baseline"/>
        </w:rPr>
        <w:t>Men,”</w:t>
      </w:r>
      <w:r>
        <w:rPr>
          <w:spacing w:val="-3"/>
          <w:sz w:val="18"/>
          <w:vertAlign w:val="baseline"/>
        </w:rPr>
        <w:t> </w:t>
      </w:r>
      <w:r>
        <w:rPr>
          <w:i/>
          <w:sz w:val="18"/>
          <w:vertAlign w:val="baseline"/>
        </w:rPr>
        <w:t>Clinical</w:t>
      </w:r>
      <w:r>
        <w:rPr>
          <w:i/>
          <w:spacing w:val="-3"/>
          <w:sz w:val="18"/>
          <w:vertAlign w:val="baseline"/>
        </w:rPr>
        <w:t> </w:t>
      </w:r>
      <w:r>
        <w:rPr>
          <w:i/>
          <w:sz w:val="18"/>
          <w:vertAlign w:val="baseline"/>
        </w:rPr>
        <w:t>Obstetrics</w:t>
      </w:r>
      <w:r>
        <w:rPr>
          <w:i/>
          <w:spacing w:val="-3"/>
          <w:sz w:val="18"/>
          <w:vertAlign w:val="baseline"/>
        </w:rPr>
        <w:t> </w:t>
      </w:r>
      <w:r>
        <w:rPr>
          <w:i/>
          <w:sz w:val="18"/>
          <w:vertAlign w:val="baseline"/>
        </w:rPr>
        <w:t>&amp;</w:t>
      </w:r>
      <w:r>
        <w:rPr>
          <w:i/>
          <w:spacing w:val="-3"/>
          <w:sz w:val="18"/>
          <w:vertAlign w:val="baseline"/>
        </w:rPr>
        <w:t> </w:t>
      </w:r>
      <w:r>
        <w:rPr>
          <w:i/>
          <w:sz w:val="18"/>
          <w:vertAlign w:val="baseline"/>
        </w:rPr>
        <w:t>Gynecology</w:t>
      </w:r>
      <w:r>
        <w:rPr>
          <w:i/>
          <w:spacing w:val="-1"/>
          <w:sz w:val="18"/>
          <w:vertAlign w:val="baseline"/>
        </w:rPr>
        <w:t> </w:t>
      </w:r>
      <w:r>
        <w:rPr>
          <w:sz w:val="18"/>
          <w:vertAlign w:val="baseline"/>
        </w:rPr>
        <w:t>61,</w:t>
      </w:r>
      <w:r>
        <w:rPr>
          <w:spacing w:val="-3"/>
          <w:sz w:val="18"/>
          <w:vertAlign w:val="baseline"/>
        </w:rPr>
        <w:t> </w:t>
      </w:r>
      <w:r>
        <w:rPr>
          <w:sz w:val="18"/>
          <w:vertAlign w:val="baseline"/>
        </w:rPr>
        <w:t>no.</w:t>
      </w:r>
      <w:r>
        <w:rPr>
          <w:spacing w:val="-2"/>
          <w:sz w:val="18"/>
          <w:vertAlign w:val="baseline"/>
        </w:rPr>
        <w:t> </w:t>
      </w:r>
      <w:r>
        <w:rPr>
          <w:sz w:val="18"/>
          <w:vertAlign w:val="baseline"/>
        </w:rPr>
        <w:t>4 </w:t>
      </w:r>
      <w:bookmarkStart w:name="_bookmark209" w:id="399"/>
      <w:bookmarkEnd w:id="399"/>
      <w:r>
        <w:rPr>
          <w:sz w:val="18"/>
          <w:vertAlign w:val="baseline"/>
        </w:rPr>
        <w:t>(</w:t>
      </w:r>
      <w:r>
        <w:rPr>
          <w:sz w:val="18"/>
          <w:vertAlign w:val="baseline"/>
        </w:rPr>
        <w:t>December 2018): 687–704, </w:t>
      </w:r>
      <w:hyperlink r:id="rId335">
        <w:r>
          <w:rPr>
            <w:color w:val="0561C1"/>
            <w:sz w:val="18"/>
            <w:u w:val="single" w:color="0561C1"/>
            <w:vertAlign w:val="baseline"/>
          </w:rPr>
          <w:t>https://doi.org/10.1097/GRF.0000000000000398</w:t>
        </w:r>
      </w:hyperlink>
      <w:hyperlink r:id="rId335">
        <w:r>
          <w:rPr>
            <w:sz w:val="18"/>
            <w:u w:val="none"/>
            <w:vertAlign w:val="baseline"/>
          </w:rPr>
          <w:t>.</w:t>
        </w:r>
      </w:hyperlink>
    </w:p>
    <w:p>
      <w:pPr>
        <w:spacing w:before="0"/>
        <w:ind w:left="463" w:right="1991" w:hanging="1"/>
        <w:jc w:val="left"/>
        <w:rPr>
          <w:sz w:val="18"/>
        </w:rPr>
      </w:pPr>
      <w:r>
        <w:rPr>
          <w:sz w:val="18"/>
          <w:vertAlign w:val="superscript"/>
        </w:rPr>
        <w:t>16</w:t>
      </w:r>
      <w:r>
        <w:rPr>
          <w:spacing w:val="-13"/>
          <w:sz w:val="18"/>
          <w:vertAlign w:val="baseline"/>
        </w:rPr>
        <w:t> </w:t>
      </w:r>
      <w:r>
        <w:rPr>
          <w:sz w:val="18"/>
          <w:vertAlign w:val="baseline"/>
        </w:rPr>
        <w:t>“Menstrual</w:t>
      </w:r>
      <w:r>
        <w:rPr>
          <w:spacing w:val="-6"/>
          <w:sz w:val="18"/>
          <w:vertAlign w:val="baseline"/>
        </w:rPr>
        <w:t> </w:t>
      </w:r>
      <w:r>
        <w:rPr>
          <w:sz w:val="18"/>
          <w:vertAlign w:val="baseline"/>
        </w:rPr>
        <w:t>Access</w:t>
      </w:r>
      <w:r>
        <w:rPr>
          <w:spacing w:val="-3"/>
          <w:sz w:val="18"/>
          <w:vertAlign w:val="baseline"/>
        </w:rPr>
        <w:t> </w:t>
      </w:r>
      <w:r>
        <w:rPr>
          <w:sz w:val="18"/>
          <w:vertAlign w:val="baseline"/>
        </w:rPr>
        <w:t>Advocacy</w:t>
      </w:r>
      <w:r>
        <w:rPr>
          <w:spacing w:val="-3"/>
          <w:sz w:val="18"/>
          <w:vertAlign w:val="baseline"/>
        </w:rPr>
        <w:t> </w:t>
      </w:r>
      <w:r>
        <w:rPr>
          <w:sz w:val="18"/>
          <w:vertAlign w:val="baseline"/>
        </w:rPr>
        <w:t>Project</w:t>
      </w:r>
      <w:r>
        <w:rPr>
          <w:spacing w:val="-4"/>
          <w:sz w:val="18"/>
          <w:vertAlign w:val="baseline"/>
        </w:rPr>
        <w:t> </w:t>
      </w:r>
      <w:r>
        <w:rPr>
          <w:sz w:val="18"/>
          <w:vertAlign w:val="baseline"/>
        </w:rPr>
        <w:t>–</w:t>
      </w:r>
      <w:r>
        <w:rPr>
          <w:spacing w:val="-3"/>
          <w:sz w:val="18"/>
          <w:vertAlign w:val="baseline"/>
        </w:rPr>
        <w:t> </w:t>
      </w:r>
      <w:r>
        <w:rPr>
          <w:sz w:val="18"/>
          <w:vertAlign w:val="baseline"/>
        </w:rPr>
        <w:t>YWCA</w:t>
      </w:r>
      <w:r>
        <w:rPr>
          <w:spacing w:val="-3"/>
          <w:sz w:val="18"/>
          <w:vertAlign w:val="baseline"/>
        </w:rPr>
        <w:t> </w:t>
      </w:r>
      <w:r>
        <w:rPr>
          <w:sz w:val="18"/>
          <w:vertAlign w:val="baseline"/>
        </w:rPr>
        <w:t>Southeastern</w:t>
      </w:r>
      <w:r>
        <w:rPr>
          <w:spacing w:val="-3"/>
          <w:sz w:val="18"/>
          <w:vertAlign w:val="baseline"/>
        </w:rPr>
        <w:t> </w:t>
      </w:r>
      <w:r>
        <w:rPr>
          <w:sz w:val="18"/>
          <w:vertAlign w:val="baseline"/>
        </w:rPr>
        <w:t>Massachusetts,”</w:t>
      </w:r>
      <w:r>
        <w:rPr>
          <w:spacing w:val="-3"/>
          <w:sz w:val="18"/>
          <w:vertAlign w:val="baseline"/>
        </w:rPr>
        <w:t> </w:t>
      </w:r>
      <w:r>
        <w:rPr>
          <w:sz w:val="18"/>
          <w:vertAlign w:val="baseline"/>
        </w:rPr>
        <w:t>accessed</w:t>
      </w:r>
      <w:r>
        <w:rPr>
          <w:spacing w:val="-3"/>
          <w:sz w:val="18"/>
          <w:vertAlign w:val="baseline"/>
        </w:rPr>
        <w:t> </w:t>
      </w:r>
      <w:r>
        <w:rPr>
          <w:sz w:val="18"/>
          <w:vertAlign w:val="baseline"/>
        </w:rPr>
        <w:t>December</w:t>
      </w:r>
      <w:r>
        <w:rPr>
          <w:spacing w:val="-4"/>
          <w:sz w:val="18"/>
          <w:vertAlign w:val="baseline"/>
        </w:rPr>
        <w:t> </w:t>
      </w:r>
      <w:r>
        <w:rPr>
          <w:sz w:val="18"/>
          <w:vertAlign w:val="baseline"/>
        </w:rPr>
        <w:t>4,</w:t>
      </w:r>
      <w:r>
        <w:rPr>
          <w:spacing w:val="-4"/>
          <w:sz w:val="18"/>
          <w:vertAlign w:val="baseline"/>
        </w:rPr>
        <w:t> </w:t>
      </w:r>
      <w:r>
        <w:rPr>
          <w:sz w:val="18"/>
          <w:vertAlign w:val="baseline"/>
        </w:rPr>
        <w:t>2022, </w:t>
      </w:r>
      <w:hyperlink r:id="rId336">
        <w:r>
          <w:rPr>
            <w:color w:val="0561C1"/>
            <w:spacing w:val="-2"/>
            <w:sz w:val="18"/>
            <w:u w:val="single" w:color="0561C1"/>
            <w:vertAlign w:val="baseline"/>
          </w:rPr>
          <w:t>https://ywcasema.org/menstrual-access-advocacy-project/</w:t>
        </w:r>
      </w:hyperlink>
      <w:hyperlink r:id="rId336">
        <w:r>
          <w:rPr>
            <w:spacing w:val="-2"/>
            <w:sz w:val="18"/>
            <w:u w:val="none"/>
            <w:vertAlign w:val="baseline"/>
          </w:rPr>
          <w:t>.</w:t>
        </w:r>
      </w:hyperlink>
    </w:p>
    <w:p>
      <w:pPr>
        <w:spacing w:line="219" w:lineRule="exact" w:before="0"/>
        <w:ind w:left="463" w:right="0" w:firstLine="0"/>
        <w:jc w:val="left"/>
        <w:rPr>
          <w:sz w:val="18"/>
        </w:rPr>
      </w:pPr>
      <w:bookmarkStart w:name="_bookmark210" w:id="400"/>
      <w:bookmarkEnd w:id="400"/>
      <w:r>
        <w:rPr/>
      </w:r>
      <w:r>
        <w:rPr>
          <w:sz w:val="18"/>
          <w:vertAlign w:val="superscript"/>
        </w:rPr>
        <w:t>17</w:t>
      </w:r>
      <w:r>
        <w:rPr>
          <w:spacing w:val="-13"/>
          <w:sz w:val="18"/>
          <w:vertAlign w:val="baseline"/>
        </w:rPr>
        <w:t> </w:t>
      </w:r>
      <w:r>
        <w:rPr>
          <w:sz w:val="18"/>
          <w:vertAlign w:val="baseline"/>
        </w:rPr>
        <w:t>James,</w:t>
      </w:r>
      <w:r>
        <w:rPr>
          <w:spacing w:val="-4"/>
          <w:sz w:val="18"/>
          <w:vertAlign w:val="baseline"/>
        </w:rPr>
        <w:t> </w:t>
      </w:r>
      <w:r>
        <w:rPr>
          <w:sz w:val="18"/>
          <w:vertAlign w:val="baseline"/>
        </w:rPr>
        <w:t>S.</w:t>
      </w:r>
      <w:r>
        <w:rPr>
          <w:spacing w:val="-2"/>
          <w:sz w:val="18"/>
          <w:vertAlign w:val="baseline"/>
        </w:rPr>
        <w:t> </w:t>
      </w:r>
      <w:r>
        <w:rPr>
          <w:sz w:val="18"/>
          <w:vertAlign w:val="baseline"/>
        </w:rPr>
        <w:t>E.,</w:t>
      </w:r>
      <w:r>
        <w:rPr>
          <w:spacing w:val="-3"/>
          <w:sz w:val="18"/>
          <w:vertAlign w:val="baseline"/>
        </w:rPr>
        <w:t> </w:t>
      </w:r>
      <w:r>
        <w:rPr>
          <w:sz w:val="18"/>
          <w:vertAlign w:val="baseline"/>
        </w:rPr>
        <w:t>Herman,</w:t>
      </w:r>
      <w:r>
        <w:rPr>
          <w:spacing w:val="-2"/>
          <w:sz w:val="18"/>
          <w:vertAlign w:val="baseline"/>
        </w:rPr>
        <w:t> </w:t>
      </w:r>
      <w:r>
        <w:rPr>
          <w:sz w:val="18"/>
          <w:vertAlign w:val="baseline"/>
        </w:rPr>
        <w:t>J.</w:t>
      </w:r>
      <w:r>
        <w:rPr>
          <w:spacing w:val="-2"/>
          <w:sz w:val="18"/>
          <w:vertAlign w:val="baseline"/>
        </w:rPr>
        <w:t> </w:t>
      </w:r>
      <w:r>
        <w:rPr>
          <w:sz w:val="18"/>
          <w:vertAlign w:val="baseline"/>
        </w:rPr>
        <w:t>L.,</w:t>
      </w:r>
      <w:r>
        <w:rPr>
          <w:spacing w:val="-2"/>
          <w:sz w:val="18"/>
          <w:vertAlign w:val="baseline"/>
        </w:rPr>
        <w:t> </w:t>
      </w:r>
      <w:r>
        <w:rPr>
          <w:sz w:val="18"/>
          <w:vertAlign w:val="baseline"/>
        </w:rPr>
        <w:t>Rankin,</w:t>
      </w:r>
      <w:r>
        <w:rPr>
          <w:spacing w:val="-3"/>
          <w:sz w:val="18"/>
          <w:vertAlign w:val="baseline"/>
        </w:rPr>
        <w:t> </w:t>
      </w:r>
      <w:r>
        <w:rPr>
          <w:sz w:val="18"/>
          <w:vertAlign w:val="baseline"/>
        </w:rPr>
        <w:t>S.,</w:t>
      </w:r>
      <w:r>
        <w:rPr>
          <w:spacing w:val="-3"/>
          <w:sz w:val="18"/>
          <w:vertAlign w:val="baseline"/>
        </w:rPr>
        <w:t> </w:t>
      </w:r>
      <w:r>
        <w:rPr>
          <w:sz w:val="18"/>
          <w:vertAlign w:val="baseline"/>
        </w:rPr>
        <w:t>Keisling,</w:t>
      </w:r>
      <w:r>
        <w:rPr>
          <w:spacing w:val="-1"/>
          <w:sz w:val="18"/>
          <w:vertAlign w:val="baseline"/>
        </w:rPr>
        <w:t> </w:t>
      </w:r>
      <w:r>
        <w:rPr>
          <w:sz w:val="18"/>
          <w:vertAlign w:val="baseline"/>
        </w:rPr>
        <w:t>M.,</w:t>
      </w:r>
      <w:r>
        <w:rPr>
          <w:spacing w:val="-3"/>
          <w:sz w:val="18"/>
          <w:vertAlign w:val="baseline"/>
        </w:rPr>
        <w:t> </w:t>
      </w:r>
      <w:r>
        <w:rPr>
          <w:sz w:val="18"/>
          <w:vertAlign w:val="baseline"/>
        </w:rPr>
        <w:t>Mottet,</w:t>
      </w:r>
      <w:r>
        <w:rPr>
          <w:spacing w:val="-3"/>
          <w:sz w:val="18"/>
          <w:vertAlign w:val="baseline"/>
        </w:rPr>
        <w:t> </w:t>
      </w:r>
      <w:r>
        <w:rPr>
          <w:sz w:val="18"/>
          <w:vertAlign w:val="baseline"/>
        </w:rPr>
        <w:t>L.,</w:t>
      </w:r>
      <w:r>
        <w:rPr>
          <w:spacing w:val="-2"/>
          <w:sz w:val="18"/>
          <w:vertAlign w:val="baseline"/>
        </w:rPr>
        <w:t> </w:t>
      </w:r>
      <w:r>
        <w:rPr>
          <w:sz w:val="18"/>
          <w:vertAlign w:val="baseline"/>
        </w:rPr>
        <w:t>&amp;</w:t>
      </w:r>
      <w:r>
        <w:rPr>
          <w:spacing w:val="-2"/>
          <w:sz w:val="18"/>
          <w:vertAlign w:val="baseline"/>
        </w:rPr>
        <w:t> </w:t>
      </w:r>
      <w:r>
        <w:rPr>
          <w:sz w:val="18"/>
          <w:vertAlign w:val="baseline"/>
        </w:rPr>
        <w:t>Anafi,</w:t>
      </w:r>
      <w:r>
        <w:rPr>
          <w:spacing w:val="-3"/>
          <w:sz w:val="18"/>
          <w:vertAlign w:val="baseline"/>
        </w:rPr>
        <w:t> </w:t>
      </w:r>
      <w:r>
        <w:rPr>
          <w:sz w:val="18"/>
          <w:vertAlign w:val="baseline"/>
        </w:rPr>
        <w:t>M.</w:t>
      </w:r>
      <w:r>
        <w:rPr>
          <w:spacing w:val="-1"/>
          <w:sz w:val="18"/>
          <w:vertAlign w:val="baseline"/>
        </w:rPr>
        <w:t> </w:t>
      </w:r>
      <w:r>
        <w:rPr>
          <w:sz w:val="18"/>
          <w:vertAlign w:val="baseline"/>
        </w:rPr>
        <w:t>(2016).</w:t>
      </w:r>
      <w:r>
        <w:rPr>
          <w:spacing w:val="-2"/>
          <w:sz w:val="18"/>
          <w:vertAlign w:val="baseline"/>
        </w:rPr>
        <w:t> </w:t>
      </w:r>
      <w:r>
        <w:rPr>
          <w:sz w:val="18"/>
          <w:vertAlign w:val="baseline"/>
        </w:rPr>
        <w:t>Executive</w:t>
      </w:r>
      <w:r>
        <w:rPr>
          <w:spacing w:val="-2"/>
          <w:sz w:val="18"/>
          <w:vertAlign w:val="baseline"/>
        </w:rPr>
        <w:t> </w:t>
      </w:r>
      <w:r>
        <w:rPr>
          <w:sz w:val="18"/>
          <w:vertAlign w:val="baseline"/>
        </w:rPr>
        <w:t>Summary</w:t>
      </w:r>
      <w:r>
        <w:rPr>
          <w:spacing w:val="-1"/>
          <w:sz w:val="18"/>
          <w:vertAlign w:val="baseline"/>
        </w:rPr>
        <w:t> </w:t>
      </w:r>
      <w:r>
        <w:rPr>
          <w:sz w:val="18"/>
          <w:vertAlign w:val="baseline"/>
        </w:rPr>
        <w:t>of</w:t>
      </w:r>
      <w:r>
        <w:rPr>
          <w:spacing w:val="-2"/>
          <w:sz w:val="18"/>
          <w:vertAlign w:val="baseline"/>
        </w:rPr>
        <w:t> </w:t>
      </w:r>
      <w:r>
        <w:rPr>
          <w:sz w:val="18"/>
          <w:vertAlign w:val="baseline"/>
        </w:rPr>
        <w:t>the</w:t>
      </w:r>
      <w:r>
        <w:rPr>
          <w:spacing w:val="-2"/>
          <w:sz w:val="18"/>
          <w:vertAlign w:val="baseline"/>
        </w:rPr>
        <w:t> </w:t>
      </w:r>
      <w:r>
        <w:rPr>
          <w:sz w:val="18"/>
          <w:vertAlign w:val="baseline"/>
        </w:rPr>
        <w:t>Report</w:t>
      </w:r>
      <w:r>
        <w:rPr>
          <w:spacing w:val="-2"/>
          <w:sz w:val="18"/>
          <w:vertAlign w:val="baseline"/>
        </w:rPr>
        <w:t> </w:t>
      </w:r>
      <w:r>
        <w:rPr>
          <w:sz w:val="18"/>
          <w:vertAlign w:val="baseline"/>
        </w:rPr>
        <w:t>of</w:t>
      </w:r>
      <w:r>
        <w:rPr>
          <w:spacing w:val="-2"/>
          <w:sz w:val="18"/>
          <w:vertAlign w:val="baseline"/>
        </w:rPr>
        <w:t> </w:t>
      </w:r>
      <w:r>
        <w:rPr>
          <w:sz w:val="18"/>
          <w:vertAlign w:val="baseline"/>
        </w:rPr>
        <w:t>the</w:t>
      </w:r>
      <w:r>
        <w:rPr>
          <w:spacing w:val="-2"/>
          <w:sz w:val="18"/>
          <w:vertAlign w:val="baseline"/>
        </w:rPr>
        <w:t> </w:t>
      </w:r>
      <w:r>
        <w:rPr>
          <w:spacing w:val="-4"/>
          <w:sz w:val="18"/>
          <w:vertAlign w:val="baseline"/>
        </w:rPr>
        <w:t>2015</w:t>
      </w:r>
    </w:p>
    <w:p>
      <w:pPr>
        <w:spacing w:before="0"/>
        <w:ind w:left="463" w:right="0" w:firstLine="0"/>
        <w:jc w:val="left"/>
        <w:rPr>
          <w:sz w:val="18"/>
        </w:rPr>
      </w:pPr>
      <w:r>
        <w:rPr>
          <w:sz w:val="18"/>
        </w:rPr>
        <w:t>U.S.</w:t>
      </w:r>
      <w:r>
        <w:rPr>
          <w:spacing w:val="-5"/>
          <w:sz w:val="18"/>
        </w:rPr>
        <w:t> </w:t>
      </w:r>
      <w:r>
        <w:rPr>
          <w:sz w:val="18"/>
        </w:rPr>
        <w:t>Transgender</w:t>
      </w:r>
      <w:r>
        <w:rPr>
          <w:spacing w:val="-3"/>
          <w:sz w:val="18"/>
        </w:rPr>
        <w:t> </w:t>
      </w:r>
      <w:r>
        <w:rPr>
          <w:sz w:val="18"/>
        </w:rPr>
        <w:t>Survey.</w:t>
      </w:r>
      <w:r>
        <w:rPr>
          <w:spacing w:val="-2"/>
          <w:sz w:val="18"/>
        </w:rPr>
        <w:t> </w:t>
      </w:r>
      <w:r>
        <w:rPr>
          <w:sz w:val="18"/>
        </w:rPr>
        <w:t>Washington,</w:t>
      </w:r>
      <w:r>
        <w:rPr>
          <w:spacing w:val="-3"/>
          <w:sz w:val="18"/>
        </w:rPr>
        <w:t> </w:t>
      </w:r>
      <w:r>
        <w:rPr>
          <w:sz w:val="18"/>
        </w:rPr>
        <w:t>DC:</w:t>
      </w:r>
      <w:r>
        <w:rPr>
          <w:spacing w:val="-2"/>
          <w:sz w:val="18"/>
        </w:rPr>
        <w:t> </w:t>
      </w:r>
      <w:r>
        <w:rPr>
          <w:sz w:val="18"/>
        </w:rPr>
        <w:t>National</w:t>
      </w:r>
      <w:r>
        <w:rPr>
          <w:spacing w:val="-3"/>
          <w:sz w:val="18"/>
        </w:rPr>
        <w:t> </w:t>
      </w:r>
      <w:r>
        <w:rPr>
          <w:sz w:val="18"/>
        </w:rPr>
        <w:t>Center</w:t>
      </w:r>
      <w:r>
        <w:rPr>
          <w:spacing w:val="-3"/>
          <w:sz w:val="18"/>
        </w:rPr>
        <w:t> </w:t>
      </w:r>
      <w:r>
        <w:rPr>
          <w:sz w:val="18"/>
        </w:rPr>
        <w:t>for</w:t>
      </w:r>
      <w:r>
        <w:rPr>
          <w:spacing w:val="-3"/>
          <w:sz w:val="18"/>
        </w:rPr>
        <w:t> </w:t>
      </w:r>
      <w:r>
        <w:rPr>
          <w:sz w:val="18"/>
        </w:rPr>
        <w:t>Transgender</w:t>
      </w:r>
      <w:r>
        <w:rPr>
          <w:spacing w:val="-2"/>
          <w:sz w:val="18"/>
        </w:rPr>
        <w:t> Equality.</w:t>
      </w:r>
    </w:p>
    <w:p>
      <w:pPr>
        <w:spacing w:before="0"/>
        <w:ind w:left="463" w:right="579" w:firstLine="0"/>
        <w:jc w:val="left"/>
        <w:rPr>
          <w:sz w:val="18"/>
        </w:rPr>
      </w:pPr>
      <w:bookmarkStart w:name="_bookmark211" w:id="401"/>
      <w:bookmarkEnd w:id="401"/>
      <w:r>
        <w:rPr/>
      </w:r>
      <w:r>
        <w:rPr>
          <w:spacing w:val="-2"/>
          <w:sz w:val="18"/>
          <w:vertAlign w:val="superscript"/>
        </w:rPr>
        <w:t>18</w:t>
      </w:r>
      <w:r>
        <w:rPr>
          <w:spacing w:val="-15"/>
          <w:sz w:val="18"/>
          <w:vertAlign w:val="baseline"/>
        </w:rPr>
        <w:t> </w:t>
      </w:r>
      <w:hyperlink r:id="rId337">
        <w:r>
          <w:rPr>
            <w:color w:val="0561C1"/>
            <w:spacing w:val="-2"/>
            <w:sz w:val="18"/>
            <w:u w:val="single" w:color="0561C1"/>
            <w:vertAlign w:val="baseline"/>
          </w:rPr>
          <w:t>https://www.aclu.org/news/lgbtq-rights/menstruation-related-discrimination-is-sex-discrimination-we-dont-need-to-erase-</w:t>
        </w:r>
      </w:hyperlink>
      <w:r>
        <w:rPr>
          <w:color w:val="0561C1"/>
          <w:sz w:val="18"/>
          <w:u w:val="none"/>
          <w:vertAlign w:val="baseline"/>
        </w:rPr>
        <w:t> </w:t>
      </w:r>
      <w:hyperlink r:id="rId337">
        <w:r>
          <w:rPr>
            <w:color w:val="0561C1"/>
            <w:spacing w:val="-2"/>
            <w:sz w:val="18"/>
            <w:u w:val="single" w:color="0561C1"/>
            <w:vertAlign w:val="baseline"/>
          </w:rPr>
          <w:t>trans-or-non-binary-people-to-make-that-point</w:t>
        </w:r>
      </w:hyperlink>
    </w:p>
    <w:p>
      <w:pPr>
        <w:spacing w:before="1"/>
        <w:ind w:left="463" w:right="0" w:firstLine="0"/>
        <w:jc w:val="left"/>
        <w:rPr>
          <w:sz w:val="18"/>
        </w:rPr>
      </w:pPr>
      <w:bookmarkStart w:name="_bookmark212" w:id="402"/>
      <w:bookmarkEnd w:id="402"/>
      <w:r>
        <w:rPr/>
      </w:r>
      <w:r>
        <w:rPr>
          <w:sz w:val="18"/>
          <w:vertAlign w:val="superscript"/>
        </w:rPr>
        <w:t>19</w:t>
      </w:r>
      <w:r>
        <w:rPr>
          <w:spacing w:val="-15"/>
          <w:sz w:val="18"/>
          <w:vertAlign w:val="baseline"/>
        </w:rPr>
        <w:t> </w:t>
      </w:r>
      <w:r>
        <w:rPr>
          <w:sz w:val="18"/>
          <w:vertAlign w:val="baseline"/>
        </w:rPr>
        <w:t>Barbara</w:t>
      </w:r>
      <w:r>
        <w:rPr>
          <w:spacing w:val="-4"/>
          <w:sz w:val="18"/>
          <w:vertAlign w:val="baseline"/>
        </w:rPr>
        <w:t> </w:t>
      </w:r>
      <w:r>
        <w:rPr>
          <w:sz w:val="18"/>
          <w:vertAlign w:val="baseline"/>
        </w:rPr>
        <w:t>K.</w:t>
      </w:r>
      <w:r>
        <w:rPr>
          <w:spacing w:val="-2"/>
          <w:sz w:val="18"/>
          <w:vertAlign w:val="baseline"/>
        </w:rPr>
        <w:t> </w:t>
      </w:r>
      <w:r>
        <w:rPr>
          <w:sz w:val="18"/>
          <w:vertAlign w:val="baseline"/>
        </w:rPr>
        <w:t>Snyder,</w:t>
      </w:r>
      <w:r>
        <w:rPr>
          <w:spacing w:val="-3"/>
          <w:sz w:val="18"/>
          <w:vertAlign w:val="baseline"/>
        </w:rPr>
        <w:t> </w:t>
      </w:r>
      <w:r>
        <w:rPr>
          <w:sz w:val="18"/>
          <w:vertAlign w:val="baseline"/>
        </w:rPr>
        <w:t>Gail</w:t>
      </w:r>
      <w:r>
        <w:rPr>
          <w:spacing w:val="-3"/>
          <w:sz w:val="18"/>
          <w:vertAlign w:val="baseline"/>
        </w:rPr>
        <w:t> </w:t>
      </w:r>
      <w:r>
        <w:rPr>
          <w:sz w:val="18"/>
          <w:vertAlign w:val="baseline"/>
        </w:rPr>
        <w:t>D.</w:t>
      </w:r>
      <w:r>
        <w:rPr>
          <w:spacing w:val="-2"/>
          <w:sz w:val="18"/>
          <w:vertAlign w:val="baseline"/>
        </w:rPr>
        <w:t> </w:t>
      </w:r>
      <w:r>
        <w:rPr>
          <w:sz w:val="18"/>
          <w:vertAlign w:val="baseline"/>
        </w:rPr>
        <w:t>Burack,</w:t>
      </w:r>
      <w:r>
        <w:rPr>
          <w:spacing w:val="-4"/>
          <w:sz w:val="18"/>
          <w:vertAlign w:val="baseline"/>
        </w:rPr>
        <w:t> </w:t>
      </w:r>
      <w:r>
        <w:rPr>
          <w:sz w:val="18"/>
          <w:vertAlign w:val="baseline"/>
        </w:rPr>
        <w:t>and</w:t>
      </w:r>
      <w:r>
        <w:rPr>
          <w:spacing w:val="-2"/>
          <w:sz w:val="18"/>
          <w:vertAlign w:val="baseline"/>
        </w:rPr>
        <w:t> </w:t>
      </w:r>
      <w:r>
        <w:rPr>
          <w:sz w:val="18"/>
          <w:vertAlign w:val="baseline"/>
        </w:rPr>
        <w:t>Anna</w:t>
      </w:r>
      <w:r>
        <w:rPr>
          <w:spacing w:val="-2"/>
          <w:sz w:val="18"/>
          <w:vertAlign w:val="baseline"/>
        </w:rPr>
        <w:t> </w:t>
      </w:r>
      <w:r>
        <w:rPr>
          <w:sz w:val="18"/>
          <w:vertAlign w:val="baseline"/>
        </w:rPr>
        <w:t>Petrova,</w:t>
      </w:r>
      <w:r>
        <w:rPr>
          <w:spacing w:val="-3"/>
          <w:sz w:val="18"/>
          <w:vertAlign w:val="baseline"/>
        </w:rPr>
        <w:t> </w:t>
      </w:r>
      <w:r>
        <w:rPr>
          <w:sz w:val="18"/>
          <w:vertAlign w:val="baseline"/>
        </w:rPr>
        <w:t>“LGBTQ</w:t>
      </w:r>
      <w:r>
        <w:rPr>
          <w:spacing w:val="-2"/>
          <w:sz w:val="18"/>
          <w:vertAlign w:val="baseline"/>
        </w:rPr>
        <w:t> </w:t>
      </w:r>
      <w:r>
        <w:rPr>
          <w:sz w:val="18"/>
          <w:vertAlign w:val="baseline"/>
        </w:rPr>
        <w:t>Youth’s</w:t>
      </w:r>
      <w:r>
        <w:rPr>
          <w:spacing w:val="-2"/>
          <w:sz w:val="18"/>
          <w:vertAlign w:val="baseline"/>
        </w:rPr>
        <w:t> </w:t>
      </w:r>
      <w:r>
        <w:rPr>
          <w:sz w:val="18"/>
          <w:vertAlign w:val="baseline"/>
        </w:rPr>
        <w:t>Perceptions</w:t>
      </w:r>
      <w:r>
        <w:rPr>
          <w:spacing w:val="-2"/>
          <w:sz w:val="18"/>
          <w:vertAlign w:val="baseline"/>
        </w:rPr>
        <w:t> </w:t>
      </w:r>
      <w:r>
        <w:rPr>
          <w:sz w:val="18"/>
          <w:vertAlign w:val="baseline"/>
        </w:rPr>
        <w:t>of</w:t>
      </w:r>
      <w:r>
        <w:rPr>
          <w:spacing w:val="-2"/>
          <w:sz w:val="18"/>
          <w:vertAlign w:val="baseline"/>
        </w:rPr>
        <w:t> </w:t>
      </w:r>
      <w:r>
        <w:rPr>
          <w:sz w:val="18"/>
          <w:vertAlign w:val="baseline"/>
        </w:rPr>
        <w:t>Primary</w:t>
      </w:r>
      <w:r>
        <w:rPr>
          <w:spacing w:val="-2"/>
          <w:sz w:val="18"/>
          <w:vertAlign w:val="baseline"/>
        </w:rPr>
        <w:t> Care,”</w:t>
      </w:r>
    </w:p>
    <w:p>
      <w:pPr>
        <w:spacing w:before="0"/>
        <w:ind w:left="463" w:right="261" w:hanging="1"/>
        <w:jc w:val="left"/>
        <w:rPr>
          <w:sz w:val="18"/>
        </w:rPr>
      </w:pPr>
      <w:bookmarkStart w:name="_bookmark213" w:id="403"/>
      <w:bookmarkEnd w:id="403"/>
      <w:r>
        <w:rPr/>
      </w:r>
      <w:r>
        <w:rPr>
          <w:sz w:val="18"/>
          <w:vertAlign w:val="superscript"/>
        </w:rPr>
        <w:t>20</w:t>
      </w:r>
      <w:r>
        <w:rPr>
          <w:spacing w:val="-13"/>
          <w:sz w:val="18"/>
          <w:vertAlign w:val="baseline"/>
        </w:rPr>
        <w:t> </w:t>
      </w:r>
      <w:r>
        <w:rPr>
          <w:sz w:val="18"/>
          <w:vertAlign w:val="baseline"/>
        </w:rPr>
        <w:t>Jamie</w:t>
      </w:r>
      <w:r>
        <w:rPr>
          <w:spacing w:val="-4"/>
          <w:sz w:val="18"/>
          <w:vertAlign w:val="baseline"/>
        </w:rPr>
        <w:t> </w:t>
      </w:r>
      <w:r>
        <w:rPr>
          <w:sz w:val="18"/>
          <w:vertAlign w:val="baseline"/>
        </w:rPr>
        <w:t>Mehringer</w:t>
      </w:r>
      <w:r>
        <w:rPr>
          <w:spacing w:val="-4"/>
          <w:sz w:val="18"/>
          <w:vertAlign w:val="baseline"/>
        </w:rPr>
        <w:t> </w:t>
      </w:r>
      <w:r>
        <w:rPr>
          <w:sz w:val="18"/>
          <w:vertAlign w:val="baseline"/>
        </w:rPr>
        <w:t>and</w:t>
      </w:r>
      <w:r>
        <w:rPr>
          <w:spacing w:val="-3"/>
          <w:sz w:val="18"/>
          <w:vertAlign w:val="baseline"/>
        </w:rPr>
        <w:t> </w:t>
      </w:r>
      <w:r>
        <w:rPr>
          <w:sz w:val="18"/>
          <w:vertAlign w:val="baseline"/>
        </w:rPr>
        <w:t>Nadia</w:t>
      </w:r>
      <w:r>
        <w:rPr>
          <w:spacing w:val="-3"/>
          <w:sz w:val="18"/>
          <w:vertAlign w:val="baseline"/>
        </w:rPr>
        <w:t> </w:t>
      </w:r>
      <w:r>
        <w:rPr>
          <w:sz w:val="18"/>
          <w:vertAlign w:val="baseline"/>
        </w:rPr>
        <w:t>L.</w:t>
      </w:r>
      <w:r>
        <w:rPr>
          <w:spacing w:val="-4"/>
          <w:sz w:val="18"/>
          <w:vertAlign w:val="baseline"/>
        </w:rPr>
        <w:t> </w:t>
      </w:r>
      <w:r>
        <w:rPr>
          <w:sz w:val="18"/>
          <w:vertAlign w:val="baseline"/>
        </w:rPr>
        <w:t>Dowshen,</w:t>
      </w:r>
      <w:r>
        <w:rPr>
          <w:spacing w:val="-4"/>
          <w:sz w:val="18"/>
          <w:vertAlign w:val="baseline"/>
        </w:rPr>
        <w:t> </w:t>
      </w:r>
      <w:r>
        <w:rPr>
          <w:sz w:val="18"/>
          <w:vertAlign w:val="baseline"/>
        </w:rPr>
        <w:t>“Sexual</w:t>
      </w:r>
      <w:r>
        <w:rPr>
          <w:spacing w:val="-4"/>
          <w:sz w:val="18"/>
          <w:vertAlign w:val="baseline"/>
        </w:rPr>
        <w:t> </w:t>
      </w:r>
      <w:r>
        <w:rPr>
          <w:sz w:val="18"/>
          <w:vertAlign w:val="baseline"/>
        </w:rPr>
        <w:t>and</w:t>
      </w:r>
      <w:r>
        <w:rPr>
          <w:spacing w:val="-3"/>
          <w:sz w:val="18"/>
          <w:vertAlign w:val="baseline"/>
        </w:rPr>
        <w:t> </w:t>
      </w:r>
      <w:r>
        <w:rPr>
          <w:sz w:val="18"/>
          <w:vertAlign w:val="baseline"/>
        </w:rPr>
        <w:t>Reproductive</w:t>
      </w:r>
      <w:r>
        <w:rPr>
          <w:spacing w:val="-3"/>
          <w:sz w:val="18"/>
          <w:vertAlign w:val="baseline"/>
        </w:rPr>
        <w:t> </w:t>
      </w:r>
      <w:r>
        <w:rPr>
          <w:sz w:val="18"/>
          <w:vertAlign w:val="baseline"/>
        </w:rPr>
        <w:t>Health</w:t>
      </w:r>
      <w:r>
        <w:rPr>
          <w:spacing w:val="-3"/>
          <w:sz w:val="18"/>
          <w:vertAlign w:val="baseline"/>
        </w:rPr>
        <w:t> </w:t>
      </w:r>
      <w:r>
        <w:rPr>
          <w:sz w:val="18"/>
          <w:vertAlign w:val="baseline"/>
        </w:rPr>
        <w:t>Considerations</w:t>
      </w:r>
      <w:r>
        <w:rPr>
          <w:spacing w:val="-3"/>
          <w:sz w:val="18"/>
          <w:vertAlign w:val="baseline"/>
        </w:rPr>
        <w:t> </w:t>
      </w:r>
      <w:r>
        <w:rPr>
          <w:sz w:val="18"/>
          <w:vertAlign w:val="baseline"/>
        </w:rPr>
        <w:t>among</w:t>
      </w:r>
      <w:r>
        <w:rPr>
          <w:spacing w:val="-3"/>
          <w:sz w:val="18"/>
          <w:vertAlign w:val="baseline"/>
        </w:rPr>
        <w:t> </w:t>
      </w:r>
      <w:r>
        <w:rPr>
          <w:sz w:val="18"/>
          <w:vertAlign w:val="baseline"/>
        </w:rPr>
        <w:t>Transgender</w:t>
      </w:r>
      <w:r>
        <w:rPr>
          <w:spacing w:val="-4"/>
          <w:sz w:val="18"/>
          <w:vertAlign w:val="baseline"/>
        </w:rPr>
        <w:t> </w:t>
      </w:r>
      <w:r>
        <w:rPr>
          <w:sz w:val="18"/>
          <w:vertAlign w:val="baseline"/>
        </w:rPr>
        <w:t>and</w:t>
      </w:r>
      <w:r>
        <w:rPr>
          <w:spacing w:val="-3"/>
          <w:sz w:val="18"/>
          <w:vertAlign w:val="baseline"/>
        </w:rPr>
        <w:t> </w:t>
      </w:r>
      <w:r>
        <w:rPr>
          <w:sz w:val="18"/>
          <w:vertAlign w:val="baseline"/>
        </w:rPr>
        <w:t>Gender- Expansive Youth,” </w:t>
      </w:r>
      <w:r>
        <w:rPr>
          <w:i/>
          <w:sz w:val="18"/>
          <w:vertAlign w:val="baseline"/>
        </w:rPr>
        <w:t>Current Problems in Pediatric and Adolescent Health Care </w:t>
      </w:r>
      <w:r>
        <w:rPr>
          <w:sz w:val="18"/>
          <w:vertAlign w:val="baseline"/>
        </w:rPr>
        <w:t>49, no. 9 (September 2019): 100684, </w:t>
      </w:r>
      <w:hyperlink r:id="rId338">
        <w:r>
          <w:rPr>
            <w:color w:val="0561C1"/>
            <w:spacing w:val="-2"/>
            <w:sz w:val="18"/>
            <w:u w:val="single" w:color="0561C1"/>
            <w:vertAlign w:val="baseline"/>
          </w:rPr>
          <w:t>https://doi.org/10.1016/j.cppeds.2019.100684</w:t>
        </w:r>
      </w:hyperlink>
      <w:hyperlink r:id="rId338">
        <w:r>
          <w:rPr>
            <w:spacing w:val="-2"/>
            <w:sz w:val="18"/>
            <w:u w:val="none"/>
            <w:vertAlign w:val="baseline"/>
          </w:rPr>
          <w:t>.</w:t>
        </w:r>
      </w:hyperlink>
    </w:p>
    <w:p>
      <w:pPr>
        <w:spacing w:before="0"/>
        <w:ind w:left="463" w:right="474" w:firstLine="0"/>
        <w:jc w:val="left"/>
        <w:rPr>
          <w:sz w:val="18"/>
        </w:rPr>
      </w:pPr>
      <w:bookmarkStart w:name="_bookmark214" w:id="404"/>
      <w:bookmarkEnd w:id="404"/>
      <w:r>
        <w:rPr/>
      </w:r>
      <w:r>
        <w:rPr>
          <w:sz w:val="18"/>
          <w:vertAlign w:val="superscript"/>
        </w:rPr>
        <w:t>21</w:t>
      </w:r>
      <w:r>
        <w:rPr>
          <w:spacing w:val="-7"/>
          <w:sz w:val="18"/>
          <w:vertAlign w:val="baseline"/>
        </w:rPr>
        <w:t> </w:t>
      </w:r>
      <w:r>
        <w:rPr>
          <w:sz w:val="18"/>
          <w:vertAlign w:val="baseline"/>
        </w:rPr>
        <w:t>Danielle Boudreau and Ronica Mukerjee, “Contraception Care for Transmasculine Individuals on Testosterone Therapy,” </w:t>
      </w:r>
      <w:bookmarkStart w:name="_bookmark215" w:id="405"/>
      <w:bookmarkEnd w:id="405"/>
      <w:r>
        <w:rPr>
          <w:sz w:val="18"/>
          <w:vertAlign w:val="baseline"/>
        </w:rPr>
      </w:r>
      <w:r>
        <w:rPr>
          <w:i/>
          <w:sz w:val="18"/>
          <w:vertAlign w:val="baseline"/>
        </w:rPr>
        <w:t>Journal</w:t>
      </w:r>
      <w:r>
        <w:rPr>
          <w:i/>
          <w:spacing w:val="-5"/>
          <w:sz w:val="18"/>
          <w:vertAlign w:val="baseline"/>
        </w:rPr>
        <w:t> </w:t>
      </w:r>
      <w:r>
        <w:rPr>
          <w:i/>
          <w:sz w:val="18"/>
          <w:vertAlign w:val="baseline"/>
        </w:rPr>
        <w:t>of</w:t>
      </w:r>
      <w:r>
        <w:rPr>
          <w:i/>
          <w:spacing w:val="-3"/>
          <w:sz w:val="18"/>
          <w:vertAlign w:val="baseline"/>
        </w:rPr>
        <w:t> </w:t>
      </w:r>
      <w:r>
        <w:rPr>
          <w:i/>
          <w:sz w:val="18"/>
          <w:vertAlign w:val="baseline"/>
        </w:rPr>
        <w:t>Midwifery</w:t>
      </w:r>
      <w:r>
        <w:rPr>
          <w:i/>
          <w:spacing w:val="-3"/>
          <w:sz w:val="18"/>
          <w:vertAlign w:val="baseline"/>
        </w:rPr>
        <w:t> </w:t>
      </w:r>
      <w:r>
        <w:rPr>
          <w:i/>
          <w:sz w:val="18"/>
          <w:vertAlign w:val="baseline"/>
        </w:rPr>
        <w:t>&amp;</w:t>
      </w:r>
      <w:r>
        <w:rPr>
          <w:i/>
          <w:spacing w:val="-4"/>
          <w:sz w:val="18"/>
          <w:vertAlign w:val="baseline"/>
        </w:rPr>
        <w:t> </w:t>
      </w:r>
      <w:r>
        <w:rPr>
          <w:i/>
          <w:sz w:val="18"/>
          <w:vertAlign w:val="baseline"/>
        </w:rPr>
        <w:t>Women’s</w:t>
      </w:r>
      <w:r>
        <w:rPr>
          <w:i/>
          <w:spacing w:val="-4"/>
          <w:sz w:val="18"/>
          <w:vertAlign w:val="baseline"/>
        </w:rPr>
        <w:t> </w:t>
      </w:r>
      <w:r>
        <w:rPr>
          <w:i/>
          <w:sz w:val="18"/>
          <w:vertAlign w:val="baseline"/>
        </w:rPr>
        <w:t>Health</w:t>
      </w:r>
      <w:r>
        <w:rPr>
          <w:i/>
          <w:spacing w:val="-4"/>
          <w:sz w:val="18"/>
          <w:vertAlign w:val="baseline"/>
        </w:rPr>
        <w:t> </w:t>
      </w:r>
      <w:r>
        <w:rPr>
          <w:sz w:val="18"/>
          <w:vertAlign w:val="baseline"/>
        </w:rPr>
        <w:t>64,</w:t>
      </w:r>
      <w:r>
        <w:rPr>
          <w:spacing w:val="-4"/>
          <w:sz w:val="18"/>
          <w:vertAlign w:val="baseline"/>
        </w:rPr>
        <w:t> </w:t>
      </w:r>
      <w:r>
        <w:rPr>
          <w:sz w:val="18"/>
          <w:vertAlign w:val="baseline"/>
        </w:rPr>
        <w:t>no.</w:t>
      </w:r>
      <w:r>
        <w:rPr>
          <w:spacing w:val="-3"/>
          <w:sz w:val="18"/>
          <w:vertAlign w:val="baseline"/>
        </w:rPr>
        <w:t> </w:t>
      </w:r>
      <w:r>
        <w:rPr>
          <w:sz w:val="18"/>
          <w:vertAlign w:val="baseline"/>
        </w:rPr>
        <w:t>4</w:t>
      </w:r>
      <w:r>
        <w:rPr>
          <w:spacing w:val="-2"/>
          <w:sz w:val="18"/>
          <w:vertAlign w:val="baseline"/>
        </w:rPr>
        <w:t> </w:t>
      </w:r>
      <w:r>
        <w:rPr>
          <w:sz w:val="18"/>
          <w:vertAlign w:val="baseline"/>
        </w:rPr>
        <w:t>(July</w:t>
      </w:r>
      <w:r>
        <w:rPr>
          <w:spacing w:val="-3"/>
          <w:sz w:val="18"/>
          <w:vertAlign w:val="baseline"/>
        </w:rPr>
        <w:t> </w:t>
      </w:r>
      <w:r>
        <w:rPr>
          <w:sz w:val="18"/>
          <w:vertAlign w:val="baseline"/>
        </w:rPr>
        <w:t>2019):</w:t>
      </w:r>
      <w:r>
        <w:rPr>
          <w:spacing w:val="-3"/>
          <w:sz w:val="18"/>
          <w:vertAlign w:val="baseline"/>
        </w:rPr>
        <w:t> </w:t>
      </w:r>
      <w:r>
        <w:rPr>
          <w:sz w:val="18"/>
          <w:vertAlign w:val="baseline"/>
        </w:rPr>
        <w:t>395–402,</w:t>
      </w:r>
      <w:r>
        <w:rPr>
          <w:spacing w:val="-4"/>
          <w:sz w:val="18"/>
          <w:vertAlign w:val="baseline"/>
        </w:rPr>
        <w:t> </w:t>
      </w:r>
      <w:hyperlink r:id="rId339">
        <w:r>
          <w:rPr>
            <w:color w:val="0561C1"/>
            <w:sz w:val="18"/>
            <w:u w:val="single" w:color="0561C1"/>
            <w:vertAlign w:val="baseline"/>
          </w:rPr>
          <w:t>https://doi.org/10.1111/jmwh.12962</w:t>
        </w:r>
      </w:hyperlink>
      <w:hyperlink r:id="rId339">
        <w:r>
          <w:rPr>
            <w:sz w:val="18"/>
            <w:u w:val="none"/>
            <w:vertAlign w:val="baseline"/>
          </w:rPr>
          <w:t>.</w:t>
        </w:r>
      </w:hyperlink>
      <w:r>
        <w:rPr>
          <w:spacing w:val="-3"/>
          <w:sz w:val="18"/>
          <w:u w:val="none"/>
          <w:vertAlign w:val="baseline"/>
        </w:rPr>
        <w:t> </w:t>
      </w:r>
      <w:r>
        <w:rPr>
          <w:sz w:val="18"/>
          <w:u w:val="none"/>
          <w:vertAlign w:val="superscript"/>
        </w:rPr>
        <w:t>22</w:t>
      </w:r>
      <w:r>
        <w:rPr>
          <w:spacing w:val="-14"/>
          <w:sz w:val="18"/>
          <w:u w:val="none"/>
          <w:vertAlign w:val="baseline"/>
        </w:rPr>
        <w:t> </w:t>
      </w:r>
      <w:r>
        <w:rPr>
          <w:sz w:val="18"/>
          <w:u w:val="none"/>
          <w:vertAlign w:val="baseline"/>
        </w:rPr>
        <w:t>“Contraception for Your Transgender Patients,” </w:t>
      </w:r>
      <w:r>
        <w:rPr>
          <w:i/>
          <w:sz w:val="18"/>
          <w:u w:val="none"/>
          <w:vertAlign w:val="baseline"/>
        </w:rPr>
        <w:t>Birth Control Pharmacist </w:t>
      </w:r>
      <w:r>
        <w:rPr>
          <w:sz w:val="18"/>
          <w:u w:val="none"/>
          <w:vertAlign w:val="baseline"/>
        </w:rPr>
        <w:t>(blog), April 24, 2020, </w:t>
      </w:r>
      <w:hyperlink r:id="rId340">
        <w:r>
          <w:rPr>
            <w:color w:val="0561C1"/>
            <w:spacing w:val="-2"/>
            <w:sz w:val="18"/>
            <w:u w:val="single" w:color="0561C1"/>
            <w:vertAlign w:val="baseline"/>
          </w:rPr>
          <w:t>https://birthcontrolpharmacist.com/2020/04/23/contraception-for-your-transgender-patients/</w:t>
        </w:r>
      </w:hyperlink>
      <w:hyperlink r:id="rId340">
        <w:r>
          <w:rPr>
            <w:spacing w:val="-2"/>
            <w:sz w:val="18"/>
            <w:u w:val="none"/>
            <w:vertAlign w:val="baseline"/>
          </w:rPr>
          <w:t>.</w:t>
        </w:r>
      </w:hyperlink>
    </w:p>
    <w:p>
      <w:pPr>
        <w:spacing w:before="0"/>
        <w:ind w:left="463" w:right="0" w:firstLine="0"/>
        <w:jc w:val="left"/>
        <w:rPr>
          <w:sz w:val="18"/>
        </w:rPr>
      </w:pPr>
      <w:bookmarkStart w:name="_bookmark216" w:id="406"/>
      <w:bookmarkEnd w:id="406"/>
      <w:r>
        <w:rPr/>
      </w:r>
      <w:r>
        <w:rPr>
          <w:sz w:val="18"/>
          <w:vertAlign w:val="superscript"/>
        </w:rPr>
        <w:t>23</w:t>
      </w:r>
      <w:r>
        <w:rPr>
          <w:spacing w:val="-13"/>
          <w:sz w:val="18"/>
          <w:vertAlign w:val="baseline"/>
        </w:rPr>
        <w:t> </w:t>
      </w:r>
      <w:r>
        <w:rPr>
          <w:spacing w:val="-2"/>
          <w:sz w:val="18"/>
          <w:vertAlign w:val="baseline"/>
        </w:rPr>
        <w:t>Ibid.</w:t>
      </w:r>
    </w:p>
    <w:p>
      <w:pPr>
        <w:spacing w:before="0"/>
        <w:ind w:left="463" w:right="0" w:firstLine="0"/>
        <w:jc w:val="left"/>
        <w:rPr>
          <w:sz w:val="18"/>
        </w:rPr>
      </w:pPr>
      <w:bookmarkStart w:name="_bookmark217" w:id="407"/>
      <w:bookmarkEnd w:id="407"/>
      <w:r>
        <w:rPr/>
      </w:r>
      <w:r>
        <w:rPr>
          <w:sz w:val="18"/>
          <w:vertAlign w:val="superscript"/>
        </w:rPr>
        <w:t>24</w:t>
      </w:r>
      <w:r>
        <w:rPr>
          <w:spacing w:val="-13"/>
          <w:sz w:val="18"/>
          <w:vertAlign w:val="baseline"/>
        </w:rPr>
        <w:t> </w:t>
      </w:r>
      <w:r>
        <w:rPr>
          <w:spacing w:val="-4"/>
          <w:sz w:val="18"/>
          <w:vertAlign w:val="baseline"/>
        </w:rPr>
        <w:t>Ibid</w:t>
      </w:r>
    </w:p>
    <w:p>
      <w:pPr>
        <w:spacing w:before="0"/>
        <w:ind w:left="463" w:right="0" w:firstLine="0"/>
        <w:jc w:val="left"/>
        <w:rPr>
          <w:sz w:val="18"/>
        </w:rPr>
      </w:pPr>
      <w:bookmarkStart w:name="_bookmark218" w:id="408"/>
      <w:bookmarkEnd w:id="408"/>
      <w:r>
        <w:rPr/>
      </w:r>
      <w:r>
        <w:rPr>
          <w:sz w:val="18"/>
          <w:vertAlign w:val="superscript"/>
        </w:rPr>
        <w:t>25</w:t>
      </w:r>
      <w:r>
        <w:rPr>
          <w:spacing w:val="-15"/>
          <w:sz w:val="18"/>
          <w:vertAlign w:val="baseline"/>
        </w:rPr>
        <w:t> </w:t>
      </w:r>
      <w:r>
        <w:rPr>
          <w:sz w:val="18"/>
          <w:vertAlign w:val="baseline"/>
        </w:rPr>
        <w:t>Danielle</w:t>
      </w:r>
      <w:r>
        <w:rPr>
          <w:spacing w:val="-6"/>
          <w:sz w:val="18"/>
          <w:vertAlign w:val="baseline"/>
        </w:rPr>
        <w:t> </w:t>
      </w:r>
      <w:r>
        <w:rPr>
          <w:sz w:val="18"/>
          <w:vertAlign w:val="baseline"/>
        </w:rPr>
        <w:t>Boudreau</w:t>
      </w:r>
      <w:r>
        <w:rPr>
          <w:spacing w:val="-3"/>
          <w:sz w:val="18"/>
          <w:vertAlign w:val="baseline"/>
        </w:rPr>
        <w:t> </w:t>
      </w:r>
      <w:r>
        <w:rPr>
          <w:sz w:val="18"/>
          <w:vertAlign w:val="baseline"/>
        </w:rPr>
        <w:t>and</w:t>
      </w:r>
      <w:r>
        <w:rPr>
          <w:spacing w:val="-3"/>
          <w:sz w:val="18"/>
          <w:vertAlign w:val="baseline"/>
        </w:rPr>
        <w:t> </w:t>
      </w:r>
      <w:r>
        <w:rPr>
          <w:sz w:val="18"/>
          <w:vertAlign w:val="baseline"/>
        </w:rPr>
        <w:t>Ronica</w:t>
      </w:r>
      <w:r>
        <w:rPr>
          <w:spacing w:val="-3"/>
          <w:sz w:val="18"/>
          <w:vertAlign w:val="baseline"/>
        </w:rPr>
        <w:t> </w:t>
      </w:r>
      <w:r>
        <w:rPr>
          <w:sz w:val="18"/>
          <w:vertAlign w:val="baseline"/>
        </w:rPr>
        <w:t>Mukerjee,</w:t>
      </w:r>
      <w:r>
        <w:rPr>
          <w:spacing w:val="-4"/>
          <w:sz w:val="18"/>
          <w:vertAlign w:val="baseline"/>
        </w:rPr>
        <w:t> </w:t>
      </w:r>
      <w:r>
        <w:rPr>
          <w:sz w:val="18"/>
          <w:vertAlign w:val="baseline"/>
        </w:rPr>
        <w:t>“Contraception</w:t>
      </w:r>
      <w:r>
        <w:rPr>
          <w:spacing w:val="-3"/>
          <w:sz w:val="18"/>
          <w:vertAlign w:val="baseline"/>
        </w:rPr>
        <w:t> </w:t>
      </w:r>
      <w:r>
        <w:rPr>
          <w:sz w:val="18"/>
          <w:vertAlign w:val="baseline"/>
        </w:rPr>
        <w:t>Care</w:t>
      </w:r>
      <w:r>
        <w:rPr>
          <w:spacing w:val="-3"/>
          <w:sz w:val="18"/>
          <w:vertAlign w:val="baseline"/>
        </w:rPr>
        <w:t> </w:t>
      </w:r>
      <w:r>
        <w:rPr>
          <w:sz w:val="18"/>
          <w:vertAlign w:val="baseline"/>
        </w:rPr>
        <w:t>for</w:t>
      </w:r>
      <w:r>
        <w:rPr>
          <w:spacing w:val="-4"/>
          <w:sz w:val="18"/>
          <w:vertAlign w:val="baseline"/>
        </w:rPr>
        <w:t> </w:t>
      </w:r>
      <w:r>
        <w:rPr>
          <w:sz w:val="18"/>
          <w:vertAlign w:val="baseline"/>
        </w:rPr>
        <w:t>Transmasculine</w:t>
      </w:r>
      <w:r>
        <w:rPr>
          <w:spacing w:val="-3"/>
          <w:sz w:val="18"/>
          <w:vertAlign w:val="baseline"/>
        </w:rPr>
        <w:t> </w:t>
      </w:r>
      <w:r>
        <w:rPr>
          <w:sz w:val="18"/>
          <w:vertAlign w:val="baseline"/>
        </w:rPr>
        <w:t>Individuals</w:t>
      </w:r>
      <w:r>
        <w:rPr>
          <w:spacing w:val="-3"/>
          <w:sz w:val="18"/>
          <w:vertAlign w:val="baseline"/>
        </w:rPr>
        <w:t> </w:t>
      </w:r>
      <w:r>
        <w:rPr>
          <w:sz w:val="18"/>
          <w:vertAlign w:val="baseline"/>
        </w:rPr>
        <w:t>on</w:t>
      </w:r>
      <w:r>
        <w:rPr>
          <w:spacing w:val="-3"/>
          <w:sz w:val="18"/>
          <w:vertAlign w:val="baseline"/>
        </w:rPr>
        <w:t> </w:t>
      </w:r>
      <w:r>
        <w:rPr>
          <w:sz w:val="18"/>
          <w:vertAlign w:val="baseline"/>
        </w:rPr>
        <w:t>Testosterone</w:t>
      </w:r>
      <w:r>
        <w:rPr>
          <w:spacing w:val="-4"/>
          <w:sz w:val="18"/>
          <w:vertAlign w:val="baseline"/>
        </w:rPr>
        <w:t> </w:t>
      </w:r>
      <w:r>
        <w:rPr>
          <w:spacing w:val="-2"/>
          <w:sz w:val="18"/>
          <w:vertAlign w:val="baseline"/>
        </w:rPr>
        <w:t>Therapy,”</w:t>
      </w:r>
    </w:p>
    <w:p>
      <w:pPr>
        <w:spacing w:before="0"/>
        <w:ind w:left="463" w:right="0" w:firstLine="0"/>
        <w:jc w:val="left"/>
        <w:rPr>
          <w:sz w:val="18"/>
        </w:rPr>
      </w:pPr>
      <w:bookmarkStart w:name="_bookmark219" w:id="409"/>
      <w:bookmarkEnd w:id="409"/>
      <w:r>
        <w:rPr/>
      </w:r>
      <w:r>
        <w:rPr>
          <w:sz w:val="18"/>
          <w:vertAlign w:val="superscript"/>
        </w:rPr>
        <w:t>26</w:t>
      </w:r>
      <w:r>
        <w:rPr>
          <w:spacing w:val="-15"/>
          <w:sz w:val="18"/>
          <w:vertAlign w:val="baseline"/>
        </w:rPr>
        <w:t> </w:t>
      </w:r>
      <w:r>
        <w:rPr>
          <w:sz w:val="18"/>
          <w:vertAlign w:val="baseline"/>
        </w:rPr>
        <w:t>Danielle</w:t>
      </w:r>
      <w:r>
        <w:rPr>
          <w:spacing w:val="-6"/>
          <w:sz w:val="18"/>
          <w:vertAlign w:val="baseline"/>
        </w:rPr>
        <w:t> </w:t>
      </w:r>
      <w:r>
        <w:rPr>
          <w:sz w:val="18"/>
          <w:vertAlign w:val="baseline"/>
        </w:rPr>
        <w:t>Boudreau</w:t>
      </w:r>
      <w:r>
        <w:rPr>
          <w:spacing w:val="-3"/>
          <w:sz w:val="18"/>
          <w:vertAlign w:val="baseline"/>
        </w:rPr>
        <w:t> </w:t>
      </w:r>
      <w:r>
        <w:rPr>
          <w:sz w:val="18"/>
          <w:vertAlign w:val="baseline"/>
        </w:rPr>
        <w:t>and</w:t>
      </w:r>
      <w:r>
        <w:rPr>
          <w:spacing w:val="-3"/>
          <w:sz w:val="18"/>
          <w:vertAlign w:val="baseline"/>
        </w:rPr>
        <w:t> </w:t>
      </w:r>
      <w:r>
        <w:rPr>
          <w:sz w:val="18"/>
          <w:vertAlign w:val="baseline"/>
        </w:rPr>
        <w:t>Ronica</w:t>
      </w:r>
      <w:r>
        <w:rPr>
          <w:spacing w:val="-3"/>
          <w:sz w:val="18"/>
          <w:vertAlign w:val="baseline"/>
        </w:rPr>
        <w:t> </w:t>
      </w:r>
      <w:r>
        <w:rPr>
          <w:sz w:val="18"/>
          <w:vertAlign w:val="baseline"/>
        </w:rPr>
        <w:t>Mukerjee,</w:t>
      </w:r>
      <w:r>
        <w:rPr>
          <w:spacing w:val="-4"/>
          <w:sz w:val="18"/>
          <w:vertAlign w:val="baseline"/>
        </w:rPr>
        <w:t> </w:t>
      </w:r>
      <w:r>
        <w:rPr>
          <w:sz w:val="18"/>
          <w:vertAlign w:val="baseline"/>
        </w:rPr>
        <w:t>“Contraception</w:t>
      </w:r>
      <w:r>
        <w:rPr>
          <w:spacing w:val="-3"/>
          <w:sz w:val="18"/>
          <w:vertAlign w:val="baseline"/>
        </w:rPr>
        <w:t> </w:t>
      </w:r>
      <w:r>
        <w:rPr>
          <w:sz w:val="18"/>
          <w:vertAlign w:val="baseline"/>
        </w:rPr>
        <w:t>Care</w:t>
      </w:r>
      <w:r>
        <w:rPr>
          <w:spacing w:val="-3"/>
          <w:sz w:val="18"/>
          <w:vertAlign w:val="baseline"/>
        </w:rPr>
        <w:t> </w:t>
      </w:r>
      <w:r>
        <w:rPr>
          <w:sz w:val="18"/>
          <w:vertAlign w:val="baseline"/>
        </w:rPr>
        <w:t>for</w:t>
      </w:r>
      <w:r>
        <w:rPr>
          <w:spacing w:val="-4"/>
          <w:sz w:val="18"/>
          <w:vertAlign w:val="baseline"/>
        </w:rPr>
        <w:t> </w:t>
      </w:r>
      <w:r>
        <w:rPr>
          <w:sz w:val="18"/>
          <w:vertAlign w:val="baseline"/>
        </w:rPr>
        <w:t>Transmasculine</w:t>
      </w:r>
      <w:r>
        <w:rPr>
          <w:spacing w:val="-3"/>
          <w:sz w:val="18"/>
          <w:vertAlign w:val="baseline"/>
        </w:rPr>
        <w:t> </w:t>
      </w:r>
      <w:r>
        <w:rPr>
          <w:sz w:val="18"/>
          <w:vertAlign w:val="baseline"/>
        </w:rPr>
        <w:t>Individuals</w:t>
      </w:r>
      <w:r>
        <w:rPr>
          <w:spacing w:val="-3"/>
          <w:sz w:val="18"/>
          <w:vertAlign w:val="baseline"/>
        </w:rPr>
        <w:t> </w:t>
      </w:r>
      <w:r>
        <w:rPr>
          <w:sz w:val="18"/>
          <w:vertAlign w:val="baseline"/>
        </w:rPr>
        <w:t>on</w:t>
      </w:r>
      <w:r>
        <w:rPr>
          <w:spacing w:val="-3"/>
          <w:sz w:val="18"/>
          <w:vertAlign w:val="baseline"/>
        </w:rPr>
        <w:t> </w:t>
      </w:r>
      <w:r>
        <w:rPr>
          <w:sz w:val="18"/>
          <w:vertAlign w:val="baseline"/>
        </w:rPr>
        <w:t>Testosterone</w:t>
      </w:r>
      <w:r>
        <w:rPr>
          <w:spacing w:val="-4"/>
          <w:sz w:val="18"/>
          <w:vertAlign w:val="baseline"/>
        </w:rPr>
        <w:t> </w:t>
      </w:r>
      <w:r>
        <w:rPr>
          <w:spacing w:val="-2"/>
          <w:sz w:val="18"/>
          <w:vertAlign w:val="baseline"/>
        </w:rPr>
        <w:t>Therapy,”</w:t>
      </w:r>
    </w:p>
    <w:p>
      <w:pPr>
        <w:spacing w:before="0"/>
        <w:ind w:left="463" w:right="261" w:hanging="1"/>
        <w:jc w:val="left"/>
        <w:rPr>
          <w:sz w:val="18"/>
        </w:rPr>
      </w:pPr>
      <w:bookmarkStart w:name="_bookmark220" w:id="410"/>
      <w:bookmarkEnd w:id="410"/>
      <w:r>
        <w:rPr/>
      </w:r>
      <w:r>
        <w:rPr>
          <w:sz w:val="18"/>
          <w:vertAlign w:val="superscript"/>
        </w:rPr>
        <w:t>27</w:t>
      </w:r>
      <w:r>
        <w:rPr>
          <w:spacing w:val="-13"/>
          <w:sz w:val="18"/>
          <w:vertAlign w:val="baseline"/>
        </w:rPr>
        <w:t> </w:t>
      </w:r>
      <w:r>
        <w:rPr>
          <w:sz w:val="18"/>
          <w:vertAlign w:val="baseline"/>
        </w:rPr>
        <w:t>Jamie</w:t>
      </w:r>
      <w:r>
        <w:rPr>
          <w:spacing w:val="-4"/>
          <w:sz w:val="18"/>
          <w:vertAlign w:val="baseline"/>
        </w:rPr>
        <w:t> </w:t>
      </w:r>
      <w:r>
        <w:rPr>
          <w:sz w:val="18"/>
          <w:vertAlign w:val="baseline"/>
        </w:rPr>
        <w:t>Mehringer</w:t>
      </w:r>
      <w:r>
        <w:rPr>
          <w:spacing w:val="-4"/>
          <w:sz w:val="18"/>
          <w:vertAlign w:val="baseline"/>
        </w:rPr>
        <w:t> </w:t>
      </w:r>
      <w:r>
        <w:rPr>
          <w:sz w:val="18"/>
          <w:vertAlign w:val="baseline"/>
        </w:rPr>
        <w:t>and</w:t>
      </w:r>
      <w:r>
        <w:rPr>
          <w:spacing w:val="-3"/>
          <w:sz w:val="18"/>
          <w:vertAlign w:val="baseline"/>
        </w:rPr>
        <w:t> </w:t>
      </w:r>
      <w:r>
        <w:rPr>
          <w:sz w:val="18"/>
          <w:vertAlign w:val="baseline"/>
        </w:rPr>
        <w:t>Nadia</w:t>
      </w:r>
      <w:r>
        <w:rPr>
          <w:spacing w:val="-3"/>
          <w:sz w:val="18"/>
          <w:vertAlign w:val="baseline"/>
        </w:rPr>
        <w:t> </w:t>
      </w:r>
      <w:r>
        <w:rPr>
          <w:sz w:val="18"/>
          <w:vertAlign w:val="baseline"/>
        </w:rPr>
        <w:t>L.</w:t>
      </w:r>
      <w:r>
        <w:rPr>
          <w:spacing w:val="-4"/>
          <w:sz w:val="18"/>
          <w:vertAlign w:val="baseline"/>
        </w:rPr>
        <w:t> </w:t>
      </w:r>
      <w:r>
        <w:rPr>
          <w:sz w:val="18"/>
          <w:vertAlign w:val="baseline"/>
        </w:rPr>
        <w:t>Dowshen,</w:t>
      </w:r>
      <w:r>
        <w:rPr>
          <w:spacing w:val="-4"/>
          <w:sz w:val="18"/>
          <w:vertAlign w:val="baseline"/>
        </w:rPr>
        <w:t> </w:t>
      </w:r>
      <w:r>
        <w:rPr>
          <w:sz w:val="18"/>
          <w:vertAlign w:val="baseline"/>
        </w:rPr>
        <w:t>“Sexual</w:t>
      </w:r>
      <w:r>
        <w:rPr>
          <w:spacing w:val="-4"/>
          <w:sz w:val="18"/>
          <w:vertAlign w:val="baseline"/>
        </w:rPr>
        <w:t> </w:t>
      </w:r>
      <w:r>
        <w:rPr>
          <w:sz w:val="18"/>
          <w:vertAlign w:val="baseline"/>
        </w:rPr>
        <w:t>and</w:t>
      </w:r>
      <w:r>
        <w:rPr>
          <w:spacing w:val="-3"/>
          <w:sz w:val="18"/>
          <w:vertAlign w:val="baseline"/>
        </w:rPr>
        <w:t> </w:t>
      </w:r>
      <w:r>
        <w:rPr>
          <w:sz w:val="18"/>
          <w:vertAlign w:val="baseline"/>
        </w:rPr>
        <w:t>Reproductive</w:t>
      </w:r>
      <w:r>
        <w:rPr>
          <w:spacing w:val="-3"/>
          <w:sz w:val="18"/>
          <w:vertAlign w:val="baseline"/>
        </w:rPr>
        <w:t> </w:t>
      </w:r>
      <w:r>
        <w:rPr>
          <w:sz w:val="18"/>
          <w:vertAlign w:val="baseline"/>
        </w:rPr>
        <w:t>Health</w:t>
      </w:r>
      <w:r>
        <w:rPr>
          <w:spacing w:val="-3"/>
          <w:sz w:val="18"/>
          <w:vertAlign w:val="baseline"/>
        </w:rPr>
        <w:t> </w:t>
      </w:r>
      <w:r>
        <w:rPr>
          <w:sz w:val="18"/>
          <w:vertAlign w:val="baseline"/>
        </w:rPr>
        <w:t>Considerations</w:t>
      </w:r>
      <w:r>
        <w:rPr>
          <w:spacing w:val="-3"/>
          <w:sz w:val="18"/>
          <w:vertAlign w:val="baseline"/>
        </w:rPr>
        <w:t> </w:t>
      </w:r>
      <w:r>
        <w:rPr>
          <w:sz w:val="18"/>
          <w:vertAlign w:val="baseline"/>
        </w:rPr>
        <w:t>among</w:t>
      </w:r>
      <w:r>
        <w:rPr>
          <w:spacing w:val="-3"/>
          <w:sz w:val="18"/>
          <w:vertAlign w:val="baseline"/>
        </w:rPr>
        <w:t> </w:t>
      </w:r>
      <w:r>
        <w:rPr>
          <w:sz w:val="18"/>
          <w:vertAlign w:val="baseline"/>
        </w:rPr>
        <w:t>Transgender</w:t>
      </w:r>
      <w:r>
        <w:rPr>
          <w:spacing w:val="-4"/>
          <w:sz w:val="18"/>
          <w:vertAlign w:val="baseline"/>
        </w:rPr>
        <w:t> </w:t>
      </w:r>
      <w:r>
        <w:rPr>
          <w:sz w:val="18"/>
          <w:vertAlign w:val="baseline"/>
        </w:rPr>
        <w:t>and</w:t>
      </w:r>
      <w:r>
        <w:rPr>
          <w:spacing w:val="-3"/>
          <w:sz w:val="18"/>
          <w:vertAlign w:val="baseline"/>
        </w:rPr>
        <w:t> </w:t>
      </w:r>
      <w:r>
        <w:rPr>
          <w:sz w:val="18"/>
          <w:vertAlign w:val="baseline"/>
        </w:rPr>
        <w:t>Gender- Expansive Youth,” </w:t>
      </w:r>
      <w:r>
        <w:rPr>
          <w:i/>
          <w:sz w:val="18"/>
          <w:vertAlign w:val="baseline"/>
        </w:rPr>
        <w:t>Current Problems in Pediatric and Adolescent Health Care </w:t>
      </w:r>
      <w:r>
        <w:rPr>
          <w:sz w:val="18"/>
          <w:vertAlign w:val="baseline"/>
        </w:rPr>
        <w:t>49, no. 9 (September 2019): 100684, </w:t>
      </w:r>
      <w:hyperlink r:id="rId338">
        <w:r>
          <w:rPr>
            <w:color w:val="0561C1"/>
            <w:spacing w:val="-2"/>
            <w:sz w:val="18"/>
            <w:u w:val="single" w:color="0561C1"/>
            <w:vertAlign w:val="baseline"/>
          </w:rPr>
          <w:t>https://doi.org/10.1016/j.cppeds.2019.100684</w:t>
        </w:r>
      </w:hyperlink>
      <w:hyperlink r:id="rId338">
        <w:r>
          <w:rPr>
            <w:spacing w:val="-2"/>
            <w:sz w:val="18"/>
            <w:u w:val="none"/>
            <w:vertAlign w:val="baseline"/>
          </w:rPr>
          <w:t>.</w:t>
        </w:r>
      </w:hyperlink>
    </w:p>
    <w:p>
      <w:pPr>
        <w:spacing w:line="219" w:lineRule="exact" w:before="0"/>
        <w:ind w:left="463" w:right="0" w:firstLine="0"/>
        <w:jc w:val="left"/>
        <w:rPr>
          <w:sz w:val="18"/>
        </w:rPr>
      </w:pPr>
      <w:bookmarkStart w:name="_bookmark221" w:id="411"/>
      <w:bookmarkEnd w:id="411"/>
      <w:r>
        <w:rPr/>
      </w:r>
      <w:r>
        <w:rPr>
          <w:spacing w:val="-2"/>
          <w:sz w:val="18"/>
          <w:vertAlign w:val="superscript"/>
        </w:rPr>
        <w:t>28</w:t>
      </w:r>
      <w:r>
        <w:rPr>
          <w:spacing w:val="-2"/>
          <w:sz w:val="18"/>
          <w:vertAlign w:val="baseline"/>
        </w:rPr>
        <w:t>Ibid.</w:t>
      </w:r>
    </w:p>
    <w:p>
      <w:pPr>
        <w:spacing w:before="0"/>
        <w:ind w:left="463" w:right="0" w:firstLine="0"/>
        <w:jc w:val="left"/>
        <w:rPr>
          <w:sz w:val="18"/>
        </w:rPr>
      </w:pPr>
      <w:bookmarkStart w:name="_bookmark222" w:id="412"/>
      <w:bookmarkEnd w:id="412"/>
      <w:r>
        <w:rPr/>
      </w:r>
      <w:r>
        <w:rPr>
          <w:sz w:val="18"/>
          <w:vertAlign w:val="superscript"/>
        </w:rPr>
        <w:t>29</w:t>
      </w:r>
      <w:r>
        <w:rPr>
          <w:spacing w:val="-13"/>
          <w:sz w:val="18"/>
          <w:vertAlign w:val="baseline"/>
        </w:rPr>
        <w:t> </w:t>
      </w:r>
      <w:r>
        <w:rPr>
          <w:spacing w:val="-2"/>
          <w:sz w:val="18"/>
          <w:vertAlign w:val="baseline"/>
        </w:rPr>
        <w:t>Ibid.</w:t>
      </w:r>
    </w:p>
    <w:p>
      <w:pPr>
        <w:spacing w:before="0"/>
        <w:ind w:left="463" w:right="261" w:hanging="1"/>
        <w:jc w:val="left"/>
        <w:rPr>
          <w:sz w:val="18"/>
        </w:rPr>
      </w:pPr>
      <w:bookmarkStart w:name="_bookmark223" w:id="413"/>
      <w:bookmarkEnd w:id="413"/>
      <w:r>
        <w:rPr/>
      </w:r>
      <w:r>
        <w:rPr>
          <w:sz w:val="18"/>
          <w:vertAlign w:val="superscript"/>
        </w:rPr>
        <w:t>30</w:t>
      </w:r>
      <w:r>
        <w:rPr>
          <w:spacing w:val="-13"/>
          <w:sz w:val="18"/>
          <w:vertAlign w:val="baseline"/>
        </w:rPr>
        <w:t> </w:t>
      </w:r>
      <w:r>
        <w:rPr>
          <w:sz w:val="18"/>
          <w:vertAlign w:val="baseline"/>
        </w:rPr>
        <w:t>Charlton,</w:t>
      </w:r>
      <w:r>
        <w:rPr>
          <w:spacing w:val="-4"/>
          <w:sz w:val="18"/>
          <w:vertAlign w:val="baseline"/>
        </w:rPr>
        <w:t> </w:t>
      </w:r>
      <w:r>
        <w:rPr>
          <w:sz w:val="18"/>
          <w:vertAlign w:val="baseline"/>
        </w:rPr>
        <w:t>Brittany</w:t>
      </w:r>
      <w:r>
        <w:rPr>
          <w:spacing w:val="-2"/>
          <w:sz w:val="18"/>
          <w:vertAlign w:val="baseline"/>
        </w:rPr>
        <w:t> </w:t>
      </w:r>
      <w:r>
        <w:rPr>
          <w:sz w:val="18"/>
          <w:vertAlign w:val="baseline"/>
        </w:rPr>
        <w:t>M.,</w:t>
      </w:r>
      <w:r>
        <w:rPr>
          <w:spacing w:val="-3"/>
          <w:sz w:val="18"/>
          <w:vertAlign w:val="baseline"/>
        </w:rPr>
        <w:t> </w:t>
      </w:r>
      <w:r>
        <w:rPr>
          <w:sz w:val="18"/>
          <w:vertAlign w:val="baseline"/>
        </w:rPr>
        <w:t>Bethany</w:t>
      </w:r>
      <w:r>
        <w:rPr>
          <w:spacing w:val="-3"/>
          <w:sz w:val="18"/>
          <w:vertAlign w:val="baseline"/>
        </w:rPr>
        <w:t> </w:t>
      </w:r>
      <w:r>
        <w:rPr>
          <w:sz w:val="18"/>
          <w:vertAlign w:val="baseline"/>
        </w:rPr>
        <w:t>G.</w:t>
      </w:r>
      <w:r>
        <w:rPr>
          <w:spacing w:val="-2"/>
          <w:sz w:val="18"/>
          <w:vertAlign w:val="baseline"/>
        </w:rPr>
        <w:t> </w:t>
      </w:r>
      <w:r>
        <w:rPr>
          <w:sz w:val="18"/>
          <w:vertAlign w:val="baseline"/>
        </w:rPr>
        <w:t>Everett,</w:t>
      </w:r>
      <w:r>
        <w:rPr>
          <w:spacing w:val="-3"/>
          <w:sz w:val="18"/>
          <w:vertAlign w:val="baseline"/>
        </w:rPr>
        <w:t> </w:t>
      </w:r>
      <w:r>
        <w:rPr>
          <w:sz w:val="18"/>
          <w:vertAlign w:val="baseline"/>
        </w:rPr>
        <w:t>Alexis</w:t>
      </w:r>
      <w:r>
        <w:rPr>
          <w:spacing w:val="-2"/>
          <w:sz w:val="18"/>
          <w:vertAlign w:val="baseline"/>
        </w:rPr>
        <w:t> </w:t>
      </w:r>
      <w:r>
        <w:rPr>
          <w:sz w:val="18"/>
          <w:vertAlign w:val="baseline"/>
        </w:rPr>
        <w:t>Light,</w:t>
      </w:r>
      <w:r>
        <w:rPr>
          <w:spacing w:val="-3"/>
          <w:sz w:val="18"/>
          <w:vertAlign w:val="baseline"/>
        </w:rPr>
        <w:t> </w:t>
      </w:r>
      <w:r>
        <w:rPr>
          <w:sz w:val="18"/>
          <w:vertAlign w:val="baseline"/>
        </w:rPr>
        <w:t>Rachel</w:t>
      </w:r>
      <w:r>
        <w:rPr>
          <w:spacing w:val="-3"/>
          <w:sz w:val="18"/>
          <w:vertAlign w:val="baseline"/>
        </w:rPr>
        <w:t> </w:t>
      </w:r>
      <w:r>
        <w:rPr>
          <w:sz w:val="18"/>
          <w:vertAlign w:val="baseline"/>
        </w:rPr>
        <w:t>K.</w:t>
      </w:r>
      <w:r>
        <w:rPr>
          <w:spacing w:val="-2"/>
          <w:sz w:val="18"/>
          <w:vertAlign w:val="baseline"/>
        </w:rPr>
        <w:t> </w:t>
      </w:r>
      <w:r>
        <w:rPr>
          <w:sz w:val="18"/>
          <w:vertAlign w:val="baseline"/>
        </w:rPr>
        <w:t>Jones,</w:t>
      </w:r>
      <w:r>
        <w:rPr>
          <w:spacing w:val="-3"/>
          <w:sz w:val="18"/>
          <w:vertAlign w:val="baseline"/>
        </w:rPr>
        <w:t> </w:t>
      </w:r>
      <w:r>
        <w:rPr>
          <w:sz w:val="18"/>
          <w:vertAlign w:val="baseline"/>
        </w:rPr>
        <w:t>Elizabeth</w:t>
      </w:r>
      <w:r>
        <w:rPr>
          <w:spacing w:val="-2"/>
          <w:sz w:val="18"/>
          <w:vertAlign w:val="baseline"/>
        </w:rPr>
        <w:t> </w:t>
      </w:r>
      <w:r>
        <w:rPr>
          <w:sz w:val="18"/>
          <w:vertAlign w:val="baseline"/>
        </w:rPr>
        <w:t>Janiak,</w:t>
      </w:r>
      <w:r>
        <w:rPr>
          <w:spacing w:val="-3"/>
          <w:sz w:val="18"/>
          <w:vertAlign w:val="baseline"/>
        </w:rPr>
        <w:t> </w:t>
      </w:r>
      <w:r>
        <w:rPr>
          <w:sz w:val="18"/>
          <w:vertAlign w:val="baseline"/>
        </w:rPr>
        <w:t>Audrey</w:t>
      </w:r>
      <w:r>
        <w:rPr>
          <w:spacing w:val="-2"/>
          <w:sz w:val="18"/>
          <w:vertAlign w:val="baseline"/>
        </w:rPr>
        <w:t> </w:t>
      </w:r>
      <w:r>
        <w:rPr>
          <w:sz w:val="18"/>
          <w:vertAlign w:val="baseline"/>
        </w:rPr>
        <w:t>J.</w:t>
      </w:r>
      <w:r>
        <w:rPr>
          <w:spacing w:val="-2"/>
          <w:sz w:val="18"/>
          <w:vertAlign w:val="baseline"/>
        </w:rPr>
        <w:t> </w:t>
      </w:r>
      <w:r>
        <w:rPr>
          <w:sz w:val="18"/>
          <w:vertAlign w:val="baseline"/>
        </w:rPr>
        <w:t>Gaskins,</w:t>
      </w:r>
      <w:r>
        <w:rPr>
          <w:spacing w:val="-3"/>
          <w:sz w:val="18"/>
          <w:vertAlign w:val="baseline"/>
        </w:rPr>
        <w:t> </w:t>
      </w:r>
      <w:r>
        <w:rPr>
          <w:sz w:val="18"/>
          <w:vertAlign w:val="baseline"/>
        </w:rPr>
        <w:t>Jorge</w:t>
      </w:r>
      <w:r>
        <w:rPr>
          <w:spacing w:val="-3"/>
          <w:sz w:val="18"/>
          <w:vertAlign w:val="baseline"/>
        </w:rPr>
        <w:t> </w:t>
      </w:r>
      <w:r>
        <w:rPr>
          <w:sz w:val="18"/>
          <w:vertAlign w:val="baseline"/>
        </w:rPr>
        <w:t>E.</w:t>
      </w:r>
      <w:r>
        <w:rPr>
          <w:spacing w:val="-2"/>
          <w:sz w:val="18"/>
          <w:vertAlign w:val="baseline"/>
        </w:rPr>
        <w:t> </w:t>
      </w:r>
      <w:r>
        <w:rPr>
          <w:sz w:val="18"/>
          <w:vertAlign w:val="baseline"/>
        </w:rPr>
        <w:t>Chavarro, Heidi Moseson, Vishnudas Sarda, and S. Bryn Austin. “Sexual Orientation Differences in Pregnancy and Abortion Across the Lifecourse.” </w:t>
      </w:r>
      <w:r>
        <w:rPr>
          <w:i/>
          <w:sz w:val="18"/>
          <w:vertAlign w:val="baseline"/>
        </w:rPr>
        <w:t>Women’s Health Issues </w:t>
      </w:r>
      <w:r>
        <w:rPr>
          <w:sz w:val="18"/>
          <w:vertAlign w:val="baseline"/>
        </w:rPr>
        <w:t>30, no. 2 (March 2020): 65–72. </w:t>
      </w:r>
      <w:hyperlink r:id="rId341">
        <w:r>
          <w:rPr>
            <w:color w:val="0561C1"/>
            <w:sz w:val="18"/>
            <w:u w:val="single" w:color="0561C1"/>
            <w:vertAlign w:val="baseline"/>
          </w:rPr>
          <w:t>https://doi.org/10.1016/j.whi.2019.10.007</w:t>
        </w:r>
      </w:hyperlink>
      <w:hyperlink r:id="rId341">
        <w:r>
          <w:rPr>
            <w:sz w:val="18"/>
            <w:u w:val="none"/>
            <w:vertAlign w:val="baseline"/>
          </w:rPr>
          <w:t>.</w:t>
        </w:r>
      </w:hyperlink>
    </w:p>
    <w:p>
      <w:pPr>
        <w:spacing w:before="0"/>
        <w:ind w:left="463" w:right="2255" w:hanging="1"/>
        <w:jc w:val="left"/>
        <w:rPr>
          <w:sz w:val="18"/>
        </w:rPr>
      </w:pPr>
      <w:bookmarkStart w:name="_bookmark224" w:id="414"/>
      <w:bookmarkEnd w:id="414"/>
      <w:r>
        <w:rPr/>
      </w:r>
      <w:r>
        <w:rPr>
          <w:sz w:val="18"/>
          <w:vertAlign w:val="superscript"/>
        </w:rPr>
        <w:t>31</w:t>
      </w:r>
      <w:r>
        <w:rPr>
          <w:spacing w:val="-13"/>
          <w:sz w:val="18"/>
          <w:vertAlign w:val="baseline"/>
        </w:rPr>
        <w:t> </w:t>
      </w:r>
      <w:r>
        <w:rPr>
          <w:sz w:val="18"/>
          <w:vertAlign w:val="baseline"/>
        </w:rPr>
        <w:t>“Annual</w:t>
      </w:r>
      <w:r>
        <w:rPr>
          <w:spacing w:val="-5"/>
          <w:sz w:val="18"/>
          <w:vertAlign w:val="baseline"/>
        </w:rPr>
        <w:t> </w:t>
      </w:r>
      <w:r>
        <w:rPr>
          <w:sz w:val="18"/>
          <w:vertAlign w:val="baseline"/>
        </w:rPr>
        <w:t>Recommendations</w:t>
      </w:r>
      <w:r>
        <w:rPr>
          <w:spacing w:val="-3"/>
          <w:sz w:val="18"/>
          <w:vertAlign w:val="baseline"/>
        </w:rPr>
        <w:t> </w:t>
      </w:r>
      <w:r>
        <w:rPr>
          <w:sz w:val="18"/>
          <w:vertAlign w:val="baseline"/>
        </w:rPr>
        <w:t>-</w:t>
      </w:r>
      <w:r>
        <w:rPr>
          <w:spacing w:val="-5"/>
          <w:sz w:val="18"/>
          <w:vertAlign w:val="baseline"/>
        </w:rPr>
        <w:t> </w:t>
      </w:r>
      <w:r>
        <w:rPr>
          <w:sz w:val="18"/>
          <w:vertAlign w:val="baseline"/>
        </w:rPr>
        <w:t>Commission</w:t>
      </w:r>
      <w:r>
        <w:rPr>
          <w:spacing w:val="-3"/>
          <w:sz w:val="18"/>
          <w:vertAlign w:val="baseline"/>
        </w:rPr>
        <w:t> </w:t>
      </w:r>
      <w:r>
        <w:rPr>
          <w:sz w:val="18"/>
          <w:vertAlign w:val="baseline"/>
        </w:rPr>
        <w:t>on</w:t>
      </w:r>
      <w:r>
        <w:rPr>
          <w:spacing w:val="-3"/>
          <w:sz w:val="18"/>
          <w:vertAlign w:val="baseline"/>
        </w:rPr>
        <w:t> </w:t>
      </w:r>
      <w:r>
        <w:rPr>
          <w:sz w:val="18"/>
          <w:vertAlign w:val="baseline"/>
        </w:rPr>
        <w:t>LGBTQ</w:t>
      </w:r>
      <w:r>
        <w:rPr>
          <w:spacing w:val="-3"/>
          <w:sz w:val="18"/>
          <w:vertAlign w:val="baseline"/>
        </w:rPr>
        <w:t> </w:t>
      </w:r>
      <w:r>
        <w:rPr>
          <w:sz w:val="18"/>
          <w:vertAlign w:val="baseline"/>
        </w:rPr>
        <w:t>Youth</w:t>
      </w:r>
      <w:r>
        <w:rPr>
          <w:spacing w:val="-3"/>
          <w:sz w:val="18"/>
          <w:vertAlign w:val="baseline"/>
        </w:rPr>
        <w:t> </w:t>
      </w:r>
      <w:r>
        <w:rPr>
          <w:sz w:val="18"/>
          <w:vertAlign w:val="baseline"/>
        </w:rPr>
        <w:t>|</w:t>
      </w:r>
      <w:r>
        <w:rPr>
          <w:spacing w:val="-5"/>
          <w:sz w:val="18"/>
          <w:vertAlign w:val="baseline"/>
        </w:rPr>
        <w:t> </w:t>
      </w:r>
      <w:r>
        <w:rPr>
          <w:sz w:val="18"/>
          <w:vertAlign w:val="baseline"/>
        </w:rPr>
        <w:t>Mass.Gov,”</w:t>
      </w:r>
      <w:r>
        <w:rPr>
          <w:spacing w:val="-3"/>
          <w:sz w:val="18"/>
          <w:vertAlign w:val="baseline"/>
        </w:rPr>
        <w:t> </w:t>
      </w:r>
      <w:r>
        <w:rPr>
          <w:sz w:val="18"/>
          <w:vertAlign w:val="baseline"/>
        </w:rPr>
        <w:t>accessed</w:t>
      </w:r>
      <w:r>
        <w:rPr>
          <w:spacing w:val="-3"/>
          <w:sz w:val="18"/>
          <w:vertAlign w:val="baseline"/>
        </w:rPr>
        <w:t> </w:t>
      </w:r>
      <w:r>
        <w:rPr>
          <w:sz w:val="18"/>
          <w:vertAlign w:val="baseline"/>
        </w:rPr>
        <w:t>December</w:t>
      </w:r>
      <w:r>
        <w:rPr>
          <w:spacing w:val="-5"/>
          <w:sz w:val="18"/>
          <w:vertAlign w:val="baseline"/>
        </w:rPr>
        <w:t> </w:t>
      </w:r>
      <w:r>
        <w:rPr>
          <w:sz w:val="18"/>
          <w:vertAlign w:val="baseline"/>
        </w:rPr>
        <w:t>4,</w:t>
      </w:r>
      <w:r>
        <w:rPr>
          <w:spacing w:val="-4"/>
          <w:sz w:val="18"/>
          <w:vertAlign w:val="baseline"/>
        </w:rPr>
        <w:t> </w:t>
      </w:r>
      <w:r>
        <w:rPr>
          <w:sz w:val="18"/>
          <w:vertAlign w:val="baseline"/>
        </w:rPr>
        <w:t>2022, </w:t>
      </w:r>
      <w:hyperlink r:id="rId342">
        <w:r>
          <w:rPr>
            <w:color w:val="0561C1"/>
            <w:spacing w:val="-2"/>
            <w:sz w:val="18"/>
            <w:u w:val="single" w:color="0561C1"/>
            <w:vertAlign w:val="baseline"/>
          </w:rPr>
          <w:t>https://www.mass.gov/lists/annual-recommendations-commission-on-lgbtq-youth</w:t>
        </w:r>
      </w:hyperlink>
      <w:hyperlink r:id="rId342">
        <w:r>
          <w:rPr>
            <w:spacing w:val="-2"/>
            <w:sz w:val="18"/>
            <w:u w:val="none"/>
            <w:vertAlign w:val="baseline"/>
          </w:rPr>
          <w:t>.</w:t>
        </w:r>
      </w:hyperlink>
    </w:p>
    <w:p>
      <w:pPr>
        <w:spacing w:before="0"/>
        <w:ind w:left="463" w:right="669" w:hanging="1"/>
        <w:jc w:val="left"/>
        <w:rPr>
          <w:sz w:val="18"/>
        </w:rPr>
      </w:pPr>
      <w:bookmarkStart w:name="_bookmark225" w:id="415"/>
      <w:bookmarkEnd w:id="415"/>
      <w:r>
        <w:rPr/>
      </w:r>
      <w:r>
        <w:rPr>
          <w:sz w:val="18"/>
          <w:vertAlign w:val="superscript"/>
        </w:rPr>
        <w:t>32</w:t>
      </w:r>
      <w:r>
        <w:rPr>
          <w:spacing w:val="-13"/>
          <w:sz w:val="18"/>
          <w:vertAlign w:val="baseline"/>
        </w:rPr>
        <w:t> </w:t>
      </w:r>
      <w:r>
        <w:rPr>
          <w:sz w:val="18"/>
          <w:vertAlign w:val="baseline"/>
        </w:rPr>
        <w:t>Everett,</w:t>
      </w:r>
      <w:r>
        <w:rPr>
          <w:spacing w:val="-4"/>
          <w:sz w:val="18"/>
          <w:vertAlign w:val="baseline"/>
        </w:rPr>
        <w:t> </w:t>
      </w:r>
      <w:r>
        <w:rPr>
          <w:sz w:val="18"/>
          <w:vertAlign w:val="baseline"/>
        </w:rPr>
        <w:t>Bethany</w:t>
      </w:r>
      <w:r>
        <w:rPr>
          <w:spacing w:val="-2"/>
          <w:sz w:val="18"/>
          <w:vertAlign w:val="baseline"/>
        </w:rPr>
        <w:t> </w:t>
      </w:r>
      <w:r>
        <w:rPr>
          <w:sz w:val="18"/>
          <w:vertAlign w:val="baseline"/>
        </w:rPr>
        <w:t>G.,</w:t>
      </w:r>
      <w:r>
        <w:rPr>
          <w:spacing w:val="-3"/>
          <w:sz w:val="18"/>
          <w:vertAlign w:val="baseline"/>
        </w:rPr>
        <w:t> </w:t>
      </w:r>
      <w:r>
        <w:rPr>
          <w:sz w:val="18"/>
          <w:vertAlign w:val="baseline"/>
        </w:rPr>
        <w:t>Michelle</w:t>
      </w:r>
      <w:r>
        <w:rPr>
          <w:spacing w:val="-2"/>
          <w:sz w:val="18"/>
          <w:vertAlign w:val="baseline"/>
        </w:rPr>
        <w:t> </w:t>
      </w:r>
      <w:r>
        <w:rPr>
          <w:sz w:val="18"/>
          <w:vertAlign w:val="baseline"/>
        </w:rPr>
        <w:t>A.</w:t>
      </w:r>
      <w:r>
        <w:rPr>
          <w:spacing w:val="-2"/>
          <w:sz w:val="18"/>
          <w:vertAlign w:val="baseline"/>
        </w:rPr>
        <w:t> </w:t>
      </w:r>
      <w:r>
        <w:rPr>
          <w:sz w:val="18"/>
          <w:vertAlign w:val="baseline"/>
        </w:rPr>
        <w:t>Kominiarek,</w:t>
      </w:r>
      <w:r>
        <w:rPr>
          <w:spacing w:val="-3"/>
          <w:sz w:val="18"/>
          <w:vertAlign w:val="baseline"/>
        </w:rPr>
        <w:t> </w:t>
      </w:r>
      <w:r>
        <w:rPr>
          <w:sz w:val="18"/>
          <w:vertAlign w:val="baseline"/>
        </w:rPr>
        <w:t>Stefanie</w:t>
      </w:r>
      <w:r>
        <w:rPr>
          <w:spacing w:val="-2"/>
          <w:sz w:val="18"/>
          <w:vertAlign w:val="baseline"/>
        </w:rPr>
        <w:t> </w:t>
      </w:r>
      <w:r>
        <w:rPr>
          <w:sz w:val="18"/>
          <w:vertAlign w:val="baseline"/>
        </w:rPr>
        <w:t>Mollborn,</w:t>
      </w:r>
      <w:r>
        <w:rPr>
          <w:spacing w:val="-3"/>
          <w:sz w:val="18"/>
          <w:vertAlign w:val="baseline"/>
        </w:rPr>
        <w:t> </w:t>
      </w:r>
      <w:r>
        <w:rPr>
          <w:sz w:val="18"/>
          <w:vertAlign w:val="baseline"/>
        </w:rPr>
        <w:t>Daniel</w:t>
      </w:r>
      <w:r>
        <w:rPr>
          <w:spacing w:val="-3"/>
          <w:sz w:val="18"/>
          <w:vertAlign w:val="baseline"/>
        </w:rPr>
        <w:t> </w:t>
      </w:r>
      <w:r>
        <w:rPr>
          <w:sz w:val="18"/>
          <w:vertAlign w:val="baseline"/>
        </w:rPr>
        <w:t>E.</w:t>
      </w:r>
      <w:r>
        <w:rPr>
          <w:spacing w:val="-2"/>
          <w:sz w:val="18"/>
          <w:vertAlign w:val="baseline"/>
        </w:rPr>
        <w:t> </w:t>
      </w:r>
      <w:r>
        <w:rPr>
          <w:sz w:val="18"/>
          <w:vertAlign w:val="baseline"/>
        </w:rPr>
        <w:t>Adkins,</w:t>
      </w:r>
      <w:r>
        <w:rPr>
          <w:spacing w:val="-3"/>
          <w:sz w:val="18"/>
          <w:vertAlign w:val="baseline"/>
        </w:rPr>
        <w:t> </w:t>
      </w:r>
      <w:r>
        <w:rPr>
          <w:sz w:val="18"/>
          <w:vertAlign w:val="baseline"/>
        </w:rPr>
        <w:t>and</w:t>
      </w:r>
      <w:r>
        <w:rPr>
          <w:spacing w:val="-2"/>
          <w:sz w:val="18"/>
          <w:vertAlign w:val="baseline"/>
        </w:rPr>
        <w:t> </w:t>
      </w:r>
      <w:r>
        <w:rPr>
          <w:sz w:val="18"/>
          <w:vertAlign w:val="baseline"/>
        </w:rPr>
        <w:t>Tonda</w:t>
      </w:r>
      <w:r>
        <w:rPr>
          <w:spacing w:val="-2"/>
          <w:sz w:val="18"/>
          <w:vertAlign w:val="baseline"/>
        </w:rPr>
        <w:t> </w:t>
      </w:r>
      <w:r>
        <w:rPr>
          <w:sz w:val="18"/>
          <w:vertAlign w:val="baseline"/>
        </w:rPr>
        <w:t>L.</w:t>
      </w:r>
      <w:r>
        <w:rPr>
          <w:spacing w:val="-3"/>
          <w:sz w:val="18"/>
          <w:vertAlign w:val="baseline"/>
        </w:rPr>
        <w:t> </w:t>
      </w:r>
      <w:r>
        <w:rPr>
          <w:sz w:val="18"/>
          <w:vertAlign w:val="baseline"/>
        </w:rPr>
        <w:t>Hughes.</w:t>
      </w:r>
      <w:r>
        <w:rPr>
          <w:spacing w:val="-2"/>
          <w:sz w:val="18"/>
          <w:vertAlign w:val="baseline"/>
        </w:rPr>
        <w:t> </w:t>
      </w:r>
      <w:r>
        <w:rPr>
          <w:sz w:val="18"/>
          <w:vertAlign w:val="baseline"/>
        </w:rPr>
        <w:t>“Sexual</w:t>
      </w:r>
      <w:r>
        <w:rPr>
          <w:spacing w:val="-4"/>
          <w:sz w:val="18"/>
          <w:vertAlign w:val="baseline"/>
        </w:rPr>
        <w:t> </w:t>
      </w:r>
      <w:r>
        <w:rPr>
          <w:sz w:val="18"/>
          <w:vertAlign w:val="baseline"/>
        </w:rPr>
        <w:t>Orientation Disparities in Pregnancy and Infant Outcomes.” </w:t>
      </w:r>
      <w:r>
        <w:rPr>
          <w:i/>
          <w:sz w:val="18"/>
          <w:vertAlign w:val="baseline"/>
        </w:rPr>
        <w:t>Maternal and Child Health Journal </w:t>
      </w:r>
      <w:r>
        <w:rPr>
          <w:sz w:val="18"/>
          <w:vertAlign w:val="baseline"/>
        </w:rPr>
        <w:t>23, no. 1 (January 2019): 72–81. </w:t>
      </w:r>
      <w:hyperlink r:id="rId343">
        <w:r>
          <w:rPr>
            <w:color w:val="0561C1"/>
            <w:spacing w:val="-2"/>
            <w:sz w:val="18"/>
            <w:u w:val="single" w:color="0561C1"/>
            <w:vertAlign w:val="baseline"/>
          </w:rPr>
          <w:t>https://doi.org/10.1007/s10995-018-2595-x</w:t>
        </w:r>
      </w:hyperlink>
      <w:hyperlink r:id="rId343">
        <w:r>
          <w:rPr>
            <w:spacing w:val="-2"/>
            <w:sz w:val="18"/>
            <w:u w:val="none"/>
            <w:vertAlign w:val="baseline"/>
          </w:rPr>
          <w:t>.</w:t>
        </w:r>
      </w:hyperlink>
    </w:p>
    <w:p>
      <w:pPr>
        <w:spacing w:before="0"/>
        <w:ind w:left="463" w:right="261" w:hanging="1"/>
        <w:jc w:val="left"/>
        <w:rPr>
          <w:sz w:val="18"/>
        </w:rPr>
      </w:pPr>
      <w:bookmarkStart w:name="_bookmark226" w:id="416"/>
      <w:bookmarkEnd w:id="416"/>
      <w:r>
        <w:rPr/>
      </w:r>
      <w:r>
        <w:rPr>
          <w:sz w:val="18"/>
          <w:vertAlign w:val="superscript"/>
        </w:rPr>
        <w:t>33</w:t>
      </w:r>
      <w:r>
        <w:rPr>
          <w:spacing w:val="-13"/>
          <w:sz w:val="18"/>
          <w:vertAlign w:val="baseline"/>
        </w:rPr>
        <w:t> </w:t>
      </w:r>
      <w:r>
        <w:rPr>
          <w:sz w:val="18"/>
          <w:vertAlign w:val="baseline"/>
        </w:rPr>
        <w:t>Bethany</w:t>
      </w:r>
      <w:r>
        <w:rPr>
          <w:spacing w:val="-4"/>
          <w:sz w:val="18"/>
          <w:vertAlign w:val="baseline"/>
        </w:rPr>
        <w:t> </w:t>
      </w:r>
      <w:r>
        <w:rPr>
          <w:sz w:val="18"/>
          <w:vertAlign w:val="baseline"/>
        </w:rPr>
        <w:t>G.</w:t>
      </w:r>
      <w:r>
        <w:rPr>
          <w:spacing w:val="-2"/>
          <w:sz w:val="18"/>
          <w:vertAlign w:val="baseline"/>
        </w:rPr>
        <w:t> </w:t>
      </w:r>
      <w:r>
        <w:rPr>
          <w:sz w:val="18"/>
          <w:vertAlign w:val="baseline"/>
        </w:rPr>
        <w:t>Everett</w:t>
      </w:r>
      <w:r>
        <w:rPr>
          <w:spacing w:val="-3"/>
          <w:sz w:val="18"/>
          <w:vertAlign w:val="baseline"/>
        </w:rPr>
        <w:t> </w:t>
      </w:r>
      <w:r>
        <w:rPr>
          <w:sz w:val="18"/>
          <w:vertAlign w:val="baseline"/>
        </w:rPr>
        <w:t>et</w:t>
      </w:r>
      <w:r>
        <w:rPr>
          <w:spacing w:val="-3"/>
          <w:sz w:val="18"/>
          <w:vertAlign w:val="baseline"/>
        </w:rPr>
        <w:t> </w:t>
      </w:r>
      <w:r>
        <w:rPr>
          <w:sz w:val="18"/>
          <w:vertAlign w:val="baseline"/>
        </w:rPr>
        <w:t>al.,</w:t>
      </w:r>
      <w:r>
        <w:rPr>
          <w:spacing w:val="-3"/>
          <w:sz w:val="18"/>
          <w:vertAlign w:val="baseline"/>
        </w:rPr>
        <w:t> </w:t>
      </w:r>
      <w:r>
        <w:rPr>
          <w:sz w:val="18"/>
          <w:vertAlign w:val="baseline"/>
        </w:rPr>
        <w:t>“Sexual</w:t>
      </w:r>
      <w:r>
        <w:rPr>
          <w:spacing w:val="-3"/>
          <w:sz w:val="18"/>
          <w:vertAlign w:val="baseline"/>
        </w:rPr>
        <w:t> </w:t>
      </w:r>
      <w:r>
        <w:rPr>
          <w:sz w:val="18"/>
          <w:vertAlign w:val="baseline"/>
        </w:rPr>
        <w:t>Identity</w:t>
      </w:r>
      <w:r>
        <w:rPr>
          <w:spacing w:val="-2"/>
          <w:sz w:val="18"/>
          <w:vertAlign w:val="baseline"/>
        </w:rPr>
        <w:t> </w:t>
      </w:r>
      <w:r>
        <w:rPr>
          <w:sz w:val="18"/>
          <w:vertAlign w:val="baseline"/>
        </w:rPr>
        <w:t>and</w:t>
      </w:r>
      <w:r>
        <w:rPr>
          <w:spacing w:val="-3"/>
          <w:sz w:val="18"/>
          <w:vertAlign w:val="baseline"/>
        </w:rPr>
        <w:t> </w:t>
      </w:r>
      <w:r>
        <w:rPr>
          <w:sz w:val="18"/>
          <w:vertAlign w:val="baseline"/>
        </w:rPr>
        <w:t>Birth</w:t>
      </w:r>
      <w:r>
        <w:rPr>
          <w:spacing w:val="-2"/>
          <w:sz w:val="18"/>
          <w:vertAlign w:val="baseline"/>
        </w:rPr>
        <w:t> </w:t>
      </w:r>
      <w:r>
        <w:rPr>
          <w:sz w:val="18"/>
          <w:vertAlign w:val="baseline"/>
        </w:rPr>
        <w:t>Outcomes:</w:t>
      </w:r>
      <w:r>
        <w:rPr>
          <w:spacing w:val="-2"/>
          <w:sz w:val="18"/>
          <w:vertAlign w:val="baseline"/>
        </w:rPr>
        <w:t> </w:t>
      </w:r>
      <w:r>
        <w:rPr>
          <w:sz w:val="18"/>
          <w:vertAlign w:val="baseline"/>
        </w:rPr>
        <w:t>A</w:t>
      </w:r>
      <w:r>
        <w:rPr>
          <w:spacing w:val="-2"/>
          <w:sz w:val="18"/>
          <w:vertAlign w:val="baseline"/>
        </w:rPr>
        <w:t> </w:t>
      </w:r>
      <w:r>
        <w:rPr>
          <w:sz w:val="18"/>
          <w:vertAlign w:val="baseline"/>
        </w:rPr>
        <w:t>Focus</w:t>
      </w:r>
      <w:r>
        <w:rPr>
          <w:spacing w:val="-2"/>
          <w:sz w:val="18"/>
          <w:vertAlign w:val="baseline"/>
        </w:rPr>
        <w:t> </w:t>
      </w:r>
      <w:r>
        <w:rPr>
          <w:sz w:val="18"/>
          <w:vertAlign w:val="baseline"/>
        </w:rPr>
        <w:t>on</w:t>
      </w:r>
      <w:r>
        <w:rPr>
          <w:spacing w:val="-2"/>
          <w:sz w:val="18"/>
          <w:vertAlign w:val="baseline"/>
        </w:rPr>
        <w:t> </w:t>
      </w:r>
      <w:r>
        <w:rPr>
          <w:sz w:val="18"/>
          <w:vertAlign w:val="baseline"/>
        </w:rPr>
        <w:t>the</w:t>
      </w:r>
      <w:r>
        <w:rPr>
          <w:spacing w:val="-3"/>
          <w:sz w:val="18"/>
          <w:vertAlign w:val="baseline"/>
        </w:rPr>
        <w:t> </w:t>
      </w:r>
      <w:r>
        <w:rPr>
          <w:sz w:val="18"/>
          <w:vertAlign w:val="baseline"/>
        </w:rPr>
        <w:t>Moderating</w:t>
      </w:r>
      <w:r>
        <w:rPr>
          <w:spacing w:val="-2"/>
          <w:sz w:val="18"/>
          <w:vertAlign w:val="baseline"/>
        </w:rPr>
        <w:t> </w:t>
      </w:r>
      <w:r>
        <w:rPr>
          <w:sz w:val="18"/>
          <w:vertAlign w:val="baseline"/>
        </w:rPr>
        <w:t>Role</w:t>
      </w:r>
      <w:r>
        <w:rPr>
          <w:spacing w:val="-2"/>
          <w:sz w:val="18"/>
          <w:vertAlign w:val="baseline"/>
        </w:rPr>
        <w:t> </w:t>
      </w:r>
      <w:r>
        <w:rPr>
          <w:sz w:val="18"/>
          <w:vertAlign w:val="baseline"/>
        </w:rPr>
        <w:t>of</w:t>
      </w:r>
      <w:r>
        <w:rPr>
          <w:spacing w:val="-2"/>
          <w:sz w:val="18"/>
          <w:vertAlign w:val="baseline"/>
        </w:rPr>
        <w:t> </w:t>
      </w:r>
      <w:r>
        <w:rPr>
          <w:sz w:val="18"/>
          <w:vertAlign w:val="baseline"/>
        </w:rPr>
        <w:t>Race-Ethnicity,”</w:t>
      </w:r>
      <w:r>
        <w:rPr>
          <w:spacing w:val="-2"/>
          <w:sz w:val="18"/>
          <w:vertAlign w:val="baseline"/>
        </w:rPr>
        <w:t> </w:t>
      </w:r>
      <w:r>
        <w:rPr>
          <w:sz w:val="18"/>
          <w:vertAlign w:val="baseline"/>
        </w:rPr>
        <w:t>Journal</w:t>
      </w:r>
      <w:r>
        <w:rPr>
          <w:spacing w:val="-3"/>
          <w:sz w:val="18"/>
          <w:vertAlign w:val="baseline"/>
        </w:rPr>
        <w:t> </w:t>
      </w:r>
      <w:r>
        <w:rPr>
          <w:sz w:val="18"/>
          <w:vertAlign w:val="baseline"/>
        </w:rPr>
        <w:t>of Health and Social Behavior 62, no. 2 (June 2021): 183–201, </w:t>
      </w:r>
      <w:hyperlink r:id="rId344">
        <w:r>
          <w:rPr>
            <w:color w:val="0561C1"/>
            <w:sz w:val="18"/>
            <w:u w:val="single" w:color="0561C1"/>
            <w:vertAlign w:val="baseline"/>
          </w:rPr>
          <w:t>https://doi.org/10.1177/0022146521997811</w:t>
        </w:r>
      </w:hyperlink>
      <w:hyperlink r:id="rId344">
        <w:r>
          <w:rPr>
            <w:sz w:val="18"/>
            <w:u w:val="none"/>
            <w:vertAlign w:val="baseline"/>
          </w:rPr>
          <w:t>.</w:t>
        </w:r>
      </w:hyperlink>
    </w:p>
    <w:p>
      <w:pPr>
        <w:spacing w:before="0"/>
        <w:ind w:left="463" w:right="391" w:hanging="1"/>
        <w:jc w:val="left"/>
        <w:rPr>
          <w:sz w:val="18"/>
        </w:rPr>
      </w:pPr>
      <w:bookmarkStart w:name="_bookmark227" w:id="417"/>
      <w:bookmarkEnd w:id="417"/>
      <w:r>
        <w:rPr/>
      </w:r>
      <w:r>
        <w:rPr>
          <w:sz w:val="18"/>
          <w:vertAlign w:val="superscript"/>
        </w:rPr>
        <w:t>34</w:t>
      </w:r>
      <w:r>
        <w:rPr>
          <w:spacing w:val="-13"/>
          <w:sz w:val="18"/>
          <w:vertAlign w:val="baseline"/>
        </w:rPr>
        <w:t> </w:t>
      </w:r>
      <w:r>
        <w:rPr>
          <w:sz w:val="18"/>
          <w:vertAlign w:val="baseline"/>
        </w:rPr>
        <w:t>Sajal</w:t>
      </w:r>
      <w:r>
        <w:rPr>
          <w:spacing w:val="-4"/>
          <w:sz w:val="18"/>
          <w:vertAlign w:val="baseline"/>
        </w:rPr>
        <w:t> </w:t>
      </w:r>
      <w:r>
        <w:rPr>
          <w:sz w:val="18"/>
          <w:vertAlign w:val="baseline"/>
        </w:rPr>
        <w:t>Patel</w:t>
      </w:r>
      <w:r>
        <w:rPr>
          <w:spacing w:val="-3"/>
          <w:sz w:val="18"/>
          <w:vertAlign w:val="baseline"/>
        </w:rPr>
        <w:t> </w:t>
      </w:r>
      <w:r>
        <w:rPr>
          <w:sz w:val="18"/>
          <w:vertAlign w:val="baseline"/>
        </w:rPr>
        <w:t>and</w:t>
      </w:r>
      <w:r>
        <w:rPr>
          <w:spacing w:val="-3"/>
          <w:sz w:val="18"/>
          <w:vertAlign w:val="baseline"/>
        </w:rPr>
        <w:t> </w:t>
      </w:r>
      <w:r>
        <w:rPr>
          <w:sz w:val="18"/>
          <w:vertAlign w:val="baseline"/>
        </w:rPr>
        <w:t>Lori</w:t>
      </w:r>
      <w:r>
        <w:rPr>
          <w:spacing w:val="-3"/>
          <w:sz w:val="18"/>
          <w:vertAlign w:val="baseline"/>
        </w:rPr>
        <w:t> </w:t>
      </w:r>
      <w:r>
        <w:rPr>
          <w:sz w:val="18"/>
          <w:vertAlign w:val="baseline"/>
        </w:rPr>
        <w:t>B.</w:t>
      </w:r>
      <w:r>
        <w:rPr>
          <w:spacing w:val="-2"/>
          <w:sz w:val="18"/>
          <w:vertAlign w:val="baseline"/>
        </w:rPr>
        <w:t> </w:t>
      </w:r>
      <w:r>
        <w:rPr>
          <w:sz w:val="18"/>
          <w:vertAlign w:val="baseline"/>
        </w:rPr>
        <w:t>Sweeney,</w:t>
      </w:r>
      <w:r>
        <w:rPr>
          <w:spacing w:val="-3"/>
          <w:sz w:val="18"/>
          <w:vertAlign w:val="baseline"/>
        </w:rPr>
        <w:t> </w:t>
      </w:r>
      <w:r>
        <w:rPr>
          <w:sz w:val="18"/>
          <w:vertAlign w:val="baseline"/>
        </w:rPr>
        <w:t>“Maternal</w:t>
      </w:r>
      <w:r>
        <w:rPr>
          <w:spacing w:val="-3"/>
          <w:sz w:val="18"/>
          <w:vertAlign w:val="baseline"/>
        </w:rPr>
        <w:t> </w:t>
      </w:r>
      <w:r>
        <w:rPr>
          <w:sz w:val="18"/>
          <w:vertAlign w:val="baseline"/>
        </w:rPr>
        <w:t>Health</w:t>
      </w:r>
      <w:r>
        <w:rPr>
          <w:spacing w:val="-2"/>
          <w:sz w:val="18"/>
          <w:vertAlign w:val="baseline"/>
        </w:rPr>
        <w:t> </w:t>
      </w:r>
      <w:r>
        <w:rPr>
          <w:sz w:val="18"/>
          <w:vertAlign w:val="baseline"/>
        </w:rPr>
        <w:t>in</w:t>
      </w:r>
      <w:r>
        <w:rPr>
          <w:spacing w:val="-2"/>
          <w:sz w:val="18"/>
          <w:vertAlign w:val="baseline"/>
        </w:rPr>
        <w:t> </w:t>
      </w:r>
      <w:r>
        <w:rPr>
          <w:sz w:val="18"/>
          <w:vertAlign w:val="baseline"/>
        </w:rPr>
        <w:t>the</w:t>
      </w:r>
      <w:r>
        <w:rPr>
          <w:spacing w:val="-2"/>
          <w:sz w:val="18"/>
          <w:vertAlign w:val="baseline"/>
        </w:rPr>
        <w:t> </w:t>
      </w:r>
      <w:r>
        <w:rPr>
          <w:sz w:val="18"/>
          <w:vertAlign w:val="baseline"/>
        </w:rPr>
        <w:t>Transgender</w:t>
      </w:r>
      <w:r>
        <w:rPr>
          <w:spacing w:val="-3"/>
          <w:sz w:val="18"/>
          <w:vertAlign w:val="baseline"/>
        </w:rPr>
        <w:t> </w:t>
      </w:r>
      <w:r>
        <w:rPr>
          <w:sz w:val="18"/>
          <w:vertAlign w:val="baseline"/>
        </w:rPr>
        <w:t>Population,”</w:t>
      </w:r>
      <w:r>
        <w:rPr>
          <w:spacing w:val="-2"/>
          <w:sz w:val="18"/>
          <w:vertAlign w:val="baseline"/>
        </w:rPr>
        <w:t> </w:t>
      </w:r>
      <w:r>
        <w:rPr>
          <w:i/>
          <w:sz w:val="18"/>
          <w:vertAlign w:val="baseline"/>
        </w:rPr>
        <w:t>Journal</w:t>
      </w:r>
      <w:r>
        <w:rPr>
          <w:i/>
          <w:spacing w:val="-3"/>
          <w:sz w:val="18"/>
          <w:vertAlign w:val="baseline"/>
        </w:rPr>
        <w:t> </w:t>
      </w:r>
      <w:r>
        <w:rPr>
          <w:i/>
          <w:sz w:val="18"/>
          <w:vertAlign w:val="baseline"/>
        </w:rPr>
        <w:t>of</w:t>
      </w:r>
      <w:r>
        <w:rPr>
          <w:i/>
          <w:spacing w:val="-2"/>
          <w:sz w:val="18"/>
          <w:vertAlign w:val="baseline"/>
        </w:rPr>
        <w:t> </w:t>
      </w:r>
      <w:r>
        <w:rPr>
          <w:i/>
          <w:sz w:val="18"/>
          <w:vertAlign w:val="baseline"/>
        </w:rPr>
        <w:t>Women’s</w:t>
      </w:r>
      <w:r>
        <w:rPr>
          <w:i/>
          <w:spacing w:val="-3"/>
          <w:sz w:val="18"/>
          <w:vertAlign w:val="baseline"/>
        </w:rPr>
        <w:t> </w:t>
      </w:r>
      <w:r>
        <w:rPr>
          <w:i/>
          <w:sz w:val="18"/>
          <w:vertAlign w:val="baseline"/>
        </w:rPr>
        <w:t>Health</w:t>
      </w:r>
      <w:r>
        <w:rPr>
          <w:i/>
          <w:spacing w:val="-3"/>
          <w:sz w:val="18"/>
          <w:vertAlign w:val="baseline"/>
        </w:rPr>
        <w:t> </w:t>
      </w:r>
      <w:r>
        <w:rPr>
          <w:sz w:val="18"/>
          <w:vertAlign w:val="baseline"/>
        </w:rPr>
        <w:t>30,</w:t>
      </w:r>
      <w:r>
        <w:rPr>
          <w:spacing w:val="-3"/>
          <w:sz w:val="18"/>
          <w:vertAlign w:val="baseline"/>
        </w:rPr>
        <w:t> </w:t>
      </w:r>
      <w:r>
        <w:rPr>
          <w:sz w:val="18"/>
          <w:vertAlign w:val="baseline"/>
        </w:rPr>
        <w:t>no.</w:t>
      </w:r>
      <w:r>
        <w:rPr>
          <w:spacing w:val="-2"/>
          <w:sz w:val="18"/>
          <w:vertAlign w:val="baseline"/>
        </w:rPr>
        <w:t> </w:t>
      </w:r>
      <w:r>
        <w:rPr>
          <w:sz w:val="18"/>
          <w:vertAlign w:val="baseline"/>
        </w:rPr>
        <w:t>2 (February 2021): 253–59, </w:t>
      </w:r>
      <w:hyperlink r:id="rId345">
        <w:r>
          <w:rPr>
            <w:color w:val="0561C1"/>
            <w:sz w:val="18"/>
            <w:u w:val="single" w:color="0561C1"/>
            <w:vertAlign w:val="baseline"/>
          </w:rPr>
          <w:t>https://doi.org/10.1089/jwh.2020.8880</w:t>
        </w:r>
      </w:hyperlink>
      <w:hyperlink r:id="rId345">
        <w:r>
          <w:rPr>
            <w:sz w:val="18"/>
            <w:u w:val="none"/>
            <w:vertAlign w:val="baseline"/>
          </w:rPr>
          <w:t>.</w:t>
        </w:r>
      </w:hyperlink>
    </w:p>
    <w:p>
      <w:pPr>
        <w:spacing w:before="0"/>
        <w:ind w:left="463" w:right="1178" w:hanging="1"/>
        <w:jc w:val="left"/>
        <w:rPr>
          <w:sz w:val="18"/>
        </w:rPr>
      </w:pPr>
      <w:bookmarkStart w:name="_bookmark228" w:id="418"/>
      <w:bookmarkEnd w:id="418"/>
      <w:r>
        <w:rPr/>
      </w:r>
      <w:r>
        <w:rPr>
          <w:sz w:val="18"/>
          <w:vertAlign w:val="superscript"/>
        </w:rPr>
        <w:t>35</w:t>
      </w:r>
      <w:r>
        <w:rPr>
          <w:spacing w:val="-13"/>
          <w:sz w:val="18"/>
          <w:vertAlign w:val="baseline"/>
        </w:rPr>
        <w:t> </w:t>
      </w:r>
      <w:r>
        <w:rPr>
          <w:sz w:val="18"/>
          <w:vertAlign w:val="baseline"/>
        </w:rPr>
        <w:t>“Pregnant</w:t>
      </w:r>
      <w:r>
        <w:rPr>
          <w:spacing w:val="-4"/>
          <w:sz w:val="18"/>
          <w:vertAlign w:val="baseline"/>
        </w:rPr>
        <w:t> </w:t>
      </w:r>
      <w:r>
        <w:rPr>
          <w:sz w:val="18"/>
          <w:vertAlign w:val="baseline"/>
        </w:rPr>
        <w:t>Transgender</w:t>
      </w:r>
      <w:r>
        <w:rPr>
          <w:spacing w:val="-3"/>
          <w:sz w:val="18"/>
          <w:vertAlign w:val="baseline"/>
        </w:rPr>
        <w:t> </w:t>
      </w:r>
      <w:r>
        <w:rPr>
          <w:sz w:val="18"/>
          <w:vertAlign w:val="baseline"/>
        </w:rPr>
        <w:t>Men</w:t>
      </w:r>
      <w:r>
        <w:rPr>
          <w:spacing w:val="-2"/>
          <w:sz w:val="18"/>
          <w:vertAlign w:val="baseline"/>
        </w:rPr>
        <w:t> </w:t>
      </w:r>
      <w:r>
        <w:rPr>
          <w:sz w:val="18"/>
          <w:vertAlign w:val="baseline"/>
        </w:rPr>
        <w:t>at</w:t>
      </w:r>
      <w:r>
        <w:rPr>
          <w:spacing w:val="-3"/>
          <w:sz w:val="18"/>
          <w:vertAlign w:val="baseline"/>
        </w:rPr>
        <w:t> </w:t>
      </w:r>
      <w:r>
        <w:rPr>
          <w:sz w:val="18"/>
          <w:vertAlign w:val="baseline"/>
        </w:rPr>
        <w:t>Risk</w:t>
      </w:r>
      <w:r>
        <w:rPr>
          <w:spacing w:val="-3"/>
          <w:sz w:val="18"/>
          <w:vertAlign w:val="baseline"/>
        </w:rPr>
        <w:t> </w:t>
      </w:r>
      <w:r>
        <w:rPr>
          <w:sz w:val="18"/>
          <w:vertAlign w:val="baseline"/>
        </w:rPr>
        <w:t>for</w:t>
      </w:r>
      <w:r>
        <w:rPr>
          <w:spacing w:val="-3"/>
          <w:sz w:val="18"/>
          <w:vertAlign w:val="baseline"/>
        </w:rPr>
        <w:t> </w:t>
      </w:r>
      <w:r>
        <w:rPr>
          <w:sz w:val="18"/>
          <w:vertAlign w:val="baseline"/>
        </w:rPr>
        <w:t>Depression</w:t>
      </w:r>
      <w:r>
        <w:rPr>
          <w:spacing w:val="-2"/>
          <w:sz w:val="18"/>
          <w:vertAlign w:val="baseline"/>
        </w:rPr>
        <w:t> </w:t>
      </w:r>
      <w:r>
        <w:rPr>
          <w:sz w:val="18"/>
          <w:vertAlign w:val="baseline"/>
        </w:rPr>
        <w:t>and</w:t>
      </w:r>
      <w:r>
        <w:rPr>
          <w:spacing w:val="-2"/>
          <w:sz w:val="18"/>
          <w:vertAlign w:val="baseline"/>
        </w:rPr>
        <w:t> </w:t>
      </w:r>
      <w:r>
        <w:rPr>
          <w:sz w:val="18"/>
          <w:vertAlign w:val="baseline"/>
        </w:rPr>
        <w:t>Lack</w:t>
      </w:r>
      <w:r>
        <w:rPr>
          <w:spacing w:val="-3"/>
          <w:sz w:val="18"/>
          <w:vertAlign w:val="baseline"/>
        </w:rPr>
        <w:t> </w:t>
      </w:r>
      <w:r>
        <w:rPr>
          <w:sz w:val="18"/>
          <w:vertAlign w:val="baseline"/>
        </w:rPr>
        <w:t>of</w:t>
      </w:r>
      <w:r>
        <w:rPr>
          <w:spacing w:val="-3"/>
          <w:sz w:val="18"/>
          <w:vertAlign w:val="baseline"/>
        </w:rPr>
        <w:t> </w:t>
      </w:r>
      <w:r>
        <w:rPr>
          <w:sz w:val="18"/>
          <w:vertAlign w:val="baseline"/>
        </w:rPr>
        <w:t>Care,</w:t>
      </w:r>
      <w:r>
        <w:rPr>
          <w:spacing w:val="-3"/>
          <w:sz w:val="18"/>
          <w:vertAlign w:val="baseline"/>
        </w:rPr>
        <w:t> </w:t>
      </w:r>
      <w:r>
        <w:rPr>
          <w:sz w:val="18"/>
          <w:vertAlign w:val="baseline"/>
        </w:rPr>
        <w:t>Rutgers</w:t>
      </w:r>
      <w:r>
        <w:rPr>
          <w:spacing w:val="-2"/>
          <w:sz w:val="18"/>
          <w:vertAlign w:val="baseline"/>
        </w:rPr>
        <w:t> </w:t>
      </w:r>
      <w:r>
        <w:rPr>
          <w:sz w:val="18"/>
          <w:vertAlign w:val="baseline"/>
        </w:rPr>
        <w:t>Study</w:t>
      </w:r>
      <w:r>
        <w:rPr>
          <w:spacing w:val="-2"/>
          <w:sz w:val="18"/>
          <w:vertAlign w:val="baseline"/>
        </w:rPr>
        <w:t> </w:t>
      </w:r>
      <w:r>
        <w:rPr>
          <w:sz w:val="18"/>
          <w:vertAlign w:val="baseline"/>
        </w:rPr>
        <w:t>Finds,”</w:t>
      </w:r>
      <w:r>
        <w:rPr>
          <w:spacing w:val="-2"/>
          <w:sz w:val="18"/>
          <w:vertAlign w:val="baseline"/>
        </w:rPr>
        <w:t> </w:t>
      </w:r>
      <w:r>
        <w:rPr>
          <w:sz w:val="18"/>
          <w:vertAlign w:val="baseline"/>
        </w:rPr>
        <w:t>accessed</w:t>
      </w:r>
      <w:r>
        <w:rPr>
          <w:spacing w:val="-3"/>
          <w:sz w:val="18"/>
          <w:vertAlign w:val="baseline"/>
        </w:rPr>
        <w:t> </w:t>
      </w:r>
      <w:r>
        <w:rPr>
          <w:sz w:val="18"/>
          <w:vertAlign w:val="baseline"/>
        </w:rPr>
        <w:t>August</w:t>
      </w:r>
      <w:r>
        <w:rPr>
          <w:spacing w:val="-3"/>
          <w:sz w:val="18"/>
          <w:vertAlign w:val="baseline"/>
        </w:rPr>
        <w:t> </w:t>
      </w:r>
      <w:r>
        <w:rPr>
          <w:sz w:val="18"/>
          <w:vertAlign w:val="baseline"/>
        </w:rPr>
        <w:t>1,</w:t>
      </w:r>
      <w:r>
        <w:rPr>
          <w:spacing w:val="-3"/>
          <w:sz w:val="18"/>
          <w:vertAlign w:val="baseline"/>
        </w:rPr>
        <w:t> </w:t>
      </w:r>
      <w:r>
        <w:rPr>
          <w:sz w:val="18"/>
          <w:vertAlign w:val="baseline"/>
        </w:rPr>
        <w:t>2022, </w:t>
      </w:r>
      <w:hyperlink r:id="rId346">
        <w:r>
          <w:rPr>
            <w:color w:val="0561C1"/>
            <w:spacing w:val="-2"/>
            <w:sz w:val="18"/>
            <w:u w:val="single" w:color="0561C1"/>
            <w:vertAlign w:val="baseline"/>
          </w:rPr>
          <w:t>https://www.rutgers.edu/news/pregnant-transgender-men-risk-depression-and-lack-care-rutgers-study-finds</w:t>
        </w:r>
      </w:hyperlink>
      <w:hyperlink r:id="rId346">
        <w:r>
          <w:rPr>
            <w:spacing w:val="-2"/>
            <w:sz w:val="18"/>
            <w:u w:val="none"/>
            <w:vertAlign w:val="baseline"/>
          </w:rPr>
          <w:t>.</w:t>
        </w:r>
      </w:hyperlink>
    </w:p>
    <w:p>
      <w:pPr>
        <w:spacing w:before="0"/>
        <w:ind w:left="463" w:right="1810" w:hanging="1"/>
        <w:jc w:val="left"/>
        <w:rPr>
          <w:sz w:val="18"/>
        </w:rPr>
      </w:pPr>
      <w:bookmarkStart w:name="_bookmark229" w:id="419"/>
      <w:bookmarkEnd w:id="419"/>
      <w:r>
        <w:rPr/>
      </w:r>
      <w:r>
        <w:rPr>
          <w:sz w:val="18"/>
          <w:vertAlign w:val="superscript"/>
        </w:rPr>
        <w:t>36</w:t>
      </w:r>
      <w:r>
        <w:rPr>
          <w:spacing w:val="-13"/>
          <w:sz w:val="18"/>
          <w:vertAlign w:val="baseline"/>
        </w:rPr>
        <w:t> </w:t>
      </w:r>
      <w:r>
        <w:rPr>
          <w:sz w:val="18"/>
          <w:vertAlign w:val="baseline"/>
        </w:rPr>
        <w:t>“Suicide</w:t>
      </w:r>
      <w:r>
        <w:rPr>
          <w:spacing w:val="-5"/>
          <w:sz w:val="18"/>
          <w:vertAlign w:val="baseline"/>
        </w:rPr>
        <w:t> </w:t>
      </w:r>
      <w:r>
        <w:rPr>
          <w:sz w:val="18"/>
          <w:vertAlign w:val="baseline"/>
        </w:rPr>
        <w:t>Thoughts</w:t>
      </w:r>
      <w:r>
        <w:rPr>
          <w:spacing w:val="-3"/>
          <w:sz w:val="18"/>
          <w:vertAlign w:val="baseline"/>
        </w:rPr>
        <w:t> </w:t>
      </w:r>
      <w:r>
        <w:rPr>
          <w:sz w:val="18"/>
          <w:vertAlign w:val="baseline"/>
        </w:rPr>
        <w:t>and</w:t>
      </w:r>
      <w:r>
        <w:rPr>
          <w:spacing w:val="-4"/>
          <w:sz w:val="18"/>
          <w:vertAlign w:val="baseline"/>
        </w:rPr>
        <w:t> </w:t>
      </w:r>
      <w:r>
        <w:rPr>
          <w:sz w:val="18"/>
          <w:vertAlign w:val="baseline"/>
        </w:rPr>
        <w:t>Attempts</w:t>
      </w:r>
      <w:r>
        <w:rPr>
          <w:spacing w:val="-3"/>
          <w:sz w:val="18"/>
          <w:vertAlign w:val="baseline"/>
        </w:rPr>
        <w:t> </w:t>
      </w:r>
      <w:r>
        <w:rPr>
          <w:sz w:val="18"/>
          <w:vertAlign w:val="baseline"/>
        </w:rPr>
        <w:t>Among</w:t>
      </w:r>
      <w:r>
        <w:rPr>
          <w:spacing w:val="-3"/>
          <w:sz w:val="18"/>
          <w:vertAlign w:val="baseline"/>
        </w:rPr>
        <w:t> </w:t>
      </w:r>
      <w:r>
        <w:rPr>
          <w:sz w:val="18"/>
          <w:vertAlign w:val="baseline"/>
        </w:rPr>
        <w:t>Transgender</w:t>
      </w:r>
      <w:r>
        <w:rPr>
          <w:spacing w:val="-4"/>
          <w:sz w:val="18"/>
          <w:vertAlign w:val="baseline"/>
        </w:rPr>
        <w:t> </w:t>
      </w:r>
      <w:r>
        <w:rPr>
          <w:sz w:val="18"/>
          <w:vertAlign w:val="baseline"/>
        </w:rPr>
        <w:t>Adults,”</w:t>
      </w:r>
      <w:r>
        <w:rPr>
          <w:spacing w:val="-3"/>
          <w:sz w:val="18"/>
          <w:vertAlign w:val="baseline"/>
        </w:rPr>
        <w:t> </w:t>
      </w:r>
      <w:r>
        <w:rPr>
          <w:sz w:val="18"/>
          <w:vertAlign w:val="baseline"/>
        </w:rPr>
        <w:t>Williams</w:t>
      </w:r>
      <w:r>
        <w:rPr>
          <w:spacing w:val="-3"/>
          <w:sz w:val="18"/>
          <w:vertAlign w:val="baseline"/>
        </w:rPr>
        <w:t> </w:t>
      </w:r>
      <w:r>
        <w:rPr>
          <w:sz w:val="18"/>
          <w:vertAlign w:val="baseline"/>
        </w:rPr>
        <w:t>Institute,</w:t>
      </w:r>
      <w:r>
        <w:rPr>
          <w:spacing w:val="-4"/>
          <w:sz w:val="18"/>
          <w:vertAlign w:val="baseline"/>
        </w:rPr>
        <w:t> </w:t>
      </w:r>
      <w:r>
        <w:rPr>
          <w:sz w:val="18"/>
          <w:vertAlign w:val="baseline"/>
        </w:rPr>
        <w:t>accessed</w:t>
      </w:r>
      <w:r>
        <w:rPr>
          <w:spacing w:val="-3"/>
          <w:sz w:val="18"/>
          <w:vertAlign w:val="baseline"/>
        </w:rPr>
        <w:t> </w:t>
      </w:r>
      <w:r>
        <w:rPr>
          <w:sz w:val="18"/>
          <w:vertAlign w:val="baseline"/>
        </w:rPr>
        <w:t>August</w:t>
      </w:r>
      <w:r>
        <w:rPr>
          <w:spacing w:val="-4"/>
          <w:sz w:val="18"/>
          <w:vertAlign w:val="baseline"/>
        </w:rPr>
        <w:t> </w:t>
      </w:r>
      <w:r>
        <w:rPr>
          <w:sz w:val="18"/>
          <w:vertAlign w:val="baseline"/>
        </w:rPr>
        <w:t>12,</w:t>
      </w:r>
      <w:r>
        <w:rPr>
          <w:spacing w:val="-4"/>
          <w:sz w:val="18"/>
          <w:vertAlign w:val="baseline"/>
        </w:rPr>
        <w:t> </w:t>
      </w:r>
      <w:r>
        <w:rPr>
          <w:sz w:val="18"/>
          <w:vertAlign w:val="baseline"/>
        </w:rPr>
        <w:t>2022, </w:t>
      </w:r>
      <w:hyperlink r:id="rId347">
        <w:r>
          <w:rPr>
            <w:color w:val="0561C1"/>
            <w:spacing w:val="-2"/>
            <w:sz w:val="18"/>
            <w:u w:val="single" w:color="0561C1"/>
            <w:vertAlign w:val="baseline"/>
          </w:rPr>
          <w:t>https://williamsinstitute.law.ucla.edu/publications/suicidality-transgender-adults/</w:t>
        </w:r>
      </w:hyperlink>
      <w:hyperlink r:id="rId347">
        <w:r>
          <w:rPr>
            <w:spacing w:val="-2"/>
            <w:sz w:val="18"/>
            <w:u w:val="none"/>
            <w:vertAlign w:val="baseline"/>
          </w:rPr>
          <w:t>.</w:t>
        </w:r>
      </w:hyperlink>
    </w:p>
    <w:p>
      <w:pPr>
        <w:spacing w:after="0"/>
        <w:jc w:val="left"/>
        <w:rPr>
          <w:sz w:val="18"/>
        </w:rPr>
        <w:sectPr>
          <w:pgSz w:w="12240" w:h="15840"/>
          <w:pgMar w:header="800" w:footer="1530" w:top="1080" w:bottom="1760" w:left="980" w:right="1000"/>
        </w:sectPr>
      </w:pPr>
    </w:p>
    <w:p>
      <w:pPr>
        <w:spacing w:before="68"/>
        <w:ind w:left="463" w:right="296" w:firstLine="0"/>
        <w:jc w:val="left"/>
        <w:rPr>
          <w:sz w:val="18"/>
        </w:rPr>
      </w:pPr>
      <w:bookmarkStart w:name="_bookmark230" w:id="420"/>
      <w:bookmarkEnd w:id="420"/>
      <w:r>
        <w:rPr/>
      </w:r>
      <w:r>
        <w:rPr>
          <w:sz w:val="18"/>
          <w:vertAlign w:val="superscript"/>
        </w:rPr>
        <w:t>37</w:t>
      </w:r>
      <w:r>
        <w:rPr>
          <w:spacing w:val="-11"/>
          <w:sz w:val="18"/>
          <w:vertAlign w:val="baseline"/>
        </w:rPr>
        <w:t> </w:t>
      </w:r>
      <w:r>
        <w:rPr>
          <w:sz w:val="18"/>
          <w:vertAlign w:val="baseline"/>
        </w:rPr>
        <w:t>Carla A. Pfeffer, “Transgender Men and Nonbinary People Are Asked to Stop Testosterone Therapy during Pregnancy – but the Evidence for This Guidance Is Still Murky,” The Conversation, accessed December 5, 2022, </w:t>
      </w:r>
      <w:hyperlink r:id="rId348">
        <w:r>
          <w:rPr>
            <w:color w:val="0561C1"/>
            <w:sz w:val="18"/>
            <w:u w:val="single" w:color="0561C1"/>
            <w:vertAlign w:val="baseline"/>
          </w:rPr>
          <w:t>http://theconversation.com/transgender-men-and-nonbinary-people-are-asked-to-stop-testosterone-therapy-during-</w:t>
        </w:r>
      </w:hyperlink>
      <w:r>
        <w:rPr>
          <w:color w:val="0561C1"/>
          <w:spacing w:val="-11"/>
          <w:sz w:val="18"/>
          <w:u w:val="single" w:color="0561C1"/>
          <w:vertAlign w:val="baseline"/>
        </w:rPr>
        <w:t> </w:t>
      </w:r>
      <w:hyperlink r:id="rId348">
        <w:r>
          <w:rPr>
            <w:color w:val="0561C1"/>
            <w:sz w:val="18"/>
            <w:u w:val="single" w:color="0561C1"/>
            <w:vertAlign w:val="baseline"/>
          </w:rPr>
          <w:t>pregnancy-</w:t>
        </w:r>
      </w:hyperlink>
      <w:r>
        <w:rPr>
          <w:color w:val="0561C1"/>
          <w:sz w:val="18"/>
          <w:u w:val="none"/>
          <w:vertAlign w:val="baseline"/>
        </w:rPr>
        <w:t> </w:t>
      </w:r>
      <w:bookmarkStart w:name="_bookmark231" w:id="421"/>
      <w:bookmarkEnd w:id="421"/>
      <w:r>
        <w:rPr>
          <w:color w:val="0561C1"/>
          <w:sz w:val="18"/>
          <w:u w:val="none"/>
          <w:vertAlign w:val="baseline"/>
        </w:rPr>
      </w:r>
      <w:hyperlink r:id="rId348">
        <w:r>
          <w:rPr>
            <w:color w:val="0561C1"/>
            <w:spacing w:val="-2"/>
            <w:sz w:val="18"/>
            <w:u w:val="single" w:color="0561C1"/>
            <w:vertAlign w:val="baseline"/>
          </w:rPr>
          <w:t>but-the-evidence-for-this-guidance-is-still-murky-187672</w:t>
        </w:r>
      </w:hyperlink>
      <w:hyperlink r:id="rId348">
        <w:r>
          <w:rPr>
            <w:spacing w:val="-2"/>
            <w:sz w:val="18"/>
            <w:u w:val="none"/>
            <w:vertAlign w:val="baseline"/>
          </w:rPr>
          <w:t>.</w:t>
        </w:r>
      </w:hyperlink>
    </w:p>
    <w:p>
      <w:pPr>
        <w:spacing w:before="1"/>
        <w:ind w:left="463" w:right="0" w:firstLine="0"/>
        <w:jc w:val="left"/>
        <w:rPr>
          <w:sz w:val="18"/>
        </w:rPr>
      </w:pPr>
      <w:r>
        <w:rPr>
          <w:sz w:val="18"/>
          <w:vertAlign w:val="superscript"/>
        </w:rPr>
        <w:t>38</w:t>
      </w:r>
      <w:r>
        <w:rPr>
          <w:spacing w:val="-15"/>
          <w:sz w:val="18"/>
          <w:vertAlign w:val="baseline"/>
        </w:rPr>
        <w:t> </w:t>
      </w:r>
      <w:bookmarkStart w:name="_bookmark232" w:id="422"/>
      <w:bookmarkEnd w:id="422"/>
      <w:r>
        <w:rPr>
          <w:sz w:val="18"/>
          <w:vertAlign w:val="baseline"/>
        </w:rPr>
        <w:t>“</w:t>
      </w:r>
      <w:r>
        <w:rPr>
          <w:sz w:val="18"/>
          <w:vertAlign w:val="baseline"/>
        </w:rPr>
        <w:t>Infertility,”</w:t>
      </w:r>
      <w:r>
        <w:rPr>
          <w:spacing w:val="-10"/>
          <w:sz w:val="18"/>
          <w:vertAlign w:val="baseline"/>
        </w:rPr>
        <w:t> </w:t>
      </w:r>
      <w:r>
        <w:rPr>
          <w:sz w:val="18"/>
          <w:vertAlign w:val="baseline"/>
        </w:rPr>
        <w:t>accessed</w:t>
      </w:r>
      <w:r>
        <w:rPr>
          <w:spacing w:val="-6"/>
          <w:sz w:val="18"/>
          <w:vertAlign w:val="baseline"/>
        </w:rPr>
        <w:t> </w:t>
      </w:r>
      <w:r>
        <w:rPr>
          <w:sz w:val="18"/>
          <w:vertAlign w:val="baseline"/>
        </w:rPr>
        <w:t>December</w:t>
      </w:r>
      <w:r>
        <w:rPr>
          <w:spacing w:val="-6"/>
          <w:sz w:val="18"/>
          <w:vertAlign w:val="baseline"/>
        </w:rPr>
        <w:t> </w:t>
      </w:r>
      <w:r>
        <w:rPr>
          <w:sz w:val="18"/>
          <w:vertAlign w:val="baseline"/>
        </w:rPr>
        <w:t>4,</w:t>
      </w:r>
      <w:r>
        <w:rPr>
          <w:spacing w:val="-7"/>
          <w:sz w:val="18"/>
          <w:vertAlign w:val="baseline"/>
        </w:rPr>
        <w:t> </w:t>
      </w:r>
      <w:r>
        <w:rPr>
          <w:sz w:val="18"/>
          <w:vertAlign w:val="baseline"/>
        </w:rPr>
        <w:t>2022,</w:t>
      </w:r>
      <w:r>
        <w:rPr>
          <w:spacing w:val="-6"/>
          <w:sz w:val="18"/>
          <w:vertAlign w:val="baseline"/>
        </w:rPr>
        <w:t> </w:t>
      </w:r>
      <w:hyperlink r:id="rId349">
        <w:r>
          <w:rPr>
            <w:color w:val="0561C1"/>
            <w:sz w:val="18"/>
            <w:u w:val="single" w:color="0561C1"/>
            <w:vertAlign w:val="baseline"/>
          </w:rPr>
          <w:t>https://www.who.int/news-room/fact-</w:t>
        </w:r>
        <w:r>
          <w:rPr>
            <w:color w:val="0561C1"/>
            <w:spacing w:val="-2"/>
            <w:sz w:val="18"/>
            <w:u w:val="single" w:color="0561C1"/>
            <w:vertAlign w:val="baseline"/>
          </w:rPr>
          <w:t>sheets/detail/infertility</w:t>
        </w:r>
      </w:hyperlink>
      <w:hyperlink r:id="rId349">
        <w:r>
          <w:rPr>
            <w:spacing w:val="-2"/>
            <w:sz w:val="18"/>
            <w:u w:val="none"/>
            <w:vertAlign w:val="baseline"/>
          </w:rPr>
          <w:t>.</w:t>
        </w:r>
      </w:hyperlink>
    </w:p>
    <w:p>
      <w:pPr>
        <w:spacing w:before="0"/>
        <w:ind w:left="463" w:right="391" w:hanging="1"/>
        <w:jc w:val="left"/>
        <w:rPr>
          <w:sz w:val="18"/>
        </w:rPr>
      </w:pPr>
      <w:r>
        <w:rPr>
          <w:sz w:val="18"/>
          <w:vertAlign w:val="superscript"/>
        </w:rPr>
        <w:t>39</w:t>
      </w:r>
      <w:r>
        <w:rPr>
          <w:spacing w:val="-13"/>
          <w:sz w:val="18"/>
          <w:vertAlign w:val="baseline"/>
        </w:rPr>
        <w:t> </w:t>
      </w:r>
      <w:r>
        <w:rPr>
          <w:sz w:val="18"/>
          <w:vertAlign w:val="baseline"/>
        </w:rPr>
        <w:t>Janelle</w:t>
      </w:r>
      <w:r>
        <w:rPr>
          <w:spacing w:val="-4"/>
          <w:sz w:val="18"/>
          <w:vertAlign w:val="baseline"/>
        </w:rPr>
        <w:t> </w:t>
      </w:r>
      <w:r>
        <w:rPr>
          <w:sz w:val="18"/>
          <w:vertAlign w:val="baseline"/>
        </w:rPr>
        <w:t>M.</w:t>
      </w:r>
      <w:r>
        <w:rPr>
          <w:spacing w:val="-3"/>
          <w:sz w:val="18"/>
          <w:vertAlign w:val="baseline"/>
        </w:rPr>
        <w:t> </w:t>
      </w:r>
      <w:r>
        <w:rPr>
          <w:sz w:val="18"/>
          <w:vertAlign w:val="baseline"/>
        </w:rPr>
        <w:t>Downing,</w:t>
      </w:r>
      <w:r>
        <w:rPr>
          <w:spacing w:val="-4"/>
          <w:sz w:val="18"/>
          <w:vertAlign w:val="baseline"/>
        </w:rPr>
        <w:t> </w:t>
      </w:r>
      <w:r>
        <w:rPr>
          <w:sz w:val="18"/>
          <w:vertAlign w:val="baseline"/>
        </w:rPr>
        <w:t>“Pathways</w:t>
      </w:r>
      <w:r>
        <w:rPr>
          <w:spacing w:val="-3"/>
          <w:sz w:val="18"/>
          <w:vertAlign w:val="baseline"/>
        </w:rPr>
        <w:t> </w:t>
      </w:r>
      <w:r>
        <w:rPr>
          <w:sz w:val="18"/>
          <w:vertAlign w:val="baseline"/>
        </w:rPr>
        <w:t>to</w:t>
      </w:r>
      <w:r>
        <w:rPr>
          <w:spacing w:val="-3"/>
          <w:sz w:val="18"/>
          <w:vertAlign w:val="baseline"/>
        </w:rPr>
        <w:t> </w:t>
      </w:r>
      <w:r>
        <w:rPr>
          <w:sz w:val="18"/>
          <w:vertAlign w:val="baseline"/>
        </w:rPr>
        <w:t>Pregnancy</w:t>
      </w:r>
      <w:r>
        <w:rPr>
          <w:spacing w:val="-4"/>
          <w:sz w:val="18"/>
          <w:vertAlign w:val="baseline"/>
        </w:rPr>
        <w:t> </w:t>
      </w:r>
      <w:r>
        <w:rPr>
          <w:sz w:val="18"/>
          <w:vertAlign w:val="baseline"/>
        </w:rPr>
        <w:t>for</w:t>
      </w:r>
      <w:r>
        <w:rPr>
          <w:spacing w:val="-4"/>
          <w:sz w:val="18"/>
          <w:vertAlign w:val="baseline"/>
        </w:rPr>
        <w:t> </w:t>
      </w:r>
      <w:r>
        <w:rPr>
          <w:sz w:val="18"/>
          <w:vertAlign w:val="baseline"/>
        </w:rPr>
        <w:t>Sexual</w:t>
      </w:r>
      <w:r>
        <w:rPr>
          <w:spacing w:val="-4"/>
          <w:sz w:val="18"/>
          <w:vertAlign w:val="baseline"/>
        </w:rPr>
        <w:t> </w:t>
      </w:r>
      <w:r>
        <w:rPr>
          <w:sz w:val="18"/>
          <w:vertAlign w:val="baseline"/>
        </w:rPr>
        <w:t>Minority</w:t>
      </w:r>
      <w:r>
        <w:rPr>
          <w:spacing w:val="-3"/>
          <w:sz w:val="18"/>
          <w:vertAlign w:val="baseline"/>
        </w:rPr>
        <w:t> </w:t>
      </w:r>
      <w:r>
        <w:rPr>
          <w:sz w:val="18"/>
          <w:vertAlign w:val="baseline"/>
        </w:rPr>
        <w:t>Women</w:t>
      </w:r>
      <w:r>
        <w:rPr>
          <w:spacing w:val="-3"/>
          <w:sz w:val="18"/>
          <w:vertAlign w:val="baseline"/>
        </w:rPr>
        <w:t> </w:t>
      </w:r>
      <w:r>
        <w:rPr>
          <w:sz w:val="18"/>
          <w:vertAlign w:val="baseline"/>
        </w:rPr>
        <w:t>in</w:t>
      </w:r>
      <w:r>
        <w:rPr>
          <w:spacing w:val="-3"/>
          <w:sz w:val="18"/>
          <w:vertAlign w:val="baseline"/>
        </w:rPr>
        <w:t> </w:t>
      </w:r>
      <w:r>
        <w:rPr>
          <w:sz w:val="18"/>
          <w:vertAlign w:val="baseline"/>
        </w:rPr>
        <w:t>Same-Sex</w:t>
      </w:r>
      <w:r>
        <w:rPr>
          <w:spacing w:val="-3"/>
          <w:sz w:val="18"/>
          <w:vertAlign w:val="baseline"/>
        </w:rPr>
        <w:t> </w:t>
      </w:r>
      <w:r>
        <w:rPr>
          <w:sz w:val="18"/>
          <w:vertAlign w:val="baseline"/>
        </w:rPr>
        <w:t>Marriages,”</w:t>
      </w:r>
      <w:r>
        <w:rPr>
          <w:spacing w:val="-3"/>
          <w:sz w:val="18"/>
          <w:vertAlign w:val="baseline"/>
        </w:rPr>
        <w:t> </w:t>
      </w:r>
      <w:r>
        <w:rPr>
          <w:i/>
          <w:sz w:val="18"/>
          <w:vertAlign w:val="baseline"/>
        </w:rPr>
        <w:t>American</w:t>
      </w:r>
      <w:r>
        <w:rPr>
          <w:i/>
          <w:spacing w:val="-3"/>
          <w:sz w:val="18"/>
          <w:vertAlign w:val="baseline"/>
        </w:rPr>
        <w:t> </w:t>
      </w:r>
      <w:r>
        <w:rPr>
          <w:i/>
          <w:sz w:val="18"/>
          <w:vertAlign w:val="baseline"/>
        </w:rPr>
        <w:t>Journal</w:t>
      </w:r>
      <w:r>
        <w:rPr>
          <w:i/>
          <w:spacing w:val="-4"/>
          <w:sz w:val="18"/>
          <w:vertAlign w:val="baseline"/>
        </w:rPr>
        <w:t> </w:t>
      </w:r>
      <w:r>
        <w:rPr>
          <w:i/>
          <w:sz w:val="18"/>
          <w:vertAlign w:val="baseline"/>
        </w:rPr>
        <w:t>of</w:t>
      </w:r>
      <w:r>
        <w:rPr>
          <w:i/>
          <w:sz w:val="18"/>
          <w:vertAlign w:val="baseline"/>
        </w:rPr>
        <w:t> </w:t>
      </w:r>
      <w:bookmarkStart w:name="_bookmark233" w:id="423"/>
      <w:bookmarkEnd w:id="423"/>
      <w:r>
        <w:rPr>
          <w:i/>
          <w:sz w:val="18"/>
          <w:vertAlign w:val="baseline"/>
        </w:rPr>
        <w:t>Obs</w:t>
      </w:r>
      <w:r>
        <w:rPr>
          <w:i/>
          <w:sz w:val="18"/>
          <w:vertAlign w:val="baseline"/>
        </w:rPr>
        <w:t>tetrics and Gynecology </w:t>
      </w:r>
      <w:r>
        <w:rPr>
          <w:sz w:val="18"/>
          <w:vertAlign w:val="baseline"/>
        </w:rPr>
        <w:t>221, no. 3 (September 2019): 281–82, </w:t>
      </w:r>
      <w:hyperlink r:id="rId350">
        <w:r>
          <w:rPr>
            <w:color w:val="0561C1"/>
            <w:sz w:val="18"/>
            <w:u w:val="single" w:color="0561C1"/>
            <w:vertAlign w:val="baseline"/>
          </w:rPr>
          <w:t>https://doi.org/10.1016/j.ajog.2019.04.019</w:t>
        </w:r>
      </w:hyperlink>
      <w:hyperlink r:id="rId350">
        <w:r>
          <w:rPr>
            <w:sz w:val="18"/>
            <w:u w:val="none"/>
            <w:vertAlign w:val="baseline"/>
          </w:rPr>
          <w:t>.</w:t>
        </w:r>
      </w:hyperlink>
    </w:p>
    <w:p>
      <w:pPr>
        <w:spacing w:before="0"/>
        <w:ind w:left="463" w:right="261" w:hanging="1"/>
        <w:jc w:val="left"/>
        <w:rPr>
          <w:sz w:val="18"/>
        </w:rPr>
      </w:pPr>
      <w:r>
        <w:rPr>
          <w:sz w:val="18"/>
          <w:vertAlign w:val="superscript"/>
        </w:rPr>
        <w:t>40</w:t>
      </w:r>
      <w:r>
        <w:rPr>
          <w:spacing w:val="-13"/>
          <w:sz w:val="18"/>
          <w:vertAlign w:val="baseline"/>
        </w:rPr>
        <w:t> </w:t>
      </w:r>
      <w:r>
        <w:rPr>
          <w:sz w:val="18"/>
          <w:vertAlign w:val="baseline"/>
        </w:rPr>
        <w:t>Margot</w:t>
      </w:r>
      <w:r>
        <w:rPr>
          <w:spacing w:val="-5"/>
          <w:sz w:val="18"/>
          <w:vertAlign w:val="baseline"/>
        </w:rPr>
        <w:t> </w:t>
      </w:r>
      <w:r>
        <w:rPr>
          <w:sz w:val="18"/>
          <w:vertAlign w:val="baseline"/>
        </w:rPr>
        <w:t>Kelly-Hedrick,</w:t>
      </w:r>
      <w:r>
        <w:rPr>
          <w:spacing w:val="-4"/>
          <w:sz w:val="18"/>
          <w:vertAlign w:val="baseline"/>
        </w:rPr>
        <w:t> </w:t>
      </w:r>
      <w:r>
        <w:rPr>
          <w:sz w:val="18"/>
          <w:vertAlign w:val="baseline"/>
        </w:rPr>
        <w:t>“DISPARITIES</w:t>
      </w:r>
      <w:r>
        <w:rPr>
          <w:spacing w:val="-3"/>
          <w:sz w:val="18"/>
          <w:vertAlign w:val="baseline"/>
        </w:rPr>
        <w:t> </w:t>
      </w:r>
      <w:r>
        <w:rPr>
          <w:sz w:val="18"/>
          <w:vertAlign w:val="baseline"/>
        </w:rPr>
        <w:t>IN</w:t>
      </w:r>
      <w:r>
        <w:rPr>
          <w:spacing w:val="-3"/>
          <w:sz w:val="18"/>
          <w:vertAlign w:val="baseline"/>
        </w:rPr>
        <w:t> </w:t>
      </w:r>
      <w:r>
        <w:rPr>
          <w:sz w:val="18"/>
          <w:vertAlign w:val="baseline"/>
        </w:rPr>
        <w:t>ACCESS</w:t>
      </w:r>
      <w:r>
        <w:rPr>
          <w:spacing w:val="-3"/>
          <w:sz w:val="18"/>
          <w:vertAlign w:val="baseline"/>
        </w:rPr>
        <w:t> </w:t>
      </w:r>
      <w:r>
        <w:rPr>
          <w:sz w:val="18"/>
          <w:vertAlign w:val="baseline"/>
        </w:rPr>
        <w:t>TO</w:t>
      </w:r>
      <w:r>
        <w:rPr>
          <w:spacing w:val="-4"/>
          <w:sz w:val="18"/>
          <w:vertAlign w:val="baseline"/>
        </w:rPr>
        <w:t> </w:t>
      </w:r>
      <w:r>
        <w:rPr>
          <w:sz w:val="18"/>
          <w:vertAlign w:val="baseline"/>
        </w:rPr>
        <w:t>FERTILITY</w:t>
      </w:r>
      <w:r>
        <w:rPr>
          <w:spacing w:val="-3"/>
          <w:sz w:val="18"/>
          <w:vertAlign w:val="baseline"/>
        </w:rPr>
        <w:t> </w:t>
      </w:r>
      <w:r>
        <w:rPr>
          <w:sz w:val="18"/>
          <w:vertAlign w:val="baseline"/>
        </w:rPr>
        <w:t>CARE</w:t>
      </w:r>
      <w:r>
        <w:rPr>
          <w:spacing w:val="-4"/>
          <w:sz w:val="18"/>
          <w:vertAlign w:val="baseline"/>
        </w:rPr>
        <w:t> </w:t>
      </w:r>
      <w:r>
        <w:rPr>
          <w:sz w:val="18"/>
          <w:vertAlign w:val="baseline"/>
        </w:rPr>
        <w:t>IN</w:t>
      </w:r>
      <w:r>
        <w:rPr>
          <w:spacing w:val="-3"/>
          <w:sz w:val="18"/>
          <w:vertAlign w:val="baseline"/>
        </w:rPr>
        <w:t> </w:t>
      </w:r>
      <w:r>
        <w:rPr>
          <w:sz w:val="18"/>
          <w:vertAlign w:val="baseline"/>
        </w:rPr>
        <w:t>THE</w:t>
      </w:r>
      <w:r>
        <w:rPr>
          <w:spacing w:val="-4"/>
          <w:sz w:val="18"/>
          <w:vertAlign w:val="baseline"/>
        </w:rPr>
        <w:t> </w:t>
      </w:r>
      <w:r>
        <w:rPr>
          <w:sz w:val="18"/>
          <w:vertAlign w:val="baseline"/>
        </w:rPr>
        <w:t>UNITED</w:t>
      </w:r>
      <w:r>
        <w:rPr>
          <w:spacing w:val="-4"/>
          <w:sz w:val="18"/>
          <w:vertAlign w:val="baseline"/>
        </w:rPr>
        <w:t> </w:t>
      </w:r>
      <w:r>
        <w:rPr>
          <w:sz w:val="18"/>
          <w:vertAlign w:val="baseline"/>
        </w:rPr>
        <w:t>STATES:</w:t>
      </w:r>
      <w:r>
        <w:rPr>
          <w:spacing w:val="-3"/>
          <w:sz w:val="18"/>
          <w:vertAlign w:val="baseline"/>
        </w:rPr>
        <w:t> </w:t>
      </w:r>
      <w:r>
        <w:rPr>
          <w:sz w:val="18"/>
          <w:vertAlign w:val="baseline"/>
        </w:rPr>
        <w:t>ETHICAL</w:t>
      </w:r>
      <w:r>
        <w:rPr>
          <w:spacing w:val="-3"/>
          <w:sz w:val="18"/>
          <w:vertAlign w:val="baseline"/>
        </w:rPr>
        <w:t> </w:t>
      </w:r>
      <w:r>
        <w:rPr>
          <w:sz w:val="18"/>
          <w:vertAlign w:val="baseline"/>
        </w:rPr>
        <w:t>CONSIDERATIONS</w:t>
      </w:r>
      <w:r>
        <w:rPr>
          <w:spacing w:val="-3"/>
          <w:sz w:val="18"/>
          <w:vertAlign w:val="baseline"/>
        </w:rPr>
        <w:t> </w:t>
      </w:r>
      <w:r>
        <w:rPr>
          <w:sz w:val="18"/>
          <w:vertAlign w:val="baseline"/>
        </w:rPr>
        <w:t>FOR </w:t>
      </w:r>
      <w:bookmarkStart w:name="_bookmark234" w:id="424"/>
      <w:bookmarkEnd w:id="424"/>
      <w:r>
        <w:rPr>
          <w:sz w:val="18"/>
          <w:vertAlign w:val="baseline"/>
        </w:rPr>
        <w:t>E</w:t>
      </w:r>
      <w:r>
        <w:rPr>
          <w:sz w:val="18"/>
          <w:vertAlign w:val="baseline"/>
        </w:rPr>
        <w:t>QUITABLE SOLUTIONS,” n.d., 37.</w:t>
      </w:r>
    </w:p>
    <w:p>
      <w:pPr>
        <w:spacing w:before="0"/>
        <w:ind w:left="463" w:right="0" w:hanging="1"/>
        <w:jc w:val="left"/>
        <w:rPr>
          <w:sz w:val="18"/>
        </w:rPr>
      </w:pPr>
      <w:r>
        <w:rPr>
          <w:sz w:val="18"/>
          <w:vertAlign w:val="superscript"/>
        </w:rPr>
        <w:t>41</w:t>
      </w:r>
      <w:r>
        <w:rPr>
          <w:spacing w:val="-13"/>
          <w:sz w:val="18"/>
          <w:vertAlign w:val="baseline"/>
        </w:rPr>
        <w:t> </w:t>
      </w:r>
      <w:r>
        <w:rPr>
          <w:sz w:val="18"/>
          <w:vertAlign w:val="baseline"/>
        </w:rPr>
        <w:t>Isabel</w:t>
      </w:r>
      <w:r>
        <w:rPr>
          <w:spacing w:val="-4"/>
          <w:sz w:val="18"/>
          <w:vertAlign w:val="baseline"/>
        </w:rPr>
        <w:t> </w:t>
      </w:r>
      <w:r>
        <w:rPr>
          <w:sz w:val="18"/>
          <w:vertAlign w:val="baseline"/>
        </w:rPr>
        <w:t>Galic</w:t>
      </w:r>
      <w:r>
        <w:rPr>
          <w:spacing w:val="-3"/>
          <w:sz w:val="18"/>
          <w:vertAlign w:val="baseline"/>
        </w:rPr>
        <w:t> </w:t>
      </w:r>
      <w:r>
        <w:rPr>
          <w:sz w:val="18"/>
          <w:vertAlign w:val="baseline"/>
        </w:rPr>
        <w:t>et</w:t>
      </w:r>
      <w:r>
        <w:rPr>
          <w:spacing w:val="-4"/>
          <w:sz w:val="18"/>
          <w:vertAlign w:val="baseline"/>
        </w:rPr>
        <w:t> </w:t>
      </w:r>
      <w:r>
        <w:rPr>
          <w:sz w:val="18"/>
          <w:vertAlign w:val="baseline"/>
        </w:rPr>
        <w:t>al.,</w:t>
      </w:r>
      <w:r>
        <w:rPr>
          <w:spacing w:val="-3"/>
          <w:sz w:val="18"/>
          <w:vertAlign w:val="baseline"/>
        </w:rPr>
        <w:t> </w:t>
      </w:r>
      <w:r>
        <w:rPr>
          <w:sz w:val="18"/>
          <w:vertAlign w:val="baseline"/>
        </w:rPr>
        <w:t>“Disparities</w:t>
      </w:r>
      <w:r>
        <w:rPr>
          <w:spacing w:val="-2"/>
          <w:sz w:val="18"/>
          <w:vertAlign w:val="baseline"/>
        </w:rPr>
        <w:t> </w:t>
      </w:r>
      <w:r>
        <w:rPr>
          <w:sz w:val="18"/>
          <w:vertAlign w:val="baseline"/>
        </w:rPr>
        <w:t>in</w:t>
      </w:r>
      <w:r>
        <w:rPr>
          <w:spacing w:val="-2"/>
          <w:sz w:val="18"/>
          <w:vertAlign w:val="baseline"/>
        </w:rPr>
        <w:t> </w:t>
      </w:r>
      <w:r>
        <w:rPr>
          <w:sz w:val="18"/>
          <w:vertAlign w:val="baseline"/>
        </w:rPr>
        <w:t>Access</w:t>
      </w:r>
      <w:r>
        <w:rPr>
          <w:spacing w:val="-2"/>
          <w:sz w:val="18"/>
          <w:vertAlign w:val="baseline"/>
        </w:rPr>
        <w:t> </w:t>
      </w:r>
      <w:r>
        <w:rPr>
          <w:sz w:val="18"/>
          <w:vertAlign w:val="baseline"/>
        </w:rPr>
        <w:t>to</w:t>
      </w:r>
      <w:r>
        <w:rPr>
          <w:spacing w:val="-2"/>
          <w:sz w:val="18"/>
          <w:vertAlign w:val="baseline"/>
        </w:rPr>
        <w:t> </w:t>
      </w:r>
      <w:r>
        <w:rPr>
          <w:sz w:val="18"/>
          <w:vertAlign w:val="baseline"/>
        </w:rPr>
        <w:t>Fertility</w:t>
      </w:r>
      <w:r>
        <w:rPr>
          <w:spacing w:val="-2"/>
          <w:sz w:val="18"/>
          <w:vertAlign w:val="baseline"/>
        </w:rPr>
        <w:t> </w:t>
      </w:r>
      <w:r>
        <w:rPr>
          <w:sz w:val="18"/>
          <w:vertAlign w:val="baseline"/>
        </w:rPr>
        <w:t>Care:</w:t>
      </w:r>
      <w:r>
        <w:rPr>
          <w:spacing w:val="-2"/>
          <w:sz w:val="18"/>
          <w:vertAlign w:val="baseline"/>
        </w:rPr>
        <w:t> </w:t>
      </w:r>
      <w:r>
        <w:rPr>
          <w:sz w:val="18"/>
          <w:vertAlign w:val="baseline"/>
        </w:rPr>
        <w:t>Who’s</w:t>
      </w:r>
      <w:r>
        <w:rPr>
          <w:spacing w:val="-1"/>
          <w:sz w:val="18"/>
          <w:vertAlign w:val="baseline"/>
        </w:rPr>
        <w:t> </w:t>
      </w:r>
      <w:r>
        <w:rPr>
          <w:sz w:val="18"/>
          <w:vertAlign w:val="baseline"/>
        </w:rPr>
        <w:t>in</w:t>
      </w:r>
      <w:r>
        <w:rPr>
          <w:spacing w:val="-2"/>
          <w:sz w:val="18"/>
          <w:vertAlign w:val="baseline"/>
        </w:rPr>
        <w:t> </w:t>
      </w:r>
      <w:r>
        <w:rPr>
          <w:sz w:val="18"/>
          <w:vertAlign w:val="baseline"/>
        </w:rPr>
        <w:t>and</w:t>
      </w:r>
      <w:r>
        <w:rPr>
          <w:spacing w:val="-2"/>
          <w:sz w:val="18"/>
          <w:vertAlign w:val="baseline"/>
        </w:rPr>
        <w:t> </w:t>
      </w:r>
      <w:r>
        <w:rPr>
          <w:sz w:val="18"/>
          <w:vertAlign w:val="baseline"/>
        </w:rPr>
        <w:t>Who’s</w:t>
      </w:r>
      <w:r>
        <w:rPr>
          <w:spacing w:val="-2"/>
          <w:sz w:val="18"/>
          <w:vertAlign w:val="baseline"/>
        </w:rPr>
        <w:t> </w:t>
      </w:r>
      <w:r>
        <w:rPr>
          <w:sz w:val="18"/>
          <w:vertAlign w:val="baseline"/>
        </w:rPr>
        <w:t>out,”</w:t>
      </w:r>
      <w:r>
        <w:rPr>
          <w:spacing w:val="-2"/>
          <w:sz w:val="18"/>
          <w:vertAlign w:val="baseline"/>
        </w:rPr>
        <w:t> </w:t>
      </w:r>
      <w:r>
        <w:rPr>
          <w:i/>
          <w:sz w:val="18"/>
          <w:vertAlign w:val="baseline"/>
        </w:rPr>
        <w:t>F&amp;S</w:t>
      </w:r>
      <w:r>
        <w:rPr>
          <w:i/>
          <w:spacing w:val="-2"/>
          <w:sz w:val="18"/>
          <w:vertAlign w:val="baseline"/>
        </w:rPr>
        <w:t> </w:t>
      </w:r>
      <w:r>
        <w:rPr>
          <w:i/>
          <w:sz w:val="18"/>
          <w:vertAlign w:val="baseline"/>
        </w:rPr>
        <w:t>Reports</w:t>
      </w:r>
      <w:r>
        <w:rPr>
          <w:i/>
          <w:spacing w:val="-3"/>
          <w:sz w:val="18"/>
          <w:vertAlign w:val="baseline"/>
        </w:rPr>
        <w:t> </w:t>
      </w:r>
      <w:r>
        <w:rPr>
          <w:sz w:val="18"/>
          <w:vertAlign w:val="baseline"/>
        </w:rPr>
        <w:t>2,</w:t>
      </w:r>
      <w:r>
        <w:rPr>
          <w:spacing w:val="-3"/>
          <w:sz w:val="18"/>
          <w:vertAlign w:val="baseline"/>
        </w:rPr>
        <w:t> </w:t>
      </w:r>
      <w:r>
        <w:rPr>
          <w:sz w:val="18"/>
          <w:vertAlign w:val="baseline"/>
        </w:rPr>
        <w:t>no.</w:t>
      </w:r>
      <w:r>
        <w:rPr>
          <w:spacing w:val="-2"/>
          <w:sz w:val="18"/>
          <w:vertAlign w:val="baseline"/>
        </w:rPr>
        <w:t> </w:t>
      </w:r>
      <w:r>
        <w:rPr>
          <w:sz w:val="18"/>
          <w:vertAlign w:val="baseline"/>
        </w:rPr>
        <w:t>1</w:t>
      </w:r>
      <w:r>
        <w:rPr>
          <w:spacing w:val="-2"/>
          <w:sz w:val="18"/>
          <w:vertAlign w:val="baseline"/>
        </w:rPr>
        <w:t> </w:t>
      </w:r>
      <w:r>
        <w:rPr>
          <w:sz w:val="18"/>
          <w:vertAlign w:val="baseline"/>
        </w:rPr>
        <w:t>(November</w:t>
      </w:r>
      <w:r>
        <w:rPr>
          <w:spacing w:val="-3"/>
          <w:sz w:val="18"/>
          <w:vertAlign w:val="baseline"/>
        </w:rPr>
        <w:t> </w:t>
      </w:r>
      <w:r>
        <w:rPr>
          <w:sz w:val="18"/>
          <w:vertAlign w:val="baseline"/>
        </w:rPr>
        <w:t>18,</w:t>
      </w:r>
      <w:r>
        <w:rPr>
          <w:spacing w:val="-3"/>
          <w:sz w:val="18"/>
          <w:vertAlign w:val="baseline"/>
        </w:rPr>
        <w:t> </w:t>
      </w:r>
      <w:r>
        <w:rPr>
          <w:sz w:val="18"/>
          <w:vertAlign w:val="baseline"/>
        </w:rPr>
        <w:t>2020): </w:t>
      </w:r>
      <w:bookmarkStart w:name="_bookmark235" w:id="425"/>
      <w:bookmarkEnd w:id="425"/>
      <w:r>
        <w:rPr>
          <w:sz w:val="18"/>
          <w:vertAlign w:val="baseline"/>
        </w:rPr>
        <w:t>109–17,</w:t>
      </w:r>
      <w:r>
        <w:rPr>
          <w:spacing w:val="-2"/>
          <w:sz w:val="18"/>
          <w:vertAlign w:val="baseline"/>
        </w:rPr>
        <w:t> </w:t>
      </w:r>
      <w:hyperlink r:id="rId351">
        <w:r>
          <w:rPr>
            <w:color w:val="0561C1"/>
            <w:sz w:val="18"/>
            <w:u w:val="single" w:color="0561C1"/>
            <w:vertAlign w:val="baseline"/>
          </w:rPr>
          <w:t>https://doi.org/10.1016/j.xfre.2020.11.001</w:t>
        </w:r>
      </w:hyperlink>
      <w:hyperlink r:id="rId351">
        <w:r>
          <w:rPr>
            <w:sz w:val="18"/>
            <w:u w:val="none"/>
            <w:vertAlign w:val="baseline"/>
          </w:rPr>
          <w:t>.</w:t>
        </w:r>
      </w:hyperlink>
    </w:p>
    <w:p>
      <w:pPr>
        <w:spacing w:before="0"/>
        <w:ind w:left="463" w:right="261" w:hanging="1"/>
        <w:jc w:val="left"/>
        <w:rPr>
          <w:sz w:val="18"/>
        </w:rPr>
      </w:pPr>
      <w:r>
        <w:rPr>
          <w:sz w:val="18"/>
          <w:vertAlign w:val="superscript"/>
        </w:rPr>
        <w:t>42</w:t>
      </w:r>
      <w:r>
        <w:rPr>
          <w:spacing w:val="-8"/>
          <w:sz w:val="18"/>
          <w:vertAlign w:val="baseline"/>
        </w:rPr>
        <w:t> </w:t>
      </w:r>
      <w:r>
        <w:rPr>
          <w:sz w:val="18"/>
          <w:vertAlign w:val="baseline"/>
        </w:rPr>
        <w:t>MacDorman, Marian F., Eugene Declercq, Howard Cabral, and Christine Morton. “Recent Increases in the U.S. Maternal Mortality</w:t>
      </w:r>
      <w:r>
        <w:rPr>
          <w:spacing w:val="-3"/>
          <w:sz w:val="18"/>
          <w:vertAlign w:val="baseline"/>
        </w:rPr>
        <w:t> </w:t>
      </w:r>
      <w:r>
        <w:rPr>
          <w:sz w:val="18"/>
          <w:vertAlign w:val="baseline"/>
        </w:rPr>
        <w:t>Rate:</w:t>
      </w:r>
      <w:r>
        <w:rPr>
          <w:spacing w:val="-2"/>
          <w:sz w:val="18"/>
          <w:vertAlign w:val="baseline"/>
        </w:rPr>
        <w:t> </w:t>
      </w:r>
      <w:r>
        <w:rPr>
          <w:sz w:val="18"/>
          <w:vertAlign w:val="baseline"/>
        </w:rPr>
        <w:t>Disentangling</w:t>
      </w:r>
      <w:r>
        <w:rPr>
          <w:spacing w:val="-3"/>
          <w:sz w:val="18"/>
          <w:vertAlign w:val="baseline"/>
        </w:rPr>
        <w:t> </w:t>
      </w:r>
      <w:r>
        <w:rPr>
          <w:sz w:val="18"/>
          <w:vertAlign w:val="baseline"/>
        </w:rPr>
        <w:t>Trends</w:t>
      </w:r>
      <w:r>
        <w:rPr>
          <w:spacing w:val="-3"/>
          <w:sz w:val="18"/>
          <w:vertAlign w:val="baseline"/>
        </w:rPr>
        <w:t> </w:t>
      </w:r>
      <w:r>
        <w:rPr>
          <w:sz w:val="18"/>
          <w:vertAlign w:val="baseline"/>
        </w:rPr>
        <w:t>From</w:t>
      </w:r>
      <w:r>
        <w:rPr>
          <w:spacing w:val="-3"/>
          <w:sz w:val="18"/>
          <w:vertAlign w:val="baseline"/>
        </w:rPr>
        <w:t> </w:t>
      </w:r>
      <w:r>
        <w:rPr>
          <w:sz w:val="18"/>
          <w:vertAlign w:val="baseline"/>
        </w:rPr>
        <w:t>Measurement</w:t>
      </w:r>
      <w:r>
        <w:rPr>
          <w:spacing w:val="-3"/>
          <w:sz w:val="18"/>
          <w:vertAlign w:val="baseline"/>
        </w:rPr>
        <w:t> </w:t>
      </w:r>
      <w:r>
        <w:rPr>
          <w:sz w:val="18"/>
          <w:vertAlign w:val="baseline"/>
        </w:rPr>
        <w:t>Issues.”</w:t>
      </w:r>
      <w:r>
        <w:rPr>
          <w:spacing w:val="-3"/>
          <w:sz w:val="18"/>
          <w:vertAlign w:val="baseline"/>
        </w:rPr>
        <w:t> </w:t>
      </w:r>
      <w:r>
        <w:rPr>
          <w:i/>
          <w:sz w:val="18"/>
          <w:vertAlign w:val="baseline"/>
        </w:rPr>
        <w:t>Obstetrics</w:t>
      </w:r>
      <w:r>
        <w:rPr>
          <w:i/>
          <w:spacing w:val="-3"/>
          <w:sz w:val="18"/>
          <w:vertAlign w:val="baseline"/>
        </w:rPr>
        <w:t> </w:t>
      </w:r>
      <w:r>
        <w:rPr>
          <w:i/>
          <w:sz w:val="18"/>
          <w:vertAlign w:val="baseline"/>
        </w:rPr>
        <w:t>&amp;</w:t>
      </w:r>
      <w:r>
        <w:rPr>
          <w:i/>
          <w:spacing w:val="-4"/>
          <w:sz w:val="18"/>
          <w:vertAlign w:val="baseline"/>
        </w:rPr>
        <w:t> </w:t>
      </w:r>
      <w:r>
        <w:rPr>
          <w:i/>
          <w:sz w:val="18"/>
          <w:vertAlign w:val="baseline"/>
        </w:rPr>
        <w:t>Gynecology</w:t>
      </w:r>
      <w:r>
        <w:rPr>
          <w:i/>
          <w:spacing w:val="-3"/>
          <w:sz w:val="18"/>
          <w:vertAlign w:val="baseline"/>
        </w:rPr>
        <w:t> </w:t>
      </w:r>
      <w:r>
        <w:rPr>
          <w:sz w:val="18"/>
          <w:vertAlign w:val="baseline"/>
        </w:rPr>
        <w:t>128,</w:t>
      </w:r>
      <w:r>
        <w:rPr>
          <w:spacing w:val="-3"/>
          <w:sz w:val="18"/>
          <w:vertAlign w:val="baseline"/>
        </w:rPr>
        <w:t> </w:t>
      </w:r>
      <w:r>
        <w:rPr>
          <w:sz w:val="18"/>
          <w:vertAlign w:val="baseline"/>
        </w:rPr>
        <w:t>no.</w:t>
      </w:r>
      <w:r>
        <w:rPr>
          <w:spacing w:val="-3"/>
          <w:sz w:val="18"/>
          <w:vertAlign w:val="baseline"/>
        </w:rPr>
        <w:t> </w:t>
      </w:r>
      <w:r>
        <w:rPr>
          <w:sz w:val="18"/>
          <w:vertAlign w:val="baseline"/>
        </w:rPr>
        <w:t>3</w:t>
      </w:r>
      <w:r>
        <w:rPr>
          <w:spacing w:val="-3"/>
          <w:sz w:val="18"/>
          <w:vertAlign w:val="baseline"/>
        </w:rPr>
        <w:t> </w:t>
      </w:r>
      <w:r>
        <w:rPr>
          <w:sz w:val="18"/>
          <w:vertAlign w:val="baseline"/>
        </w:rPr>
        <w:t>(September</w:t>
      </w:r>
      <w:r>
        <w:rPr>
          <w:spacing w:val="-4"/>
          <w:sz w:val="18"/>
          <w:vertAlign w:val="baseline"/>
        </w:rPr>
        <w:t> </w:t>
      </w:r>
      <w:r>
        <w:rPr>
          <w:sz w:val="18"/>
          <w:vertAlign w:val="baseline"/>
        </w:rPr>
        <w:t>2016):</w:t>
      </w:r>
      <w:r>
        <w:rPr>
          <w:spacing w:val="-3"/>
          <w:sz w:val="18"/>
          <w:vertAlign w:val="baseline"/>
        </w:rPr>
        <w:t> </w:t>
      </w:r>
      <w:r>
        <w:rPr>
          <w:sz w:val="18"/>
          <w:vertAlign w:val="baseline"/>
        </w:rPr>
        <w:t>447–</w:t>
      </w:r>
    </w:p>
    <w:p>
      <w:pPr>
        <w:spacing w:before="0"/>
        <w:ind w:left="463" w:right="0" w:firstLine="0"/>
        <w:jc w:val="left"/>
        <w:rPr>
          <w:sz w:val="18"/>
        </w:rPr>
      </w:pPr>
      <w:bookmarkStart w:name="_bookmark236" w:id="426"/>
      <w:bookmarkEnd w:id="426"/>
      <w:r>
        <w:rPr/>
      </w:r>
      <w:r>
        <w:rPr>
          <w:sz w:val="18"/>
        </w:rPr>
        <w:t>55.</w:t>
      </w:r>
      <w:r>
        <w:rPr>
          <w:spacing w:val="-2"/>
          <w:sz w:val="18"/>
        </w:rPr>
        <w:t> </w:t>
      </w:r>
      <w:hyperlink r:id="rId352">
        <w:r>
          <w:rPr>
            <w:color w:val="0561C1"/>
            <w:spacing w:val="-2"/>
            <w:sz w:val="18"/>
            <w:u w:val="single" w:color="0561C1"/>
          </w:rPr>
          <w:t>https://doi.org/10.1097/AOG.0000000000001556</w:t>
        </w:r>
      </w:hyperlink>
      <w:hyperlink r:id="rId352">
        <w:r>
          <w:rPr>
            <w:spacing w:val="-2"/>
            <w:sz w:val="18"/>
            <w:u w:val="none"/>
          </w:rPr>
          <w:t>.</w:t>
        </w:r>
      </w:hyperlink>
    </w:p>
    <w:p>
      <w:pPr>
        <w:spacing w:before="0"/>
        <w:ind w:left="463" w:right="2359" w:hanging="1"/>
        <w:jc w:val="left"/>
        <w:rPr>
          <w:sz w:val="18"/>
        </w:rPr>
      </w:pPr>
      <w:r>
        <w:rPr>
          <w:sz w:val="18"/>
          <w:vertAlign w:val="superscript"/>
        </w:rPr>
        <w:t>43</w:t>
      </w:r>
      <w:r>
        <w:rPr>
          <w:spacing w:val="-13"/>
          <w:sz w:val="18"/>
          <w:vertAlign w:val="baseline"/>
        </w:rPr>
        <w:t> </w:t>
      </w:r>
      <w:r>
        <w:rPr>
          <w:sz w:val="18"/>
          <w:vertAlign w:val="baseline"/>
        </w:rPr>
        <w:t>“The</w:t>
      </w:r>
      <w:r>
        <w:rPr>
          <w:spacing w:val="-5"/>
          <w:sz w:val="18"/>
          <w:vertAlign w:val="baseline"/>
        </w:rPr>
        <w:t> </w:t>
      </w:r>
      <w:r>
        <w:rPr>
          <w:sz w:val="18"/>
          <w:vertAlign w:val="baseline"/>
        </w:rPr>
        <w:t>States</w:t>
      </w:r>
      <w:r>
        <w:rPr>
          <w:spacing w:val="-3"/>
          <w:sz w:val="18"/>
          <w:vertAlign w:val="baseline"/>
        </w:rPr>
        <w:t> </w:t>
      </w:r>
      <w:r>
        <w:rPr>
          <w:sz w:val="18"/>
          <w:vertAlign w:val="baseline"/>
        </w:rPr>
        <w:t>with</w:t>
      </w:r>
      <w:r>
        <w:rPr>
          <w:spacing w:val="-3"/>
          <w:sz w:val="18"/>
          <w:vertAlign w:val="baseline"/>
        </w:rPr>
        <w:t> </w:t>
      </w:r>
      <w:r>
        <w:rPr>
          <w:sz w:val="18"/>
          <w:vertAlign w:val="baseline"/>
        </w:rPr>
        <w:t>the</w:t>
      </w:r>
      <w:r>
        <w:rPr>
          <w:spacing w:val="-3"/>
          <w:sz w:val="18"/>
          <w:vertAlign w:val="baseline"/>
        </w:rPr>
        <w:t> </w:t>
      </w:r>
      <w:r>
        <w:rPr>
          <w:sz w:val="18"/>
          <w:vertAlign w:val="baseline"/>
        </w:rPr>
        <w:t>Highest</w:t>
      </w:r>
      <w:r>
        <w:rPr>
          <w:spacing w:val="-4"/>
          <w:sz w:val="18"/>
          <w:vertAlign w:val="baseline"/>
        </w:rPr>
        <w:t> </w:t>
      </w:r>
      <w:r>
        <w:rPr>
          <w:sz w:val="18"/>
          <w:vertAlign w:val="baseline"/>
        </w:rPr>
        <w:t>(and</w:t>
      </w:r>
      <w:r>
        <w:rPr>
          <w:spacing w:val="-3"/>
          <w:sz w:val="18"/>
          <w:vertAlign w:val="baseline"/>
        </w:rPr>
        <w:t> </w:t>
      </w:r>
      <w:r>
        <w:rPr>
          <w:sz w:val="18"/>
          <w:vertAlign w:val="baseline"/>
        </w:rPr>
        <w:t>Lowest)</w:t>
      </w:r>
      <w:r>
        <w:rPr>
          <w:spacing w:val="-3"/>
          <w:sz w:val="18"/>
          <w:vertAlign w:val="baseline"/>
        </w:rPr>
        <w:t> </w:t>
      </w:r>
      <w:r>
        <w:rPr>
          <w:sz w:val="18"/>
          <w:vertAlign w:val="baseline"/>
        </w:rPr>
        <w:t>Maternal</w:t>
      </w:r>
      <w:r>
        <w:rPr>
          <w:spacing w:val="-4"/>
          <w:sz w:val="18"/>
          <w:vertAlign w:val="baseline"/>
        </w:rPr>
        <w:t> </w:t>
      </w:r>
      <w:r>
        <w:rPr>
          <w:sz w:val="18"/>
          <w:vertAlign w:val="baseline"/>
        </w:rPr>
        <w:t>Mortality,</w:t>
      </w:r>
      <w:r>
        <w:rPr>
          <w:spacing w:val="-3"/>
          <w:sz w:val="18"/>
          <w:vertAlign w:val="baseline"/>
        </w:rPr>
        <w:t> </w:t>
      </w:r>
      <w:r>
        <w:rPr>
          <w:sz w:val="18"/>
          <w:vertAlign w:val="baseline"/>
        </w:rPr>
        <w:t>Mapped,”</w:t>
      </w:r>
      <w:r>
        <w:rPr>
          <w:spacing w:val="-3"/>
          <w:sz w:val="18"/>
          <w:vertAlign w:val="baseline"/>
        </w:rPr>
        <w:t> </w:t>
      </w:r>
      <w:r>
        <w:rPr>
          <w:sz w:val="18"/>
          <w:vertAlign w:val="baseline"/>
        </w:rPr>
        <w:t>accessed</w:t>
      </w:r>
      <w:r>
        <w:rPr>
          <w:spacing w:val="-3"/>
          <w:sz w:val="18"/>
          <w:vertAlign w:val="baseline"/>
        </w:rPr>
        <w:t> </w:t>
      </w:r>
      <w:r>
        <w:rPr>
          <w:sz w:val="18"/>
          <w:vertAlign w:val="baseline"/>
        </w:rPr>
        <w:t>August</w:t>
      </w:r>
      <w:r>
        <w:rPr>
          <w:spacing w:val="-4"/>
          <w:sz w:val="18"/>
          <w:vertAlign w:val="baseline"/>
        </w:rPr>
        <w:t> </w:t>
      </w:r>
      <w:r>
        <w:rPr>
          <w:sz w:val="18"/>
          <w:vertAlign w:val="baseline"/>
        </w:rPr>
        <w:t>11,</w:t>
      </w:r>
      <w:r>
        <w:rPr>
          <w:spacing w:val="-4"/>
          <w:sz w:val="18"/>
          <w:vertAlign w:val="baseline"/>
        </w:rPr>
        <w:t> </w:t>
      </w:r>
      <w:r>
        <w:rPr>
          <w:sz w:val="18"/>
          <w:vertAlign w:val="baseline"/>
        </w:rPr>
        <w:t>2022, </w:t>
      </w:r>
      <w:bookmarkStart w:name="_bookmark237" w:id="427"/>
      <w:bookmarkEnd w:id="427"/>
      <w:r>
        <w:rPr>
          <w:sz w:val="18"/>
          <w:vertAlign w:val="baseline"/>
        </w:rPr>
      </w:r>
      <w:hyperlink r:id="rId353">
        <w:r>
          <w:rPr>
            <w:color w:val="0561C1"/>
            <w:spacing w:val="-2"/>
            <w:sz w:val="18"/>
            <w:u w:val="single" w:color="0561C1"/>
            <w:vertAlign w:val="baseline"/>
          </w:rPr>
          <w:t>https://www.advisory.com/Daily-Briefing/2018/11/09/maternal-mortality</w:t>
        </w:r>
      </w:hyperlink>
      <w:hyperlink r:id="rId353">
        <w:r>
          <w:rPr>
            <w:spacing w:val="-2"/>
            <w:sz w:val="18"/>
            <w:u w:val="none"/>
            <w:vertAlign w:val="baseline"/>
          </w:rPr>
          <w:t>.</w:t>
        </w:r>
      </w:hyperlink>
    </w:p>
    <w:p>
      <w:pPr>
        <w:spacing w:before="0"/>
        <w:ind w:left="463" w:right="0" w:hanging="1"/>
        <w:jc w:val="left"/>
        <w:rPr>
          <w:sz w:val="18"/>
        </w:rPr>
      </w:pPr>
      <w:r>
        <w:rPr>
          <w:sz w:val="18"/>
          <w:vertAlign w:val="superscript"/>
        </w:rPr>
        <w:t>44</w:t>
      </w:r>
      <w:r>
        <w:rPr>
          <w:spacing w:val="-9"/>
          <w:sz w:val="18"/>
          <w:vertAlign w:val="baseline"/>
        </w:rPr>
        <w:t> </w:t>
      </w:r>
      <w:r>
        <w:rPr>
          <w:sz w:val="18"/>
          <w:vertAlign w:val="baseline"/>
        </w:rPr>
        <w:t>Massachusetts Department of Health. </w:t>
      </w:r>
      <w:r>
        <w:rPr>
          <w:i/>
          <w:sz w:val="18"/>
          <w:vertAlign w:val="baseline"/>
        </w:rPr>
        <w:t>Maternal Mortality and Morbidity Review in Massachusetts: A Bulletin for Health Care</w:t>
      </w:r>
      <w:r>
        <w:rPr>
          <w:i/>
          <w:sz w:val="18"/>
          <w:vertAlign w:val="baseline"/>
        </w:rPr>
        <w:t> Professionals,</w:t>
      </w:r>
      <w:r>
        <w:rPr>
          <w:i/>
          <w:spacing w:val="-4"/>
          <w:sz w:val="18"/>
          <w:vertAlign w:val="baseline"/>
        </w:rPr>
        <w:t> </w:t>
      </w:r>
      <w:r>
        <w:rPr>
          <w:i/>
          <w:sz w:val="18"/>
          <w:vertAlign w:val="baseline"/>
        </w:rPr>
        <w:t>Pregnancy-</w:t>
      </w:r>
      <w:r>
        <w:rPr>
          <w:i/>
          <w:spacing w:val="-3"/>
          <w:sz w:val="18"/>
          <w:vertAlign w:val="baseline"/>
        </w:rPr>
        <w:t> </w:t>
      </w:r>
      <w:r>
        <w:rPr>
          <w:i/>
          <w:sz w:val="18"/>
          <w:vertAlign w:val="baseline"/>
        </w:rPr>
        <w:t>Associated</w:t>
      </w:r>
      <w:r>
        <w:rPr>
          <w:i/>
          <w:spacing w:val="-3"/>
          <w:sz w:val="18"/>
          <w:vertAlign w:val="baseline"/>
        </w:rPr>
        <w:t> </w:t>
      </w:r>
      <w:r>
        <w:rPr>
          <w:i/>
          <w:sz w:val="18"/>
          <w:vertAlign w:val="baseline"/>
        </w:rPr>
        <w:t>Mortality,</w:t>
      </w:r>
      <w:r>
        <w:rPr>
          <w:i/>
          <w:spacing w:val="-3"/>
          <w:sz w:val="18"/>
          <w:vertAlign w:val="baseline"/>
        </w:rPr>
        <w:t> </w:t>
      </w:r>
      <w:r>
        <w:rPr>
          <w:i/>
          <w:sz w:val="18"/>
          <w:vertAlign w:val="baseline"/>
        </w:rPr>
        <w:t>2000-2007</w:t>
      </w:r>
      <w:r>
        <w:rPr>
          <w:sz w:val="18"/>
          <w:vertAlign w:val="baseline"/>
        </w:rPr>
        <w:t>.</w:t>
      </w:r>
      <w:r>
        <w:rPr>
          <w:spacing w:val="-3"/>
          <w:sz w:val="18"/>
          <w:vertAlign w:val="baseline"/>
        </w:rPr>
        <w:t> </w:t>
      </w:r>
      <w:r>
        <w:rPr>
          <w:sz w:val="18"/>
          <w:vertAlign w:val="baseline"/>
        </w:rPr>
        <w:t>Bureau</w:t>
      </w:r>
      <w:r>
        <w:rPr>
          <w:spacing w:val="-3"/>
          <w:sz w:val="18"/>
          <w:vertAlign w:val="baseline"/>
        </w:rPr>
        <w:t> </w:t>
      </w:r>
      <w:r>
        <w:rPr>
          <w:sz w:val="18"/>
          <w:vertAlign w:val="baseline"/>
        </w:rPr>
        <w:t>of</w:t>
      </w:r>
      <w:r>
        <w:rPr>
          <w:spacing w:val="-3"/>
          <w:sz w:val="18"/>
          <w:vertAlign w:val="baseline"/>
        </w:rPr>
        <w:t> </w:t>
      </w:r>
      <w:r>
        <w:rPr>
          <w:sz w:val="18"/>
          <w:vertAlign w:val="baseline"/>
        </w:rPr>
        <w:t>Family</w:t>
      </w:r>
      <w:r>
        <w:rPr>
          <w:spacing w:val="-3"/>
          <w:sz w:val="18"/>
          <w:vertAlign w:val="baseline"/>
        </w:rPr>
        <w:t> </w:t>
      </w:r>
      <w:r>
        <w:rPr>
          <w:sz w:val="18"/>
          <w:vertAlign w:val="baseline"/>
        </w:rPr>
        <w:t>Health</w:t>
      </w:r>
      <w:r>
        <w:rPr>
          <w:spacing w:val="-3"/>
          <w:sz w:val="18"/>
          <w:vertAlign w:val="baseline"/>
        </w:rPr>
        <w:t> </w:t>
      </w:r>
      <w:r>
        <w:rPr>
          <w:sz w:val="18"/>
          <w:vertAlign w:val="baseline"/>
        </w:rPr>
        <w:t>and</w:t>
      </w:r>
      <w:r>
        <w:rPr>
          <w:spacing w:val="-3"/>
          <w:sz w:val="18"/>
          <w:vertAlign w:val="baseline"/>
        </w:rPr>
        <w:t> </w:t>
      </w:r>
      <w:r>
        <w:rPr>
          <w:sz w:val="18"/>
          <w:vertAlign w:val="baseline"/>
        </w:rPr>
        <w:t>Nutrition,</w:t>
      </w:r>
      <w:r>
        <w:rPr>
          <w:spacing w:val="-4"/>
          <w:sz w:val="18"/>
          <w:vertAlign w:val="baseline"/>
        </w:rPr>
        <w:t> </w:t>
      </w:r>
      <w:r>
        <w:rPr>
          <w:sz w:val="18"/>
          <w:vertAlign w:val="baseline"/>
        </w:rPr>
        <w:t>Massachusetts</w:t>
      </w:r>
      <w:r>
        <w:rPr>
          <w:spacing w:val="-4"/>
          <w:sz w:val="18"/>
          <w:vertAlign w:val="baseline"/>
        </w:rPr>
        <w:t> </w:t>
      </w:r>
      <w:r>
        <w:rPr>
          <w:sz w:val="18"/>
          <w:vertAlign w:val="baseline"/>
        </w:rPr>
        <w:t>Department</w:t>
      </w:r>
      <w:r>
        <w:rPr>
          <w:spacing w:val="-4"/>
          <w:sz w:val="18"/>
          <w:vertAlign w:val="baseline"/>
        </w:rPr>
        <w:t> </w:t>
      </w:r>
      <w:r>
        <w:rPr>
          <w:sz w:val="18"/>
          <w:vertAlign w:val="baseline"/>
        </w:rPr>
        <w:t>of Public Health (2014). Available online at: https</w:t>
      </w:r>
      <w:hyperlink r:id="rId354">
        <w:r>
          <w:rPr>
            <w:sz w:val="18"/>
            <w:vertAlign w:val="baseline"/>
          </w:rPr>
          <w:t>://www.mass.gov/doc/2014-</w:t>
        </w:r>
      </w:hyperlink>
      <w:r>
        <w:rPr>
          <w:sz w:val="18"/>
          <w:vertAlign w:val="baseline"/>
        </w:rPr>
        <w:t> report- pregnancy- associated- mortality-2000- </w:t>
      </w:r>
      <w:r>
        <w:rPr>
          <w:spacing w:val="-2"/>
          <w:sz w:val="18"/>
          <w:vertAlign w:val="baseline"/>
        </w:rPr>
        <w:t>2007/download</w:t>
      </w:r>
    </w:p>
    <w:p>
      <w:pPr>
        <w:spacing w:before="0"/>
        <w:ind w:left="463" w:right="261" w:firstLine="0"/>
        <w:jc w:val="left"/>
        <w:rPr>
          <w:sz w:val="18"/>
        </w:rPr>
      </w:pPr>
      <w:bookmarkStart w:name="_bookmark238" w:id="428"/>
      <w:bookmarkEnd w:id="428"/>
      <w:r>
        <w:rPr/>
      </w:r>
      <w:r>
        <w:rPr>
          <w:sz w:val="18"/>
          <w:vertAlign w:val="superscript"/>
        </w:rPr>
        <w:t>45</w:t>
      </w:r>
      <w:r>
        <w:rPr>
          <w:spacing w:val="-9"/>
          <w:sz w:val="18"/>
          <w:vertAlign w:val="baseline"/>
        </w:rPr>
        <w:t> </w:t>
      </w:r>
      <w:r>
        <w:rPr>
          <w:sz w:val="18"/>
          <w:vertAlign w:val="baseline"/>
        </w:rPr>
        <w:t>Tucker, Myra J., Cynthia J. Berg, William M. Callaghan, and Jason Hsia. “The Black–White Disparity in Pregnancy-Related Mortality</w:t>
      </w:r>
      <w:r>
        <w:rPr>
          <w:spacing w:val="-2"/>
          <w:sz w:val="18"/>
          <w:vertAlign w:val="baseline"/>
        </w:rPr>
        <w:t> </w:t>
      </w:r>
      <w:r>
        <w:rPr>
          <w:sz w:val="18"/>
          <w:vertAlign w:val="baseline"/>
        </w:rPr>
        <w:t>From</w:t>
      </w:r>
      <w:r>
        <w:rPr>
          <w:spacing w:val="-2"/>
          <w:sz w:val="18"/>
          <w:vertAlign w:val="baseline"/>
        </w:rPr>
        <w:t> </w:t>
      </w:r>
      <w:r>
        <w:rPr>
          <w:sz w:val="18"/>
          <w:vertAlign w:val="baseline"/>
        </w:rPr>
        <w:t>5</w:t>
      </w:r>
      <w:r>
        <w:rPr>
          <w:spacing w:val="-2"/>
          <w:sz w:val="18"/>
          <w:vertAlign w:val="baseline"/>
        </w:rPr>
        <w:t> </w:t>
      </w:r>
      <w:r>
        <w:rPr>
          <w:sz w:val="18"/>
          <w:vertAlign w:val="baseline"/>
        </w:rPr>
        <w:t>Conditions:</w:t>
      </w:r>
      <w:r>
        <w:rPr>
          <w:spacing w:val="-2"/>
          <w:sz w:val="18"/>
          <w:vertAlign w:val="baseline"/>
        </w:rPr>
        <w:t> </w:t>
      </w:r>
      <w:r>
        <w:rPr>
          <w:sz w:val="18"/>
          <w:vertAlign w:val="baseline"/>
        </w:rPr>
        <w:t>Differences</w:t>
      </w:r>
      <w:r>
        <w:rPr>
          <w:spacing w:val="-2"/>
          <w:sz w:val="18"/>
          <w:vertAlign w:val="baseline"/>
        </w:rPr>
        <w:t> </w:t>
      </w:r>
      <w:r>
        <w:rPr>
          <w:sz w:val="18"/>
          <w:vertAlign w:val="baseline"/>
        </w:rPr>
        <w:t>in</w:t>
      </w:r>
      <w:r>
        <w:rPr>
          <w:spacing w:val="-3"/>
          <w:sz w:val="18"/>
          <w:vertAlign w:val="baseline"/>
        </w:rPr>
        <w:t> </w:t>
      </w:r>
      <w:r>
        <w:rPr>
          <w:sz w:val="18"/>
          <w:vertAlign w:val="baseline"/>
        </w:rPr>
        <w:t>Prevalence</w:t>
      </w:r>
      <w:r>
        <w:rPr>
          <w:spacing w:val="-2"/>
          <w:sz w:val="18"/>
          <w:vertAlign w:val="baseline"/>
        </w:rPr>
        <w:t> </w:t>
      </w:r>
      <w:r>
        <w:rPr>
          <w:sz w:val="18"/>
          <w:vertAlign w:val="baseline"/>
        </w:rPr>
        <w:t>and</w:t>
      </w:r>
      <w:r>
        <w:rPr>
          <w:spacing w:val="-2"/>
          <w:sz w:val="18"/>
          <w:vertAlign w:val="baseline"/>
        </w:rPr>
        <w:t> </w:t>
      </w:r>
      <w:r>
        <w:rPr>
          <w:sz w:val="18"/>
          <w:vertAlign w:val="baseline"/>
        </w:rPr>
        <w:t>Case-Fatality</w:t>
      </w:r>
      <w:r>
        <w:rPr>
          <w:spacing w:val="-2"/>
          <w:sz w:val="18"/>
          <w:vertAlign w:val="baseline"/>
        </w:rPr>
        <w:t> </w:t>
      </w:r>
      <w:r>
        <w:rPr>
          <w:sz w:val="18"/>
          <w:vertAlign w:val="baseline"/>
        </w:rPr>
        <w:t>Rates.”</w:t>
      </w:r>
      <w:r>
        <w:rPr>
          <w:spacing w:val="-2"/>
          <w:sz w:val="18"/>
          <w:vertAlign w:val="baseline"/>
        </w:rPr>
        <w:t> </w:t>
      </w:r>
      <w:r>
        <w:rPr>
          <w:i/>
          <w:sz w:val="18"/>
          <w:vertAlign w:val="baseline"/>
        </w:rPr>
        <w:t>American</w:t>
      </w:r>
      <w:r>
        <w:rPr>
          <w:i/>
          <w:spacing w:val="-2"/>
          <w:sz w:val="18"/>
          <w:vertAlign w:val="baseline"/>
        </w:rPr>
        <w:t> </w:t>
      </w:r>
      <w:r>
        <w:rPr>
          <w:i/>
          <w:sz w:val="18"/>
          <w:vertAlign w:val="baseline"/>
        </w:rPr>
        <w:t>Journal</w:t>
      </w:r>
      <w:r>
        <w:rPr>
          <w:i/>
          <w:spacing w:val="-3"/>
          <w:sz w:val="18"/>
          <w:vertAlign w:val="baseline"/>
        </w:rPr>
        <w:t> </w:t>
      </w:r>
      <w:r>
        <w:rPr>
          <w:i/>
          <w:sz w:val="18"/>
          <w:vertAlign w:val="baseline"/>
        </w:rPr>
        <w:t>of</w:t>
      </w:r>
      <w:r>
        <w:rPr>
          <w:i/>
          <w:spacing w:val="-2"/>
          <w:sz w:val="18"/>
          <w:vertAlign w:val="baseline"/>
        </w:rPr>
        <w:t> </w:t>
      </w:r>
      <w:r>
        <w:rPr>
          <w:i/>
          <w:sz w:val="18"/>
          <w:vertAlign w:val="baseline"/>
        </w:rPr>
        <w:t>Public</w:t>
      </w:r>
      <w:r>
        <w:rPr>
          <w:i/>
          <w:spacing w:val="-3"/>
          <w:sz w:val="18"/>
          <w:vertAlign w:val="baseline"/>
        </w:rPr>
        <w:t> </w:t>
      </w:r>
      <w:r>
        <w:rPr>
          <w:i/>
          <w:sz w:val="18"/>
          <w:vertAlign w:val="baseline"/>
        </w:rPr>
        <w:t>Health</w:t>
      </w:r>
      <w:r>
        <w:rPr>
          <w:i/>
          <w:spacing w:val="-2"/>
          <w:sz w:val="18"/>
          <w:vertAlign w:val="baseline"/>
        </w:rPr>
        <w:t> </w:t>
      </w:r>
      <w:r>
        <w:rPr>
          <w:sz w:val="18"/>
          <w:vertAlign w:val="baseline"/>
        </w:rPr>
        <w:t>97,</w:t>
      </w:r>
      <w:r>
        <w:rPr>
          <w:spacing w:val="-3"/>
          <w:sz w:val="18"/>
          <w:vertAlign w:val="baseline"/>
        </w:rPr>
        <w:t> </w:t>
      </w:r>
      <w:r>
        <w:rPr>
          <w:sz w:val="18"/>
          <w:vertAlign w:val="baseline"/>
        </w:rPr>
        <w:t>no.</w:t>
      </w:r>
      <w:r>
        <w:rPr>
          <w:spacing w:val="-2"/>
          <w:sz w:val="18"/>
          <w:vertAlign w:val="baseline"/>
        </w:rPr>
        <w:t> </w:t>
      </w:r>
      <w:r>
        <w:rPr>
          <w:sz w:val="18"/>
          <w:vertAlign w:val="baseline"/>
        </w:rPr>
        <w:t>2 (February 2007): 247–51. </w:t>
      </w:r>
      <w:hyperlink r:id="rId355">
        <w:r>
          <w:rPr>
            <w:color w:val="0561C1"/>
            <w:sz w:val="18"/>
            <w:u w:val="single" w:color="0561C1"/>
            <w:vertAlign w:val="baseline"/>
          </w:rPr>
          <w:t>https://doi.org/10.2105/AJPH.2005.072975</w:t>
        </w:r>
      </w:hyperlink>
    </w:p>
    <w:p>
      <w:pPr>
        <w:spacing w:before="0"/>
        <w:ind w:left="463" w:right="1067" w:hanging="1"/>
        <w:jc w:val="left"/>
        <w:rPr>
          <w:sz w:val="18"/>
        </w:rPr>
      </w:pPr>
      <w:bookmarkStart w:name="_bookmark239" w:id="429"/>
      <w:bookmarkEnd w:id="429"/>
      <w:r>
        <w:rPr/>
      </w:r>
      <w:r>
        <w:rPr>
          <w:sz w:val="18"/>
          <w:vertAlign w:val="superscript"/>
        </w:rPr>
        <w:t>46</w:t>
      </w:r>
      <w:r>
        <w:rPr>
          <w:spacing w:val="-13"/>
          <w:sz w:val="18"/>
          <w:vertAlign w:val="baseline"/>
        </w:rPr>
        <w:t> </w:t>
      </w:r>
      <w:r>
        <w:rPr>
          <w:sz w:val="18"/>
          <w:vertAlign w:val="baseline"/>
        </w:rPr>
        <w:t>“Protecting</w:t>
      </w:r>
      <w:r>
        <w:rPr>
          <w:spacing w:val="-3"/>
          <w:sz w:val="18"/>
          <w:vertAlign w:val="baseline"/>
        </w:rPr>
        <w:t> </w:t>
      </w:r>
      <w:r>
        <w:rPr>
          <w:sz w:val="18"/>
          <w:vertAlign w:val="baseline"/>
        </w:rPr>
        <w:t>Basic</w:t>
      </w:r>
      <w:r>
        <w:rPr>
          <w:spacing w:val="-3"/>
          <w:sz w:val="18"/>
          <w:vertAlign w:val="baseline"/>
        </w:rPr>
        <w:t> </w:t>
      </w:r>
      <w:r>
        <w:rPr>
          <w:sz w:val="18"/>
          <w:vertAlign w:val="baseline"/>
        </w:rPr>
        <w:t>Living</w:t>
      </w:r>
      <w:r>
        <w:rPr>
          <w:spacing w:val="-2"/>
          <w:sz w:val="18"/>
          <w:vertAlign w:val="baseline"/>
        </w:rPr>
        <w:t> </w:t>
      </w:r>
      <w:r>
        <w:rPr>
          <w:sz w:val="18"/>
          <w:vertAlign w:val="baseline"/>
        </w:rPr>
        <w:t>Standards</w:t>
      </w:r>
      <w:r>
        <w:rPr>
          <w:spacing w:val="-2"/>
          <w:sz w:val="18"/>
          <w:vertAlign w:val="baseline"/>
        </w:rPr>
        <w:t> </w:t>
      </w:r>
      <w:r>
        <w:rPr>
          <w:sz w:val="18"/>
          <w:vertAlign w:val="baseline"/>
        </w:rPr>
        <w:t>for</w:t>
      </w:r>
      <w:r>
        <w:rPr>
          <w:spacing w:val="-3"/>
          <w:sz w:val="18"/>
          <w:vertAlign w:val="baseline"/>
        </w:rPr>
        <w:t> </w:t>
      </w:r>
      <w:r>
        <w:rPr>
          <w:sz w:val="18"/>
          <w:vertAlign w:val="baseline"/>
        </w:rPr>
        <w:t>LGBTQ</w:t>
      </w:r>
      <w:r>
        <w:rPr>
          <w:spacing w:val="-4"/>
          <w:sz w:val="18"/>
          <w:vertAlign w:val="baseline"/>
        </w:rPr>
        <w:t> </w:t>
      </w:r>
      <w:r>
        <w:rPr>
          <w:sz w:val="18"/>
          <w:vertAlign w:val="baseline"/>
        </w:rPr>
        <w:t>People,”</w:t>
      </w:r>
      <w:r>
        <w:rPr>
          <w:spacing w:val="-2"/>
          <w:sz w:val="18"/>
          <w:vertAlign w:val="baseline"/>
        </w:rPr>
        <w:t> </w:t>
      </w:r>
      <w:r>
        <w:rPr>
          <w:i/>
          <w:sz w:val="18"/>
          <w:vertAlign w:val="baseline"/>
        </w:rPr>
        <w:t>Center</w:t>
      </w:r>
      <w:r>
        <w:rPr>
          <w:i/>
          <w:spacing w:val="-3"/>
          <w:sz w:val="18"/>
          <w:vertAlign w:val="baseline"/>
        </w:rPr>
        <w:t> </w:t>
      </w:r>
      <w:r>
        <w:rPr>
          <w:i/>
          <w:sz w:val="18"/>
          <w:vertAlign w:val="baseline"/>
        </w:rPr>
        <w:t>for</w:t>
      </w:r>
      <w:r>
        <w:rPr>
          <w:i/>
          <w:spacing w:val="-3"/>
          <w:sz w:val="18"/>
          <w:vertAlign w:val="baseline"/>
        </w:rPr>
        <w:t> </w:t>
      </w:r>
      <w:r>
        <w:rPr>
          <w:i/>
          <w:sz w:val="18"/>
          <w:vertAlign w:val="baseline"/>
        </w:rPr>
        <w:t>American</w:t>
      </w:r>
      <w:r>
        <w:rPr>
          <w:i/>
          <w:spacing w:val="-2"/>
          <w:sz w:val="18"/>
          <w:vertAlign w:val="baseline"/>
        </w:rPr>
        <w:t> </w:t>
      </w:r>
      <w:r>
        <w:rPr>
          <w:i/>
          <w:sz w:val="18"/>
          <w:vertAlign w:val="baseline"/>
        </w:rPr>
        <w:t>Progress</w:t>
      </w:r>
      <w:r>
        <w:rPr>
          <w:i/>
          <w:spacing w:val="-3"/>
          <w:sz w:val="18"/>
          <w:vertAlign w:val="baseline"/>
        </w:rPr>
        <w:t> </w:t>
      </w:r>
      <w:r>
        <w:rPr>
          <w:sz w:val="18"/>
          <w:vertAlign w:val="baseline"/>
        </w:rPr>
        <w:t>(blog),</w:t>
      </w:r>
      <w:r>
        <w:rPr>
          <w:spacing w:val="-3"/>
          <w:sz w:val="18"/>
          <w:vertAlign w:val="baseline"/>
        </w:rPr>
        <w:t> </w:t>
      </w:r>
      <w:r>
        <w:rPr>
          <w:sz w:val="18"/>
          <w:vertAlign w:val="baseline"/>
        </w:rPr>
        <w:t>accessed</w:t>
      </w:r>
      <w:r>
        <w:rPr>
          <w:spacing w:val="-2"/>
          <w:sz w:val="18"/>
          <w:vertAlign w:val="baseline"/>
        </w:rPr>
        <w:t> </w:t>
      </w:r>
      <w:r>
        <w:rPr>
          <w:sz w:val="18"/>
          <w:vertAlign w:val="baseline"/>
        </w:rPr>
        <w:t>August</w:t>
      </w:r>
      <w:r>
        <w:rPr>
          <w:spacing w:val="-3"/>
          <w:sz w:val="18"/>
          <w:vertAlign w:val="baseline"/>
        </w:rPr>
        <w:t> </w:t>
      </w:r>
      <w:r>
        <w:rPr>
          <w:sz w:val="18"/>
          <w:vertAlign w:val="baseline"/>
        </w:rPr>
        <w:t>11,</w:t>
      </w:r>
      <w:r>
        <w:rPr>
          <w:spacing w:val="-3"/>
          <w:sz w:val="18"/>
          <w:vertAlign w:val="baseline"/>
        </w:rPr>
        <w:t> </w:t>
      </w:r>
      <w:r>
        <w:rPr>
          <w:sz w:val="18"/>
          <w:vertAlign w:val="baseline"/>
        </w:rPr>
        <w:t>2022, </w:t>
      </w:r>
      <w:hyperlink r:id="rId356">
        <w:r>
          <w:rPr>
            <w:color w:val="0561C1"/>
            <w:spacing w:val="-2"/>
            <w:sz w:val="18"/>
            <w:u w:val="single" w:color="0561C1"/>
            <w:vertAlign w:val="baseline"/>
          </w:rPr>
          <w:t>https://www.americanprogress.org/article/protecting-basic-living-standards-lgbtq-people/</w:t>
        </w:r>
      </w:hyperlink>
      <w:hyperlink r:id="rId356">
        <w:r>
          <w:rPr>
            <w:spacing w:val="-2"/>
            <w:sz w:val="18"/>
            <w:u w:val="none"/>
            <w:vertAlign w:val="baseline"/>
          </w:rPr>
          <w:t>.</w:t>
        </w:r>
      </w:hyperlink>
    </w:p>
    <w:p>
      <w:pPr>
        <w:spacing w:before="0"/>
        <w:ind w:left="463" w:right="261" w:hanging="1"/>
        <w:jc w:val="left"/>
        <w:rPr>
          <w:sz w:val="18"/>
        </w:rPr>
      </w:pPr>
      <w:bookmarkStart w:name="_bookmark240" w:id="430"/>
      <w:bookmarkEnd w:id="430"/>
      <w:r>
        <w:rPr/>
      </w:r>
      <w:r>
        <w:rPr>
          <w:sz w:val="18"/>
          <w:vertAlign w:val="superscript"/>
        </w:rPr>
        <w:t>47</w:t>
      </w:r>
      <w:r>
        <w:rPr>
          <w:spacing w:val="-13"/>
          <w:sz w:val="18"/>
          <w:vertAlign w:val="baseline"/>
        </w:rPr>
        <w:t> </w:t>
      </w:r>
      <w:r>
        <w:rPr>
          <w:sz w:val="18"/>
          <w:vertAlign w:val="baseline"/>
        </w:rPr>
        <w:t>Brittany</w:t>
      </w:r>
      <w:r>
        <w:rPr>
          <w:spacing w:val="-4"/>
          <w:sz w:val="18"/>
          <w:vertAlign w:val="baseline"/>
        </w:rPr>
        <w:t> </w:t>
      </w:r>
      <w:r>
        <w:rPr>
          <w:sz w:val="18"/>
          <w:vertAlign w:val="baseline"/>
        </w:rPr>
        <w:t>M.</w:t>
      </w:r>
      <w:r>
        <w:rPr>
          <w:spacing w:val="-3"/>
          <w:sz w:val="18"/>
          <w:vertAlign w:val="baseline"/>
        </w:rPr>
        <w:t> </w:t>
      </w:r>
      <w:r>
        <w:rPr>
          <w:sz w:val="18"/>
          <w:vertAlign w:val="baseline"/>
        </w:rPr>
        <w:t>Charlton</w:t>
      </w:r>
      <w:r>
        <w:rPr>
          <w:spacing w:val="-3"/>
          <w:sz w:val="18"/>
          <w:vertAlign w:val="baseline"/>
        </w:rPr>
        <w:t> </w:t>
      </w:r>
      <w:r>
        <w:rPr>
          <w:sz w:val="18"/>
          <w:vertAlign w:val="baseline"/>
        </w:rPr>
        <w:t>et</w:t>
      </w:r>
      <w:r>
        <w:rPr>
          <w:spacing w:val="-4"/>
          <w:sz w:val="18"/>
          <w:vertAlign w:val="baseline"/>
        </w:rPr>
        <w:t> </w:t>
      </w:r>
      <w:r>
        <w:rPr>
          <w:sz w:val="18"/>
          <w:vertAlign w:val="baseline"/>
        </w:rPr>
        <w:t>al.,</w:t>
      </w:r>
      <w:r>
        <w:rPr>
          <w:spacing w:val="-4"/>
          <w:sz w:val="18"/>
          <w:vertAlign w:val="baseline"/>
        </w:rPr>
        <w:t> </w:t>
      </w:r>
      <w:r>
        <w:rPr>
          <w:sz w:val="18"/>
          <w:vertAlign w:val="baseline"/>
        </w:rPr>
        <w:t>“Sexual</w:t>
      </w:r>
      <w:r>
        <w:rPr>
          <w:spacing w:val="-4"/>
          <w:sz w:val="18"/>
          <w:vertAlign w:val="baseline"/>
        </w:rPr>
        <w:t> </w:t>
      </w:r>
      <w:r>
        <w:rPr>
          <w:sz w:val="18"/>
          <w:vertAlign w:val="baseline"/>
        </w:rPr>
        <w:t>Orientation</w:t>
      </w:r>
      <w:r>
        <w:rPr>
          <w:spacing w:val="-2"/>
          <w:sz w:val="18"/>
          <w:vertAlign w:val="baseline"/>
        </w:rPr>
        <w:t> </w:t>
      </w:r>
      <w:r>
        <w:rPr>
          <w:sz w:val="18"/>
          <w:vertAlign w:val="baseline"/>
        </w:rPr>
        <w:t>Differences</w:t>
      </w:r>
      <w:r>
        <w:rPr>
          <w:spacing w:val="-3"/>
          <w:sz w:val="18"/>
          <w:vertAlign w:val="baseline"/>
        </w:rPr>
        <w:t> </w:t>
      </w:r>
      <w:r>
        <w:rPr>
          <w:sz w:val="18"/>
          <w:vertAlign w:val="baseline"/>
        </w:rPr>
        <w:t>in</w:t>
      </w:r>
      <w:r>
        <w:rPr>
          <w:spacing w:val="-3"/>
          <w:sz w:val="18"/>
          <w:vertAlign w:val="baseline"/>
        </w:rPr>
        <w:t> </w:t>
      </w:r>
      <w:r>
        <w:rPr>
          <w:sz w:val="18"/>
          <w:vertAlign w:val="baseline"/>
        </w:rPr>
        <w:t>Pregnancy</w:t>
      </w:r>
      <w:r>
        <w:rPr>
          <w:spacing w:val="-3"/>
          <w:sz w:val="18"/>
          <w:vertAlign w:val="baseline"/>
        </w:rPr>
        <w:t> </w:t>
      </w:r>
      <w:r>
        <w:rPr>
          <w:sz w:val="18"/>
          <w:vertAlign w:val="baseline"/>
        </w:rPr>
        <w:t>and</w:t>
      </w:r>
      <w:r>
        <w:rPr>
          <w:spacing w:val="-3"/>
          <w:sz w:val="18"/>
          <w:vertAlign w:val="baseline"/>
        </w:rPr>
        <w:t> </w:t>
      </w:r>
      <w:r>
        <w:rPr>
          <w:sz w:val="18"/>
          <w:vertAlign w:val="baseline"/>
        </w:rPr>
        <w:t>Abortion</w:t>
      </w:r>
      <w:r>
        <w:rPr>
          <w:spacing w:val="-3"/>
          <w:sz w:val="18"/>
          <w:vertAlign w:val="baseline"/>
        </w:rPr>
        <w:t> </w:t>
      </w:r>
      <w:r>
        <w:rPr>
          <w:sz w:val="18"/>
          <w:vertAlign w:val="baseline"/>
        </w:rPr>
        <w:t>Across</w:t>
      </w:r>
      <w:r>
        <w:rPr>
          <w:spacing w:val="-3"/>
          <w:sz w:val="18"/>
          <w:vertAlign w:val="baseline"/>
        </w:rPr>
        <w:t> </w:t>
      </w:r>
      <w:r>
        <w:rPr>
          <w:sz w:val="18"/>
          <w:vertAlign w:val="baseline"/>
        </w:rPr>
        <w:t>the</w:t>
      </w:r>
      <w:r>
        <w:rPr>
          <w:spacing w:val="-3"/>
          <w:sz w:val="18"/>
          <w:vertAlign w:val="baseline"/>
        </w:rPr>
        <w:t> </w:t>
      </w:r>
      <w:r>
        <w:rPr>
          <w:sz w:val="18"/>
          <w:vertAlign w:val="baseline"/>
        </w:rPr>
        <w:t>Lifecourse,”</w:t>
      </w:r>
      <w:r>
        <w:rPr>
          <w:spacing w:val="-3"/>
          <w:sz w:val="18"/>
          <w:vertAlign w:val="baseline"/>
        </w:rPr>
        <w:t> </w:t>
      </w:r>
      <w:r>
        <w:rPr>
          <w:i/>
          <w:sz w:val="18"/>
          <w:vertAlign w:val="baseline"/>
        </w:rPr>
        <w:t>Women’s</w:t>
      </w:r>
      <w:r>
        <w:rPr>
          <w:i/>
          <w:spacing w:val="-4"/>
          <w:sz w:val="18"/>
          <w:vertAlign w:val="baseline"/>
        </w:rPr>
        <w:t> </w:t>
      </w:r>
      <w:r>
        <w:rPr>
          <w:i/>
          <w:sz w:val="18"/>
          <w:vertAlign w:val="baseline"/>
        </w:rPr>
        <w:t>Health</w:t>
      </w:r>
      <w:r>
        <w:rPr>
          <w:i/>
          <w:sz w:val="18"/>
          <w:vertAlign w:val="baseline"/>
        </w:rPr>
        <w:t> Issues </w:t>
      </w:r>
      <w:r>
        <w:rPr>
          <w:sz w:val="18"/>
          <w:vertAlign w:val="baseline"/>
        </w:rPr>
        <w:t>30, no. 2 (March 2020): 65–72.</w:t>
      </w:r>
    </w:p>
    <w:p>
      <w:pPr>
        <w:spacing w:before="0"/>
        <w:ind w:left="463" w:right="261" w:hanging="1"/>
        <w:jc w:val="left"/>
        <w:rPr>
          <w:sz w:val="18"/>
        </w:rPr>
      </w:pPr>
      <w:bookmarkStart w:name="_bookmark241" w:id="431"/>
      <w:bookmarkEnd w:id="431"/>
      <w:r>
        <w:rPr/>
      </w:r>
      <w:r>
        <w:rPr>
          <w:sz w:val="18"/>
          <w:vertAlign w:val="superscript"/>
        </w:rPr>
        <w:t>48</w:t>
      </w:r>
      <w:r>
        <w:rPr>
          <w:spacing w:val="-13"/>
          <w:sz w:val="18"/>
          <w:vertAlign w:val="baseline"/>
        </w:rPr>
        <w:t> </w:t>
      </w:r>
      <w:r>
        <w:rPr>
          <w:sz w:val="18"/>
          <w:vertAlign w:val="baseline"/>
        </w:rPr>
        <w:t>Rachel</w:t>
      </w:r>
      <w:r>
        <w:rPr>
          <w:spacing w:val="-5"/>
          <w:sz w:val="18"/>
          <w:vertAlign w:val="baseline"/>
        </w:rPr>
        <w:t> </w:t>
      </w:r>
      <w:r>
        <w:rPr>
          <w:sz w:val="18"/>
          <w:vertAlign w:val="baseline"/>
        </w:rPr>
        <w:t>K.</w:t>
      </w:r>
      <w:r>
        <w:rPr>
          <w:spacing w:val="-2"/>
          <w:sz w:val="18"/>
          <w:vertAlign w:val="baseline"/>
        </w:rPr>
        <w:t> </w:t>
      </w:r>
      <w:r>
        <w:rPr>
          <w:sz w:val="18"/>
          <w:vertAlign w:val="baseline"/>
        </w:rPr>
        <w:t>Jones,</w:t>
      </w:r>
      <w:r>
        <w:rPr>
          <w:spacing w:val="-3"/>
          <w:sz w:val="18"/>
          <w:vertAlign w:val="baseline"/>
        </w:rPr>
        <w:t> </w:t>
      </w:r>
      <w:r>
        <w:rPr>
          <w:sz w:val="18"/>
          <w:vertAlign w:val="baseline"/>
        </w:rPr>
        <w:t>Elizabeth</w:t>
      </w:r>
      <w:r>
        <w:rPr>
          <w:spacing w:val="-2"/>
          <w:sz w:val="18"/>
          <w:vertAlign w:val="baseline"/>
        </w:rPr>
        <w:t> </w:t>
      </w:r>
      <w:r>
        <w:rPr>
          <w:sz w:val="18"/>
          <w:vertAlign w:val="baseline"/>
        </w:rPr>
        <w:t>Witwer,</w:t>
      </w:r>
      <w:r>
        <w:rPr>
          <w:spacing w:val="-3"/>
          <w:sz w:val="18"/>
          <w:vertAlign w:val="baseline"/>
        </w:rPr>
        <w:t> </w:t>
      </w:r>
      <w:r>
        <w:rPr>
          <w:sz w:val="18"/>
          <w:vertAlign w:val="baseline"/>
        </w:rPr>
        <w:t>and</w:t>
      </w:r>
      <w:r>
        <w:rPr>
          <w:spacing w:val="-2"/>
          <w:sz w:val="18"/>
          <w:vertAlign w:val="baseline"/>
        </w:rPr>
        <w:t> </w:t>
      </w:r>
      <w:r>
        <w:rPr>
          <w:sz w:val="18"/>
          <w:vertAlign w:val="baseline"/>
        </w:rPr>
        <w:t>Jenna</w:t>
      </w:r>
      <w:r>
        <w:rPr>
          <w:spacing w:val="-3"/>
          <w:sz w:val="18"/>
          <w:vertAlign w:val="baseline"/>
        </w:rPr>
        <w:t> </w:t>
      </w:r>
      <w:r>
        <w:rPr>
          <w:sz w:val="18"/>
          <w:vertAlign w:val="baseline"/>
        </w:rPr>
        <w:t>Jerman,</w:t>
      </w:r>
      <w:r>
        <w:rPr>
          <w:spacing w:val="-3"/>
          <w:sz w:val="18"/>
          <w:vertAlign w:val="baseline"/>
        </w:rPr>
        <w:t> </w:t>
      </w:r>
      <w:r>
        <w:rPr>
          <w:sz w:val="18"/>
          <w:vertAlign w:val="baseline"/>
        </w:rPr>
        <w:t>“Transgender</w:t>
      </w:r>
      <w:r>
        <w:rPr>
          <w:spacing w:val="-3"/>
          <w:sz w:val="18"/>
          <w:vertAlign w:val="baseline"/>
        </w:rPr>
        <w:t> </w:t>
      </w:r>
      <w:r>
        <w:rPr>
          <w:sz w:val="18"/>
          <w:vertAlign w:val="baseline"/>
        </w:rPr>
        <w:t>Abortion</w:t>
      </w:r>
      <w:r>
        <w:rPr>
          <w:spacing w:val="-2"/>
          <w:sz w:val="18"/>
          <w:vertAlign w:val="baseline"/>
        </w:rPr>
        <w:t> </w:t>
      </w:r>
      <w:r>
        <w:rPr>
          <w:sz w:val="18"/>
          <w:vertAlign w:val="baseline"/>
        </w:rPr>
        <w:t>Patients</w:t>
      </w:r>
      <w:r>
        <w:rPr>
          <w:spacing w:val="-2"/>
          <w:sz w:val="18"/>
          <w:vertAlign w:val="baseline"/>
        </w:rPr>
        <w:t> </w:t>
      </w:r>
      <w:r>
        <w:rPr>
          <w:sz w:val="18"/>
          <w:vertAlign w:val="baseline"/>
        </w:rPr>
        <w:t>and</w:t>
      </w:r>
      <w:r>
        <w:rPr>
          <w:spacing w:val="-2"/>
          <w:sz w:val="18"/>
          <w:vertAlign w:val="baseline"/>
        </w:rPr>
        <w:t> </w:t>
      </w:r>
      <w:r>
        <w:rPr>
          <w:sz w:val="18"/>
          <w:vertAlign w:val="baseline"/>
        </w:rPr>
        <w:t>the</w:t>
      </w:r>
      <w:r>
        <w:rPr>
          <w:spacing w:val="-3"/>
          <w:sz w:val="18"/>
          <w:vertAlign w:val="baseline"/>
        </w:rPr>
        <w:t> </w:t>
      </w:r>
      <w:r>
        <w:rPr>
          <w:sz w:val="18"/>
          <w:vertAlign w:val="baseline"/>
        </w:rPr>
        <w:t>Provision</w:t>
      </w:r>
      <w:r>
        <w:rPr>
          <w:spacing w:val="-2"/>
          <w:sz w:val="18"/>
          <w:vertAlign w:val="baseline"/>
        </w:rPr>
        <w:t> </w:t>
      </w:r>
      <w:r>
        <w:rPr>
          <w:sz w:val="18"/>
          <w:vertAlign w:val="baseline"/>
        </w:rPr>
        <w:t>of</w:t>
      </w:r>
      <w:r>
        <w:rPr>
          <w:spacing w:val="-2"/>
          <w:sz w:val="18"/>
          <w:vertAlign w:val="baseline"/>
        </w:rPr>
        <w:t> </w:t>
      </w:r>
      <w:r>
        <w:rPr>
          <w:sz w:val="18"/>
          <w:vertAlign w:val="baseline"/>
        </w:rPr>
        <w:t>Transgender-</w:t>
      </w:r>
      <w:r>
        <w:rPr>
          <w:spacing w:val="-2"/>
          <w:sz w:val="18"/>
          <w:vertAlign w:val="baseline"/>
        </w:rPr>
        <w:t> </w:t>
      </w:r>
      <w:r>
        <w:rPr>
          <w:sz w:val="18"/>
          <w:vertAlign w:val="baseline"/>
        </w:rPr>
        <w:t>Specific Care at Non-Hospital Facilities That Provide Abortions,” </w:t>
      </w:r>
      <w:r>
        <w:rPr>
          <w:i/>
          <w:sz w:val="18"/>
          <w:vertAlign w:val="baseline"/>
        </w:rPr>
        <w:t>Contraception: X </w:t>
      </w:r>
      <w:r>
        <w:rPr>
          <w:sz w:val="18"/>
          <w:vertAlign w:val="baseline"/>
        </w:rPr>
        <w:t>2 (2020): 100019, </w:t>
      </w:r>
      <w:hyperlink r:id="rId357">
        <w:r>
          <w:rPr>
            <w:color w:val="0561C1"/>
            <w:spacing w:val="-2"/>
            <w:sz w:val="18"/>
            <w:u w:val="single" w:color="0561C1"/>
            <w:vertAlign w:val="baseline"/>
          </w:rPr>
          <w:t>https://doi.org/10.1016/j.conx.2020.100019</w:t>
        </w:r>
      </w:hyperlink>
      <w:hyperlink r:id="rId357">
        <w:r>
          <w:rPr>
            <w:spacing w:val="-2"/>
            <w:sz w:val="18"/>
            <w:u w:val="none"/>
            <w:vertAlign w:val="baseline"/>
          </w:rPr>
          <w:t>.</w:t>
        </w:r>
      </w:hyperlink>
    </w:p>
    <w:p>
      <w:pPr>
        <w:spacing w:before="0"/>
        <w:ind w:left="463" w:right="781" w:hanging="1"/>
        <w:jc w:val="left"/>
        <w:rPr>
          <w:sz w:val="18"/>
        </w:rPr>
      </w:pPr>
      <w:bookmarkStart w:name="_bookmark242" w:id="432"/>
      <w:bookmarkEnd w:id="432"/>
      <w:r>
        <w:rPr/>
      </w:r>
      <w:r>
        <w:rPr>
          <w:sz w:val="18"/>
          <w:vertAlign w:val="superscript"/>
        </w:rPr>
        <w:t>49</w:t>
      </w:r>
      <w:r>
        <w:rPr>
          <w:spacing w:val="-13"/>
          <w:sz w:val="18"/>
          <w:vertAlign w:val="baseline"/>
        </w:rPr>
        <w:t> </w:t>
      </w:r>
      <w:r>
        <w:rPr>
          <w:sz w:val="18"/>
          <w:vertAlign w:val="baseline"/>
        </w:rPr>
        <w:t>“New</w:t>
      </w:r>
      <w:r>
        <w:rPr>
          <w:spacing w:val="-4"/>
          <w:sz w:val="18"/>
          <w:vertAlign w:val="baseline"/>
        </w:rPr>
        <w:t> </w:t>
      </w:r>
      <w:r>
        <w:rPr>
          <w:sz w:val="18"/>
          <w:vertAlign w:val="baseline"/>
        </w:rPr>
        <w:t>Poll</w:t>
      </w:r>
      <w:r>
        <w:rPr>
          <w:spacing w:val="-3"/>
          <w:sz w:val="18"/>
          <w:vertAlign w:val="baseline"/>
        </w:rPr>
        <w:t> </w:t>
      </w:r>
      <w:r>
        <w:rPr>
          <w:sz w:val="18"/>
          <w:vertAlign w:val="baseline"/>
        </w:rPr>
        <w:t>Illustrates</w:t>
      </w:r>
      <w:r>
        <w:rPr>
          <w:spacing w:val="-2"/>
          <w:sz w:val="18"/>
          <w:vertAlign w:val="baseline"/>
        </w:rPr>
        <w:t> </w:t>
      </w:r>
      <w:r>
        <w:rPr>
          <w:sz w:val="18"/>
          <w:vertAlign w:val="baseline"/>
        </w:rPr>
        <w:t>the</w:t>
      </w:r>
      <w:r>
        <w:rPr>
          <w:spacing w:val="-2"/>
          <w:sz w:val="18"/>
          <w:vertAlign w:val="baseline"/>
        </w:rPr>
        <w:t> </w:t>
      </w:r>
      <w:r>
        <w:rPr>
          <w:sz w:val="18"/>
          <w:vertAlign w:val="baseline"/>
        </w:rPr>
        <w:t>Impacts</w:t>
      </w:r>
      <w:r>
        <w:rPr>
          <w:spacing w:val="-2"/>
          <w:sz w:val="18"/>
          <w:vertAlign w:val="baseline"/>
        </w:rPr>
        <w:t> </w:t>
      </w:r>
      <w:r>
        <w:rPr>
          <w:sz w:val="18"/>
          <w:vertAlign w:val="baseline"/>
        </w:rPr>
        <w:t>of</w:t>
      </w:r>
      <w:r>
        <w:rPr>
          <w:spacing w:val="-2"/>
          <w:sz w:val="18"/>
          <w:vertAlign w:val="baseline"/>
        </w:rPr>
        <w:t> </w:t>
      </w:r>
      <w:r>
        <w:rPr>
          <w:sz w:val="18"/>
          <w:vertAlign w:val="baseline"/>
        </w:rPr>
        <w:t>Social</w:t>
      </w:r>
      <w:r>
        <w:rPr>
          <w:spacing w:val="-3"/>
          <w:sz w:val="18"/>
          <w:vertAlign w:val="baseline"/>
        </w:rPr>
        <w:t> </w:t>
      </w:r>
      <w:r>
        <w:rPr>
          <w:sz w:val="18"/>
          <w:vertAlign w:val="baseline"/>
        </w:rPr>
        <w:t>&amp;</w:t>
      </w:r>
      <w:r>
        <w:rPr>
          <w:spacing w:val="-3"/>
          <w:sz w:val="18"/>
          <w:vertAlign w:val="baseline"/>
        </w:rPr>
        <w:t> </w:t>
      </w:r>
      <w:r>
        <w:rPr>
          <w:sz w:val="18"/>
          <w:vertAlign w:val="baseline"/>
        </w:rPr>
        <w:t>Political</w:t>
      </w:r>
      <w:r>
        <w:rPr>
          <w:spacing w:val="-3"/>
          <w:sz w:val="18"/>
          <w:vertAlign w:val="baseline"/>
        </w:rPr>
        <w:t> </w:t>
      </w:r>
      <w:r>
        <w:rPr>
          <w:sz w:val="18"/>
          <w:vertAlign w:val="baseline"/>
        </w:rPr>
        <w:t>Issues</w:t>
      </w:r>
      <w:r>
        <w:rPr>
          <w:spacing w:val="-2"/>
          <w:sz w:val="18"/>
          <w:vertAlign w:val="baseline"/>
        </w:rPr>
        <w:t> </w:t>
      </w:r>
      <w:r>
        <w:rPr>
          <w:sz w:val="18"/>
          <w:vertAlign w:val="baseline"/>
        </w:rPr>
        <w:t>on</w:t>
      </w:r>
      <w:r>
        <w:rPr>
          <w:spacing w:val="-2"/>
          <w:sz w:val="18"/>
          <w:vertAlign w:val="baseline"/>
        </w:rPr>
        <w:t> </w:t>
      </w:r>
      <w:r>
        <w:rPr>
          <w:sz w:val="18"/>
          <w:vertAlign w:val="baseline"/>
        </w:rPr>
        <w:t>LGBTQ</w:t>
      </w:r>
      <w:r>
        <w:rPr>
          <w:spacing w:val="-2"/>
          <w:sz w:val="18"/>
          <w:vertAlign w:val="baseline"/>
        </w:rPr>
        <w:t> </w:t>
      </w:r>
      <w:r>
        <w:rPr>
          <w:sz w:val="18"/>
          <w:vertAlign w:val="baseline"/>
        </w:rPr>
        <w:t>Youth,”</w:t>
      </w:r>
      <w:r>
        <w:rPr>
          <w:spacing w:val="-2"/>
          <w:sz w:val="18"/>
          <w:vertAlign w:val="baseline"/>
        </w:rPr>
        <w:t> </w:t>
      </w:r>
      <w:r>
        <w:rPr>
          <w:i/>
          <w:sz w:val="18"/>
          <w:vertAlign w:val="baseline"/>
        </w:rPr>
        <w:t>The</w:t>
      </w:r>
      <w:r>
        <w:rPr>
          <w:i/>
          <w:spacing w:val="-2"/>
          <w:sz w:val="18"/>
          <w:vertAlign w:val="baseline"/>
        </w:rPr>
        <w:t> </w:t>
      </w:r>
      <w:r>
        <w:rPr>
          <w:i/>
          <w:sz w:val="18"/>
          <w:vertAlign w:val="baseline"/>
        </w:rPr>
        <w:t>Trevor</w:t>
      </w:r>
      <w:r>
        <w:rPr>
          <w:i/>
          <w:spacing w:val="-3"/>
          <w:sz w:val="18"/>
          <w:vertAlign w:val="baseline"/>
        </w:rPr>
        <w:t> </w:t>
      </w:r>
      <w:r>
        <w:rPr>
          <w:i/>
          <w:sz w:val="18"/>
          <w:vertAlign w:val="baseline"/>
        </w:rPr>
        <w:t>Project</w:t>
      </w:r>
      <w:r>
        <w:rPr>
          <w:i/>
          <w:spacing w:val="-3"/>
          <w:sz w:val="18"/>
          <w:vertAlign w:val="baseline"/>
        </w:rPr>
        <w:t> </w:t>
      </w:r>
      <w:r>
        <w:rPr>
          <w:sz w:val="18"/>
          <w:vertAlign w:val="baseline"/>
        </w:rPr>
        <w:t>(blog),</w:t>
      </w:r>
      <w:r>
        <w:rPr>
          <w:spacing w:val="-3"/>
          <w:sz w:val="18"/>
          <w:vertAlign w:val="baseline"/>
        </w:rPr>
        <w:t> </w:t>
      </w:r>
      <w:r>
        <w:rPr>
          <w:sz w:val="18"/>
          <w:vertAlign w:val="baseline"/>
        </w:rPr>
        <w:t>January</w:t>
      </w:r>
      <w:r>
        <w:rPr>
          <w:spacing w:val="-3"/>
          <w:sz w:val="18"/>
          <w:vertAlign w:val="baseline"/>
        </w:rPr>
        <w:t> </w:t>
      </w:r>
      <w:r>
        <w:rPr>
          <w:sz w:val="18"/>
          <w:vertAlign w:val="baseline"/>
        </w:rPr>
        <w:t>10,</w:t>
      </w:r>
      <w:r>
        <w:rPr>
          <w:spacing w:val="-3"/>
          <w:sz w:val="18"/>
          <w:vertAlign w:val="baseline"/>
        </w:rPr>
        <w:t> </w:t>
      </w:r>
      <w:r>
        <w:rPr>
          <w:sz w:val="18"/>
          <w:vertAlign w:val="baseline"/>
        </w:rPr>
        <w:t>2022, </w:t>
      </w:r>
      <w:hyperlink r:id="rId358">
        <w:r>
          <w:rPr>
            <w:color w:val="0561C1"/>
            <w:spacing w:val="-2"/>
            <w:sz w:val="18"/>
            <w:u w:val="single" w:color="0561C1"/>
            <w:vertAlign w:val="baseline"/>
          </w:rPr>
          <w:t>https://www.thetrevorproject.org/blog/new-poll-illustrates-the-impacts-of-social-political-issues-on-lgbtq-youth/</w:t>
        </w:r>
      </w:hyperlink>
    </w:p>
    <w:p>
      <w:pPr>
        <w:spacing w:before="0"/>
        <w:ind w:left="463" w:right="511" w:firstLine="0"/>
        <w:jc w:val="both"/>
        <w:rPr>
          <w:sz w:val="18"/>
        </w:rPr>
      </w:pPr>
      <w:bookmarkStart w:name="_bookmark243" w:id="433"/>
      <w:bookmarkEnd w:id="433"/>
      <w:r>
        <w:rPr/>
      </w:r>
      <w:r>
        <w:rPr>
          <w:sz w:val="18"/>
          <w:vertAlign w:val="superscript"/>
        </w:rPr>
        <w:t>50</w:t>
      </w:r>
      <w:r>
        <w:rPr>
          <w:spacing w:val="-11"/>
          <w:sz w:val="18"/>
          <w:vertAlign w:val="baseline"/>
        </w:rPr>
        <w:t> </w:t>
      </w:r>
      <w:r>
        <w:rPr>
          <w:sz w:val="18"/>
          <w:vertAlign w:val="baseline"/>
        </w:rPr>
        <w:t>Stephanie</w:t>
      </w:r>
      <w:r>
        <w:rPr>
          <w:spacing w:val="-3"/>
          <w:sz w:val="18"/>
          <w:vertAlign w:val="baseline"/>
        </w:rPr>
        <w:t> </w:t>
      </w:r>
      <w:r>
        <w:rPr>
          <w:sz w:val="18"/>
          <w:vertAlign w:val="baseline"/>
        </w:rPr>
        <w:t>Ebbert,</w:t>
      </w:r>
      <w:r>
        <w:rPr>
          <w:spacing w:val="-2"/>
          <w:sz w:val="18"/>
          <w:vertAlign w:val="baseline"/>
        </w:rPr>
        <w:t> </w:t>
      </w:r>
      <w:r>
        <w:rPr>
          <w:sz w:val="18"/>
          <w:vertAlign w:val="baseline"/>
        </w:rPr>
        <w:t>“Massachusetts</w:t>
      </w:r>
      <w:r>
        <w:rPr>
          <w:spacing w:val="-1"/>
          <w:sz w:val="18"/>
          <w:vertAlign w:val="baseline"/>
        </w:rPr>
        <w:t> </w:t>
      </w:r>
      <w:r>
        <w:rPr>
          <w:sz w:val="18"/>
          <w:vertAlign w:val="baseline"/>
        </w:rPr>
        <w:t>Has</w:t>
      </w:r>
      <w:r>
        <w:rPr>
          <w:spacing w:val="-1"/>
          <w:sz w:val="18"/>
          <w:vertAlign w:val="baseline"/>
        </w:rPr>
        <w:t> </w:t>
      </w:r>
      <w:r>
        <w:rPr>
          <w:sz w:val="18"/>
          <w:vertAlign w:val="baseline"/>
        </w:rPr>
        <w:t>Expanded</w:t>
      </w:r>
      <w:r>
        <w:rPr>
          <w:spacing w:val="-1"/>
          <w:sz w:val="18"/>
          <w:vertAlign w:val="baseline"/>
        </w:rPr>
        <w:t> </w:t>
      </w:r>
      <w:r>
        <w:rPr>
          <w:sz w:val="18"/>
          <w:vertAlign w:val="baseline"/>
        </w:rPr>
        <w:t>Abortion</w:t>
      </w:r>
      <w:r>
        <w:rPr>
          <w:spacing w:val="-1"/>
          <w:sz w:val="18"/>
          <w:vertAlign w:val="baseline"/>
        </w:rPr>
        <w:t> </w:t>
      </w:r>
      <w:r>
        <w:rPr>
          <w:sz w:val="18"/>
          <w:vertAlign w:val="baseline"/>
        </w:rPr>
        <w:t>Rights.</w:t>
      </w:r>
      <w:r>
        <w:rPr>
          <w:spacing w:val="-1"/>
          <w:sz w:val="18"/>
          <w:vertAlign w:val="baseline"/>
        </w:rPr>
        <w:t> </w:t>
      </w:r>
      <w:r>
        <w:rPr>
          <w:sz w:val="18"/>
          <w:vertAlign w:val="baseline"/>
        </w:rPr>
        <w:t>But</w:t>
      </w:r>
      <w:r>
        <w:rPr>
          <w:spacing w:val="-2"/>
          <w:sz w:val="18"/>
          <w:vertAlign w:val="baseline"/>
        </w:rPr>
        <w:t> </w:t>
      </w:r>
      <w:r>
        <w:rPr>
          <w:sz w:val="18"/>
          <w:vertAlign w:val="baseline"/>
        </w:rPr>
        <w:t>Even</w:t>
      </w:r>
      <w:r>
        <w:rPr>
          <w:spacing w:val="-1"/>
          <w:sz w:val="18"/>
          <w:vertAlign w:val="baseline"/>
        </w:rPr>
        <w:t> </w:t>
      </w:r>
      <w:r>
        <w:rPr>
          <w:sz w:val="18"/>
          <w:vertAlign w:val="baseline"/>
        </w:rPr>
        <w:t>in</w:t>
      </w:r>
      <w:r>
        <w:rPr>
          <w:spacing w:val="-1"/>
          <w:sz w:val="18"/>
          <w:vertAlign w:val="baseline"/>
        </w:rPr>
        <w:t> </w:t>
      </w:r>
      <w:r>
        <w:rPr>
          <w:sz w:val="18"/>
          <w:vertAlign w:val="baseline"/>
        </w:rPr>
        <w:t>the</w:t>
      </w:r>
      <w:r>
        <w:rPr>
          <w:spacing w:val="-1"/>
          <w:sz w:val="18"/>
          <w:vertAlign w:val="baseline"/>
        </w:rPr>
        <w:t> </w:t>
      </w:r>
      <w:r>
        <w:rPr>
          <w:sz w:val="18"/>
          <w:vertAlign w:val="baseline"/>
        </w:rPr>
        <w:t>Metro</w:t>
      </w:r>
      <w:r>
        <w:rPr>
          <w:spacing w:val="-1"/>
          <w:sz w:val="18"/>
          <w:vertAlign w:val="baseline"/>
        </w:rPr>
        <w:t> </w:t>
      </w:r>
      <w:r>
        <w:rPr>
          <w:sz w:val="18"/>
          <w:vertAlign w:val="baseline"/>
        </w:rPr>
        <w:t>Region,</w:t>
      </w:r>
      <w:r>
        <w:rPr>
          <w:spacing w:val="-2"/>
          <w:sz w:val="18"/>
          <w:vertAlign w:val="baseline"/>
        </w:rPr>
        <w:t> </w:t>
      </w:r>
      <w:r>
        <w:rPr>
          <w:sz w:val="18"/>
          <w:vertAlign w:val="baseline"/>
        </w:rPr>
        <w:t>Clinics</w:t>
      </w:r>
      <w:r>
        <w:rPr>
          <w:spacing w:val="-1"/>
          <w:sz w:val="18"/>
          <w:vertAlign w:val="baseline"/>
        </w:rPr>
        <w:t> </w:t>
      </w:r>
      <w:r>
        <w:rPr>
          <w:sz w:val="18"/>
          <w:vertAlign w:val="baseline"/>
        </w:rPr>
        <w:t>Can</w:t>
      </w:r>
      <w:r>
        <w:rPr>
          <w:spacing w:val="-1"/>
          <w:sz w:val="18"/>
          <w:vertAlign w:val="baseline"/>
        </w:rPr>
        <w:t> </w:t>
      </w:r>
      <w:r>
        <w:rPr>
          <w:sz w:val="18"/>
          <w:vertAlign w:val="baseline"/>
        </w:rPr>
        <w:t>Be</w:t>
      </w:r>
      <w:r>
        <w:rPr>
          <w:spacing w:val="-2"/>
          <w:sz w:val="18"/>
          <w:vertAlign w:val="baseline"/>
        </w:rPr>
        <w:t> </w:t>
      </w:r>
      <w:r>
        <w:rPr>
          <w:sz w:val="18"/>
          <w:vertAlign w:val="baseline"/>
        </w:rPr>
        <w:t>Distant.</w:t>
      </w:r>
      <w:r>
        <w:rPr>
          <w:spacing w:val="-1"/>
          <w:sz w:val="18"/>
          <w:vertAlign w:val="baseline"/>
        </w:rPr>
        <w:t> </w:t>
      </w:r>
      <w:r>
        <w:rPr>
          <w:sz w:val="18"/>
          <w:vertAlign w:val="baseline"/>
        </w:rPr>
        <w:t>-</w:t>
      </w:r>
      <w:r>
        <w:rPr>
          <w:spacing w:val="-2"/>
          <w:sz w:val="18"/>
          <w:vertAlign w:val="baseline"/>
        </w:rPr>
        <w:t> </w:t>
      </w:r>
      <w:r>
        <w:rPr>
          <w:sz w:val="18"/>
          <w:vertAlign w:val="baseline"/>
        </w:rPr>
        <w:t>The Boston</w:t>
      </w:r>
      <w:r>
        <w:rPr>
          <w:spacing w:val="-6"/>
          <w:sz w:val="18"/>
          <w:vertAlign w:val="baseline"/>
        </w:rPr>
        <w:t> </w:t>
      </w:r>
      <w:r>
        <w:rPr>
          <w:sz w:val="18"/>
          <w:vertAlign w:val="baseline"/>
        </w:rPr>
        <w:t>Globe,”</w:t>
      </w:r>
      <w:r>
        <w:rPr>
          <w:spacing w:val="-7"/>
          <w:sz w:val="18"/>
          <w:vertAlign w:val="baseline"/>
        </w:rPr>
        <w:t> </w:t>
      </w:r>
      <w:r>
        <w:rPr>
          <w:sz w:val="18"/>
          <w:vertAlign w:val="baseline"/>
        </w:rPr>
        <w:t>accessed</w:t>
      </w:r>
      <w:r>
        <w:rPr>
          <w:spacing w:val="-6"/>
          <w:sz w:val="18"/>
          <w:vertAlign w:val="baseline"/>
        </w:rPr>
        <w:t> </w:t>
      </w:r>
      <w:r>
        <w:rPr>
          <w:sz w:val="18"/>
          <w:vertAlign w:val="baseline"/>
        </w:rPr>
        <w:t>December</w:t>
      </w:r>
      <w:r>
        <w:rPr>
          <w:spacing w:val="-7"/>
          <w:sz w:val="18"/>
          <w:vertAlign w:val="baseline"/>
        </w:rPr>
        <w:t> </w:t>
      </w:r>
      <w:r>
        <w:rPr>
          <w:sz w:val="18"/>
          <w:vertAlign w:val="baseline"/>
        </w:rPr>
        <w:t>4,</w:t>
      </w:r>
      <w:r>
        <w:rPr>
          <w:spacing w:val="-7"/>
          <w:sz w:val="18"/>
          <w:vertAlign w:val="baseline"/>
        </w:rPr>
        <w:t> </w:t>
      </w:r>
      <w:r>
        <w:rPr>
          <w:sz w:val="18"/>
          <w:vertAlign w:val="baseline"/>
        </w:rPr>
        <w:t>2022,</w:t>
      </w:r>
      <w:r>
        <w:rPr>
          <w:spacing w:val="-7"/>
          <w:sz w:val="18"/>
          <w:vertAlign w:val="baseline"/>
        </w:rPr>
        <w:t> </w:t>
      </w:r>
      <w:hyperlink r:id="rId359">
        <w:r>
          <w:rPr>
            <w:color w:val="0561C1"/>
            <w:sz w:val="18"/>
            <w:u w:val="single" w:color="0561C1"/>
            <w:vertAlign w:val="baseline"/>
          </w:rPr>
          <w:t>https://www.bostonglobe.com/2022/10/09/metro/massachusetts-has-expanded-</w:t>
        </w:r>
      </w:hyperlink>
      <w:r>
        <w:rPr>
          <w:color w:val="0561C1"/>
          <w:sz w:val="18"/>
          <w:u w:val="none"/>
          <w:vertAlign w:val="baseline"/>
        </w:rPr>
        <w:t> </w:t>
      </w:r>
      <w:hyperlink r:id="rId359">
        <w:r>
          <w:rPr>
            <w:color w:val="0561C1"/>
            <w:spacing w:val="-2"/>
            <w:sz w:val="18"/>
            <w:u w:val="single" w:color="0561C1"/>
            <w:vertAlign w:val="baseline"/>
          </w:rPr>
          <w:t>abortion-rights-even-metro-region-clinics-can-be-distant/</w:t>
        </w:r>
      </w:hyperlink>
      <w:hyperlink r:id="rId359">
        <w:r>
          <w:rPr>
            <w:spacing w:val="-2"/>
            <w:sz w:val="18"/>
            <w:u w:val="none"/>
            <w:vertAlign w:val="baseline"/>
          </w:rPr>
          <w:t>.</w:t>
        </w:r>
      </w:hyperlink>
    </w:p>
    <w:p>
      <w:pPr>
        <w:spacing w:line="219" w:lineRule="exact" w:before="0"/>
        <w:ind w:left="463" w:right="0" w:firstLine="0"/>
        <w:jc w:val="both"/>
        <w:rPr>
          <w:sz w:val="18"/>
        </w:rPr>
      </w:pPr>
      <w:bookmarkStart w:name="_bookmark244" w:id="434"/>
      <w:bookmarkEnd w:id="434"/>
      <w:r>
        <w:rPr/>
      </w:r>
      <w:r>
        <w:rPr>
          <w:spacing w:val="-2"/>
          <w:sz w:val="18"/>
          <w:vertAlign w:val="superscript"/>
        </w:rPr>
        <w:t>51</w:t>
      </w:r>
      <w:r>
        <w:rPr>
          <w:spacing w:val="65"/>
          <w:sz w:val="18"/>
          <w:vertAlign w:val="baseline"/>
        </w:rPr>
        <w:t> </w:t>
      </w:r>
      <w:r>
        <w:rPr>
          <w:spacing w:val="-2"/>
          <w:sz w:val="18"/>
          <w:vertAlign w:val="baseline"/>
        </w:rPr>
        <w:t>https://abortioncarenewengland.org/providers-by-zipcode</w:t>
      </w:r>
    </w:p>
    <w:p>
      <w:pPr>
        <w:spacing w:before="0"/>
        <w:ind w:left="463" w:right="0" w:firstLine="0"/>
        <w:jc w:val="left"/>
        <w:rPr>
          <w:sz w:val="18"/>
        </w:rPr>
      </w:pPr>
      <w:bookmarkStart w:name="_bookmark245" w:id="435"/>
      <w:bookmarkEnd w:id="435"/>
      <w:r>
        <w:rPr/>
      </w:r>
      <w:r>
        <w:rPr>
          <w:sz w:val="18"/>
          <w:vertAlign w:val="superscript"/>
        </w:rPr>
        <w:t>52</w:t>
      </w:r>
      <w:r>
        <w:rPr>
          <w:spacing w:val="-15"/>
          <w:sz w:val="18"/>
          <w:vertAlign w:val="baseline"/>
        </w:rPr>
        <w:t> </w:t>
      </w:r>
      <w:r>
        <w:rPr>
          <w:sz w:val="18"/>
          <w:vertAlign w:val="baseline"/>
        </w:rPr>
        <w:t>“MassHealth’s</w:t>
      </w:r>
      <w:r>
        <w:rPr>
          <w:spacing w:val="-5"/>
          <w:sz w:val="18"/>
          <w:vertAlign w:val="baseline"/>
        </w:rPr>
        <w:t> </w:t>
      </w:r>
      <w:r>
        <w:rPr>
          <w:sz w:val="18"/>
          <w:vertAlign w:val="baseline"/>
        </w:rPr>
        <w:t>Extended</w:t>
      </w:r>
      <w:r>
        <w:rPr>
          <w:spacing w:val="-3"/>
          <w:sz w:val="18"/>
          <w:vertAlign w:val="baseline"/>
        </w:rPr>
        <w:t> </w:t>
      </w:r>
      <w:r>
        <w:rPr>
          <w:sz w:val="18"/>
          <w:vertAlign w:val="baseline"/>
        </w:rPr>
        <w:t>12-Month</w:t>
      </w:r>
      <w:r>
        <w:rPr>
          <w:spacing w:val="-3"/>
          <w:sz w:val="18"/>
          <w:vertAlign w:val="baseline"/>
        </w:rPr>
        <w:t> </w:t>
      </w:r>
      <w:r>
        <w:rPr>
          <w:sz w:val="18"/>
          <w:vertAlign w:val="baseline"/>
        </w:rPr>
        <w:t>Postpartum</w:t>
      </w:r>
      <w:r>
        <w:rPr>
          <w:spacing w:val="-2"/>
          <w:sz w:val="18"/>
          <w:vertAlign w:val="baseline"/>
        </w:rPr>
        <w:t> </w:t>
      </w:r>
      <w:r>
        <w:rPr>
          <w:sz w:val="18"/>
          <w:vertAlign w:val="baseline"/>
        </w:rPr>
        <w:t>Coverage</w:t>
      </w:r>
      <w:r>
        <w:rPr>
          <w:spacing w:val="-4"/>
          <w:sz w:val="18"/>
          <w:vertAlign w:val="baseline"/>
        </w:rPr>
        <w:t> </w:t>
      </w:r>
      <w:r>
        <w:rPr>
          <w:sz w:val="18"/>
          <w:vertAlign w:val="baseline"/>
        </w:rPr>
        <w:t>Approved</w:t>
      </w:r>
      <w:r>
        <w:rPr>
          <w:spacing w:val="-3"/>
          <w:sz w:val="18"/>
          <w:vertAlign w:val="baseline"/>
        </w:rPr>
        <w:t> </w:t>
      </w:r>
      <w:r>
        <w:rPr>
          <w:sz w:val="18"/>
          <w:vertAlign w:val="baseline"/>
        </w:rPr>
        <w:t>by</w:t>
      </w:r>
      <w:r>
        <w:rPr>
          <w:spacing w:val="-2"/>
          <w:sz w:val="18"/>
          <w:vertAlign w:val="baseline"/>
        </w:rPr>
        <w:t> </w:t>
      </w:r>
      <w:r>
        <w:rPr>
          <w:sz w:val="18"/>
          <w:vertAlign w:val="baseline"/>
        </w:rPr>
        <w:t>the</w:t>
      </w:r>
      <w:r>
        <w:rPr>
          <w:spacing w:val="-3"/>
          <w:sz w:val="18"/>
          <w:vertAlign w:val="baseline"/>
        </w:rPr>
        <w:t> </w:t>
      </w:r>
      <w:r>
        <w:rPr>
          <w:sz w:val="18"/>
          <w:vertAlign w:val="baseline"/>
        </w:rPr>
        <w:t>Federal</w:t>
      </w:r>
      <w:r>
        <w:rPr>
          <w:spacing w:val="-4"/>
          <w:sz w:val="18"/>
          <w:vertAlign w:val="baseline"/>
        </w:rPr>
        <w:t> </w:t>
      </w:r>
      <w:r>
        <w:rPr>
          <w:sz w:val="18"/>
          <w:vertAlign w:val="baseline"/>
        </w:rPr>
        <w:t>Centers</w:t>
      </w:r>
      <w:r>
        <w:rPr>
          <w:spacing w:val="-3"/>
          <w:sz w:val="18"/>
          <w:vertAlign w:val="baseline"/>
        </w:rPr>
        <w:t> </w:t>
      </w:r>
      <w:r>
        <w:rPr>
          <w:sz w:val="18"/>
          <w:vertAlign w:val="baseline"/>
        </w:rPr>
        <w:t>for</w:t>
      </w:r>
      <w:r>
        <w:rPr>
          <w:spacing w:val="-3"/>
          <w:sz w:val="18"/>
          <w:vertAlign w:val="baseline"/>
        </w:rPr>
        <w:t> </w:t>
      </w:r>
      <w:r>
        <w:rPr>
          <w:sz w:val="18"/>
          <w:vertAlign w:val="baseline"/>
        </w:rPr>
        <w:t>Medicare</w:t>
      </w:r>
      <w:r>
        <w:rPr>
          <w:spacing w:val="-3"/>
          <w:sz w:val="18"/>
          <w:vertAlign w:val="baseline"/>
        </w:rPr>
        <w:t> </w:t>
      </w:r>
      <w:r>
        <w:rPr>
          <w:sz w:val="18"/>
          <w:vertAlign w:val="baseline"/>
        </w:rPr>
        <w:t>&amp;</w:t>
      </w:r>
      <w:r>
        <w:rPr>
          <w:spacing w:val="-4"/>
          <w:sz w:val="18"/>
          <w:vertAlign w:val="baseline"/>
        </w:rPr>
        <w:t> </w:t>
      </w:r>
      <w:r>
        <w:rPr>
          <w:sz w:val="18"/>
          <w:vertAlign w:val="baseline"/>
        </w:rPr>
        <w:t>Medicaid</w:t>
      </w:r>
      <w:r>
        <w:rPr>
          <w:spacing w:val="-2"/>
          <w:sz w:val="18"/>
          <w:vertAlign w:val="baseline"/>
        </w:rPr>
        <w:t> Services</w:t>
      </w:r>
    </w:p>
    <w:p>
      <w:pPr>
        <w:spacing w:before="0"/>
        <w:ind w:left="463" w:right="310" w:firstLine="0"/>
        <w:jc w:val="left"/>
        <w:rPr>
          <w:sz w:val="18"/>
        </w:rPr>
      </w:pPr>
      <w:r>
        <w:rPr>
          <w:sz w:val="18"/>
        </w:rPr>
        <w:t>|</w:t>
      </w:r>
      <w:r>
        <w:rPr>
          <w:spacing w:val="-6"/>
          <w:sz w:val="18"/>
        </w:rPr>
        <w:t> </w:t>
      </w:r>
      <w:r>
        <w:rPr>
          <w:sz w:val="18"/>
        </w:rPr>
        <w:t>Mass.Gov,”</w:t>
      </w:r>
      <w:r>
        <w:rPr>
          <w:spacing w:val="-6"/>
          <w:sz w:val="18"/>
        </w:rPr>
        <w:t> </w:t>
      </w:r>
      <w:r>
        <w:rPr>
          <w:sz w:val="18"/>
        </w:rPr>
        <w:t>accessed</w:t>
      </w:r>
      <w:r>
        <w:rPr>
          <w:spacing w:val="-6"/>
          <w:sz w:val="18"/>
        </w:rPr>
        <w:t> </w:t>
      </w:r>
      <w:r>
        <w:rPr>
          <w:sz w:val="18"/>
        </w:rPr>
        <w:t>December</w:t>
      </w:r>
      <w:r>
        <w:rPr>
          <w:spacing w:val="-6"/>
          <w:sz w:val="18"/>
        </w:rPr>
        <w:t> </w:t>
      </w:r>
      <w:r>
        <w:rPr>
          <w:sz w:val="18"/>
        </w:rPr>
        <w:t>4,</w:t>
      </w:r>
      <w:r>
        <w:rPr>
          <w:spacing w:val="-6"/>
          <w:sz w:val="18"/>
        </w:rPr>
        <w:t> </w:t>
      </w:r>
      <w:r>
        <w:rPr>
          <w:sz w:val="18"/>
        </w:rPr>
        <w:t>2022,</w:t>
      </w:r>
      <w:r>
        <w:rPr>
          <w:spacing w:val="-6"/>
          <w:sz w:val="18"/>
        </w:rPr>
        <w:t> </w:t>
      </w:r>
      <w:hyperlink r:id="rId360">
        <w:r>
          <w:rPr>
            <w:color w:val="0561C1"/>
            <w:sz w:val="18"/>
            <w:u w:val="single" w:color="0561C1"/>
          </w:rPr>
          <w:t>https://www.mass.gov/news/masshealths-extended-12-month-postpartum-</w:t>
        </w:r>
      </w:hyperlink>
      <w:r>
        <w:rPr>
          <w:color w:val="0561C1"/>
          <w:spacing w:val="-6"/>
          <w:sz w:val="18"/>
          <w:u w:val="single" w:color="0561C1"/>
        </w:rPr>
        <w:t> </w:t>
      </w:r>
      <w:hyperlink r:id="rId360">
        <w:r>
          <w:rPr>
            <w:color w:val="0561C1"/>
            <w:sz w:val="18"/>
            <w:u w:val="single" w:color="0561C1"/>
          </w:rPr>
          <w:t>coverage-</w:t>
        </w:r>
      </w:hyperlink>
      <w:r>
        <w:rPr>
          <w:color w:val="0561C1"/>
          <w:sz w:val="18"/>
          <w:u w:val="none"/>
        </w:rPr>
        <w:t> </w:t>
      </w:r>
      <w:hyperlink r:id="rId360">
        <w:r>
          <w:rPr>
            <w:color w:val="0561C1"/>
            <w:spacing w:val="-2"/>
            <w:sz w:val="18"/>
            <w:u w:val="single" w:color="0561C1"/>
          </w:rPr>
          <w:t>approved-by-the-federal-centers-for-medicare-medicaid-services</w:t>
        </w:r>
      </w:hyperlink>
      <w:hyperlink r:id="rId360">
        <w:r>
          <w:rPr>
            <w:spacing w:val="-2"/>
            <w:sz w:val="18"/>
            <w:u w:val="none"/>
          </w:rPr>
          <w:t>.</w:t>
        </w:r>
      </w:hyperlink>
    </w:p>
    <w:p>
      <w:pPr>
        <w:spacing w:before="0"/>
        <w:ind w:left="463" w:right="24" w:firstLine="0"/>
        <w:jc w:val="left"/>
        <w:rPr>
          <w:sz w:val="18"/>
        </w:rPr>
      </w:pPr>
      <w:bookmarkStart w:name="_bookmark246" w:id="436"/>
      <w:bookmarkEnd w:id="436"/>
      <w:r>
        <w:rPr/>
      </w:r>
      <w:r>
        <w:rPr>
          <w:sz w:val="18"/>
          <w:vertAlign w:val="superscript"/>
        </w:rPr>
        <w:t>53</w:t>
      </w:r>
      <w:r>
        <w:rPr>
          <w:spacing w:val="-8"/>
          <w:sz w:val="18"/>
          <w:vertAlign w:val="baseline"/>
        </w:rPr>
        <w:t> </w:t>
      </w:r>
      <w:r>
        <w:rPr>
          <w:sz w:val="18"/>
          <w:vertAlign w:val="baseline"/>
        </w:rPr>
        <w:t>Keri Carvalho et al., “A Systematic Policy Review of Black Maternal Health-Related Policies Proposed Federally and in Massachusetts:</w:t>
      </w:r>
      <w:r>
        <w:rPr>
          <w:spacing w:val="-5"/>
          <w:sz w:val="18"/>
          <w:vertAlign w:val="baseline"/>
        </w:rPr>
        <w:t> </w:t>
      </w:r>
      <w:r>
        <w:rPr>
          <w:sz w:val="18"/>
          <w:vertAlign w:val="baseline"/>
        </w:rPr>
        <w:t>2010–2020,”</w:t>
      </w:r>
      <w:r>
        <w:rPr>
          <w:spacing w:val="-4"/>
          <w:sz w:val="18"/>
          <w:vertAlign w:val="baseline"/>
        </w:rPr>
        <w:t> </w:t>
      </w:r>
      <w:r>
        <w:rPr>
          <w:i/>
          <w:sz w:val="18"/>
          <w:vertAlign w:val="baseline"/>
        </w:rPr>
        <w:t>Frontiers</w:t>
      </w:r>
      <w:r>
        <w:rPr>
          <w:i/>
          <w:spacing w:val="-3"/>
          <w:sz w:val="18"/>
          <w:vertAlign w:val="baseline"/>
        </w:rPr>
        <w:t> </w:t>
      </w:r>
      <w:r>
        <w:rPr>
          <w:i/>
          <w:sz w:val="18"/>
          <w:vertAlign w:val="baseline"/>
        </w:rPr>
        <w:t>in</w:t>
      </w:r>
      <w:r>
        <w:rPr>
          <w:i/>
          <w:spacing w:val="-3"/>
          <w:sz w:val="18"/>
          <w:vertAlign w:val="baseline"/>
        </w:rPr>
        <w:t> </w:t>
      </w:r>
      <w:r>
        <w:rPr>
          <w:i/>
          <w:sz w:val="18"/>
          <w:vertAlign w:val="baseline"/>
        </w:rPr>
        <w:t>Public</w:t>
      </w:r>
      <w:r>
        <w:rPr>
          <w:i/>
          <w:spacing w:val="-4"/>
          <w:sz w:val="18"/>
          <w:vertAlign w:val="baseline"/>
        </w:rPr>
        <w:t> </w:t>
      </w:r>
      <w:r>
        <w:rPr>
          <w:i/>
          <w:sz w:val="18"/>
          <w:vertAlign w:val="baseline"/>
        </w:rPr>
        <w:t>Health</w:t>
      </w:r>
      <w:r>
        <w:rPr>
          <w:i/>
          <w:spacing w:val="-3"/>
          <w:sz w:val="18"/>
          <w:vertAlign w:val="baseline"/>
        </w:rPr>
        <w:t> </w:t>
      </w:r>
      <w:r>
        <w:rPr>
          <w:sz w:val="18"/>
          <w:vertAlign w:val="baseline"/>
        </w:rPr>
        <w:t>9</w:t>
      </w:r>
      <w:r>
        <w:rPr>
          <w:spacing w:val="-3"/>
          <w:sz w:val="18"/>
          <w:vertAlign w:val="baseline"/>
        </w:rPr>
        <w:t> </w:t>
      </w:r>
      <w:r>
        <w:rPr>
          <w:sz w:val="18"/>
          <w:vertAlign w:val="baseline"/>
        </w:rPr>
        <w:t>(October</w:t>
      </w:r>
      <w:r>
        <w:rPr>
          <w:spacing w:val="-2"/>
          <w:sz w:val="18"/>
          <w:vertAlign w:val="baseline"/>
        </w:rPr>
        <w:t> </w:t>
      </w:r>
      <w:r>
        <w:rPr>
          <w:sz w:val="18"/>
          <w:vertAlign w:val="baseline"/>
        </w:rPr>
        <w:t>21,</w:t>
      </w:r>
      <w:r>
        <w:rPr>
          <w:spacing w:val="-4"/>
          <w:sz w:val="18"/>
          <w:vertAlign w:val="baseline"/>
        </w:rPr>
        <w:t> </w:t>
      </w:r>
      <w:r>
        <w:rPr>
          <w:sz w:val="18"/>
          <w:vertAlign w:val="baseline"/>
        </w:rPr>
        <w:t>2021):</w:t>
      </w:r>
      <w:r>
        <w:rPr>
          <w:spacing w:val="-3"/>
          <w:sz w:val="18"/>
          <w:vertAlign w:val="baseline"/>
        </w:rPr>
        <w:t> </w:t>
      </w:r>
      <w:r>
        <w:rPr>
          <w:sz w:val="18"/>
          <w:vertAlign w:val="baseline"/>
        </w:rPr>
        <w:t>664659,</w:t>
      </w:r>
      <w:r>
        <w:rPr>
          <w:spacing w:val="-4"/>
          <w:sz w:val="18"/>
          <w:vertAlign w:val="baseline"/>
        </w:rPr>
        <w:t> </w:t>
      </w:r>
      <w:hyperlink r:id="rId361">
        <w:r>
          <w:rPr>
            <w:color w:val="0561C1"/>
            <w:sz w:val="18"/>
            <w:u w:val="single" w:color="0561C1"/>
            <w:vertAlign w:val="baseline"/>
          </w:rPr>
          <w:t>https://doi.org/10.3389/fpubh.2021.664659</w:t>
        </w:r>
      </w:hyperlink>
      <w:hyperlink r:id="rId361">
        <w:r>
          <w:rPr>
            <w:sz w:val="18"/>
            <w:u w:val="none"/>
            <w:vertAlign w:val="baseline"/>
          </w:rPr>
          <w:t>.</w:t>
        </w:r>
      </w:hyperlink>
    </w:p>
    <w:p>
      <w:pPr>
        <w:spacing w:line="219" w:lineRule="exact" w:before="0"/>
        <w:ind w:left="463" w:right="0" w:firstLine="0"/>
        <w:jc w:val="left"/>
        <w:rPr>
          <w:sz w:val="18"/>
        </w:rPr>
      </w:pPr>
      <w:bookmarkStart w:name="_bookmark247" w:id="437"/>
      <w:bookmarkEnd w:id="437"/>
      <w:r>
        <w:rPr/>
      </w:r>
      <w:r>
        <w:rPr>
          <w:sz w:val="18"/>
          <w:vertAlign w:val="superscript"/>
        </w:rPr>
        <w:t>54</w:t>
      </w:r>
      <w:r>
        <w:rPr>
          <w:spacing w:val="-15"/>
          <w:sz w:val="18"/>
          <w:vertAlign w:val="baseline"/>
        </w:rPr>
        <w:t> </w:t>
      </w:r>
      <w:r>
        <w:rPr>
          <w:sz w:val="18"/>
          <w:vertAlign w:val="baseline"/>
        </w:rPr>
        <w:t>“What</w:t>
      </w:r>
      <w:r>
        <w:rPr>
          <w:spacing w:val="-7"/>
          <w:sz w:val="18"/>
          <w:vertAlign w:val="baseline"/>
        </w:rPr>
        <w:t> </w:t>
      </w:r>
      <w:r>
        <w:rPr>
          <w:sz w:val="18"/>
          <w:vertAlign w:val="baseline"/>
        </w:rPr>
        <w:t>Is</w:t>
      </w:r>
      <w:r>
        <w:rPr>
          <w:spacing w:val="-3"/>
          <w:sz w:val="18"/>
          <w:vertAlign w:val="baseline"/>
        </w:rPr>
        <w:t> </w:t>
      </w:r>
      <w:r>
        <w:rPr>
          <w:sz w:val="18"/>
          <w:vertAlign w:val="baseline"/>
        </w:rPr>
        <w:t>a</w:t>
      </w:r>
      <w:r>
        <w:rPr>
          <w:spacing w:val="-3"/>
          <w:sz w:val="18"/>
          <w:vertAlign w:val="baseline"/>
        </w:rPr>
        <w:t> </w:t>
      </w:r>
      <w:r>
        <w:rPr>
          <w:sz w:val="18"/>
          <w:vertAlign w:val="baseline"/>
        </w:rPr>
        <w:t>Doula</w:t>
      </w:r>
      <w:r>
        <w:rPr>
          <w:spacing w:val="-3"/>
          <w:sz w:val="18"/>
          <w:vertAlign w:val="baseline"/>
        </w:rPr>
        <w:t> </w:t>
      </w:r>
      <w:r>
        <w:rPr>
          <w:sz w:val="18"/>
          <w:vertAlign w:val="baseline"/>
        </w:rPr>
        <w:t>-</w:t>
      </w:r>
      <w:r>
        <w:rPr>
          <w:spacing w:val="-3"/>
          <w:sz w:val="18"/>
          <w:vertAlign w:val="baseline"/>
        </w:rPr>
        <w:t> </w:t>
      </w:r>
      <w:r>
        <w:rPr>
          <w:sz w:val="18"/>
          <w:vertAlign w:val="baseline"/>
        </w:rPr>
        <w:t>DONA</w:t>
      </w:r>
      <w:r>
        <w:rPr>
          <w:spacing w:val="-3"/>
          <w:sz w:val="18"/>
          <w:vertAlign w:val="baseline"/>
        </w:rPr>
        <w:t> </w:t>
      </w:r>
      <w:r>
        <w:rPr>
          <w:sz w:val="18"/>
          <w:vertAlign w:val="baseline"/>
        </w:rPr>
        <w:t>International,”</w:t>
      </w:r>
      <w:r>
        <w:rPr>
          <w:spacing w:val="-3"/>
          <w:sz w:val="18"/>
          <w:vertAlign w:val="baseline"/>
        </w:rPr>
        <w:t> </w:t>
      </w:r>
      <w:r>
        <w:rPr>
          <w:sz w:val="18"/>
          <w:vertAlign w:val="baseline"/>
        </w:rPr>
        <w:t>accessed</w:t>
      </w:r>
      <w:r>
        <w:rPr>
          <w:spacing w:val="-3"/>
          <w:sz w:val="18"/>
          <w:vertAlign w:val="baseline"/>
        </w:rPr>
        <w:t> </w:t>
      </w:r>
      <w:r>
        <w:rPr>
          <w:sz w:val="18"/>
          <w:vertAlign w:val="baseline"/>
        </w:rPr>
        <w:t>December</w:t>
      </w:r>
      <w:r>
        <w:rPr>
          <w:spacing w:val="-4"/>
          <w:sz w:val="18"/>
          <w:vertAlign w:val="baseline"/>
        </w:rPr>
        <w:t> </w:t>
      </w:r>
      <w:r>
        <w:rPr>
          <w:sz w:val="18"/>
          <w:vertAlign w:val="baseline"/>
        </w:rPr>
        <w:t>4,</w:t>
      </w:r>
      <w:r>
        <w:rPr>
          <w:spacing w:val="-4"/>
          <w:sz w:val="18"/>
          <w:vertAlign w:val="baseline"/>
        </w:rPr>
        <w:t> </w:t>
      </w:r>
      <w:r>
        <w:rPr>
          <w:sz w:val="18"/>
          <w:vertAlign w:val="baseline"/>
        </w:rPr>
        <w:t>2022,</w:t>
      </w:r>
      <w:r>
        <w:rPr>
          <w:spacing w:val="-4"/>
          <w:sz w:val="18"/>
          <w:vertAlign w:val="baseline"/>
        </w:rPr>
        <w:t> </w:t>
      </w:r>
      <w:hyperlink r:id="rId362">
        <w:r>
          <w:rPr>
            <w:color w:val="0561C1"/>
            <w:sz w:val="18"/>
            <w:u w:val="single" w:color="0561C1"/>
            <w:vertAlign w:val="baseline"/>
          </w:rPr>
          <w:t>https://www.dona.org/what-is-a-</w:t>
        </w:r>
        <w:r>
          <w:rPr>
            <w:color w:val="0561C1"/>
            <w:spacing w:val="-2"/>
            <w:sz w:val="18"/>
            <w:u w:val="single" w:color="0561C1"/>
            <w:vertAlign w:val="baseline"/>
          </w:rPr>
          <w:t>doula/</w:t>
        </w:r>
      </w:hyperlink>
      <w:hyperlink r:id="rId362">
        <w:r>
          <w:rPr>
            <w:spacing w:val="-2"/>
            <w:sz w:val="18"/>
            <w:u w:val="none"/>
            <w:vertAlign w:val="baseline"/>
          </w:rPr>
          <w:t>.</w:t>
        </w:r>
      </w:hyperlink>
    </w:p>
    <w:p>
      <w:pPr>
        <w:spacing w:before="1"/>
        <w:ind w:left="463" w:right="261" w:hanging="1"/>
        <w:jc w:val="left"/>
        <w:rPr>
          <w:sz w:val="18"/>
        </w:rPr>
      </w:pPr>
      <w:bookmarkStart w:name="_bookmark248" w:id="438"/>
      <w:bookmarkEnd w:id="438"/>
      <w:r>
        <w:rPr/>
      </w:r>
      <w:r>
        <w:rPr>
          <w:sz w:val="18"/>
          <w:vertAlign w:val="superscript"/>
        </w:rPr>
        <w:t>55</w:t>
      </w:r>
      <w:r>
        <w:rPr>
          <w:spacing w:val="-13"/>
          <w:sz w:val="18"/>
          <w:vertAlign w:val="baseline"/>
        </w:rPr>
        <w:t> </w:t>
      </w:r>
      <w:r>
        <w:rPr>
          <w:sz w:val="18"/>
          <w:vertAlign w:val="baseline"/>
        </w:rPr>
        <w:t>Hodnett</w:t>
      </w:r>
      <w:r>
        <w:rPr>
          <w:spacing w:val="-4"/>
          <w:sz w:val="18"/>
          <w:vertAlign w:val="baseline"/>
        </w:rPr>
        <w:t> </w:t>
      </w:r>
      <w:r>
        <w:rPr>
          <w:sz w:val="18"/>
          <w:vertAlign w:val="baseline"/>
        </w:rPr>
        <w:t>ED.</w:t>
      </w:r>
      <w:r>
        <w:rPr>
          <w:spacing w:val="-2"/>
          <w:sz w:val="18"/>
          <w:vertAlign w:val="baseline"/>
        </w:rPr>
        <w:t> </w:t>
      </w:r>
      <w:r>
        <w:rPr>
          <w:sz w:val="18"/>
          <w:vertAlign w:val="baseline"/>
        </w:rPr>
        <w:t>Pain</w:t>
      </w:r>
      <w:r>
        <w:rPr>
          <w:spacing w:val="-2"/>
          <w:sz w:val="18"/>
          <w:vertAlign w:val="baseline"/>
        </w:rPr>
        <w:t> </w:t>
      </w:r>
      <w:r>
        <w:rPr>
          <w:sz w:val="18"/>
          <w:vertAlign w:val="baseline"/>
        </w:rPr>
        <w:t>and</w:t>
      </w:r>
      <w:r>
        <w:rPr>
          <w:spacing w:val="-2"/>
          <w:sz w:val="18"/>
          <w:vertAlign w:val="baseline"/>
        </w:rPr>
        <w:t> </w:t>
      </w:r>
      <w:r>
        <w:rPr>
          <w:sz w:val="18"/>
          <w:vertAlign w:val="baseline"/>
        </w:rPr>
        <w:t>women’s</w:t>
      </w:r>
      <w:r>
        <w:rPr>
          <w:spacing w:val="-2"/>
          <w:sz w:val="18"/>
          <w:vertAlign w:val="baseline"/>
        </w:rPr>
        <w:t> </w:t>
      </w:r>
      <w:r>
        <w:rPr>
          <w:sz w:val="18"/>
          <w:vertAlign w:val="baseline"/>
        </w:rPr>
        <w:t>satisfaction</w:t>
      </w:r>
      <w:r>
        <w:rPr>
          <w:spacing w:val="-2"/>
          <w:sz w:val="18"/>
          <w:vertAlign w:val="baseline"/>
        </w:rPr>
        <w:t> </w:t>
      </w:r>
      <w:r>
        <w:rPr>
          <w:sz w:val="18"/>
          <w:vertAlign w:val="baseline"/>
        </w:rPr>
        <w:t>with</w:t>
      </w:r>
      <w:r>
        <w:rPr>
          <w:spacing w:val="-2"/>
          <w:sz w:val="18"/>
          <w:vertAlign w:val="baseline"/>
        </w:rPr>
        <w:t> </w:t>
      </w:r>
      <w:r>
        <w:rPr>
          <w:sz w:val="18"/>
          <w:vertAlign w:val="baseline"/>
        </w:rPr>
        <w:t>the</w:t>
      </w:r>
      <w:r>
        <w:rPr>
          <w:spacing w:val="-2"/>
          <w:sz w:val="18"/>
          <w:vertAlign w:val="baseline"/>
        </w:rPr>
        <w:t> </w:t>
      </w:r>
      <w:r>
        <w:rPr>
          <w:sz w:val="18"/>
          <w:vertAlign w:val="baseline"/>
        </w:rPr>
        <w:t>experience</w:t>
      </w:r>
      <w:r>
        <w:rPr>
          <w:spacing w:val="-2"/>
          <w:sz w:val="18"/>
          <w:vertAlign w:val="baseline"/>
        </w:rPr>
        <w:t> </w:t>
      </w:r>
      <w:r>
        <w:rPr>
          <w:sz w:val="18"/>
          <w:vertAlign w:val="baseline"/>
        </w:rPr>
        <w:t>of</w:t>
      </w:r>
      <w:r>
        <w:rPr>
          <w:spacing w:val="-2"/>
          <w:sz w:val="18"/>
          <w:vertAlign w:val="baseline"/>
        </w:rPr>
        <w:t> </w:t>
      </w:r>
      <w:r>
        <w:rPr>
          <w:sz w:val="18"/>
          <w:vertAlign w:val="baseline"/>
        </w:rPr>
        <w:t>childbirth:</w:t>
      </w:r>
      <w:r>
        <w:rPr>
          <w:spacing w:val="-2"/>
          <w:sz w:val="18"/>
          <w:vertAlign w:val="baseline"/>
        </w:rPr>
        <w:t> </w:t>
      </w:r>
      <w:r>
        <w:rPr>
          <w:sz w:val="18"/>
          <w:vertAlign w:val="baseline"/>
        </w:rPr>
        <w:t>a</w:t>
      </w:r>
      <w:r>
        <w:rPr>
          <w:spacing w:val="-2"/>
          <w:sz w:val="18"/>
          <w:vertAlign w:val="baseline"/>
        </w:rPr>
        <w:t> </w:t>
      </w:r>
      <w:r>
        <w:rPr>
          <w:sz w:val="18"/>
          <w:vertAlign w:val="baseline"/>
        </w:rPr>
        <w:t>systematic</w:t>
      </w:r>
      <w:r>
        <w:rPr>
          <w:spacing w:val="-3"/>
          <w:sz w:val="18"/>
          <w:vertAlign w:val="baseline"/>
        </w:rPr>
        <w:t> </w:t>
      </w:r>
      <w:r>
        <w:rPr>
          <w:sz w:val="18"/>
          <w:vertAlign w:val="baseline"/>
        </w:rPr>
        <w:t>review.</w:t>
      </w:r>
      <w:r>
        <w:rPr>
          <w:spacing w:val="-2"/>
          <w:sz w:val="18"/>
          <w:vertAlign w:val="baseline"/>
        </w:rPr>
        <w:t> </w:t>
      </w:r>
      <w:r>
        <w:rPr>
          <w:sz w:val="18"/>
          <w:vertAlign w:val="baseline"/>
        </w:rPr>
        <w:t>Am</w:t>
      </w:r>
      <w:r>
        <w:rPr>
          <w:spacing w:val="-2"/>
          <w:sz w:val="18"/>
          <w:vertAlign w:val="baseline"/>
        </w:rPr>
        <w:t> </w:t>
      </w:r>
      <w:r>
        <w:rPr>
          <w:sz w:val="18"/>
          <w:vertAlign w:val="baseline"/>
        </w:rPr>
        <w:t>J</w:t>
      </w:r>
      <w:r>
        <w:rPr>
          <w:spacing w:val="-2"/>
          <w:sz w:val="18"/>
          <w:vertAlign w:val="baseline"/>
        </w:rPr>
        <w:t> </w:t>
      </w:r>
      <w:r>
        <w:rPr>
          <w:sz w:val="18"/>
          <w:vertAlign w:val="baseline"/>
        </w:rPr>
        <w:t>Obstet</w:t>
      </w:r>
      <w:r>
        <w:rPr>
          <w:spacing w:val="-4"/>
          <w:sz w:val="18"/>
          <w:vertAlign w:val="baseline"/>
        </w:rPr>
        <w:t> </w:t>
      </w:r>
      <w:r>
        <w:rPr>
          <w:sz w:val="18"/>
          <w:vertAlign w:val="baseline"/>
        </w:rPr>
        <w:t>Gynecol</w:t>
      </w:r>
      <w:r>
        <w:rPr>
          <w:spacing w:val="-3"/>
          <w:sz w:val="18"/>
          <w:vertAlign w:val="baseline"/>
        </w:rPr>
        <w:t> </w:t>
      </w:r>
      <w:r>
        <w:rPr>
          <w:sz w:val="18"/>
          <w:vertAlign w:val="baseline"/>
        </w:rPr>
        <w:t>2002; 186(5) S160-72. Hodnett ED, Gates S, Hofmeyr G J, Sakala C, Weston J. Continuous support for women during childbirth [PDF]. Cochrane Database Syst Rev 2011, Issue 2.</w:t>
      </w:r>
    </w:p>
    <w:p>
      <w:pPr>
        <w:spacing w:before="0"/>
        <w:ind w:left="463" w:right="1554" w:hanging="1"/>
        <w:jc w:val="left"/>
        <w:rPr>
          <w:sz w:val="18"/>
        </w:rPr>
      </w:pPr>
      <w:bookmarkStart w:name="_bookmark249" w:id="439"/>
      <w:bookmarkEnd w:id="439"/>
      <w:r>
        <w:rPr/>
      </w:r>
      <w:r>
        <w:rPr>
          <w:sz w:val="18"/>
          <w:vertAlign w:val="superscript"/>
        </w:rPr>
        <w:t>56</w:t>
      </w:r>
      <w:r>
        <w:rPr>
          <w:spacing w:val="-13"/>
          <w:sz w:val="18"/>
          <w:vertAlign w:val="baseline"/>
        </w:rPr>
        <w:t> </w:t>
      </w:r>
      <w:r>
        <w:rPr>
          <w:sz w:val="18"/>
          <w:vertAlign w:val="baseline"/>
        </w:rPr>
        <w:t>“LGBTQ+</w:t>
      </w:r>
      <w:r>
        <w:rPr>
          <w:spacing w:val="-3"/>
          <w:sz w:val="18"/>
          <w:vertAlign w:val="baseline"/>
        </w:rPr>
        <w:t> </w:t>
      </w:r>
      <w:r>
        <w:rPr>
          <w:sz w:val="18"/>
          <w:vertAlign w:val="baseline"/>
        </w:rPr>
        <w:t>Doulas</w:t>
      </w:r>
      <w:r>
        <w:rPr>
          <w:spacing w:val="-2"/>
          <w:sz w:val="18"/>
          <w:vertAlign w:val="baseline"/>
        </w:rPr>
        <w:t> </w:t>
      </w:r>
      <w:r>
        <w:rPr>
          <w:sz w:val="18"/>
          <w:vertAlign w:val="baseline"/>
        </w:rPr>
        <w:t>Help</w:t>
      </w:r>
      <w:r>
        <w:rPr>
          <w:spacing w:val="-2"/>
          <w:sz w:val="18"/>
          <w:vertAlign w:val="baseline"/>
        </w:rPr>
        <w:t> </w:t>
      </w:r>
      <w:r>
        <w:rPr>
          <w:sz w:val="18"/>
          <w:vertAlign w:val="baseline"/>
        </w:rPr>
        <w:t>New</w:t>
      </w:r>
      <w:r>
        <w:rPr>
          <w:spacing w:val="-3"/>
          <w:sz w:val="18"/>
          <w:vertAlign w:val="baseline"/>
        </w:rPr>
        <w:t> </w:t>
      </w:r>
      <w:r>
        <w:rPr>
          <w:sz w:val="18"/>
          <w:vertAlign w:val="baseline"/>
        </w:rPr>
        <w:t>Parents</w:t>
      </w:r>
      <w:r>
        <w:rPr>
          <w:spacing w:val="-2"/>
          <w:sz w:val="18"/>
          <w:vertAlign w:val="baseline"/>
        </w:rPr>
        <w:t> </w:t>
      </w:r>
      <w:r>
        <w:rPr>
          <w:sz w:val="18"/>
          <w:vertAlign w:val="baseline"/>
        </w:rPr>
        <w:t>Thrive,</w:t>
      </w:r>
      <w:r>
        <w:rPr>
          <w:spacing w:val="-3"/>
          <w:sz w:val="18"/>
          <w:vertAlign w:val="baseline"/>
        </w:rPr>
        <w:t> </w:t>
      </w:r>
      <w:r>
        <w:rPr>
          <w:sz w:val="18"/>
          <w:vertAlign w:val="baseline"/>
        </w:rPr>
        <w:t>No</w:t>
      </w:r>
      <w:r>
        <w:rPr>
          <w:spacing w:val="-4"/>
          <w:sz w:val="18"/>
          <w:vertAlign w:val="baseline"/>
        </w:rPr>
        <w:t> </w:t>
      </w:r>
      <w:r>
        <w:rPr>
          <w:sz w:val="18"/>
          <w:vertAlign w:val="baseline"/>
        </w:rPr>
        <w:t>Matter</w:t>
      </w:r>
      <w:r>
        <w:rPr>
          <w:spacing w:val="-3"/>
          <w:sz w:val="18"/>
          <w:vertAlign w:val="baseline"/>
        </w:rPr>
        <w:t> </w:t>
      </w:r>
      <w:r>
        <w:rPr>
          <w:sz w:val="18"/>
          <w:vertAlign w:val="baseline"/>
        </w:rPr>
        <w:t>How</w:t>
      </w:r>
      <w:r>
        <w:rPr>
          <w:spacing w:val="-3"/>
          <w:sz w:val="18"/>
          <w:vertAlign w:val="baseline"/>
        </w:rPr>
        <w:t> </w:t>
      </w:r>
      <w:r>
        <w:rPr>
          <w:sz w:val="18"/>
          <w:vertAlign w:val="baseline"/>
        </w:rPr>
        <w:t>They</w:t>
      </w:r>
      <w:r>
        <w:rPr>
          <w:spacing w:val="-2"/>
          <w:sz w:val="18"/>
          <w:vertAlign w:val="baseline"/>
        </w:rPr>
        <w:t> </w:t>
      </w:r>
      <w:r>
        <w:rPr>
          <w:sz w:val="18"/>
          <w:vertAlign w:val="baseline"/>
        </w:rPr>
        <w:t>Identify</w:t>
      </w:r>
      <w:r>
        <w:rPr>
          <w:spacing w:val="-2"/>
          <w:sz w:val="18"/>
          <w:vertAlign w:val="baseline"/>
        </w:rPr>
        <w:t> </w:t>
      </w:r>
      <w:r>
        <w:rPr>
          <w:sz w:val="18"/>
          <w:vertAlign w:val="baseline"/>
        </w:rPr>
        <w:t>|</w:t>
      </w:r>
      <w:r>
        <w:rPr>
          <w:spacing w:val="-2"/>
          <w:sz w:val="18"/>
          <w:vertAlign w:val="baseline"/>
        </w:rPr>
        <w:t> </w:t>
      </w:r>
      <w:r>
        <w:rPr>
          <w:sz w:val="18"/>
          <w:vertAlign w:val="baseline"/>
        </w:rPr>
        <w:t>Them,”</w:t>
      </w:r>
      <w:r>
        <w:rPr>
          <w:spacing w:val="-2"/>
          <w:sz w:val="18"/>
          <w:vertAlign w:val="baseline"/>
        </w:rPr>
        <w:t> </w:t>
      </w:r>
      <w:r>
        <w:rPr>
          <w:sz w:val="18"/>
          <w:vertAlign w:val="baseline"/>
        </w:rPr>
        <w:t>accessed</w:t>
      </w:r>
      <w:r>
        <w:rPr>
          <w:spacing w:val="-2"/>
          <w:sz w:val="18"/>
          <w:vertAlign w:val="baseline"/>
        </w:rPr>
        <w:t> </w:t>
      </w:r>
      <w:r>
        <w:rPr>
          <w:sz w:val="18"/>
          <w:vertAlign w:val="baseline"/>
        </w:rPr>
        <w:t>December</w:t>
      </w:r>
      <w:r>
        <w:rPr>
          <w:spacing w:val="-3"/>
          <w:sz w:val="18"/>
          <w:vertAlign w:val="baseline"/>
        </w:rPr>
        <w:t> </w:t>
      </w:r>
      <w:r>
        <w:rPr>
          <w:sz w:val="18"/>
          <w:vertAlign w:val="baseline"/>
        </w:rPr>
        <w:t>4,</w:t>
      </w:r>
      <w:r>
        <w:rPr>
          <w:spacing w:val="-3"/>
          <w:sz w:val="18"/>
          <w:vertAlign w:val="baseline"/>
        </w:rPr>
        <w:t> </w:t>
      </w:r>
      <w:r>
        <w:rPr>
          <w:sz w:val="18"/>
          <w:vertAlign w:val="baseline"/>
        </w:rPr>
        <w:t>2022, </w:t>
      </w:r>
      <w:hyperlink r:id="rId363">
        <w:r>
          <w:rPr>
            <w:color w:val="0561C1"/>
            <w:spacing w:val="-2"/>
            <w:sz w:val="18"/>
            <w:u w:val="single" w:color="0561C1"/>
            <w:vertAlign w:val="baseline"/>
          </w:rPr>
          <w:t>https://www.them.us/story/lgbtq-doulas</w:t>
        </w:r>
      </w:hyperlink>
      <w:hyperlink r:id="rId363">
        <w:r>
          <w:rPr>
            <w:spacing w:val="-2"/>
            <w:sz w:val="18"/>
            <w:u w:val="none"/>
            <w:vertAlign w:val="baseline"/>
          </w:rPr>
          <w:t>.</w:t>
        </w:r>
      </w:hyperlink>
    </w:p>
    <w:p>
      <w:pPr>
        <w:spacing w:line="219" w:lineRule="exact" w:before="0"/>
        <w:ind w:left="463" w:right="0" w:firstLine="0"/>
        <w:jc w:val="left"/>
        <w:rPr>
          <w:sz w:val="18"/>
        </w:rPr>
      </w:pPr>
      <w:bookmarkStart w:name="_bookmark250" w:id="440"/>
      <w:bookmarkEnd w:id="440"/>
      <w:r>
        <w:rPr/>
      </w:r>
      <w:r>
        <w:rPr>
          <w:sz w:val="18"/>
          <w:vertAlign w:val="superscript"/>
        </w:rPr>
        <w:t>57</w:t>
      </w:r>
      <w:r>
        <w:rPr>
          <w:spacing w:val="-15"/>
          <w:sz w:val="18"/>
          <w:vertAlign w:val="baseline"/>
        </w:rPr>
        <w:t> </w:t>
      </w:r>
      <w:r>
        <w:rPr>
          <w:sz w:val="18"/>
          <w:vertAlign w:val="baseline"/>
        </w:rPr>
        <w:t>“Doula</w:t>
      </w:r>
      <w:r>
        <w:rPr>
          <w:spacing w:val="-10"/>
          <w:sz w:val="18"/>
          <w:vertAlign w:val="baseline"/>
        </w:rPr>
        <w:t> </w:t>
      </w:r>
      <w:r>
        <w:rPr>
          <w:sz w:val="18"/>
          <w:vertAlign w:val="baseline"/>
        </w:rPr>
        <w:t>Services,”</w:t>
      </w:r>
      <w:r>
        <w:rPr>
          <w:spacing w:val="-6"/>
          <w:sz w:val="18"/>
          <w:vertAlign w:val="baseline"/>
        </w:rPr>
        <w:t> </w:t>
      </w:r>
      <w:r>
        <w:rPr>
          <w:sz w:val="18"/>
          <w:vertAlign w:val="baseline"/>
        </w:rPr>
        <w:t>accessed</w:t>
      </w:r>
      <w:r>
        <w:rPr>
          <w:spacing w:val="-6"/>
          <w:sz w:val="18"/>
          <w:vertAlign w:val="baseline"/>
        </w:rPr>
        <w:t> </w:t>
      </w:r>
      <w:r>
        <w:rPr>
          <w:sz w:val="18"/>
          <w:vertAlign w:val="baseline"/>
        </w:rPr>
        <w:t>December</w:t>
      </w:r>
      <w:r>
        <w:rPr>
          <w:spacing w:val="-7"/>
          <w:sz w:val="18"/>
          <w:vertAlign w:val="baseline"/>
        </w:rPr>
        <w:t> </w:t>
      </w:r>
      <w:r>
        <w:rPr>
          <w:sz w:val="18"/>
          <w:vertAlign w:val="baseline"/>
        </w:rPr>
        <w:t>5,</w:t>
      </w:r>
      <w:r>
        <w:rPr>
          <w:spacing w:val="-7"/>
          <w:sz w:val="18"/>
          <w:vertAlign w:val="baseline"/>
        </w:rPr>
        <w:t> </w:t>
      </w:r>
      <w:r>
        <w:rPr>
          <w:sz w:val="18"/>
          <w:vertAlign w:val="baseline"/>
        </w:rPr>
        <w:t>2022,</w:t>
      </w:r>
      <w:r>
        <w:rPr>
          <w:spacing w:val="-6"/>
          <w:sz w:val="18"/>
          <w:vertAlign w:val="baseline"/>
        </w:rPr>
        <w:t> </w:t>
      </w:r>
      <w:hyperlink r:id="rId364">
        <w:r>
          <w:rPr>
            <w:color w:val="0561C1"/>
            <w:sz w:val="18"/>
            <w:u w:val="single" w:color="0561C1"/>
            <w:vertAlign w:val="baseline"/>
          </w:rPr>
          <w:t>https://www.dhcs.ca.gov/provgovpart/Pages/Doula-</w:t>
        </w:r>
        <w:r>
          <w:rPr>
            <w:color w:val="0561C1"/>
            <w:spacing w:val="-2"/>
            <w:sz w:val="18"/>
            <w:u w:val="single" w:color="0561C1"/>
            <w:vertAlign w:val="baseline"/>
          </w:rPr>
          <w:t>Services.aspx</w:t>
        </w:r>
      </w:hyperlink>
      <w:hyperlink r:id="rId364">
        <w:r>
          <w:rPr>
            <w:spacing w:val="-2"/>
            <w:sz w:val="18"/>
            <w:u w:val="none"/>
            <w:vertAlign w:val="baseline"/>
          </w:rPr>
          <w:t>.</w:t>
        </w:r>
      </w:hyperlink>
    </w:p>
    <w:p>
      <w:pPr>
        <w:spacing w:before="0"/>
        <w:ind w:left="463" w:right="335" w:hanging="1"/>
        <w:jc w:val="left"/>
        <w:rPr>
          <w:sz w:val="18"/>
        </w:rPr>
      </w:pPr>
      <w:bookmarkStart w:name="_bookmark251" w:id="441"/>
      <w:bookmarkEnd w:id="441"/>
      <w:r>
        <w:rPr/>
      </w:r>
      <w:r>
        <w:rPr>
          <w:sz w:val="18"/>
          <w:vertAlign w:val="superscript"/>
        </w:rPr>
        <w:t>58</w:t>
      </w:r>
      <w:r>
        <w:rPr>
          <w:spacing w:val="-13"/>
          <w:sz w:val="18"/>
          <w:vertAlign w:val="baseline"/>
        </w:rPr>
        <w:t> </w:t>
      </w:r>
      <w:r>
        <w:rPr>
          <w:sz w:val="18"/>
          <w:vertAlign w:val="baseline"/>
        </w:rPr>
        <w:t>“Medicaid</w:t>
      </w:r>
      <w:r>
        <w:rPr>
          <w:spacing w:val="-4"/>
          <w:sz w:val="18"/>
          <w:vertAlign w:val="baseline"/>
        </w:rPr>
        <w:t> </w:t>
      </w:r>
      <w:r>
        <w:rPr>
          <w:sz w:val="18"/>
          <w:vertAlign w:val="baseline"/>
        </w:rPr>
        <w:t>Coverage</w:t>
      </w:r>
      <w:r>
        <w:rPr>
          <w:spacing w:val="-2"/>
          <w:sz w:val="18"/>
          <w:vertAlign w:val="baseline"/>
        </w:rPr>
        <w:t> </w:t>
      </w:r>
      <w:r>
        <w:rPr>
          <w:sz w:val="18"/>
          <w:vertAlign w:val="baseline"/>
        </w:rPr>
        <w:t>for</w:t>
      </w:r>
      <w:r>
        <w:rPr>
          <w:spacing w:val="-3"/>
          <w:sz w:val="18"/>
          <w:vertAlign w:val="baseline"/>
        </w:rPr>
        <w:t> </w:t>
      </w:r>
      <w:r>
        <w:rPr>
          <w:sz w:val="18"/>
          <w:vertAlign w:val="baseline"/>
        </w:rPr>
        <w:t>Doula</w:t>
      </w:r>
      <w:r>
        <w:rPr>
          <w:spacing w:val="-3"/>
          <w:sz w:val="18"/>
          <w:vertAlign w:val="baseline"/>
        </w:rPr>
        <w:t> </w:t>
      </w:r>
      <w:r>
        <w:rPr>
          <w:sz w:val="18"/>
          <w:vertAlign w:val="baseline"/>
        </w:rPr>
        <w:t>Care:</w:t>
      </w:r>
      <w:r>
        <w:rPr>
          <w:spacing w:val="-2"/>
          <w:sz w:val="18"/>
          <w:vertAlign w:val="baseline"/>
        </w:rPr>
        <w:t> </w:t>
      </w:r>
      <w:r>
        <w:rPr>
          <w:sz w:val="18"/>
          <w:vertAlign w:val="baseline"/>
        </w:rPr>
        <w:t>State</w:t>
      </w:r>
      <w:r>
        <w:rPr>
          <w:spacing w:val="-2"/>
          <w:sz w:val="18"/>
          <w:vertAlign w:val="baseline"/>
        </w:rPr>
        <w:t> </w:t>
      </w:r>
      <w:r>
        <w:rPr>
          <w:sz w:val="18"/>
          <w:vertAlign w:val="baseline"/>
        </w:rPr>
        <w:t>Implementation</w:t>
      </w:r>
      <w:r>
        <w:rPr>
          <w:spacing w:val="-2"/>
          <w:sz w:val="18"/>
          <w:vertAlign w:val="baseline"/>
        </w:rPr>
        <w:t> </w:t>
      </w:r>
      <w:r>
        <w:rPr>
          <w:sz w:val="18"/>
          <w:vertAlign w:val="baseline"/>
        </w:rPr>
        <w:t>Efforts</w:t>
      </w:r>
      <w:r>
        <w:rPr>
          <w:spacing w:val="-2"/>
          <w:sz w:val="18"/>
          <w:vertAlign w:val="baseline"/>
        </w:rPr>
        <w:t> </w:t>
      </w:r>
      <w:r>
        <w:rPr>
          <w:sz w:val="18"/>
          <w:vertAlign w:val="baseline"/>
        </w:rPr>
        <w:t>-</w:t>
      </w:r>
      <w:r>
        <w:rPr>
          <w:spacing w:val="-3"/>
          <w:sz w:val="18"/>
          <w:vertAlign w:val="baseline"/>
        </w:rPr>
        <w:t> </w:t>
      </w:r>
      <w:r>
        <w:rPr>
          <w:sz w:val="18"/>
          <w:vertAlign w:val="baseline"/>
        </w:rPr>
        <w:t>National</w:t>
      </w:r>
      <w:r>
        <w:rPr>
          <w:spacing w:val="-3"/>
          <w:sz w:val="18"/>
          <w:vertAlign w:val="baseline"/>
        </w:rPr>
        <w:t> </w:t>
      </w:r>
      <w:r>
        <w:rPr>
          <w:sz w:val="18"/>
          <w:vertAlign w:val="baseline"/>
        </w:rPr>
        <w:t>Health</w:t>
      </w:r>
      <w:r>
        <w:rPr>
          <w:spacing w:val="-2"/>
          <w:sz w:val="18"/>
          <w:vertAlign w:val="baseline"/>
        </w:rPr>
        <w:t> </w:t>
      </w:r>
      <w:r>
        <w:rPr>
          <w:sz w:val="18"/>
          <w:vertAlign w:val="baseline"/>
        </w:rPr>
        <w:t>Law</w:t>
      </w:r>
      <w:r>
        <w:rPr>
          <w:spacing w:val="-3"/>
          <w:sz w:val="18"/>
          <w:vertAlign w:val="baseline"/>
        </w:rPr>
        <w:t> </w:t>
      </w:r>
      <w:r>
        <w:rPr>
          <w:sz w:val="18"/>
          <w:vertAlign w:val="baseline"/>
        </w:rPr>
        <w:t>Program,”</w:t>
      </w:r>
      <w:r>
        <w:rPr>
          <w:spacing w:val="-2"/>
          <w:sz w:val="18"/>
          <w:vertAlign w:val="baseline"/>
        </w:rPr>
        <w:t> </w:t>
      </w:r>
      <w:r>
        <w:rPr>
          <w:sz w:val="18"/>
          <w:vertAlign w:val="baseline"/>
        </w:rPr>
        <w:t>accessed</w:t>
      </w:r>
      <w:r>
        <w:rPr>
          <w:spacing w:val="-2"/>
          <w:sz w:val="18"/>
          <w:vertAlign w:val="baseline"/>
        </w:rPr>
        <w:t> </w:t>
      </w:r>
      <w:r>
        <w:rPr>
          <w:sz w:val="18"/>
          <w:vertAlign w:val="baseline"/>
        </w:rPr>
        <w:t>December</w:t>
      </w:r>
      <w:r>
        <w:rPr>
          <w:spacing w:val="-3"/>
          <w:sz w:val="18"/>
          <w:vertAlign w:val="baseline"/>
        </w:rPr>
        <w:t> </w:t>
      </w:r>
      <w:r>
        <w:rPr>
          <w:sz w:val="18"/>
          <w:vertAlign w:val="baseline"/>
        </w:rPr>
        <w:t>5,</w:t>
      </w:r>
      <w:r>
        <w:rPr>
          <w:spacing w:val="-3"/>
          <w:sz w:val="18"/>
          <w:vertAlign w:val="baseline"/>
        </w:rPr>
        <w:t> </w:t>
      </w:r>
      <w:r>
        <w:rPr>
          <w:sz w:val="18"/>
          <w:vertAlign w:val="baseline"/>
        </w:rPr>
        <w:t>2022, </w:t>
      </w:r>
      <w:hyperlink r:id="rId365">
        <w:r>
          <w:rPr>
            <w:color w:val="0561C1"/>
            <w:spacing w:val="-2"/>
            <w:sz w:val="18"/>
            <w:u w:val="single" w:color="0561C1"/>
            <w:vertAlign w:val="baseline"/>
          </w:rPr>
          <w:t>https://healthlaw.org/medicaid-coverage-for-doula-care-state-implementation-efforts/</w:t>
        </w:r>
      </w:hyperlink>
      <w:hyperlink r:id="rId365">
        <w:r>
          <w:rPr>
            <w:spacing w:val="-2"/>
            <w:sz w:val="18"/>
            <w:u w:val="none"/>
            <w:vertAlign w:val="baseline"/>
          </w:rPr>
          <w:t>.</w:t>
        </w:r>
      </w:hyperlink>
    </w:p>
    <w:p>
      <w:pPr>
        <w:spacing w:before="0"/>
        <w:ind w:left="463" w:right="572" w:firstLine="0"/>
        <w:jc w:val="left"/>
        <w:rPr>
          <w:sz w:val="18"/>
        </w:rPr>
      </w:pPr>
      <w:bookmarkStart w:name="_bookmark252" w:id="442"/>
      <w:bookmarkEnd w:id="442"/>
      <w:r>
        <w:rPr/>
      </w:r>
      <w:r>
        <w:rPr>
          <w:sz w:val="18"/>
          <w:vertAlign w:val="superscript"/>
        </w:rPr>
        <w:t>59</w:t>
      </w:r>
      <w:r>
        <w:rPr>
          <w:spacing w:val="-8"/>
          <w:sz w:val="18"/>
          <w:vertAlign w:val="baseline"/>
        </w:rPr>
        <w:t> </w:t>
      </w:r>
      <w:r>
        <w:rPr>
          <w:sz w:val="18"/>
          <w:vertAlign w:val="baseline"/>
        </w:rPr>
        <w:t>“Birth Equity and Support through the Inclusion of Doula Expertise (BESIDE) Investment Program | Mass.Gov,” accessed December</w:t>
      </w:r>
      <w:r>
        <w:rPr>
          <w:spacing w:val="-11"/>
          <w:sz w:val="18"/>
          <w:vertAlign w:val="baseline"/>
        </w:rPr>
        <w:t> </w:t>
      </w:r>
      <w:r>
        <w:rPr>
          <w:sz w:val="18"/>
          <w:vertAlign w:val="baseline"/>
        </w:rPr>
        <w:t>5,</w:t>
      </w:r>
      <w:r>
        <w:rPr>
          <w:spacing w:val="-10"/>
          <w:sz w:val="18"/>
          <w:vertAlign w:val="baseline"/>
        </w:rPr>
        <w:t> </w:t>
      </w:r>
      <w:r>
        <w:rPr>
          <w:sz w:val="18"/>
          <w:vertAlign w:val="baseline"/>
        </w:rPr>
        <w:t>2022,</w:t>
      </w:r>
      <w:r>
        <w:rPr>
          <w:spacing w:val="-10"/>
          <w:sz w:val="18"/>
          <w:vertAlign w:val="baseline"/>
        </w:rPr>
        <w:t> </w:t>
      </w:r>
      <w:hyperlink r:id="rId366">
        <w:r>
          <w:rPr>
            <w:color w:val="0561C1"/>
            <w:sz w:val="18"/>
            <w:u w:val="single" w:color="0561C1"/>
            <w:vertAlign w:val="baseline"/>
          </w:rPr>
          <w:t>https://www.mass.gov/service-details/birth-equity-and-support-through-the-inclusion-of-doula-expertise-</w:t>
        </w:r>
      </w:hyperlink>
      <w:r>
        <w:rPr>
          <w:color w:val="0561C1"/>
          <w:sz w:val="18"/>
          <w:u w:val="none"/>
          <w:vertAlign w:val="baseline"/>
        </w:rPr>
        <w:t> </w:t>
      </w:r>
      <w:hyperlink r:id="rId366">
        <w:r>
          <w:rPr>
            <w:color w:val="0561C1"/>
            <w:spacing w:val="-2"/>
            <w:sz w:val="18"/>
            <w:u w:val="single" w:color="0561C1"/>
            <w:vertAlign w:val="baseline"/>
          </w:rPr>
          <w:t>beside-investment-program</w:t>
        </w:r>
      </w:hyperlink>
      <w:hyperlink r:id="rId366">
        <w:r>
          <w:rPr>
            <w:spacing w:val="-2"/>
            <w:sz w:val="18"/>
            <w:u w:val="none"/>
            <w:vertAlign w:val="baseline"/>
          </w:rPr>
          <w:t>.</w:t>
        </w:r>
      </w:hyperlink>
    </w:p>
    <w:p>
      <w:pPr>
        <w:spacing w:before="0"/>
        <w:ind w:left="463" w:right="0" w:firstLine="0"/>
        <w:jc w:val="left"/>
        <w:rPr>
          <w:sz w:val="18"/>
        </w:rPr>
      </w:pPr>
      <w:bookmarkStart w:name="_bookmark253" w:id="443"/>
      <w:bookmarkEnd w:id="443"/>
      <w:r>
        <w:rPr/>
      </w:r>
      <w:r>
        <w:rPr>
          <w:sz w:val="18"/>
          <w:vertAlign w:val="superscript"/>
        </w:rPr>
        <w:t>60</w:t>
      </w:r>
      <w:r>
        <w:rPr>
          <w:spacing w:val="-15"/>
          <w:sz w:val="18"/>
          <w:vertAlign w:val="baseline"/>
        </w:rPr>
        <w:t> </w:t>
      </w:r>
      <w:r>
        <w:rPr>
          <w:sz w:val="18"/>
          <w:vertAlign w:val="baseline"/>
        </w:rPr>
        <w:t>Sajal</w:t>
      </w:r>
      <w:r>
        <w:rPr>
          <w:spacing w:val="-4"/>
          <w:sz w:val="18"/>
          <w:vertAlign w:val="baseline"/>
        </w:rPr>
        <w:t> </w:t>
      </w:r>
      <w:r>
        <w:rPr>
          <w:sz w:val="18"/>
          <w:vertAlign w:val="baseline"/>
        </w:rPr>
        <w:t>Patel</w:t>
      </w:r>
      <w:r>
        <w:rPr>
          <w:spacing w:val="-3"/>
          <w:sz w:val="18"/>
          <w:vertAlign w:val="baseline"/>
        </w:rPr>
        <w:t> </w:t>
      </w:r>
      <w:r>
        <w:rPr>
          <w:sz w:val="18"/>
          <w:vertAlign w:val="baseline"/>
        </w:rPr>
        <w:t>and</w:t>
      </w:r>
      <w:r>
        <w:rPr>
          <w:spacing w:val="-2"/>
          <w:sz w:val="18"/>
          <w:vertAlign w:val="baseline"/>
        </w:rPr>
        <w:t> </w:t>
      </w:r>
      <w:r>
        <w:rPr>
          <w:sz w:val="18"/>
          <w:vertAlign w:val="baseline"/>
        </w:rPr>
        <w:t>Lori</w:t>
      </w:r>
      <w:r>
        <w:rPr>
          <w:spacing w:val="-3"/>
          <w:sz w:val="18"/>
          <w:vertAlign w:val="baseline"/>
        </w:rPr>
        <w:t> </w:t>
      </w:r>
      <w:r>
        <w:rPr>
          <w:sz w:val="18"/>
          <w:vertAlign w:val="baseline"/>
        </w:rPr>
        <w:t>B.</w:t>
      </w:r>
      <w:r>
        <w:rPr>
          <w:spacing w:val="-2"/>
          <w:sz w:val="18"/>
          <w:vertAlign w:val="baseline"/>
        </w:rPr>
        <w:t> </w:t>
      </w:r>
      <w:r>
        <w:rPr>
          <w:sz w:val="18"/>
          <w:vertAlign w:val="baseline"/>
        </w:rPr>
        <w:t>Sweeney,</w:t>
      </w:r>
      <w:r>
        <w:rPr>
          <w:spacing w:val="-2"/>
          <w:sz w:val="18"/>
          <w:vertAlign w:val="baseline"/>
        </w:rPr>
        <w:t> </w:t>
      </w:r>
      <w:r>
        <w:rPr>
          <w:sz w:val="18"/>
          <w:vertAlign w:val="baseline"/>
        </w:rPr>
        <w:t>“Maternal</w:t>
      </w:r>
      <w:r>
        <w:rPr>
          <w:spacing w:val="-3"/>
          <w:sz w:val="18"/>
          <w:vertAlign w:val="baseline"/>
        </w:rPr>
        <w:t> </w:t>
      </w:r>
      <w:r>
        <w:rPr>
          <w:sz w:val="18"/>
          <w:vertAlign w:val="baseline"/>
        </w:rPr>
        <w:t>Health</w:t>
      </w:r>
      <w:r>
        <w:rPr>
          <w:spacing w:val="-2"/>
          <w:sz w:val="18"/>
          <w:vertAlign w:val="baseline"/>
        </w:rPr>
        <w:t> </w:t>
      </w:r>
      <w:r>
        <w:rPr>
          <w:sz w:val="18"/>
          <w:vertAlign w:val="baseline"/>
        </w:rPr>
        <w:t>in</w:t>
      </w:r>
      <w:r>
        <w:rPr>
          <w:spacing w:val="-1"/>
          <w:sz w:val="18"/>
          <w:vertAlign w:val="baseline"/>
        </w:rPr>
        <w:t> </w:t>
      </w:r>
      <w:r>
        <w:rPr>
          <w:sz w:val="18"/>
          <w:vertAlign w:val="baseline"/>
        </w:rPr>
        <w:t>the</w:t>
      </w:r>
      <w:r>
        <w:rPr>
          <w:spacing w:val="-2"/>
          <w:sz w:val="18"/>
          <w:vertAlign w:val="baseline"/>
        </w:rPr>
        <w:t> </w:t>
      </w:r>
      <w:r>
        <w:rPr>
          <w:sz w:val="18"/>
          <w:vertAlign w:val="baseline"/>
        </w:rPr>
        <w:t>Transgender</w:t>
      </w:r>
      <w:r>
        <w:rPr>
          <w:spacing w:val="-2"/>
          <w:sz w:val="18"/>
          <w:vertAlign w:val="baseline"/>
        </w:rPr>
        <w:t> Population,”</w:t>
      </w:r>
    </w:p>
    <w:p>
      <w:pPr>
        <w:spacing w:before="0"/>
        <w:ind w:left="463" w:right="0" w:hanging="1"/>
        <w:jc w:val="left"/>
        <w:rPr>
          <w:sz w:val="18"/>
        </w:rPr>
      </w:pPr>
      <w:bookmarkStart w:name="_bookmark254" w:id="444"/>
      <w:bookmarkEnd w:id="444"/>
      <w:r>
        <w:rPr/>
      </w:r>
      <w:r>
        <w:rPr>
          <w:sz w:val="18"/>
          <w:vertAlign w:val="superscript"/>
        </w:rPr>
        <w:t>61</w:t>
      </w:r>
      <w:r>
        <w:rPr>
          <w:spacing w:val="-13"/>
          <w:sz w:val="18"/>
          <w:vertAlign w:val="baseline"/>
        </w:rPr>
        <w:t> </w:t>
      </w:r>
      <w:r>
        <w:rPr>
          <w:sz w:val="18"/>
          <w:vertAlign w:val="baseline"/>
        </w:rPr>
        <w:t>Jeff</w:t>
      </w:r>
      <w:r>
        <w:rPr>
          <w:spacing w:val="-3"/>
          <w:sz w:val="18"/>
          <w:vertAlign w:val="baseline"/>
        </w:rPr>
        <w:t> </w:t>
      </w:r>
      <w:r>
        <w:rPr>
          <w:sz w:val="18"/>
          <w:vertAlign w:val="baseline"/>
        </w:rPr>
        <w:t>Diamant</w:t>
      </w:r>
      <w:r>
        <w:rPr>
          <w:spacing w:val="-3"/>
          <w:sz w:val="18"/>
          <w:vertAlign w:val="baseline"/>
        </w:rPr>
        <w:t> </w:t>
      </w:r>
      <w:r>
        <w:rPr>
          <w:sz w:val="18"/>
          <w:vertAlign w:val="baseline"/>
        </w:rPr>
        <w:t>and</w:t>
      </w:r>
      <w:r>
        <w:rPr>
          <w:spacing w:val="-2"/>
          <w:sz w:val="18"/>
          <w:vertAlign w:val="baseline"/>
        </w:rPr>
        <w:t> </w:t>
      </w:r>
      <w:r>
        <w:rPr>
          <w:sz w:val="18"/>
          <w:vertAlign w:val="baseline"/>
        </w:rPr>
        <w:t>Besheer</w:t>
      </w:r>
      <w:r>
        <w:rPr>
          <w:spacing w:val="-3"/>
          <w:sz w:val="18"/>
          <w:vertAlign w:val="baseline"/>
        </w:rPr>
        <w:t> </w:t>
      </w:r>
      <w:r>
        <w:rPr>
          <w:sz w:val="18"/>
          <w:vertAlign w:val="baseline"/>
        </w:rPr>
        <w:t>Mohamed,</w:t>
      </w:r>
      <w:r>
        <w:rPr>
          <w:spacing w:val="-3"/>
          <w:sz w:val="18"/>
          <w:vertAlign w:val="baseline"/>
        </w:rPr>
        <w:t> </w:t>
      </w:r>
      <w:r>
        <w:rPr>
          <w:sz w:val="18"/>
          <w:vertAlign w:val="baseline"/>
        </w:rPr>
        <w:t>“What</w:t>
      </w:r>
      <w:r>
        <w:rPr>
          <w:spacing w:val="-3"/>
          <w:sz w:val="18"/>
          <w:vertAlign w:val="baseline"/>
        </w:rPr>
        <w:t> </w:t>
      </w:r>
      <w:r>
        <w:rPr>
          <w:sz w:val="18"/>
          <w:vertAlign w:val="baseline"/>
        </w:rPr>
        <w:t>the</w:t>
      </w:r>
      <w:r>
        <w:rPr>
          <w:spacing w:val="-2"/>
          <w:sz w:val="18"/>
          <w:vertAlign w:val="baseline"/>
        </w:rPr>
        <w:t> </w:t>
      </w:r>
      <w:r>
        <w:rPr>
          <w:sz w:val="18"/>
          <w:vertAlign w:val="baseline"/>
        </w:rPr>
        <w:t>Data</w:t>
      </w:r>
      <w:r>
        <w:rPr>
          <w:spacing w:val="-2"/>
          <w:sz w:val="18"/>
          <w:vertAlign w:val="baseline"/>
        </w:rPr>
        <w:t> </w:t>
      </w:r>
      <w:r>
        <w:rPr>
          <w:sz w:val="18"/>
          <w:vertAlign w:val="baseline"/>
        </w:rPr>
        <w:t>Says</w:t>
      </w:r>
      <w:r>
        <w:rPr>
          <w:spacing w:val="-2"/>
          <w:sz w:val="18"/>
          <w:vertAlign w:val="baseline"/>
        </w:rPr>
        <w:t> </w:t>
      </w:r>
      <w:r>
        <w:rPr>
          <w:sz w:val="18"/>
          <w:vertAlign w:val="baseline"/>
        </w:rPr>
        <w:t>about</w:t>
      </w:r>
      <w:r>
        <w:rPr>
          <w:spacing w:val="-3"/>
          <w:sz w:val="18"/>
          <w:vertAlign w:val="baseline"/>
        </w:rPr>
        <w:t> </w:t>
      </w:r>
      <w:r>
        <w:rPr>
          <w:sz w:val="18"/>
          <w:vertAlign w:val="baseline"/>
        </w:rPr>
        <w:t>Abortion</w:t>
      </w:r>
      <w:r>
        <w:rPr>
          <w:spacing w:val="-2"/>
          <w:sz w:val="18"/>
          <w:vertAlign w:val="baseline"/>
        </w:rPr>
        <w:t> </w:t>
      </w:r>
      <w:r>
        <w:rPr>
          <w:sz w:val="18"/>
          <w:vertAlign w:val="baseline"/>
        </w:rPr>
        <w:t>in</w:t>
      </w:r>
      <w:r>
        <w:rPr>
          <w:spacing w:val="-2"/>
          <w:sz w:val="18"/>
          <w:vertAlign w:val="baseline"/>
        </w:rPr>
        <w:t> </w:t>
      </w:r>
      <w:r>
        <w:rPr>
          <w:sz w:val="18"/>
          <w:vertAlign w:val="baseline"/>
        </w:rPr>
        <w:t>the</w:t>
      </w:r>
      <w:r>
        <w:rPr>
          <w:spacing w:val="-2"/>
          <w:sz w:val="18"/>
          <w:vertAlign w:val="baseline"/>
        </w:rPr>
        <w:t> </w:t>
      </w:r>
      <w:r>
        <w:rPr>
          <w:sz w:val="18"/>
          <w:vertAlign w:val="baseline"/>
        </w:rPr>
        <w:t>U.S.,”</w:t>
      </w:r>
      <w:r>
        <w:rPr>
          <w:spacing w:val="-2"/>
          <w:sz w:val="18"/>
          <w:vertAlign w:val="baseline"/>
        </w:rPr>
        <w:t> </w:t>
      </w:r>
      <w:r>
        <w:rPr>
          <w:i/>
          <w:sz w:val="18"/>
          <w:vertAlign w:val="baseline"/>
        </w:rPr>
        <w:t>Pew</w:t>
      </w:r>
      <w:r>
        <w:rPr>
          <w:i/>
          <w:spacing w:val="-3"/>
          <w:sz w:val="18"/>
          <w:vertAlign w:val="baseline"/>
        </w:rPr>
        <w:t> </w:t>
      </w:r>
      <w:r>
        <w:rPr>
          <w:i/>
          <w:sz w:val="18"/>
          <w:vertAlign w:val="baseline"/>
        </w:rPr>
        <w:t>Research</w:t>
      </w:r>
      <w:r>
        <w:rPr>
          <w:i/>
          <w:spacing w:val="-2"/>
          <w:sz w:val="18"/>
          <w:vertAlign w:val="baseline"/>
        </w:rPr>
        <w:t> </w:t>
      </w:r>
      <w:r>
        <w:rPr>
          <w:i/>
          <w:sz w:val="18"/>
          <w:vertAlign w:val="baseline"/>
        </w:rPr>
        <w:t>Center</w:t>
      </w:r>
      <w:r>
        <w:rPr>
          <w:i/>
          <w:spacing w:val="-3"/>
          <w:sz w:val="18"/>
          <w:vertAlign w:val="baseline"/>
        </w:rPr>
        <w:t> </w:t>
      </w:r>
      <w:r>
        <w:rPr>
          <w:sz w:val="18"/>
          <w:vertAlign w:val="baseline"/>
        </w:rPr>
        <w:t>(blog),</w:t>
      </w:r>
      <w:r>
        <w:rPr>
          <w:spacing w:val="-3"/>
          <w:sz w:val="18"/>
          <w:vertAlign w:val="baseline"/>
        </w:rPr>
        <w:t> </w:t>
      </w:r>
      <w:r>
        <w:rPr>
          <w:sz w:val="18"/>
          <w:vertAlign w:val="baseline"/>
        </w:rPr>
        <w:t>accessed December 4, 2022, </w:t>
      </w:r>
      <w:hyperlink r:id="rId367">
        <w:r>
          <w:rPr>
            <w:color w:val="0561C1"/>
            <w:sz w:val="18"/>
            <w:u w:val="single" w:color="0561C1"/>
            <w:vertAlign w:val="baseline"/>
          </w:rPr>
          <w:t>https://www.pewresearch.org/fact-tank/2022/06/24/what-the-data-says-about-abortion-in-the-u-s-2/</w:t>
        </w:r>
      </w:hyperlink>
      <w:hyperlink r:id="rId367">
        <w:r>
          <w:rPr>
            <w:sz w:val="18"/>
            <w:u w:val="none"/>
            <w:vertAlign w:val="baseline"/>
          </w:rPr>
          <w:t>.</w:t>
        </w:r>
      </w:hyperlink>
    </w:p>
    <w:p>
      <w:pPr>
        <w:spacing w:before="0"/>
        <w:ind w:left="463" w:right="0" w:hanging="1"/>
        <w:jc w:val="left"/>
        <w:rPr>
          <w:sz w:val="18"/>
        </w:rPr>
      </w:pPr>
      <w:bookmarkStart w:name="_bookmark255" w:id="445"/>
      <w:bookmarkEnd w:id="445"/>
      <w:r>
        <w:rPr/>
      </w:r>
      <w:r>
        <w:rPr>
          <w:sz w:val="18"/>
          <w:vertAlign w:val="superscript"/>
        </w:rPr>
        <w:t>62</w:t>
      </w:r>
      <w:r>
        <w:rPr>
          <w:spacing w:val="-13"/>
          <w:sz w:val="18"/>
          <w:vertAlign w:val="baseline"/>
        </w:rPr>
        <w:t> </w:t>
      </w:r>
      <w:r>
        <w:rPr>
          <w:sz w:val="18"/>
          <w:vertAlign w:val="baseline"/>
        </w:rPr>
        <w:t>“13</w:t>
      </w:r>
      <w:r>
        <w:rPr>
          <w:spacing w:val="-3"/>
          <w:sz w:val="18"/>
          <w:vertAlign w:val="baseline"/>
        </w:rPr>
        <w:t> </w:t>
      </w:r>
      <w:r>
        <w:rPr>
          <w:sz w:val="18"/>
          <w:vertAlign w:val="baseline"/>
        </w:rPr>
        <w:t>States</w:t>
      </w:r>
      <w:r>
        <w:rPr>
          <w:spacing w:val="-2"/>
          <w:sz w:val="18"/>
          <w:vertAlign w:val="baseline"/>
        </w:rPr>
        <w:t> </w:t>
      </w:r>
      <w:r>
        <w:rPr>
          <w:sz w:val="18"/>
          <w:vertAlign w:val="baseline"/>
        </w:rPr>
        <w:t>Have</w:t>
      </w:r>
      <w:r>
        <w:rPr>
          <w:spacing w:val="-2"/>
          <w:sz w:val="18"/>
          <w:vertAlign w:val="baseline"/>
        </w:rPr>
        <w:t> </w:t>
      </w:r>
      <w:r>
        <w:rPr>
          <w:sz w:val="18"/>
          <w:vertAlign w:val="baseline"/>
        </w:rPr>
        <w:t>Abortion</w:t>
      </w:r>
      <w:r>
        <w:rPr>
          <w:spacing w:val="-2"/>
          <w:sz w:val="18"/>
          <w:vertAlign w:val="baseline"/>
        </w:rPr>
        <w:t> </w:t>
      </w:r>
      <w:r>
        <w:rPr>
          <w:sz w:val="18"/>
          <w:vertAlign w:val="baseline"/>
        </w:rPr>
        <w:t>Trigger</w:t>
      </w:r>
      <w:r>
        <w:rPr>
          <w:spacing w:val="-3"/>
          <w:sz w:val="18"/>
          <w:vertAlign w:val="baseline"/>
        </w:rPr>
        <w:t> </w:t>
      </w:r>
      <w:r>
        <w:rPr>
          <w:sz w:val="18"/>
          <w:vertAlign w:val="baseline"/>
        </w:rPr>
        <w:t>Bans—Here’s</w:t>
      </w:r>
      <w:r>
        <w:rPr>
          <w:spacing w:val="-3"/>
          <w:sz w:val="18"/>
          <w:vertAlign w:val="baseline"/>
        </w:rPr>
        <w:t> </w:t>
      </w:r>
      <w:r>
        <w:rPr>
          <w:sz w:val="18"/>
          <w:vertAlign w:val="baseline"/>
        </w:rPr>
        <w:t>What</w:t>
      </w:r>
      <w:r>
        <w:rPr>
          <w:spacing w:val="-3"/>
          <w:sz w:val="18"/>
          <w:vertAlign w:val="baseline"/>
        </w:rPr>
        <w:t> </w:t>
      </w:r>
      <w:r>
        <w:rPr>
          <w:sz w:val="18"/>
          <w:vertAlign w:val="baseline"/>
        </w:rPr>
        <w:t>Happens</w:t>
      </w:r>
      <w:r>
        <w:rPr>
          <w:spacing w:val="-3"/>
          <w:sz w:val="18"/>
          <w:vertAlign w:val="baseline"/>
        </w:rPr>
        <w:t> </w:t>
      </w:r>
      <w:r>
        <w:rPr>
          <w:sz w:val="18"/>
          <w:vertAlign w:val="baseline"/>
        </w:rPr>
        <w:t>When</w:t>
      </w:r>
      <w:r>
        <w:rPr>
          <w:spacing w:val="-2"/>
          <w:sz w:val="18"/>
          <w:vertAlign w:val="baseline"/>
        </w:rPr>
        <w:t> </w:t>
      </w:r>
      <w:r>
        <w:rPr>
          <w:sz w:val="18"/>
          <w:vertAlign w:val="baseline"/>
        </w:rPr>
        <w:t>Roe</w:t>
      </w:r>
      <w:r>
        <w:rPr>
          <w:spacing w:val="-2"/>
          <w:sz w:val="18"/>
          <w:vertAlign w:val="baseline"/>
        </w:rPr>
        <w:t> </w:t>
      </w:r>
      <w:r>
        <w:rPr>
          <w:sz w:val="18"/>
          <w:vertAlign w:val="baseline"/>
        </w:rPr>
        <w:t>Is</w:t>
      </w:r>
      <w:r>
        <w:rPr>
          <w:spacing w:val="-2"/>
          <w:sz w:val="18"/>
          <w:vertAlign w:val="baseline"/>
        </w:rPr>
        <w:t> </w:t>
      </w:r>
      <w:r>
        <w:rPr>
          <w:sz w:val="18"/>
          <w:vertAlign w:val="baseline"/>
        </w:rPr>
        <w:t>Overturned,”</w:t>
      </w:r>
      <w:r>
        <w:rPr>
          <w:spacing w:val="-2"/>
          <w:sz w:val="18"/>
          <w:vertAlign w:val="baseline"/>
        </w:rPr>
        <w:t> </w:t>
      </w:r>
      <w:r>
        <w:rPr>
          <w:sz w:val="18"/>
          <w:vertAlign w:val="baseline"/>
        </w:rPr>
        <w:t>Guttmacher</w:t>
      </w:r>
      <w:r>
        <w:rPr>
          <w:spacing w:val="-3"/>
          <w:sz w:val="18"/>
          <w:vertAlign w:val="baseline"/>
        </w:rPr>
        <w:t> </w:t>
      </w:r>
      <w:r>
        <w:rPr>
          <w:sz w:val="18"/>
          <w:vertAlign w:val="baseline"/>
        </w:rPr>
        <w:t>Institute,</w:t>
      </w:r>
      <w:r>
        <w:rPr>
          <w:spacing w:val="-3"/>
          <w:sz w:val="18"/>
          <w:vertAlign w:val="baseline"/>
        </w:rPr>
        <w:t> </w:t>
      </w:r>
      <w:r>
        <w:rPr>
          <w:sz w:val="18"/>
          <w:vertAlign w:val="baseline"/>
        </w:rPr>
        <w:t>June</w:t>
      </w:r>
      <w:r>
        <w:rPr>
          <w:spacing w:val="-2"/>
          <w:sz w:val="18"/>
          <w:vertAlign w:val="baseline"/>
        </w:rPr>
        <w:t> </w:t>
      </w:r>
      <w:r>
        <w:rPr>
          <w:sz w:val="18"/>
          <w:vertAlign w:val="baseline"/>
        </w:rPr>
        <w:t>6,</w:t>
      </w:r>
      <w:r>
        <w:rPr>
          <w:spacing w:val="-3"/>
          <w:sz w:val="18"/>
          <w:vertAlign w:val="baseline"/>
        </w:rPr>
        <w:t> </w:t>
      </w:r>
      <w:r>
        <w:rPr>
          <w:sz w:val="18"/>
          <w:vertAlign w:val="baseline"/>
        </w:rPr>
        <w:t>2022, </w:t>
      </w:r>
      <w:hyperlink r:id="rId368">
        <w:r>
          <w:rPr>
            <w:color w:val="0561C1"/>
            <w:spacing w:val="-2"/>
            <w:sz w:val="18"/>
            <w:u w:val="single" w:color="0561C1"/>
            <w:vertAlign w:val="baseline"/>
          </w:rPr>
          <w:t>https://doi.org/10.1363/2022.33571</w:t>
        </w:r>
      </w:hyperlink>
      <w:hyperlink r:id="rId368">
        <w:r>
          <w:rPr>
            <w:spacing w:val="-2"/>
            <w:sz w:val="18"/>
            <w:u w:val="none"/>
            <w:vertAlign w:val="baseline"/>
          </w:rPr>
          <w:t>.</w:t>
        </w:r>
      </w:hyperlink>
    </w:p>
    <w:p>
      <w:pPr>
        <w:spacing w:after="0"/>
        <w:jc w:val="left"/>
        <w:rPr>
          <w:sz w:val="18"/>
        </w:rPr>
        <w:sectPr>
          <w:pgSz w:w="12240" w:h="15840"/>
          <w:pgMar w:header="800" w:footer="1530" w:top="1080" w:bottom="1760" w:left="980" w:right="1000"/>
        </w:sectPr>
      </w:pPr>
    </w:p>
    <w:p>
      <w:pPr>
        <w:spacing w:before="68"/>
        <w:ind w:left="463" w:right="1003" w:firstLine="0"/>
        <w:jc w:val="left"/>
        <w:rPr>
          <w:sz w:val="18"/>
        </w:rPr>
      </w:pPr>
      <w:bookmarkStart w:name="_bookmark256" w:id="446"/>
      <w:bookmarkEnd w:id="446"/>
      <w:r>
        <w:rPr/>
      </w:r>
      <w:r>
        <w:rPr>
          <w:sz w:val="18"/>
          <w:vertAlign w:val="superscript"/>
        </w:rPr>
        <w:t>63</w:t>
      </w:r>
      <w:r>
        <w:rPr>
          <w:spacing w:val="-13"/>
          <w:sz w:val="18"/>
          <w:vertAlign w:val="baseline"/>
        </w:rPr>
        <w:t> </w:t>
      </w:r>
      <w:r>
        <w:rPr>
          <w:sz w:val="18"/>
          <w:vertAlign w:val="baseline"/>
        </w:rPr>
        <w:t>“State</w:t>
      </w:r>
      <w:r>
        <w:rPr>
          <w:spacing w:val="-6"/>
          <w:sz w:val="18"/>
          <w:vertAlign w:val="baseline"/>
        </w:rPr>
        <w:t> </w:t>
      </w:r>
      <w:r>
        <w:rPr>
          <w:sz w:val="18"/>
          <w:vertAlign w:val="baseline"/>
        </w:rPr>
        <w:t>Facts</w:t>
      </w:r>
      <w:r>
        <w:rPr>
          <w:spacing w:val="-3"/>
          <w:sz w:val="18"/>
          <w:vertAlign w:val="baseline"/>
        </w:rPr>
        <w:t> </w:t>
      </w:r>
      <w:r>
        <w:rPr>
          <w:sz w:val="18"/>
          <w:vertAlign w:val="baseline"/>
        </w:rPr>
        <w:t>About</w:t>
      </w:r>
      <w:r>
        <w:rPr>
          <w:spacing w:val="-4"/>
          <w:sz w:val="18"/>
          <w:vertAlign w:val="baseline"/>
        </w:rPr>
        <w:t> </w:t>
      </w:r>
      <w:r>
        <w:rPr>
          <w:sz w:val="18"/>
          <w:vertAlign w:val="baseline"/>
        </w:rPr>
        <w:t>Abortion:</w:t>
      </w:r>
      <w:r>
        <w:rPr>
          <w:spacing w:val="-3"/>
          <w:sz w:val="18"/>
          <w:vertAlign w:val="baseline"/>
        </w:rPr>
        <w:t> </w:t>
      </w:r>
      <w:r>
        <w:rPr>
          <w:sz w:val="18"/>
          <w:vertAlign w:val="baseline"/>
        </w:rPr>
        <w:t>Massachusetts,”</w:t>
      </w:r>
      <w:r>
        <w:rPr>
          <w:spacing w:val="-4"/>
          <w:sz w:val="18"/>
          <w:vertAlign w:val="baseline"/>
        </w:rPr>
        <w:t> </w:t>
      </w:r>
      <w:r>
        <w:rPr>
          <w:sz w:val="18"/>
          <w:vertAlign w:val="baseline"/>
        </w:rPr>
        <w:t>Guttmacher</w:t>
      </w:r>
      <w:r>
        <w:rPr>
          <w:spacing w:val="-4"/>
          <w:sz w:val="18"/>
          <w:vertAlign w:val="baseline"/>
        </w:rPr>
        <w:t> </w:t>
      </w:r>
      <w:r>
        <w:rPr>
          <w:sz w:val="18"/>
          <w:vertAlign w:val="baseline"/>
        </w:rPr>
        <w:t>Institute,</w:t>
      </w:r>
      <w:r>
        <w:rPr>
          <w:spacing w:val="-4"/>
          <w:sz w:val="18"/>
          <w:vertAlign w:val="baseline"/>
        </w:rPr>
        <w:t> </w:t>
      </w:r>
      <w:r>
        <w:rPr>
          <w:sz w:val="18"/>
          <w:vertAlign w:val="baseline"/>
        </w:rPr>
        <w:t>June</w:t>
      </w:r>
      <w:r>
        <w:rPr>
          <w:spacing w:val="-3"/>
          <w:sz w:val="18"/>
          <w:vertAlign w:val="baseline"/>
        </w:rPr>
        <w:t> </w:t>
      </w:r>
      <w:r>
        <w:rPr>
          <w:sz w:val="18"/>
          <w:vertAlign w:val="baseline"/>
        </w:rPr>
        <w:t>28,</w:t>
      </w:r>
      <w:r>
        <w:rPr>
          <w:spacing w:val="-4"/>
          <w:sz w:val="18"/>
          <w:vertAlign w:val="baseline"/>
        </w:rPr>
        <w:t> </w:t>
      </w:r>
      <w:r>
        <w:rPr>
          <w:sz w:val="18"/>
          <w:vertAlign w:val="baseline"/>
        </w:rPr>
        <w:t>2022,</w:t>
      </w:r>
      <w:r>
        <w:rPr>
          <w:spacing w:val="-4"/>
          <w:sz w:val="18"/>
          <w:vertAlign w:val="baseline"/>
        </w:rPr>
        <w:t> </w:t>
      </w:r>
      <w:hyperlink r:id="rId369">
        <w:r>
          <w:rPr>
            <w:color w:val="0561C1"/>
            <w:sz w:val="18"/>
            <w:u w:val="single" w:color="0561C1"/>
            <w:vertAlign w:val="baseline"/>
          </w:rPr>
          <w:t>https://www.guttmacher.org/fact-</w:t>
        </w:r>
      </w:hyperlink>
      <w:r>
        <w:rPr>
          <w:color w:val="0561C1"/>
          <w:sz w:val="18"/>
          <w:u w:val="none"/>
          <w:vertAlign w:val="baseline"/>
        </w:rPr>
        <w:t> </w:t>
      </w:r>
      <w:bookmarkStart w:name="_bookmark257" w:id="447"/>
      <w:bookmarkEnd w:id="447"/>
      <w:r>
        <w:rPr>
          <w:color w:val="0561C1"/>
          <w:sz w:val="18"/>
          <w:u w:val="none"/>
          <w:vertAlign w:val="baseline"/>
        </w:rPr>
      </w:r>
      <w:hyperlink r:id="rId369">
        <w:r>
          <w:rPr>
            <w:color w:val="0561C1"/>
            <w:spacing w:val="-2"/>
            <w:sz w:val="18"/>
            <w:u w:val="single" w:color="0561C1"/>
            <w:vertAlign w:val="baseline"/>
          </w:rPr>
          <w:t>sheet/state-facts-about-abortion-massachusetts</w:t>
        </w:r>
      </w:hyperlink>
      <w:hyperlink r:id="rId369">
        <w:r>
          <w:rPr>
            <w:spacing w:val="-2"/>
            <w:sz w:val="18"/>
            <w:u w:val="none"/>
            <w:vertAlign w:val="baseline"/>
          </w:rPr>
          <w:t>.</w:t>
        </w:r>
      </w:hyperlink>
    </w:p>
    <w:p>
      <w:pPr>
        <w:spacing w:before="0"/>
        <w:ind w:left="463" w:right="1748" w:firstLine="0"/>
        <w:jc w:val="left"/>
        <w:rPr>
          <w:sz w:val="18"/>
        </w:rPr>
      </w:pPr>
      <w:r>
        <w:rPr>
          <w:sz w:val="18"/>
          <w:vertAlign w:val="superscript"/>
        </w:rPr>
        <w:t>64</w:t>
      </w:r>
      <w:r>
        <w:rPr>
          <w:spacing w:val="-13"/>
          <w:sz w:val="18"/>
          <w:vertAlign w:val="baseline"/>
        </w:rPr>
        <w:t> </w:t>
      </w:r>
      <w:r>
        <w:rPr>
          <w:sz w:val="18"/>
          <w:vertAlign w:val="baseline"/>
        </w:rPr>
        <w:t>“Massachusetts</w:t>
      </w:r>
      <w:r>
        <w:rPr>
          <w:spacing w:val="-5"/>
          <w:sz w:val="18"/>
          <w:vertAlign w:val="baseline"/>
        </w:rPr>
        <w:t> </w:t>
      </w:r>
      <w:r>
        <w:rPr>
          <w:sz w:val="18"/>
          <w:vertAlign w:val="baseline"/>
        </w:rPr>
        <w:t>Law</w:t>
      </w:r>
      <w:r>
        <w:rPr>
          <w:spacing w:val="-4"/>
          <w:sz w:val="18"/>
          <w:vertAlign w:val="baseline"/>
        </w:rPr>
        <w:t> </w:t>
      </w:r>
      <w:r>
        <w:rPr>
          <w:sz w:val="18"/>
          <w:vertAlign w:val="baseline"/>
        </w:rPr>
        <w:t>about</w:t>
      </w:r>
      <w:r>
        <w:rPr>
          <w:spacing w:val="-4"/>
          <w:sz w:val="18"/>
          <w:vertAlign w:val="baseline"/>
        </w:rPr>
        <w:t> </w:t>
      </w:r>
      <w:r>
        <w:rPr>
          <w:sz w:val="18"/>
          <w:vertAlign w:val="baseline"/>
        </w:rPr>
        <w:t>Abortion</w:t>
      </w:r>
      <w:r>
        <w:rPr>
          <w:spacing w:val="-3"/>
          <w:sz w:val="18"/>
          <w:vertAlign w:val="baseline"/>
        </w:rPr>
        <w:t> </w:t>
      </w:r>
      <w:r>
        <w:rPr>
          <w:sz w:val="18"/>
          <w:vertAlign w:val="baseline"/>
        </w:rPr>
        <w:t>|</w:t>
      </w:r>
      <w:r>
        <w:rPr>
          <w:spacing w:val="-3"/>
          <w:sz w:val="18"/>
          <w:vertAlign w:val="baseline"/>
        </w:rPr>
        <w:t> </w:t>
      </w:r>
      <w:r>
        <w:rPr>
          <w:sz w:val="18"/>
          <w:vertAlign w:val="baseline"/>
        </w:rPr>
        <w:t>Mass.Gov,”</w:t>
      </w:r>
      <w:r>
        <w:rPr>
          <w:spacing w:val="-3"/>
          <w:sz w:val="18"/>
          <w:vertAlign w:val="baseline"/>
        </w:rPr>
        <w:t> </w:t>
      </w:r>
      <w:r>
        <w:rPr>
          <w:sz w:val="18"/>
          <w:vertAlign w:val="baseline"/>
        </w:rPr>
        <w:t>accessed</w:t>
      </w:r>
      <w:r>
        <w:rPr>
          <w:spacing w:val="-3"/>
          <w:sz w:val="18"/>
          <w:vertAlign w:val="baseline"/>
        </w:rPr>
        <w:t> </w:t>
      </w:r>
      <w:r>
        <w:rPr>
          <w:sz w:val="18"/>
          <w:vertAlign w:val="baseline"/>
        </w:rPr>
        <w:t>December</w:t>
      </w:r>
      <w:r>
        <w:rPr>
          <w:spacing w:val="-4"/>
          <w:sz w:val="18"/>
          <w:vertAlign w:val="baseline"/>
        </w:rPr>
        <w:t> </w:t>
      </w:r>
      <w:r>
        <w:rPr>
          <w:sz w:val="18"/>
          <w:vertAlign w:val="baseline"/>
        </w:rPr>
        <w:t>4,</w:t>
      </w:r>
      <w:r>
        <w:rPr>
          <w:spacing w:val="-4"/>
          <w:sz w:val="18"/>
          <w:vertAlign w:val="baseline"/>
        </w:rPr>
        <w:t> </w:t>
      </w:r>
      <w:r>
        <w:rPr>
          <w:sz w:val="18"/>
          <w:vertAlign w:val="baseline"/>
        </w:rPr>
        <w:t>2022,</w:t>
      </w:r>
      <w:r>
        <w:rPr>
          <w:spacing w:val="-4"/>
          <w:sz w:val="18"/>
          <w:vertAlign w:val="baseline"/>
        </w:rPr>
        <w:t> </w:t>
      </w:r>
      <w:hyperlink r:id="rId370">
        <w:r>
          <w:rPr>
            <w:color w:val="0561C1"/>
            <w:sz w:val="18"/>
            <w:u w:val="single" w:color="0561C1"/>
            <w:vertAlign w:val="baseline"/>
          </w:rPr>
          <w:t>https://www.mass.gov/info-</w:t>
        </w:r>
      </w:hyperlink>
      <w:r>
        <w:rPr>
          <w:color w:val="0561C1"/>
          <w:sz w:val="18"/>
          <w:u w:val="none"/>
          <w:vertAlign w:val="baseline"/>
        </w:rPr>
        <w:t> </w:t>
      </w:r>
      <w:bookmarkStart w:name="_bookmark258" w:id="448"/>
      <w:bookmarkEnd w:id="448"/>
      <w:r>
        <w:rPr>
          <w:color w:val="0561C1"/>
          <w:sz w:val="18"/>
          <w:u w:val="none"/>
          <w:vertAlign w:val="baseline"/>
        </w:rPr>
      </w:r>
      <w:hyperlink r:id="rId370">
        <w:r>
          <w:rPr>
            <w:color w:val="0561C1"/>
            <w:spacing w:val="-2"/>
            <w:sz w:val="18"/>
            <w:u w:val="single" w:color="0561C1"/>
            <w:vertAlign w:val="baseline"/>
          </w:rPr>
          <w:t>details/massachusetts-law-about-abortion</w:t>
        </w:r>
      </w:hyperlink>
      <w:hyperlink r:id="rId370">
        <w:r>
          <w:rPr>
            <w:spacing w:val="-2"/>
            <w:sz w:val="18"/>
            <w:u w:val="none"/>
            <w:vertAlign w:val="baseline"/>
          </w:rPr>
          <w:t>.</w:t>
        </w:r>
      </w:hyperlink>
    </w:p>
    <w:p>
      <w:pPr>
        <w:spacing w:before="1"/>
        <w:ind w:left="463" w:right="507" w:firstLine="0"/>
        <w:jc w:val="left"/>
        <w:rPr>
          <w:sz w:val="18"/>
        </w:rPr>
      </w:pPr>
      <w:r>
        <w:rPr>
          <w:sz w:val="18"/>
          <w:vertAlign w:val="superscript"/>
        </w:rPr>
        <w:t>65</w:t>
      </w:r>
      <w:r>
        <w:rPr>
          <w:spacing w:val="-11"/>
          <w:sz w:val="18"/>
          <w:vertAlign w:val="baseline"/>
        </w:rPr>
        <w:t> </w:t>
      </w:r>
      <w:r>
        <w:rPr>
          <w:sz w:val="18"/>
          <w:vertAlign w:val="baseline"/>
        </w:rPr>
        <w:t>“New Study Finds Massachusetts Judicial Bypass Process Delays Access to Abortion | Planned Parenthood Advocacy Fund of Massachusetts,</w:t>
      </w:r>
      <w:r>
        <w:rPr>
          <w:spacing w:val="-7"/>
          <w:sz w:val="18"/>
          <w:vertAlign w:val="baseline"/>
        </w:rPr>
        <w:t> </w:t>
      </w:r>
      <w:r>
        <w:rPr>
          <w:sz w:val="18"/>
          <w:vertAlign w:val="baseline"/>
        </w:rPr>
        <w:t>Inc.,”</w:t>
      </w:r>
      <w:r>
        <w:rPr>
          <w:spacing w:val="-6"/>
          <w:sz w:val="18"/>
          <w:vertAlign w:val="baseline"/>
        </w:rPr>
        <w:t> </w:t>
      </w:r>
      <w:r>
        <w:rPr>
          <w:sz w:val="18"/>
          <w:vertAlign w:val="baseline"/>
        </w:rPr>
        <w:t>accessed</w:t>
      </w:r>
      <w:r>
        <w:rPr>
          <w:spacing w:val="-6"/>
          <w:sz w:val="18"/>
          <w:vertAlign w:val="baseline"/>
        </w:rPr>
        <w:t> </w:t>
      </w:r>
      <w:r>
        <w:rPr>
          <w:sz w:val="18"/>
          <w:vertAlign w:val="baseline"/>
        </w:rPr>
        <w:t>December</w:t>
      </w:r>
      <w:r>
        <w:rPr>
          <w:spacing w:val="-7"/>
          <w:sz w:val="18"/>
          <w:vertAlign w:val="baseline"/>
        </w:rPr>
        <w:t> </w:t>
      </w:r>
      <w:r>
        <w:rPr>
          <w:sz w:val="18"/>
          <w:vertAlign w:val="baseline"/>
        </w:rPr>
        <w:t>4,</w:t>
      </w:r>
      <w:r>
        <w:rPr>
          <w:spacing w:val="-7"/>
          <w:sz w:val="18"/>
          <w:vertAlign w:val="baseline"/>
        </w:rPr>
        <w:t> </w:t>
      </w:r>
      <w:r>
        <w:rPr>
          <w:sz w:val="18"/>
          <w:vertAlign w:val="baseline"/>
        </w:rPr>
        <w:t>2022,</w:t>
      </w:r>
      <w:r>
        <w:rPr>
          <w:spacing w:val="-7"/>
          <w:sz w:val="18"/>
          <w:vertAlign w:val="baseline"/>
        </w:rPr>
        <w:t> </w:t>
      </w:r>
      <w:hyperlink r:id="rId371">
        <w:r>
          <w:rPr>
            <w:color w:val="0561C1"/>
            <w:sz w:val="18"/>
            <w:u w:val="single" w:color="0561C1"/>
            <w:vertAlign w:val="baseline"/>
          </w:rPr>
          <w:t>https://www.plannedparenthoodaction.org/planned-parenthood-advocacy-</w:t>
        </w:r>
      </w:hyperlink>
      <w:r>
        <w:rPr>
          <w:color w:val="0561C1"/>
          <w:sz w:val="18"/>
          <w:u w:val="none"/>
          <w:vertAlign w:val="baseline"/>
        </w:rPr>
        <w:t> </w:t>
      </w:r>
      <w:bookmarkStart w:name="_bookmark259" w:id="449"/>
      <w:bookmarkEnd w:id="449"/>
      <w:r>
        <w:rPr>
          <w:color w:val="0561C1"/>
          <w:sz w:val="18"/>
          <w:u w:val="none"/>
          <w:vertAlign w:val="baseline"/>
        </w:rPr>
      </w:r>
      <w:hyperlink r:id="rId371">
        <w:r>
          <w:rPr>
            <w:color w:val="0561C1"/>
            <w:spacing w:val="-2"/>
            <w:sz w:val="18"/>
            <w:u w:val="single" w:color="0561C1"/>
            <w:vertAlign w:val="baseline"/>
          </w:rPr>
          <w:t>fund-massachusetts-inc/pressroom/new-study-finds-massachusetts-judicial-bypass-process-delays-access-to-abortion</w:t>
        </w:r>
      </w:hyperlink>
      <w:hyperlink r:id="rId371">
        <w:r>
          <w:rPr>
            <w:spacing w:val="-2"/>
            <w:sz w:val="18"/>
            <w:u w:val="none"/>
            <w:vertAlign w:val="baseline"/>
          </w:rPr>
          <w:t>.</w:t>
        </w:r>
      </w:hyperlink>
    </w:p>
    <w:p>
      <w:pPr>
        <w:spacing w:before="0"/>
        <w:ind w:left="463" w:right="0" w:firstLine="0"/>
        <w:jc w:val="left"/>
        <w:rPr>
          <w:sz w:val="18"/>
        </w:rPr>
      </w:pPr>
      <w:r>
        <w:rPr>
          <w:sz w:val="18"/>
          <w:vertAlign w:val="superscript"/>
        </w:rPr>
        <w:t>66</w:t>
      </w:r>
      <w:r>
        <w:rPr>
          <w:spacing w:val="-13"/>
          <w:sz w:val="18"/>
          <w:vertAlign w:val="baseline"/>
        </w:rPr>
        <w:t> </w:t>
      </w:r>
      <w:r>
        <w:rPr>
          <w:sz w:val="18"/>
          <w:vertAlign w:val="baseline"/>
        </w:rPr>
        <w:t>Elizabeth</w:t>
      </w:r>
      <w:r>
        <w:rPr>
          <w:spacing w:val="-4"/>
          <w:sz w:val="18"/>
          <w:vertAlign w:val="baseline"/>
        </w:rPr>
        <w:t> </w:t>
      </w:r>
      <w:r>
        <w:rPr>
          <w:sz w:val="18"/>
          <w:vertAlign w:val="baseline"/>
        </w:rPr>
        <w:t>Janiak</w:t>
      </w:r>
      <w:r>
        <w:rPr>
          <w:spacing w:val="-4"/>
          <w:sz w:val="18"/>
          <w:vertAlign w:val="baseline"/>
        </w:rPr>
        <w:t> </w:t>
      </w:r>
      <w:r>
        <w:rPr>
          <w:sz w:val="18"/>
          <w:vertAlign w:val="baseline"/>
        </w:rPr>
        <w:t>et</w:t>
      </w:r>
      <w:r>
        <w:rPr>
          <w:spacing w:val="-4"/>
          <w:sz w:val="18"/>
          <w:vertAlign w:val="baseline"/>
        </w:rPr>
        <w:t> </w:t>
      </w:r>
      <w:r>
        <w:rPr>
          <w:sz w:val="18"/>
          <w:vertAlign w:val="baseline"/>
        </w:rPr>
        <w:t>al.,</w:t>
      </w:r>
      <w:r>
        <w:rPr>
          <w:spacing w:val="-4"/>
          <w:sz w:val="18"/>
          <w:vertAlign w:val="baseline"/>
        </w:rPr>
        <w:t> </w:t>
      </w:r>
      <w:r>
        <w:rPr>
          <w:sz w:val="18"/>
          <w:vertAlign w:val="baseline"/>
        </w:rPr>
        <w:t>“Massachusetts’</w:t>
      </w:r>
      <w:r>
        <w:rPr>
          <w:spacing w:val="-4"/>
          <w:sz w:val="18"/>
          <w:vertAlign w:val="baseline"/>
        </w:rPr>
        <w:t> </w:t>
      </w:r>
      <w:r>
        <w:rPr>
          <w:sz w:val="18"/>
          <w:vertAlign w:val="baseline"/>
        </w:rPr>
        <w:t>Parental</w:t>
      </w:r>
      <w:r>
        <w:rPr>
          <w:spacing w:val="-4"/>
          <w:sz w:val="18"/>
          <w:vertAlign w:val="baseline"/>
        </w:rPr>
        <w:t> </w:t>
      </w:r>
      <w:r>
        <w:rPr>
          <w:sz w:val="18"/>
          <w:vertAlign w:val="baseline"/>
        </w:rPr>
        <w:t>Consent</w:t>
      </w:r>
      <w:r>
        <w:rPr>
          <w:spacing w:val="-4"/>
          <w:sz w:val="18"/>
          <w:vertAlign w:val="baseline"/>
        </w:rPr>
        <w:t> </w:t>
      </w:r>
      <w:r>
        <w:rPr>
          <w:sz w:val="18"/>
          <w:vertAlign w:val="baseline"/>
        </w:rPr>
        <w:t>Law</w:t>
      </w:r>
      <w:r>
        <w:rPr>
          <w:spacing w:val="-4"/>
          <w:sz w:val="18"/>
          <w:vertAlign w:val="baseline"/>
        </w:rPr>
        <w:t> </w:t>
      </w:r>
      <w:r>
        <w:rPr>
          <w:sz w:val="18"/>
          <w:vertAlign w:val="baseline"/>
        </w:rPr>
        <w:t>and</w:t>
      </w:r>
      <w:r>
        <w:rPr>
          <w:spacing w:val="-3"/>
          <w:sz w:val="18"/>
          <w:vertAlign w:val="baseline"/>
        </w:rPr>
        <w:t> </w:t>
      </w:r>
      <w:r>
        <w:rPr>
          <w:sz w:val="18"/>
          <w:vertAlign w:val="baseline"/>
        </w:rPr>
        <w:t>Procedural</w:t>
      </w:r>
      <w:r>
        <w:rPr>
          <w:spacing w:val="-4"/>
          <w:sz w:val="18"/>
          <w:vertAlign w:val="baseline"/>
        </w:rPr>
        <w:t> </w:t>
      </w:r>
      <w:r>
        <w:rPr>
          <w:sz w:val="18"/>
          <w:vertAlign w:val="baseline"/>
        </w:rPr>
        <w:t>Timing</w:t>
      </w:r>
      <w:r>
        <w:rPr>
          <w:spacing w:val="-3"/>
          <w:sz w:val="18"/>
          <w:vertAlign w:val="baseline"/>
        </w:rPr>
        <w:t> </w:t>
      </w:r>
      <w:r>
        <w:rPr>
          <w:sz w:val="18"/>
          <w:vertAlign w:val="baseline"/>
        </w:rPr>
        <w:t>Among</w:t>
      </w:r>
      <w:r>
        <w:rPr>
          <w:spacing w:val="-4"/>
          <w:sz w:val="18"/>
          <w:vertAlign w:val="baseline"/>
        </w:rPr>
        <w:t> </w:t>
      </w:r>
      <w:r>
        <w:rPr>
          <w:sz w:val="18"/>
          <w:vertAlign w:val="baseline"/>
        </w:rPr>
        <w:t>Adolescents</w:t>
      </w:r>
      <w:r>
        <w:rPr>
          <w:spacing w:val="-3"/>
          <w:sz w:val="18"/>
          <w:vertAlign w:val="baseline"/>
        </w:rPr>
        <w:t> </w:t>
      </w:r>
      <w:r>
        <w:rPr>
          <w:sz w:val="18"/>
          <w:vertAlign w:val="baseline"/>
        </w:rPr>
        <w:t>Undergoing</w:t>
      </w:r>
      <w:r>
        <w:rPr>
          <w:spacing w:val="-3"/>
          <w:sz w:val="18"/>
          <w:vertAlign w:val="baseline"/>
        </w:rPr>
        <w:t> </w:t>
      </w:r>
      <w:r>
        <w:rPr>
          <w:sz w:val="18"/>
          <w:vertAlign w:val="baseline"/>
        </w:rPr>
        <w:t>Abortion,” </w:t>
      </w:r>
      <w:r>
        <w:rPr>
          <w:i/>
          <w:sz w:val="18"/>
          <w:vertAlign w:val="baseline"/>
        </w:rPr>
        <w:t>Obstetrics &amp; Gynecology </w:t>
      </w:r>
      <w:r>
        <w:rPr>
          <w:sz w:val="18"/>
          <w:vertAlign w:val="baseline"/>
        </w:rPr>
        <w:t>133, no. 5 (May 2019): 978–86, </w:t>
      </w:r>
      <w:hyperlink r:id="rId372">
        <w:r>
          <w:rPr>
            <w:color w:val="0561C1"/>
            <w:sz w:val="18"/>
            <w:u w:val="single" w:color="0561C1"/>
            <w:vertAlign w:val="baseline"/>
          </w:rPr>
          <w:t>https://doi.org/10.1097/AOG.0000000000003190</w:t>
        </w:r>
      </w:hyperlink>
      <w:hyperlink r:id="rId372">
        <w:r>
          <w:rPr>
            <w:sz w:val="18"/>
            <w:u w:val="none"/>
            <w:vertAlign w:val="baseline"/>
          </w:rPr>
          <w:t>.</w:t>
        </w:r>
      </w:hyperlink>
      <w:r>
        <w:rPr>
          <w:sz w:val="18"/>
          <w:u w:val="none"/>
          <w:vertAlign w:val="baseline"/>
        </w:rPr>
        <w:t> </w:t>
      </w:r>
      <w:r>
        <w:rPr>
          <w:sz w:val="18"/>
          <w:u w:val="none"/>
          <w:vertAlign w:val="superscript"/>
        </w:rPr>
        <w:t>67</w:t>
      </w:r>
      <w:r>
        <w:rPr>
          <w:spacing w:val="-9"/>
          <w:sz w:val="18"/>
          <w:u w:val="none"/>
          <w:vertAlign w:val="baseline"/>
        </w:rPr>
        <w:t> </w:t>
      </w:r>
      <w:r>
        <w:rPr>
          <w:sz w:val="18"/>
          <w:u w:val="none"/>
          <w:vertAlign w:val="baseline"/>
        </w:rPr>
        <w:t>“New Law Ensures Medication Abortion Access for Public University Students in Mass.,” News, August 1, 2022,</w:t>
      </w:r>
    </w:p>
    <w:p>
      <w:pPr>
        <w:spacing w:before="0"/>
        <w:ind w:left="463" w:right="867" w:firstLine="0"/>
        <w:jc w:val="left"/>
        <w:rPr>
          <w:sz w:val="18"/>
        </w:rPr>
      </w:pPr>
      <w:hyperlink r:id="rId373">
        <w:r>
          <w:rPr>
            <w:color w:val="0561C1"/>
            <w:spacing w:val="-2"/>
            <w:sz w:val="18"/>
            <w:u w:val="single" w:color="0561C1"/>
          </w:rPr>
          <w:t>https://www.wgbh.org/news/local-news/2022/08/01/new-law-ensures-medication-abortion-access-for-public-university-</w:t>
        </w:r>
      </w:hyperlink>
      <w:r>
        <w:rPr>
          <w:color w:val="0561C1"/>
          <w:sz w:val="18"/>
          <w:u w:val="none"/>
        </w:rPr>
        <w:t> </w:t>
      </w:r>
      <w:bookmarkStart w:name="_bookmark260" w:id="450"/>
      <w:bookmarkEnd w:id="450"/>
      <w:r>
        <w:rPr>
          <w:color w:val="0561C1"/>
          <w:sz w:val="18"/>
          <w:u w:val="none"/>
        </w:rPr>
      </w:r>
      <w:hyperlink r:id="rId373">
        <w:r>
          <w:rPr>
            <w:color w:val="0561C1"/>
            <w:spacing w:val="-2"/>
            <w:sz w:val="18"/>
            <w:u w:val="single" w:color="0561C1"/>
          </w:rPr>
          <w:t>students-in-mass</w:t>
        </w:r>
      </w:hyperlink>
      <w:hyperlink r:id="rId373">
        <w:r>
          <w:rPr>
            <w:spacing w:val="-2"/>
            <w:sz w:val="18"/>
            <w:u w:val="none"/>
          </w:rPr>
          <w:t>.</w:t>
        </w:r>
      </w:hyperlink>
    </w:p>
    <w:p>
      <w:pPr>
        <w:spacing w:before="0"/>
        <w:ind w:left="463" w:right="773" w:hanging="1"/>
        <w:jc w:val="both"/>
        <w:rPr>
          <w:sz w:val="18"/>
        </w:rPr>
      </w:pPr>
      <w:r>
        <w:rPr>
          <w:sz w:val="18"/>
          <w:vertAlign w:val="superscript"/>
        </w:rPr>
        <w:t>68</w:t>
      </w:r>
      <w:r>
        <w:rPr>
          <w:spacing w:val="-11"/>
          <w:sz w:val="18"/>
          <w:vertAlign w:val="baseline"/>
        </w:rPr>
        <w:t> </w:t>
      </w:r>
      <w:r>
        <w:rPr>
          <w:sz w:val="18"/>
          <w:vertAlign w:val="baseline"/>
        </w:rPr>
        <w:t>“Governor</w:t>
      </w:r>
      <w:r>
        <w:rPr>
          <w:spacing w:val="-7"/>
          <w:sz w:val="18"/>
          <w:vertAlign w:val="baseline"/>
        </w:rPr>
        <w:t> </w:t>
      </w:r>
      <w:r>
        <w:rPr>
          <w:sz w:val="18"/>
          <w:vertAlign w:val="baseline"/>
        </w:rPr>
        <w:t>Healey</w:t>
      </w:r>
      <w:r>
        <w:rPr>
          <w:spacing w:val="-3"/>
          <w:sz w:val="18"/>
          <w:vertAlign w:val="baseline"/>
        </w:rPr>
        <w:t> </w:t>
      </w:r>
      <w:r>
        <w:rPr>
          <w:sz w:val="18"/>
          <w:vertAlign w:val="baseline"/>
        </w:rPr>
        <w:t>Announces</w:t>
      </w:r>
      <w:r>
        <w:rPr>
          <w:spacing w:val="-4"/>
          <w:sz w:val="18"/>
          <w:vertAlign w:val="baseline"/>
        </w:rPr>
        <w:t> </w:t>
      </w:r>
      <w:r>
        <w:rPr>
          <w:sz w:val="18"/>
          <w:vertAlign w:val="baseline"/>
        </w:rPr>
        <w:t>Immediate</w:t>
      </w:r>
      <w:r>
        <w:rPr>
          <w:spacing w:val="-3"/>
          <w:sz w:val="18"/>
          <w:vertAlign w:val="baseline"/>
        </w:rPr>
        <w:t> </w:t>
      </w:r>
      <w:r>
        <w:rPr>
          <w:sz w:val="18"/>
          <w:vertAlign w:val="baseline"/>
        </w:rPr>
        <w:t>Action</w:t>
      </w:r>
      <w:r>
        <w:rPr>
          <w:spacing w:val="-3"/>
          <w:sz w:val="18"/>
          <w:vertAlign w:val="baseline"/>
        </w:rPr>
        <w:t> </w:t>
      </w:r>
      <w:r>
        <w:rPr>
          <w:sz w:val="18"/>
          <w:vertAlign w:val="baseline"/>
        </w:rPr>
        <w:t>to</w:t>
      </w:r>
      <w:r>
        <w:rPr>
          <w:spacing w:val="-3"/>
          <w:sz w:val="18"/>
          <w:vertAlign w:val="baseline"/>
        </w:rPr>
        <w:t> </w:t>
      </w:r>
      <w:r>
        <w:rPr>
          <w:sz w:val="18"/>
          <w:vertAlign w:val="baseline"/>
        </w:rPr>
        <w:t>Protect</w:t>
      </w:r>
      <w:r>
        <w:rPr>
          <w:spacing w:val="-4"/>
          <w:sz w:val="18"/>
          <w:vertAlign w:val="baseline"/>
        </w:rPr>
        <w:t> </w:t>
      </w:r>
      <w:r>
        <w:rPr>
          <w:sz w:val="18"/>
          <w:vertAlign w:val="baseline"/>
        </w:rPr>
        <w:t>Access</w:t>
      </w:r>
      <w:r>
        <w:rPr>
          <w:spacing w:val="-3"/>
          <w:sz w:val="18"/>
          <w:vertAlign w:val="baseline"/>
        </w:rPr>
        <w:t> </w:t>
      </w:r>
      <w:r>
        <w:rPr>
          <w:sz w:val="18"/>
          <w:vertAlign w:val="baseline"/>
        </w:rPr>
        <w:t>to</w:t>
      </w:r>
      <w:r>
        <w:rPr>
          <w:spacing w:val="-3"/>
          <w:sz w:val="18"/>
          <w:vertAlign w:val="baseline"/>
        </w:rPr>
        <w:t> </w:t>
      </w:r>
      <w:r>
        <w:rPr>
          <w:sz w:val="18"/>
          <w:vertAlign w:val="baseline"/>
        </w:rPr>
        <w:t>Medication</w:t>
      </w:r>
      <w:r>
        <w:rPr>
          <w:spacing w:val="-3"/>
          <w:sz w:val="18"/>
          <w:vertAlign w:val="baseline"/>
        </w:rPr>
        <w:t> </w:t>
      </w:r>
      <w:r>
        <w:rPr>
          <w:sz w:val="18"/>
          <w:vertAlign w:val="baseline"/>
        </w:rPr>
        <w:t>Abortion</w:t>
      </w:r>
      <w:r>
        <w:rPr>
          <w:spacing w:val="-3"/>
          <w:sz w:val="18"/>
          <w:vertAlign w:val="baseline"/>
        </w:rPr>
        <w:t> </w:t>
      </w:r>
      <w:r>
        <w:rPr>
          <w:sz w:val="18"/>
          <w:vertAlign w:val="baseline"/>
        </w:rPr>
        <w:t>in</w:t>
      </w:r>
      <w:r>
        <w:rPr>
          <w:spacing w:val="-3"/>
          <w:sz w:val="18"/>
          <w:vertAlign w:val="baseline"/>
        </w:rPr>
        <w:t> </w:t>
      </w:r>
      <w:r>
        <w:rPr>
          <w:sz w:val="18"/>
          <w:vertAlign w:val="baseline"/>
        </w:rPr>
        <w:t>Massachusetts</w:t>
      </w:r>
      <w:r>
        <w:rPr>
          <w:spacing w:val="-3"/>
          <w:sz w:val="18"/>
          <w:vertAlign w:val="baseline"/>
        </w:rPr>
        <w:t> </w:t>
      </w:r>
      <w:r>
        <w:rPr>
          <w:sz w:val="18"/>
          <w:vertAlign w:val="baseline"/>
        </w:rPr>
        <w:t>|</w:t>
      </w:r>
      <w:r>
        <w:rPr>
          <w:spacing w:val="-4"/>
          <w:sz w:val="18"/>
          <w:vertAlign w:val="baseline"/>
        </w:rPr>
        <w:t> </w:t>
      </w:r>
      <w:r>
        <w:rPr>
          <w:sz w:val="18"/>
          <w:vertAlign w:val="baseline"/>
        </w:rPr>
        <w:t>Mass.Gov,” accessed</w:t>
      </w:r>
      <w:r>
        <w:rPr>
          <w:spacing w:val="-3"/>
          <w:sz w:val="18"/>
          <w:vertAlign w:val="baseline"/>
        </w:rPr>
        <w:t> </w:t>
      </w:r>
      <w:r>
        <w:rPr>
          <w:sz w:val="18"/>
          <w:vertAlign w:val="baseline"/>
        </w:rPr>
        <w:t>April</w:t>
      </w:r>
      <w:r>
        <w:rPr>
          <w:spacing w:val="-4"/>
          <w:sz w:val="18"/>
          <w:vertAlign w:val="baseline"/>
        </w:rPr>
        <w:t> </w:t>
      </w:r>
      <w:r>
        <w:rPr>
          <w:sz w:val="18"/>
          <w:vertAlign w:val="baseline"/>
        </w:rPr>
        <w:t>24,</w:t>
      </w:r>
      <w:r>
        <w:rPr>
          <w:spacing w:val="-4"/>
          <w:sz w:val="18"/>
          <w:vertAlign w:val="baseline"/>
        </w:rPr>
        <w:t> </w:t>
      </w:r>
      <w:r>
        <w:rPr>
          <w:sz w:val="18"/>
          <w:vertAlign w:val="baseline"/>
        </w:rPr>
        <w:t>2023,</w:t>
      </w:r>
      <w:r>
        <w:rPr>
          <w:spacing w:val="-4"/>
          <w:sz w:val="18"/>
          <w:vertAlign w:val="baseline"/>
        </w:rPr>
        <w:t> </w:t>
      </w:r>
      <w:r>
        <w:rPr>
          <w:sz w:val="18"/>
          <w:vertAlign w:val="baseline"/>
        </w:rPr>
        <w:t>https://</w:t>
      </w:r>
      <w:hyperlink r:id="rId374">
        <w:r>
          <w:rPr>
            <w:sz w:val="18"/>
            <w:vertAlign w:val="baseline"/>
          </w:rPr>
          <w:t>www.mass.gov/news/governor-healey-announces-immediate-action-to-protect-access-to-</w:t>
        </w:r>
      </w:hyperlink>
      <w:r>
        <w:rPr>
          <w:sz w:val="18"/>
          <w:vertAlign w:val="baseline"/>
        </w:rPr>
        <w:t> </w:t>
      </w:r>
      <w:bookmarkStart w:name="_bookmark261" w:id="451"/>
      <w:bookmarkEnd w:id="451"/>
      <w:r>
        <w:rPr>
          <w:spacing w:val="-2"/>
          <w:sz w:val="18"/>
          <w:vertAlign w:val="baseline"/>
        </w:rPr>
        <w:t>med</w:t>
      </w:r>
      <w:r>
        <w:rPr>
          <w:spacing w:val="-2"/>
          <w:sz w:val="18"/>
          <w:vertAlign w:val="baseline"/>
        </w:rPr>
        <w:t>ication-abortion-in-massachusetts.</w:t>
      </w:r>
    </w:p>
    <w:p>
      <w:pPr>
        <w:spacing w:before="0"/>
        <w:ind w:left="463" w:right="391" w:hanging="1"/>
        <w:jc w:val="left"/>
        <w:rPr>
          <w:sz w:val="18"/>
        </w:rPr>
      </w:pPr>
      <w:r>
        <w:rPr>
          <w:sz w:val="18"/>
          <w:vertAlign w:val="superscript"/>
        </w:rPr>
        <w:t>69</w:t>
      </w:r>
      <w:r>
        <w:rPr>
          <w:spacing w:val="-13"/>
          <w:sz w:val="18"/>
          <w:vertAlign w:val="baseline"/>
        </w:rPr>
        <w:t> </w:t>
      </w:r>
      <w:r>
        <w:rPr>
          <w:sz w:val="18"/>
          <w:vertAlign w:val="baseline"/>
        </w:rPr>
        <w:t>Sarah</w:t>
      </w:r>
      <w:r>
        <w:rPr>
          <w:spacing w:val="-5"/>
          <w:sz w:val="18"/>
          <w:vertAlign w:val="baseline"/>
        </w:rPr>
        <w:t> </w:t>
      </w:r>
      <w:r>
        <w:rPr>
          <w:sz w:val="18"/>
          <w:vertAlign w:val="baseline"/>
        </w:rPr>
        <w:t>Betancourt,</w:t>
      </w:r>
      <w:r>
        <w:rPr>
          <w:spacing w:val="-3"/>
          <w:sz w:val="18"/>
          <w:vertAlign w:val="baseline"/>
        </w:rPr>
        <w:t> </w:t>
      </w:r>
      <w:r>
        <w:rPr>
          <w:sz w:val="18"/>
          <w:vertAlign w:val="baseline"/>
        </w:rPr>
        <w:t>“2017</w:t>
      </w:r>
      <w:r>
        <w:rPr>
          <w:spacing w:val="-2"/>
          <w:sz w:val="18"/>
          <w:vertAlign w:val="baseline"/>
        </w:rPr>
        <w:t> </w:t>
      </w:r>
      <w:r>
        <w:rPr>
          <w:sz w:val="18"/>
          <w:vertAlign w:val="baseline"/>
        </w:rPr>
        <w:t>Birth</w:t>
      </w:r>
      <w:r>
        <w:rPr>
          <w:spacing w:val="-1"/>
          <w:sz w:val="18"/>
          <w:vertAlign w:val="baseline"/>
        </w:rPr>
        <w:t> </w:t>
      </w:r>
      <w:r>
        <w:rPr>
          <w:sz w:val="18"/>
          <w:vertAlign w:val="baseline"/>
        </w:rPr>
        <w:t>Control</w:t>
      </w:r>
      <w:r>
        <w:rPr>
          <w:spacing w:val="-3"/>
          <w:sz w:val="18"/>
          <w:vertAlign w:val="baseline"/>
        </w:rPr>
        <w:t> </w:t>
      </w:r>
      <w:r>
        <w:rPr>
          <w:sz w:val="18"/>
          <w:vertAlign w:val="baseline"/>
        </w:rPr>
        <w:t>Provision</w:t>
      </w:r>
      <w:r>
        <w:rPr>
          <w:spacing w:val="-2"/>
          <w:sz w:val="18"/>
          <w:vertAlign w:val="baseline"/>
        </w:rPr>
        <w:t> </w:t>
      </w:r>
      <w:r>
        <w:rPr>
          <w:sz w:val="18"/>
          <w:vertAlign w:val="baseline"/>
        </w:rPr>
        <w:t>Fell</w:t>
      </w:r>
      <w:r>
        <w:rPr>
          <w:spacing w:val="-3"/>
          <w:sz w:val="18"/>
          <w:vertAlign w:val="baseline"/>
        </w:rPr>
        <w:t> </w:t>
      </w:r>
      <w:r>
        <w:rPr>
          <w:sz w:val="18"/>
          <w:vertAlign w:val="baseline"/>
        </w:rPr>
        <w:t>through</w:t>
      </w:r>
      <w:r>
        <w:rPr>
          <w:spacing w:val="-2"/>
          <w:sz w:val="18"/>
          <w:vertAlign w:val="baseline"/>
        </w:rPr>
        <w:t> </w:t>
      </w:r>
      <w:r>
        <w:rPr>
          <w:sz w:val="18"/>
          <w:vertAlign w:val="baseline"/>
        </w:rPr>
        <w:t>the</w:t>
      </w:r>
      <w:r>
        <w:rPr>
          <w:spacing w:val="-2"/>
          <w:sz w:val="18"/>
          <w:vertAlign w:val="baseline"/>
        </w:rPr>
        <w:t> </w:t>
      </w:r>
      <w:r>
        <w:rPr>
          <w:sz w:val="18"/>
          <w:vertAlign w:val="baseline"/>
        </w:rPr>
        <w:t>Cracks,”</w:t>
      </w:r>
      <w:r>
        <w:rPr>
          <w:spacing w:val="-2"/>
          <w:sz w:val="18"/>
          <w:vertAlign w:val="baseline"/>
        </w:rPr>
        <w:t> </w:t>
      </w:r>
      <w:r>
        <w:rPr>
          <w:i/>
          <w:sz w:val="18"/>
          <w:vertAlign w:val="baseline"/>
        </w:rPr>
        <w:t>CommonWealth</w:t>
      </w:r>
      <w:r>
        <w:rPr>
          <w:i/>
          <w:spacing w:val="-3"/>
          <w:sz w:val="18"/>
          <w:vertAlign w:val="baseline"/>
        </w:rPr>
        <w:t> </w:t>
      </w:r>
      <w:r>
        <w:rPr>
          <w:i/>
          <w:sz w:val="18"/>
          <w:vertAlign w:val="baseline"/>
        </w:rPr>
        <w:t>Magazine</w:t>
      </w:r>
      <w:r>
        <w:rPr>
          <w:i/>
          <w:spacing w:val="-2"/>
          <w:sz w:val="18"/>
          <w:vertAlign w:val="baseline"/>
        </w:rPr>
        <w:t> </w:t>
      </w:r>
      <w:r>
        <w:rPr>
          <w:sz w:val="18"/>
          <w:vertAlign w:val="baseline"/>
        </w:rPr>
        <w:t>(blog),</w:t>
      </w:r>
      <w:r>
        <w:rPr>
          <w:spacing w:val="-3"/>
          <w:sz w:val="18"/>
          <w:vertAlign w:val="baseline"/>
        </w:rPr>
        <w:t> </w:t>
      </w:r>
      <w:r>
        <w:rPr>
          <w:sz w:val="18"/>
          <w:vertAlign w:val="baseline"/>
        </w:rPr>
        <w:t>February</w:t>
      </w:r>
      <w:r>
        <w:rPr>
          <w:spacing w:val="-2"/>
          <w:sz w:val="18"/>
          <w:vertAlign w:val="baseline"/>
        </w:rPr>
        <w:t> </w:t>
      </w:r>
      <w:r>
        <w:rPr>
          <w:sz w:val="18"/>
          <w:vertAlign w:val="baseline"/>
        </w:rPr>
        <w:t>28,</w:t>
      </w:r>
      <w:r>
        <w:rPr>
          <w:spacing w:val="-3"/>
          <w:sz w:val="18"/>
          <w:vertAlign w:val="baseline"/>
        </w:rPr>
        <w:t> </w:t>
      </w:r>
      <w:r>
        <w:rPr>
          <w:sz w:val="18"/>
          <w:vertAlign w:val="baseline"/>
        </w:rPr>
        <w:t>2021, </w:t>
      </w:r>
      <w:bookmarkStart w:name="_bookmark262" w:id="452"/>
      <w:bookmarkEnd w:id="452"/>
      <w:r>
        <w:rPr>
          <w:sz w:val="18"/>
          <w:vertAlign w:val="baseline"/>
        </w:rPr>
      </w:r>
      <w:hyperlink r:id="rId375">
        <w:r>
          <w:rPr>
            <w:color w:val="0561C1"/>
            <w:spacing w:val="-2"/>
            <w:sz w:val="18"/>
            <w:u w:val="single" w:color="0561C1"/>
            <w:vertAlign w:val="baseline"/>
          </w:rPr>
          <w:t>https://commonwealthmagazine.org/health/2017-birth-control-provision-fell-through-the-cracks/</w:t>
        </w:r>
      </w:hyperlink>
      <w:hyperlink r:id="rId375">
        <w:r>
          <w:rPr>
            <w:spacing w:val="-2"/>
            <w:sz w:val="18"/>
            <w:u w:val="none"/>
            <w:vertAlign w:val="baseline"/>
          </w:rPr>
          <w:t>.</w:t>
        </w:r>
      </w:hyperlink>
    </w:p>
    <w:p>
      <w:pPr>
        <w:spacing w:before="0"/>
        <w:ind w:left="463" w:right="342" w:firstLine="0"/>
        <w:jc w:val="left"/>
        <w:rPr>
          <w:sz w:val="18"/>
        </w:rPr>
      </w:pPr>
      <w:r>
        <w:rPr>
          <w:sz w:val="18"/>
          <w:vertAlign w:val="superscript"/>
        </w:rPr>
        <w:t>70</w:t>
      </w:r>
      <w:r>
        <w:rPr>
          <w:spacing w:val="-13"/>
          <w:sz w:val="18"/>
          <w:vertAlign w:val="baseline"/>
        </w:rPr>
        <w:t> </w:t>
      </w:r>
      <w:r>
        <w:rPr>
          <w:sz w:val="18"/>
          <w:vertAlign w:val="baseline"/>
        </w:rPr>
        <w:t>“ACCESS</w:t>
      </w:r>
      <w:r>
        <w:rPr>
          <w:spacing w:val="-5"/>
          <w:sz w:val="18"/>
          <w:vertAlign w:val="baseline"/>
        </w:rPr>
        <w:t> </w:t>
      </w:r>
      <w:r>
        <w:rPr>
          <w:sz w:val="18"/>
          <w:vertAlign w:val="baseline"/>
        </w:rPr>
        <w:t>to</w:t>
      </w:r>
      <w:r>
        <w:rPr>
          <w:spacing w:val="-3"/>
          <w:sz w:val="18"/>
          <w:vertAlign w:val="baseline"/>
        </w:rPr>
        <w:t> </w:t>
      </w:r>
      <w:r>
        <w:rPr>
          <w:sz w:val="18"/>
          <w:vertAlign w:val="baseline"/>
        </w:rPr>
        <w:t>Birth</w:t>
      </w:r>
      <w:r>
        <w:rPr>
          <w:spacing w:val="-3"/>
          <w:sz w:val="18"/>
          <w:vertAlign w:val="baseline"/>
        </w:rPr>
        <w:t> </w:t>
      </w:r>
      <w:r>
        <w:rPr>
          <w:sz w:val="18"/>
          <w:vertAlign w:val="baseline"/>
        </w:rPr>
        <w:t>Control</w:t>
      </w:r>
      <w:r>
        <w:rPr>
          <w:spacing w:val="-4"/>
          <w:sz w:val="18"/>
          <w:vertAlign w:val="baseline"/>
        </w:rPr>
        <w:t> </w:t>
      </w:r>
      <w:r>
        <w:rPr>
          <w:sz w:val="18"/>
          <w:vertAlign w:val="baseline"/>
        </w:rPr>
        <w:t>and</w:t>
      </w:r>
      <w:r>
        <w:rPr>
          <w:spacing w:val="-3"/>
          <w:sz w:val="18"/>
          <w:vertAlign w:val="baseline"/>
        </w:rPr>
        <w:t> </w:t>
      </w:r>
      <w:r>
        <w:rPr>
          <w:sz w:val="18"/>
          <w:vertAlign w:val="baseline"/>
        </w:rPr>
        <w:t>Emergency</w:t>
      </w:r>
      <w:r>
        <w:rPr>
          <w:spacing w:val="-3"/>
          <w:sz w:val="18"/>
          <w:vertAlign w:val="baseline"/>
        </w:rPr>
        <w:t> </w:t>
      </w:r>
      <w:r>
        <w:rPr>
          <w:sz w:val="18"/>
          <w:vertAlign w:val="baseline"/>
        </w:rPr>
        <w:t>Contraception</w:t>
      </w:r>
      <w:r>
        <w:rPr>
          <w:spacing w:val="-3"/>
          <w:sz w:val="18"/>
          <w:vertAlign w:val="baseline"/>
        </w:rPr>
        <w:t> </w:t>
      </w:r>
      <w:r>
        <w:rPr>
          <w:sz w:val="18"/>
          <w:vertAlign w:val="baseline"/>
        </w:rPr>
        <w:t>|</w:t>
      </w:r>
      <w:r>
        <w:rPr>
          <w:spacing w:val="-3"/>
          <w:sz w:val="18"/>
          <w:vertAlign w:val="baseline"/>
        </w:rPr>
        <w:t> </w:t>
      </w:r>
      <w:r>
        <w:rPr>
          <w:sz w:val="18"/>
          <w:vertAlign w:val="baseline"/>
        </w:rPr>
        <w:t>Mass.Gov,”</w:t>
      </w:r>
      <w:r>
        <w:rPr>
          <w:spacing w:val="-3"/>
          <w:sz w:val="18"/>
          <w:vertAlign w:val="baseline"/>
        </w:rPr>
        <w:t> </w:t>
      </w:r>
      <w:r>
        <w:rPr>
          <w:sz w:val="18"/>
          <w:vertAlign w:val="baseline"/>
        </w:rPr>
        <w:t>accessed</w:t>
      </w:r>
      <w:r>
        <w:rPr>
          <w:spacing w:val="-4"/>
          <w:sz w:val="18"/>
          <w:vertAlign w:val="baseline"/>
        </w:rPr>
        <w:t> </w:t>
      </w:r>
      <w:r>
        <w:rPr>
          <w:sz w:val="18"/>
          <w:vertAlign w:val="baseline"/>
        </w:rPr>
        <w:t>December</w:t>
      </w:r>
      <w:r>
        <w:rPr>
          <w:spacing w:val="-4"/>
          <w:sz w:val="18"/>
          <w:vertAlign w:val="baseline"/>
        </w:rPr>
        <w:t> </w:t>
      </w:r>
      <w:r>
        <w:rPr>
          <w:sz w:val="18"/>
          <w:vertAlign w:val="baseline"/>
        </w:rPr>
        <w:t>4,</w:t>
      </w:r>
      <w:r>
        <w:rPr>
          <w:spacing w:val="-4"/>
          <w:sz w:val="18"/>
          <w:vertAlign w:val="baseline"/>
        </w:rPr>
        <w:t> </w:t>
      </w:r>
      <w:r>
        <w:rPr>
          <w:sz w:val="18"/>
          <w:vertAlign w:val="baseline"/>
        </w:rPr>
        <w:t>2022,</w:t>
      </w:r>
      <w:r>
        <w:rPr>
          <w:spacing w:val="-4"/>
          <w:sz w:val="18"/>
          <w:vertAlign w:val="baseline"/>
        </w:rPr>
        <w:t> </w:t>
      </w:r>
      <w:hyperlink r:id="rId376">
        <w:r>
          <w:rPr>
            <w:color w:val="0561C1"/>
            <w:sz w:val="18"/>
            <w:u w:val="single" w:color="0561C1"/>
            <w:vertAlign w:val="baseline"/>
          </w:rPr>
          <w:t>https://www.mass.gov/info-</w:t>
        </w:r>
      </w:hyperlink>
      <w:r>
        <w:rPr>
          <w:color w:val="0561C1"/>
          <w:sz w:val="18"/>
          <w:u w:val="none"/>
          <w:vertAlign w:val="baseline"/>
        </w:rPr>
        <w:t> </w:t>
      </w:r>
      <w:bookmarkStart w:name="_bookmark263" w:id="453"/>
      <w:bookmarkEnd w:id="453"/>
      <w:r>
        <w:rPr>
          <w:color w:val="0561C1"/>
          <w:sz w:val="18"/>
          <w:u w:val="none"/>
          <w:vertAlign w:val="baseline"/>
        </w:rPr>
      </w:r>
      <w:hyperlink r:id="rId376">
        <w:r>
          <w:rPr>
            <w:color w:val="0561C1"/>
            <w:spacing w:val="-2"/>
            <w:sz w:val="18"/>
            <w:u w:val="single" w:color="0561C1"/>
            <w:vertAlign w:val="baseline"/>
          </w:rPr>
          <w:t>details/access-to-birth-control-and-emergency-contraception</w:t>
        </w:r>
      </w:hyperlink>
      <w:hyperlink r:id="rId376">
        <w:r>
          <w:rPr>
            <w:spacing w:val="-2"/>
            <w:sz w:val="18"/>
            <w:u w:val="none"/>
            <w:vertAlign w:val="baseline"/>
          </w:rPr>
          <w:t>.</w:t>
        </w:r>
      </w:hyperlink>
    </w:p>
    <w:p>
      <w:pPr>
        <w:spacing w:before="0"/>
        <w:ind w:left="463" w:right="2193" w:hanging="1"/>
        <w:jc w:val="left"/>
        <w:rPr>
          <w:sz w:val="18"/>
        </w:rPr>
      </w:pPr>
      <w:r>
        <w:rPr>
          <w:sz w:val="18"/>
          <w:vertAlign w:val="superscript"/>
        </w:rPr>
        <w:t>71</w:t>
      </w:r>
      <w:r>
        <w:rPr>
          <w:spacing w:val="-13"/>
          <w:sz w:val="18"/>
          <w:vertAlign w:val="baseline"/>
        </w:rPr>
        <w:t> </w:t>
      </w:r>
      <w:r>
        <w:rPr>
          <w:sz w:val="18"/>
          <w:vertAlign w:val="baseline"/>
        </w:rPr>
        <w:t>“Talk</w:t>
      </w:r>
      <w:r>
        <w:rPr>
          <w:spacing w:val="-4"/>
          <w:sz w:val="18"/>
          <w:vertAlign w:val="baseline"/>
        </w:rPr>
        <w:t> </w:t>
      </w:r>
      <w:r>
        <w:rPr>
          <w:sz w:val="18"/>
          <w:vertAlign w:val="baseline"/>
        </w:rPr>
        <w:t>to</w:t>
      </w:r>
      <w:r>
        <w:rPr>
          <w:spacing w:val="-2"/>
          <w:sz w:val="18"/>
          <w:vertAlign w:val="baseline"/>
        </w:rPr>
        <w:t> </w:t>
      </w:r>
      <w:r>
        <w:rPr>
          <w:sz w:val="18"/>
          <w:vertAlign w:val="baseline"/>
        </w:rPr>
        <w:t>Your</w:t>
      </w:r>
      <w:r>
        <w:rPr>
          <w:spacing w:val="-3"/>
          <w:sz w:val="18"/>
          <w:vertAlign w:val="baseline"/>
        </w:rPr>
        <w:t> </w:t>
      </w:r>
      <w:r>
        <w:rPr>
          <w:sz w:val="18"/>
          <w:vertAlign w:val="baseline"/>
        </w:rPr>
        <w:t>Clinician</w:t>
      </w:r>
      <w:r>
        <w:rPr>
          <w:spacing w:val="-2"/>
          <w:sz w:val="18"/>
          <w:vertAlign w:val="baseline"/>
        </w:rPr>
        <w:t> </w:t>
      </w:r>
      <w:r>
        <w:rPr>
          <w:sz w:val="18"/>
          <w:vertAlign w:val="baseline"/>
        </w:rPr>
        <w:t>or</w:t>
      </w:r>
      <w:r>
        <w:rPr>
          <w:spacing w:val="-3"/>
          <w:sz w:val="18"/>
          <w:vertAlign w:val="baseline"/>
        </w:rPr>
        <w:t> </w:t>
      </w:r>
      <w:r>
        <w:rPr>
          <w:sz w:val="18"/>
          <w:vertAlign w:val="baseline"/>
        </w:rPr>
        <w:t>Pharmacist</w:t>
      </w:r>
      <w:r>
        <w:rPr>
          <w:spacing w:val="-3"/>
          <w:sz w:val="18"/>
          <w:vertAlign w:val="baseline"/>
        </w:rPr>
        <w:t> </w:t>
      </w:r>
      <w:r>
        <w:rPr>
          <w:sz w:val="18"/>
          <w:vertAlign w:val="baseline"/>
        </w:rPr>
        <w:t>about</w:t>
      </w:r>
      <w:r>
        <w:rPr>
          <w:spacing w:val="-3"/>
          <w:sz w:val="18"/>
          <w:vertAlign w:val="baseline"/>
        </w:rPr>
        <w:t> </w:t>
      </w:r>
      <w:r>
        <w:rPr>
          <w:sz w:val="18"/>
          <w:vertAlign w:val="baseline"/>
        </w:rPr>
        <w:t>the</w:t>
      </w:r>
      <w:r>
        <w:rPr>
          <w:spacing w:val="-2"/>
          <w:sz w:val="18"/>
          <w:vertAlign w:val="baseline"/>
        </w:rPr>
        <w:t> </w:t>
      </w:r>
      <w:r>
        <w:rPr>
          <w:sz w:val="18"/>
          <w:vertAlign w:val="baseline"/>
        </w:rPr>
        <w:t>ACCESS</w:t>
      </w:r>
      <w:r>
        <w:rPr>
          <w:spacing w:val="-2"/>
          <w:sz w:val="18"/>
          <w:vertAlign w:val="baseline"/>
        </w:rPr>
        <w:t> </w:t>
      </w:r>
      <w:r>
        <w:rPr>
          <w:sz w:val="18"/>
          <w:vertAlign w:val="baseline"/>
        </w:rPr>
        <w:t>Law</w:t>
      </w:r>
      <w:r>
        <w:rPr>
          <w:spacing w:val="-3"/>
          <w:sz w:val="18"/>
          <w:vertAlign w:val="baseline"/>
        </w:rPr>
        <w:t> </w:t>
      </w:r>
      <w:r>
        <w:rPr>
          <w:sz w:val="18"/>
          <w:vertAlign w:val="baseline"/>
        </w:rPr>
        <w:t>|</w:t>
      </w:r>
      <w:r>
        <w:rPr>
          <w:spacing w:val="-4"/>
          <w:sz w:val="18"/>
          <w:vertAlign w:val="baseline"/>
        </w:rPr>
        <w:t> </w:t>
      </w:r>
      <w:r>
        <w:rPr>
          <w:sz w:val="18"/>
          <w:vertAlign w:val="baseline"/>
        </w:rPr>
        <w:t>Mass.Gov,”</w:t>
      </w:r>
      <w:r>
        <w:rPr>
          <w:spacing w:val="-2"/>
          <w:sz w:val="18"/>
          <w:vertAlign w:val="baseline"/>
        </w:rPr>
        <w:t> </w:t>
      </w:r>
      <w:r>
        <w:rPr>
          <w:sz w:val="18"/>
          <w:vertAlign w:val="baseline"/>
        </w:rPr>
        <w:t>accessed</w:t>
      </w:r>
      <w:r>
        <w:rPr>
          <w:spacing w:val="-2"/>
          <w:sz w:val="18"/>
          <w:vertAlign w:val="baseline"/>
        </w:rPr>
        <w:t> </w:t>
      </w:r>
      <w:r>
        <w:rPr>
          <w:sz w:val="18"/>
          <w:vertAlign w:val="baseline"/>
        </w:rPr>
        <w:t>December</w:t>
      </w:r>
      <w:r>
        <w:rPr>
          <w:spacing w:val="-4"/>
          <w:sz w:val="18"/>
          <w:vertAlign w:val="baseline"/>
        </w:rPr>
        <w:t> </w:t>
      </w:r>
      <w:r>
        <w:rPr>
          <w:sz w:val="18"/>
          <w:vertAlign w:val="baseline"/>
        </w:rPr>
        <w:t>4,</w:t>
      </w:r>
      <w:r>
        <w:rPr>
          <w:spacing w:val="-3"/>
          <w:sz w:val="18"/>
          <w:vertAlign w:val="baseline"/>
        </w:rPr>
        <w:t> </w:t>
      </w:r>
      <w:r>
        <w:rPr>
          <w:sz w:val="18"/>
          <w:vertAlign w:val="baseline"/>
        </w:rPr>
        <w:t>2022, </w:t>
      </w:r>
      <w:hyperlink r:id="rId377">
        <w:r>
          <w:rPr>
            <w:color w:val="0561C1"/>
            <w:spacing w:val="-2"/>
            <w:sz w:val="18"/>
            <w:u w:val="single" w:color="0561C1"/>
            <w:vertAlign w:val="baseline"/>
          </w:rPr>
          <w:t>https://www.mass.gov/info-details/talk-to-your-clinician-or-pharmacist-about-the-access-law</w:t>
        </w:r>
      </w:hyperlink>
      <w:hyperlink r:id="rId377">
        <w:r>
          <w:rPr>
            <w:spacing w:val="-2"/>
            <w:sz w:val="18"/>
            <w:u w:val="none"/>
            <w:vertAlign w:val="baseline"/>
          </w:rPr>
          <w:t>.</w:t>
        </w:r>
      </w:hyperlink>
    </w:p>
    <w:p>
      <w:pPr>
        <w:spacing w:before="0"/>
        <w:ind w:left="463" w:right="581" w:firstLine="0"/>
        <w:jc w:val="left"/>
        <w:rPr>
          <w:sz w:val="18"/>
        </w:rPr>
      </w:pPr>
      <w:bookmarkStart w:name="_bookmark264" w:id="454"/>
      <w:bookmarkEnd w:id="454"/>
      <w:r>
        <w:rPr/>
      </w:r>
      <w:r>
        <w:rPr>
          <w:sz w:val="18"/>
          <w:vertAlign w:val="superscript"/>
        </w:rPr>
        <w:t>72</w:t>
      </w:r>
      <w:r>
        <w:rPr>
          <w:spacing w:val="-13"/>
          <w:sz w:val="18"/>
          <w:vertAlign w:val="baseline"/>
        </w:rPr>
        <w:t> </w:t>
      </w:r>
      <w:r>
        <w:rPr>
          <w:sz w:val="18"/>
          <w:vertAlign w:val="baseline"/>
        </w:rPr>
        <w:t>“DPH-Funded</w:t>
      </w:r>
      <w:r>
        <w:rPr>
          <w:spacing w:val="-6"/>
          <w:sz w:val="18"/>
          <w:vertAlign w:val="baseline"/>
        </w:rPr>
        <w:t> </w:t>
      </w:r>
      <w:r>
        <w:rPr>
          <w:sz w:val="18"/>
          <w:vertAlign w:val="baseline"/>
        </w:rPr>
        <w:t>Family</w:t>
      </w:r>
      <w:r>
        <w:rPr>
          <w:spacing w:val="-3"/>
          <w:sz w:val="18"/>
          <w:vertAlign w:val="baseline"/>
        </w:rPr>
        <w:t> </w:t>
      </w:r>
      <w:r>
        <w:rPr>
          <w:sz w:val="18"/>
          <w:vertAlign w:val="baseline"/>
        </w:rPr>
        <w:t>Planning</w:t>
      </w:r>
      <w:r>
        <w:rPr>
          <w:spacing w:val="-4"/>
          <w:sz w:val="18"/>
          <w:vertAlign w:val="baseline"/>
        </w:rPr>
        <w:t> </w:t>
      </w:r>
      <w:r>
        <w:rPr>
          <w:sz w:val="18"/>
          <w:vertAlign w:val="baseline"/>
        </w:rPr>
        <w:t>Programs</w:t>
      </w:r>
      <w:r>
        <w:rPr>
          <w:spacing w:val="-3"/>
          <w:sz w:val="18"/>
          <w:vertAlign w:val="baseline"/>
        </w:rPr>
        <w:t> </w:t>
      </w:r>
      <w:r>
        <w:rPr>
          <w:sz w:val="18"/>
          <w:vertAlign w:val="baseline"/>
        </w:rPr>
        <w:t>|</w:t>
      </w:r>
      <w:r>
        <w:rPr>
          <w:spacing w:val="-3"/>
          <w:sz w:val="18"/>
          <w:vertAlign w:val="baseline"/>
        </w:rPr>
        <w:t> </w:t>
      </w:r>
      <w:r>
        <w:rPr>
          <w:sz w:val="18"/>
          <w:vertAlign w:val="baseline"/>
        </w:rPr>
        <w:t>Mass.Gov,”</w:t>
      </w:r>
      <w:r>
        <w:rPr>
          <w:spacing w:val="-3"/>
          <w:sz w:val="18"/>
          <w:vertAlign w:val="baseline"/>
        </w:rPr>
        <w:t> </w:t>
      </w:r>
      <w:r>
        <w:rPr>
          <w:sz w:val="18"/>
          <w:vertAlign w:val="baseline"/>
        </w:rPr>
        <w:t>accessed</w:t>
      </w:r>
      <w:r>
        <w:rPr>
          <w:spacing w:val="-4"/>
          <w:sz w:val="18"/>
          <w:vertAlign w:val="baseline"/>
        </w:rPr>
        <w:t> </w:t>
      </w:r>
      <w:r>
        <w:rPr>
          <w:sz w:val="18"/>
          <w:vertAlign w:val="baseline"/>
        </w:rPr>
        <w:t>December</w:t>
      </w:r>
      <w:r>
        <w:rPr>
          <w:spacing w:val="-4"/>
          <w:sz w:val="18"/>
          <w:vertAlign w:val="baseline"/>
        </w:rPr>
        <w:t> </w:t>
      </w:r>
      <w:r>
        <w:rPr>
          <w:sz w:val="18"/>
          <w:vertAlign w:val="baseline"/>
        </w:rPr>
        <w:t>5,</w:t>
      </w:r>
      <w:r>
        <w:rPr>
          <w:spacing w:val="-4"/>
          <w:sz w:val="18"/>
          <w:vertAlign w:val="baseline"/>
        </w:rPr>
        <w:t> </w:t>
      </w:r>
      <w:r>
        <w:rPr>
          <w:sz w:val="18"/>
          <w:vertAlign w:val="baseline"/>
        </w:rPr>
        <w:t>2022,</w:t>
      </w:r>
      <w:r>
        <w:rPr>
          <w:spacing w:val="-4"/>
          <w:sz w:val="18"/>
          <w:vertAlign w:val="baseline"/>
        </w:rPr>
        <w:t> </w:t>
      </w:r>
      <w:hyperlink r:id="rId378">
        <w:r>
          <w:rPr>
            <w:color w:val="0561C1"/>
            <w:sz w:val="18"/>
            <w:u w:val="single" w:color="0561C1"/>
            <w:vertAlign w:val="baseline"/>
          </w:rPr>
          <w:t>https://www.mass.gov/info-details/dph-</w:t>
        </w:r>
      </w:hyperlink>
      <w:r>
        <w:rPr>
          <w:color w:val="0561C1"/>
          <w:sz w:val="18"/>
          <w:u w:val="none"/>
          <w:vertAlign w:val="baseline"/>
        </w:rPr>
        <w:t> </w:t>
      </w:r>
      <w:hyperlink r:id="rId378">
        <w:r>
          <w:rPr>
            <w:color w:val="0561C1"/>
            <w:spacing w:val="-2"/>
            <w:sz w:val="18"/>
            <w:u w:val="single" w:color="0561C1"/>
            <w:vertAlign w:val="baseline"/>
          </w:rPr>
          <w:t>funded-family-planning-programs</w:t>
        </w:r>
      </w:hyperlink>
      <w:hyperlink r:id="rId378">
        <w:r>
          <w:rPr>
            <w:spacing w:val="-2"/>
            <w:sz w:val="18"/>
            <w:u w:val="none"/>
            <w:vertAlign w:val="baseline"/>
          </w:rPr>
          <w:t>.</w:t>
        </w:r>
      </w:hyperlink>
    </w:p>
    <w:p>
      <w:pPr>
        <w:spacing w:before="0"/>
        <w:ind w:left="463" w:right="0" w:hanging="1"/>
        <w:jc w:val="left"/>
        <w:rPr>
          <w:sz w:val="18"/>
        </w:rPr>
      </w:pPr>
      <w:bookmarkStart w:name="_bookmark265" w:id="455"/>
      <w:bookmarkEnd w:id="455"/>
      <w:r>
        <w:rPr/>
      </w:r>
      <w:r>
        <w:rPr>
          <w:sz w:val="18"/>
          <w:vertAlign w:val="superscript"/>
        </w:rPr>
        <w:t>73</w:t>
      </w:r>
      <w:r>
        <w:rPr>
          <w:spacing w:val="-13"/>
          <w:sz w:val="18"/>
          <w:vertAlign w:val="baseline"/>
        </w:rPr>
        <w:t> </w:t>
      </w:r>
      <w:r>
        <w:rPr>
          <w:sz w:val="18"/>
          <w:vertAlign w:val="baseline"/>
        </w:rPr>
        <w:t>Taylor</w:t>
      </w:r>
      <w:r>
        <w:rPr>
          <w:spacing w:val="-4"/>
          <w:sz w:val="18"/>
          <w:vertAlign w:val="baseline"/>
        </w:rPr>
        <w:t> </w:t>
      </w:r>
      <w:r>
        <w:rPr>
          <w:sz w:val="18"/>
          <w:vertAlign w:val="baseline"/>
        </w:rPr>
        <w:t>N</w:t>
      </w:r>
      <w:r>
        <w:rPr>
          <w:spacing w:val="-2"/>
          <w:sz w:val="18"/>
          <w:vertAlign w:val="baseline"/>
        </w:rPr>
        <w:t> </w:t>
      </w:r>
      <w:r>
        <w:rPr>
          <w:sz w:val="18"/>
          <w:vertAlign w:val="baseline"/>
        </w:rPr>
        <w:t>T</w:t>
      </w:r>
      <w:r>
        <w:rPr>
          <w:spacing w:val="-2"/>
          <w:sz w:val="18"/>
          <w:vertAlign w:val="baseline"/>
        </w:rPr>
        <w:t> </w:t>
      </w:r>
      <w:r>
        <w:rPr>
          <w:sz w:val="18"/>
          <w:vertAlign w:val="baseline"/>
        </w:rPr>
        <w:t>Brown,</w:t>
      </w:r>
      <w:r>
        <w:rPr>
          <w:spacing w:val="-3"/>
          <w:sz w:val="18"/>
          <w:vertAlign w:val="baseline"/>
        </w:rPr>
        <w:t> </w:t>
      </w:r>
      <w:r>
        <w:rPr>
          <w:sz w:val="18"/>
          <w:vertAlign w:val="baseline"/>
        </w:rPr>
        <w:t>Adam</w:t>
      </w:r>
      <w:r>
        <w:rPr>
          <w:spacing w:val="-2"/>
          <w:sz w:val="18"/>
          <w:vertAlign w:val="baseline"/>
        </w:rPr>
        <w:t> </w:t>
      </w:r>
      <w:r>
        <w:rPr>
          <w:sz w:val="18"/>
          <w:vertAlign w:val="baseline"/>
        </w:rPr>
        <w:t>P</w:t>
      </w:r>
      <w:r>
        <w:rPr>
          <w:spacing w:val="-2"/>
          <w:sz w:val="18"/>
          <w:vertAlign w:val="baseline"/>
        </w:rPr>
        <w:t> </w:t>
      </w:r>
      <w:r>
        <w:rPr>
          <w:sz w:val="18"/>
          <w:vertAlign w:val="baseline"/>
        </w:rPr>
        <w:t>Romero,</w:t>
      </w:r>
      <w:r>
        <w:rPr>
          <w:spacing w:val="-3"/>
          <w:sz w:val="18"/>
          <w:vertAlign w:val="baseline"/>
        </w:rPr>
        <w:t> </w:t>
      </w:r>
      <w:r>
        <w:rPr>
          <w:sz w:val="18"/>
          <w:vertAlign w:val="baseline"/>
        </w:rPr>
        <w:t>and</w:t>
      </w:r>
      <w:r>
        <w:rPr>
          <w:spacing w:val="-2"/>
          <w:sz w:val="18"/>
          <w:vertAlign w:val="baseline"/>
        </w:rPr>
        <w:t> </w:t>
      </w:r>
      <w:r>
        <w:rPr>
          <w:sz w:val="18"/>
          <w:vertAlign w:val="baseline"/>
        </w:rPr>
        <w:t>Gary</w:t>
      </w:r>
      <w:r>
        <w:rPr>
          <w:spacing w:val="-3"/>
          <w:sz w:val="18"/>
          <w:vertAlign w:val="baseline"/>
        </w:rPr>
        <w:t> </w:t>
      </w:r>
      <w:r>
        <w:rPr>
          <w:sz w:val="18"/>
          <w:vertAlign w:val="baseline"/>
        </w:rPr>
        <w:t>J</w:t>
      </w:r>
      <w:r>
        <w:rPr>
          <w:spacing w:val="-2"/>
          <w:sz w:val="18"/>
          <w:vertAlign w:val="baseline"/>
        </w:rPr>
        <w:t> </w:t>
      </w:r>
      <w:r>
        <w:rPr>
          <w:sz w:val="18"/>
          <w:vertAlign w:val="baseline"/>
        </w:rPr>
        <w:t>Gates,</w:t>
      </w:r>
      <w:r>
        <w:rPr>
          <w:spacing w:val="-3"/>
          <w:sz w:val="18"/>
          <w:vertAlign w:val="baseline"/>
        </w:rPr>
        <w:t> </w:t>
      </w:r>
      <w:r>
        <w:rPr>
          <w:sz w:val="18"/>
          <w:vertAlign w:val="baseline"/>
        </w:rPr>
        <w:t>“FOOD</w:t>
      </w:r>
      <w:r>
        <w:rPr>
          <w:spacing w:val="-3"/>
          <w:sz w:val="18"/>
          <w:vertAlign w:val="baseline"/>
        </w:rPr>
        <w:t> </w:t>
      </w:r>
      <w:r>
        <w:rPr>
          <w:sz w:val="18"/>
          <w:vertAlign w:val="baseline"/>
        </w:rPr>
        <w:t>INSECURITY</w:t>
      </w:r>
      <w:r>
        <w:rPr>
          <w:spacing w:val="-2"/>
          <w:sz w:val="18"/>
          <w:vertAlign w:val="baseline"/>
        </w:rPr>
        <w:t> </w:t>
      </w:r>
      <w:r>
        <w:rPr>
          <w:sz w:val="18"/>
          <w:vertAlign w:val="baseline"/>
        </w:rPr>
        <w:t>AND</w:t>
      </w:r>
      <w:r>
        <w:rPr>
          <w:spacing w:val="-3"/>
          <w:sz w:val="18"/>
          <w:vertAlign w:val="baseline"/>
        </w:rPr>
        <w:t> </w:t>
      </w:r>
      <w:r>
        <w:rPr>
          <w:sz w:val="18"/>
          <w:vertAlign w:val="baseline"/>
        </w:rPr>
        <w:t>SNAP</w:t>
      </w:r>
      <w:r>
        <w:rPr>
          <w:spacing w:val="-3"/>
          <w:sz w:val="18"/>
          <w:vertAlign w:val="baseline"/>
        </w:rPr>
        <w:t> </w:t>
      </w:r>
      <w:r>
        <w:rPr>
          <w:sz w:val="18"/>
          <w:vertAlign w:val="baseline"/>
        </w:rPr>
        <w:t>PARTICIPATION</w:t>
      </w:r>
      <w:r>
        <w:rPr>
          <w:spacing w:val="-2"/>
          <w:sz w:val="18"/>
          <w:vertAlign w:val="baseline"/>
        </w:rPr>
        <w:t> </w:t>
      </w:r>
      <w:r>
        <w:rPr>
          <w:sz w:val="18"/>
          <w:vertAlign w:val="baseline"/>
        </w:rPr>
        <w:t>IN</w:t>
      </w:r>
      <w:r>
        <w:rPr>
          <w:spacing w:val="-2"/>
          <w:sz w:val="18"/>
          <w:vertAlign w:val="baseline"/>
        </w:rPr>
        <w:t> </w:t>
      </w:r>
      <w:r>
        <w:rPr>
          <w:sz w:val="18"/>
          <w:vertAlign w:val="baseline"/>
        </w:rPr>
        <w:t>THE</w:t>
      </w:r>
      <w:r>
        <w:rPr>
          <w:spacing w:val="-3"/>
          <w:sz w:val="18"/>
          <w:vertAlign w:val="baseline"/>
        </w:rPr>
        <w:t> </w:t>
      </w:r>
      <w:r>
        <w:rPr>
          <w:sz w:val="18"/>
          <w:vertAlign w:val="baseline"/>
        </w:rPr>
        <w:t>LGBT</w:t>
      </w:r>
      <w:r>
        <w:rPr>
          <w:spacing w:val="-2"/>
          <w:sz w:val="18"/>
          <w:vertAlign w:val="baseline"/>
        </w:rPr>
        <w:t> </w:t>
      </w:r>
      <w:r>
        <w:rPr>
          <w:sz w:val="18"/>
          <w:vertAlign w:val="baseline"/>
        </w:rPr>
        <w:t>COMMUNITY,” n.d.,</w:t>
      </w:r>
      <w:r>
        <w:rPr>
          <w:spacing w:val="-2"/>
          <w:sz w:val="18"/>
          <w:vertAlign w:val="baseline"/>
        </w:rPr>
        <w:t> </w:t>
      </w:r>
      <w:r>
        <w:rPr>
          <w:sz w:val="18"/>
          <w:vertAlign w:val="baseline"/>
        </w:rPr>
        <w:t>28.</w:t>
      </w:r>
    </w:p>
    <w:p>
      <w:pPr>
        <w:spacing w:line="219" w:lineRule="exact" w:before="0"/>
        <w:ind w:left="463" w:right="0" w:firstLine="0"/>
        <w:jc w:val="left"/>
        <w:rPr>
          <w:sz w:val="18"/>
        </w:rPr>
      </w:pPr>
      <w:bookmarkStart w:name="_bookmark266" w:id="456"/>
      <w:bookmarkEnd w:id="456"/>
      <w:r>
        <w:rPr/>
      </w:r>
      <w:r>
        <w:rPr>
          <w:sz w:val="18"/>
          <w:vertAlign w:val="superscript"/>
        </w:rPr>
        <w:t>74</w:t>
      </w:r>
      <w:r>
        <w:rPr>
          <w:spacing w:val="-13"/>
          <w:sz w:val="18"/>
          <w:vertAlign w:val="baseline"/>
        </w:rPr>
        <w:t> </w:t>
      </w:r>
      <w:r>
        <w:rPr>
          <w:spacing w:val="-2"/>
          <w:sz w:val="18"/>
          <w:vertAlign w:val="baseline"/>
        </w:rPr>
        <w:t>lbid.</w:t>
      </w:r>
    </w:p>
    <w:p>
      <w:pPr>
        <w:spacing w:before="0"/>
        <w:ind w:left="463" w:right="321" w:firstLine="0"/>
        <w:jc w:val="left"/>
        <w:rPr>
          <w:sz w:val="18"/>
        </w:rPr>
      </w:pPr>
      <w:bookmarkStart w:name="_bookmark267" w:id="457"/>
      <w:bookmarkEnd w:id="457"/>
      <w:r>
        <w:rPr/>
      </w:r>
      <w:r>
        <w:rPr>
          <w:sz w:val="18"/>
          <w:vertAlign w:val="superscript"/>
        </w:rPr>
        <w:t>75</w:t>
      </w:r>
      <w:r>
        <w:rPr>
          <w:spacing w:val="-9"/>
          <w:sz w:val="18"/>
          <w:vertAlign w:val="baseline"/>
        </w:rPr>
        <w:t> </w:t>
      </w:r>
      <w:r>
        <w:rPr>
          <w:sz w:val="18"/>
          <w:vertAlign w:val="baseline"/>
        </w:rPr>
        <w:t>“Menstrual Hygiene Products Can Be Purchased with SNAP and WIC Benefits under Villa Law,” ISDC, August 5, 2021, </w:t>
      </w:r>
      <w:hyperlink r:id="rId379">
        <w:r>
          <w:rPr>
            <w:color w:val="0561C1"/>
            <w:sz w:val="18"/>
            <w:u w:val="single" w:color="0561C1"/>
            <w:vertAlign w:val="baseline"/>
          </w:rPr>
          <w:t>https://www.illinoissenatedemocrats.com/caucus-news/72-senator-karina-villa-news/2886-menstrual-hygiene-products-can-</w:t>
        </w:r>
      </w:hyperlink>
      <w:r>
        <w:rPr>
          <w:color w:val="0561C1"/>
          <w:spacing w:val="-11"/>
          <w:sz w:val="18"/>
          <w:u w:val="single" w:color="0561C1"/>
          <w:vertAlign w:val="baseline"/>
        </w:rPr>
        <w:t> </w:t>
      </w:r>
      <w:hyperlink r:id="rId379">
        <w:r>
          <w:rPr>
            <w:color w:val="0561C1"/>
            <w:sz w:val="18"/>
            <w:u w:val="single" w:color="0561C1"/>
            <w:vertAlign w:val="baseline"/>
          </w:rPr>
          <w:t>be-</w:t>
        </w:r>
      </w:hyperlink>
      <w:r>
        <w:rPr>
          <w:color w:val="0561C1"/>
          <w:sz w:val="18"/>
          <w:u w:val="none"/>
          <w:vertAlign w:val="baseline"/>
        </w:rPr>
        <w:t> </w:t>
      </w:r>
      <w:hyperlink r:id="rId379">
        <w:r>
          <w:rPr>
            <w:color w:val="0561C1"/>
            <w:spacing w:val="-2"/>
            <w:sz w:val="18"/>
            <w:u w:val="single" w:color="0561C1"/>
            <w:vertAlign w:val="baseline"/>
          </w:rPr>
          <w:t>purchased-with-snap-and-wic-benefits-under-villa-law</w:t>
        </w:r>
      </w:hyperlink>
    </w:p>
    <w:p>
      <w:pPr>
        <w:spacing w:before="0"/>
        <w:ind w:left="463" w:right="937" w:firstLine="0"/>
        <w:jc w:val="left"/>
        <w:rPr>
          <w:sz w:val="18"/>
        </w:rPr>
      </w:pPr>
      <w:bookmarkStart w:name="_bookmark268" w:id="458"/>
      <w:bookmarkEnd w:id="458"/>
      <w:r>
        <w:rPr/>
      </w:r>
      <w:r>
        <w:rPr>
          <w:sz w:val="18"/>
          <w:vertAlign w:val="superscript"/>
        </w:rPr>
        <w:t>76</w:t>
      </w:r>
      <w:r>
        <w:rPr>
          <w:spacing w:val="-13"/>
          <w:sz w:val="18"/>
          <w:vertAlign w:val="baseline"/>
        </w:rPr>
        <w:t> </w:t>
      </w:r>
      <w:r>
        <w:rPr>
          <w:sz w:val="18"/>
          <w:vertAlign w:val="baseline"/>
        </w:rPr>
        <w:t>“Maternal</w:t>
      </w:r>
      <w:r>
        <w:rPr>
          <w:spacing w:val="-6"/>
          <w:sz w:val="18"/>
          <w:vertAlign w:val="baseline"/>
        </w:rPr>
        <w:t> </w:t>
      </w:r>
      <w:r>
        <w:rPr>
          <w:sz w:val="18"/>
          <w:vertAlign w:val="baseline"/>
        </w:rPr>
        <w:t>Mortality</w:t>
      </w:r>
      <w:r>
        <w:rPr>
          <w:spacing w:val="-3"/>
          <w:sz w:val="18"/>
          <w:vertAlign w:val="baseline"/>
        </w:rPr>
        <w:t> </w:t>
      </w:r>
      <w:r>
        <w:rPr>
          <w:sz w:val="18"/>
          <w:vertAlign w:val="baseline"/>
        </w:rPr>
        <w:t>and</w:t>
      </w:r>
      <w:r>
        <w:rPr>
          <w:spacing w:val="-3"/>
          <w:sz w:val="18"/>
          <w:vertAlign w:val="baseline"/>
        </w:rPr>
        <w:t> </w:t>
      </w:r>
      <w:r>
        <w:rPr>
          <w:sz w:val="18"/>
          <w:vertAlign w:val="baseline"/>
        </w:rPr>
        <w:t>Morbidity</w:t>
      </w:r>
      <w:r>
        <w:rPr>
          <w:spacing w:val="-3"/>
          <w:sz w:val="18"/>
          <w:vertAlign w:val="baseline"/>
        </w:rPr>
        <w:t> </w:t>
      </w:r>
      <w:r>
        <w:rPr>
          <w:sz w:val="18"/>
          <w:vertAlign w:val="baseline"/>
        </w:rPr>
        <w:t>Initiative</w:t>
      </w:r>
      <w:r>
        <w:rPr>
          <w:spacing w:val="-3"/>
          <w:sz w:val="18"/>
          <w:vertAlign w:val="baseline"/>
        </w:rPr>
        <w:t> </w:t>
      </w:r>
      <w:r>
        <w:rPr>
          <w:sz w:val="18"/>
          <w:vertAlign w:val="baseline"/>
        </w:rPr>
        <w:t>|</w:t>
      </w:r>
      <w:r>
        <w:rPr>
          <w:spacing w:val="-3"/>
          <w:sz w:val="18"/>
          <w:vertAlign w:val="baseline"/>
        </w:rPr>
        <w:t> </w:t>
      </w:r>
      <w:r>
        <w:rPr>
          <w:sz w:val="18"/>
          <w:vertAlign w:val="baseline"/>
        </w:rPr>
        <w:t>Mass.Gov,”</w:t>
      </w:r>
      <w:r>
        <w:rPr>
          <w:spacing w:val="-3"/>
          <w:sz w:val="18"/>
          <w:vertAlign w:val="baseline"/>
        </w:rPr>
        <w:t> </w:t>
      </w:r>
      <w:r>
        <w:rPr>
          <w:sz w:val="18"/>
          <w:vertAlign w:val="baseline"/>
        </w:rPr>
        <w:t>accessed</w:t>
      </w:r>
      <w:r>
        <w:rPr>
          <w:spacing w:val="-3"/>
          <w:sz w:val="18"/>
          <w:vertAlign w:val="baseline"/>
        </w:rPr>
        <w:t> </w:t>
      </w:r>
      <w:r>
        <w:rPr>
          <w:sz w:val="18"/>
          <w:vertAlign w:val="baseline"/>
        </w:rPr>
        <w:t>December</w:t>
      </w:r>
      <w:r>
        <w:rPr>
          <w:spacing w:val="-5"/>
          <w:sz w:val="18"/>
          <w:vertAlign w:val="baseline"/>
        </w:rPr>
        <w:t> </w:t>
      </w:r>
      <w:r>
        <w:rPr>
          <w:sz w:val="18"/>
          <w:vertAlign w:val="baseline"/>
        </w:rPr>
        <w:t>5,</w:t>
      </w:r>
      <w:r>
        <w:rPr>
          <w:spacing w:val="-4"/>
          <w:sz w:val="18"/>
          <w:vertAlign w:val="baseline"/>
        </w:rPr>
        <w:t> </w:t>
      </w:r>
      <w:r>
        <w:rPr>
          <w:sz w:val="18"/>
          <w:vertAlign w:val="baseline"/>
        </w:rPr>
        <w:t>2022,</w:t>
      </w:r>
      <w:r>
        <w:rPr>
          <w:spacing w:val="-4"/>
          <w:sz w:val="18"/>
          <w:vertAlign w:val="baseline"/>
        </w:rPr>
        <w:t> </w:t>
      </w:r>
      <w:hyperlink r:id="rId380">
        <w:r>
          <w:rPr>
            <w:color w:val="0561C1"/>
            <w:sz w:val="18"/>
            <w:u w:val="single" w:color="0561C1"/>
            <w:vertAlign w:val="baseline"/>
          </w:rPr>
          <w:t>https://www.mass.gov/service-</w:t>
        </w:r>
      </w:hyperlink>
      <w:r>
        <w:rPr>
          <w:color w:val="0561C1"/>
          <w:sz w:val="18"/>
          <w:u w:val="none"/>
          <w:vertAlign w:val="baseline"/>
        </w:rPr>
        <w:t> </w:t>
      </w:r>
      <w:hyperlink r:id="rId380">
        <w:r>
          <w:rPr>
            <w:color w:val="0561C1"/>
            <w:spacing w:val="-2"/>
            <w:sz w:val="18"/>
            <w:u w:val="single" w:color="0561C1"/>
            <w:vertAlign w:val="baseline"/>
          </w:rPr>
          <w:t>details/maternal-mortality-and-morbidity-initiative</w:t>
        </w:r>
      </w:hyperlink>
      <w:hyperlink r:id="rId380">
        <w:r>
          <w:rPr>
            <w:spacing w:val="-2"/>
            <w:sz w:val="18"/>
            <w:u w:val="none"/>
            <w:vertAlign w:val="baseline"/>
          </w:rPr>
          <w:t>.</w:t>
        </w:r>
      </w:hyperlink>
    </w:p>
    <w:p>
      <w:pPr>
        <w:spacing w:before="0"/>
        <w:ind w:left="463" w:right="0" w:hanging="1"/>
        <w:jc w:val="left"/>
        <w:rPr>
          <w:sz w:val="18"/>
        </w:rPr>
      </w:pPr>
      <w:bookmarkStart w:name="_bookmark269" w:id="459"/>
      <w:bookmarkEnd w:id="459"/>
      <w:r>
        <w:rPr/>
      </w:r>
      <w:r>
        <w:rPr>
          <w:sz w:val="18"/>
          <w:vertAlign w:val="superscript"/>
        </w:rPr>
        <w:t>77</w:t>
      </w:r>
      <w:r>
        <w:rPr>
          <w:spacing w:val="-13"/>
          <w:sz w:val="18"/>
          <w:vertAlign w:val="baseline"/>
        </w:rPr>
        <w:t> </w:t>
      </w:r>
      <w:r>
        <w:rPr>
          <w:sz w:val="18"/>
          <w:vertAlign w:val="baseline"/>
        </w:rPr>
        <w:t>Michael</w:t>
      </w:r>
      <w:r>
        <w:rPr>
          <w:spacing w:val="-5"/>
          <w:sz w:val="18"/>
          <w:vertAlign w:val="baseline"/>
        </w:rPr>
        <w:t> </w:t>
      </w:r>
      <w:r>
        <w:rPr>
          <w:sz w:val="18"/>
          <w:vertAlign w:val="baseline"/>
        </w:rPr>
        <w:t>R.</w:t>
      </w:r>
      <w:r>
        <w:rPr>
          <w:spacing w:val="-2"/>
          <w:sz w:val="18"/>
          <w:vertAlign w:val="baseline"/>
        </w:rPr>
        <w:t> </w:t>
      </w:r>
      <w:r>
        <w:rPr>
          <w:sz w:val="18"/>
          <w:vertAlign w:val="baseline"/>
        </w:rPr>
        <w:t>Kramer</w:t>
      </w:r>
      <w:r>
        <w:rPr>
          <w:spacing w:val="-3"/>
          <w:sz w:val="18"/>
          <w:vertAlign w:val="baseline"/>
        </w:rPr>
        <w:t> </w:t>
      </w:r>
      <w:r>
        <w:rPr>
          <w:sz w:val="18"/>
          <w:vertAlign w:val="baseline"/>
        </w:rPr>
        <w:t>et</w:t>
      </w:r>
      <w:r>
        <w:rPr>
          <w:spacing w:val="-3"/>
          <w:sz w:val="18"/>
          <w:vertAlign w:val="baseline"/>
        </w:rPr>
        <w:t> </w:t>
      </w:r>
      <w:r>
        <w:rPr>
          <w:sz w:val="18"/>
          <w:vertAlign w:val="baseline"/>
        </w:rPr>
        <w:t>al.,</w:t>
      </w:r>
      <w:r>
        <w:rPr>
          <w:spacing w:val="-3"/>
          <w:sz w:val="18"/>
          <w:vertAlign w:val="baseline"/>
        </w:rPr>
        <w:t> </w:t>
      </w:r>
      <w:r>
        <w:rPr>
          <w:sz w:val="18"/>
          <w:vertAlign w:val="baseline"/>
        </w:rPr>
        <w:t>“Changing</w:t>
      </w:r>
      <w:r>
        <w:rPr>
          <w:spacing w:val="-2"/>
          <w:sz w:val="18"/>
          <w:vertAlign w:val="baseline"/>
        </w:rPr>
        <w:t> </w:t>
      </w:r>
      <w:r>
        <w:rPr>
          <w:sz w:val="18"/>
          <w:vertAlign w:val="baseline"/>
        </w:rPr>
        <w:t>the</w:t>
      </w:r>
      <w:r>
        <w:rPr>
          <w:spacing w:val="-2"/>
          <w:sz w:val="18"/>
          <w:vertAlign w:val="baseline"/>
        </w:rPr>
        <w:t> </w:t>
      </w:r>
      <w:r>
        <w:rPr>
          <w:sz w:val="18"/>
          <w:vertAlign w:val="baseline"/>
        </w:rPr>
        <w:t>Conversation:</w:t>
      </w:r>
      <w:r>
        <w:rPr>
          <w:spacing w:val="-2"/>
          <w:sz w:val="18"/>
          <w:vertAlign w:val="baseline"/>
        </w:rPr>
        <w:t> </w:t>
      </w:r>
      <w:r>
        <w:rPr>
          <w:sz w:val="18"/>
          <w:vertAlign w:val="baseline"/>
        </w:rPr>
        <w:t>Applying</w:t>
      </w:r>
      <w:r>
        <w:rPr>
          <w:spacing w:val="-2"/>
          <w:sz w:val="18"/>
          <w:vertAlign w:val="baseline"/>
        </w:rPr>
        <w:t> </w:t>
      </w:r>
      <w:r>
        <w:rPr>
          <w:sz w:val="18"/>
          <w:vertAlign w:val="baseline"/>
        </w:rPr>
        <w:t>a</w:t>
      </w:r>
      <w:r>
        <w:rPr>
          <w:spacing w:val="-2"/>
          <w:sz w:val="18"/>
          <w:vertAlign w:val="baseline"/>
        </w:rPr>
        <w:t> </w:t>
      </w:r>
      <w:r>
        <w:rPr>
          <w:sz w:val="18"/>
          <w:vertAlign w:val="baseline"/>
        </w:rPr>
        <w:t>Health</w:t>
      </w:r>
      <w:r>
        <w:rPr>
          <w:spacing w:val="-2"/>
          <w:sz w:val="18"/>
          <w:vertAlign w:val="baseline"/>
        </w:rPr>
        <w:t> </w:t>
      </w:r>
      <w:r>
        <w:rPr>
          <w:sz w:val="18"/>
          <w:vertAlign w:val="baseline"/>
        </w:rPr>
        <w:t>Equity</w:t>
      </w:r>
      <w:r>
        <w:rPr>
          <w:spacing w:val="-2"/>
          <w:sz w:val="18"/>
          <w:vertAlign w:val="baseline"/>
        </w:rPr>
        <w:t> </w:t>
      </w:r>
      <w:r>
        <w:rPr>
          <w:sz w:val="18"/>
          <w:vertAlign w:val="baseline"/>
        </w:rPr>
        <w:t>Framework</w:t>
      </w:r>
      <w:r>
        <w:rPr>
          <w:spacing w:val="-3"/>
          <w:sz w:val="18"/>
          <w:vertAlign w:val="baseline"/>
        </w:rPr>
        <w:t> </w:t>
      </w:r>
      <w:r>
        <w:rPr>
          <w:sz w:val="18"/>
          <w:vertAlign w:val="baseline"/>
        </w:rPr>
        <w:t>to</w:t>
      </w:r>
      <w:r>
        <w:rPr>
          <w:spacing w:val="-2"/>
          <w:sz w:val="18"/>
          <w:vertAlign w:val="baseline"/>
        </w:rPr>
        <w:t> </w:t>
      </w:r>
      <w:r>
        <w:rPr>
          <w:sz w:val="18"/>
          <w:vertAlign w:val="baseline"/>
        </w:rPr>
        <w:t>Maternal</w:t>
      </w:r>
      <w:r>
        <w:rPr>
          <w:spacing w:val="-3"/>
          <w:sz w:val="18"/>
          <w:vertAlign w:val="baseline"/>
        </w:rPr>
        <w:t> </w:t>
      </w:r>
      <w:r>
        <w:rPr>
          <w:sz w:val="18"/>
          <w:vertAlign w:val="baseline"/>
        </w:rPr>
        <w:t>Mortality</w:t>
      </w:r>
      <w:r>
        <w:rPr>
          <w:spacing w:val="-2"/>
          <w:sz w:val="18"/>
          <w:vertAlign w:val="baseline"/>
        </w:rPr>
        <w:t> </w:t>
      </w:r>
      <w:r>
        <w:rPr>
          <w:sz w:val="18"/>
          <w:vertAlign w:val="baseline"/>
        </w:rPr>
        <w:t>Reviews,” </w:t>
      </w:r>
      <w:r>
        <w:rPr>
          <w:i/>
          <w:sz w:val="18"/>
          <w:vertAlign w:val="baseline"/>
        </w:rPr>
        <w:t>American Journal of Obstetrics and Gynecology </w:t>
      </w:r>
      <w:r>
        <w:rPr>
          <w:sz w:val="18"/>
          <w:vertAlign w:val="baseline"/>
        </w:rPr>
        <w:t>221, no. 6 (December 2019): 609.e1-609.e9, </w:t>
      </w:r>
      <w:hyperlink r:id="rId381">
        <w:r>
          <w:rPr>
            <w:color w:val="0561C1"/>
            <w:spacing w:val="-2"/>
            <w:sz w:val="18"/>
            <w:u w:val="single" w:color="0561C1"/>
            <w:vertAlign w:val="baseline"/>
          </w:rPr>
          <w:t>https://doi.org/10.1016/j.ajog.2019.08.057</w:t>
        </w:r>
      </w:hyperlink>
      <w:hyperlink r:id="rId381">
        <w:r>
          <w:rPr>
            <w:spacing w:val="-2"/>
            <w:sz w:val="18"/>
            <w:u w:val="none"/>
            <w:vertAlign w:val="baseline"/>
          </w:rPr>
          <w:t>.</w:t>
        </w:r>
      </w:hyperlink>
    </w:p>
    <w:p>
      <w:pPr>
        <w:spacing w:after="0"/>
        <w:jc w:val="left"/>
        <w:rPr>
          <w:sz w:val="18"/>
        </w:rPr>
        <w:sectPr>
          <w:pgSz w:w="12240" w:h="15840"/>
          <w:pgMar w:header="800" w:footer="1530" w:top="1080" w:bottom="1760" w:left="980" w:right="1000"/>
        </w:sectPr>
      </w:pPr>
    </w:p>
    <w:p>
      <w:pPr>
        <w:spacing w:line="400" w:lineRule="exact" w:before="94"/>
        <w:ind w:left="474" w:right="0" w:firstLine="0"/>
        <w:jc w:val="left"/>
        <w:rPr>
          <w:sz w:val="34"/>
        </w:rPr>
      </w:pPr>
      <w:r>
        <w:rPr>
          <w:color w:val="FFFFFF"/>
          <w:w w:val="120"/>
          <w:sz w:val="34"/>
        </w:rPr>
        <w:t>COMMISSION</w:t>
      </w:r>
      <w:r>
        <w:rPr>
          <w:color w:val="FFFFFF"/>
          <w:spacing w:val="17"/>
          <w:w w:val="120"/>
          <w:sz w:val="34"/>
        </w:rPr>
        <w:t> </w:t>
      </w:r>
      <w:r>
        <w:rPr>
          <w:color w:val="FFFFFF"/>
          <w:w w:val="120"/>
          <w:sz w:val="34"/>
        </w:rPr>
        <w:t>ON</w:t>
      </w:r>
      <w:r>
        <w:rPr>
          <w:color w:val="FFFFFF"/>
          <w:spacing w:val="17"/>
          <w:w w:val="120"/>
          <w:sz w:val="34"/>
        </w:rPr>
        <w:t> </w:t>
      </w:r>
      <w:r>
        <w:rPr>
          <w:color w:val="FFFFFF"/>
          <w:w w:val="120"/>
          <w:sz w:val="34"/>
        </w:rPr>
        <w:t>LGBTQ</w:t>
      </w:r>
      <w:r>
        <w:rPr>
          <w:color w:val="FFFFFF"/>
          <w:spacing w:val="17"/>
          <w:w w:val="120"/>
          <w:sz w:val="34"/>
        </w:rPr>
        <w:t> </w:t>
      </w:r>
      <w:r>
        <w:rPr>
          <w:color w:val="FFFFFF"/>
          <w:spacing w:val="-2"/>
          <w:w w:val="120"/>
          <w:sz w:val="34"/>
        </w:rPr>
        <w:t>YOUTH</w:t>
      </w:r>
    </w:p>
    <w:p>
      <w:pPr>
        <w:pStyle w:val="Heading5"/>
        <w:spacing w:line="213" w:lineRule="auto"/>
        <w:ind w:right="4560"/>
      </w:pPr>
      <w:r>
        <w:rPr>
          <w:color w:val="FFFFFF"/>
          <w:spacing w:val="-30"/>
        </w:rPr>
        <w:t>PREGNANCY </w:t>
      </w:r>
      <w:r>
        <w:rPr>
          <w:color w:val="FFFFFF"/>
          <w:spacing w:val="-10"/>
        </w:rPr>
        <w:t>REPORT</w:t>
      </w:r>
    </w:p>
    <w:p>
      <w:pPr>
        <w:pStyle w:val="BodyText"/>
        <w:rPr>
          <w:rFonts w:ascii="Verdana"/>
          <w:b/>
          <w:sz w:val="20"/>
        </w:rPr>
      </w:pPr>
    </w:p>
    <w:p>
      <w:pPr>
        <w:pStyle w:val="BodyText"/>
        <w:rPr>
          <w:rFonts w:ascii="Verdana"/>
          <w:b/>
          <w:sz w:val="20"/>
        </w:rPr>
      </w:pPr>
    </w:p>
    <w:p>
      <w:pPr>
        <w:pStyle w:val="BodyText"/>
        <w:rPr>
          <w:rFonts w:ascii="Verdana"/>
          <w:b/>
          <w:sz w:val="20"/>
        </w:rPr>
      </w:pPr>
    </w:p>
    <w:p>
      <w:pPr>
        <w:pStyle w:val="BodyText"/>
        <w:rPr>
          <w:rFonts w:ascii="Verdana"/>
          <w:b/>
          <w:sz w:val="20"/>
        </w:rPr>
      </w:pPr>
    </w:p>
    <w:p>
      <w:pPr>
        <w:pStyle w:val="BodyText"/>
        <w:rPr>
          <w:rFonts w:ascii="Verdana"/>
          <w:b/>
          <w:sz w:val="20"/>
        </w:rPr>
      </w:pPr>
    </w:p>
    <w:p>
      <w:pPr>
        <w:pStyle w:val="BodyText"/>
        <w:spacing w:before="47"/>
        <w:rPr>
          <w:rFonts w:ascii="Verdana"/>
          <w:b/>
          <w:sz w:val="20"/>
        </w:rPr>
      </w:pPr>
    </w:p>
    <w:p>
      <w:pPr>
        <w:spacing w:after="0"/>
        <w:rPr>
          <w:rFonts w:ascii="Verdana"/>
          <w:sz w:val="20"/>
        </w:rPr>
        <w:sectPr>
          <w:headerReference w:type="default" r:id="rId382"/>
          <w:footerReference w:type="default" r:id="rId383"/>
          <w:pgSz w:w="12240" w:h="15840"/>
          <w:pgMar w:header="0" w:footer="0" w:top="980" w:bottom="280" w:left="1120" w:right="1200"/>
        </w:sectPr>
      </w:pPr>
    </w:p>
    <w:p>
      <w:pPr>
        <w:pStyle w:val="Heading9"/>
        <w:ind w:left="123"/>
        <w:rPr>
          <w:i/>
        </w:rPr>
      </w:pPr>
      <w:r>
        <w:rPr>
          <w:i/>
          <w:spacing w:val="11"/>
          <w:w w:val="125"/>
        </w:rPr>
        <w:t>ABOUT</w:t>
      </w:r>
    </w:p>
    <w:p>
      <w:pPr>
        <w:spacing w:line="266" w:lineRule="auto" w:before="41"/>
        <w:ind w:left="123" w:right="38" w:firstLine="0"/>
        <w:jc w:val="both"/>
        <w:rPr>
          <w:rFonts w:ascii="Times New Roman"/>
          <w:sz w:val="24"/>
        </w:rPr>
      </w:pPr>
      <w:r>
        <w:rPr>
          <w:rFonts w:ascii="Times New Roman"/>
          <w:w w:val="110"/>
          <w:sz w:val="24"/>
        </w:rPr>
        <w:t>Many</w:t>
      </w:r>
      <w:r>
        <w:rPr>
          <w:rFonts w:ascii="Times New Roman"/>
          <w:spacing w:val="-11"/>
          <w:w w:val="110"/>
          <w:sz w:val="24"/>
        </w:rPr>
        <w:t> </w:t>
      </w:r>
      <w:r>
        <w:rPr>
          <w:rFonts w:ascii="Times New Roman"/>
          <w:w w:val="110"/>
          <w:sz w:val="24"/>
        </w:rPr>
        <w:t>LGBTQ</w:t>
      </w:r>
      <w:r>
        <w:rPr>
          <w:rFonts w:ascii="Times New Roman"/>
          <w:spacing w:val="-11"/>
          <w:w w:val="110"/>
          <w:sz w:val="24"/>
        </w:rPr>
        <w:t> </w:t>
      </w:r>
      <w:r>
        <w:rPr>
          <w:rFonts w:ascii="Times New Roman"/>
          <w:w w:val="110"/>
          <w:sz w:val="24"/>
        </w:rPr>
        <w:t>people</w:t>
      </w:r>
      <w:r>
        <w:rPr>
          <w:rFonts w:ascii="Times New Roman"/>
          <w:spacing w:val="-11"/>
          <w:w w:val="110"/>
          <w:sz w:val="24"/>
        </w:rPr>
        <w:t> </w:t>
      </w:r>
      <w:r>
        <w:rPr>
          <w:rFonts w:ascii="Times New Roman"/>
          <w:w w:val="110"/>
          <w:sz w:val="24"/>
        </w:rPr>
        <w:t>such</w:t>
      </w:r>
      <w:r>
        <w:rPr>
          <w:rFonts w:ascii="Times New Roman"/>
          <w:spacing w:val="-11"/>
          <w:w w:val="110"/>
          <w:sz w:val="24"/>
        </w:rPr>
        <w:t> </w:t>
      </w:r>
      <w:r>
        <w:rPr>
          <w:rFonts w:ascii="Times New Roman"/>
          <w:w w:val="110"/>
          <w:sz w:val="24"/>
        </w:rPr>
        <w:t>as</w:t>
      </w:r>
      <w:r>
        <w:rPr>
          <w:rFonts w:ascii="Times New Roman"/>
          <w:spacing w:val="-11"/>
          <w:w w:val="110"/>
          <w:sz w:val="24"/>
        </w:rPr>
        <w:t> </w:t>
      </w:r>
      <w:r>
        <w:rPr>
          <w:rFonts w:ascii="Times New Roman"/>
          <w:w w:val="110"/>
          <w:sz w:val="24"/>
        </w:rPr>
        <w:t>lesbians,</w:t>
      </w:r>
      <w:r>
        <w:rPr>
          <w:rFonts w:ascii="Times New Roman"/>
          <w:spacing w:val="-11"/>
          <w:w w:val="110"/>
          <w:sz w:val="24"/>
        </w:rPr>
        <w:t> </w:t>
      </w:r>
      <w:r>
        <w:rPr>
          <w:rFonts w:ascii="Times New Roman"/>
          <w:w w:val="110"/>
          <w:sz w:val="24"/>
        </w:rPr>
        <w:t>bisexual </w:t>
      </w:r>
      <w:r>
        <w:rPr>
          <w:rFonts w:ascii="Times New Roman"/>
          <w:w w:val="115"/>
          <w:sz w:val="24"/>
        </w:rPr>
        <w:t>women,</w:t>
      </w:r>
      <w:r>
        <w:rPr>
          <w:rFonts w:ascii="Times New Roman"/>
          <w:w w:val="115"/>
          <w:sz w:val="24"/>
        </w:rPr>
        <w:t> transgender</w:t>
      </w:r>
      <w:r>
        <w:rPr>
          <w:rFonts w:ascii="Times New Roman"/>
          <w:w w:val="115"/>
          <w:sz w:val="24"/>
        </w:rPr>
        <w:t> men,</w:t>
      </w:r>
      <w:r>
        <w:rPr>
          <w:rFonts w:ascii="Times New Roman"/>
          <w:w w:val="115"/>
          <w:sz w:val="24"/>
        </w:rPr>
        <w:t> Two-Spirit, intersex,</w:t>
      </w:r>
      <w:r>
        <w:rPr>
          <w:rFonts w:ascii="Times New Roman"/>
          <w:w w:val="115"/>
          <w:sz w:val="24"/>
        </w:rPr>
        <w:t> nonbinary</w:t>
      </w:r>
      <w:r>
        <w:rPr>
          <w:rFonts w:ascii="Times New Roman"/>
          <w:w w:val="115"/>
          <w:sz w:val="24"/>
        </w:rPr>
        <w:t> and</w:t>
      </w:r>
      <w:r>
        <w:rPr>
          <w:rFonts w:ascii="Times New Roman"/>
          <w:w w:val="115"/>
          <w:sz w:val="24"/>
        </w:rPr>
        <w:t> gender nonconforming</w:t>
      </w:r>
      <w:r>
        <w:rPr>
          <w:rFonts w:ascii="Times New Roman"/>
          <w:spacing w:val="-14"/>
          <w:w w:val="115"/>
          <w:sz w:val="24"/>
        </w:rPr>
        <w:t> </w:t>
      </w:r>
      <w:r>
        <w:rPr>
          <w:rFonts w:ascii="Times New Roman"/>
          <w:w w:val="115"/>
          <w:sz w:val="24"/>
        </w:rPr>
        <w:t>individuals</w:t>
      </w:r>
      <w:r>
        <w:rPr>
          <w:rFonts w:ascii="Times New Roman"/>
          <w:spacing w:val="-14"/>
          <w:w w:val="115"/>
          <w:sz w:val="24"/>
        </w:rPr>
        <w:t> </w:t>
      </w:r>
      <w:r>
        <w:rPr>
          <w:rFonts w:ascii="Times New Roman"/>
          <w:w w:val="115"/>
          <w:sz w:val="24"/>
        </w:rPr>
        <w:t>use</w:t>
      </w:r>
      <w:r>
        <w:rPr>
          <w:rFonts w:ascii="Times New Roman"/>
          <w:spacing w:val="-14"/>
          <w:w w:val="115"/>
          <w:sz w:val="24"/>
        </w:rPr>
        <w:t> </w:t>
      </w:r>
      <w:r>
        <w:rPr>
          <w:rFonts w:ascii="Times New Roman"/>
          <w:w w:val="115"/>
          <w:sz w:val="24"/>
        </w:rPr>
        <w:t>contraception, have</w:t>
      </w:r>
      <w:r>
        <w:rPr>
          <w:rFonts w:ascii="Times New Roman"/>
          <w:w w:val="115"/>
          <w:sz w:val="24"/>
        </w:rPr>
        <w:t> the</w:t>
      </w:r>
      <w:r>
        <w:rPr>
          <w:rFonts w:ascii="Times New Roman"/>
          <w:w w:val="115"/>
          <w:sz w:val="24"/>
        </w:rPr>
        <w:t> capacity</w:t>
      </w:r>
      <w:r>
        <w:rPr>
          <w:rFonts w:ascii="Times New Roman"/>
          <w:w w:val="115"/>
          <w:sz w:val="24"/>
        </w:rPr>
        <w:t> to</w:t>
      </w:r>
      <w:r>
        <w:rPr>
          <w:rFonts w:ascii="Times New Roman"/>
          <w:w w:val="115"/>
          <w:sz w:val="24"/>
        </w:rPr>
        <w:t> carry</w:t>
      </w:r>
      <w:r>
        <w:rPr>
          <w:rFonts w:ascii="Times New Roman"/>
          <w:w w:val="115"/>
          <w:sz w:val="24"/>
        </w:rPr>
        <w:t> a</w:t>
      </w:r>
      <w:r>
        <w:rPr>
          <w:rFonts w:ascii="Times New Roman"/>
          <w:w w:val="115"/>
          <w:sz w:val="24"/>
        </w:rPr>
        <w:t> pregnancy, experience</w:t>
      </w:r>
      <w:r>
        <w:rPr>
          <w:rFonts w:ascii="Times New Roman"/>
          <w:w w:val="115"/>
          <w:sz w:val="24"/>
        </w:rPr>
        <w:t> miscarriages,</w:t>
      </w:r>
      <w:r>
        <w:rPr>
          <w:rFonts w:ascii="Times New Roman"/>
          <w:w w:val="115"/>
          <w:sz w:val="24"/>
        </w:rPr>
        <w:t> and</w:t>
      </w:r>
      <w:r>
        <w:rPr>
          <w:rFonts w:ascii="Times New Roman"/>
          <w:w w:val="115"/>
          <w:sz w:val="24"/>
        </w:rPr>
        <w:t> choose</w:t>
      </w:r>
      <w:r>
        <w:rPr>
          <w:rFonts w:ascii="Times New Roman"/>
          <w:w w:val="115"/>
          <w:sz w:val="24"/>
        </w:rPr>
        <w:t> to</w:t>
      </w:r>
      <w:r>
        <w:rPr>
          <w:rFonts w:ascii="Times New Roman"/>
          <w:w w:val="115"/>
          <w:sz w:val="24"/>
        </w:rPr>
        <w:t> get abortions.</w:t>
      </w:r>
      <w:r>
        <w:rPr>
          <w:rFonts w:ascii="Times New Roman"/>
          <w:w w:val="115"/>
          <w:sz w:val="24"/>
        </w:rPr>
        <w:t> Pregnancy</w:t>
      </w:r>
      <w:r>
        <w:rPr>
          <w:rFonts w:ascii="Times New Roman"/>
          <w:w w:val="115"/>
          <w:sz w:val="24"/>
        </w:rPr>
        <w:t> is</w:t>
      </w:r>
      <w:r>
        <w:rPr>
          <w:rFonts w:ascii="Times New Roman"/>
          <w:w w:val="115"/>
          <w:sz w:val="24"/>
        </w:rPr>
        <w:t> not</w:t>
      </w:r>
      <w:r>
        <w:rPr>
          <w:rFonts w:ascii="Times New Roman"/>
          <w:w w:val="115"/>
          <w:sz w:val="24"/>
        </w:rPr>
        <w:t> confined</w:t>
      </w:r>
      <w:r>
        <w:rPr>
          <w:rFonts w:ascii="Times New Roman"/>
          <w:w w:val="115"/>
          <w:sz w:val="24"/>
        </w:rPr>
        <w:t> to cisgender</w:t>
      </w:r>
      <w:r>
        <w:rPr>
          <w:rFonts w:ascii="Times New Roman"/>
          <w:spacing w:val="-4"/>
          <w:w w:val="115"/>
          <w:sz w:val="24"/>
        </w:rPr>
        <w:t> </w:t>
      </w:r>
      <w:r>
        <w:rPr>
          <w:rFonts w:ascii="Times New Roman"/>
          <w:w w:val="115"/>
          <w:sz w:val="24"/>
        </w:rPr>
        <w:t>women.</w:t>
      </w:r>
    </w:p>
    <w:p>
      <w:pPr>
        <w:pStyle w:val="BodyText"/>
        <w:rPr>
          <w:rFonts w:ascii="Times New Roman"/>
          <w:sz w:val="24"/>
        </w:rPr>
      </w:pPr>
    </w:p>
    <w:p>
      <w:pPr>
        <w:pStyle w:val="BodyText"/>
        <w:spacing w:before="197"/>
        <w:rPr>
          <w:rFonts w:ascii="Times New Roman"/>
          <w:sz w:val="24"/>
        </w:rPr>
      </w:pPr>
    </w:p>
    <w:p>
      <w:pPr>
        <w:pStyle w:val="Heading9"/>
        <w:spacing w:before="0"/>
        <w:ind w:left="123"/>
        <w:rPr>
          <w:i/>
        </w:rPr>
      </w:pPr>
      <w:r>
        <w:rPr>
          <w:i/>
          <w:spacing w:val="13"/>
          <w:w w:val="125"/>
        </w:rPr>
        <w:t>RECOMMENDATIONS</w:t>
      </w:r>
    </w:p>
    <w:p>
      <w:pPr>
        <w:spacing w:line="902" w:lineRule="exact" w:before="322"/>
        <w:ind w:left="1012" w:right="0" w:firstLine="0"/>
        <w:jc w:val="left"/>
        <w:rPr>
          <w:rFonts w:ascii="Verdana"/>
          <w:b/>
          <w:sz w:val="75"/>
        </w:rPr>
      </w:pPr>
      <w:r>
        <w:rPr/>
        <w:br w:type="column"/>
      </w:r>
      <w:r>
        <w:rPr>
          <w:rFonts w:ascii="Verdana"/>
          <w:b/>
          <w:emboss/>
          <w:color w:val="7B0085"/>
          <w:spacing w:val="19"/>
          <w:w w:val="95"/>
          <w:sz w:val="75"/>
        </w:rPr>
        <w:t>100</w:t>
      </w:r>
    </w:p>
    <w:p>
      <w:pPr>
        <w:spacing w:line="266" w:lineRule="auto" w:before="0"/>
        <w:ind w:left="123" w:right="289" w:hanging="1"/>
        <w:jc w:val="center"/>
        <w:rPr>
          <w:rFonts w:ascii="Times New Roman"/>
          <w:sz w:val="24"/>
        </w:rPr>
      </w:pPr>
      <w:r>
        <w:rPr>
          <w:rFonts w:ascii="Times New Roman"/>
          <w:w w:val="115"/>
          <w:sz w:val="24"/>
        </w:rPr>
        <w:t>miles</w:t>
      </w:r>
      <w:r>
        <w:rPr>
          <w:rFonts w:ascii="Times New Roman"/>
          <w:spacing w:val="-14"/>
          <w:w w:val="115"/>
          <w:sz w:val="24"/>
        </w:rPr>
        <w:t> </w:t>
      </w:r>
      <w:r>
        <w:rPr>
          <w:rFonts w:ascii="Times New Roman"/>
          <w:w w:val="115"/>
          <w:sz w:val="24"/>
        </w:rPr>
        <w:t>that</w:t>
      </w:r>
      <w:r>
        <w:rPr>
          <w:rFonts w:ascii="Times New Roman"/>
          <w:spacing w:val="-14"/>
          <w:w w:val="115"/>
          <w:sz w:val="24"/>
        </w:rPr>
        <w:t> </w:t>
      </w:r>
      <w:r>
        <w:rPr>
          <w:rFonts w:ascii="Times New Roman"/>
          <w:w w:val="115"/>
          <w:sz w:val="24"/>
        </w:rPr>
        <w:t>pregnant</w:t>
      </w:r>
      <w:r>
        <w:rPr>
          <w:rFonts w:ascii="Times New Roman"/>
          <w:spacing w:val="-14"/>
          <w:w w:val="115"/>
          <w:sz w:val="24"/>
        </w:rPr>
        <w:t> </w:t>
      </w:r>
      <w:r>
        <w:rPr>
          <w:rFonts w:ascii="Times New Roman"/>
          <w:w w:val="115"/>
          <w:sz w:val="24"/>
        </w:rPr>
        <w:t>individuals </w:t>
      </w:r>
      <w:r>
        <w:rPr>
          <w:rFonts w:ascii="Times New Roman"/>
          <w:w w:val="110"/>
          <w:sz w:val="24"/>
        </w:rPr>
        <w:t>on</w:t>
      </w:r>
      <w:r>
        <w:rPr>
          <w:rFonts w:ascii="Times New Roman"/>
          <w:spacing w:val="-6"/>
          <w:w w:val="110"/>
          <w:sz w:val="24"/>
        </w:rPr>
        <w:t> </w:t>
      </w:r>
      <w:r>
        <w:rPr>
          <w:rFonts w:ascii="Times New Roman"/>
          <w:w w:val="110"/>
          <w:sz w:val="24"/>
        </w:rPr>
        <w:t>Cape</w:t>
      </w:r>
      <w:r>
        <w:rPr>
          <w:rFonts w:ascii="Times New Roman"/>
          <w:spacing w:val="-6"/>
          <w:w w:val="110"/>
          <w:sz w:val="24"/>
        </w:rPr>
        <w:t> </w:t>
      </w:r>
      <w:r>
        <w:rPr>
          <w:rFonts w:ascii="Times New Roman"/>
          <w:w w:val="110"/>
          <w:sz w:val="24"/>
        </w:rPr>
        <w:t>Cod</w:t>
      </w:r>
      <w:r>
        <w:rPr>
          <w:rFonts w:ascii="Times New Roman"/>
          <w:spacing w:val="-6"/>
          <w:w w:val="110"/>
          <w:sz w:val="24"/>
        </w:rPr>
        <w:t> </w:t>
      </w:r>
      <w:r>
        <w:rPr>
          <w:rFonts w:ascii="Times New Roman"/>
          <w:w w:val="110"/>
          <w:sz w:val="24"/>
        </w:rPr>
        <w:t>may</w:t>
      </w:r>
      <w:r>
        <w:rPr>
          <w:rFonts w:ascii="Times New Roman"/>
          <w:spacing w:val="-6"/>
          <w:w w:val="110"/>
          <w:sz w:val="24"/>
        </w:rPr>
        <w:t> </w:t>
      </w:r>
      <w:r>
        <w:rPr>
          <w:rFonts w:ascii="Times New Roman"/>
          <w:w w:val="110"/>
          <w:sz w:val="24"/>
        </w:rPr>
        <w:t>need</w:t>
      </w:r>
      <w:r>
        <w:rPr>
          <w:rFonts w:ascii="Times New Roman"/>
          <w:spacing w:val="-6"/>
          <w:w w:val="110"/>
          <w:sz w:val="24"/>
        </w:rPr>
        <w:t> </w:t>
      </w:r>
      <w:r>
        <w:rPr>
          <w:rFonts w:ascii="Times New Roman"/>
          <w:w w:val="110"/>
          <w:sz w:val="24"/>
        </w:rPr>
        <w:t>to</w:t>
      </w:r>
      <w:r>
        <w:rPr>
          <w:rFonts w:ascii="Times New Roman"/>
          <w:spacing w:val="-6"/>
          <w:w w:val="110"/>
          <w:sz w:val="24"/>
        </w:rPr>
        <w:t> </w:t>
      </w:r>
      <w:r>
        <w:rPr>
          <w:rFonts w:ascii="Times New Roman"/>
          <w:w w:val="110"/>
          <w:sz w:val="24"/>
        </w:rPr>
        <w:t>travel </w:t>
      </w:r>
      <w:r>
        <w:rPr>
          <w:rFonts w:ascii="Times New Roman"/>
          <w:w w:val="115"/>
          <w:sz w:val="24"/>
        </w:rPr>
        <w:t>to access abortion services</w:t>
      </w:r>
    </w:p>
    <w:p>
      <w:pPr>
        <w:pStyle w:val="BodyText"/>
        <w:spacing w:before="67"/>
        <w:rPr>
          <w:rFonts w:ascii="Times New Roman"/>
          <w:sz w:val="24"/>
        </w:rPr>
      </w:pPr>
    </w:p>
    <w:p>
      <w:pPr>
        <w:pStyle w:val="Heading3"/>
        <w:ind w:left="1" w:right="242"/>
        <w:jc w:val="center"/>
      </w:pPr>
      <w:r>
        <w:rPr>
          <w:emboss/>
          <w:color w:val="7B0085"/>
          <w:spacing w:val="19"/>
          <w:w w:val="80"/>
        </w:rPr>
        <w:t>93%</w:t>
      </w:r>
    </w:p>
    <w:p>
      <w:pPr>
        <w:spacing w:line="266" w:lineRule="auto" w:before="43"/>
        <w:ind w:left="0" w:right="242" w:firstLine="0"/>
        <w:jc w:val="center"/>
        <w:rPr>
          <w:rFonts w:ascii="Times New Roman"/>
          <w:sz w:val="24"/>
        </w:rPr>
      </w:pPr>
      <w:r>
        <w:rPr>
          <w:rFonts w:ascii="Times New Roman"/>
          <w:w w:val="115"/>
          <w:sz w:val="24"/>
        </w:rPr>
        <w:t>of</w:t>
      </w:r>
      <w:r>
        <w:rPr>
          <w:rFonts w:ascii="Times New Roman"/>
          <w:spacing w:val="-18"/>
          <w:w w:val="115"/>
          <w:sz w:val="24"/>
        </w:rPr>
        <w:t> </w:t>
      </w:r>
      <w:r>
        <w:rPr>
          <w:rFonts w:ascii="Times New Roman"/>
          <w:w w:val="115"/>
          <w:sz w:val="24"/>
        </w:rPr>
        <w:t>non-binary</w:t>
      </w:r>
      <w:r>
        <w:rPr>
          <w:rFonts w:ascii="Times New Roman"/>
          <w:spacing w:val="-17"/>
          <w:w w:val="115"/>
          <w:sz w:val="24"/>
        </w:rPr>
        <w:t> </w:t>
      </w:r>
      <w:r>
        <w:rPr>
          <w:rFonts w:ascii="Times New Roman"/>
          <w:w w:val="115"/>
          <w:sz w:val="24"/>
        </w:rPr>
        <w:t>and</w:t>
      </w:r>
      <w:r>
        <w:rPr>
          <w:rFonts w:ascii="Times New Roman"/>
          <w:spacing w:val="-17"/>
          <w:w w:val="115"/>
          <w:sz w:val="24"/>
        </w:rPr>
        <w:t> </w:t>
      </w:r>
      <w:r>
        <w:rPr>
          <w:rFonts w:ascii="Times New Roman"/>
          <w:w w:val="115"/>
          <w:sz w:val="24"/>
        </w:rPr>
        <w:t>transgender </w:t>
      </w:r>
      <w:r>
        <w:rPr>
          <w:rFonts w:ascii="Times New Roman"/>
          <w:w w:val="120"/>
          <w:sz w:val="24"/>
        </w:rPr>
        <w:t>youth</w:t>
      </w:r>
      <w:r>
        <w:rPr>
          <w:rFonts w:ascii="Times New Roman"/>
          <w:spacing w:val="-6"/>
          <w:w w:val="120"/>
          <w:sz w:val="24"/>
        </w:rPr>
        <w:t> </w:t>
      </w:r>
      <w:r>
        <w:rPr>
          <w:rFonts w:ascii="Times New Roman"/>
          <w:w w:val="120"/>
          <w:sz w:val="24"/>
        </w:rPr>
        <w:t>face</w:t>
      </w:r>
      <w:r>
        <w:rPr>
          <w:rFonts w:ascii="Times New Roman"/>
          <w:spacing w:val="-6"/>
          <w:w w:val="120"/>
          <w:sz w:val="24"/>
        </w:rPr>
        <w:t> </w:t>
      </w:r>
      <w:r>
        <w:rPr>
          <w:rFonts w:ascii="Times New Roman"/>
          <w:w w:val="120"/>
          <w:sz w:val="24"/>
        </w:rPr>
        <w:t>distress</w:t>
      </w:r>
      <w:r>
        <w:rPr>
          <w:rFonts w:ascii="Times New Roman"/>
          <w:spacing w:val="-6"/>
          <w:w w:val="120"/>
          <w:sz w:val="24"/>
        </w:rPr>
        <w:t> </w:t>
      </w:r>
      <w:r>
        <w:rPr>
          <w:rFonts w:ascii="Times New Roman"/>
          <w:w w:val="120"/>
          <w:sz w:val="24"/>
        </w:rPr>
        <w:t>due</w:t>
      </w:r>
      <w:r>
        <w:rPr>
          <w:rFonts w:ascii="Times New Roman"/>
          <w:spacing w:val="-6"/>
          <w:w w:val="120"/>
          <w:sz w:val="24"/>
        </w:rPr>
        <w:t> </w:t>
      </w:r>
      <w:r>
        <w:rPr>
          <w:rFonts w:ascii="Times New Roman"/>
          <w:w w:val="120"/>
          <w:sz w:val="24"/>
        </w:rPr>
        <w:t>to </w:t>
      </w:r>
      <w:r>
        <w:rPr>
          <w:rFonts w:ascii="Times New Roman"/>
          <w:spacing w:val="-2"/>
          <w:w w:val="120"/>
          <w:sz w:val="24"/>
        </w:rPr>
        <w:t>menstruation</w:t>
      </w:r>
    </w:p>
    <w:p>
      <w:pPr>
        <w:spacing w:after="0" w:line="266" w:lineRule="auto"/>
        <w:jc w:val="center"/>
        <w:rPr>
          <w:rFonts w:ascii="Times New Roman"/>
          <w:sz w:val="24"/>
        </w:rPr>
        <w:sectPr>
          <w:type w:val="continuous"/>
          <w:pgSz w:w="12240" w:h="15840"/>
          <w:pgMar w:header="0" w:footer="0" w:top="1420" w:bottom="280" w:left="1120" w:right="1200"/>
          <w:cols w:num="2" w:equalWidth="0">
            <w:col w:w="5234" w:space="864"/>
            <w:col w:w="3822"/>
          </w:cols>
        </w:sectPr>
      </w:pPr>
    </w:p>
    <w:p>
      <w:pPr>
        <w:pStyle w:val="BodyText"/>
        <w:spacing w:before="9"/>
        <w:rPr>
          <w:rFonts w:ascii="Times New Roman"/>
          <w:sz w:val="11"/>
        </w:rPr>
      </w:pPr>
    </w:p>
    <w:p>
      <w:pPr>
        <w:spacing w:after="0"/>
        <w:rPr>
          <w:rFonts w:ascii="Times New Roman"/>
          <w:sz w:val="11"/>
        </w:rPr>
        <w:sectPr>
          <w:type w:val="continuous"/>
          <w:pgSz w:w="12240" w:h="15840"/>
          <w:pgMar w:header="0" w:footer="0" w:top="1420" w:bottom="280" w:left="1120" w:right="1200"/>
        </w:sectPr>
      </w:pPr>
    </w:p>
    <w:p>
      <w:pPr>
        <w:spacing w:line="273" w:lineRule="auto" w:before="99"/>
        <w:ind w:left="1039" w:right="0" w:firstLine="0"/>
        <w:jc w:val="left"/>
        <w:rPr>
          <w:rFonts w:ascii="Times New Roman"/>
          <w:sz w:val="19"/>
        </w:rPr>
      </w:pPr>
      <w:r>
        <w:rPr>
          <w:rFonts w:ascii="Times New Roman"/>
          <w:w w:val="115"/>
          <w:sz w:val="19"/>
        </w:rPr>
        <w:t>Improve SOGI data collection efforts across state</w:t>
      </w:r>
      <w:r>
        <w:rPr>
          <w:rFonts w:ascii="Times New Roman"/>
          <w:spacing w:val="-5"/>
          <w:w w:val="115"/>
          <w:sz w:val="19"/>
        </w:rPr>
        <w:t> </w:t>
      </w:r>
      <w:r>
        <w:rPr>
          <w:rFonts w:ascii="Times New Roman"/>
          <w:w w:val="115"/>
          <w:sz w:val="19"/>
        </w:rPr>
        <w:t>services</w:t>
      </w:r>
      <w:r>
        <w:rPr>
          <w:rFonts w:ascii="Times New Roman"/>
          <w:spacing w:val="-5"/>
          <w:w w:val="115"/>
          <w:sz w:val="19"/>
        </w:rPr>
        <w:t> </w:t>
      </w:r>
      <w:r>
        <w:rPr>
          <w:rFonts w:ascii="Times New Roman"/>
          <w:w w:val="115"/>
          <w:sz w:val="19"/>
        </w:rPr>
        <w:t>as</w:t>
      </w:r>
      <w:r>
        <w:rPr>
          <w:rFonts w:ascii="Times New Roman"/>
          <w:spacing w:val="-5"/>
          <w:w w:val="115"/>
          <w:sz w:val="19"/>
        </w:rPr>
        <w:t> </w:t>
      </w:r>
      <w:r>
        <w:rPr>
          <w:rFonts w:ascii="Times New Roman"/>
          <w:w w:val="115"/>
          <w:sz w:val="19"/>
        </w:rPr>
        <w:t>it</w:t>
      </w:r>
      <w:r>
        <w:rPr>
          <w:rFonts w:ascii="Times New Roman"/>
          <w:spacing w:val="-5"/>
          <w:w w:val="115"/>
          <w:sz w:val="19"/>
        </w:rPr>
        <w:t> </w:t>
      </w:r>
      <w:r>
        <w:rPr>
          <w:rFonts w:ascii="Times New Roman"/>
          <w:w w:val="115"/>
          <w:sz w:val="19"/>
        </w:rPr>
        <w:t>relates</w:t>
      </w:r>
      <w:r>
        <w:rPr>
          <w:rFonts w:ascii="Times New Roman"/>
          <w:spacing w:val="-5"/>
          <w:w w:val="115"/>
          <w:sz w:val="19"/>
        </w:rPr>
        <w:t> </w:t>
      </w:r>
      <w:r>
        <w:rPr>
          <w:rFonts w:ascii="Times New Roman"/>
          <w:w w:val="115"/>
          <w:sz w:val="19"/>
        </w:rPr>
        <w:t>to</w:t>
      </w:r>
      <w:r>
        <w:rPr>
          <w:rFonts w:ascii="Times New Roman"/>
          <w:spacing w:val="-5"/>
          <w:w w:val="115"/>
          <w:sz w:val="19"/>
        </w:rPr>
        <w:t> </w:t>
      </w:r>
      <w:r>
        <w:rPr>
          <w:rFonts w:ascii="Times New Roman"/>
          <w:w w:val="115"/>
          <w:sz w:val="19"/>
        </w:rPr>
        <w:t>pregnancy</w:t>
      </w:r>
      <w:r>
        <w:rPr>
          <w:rFonts w:ascii="Times New Roman"/>
          <w:spacing w:val="-5"/>
          <w:w w:val="115"/>
          <w:sz w:val="19"/>
        </w:rPr>
        <w:t> </w:t>
      </w:r>
      <w:r>
        <w:rPr>
          <w:rFonts w:ascii="Times New Roman"/>
          <w:w w:val="115"/>
          <w:sz w:val="19"/>
        </w:rPr>
        <w:t>service needs and mortality rates.</w:t>
      </w:r>
    </w:p>
    <w:p>
      <w:pPr>
        <w:pStyle w:val="BodyText"/>
        <w:spacing w:before="79"/>
        <w:rPr>
          <w:rFonts w:ascii="Times New Roman"/>
          <w:sz w:val="19"/>
        </w:rPr>
      </w:pPr>
    </w:p>
    <w:p>
      <w:pPr>
        <w:spacing w:line="273" w:lineRule="auto" w:before="0"/>
        <w:ind w:left="1039" w:right="0" w:firstLine="0"/>
        <w:jc w:val="left"/>
        <w:rPr>
          <w:rFonts w:ascii="Times New Roman"/>
          <w:sz w:val="19"/>
        </w:rPr>
      </w:pPr>
      <w:r>
        <w:rPr>
          <w:rFonts w:ascii="Times New Roman"/>
          <w:w w:val="115"/>
          <w:sz w:val="19"/>
        </w:rPr>
        <w:t>Create and fund community birthing centers across</w:t>
      </w:r>
      <w:r>
        <w:rPr>
          <w:rFonts w:ascii="Times New Roman"/>
          <w:spacing w:val="-14"/>
          <w:w w:val="115"/>
          <w:sz w:val="19"/>
        </w:rPr>
        <w:t> </w:t>
      </w:r>
      <w:r>
        <w:rPr>
          <w:rFonts w:ascii="Times New Roman"/>
          <w:w w:val="115"/>
          <w:sz w:val="19"/>
        </w:rPr>
        <w:t>the</w:t>
      </w:r>
      <w:r>
        <w:rPr>
          <w:rFonts w:ascii="Times New Roman"/>
          <w:spacing w:val="-14"/>
          <w:w w:val="115"/>
          <w:sz w:val="19"/>
        </w:rPr>
        <w:t> </w:t>
      </w:r>
      <w:r>
        <w:rPr>
          <w:rFonts w:ascii="Times New Roman"/>
          <w:w w:val="115"/>
          <w:sz w:val="19"/>
        </w:rPr>
        <w:t>Commonwealth,</w:t>
      </w:r>
      <w:r>
        <w:rPr>
          <w:rFonts w:ascii="Times New Roman"/>
          <w:spacing w:val="-13"/>
          <w:w w:val="115"/>
          <w:sz w:val="19"/>
        </w:rPr>
        <w:t> </w:t>
      </w:r>
      <w:r>
        <w:rPr>
          <w:rFonts w:ascii="Times New Roman"/>
          <w:w w:val="115"/>
          <w:sz w:val="19"/>
        </w:rPr>
        <w:t>and</w:t>
      </w:r>
      <w:r>
        <w:rPr>
          <w:rFonts w:ascii="Times New Roman"/>
          <w:spacing w:val="-14"/>
          <w:w w:val="115"/>
          <w:sz w:val="19"/>
        </w:rPr>
        <w:t> </w:t>
      </w:r>
      <w:r>
        <w:rPr>
          <w:rFonts w:ascii="Times New Roman"/>
          <w:w w:val="115"/>
          <w:sz w:val="19"/>
        </w:rPr>
        <w:t>increase</w:t>
      </w:r>
      <w:r>
        <w:rPr>
          <w:rFonts w:ascii="Times New Roman"/>
          <w:spacing w:val="-14"/>
          <w:w w:val="115"/>
          <w:sz w:val="19"/>
        </w:rPr>
        <w:t> </w:t>
      </w:r>
      <w:r>
        <w:rPr>
          <w:rFonts w:ascii="Times New Roman"/>
          <w:w w:val="115"/>
          <w:sz w:val="19"/>
        </w:rPr>
        <w:t>access to culturally competent doula services.</w:t>
      </w:r>
    </w:p>
    <w:p>
      <w:pPr>
        <w:pStyle w:val="BodyText"/>
        <w:spacing w:before="76"/>
        <w:rPr>
          <w:rFonts w:ascii="Times New Roman"/>
          <w:sz w:val="19"/>
        </w:rPr>
      </w:pPr>
    </w:p>
    <w:p>
      <w:pPr>
        <w:spacing w:line="273" w:lineRule="auto" w:before="0"/>
        <w:ind w:left="1039" w:right="770" w:firstLine="0"/>
        <w:jc w:val="left"/>
        <w:rPr>
          <w:rFonts w:ascii="Times New Roman"/>
          <w:sz w:val="19"/>
        </w:rPr>
      </w:pPr>
      <w:r>
        <w:rPr>
          <w:rFonts w:ascii="Times New Roman"/>
          <w:w w:val="115"/>
          <w:sz w:val="19"/>
        </w:rPr>
        <w:t>Expand LGBTQ cultural awareness, anti-bias, and racial equity trainings for</w:t>
      </w:r>
      <w:r>
        <w:rPr>
          <w:rFonts w:ascii="Times New Roman"/>
          <w:spacing w:val="-13"/>
          <w:w w:val="115"/>
          <w:sz w:val="19"/>
        </w:rPr>
        <w:t> </w:t>
      </w:r>
      <w:r>
        <w:rPr>
          <w:rFonts w:ascii="Times New Roman"/>
          <w:w w:val="115"/>
          <w:sz w:val="19"/>
        </w:rPr>
        <w:t>public</w:t>
      </w:r>
      <w:r>
        <w:rPr>
          <w:rFonts w:ascii="Times New Roman"/>
          <w:spacing w:val="-13"/>
          <w:w w:val="115"/>
          <w:sz w:val="19"/>
        </w:rPr>
        <w:t> </w:t>
      </w:r>
      <w:r>
        <w:rPr>
          <w:rFonts w:ascii="Times New Roman"/>
          <w:w w:val="115"/>
          <w:sz w:val="19"/>
        </w:rPr>
        <w:t>hospital</w:t>
      </w:r>
      <w:r>
        <w:rPr>
          <w:rFonts w:ascii="Times New Roman"/>
          <w:spacing w:val="-13"/>
          <w:w w:val="115"/>
          <w:sz w:val="19"/>
        </w:rPr>
        <w:t> </w:t>
      </w:r>
      <w:r>
        <w:rPr>
          <w:rFonts w:ascii="Times New Roman"/>
          <w:w w:val="115"/>
          <w:sz w:val="19"/>
        </w:rPr>
        <w:t>providers</w:t>
      </w:r>
      <w:r>
        <w:rPr>
          <w:rFonts w:ascii="Times New Roman"/>
          <w:spacing w:val="-13"/>
          <w:w w:val="115"/>
          <w:sz w:val="19"/>
        </w:rPr>
        <w:t> </w:t>
      </w:r>
      <w:r>
        <w:rPr>
          <w:rFonts w:ascii="Times New Roman"/>
          <w:w w:val="115"/>
          <w:sz w:val="19"/>
        </w:rPr>
        <w:t>and</w:t>
      </w:r>
      <w:r>
        <w:rPr>
          <w:rFonts w:ascii="Times New Roman"/>
          <w:spacing w:val="-13"/>
          <w:w w:val="115"/>
          <w:sz w:val="19"/>
        </w:rPr>
        <w:t> </w:t>
      </w:r>
      <w:r>
        <w:rPr>
          <w:rFonts w:ascii="Times New Roman"/>
          <w:w w:val="115"/>
          <w:sz w:val="19"/>
        </w:rPr>
        <w:t>staff.</w:t>
      </w:r>
    </w:p>
    <w:p>
      <w:pPr>
        <w:spacing w:before="373"/>
        <w:ind w:left="1980" w:right="0" w:firstLine="0"/>
        <w:jc w:val="left"/>
        <w:rPr>
          <w:rFonts w:ascii="Verdana"/>
          <w:b/>
          <w:sz w:val="75"/>
        </w:rPr>
      </w:pPr>
      <w:r>
        <w:rPr/>
        <w:br w:type="column"/>
      </w:r>
      <w:r>
        <w:rPr>
          <w:rFonts w:ascii="Verdana"/>
          <w:b/>
          <w:emboss/>
          <w:color w:val="7B0085"/>
          <w:spacing w:val="19"/>
          <w:w w:val="85"/>
          <w:sz w:val="75"/>
        </w:rPr>
        <w:t>65%</w:t>
      </w:r>
    </w:p>
    <w:p>
      <w:pPr>
        <w:spacing w:line="266" w:lineRule="auto" w:before="59"/>
        <w:ind w:left="681" w:right="0" w:firstLine="0"/>
        <w:jc w:val="center"/>
        <w:rPr>
          <w:rFonts w:ascii="Times New Roman"/>
          <w:sz w:val="24"/>
        </w:rPr>
      </w:pPr>
      <w:r>
        <w:rPr>
          <w:rFonts w:ascii="Times New Roman"/>
          <w:w w:val="115"/>
          <w:sz w:val="24"/>
        </w:rPr>
        <w:t>of</w:t>
      </w:r>
      <w:r>
        <w:rPr>
          <w:rFonts w:ascii="Times New Roman"/>
          <w:spacing w:val="-12"/>
          <w:w w:val="115"/>
          <w:sz w:val="24"/>
        </w:rPr>
        <w:t> </w:t>
      </w:r>
      <w:r>
        <w:rPr>
          <w:rFonts w:ascii="Times New Roman"/>
          <w:w w:val="115"/>
          <w:sz w:val="24"/>
        </w:rPr>
        <w:t>LGBTQ</w:t>
      </w:r>
      <w:r>
        <w:rPr>
          <w:rFonts w:ascii="Times New Roman"/>
          <w:spacing w:val="-12"/>
          <w:w w:val="115"/>
          <w:sz w:val="24"/>
        </w:rPr>
        <w:t> </w:t>
      </w:r>
      <w:r>
        <w:rPr>
          <w:rFonts w:ascii="Times New Roman"/>
          <w:w w:val="115"/>
          <w:sz w:val="24"/>
        </w:rPr>
        <w:t>youth</w:t>
      </w:r>
      <w:r>
        <w:rPr>
          <w:rFonts w:ascii="Times New Roman"/>
          <w:spacing w:val="-12"/>
          <w:w w:val="115"/>
          <w:sz w:val="24"/>
        </w:rPr>
        <w:t> </w:t>
      </w:r>
      <w:r>
        <w:rPr>
          <w:rFonts w:ascii="Times New Roman"/>
          <w:w w:val="115"/>
          <w:sz w:val="24"/>
        </w:rPr>
        <w:t>expressed</w:t>
      </w:r>
      <w:r>
        <w:rPr>
          <w:rFonts w:ascii="Times New Roman"/>
          <w:spacing w:val="-12"/>
          <w:w w:val="115"/>
          <w:sz w:val="24"/>
        </w:rPr>
        <w:t> </w:t>
      </w:r>
      <w:r>
        <w:rPr>
          <w:rFonts w:ascii="Times New Roman"/>
          <w:w w:val="115"/>
          <w:sz w:val="24"/>
        </w:rPr>
        <w:t>that abortion restrictions and bans heighten</w:t>
      </w:r>
      <w:r>
        <w:rPr>
          <w:rFonts w:ascii="Times New Roman"/>
          <w:spacing w:val="-18"/>
          <w:w w:val="115"/>
          <w:sz w:val="24"/>
        </w:rPr>
        <w:t> </w:t>
      </w:r>
      <w:r>
        <w:rPr>
          <w:rFonts w:ascii="Times New Roman"/>
          <w:w w:val="115"/>
          <w:sz w:val="24"/>
        </w:rPr>
        <w:t>their</w:t>
      </w:r>
      <w:r>
        <w:rPr>
          <w:rFonts w:ascii="Times New Roman"/>
          <w:spacing w:val="-17"/>
          <w:w w:val="115"/>
          <w:sz w:val="24"/>
        </w:rPr>
        <w:t> </w:t>
      </w:r>
      <w:r>
        <w:rPr>
          <w:rFonts w:ascii="Times New Roman"/>
          <w:w w:val="115"/>
          <w:sz w:val="24"/>
        </w:rPr>
        <w:t>feelings</w:t>
      </w:r>
      <w:r>
        <w:rPr>
          <w:rFonts w:ascii="Times New Roman"/>
          <w:spacing w:val="-17"/>
          <w:w w:val="115"/>
          <w:sz w:val="24"/>
        </w:rPr>
        <w:t> </w:t>
      </w:r>
      <w:r>
        <w:rPr>
          <w:rFonts w:ascii="Times New Roman"/>
          <w:w w:val="115"/>
          <w:sz w:val="24"/>
        </w:rPr>
        <w:t>of</w:t>
      </w:r>
      <w:r>
        <w:rPr>
          <w:rFonts w:ascii="Times New Roman"/>
          <w:spacing w:val="-17"/>
          <w:w w:val="115"/>
          <w:sz w:val="24"/>
        </w:rPr>
        <w:t> </w:t>
      </w:r>
      <w:r>
        <w:rPr>
          <w:rFonts w:ascii="Times New Roman"/>
          <w:w w:val="115"/>
          <w:sz w:val="24"/>
        </w:rPr>
        <w:t>stress</w:t>
      </w:r>
      <w:r>
        <w:rPr>
          <w:rFonts w:ascii="Times New Roman"/>
          <w:spacing w:val="-18"/>
          <w:w w:val="115"/>
          <w:sz w:val="24"/>
        </w:rPr>
        <w:t> </w:t>
      </w:r>
      <w:r>
        <w:rPr>
          <w:rFonts w:ascii="Times New Roman"/>
          <w:w w:val="115"/>
          <w:sz w:val="24"/>
        </w:rPr>
        <w:t>and </w:t>
      </w:r>
      <w:r>
        <w:rPr>
          <w:rFonts w:ascii="Times New Roman"/>
          <w:spacing w:val="-2"/>
          <w:w w:val="115"/>
          <w:sz w:val="24"/>
        </w:rPr>
        <w:t>anxiety</w:t>
      </w:r>
    </w:p>
    <w:p>
      <w:pPr>
        <w:spacing w:after="0" w:line="266" w:lineRule="auto"/>
        <w:jc w:val="center"/>
        <w:rPr>
          <w:rFonts w:ascii="Times New Roman"/>
          <w:sz w:val="24"/>
        </w:rPr>
        <w:sectPr>
          <w:type w:val="continuous"/>
          <w:pgSz w:w="12240" w:h="15840"/>
          <w:pgMar w:header="0" w:footer="0" w:top="1420" w:bottom="280" w:left="1120" w:right="1200"/>
          <w:cols w:num="2" w:equalWidth="0">
            <w:col w:w="5136" w:space="40"/>
            <w:col w:w="4744"/>
          </w:cols>
        </w:sectPr>
      </w:pPr>
    </w:p>
    <w:p>
      <w:pPr>
        <w:pStyle w:val="BodyText"/>
        <w:rPr>
          <w:rFonts w:ascii="Times New Roman"/>
          <w:sz w:val="34"/>
        </w:rPr>
      </w:pPr>
      <w:r>
        <w:rPr/>
        <mc:AlternateContent>
          <mc:Choice Requires="wps">
            <w:drawing>
              <wp:anchor distT="0" distB="0" distL="0" distR="0" allowOverlap="1" layoutInCell="1" locked="0" behindDoc="1" simplePos="0" relativeHeight="482604032">
                <wp:simplePos x="0" y="0"/>
                <wp:positionH relativeFrom="page">
                  <wp:posOffset>0</wp:posOffset>
                </wp:positionH>
                <wp:positionV relativeFrom="page">
                  <wp:posOffset>0</wp:posOffset>
                </wp:positionV>
                <wp:extent cx="7772400" cy="10058400"/>
                <wp:effectExtent l="0" t="0" r="0" b="0"/>
                <wp:wrapNone/>
                <wp:docPr id="299" name="Group 299"/>
                <wp:cNvGraphicFramePr>
                  <a:graphicFrameLocks/>
                </wp:cNvGraphicFramePr>
                <a:graphic>
                  <a:graphicData uri="http://schemas.microsoft.com/office/word/2010/wordprocessingGroup">
                    <wpg:wgp>
                      <wpg:cNvPr id="299" name="Group 299"/>
                      <wpg:cNvGrpSpPr/>
                      <wpg:grpSpPr>
                        <a:xfrm>
                          <a:off x="0" y="0"/>
                          <a:ext cx="7772400" cy="10058400"/>
                          <a:chExt cx="7772400" cy="10058400"/>
                        </a:xfrm>
                      </wpg:grpSpPr>
                      <pic:pic>
                        <pic:nvPicPr>
                          <pic:cNvPr id="300" name="Image 300"/>
                          <pic:cNvPicPr/>
                        </pic:nvPicPr>
                        <pic:blipFill>
                          <a:blip r:embed="rId384" cstate="print"/>
                          <a:stretch>
                            <a:fillRect/>
                          </a:stretch>
                        </pic:blipFill>
                        <pic:spPr>
                          <a:xfrm>
                            <a:off x="0" y="0"/>
                            <a:ext cx="7772400" cy="3022921"/>
                          </a:xfrm>
                          <a:prstGeom prst="rect">
                            <a:avLst/>
                          </a:prstGeom>
                        </pic:spPr>
                      </pic:pic>
                      <pic:pic>
                        <pic:nvPicPr>
                          <pic:cNvPr id="301" name="Image 301"/>
                          <pic:cNvPicPr/>
                        </pic:nvPicPr>
                        <pic:blipFill>
                          <a:blip r:embed="rId98" cstate="print"/>
                          <a:stretch>
                            <a:fillRect/>
                          </a:stretch>
                        </pic:blipFill>
                        <pic:spPr>
                          <a:xfrm>
                            <a:off x="4978373" y="735421"/>
                            <a:ext cx="1480888" cy="1480632"/>
                          </a:xfrm>
                          <a:prstGeom prst="rect">
                            <a:avLst/>
                          </a:prstGeom>
                        </pic:spPr>
                      </pic:pic>
                      <wps:wsp>
                        <wps:cNvPr id="302" name="Graphic 302"/>
                        <wps:cNvSpPr/>
                        <wps:spPr>
                          <a:xfrm>
                            <a:off x="4964628" y="721667"/>
                            <a:ext cx="1508125" cy="1508125"/>
                          </a:xfrm>
                          <a:custGeom>
                            <a:avLst/>
                            <a:gdLst/>
                            <a:ahLst/>
                            <a:cxnLst/>
                            <a:rect l="l" t="t" r="r" b="b"/>
                            <a:pathLst>
                              <a:path w="1508125" h="1508125">
                                <a:moveTo>
                                  <a:pt x="754061" y="1508119"/>
                                </a:moveTo>
                                <a:lnTo>
                                  <a:pt x="706443" y="1506633"/>
                                </a:lnTo>
                                <a:lnTo>
                                  <a:pt x="659603" y="1502233"/>
                                </a:lnTo>
                                <a:lnTo>
                                  <a:pt x="613628" y="1495009"/>
                                </a:lnTo>
                                <a:lnTo>
                                  <a:pt x="568609" y="1485050"/>
                                </a:lnTo>
                                <a:lnTo>
                                  <a:pt x="524634" y="1472444"/>
                                </a:lnTo>
                                <a:lnTo>
                                  <a:pt x="481792" y="1457281"/>
                                </a:lnTo>
                                <a:lnTo>
                                  <a:pt x="440173" y="1439650"/>
                                </a:lnTo>
                                <a:lnTo>
                                  <a:pt x="399864" y="1419640"/>
                                </a:lnTo>
                                <a:lnTo>
                                  <a:pt x="360956" y="1397339"/>
                                </a:lnTo>
                                <a:lnTo>
                                  <a:pt x="323537" y="1372837"/>
                                </a:lnTo>
                                <a:lnTo>
                                  <a:pt x="287696" y="1346223"/>
                                </a:lnTo>
                                <a:lnTo>
                                  <a:pt x="253523" y="1317586"/>
                                </a:lnTo>
                                <a:lnTo>
                                  <a:pt x="221106" y="1287014"/>
                                </a:lnTo>
                                <a:lnTo>
                                  <a:pt x="190534" y="1254598"/>
                                </a:lnTo>
                                <a:lnTo>
                                  <a:pt x="161896" y="1220425"/>
                                </a:lnTo>
                                <a:lnTo>
                                  <a:pt x="135282" y="1184585"/>
                                </a:lnTo>
                                <a:lnTo>
                                  <a:pt x="110780" y="1147166"/>
                                </a:lnTo>
                                <a:lnTo>
                                  <a:pt x="88479" y="1108259"/>
                                </a:lnTo>
                                <a:lnTo>
                                  <a:pt x="68468" y="1067951"/>
                                </a:lnTo>
                                <a:lnTo>
                                  <a:pt x="50770" y="1026142"/>
                                </a:lnTo>
                                <a:lnTo>
                                  <a:pt x="35669" y="983473"/>
                                </a:lnTo>
                                <a:lnTo>
                                  <a:pt x="23075" y="939517"/>
                                </a:lnTo>
                                <a:lnTo>
                                  <a:pt x="13118" y="894499"/>
                                </a:lnTo>
                                <a:lnTo>
                                  <a:pt x="5894" y="848526"/>
                                </a:lnTo>
                                <a:lnTo>
                                  <a:pt x="1491" y="801686"/>
                                </a:lnTo>
                                <a:lnTo>
                                  <a:pt x="0" y="754070"/>
                                </a:lnTo>
                                <a:lnTo>
                                  <a:pt x="1494" y="706368"/>
                                </a:lnTo>
                                <a:lnTo>
                                  <a:pt x="5906" y="659480"/>
                                </a:lnTo>
                                <a:lnTo>
                                  <a:pt x="13140" y="613502"/>
                                </a:lnTo>
                                <a:lnTo>
                                  <a:pt x="23094" y="568530"/>
                                </a:lnTo>
                                <a:lnTo>
                                  <a:pt x="35676" y="524643"/>
                                </a:lnTo>
                                <a:lnTo>
                                  <a:pt x="50851" y="481801"/>
                                </a:lnTo>
                                <a:lnTo>
                                  <a:pt x="68470" y="440181"/>
                                </a:lnTo>
                                <a:lnTo>
                                  <a:pt x="88480" y="399872"/>
                                </a:lnTo>
                                <a:lnTo>
                                  <a:pt x="110781" y="360964"/>
                                </a:lnTo>
                                <a:lnTo>
                                  <a:pt x="135284" y="323544"/>
                                </a:lnTo>
                                <a:lnTo>
                                  <a:pt x="161898" y="287703"/>
                                </a:lnTo>
                                <a:lnTo>
                                  <a:pt x="190536" y="253529"/>
                                </a:lnTo>
                                <a:lnTo>
                                  <a:pt x="221108" y="221111"/>
                                </a:lnTo>
                                <a:lnTo>
                                  <a:pt x="253526" y="190539"/>
                                </a:lnTo>
                                <a:lnTo>
                                  <a:pt x="287699" y="161901"/>
                                </a:lnTo>
                                <a:lnTo>
                                  <a:pt x="323540" y="135286"/>
                                </a:lnTo>
                                <a:lnTo>
                                  <a:pt x="360959" y="110783"/>
                                </a:lnTo>
                                <a:lnTo>
                                  <a:pt x="399867" y="88482"/>
                                </a:lnTo>
                                <a:lnTo>
                                  <a:pt x="440175" y="68471"/>
                                </a:lnTo>
                                <a:lnTo>
                                  <a:pt x="481795" y="50839"/>
                                </a:lnTo>
                                <a:lnTo>
                                  <a:pt x="524636" y="35676"/>
                                </a:lnTo>
                                <a:lnTo>
                                  <a:pt x="568611" y="23070"/>
                                </a:lnTo>
                                <a:lnTo>
                                  <a:pt x="613630" y="13110"/>
                                </a:lnTo>
                                <a:lnTo>
                                  <a:pt x="659604" y="5886"/>
                                </a:lnTo>
                                <a:lnTo>
                                  <a:pt x="706444" y="1486"/>
                                </a:lnTo>
                                <a:lnTo>
                                  <a:pt x="754061" y="0"/>
                                </a:lnTo>
                                <a:lnTo>
                                  <a:pt x="801678" y="1486"/>
                                </a:lnTo>
                                <a:lnTo>
                                  <a:pt x="848519" y="5886"/>
                                </a:lnTo>
                                <a:lnTo>
                                  <a:pt x="894494" y="13110"/>
                                </a:lnTo>
                                <a:lnTo>
                                  <a:pt x="939513" y="23070"/>
                                </a:lnTo>
                                <a:lnTo>
                                  <a:pt x="954942" y="27493"/>
                                </a:lnTo>
                                <a:lnTo>
                                  <a:pt x="754061" y="27493"/>
                                </a:lnTo>
                                <a:lnTo>
                                  <a:pt x="706360" y="29041"/>
                                </a:lnTo>
                                <a:lnTo>
                                  <a:pt x="659472" y="33622"/>
                                </a:lnTo>
                                <a:lnTo>
                                  <a:pt x="613495" y="41139"/>
                                </a:lnTo>
                                <a:lnTo>
                                  <a:pt x="568524" y="51496"/>
                                </a:lnTo>
                                <a:lnTo>
                                  <a:pt x="524656" y="64596"/>
                                </a:lnTo>
                                <a:lnTo>
                                  <a:pt x="481987" y="80342"/>
                                </a:lnTo>
                                <a:lnTo>
                                  <a:pt x="440615" y="98639"/>
                                </a:lnTo>
                                <a:lnTo>
                                  <a:pt x="400634" y="119389"/>
                                </a:lnTo>
                                <a:lnTo>
                                  <a:pt x="362143" y="142496"/>
                                </a:lnTo>
                                <a:lnTo>
                                  <a:pt x="325237" y="167865"/>
                                </a:lnTo>
                                <a:lnTo>
                                  <a:pt x="290013" y="195397"/>
                                </a:lnTo>
                                <a:lnTo>
                                  <a:pt x="256567" y="224997"/>
                                </a:lnTo>
                                <a:lnTo>
                                  <a:pt x="224996" y="256569"/>
                                </a:lnTo>
                                <a:lnTo>
                                  <a:pt x="195396" y="290015"/>
                                </a:lnTo>
                                <a:lnTo>
                                  <a:pt x="167863" y="325240"/>
                                </a:lnTo>
                                <a:lnTo>
                                  <a:pt x="142496" y="362147"/>
                                </a:lnTo>
                                <a:lnTo>
                                  <a:pt x="119388" y="400639"/>
                                </a:lnTo>
                                <a:lnTo>
                                  <a:pt x="98638" y="440619"/>
                                </a:lnTo>
                                <a:lnTo>
                                  <a:pt x="80342" y="481993"/>
                                </a:lnTo>
                                <a:lnTo>
                                  <a:pt x="64597" y="524662"/>
                                </a:lnTo>
                                <a:lnTo>
                                  <a:pt x="51475" y="568619"/>
                                </a:lnTo>
                                <a:lnTo>
                                  <a:pt x="41117" y="613638"/>
                                </a:lnTo>
                                <a:lnTo>
                                  <a:pt x="33609" y="659613"/>
                                </a:lnTo>
                                <a:lnTo>
                                  <a:pt x="29039" y="706453"/>
                                </a:lnTo>
                                <a:lnTo>
                                  <a:pt x="27493" y="754070"/>
                                </a:lnTo>
                                <a:lnTo>
                                  <a:pt x="29047" y="801771"/>
                                </a:lnTo>
                                <a:lnTo>
                                  <a:pt x="33631" y="848659"/>
                                </a:lnTo>
                                <a:lnTo>
                                  <a:pt x="41148" y="894637"/>
                                </a:lnTo>
                                <a:lnTo>
                                  <a:pt x="51502" y="939608"/>
                                </a:lnTo>
                                <a:lnTo>
                                  <a:pt x="64602" y="983492"/>
                                </a:lnTo>
                                <a:lnTo>
                                  <a:pt x="80341" y="1026142"/>
                                </a:lnTo>
                                <a:lnTo>
                                  <a:pt x="98638" y="1067517"/>
                                </a:lnTo>
                                <a:lnTo>
                                  <a:pt x="119388" y="1107497"/>
                                </a:lnTo>
                                <a:lnTo>
                                  <a:pt x="142496" y="1145988"/>
                                </a:lnTo>
                                <a:lnTo>
                                  <a:pt x="167864" y="1182894"/>
                                </a:lnTo>
                                <a:lnTo>
                                  <a:pt x="195396" y="1218118"/>
                                </a:lnTo>
                                <a:lnTo>
                                  <a:pt x="224996" y="1251564"/>
                                </a:lnTo>
                                <a:lnTo>
                                  <a:pt x="256567" y="1283135"/>
                                </a:lnTo>
                                <a:lnTo>
                                  <a:pt x="290013" y="1312734"/>
                                </a:lnTo>
                                <a:lnTo>
                                  <a:pt x="325237" y="1340266"/>
                                </a:lnTo>
                                <a:lnTo>
                                  <a:pt x="362143" y="1365634"/>
                                </a:lnTo>
                                <a:lnTo>
                                  <a:pt x="400635" y="1388741"/>
                                </a:lnTo>
                                <a:lnTo>
                                  <a:pt x="440615" y="1409491"/>
                                </a:lnTo>
                                <a:lnTo>
                                  <a:pt x="481988" y="1427787"/>
                                </a:lnTo>
                                <a:lnTo>
                                  <a:pt x="524656" y="1443533"/>
                                </a:lnTo>
                                <a:lnTo>
                                  <a:pt x="568524" y="1456632"/>
                                </a:lnTo>
                                <a:lnTo>
                                  <a:pt x="613495" y="1466989"/>
                                </a:lnTo>
                                <a:lnTo>
                                  <a:pt x="659473" y="1474506"/>
                                </a:lnTo>
                                <a:lnTo>
                                  <a:pt x="706361" y="1479087"/>
                                </a:lnTo>
                                <a:lnTo>
                                  <a:pt x="754061" y="1480635"/>
                                </a:lnTo>
                                <a:lnTo>
                                  <a:pt x="954914" y="1480635"/>
                                </a:lnTo>
                                <a:lnTo>
                                  <a:pt x="939512" y="1485050"/>
                                </a:lnTo>
                                <a:lnTo>
                                  <a:pt x="894493" y="1495009"/>
                                </a:lnTo>
                                <a:lnTo>
                                  <a:pt x="848519" y="1502233"/>
                                </a:lnTo>
                                <a:lnTo>
                                  <a:pt x="801678" y="1506633"/>
                                </a:lnTo>
                                <a:lnTo>
                                  <a:pt x="754061" y="1508119"/>
                                </a:lnTo>
                                <a:close/>
                              </a:path>
                              <a:path w="1508125" h="1508125">
                                <a:moveTo>
                                  <a:pt x="954914" y="1480635"/>
                                </a:moveTo>
                                <a:lnTo>
                                  <a:pt x="754061" y="1480635"/>
                                </a:lnTo>
                                <a:lnTo>
                                  <a:pt x="801761" y="1479087"/>
                                </a:lnTo>
                                <a:lnTo>
                                  <a:pt x="848648" y="1474506"/>
                                </a:lnTo>
                                <a:lnTo>
                                  <a:pt x="894626" y="1466989"/>
                                </a:lnTo>
                                <a:lnTo>
                                  <a:pt x="939597" y="1456632"/>
                                </a:lnTo>
                                <a:lnTo>
                                  <a:pt x="983465" y="1443532"/>
                                </a:lnTo>
                                <a:lnTo>
                                  <a:pt x="1026134" y="1427786"/>
                                </a:lnTo>
                                <a:lnTo>
                                  <a:pt x="1067507" y="1409490"/>
                                </a:lnTo>
                                <a:lnTo>
                                  <a:pt x="1107487" y="1388740"/>
                                </a:lnTo>
                                <a:lnTo>
                                  <a:pt x="1145979" y="1365633"/>
                                </a:lnTo>
                                <a:lnTo>
                                  <a:pt x="1182885" y="1340265"/>
                                </a:lnTo>
                                <a:lnTo>
                                  <a:pt x="1218110" y="1312732"/>
                                </a:lnTo>
                                <a:lnTo>
                                  <a:pt x="1251556" y="1283133"/>
                                </a:lnTo>
                                <a:lnTo>
                                  <a:pt x="1283128" y="1251562"/>
                                </a:lnTo>
                                <a:lnTo>
                                  <a:pt x="1312728" y="1218116"/>
                                </a:lnTo>
                                <a:lnTo>
                                  <a:pt x="1340261" y="1182892"/>
                                </a:lnTo>
                                <a:lnTo>
                                  <a:pt x="1365629" y="1145986"/>
                                </a:lnTo>
                                <a:lnTo>
                                  <a:pt x="1388737" y="1107494"/>
                                </a:lnTo>
                                <a:lnTo>
                                  <a:pt x="1409488" y="1067514"/>
                                </a:lnTo>
                                <a:lnTo>
                                  <a:pt x="1427785" y="1026142"/>
                                </a:lnTo>
                                <a:lnTo>
                                  <a:pt x="1443530" y="983473"/>
                                </a:lnTo>
                                <a:lnTo>
                                  <a:pt x="1456652" y="939517"/>
                                </a:lnTo>
                                <a:lnTo>
                                  <a:pt x="1467010" y="894499"/>
                                </a:lnTo>
                                <a:lnTo>
                                  <a:pt x="1474518" y="848526"/>
                                </a:lnTo>
                                <a:lnTo>
                                  <a:pt x="1479089" y="801686"/>
                                </a:lnTo>
                                <a:lnTo>
                                  <a:pt x="1480635" y="754070"/>
                                </a:lnTo>
                                <a:lnTo>
                                  <a:pt x="1479081" y="706368"/>
                                </a:lnTo>
                                <a:lnTo>
                                  <a:pt x="1474497" y="659480"/>
                                </a:lnTo>
                                <a:lnTo>
                                  <a:pt x="1466979" y="613502"/>
                                </a:lnTo>
                                <a:lnTo>
                                  <a:pt x="1456625" y="568530"/>
                                </a:lnTo>
                                <a:lnTo>
                                  <a:pt x="1443524" y="524643"/>
                                </a:lnTo>
                                <a:lnTo>
                                  <a:pt x="1427785" y="481993"/>
                                </a:lnTo>
                                <a:lnTo>
                                  <a:pt x="1409488" y="440619"/>
                                </a:lnTo>
                                <a:lnTo>
                                  <a:pt x="1388737" y="400639"/>
                                </a:lnTo>
                                <a:lnTo>
                                  <a:pt x="1365630" y="362147"/>
                                </a:lnTo>
                                <a:lnTo>
                                  <a:pt x="1340261" y="325240"/>
                                </a:lnTo>
                                <a:lnTo>
                                  <a:pt x="1312729" y="290015"/>
                                </a:lnTo>
                                <a:lnTo>
                                  <a:pt x="1283128" y="256569"/>
                                </a:lnTo>
                                <a:lnTo>
                                  <a:pt x="1251557" y="224997"/>
                                </a:lnTo>
                                <a:lnTo>
                                  <a:pt x="1218110" y="195397"/>
                                </a:lnTo>
                                <a:lnTo>
                                  <a:pt x="1182886" y="167865"/>
                                </a:lnTo>
                                <a:lnTo>
                                  <a:pt x="1145979" y="142496"/>
                                </a:lnTo>
                                <a:lnTo>
                                  <a:pt x="1107487" y="119389"/>
                                </a:lnTo>
                                <a:lnTo>
                                  <a:pt x="1067507" y="98639"/>
                                </a:lnTo>
                                <a:lnTo>
                                  <a:pt x="1026134" y="80342"/>
                                </a:lnTo>
                                <a:lnTo>
                                  <a:pt x="983465" y="64596"/>
                                </a:lnTo>
                                <a:lnTo>
                                  <a:pt x="939597" y="51496"/>
                                </a:lnTo>
                                <a:lnTo>
                                  <a:pt x="894626" y="41139"/>
                                </a:lnTo>
                                <a:lnTo>
                                  <a:pt x="848649" y="33622"/>
                                </a:lnTo>
                                <a:lnTo>
                                  <a:pt x="801762" y="29041"/>
                                </a:lnTo>
                                <a:lnTo>
                                  <a:pt x="754061" y="27493"/>
                                </a:lnTo>
                                <a:lnTo>
                                  <a:pt x="954942" y="27493"/>
                                </a:lnTo>
                                <a:lnTo>
                                  <a:pt x="1026330" y="50839"/>
                                </a:lnTo>
                                <a:lnTo>
                                  <a:pt x="1067949" y="68471"/>
                                </a:lnTo>
                                <a:lnTo>
                                  <a:pt x="1108258" y="88482"/>
                                </a:lnTo>
                                <a:lnTo>
                                  <a:pt x="1147166" y="110784"/>
                                </a:lnTo>
                                <a:lnTo>
                                  <a:pt x="1184585" y="135287"/>
                                </a:lnTo>
                                <a:lnTo>
                                  <a:pt x="1220425" y="161902"/>
                                </a:lnTo>
                                <a:lnTo>
                                  <a:pt x="1254599" y="190540"/>
                                </a:lnTo>
                                <a:lnTo>
                                  <a:pt x="1287016" y="221113"/>
                                </a:lnTo>
                                <a:lnTo>
                                  <a:pt x="1317588" y="253530"/>
                                </a:lnTo>
                                <a:lnTo>
                                  <a:pt x="1346225" y="287704"/>
                                </a:lnTo>
                                <a:lnTo>
                                  <a:pt x="1372840" y="323546"/>
                                </a:lnTo>
                                <a:lnTo>
                                  <a:pt x="1397342" y="360965"/>
                                </a:lnTo>
                                <a:lnTo>
                                  <a:pt x="1419643" y="399874"/>
                                </a:lnTo>
                                <a:lnTo>
                                  <a:pt x="1439653" y="440182"/>
                                </a:lnTo>
                                <a:lnTo>
                                  <a:pt x="1457352" y="481993"/>
                                </a:lnTo>
                                <a:lnTo>
                                  <a:pt x="1472452" y="524662"/>
                                </a:lnTo>
                                <a:lnTo>
                                  <a:pt x="1485047" y="568619"/>
                                </a:lnTo>
                                <a:lnTo>
                                  <a:pt x="1495003" y="613638"/>
                                </a:lnTo>
                                <a:lnTo>
                                  <a:pt x="1502228" y="659613"/>
                                </a:lnTo>
                                <a:lnTo>
                                  <a:pt x="1506630" y="706453"/>
                                </a:lnTo>
                                <a:lnTo>
                                  <a:pt x="1508122" y="754070"/>
                                </a:lnTo>
                                <a:lnTo>
                                  <a:pt x="1506628" y="801771"/>
                                </a:lnTo>
                                <a:lnTo>
                                  <a:pt x="1502215" y="848659"/>
                                </a:lnTo>
                                <a:lnTo>
                                  <a:pt x="1494982" y="894637"/>
                                </a:lnTo>
                                <a:lnTo>
                                  <a:pt x="1485027" y="939608"/>
                                </a:lnTo>
                                <a:lnTo>
                                  <a:pt x="1472446" y="983492"/>
                                </a:lnTo>
                                <a:lnTo>
                                  <a:pt x="1457271" y="1026333"/>
                                </a:lnTo>
                                <a:lnTo>
                                  <a:pt x="1439652" y="1067952"/>
                                </a:lnTo>
                                <a:lnTo>
                                  <a:pt x="1419642" y="1108260"/>
                                </a:lnTo>
                                <a:lnTo>
                                  <a:pt x="1397341" y="1147168"/>
                                </a:lnTo>
                                <a:lnTo>
                                  <a:pt x="1372839" y="1184586"/>
                                </a:lnTo>
                                <a:lnTo>
                                  <a:pt x="1346224" y="1220426"/>
                                </a:lnTo>
                                <a:lnTo>
                                  <a:pt x="1317587" y="1254599"/>
                                </a:lnTo>
                                <a:lnTo>
                                  <a:pt x="1287015" y="1287016"/>
                                </a:lnTo>
                                <a:lnTo>
                                  <a:pt x="1254598" y="1317587"/>
                                </a:lnTo>
                                <a:lnTo>
                                  <a:pt x="1220424" y="1346224"/>
                                </a:lnTo>
                                <a:lnTo>
                                  <a:pt x="1184584" y="1372838"/>
                                </a:lnTo>
                                <a:lnTo>
                                  <a:pt x="1147165" y="1397340"/>
                                </a:lnTo>
                                <a:lnTo>
                                  <a:pt x="1108257" y="1419641"/>
                                </a:lnTo>
                                <a:lnTo>
                                  <a:pt x="1067948" y="1439651"/>
                                </a:lnTo>
                                <a:lnTo>
                                  <a:pt x="1026329" y="1457282"/>
                                </a:lnTo>
                                <a:lnTo>
                                  <a:pt x="983487" y="1472445"/>
                                </a:lnTo>
                                <a:lnTo>
                                  <a:pt x="954914" y="1480635"/>
                                </a:lnTo>
                                <a:close/>
                              </a:path>
                            </a:pathLst>
                          </a:custGeom>
                          <a:solidFill>
                            <a:srgbClr val="FFFFFF"/>
                          </a:solidFill>
                        </wps:spPr>
                        <wps:bodyPr wrap="square" lIns="0" tIns="0" rIns="0" bIns="0" rtlCol="0">
                          <a:prstTxWarp prst="textNoShape">
                            <a:avLst/>
                          </a:prstTxWarp>
                          <a:noAutofit/>
                        </wps:bodyPr>
                      </wps:wsp>
                      <wps:wsp>
                        <wps:cNvPr id="303" name="Graphic 303"/>
                        <wps:cNvSpPr/>
                        <wps:spPr>
                          <a:xfrm>
                            <a:off x="661415" y="8198448"/>
                            <a:ext cx="3474085" cy="1172210"/>
                          </a:xfrm>
                          <a:custGeom>
                            <a:avLst/>
                            <a:gdLst/>
                            <a:ahLst/>
                            <a:cxnLst/>
                            <a:rect l="l" t="t" r="r" b="b"/>
                            <a:pathLst>
                              <a:path w="3474085" h="1172210">
                                <a:moveTo>
                                  <a:pt x="3113779" y="1171707"/>
                                </a:moveTo>
                                <a:lnTo>
                                  <a:pt x="361949" y="1171707"/>
                                </a:lnTo>
                                <a:lnTo>
                                  <a:pt x="312835" y="1168403"/>
                                </a:lnTo>
                                <a:lnTo>
                                  <a:pt x="265729" y="1158778"/>
                                </a:lnTo>
                                <a:lnTo>
                                  <a:pt x="221062" y="1143264"/>
                                </a:lnTo>
                                <a:lnTo>
                                  <a:pt x="179266" y="1122291"/>
                                </a:lnTo>
                                <a:lnTo>
                                  <a:pt x="140773" y="1096291"/>
                                </a:lnTo>
                                <a:lnTo>
                                  <a:pt x="106012" y="1065695"/>
                                </a:lnTo>
                                <a:lnTo>
                                  <a:pt x="75416" y="1030934"/>
                                </a:lnTo>
                                <a:lnTo>
                                  <a:pt x="49416" y="992441"/>
                                </a:lnTo>
                                <a:lnTo>
                                  <a:pt x="28443" y="950645"/>
                                </a:lnTo>
                                <a:lnTo>
                                  <a:pt x="12929" y="905978"/>
                                </a:lnTo>
                                <a:lnTo>
                                  <a:pt x="3304" y="858872"/>
                                </a:lnTo>
                                <a:lnTo>
                                  <a:pt x="0" y="809757"/>
                                </a:lnTo>
                                <a:lnTo>
                                  <a:pt x="0" y="361950"/>
                                </a:lnTo>
                                <a:lnTo>
                                  <a:pt x="3304" y="312835"/>
                                </a:lnTo>
                                <a:lnTo>
                                  <a:pt x="12929" y="265729"/>
                                </a:lnTo>
                                <a:lnTo>
                                  <a:pt x="28443" y="221062"/>
                                </a:lnTo>
                                <a:lnTo>
                                  <a:pt x="49416" y="179266"/>
                                </a:lnTo>
                                <a:lnTo>
                                  <a:pt x="75416" y="140773"/>
                                </a:lnTo>
                                <a:lnTo>
                                  <a:pt x="106012" y="106012"/>
                                </a:lnTo>
                                <a:lnTo>
                                  <a:pt x="140773" y="75416"/>
                                </a:lnTo>
                                <a:lnTo>
                                  <a:pt x="179266" y="49416"/>
                                </a:lnTo>
                                <a:lnTo>
                                  <a:pt x="221062" y="28443"/>
                                </a:lnTo>
                                <a:lnTo>
                                  <a:pt x="265729" y="12929"/>
                                </a:lnTo>
                                <a:lnTo>
                                  <a:pt x="312835" y="3304"/>
                                </a:lnTo>
                                <a:lnTo>
                                  <a:pt x="361950" y="0"/>
                                </a:lnTo>
                                <a:lnTo>
                                  <a:pt x="3113779" y="0"/>
                                </a:lnTo>
                                <a:lnTo>
                                  <a:pt x="3162893" y="3304"/>
                                </a:lnTo>
                                <a:lnTo>
                                  <a:pt x="3209999" y="12929"/>
                                </a:lnTo>
                                <a:lnTo>
                                  <a:pt x="3254666" y="28443"/>
                                </a:lnTo>
                                <a:lnTo>
                                  <a:pt x="3296461" y="49416"/>
                                </a:lnTo>
                                <a:lnTo>
                                  <a:pt x="3334955" y="75416"/>
                                </a:lnTo>
                                <a:lnTo>
                                  <a:pt x="3369716" y="106012"/>
                                </a:lnTo>
                                <a:lnTo>
                                  <a:pt x="3400311" y="140773"/>
                                </a:lnTo>
                                <a:lnTo>
                                  <a:pt x="3426311" y="179266"/>
                                </a:lnTo>
                                <a:lnTo>
                                  <a:pt x="3447284" y="221062"/>
                                </a:lnTo>
                                <a:lnTo>
                                  <a:pt x="3462799" y="265729"/>
                                </a:lnTo>
                                <a:lnTo>
                                  <a:pt x="3472424" y="312835"/>
                                </a:lnTo>
                                <a:lnTo>
                                  <a:pt x="3473930" y="335226"/>
                                </a:lnTo>
                                <a:lnTo>
                                  <a:pt x="3473930" y="836481"/>
                                </a:lnTo>
                                <a:lnTo>
                                  <a:pt x="3462799" y="905978"/>
                                </a:lnTo>
                                <a:lnTo>
                                  <a:pt x="3447284" y="950645"/>
                                </a:lnTo>
                                <a:lnTo>
                                  <a:pt x="3426311" y="992441"/>
                                </a:lnTo>
                                <a:lnTo>
                                  <a:pt x="3400311" y="1030934"/>
                                </a:lnTo>
                                <a:lnTo>
                                  <a:pt x="3369716" y="1065695"/>
                                </a:lnTo>
                                <a:lnTo>
                                  <a:pt x="3334955" y="1096291"/>
                                </a:lnTo>
                                <a:lnTo>
                                  <a:pt x="3296461" y="1122291"/>
                                </a:lnTo>
                                <a:lnTo>
                                  <a:pt x="3254666" y="1143264"/>
                                </a:lnTo>
                                <a:lnTo>
                                  <a:pt x="3209999" y="1158778"/>
                                </a:lnTo>
                                <a:lnTo>
                                  <a:pt x="3162893" y="1168403"/>
                                </a:lnTo>
                                <a:lnTo>
                                  <a:pt x="3113779" y="1171707"/>
                                </a:lnTo>
                                <a:close/>
                              </a:path>
                            </a:pathLst>
                          </a:custGeom>
                          <a:solidFill>
                            <a:srgbClr val="DEC7EB">
                              <a:alpha val="55999"/>
                            </a:srgbClr>
                          </a:solidFill>
                        </wps:spPr>
                        <wps:bodyPr wrap="square" lIns="0" tIns="0" rIns="0" bIns="0" rtlCol="0">
                          <a:prstTxWarp prst="textNoShape">
                            <a:avLst/>
                          </a:prstTxWarp>
                          <a:noAutofit/>
                        </wps:bodyPr>
                      </wps:wsp>
                      <wps:wsp>
                        <wps:cNvPr id="304" name="Graphic 304"/>
                        <wps:cNvSpPr/>
                        <wps:spPr>
                          <a:xfrm>
                            <a:off x="4356886" y="4376635"/>
                            <a:ext cx="771525" cy="28575"/>
                          </a:xfrm>
                          <a:custGeom>
                            <a:avLst/>
                            <a:gdLst/>
                            <a:ahLst/>
                            <a:cxnLst/>
                            <a:rect l="l" t="t" r="r" b="b"/>
                            <a:pathLst>
                              <a:path w="771525" h="28575">
                                <a:moveTo>
                                  <a:pt x="85725" y="0"/>
                                </a:moveTo>
                                <a:lnTo>
                                  <a:pt x="0" y="0"/>
                                </a:lnTo>
                                <a:lnTo>
                                  <a:pt x="0" y="28575"/>
                                </a:lnTo>
                                <a:lnTo>
                                  <a:pt x="85725" y="28575"/>
                                </a:lnTo>
                                <a:lnTo>
                                  <a:pt x="85725" y="0"/>
                                </a:lnTo>
                                <a:close/>
                              </a:path>
                              <a:path w="771525" h="28575">
                                <a:moveTo>
                                  <a:pt x="200025" y="0"/>
                                </a:moveTo>
                                <a:lnTo>
                                  <a:pt x="114300" y="0"/>
                                </a:lnTo>
                                <a:lnTo>
                                  <a:pt x="114300" y="28575"/>
                                </a:lnTo>
                                <a:lnTo>
                                  <a:pt x="200025" y="28575"/>
                                </a:lnTo>
                                <a:lnTo>
                                  <a:pt x="200025" y="0"/>
                                </a:lnTo>
                                <a:close/>
                              </a:path>
                              <a:path w="771525" h="28575">
                                <a:moveTo>
                                  <a:pt x="314325" y="0"/>
                                </a:moveTo>
                                <a:lnTo>
                                  <a:pt x="228600" y="0"/>
                                </a:lnTo>
                                <a:lnTo>
                                  <a:pt x="228600" y="28575"/>
                                </a:lnTo>
                                <a:lnTo>
                                  <a:pt x="314325" y="28575"/>
                                </a:lnTo>
                                <a:lnTo>
                                  <a:pt x="314325" y="0"/>
                                </a:lnTo>
                                <a:close/>
                              </a:path>
                              <a:path w="771525" h="28575">
                                <a:moveTo>
                                  <a:pt x="428625" y="0"/>
                                </a:moveTo>
                                <a:lnTo>
                                  <a:pt x="342900" y="0"/>
                                </a:lnTo>
                                <a:lnTo>
                                  <a:pt x="342900" y="28575"/>
                                </a:lnTo>
                                <a:lnTo>
                                  <a:pt x="428625" y="28575"/>
                                </a:lnTo>
                                <a:lnTo>
                                  <a:pt x="428625" y="0"/>
                                </a:lnTo>
                                <a:close/>
                              </a:path>
                              <a:path w="771525" h="28575">
                                <a:moveTo>
                                  <a:pt x="542925" y="0"/>
                                </a:moveTo>
                                <a:lnTo>
                                  <a:pt x="457200" y="0"/>
                                </a:lnTo>
                                <a:lnTo>
                                  <a:pt x="457200" y="28575"/>
                                </a:lnTo>
                                <a:lnTo>
                                  <a:pt x="542925" y="28575"/>
                                </a:lnTo>
                                <a:lnTo>
                                  <a:pt x="542925" y="0"/>
                                </a:lnTo>
                                <a:close/>
                              </a:path>
                              <a:path w="771525" h="28575">
                                <a:moveTo>
                                  <a:pt x="657225" y="0"/>
                                </a:moveTo>
                                <a:lnTo>
                                  <a:pt x="571500" y="0"/>
                                </a:lnTo>
                                <a:lnTo>
                                  <a:pt x="571500" y="28575"/>
                                </a:lnTo>
                                <a:lnTo>
                                  <a:pt x="657225" y="28575"/>
                                </a:lnTo>
                                <a:lnTo>
                                  <a:pt x="657225" y="0"/>
                                </a:lnTo>
                                <a:close/>
                              </a:path>
                              <a:path w="771525" h="28575">
                                <a:moveTo>
                                  <a:pt x="771525" y="0"/>
                                </a:moveTo>
                                <a:lnTo>
                                  <a:pt x="685800" y="0"/>
                                </a:lnTo>
                                <a:lnTo>
                                  <a:pt x="685800" y="28575"/>
                                </a:lnTo>
                                <a:lnTo>
                                  <a:pt x="771525" y="28575"/>
                                </a:lnTo>
                                <a:lnTo>
                                  <a:pt x="771525" y="0"/>
                                </a:lnTo>
                                <a:close/>
                              </a:path>
                            </a:pathLst>
                          </a:custGeom>
                          <a:solidFill>
                            <a:srgbClr val="001389"/>
                          </a:solidFill>
                        </wps:spPr>
                        <wps:bodyPr wrap="square" lIns="0" tIns="0" rIns="0" bIns="0" rtlCol="0">
                          <a:prstTxWarp prst="textNoShape">
                            <a:avLst/>
                          </a:prstTxWarp>
                          <a:noAutofit/>
                        </wps:bodyPr>
                      </wps:wsp>
                      <pic:pic>
                        <pic:nvPicPr>
                          <pic:cNvPr id="305" name="Image 305"/>
                          <pic:cNvPicPr/>
                        </pic:nvPicPr>
                        <pic:blipFill>
                          <a:blip r:embed="rId385" cstate="print"/>
                          <a:stretch>
                            <a:fillRect/>
                          </a:stretch>
                        </pic:blipFill>
                        <pic:spPr>
                          <a:xfrm>
                            <a:off x="655210" y="2933569"/>
                            <a:ext cx="3754678" cy="5157442"/>
                          </a:xfrm>
                          <a:prstGeom prst="rect">
                            <a:avLst/>
                          </a:prstGeom>
                        </pic:spPr>
                      </pic:pic>
                      <wps:wsp>
                        <wps:cNvPr id="306" name="Graphic 306"/>
                        <wps:cNvSpPr/>
                        <wps:spPr>
                          <a:xfrm>
                            <a:off x="5156986" y="4376635"/>
                            <a:ext cx="1973580" cy="28575"/>
                          </a:xfrm>
                          <a:custGeom>
                            <a:avLst/>
                            <a:gdLst/>
                            <a:ahLst/>
                            <a:cxnLst/>
                            <a:rect l="l" t="t" r="r" b="b"/>
                            <a:pathLst>
                              <a:path w="1973580" h="28575">
                                <a:moveTo>
                                  <a:pt x="85725" y="0"/>
                                </a:moveTo>
                                <a:lnTo>
                                  <a:pt x="0" y="0"/>
                                </a:lnTo>
                                <a:lnTo>
                                  <a:pt x="0" y="28575"/>
                                </a:lnTo>
                                <a:lnTo>
                                  <a:pt x="85725" y="28575"/>
                                </a:lnTo>
                                <a:lnTo>
                                  <a:pt x="85725" y="0"/>
                                </a:lnTo>
                                <a:close/>
                              </a:path>
                              <a:path w="1973580" h="28575">
                                <a:moveTo>
                                  <a:pt x="200025" y="0"/>
                                </a:moveTo>
                                <a:lnTo>
                                  <a:pt x="114300" y="0"/>
                                </a:lnTo>
                                <a:lnTo>
                                  <a:pt x="114300" y="28575"/>
                                </a:lnTo>
                                <a:lnTo>
                                  <a:pt x="200025" y="28575"/>
                                </a:lnTo>
                                <a:lnTo>
                                  <a:pt x="200025" y="0"/>
                                </a:lnTo>
                                <a:close/>
                              </a:path>
                              <a:path w="1973580" h="28575">
                                <a:moveTo>
                                  <a:pt x="314325" y="0"/>
                                </a:moveTo>
                                <a:lnTo>
                                  <a:pt x="228600" y="0"/>
                                </a:lnTo>
                                <a:lnTo>
                                  <a:pt x="228600" y="28575"/>
                                </a:lnTo>
                                <a:lnTo>
                                  <a:pt x="314325" y="28575"/>
                                </a:lnTo>
                                <a:lnTo>
                                  <a:pt x="314325" y="0"/>
                                </a:lnTo>
                                <a:close/>
                              </a:path>
                              <a:path w="1973580" h="28575">
                                <a:moveTo>
                                  <a:pt x="428625" y="0"/>
                                </a:moveTo>
                                <a:lnTo>
                                  <a:pt x="342900" y="0"/>
                                </a:lnTo>
                                <a:lnTo>
                                  <a:pt x="342900" y="28575"/>
                                </a:lnTo>
                                <a:lnTo>
                                  <a:pt x="428625" y="28575"/>
                                </a:lnTo>
                                <a:lnTo>
                                  <a:pt x="428625" y="0"/>
                                </a:lnTo>
                                <a:close/>
                              </a:path>
                              <a:path w="1973580" h="28575">
                                <a:moveTo>
                                  <a:pt x="542925" y="0"/>
                                </a:moveTo>
                                <a:lnTo>
                                  <a:pt x="457200" y="0"/>
                                </a:lnTo>
                                <a:lnTo>
                                  <a:pt x="457200" y="28575"/>
                                </a:lnTo>
                                <a:lnTo>
                                  <a:pt x="542925" y="28575"/>
                                </a:lnTo>
                                <a:lnTo>
                                  <a:pt x="542925" y="0"/>
                                </a:lnTo>
                                <a:close/>
                              </a:path>
                              <a:path w="1973580" h="28575">
                                <a:moveTo>
                                  <a:pt x="657225" y="0"/>
                                </a:moveTo>
                                <a:lnTo>
                                  <a:pt x="571500" y="0"/>
                                </a:lnTo>
                                <a:lnTo>
                                  <a:pt x="571500" y="28575"/>
                                </a:lnTo>
                                <a:lnTo>
                                  <a:pt x="657225" y="28575"/>
                                </a:lnTo>
                                <a:lnTo>
                                  <a:pt x="657225" y="0"/>
                                </a:lnTo>
                                <a:close/>
                              </a:path>
                              <a:path w="1973580" h="28575">
                                <a:moveTo>
                                  <a:pt x="771525" y="0"/>
                                </a:moveTo>
                                <a:lnTo>
                                  <a:pt x="685800" y="0"/>
                                </a:lnTo>
                                <a:lnTo>
                                  <a:pt x="685800" y="28575"/>
                                </a:lnTo>
                                <a:lnTo>
                                  <a:pt x="771525" y="28575"/>
                                </a:lnTo>
                                <a:lnTo>
                                  <a:pt x="771525" y="0"/>
                                </a:lnTo>
                                <a:close/>
                              </a:path>
                              <a:path w="1973580" h="28575">
                                <a:moveTo>
                                  <a:pt x="885825" y="0"/>
                                </a:moveTo>
                                <a:lnTo>
                                  <a:pt x="800100" y="0"/>
                                </a:lnTo>
                                <a:lnTo>
                                  <a:pt x="800100" y="28575"/>
                                </a:lnTo>
                                <a:lnTo>
                                  <a:pt x="885825" y="28575"/>
                                </a:lnTo>
                                <a:lnTo>
                                  <a:pt x="885825" y="0"/>
                                </a:lnTo>
                                <a:close/>
                              </a:path>
                              <a:path w="1973580" h="28575">
                                <a:moveTo>
                                  <a:pt x="1000125" y="0"/>
                                </a:moveTo>
                                <a:lnTo>
                                  <a:pt x="914400" y="0"/>
                                </a:lnTo>
                                <a:lnTo>
                                  <a:pt x="914400" y="28575"/>
                                </a:lnTo>
                                <a:lnTo>
                                  <a:pt x="1000125" y="28575"/>
                                </a:lnTo>
                                <a:lnTo>
                                  <a:pt x="1000125" y="0"/>
                                </a:lnTo>
                                <a:close/>
                              </a:path>
                              <a:path w="1973580" h="28575">
                                <a:moveTo>
                                  <a:pt x="1114425" y="0"/>
                                </a:moveTo>
                                <a:lnTo>
                                  <a:pt x="1028700" y="0"/>
                                </a:lnTo>
                                <a:lnTo>
                                  <a:pt x="1028700" y="28575"/>
                                </a:lnTo>
                                <a:lnTo>
                                  <a:pt x="1114425" y="28575"/>
                                </a:lnTo>
                                <a:lnTo>
                                  <a:pt x="1114425" y="0"/>
                                </a:lnTo>
                                <a:close/>
                              </a:path>
                              <a:path w="1973580" h="28575">
                                <a:moveTo>
                                  <a:pt x="1228725" y="0"/>
                                </a:moveTo>
                                <a:lnTo>
                                  <a:pt x="1143000" y="0"/>
                                </a:lnTo>
                                <a:lnTo>
                                  <a:pt x="1143000" y="28575"/>
                                </a:lnTo>
                                <a:lnTo>
                                  <a:pt x="1228725" y="28575"/>
                                </a:lnTo>
                                <a:lnTo>
                                  <a:pt x="1228725" y="0"/>
                                </a:lnTo>
                                <a:close/>
                              </a:path>
                              <a:path w="1973580" h="28575">
                                <a:moveTo>
                                  <a:pt x="1343025" y="0"/>
                                </a:moveTo>
                                <a:lnTo>
                                  <a:pt x="1257300" y="0"/>
                                </a:lnTo>
                                <a:lnTo>
                                  <a:pt x="1257300" y="28575"/>
                                </a:lnTo>
                                <a:lnTo>
                                  <a:pt x="1343025" y="28575"/>
                                </a:lnTo>
                                <a:lnTo>
                                  <a:pt x="1343025" y="0"/>
                                </a:lnTo>
                                <a:close/>
                              </a:path>
                              <a:path w="1973580" h="28575">
                                <a:moveTo>
                                  <a:pt x="1457325" y="0"/>
                                </a:moveTo>
                                <a:lnTo>
                                  <a:pt x="1371600" y="0"/>
                                </a:lnTo>
                                <a:lnTo>
                                  <a:pt x="1371600" y="28575"/>
                                </a:lnTo>
                                <a:lnTo>
                                  <a:pt x="1457325" y="28575"/>
                                </a:lnTo>
                                <a:lnTo>
                                  <a:pt x="1457325" y="0"/>
                                </a:lnTo>
                                <a:close/>
                              </a:path>
                              <a:path w="1973580" h="28575">
                                <a:moveTo>
                                  <a:pt x="1571625" y="0"/>
                                </a:moveTo>
                                <a:lnTo>
                                  <a:pt x="1485900" y="0"/>
                                </a:lnTo>
                                <a:lnTo>
                                  <a:pt x="1485900" y="28575"/>
                                </a:lnTo>
                                <a:lnTo>
                                  <a:pt x="1571625" y="28575"/>
                                </a:lnTo>
                                <a:lnTo>
                                  <a:pt x="1571625" y="0"/>
                                </a:lnTo>
                                <a:close/>
                              </a:path>
                              <a:path w="1973580" h="28575">
                                <a:moveTo>
                                  <a:pt x="1685925" y="0"/>
                                </a:moveTo>
                                <a:lnTo>
                                  <a:pt x="1600200" y="0"/>
                                </a:lnTo>
                                <a:lnTo>
                                  <a:pt x="1600200" y="28575"/>
                                </a:lnTo>
                                <a:lnTo>
                                  <a:pt x="1685925" y="28575"/>
                                </a:lnTo>
                                <a:lnTo>
                                  <a:pt x="1685925" y="0"/>
                                </a:lnTo>
                                <a:close/>
                              </a:path>
                              <a:path w="1973580" h="28575">
                                <a:moveTo>
                                  <a:pt x="1800225" y="0"/>
                                </a:moveTo>
                                <a:lnTo>
                                  <a:pt x="1714500" y="0"/>
                                </a:lnTo>
                                <a:lnTo>
                                  <a:pt x="1714500" y="28575"/>
                                </a:lnTo>
                                <a:lnTo>
                                  <a:pt x="1800225" y="28575"/>
                                </a:lnTo>
                                <a:lnTo>
                                  <a:pt x="1800225" y="0"/>
                                </a:lnTo>
                                <a:close/>
                              </a:path>
                              <a:path w="1973580" h="28575">
                                <a:moveTo>
                                  <a:pt x="1914525" y="0"/>
                                </a:moveTo>
                                <a:lnTo>
                                  <a:pt x="1828800" y="0"/>
                                </a:lnTo>
                                <a:lnTo>
                                  <a:pt x="1828800" y="28575"/>
                                </a:lnTo>
                                <a:lnTo>
                                  <a:pt x="1914525" y="28575"/>
                                </a:lnTo>
                                <a:lnTo>
                                  <a:pt x="1914525" y="0"/>
                                </a:lnTo>
                                <a:close/>
                              </a:path>
                              <a:path w="1973580" h="28575">
                                <a:moveTo>
                                  <a:pt x="1973491" y="0"/>
                                </a:moveTo>
                                <a:lnTo>
                                  <a:pt x="1943100" y="0"/>
                                </a:lnTo>
                                <a:lnTo>
                                  <a:pt x="1943100" y="28575"/>
                                </a:lnTo>
                                <a:lnTo>
                                  <a:pt x="1973491" y="28575"/>
                                </a:lnTo>
                                <a:lnTo>
                                  <a:pt x="1973491" y="0"/>
                                </a:lnTo>
                                <a:close/>
                              </a:path>
                            </a:pathLst>
                          </a:custGeom>
                          <a:solidFill>
                            <a:srgbClr val="001389"/>
                          </a:solidFill>
                        </wps:spPr>
                        <wps:bodyPr wrap="square" lIns="0" tIns="0" rIns="0" bIns="0" rtlCol="0">
                          <a:prstTxWarp prst="textNoShape">
                            <a:avLst/>
                          </a:prstTxWarp>
                          <a:noAutofit/>
                        </wps:bodyPr>
                      </wps:wsp>
                      <wps:wsp>
                        <wps:cNvPr id="307" name="Graphic 307"/>
                        <wps:cNvSpPr/>
                        <wps:spPr>
                          <a:xfrm>
                            <a:off x="4356887" y="5906223"/>
                            <a:ext cx="2773680" cy="1270"/>
                          </a:xfrm>
                          <a:custGeom>
                            <a:avLst/>
                            <a:gdLst/>
                            <a:ahLst/>
                            <a:cxnLst/>
                            <a:rect l="l" t="t" r="r" b="b"/>
                            <a:pathLst>
                              <a:path w="2773680" h="0">
                                <a:moveTo>
                                  <a:pt x="0" y="0"/>
                                </a:moveTo>
                                <a:lnTo>
                                  <a:pt x="2773600" y="0"/>
                                </a:lnTo>
                              </a:path>
                            </a:pathLst>
                          </a:custGeom>
                          <a:ln w="28574">
                            <a:solidFill>
                              <a:srgbClr val="001389"/>
                            </a:solidFill>
                            <a:prstDash val="sysDash"/>
                          </a:ln>
                        </wps:spPr>
                        <wps:bodyPr wrap="square" lIns="0" tIns="0" rIns="0" bIns="0" rtlCol="0">
                          <a:prstTxWarp prst="textNoShape">
                            <a:avLst/>
                          </a:prstTxWarp>
                          <a:noAutofit/>
                        </wps:bodyPr>
                      </wps:wsp>
                      <pic:pic>
                        <pic:nvPicPr>
                          <pic:cNvPr id="308" name="Image 308"/>
                          <pic:cNvPicPr/>
                        </pic:nvPicPr>
                        <pic:blipFill>
                          <a:blip r:embed="rId386" cstate="print"/>
                          <a:stretch>
                            <a:fillRect/>
                          </a:stretch>
                        </pic:blipFill>
                        <pic:spPr>
                          <a:xfrm>
                            <a:off x="3574814" y="7204746"/>
                            <a:ext cx="1066799" cy="1133474"/>
                          </a:xfrm>
                          <a:prstGeom prst="rect">
                            <a:avLst/>
                          </a:prstGeom>
                        </pic:spPr>
                      </pic:pic>
                      <pic:pic>
                        <pic:nvPicPr>
                          <pic:cNvPr id="309" name="Image 309"/>
                          <pic:cNvPicPr/>
                        </pic:nvPicPr>
                        <pic:blipFill>
                          <a:blip r:embed="rId387" cstate="print"/>
                          <a:stretch>
                            <a:fillRect/>
                          </a:stretch>
                        </pic:blipFill>
                        <pic:spPr>
                          <a:xfrm>
                            <a:off x="4769367" y="7635854"/>
                            <a:ext cx="3003032" cy="2422545"/>
                          </a:xfrm>
                          <a:prstGeom prst="rect">
                            <a:avLst/>
                          </a:prstGeom>
                        </pic:spPr>
                      </pic:pic>
                      <pic:pic>
                        <pic:nvPicPr>
                          <pic:cNvPr id="310" name="Image 310"/>
                          <pic:cNvPicPr/>
                        </pic:nvPicPr>
                        <pic:blipFill>
                          <a:blip r:embed="rId388" cstate="print"/>
                          <a:stretch>
                            <a:fillRect/>
                          </a:stretch>
                        </pic:blipFill>
                        <pic:spPr>
                          <a:xfrm>
                            <a:off x="6671809" y="4127617"/>
                            <a:ext cx="768071" cy="975198"/>
                          </a:xfrm>
                          <a:prstGeom prst="rect">
                            <a:avLst/>
                          </a:prstGeom>
                        </pic:spPr>
                      </pic:pic>
                      <wps:wsp>
                        <wps:cNvPr id="311" name="Graphic 311"/>
                        <wps:cNvSpPr/>
                        <wps:spPr>
                          <a:xfrm>
                            <a:off x="809687" y="7192695"/>
                            <a:ext cx="494665" cy="494665"/>
                          </a:xfrm>
                          <a:custGeom>
                            <a:avLst/>
                            <a:gdLst/>
                            <a:ahLst/>
                            <a:cxnLst/>
                            <a:rect l="l" t="t" r="r" b="b"/>
                            <a:pathLst>
                              <a:path w="494665" h="494665">
                                <a:moveTo>
                                  <a:pt x="467690" y="239890"/>
                                </a:moveTo>
                                <a:lnTo>
                                  <a:pt x="462038" y="197002"/>
                                </a:lnTo>
                                <a:lnTo>
                                  <a:pt x="448132" y="156032"/>
                                </a:lnTo>
                                <a:lnTo>
                                  <a:pt x="426504" y="118579"/>
                                </a:lnTo>
                                <a:lnTo>
                                  <a:pt x="397979" y="86055"/>
                                </a:lnTo>
                                <a:lnTo>
                                  <a:pt x="363664" y="59715"/>
                                </a:lnTo>
                                <a:lnTo>
                                  <a:pt x="324866" y="40589"/>
                                </a:lnTo>
                                <a:lnTo>
                                  <a:pt x="283083" y="29387"/>
                                </a:lnTo>
                                <a:lnTo>
                                  <a:pt x="254355" y="26568"/>
                                </a:lnTo>
                                <a:lnTo>
                                  <a:pt x="239915" y="26568"/>
                                </a:lnTo>
                                <a:lnTo>
                                  <a:pt x="197027" y="32207"/>
                                </a:lnTo>
                                <a:lnTo>
                                  <a:pt x="156070" y="46113"/>
                                </a:lnTo>
                                <a:lnTo>
                                  <a:pt x="118605" y="67741"/>
                                </a:lnTo>
                                <a:lnTo>
                                  <a:pt x="86080" y="96266"/>
                                </a:lnTo>
                                <a:lnTo>
                                  <a:pt x="59740" y="130581"/>
                                </a:lnTo>
                                <a:lnTo>
                                  <a:pt x="40614" y="169379"/>
                                </a:lnTo>
                                <a:lnTo>
                                  <a:pt x="29413" y="211175"/>
                                </a:lnTo>
                                <a:lnTo>
                                  <a:pt x="26593" y="239890"/>
                                </a:lnTo>
                                <a:lnTo>
                                  <a:pt x="26593" y="254330"/>
                                </a:lnTo>
                                <a:lnTo>
                                  <a:pt x="32232" y="297218"/>
                                </a:lnTo>
                                <a:lnTo>
                                  <a:pt x="46139" y="338188"/>
                                </a:lnTo>
                                <a:lnTo>
                                  <a:pt x="67767" y="375653"/>
                                </a:lnTo>
                                <a:lnTo>
                                  <a:pt x="96291" y="408165"/>
                                </a:lnTo>
                                <a:lnTo>
                                  <a:pt x="130619" y="434505"/>
                                </a:lnTo>
                                <a:lnTo>
                                  <a:pt x="169405" y="453631"/>
                                </a:lnTo>
                                <a:lnTo>
                                  <a:pt x="211201" y="464832"/>
                                </a:lnTo>
                                <a:lnTo>
                                  <a:pt x="239915" y="467664"/>
                                </a:lnTo>
                                <a:lnTo>
                                  <a:pt x="254355" y="467664"/>
                                </a:lnTo>
                                <a:lnTo>
                                  <a:pt x="297243" y="462013"/>
                                </a:lnTo>
                                <a:lnTo>
                                  <a:pt x="338213" y="448106"/>
                                </a:lnTo>
                                <a:lnTo>
                                  <a:pt x="375678" y="426478"/>
                                </a:lnTo>
                                <a:lnTo>
                                  <a:pt x="408190" y="397954"/>
                                </a:lnTo>
                                <a:lnTo>
                                  <a:pt x="434530" y="363639"/>
                                </a:lnTo>
                                <a:lnTo>
                                  <a:pt x="453656" y="324840"/>
                                </a:lnTo>
                                <a:lnTo>
                                  <a:pt x="464858" y="283057"/>
                                </a:lnTo>
                                <a:lnTo>
                                  <a:pt x="467690" y="254330"/>
                                </a:lnTo>
                                <a:lnTo>
                                  <a:pt x="467690" y="247116"/>
                                </a:lnTo>
                                <a:lnTo>
                                  <a:pt x="467690" y="239890"/>
                                </a:lnTo>
                                <a:close/>
                              </a:path>
                              <a:path w="494665" h="494665">
                                <a:moveTo>
                                  <a:pt x="494258" y="247116"/>
                                </a:moveTo>
                                <a:lnTo>
                                  <a:pt x="489229" y="197370"/>
                                </a:lnTo>
                                <a:lnTo>
                                  <a:pt x="477316" y="159105"/>
                                </a:lnTo>
                                <a:lnTo>
                                  <a:pt x="477316" y="247116"/>
                                </a:lnTo>
                                <a:lnTo>
                                  <a:pt x="472630" y="293446"/>
                                </a:lnTo>
                                <a:lnTo>
                                  <a:pt x="459206" y="336626"/>
                                </a:lnTo>
                                <a:lnTo>
                                  <a:pt x="437959" y="375729"/>
                                </a:lnTo>
                                <a:lnTo>
                                  <a:pt x="409829" y="409803"/>
                                </a:lnTo>
                                <a:lnTo>
                                  <a:pt x="375742" y="437934"/>
                                </a:lnTo>
                                <a:lnTo>
                                  <a:pt x="336638" y="459181"/>
                                </a:lnTo>
                                <a:lnTo>
                                  <a:pt x="293458" y="472617"/>
                                </a:lnTo>
                                <a:lnTo>
                                  <a:pt x="247116" y="477304"/>
                                </a:lnTo>
                                <a:lnTo>
                                  <a:pt x="200787" y="472617"/>
                                </a:lnTo>
                                <a:lnTo>
                                  <a:pt x="157619" y="459181"/>
                                </a:lnTo>
                                <a:lnTo>
                                  <a:pt x="118516" y="437934"/>
                                </a:lnTo>
                                <a:lnTo>
                                  <a:pt x="84442" y="409803"/>
                                </a:lnTo>
                                <a:lnTo>
                                  <a:pt x="56311" y="375729"/>
                                </a:lnTo>
                                <a:lnTo>
                                  <a:pt x="35052" y="336626"/>
                                </a:lnTo>
                                <a:lnTo>
                                  <a:pt x="21628" y="293446"/>
                                </a:lnTo>
                                <a:lnTo>
                                  <a:pt x="16941" y="247116"/>
                                </a:lnTo>
                                <a:lnTo>
                                  <a:pt x="21628" y="200787"/>
                                </a:lnTo>
                                <a:lnTo>
                                  <a:pt x="35052" y="157607"/>
                                </a:lnTo>
                                <a:lnTo>
                                  <a:pt x="56299" y="118516"/>
                                </a:lnTo>
                                <a:lnTo>
                                  <a:pt x="84442" y="84429"/>
                                </a:lnTo>
                                <a:lnTo>
                                  <a:pt x="118516" y="56299"/>
                                </a:lnTo>
                                <a:lnTo>
                                  <a:pt x="157607" y="35052"/>
                                </a:lnTo>
                                <a:lnTo>
                                  <a:pt x="200787" y="21615"/>
                                </a:lnTo>
                                <a:lnTo>
                                  <a:pt x="247116" y="16941"/>
                                </a:lnTo>
                                <a:lnTo>
                                  <a:pt x="293458" y="21615"/>
                                </a:lnTo>
                                <a:lnTo>
                                  <a:pt x="336638" y="35052"/>
                                </a:lnTo>
                                <a:lnTo>
                                  <a:pt x="375742" y="56299"/>
                                </a:lnTo>
                                <a:lnTo>
                                  <a:pt x="409816" y="84429"/>
                                </a:lnTo>
                                <a:lnTo>
                                  <a:pt x="437946" y="118516"/>
                                </a:lnTo>
                                <a:lnTo>
                                  <a:pt x="459206" y="157607"/>
                                </a:lnTo>
                                <a:lnTo>
                                  <a:pt x="472630" y="200787"/>
                                </a:lnTo>
                                <a:lnTo>
                                  <a:pt x="477316" y="247116"/>
                                </a:lnTo>
                                <a:lnTo>
                                  <a:pt x="477316" y="159105"/>
                                </a:lnTo>
                                <a:lnTo>
                                  <a:pt x="451993" y="109042"/>
                                </a:lnTo>
                                <a:lnTo>
                                  <a:pt x="421792" y="72453"/>
                                </a:lnTo>
                                <a:lnTo>
                                  <a:pt x="385203" y="42252"/>
                                </a:lnTo>
                                <a:lnTo>
                                  <a:pt x="343217" y="19443"/>
                                </a:lnTo>
                                <a:lnTo>
                                  <a:pt x="335153" y="16941"/>
                                </a:lnTo>
                                <a:lnTo>
                                  <a:pt x="296862" y="5029"/>
                                </a:lnTo>
                                <a:lnTo>
                                  <a:pt x="247116" y="0"/>
                                </a:lnTo>
                                <a:lnTo>
                                  <a:pt x="197370" y="5029"/>
                                </a:lnTo>
                                <a:lnTo>
                                  <a:pt x="151015" y="19443"/>
                                </a:lnTo>
                                <a:lnTo>
                                  <a:pt x="109042" y="42252"/>
                                </a:lnTo>
                                <a:lnTo>
                                  <a:pt x="72453" y="72453"/>
                                </a:lnTo>
                                <a:lnTo>
                                  <a:pt x="42252" y="109042"/>
                                </a:lnTo>
                                <a:lnTo>
                                  <a:pt x="19443" y="151015"/>
                                </a:lnTo>
                                <a:lnTo>
                                  <a:pt x="5029" y="197370"/>
                                </a:lnTo>
                                <a:lnTo>
                                  <a:pt x="0" y="247116"/>
                                </a:lnTo>
                                <a:lnTo>
                                  <a:pt x="5029" y="296849"/>
                                </a:lnTo>
                                <a:lnTo>
                                  <a:pt x="19443" y="343217"/>
                                </a:lnTo>
                                <a:lnTo>
                                  <a:pt x="42252" y="385191"/>
                                </a:lnTo>
                                <a:lnTo>
                                  <a:pt x="72453" y="421779"/>
                                </a:lnTo>
                                <a:lnTo>
                                  <a:pt x="109042" y="451980"/>
                                </a:lnTo>
                                <a:lnTo>
                                  <a:pt x="151015" y="474789"/>
                                </a:lnTo>
                                <a:lnTo>
                                  <a:pt x="197370" y="489216"/>
                                </a:lnTo>
                                <a:lnTo>
                                  <a:pt x="247116" y="494245"/>
                                </a:lnTo>
                                <a:lnTo>
                                  <a:pt x="296862" y="489216"/>
                                </a:lnTo>
                                <a:lnTo>
                                  <a:pt x="335153" y="477304"/>
                                </a:lnTo>
                                <a:lnTo>
                                  <a:pt x="385216" y="451980"/>
                                </a:lnTo>
                                <a:lnTo>
                                  <a:pt x="421805" y="421779"/>
                                </a:lnTo>
                                <a:lnTo>
                                  <a:pt x="452005" y="385191"/>
                                </a:lnTo>
                                <a:lnTo>
                                  <a:pt x="474814" y="343217"/>
                                </a:lnTo>
                                <a:lnTo>
                                  <a:pt x="489229" y="296849"/>
                                </a:lnTo>
                                <a:lnTo>
                                  <a:pt x="494258" y="247116"/>
                                </a:lnTo>
                                <a:close/>
                              </a:path>
                            </a:pathLst>
                          </a:custGeom>
                          <a:solidFill>
                            <a:srgbClr val="D6A2AB"/>
                          </a:solidFill>
                        </wps:spPr>
                        <wps:bodyPr wrap="square" lIns="0" tIns="0" rIns="0" bIns="0" rtlCol="0">
                          <a:prstTxWarp prst="textNoShape">
                            <a:avLst/>
                          </a:prstTxWarp>
                          <a:noAutofit/>
                        </wps:bodyPr>
                      </wps:wsp>
                      <wps:wsp>
                        <wps:cNvPr id="312" name="Graphic 312"/>
                        <wps:cNvSpPr/>
                        <wps:spPr>
                          <a:xfrm>
                            <a:off x="915795" y="7279819"/>
                            <a:ext cx="288290" cy="304800"/>
                          </a:xfrm>
                          <a:custGeom>
                            <a:avLst/>
                            <a:gdLst/>
                            <a:ahLst/>
                            <a:cxnLst/>
                            <a:rect l="l" t="t" r="r" b="b"/>
                            <a:pathLst>
                              <a:path w="288290" h="304800">
                                <a:moveTo>
                                  <a:pt x="141214" y="304472"/>
                                </a:moveTo>
                                <a:lnTo>
                                  <a:pt x="89757" y="299714"/>
                                </a:lnTo>
                                <a:lnTo>
                                  <a:pt x="51094" y="286729"/>
                                </a:lnTo>
                                <a:lnTo>
                                  <a:pt x="17245" y="261313"/>
                                </a:lnTo>
                                <a:lnTo>
                                  <a:pt x="434" y="221214"/>
                                </a:lnTo>
                                <a:lnTo>
                                  <a:pt x="0" y="212906"/>
                                </a:lnTo>
                                <a:lnTo>
                                  <a:pt x="19" y="204039"/>
                                </a:lnTo>
                                <a:lnTo>
                                  <a:pt x="20180" y="166525"/>
                                </a:lnTo>
                                <a:lnTo>
                                  <a:pt x="45155" y="157085"/>
                                </a:lnTo>
                                <a:lnTo>
                                  <a:pt x="61149" y="157134"/>
                                </a:lnTo>
                                <a:lnTo>
                                  <a:pt x="95584" y="177705"/>
                                </a:lnTo>
                                <a:lnTo>
                                  <a:pt x="89579" y="220547"/>
                                </a:lnTo>
                                <a:lnTo>
                                  <a:pt x="67401" y="233166"/>
                                </a:lnTo>
                                <a:lnTo>
                                  <a:pt x="78173" y="238496"/>
                                </a:lnTo>
                                <a:lnTo>
                                  <a:pt x="90686" y="242321"/>
                                </a:lnTo>
                                <a:lnTo>
                                  <a:pt x="104941" y="244640"/>
                                </a:lnTo>
                                <a:lnTo>
                                  <a:pt x="120940" y="245453"/>
                                </a:lnTo>
                                <a:lnTo>
                                  <a:pt x="133910" y="244835"/>
                                </a:lnTo>
                                <a:lnTo>
                                  <a:pt x="171555" y="222289"/>
                                </a:lnTo>
                                <a:lnTo>
                                  <a:pt x="174858" y="198449"/>
                                </a:lnTo>
                                <a:lnTo>
                                  <a:pt x="173618" y="192903"/>
                                </a:lnTo>
                                <a:lnTo>
                                  <a:pt x="140952" y="169372"/>
                                </a:lnTo>
                                <a:lnTo>
                                  <a:pt x="116007" y="168626"/>
                                </a:lnTo>
                                <a:lnTo>
                                  <a:pt x="116155" y="125556"/>
                                </a:lnTo>
                                <a:lnTo>
                                  <a:pt x="154160" y="120212"/>
                                </a:lnTo>
                                <a:lnTo>
                                  <a:pt x="169461" y="86445"/>
                                </a:lnTo>
                                <a:lnTo>
                                  <a:pt x="168186" y="80737"/>
                                </a:lnTo>
                                <a:lnTo>
                                  <a:pt x="135125" y="58268"/>
                                </a:lnTo>
                                <a:lnTo>
                                  <a:pt x="122956" y="57709"/>
                                </a:lnTo>
                                <a:lnTo>
                                  <a:pt x="113399" y="57952"/>
                                </a:lnTo>
                                <a:lnTo>
                                  <a:pt x="77657" y="70461"/>
                                </a:lnTo>
                                <a:lnTo>
                                  <a:pt x="80435" y="70723"/>
                                </a:lnTo>
                                <a:lnTo>
                                  <a:pt x="83514" y="71435"/>
                                </a:lnTo>
                                <a:lnTo>
                                  <a:pt x="105398" y="108252"/>
                                </a:lnTo>
                                <a:lnTo>
                                  <a:pt x="71526" y="134934"/>
                                </a:lnTo>
                                <a:lnTo>
                                  <a:pt x="29161" y="126628"/>
                                </a:lnTo>
                                <a:lnTo>
                                  <a:pt x="8501" y="91398"/>
                                </a:lnTo>
                                <a:lnTo>
                                  <a:pt x="8530" y="82531"/>
                                </a:lnTo>
                                <a:lnTo>
                                  <a:pt x="23171" y="41263"/>
                                </a:lnTo>
                                <a:lnTo>
                                  <a:pt x="54058" y="17259"/>
                                </a:lnTo>
                                <a:lnTo>
                                  <a:pt x="99985" y="3149"/>
                                </a:lnTo>
                                <a:lnTo>
                                  <a:pt x="142969" y="0"/>
                                </a:lnTo>
                                <a:lnTo>
                                  <a:pt x="155720" y="281"/>
                                </a:lnTo>
                                <a:lnTo>
                                  <a:pt x="205434" y="6346"/>
                                </a:lnTo>
                                <a:lnTo>
                                  <a:pt x="246554" y="22448"/>
                                </a:lnTo>
                                <a:lnTo>
                                  <a:pt x="273530" y="50177"/>
                                </a:lnTo>
                                <a:lnTo>
                                  <a:pt x="280066" y="79634"/>
                                </a:lnTo>
                                <a:lnTo>
                                  <a:pt x="278990" y="92843"/>
                                </a:lnTo>
                                <a:lnTo>
                                  <a:pt x="254143" y="131943"/>
                                </a:lnTo>
                                <a:lnTo>
                                  <a:pt x="213573" y="146508"/>
                                </a:lnTo>
                                <a:lnTo>
                                  <a:pt x="213559" y="148687"/>
                                </a:lnTo>
                                <a:lnTo>
                                  <a:pt x="256340" y="162489"/>
                                </a:lnTo>
                                <a:lnTo>
                                  <a:pt x="282726" y="192140"/>
                                </a:lnTo>
                                <a:lnTo>
                                  <a:pt x="287757" y="221575"/>
                                </a:lnTo>
                                <a:lnTo>
                                  <a:pt x="287262" y="228753"/>
                                </a:lnTo>
                                <a:lnTo>
                                  <a:pt x="270109" y="264691"/>
                                </a:lnTo>
                                <a:lnTo>
                                  <a:pt x="235248" y="288227"/>
                                </a:lnTo>
                                <a:lnTo>
                                  <a:pt x="195108" y="300293"/>
                                </a:lnTo>
                                <a:lnTo>
                                  <a:pt x="160764" y="304051"/>
                                </a:lnTo>
                                <a:lnTo>
                                  <a:pt x="141214" y="304472"/>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000059pt;margin-top:-.000053pt;width:612pt;height:792pt;mso-position-horizontal-relative:page;mso-position-vertical-relative:page;z-index:-20712448" id="docshapegroup233" coordorigin="0,0" coordsize="12240,15840">
                <v:shape style="position:absolute;left:0;top:0;width:12240;height:4761" type="#_x0000_t75" id="docshape234" stroked="false">
                  <v:imagedata r:id="rId384" o:title=""/>
                </v:shape>
                <v:shape style="position:absolute;left:7839;top:1158;width:2333;height:2332" type="#_x0000_t75" id="docshape235" stroked="false">
                  <v:imagedata r:id="rId98" o:title=""/>
                </v:shape>
                <v:shape style="position:absolute;left:7818;top:1136;width:2375;height:2375" id="docshape236" coordorigin="7818,1136" coordsize="2375,2375" path="m9006,3511l8931,3509,8857,3502,8785,3491,8714,3475,8645,3455,8577,3431,8511,3404,8448,3372,8387,3337,8328,3298,8271,3257,8218,3211,8167,3163,8118,3112,8073,3058,8031,3002,7993,2943,7958,2882,7926,2818,7898,2752,7874,2685,7855,2616,7839,2545,7828,2473,7821,2399,7818,2324,7821,2249,7828,2175,7839,2103,7855,2032,7874,1963,7898,1895,7926,1830,7958,1766,7993,1705,8031,1646,8073,1590,8118,1536,8167,1485,8218,1437,8271,1391,8328,1350,8387,1311,8448,1276,8512,1244,8577,1217,8645,1193,8714,1173,8785,1157,8857,1146,8931,1139,9006,1136,9081,1139,9155,1146,9227,1157,9298,1173,9322,1180,9006,1180,8931,1182,8857,1189,8784,1201,8714,1218,8645,1238,8577,1263,8512,1292,8449,1324,8389,1361,8330,1401,8275,1444,8222,1491,8173,1541,8126,1593,8083,1649,8043,1707,8006,1767,7974,1830,7945,1896,7920,1963,7899,2032,7883,2103,7871,2175,7864,2249,7862,2324,7864,2399,7871,2473,7883,2545,7899,2616,7920,2685,7945,2752,7974,2818,8006,2881,8043,2941,8083,2999,8126,3055,8173,3107,8222,3157,8275,3204,8330,3247,8389,3287,8449,3323,8512,3356,8577,3385,8645,3410,8714,3430,8784,3447,8857,3459,8931,3466,9006,3468,9322,3468,9298,3475,9227,3491,9155,3502,9081,3509,9006,3511xm9322,3468l9006,3468,9081,3466,9155,3459,9227,3447,9298,3430,9367,3410,9434,3385,9499,3356,9562,3323,9623,3287,9681,3247,9737,3204,9789,3157,9839,3107,9886,3055,9929,2999,9969,2941,10005,2881,10038,2818,10067,2752,10092,2685,10112,2616,10129,2545,10140,2473,10148,2399,10150,2324,10148,2249,10140,2175,10129,2103,10112,2032,10092,1963,10067,1896,10038,1830,10005,1767,9969,1707,9929,1649,9886,1593,9839,1541,9789,1491,9737,1444,9681,1401,9623,1361,9562,1324,9499,1292,9434,1263,9367,1238,9298,1218,9227,1201,9155,1189,9081,1182,9006,1180,9322,1180,9367,1193,9435,1217,9500,1244,9564,1276,9625,1311,9684,1350,9740,1391,9794,1437,9845,1485,9893,1536,9938,1590,9980,1646,10019,1705,10054,1766,10085,1830,10113,1896,10137,1963,10157,2032,10173,2103,10184,2175,10191,2249,10193,2324,10191,2399,10184,2473,10173,2545,10157,2616,10137,2685,10113,2753,10085,2818,10054,2882,10019,2943,9980,3002,9938,3058,9893,3112,9845,3163,9794,3211,9740,3257,9684,3298,9625,3337,9564,3372,9500,3404,9435,3431,9367,3455,9322,3468xe" filled="true" fillcolor="#ffffff" stroked="false">
                  <v:path arrowok="t"/>
                  <v:fill type="solid"/>
                </v:shape>
                <v:shape style="position:absolute;left:1041;top:12910;width:5471;height:1846" id="docshape237" coordorigin="1042,12911" coordsize="5471,1846" path="m5945,14756l1612,14756,1534,14751,1460,14736,1390,14711,1324,14678,1263,14637,1209,14589,1160,14534,1119,14474,1086,14408,1062,14338,1047,14263,1042,14186,1042,13481,1047,13404,1062,13329,1086,13259,1119,13193,1160,13133,1209,13078,1263,13030,1324,12989,1390,12956,1460,12931,1534,12916,1612,12911,5945,12911,6023,12916,6097,12931,6167,12956,6233,12989,6293,13030,6348,13078,6396,13133,6437,13193,6470,13259,6495,13329,6510,13404,6512,13439,6512,14228,6495,14338,6470,14408,6437,14474,6396,14534,6348,14589,6293,14637,6233,14678,6167,14711,6097,14736,6023,14751,5945,14756xe" filled="true" fillcolor="#dec7eb" stroked="false">
                  <v:path arrowok="t"/>
                  <v:fill opacity="36700f" type="solid"/>
                </v:shape>
                <v:shape style="position:absolute;left:6861;top:6892;width:1215;height:45" id="docshape238" coordorigin="6861,6892" coordsize="1215,45" path="m6996,6892l6861,6892,6861,6937,6996,6937,6996,6892xm7176,6892l7041,6892,7041,6937,7176,6937,7176,6892xm7356,6892l7221,6892,7221,6937,7356,6937,7356,6892xm7536,6892l7401,6892,7401,6937,7536,6937,7536,6892xm7716,6892l7581,6892,7581,6937,7716,6937,7716,6892xm7896,6892l7761,6892,7761,6937,7896,6937,7896,6892xm8076,6892l7941,6892,7941,6937,8076,6937,8076,6892xe" filled="true" fillcolor="#001389" stroked="false">
                  <v:path arrowok="t"/>
                  <v:fill type="solid"/>
                </v:shape>
                <v:shape style="position:absolute;left:1031;top:4619;width:5913;height:8122" type="#_x0000_t75" id="docshape239" stroked="false">
                  <v:imagedata r:id="rId385" o:title=""/>
                </v:shape>
                <v:shape style="position:absolute;left:8121;top:6892;width:3108;height:45" id="docshape240" coordorigin="8121,6892" coordsize="3108,45" path="m8256,6892l8121,6892,8121,6937,8256,6937,8256,6892xm8436,6892l8301,6892,8301,6937,8436,6937,8436,6892xm8616,6892l8481,6892,8481,6937,8616,6937,8616,6892xm8796,6892l8661,6892,8661,6937,8796,6937,8796,6892xm8976,6892l8841,6892,8841,6937,8976,6937,8976,6892xm9156,6892l9021,6892,9021,6937,9156,6937,9156,6892xm9336,6892l9201,6892,9201,6937,9336,6937,9336,6892xm9516,6892l9381,6892,9381,6937,9516,6937,9516,6892xm9696,6892l9561,6892,9561,6937,9696,6937,9696,6892xm9876,6892l9741,6892,9741,6937,9876,6937,9876,6892xm10056,6892l9921,6892,9921,6937,10056,6937,10056,6892xm10236,6892l10101,6892,10101,6937,10236,6937,10236,6892xm10416,6892l10281,6892,10281,6937,10416,6937,10416,6892xm10596,6892l10461,6892,10461,6937,10596,6937,10596,6892xm10776,6892l10641,6892,10641,6937,10776,6937,10776,6892xm10956,6892l10821,6892,10821,6937,10956,6937,10956,6892xm11136,6892l11001,6892,11001,6937,11136,6937,11136,6892xm11229,6892l11181,6892,11181,6937,11229,6937,11229,6892xe" filled="true" fillcolor="#001389" stroked="false">
                  <v:path arrowok="t"/>
                  <v:fill type="solid"/>
                </v:shape>
                <v:line style="position:absolute" from="6861,9301" to="11229,9301" stroked="true" strokeweight="2.25pt" strokecolor="#001389">
                  <v:stroke dashstyle="shortdash"/>
                </v:line>
                <v:shape style="position:absolute;left:5629;top:11346;width:1680;height:1785" type="#_x0000_t75" id="docshape241" stroked="false">
                  <v:imagedata r:id="rId386" o:title=""/>
                </v:shape>
                <v:shape style="position:absolute;left:7510;top:12024;width:4730;height:3816" type="#_x0000_t75" id="docshape242" stroked="false">
                  <v:imagedata r:id="rId387" o:title=""/>
                </v:shape>
                <v:shape style="position:absolute;left:10506;top:6500;width:1210;height:1536" type="#_x0000_t75" id="docshape243" stroked="false">
                  <v:imagedata r:id="rId388" o:title=""/>
                </v:shape>
                <v:shape style="position:absolute;left:1275;top:11327;width:779;height:779" id="docshape244" coordorigin="1275,11327" coordsize="779,779" path="m2012,11705l2011,11693,2009,11671,2007,11660,2003,11637,2000,11626,1993,11605,1990,11594,1981,11573,1976,11563,1965,11542,1959,11533,1947,11514,1940,11505,1926,11487,1918,11479,1902,11463,1893,11455,1876,11441,1867,11434,1848,11421,1838,11415,1818,11405,1808,11400,1787,11391,1776,11387,1754,11381,1743,11378,1721,11373,1710,11372,1687,11369,1676,11369,1653,11369,1642,11369,1619,11372,1608,11373,1585,11378,1574,11381,1553,11387,1542,11391,1521,11400,1511,11405,1491,11415,1481,11421,1462,11434,1453,11441,1435,11455,1427,11463,1411,11479,1403,11487,1389,11505,1382,11514,1369,11533,1363,11542,1353,11563,1348,11573,1339,11594,1335,11605,1329,11626,1326,11637,1321,11660,1320,11671,1318,11693,1317,11705,1317,11728,1318,11739,1320,11762,1321,11773,1326,11795,1329,11806,1335,11828,1339,11839,1348,11860,1353,11870,1363,11890,1369,11900,1382,11919,1389,11928,1403,11945,1411,11954,1427,11970,1435,11977,1453,11992,1462,11999,1481,12011,1491,12017,1511,12028,1521,12033,1542,12041,1553,12045,1574,12052,1585,12055,1608,12059,1619,12061,1642,12063,1653,12064,1676,12064,1687,12063,1710,12061,1721,12059,1743,12055,1754,12052,1776,12045,1787,12041,1808,12033,1818,12028,1838,12017,1848,12011,1867,11999,1876,11992,1893,11977,1902,11970,1918,11954,1926,11945,1940,11928,1947,11919,1959,11900,1965,11890,1976,11870,1981,11860,1990,11839,1993,11828,2000,11806,2003,11795,2007,11773,2009,11762,2011,11739,2012,11728,2012,11716,2012,11705xm2053,11716l2046,11638,2027,11578,2027,11716,2019,11789,1998,11857,1965,11919,1921,11972,1867,12017,1805,12050,1737,12071,1664,12079,1591,12071,1523,12050,1462,12017,1408,11972,1364,11919,1330,11857,1309,11789,1302,11716,1309,11643,1330,11575,1364,11514,1408,11460,1462,11416,1523,11382,1591,11361,1664,11354,1737,11361,1805,11382,1867,11416,1920,11460,1965,11514,1998,11575,2019,11643,2027,11716,2027,11578,2023,11565,1987,11499,1939,11441,1882,11394,1816,11358,1803,11354,1743,11335,1664,11327,1586,11335,1513,11358,1447,11394,1389,11441,1342,11499,1306,11565,1283,11638,1275,11716,1283,11795,1306,11868,1342,11934,1389,11991,1447,12039,1513,12075,1586,12097,1664,12105,1743,12097,1803,12079,1816,12075,1882,12039,1939,11991,1987,11934,2023,11868,2046,11795,2053,11716xe" filled="true" fillcolor="#d6a2ab" stroked="false">
                  <v:path arrowok="t"/>
                  <v:fill type="solid"/>
                </v:shape>
                <v:shape style="position:absolute;left:1442;top:11464;width:454;height:480" id="docshape245" coordorigin="1442,11464" coordsize="454,480" path="m1665,11944l1584,11936,1523,11916,1469,11876,1443,11813,1442,11800,1442,11786,1474,11727,1513,11712,1538,11712,1593,11744,1583,11812,1548,11831,1565,11840,1585,11846,1607,11850,1633,11851,1653,11850,1712,11814,1718,11777,1716,11768,1664,11731,1625,11730,1625,11662,1685,11654,1709,11600,1707,11591,1655,11556,1636,11555,1621,11556,1564,11575,1569,11576,1574,11577,1608,11635,1555,11677,1488,11664,1456,11608,1456,11594,1479,11529,1527,11491,1600,11469,1667,11464,1687,11465,1766,11474,1830,11500,1873,11543,1883,11590,1882,11610,1842,11672,1779,11695,1779,11698,1846,11720,1887,11767,1895,11813,1895,11825,1868,11881,1813,11918,1749,11937,1695,11943,1665,11944xe" filled="true" fillcolor="#ffffff" stroked="false">
                  <v:path arrowok="t"/>
                  <v:fill type="solid"/>
                </v:shape>
                <w10:wrap type="none"/>
              </v:group>
            </w:pict>
          </mc:Fallback>
        </mc:AlternateContent>
      </w:r>
    </w:p>
    <w:p>
      <w:pPr>
        <w:pStyle w:val="BodyText"/>
        <w:spacing w:before="246"/>
        <w:rPr>
          <w:rFonts w:ascii="Times New Roman"/>
          <w:sz w:val="34"/>
        </w:rPr>
      </w:pPr>
    </w:p>
    <w:p>
      <w:pPr>
        <w:pStyle w:val="Heading9"/>
        <w:spacing w:before="1"/>
        <w:ind w:left="103"/>
        <w:jc w:val="left"/>
        <w:rPr>
          <w:i/>
        </w:rPr>
      </w:pPr>
      <w:r>
        <w:rPr>
          <w:i/>
          <w:spacing w:val="13"/>
          <w:w w:val="130"/>
        </w:rPr>
        <w:t>LEGISLATION</w:t>
      </w:r>
    </w:p>
    <w:p>
      <w:pPr>
        <w:pStyle w:val="BodyText"/>
        <w:spacing w:before="64"/>
        <w:rPr>
          <w:b/>
          <w:i/>
          <w:sz w:val="21"/>
        </w:rPr>
      </w:pPr>
    </w:p>
    <w:p>
      <w:pPr>
        <w:spacing w:before="0"/>
        <w:ind w:left="123" w:right="0" w:firstLine="0"/>
        <w:jc w:val="left"/>
        <w:rPr>
          <w:rFonts w:ascii="Times New Roman"/>
          <w:sz w:val="21"/>
        </w:rPr>
      </w:pPr>
      <w:r>
        <w:rPr>
          <w:rFonts w:ascii="Times New Roman"/>
          <w:sz w:val="21"/>
        </w:rPr>
        <w:t>S.1415:</w:t>
      </w:r>
      <w:r>
        <w:rPr>
          <w:rFonts w:ascii="Times New Roman"/>
          <w:spacing w:val="22"/>
          <w:sz w:val="21"/>
        </w:rPr>
        <w:t> </w:t>
      </w:r>
      <w:r>
        <w:rPr>
          <w:rFonts w:ascii="Times New Roman"/>
          <w:sz w:val="21"/>
        </w:rPr>
        <w:t>Birthing</w:t>
      </w:r>
      <w:r>
        <w:rPr>
          <w:rFonts w:ascii="Times New Roman"/>
          <w:spacing w:val="22"/>
          <w:sz w:val="21"/>
        </w:rPr>
        <w:t> </w:t>
      </w:r>
      <w:r>
        <w:rPr>
          <w:rFonts w:ascii="Times New Roman"/>
          <w:sz w:val="21"/>
        </w:rPr>
        <w:t>Justice</w:t>
      </w:r>
      <w:r>
        <w:rPr>
          <w:rFonts w:ascii="Times New Roman"/>
          <w:spacing w:val="22"/>
          <w:sz w:val="21"/>
        </w:rPr>
        <w:t> </w:t>
      </w:r>
      <w:r>
        <w:rPr>
          <w:rFonts w:ascii="Times New Roman"/>
          <w:sz w:val="21"/>
        </w:rPr>
        <w:t>in</w:t>
      </w:r>
      <w:r>
        <w:rPr>
          <w:rFonts w:ascii="Times New Roman"/>
          <w:spacing w:val="23"/>
          <w:sz w:val="21"/>
        </w:rPr>
        <w:t> </w:t>
      </w:r>
      <w:r>
        <w:rPr>
          <w:rFonts w:ascii="Times New Roman"/>
          <w:sz w:val="21"/>
        </w:rPr>
        <w:t>the</w:t>
      </w:r>
      <w:r>
        <w:rPr>
          <w:rFonts w:ascii="Times New Roman"/>
          <w:spacing w:val="22"/>
          <w:sz w:val="21"/>
        </w:rPr>
        <w:t> </w:t>
      </w:r>
      <w:r>
        <w:rPr>
          <w:rFonts w:ascii="Times New Roman"/>
          <w:spacing w:val="-2"/>
          <w:sz w:val="21"/>
        </w:rPr>
        <w:t>Commonwealth</w:t>
      </w:r>
    </w:p>
    <w:p>
      <w:pPr>
        <w:spacing w:after="0"/>
        <w:jc w:val="left"/>
        <w:rPr>
          <w:rFonts w:ascii="Times New Roman"/>
          <w:sz w:val="21"/>
        </w:rPr>
        <w:sectPr>
          <w:type w:val="continuous"/>
          <w:pgSz w:w="12240" w:h="15840"/>
          <w:pgMar w:header="0" w:footer="0" w:top="1420" w:bottom="280" w:left="1120" w:right="1200"/>
        </w:sectPr>
      </w:pPr>
    </w:p>
    <w:p>
      <w:pPr>
        <w:pStyle w:val="BodyText"/>
        <w:spacing w:before="1" w:after="1"/>
        <w:rPr>
          <w:rFonts w:ascii="Times New Roman"/>
          <w:sz w:val="11"/>
        </w:rPr>
      </w:pPr>
    </w:p>
    <w:p>
      <w:pPr>
        <w:pStyle w:val="BodyText"/>
        <w:spacing w:line="20" w:lineRule="exact"/>
        <w:ind w:left="320"/>
        <w:rPr>
          <w:rFonts w:ascii="Times New Roman"/>
          <w:sz w:val="2"/>
        </w:rPr>
      </w:pPr>
      <w:r>
        <w:rPr>
          <w:rFonts w:ascii="Times New Roman"/>
          <w:sz w:val="2"/>
        </w:rPr>
        <mc:AlternateContent>
          <mc:Choice Requires="wps">
            <w:drawing>
              <wp:inline distT="0" distB="0" distL="0" distR="0">
                <wp:extent cx="6350" cy="12700"/>
                <wp:effectExtent l="0" t="0" r="0" b="0"/>
                <wp:docPr id="316" name="Group 316"/>
                <wp:cNvGraphicFramePr>
                  <a:graphicFrameLocks/>
                </wp:cNvGraphicFramePr>
                <a:graphic>
                  <a:graphicData uri="http://schemas.microsoft.com/office/word/2010/wordprocessingGroup">
                    <wpg:wgp>
                      <wpg:cNvPr id="316" name="Group 316"/>
                      <wpg:cNvGrpSpPr/>
                      <wpg:grpSpPr>
                        <a:xfrm>
                          <a:off x="0" y="0"/>
                          <a:ext cx="6350" cy="12700"/>
                          <a:chExt cx="6350" cy="12700"/>
                        </a:xfrm>
                      </wpg:grpSpPr>
                      <wps:wsp>
                        <wps:cNvPr id="317" name="Graphic 317"/>
                        <wps:cNvSpPr/>
                        <wps:spPr>
                          <a:xfrm>
                            <a:off x="0" y="0"/>
                            <a:ext cx="6350" cy="12700"/>
                          </a:xfrm>
                          <a:custGeom>
                            <a:avLst/>
                            <a:gdLst/>
                            <a:ahLst/>
                            <a:cxnLst/>
                            <a:rect l="l" t="t" r="r" b="b"/>
                            <a:pathLst>
                              <a:path w="6350" h="12700">
                                <a:moveTo>
                                  <a:pt x="6337" y="0"/>
                                </a:moveTo>
                                <a:lnTo>
                                  <a:pt x="0" y="0"/>
                                </a:lnTo>
                                <a:lnTo>
                                  <a:pt x="0" y="12192"/>
                                </a:lnTo>
                                <a:lnTo>
                                  <a:pt x="6337" y="12192"/>
                                </a:lnTo>
                                <a:lnTo>
                                  <a:pt x="6337" y="0"/>
                                </a:lnTo>
                                <a:close/>
                              </a:path>
                            </a:pathLst>
                          </a:custGeom>
                          <a:solidFill>
                            <a:srgbClr val="0F6DC5"/>
                          </a:solidFill>
                        </wps:spPr>
                        <wps:bodyPr wrap="square" lIns="0" tIns="0" rIns="0" bIns="0" rtlCol="0">
                          <a:prstTxWarp prst="textNoShape">
                            <a:avLst/>
                          </a:prstTxWarp>
                          <a:noAutofit/>
                        </wps:bodyPr>
                      </wps:wsp>
                    </wpg:wgp>
                  </a:graphicData>
                </a:graphic>
              </wp:inline>
            </w:drawing>
          </mc:Choice>
          <mc:Fallback>
            <w:pict>
              <v:group style="width:.5pt;height:1pt;mso-position-horizontal-relative:char;mso-position-vertical-relative:line" id="docshapegroup249" coordorigin="0,0" coordsize="10,20">
                <v:rect style="position:absolute;left:0;top:0;width:10;height:20" id="docshape250" filled="true" fillcolor="#0f6dc5" stroked="false">
                  <v:fill type="solid"/>
                </v:rect>
              </v:group>
            </w:pict>
          </mc:Fallback>
        </mc:AlternateContent>
      </w:r>
      <w:r>
        <w:rPr>
          <w:rFonts w:ascii="Times New Roman"/>
          <w:sz w:val="2"/>
        </w:rPr>
      </w:r>
    </w:p>
    <w:p>
      <w:pPr>
        <w:pStyle w:val="Heading7"/>
        <w:ind w:left="363"/>
      </w:pPr>
      <w:bookmarkStart w:name="FY 2025 - Sexual Health - Final.pdf" w:id="460"/>
      <w:bookmarkEnd w:id="460"/>
      <w:r>
        <w:rPr/>
      </w:r>
      <w:bookmarkStart w:name="Introduction" w:id="461"/>
      <w:bookmarkEnd w:id="461"/>
      <w:r>
        <w:rPr/>
      </w:r>
      <w:bookmarkStart w:name="_bookmark270" w:id="462"/>
      <w:bookmarkEnd w:id="462"/>
      <w:r>
        <w:rPr/>
      </w:r>
      <w:hyperlink w:history="true" w:anchor="_bookmark3">
        <w:r>
          <w:rPr>
            <w:color w:val="365F91"/>
            <w:spacing w:val="-10"/>
          </w:rPr>
          <w:t>Improving</w:t>
        </w:r>
        <w:r>
          <w:rPr>
            <w:color w:val="365F91"/>
            <w:spacing w:val="-1"/>
          </w:rPr>
          <w:t> </w:t>
        </w:r>
        <w:r>
          <w:rPr>
            <w:color w:val="365F91"/>
            <w:spacing w:val="-10"/>
          </w:rPr>
          <w:t>Sexual</w:t>
        </w:r>
        <w:r>
          <w:rPr>
            <w:color w:val="365F91"/>
            <w:spacing w:val="-3"/>
          </w:rPr>
          <w:t> </w:t>
        </w:r>
        <w:r>
          <w:rPr>
            <w:color w:val="365F91"/>
            <w:spacing w:val="-10"/>
          </w:rPr>
          <w:t>Health</w:t>
        </w:r>
      </w:hyperlink>
    </w:p>
    <w:p>
      <w:pPr>
        <w:spacing w:before="400"/>
        <w:ind w:left="363" w:right="0" w:firstLine="0"/>
        <w:jc w:val="left"/>
        <w:rPr>
          <w:sz w:val="28"/>
        </w:rPr>
      </w:pPr>
      <w:r>
        <w:rPr/>
        <mc:AlternateContent>
          <mc:Choice Requires="wps">
            <w:drawing>
              <wp:anchor distT="0" distB="0" distL="0" distR="0" allowOverlap="1" layoutInCell="1" locked="0" behindDoc="1" simplePos="0" relativeHeight="487642624">
                <wp:simplePos x="0" y="0"/>
                <wp:positionH relativeFrom="page">
                  <wp:posOffset>897636</wp:posOffset>
                </wp:positionH>
                <wp:positionV relativeFrom="paragraph">
                  <wp:posOffset>483437</wp:posOffset>
                </wp:positionV>
                <wp:extent cx="6014720" cy="6350"/>
                <wp:effectExtent l="0" t="0" r="0" b="0"/>
                <wp:wrapTopAndBottom/>
                <wp:docPr id="318" name="Graphic 318"/>
                <wp:cNvGraphicFramePr>
                  <a:graphicFrameLocks/>
                </wp:cNvGraphicFramePr>
                <a:graphic>
                  <a:graphicData uri="http://schemas.microsoft.com/office/word/2010/wordprocessingShape">
                    <wps:wsp>
                      <wps:cNvPr id="318" name="Graphic 318"/>
                      <wps:cNvSpPr/>
                      <wps:spPr>
                        <a:xfrm>
                          <a:off x="0" y="0"/>
                          <a:ext cx="6014720" cy="6350"/>
                        </a:xfrm>
                        <a:custGeom>
                          <a:avLst/>
                          <a:gdLst/>
                          <a:ahLst/>
                          <a:cxnLst/>
                          <a:rect l="l" t="t" r="r" b="b"/>
                          <a:pathLst>
                            <a:path w="6014720" h="6350">
                              <a:moveTo>
                                <a:pt x="6014466" y="0"/>
                              </a:moveTo>
                              <a:lnTo>
                                <a:pt x="0" y="0"/>
                              </a:lnTo>
                              <a:lnTo>
                                <a:pt x="0" y="6096"/>
                              </a:lnTo>
                              <a:lnTo>
                                <a:pt x="6014466" y="6096"/>
                              </a:lnTo>
                              <a:lnTo>
                                <a:pt x="6014466" y="0"/>
                              </a:lnTo>
                              <a:close/>
                            </a:path>
                          </a:pathLst>
                        </a:custGeom>
                        <a:solidFill>
                          <a:srgbClr val="4F81BC"/>
                        </a:solidFill>
                      </wps:spPr>
                      <wps:bodyPr wrap="square" lIns="0" tIns="0" rIns="0" bIns="0" rtlCol="0">
                        <a:prstTxWarp prst="textNoShape">
                          <a:avLst/>
                        </a:prstTxWarp>
                        <a:noAutofit/>
                      </wps:bodyPr>
                    </wps:wsp>
                  </a:graphicData>
                </a:graphic>
              </wp:anchor>
            </w:drawing>
          </mc:Choice>
          <mc:Fallback>
            <w:pict>
              <v:rect style="position:absolute;margin-left:70.680pt;margin-top:38.065937pt;width:473.58pt;height:.48pt;mso-position-horizontal-relative:page;mso-position-vertical-relative:paragraph;z-index:-15673856;mso-wrap-distance-left:0;mso-wrap-distance-right:0" id="docshape251" filled="true" fillcolor="#4f81bc" stroked="false">
                <v:fill type="solid"/>
                <w10:wrap type="topAndBottom"/>
              </v:rect>
            </w:pict>
          </mc:Fallback>
        </mc:AlternateContent>
      </w:r>
      <w:r>
        <w:rPr/>
        <mc:AlternateContent>
          <mc:Choice Requires="wps">
            <w:drawing>
              <wp:anchor distT="0" distB="0" distL="0" distR="0" allowOverlap="1" layoutInCell="1" locked="0" behindDoc="1" simplePos="0" relativeHeight="487643136">
                <wp:simplePos x="0" y="0"/>
                <wp:positionH relativeFrom="page">
                  <wp:posOffset>889000</wp:posOffset>
                </wp:positionH>
                <wp:positionV relativeFrom="paragraph">
                  <wp:posOffset>540892</wp:posOffset>
                </wp:positionV>
                <wp:extent cx="6350" cy="12700"/>
                <wp:effectExtent l="0" t="0" r="0" b="0"/>
                <wp:wrapTopAndBottom/>
                <wp:docPr id="319" name="Graphic 319"/>
                <wp:cNvGraphicFramePr>
                  <a:graphicFrameLocks/>
                </wp:cNvGraphicFramePr>
                <a:graphic>
                  <a:graphicData uri="http://schemas.microsoft.com/office/word/2010/wordprocessingShape">
                    <wps:wsp>
                      <wps:cNvPr id="319" name="Graphic 319"/>
                      <wps:cNvSpPr/>
                      <wps:spPr>
                        <a:xfrm>
                          <a:off x="0" y="0"/>
                          <a:ext cx="6350" cy="12700"/>
                        </a:xfrm>
                        <a:custGeom>
                          <a:avLst/>
                          <a:gdLst/>
                          <a:ahLst/>
                          <a:cxnLst/>
                          <a:rect l="l" t="t" r="r" b="b"/>
                          <a:pathLst>
                            <a:path w="6350" h="12700">
                              <a:moveTo>
                                <a:pt x="6337" y="0"/>
                              </a:moveTo>
                              <a:lnTo>
                                <a:pt x="0" y="0"/>
                              </a:lnTo>
                              <a:lnTo>
                                <a:pt x="0" y="12192"/>
                              </a:lnTo>
                              <a:lnTo>
                                <a:pt x="6337" y="12192"/>
                              </a:lnTo>
                              <a:lnTo>
                                <a:pt x="6337" y="0"/>
                              </a:lnTo>
                              <a:close/>
                            </a:path>
                          </a:pathLst>
                        </a:custGeom>
                        <a:solidFill>
                          <a:srgbClr val="0F6DC5"/>
                        </a:solidFill>
                      </wps:spPr>
                      <wps:bodyPr wrap="square" lIns="0" tIns="0" rIns="0" bIns="0" rtlCol="0">
                        <a:prstTxWarp prst="textNoShape">
                          <a:avLst/>
                        </a:prstTxWarp>
                        <a:noAutofit/>
                      </wps:bodyPr>
                    </wps:wsp>
                  </a:graphicData>
                </a:graphic>
              </wp:anchor>
            </w:drawing>
          </mc:Choice>
          <mc:Fallback>
            <w:pict>
              <v:rect style="position:absolute;margin-left:70pt;margin-top:42.589939pt;width:.499pt;height:.96pt;mso-position-horizontal-relative:page;mso-position-vertical-relative:paragraph;z-index:-15673344;mso-wrap-distance-left:0;mso-wrap-distance-right:0" id="docshape252" filled="true" fillcolor="#0f6dc5" stroked="false">
                <v:fill type="solid"/>
                <w10:wrap type="topAndBottom"/>
              </v:rect>
            </w:pict>
          </mc:Fallback>
        </mc:AlternateContent>
      </w:r>
      <w:r>
        <w:rPr>
          <w:color w:val="365F91"/>
          <w:spacing w:val="-2"/>
          <w:sz w:val="28"/>
        </w:rPr>
        <w:t>Introduction</w:t>
      </w:r>
    </w:p>
    <w:p>
      <w:pPr>
        <w:pStyle w:val="BodyText"/>
        <w:spacing w:before="8"/>
        <w:rPr>
          <w:sz w:val="4"/>
        </w:rPr>
      </w:pPr>
    </w:p>
    <w:p>
      <w:pPr>
        <w:spacing w:line="264" w:lineRule="auto" w:before="102"/>
        <w:ind w:left="363" w:right="91" w:firstLine="0"/>
        <w:jc w:val="left"/>
        <w:rPr>
          <w:i/>
          <w:sz w:val="22"/>
        </w:rPr>
      </w:pPr>
      <w:bookmarkStart w:name="(first published in FY 2024 Annual Recom" w:id="463"/>
      <w:bookmarkEnd w:id="463"/>
      <w:r>
        <w:rPr/>
      </w:r>
      <w:r>
        <w:rPr>
          <w:i/>
          <w:sz w:val="22"/>
        </w:rPr>
        <w:t>(first</w:t>
      </w:r>
      <w:r>
        <w:rPr>
          <w:i/>
          <w:spacing w:val="-4"/>
          <w:sz w:val="22"/>
        </w:rPr>
        <w:t> </w:t>
      </w:r>
      <w:r>
        <w:rPr>
          <w:i/>
          <w:sz w:val="22"/>
        </w:rPr>
        <w:t>published</w:t>
      </w:r>
      <w:r>
        <w:rPr>
          <w:i/>
          <w:spacing w:val="-4"/>
          <w:sz w:val="22"/>
        </w:rPr>
        <w:t> </w:t>
      </w:r>
      <w:r>
        <w:rPr>
          <w:i/>
          <w:sz w:val="22"/>
        </w:rPr>
        <w:t>in</w:t>
      </w:r>
      <w:r>
        <w:rPr>
          <w:i/>
          <w:spacing w:val="-3"/>
          <w:sz w:val="22"/>
        </w:rPr>
        <w:t> </w:t>
      </w:r>
      <w:r>
        <w:rPr>
          <w:i/>
          <w:sz w:val="22"/>
        </w:rPr>
        <w:t>FY</w:t>
      </w:r>
      <w:r>
        <w:rPr>
          <w:i/>
          <w:spacing w:val="-4"/>
          <w:sz w:val="22"/>
        </w:rPr>
        <w:t> </w:t>
      </w:r>
      <w:r>
        <w:rPr>
          <w:i/>
          <w:sz w:val="22"/>
        </w:rPr>
        <w:t>2024</w:t>
      </w:r>
      <w:r>
        <w:rPr>
          <w:i/>
          <w:spacing w:val="-1"/>
          <w:sz w:val="22"/>
        </w:rPr>
        <w:t> </w:t>
      </w:r>
      <w:r>
        <w:rPr>
          <w:i/>
          <w:sz w:val="22"/>
        </w:rPr>
        <w:t>Annual</w:t>
      </w:r>
      <w:r>
        <w:rPr>
          <w:i/>
          <w:spacing w:val="-3"/>
          <w:sz w:val="22"/>
        </w:rPr>
        <w:t> </w:t>
      </w:r>
      <w:r>
        <w:rPr>
          <w:i/>
          <w:sz w:val="22"/>
        </w:rPr>
        <w:t>Recommendations</w:t>
      </w:r>
      <w:r>
        <w:rPr>
          <w:i/>
          <w:spacing w:val="-4"/>
          <w:sz w:val="22"/>
        </w:rPr>
        <w:t> </w:t>
      </w:r>
      <w:r>
        <w:rPr>
          <w:i/>
          <w:sz w:val="22"/>
        </w:rPr>
        <w:t>Report,</w:t>
      </w:r>
      <w:r>
        <w:rPr>
          <w:i/>
          <w:spacing w:val="-2"/>
          <w:sz w:val="22"/>
        </w:rPr>
        <w:t> </w:t>
      </w:r>
      <w:r>
        <w:rPr>
          <w:i/>
          <w:sz w:val="22"/>
        </w:rPr>
        <w:t>minor</w:t>
      </w:r>
      <w:r>
        <w:rPr>
          <w:i/>
          <w:spacing w:val="-4"/>
          <w:sz w:val="22"/>
        </w:rPr>
        <w:t> </w:t>
      </w:r>
      <w:r>
        <w:rPr>
          <w:i/>
          <w:sz w:val="22"/>
        </w:rPr>
        <w:t>updates</w:t>
      </w:r>
      <w:r>
        <w:rPr>
          <w:i/>
          <w:spacing w:val="-4"/>
          <w:sz w:val="22"/>
        </w:rPr>
        <w:t> </w:t>
      </w:r>
      <w:r>
        <w:rPr>
          <w:i/>
          <w:sz w:val="22"/>
        </w:rPr>
        <w:t>made</w:t>
      </w:r>
      <w:r>
        <w:rPr>
          <w:i/>
          <w:spacing w:val="-3"/>
          <w:sz w:val="22"/>
        </w:rPr>
        <w:t> </w:t>
      </w:r>
      <w:r>
        <w:rPr>
          <w:i/>
          <w:sz w:val="22"/>
        </w:rPr>
        <w:t>to</w:t>
      </w:r>
      <w:r>
        <w:rPr>
          <w:i/>
          <w:spacing w:val="-3"/>
          <w:sz w:val="22"/>
        </w:rPr>
        <w:t> </w:t>
      </w:r>
      <w:r>
        <w:rPr>
          <w:i/>
          <w:sz w:val="22"/>
        </w:rPr>
        <w:t>bring</w:t>
      </w:r>
      <w:r>
        <w:rPr>
          <w:i/>
          <w:spacing w:val="-3"/>
          <w:sz w:val="22"/>
        </w:rPr>
        <w:t> </w:t>
      </w:r>
      <w:r>
        <w:rPr>
          <w:i/>
          <w:sz w:val="22"/>
        </w:rPr>
        <w:t>current</w:t>
      </w:r>
      <w:r>
        <w:rPr>
          <w:i/>
          <w:spacing w:val="-3"/>
          <w:sz w:val="22"/>
        </w:rPr>
        <w:t> </w:t>
      </w:r>
      <w:r>
        <w:rPr>
          <w:i/>
          <w:sz w:val="22"/>
        </w:rPr>
        <w:t>to</w:t>
      </w:r>
      <w:r>
        <w:rPr>
          <w:i/>
          <w:spacing w:val="-3"/>
          <w:sz w:val="22"/>
        </w:rPr>
        <w:t> </w:t>
      </w:r>
      <w:r>
        <w:rPr>
          <w:i/>
          <w:sz w:val="22"/>
        </w:rPr>
        <w:t>FY</w:t>
      </w:r>
      <w:r>
        <w:rPr>
          <w:i/>
          <w:sz w:val="22"/>
        </w:rPr>
        <w:t> </w:t>
      </w:r>
      <w:r>
        <w:rPr>
          <w:i/>
          <w:spacing w:val="-2"/>
          <w:sz w:val="22"/>
        </w:rPr>
        <w:t>2025)</w:t>
      </w:r>
    </w:p>
    <w:p>
      <w:pPr>
        <w:pStyle w:val="BodyText"/>
        <w:spacing w:before="146"/>
        <w:rPr>
          <w:i/>
        </w:rPr>
      </w:pPr>
    </w:p>
    <w:p>
      <w:pPr>
        <w:pStyle w:val="BodyText"/>
        <w:spacing w:line="276" w:lineRule="auto"/>
        <w:ind w:left="363" w:right="142"/>
        <w:jc w:val="both"/>
      </w:pPr>
      <w:r>
        <w:rPr/>
        <w:t>The Commission was founded in the early 1990s to address the significant disparities in LGBTQ youth mental health</w:t>
      </w:r>
      <w:r>
        <w:rPr>
          <w:spacing w:val="-1"/>
        </w:rPr>
        <w:t> </w:t>
      </w:r>
      <w:r>
        <w:rPr/>
        <w:t>occurring during the AIDS</w:t>
      </w:r>
      <w:r>
        <w:rPr>
          <w:spacing w:val="-1"/>
        </w:rPr>
        <w:t> </w:t>
      </w:r>
      <w:r>
        <w:rPr/>
        <w:t>epidemic. Since then, the</w:t>
      </w:r>
      <w:r>
        <w:rPr>
          <w:spacing w:val="-1"/>
        </w:rPr>
        <w:t> </w:t>
      </w:r>
      <w:r>
        <w:rPr/>
        <w:t>Commission</w:t>
      </w:r>
      <w:r>
        <w:rPr>
          <w:spacing w:val="-1"/>
        </w:rPr>
        <w:t> </w:t>
      </w:r>
      <w:r>
        <w:rPr/>
        <w:t>has dedicated much</w:t>
      </w:r>
      <w:r>
        <w:rPr>
          <w:spacing w:val="-1"/>
        </w:rPr>
        <w:t> </w:t>
      </w:r>
      <w:r>
        <w:rPr/>
        <w:t>of its work</w:t>
      </w:r>
      <w:r>
        <w:rPr>
          <w:spacing w:val="-13"/>
        </w:rPr>
        <w:t> </w:t>
      </w:r>
      <w:r>
        <w:rPr/>
        <w:t>and</w:t>
      </w:r>
      <w:r>
        <w:rPr>
          <w:spacing w:val="-12"/>
        </w:rPr>
        <w:t> </w:t>
      </w:r>
      <w:r>
        <w:rPr/>
        <w:t>resources</w:t>
      </w:r>
      <w:r>
        <w:rPr>
          <w:spacing w:val="-13"/>
        </w:rPr>
        <w:t> </w:t>
      </w:r>
      <w:r>
        <w:rPr/>
        <w:t>to</w:t>
      </w:r>
      <w:r>
        <w:rPr>
          <w:spacing w:val="-12"/>
        </w:rPr>
        <w:t> </w:t>
      </w:r>
      <w:r>
        <w:rPr/>
        <w:t>supporting</w:t>
      </w:r>
      <w:r>
        <w:rPr>
          <w:spacing w:val="-13"/>
        </w:rPr>
        <w:t> </w:t>
      </w:r>
      <w:r>
        <w:rPr/>
        <w:t>LGBTQ</w:t>
      </w:r>
      <w:r>
        <w:rPr>
          <w:spacing w:val="-12"/>
        </w:rPr>
        <w:t> </w:t>
      </w:r>
      <w:r>
        <w:rPr/>
        <w:t>youth</w:t>
      </w:r>
      <w:r>
        <w:rPr>
          <w:spacing w:val="-13"/>
        </w:rPr>
        <w:t> </w:t>
      </w:r>
      <w:r>
        <w:rPr/>
        <w:t>sexual</w:t>
      </w:r>
      <w:r>
        <w:rPr>
          <w:spacing w:val="-12"/>
        </w:rPr>
        <w:t> </w:t>
      </w:r>
      <w:r>
        <w:rPr/>
        <w:t>health</w:t>
      </w:r>
      <w:r>
        <w:rPr>
          <w:spacing w:val="-12"/>
        </w:rPr>
        <w:t> </w:t>
      </w:r>
      <w:r>
        <w:rPr/>
        <w:t>through</w:t>
      </w:r>
      <w:r>
        <w:rPr>
          <w:spacing w:val="-13"/>
        </w:rPr>
        <w:t> </w:t>
      </w:r>
      <w:r>
        <w:rPr/>
        <w:t>supporting</w:t>
      </w:r>
      <w:r>
        <w:rPr>
          <w:spacing w:val="-12"/>
        </w:rPr>
        <w:t> </w:t>
      </w:r>
      <w:r>
        <w:rPr/>
        <w:t>policies</w:t>
      </w:r>
      <w:r>
        <w:rPr>
          <w:spacing w:val="-13"/>
        </w:rPr>
        <w:t> </w:t>
      </w:r>
      <w:r>
        <w:rPr/>
        <w:t>increasing</w:t>
      </w:r>
      <w:r>
        <w:rPr>
          <w:spacing w:val="-12"/>
        </w:rPr>
        <w:t> </w:t>
      </w:r>
      <w:r>
        <w:rPr/>
        <w:t>access to PrEP and PEP; advocating for comprehensive sexual health education; addressing factors leading to disparities</w:t>
      </w:r>
      <w:r>
        <w:rPr>
          <w:spacing w:val="-7"/>
        </w:rPr>
        <w:t> </w:t>
      </w:r>
      <w:r>
        <w:rPr/>
        <w:t>around</w:t>
      </w:r>
      <w:r>
        <w:rPr>
          <w:spacing w:val="-8"/>
        </w:rPr>
        <w:t> </w:t>
      </w:r>
      <w:r>
        <w:rPr/>
        <w:t>sexual</w:t>
      </w:r>
      <w:r>
        <w:rPr>
          <w:spacing w:val="-8"/>
        </w:rPr>
        <w:t> </w:t>
      </w:r>
      <w:r>
        <w:rPr/>
        <w:t>victimization;</w:t>
      </w:r>
      <w:r>
        <w:rPr>
          <w:spacing w:val="-5"/>
        </w:rPr>
        <w:t> </w:t>
      </w:r>
      <w:r>
        <w:rPr/>
        <w:t>and</w:t>
      </w:r>
      <w:r>
        <w:rPr>
          <w:spacing w:val="-8"/>
        </w:rPr>
        <w:t> </w:t>
      </w:r>
      <w:r>
        <w:rPr/>
        <w:t>more.</w:t>
      </w:r>
      <w:r>
        <w:rPr>
          <w:spacing w:val="-8"/>
        </w:rPr>
        <w:t> </w:t>
      </w:r>
      <w:r>
        <w:rPr/>
        <w:t>While</w:t>
      </w:r>
      <w:r>
        <w:rPr>
          <w:spacing w:val="-8"/>
        </w:rPr>
        <w:t> </w:t>
      </w:r>
      <w:r>
        <w:rPr/>
        <w:t>Massachusetts</w:t>
      </w:r>
      <w:r>
        <w:rPr>
          <w:spacing w:val="-7"/>
        </w:rPr>
        <w:t> </w:t>
      </w:r>
      <w:r>
        <w:rPr/>
        <w:t>remains</w:t>
      </w:r>
      <w:r>
        <w:rPr>
          <w:spacing w:val="-7"/>
        </w:rPr>
        <w:t> </w:t>
      </w:r>
      <w:r>
        <w:rPr/>
        <w:t>a</w:t>
      </w:r>
      <w:r>
        <w:rPr>
          <w:spacing w:val="-7"/>
        </w:rPr>
        <w:t> </w:t>
      </w:r>
      <w:r>
        <w:rPr/>
        <w:t>leader</w:t>
      </w:r>
      <w:r>
        <w:rPr>
          <w:spacing w:val="-6"/>
        </w:rPr>
        <w:t> </w:t>
      </w:r>
      <w:r>
        <w:rPr/>
        <w:t>in</w:t>
      </w:r>
      <w:r>
        <w:rPr>
          <w:spacing w:val="-5"/>
        </w:rPr>
        <w:t> </w:t>
      </w:r>
      <w:r>
        <w:rPr/>
        <w:t>many</w:t>
      </w:r>
      <w:r>
        <w:rPr>
          <w:spacing w:val="-7"/>
        </w:rPr>
        <w:t> </w:t>
      </w:r>
      <w:r>
        <w:rPr/>
        <w:t>areas</w:t>
      </w:r>
      <w:r>
        <w:rPr>
          <w:spacing w:val="-7"/>
        </w:rPr>
        <w:t> </w:t>
      </w:r>
      <w:r>
        <w:rPr/>
        <w:t>of LGBTQ</w:t>
      </w:r>
      <w:r>
        <w:rPr>
          <w:spacing w:val="-9"/>
        </w:rPr>
        <w:t> </w:t>
      </w:r>
      <w:r>
        <w:rPr/>
        <w:t>legal</w:t>
      </w:r>
      <w:r>
        <w:rPr>
          <w:spacing w:val="-9"/>
        </w:rPr>
        <w:t> </w:t>
      </w:r>
      <w:r>
        <w:rPr/>
        <w:t>protections,</w:t>
      </w:r>
      <w:r>
        <w:rPr>
          <w:spacing w:val="-9"/>
        </w:rPr>
        <w:t> </w:t>
      </w:r>
      <w:r>
        <w:rPr/>
        <w:t>there</w:t>
      </w:r>
      <w:r>
        <w:rPr>
          <w:spacing w:val="-10"/>
        </w:rPr>
        <w:t> </w:t>
      </w:r>
      <w:r>
        <w:rPr/>
        <w:t>still</w:t>
      </w:r>
      <w:r>
        <w:rPr>
          <w:spacing w:val="-10"/>
        </w:rPr>
        <w:t> </w:t>
      </w:r>
      <w:r>
        <w:rPr/>
        <w:t>remain</w:t>
      </w:r>
      <w:r>
        <w:rPr>
          <w:spacing w:val="-10"/>
        </w:rPr>
        <w:t> </w:t>
      </w:r>
      <w:r>
        <w:rPr/>
        <w:t>a</w:t>
      </w:r>
      <w:r>
        <w:rPr>
          <w:spacing w:val="-9"/>
        </w:rPr>
        <w:t> </w:t>
      </w:r>
      <w:r>
        <w:rPr/>
        <w:t>concerning</w:t>
      </w:r>
      <w:r>
        <w:rPr>
          <w:spacing w:val="-10"/>
        </w:rPr>
        <w:t> </w:t>
      </w:r>
      <w:r>
        <w:rPr/>
        <w:t>number</w:t>
      </w:r>
      <w:r>
        <w:rPr>
          <w:spacing w:val="-10"/>
        </w:rPr>
        <w:t> </w:t>
      </w:r>
      <w:r>
        <w:rPr/>
        <w:t>of</w:t>
      </w:r>
      <w:r>
        <w:rPr>
          <w:spacing w:val="-8"/>
        </w:rPr>
        <w:t> </w:t>
      </w:r>
      <w:r>
        <w:rPr/>
        <w:t>areas</w:t>
      </w:r>
      <w:r>
        <w:rPr>
          <w:spacing w:val="-10"/>
        </w:rPr>
        <w:t> </w:t>
      </w:r>
      <w:r>
        <w:rPr/>
        <w:t>where</w:t>
      </w:r>
      <w:r>
        <w:rPr>
          <w:spacing w:val="-9"/>
        </w:rPr>
        <w:t> </w:t>
      </w:r>
      <w:r>
        <w:rPr/>
        <w:t>the</w:t>
      </w:r>
      <w:r>
        <w:rPr>
          <w:spacing w:val="-10"/>
        </w:rPr>
        <w:t> </w:t>
      </w:r>
      <w:r>
        <w:rPr/>
        <w:t>state</w:t>
      </w:r>
      <w:r>
        <w:rPr>
          <w:spacing w:val="-9"/>
        </w:rPr>
        <w:t> </w:t>
      </w:r>
      <w:r>
        <w:rPr/>
        <w:t>has</w:t>
      </w:r>
      <w:r>
        <w:rPr>
          <w:spacing w:val="-10"/>
        </w:rPr>
        <w:t> </w:t>
      </w:r>
      <w:r>
        <w:rPr/>
        <w:t>failed</w:t>
      </w:r>
      <w:r>
        <w:rPr>
          <w:spacing w:val="-9"/>
        </w:rPr>
        <w:t> </w:t>
      </w:r>
      <w:r>
        <w:rPr/>
        <w:t>to</w:t>
      </w:r>
      <w:r>
        <w:rPr>
          <w:spacing w:val="-10"/>
        </w:rPr>
        <w:t> </w:t>
      </w:r>
      <w:r>
        <w:rPr/>
        <w:t>stay ahead and ensure that the unique gaps in resources, education, and services for LGBTQ youth are </w:t>
      </w:r>
      <w:r>
        <w:rPr>
          <w:spacing w:val="-2"/>
        </w:rPr>
        <w:t>addressed.</w:t>
      </w:r>
    </w:p>
    <w:p>
      <w:pPr>
        <w:pStyle w:val="BodyText"/>
        <w:spacing w:line="276" w:lineRule="auto" w:before="120"/>
        <w:ind w:left="363" w:right="140"/>
        <w:jc w:val="both"/>
      </w:pPr>
      <w:r>
        <w:rPr/>
        <w:t>To this day, across the state</w:t>
      </w:r>
      <w:r>
        <w:rPr>
          <w:spacing w:val="-1"/>
        </w:rPr>
        <w:t> </w:t>
      </w:r>
      <w:r>
        <w:rPr/>
        <w:t>and the nation, LGBTQ</w:t>
      </w:r>
      <w:r>
        <w:rPr>
          <w:spacing w:val="-1"/>
        </w:rPr>
        <w:t> </w:t>
      </w:r>
      <w:r>
        <w:rPr/>
        <w:t>youth</w:t>
      </w:r>
      <w:r>
        <w:rPr>
          <w:spacing w:val="-1"/>
        </w:rPr>
        <w:t> </w:t>
      </w:r>
      <w:r>
        <w:rPr/>
        <w:t>remain at</w:t>
      </w:r>
      <w:r>
        <w:rPr>
          <w:spacing w:val="-1"/>
        </w:rPr>
        <w:t> </w:t>
      </w:r>
      <w:r>
        <w:rPr/>
        <w:t>a higher risk</w:t>
      </w:r>
      <w:r>
        <w:rPr>
          <w:spacing w:val="-1"/>
        </w:rPr>
        <w:t> </w:t>
      </w:r>
      <w:r>
        <w:rPr/>
        <w:t>for STIs, HIV, and</w:t>
      </w:r>
      <w:r>
        <w:rPr>
          <w:spacing w:val="-1"/>
        </w:rPr>
        <w:t> </w:t>
      </w:r>
      <w:r>
        <w:rPr/>
        <w:t>sexual violence.</w:t>
      </w:r>
      <w:r>
        <w:rPr>
          <w:spacing w:val="-7"/>
        </w:rPr>
        <w:t> </w:t>
      </w:r>
      <w:r>
        <w:rPr/>
        <w:t>Furthermore,</w:t>
      </w:r>
      <w:r>
        <w:rPr>
          <w:spacing w:val="-7"/>
        </w:rPr>
        <w:t> </w:t>
      </w:r>
      <w:r>
        <w:rPr/>
        <w:t>as</w:t>
      </w:r>
      <w:r>
        <w:rPr>
          <w:spacing w:val="-6"/>
        </w:rPr>
        <w:t> </w:t>
      </w:r>
      <w:r>
        <w:rPr/>
        <w:t>discussed</w:t>
      </w:r>
      <w:r>
        <w:rPr>
          <w:spacing w:val="-7"/>
        </w:rPr>
        <w:t> </w:t>
      </w:r>
      <w:r>
        <w:rPr/>
        <w:t>in</w:t>
      </w:r>
      <w:r>
        <w:rPr>
          <w:spacing w:val="-7"/>
        </w:rPr>
        <w:t> </w:t>
      </w:r>
      <w:r>
        <w:rPr/>
        <w:t>the</w:t>
      </w:r>
      <w:r>
        <w:rPr>
          <w:spacing w:val="-7"/>
        </w:rPr>
        <w:t> </w:t>
      </w:r>
      <w:r>
        <w:rPr/>
        <w:t>pregnancy</w:t>
      </w:r>
      <w:r>
        <w:rPr>
          <w:spacing w:val="-6"/>
        </w:rPr>
        <w:t> </w:t>
      </w:r>
      <w:r>
        <w:rPr/>
        <w:t>section</w:t>
      </w:r>
      <w:r>
        <w:rPr>
          <w:spacing w:val="-8"/>
        </w:rPr>
        <w:t> </w:t>
      </w:r>
      <w:r>
        <w:rPr/>
        <w:t>of</w:t>
      </w:r>
      <w:r>
        <w:rPr>
          <w:spacing w:val="-6"/>
        </w:rPr>
        <w:t> </w:t>
      </w:r>
      <w:r>
        <w:rPr/>
        <w:t>this</w:t>
      </w:r>
      <w:r>
        <w:rPr>
          <w:spacing w:val="-7"/>
        </w:rPr>
        <w:t> </w:t>
      </w:r>
      <w:r>
        <w:rPr/>
        <w:t>annual</w:t>
      </w:r>
      <w:r>
        <w:rPr>
          <w:spacing w:val="-7"/>
        </w:rPr>
        <w:t> </w:t>
      </w:r>
      <w:r>
        <w:rPr/>
        <w:t>report,</w:t>
      </w:r>
      <w:r>
        <w:rPr>
          <w:spacing w:val="-7"/>
        </w:rPr>
        <w:t> </w:t>
      </w:r>
      <w:r>
        <w:rPr/>
        <w:t>LGBTQ</w:t>
      </w:r>
      <w:r>
        <w:rPr>
          <w:spacing w:val="-7"/>
        </w:rPr>
        <w:t> </w:t>
      </w:r>
      <w:r>
        <w:rPr/>
        <w:t>youth</w:t>
      </w:r>
      <w:r>
        <w:rPr>
          <w:spacing w:val="-7"/>
        </w:rPr>
        <w:t> </w:t>
      </w:r>
      <w:r>
        <w:rPr/>
        <w:t>are</w:t>
      </w:r>
      <w:r>
        <w:rPr>
          <w:spacing w:val="-8"/>
        </w:rPr>
        <w:t> </w:t>
      </w:r>
      <w:r>
        <w:rPr/>
        <w:t>often left out of conversations around national and statewide conversations involving pregnancy, abortion access, and gynecological health, but often face significant disparities in access and care. Compounding these issues, LGBTQ youth frequently encounter barriers to accessing contraceptives, affirming medical care, and inclusive sexual health education. Across the nation, 29 states and D.C. mandate sexual health education in schools, though only 7 states require curricula to include information on sexual orientation and</w:t>
      </w:r>
      <w:r>
        <w:rPr>
          <w:spacing w:val="-11"/>
        </w:rPr>
        <w:t> </w:t>
      </w:r>
      <w:r>
        <w:rPr/>
        <w:t>gender</w:t>
      </w:r>
      <w:r>
        <w:rPr>
          <w:spacing w:val="-11"/>
        </w:rPr>
        <w:t> </w:t>
      </w:r>
      <w:r>
        <w:rPr/>
        <w:t>identity</w:t>
      </w:r>
      <w:r>
        <w:rPr>
          <w:spacing w:val="-9"/>
        </w:rPr>
        <w:t> </w:t>
      </w:r>
      <w:r>
        <w:rPr/>
        <w:t>-</w:t>
      </w:r>
      <w:r>
        <w:rPr>
          <w:spacing w:val="-11"/>
        </w:rPr>
        <w:t> </w:t>
      </w:r>
      <w:r>
        <w:rPr/>
        <w:t>Massachusetts,</w:t>
      </w:r>
      <w:r>
        <w:rPr>
          <w:spacing w:val="-11"/>
        </w:rPr>
        <w:t> </w:t>
      </w:r>
      <w:r>
        <w:rPr/>
        <w:t>which</w:t>
      </w:r>
      <w:r>
        <w:rPr>
          <w:spacing w:val="-11"/>
        </w:rPr>
        <w:t> </w:t>
      </w:r>
      <w:r>
        <w:rPr/>
        <w:t>has</w:t>
      </w:r>
      <w:r>
        <w:rPr>
          <w:spacing w:val="-11"/>
        </w:rPr>
        <w:t> </w:t>
      </w:r>
      <w:r>
        <w:rPr/>
        <w:t>not</w:t>
      </w:r>
      <w:r>
        <w:rPr>
          <w:spacing w:val="-12"/>
        </w:rPr>
        <w:t> </w:t>
      </w:r>
      <w:r>
        <w:rPr/>
        <w:t>updated</w:t>
      </w:r>
      <w:r>
        <w:rPr>
          <w:spacing w:val="-11"/>
        </w:rPr>
        <w:t> </w:t>
      </w:r>
      <w:r>
        <w:rPr/>
        <w:t>its</w:t>
      </w:r>
      <w:r>
        <w:rPr>
          <w:spacing w:val="-11"/>
        </w:rPr>
        <w:t> </w:t>
      </w:r>
      <w:r>
        <w:rPr/>
        <w:t>education</w:t>
      </w:r>
      <w:r>
        <w:rPr>
          <w:spacing w:val="-11"/>
        </w:rPr>
        <w:t> </w:t>
      </w:r>
      <w:r>
        <w:rPr/>
        <w:t>standards</w:t>
      </w:r>
      <w:r>
        <w:rPr>
          <w:spacing w:val="-11"/>
        </w:rPr>
        <w:t> </w:t>
      </w:r>
      <w:r>
        <w:rPr/>
        <w:t>since</w:t>
      </w:r>
      <w:r>
        <w:rPr>
          <w:spacing w:val="-11"/>
        </w:rPr>
        <w:t> </w:t>
      </w:r>
      <w:r>
        <w:rPr/>
        <w:t>1999,</w:t>
      </w:r>
      <w:r>
        <w:rPr>
          <w:spacing w:val="-11"/>
        </w:rPr>
        <w:t> </w:t>
      </w:r>
      <w:r>
        <w:rPr/>
        <w:t>mandates </w:t>
      </w:r>
      <w:r>
        <w:rPr>
          <w:spacing w:val="-2"/>
        </w:rPr>
        <w:t>neither.</w:t>
      </w:r>
      <w:r>
        <w:rPr>
          <w:spacing w:val="-2"/>
          <w:vertAlign w:val="superscript"/>
        </w:rPr>
        <w:t>1</w:t>
      </w:r>
    </w:p>
    <w:p>
      <w:pPr>
        <w:pStyle w:val="BodyText"/>
        <w:spacing w:line="276" w:lineRule="auto" w:before="120"/>
        <w:ind w:left="363" w:right="143"/>
        <w:jc w:val="both"/>
      </w:pPr>
      <w:r>
        <w:rPr/>
        <w:t>As highlighted in numerous areas throughout this report, sexual health goes beyond just conversations around HIV, AIDS, and education. The following recommendations highlight solutions for critical gaps in Massachusetts</w:t>
      </w:r>
      <w:r>
        <w:rPr>
          <w:spacing w:val="-4"/>
        </w:rPr>
        <w:t> </w:t>
      </w:r>
      <w:r>
        <w:rPr/>
        <w:t>policies</w:t>
      </w:r>
      <w:r>
        <w:rPr>
          <w:spacing w:val="-4"/>
        </w:rPr>
        <w:t> </w:t>
      </w:r>
      <w:r>
        <w:rPr/>
        <w:t>and</w:t>
      </w:r>
      <w:r>
        <w:rPr>
          <w:spacing w:val="-4"/>
        </w:rPr>
        <w:t> </w:t>
      </w:r>
      <w:r>
        <w:rPr/>
        <w:t>services,</w:t>
      </w:r>
      <w:r>
        <w:rPr>
          <w:spacing w:val="-4"/>
        </w:rPr>
        <w:t> </w:t>
      </w:r>
      <w:r>
        <w:rPr/>
        <w:t>while</w:t>
      </w:r>
      <w:r>
        <w:rPr>
          <w:spacing w:val="-4"/>
        </w:rPr>
        <w:t> </w:t>
      </w:r>
      <w:r>
        <w:rPr/>
        <w:t>also</w:t>
      </w:r>
      <w:r>
        <w:rPr>
          <w:spacing w:val="-4"/>
        </w:rPr>
        <w:t> </w:t>
      </w:r>
      <w:r>
        <w:rPr/>
        <w:t>taking</w:t>
      </w:r>
      <w:r>
        <w:rPr>
          <w:spacing w:val="-4"/>
        </w:rPr>
        <w:t> </w:t>
      </w:r>
      <w:r>
        <w:rPr/>
        <w:t>a</w:t>
      </w:r>
      <w:r>
        <w:rPr>
          <w:spacing w:val="-3"/>
        </w:rPr>
        <w:t> </w:t>
      </w:r>
      <w:r>
        <w:rPr/>
        <w:t>broader</w:t>
      </w:r>
      <w:r>
        <w:rPr>
          <w:spacing w:val="-4"/>
        </w:rPr>
        <w:t> </w:t>
      </w:r>
      <w:r>
        <w:rPr/>
        <w:t>look</w:t>
      </w:r>
      <w:r>
        <w:rPr>
          <w:spacing w:val="-4"/>
        </w:rPr>
        <w:t> </w:t>
      </w:r>
      <w:r>
        <w:rPr/>
        <w:t>at</w:t>
      </w:r>
      <w:r>
        <w:rPr>
          <w:spacing w:val="-4"/>
        </w:rPr>
        <w:t> </w:t>
      </w:r>
      <w:r>
        <w:rPr/>
        <w:t>how</w:t>
      </w:r>
      <w:r>
        <w:rPr>
          <w:spacing w:val="-3"/>
        </w:rPr>
        <w:t> </w:t>
      </w:r>
      <w:r>
        <w:rPr/>
        <w:t>LGBTQ</w:t>
      </w:r>
      <w:r>
        <w:rPr>
          <w:spacing w:val="-3"/>
        </w:rPr>
        <w:t> </w:t>
      </w:r>
      <w:r>
        <w:rPr/>
        <w:t>youth</w:t>
      </w:r>
      <w:r>
        <w:rPr>
          <w:spacing w:val="-2"/>
        </w:rPr>
        <w:t> </w:t>
      </w:r>
      <w:r>
        <w:rPr/>
        <w:t>are</w:t>
      </w:r>
      <w:r>
        <w:rPr>
          <w:spacing w:val="-4"/>
        </w:rPr>
        <w:t> </w:t>
      </w:r>
      <w:r>
        <w:rPr/>
        <w:t>affected</w:t>
      </w:r>
      <w:r>
        <w:rPr>
          <w:spacing w:val="-3"/>
        </w:rPr>
        <w:t> </w:t>
      </w:r>
      <w:r>
        <w:rPr/>
        <w:t>by poor sexual health policies across the state.</w:t>
      </w:r>
    </w:p>
    <w:p>
      <w:pPr>
        <w:pStyle w:val="BodyText"/>
        <w:spacing w:before="129"/>
      </w:pPr>
    </w:p>
    <w:p>
      <w:pPr>
        <w:spacing w:before="0"/>
        <w:ind w:left="363" w:right="0" w:firstLine="0"/>
        <w:jc w:val="both"/>
        <w:rPr>
          <w:sz w:val="28"/>
        </w:rPr>
      </w:pPr>
      <w:r>
        <w:rPr/>
        <mc:AlternateContent>
          <mc:Choice Requires="wps">
            <w:drawing>
              <wp:anchor distT="0" distB="0" distL="0" distR="0" allowOverlap="1" layoutInCell="1" locked="0" behindDoc="1" simplePos="0" relativeHeight="487643648">
                <wp:simplePos x="0" y="0"/>
                <wp:positionH relativeFrom="page">
                  <wp:posOffset>897636</wp:posOffset>
                </wp:positionH>
                <wp:positionV relativeFrom="paragraph">
                  <wp:posOffset>230755</wp:posOffset>
                </wp:positionV>
                <wp:extent cx="6014720" cy="6350"/>
                <wp:effectExtent l="0" t="0" r="0" b="0"/>
                <wp:wrapTopAndBottom/>
                <wp:docPr id="320" name="Graphic 320"/>
                <wp:cNvGraphicFramePr>
                  <a:graphicFrameLocks/>
                </wp:cNvGraphicFramePr>
                <a:graphic>
                  <a:graphicData uri="http://schemas.microsoft.com/office/word/2010/wordprocessingShape">
                    <wps:wsp>
                      <wps:cNvPr id="320" name="Graphic 320"/>
                      <wps:cNvSpPr/>
                      <wps:spPr>
                        <a:xfrm>
                          <a:off x="0" y="0"/>
                          <a:ext cx="6014720" cy="6350"/>
                        </a:xfrm>
                        <a:custGeom>
                          <a:avLst/>
                          <a:gdLst/>
                          <a:ahLst/>
                          <a:cxnLst/>
                          <a:rect l="l" t="t" r="r" b="b"/>
                          <a:pathLst>
                            <a:path w="6014720" h="6350">
                              <a:moveTo>
                                <a:pt x="6014466" y="0"/>
                              </a:moveTo>
                              <a:lnTo>
                                <a:pt x="0" y="0"/>
                              </a:lnTo>
                              <a:lnTo>
                                <a:pt x="0" y="6096"/>
                              </a:lnTo>
                              <a:lnTo>
                                <a:pt x="6014466" y="6096"/>
                              </a:lnTo>
                              <a:lnTo>
                                <a:pt x="6014466" y="0"/>
                              </a:lnTo>
                              <a:close/>
                            </a:path>
                          </a:pathLst>
                        </a:custGeom>
                        <a:solidFill>
                          <a:srgbClr val="4F81BC"/>
                        </a:solidFill>
                      </wps:spPr>
                      <wps:bodyPr wrap="square" lIns="0" tIns="0" rIns="0" bIns="0" rtlCol="0">
                        <a:prstTxWarp prst="textNoShape">
                          <a:avLst/>
                        </a:prstTxWarp>
                        <a:noAutofit/>
                      </wps:bodyPr>
                    </wps:wsp>
                  </a:graphicData>
                </a:graphic>
              </wp:anchor>
            </w:drawing>
          </mc:Choice>
          <mc:Fallback>
            <w:pict>
              <v:rect style="position:absolute;margin-left:70.680pt;margin-top:18.169731pt;width:473.58pt;height:.48pt;mso-position-horizontal-relative:page;mso-position-vertical-relative:paragraph;z-index:-15672832;mso-wrap-distance-left:0;mso-wrap-distance-right:0" id="docshape253" filled="true" fillcolor="#4f81bc" stroked="false">
                <v:fill type="solid"/>
                <w10:wrap type="topAndBottom"/>
              </v:rect>
            </w:pict>
          </mc:Fallback>
        </mc:AlternateContent>
      </w:r>
      <w:r>
        <w:rPr/>
        <mc:AlternateContent>
          <mc:Choice Requires="wps">
            <w:drawing>
              <wp:anchor distT="0" distB="0" distL="0" distR="0" allowOverlap="1" layoutInCell="1" locked="0" behindDoc="1" simplePos="0" relativeHeight="487644160">
                <wp:simplePos x="0" y="0"/>
                <wp:positionH relativeFrom="page">
                  <wp:posOffset>889000</wp:posOffset>
                </wp:positionH>
                <wp:positionV relativeFrom="paragraph">
                  <wp:posOffset>288019</wp:posOffset>
                </wp:positionV>
                <wp:extent cx="6350" cy="12700"/>
                <wp:effectExtent l="0" t="0" r="0" b="0"/>
                <wp:wrapTopAndBottom/>
                <wp:docPr id="321" name="Graphic 321"/>
                <wp:cNvGraphicFramePr>
                  <a:graphicFrameLocks/>
                </wp:cNvGraphicFramePr>
                <a:graphic>
                  <a:graphicData uri="http://schemas.microsoft.com/office/word/2010/wordprocessingShape">
                    <wps:wsp>
                      <wps:cNvPr id="321" name="Graphic 321"/>
                      <wps:cNvSpPr/>
                      <wps:spPr>
                        <a:xfrm>
                          <a:off x="0" y="0"/>
                          <a:ext cx="6350" cy="12700"/>
                        </a:xfrm>
                        <a:custGeom>
                          <a:avLst/>
                          <a:gdLst/>
                          <a:ahLst/>
                          <a:cxnLst/>
                          <a:rect l="l" t="t" r="r" b="b"/>
                          <a:pathLst>
                            <a:path w="6350" h="12700">
                              <a:moveTo>
                                <a:pt x="6337" y="0"/>
                              </a:moveTo>
                              <a:lnTo>
                                <a:pt x="0" y="0"/>
                              </a:lnTo>
                              <a:lnTo>
                                <a:pt x="0" y="12179"/>
                              </a:lnTo>
                              <a:lnTo>
                                <a:pt x="6337" y="12179"/>
                              </a:lnTo>
                              <a:lnTo>
                                <a:pt x="6337" y="0"/>
                              </a:lnTo>
                              <a:close/>
                            </a:path>
                          </a:pathLst>
                        </a:custGeom>
                        <a:solidFill>
                          <a:srgbClr val="0F6DC5"/>
                        </a:solidFill>
                      </wps:spPr>
                      <wps:bodyPr wrap="square" lIns="0" tIns="0" rIns="0" bIns="0" rtlCol="0">
                        <a:prstTxWarp prst="textNoShape">
                          <a:avLst/>
                        </a:prstTxWarp>
                        <a:noAutofit/>
                      </wps:bodyPr>
                    </wps:wsp>
                  </a:graphicData>
                </a:graphic>
              </wp:anchor>
            </w:drawing>
          </mc:Choice>
          <mc:Fallback>
            <w:pict>
              <v:rect style="position:absolute;margin-left:70pt;margin-top:22.67873pt;width:.499pt;height:.959pt;mso-position-horizontal-relative:page;mso-position-vertical-relative:paragraph;z-index:-15672320;mso-wrap-distance-left:0;mso-wrap-distance-right:0" id="docshape254" filled="true" fillcolor="#0f6dc5" stroked="false">
                <v:fill type="solid"/>
                <w10:wrap type="topAndBottom"/>
              </v:rect>
            </w:pict>
          </mc:Fallback>
        </mc:AlternateContent>
      </w:r>
      <w:bookmarkStart w:name="FY 2025 Recommendations to the Governor " w:id="464"/>
      <w:bookmarkEnd w:id="464"/>
      <w:r>
        <w:rPr/>
      </w:r>
      <w:r>
        <w:rPr>
          <w:color w:val="365F91"/>
          <w:sz w:val="28"/>
        </w:rPr>
        <w:t>FY</w:t>
      </w:r>
      <w:r>
        <w:rPr>
          <w:color w:val="365F91"/>
          <w:spacing w:val="-10"/>
          <w:sz w:val="28"/>
        </w:rPr>
        <w:t> </w:t>
      </w:r>
      <w:r>
        <w:rPr>
          <w:color w:val="365F91"/>
          <w:sz w:val="28"/>
        </w:rPr>
        <w:t>2025</w:t>
      </w:r>
      <w:r>
        <w:rPr>
          <w:color w:val="365F91"/>
          <w:spacing w:val="-10"/>
          <w:sz w:val="28"/>
        </w:rPr>
        <w:t> </w:t>
      </w:r>
      <w:r>
        <w:rPr>
          <w:color w:val="365F91"/>
          <w:sz w:val="28"/>
        </w:rPr>
        <w:t>Recommendations</w:t>
      </w:r>
      <w:r>
        <w:rPr>
          <w:color w:val="365F91"/>
          <w:spacing w:val="-9"/>
          <w:sz w:val="28"/>
        </w:rPr>
        <w:t> </w:t>
      </w:r>
      <w:r>
        <w:rPr>
          <w:color w:val="365F91"/>
          <w:sz w:val="28"/>
        </w:rPr>
        <w:t>to</w:t>
      </w:r>
      <w:r>
        <w:rPr>
          <w:color w:val="365F91"/>
          <w:spacing w:val="-9"/>
          <w:sz w:val="28"/>
        </w:rPr>
        <w:t> </w:t>
      </w:r>
      <w:r>
        <w:rPr>
          <w:color w:val="365F91"/>
          <w:sz w:val="28"/>
        </w:rPr>
        <w:t>the</w:t>
      </w:r>
      <w:r>
        <w:rPr>
          <w:color w:val="365F91"/>
          <w:spacing w:val="-10"/>
          <w:sz w:val="28"/>
        </w:rPr>
        <w:t> </w:t>
      </w:r>
      <w:r>
        <w:rPr>
          <w:color w:val="365F91"/>
          <w:sz w:val="28"/>
        </w:rPr>
        <w:t>Governor</w:t>
      </w:r>
      <w:r>
        <w:rPr>
          <w:color w:val="365F91"/>
          <w:spacing w:val="-10"/>
          <w:sz w:val="28"/>
        </w:rPr>
        <w:t> </w:t>
      </w:r>
      <w:r>
        <w:rPr>
          <w:color w:val="365F91"/>
          <w:sz w:val="28"/>
        </w:rPr>
        <w:t>and</w:t>
      </w:r>
      <w:r>
        <w:rPr>
          <w:color w:val="365F91"/>
          <w:spacing w:val="-11"/>
          <w:sz w:val="28"/>
        </w:rPr>
        <w:t> </w:t>
      </w:r>
      <w:r>
        <w:rPr>
          <w:color w:val="365F91"/>
          <w:sz w:val="28"/>
        </w:rPr>
        <w:t>Legislature</w:t>
      </w:r>
      <w:r>
        <w:rPr>
          <w:color w:val="365F91"/>
          <w:spacing w:val="-9"/>
          <w:sz w:val="28"/>
        </w:rPr>
        <w:t> </w:t>
      </w:r>
      <w:r>
        <w:rPr>
          <w:color w:val="365F91"/>
          <w:sz w:val="28"/>
        </w:rPr>
        <w:t>on</w:t>
      </w:r>
      <w:r>
        <w:rPr>
          <w:color w:val="365F91"/>
          <w:spacing w:val="-11"/>
          <w:sz w:val="28"/>
        </w:rPr>
        <w:t> </w:t>
      </w:r>
      <w:r>
        <w:rPr>
          <w:color w:val="365F91"/>
          <w:sz w:val="28"/>
        </w:rPr>
        <w:t>Sexual</w:t>
      </w:r>
      <w:r>
        <w:rPr>
          <w:color w:val="365F91"/>
          <w:spacing w:val="-9"/>
          <w:sz w:val="28"/>
        </w:rPr>
        <w:t> </w:t>
      </w:r>
      <w:r>
        <w:rPr>
          <w:color w:val="365F91"/>
          <w:spacing w:val="-2"/>
          <w:sz w:val="28"/>
        </w:rPr>
        <w:t>Health</w:t>
      </w:r>
    </w:p>
    <w:p>
      <w:pPr>
        <w:pStyle w:val="BodyText"/>
        <w:spacing w:before="7"/>
        <w:rPr>
          <w:sz w:val="4"/>
        </w:rPr>
      </w:pPr>
    </w:p>
    <w:p>
      <w:pPr>
        <w:numPr>
          <w:ilvl w:val="0"/>
          <w:numId w:val="23"/>
        </w:numPr>
        <w:tabs>
          <w:tab w:pos="602" w:val="left" w:leader="none"/>
        </w:tabs>
        <w:spacing w:line="276" w:lineRule="auto" w:before="101"/>
        <w:ind w:left="363" w:right="143" w:firstLine="0"/>
        <w:jc w:val="left"/>
        <w:rPr>
          <w:b/>
          <w:sz w:val="22"/>
        </w:rPr>
      </w:pPr>
      <w:bookmarkStart w:name="1. Ensure that all youth have access to " w:id="465"/>
      <w:bookmarkEnd w:id="465"/>
      <w:r>
        <w:rPr/>
      </w:r>
      <w:r>
        <w:rPr>
          <w:b/>
          <w:sz w:val="22"/>
        </w:rPr>
        <w:t>Ensure</w:t>
      </w:r>
      <w:r>
        <w:rPr>
          <w:b/>
          <w:spacing w:val="26"/>
          <w:sz w:val="22"/>
        </w:rPr>
        <w:t> </w:t>
      </w:r>
      <w:r>
        <w:rPr>
          <w:b/>
          <w:sz w:val="22"/>
        </w:rPr>
        <w:t>that</w:t>
      </w:r>
      <w:r>
        <w:rPr>
          <w:b/>
          <w:spacing w:val="26"/>
          <w:sz w:val="22"/>
        </w:rPr>
        <w:t> </w:t>
      </w:r>
      <w:r>
        <w:rPr>
          <w:b/>
          <w:sz w:val="22"/>
        </w:rPr>
        <w:t>all</w:t>
      </w:r>
      <w:r>
        <w:rPr>
          <w:b/>
          <w:spacing w:val="26"/>
          <w:sz w:val="22"/>
        </w:rPr>
        <w:t> </w:t>
      </w:r>
      <w:r>
        <w:rPr>
          <w:b/>
          <w:sz w:val="22"/>
        </w:rPr>
        <w:t>youth</w:t>
      </w:r>
      <w:r>
        <w:rPr>
          <w:b/>
          <w:spacing w:val="26"/>
          <w:sz w:val="22"/>
        </w:rPr>
        <w:t> </w:t>
      </w:r>
      <w:r>
        <w:rPr>
          <w:b/>
          <w:sz w:val="22"/>
        </w:rPr>
        <w:t>have</w:t>
      </w:r>
      <w:r>
        <w:rPr>
          <w:b/>
          <w:spacing w:val="26"/>
          <w:sz w:val="22"/>
        </w:rPr>
        <w:t> </w:t>
      </w:r>
      <w:r>
        <w:rPr>
          <w:b/>
          <w:sz w:val="22"/>
        </w:rPr>
        <w:t>access</w:t>
      </w:r>
      <w:r>
        <w:rPr>
          <w:b/>
          <w:spacing w:val="28"/>
          <w:sz w:val="22"/>
        </w:rPr>
        <w:t> </w:t>
      </w:r>
      <w:r>
        <w:rPr>
          <w:b/>
          <w:sz w:val="22"/>
        </w:rPr>
        <w:t>to</w:t>
      </w:r>
      <w:r>
        <w:rPr>
          <w:b/>
          <w:spacing w:val="26"/>
          <w:sz w:val="22"/>
        </w:rPr>
        <w:t> </w:t>
      </w:r>
      <w:r>
        <w:rPr>
          <w:b/>
          <w:sz w:val="22"/>
        </w:rPr>
        <w:t>age-appropriate,</w:t>
      </w:r>
      <w:r>
        <w:rPr>
          <w:b/>
          <w:spacing w:val="26"/>
          <w:sz w:val="22"/>
        </w:rPr>
        <w:t> </w:t>
      </w:r>
      <w:r>
        <w:rPr>
          <w:b/>
          <w:sz w:val="22"/>
        </w:rPr>
        <w:t>LGBTQ-inclusive,</w:t>
      </w:r>
      <w:r>
        <w:rPr>
          <w:b/>
          <w:spacing w:val="26"/>
          <w:sz w:val="22"/>
        </w:rPr>
        <w:t> </w:t>
      </w:r>
      <w:r>
        <w:rPr>
          <w:b/>
          <w:sz w:val="22"/>
        </w:rPr>
        <w:t>and</w:t>
      </w:r>
      <w:r>
        <w:rPr>
          <w:b/>
          <w:spacing w:val="26"/>
          <w:sz w:val="22"/>
        </w:rPr>
        <w:t> </w:t>
      </w:r>
      <w:r>
        <w:rPr>
          <w:b/>
          <w:sz w:val="22"/>
        </w:rPr>
        <w:t>consent-based</w:t>
      </w:r>
      <w:r>
        <w:rPr>
          <w:b/>
          <w:spacing w:val="26"/>
          <w:sz w:val="22"/>
        </w:rPr>
        <w:t> </w:t>
      </w:r>
      <w:r>
        <w:rPr>
          <w:b/>
          <w:sz w:val="22"/>
        </w:rPr>
        <w:t>sexual health education, and that educators are provided with implementation support.</w:t>
      </w:r>
    </w:p>
    <w:p>
      <w:pPr>
        <w:pStyle w:val="BodyText"/>
        <w:spacing w:line="276" w:lineRule="auto" w:before="240"/>
        <w:ind w:left="363" w:right="142"/>
        <w:jc w:val="both"/>
      </w:pPr>
      <w:r>
        <w:rPr/>
        <w:t>Most</w:t>
      </w:r>
      <w:r>
        <w:rPr>
          <w:spacing w:val="-13"/>
        </w:rPr>
        <w:t> </w:t>
      </w:r>
      <w:r>
        <w:rPr/>
        <w:t>youth</w:t>
      </w:r>
      <w:r>
        <w:rPr>
          <w:spacing w:val="-12"/>
        </w:rPr>
        <w:t> </w:t>
      </w:r>
      <w:r>
        <w:rPr/>
        <w:t>across</w:t>
      </w:r>
      <w:r>
        <w:rPr>
          <w:spacing w:val="-13"/>
        </w:rPr>
        <w:t> </w:t>
      </w:r>
      <w:r>
        <w:rPr/>
        <w:t>the</w:t>
      </w:r>
      <w:r>
        <w:rPr>
          <w:spacing w:val="-12"/>
        </w:rPr>
        <w:t> </w:t>
      </w:r>
      <w:r>
        <w:rPr/>
        <w:t>country</w:t>
      </w:r>
      <w:r>
        <w:rPr>
          <w:spacing w:val="-13"/>
        </w:rPr>
        <w:t> </w:t>
      </w:r>
      <w:r>
        <w:rPr/>
        <w:t>rely</w:t>
      </w:r>
      <w:r>
        <w:rPr>
          <w:spacing w:val="-12"/>
        </w:rPr>
        <w:t> </w:t>
      </w:r>
      <w:r>
        <w:rPr/>
        <w:t>on</w:t>
      </w:r>
      <w:r>
        <w:rPr>
          <w:spacing w:val="-13"/>
        </w:rPr>
        <w:t> </w:t>
      </w:r>
      <w:r>
        <w:rPr/>
        <w:t>schools</w:t>
      </w:r>
      <w:r>
        <w:rPr>
          <w:spacing w:val="-12"/>
        </w:rPr>
        <w:t> </w:t>
      </w:r>
      <w:r>
        <w:rPr/>
        <w:t>to</w:t>
      </w:r>
      <w:r>
        <w:rPr>
          <w:spacing w:val="-12"/>
        </w:rPr>
        <w:t> </w:t>
      </w:r>
      <w:r>
        <w:rPr/>
        <w:t>provide</w:t>
      </w:r>
      <w:r>
        <w:rPr>
          <w:spacing w:val="-13"/>
        </w:rPr>
        <w:t> </w:t>
      </w:r>
      <w:r>
        <w:rPr/>
        <w:t>basic</w:t>
      </w:r>
      <w:r>
        <w:rPr>
          <w:spacing w:val="-12"/>
        </w:rPr>
        <w:t> </w:t>
      </w:r>
      <w:r>
        <w:rPr/>
        <w:t>education</w:t>
      </w:r>
      <w:r>
        <w:rPr>
          <w:spacing w:val="-13"/>
        </w:rPr>
        <w:t> </w:t>
      </w:r>
      <w:r>
        <w:rPr/>
        <w:t>on</w:t>
      </w:r>
      <w:r>
        <w:rPr>
          <w:spacing w:val="-12"/>
        </w:rPr>
        <w:t> </w:t>
      </w:r>
      <w:r>
        <w:rPr/>
        <w:t>sexual</w:t>
      </w:r>
      <w:r>
        <w:rPr>
          <w:spacing w:val="-13"/>
        </w:rPr>
        <w:t> </w:t>
      </w:r>
      <w:r>
        <w:rPr/>
        <w:t>health,</w:t>
      </w:r>
      <w:r>
        <w:rPr>
          <w:spacing w:val="-12"/>
        </w:rPr>
        <w:t> </w:t>
      </w:r>
      <w:r>
        <w:rPr/>
        <w:t>building</w:t>
      </w:r>
      <w:r>
        <w:rPr>
          <w:spacing w:val="-12"/>
        </w:rPr>
        <w:t> </w:t>
      </w:r>
      <w:r>
        <w:rPr/>
        <w:t>healthy relationships,</w:t>
      </w:r>
      <w:r>
        <w:rPr>
          <w:spacing w:val="-8"/>
        </w:rPr>
        <w:t> </w:t>
      </w:r>
      <w:r>
        <w:rPr/>
        <w:t>and</w:t>
      </w:r>
      <w:r>
        <w:rPr>
          <w:spacing w:val="-9"/>
        </w:rPr>
        <w:t> </w:t>
      </w:r>
      <w:r>
        <w:rPr/>
        <w:t>consent.</w:t>
      </w:r>
      <w:r>
        <w:rPr>
          <w:spacing w:val="-8"/>
        </w:rPr>
        <w:t> </w:t>
      </w:r>
      <w:r>
        <w:rPr/>
        <w:t>For</w:t>
      </w:r>
      <w:r>
        <w:rPr>
          <w:spacing w:val="-9"/>
        </w:rPr>
        <w:t> </w:t>
      </w:r>
      <w:r>
        <w:rPr/>
        <w:t>a</w:t>
      </w:r>
      <w:r>
        <w:rPr>
          <w:spacing w:val="-8"/>
        </w:rPr>
        <w:t> </w:t>
      </w:r>
      <w:r>
        <w:rPr/>
        <w:t>variety</w:t>
      </w:r>
      <w:r>
        <w:rPr>
          <w:spacing w:val="-7"/>
        </w:rPr>
        <w:t> </w:t>
      </w:r>
      <w:r>
        <w:rPr/>
        <w:t>of</w:t>
      </w:r>
      <w:r>
        <w:rPr>
          <w:spacing w:val="-9"/>
        </w:rPr>
        <w:t> </w:t>
      </w:r>
      <w:r>
        <w:rPr/>
        <w:t>reasons,</w:t>
      </w:r>
      <w:r>
        <w:rPr>
          <w:spacing w:val="-8"/>
        </w:rPr>
        <w:t> </w:t>
      </w:r>
      <w:r>
        <w:rPr/>
        <w:t>including</w:t>
      </w:r>
      <w:r>
        <w:rPr>
          <w:spacing w:val="-9"/>
        </w:rPr>
        <w:t> </w:t>
      </w:r>
      <w:r>
        <w:rPr/>
        <w:t>financial</w:t>
      </w:r>
      <w:r>
        <w:rPr>
          <w:spacing w:val="-9"/>
        </w:rPr>
        <w:t> </w:t>
      </w:r>
      <w:r>
        <w:rPr/>
        <w:t>disparities</w:t>
      </w:r>
      <w:r>
        <w:rPr>
          <w:spacing w:val="-8"/>
        </w:rPr>
        <w:t> </w:t>
      </w:r>
      <w:r>
        <w:rPr/>
        <w:t>and</w:t>
      </w:r>
      <w:r>
        <w:rPr>
          <w:spacing w:val="-9"/>
        </w:rPr>
        <w:t> </w:t>
      </w:r>
      <w:r>
        <w:rPr/>
        <w:t>lack</w:t>
      </w:r>
      <w:r>
        <w:rPr>
          <w:spacing w:val="-9"/>
        </w:rPr>
        <w:t> </w:t>
      </w:r>
      <w:r>
        <w:rPr/>
        <w:t>of</w:t>
      </w:r>
      <w:r>
        <w:rPr>
          <w:spacing w:val="-9"/>
        </w:rPr>
        <w:t> </w:t>
      </w:r>
      <w:r>
        <w:rPr/>
        <w:t>support</w:t>
      </w:r>
      <w:r>
        <w:rPr>
          <w:spacing w:val="-9"/>
        </w:rPr>
        <w:t> </w:t>
      </w:r>
      <w:r>
        <w:rPr/>
        <w:t>from parents, many schools in Massachusetts fail to provide adequate sexual health education to students. LGBTQ youth often fail to receive appropriate sexual health education from their families, especially if their</w:t>
      </w:r>
      <w:r>
        <w:rPr>
          <w:spacing w:val="-13"/>
        </w:rPr>
        <w:t> </w:t>
      </w:r>
      <w:r>
        <w:rPr/>
        <w:t>parents</w:t>
      </w:r>
      <w:r>
        <w:rPr>
          <w:spacing w:val="-12"/>
        </w:rPr>
        <w:t> </w:t>
      </w:r>
      <w:r>
        <w:rPr/>
        <w:t>are</w:t>
      </w:r>
      <w:r>
        <w:rPr>
          <w:spacing w:val="-13"/>
        </w:rPr>
        <w:t> </w:t>
      </w:r>
      <w:r>
        <w:rPr/>
        <w:t>cisgender</w:t>
      </w:r>
      <w:r>
        <w:rPr>
          <w:spacing w:val="-12"/>
        </w:rPr>
        <w:t> </w:t>
      </w:r>
      <w:r>
        <w:rPr/>
        <w:t>and</w:t>
      </w:r>
      <w:r>
        <w:rPr>
          <w:spacing w:val="-13"/>
        </w:rPr>
        <w:t> </w:t>
      </w:r>
      <w:r>
        <w:rPr/>
        <w:t>heterosexual.</w:t>
      </w:r>
      <w:r>
        <w:rPr>
          <w:spacing w:val="-12"/>
        </w:rPr>
        <w:t> </w:t>
      </w:r>
      <w:r>
        <w:rPr/>
        <w:t>As</w:t>
      </w:r>
      <w:r>
        <w:rPr>
          <w:spacing w:val="-13"/>
        </w:rPr>
        <w:t> </w:t>
      </w:r>
      <w:r>
        <w:rPr/>
        <w:t>a</w:t>
      </w:r>
      <w:r>
        <w:rPr>
          <w:spacing w:val="-12"/>
        </w:rPr>
        <w:t> </w:t>
      </w:r>
      <w:r>
        <w:rPr/>
        <w:t>result,</w:t>
      </w:r>
      <w:r>
        <w:rPr>
          <w:spacing w:val="-12"/>
        </w:rPr>
        <w:t> </w:t>
      </w:r>
      <w:r>
        <w:rPr/>
        <w:t>youth</w:t>
      </w:r>
      <w:r>
        <w:rPr>
          <w:spacing w:val="-13"/>
        </w:rPr>
        <w:t> </w:t>
      </w:r>
      <w:r>
        <w:rPr/>
        <w:t>often</w:t>
      </w:r>
      <w:r>
        <w:rPr>
          <w:spacing w:val="-12"/>
        </w:rPr>
        <w:t> </w:t>
      </w:r>
      <w:r>
        <w:rPr/>
        <w:t>turn</w:t>
      </w:r>
      <w:r>
        <w:rPr>
          <w:spacing w:val="-13"/>
        </w:rPr>
        <w:t> </w:t>
      </w:r>
      <w:r>
        <w:rPr/>
        <w:t>to</w:t>
      </w:r>
      <w:r>
        <w:rPr>
          <w:spacing w:val="-12"/>
        </w:rPr>
        <w:t> </w:t>
      </w:r>
      <w:r>
        <w:rPr/>
        <w:t>finding</w:t>
      </w:r>
      <w:r>
        <w:rPr>
          <w:spacing w:val="-13"/>
        </w:rPr>
        <w:t> </w:t>
      </w:r>
      <w:r>
        <w:rPr/>
        <w:t>information</w:t>
      </w:r>
      <w:r>
        <w:rPr>
          <w:spacing w:val="-12"/>
        </w:rPr>
        <w:t> </w:t>
      </w:r>
      <w:r>
        <w:rPr/>
        <w:t>in</w:t>
      </w:r>
      <w:r>
        <w:rPr>
          <w:spacing w:val="-12"/>
        </w:rPr>
        <w:t> </w:t>
      </w:r>
      <w:r>
        <w:rPr/>
        <w:t>schools and, failing that, seek to learn from peers or the Internet - both of which provide inaccurate and harmful</w:t>
      </w:r>
    </w:p>
    <w:p>
      <w:pPr>
        <w:spacing w:after="0" w:line="276" w:lineRule="auto"/>
        <w:jc w:val="both"/>
        <w:sectPr>
          <w:headerReference w:type="default" r:id="rId389"/>
          <w:footerReference w:type="default" r:id="rId390"/>
          <w:pgSz w:w="12240" w:h="15840"/>
          <w:pgMar w:header="763" w:footer="1339" w:top="1180" w:bottom="1520" w:left="1080" w:right="1240"/>
          <w:pgNumType w:start="131"/>
        </w:sectPr>
      </w:pPr>
    </w:p>
    <w:p>
      <w:pPr>
        <w:pStyle w:val="BodyText"/>
        <w:spacing w:line="276" w:lineRule="auto" w:before="69"/>
        <w:ind w:left="363" w:right="142"/>
        <w:jc w:val="both"/>
      </w:pPr>
      <w:r>
        <w:rPr/>
        <w:t>education. Furthermore, most sexual health curricula fail to appropriately educate youth on the basis of consent, particularly youth in elementary school who often do not receive any education around correct names</w:t>
      </w:r>
      <w:r>
        <w:rPr>
          <w:spacing w:val="-4"/>
        </w:rPr>
        <w:t> </w:t>
      </w:r>
      <w:r>
        <w:rPr/>
        <w:t>for</w:t>
      </w:r>
      <w:r>
        <w:rPr>
          <w:spacing w:val="-4"/>
        </w:rPr>
        <w:t> </w:t>
      </w:r>
      <w:r>
        <w:rPr/>
        <w:t>body</w:t>
      </w:r>
      <w:r>
        <w:rPr>
          <w:spacing w:val="-4"/>
        </w:rPr>
        <w:t> </w:t>
      </w:r>
      <w:r>
        <w:rPr/>
        <w:t>parts.</w:t>
      </w:r>
      <w:r>
        <w:rPr>
          <w:spacing w:val="-3"/>
        </w:rPr>
        <w:t> </w:t>
      </w:r>
      <w:r>
        <w:rPr/>
        <w:t>Without</w:t>
      </w:r>
      <w:r>
        <w:rPr>
          <w:spacing w:val="-3"/>
        </w:rPr>
        <w:t> </w:t>
      </w:r>
      <w:r>
        <w:rPr/>
        <w:t>this</w:t>
      </w:r>
      <w:r>
        <w:rPr>
          <w:spacing w:val="-3"/>
        </w:rPr>
        <w:t> </w:t>
      </w:r>
      <w:r>
        <w:rPr/>
        <w:t>basic</w:t>
      </w:r>
      <w:r>
        <w:rPr>
          <w:spacing w:val="-5"/>
        </w:rPr>
        <w:t> </w:t>
      </w:r>
      <w:r>
        <w:rPr/>
        <w:t>education,</w:t>
      </w:r>
      <w:r>
        <w:rPr>
          <w:spacing w:val="-3"/>
        </w:rPr>
        <w:t> </w:t>
      </w:r>
      <w:r>
        <w:rPr/>
        <w:t>LGBTQ</w:t>
      </w:r>
      <w:r>
        <w:rPr>
          <w:spacing w:val="-3"/>
        </w:rPr>
        <w:t> </w:t>
      </w:r>
      <w:r>
        <w:rPr/>
        <w:t>youth</w:t>
      </w:r>
      <w:r>
        <w:rPr>
          <w:spacing w:val="-2"/>
        </w:rPr>
        <w:t> </w:t>
      </w:r>
      <w:r>
        <w:rPr/>
        <w:t>of</w:t>
      </w:r>
      <w:r>
        <w:rPr>
          <w:spacing w:val="-4"/>
        </w:rPr>
        <w:t> </w:t>
      </w:r>
      <w:r>
        <w:rPr/>
        <w:t>all</w:t>
      </w:r>
      <w:r>
        <w:rPr>
          <w:spacing w:val="-4"/>
        </w:rPr>
        <w:t> </w:t>
      </w:r>
      <w:r>
        <w:rPr/>
        <w:t>ages</w:t>
      </w:r>
      <w:r>
        <w:rPr>
          <w:spacing w:val="-4"/>
        </w:rPr>
        <w:t> </w:t>
      </w:r>
      <w:r>
        <w:rPr/>
        <w:t>are</w:t>
      </w:r>
      <w:r>
        <w:rPr>
          <w:spacing w:val="-4"/>
        </w:rPr>
        <w:t> </w:t>
      </w:r>
      <w:r>
        <w:rPr/>
        <w:t>at</w:t>
      </w:r>
      <w:r>
        <w:rPr>
          <w:spacing w:val="-4"/>
        </w:rPr>
        <w:t> </w:t>
      </w:r>
      <w:r>
        <w:rPr/>
        <w:t>a</w:t>
      </w:r>
      <w:r>
        <w:rPr>
          <w:spacing w:val="-3"/>
        </w:rPr>
        <w:t> </w:t>
      </w:r>
      <w:r>
        <w:rPr/>
        <w:t>greater</w:t>
      </w:r>
      <w:r>
        <w:rPr>
          <w:spacing w:val="-4"/>
        </w:rPr>
        <w:t> </w:t>
      </w:r>
      <w:r>
        <w:rPr/>
        <w:t>risk</w:t>
      </w:r>
      <w:r>
        <w:rPr>
          <w:spacing w:val="-4"/>
        </w:rPr>
        <w:t> </w:t>
      </w:r>
      <w:r>
        <w:rPr/>
        <w:t>of</w:t>
      </w:r>
      <w:r>
        <w:rPr>
          <w:spacing w:val="-4"/>
        </w:rPr>
        <w:t> </w:t>
      </w:r>
      <w:r>
        <w:rPr/>
        <w:t>sexual </w:t>
      </w:r>
      <w:r>
        <w:rPr>
          <w:spacing w:val="-2"/>
        </w:rPr>
        <w:t>victimization.</w:t>
      </w:r>
    </w:p>
    <w:p>
      <w:pPr>
        <w:pStyle w:val="BodyText"/>
        <w:spacing w:line="276" w:lineRule="auto" w:before="239"/>
        <w:ind w:left="363" w:right="141"/>
        <w:jc w:val="both"/>
      </w:pPr>
      <w:r>
        <w:rPr/>
        <w:t>The Commission commends the recent passage of the Department of Elementary and Secondary Education’s </w:t>
      </w:r>
      <w:hyperlink r:id="rId391">
        <w:r>
          <w:rPr>
            <w:color w:val="1154CC"/>
            <w:u w:val="single" w:color="1154CC"/>
          </w:rPr>
          <w:t>Comprehensive Health and Physical Education Frameworks</w:t>
        </w:r>
      </w:hyperlink>
      <w:r>
        <w:rPr>
          <w:color w:val="1154CC"/>
          <w:u w:val="none"/>
        </w:rPr>
        <w:t> </w:t>
      </w:r>
      <w:r>
        <w:rPr>
          <w:u w:val="none"/>
        </w:rPr>
        <w:t>in August 2023. Through its Safe Schools Program partnership with DESE, the Commission has been grateful for the opportunity to advise on the development, and now implementation, of the frameworks across the Commonwealth. However, it is critical to emphasize that these frameworks are </w:t>
      </w:r>
      <w:r>
        <w:rPr>
          <w:i/>
          <w:u w:val="none"/>
        </w:rPr>
        <w:t>not </w:t>
      </w:r>
      <w:r>
        <w:rPr>
          <w:u w:val="none"/>
        </w:rPr>
        <w:t>mandatory and act as guidelines rather than </w:t>
      </w:r>
      <w:r>
        <w:rPr>
          <w:spacing w:val="-2"/>
          <w:u w:val="none"/>
        </w:rPr>
        <w:t>requirements.</w:t>
      </w:r>
    </w:p>
    <w:p>
      <w:pPr>
        <w:pStyle w:val="BodyText"/>
        <w:spacing w:line="276" w:lineRule="auto" w:before="241"/>
        <w:ind w:left="363" w:right="142"/>
        <w:jc w:val="both"/>
      </w:pPr>
      <w:r>
        <w:rPr/>
        <w:t>The Commission supports and prioritizes the implementation of </w:t>
      </w:r>
      <w:r>
        <w:rPr>
          <w:i/>
        </w:rPr>
        <w:t>An Act Relative to Healthy Youth</w:t>
      </w:r>
      <w:r>
        <w:rPr>
          <w:i/>
        </w:rPr>
        <w:t> </w:t>
      </w:r>
      <w:r>
        <w:rPr/>
        <w:t>(</w:t>
      </w:r>
      <w:hyperlink r:id="rId130">
        <w:r>
          <w:rPr>
            <w:b/>
            <w:color w:val="1153CC"/>
            <w:u w:val="single" w:color="1153CC"/>
          </w:rPr>
          <w:t>S.268</w:t>
        </w:r>
      </w:hyperlink>
      <w:r>
        <w:rPr>
          <w:b/>
          <w:u w:val="none"/>
        </w:rPr>
        <w:t>/</w:t>
      </w:r>
      <w:hyperlink r:id="rId131">
        <w:r>
          <w:rPr>
            <w:b/>
            <w:color w:val="1153CC"/>
            <w:u w:val="single" w:color="1153CC"/>
          </w:rPr>
          <w:t>H.544</w:t>
        </w:r>
      </w:hyperlink>
      <w:r>
        <w:rPr>
          <w:u w:val="none"/>
        </w:rPr>
        <w:t>), also known</w:t>
      </w:r>
      <w:r>
        <w:rPr>
          <w:spacing w:val="-1"/>
          <w:u w:val="none"/>
        </w:rPr>
        <w:t> </w:t>
      </w:r>
      <w:r>
        <w:rPr>
          <w:u w:val="none"/>
        </w:rPr>
        <w:t>as the Healthy Youth</w:t>
      </w:r>
      <w:r>
        <w:rPr>
          <w:spacing w:val="-1"/>
          <w:u w:val="none"/>
        </w:rPr>
        <w:t> </w:t>
      </w:r>
      <w:r>
        <w:rPr>
          <w:u w:val="none"/>
        </w:rPr>
        <w:t>Act (HYA), which would</w:t>
      </w:r>
      <w:r>
        <w:rPr>
          <w:spacing w:val="-1"/>
          <w:u w:val="none"/>
        </w:rPr>
        <w:t> </w:t>
      </w:r>
      <w:r>
        <w:rPr>
          <w:u w:val="none"/>
        </w:rPr>
        <w:t>ensure that all</w:t>
      </w:r>
      <w:r>
        <w:rPr>
          <w:spacing w:val="-1"/>
          <w:u w:val="none"/>
        </w:rPr>
        <w:t> </w:t>
      </w:r>
      <w:r>
        <w:rPr>
          <w:u w:val="none"/>
        </w:rPr>
        <w:t>schools that</w:t>
      </w:r>
      <w:r>
        <w:rPr>
          <w:spacing w:val="-1"/>
          <w:u w:val="none"/>
        </w:rPr>
        <w:t> </w:t>
      </w:r>
      <w:r>
        <w:rPr>
          <w:u w:val="none"/>
        </w:rPr>
        <w:t>elect to teach sexual health education update their curriculum materials to include age-appropriate, consent- based,</w:t>
      </w:r>
      <w:r>
        <w:rPr>
          <w:spacing w:val="-13"/>
          <w:u w:val="none"/>
        </w:rPr>
        <w:t> </w:t>
      </w:r>
      <w:r>
        <w:rPr>
          <w:u w:val="none"/>
        </w:rPr>
        <w:t>and</w:t>
      </w:r>
      <w:r>
        <w:rPr>
          <w:spacing w:val="-12"/>
          <w:u w:val="none"/>
        </w:rPr>
        <w:t> </w:t>
      </w:r>
      <w:r>
        <w:rPr>
          <w:u w:val="none"/>
        </w:rPr>
        <w:t>LGBTQ-inclusive</w:t>
      </w:r>
      <w:r>
        <w:rPr>
          <w:spacing w:val="-13"/>
          <w:u w:val="none"/>
        </w:rPr>
        <w:t> </w:t>
      </w:r>
      <w:r>
        <w:rPr>
          <w:u w:val="none"/>
        </w:rPr>
        <w:t>information.</w:t>
      </w:r>
      <w:r>
        <w:rPr>
          <w:spacing w:val="-12"/>
          <w:u w:val="none"/>
        </w:rPr>
        <w:t> </w:t>
      </w:r>
      <w:r>
        <w:rPr>
          <w:u w:val="none"/>
        </w:rPr>
        <w:t>However,</w:t>
      </w:r>
      <w:r>
        <w:rPr>
          <w:spacing w:val="-13"/>
          <w:u w:val="none"/>
        </w:rPr>
        <w:t> </w:t>
      </w:r>
      <w:r>
        <w:rPr>
          <w:u w:val="none"/>
        </w:rPr>
        <w:t>the</w:t>
      </w:r>
      <w:r>
        <w:rPr>
          <w:spacing w:val="-12"/>
          <w:u w:val="none"/>
        </w:rPr>
        <w:t> </w:t>
      </w:r>
      <w:r>
        <w:rPr>
          <w:u w:val="none"/>
        </w:rPr>
        <w:t>Commission</w:t>
      </w:r>
      <w:r>
        <w:rPr>
          <w:spacing w:val="-13"/>
          <w:u w:val="none"/>
        </w:rPr>
        <w:t> </w:t>
      </w:r>
      <w:r>
        <w:rPr>
          <w:u w:val="none"/>
        </w:rPr>
        <w:t>supports</w:t>
      </w:r>
      <w:r>
        <w:rPr>
          <w:spacing w:val="-12"/>
          <w:u w:val="none"/>
        </w:rPr>
        <w:t> </w:t>
      </w:r>
      <w:r>
        <w:rPr>
          <w:u w:val="none"/>
        </w:rPr>
        <w:t>this</w:t>
      </w:r>
      <w:r>
        <w:rPr>
          <w:spacing w:val="-12"/>
          <w:u w:val="none"/>
        </w:rPr>
        <w:t> </w:t>
      </w:r>
      <w:r>
        <w:rPr>
          <w:u w:val="none"/>
        </w:rPr>
        <w:t>bill</w:t>
      </w:r>
      <w:r>
        <w:rPr>
          <w:spacing w:val="-13"/>
          <w:u w:val="none"/>
        </w:rPr>
        <w:t> </w:t>
      </w:r>
      <w:r>
        <w:rPr>
          <w:u w:val="none"/>
        </w:rPr>
        <w:t>on</w:t>
      </w:r>
      <w:r>
        <w:rPr>
          <w:spacing w:val="-12"/>
          <w:u w:val="none"/>
        </w:rPr>
        <w:t> </w:t>
      </w:r>
      <w:r>
        <w:rPr>
          <w:u w:val="none"/>
        </w:rPr>
        <w:t>the</w:t>
      </w:r>
      <w:r>
        <w:rPr>
          <w:spacing w:val="-13"/>
          <w:u w:val="none"/>
        </w:rPr>
        <w:t> </w:t>
      </w:r>
      <w:r>
        <w:rPr>
          <w:u w:val="none"/>
        </w:rPr>
        <w:t>understanding that the phrase “human sexuality issues” </w:t>
      </w:r>
      <w:r>
        <w:rPr>
          <w:b/>
          <w:u w:val="none"/>
        </w:rPr>
        <w:t>must be removed </w:t>
      </w:r>
      <w:r>
        <w:rPr>
          <w:u w:val="none"/>
        </w:rPr>
        <w:t>from the bill text before it is passed through the State House. The phrase as written seemingly provides a loophole being used by transphobic parents to</w:t>
      </w:r>
      <w:r>
        <w:rPr>
          <w:spacing w:val="-9"/>
          <w:u w:val="none"/>
        </w:rPr>
        <w:t> </w:t>
      </w:r>
      <w:r>
        <w:rPr>
          <w:u w:val="none"/>
        </w:rPr>
        <w:t>opt</w:t>
      </w:r>
      <w:r>
        <w:rPr>
          <w:spacing w:val="-10"/>
          <w:u w:val="none"/>
        </w:rPr>
        <w:t> </w:t>
      </w:r>
      <w:r>
        <w:rPr>
          <w:u w:val="none"/>
        </w:rPr>
        <w:t>students</w:t>
      </w:r>
      <w:r>
        <w:rPr>
          <w:spacing w:val="-9"/>
          <w:u w:val="none"/>
        </w:rPr>
        <w:t> </w:t>
      </w:r>
      <w:r>
        <w:rPr>
          <w:u w:val="none"/>
        </w:rPr>
        <w:t>out</w:t>
      </w:r>
      <w:r>
        <w:rPr>
          <w:spacing w:val="-10"/>
          <w:u w:val="none"/>
        </w:rPr>
        <w:t> </w:t>
      </w:r>
      <w:r>
        <w:rPr>
          <w:u w:val="none"/>
        </w:rPr>
        <w:t>from</w:t>
      </w:r>
      <w:r>
        <w:rPr>
          <w:spacing w:val="-10"/>
          <w:u w:val="none"/>
        </w:rPr>
        <w:t> </w:t>
      </w:r>
      <w:r>
        <w:rPr>
          <w:i/>
          <w:u w:val="none"/>
        </w:rPr>
        <w:t>all</w:t>
      </w:r>
      <w:r>
        <w:rPr>
          <w:i/>
          <w:spacing w:val="-10"/>
          <w:u w:val="none"/>
        </w:rPr>
        <w:t> </w:t>
      </w:r>
      <w:r>
        <w:rPr>
          <w:u w:val="none"/>
        </w:rPr>
        <w:t>LGBTQ-related</w:t>
      </w:r>
      <w:r>
        <w:rPr>
          <w:spacing w:val="-10"/>
          <w:u w:val="none"/>
        </w:rPr>
        <w:t> </w:t>
      </w:r>
      <w:r>
        <w:rPr>
          <w:u w:val="none"/>
        </w:rPr>
        <w:t>curriculum</w:t>
      </w:r>
      <w:r>
        <w:rPr>
          <w:spacing w:val="-10"/>
          <w:u w:val="none"/>
        </w:rPr>
        <w:t> </w:t>
      </w:r>
      <w:r>
        <w:rPr>
          <w:u w:val="none"/>
        </w:rPr>
        <w:t>being</w:t>
      </w:r>
      <w:r>
        <w:rPr>
          <w:spacing w:val="-10"/>
          <w:u w:val="none"/>
        </w:rPr>
        <w:t> </w:t>
      </w:r>
      <w:r>
        <w:rPr>
          <w:u w:val="none"/>
        </w:rPr>
        <w:t>provided</w:t>
      </w:r>
      <w:r>
        <w:rPr>
          <w:spacing w:val="-10"/>
          <w:u w:val="none"/>
        </w:rPr>
        <w:t> </w:t>
      </w:r>
      <w:r>
        <w:rPr>
          <w:u w:val="none"/>
        </w:rPr>
        <w:t>by</w:t>
      </w:r>
      <w:r>
        <w:rPr>
          <w:spacing w:val="-10"/>
          <w:u w:val="none"/>
        </w:rPr>
        <w:t> </w:t>
      </w:r>
      <w:r>
        <w:rPr>
          <w:u w:val="none"/>
        </w:rPr>
        <w:t>schools,</w:t>
      </w:r>
      <w:r>
        <w:rPr>
          <w:spacing w:val="-10"/>
          <w:u w:val="none"/>
        </w:rPr>
        <w:t> </w:t>
      </w:r>
      <w:r>
        <w:rPr>
          <w:u w:val="none"/>
        </w:rPr>
        <w:t>including</w:t>
      </w:r>
      <w:r>
        <w:rPr>
          <w:spacing w:val="-10"/>
          <w:u w:val="none"/>
        </w:rPr>
        <w:t> </w:t>
      </w:r>
      <w:r>
        <w:rPr>
          <w:u w:val="none"/>
        </w:rPr>
        <w:t>history</w:t>
      </w:r>
      <w:r>
        <w:rPr>
          <w:spacing w:val="-10"/>
          <w:u w:val="none"/>
        </w:rPr>
        <w:t> </w:t>
      </w:r>
      <w:r>
        <w:rPr>
          <w:u w:val="none"/>
        </w:rPr>
        <w:t>lessons and story hours, which in many instances has led for lessons to be canceled for all students. The Commission advises the legislature to remove these words to alleviate the significant burden that youth, parents, school administrators, and teachers are currently facing in dealing with these confusing </w:t>
      </w:r>
      <w:r>
        <w:rPr>
          <w:spacing w:val="-2"/>
          <w:u w:val="none"/>
        </w:rPr>
        <w:t>challenges.</w:t>
      </w:r>
    </w:p>
    <w:p>
      <w:pPr>
        <w:pStyle w:val="BodyText"/>
        <w:spacing w:line="276" w:lineRule="auto" w:before="240"/>
        <w:ind w:left="363" w:right="142"/>
        <w:jc w:val="both"/>
      </w:pPr>
      <w:r>
        <w:rPr/>
        <w:t>Furthermore, the Commission advises the state to examine all curriculum being taught to youth in state custody and services - with particular attention to the Department of Children &amp; Families (DCF) and Department of Developmental Services (DDS). The Commission has appreciated the attention of some state agencies, particularly the Department of Youth Services, for its commitment to updating and expanding its LGBTQ-inclusive education materials for its young people.</w:t>
      </w:r>
    </w:p>
    <w:p>
      <w:pPr>
        <w:numPr>
          <w:ilvl w:val="0"/>
          <w:numId w:val="23"/>
        </w:numPr>
        <w:tabs>
          <w:tab w:pos="581" w:val="left" w:leader="none"/>
        </w:tabs>
        <w:spacing w:line="276" w:lineRule="auto" w:before="239"/>
        <w:ind w:left="363" w:right="144" w:firstLine="0"/>
        <w:jc w:val="left"/>
        <w:rPr>
          <w:b/>
          <w:sz w:val="22"/>
        </w:rPr>
      </w:pPr>
      <w:bookmarkStart w:name="2. Support and increase HIV &amp; STI preven" w:id="466"/>
      <w:bookmarkEnd w:id="466"/>
      <w:r>
        <w:rPr/>
      </w:r>
      <w:r>
        <w:rPr>
          <w:b/>
          <w:sz w:val="22"/>
        </w:rPr>
        <w:t>Support and increase HIV &amp; STI prevention and treatment services for LGBTQ youth, and awareness campaigns across the state.</w:t>
      </w:r>
    </w:p>
    <w:p>
      <w:pPr>
        <w:pStyle w:val="BodyText"/>
        <w:spacing w:line="276" w:lineRule="auto" w:before="240"/>
        <w:ind w:left="363" w:right="141"/>
        <w:jc w:val="both"/>
      </w:pPr>
      <w:r>
        <w:rPr/>
        <w:t>Massachusetts is seeing an alarming rise in sexually transmitted infections and diseases in youth, per information received from the Department of Public Health (DPH). It is widely understood that LGBTQ youth</w:t>
      </w:r>
      <w:r>
        <w:rPr>
          <w:spacing w:val="-11"/>
        </w:rPr>
        <w:t> </w:t>
      </w:r>
      <w:r>
        <w:rPr/>
        <w:t>-</w:t>
      </w:r>
      <w:r>
        <w:rPr>
          <w:spacing w:val="-10"/>
        </w:rPr>
        <w:t> </w:t>
      </w:r>
      <w:r>
        <w:rPr/>
        <w:t>particularly</w:t>
      </w:r>
      <w:r>
        <w:rPr>
          <w:spacing w:val="-11"/>
        </w:rPr>
        <w:t> </w:t>
      </w:r>
      <w:r>
        <w:rPr/>
        <w:t>QTBIPOC</w:t>
      </w:r>
      <w:r>
        <w:rPr>
          <w:spacing w:val="-11"/>
        </w:rPr>
        <w:t> </w:t>
      </w:r>
      <w:r>
        <w:rPr/>
        <w:t>youth</w:t>
      </w:r>
      <w:r>
        <w:rPr>
          <w:spacing w:val="-10"/>
        </w:rPr>
        <w:t> </w:t>
      </w:r>
      <w:r>
        <w:rPr/>
        <w:t>-</w:t>
      </w:r>
      <w:r>
        <w:rPr>
          <w:spacing w:val="-11"/>
        </w:rPr>
        <w:t> </w:t>
      </w:r>
      <w:r>
        <w:rPr/>
        <w:t>are</w:t>
      </w:r>
      <w:r>
        <w:rPr>
          <w:spacing w:val="-11"/>
        </w:rPr>
        <w:t> </w:t>
      </w:r>
      <w:r>
        <w:rPr/>
        <w:t>disproportionately</w:t>
      </w:r>
      <w:r>
        <w:rPr>
          <w:spacing w:val="-11"/>
        </w:rPr>
        <w:t> </w:t>
      </w:r>
      <w:r>
        <w:rPr/>
        <w:t>impacted</w:t>
      </w:r>
      <w:r>
        <w:rPr>
          <w:spacing w:val="-10"/>
        </w:rPr>
        <w:t> </w:t>
      </w:r>
      <w:r>
        <w:rPr/>
        <w:t>by</w:t>
      </w:r>
      <w:r>
        <w:rPr>
          <w:spacing w:val="-10"/>
        </w:rPr>
        <w:t> </w:t>
      </w:r>
      <w:r>
        <w:rPr/>
        <w:t>HIV,</w:t>
      </w:r>
      <w:r>
        <w:rPr>
          <w:spacing w:val="-11"/>
        </w:rPr>
        <w:t> </w:t>
      </w:r>
      <w:r>
        <w:rPr/>
        <w:t>and</w:t>
      </w:r>
      <w:r>
        <w:rPr>
          <w:spacing w:val="-11"/>
        </w:rPr>
        <w:t> </w:t>
      </w:r>
      <w:r>
        <w:rPr/>
        <w:t>access</w:t>
      </w:r>
      <w:r>
        <w:rPr>
          <w:spacing w:val="-11"/>
        </w:rPr>
        <w:t> </w:t>
      </w:r>
      <w:r>
        <w:rPr/>
        <w:t>to</w:t>
      </w:r>
      <w:r>
        <w:rPr>
          <w:spacing w:val="-9"/>
        </w:rPr>
        <w:t> </w:t>
      </w:r>
      <w:r>
        <w:rPr/>
        <w:t>HIV</w:t>
      </w:r>
      <w:r>
        <w:rPr>
          <w:spacing w:val="-11"/>
        </w:rPr>
        <w:t> </w:t>
      </w:r>
      <w:r>
        <w:rPr/>
        <w:t>prevention and</w:t>
      </w:r>
      <w:r>
        <w:rPr>
          <w:spacing w:val="-10"/>
        </w:rPr>
        <w:t> </w:t>
      </w:r>
      <w:r>
        <w:rPr/>
        <w:t>treatment</w:t>
      </w:r>
      <w:r>
        <w:rPr>
          <w:spacing w:val="-11"/>
        </w:rPr>
        <w:t> </w:t>
      </w:r>
      <w:r>
        <w:rPr/>
        <w:t>is</w:t>
      </w:r>
      <w:r>
        <w:rPr>
          <w:spacing w:val="-10"/>
        </w:rPr>
        <w:t> </w:t>
      </w:r>
      <w:r>
        <w:rPr/>
        <w:t>limited.</w:t>
      </w:r>
      <w:r>
        <w:rPr>
          <w:spacing w:val="-9"/>
        </w:rPr>
        <w:t> </w:t>
      </w:r>
      <w:r>
        <w:rPr/>
        <w:t>The</w:t>
      </w:r>
      <w:r>
        <w:rPr>
          <w:spacing w:val="-10"/>
        </w:rPr>
        <w:t> </w:t>
      </w:r>
      <w:r>
        <w:rPr/>
        <w:t>Commission</w:t>
      </w:r>
      <w:r>
        <w:rPr>
          <w:spacing w:val="-10"/>
        </w:rPr>
        <w:t> </w:t>
      </w:r>
      <w:r>
        <w:rPr/>
        <w:t>strongly</w:t>
      </w:r>
      <w:r>
        <w:rPr>
          <w:spacing w:val="-10"/>
        </w:rPr>
        <w:t> </w:t>
      </w:r>
      <w:r>
        <w:rPr/>
        <w:t>recommends</w:t>
      </w:r>
      <w:r>
        <w:rPr>
          <w:spacing w:val="-10"/>
        </w:rPr>
        <w:t> </w:t>
      </w:r>
      <w:r>
        <w:rPr/>
        <w:t>that</w:t>
      </w:r>
      <w:r>
        <w:rPr>
          <w:spacing w:val="-11"/>
        </w:rPr>
        <w:t> </w:t>
      </w:r>
      <w:r>
        <w:rPr/>
        <w:t>the</w:t>
      </w:r>
      <w:r>
        <w:rPr>
          <w:spacing w:val="-10"/>
        </w:rPr>
        <w:t> </w:t>
      </w:r>
      <w:r>
        <w:rPr/>
        <w:t>legislature</w:t>
      </w:r>
      <w:r>
        <w:rPr>
          <w:spacing w:val="-10"/>
        </w:rPr>
        <w:t> </w:t>
      </w:r>
      <w:r>
        <w:rPr/>
        <w:t>pass</w:t>
      </w:r>
      <w:r>
        <w:rPr>
          <w:spacing w:val="-10"/>
        </w:rPr>
        <w:t> </w:t>
      </w:r>
      <w:r>
        <w:rPr>
          <w:i/>
        </w:rPr>
        <w:t>An</w:t>
      </w:r>
      <w:r>
        <w:rPr>
          <w:i/>
          <w:spacing w:val="-10"/>
        </w:rPr>
        <w:t> </w:t>
      </w:r>
      <w:r>
        <w:rPr>
          <w:i/>
        </w:rPr>
        <w:t>Act</w:t>
      </w:r>
      <w:r>
        <w:rPr>
          <w:i/>
          <w:spacing w:val="-11"/>
        </w:rPr>
        <w:t> </w:t>
      </w:r>
      <w:r>
        <w:rPr>
          <w:i/>
        </w:rPr>
        <w:t>to</w:t>
      </w:r>
      <w:r>
        <w:rPr>
          <w:i/>
          <w:spacing w:val="-10"/>
        </w:rPr>
        <w:t> </w:t>
      </w:r>
      <w:r>
        <w:rPr>
          <w:i/>
        </w:rPr>
        <w:t>Prevent</w:t>
      </w:r>
      <w:r>
        <w:rPr>
          <w:i/>
        </w:rPr>
        <w:t> Barriers to HIV Prevention Medication </w:t>
      </w:r>
      <w:r>
        <w:rPr/>
        <w:t>(</w:t>
      </w:r>
      <w:hyperlink r:id="rId392">
        <w:r>
          <w:rPr>
            <w:b/>
            <w:u w:val="single"/>
          </w:rPr>
          <w:t>S.619</w:t>
        </w:r>
      </w:hyperlink>
      <w:r>
        <w:rPr>
          <w:b/>
          <w:u w:val="none"/>
        </w:rPr>
        <w:t>/</w:t>
      </w:r>
      <w:hyperlink r:id="rId393">
        <w:r>
          <w:rPr>
            <w:b/>
            <w:u w:val="single"/>
          </w:rPr>
          <w:t>H.1085</w:t>
        </w:r>
      </w:hyperlink>
      <w:r>
        <w:rPr>
          <w:u w:val="none"/>
        </w:rPr>
        <w:t>), which would further address barriers to accessing HIV</w:t>
      </w:r>
      <w:r>
        <w:rPr>
          <w:spacing w:val="-1"/>
          <w:u w:val="none"/>
        </w:rPr>
        <w:t> </w:t>
      </w:r>
      <w:r>
        <w:rPr>
          <w:u w:val="none"/>
        </w:rPr>
        <w:t>prevention</w:t>
      </w:r>
      <w:r>
        <w:rPr>
          <w:spacing w:val="-2"/>
          <w:u w:val="none"/>
        </w:rPr>
        <w:t> </w:t>
      </w:r>
      <w:r>
        <w:rPr>
          <w:u w:val="none"/>
        </w:rPr>
        <w:t>medication.</w:t>
      </w:r>
      <w:r>
        <w:rPr>
          <w:spacing w:val="-1"/>
          <w:u w:val="none"/>
        </w:rPr>
        <w:t> </w:t>
      </w:r>
      <w:r>
        <w:rPr>
          <w:u w:val="none"/>
        </w:rPr>
        <w:t>Additionally,</w:t>
      </w:r>
      <w:r>
        <w:rPr>
          <w:spacing w:val="-1"/>
          <w:u w:val="none"/>
        </w:rPr>
        <w:t> </w:t>
      </w:r>
      <w:r>
        <w:rPr>
          <w:u w:val="none"/>
        </w:rPr>
        <w:t>the Commission</w:t>
      </w:r>
      <w:r>
        <w:rPr>
          <w:spacing w:val="-2"/>
          <w:u w:val="none"/>
        </w:rPr>
        <w:t> </w:t>
      </w:r>
      <w:r>
        <w:rPr>
          <w:u w:val="none"/>
        </w:rPr>
        <w:t>strongly</w:t>
      </w:r>
      <w:r>
        <w:rPr>
          <w:spacing w:val="-1"/>
          <w:u w:val="none"/>
        </w:rPr>
        <w:t> </w:t>
      </w:r>
      <w:r>
        <w:rPr>
          <w:u w:val="none"/>
        </w:rPr>
        <w:t>urges policymakers</w:t>
      </w:r>
      <w:r>
        <w:rPr>
          <w:spacing w:val="-1"/>
          <w:u w:val="none"/>
        </w:rPr>
        <w:t> </w:t>
      </w:r>
      <w:r>
        <w:rPr>
          <w:u w:val="none"/>
        </w:rPr>
        <w:t>to fully</w:t>
      </w:r>
      <w:r>
        <w:rPr>
          <w:spacing w:val="-1"/>
          <w:u w:val="none"/>
        </w:rPr>
        <w:t> </w:t>
      </w:r>
      <w:r>
        <w:rPr>
          <w:u w:val="none"/>
        </w:rPr>
        <w:t>restore</w:t>
      </w:r>
      <w:r>
        <w:rPr>
          <w:spacing w:val="-1"/>
          <w:u w:val="none"/>
        </w:rPr>
        <w:t> </w:t>
      </w:r>
      <w:r>
        <w:rPr>
          <w:u w:val="none"/>
        </w:rPr>
        <w:t>the cuts made to the state’s HIV/AIDS funding line beginning in FY 2024.</w:t>
      </w:r>
    </w:p>
    <w:p>
      <w:pPr>
        <w:spacing w:after="0" w:line="276" w:lineRule="auto"/>
        <w:jc w:val="both"/>
        <w:sectPr>
          <w:pgSz w:w="12240" w:h="15840"/>
          <w:pgMar w:header="763" w:footer="1339" w:top="1180" w:bottom="1560" w:left="1080" w:right="1240"/>
        </w:sectPr>
      </w:pPr>
    </w:p>
    <w:p>
      <w:pPr>
        <w:numPr>
          <w:ilvl w:val="0"/>
          <w:numId w:val="23"/>
        </w:numPr>
        <w:tabs>
          <w:tab w:pos="362" w:val="left" w:leader="none"/>
        </w:tabs>
        <w:spacing w:before="69"/>
        <w:ind w:left="362" w:right="0" w:hanging="244"/>
        <w:jc w:val="left"/>
        <w:rPr>
          <w:b/>
          <w:sz w:val="22"/>
        </w:rPr>
      </w:pPr>
      <w:bookmarkStart w:name="3. Prohibit medical providers from perfo" w:id="467"/>
      <w:bookmarkEnd w:id="467"/>
      <w:r>
        <w:rPr/>
      </w:r>
      <w:r>
        <w:rPr>
          <w:b/>
          <w:sz w:val="22"/>
        </w:rPr>
        <w:t>Prohibit</w:t>
      </w:r>
      <w:r>
        <w:rPr>
          <w:b/>
          <w:spacing w:val="-13"/>
          <w:sz w:val="22"/>
        </w:rPr>
        <w:t> </w:t>
      </w:r>
      <w:r>
        <w:rPr>
          <w:b/>
          <w:sz w:val="22"/>
        </w:rPr>
        <w:t>medical</w:t>
      </w:r>
      <w:r>
        <w:rPr>
          <w:b/>
          <w:spacing w:val="-12"/>
          <w:sz w:val="22"/>
        </w:rPr>
        <w:t> </w:t>
      </w:r>
      <w:r>
        <w:rPr>
          <w:b/>
          <w:sz w:val="22"/>
        </w:rPr>
        <w:t>providers</w:t>
      </w:r>
      <w:r>
        <w:rPr>
          <w:b/>
          <w:spacing w:val="-12"/>
          <w:sz w:val="22"/>
        </w:rPr>
        <w:t> </w:t>
      </w:r>
      <w:r>
        <w:rPr>
          <w:b/>
          <w:sz w:val="22"/>
        </w:rPr>
        <w:t>from</w:t>
      </w:r>
      <w:r>
        <w:rPr>
          <w:b/>
          <w:spacing w:val="-12"/>
          <w:sz w:val="22"/>
        </w:rPr>
        <w:t> </w:t>
      </w:r>
      <w:r>
        <w:rPr>
          <w:b/>
          <w:sz w:val="22"/>
        </w:rPr>
        <w:t>performing</w:t>
      </w:r>
      <w:r>
        <w:rPr>
          <w:b/>
          <w:spacing w:val="-12"/>
          <w:sz w:val="22"/>
        </w:rPr>
        <w:t> </w:t>
      </w:r>
      <w:r>
        <w:rPr>
          <w:b/>
          <w:sz w:val="22"/>
        </w:rPr>
        <w:t>non-consensual</w:t>
      </w:r>
      <w:r>
        <w:rPr>
          <w:b/>
          <w:spacing w:val="-11"/>
          <w:sz w:val="22"/>
        </w:rPr>
        <w:t> </w:t>
      </w:r>
      <w:r>
        <w:rPr>
          <w:b/>
          <w:sz w:val="22"/>
        </w:rPr>
        <w:t>examinations</w:t>
      </w:r>
      <w:r>
        <w:rPr>
          <w:b/>
          <w:spacing w:val="-12"/>
          <w:sz w:val="22"/>
        </w:rPr>
        <w:t> </w:t>
      </w:r>
      <w:r>
        <w:rPr>
          <w:b/>
          <w:sz w:val="22"/>
        </w:rPr>
        <w:t>on</w:t>
      </w:r>
      <w:r>
        <w:rPr>
          <w:b/>
          <w:spacing w:val="-11"/>
          <w:sz w:val="22"/>
        </w:rPr>
        <w:t> </w:t>
      </w:r>
      <w:r>
        <w:rPr>
          <w:b/>
          <w:sz w:val="22"/>
        </w:rPr>
        <w:t>unconscious</w:t>
      </w:r>
      <w:r>
        <w:rPr>
          <w:b/>
          <w:spacing w:val="-12"/>
          <w:sz w:val="22"/>
        </w:rPr>
        <w:t> </w:t>
      </w:r>
      <w:r>
        <w:rPr>
          <w:b/>
          <w:spacing w:val="-2"/>
          <w:sz w:val="22"/>
        </w:rPr>
        <w:t>patients.</w:t>
      </w:r>
    </w:p>
    <w:p>
      <w:pPr>
        <w:pStyle w:val="BodyText"/>
        <w:spacing w:before="11"/>
        <w:rPr>
          <w:b/>
        </w:rPr>
      </w:pPr>
    </w:p>
    <w:p>
      <w:pPr>
        <w:pStyle w:val="BodyText"/>
        <w:spacing w:line="276" w:lineRule="auto"/>
        <w:ind w:left="363" w:right="142"/>
        <w:jc w:val="both"/>
      </w:pPr>
      <w:r>
        <w:rPr/>
        <w:t>The Commission supports the passage of </w:t>
      </w:r>
      <w:r>
        <w:rPr>
          <w:i/>
        </w:rPr>
        <w:t>An Act Prohibiting Nonconsensual Intimate Examinations of</w:t>
      </w:r>
      <w:r>
        <w:rPr>
          <w:i/>
        </w:rPr>
        <w:t> Anesthetized or</w:t>
      </w:r>
      <w:r>
        <w:rPr>
          <w:i/>
          <w:spacing w:val="-1"/>
        </w:rPr>
        <w:t> </w:t>
      </w:r>
      <w:r>
        <w:rPr>
          <w:i/>
        </w:rPr>
        <w:t>Unconscious</w:t>
      </w:r>
      <w:r>
        <w:rPr>
          <w:i/>
          <w:spacing w:val="-2"/>
        </w:rPr>
        <w:t> </w:t>
      </w:r>
      <w:r>
        <w:rPr>
          <w:i/>
        </w:rPr>
        <w:t>Patients</w:t>
      </w:r>
      <w:r>
        <w:rPr>
          <w:i/>
          <w:spacing w:val="-2"/>
        </w:rPr>
        <w:t> </w:t>
      </w:r>
      <w:r>
        <w:rPr/>
        <w:t>(</w:t>
      </w:r>
      <w:hyperlink r:id="rId394">
        <w:r>
          <w:rPr>
            <w:b/>
            <w:u w:val="single"/>
          </w:rPr>
          <w:t>S.1333</w:t>
        </w:r>
      </w:hyperlink>
      <w:r>
        <w:rPr>
          <w:b/>
          <w:u w:val="none"/>
        </w:rPr>
        <w:t>/</w:t>
      </w:r>
      <w:hyperlink r:id="rId395">
        <w:r>
          <w:rPr>
            <w:b/>
            <w:u w:val="single"/>
          </w:rPr>
          <w:t>H</w:t>
        </w:r>
      </w:hyperlink>
      <w:hyperlink r:id="rId395">
        <w:r>
          <w:rPr>
            <w:b/>
            <w:u w:val="single"/>
          </w:rPr>
          <w:t>.4293</w:t>
        </w:r>
      </w:hyperlink>
      <w:r>
        <w:rPr>
          <w:u w:val="none"/>
        </w:rPr>
        <w:t>),</w:t>
      </w:r>
      <w:r>
        <w:rPr>
          <w:spacing w:val="-1"/>
          <w:u w:val="none"/>
        </w:rPr>
        <w:t> </w:t>
      </w:r>
      <w:r>
        <w:rPr>
          <w:u w:val="none"/>
        </w:rPr>
        <w:t>which</w:t>
      </w:r>
      <w:r>
        <w:rPr>
          <w:spacing w:val="-2"/>
          <w:u w:val="none"/>
        </w:rPr>
        <w:t> </w:t>
      </w:r>
      <w:r>
        <w:rPr>
          <w:u w:val="none"/>
        </w:rPr>
        <w:t>would</w:t>
      </w:r>
      <w:r>
        <w:rPr>
          <w:spacing w:val="-2"/>
          <w:u w:val="none"/>
        </w:rPr>
        <w:t> </w:t>
      </w:r>
      <w:r>
        <w:rPr>
          <w:u w:val="none"/>
        </w:rPr>
        <w:t>ban</w:t>
      </w:r>
      <w:r>
        <w:rPr>
          <w:spacing w:val="-2"/>
          <w:u w:val="none"/>
        </w:rPr>
        <w:t> </w:t>
      </w:r>
      <w:r>
        <w:rPr>
          <w:u w:val="none"/>
        </w:rPr>
        <w:t>the</w:t>
      </w:r>
      <w:r>
        <w:rPr>
          <w:spacing w:val="-1"/>
          <w:u w:val="none"/>
        </w:rPr>
        <w:t> </w:t>
      </w:r>
      <w:r>
        <w:rPr>
          <w:u w:val="none"/>
        </w:rPr>
        <w:t>common</w:t>
      </w:r>
      <w:r>
        <w:rPr>
          <w:spacing w:val="-2"/>
          <w:u w:val="none"/>
        </w:rPr>
        <w:t> </w:t>
      </w:r>
      <w:r>
        <w:rPr>
          <w:u w:val="none"/>
        </w:rPr>
        <w:t>practice</w:t>
      </w:r>
      <w:r>
        <w:rPr>
          <w:spacing w:val="-2"/>
          <w:u w:val="none"/>
        </w:rPr>
        <w:t> </w:t>
      </w:r>
      <w:r>
        <w:rPr>
          <w:u w:val="none"/>
        </w:rPr>
        <w:t>employed by teaching hospitals – of which Massachusetts has several – by allowing medical students to perform pelvic</w:t>
      </w:r>
      <w:r>
        <w:rPr>
          <w:spacing w:val="-1"/>
          <w:u w:val="none"/>
        </w:rPr>
        <w:t> </w:t>
      </w:r>
      <w:r>
        <w:rPr>
          <w:u w:val="none"/>
        </w:rPr>
        <w:t>examinations on</w:t>
      </w:r>
      <w:r>
        <w:rPr>
          <w:spacing w:val="-1"/>
          <w:u w:val="none"/>
        </w:rPr>
        <w:t> </w:t>
      </w:r>
      <w:r>
        <w:rPr>
          <w:u w:val="none"/>
        </w:rPr>
        <w:t>unconscious patients without their consent.</w:t>
      </w:r>
      <w:r>
        <w:rPr>
          <w:spacing w:val="-1"/>
          <w:u w:val="none"/>
        </w:rPr>
        <w:t> </w:t>
      </w:r>
      <w:r>
        <w:rPr>
          <w:u w:val="none"/>
        </w:rPr>
        <w:t>While most research</w:t>
      </w:r>
      <w:r>
        <w:rPr>
          <w:spacing w:val="-1"/>
          <w:u w:val="none"/>
        </w:rPr>
        <w:t> </w:t>
      </w:r>
      <w:r>
        <w:rPr>
          <w:u w:val="none"/>
        </w:rPr>
        <w:t>and advocacy is directed towards cisgender women without distinction to intersex status,</w:t>
      </w:r>
      <w:r>
        <w:rPr>
          <w:u w:val="none"/>
          <w:vertAlign w:val="superscript"/>
        </w:rPr>
        <w:t>2</w:t>
      </w:r>
      <w:r>
        <w:rPr>
          <w:u w:val="none"/>
          <w:vertAlign w:val="baseline"/>
        </w:rPr>
        <w:t> the Commission is seriously concerned about the implications of such practices for women of color, transgender men, and intersex individuals, particularly given the medical profession’s history of medical racism, transphobia, and disregard for ethical care for intersex patients,</w:t>
      </w:r>
      <w:r>
        <w:rPr>
          <w:u w:val="none"/>
          <w:vertAlign w:val="superscript"/>
        </w:rPr>
        <w:t>3</w:t>
      </w:r>
      <w:r>
        <w:rPr>
          <w:u w:val="none"/>
          <w:vertAlign w:val="baseline"/>
        </w:rPr>
        <w:t> as discussed below. The Commission advises that Massachusetts pass a gender-neutral ban on these invasive practices and set up accountability systems and</w:t>
      </w:r>
      <w:r>
        <w:rPr>
          <w:spacing w:val="-3"/>
          <w:u w:val="none"/>
          <w:vertAlign w:val="baseline"/>
        </w:rPr>
        <w:t> </w:t>
      </w:r>
      <w:r>
        <w:rPr>
          <w:u w:val="none"/>
          <w:vertAlign w:val="baseline"/>
        </w:rPr>
        <w:t>educational</w:t>
      </w:r>
      <w:r>
        <w:rPr>
          <w:spacing w:val="-3"/>
          <w:u w:val="none"/>
          <w:vertAlign w:val="baseline"/>
        </w:rPr>
        <w:t> </w:t>
      </w:r>
      <w:r>
        <w:rPr>
          <w:u w:val="none"/>
          <w:vertAlign w:val="baseline"/>
        </w:rPr>
        <w:t>campaigns</w:t>
      </w:r>
      <w:r>
        <w:rPr>
          <w:spacing w:val="-2"/>
          <w:u w:val="none"/>
          <w:vertAlign w:val="baseline"/>
        </w:rPr>
        <w:t> </w:t>
      </w:r>
      <w:r>
        <w:rPr>
          <w:u w:val="none"/>
          <w:vertAlign w:val="baseline"/>
        </w:rPr>
        <w:t>to</w:t>
      </w:r>
      <w:r>
        <w:rPr>
          <w:spacing w:val="-2"/>
          <w:u w:val="none"/>
          <w:vertAlign w:val="baseline"/>
        </w:rPr>
        <w:t> </w:t>
      </w:r>
      <w:r>
        <w:rPr>
          <w:u w:val="none"/>
          <w:vertAlign w:val="baseline"/>
        </w:rPr>
        <w:t>ensure</w:t>
      </w:r>
      <w:r>
        <w:rPr>
          <w:spacing w:val="-3"/>
          <w:u w:val="none"/>
          <w:vertAlign w:val="baseline"/>
        </w:rPr>
        <w:t> </w:t>
      </w:r>
      <w:r>
        <w:rPr>
          <w:u w:val="none"/>
          <w:vertAlign w:val="baseline"/>
        </w:rPr>
        <w:t>that</w:t>
      </w:r>
      <w:r>
        <w:rPr>
          <w:spacing w:val="-3"/>
          <w:u w:val="none"/>
          <w:vertAlign w:val="baseline"/>
        </w:rPr>
        <w:t> </w:t>
      </w:r>
      <w:r>
        <w:rPr>
          <w:u w:val="none"/>
          <w:vertAlign w:val="baseline"/>
        </w:rPr>
        <w:t>patients</w:t>
      </w:r>
      <w:r>
        <w:rPr>
          <w:spacing w:val="-1"/>
          <w:u w:val="none"/>
          <w:vertAlign w:val="baseline"/>
        </w:rPr>
        <w:t> </w:t>
      </w:r>
      <w:r>
        <w:rPr>
          <w:u w:val="none"/>
          <w:vertAlign w:val="baseline"/>
        </w:rPr>
        <w:t>who</w:t>
      </w:r>
      <w:r>
        <w:rPr>
          <w:spacing w:val="-2"/>
          <w:u w:val="none"/>
          <w:vertAlign w:val="baseline"/>
        </w:rPr>
        <w:t> </w:t>
      </w:r>
      <w:r>
        <w:rPr>
          <w:u w:val="none"/>
          <w:vertAlign w:val="baseline"/>
        </w:rPr>
        <w:t>suspect</w:t>
      </w:r>
      <w:r>
        <w:rPr>
          <w:spacing w:val="-1"/>
          <w:u w:val="none"/>
          <w:vertAlign w:val="baseline"/>
        </w:rPr>
        <w:t> </w:t>
      </w:r>
      <w:r>
        <w:rPr>
          <w:u w:val="none"/>
          <w:vertAlign w:val="baseline"/>
        </w:rPr>
        <w:t>that</w:t>
      </w:r>
      <w:r>
        <w:rPr>
          <w:spacing w:val="-3"/>
          <w:u w:val="none"/>
          <w:vertAlign w:val="baseline"/>
        </w:rPr>
        <w:t> </w:t>
      </w:r>
      <w:r>
        <w:rPr>
          <w:u w:val="none"/>
          <w:vertAlign w:val="baseline"/>
        </w:rPr>
        <w:t>such</w:t>
      </w:r>
      <w:r>
        <w:rPr>
          <w:spacing w:val="-3"/>
          <w:u w:val="none"/>
          <w:vertAlign w:val="baseline"/>
        </w:rPr>
        <w:t> </w:t>
      </w:r>
      <w:r>
        <w:rPr>
          <w:u w:val="none"/>
          <w:vertAlign w:val="baseline"/>
        </w:rPr>
        <w:t>a</w:t>
      </w:r>
      <w:r>
        <w:rPr>
          <w:spacing w:val="-2"/>
          <w:u w:val="none"/>
          <w:vertAlign w:val="baseline"/>
        </w:rPr>
        <w:t> </w:t>
      </w:r>
      <w:r>
        <w:rPr>
          <w:u w:val="none"/>
          <w:vertAlign w:val="baseline"/>
        </w:rPr>
        <w:t>practice</w:t>
      </w:r>
      <w:r>
        <w:rPr>
          <w:spacing w:val="-3"/>
          <w:u w:val="none"/>
          <w:vertAlign w:val="baseline"/>
        </w:rPr>
        <w:t> </w:t>
      </w:r>
      <w:r>
        <w:rPr>
          <w:u w:val="none"/>
          <w:vertAlign w:val="baseline"/>
        </w:rPr>
        <w:t>might</w:t>
      </w:r>
      <w:r>
        <w:rPr>
          <w:spacing w:val="-2"/>
          <w:u w:val="none"/>
          <w:vertAlign w:val="baseline"/>
        </w:rPr>
        <w:t> </w:t>
      </w:r>
      <w:r>
        <w:rPr>
          <w:u w:val="none"/>
          <w:vertAlign w:val="baseline"/>
        </w:rPr>
        <w:t>have</w:t>
      </w:r>
      <w:r>
        <w:rPr>
          <w:spacing w:val="-3"/>
          <w:u w:val="none"/>
          <w:vertAlign w:val="baseline"/>
        </w:rPr>
        <w:t> </w:t>
      </w:r>
      <w:r>
        <w:rPr>
          <w:u w:val="none"/>
          <w:vertAlign w:val="baseline"/>
        </w:rPr>
        <w:t>occurred have a reporting method easily available to them.</w:t>
      </w:r>
    </w:p>
    <w:p>
      <w:pPr>
        <w:numPr>
          <w:ilvl w:val="0"/>
          <w:numId w:val="23"/>
        </w:numPr>
        <w:tabs>
          <w:tab w:pos="363" w:val="left" w:leader="none"/>
        </w:tabs>
        <w:spacing w:line="276" w:lineRule="auto" w:before="240"/>
        <w:ind w:left="363" w:right="144" w:hanging="245"/>
        <w:jc w:val="left"/>
        <w:rPr>
          <w:b/>
          <w:sz w:val="22"/>
        </w:rPr>
      </w:pPr>
      <w:r>
        <w:rPr>
          <w:b/>
          <w:sz w:val="22"/>
        </w:rPr>
        <w:t>Increase access to critical reproductive and sexual health items, such as contraceptives and menstrual </w:t>
      </w:r>
      <w:r>
        <w:rPr>
          <w:b/>
          <w:spacing w:val="-2"/>
          <w:sz w:val="22"/>
        </w:rPr>
        <w:t>products.</w:t>
      </w:r>
    </w:p>
    <w:p>
      <w:pPr>
        <w:pStyle w:val="BodyText"/>
        <w:spacing w:line="276" w:lineRule="auto" w:before="240"/>
        <w:ind w:left="363" w:right="143"/>
        <w:jc w:val="both"/>
      </w:pPr>
      <w:r>
        <w:rPr/>
        <w:t>Having</w:t>
      </w:r>
      <w:r>
        <w:rPr>
          <w:spacing w:val="-12"/>
        </w:rPr>
        <w:t> </w:t>
      </w:r>
      <w:r>
        <w:rPr/>
        <w:t>access</w:t>
      </w:r>
      <w:r>
        <w:rPr>
          <w:spacing w:val="-11"/>
        </w:rPr>
        <w:t> </w:t>
      </w:r>
      <w:r>
        <w:rPr/>
        <w:t>to</w:t>
      </w:r>
      <w:r>
        <w:rPr>
          <w:spacing w:val="-11"/>
        </w:rPr>
        <w:t> </w:t>
      </w:r>
      <w:r>
        <w:rPr/>
        <w:t>contraceptives</w:t>
      </w:r>
      <w:r>
        <w:rPr>
          <w:spacing w:val="-11"/>
        </w:rPr>
        <w:t> </w:t>
      </w:r>
      <w:r>
        <w:rPr/>
        <w:t>guarantees</w:t>
      </w:r>
      <w:r>
        <w:rPr>
          <w:spacing w:val="-11"/>
        </w:rPr>
        <w:t> </w:t>
      </w:r>
      <w:r>
        <w:rPr/>
        <w:t>that</w:t>
      </w:r>
      <w:r>
        <w:rPr>
          <w:spacing w:val="-11"/>
        </w:rPr>
        <w:t> </w:t>
      </w:r>
      <w:r>
        <w:rPr/>
        <w:t>the</w:t>
      </w:r>
      <w:r>
        <w:rPr>
          <w:spacing w:val="-11"/>
        </w:rPr>
        <w:t> </w:t>
      </w:r>
      <w:r>
        <w:rPr/>
        <w:t>Commonwealth</w:t>
      </w:r>
      <w:r>
        <w:rPr>
          <w:spacing w:val="-11"/>
        </w:rPr>
        <w:t> </w:t>
      </w:r>
      <w:r>
        <w:rPr/>
        <w:t>will</w:t>
      </w:r>
      <w:r>
        <w:rPr>
          <w:spacing w:val="-11"/>
        </w:rPr>
        <w:t> </w:t>
      </w:r>
      <w:r>
        <w:rPr/>
        <w:t>see</w:t>
      </w:r>
      <w:r>
        <w:rPr>
          <w:spacing w:val="-11"/>
        </w:rPr>
        <w:t> </w:t>
      </w:r>
      <w:r>
        <w:rPr/>
        <w:t>much</w:t>
      </w:r>
      <w:r>
        <w:rPr>
          <w:spacing w:val="-11"/>
        </w:rPr>
        <w:t> </w:t>
      </w:r>
      <w:r>
        <w:rPr/>
        <w:t>lower</w:t>
      </w:r>
      <w:r>
        <w:rPr>
          <w:spacing w:val="-11"/>
        </w:rPr>
        <w:t> </w:t>
      </w:r>
      <w:r>
        <w:rPr/>
        <w:t>rates</w:t>
      </w:r>
      <w:r>
        <w:rPr>
          <w:spacing w:val="-11"/>
        </w:rPr>
        <w:t> </w:t>
      </w:r>
      <w:r>
        <w:rPr/>
        <w:t>of</w:t>
      </w:r>
      <w:r>
        <w:rPr>
          <w:spacing w:val="-11"/>
        </w:rPr>
        <w:t> </w:t>
      </w:r>
      <w:r>
        <w:rPr/>
        <w:t>sexually- transmitted infections, diseases, and unwanted pregnancy rates. Despite misconceptions, LGBTQ youth - particularly bisexual girls - are more likely to have an unintended pregnancy, for reasons discussed in- depth below. Lack of education, cost, stigma, and discrimination provide significant barriers to contraceptive</w:t>
      </w:r>
      <w:r>
        <w:rPr>
          <w:spacing w:val="-13"/>
        </w:rPr>
        <w:t> </w:t>
      </w:r>
      <w:r>
        <w:rPr/>
        <w:t>access</w:t>
      </w:r>
      <w:r>
        <w:rPr>
          <w:spacing w:val="-12"/>
        </w:rPr>
        <w:t> </w:t>
      </w:r>
      <w:r>
        <w:rPr/>
        <w:t>for</w:t>
      </w:r>
      <w:r>
        <w:rPr>
          <w:spacing w:val="-13"/>
        </w:rPr>
        <w:t> </w:t>
      </w:r>
      <w:r>
        <w:rPr/>
        <w:t>youth.</w:t>
      </w:r>
      <w:r>
        <w:rPr>
          <w:spacing w:val="-12"/>
        </w:rPr>
        <w:t> </w:t>
      </w:r>
      <w:r>
        <w:rPr/>
        <w:t>The</w:t>
      </w:r>
      <w:r>
        <w:rPr>
          <w:spacing w:val="-13"/>
        </w:rPr>
        <w:t> </w:t>
      </w:r>
      <w:r>
        <w:rPr/>
        <w:t>Commission</w:t>
      </w:r>
      <w:r>
        <w:rPr>
          <w:spacing w:val="-12"/>
        </w:rPr>
        <w:t> </w:t>
      </w:r>
      <w:r>
        <w:rPr/>
        <w:t>supports</w:t>
      </w:r>
      <w:r>
        <w:rPr>
          <w:spacing w:val="-13"/>
        </w:rPr>
        <w:t> </w:t>
      </w:r>
      <w:r>
        <w:rPr>
          <w:i/>
        </w:rPr>
        <w:t>An</w:t>
      </w:r>
      <w:r>
        <w:rPr>
          <w:i/>
          <w:spacing w:val="-12"/>
        </w:rPr>
        <w:t> </w:t>
      </w:r>
      <w:r>
        <w:rPr>
          <w:i/>
        </w:rPr>
        <w:t>Act</w:t>
      </w:r>
      <w:r>
        <w:rPr>
          <w:i/>
          <w:spacing w:val="-12"/>
        </w:rPr>
        <w:t> </w:t>
      </w:r>
      <w:r>
        <w:rPr>
          <w:i/>
        </w:rPr>
        <w:t>Relative</w:t>
      </w:r>
      <w:r>
        <w:rPr>
          <w:i/>
          <w:spacing w:val="-13"/>
        </w:rPr>
        <w:t> </w:t>
      </w:r>
      <w:r>
        <w:rPr>
          <w:i/>
        </w:rPr>
        <w:t>to</w:t>
      </w:r>
      <w:r>
        <w:rPr>
          <w:i/>
          <w:spacing w:val="-12"/>
        </w:rPr>
        <w:t> </w:t>
      </w:r>
      <w:r>
        <w:rPr>
          <w:i/>
        </w:rPr>
        <w:t>Hormonal</w:t>
      </w:r>
      <w:r>
        <w:rPr>
          <w:i/>
          <w:spacing w:val="-13"/>
        </w:rPr>
        <w:t> </w:t>
      </w:r>
      <w:r>
        <w:rPr>
          <w:i/>
        </w:rPr>
        <w:t>Contraceptives</w:t>
      </w:r>
      <w:r>
        <w:rPr/>
        <w:t>,</w:t>
      </w:r>
      <w:r>
        <w:rPr>
          <w:spacing w:val="-12"/>
        </w:rPr>
        <w:t> </w:t>
      </w:r>
      <w:r>
        <w:rPr/>
        <w:t>and advises that the legislature pass the version of the bill filed in the House (</w:t>
      </w:r>
      <w:hyperlink r:id="rId396">
        <w:r>
          <w:rPr>
            <w:b/>
            <w:u w:val="single"/>
          </w:rPr>
          <w:t>H.2133</w:t>
        </w:r>
      </w:hyperlink>
      <w:r>
        <w:rPr>
          <w:u w:val="none"/>
        </w:rPr>
        <w:t>) which would increase access</w:t>
      </w:r>
      <w:r>
        <w:rPr>
          <w:spacing w:val="-11"/>
          <w:u w:val="none"/>
        </w:rPr>
        <w:t> </w:t>
      </w:r>
      <w:r>
        <w:rPr>
          <w:u w:val="none"/>
        </w:rPr>
        <w:t>to</w:t>
      </w:r>
      <w:r>
        <w:rPr>
          <w:spacing w:val="-11"/>
          <w:u w:val="none"/>
        </w:rPr>
        <w:t> </w:t>
      </w:r>
      <w:r>
        <w:rPr>
          <w:u w:val="none"/>
        </w:rPr>
        <w:t>youth</w:t>
      </w:r>
      <w:r>
        <w:rPr>
          <w:spacing w:val="-11"/>
          <w:u w:val="none"/>
        </w:rPr>
        <w:t> </w:t>
      </w:r>
      <w:r>
        <w:rPr>
          <w:u w:val="none"/>
        </w:rPr>
        <w:t>under</w:t>
      </w:r>
      <w:r>
        <w:rPr>
          <w:spacing w:val="-10"/>
          <w:u w:val="none"/>
        </w:rPr>
        <w:t> </w:t>
      </w:r>
      <w:r>
        <w:rPr>
          <w:u w:val="none"/>
        </w:rPr>
        <w:t>18.</w:t>
      </w:r>
      <w:r>
        <w:rPr>
          <w:spacing w:val="-10"/>
          <w:u w:val="none"/>
        </w:rPr>
        <w:t> </w:t>
      </w:r>
      <w:r>
        <w:rPr>
          <w:u w:val="none"/>
        </w:rPr>
        <w:t>Furthermore,</w:t>
      </w:r>
      <w:r>
        <w:rPr>
          <w:spacing w:val="-11"/>
          <w:u w:val="none"/>
        </w:rPr>
        <w:t> </w:t>
      </w:r>
      <w:r>
        <w:rPr>
          <w:u w:val="none"/>
        </w:rPr>
        <w:t>the</w:t>
      </w:r>
      <w:r>
        <w:rPr>
          <w:spacing w:val="-10"/>
          <w:u w:val="none"/>
        </w:rPr>
        <w:t> </w:t>
      </w:r>
      <w:r>
        <w:rPr>
          <w:u w:val="none"/>
        </w:rPr>
        <w:t>state</w:t>
      </w:r>
      <w:r>
        <w:rPr>
          <w:spacing w:val="-10"/>
          <w:u w:val="none"/>
        </w:rPr>
        <w:t> </w:t>
      </w:r>
      <w:r>
        <w:rPr>
          <w:u w:val="none"/>
        </w:rPr>
        <w:t>should</w:t>
      </w:r>
      <w:r>
        <w:rPr>
          <w:spacing w:val="-11"/>
          <w:u w:val="none"/>
        </w:rPr>
        <w:t> </w:t>
      </w:r>
      <w:r>
        <w:rPr>
          <w:u w:val="none"/>
        </w:rPr>
        <w:t>explore</w:t>
      </w:r>
      <w:r>
        <w:rPr>
          <w:spacing w:val="-11"/>
          <w:u w:val="none"/>
        </w:rPr>
        <w:t> </w:t>
      </w:r>
      <w:r>
        <w:rPr>
          <w:u w:val="none"/>
        </w:rPr>
        <w:t>funding</w:t>
      </w:r>
      <w:r>
        <w:rPr>
          <w:spacing w:val="-10"/>
          <w:u w:val="none"/>
        </w:rPr>
        <w:t> </w:t>
      </w:r>
      <w:r>
        <w:rPr>
          <w:u w:val="none"/>
        </w:rPr>
        <w:t>programs</w:t>
      </w:r>
      <w:r>
        <w:rPr>
          <w:spacing w:val="-11"/>
          <w:u w:val="none"/>
        </w:rPr>
        <w:t> </w:t>
      </w:r>
      <w:r>
        <w:rPr>
          <w:u w:val="none"/>
        </w:rPr>
        <w:t>and</w:t>
      </w:r>
      <w:r>
        <w:rPr>
          <w:spacing w:val="-11"/>
          <w:u w:val="none"/>
        </w:rPr>
        <w:t> </w:t>
      </w:r>
      <w:r>
        <w:rPr>
          <w:u w:val="none"/>
        </w:rPr>
        <w:t>services</w:t>
      </w:r>
      <w:r>
        <w:rPr>
          <w:spacing w:val="-11"/>
          <w:u w:val="none"/>
        </w:rPr>
        <w:t> </w:t>
      </w:r>
      <w:r>
        <w:rPr>
          <w:u w:val="none"/>
        </w:rPr>
        <w:t>to</w:t>
      </w:r>
      <w:r>
        <w:rPr>
          <w:spacing w:val="-11"/>
          <w:u w:val="none"/>
        </w:rPr>
        <w:t> </w:t>
      </w:r>
      <w:r>
        <w:rPr>
          <w:u w:val="none"/>
        </w:rPr>
        <w:t>provide free</w:t>
      </w:r>
      <w:r>
        <w:rPr>
          <w:spacing w:val="-3"/>
          <w:u w:val="none"/>
        </w:rPr>
        <w:t> </w:t>
      </w:r>
      <w:r>
        <w:rPr>
          <w:u w:val="none"/>
        </w:rPr>
        <w:t>contraceptives</w:t>
      </w:r>
      <w:r>
        <w:rPr>
          <w:spacing w:val="-3"/>
          <w:u w:val="none"/>
        </w:rPr>
        <w:t> </w:t>
      </w:r>
      <w:r>
        <w:rPr>
          <w:u w:val="none"/>
        </w:rPr>
        <w:t>to</w:t>
      </w:r>
      <w:r>
        <w:rPr>
          <w:spacing w:val="-2"/>
          <w:u w:val="none"/>
        </w:rPr>
        <w:t> </w:t>
      </w:r>
      <w:r>
        <w:rPr>
          <w:u w:val="none"/>
        </w:rPr>
        <w:t>youth</w:t>
      </w:r>
      <w:r>
        <w:rPr>
          <w:spacing w:val="-3"/>
          <w:u w:val="none"/>
        </w:rPr>
        <w:t> </w:t>
      </w:r>
      <w:r>
        <w:rPr>
          <w:u w:val="none"/>
        </w:rPr>
        <w:t>in</w:t>
      </w:r>
      <w:r>
        <w:rPr>
          <w:spacing w:val="-3"/>
          <w:u w:val="none"/>
        </w:rPr>
        <w:t> </w:t>
      </w:r>
      <w:r>
        <w:rPr>
          <w:u w:val="none"/>
        </w:rPr>
        <w:t>public</w:t>
      </w:r>
      <w:r>
        <w:rPr>
          <w:spacing w:val="-3"/>
          <w:u w:val="none"/>
        </w:rPr>
        <w:t> </w:t>
      </w:r>
      <w:r>
        <w:rPr>
          <w:u w:val="none"/>
        </w:rPr>
        <w:t>buildings</w:t>
      </w:r>
      <w:r>
        <w:rPr>
          <w:spacing w:val="-3"/>
          <w:u w:val="none"/>
        </w:rPr>
        <w:t> </w:t>
      </w:r>
      <w:r>
        <w:rPr>
          <w:u w:val="none"/>
        </w:rPr>
        <w:t>and</w:t>
      </w:r>
      <w:r>
        <w:rPr>
          <w:spacing w:val="-2"/>
          <w:u w:val="none"/>
        </w:rPr>
        <w:t> </w:t>
      </w:r>
      <w:r>
        <w:rPr>
          <w:u w:val="none"/>
        </w:rPr>
        <w:t>hospitals,</w:t>
      </w:r>
      <w:r>
        <w:rPr>
          <w:spacing w:val="-3"/>
          <w:u w:val="none"/>
        </w:rPr>
        <w:t> </w:t>
      </w:r>
      <w:r>
        <w:rPr>
          <w:u w:val="none"/>
        </w:rPr>
        <w:t>as</w:t>
      </w:r>
      <w:r>
        <w:rPr>
          <w:spacing w:val="-4"/>
          <w:u w:val="none"/>
        </w:rPr>
        <w:t> </w:t>
      </w:r>
      <w:r>
        <w:rPr>
          <w:u w:val="none"/>
        </w:rPr>
        <w:t>well</w:t>
      </w:r>
      <w:r>
        <w:rPr>
          <w:spacing w:val="-3"/>
          <w:u w:val="none"/>
        </w:rPr>
        <w:t> </w:t>
      </w:r>
      <w:r>
        <w:rPr>
          <w:u w:val="none"/>
        </w:rPr>
        <w:t>as</w:t>
      </w:r>
      <w:r>
        <w:rPr>
          <w:spacing w:val="-3"/>
          <w:u w:val="none"/>
        </w:rPr>
        <w:t> </w:t>
      </w:r>
      <w:r>
        <w:rPr>
          <w:u w:val="none"/>
        </w:rPr>
        <w:t>conduct</w:t>
      </w:r>
      <w:r>
        <w:rPr>
          <w:spacing w:val="-3"/>
          <w:u w:val="none"/>
        </w:rPr>
        <w:t> </w:t>
      </w:r>
      <w:r>
        <w:rPr>
          <w:u w:val="none"/>
        </w:rPr>
        <w:t>awareness</w:t>
      </w:r>
      <w:r>
        <w:rPr>
          <w:spacing w:val="-1"/>
          <w:u w:val="none"/>
        </w:rPr>
        <w:t> </w:t>
      </w:r>
      <w:r>
        <w:rPr>
          <w:u w:val="none"/>
        </w:rPr>
        <w:t>campaigns</w:t>
      </w:r>
      <w:r>
        <w:rPr>
          <w:spacing w:val="-3"/>
          <w:u w:val="none"/>
        </w:rPr>
        <w:t> </w:t>
      </w:r>
      <w:r>
        <w:rPr>
          <w:u w:val="none"/>
        </w:rPr>
        <w:t>to educate the public on types of contraceptives and proper use. Recent decisions by some universities - including Boston University - to establish contraceptive vending machines for students should be replicated, expanded, and funded by the state.</w:t>
      </w:r>
    </w:p>
    <w:p>
      <w:pPr>
        <w:pStyle w:val="BodyText"/>
        <w:spacing w:line="276" w:lineRule="auto" w:before="240"/>
        <w:ind w:left="363" w:right="142"/>
        <w:jc w:val="both"/>
      </w:pPr>
      <w:r>
        <w:rPr/>
        <w:t>Additionally, the Commission continues to recommend the implementation of </w:t>
      </w:r>
      <w:r>
        <w:rPr>
          <w:i/>
        </w:rPr>
        <w:t>An Act to Increase Access</w:t>
      </w:r>
      <w:r>
        <w:rPr>
          <w:i/>
        </w:rPr>
        <w:t> to</w:t>
      </w:r>
      <w:r>
        <w:rPr>
          <w:i/>
          <w:spacing w:val="-2"/>
        </w:rPr>
        <w:t> </w:t>
      </w:r>
      <w:r>
        <w:rPr>
          <w:i/>
        </w:rPr>
        <w:t>Disposable</w:t>
      </w:r>
      <w:r>
        <w:rPr>
          <w:i/>
          <w:spacing w:val="-1"/>
        </w:rPr>
        <w:t> </w:t>
      </w:r>
      <w:r>
        <w:rPr>
          <w:i/>
        </w:rPr>
        <w:t>Menstrual</w:t>
      </w:r>
      <w:r>
        <w:rPr>
          <w:i/>
          <w:spacing w:val="-2"/>
        </w:rPr>
        <w:t> </w:t>
      </w:r>
      <w:r>
        <w:rPr>
          <w:i/>
        </w:rPr>
        <w:t>Products</w:t>
      </w:r>
      <w:r>
        <w:rPr>
          <w:i/>
          <w:spacing w:val="-2"/>
        </w:rPr>
        <w:t> </w:t>
      </w:r>
      <w:r>
        <w:rPr/>
        <w:t>(</w:t>
      </w:r>
      <w:hyperlink r:id="rId322">
        <w:r>
          <w:rPr>
            <w:b/>
            <w:u w:val="single"/>
          </w:rPr>
          <w:t>S.1381</w:t>
        </w:r>
      </w:hyperlink>
      <w:r>
        <w:rPr>
          <w:b/>
          <w:u w:val="none"/>
        </w:rPr>
        <w:t>/</w:t>
      </w:r>
      <w:hyperlink r:id="rId323">
        <w:r>
          <w:rPr>
            <w:b/>
            <w:u w:val="single"/>
          </w:rPr>
          <w:t>H.534</w:t>
        </w:r>
      </w:hyperlink>
      <w:r>
        <w:rPr>
          <w:u w:val="none"/>
        </w:rPr>
        <w:t>),</w:t>
      </w:r>
      <w:r>
        <w:rPr>
          <w:spacing w:val="-1"/>
          <w:u w:val="none"/>
        </w:rPr>
        <w:t> </w:t>
      </w:r>
      <w:r>
        <w:rPr>
          <w:u w:val="none"/>
        </w:rPr>
        <w:t>also</w:t>
      </w:r>
      <w:r>
        <w:rPr>
          <w:spacing w:val="-1"/>
          <w:u w:val="none"/>
        </w:rPr>
        <w:t> </w:t>
      </w:r>
      <w:r>
        <w:rPr>
          <w:u w:val="none"/>
        </w:rPr>
        <w:t>known</w:t>
      </w:r>
      <w:r>
        <w:rPr>
          <w:spacing w:val="-2"/>
          <w:u w:val="none"/>
        </w:rPr>
        <w:t> </w:t>
      </w:r>
      <w:r>
        <w:rPr>
          <w:u w:val="none"/>
        </w:rPr>
        <w:t>as</w:t>
      </w:r>
      <w:r>
        <w:rPr>
          <w:spacing w:val="-1"/>
          <w:u w:val="none"/>
        </w:rPr>
        <w:t> </w:t>
      </w:r>
      <w:r>
        <w:rPr>
          <w:u w:val="none"/>
        </w:rPr>
        <w:t>the</w:t>
      </w:r>
      <w:r>
        <w:rPr>
          <w:spacing w:val="-2"/>
          <w:u w:val="none"/>
        </w:rPr>
        <w:t> </w:t>
      </w:r>
      <w:r>
        <w:rPr>
          <w:u w:val="none"/>
        </w:rPr>
        <w:t>‘I</w:t>
      </w:r>
      <w:r>
        <w:rPr>
          <w:spacing w:val="-2"/>
          <w:u w:val="none"/>
        </w:rPr>
        <w:t> </w:t>
      </w:r>
      <w:r>
        <w:rPr>
          <w:u w:val="none"/>
        </w:rPr>
        <w:t>AM’</w:t>
      </w:r>
      <w:r>
        <w:rPr>
          <w:spacing w:val="-1"/>
          <w:u w:val="none"/>
        </w:rPr>
        <w:t> </w:t>
      </w:r>
      <w:r>
        <w:rPr>
          <w:u w:val="none"/>
        </w:rPr>
        <w:t>bill, which</w:t>
      </w:r>
      <w:r>
        <w:rPr>
          <w:spacing w:val="-1"/>
          <w:u w:val="none"/>
        </w:rPr>
        <w:t> </w:t>
      </w:r>
      <w:r>
        <w:rPr>
          <w:u w:val="none"/>
        </w:rPr>
        <w:t>would</w:t>
      </w:r>
      <w:r>
        <w:rPr>
          <w:spacing w:val="-1"/>
          <w:u w:val="none"/>
        </w:rPr>
        <w:t> </w:t>
      </w:r>
      <w:r>
        <w:rPr>
          <w:u w:val="none"/>
        </w:rPr>
        <w:t>require</w:t>
      </w:r>
      <w:r>
        <w:rPr>
          <w:spacing w:val="-1"/>
          <w:u w:val="none"/>
        </w:rPr>
        <w:t> </w:t>
      </w:r>
      <w:r>
        <w:rPr>
          <w:u w:val="none"/>
        </w:rPr>
        <w:t>that disposable menstrual products be provided to all youth in schools, prisons, and homeless shelters. The Commission further advises that the state explore increasing funding to libraries and community centers to provide similar access.</w:t>
      </w:r>
    </w:p>
    <w:p>
      <w:pPr>
        <w:numPr>
          <w:ilvl w:val="0"/>
          <w:numId w:val="23"/>
        </w:numPr>
        <w:tabs>
          <w:tab w:pos="356" w:val="left" w:leader="none"/>
          <w:tab w:pos="358" w:val="left" w:leader="none"/>
        </w:tabs>
        <w:spacing w:line="276" w:lineRule="auto" w:before="240"/>
        <w:ind w:left="358" w:right="141" w:hanging="249"/>
        <w:jc w:val="left"/>
        <w:rPr>
          <w:b/>
          <w:sz w:val="22"/>
        </w:rPr>
      </w:pPr>
      <w:bookmarkStart w:name="5. Continue to explore paths to increase" w:id="468"/>
      <w:bookmarkEnd w:id="468"/>
      <w:r>
        <w:rPr/>
      </w:r>
      <w:r>
        <w:rPr>
          <w:b/>
          <w:sz w:val="22"/>
        </w:rPr>
        <w:t>Continue to explore paths to increase access to abortion services, and address barriers resulting from the proliferation of anti-abortion centers in the state.</w:t>
      </w:r>
    </w:p>
    <w:p>
      <w:pPr>
        <w:pStyle w:val="BodyText"/>
        <w:spacing w:line="276" w:lineRule="auto" w:before="241"/>
        <w:ind w:left="363" w:right="140"/>
        <w:jc w:val="both"/>
      </w:pPr>
      <w:r>
        <w:rPr/>
        <w:t>With</w:t>
      </w:r>
      <w:r>
        <w:rPr>
          <w:spacing w:val="-10"/>
        </w:rPr>
        <w:t> </w:t>
      </w:r>
      <w:r>
        <w:rPr/>
        <w:t>the</w:t>
      </w:r>
      <w:r>
        <w:rPr>
          <w:spacing w:val="-10"/>
        </w:rPr>
        <w:t> </w:t>
      </w:r>
      <w:r>
        <w:rPr/>
        <w:t>fall</w:t>
      </w:r>
      <w:r>
        <w:rPr>
          <w:spacing w:val="-9"/>
        </w:rPr>
        <w:t> </w:t>
      </w:r>
      <w:r>
        <w:rPr/>
        <w:t>of</w:t>
      </w:r>
      <w:r>
        <w:rPr>
          <w:spacing w:val="-11"/>
        </w:rPr>
        <w:t> </w:t>
      </w:r>
      <w:r>
        <w:rPr/>
        <w:t>the</w:t>
      </w:r>
      <w:r>
        <w:rPr>
          <w:spacing w:val="-10"/>
        </w:rPr>
        <w:t> </w:t>
      </w:r>
      <w:r>
        <w:rPr/>
        <w:t>Supreme</w:t>
      </w:r>
      <w:r>
        <w:rPr>
          <w:spacing w:val="-12"/>
        </w:rPr>
        <w:t> </w:t>
      </w:r>
      <w:r>
        <w:rPr/>
        <w:t>Court</w:t>
      </w:r>
      <w:r>
        <w:rPr>
          <w:spacing w:val="-11"/>
        </w:rPr>
        <w:t> </w:t>
      </w:r>
      <w:r>
        <w:rPr/>
        <w:t>decision</w:t>
      </w:r>
      <w:r>
        <w:rPr>
          <w:spacing w:val="-12"/>
        </w:rPr>
        <w:t> </w:t>
      </w:r>
      <w:r>
        <w:rPr>
          <w:i/>
        </w:rPr>
        <w:t>Roe</w:t>
      </w:r>
      <w:r>
        <w:rPr>
          <w:i/>
          <w:spacing w:val="-12"/>
        </w:rPr>
        <w:t> </w:t>
      </w:r>
      <w:r>
        <w:rPr>
          <w:i/>
        </w:rPr>
        <w:t>v.</w:t>
      </w:r>
      <w:r>
        <w:rPr>
          <w:i/>
          <w:spacing w:val="-9"/>
        </w:rPr>
        <w:t> </w:t>
      </w:r>
      <w:r>
        <w:rPr>
          <w:i/>
        </w:rPr>
        <w:t>Wade</w:t>
      </w:r>
      <w:r>
        <w:rPr>
          <w:i/>
          <w:spacing w:val="-11"/>
        </w:rPr>
        <w:t> </w:t>
      </w:r>
      <w:r>
        <w:rPr/>
        <w:t>in</w:t>
      </w:r>
      <w:r>
        <w:rPr>
          <w:spacing w:val="-10"/>
        </w:rPr>
        <w:t> </w:t>
      </w:r>
      <w:r>
        <w:rPr/>
        <w:t>the</w:t>
      </w:r>
      <w:r>
        <w:rPr>
          <w:spacing w:val="-12"/>
        </w:rPr>
        <w:t> </w:t>
      </w:r>
      <w:r>
        <w:rPr/>
        <w:t>summer</w:t>
      </w:r>
      <w:r>
        <w:rPr>
          <w:spacing w:val="-10"/>
        </w:rPr>
        <w:t> </w:t>
      </w:r>
      <w:r>
        <w:rPr/>
        <w:t>of</w:t>
      </w:r>
      <w:r>
        <w:rPr>
          <w:spacing w:val="-11"/>
        </w:rPr>
        <w:t> </w:t>
      </w:r>
      <w:r>
        <w:rPr/>
        <w:t>2022</w:t>
      </w:r>
      <w:r>
        <w:rPr>
          <w:spacing w:val="-11"/>
        </w:rPr>
        <w:t> </w:t>
      </w:r>
      <w:r>
        <w:rPr/>
        <w:t>and</w:t>
      </w:r>
      <w:r>
        <w:rPr>
          <w:spacing w:val="-10"/>
        </w:rPr>
        <w:t> </w:t>
      </w:r>
      <w:r>
        <w:rPr/>
        <w:t>continued</w:t>
      </w:r>
      <w:r>
        <w:rPr>
          <w:spacing w:val="-12"/>
        </w:rPr>
        <w:t> </w:t>
      </w:r>
      <w:r>
        <w:rPr/>
        <w:t>subsequent attacks against abortion access across the nation, Massachusetts has done well to rapidly implement stronger protections to ensure that residents - and non-residents traveling into the state - continue to receive appropriate medical care and control over their own bodies. The Commission appreciates the recent</w:t>
      </w:r>
      <w:r>
        <w:rPr>
          <w:spacing w:val="18"/>
        </w:rPr>
        <w:t> </w:t>
      </w:r>
      <w:r>
        <w:rPr/>
        <w:t>April</w:t>
      </w:r>
      <w:r>
        <w:rPr>
          <w:spacing w:val="20"/>
        </w:rPr>
        <w:t> </w:t>
      </w:r>
      <w:r>
        <w:rPr/>
        <w:t>2023</w:t>
      </w:r>
      <w:r>
        <w:rPr>
          <w:spacing w:val="19"/>
        </w:rPr>
        <w:t> </w:t>
      </w:r>
      <w:r>
        <w:rPr/>
        <w:t>actions</w:t>
      </w:r>
      <w:r>
        <w:rPr>
          <w:spacing w:val="19"/>
        </w:rPr>
        <w:t> </w:t>
      </w:r>
      <w:r>
        <w:rPr/>
        <w:t>from</w:t>
      </w:r>
      <w:r>
        <w:rPr>
          <w:spacing w:val="19"/>
        </w:rPr>
        <w:t> </w:t>
      </w:r>
      <w:r>
        <w:rPr/>
        <w:t>Governor</w:t>
      </w:r>
      <w:r>
        <w:rPr>
          <w:spacing w:val="19"/>
        </w:rPr>
        <w:t> </w:t>
      </w:r>
      <w:r>
        <w:rPr/>
        <w:t>Healey</w:t>
      </w:r>
      <w:r>
        <w:rPr>
          <w:spacing w:val="19"/>
        </w:rPr>
        <w:t> </w:t>
      </w:r>
      <w:r>
        <w:rPr/>
        <w:t>to</w:t>
      </w:r>
      <w:r>
        <w:rPr>
          <w:spacing w:val="19"/>
        </w:rPr>
        <w:t> </w:t>
      </w:r>
      <w:r>
        <w:rPr/>
        <w:t>protect</w:t>
      </w:r>
      <w:r>
        <w:rPr>
          <w:spacing w:val="18"/>
        </w:rPr>
        <w:t> </w:t>
      </w:r>
      <w:r>
        <w:rPr/>
        <w:t>access</w:t>
      </w:r>
      <w:r>
        <w:rPr>
          <w:spacing w:val="19"/>
        </w:rPr>
        <w:t> </w:t>
      </w:r>
      <w:r>
        <w:rPr/>
        <w:t>to</w:t>
      </w:r>
      <w:r>
        <w:rPr>
          <w:spacing w:val="19"/>
        </w:rPr>
        <w:t> </w:t>
      </w:r>
      <w:r>
        <w:rPr/>
        <w:t>mifepristone</w:t>
      </w:r>
      <w:r>
        <w:rPr>
          <w:spacing w:val="19"/>
        </w:rPr>
        <w:t> </w:t>
      </w:r>
      <w:r>
        <w:rPr/>
        <w:t>and</w:t>
      </w:r>
      <w:r>
        <w:rPr>
          <w:spacing w:val="19"/>
        </w:rPr>
        <w:t> </w:t>
      </w:r>
      <w:r>
        <w:rPr/>
        <w:t>encourages</w:t>
      </w:r>
      <w:r>
        <w:rPr>
          <w:spacing w:val="19"/>
        </w:rPr>
        <w:t> </w:t>
      </w:r>
      <w:r>
        <w:rPr/>
        <w:t>the</w:t>
      </w:r>
    </w:p>
    <w:p>
      <w:pPr>
        <w:spacing w:after="0" w:line="276" w:lineRule="auto"/>
        <w:jc w:val="both"/>
        <w:sectPr>
          <w:pgSz w:w="12240" w:h="15840"/>
          <w:pgMar w:header="763" w:footer="1339" w:top="1180" w:bottom="1560" w:left="1080" w:right="1240"/>
        </w:sectPr>
      </w:pPr>
    </w:p>
    <w:p>
      <w:pPr>
        <w:pStyle w:val="BodyText"/>
        <w:spacing w:line="276" w:lineRule="auto" w:before="69"/>
        <w:ind w:left="363" w:right="77"/>
      </w:pPr>
      <w:r>
        <w:rPr/>
        <w:t>state</w:t>
      </w:r>
      <w:r>
        <w:rPr>
          <w:spacing w:val="-10"/>
        </w:rPr>
        <w:t> </w:t>
      </w:r>
      <w:r>
        <w:rPr/>
        <w:t>to</w:t>
      </w:r>
      <w:r>
        <w:rPr>
          <w:spacing w:val="-9"/>
        </w:rPr>
        <w:t> </w:t>
      </w:r>
      <w:r>
        <w:rPr/>
        <w:t>continue</w:t>
      </w:r>
      <w:r>
        <w:rPr>
          <w:spacing w:val="-10"/>
        </w:rPr>
        <w:t> </w:t>
      </w:r>
      <w:r>
        <w:rPr/>
        <w:t>to</w:t>
      </w:r>
      <w:r>
        <w:rPr>
          <w:spacing w:val="-9"/>
        </w:rPr>
        <w:t> </w:t>
      </w:r>
      <w:r>
        <w:rPr/>
        <w:t>explore</w:t>
      </w:r>
      <w:r>
        <w:rPr>
          <w:spacing w:val="-10"/>
        </w:rPr>
        <w:t> </w:t>
      </w:r>
      <w:r>
        <w:rPr/>
        <w:t>further</w:t>
      </w:r>
      <w:r>
        <w:rPr>
          <w:spacing w:val="-10"/>
        </w:rPr>
        <w:t> </w:t>
      </w:r>
      <w:r>
        <w:rPr/>
        <w:t>actions</w:t>
      </w:r>
      <w:r>
        <w:rPr>
          <w:spacing w:val="-9"/>
        </w:rPr>
        <w:t> </w:t>
      </w:r>
      <w:r>
        <w:rPr/>
        <w:t>that</w:t>
      </w:r>
      <w:r>
        <w:rPr>
          <w:spacing w:val="-10"/>
        </w:rPr>
        <w:t> </w:t>
      </w:r>
      <w:r>
        <w:rPr/>
        <w:t>ensure</w:t>
      </w:r>
      <w:r>
        <w:rPr>
          <w:spacing w:val="-10"/>
        </w:rPr>
        <w:t> </w:t>
      </w:r>
      <w:r>
        <w:rPr/>
        <w:t>that</w:t>
      </w:r>
      <w:r>
        <w:rPr>
          <w:spacing w:val="-10"/>
        </w:rPr>
        <w:t> </w:t>
      </w:r>
      <w:r>
        <w:rPr/>
        <w:t>underserved</w:t>
      </w:r>
      <w:r>
        <w:rPr>
          <w:spacing w:val="-10"/>
        </w:rPr>
        <w:t> </w:t>
      </w:r>
      <w:r>
        <w:rPr/>
        <w:t>communities</w:t>
      </w:r>
      <w:r>
        <w:rPr>
          <w:spacing w:val="-9"/>
        </w:rPr>
        <w:t> </w:t>
      </w:r>
      <w:r>
        <w:rPr/>
        <w:t>-</w:t>
      </w:r>
      <w:r>
        <w:rPr>
          <w:spacing w:val="-9"/>
        </w:rPr>
        <w:t> </w:t>
      </w:r>
      <w:r>
        <w:rPr/>
        <w:t>particularly</w:t>
      </w:r>
      <w:r>
        <w:rPr>
          <w:spacing w:val="-10"/>
        </w:rPr>
        <w:t> </w:t>
      </w:r>
      <w:r>
        <w:rPr/>
        <w:t>youth of color - do not lose access to this critical medication.</w:t>
      </w:r>
    </w:p>
    <w:p>
      <w:pPr>
        <w:pStyle w:val="BodyText"/>
        <w:spacing w:before="130"/>
      </w:pPr>
    </w:p>
    <w:p>
      <w:pPr>
        <w:spacing w:before="0"/>
        <w:ind w:left="363" w:right="0" w:firstLine="0"/>
        <w:jc w:val="left"/>
        <w:rPr>
          <w:sz w:val="28"/>
        </w:rPr>
      </w:pPr>
      <w:r>
        <w:rPr/>
        <mc:AlternateContent>
          <mc:Choice Requires="wps">
            <w:drawing>
              <wp:anchor distT="0" distB="0" distL="0" distR="0" allowOverlap="1" layoutInCell="1" locked="0" behindDoc="1" simplePos="0" relativeHeight="487644672">
                <wp:simplePos x="0" y="0"/>
                <wp:positionH relativeFrom="page">
                  <wp:posOffset>897636</wp:posOffset>
                </wp:positionH>
                <wp:positionV relativeFrom="paragraph">
                  <wp:posOffset>229850</wp:posOffset>
                </wp:positionV>
                <wp:extent cx="6014720" cy="6350"/>
                <wp:effectExtent l="0" t="0" r="0" b="0"/>
                <wp:wrapTopAndBottom/>
                <wp:docPr id="322" name="Graphic 322"/>
                <wp:cNvGraphicFramePr>
                  <a:graphicFrameLocks/>
                </wp:cNvGraphicFramePr>
                <a:graphic>
                  <a:graphicData uri="http://schemas.microsoft.com/office/word/2010/wordprocessingShape">
                    <wps:wsp>
                      <wps:cNvPr id="322" name="Graphic 322"/>
                      <wps:cNvSpPr/>
                      <wps:spPr>
                        <a:xfrm>
                          <a:off x="0" y="0"/>
                          <a:ext cx="6014720" cy="6350"/>
                        </a:xfrm>
                        <a:custGeom>
                          <a:avLst/>
                          <a:gdLst/>
                          <a:ahLst/>
                          <a:cxnLst/>
                          <a:rect l="l" t="t" r="r" b="b"/>
                          <a:pathLst>
                            <a:path w="6014720" h="6350">
                              <a:moveTo>
                                <a:pt x="6014466" y="0"/>
                              </a:moveTo>
                              <a:lnTo>
                                <a:pt x="0" y="0"/>
                              </a:lnTo>
                              <a:lnTo>
                                <a:pt x="0" y="6096"/>
                              </a:lnTo>
                              <a:lnTo>
                                <a:pt x="6014466" y="6096"/>
                              </a:lnTo>
                              <a:lnTo>
                                <a:pt x="6014466" y="0"/>
                              </a:lnTo>
                              <a:close/>
                            </a:path>
                          </a:pathLst>
                        </a:custGeom>
                        <a:solidFill>
                          <a:srgbClr val="4F81BC"/>
                        </a:solidFill>
                      </wps:spPr>
                      <wps:bodyPr wrap="square" lIns="0" tIns="0" rIns="0" bIns="0" rtlCol="0">
                        <a:prstTxWarp prst="textNoShape">
                          <a:avLst/>
                        </a:prstTxWarp>
                        <a:noAutofit/>
                      </wps:bodyPr>
                    </wps:wsp>
                  </a:graphicData>
                </a:graphic>
              </wp:anchor>
            </w:drawing>
          </mc:Choice>
          <mc:Fallback>
            <w:pict>
              <v:rect style="position:absolute;margin-left:70.680pt;margin-top:18.098476pt;width:473.58pt;height:.48pt;mso-position-horizontal-relative:page;mso-position-vertical-relative:paragraph;z-index:-15671808;mso-wrap-distance-left:0;mso-wrap-distance-right:0" id="docshape255" filled="true" fillcolor="#4f81bc" stroked="false">
                <v:fill type="solid"/>
                <w10:wrap type="topAndBottom"/>
              </v:rect>
            </w:pict>
          </mc:Fallback>
        </mc:AlternateContent>
      </w:r>
      <w:bookmarkStart w:name="Research: What is Sexual Health?" w:id="469"/>
      <w:bookmarkEnd w:id="469"/>
      <w:r>
        <w:rPr/>
      </w:r>
      <w:r>
        <w:rPr>
          <w:color w:val="365F91"/>
          <w:sz w:val="28"/>
        </w:rPr>
        <w:t>Research:</w:t>
      </w:r>
      <w:r>
        <w:rPr>
          <w:color w:val="365F91"/>
          <w:spacing w:val="-8"/>
          <w:sz w:val="28"/>
        </w:rPr>
        <w:t> </w:t>
      </w:r>
      <w:r>
        <w:rPr>
          <w:color w:val="365F91"/>
          <w:sz w:val="28"/>
        </w:rPr>
        <w:t>What</w:t>
      </w:r>
      <w:r>
        <w:rPr>
          <w:color w:val="365F91"/>
          <w:spacing w:val="-8"/>
          <w:sz w:val="28"/>
        </w:rPr>
        <w:t> </w:t>
      </w:r>
      <w:r>
        <w:rPr>
          <w:color w:val="365F91"/>
          <w:sz w:val="28"/>
        </w:rPr>
        <w:t>is</w:t>
      </w:r>
      <w:r>
        <w:rPr>
          <w:color w:val="365F91"/>
          <w:spacing w:val="-8"/>
          <w:sz w:val="28"/>
        </w:rPr>
        <w:t> </w:t>
      </w:r>
      <w:r>
        <w:rPr>
          <w:color w:val="365F91"/>
          <w:sz w:val="28"/>
        </w:rPr>
        <w:t>Sexual</w:t>
      </w:r>
      <w:r>
        <w:rPr>
          <w:color w:val="365F91"/>
          <w:spacing w:val="-8"/>
          <w:sz w:val="28"/>
        </w:rPr>
        <w:t> </w:t>
      </w:r>
      <w:r>
        <w:rPr>
          <w:color w:val="365F91"/>
          <w:spacing w:val="-2"/>
          <w:sz w:val="28"/>
        </w:rPr>
        <w:t>Health?</w:t>
      </w:r>
    </w:p>
    <w:p>
      <w:pPr>
        <w:pStyle w:val="BodyText"/>
      </w:pPr>
    </w:p>
    <w:p>
      <w:pPr>
        <w:pStyle w:val="BodyText"/>
        <w:spacing w:before="26"/>
      </w:pPr>
    </w:p>
    <w:p>
      <w:pPr>
        <w:pStyle w:val="BodyText"/>
        <w:spacing w:line="276" w:lineRule="auto"/>
        <w:ind w:left="363" w:right="144"/>
        <w:jc w:val="both"/>
      </w:pPr>
      <w:r>
        <w:rPr/>
        <w:t>Sexual health is a fundamental right that includes the right to sexual identity, expression, and activity. Comprehensive sexual health education has received widespread support for the benefits it provides to youth, including from the American Academy of Pediatrics.</w:t>
      </w:r>
      <w:r>
        <w:rPr>
          <w:vertAlign w:val="superscript"/>
        </w:rPr>
        <w:t>4</w:t>
      </w:r>
      <w:r>
        <w:rPr>
          <w:vertAlign w:val="baseline"/>
        </w:rPr>
        <w:t> According to the World Health Organization, the definition of sexual health is expansive:</w:t>
      </w:r>
    </w:p>
    <w:p>
      <w:pPr>
        <w:pStyle w:val="BodyText"/>
        <w:spacing w:line="276" w:lineRule="auto" w:before="241"/>
        <w:ind w:left="651" w:right="427"/>
        <w:jc w:val="both"/>
      </w:pPr>
      <w:r>
        <w:rPr>
          <w:color w:val="0F6DC5"/>
        </w:rPr>
        <w:t>“[Sexual health] is a state of physical, emotional, mental and social well-being in relation to sexuality; it is not merely the absence of disease, dysfunction or infirmity. Sexual health requires a positive and respectful approach to sexuality and sexual relationships, as well as the possibility of having pleasurable and safe sexual experiences, free of coercion, discrimination and violence. For sexual health to be attained and maintained, the sexual rights of all persons must be respected, protected and fulfilled.”</w:t>
      </w:r>
      <w:r>
        <w:rPr>
          <w:color w:val="0F6DC5"/>
          <w:vertAlign w:val="superscript"/>
        </w:rPr>
        <w:t>5</w:t>
      </w:r>
    </w:p>
    <w:p>
      <w:pPr>
        <w:pStyle w:val="BodyText"/>
        <w:spacing w:line="276" w:lineRule="auto" w:before="239"/>
        <w:ind w:left="363" w:right="140"/>
        <w:jc w:val="both"/>
      </w:pPr>
      <w:r>
        <w:rPr/>
        <w:t>Unequivocally, frank discussions of sexual activity and health are largely considered to be taboo in U.S. society,</w:t>
      </w:r>
      <w:r>
        <w:rPr>
          <w:spacing w:val="-3"/>
        </w:rPr>
        <w:t> </w:t>
      </w:r>
      <w:r>
        <w:rPr/>
        <w:t>especially</w:t>
      </w:r>
      <w:r>
        <w:rPr>
          <w:spacing w:val="-3"/>
        </w:rPr>
        <w:t> </w:t>
      </w:r>
      <w:r>
        <w:rPr/>
        <w:t>in</w:t>
      </w:r>
      <w:r>
        <w:rPr>
          <w:spacing w:val="-3"/>
        </w:rPr>
        <w:t> </w:t>
      </w:r>
      <w:r>
        <w:rPr/>
        <w:t>regards</w:t>
      </w:r>
      <w:r>
        <w:rPr>
          <w:spacing w:val="-3"/>
        </w:rPr>
        <w:t> </w:t>
      </w:r>
      <w:r>
        <w:rPr/>
        <w:t>to</w:t>
      </w:r>
      <w:r>
        <w:rPr>
          <w:spacing w:val="-4"/>
        </w:rPr>
        <w:t> </w:t>
      </w:r>
      <w:r>
        <w:rPr/>
        <w:t>LGBTQ</w:t>
      </w:r>
      <w:r>
        <w:rPr>
          <w:spacing w:val="-2"/>
        </w:rPr>
        <w:t> </w:t>
      </w:r>
      <w:r>
        <w:rPr/>
        <w:t>youth;</w:t>
      </w:r>
      <w:r>
        <w:rPr>
          <w:spacing w:val="-3"/>
        </w:rPr>
        <w:t> </w:t>
      </w:r>
      <w:r>
        <w:rPr/>
        <w:t>7</w:t>
      </w:r>
      <w:r>
        <w:rPr>
          <w:spacing w:val="-3"/>
        </w:rPr>
        <w:t> </w:t>
      </w:r>
      <w:r>
        <w:rPr/>
        <w:t>states</w:t>
      </w:r>
      <w:r>
        <w:rPr>
          <w:spacing w:val="-4"/>
        </w:rPr>
        <w:t> </w:t>
      </w:r>
      <w:r>
        <w:rPr/>
        <w:t>in</w:t>
      </w:r>
      <w:r>
        <w:rPr>
          <w:spacing w:val="-2"/>
        </w:rPr>
        <w:t> </w:t>
      </w:r>
      <w:r>
        <w:rPr/>
        <w:t>the</w:t>
      </w:r>
      <w:r>
        <w:rPr>
          <w:spacing w:val="-2"/>
        </w:rPr>
        <w:t> </w:t>
      </w:r>
      <w:r>
        <w:rPr/>
        <w:t>U.S.</w:t>
      </w:r>
      <w:r>
        <w:rPr>
          <w:spacing w:val="-2"/>
        </w:rPr>
        <w:t> </w:t>
      </w:r>
      <w:r>
        <w:rPr/>
        <w:t>prohibit</w:t>
      </w:r>
      <w:r>
        <w:rPr>
          <w:spacing w:val="-3"/>
        </w:rPr>
        <w:t> </w:t>
      </w:r>
      <w:r>
        <w:rPr/>
        <w:t>the</w:t>
      </w:r>
      <w:r>
        <w:rPr>
          <w:spacing w:val="-2"/>
        </w:rPr>
        <w:t> </w:t>
      </w:r>
      <w:r>
        <w:rPr/>
        <w:t>mention</w:t>
      </w:r>
      <w:r>
        <w:rPr>
          <w:spacing w:val="-3"/>
        </w:rPr>
        <w:t> </w:t>
      </w:r>
      <w:r>
        <w:rPr/>
        <w:t>of</w:t>
      </w:r>
      <w:r>
        <w:rPr>
          <w:spacing w:val="-3"/>
        </w:rPr>
        <w:t> </w:t>
      </w:r>
      <w:r>
        <w:rPr/>
        <w:t>LGBTQ</w:t>
      </w:r>
      <w:r>
        <w:rPr>
          <w:spacing w:val="-3"/>
        </w:rPr>
        <w:t> </w:t>
      </w:r>
      <w:r>
        <w:rPr/>
        <w:t>sexuality and identities in a positive light in schools through legislation coined as “‘no promo homo’ laws.”</w:t>
      </w:r>
      <w:r>
        <w:rPr>
          <w:vertAlign w:val="superscript"/>
        </w:rPr>
        <w:t>6</w:t>
      </w:r>
      <w:r>
        <w:rPr>
          <w:vertAlign w:val="baseline"/>
        </w:rPr>
        <w:t> As discussed in multiple sections of this annual report, hundreds of anti-LGBTQ bills have swept across the</w:t>
      </w:r>
    </w:p>
    <w:p>
      <w:pPr>
        <w:pStyle w:val="BodyText"/>
        <w:spacing w:line="276" w:lineRule="auto"/>
        <w:ind w:left="6335" w:right="142"/>
        <w:jc w:val="both"/>
      </w:pPr>
      <w:r>
        <w:rPr/>
        <w:drawing>
          <wp:anchor distT="0" distB="0" distL="0" distR="0" allowOverlap="1" layoutInCell="1" locked="0" behindDoc="0" simplePos="0" relativeHeight="15785984">
            <wp:simplePos x="0" y="0"/>
            <wp:positionH relativeFrom="page">
              <wp:posOffset>914400</wp:posOffset>
            </wp:positionH>
            <wp:positionV relativeFrom="paragraph">
              <wp:posOffset>122301</wp:posOffset>
            </wp:positionV>
            <wp:extent cx="3703319" cy="2788913"/>
            <wp:effectExtent l="0" t="0" r="0" b="0"/>
            <wp:wrapNone/>
            <wp:docPr id="323" name="Image 323"/>
            <wp:cNvGraphicFramePr>
              <a:graphicFrameLocks/>
            </wp:cNvGraphicFramePr>
            <a:graphic>
              <a:graphicData uri="http://schemas.openxmlformats.org/drawingml/2006/picture">
                <pic:pic>
                  <pic:nvPicPr>
                    <pic:cNvPr id="323" name="Image 323"/>
                    <pic:cNvPicPr/>
                  </pic:nvPicPr>
                  <pic:blipFill>
                    <a:blip r:embed="rId397" cstate="print"/>
                    <a:stretch>
                      <a:fillRect/>
                    </a:stretch>
                  </pic:blipFill>
                  <pic:spPr>
                    <a:xfrm>
                      <a:off x="0" y="0"/>
                      <a:ext cx="3703319" cy="2788913"/>
                    </a:xfrm>
                    <a:prstGeom prst="rect">
                      <a:avLst/>
                    </a:prstGeom>
                  </pic:spPr>
                </pic:pic>
              </a:graphicData>
            </a:graphic>
          </wp:anchor>
        </w:drawing>
      </w:r>
      <w:r>
        <w:rPr/>
        <w:t>nation to continue to force LGBTQ youth identities into the shadows, increasing fear, anxiety, and stigma.</w:t>
      </w:r>
    </w:p>
    <w:p>
      <w:pPr>
        <w:pStyle w:val="BodyText"/>
        <w:spacing w:line="276" w:lineRule="auto" w:before="239"/>
        <w:ind w:left="6335" w:right="141"/>
        <w:jc w:val="both"/>
      </w:pPr>
      <w:r>
        <w:rPr/>
        <w:t>Regardless</w:t>
      </w:r>
      <w:r>
        <w:rPr>
          <w:spacing w:val="-5"/>
        </w:rPr>
        <w:t> </w:t>
      </w:r>
      <w:r>
        <w:rPr/>
        <w:t>of</w:t>
      </w:r>
      <w:r>
        <w:rPr>
          <w:spacing w:val="-6"/>
        </w:rPr>
        <w:t> </w:t>
      </w:r>
      <w:r>
        <w:rPr/>
        <w:t>the</w:t>
      </w:r>
      <w:r>
        <w:rPr>
          <w:spacing w:val="-5"/>
        </w:rPr>
        <w:t> </w:t>
      </w:r>
      <w:r>
        <w:rPr/>
        <w:t>significant</w:t>
      </w:r>
      <w:r>
        <w:rPr>
          <w:spacing w:val="-6"/>
        </w:rPr>
        <w:t> </w:t>
      </w:r>
      <w:r>
        <w:rPr/>
        <w:t>individual and societal benefits of sexual health education,</w:t>
      </w:r>
      <w:r>
        <w:rPr>
          <w:spacing w:val="-13"/>
        </w:rPr>
        <w:t> </w:t>
      </w:r>
      <w:r>
        <w:rPr/>
        <w:t>the</w:t>
      </w:r>
      <w:r>
        <w:rPr>
          <w:spacing w:val="-12"/>
        </w:rPr>
        <w:t> </w:t>
      </w:r>
      <w:r>
        <w:rPr/>
        <w:t>concept</w:t>
      </w:r>
      <w:r>
        <w:rPr>
          <w:spacing w:val="-13"/>
        </w:rPr>
        <w:t> </w:t>
      </w:r>
      <w:r>
        <w:rPr/>
        <w:t>has</w:t>
      </w:r>
      <w:r>
        <w:rPr>
          <w:spacing w:val="-12"/>
        </w:rPr>
        <w:t> </w:t>
      </w:r>
      <w:r>
        <w:rPr/>
        <w:t>remained</w:t>
      </w:r>
      <w:r>
        <w:rPr>
          <w:spacing w:val="-13"/>
        </w:rPr>
        <w:t> </w:t>
      </w:r>
      <w:r>
        <w:rPr/>
        <w:t>a controversial issue for decades. Massachusetts - despite its already weak requirements for sexual health education - is no exception to challenges to its curriculum, with two bills being filed in the 2023-24 session to require parents to opt-in to sexual health education. Opt-in provisions have</w:t>
      </w:r>
      <w:r>
        <w:rPr>
          <w:spacing w:val="29"/>
        </w:rPr>
        <w:t>  </w:t>
      </w:r>
      <w:r>
        <w:rPr/>
        <w:t>consistently</w:t>
      </w:r>
      <w:r>
        <w:rPr>
          <w:spacing w:val="29"/>
        </w:rPr>
        <w:t>  </w:t>
      </w:r>
      <w:r>
        <w:rPr/>
        <w:t>been</w:t>
      </w:r>
      <w:r>
        <w:rPr>
          <w:spacing w:val="29"/>
        </w:rPr>
        <w:t>  </w:t>
      </w:r>
      <w:r>
        <w:rPr/>
        <w:t>proven</w:t>
      </w:r>
      <w:r>
        <w:rPr>
          <w:spacing w:val="29"/>
        </w:rPr>
        <w:t>  </w:t>
      </w:r>
      <w:r>
        <w:rPr>
          <w:spacing w:val="-5"/>
        </w:rPr>
        <w:t>to</w:t>
      </w:r>
    </w:p>
    <w:p>
      <w:pPr>
        <w:pStyle w:val="BodyText"/>
        <w:spacing w:line="276" w:lineRule="auto" w:before="1"/>
        <w:ind w:left="363" w:right="143" w:hanging="1"/>
        <w:jc w:val="both"/>
      </w:pPr>
      <w:r>
        <w:rPr/>
        <w:t>provide worse educational and societal outcomes for youth, and provide undue burdens for youth, teachers, and parents.</w:t>
      </w:r>
      <w:r>
        <w:rPr>
          <w:vertAlign w:val="superscript"/>
        </w:rPr>
        <w:t>7</w:t>
      </w:r>
    </w:p>
    <w:p>
      <w:pPr>
        <w:spacing w:after="0" w:line="276" w:lineRule="auto"/>
        <w:jc w:val="both"/>
        <w:sectPr>
          <w:pgSz w:w="12240" w:h="15840"/>
          <w:pgMar w:header="763" w:footer="1339" w:top="1180" w:bottom="1560" w:left="1080" w:right="1240"/>
        </w:sectPr>
      </w:pPr>
    </w:p>
    <w:p>
      <w:pPr>
        <w:pStyle w:val="BodyText"/>
        <w:spacing w:line="276" w:lineRule="auto" w:before="69"/>
        <w:ind w:left="363" w:right="142"/>
        <w:jc w:val="both"/>
      </w:pPr>
      <w:r>
        <w:rPr/>
        <w:t>The</w:t>
      </w:r>
      <w:r>
        <w:rPr>
          <w:spacing w:val="-9"/>
        </w:rPr>
        <w:t> </w:t>
      </w:r>
      <w:r>
        <w:rPr/>
        <w:t>Commission</w:t>
      </w:r>
      <w:r>
        <w:rPr>
          <w:spacing w:val="-9"/>
        </w:rPr>
        <w:t> </w:t>
      </w:r>
      <w:r>
        <w:rPr/>
        <w:t>unquestionably</w:t>
      </w:r>
      <w:r>
        <w:rPr>
          <w:spacing w:val="-9"/>
        </w:rPr>
        <w:t> </w:t>
      </w:r>
      <w:r>
        <w:rPr/>
        <w:t>stands</w:t>
      </w:r>
      <w:r>
        <w:rPr>
          <w:spacing w:val="-7"/>
        </w:rPr>
        <w:t> </w:t>
      </w:r>
      <w:r>
        <w:rPr/>
        <w:t>against</w:t>
      </w:r>
      <w:r>
        <w:rPr>
          <w:spacing w:val="-9"/>
        </w:rPr>
        <w:t> </w:t>
      </w:r>
      <w:r>
        <w:rPr>
          <w:i/>
        </w:rPr>
        <w:t>An</w:t>
      </w:r>
      <w:r>
        <w:rPr>
          <w:i/>
          <w:spacing w:val="-9"/>
        </w:rPr>
        <w:t> </w:t>
      </w:r>
      <w:r>
        <w:rPr>
          <w:i/>
        </w:rPr>
        <w:t>Act</w:t>
      </w:r>
      <w:r>
        <w:rPr>
          <w:i/>
          <w:spacing w:val="-9"/>
        </w:rPr>
        <w:t> </w:t>
      </w:r>
      <w:r>
        <w:rPr>
          <w:i/>
        </w:rPr>
        <w:t>Relative</w:t>
      </w:r>
      <w:r>
        <w:rPr>
          <w:i/>
          <w:spacing w:val="-9"/>
        </w:rPr>
        <w:t> </w:t>
      </w:r>
      <w:r>
        <w:rPr>
          <w:i/>
        </w:rPr>
        <w:t>to</w:t>
      </w:r>
      <w:r>
        <w:rPr>
          <w:i/>
          <w:spacing w:val="-8"/>
        </w:rPr>
        <w:t> </w:t>
      </w:r>
      <w:r>
        <w:rPr>
          <w:i/>
        </w:rPr>
        <w:t>Parental</w:t>
      </w:r>
      <w:r>
        <w:rPr>
          <w:i/>
          <w:spacing w:val="-9"/>
        </w:rPr>
        <w:t> </w:t>
      </w:r>
      <w:r>
        <w:rPr>
          <w:i/>
        </w:rPr>
        <w:t>Notification</w:t>
      </w:r>
      <w:r>
        <w:rPr>
          <w:i/>
          <w:spacing w:val="-8"/>
        </w:rPr>
        <w:t> </w:t>
      </w:r>
      <w:r>
        <w:rPr/>
        <w:t>(H.509),</w:t>
      </w:r>
      <w:r>
        <w:rPr>
          <w:spacing w:val="-9"/>
        </w:rPr>
        <w:t> </w:t>
      </w:r>
      <w:r>
        <w:rPr/>
        <w:t>to</w:t>
      </w:r>
      <w:r>
        <w:rPr>
          <w:spacing w:val="-8"/>
        </w:rPr>
        <w:t> </w:t>
      </w:r>
      <w:r>
        <w:rPr/>
        <w:t>require Massachusetts parents to opt-in their children to sexual health education. Sexual health education must be mandated in all schools across the state, for a number of reasons. First, schools often do not receive enough support - financial and/or otherwise - from the state and local communities to offer or prioritize appropriate sexual health education. The Commission understands from its own conversations with advocates and schools that constant challenges and attacks against school curriculum have left Massachusetts schools wary of improving - and even discussing - their sexual health curricula or giving youth the appropriate space to process and understand the information being provided.</w:t>
      </w:r>
    </w:p>
    <w:p>
      <w:pPr>
        <w:pStyle w:val="BodyText"/>
        <w:spacing w:line="276" w:lineRule="auto" w:before="239"/>
        <w:ind w:left="363" w:right="141"/>
        <w:jc w:val="both"/>
      </w:pPr>
      <w:r>
        <w:rPr/>
        <w:t>In the most recent 2020 School Health Profiles released in 2022, only 89.9% of schools require health education, leaving 1 in 10 of Massachusetts’ secondary schools without mandated health courses. Only 19.1% of schools require that students complete at least one health course throughout their secondary school</w:t>
      </w:r>
      <w:r>
        <w:rPr>
          <w:spacing w:val="-1"/>
        </w:rPr>
        <w:t> </w:t>
      </w:r>
      <w:r>
        <w:rPr/>
        <w:t>experience, and</w:t>
      </w:r>
      <w:r>
        <w:rPr>
          <w:spacing w:val="-1"/>
        </w:rPr>
        <w:t> </w:t>
      </w:r>
      <w:r>
        <w:rPr/>
        <w:t>52.8% of schools who mandate</w:t>
      </w:r>
      <w:r>
        <w:rPr>
          <w:spacing w:val="-1"/>
        </w:rPr>
        <w:t> </w:t>
      </w:r>
      <w:r>
        <w:rPr/>
        <w:t>health</w:t>
      </w:r>
      <w:r>
        <w:rPr>
          <w:spacing w:val="-1"/>
        </w:rPr>
        <w:t> </w:t>
      </w:r>
      <w:r>
        <w:rPr/>
        <w:t>education</w:t>
      </w:r>
      <w:r>
        <w:rPr>
          <w:spacing w:val="-1"/>
        </w:rPr>
        <w:t> </w:t>
      </w:r>
      <w:r>
        <w:rPr/>
        <w:t>do not require</w:t>
      </w:r>
      <w:r>
        <w:rPr>
          <w:spacing w:val="-1"/>
        </w:rPr>
        <w:t> </w:t>
      </w:r>
      <w:r>
        <w:rPr/>
        <w:t>students who fail a health course to repeat the course. Of schools that required a health education course, most schools delivered the course between 6th and 9th grade, with only a concerning 37.8% of schools delivering a course in 11th grade and 33.6% in 12th grade.</w:t>
      </w:r>
      <w:r>
        <w:rPr>
          <w:vertAlign w:val="superscript"/>
        </w:rPr>
        <w:t>8</w:t>
      </w:r>
      <w:r>
        <w:rPr>
          <w:vertAlign w:val="baseline"/>
        </w:rPr>
        <w:t> However, even though three-quarters of responding schools taught health education at least once between 6th and 9th grade, only roughly half of Massachusetts schools included information on reducing sexual risk behaviors, the importance of condoms, and methods of contraception other than condoms; only 34.3% reported that they taught students</w:t>
      </w:r>
      <w:r>
        <w:rPr>
          <w:spacing w:val="-7"/>
          <w:vertAlign w:val="baseline"/>
        </w:rPr>
        <w:t> </w:t>
      </w:r>
      <w:r>
        <w:rPr>
          <w:vertAlign w:val="baseline"/>
        </w:rPr>
        <w:t>how</w:t>
      </w:r>
      <w:r>
        <w:rPr>
          <w:spacing w:val="-6"/>
          <w:vertAlign w:val="baseline"/>
        </w:rPr>
        <w:t> </w:t>
      </w:r>
      <w:r>
        <w:rPr>
          <w:vertAlign w:val="baseline"/>
        </w:rPr>
        <w:t>to</w:t>
      </w:r>
      <w:r>
        <w:rPr>
          <w:spacing w:val="-7"/>
          <w:vertAlign w:val="baseline"/>
        </w:rPr>
        <w:t> </w:t>
      </w:r>
      <w:r>
        <w:rPr>
          <w:vertAlign w:val="baseline"/>
        </w:rPr>
        <w:t>appropriately</w:t>
      </w:r>
      <w:r>
        <w:rPr>
          <w:spacing w:val="-7"/>
          <w:vertAlign w:val="baseline"/>
        </w:rPr>
        <w:t> </w:t>
      </w:r>
      <w:r>
        <w:rPr>
          <w:vertAlign w:val="baseline"/>
        </w:rPr>
        <w:t>use</w:t>
      </w:r>
      <w:r>
        <w:rPr>
          <w:spacing w:val="-6"/>
          <w:vertAlign w:val="baseline"/>
        </w:rPr>
        <w:t> </w:t>
      </w:r>
      <w:r>
        <w:rPr>
          <w:vertAlign w:val="baseline"/>
        </w:rPr>
        <w:t>a</w:t>
      </w:r>
      <w:r>
        <w:rPr>
          <w:spacing w:val="-6"/>
          <w:vertAlign w:val="baseline"/>
        </w:rPr>
        <w:t> </w:t>
      </w:r>
      <w:r>
        <w:rPr>
          <w:vertAlign w:val="baseline"/>
        </w:rPr>
        <w:t>condom.</w:t>
      </w:r>
      <w:r>
        <w:rPr>
          <w:spacing w:val="-7"/>
          <w:vertAlign w:val="baseline"/>
        </w:rPr>
        <w:t> </w:t>
      </w:r>
      <w:r>
        <w:rPr>
          <w:vertAlign w:val="baseline"/>
        </w:rPr>
        <w:t>In</w:t>
      </w:r>
      <w:r>
        <w:rPr>
          <w:spacing w:val="-7"/>
          <w:vertAlign w:val="baseline"/>
        </w:rPr>
        <w:t> </w:t>
      </w:r>
      <w:r>
        <w:rPr>
          <w:vertAlign w:val="baseline"/>
        </w:rPr>
        <w:t>Boston</w:t>
      </w:r>
      <w:r>
        <w:rPr>
          <w:spacing w:val="-7"/>
          <w:vertAlign w:val="baseline"/>
        </w:rPr>
        <w:t> </w:t>
      </w:r>
      <w:r>
        <w:rPr>
          <w:vertAlign w:val="baseline"/>
        </w:rPr>
        <w:t>specifically</w:t>
      </w:r>
      <w:r>
        <w:rPr>
          <w:spacing w:val="-7"/>
          <w:vertAlign w:val="baseline"/>
        </w:rPr>
        <w:t> </w:t>
      </w:r>
      <w:r>
        <w:rPr>
          <w:vertAlign w:val="baseline"/>
        </w:rPr>
        <w:t>-</w:t>
      </w:r>
      <w:r>
        <w:rPr>
          <w:spacing w:val="-7"/>
          <w:vertAlign w:val="baseline"/>
        </w:rPr>
        <w:t> </w:t>
      </w:r>
      <w:r>
        <w:rPr>
          <w:vertAlign w:val="baseline"/>
        </w:rPr>
        <w:t>the</w:t>
      </w:r>
      <w:r>
        <w:rPr>
          <w:spacing w:val="-7"/>
          <w:vertAlign w:val="baseline"/>
        </w:rPr>
        <w:t> </w:t>
      </w:r>
      <w:r>
        <w:rPr>
          <w:vertAlign w:val="baseline"/>
        </w:rPr>
        <w:t>only</w:t>
      </w:r>
      <w:r>
        <w:rPr>
          <w:spacing w:val="-6"/>
          <w:vertAlign w:val="baseline"/>
        </w:rPr>
        <w:t> </w:t>
      </w:r>
      <w:r>
        <w:rPr>
          <w:vertAlign w:val="baseline"/>
        </w:rPr>
        <w:t>Massachusetts</w:t>
      </w:r>
      <w:r>
        <w:rPr>
          <w:spacing w:val="-6"/>
          <w:vertAlign w:val="baseline"/>
        </w:rPr>
        <w:t> </w:t>
      </w:r>
      <w:r>
        <w:rPr>
          <w:vertAlign w:val="baseline"/>
        </w:rPr>
        <w:t>city</w:t>
      </w:r>
      <w:r>
        <w:rPr>
          <w:spacing w:val="-7"/>
          <w:vertAlign w:val="baseline"/>
        </w:rPr>
        <w:t> </w:t>
      </w:r>
      <w:r>
        <w:rPr>
          <w:vertAlign w:val="baseline"/>
        </w:rPr>
        <w:t>reported in the public CDC profiles - only 29% of schools covered all 22 of the recommended sexual health topics between 6th and 8th grade, compared to states where comprehensive sexual health education is mandated which had cities with compliance rates as high as 97.1%.</w:t>
      </w:r>
      <w:r>
        <w:rPr>
          <w:vertAlign w:val="superscript"/>
        </w:rPr>
        <w:t>9</w:t>
      </w:r>
    </w:p>
    <w:p>
      <w:pPr>
        <w:pStyle w:val="BodyText"/>
        <w:spacing w:line="276" w:lineRule="auto" w:before="241"/>
        <w:ind w:left="363" w:right="140"/>
        <w:jc w:val="both"/>
      </w:pPr>
      <w:r>
        <w:rPr/>
        <w:t>Comprehensive sexual health education gives youth the tools they need to avoid situations where they might have unprotected sex, subsequently reducing STIs, HIV/AIDS transmission, and unintended pregnancy rates. All youth are entitled to medically-accurate knowledge about their own bodies, how to build healthy relationships, and how to give and ask for consent; all of these areas are core factors of comprehensive sexual health education.</w:t>
      </w:r>
      <w:r>
        <w:rPr>
          <w:vertAlign w:val="superscript"/>
        </w:rPr>
        <w:t>10</w:t>
      </w:r>
      <w:r>
        <w:rPr>
          <w:vertAlign w:val="baseline"/>
        </w:rPr>
        <w:t> Unfortunately, LGBTQ youth are often less likely to receive adequate and accurate education compared to their cisgender and heterosexual peers, with QTBIPOC youth further reporting disparate experiences in seeing appropriate and inclusive information pertaining to race, ethnicity, and culture in sexual health education.</w:t>
      </w:r>
      <w:r>
        <w:rPr>
          <w:vertAlign w:val="superscript"/>
        </w:rPr>
        <w:t>11</w:t>
      </w:r>
    </w:p>
    <w:p>
      <w:pPr>
        <w:pStyle w:val="BodyText"/>
        <w:spacing w:line="276" w:lineRule="auto" w:before="240"/>
        <w:ind w:left="363" w:right="141"/>
        <w:jc w:val="both"/>
      </w:pPr>
      <w:r>
        <w:rPr/>
        <w:t>Many of the opposing arguments around mandating sexual health education in schools center around a parent’s right to have these conversations in the home - or, rather, only in the home. However, it is important to highlight the fact that most parents - in fact the majority of parents - are not opposed to sexual health education in schools, with 93% of parents of high school students reporting that teaching about sexual health in schools is important. Furthermore, 85% of the same parents supported including sexual orientation as a sexual health topic in schools; though given the widespread cultural shifts in the last six years since this 2017 survey was completed, the Commission suspects that this number has continued to rise.</w:t>
      </w:r>
      <w:r>
        <w:rPr>
          <w:vertAlign w:val="superscript"/>
        </w:rPr>
        <w:t>12</w:t>
      </w:r>
    </w:p>
    <w:p>
      <w:pPr>
        <w:spacing w:after="0" w:line="276" w:lineRule="auto"/>
        <w:jc w:val="both"/>
        <w:sectPr>
          <w:pgSz w:w="12240" w:h="15840"/>
          <w:pgMar w:header="763" w:footer="1339" w:top="1180" w:bottom="1560" w:left="1080" w:right="1240"/>
        </w:sectPr>
      </w:pPr>
    </w:p>
    <w:p>
      <w:pPr>
        <w:pStyle w:val="BodyText"/>
        <w:spacing w:line="276" w:lineRule="auto" w:before="69"/>
        <w:ind w:left="363" w:right="140"/>
        <w:jc w:val="both"/>
      </w:pPr>
      <w:r>
        <w:rPr/>
        <w:t>Finally,</w:t>
      </w:r>
      <w:r>
        <w:rPr>
          <w:spacing w:val="-7"/>
        </w:rPr>
        <w:t> </w:t>
      </w:r>
      <w:r>
        <w:rPr/>
        <w:t>the</w:t>
      </w:r>
      <w:r>
        <w:rPr>
          <w:spacing w:val="-7"/>
        </w:rPr>
        <w:t> </w:t>
      </w:r>
      <w:r>
        <w:rPr/>
        <w:t>Commission</w:t>
      </w:r>
      <w:r>
        <w:rPr>
          <w:spacing w:val="-8"/>
        </w:rPr>
        <w:t> </w:t>
      </w:r>
      <w:r>
        <w:rPr/>
        <w:t>understands</w:t>
      </w:r>
      <w:r>
        <w:rPr>
          <w:spacing w:val="-6"/>
        </w:rPr>
        <w:t> </w:t>
      </w:r>
      <w:r>
        <w:rPr/>
        <w:t>that</w:t>
      </w:r>
      <w:r>
        <w:rPr>
          <w:spacing w:val="-7"/>
        </w:rPr>
        <w:t> </w:t>
      </w:r>
      <w:r>
        <w:rPr/>
        <w:t>by</w:t>
      </w:r>
      <w:r>
        <w:rPr>
          <w:spacing w:val="-8"/>
        </w:rPr>
        <w:t> </w:t>
      </w:r>
      <w:r>
        <w:rPr/>
        <w:t>not</w:t>
      </w:r>
      <w:r>
        <w:rPr>
          <w:spacing w:val="-7"/>
        </w:rPr>
        <w:t> </w:t>
      </w:r>
      <w:r>
        <w:rPr/>
        <w:t>passing</w:t>
      </w:r>
      <w:r>
        <w:rPr>
          <w:spacing w:val="-8"/>
        </w:rPr>
        <w:t> </w:t>
      </w:r>
      <w:r>
        <w:rPr/>
        <w:t>a</w:t>
      </w:r>
      <w:r>
        <w:rPr>
          <w:spacing w:val="-6"/>
        </w:rPr>
        <w:t> </w:t>
      </w:r>
      <w:r>
        <w:rPr/>
        <w:t>mandate</w:t>
      </w:r>
      <w:r>
        <w:rPr>
          <w:spacing w:val="-8"/>
        </w:rPr>
        <w:t> </w:t>
      </w:r>
      <w:r>
        <w:rPr/>
        <w:t>for</w:t>
      </w:r>
      <w:r>
        <w:rPr>
          <w:spacing w:val="-8"/>
        </w:rPr>
        <w:t> </w:t>
      </w:r>
      <w:r>
        <w:rPr/>
        <w:t>sexual</w:t>
      </w:r>
      <w:r>
        <w:rPr>
          <w:spacing w:val="-7"/>
        </w:rPr>
        <w:t> </w:t>
      </w:r>
      <w:r>
        <w:rPr/>
        <w:t>health</w:t>
      </w:r>
      <w:r>
        <w:rPr>
          <w:spacing w:val="-7"/>
        </w:rPr>
        <w:t> </w:t>
      </w:r>
      <w:r>
        <w:rPr/>
        <w:t>education</w:t>
      </w:r>
      <w:r>
        <w:rPr>
          <w:spacing w:val="-8"/>
        </w:rPr>
        <w:t> </w:t>
      </w:r>
      <w:r>
        <w:rPr/>
        <w:t>or</w:t>
      </w:r>
      <w:r>
        <w:rPr>
          <w:spacing w:val="-8"/>
        </w:rPr>
        <w:t> </w:t>
      </w:r>
      <w:r>
        <w:rPr/>
        <w:t>specific funding for curriculum updates, many lower-income schools, and areas with limited financial and community</w:t>
      </w:r>
      <w:r>
        <w:rPr>
          <w:spacing w:val="-10"/>
        </w:rPr>
        <w:t> </w:t>
      </w:r>
      <w:r>
        <w:rPr/>
        <w:t>support</w:t>
      </w:r>
      <w:r>
        <w:rPr>
          <w:spacing w:val="-10"/>
        </w:rPr>
        <w:t> </w:t>
      </w:r>
      <w:r>
        <w:rPr/>
        <w:t>may</w:t>
      </w:r>
      <w:r>
        <w:rPr>
          <w:spacing w:val="-11"/>
        </w:rPr>
        <w:t> </w:t>
      </w:r>
      <w:r>
        <w:rPr/>
        <w:t>stop</w:t>
      </w:r>
      <w:r>
        <w:rPr>
          <w:spacing w:val="-11"/>
        </w:rPr>
        <w:t> </w:t>
      </w:r>
      <w:r>
        <w:rPr/>
        <w:t>teaching</w:t>
      </w:r>
      <w:r>
        <w:rPr>
          <w:spacing w:val="-9"/>
        </w:rPr>
        <w:t> </w:t>
      </w:r>
      <w:r>
        <w:rPr/>
        <w:t>sexual</w:t>
      </w:r>
      <w:r>
        <w:rPr>
          <w:spacing w:val="-11"/>
        </w:rPr>
        <w:t> </w:t>
      </w:r>
      <w:r>
        <w:rPr/>
        <w:t>health</w:t>
      </w:r>
      <w:r>
        <w:rPr>
          <w:spacing w:val="-9"/>
        </w:rPr>
        <w:t> </w:t>
      </w:r>
      <w:r>
        <w:rPr/>
        <w:t>topics</w:t>
      </w:r>
      <w:r>
        <w:rPr>
          <w:spacing w:val="-11"/>
        </w:rPr>
        <w:t> </w:t>
      </w:r>
      <w:r>
        <w:rPr/>
        <w:t>altogether.</w:t>
      </w:r>
      <w:r>
        <w:rPr>
          <w:spacing w:val="-10"/>
        </w:rPr>
        <w:t> </w:t>
      </w:r>
      <w:r>
        <w:rPr/>
        <w:t>This</w:t>
      </w:r>
      <w:r>
        <w:rPr>
          <w:spacing w:val="-10"/>
        </w:rPr>
        <w:t> </w:t>
      </w:r>
      <w:r>
        <w:rPr/>
        <w:t>issue</w:t>
      </w:r>
      <w:r>
        <w:rPr>
          <w:spacing w:val="-11"/>
        </w:rPr>
        <w:t> </w:t>
      </w:r>
      <w:r>
        <w:rPr/>
        <w:t>is</w:t>
      </w:r>
      <w:r>
        <w:rPr>
          <w:spacing w:val="-10"/>
        </w:rPr>
        <w:t> </w:t>
      </w:r>
      <w:r>
        <w:rPr/>
        <w:t>particularly</w:t>
      </w:r>
      <w:r>
        <w:rPr>
          <w:spacing w:val="-11"/>
        </w:rPr>
        <w:t> </w:t>
      </w:r>
      <w:r>
        <w:rPr/>
        <w:t>concerning as QTBIPOC youth, who are more likely to face sexual violence than white youth, are also more likely to attend</w:t>
      </w:r>
      <w:r>
        <w:rPr>
          <w:spacing w:val="-7"/>
        </w:rPr>
        <w:t> </w:t>
      </w:r>
      <w:r>
        <w:rPr/>
        <w:t>underfunded</w:t>
      </w:r>
      <w:r>
        <w:rPr>
          <w:spacing w:val="-7"/>
        </w:rPr>
        <w:t> </w:t>
      </w:r>
      <w:r>
        <w:rPr/>
        <w:t>schools</w:t>
      </w:r>
      <w:r>
        <w:rPr>
          <w:spacing w:val="-7"/>
        </w:rPr>
        <w:t> </w:t>
      </w:r>
      <w:r>
        <w:rPr/>
        <w:t>where</w:t>
      </w:r>
      <w:r>
        <w:rPr>
          <w:spacing w:val="-8"/>
        </w:rPr>
        <w:t> </w:t>
      </w:r>
      <w:r>
        <w:rPr/>
        <w:t>sexual</w:t>
      </w:r>
      <w:r>
        <w:rPr>
          <w:spacing w:val="-8"/>
        </w:rPr>
        <w:t> </w:t>
      </w:r>
      <w:r>
        <w:rPr/>
        <w:t>health</w:t>
      </w:r>
      <w:r>
        <w:rPr>
          <w:spacing w:val="-8"/>
        </w:rPr>
        <w:t> </w:t>
      </w:r>
      <w:r>
        <w:rPr/>
        <w:t>education</w:t>
      </w:r>
      <w:r>
        <w:rPr>
          <w:spacing w:val="-8"/>
        </w:rPr>
        <w:t> </w:t>
      </w:r>
      <w:r>
        <w:rPr/>
        <w:t>may</w:t>
      </w:r>
      <w:r>
        <w:rPr>
          <w:spacing w:val="-6"/>
        </w:rPr>
        <w:t> </w:t>
      </w:r>
      <w:r>
        <w:rPr/>
        <w:t>not</w:t>
      </w:r>
      <w:r>
        <w:rPr>
          <w:spacing w:val="-8"/>
        </w:rPr>
        <w:t> </w:t>
      </w:r>
      <w:r>
        <w:rPr/>
        <w:t>be</w:t>
      </w:r>
      <w:r>
        <w:rPr>
          <w:spacing w:val="-8"/>
        </w:rPr>
        <w:t> </w:t>
      </w:r>
      <w:r>
        <w:rPr/>
        <w:t>a</w:t>
      </w:r>
      <w:r>
        <w:rPr>
          <w:spacing w:val="-7"/>
        </w:rPr>
        <w:t> </w:t>
      </w:r>
      <w:r>
        <w:rPr/>
        <w:t>priority.</w:t>
      </w:r>
      <w:r>
        <w:rPr>
          <w:vertAlign w:val="superscript"/>
        </w:rPr>
        <w:t>13</w:t>
      </w:r>
      <w:r>
        <w:rPr>
          <w:spacing w:val="-8"/>
          <w:vertAlign w:val="baseline"/>
        </w:rPr>
        <w:t> </w:t>
      </w:r>
      <w:r>
        <w:rPr>
          <w:vertAlign w:val="baseline"/>
        </w:rPr>
        <w:t>Black</w:t>
      </w:r>
      <w:r>
        <w:rPr>
          <w:spacing w:val="-8"/>
          <w:vertAlign w:val="baseline"/>
        </w:rPr>
        <w:t> </w:t>
      </w:r>
      <w:r>
        <w:rPr>
          <w:vertAlign w:val="baseline"/>
        </w:rPr>
        <w:t>women</w:t>
      </w:r>
      <w:r>
        <w:rPr>
          <w:spacing w:val="-8"/>
          <w:vertAlign w:val="baseline"/>
        </w:rPr>
        <w:t> </w:t>
      </w:r>
      <w:r>
        <w:rPr>
          <w:vertAlign w:val="baseline"/>
        </w:rPr>
        <w:t>and</w:t>
      </w:r>
      <w:r>
        <w:rPr>
          <w:spacing w:val="-8"/>
          <w:vertAlign w:val="baseline"/>
        </w:rPr>
        <w:t> </w:t>
      </w:r>
      <w:r>
        <w:rPr>
          <w:vertAlign w:val="baseline"/>
        </w:rPr>
        <w:t>girls are significantly more likely to face sexual violence or coercion, with 40-60% of Black women reporting being</w:t>
      </w:r>
      <w:r>
        <w:rPr>
          <w:spacing w:val="-9"/>
          <w:vertAlign w:val="baseline"/>
        </w:rPr>
        <w:t> </w:t>
      </w:r>
      <w:r>
        <w:rPr>
          <w:vertAlign w:val="baseline"/>
        </w:rPr>
        <w:t>subjected</w:t>
      </w:r>
      <w:r>
        <w:rPr>
          <w:spacing w:val="-9"/>
          <w:vertAlign w:val="baseline"/>
        </w:rPr>
        <w:t> </w:t>
      </w:r>
      <w:r>
        <w:rPr>
          <w:vertAlign w:val="baseline"/>
        </w:rPr>
        <w:t>to</w:t>
      </w:r>
      <w:r>
        <w:rPr>
          <w:spacing w:val="-8"/>
          <w:vertAlign w:val="baseline"/>
        </w:rPr>
        <w:t> </w:t>
      </w:r>
      <w:r>
        <w:rPr>
          <w:vertAlign w:val="baseline"/>
        </w:rPr>
        <w:t>coercive</w:t>
      </w:r>
      <w:r>
        <w:rPr>
          <w:spacing w:val="-9"/>
          <w:vertAlign w:val="baseline"/>
        </w:rPr>
        <w:t> </w:t>
      </w:r>
      <w:r>
        <w:rPr>
          <w:vertAlign w:val="baseline"/>
        </w:rPr>
        <w:t>sexual</w:t>
      </w:r>
      <w:r>
        <w:rPr>
          <w:spacing w:val="-9"/>
          <w:vertAlign w:val="baseline"/>
        </w:rPr>
        <w:t> </w:t>
      </w:r>
      <w:r>
        <w:rPr>
          <w:vertAlign w:val="baseline"/>
        </w:rPr>
        <w:t>contact</w:t>
      </w:r>
      <w:r>
        <w:rPr>
          <w:spacing w:val="-9"/>
          <w:vertAlign w:val="baseline"/>
        </w:rPr>
        <w:t> </w:t>
      </w:r>
      <w:r>
        <w:rPr>
          <w:vertAlign w:val="baseline"/>
        </w:rPr>
        <w:t>by</w:t>
      </w:r>
      <w:r>
        <w:rPr>
          <w:spacing w:val="-8"/>
          <w:vertAlign w:val="baseline"/>
        </w:rPr>
        <w:t> </w:t>
      </w:r>
      <w:r>
        <w:rPr>
          <w:vertAlign w:val="baseline"/>
        </w:rPr>
        <w:t>the</w:t>
      </w:r>
      <w:r>
        <w:rPr>
          <w:spacing w:val="-9"/>
          <w:vertAlign w:val="baseline"/>
        </w:rPr>
        <w:t> </w:t>
      </w:r>
      <w:r>
        <w:rPr>
          <w:vertAlign w:val="baseline"/>
        </w:rPr>
        <w:t>age</w:t>
      </w:r>
      <w:r>
        <w:rPr>
          <w:spacing w:val="-9"/>
          <w:vertAlign w:val="baseline"/>
        </w:rPr>
        <w:t> </w:t>
      </w:r>
      <w:r>
        <w:rPr>
          <w:vertAlign w:val="baseline"/>
        </w:rPr>
        <w:t>of</w:t>
      </w:r>
      <w:r>
        <w:rPr>
          <w:spacing w:val="-9"/>
          <w:vertAlign w:val="baseline"/>
        </w:rPr>
        <w:t> </w:t>
      </w:r>
      <w:r>
        <w:rPr>
          <w:vertAlign w:val="baseline"/>
        </w:rPr>
        <w:t>18;</w:t>
      </w:r>
      <w:r>
        <w:rPr>
          <w:spacing w:val="-9"/>
          <w:vertAlign w:val="baseline"/>
        </w:rPr>
        <w:t> </w:t>
      </w:r>
      <w:r>
        <w:rPr>
          <w:vertAlign w:val="baseline"/>
        </w:rPr>
        <w:t>1</w:t>
      </w:r>
      <w:r>
        <w:rPr>
          <w:spacing w:val="-9"/>
          <w:vertAlign w:val="baseline"/>
        </w:rPr>
        <w:t> </w:t>
      </w:r>
      <w:r>
        <w:rPr>
          <w:vertAlign w:val="baseline"/>
        </w:rPr>
        <w:t>in</w:t>
      </w:r>
      <w:r>
        <w:rPr>
          <w:spacing w:val="-9"/>
          <w:vertAlign w:val="baseline"/>
        </w:rPr>
        <w:t> </w:t>
      </w:r>
      <w:r>
        <w:rPr>
          <w:vertAlign w:val="baseline"/>
        </w:rPr>
        <w:t>4</w:t>
      </w:r>
      <w:r>
        <w:rPr>
          <w:spacing w:val="-9"/>
          <w:vertAlign w:val="baseline"/>
        </w:rPr>
        <w:t> </w:t>
      </w:r>
      <w:r>
        <w:rPr>
          <w:vertAlign w:val="baseline"/>
        </w:rPr>
        <w:t>Black</w:t>
      </w:r>
      <w:r>
        <w:rPr>
          <w:spacing w:val="-9"/>
          <w:vertAlign w:val="baseline"/>
        </w:rPr>
        <w:t> </w:t>
      </w:r>
      <w:r>
        <w:rPr>
          <w:vertAlign w:val="baseline"/>
        </w:rPr>
        <w:t>girls</w:t>
      </w:r>
      <w:r>
        <w:rPr>
          <w:spacing w:val="-8"/>
          <w:vertAlign w:val="baseline"/>
        </w:rPr>
        <w:t> </w:t>
      </w:r>
      <w:r>
        <w:rPr>
          <w:vertAlign w:val="baseline"/>
        </w:rPr>
        <w:t>will</w:t>
      </w:r>
      <w:r>
        <w:rPr>
          <w:spacing w:val="-9"/>
          <w:vertAlign w:val="baseline"/>
        </w:rPr>
        <w:t> </w:t>
      </w:r>
      <w:r>
        <w:rPr>
          <w:vertAlign w:val="baseline"/>
        </w:rPr>
        <w:t>be</w:t>
      </w:r>
      <w:r>
        <w:rPr>
          <w:spacing w:val="-9"/>
          <w:vertAlign w:val="baseline"/>
        </w:rPr>
        <w:t> </w:t>
      </w:r>
      <w:r>
        <w:rPr>
          <w:vertAlign w:val="baseline"/>
        </w:rPr>
        <w:t>sexually</w:t>
      </w:r>
      <w:r>
        <w:rPr>
          <w:spacing w:val="-9"/>
          <w:vertAlign w:val="baseline"/>
        </w:rPr>
        <w:t> </w:t>
      </w:r>
      <w:r>
        <w:rPr>
          <w:vertAlign w:val="baseline"/>
        </w:rPr>
        <w:t>abused</w:t>
      </w:r>
      <w:r>
        <w:rPr>
          <w:spacing w:val="-9"/>
          <w:vertAlign w:val="baseline"/>
        </w:rPr>
        <w:t> </w:t>
      </w:r>
      <w:r>
        <w:rPr>
          <w:vertAlign w:val="baseline"/>
        </w:rPr>
        <w:t>before the</w:t>
      </w:r>
      <w:r>
        <w:rPr>
          <w:spacing w:val="-4"/>
          <w:vertAlign w:val="baseline"/>
        </w:rPr>
        <w:t> </w:t>
      </w:r>
      <w:r>
        <w:rPr>
          <w:vertAlign w:val="baseline"/>
        </w:rPr>
        <w:t>age</w:t>
      </w:r>
      <w:r>
        <w:rPr>
          <w:spacing w:val="-4"/>
          <w:vertAlign w:val="baseline"/>
        </w:rPr>
        <w:t> </w:t>
      </w:r>
      <w:r>
        <w:rPr>
          <w:vertAlign w:val="baseline"/>
        </w:rPr>
        <w:t>of</w:t>
      </w:r>
      <w:r>
        <w:rPr>
          <w:spacing w:val="-5"/>
          <w:vertAlign w:val="baseline"/>
        </w:rPr>
        <w:t> </w:t>
      </w:r>
      <w:r>
        <w:rPr>
          <w:vertAlign w:val="baseline"/>
        </w:rPr>
        <w:t>18.</w:t>
      </w:r>
      <w:r>
        <w:rPr>
          <w:vertAlign w:val="superscript"/>
        </w:rPr>
        <w:t>14</w:t>
      </w:r>
      <w:r>
        <w:rPr>
          <w:spacing w:val="-6"/>
          <w:vertAlign w:val="baseline"/>
        </w:rPr>
        <w:t> </w:t>
      </w:r>
      <w:r>
        <w:rPr>
          <w:vertAlign w:val="baseline"/>
        </w:rPr>
        <w:t>However,</w:t>
      </w:r>
      <w:r>
        <w:rPr>
          <w:spacing w:val="-5"/>
          <w:vertAlign w:val="baseline"/>
        </w:rPr>
        <w:t> </w:t>
      </w:r>
      <w:r>
        <w:rPr>
          <w:vertAlign w:val="baseline"/>
        </w:rPr>
        <w:t>53%</w:t>
      </w:r>
      <w:r>
        <w:rPr>
          <w:spacing w:val="-5"/>
          <w:vertAlign w:val="baseline"/>
        </w:rPr>
        <w:t> </w:t>
      </w:r>
      <w:r>
        <w:rPr>
          <w:vertAlign w:val="baseline"/>
        </w:rPr>
        <w:t>of</w:t>
      </w:r>
      <w:r>
        <w:rPr>
          <w:spacing w:val="-5"/>
          <w:vertAlign w:val="baseline"/>
        </w:rPr>
        <w:t> </w:t>
      </w:r>
      <w:r>
        <w:rPr>
          <w:vertAlign w:val="baseline"/>
        </w:rPr>
        <w:t>Black</w:t>
      </w:r>
      <w:r>
        <w:rPr>
          <w:spacing w:val="-3"/>
          <w:vertAlign w:val="baseline"/>
        </w:rPr>
        <w:t> </w:t>
      </w:r>
      <w:r>
        <w:rPr>
          <w:vertAlign w:val="baseline"/>
        </w:rPr>
        <w:t>trans</w:t>
      </w:r>
      <w:r>
        <w:rPr>
          <w:spacing w:val="-5"/>
          <w:vertAlign w:val="baseline"/>
        </w:rPr>
        <w:t> </w:t>
      </w:r>
      <w:r>
        <w:rPr>
          <w:vertAlign w:val="baseline"/>
        </w:rPr>
        <w:t>women</w:t>
      </w:r>
      <w:r>
        <w:rPr>
          <w:spacing w:val="-4"/>
          <w:vertAlign w:val="baseline"/>
        </w:rPr>
        <w:t> </w:t>
      </w:r>
      <w:r>
        <w:rPr>
          <w:vertAlign w:val="baseline"/>
        </w:rPr>
        <w:t>report</w:t>
      </w:r>
      <w:r>
        <w:rPr>
          <w:spacing w:val="-6"/>
          <w:vertAlign w:val="baseline"/>
        </w:rPr>
        <w:t> </w:t>
      </w:r>
      <w:r>
        <w:rPr>
          <w:vertAlign w:val="baseline"/>
        </w:rPr>
        <w:t>experiencing</w:t>
      </w:r>
      <w:r>
        <w:rPr>
          <w:spacing w:val="-6"/>
          <w:vertAlign w:val="baseline"/>
        </w:rPr>
        <w:t> </w:t>
      </w:r>
      <w:r>
        <w:rPr>
          <w:vertAlign w:val="baseline"/>
        </w:rPr>
        <w:t>sexual</w:t>
      </w:r>
      <w:r>
        <w:rPr>
          <w:spacing w:val="-4"/>
          <w:vertAlign w:val="baseline"/>
        </w:rPr>
        <w:t> </w:t>
      </w:r>
      <w:r>
        <w:rPr>
          <w:vertAlign w:val="baseline"/>
        </w:rPr>
        <w:t>violence,</w:t>
      </w:r>
      <w:r>
        <w:rPr>
          <w:spacing w:val="-5"/>
          <w:vertAlign w:val="baseline"/>
        </w:rPr>
        <w:t> </w:t>
      </w:r>
      <w:r>
        <w:rPr>
          <w:vertAlign w:val="baseline"/>
        </w:rPr>
        <w:t>and</w:t>
      </w:r>
      <w:r>
        <w:rPr>
          <w:spacing w:val="-4"/>
          <w:vertAlign w:val="baseline"/>
        </w:rPr>
        <w:t> </w:t>
      </w:r>
      <w:r>
        <w:rPr>
          <w:vertAlign w:val="baseline"/>
        </w:rPr>
        <w:t>are</w:t>
      </w:r>
      <w:r>
        <w:rPr>
          <w:spacing w:val="-4"/>
          <w:vertAlign w:val="baseline"/>
        </w:rPr>
        <w:t> </w:t>
      </w:r>
      <w:r>
        <w:rPr>
          <w:vertAlign w:val="baseline"/>
        </w:rPr>
        <w:t>killed</w:t>
      </w:r>
      <w:r>
        <w:rPr>
          <w:spacing w:val="-4"/>
          <w:vertAlign w:val="baseline"/>
        </w:rPr>
        <w:t> </w:t>
      </w:r>
      <w:r>
        <w:rPr>
          <w:vertAlign w:val="baseline"/>
        </w:rPr>
        <w:t>at higher rates than any other population.</w:t>
      </w:r>
      <w:r>
        <w:rPr>
          <w:vertAlign w:val="superscript"/>
        </w:rPr>
        <w:t>15</w:t>
      </w:r>
      <w:r>
        <w:rPr>
          <w:vertAlign w:val="baseline"/>
        </w:rPr>
        <w:t> Ensuring that all schools teach a consent-based curriculum is essential,</w:t>
      </w:r>
      <w:r>
        <w:rPr>
          <w:spacing w:val="-9"/>
          <w:vertAlign w:val="baseline"/>
        </w:rPr>
        <w:t> </w:t>
      </w:r>
      <w:r>
        <w:rPr>
          <w:vertAlign w:val="baseline"/>
        </w:rPr>
        <w:t>but</w:t>
      </w:r>
      <w:r>
        <w:rPr>
          <w:spacing w:val="-8"/>
          <w:vertAlign w:val="baseline"/>
        </w:rPr>
        <w:t> </w:t>
      </w:r>
      <w:r>
        <w:rPr>
          <w:vertAlign w:val="baseline"/>
        </w:rPr>
        <w:t>especially</w:t>
      </w:r>
      <w:r>
        <w:rPr>
          <w:spacing w:val="-9"/>
          <w:vertAlign w:val="baseline"/>
        </w:rPr>
        <w:t> </w:t>
      </w:r>
      <w:r>
        <w:rPr>
          <w:vertAlign w:val="baseline"/>
        </w:rPr>
        <w:t>in</w:t>
      </w:r>
      <w:r>
        <w:rPr>
          <w:spacing w:val="-8"/>
          <w:vertAlign w:val="baseline"/>
        </w:rPr>
        <w:t> </w:t>
      </w:r>
      <w:r>
        <w:rPr>
          <w:vertAlign w:val="baseline"/>
        </w:rPr>
        <w:t>impoverished</w:t>
      </w:r>
      <w:r>
        <w:rPr>
          <w:spacing w:val="-7"/>
          <w:vertAlign w:val="baseline"/>
        </w:rPr>
        <w:t> </w:t>
      </w:r>
      <w:r>
        <w:rPr>
          <w:vertAlign w:val="baseline"/>
        </w:rPr>
        <w:t>areas</w:t>
      </w:r>
      <w:r>
        <w:rPr>
          <w:spacing w:val="-8"/>
          <w:vertAlign w:val="baseline"/>
        </w:rPr>
        <w:t> </w:t>
      </w:r>
      <w:r>
        <w:rPr>
          <w:vertAlign w:val="baseline"/>
        </w:rPr>
        <w:t>that</w:t>
      </w:r>
      <w:r>
        <w:rPr>
          <w:spacing w:val="-9"/>
          <w:vertAlign w:val="baseline"/>
        </w:rPr>
        <w:t> </w:t>
      </w:r>
      <w:r>
        <w:rPr>
          <w:vertAlign w:val="baseline"/>
        </w:rPr>
        <w:t>lack</w:t>
      </w:r>
      <w:r>
        <w:rPr>
          <w:spacing w:val="-9"/>
          <w:vertAlign w:val="baseline"/>
        </w:rPr>
        <w:t> </w:t>
      </w:r>
      <w:r>
        <w:rPr>
          <w:vertAlign w:val="baseline"/>
        </w:rPr>
        <w:t>the</w:t>
      </w:r>
      <w:r>
        <w:rPr>
          <w:spacing w:val="-9"/>
          <w:vertAlign w:val="baseline"/>
        </w:rPr>
        <w:t> </w:t>
      </w:r>
      <w:r>
        <w:rPr>
          <w:vertAlign w:val="baseline"/>
        </w:rPr>
        <w:t>support</w:t>
      </w:r>
      <w:r>
        <w:rPr>
          <w:spacing w:val="-8"/>
          <w:vertAlign w:val="baseline"/>
        </w:rPr>
        <w:t> </w:t>
      </w:r>
      <w:r>
        <w:rPr>
          <w:vertAlign w:val="baseline"/>
        </w:rPr>
        <w:t>to</w:t>
      </w:r>
      <w:r>
        <w:rPr>
          <w:spacing w:val="-8"/>
          <w:vertAlign w:val="baseline"/>
        </w:rPr>
        <w:t> </w:t>
      </w:r>
      <w:r>
        <w:rPr>
          <w:vertAlign w:val="baseline"/>
        </w:rPr>
        <w:t>equip</w:t>
      </w:r>
      <w:r>
        <w:rPr>
          <w:spacing w:val="-8"/>
          <w:vertAlign w:val="baseline"/>
        </w:rPr>
        <w:t> </w:t>
      </w:r>
      <w:r>
        <w:rPr>
          <w:vertAlign w:val="baseline"/>
        </w:rPr>
        <w:t>schools</w:t>
      </w:r>
      <w:r>
        <w:rPr>
          <w:spacing w:val="-8"/>
          <w:vertAlign w:val="baseline"/>
        </w:rPr>
        <w:t> </w:t>
      </w:r>
      <w:r>
        <w:rPr>
          <w:vertAlign w:val="baseline"/>
        </w:rPr>
        <w:t>with</w:t>
      </w:r>
      <w:r>
        <w:rPr>
          <w:spacing w:val="-9"/>
          <w:vertAlign w:val="baseline"/>
        </w:rPr>
        <w:t> </w:t>
      </w:r>
      <w:r>
        <w:rPr>
          <w:vertAlign w:val="baseline"/>
        </w:rPr>
        <w:t>healthy</w:t>
      </w:r>
      <w:r>
        <w:rPr>
          <w:spacing w:val="-9"/>
          <w:vertAlign w:val="baseline"/>
        </w:rPr>
        <w:t> </w:t>
      </w:r>
      <w:r>
        <w:rPr>
          <w:vertAlign w:val="baseline"/>
        </w:rPr>
        <w:t>learning environments. However, as highlighted in multiple areas of this annual report, improving sexual health education only works to make an impact towards these numbers, and must work in tandem with other harm reduction and systemic improvement practices to ensure that all youth are safe and thriving.</w:t>
      </w:r>
    </w:p>
    <w:p>
      <w:pPr>
        <w:pStyle w:val="BodyText"/>
      </w:pPr>
    </w:p>
    <w:p>
      <w:pPr>
        <w:pStyle w:val="BodyText"/>
        <w:spacing w:before="49"/>
      </w:pPr>
    </w:p>
    <w:p>
      <w:pPr>
        <w:spacing w:before="0"/>
        <w:ind w:left="363" w:right="0" w:firstLine="0"/>
        <w:jc w:val="both"/>
        <w:rPr>
          <w:sz w:val="26"/>
        </w:rPr>
      </w:pPr>
      <w:bookmarkStart w:name="Sexual Health Education Beyond Public Sc" w:id="470"/>
      <w:bookmarkEnd w:id="470"/>
      <w:r>
        <w:rPr/>
      </w:r>
      <w:r>
        <w:rPr>
          <w:color w:val="095292"/>
          <w:sz w:val="26"/>
        </w:rPr>
        <w:t>Sexual</w:t>
      </w:r>
      <w:r>
        <w:rPr>
          <w:color w:val="095292"/>
          <w:spacing w:val="-6"/>
          <w:sz w:val="26"/>
        </w:rPr>
        <w:t> </w:t>
      </w:r>
      <w:r>
        <w:rPr>
          <w:color w:val="095292"/>
          <w:sz w:val="26"/>
        </w:rPr>
        <w:t>Health</w:t>
      </w:r>
      <w:r>
        <w:rPr>
          <w:color w:val="095292"/>
          <w:spacing w:val="-5"/>
          <w:sz w:val="26"/>
        </w:rPr>
        <w:t> </w:t>
      </w:r>
      <w:r>
        <w:rPr>
          <w:color w:val="095292"/>
          <w:sz w:val="26"/>
        </w:rPr>
        <w:t>Education</w:t>
      </w:r>
      <w:r>
        <w:rPr>
          <w:color w:val="095292"/>
          <w:spacing w:val="-5"/>
          <w:sz w:val="26"/>
        </w:rPr>
        <w:t> </w:t>
      </w:r>
      <w:r>
        <w:rPr>
          <w:color w:val="095292"/>
          <w:sz w:val="26"/>
        </w:rPr>
        <w:t>Beyond</w:t>
      </w:r>
      <w:r>
        <w:rPr>
          <w:color w:val="095292"/>
          <w:spacing w:val="-5"/>
          <w:sz w:val="26"/>
        </w:rPr>
        <w:t> </w:t>
      </w:r>
      <w:r>
        <w:rPr>
          <w:color w:val="095292"/>
          <w:sz w:val="26"/>
        </w:rPr>
        <w:t>Public</w:t>
      </w:r>
      <w:r>
        <w:rPr>
          <w:color w:val="095292"/>
          <w:spacing w:val="-5"/>
          <w:sz w:val="26"/>
        </w:rPr>
        <w:t> </w:t>
      </w:r>
      <w:r>
        <w:rPr>
          <w:color w:val="095292"/>
          <w:spacing w:val="-2"/>
          <w:sz w:val="26"/>
        </w:rPr>
        <w:t>Schools</w:t>
      </w:r>
    </w:p>
    <w:p>
      <w:pPr>
        <w:pStyle w:val="BodyText"/>
        <w:spacing w:before="140"/>
        <w:rPr>
          <w:sz w:val="26"/>
        </w:rPr>
      </w:pPr>
    </w:p>
    <w:p>
      <w:pPr>
        <w:pStyle w:val="BodyText"/>
        <w:spacing w:line="276" w:lineRule="auto"/>
        <w:ind w:left="363" w:right="141"/>
        <w:jc w:val="both"/>
      </w:pPr>
      <w:r>
        <w:rPr/>
        <w:t>Over the last year, the Commission has broadened its focus on sexual health education to examine disparities faced by youth outside of the public school system. In particular, the Commission, DCF, DYS, and DDS have had initial conversations in FY 2023 around updating sexual health education in the child welfare system, juvenile justice system, and services offered by DDS for youth with disabilities. The Commission</w:t>
      </w:r>
      <w:r>
        <w:rPr>
          <w:spacing w:val="-13"/>
        </w:rPr>
        <w:t> </w:t>
      </w:r>
      <w:r>
        <w:rPr/>
        <w:t>encourages</w:t>
      </w:r>
      <w:r>
        <w:rPr>
          <w:spacing w:val="-12"/>
        </w:rPr>
        <w:t> </w:t>
      </w:r>
      <w:r>
        <w:rPr/>
        <w:t>policymakers,</w:t>
      </w:r>
      <w:r>
        <w:rPr>
          <w:spacing w:val="-13"/>
        </w:rPr>
        <w:t> </w:t>
      </w:r>
      <w:r>
        <w:rPr/>
        <w:t>advocates,</w:t>
      </w:r>
      <w:r>
        <w:rPr>
          <w:spacing w:val="-12"/>
        </w:rPr>
        <w:t> </w:t>
      </w:r>
      <w:r>
        <w:rPr/>
        <w:t>families,</w:t>
      </w:r>
      <w:r>
        <w:rPr>
          <w:spacing w:val="-13"/>
        </w:rPr>
        <w:t> </w:t>
      </w:r>
      <w:r>
        <w:rPr/>
        <w:t>and</w:t>
      </w:r>
      <w:r>
        <w:rPr>
          <w:spacing w:val="-12"/>
        </w:rPr>
        <w:t> </w:t>
      </w:r>
      <w:r>
        <w:rPr/>
        <w:t>educators</w:t>
      </w:r>
      <w:r>
        <w:rPr>
          <w:spacing w:val="-13"/>
        </w:rPr>
        <w:t> </w:t>
      </w:r>
      <w:r>
        <w:rPr/>
        <w:t>to</w:t>
      </w:r>
      <w:r>
        <w:rPr>
          <w:spacing w:val="-12"/>
        </w:rPr>
        <w:t> </w:t>
      </w:r>
      <w:r>
        <w:rPr/>
        <w:t>take</w:t>
      </w:r>
      <w:r>
        <w:rPr>
          <w:spacing w:val="-12"/>
        </w:rPr>
        <w:t> </w:t>
      </w:r>
      <w:r>
        <w:rPr/>
        <w:t>a</w:t>
      </w:r>
      <w:r>
        <w:rPr>
          <w:spacing w:val="-13"/>
        </w:rPr>
        <w:t> </w:t>
      </w:r>
      <w:r>
        <w:rPr/>
        <w:t>wider</w:t>
      </w:r>
      <w:r>
        <w:rPr>
          <w:spacing w:val="-12"/>
        </w:rPr>
        <w:t> </w:t>
      </w:r>
      <w:r>
        <w:rPr/>
        <w:t>look</w:t>
      </w:r>
      <w:r>
        <w:rPr>
          <w:spacing w:val="-13"/>
        </w:rPr>
        <w:t> </w:t>
      </w:r>
      <w:r>
        <w:rPr/>
        <w:t>at</w:t>
      </w:r>
      <w:r>
        <w:rPr>
          <w:spacing w:val="-12"/>
        </w:rPr>
        <w:t> </w:t>
      </w:r>
      <w:r>
        <w:rPr/>
        <w:t>the</w:t>
      </w:r>
      <w:r>
        <w:rPr>
          <w:spacing w:val="-13"/>
        </w:rPr>
        <w:t> </w:t>
      </w:r>
      <w:r>
        <w:rPr/>
        <w:t>needs of youth as it pertains to health and education.</w:t>
      </w:r>
    </w:p>
    <w:p>
      <w:pPr>
        <w:pStyle w:val="BodyText"/>
      </w:pPr>
    </w:p>
    <w:p>
      <w:pPr>
        <w:pStyle w:val="BodyText"/>
        <w:spacing w:before="48"/>
      </w:pPr>
    </w:p>
    <w:p>
      <w:pPr>
        <w:spacing w:before="0"/>
        <w:ind w:left="363" w:right="0" w:firstLine="0"/>
        <w:jc w:val="both"/>
        <w:rPr>
          <w:sz w:val="26"/>
        </w:rPr>
      </w:pPr>
      <w:bookmarkStart w:name="Language and Education that Fully Includ" w:id="471"/>
      <w:bookmarkEnd w:id="471"/>
      <w:r>
        <w:rPr/>
      </w:r>
      <w:r>
        <w:rPr>
          <w:color w:val="095292"/>
          <w:sz w:val="26"/>
        </w:rPr>
        <w:t>Language</w:t>
      </w:r>
      <w:r>
        <w:rPr>
          <w:color w:val="095292"/>
          <w:spacing w:val="-5"/>
          <w:sz w:val="26"/>
        </w:rPr>
        <w:t> </w:t>
      </w:r>
      <w:r>
        <w:rPr>
          <w:color w:val="095292"/>
          <w:sz w:val="26"/>
        </w:rPr>
        <w:t>and</w:t>
      </w:r>
      <w:r>
        <w:rPr>
          <w:color w:val="095292"/>
          <w:spacing w:val="-4"/>
          <w:sz w:val="26"/>
        </w:rPr>
        <w:t> </w:t>
      </w:r>
      <w:r>
        <w:rPr>
          <w:color w:val="095292"/>
          <w:sz w:val="26"/>
        </w:rPr>
        <w:t>Education</w:t>
      </w:r>
      <w:r>
        <w:rPr>
          <w:color w:val="095292"/>
          <w:spacing w:val="-4"/>
          <w:sz w:val="26"/>
        </w:rPr>
        <w:t> </w:t>
      </w:r>
      <w:r>
        <w:rPr>
          <w:color w:val="095292"/>
          <w:sz w:val="26"/>
        </w:rPr>
        <w:t>that</w:t>
      </w:r>
      <w:r>
        <w:rPr>
          <w:color w:val="095292"/>
          <w:spacing w:val="-3"/>
          <w:sz w:val="26"/>
        </w:rPr>
        <w:t> </w:t>
      </w:r>
      <w:r>
        <w:rPr>
          <w:color w:val="095292"/>
          <w:sz w:val="26"/>
        </w:rPr>
        <w:t>Fully</w:t>
      </w:r>
      <w:r>
        <w:rPr>
          <w:color w:val="095292"/>
          <w:spacing w:val="-4"/>
          <w:sz w:val="26"/>
        </w:rPr>
        <w:t> </w:t>
      </w:r>
      <w:r>
        <w:rPr>
          <w:color w:val="095292"/>
          <w:sz w:val="26"/>
        </w:rPr>
        <w:t>Includes</w:t>
      </w:r>
      <w:r>
        <w:rPr>
          <w:color w:val="095292"/>
          <w:spacing w:val="-3"/>
          <w:sz w:val="26"/>
        </w:rPr>
        <w:t> </w:t>
      </w:r>
      <w:r>
        <w:rPr>
          <w:color w:val="095292"/>
          <w:sz w:val="26"/>
        </w:rPr>
        <w:t>LGBTQ</w:t>
      </w:r>
      <w:r>
        <w:rPr>
          <w:color w:val="095292"/>
          <w:spacing w:val="-4"/>
          <w:sz w:val="26"/>
        </w:rPr>
        <w:t> </w:t>
      </w:r>
      <w:r>
        <w:rPr>
          <w:color w:val="095292"/>
          <w:spacing w:val="-2"/>
          <w:sz w:val="26"/>
        </w:rPr>
        <w:t>Youth</w:t>
      </w:r>
    </w:p>
    <w:p>
      <w:pPr>
        <w:pStyle w:val="BodyText"/>
        <w:spacing w:before="262"/>
        <w:rPr>
          <w:sz w:val="26"/>
        </w:rPr>
      </w:pPr>
    </w:p>
    <w:p>
      <w:pPr>
        <w:pStyle w:val="BodyText"/>
        <w:spacing w:line="276" w:lineRule="auto"/>
        <w:ind w:left="363" w:right="141"/>
        <w:jc w:val="both"/>
      </w:pPr>
      <w:r>
        <w:rPr/>
        <w:t>Entire cultural shifts must happen before we achieve a state where LGBTQ youth experience affirmation wherever they go, and the concept of sexual health and affirmation is broader than just looking at education</w:t>
      </w:r>
      <w:r>
        <w:rPr>
          <w:spacing w:val="-7"/>
        </w:rPr>
        <w:t> </w:t>
      </w:r>
      <w:r>
        <w:rPr/>
        <w:t>in</w:t>
      </w:r>
      <w:r>
        <w:rPr>
          <w:spacing w:val="-6"/>
        </w:rPr>
        <w:t> </w:t>
      </w:r>
      <w:r>
        <w:rPr/>
        <w:t>schools.</w:t>
      </w:r>
      <w:r>
        <w:rPr>
          <w:spacing w:val="-7"/>
        </w:rPr>
        <w:t> </w:t>
      </w:r>
      <w:r>
        <w:rPr/>
        <w:t>In</w:t>
      </w:r>
      <w:r>
        <w:rPr>
          <w:spacing w:val="-6"/>
        </w:rPr>
        <w:t> </w:t>
      </w:r>
      <w:r>
        <w:rPr/>
        <w:t>fact,</w:t>
      </w:r>
      <w:r>
        <w:rPr>
          <w:spacing w:val="-6"/>
        </w:rPr>
        <w:t> </w:t>
      </w:r>
      <w:r>
        <w:rPr/>
        <w:t>LGBTQ-</w:t>
      </w:r>
      <w:r>
        <w:rPr>
          <w:spacing w:val="-7"/>
        </w:rPr>
        <w:t> </w:t>
      </w:r>
      <w:r>
        <w:rPr/>
        <w:t>affirming</w:t>
      </w:r>
      <w:r>
        <w:rPr>
          <w:spacing w:val="-6"/>
        </w:rPr>
        <w:t> </w:t>
      </w:r>
      <w:r>
        <w:rPr/>
        <w:t>education</w:t>
      </w:r>
      <w:r>
        <w:rPr>
          <w:spacing w:val="-7"/>
        </w:rPr>
        <w:t> </w:t>
      </w:r>
      <w:r>
        <w:rPr/>
        <w:t>begins</w:t>
      </w:r>
      <w:r>
        <w:rPr>
          <w:spacing w:val="-5"/>
        </w:rPr>
        <w:t> </w:t>
      </w:r>
      <w:r>
        <w:rPr/>
        <w:t>before</w:t>
      </w:r>
      <w:r>
        <w:rPr>
          <w:spacing w:val="-7"/>
        </w:rPr>
        <w:t> </w:t>
      </w:r>
      <w:r>
        <w:rPr/>
        <w:t>a</w:t>
      </w:r>
      <w:r>
        <w:rPr>
          <w:spacing w:val="-5"/>
        </w:rPr>
        <w:t> </w:t>
      </w:r>
      <w:r>
        <w:rPr/>
        <w:t>child’s</w:t>
      </w:r>
      <w:r>
        <w:rPr>
          <w:spacing w:val="-6"/>
        </w:rPr>
        <w:t> </w:t>
      </w:r>
      <w:r>
        <w:rPr/>
        <w:t>first</w:t>
      </w:r>
      <w:r>
        <w:rPr>
          <w:spacing w:val="-7"/>
        </w:rPr>
        <w:t> </w:t>
      </w:r>
      <w:r>
        <w:rPr/>
        <w:t>birthday,</w:t>
      </w:r>
      <w:r>
        <w:rPr>
          <w:spacing w:val="-6"/>
        </w:rPr>
        <w:t> </w:t>
      </w:r>
      <w:r>
        <w:rPr/>
        <w:t>by</w:t>
      </w:r>
      <w:r>
        <w:rPr>
          <w:spacing w:val="-5"/>
        </w:rPr>
        <w:t> </w:t>
      </w:r>
      <w:r>
        <w:rPr/>
        <w:t>teaching children that they have agency over their own bodies; that they should respect others’ bodies; and that adults in their lives respect who they are. Most children, per the American Academy of Pediatrics, have a stable</w:t>
      </w:r>
      <w:r>
        <w:rPr>
          <w:spacing w:val="-8"/>
        </w:rPr>
        <w:t> </w:t>
      </w:r>
      <w:r>
        <w:rPr/>
        <w:t>sense</w:t>
      </w:r>
      <w:r>
        <w:rPr>
          <w:spacing w:val="-7"/>
        </w:rPr>
        <w:t> </w:t>
      </w:r>
      <w:r>
        <w:rPr/>
        <w:t>of</w:t>
      </w:r>
      <w:r>
        <w:rPr>
          <w:spacing w:val="-8"/>
        </w:rPr>
        <w:t> </w:t>
      </w:r>
      <w:r>
        <w:rPr/>
        <w:t>their</w:t>
      </w:r>
      <w:r>
        <w:rPr>
          <w:spacing w:val="-8"/>
        </w:rPr>
        <w:t> </w:t>
      </w:r>
      <w:r>
        <w:rPr/>
        <w:t>gender</w:t>
      </w:r>
      <w:r>
        <w:rPr>
          <w:spacing w:val="-8"/>
        </w:rPr>
        <w:t> </w:t>
      </w:r>
      <w:r>
        <w:rPr/>
        <w:t>identity</w:t>
      </w:r>
      <w:r>
        <w:rPr>
          <w:spacing w:val="-6"/>
        </w:rPr>
        <w:t> </w:t>
      </w:r>
      <w:r>
        <w:rPr/>
        <w:t>by</w:t>
      </w:r>
      <w:r>
        <w:rPr>
          <w:spacing w:val="-6"/>
        </w:rPr>
        <w:t> </w:t>
      </w:r>
      <w:r>
        <w:rPr/>
        <w:t>the</w:t>
      </w:r>
      <w:r>
        <w:rPr>
          <w:spacing w:val="-8"/>
        </w:rPr>
        <w:t> </w:t>
      </w:r>
      <w:r>
        <w:rPr/>
        <w:t>age</w:t>
      </w:r>
      <w:r>
        <w:rPr>
          <w:spacing w:val="-7"/>
        </w:rPr>
        <w:t> </w:t>
      </w:r>
      <w:r>
        <w:rPr/>
        <w:t>of</w:t>
      </w:r>
      <w:r>
        <w:rPr>
          <w:spacing w:val="-8"/>
        </w:rPr>
        <w:t> </w:t>
      </w:r>
      <w:r>
        <w:rPr/>
        <w:t>four,</w:t>
      </w:r>
      <w:r>
        <w:rPr>
          <w:spacing w:val="-7"/>
        </w:rPr>
        <w:t> </w:t>
      </w:r>
      <w:r>
        <w:rPr/>
        <w:t>and</w:t>
      </w:r>
      <w:r>
        <w:rPr>
          <w:spacing w:val="-8"/>
        </w:rPr>
        <w:t> </w:t>
      </w:r>
      <w:r>
        <w:rPr/>
        <w:t>can</w:t>
      </w:r>
      <w:r>
        <w:rPr>
          <w:spacing w:val="-7"/>
        </w:rPr>
        <w:t> </w:t>
      </w:r>
      <w:r>
        <w:rPr/>
        <w:t>easily</w:t>
      </w:r>
      <w:r>
        <w:rPr>
          <w:spacing w:val="-8"/>
        </w:rPr>
        <w:t> </w:t>
      </w:r>
      <w:r>
        <w:rPr/>
        <w:t>label</w:t>
      </w:r>
      <w:r>
        <w:rPr>
          <w:spacing w:val="-8"/>
        </w:rPr>
        <w:t> </w:t>
      </w:r>
      <w:r>
        <w:rPr/>
        <w:t>themselves</w:t>
      </w:r>
      <w:r>
        <w:rPr>
          <w:spacing w:val="-7"/>
        </w:rPr>
        <w:t> </w:t>
      </w:r>
      <w:r>
        <w:rPr/>
        <w:t>to</w:t>
      </w:r>
      <w:r>
        <w:rPr>
          <w:spacing w:val="-7"/>
        </w:rPr>
        <w:t> </w:t>
      </w:r>
      <w:r>
        <w:rPr/>
        <w:t>identify</w:t>
      </w:r>
      <w:r>
        <w:rPr>
          <w:spacing w:val="-8"/>
        </w:rPr>
        <w:t> </w:t>
      </w:r>
      <w:r>
        <w:rPr/>
        <w:t>as</w:t>
      </w:r>
      <w:r>
        <w:rPr>
          <w:spacing w:val="-7"/>
        </w:rPr>
        <w:t> </w:t>
      </w:r>
      <w:r>
        <w:rPr/>
        <w:t>a</w:t>
      </w:r>
      <w:r>
        <w:rPr>
          <w:spacing w:val="-7"/>
        </w:rPr>
        <w:t> </w:t>
      </w:r>
      <w:r>
        <w:rPr/>
        <w:t>boy or a girl, or perhaps somewhere outside of the gender binary.</w:t>
      </w:r>
      <w:r>
        <w:rPr>
          <w:vertAlign w:val="superscript"/>
        </w:rPr>
        <w:t>16</w:t>
      </w:r>
    </w:p>
    <w:p>
      <w:pPr>
        <w:pStyle w:val="BodyText"/>
        <w:spacing w:line="276" w:lineRule="auto" w:before="240"/>
        <w:ind w:left="363" w:right="142"/>
        <w:jc w:val="both"/>
      </w:pPr>
      <w:r>
        <w:rPr/>
        <w:t>Unfortunately, in a 2015 Massachusetts survey, 73% of youth who were out or were perceived as transgender between kindergarten and 12th-grade experience some form of mistreatment, harassment, and physical and/or sexual violence; 11% of youth faced such severe mistreatment in schools as a transgender youth that they withdrew from school.</w:t>
      </w:r>
      <w:r>
        <w:rPr>
          <w:vertAlign w:val="superscript"/>
        </w:rPr>
        <w:t>17</w:t>
      </w:r>
      <w:r>
        <w:rPr>
          <w:vertAlign w:val="baseline"/>
        </w:rPr>
        <w:t> The Massachusetts Youth Risk Behavior Survey shows that, while bullying and harassment rates have gone down in schools, transgender youth are still much more likely than their cisgender peers to experience cyberbullying and physical violence.</w:t>
      </w:r>
    </w:p>
    <w:p>
      <w:pPr>
        <w:spacing w:after="0" w:line="276" w:lineRule="auto"/>
        <w:jc w:val="both"/>
        <w:sectPr>
          <w:pgSz w:w="12240" w:h="15840"/>
          <w:pgMar w:header="763" w:footer="1339" w:top="1180" w:bottom="1560" w:left="1080" w:right="1240"/>
        </w:sectPr>
      </w:pPr>
    </w:p>
    <w:p>
      <w:pPr>
        <w:pStyle w:val="BodyText"/>
        <w:spacing w:line="276" w:lineRule="auto" w:before="69"/>
        <w:ind w:left="363" w:right="142"/>
        <w:jc w:val="both"/>
      </w:pPr>
      <w:r>
        <w:rPr/>
        <w:t>Support</w:t>
      </w:r>
      <w:r>
        <w:rPr>
          <w:spacing w:val="-13"/>
        </w:rPr>
        <w:t> </w:t>
      </w:r>
      <w:r>
        <w:rPr/>
        <w:t>from</w:t>
      </w:r>
      <w:r>
        <w:rPr>
          <w:spacing w:val="-12"/>
        </w:rPr>
        <w:t> </w:t>
      </w:r>
      <w:r>
        <w:rPr/>
        <w:t>caregivers,</w:t>
      </w:r>
      <w:r>
        <w:rPr>
          <w:spacing w:val="-13"/>
        </w:rPr>
        <w:t> </w:t>
      </w:r>
      <w:r>
        <w:rPr/>
        <w:t>providers,</w:t>
      </w:r>
      <w:r>
        <w:rPr>
          <w:spacing w:val="-12"/>
        </w:rPr>
        <w:t> </w:t>
      </w:r>
      <w:r>
        <w:rPr/>
        <w:t>educators,</w:t>
      </w:r>
      <w:r>
        <w:rPr>
          <w:spacing w:val="-13"/>
        </w:rPr>
        <w:t> </w:t>
      </w:r>
      <w:r>
        <w:rPr/>
        <w:t>and</w:t>
      </w:r>
      <w:r>
        <w:rPr>
          <w:spacing w:val="-12"/>
        </w:rPr>
        <w:t> </w:t>
      </w:r>
      <w:r>
        <w:rPr/>
        <w:t>other</w:t>
      </w:r>
      <w:r>
        <w:rPr>
          <w:spacing w:val="-13"/>
        </w:rPr>
        <w:t> </w:t>
      </w:r>
      <w:r>
        <w:rPr/>
        <w:t>adults</w:t>
      </w:r>
      <w:r>
        <w:rPr>
          <w:spacing w:val="-12"/>
        </w:rPr>
        <w:t> </w:t>
      </w:r>
      <w:r>
        <w:rPr/>
        <w:t>in</w:t>
      </w:r>
      <w:r>
        <w:rPr>
          <w:spacing w:val="-12"/>
        </w:rPr>
        <w:t> </w:t>
      </w:r>
      <w:r>
        <w:rPr/>
        <w:t>youths’</w:t>
      </w:r>
      <w:r>
        <w:rPr>
          <w:spacing w:val="-13"/>
        </w:rPr>
        <w:t> </w:t>
      </w:r>
      <w:r>
        <w:rPr/>
        <w:t>lives</w:t>
      </w:r>
      <w:r>
        <w:rPr>
          <w:spacing w:val="-12"/>
        </w:rPr>
        <w:t> </w:t>
      </w:r>
      <w:r>
        <w:rPr/>
        <w:t>can</w:t>
      </w:r>
      <w:r>
        <w:rPr>
          <w:spacing w:val="-13"/>
        </w:rPr>
        <w:t> </w:t>
      </w:r>
      <w:r>
        <w:rPr/>
        <w:t>lay</w:t>
      </w:r>
      <w:r>
        <w:rPr>
          <w:spacing w:val="-12"/>
        </w:rPr>
        <w:t> </w:t>
      </w:r>
      <w:r>
        <w:rPr/>
        <w:t>a</w:t>
      </w:r>
      <w:r>
        <w:rPr>
          <w:spacing w:val="-13"/>
        </w:rPr>
        <w:t> </w:t>
      </w:r>
      <w:r>
        <w:rPr/>
        <w:t>critical</w:t>
      </w:r>
      <w:r>
        <w:rPr>
          <w:spacing w:val="-12"/>
        </w:rPr>
        <w:t> </w:t>
      </w:r>
      <w:r>
        <w:rPr/>
        <w:t>foundation for children forming healthy understandings of gender and sexuality. Encouraged methods beginning in early years include using gender-neutral pronouns in storytelling; highlighting LGBTQ figures and role models in curricula and storybooks; teaching about bodily autonomy and consent; supporting youth by using</w:t>
      </w:r>
      <w:r>
        <w:rPr>
          <w:spacing w:val="-2"/>
        </w:rPr>
        <w:t> </w:t>
      </w:r>
      <w:r>
        <w:rPr/>
        <w:t>their chosen</w:t>
      </w:r>
      <w:r>
        <w:rPr>
          <w:spacing w:val="-2"/>
        </w:rPr>
        <w:t> </w:t>
      </w:r>
      <w:r>
        <w:rPr/>
        <w:t>name</w:t>
      </w:r>
      <w:r>
        <w:rPr>
          <w:spacing w:val="-2"/>
        </w:rPr>
        <w:t> </w:t>
      </w:r>
      <w:r>
        <w:rPr/>
        <w:t>and</w:t>
      </w:r>
      <w:r>
        <w:rPr>
          <w:spacing w:val="-2"/>
        </w:rPr>
        <w:t> </w:t>
      </w:r>
      <w:r>
        <w:rPr/>
        <w:t>pronouns without</w:t>
      </w:r>
      <w:r>
        <w:rPr>
          <w:spacing w:val="-1"/>
        </w:rPr>
        <w:t> </w:t>
      </w:r>
      <w:r>
        <w:rPr/>
        <w:t>hesitation;</w:t>
      </w:r>
      <w:r>
        <w:rPr>
          <w:spacing w:val="-2"/>
        </w:rPr>
        <w:t> </w:t>
      </w:r>
      <w:r>
        <w:rPr/>
        <w:t>and</w:t>
      </w:r>
      <w:r>
        <w:rPr>
          <w:spacing w:val="-1"/>
        </w:rPr>
        <w:t> </w:t>
      </w:r>
      <w:r>
        <w:rPr/>
        <w:t>encouraging</w:t>
      </w:r>
      <w:r>
        <w:rPr>
          <w:spacing w:val="-1"/>
        </w:rPr>
        <w:t> </w:t>
      </w:r>
      <w:r>
        <w:rPr/>
        <w:t>youth</w:t>
      </w:r>
      <w:r>
        <w:rPr>
          <w:spacing w:val="-1"/>
        </w:rPr>
        <w:t> </w:t>
      </w:r>
      <w:r>
        <w:rPr/>
        <w:t>to</w:t>
      </w:r>
      <w:r>
        <w:rPr>
          <w:spacing w:val="-1"/>
        </w:rPr>
        <w:t> </w:t>
      </w:r>
      <w:r>
        <w:rPr/>
        <w:t>express</w:t>
      </w:r>
      <w:r>
        <w:rPr>
          <w:spacing w:val="-1"/>
        </w:rPr>
        <w:t> </w:t>
      </w:r>
      <w:r>
        <w:rPr/>
        <w:t>themselves through choosing their own clothing and hairstyles.</w:t>
      </w:r>
    </w:p>
    <w:p>
      <w:pPr>
        <w:pStyle w:val="BodyText"/>
        <w:spacing w:line="264" w:lineRule="auto" w:before="239"/>
        <w:ind w:left="4459" w:right="140"/>
        <w:jc w:val="both"/>
      </w:pPr>
      <w:r>
        <w:rPr/>
        <w:drawing>
          <wp:anchor distT="0" distB="0" distL="0" distR="0" allowOverlap="1" layoutInCell="1" locked="0" behindDoc="0" simplePos="0" relativeHeight="15786496">
            <wp:simplePos x="0" y="0"/>
            <wp:positionH relativeFrom="page">
              <wp:posOffset>829310</wp:posOffset>
            </wp:positionH>
            <wp:positionV relativeFrom="paragraph">
              <wp:posOffset>76454</wp:posOffset>
            </wp:positionV>
            <wp:extent cx="2596501" cy="2660505"/>
            <wp:effectExtent l="0" t="0" r="0" b="0"/>
            <wp:wrapNone/>
            <wp:docPr id="324" name="Image 324" descr="A group of colorful arrows with text  Description automatically generated "/>
            <wp:cNvGraphicFramePr>
              <a:graphicFrameLocks/>
            </wp:cNvGraphicFramePr>
            <a:graphic>
              <a:graphicData uri="http://schemas.openxmlformats.org/drawingml/2006/picture">
                <pic:pic>
                  <pic:nvPicPr>
                    <pic:cNvPr id="324" name="Image 324" descr="A group of colorful arrows with text  Description automatically generated "/>
                    <pic:cNvPicPr/>
                  </pic:nvPicPr>
                  <pic:blipFill>
                    <a:blip r:embed="rId398" cstate="print"/>
                    <a:stretch>
                      <a:fillRect/>
                    </a:stretch>
                  </pic:blipFill>
                  <pic:spPr>
                    <a:xfrm>
                      <a:off x="0" y="0"/>
                      <a:ext cx="2596501" cy="2660505"/>
                    </a:xfrm>
                    <a:prstGeom prst="rect">
                      <a:avLst/>
                    </a:prstGeom>
                  </pic:spPr>
                </pic:pic>
              </a:graphicData>
            </a:graphic>
          </wp:anchor>
        </w:drawing>
      </w:r>
      <w:r>
        <w:rPr/>
        <w:t>While more formal sexual health education might begin in middle school, it is essential for caregivers to lay down foundations</w:t>
      </w:r>
      <w:r>
        <w:rPr>
          <w:spacing w:val="-8"/>
        </w:rPr>
        <w:t> </w:t>
      </w:r>
      <w:r>
        <w:rPr/>
        <w:t>of</w:t>
      </w:r>
      <w:r>
        <w:rPr>
          <w:spacing w:val="-9"/>
        </w:rPr>
        <w:t> </w:t>
      </w:r>
      <w:r>
        <w:rPr/>
        <w:t>accurate</w:t>
      </w:r>
      <w:r>
        <w:rPr>
          <w:spacing w:val="-8"/>
        </w:rPr>
        <w:t> </w:t>
      </w:r>
      <w:r>
        <w:rPr/>
        <w:t>information,</w:t>
      </w:r>
      <w:r>
        <w:rPr>
          <w:spacing w:val="-9"/>
        </w:rPr>
        <w:t> </w:t>
      </w:r>
      <w:r>
        <w:rPr/>
        <w:t>as</w:t>
      </w:r>
      <w:r>
        <w:rPr>
          <w:spacing w:val="-9"/>
        </w:rPr>
        <w:t> </w:t>
      </w:r>
      <w:r>
        <w:rPr/>
        <w:t>youth</w:t>
      </w:r>
      <w:r>
        <w:rPr>
          <w:spacing w:val="-9"/>
        </w:rPr>
        <w:t> </w:t>
      </w:r>
      <w:r>
        <w:rPr/>
        <w:t>often</w:t>
      </w:r>
      <w:r>
        <w:rPr>
          <w:spacing w:val="-10"/>
        </w:rPr>
        <w:t> </w:t>
      </w:r>
      <w:r>
        <w:rPr/>
        <w:t>receive incorrect and harmful information from peers, family members, and media.</w:t>
      </w:r>
    </w:p>
    <w:p>
      <w:pPr>
        <w:pStyle w:val="BodyText"/>
        <w:spacing w:line="276" w:lineRule="auto" w:before="240"/>
        <w:ind w:left="4459" w:right="141"/>
        <w:jc w:val="both"/>
      </w:pPr>
      <w:r>
        <w:rPr/>
        <w:t>As youth grow up, the creation and provision of safe and brave spaces is essential for youth to find communities where they can learn in structured and unstructured environments.</w:t>
      </w:r>
      <w:r>
        <w:rPr>
          <w:spacing w:val="-10"/>
        </w:rPr>
        <w:t> </w:t>
      </w:r>
      <w:r>
        <w:rPr/>
        <w:t>Local</w:t>
      </w:r>
      <w:r>
        <w:rPr>
          <w:spacing w:val="-8"/>
        </w:rPr>
        <w:t> </w:t>
      </w:r>
      <w:r>
        <w:rPr/>
        <w:t>community</w:t>
      </w:r>
      <w:r>
        <w:rPr>
          <w:spacing w:val="-8"/>
        </w:rPr>
        <w:t> </w:t>
      </w:r>
      <w:r>
        <w:rPr/>
        <w:t>programs</w:t>
      </w:r>
      <w:r>
        <w:rPr>
          <w:spacing w:val="-9"/>
        </w:rPr>
        <w:t> </w:t>
      </w:r>
      <w:r>
        <w:rPr/>
        <w:t>focusing</w:t>
      </w:r>
      <w:r>
        <w:rPr>
          <w:spacing w:val="-8"/>
        </w:rPr>
        <w:t> </w:t>
      </w:r>
      <w:r>
        <w:rPr/>
        <w:t>on</w:t>
      </w:r>
      <w:r>
        <w:rPr>
          <w:spacing w:val="-10"/>
        </w:rPr>
        <w:t> </w:t>
      </w:r>
      <w:r>
        <w:rPr/>
        <w:t>skills building and relationship development both in and out of schools can support youth as they explore their own personal growth.</w:t>
      </w:r>
      <w:r>
        <w:rPr>
          <w:vertAlign w:val="superscript"/>
        </w:rPr>
        <w:t>18</w:t>
      </w:r>
    </w:p>
    <w:p>
      <w:pPr>
        <w:pStyle w:val="BodyText"/>
        <w:spacing w:line="276" w:lineRule="auto" w:before="241"/>
        <w:ind w:left="363" w:right="139" w:firstLine="4095"/>
        <w:jc w:val="both"/>
      </w:pPr>
      <w:r>
        <w:rPr/>
        <w:t>For supporting gender expansive youth in particular, caregivers and educators must ensure that youth are empowered from a young age in their gender identities, but also given room to be playful and flexible in their expressions. There are many options for young gender expansive youth to socially transition with taking any steps to alter their appearance, including haircuts, name changes, and clothing expression. As children get older, the use of makeup and other</w:t>
      </w:r>
      <w:r>
        <w:rPr>
          <w:spacing w:val="-10"/>
        </w:rPr>
        <w:t> </w:t>
      </w:r>
      <w:r>
        <w:rPr/>
        <w:t>gender-affirming</w:t>
      </w:r>
      <w:r>
        <w:rPr>
          <w:spacing w:val="-10"/>
        </w:rPr>
        <w:t> </w:t>
      </w:r>
      <w:r>
        <w:rPr/>
        <w:t>items,</w:t>
      </w:r>
      <w:r>
        <w:rPr>
          <w:spacing w:val="-10"/>
        </w:rPr>
        <w:t> </w:t>
      </w:r>
      <w:r>
        <w:rPr/>
        <w:t>like</w:t>
      </w:r>
      <w:r>
        <w:rPr>
          <w:spacing w:val="-10"/>
        </w:rPr>
        <w:t> </w:t>
      </w:r>
      <w:r>
        <w:rPr/>
        <w:t>wigs,</w:t>
      </w:r>
      <w:r>
        <w:rPr>
          <w:spacing w:val="-10"/>
        </w:rPr>
        <w:t> </w:t>
      </w:r>
      <w:r>
        <w:rPr/>
        <w:t>packers,</w:t>
      </w:r>
      <w:r>
        <w:rPr>
          <w:spacing w:val="-10"/>
        </w:rPr>
        <w:t> </w:t>
      </w:r>
      <w:r>
        <w:rPr/>
        <w:t>and</w:t>
      </w:r>
      <w:r>
        <w:rPr>
          <w:spacing w:val="-9"/>
        </w:rPr>
        <w:t> </w:t>
      </w:r>
      <w:r>
        <w:rPr/>
        <w:t>padded</w:t>
      </w:r>
      <w:r>
        <w:rPr>
          <w:spacing w:val="-10"/>
        </w:rPr>
        <w:t> </w:t>
      </w:r>
      <w:r>
        <w:rPr/>
        <w:t>bras</w:t>
      </w:r>
      <w:r>
        <w:rPr>
          <w:spacing w:val="-10"/>
        </w:rPr>
        <w:t> </w:t>
      </w:r>
      <w:r>
        <w:rPr/>
        <w:t>may</w:t>
      </w:r>
      <w:r>
        <w:rPr>
          <w:spacing w:val="-10"/>
        </w:rPr>
        <w:t> </w:t>
      </w:r>
      <w:r>
        <w:rPr/>
        <w:t>be</w:t>
      </w:r>
      <w:r>
        <w:rPr>
          <w:spacing w:val="-10"/>
        </w:rPr>
        <w:t> </w:t>
      </w:r>
      <w:r>
        <w:rPr/>
        <w:t>other</w:t>
      </w:r>
      <w:r>
        <w:rPr>
          <w:spacing w:val="-9"/>
        </w:rPr>
        <w:t> </w:t>
      </w:r>
      <w:r>
        <w:rPr/>
        <w:t>options</w:t>
      </w:r>
      <w:r>
        <w:rPr>
          <w:spacing w:val="-10"/>
        </w:rPr>
        <w:t> </w:t>
      </w:r>
      <w:r>
        <w:rPr/>
        <w:t>to</w:t>
      </w:r>
      <w:r>
        <w:rPr>
          <w:spacing w:val="-10"/>
        </w:rPr>
        <w:t> </w:t>
      </w:r>
      <w:r>
        <w:rPr/>
        <w:t>support</w:t>
      </w:r>
      <w:r>
        <w:rPr>
          <w:spacing w:val="-11"/>
        </w:rPr>
        <w:t> </w:t>
      </w:r>
      <w:r>
        <w:rPr/>
        <w:t>youth’s gender expression prior to or alongside puberty blockers. Supported by numerous medical organizations and providers, puberty blockers are a safe, temporary, and effective method - lasting only as long as a patient uses the blockers - of delaying the onset of puberty to allow gender expansive youth the time to explore their gender identity and decide what future steps they may want to take in their transition with very little risk.</w:t>
      </w:r>
      <w:r>
        <w:rPr>
          <w:vertAlign w:val="superscript"/>
        </w:rPr>
        <w:t>19</w:t>
      </w:r>
      <w:r>
        <w:rPr>
          <w:vertAlign w:val="baseline"/>
        </w:rPr>
        <w:t> Research has decisively shown that taking puberty blockers has significantly positive mental health effects for gender expansive youth, including reducing rates of suicidal ideation and attempts;</w:t>
      </w:r>
      <w:r>
        <w:rPr>
          <w:vertAlign w:val="superscript"/>
        </w:rPr>
        <w:t>20</w:t>
      </w:r>
      <w:r>
        <w:rPr>
          <w:vertAlign w:val="baseline"/>
        </w:rPr>
        <w:t> and 98% of youth who use puberty blockers continue gender-affirming treatment into </w:t>
      </w:r>
      <w:r>
        <w:rPr>
          <w:spacing w:val="-2"/>
          <w:vertAlign w:val="baseline"/>
        </w:rPr>
        <w:t>adulthood.</w:t>
      </w:r>
      <w:r>
        <w:rPr>
          <w:spacing w:val="-2"/>
          <w:vertAlign w:val="superscript"/>
        </w:rPr>
        <w:t>2</w:t>
      </w:r>
    </w:p>
    <w:p>
      <w:pPr>
        <w:pStyle w:val="BodyText"/>
      </w:pPr>
    </w:p>
    <w:p>
      <w:pPr>
        <w:pStyle w:val="BodyText"/>
        <w:spacing w:before="10"/>
      </w:pPr>
    </w:p>
    <w:p>
      <w:pPr>
        <w:spacing w:before="0"/>
        <w:ind w:left="363" w:right="0" w:firstLine="0"/>
        <w:jc w:val="both"/>
        <w:rPr>
          <w:sz w:val="26"/>
        </w:rPr>
      </w:pPr>
      <w:bookmarkStart w:name="Bodily Autonomy for Intersex Youth" w:id="472"/>
      <w:bookmarkEnd w:id="472"/>
      <w:r>
        <w:rPr/>
      </w:r>
      <w:r>
        <w:rPr>
          <w:color w:val="095292"/>
          <w:sz w:val="26"/>
        </w:rPr>
        <w:t>Bodily</w:t>
      </w:r>
      <w:r>
        <w:rPr>
          <w:color w:val="095292"/>
          <w:spacing w:val="-5"/>
          <w:sz w:val="26"/>
        </w:rPr>
        <w:t> </w:t>
      </w:r>
      <w:r>
        <w:rPr>
          <w:color w:val="095292"/>
          <w:sz w:val="26"/>
        </w:rPr>
        <w:t>Autonomy</w:t>
      </w:r>
      <w:r>
        <w:rPr>
          <w:color w:val="095292"/>
          <w:spacing w:val="-5"/>
          <w:sz w:val="26"/>
        </w:rPr>
        <w:t> </w:t>
      </w:r>
      <w:r>
        <w:rPr>
          <w:color w:val="095292"/>
          <w:sz w:val="26"/>
        </w:rPr>
        <w:t>for</w:t>
      </w:r>
      <w:r>
        <w:rPr>
          <w:color w:val="095292"/>
          <w:spacing w:val="-4"/>
          <w:sz w:val="26"/>
        </w:rPr>
        <w:t> </w:t>
      </w:r>
      <w:r>
        <w:rPr>
          <w:color w:val="095292"/>
          <w:sz w:val="26"/>
        </w:rPr>
        <w:t>Intersex</w:t>
      </w:r>
      <w:r>
        <w:rPr>
          <w:color w:val="095292"/>
          <w:spacing w:val="-3"/>
          <w:sz w:val="26"/>
        </w:rPr>
        <w:t> </w:t>
      </w:r>
      <w:r>
        <w:rPr>
          <w:color w:val="095292"/>
          <w:spacing w:val="-4"/>
          <w:sz w:val="26"/>
        </w:rPr>
        <w:t>Youth</w:t>
      </w:r>
    </w:p>
    <w:p>
      <w:pPr>
        <w:pStyle w:val="BodyText"/>
        <w:spacing w:before="141"/>
        <w:rPr>
          <w:sz w:val="26"/>
        </w:rPr>
      </w:pPr>
    </w:p>
    <w:p>
      <w:pPr>
        <w:pStyle w:val="BodyText"/>
        <w:spacing w:line="276" w:lineRule="auto" w:before="1"/>
        <w:ind w:left="363" w:right="141"/>
        <w:jc w:val="both"/>
      </w:pPr>
      <w:r>
        <w:rPr/>
        <w:t>When having conversations around bodily autonomy, it is essential that caregivers, advocates, and policymakers include the experiences of intersex youth. Though performing medically unnecessary surgeries</w:t>
      </w:r>
      <w:r>
        <w:rPr>
          <w:spacing w:val="40"/>
        </w:rPr>
        <w:t> </w:t>
      </w:r>
      <w:r>
        <w:rPr/>
        <w:t>on</w:t>
      </w:r>
      <w:r>
        <w:rPr>
          <w:spacing w:val="40"/>
        </w:rPr>
        <w:t> </w:t>
      </w:r>
      <w:r>
        <w:rPr/>
        <w:t>intersex</w:t>
      </w:r>
      <w:r>
        <w:rPr>
          <w:spacing w:val="40"/>
        </w:rPr>
        <w:t> </w:t>
      </w:r>
      <w:r>
        <w:rPr/>
        <w:t>infants</w:t>
      </w:r>
      <w:r>
        <w:rPr>
          <w:spacing w:val="40"/>
        </w:rPr>
        <w:t> </w:t>
      </w:r>
      <w:r>
        <w:rPr/>
        <w:t>has</w:t>
      </w:r>
      <w:r>
        <w:rPr>
          <w:spacing w:val="40"/>
        </w:rPr>
        <w:t> </w:t>
      </w:r>
      <w:r>
        <w:rPr/>
        <w:t>been</w:t>
      </w:r>
      <w:r>
        <w:rPr>
          <w:spacing w:val="40"/>
        </w:rPr>
        <w:t> </w:t>
      </w:r>
      <w:r>
        <w:rPr/>
        <w:t>widely</w:t>
      </w:r>
      <w:r>
        <w:rPr>
          <w:spacing w:val="40"/>
        </w:rPr>
        <w:t> </w:t>
      </w:r>
      <w:r>
        <w:rPr/>
        <w:t>condemned</w:t>
      </w:r>
      <w:r>
        <w:rPr>
          <w:spacing w:val="40"/>
        </w:rPr>
        <w:t> </w:t>
      </w:r>
      <w:r>
        <w:rPr/>
        <w:t>by</w:t>
      </w:r>
      <w:r>
        <w:rPr>
          <w:spacing w:val="40"/>
        </w:rPr>
        <w:t> </w:t>
      </w:r>
      <w:r>
        <w:rPr/>
        <w:t>medical</w:t>
      </w:r>
      <w:r>
        <w:rPr>
          <w:spacing w:val="40"/>
        </w:rPr>
        <w:t> </w:t>
      </w:r>
      <w:r>
        <w:rPr/>
        <w:t>professionals</w:t>
      </w:r>
      <w:r>
        <w:rPr>
          <w:spacing w:val="40"/>
        </w:rPr>
        <w:t> </w:t>
      </w:r>
      <w:r>
        <w:rPr/>
        <w:t>and</w:t>
      </w:r>
      <w:r>
        <w:rPr>
          <w:spacing w:val="40"/>
        </w:rPr>
        <w:t> </w:t>
      </w:r>
      <w:r>
        <w:rPr/>
        <w:t>advocates</w:t>
      </w:r>
      <w:r>
        <w:rPr>
          <w:spacing w:val="40"/>
        </w:rPr>
        <w:t> </w:t>
      </w:r>
      <w:r>
        <w:rPr/>
        <w:t>-</w:t>
      </w:r>
    </w:p>
    <w:p>
      <w:pPr>
        <w:spacing w:after="0" w:line="276" w:lineRule="auto"/>
        <w:jc w:val="both"/>
        <w:sectPr>
          <w:pgSz w:w="12240" w:h="15840"/>
          <w:pgMar w:header="763" w:footer="1339" w:top="1180" w:bottom="1560" w:left="1080" w:right="1240"/>
        </w:sectPr>
      </w:pPr>
    </w:p>
    <w:p>
      <w:pPr>
        <w:pStyle w:val="BodyText"/>
        <w:spacing w:line="276" w:lineRule="auto" w:before="69"/>
        <w:ind w:left="363" w:right="140" w:hanging="1"/>
        <w:jc w:val="both"/>
      </w:pPr>
      <w:r>
        <w:rPr/>
        <w:t>including the American Academy of Family Physicians</w:t>
      </w:r>
      <w:r>
        <w:rPr>
          <w:vertAlign w:val="superscript"/>
        </w:rPr>
        <w:t>22</w:t>
      </w:r>
      <w:r>
        <w:rPr>
          <w:vertAlign w:val="baseline"/>
        </w:rPr>
        <w:t> and Amnesty International</w:t>
      </w:r>
      <w:r>
        <w:rPr>
          <w:vertAlign w:val="superscript"/>
        </w:rPr>
        <w:t>23</w:t>
      </w:r>
      <w:r>
        <w:rPr>
          <w:vertAlign w:val="baseline"/>
        </w:rPr>
        <w:t> - as unethical and harmful</w:t>
      </w:r>
      <w:r>
        <w:rPr>
          <w:spacing w:val="-9"/>
          <w:vertAlign w:val="baseline"/>
        </w:rPr>
        <w:t> </w:t>
      </w:r>
      <w:r>
        <w:rPr>
          <w:vertAlign w:val="baseline"/>
        </w:rPr>
        <w:t>to</w:t>
      </w:r>
      <w:r>
        <w:rPr>
          <w:spacing w:val="-10"/>
          <w:vertAlign w:val="baseline"/>
        </w:rPr>
        <w:t> </w:t>
      </w:r>
      <w:r>
        <w:rPr>
          <w:vertAlign w:val="baseline"/>
        </w:rPr>
        <w:t>youth,</w:t>
      </w:r>
      <w:r>
        <w:rPr>
          <w:spacing w:val="-10"/>
          <w:vertAlign w:val="baseline"/>
        </w:rPr>
        <w:t> </w:t>
      </w:r>
      <w:r>
        <w:rPr>
          <w:vertAlign w:val="baseline"/>
        </w:rPr>
        <w:t>surgeries</w:t>
      </w:r>
      <w:r>
        <w:rPr>
          <w:spacing w:val="-9"/>
          <w:vertAlign w:val="baseline"/>
        </w:rPr>
        <w:t> </w:t>
      </w:r>
      <w:r>
        <w:rPr>
          <w:vertAlign w:val="baseline"/>
        </w:rPr>
        <w:t>intended</w:t>
      </w:r>
      <w:r>
        <w:rPr>
          <w:spacing w:val="-9"/>
          <w:vertAlign w:val="baseline"/>
        </w:rPr>
        <w:t> </w:t>
      </w:r>
      <w:r>
        <w:rPr>
          <w:vertAlign w:val="baseline"/>
        </w:rPr>
        <w:t>to</w:t>
      </w:r>
      <w:r>
        <w:rPr>
          <w:spacing w:val="-8"/>
          <w:vertAlign w:val="baseline"/>
        </w:rPr>
        <w:t> </w:t>
      </w:r>
      <w:r>
        <w:rPr>
          <w:vertAlign w:val="baseline"/>
        </w:rPr>
        <w:t>make</w:t>
      </w:r>
      <w:r>
        <w:rPr>
          <w:spacing w:val="-10"/>
          <w:vertAlign w:val="baseline"/>
        </w:rPr>
        <w:t> </w:t>
      </w:r>
      <w:r>
        <w:rPr>
          <w:vertAlign w:val="baseline"/>
        </w:rPr>
        <w:t>intersex</w:t>
      </w:r>
      <w:r>
        <w:rPr>
          <w:spacing w:val="-11"/>
          <w:vertAlign w:val="baseline"/>
        </w:rPr>
        <w:t> </w:t>
      </w:r>
      <w:r>
        <w:rPr>
          <w:vertAlign w:val="baseline"/>
        </w:rPr>
        <w:t>babies’</w:t>
      </w:r>
      <w:r>
        <w:rPr>
          <w:spacing w:val="-10"/>
          <w:vertAlign w:val="baseline"/>
        </w:rPr>
        <w:t> </w:t>
      </w:r>
      <w:r>
        <w:rPr>
          <w:vertAlign w:val="baseline"/>
        </w:rPr>
        <w:t>genitals</w:t>
      </w:r>
      <w:r>
        <w:rPr>
          <w:spacing w:val="-10"/>
          <w:vertAlign w:val="baseline"/>
        </w:rPr>
        <w:t> </w:t>
      </w:r>
      <w:r>
        <w:rPr>
          <w:vertAlign w:val="baseline"/>
        </w:rPr>
        <w:t>more</w:t>
      </w:r>
      <w:r>
        <w:rPr>
          <w:spacing w:val="-9"/>
          <w:vertAlign w:val="baseline"/>
        </w:rPr>
        <w:t> </w:t>
      </w:r>
      <w:r>
        <w:rPr>
          <w:vertAlign w:val="baseline"/>
        </w:rPr>
        <w:t>typical</w:t>
      </w:r>
      <w:r>
        <w:rPr>
          <w:spacing w:val="-10"/>
          <w:vertAlign w:val="baseline"/>
        </w:rPr>
        <w:t> </w:t>
      </w:r>
      <w:r>
        <w:rPr>
          <w:vertAlign w:val="baseline"/>
        </w:rPr>
        <w:t>in</w:t>
      </w:r>
      <w:r>
        <w:rPr>
          <w:spacing w:val="-9"/>
          <w:vertAlign w:val="baseline"/>
        </w:rPr>
        <w:t> </w:t>
      </w:r>
      <w:r>
        <w:rPr>
          <w:vertAlign w:val="baseline"/>
        </w:rPr>
        <w:t>a</w:t>
      </w:r>
      <w:r>
        <w:rPr>
          <w:spacing w:val="-10"/>
          <w:vertAlign w:val="baseline"/>
        </w:rPr>
        <w:t> </w:t>
      </w:r>
      <w:r>
        <w:rPr>
          <w:vertAlign w:val="baseline"/>
        </w:rPr>
        <w:t>binary</w:t>
      </w:r>
      <w:r>
        <w:rPr>
          <w:spacing w:val="-9"/>
          <w:vertAlign w:val="baseline"/>
        </w:rPr>
        <w:t> </w:t>
      </w:r>
      <w:r>
        <w:rPr>
          <w:vertAlign w:val="baseline"/>
        </w:rPr>
        <w:t>appearance still occur across the United States. Such surgeries can result in irreversible lifelong effects including sterilization, scarring, chronic pain and incontinence, as well as loss of sexual sensation, psychological trauma, and gender dysphoria.</w:t>
      </w:r>
      <w:r>
        <w:rPr>
          <w:vertAlign w:val="superscript"/>
        </w:rPr>
        <w:t>24</w:t>
      </w:r>
      <w:r>
        <w:rPr>
          <w:vertAlign w:val="baseline"/>
        </w:rPr>
        <w:t> In 2020, Boston Children’s Hospital announced that it would stop performing genital reconstruction surgeries on intersex patients unable to offer consent, though the Commission is unaware if any other hospitals in Massachusetts have continued or discontinued these surgical practices on intersex infants.</w:t>
      </w:r>
      <w:r>
        <w:rPr>
          <w:vertAlign w:val="superscript"/>
        </w:rPr>
        <w:t>25</w:t>
      </w:r>
    </w:p>
    <w:p>
      <w:pPr>
        <w:pStyle w:val="BodyText"/>
        <w:spacing w:line="276" w:lineRule="auto" w:before="121"/>
        <w:ind w:left="363" w:right="141"/>
        <w:jc w:val="both"/>
      </w:pPr>
      <w:r>
        <w:rPr/>
        <w:t>In</w:t>
      </w:r>
      <w:r>
        <w:rPr>
          <w:spacing w:val="-7"/>
        </w:rPr>
        <w:t> </w:t>
      </w:r>
      <w:r>
        <w:rPr/>
        <w:t>addition</w:t>
      </w:r>
      <w:r>
        <w:rPr>
          <w:spacing w:val="-7"/>
        </w:rPr>
        <w:t> </w:t>
      </w:r>
      <w:r>
        <w:rPr/>
        <w:t>to</w:t>
      </w:r>
      <w:r>
        <w:rPr>
          <w:spacing w:val="-5"/>
        </w:rPr>
        <w:t> </w:t>
      </w:r>
      <w:r>
        <w:rPr/>
        <w:t>surgery,</w:t>
      </w:r>
      <w:r>
        <w:rPr>
          <w:spacing w:val="-6"/>
        </w:rPr>
        <w:t> </w:t>
      </w:r>
      <w:r>
        <w:rPr/>
        <w:t>caregivers</w:t>
      </w:r>
      <w:r>
        <w:rPr>
          <w:spacing w:val="-6"/>
        </w:rPr>
        <w:t> </w:t>
      </w:r>
      <w:r>
        <w:rPr/>
        <w:t>and</w:t>
      </w:r>
      <w:r>
        <w:rPr>
          <w:spacing w:val="-7"/>
        </w:rPr>
        <w:t> </w:t>
      </w:r>
      <w:r>
        <w:rPr/>
        <w:t>providers</w:t>
      </w:r>
      <w:r>
        <w:rPr>
          <w:spacing w:val="-6"/>
        </w:rPr>
        <w:t> </w:t>
      </w:r>
      <w:r>
        <w:rPr/>
        <w:t>may</w:t>
      </w:r>
      <w:r>
        <w:rPr>
          <w:spacing w:val="-6"/>
        </w:rPr>
        <w:t> </w:t>
      </w:r>
      <w:r>
        <w:rPr/>
        <w:t>often</w:t>
      </w:r>
      <w:r>
        <w:rPr>
          <w:spacing w:val="-7"/>
        </w:rPr>
        <w:t> </w:t>
      </w:r>
      <w:r>
        <w:rPr/>
        <w:t>unethically</w:t>
      </w:r>
      <w:r>
        <w:rPr>
          <w:spacing w:val="-6"/>
        </w:rPr>
        <w:t> </w:t>
      </w:r>
      <w:r>
        <w:rPr/>
        <w:t>compromise</w:t>
      </w:r>
      <w:r>
        <w:rPr>
          <w:spacing w:val="-7"/>
        </w:rPr>
        <w:t> </w:t>
      </w:r>
      <w:r>
        <w:rPr/>
        <w:t>intersex</w:t>
      </w:r>
      <w:r>
        <w:rPr>
          <w:spacing w:val="-6"/>
        </w:rPr>
        <w:t> </w:t>
      </w:r>
      <w:r>
        <w:rPr/>
        <w:t>youths’</w:t>
      </w:r>
      <w:r>
        <w:rPr>
          <w:spacing w:val="-6"/>
        </w:rPr>
        <w:t> </w:t>
      </w:r>
      <w:r>
        <w:rPr/>
        <w:t>bodily autonomy</w:t>
      </w:r>
      <w:r>
        <w:rPr>
          <w:spacing w:val="-3"/>
        </w:rPr>
        <w:t> </w:t>
      </w:r>
      <w:r>
        <w:rPr/>
        <w:t>in</w:t>
      </w:r>
      <w:r>
        <w:rPr>
          <w:spacing w:val="-2"/>
        </w:rPr>
        <w:t> </w:t>
      </w:r>
      <w:r>
        <w:rPr/>
        <w:t>other</w:t>
      </w:r>
      <w:r>
        <w:rPr>
          <w:spacing w:val="-3"/>
        </w:rPr>
        <w:t> </w:t>
      </w:r>
      <w:r>
        <w:rPr/>
        <w:t>ways,</w:t>
      </w:r>
      <w:r>
        <w:rPr>
          <w:spacing w:val="-3"/>
        </w:rPr>
        <w:t> </w:t>
      </w:r>
      <w:r>
        <w:rPr/>
        <w:t>such</w:t>
      </w:r>
      <w:r>
        <w:rPr>
          <w:spacing w:val="-3"/>
        </w:rPr>
        <w:t> </w:t>
      </w:r>
      <w:r>
        <w:rPr/>
        <w:t>as</w:t>
      </w:r>
      <w:r>
        <w:rPr>
          <w:spacing w:val="-2"/>
        </w:rPr>
        <w:t> </w:t>
      </w:r>
      <w:r>
        <w:rPr/>
        <w:t>keeping</w:t>
      </w:r>
      <w:r>
        <w:rPr>
          <w:spacing w:val="-3"/>
        </w:rPr>
        <w:t> </w:t>
      </w:r>
      <w:r>
        <w:rPr/>
        <w:t>intersex</w:t>
      </w:r>
      <w:r>
        <w:rPr>
          <w:spacing w:val="-3"/>
        </w:rPr>
        <w:t> </w:t>
      </w:r>
      <w:r>
        <w:rPr/>
        <w:t>identity</w:t>
      </w:r>
      <w:r>
        <w:rPr>
          <w:spacing w:val="-3"/>
        </w:rPr>
        <w:t> </w:t>
      </w:r>
      <w:r>
        <w:rPr/>
        <w:t>from</w:t>
      </w:r>
      <w:r>
        <w:rPr>
          <w:spacing w:val="-2"/>
        </w:rPr>
        <w:t> </w:t>
      </w:r>
      <w:r>
        <w:rPr/>
        <w:t>the</w:t>
      </w:r>
      <w:r>
        <w:rPr>
          <w:spacing w:val="-3"/>
        </w:rPr>
        <w:t> </w:t>
      </w:r>
      <w:r>
        <w:rPr/>
        <w:t>youth,</w:t>
      </w:r>
      <w:r>
        <w:rPr>
          <w:spacing w:val="-2"/>
        </w:rPr>
        <w:t> </w:t>
      </w:r>
      <w:r>
        <w:rPr/>
        <w:t>or</w:t>
      </w:r>
      <w:r>
        <w:rPr>
          <w:spacing w:val="-3"/>
        </w:rPr>
        <w:t> </w:t>
      </w:r>
      <w:r>
        <w:rPr/>
        <w:t>providing</w:t>
      </w:r>
      <w:r>
        <w:rPr>
          <w:spacing w:val="-3"/>
        </w:rPr>
        <w:t> </w:t>
      </w:r>
      <w:r>
        <w:rPr/>
        <w:t>hormone</w:t>
      </w:r>
      <w:r>
        <w:rPr>
          <w:spacing w:val="-3"/>
        </w:rPr>
        <w:t> </w:t>
      </w:r>
      <w:r>
        <w:rPr/>
        <w:t>therapy or</w:t>
      </w:r>
      <w:r>
        <w:rPr>
          <w:spacing w:val="-5"/>
        </w:rPr>
        <w:t> </w:t>
      </w:r>
      <w:r>
        <w:rPr/>
        <w:t>puberty</w:t>
      </w:r>
      <w:r>
        <w:rPr>
          <w:spacing w:val="-5"/>
        </w:rPr>
        <w:t> </w:t>
      </w:r>
      <w:r>
        <w:rPr/>
        <w:t>blockers</w:t>
      </w:r>
      <w:r>
        <w:rPr>
          <w:spacing w:val="-5"/>
        </w:rPr>
        <w:t> </w:t>
      </w:r>
      <w:r>
        <w:rPr/>
        <w:t>to</w:t>
      </w:r>
      <w:r>
        <w:rPr>
          <w:spacing w:val="-5"/>
        </w:rPr>
        <w:t> </w:t>
      </w:r>
      <w:r>
        <w:rPr/>
        <w:t>unaware</w:t>
      </w:r>
      <w:r>
        <w:rPr>
          <w:spacing w:val="-6"/>
        </w:rPr>
        <w:t> </w:t>
      </w:r>
      <w:r>
        <w:rPr/>
        <w:t>youth.</w:t>
      </w:r>
      <w:r>
        <w:rPr>
          <w:spacing w:val="-6"/>
        </w:rPr>
        <w:t> </w:t>
      </w:r>
      <w:r>
        <w:rPr/>
        <w:t>In</w:t>
      </w:r>
      <w:r>
        <w:rPr>
          <w:spacing w:val="-6"/>
        </w:rPr>
        <w:t> </w:t>
      </w:r>
      <w:r>
        <w:rPr/>
        <w:t>a</w:t>
      </w:r>
      <w:r>
        <w:rPr>
          <w:spacing w:val="-5"/>
        </w:rPr>
        <w:t> </w:t>
      </w:r>
      <w:r>
        <w:rPr/>
        <w:t>2021</w:t>
      </w:r>
      <w:r>
        <w:rPr>
          <w:spacing w:val="-5"/>
        </w:rPr>
        <w:t> </w:t>
      </w:r>
      <w:r>
        <w:rPr/>
        <w:t>Trevor</w:t>
      </w:r>
      <w:r>
        <w:rPr>
          <w:spacing w:val="-5"/>
        </w:rPr>
        <w:t> </w:t>
      </w:r>
      <w:r>
        <w:rPr/>
        <w:t>Project</w:t>
      </w:r>
      <w:r>
        <w:rPr>
          <w:spacing w:val="-6"/>
        </w:rPr>
        <w:t> </w:t>
      </w:r>
      <w:r>
        <w:rPr/>
        <w:t>survey</w:t>
      </w:r>
      <w:r>
        <w:rPr>
          <w:spacing w:val="-5"/>
        </w:rPr>
        <w:t> </w:t>
      </w:r>
      <w:r>
        <w:rPr/>
        <w:t>on</w:t>
      </w:r>
      <w:r>
        <w:rPr>
          <w:spacing w:val="-6"/>
        </w:rPr>
        <w:t> </w:t>
      </w:r>
      <w:r>
        <w:rPr/>
        <w:t>youth</w:t>
      </w:r>
      <w:r>
        <w:rPr>
          <w:spacing w:val="-4"/>
        </w:rPr>
        <w:t> </w:t>
      </w:r>
      <w:r>
        <w:rPr/>
        <w:t>mental</w:t>
      </w:r>
      <w:r>
        <w:rPr>
          <w:spacing w:val="-4"/>
        </w:rPr>
        <w:t> </w:t>
      </w:r>
      <w:r>
        <w:rPr/>
        <w:t>health,</w:t>
      </w:r>
      <w:r>
        <w:rPr>
          <w:spacing w:val="-5"/>
        </w:rPr>
        <w:t> </w:t>
      </w:r>
      <w:r>
        <w:rPr/>
        <w:t>nearly</w:t>
      </w:r>
      <w:r>
        <w:rPr>
          <w:spacing w:val="-5"/>
        </w:rPr>
        <w:t> </w:t>
      </w:r>
      <w:r>
        <w:rPr/>
        <w:t>1</w:t>
      </w:r>
      <w:r>
        <w:rPr>
          <w:spacing w:val="-5"/>
        </w:rPr>
        <w:t> </w:t>
      </w:r>
      <w:r>
        <w:rPr/>
        <w:t>in 2 intersex youth seriously considered suicide, compared to 41% of LGBTQ youth who did not identify as intersex;</w:t>
      </w:r>
      <w:r>
        <w:rPr>
          <w:spacing w:val="-12"/>
        </w:rPr>
        <w:t> </w:t>
      </w:r>
      <w:r>
        <w:rPr/>
        <w:t>and</w:t>
      </w:r>
      <w:r>
        <w:rPr>
          <w:spacing w:val="-11"/>
        </w:rPr>
        <w:t> </w:t>
      </w:r>
      <w:r>
        <w:rPr/>
        <w:t>two-thirds</w:t>
      </w:r>
      <w:r>
        <w:rPr>
          <w:spacing w:val="-12"/>
        </w:rPr>
        <w:t> </w:t>
      </w:r>
      <w:r>
        <w:rPr/>
        <w:t>of</w:t>
      </w:r>
      <w:r>
        <w:rPr>
          <w:spacing w:val="-11"/>
        </w:rPr>
        <w:t> </w:t>
      </w:r>
      <w:r>
        <w:rPr/>
        <w:t>responding</w:t>
      </w:r>
      <w:r>
        <w:rPr>
          <w:spacing w:val="-13"/>
        </w:rPr>
        <w:t> </w:t>
      </w:r>
      <w:r>
        <w:rPr/>
        <w:t>intersex</w:t>
      </w:r>
      <w:r>
        <w:rPr>
          <w:spacing w:val="-12"/>
        </w:rPr>
        <w:t> </w:t>
      </w:r>
      <w:r>
        <w:rPr/>
        <w:t>youth</w:t>
      </w:r>
      <w:r>
        <w:rPr>
          <w:spacing w:val="-13"/>
        </w:rPr>
        <w:t> </w:t>
      </w:r>
      <w:r>
        <w:rPr/>
        <w:t>noted</w:t>
      </w:r>
      <w:r>
        <w:rPr>
          <w:spacing w:val="-12"/>
        </w:rPr>
        <w:t> </w:t>
      </w:r>
      <w:r>
        <w:rPr/>
        <w:t>that</w:t>
      </w:r>
      <w:r>
        <w:rPr>
          <w:spacing w:val="-12"/>
        </w:rPr>
        <w:t> </w:t>
      </w:r>
      <w:r>
        <w:rPr/>
        <w:t>they</w:t>
      </w:r>
      <w:r>
        <w:rPr>
          <w:spacing w:val="-12"/>
        </w:rPr>
        <w:t> </w:t>
      </w:r>
      <w:r>
        <w:rPr/>
        <w:t>had</w:t>
      </w:r>
      <w:r>
        <w:rPr>
          <w:spacing w:val="-13"/>
        </w:rPr>
        <w:t> </w:t>
      </w:r>
      <w:r>
        <w:rPr/>
        <w:t>experienced</w:t>
      </w:r>
      <w:r>
        <w:rPr>
          <w:spacing w:val="-12"/>
        </w:rPr>
        <w:t> </w:t>
      </w:r>
      <w:r>
        <w:rPr/>
        <w:t>symptoms</w:t>
      </w:r>
      <w:r>
        <w:rPr>
          <w:spacing w:val="-12"/>
        </w:rPr>
        <w:t> </w:t>
      </w:r>
      <w:r>
        <w:rPr/>
        <w:t>of</w:t>
      </w:r>
      <w:r>
        <w:rPr>
          <w:spacing w:val="-12"/>
        </w:rPr>
        <w:t> </w:t>
      </w:r>
      <w:r>
        <w:rPr/>
        <w:t>major depressive disorder within the two weeks prior.</w:t>
      </w:r>
      <w:r>
        <w:rPr>
          <w:vertAlign w:val="superscript"/>
        </w:rPr>
        <w:t>26</w:t>
      </w:r>
    </w:p>
    <w:p>
      <w:pPr>
        <w:spacing w:before="161"/>
        <w:ind w:left="363" w:right="0" w:firstLine="0"/>
        <w:jc w:val="both"/>
        <w:rPr>
          <w:sz w:val="26"/>
        </w:rPr>
      </w:pPr>
      <w:bookmarkStart w:name="Contraceptive Options and Access" w:id="473"/>
      <w:bookmarkEnd w:id="473"/>
      <w:r>
        <w:rPr/>
      </w:r>
      <w:r>
        <w:rPr>
          <w:color w:val="095292"/>
          <w:sz w:val="26"/>
        </w:rPr>
        <w:t>Contraceptive</w:t>
      </w:r>
      <w:r>
        <w:rPr>
          <w:color w:val="095292"/>
          <w:spacing w:val="-5"/>
          <w:sz w:val="26"/>
        </w:rPr>
        <w:t> </w:t>
      </w:r>
      <w:r>
        <w:rPr>
          <w:color w:val="095292"/>
          <w:sz w:val="26"/>
        </w:rPr>
        <w:t>Options</w:t>
      </w:r>
      <w:r>
        <w:rPr>
          <w:color w:val="095292"/>
          <w:spacing w:val="-5"/>
          <w:sz w:val="26"/>
        </w:rPr>
        <w:t> </w:t>
      </w:r>
      <w:r>
        <w:rPr>
          <w:color w:val="095292"/>
          <w:sz w:val="26"/>
        </w:rPr>
        <w:t>and</w:t>
      </w:r>
      <w:r>
        <w:rPr>
          <w:color w:val="095292"/>
          <w:spacing w:val="-4"/>
          <w:sz w:val="26"/>
        </w:rPr>
        <w:t> </w:t>
      </w:r>
      <w:r>
        <w:rPr>
          <w:color w:val="095292"/>
          <w:spacing w:val="-2"/>
          <w:sz w:val="26"/>
        </w:rPr>
        <w:t>Access</w:t>
      </w:r>
    </w:p>
    <w:p>
      <w:pPr>
        <w:pStyle w:val="BodyText"/>
        <w:spacing w:before="231"/>
        <w:rPr>
          <w:sz w:val="26"/>
        </w:rPr>
      </w:pPr>
    </w:p>
    <w:p>
      <w:pPr>
        <w:pStyle w:val="BodyText"/>
        <w:spacing w:line="276" w:lineRule="auto"/>
        <w:ind w:left="363" w:right="142"/>
        <w:jc w:val="both"/>
      </w:pPr>
      <w:r>
        <w:rPr/>
        <w:t>Far</w:t>
      </w:r>
      <w:r>
        <w:rPr>
          <w:spacing w:val="-1"/>
        </w:rPr>
        <w:t> </w:t>
      </w:r>
      <w:r>
        <w:rPr/>
        <w:t>too</w:t>
      </w:r>
      <w:r>
        <w:rPr>
          <w:spacing w:val="-1"/>
        </w:rPr>
        <w:t> </w:t>
      </w:r>
      <w:r>
        <w:rPr/>
        <w:t>often,</w:t>
      </w:r>
      <w:r>
        <w:rPr>
          <w:spacing w:val="-1"/>
        </w:rPr>
        <w:t> </w:t>
      </w:r>
      <w:r>
        <w:rPr/>
        <w:t>the</w:t>
      </w:r>
      <w:r>
        <w:rPr>
          <w:spacing w:val="-1"/>
        </w:rPr>
        <w:t> </w:t>
      </w:r>
      <w:r>
        <w:rPr/>
        <w:t>conversations</w:t>
      </w:r>
      <w:r>
        <w:rPr>
          <w:spacing w:val="-1"/>
        </w:rPr>
        <w:t> </w:t>
      </w:r>
      <w:r>
        <w:rPr/>
        <w:t>around</w:t>
      </w:r>
      <w:r>
        <w:rPr>
          <w:spacing w:val="-1"/>
        </w:rPr>
        <w:t> </w:t>
      </w:r>
      <w:r>
        <w:rPr/>
        <w:t>contraception</w:t>
      </w:r>
      <w:r>
        <w:rPr>
          <w:spacing w:val="-1"/>
        </w:rPr>
        <w:t> </w:t>
      </w:r>
      <w:r>
        <w:rPr/>
        <w:t>with</w:t>
      </w:r>
      <w:r>
        <w:rPr>
          <w:spacing w:val="-1"/>
        </w:rPr>
        <w:t> </w:t>
      </w:r>
      <w:r>
        <w:rPr/>
        <w:t>youth</w:t>
      </w:r>
      <w:r>
        <w:rPr>
          <w:spacing w:val="-1"/>
        </w:rPr>
        <w:t> </w:t>
      </w:r>
      <w:r>
        <w:rPr/>
        <w:t>are</w:t>
      </w:r>
      <w:r>
        <w:rPr>
          <w:spacing w:val="-1"/>
        </w:rPr>
        <w:t> </w:t>
      </w:r>
      <w:r>
        <w:rPr/>
        <w:t>limited</w:t>
      </w:r>
      <w:r>
        <w:rPr>
          <w:spacing w:val="-1"/>
        </w:rPr>
        <w:t> </w:t>
      </w:r>
      <w:r>
        <w:rPr/>
        <w:t>to</w:t>
      </w:r>
      <w:r>
        <w:rPr>
          <w:spacing w:val="-1"/>
        </w:rPr>
        <w:t> </w:t>
      </w:r>
      <w:r>
        <w:rPr/>
        <w:t>external</w:t>
      </w:r>
      <w:r>
        <w:rPr>
          <w:spacing w:val="-1"/>
        </w:rPr>
        <w:t> </w:t>
      </w:r>
      <w:r>
        <w:rPr/>
        <w:t>condoms</w:t>
      </w:r>
      <w:r>
        <w:rPr>
          <w:spacing w:val="-1"/>
        </w:rPr>
        <w:t> </w:t>
      </w:r>
      <w:r>
        <w:rPr/>
        <w:t>as</w:t>
      </w:r>
      <w:r>
        <w:rPr>
          <w:spacing w:val="-1"/>
        </w:rPr>
        <w:t> </w:t>
      </w:r>
      <w:r>
        <w:rPr/>
        <w:t>the primary option for contraceptive devices - an approach that often ignores alternative, and sometimes more</w:t>
      </w:r>
      <w:r>
        <w:rPr>
          <w:spacing w:val="-2"/>
        </w:rPr>
        <w:t> </w:t>
      </w:r>
      <w:r>
        <w:rPr/>
        <w:t>relevant,</w:t>
      </w:r>
      <w:r>
        <w:rPr>
          <w:spacing w:val="80"/>
          <w:w w:val="150"/>
        </w:rPr>
        <w:t>  </w:t>
      </w:r>
      <w:r>
        <w:rPr/>
        <w:t>LGBTQ-inclusive</w:t>
      </w:r>
      <w:r>
        <w:rPr>
          <w:spacing w:val="33"/>
        </w:rPr>
        <w:t> </w:t>
      </w:r>
      <w:r>
        <w:rPr/>
        <w:t>contraceptive</w:t>
      </w:r>
      <w:r>
        <w:rPr>
          <w:spacing w:val="33"/>
        </w:rPr>
        <w:t> </w:t>
      </w:r>
      <w:r>
        <w:rPr/>
        <w:t>devices.</w:t>
      </w:r>
      <w:r>
        <w:rPr>
          <w:spacing w:val="33"/>
        </w:rPr>
        <w:t> </w:t>
      </w:r>
      <w:r>
        <w:rPr/>
        <w:t>Condoms</w:t>
      </w:r>
      <w:r>
        <w:rPr>
          <w:spacing w:val="34"/>
        </w:rPr>
        <w:t> </w:t>
      </w:r>
      <w:r>
        <w:rPr/>
        <w:t>-</w:t>
      </w:r>
      <w:r>
        <w:rPr>
          <w:spacing w:val="34"/>
        </w:rPr>
        <w:t> </w:t>
      </w:r>
      <w:r>
        <w:rPr/>
        <w:t>both</w:t>
      </w:r>
      <w:r>
        <w:rPr>
          <w:spacing w:val="33"/>
        </w:rPr>
        <w:t> </w:t>
      </w:r>
      <w:r>
        <w:rPr/>
        <w:t>external</w:t>
      </w:r>
      <w:r>
        <w:rPr>
          <w:spacing w:val="33"/>
        </w:rPr>
        <w:t> </w:t>
      </w:r>
      <w:r>
        <w:rPr/>
        <w:t>and</w:t>
      </w:r>
      <w:r>
        <w:rPr>
          <w:spacing w:val="33"/>
        </w:rPr>
        <w:t> </w:t>
      </w:r>
      <w:r>
        <w:rPr/>
        <w:t>internal</w:t>
      </w:r>
      <w:r>
        <w:rPr>
          <w:spacing w:val="33"/>
        </w:rPr>
        <w:t> </w:t>
      </w:r>
      <w:r>
        <w:rPr/>
        <w:t>-</w:t>
      </w:r>
      <w:r>
        <w:rPr>
          <w:spacing w:val="34"/>
        </w:rPr>
        <w:t> </w:t>
      </w:r>
      <w:r>
        <w:rPr/>
        <w:t>are</w:t>
      </w:r>
    </w:p>
    <w:p>
      <w:pPr>
        <w:pStyle w:val="BodyText"/>
        <w:spacing w:line="276" w:lineRule="auto"/>
        <w:ind w:left="6536" w:right="142"/>
        <w:jc w:val="both"/>
      </w:pPr>
      <w:r>
        <w:rPr/>
        <w:drawing>
          <wp:anchor distT="0" distB="0" distL="0" distR="0" allowOverlap="1" layoutInCell="1" locked="0" behindDoc="0" simplePos="0" relativeHeight="15787008">
            <wp:simplePos x="0" y="0"/>
            <wp:positionH relativeFrom="page">
              <wp:posOffset>914400</wp:posOffset>
            </wp:positionH>
            <wp:positionV relativeFrom="paragraph">
              <wp:posOffset>237712</wp:posOffset>
            </wp:positionV>
            <wp:extent cx="3830954" cy="2861779"/>
            <wp:effectExtent l="0" t="0" r="0" b="0"/>
            <wp:wrapNone/>
            <wp:docPr id="325" name="Image 325"/>
            <wp:cNvGraphicFramePr>
              <a:graphicFrameLocks/>
            </wp:cNvGraphicFramePr>
            <a:graphic>
              <a:graphicData uri="http://schemas.openxmlformats.org/drawingml/2006/picture">
                <pic:pic>
                  <pic:nvPicPr>
                    <pic:cNvPr id="325" name="Image 325"/>
                    <pic:cNvPicPr/>
                  </pic:nvPicPr>
                  <pic:blipFill>
                    <a:blip r:embed="rId399" cstate="print"/>
                    <a:stretch>
                      <a:fillRect/>
                    </a:stretch>
                  </pic:blipFill>
                  <pic:spPr>
                    <a:xfrm>
                      <a:off x="0" y="0"/>
                      <a:ext cx="3830954" cy="2861779"/>
                    </a:xfrm>
                    <a:prstGeom prst="rect">
                      <a:avLst/>
                    </a:prstGeom>
                  </pic:spPr>
                </pic:pic>
              </a:graphicData>
            </a:graphic>
          </wp:anchor>
        </w:drawing>
      </w:r>
      <w:r>
        <w:rPr/>
        <w:t>highly effective at reducing infections, HIV transmission, and unintended pregnancies, and are the most accessible as they can often be purchased at convenience stores. However, cost, safety, transportation,</w:t>
      </w:r>
      <w:r>
        <w:rPr>
          <w:spacing w:val="-5"/>
        </w:rPr>
        <w:t> </w:t>
      </w:r>
      <w:r>
        <w:rPr/>
        <w:t>mobility,</w:t>
      </w:r>
      <w:r>
        <w:rPr>
          <w:spacing w:val="-5"/>
        </w:rPr>
        <w:t> </w:t>
      </w:r>
      <w:r>
        <w:rPr/>
        <w:t>and</w:t>
      </w:r>
      <w:r>
        <w:rPr>
          <w:spacing w:val="-5"/>
        </w:rPr>
        <w:t> </w:t>
      </w:r>
      <w:r>
        <w:rPr/>
        <w:t>fear</w:t>
      </w:r>
      <w:r>
        <w:rPr>
          <w:spacing w:val="-5"/>
        </w:rPr>
        <w:t> </w:t>
      </w:r>
      <w:r>
        <w:rPr/>
        <w:t>of stigmatization can often be challenging barriers to overcome, particularly</w:t>
      </w:r>
      <w:r>
        <w:rPr>
          <w:spacing w:val="-3"/>
        </w:rPr>
        <w:t> </w:t>
      </w:r>
      <w:r>
        <w:rPr/>
        <w:t>for</w:t>
      </w:r>
      <w:r>
        <w:rPr>
          <w:spacing w:val="-4"/>
        </w:rPr>
        <w:t> </w:t>
      </w:r>
      <w:r>
        <w:rPr/>
        <w:t>youth</w:t>
      </w:r>
      <w:r>
        <w:rPr>
          <w:spacing w:val="-5"/>
        </w:rPr>
        <w:t> </w:t>
      </w:r>
      <w:r>
        <w:rPr/>
        <w:t>still</w:t>
      </w:r>
      <w:r>
        <w:rPr>
          <w:spacing w:val="-3"/>
        </w:rPr>
        <w:t> </w:t>
      </w:r>
      <w:r>
        <w:rPr/>
        <w:t>living</w:t>
      </w:r>
      <w:r>
        <w:rPr>
          <w:spacing w:val="-5"/>
        </w:rPr>
        <w:t> </w:t>
      </w:r>
      <w:r>
        <w:rPr/>
        <w:t>with their parents, who may opt out of purchasing</w:t>
      </w:r>
      <w:r>
        <w:rPr>
          <w:spacing w:val="-6"/>
        </w:rPr>
        <w:t> </w:t>
      </w:r>
      <w:r>
        <w:rPr/>
        <w:t>condoms</w:t>
      </w:r>
      <w:r>
        <w:rPr>
          <w:spacing w:val="-5"/>
        </w:rPr>
        <w:t> </w:t>
      </w:r>
      <w:r>
        <w:rPr/>
        <w:t>altogether</w:t>
      </w:r>
      <w:r>
        <w:rPr>
          <w:spacing w:val="-5"/>
        </w:rPr>
        <w:t> </w:t>
      </w:r>
      <w:r>
        <w:rPr/>
        <w:t>and participating in unprotected sexual </w:t>
      </w:r>
      <w:r>
        <w:rPr>
          <w:spacing w:val="-2"/>
        </w:rPr>
        <w:t>behaviors.</w:t>
      </w:r>
    </w:p>
    <w:p>
      <w:pPr>
        <w:pStyle w:val="BodyText"/>
        <w:spacing w:line="276" w:lineRule="auto" w:before="239"/>
        <w:ind w:left="6536" w:right="142"/>
        <w:jc w:val="both"/>
      </w:pPr>
      <w:r>
        <w:rPr/>
        <w:t>As recommended above, it is essential</w:t>
      </w:r>
      <w:r>
        <w:rPr>
          <w:spacing w:val="51"/>
        </w:rPr>
        <w:t> </w:t>
      </w:r>
      <w:r>
        <w:rPr/>
        <w:t>to</w:t>
      </w:r>
      <w:r>
        <w:rPr>
          <w:spacing w:val="53"/>
        </w:rPr>
        <w:t> </w:t>
      </w:r>
      <w:r>
        <w:rPr/>
        <w:t>increase</w:t>
      </w:r>
      <w:r>
        <w:rPr>
          <w:spacing w:val="52"/>
        </w:rPr>
        <w:t> </w:t>
      </w:r>
      <w:r>
        <w:rPr/>
        <w:t>access</w:t>
      </w:r>
      <w:r>
        <w:rPr>
          <w:spacing w:val="52"/>
        </w:rPr>
        <w:t> </w:t>
      </w:r>
      <w:r>
        <w:rPr/>
        <w:t>to</w:t>
      </w:r>
      <w:r>
        <w:rPr>
          <w:spacing w:val="53"/>
        </w:rPr>
        <w:t> </w:t>
      </w:r>
      <w:r>
        <w:rPr>
          <w:spacing w:val="-5"/>
        </w:rPr>
        <w:t>all</w:t>
      </w:r>
    </w:p>
    <w:p>
      <w:pPr>
        <w:pStyle w:val="BodyText"/>
        <w:spacing w:line="276" w:lineRule="auto"/>
        <w:ind w:left="363" w:right="142"/>
        <w:jc w:val="both"/>
      </w:pPr>
      <w:r>
        <w:rPr/>
        <w:t>types of contraceptive devices for youth and increase education campaigns around the importance of proper usage. A 2021 national study showed that only 38% of LGBTQ youth used a condom during their last</w:t>
      </w:r>
      <w:r>
        <w:rPr>
          <w:spacing w:val="-9"/>
        </w:rPr>
        <w:t> </w:t>
      </w:r>
      <w:r>
        <w:rPr/>
        <w:t>sexual</w:t>
      </w:r>
      <w:r>
        <w:rPr>
          <w:spacing w:val="-9"/>
        </w:rPr>
        <w:t> </w:t>
      </w:r>
      <w:r>
        <w:rPr/>
        <w:t>intercourse</w:t>
      </w:r>
      <w:r>
        <w:rPr>
          <w:spacing w:val="-9"/>
        </w:rPr>
        <w:t> </w:t>
      </w:r>
      <w:r>
        <w:rPr/>
        <w:t>compared</w:t>
      </w:r>
      <w:r>
        <w:rPr>
          <w:spacing w:val="-9"/>
        </w:rPr>
        <w:t> </w:t>
      </w:r>
      <w:r>
        <w:rPr/>
        <w:t>to</w:t>
      </w:r>
      <w:r>
        <w:rPr>
          <w:spacing w:val="-8"/>
        </w:rPr>
        <w:t> </w:t>
      </w:r>
      <w:r>
        <w:rPr/>
        <w:t>60%</w:t>
      </w:r>
      <w:r>
        <w:rPr>
          <w:spacing w:val="-7"/>
        </w:rPr>
        <w:t> </w:t>
      </w:r>
      <w:r>
        <w:rPr/>
        <w:t>of</w:t>
      </w:r>
      <w:r>
        <w:rPr>
          <w:spacing w:val="-9"/>
        </w:rPr>
        <w:t> </w:t>
      </w:r>
      <w:r>
        <w:rPr/>
        <w:t>heterosexual</w:t>
      </w:r>
      <w:r>
        <w:rPr>
          <w:spacing w:val="-9"/>
        </w:rPr>
        <w:t> </w:t>
      </w:r>
      <w:r>
        <w:rPr/>
        <w:t>and</w:t>
      </w:r>
      <w:r>
        <w:rPr>
          <w:spacing w:val="-8"/>
        </w:rPr>
        <w:t> </w:t>
      </w:r>
      <w:r>
        <w:rPr/>
        <w:t>cisgender</w:t>
      </w:r>
      <w:r>
        <w:rPr>
          <w:spacing w:val="-9"/>
        </w:rPr>
        <w:t> </w:t>
      </w:r>
      <w:r>
        <w:rPr/>
        <w:t>youth.</w:t>
      </w:r>
      <w:r>
        <w:rPr>
          <w:vertAlign w:val="superscript"/>
        </w:rPr>
        <w:t>27</w:t>
      </w:r>
      <w:r>
        <w:rPr>
          <w:spacing w:val="-7"/>
          <w:vertAlign w:val="baseline"/>
        </w:rPr>
        <w:t> </w:t>
      </w:r>
      <w:r>
        <w:rPr>
          <w:vertAlign w:val="baseline"/>
        </w:rPr>
        <w:t>Furthermore,</w:t>
      </w:r>
      <w:r>
        <w:rPr>
          <w:spacing w:val="-9"/>
          <w:vertAlign w:val="baseline"/>
        </w:rPr>
        <w:t> </w:t>
      </w:r>
      <w:r>
        <w:rPr>
          <w:vertAlign w:val="baseline"/>
        </w:rPr>
        <w:t>only</w:t>
      </w:r>
      <w:r>
        <w:rPr>
          <w:spacing w:val="-9"/>
          <w:vertAlign w:val="baseline"/>
        </w:rPr>
        <w:t> </w:t>
      </w:r>
      <w:r>
        <w:rPr>
          <w:vertAlign w:val="baseline"/>
        </w:rPr>
        <w:t>11%</w:t>
      </w:r>
      <w:r>
        <w:rPr>
          <w:spacing w:val="-9"/>
          <w:vertAlign w:val="baseline"/>
        </w:rPr>
        <w:t> </w:t>
      </w:r>
      <w:r>
        <w:rPr>
          <w:vertAlign w:val="baseline"/>
        </w:rPr>
        <w:t>of bisexual</w:t>
      </w:r>
      <w:r>
        <w:rPr>
          <w:spacing w:val="-13"/>
          <w:vertAlign w:val="baseline"/>
        </w:rPr>
        <w:t> </w:t>
      </w:r>
      <w:r>
        <w:rPr>
          <w:vertAlign w:val="baseline"/>
        </w:rPr>
        <w:t>high</w:t>
      </w:r>
      <w:r>
        <w:rPr>
          <w:spacing w:val="-13"/>
          <w:vertAlign w:val="baseline"/>
        </w:rPr>
        <w:t> </w:t>
      </w:r>
      <w:r>
        <w:rPr>
          <w:vertAlign w:val="baseline"/>
        </w:rPr>
        <w:t>school</w:t>
      </w:r>
      <w:r>
        <w:rPr>
          <w:spacing w:val="-13"/>
          <w:vertAlign w:val="baseline"/>
        </w:rPr>
        <w:t> </w:t>
      </w:r>
      <w:r>
        <w:rPr>
          <w:vertAlign w:val="baseline"/>
        </w:rPr>
        <w:t>boys</w:t>
      </w:r>
      <w:r>
        <w:rPr>
          <w:spacing w:val="-13"/>
          <w:vertAlign w:val="baseline"/>
        </w:rPr>
        <w:t> </w:t>
      </w:r>
      <w:r>
        <w:rPr>
          <w:vertAlign w:val="baseline"/>
        </w:rPr>
        <w:t>who</w:t>
      </w:r>
      <w:r>
        <w:rPr>
          <w:spacing w:val="-13"/>
          <w:vertAlign w:val="baseline"/>
        </w:rPr>
        <w:t> </w:t>
      </w:r>
      <w:r>
        <w:rPr>
          <w:vertAlign w:val="baseline"/>
        </w:rPr>
        <w:t>had</w:t>
      </w:r>
      <w:r>
        <w:rPr>
          <w:spacing w:val="-13"/>
          <w:vertAlign w:val="baseline"/>
        </w:rPr>
        <w:t> </w:t>
      </w:r>
      <w:r>
        <w:rPr>
          <w:vertAlign w:val="baseline"/>
        </w:rPr>
        <w:t>a</w:t>
      </w:r>
      <w:r>
        <w:rPr>
          <w:spacing w:val="-13"/>
          <w:vertAlign w:val="baseline"/>
        </w:rPr>
        <w:t> </w:t>
      </w:r>
      <w:r>
        <w:rPr>
          <w:vertAlign w:val="baseline"/>
        </w:rPr>
        <w:t>same-sex</w:t>
      </w:r>
      <w:r>
        <w:rPr>
          <w:spacing w:val="-13"/>
          <w:vertAlign w:val="baseline"/>
        </w:rPr>
        <w:t> </w:t>
      </w:r>
      <w:r>
        <w:rPr>
          <w:vertAlign w:val="baseline"/>
        </w:rPr>
        <w:t>partner</w:t>
      </w:r>
      <w:r>
        <w:rPr>
          <w:spacing w:val="-12"/>
          <w:vertAlign w:val="baseline"/>
        </w:rPr>
        <w:t> </w:t>
      </w:r>
      <w:r>
        <w:rPr>
          <w:vertAlign w:val="baseline"/>
        </w:rPr>
        <w:t>used</w:t>
      </w:r>
      <w:r>
        <w:rPr>
          <w:spacing w:val="-13"/>
          <w:vertAlign w:val="baseline"/>
        </w:rPr>
        <w:t> </w:t>
      </w:r>
      <w:r>
        <w:rPr>
          <w:vertAlign w:val="baseline"/>
        </w:rPr>
        <w:t>a</w:t>
      </w:r>
      <w:r>
        <w:rPr>
          <w:spacing w:val="-13"/>
          <w:vertAlign w:val="baseline"/>
        </w:rPr>
        <w:t> </w:t>
      </w:r>
      <w:r>
        <w:rPr>
          <w:vertAlign w:val="baseline"/>
        </w:rPr>
        <w:t>condom</w:t>
      </w:r>
      <w:r>
        <w:rPr>
          <w:spacing w:val="-13"/>
          <w:vertAlign w:val="baseline"/>
        </w:rPr>
        <w:t> </w:t>
      </w:r>
      <w:r>
        <w:rPr>
          <w:vertAlign w:val="baseline"/>
        </w:rPr>
        <w:t>during</w:t>
      </w:r>
      <w:r>
        <w:rPr>
          <w:spacing w:val="-13"/>
          <w:vertAlign w:val="baseline"/>
        </w:rPr>
        <w:t> </w:t>
      </w:r>
      <w:r>
        <w:rPr>
          <w:vertAlign w:val="baseline"/>
        </w:rPr>
        <w:t>their</w:t>
      </w:r>
      <w:r>
        <w:rPr>
          <w:spacing w:val="-13"/>
          <w:vertAlign w:val="baseline"/>
        </w:rPr>
        <w:t> </w:t>
      </w:r>
      <w:r>
        <w:rPr>
          <w:vertAlign w:val="baseline"/>
        </w:rPr>
        <w:t>last</w:t>
      </w:r>
      <w:r>
        <w:rPr>
          <w:spacing w:val="-13"/>
          <w:vertAlign w:val="baseline"/>
        </w:rPr>
        <w:t> </w:t>
      </w:r>
      <w:r>
        <w:rPr>
          <w:vertAlign w:val="baseline"/>
        </w:rPr>
        <w:t>sexual</w:t>
      </w:r>
      <w:r>
        <w:rPr>
          <w:spacing w:val="-13"/>
          <w:vertAlign w:val="baseline"/>
        </w:rPr>
        <w:t> </w:t>
      </w:r>
      <w:r>
        <w:rPr>
          <w:vertAlign w:val="baseline"/>
        </w:rPr>
        <w:t>intercourse.</w:t>
      </w:r>
      <w:hyperlink w:history="true" w:anchor="_bookmark271">
        <w:r>
          <w:rPr>
            <w:vertAlign w:val="superscript"/>
          </w:rPr>
          <w:t>28</w:t>
        </w:r>
      </w:hyperlink>
    </w:p>
    <w:p>
      <w:pPr>
        <w:spacing w:after="0" w:line="276" w:lineRule="auto"/>
        <w:jc w:val="both"/>
        <w:sectPr>
          <w:pgSz w:w="12240" w:h="15840"/>
          <w:pgMar w:header="763" w:footer="1339" w:top="1180" w:bottom="1560" w:left="1080" w:right="1240"/>
        </w:sectPr>
      </w:pPr>
    </w:p>
    <w:p>
      <w:pPr>
        <w:pStyle w:val="BodyText"/>
        <w:spacing w:line="276" w:lineRule="auto" w:before="69"/>
        <w:ind w:left="363" w:right="143"/>
        <w:jc w:val="both"/>
      </w:pPr>
      <w:r>
        <w:rPr/>
        <w:t>As discussed in the Commission’s previous FY 2023 MYRBS analysis, there has been a concerning decline in condom usage amongst youth in Massachusetts, with only 54.3% of youth in 2019 reporting using a condom during their last sexual intercourse - between 2019 and 2021 there was only a 4% increase in condom usage amongst Massachusetts youth.</w:t>
      </w:r>
    </w:p>
    <w:p>
      <w:pPr>
        <w:pStyle w:val="BodyText"/>
        <w:spacing w:line="276" w:lineRule="auto" w:before="239"/>
        <w:ind w:left="363" w:right="142"/>
        <w:jc w:val="both"/>
      </w:pPr>
      <w:r>
        <w:rPr/>
        <w:t>Besides</w:t>
      </w:r>
      <w:r>
        <w:rPr>
          <w:spacing w:val="-13"/>
        </w:rPr>
        <w:t> </w:t>
      </w:r>
      <w:r>
        <w:rPr/>
        <w:t>distribution,</w:t>
      </w:r>
      <w:r>
        <w:rPr>
          <w:spacing w:val="-12"/>
        </w:rPr>
        <w:t> </w:t>
      </w:r>
      <w:r>
        <w:rPr/>
        <w:t>as</w:t>
      </w:r>
      <w:r>
        <w:rPr>
          <w:spacing w:val="-13"/>
        </w:rPr>
        <w:t> </w:t>
      </w:r>
      <w:r>
        <w:rPr/>
        <w:t>discussed</w:t>
      </w:r>
      <w:r>
        <w:rPr>
          <w:spacing w:val="-12"/>
        </w:rPr>
        <w:t> </w:t>
      </w:r>
      <w:r>
        <w:rPr/>
        <w:t>above,</w:t>
      </w:r>
      <w:r>
        <w:rPr>
          <w:spacing w:val="-13"/>
        </w:rPr>
        <w:t> </w:t>
      </w:r>
      <w:r>
        <w:rPr/>
        <w:t>education</w:t>
      </w:r>
      <w:r>
        <w:rPr>
          <w:spacing w:val="-12"/>
        </w:rPr>
        <w:t> </w:t>
      </w:r>
      <w:r>
        <w:rPr/>
        <w:t>to</w:t>
      </w:r>
      <w:r>
        <w:rPr>
          <w:spacing w:val="-13"/>
        </w:rPr>
        <w:t> </w:t>
      </w:r>
      <w:r>
        <w:rPr/>
        <w:t>reduce</w:t>
      </w:r>
      <w:r>
        <w:rPr>
          <w:spacing w:val="-12"/>
        </w:rPr>
        <w:t> </w:t>
      </w:r>
      <w:r>
        <w:rPr/>
        <w:t>misinformation</w:t>
      </w:r>
      <w:r>
        <w:rPr>
          <w:spacing w:val="-12"/>
        </w:rPr>
        <w:t> </w:t>
      </w:r>
      <w:r>
        <w:rPr/>
        <w:t>about</w:t>
      </w:r>
      <w:r>
        <w:rPr>
          <w:spacing w:val="-13"/>
        </w:rPr>
        <w:t> </w:t>
      </w:r>
      <w:r>
        <w:rPr/>
        <w:t>condom</w:t>
      </w:r>
      <w:r>
        <w:rPr>
          <w:spacing w:val="-12"/>
        </w:rPr>
        <w:t> </w:t>
      </w:r>
      <w:r>
        <w:rPr/>
        <w:t>usage</w:t>
      </w:r>
      <w:r>
        <w:rPr>
          <w:spacing w:val="-13"/>
        </w:rPr>
        <w:t> </w:t>
      </w:r>
      <w:r>
        <w:rPr/>
        <w:t>—</w:t>
      </w:r>
      <w:r>
        <w:rPr>
          <w:spacing w:val="-11"/>
        </w:rPr>
        <w:t> </w:t>
      </w:r>
      <w:r>
        <w:rPr/>
        <w:t>such as loss of pleasurable sensation and misconceptions that someone has an STI if they ask to use one — should</w:t>
      </w:r>
      <w:r>
        <w:rPr>
          <w:spacing w:val="-6"/>
        </w:rPr>
        <w:t> </w:t>
      </w:r>
      <w:r>
        <w:rPr/>
        <w:t>be</w:t>
      </w:r>
      <w:r>
        <w:rPr>
          <w:spacing w:val="-4"/>
        </w:rPr>
        <w:t> </w:t>
      </w:r>
      <w:r>
        <w:rPr/>
        <w:t>provided</w:t>
      </w:r>
      <w:r>
        <w:rPr>
          <w:spacing w:val="-6"/>
        </w:rPr>
        <w:t> </w:t>
      </w:r>
      <w:r>
        <w:rPr/>
        <w:t>as</w:t>
      </w:r>
      <w:r>
        <w:rPr>
          <w:spacing w:val="-4"/>
        </w:rPr>
        <w:t> </w:t>
      </w:r>
      <w:r>
        <w:rPr/>
        <w:t>part</w:t>
      </w:r>
      <w:r>
        <w:rPr>
          <w:spacing w:val="-3"/>
        </w:rPr>
        <w:t> </w:t>
      </w:r>
      <w:r>
        <w:rPr/>
        <w:t>of</w:t>
      </w:r>
      <w:r>
        <w:rPr>
          <w:spacing w:val="-5"/>
        </w:rPr>
        <w:t> </w:t>
      </w:r>
      <w:r>
        <w:rPr/>
        <w:t>sexual</w:t>
      </w:r>
      <w:r>
        <w:rPr>
          <w:spacing w:val="-4"/>
        </w:rPr>
        <w:t> </w:t>
      </w:r>
      <w:r>
        <w:rPr/>
        <w:t>health</w:t>
      </w:r>
      <w:r>
        <w:rPr>
          <w:spacing w:val="-4"/>
        </w:rPr>
        <w:t> </w:t>
      </w:r>
      <w:r>
        <w:rPr/>
        <w:t>education,</w:t>
      </w:r>
      <w:r>
        <w:rPr>
          <w:spacing w:val="-4"/>
        </w:rPr>
        <w:t> </w:t>
      </w:r>
      <w:r>
        <w:rPr/>
        <w:t>as</w:t>
      </w:r>
      <w:r>
        <w:rPr>
          <w:spacing w:val="-5"/>
        </w:rPr>
        <w:t> </w:t>
      </w:r>
      <w:r>
        <w:rPr/>
        <w:t>should</w:t>
      </w:r>
      <w:r>
        <w:rPr>
          <w:spacing w:val="-4"/>
        </w:rPr>
        <w:t> </w:t>
      </w:r>
      <w:r>
        <w:rPr/>
        <w:t>lessons</w:t>
      </w:r>
      <w:r>
        <w:rPr>
          <w:spacing w:val="-5"/>
        </w:rPr>
        <w:t> </w:t>
      </w:r>
      <w:r>
        <w:rPr/>
        <w:t>on</w:t>
      </w:r>
      <w:r>
        <w:rPr>
          <w:spacing w:val="-6"/>
        </w:rPr>
        <w:t> </w:t>
      </w:r>
      <w:r>
        <w:rPr/>
        <w:t>how</w:t>
      </w:r>
      <w:r>
        <w:rPr>
          <w:spacing w:val="-3"/>
        </w:rPr>
        <w:t> </w:t>
      </w:r>
      <w:r>
        <w:rPr/>
        <w:t>to</w:t>
      </w:r>
      <w:r>
        <w:rPr>
          <w:spacing w:val="-5"/>
        </w:rPr>
        <w:t> </w:t>
      </w:r>
      <w:r>
        <w:rPr/>
        <w:t>negotiate</w:t>
      </w:r>
      <w:r>
        <w:rPr>
          <w:spacing w:val="-3"/>
        </w:rPr>
        <w:t> </w:t>
      </w:r>
      <w:r>
        <w:rPr/>
        <w:t>condom</w:t>
      </w:r>
      <w:r>
        <w:rPr>
          <w:spacing w:val="-4"/>
        </w:rPr>
        <w:t> </w:t>
      </w:r>
      <w:r>
        <w:rPr/>
        <w:t>use and risk factors involved; internal condoms are 95% effective at preventing STIs and pregnancy if used correctly, but end up being 75-95% correctly because of tears, spillage, placement, or other issues</w:t>
      </w:r>
      <w:hyperlink w:history="true" w:anchor="_bookmark271">
        <w:r>
          <w:rPr/>
          <w:t>,</w:t>
        </w:r>
        <w:r>
          <w:rPr>
            <w:vertAlign w:val="superscript"/>
          </w:rPr>
          <w:t>29</w:t>
        </w:r>
      </w:hyperlink>
      <w:r>
        <w:rPr>
          <w:vertAlign w:val="baseline"/>
        </w:rPr>
        <w:t> whereas external condoms are often noted as 98% effective at preventing pregnancy but, in reality, are only about 87% effective due to improper use</w:t>
      </w:r>
      <w:hyperlink w:history="true" w:anchor="_bookmark272">
        <w:r>
          <w:rPr>
            <w:vertAlign w:val="baseline"/>
          </w:rPr>
          <w:t>.</w:t>
        </w:r>
        <w:r>
          <w:rPr>
            <w:vertAlign w:val="superscript"/>
          </w:rPr>
          <w:t>30</w:t>
        </w:r>
      </w:hyperlink>
    </w:p>
    <w:p>
      <w:pPr>
        <w:pStyle w:val="BodyText"/>
        <w:spacing w:line="276" w:lineRule="auto" w:before="241"/>
        <w:ind w:left="363" w:right="142"/>
        <w:jc w:val="both"/>
      </w:pPr>
      <w:r>
        <w:rPr/>
        <w:t>Additionally, as discussed in other sections of this report, LGBTQ youth may engage in types of sex work for a variety of different reasons. LGBTQ youth face higher rates of homelessness, poverty, involvement with the criminal legal system, and substance abuse due to societal factors influenced by stigma, discrimination,</w:t>
      </w:r>
      <w:r>
        <w:rPr>
          <w:spacing w:val="-7"/>
        </w:rPr>
        <w:t> </w:t>
      </w:r>
      <w:r>
        <w:rPr/>
        <w:t>and</w:t>
      </w:r>
      <w:r>
        <w:rPr>
          <w:spacing w:val="-8"/>
        </w:rPr>
        <w:t> </w:t>
      </w:r>
      <w:r>
        <w:rPr/>
        <w:t>racism.</w:t>
      </w:r>
      <w:r>
        <w:rPr>
          <w:spacing w:val="-8"/>
        </w:rPr>
        <w:t> </w:t>
      </w:r>
      <w:r>
        <w:rPr/>
        <w:t>However,</w:t>
      </w:r>
      <w:r>
        <w:rPr>
          <w:spacing w:val="-7"/>
        </w:rPr>
        <w:t> </w:t>
      </w:r>
      <w:r>
        <w:rPr/>
        <w:t>as</w:t>
      </w:r>
      <w:r>
        <w:rPr>
          <w:spacing w:val="-7"/>
        </w:rPr>
        <w:t> </w:t>
      </w:r>
      <w:r>
        <w:rPr/>
        <w:t>a</w:t>
      </w:r>
      <w:r>
        <w:rPr>
          <w:spacing w:val="-7"/>
        </w:rPr>
        <w:t> </w:t>
      </w:r>
      <w:r>
        <w:rPr/>
        <w:t>result,</w:t>
      </w:r>
      <w:r>
        <w:rPr>
          <w:spacing w:val="-6"/>
        </w:rPr>
        <w:t> </w:t>
      </w:r>
      <w:r>
        <w:rPr/>
        <w:t>LGBTQ</w:t>
      </w:r>
      <w:r>
        <w:rPr>
          <w:spacing w:val="-8"/>
        </w:rPr>
        <w:t> </w:t>
      </w:r>
      <w:r>
        <w:rPr/>
        <w:t>are</w:t>
      </w:r>
      <w:r>
        <w:rPr>
          <w:spacing w:val="-7"/>
        </w:rPr>
        <w:t> </w:t>
      </w:r>
      <w:r>
        <w:rPr/>
        <w:t>three</w:t>
      </w:r>
      <w:r>
        <w:rPr>
          <w:spacing w:val="-7"/>
        </w:rPr>
        <w:t> </w:t>
      </w:r>
      <w:r>
        <w:rPr/>
        <w:t>times</w:t>
      </w:r>
      <w:r>
        <w:rPr>
          <w:spacing w:val="-6"/>
        </w:rPr>
        <w:t> </w:t>
      </w:r>
      <w:r>
        <w:rPr/>
        <w:t>more</w:t>
      </w:r>
      <w:r>
        <w:rPr>
          <w:spacing w:val="-8"/>
        </w:rPr>
        <w:t> </w:t>
      </w:r>
      <w:r>
        <w:rPr/>
        <w:t>likely</w:t>
      </w:r>
      <w:r>
        <w:rPr>
          <w:spacing w:val="-8"/>
        </w:rPr>
        <w:t> </w:t>
      </w:r>
      <w:r>
        <w:rPr/>
        <w:t>to</w:t>
      </w:r>
      <w:r>
        <w:rPr>
          <w:spacing w:val="-6"/>
        </w:rPr>
        <w:t> </w:t>
      </w:r>
      <w:r>
        <w:rPr/>
        <w:t>engage</w:t>
      </w:r>
      <w:r>
        <w:rPr>
          <w:spacing w:val="-8"/>
        </w:rPr>
        <w:t> </w:t>
      </w:r>
      <w:r>
        <w:rPr/>
        <w:t>in</w:t>
      </w:r>
      <w:r>
        <w:rPr>
          <w:spacing w:val="-8"/>
        </w:rPr>
        <w:t> </w:t>
      </w:r>
      <w:r>
        <w:rPr/>
        <w:t>sex</w:t>
      </w:r>
      <w:r>
        <w:rPr>
          <w:spacing w:val="-8"/>
        </w:rPr>
        <w:t> </w:t>
      </w:r>
      <w:r>
        <w:rPr/>
        <w:t>work, and may exchange sexual acts for food, housing, or other needs.</w:t>
      </w:r>
      <w:r>
        <w:rPr>
          <w:vertAlign w:val="superscript"/>
        </w:rPr>
        <w:t>31</w:t>
      </w:r>
      <w:r>
        <w:rPr>
          <w:vertAlign w:val="baseline"/>
        </w:rPr>
        <w:t> Not all sex work involves sexual intercourse, though, and LGBTQ youth may also engage in online sex work like OnlyFans or selling nude pictures</w:t>
      </w:r>
      <w:r>
        <w:rPr>
          <w:spacing w:val="-6"/>
          <w:vertAlign w:val="baseline"/>
        </w:rPr>
        <w:t> </w:t>
      </w:r>
      <w:r>
        <w:rPr>
          <w:vertAlign w:val="baseline"/>
        </w:rPr>
        <w:t>for</w:t>
      </w:r>
      <w:r>
        <w:rPr>
          <w:spacing w:val="-5"/>
          <w:vertAlign w:val="baseline"/>
        </w:rPr>
        <w:t> </w:t>
      </w:r>
      <w:r>
        <w:rPr>
          <w:vertAlign w:val="baseline"/>
        </w:rPr>
        <w:t>income;</w:t>
      </w:r>
      <w:r>
        <w:rPr>
          <w:spacing w:val="-5"/>
          <w:vertAlign w:val="baseline"/>
        </w:rPr>
        <w:t> </w:t>
      </w:r>
      <w:r>
        <w:rPr>
          <w:vertAlign w:val="baseline"/>
        </w:rPr>
        <w:t>as</w:t>
      </w:r>
      <w:r>
        <w:rPr>
          <w:spacing w:val="-5"/>
          <w:vertAlign w:val="baseline"/>
        </w:rPr>
        <w:t> </w:t>
      </w:r>
      <w:r>
        <w:rPr>
          <w:vertAlign w:val="baseline"/>
        </w:rPr>
        <w:t>such,</w:t>
      </w:r>
      <w:r>
        <w:rPr>
          <w:spacing w:val="-5"/>
          <w:vertAlign w:val="baseline"/>
        </w:rPr>
        <w:t> </w:t>
      </w:r>
      <w:r>
        <w:rPr>
          <w:vertAlign w:val="baseline"/>
        </w:rPr>
        <w:t>sexual</w:t>
      </w:r>
      <w:r>
        <w:rPr>
          <w:spacing w:val="-5"/>
          <w:vertAlign w:val="baseline"/>
        </w:rPr>
        <w:t> </w:t>
      </w:r>
      <w:r>
        <w:rPr>
          <w:vertAlign w:val="baseline"/>
        </w:rPr>
        <w:t>health</w:t>
      </w:r>
      <w:r>
        <w:rPr>
          <w:spacing w:val="-5"/>
          <w:vertAlign w:val="baseline"/>
        </w:rPr>
        <w:t> </w:t>
      </w:r>
      <w:r>
        <w:rPr>
          <w:vertAlign w:val="baseline"/>
        </w:rPr>
        <w:t>education</w:t>
      </w:r>
      <w:r>
        <w:rPr>
          <w:spacing w:val="-5"/>
          <w:vertAlign w:val="baseline"/>
        </w:rPr>
        <w:t> </w:t>
      </w:r>
      <w:r>
        <w:rPr>
          <w:vertAlign w:val="baseline"/>
        </w:rPr>
        <w:t>curriculum</w:t>
      </w:r>
      <w:r>
        <w:rPr>
          <w:spacing w:val="-4"/>
          <w:vertAlign w:val="baseline"/>
        </w:rPr>
        <w:t> </w:t>
      </w:r>
      <w:r>
        <w:rPr>
          <w:vertAlign w:val="baseline"/>
        </w:rPr>
        <w:t>should</w:t>
      </w:r>
      <w:r>
        <w:rPr>
          <w:spacing w:val="-5"/>
          <w:vertAlign w:val="baseline"/>
        </w:rPr>
        <w:t> </w:t>
      </w:r>
      <w:r>
        <w:rPr>
          <w:vertAlign w:val="baseline"/>
        </w:rPr>
        <w:t>be</w:t>
      </w:r>
      <w:r>
        <w:rPr>
          <w:spacing w:val="-5"/>
          <w:vertAlign w:val="baseline"/>
        </w:rPr>
        <w:t> </w:t>
      </w:r>
      <w:r>
        <w:rPr>
          <w:vertAlign w:val="baseline"/>
        </w:rPr>
        <w:t>sure</w:t>
      </w:r>
      <w:r>
        <w:rPr>
          <w:spacing w:val="-5"/>
          <w:vertAlign w:val="baseline"/>
        </w:rPr>
        <w:t> </w:t>
      </w:r>
      <w:r>
        <w:rPr>
          <w:vertAlign w:val="baseline"/>
        </w:rPr>
        <w:t>to</w:t>
      </w:r>
      <w:r>
        <w:rPr>
          <w:spacing w:val="-5"/>
          <w:vertAlign w:val="baseline"/>
        </w:rPr>
        <w:t> </w:t>
      </w:r>
      <w:r>
        <w:rPr>
          <w:vertAlign w:val="baseline"/>
        </w:rPr>
        <w:t>cover</w:t>
      </w:r>
      <w:r>
        <w:rPr>
          <w:spacing w:val="-5"/>
          <w:vertAlign w:val="baseline"/>
        </w:rPr>
        <w:t> </w:t>
      </w:r>
      <w:r>
        <w:rPr>
          <w:vertAlign w:val="baseline"/>
        </w:rPr>
        <w:t>potential</w:t>
      </w:r>
      <w:r>
        <w:rPr>
          <w:spacing w:val="-4"/>
          <w:vertAlign w:val="baseline"/>
        </w:rPr>
        <w:t> </w:t>
      </w:r>
      <w:r>
        <w:rPr>
          <w:vertAlign w:val="baseline"/>
        </w:rPr>
        <w:t>privacy risks and safety concerns that may occur from engaging in online relationships.</w:t>
      </w:r>
      <w:r>
        <w:rPr>
          <w:vertAlign w:val="superscript"/>
        </w:rPr>
        <w:t>32</w:t>
      </w:r>
      <w:r>
        <w:rPr>
          <w:vertAlign w:val="baseline"/>
        </w:rPr>
        <w:t> Unfortunately, LGBTQ youth engaging in sex work are more likely to avoid purchasing contraceptive devices, as possession of condoms</w:t>
      </w:r>
      <w:r>
        <w:rPr>
          <w:spacing w:val="-10"/>
          <w:vertAlign w:val="baseline"/>
        </w:rPr>
        <w:t> </w:t>
      </w:r>
      <w:r>
        <w:rPr>
          <w:vertAlign w:val="baseline"/>
        </w:rPr>
        <w:t>-</w:t>
      </w:r>
      <w:r>
        <w:rPr>
          <w:spacing w:val="-9"/>
          <w:vertAlign w:val="baseline"/>
        </w:rPr>
        <w:t> </w:t>
      </w:r>
      <w:r>
        <w:rPr>
          <w:vertAlign w:val="baseline"/>
        </w:rPr>
        <w:t>regardless</w:t>
      </w:r>
      <w:r>
        <w:rPr>
          <w:spacing w:val="-10"/>
          <w:vertAlign w:val="baseline"/>
        </w:rPr>
        <w:t> </w:t>
      </w:r>
      <w:r>
        <w:rPr>
          <w:vertAlign w:val="baseline"/>
        </w:rPr>
        <w:t>of</w:t>
      </w:r>
      <w:r>
        <w:rPr>
          <w:spacing w:val="-10"/>
          <w:vertAlign w:val="baseline"/>
        </w:rPr>
        <w:t> </w:t>
      </w:r>
      <w:r>
        <w:rPr>
          <w:vertAlign w:val="baseline"/>
        </w:rPr>
        <w:t>whether</w:t>
      </w:r>
      <w:r>
        <w:rPr>
          <w:spacing w:val="-9"/>
          <w:vertAlign w:val="baseline"/>
        </w:rPr>
        <w:t> </w:t>
      </w:r>
      <w:r>
        <w:rPr>
          <w:vertAlign w:val="baseline"/>
        </w:rPr>
        <w:t>an</w:t>
      </w:r>
      <w:r>
        <w:rPr>
          <w:spacing w:val="-9"/>
          <w:vertAlign w:val="baseline"/>
        </w:rPr>
        <w:t> </w:t>
      </w:r>
      <w:r>
        <w:rPr>
          <w:vertAlign w:val="baseline"/>
        </w:rPr>
        <w:t>individual</w:t>
      </w:r>
      <w:r>
        <w:rPr>
          <w:spacing w:val="-10"/>
          <w:vertAlign w:val="baseline"/>
        </w:rPr>
        <w:t> </w:t>
      </w:r>
      <w:r>
        <w:rPr>
          <w:vertAlign w:val="baseline"/>
        </w:rPr>
        <w:t>is</w:t>
      </w:r>
      <w:r>
        <w:rPr>
          <w:spacing w:val="-9"/>
          <w:vertAlign w:val="baseline"/>
        </w:rPr>
        <w:t> </w:t>
      </w:r>
      <w:r>
        <w:rPr>
          <w:vertAlign w:val="baseline"/>
        </w:rPr>
        <w:t>intending</w:t>
      </w:r>
      <w:r>
        <w:rPr>
          <w:spacing w:val="-9"/>
          <w:vertAlign w:val="baseline"/>
        </w:rPr>
        <w:t> </w:t>
      </w:r>
      <w:r>
        <w:rPr>
          <w:vertAlign w:val="baseline"/>
        </w:rPr>
        <w:t>to</w:t>
      </w:r>
      <w:r>
        <w:rPr>
          <w:spacing w:val="-8"/>
          <w:vertAlign w:val="baseline"/>
        </w:rPr>
        <w:t> </w:t>
      </w:r>
      <w:r>
        <w:rPr>
          <w:vertAlign w:val="baseline"/>
        </w:rPr>
        <w:t>engage</w:t>
      </w:r>
      <w:r>
        <w:rPr>
          <w:spacing w:val="-10"/>
          <w:vertAlign w:val="baseline"/>
        </w:rPr>
        <w:t> </w:t>
      </w:r>
      <w:r>
        <w:rPr>
          <w:vertAlign w:val="baseline"/>
        </w:rPr>
        <w:t>in</w:t>
      </w:r>
      <w:r>
        <w:rPr>
          <w:spacing w:val="-10"/>
          <w:vertAlign w:val="baseline"/>
        </w:rPr>
        <w:t> </w:t>
      </w:r>
      <w:r>
        <w:rPr>
          <w:vertAlign w:val="baseline"/>
        </w:rPr>
        <w:t>sex</w:t>
      </w:r>
      <w:r>
        <w:rPr>
          <w:spacing w:val="-11"/>
          <w:vertAlign w:val="baseline"/>
        </w:rPr>
        <w:t> </w:t>
      </w:r>
      <w:r>
        <w:rPr>
          <w:vertAlign w:val="baseline"/>
        </w:rPr>
        <w:t>work</w:t>
      </w:r>
      <w:r>
        <w:rPr>
          <w:spacing w:val="-10"/>
          <w:vertAlign w:val="baseline"/>
        </w:rPr>
        <w:t> </w:t>
      </w:r>
      <w:r>
        <w:rPr>
          <w:vertAlign w:val="baseline"/>
        </w:rPr>
        <w:t>at</w:t>
      </w:r>
      <w:r>
        <w:rPr>
          <w:spacing w:val="-9"/>
          <w:vertAlign w:val="baseline"/>
        </w:rPr>
        <w:t> </w:t>
      </w:r>
      <w:r>
        <w:rPr>
          <w:vertAlign w:val="baseline"/>
        </w:rPr>
        <w:t>that</w:t>
      </w:r>
      <w:r>
        <w:rPr>
          <w:spacing w:val="-9"/>
          <w:vertAlign w:val="baseline"/>
        </w:rPr>
        <w:t> </w:t>
      </w:r>
      <w:r>
        <w:rPr>
          <w:vertAlign w:val="baseline"/>
        </w:rPr>
        <w:t>time</w:t>
      </w:r>
      <w:r>
        <w:rPr>
          <w:spacing w:val="-8"/>
          <w:vertAlign w:val="baseline"/>
        </w:rPr>
        <w:t> </w:t>
      </w:r>
      <w:r>
        <w:rPr>
          <w:vertAlign w:val="baseline"/>
        </w:rPr>
        <w:t>-</w:t>
      </w:r>
      <w:r>
        <w:rPr>
          <w:spacing w:val="-10"/>
          <w:vertAlign w:val="baseline"/>
        </w:rPr>
        <w:t> </w:t>
      </w:r>
      <w:r>
        <w:rPr>
          <w:vertAlign w:val="baseline"/>
        </w:rPr>
        <w:t>can</w:t>
      </w:r>
      <w:r>
        <w:rPr>
          <w:spacing w:val="-9"/>
          <w:vertAlign w:val="baseline"/>
        </w:rPr>
        <w:t> </w:t>
      </w:r>
      <w:r>
        <w:rPr>
          <w:vertAlign w:val="baseline"/>
        </w:rPr>
        <w:t>be</w:t>
      </w:r>
      <w:r>
        <w:rPr>
          <w:spacing w:val="-9"/>
          <w:vertAlign w:val="baseline"/>
        </w:rPr>
        <w:t> </w:t>
      </w:r>
      <w:r>
        <w:rPr>
          <w:vertAlign w:val="baseline"/>
        </w:rPr>
        <w:t>used as proof of sex work, leading to disproportionate arrests of Black and brown LGBTQ youth, particularly trans women of color, undocumented, and homeless youth.</w:t>
      </w:r>
      <w:r>
        <w:rPr>
          <w:vertAlign w:val="superscript"/>
        </w:rPr>
        <w:t>33</w:t>
      </w:r>
    </w:p>
    <w:p>
      <w:pPr>
        <w:pStyle w:val="BodyText"/>
        <w:spacing w:line="276" w:lineRule="auto" w:before="239"/>
        <w:ind w:left="363" w:right="142"/>
        <w:jc w:val="both"/>
      </w:pPr>
      <w:r>
        <w:rPr/>
        <w:t>Overall, transgender and gender expansive youth may also avoid using contraceptive devices that may cause gender dysphoria, though contraception can also be used as a key facet of gender-affirming care.</w:t>
      </w:r>
      <w:r>
        <w:rPr>
          <w:vertAlign w:val="superscript"/>
        </w:rPr>
        <w:t>34</w:t>
      </w:r>
      <w:r>
        <w:rPr>
          <w:vertAlign w:val="baseline"/>
        </w:rPr>
        <w:t> Similarly,</w:t>
      </w:r>
      <w:r>
        <w:rPr>
          <w:spacing w:val="-5"/>
          <w:vertAlign w:val="baseline"/>
        </w:rPr>
        <w:t> </w:t>
      </w:r>
      <w:r>
        <w:rPr>
          <w:vertAlign w:val="baseline"/>
        </w:rPr>
        <w:t>contacting</w:t>
      </w:r>
      <w:r>
        <w:rPr>
          <w:spacing w:val="-6"/>
          <w:vertAlign w:val="baseline"/>
        </w:rPr>
        <w:t> </w:t>
      </w:r>
      <w:r>
        <w:rPr>
          <w:vertAlign w:val="baseline"/>
        </w:rPr>
        <w:t>a</w:t>
      </w:r>
      <w:r>
        <w:rPr>
          <w:spacing w:val="-5"/>
          <w:vertAlign w:val="baseline"/>
        </w:rPr>
        <w:t> </w:t>
      </w:r>
      <w:r>
        <w:rPr>
          <w:vertAlign w:val="baseline"/>
        </w:rPr>
        <w:t>medical</w:t>
      </w:r>
      <w:r>
        <w:rPr>
          <w:spacing w:val="-5"/>
          <w:vertAlign w:val="baseline"/>
        </w:rPr>
        <w:t> </w:t>
      </w:r>
      <w:r>
        <w:rPr>
          <w:vertAlign w:val="baseline"/>
        </w:rPr>
        <w:t>provider</w:t>
      </w:r>
      <w:r>
        <w:rPr>
          <w:spacing w:val="-5"/>
          <w:vertAlign w:val="baseline"/>
        </w:rPr>
        <w:t> </w:t>
      </w:r>
      <w:r>
        <w:rPr>
          <w:vertAlign w:val="baseline"/>
        </w:rPr>
        <w:t>for</w:t>
      </w:r>
      <w:r>
        <w:rPr>
          <w:spacing w:val="-5"/>
          <w:vertAlign w:val="baseline"/>
        </w:rPr>
        <w:t> </w:t>
      </w:r>
      <w:r>
        <w:rPr>
          <w:vertAlign w:val="baseline"/>
        </w:rPr>
        <w:t>an</w:t>
      </w:r>
      <w:r>
        <w:rPr>
          <w:spacing w:val="-6"/>
          <w:vertAlign w:val="baseline"/>
        </w:rPr>
        <w:t> </w:t>
      </w:r>
      <w:r>
        <w:rPr>
          <w:vertAlign w:val="baseline"/>
        </w:rPr>
        <w:t>IUD</w:t>
      </w:r>
      <w:r>
        <w:rPr>
          <w:spacing w:val="-5"/>
          <w:vertAlign w:val="baseline"/>
        </w:rPr>
        <w:t> </w:t>
      </w:r>
      <w:r>
        <w:rPr>
          <w:vertAlign w:val="baseline"/>
        </w:rPr>
        <w:t>insertion</w:t>
      </w:r>
      <w:r>
        <w:rPr>
          <w:spacing w:val="-6"/>
          <w:vertAlign w:val="baseline"/>
        </w:rPr>
        <w:t> </w:t>
      </w:r>
      <w:r>
        <w:rPr>
          <w:vertAlign w:val="baseline"/>
        </w:rPr>
        <w:t>or</w:t>
      </w:r>
      <w:r>
        <w:rPr>
          <w:spacing w:val="-5"/>
          <w:vertAlign w:val="baseline"/>
        </w:rPr>
        <w:t> </w:t>
      </w:r>
      <w:r>
        <w:rPr>
          <w:vertAlign w:val="baseline"/>
        </w:rPr>
        <w:t>a</w:t>
      </w:r>
      <w:r>
        <w:rPr>
          <w:spacing w:val="-5"/>
          <w:vertAlign w:val="baseline"/>
        </w:rPr>
        <w:t> </w:t>
      </w:r>
      <w:r>
        <w:rPr>
          <w:vertAlign w:val="baseline"/>
        </w:rPr>
        <w:t>birth</w:t>
      </w:r>
      <w:r>
        <w:rPr>
          <w:spacing w:val="-6"/>
          <w:vertAlign w:val="baseline"/>
        </w:rPr>
        <w:t> </w:t>
      </w:r>
      <w:r>
        <w:rPr>
          <w:vertAlign w:val="baseline"/>
        </w:rPr>
        <w:t>control</w:t>
      </w:r>
      <w:r>
        <w:rPr>
          <w:spacing w:val="-5"/>
          <w:vertAlign w:val="baseline"/>
        </w:rPr>
        <w:t> </w:t>
      </w:r>
      <w:r>
        <w:rPr>
          <w:vertAlign w:val="baseline"/>
        </w:rPr>
        <w:t>injection,</w:t>
      </w:r>
      <w:r>
        <w:rPr>
          <w:spacing w:val="-5"/>
          <w:vertAlign w:val="baseline"/>
        </w:rPr>
        <w:t> </w:t>
      </w:r>
      <w:r>
        <w:rPr>
          <w:vertAlign w:val="baseline"/>
        </w:rPr>
        <w:t>or</w:t>
      </w:r>
      <w:r>
        <w:rPr>
          <w:spacing w:val="-5"/>
          <w:vertAlign w:val="baseline"/>
        </w:rPr>
        <w:t> </w:t>
      </w:r>
      <w:r>
        <w:rPr>
          <w:vertAlign w:val="baseline"/>
        </w:rPr>
        <w:t>picking</w:t>
      </w:r>
      <w:r>
        <w:rPr>
          <w:spacing w:val="-6"/>
          <w:vertAlign w:val="baseline"/>
        </w:rPr>
        <w:t> </w:t>
      </w:r>
      <w:r>
        <w:rPr>
          <w:vertAlign w:val="baseline"/>
        </w:rPr>
        <w:t>up</w:t>
      </w:r>
      <w:r>
        <w:rPr>
          <w:spacing w:val="-6"/>
          <w:vertAlign w:val="baseline"/>
        </w:rPr>
        <w:t> </w:t>
      </w:r>
      <w:r>
        <w:rPr>
          <w:vertAlign w:val="baseline"/>
        </w:rPr>
        <w:t>birth control</w:t>
      </w:r>
      <w:r>
        <w:rPr>
          <w:spacing w:val="-8"/>
          <w:vertAlign w:val="baseline"/>
        </w:rPr>
        <w:t> </w:t>
      </w:r>
      <w:r>
        <w:rPr>
          <w:vertAlign w:val="baseline"/>
        </w:rPr>
        <w:t>or</w:t>
      </w:r>
      <w:r>
        <w:rPr>
          <w:spacing w:val="-8"/>
          <w:vertAlign w:val="baseline"/>
        </w:rPr>
        <w:t> </w:t>
      </w:r>
      <w:r>
        <w:rPr>
          <w:vertAlign w:val="baseline"/>
        </w:rPr>
        <w:t>Plan</w:t>
      </w:r>
      <w:r>
        <w:rPr>
          <w:spacing w:val="-8"/>
          <w:vertAlign w:val="baseline"/>
        </w:rPr>
        <w:t> </w:t>
      </w:r>
      <w:r>
        <w:rPr>
          <w:vertAlign w:val="baseline"/>
        </w:rPr>
        <w:t>B</w:t>
      </w:r>
      <w:r>
        <w:rPr>
          <w:spacing w:val="-7"/>
          <w:vertAlign w:val="baseline"/>
        </w:rPr>
        <w:t> </w:t>
      </w:r>
      <w:r>
        <w:rPr>
          <w:vertAlign w:val="baseline"/>
        </w:rPr>
        <w:t>at</w:t>
      </w:r>
      <w:r>
        <w:rPr>
          <w:spacing w:val="-7"/>
          <w:vertAlign w:val="baseline"/>
        </w:rPr>
        <w:t> </w:t>
      </w:r>
      <w:r>
        <w:rPr>
          <w:vertAlign w:val="baseline"/>
        </w:rPr>
        <w:t>a</w:t>
      </w:r>
      <w:r>
        <w:rPr>
          <w:spacing w:val="-6"/>
          <w:vertAlign w:val="baseline"/>
        </w:rPr>
        <w:t> </w:t>
      </w:r>
      <w:r>
        <w:rPr>
          <w:vertAlign w:val="baseline"/>
        </w:rPr>
        <w:t>pharmacy,</w:t>
      </w:r>
      <w:r>
        <w:rPr>
          <w:spacing w:val="-6"/>
          <w:vertAlign w:val="baseline"/>
        </w:rPr>
        <w:t> </w:t>
      </w:r>
      <w:r>
        <w:rPr>
          <w:vertAlign w:val="baseline"/>
        </w:rPr>
        <w:t>can</w:t>
      </w:r>
      <w:r>
        <w:rPr>
          <w:spacing w:val="-8"/>
          <w:vertAlign w:val="baseline"/>
        </w:rPr>
        <w:t> </w:t>
      </w:r>
      <w:r>
        <w:rPr>
          <w:vertAlign w:val="baseline"/>
        </w:rPr>
        <w:t>often</w:t>
      </w:r>
      <w:r>
        <w:rPr>
          <w:spacing w:val="-8"/>
          <w:vertAlign w:val="baseline"/>
        </w:rPr>
        <w:t> </w:t>
      </w:r>
      <w:r>
        <w:rPr>
          <w:vertAlign w:val="baseline"/>
        </w:rPr>
        <w:t>be</w:t>
      </w:r>
      <w:r>
        <w:rPr>
          <w:spacing w:val="-7"/>
          <w:vertAlign w:val="baseline"/>
        </w:rPr>
        <w:t> </w:t>
      </w:r>
      <w:r>
        <w:rPr>
          <w:vertAlign w:val="baseline"/>
        </w:rPr>
        <w:t>complicated</w:t>
      </w:r>
      <w:r>
        <w:rPr>
          <w:spacing w:val="-7"/>
          <w:vertAlign w:val="baseline"/>
        </w:rPr>
        <w:t> </w:t>
      </w:r>
      <w:r>
        <w:rPr>
          <w:vertAlign w:val="baseline"/>
        </w:rPr>
        <w:t>and</w:t>
      </w:r>
      <w:r>
        <w:rPr>
          <w:spacing w:val="-7"/>
          <w:vertAlign w:val="baseline"/>
        </w:rPr>
        <w:t> </w:t>
      </w:r>
      <w:r>
        <w:rPr>
          <w:vertAlign w:val="baseline"/>
        </w:rPr>
        <w:t>inaccessible</w:t>
      </w:r>
      <w:r>
        <w:rPr>
          <w:spacing w:val="-7"/>
          <w:vertAlign w:val="baseline"/>
        </w:rPr>
        <w:t> </w:t>
      </w:r>
      <w:r>
        <w:rPr>
          <w:vertAlign w:val="baseline"/>
        </w:rPr>
        <w:t>choices</w:t>
      </w:r>
      <w:r>
        <w:rPr>
          <w:spacing w:val="-7"/>
          <w:vertAlign w:val="baseline"/>
        </w:rPr>
        <w:t> </w:t>
      </w:r>
      <w:r>
        <w:rPr>
          <w:vertAlign w:val="baseline"/>
        </w:rPr>
        <w:t>for</w:t>
      </w:r>
      <w:r>
        <w:rPr>
          <w:spacing w:val="-8"/>
          <w:vertAlign w:val="baseline"/>
        </w:rPr>
        <w:t> </w:t>
      </w:r>
      <w:r>
        <w:rPr>
          <w:vertAlign w:val="baseline"/>
        </w:rPr>
        <w:t>individuals</w:t>
      </w:r>
      <w:r>
        <w:rPr>
          <w:spacing w:val="-7"/>
          <w:vertAlign w:val="baseline"/>
        </w:rPr>
        <w:t> </w:t>
      </w:r>
      <w:r>
        <w:rPr>
          <w:vertAlign w:val="baseline"/>
        </w:rPr>
        <w:t>who</w:t>
      </w:r>
      <w:r>
        <w:rPr>
          <w:spacing w:val="-7"/>
          <w:vertAlign w:val="baseline"/>
        </w:rPr>
        <w:t> </w:t>
      </w:r>
      <w:r>
        <w:rPr>
          <w:vertAlign w:val="baseline"/>
        </w:rPr>
        <w:t>are transgender</w:t>
      </w:r>
      <w:r>
        <w:rPr>
          <w:spacing w:val="-13"/>
          <w:vertAlign w:val="baseline"/>
        </w:rPr>
        <w:t> </w:t>
      </w:r>
      <w:r>
        <w:rPr>
          <w:vertAlign w:val="baseline"/>
        </w:rPr>
        <w:t>or</w:t>
      </w:r>
      <w:r>
        <w:rPr>
          <w:spacing w:val="-12"/>
          <w:vertAlign w:val="baseline"/>
        </w:rPr>
        <w:t> </w:t>
      </w:r>
      <w:r>
        <w:rPr>
          <w:vertAlign w:val="baseline"/>
        </w:rPr>
        <w:t>gender</w:t>
      </w:r>
      <w:r>
        <w:rPr>
          <w:spacing w:val="-13"/>
          <w:vertAlign w:val="baseline"/>
        </w:rPr>
        <w:t> </w:t>
      </w:r>
      <w:r>
        <w:rPr>
          <w:vertAlign w:val="baseline"/>
        </w:rPr>
        <w:t>expansive</w:t>
      </w:r>
      <w:r>
        <w:rPr>
          <w:spacing w:val="-12"/>
          <w:vertAlign w:val="baseline"/>
        </w:rPr>
        <w:t> </w:t>
      </w:r>
      <w:r>
        <w:rPr>
          <w:vertAlign w:val="baseline"/>
        </w:rPr>
        <w:t>due</w:t>
      </w:r>
      <w:r>
        <w:rPr>
          <w:spacing w:val="-12"/>
          <w:vertAlign w:val="baseline"/>
        </w:rPr>
        <w:t> </w:t>
      </w:r>
      <w:r>
        <w:rPr>
          <w:vertAlign w:val="baseline"/>
        </w:rPr>
        <w:t>to</w:t>
      </w:r>
      <w:r>
        <w:rPr>
          <w:spacing w:val="-11"/>
          <w:vertAlign w:val="baseline"/>
        </w:rPr>
        <w:t> </w:t>
      </w:r>
      <w:r>
        <w:rPr>
          <w:vertAlign w:val="baseline"/>
        </w:rPr>
        <w:t>fear</w:t>
      </w:r>
      <w:r>
        <w:rPr>
          <w:spacing w:val="-13"/>
          <w:vertAlign w:val="baseline"/>
        </w:rPr>
        <w:t> </w:t>
      </w:r>
      <w:r>
        <w:rPr>
          <w:vertAlign w:val="baseline"/>
        </w:rPr>
        <w:t>of</w:t>
      </w:r>
      <w:r>
        <w:rPr>
          <w:spacing w:val="-12"/>
          <w:vertAlign w:val="baseline"/>
        </w:rPr>
        <w:t> </w:t>
      </w:r>
      <w:r>
        <w:rPr>
          <w:vertAlign w:val="baseline"/>
        </w:rPr>
        <w:t>stigmatization</w:t>
      </w:r>
      <w:r>
        <w:rPr>
          <w:spacing w:val="-13"/>
          <w:vertAlign w:val="baseline"/>
        </w:rPr>
        <w:t> </w:t>
      </w:r>
      <w:r>
        <w:rPr>
          <w:vertAlign w:val="baseline"/>
        </w:rPr>
        <w:t>or</w:t>
      </w:r>
      <w:r>
        <w:rPr>
          <w:spacing w:val="-12"/>
          <w:vertAlign w:val="baseline"/>
        </w:rPr>
        <w:t> </w:t>
      </w:r>
      <w:r>
        <w:rPr>
          <w:vertAlign w:val="baseline"/>
        </w:rPr>
        <w:t>medical</w:t>
      </w:r>
      <w:r>
        <w:rPr>
          <w:spacing w:val="-13"/>
          <w:vertAlign w:val="baseline"/>
        </w:rPr>
        <w:t> </w:t>
      </w:r>
      <w:r>
        <w:rPr>
          <w:vertAlign w:val="baseline"/>
        </w:rPr>
        <w:t>discrimination.</w:t>
      </w:r>
      <w:r>
        <w:rPr>
          <w:vertAlign w:val="superscript"/>
        </w:rPr>
        <w:t>35</w:t>
      </w:r>
      <w:r>
        <w:rPr>
          <w:spacing w:val="-12"/>
          <w:vertAlign w:val="baseline"/>
        </w:rPr>
        <w:t> </w:t>
      </w:r>
      <w:r>
        <w:rPr>
          <w:vertAlign w:val="baseline"/>
        </w:rPr>
        <w:t>In</w:t>
      </w:r>
      <w:r>
        <w:rPr>
          <w:spacing w:val="-13"/>
          <w:vertAlign w:val="baseline"/>
        </w:rPr>
        <w:t> </w:t>
      </w:r>
      <w:r>
        <w:rPr>
          <w:vertAlign w:val="baseline"/>
        </w:rPr>
        <w:t>a</w:t>
      </w:r>
      <w:r>
        <w:rPr>
          <w:spacing w:val="-10"/>
          <w:vertAlign w:val="baseline"/>
        </w:rPr>
        <w:t> </w:t>
      </w:r>
      <w:r>
        <w:rPr>
          <w:vertAlign w:val="baseline"/>
        </w:rPr>
        <w:t>2015</w:t>
      </w:r>
      <w:r>
        <w:rPr>
          <w:spacing w:val="-13"/>
          <w:vertAlign w:val="baseline"/>
        </w:rPr>
        <w:t> </w:t>
      </w:r>
      <w:r>
        <w:rPr>
          <w:vertAlign w:val="baseline"/>
        </w:rPr>
        <w:t>survey of</w:t>
      </w:r>
      <w:r>
        <w:rPr>
          <w:spacing w:val="-11"/>
          <w:vertAlign w:val="baseline"/>
        </w:rPr>
        <w:t> </w:t>
      </w:r>
      <w:r>
        <w:rPr>
          <w:vertAlign w:val="baseline"/>
        </w:rPr>
        <w:t>Massachusetts,</w:t>
      </w:r>
      <w:r>
        <w:rPr>
          <w:spacing w:val="-11"/>
          <w:vertAlign w:val="baseline"/>
        </w:rPr>
        <w:t> </w:t>
      </w:r>
      <w:r>
        <w:rPr>
          <w:vertAlign w:val="baseline"/>
        </w:rPr>
        <w:t>28%</w:t>
      </w:r>
      <w:r>
        <w:rPr>
          <w:spacing w:val="-11"/>
          <w:vertAlign w:val="baseline"/>
        </w:rPr>
        <w:t> </w:t>
      </w:r>
      <w:r>
        <w:rPr>
          <w:vertAlign w:val="baseline"/>
        </w:rPr>
        <w:t>of</w:t>
      </w:r>
      <w:r>
        <w:rPr>
          <w:spacing w:val="-11"/>
          <w:vertAlign w:val="baseline"/>
        </w:rPr>
        <w:t> </w:t>
      </w:r>
      <w:r>
        <w:rPr>
          <w:vertAlign w:val="baseline"/>
        </w:rPr>
        <w:t>transgender</w:t>
      </w:r>
      <w:r>
        <w:rPr>
          <w:spacing w:val="-10"/>
          <w:vertAlign w:val="baseline"/>
        </w:rPr>
        <w:t> </w:t>
      </w:r>
      <w:r>
        <w:rPr>
          <w:vertAlign w:val="baseline"/>
        </w:rPr>
        <w:t>people</w:t>
      </w:r>
      <w:r>
        <w:rPr>
          <w:spacing w:val="-11"/>
          <w:vertAlign w:val="baseline"/>
        </w:rPr>
        <w:t> </w:t>
      </w:r>
      <w:r>
        <w:rPr>
          <w:vertAlign w:val="baseline"/>
        </w:rPr>
        <w:t>experienced</w:t>
      </w:r>
      <w:r>
        <w:rPr>
          <w:spacing w:val="-10"/>
          <w:vertAlign w:val="baseline"/>
        </w:rPr>
        <w:t> </w:t>
      </w:r>
      <w:r>
        <w:rPr>
          <w:vertAlign w:val="baseline"/>
        </w:rPr>
        <w:t>a</w:t>
      </w:r>
      <w:r>
        <w:rPr>
          <w:spacing w:val="-11"/>
          <w:vertAlign w:val="baseline"/>
        </w:rPr>
        <w:t> </w:t>
      </w:r>
      <w:r>
        <w:rPr>
          <w:vertAlign w:val="baseline"/>
        </w:rPr>
        <w:t>problem</w:t>
      </w:r>
      <w:r>
        <w:rPr>
          <w:spacing w:val="-11"/>
          <w:vertAlign w:val="baseline"/>
        </w:rPr>
        <w:t> </w:t>
      </w:r>
      <w:r>
        <w:rPr>
          <w:vertAlign w:val="baseline"/>
        </w:rPr>
        <w:t>in</w:t>
      </w:r>
      <w:r>
        <w:rPr>
          <w:spacing w:val="-10"/>
          <w:vertAlign w:val="baseline"/>
        </w:rPr>
        <w:t> </w:t>
      </w:r>
      <w:r>
        <w:rPr>
          <w:vertAlign w:val="baseline"/>
        </w:rPr>
        <w:t>the</w:t>
      </w:r>
      <w:r>
        <w:rPr>
          <w:spacing w:val="-10"/>
          <w:vertAlign w:val="baseline"/>
        </w:rPr>
        <w:t> </w:t>
      </w:r>
      <w:r>
        <w:rPr>
          <w:vertAlign w:val="baseline"/>
        </w:rPr>
        <w:t>past</w:t>
      </w:r>
      <w:r>
        <w:rPr>
          <w:spacing w:val="-10"/>
          <w:vertAlign w:val="baseline"/>
        </w:rPr>
        <w:t> </w:t>
      </w:r>
      <w:r>
        <w:rPr>
          <w:vertAlign w:val="baseline"/>
        </w:rPr>
        <w:t>year</w:t>
      </w:r>
      <w:r>
        <w:rPr>
          <w:spacing w:val="-11"/>
          <w:vertAlign w:val="baseline"/>
        </w:rPr>
        <w:t> </w:t>
      </w:r>
      <w:r>
        <w:rPr>
          <w:vertAlign w:val="baseline"/>
        </w:rPr>
        <w:t>with</w:t>
      </w:r>
      <w:r>
        <w:rPr>
          <w:spacing w:val="-10"/>
          <w:vertAlign w:val="baseline"/>
        </w:rPr>
        <w:t> </w:t>
      </w:r>
      <w:r>
        <w:rPr>
          <w:vertAlign w:val="baseline"/>
        </w:rPr>
        <w:t>their</w:t>
      </w:r>
      <w:r>
        <w:rPr>
          <w:spacing w:val="-11"/>
          <w:vertAlign w:val="baseline"/>
        </w:rPr>
        <w:t> </w:t>
      </w:r>
      <w:r>
        <w:rPr>
          <w:vertAlign w:val="baseline"/>
        </w:rPr>
        <w:t>insurance, such</w:t>
      </w:r>
      <w:r>
        <w:rPr>
          <w:spacing w:val="-10"/>
          <w:vertAlign w:val="baseline"/>
        </w:rPr>
        <w:t> </w:t>
      </w:r>
      <w:r>
        <w:rPr>
          <w:vertAlign w:val="baseline"/>
        </w:rPr>
        <w:t>as</w:t>
      </w:r>
      <w:r>
        <w:rPr>
          <w:spacing w:val="-11"/>
          <w:vertAlign w:val="baseline"/>
        </w:rPr>
        <w:t> </w:t>
      </w:r>
      <w:r>
        <w:rPr>
          <w:vertAlign w:val="baseline"/>
        </w:rPr>
        <w:t>being</w:t>
      </w:r>
      <w:r>
        <w:rPr>
          <w:spacing w:val="-9"/>
          <w:vertAlign w:val="baseline"/>
        </w:rPr>
        <w:t> </w:t>
      </w:r>
      <w:r>
        <w:rPr>
          <w:vertAlign w:val="baseline"/>
        </w:rPr>
        <w:t>denied</w:t>
      </w:r>
      <w:r>
        <w:rPr>
          <w:spacing w:val="-9"/>
          <w:vertAlign w:val="baseline"/>
        </w:rPr>
        <w:t> </w:t>
      </w:r>
      <w:r>
        <w:rPr>
          <w:vertAlign w:val="baseline"/>
        </w:rPr>
        <w:t>coverage</w:t>
      </w:r>
      <w:r>
        <w:rPr>
          <w:spacing w:val="-11"/>
          <w:vertAlign w:val="baseline"/>
        </w:rPr>
        <w:t> </w:t>
      </w:r>
      <w:r>
        <w:rPr>
          <w:vertAlign w:val="baseline"/>
        </w:rPr>
        <w:t>for</w:t>
      </w:r>
      <w:r>
        <w:rPr>
          <w:spacing w:val="-11"/>
          <w:vertAlign w:val="baseline"/>
        </w:rPr>
        <w:t> </w:t>
      </w:r>
      <w:r>
        <w:rPr>
          <w:vertAlign w:val="baseline"/>
        </w:rPr>
        <w:t>routine</w:t>
      </w:r>
      <w:r>
        <w:rPr>
          <w:spacing w:val="-11"/>
          <w:vertAlign w:val="baseline"/>
        </w:rPr>
        <w:t> </w:t>
      </w:r>
      <w:r>
        <w:rPr>
          <w:vertAlign w:val="baseline"/>
        </w:rPr>
        <w:t>care</w:t>
      </w:r>
      <w:r>
        <w:rPr>
          <w:spacing w:val="-9"/>
          <w:vertAlign w:val="baseline"/>
        </w:rPr>
        <w:t> </w:t>
      </w:r>
      <w:r>
        <w:rPr>
          <w:vertAlign w:val="baseline"/>
        </w:rPr>
        <w:t>because</w:t>
      </w:r>
      <w:r>
        <w:rPr>
          <w:spacing w:val="-11"/>
          <w:vertAlign w:val="baseline"/>
        </w:rPr>
        <w:t> </w:t>
      </w:r>
      <w:r>
        <w:rPr>
          <w:vertAlign w:val="baseline"/>
        </w:rPr>
        <w:t>they</w:t>
      </w:r>
      <w:r>
        <w:rPr>
          <w:spacing w:val="-10"/>
          <w:vertAlign w:val="baseline"/>
        </w:rPr>
        <w:t> </w:t>
      </w:r>
      <w:r>
        <w:rPr>
          <w:vertAlign w:val="baseline"/>
        </w:rPr>
        <w:t>were</w:t>
      </w:r>
      <w:r>
        <w:rPr>
          <w:spacing w:val="-10"/>
          <w:vertAlign w:val="baseline"/>
        </w:rPr>
        <w:t> </w:t>
      </w:r>
      <w:r>
        <w:rPr>
          <w:vertAlign w:val="baseline"/>
        </w:rPr>
        <w:t>transgender.</w:t>
      </w:r>
      <w:r>
        <w:rPr>
          <w:vertAlign w:val="superscript"/>
        </w:rPr>
        <w:t>36</w:t>
      </w:r>
      <w:r>
        <w:rPr>
          <w:spacing w:val="-11"/>
          <w:vertAlign w:val="baseline"/>
        </w:rPr>
        <w:t> </w:t>
      </w:r>
      <w:r>
        <w:rPr>
          <w:vertAlign w:val="baseline"/>
        </w:rPr>
        <w:t>Lack</w:t>
      </w:r>
      <w:r>
        <w:rPr>
          <w:spacing w:val="-12"/>
          <w:vertAlign w:val="baseline"/>
        </w:rPr>
        <w:t> </w:t>
      </w:r>
      <w:r>
        <w:rPr>
          <w:vertAlign w:val="baseline"/>
        </w:rPr>
        <w:t>of</w:t>
      </w:r>
      <w:r>
        <w:rPr>
          <w:spacing w:val="-10"/>
          <w:vertAlign w:val="baseline"/>
        </w:rPr>
        <w:t> </w:t>
      </w:r>
      <w:r>
        <w:rPr>
          <w:vertAlign w:val="baseline"/>
        </w:rPr>
        <w:t>ID</w:t>
      </w:r>
      <w:r>
        <w:rPr>
          <w:spacing w:val="-10"/>
          <w:vertAlign w:val="baseline"/>
        </w:rPr>
        <w:t> </w:t>
      </w:r>
      <w:r>
        <w:rPr>
          <w:vertAlign w:val="baseline"/>
        </w:rPr>
        <w:t>due</w:t>
      </w:r>
      <w:r>
        <w:rPr>
          <w:spacing w:val="-12"/>
          <w:vertAlign w:val="baseline"/>
        </w:rPr>
        <w:t> </w:t>
      </w:r>
      <w:r>
        <w:rPr>
          <w:vertAlign w:val="baseline"/>
        </w:rPr>
        <w:t>to</w:t>
      </w:r>
      <w:r>
        <w:rPr>
          <w:spacing w:val="-10"/>
          <w:vertAlign w:val="baseline"/>
        </w:rPr>
        <w:t> </w:t>
      </w:r>
      <w:r>
        <w:rPr>
          <w:vertAlign w:val="baseline"/>
        </w:rPr>
        <w:t>the</w:t>
      </w:r>
      <w:r>
        <w:rPr>
          <w:spacing w:val="-10"/>
          <w:vertAlign w:val="baseline"/>
        </w:rPr>
        <w:t> </w:t>
      </w:r>
      <w:r>
        <w:rPr>
          <w:vertAlign w:val="baseline"/>
        </w:rPr>
        <w:t>cost of</w:t>
      </w:r>
      <w:r>
        <w:rPr>
          <w:spacing w:val="-6"/>
          <w:vertAlign w:val="baseline"/>
        </w:rPr>
        <w:t> </w:t>
      </w:r>
      <w:r>
        <w:rPr>
          <w:vertAlign w:val="baseline"/>
        </w:rPr>
        <w:t>updating</w:t>
      </w:r>
      <w:r>
        <w:rPr>
          <w:spacing w:val="-5"/>
          <w:vertAlign w:val="baseline"/>
        </w:rPr>
        <w:t> </w:t>
      </w:r>
      <w:r>
        <w:rPr>
          <w:vertAlign w:val="baseline"/>
        </w:rPr>
        <w:t>identification</w:t>
      </w:r>
      <w:r>
        <w:rPr>
          <w:spacing w:val="-4"/>
          <w:vertAlign w:val="baseline"/>
        </w:rPr>
        <w:t> </w:t>
      </w:r>
      <w:r>
        <w:rPr>
          <w:vertAlign w:val="baseline"/>
        </w:rPr>
        <w:t>documents,</w:t>
      </w:r>
      <w:r>
        <w:rPr>
          <w:spacing w:val="-6"/>
          <w:vertAlign w:val="baseline"/>
        </w:rPr>
        <w:t> </w:t>
      </w:r>
      <w:r>
        <w:rPr>
          <w:vertAlign w:val="baseline"/>
        </w:rPr>
        <w:t>immigration</w:t>
      </w:r>
      <w:r>
        <w:rPr>
          <w:spacing w:val="-5"/>
          <w:vertAlign w:val="baseline"/>
        </w:rPr>
        <w:t> </w:t>
      </w:r>
      <w:r>
        <w:rPr>
          <w:vertAlign w:val="baseline"/>
        </w:rPr>
        <w:t>status,</w:t>
      </w:r>
      <w:r>
        <w:rPr>
          <w:spacing w:val="-6"/>
          <w:vertAlign w:val="baseline"/>
        </w:rPr>
        <w:t> </w:t>
      </w:r>
      <w:r>
        <w:rPr>
          <w:vertAlign w:val="baseline"/>
        </w:rPr>
        <w:t>and</w:t>
      </w:r>
      <w:r>
        <w:rPr>
          <w:spacing w:val="-5"/>
          <w:vertAlign w:val="baseline"/>
        </w:rPr>
        <w:t> </w:t>
      </w:r>
      <w:r>
        <w:rPr>
          <w:vertAlign w:val="baseline"/>
        </w:rPr>
        <w:t>lack</w:t>
      </w:r>
      <w:r>
        <w:rPr>
          <w:spacing w:val="-7"/>
          <w:vertAlign w:val="baseline"/>
        </w:rPr>
        <w:t> </w:t>
      </w:r>
      <w:r>
        <w:rPr>
          <w:vertAlign w:val="baseline"/>
        </w:rPr>
        <w:t>of</w:t>
      </w:r>
      <w:r>
        <w:rPr>
          <w:spacing w:val="-6"/>
          <w:vertAlign w:val="baseline"/>
        </w:rPr>
        <w:t> </w:t>
      </w:r>
      <w:r>
        <w:rPr>
          <w:vertAlign w:val="baseline"/>
        </w:rPr>
        <w:t>address</w:t>
      </w:r>
      <w:r>
        <w:rPr>
          <w:spacing w:val="-6"/>
          <w:vertAlign w:val="baseline"/>
        </w:rPr>
        <w:t> </w:t>
      </w:r>
      <w:r>
        <w:rPr>
          <w:vertAlign w:val="baseline"/>
        </w:rPr>
        <w:t>due</w:t>
      </w:r>
      <w:r>
        <w:rPr>
          <w:spacing w:val="-5"/>
          <w:vertAlign w:val="baseline"/>
        </w:rPr>
        <w:t> </w:t>
      </w:r>
      <w:r>
        <w:rPr>
          <w:vertAlign w:val="baseline"/>
        </w:rPr>
        <w:t>to</w:t>
      </w:r>
      <w:r>
        <w:rPr>
          <w:spacing w:val="-6"/>
          <w:vertAlign w:val="baseline"/>
        </w:rPr>
        <w:t> </w:t>
      </w:r>
      <w:r>
        <w:rPr>
          <w:vertAlign w:val="baseline"/>
        </w:rPr>
        <w:t>homelessness</w:t>
      </w:r>
      <w:r>
        <w:rPr>
          <w:spacing w:val="-6"/>
          <w:vertAlign w:val="baseline"/>
        </w:rPr>
        <w:t> </w:t>
      </w:r>
      <w:r>
        <w:rPr>
          <w:vertAlign w:val="baseline"/>
        </w:rPr>
        <w:t>are</w:t>
      </w:r>
      <w:r>
        <w:rPr>
          <w:spacing w:val="-7"/>
          <w:vertAlign w:val="baseline"/>
        </w:rPr>
        <w:t> </w:t>
      </w:r>
      <w:r>
        <w:rPr>
          <w:vertAlign w:val="baseline"/>
        </w:rPr>
        <w:t>all possible reasons LGBTQ youth may not have health resources.</w:t>
      </w:r>
    </w:p>
    <w:p>
      <w:pPr>
        <w:pStyle w:val="BodyText"/>
        <w:spacing w:line="276" w:lineRule="auto" w:before="241"/>
        <w:ind w:left="363" w:right="140"/>
        <w:jc w:val="both"/>
      </w:pPr>
      <w:r>
        <w:rPr/>
        <w:t>Without health</w:t>
      </w:r>
      <w:r>
        <w:rPr>
          <w:spacing w:val="-1"/>
        </w:rPr>
        <w:t> </w:t>
      </w:r>
      <w:r>
        <w:rPr/>
        <w:t>insurance, the cost</w:t>
      </w:r>
      <w:r>
        <w:rPr>
          <w:spacing w:val="-1"/>
        </w:rPr>
        <w:t> </w:t>
      </w:r>
      <w:r>
        <w:rPr/>
        <w:t>of an IUD, birth control</w:t>
      </w:r>
      <w:r>
        <w:rPr>
          <w:spacing w:val="-1"/>
        </w:rPr>
        <w:t> </w:t>
      </w:r>
      <w:r>
        <w:rPr/>
        <w:t>pills, Plan</w:t>
      </w:r>
      <w:r>
        <w:rPr>
          <w:spacing w:val="-1"/>
        </w:rPr>
        <w:t> </w:t>
      </w:r>
      <w:r>
        <w:rPr/>
        <w:t>B, or a birth</w:t>
      </w:r>
      <w:r>
        <w:rPr>
          <w:spacing w:val="-1"/>
        </w:rPr>
        <w:t> </w:t>
      </w:r>
      <w:r>
        <w:rPr/>
        <w:t>control</w:t>
      </w:r>
      <w:r>
        <w:rPr>
          <w:spacing w:val="-1"/>
        </w:rPr>
        <w:t> </w:t>
      </w:r>
      <w:r>
        <w:rPr/>
        <w:t>injection can be expensive,</w:t>
      </w:r>
      <w:r>
        <w:rPr>
          <w:spacing w:val="-10"/>
        </w:rPr>
        <w:t> </w:t>
      </w:r>
      <w:r>
        <w:rPr/>
        <w:t>and</w:t>
      </w:r>
      <w:r>
        <w:rPr>
          <w:spacing w:val="-10"/>
        </w:rPr>
        <w:t> </w:t>
      </w:r>
      <w:r>
        <w:rPr/>
        <w:t>y</w:t>
      </w:r>
      <w:r>
        <w:rPr>
          <w:spacing w:val="-10"/>
        </w:rPr>
        <w:t> </w:t>
      </w:r>
      <w:r>
        <w:rPr/>
        <w:t>outh</w:t>
      </w:r>
      <w:r>
        <w:rPr>
          <w:spacing w:val="-9"/>
        </w:rPr>
        <w:t> </w:t>
      </w:r>
      <w:r>
        <w:rPr/>
        <w:t>may</w:t>
      </w:r>
      <w:r>
        <w:rPr>
          <w:spacing w:val="-9"/>
        </w:rPr>
        <w:t> </w:t>
      </w:r>
      <w:r>
        <w:rPr/>
        <w:t>not</w:t>
      </w:r>
      <w:r>
        <w:rPr>
          <w:spacing w:val="-11"/>
        </w:rPr>
        <w:t> </w:t>
      </w:r>
      <w:r>
        <w:rPr/>
        <w:t>know</w:t>
      </w:r>
      <w:r>
        <w:rPr>
          <w:spacing w:val="-10"/>
        </w:rPr>
        <w:t> </w:t>
      </w:r>
      <w:r>
        <w:rPr/>
        <w:t>where</w:t>
      </w:r>
      <w:r>
        <w:rPr>
          <w:spacing w:val="-10"/>
        </w:rPr>
        <w:t> </w:t>
      </w:r>
      <w:r>
        <w:rPr/>
        <w:t>else</w:t>
      </w:r>
      <w:r>
        <w:rPr>
          <w:spacing w:val="-10"/>
        </w:rPr>
        <w:t> </w:t>
      </w:r>
      <w:r>
        <w:rPr/>
        <w:t>they</w:t>
      </w:r>
      <w:r>
        <w:rPr>
          <w:spacing w:val="-9"/>
        </w:rPr>
        <w:t> </w:t>
      </w:r>
      <w:r>
        <w:rPr/>
        <w:t>can</w:t>
      </w:r>
      <w:r>
        <w:rPr>
          <w:spacing w:val="-10"/>
        </w:rPr>
        <w:t> </w:t>
      </w:r>
      <w:r>
        <w:rPr/>
        <w:t>go</w:t>
      </w:r>
      <w:r>
        <w:rPr>
          <w:spacing w:val="-10"/>
        </w:rPr>
        <w:t> </w:t>
      </w:r>
      <w:r>
        <w:rPr/>
        <w:t>for</w:t>
      </w:r>
      <w:r>
        <w:rPr>
          <w:spacing w:val="-10"/>
        </w:rPr>
        <w:t> </w:t>
      </w:r>
      <w:r>
        <w:rPr/>
        <w:t>access,</w:t>
      </w:r>
      <w:r>
        <w:rPr>
          <w:spacing w:val="-10"/>
        </w:rPr>
        <w:t> </w:t>
      </w:r>
      <w:r>
        <w:rPr/>
        <w:t>particularly</w:t>
      </w:r>
      <w:r>
        <w:rPr>
          <w:spacing w:val="-10"/>
        </w:rPr>
        <w:t> </w:t>
      </w:r>
      <w:r>
        <w:rPr/>
        <w:t>outside</w:t>
      </w:r>
      <w:r>
        <w:rPr>
          <w:spacing w:val="-10"/>
        </w:rPr>
        <w:t> </w:t>
      </w:r>
      <w:r>
        <w:rPr/>
        <w:t>of</w:t>
      </w:r>
      <w:r>
        <w:rPr>
          <w:spacing w:val="-9"/>
        </w:rPr>
        <w:t> </w:t>
      </w:r>
      <w:r>
        <w:rPr/>
        <w:t>urban</w:t>
      </w:r>
      <w:r>
        <w:rPr>
          <w:spacing w:val="-10"/>
        </w:rPr>
        <w:t> </w:t>
      </w:r>
      <w:r>
        <w:rPr/>
        <w:t>areas. Furthermore, in the same survey, 31% of transgender people who saw a health care provider reported having at least one negative experience (verbal abuse, refusal to be treated, physical assault, sexual assault,</w:t>
      </w:r>
      <w:r>
        <w:rPr>
          <w:spacing w:val="-10"/>
        </w:rPr>
        <w:t> </w:t>
      </w:r>
      <w:r>
        <w:rPr/>
        <w:t>needing</w:t>
      </w:r>
      <w:r>
        <w:rPr>
          <w:spacing w:val="-10"/>
        </w:rPr>
        <w:t> </w:t>
      </w:r>
      <w:r>
        <w:rPr/>
        <w:t>to</w:t>
      </w:r>
      <w:r>
        <w:rPr>
          <w:spacing w:val="-8"/>
        </w:rPr>
        <w:t> </w:t>
      </w:r>
      <w:r>
        <w:rPr/>
        <w:t>teach</w:t>
      </w:r>
      <w:r>
        <w:rPr>
          <w:spacing w:val="-9"/>
        </w:rPr>
        <w:t> </w:t>
      </w:r>
      <w:r>
        <w:rPr/>
        <w:t>the</w:t>
      </w:r>
      <w:r>
        <w:rPr>
          <w:spacing w:val="-10"/>
        </w:rPr>
        <w:t> </w:t>
      </w:r>
      <w:r>
        <w:rPr/>
        <w:t>provider</w:t>
      </w:r>
      <w:r>
        <w:rPr>
          <w:spacing w:val="-10"/>
        </w:rPr>
        <w:t> </w:t>
      </w:r>
      <w:r>
        <w:rPr/>
        <w:t>about</w:t>
      </w:r>
      <w:r>
        <w:rPr>
          <w:spacing w:val="-11"/>
        </w:rPr>
        <w:t> </w:t>
      </w:r>
      <w:r>
        <w:rPr/>
        <w:t>transgender</w:t>
      </w:r>
      <w:r>
        <w:rPr>
          <w:spacing w:val="-10"/>
        </w:rPr>
        <w:t> </w:t>
      </w:r>
      <w:r>
        <w:rPr/>
        <w:t>in</w:t>
      </w:r>
      <w:r>
        <w:rPr>
          <w:spacing w:val="-9"/>
        </w:rPr>
        <w:t> </w:t>
      </w:r>
      <w:r>
        <w:rPr/>
        <w:t>order</w:t>
      </w:r>
      <w:r>
        <w:rPr>
          <w:spacing w:val="-9"/>
        </w:rPr>
        <w:t> </w:t>
      </w:r>
      <w:r>
        <w:rPr/>
        <w:t>to</w:t>
      </w:r>
      <w:r>
        <w:rPr>
          <w:spacing w:val="-10"/>
        </w:rPr>
        <w:t> </w:t>
      </w:r>
      <w:r>
        <w:rPr/>
        <w:t>get</w:t>
      </w:r>
      <w:r>
        <w:rPr>
          <w:spacing w:val="-9"/>
        </w:rPr>
        <w:t> </w:t>
      </w:r>
      <w:r>
        <w:rPr/>
        <w:t>appropriate</w:t>
      </w:r>
      <w:r>
        <w:rPr>
          <w:spacing w:val="-9"/>
        </w:rPr>
        <w:t> </w:t>
      </w:r>
      <w:r>
        <w:rPr/>
        <w:t>care)</w:t>
      </w:r>
      <w:r>
        <w:rPr>
          <w:spacing w:val="-10"/>
        </w:rPr>
        <w:t> </w:t>
      </w:r>
      <w:r>
        <w:rPr/>
        <w:t>related</w:t>
      </w:r>
      <w:r>
        <w:rPr>
          <w:spacing w:val="-9"/>
        </w:rPr>
        <w:t> </w:t>
      </w:r>
      <w:r>
        <w:rPr/>
        <w:t>to</w:t>
      </w:r>
      <w:r>
        <w:rPr>
          <w:spacing w:val="-10"/>
        </w:rPr>
        <w:t> </w:t>
      </w:r>
      <w:r>
        <w:rPr/>
        <w:t>being transgender.</w:t>
      </w:r>
      <w:r>
        <w:rPr>
          <w:vertAlign w:val="superscript"/>
        </w:rPr>
        <w:t>37</w:t>
      </w:r>
      <w:r>
        <w:rPr>
          <w:spacing w:val="-2"/>
          <w:vertAlign w:val="baseline"/>
        </w:rPr>
        <w:t> </w:t>
      </w:r>
      <w:r>
        <w:rPr>
          <w:vertAlign w:val="baseline"/>
        </w:rPr>
        <w:t>While the</w:t>
      </w:r>
      <w:r>
        <w:rPr>
          <w:spacing w:val="-2"/>
          <w:vertAlign w:val="baseline"/>
        </w:rPr>
        <w:t> </w:t>
      </w:r>
      <w:r>
        <w:rPr>
          <w:vertAlign w:val="baseline"/>
        </w:rPr>
        <w:t>Commission</w:t>
      </w:r>
      <w:r>
        <w:rPr>
          <w:spacing w:val="-2"/>
          <w:vertAlign w:val="baseline"/>
        </w:rPr>
        <w:t> </w:t>
      </w:r>
      <w:r>
        <w:rPr>
          <w:vertAlign w:val="baseline"/>
        </w:rPr>
        <w:t>continues to</w:t>
      </w:r>
      <w:r>
        <w:rPr>
          <w:spacing w:val="-1"/>
          <w:vertAlign w:val="baseline"/>
        </w:rPr>
        <w:t> </w:t>
      </w:r>
      <w:r>
        <w:rPr>
          <w:vertAlign w:val="baseline"/>
        </w:rPr>
        <w:t>observe</w:t>
      </w:r>
      <w:r>
        <w:rPr>
          <w:spacing w:val="-2"/>
          <w:vertAlign w:val="baseline"/>
        </w:rPr>
        <w:t> </w:t>
      </w:r>
      <w:r>
        <w:rPr>
          <w:vertAlign w:val="baseline"/>
        </w:rPr>
        <w:t>the</w:t>
      </w:r>
      <w:r>
        <w:rPr>
          <w:spacing w:val="-2"/>
          <w:vertAlign w:val="baseline"/>
        </w:rPr>
        <w:t> </w:t>
      </w:r>
      <w:r>
        <w:rPr>
          <w:vertAlign w:val="baseline"/>
        </w:rPr>
        <w:t>effects</w:t>
      </w:r>
      <w:r>
        <w:rPr>
          <w:spacing w:val="-1"/>
          <w:vertAlign w:val="baseline"/>
        </w:rPr>
        <w:t> </w:t>
      </w:r>
      <w:r>
        <w:rPr>
          <w:vertAlign w:val="baseline"/>
        </w:rPr>
        <w:t>of healthcare provider</w:t>
      </w:r>
      <w:r>
        <w:rPr>
          <w:spacing w:val="-1"/>
          <w:vertAlign w:val="baseline"/>
        </w:rPr>
        <w:t> </w:t>
      </w:r>
      <w:r>
        <w:rPr>
          <w:vertAlign w:val="baseline"/>
        </w:rPr>
        <w:t>support</w:t>
      </w:r>
      <w:r>
        <w:rPr>
          <w:spacing w:val="-1"/>
          <w:vertAlign w:val="baseline"/>
        </w:rPr>
        <w:t> </w:t>
      </w:r>
      <w:r>
        <w:rPr>
          <w:vertAlign w:val="baseline"/>
        </w:rPr>
        <w:t>for transgender</w:t>
      </w:r>
      <w:r>
        <w:rPr>
          <w:spacing w:val="-7"/>
          <w:vertAlign w:val="baseline"/>
        </w:rPr>
        <w:t> </w:t>
      </w:r>
      <w:r>
        <w:rPr>
          <w:vertAlign w:val="baseline"/>
        </w:rPr>
        <w:t>youth,</w:t>
      </w:r>
      <w:r>
        <w:rPr>
          <w:spacing w:val="-7"/>
          <w:vertAlign w:val="baseline"/>
        </w:rPr>
        <w:t> </w:t>
      </w:r>
      <w:r>
        <w:rPr>
          <w:vertAlign w:val="baseline"/>
        </w:rPr>
        <w:t>the</w:t>
      </w:r>
      <w:r>
        <w:rPr>
          <w:spacing w:val="-8"/>
          <w:vertAlign w:val="baseline"/>
        </w:rPr>
        <w:t> </w:t>
      </w:r>
      <w:r>
        <w:rPr>
          <w:vertAlign w:val="baseline"/>
        </w:rPr>
        <w:t>Commission</w:t>
      </w:r>
      <w:r>
        <w:rPr>
          <w:spacing w:val="-8"/>
          <w:vertAlign w:val="baseline"/>
        </w:rPr>
        <w:t> </w:t>
      </w:r>
      <w:r>
        <w:rPr>
          <w:vertAlign w:val="baseline"/>
        </w:rPr>
        <w:t>continues</w:t>
      </w:r>
      <w:r>
        <w:rPr>
          <w:spacing w:val="-7"/>
          <w:vertAlign w:val="baseline"/>
        </w:rPr>
        <w:t> </w:t>
      </w:r>
      <w:r>
        <w:rPr>
          <w:vertAlign w:val="baseline"/>
        </w:rPr>
        <w:t>to</w:t>
      </w:r>
      <w:r>
        <w:rPr>
          <w:spacing w:val="-7"/>
          <w:vertAlign w:val="baseline"/>
        </w:rPr>
        <w:t> </w:t>
      </w:r>
      <w:r>
        <w:rPr>
          <w:vertAlign w:val="baseline"/>
        </w:rPr>
        <w:t>be</w:t>
      </w:r>
      <w:r>
        <w:rPr>
          <w:spacing w:val="-8"/>
          <w:vertAlign w:val="baseline"/>
        </w:rPr>
        <w:t> </w:t>
      </w:r>
      <w:r>
        <w:rPr>
          <w:vertAlign w:val="baseline"/>
        </w:rPr>
        <w:t>notified</w:t>
      </w:r>
      <w:r>
        <w:rPr>
          <w:spacing w:val="-8"/>
          <w:vertAlign w:val="baseline"/>
        </w:rPr>
        <w:t> </w:t>
      </w:r>
      <w:r>
        <w:rPr>
          <w:vertAlign w:val="baseline"/>
        </w:rPr>
        <w:t>by</w:t>
      </w:r>
      <w:r>
        <w:rPr>
          <w:spacing w:val="-7"/>
          <w:vertAlign w:val="baseline"/>
        </w:rPr>
        <w:t> </w:t>
      </w:r>
      <w:r>
        <w:rPr>
          <w:vertAlign w:val="baseline"/>
        </w:rPr>
        <w:t>youth,</w:t>
      </w:r>
      <w:r>
        <w:rPr>
          <w:spacing w:val="-8"/>
          <w:vertAlign w:val="baseline"/>
        </w:rPr>
        <w:t> </w:t>
      </w:r>
      <w:r>
        <w:rPr>
          <w:vertAlign w:val="baseline"/>
        </w:rPr>
        <w:t>families,</w:t>
      </w:r>
      <w:r>
        <w:rPr>
          <w:spacing w:val="-8"/>
          <w:vertAlign w:val="baseline"/>
        </w:rPr>
        <w:t> </w:t>
      </w:r>
      <w:r>
        <w:rPr>
          <w:vertAlign w:val="baseline"/>
        </w:rPr>
        <w:t>and</w:t>
      </w:r>
      <w:r>
        <w:rPr>
          <w:spacing w:val="-8"/>
          <w:vertAlign w:val="baseline"/>
        </w:rPr>
        <w:t> </w:t>
      </w:r>
      <w:r>
        <w:rPr>
          <w:vertAlign w:val="baseline"/>
        </w:rPr>
        <w:t>advocates</w:t>
      </w:r>
      <w:r>
        <w:rPr>
          <w:spacing w:val="-6"/>
          <w:vertAlign w:val="baseline"/>
        </w:rPr>
        <w:t> </w:t>
      </w:r>
      <w:r>
        <w:rPr>
          <w:vertAlign w:val="baseline"/>
        </w:rPr>
        <w:t>that</w:t>
      </w:r>
      <w:r>
        <w:rPr>
          <w:spacing w:val="-8"/>
          <w:vertAlign w:val="baseline"/>
        </w:rPr>
        <w:t> </w:t>
      </w:r>
      <w:r>
        <w:rPr>
          <w:vertAlign w:val="baseline"/>
        </w:rPr>
        <w:t>fear</w:t>
      </w:r>
      <w:r>
        <w:rPr>
          <w:spacing w:val="-8"/>
          <w:vertAlign w:val="baseline"/>
        </w:rPr>
        <w:t> </w:t>
      </w:r>
      <w:r>
        <w:rPr>
          <w:vertAlign w:val="baseline"/>
        </w:rPr>
        <w:t>of</w:t>
      </w:r>
    </w:p>
    <w:p>
      <w:pPr>
        <w:spacing w:after="0" w:line="276" w:lineRule="auto"/>
        <w:jc w:val="both"/>
        <w:sectPr>
          <w:pgSz w:w="12240" w:h="15840"/>
          <w:pgMar w:header="763" w:footer="1339" w:top="1180" w:bottom="1520" w:left="1080" w:right="1240"/>
        </w:sectPr>
      </w:pPr>
    </w:p>
    <w:p>
      <w:pPr>
        <w:pStyle w:val="BodyText"/>
        <w:spacing w:line="276" w:lineRule="auto" w:before="69"/>
        <w:ind w:left="363" w:right="142"/>
        <w:jc w:val="both"/>
      </w:pPr>
      <w:r>
        <w:rPr/>
        <w:t>stigmatization, discrimination, and racism continue to pose barriers for LGBTQ, QTBIPOC, and intersex youth seeking medical care.</w:t>
      </w:r>
    </w:p>
    <w:p>
      <w:pPr>
        <w:pStyle w:val="BodyText"/>
      </w:pPr>
    </w:p>
    <w:p>
      <w:pPr>
        <w:pStyle w:val="BodyText"/>
        <w:spacing w:before="47"/>
      </w:pPr>
    </w:p>
    <w:p>
      <w:pPr>
        <w:spacing w:before="1"/>
        <w:ind w:left="363" w:right="0" w:firstLine="0"/>
        <w:jc w:val="both"/>
        <w:rPr>
          <w:sz w:val="26"/>
        </w:rPr>
      </w:pPr>
      <w:bookmarkStart w:name="Pregnancy in LGBTQ Youth" w:id="474"/>
      <w:bookmarkEnd w:id="474"/>
      <w:r>
        <w:rPr/>
      </w:r>
      <w:r>
        <w:rPr>
          <w:color w:val="095292"/>
          <w:sz w:val="26"/>
        </w:rPr>
        <w:t>Pregnancy</w:t>
      </w:r>
      <w:r>
        <w:rPr>
          <w:color w:val="095292"/>
          <w:spacing w:val="-5"/>
          <w:sz w:val="26"/>
        </w:rPr>
        <w:t> </w:t>
      </w:r>
      <w:r>
        <w:rPr>
          <w:color w:val="095292"/>
          <w:sz w:val="26"/>
        </w:rPr>
        <w:t>in</w:t>
      </w:r>
      <w:r>
        <w:rPr>
          <w:color w:val="095292"/>
          <w:spacing w:val="-4"/>
          <w:sz w:val="26"/>
        </w:rPr>
        <w:t> </w:t>
      </w:r>
      <w:r>
        <w:rPr>
          <w:color w:val="095292"/>
          <w:sz w:val="26"/>
        </w:rPr>
        <w:t>LGBTQ</w:t>
      </w:r>
      <w:r>
        <w:rPr>
          <w:color w:val="095292"/>
          <w:spacing w:val="-5"/>
          <w:sz w:val="26"/>
        </w:rPr>
        <w:t> </w:t>
      </w:r>
      <w:r>
        <w:rPr>
          <w:color w:val="095292"/>
          <w:spacing w:val="-2"/>
          <w:sz w:val="26"/>
        </w:rPr>
        <w:t>Youth</w:t>
      </w:r>
    </w:p>
    <w:p>
      <w:pPr>
        <w:pStyle w:val="BodyText"/>
        <w:spacing w:before="141"/>
        <w:rPr>
          <w:sz w:val="26"/>
        </w:rPr>
      </w:pPr>
    </w:p>
    <w:p>
      <w:pPr>
        <w:pStyle w:val="BodyText"/>
        <w:spacing w:line="276" w:lineRule="auto"/>
        <w:ind w:left="363" w:right="144"/>
        <w:jc w:val="both"/>
      </w:pPr>
      <w:r>
        <w:rPr/>
        <w:t>As</w:t>
      </w:r>
      <w:r>
        <w:rPr>
          <w:spacing w:val="-6"/>
        </w:rPr>
        <w:t> </w:t>
      </w:r>
      <w:r>
        <w:rPr/>
        <w:t>discussed</w:t>
      </w:r>
      <w:r>
        <w:rPr>
          <w:spacing w:val="-4"/>
        </w:rPr>
        <w:t> </w:t>
      </w:r>
      <w:r>
        <w:rPr/>
        <w:t>further</w:t>
      </w:r>
      <w:r>
        <w:rPr>
          <w:spacing w:val="-5"/>
        </w:rPr>
        <w:t> </w:t>
      </w:r>
      <w:r>
        <w:rPr/>
        <w:t>in</w:t>
      </w:r>
      <w:r>
        <w:rPr>
          <w:spacing w:val="-5"/>
        </w:rPr>
        <w:t> </w:t>
      </w:r>
      <w:r>
        <w:rPr/>
        <w:t>the</w:t>
      </w:r>
      <w:r>
        <w:rPr>
          <w:spacing w:val="-5"/>
        </w:rPr>
        <w:t> </w:t>
      </w:r>
      <w:r>
        <w:rPr/>
        <w:t>section</w:t>
      </w:r>
      <w:r>
        <w:rPr>
          <w:spacing w:val="-5"/>
        </w:rPr>
        <w:t> </w:t>
      </w:r>
      <w:r>
        <w:rPr/>
        <w:t>on</w:t>
      </w:r>
      <w:r>
        <w:rPr>
          <w:spacing w:val="-5"/>
        </w:rPr>
        <w:t> </w:t>
      </w:r>
      <w:r>
        <w:rPr/>
        <w:t>pregnancy</w:t>
      </w:r>
      <w:r>
        <w:rPr>
          <w:spacing w:val="-5"/>
        </w:rPr>
        <w:t> </w:t>
      </w:r>
      <w:r>
        <w:rPr/>
        <w:t>in</w:t>
      </w:r>
      <w:r>
        <w:rPr>
          <w:spacing w:val="-5"/>
        </w:rPr>
        <w:t> </w:t>
      </w:r>
      <w:r>
        <w:rPr/>
        <w:t>this</w:t>
      </w:r>
      <w:r>
        <w:rPr>
          <w:spacing w:val="-6"/>
        </w:rPr>
        <w:t> </w:t>
      </w:r>
      <w:r>
        <w:rPr/>
        <w:t>annual</w:t>
      </w:r>
      <w:r>
        <w:rPr>
          <w:spacing w:val="-6"/>
        </w:rPr>
        <w:t> </w:t>
      </w:r>
      <w:r>
        <w:rPr/>
        <w:t>report,</w:t>
      </w:r>
      <w:r>
        <w:rPr>
          <w:spacing w:val="-6"/>
        </w:rPr>
        <w:t> </w:t>
      </w:r>
      <w:r>
        <w:rPr/>
        <w:t>LGBTQ</w:t>
      </w:r>
      <w:r>
        <w:rPr>
          <w:spacing w:val="-5"/>
        </w:rPr>
        <w:t> </w:t>
      </w:r>
      <w:r>
        <w:rPr/>
        <w:t>women,</w:t>
      </w:r>
      <w:r>
        <w:rPr>
          <w:spacing w:val="-6"/>
        </w:rPr>
        <w:t> </w:t>
      </w:r>
      <w:r>
        <w:rPr/>
        <w:t>girls</w:t>
      </w:r>
      <w:r>
        <w:rPr>
          <w:spacing w:val="-6"/>
        </w:rPr>
        <w:t> </w:t>
      </w:r>
      <w:r>
        <w:rPr/>
        <w:t>and</w:t>
      </w:r>
      <w:r>
        <w:rPr>
          <w:spacing w:val="-7"/>
        </w:rPr>
        <w:t> </w:t>
      </w:r>
      <w:r>
        <w:rPr/>
        <w:t>nonbinary youth (as high as 46.6%) are more likely to become pregnant than straight, cisgender youth.</w:t>
      </w:r>
      <w:r>
        <w:rPr>
          <w:vertAlign w:val="superscript"/>
        </w:rPr>
        <w:t>38</w:t>
      </w:r>
      <w:r>
        <w:rPr>
          <w:vertAlign w:val="baseline"/>
        </w:rPr>
        <w:t> Research indicates that unintended teen pregnancy rates have been shown to be higher for youth who are Black, Latinx, Native, Pacific Islander, living in foster care, homeless, or have an intellectual disability.</w:t>
      </w:r>
      <w:r>
        <w:rPr>
          <w:vertAlign w:val="superscript"/>
        </w:rPr>
        <w:t>39,40,41</w:t>
      </w:r>
      <w:r>
        <w:rPr>
          <w:vertAlign w:val="baseline"/>
        </w:rPr>
        <w:t> Further potential disparate factors for unintended pregnancies include childhood abuse, increased rates of</w:t>
      </w:r>
      <w:r>
        <w:rPr>
          <w:spacing w:val="-13"/>
          <w:vertAlign w:val="baseline"/>
        </w:rPr>
        <w:t> </w:t>
      </w:r>
      <w:r>
        <w:rPr>
          <w:vertAlign w:val="baseline"/>
        </w:rPr>
        <w:t>sexual</w:t>
      </w:r>
      <w:r>
        <w:rPr>
          <w:spacing w:val="-12"/>
          <w:vertAlign w:val="baseline"/>
        </w:rPr>
        <w:t> </w:t>
      </w:r>
      <w:r>
        <w:rPr>
          <w:vertAlign w:val="baseline"/>
        </w:rPr>
        <w:t>assault,</w:t>
      </w:r>
      <w:r>
        <w:rPr>
          <w:spacing w:val="-13"/>
          <w:vertAlign w:val="baseline"/>
        </w:rPr>
        <w:t> </w:t>
      </w:r>
      <w:r>
        <w:rPr>
          <w:vertAlign w:val="baseline"/>
        </w:rPr>
        <w:t>bullying,</w:t>
      </w:r>
      <w:r>
        <w:rPr>
          <w:spacing w:val="-12"/>
          <w:vertAlign w:val="baseline"/>
        </w:rPr>
        <w:t> </w:t>
      </w:r>
      <w:r>
        <w:rPr>
          <w:vertAlign w:val="baseline"/>
        </w:rPr>
        <w:t>family’s</w:t>
      </w:r>
      <w:r>
        <w:rPr>
          <w:spacing w:val="-13"/>
          <w:vertAlign w:val="baseline"/>
        </w:rPr>
        <w:t> </w:t>
      </w:r>
      <w:r>
        <w:rPr>
          <w:vertAlign w:val="baseline"/>
        </w:rPr>
        <w:t>low</w:t>
      </w:r>
      <w:r>
        <w:rPr>
          <w:spacing w:val="-12"/>
          <w:vertAlign w:val="baseline"/>
        </w:rPr>
        <w:t> </w:t>
      </w:r>
      <w:r>
        <w:rPr>
          <w:vertAlign w:val="baseline"/>
        </w:rPr>
        <w:t>income,</w:t>
      </w:r>
      <w:r>
        <w:rPr>
          <w:spacing w:val="-13"/>
          <w:vertAlign w:val="baseline"/>
        </w:rPr>
        <w:t> </w:t>
      </w:r>
      <w:r>
        <w:rPr>
          <w:vertAlign w:val="baseline"/>
        </w:rPr>
        <w:t>and</w:t>
      </w:r>
      <w:r>
        <w:rPr>
          <w:spacing w:val="-12"/>
          <w:vertAlign w:val="baseline"/>
        </w:rPr>
        <w:t> </w:t>
      </w:r>
      <w:r>
        <w:rPr>
          <w:vertAlign w:val="baseline"/>
        </w:rPr>
        <w:t>lack</w:t>
      </w:r>
      <w:r>
        <w:rPr>
          <w:spacing w:val="-12"/>
          <w:vertAlign w:val="baseline"/>
        </w:rPr>
        <w:t> </w:t>
      </w:r>
      <w:r>
        <w:rPr>
          <w:vertAlign w:val="baseline"/>
        </w:rPr>
        <w:t>of</w:t>
      </w:r>
      <w:r>
        <w:rPr>
          <w:spacing w:val="-13"/>
          <w:vertAlign w:val="baseline"/>
        </w:rPr>
        <w:t> </w:t>
      </w:r>
      <w:r>
        <w:rPr>
          <w:vertAlign w:val="baseline"/>
        </w:rPr>
        <w:t>access</w:t>
      </w:r>
      <w:r>
        <w:rPr>
          <w:spacing w:val="-12"/>
          <w:vertAlign w:val="baseline"/>
        </w:rPr>
        <w:t> </w:t>
      </w:r>
      <w:r>
        <w:rPr>
          <w:vertAlign w:val="baseline"/>
        </w:rPr>
        <w:t>to</w:t>
      </w:r>
      <w:r>
        <w:rPr>
          <w:spacing w:val="-13"/>
          <w:vertAlign w:val="baseline"/>
        </w:rPr>
        <w:t> </w:t>
      </w:r>
      <w:r>
        <w:rPr>
          <w:vertAlign w:val="baseline"/>
        </w:rPr>
        <w:t>appropriate</w:t>
      </w:r>
      <w:r>
        <w:rPr>
          <w:spacing w:val="-12"/>
          <w:vertAlign w:val="baseline"/>
        </w:rPr>
        <w:t> </w:t>
      </w:r>
      <w:r>
        <w:rPr>
          <w:vertAlign w:val="baseline"/>
        </w:rPr>
        <w:t>sexual</w:t>
      </w:r>
      <w:r>
        <w:rPr>
          <w:spacing w:val="-13"/>
          <w:vertAlign w:val="baseline"/>
        </w:rPr>
        <w:t> </w:t>
      </w:r>
      <w:r>
        <w:rPr>
          <w:vertAlign w:val="baseline"/>
        </w:rPr>
        <w:t>health</w:t>
      </w:r>
      <w:r>
        <w:rPr>
          <w:spacing w:val="-12"/>
          <w:vertAlign w:val="baseline"/>
        </w:rPr>
        <w:t> </w:t>
      </w:r>
      <w:r>
        <w:rPr>
          <w:vertAlign w:val="baseline"/>
        </w:rPr>
        <w:t>education.</w:t>
      </w:r>
      <w:r>
        <w:rPr>
          <w:vertAlign w:val="superscript"/>
        </w:rPr>
        <w:t>42</w:t>
      </w:r>
    </w:p>
    <w:p>
      <w:pPr>
        <w:pStyle w:val="BodyText"/>
        <w:spacing w:line="276" w:lineRule="auto" w:before="122"/>
        <w:ind w:left="363" w:right="141"/>
        <w:jc w:val="both"/>
      </w:pPr>
      <w:r>
        <w:rPr/>
        <w:t>Consequently,</w:t>
      </w:r>
      <w:r>
        <w:rPr>
          <w:spacing w:val="-12"/>
        </w:rPr>
        <w:t> </w:t>
      </w:r>
      <w:r>
        <w:rPr/>
        <w:t>LGBTQ</w:t>
      </w:r>
      <w:r>
        <w:rPr>
          <w:spacing w:val="-13"/>
        </w:rPr>
        <w:t> </w:t>
      </w:r>
      <w:r>
        <w:rPr/>
        <w:t>youth</w:t>
      </w:r>
      <w:r>
        <w:rPr>
          <w:spacing w:val="-12"/>
        </w:rPr>
        <w:t> </w:t>
      </w:r>
      <w:r>
        <w:rPr/>
        <w:t>are</w:t>
      </w:r>
      <w:r>
        <w:rPr>
          <w:spacing w:val="-13"/>
        </w:rPr>
        <w:t> </w:t>
      </w:r>
      <w:r>
        <w:rPr/>
        <w:t>more</w:t>
      </w:r>
      <w:r>
        <w:rPr>
          <w:spacing w:val="-12"/>
        </w:rPr>
        <w:t> </w:t>
      </w:r>
      <w:r>
        <w:rPr/>
        <w:t>likely</w:t>
      </w:r>
      <w:r>
        <w:rPr>
          <w:spacing w:val="-12"/>
        </w:rPr>
        <w:t> </w:t>
      </w:r>
      <w:r>
        <w:rPr/>
        <w:t>than</w:t>
      </w:r>
      <w:r>
        <w:rPr>
          <w:spacing w:val="-11"/>
        </w:rPr>
        <w:t> </w:t>
      </w:r>
      <w:r>
        <w:rPr/>
        <w:t>cisgender,</w:t>
      </w:r>
      <w:r>
        <w:rPr>
          <w:spacing w:val="-12"/>
        </w:rPr>
        <w:t> </w:t>
      </w:r>
      <w:r>
        <w:rPr/>
        <w:t>heterosexual</w:t>
      </w:r>
      <w:r>
        <w:rPr>
          <w:spacing w:val="-12"/>
        </w:rPr>
        <w:t> </w:t>
      </w:r>
      <w:r>
        <w:rPr/>
        <w:t>youth</w:t>
      </w:r>
      <w:r>
        <w:rPr>
          <w:spacing w:val="-11"/>
        </w:rPr>
        <w:t> </w:t>
      </w:r>
      <w:r>
        <w:rPr/>
        <w:t>to</w:t>
      </w:r>
      <w:r>
        <w:rPr>
          <w:spacing w:val="-12"/>
        </w:rPr>
        <w:t> </w:t>
      </w:r>
      <w:r>
        <w:rPr/>
        <w:t>seek</w:t>
      </w:r>
      <w:r>
        <w:rPr>
          <w:spacing w:val="-13"/>
        </w:rPr>
        <w:t> </w:t>
      </w:r>
      <w:r>
        <w:rPr/>
        <w:t>access</w:t>
      </w:r>
      <w:r>
        <w:rPr>
          <w:spacing w:val="-11"/>
        </w:rPr>
        <w:t> </w:t>
      </w:r>
      <w:r>
        <w:rPr/>
        <w:t>for</w:t>
      </w:r>
      <w:r>
        <w:rPr>
          <w:spacing w:val="-12"/>
        </w:rPr>
        <w:t> </w:t>
      </w:r>
      <w:r>
        <w:rPr/>
        <w:t>abortion services;</w:t>
      </w:r>
      <w:r>
        <w:rPr>
          <w:spacing w:val="-2"/>
        </w:rPr>
        <w:t> </w:t>
      </w:r>
      <w:r>
        <w:rPr/>
        <w:t>one</w:t>
      </w:r>
      <w:r>
        <w:rPr>
          <w:spacing w:val="-1"/>
        </w:rPr>
        <w:t> </w:t>
      </w:r>
      <w:r>
        <w:rPr/>
        <w:t>national</w:t>
      </w:r>
      <w:r>
        <w:rPr>
          <w:spacing w:val="-2"/>
        </w:rPr>
        <w:t> </w:t>
      </w:r>
      <w:r>
        <w:rPr/>
        <w:t>study</w:t>
      </w:r>
      <w:r>
        <w:rPr>
          <w:spacing w:val="-2"/>
        </w:rPr>
        <w:t> </w:t>
      </w:r>
      <w:r>
        <w:rPr/>
        <w:t>indicated</w:t>
      </w:r>
      <w:r>
        <w:rPr>
          <w:spacing w:val="-1"/>
        </w:rPr>
        <w:t> </w:t>
      </w:r>
      <w:r>
        <w:rPr/>
        <w:t>that</w:t>
      </w:r>
      <w:r>
        <w:rPr>
          <w:spacing w:val="-2"/>
        </w:rPr>
        <w:t> </w:t>
      </w:r>
      <w:r>
        <w:rPr/>
        <w:t>bisexual</w:t>
      </w:r>
      <w:r>
        <w:rPr>
          <w:spacing w:val="-2"/>
        </w:rPr>
        <w:t> </w:t>
      </w:r>
      <w:r>
        <w:rPr/>
        <w:t>teens</w:t>
      </w:r>
      <w:r>
        <w:rPr>
          <w:spacing w:val="-1"/>
        </w:rPr>
        <w:t> </w:t>
      </w:r>
      <w:r>
        <w:rPr/>
        <w:t>were</w:t>
      </w:r>
      <w:r>
        <w:rPr>
          <w:spacing w:val="-1"/>
        </w:rPr>
        <w:t> </w:t>
      </w:r>
      <w:r>
        <w:rPr/>
        <w:t>three</w:t>
      </w:r>
      <w:r>
        <w:rPr>
          <w:spacing w:val="-2"/>
        </w:rPr>
        <w:t> </w:t>
      </w:r>
      <w:r>
        <w:rPr/>
        <w:t>times</w:t>
      </w:r>
      <w:r>
        <w:rPr>
          <w:spacing w:val="-1"/>
        </w:rPr>
        <w:t> </w:t>
      </w:r>
      <w:r>
        <w:rPr/>
        <w:t>more</w:t>
      </w:r>
      <w:r>
        <w:rPr>
          <w:spacing w:val="-2"/>
        </w:rPr>
        <w:t> </w:t>
      </w:r>
      <w:r>
        <w:rPr/>
        <w:t>likely</w:t>
      </w:r>
      <w:r>
        <w:rPr>
          <w:spacing w:val="-1"/>
        </w:rPr>
        <w:t> </w:t>
      </w:r>
      <w:r>
        <w:rPr/>
        <w:t>than</w:t>
      </w:r>
      <w:r>
        <w:rPr>
          <w:spacing w:val="-1"/>
        </w:rPr>
        <w:t> </w:t>
      </w:r>
      <w:r>
        <w:rPr/>
        <w:t>heterosexual teens to have an abortion.</w:t>
      </w:r>
      <w:r>
        <w:rPr>
          <w:vertAlign w:val="superscript"/>
        </w:rPr>
        <w:t>43</w:t>
      </w:r>
      <w:r>
        <w:rPr>
          <w:vertAlign w:val="baseline"/>
        </w:rPr>
        <w:t> In a 2021 national study of transgender, nonbinary, and gender expansive people assigned-female-at-birth or intersex who were mostly under 30 years old, 21% who had been pregnant</w:t>
      </w:r>
      <w:r>
        <w:rPr>
          <w:spacing w:val="-1"/>
          <w:vertAlign w:val="baseline"/>
        </w:rPr>
        <w:t> </w:t>
      </w:r>
      <w:r>
        <w:rPr>
          <w:vertAlign w:val="baseline"/>
        </w:rPr>
        <w:t>had</w:t>
      </w:r>
      <w:r>
        <w:rPr>
          <w:spacing w:val="-1"/>
          <w:vertAlign w:val="baseline"/>
        </w:rPr>
        <w:t> </w:t>
      </w:r>
      <w:r>
        <w:rPr>
          <w:vertAlign w:val="baseline"/>
        </w:rPr>
        <w:t>gotten</w:t>
      </w:r>
      <w:r>
        <w:rPr>
          <w:spacing w:val="-1"/>
          <w:vertAlign w:val="baseline"/>
        </w:rPr>
        <w:t> </w:t>
      </w:r>
      <w:r>
        <w:rPr>
          <w:vertAlign w:val="baseline"/>
        </w:rPr>
        <w:t>an</w:t>
      </w:r>
      <w:r>
        <w:rPr>
          <w:spacing w:val="-1"/>
          <w:vertAlign w:val="baseline"/>
        </w:rPr>
        <w:t> </w:t>
      </w:r>
      <w:r>
        <w:rPr>
          <w:vertAlign w:val="baseline"/>
        </w:rPr>
        <w:t>abortion.</w:t>
      </w:r>
      <w:r>
        <w:rPr>
          <w:vertAlign w:val="superscript"/>
        </w:rPr>
        <w:t>44</w:t>
      </w:r>
      <w:r>
        <w:rPr>
          <w:spacing w:val="-1"/>
          <w:vertAlign w:val="baseline"/>
        </w:rPr>
        <w:t> </w:t>
      </w:r>
      <w:r>
        <w:rPr>
          <w:vertAlign w:val="baseline"/>
        </w:rPr>
        <w:t>Similar</w:t>
      </w:r>
      <w:r>
        <w:rPr>
          <w:spacing w:val="-1"/>
          <w:vertAlign w:val="baseline"/>
        </w:rPr>
        <w:t> </w:t>
      </w:r>
      <w:r>
        <w:rPr>
          <w:vertAlign w:val="baseline"/>
        </w:rPr>
        <w:t>barriers</w:t>
      </w:r>
      <w:r>
        <w:rPr>
          <w:spacing w:val="-1"/>
          <w:vertAlign w:val="baseline"/>
        </w:rPr>
        <w:t> </w:t>
      </w:r>
      <w:r>
        <w:rPr>
          <w:vertAlign w:val="baseline"/>
        </w:rPr>
        <w:t>to</w:t>
      </w:r>
      <w:r>
        <w:rPr>
          <w:spacing w:val="-1"/>
          <w:vertAlign w:val="baseline"/>
        </w:rPr>
        <w:t> </w:t>
      </w:r>
      <w:r>
        <w:rPr>
          <w:vertAlign w:val="baseline"/>
        </w:rPr>
        <w:t>contraception</w:t>
      </w:r>
      <w:r>
        <w:rPr>
          <w:spacing w:val="-1"/>
          <w:vertAlign w:val="baseline"/>
        </w:rPr>
        <w:t> </w:t>
      </w:r>
      <w:r>
        <w:rPr>
          <w:vertAlign w:val="baseline"/>
        </w:rPr>
        <w:t>access</w:t>
      </w:r>
      <w:r>
        <w:rPr>
          <w:spacing w:val="-1"/>
          <w:vertAlign w:val="baseline"/>
        </w:rPr>
        <w:t> </w:t>
      </w:r>
      <w:r>
        <w:rPr>
          <w:vertAlign w:val="baseline"/>
        </w:rPr>
        <w:t>also</w:t>
      </w:r>
      <w:r>
        <w:rPr>
          <w:spacing w:val="-1"/>
          <w:vertAlign w:val="baseline"/>
        </w:rPr>
        <w:t> </w:t>
      </w:r>
      <w:r>
        <w:rPr>
          <w:vertAlign w:val="baseline"/>
        </w:rPr>
        <w:t>exist</w:t>
      </w:r>
      <w:r>
        <w:rPr>
          <w:spacing w:val="-1"/>
          <w:vertAlign w:val="baseline"/>
        </w:rPr>
        <w:t> </w:t>
      </w:r>
      <w:r>
        <w:rPr>
          <w:vertAlign w:val="baseline"/>
        </w:rPr>
        <w:t>for</w:t>
      </w:r>
      <w:r>
        <w:rPr>
          <w:spacing w:val="-1"/>
          <w:vertAlign w:val="baseline"/>
        </w:rPr>
        <w:t> </w:t>
      </w:r>
      <w:r>
        <w:rPr>
          <w:vertAlign w:val="baseline"/>
        </w:rPr>
        <w:t>abortion</w:t>
      </w:r>
      <w:r>
        <w:rPr>
          <w:spacing w:val="-1"/>
          <w:vertAlign w:val="baseline"/>
        </w:rPr>
        <w:t> </w:t>
      </w:r>
      <w:r>
        <w:rPr>
          <w:vertAlign w:val="baseline"/>
        </w:rPr>
        <w:t>access, including cost, health insurance coverage, transportation, medical discrimination and racism, unsupportive caregivers, and immigration status.</w:t>
      </w:r>
    </w:p>
    <w:p>
      <w:pPr>
        <w:pStyle w:val="BodyText"/>
      </w:pPr>
    </w:p>
    <w:p>
      <w:pPr>
        <w:pStyle w:val="BodyText"/>
        <w:spacing w:before="46"/>
      </w:pPr>
    </w:p>
    <w:p>
      <w:pPr>
        <w:spacing w:before="0"/>
        <w:ind w:left="363" w:right="0" w:firstLine="0"/>
        <w:jc w:val="both"/>
        <w:rPr>
          <w:sz w:val="26"/>
        </w:rPr>
      </w:pPr>
      <w:bookmarkStart w:name="Sexual Victimization" w:id="475"/>
      <w:bookmarkEnd w:id="475"/>
      <w:r>
        <w:rPr/>
      </w:r>
      <w:r>
        <w:rPr>
          <w:color w:val="095292"/>
          <w:sz w:val="26"/>
        </w:rPr>
        <w:t>Sexual</w:t>
      </w:r>
      <w:r>
        <w:rPr>
          <w:color w:val="095292"/>
          <w:spacing w:val="-2"/>
          <w:sz w:val="26"/>
        </w:rPr>
        <w:t> Victimization</w:t>
      </w:r>
    </w:p>
    <w:p>
      <w:pPr>
        <w:pStyle w:val="BodyText"/>
        <w:spacing w:before="142"/>
        <w:rPr>
          <w:sz w:val="26"/>
        </w:rPr>
      </w:pPr>
    </w:p>
    <w:p>
      <w:pPr>
        <w:pStyle w:val="BodyText"/>
        <w:spacing w:line="276" w:lineRule="auto"/>
        <w:ind w:left="363" w:right="140"/>
        <w:jc w:val="both"/>
      </w:pPr>
      <w:r>
        <w:rPr/>
        <w:t>As</w:t>
      </w:r>
      <w:r>
        <w:rPr>
          <w:spacing w:val="-4"/>
        </w:rPr>
        <w:t> </w:t>
      </w:r>
      <w:r>
        <w:rPr/>
        <w:t>discussed</w:t>
      </w:r>
      <w:r>
        <w:rPr>
          <w:spacing w:val="-2"/>
        </w:rPr>
        <w:t> </w:t>
      </w:r>
      <w:r>
        <w:rPr/>
        <w:t>further</w:t>
      </w:r>
      <w:r>
        <w:rPr>
          <w:spacing w:val="-3"/>
        </w:rPr>
        <w:t> </w:t>
      </w:r>
      <w:r>
        <w:rPr/>
        <w:t>in</w:t>
      </w:r>
      <w:r>
        <w:rPr>
          <w:spacing w:val="-3"/>
        </w:rPr>
        <w:t> </w:t>
      </w:r>
      <w:r>
        <w:rPr/>
        <w:t>the</w:t>
      </w:r>
      <w:r>
        <w:rPr>
          <w:spacing w:val="-3"/>
        </w:rPr>
        <w:t> </w:t>
      </w:r>
      <w:r>
        <w:rPr/>
        <w:t>public</w:t>
      </w:r>
      <w:r>
        <w:rPr>
          <w:spacing w:val="-3"/>
        </w:rPr>
        <w:t> </w:t>
      </w:r>
      <w:r>
        <w:rPr/>
        <w:t>health</w:t>
      </w:r>
      <w:r>
        <w:rPr>
          <w:spacing w:val="-3"/>
        </w:rPr>
        <w:t> </w:t>
      </w:r>
      <w:r>
        <w:rPr/>
        <w:t>section,</w:t>
      </w:r>
      <w:r>
        <w:rPr>
          <w:spacing w:val="-3"/>
        </w:rPr>
        <w:t> </w:t>
      </w:r>
      <w:r>
        <w:rPr/>
        <w:t>LGBTQ</w:t>
      </w:r>
      <w:r>
        <w:rPr>
          <w:spacing w:val="-4"/>
        </w:rPr>
        <w:t> </w:t>
      </w:r>
      <w:r>
        <w:rPr/>
        <w:t>youth,</w:t>
      </w:r>
      <w:r>
        <w:rPr>
          <w:spacing w:val="-4"/>
        </w:rPr>
        <w:t> </w:t>
      </w:r>
      <w:r>
        <w:rPr/>
        <w:t>particularly</w:t>
      </w:r>
      <w:r>
        <w:rPr>
          <w:spacing w:val="-3"/>
        </w:rPr>
        <w:t> </w:t>
      </w:r>
      <w:r>
        <w:rPr/>
        <w:t>QTBIPOC</w:t>
      </w:r>
      <w:r>
        <w:rPr>
          <w:spacing w:val="-4"/>
        </w:rPr>
        <w:t> </w:t>
      </w:r>
      <w:r>
        <w:rPr/>
        <w:t>youth,</w:t>
      </w:r>
      <w:r>
        <w:rPr>
          <w:spacing w:val="-4"/>
        </w:rPr>
        <w:t> </w:t>
      </w:r>
      <w:r>
        <w:rPr/>
        <w:t>are</w:t>
      </w:r>
      <w:r>
        <w:rPr>
          <w:spacing w:val="-4"/>
        </w:rPr>
        <w:t> </w:t>
      </w:r>
      <w:r>
        <w:rPr/>
        <w:t>at</w:t>
      </w:r>
      <w:r>
        <w:rPr>
          <w:spacing w:val="-4"/>
        </w:rPr>
        <w:t> </w:t>
      </w:r>
      <w:r>
        <w:rPr/>
        <w:t>a</w:t>
      </w:r>
      <w:r>
        <w:rPr>
          <w:spacing w:val="-3"/>
        </w:rPr>
        <w:t> </w:t>
      </w:r>
      <w:r>
        <w:rPr/>
        <w:t>much higher risk of sexual violence compared to white, cisgender, and heterosexual youth. Stigmatization and hypersexualization of LGBTQ people, racism, sexism, transphobia, homophobia, and other forms of marginalization are some of the factors that lead to these concerning disparities, and also make it less likely that LGBTQ youth will report sexual violence incidents or assaults to law enforcement.</w:t>
      </w:r>
      <w:r>
        <w:rPr>
          <w:vertAlign w:val="superscript"/>
        </w:rPr>
        <w:t>45</w:t>
      </w:r>
    </w:p>
    <w:p>
      <w:pPr>
        <w:pStyle w:val="BodyText"/>
        <w:spacing w:line="276" w:lineRule="auto" w:before="120"/>
        <w:ind w:left="363" w:right="139"/>
        <w:jc w:val="both"/>
      </w:pPr>
      <w:r>
        <w:rPr/>
        <w:t>Furthermore,</w:t>
      </w:r>
      <w:r>
        <w:rPr>
          <w:spacing w:val="-7"/>
        </w:rPr>
        <w:t> </w:t>
      </w:r>
      <w:r>
        <w:rPr/>
        <w:t>LGBTQ</w:t>
      </w:r>
      <w:r>
        <w:rPr>
          <w:spacing w:val="-8"/>
        </w:rPr>
        <w:t> </w:t>
      </w:r>
      <w:r>
        <w:rPr/>
        <w:t>youth</w:t>
      </w:r>
      <w:r>
        <w:rPr>
          <w:spacing w:val="-7"/>
        </w:rPr>
        <w:t> </w:t>
      </w:r>
      <w:r>
        <w:rPr/>
        <w:t>reported</w:t>
      </w:r>
      <w:r>
        <w:rPr>
          <w:spacing w:val="-7"/>
        </w:rPr>
        <w:t> </w:t>
      </w:r>
      <w:r>
        <w:rPr/>
        <w:t>childhood</w:t>
      </w:r>
      <w:r>
        <w:rPr>
          <w:spacing w:val="-8"/>
        </w:rPr>
        <w:t> </w:t>
      </w:r>
      <w:r>
        <w:rPr/>
        <w:t>sexual</w:t>
      </w:r>
      <w:r>
        <w:rPr>
          <w:spacing w:val="-6"/>
        </w:rPr>
        <w:t> </w:t>
      </w:r>
      <w:r>
        <w:rPr/>
        <w:t>abuse</w:t>
      </w:r>
      <w:r>
        <w:rPr>
          <w:spacing w:val="-8"/>
        </w:rPr>
        <w:t> </w:t>
      </w:r>
      <w:r>
        <w:rPr/>
        <w:t>at</w:t>
      </w:r>
      <w:r>
        <w:rPr>
          <w:spacing w:val="-7"/>
        </w:rPr>
        <w:t> </w:t>
      </w:r>
      <w:r>
        <w:rPr/>
        <w:t>a</w:t>
      </w:r>
      <w:r>
        <w:rPr>
          <w:spacing w:val="-7"/>
        </w:rPr>
        <w:t> </w:t>
      </w:r>
      <w:r>
        <w:rPr/>
        <w:t>higher</w:t>
      </w:r>
      <w:r>
        <w:rPr>
          <w:spacing w:val="-7"/>
        </w:rPr>
        <w:t> </w:t>
      </w:r>
      <w:r>
        <w:rPr/>
        <w:t>rate</w:t>
      </w:r>
      <w:r>
        <w:rPr>
          <w:spacing w:val="-6"/>
        </w:rPr>
        <w:t> </w:t>
      </w:r>
      <w:r>
        <w:rPr/>
        <w:t>than</w:t>
      </w:r>
      <w:r>
        <w:rPr>
          <w:spacing w:val="-8"/>
        </w:rPr>
        <w:t> </w:t>
      </w:r>
      <w:r>
        <w:rPr/>
        <w:t>heterosexual,</w:t>
      </w:r>
      <w:r>
        <w:rPr>
          <w:spacing w:val="-7"/>
        </w:rPr>
        <w:t> </w:t>
      </w:r>
      <w:r>
        <w:rPr/>
        <w:t>cisgender teens;</w:t>
      </w:r>
      <w:r>
        <w:rPr>
          <w:vertAlign w:val="superscript"/>
        </w:rPr>
        <w:t>46</w:t>
      </w:r>
      <w:r>
        <w:rPr>
          <w:spacing w:val="-4"/>
          <w:vertAlign w:val="baseline"/>
        </w:rPr>
        <w:t> </w:t>
      </w:r>
      <w:r>
        <w:rPr>
          <w:vertAlign w:val="baseline"/>
        </w:rPr>
        <w:t>19%</w:t>
      </w:r>
      <w:r>
        <w:rPr>
          <w:spacing w:val="-1"/>
          <w:vertAlign w:val="baseline"/>
        </w:rPr>
        <w:t> </w:t>
      </w:r>
      <w:r>
        <w:rPr>
          <w:vertAlign w:val="baseline"/>
        </w:rPr>
        <w:t>of</w:t>
      </w:r>
      <w:r>
        <w:rPr>
          <w:spacing w:val="-4"/>
          <w:vertAlign w:val="baseline"/>
        </w:rPr>
        <w:t> </w:t>
      </w:r>
      <w:r>
        <w:rPr>
          <w:vertAlign w:val="baseline"/>
        </w:rPr>
        <w:t>gender</w:t>
      </w:r>
      <w:r>
        <w:rPr>
          <w:spacing w:val="-3"/>
          <w:vertAlign w:val="baseline"/>
        </w:rPr>
        <w:t> </w:t>
      </w:r>
      <w:r>
        <w:rPr>
          <w:vertAlign w:val="baseline"/>
        </w:rPr>
        <w:t>expansive</w:t>
      </w:r>
      <w:r>
        <w:rPr>
          <w:spacing w:val="-4"/>
          <w:vertAlign w:val="baseline"/>
        </w:rPr>
        <w:t> </w:t>
      </w:r>
      <w:r>
        <w:rPr>
          <w:vertAlign w:val="baseline"/>
        </w:rPr>
        <w:t>teens</w:t>
      </w:r>
      <w:r>
        <w:rPr>
          <w:spacing w:val="-4"/>
          <w:vertAlign w:val="baseline"/>
        </w:rPr>
        <w:t> </w:t>
      </w:r>
      <w:r>
        <w:rPr>
          <w:vertAlign w:val="baseline"/>
        </w:rPr>
        <w:t>reported</w:t>
      </w:r>
      <w:r>
        <w:rPr>
          <w:spacing w:val="-3"/>
          <w:vertAlign w:val="baseline"/>
        </w:rPr>
        <w:t> </w:t>
      </w:r>
      <w:r>
        <w:rPr>
          <w:vertAlign w:val="baseline"/>
        </w:rPr>
        <w:t>childhood</w:t>
      </w:r>
      <w:r>
        <w:rPr>
          <w:spacing w:val="-4"/>
          <w:vertAlign w:val="baseline"/>
        </w:rPr>
        <w:t> </w:t>
      </w:r>
      <w:r>
        <w:rPr>
          <w:vertAlign w:val="baseline"/>
        </w:rPr>
        <w:t>sexual</w:t>
      </w:r>
      <w:r>
        <w:rPr>
          <w:spacing w:val="-3"/>
          <w:vertAlign w:val="baseline"/>
        </w:rPr>
        <w:t> </w:t>
      </w:r>
      <w:r>
        <w:rPr>
          <w:vertAlign w:val="baseline"/>
        </w:rPr>
        <w:t>abuse,</w:t>
      </w:r>
      <w:r>
        <w:rPr>
          <w:spacing w:val="-4"/>
          <w:vertAlign w:val="baseline"/>
        </w:rPr>
        <w:t> </w:t>
      </w:r>
      <w:r>
        <w:rPr>
          <w:vertAlign w:val="baseline"/>
        </w:rPr>
        <w:t>with</w:t>
      </w:r>
      <w:r>
        <w:rPr>
          <w:spacing w:val="-3"/>
          <w:vertAlign w:val="baseline"/>
        </w:rPr>
        <w:t> </w:t>
      </w:r>
      <w:r>
        <w:rPr>
          <w:vertAlign w:val="baseline"/>
        </w:rPr>
        <w:t>nonbinary</w:t>
      </w:r>
      <w:r>
        <w:rPr>
          <w:spacing w:val="-4"/>
          <w:vertAlign w:val="baseline"/>
        </w:rPr>
        <w:t> </w:t>
      </w:r>
      <w:r>
        <w:rPr>
          <w:vertAlign w:val="baseline"/>
        </w:rPr>
        <w:t>youth</w:t>
      </w:r>
      <w:r>
        <w:rPr>
          <w:spacing w:val="-4"/>
          <w:vertAlign w:val="baseline"/>
        </w:rPr>
        <w:t> </w:t>
      </w:r>
      <w:r>
        <w:rPr>
          <w:vertAlign w:val="baseline"/>
        </w:rPr>
        <w:t>assigned- female-at-birth</w:t>
      </w:r>
      <w:r>
        <w:rPr>
          <w:spacing w:val="-10"/>
          <w:vertAlign w:val="baseline"/>
        </w:rPr>
        <w:t> </w:t>
      </w:r>
      <w:r>
        <w:rPr>
          <w:vertAlign w:val="baseline"/>
        </w:rPr>
        <w:t>most</w:t>
      </w:r>
      <w:r>
        <w:rPr>
          <w:spacing w:val="-11"/>
          <w:vertAlign w:val="baseline"/>
        </w:rPr>
        <w:t> </w:t>
      </w:r>
      <w:r>
        <w:rPr>
          <w:vertAlign w:val="baseline"/>
        </w:rPr>
        <w:t>at</w:t>
      </w:r>
      <w:r>
        <w:rPr>
          <w:spacing w:val="-12"/>
          <w:vertAlign w:val="baseline"/>
        </w:rPr>
        <w:t> </w:t>
      </w:r>
      <w:r>
        <w:rPr>
          <w:vertAlign w:val="baseline"/>
        </w:rPr>
        <w:t>risk.</w:t>
      </w:r>
      <w:r>
        <w:rPr>
          <w:vertAlign w:val="superscript"/>
        </w:rPr>
        <w:t>47</w:t>
      </w:r>
      <w:r>
        <w:rPr>
          <w:spacing w:val="-11"/>
          <w:vertAlign w:val="baseline"/>
        </w:rPr>
        <w:t> </w:t>
      </w:r>
      <w:r>
        <w:rPr>
          <w:vertAlign w:val="baseline"/>
        </w:rPr>
        <w:t>In</w:t>
      </w:r>
      <w:r>
        <w:rPr>
          <w:spacing w:val="-10"/>
          <w:vertAlign w:val="baseline"/>
        </w:rPr>
        <w:t> </w:t>
      </w:r>
      <w:r>
        <w:rPr>
          <w:vertAlign w:val="baseline"/>
        </w:rPr>
        <w:t>the</w:t>
      </w:r>
      <w:r>
        <w:rPr>
          <w:spacing w:val="-10"/>
          <w:vertAlign w:val="baseline"/>
        </w:rPr>
        <w:t> </w:t>
      </w:r>
      <w:r>
        <w:rPr>
          <w:vertAlign w:val="baseline"/>
        </w:rPr>
        <w:t>2021</w:t>
      </w:r>
      <w:r>
        <w:rPr>
          <w:spacing w:val="-11"/>
          <w:vertAlign w:val="baseline"/>
        </w:rPr>
        <w:t> </w:t>
      </w:r>
      <w:r>
        <w:rPr>
          <w:vertAlign w:val="baseline"/>
        </w:rPr>
        <w:t>Massachusetts</w:t>
      </w:r>
      <w:r>
        <w:rPr>
          <w:spacing w:val="-10"/>
          <w:vertAlign w:val="baseline"/>
        </w:rPr>
        <w:t> </w:t>
      </w:r>
      <w:r>
        <w:rPr>
          <w:vertAlign w:val="baseline"/>
        </w:rPr>
        <w:t>YRBS</w:t>
      </w:r>
      <w:r>
        <w:rPr>
          <w:spacing w:val="-10"/>
          <w:vertAlign w:val="baseline"/>
        </w:rPr>
        <w:t> </w:t>
      </w:r>
      <w:r>
        <w:rPr>
          <w:vertAlign w:val="baseline"/>
        </w:rPr>
        <w:t>survey,</w:t>
      </w:r>
      <w:r>
        <w:rPr>
          <w:vertAlign w:val="superscript"/>
        </w:rPr>
        <w:t>48</w:t>
      </w:r>
      <w:r>
        <w:rPr>
          <w:spacing w:val="-12"/>
          <w:vertAlign w:val="baseline"/>
        </w:rPr>
        <w:t> </w:t>
      </w:r>
      <w:r>
        <w:rPr>
          <w:vertAlign w:val="baseline"/>
        </w:rPr>
        <w:t>20%</w:t>
      </w:r>
      <w:r>
        <w:rPr>
          <w:spacing w:val="-11"/>
          <w:vertAlign w:val="baseline"/>
        </w:rPr>
        <w:t> </w:t>
      </w:r>
      <w:r>
        <w:rPr>
          <w:vertAlign w:val="baseline"/>
        </w:rPr>
        <w:t>of</w:t>
      </w:r>
      <w:r>
        <w:rPr>
          <w:spacing w:val="-9"/>
          <w:vertAlign w:val="baseline"/>
        </w:rPr>
        <w:t> </w:t>
      </w:r>
      <w:r>
        <w:rPr>
          <w:vertAlign w:val="baseline"/>
        </w:rPr>
        <w:t>LGBQ</w:t>
      </w:r>
      <w:r>
        <w:rPr>
          <w:spacing w:val="-10"/>
          <w:vertAlign w:val="baseline"/>
        </w:rPr>
        <w:t> </w:t>
      </w:r>
      <w:r>
        <w:rPr>
          <w:vertAlign w:val="baseline"/>
        </w:rPr>
        <w:t>youth</w:t>
      </w:r>
      <w:r>
        <w:rPr>
          <w:spacing w:val="-10"/>
          <w:vertAlign w:val="baseline"/>
        </w:rPr>
        <w:t> </w:t>
      </w:r>
      <w:r>
        <w:rPr>
          <w:vertAlign w:val="baseline"/>
        </w:rPr>
        <w:t>indicated</w:t>
      </w:r>
      <w:r>
        <w:rPr>
          <w:spacing w:val="-10"/>
          <w:vertAlign w:val="baseline"/>
        </w:rPr>
        <w:t> </w:t>
      </w:r>
      <w:r>
        <w:rPr>
          <w:vertAlign w:val="baseline"/>
        </w:rPr>
        <w:t>they were</w:t>
      </w:r>
      <w:r>
        <w:rPr>
          <w:spacing w:val="-8"/>
          <w:vertAlign w:val="baseline"/>
        </w:rPr>
        <w:t> </w:t>
      </w:r>
      <w:r>
        <w:rPr>
          <w:vertAlign w:val="baseline"/>
        </w:rPr>
        <w:t>forced</w:t>
      </w:r>
      <w:r>
        <w:rPr>
          <w:spacing w:val="-7"/>
          <w:vertAlign w:val="baseline"/>
        </w:rPr>
        <w:t> </w:t>
      </w:r>
      <w:r>
        <w:rPr>
          <w:vertAlign w:val="baseline"/>
        </w:rPr>
        <w:t>to</w:t>
      </w:r>
      <w:r>
        <w:rPr>
          <w:spacing w:val="-7"/>
          <w:vertAlign w:val="baseline"/>
        </w:rPr>
        <w:t> </w:t>
      </w:r>
      <w:r>
        <w:rPr>
          <w:vertAlign w:val="baseline"/>
        </w:rPr>
        <w:t>have</w:t>
      </w:r>
      <w:r>
        <w:rPr>
          <w:spacing w:val="-8"/>
          <w:vertAlign w:val="baseline"/>
        </w:rPr>
        <w:t> </w:t>
      </w:r>
      <w:r>
        <w:rPr>
          <w:vertAlign w:val="baseline"/>
        </w:rPr>
        <w:t>sex</w:t>
      </w:r>
      <w:r>
        <w:rPr>
          <w:spacing w:val="-8"/>
          <w:vertAlign w:val="baseline"/>
        </w:rPr>
        <w:t> </w:t>
      </w:r>
      <w:r>
        <w:rPr>
          <w:vertAlign w:val="baseline"/>
        </w:rPr>
        <w:t>when</w:t>
      </w:r>
      <w:r>
        <w:rPr>
          <w:spacing w:val="-8"/>
          <w:vertAlign w:val="baseline"/>
        </w:rPr>
        <w:t> </w:t>
      </w:r>
      <w:r>
        <w:rPr>
          <w:vertAlign w:val="baseline"/>
        </w:rPr>
        <w:t>they</w:t>
      </w:r>
      <w:r>
        <w:rPr>
          <w:spacing w:val="-8"/>
          <w:vertAlign w:val="baseline"/>
        </w:rPr>
        <w:t> </w:t>
      </w:r>
      <w:r>
        <w:rPr>
          <w:vertAlign w:val="baseline"/>
        </w:rPr>
        <w:t>did</w:t>
      </w:r>
      <w:r>
        <w:rPr>
          <w:spacing w:val="-7"/>
          <w:vertAlign w:val="baseline"/>
        </w:rPr>
        <w:t> </w:t>
      </w:r>
      <w:r>
        <w:rPr>
          <w:vertAlign w:val="baseline"/>
        </w:rPr>
        <w:t>not</w:t>
      </w:r>
      <w:r>
        <w:rPr>
          <w:spacing w:val="-8"/>
          <w:vertAlign w:val="baseline"/>
        </w:rPr>
        <w:t> </w:t>
      </w:r>
      <w:r>
        <w:rPr>
          <w:vertAlign w:val="baseline"/>
        </w:rPr>
        <w:t>want</w:t>
      </w:r>
      <w:r>
        <w:rPr>
          <w:spacing w:val="-7"/>
          <w:vertAlign w:val="baseline"/>
        </w:rPr>
        <w:t> </w:t>
      </w:r>
      <w:r>
        <w:rPr>
          <w:vertAlign w:val="baseline"/>
        </w:rPr>
        <w:t>to,</w:t>
      </w:r>
      <w:r>
        <w:rPr>
          <w:spacing w:val="-7"/>
          <w:vertAlign w:val="baseline"/>
        </w:rPr>
        <w:t> </w:t>
      </w:r>
      <w:r>
        <w:rPr>
          <w:vertAlign w:val="baseline"/>
        </w:rPr>
        <w:t>compared</w:t>
      </w:r>
      <w:r>
        <w:rPr>
          <w:spacing w:val="-7"/>
          <w:vertAlign w:val="baseline"/>
        </w:rPr>
        <w:t> </w:t>
      </w:r>
      <w:r>
        <w:rPr>
          <w:vertAlign w:val="baseline"/>
        </w:rPr>
        <w:t>to</w:t>
      </w:r>
      <w:r>
        <w:rPr>
          <w:spacing w:val="-6"/>
          <w:vertAlign w:val="baseline"/>
        </w:rPr>
        <w:t> </w:t>
      </w:r>
      <w:r>
        <w:rPr>
          <w:vertAlign w:val="baseline"/>
        </w:rPr>
        <w:t>5%</w:t>
      </w:r>
      <w:r>
        <w:rPr>
          <w:spacing w:val="-8"/>
          <w:vertAlign w:val="baseline"/>
        </w:rPr>
        <w:t> </w:t>
      </w:r>
      <w:r>
        <w:rPr>
          <w:vertAlign w:val="baseline"/>
        </w:rPr>
        <w:t>of</w:t>
      </w:r>
      <w:r>
        <w:rPr>
          <w:spacing w:val="-8"/>
          <w:vertAlign w:val="baseline"/>
        </w:rPr>
        <w:t> </w:t>
      </w:r>
      <w:r>
        <w:rPr>
          <w:vertAlign w:val="baseline"/>
        </w:rPr>
        <w:t>straight</w:t>
      </w:r>
      <w:r>
        <w:rPr>
          <w:spacing w:val="-7"/>
          <w:vertAlign w:val="baseline"/>
        </w:rPr>
        <w:t> </w:t>
      </w:r>
      <w:r>
        <w:rPr>
          <w:vertAlign w:val="baseline"/>
        </w:rPr>
        <w:t>youth.</w:t>
      </w:r>
      <w:r>
        <w:rPr>
          <w:spacing w:val="-7"/>
          <w:vertAlign w:val="baseline"/>
        </w:rPr>
        <w:t> </w:t>
      </w:r>
      <w:r>
        <w:rPr>
          <w:vertAlign w:val="baseline"/>
        </w:rPr>
        <w:t>In</w:t>
      </w:r>
      <w:r>
        <w:rPr>
          <w:spacing w:val="-7"/>
          <w:vertAlign w:val="baseline"/>
        </w:rPr>
        <w:t> </w:t>
      </w:r>
      <w:r>
        <w:rPr>
          <w:vertAlign w:val="baseline"/>
        </w:rPr>
        <w:t>the</w:t>
      </w:r>
      <w:r>
        <w:rPr>
          <w:spacing w:val="-7"/>
          <w:vertAlign w:val="baseline"/>
        </w:rPr>
        <w:t> </w:t>
      </w:r>
      <w:r>
        <w:rPr>
          <w:vertAlign w:val="baseline"/>
        </w:rPr>
        <w:t>same</w:t>
      </w:r>
      <w:r>
        <w:rPr>
          <w:spacing w:val="-8"/>
          <w:vertAlign w:val="baseline"/>
        </w:rPr>
        <w:t> </w:t>
      </w:r>
      <w:r>
        <w:rPr>
          <w:vertAlign w:val="baseline"/>
        </w:rPr>
        <w:t>survey, 22% of LGBQ+ youth reported experiencing sexual violence compared to 8% of heterosexual youth in Massachusetts. As mentioned above, nearly half of transgender people in the U.S. report being sexually abused</w:t>
      </w:r>
      <w:r>
        <w:rPr>
          <w:spacing w:val="-1"/>
          <w:vertAlign w:val="baseline"/>
        </w:rPr>
        <w:t> </w:t>
      </w:r>
      <w:r>
        <w:rPr>
          <w:vertAlign w:val="baseline"/>
        </w:rPr>
        <w:t>or assaulted at</w:t>
      </w:r>
      <w:r>
        <w:rPr>
          <w:spacing w:val="-1"/>
          <w:vertAlign w:val="baseline"/>
        </w:rPr>
        <w:t> </w:t>
      </w:r>
      <w:r>
        <w:rPr>
          <w:vertAlign w:val="baseline"/>
        </w:rPr>
        <w:t>some point in their life;</w:t>
      </w:r>
      <w:r>
        <w:rPr>
          <w:vertAlign w:val="superscript"/>
        </w:rPr>
        <w:t>49</w:t>
      </w:r>
      <w:r>
        <w:rPr>
          <w:spacing w:val="-1"/>
          <w:vertAlign w:val="baseline"/>
        </w:rPr>
        <w:t> </w:t>
      </w:r>
      <w:r>
        <w:rPr>
          <w:vertAlign w:val="baseline"/>
        </w:rPr>
        <w:t>46% of bisexual women</w:t>
      </w:r>
      <w:r>
        <w:rPr>
          <w:spacing w:val="-1"/>
          <w:vertAlign w:val="baseline"/>
        </w:rPr>
        <w:t> </w:t>
      </w:r>
      <w:r>
        <w:rPr>
          <w:vertAlign w:val="baseline"/>
        </w:rPr>
        <w:t>also report</w:t>
      </w:r>
      <w:r>
        <w:rPr>
          <w:spacing w:val="-1"/>
          <w:vertAlign w:val="baseline"/>
        </w:rPr>
        <w:t> </w:t>
      </w:r>
      <w:r>
        <w:rPr>
          <w:vertAlign w:val="baseline"/>
        </w:rPr>
        <w:t>being raped</w:t>
      </w:r>
      <w:r>
        <w:rPr>
          <w:spacing w:val="-1"/>
          <w:vertAlign w:val="baseline"/>
        </w:rPr>
        <w:t> </w:t>
      </w:r>
      <w:r>
        <w:rPr>
          <w:vertAlign w:val="baseline"/>
        </w:rPr>
        <w:t>at some point</w:t>
      </w:r>
      <w:r>
        <w:rPr>
          <w:spacing w:val="-9"/>
          <w:vertAlign w:val="baseline"/>
        </w:rPr>
        <w:t> </w:t>
      </w:r>
      <w:r>
        <w:rPr>
          <w:vertAlign w:val="baseline"/>
        </w:rPr>
        <w:t>in</w:t>
      </w:r>
      <w:r>
        <w:rPr>
          <w:spacing w:val="-8"/>
          <w:vertAlign w:val="baseline"/>
        </w:rPr>
        <w:t> </w:t>
      </w:r>
      <w:r>
        <w:rPr>
          <w:vertAlign w:val="baseline"/>
        </w:rPr>
        <w:t>their</w:t>
      </w:r>
      <w:r>
        <w:rPr>
          <w:spacing w:val="-8"/>
          <w:vertAlign w:val="baseline"/>
        </w:rPr>
        <w:t> </w:t>
      </w:r>
      <w:r>
        <w:rPr>
          <w:vertAlign w:val="baseline"/>
        </w:rPr>
        <w:t>lifetime</w:t>
      </w:r>
      <w:r>
        <w:rPr>
          <w:spacing w:val="-8"/>
          <w:vertAlign w:val="baseline"/>
        </w:rPr>
        <w:t> </w:t>
      </w:r>
      <w:r>
        <w:rPr>
          <w:vertAlign w:val="baseline"/>
        </w:rPr>
        <w:t>(compared</w:t>
      </w:r>
      <w:r>
        <w:rPr>
          <w:spacing w:val="-9"/>
          <w:vertAlign w:val="baseline"/>
        </w:rPr>
        <w:t> </w:t>
      </w:r>
      <w:r>
        <w:rPr>
          <w:vertAlign w:val="baseline"/>
        </w:rPr>
        <w:t>to</w:t>
      </w:r>
      <w:r>
        <w:rPr>
          <w:spacing w:val="-8"/>
          <w:vertAlign w:val="baseline"/>
        </w:rPr>
        <w:t> </w:t>
      </w:r>
      <w:r>
        <w:rPr>
          <w:vertAlign w:val="baseline"/>
        </w:rPr>
        <w:t>17%</w:t>
      </w:r>
      <w:r>
        <w:rPr>
          <w:spacing w:val="-8"/>
          <w:vertAlign w:val="baseline"/>
        </w:rPr>
        <w:t> </w:t>
      </w:r>
      <w:r>
        <w:rPr>
          <w:vertAlign w:val="baseline"/>
        </w:rPr>
        <w:t>of</w:t>
      </w:r>
      <w:r>
        <w:rPr>
          <w:spacing w:val="-9"/>
          <w:vertAlign w:val="baseline"/>
        </w:rPr>
        <w:t> </w:t>
      </w:r>
      <w:r>
        <w:rPr>
          <w:vertAlign w:val="baseline"/>
        </w:rPr>
        <w:t>straight</w:t>
      </w:r>
      <w:r>
        <w:rPr>
          <w:spacing w:val="-9"/>
          <w:vertAlign w:val="baseline"/>
        </w:rPr>
        <w:t> </w:t>
      </w:r>
      <w:r>
        <w:rPr>
          <w:vertAlign w:val="baseline"/>
        </w:rPr>
        <w:t>women)</w:t>
      </w:r>
      <w:r>
        <w:rPr>
          <w:spacing w:val="-8"/>
          <w:vertAlign w:val="baseline"/>
        </w:rPr>
        <w:t> </w:t>
      </w:r>
      <w:r>
        <w:rPr>
          <w:vertAlign w:val="baseline"/>
        </w:rPr>
        <w:t>and</w:t>
      </w:r>
      <w:r>
        <w:rPr>
          <w:spacing w:val="-9"/>
          <w:vertAlign w:val="baseline"/>
        </w:rPr>
        <w:t> </w:t>
      </w:r>
      <w:r>
        <w:rPr>
          <w:vertAlign w:val="baseline"/>
        </w:rPr>
        <w:t>for</w:t>
      </w:r>
      <w:r>
        <w:rPr>
          <w:spacing w:val="-9"/>
          <w:vertAlign w:val="baseline"/>
        </w:rPr>
        <w:t> </w:t>
      </w:r>
      <w:r>
        <w:rPr>
          <w:vertAlign w:val="baseline"/>
        </w:rPr>
        <w:t>nearly</w:t>
      </w:r>
      <w:r>
        <w:rPr>
          <w:spacing w:val="-9"/>
          <w:vertAlign w:val="baseline"/>
        </w:rPr>
        <w:t> </w:t>
      </w:r>
      <w:r>
        <w:rPr>
          <w:vertAlign w:val="baseline"/>
        </w:rPr>
        <w:t>48%</w:t>
      </w:r>
      <w:r>
        <w:rPr>
          <w:spacing w:val="-8"/>
          <w:vertAlign w:val="baseline"/>
        </w:rPr>
        <w:t> </w:t>
      </w:r>
      <w:r>
        <w:rPr>
          <w:vertAlign w:val="baseline"/>
        </w:rPr>
        <w:t>of</w:t>
      </w:r>
      <w:r>
        <w:rPr>
          <w:spacing w:val="-9"/>
          <w:vertAlign w:val="baseline"/>
        </w:rPr>
        <w:t> </w:t>
      </w:r>
      <w:r>
        <w:rPr>
          <w:vertAlign w:val="baseline"/>
        </w:rPr>
        <w:t>those</w:t>
      </w:r>
      <w:r>
        <w:rPr>
          <w:spacing w:val="-9"/>
          <w:vertAlign w:val="baseline"/>
        </w:rPr>
        <w:t> </w:t>
      </w:r>
      <w:r>
        <w:rPr>
          <w:vertAlign w:val="baseline"/>
        </w:rPr>
        <w:t>women,</w:t>
      </w:r>
      <w:r>
        <w:rPr>
          <w:spacing w:val="-9"/>
          <w:vertAlign w:val="baseline"/>
        </w:rPr>
        <w:t> </w:t>
      </w:r>
      <w:r>
        <w:rPr>
          <w:vertAlign w:val="baseline"/>
        </w:rPr>
        <w:t>their</w:t>
      </w:r>
      <w:r>
        <w:rPr>
          <w:spacing w:val="-8"/>
          <w:vertAlign w:val="baseline"/>
        </w:rPr>
        <w:t> </w:t>
      </w:r>
      <w:r>
        <w:rPr>
          <w:vertAlign w:val="baseline"/>
        </w:rPr>
        <w:t>first rape</w:t>
      </w:r>
      <w:r>
        <w:rPr>
          <w:spacing w:val="-9"/>
          <w:vertAlign w:val="baseline"/>
        </w:rPr>
        <w:t> </w:t>
      </w:r>
      <w:r>
        <w:rPr>
          <w:vertAlign w:val="baseline"/>
        </w:rPr>
        <w:t>occurred</w:t>
      </w:r>
      <w:r>
        <w:rPr>
          <w:spacing w:val="-9"/>
          <w:vertAlign w:val="baseline"/>
        </w:rPr>
        <w:t> </w:t>
      </w:r>
      <w:r>
        <w:rPr>
          <w:vertAlign w:val="baseline"/>
        </w:rPr>
        <w:t>between</w:t>
      </w:r>
      <w:r>
        <w:rPr>
          <w:spacing w:val="-8"/>
          <w:vertAlign w:val="baseline"/>
        </w:rPr>
        <w:t> </w:t>
      </w:r>
      <w:r>
        <w:rPr>
          <w:vertAlign w:val="baseline"/>
        </w:rPr>
        <w:t>the</w:t>
      </w:r>
      <w:r>
        <w:rPr>
          <w:spacing w:val="-9"/>
          <w:vertAlign w:val="baseline"/>
        </w:rPr>
        <w:t> </w:t>
      </w:r>
      <w:r>
        <w:rPr>
          <w:vertAlign w:val="baseline"/>
        </w:rPr>
        <w:t>ages</w:t>
      </w:r>
      <w:r>
        <w:rPr>
          <w:spacing w:val="-8"/>
          <w:vertAlign w:val="baseline"/>
        </w:rPr>
        <w:t> </w:t>
      </w:r>
      <w:r>
        <w:rPr>
          <w:vertAlign w:val="baseline"/>
        </w:rPr>
        <w:t>of</w:t>
      </w:r>
      <w:r>
        <w:rPr>
          <w:spacing w:val="-9"/>
          <w:vertAlign w:val="baseline"/>
        </w:rPr>
        <w:t> </w:t>
      </w:r>
      <w:r>
        <w:rPr>
          <w:vertAlign w:val="baseline"/>
        </w:rPr>
        <w:t>11</w:t>
      </w:r>
      <w:r>
        <w:rPr>
          <w:spacing w:val="-9"/>
          <w:vertAlign w:val="baseline"/>
        </w:rPr>
        <w:t> </w:t>
      </w:r>
      <w:r>
        <w:rPr>
          <w:vertAlign w:val="baseline"/>
        </w:rPr>
        <w:t>and</w:t>
      </w:r>
      <w:r>
        <w:rPr>
          <w:spacing w:val="-9"/>
          <w:vertAlign w:val="baseline"/>
        </w:rPr>
        <w:t> </w:t>
      </w:r>
      <w:r>
        <w:rPr>
          <w:vertAlign w:val="baseline"/>
        </w:rPr>
        <w:t>17.</w:t>
      </w:r>
      <w:r>
        <w:rPr>
          <w:vertAlign w:val="superscript"/>
        </w:rPr>
        <w:t>50</w:t>
      </w:r>
      <w:r>
        <w:rPr>
          <w:spacing w:val="-8"/>
          <w:vertAlign w:val="baseline"/>
        </w:rPr>
        <w:t> </w:t>
      </w:r>
      <w:r>
        <w:rPr>
          <w:vertAlign w:val="baseline"/>
        </w:rPr>
        <w:t>Across</w:t>
      </w:r>
      <w:r>
        <w:rPr>
          <w:spacing w:val="-9"/>
          <w:vertAlign w:val="baseline"/>
        </w:rPr>
        <w:t> </w:t>
      </w:r>
      <w:r>
        <w:rPr>
          <w:vertAlign w:val="baseline"/>
        </w:rPr>
        <w:t>college</w:t>
      </w:r>
      <w:r>
        <w:rPr>
          <w:spacing w:val="-8"/>
          <w:vertAlign w:val="baseline"/>
        </w:rPr>
        <w:t> </w:t>
      </w:r>
      <w:r>
        <w:rPr>
          <w:vertAlign w:val="baseline"/>
        </w:rPr>
        <w:t>campuses,</w:t>
      </w:r>
      <w:r>
        <w:rPr>
          <w:spacing w:val="-9"/>
          <w:vertAlign w:val="baseline"/>
        </w:rPr>
        <w:t> </w:t>
      </w:r>
      <w:r>
        <w:rPr>
          <w:vertAlign w:val="baseline"/>
        </w:rPr>
        <w:t>research</w:t>
      </w:r>
      <w:r>
        <w:rPr>
          <w:spacing w:val="-9"/>
          <w:vertAlign w:val="baseline"/>
        </w:rPr>
        <w:t> </w:t>
      </w:r>
      <w:r>
        <w:rPr>
          <w:vertAlign w:val="baseline"/>
        </w:rPr>
        <w:t>has</w:t>
      </w:r>
      <w:r>
        <w:rPr>
          <w:spacing w:val="-9"/>
          <w:vertAlign w:val="baseline"/>
        </w:rPr>
        <w:t> </w:t>
      </w:r>
      <w:r>
        <w:rPr>
          <w:vertAlign w:val="baseline"/>
        </w:rPr>
        <w:t>long</w:t>
      </w:r>
      <w:r>
        <w:rPr>
          <w:spacing w:val="-7"/>
          <w:vertAlign w:val="baseline"/>
        </w:rPr>
        <w:t> </w:t>
      </w:r>
      <w:r>
        <w:rPr>
          <w:vertAlign w:val="baseline"/>
        </w:rPr>
        <w:t>demonstrated that</w:t>
      </w:r>
      <w:r>
        <w:rPr>
          <w:spacing w:val="-1"/>
          <w:vertAlign w:val="baseline"/>
        </w:rPr>
        <w:t> </w:t>
      </w:r>
      <w:r>
        <w:rPr>
          <w:vertAlign w:val="baseline"/>
        </w:rPr>
        <w:t>sexual</w:t>
      </w:r>
      <w:r>
        <w:rPr>
          <w:spacing w:val="-1"/>
          <w:vertAlign w:val="baseline"/>
        </w:rPr>
        <w:t> </w:t>
      </w:r>
      <w:r>
        <w:rPr>
          <w:vertAlign w:val="baseline"/>
        </w:rPr>
        <w:t>violence</w:t>
      </w:r>
      <w:r>
        <w:rPr>
          <w:spacing w:val="-1"/>
          <w:vertAlign w:val="baseline"/>
        </w:rPr>
        <w:t> </w:t>
      </w:r>
      <w:r>
        <w:rPr>
          <w:vertAlign w:val="baseline"/>
        </w:rPr>
        <w:t>is</w:t>
      </w:r>
      <w:r>
        <w:rPr>
          <w:spacing w:val="-1"/>
          <w:vertAlign w:val="baseline"/>
        </w:rPr>
        <w:t> </w:t>
      </w:r>
      <w:r>
        <w:rPr>
          <w:vertAlign w:val="baseline"/>
        </w:rPr>
        <w:t>a pervasive</w:t>
      </w:r>
      <w:r>
        <w:rPr>
          <w:spacing w:val="-2"/>
          <w:vertAlign w:val="baseline"/>
        </w:rPr>
        <w:t> </w:t>
      </w:r>
      <w:r>
        <w:rPr>
          <w:vertAlign w:val="baseline"/>
        </w:rPr>
        <w:t>issue</w:t>
      </w:r>
      <w:r>
        <w:rPr>
          <w:spacing w:val="-1"/>
          <w:vertAlign w:val="baseline"/>
        </w:rPr>
        <w:t> </w:t>
      </w:r>
      <w:r>
        <w:rPr>
          <w:vertAlign w:val="baseline"/>
        </w:rPr>
        <w:t>that</w:t>
      </w:r>
      <w:r>
        <w:rPr>
          <w:spacing w:val="-1"/>
          <w:vertAlign w:val="baseline"/>
        </w:rPr>
        <w:t> </w:t>
      </w:r>
      <w:r>
        <w:rPr>
          <w:vertAlign w:val="baseline"/>
        </w:rPr>
        <w:t>LGBTQ</w:t>
      </w:r>
      <w:r>
        <w:rPr>
          <w:spacing w:val="-1"/>
          <w:vertAlign w:val="baseline"/>
        </w:rPr>
        <w:t> </w:t>
      </w:r>
      <w:r>
        <w:rPr>
          <w:vertAlign w:val="baseline"/>
        </w:rPr>
        <w:t>youth</w:t>
      </w:r>
      <w:r>
        <w:rPr>
          <w:spacing w:val="-1"/>
          <w:vertAlign w:val="baseline"/>
        </w:rPr>
        <w:t> </w:t>
      </w:r>
      <w:r>
        <w:rPr>
          <w:vertAlign w:val="baseline"/>
        </w:rPr>
        <w:t>experience</w:t>
      </w:r>
      <w:r>
        <w:rPr>
          <w:spacing w:val="-1"/>
          <w:vertAlign w:val="baseline"/>
        </w:rPr>
        <w:t> </w:t>
      </w:r>
      <w:r>
        <w:rPr>
          <w:vertAlign w:val="baseline"/>
        </w:rPr>
        <w:t>sexual</w:t>
      </w:r>
      <w:r>
        <w:rPr>
          <w:spacing w:val="-1"/>
          <w:vertAlign w:val="baseline"/>
        </w:rPr>
        <w:t> </w:t>
      </w:r>
      <w:r>
        <w:rPr>
          <w:vertAlign w:val="baseline"/>
        </w:rPr>
        <w:t>violence</w:t>
      </w:r>
      <w:r>
        <w:rPr>
          <w:spacing w:val="-1"/>
          <w:vertAlign w:val="baseline"/>
        </w:rPr>
        <w:t> </w:t>
      </w:r>
      <w:r>
        <w:rPr>
          <w:vertAlign w:val="baseline"/>
        </w:rPr>
        <w:t>at</w:t>
      </w:r>
      <w:r>
        <w:rPr>
          <w:spacing w:val="-1"/>
          <w:vertAlign w:val="baseline"/>
        </w:rPr>
        <w:t> </w:t>
      </w:r>
      <w:r>
        <w:rPr>
          <w:vertAlign w:val="baseline"/>
        </w:rPr>
        <w:t>disproportionate</w:t>
      </w:r>
    </w:p>
    <w:p>
      <w:pPr>
        <w:spacing w:after="0" w:line="276" w:lineRule="auto"/>
        <w:jc w:val="both"/>
        <w:sectPr>
          <w:pgSz w:w="12240" w:h="15840"/>
          <w:pgMar w:header="763" w:footer="1339" w:top="1180" w:bottom="1560" w:left="1080" w:right="1240"/>
        </w:sectPr>
      </w:pPr>
    </w:p>
    <w:p>
      <w:pPr>
        <w:pStyle w:val="BodyText"/>
        <w:spacing w:before="69"/>
        <w:ind w:left="363"/>
        <w:jc w:val="both"/>
      </w:pPr>
      <w:r>
        <w:rPr/>
        <w:t>rates.</w:t>
      </w:r>
      <w:r>
        <w:rPr>
          <w:spacing w:val="40"/>
        </w:rPr>
        <w:t> </w:t>
      </w:r>
      <w:r>
        <w:rPr/>
        <w:t>The</w:t>
      </w:r>
      <w:r>
        <w:rPr>
          <w:spacing w:val="41"/>
        </w:rPr>
        <w:t> </w:t>
      </w:r>
      <w:r>
        <w:rPr/>
        <w:t>Commission</w:t>
      </w:r>
      <w:r>
        <w:rPr>
          <w:spacing w:val="41"/>
        </w:rPr>
        <w:t> </w:t>
      </w:r>
      <w:r>
        <w:rPr/>
        <w:t>commends</w:t>
      </w:r>
      <w:r>
        <w:rPr>
          <w:spacing w:val="41"/>
        </w:rPr>
        <w:t> </w:t>
      </w:r>
      <w:r>
        <w:rPr/>
        <w:t>the</w:t>
      </w:r>
      <w:r>
        <w:rPr>
          <w:spacing w:val="40"/>
        </w:rPr>
        <w:t> </w:t>
      </w:r>
      <w:r>
        <w:rPr/>
        <w:t>actions</w:t>
      </w:r>
      <w:r>
        <w:rPr>
          <w:spacing w:val="41"/>
        </w:rPr>
        <w:t> </w:t>
      </w:r>
      <w:r>
        <w:rPr/>
        <w:t>of</w:t>
      </w:r>
      <w:r>
        <w:rPr>
          <w:spacing w:val="41"/>
        </w:rPr>
        <w:t> </w:t>
      </w:r>
      <w:r>
        <w:rPr/>
        <w:t>Massachusetts</w:t>
      </w:r>
      <w:r>
        <w:rPr>
          <w:spacing w:val="41"/>
        </w:rPr>
        <w:t> </w:t>
      </w:r>
      <w:r>
        <w:rPr/>
        <w:t>advocates,</w:t>
      </w:r>
      <w:r>
        <w:rPr>
          <w:spacing w:val="40"/>
        </w:rPr>
        <w:t> </w:t>
      </w:r>
      <w:r>
        <w:rPr/>
        <w:t>legislators,</w:t>
      </w:r>
      <w:r>
        <w:rPr>
          <w:spacing w:val="40"/>
        </w:rPr>
        <w:t> </w:t>
      </w:r>
      <w:r>
        <w:rPr/>
        <w:t>and</w:t>
      </w:r>
      <w:r>
        <w:rPr>
          <w:spacing w:val="40"/>
        </w:rPr>
        <w:t> </w:t>
      </w:r>
      <w:r>
        <w:rPr>
          <w:spacing w:val="-2"/>
        </w:rPr>
        <w:t>campus</w:t>
      </w:r>
    </w:p>
    <w:p>
      <w:pPr>
        <w:pStyle w:val="BodyText"/>
        <w:spacing w:line="276" w:lineRule="auto" w:before="39"/>
        <w:ind w:left="4654" w:right="142"/>
        <w:jc w:val="both"/>
      </w:pPr>
      <w:r>
        <w:rPr/>
        <w:drawing>
          <wp:anchor distT="0" distB="0" distL="0" distR="0" allowOverlap="1" layoutInCell="1" locked="0" behindDoc="0" simplePos="0" relativeHeight="15788544">
            <wp:simplePos x="0" y="0"/>
            <wp:positionH relativeFrom="page">
              <wp:posOffset>825499</wp:posOffset>
            </wp:positionH>
            <wp:positionV relativeFrom="paragraph">
              <wp:posOffset>210086</wp:posOffset>
            </wp:positionV>
            <wp:extent cx="2724784" cy="2724784"/>
            <wp:effectExtent l="0" t="0" r="0" b="0"/>
            <wp:wrapNone/>
            <wp:docPr id="326" name="Image 326"/>
            <wp:cNvGraphicFramePr>
              <a:graphicFrameLocks/>
            </wp:cNvGraphicFramePr>
            <a:graphic>
              <a:graphicData uri="http://schemas.openxmlformats.org/drawingml/2006/picture">
                <pic:pic>
                  <pic:nvPicPr>
                    <pic:cNvPr id="326" name="Image 326"/>
                    <pic:cNvPicPr/>
                  </pic:nvPicPr>
                  <pic:blipFill>
                    <a:blip r:embed="rId400" cstate="print"/>
                    <a:stretch>
                      <a:fillRect/>
                    </a:stretch>
                  </pic:blipFill>
                  <pic:spPr>
                    <a:xfrm>
                      <a:off x="0" y="0"/>
                      <a:ext cx="2724784" cy="2724784"/>
                    </a:xfrm>
                    <a:prstGeom prst="rect">
                      <a:avLst/>
                    </a:prstGeom>
                  </pic:spPr>
                </pic:pic>
              </a:graphicData>
            </a:graphic>
          </wp:anchor>
        </w:drawing>
      </w:r>
      <w:r>
        <w:rPr/>
        <w:t>officials</w:t>
      </w:r>
      <w:r>
        <w:rPr>
          <w:spacing w:val="-13"/>
        </w:rPr>
        <w:t> </w:t>
      </w:r>
      <w:r>
        <w:rPr/>
        <w:t>for</w:t>
      </w:r>
      <w:r>
        <w:rPr>
          <w:spacing w:val="-12"/>
        </w:rPr>
        <w:t> </w:t>
      </w:r>
      <w:r>
        <w:rPr/>
        <w:t>prioritizing</w:t>
      </w:r>
      <w:r>
        <w:rPr>
          <w:spacing w:val="-13"/>
        </w:rPr>
        <w:t> </w:t>
      </w:r>
      <w:r>
        <w:rPr/>
        <w:t>campus</w:t>
      </w:r>
      <w:r>
        <w:rPr>
          <w:spacing w:val="-12"/>
        </w:rPr>
        <w:t> </w:t>
      </w:r>
      <w:r>
        <w:rPr/>
        <w:t>safety</w:t>
      </w:r>
      <w:r>
        <w:rPr>
          <w:spacing w:val="-13"/>
        </w:rPr>
        <w:t> </w:t>
      </w:r>
      <w:r>
        <w:rPr/>
        <w:t>for</w:t>
      </w:r>
      <w:r>
        <w:rPr>
          <w:spacing w:val="-12"/>
        </w:rPr>
        <w:t> </w:t>
      </w:r>
      <w:r>
        <w:rPr/>
        <w:t>youth</w:t>
      </w:r>
      <w:r>
        <w:rPr>
          <w:spacing w:val="-13"/>
        </w:rPr>
        <w:t> </w:t>
      </w:r>
      <w:r>
        <w:rPr/>
        <w:t>across</w:t>
      </w:r>
      <w:r>
        <w:rPr>
          <w:spacing w:val="-12"/>
        </w:rPr>
        <w:t> </w:t>
      </w:r>
      <w:r>
        <w:rPr/>
        <w:t>the state but urges campuses to continue to explore ways to support LGBTQ youth.</w:t>
      </w:r>
    </w:p>
    <w:p>
      <w:pPr>
        <w:pStyle w:val="BodyText"/>
        <w:spacing w:line="276" w:lineRule="auto" w:before="120"/>
        <w:ind w:left="4654" w:right="140"/>
        <w:jc w:val="both"/>
      </w:pPr>
      <w:r>
        <w:rPr/>
        <w:t>Within carceral and education institutions, as well as shelters and transitional housing units,</w:t>
      </w:r>
      <w:r>
        <w:rPr>
          <w:vertAlign w:val="superscript"/>
        </w:rPr>
        <w:t>51</w:t>
      </w:r>
      <w:r>
        <w:rPr>
          <w:vertAlign w:val="baseline"/>
        </w:rPr>
        <w:t> LGBTQ youth experience disproportionately higher rates of sexual violence. Nationwide, in a 2014 survey 40% of transgender people reported being sexually assaulted or abused in a carceral institution, which is nearly ten times the rate of cisgender incarcerated people.</w:t>
      </w:r>
      <w:r>
        <w:rPr>
          <w:vertAlign w:val="superscript"/>
        </w:rPr>
        <w:t>52</w:t>
      </w:r>
      <w:r>
        <w:rPr>
          <w:vertAlign w:val="baseline"/>
        </w:rPr>
        <w:t> As noted in the criminal justice and homelessness sections of this annual report, transgender youth who are housed in single-sex environments that do not match their gender identity</w:t>
      </w:r>
      <w:r>
        <w:rPr>
          <w:spacing w:val="-9"/>
          <w:vertAlign w:val="baseline"/>
        </w:rPr>
        <w:t> </w:t>
      </w:r>
      <w:r>
        <w:rPr>
          <w:vertAlign w:val="baseline"/>
        </w:rPr>
        <w:t>are</w:t>
      </w:r>
      <w:r>
        <w:rPr>
          <w:spacing w:val="-8"/>
          <w:vertAlign w:val="baseline"/>
        </w:rPr>
        <w:t> </w:t>
      </w:r>
      <w:r>
        <w:rPr>
          <w:vertAlign w:val="baseline"/>
        </w:rPr>
        <w:t>more</w:t>
      </w:r>
      <w:r>
        <w:rPr>
          <w:spacing w:val="-9"/>
          <w:vertAlign w:val="baseline"/>
        </w:rPr>
        <w:t> </w:t>
      </w:r>
      <w:r>
        <w:rPr>
          <w:vertAlign w:val="baseline"/>
        </w:rPr>
        <w:t>likely</w:t>
      </w:r>
      <w:r>
        <w:rPr>
          <w:spacing w:val="-7"/>
          <w:vertAlign w:val="baseline"/>
        </w:rPr>
        <w:t> </w:t>
      </w:r>
      <w:r>
        <w:rPr>
          <w:vertAlign w:val="baseline"/>
        </w:rPr>
        <w:t>to</w:t>
      </w:r>
      <w:r>
        <w:rPr>
          <w:spacing w:val="-7"/>
          <w:vertAlign w:val="baseline"/>
        </w:rPr>
        <w:t> </w:t>
      </w:r>
      <w:r>
        <w:rPr>
          <w:vertAlign w:val="baseline"/>
        </w:rPr>
        <w:t>be</w:t>
      </w:r>
      <w:r>
        <w:rPr>
          <w:spacing w:val="-9"/>
          <w:vertAlign w:val="baseline"/>
        </w:rPr>
        <w:t> </w:t>
      </w:r>
      <w:r>
        <w:rPr>
          <w:vertAlign w:val="baseline"/>
        </w:rPr>
        <w:t>at</w:t>
      </w:r>
      <w:r>
        <w:rPr>
          <w:spacing w:val="-8"/>
          <w:vertAlign w:val="baseline"/>
        </w:rPr>
        <w:t> </w:t>
      </w:r>
      <w:r>
        <w:rPr>
          <w:vertAlign w:val="baseline"/>
        </w:rPr>
        <w:t>risk</w:t>
      </w:r>
      <w:r>
        <w:rPr>
          <w:spacing w:val="-9"/>
          <w:vertAlign w:val="baseline"/>
        </w:rPr>
        <w:t> </w:t>
      </w:r>
      <w:r>
        <w:rPr>
          <w:vertAlign w:val="baseline"/>
        </w:rPr>
        <w:t>of</w:t>
      </w:r>
      <w:r>
        <w:rPr>
          <w:spacing w:val="-9"/>
          <w:vertAlign w:val="baseline"/>
        </w:rPr>
        <w:t> </w:t>
      </w:r>
      <w:r>
        <w:rPr>
          <w:vertAlign w:val="baseline"/>
        </w:rPr>
        <w:t>sexual</w:t>
      </w:r>
      <w:r>
        <w:rPr>
          <w:spacing w:val="-9"/>
          <w:vertAlign w:val="baseline"/>
        </w:rPr>
        <w:t> </w:t>
      </w:r>
      <w:r>
        <w:rPr>
          <w:vertAlign w:val="baseline"/>
        </w:rPr>
        <w:t>assault</w:t>
      </w:r>
      <w:r>
        <w:rPr>
          <w:spacing w:val="-8"/>
          <w:vertAlign w:val="baseline"/>
        </w:rPr>
        <w:t> </w:t>
      </w:r>
      <w:r>
        <w:rPr>
          <w:vertAlign w:val="baseline"/>
        </w:rPr>
        <w:t>from other</w:t>
      </w:r>
      <w:r>
        <w:rPr>
          <w:spacing w:val="68"/>
          <w:vertAlign w:val="baseline"/>
        </w:rPr>
        <w:t>  </w:t>
      </w:r>
      <w:r>
        <w:rPr>
          <w:vertAlign w:val="baseline"/>
        </w:rPr>
        <w:t>residents</w:t>
      </w:r>
      <w:r>
        <w:rPr>
          <w:spacing w:val="68"/>
          <w:vertAlign w:val="baseline"/>
        </w:rPr>
        <w:t>  </w:t>
      </w:r>
      <w:r>
        <w:rPr>
          <w:vertAlign w:val="baseline"/>
        </w:rPr>
        <w:t>and</w:t>
      </w:r>
      <w:r>
        <w:rPr>
          <w:spacing w:val="69"/>
          <w:vertAlign w:val="baseline"/>
        </w:rPr>
        <w:t>  </w:t>
      </w:r>
      <w:r>
        <w:rPr>
          <w:vertAlign w:val="baseline"/>
        </w:rPr>
        <w:t>facility</w:t>
      </w:r>
      <w:r>
        <w:rPr>
          <w:spacing w:val="69"/>
          <w:vertAlign w:val="baseline"/>
        </w:rPr>
        <w:t>  </w:t>
      </w:r>
      <w:r>
        <w:rPr>
          <w:vertAlign w:val="baseline"/>
        </w:rPr>
        <w:t>staff.</w:t>
      </w:r>
      <w:r>
        <w:rPr>
          <w:spacing w:val="68"/>
          <w:vertAlign w:val="baseline"/>
        </w:rPr>
        <w:t>  </w:t>
      </w:r>
      <w:r>
        <w:rPr>
          <w:spacing w:val="-2"/>
          <w:vertAlign w:val="baseline"/>
        </w:rPr>
        <w:t>Furthermore,</w:t>
      </w:r>
    </w:p>
    <w:p>
      <w:pPr>
        <w:pStyle w:val="BodyText"/>
        <w:spacing w:line="276" w:lineRule="auto" w:before="1"/>
        <w:ind w:left="363" w:right="143"/>
        <w:jc w:val="both"/>
      </w:pPr>
      <w:r>
        <w:rPr/>
        <w:t>homelessness, history of abuse, disengagement from family, and substance abuse all increase LGBTQ youth’s risk of being sexually exploited or trafficked.</w:t>
      </w:r>
      <w:r>
        <w:rPr>
          <w:vertAlign w:val="superscript"/>
        </w:rPr>
        <w:t>53</w:t>
      </w:r>
    </w:p>
    <w:p>
      <w:pPr>
        <w:pStyle w:val="BodyText"/>
        <w:spacing w:line="276" w:lineRule="auto" w:before="123"/>
        <w:ind w:left="363" w:right="140"/>
        <w:jc w:val="both"/>
      </w:pPr>
      <w:r>
        <w:rPr/>
        <w:t>When looking at sexual victimization prevention strategies, including in bystander intervention methods training,</w:t>
      </w:r>
      <w:r>
        <w:rPr>
          <w:spacing w:val="-4"/>
        </w:rPr>
        <w:t> </w:t>
      </w:r>
      <w:r>
        <w:rPr/>
        <w:t>it</w:t>
      </w:r>
      <w:r>
        <w:rPr>
          <w:spacing w:val="-5"/>
        </w:rPr>
        <w:t> </w:t>
      </w:r>
      <w:r>
        <w:rPr/>
        <w:t>is</w:t>
      </w:r>
      <w:r>
        <w:rPr>
          <w:spacing w:val="-4"/>
        </w:rPr>
        <w:t> </w:t>
      </w:r>
      <w:r>
        <w:rPr/>
        <w:t>important</w:t>
      </w:r>
      <w:r>
        <w:rPr>
          <w:spacing w:val="-5"/>
        </w:rPr>
        <w:t> </w:t>
      </w:r>
      <w:r>
        <w:rPr/>
        <w:t>to</w:t>
      </w:r>
      <w:r>
        <w:rPr>
          <w:spacing w:val="-4"/>
        </w:rPr>
        <w:t> </w:t>
      </w:r>
      <w:r>
        <w:rPr/>
        <w:t>take</w:t>
      </w:r>
      <w:r>
        <w:rPr>
          <w:spacing w:val="-6"/>
        </w:rPr>
        <w:t> </w:t>
      </w:r>
      <w:r>
        <w:rPr/>
        <w:t>specific</w:t>
      </w:r>
      <w:r>
        <w:rPr>
          <w:spacing w:val="-6"/>
        </w:rPr>
        <w:t> </w:t>
      </w:r>
      <w:r>
        <w:rPr/>
        <w:t>societal</w:t>
      </w:r>
      <w:r>
        <w:rPr>
          <w:spacing w:val="-4"/>
        </w:rPr>
        <w:t> </w:t>
      </w:r>
      <w:r>
        <w:rPr/>
        <w:t>and</w:t>
      </w:r>
      <w:r>
        <w:rPr>
          <w:spacing w:val="-4"/>
        </w:rPr>
        <w:t> </w:t>
      </w:r>
      <w:r>
        <w:rPr/>
        <w:t>cultural</w:t>
      </w:r>
      <w:r>
        <w:rPr>
          <w:spacing w:val="-4"/>
        </w:rPr>
        <w:t> </w:t>
      </w:r>
      <w:r>
        <w:rPr/>
        <w:t>considerations</w:t>
      </w:r>
      <w:r>
        <w:rPr>
          <w:spacing w:val="-5"/>
        </w:rPr>
        <w:t> </w:t>
      </w:r>
      <w:r>
        <w:rPr/>
        <w:t>for</w:t>
      </w:r>
      <w:r>
        <w:rPr>
          <w:spacing w:val="-5"/>
        </w:rPr>
        <w:t> </w:t>
      </w:r>
      <w:r>
        <w:rPr/>
        <w:t>LGBTQ</w:t>
      </w:r>
      <w:r>
        <w:rPr>
          <w:spacing w:val="-4"/>
        </w:rPr>
        <w:t> </w:t>
      </w:r>
      <w:r>
        <w:rPr/>
        <w:t>and</w:t>
      </w:r>
      <w:r>
        <w:rPr>
          <w:spacing w:val="-4"/>
        </w:rPr>
        <w:t> </w:t>
      </w:r>
      <w:r>
        <w:rPr/>
        <w:t>QTBIPOC</w:t>
      </w:r>
      <w:r>
        <w:rPr>
          <w:spacing w:val="-5"/>
        </w:rPr>
        <w:t> </w:t>
      </w:r>
      <w:r>
        <w:rPr/>
        <w:t>youth into</w:t>
      </w:r>
      <w:r>
        <w:rPr>
          <w:spacing w:val="-4"/>
        </w:rPr>
        <w:t> </w:t>
      </w:r>
      <w:r>
        <w:rPr/>
        <w:t>account.</w:t>
      </w:r>
      <w:r>
        <w:rPr>
          <w:spacing w:val="-3"/>
        </w:rPr>
        <w:t> </w:t>
      </w:r>
      <w:r>
        <w:rPr/>
        <w:t>For</w:t>
      </w:r>
      <w:r>
        <w:rPr>
          <w:spacing w:val="-4"/>
        </w:rPr>
        <w:t> </w:t>
      </w:r>
      <w:r>
        <w:rPr/>
        <w:t>example,</w:t>
      </w:r>
      <w:r>
        <w:rPr>
          <w:spacing w:val="-3"/>
        </w:rPr>
        <w:t> </w:t>
      </w:r>
      <w:r>
        <w:rPr/>
        <w:t>one</w:t>
      </w:r>
      <w:r>
        <w:rPr>
          <w:spacing w:val="-4"/>
        </w:rPr>
        <w:t> </w:t>
      </w:r>
      <w:r>
        <w:rPr/>
        <w:t>way</w:t>
      </w:r>
      <w:r>
        <w:rPr>
          <w:spacing w:val="-4"/>
        </w:rPr>
        <w:t> </w:t>
      </w:r>
      <w:r>
        <w:rPr/>
        <w:t>a</w:t>
      </w:r>
      <w:r>
        <w:rPr>
          <w:spacing w:val="-4"/>
        </w:rPr>
        <w:t> </w:t>
      </w:r>
      <w:r>
        <w:rPr/>
        <w:t>well-meaning</w:t>
      </w:r>
      <w:r>
        <w:rPr>
          <w:spacing w:val="-3"/>
        </w:rPr>
        <w:t> </w:t>
      </w:r>
      <w:r>
        <w:rPr/>
        <w:t>bystander</w:t>
      </w:r>
      <w:r>
        <w:rPr>
          <w:spacing w:val="-3"/>
        </w:rPr>
        <w:t> </w:t>
      </w:r>
      <w:r>
        <w:rPr/>
        <w:t>may</w:t>
      </w:r>
      <w:r>
        <w:rPr>
          <w:spacing w:val="-3"/>
        </w:rPr>
        <w:t> </w:t>
      </w:r>
      <w:r>
        <w:rPr/>
        <w:t>try</w:t>
      </w:r>
      <w:r>
        <w:rPr>
          <w:spacing w:val="-4"/>
        </w:rPr>
        <w:t> </w:t>
      </w:r>
      <w:r>
        <w:rPr/>
        <w:t>to</w:t>
      </w:r>
      <w:r>
        <w:rPr>
          <w:spacing w:val="-4"/>
        </w:rPr>
        <w:t> </w:t>
      </w:r>
      <w:r>
        <w:rPr/>
        <w:t>intervene</w:t>
      </w:r>
      <w:r>
        <w:rPr>
          <w:spacing w:val="-4"/>
        </w:rPr>
        <w:t> </w:t>
      </w:r>
      <w:r>
        <w:rPr/>
        <w:t>is</w:t>
      </w:r>
      <w:r>
        <w:rPr>
          <w:spacing w:val="-3"/>
        </w:rPr>
        <w:t> </w:t>
      </w:r>
      <w:r>
        <w:rPr/>
        <w:t>by</w:t>
      </w:r>
      <w:r>
        <w:rPr>
          <w:spacing w:val="-3"/>
        </w:rPr>
        <w:t> </w:t>
      </w:r>
      <w:r>
        <w:rPr/>
        <w:t>calling</w:t>
      </w:r>
      <w:r>
        <w:rPr>
          <w:spacing w:val="-4"/>
        </w:rPr>
        <w:t> </w:t>
      </w:r>
      <w:r>
        <w:rPr/>
        <w:t>the</w:t>
      </w:r>
      <w:r>
        <w:rPr>
          <w:spacing w:val="-3"/>
        </w:rPr>
        <w:t> </w:t>
      </w:r>
      <w:r>
        <w:rPr/>
        <w:t>police to</w:t>
      </w:r>
      <w:r>
        <w:rPr>
          <w:spacing w:val="-2"/>
        </w:rPr>
        <w:t> </w:t>
      </w:r>
      <w:r>
        <w:rPr/>
        <w:t>mediate</w:t>
      </w:r>
      <w:r>
        <w:rPr>
          <w:spacing w:val="-3"/>
        </w:rPr>
        <w:t> </w:t>
      </w:r>
      <w:r>
        <w:rPr/>
        <w:t>an</w:t>
      </w:r>
      <w:r>
        <w:rPr>
          <w:spacing w:val="-3"/>
        </w:rPr>
        <w:t> </w:t>
      </w:r>
      <w:r>
        <w:rPr/>
        <w:t>incident.</w:t>
      </w:r>
      <w:r>
        <w:rPr>
          <w:spacing w:val="-3"/>
        </w:rPr>
        <w:t> </w:t>
      </w:r>
      <w:r>
        <w:rPr/>
        <w:t>However,</w:t>
      </w:r>
      <w:r>
        <w:rPr>
          <w:spacing w:val="-3"/>
        </w:rPr>
        <w:t> </w:t>
      </w:r>
      <w:r>
        <w:rPr/>
        <w:t>as</w:t>
      </w:r>
      <w:r>
        <w:rPr>
          <w:spacing w:val="-3"/>
        </w:rPr>
        <w:t> </w:t>
      </w:r>
      <w:r>
        <w:rPr/>
        <w:t>discussed</w:t>
      </w:r>
      <w:r>
        <w:rPr>
          <w:spacing w:val="-3"/>
        </w:rPr>
        <w:t> </w:t>
      </w:r>
      <w:r>
        <w:rPr/>
        <w:t>further</w:t>
      </w:r>
      <w:r>
        <w:rPr>
          <w:spacing w:val="-3"/>
        </w:rPr>
        <w:t> </w:t>
      </w:r>
      <w:r>
        <w:rPr/>
        <w:t>in</w:t>
      </w:r>
      <w:r>
        <w:rPr>
          <w:spacing w:val="-3"/>
        </w:rPr>
        <w:t> </w:t>
      </w:r>
      <w:r>
        <w:rPr/>
        <w:t>the</w:t>
      </w:r>
      <w:r>
        <w:rPr>
          <w:spacing w:val="-3"/>
        </w:rPr>
        <w:t> </w:t>
      </w:r>
      <w:r>
        <w:rPr/>
        <w:t>criminal</w:t>
      </w:r>
      <w:r>
        <w:rPr>
          <w:spacing w:val="-3"/>
        </w:rPr>
        <w:t> </w:t>
      </w:r>
      <w:r>
        <w:rPr/>
        <w:t>justice</w:t>
      </w:r>
      <w:r>
        <w:rPr>
          <w:spacing w:val="-2"/>
        </w:rPr>
        <w:t> </w:t>
      </w:r>
      <w:r>
        <w:rPr/>
        <w:t>section</w:t>
      </w:r>
      <w:r>
        <w:rPr>
          <w:spacing w:val="-3"/>
        </w:rPr>
        <w:t> </w:t>
      </w:r>
      <w:r>
        <w:rPr/>
        <w:t>of</w:t>
      </w:r>
      <w:r>
        <w:rPr>
          <w:spacing w:val="-3"/>
        </w:rPr>
        <w:t> </w:t>
      </w:r>
      <w:r>
        <w:rPr/>
        <w:t>this</w:t>
      </w:r>
      <w:r>
        <w:rPr>
          <w:spacing w:val="-3"/>
        </w:rPr>
        <w:t> </w:t>
      </w:r>
      <w:r>
        <w:rPr/>
        <w:t>annual</w:t>
      </w:r>
      <w:r>
        <w:rPr>
          <w:spacing w:val="-3"/>
        </w:rPr>
        <w:t> </w:t>
      </w:r>
      <w:r>
        <w:rPr/>
        <w:t>report, police intervention for QTBIPOC youth can sometimes be particularly dangerous, given the disproportionate rates of police hostility, harassment, and violence.</w:t>
      </w:r>
      <w:r>
        <w:rPr>
          <w:vertAlign w:val="superscript"/>
        </w:rPr>
        <w:t>54</w:t>
      </w:r>
    </w:p>
    <w:p>
      <w:pPr>
        <w:pStyle w:val="BodyText"/>
        <w:spacing w:before="129"/>
      </w:pPr>
    </w:p>
    <w:p>
      <w:pPr>
        <w:spacing w:before="0"/>
        <w:ind w:left="363" w:right="0" w:firstLine="0"/>
        <w:jc w:val="left"/>
        <w:rPr>
          <w:sz w:val="28"/>
        </w:rPr>
      </w:pPr>
      <w:r>
        <w:rPr/>
        <mc:AlternateContent>
          <mc:Choice Requires="wps">
            <w:drawing>
              <wp:anchor distT="0" distB="0" distL="0" distR="0" allowOverlap="1" layoutInCell="1" locked="0" behindDoc="1" simplePos="0" relativeHeight="487646720">
                <wp:simplePos x="0" y="0"/>
                <wp:positionH relativeFrom="page">
                  <wp:posOffset>897636</wp:posOffset>
                </wp:positionH>
                <wp:positionV relativeFrom="paragraph">
                  <wp:posOffset>230250</wp:posOffset>
                </wp:positionV>
                <wp:extent cx="6014720" cy="6350"/>
                <wp:effectExtent l="0" t="0" r="0" b="0"/>
                <wp:wrapTopAndBottom/>
                <wp:docPr id="327" name="Graphic 327"/>
                <wp:cNvGraphicFramePr>
                  <a:graphicFrameLocks/>
                </wp:cNvGraphicFramePr>
                <a:graphic>
                  <a:graphicData uri="http://schemas.microsoft.com/office/word/2010/wordprocessingShape">
                    <wps:wsp>
                      <wps:cNvPr id="327" name="Graphic 327"/>
                      <wps:cNvSpPr/>
                      <wps:spPr>
                        <a:xfrm>
                          <a:off x="0" y="0"/>
                          <a:ext cx="6014720" cy="6350"/>
                        </a:xfrm>
                        <a:custGeom>
                          <a:avLst/>
                          <a:gdLst/>
                          <a:ahLst/>
                          <a:cxnLst/>
                          <a:rect l="l" t="t" r="r" b="b"/>
                          <a:pathLst>
                            <a:path w="6014720" h="6350">
                              <a:moveTo>
                                <a:pt x="6014466" y="0"/>
                              </a:moveTo>
                              <a:lnTo>
                                <a:pt x="0" y="0"/>
                              </a:lnTo>
                              <a:lnTo>
                                <a:pt x="0" y="6108"/>
                              </a:lnTo>
                              <a:lnTo>
                                <a:pt x="6014466" y="6108"/>
                              </a:lnTo>
                              <a:lnTo>
                                <a:pt x="6014466" y="0"/>
                              </a:lnTo>
                              <a:close/>
                            </a:path>
                          </a:pathLst>
                        </a:custGeom>
                        <a:solidFill>
                          <a:srgbClr val="4F81BC"/>
                        </a:solidFill>
                      </wps:spPr>
                      <wps:bodyPr wrap="square" lIns="0" tIns="0" rIns="0" bIns="0" rtlCol="0">
                        <a:prstTxWarp prst="textNoShape">
                          <a:avLst/>
                        </a:prstTxWarp>
                        <a:noAutofit/>
                      </wps:bodyPr>
                    </wps:wsp>
                  </a:graphicData>
                </a:graphic>
              </wp:anchor>
            </w:drawing>
          </mc:Choice>
          <mc:Fallback>
            <w:pict>
              <v:rect style="position:absolute;margin-left:70.680pt;margin-top:18.129957pt;width:473.58pt;height:.481pt;mso-position-horizontal-relative:page;mso-position-vertical-relative:paragraph;z-index:-15669760;mso-wrap-distance-left:0;mso-wrap-distance-right:0" id="docshape256" filled="true" fillcolor="#4f81bc" stroked="false">
                <v:fill type="solid"/>
                <w10:wrap type="topAndBottom"/>
              </v:rect>
            </w:pict>
          </mc:Fallback>
        </mc:AlternateContent>
      </w:r>
      <w:bookmarkStart w:name="Resources" w:id="476"/>
      <w:bookmarkEnd w:id="476"/>
      <w:r>
        <w:rPr/>
      </w:r>
      <w:r>
        <w:rPr>
          <w:color w:val="365F91"/>
          <w:spacing w:val="-2"/>
          <w:sz w:val="28"/>
        </w:rPr>
        <w:t>Resources</w:t>
      </w:r>
    </w:p>
    <w:p>
      <w:pPr>
        <w:pStyle w:val="BodyText"/>
        <w:rPr>
          <w:sz w:val="28"/>
        </w:rPr>
      </w:pPr>
    </w:p>
    <w:p>
      <w:pPr>
        <w:pStyle w:val="BodyText"/>
        <w:rPr>
          <w:sz w:val="28"/>
        </w:rPr>
      </w:pPr>
    </w:p>
    <w:p>
      <w:pPr>
        <w:pStyle w:val="BodyText"/>
        <w:spacing w:before="98"/>
        <w:rPr>
          <w:sz w:val="28"/>
        </w:rPr>
      </w:pPr>
    </w:p>
    <w:p>
      <w:pPr>
        <w:spacing w:before="1"/>
        <w:ind w:left="363" w:right="0" w:firstLine="0"/>
        <w:jc w:val="left"/>
        <w:rPr>
          <w:sz w:val="28"/>
        </w:rPr>
      </w:pPr>
      <w:r>
        <w:rPr/>
        <mc:AlternateContent>
          <mc:Choice Requires="wps">
            <w:drawing>
              <wp:anchor distT="0" distB="0" distL="0" distR="0" allowOverlap="1" layoutInCell="1" locked="0" behindDoc="1" simplePos="0" relativeHeight="487647232">
                <wp:simplePos x="0" y="0"/>
                <wp:positionH relativeFrom="page">
                  <wp:posOffset>897636</wp:posOffset>
                </wp:positionH>
                <wp:positionV relativeFrom="paragraph">
                  <wp:posOffset>230002</wp:posOffset>
                </wp:positionV>
                <wp:extent cx="6014720" cy="6350"/>
                <wp:effectExtent l="0" t="0" r="0" b="0"/>
                <wp:wrapTopAndBottom/>
                <wp:docPr id="328" name="Graphic 328"/>
                <wp:cNvGraphicFramePr>
                  <a:graphicFrameLocks/>
                </wp:cNvGraphicFramePr>
                <a:graphic>
                  <a:graphicData uri="http://schemas.microsoft.com/office/word/2010/wordprocessingShape">
                    <wps:wsp>
                      <wps:cNvPr id="328" name="Graphic 328"/>
                      <wps:cNvSpPr/>
                      <wps:spPr>
                        <a:xfrm>
                          <a:off x="0" y="0"/>
                          <a:ext cx="6014720" cy="6350"/>
                        </a:xfrm>
                        <a:custGeom>
                          <a:avLst/>
                          <a:gdLst/>
                          <a:ahLst/>
                          <a:cxnLst/>
                          <a:rect l="l" t="t" r="r" b="b"/>
                          <a:pathLst>
                            <a:path w="6014720" h="6350">
                              <a:moveTo>
                                <a:pt x="6014466" y="0"/>
                              </a:moveTo>
                              <a:lnTo>
                                <a:pt x="0" y="0"/>
                              </a:lnTo>
                              <a:lnTo>
                                <a:pt x="0" y="6096"/>
                              </a:lnTo>
                              <a:lnTo>
                                <a:pt x="6014466" y="6096"/>
                              </a:lnTo>
                              <a:lnTo>
                                <a:pt x="6014466" y="0"/>
                              </a:lnTo>
                              <a:close/>
                            </a:path>
                          </a:pathLst>
                        </a:custGeom>
                        <a:solidFill>
                          <a:srgbClr val="4F81BC"/>
                        </a:solidFill>
                      </wps:spPr>
                      <wps:bodyPr wrap="square" lIns="0" tIns="0" rIns="0" bIns="0" rtlCol="0">
                        <a:prstTxWarp prst="textNoShape">
                          <a:avLst/>
                        </a:prstTxWarp>
                        <a:noAutofit/>
                      </wps:bodyPr>
                    </wps:wsp>
                  </a:graphicData>
                </a:graphic>
              </wp:anchor>
            </w:drawing>
          </mc:Choice>
          <mc:Fallback>
            <w:pict>
              <v:rect style="position:absolute;margin-left:70.680pt;margin-top:18.110468pt;width:473.58pt;height:.48pt;mso-position-horizontal-relative:page;mso-position-vertical-relative:paragraph;z-index:-15669248;mso-wrap-distance-left:0;mso-wrap-distance-right:0" id="docshape257" filled="true" fillcolor="#4f81bc" stroked="false">
                <v:fill type="solid"/>
                <w10:wrap type="topAndBottom"/>
              </v:rect>
            </w:pict>
          </mc:Fallback>
        </mc:AlternateContent>
      </w:r>
      <w:bookmarkStart w:name="Acknowledgments &amp; Citations" w:id="477"/>
      <w:bookmarkEnd w:id="477"/>
      <w:r>
        <w:rPr/>
      </w:r>
      <w:r>
        <w:rPr>
          <w:color w:val="365F91"/>
          <w:sz w:val="28"/>
        </w:rPr>
        <w:t>Acknowledgments</w:t>
      </w:r>
      <w:r>
        <w:rPr>
          <w:color w:val="365F91"/>
          <w:spacing w:val="-15"/>
          <w:sz w:val="28"/>
        </w:rPr>
        <w:t> </w:t>
      </w:r>
      <w:r>
        <w:rPr>
          <w:color w:val="365F91"/>
          <w:sz w:val="28"/>
        </w:rPr>
        <w:t>&amp;</w:t>
      </w:r>
      <w:r>
        <w:rPr>
          <w:color w:val="365F91"/>
          <w:spacing w:val="-14"/>
          <w:sz w:val="28"/>
        </w:rPr>
        <w:t> </w:t>
      </w:r>
      <w:r>
        <w:rPr>
          <w:color w:val="365F91"/>
          <w:spacing w:val="-2"/>
          <w:sz w:val="28"/>
        </w:rPr>
        <w:t>Citations</w:t>
      </w:r>
    </w:p>
    <w:p>
      <w:pPr>
        <w:pStyle w:val="BodyText"/>
        <w:spacing w:before="186"/>
        <w:rPr>
          <w:sz w:val="21"/>
        </w:rPr>
      </w:pPr>
    </w:p>
    <w:p>
      <w:pPr>
        <w:spacing w:line="264" w:lineRule="auto" w:before="1"/>
        <w:ind w:left="363" w:right="91" w:firstLine="0"/>
        <w:jc w:val="left"/>
        <w:rPr>
          <w:i/>
          <w:sz w:val="21"/>
        </w:rPr>
      </w:pPr>
      <w:bookmarkStart w:name="_bookmark271" w:id="478"/>
      <w:bookmarkEnd w:id="478"/>
      <w:r>
        <w:rPr/>
      </w:r>
      <w:r>
        <w:rPr>
          <w:i/>
          <w:sz w:val="21"/>
        </w:rPr>
        <w:t>Acknowledgments: Sarah</w:t>
      </w:r>
      <w:r>
        <w:rPr>
          <w:i/>
          <w:spacing w:val="-1"/>
          <w:sz w:val="21"/>
        </w:rPr>
        <w:t> </w:t>
      </w:r>
      <w:r>
        <w:rPr>
          <w:i/>
          <w:sz w:val="21"/>
        </w:rPr>
        <w:t>Prager, lead</w:t>
      </w:r>
      <w:r>
        <w:rPr>
          <w:i/>
          <w:spacing w:val="-1"/>
          <w:sz w:val="21"/>
        </w:rPr>
        <w:t> </w:t>
      </w:r>
      <w:r>
        <w:rPr>
          <w:i/>
          <w:sz w:val="21"/>
        </w:rPr>
        <w:t>researcher</w:t>
      </w:r>
      <w:r>
        <w:rPr>
          <w:i/>
          <w:spacing w:val="-1"/>
          <w:sz w:val="21"/>
        </w:rPr>
        <w:t> </w:t>
      </w:r>
      <w:r>
        <w:rPr>
          <w:i/>
          <w:sz w:val="21"/>
        </w:rPr>
        <w:t>and</w:t>
      </w:r>
      <w:r>
        <w:rPr>
          <w:i/>
          <w:spacing w:val="-1"/>
          <w:sz w:val="21"/>
        </w:rPr>
        <w:t> </w:t>
      </w:r>
      <w:r>
        <w:rPr>
          <w:i/>
          <w:sz w:val="21"/>
        </w:rPr>
        <w:t>author</w:t>
      </w:r>
      <w:r>
        <w:rPr>
          <w:i/>
          <w:spacing w:val="-1"/>
          <w:sz w:val="21"/>
        </w:rPr>
        <w:t> </w:t>
      </w:r>
      <w:r>
        <w:rPr>
          <w:i/>
          <w:sz w:val="21"/>
        </w:rPr>
        <w:t>(2023);</w:t>
      </w:r>
      <w:r>
        <w:rPr>
          <w:i/>
          <w:spacing w:val="-2"/>
          <w:sz w:val="21"/>
        </w:rPr>
        <w:t> </w:t>
      </w:r>
      <w:r>
        <w:rPr>
          <w:i/>
          <w:sz w:val="21"/>
        </w:rPr>
        <w:t>Apollo Correia, secondary</w:t>
      </w:r>
      <w:r>
        <w:rPr>
          <w:i/>
          <w:spacing w:val="-1"/>
          <w:sz w:val="21"/>
        </w:rPr>
        <w:t> </w:t>
      </w:r>
      <w:r>
        <w:rPr>
          <w:i/>
          <w:sz w:val="21"/>
        </w:rPr>
        <w:t>researcher</w:t>
      </w:r>
      <w:r>
        <w:rPr>
          <w:i/>
          <w:spacing w:val="-1"/>
          <w:sz w:val="21"/>
        </w:rPr>
        <w:t> </w:t>
      </w:r>
      <w:r>
        <w:rPr>
          <w:i/>
          <w:sz w:val="21"/>
        </w:rPr>
        <w:t>and</w:t>
      </w:r>
      <w:r>
        <w:rPr>
          <w:i/>
          <w:sz w:val="21"/>
        </w:rPr>
        <w:t> editor (2024)</w:t>
      </w:r>
    </w:p>
    <w:p>
      <w:pPr>
        <w:pStyle w:val="BodyText"/>
        <w:spacing w:before="82"/>
        <w:rPr>
          <w:i/>
          <w:sz w:val="21"/>
        </w:rPr>
      </w:pPr>
    </w:p>
    <w:p>
      <w:pPr>
        <w:spacing w:before="1"/>
        <w:ind w:left="363" w:right="763" w:hanging="1"/>
        <w:jc w:val="left"/>
        <w:rPr>
          <w:sz w:val="18"/>
        </w:rPr>
      </w:pPr>
      <w:bookmarkStart w:name="_bookmark272" w:id="479"/>
      <w:bookmarkEnd w:id="479"/>
      <w:r>
        <w:rPr/>
      </w:r>
      <w:r>
        <w:rPr>
          <w:sz w:val="18"/>
          <w:vertAlign w:val="superscript"/>
        </w:rPr>
        <w:t>1</w:t>
      </w:r>
      <w:r>
        <w:rPr>
          <w:spacing w:val="-13"/>
          <w:sz w:val="18"/>
          <w:vertAlign w:val="baseline"/>
        </w:rPr>
        <w:t> </w:t>
      </w:r>
      <w:r>
        <w:rPr>
          <w:sz w:val="18"/>
          <w:vertAlign w:val="baseline"/>
        </w:rPr>
        <w:t>“The</w:t>
      </w:r>
      <w:r>
        <w:rPr>
          <w:spacing w:val="-4"/>
          <w:sz w:val="18"/>
          <w:vertAlign w:val="baseline"/>
        </w:rPr>
        <w:t> </w:t>
      </w:r>
      <w:r>
        <w:rPr>
          <w:sz w:val="18"/>
          <w:vertAlign w:val="baseline"/>
        </w:rPr>
        <w:t>SIECUS</w:t>
      </w:r>
      <w:r>
        <w:rPr>
          <w:spacing w:val="-2"/>
          <w:sz w:val="18"/>
          <w:vertAlign w:val="baseline"/>
        </w:rPr>
        <w:t> </w:t>
      </w:r>
      <w:r>
        <w:rPr>
          <w:sz w:val="18"/>
          <w:vertAlign w:val="baseline"/>
        </w:rPr>
        <w:t>State</w:t>
      </w:r>
      <w:r>
        <w:rPr>
          <w:spacing w:val="-2"/>
          <w:sz w:val="18"/>
          <w:vertAlign w:val="baseline"/>
        </w:rPr>
        <w:t> </w:t>
      </w:r>
      <w:r>
        <w:rPr>
          <w:sz w:val="18"/>
          <w:vertAlign w:val="baseline"/>
        </w:rPr>
        <w:t>Profiles</w:t>
      </w:r>
      <w:r>
        <w:rPr>
          <w:spacing w:val="-2"/>
          <w:sz w:val="18"/>
          <w:vertAlign w:val="baseline"/>
        </w:rPr>
        <w:t> </w:t>
      </w:r>
      <w:r>
        <w:rPr>
          <w:sz w:val="18"/>
          <w:vertAlign w:val="baseline"/>
        </w:rPr>
        <w:t>2019</w:t>
      </w:r>
      <w:r>
        <w:rPr>
          <w:spacing w:val="-2"/>
          <w:sz w:val="18"/>
          <w:vertAlign w:val="baseline"/>
        </w:rPr>
        <w:t> </w:t>
      </w:r>
      <w:r>
        <w:rPr>
          <w:sz w:val="18"/>
          <w:vertAlign w:val="baseline"/>
        </w:rPr>
        <w:t>/</w:t>
      </w:r>
      <w:r>
        <w:rPr>
          <w:spacing w:val="-2"/>
          <w:sz w:val="18"/>
          <w:vertAlign w:val="baseline"/>
        </w:rPr>
        <w:t> </w:t>
      </w:r>
      <w:r>
        <w:rPr>
          <w:sz w:val="18"/>
          <w:vertAlign w:val="baseline"/>
        </w:rPr>
        <w:t>2020</w:t>
      </w:r>
      <w:r>
        <w:rPr>
          <w:spacing w:val="-2"/>
          <w:sz w:val="18"/>
          <w:vertAlign w:val="baseline"/>
        </w:rPr>
        <w:t> </w:t>
      </w:r>
      <w:r>
        <w:rPr>
          <w:sz w:val="18"/>
          <w:vertAlign w:val="baseline"/>
        </w:rPr>
        <w:t>-</w:t>
      </w:r>
      <w:r>
        <w:rPr>
          <w:spacing w:val="-3"/>
          <w:sz w:val="18"/>
          <w:vertAlign w:val="baseline"/>
        </w:rPr>
        <w:t> </w:t>
      </w:r>
      <w:r>
        <w:rPr>
          <w:sz w:val="18"/>
          <w:vertAlign w:val="baseline"/>
        </w:rPr>
        <w:t>The</w:t>
      </w:r>
      <w:r>
        <w:rPr>
          <w:spacing w:val="-2"/>
          <w:sz w:val="18"/>
          <w:vertAlign w:val="baseline"/>
        </w:rPr>
        <w:t> </w:t>
      </w:r>
      <w:r>
        <w:rPr>
          <w:sz w:val="18"/>
          <w:vertAlign w:val="baseline"/>
        </w:rPr>
        <w:t>State</w:t>
      </w:r>
      <w:r>
        <w:rPr>
          <w:spacing w:val="-2"/>
          <w:sz w:val="18"/>
          <w:vertAlign w:val="baseline"/>
        </w:rPr>
        <w:t> </w:t>
      </w:r>
      <w:r>
        <w:rPr>
          <w:sz w:val="18"/>
          <w:vertAlign w:val="baseline"/>
        </w:rPr>
        <w:t>of</w:t>
      </w:r>
      <w:r>
        <w:rPr>
          <w:spacing w:val="-2"/>
          <w:sz w:val="18"/>
          <w:vertAlign w:val="baseline"/>
        </w:rPr>
        <w:t> </w:t>
      </w:r>
      <w:r>
        <w:rPr>
          <w:sz w:val="18"/>
          <w:vertAlign w:val="baseline"/>
        </w:rPr>
        <w:t>Sex</w:t>
      </w:r>
      <w:r>
        <w:rPr>
          <w:spacing w:val="-2"/>
          <w:sz w:val="18"/>
          <w:vertAlign w:val="baseline"/>
        </w:rPr>
        <w:t> </w:t>
      </w:r>
      <w:r>
        <w:rPr>
          <w:sz w:val="18"/>
          <w:vertAlign w:val="baseline"/>
        </w:rPr>
        <w:t>Ed,”</w:t>
      </w:r>
      <w:r>
        <w:rPr>
          <w:spacing w:val="-2"/>
          <w:sz w:val="18"/>
          <w:vertAlign w:val="baseline"/>
        </w:rPr>
        <w:t> </w:t>
      </w:r>
      <w:r>
        <w:rPr>
          <w:sz w:val="18"/>
          <w:vertAlign w:val="baseline"/>
        </w:rPr>
        <w:t>SIECUS,</w:t>
      </w:r>
      <w:r>
        <w:rPr>
          <w:spacing w:val="-3"/>
          <w:sz w:val="18"/>
          <w:vertAlign w:val="baseline"/>
        </w:rPr>
        <w:t> </w:t>
      </w:r>
      <w:r>
        <w:rPr>
          <w:sz w:val="18"/>
          <w:vertAlign w:val="baseline"/>
        </w:rPr>
        <w:t>accessed</w:t>
      </w:r>
      <w:r>
        <w:rPr>
          <w:spacing w:val="-2"/>
          <w:sz w:val="18"/>
          <w:vertAlign w:val="baseline"/>
        </w:rPr>
        <w:t> </w:t>
      </w:r>
      <w:r>
        <w:rPr>
          <w:sz w:val="18"/>
          <w:vertAlign w:val="baseline"/>
        </w:rPr>
        <w:t>April</w:t>
      </w:r>
      <w:r>
        <w:rPr>
          <w:spacing w:val="-3"/>
          <w:sz w:val="18"/>
          <w:vertAlign w:val="baseline"/>
        </w:rPr>
        <w:t> </w:t>
      </w:r>
      <w:r>
        <w:rPr>
          <w:sz w:val="18"/>
          <w:vertAlign w:val="baseline"/>
        </w:rPr>
        <w:t>24,</w:t>
      </w:r>
      <w:r>
        <w:rPr>
          <w:spacing w:val="-3"/>
          <w:sz w:val="18"/>
          <w:vertAlign w:val="baseline"/>
        </w:rPr>
        <w:t> </w:t>
      </w:r>
      <w:r>
        <w:rPr>
          <w:sz w:val="18"/>
          <w:vertAlign w:val="baseline"/>
        </w:rPr>
        <w:t>2023,</w:t>
      </w:r>
      <w:r>
        <w:rPr>
          <w:spacing w:val="-3"/>
          <w:sz w:val="18"/>
          <w:vertAlign w:val="baseline"/>
        </w:rPr>
        <w:t> </w:t>
      </w:r>
      <w:r>
        <w:rPr>
          <w:sz w:val="18"/>
          <w:vertAlign w:val="baseline"/>
        </w:rPr>
        <w:t>https://siecus.org/state- </w:t>
      </w:r>
      <w:r>
        <w:rPr>
          <w:spacing w:val="-2"/>
          <w:sz w:val="18"/>
          <w:vertAlign w:val="baseline"/>
        </w:rPr>
        <w:t>profiles-2019-2020/.</w:t>
      </w:r>
    </w:p>
    <w:p>
      <w:pPr>
        <w:spacing w:before="1"/>
        <w:ind w:left="363" w:right="91" w:hanging="1"/>
        <w:jc w:val="left"/>
        <w:rPr>
          <w:sz w:val="18"/>
        </w:rPr>
      </w:pPr>
      <w:r>
        <w:rPr>
          <w:sz w:val="18"/>
          <w:vertAlign w:val="superscript"/>
        </w:rPr>
        <w:t>2</w:t>
      </w:r>
      <w:r>
        <w:rPr>
          <w:spacing w:val="-13"/>
          <w:sz w:val="18"/>
          <w:vertAlign w:val="baseline"/>
        </w:rPr>
        <w:t> </w:t>
      </w:r>
      <w:r>
        <w:rPr>
          <w:sz w:val="18"/>
          <w:vertAlign w:val="baseline"/>
        </w:rPr>
        <w:t>Samantha</w:t>
      </w:r>
      <w:r>
        <w:rPr>
          <w:spacing w:val="-3"/>
          <w:sz w:val="18"/>
          <w:vertAlign w:val="baseline"/>
        </w:rPr>
        <w:t> </w:t>
      </w:r>
      <w:r>
        <w:rPr>
          <w:sz w:val="18"/>
          <w:vertAlign w:val="baseline"/>
        </w:rPr>
        <w:t>L.</w:t>
      </w:r>
      <w:r>
        <w:rPr>
          <w:spacing w:val="-2"/>
          <w:sz w:val="18"/>
          <w:vertAlign w:val="baseline"/>
        </w:rPr>
        <w:t> </w:t>
      </w:r>
      <w:r>
        <w:rPr>
          <w:sz w:val="18"/>
          <w:vertAlign w:val="baseline"/>
        </w:rPr>
        <w:t>Seybold,</w:t>
      </w:r>
      <w:r>
        <w:rPr>
          <w:spacing w:val="-3"/>
          <w:sz w:val="18"/>
          <w:vertAlign w:val="baseline"/>
        </w:rPr>
        <w:t> </w:t>
      </w:r>
      <w:r>
        <w:rPr>
          <w:sz w:val="18"/>
          <w:vertAlign w:val="baseline"/>
        </w:rPr>
        <w:t>“Not</w:t>
      </w:r>
      <w:r>
        <w:rPr>
          <w:spacing w:val="-3"/>
          <w:sz w:val="18"/>
          <w:vertAlign w:val="baseline"/>
        </w:rPr>
        <w:t> </w:t>
      </w:r>
      <w:r>
        <w:rPr>
          <w:sz w:val="18"/>
          <w:vertAlign w:val="baseline"/>
        </w:rPr>
        <w:t>Just</w:t>
      </w:r>
      <w:r>
        <w:rPr>
          <w:spacing w:val="-3"/>
          <w:sz w:val="18"/>
          <w:vertAlign w:val="baseline"/>
        </w:rPr>
        <w:t> </w:t>
      </w:r>
      <w:r>
        <w:rPr>
          <w:sz w:val="18"/>
          <w:vertAlign w:val="baseline"/>
        </w:rPr>
        <w:t>‘Bodies</w:t>
      </w:r>
      <w:r>
        <w:rPr>
          <w:spacing w:val="-2"/>
          <w:sz w:val="18"/>
          <w:vertAlign w:val="baseline"/>
        </w:rPr>
        <w:t> </w:t>
      </w:r>
      <w:r>
        <w:rPr>
          <w:sz w:val="18"/>
          <w:vertAlign w:val="baseline"/>
        </w:rPr>
        <w:t>with</w:t>
      </w:r>
      <w:r>
        <w:rPr>
          <w:spacing w:val="-2"/>
          <w:sz w:val="18"/>
          <w:vertAlign w:val="baseline"/>
        </w:rPr>
        <w:t> </w:t>
      </w:r>
      <w:r>
        <w:rPr>
          <w:sz w:val="18"/>
          <w:vertAlign w:val="baseline"/>
        </w:rPr>
        <w:t>Vaginas’:</w:t>
      </w:r>
      <w:r>
        <w:rPr>
          <w:spacing w:val="-2"/>
          <w:sz w:val="18"/>
          <w:vertAlign w:val="baseline"/>
        </w:rPr>
        <w:t> </w:t>
      </w:r>
      <w:r>
        <w:rPr>
          <w:sz w:val="18"/>
          <w:vertAlign w:val="baseline"/>
        </w:rPr>
        <w:t>A</w:t>
      </w:r>
      <w:r>
        <w:rPr>
          <w:spacing w:val="-2"/>
          <w:sz w:val="18"/>
          <w:vertAlign w:val="baseline"/>
        </w:rPr>
        <w:t> </w:t>
      </w:r>
      <w:r>
        <w:rPr>
          <w:sz w:val="18"/>
          <w:vertAlign w:val="baseline"/>
        </w:rPr>
        <w:t>Kantian</w:t>
      </w:r>
      <w:r>
        <w:rPr>
          <w:spacing w:val="-2"/>
          <w:sz w:val="18"/>
          <w:vertAlign w:val="baseline"/>
        </w:rPr>
        <w:t> </w:t>
      </w:r>
      <w:r>
        <w:rPr>
          <w:sz w:val="18"/>
          <w:vertAlign w:val="baseline"/>
        </w:rPr>
        <w:t>Defense</w:t>
      </w:r>
      <w:r>
        <w:rPr>
          <w:spacing w:val="-2"/>
          <w:sz w:val="18"/>
          <w:vertAlign w:val="baseline"/>
        </w:rPr>
        <w:t> </w:t>
      </w:r>
      <w:r>
        <w:rPr>
          <w:sz w:val="18"/>
          <w:vertAlign w:val="baseline"/>
        </w:rPr>
        <w:t>of</w:t>
      </w:r>
      <w:r>
        <w:rPr>
          <w:spacing w:val="-2"/>
          <w:sz w:val="18"/>
          <w:vertAlign w:val="baseline"/>
        </w:rPr>
        <w:t> </w:t>
      </w:r>
      <w:r>
        <w:rPr>
          <w:sz w:val="18"/>
          <w:vertAlign w:val="baseline"/>
        </w:rPr>
        <w:t>Pelvic</w:t>
      </w:r>
      <w:r>
        <w:rPr>
          <w:spacing w:val="-3"/>
          <w:sz w:val="18"/>
          <w:vertAlign w:val="baseline"/>
        </w:rPr>
        <w:t> </w:t>
      </w:r>
      <w:r>
        <w:rPr>
          <w:sz w:val="18"/>
          <w:vertAlign w:val="baseline"/>
        </w:rPr>
        <w:t>Exam</w:t>
      </w:r>
      <w:r>
        <w:rPr>
          <w:spacing w:val="-2"/>
          <w:sz w:val="18"/>
          <w:vertAlign w:val="baseline"/>
        </w:rPr>
        <w:t> </w:t>
      </w:r>
      <w:r>
        <w:rPr>
          <w:sz w:val="18"/>
          <w:vertAlign w:val="baseline"/>
        </w:rPr>
        <w:t>Consent</w:t>
      </w:r>
      <w:r>
        <w:rPr>
          <w:spacing w:val="-4"/>
          <w:sz w:val="18"/>
          <w:vertAlign w:val="baseline"/>
        </w:rPr>
        <w:t> </w:t>
      </w:r>
      <w:r>
        <w:rPr>
          <w:sz w:val="18"/>
          <w:vertAlign w:val="baseline"/>
        </w:rPr>
        <w:t>Laws,”</w:t>
      </w:r>
      <w:r>
        <w:rPr>
          <w:spacing w:val="-2"/>
          <w:sz w:val="18"/>
          <w:vertAlign w:val="baseline"/>
        </w:rPr>
        <w:t> </w:t>
      </w:r>
      <w:r>
        <w:rPr>
          <w:i/>
          <w:sz w:val="18"/>
          <w:vertAlign w:val="baseline"/>
        </w:rPr>
        <w:t>Bioethics</w:t>
      </w:r>
      <w:r>
        <w:rPr>
          <w:i/>
          <w:spacing w:val="-2"/>
          <w:sz w:val="18"/>
          <w:vertAlign w:val="baseline"/>
        </w:rPr>
        <w:t> </w:t>
      </w:r>
      <w:r>
        <w:rPr>
          <w:sz w:val="18"/>
          <w:vertAlign w:val="baseline"/>
        </w:rPr>
        <w:t>36,</w:t>
      </w:r>
      <w:r>
        <w:rPr>
          <w:spacing w:val="-3"/>
          <w:sz w:val="18"/>
          <w:vertAlign w:val="baseline"/>
        </w:rPr>
        <w:t> </w:t>
      </w:r>
      <w:r>
        <w:rPr>
          <w:sz w:val="18"/>
          <w:vertAlign w:val="baseline"/>
        </w:rPr>
        <w:t>no.</w:t>
      </w:r>
      <w:r>
        <w:rPr>
          <w:spacing w:val="-2"/>
          <w:sz w:val="18"/>
          <w:vertAlign w:val="baseline"/>
        </w:rPr>
        <w:t> </w:t>
      </w:r>
      <w:r>
        <w:rPr>
          <w:sz w:val="18"/>
          <w:vertAlign w:val="baseline"/>
        </w:rPr>
        <w:t>9 (November 2022): 940–47, https://doi.org/10.1111/bioe.13084.</w:t>
      </w:r>
    </w:p>
    <w:p>
      <w:pPr>
        <w:spacing w:line="219" w:lineRule="exact" w:before="0"/>
        <w:ind w:left="363" w:right="0" w:firstLine="0"/>
        <w:jc w:val="left"/>
        <w:rPr>
          <w:sz w:val="18"/>
        </w:rPr>
      </w:pPr>
      <w:r>
        <w:rPr>
          <w:sz w:val="18"/>
          <w:vertAlign w:val="superscript"/>
        </w:rPr>
        <w:t>3</w:t>
      </w:r>
      <w:r>
        <w:rPr>
          <w:spacing w:val="-15"/>
          <w:sz w:val="18"/>
          <w:vertAlign w:val="baseline"/>
        </w:rPr>
        <w:t> </w:t>
      </w:r>
      <w:r>
        <w:rPr>
          <w:sz w:val="18"/>
          <w:vertAlign w:val="baseline"/>
        </w:rPr>
        <w:t>“Law</w:t>
      </w:r>
      <w:r>
        <w:rPr>
          <w:spacing w:val="-8"/>
          <w:sz w:val="18"/>
          <w:vertAlign w:val="baseline"/>
        </w:rPr>
        <w:t> </w:t>
      </w:r>
      <w:r>
        <w:rPr>
          <w:sz w:val="18"/>
          <w:vertAlign w:val="baseline"/>
        </w:rPr>
        <w:t>and</w:t>
      </w:r>
      <w:r>
        <w:rPr>
          <w:spacing w:val="-4"/>
          <w:sz w:val="18"/>
          <w:vertAlign w:val="baseline"/>
        </w:rPr>
        <w:t> </w:t>
      </w:r>
      <w:r>
        <w:rPr>
          <w:sz w:val="18"/>
          <w:vertAlign w:val="baseline"/>
        </w:rPr>
        <w:t>Policy,”</w:t>
      </w:r>
      <w:r>
        <w:rPr>
          <w:spacing w:val="-4"/>
          <w:sz w:val="18"/>
          <w:vertAlign w:val="baseline"/>
        </w:rPr>
        <w:t> </w:t>
      </w:r>
      <w:r>
        <w:rPr>
          <w:sz w:val="18"/>
          <w:vertAlign w:val="baseline"/>
        </w:rPr>
        <w:t>NJCASA,</w:t>
      </w:r>
      <w:r>
        <w:rPr>
          <w:spacing w:val="-5"/>
          <w:sz w:val="18"/>
          <w:vertAlign w:val="baseline"/>
        </w:rPr>
        <w:t> </w:t>
      </w:r>
      <w:r>
        <w:rPr>
          <w:sz w:val="18"/>
          <w:vertAlign w:val="baseline"/>
        </w:rPr>
        <w:t>accessed</w:t>
      </w:r>
      <w:r>
        <w:rPr>
          <w:spacing w:val="-3"/>
          <w:sz w:val="18"/>
          <w:vertAlign w:val="baseline"/>
        </w:rPr>
        <w:t> </w:t>
      </w:r>
      <w:r>
        <w:rPr>
          <w:sz w:val="18"/>
          <w:vertAlign w:val="baseline"/>
        </w:rPr>
        <w:t>March</w:t>
      </w:r>
      <w:r>
        <w:rPr>
          <w:spacing w:val="-4"/>
          <w:sz w:val="18"/>
          <w:vertAlign w:val="baseline"/>
        </w:rPr>
        <w:t> </w:t>
      </w:r>
      <w:r>
        <w:rPr>
          <w:sz w:val="18"/>
          <w:vertAlign w:val="baseline"/>
        </w:rPr>
        <w:t>17,</w:t>
      </w:r>
      <w:r>
        <w:rPr>
          <w:spacing w:val="-5"/>
          <w:sz w:val="18"/>
          <w:vertAlign w:val="baseline"/>
        </w:rPr>
        <w:t> </w:t>
      </w:r>
      <w:r>
        <w:rPr>
          <w:sz w:val="18"/>
          <w:vertAlign w:val="baseline"/>
        </w:rPr>
        <w:t>2023,</w:t>
      </w:r>
      <w:r>
        <w:rPr>
          <w:spacing w:val="-4"/>
          <w:sz w:val="18"/>
          <w:vertAlign w:val="baseline"/>
        </w:rPr>
        <w:t> </w:t>
      </w:r>
      <w:r>
        <w:rPr>
          <w:sz w:val="18"/>
          <w:vertAlign w:val="baseline"/>
        </w:rPr>
        <w:t>https://njcasa.org/our-work/law-and-</w:t>
      </w:r>
      <w:r>
        <w:rPr>
          <w:spacing w:val="-2"/>
          <w:sz w:val="18"/>
          <w:vertAlign w:val="baseline"/>
        </w:rPr>
        <w:t>policy/.</w:t>
      </w:r>
    </w:p>
    <w:p>
      <w:pPr>
        <w:spacing w:after="0" w:line="219" w:lineRule="exact"/>
        <w:jc w:val="left"/>
        <w:rPr>
          <w:sz w:val="18"/>
        </w:rPr>
        <w:sectPr>
          <w:pgSz w:w="12240" w:h="15840"/>
          <w:pgMar w:header="763" w:footer="1339" w:top="1180" w:bottom="1560" w:left="1080" w:right="1240"/>
        </w:sectPr>
      </w:pPr>
    </w:p>
    <w:p>
      <w:pPr>
        <w:spacing w:before="68"/>
        <w:ind w:left="363" w:right="656" w:hanging="1"/>
        <w:jc w:val="both"/>
        <w:rPr>
          <w:sz w:val="18"/>
        </w:rPr>
      </w:pPr>
      <w:r>
        <w:rPr>
          <w:sz w:val="18"/>
          <w:vertAlign w:val="superscript"/>
        </w:rPr>
        <w:t>4</w:t>
      </w:r>
      <w:r>
        <w:rPr>
          <w:spacing w:val="-11"/>
          <w:sz w:val="18"/>
          <w:vertAlign w:val="baseline"/>
        </w:rPr>
        <w:t> </w:t>
      </w:r>
      <w:r>
        <w:rPr>
          <w:sz w:val="18"/>
          <w:vertAlign w:val="baseline"/>
        </w:rPr>
        <w:t>“The</w:t>
      </w:r>
      <w:r>
        <w:rPr>
          <w:spacing w:val="-8"/>
          <w:sz w:val="18"/>
          <w:vertAlign w:val="baseline"/>
        </w:rPr>
        <w:t> </w:t>
      </w:r>
      <w:r>
        <w:rPr>
          <w:sz w:val="18"/>
          <w:vertAlign w:val="baseline"/>
        </w:rPr>
        <w:t>Importance</w:t>
      </w:r>
      <w:r>
        <w:rPr>
          <w:spacing w:val="-3"/>
          <w:sz w:val="18"/>
          <w:vertAlign w:val="baseline"/>
        </w:rPr>
        <w:t> </w:t>
      </w:r>
      <w:r>
        <w:rPr>
          <w:sz w:val="18"/>
          <w:vertAlign w:val="baseline"/>
        </w:rPr>
        <w:t>of</w:t>
      </w:r>
      <w:r>
        <w:rPr>
          <w:spacing w:val="-3"/>
          <w:sz w:val="18"/>
          <w:vertAlign w:val="baseline"/>
        </w:rPr>
        <w:t> </w:t>
      </w:r>
      <w:r>
        <w:rPr>
          <w:sz w:val="18"/>
          <w:vertAlign w:val="baseline"/>
        </w:rPr>
        <w:t>Access</w:t>
      </w:r>
      <w:r>
        <w:rPr>
          <w:spacing w:val="-3"/>
          <w:sz w:val="18"/>
          <w:vertAlign w:val="baseline"/>
        </w:rPr>
        <w:t> </w:t>
      </w:r>
      <w:r>
        <w:rPr>
          <w:sz w:val="18"/>
          <w:vertAlign w:val="baseline"/>
        </w:rPr>
        <w:t>to</w:t>
      </w:r>
      <w:r>
        <w:rPr>
          <w:spacing w:val="-3"/>
          <w:sz w:val="18"/>
          <w:vertAlign w:val="baseline"/>
        </w:rPr>
        <w:t> </w:t>
      </w:r>
      <w:r>
        <w:rPr>
          <w:sz w:val="18"/>
          <w:vertAlign w:val="baseline"/>
        </w:rPr>
        <w:t>Comprehensive</w:t>
      </w:r>
      <w:r>
        <w:rPr>
          <w:spacing w:val="-3"/>
          <w:sz w:val="18"/>
          <w:vertAlign w:val="baseline"/>
        </w:rPr>
        <w:t> </w:t>
      </w:r>
      <w:r>
        <w:rPr>
          <w:sz w:val="18"/>
          <w:vertAlign w:val="baseline"/>
        </w:rPr>
        <w:t>Sex</w:t>
      </w:r>
      <w:r>
        <w:rPr>
          <w:spacing w:val="-3"/>
          <w:sz w:val="18"/>
          <w:vertAlign w:val="baseline"/>
        </w:rPr>
        <w:t> </w:t>
      </w:r>
      <w:r>
        <w:rPr>
          <w:sz w:val="18"/>
          <w:vertAlign w:val="baseline"/>
        </w:rPr>
        <w:t>Education,”</w:t>
      </w:r>
      <w:r>
        <w:rPr>
          <w:spacing w:val="-3"/>
          <w:sz w:val="18"/>
          <w:vertAlign w:val="baseline"/>
        </w:rPr>
        <w:t> </w:t>
      </w:r>
      <w:r>
        <w:rPr>
          <w:sz w:val="18"/>
          <w:vertAlign w:val="baseline"/>
        </w:rPr>
        <w:t>accessed</w:t>
      </w:r>
      <w:r>
        <w:rPr>
          <w:spacing w:val="-3"/>
          <w:sz w:val="18"/>
          <w:vertAlign w:val="baseline"/>
        </w:rPr>
        <w:t> </w:t>
      </w:r>
      <w:r>
        <w:rPr>
          <w:sz w:val="18"/>
          <w:vertAlign w:val="baseline"/>
        </w:rPr>
        <w:t>April</w:t>
      </w:r>
      <w:r>
        <w:rPr>
          <w:spacing w:val="-4"/>
          <w:sz w:val="18"/>
          <w:vertAlign w:val="baseline"/>
        </w:rPr>
        <w:t> </w:t>
      </w:r>
      <w:r>
        <w:rPr>
          <w:sz w:val="18"/>
          <w:vertAlign w:val="baseline"/>
        </w:rPr>
        <w:t>24,</w:t>
      </w:r>
      <w:r>
        <w:rPr>
          <w:spacing w:val="-4"/>
          <w:sz w:val="18"/>
          <w:vertAlign w:val="baseline"/>
        </w:rPr>
        <w:t> </w:t>
      </w:r>
      <w:r>
        <w:rPr>
          <w:sz w:val="18"/>
          <w:vertAlign w:val="baseline"/>
        </w:rPr>
        <w:t>2023,</w:t>
      </w:r>
      <w:r>
        <w:rPr>
          <w:spacing w:val="-4"/>
          <w:sz w:val="18"/>
          <w:vertAlign w:val="baseline"/>
        </w:rPr>
        <w:t> </w:t>
      </w:r>
      <w:r>
        <w:rPr>
          <w:sz w:val="18"/>
          <w:vertAlign w:val="baseline"/>
        </w:rPr>
        <w:t>https://</w:t>
      </w:r>
      <w:hyperlink r:id="rId401">
        <w:r>
          <w:rPr>
            <w:sz w:val="18"/>
            <w:vertAlign w:val="baseline"/>
          </w:rPr>
          <w:t>www.aap.org/en/patient-</w:t>
        </w:r>
      </w:hyperlink>
      <w:r>
        <w:rPr>
          <w:sz w:val="18"/>
          <w:vertAlign w:val="baseline"/>
        </w:rPr>
        <w:t> </w:t>
      </w:r>
      <w:r>
        <w:rPr>
          <w:spacing w:val="-2"/>
          <w:sz w:val="18"/>
          <w:vertAlign w:val="baseline"/>
        </w:rPr>
        <w:t>care/adolescent-sexual-health/equitable-access-to-sexual-and-reproductive-health-care-for-all-youth/the-importance-of-</w:t>
      </w:r>
      <w:r>
        <w:rPr>
          <w:sz w:val="18"/>
          <w:vertAlign w:val="baseline"/>
        </w:rPr>
        <w:t> </w:t>
      </w:r>
      <w:r>
        <w:rPr>
          <w:spacing w:val="-2"/>
          <w:sz w:val="18"/>
          <w:vertAlign w:val="baseline"/>
        </w:rPr>
        <w:t>access-to-comprehensive-sex-education/.</w:t>
      </w:r>
    </w:p>
    <w:p>
      <w:pPr>
        <w:spacing w:line="219" w:lineRule="exact" w:before="0"/>
        <w:ind w:left="363" w:right="0" w:firstLine="0"/>
        <w:jc w:val="both"/>
        <w:rPr>
          <w:sz w:val="18"/>
        </w:rPr>
      </w:pPr>
      <w:r>
        <w:rPr>
          <w:sz w:val="18"/>
          <w:vertAlign w:val="superscript"/>
        </w:rPr>
        <w:t>5</w:t>
      </w:r>
      <w:r>
        <w:rPr>
          <w:spacing w:val="-15"/>
          <w:sz w:val="18"/>
          <w:vertAlign w:val="baseline"/>
        </w:rPr>
        <w:t> </w:t>
      </w:r>
      <w:r>
        <w:rPr>
          <w:sz w:val="18"/>
          <w:vertAlign w:val="baseline"/>
        </w:rPr>
        <w:t>“Sexual</w:t>
      </w:r>
      <w:r>
        <w:rPr>
          <w:spacing w:val="-10"/>
          <w:sz w:val="18"/>
          <w:vertAlign w:val="baseline"/>
        </w:rPr>
        <w:t> </w:t>
      </w:r>
      <w:r>
        <w:rPr>
          <w:sz w:val="18"/>
          <w:vertAlign w:val="baseline"/>
        </w:rPr>
        <w:t>Health,”</w:t>
      </w:r>
      <w:r>
        <w:rPr>
          <w:spacing w:val="-5"/>
          <w:sz w:val="18"/>
          <w:vertAlign w:val="baseline"/>
        </w:rPr>
        <w:t> </w:t>
      </w:r>
      <w:r>
        <w:rPr>
          <w:sz w:val="18"/>
          <w:vertAlign w:val="baseline"/>
        </w:rPr>
        <w:t>accessed</w:t>
      </w:r>
      <w:r>
        <w:rPr>
          <w:spacing w:val="-5"/>
          <w:sz w:val="18"/>
          <w:vertAlign w:val="baseline"/>
        </w:rPr>
        <w:t> </w:t>
      </w:r>
      <w:r>
        <w:rPr>
          <w:sz w:val="18"/>
          <w:vertAlign w:val="baseline"/>
        </w:rPr>
        <w:t>February</w:t>
      </w:r>
      <w:r>
        <w:rPr>
          <w:spacing w:val="-5"/>
          <w:sz w:val="18"/>
          <w:vertAlign w:val="baseline"/>
        </w:rPr>
        <w:t> </w:t>
      </w:r>
      <w:r>
        <w:rPr>
          <w:sz w:val="18"/>
          <w:vertAlign w:val="baseline"/>
        </w:rPr>
        <w:t>14,</w:t>
      </w:r>
      <w:r>
        <w:rPr>
          <w:spacing w:val="-6"/>
          <w:sz w:val="18"/>
          <w:vertAlign w:val="baseline"/>
        </w:rPr>
        <w:t> </w:t>
      </w:r>
      <w:r>
        <w:rPr>
          <w:sz w:val="18"/>
          <w:vertAlign w:val="baseline"/>
        </w:rPr>
        <w:t>2023,</w:t>
      </w:r>
      <w:r>
        <w:rPr>
          <w:spacing w:val="-6"/>
          <w:sz w:val="18"/>
          <w:vertAlign w:val="baseline"/>
        </w:rPr>
        <w:t> </w:t>
      </w:r>
      <w:r>
        <w:rPr>
          <w:sz w:val="18"/>
          <w:vertAlign w:val="baseline"/>
        </w:rPr>
        <w:t>https://</w:t>
      </w:r>
      <w:hyperlink r:id="rId402">
        <w:r>
          <w:rPr>
            <w:sz w:val="18"/>
            <w:vertAlign w:val="baseline"/>
          </w:rPr>
          <w:t>www.who.int/health-topics/sexual-</w:t>
        </w:r>
        <w:r>
          <w:rPr>
            <w:spacing w:val="-2"/>
            <w:sz w:val="18"/>
            <w:vertAlign w:val="baseline"/>
          </w:rPr>
          <w:t>health.</w:t>
        </w:r>
      </w:hyperlink>
    </w:p>
    <w:p>
      <w:pPr>
        <w:spacing w:before="0"/>
        <w:ind w:left="363" w:right="2476" w:hanging="1"/>
        <w:jc w:val="left"/>
        <w:rPr>
          <w:sz w:val="18"/>
        </w:rPr>
      </w:pPr>
      <w:r>
        <w:rPr>
          <w:sz w:val="18"/>
          <w:vertAlign w:val="superscript"/>
        </w:rPr>
        <w:t>6</w:t>
      </w:r>
      <w:r>
        <w:rPr>
          <w:spacing w:val="-13"/>
          <w:sz w:val="18"/>
          <w:vertAlign w:val="baseline"/>
        </w:rPr>
        <w:t> </w:t>
      </w:r>
      <w:r>
        <w:rPr>
          <w:sz w:val="18"/>
          <w:vertAlign w:val="baseline"/>
        </w:rPr>
        <w:t>GLSEN,</w:t>
      </w:r>
      <w:r>
        <w:rPr>
          <w:spacing w:val="-6"/>
          <w:sz w:val="18"/>
          <w:vertAlign w:val="baseline"/>
        </w:rPr>
        <w:t> </w:t>
      </w:r>
      <w:r>
        <w:rPr>
          <w:sz w:val="18"/>
          <w:vertAlign w:val="baseline"/>
        </w:rPr>
        <w:t>“Laws</w:t>
      </w:r>
      <w:r>
        <w:rPr>
          <w:spacing w:val="-3"/>
          <w:sz w:val="18"/>
          <w:vertAlign w:val="baseline"/>
        </w:rPr>
        <w:t> </w:t>
      </w:r>
      <w:r>
        <w:rPr>
          <w:sz w:val="18"/>
          <w:vertAlign w:val="baseline"/>
        </w:rPr>
        <w:t>That</w:t>
      </w:r>
      <w:r>
        <w:rPr>
          <w:spacing w:val="-4"/>
          <w:sz w:val="18"/>
          <w:vertAlign w:val="baseline"/>
        </w:rPr>
        <w:t> </w:t>
      </w:r>
      <w:r>
        <w:rPr>
          <w:sz w:val="18"/>
          <w:vertAlign w:val="baseline"/>
        </w:rPr>
        <w:t>Prohibit</w:t>
      </w:r>
      <w:r>
        <w:rPr>
          <w:spacing w:val="-4"/>
          <w:sz w:val="18"/>
          <w:vertAlign w:val="baseline"/>
        </w:rPr>
        <w:t> </w:t>
      </w:r>
      <w:r>
        <w:rPr>
          <w:sz w:val="18"/>
          <w:vertAlign w:val="baseline"/>
        </w:rPr>
        <w:t>the</w:t>
      </w:r>
      <w:r>
        <w:rPr>
          <w:spacing w:val="-3"/>
          <w:sz w:val="18"/>
          <w:vertAlign w:val="baseline"/>
        </w:rPr>
        <w:t> </w:t>
      </w:r>
      <w:r>
        <w:rPr>
          <w:sz w:val="18"/>
          <w:vertAlign w:val="baseline"/>
        </w:rPr>
        <w:t>‘Promotion</w:t>
      </w:r>
      <w:r>
        <w:rPr>
          <w:spacing w:val="-3"/>
          <w:sz w:val="18"/>
          <w:vertAlign w:val="baseline"/>
        </w:rPr>
        <w:t> </w:t>
      </w:r>
      <w:r>
        <w:rPr>
          <w:sz w:val="18"/>
          <w:vertAlign w:val="baseline"/>
        </w:rPr>
        <w:t>of</w:t>
      </w:r>
      <w:r>
        <w:rPr>
          <w:spacing w:val="-3"/>
          <w:sz w:val="18"/>
          <w:vertAlign w:val="baseline"/>
        </w:rPr>
        <w:t> </w:t>
      </w:r>
      <w:r>
        <w:rPr>
          <w:sz w:val="18"/>
          <w:vertAlign w:val="baseline"/>
        </w:rPr>
        <w:t>Homosexuality’:</w:t>
      </w:r>
      <w:r>
        <w:rPr>
          <w:spacing w:val="-3"/>
          <w:sz w:val="18"/>
          <w:vertAlign w:val="baseline"/>
        </w:rPr>
        <w:t> </w:t>
      </w:r>
      <w:r>
        <w:rPr>
          <w:sz w:val="18"/>
          <w:vertAlign w:val="baseline"/>
        </w:rPr>
        <w:t>Impacts</w:t>
      </w:r>
      <w:r>
        <w:rPr>
          <w:spacing w:val="-3"/>
          <w:sz w:val="18"/>
          <w:vertAlign w:val="baseline"/>
        </w:rPr>
        <w:t> </w:t>
      </w:r>
      <w:r>
        <w:rPr>
          <w:sz w:val="18"/>
          <w:vertAlign w:val="baseline"/>
        </w:rPr>
        <w:t>and</w:t>
      </w:r>
      <w:r>
        <w:rPr>
          <w:spacing w:val="-3"/>
          <w:sz w:val="18"/>
          <w:vertAlign w:val="baseline"/>
        </w:rPr>
        <w:t> </w:t>
      </w:r>
      <w:r>
        <w:rPr>
          <w:sz w:val="18"/>
          <w:vertAlign w:val="baseline"/>
        </w:rPr>
        <w:t>Implications,”</w:t>
      </w:r>
      <w:r>
        <w:rPr>
          <w:spacing w:val="-3"/>
          <w:sz w:val="18"/>
          <w:vertAlign w:val="baseline"/>
        </w:rPr>
        <w:t> </w:t>
      </w:r>
      <w:r>
        <w:rPr>
          <w:sz w:val="18"/>
          <w:vertAlign w:val="baseline"/>
        </w:rPr>
        <w:t>2018, </w:t>
      </w:r>
      <w:r>
        <w:rPr>
          <w:spacing w:val="-2"/>
          <w:sz w:val="18"/>
          <w:vertAlign w:val="baseline"/>
        </w:rPr>
        <w:t>https://</w:t>
      </w:r>
      <w:hyperlink r:id="rId403">
        <w:r>
          <w:rPr>
            <w:spacing w:val="-2"/>
            <w:sz w:val="18"/>
            <w:vertAlign w:val="baseline"/>
          </w:rPr>
          <w:t>www.glsen.org/sites/default/files/2019-12/No_Promo_Homo_2018.pdf.</w:t>
        </w:r>
      </w:hyperlink>
    </w:p>
    <w:p>
      <w:pPr>
        <w:spacing w:before="1"/>
        <w:ind w:left="363" w:right="2496" w:hanging="1"/>
        <w:jc w:val="left"/>
        <w:rPr>
          <w:sz w:val="18"/>
        </w:rPr>
      </w:pPr>
      <w:r>
        <w:rPr>
          <w:sz w:val="18"/>
          <w:vertAlign w:val="superscript"/>
        </w:rPr>
        <w:t>7</w:t>
      </w:r>
      <w:r>
        <w:rPr>
          <w:spacing w:val="-13"/>
          <w:sz w:val="18"/>
          <w:vertAlign w:val="baseline"/>
        </w:rPr>
        <w:t> </w:t>
      </w:r>
      <w:r>
        <w:rPr>
          <w:sz w:val="18"/>
          <w:vertAlign w:val="baseline"/>
        </w:rPr>
        <w:t>“Opt-In</w:t>
      </w:r>
      <w:r>
        <w:rPr>
          <w:spacing w:val="-4"/>
          <w:sz w:val="18"/>
          <w:vertAlign w:val="baseline"/>
        </w:rPr>
        <w:t> </w:t>
      </w:r>
      <w:r>
        <w:rPr>
          <w:sz w:val="18"/>
          <w:vertAlign w:val="baseline"/>
        </w:rPr>
        <w:t>vs.</w:t>
      </w:r>
      <w:r>
        <w:rPr>
          <w:spacing w:val="-3"/>
          <w:sz w:val="18"/>
          <w:vertAlign w:val="baseline"/>
        </w:rPr>
        <w:t> </w:t>
      </w:r>
      <w:r>
        <w:rPr>
          <w:sz w:val="18"/>
          <w:vertAlign w:val="baseline"/>
        </w:rPr>
        <w:t>Opt-Out:</w:t>
      </w:r>
      <w:r>
        <w:rPr>
          <w:spacing w:val="-3"/>
          <w:sz w:val="18"/>
          <w:vertAlign w:val="baseline"/>
        </w:rPr>
        <w:t> </w:t>
      </w:r>
      <w:r>
        <w:rPr>
          <w:sz w:val="18"/>
          <w:vertAlign w:val="baseline"/>
        </w:rPr>
        <w:t>State</w:t>
      </w:r>
      <w:r>
        <w:rPr>
          <w:spacing w:val="-3"/>
          <w:sz w:val="18"/>
          <w:vertAlign w:val="baseline"/>
        </w:rPr>
        <w:t> </w:t>
      </w:r>
      <w:r>
        <w:rPr>
          <w:sz w:val="18"/>
          <w:vertAlign w:val="baseline"/>
        </w:rPr>
        <w:t>Sex</w:t>
      </w:r>
      <w:r>
        <w:rPr>
          <w:spacing w:val="-3"/>
          <w:sz w:val="18"/>
          <w:vertAlign w:val="baseline"/>
        </w:rPr>
        <w:t> </w:t>
      </w:r>
      <w:r>
        <w:rPr>
          <w:sz w:val="18"/>
          <w:vertAlign w:val="baseline"/>
        </w:rPr>
        <w:t>Ed</w:t>
      </w:r>
      <w:r>
        <w:rPr>
          <w:spacing w:val="-3"/>
          <w:sz w:val="18"/>
          <w:vertAlign w:val="baseline"/>
        </w:rPr>
        <w:t> </w:t>
      </w:r>
      <w:r>
        <w:rPr>
          <w:sz w:val="18"/>
          <w:vertAlign w:val="baseline"/>
        </w:rPr>
        <w:t>&amp;</w:t>
      </w:r>
      <w:r>
        <w:rPr>
          <w:spacing w:val="-3"/>
          <w:sz w:val="18"/>
          <w:vertAlign w:val="baseline"/>
        </w:rPr>
        <w:t> </w:t>
      </w:r>
      <w:r>
        <w:rPr>
          <w:sz w:val="18"/>
          <w:vertAlign w:val="baseline"/>
        </w:rPr>
        <w:t>Parental</w:t>
      </w:r>
      <w:r>
        <w:rPr>
          <w:spacing w:val="-3"/>
          <w:sz w:val="18"/>
          <w:vertAlign w:val="baseline"/>
        </w:rPr>
        <w:t> </w:t>
      </w:r>
      <w:r>
        <w:rPr>
          <w:sz w:val="18"/>
          <w:vertAlign w:val="baseline"/>
        </w:rPr>
        <w:t>Consent</w:t>
      </w:r>
      <w:r>
        <w:rPr>
          <w:spacing w:val="-3"/>
          <w:sz w:val="18"/>
          <w:vertAlign w:val="baseline"/>
        </w:rPr>
        <w:t> </w:t>
      </w:r>
      <w:r>
        <w:rPr>
          <w:sz w:val="18"/>
          <w:vertAlign w:val="baseline"/>
        </w:rPr>
        <w:t>Policies,”</w:t>
      </w:r>
      <w:r>
        <w:rPr>
          <w:spacing w:val="-3"/>
          <w:sz w:val="18"/>
          <w:vertAlign w:val="baseline"/>
        </w:rPr>
        <w:t> </w:t>
      </w:r>
      <w:r>
        <w:rPr>
          <w:sz w:val="18"/>
          <w:vertAlign w:val="baseline"/>
        </w:rPr>
        <w:t>SIECUS,</w:t>
      </w:r>
      <w:r>
        <w:rPr>
          <w:spacing w:val="-3"/>
          <w:sz w:val="18"/>
          <w:vertAlign w:val="baseline"/>
        </w:rPr>
        <w:t> </w:t>
      </w:r>
      <w:r>
        <w:rPr>
          <w:sz w:val="18"/>
          <w:vertAlign w:val="baseline"/>
        </w:rPr>
        <w:t>accessed</w:t>
      </w:r>
      <w:r>
        <w:rPr>
          <w:spacing w:val="-3"/>
          <w:sz w:val="18"/>
          <w:vertAlign w:val="baseline"/>
        </w:rPr>
        <w:t> </w:t>
      </w:r>
      <w:r>
        <w:rPr>
          <w:sz w:val="18"/>
          <w:vertAlign w:val="baseline"/>
        </w:rPr>
        <w:t>April</w:t>
      </w:r>
      <w:r>
        <w:rPr>
          <w:spacing w:val="-3"/>
          <w:sz w:val="18"/>
          <w:vertAlign w:val="baseline"/>
        </w:rPr>
        <w:t> </w:t>
      </w:r>
      <w:r>
        <w:rPr>
          <w:sz w:val="18"/>
          <w:vertAlign w:val="baseline"/>
        </w:rPr>
        <w:t>24,</w:t>
      </w:r>
      <w:r>
        <w:rPr>
          <w:spacing w:val="-3"/>
          <w:sz w:val="18"/>
          <w:vertAlign w:val="baseline"/>
        </w:rPr>
        <w:t> </w:t>
      </w:r>
      <w:r>
        <w:rPr>
          <w:sz w:val="18"/>
          <w:vertAlign w:val="baseline"/>
        </w:rPr>
        <w:t>2023, </w:t>
      </w:r>
      <w:r>
        <w:rPr>
          <w:spacing w:val="-2"/>
          <w:sz w:val="18"/>
          <w:vertAlign w:val="baseline"/>
        </w:rPr>
        <w:t>https://siecus.org/resources/opt-in-vs-opt-out-state-sex-ed-parental-consent-policies/.</w:t>
      </w:r>
    </w:p>
    <w:p>
      <w:pPr>
        <w:spacing w:line="219" w:lineRule="exact" w:before="0"/>
        <w:ind w:left="363" w:right="0" w:firstLine="0"/>
        <w:jc w:val="left"/>
        <w:rPr>
          <w:sz w:val="18"/>
        </w:rPr>
      </w:pPr>
      <w:r>
        <w:rPr>
          <w:sz w:val="18"/>
          <w:vertAlign w:val="superscript"/>
        </w:rPr>
        <w:t>8</w:t>
      </w:r>
      <w:r>
        <w:rPr>
          <w:spacing w:val="-15"/>
          <w:sz w:val="18"/>
          <w:vertAlign w:val="baseline"/>
        </w:rPr>
        <w:t> </w:t>
      </w:r>
      <w:r>
        <w:rPr>
          <w:sz w:val="18"/>
          <w:vertAlign w:val="baseline"/>
        </w:rPr>
        <w:t>“Adolescent</w:t>
      </w:r>
      <w:r>
        <w:rPr>
          <w:spacing w:val="-5"/>
          <w:sz w:val="18"/>
          <w:vertAlign w:val="baseline"/>
        </w:rPr>
        <w:t> </w:t>
      </w:r>
      <w:r>
        <w:rPr>
          <w:sz w:val="18"/>
          <w:vertAlign w:val="baseline"/>
        </w:rPr>
        <w:t>and</w:t>
      </w:r>
      <w:r>
        <w:rPr>
          <w:spacing w:val="-2"/>
          <w:sz w:val="18"/>
          <w:vertAlign w:val="baseline"/>
        </w:rPr>
        <w:t> </w:t>
      </w:r>
      <w:r>
        <w:rPr>
          <w:sz w:val="18"/>
          <w:vertAlign w:val="baseline"/>
        </w:rPr>
        <w:t>School</w:t>
      </w:r>
      <w:r>
        <w:rPr>
          <w:spacing w:val="-4"/>
          <w:sz w:val="18"/>
          <w:vertAlign w:val="baseline"/>
        </w:rPr>
        <w:t> </w:t>
      </w:r>
      <w:r>
        <w:rPr>
          <w:sz w:val="18"/>
          <w:vertAlign w:val="baseline"/>
        </w:rPr>
        <w:t>Health</w:t>
      </w:r>
      <w:r>
        <w:rPr>
          <w:spacing w:val="-1"/>
          <w:sz w:val="18"/>
          <w:vertAlign w:val="baseline"/>
        </w:rPr>
        <w:t> </w:t>
      </w:r>
      <w:r>
        <w:rPr>
          <w:sz w:val="18"/>
          <w:vertAlign w:val="baseline"/>
        </w:rPr>
        <w:t>(DASH)</w:t>
      </w:r>
      <w:r>
        <w:rPr>
          <w:spacing w:val="-2"/>
          <w:sz w:val="18"/>
          <w:vertAlign w:val="baseline"/>
        </w:rPr>
        <w:t> </w:t>
      </w:r>
      <w:r>
        <w:rPr>
          <w:sz w:val="18"/>
          <w:vertAlign w:val="baseline"/>
        </w:rPr>
        <w:t>|</w:t>
      </w:r>
      <w:r>
        <w:rPr>
          <w:spacing w:val="-3"/>
          <w:sz w:val="18"/>
          <w:vertAlign w:val="baseline"/>
        </w:rPr>
        <w:t> </w:t>
      </w:r>
      <w:r>
        <w:rPr>
          <w:sz w:val="18"/>
          <w:vertAlign w:val="baseline"/>
        </w:rPr>
        <w:t>CDC,”</w:t>
      </w:r>
      <w:r>
        <w:rPr>
          <w:spacing w:val="-2"/>
          <w:sz w:val="18"/>
          <w:vertAlign w:val="baseline"/>
        </w:rPr>
        <w:t> </w:t>
      </w:r>
      <w:r>
        <w:rPr>
          <w:sz w:val="18"/>
          <w:vertAlign w:val="baseline"/>
        </w:rPr>
        <w:t>March</w:t>
      </w:r>
      <w:r>
        <w:rPr>
          <w:spacing w:val="-2"/>
          <w:sz w:val="18"/>
          <w:vertAlign w:val="baseline"/>
        </w:rPr>
        <w:t> </w:t>
      </w:r>
      <w:r>
        <w:rPr>
          <w:sz w:val="18"/>
          <w:vertAlign w:val="baseline"/>
        </w:rPr>
        <w:t>16,</w:t>
      </w:r>
      <w:r>
        <w:rPr>
          <w:spacing w:val="-3"/>
          <w:sz w:val="18"/>
          <w:vertAlign w:val="baseline"/>
        </w:rPr>
        <w:t> </w:t>
      </w:r>
      <w:r>
        <w:rPr>
          <w:sz w:val="18"/>
          <w:vertAlign w:val="baseline"/>
        </w:rPr>
        <w:t>2023,</w:t>
      </w:r>
      <w:r>
        <w:rPr>
          <w:spacing w:val="-2"/>
          <w:sz w:val="18"/>
          <w:vertAlign w:val="baseline"/>
        </w:rPr>
        <w:t> https://</w:t>
      </w:r>
      <w:hyperlink r:id="rId404">
        <w:r>
          <w:rPr>
            <w:spacing w:val="-2"/>
            <w:sz w:val="18"/>
            <w:vertAlign w:val="baseline"/>
          </w:rPr>
          <w:t>www.cdc.gov/healthyyouth/index.htm.</w:t>
        </w:r>
      </w:hyperlink>
    </w:p>
    <w:p>
      <w:pPr>
        <w:spacing w:before="0"/>
        <w:ind w:left="363" w:right="0" w:firstLine="0"/>
        <w:jc w:val="left"/>
        <w:rPr>
          <w:sz w:val="18"/>
        </w:rPr>
      </w:pPr>
      <w:r>
        <w:rPr>
          <w:sz w:val="18"/>
          <w:vertAlign w:val="superscript"/>
        </w:rPr>
        <w:t>9</w:t>
      </w:r>
      <w:r>
        <w:rPr>
          <w:spacing w:val="-13"/>
          <w:sz w:val="18"/>
          <w:vertAlign w:val="baseline"/>
        </w:rPr>
        <w:t> </w:t>
      </w:r>
      <w:r>
        <w:rPr>
          <w:sz w:val="18"/>
          <w:vertAlign w:val="baseline"/>
        </w:rPr>
        <w:t>“Adolescent</w:t>
      </w:r>
      <w:r>
        <w:rPr>
          <w:spacing w:val="-5"/>
          <w:sz w:val="18"/>
          <w:vertAlign w:val="baseline"/>
        </w:rPr>
        <w:t> </w:t>
      </w:r>
      <w:r>
        <w:rPr>
          <w:sz w:val="18"/>
          <w:vertAlign w:val="baseline"/>
        </w:rPr>
        <w:t>and</w:t>
      </w:r>
      <w:r>
        <w:rPr>
          <w:spacing w:val="-2"/>
          <w:sz w:val="18"/>
          <w:vertAlign w:val="baseline"/>
        </w:rPr>
        <w:t> </w:t>
      </w:r>
      <w:r>
        <w:rPr>
          <w:sz w:val="18"/>
          <w:vertAlign w:val="baseline"/>
        </w:rPr>
        <w:t>School</w:t>
      </w:r>
      <w:r>
        <w:rPr>
          <w:spacing w:val="-3"/>
          <w:sz w:val="18"/>
          <w:vertAlign w:val="baseline"/>
        </w:rPr>
        <w:t> </w:t>
      </w:r>
      <w:r>
        <w:rPr>
          <w:sz w:val="18"/>
          <w:vertAlign w:val="baseline"/>
        </w:rPr>
        <w:t>Health</w:t>
      </w:r>
      <w:r>
        <w:rPr>
          <w:spacing w:val="-1"/>
          <w:sz w:val="18"/>
          <w:vertAlign w:val="baseline"/>
        </w:rPr>
        <w:t> </w:t>
      </w:r>
      <w:r>
        <w:rPr>
          <w:sz w:val="18"/>
          <w:vertAlign w:val="baseline"/>
        </w:rPr>
        <w:t>(DASH)</w:t>
      </w:r>
      <w:r>
        <w:rPr>
          <w:spacing w:val="-2"/>
          <w:sz w:val="18"/>
          <w:vertAlign w:val="baseline"/>
        </w:rPr>
        <w:t> </w:t>
      </w:r>
      <w:r>
        <w:rPr>
          <w:sz w:val="18"/>
          <w:vertAlign w:val="baseline"/>
        </w:rPr>
        <w:t>|</w:t>
      </w:r>
      <w:r>
        <w:rPr>
          <w:spacing w:val="-1"/>
          <w:sz w:val="18"/>
          <w:vertAlign w:val="baseline"/>
        </w:rPr>
        <w:t> </w:t>
      </w:r>
      <w:r>
        <w:rPr>
          <w:spacing w:val="-2"/>
          <w:sz w:val="18"/>
          <w:vertAlign w:val="baseline"/>
        </w:rPr>
        <w:t>CDC.”</w:t>
      </w:r>
    </w:p>
    <w:p>
      <w:pPr>
        <w:spacing w:before="0"/>
        <w:ind w:left="363" w:right="91" w:hanging="1"/>
        <w:jc w:val="left"/>
        <w:rPr>
          <w:sz w:val="18"/>
        </w:rPr>
      </w:pPr>
      <w:r>
        <w:rPr>
          <w:sz w:val="18"/>
          <w:vertAlign w:val="superscript"/>
        </w:rPr>
        <w:t>10</w:t>
      </w:r>
      <w:r>
        <w:rPr>
          <w:spacing w:val="-13"/>
          <w:sz w:val="18"/>
          <w:vertAlign w:val="baseline"/>
        </w:rPr>
        <w:t> </w:t>
      </w:r>
      <w:r>
        <w:rPr>
          <w:sz w:val="18"/>
          <w:vertAlign w:val="baseline"/>
        </w:rPr>
        <w:t>Christine</w:t>
      </w:r>
      <w:r>
        <w:rPr>
          <w:spacing w:val="-4"/>
          <w:sz w:val="18"/>
          <w:vertAlign w:val="baseline"/>
        </w:rPr>
        <w:t> </w:t>
      </w:r>
      <w:r>
        <w:rPr>
          <w:sz w:val="18"/>
          <w:vertAlign w:val="baseline"/>
        </w:rPr>
        <w:t>Panchaud</w:t>
      </w:r>
      <w:r>
        <w:rPr>
          <w:spacing w:val="-3"/>
          <w:sz w:val="18"/>
          <w:vertAlign w:val="baseline"/>
        </w:rPr>
        <w:t> </w:t>
      </w:r>
      <w:r>
        <w:rPr>
          <w:sz w:val="18"/>
          <w:vertAlign w:val="baseline"/>
        </w:rPr>
        <w:t>and</w:t>
      </w:r>
      <w:r>
        <w:rPr>
          <w:spacing w:val="-3"/>
          <w:sz w:val="18"/>
          <w:vertAlign w:val="baseline"/>
        </w:rPr>
        <w:t> </w:t>
      </w:r>
      <w:r>
        <w:rPr>
          <w:sz w:val="18"/>
          <w:vertAlign w:val="baseline"/>
        </w:rPr>
        <w:t>Ragnar</w:t>
      </w:r>
      <w:r>
        <w:rPr>
          <w:spacing w:val="-4"/>
          <w:sz w:val="18"/>
          <w:vertAlign w:val="baseline"/>
        </w:rPr>
        <w:t> </w:t>
      </w:r>
      <w:r>
        <w:rPr>
          <w:sz w:val="18"/>
          <w:vertAlign w:val="baseline"/>
        </w:rPr>
        <w:t>Anderson,</w:t>
      </w:r>
      <w:r>
        <w:rPr>
          <w:spacing w:val="-4"/>
          <w:sz w:val="18"/>
          <w:vertAlign w:val="baseline"/>
        </w:rPr>
        <w:t> </w:t>
      </w:r>
      <w:r>
        <w:rPr>
          <w:sz w:val="18"/>
          <w:vertAlign w:val="baseline"/>
        </w:rPr>
        <w:t>“Demystifying</w:t>
      </w:r>
      <w:r>
        <w:rPr>
          <w:spacing w:val="-3"/>
          <w:sz w:val="18"/>
          <w:vertAlign w:val="baseline"/>
        </w:rPr>
        <w:t> </w:t>
      </w:r>
      <w:r>
        <w:rPr>
          <w:sz w:val="18"/>
          <w:vertAlign w:val="baseline"/>
        </w:rPr>
        <w:t>Data:</w:t>
      </w:r>
      <w:r>
        <w:rPr>
          <w:spacing w:val="-3"/>
          <w:sz w:val="18"/>
          <w:vertAlign w:val="baseline"/>
        </w:rPr>
        <w:t> </w:t>
      </w:r>
      <w:r>
        <w:rPr>
          <w:sz w:val="18"/>
          <w:vertAlign w:val="baseline"/>
        </w:rPr>
        <w:t>Using</w:t>
      </w:r>
      <w:r>
        <w:rPr>
          <w:spacing w:val="-3"/>
          <w:sz w:val="18"/>
          <w:vertAlign w:val="baseline"/>
        </w:rPr>
        <w:t> </w:t>
      </w:r>
      <w:r>
        <w:rPr>
          <w:sz w:val="18"/>
          <w:vertAlign w:val="baseline"/>
        </w:rPr>
        <w:t>Evidence</w:t>
      </w:r>
      <w:r>
        <w:rPr>
          <w:spacing w:val="-3"/>
          <w:sz w:val="18"/>
          <w:vertAlign w:val="baseline"/>
        </w:rPr>
        <w:t> </w:t>
      </w:r>
      <w:r>
        <w:rPr>
          <w:sz w:val="18"/>
          <w:vertAlign w:val="baseline"/>
        </w:rPr>
        <w:t>to</w:t>
      </w:r>
      <w:r>
        <w:rPr>
          <w:spacing w:val="-3"/>
          <w:sz w:val="18"/>
          <w:vertAlign w:val="baseline"/>
        </w:rPr>
        <w:t> </w:t>
      </w:r>
      <w:r>
        <w:rPr>
          <w:sz w:val="18"/>
          <w:vertAlign w:val="baseline"/>
        </w:rPr>
        <w:t>Improve</w:t>
      </w:r>
      <w:r>
        <w:rPr>
          <w:spacing w:val="-3"/>
          <w:sz w:val="18"/>
          <w:vertAlign w:val="baseline"/>
        </w:rPr>
        <w:t> </w:t>
      </w:r>
      <w:r>
        <w:rPr>
          <w:sz w:val="18"/>
          <w:vertAlign w:val="baseline"/>
        </w:rPr>
        <w:t>Young</w:t>
      </w:r>
      <w:r>
        <w:rPr>
          <w:spacing w:val="-3"/>
          <w:sz w:val="18"/>
          <w:vertAlign w:val="baseline"/>
        </w:rPr>
        <w:t> </w:t>
      </w:r>
      <w:r>
        <w:rPr>
          <w:sz w:val="18"/>
          <w:vertAlign w:val="baseline"/>
        </w:rPr>
        <w:t>People’s</w:t>
      </w:r>
      <w:r>
        <w:rPr>
          <w:spacing w:val="-3"/>
          <w:sz w:val="18"/>
          <w:vertAlign w:val="baseline"/>
        </w:rPr>
        <w:t> </w:t>
      </w:r>
      <w:r>
        <w:rPr>
          <w:sz w:val="18"/>
          <w:vertAlign w:val="baseline"/>
        </w:rPr>
        <w:t>Sexual</w:t>
      </w:r>
      <w:r>
        <w:rPr>
          <w:spacing w:val="-4"/>
          <w:sz w:val="18"/>
          <w:vertAlign w:val="baseline"/>
        </w:rPr>
        <w:t> </w:t>
      </w:r>
      <w:r>
        <w:rPr>
          <w:sz w:val="18"/>
          <w:vertAlign w:val="baseline"/>
        </w:rPr>
        <w:t>Health</w:t>
      </w:r>
      <w:r>
        <w:rPr>
          <w:spacing w:val="-3"/>
          <w:sz w:val="18"/>
          <w:vertAlign w:val="baseline"/>
        </w:rPr>
        <w:t> </w:t>
      </w:r>
      <w:r>
        <w:rPr>
          <w:sz w:val="18"/>
          <w:vertAlign w:val="baseline"/>
        </w:rPr>
        <w:t>and Rights—Workshop Toolkit,” August 5, 2016, https://</w:t>
      </w:r>
      <w:hyperlink r:id="rId405">
        <w:r>
          <w:rPr>
            <w:sz w:val="18"/>
            <w:vertAlign w:val="baseline"/>
          </w:rPr>
          <w:t>www.guttmacher.org/report/demystifying-data-workshop-toolkit.</w:t>
        </w:r>
      </w:hyperlink>
    </w:p>
    <w:p>
      <w:pPr>
        <w:spacing w:before="0"/>
        <w:ind w:left="363" w:right="523" w:hanging="1"/>
        <w:jc w:val="left"/>
        <w:rPr>
          <w:sz w:val="18"/>
        </w:rPr>
      </w:pPr>
      <w:r>
        <w:rPr>
          <w:sz w:val="18"/>
          <w:vertAlign w:val="superscript"/>
        </w:rPr>
        <w:t>11</w:t>
      </w:r>
      <w:r>
        <w:rPr>
          <w:spacing w:val="-13"/>
          <w:sz w:val="18"/>
          <w:vertAlign w:val="baseline"/>
        </w:rPr>
        <w:t> </w:t>
      </w:r>
      <w:r>
        <w:rPr>
          <w:sz w:val="18"/>
          <w:vertAlign w:val="baseline"/>
        </w:rPr>
        <w:t>SIECUS:</w:t>
      </w:r>
      <w:r>
        <w:rPr>
          <w:spacing w:val="-3"/>
          <w:sz w:val="18"/>
          <w:vertAlign w:val="baseline"/>
        </w:rPr>
        <w:t> </w:t>
      </w:r>
      <w:r>
        <w:rPr>
          <w:sz w:val="18"/>
          <w:vertAlign w:val="baseline"/>
        </w:rPr>
        <w:t>Sex</w:t>
      </w:r>
      <w:r>
        <w:rPr>
          <w:spacing w:val="-2"/>
          <w:sz w:val="18"/>
          <w:vertAlign w:val="baseline"/>
        </w:rPr>
        <w:t> </w:t>
      </w:r>
      <w:r>
        <w:rPr>
          <w:sz w:val="18"/>
          <w:vertAlign w:val="baseline"/>
        </w:rPr>
        <w:t>Ed</w:t>
      </w:r>
      <w:r>
        <w:rPr>
          <w:spacing w:val="-3"/>
          <w:sz w:val="18"/>
          <w:vertAlign w:val="baseline"/>
        </w:rPr>
        <w:t> </w:t>
      </w:r>
      <w:r>
        <w:rPr>
          <w:sz w:val="18"/>
          <w:vertAlign w:val="baseline"/>
        </w:rPr>
        <w:t>for</w:t>
      </w:r>
      <w:r>
        <w:rPr>
          <w:spacing w:val="-3"/>
          <w:sz w:val="18"/>
          <w:vertAlign w:val="baseline"/>
        </w:rPr>
        <w:t> </w:t>
      </w:r>
      <w:r>
        <w:rPr>
          <w:sz w:val="18"/>
          <w:vertAlign w:val="baseline"/>
        </w:rPr>
        <w:t>Social</w:t>
      </w:r>
      <w:r>
        <w:rPr>
          <w:spacing w:val="-3"/>
          <w:sz w:val="18"/>
          <w:vertAlign w:val="baseline"/>
        </w:rPr>
        <w:t> </w:t>
      </w:r>
      <w:r>
        <w:rPr>
          <w:sz w:val="18"/>
          <w:vertAlign w:val="baseline"/>
        </w:rPr>
        <w:t>Change,</w:t>
      </w:r>
      <w:r>
        <w:rPr>
          <w:spacing w:val="-3"/>
          <w:sz w:val="18"/>
          <w:vertAlign w:val="baseline"/>
        </w:rPr>
        <w:t> </w:t>
      </w:r>
      <w:r>
        <w:rPr>
          <w:sz w:val="18"/>
          <w:vertAlign w:val="baseline"/>
        </w:rPr>
        <w:t>et</w:t>
      </w:r>
      <w:r>
        <w:rPr>
          <w:spacing w:val="-3"/>
          <w:sz w:val="18"/>
          <w:vertAlign w:val="baseline"/>
        </w:rPr>
        <w:t> </w:t>
      </w:r>
      <w:r>
        <w:rPr>
          <w:sz w:val="18"/>
          <w:vertAlign w:val="baseline"/>
        </w:rPr>
        <w:t>al.</w:t>
      </w:r>
      <w:r>
        <w:rPr>
          <w:spacing w:val="-2"/>
          <w:sz w:val="18"/>
          <w:vertAlign w:val="baseline"/>
        </w:rPr>
        <w:t> </w:t>
      </w:r>
      <w:r>
        <w:rPr>
          <w:sz w:val="18"/>
          <w:vertAlign w:val="baseline"/>
        </w:rPr>
        <w:t>May</w:t>
      </w:r>
      <w:r>
        <w:rPr>
          <w:spacing w:val="-2"/>
          <w:sz w:val="18"/>
          <w:vertAlign w:val="baseline"/>
        </w:rPr>
        <w:t> </w:t>
      </w:r>
      <w:r>
        <w:rPr>
          <w:sz w:val="18"/>
          <w:vertAlign w:val="baseline"/>
        </w:rPr>
        <w:t>2021.</w:t>
      </w:r>
      <w:r>
        <w:rPr>
          <w:spacing w:val="-2"/>
          <w:sz w:val="18"/>
          <w:vertAlign w:val="baseline"/>
        </w:rPr>
        <w:t> </w:t>
      </w:r>
      <w:r>
        <w:rPr>
          <w:sz w:val="18"/>
          <w:vertAlign w:val="baseline"/>
        </w:rPr>
        <w:t>“A</w:t>
      </w:r>
      <w:r>
        <w:rPr>
          <w:spacing w:val="-2"/>
          <w:sz w:val="18"/>
          <w:vertAlign w:val="baseline"/>
        </w:rPr>
        <w:t> </w:t>
      </w:r>
      <w:r>
        <w:rPr>
          <w:sz w:val="18"/>
          <w:vertAlign w:val="baseline"/>
        </w:rPr>
        <w:t>Call</w:t>
      </w:r>
      <w:r>
        <w:rPr>
          <w:spacing w:val="-3"/>
          <w:sz w:val="18"/>
          <w:vertAlign w:val="baseline"/>
        </w:rPr>
        <w:t> </w:t>
      </w:r>
      <w:r>
        <w:rPr>
          <w:sz w:val="18"/>
          <w:vertAlign w:val="baseline"/>
        </w:rPr>
        <w:t>to</w:t>
      </w:r>
      <w:r>
        <w:rPr>
          <w:spacing w:val="-2"/>
          <w:sz w:val="18"/>
          <w:vertAlign w:val="baseline"/>
        </w:rPr>
        <w:t> </w:t>
      </w:r>
      <w:r>
        <w:rPr>
          <w:sz w:val="18"/>
          <w:vertAlign w:val="baseline"/>
        </w:rPr>
        <w:t>Action:</w:t>
      </w:r>
      <w:r>
        <w:rPr>
          <w:spacing w:val="-2"/>
          <w:sz w:val="18"/>
          <w:vertAlign w:val="baseline"/>
        </w:rPr>
        <w:t> </w:t>
      </w:r>
      <w:r>
        <w:rPr>
          <w:sz w:val="18"/>
          <w:vertAlign w:val="baseline"/>
        </w:rPr>
        <w:t>LGBTQ+</w:t>
      </w:r>
      <w:r>
        <w:rPr>
          <w:spacing w:val="-2"/>
          <w:sz w:val="18"/>
          <w:vertAlign w:val="baseline"/>
        </w:rPr>
        <w:t> </w:t>
      </w:r>
      <w:r>
        <w:rPr>
          <w:sz w:val="18"/>
          <w:vertAlign w:val="baseline"/>
        </w:rPr>
        <w:t>Youth</w:t>
      </w:r>
      <w:r>
        <w:rPr>
          <w:spacing w:val="-2"/>
          <w:sz w:val="18"/>
          <w:vertAlign w:val="baseline"/>
        </w:rPr>
        <w:t> </w:t>
      </w:r>
      <w:r>
        <w:rPr>
          <w:sz w:val="18"/>
          <w:vertAlign w:val="baseline"/>
        </w:rPr>
        <w:t>Need</w:t>
      </w:r>
      <w:r>
        <w:rPr>
          <w:spacing w:val="-2"/>
          <w:sz w:val="18"/>
          <w:vertAlign w:val="baseline"/>
        </w:rPr>
        <w:t> </w:t>
      </w:r>
      <w:r>
        <w:rPr>
          <w:sz w:val="18"/>
          <w:vertAlign w:val="baseline"/>
        </w:rPr>
        <w:t>Inclusive</w:t>
      </w:r>
      <w:r>
        <w:rPr>
          <w:spacing w:val="-2"/>
          <w:sz w:val="18"/>
          <w:vertAlign w:val="baseline"/>
        </w:rPr>
        <w:t> </w:t>
      </w:r>
      <w:r>
        <w:rPr>
          <w:sz w:val="18"/>
          <w:vertAlign w:val="baseline"/>
        </w:rPr>
        <w:t>Sex</w:t>
      </w:r>
      <w:r>
        <w:rPr>
          <w:spacing w:val="-2"/>
          <w:sz w:val="18"/>
          <w:vertAlign w:val="baseline"/>
        </w:rPr>
        <w:t> </w:t>
      </w:r>
      <w:r>
        <w:rPr>
          <w:sz w:val="18"/>
          <w:vertAlign w:val="baseline"/>
        </w:rPr>
        <w:t>Education,”</w:t>
      </w:r>
      <w:r>
        <w:rPr>
          <w:spacing w:val="-2"/>
          <w:sz w:val="18"/>
          <w:vertAlign w:val="baseline"/>
        </w:rPr>
        <w:t> </w:t>
      </w:r>
      <w:r>
        <w:rPr>
          <w:sz w:val="18"/>
          <w:vertAlign w:val="baseline"/>
        </w:rPr>
        <w:t>page</w:t>
      </w:r>
      <w:r>
        <w:rPr>
          <w:spacing w:val="-3"/>
          <w:sz w:val="18"/>
          <w:vertAlign w:val="baseline"/>
        </w:rPr>
        <w:t> </w:t>
      </w:r>
      <w:r>
        <w:rPr>
          <w:sz w:val="18"/>
          <w:vertAlign w:val="baseline"/>
        </w:rPr>
        <w:t>2. </w:t>
      </w:r>
      <w:hyperlink r:id="rId406">
        <w:r>
          <w:rPr>
            <w:color w:val="0000FF"/>
            <w:spacing w:val="-2"/>
            <w:sz w:val="18"/>
            <w:u w:val="single" w:color="0000FF"/>
            <w:vertAlign w:val="baseline"/>
          </w:rPr>
          <w:t>https://hrc-prod-requests.s3-us-west-2.amazonaws.com/Call-to-Action-LGBTQ-Sex-Ed-Report-2021.pd</w:t>
        </w:r>
      </w:hyperlink>
      <w:hyperlink r:id="rId406">
        <w:r>
          <w:rPr>
            <w:color w:val="0000FF"/>
            <w:spacing w:val="-2"/>
            <w:sz w:val="18"/>
            <w:u w:val="single" w:color="0000FF"/>
            <w:vertAlign w:val="baseline"/>
          </w:rPr>
          <w:t>f</w:t>
        </w:r>
        <w:r>
          <w:rPr>
            <w:spacing w:val="-2"/>
            <w:sz w:val="18"/>
            <w:u w:val="none"/>
            <w:vertAlign w:val="baseline"/>
          </w:rPr>
          <w:t>.</w:t>
        </w:r>
      </w:hyperlink>
    </w:p>
    <w:p>
      <w:pPr>
        <w:spacing w:before="0"/>
        <w:ind w:left="363" w:right="91" w:hanging="1"/>
        <w:jc w:val="left"/>
        <w:rPr>
          <w:sz w:val="18"/>
        </w:rPr>
      </w:pPr>
      <w:r>
        <w:rPr>
          <w:sz w:val="18"/>
          <w:vertAlign w:val="superscript"/>
        </w:rPr>
        <w:t>12</w:t>
      </w:r>
      <w:r>
        <w:rPr>
          <w:spacing w:val="-13"/>
          <w:sz w:val="18"/>
          <w:vertAlign w:val="baseline"/>
        </w:rPr>
        <w:t> </w:t>
      </w:r>
      <w:r>
        <w:rPr>
          <w:sz w:val="18"/>
          <w:vertAlign w:val="baseline"/>
        </w:rPr>
        <w:t>Kantor,</w:t>
      </w:r>
      <w:r>
        <w:rPr>
          <w:spacing w:val="-4"/>
          <w:sz w:val="18"/>
          <w:vertAlign w:val="baseline"/>
        </w:rPr>
        <w:t> </w:t>
      </w:r>
      <w:r>
        <w:rPr>
          <w:sz w:val="18"/>
          <w:vertAlign w:val="baseline"/>
        </w:rPr>
        <w:t>Leslie,</w:t>
      </w:r>
      <w:r>
        <w:rPr>
          <w:spacing w:val="-3"/>
          <w:sz w:val="18"/>
          <w:vertAlign w:val="baseline"/>
        </w:rPr>
        <w:t> </w:t>
      </w:r>
      <w:r>
        <w:rPr>
          <w:sz w:val="18"/>
          <w:vertAlign w:val="baseline"/>
        </w:rPr>
        <w:t>and</w:t>
      </w:r>
      <w:r>
        <w:rPr>
          <w:spacing w:val="-2"/>
          <w:sz w:val="18"/>
          <w:vertAlign w:val="baseline"/>
        </w:rPr>
        <w:t> </w:t>
      </w:r>
      <w:r>
        <w:rPr>
          <w:sz w:val="18"/>
          <w:vertAlign w:val="baseline"/>
        </w:rPr>
        <w:t>Nicole</w:t>
      </w:r>
      <w:r>
        <w:rPr>
          <w:spacing w:val="-2"/>
          <w:sz w:val="18"/>
          <w:vertAlign w:val="baseline"/>
        </w:rPr>
        <w:t> </w:t>
      </w:r>
      <w:r>
        <w:rPr>
          <w:sz w:val="18"/>
          <w:vertAlign w:val="baseline"/>
        </w:rPr>
        <w:t>Levitz.</w:t>
      </w:r>
      <w:r>
        <w:rPr>
          <w:spacing w:val="-2"/>
          <w:sz w:val="18"/>
          <w:vertAlign w:val="baseline"/>
        </w:rPr>
        <w:t> </w:t>
      </w:r>
      <w:r>
        <w:rPr>
          <w:sz w:val="18"/>
          <w:vertAlign w:val="baseline"/>
        </w:rPr>
        <w:t>2017.</w:t>
      </w:r>
      <w:r>
        <w:rPr>
          <w:spacing w:val="-2"/>
          <w:sz w:val="18"/>
          <w:vertAlign w:val="baseline"/>
        </w:rPr>
        <w:t> </w:t>
      </w:r>
      <w:r>
        <w:rPr>
          <w:sz w:val="18"/>
          <w:vertAlign w:val="baseline"/>
        </w:rPr>
        <w:t>“Parents’</w:t>
      </w:r>
      <w:r>
        <w:rPr>
          <w:spacing w:val="-3"/>
          <w:sz w:val="18"/>
          <w:vertAlign w:val="baseline"/>
        </w:rPr>
        <w:t> </w:t>
      </w:r>
      <w:r>
        <w:rPr>
          <w:sz w:val="18"/>
          <w:vertAlign w:val="baseline"/>
        </w:rPr>
        <w:t>Views</w:t>
      </w:r>
      <w:r>
        <w:rPr>
          <w:spacing w:val="-2"/>
          <w:sz w:val="18"/>
          <w:vertAlign w:val="baseline"/>
        </w:rPr>
        <w:t> </w:t>
      </w:r>
      <w:r>
        <w:rPr>
          <w:sz w:val="18"/>
          <w:vertAlign w:val="baseline"/>
        </w:rPr>
        <w:t>on</w:t>
      </w:r>
      <w:r>
        <w:rPr>
          <w:spacing w:val="-2"/>
          <w:sz w:val="18"/>
          <w:vertAlign w:val="baseline"/>
        </w:rPr>
        <w:t> </w:t>
      </w:r>
      <w:r>
        <w:rPr>
          <w:sz w:val="18"/>
          <w:vertAlign w:val="baseline"/>
        </w:rPr>
        <w:t>Sex</w:t>
      </w:r>
      <w:r>
        <w:rPr>
          <w:spacing w:val="-4"/>
          <w:sz w:val="18"/>
          <w:vertAlign w:val="baseline"/>
        </w:rPr>
        <w:t> </w:t>
      </w:r>
      <w:r>
        <w:rPr>
          <w:sz w:val="18"/>
          <w:vertAlign w:val="baseline"/>
        </w:rPr>
        <w:t>Education</w:t>
      </w:r>
      <w:r>
        <w:rPr>
          <w:spacing w:val="-2"/>
          <w:sz w:val="18"/>
          <w:vertAlign w:val="baseline"/>
        </w:rPr>
        <w:t> </w:t>
      </w:r>
      <w:r>
        <w:rPr>
          <w:sz w:val="18"/>
          <w:vertAlign w:val="baseline"/>
        </w:rPr>
        <w:t>in</w:t>
      </w:r>
      <w:r>
        <w:rPr>
          <w:spacing w:val="-2"/>
          <w:sz w:val="18"/>
          <w:vertAlign w:val="baseline"/>
        </w:rPr>
        <w:t> </w:t>
      </w:r>
      <w:r>
        <w:rPr>
          <w:sz w:val="18"/>
          <w:vertAlign w:val="baseline"/>
        </w:rPr>
        <w:t>Schools:</w:t>
      </w:r>
      <w:r>
        <w:rPr>
          <w:spacing w:val="-2"/>
          <w:sz w:val="18"/>
          <w:vertAlign w:val="baseline"/>
        </w:rPr>
        <w:t> </w:t>
      </w:r>
      <w:r>
        <w:rPr>
          <w:sz w:val="18"/>
          <w:vertAlign w:val="baseline"/>
        </w:rPr>
        <w:t>How</w:t>
      </w:r>
      <w:r>
        <w:rPr>
          <w:spacing w:val="-3"/>
          <w:sz w:val="18"/>
          <w:vertAlign w:val="baseline"/>
        </w:rPr>
        <w:t> </w:t>
      </w:r>
      <w:r>
        <w:rPr>
          <w:sz w:val="18"/>
          <w:vertAlign w:val="baseline"/>
        </w:rPr>
        <w:t>Much</w:t>
      </w:r>
      <w:r>
        <w:rPr>
          <w:spacing w:val="-1"/>
          <w:sz w:val="18"/>
          <w:vertAlign w:val="baseline"/>
        </w:rPr>
        <w:t> </w:t>
      </w:r>
      <w:r>
        <w:rPr>
          <w:sz w:val="18"/>
          <w:vertAlign w:val="baseline"/>
        </w:rPr>
        <w:t>Do</w:t>
      </w:r>
      <w:r>
        <w:rPr>
          <w:spacing w:val="-2"/>
          <w:sz w:val="18"/>
          <w:vertAlign w:val="baseline"/>
        </w:rPr>
        <w:t> </w:t>
      </w:r>
      <w:r>
        <w:rPr>
          <w:sz w:val="18"/>
          <w:vertAlign w:val="baseline"/>
        </w:rPr>
        <w:t>Democrats</w:t>
      </w:r>
      <w:r>
        <w:rPr>
          <w:spacing w:val="-2"/>
          <w:sz w:val="18"/>
          <w:vertAlign w:val="baseline"/>
        </w:rPr>
        <w:t> </w:t>
      </w:r>
      <w:r>
        <w:rPr>
          <w:sz w:val="18"/>
          <w:vertAlign w:val="baseline"/>
        </w:rPr>
        <w:t>and</w:t>
      </w:r>
      <w:r>
        <w:rPr>
          <w:spacing w:val="-2"/>
          <w:sz w:val="18"/>
          <w:vertAlign w:val="baseline"/>
        </w:rPr>
        <w:t> </w:t>
      </w:r>
      <w:r>
        <w:rPr>
          <w:sz w:val="18"/>
          <w:vertAlign w:val="baseline"/>
        </w:rPr>
        <w:t>Republicans Agree?” </w:t>
      </w:r>
      <w:r>
        <w:rPr>
          <w:i/>
          <w:sz w:val="18"/>
          <w:vertAlign w:val="baseline"/>
        </w:rPr>
        <w:t>PLOS ONE </w:t>
      </w:r>
      <w:r>
        <w:rPr>
          <w:sz w:val="18"/>
          <w:vertAlign w:val="baseline"/>
        </w:rPr>
        <w:t>12, no. 7 (July 3, 2017). </w:t>
      </w:r>
      <w:r>
        <w:rPr>
          <w:color w:val="0000FF"/>
          <w:sz w:val="18"/>
          <w:u w:val="single" w:color="0000FF"/>
          <w:vertAlign w:val="baseline"/>
        </w:rPr>
        <w:t>https://10.1371/journal.pone.0180250</w:t>
      </w:r>
      <w:r>
        <w:rPr>
          <w:sz w:val="18"/>
          <w:u w:val="none"/>
          <w:vertAlign w:val="baseline"/>
        </w:rPr>
        <w:t>.</w:t>
      </w:r>
    </w:p>
    <w:p>
      <w:pPr>
        <w:spacing w:before="0"/>
        <w:ind w:left="363" w:right="0" w:firstLine="0"/>
        <w:jc w:val="left"/>
        <w:rPr>
          <w:i/>
          <w:sz w:val="18"/>
        </w:rPr>
      </w:pPr>
      <w:r>
        <w:rPr>
          <w:sz w:val="18"/>
          <w:vertAlign w:val="superscript"/>
        </w:rPr>
        <w:t>13</w:t>
      </w:r>
      <w:r>
        <w:rPr>
          <w:spacing w:val="-15"/>
          <w:sz w:val="18"/>
          <w:vertAlign w:val="baseline"/>
        </w:rPr>
        <w:t> </w:t>
      </w:r>
      <w:r>
        <w:rPr>
          <w:sz w:val="18"/>
          <w:vertAlign w:val="baseline"/>
        </w:rPr>
        <w:t>Robert</w:t>
      </w:r>
      <w:r>
        <w:rPr>
          <w:spacing w:val="-5"/>
          <w:sz w:val="18"/>
          <w:vertAlign w:val="baseline"/>
        </w:rPr>
        <w:t> </w:t>
      </w:r>
      <w:r>
        <w:rPr>
          <w:sz w:val="18"/>
          <w:vertAlign w:val="baseline"/>
        </w:rPr>
        <w:t>Atkins</w:t>
      </w:r>
      <w:r>
        <w:rPr>
          <w:spacing w:val="-3"/>
          <w:sz w:val="18"/>
          <w:vertAlign w:val="baseline"/>
        </w:rPr>
        <w:t> </w:t>
      </w:r>
      <w:r>
        <w:rPr>
          <w:sz w:val="18"/>
          <w:vertAlign w:val="baseline"/>
        </w:rPr>
        <w:t>et</w:t>
      </w:r>
      <w:r>
        <w:rPr>
          <w:spacing w:val="-4"/>
          <w:sz w:val="18"/>
          <w:vertAlign w:val="baseline"/>
        </w:rPr>
        <w:t> </w:t>
      </w:r>
      <w:r>
        <w:rPr>
          <w:sz w:val="18"/>
          <w:vertAlign w:val="baseline"/>
        </w:rPr>
        <w:t>al.,</w:t>
      </w:r>
      <w:r>
        <w:rPr>
          <w:spacing w:val="-3"/>
          <w:sz w:val="18"/>
          <w:vertAlign w:val="baseline"/>
        </w:rPr>
        <w:t> </w:t>
      </w:r>
      <w:r>
        <w:rPr>
          <w:sz w:val="18"/>
          <w:vertAlign w:val="baseline"/>
        </w:rPr>
        <w:t>“The</w:t>
      </w:r>
      <w:r>
        <w:rPr>
          <w:spacing w:val="-2"/>
          <w:sz w:val="18"/>
          <w:vertAlign w:val="baseline"/>
        </w:rPr>
        <w:t> </w:t>
      </w:r>
      <w:r>
        <w:rPr>
          <w:sz w:val="18"/>
          <w:vertAlign w:val="baseline"/>
        </w:rPr>
        <w:t>Effects</w:t>
      </w:r>
      <w:r>
        <w:rPr>
          <w:spacing w:val="-3"/>
          <w:sz w:val="18"/>
          <w:vertAlign w:val="baseline"/>
        </w:rPr>
        <w:t> </w:t>
      </w:r>
      <w:r>
        <w:rPr>
          <w:sz w:val="18"/>
          <w:vertAlign w:val="baseline"/>
        </w:rPr>
        <w:t>of</w:t>
      </w:r>
      <w:r>
        <w:rPr>
          <w:spacing w:val="-2"/>
          <w:sz w:val="18"/>
          <w:vertAlign w:val="baseline"/>
        </w:rPr>
        <w:t> </w:t>
      </w:r>
      <w:r>
        <w:rPr>
          <w:sz w:val="18"/>
          <w:vertAlign w:val="baseline"/>
        </w:rPr>
        <w:t>School</w:t>
      </w:r>
      <w:r>
        <w:rPr>
          <w:spacing w:val="-3"/>
          <w:sz w:val="18"/>
          <w:vertAlign w:val="baseline"/>
        </w:rPr>
        <w:t> </w:t>
      </w:r>
      <w:r>
        <w:rPr>
          <w:sz w:val="18"/>
          <w:vertAlign w:val="baseline"/>
        </w:rPr>
        <w:t>Poverty</w:t>
      </w:r>
      <w:r>
        <w:rPr>
          <w:spacing w:val="-2"/>
          <w:sz w:val="18"/>
          <w:vertAlign w:val="baseline"/>
        </w:rPr>
        <w:t> </w:t>
      </w:r>
      <w:r>
        <w:rPr>
          <w:sz w:val="18"/>
          <w:vertAlign w:val="baseline"/>
        </w:rPr>
        <w:t>on</w:t>
      </w:r>
      <w:r>
        <w:rPr>
          <w:spacing w:val="-3"/>
          <w:sz w:val="18"/>
          <w:vertAlign w:val="baseline"/>
        </w:rPr>
        <w:t> </w:t>
      </w:r>
      <w:r>
        <w:rPr>
          <w:sz w:val="18"/>
          <w:vertAlign w:val="baseline"/>
        </w:rPr>
        <w:t>Adolescents’</w:t>
      </w:r>
      <w:r>
        <w:rPr>
          <w:spacing w:val="-3"/>
          <w:sz w:val="18"/>
          <w:vertAlign w:val="baseline"/>
        </w:rPr>
        <w:t> </w:t>
      </w:r>
      <w:r>
        <w:rPr>
          <w:sz w:val="18"/>
          <w:vertAlign w:val="baseline"/>
        </w:rPr>
        <w:t>Sexual</w:t>
      </w:r>
      <w:r>
        <w:rPr>
          <w:spacing w:val="-3"/>
          <w:sz w:val="18"/>
          <w:vertAlign w:val="baseline"/>
        </w:rPr>
        <w:t> </w:t>
      </w:r>
      <w:r>
        <w:rPr>
          <w:sz w:val="18"/>
          <w:vertAlign w:val="baseline"/>
        </w:rPr>
        <w:t>Health</w:t>
      </w:r>
      <w:r>
        <w:rPr>
          <w:spacing w:val="-2"/>
          <w:sz w:val="18"/>
          <w:vertAlign w:val="baseline"/>
        </w:rPr>
        <w:t> </w:t>
      </w:r>
      <w:r>
        <w:rPr>
          <w:sz w:val="18"/>
          <w:vertAlign w:val="baseline"/>
        </w:rPr>
        <w:t>Knowledge,”</w:t>
      </w:r>
      <w:r>
        <w:rPr>
          <w:spacing w:val="-3"/>
          <w:sz w:val="18"/>
          <w:vertAlign w:val="baseline"/>
        </w:rPr>
        <w:t> </w:t>
      </w:r>
      <w:r>
        <w:rPr>
          <w:i/>
          <w:sz w:val="18"/>
          <w:vertAlign w:val="baseline"/>
        </w:rPr>
        <w:t>Research</w:t>
      </w:r>
      <w:r>
        <w:rPr>
          <w:i/>
          <w:spacing w:val="-3"/>
          <w:sz w:val="18"/>
          <w:vertAlign w:val="baseline"/>
        </w:rPr>
        <w:t> </w:t>
      </w:r>
      <w:r>
        <w:rPr>
          <w:i/>
          <w:sz w:val="18"/>
          <w:vertAlign w:val="baseline"/>
        </w:rPr>
        <w:t>in</w:t>
      </w:r>
      <w:r>
        <w:rPr>
          <w:i/>
          <w:spacing w:val="-3"/>
          <w:sz w:val="18"/>
          <w:vertAlign w:val="baseline"/>
        </w:rPr>
        <w:t> </w:t>
      </w:r>
      <w:r>
        <w:rPr>
          <w:i/>
          <w:sz w:val="18"/>
          <w:vertAlign w:val="baseline"/>
        </w:rPr>
        <w:t>Nursing</w:t>
      </w:r>
      <w:r>
        <w:rPr>
          <w:i/>
          <w:spacing w:val="-3"/>
          <w:sz w:val="18"/>
          <w:vertAlign w:val="baseline"/>
        </w:rPr>
        <w:t> </w:t>
      </w:r>
      <w:r>
        <w:rPr>
          <w:i/>
          <w:sz w:val="18"/>
          <w:vertAlign w:val="baseline"/>
        </w:rPr>
        <w:t>&amp;</w:t>
      </w:r>
      <w:r>
        <w:rPr>
          <w:i/>
          <w:spacing w:val="-3"/>
          <w:sz w:val="18"/>
          <w:vertAlign w:val="baseline"/>
        </w:rPr>
        <w:t> </w:t>
      </w:r>
      <w:r>
        <w:rPr>
          <w:i/>
          <w:spacing w:val="-2"/>
          <w:sz w:val="18"/>
          <w:vertAlign w:val="baseline"/>
        </w:rPr>
        <w:t>Health</w:t>
      </w:r>
    </w:p>
    <w:p>
      <w:pPr>
        <w:spacing w:before="0"/>
        <w:ind w:left="363" w:right="0" w:firstLine="0"/>
        <w:jc w:val="left"/>
        <w:rPr>
          <w:sz w:val="18"/>
        </w:rPr>
      </w:pPr>
      <w:r>
        <w:rPr>
          <w:sz w:val="18"/>
        </w:rPr>
        <w:t>35,</w:t>
      </w:r>
      <w:r>
        <w:rPr>
          <w:spacing w:val="-3"/>
          <w:sz w:val="18"/>
        </w:rPr>
        <w:t> </w:t>
      </w:r>
      <w:r>
        <w:rPr>
          <w:sz w:val="18"/>
        </w:rPr>
        <w:t>no.</w:t>
      </w:r>
      <w:r>
        <w:rPr>
          <w:spacing w:val="-1"/>
          <w:sz w:val="18"/>
        </w:rPr>
        <w:t> </w:t>
      </w:r>
      <w:r>
        <w:rPr>
          <w:sz w:val="18"/>
        </w:rPr>
        <w:t>3</w:t>
      </w:r>
      <w:r>
        <w:rPr>
          <w:spacing w:val="-1"/>
          <w:sz w:val="18"/>
        </w:rPr>
        <w:t> </w:t>
      </w:r>
      <w:r>
        <w:rPr>
          <w:sz w:val="18"/>
        </w:rPr>
        <w:t>(June</w:t>
      </w:r>
      <w:r>
        <w:rPr>
          <w:spacing w:val="-2"/>
          <w:sz w:val="18"/>
        </w:rPr>
        <w:t> </w:t>
      </w:r>
      <w:r>
        <w:rPr>
          <w:sz w:val="18"/>
        </w:rPr>
        <w:t>2012):</w:t>
      </w:r>
      <w:r>
        <w:rPr>
          <w:spacing w:val="-1"/>
          <w:sz w:val="18"/>
        </w:rPr>
        <w:t> </w:t>
      </w:r>
      <w:r>
        <w:rPr>
          <w:sz w:val="18"/>
        </w:rPr>
        <w:t>231–41,</w:t>
      </w:r>
      <w:r>
        <w:rPr>
          <w:spacing w:val="-2"/>
          <w:sz w:val="18"/>
        </w:rPr>
        <w:t> https://doi.org/10.1002/nur.21471.</w:t>
      </w:r>
    </w:p>
    <w:p>
      <w:pPr>
        <w:spacing w:before="0"/>
        <w:ind w:left="363" w:right="1687" w:hanging="1"/>
        <w:jc w:val="left"/>
        <w:rPr>
          <w:sz w:val="18"/>
        </w:rPr>
      </w:pPr>
      <w:r>
        <w:rPr>
          <w:sz w:val="18"/>
          <w:vertAlign w:val="superscript"/>
        </w:rPr>
        <w:t>14</w:t>
      </w:r>
      <w:r>
        <w:rPr>
          <w:spacing w:val="-13"/>
          <w:sz w:val="18"/>
          <w:vertAlign w:val="baseline"/>
        </w:rPr>
        <w:t> </w:t>
      </w:r>
      <w:r>
        <w:rPr>
          <w:sz w:val="18"/>
          <w:vertAlign w:val="baseline"/>
        </w:rPr>
        <w:t>“Black</w:t>
      </w:r>
      <w:r>
        <w:rPr>
          <w:spacing w:val="-6"/>
          <w:sz w:val="18"/>
          <w:vertAlign w:val="baseline"/>
        </w:rPr>
        <w:t> </w:t>
      </w:r>
      <w:r>
        <w:rPr>
          <w:sz w:val="18"/>
          <w:vertAlign w:val="baseline"/>
        </w:rPr>
        <w:t>Women,</w:t>
      </w:r>
      <w:r>
        <w:rPr>
          <w:spacing w:val="-4"/>
          <w:sz w:val="18"/>
          <w:vertAlign w:val="baseline"/>
        </w:rPr>
        <w:t> </w:t>
      </w:r>
      <w:r>
        <w:rPr>
          <w:sz w:val="18"/>
          <w:vertAlign w:val="baseline"/>
        </w:rPr>
        <w:t>the</w:t>
      </w:r>
      <w:r>
        <w:rPr>
          <w:spacing w:val="-3"/>
          <w:sz w:val="18"/>
          <w:vertAlign w:val="baseline"/>
        </w:rPr>
        <w:t> </w:t>
      </w:r>
      <w:r>
        <w:rPr>
          <w:sz w:val="18"/>
          <w:vertAlign w:val="baseline"/>
        </w:rPr>
        <w:t>Forgotten</w:t>
      </w:r>
      <w:r>
        <w:rPr>
          <w:spacing w:val="-3"/>
          <w:sz w:val="18"/>
          <w:vertAlign w:val="baseline"/>
        </w:rPr>
        <w:t> </w:t>
      </w:r>
      <w:r>
        <w:rPr>
          <w:sz w:val="18"/>
          <w:vertAlign w:val="baseline"/>
        </w:rPr>
        <w:t>Survivors</w:t>
      </w:r>
      <w:r>
        <w:rPr>
          <w:spacing w:val="-3"/>
          <w:sz w:val="18"/>
          <w:vertAlign w:val="baseline"/>
        </w:rPr>
        <w:t> </w:t>
      </w:r>
      <w:r>
        <w:rPr>
          <w:sz w:val="18"/>
          <w:vertAlign w:val="baseline"/>
        </w:rPr>
        <w:t>of</w:t>
      </w:r>
      <w:r>
        <w:rPr>
          <w:spacing w:val="-3"/>
          <w:sz w:val="18"/>
          <w:vertAlign w:val="baseline"/>
        </w:rPr>
        <w:t> </w:t>
      </w:r>
      <w:r>
        <w:rPr>
          <w:sz w:val="18"/>
          <w:vertAlign w:val="baseline"/>
        </w:rPr>
        <w:t>Sexual</w:t>
      </w:r>
      <w:r>
        <w:rPr>
          <w:spacing w:val="-4"/>
          <w:sz w:val="18"/>
          <w:vertAlign w:val="baseline"/>
        </w:rPr>
        <w:t> </w:t>
      </w:r>
      <w:r>
        <w:rPr>
          <w:sz w:val="18"/>
          <w:vertAlign w:val="baseline"/>
        </w:rPr>
        <w:t>Assault,”</w:t>
      </w:r>
      <w:r>
        <w:rPr>
          <w:spacing w:val="-3"/>
          <w:sz w:val="18"/>
          <w:vertAlign w:val="baseline"/>
        </w:rPr>
        <w:t> </w:t>
      </w:r>
      <w:r>
        <w:rPr>
          <w:sz w:val="18"/>
          <w:vertAlign w:val="baseline"/>
        </w:rPr>
        <w:t>https://</w:t>
      </w:r>
      <w:hyperlink r:id="rId407">
        <w:r>
          <w:rPr>
            <w:sz w:val="18"/>
            <w:vertAlign w:val="baseline"/>
          </w:rPr>
          <w:t>www.apa.org,</w:t>
        </w:r>
      </w:hyperlink>
      <w:r>
        <w:rPr>
          <w:spacing w:val="-4"/>
          <w:sz w:val="18"/>
          <w:vertAlign w:val="baseline"/>
        </w:rPr>
        <w:t> </w:t>
      </w:r>
      <w:r>
        <w:rPr>
          <w:sz w:val="18"/>
          <w:vertAlign w:val="baseline"/>
        </w:rPr>
        <w:t>accessed</w:t>
      </w:r>
      <w:r>
        <w:rPr>
          <w:spacing w:val="-3"/>
          <w:sz w:val="18"/>
          <w:vertAlign w:val="baseline"/>
        </w:rPr>
        <w:t> </w:t>
      </w:r>
      <w:r>
        <w:rPr>
          <w:sz w:val="18"/>
          <w:vertAlign w:val="baseline"/>
        </w:rPr>
        <w:t>April</w:t>
      </w:r>
      <w:r>
        <w:rPr>
          <w:spacing w:val="-4"/>
          <w:sz w:val="18"/>
          <w:vertAlign w:val="baseline"/>
        </w:rPr>
        <w:t> </w:t>
      </w:r>
      <w:r>
        <w:rPr>
          <w:sz w:val="18"/>
          <w:vertAlign w:val="baseline"/>
        </w:rPr>
        <w:t>24,</w:t>
      </w:r>
      <w:r>
        <w:rPr>
          <w:spacing w:val="-4"/>
          <w:sz w:val="18"/>
          <w:vertAlign w:val="baseline"/>
        </w:rPr>
        <w:t> </w:t>
      </w:r>
      <w:r>
        <w:rPr>
          <w:sz w:val="18"/>
          <w:vertAlign w:val="baseline"/>
        </w:rPr>
        <w:t>2023, </w:t>
      </w:r>
      <w:r>
        <w:rPr>
          <w:spacing w:val="-2"/>
          <w:sz w:val="18"/>
          <w:vertAlign w:val="baseline"/>
        </w:rPr>
        <w:t>https://</w:t>
      </w:r>
      <w:hyperlink r:id="rId408">
        <w:r>
          <w:rPr>
            <w:spacing w:val="-2"/>
            <w:sz w:val="18"/>
            <w:vertAlign w:val="baseline"/>
          </w:rPr>
          <w:t>www.apa.org/pi/about/newsletter/2020/02/black-women-sexual-assault.</w:t>
        </w:r>
      </w:hyperlink>
    </w:p>
    <w:p>
      <w:pPr>
        <w:spacing w:before="0"/>
        <w:ind w:left="363" w:right="395" w:hanging="1"/>
        <w:jc w:val="left"/>
        <w:rPr>
          <w:sz w:val="18"/>
        </w:rPr>
      </w:pPr>
      <w:r>
        <w:rPr>
          <w:sz w:val="18"/>
          <w:vertAlign w:val="superscript"/>
        </w:rPr>
        <w:t>15</w:t>
      </w:r>
      <w:r>
        <w:rPr>
          <w:spacing w:val="-13"/>
          <w:sz w:val="18"/>
          <w:vertAlign w:val="baseline"/>
        </w:rPr>
        <w:t> </w:t>
      </w:r>
      <w:r>
        <w:rPr>
          <w:sz w:val="18"/>
          <w:vertAlign w:val="baseline"/>
        </w:rPr>
        <w:t>Maya</w:t>
      </w:r>
      <w:r>
        <w:rPr>
          <w:spacing w:val="-3"/>
          <w:sz w:val="18"/>
          <w:vertAlign w:val="baseline"/>
        </w:rPr>
        <w:t> </w:t>
      </w:r>
      <w:r>
        <w:rPr>
          <w:sz w:val="18"/>
          <w:vertAlign w:val="baseline"/>
        </w:rPr>
        <w:t>Finoh</w:t>
      </w:r>
      <w:r>
        <w:rPr>
          <w:spacing w:val="-2"/>
          <w:sz w:val="18"/>
          <w:vertAlign w:val="baseline"/>
        </w:rPr>
        <w:t> </w:t>
      </w:r>
      <w:r>
        <w:rPr>
          <w:sz w:val="18"/>
          <w:vertAlign w:val="baseline"/>
        </w:rPr>
        <w:t>and</w:t>
      </w:r>
      <w:r>
        <w:rPr>
          <w:spacing w:val="-2"/>
          <w:sz w:val="18"/>
          <w:vertAlign w:val="baseline"/>
        </w:rPr>
        <w:t> </w:t>
      </w:r>
      <w:r>
        <w:rPr>
          <w:sz w:val="18"/>
          <w:vertAlign w:val="baseline"/>
        </w:rPr>
        <w:t>Jasmine</w:t>
      </w:r>
      <w:r>
        <w:rPr>
          <w:spacing w:val="-2"/>
          <w:sz w:val="18"/>
          <w:vertAlign w:val="baseline"/>
        </w:rPr>
        <w:t> </w:t>
      </w:r>
      <w:r>
        <w:rPr>
          <w:sz w:val="18"/>
          <w:vertAlign w:val="baseline"/>
        </w:rPr>
        <w:t>Sanofka,</w:t>
      </w:r>
      <w:r>
        <w:rPr>
          <w:spacing w:val="-3"/>
          <w:sz w:val="18"/>
          <w:vertAlign w:val="baseline"/>
        </w:rPr>
        <w:t> </w:t>
      </w:r>
      <w:r>
        <w:rPr>
          <w:sz w:val="18"/>
          <w:vertAlign w:val="baseline"/>
        </w:rPr>
        <w:t>“The</w:t>
      </w:r>
      <w:r>
        <w:rPr>
          <w:spacing w:val="-2"/>
          <w:sz w:val="18"/>
          <w:vertAlign w:val="baseline"/>
        </w:rPr>
        <w:t> </w:t>
      </w:r>
      <w:r>
        <w:rPr>
          <w:sz w:val="18"/>
          <w:vertAlign w:val="baseline"/>
        </w:rPr>
        <w:t>Legal</w:t>
      </w:r>
      <w:r>
        <w:rPr>
          <w:spacing w:val="-3"/>
          <w:sz w:val="18"/>
          <w:vertAlign w:val="baseline"/>
        </w:rPr>
        <w:t> </w:t>
      </w:r>
      <w:r>
        <w:rPr>
          <w:sz w:val="18"/>
          <w:vertAlign w:val="baseline"/>
        </w:rPr>
        <w:t>System</w:t>
      </w:r>
      <w:r>
        <w:rPr>
          <w:spacing w:val="-2"/>
          <w:sz w:val="18"/>
          <w:vertAlign w:val="baseline"/>
        </w:rPr>
        <w:t> </w:t>
      </w:r>
      <w:r>
        <w:rPr>
          <w:sz w:val="18"/>
          <w:vertAlign w:val="baseline"/>
        </w:rPr>
        <w:t>Has</w:t>
      </w:r>
      <w:r>
        <w:rPr>
          <w:spacing w:val="-2"/>
          <w:sz w:val="18"/>
          <w:vertAlign w:val="baseline"/>
        </w:rPr>
        <w:t> </w:t>
      </w:r>
      <w:r>
        <w:rPr>
          <w:sz w:val="18"/>
          <w:vertAlign w:val="baseline"/>
        </w:rPr>
        <w:t>Failed</w:t>
      </w:r>
      <w:r>
        <w:rPr>
          <w:spacing w:val="-3"/>
          <w:sz w:val="18"/>
          <w:vertAlign w:val="baseline"/>
        </w:rPr>
        <w:t> </w:t>
      </w:r>
      <w:r>
        <w:rPr>
          <w:sz w:val="18"/>
          <w:vertAlign w:val="baseline"/>
        </w:rPr>
        <w:t>Black</w:t>
      </w:r>
      <w:r>
        <w:rPr>
          <w:spacing w:val="-3"/>
          <w:sz w:val="18"/>
          <w:vertAlign w:val="baseline"/>
        </w:rPr>
        <w:t> </w:t>
      </w:r>
      <w:r>
        <w:rPr>
          <w:sz w:val="18"/>
          <w:vertAlign w:val="baseline"/>
        </w:rPr>
        <w:t>Girls,</w:t>
      </w:r>
      <w:r>
        <w:rPr>
          <w:spacing w:val="-2"/>
          <w:sz w:val="18"/>
          <w:vertAlign w:val="baseline"/>
        </w:rPr>
        <w:t> </w:t>
      </w:r>
      <w:r>
        <w:rPr>
          <w:sz w:val="18"/>
          <w:vertAlign w:val="baseline"/>
        </w:rPr>
        <w:t>Women,</w:t>
      </w:r>
      <w:r>
        <w:rPr>
          <w:spacing w:val="-3"/>
          <w:sz w:val="18"/>
          <w:vertAlign w:val="baseline"/>
        </w:rPr>
        <w:t> </w:t>
      </w:r>
      <w:r>
        <w:rPr>
          <w:sz w:val="18"/>
          <w:vertAlign w:val="baseline"/>
        </w:rPr>
        <w:t>and</w:t>
      </w:r>
      <w:r>
        <w:rPr>
          <w:spacing w:val="-2"/>
          <w:sz w:val="18"/>
          <w:vertAlign w:val="baseline"/>
        </w:rPr>
        <w:t> </w:t>
      </w:r>
      <w:r>
        <w:rPr>
          <w:sz w:val="18"/>
          <w:vertAlign w:val="baseline"/>
        </w:rPr>
        <w:t>Non-Binary</w:t>
      </w:r>
      <w:r>
        <w:rPr>
          <w:spacing w:val="-2"/>
          <w:sz w:val="18"/>
          <w:vertAlign w:val="baseline"/>
        </w:rPr>
        <w:t> </w:t>
      </w:r>
      <w:r>
        <w:rPr>
          <w:sz w:val="18"/>
          <w:vertAlign w:val="baseline"/>
        </w:rPr>
        <w:t>Survivors</w:t>
      </w:r>
      <w:r>
        <w:rPr>
          <w:spacing w:val="-2"/>
          <w:sz w:val="18"/>
          <w:vertAlign w:val="baseline"/>
        </w:rPr>
        <w:t> </w:t>
      </w:r>
      <w:r>
        <w:rPr>
          <w:sz w:val="18"/>
          <w:vertAlign w:val="baseline"/>
        </w:rPr>
        <w:t>of</w:t>
      </w:r>
      <w:r>
        <w:rPr>
          <w:spacing w:val="-2"/>
          <w:sz w:val="18"/>
          <w:vertAlign w:val="baseline"/>
        </w:rPr>
        <w:t> </w:t>
      </w:r>
      <w:r>
        <w:rPr>
          <w:sz w:val="18"/>
          <w:vertAlign w:val="baseline"/>
        </w:rPr>
        <w:t>Violence</w:t>
      </w:r>
      <w:r>
        <w:rPr>
          <w:spacing w:val="-2"/>
          <w:sz w:val="18"/>
          <w:vertAlign w:val="baseline"/>
        </w:rPr>
        <w:t> </w:t>
      </w:r>
      <w:r>
        <w:rPr>
          <w:sz w:val="18"/>
          <w:vertAlign w:val="baseline"/>
        </w:rPr>
        <w:t>| ACLU,” </w:t>
      </w:r>
      <w:r>
        <w:rPr>
          <w:i/>
          <w:sz w:val="18"/>
          <w:vertAlign w:val="baseline"/>
        </w:rPr>
        <w:t>American Civil Liberties Union </w:t>
      </w:r>
      <w:r>
        <w:rPr>
          <w:sz w:val="18"/>
          <w:vertAlign w:val="baseline"/>
        </w:rPr>
        <w:t>(blog), January 28, 2019, https://</w:t>
      </w:r>
      <w:hyperlink r:id="rId409">
        <w:r>
          <w:rPr>
            <w:sz w:val="18"/>
            <w:vertAlign w:val="baseline"/>
          </w:rPr>
          <w:t>www.aclu.org/news/racial-justice/legal-system-has-</w:t>
        </w:r>
      </w:hyperlink>
      <w:r>
        <w:rPr>
          <w:sz w:val="18"/>
          <w:vertAlign w:val="baseline"/>
        </w:rPr>
        <w:t> </w:t>
      </w:r>
      <w:r>
        <w:rPr>
          <w:spacing w:val="-2"/>
          <w:sz w:val="18"/>
          <w:vertAlign w:val="baseline"/>
        </w:rPr>
        <w:t>failed-black-girls-women-and-non.</w:t>
      </w:r>
    </w:p>
    <w:p>
      <w:pPr>
        <w:spacing w:line="219" w:lineRule="exact" w:before="0"/>
        <w:ind w:left="363" w:right="0" w:firstLine="0"/>
        <w:jc w:val="left"/>
        <w:rPr>
          <w:sz w:val="18"/>
        </w:rPr>
      </w:pPr>
      <w:r>
        <w:rPr>
          <w:sz w:val="18"/>
          <w:vertAlign w:val="superscript"/>
        </w:rPr>
        <w:t>16</w:t>
      </w:r>
      <w:r>
        <w:rPr>
          <w:spacing w:val="-13"/>
          <w:sz w:val="18"/>
          <w:vertAlign w:val="baseline"/>
        </w:rPr>
        <w:t> </w:t>
      </w:r>
      <w:r>
        <w:rPr>
          <w:sz w:val="18"/>
          <w:vertAlign w:val="baseline"/>
        </w:rPr>
        <w:t>Rafferty,</w:t>
      </w:r>
      <w:r>
        <w:rPr>
          <w:spacing w:val="-5"/>
          <w:sz w:val="18"/>
          <w:vertAlign w:val="baseline"/>
        </w:rPr>
        <w:t> </w:t>
      </w:r>
      <w:r>
        <w:rPr>
          <w:sz w:val="18"/>
          <w:vertAlign w:val="baseline"/>
        </w:rPr>
        <w:t>Jason.</w:t>
      </w:r>
      <w:r>
        <w:rPr>
          <w:spacing w:val="-2"/>
          <w:sz w:val="18"/>
          <w:vertAlign w:val="baseline"/>
        </w:rPr>
        <w:t> </w:t>
      </w:r>
      <w:r>
        <w:rPr>
          <w:sz w:val="18"/>
          <w:vertAlign w:val="baseline"/>
        </w:rPr>
        <w:t>2022.</w:t>
      </w:r>
      <w:r>
        <w:rPr>
          <w:spacing w:val="-2"/>
          <w:sz w:val="18"/>
          <w:vertAlign w:val="baseline"/>
        </w:rPr>
        <w:t> </w:t>
      </w:r>
      <w:r>
        <w:rPr>
          <w:sz w:val="18"/>
          <w:vertAlign w:val="baseline"/>
        </w:rPr>
        <w:t>“</w:t>
      </w:r>
      <w:r>
        <w:rPr>
          <w:color w:val="1153CC"/>
          <w:sz w:val="18"/>
          <w:u w:val="single" w:color="1153CC"/>
          <w:vertAlign w:val="baseline"/>
        </w:rPr>
        <w:t>Gender</w:t>
      </w:r>
      <w:r>
        <w:rPr>
          <w:color w:val="1153CC"/>
          <w:spacing w:val="-4"/>
          <w:sz w:val="18"/>
          <w:u w:val="single" w:color="1153CC"/>
          <w:vertAlign w:val="baseline"/>
        </w:rPr>
        <w:t> </w:t>
      </w:r>
      <w:r>
        <w:rPr>
          <w:color w:val="1153CC"/>
          <w:sz w:val="18"/>
          <w:u w:val="single" w:color="1153CC"/>
          <w:vertAlign w:val="baseline"/>
        </w:rPr>
        <w:t>Identity</w:t>
      </w:r>
      <w:r>
        <w:rPr>
          <w:color w:val="1153CC"/>
          <w:spacing w:val="-3"/>
          <w:sz w:val="18"/>
          <w:u w:val="single" w:color="1153CC"/>
          <w:vertAlign w:val="baseline"/>
        </w:rPr>
        <w:t> </w:t>
      </w:r>
      <w:r>
        <w:rPr>
          <w:color w:val="1153CC"/>
          <w:sz w:val="18"/>
          <w:u w:val="single" w:color="1153CC"/>
          <w:vertAlign w:val="baseline"/>
        </w:rPr>
        <w:t>in</w:t>
      </w:r>
      <w:r>
        <w:rPr>
          <w:color w:val="1153CC"/>
          <w:spacing w:val="-2"/>
          <w:sz w:val="18"/>
          <w:u w:val="single" w:color="1153CC"/>
          <w:vertAlign w:val="baseline"/>
        </w:rPr>
        <w:t> </w:t>
      </w:r>
      <w:r>
        <w:rPr>
          <w:color w:val="1153CC"/>
          <w:sz w:val="18"/>
          <w:u w:val="single" w:color="1153CC"/>
          <w:vertAlign w:val="baseline"/>
        </w:rPr>
        <w:t>Children.</w:t>
      </w:r>
      <w:r>
        <w:rPr>
          <w:sz w:val="18"/>
          <w:u w:val="none"/>
          <w:vertAlign w:val="baseline"/>
        </w:rPr>
        <w:t>”</w:t>
      </w:r>
      <w:r>
        <w:rPr>
          <w:spacing w:val="-2"/>
          <w:sz w:val="18"/>
          <w:u w:val="none"/>
          <w:vertAlign w:val="baseline"/>
        </w:rPr>
        <w:t> </w:t>
      </w:r>
      <w:r>
        <w:rPr>
          <w:sz w:val="18"/>
          <w:u w:val="none"/>
          <w:vertAlign w:val="baseline"/>
        </w:rPr>
        <w:t>American</w:t>
      </w:r>
      <w:r>
        <w:rPr>
          <w:spacing w:val="-2"/>
          <w:sz w:val="18"/>
          <w:u w:val="none"/>
          <w:vertAlign w:val="baseline"/>
        </w:rPr>
        <w:t> </w:t>
      </w:r>
      <w:r>
        <w:rPr>
          <w:sz w:val="18"/>
          <w:u w:val="none"/>
          <w:vertAlign w:val="baseline"/>
        </w:rPr>
        <w:t>Academy</w:t>
      </w:r>
      <w:r>
        <w:rPr>
          <w:spacing w:val="-2"/>
          <w:sz w:val="18"/>
          <w:u w:val="none"/>
          <w:vertAlign w:val="baseline"/>
        </w:rPr>
        <w:t> </w:t>
      </w:r>
      <w:r>
        <w:rPr>
          <w:sz w:val="18"/>
          <w:u w:val="none"/>
          <w:vertAlign w:val="baseline"/>
        </w:rPr>
        <w:t>of</w:t>
      </w:r>
      <w:r>
        <w:rPr>
          <w:spacing w:val="-2"/>
          <w:sz w:val="18"/>
          <w:u w:val="none"/>
          <w:vertAlign w:val="baseline"/>
        </w:rPr>
        <w:t> Pediatrics.</w:t>
      </w:r>
    </w:p>
    <w:p>
      <w:pPr>
        <w:spacing w:before="1"/>
        <w:ind w:left="363" w:right="0" w:hanging="1"/>
        <w:jc w:val="left"/>
        <w:rPr>
          <w:sz w:val="18"/>
        </w:rPr>
      </w:pPr>
      <w:r>
        <w:rPr>
          <w:sz w:val="18"/>
          <w:vertAlign w:val="superscript"/>
        </w:rPr>
        <w:t>17</w:t>
      </w:r>
      <w:r>
        <w:rPr>
          <w:spacing w:val="-13"/>
          <w:sz w:val="18"/>
          <w:vertAlign w:val="baseline"/>
        </w:rPr>
        <w:t> </w:t>
      </w:r>
      <w:r>
        <w:rPr>
          <w:sz w:val="18"/>
          <w:vertAlign w:val="baseline"/>
        </w:rPr>
        <w:t>National</w:t>
      </w:r>
      <w:r>
        <w:rPr>
          <w:spacing w:val="-6"/>
          <w:sz w:val="18"/>
          <w:vertAlign w:val="baseline"/>
        </w:rPr>
        <w:t> </w:t>
      </w:r>
      <w:r>
        <w:rPr>
          <w:sz w:val="18"/>
          <w:vertAlign w:val="baseline"/>
        </w:rPr>
        <w:t>Center</w:t>
      </w:r>
      <w:r>
        <w:rPr>
          <w:spacing w:val="-4"/>
          <w:sz w:val="18"/>
          <w:vertAlign w:val="baseline"/>
        </w:rPr>
        <w:t> </w:t>
      </w:r>
      <w:r>
        <w:rPr>
          <w:sz w:val="18"/>
          <w:vertAlign w:val="baseline"/>
        </w:rPr>
        <w:t>for</w:t>
      </w:r>
      <w:r>
        <w:rPr>
          <w:spacing w:val="-4"/>
          <w:sz w:val="18"/>
          <w:vertAlign w:val="baseline"/>
        </w:rPr>
        <w:t> </w:t>
      </w:r>
      <w:r>
        <w:rPr>
          <w:sz w:val="18"/>
          <w:vertAlign w:val="baseline"/>
        </w:rPr>
        <w:t>Transgender</w:t>
      </w:r>
      <w:r>
        <w:rPr>
          <w:spacing w:val="-4"/>
          <w:sz w:val="18"/>
          <w:vertAlign w:val="baseline"/>
        </w:rPr>
        <w:t> </w:t>
      </w:r>
      <w:r>
        <w:rPr>
          <w:sz w:val="18"/>
          <w:vertAlign w:val="baseline"/>
        </w:rPr>
        <w:t>Equality.</w:t>
      </w:r>
      <w:r>
        <w:rPr>
          <w:spacing w:val="-3"/>
          <w:sz w:val="18"/>
          <w:vertAlign w:val="baseline"/>
        </w:rPr>
        <w:t> </w:t>
      </w:r>
      <w:r>
        <w:rPr>
          <w:sz w:val="18"/>
          <w:vertAlign w:val="baseline"/>
        </w:rPr>
        <w:t>2017.</w:t>
      </w:r>
      <w:r>
        <w:rPr>
          <w:spacing w:val="-3"/>
          <w:sz w:val="18"/>
          <w:vertAlign w:val="baseline"/>
        </w:rPr>
        <w:t> </w:t>
      </w:r>
      <w:r>
        <w:rPr>
          <w:sz w:val="18"/>
          <w:vertAlign w:val="baseline"/>
        </w:rPr>
        <w:t>“2015</w:t>
      </w:r>
      <w:r>
        <w:rPr>
          <w:spacing w:val="-3"/>
          <w:sz w:val="18"/>
          <w:vertAlign w:val="baseline"/>
        </w:rPr>
        <w:t> </w:t>
      </w:r>
      <w:r>
        <w:rPr>
          <w:sz w:val="18"/>
          <w:vertAlign w:val="baseline"/>
        </w:rPr>
        <w:t>U.S.</w:t>
      </w:r>
      <w:r>
        <w:rPr>
          <w:spacing w:val="-3"/>
          <w:sz w:val="18"/>
          <w:vertAlign w:val="baseline"/>
        </w:rPr>
        <w:t> </w:t>
      </w:r>
      <w:r>
        <w:rPr>
          <w:sz w:val="18"/>
          <w:vertAlign w:val="baseline"/>
        </w:rPr>
        <w:t>Transgender</w:t>
      </w:r>
      <w:r>
        <w:rPr>
          <w:spacing w:val="-4"/>
          <w:sz w:val="18"/>
          <w:vertAlign w:val="baseline"/>
        </w:rPr>
        <w:t> </w:t>
      </w:r>
      <w:r>
        <w:rPr>
          <w:sz w:val="18"/>
          <w:vertAlign w:val="baseline"/>
        </w:rPr>
        <w:t>Survey:</w:t>
      </w:r>
      <w:r>
        <w:rPr>
          <w:spacing w:val="-3"/>
          <w:sz w:val="18"/>
          <w:vertAlign w:val="baseline"/>
        </w:rPr>
        <w:t> </w:t>
      </w:r>
      <w:r>
        <w:rPr>
          <w:sz w:val="18"/>
          <w:vertAlign w:val="baseline"/>
        </w:rPr>
        <w:t>Massachusetts</w:t>
      </w:r>
      <w:r>
        <w:rPr>
          <w:spacing w:val="-4"/>
          <w:sz w:val="18"/>
          <w:vertAlign w:val="baseline"/>
        </w:rPr>
        <w:t> </w:t>
      </w:r>
      <w:r>
        <w:rPr>
          <w:sz w:val="18"/>
          <w:vertAlign w:val="baseline"/>
        </w:rPr>
        <w:t>State</w:t>
      </w:r>
      <w:r>
        <w:rPr>
          <w:spacing w:val="-3"/>
          <w:sz w:val="18"/>
          <w:vertAlign w:val="baseline"/>
        </w:rPr>
        <w:t> </w:t>
      </w:r>
      <w:r>
        <w:rPr>
          <w:sz w:val="18"/>
          <w:vertAlign w:val="baseline"/>
        </w:rPr>
        <w:t>Report.” </w:t>
      </w:r>
      <w:hyperlink r:id="rId410">
        <w:r>
          <w:rPr>
            <w:color w:val="0000FF"/>
            <w:spacing w:val="-2"/>
            <w:sz w:val="18"/>
            <w:u w:val="single" w:color="0000FF"/>
            <w:vertAlign w:val="baseline"/>
          </w:rPr>
          <w:t>https://transequality.org/sites/default/files/docs/usts/USTSMAStateReport(1017).pdf</w:t>
        </w:r>
      </w:hyperlink>
    </w:p>
    <w:p>
      <w:pPr>
        <w:spacing w:before="0"/>
        <w:ind w:left="363" w:right="0" w:hanging="1"/>
        <w:jc w:val="left"/>
        <w:rPr>
          <w:sz w:val="18"/>
        </w:rPr>
      </w:pPr>
      <w:r>
        <w:rPr>
          <w:sz w:val="18"/>
          <w:vertAlign w:val="superscript"/>
        </w:rPr>
        <w:t>18</w:t>
      </w:r>
      <w:r>
        <w:rPr>
          <w:spacing w:val="-13"/>
          <w:sz w:val="18"/>
          <w:vertAlign w:val="baseline"/>
        </w:rPr>
        <w:t> </w:t>
      </w:r>
      <w:r>
        <w:rPr>
          <w:sz w:val="18"/>
          <w:vertAlign w:val="baseline"/>
        </w:rPr>
        <w:t>“Student</w:t>
      </w:r>
      <w:r>
        <w:rPr>
          <w:spacing w:val="-5"/>
          <w:sz w:val="18"/>
          <w:vertAlign w:val="baseline"/>
        </w:rPr>
        <w:t> </w:t>
      </w:r>
      <w:r>
        <w:rPr>
          <w:sz w:val="18"/>
          <w:vertAlign w:val="baseline"/>
        </w:rPr>
        <w:t>and</w:t>
      </w:r>
      <w:r>
        <w:rPr>
          <w:spacing w:val="-5"/>
          <w:sz w:val="18"/>
          <w:vertAlign w:val="baseline"/>
        </w:rPr>
        <w:t> </w:t>
      </w:r>
      <w:r>
        <w:rPr>
          <w:sz w:val="18"/>
          <w:vertAlign w:val="baseline"/>
        </w:rPr>
        <w:t>Family</w:t>
      </w:r>
      <w:r>
        <w:rPr>
          <w:spacing w:val="-2"/>
          <w:sz w:val="18"/>
          <w:vertAlign w:val="baseline"/>
        </w:rPr>
        <w:t> </w:t>
      </w:r>
      <w:r>
        <w:rPr>
          <w:sz w:val="18"/>
          <w:vertAlign w:val="baseline"/>
        </w:rPr>
        <w:t>Support</w:t>
      </w:r>
      <w:r>
        <w:rPr>
          <w:spacing w:val="-3"/>
          <w:sz w:val="18"/>
          <w:vertAlign w:val="baseline"/>
        </w:rPr>
        <w:t> </w:t>
      </w:r>
      <w:r>
        <w:rPr>
          <w:sz w:val="18"/>
          <w:vertAlign w:val="baseline"/>
        </w:rPr>
        <w:t>(SFS)</w:t>
      </w:r>
      <w:r>
        <w:rPr>
          <w:spacing w:val="-2"/>
          <w:sz w:val="18"/>
          <w:vertAlign w:val="baseline"/>
        </w:rPr>
        <w:t> </w:t>
      </w:r>
      <w:r>
        <w:rPr>
          <w:sz w:val="18"/>
          <w:vertAlign w:val="baseline"/>
        </w:rPr>
        <w:t>-</w:t>
      </w:r>
      <w:r>
        <w:rPr>
          <w:spacing w:val="-2"/>
          <w:sz w:val="18"/>
          <w:vertAlign w:val="baseline"/>
        </w:rPr>
        <w:t> </w:t>
      </w:r>
      <w:r>
        <w:rPr>
          <w:sz w:val="18"/>
          <w:vertAlign w:val="baseline"/>
        </w:rPr>
        <w:t>Massachusetts</w:t>
      </w:r>
      <w:r>
        <w:rPr>
          <w:spacing w:val="-2"/>
          <w:sz w:val="18"/>
          <w:vertAlign w:val="baseline"/>
        </w:rPr>
        <w:t> </w:t>
      </w:r>
      <w:r>
        <w:rPr>
          <w:sz w:val="18"/>
          <w:vertAlign w:val="baseline"/>
        </w:rPr>
        <w:t>Department</w:t>
      </w:r>
      <w:r>
        <w:rPr>
          <w:spacing w:val="-3"/>
          <w:sz w:val="18"/>
          <w:vertAlign w:val="baseline"/>
        </w:rPr>
        <w:t> </w:t>
      </w:r>
      <w:r>
        <w:rPr>
          <w:sz w:val="18"/>
          <w:vertAlign w:val="baseline"/>
        </w:rPr>
        <w:t>of</w:t>
      </w:r>
      <w:r>
        <w:rPr>
          <w:spacing w:val="-2"/>
          <w:sz w:val="18"/>
          <w:vertAlign w:val="baseline"/>
        </w:rPr>
        <w:t> </w:t>
      </w:r>
      <w:r>
        <w:rPr>
          <w:sz w:val="18"/>
          <w:vertAlign w:val="baseline"/>
        </w:rPr>
        <w:t>Elementary</w:t>
      </w:r>
      <w:r>
        <w:rPr>
          <w:spacing w:val="-2"/>
          <w:sz w:val="18"/>
          <w:vertAlign w:val="baseline"/>
        </w:rPr>
        <w:t> </w:t>
      </w:r>
      <w:r>
        <w:rPr>
          <w:sz w:val="18"/>
          <w:vertAlign w:val="baseline"/>
        </w:rPr>
        <w:t>and</w:t>
      </w:r>
      <w:r>
        <w:rPr>
          <w:spacing w:val="-2"/>
          <w:sz w:val="18"/>
          <w:vertAlign w:val="baseline"/>
        </w:rPr>
        <w:t> </w:t>
      </w:r>
      <w:r>
        <w:rPr>
          <w:sz w:val="18"/>
          <w:vertAlign w:val="baseline"/>
        </w:rPr>
        <w:t>Secondary</w:t>
      </w:r>
      <w:r>
        <w:rPr>
          <w:spacing w:val="-2"/>
          <w:sz w:val="18"/>
          <w:vertAlign w:val="baseline"/>
        </w:rPr>
        <w:t> </w:t>
      </w:r>
      <w:r>
        <w:rPr>
          <w:sz w:val="18"/>
          <w:vertAlign w:val="baseline"/>
        </w:rPr>
        <w:t>Education,”</w:t>
      </w:r>
      <w:r>
        <w:rPr>
          <w:spacing w:val="-2"/>
          <w:sz w:val="18"/>
          <w:vertAlign w:val="baseline"/>
        </w:rPr>
        <w:t> </w:t>
      </w:r>
      <w:r>
        <w:rPr>
          <w:sz w:val="18"/>
          <w:vertAlign w:val="baseline"/>
        </w:rPr>
        <w:t>accessed</w:t>
      </w:r>
      <w:r>
        <w:rPr>
          <w:spacing w:val="-2"/>
          <w:sz w:val="18"/>
          <w:vertAlign w:val="baseline"/>
        </w:rPr>
        <w:t> </w:t>
      </w:r>
      <w:r>
        <w:rPr>
          <w:sz w:val="18"/>
          <w:vertAlign w:val="baseline"/>
        </w:rPr>
        <w:t>March</w:t>
      </w:r>
      <w:r>
        <w:rPr>
          <w:spacing w:val="-2"/>
          <w:sz w:val="18"/>
          <w:vertAlign w:val="baseline"/>
        </w:rPr>
        <w:t> </w:t>
      </w:r>
      <w:r>
        <w:rPr>
          <w:sz w:val="18"/>
          <w:vertAlign w:val="baseline"/>
        </w:rPr>
        <w:t>12, 2023,</w:t>
      </w:r>
      <w:r>
        <w:rPr>
          <w:spacing w:val="-2"/>
          <w:sz w:val="18"/>
          <w:vertAlign w:val="baseline"/>
        </w:rPr>
        <w:t> </w:t>
      </w:r>
      <w:r>
        <w:rPr>
          <w:sz w:val="18"/>
          <w:vertAlign w:val="baseline"/>
        </w:rPr>
        <w:t>https://</w:t>
      </w:r>
      <w:hyperlink r:id="rId411">
        <w:r>
          <w:rPr>
            <w:sz w:val="18"/>
            <w:vertAlign w:val="baseline"/>
          </w:rPr>
          <w:t>www.doe.mass.edu/sfs/?section=family.</w:t>
        </w:r>
      </w:hyperlink>
    </w:p>
    <w:p>
      <w:pPr>
        <w:spacing w:before="0"/>
        <w:ind w:left="363" w:right="0" w:hanging="1"/>
        <w:jc w:val="left"/>
        <w:rPr>
          <w:sz w:val="18"/>
        </w:rPr>
      </w:pPr>
      <w:r>
        <w:rPr>
          <w:sz w:val="18"/>
          <w:vertAlign w:val="superscript"/>
        </w:rPr>
        <w:t>19</w:t>
      </w:r>
      <w:r>
        <w:rPr>
          <w:spacing w:val="-13"/>
          <w:sz w:val="18"/>
          <w:vertAlign w:val="baseline"/>
        </w:rPr>
        <w:t> </w:t>
      </w:r>
      <w:r>
        <w:rPr>
          <w:sz w:val="18"/>
          <w:vertAlign w:val="baseline"/>
        </w:rPr>
        <w:t>“Movement</w:t>
      </w:r>
      <w:r>
        <w:rPr>
          <w:spacing w:val="-5"/>
          <w:sz w:val="18"/>
          <w:vertAlign w:val="baseline"/>
        </w:rPr>
        <w:t> </w:t>
      </w:r>
      <w:r>
        <w:rPr>
          <w:sz w:val="18"/>
          <w:vertAlign w:val="baseline"/>
        </w:rPr>
        <w:t>Advancement</w:t>
      </w:r>
      <w:r>
        <w:rPr>
          <w:spacing w:val="-4"/>
          <w:sz w:val="18"/>
          <w:vertAlign w:val="baseline"/>
        </w:rPr>
        <w:t> </w:t>
      </w:r>
      <w:r>
        <w:rPr>
          <w:sz w:val="18"/>
          <w:vertAlign w:val="baseline"/>
        </w:rPr>
        <w:t>Project</w:t>
      </w:r>
      <w:r>
        <w:rPr>
          <w:spacing w:val="-3"/>
          <w:sz w:val="18"/>
          <w:vertAlign w:val="baseline"/>
        </w:rPr>
        <w:t> </w:t>
      </w:r>
      <w:r>
        <w:rPr>
          <w:sz w:val="18"/>
          <w:vertAlign w:val="baseline"/>
        </w:rPr>
        <w:t>|</w:t>
      </w:r>
      <w:r>
        <w:rPr>
          <w:spacing w:val="-2"/>
          <w:sz w:val="18"/>
          <w:vertAlign w:val="baseline"/>
        </w:rPr>
        <w:t> </w:t>
      </w:r>
      <w:r>
        <w:rPr>
          <w:sz w:val="18"/>
          <w:vertAlign w:val="baseline"/>
        </w:rPr>
        <w:t>LGBTQ</w:t>
      </w:r>
      <w:r>
        <w:rPr>
          <w:spacing w:val="-2"/>
          <w:sz w:val="18"/>
          <w:vertAlign w:val="baseline"/>
        </w:rPr>
        <w:t> </w:t>
      </w:r>
      <w:r>
        <w:rPr>
          <w:sz w:val="18"/>
          <w:vertAlign w:val="baseline"/>
        </w:rPr>
        <w:t>Policy</w:t>
      </w:r>
      <w:r>
        <w:rPr>
          <w:spacing w:val="-2"/>
          <w:sz w:val="18"/>
          <w:vertAlign w:val="baseline"/>
        </w:rPr>
        <w:t> </w:t>
      </w:r>
      <w:r>
        <w:rPr>
          <w:sz w:val="18"/>
          <w:vertAlign w:val="baseline"/>
        </w:rPr>
        <w:t>Spotlight:</w:t>
      </w:r>
      <w:r>
        <w:rPr>
          <w:spacing w:val="-2"/>
          <w:sz w:val="18"/>
          <w:vertAlign w:val="baseline"/>
        </w:rPr>
        <w:t> </w:t>
      </w:r>
      <w:r>
        <w:rPr>
          <w:sz w:val="18"/>
          <w:vertAlign w:val="baseline"/>
        </w:rPr>
        <w:t>Efforts</w:t>
      </w:r>
      <w:r>
        <w:rPr>
          <w:spacing w:val="-2"/>
          <w:sz w:val="18"/>
          <w:vertAlign w:val="baseline"/>
        </w:rPr>
        <w:t> </w:t>
      </w:r>
      <w:r>
        <w:rPr>
          <w:sz w:val="18"/>
          <w:vertAlign w:val="baseline"/>
        </w:rPr>
        <w:t>to</w:t>
      </w:r>
      <w:r>
        <w:rPr>
          <w:spacing w:val="-2"/>
          <w:sz w:val="18"/>
          <w:vertAlign w:val="baseline"/>
        </w:rPr>
        <w:t> </w:t>
      </w:r>
      <w:r>
        <w:rPr>
          <w:sz w:val="18"/>
          <w:vertAlign w:val="baseline"/>
        </w:rPr>
        <w:t>Ban</w:t>
      </w:r>
      <w:r>
        <w:rPr>
          <w:spacing w:val="-2"/>
          <w:sz w:val="18"/>
          <w:vertAlign w:val="baseline"/>
        </w:rPr>
        <w:t> </w:t>
      </w:r>
      <w:r>
        <w:rPr>
          <w:sz w:val="18"/>
          <w:vertAlign w:val="baseline"/>
        </w:rPr>
        <w:t>Health</w:t>
      </w:r>
      <w:r>
        <w:rPr>
          <w:spacing w:val="-2"/>
          <w:sz w:val="18"/>
          <w:vertAlign w:val="baseline"/>
        </w:rPr>
        <w:t> </w:t>
      </w:r>
      <w:r>
        <w:rPr>
          <w:sz w:val="18"/>
          <w:vertAlign w:val="baseline"/>
        </w:rPr>
        <w:t>Care</w:t>
      </w:r>
      <w:r>
        <w:rPr>
          <w:spacing w:val="-2"/>
          <w:sz w:val="18"/>
          <w:vertAlign w:val="baseline"/>
        </w:rPr>
        <w:t> </w:t>
      </w:r>
      <w:r>
        <w:rPr>
          <w:sz w:val="18"/>
          <w:vertAlign w:val="baseline"/>
        </w:rPr>
        <w:t>for</w:t>
      </w:r>
      <w:r>
        <w:rPr>
          <w:spacing w:val="-3"/>
          <w:sz w:val="18"/>
          <w:vertAlign w:val="baseline"/>
        </w:rPr>
        <w:t> </w:t>
      </w:r>
      <w:r>
        <w:rPr>
          <w:sz w:val="18"/>
          <w:vertAlign w:val="baseline"/>
        </w:rPr>
        <w:t>Transgender</w:t>
      </w:r>
      <w:r>
        <w:rPr>
          <w:spacing w:val="-3"/>
          <w:sz w:val="18"/>
          <w:vertAlign w:val="baseline"/>
        </w:rPr>
        <w:t> </w:t>
      </w:r>
      <w:r>
        <w:rPr>
          <w:sz w:val="18"/>
          <w:vertAlign w:val="baseline"/>
        </w:rPr>
        <w:t>Youth</w:t>
      </w:r>
      <w:r>
        <w:rPr>
          <w:spacing w:val="-2"/>
          <w:sz w:val="18"/>
          <w:vertAlign w:val="baseline"/>
        </w:rPr>
        <w:t> </w:t>
      </w:r>
      <w:r>
        <w:rPr>
          <w:sz w:val="18"/>
          <w:vertAlign w:val="baseline"/>
        </w:rPr>
        <w:t>Infographics,” accessed April 24, 2023, https://</w:t>
      </w:r>
      <w:hyperlink r:id="rId412">
        <w:r>
          <w:rPr>
            <w:sz w:val="18"/>
            <w:vertAlign w:val="baseline"/>
          </w:rPr>
          <w:t>www.lgbtmap.org/2021-spotlight-health-care-bans-infographics.</w:t>
        </w:r>
      </w:hyperlink>
    </w:p>
    <w:p>
      <w:pPr>
        <w:spacing w:before="0"/>
        <w:ind w:left="363" w:right="91" w:hanging="1"/>
        <w:jc w:val="left"/>
        <w:rPr>
          <w:sz w:val="18"/>
        </w:rPr>
      </w:pPr>
      <w:r>
        <w:rPr/>
        <mc:AlternateContent>
          <mc:Choice Requires="wps">
            <w:drawing>
              <wp:anchor distT="0" distB="0" distL="0" distR="0" allowOverlap="1" layoutInCell="1" locked="0" behindDoc="0" simplePos="0" relativeHeight="15789056">
                <wp:simplePos x="0" y="0"/>
                <wp:positionH relativeFrom="page">
                  <wp:posOffset>1642872</wp:posOffset>
                </wp:positionH>
                <wp:positionV relativeFrom="paragraph">
                  <wp:posOffset>253709</wp:posOffset>
                </wp:positionV>
                <wp:extent cx="2754630" cy="15240"/>
                <wp:effectExtent l="0" t="0" r="0" b="0"/>
                <wp:wrapNone/>
                <wp:docPr id="329" name="Group 329"/>
                <wp:cNvGraphicFramePr>
                  <a:graphicFrameLocks/>
                </wp:cNvGraphicFramePr>
                <a:graphic>
                  <a:graphicData uri="http://schemas.microsoft.com/office/word/2010/wordprocessingGroup">
                    <wpg:wgp>
                      <wpg:cNvPr id="329" name="Group 329"/>
                      <wpg:cNvGrpSpPr/>
                      <wpg:grpSpPr>
                        <a:xfrm>
                          <a:off x="0" y="0"/>
                          <a:ext cx="2754630" cy="15240"/>
                          <a:chExt cx="2754630" cy="15240"/>
                        </a:xfrm>
                      </wpg:grpSpPr>
                      <wps:wsp>
                        <wps:cNvPr id="330" name="Graphic 330"/>
                        <wps:cNvSpPr/>
                        <wps:spPr>
                          <a:xfrm>
                            <a:off x="0" y="7251"/>
                            <a:ext cx="2740660" cy="7620"/>
                          </a:xfrm>
                          <a:custGeom>
                            <a:avLst/>
                            <a:gdLst/>
                            <a:ahLst/>
                            <a:cxnLst/>
                            <a:rect l="l" t="t" r="r" b="b"/>
                            <a:pathLst>
                              <a:path w="2740660" h="7620">
                                <a:moveTo>
                                  <a:pt x="2740164" y="0"/>
                                </a:moveTo>
                                <a:lnTo>
                                  <a:pt x="0" y="0"/>
                                </a:lnTo>
                                <a:lnTo>
                                  <a:pt x="0" y="7607"/>
                                </a:lnTo>
                                <a:lnTo>
                                  <a:pt x="2740164" y="7607"/>
                                </a:lnTo>
                                <a:lnTo>
                                  <a:pt x="2740164" y="0"/>
                                </a:lnTo>
                                <a:close/>
                              </a:path>
                            </a:pathLst>
                          </a:custGeom>
                          <a:solidFill>
                            <a:srgbClr val="0000FF"/>
                          </a:solidFill>
                        </wps:spPr>
                        <wps:bodyPr wrap="square" lIns="0" tIns="0" rIns="0" bIns="0" rtlCol="0">
                          <a:prstTxWarp prst="textNoShape">
                            <a:avLst/>
                          </a:prstTxWarp>
                          <a:noAutofit/>
                        </wps:bodyPr>
                      </wps:wsp>
                      <wps:wsp>
                        <wps:cNvPr id="331" name="Graphic 331"/>
                        <wps:cNvSpPr/>
                        <wps:spPr>
                          <a:xfrm>
                            <a:off x="2725927" y="0"/>
                            <a:ext cx="28575" cy="12700"/>
                          </a:xfrm>
                          <a:custGeom>
                            <a:avLst/>
                            <a:gdLst/>
                            <a:ahLst/>
                            <a:cxnLst/>
                            <a:rect l="l" t="t" r="r" b="b"/>
                            <a:pathLst>
                              <a:path w="28575" h="12700">
                                <a:moveTo>
                                  <a:pt x="28321" y="0"/>
                                </a:moveTo>
                                <a:lnTo>
                                  <a:pt x="0" y="0"/>
                                </a:lnTo>
                                <a:lnTo>
                                  <a:pt x="0" y="12700"/>
                                </a:lnTo>
                                <a:lnTo>
                                  <a:pt x="28321" y="12700"/>
                                </a:lnTo>
                                <a:lnTo>
                                  <a:pt x="28321" y="0"/>
                                </a:lnTo>
                                <a:close/>
                              </a:path>
                            </a:pathLst>
                          </a:custGeom>
                          <a:solidFill>
                            <a:srgbClr val="1153CC"/>
                          </a:solidFill>
                        </wps:spPr>
                        <wps:bodyPr wrap="square" lIns="0" tIns="0" rIns="0" bIns="0" rtlCol="0">
                          <a:prstTxWarp prst="textNoShape">
                            <a:avLst/>
                          </a:prstTxWarp>
                          <a:noAutofit/>
                        </wps:bodyPr>
                      </wps:wsp>
                    </wpg:wgp>
                  </a:graphicData>
                </a:graphic>
              </wp:anchor>
            </w:drawing>
          </mc:Choice>
          <mc:Fallback>
            <w:pict>
              <v:group style="position:absolute;margin-left:129.360001pt;margin-top:19.977133pt;width:216.9pt;height:1.2pt;mso-position-horizontal-relative:page;mso-position-vertical-relative:paragraph;z-index:15789056" id="docshapegroup258" coordorigin="2587,400" coordsize="4338,24">
                <v:rect style="position:absolute;left:2587;top:410;width:4316;height:12" id="docshape259" filled="true" fillcolor="#0000ff" stroked="false">
                  <v:fill type="solid"/>
                </v:rect>
                <v:rect style="position:absolute;left:6880;top:399;width:45;height:20" id="docshape260" filled="true" fillcolor="#1153cc" stroked="false">
                  <v:fill type="solid"/>
                </v:rect>
                <w10:wrap type="none"/>
              </v:group>
            </w:pict>
          </mc:Fallback>
        </mc:AlternateContent>
      </w:r>
      <w:r>
        <w:rPr>
          <w:sz w:val="18"/>
          <w:vertAlign w:val="superscript"/>
        </w:rPr>
        <w:t>20</w:t>
      </w:r>
      <w:r>
        <w:rPr>
          <w:spacing w:val="-13"/>
          <w:sz w:val="18"/>
          <w:vertAlign w:val="baseline"/>
        </w:rPr>
        <w:t> </w:t>
      </w:r>
      <w:r>
        <w:rPr>
          <w:sz w:val="18"/>
          <w:vertAlign w:val="baseline"/>
        </w:rPr>
        <w:t>Turban,</w:t>
      </w:r>
      <w:r>
        <w:rPr>
          <w:spacing w:val="-5"/>
          <w:sz w:val="18"/>
          <w:vertAlign w:val="baseline"/>
        </w:rPr>
        <w:t> </w:t>
      </w:r>
      <w:r>
        <w:rPr>
          <w:sz w:val="18"/>
          <w:vertAlign w:val="baseline"/>
        </w:rPr>
        <w:t>Jack.</w:t>
      </w:r>
      <w:r>
        <w:rPr>
          <w:spacing w:val="-3"/>
          <w:sz w:val="18"/>
          <w:vertAlign w:val="baseline"/>
        </w:rPr>
        <w:t> </w:t>
      </w:r>
      <w:r>
        <w:rPr>
          <w:sz w:val="18"/>
          <w:vertAlign w:val="baseline"/>
        </w:rPr>
        <w:t>February</w:t>
      </w:r>
      <w:r>
        <w:rPr>
          <w:spacing w:val="-3"/>
          <w:sz w:val="18"/>
          <w:vertAlign w:val="baseline"/>
        </w:rPr>
        <w:t> </w:t>
      </w:r>
      <w:r>
        <w:rPr>
          <w:sz w:val="18"/>
          <w:vertAlign w:val="baseline"/>
        </w:rPr>
        <w:t>2020.</w:t>
      </w:r>
      <w:r>
        <w:rPr>
          <w:spacing w:val="-3"/>
          <w:sz w:val="18"/>
          <w:vertAlign w:val="baseline"/>
        </w:rPr>
        <w:t> </w:t>
      </w:r>
      <w:r>
        <w:rPr>
          <w:sz w:val="18"/>
          <w:vertAlign w:val="baseline"/>
        </w:rPr>
        <w:t>“Pubertal</w:t>
      </w:r>
      <w:r>
        <w:rPr>
          <w:spacing w:val="-3"/>
          <w:sz w:val="18"/>
          <w:vertAlign w:val="baseline"/>
        </w:rPr>
        <w:t> </w:t>
      </w:r>
      <w:r>
        <w:rPr>
          <w:sz w:val="18"/>
          <w:vertAlign w:val="baseline"/>
        </w:rPr>
        <w:t>Suppression</w:t>
      </w:r>
      <w:r>
        <w:rPr>
          <w:spacing w:val="-3"/>
          <w:sz w:val="18"/>
          <w:vertAlign w:val="baseline"/>
        </w:rPr>
        <w:t> </w:t>
      </w:r>
      <w:r>
        <w:rPr>
          <w:sz w:val="18"/>
          <w:vertAlign w:val="baseline"/>
        </w:rPr>
        <w:t>for</w:t>
      </w:r>
      <w:r>
        <w:rPr>
          <w:spacing w:val="-3"/>
          <w:sz w:val="18"/>
          <w:vertAlign w:val="baseline"/>
        </w:rPr>
        <w:t> </w:t>
      </w:r>
      <w:r>
        <w:rPr>
          <w:sz w:val="18"/>
          <w:vertAlign w:val="baseline"/>
        </w:rPr>
        <w:t>Transgender</w:t>
      </w:r>
      <w:r>
        <w:rPr>
          <w:spacing w:val="-3"/>
          <w:sz w:val="18"/>
          <w:vertAlign w:val="baseline"/>
        </w:rPr>
        <w:t> </w:t>
      </w:r>
      <w:r>
        <w:rPr>
          <w:sz w:val="18"/>
          <w:vertAlign w:val="baseline"/>
        </w:rPr>
        <w:t>Youth</w:t>
      </w:r>
      <w:r>
        <w:rPr>
          <w:spacing w:val="-3"/>
          <w:sz w:val="18"/>
          <w:vertAlign w:val="baseline"/>
        </w:rPr>
        <w:t> </w:t>
      </w:r>
      <w:r>
        <w:rPr>
          <w:sz w:val="18"/>
          <w:vertAlign w:val="baseline"/>
        </w:rPr>
        <w:t>and</w:t>
      </w:r>
      <w:r>
        <w:rPr>
          <w:spacing w:val="-3"/>
          <w:sz w:val="18"/>
          <w:vertAlign w:val="baseline"/>
        </w:rPr>
        <w:t> </w:t>
      </w:r>
      <w:r>
        <w:rPr>
          <w:sz w:val="18"/>
          <w:vertAlign w:val="baseline"/>
        </w:rPr>
        <w:t>Risk</w:t>
      </w:r>
      <w:r>
        <w:rPr>
          <w:spacing w:val="-3"/>
          <w:sz w:val="18"/>
          <w:vertAlign w:val="baseline"/>
        </w:rPr>
        <w:t> </w:t>
      </w:r>
      <w:r>
        <w:rPr>
          <w:sz w:val="18"/>
          <w:vertAlign w:val="baseline"/>
        </w:rPr>
        <w:t>of</w:t>
      </w:r>
      <w:r>
        <w:rPr>
          <w:spacing w:val="-3"/>
          <w:sz w:val="18"/>
          <w:vertAlign w:val="baseline"/>
        </w:rPr>
        <w:t> </w:t>
      </w:r>
      <w:r>
        <w:rPr>
          <w:sz w:val="18"/>
          <w:vertAlign w:val="baseline"/>
        </w:rPr>
        <w:t>Suicidal</w:t>
      </w:r>
      <w:r>
        <w:rPr>
          <w:spacing w:val="-3"/>
          <w:sz w:val="18"/>
          <w:vertAlign w:val="baseline"/>
        </w:rPr>
        <w:t> </w:t>
      </w:r>
      <w:r>
        <w:rPr>
          <w:sz w:val="18"/>
          <w:vertAlign w:val="baseline"/>
        </w:rPr>
        <w:t>Ideation.”</w:t>
      </w:r>
      <w:r>
        <w:rPr>
          <w:spacing w:val="-3"/>
          <w:sz w:val="18"/>
          <w:vertAlign w:val="baseline"/>
        </w:rPr>
        <w:t> </w:t>
      </w:r>
      <w:r>
        <w:rPr>
          <w:i/>
          <w:sz w:val="18"/>
          <w:vertAlign w:val="baseline"/>
        </w:rPr>
        <w:t>Pediatrics</w:t>
      </w:r>
      <w:r>
        <w:rPr>
          <w:sz w:val="18"/>
          <w:vertAlign w:val="baseline"/>
        </w:rPr>
        <w:t>.</w:t>
      </w:r>
      <w:r>
        <w:rPr>
          <w:spacing w:val="-3"/>
          <w:sz w:val="18"/>
          <w:vertAlign w:val="baseline"/>
        </w:rPr>
        <w:t> </w:t>
      </w:r>
      <w:r>
        <w:rPr>
          <w:sz w:val="18"/>
          <w:vertAlign w:val="baseline"/>
        </w:rPr>
        <w:t>Volume 145, Volume 2. </w:t>
      </w:r>
      <w:hyperlink r:id="rId413">
        <w:r>
          <w:rPr>
            <w:color w:val="0000FF"/>
            <w:sz w:val="18"/>
            <w:vertAlign w:val="baseline"/>
          </w:rPr>
          <w:t>https://www.ncbi.nlm.nih.gov/pmc/articles/PMC7073269/</w:t>
        </w:r>
      </w:hyperlink>
      <w:hyperlink r:id="rId413">
        <w:r>
          <w:rPr>
            <w:color w:val="1153CC"/>
            <w:sz w:val="18"/>
            <w:vertAlign w:val="baseline"/>
          </w:rPr>
          <w:t>.</w:t>
        </w:r>
      </w:hyperlink>
    </w:p>
    <w:p>
      <w:pPr>
        <w:spacing w:before="0"/>
        <w:ind w:left="363" w:right="523" w:hanging="1"/>
        <w:jc w:val="left"/>
        <w:rPr>
          <w:sz w:val="18"/>
        </w:rPr>
      </w:pPr>
      <w:r>
        <w:rPr>
          <w:sz w:val="18"/>
          <w:vertAlign w:val="superscript"/>
        </w:rPr>
        <w:t>21</w:t>
      </w:r>
      <w:r>
        <w:rPr>
          <w:spacing w:val="-9"/>
          <w:sz w:val="18"/>
          <w:vertAlign w:val="baseline"/>
        </w:rPr>
        <w:t> </w:t>
      </w:r>
      <w:r>
        <w:rPr>
          <w:sz w:val="18"/>
          <w:vertAlign w:val="baseline"/>
        </w:rPr>
        <w:t>van der Loos, Maria Anna Theodora Catharina, et al. October 20, 2022. “Continuation of gender-affirming hormones in transgender</w:t>
      </w:r>
      <w:r>
        <w:rPr>
          <w:spacing w:val="-4"/>
          <w:sz w:val="18"/>
          <w:vertAlign w:val="baseline"/>
        </w:rPr>
        <w:t> </w:t>
      </w:r>
      <w:r>
        <w:rPr>
          <w:sz w:val="18"/>
          <w:vertAlign w:val="baseline"/>
        </w:rPr>
        <w:t>people</w:t>
      </w:r>
      <w:r>
        <w:rPr>
          <w:spacing w:val="-3"/>
          <w:sz w:val="18"/>
          <w:vertAlign w:val="baseline"/>
        </w:rPr>
        <w:t> </w:t>
      </w:r>
      <w:r>
        <w:rPr>
          <w:sz w:val="18"/>
          <w:vertAlign w:val="baseline"/>
        </w:rPr>
        <w:t>starting</w:t>
      </w:r>
      <w:r>
        <w:rPr>
          <w:spacing w:val="-3"/>
          <w:sz w:val="18"/>
          <w:vertAlign w:val="baseline"/>
        </w:rPr>
        <w:t> </w:t>
      </w:r>
      <w:r>
        <w:rPr>
          <w:sz w:val="18"/>
          <w:vertAlign w:val="baseline"/>
        </w:rPr>
        <w:t>puberty</w:t>
      </w:r>
      <w:r>
        <w:rPr>
          <w:spacing w:val="-3"/>
          <w:sz w:val="18"/>
          <w:vertAlign w:val="baseline"/>
        </w:rPr>
        <w:t> </w:t>
      </w:r>
      <w:r>
        <w:rPr>
          <w:sz w:val="18"/>
          <w:vertAlign w:val="baseline"/>
        </w:rPr>
        <w:t>suppression</w:t>
      </w:r>
      <w:r>
        <w:rPr>
          <w:spacing w:val="-3"/>
          <w:sz w:val="18"/>
          <w:vertAlign w:val="baseline"/>
        </w:rPr>
        <w:t> </w:t>
      </w:r>
      <w:r>
        <w:rPr>
          <w:sz w:val="18"/>
          <w:vertAlign w:val="baseline"/>
        </w:rPr>
        <w:t>in</w:t>
      </w:r>
      <w:r>
        <w:rPr>
          <w:spacing w:val="-3"/>
          <w:sz w:val="18"/>
          <w:vertAlign w:val="baseline"/>
        </w:rPr>
        <w:t> </w:t>
      </w:r>
      <w:r>
        <w:rPr>
          <w:sz w:val="18"/>
          <w:vertAlign w:val="baseline"/>
        </w:rPr>
        <w:t>adolescence:</w:t>
      </w:r>
      <w:r>
        <w:rPr>
          <w:spacing w:val="-4"/>
          <w:sz w:val="18"/>
          <w:vertAlign w:val="baseline"/>
        </w:rPr>
        <w:t> </w:t>
      </w:r>
      <w:r>
        <w:rPr>
          <w:sz w:val="18"/>
          <w:vertAlign w:val="baseline"/>
        </w:rPr>
        <w:t>a</w:t>
      </w:r>
      <w:r>
        <w:rPr>
          <w:spacing w:val="-3"/>
          <w:sz w:val="18"/>
          <w:vertAlign w:val="baseline"/>
        </w:rPr>
        <w:t> </w:t>
      </w:r>
      <w:r>
        <w:rPr>
          <w:sz w:val="18"/>
          <w:vertAlign w:val="baseline"/>
        </w:rPr>
        <w:t>cohort</w:t>
      </w:r>
      <w:r>
        <w:rPr>
          <w:spacing w:val="-4"/>
          <w:sz w:val="18"/>
          <w:vertAlign w:val="baseline"/>
        </w:rPr>
        <w:t> </w:t>
      </w:r>
      <w:r>
        <w:rPr>
          <w:sz w:val="18"/>
          <w:vertAlign w:val="baseline"/>
        </w:rPr>
        <w:t>study</w:t>
      </w:r>
      <w:r>
        <w:rPr>
          <w:spacing w:val="-3"/>
          <w:sz w:val="18"/>
          <w:vertAlign w:val="baseline"/>
        </w:rPr>
        <w:t> </w:t>
      </w:r>
      <w:r>
        <w:rPr>
          <w:sz w:val="18"/>
          <w:vertAlign w:val="baseline"/>
        </w:rPr>
        <w:t>in</w:t>
      </w:r>
      <w:r>
        <w:rPr>
          <w:spacing w:val="-3"/>
          <w:sz w:val="18"/>
          <w:vertAlign w:val="baseline"/>
        </w:rPr>
        <w:t> </w:t>
      </w:r>
      <w:r>
        <w:rPr>
          <w:sz w:val="18"/>
          <w:vertAlign w:val="baseline"/>
        </w:rPr>
        <w:t>the</w:t>
      </w:r>
      <w:r>
        <w:rPr>
          <w:spacing w:val="-3"/>
          <w:sz w:val="18"/>
          <w:vertAlign w:val="baseline"/>
        </w:rPr>
        <w:t> </w:t>
      </w:r>
      <w:r>
        <w:rPr>
          <w:sz w:val="18"/>
          <w:vertAlign w:val="baseline"/>
        </w:rPr>
        <w:t>Netherlands.”</w:t>
      </w:r>
      <w:r>
        <w:rPr>
          <w:spacing w:val="-3"/>
          <w:sz w:val="18"/>
          <w:vertAlign w:val="baseline"/>
        </w:rPr>
        <w:t> </w:t>
      </w:r>
      <w:r>
        <w:rPr>
          <w:i/>
          <w:sz w:val="18"/>
          <w:vertAlign w:val="baseline"/>
        </w:rPr>
        <w:t>The</w:t>
      </w:r>
      <w:r>
        <w:rPr>
          <w:i/>
          <w:spacing w:val="-3"/>
          <w:sz w:val="18"/>
          <w:vertAlign w:val="baseline"/>
        </w:rPr>
        <w:t> </w:t>
      </w:r>
      <w:r>
        <w:rPr>
          <w:i/>
          <w:sz w:val="18"/>
          <w:vertAlign w:val="baseline"/>
        </w:rPr>
        <w:t>Lancet</w:t>
      </w:r>
      <w:r>
        <w:rPr>
          <w:sz w:val="18"/>
          <w:vertAlign w:val="baseline"/>
        </w:rPr>
        <w:t>.</w:t>
      </w:r>
      <w:r>
        <w:rPr>
          <w:spacing w:val="-4"/>
          <w:sz w:val="18"/>
          <w:vertAlign w:val="baseline"/>
        </w:rPr>
        <w:t> </w:t>
      </w:r>
      <w:r>
        <w:rPr>
          <w:sz w:val="18"/>
          <w:vertAlign w:val="baseline"/>
        </w:rPr>
        <w:t>Volume</w:t>
      </w:r>
      <w:r>
        <w:rPr>
          <w:spacing w:val="-3"/>
          <w:sz w:val="18"/>
          <w:vertAlign w:val="baseline"/>
        </w:rPr>
        <w:t> </w:t>
      </w:r>
      <w:r>
        <w:rPr>
          <w:sz w:val="18"/>
          <w:vertAlign w:val="baseline"/>
        </w:rPr>
        <w:t>6, Issue 12: pp. 869-875. </w:t>
      </w:r>
      <w:hyperlink r:id="rId414">
        <w:r>
          <w:rPr>
            <w:color w:val="0000FF"/>
            <w:sz w:val="18"/>
            <w:u w:val="single" w:color="0000FF"/>
            <w:vertAlign w:val="baseline"/>
          </w:rPr>
          <w:t>https://doi.org/10.1016/S2352-4642(22)00254-1</w:t>
        </w:r>
      </w:hyperlink>
      <w:hyperlink r:id="rId414">
        <w:r>
          <w:rPr>
            <w:sz w:val="18"/>
            <w:u w:val="none"/>
            <w:vertAlign w:val="baseline"/>
          </w:rPr>
          <w:t>.</w:t>
        </w:r>
      </w:hyperlink>
    </w:p>
    <w:p>
      <w:pPr>
        <w:spacing w:before="0"/>
        <w:ind w:left="363" w:right="0" w:firstLine="0"/>
        <w:jc w:val="left"/>
        <w:rPr>
          <w:sz w:val="18"/>
        </w:rPr>
      </w:pPr>
      <w:r>
        <w:rPr>
          <w:sz w:val="18"/>
          <w:vertAlign w:val="superscript"/>
        </w:rPr>
        <w:t>22</w:t>
      </w:r>
      <w:r>
        <w:rPr>
          <w:spacing w:val="-13"/>
          <w:sz w:val="18"/>
          <w:vertAlign w:val="baseline"/>
        </w:rPr>
        <w:t> </w:t>
      </w:r>
      <w:r>
        <w:rPr>
          <w:sz w:val="18"/>
          <w:vertAlign w:val="baseline"/>
        </w:rPr>
        <w:t>“Genital</w:t>
      </w:r>
      <w:r>
        <w:rPr>
          <w:spacing w:val="-6"/>
          <w:sz w:val="18"/>
          <w:vertAlign w:val="baseline"/>
        </w:rPr>
        <w:t> </w:t>
      </w:r>
      <w:r>
        <w:rPr>
          <w:sz w:val="18"/>
          <w:vertAlign w:val="baseline"/>
        </w:rPr>
        <w:t>Surgeries</w:t>
      </w:r>
      <w:r>
        <w:rPr>
          <w:spacing w:val="-3"/>
          <w:sz w:val="18"/>
          <w:vertAlign w:val="baseline"/>
        </w:rPr>
        <w:t> </w:t>
      </w:r>
      <w:r>
        <w:rPr>
          <w:sz w:val="18"/>
          <w:vertAlign w:val="baseline"/>
        </w:rPr>
        <w:t>in</w:t>
      </w:r>
      <w:r>
        <w:rPr>
          <w:spacing w:val="-3"/>
          <w:sz w:val="18"/>
          <w:vertAlign w:val="baseline"/>
        </w:rPr>
        <w:t> </w:t>
      </w:r>
      <w:r>
        <w:rPr>
          <w:sz w:val="18"/>
          <w:vertAlign w:val="baseline"/>
        </w:rPr>
        <w:t>Intersex</w:t>
      </w:r>
      <w:r>
        <w:rPr>
          <w:spacing w:val="-3"/>
          <w:sz w:val="18"/>
          <w:vertAlign w:val="baseline"/>
        </w:rPr>
        <w:t> </w:t>
      </w:r>
      <w:r>
        <w:rPr>
          <w:sz w:val="18"/>
          <w:vertAlign w:val="baseline"/>
        </w:rPr>
        <w:t>Children</w:t>
      </w:r>
      <w:r>
        <w:rPr>
          <w:spacing w:val="-3"/>
          <w:sz w:val="18"/>
          <w:vertAlign w:val="baseline"/>
        </w:rPr>
        <w:t> </w:t>
      </w:r>
      <w:r>
        <w:rPr>
          <w:sz w:val="18"/>
          <w:vertAlign w:val="baseline"/>
        </w:rPr>
        <w:t>|</w:t>
      </w:r>
      <w:r>
        <w:rPr>
          <w:spacing w:val="-3"/>
          <w:sz w:val="18"/>
          <w:vertAlign w:val="baseline"/>
        </w:rPr>
        <w:t> </w:t>
      </w:r>
      <w:r>
        <w:rPr>
          <w:sz w:val="18"/>
          <w:vertAlign w:val="baseline"/>
        </w:rPr>
        <w:t>AAFP,”</w:t>
      </w:r>
      <w:r>
        <w:rPr>
          <w:spacing w:val="-4"/>
          <w:sz w:val="18"/>
          <w:vertAlign w:val="baseline"/>
        </w:rPr>
        <w:t> </w:t>
      </w:r>
      <w:r>
        <w:rPr>
          <w:sz w:val="18"/>
          <w:vertAlign w:val="baseline"/>
        </w:rPr>
        <w:t>accessed</w:t>
      </w:r>
      <w:r>
        <w:rPr>
          <w:spacing w:val="-3"/>
          <w:sz w:val="18"/>
          <w:vertAlign w:val="baseline"/>
        </w:rPr>
        <w:t> </w:t>
      </w:r>
      <w:r>
        <w:rPr>
          <w:sz w:val="18"/>
          <w:vertAlign w:val="baseline"/>
        </w:rPr>
        <w:t>March</w:t>
      </w:r>
      <w:r>
        <w:rPr>
          <w:spacing w:val="-3"/>
          <w:sz w:val="18"/>
          <w:vertAlign w:val="baseline"/>
        </w:rPr>
        <w:t> </w:t>
      </w:r>
      <w:r>
        <w:rPr>
          <w:sz w:val="18"/>
          <w:vertAlign w:val="baseline"/>
        </w:rPr>
        <w:t>2,</w:t>
      </w:r>
      <w:r>
        <w:rPr>
          <w:spacing w:val="-4"/>
          <w:sz w:val="18"/>
          <w:vertAlign w:val="baseline"/>
        </w:rPr>
        <w:t> </w:t>
      </w:r>
      <w:r>
        <w:rPr>
          <w:sz w:val="18"/>
          <w:vertAlign w:val="baseline"/>
        </w:rPr>
        <w:t>2023,</w:t>
      </w:r>
      <w:r>
        <w:rPr>
          <w:spacing w:val="-4"/>
          <w:sz w:val="18"/>
          <w:vertAlign w:val="baseline"/>
        </w:rPr>
        <w:t> </w:t>
      </w:r>
      <w:r>
        <w:rPr>
          <w:sz w:val="18"/>
          <w:vertAlign w:val="baseline"/>
        </w:rPr>
        <w:t>https://</w:t>
      </w:r>
      <w:hyperlink r:id="rId415">
        <w:r>
          <w:rPr>
            <w:sz w:val="18"/>
            <w:vertAlign w:val="baseline"/>
          </w:rPr>
          <w:t>www.aafp.org/about/policies/all/genital-</w:t>
        </w:r>
      </w:hyperlink>
      <w:r>
        <w:rPr>
          <w:sz w:val="18"/>
          <w:vertAlign w:val="baseline"/>
        </w:rPr>
        <w:t> </w:t>
      </w:r>
      <w:r>
        <w:rPr>
          <w:spacing w:val="-2"/>
          <w:sz w:val="18"/>
          <w:vertAlign w:val="baseline"/>
        </w:rPr>
        <w:t>surgeries.html.</w:t>
      </w:r>
    </w:p>
    <w:p>
      <w:pPr>
        <w:spacing w:before="0"/>
        <w:ind w:left="363" w:right="3870" w:hanging="1"/>
        <w:jc w:val="left"/>
        <w:rPr>
          <w:sz w:val="18"/>
        </w:rPr>
      </w:pPr>
      <w:r>
        <w:rPr>
          <w:sz w:val="18"/>
          <w:vertAlign w:val="superscript"/>
        </w:rPr>
        <w:t>23</w:t>
      </w:r>
      <w:r>
        <w:rPr>
          <w:spacing w:val="-13"/>
          <w:sz w:val="18"/>
          <w:vertAlign w:val="baseline"/>
        </w:rPr>
        <w:t> </w:t>
      </w:r>
      <w:r>
        <w:rPr>
          <w:sz w:val="18"/>
          <w:vertAlign w:val="baseline"/>
        </w:rPr>
        <w:t>“The</w:t>
      </w:r>
      <w:r>
        <w:rPr>
          <w:spacing w:val="-6"/>
          <w:sz w:val="18"/>
          <w:vertAlign w:val="baseline"/>
        </w:rPr>
        <w:t> </w:t>
      </w:r>
      <w:r>
        <w:rPr>
          <w:sz w:val="18"/>
          <w:vertAlign w:val="baseline"/>
        </w:rPr>
        <w:t>Rights</w:t>
      </w:r>
      <w:r>
        <w:rPr>
          <w:spacing w:val="-4"/>
          <w:sz w:val="18"/>
          <w:vertAlign w:val="baseline"/>
        </w:rPr>
        <w:t> </w:t>
      </w:r>
      <w:r>
        <w:rPr>
          <w:sz w:val="18"/>
          <w:vertAlign w:val="baseline"/>
        </w:rPr>
        <w:t>of</w:t>
      </w:r>
      <w:r>
        <w:rPr>
          <w:spacing w:val="-5"/>
          <w:sz w:val="18"/>
          <w:vertAlign w:val="baseline"/>
        </w:rPr>
        <w:t> </w:t>
      </w:r>
      <w:r>
        <w:rPr>
          <w:sz w:val="18"/>
          <w:vertAlign w:val="baseline"/>
        </w:rPr>
        <w:t>Children</w:t>
      </w:r>
      <w:r>
        <w:rPr>
          <w:spacing w:val="-4"/>
          <w:sz w:val="18"/>
          <w:vertAlign w:val="baseline"/>
        </w:rPr>
        <w:t> </w:t>
      </w:r>
      <w:r>
        <w:rPr>
          <w:sz w:val="18"/>
          <w:vertAlign w:val="baseline"/>
        </w:rPr>
        <w:t>Born</w:t>
      </w:r>
      <w:r>
        <w:rPr>
          <w:spacing w:val="-4"/>
          <w:sz w:val="18"/>
          <w:vertAlign w:val="baseline"/>
        </w:rPr>
        <w:t> </w:t>
      </w:r>
      <w:r>
        <w:rPr>
          <w:sz w:val="18"/>
          <w:vertAlign w:val="baseline"/>
        </w:rPr>
        <w:t>Intersex,”</w:t>
      </w:r>
      <w:r>
        <w:rPr>
          <w:spacing w:val="-4"/>
          <w:sz w:val="18"/>
          <w:vertAlign w:val="baseline"/>
        </w:rPr>
        <w:t> </w:t>
      </w:r>
      <w:r>
        <w:rPr>
          <w:sz w:val="18"/>
          <w:vertAlign w:val="baseline"/>
        </w:rPr>
        <w:t>Amnesty</w:t>
      </w:r>
      <w:r>
        <w:rPr>
          <w:spacing w:val="-4"/>
          <w:sz w:val="18"/>
          <w:vertAlign w:val="baseline"/>
        </w:rPr>
        <w:t> </w:t>
      </w:r>
      <w:r>
        <w:rPr>
          <w:sz w:val="18"/>
          <w:vertAlign w:val="baseline"/>
        </w:rPr>
        <w:t>International,</w:t>
      </w:r>
      <w:r>
        <w:rPr>
          <w:spacing w:val="-5"/>
          <w:sz w:val="18"/>
          <w:vertAlign w:val="baseline"/>
        </w:rPr>
        <w:t> </w:t>
      </w:r>
      <w:r>
        <w:rPr>
          <w:sz w:val="18"/>
          <w:vertAlign w:val="baseline"/>
        </w:rPr>
        <w:t>May</w:t>
      </w:r>
      <w:r>
        <w:rPr>
          <w:spacing w:val="-4"/>
          <w:sz w:val="18"/>
          <w:vertAlign w:val="baseline"/>
        </w:rPr>
        <w:t> </w:t>
      </w:r>
      <w:r>
        <w:rPr>
          <w:sz w:val="18"/>
          <w:vertAlign w:val="baseline"/>
        </w:rPr>
        <w:t>9,</w:t>
      </w:r>
      <w:r>
        <w:rPr>
          <w:spacing w:val="-5"/>
          <w:sz w:val="18"/>
          <w:vertAlign w:val="baseline"/>
        </w:rPr>
        <w:t> </w:t>
      </w:r>
      <w:r>
        <w:rPr>
          <w:sz w:val="18"/>
          <w:vertAlign w:val="baseline"/>
        </w:rPr>
        <w:t>2017, </w:t>
      </w:r>
      <w:r>
        <w:rPr>
          <w:spacing w:val="-2"/>
          <w:sz w:val="18"/>
          <w:vertAlign w:val="baseline"/>
        </w:rPr>
        <w:t>https://</w:t>
      </w:r>
      <w:hyperlink r:id="rId416">
        <w:r>
          <w:rPr>
            <w:spacing w:val="-2"/>
            <w:sz w:val="18"/>
            <w:vertAlign w:val="baseline"/>
          </w:rPr>
          <w:t>www.amnesty.org/en/latest/campaigns/2017/05/intersex-rights/.</w:t>
        </w:r>
      </w:hyperlink>
    </w:p>
    <w:p>
      <w:pPr>
        <w:spacing w:before="0"/>
        <w:ind w:left="363" w:right="222" w:firstLine="0"/>
        <w:jc w:val="left"/>
        <w:rPr>
          <w:sz w:val="18"/>
        </w:rPr>
      </w:pPr>
      <w:r>
        <w:rPr>
          <w:sz w:val="18"/>
          <w:vertAlign w:val="superscript"/>
        </w:rPr>
        <w:t>24</w:t>
      </w:r>
      <w:r>
        <w:rPr>
          <w:spacing w:val="-8"/>
          <w:sz w:val="18"/>
          <w:vertAlign w:val="baseline"/>
        </w:rPr>
        <w:t> </w:t>
      </w:r>
      <w:r>
        <w:rPr>
          <w:sz w:val="18"/>
          <w:vertAlign w:val="baseline"/>
        </w:rPr>
        <w:t>Kyle Knight, “‘I Want to Be Like Nature Made Me,’” </w:t>
      </w:r>
      <w:r>
        <w:rPr>
          <w:i/>
          <w:sz w:val="18"/>
          <w:vertAlign w:val="baseline"/>
        </w:rPr>
        <w:t>Human Rights Watch</w:t>
      </w:r>
      <w:r>
        <w:rPr>
          <w:sz w:val="18"/>
          <w:vertAlign w:val="baseline"/>
        </w:rPr>
        <w:t>, July 25, 2017, https://</w:t>
      </w:r>
      <w:hyperlink r:id="rId417">
        <w:r>
          <w:rPr>
            <w:sz w:val="18"/>
            <w:vertAlign w:val="baseline"/>
          </w:rPr>
          <w:t>www.hrw.org/report/2017/07/25/i-want-be-nature-made-me/medically-unnecessary-surgeries-intersex-children-us.</w:t>
        </w:r>
      </w:hyperlink>
      <w:r>
        <w:rPr>
          <w:spacing w:val="12"/>
          <w:sz w:val="18"/>
          <w:vertAlign w:val="baseline"/>
        </w:rPr>
        <w:t> </w:t>
      </w:r>
      <w:r>
        <w:rPr>
          <w:sz w:val="18"/>
          <w:vertAlign w:val="superscript"/>
        </w:rPr>
        <w:t>25</w:t>
      </w:r>
      <w:r>
        <w:rPr>
          <w:sz w:val="18"/>
          <w:vertAlign w:val="baseline"/>
        </w:rPr>
        <w:t> Boston Children’s Hospital. “Behavioral Health, Endocrinology, Gynecology, Urology (BEING-U).” </w:t>
      </w:r>
      <w:hyperlink r:id="rId418">
        <w:r>
          <w:rPr>
            <w:color w:val="0000FF"/>
            <w:spacing w:val="-2"/>
            <w:sz w:val="18"/>
            <w:u w:val="single" w:color="0000FF"/>
            <w:vertAlign w:val="baseline"/>
          </w:rPr>
          <w:t>https://www.childrenshospital.org/programs/being-u</w:t>
        </w:r>
      </w:hyperlink>
      <w:hyperlink r:id="rId418">
        <w:r>
          <w:rPr>
            <w:color w:val="1153CC"/>
            <w:spacing w:val="-2"/>
            <w:sz w:val="18"/>
            <w:u w:val="none"/>
            <w:vertAlign w:val="baseline"/>
          </w:rPr>
          <w:t>.</w:t>
        </w:r>
      </w:hyperlink>
    </w:p>
    <w:p>
      <w:pPr>
        <w:spacing w:before="0"/>
        <w:ind w:left="363" w:right="91" w:hanging="1"/>
        <w:jc w:val="left"/>
        <w:rPr>
          <w:sz w:val="18"/>
        </w:rPr>
      </w:pPr>
      <w:r>
        <w:rPr>
          <w:sz w:val="18"/>
          <w:vertAlign w:val="superscript"/>
        </w:rPr>
        <w:t>26</w:t>
      </w:r>
      <w:r>
        <w:rPr>
          <w:spacing w:val="-13"/>
          <w:sz w:val="18"/>
          <w:vertAlign w:val="baseline"/>
        </w:rPr>
        <w:t> </w:t>
      </w:r>
      <w:r>
        <w:rPr>
          <w:sz w:val="18"/>
          <w:vertAlign w:val="baseline"/>
        </w:rPr>
        <w:t>“Intersex:</w:t>
      </w:r>
      <w:r>
        <w:rPr>
          <w:spacing w:val="-6"/>
          <w:sz w:val="18"/>
          <w:vertAlign w:val="baseline"/>
        </w:rPr>
        <w:t> </w:t>
      </w:r>
      <w:r>
        <w:rPr>
          <w:sz w:val="18"/>
          <w:vertAlign w:val="baseline"/>
        </w:rPr>
        <w:t>Not</w:t>
      </w:r>
      <w:r>
        <w:rPr>
          <w:spacing w:val="-5"/>
          <w:sz w:val="18"/>
          <w:vertAlign w:val="baseline"/>
        </w:rPr>
        <w:t> </w:t>
      </w:r>
      <w:r>
        <w:rPr>
          <w:sz w:val="18"/>
          <w:vertAlign w:val="baseline"/>
        </w:rPr>
        <w:t>Invisible,”</w:t>
      </w:r>
      <w:r>
        <w:rPr>
          <w:spacing w:val="-3"/>
          <w:sz w:val="18"/>
          <w:vertAlign w:val="baseline"/>
        </w:rPr>
        <w:t> </w:t>
      </w:r>
      <w:r>
        <w:rPr>
          <w:i/>
          <w:sz w:val="18"/>
          <w:vertAlign w:val="baseline"/>
        </w:rPr>
        <w:t>The</w:t>
      </w:r>
      <w:r>
        <w:rPr>
          <w:i/>
          <w:spacing w:val="-3"/>
          <w:sz w:val="18"/>
          <w:vertAlign w:val="baseline"/>
        </w:rPr>
        <w:t> </w:t>
      </w:r>
      <w:r>
        <w:rPr>
          <w:i/>
          <w:sz w:val="18"/>
          <w:vertAlign w:val="baseline"/>
        </w:rPr>
        <w:t>Trevor</w:t>
      </w:r>
      <w:r>
        <w:rPr>
          <w:i/>
          <w:spacing w:val="-4"/>
          <w:sz w:val="18"/>
          <w:vertAlign w:val="baseline"/>
        </w:rPr>
        <w:t> </w:t>
      </w:r>
      <w:r>
        <w:rPr>
          <w:i/>
          <w:sz w:val="18"/>
          <w:vertAlign w:val="baseline"/>
        </w:rPr>
        <w:t>Project</w:t>
      </w:r>
      <w:r>
        <w:rPr>
          <w:i/>
          <w:spacing w:val="-4"/>
          <w:sz w:val="18"/>
          <w:vertAlign w:val="baseline"/>
        </w:rPr>
        <w:t> </w:t>
      </w:r>
      <w:r>
        <w:rPr>
          <w:sz w:val="18"/>
          <w:vertAlign w:val="baseline"/>
        </w:rPr>
        <w:t>(blog),</w:t>
      </w:r>
      <w:r>
        <w:rPr>
          <w:spacing w:val="-4"/>
          <w:sz w:val="18"/>
          <w:vertAlign w:val="baseline"/>
        </w:rPr>
        <w:t> </w:t>
      </w:r>
      <w:r>
        <w:rPr>
          <w:sz w:val="18"/>
          <w:vertAlign w:val="baseline"/>
        </w:rPr>
        <w:t>October</w:t>
      </w:r>
      <w:r>
        <w:rPr>
          <w:spacing w:val="-4"/>
          <w:sz w:val="18"/>
          <w:vertAlign w:val="baseline"/>
        </w:rPr>
        <w:t> </w:t>
      </w:r>
      <w:r>
        <w:rPr>
          <w:sz w:val="18"/>
          <w:vertAlign w:val="baseline"/>
        </w:rPr>
        <w:t>26,</w:t>
      </w:r>
      <w:r>
        <w:rPr>
          <w:spacing w:val="-4"/>
          <w:sz w:val="18"/>
          <w:vertAlign w:val="baseline"/>
        </w:rPr>
        <w:t> </w:t>
      </w:r>
      <w:r>
        <w:rPr>
          <w:sz w:val="18"/>
          <w:vertAlign w:val="baseline"/>
        </w:rPr>
        <w:t>2022,</w:t>
      </w:r>
      <w:r>
        <w:rPr>
          <w:spacing w:val="-4"/>
          <w:sz w:val="18"/>
          <w:vertAlign w:val="baseline"/>
        </w:rPr>
        <w:t> </w:t>
      </w:r>
      <w:r>
        <w:rPr>
          <w:sz w:val="18"/>
          <w:vertAlign w:val="baseline"/>
        </w:rPr>
        <w:t>https://</w:t>
      </w:r>
      <w:hyperlink r:id="rId419">
        <w:r>
          <w:rPr>
            <w:sz w:val="18"/>
            <w:vertAlign w:val="baseline"/>
          </w:rPr>
          <w:t>www.thetrevorproject.org/blog/intersex-not-</w:t>
        </w:r>
      </w:hyperlink>
      <w:r>
        <w:rPr>
          <w:sz w:val="18"/>
          <w:vertAlign w:val="baseline"/>
        </w:rPr>
        <w:t> </w:t>
      </w:r>
      <w:r>
        <w:rPr>
          <w:spacing w:val="-2"/>
          <w:sz w:val="18"/>
          <w:vertAlign w:val="baseline"/>
        </w:rPr>
        <w:t>invisible/.</w:t>
      </w:r>
    </w:p>
    <w:p>
      <w:pPr>
        <w:spacing w:before="0"/>
        <w:ind w:left="363" w:right="523" w:hanging="1"/>
        <w:jc w:val="left"/>
        <w:rPr>
          <w:sz w:val="18"/>
        </w:rPr>
      </w:pPr>
      <w:r>
        <w:rPr>
          <w:sz w:val="18"/>
          <w:vertAlign w:val="superscript"/>
        </w:rPr>
        <w:t>27</w:t>
      </w:r>
      <w:r>
        <w:rPr>
          <w:spacing w:val="-13"/>
          <w:sz w:val="18"/>
          <w:vertAlign w:val="baseline"/>
        </w:rPr>
        <w:t> </w:t>
      </w:r>
      <w:r>
        <w:rPr>
          <w:sz w:val="18"/>
          <w:vertAlign w:val="baseline"/>
        </w:rPr>
        <w:t>SIECUS:</w:t>
      </w:r>
      <w:r>
        <w:rPr>
          <w:spacing w:val="-3"/>
          <w:sz w:val="18"/>
          <w:vertAlign w:val="baseline"/>
        </w:rPr>
        <w:t> </w:t>
      </w:r>
      <w:r>
        <w:rPr>
          <w:sz w:val="18"/>
          <w:vertAlign w:val="baseline"/>
        </w:rPr>
        <w:t>Sex</w:t>
      </w:r>
      <w:r>
        <w:rPr>
          <w:spacing w:val="-2"/>
          <w:sz w:val="18"/>
          <w:vertAlign w:val="baseline"/>
        </w:rPr>
        <w:t> </w:t>
      </w:r>
      <w:r>
        <w:rPr>
          <w:sz w:val="18"/>
          <w:vertAlign w:val="baseline"/>
        </w:rPr>
        <w:t>Ed</w:t>
      </w:r>
      <w:r>
        <w:rPr>
          <w:spacing w:val="-3"/>
          <w:sz w:val="18"/>
          <w:vertAlign w:val="baseline"/>
        </w:rPr>
        <w:t> </w:t>
      </w:r>
      <w:r>
        <w:rPr>
          <w:sz w:val="18"/>
          <w:vertAlign w:val="baseline"/>
        </w:rPr>
        <w:t>for</w:t>
      </w:r>
      <w:r>
        <w:rPr>
          <w:spacing w:val="-3"/>
          <w:sz w:val="18"/>
          <w:vertAlign w:val="baseline"/>
        </w:rPr>
        <w:t> </w:t>
      </w:r>
      <w:r>
        <w:rPr>
          <w:sz w:val="18"/>
          <w:vertAlign w:val="baseline"/>
        </w:rPr>
        <w:t>Social</w:t>
      </w:r>
      <w:r>
        <w:rPr>
          <w:spacing w:val="-3"/>
          <w:sz w:val="18"/>
          <w:vertAlign w:val="baseline"/>
        </w:rPr>
        <w:t> </w:t>
      </w:r>
      <w:r>
        <w:rPr>
          <w:sz w:val="18"/>
          <w:vertAlign w:val="baseline"/>
        </w:rPr>
        <w:t>Change,</w:t>
      </w:r>
      <w:r>
        <w:rPr>
          <w:spacing w:val="-3"/>
          <w:sz w:val="18"/>
          <w:vertAlign w:val="baseline"/>
        </w:rPr>
        <w:t> </w:t>
      </w:r>
      <w:r>
        <w:rPr>
          <w:sz w:val="18"/>
          <w:vertAlign w:val="baseline"/>
        </w:rPr>
        <w:t>et</w:t>
      </w:r>
      <w:r>
        <w:rPr>
          <w:spacing w:val="-3"/>
          <w:sz w:val="18"/>
          <w:vertAlign w:val="baseline"/>
        </w:rPr>
        <w:t> </w:t>
      </w:r>
      <w:r>
        <w:rPr>
          <w:sz w:val="18"/>
          <w:vertAlign w:val="baseline"/>
        </w:rPr>
        <w:t>al.</w:t>
      </w:r>
      <w:r>
        <w:rPr>
          <w:spacing w:val="-2"/>
          <w:sz w:val="18"/>
          <w:vertAlign w:val="baseline"/>
        </w:rPr>
        <w:t> </w:t>
      </w:r>
      <w:r>
        <w:rPr>
          <w:sz w:val="18"/>
          <w:vertAlign w:val="baseline"/>
        </w:rPr>
        <w:t>May</w:t>
      </w:r>
      <w:r>
        <w:rPr>
          <w:spacing w:val="-2"/>
          <w:sz w:val="18"/>
          <w:vertAlign w:val="baseline"/>
        </w:rPr>
        <w:t> </w:t>
      </w:r>
      <w:r>
        <w:rPr>
          <w:sz w:val="18"/>
          <w:vertAlign w:val="baseline"/>
        </w:rPr>
        <w:t>2021.</w:t>
      </w:r>
      <w:r>
        <w:rPr>
          <w:spacing w:val="-2"/>
          <w:sz w:val="18"/>
          <w:vertAlign w:val="baseline"/>
        </w:rPr>
        <w:t> </w:t>
      </w:r>
      <w:r>
        <w:rPr>
          <w:sz w:val="18"/>
          <w:vertAlign w:val="baseline"/>
        </w:rPr>
        <w:t>“A</w:t>
      </w:r>
      <w:r>
        <w:rPr>
          <w:spacing w:val="-2"/>
          <w:sz w:val="18"/>
          <w:vertAlign w:val="baseline"/>
        </w:rPr>
        <w:t> </w:t>
      </w:r>
      <w:r>
        <w:rPr>
          <w:sz w:val="18"/>
          <w:vertAlign w:val="baseline"/>
        </w:rPr>
        <w:t>Call</w:t>
      </w:r>
      <w:r>
        <w:rPr>
          <w:spacing w:val="-3"/>
          <w:sz w:val="18"/>
          <w:vertAlign w:val="baseline"/>
        </w:rPr>
        <w:t> </w:t>
      </w:r>
      <w:r>
        <w:rPr>
          <w:sz w:val="18"/>
          <w:vertAlign w:val="baseline"/>
        </w:rPr>
        <w:t>to</w:t>
      </w:r>
      <w:r>
        <w:rPr>
          <w:spacing w:val="-2"/>
          <w:sz w:val="18"/>
          <w:vertAlign w:val="baseline"/>
        </w:rPr>
        <w:t> </w:t>
      </w:r>
      <w:r>
        <w:rPr>
          <w:sz w:val="18"/>
          <w:vertAlign w:val="baseline"/>
        </w:rPr>
        <w:t>Action:</w:t>
      </w:r>
      <w:r>
        <w:rPr>
          <w:spacing w:val="-2"/>
          <w:sz w:val="18"/>
          <w:vertAlign w:val="baseline"/>
        </w:rPr>
        <w:t> </w:t>
      </w:r>
      <w:r>
        <w:rPr>
          <w:sz w:val="18"/>
          <w:vertAlign w:val="baseline"/>
        </w:rPr>
        <w:t>LGBTQ+</w:t>
      </w:r>
      <w:r>
        <w:rPr>
          <w:spacing w:val="-2"/>
          <w:sz w:val="18"/>
          <w:vertAlign w:val="baseline"/>
        </w:rPr>
        <w:t> </w:t>
      </w:r>
      <w:r>
        <w:rPr>
          <w:sz w:val="18"/>
          <w:vertAlign w:val="baseline"/>
        </w:rPr>
        <w:t>Youth</w:t>
      </w:r>
      <w:r>
        <w:rPr>
          <w:spacing w:val="-2"/>
          <w:sz w:val="18"/>
          <w:vertAlign w:val="baseline"/>
        </w:rPr>
        <w:t> </w:t>
      </w:r>
      <w:r>
        <w:rPr>
          <w:sz w:val="18"/>
          <w:vertAlign w:val="baseline"/>
        </w:rPr>
        <w:t>Need</w:t>
      </w:r>
      <w:r>
        <w:rPr>
          <w:spacing w:val="-2"/>
          <w:sz w:val="18"/>
          <w:vertAlign w:val="baseline"/>
        </w:rPr>
        <w:t> </w:t>
      </w:r>
      <w:r>
        <w:rPr>
          <w:sz w:val="18"/>
          <w:vertAlign w:val="baseline"/>
        </w:rPr>
        <w:t>Inclusive</w:t>
      </w:r>
      <w:r>
        <w:rPr>
          <w:spacing w:val="-2"/>
          <w:sz w:val="18"/>
          <w:vertAlign w:val="baseline"/>
        </w:rPr>
        <w:t> </w:t>
      </w:r>
      <w:r>
        <w:rPr>
          <w:sz w:val="18"/>
          <w:vertAlign w:val="baseline"/>
        </w:rPr>
        <w:t>Sex</w:t>
      </w:r>
      <w:r>
        <w:rPr>
          <w:spacing w:val="-2"/>
          <w:sz w:val="18"/>
          <w:vertAlign w:val="baseline"/>
        </w:rPr>
        <w:t> </w:t>
      </w:r>
      <w:r>
        <w:rPr>
          <w:sz w:val="18"/>
          <w:vertAlign w:val="baseline"/>
        </w:rPr>
        <w:t>Education,”</w:t>
      </w:r>
      <w:r>
        <w:rPr>
          <w:spacing w:val="-2"/>
          <w:sz w:val="18"/>
          <w:vertAlign w:val="baseline"/>
        </w:rPr>
        <w:t> </w:t>
      </w:r>
      <w:r>
        <w:rPr>
          <w:sz w:val="18"/>
          <w:vertAlign w:val="baseline"/>
        </w:rPr>
        <w:t>page</w:t>
      </w:r>
      <w:r>
        <w:rPr>
          <w:spacing w:val="-3"/>
          <w:sz w:val="18"/>
          <w:vertAlign w:val="baseline"/>
        </w:rPr>
        <w:t> </w:t>
      </w:r>
      <w:r>
        <w:rPr>
          <w:sz w:val="18"/>
          <w:vertAlign w:val="baseline"/>
        </w:rPr>
        <w:t>7. </w:t>
      </w:r>
      <w:hyperlink r:id="rId406">
        <w:r>
          <w:rPr>
            <w:color w:val="0000FF"/>
            <w:spacing w:val="-2"/>
            <w:sz w:val="18"/>
            <w:u w:val="single" w:color="0000FF"/>
            <w:vertAlign w:val="baseline"/>
          </w:rPr>
          <w:t>https://hrc-prod-requests.s3-us-west-2.amazonaws.com/Call-to-Action-LGBTQ-Sex-Ed-Report-2021.pd</w:t>
        </w:r>
      </w:hyperlink>
      <w:hyperlink r:id="rId406">
        <w:r>
          <w:rPr>
            <w:color w:val="0000FF"/>
            <w:spacing w:val="-2"/>
            <w:sz w:val="18"/>
            <w:u w:val="single" w:color="0000FF"/>
            <w:vertAlign w:val="baseline"/>
          </w:rPr>
          <w:t>f</w:t>
        </w:r>
        <w:r>
          <w:rPr>
            <w:spacing w:val="-2"/>
            <w:sz w:val="18"/>
            <w:u w:val="none"/>
            <w:vertAlign w:val="baseline"/>
          </w:rPr>
          <w:t>.</w:t>
        </w:r>
      </w:hyperlink>
    </w:p>
    <w:p>
      <w:pPr>
        <w:spacing w:before="0"/>
        <w:ind w:left="363" w:right="523" w:hanging="1"/>
        <w:jc w:val="left"/>
        <w:rPr>
          <w:sz w:val="18"/>
        </w:rPr>
      </w:pPr>
      <w:r>
        <w:rPr>
          <w:sz w:val="18"/>
          <w:vertAlign w:val="superscript"/>
        </w:rPr>
        <w:t>28</w:t>
      </w:r>
      <w:r>
        <w:rPr>
          <w:spacing w:val="-13"/>
          <w:sz w:val="18"/>
          <w:vertAlign w:val="baseline"/>
        </w:rPr>
        <w:t> </w:t>
      </w:r>
      <w:r>
        <w:rPr>
          <w:sz w:val="18"/>
          <w:vertAlign w:val="baseline"/>
        </w:rPr>
        <w:t>SIECUS:</w:t>
      </w:r>
      <w:r>
        <w:rPr>
          <w:spacing w:val="-3"/>
          <w:sz w:val="18"/>
          <w:vertAlign w:val="baseline"/>
        </w:rPr>
        <w:t> </w:t>
      </w:r>
      <w:r>
        <w:rPr>
          <w:sz w:val="18"/>
          <w:vertAlign w:val="baseline"/>
        </w:rPr>
        <w:t>Sex</w:t>
      </w:r>
      <w:r>
        <w:rPr>
          <w:spacing w:val="-2"/>
          <w:sz w:val="18"/>
          <w:vertAlign w:val="baseline"/>
        </w:rPr>
        <w:t> </w:t>
      </w:r>
      <w:r>
        <w:rPr>
          <w:sz w:val="18"/>
          <w:vertAlign w:val="baseline"/>
        </w:rPr>
        <w:t>Ed</w:t>
      </w:r>
      <w:r>
        <w:rPr>
          <w:spacing w:val="-3"/>
          <w:sz w:val="18"/>
          <w:vertAlign w:val="baseline"/>
        </w:rPr>
        <w:t> </w:t>
      </w:r>
      <w:r>
        <w:rPr>
          <w:sz w:val="18"/>
          <w:vertAlign w:val="baseline"/>
        </w:rPr>
        <w:t>for</w:t>
      </w:r>
      <w:r>
        <w:rPr>
          <w:spacing w:val="-3"/>
          <w:sz w:val="18"/>
          <w:vertAlign w:val="baseline"/>
        </w:rPr>
        <w:t> </w:t>
      </w:r>
      <w:r>
        <w:rPr>
          <w:sz w:val="18"/>
          <w:vertAlign w:val="baseline"/>
        </w:rPr>
        <w:t>Social</w:t>
      </w:r>
      <w:r>
        <w:rPr>
          <w:spacing w:val="-3"/>
          <w:sz w:val="18"/>
          <w:vertAlign w:val="baseline"/>
        </w:rPr>
        <w:t> </w:t>
      </w:r>
      <w:r>
        <w:rPr>
          <w:sz w:val="18"/>
          <w:vertAlign w:val="baseline"/>
        </w:rPr>
        <w:t>Change,</w:t>
      </w:r>
      <w:r>
        <w:rPr>
          <w:spacing w:val="-3"/>
          <w:sz w:val="18"/>
          <w:vertAlign w:val="baseline"/>
        </w:rPr>
        <w:t> </w:t>
      </w:r>
      <w:r>
        <w:rPr>
          <w:sz w:val="18"/>
          <w:vertAlign w:val="baseline"/>
        </w:rPr>
        <w:t>et</w:t>
      </w:r>
      <w:r>
        <w:rPr>
          <w:spacing w:val="-3"/>
          <w:sz w:val="18"/>
          <w:vertAlign w:val="baseline"/>
        </w:rPr>
        <w:t> </w:t>
      </w:r>
      <w:r>
        <w:rPr>
          <w:sz w:val="18"/>
          <w:vertAlign w:val="baseline"/>
        </w:rPr>
        <w:t>al.</w:t>
      </w:r>
      <w:r>
        <w:rPr>
          <w:spacing w:val="-2"/>
          <w:sz w:val="18"/>
          <w:vertAlign w:val="baseline"/>
        </w:rPr>
        <w:t> </w:t>
      </w:r>
      <w:r>
        <w:rPr>
          <w:sz w:val="18"/>
          <w:vertAlign w:val="baseline"/>
        </w:rPr>
        <w:t>May</w:t>
      </w:r>
      <w:r>
        <w:rPr>
          <w:spacing w:val="-2"/>
          <w:sz w:val="18"/>
          <w:vertAlign w:val="baseline"/>
        </w:rPr>
        <w:t> </w:t>
      </w:r>
      <w:r>
        <w:rPr>
          <w:sz w:val="18"/>
          <w:vertAlign w:val="baseline"/>
        </w:rPr>
        <w:t>2021.</w:t>
      </w:r>
      <w:r>
        <w:rPr>
          <w:spacing w:val="-2"/>
          <w:sz w:val="18"/>
          <w:vertAlign w:val="baseline"/>
        </w:rPr>
        <w:t> </w:t>
      </w:r>
      <w:r>
        <w:rPr>
          <w:sz w:val="18"/>
          <w:vertAlign w:val="baseline"/>
        </w:rPr>
        <w:t>“A</w:t>
      </w:r>
      <w:r>
        <w:rPr>
          <w:spacing w:val="-2"/>
          <w:sz w:val="18"/>
          <w:vertAlign w:val="baseline"/>
        </w:rPr>
        <w:t> </w:t>
      </w:r>
      <w:r>
        <w:rPr>
          <w:sz w:val="18"/>
          <w:vertAlign w:val="baseline"/>
        </w:rPr>
        <w:t>Call</w:t>
      </w:r>
      <w:r>
        <w:rPr>
          <w:spacing w:val="-3"/>
          <w:sz w:val="18"/>
          <w:vertAlign w:val="baseline"/>
        </w:rPr>
        <w:t> </w:t>
      </w:r>
      <w:r>
        <w:rPr>
          <w:sz w:val="18"/>
          <w:vertAlign w:val="baseline"/>
        </w:rPr>
        <w:t>to</w:t>
      </w:r>
      <w:r>
        <w:rPr>
          <w:spacing w:val="-2"/>
          <w:sz w:val="18"/>
          <w:vertAlign w:val="baseline"/>
        </w:rPr>
        <w:t> </w:t>
      </w:r>
      <w:r>
        <w:rPr>
          <w:sz w:val="18"/>
          <w:vertAlign w:val="baseline"/>
        </w:rPr>
        <w:t>Action:</w:t>
      </w:r>
      <w:r>
        <w:rPr>
          <w:spacing w:val="-2"/>
          <w:sz w:val="18"/>
          <w:vertAlign w:val="baseline"/>
        </w:rPr>
        <w:t> </w:t>
      </w:r>
      <w:r>
        <w:rPr>
          <w:sz w:val="18"/>
          <w:vertAlign w:val="baseline"/>
        </w:rPr>
        <w:t>LGBTQ+</w:t>
      </w:r>
      <w:r>
        <w:rPr>
          <w:spacing w:val="-2"/>
          <w:sz w:val="18"/>
          <w:vertAlign w:val="baseline"/>
        </w:rPr>
        <w:t> </w:t>
      </w:r>
      <w:r>
        <w:rPr>
          <w:sz w:val="18"/>
          <w:vertAlign w:val="baseline"/>
        </w:rPr>
        <w:t>Youth</w:t>
      </w:r>
      <w:r>
        <w:rPr>
          <w:spacing w:val="-2"/>
          <w:sz w:val="18"/>
          <w:vertAlign w:val="baseline"/>
        </w:rPr>
        <w:t> </w:t>
      </w:r>
      <w:r>
        <w:rPr>
          <w:sz w:val="18"/>
          <w:vertAlign w:val="baseline"/>
        </w:rPr>
        <w:t>Need</w:t>
      </w:r>
      <w:r>
        <w:rPr>
          <w:spacing w:val="-2"/>
          <w:sz w:val="18"/>
          <w:vertAlign w:val="baseline"/>
        </w:rPr>
        <w:t> </w:t>
      </w:r>
      <w:r>
        <w:rPr>
          <w:sz w:val="18"/>
          <w:vertAlign w:val="baseline"/>
        </w:rPr>
        <w:t>Inclusive</w:t>
      </w:r>
      <w:r>
        <w:rPr>
          <w:spacing w:val="-2"/>
          <w:sz w:val="18"/>
          <w:vertAlign w:val="baseline"/>
        </w:rPr>
        <w:t> </w:t>
      </w:r>
      <w:r>
        <w:rPr>
          <w:sz w:val="18"/>
          <w:vertAlign w:val="baseline"/>
        </w:rPr>
        <w:t>Sex</w:t>
      </w:r>
      <w:r>
        <w:rPr>
          <w:spacing w:val="-2"/>
          <w:sz w:val="18"/>
          <w:vertAlign w:val="baseline"/>
        </w:rPr>
        <w:t> </w:t>
      </w:r>
      <w:r>
        <w:rPr>
          <w:sz w:val="18"/>
          <w:vertAlign w:val="baseline"/>
        </w:rPr>
        <w:t>Education,”</w:t>
      </w:r>
      <w:r>
        <w:rPr>
          <w:spacing w:val="-2"/>
          <w:sz w:val="18"/>
          <w:vertAlign w:val="baseline"/>
        </w:rPr>
        <w:t> </w:t>
      </w:r>
      <w:r>
        <w:rPr>
          <w:sz w:val="18"/>
          <w:vertAlign w:val="baseline"/>
        </w:rPr>
        <w:t>page</w:t>
      </w:r>
      <w:r>
        <w:rPr>
          <w:spacing w:val="-3"/>
          <w:sz w:val="18"/>
          <w:vertAlign w:val="baseline"/>
        </w:rPr>
        <w:t> </w:t>
      </w:r>
      <w:r>
        <w:rPr>
          <w:sz w:val="18"/>
          <w:vertAlign w:val="baseline"/>
        </w:rPr>
        <w:t>7. </w:t>
      </w:r>
      <w:hyperlink r:id="rId406">
        <w:r>
          <w:rPr>
            <w:color w:val="0000FF"/>
            <w:spacing w:val="-2"/>
            <w:sz w:val="18"/>
            <w:u w:val="single" w:color="0000FF"/>
            <w:vertAlign w:val="baseline"/>
          </w:rPr>
          <w:t>https://hrc-prod-requests.s3-us-west-2.amazonaws.com/Call-to-Action-LGBTQ-Sex-Ed-Report-2021.pd</w:t>
        </w:r>
      </w:hyperlink>
      <w:hyperlink r:id="rId406">
        <w:r>
          <w:rPr>
            <w:color w:val="0000FF"/>
            <w:spacing w:val="-2"/>
            <w:sz w:val="18"/>
            <w:u w:val="single" w:color="0000FF"/>
            <w:vertAlign w:val="baseline"/>
          </w:rPr>
          <w:t>f</w:t>
        </w:r>
        <w:r>
          <w:rPr>
            <w:spacing w:val="-2"/>
            <w:sz w:val="18"/>
            <w:u w:val="none"/>
            <w:vertAlign w:val="baseline"/>
          </w:rPr>
          <w:t>.</w:t>
        </w:r>
      </w:hyperlink>
    </w:p>
    <w:p>
      <w:pPr>
        <w:spacing w:line="219" w:lineRule="exact" w:before="0"/>
        <w:ind w:left="363" w:right="0" w:firstLine="0"/>
        <w:jc w:val="left"/>
        <w:rPr>
          <w:sz w:val="18"/>
        </w:rPr>
      </w:pPr>
      <w:r>
        <w:rPr>
          <w:sz w:val="18"/>
          <w:vertAlign w:val="superscript"/>
        </w:rPr>
        <w:t>29</w:t>
      </w:r>
      <w:r>
        <w:rPr>
          <w:spacing w:val="-15"/>
          <w:sz w:val="18"/>
          <w:vertAlign w:val="baseline"/>
        </w:rPr>
        <w:t> </w:t>
      </w:r>
      <w:r>
        <w:rPr>
          <w:sz w:val="18"/>
          <w:vertAlign w:val="baseline"/>
        </w:rPr>
        <w:t>National</w:t>
      </w:r>
      <w:r>
        <w:rPr>
          <w:spacing w:val="-6"/>
          <w:sz w:val="18"/>
          <w:vertAlign w:val="baseline"/>
        </w:rPr>
        <w:t> </w:t>
      </w:r>
      <w:r>
        <w:rPr>
          <w:sz w:val="18"/>
          <w:vertAlign w:val="baseline"/>
        </w:rPr>
        <w:t>Library</w:t>
      </w:r>
      <w:r>
        <w:rPr>
          <w:spacing w:val="-3"/>
          <w:sz w:val="18"/>
          <w:vertAlign w:val="baseline"/>
        </w:rPr>
        <w:t> </w:t>
      </w:r>
      <w:r>
        <w:rPr>
          <w:sz w:val="18"/>
          <w:vertAlign w:val="baseline"/>
        </w:rPr>
        <w:t>of</w:t>
      </w:r>
      <w:r>
        <w:rPr>
          <w:spacing w:val="-3"/>
          <w:sz w:val="18"/>
          <w:vertAlign w:val="baseline"/>
        </w:rPr>
        <w:t> </w:t>
      </w:r>
      <w:r>
        <w:rPr>
          <w:sz w:val="18"/>
          <w:vertAlign w:val="baseline"/>
        </w:rPr>
        <w:t>Medicine.</w:t>
      </w:r>
      <w:r>
        <w:rPr>
          <w:spacing w:val="-2"/>
          <w:sz w:val="18"/>
          <w:vertAlign w:val="baseline"/>
        </w:rPr>
        <w:t> </w:t>
      </w:r>
      <w:r>
        <w:rPr>
          <w:sz w:val="18"/>
          <w:vertAlign w:val="baseline"/>
        </w:rPr>
        <w:t>2022.</w:t>
      </w:r>
      <w:r>
        <w:rPr>
          <w:spacing w:val="-3"/>
          <w:sz w:val="18"/>
          <w:vertAlign w:val="baseline"/>
        </w:rPr>
        <w:t> </w:t>
      </w:r>
      <w:r>
        <w:rPr>
          <w:sz w:val="18"/>
          <w:vertAlign w:val="baseline"/>
        </w:rPr>
        <w:t>“Female</w:t>
      </w:r>
      <w:r>
        <w:rPr>
          <w:spacing w:val="-3"/>
          <w:sz w:val="18"/>
          <w:vertAlign w:val="baseline"/>
        </w:rPr>
        <w:t> </w:t>
      </w:r>
      <w:r>
        <w:rPr>
          <w:sz w:val="18"/>
          <w:vertAlign w:val="baseline"/>
        </w:rPr>
        <w:t>condoms.”</w:t>
      </w:r>
      <w:r>
        <w:rPr>
          <w:spacing w:val="-2"/>
          <w:sz w:val="18"/>
          <w:vertAlign w:val="baseline"/>
        </w:rPr>
        <w:t> </w:t>
      </w:r>
      <w:hyperlink r:id="rId420">
        <w:r>
          <w:rPr>
            <w:color w:val="0000FF"/>
            <w:spacing w:val="-2"/>
            <w:sz w:val="18"/>
            <w:u w:val="single" w:color="0000FF"/>
            <w:vertAlign w:val="baseline"/>
          </w:rPr>
          <w:t>https://medlineplus.gov/ency/article/004002.htm</w:t>
        </w:r>
      </w:hyperlink>
      <w:hyperlink r:id="rId420">
        <w:r>
          <w:rPr>
            <w:color w:val="1153CC"/>
            <w:spacing w:val="-2"/>
            <w:sz w:val="18"/>
            <w:u w:val="none"/>
            <w:vertAlign w:val="baseline"/>
          </w:rPr>
          <w:t>.</w:t>
        </w:r>
      </w:hyperlink>
    </w:p>
    <w:p>
      <w:pPr>
        <w:spacing w:before="0"/>
        <w:ind w:left="363" w:right="235" w:firstLine="0"/>
        <w:jc w:val="left"/>
        <w:rPr>
          <w:sz w:val="18"/>
        </w:rPr>
      </w:pPr>
      <w:r>
        <w:rPr>
          <w:sz w:val="18"/>
          <w:vertAlign w:val="superscript"/>
        </w:rPr>
        <w:t>30</w:t>
      </w:r>
      <w:r>
        <w:rPr>
          <w:spacing w:val="-14"/>
          <w:sz w:val="18"/>
          <w:vertAlign w:val="baseline"/>
        </w:rPr>
        <w:t> </w:t>
      </w:r>
      <w:r>
        <w:rPr>
          <w:sz w:val="18"/>
          <w:vertAlign w:val="baseline"/>
        </w:rPr>
        <w:t>Planned</w:t>
      </w:r>
      <w:r>
        <w:rPr>
          <w:spacing w:val="-10"/>
          <w:sz w:val="18"/>
          <w:vertAlign w:val="baseline"/>
        </w:rPr>
        <w:t> </w:t>
      </w:r>
      <w:r>
        <w:rPr>
          <w:sz w:val="18"/>
          <w:vertAlign w:val="baseline"/>
        </w:rPr>
        <w:t>Parenthood.</w:t>
      </w:r>
      <w:r>
        <w:rPr>
          <w:spacing w:val="-5"/>
          <w:sz w:val="18"/>
          <w:vertAlign w:val="baseline"/>
        </w:rPr>
        <w:t> </w:t>
      </w:r>
      <w:r>
        <w:rPr>
          <w:sz w:val="18"/>
          <w:vertAlign w:val="baseline"/>
        </w:rPr>
        <w:t>“How</w:t>
      </w:r>
      <w:r>
        <w:rPr>
          <w:spacing w:val="-7"/>
          <w:sz w:val="18"/>
          <w:vertAlign w:val="baseline"/>
        </w:rPr>
        <w:t> </w:t>
      </w:r>
      <w:r>
        <w:rPr>
          <w:sz w:val="18"/>
          <w:vertAlign w:val="baseline"/>
        </w:rPr>
        <w:t>effective</w:t>
      </w:r>
      <w:r>
        <w:rPr>
          <w:spacing w:val="-6"/>
          <w:sz w:val="18"/>
          <w:vertAlign w:val="baseline"/>
        </w:rPr>
        <w:t> </w:t>
      </w:r>
      <w:r>
        <w:rPr>
          <w:sz w:val="18"/>
          <w:vertAlign w:val="baseline"/>
        </w:rPr>
        <w:t>are</w:t>
      </w:r>
      <w:r>
        <w:rPr>
          <w:spacing w:val="-6"/>
          <w:sz w:val="18"/>
          <w:vertAlign w:val="baseline"/>
        </w:rPr>
        <w:t> </w:t>
      </w:r>
      <w:r>
        <w:rPr>
          <w:sz w:val="18"/>
          <w:vertAlign w:val="baseline"/>
        </w:rPr>
        <w:t>condoms?”</w:t>
      </w:r>
      <w:r>
        <w:rPr>
          <w:spacing w:val="-7"/>
          <w:sz w:val="18"/>
          <w:vertAlign w:val="baseline"/>
        </w:rPr>
        <w:t> </w:t>
      </w:r>
      <w:hyperlink r:id="rId421">
        <w:r>
          <w:rPr>
            <w:color w:val="0000FF"/>
            <w:sz w:val="18"/>
            <w:u w:val="single" w:color="0000FF"/>
            <w:vertAlign w:val="baseline"/>
          </w:rPr>
          <w:t>https://www.plannedparenthood.org/learn/birth-control/condom/how-</w:t>
        </w:r>
      </w:hyperlink>
      <w:r>
        <w:rPr>
          <w:color w:val="0000FF"/>
          <w:sz w:val="18"/>
          <w:u w:val="none"/>
          <w:vertAlign w:val="baseline"/>
        </w:rPr>
        <w:t> </w:t>
      </w:r>
      <w:hyperlink r:id="rId421">
        <w:r>
          <w:rPr>
            <w:color w:val="0000FF"/>
            <w:spacing w:val="-2"/>
            <w:sz w:val="18"/>
            <w:u w:val="single" w:color="0000FF"/>
            <w:vertAlign w:val="baseline"/>
          </w:rPr>
          <w:t>effective-are-condoms</w:t>
        </w:r>
      </w:hyperlink>
      <w:hyperlink r:id="rId421">
        <w:r>
          <w:rPr>
            <w:color w:val="1153CC"/>
            <w:spacing w:val="-2"/>
            <w:sz w:val="18"/>
            <w:u w:val="none"/>
            <w:vertAlign w:val="baseline"/>
          </w:rPr>
          <w:t>.</w:t>
        </w:r>
      </w:hyperlink>
    </w:p>
    <w:p>
      <w:pPr>
        <w:spacing w:before="0"/>
        <w:ind w:left="363" w:right="0" w:firstLine="0"/>
        <w:jc w:val="left"/>
        <w:rPr>
          <w:sz w:val="18"/>
        </w:rPr>
      </w:pPr>
      <w:r>
        <w:rPr>
          <w:sz w:val="18"/>
          <w:vertAlign w:val="superscript"/>
        </w:rPr>
        <w:t>31</w:t>
      </w:r>
      <w:r>
        <w:rPr>
          <w:spacing w:val="-13"/>
          <w:sz w:val="18"/>
          <w:vertAlign w:val="baseline"/>
        </w:rPr>
        <w:t> </w:t>
      </w:r>
      <w:r>
        <w:rPr>
          <w:sz w:val="18"/>
          <w:vertAlign w:val="baseline"/>
        </w:rPr>
        <w:t>Bauer,</w:t>
      </w:r>
      <w:r>
        <w:rPr>
          <w:spacing w:val="-5"/>
          <w:sz w:val="18"/>
          <w:vertAlign w:val="baseline"/>
        </w:rPr>
        <w:t> </w:t>
      </w:r>
      <w:r>
        <w:rPr>
          <w:sz w:val="18"/>
          <w:vertAlign w:val="baseline"/>
        </w:rPr>
        <w:t>Elizabeth</w:t>
      </w:r>
      <w:r>
        <w:rPr>
          <w:spacing w:val="-2"/>
          <w:sz w:val="18"/>
          <w:vertAlign w:val="baseline"/>
        </w:rPr>
        <w:t> </w:t>
      </w:r>
      <w:r>
        <w:rPr>
          <w:sz w:val="18"/>
          <w:vertAlign w:val="baseline"/>
        </w:rPr>
        <w:t>Edmondson,</w:t>
      </w:r>
      <w:r>
        <w:rPr>
          <w:spacing w:val="-4"/>
          <w:sz w:val="18"/>
          <w:vertAlign w:val="baseline"/>
        </w:rPr>
        <w:t> </w:t>
      </w:r>
      <w:r>
        <w:rPr>
          <w:sz w:val="18"/>
          <w:vertAlign w:val="baseline"/>
        </w:rPr>
        <w:t>et</w:t>
      </w:r>
      <w:r>
        <w:rPr>
          <w:spacing w:val="-3"/>
          <w:sz w:val="18"/>
          <w:vertAlign w:val="baseline"/>
        </w:rPr>
        <w:t> </w:t>
      </w:r>
      <w:r>
        <w:rPr>
          <w:sz w:val="18"/>
          <w:vertAlign w:val="baseline"/>
        </w:rPr>
        <w:t>al.</w:t>
      </w:r>
      <w:r>
        <w:rPr>
          <w:spacing w:val="-2"/>
          <w:sz w:val="18"/>
          <w:vertAlign w:val="baseline"/>
        </w:rPr>
        <w:t> </w:t>
      </w:r>
      <w:r>
        <w:rPr>
          <w:sz w:val="18"/>
          <w:vertAlign w:val="baseline"/>
        </w:rPr>
        <w:t>“College-Aged</w:t>
      </w:r>
      <w:r>
        <w:rPr>
          <w:spacing w:val="-2"/>
          <w:sz w:val="18"/>
          <w:vertAlign w:val="baseline"/>
        </w:rPr>
        <w:t> </w:t>
      </w:r>
      <w:r>
        <w:rPr>
          <w:sz w:val="18"/>
          <w:vertAlign w:val="baseline"/>
        </w:rPr>
        <w:t>but</w:t>
      </w:r>
      <w:r>
        <w:rPr>
          <w:spacing w:val="-3"/>
          <w:sz w:val="18"/>
          <w:vertAlign w:val="baseline"/>
        </w:rPr>
        <w:t> </w:t>
      </w:r>
      <w:r>
        <w:rPr>
          <w:sz w:val="18"/>
          <w:vertAlign w:val="baseline"/>
        </w:rPr>
        <w:t>On</w:t>
      </w:r>
      <w:r>
        <w:rPr>
          <w:spacing w:val="-2"/>
          <w:sz w:val="18"/>
          <w:vertAlign w:val="baseline"/>
        </w:rPr>
        <w:t> </w:t>
      </w:r>
      <w:r>
        <w:rPr>
          <w:sz w:val="18"/>
          <w:vertAlign w:val="baseline"/>
        </w:rPr>
        <w:t>the</w:t>
      </w:r>
      <w:r>
        <w:rPr>
          <w:spacing w:val="-2"/>
          <w:sz w:val="18"/>
          <w:vertAlign w:val="baseline"/>
        </w:rPr>
        <w:t> </w:t>
      </w:r>
      <w:r>
        <w:rPr>
          <w:sz w:val="18"/>
          <w:vertAlign w:val="baseline"/>
        </w:rPr>
        <w:t>Streets:</w:t>
      </w:r>
      <w:r>
        <w:rPr>
          <w:spacing w:val="-2"/>
          <w:sz w:val="18"/>
          <w:vertAlign w:val="baseline"/>
        </w:rPr>
        <w:t> </w:t>
      </w:r>
      <w:r>
        <w:rPr>
          <w:sz w:val="18"/>
          <w:vertAlign w:val="baseline"/>
        </w:rPr>
        <w:t>Young</w:t>
      </w:r>
      <w:r>
        <w:rPr>
          <w:spacing w:val="-2"/>
          <w:sz w:val="18"/>
          <w:vertAlign w:val="baseline"/>
        </w:rPr>
        <w:t> </w:t>
      </w:r>
      <w:r>
        <w:rPr>
          <w:sz w:val="18"/>
          <w:vertAlign w:val="baseline"/>
        </w:rPr>
        <w:t>Adults</w:t>
      </w:r>
      <w:r>
        <w:rPr>
          <w:spacing w:val="-2"/>
          <w:sz w:val="18"/>
          <w:vertAlign w:val="baseline"/>
        </w:rPr>
        <w:t> </w:t>
      </w:r>
      <w:r>
        <w:rPr>
          <w:sz w:val="18"/>
          <w:vertAlign w:val="baseline"/>
        </w:rPr>
        <w:t>Who</w:t>
      </w:r>
      <w:r>
        <w:rPr>
          <w:spacing w:val="-2"/>
          <w:sz w:val="18"/>
          <w:vertAlign w:val="baseline"/>
        </w:rPr>
        <w:t> </w:t>
      </w:r>
      <w:r>
        <w:rPr>
          <w:sz w:val="18"/>
          <w:vertAlign w:val="baseline"/>
        </w:rPr>
        <w:t>Experience</w:t>
      </w:r>
      <w:r>
        <w:rPr>
          <w:spacing w:val="-2"/>
          <w:sz w:val="18"/>
          <w:vertAlign w:val="baseline"/>
        </w:rPr>
        <w:t> </w:t>
      </w:r>
      <w:r>
        <w:rPr>
          <w:sz w:val="18"/>
          <w:vertAlign w:val="baseline"/>
        </w:rPr>
        <w:t>Homelessness</w:t>
      </w:r>
      <w:r>
        <w:rPr>
          <w:spacing w:val="-2"/>
          <w:sz w:val="18"/>
          <w:vertAlign w:val="baseline"/>
        </w:rPr>
        <w:t> </w:t>
      </w:r>
      <w:r>
        <w:rPr>
          <w:sz w:val="18"/>
          <w:vertAlign w:val="baseline"/>
        </w:rPr>
        <w:t>and</w:t>
      </w:r>
      <w:r>
        <w:rPr>
          <w:spacing w:val="-2"/>
          <w:sz w:val="18"/>
          <w:vertAlign w:val="baseline"/>
        </w:rPr>
        <w:t> </w:t>
      </w:r>
      <w:r>
        <w:rPr>
          <w:sz w:val="18"/>
          <w:vertAlign w:val="baseline"/>
        </w:rPr>
        <w:t>Sexual Violence,” page 5. National Sexual Assault Coalition Resource Sharing Project. </w:t>
      </w:r>
      <w:hyperlink r:id="rId422">
        <w:r>
          <w:rPr>
            <w:color w:val="0000FF"/>
            <w:sz w:val="18"/>
            <w:u w:val="single" w:color="0000FF"/>
            <w:vertAlign w:val="baseline"/>
          </w:rPr>
          <w:t>https://evawintl.org/wp-</w:t>
        </w:r>
      </w:hyperlink>
      <w:r>
        <w:rPr>
          <w:color w:val="0000FF"/>
          <w:sz w:val="18"/>
          <w:u w:val="none"/>
          <w:vertAlign w:val="baseline"/>
        </w:rPr>
        <w:t> </w:t>
      </w:r>
      <w:hyperlink r:id="rId422">
        <w:r>
          <w:rPr>
            <w:color w:val="0000FF"/>
            <w:spacing w:val="-2"/>
            <w:sz w:val="18"/>
            <w:u w:val="single" w:color="0000FF"/>
            <w:vertAlign w:val="baseline"/>
          </w:rPr>
          <w:t>content/uploads/YoungAdultsWhoExperienceHomelessnessandSexualViolenceMay2017.pd</w:t>
        </w:r>
      </w:hyperlink>
      <w:hyperlink r:id="rId422">
        <w:r>
          <w:rPr>
            <w:color w:val="0000FF"/>
            <w:spacing w:val="-2"/>
            <w:sz w:val="18"/>
            <w:u w:val="single" w:color="0000FF"/>
            <w:vertAlign w:val="baseline"/>
          </w:rPr>
          <w:t>f</w:t>
        </w:r>
        <w:r>
          <w:rPr>
            <w:spacing w:val="-2"/>
            <w:sz w:val="18"/>
            <w:u w:val="none"/>
            <w:vertAlign w:val="baseline"/>
          </w:rPr>
          <w:t>.</w:t>
        </w:r>
      </w:hyperlink>
    </w:p>
    <w:p>
      <w:pPr>
        <w:spacing w:before="0"/>
        <w:ind w:left="363" w:right="91" w:hanging="1"/>
        <w:jc w:val="left"/>
        <w:rPr>
          <w:sz w:val="18"/>
        </w:rPr>
      </w:pPr>
      <w:r>
        <w:rPr>
          <w:sz w:val="18"/>
          <w:vertAlign w:val="superscript"/>
        </w:rPr>
        <w:t>32</w:t>
      </w:r>
      <w:r>
        <w:rPr>
          <w:spacing w:val="-13"/>
          <w:sz w:val="18"/>
          <w:vertAlign w:val="baseline"/>
        </w:rPr>
        <w:t> </w:t>
      </w:r>
      <w:r>
        <w:rPr>
          <w:sz w:val="18"/>
          <w:vertAlign w:val="baseline"/>
        </w:rPr>
        <w:t>Marie</w:t>
      </w:r>
      <w:r>
        <w:rPr>
          <w:spacing w:val="-4"/>
          <w:sz w:val="18"/>
          <w:vertAlign w:val="baseline"/>
        </w:rPr>
        <w:t> </w:t>
      </w:r>
      <w:r>
        <w:rPr>
          <w:sz w:val="18"/>
          <w:vertAlign w:val="baseline"/>
        </w:rPr>
        <w:t>Lippmann,</w:t>
      </w:r>
      <w:r>
        <w:rPr>
          <w:spacing w:val="-3"/>
          <w:sz w:val="18"/>
          <w:vertAlign w:val="baseline"/>
        </w:rPr>
        <w:t> </w:t>
      </w:r>
      <w:r>
        <w:rPr>
          <w:sz w:val="18"/>
          <w:vertAlign w:val="baseline"/>
        </w:rPr>
        <w:t>Natalie</w:t>
      </w:r>
      <w:r>
        <w:rPr>
          <w:spacing w:val="-3"/>
          <w:sz w:val="18"/>
          <w:vertAlign w:val="baseline"/>
        </w:rPr>
        <w:t> </w:t>
      </w:r>
      <w:r>
        <w:rPr>
          <w:sz w:val="18"/>
          <w:vertAlign w:val="baseline"/>
        </w:rPr>
        <w:t>Lawlor,</w:t>
      </w:r>
      <w:r>
        <w:rPr>
          <w:spacing w:val="-3"/>
          <w:sz w:val="18"/>
          <w:vertAlign w:val="baseline"/>
        </w:rPr>
        <w:t> </w:t>
      </w:r>
      <w:r>
        <w:rPr>
          <w:sz w:val="18"/>
          <w:vertAlign w:val="baseline"/>
        </w:rPr>
        <w:t>and</w:t>
      </w:r>
      <w:r>
        <w:rPr>
          <w:spacing w:val="-3"/>
          <w:sz w:val="18"/>
          <w:vertAlign w:val="baseline"/>
        </w:rPr>
        <w:t> </w:t>
      </w:r>
      <w:r>
        <w:rPr>
          <w:sz w:val="18"/>
          <w:vertAlign w:val="baseline"/>
        </w:rPr>
        <w:t>Christine</w:t>
      </w:r>
      <w:r>
        <w:rPr>
          <w:spacing w:val="-3"/>
          <w:sz w:val="18"/>
          <w:vertAlign w:val="baseline"/>
        </w:rPr>
        <w:t> </w:t>
      </w:r>
      <w:r>
        <w:rPr>
          <w:sz w:val="18"/>
          <w:vertAlign w:val="baseline"/>
        </w:rPr>
        <w:t>E.</w:t>
      </w:r>
      <w:r>
        <w:rPr>
          <w:spacing w:val="-3"/>
          <w:sz w:val="18"/>
          <w:vertAlign w:val="baseline"/>
        </w:rPr>
        <w:t> </w:t>
      </w:r>
      <w:r>
        <w:rPr>
          <w:sz w:val="18"/>
          <w:vertAlign w:val="baseline"/>
        </w:rPr>
        <w:t>Leistner,</w:t>
      </w:r>
      <w:r>
        <w:rPr>
          <w:spacing w:val="-3"/>
          <w:sz w:val="18"/>
          <w:vertAlign w:val="baseline"/>
        </w:rPr>
        <w:t> </w:t>
      </w:r>
      <w:r>
        <w:rPr>
          <w:sz w:val="18"/>
          <w:vertAlign w:val="baseline"/>
        </w:rPr>
        <w:t>“Learning</w:t>
      </w:r>
      <w:r>
        <w:rPr>
          <w:spacing w:val="-3"/>
          <w:sz w:val="18"/>
          <w:vertAlign w:val="baseline"/>
        </w:rPr>
        <w:t> </w:t>
      </w:r>
      <w:r>
        <w:rPr>
          <w:sz w:val="18"/>
          <w:vertAlign w:val="baseline"/>
        </w:rPr>
        <w:t>on</w:t>
      </w:r>
      <w:r>
        <w:rPr>
          <w:spacing w:val="-3"/>
          <w:sz w:val="18"/>
          <w:vertAlign w:val="baseline"/>
        </w:rPr>
        <w:t> </w:t>
      </w:r>
      <w:r>
        <w:rPr>
          <w:sz w:val="18"/>
          <w:vertAlign w:val="baseline"/>
        </w:rPr>
        <w:t>OnlyFans:</w:t>
      </w:r>
      <w:r>
        <w:rPr>
          <w:spacing w:val="-3"/>
          <w:sz w:val="18"/>
          <w:vertAlign w:val="baseline"/>
        </w:rPr>
        <w:t> </w:t>
      </w:r>
      <w:r>
        <w:rPr>
          <w:sz w:val="18"/>
          <w:vertAlign w:val="baseline"/>
        </w:rPr>
        <w:t>User</w:t>
      </w:r>
      <w:r>
        <w:rPr>
          <w:spacing w:val="-3"/>
          <w:sz w:val="18"/>
          <w:vertAlign w:val="baseline"/>
        </w:rPr>
        <w:t> </w:t>
      </w:r>
      <w:r>
        <w:rPr>
          <w:sz w:val="18"/>
          <w:vertAlign w:val="baseline"/>
        </w:rPr>
        <w:t>Perspectives</w:t>
      </w:r>
      <w:r>
        <w:rPr>
          <w:spacing w:val="-3"/>
          <w:sz w:val="18"/>
          <w:vertAlign w:val="baseline"/>
        </w:rPr>
        <w:t> </w:t>
      </w:r>
      <w:r>
        <w:rPr>
          <w:sz w:val="18"/>
          <w:vertAlign w:val="baseline"/>
        </w:rPr>
        <w:t>on</w:t>
      </w:r>
      <w:r>
        <w:rPr>
          <w:spacing w:val="-3"/>
          <w:sz w:val="18"/>
          <w:vertAlign w:val="baseline"/>
        </w:rPr>
        <w:t> </w:t>
      </w:r>
      <w:r>
        <w:rPr>
          <w:sz w:val="18"/>
          <w:vertAlign w:val="baseline"/>
        </w:rPr>
        <w:t>Knowledge</w:t>
      </w:r>
      <w:r>
        <w:rPr>
          <w:spacing w:val="-3"/>
          <w:sz w:val="18"/>
          <w:vertAlign w:val="baseline"/>
        </w:rPr>
        <w:t> </w:t>
      </w:r>
      <w:r>
        <w:rPr>
          <w:sz w:val="18"/>
          <w:vertAlign w:val="baseline"/>
        </w:rPr>
        <w:t>and</w:t>
      </w:r>
      <w:r>
        <w:rPr>
          <w:spacing w:val="-3"/>
          <w:sz w:val="18"/>
          <w:vertAlign w:val="baseline"/>
        </w:rPr>
        <w:t> </w:t>
      </w:r>
      <w:r>
        <w:rPr>
          <w:sz w:val="18"/>
          <w:vertAlign w:val="baseline"/>
        </w:rPr>
        <w:t>Skills Acquired on the Platform,” </w:t>
      </w:r>
      <w:r>
        <w:rPr>
          <w:i/>
          <w:sz w:val="18"/>
          <w:vertAlign w:val="baseline"/>
        </w:rPr>
        <w:t>Sexuality &amp; Culture</w:t>
      </w:r>
      <w:r>
        <w:rPr>
          <w:sz w:val="18"/>
          <w:vertAlign w:val="baseline"/>
        </w:rPr>
        <w:t>, January 9, 2023, https://doi.org/10.1007/s12119-022-10060-0.</w:t>
      </w:r>
    </w:p>
    <w:p>
      <w:pPr>
        <w:spacing w:after="0"/>
        <w:jc w:val="left"/>
        <w:rPr>
          <w:sz w:val="18"/>
        </w:rPr>
        <w:sectPr>
          <w:pgSz w:w="12240" w:h="15840"/>
          <w:pgMar w:header="763" w:footer="1339" w:top="1180" w:bottom="1560" w:left="1080" w:right="1240"/>
        </w:sectPr>
      </w:pPr>
    </w:p>
    <w:p>
      <w:pPr>
        <w:spacing w:before="68"/>
        <w:ind w:left="363" w:right="77" w:hanging="1"/>
        <w:jc w:val="left"/>
        <w:rPr>
          <w:sz w:val="18"/>
        </w:rPr>
      </w:pPr>
      <w:r>
        <w:rPr>
          <w:sz w:val="18"/>
          <w:vertAlign w:val="superscript"/>
        </w:rPr>
        <w:t>33</w:t>
      </w:r>
      <w:r>
        <w:rPr>
          <w:spacing w:val="-13"/>
          <w:sz w:val="18"/>
          <w:vertAlign w:val="baseline"/>
        </w:rPr>
        <w:t> </w:t>
      </w:r>
      <w:r>
        <w:rPr>
          <w:sz w:val="18"/>
          <w:vertAlign w:val="baseline"/>
        </w:rPr>
        <w:t>Margaret</w:t>
      </w:r>
      <w:r>
        <w:rPr>
          <w:spacing w:val="-4"/>
          <w:sz w:val="18"/>
          <w:vertAlign w:val="baseline"/>
        </w:rPr>
        <w:t> </w:t>
      </w:r>
      <w:r>
        <w:rPr>
          <w:sz w:val="18"/>
          <w:vertAlign w:val="baseline"/>
        </w:rPr>
        <w:t>H</w:t>
      </w:r>
      <w:r>
        <w:rPr>
          <w:spacing w:val="-3"/>
          <w:sz w:val="18"/>
          <w:vertAlign w:val="baseline"/>
        </w:rPr>
        <w:t> </w:t>
      </w:r>
      <w:r>
        <w:rPr>
          <w:sz w:val="18"/>
          <w:vertAlign w:val="baseline"/>
        </w:rPr>
        <w:t>Wurth</w:t>
      </w:r>
      <w:r>
        <w:rPr>
          <w:spacing w:val="-2"/>
          <w:sz w:val="18"/>
          <w:vertAlign w:val="baseline"/>
        </w:rPr>
        <w:t> </w:t>
      </w:r>
      <w:r>
        <w:rPr>
          <w:sz w:val="18"/>
          <w:vertAlign w:val="baseline"/>
        </w:rPr>
        <w:t>et</w:t>
      </w:r>
      <w:r>
        <w:rPr>
          <w:spacing w:val="-3"/>
          <w:sz w:val="18"/>
          <w:vertAlign w:val="baseline"/>
        </w:rPr>
        <w:t> </w:t>
      </w:r>
      <w:r>
        <w:rPr>
          <w:sz w:val="18"/>
          <w:vertAlign w:val="baseline"/>
        </w:rPr>
        <w:t>al.,</w:t>
      </w:r>
      <w:r>
        <w:rPr>
          <w:spacing w:val="-3"/>
          <w:sz w:val="18"/>
          <w:vertAlign w:val="baseline"/>
        </w:rPr>
        <w:t> </w:t>
      </w:r>
      <w:r>
        <w:rPr>
          <w:sz w:val="18"/>
          <w:vertAlign w:val="baseline"/>
        </w:rPr>
        <w:t>“Condoms</w:t>
      </w:r>
      <w:r>
        <w:rPr>
          <w:spacing w:val="-2"/>
          <w:sz w:val="18"/>
          <w:vertAlign w:val="baseline"/>
        </w:rPr>
        <w:t> </w:t>
      </w:r>
      <w:r>
        <w:rPr>
          <w:sz w:val="18"/>
          <w:vertAlign w:val="baseline"/>
        </w:rPr>
        <w:t>as</w:t>
      </w:r>
      <w:r>
        <w:rPr>
          <w:spacing w:val="-2"/>
          <w:sz w:val="18"/>
          <w:vertAlign w:val="baseline"/>
        </w:rPr>
        <w:t> </w:t>
      </w:r>
      <w:r>
        <w:rPr>
          <w:sz w:val="18"/>
          <w:vertAlign w:val="baseline"/>
        </w:rPr>
        <w:t>Evidence</w:t>
      </w:r>
      <w:r>
        <w:rPr>
          <w:spacing w:val="-2"/>
          <w:sz w:val="18"/>
          <w:vertAlign w:val="baseline"/>
        </w:rPr>
        <w:t> </w:t>
      </w:r>
      <w:r>
        <w:rPr>
          <w:sz w:val="18"/>
          <w:vertAlign w:val="baseline"/>
        </w:rPr>
        <w:t>of</w:t>
      </w:r>
      <w:r>
        <w:rPr>
          <w:spacing w:val="-2"/>
          <w:sz w:val="18"/>
          <w:vertAlign w:val="baseline"/>
        </w:rPr>
        <w:t> </w:t>
      </w:r>
      <w:r>
        <w:rPr>
          <w:sz w:val="18"/>
          <w:vertAlign w:val="baseline"/>
        </w:rPr>
        <w:t>Prostitution</w:t>
      </w:r>
      <w:r>
        <w:rPr>
          <w:spacing w:val="-2"/>
          <w:sz w:val="18"/>
          <w:vertAlign w:val="baseline"/>
        </w:rPr>
        <w:t> </w:t>
      </w:r>
      <w:r>
        <w:rPr>
          <w:sz w:val="18"/>
          <w:vertAlign w:val="baseline"/>
        </w:rPr>
        <w:t>in</w:t>
      </w:r>
      <w:r>
        <w:rPr>
          <w:spacing w:val="-2"/>
          <w:sz w:val="18"/>
          <w:vertAlign w:val="baseline"/>
        </w:rPr>
        <w:t> </w:t>
      </w:r>
      <w:r>
        <w:rPr>
          <w:sz w:val="18"/>
          <w:vertAlign w:val="baseline"/>
        </w:rPr>
        <w:t>the</w:t>
      </w:r>
      <w:r>
        <w:rPr>
          <w:spacing w:val="-2"/>
          <w:sz w:val="18"/>
          <w:vertAlign w:val="baseline"/>
        </w:rPr>
        <w:t> </w:t>
      </w:r>
      <w:r>
        <w:rPr>
          <w:sz w:val="18"/>
          <w:vertAlign w:val="baseline"/>
        </w:rPr>
        <w:t>United</w:t>
      </w:r>
      <w:r>
        <w:rPr>
          <w:spacing w:val="-2"/>
          <w:sz w:val="18"/>
          <w:vertAlign w:val="baseline"/>
        </w:rPr>
        <w:t> </w:t>
      </w:r>
      <w:r>
        <w:rPr>
          <w:sz w:val="18"/>
          <w:vertAlign w:val="baseline"/>
        </w:rPr>
        <w:t>States</w:t>
      </w:r>
      <w:r>
        <w:rPr>
          <w:spacing w:val="-2"/>
          <w:sz w:val="18"/>
          <w:vertAlign w:val="baseline"/>
        </w:rPr>
        <w:t> </w:t>
      </w:r>
      <w:r>
        <w:rPr>
          <w:sz w:val="18"/>
          <w:vertAlign w:val="baseline"/>
        </w:rPr>
        <w:t>and</w:t>
      </w:r>
      <w:r>
        <w:rPr>
          <w:spacing w:val="-2"/>
          <w:sz w:val="18"/>
          <w:vertAlign w:val="baseline"/>
        </w:rPr>
        <w:t> </w:t>
      </w:r>
      <w:r>
        <w:rPr>
          <w:sz w:val="18"/>
          <w:vertAlign w:val="baseline"/>
        </w:rPr>
        <w:t>the</w:t>
      </w:r>
      <w:r>
        <w:rPr>
          <w:spacing w:val="-2"/>
          <w:sz w:val="18"/>
          <w:vertAlign w:val="baseline"/>
        </w:rPr>
        <w:t> </w:t>
      </w:r>
      <w:r>
        <w:rPr>
          <w:sz w:val="18"/>
          <w:vertAlign w:val="baseline"/>
        </w:rPr>
        <w:t>Criminalization</w:t>
      </w:r>
      <w:r>
        <w:rPr>
          <w:spacing w:val="-2"/>
          <w:sz w:val="18"/>
          <w:vertAlign w:val="baseline"/>
        </w:rPr>
        <w:t> </w:t>
      </w:r>
      <w:r>
        <w:rPr>
          <w:sz w:val="18"/>
          <w:vertAlign w:val="baseline"/>
        </w:rPr>
        <w:t>of</w:t>
      </w:r>
      <w:r>
        <w:rPr>
          <w:spacing w:val="-2"/>
          <w:sz w:val="18"/>
          <w:vertAlign w:val="baseline"/>
        </w:rPr>
        <w:t> </w:t>
      </w:r>
      <w:r>
        <w:rPr>
          <w:sz w:val="18"/>
          <w:vertAlign w:val="baseline"/>
        </w:rPr>
        <w:t>Sex</w:t>
      </w:r>
      <w:r>
        <w:rPr>
          <w:spacing w:val="-2"/>
          <w:sz w:val="18"/>
          <w:vertAlign w:val="baseline"/>
        </w:rPr>
        <w:t> </w:t>
      </w:r>
      <w:r>
        <w:rPr>
          <w:sz w:val="18"/>
          <w:vertAlign w:val="baseline"/>
        </w:rPr>
        <w:t>Work,” </w:t>
      </w:r>
      <w:r>
        <w:rPr>
          <w:i/>
          <w:sz w:val="18"/>
          <w:vertAlign w:val="baseline"/>
        </w:rPr>
        <w:t>Journal of the International AIDS Society </w:t>
      </w:r>
      <w:r>
        <w:rPr>
          <w:sz w:val="18"/>
          <w:vertAlign w:val="baseline"/>
        </w:rPr>
        <w:t>16, no. 1 (May 24, 2013): 10.7448/IAS.16.1.18626, </w:t>
      </w:r>
      <w:r>
        <w:rPr>
          <w:spacing w:val="-2"/>
          <w:sz w:val="18"/>
          <w:vertAlign w:val="baseline"/>
        </w:rPr>
        <w:t>https://doi.org/10.7448/IAS.16.1.18626.</w:t>
      </w:r>
    </w:p>
    <w:p>
      <w:pPr>
        <w:spacing w:before="0"/>
        <w:ind w:left="363" w:right="222" w:firstLine="0"/>
        <w:jc w:val="left"/>
        <w:rPr>
          <w:sz w:val="18"/>
        </w:rPr>
      </w:pPr>
      <w:r>
        <w:rPr>
          <w:sz w:val="18"/>
          <w:vertAlign w:val="superscript"/>
        </w:rPr>
        <w:t>34</w:t>
      </w:r>
      <w:r>
        <w:rPr>
          <w:spacing w:val="-10"/>
          <w:sz w:val="18"/>
          <w:vertAlign w:val="baseline"/>
        </w:rPr>
        <w:t> </w:t>
      </w:r>
      <w:r>
        <w:rPr>
          <w:sz w:val="18"/>
          <w:vertAlign w:val="baseline"/>
        </w:rPr>
        <w:t>Rula V. Kanj et al., “Hormonal Contraceptive Choices in a Clinic-Based Series of Transgender Adolescents and Young Adults,” </w:t>
      </w:r>
      <w:r>
        <w:rPr>
          <w:i/>
          <w:sz w:val="18"/>
          <w:vertAlign w:val="baseline"/>
        </w:rPr>
        <w:t>The</w:t>
      </w:r>
      <w:r>
        <w:rPr>
          <w:i/>
          <w:spacing w:val="-3"/>
          <w:sz w:val="18"/>
          <w:vertAlign w:val="baseline"/>
        </w:rPr>
        <w:t> </w:t>
      </w:r>
      <w:r>
        <w:rPr>
          <w:i/>
          <w:sz w:val="18"/>
          <w:vertAlign w:val="baseline"/>
        </w:rPr>
        <w:t>International</w:t>
      </w:r>
      <w:r>
        <w:rPr>
          <w:i/>
          <w:spacing w:val="-4"/>
          <w:sz w:val="18"/>
          <w:vertAlign w:val="baseline"/>
        </w:rPr>
        <w:t> </w:t>
      </w:r>
      <w:r>
        <w:rPr>
          <w:i/>
          <w:sz w:val="18"/>
          <w:vertAlign w:val="baseline"/>
        </w:rPr>
        <w:t>Journal</w:t>
      </w:r>
      <w:r>
        <w:rPr>
          <w:i/>
          <w:spacing w:val="-4"/>
          <w:sz w:val="18"/>
          <w:vertAlign w:val="baseline"/>
        </w:rPr>
        <w:t> </w:t>
      </w:r>
      <w:r>
        <w:rPr>
          <w:i/>
          <w:sz w:val="18"/>
          <w:vertAlign w:val="baseline"/>
        </w:rPr>
        <w:t>of</w:t>
      </w:r>
      <w:r>
        <w:rPr>
          <w:i/>
          <w:spacing w:val="-3"/>
          <w:sz w:val="18"/>
          <w:vertAlign w:val="baseline"/>
        </w:rPr>
        <w:t> </w:t>
      </w:r>
      <w:r>
        <w:rPr>
          <w:i/>
          <w:sz w:val="18"/>
          <w:vertAlign w:val="baseline"/>
        </w:rPr>
        <w:t>Transgenderism</w:t>
      </w:r>
      <w:r>
        <w:rPr>
          <w:i/>
          <w:spacing w:val="-3"/>
          <w:sz w:val="18"/>
          <w:vertAlign w:val="baseline"/>
        </w:rPr>
        <w:t> </w:t>
      </w:r>
      <w:r>
        <w:rPr>
          <w:sz w:val="18"/>
          <w:vertAlign w:val="baseline"/>
        </w:rPr>
        <w:t>20,</w:t>
      </w:r>
      <w:r>
        <w:rPr>
          <w:spacing w:val="-3"/>
          <w:sz w:val="18"/>
          <w:vertAlign w:val="baseline"/>
        </w:rPr>
        <w:t> </w:t>
      </w:r>
      <w:r>
        <w:rPr>
          <w:sz w:val="18"/>
          <w:vertAlign w:val="baseline"/>
        </w:rPr>
        <w:t>no.</w:t>
      </w:r>
      <w:r>
        <w:rPr>
          <w:spacing w:val="-3"/>
          <w:sz w:val="18"/>
          <w:vertAlign w:val="baseline"/>
        </w:rPr>
        <w:t> </w:t>
      </w:r>
      <w:r>
        <w:rPr>
          <w:sz w:val="18"/>
          <w:vertAlign w:val="baseline"/>
        </w:rPr>
        <w:t>4</w:t>
      </w:r>
      <w:r>
        <w:rPr>
          <w:spacing w:val="-3"/>
          <w:sz w:val="18"/>
          <w:vertAlign w:val="baseline"/>
        </w:rPr>
        <w:t> </w:t>
      </w:r>
      <w:r>
        <w:rPr>
          <w:sz w:val="18"/>
          <w:vertAlign w:val="baseline"/>
        </w:rPr>
        <w:t>(July</w:t>
      </w:r>
      <w:r>
        <w:rPr>
          <w:spacing w:val="-3"/>
          <w:sz w:val="18"/>
          <w:vertAlign w:val="baseline"/>
        </w:rPr>
        <w:t> </w:t>
      </w:r>
      <w:r>
        <w:rPr>
          <w:sz w:val="18"/>
          <w:vertAlign w:val="baseline"/>
        </w:rPr>
        <w:t>1,</w:t>
      </w:r>
      <w:r>
        <w:rPr>
          <w:spacing w:val="-4"/>
          <w:sz w:val="18"/>
          <w:vertAlign w:val="baseline"/>
        </w:rPr>
        <w:t> </w:t>
      </w:r>
      <w:r>
        <w:rPr>
          <w:sz w:val="18"/>
          <w:vertAlign w:val="baseline"/>
        </w:rPr>
        <w:t>2019):</w:t>
      </w:r>
      <w:r>
        <w:rPr>
          <w:spacing w:val="-3"/>
          <w:sz w:val="18"/>
          <w:vertAlign w:val="baseline"/>
        </w:rPr>
        <w:t> </w:t>
      </w:r>
      <w:r>
        <w:rPr>
          <w:sz w:val="18"/>
          <w:vertAlign w:val="baseline"/>
        </w:rPr>
        <w:t>413–20,</w:t>
      </w:r>
      <w:r>
        <w:rPr>
          <w:spacing w:val="-4"/>
          <w:sz w:val="18"/>
          <w:vertAlign w:val="baseline"/>
        </w:rPr>
        <w:t> </w:t>
      </w:r>
      <w:r>
        <w:rPr>
          <w:sz w:val="18"/>
          <w:vertAlign w:val="baseline"/>
        </w:rPr>
        <w:t>https://doi.org/10.1080/15532739.2019.1631929. </w:t>
      </w:r>
      <w:r>
        <w:rPr>
          <w:sz w:val="18"/>
          <w:vertAlign w:val="superscript"/>
        </w:rPr>
        <w:t>35</w:t>
      </w:r>
      <w:r>
        <w:rPr>
          <w:spacing w:val="-13"/>
          <w:sz w:val="18"/>
          <w:vertAlign w:val="baseline"/>
        </w:rPr>
        <w:t> </w:t>
      </w:r>
      <w:r>
        <w:rPr>
          <w:sz w:val="18"/>
          <w:vertAlign w:val="baseline"/>
        </w:rPr>
        <w:t>A.</w:t>
      </w:r>
      <w:r>
        <w:rPr>
          <w:spacing w:val="-4"/>
          <w:sz w:val="18"/>
          <w:vertAlign w:val="baseline"/>
        </w:rPr>
        <w:t> </w:t>
      </w:r>
      <w:r>
        <w:rPr>
          <w:sz w:val="18"/>
          <w:vertAlign w:val="baseline"/>
        </w:rPr>
        <w:t>Francis,</w:t>
      </w:r>
      <w:r>
        <w:rPr>
          <w:spacing w:val="-3"/>
          <w:sz w:val="18"/>
          <w:vertAlign w:val="baseline"/>
        </w:rPr>
        <w:t> </w:t>
      </w:r>
      <w:r>
        <w:rPr>
          <w:sz w:val="18"/>
          <w:vertAlign w:val="baseline"/>
        </w:rPr>
        <w:t>S.</w:t>
      </w:r>
      <w:r>
        <w:rPr>
          <w:spacing w:val="-2"/>
          <w:sz w:val="18"/>
          <w:vertAlign w:val="baseline"/>
        </w:rPr>
        <w:t> </w:t>
      </w:r>
      <w:r>
        <w:rPr>
          <w:sz w:val="18"/>
          <w:vertAlign w:val="baseline"/>
        </w:rPr>
        <w:t>Jasani,</w:t>
      </w:r>
      <w:r>
        <w:rPr>
          <w:spacing w:val="-3"/>
          <w:sz w:val="18"/>
          <w:vertAlign w:val="baseline"/>
        </w:rPr>
        <w:t> </w:t>
      </w:r>
      <w:r>
        <w:rPr>
          <w:sz w:val="18"/>
          <w:vertAlign w:val="baseline"/>
        </w:rPr>
        <w:t>and</w:t>
      </w:r>
      <w:r>
        <w:rPr>
          <w:spacing w:val="-2"/>
          <w:sz w:val="18"/>
          <w:vertAlign w:val="baseline"/>
        </w:rPr>
        <w:t> </w:t>
      </w:r>
      <w:r>
        <w:rPr>
          <w:sz w:val="18"/>
          <w:vertAlign w:val="baseline"/>
        </w:rPr>
        <w:t>G.</w:t>
      </w:r>
      <w:r>
        <w:rPr>
          <w:spacing w:val="-3"/>
          <w:sz w:val="18"/>
          <w:vertAlign w:val="baseline"/>
        </w:rPr>
        <w:t> </w:t>
      </w:r>
      <w:r>
        <w:rPr>
          <w:sz w:val="18"/>
          <w:vertAlign w:val="baseline"/>
        </w:rPr>
        <w:t>Bachmann,</w:t>
      </w:r>
      <w:r>
        <w:rPr>
          <w:spacing w:val="-3"/>
          <w:sz w:val="18"/>
          <w:vertAlign w:val="baseline"/>
        </w:rPr>
        <w:t> </w:t>
      </w:r>
      <w:r>
        <w:rPr>
          <w:sz w:val="18"/>
          <w:vertAlign w:val="baseline"/>
        </w:rPr>
        <w:t>“Contraceptive</w:t>
      </w:r>
      <w:r>
        <w:rPr>
          <w:spacing w:val="-2"/>
          <w:sz w:val="18"/>
          <w:vertAlign w:val="baseline"/>
        </w:rPr>
        <w:t> </w:t>
      </w:r>
      <w:r>
        <w:rPr>
          <w:sz w:val="18"/>
          <w:vertAlign w:val="baseline"/>
        </w:rPr>
        <w:t>Challenges</w:t>
      </w:r>
      <w:r>
        <w:rPr>
          <w:spacing w:val="-2"/>
          <w:sz w:val="18"/>
          <w:vertAlign w:val="baseline"/>
        </w:rPr>
        <w:t> </w:t>
      </w:r>
      <w:r>
        <w:rPr>
          <w:sz w:val="18"/>
          <w:vertAlign w:val="baseline"/>
        </w:rPr>
        <w:t>and</w:t>
      </w:r>
      <w:r>
        <w:rPr>
          <w:spacing w:val="-2"/>
          <w:sz w:val="18"/>
          <w:vertAlign w:val="baseline"/>
        </w:rPr>
        <w:t> </w:t>
      </w:r>
      <w:r>
        <w:rPr>
          <w:sz w:val="18"/>
          <w:vertAlign w:val="baseline"/>
        </w:rPr>
        <w:t>the</w:t>
      </w:r>
      <w:r>
        <w:rPr>
          <w:spacing w:val="-2"/>
          <w:sz w:val="18"/>
          <w:vertAlign w:val="baseline"/>
        </w:rPr>
        <w:t> </w:t>
      </w:r>
      <w:r>
        <w:rPr>
          <w:sz w:val="18"/>
          <w:vertAlign w:val="baseline"/>
        </w:rPr>
        <w:t>Transgender</w:t>
      </w:r>
      <w:r>
        <w:rPr>
          <w:spacing w:val="-3"/>
          <w:sz w:val="18"/>
          <w:vertAlign w:val="baseline"/>
        </w:rPr>
        <w:t> </w:t>
      </w:r>
      <w:r>
        <w:rPr>
          <w:sz w:val="18"/>
          <w:vertAlign w:val="baseline"/>
        </w:rPr>
        <w:t>Individual,”</w:t>
      </w:r>
      <w:r>
        <w:rPr>
          <w:spacing w:val="-2"/>
          <w:sz w:val="18"/>
          <w:vertAlign w:val="baseline"/>
        </w:rPr>
        <w:t> </w:t>
      </w:r>
      <w:r>
        <w:rPr>
          <w:i/>
          <w:sz w:val="18"/>
          <w:vertAlign w:val="baseline"/>
        </w:rPr>
        <w:t>Women’s</w:t>
      </w:r>
      <w:r>
        <w:rPr>
          <w:i/>
          <w:spacing w:val="-3"/>
          <w:sz w:val="18"/>
          <w:vertAlign w:val="baseline"/>
        </w:rPr>
        <w:t> </w:t>
      </w:r>
      <w:r>
        <w:rPr>
          <w:i/>
          <w:sz w:val="18"/>
          <w:vertAlign w:val="baseline"/>
        </w:rPr>
        <w:t>Midlife</w:t>
      </w:r>
      <w:r>
        <w:rPr>
          <w:i/>
          <w:spacing w:val="-2"/>
          <w:sz w:val="18"/>
          <w:vertAlign w:val="baseline"/>
        </w:rPr>
        <w:t> </w:t>
      </w:r>
      <w:r>
        <w:rPr>
          <w:i/>
          <w:sz w:val="18"/>
          <w:vertAlign w:val="baseline"/>
        </w:rPr>
        <w:t>Health</w:t>
      </w:r>
      <w:r>
        <w:rPr>
          <w:i/>
          <w:spacing w:val="-2"/>
          <w:sz w:val="18"/>
          <w:vertAlign w:val="baseline"/>
        </w:rPr>
        <w:t> </w:t>
      </w:r>
      <w:r>
        <w:rPr>
          <w:sz w:val="18"/>
          <w:vertAlign w:val="baseline"/>
        </w:rPr>
        <w:t>4 (July 13, 2018): 12, https://doi.org/10.1186/s40695-018-0042-1.</w:t>
      </w:r>
    </w:p>
    <w:p>
      <w:pPr>
        <w:spacing w:before="1"/>
        <w:ind w:left="363" w:right="91" w:hanging="1"/>
        <w:jc w:val="left"/>
        <w:rPr>
          <w:sz w:val="18"/>
        </w:rPr>
      </w:pPr>
      <w:r>
        <w:rPr>
          <w:sz w:val="18"/>
          <w:vertAlign w:val="superscript"/>
        </w:rPr>
        <w:t>36</w:t>
      </w:r>
      <w:r>
        <w:rPr>
          <w:spacing w:val="-13"/>
          <w:sz w:val="18"/>
          <w:vertAlign w:val="baseline"/>
        </w:rPr>
        <w:t> </w:t>
      </w:r>
      <w:r>
        <w:rPr>
          <w:sz w:val="18"/>
          <w:vertAlign w:val="baseline"/>
        </w:rPr>
        <w:t>National</w:t>
      </w:r>
      <w:r>
        <w:rPr>
          <w:spacing w:val="-5"/>
          <w:sz w:val="18"/>
          <w:vertAlign w:val="baseline"/>
        </w:rPr>
        <w:t> </w:t>
      </w:r>
      <w:r>
        <w:rPr>
          <w:sz w:val="18"/>
          <w:vertAlign w:val="baseline"/>
        </w:rPr>
        <w:t>Center</w:t>
      </w:r>
      <w:r>
        <w:rPr>
          <w:spacing w:val="-4"/>
          <w:sz w:val="18"/>
          <w:vertAlign w:val="baseline"/>
        </w:rPr>
        <w:t> </w:t>
      </w:r>
      <w:r>
        <w:rPr>
          <w:sz w:val="18"/>
          <w:vertAlign w:val="baseline"/>
        </w:rPr>
        <w:t>for</w:t>
      </w:r>
      <w:r>
        <w:rPr>
          <w:spacing w:val="-4"/>
          <w:sz w:val="18"/>
          <w:vertAlign w:val="baseline"/>
        </w:rPr>
        <w:t> </w:t>
      </w:r>
      <w:r>
        <w:rPr>
          <w:sz w:val="18"/>
          <w:vertAlign w:val="baseline"/>
        </w:rPr>
        <w:t>Transgender</w:t>
      </w:r>
      <w:r>
        <w:rPr>
          <w:spacing w:val="-4"/>
          <w:sz w:val="18"/>
          <w:vertAlign w:val="baseline"/>
        </w:rPr>
        <w:t> </w:t>
      </w:r>
      <w:r>
        <w:rPr>
          <w:sz w:val="18"/>
          <w:vertAlign w:val="baseline"/>
        </w:rPr>
        <w:t>Equality.</w:t>
      </w:r>
      <w:r>
        <w:rPr>
          <w:spacing w:val="-3"/>
          <w:sz w:val="18"/>
          <w:vertAlign w:val="baseline"/>
        </w:rPr>
        <w:t> </w:t>
      </w:r>
      <w:r>
        <w:rPr>
          <w:sz w:val="18"/>
          <w:vertAlign w:val="baseline"/>
        </w:rPr>
        <w:t>2017.</w:t>
      </w:r>
      <w:r>
        <w:rPr>
          <w:spacing w:val="-3"/>
          <w:sz w:val="18"/>
          <w:vertAlign w:val="baseline"/>
        </w:rPr>
        <w:t> </w:t>
      </w:r>
      <w:r>
        <w:rPr>
          <w:sz w:val="18"/>
          <w:vertAlign w:val="baseline"/>
        </w:rPr>
        <w:t>“2015</w:t>
      </w:r>
      <w:r>
        <w:rPr>
          <w:spacing w:val="-3"/>
          <w:sz w:val="18"/>
          <w:vertAlign w:val="baseline"/>
        </w:rPr>
        <w:t> </w:t>
      </w:r>
      <w:r>
        <w:rPr>
          <w:sz w:val="18"/>
          <w:vertAlign w:val="baseline"/>
        </w:rPr>
        <w:t>U.S.</w:t>
      </w:r>
      <w:r>
        <w:rPr>
          <w:spacing w:val="-3"/>
          <w:sz w:val="18"/>
          <w:vertAlign w:val="baseline"/>
        </w:rPr>
        <w:t> </w:t>
      </w:r>
      <w:r>
        <w:rPr>
          <w:sz w:val="18"/>
          <w:vertAlign w:val="baseline"/>
        </w:rPr>
        <w:t>Transgender</w:t>
      </w:r>
      <w:r>
        <w:rPr>
          <w:spacing w:val="-4"/>
          <w:sz w:val="18"/>
          <w:vertAlign w:val="baseline"/>
        </w:rPr>
        <w:t> </w:t>
      </w:r>
      <w:r>
        <w:rPr>
          <w:sz w:val="18"/>
          <w:vertAlign w:val="baseline"/>
        </w:rPr>
        <w:t>Survey:</w:t>
      </w:r>
      <w:r>
        <w:rPr>
          <w:spacing w:val="-3"/>
          <w:sz w:val="18"/>
          <w:vertAlign w:val="baseline"/>
        </w:rPr>
        <w:t> </w:t>
      </w:r>
      <w:r>
        <w:rPr>
          <w:sz w:val="18"/>
          <w:vertAlign w:val="baseline"/>
        </w:rPr>
        <w:t>Massachusetts</w:t>
      </w:r>
      <w:r>
        <w:rPr>
          <w:spacing w:val="-4"/>
          <w:sz w:val="18"/>
          <w:vertAlign w:val="baseline"/>
        </w:rPr>
        <w:t> </w:t>
      </w:r>
      <w:r>
        <w:rPr>
          <w:sz w:val="18"/>
          <w:vertAlign w:val="baseline"/>
        </w:rPr>
        <w:t>State</w:t>
      </w:r>
      <w:r>
        <w:rPr>
          <w:spacing w:val="-3"/>
          <w:sz w:val="18"/>
          <w:vertAlign w:val="baseline"/>
        </w:rPr>
        <w:t> </w:t>
      </w:r>
      <w:r>
        <w:rPr>
          <w:sz w:val="18"/>
          <w:vertAlign w:val="baseline"/>
        </w:rPr>
        <w:t>Report,”</w:t>
      </w:r>
      <w:r>
        <w:rPr>
          <w:spacing w:val="-3"/>
          <w:sz w:val="18"/>
          <w:vertAlign w:val="baseline"/>
        </w:rPr>
        <w:t> </w:t>
      </w:r>
      <w:r>
        <w:rPr>
          <w:sz w:val="18"/>
          <w:vertAlign w:val="baseline"/>
        </w:rPr>
        <w:t>page</w:t>
      </w:r>
      <w:r>
        <w:rPr>
          <w:spacing w:val="-3"/>
          <w:sz w:val="18"/>
          <w:vertAlign w:val="baseline"/>
        </w:rPr>
        <w:t> </w:t>
      </w:r>
      <w:r>
        <w:rPr>
          <w:sz w:val="18"/>
          <w:vertAlign w:val="baseline"/>
        </w:rPr>
        <w:t>3. </w:t>
      </w:r>
      <w:hyperlink r:id="rId410">
        <w:r>
          <w:rPr>
            <w:color w:val="0000FF"/>
            <w:spacing w:val="-2"/>
            <w:sz w:val="18"/>
            <w:u w:val="single" w:color="0000FF"/>
            <w:vertAlign w:val="baseline"/>
          </w:rPr>
          <w:t>https://transequality.org/sites/default/files/docs/usts/USTSMAStateReport(1017).pd</w:t>
        </w:r>
      </w:hyperlink>
      <w:hyperlink r:id="rId410">
        <w:r>
          <w:rPr>
            <w:color w:val="0000FF"/>
            <w:spacing w:val="-2"/>
            <w:sz w:val="18"/>
            <w:u w:val="single" w:color="0000FF"/>
            <w:vertAlign w:val="baseline"/>
          </w:rPr>
          <w:t>f</w:t>
        </w:r>
        <w:r>
          <w:rPr>
            <w:spacing w:val="-2"/>
            <w:sz w:val="18"/>
            <w:u w:val="none"/>
            <w:vertAlign w:val="baseline"/>
          </w:rPr>
          <w:t>.</w:t>
        </w:r>
      </w:hyperlink>
    </w:p>
    <w:p>
      <w:pPr>
        <w:spacing w:before="0"/>
        <w:ind w:left="363" w:right="91" w:hanging="1"/>
        <w:jc w:val="left"/>
        <w:rPr>
          <w:sz w:val="18"/>
        </w:rPr>
      </w:pPr>
      <w:r>
        <w:rPr>
          <w:sz w:val="18"/>
          <w:vertAlign w:val="superscript"/>
        </w:rPr>
        <w:t>37</w:t>
      </w:r>
      <w:r>
        <w:rPr>
          <w:spacing w:val="-13"/>
          <w:sz w:val="18"/>
          <w:vertAlign w:val="baseline"/>
        </w:rPr>
        <w:t> </w:t>
      </w:r>
      <w:r>
        <w:rPr>
          <w:sz w:val="18"/>
          <w:vertAlign w:val="baseline"/>
        </w:rPr>
        <w:t>National</w:t>
      </w:r>
      <w:r>
        <w:rPr>
          <w:spacing w:val="-5"/>
          <w:sz w:val="18"/>
          <w:vertAlign w:val="baseline"/>
        </w:rPr>
        <w:t> </w:t>
      </w:r>
      <w:r>
        <w:rPr>
          <w:sz w:val="18"/>
          <w:vertAlign w:val="baseline"/>
        </w:rPr>
        <w:t>Center</w:t>
      </w:r>
      <w:r>
        <w:rPr>
          <w:spacing w:val="-4"/>
          <w:sz w:val="18"/>
          <w:vertAlign w:val="baseline"/>
        </w:rPr>
        <w:t> </w:t>
      </w:r>
      <w:r>
        <w:rPr>
          <w:sz w:val="18"/>
          <w:vertAlign w:val="baseline"/>
        </w:rPr>
        <w:t>for</w:t>
      </w:r>
      <w:r>
        <w:rPr>
          <w:spacing w:val="-4"/>
          <w:sz w:val="18"/>
          <w:vertAlign w:val="baseline"/>
        </w:rPr>
        <w:t> </w:t>
      </w:r>
      <w:r>
        <w:rPr>
          <w:sz w:val="18"/>
          <w:vertAlign w:val="baseline"/>
        </w:rPr>
        <w:t>Transgender</w:t>
      </w:r>
      <w:r>
        <w:rPr>
          <w:spacing w:val="-4"/>
          <w:sz w:val="18"/>
          <w:vertAlign w:val="baseline"/>
        </w:rPr>
        <w:t> </w:t>
      </w:r>
      <w:r>
        <w:rPr>
          <w:sz w:val="18"/>
          <w:vertAlign w:val="baseline"/>
        </w:rPr>
        <w:t>Equality.</w:t>
      </w:r>
      <w:r>
        <w:rPr>
          <w:spacing w:val="-3"/>
          <w:sz w:val="18"/>
          <w:vertAlign w:val="baseline"/>
        </w:rPr>
        <w:t> </w:t>
      </w:r>
      <w:r>
        <w:rPr>
          <w:sz w:val="18"/>
          <w:vertAlign w:val="baseline"/>
        </w:rPr>
        <w:t>2017.</w:t>
      </w:r>
      <w:r>
        <w:rPr>
          <w:spacing w:val="-3"/>
          <w:sz w:val="18"/>
          <w:vertAlign w:val="baseline"/>
        </w:rPr>
        <w:t> </w:t>
      </w:r>
      <w:r>
        <w:rPr>
          <w:sz w:val="18"/>
          <w:vertAlign w:val="baseline"/>
        </w:rPr>
        <w:t>“2015</w:t>
      </w:r>
      <w:r>
        <w:rPr>
          <w:spacing w:val="-3"/>
          <w:sz w:val="18"/>
          <w:vertAlign w:val="baseline"/>
        </w:rPr>
        <w:t> </w:t>
      </w:r>
      <w:r>
        <w:rPr>
          <w:sz w:val="18"/>
          <w:vertAlign w:val="baseline"/>
        </w:rPr>
        <w:t>U.S.</w:t>
      </w:r>
      <w:r>
        <w:rPr>
          <w:spacing w:val="-3"/>
          <w:sz w:val="18"/>
          <w:vertAlign w:val="baseline"/>
        </w:rPr>
        <w:t> </w:t>
      </w:r>
      <w:r>
        <w:rPr>
          <w:sz w:val="18"/>
          <w:vertAlign w:val="baseline"/>
        </w:rPr>
        <w:t>Transgender</w:t>
      </w:r>
      <w:r>
        <w:rPr>
          <w:spacing w:val="-4"/>
          <w:sz w:val="18"/>
          <w:vertAlign w:val="baseline"/>
        </w:rPr>
        <w:t> </w:t>
      </w:r>
      <w:r>
        <w:rPr>
          <w:sz w:val="18"/>
          <w:vertAlign w:val="baseline"/>
        </w:rPr>
        <w:t>Survey:</w:t>
      </w:r>
      <w:r>
        <w:rPr>
          <w:spacing w:val="-3"/>
          <w:sz w:val="18"/>
          <w:vertAlign w:val="baseline"/>
        </w:rPr>
        <w:t> </w:t>
      </w:r>
      <w:r>
        <w:rPr>
          <w:sz w:val="18"/>
          <w:vertAlign w:val="baseline"/>
        </w:rPr>
        <w:t>Massachusetts</w:t>
      </w:r>
      <w:r>
        <w:rPr>
          <w:spacing w:val="-4"/>
          <w:sz w:val="18"/>
          <w:vertAlign w:val="baseline"/>
        </w:rPr>
        <w:t> </w:t>
      </w:r>
      <w:r>
        <w:rPr>
          <w:sz w:val="18"/>
          <w:vertAlign w:val="baseline"/>
        </w:rPr>
        <w:t>State</w:t>
      </w:r>
      <w:r>
        <w:rPr>
          <w:spacing w:val="-3"/>
          <w:sz w:val="18"/>
          <w:vertAlign w:val="baseline"/>
        </w:rPr>
        <w:t> </w:t>
      </w:r>
      <w:r>
        <w:rPr>
          <w:sz w:val="18"/>
          <w:vertAlign w:val="baseline"/>
        </w:rPr>
        <w:t>Report,”</w:t>
      </w:r>
      <w:r>
        <w:rPr>
          <w:spacing w:val="-3"/>
          <w:sz w:val="18"/>
          <w:vertAlign w:val="baseline"/>
        </w:rPr>
        <w:t> </w:t>
      </w:r>
      <w:r>
        <w:rPr>
          <w:sz w:val="18"/>
          <w:vertAlign w:val="baseline"/>
        </w:rPr>
        <w:t>page</w:t>
      </w:r>
      <w:r>
        <w:rPr>
          <w:spacing w:val="-3"/>
          <w:sz w:val="18"/>
          <w:vertAlign w:val="baseline"/>
        </w:rPr>
        <w:t> </w:t>
      </w:r>
      <w:r>
        <w:rPr>
          <w:sz w:val="18"/>
          <w:vertAlign w:val="baseline"/>
        </w:rPr>
        <w:t>3. </w:t>
      </w:r>
      <w:hyperlink r:id="rId410">
        <w:r>
          <w:rPr>
            <w:color w:val="0000FF"/>
            <w:spacing w:val="-2"/>
            <w:sz w:val="18"/>
            <w:u w:val="single" w:color="0000FF"/>
            <w:vertAlign w:val="baseline"/>
          </w:rPr>
          <w:t>https://transequality.org/sites/default/files/docs/usts/USTSMAStateReport(1017).pd</w:t>
        </w:r>
      </w:hyperlink>
      <w:hyperlink r:id="rId410">
        <w:r>
          <w:rPr>
            <w:color w:val="0000FF"/>
            <w:spacing w:val="-2"/>
            <w:sz w:val="18"/>
            <w:u w:val="single" w:color="0000FF"/>
            <w:vertAlign w:val="baseline"/>
          </w:rPr>
          <w:t>f</w:t>
        </w:r>
        <w:r>
          <w:rPr>
            <w:spacing w:val="-2"/>
            <w:sz w:val="18"/>
            <w:u w:val="none"/>
            <w:vertAlign w:val="baseline"/>
          </w:rPr>
          <w:t>.</w:t>
        </w:r>
      </w:hyperlink>
    </w:p>
    <w:p>
      <w:pPr>
        <w:spacing w:before="0"/>
        <w:ind w:left="363" w:right="272" w:hanging="1"/>
        <w:jc w:val="left"/>
        <w:rPr>
          <w:sz w:val="18"/>
        </w:rPr>
      </w:pPr>
      <w:r>
        <w:rPr>
          <w:sz w:val="18"/>
          <w:vertAlign w:val="superscript"/>
        </w:rPr>
        <w:t>38</w:t>
      </w:r>
      <w:r>
        <w:rPr>
          <w:spacing w:val="-13"/>
          <w:sz w:val="18"/>
          <w:vertAlign w:val="baseline"/>
        </w:rPr>
        <w:t> </w:t>
      </w:r>
      <w:r>
        <w:rPr>
          <w:sz w:val="18"/>
          <w:vertAlign w:val="baseline"/>
        </w:rPr>
        <w:t>Charlton,</w:t>
      </w:r>
      <w:r>
        <w:rPr>
          <w:spacing w:val="-4"/>
          <w:sz w:val="18"/>
          <w:vertAlign w:val="baseline"/>
        </w:rPr>
        <w:t> </w:t>
      </w:r>
      <w:r>
        <w:rPr>
          <w:sz w:val="18"/>
          <w:vertAlign w:val="baseline"/>
        </w:rPr>
        <w:t>Brittany,</w:t>
      </w:r>
      <w:r>
        <w:rPr>
          <w:spacing w:val="-3"/>
          <w:sz w:val="18"/>
          <w:vertAlign w:val="baseline"/>
        </w:rPr>
        <w:t> </w:t>
      </w:r>
      <w:r>
        <w:rPr>
          <w:sz w:val="18"/>
          <w:vertAlign w:val="baseline"/>
        </w:rPr>
        <w:t>et</w:t>
      </w:r>
      <w:r>
        <w:rPr>
          <w:spacing w:val="-3"/>
          <w:sz w:val="18"/>
          <w:vertAlign w:val="baseline"/>
        </w:rPr>
        <w:t> </w:t>
      </w:r>
      <w:r>
        <w:rPr>
          <w:sz w:val="18"/>
          <w:vertAlign w:val="baseline"/>
        </w:rPr>
        <w:t>al.</w:t>
      </w:r>
      <w:r>
        <w:rPr>
          <w:spacing w:val="-2"/>
          <w:sz w:val="18"/>
          <w:vertAlign w:val="baseline"/>
        </w:rPr>
        <w:t> </w:t>
      </w:r>
      <w:r>
        <w:rPr>
          <w:sz w:val="18"/>
          <w:vertAlign w:val="baseline"/>
        </w:rPr>
        <w:t>March</w:t>
      </w:r>
      <w:r>
        <w:rPr>
          <w:spacing w:val="-2"/>
          <w:sz w:val="18"/>
          <w:vertAlign w:val="baseline"/>
        </w:rPr>
        <w:t> </w:t>
      </w:r>
      <w:r>
        <w:rPr>
          <w:sz w:val="18"/>
          <w:vertAlign w:val="baseline"/>
        </w:rPr>
        <w:t>2021.</w:t>
      </w:r>
      <w:r>
        <w:rPr>
          <w:spacing w:val="-2"/>
          <w:sz w:val="18"/>
          <w:vertAlign w:val="baseline"/>
        </w:rPr>
        <w:t> </w:t>
      </w:r>
      <w:r>
        <w:rPr>
          <w:sz w:val="18"/>
          <w:vertAlign w:val="baseline"/>
        </w:rPr>
        <w:t>“Teen</w:t>
      </w:r>
      <w:r>
        <w:rPr>
          <w:spacing w:val="-3"/>
          <w:sz w:val="18"/>
          <w:vertAlign w:val="baseline"/>
        </w:rPr>
        <w:t> </w:t>
      </w:r>
      <w:r>
        <w:rPr>
          <w:sz w:val="18"/>
          <w:vertAlign w:val="baseline"/>
        </w:rPr>
        <w:t>Pregnancy</w:t>
      </w:r>
      <w:r>
        <w:rPr>
          <w:spacing w:val="-2"/>
          <w:sz w:val="18"/>
          <w:vertAlign w:val="baseline"/>
        </w:rPr>
        <w:t> </w:t>
      </w:r>
      <w:r>
        <w:rPr>
          <w:sz w:val="18"/>
          <w:vertAlign w:val="baseline"/>
        </w:rPr>
        <w:t>Risk</w:t>
      </w:r>
      <w:r>
        <w:rPr>
          <w:spacing w:val="-3"/>
          <w:sz w:val="18"/>
          <w:vertAlign w:val="baseline"/>
        </w:rPr>
        <w:t> </w:t>
      </w:r>
      <w:r>
        <w:rPr>
          <w:sz w:val="18"/>
          <w:vertAlign w:val="baseline"/>
        </w:rPr>
        <w:t>Factors</w:t>
      </w:r>
      <w:r>
        <w:rPr>
          <w:spacing w:val="-2"/>
          <w:sz w:val="18"/>
          <w:vertAlign w:val="baseline"/>
        </w:rPr>
        <w:t> </w:t>
      </w:r>
      <w:r>
        <w:rPr>
          <w:sz w:val="18"/>
          <w:vertAlign w:val="baseline"/>
        </w:rPr>
        <w:t>Among</w:t>
      </w:r>
      <w:r>
        <w:rPr>
          <w:spacing w:val="-2"/>
          <w:sz w:val="18"/>
          <w:vertAlign w:val="baseline"/>
        </w:rPr>
        <w:t> </w:t>
      </w:r>
      <w:r>
        <w:rPr>
          <w:sz w:val="18"/>
          <w:vertAlign w:val="baseline"/>
        </w:rPr>
        <w:t>Young</w:t>
      </w:r>
      <w:r>
        <w:rPr>
          <w:spacing w:val="-2"/>
          <w:sz w:val="18"/>
          <w:vertAlign w:val="baseline"/>
        </w:rPr>
        <w:t> </w:t>
      </w:r>
      <w:r>
        <w:rPr>
          <w:sz w:val="18"/>
          <w:vertAlign w:val="baseline"/>
        </w:rPr>
        <w:t>Women</w:t>
      </w:r>
      <w:r>
        <w:rPr>
          <w:spacing w:val="-2"/>
          <w:sz w:val="18"/>
          <w:vertAlign w:val="baseline"/>
        </w:rPr>
        <w:t> </w:t>
      </w:r>
      <w:r>
        <w:rPr>
          <w:sz w:val="18"/>
          <w:vertAlign w:val="baseline"/>
        </w:rPr>
        <w:t>of</w:t>
      </w:r>
      <w:r>
        <w:rPr>
          <w:spacing w:val="-2"/>
          <w:sz w:val="18"/>
          <w:vertAlign w:val="baseline"/>
        </w:rPr>
        <w:t> </w:t>
      </w:r>
      <w:r>
        <w:rPr>
          <w:sz w:val="18"/>
          <w:vertAlign w:val="baseline"/>
        </w:rPr>
        <w:t>Diverse</w:t>
      </w:r>
      <w:r>
        <w:rPr>
          <w:spacing w:val="-2"/>
          <w:sz w:val="18"/>
          <w:vertAlign w:val="baseline"/>
        </w:rPr>
        <w:t> </w:t>
      </w:r>
      <w:r>
        <w:rPr>
          <w:sz w:val="18"/>
          <w:vertAlign w:val="baseline"/>
        </w:rPr>
        <w:t>Sexual</w:t>
      </w:r>
      <w:r>
        <w:rPr>
          <w:spacing w:val="-3"/>
          <w:sz w:val="18"/>
          <w:vertAlign w:val="baseline"/>
        </w:rPr>
        <w:t> </w:t>
      </w:r>
      <w:r>
        <w:rPr>
          <w:sz w:val="18"/>
          <w:vertAlign w:val="baseline"/>
        </w:rPr>
        <w:t>Orientations.”</w:t>
      </w:r>
      <w:r>
        <w:rPr>
          <w:spacing w:val="-2"/>
          <w:sz w:val="18"/>
          <w:vertAlign w:val="baseline"/>
        </w:rPr>
        <w:t> </w:t>
      </w:r>
      <w:r>
        <w:rPr>
          <w:sz w:val="18"/>
          <w:vertAlign w:val="baseline"/>
        </w:rPr>
        <w:t>In </w:t>
      </w:r>
      <w:r>
        <w:rPr>
          <w:i/>
          <w:sz w:val="18"/>
          <w:vertAlign w:val="baseline"/>
        </w:rPr>
        <w:t>Pediatric Collections: LGBTQ+: Support and Care (Part 2: Health Concerns and Disparities)</w:t>
      </w:r>
      <w:r>
        <w:rPr>
          <w:sz w:val="18"/>
          <w:vertAlign w:val="baseline"/>
        </w:rPr>
        <w:t>. American Academy of Pediatrics. </w:t>
      </w:r>
      <w:hyperlink r:id="rId423">
        <w:r>
          <w:rPr>
            <w:color w:val="0000FF"/>
            <w:spacing w:val="-2"/>
            <w:sz w:val="18"/>
            <w:u w:val="single" w:color="0000FF"/>
            <w:vertAlign w:val="baseline"/>
          </w:rPr>
          <w:t>https://doi.org/10.1542/9781610025409-teen</w:t>
        </w:r>
      </w:hyperlink>
      <w:hyperlink r:id="rId423">
        <w:r>
          <w:rPr>
            <w:spacing w:val="-2"/>
            <w:sz w:val="18"/>
            <w:u w:val="none"/>
            <w:vertAlign w:val="baseline"/>
          </w:rPr>
          <w:t>.</w:t>
        </w:r>
      </w:hyperlink>
    </w:p>
    <w:p>
      <w:pPr>
        <w:spacing w:before="0"/>
        <w:ind w:left="363" w:right="91" w:hanging="1"/>
        <w:jc w:val="left"/>
        <w:rPr>
          <w:sz w:val="18"/>
        </w:rPr>
      </w:pPr>
      <w:r>
        <w:rPr/>
        <mc:AlternateContent>
          <mc:Choice Requires="wps">
            <w:drawing>
              <wp:anchor distT="0" distB="0" distL="0" distR="0" allowOverlap="1" layoutInCell="1" locked="0" behindDoc="1" simplePos="0" relativeHeight="482612736">
                <wp:simplePos x="0" y="0"/>
                <wp:positionH relativeFrom="page">
                  <wp:posOffset>3467100</wp:posOffset>
                </wp:positionH>
                <wp:positionV relativeFrom="paragraph">
                  <wp:posOffset>240924</wp:posOffset>
                </wp:positionV>
                <wp:extent cx="28575" cy="12700"/>
                <wp:effectExtent l="0" t="0" r="0" b="0"/>
                <wp:wrapNone/>
                <wp:docPr id="332" name="Graphic 332"/>
                <wp:cNvGraphicFramePr>
                  <a:graphicFrameLocks/>
                </wp:cNvGraphicFramePr>
                <a:graphic>
                  <a:graphicData uri="http://schemas.microsoft.com/office/word/2010/wordprocessingShape">
                    <wps:wsp>
                      <wps:cNvPr id="332" name="Graphic 332"/>
                      <wps:cNvSpPr/>
                      <wps:spPr>
                        <a:xfrm>
                          <a:off x="0" y="0"/>
                          <a:ext cx="28575" cy="12700"/>
                        </a:xfrm>
                        <a:custGeom>
                          <a:avLst/>
                          <a:gdLst/>
                          <a:ahLst/>
                          <a:cxnLst/>
                          <a:rect l="l" t="t" r="r" b="b"/>
                          <a:pathLst>
                            <a:path w="28575" h="12700">
                              <a:moveTo>
                                <a:pt x="28333" y="0"/>
                              </a:moveTo>
                              <a:lnTo>
                                <a:pt x="0" y="0"/>
                              </a:lnTo>
                              <a:lnTo>
                                <a:pt x="0" y="12700"/>
                              </a:lnTo>
                              <a:lnTo>
                                <a:pt x="28333" y="12700"/>
                              </a:lnTo>
                              <a:lnTo>
                                <a:pt x="28333" y="0"/>
                              </a:lnTo>
                              <a:close/>
                            </a:path>
                          </a:pathLst>
                        </a:custGeom>
                        <a:solidFill>
                          <a:srgbClr val="1153CC"/>
                        </a:solidFill>
                      </wps:spPr>
                      <wps:bodyPr wrap="square" lIns="0" tIns="0" rIns="0" bIns="0" rtlCol="0">
                        <a:prstTxWarp prst="textNoShape">
                          <a:avLst/>
                        </a:prstTxWarp>
                        <a:noAutofit/>
                      </wps:bodyPr>
                    </wps:wsp>
                  </a:graphicData>
                </a:graphic>
              </wp:anchor>
            </w:drawing>
          </mc:Choice>
          <mc:Fallback>
            <w:pict>
              <v:rect style="position:absolute;margin-left:273pt;margin-top:18.970406pt;width:2.231pt;height:1pt;mso-position-horizontal-relative:page;mso-position-vertical-relative:paragraph;z-index:-20703744" id="docshape261" filled="true" fillcolor="#1153cc" stroked="false">
                <v:fill type="solid"/>
                <w10:wrap type="none"/>
              </v:rect>
            </w:pict>
          </mc:Fallback>
        </mc:AlternateContent>
      </w:r>
      <w:r>
        <w:rPr>
          <w:sz w:val="18"/>
          <w:vertAlign w:val="superscript"/>
        </w:rPr>
        <w:t>39</w:t>
      </w:r>
      <w:r>
        <w:rPr>
          <w:spacing w:val="-13"/>
          <w:sz w:val="18"/>
          <w:vertAlign w:val="baseline"/>
        </w:rPr>
        <w:t> </w:t>
      </w:r>
      <w:r>
        <w:rPr>
          <w:sz w:val="18"/>
          <w:vertAlign w:val="baseline"/>
        </w:rPr>
        <w:t>Centers</w:t>
      </w:r>
      <w:r>
        <w:rPr>
          <w:spacing w:val="-6"/>
          <w:sz w:val="18"/>
          <w:vertAlign w:val="baseline"/>
        </w:rPr>
        <w:t> </w:t>
      </w:r>
      <w:r>
        <w:rPr>
          <w:sz w:val="18"/>
          <w:vertAlign w:val="baseline"/>
        </w:rPr>
        <w:t>for</w:t>
      </w:r>
      <w:r>
        <w:rPr>
          <w:spacing w:val="-5"/>
          <w:sz w:val="18"/>
          <w:vertAlign w:val="baseline"/>
        </w:rPr>
        <w:t> </w:t>
      </w:r>
      <w:r>
        <w:rPr>
          <w:sz w:val="18"/>
          <w:vertAlign w:val="baseline"/>
        </w:rPr>
        <w:t>Disease</w:t>
      </w:r>
      <w:r>
        <w:rPr>
          <w:spacing w:val="-4"/>
          <w:sz w:val="18"/>
          <w:vertAlign w:val="baseline"/>
        </w:rPr>
        <w:t> </w:t>
      </w:r>
      <w:r>
        <w:rPr>
          <w:sz w:val="18"/>
          <w:vertAlign w:val="baseline"/>
        </w:rPr>
        <w:t>Control</w:t>
      </w:r>
      <w:r>
        <w:rPr>
          <w:spacing w:val="-5"/>
          <w:sz w:val="18"/>
          <w:vertAlign w:val="baseline"/>
        </w:rPr>
        <w:t> </w:t>
      </w:r>
      <w:r>
        <w:rPr>
          <w:sz w:val="18"/>
          <w:vertAlign w:val="baseline"/>
        </w:rPr>
        <w:t>and</w:t>
      </w:r>
      <w:r>
        <w:rPr>
          <w:spacing w:val="-4"/>
          <w:sz w:val="18"/>
          <w:vertAlign w:val="baseline"/>
        </w:rPr>
        <w:t> </w:t>
      </w:r>
      <w:r>
        <w:rPr>
          <w:sz w:val="18"/>
          <w:vertAlign w:val="baseline"/>
        </w:rPr>
        <w:t>Prevention.</w:t>
      </w:r>
      <w:r>
        <w:rPr>
          <w:spacing w:val="-4"/>
          <w:sz w:val="18"/>
          <w:vertAlign w:val="baseline"/>
        </w:rPr>
        <w:t> </w:t>
      </w:r>
      <w:r>
        <w:rPr>
          <w:sz w:val="18"/>
          <w:vertAlign w:val="baseline"/>
        </w:rPr>
        <w:t>2021.</w:t>
      </w:r>
      <w:r>
        <w:rPr>
          <w:spacing w:val="-4"/>
          <w:sz w:val="18"/>
          <w:vertAlign w:val="baseline"/>
        </w:rPr>
        <w:t> </w:t>
      </w:r>
      <w:r>
        <w:rPr>
          <w:sz w:val="18"/>
          <w:vertAlign w:val="baseline"/>
        </w:rPr>
        <w:t>“About</w:t>
      </w:r>
      <w:r>
        <w:rPr>
          <w:spacing w:val="-5"/>
          <w:sz w:val="18"/>
          <w:vertAlign w:val="baseline"/>
        </w:rPr>
        <w:t> </w:t>
      </w:r>
      <w:r>
        <w:rPr>
          <w:sz w:val="18"/>
          <w:vertAlign w:val="baseline"/>
        </w:rPr>
        <w:t>Teen</w:t>
      </w:r>
      <w:r>
        <w:rPr>
          <w:spacing w:val="-5"/>
          <w:sz w:val="18"/>
          <w:vertAlign w:val="baseline"/>
        </w:rPr>
        <w:t> </w:t>
      </w:r>
      <w:r>
        <w:rPr>
          <w:sz w:val="18"/>
          <w:vertAlign w:val="baseline"/>
        </w:rPr>
        <w:t>Pregnancy.” </w:t>
      </w:r>
      <w:hyperlink r:id="rId424">
        <w:r>
          <w:rPr>
            <w:color w:val="0000FF"/>
            <w:spacing w:val="-2"/>
            <w:sz w:val="18"/>
            <w:u w:val="single" w:color="0000FF"/>
            <w:vertAlign w:val="baseline"/>
          </w:rPr>
          <w:t>https://www.cdc.gov/teenpregnancy/about/index.htm</w:t>
        </w:r>
      </w:hyperlink>
      <w:hyperlink r:id="rId424">
        <w:r>
          <w:rPr>
            <w:color w:val="1153CC"/>
            <w:spacing w:val="-2"/>
            <w:sz w:val="18"/>
            <w:u w:val="none"/>
            <w:vertAlign w:val="baseline"/>
          </w:rPr>
          <w:t>.</w:t>
        </w:r>
      </w:hyperlink>
    </w:p>
    <w:p>
      <w:pPr>
        <w:spacing w:before="0"/>
        <w:ind w:left="363" w:right="160" w:hanging="1"/>
        <w:jc w:val="left"/>
        <w:rPr>
          <w:sz w:val="18"/>
        </w:rPr>
      </w:pPr>
      <w:r>
        <w:rPr>
          <w:sz w:val="18"/>
          <w:vertAlign w:val="superscript"/>
        </w:rPr>
        <w:t>40</w:t>
      </w:r>
      <w:r>
        <w:rPr>
          <w:spacing w:val="-13"/>
          <w:sz w:val="18"/>
          <w:vertAlign w:val="baseline"/>
        </w:rPr>
        <w:t> </w:t>
      </w:r>
      <w:r>
        <w:rPr>
          <w:sz w:val="18"/>
          <w:vertAlign w:val="baseline"/>
        </w:rPr>
        <w:t>Thompson,</w:t>
      </w:r>
      <w:r>
        <w:rPr>
          <w:spacing w:val="-4"/>
          <w:sz w:val="18"/>
          <w:vertAlign w:val="baseline"/>
        </w:rPr>
        <w:t> </w:t>
      </w:r>
      <w:r>
        <w:rPr>
          <w:sz w:val="18"/>
          <w:vertAlign w:val="baseline"/>
        </w:rPr>
        <w:t>Sanna,</w:t>
      </w:r>
      <w:r>
        <w:rPr>
          <w:spacing w:val="-3"/>
          <w:sz w:val="18"/>
          <w:vertAlign w:val="baseline"/>
        </w:rPr>
        <w:t> </w:t>
      </w:r>
      <w:r>
        <w:rPr>
          <w:sz w:val="18"/>
          <w:vertAlign w:val="baseline"/>
        </w:rPr>
        <w:t>et</w:t>
      </w:r>
      <w:r>
        <w:rPr>
          <w:spacing w:val="-3"/>
          <w:sz w:val="18"/>
          <w:vertAlign w:val="baseline"/>
        </w:rPr>
        <w:t> </w:t>
      </w:r>
      <w:r>
        <w:rPr>
          <w:sz w:val="18"/>
          <w:vertAlign w:val="baseline"/>
        </w:rPr>
        <w:t>al.</w:t>
      </w:r>
      <w:r>
        <w:rPr>
          <w:spacing w:val="-2"/>
          <w:sz w:val="18"/>
          <w:vertAlign w:val="baseline"/>
        </w:rPr>
        <w:t> </w:t>
      </w:r>
      <w:r>
        <w:rPr>
          <w:sz w:val="18"/>
          <w:vertAlign w:val="baseline"/>
        </w:rPr>
        <w:t>April</w:t>
      </w:r>
      <w:r>
        <w:rPr>
          <w:spacing w:val="-3"/>
          <w:sz w:val="18"/>
          <w:vertAlign w:val="baseline"/>
        </w:rPr>
        <w:t> </w:t>
      </w:r>
      <w:r>
        <w:rPr>
          <w:sz w:val="18"/>
          <w:vertAlign w:val="baseline"/>
        </w:rPr>
        <w:t>11,</w:t>
      </w:r>
      <w:r>
        <w:rPr>
          <w:spacing w:val="-3"/>
          <w:sz w:val="18"/>
          <w:vertAlign w:val="baseline"/>
        </w:rPr>
        <w:t> </w:t>
      </w:r>
      <w:r>
        <w:rPr>
          <w:sz w:val="18"/>
          <w:vertAlign w:val="baseline"/>
        </w:rPr>
        <w:t>2008.</w:t>
      </w:r>
      <w:r>
        <w:rPr>
          <w:spacing w:val="-2"/>
          <w:sz w:val="18"/>
          <w:vertAlign w:val="baseline"/>
        </w:rPr>
        <w:t> </w:t>
      </w:r>
      <w:r>
        <w:rPr>
          <w:sz w:val="18"/>
          <w:vertAlign w:val="baseline"/>
        </w:rPr>
        <w:t>“Runaway</w:t>
      </w:r>
      <w:r>
        <w:rPr>
          <w:spacing w:val="-2"/>
          <w:sz w:val="18"/>
          <w:vertAlign w:val="baseline"/>
        </w:rPr>
        <w:t> </w:t>
      </w:r>
      <w:r>
        <w:rPr>
          <w:sz w:val="18"/>
          <w:vertAlign w:val="baseline"/>
        </w:rPr>
        <w:t>and</w:t>
      </w:r>
      <w:r>
        <w:rPr>
          <w:spacing w:val="-2"/>
          <w:sz w:val="18"/>
          <w:vertAlign w:val="baseline"/>
        </w:rPr>
        <w:t> </w:t>
      </w:r>
      <w:r>
        <w:rPr>
          <w:sz w:val="18"/>
          <w:vertAlign w:val="baseline"/>
        </w:rPr>
        <w:t>Pregnant:</w:t>
      </w:r>
      <w:r>
        <w:rPr>
          <w:spacing w:val="-2"/>
          <w:sz w:val="18"/>
          <w:vertAlign w:val="baseline"/>
        </w:rPr>
        <w:t> </w:t>
      </w:r>
      <w:r>
        <w:rPr>
          <w:sz w:val="18"/>
          <w:vertAlign w:val="baseline"/>
        </w:rPr>
        <w:t>Risk</w:t>
      </w:r>
      <w:r>
        <w:rPr>
          <w:spacing w:val="-3"/>
          <w:sz w:val="18"/>
          <w:vertAlign w:val="baseline"/>
        </w:rPr>
        <w:t> </w:t>
      </w:r>
      <w:r>
        <w:rPr>
          <w:sz w:val="18"/>
          <w:vertAlign w:val="baseline"/>
        </w:rPr>
        <w:t>Factors</w:t>
      </w:r>
      <w:r>
        <w:rPr>
          <w:spacing w:val="-2"/>
          <w:sz w:val="18"/>
          <w:vertAlign w:val="baseline"/>
        </w:rPr>
        <w:t> </w:t>
      </w:r>
      <w:r>
        <w:rPr>
          <w:sz w:val="18"/>
          <w:vertAlign w:val="baseline"/>
        </w:rPr>
        <w:t>Associated</w:t>
      </w:r>
      <w:r>
        <w:rPr>
          <w:spacing w:val="-2"/>
          <w:sz w:val="18"/>
          <w:vertAlign w:val="baseline"/>
        </w:rPr>
        <w:t> </w:t>
      </w:r>
      <w:r>
        <w:rPr>
          <w:sz w:val="18"/>
          <w:vertAlign w:val="baseline"/>
        </w:rPr>
        <w:t>with</w:t>
      </w:r>
      <w:r>
        <w:rPr>
          <w:spacing w:val="-2"/>
          <w:sz w:val="18"/>
          <w:vertAlign w:val="baseline"/>
        </w:rPr>
        <w:t> </w:t>
      </w:r>
      <w:r>
        <w:rPr>
          <w:sz w:val="18"/>
          <w:vertAlign w:val="baseline"/>
        </w:rPr>
        <w:t>Pregnancy</w:t>
      </w:r>
      <w:r>
        <w:rPr>
          <w:spacing w:val="-2"/>
          <w:sz w:val="18"/>
          <w:vertAlign w:val="baseline"/>
        </w:rPr>
        <w:t> </w:t>
      </w:r>
      <w:r>
        <w:rPr>
          <w:sz w:val="18"/>
          <w:vertAlign w:val="baseline"/>
        </w:rPr>
        <w:t>in</w:t>
      </w:r>
      <w:r>
        <w:rPr>
          <w:spacing w:val="-2"/>
          <w:sz w:val="18"/>
          <w:vertAlign w:val="baseline"/>
        </w:rPr>
        <w:t> </w:t>
      </w:r>
      <w:r>
        <w:rPr>
          <w:sz w:val="18"/>
          <w:vertAlign w:val="baseline"/>
        </w:rPr>
        <w:t>a</w:t>
      </w:r>
      <w:r>
        <w:rPr>
          <w:spacing w:val="-2"/>
          <w:sz w:val="18"/>
          <w:vertAlign w:val="baseline"/>
        </w:rPr>
        <w:t> </w:t>
      </w:r>
      <w:r>
        <w:rPr>
          <w:sz w:val="18"/>
          <w:vertAlign w:val="baseline"/>
        </w:rPr>
        <w:t>National</w:t>
      </w:r>
      <w:r>
        <w:rPr>
          <w:spacing w:val="-3"/>
          <w:sz w:val="18"/>
          <w:vertAlign w:val="baseline"/>
        </w:rPr>
        <w:t> </w:t>
      </w:r>
      <w:r>
        <w:rPr>
          <w:sz w:val="18"/>
          <w:vertAlign w:val="baseline"/>
        </w:rPr>
        <w:t>Sample of Runaway/Homeless Female Adolescents.” </w:t>
      </w:r>
      <w:r>
        <w:rPr>
          <w:i/>
          <w:sz w:val="18"/>
          <w:vertAlign w:val="baseline"/>
        </w:rPr>
        <w:t>The Journal of Adolescent Health</w:t>
      </w:r>
      <w:r>
        <w:rPr>
          <w:sz w:val="18"/>
          <w:vertAlign w:val="baseline"/>
        </w:rPr>
        <w:t>, Volume 43, Issue 2, 125–132. </w:t>
      </w:r>
      <w:hyperlink r:id="rId425">
        <w:r>
          <w:rPr>
            <w:color w:val="1153CC"/>
            <w:spacing w:val="-2"/>
            <w:sz w:val="18"/>
            <w:u w:val="single" w:color="1153CC"/>
            <w:vertAlign w:val="baseline"/>
          </w:rPr>
          <w:t>https://www.ncbi.nlm.nih.gov/pmc/articles/PMC2742657/.</w:t>
        </w:r>
      </w:hyperlink>
    </w:p>
    <w:p>
      <w:pPr>
        <w:spacing w:before="0"/>
        <w:ind w:left="363" w:right="91" w:hanging="1"/>
        <w:jc w:val="left"/>
        <w:rPr>
          <w:sz w:val="18"/>
        </w:rPr>
      </w:pPr>
      <w:r>
        <w:rPr/>
        <mc:AlternateContent>
          <mc:Choice Requires="wps">
            <w:drawing>
              <wp:anchor distT="0" distB="0" distL="0" distR="0" allowOverlap="1" layoutInCell="1" locked="0" behindDoc="0" simplePos="0" relativeHeight="15789568">
                <wp:simplePos x="0" y="0"/>
                <wp:positionH relativeFrom="page">
                  <wp:posOffset>2067305</wp:posOffset>
                </wp:positionH>
                <wp:positionV relativeFrom="paragraph">
                  <wp:posOffset>253616</wp:posOffset>
                </wp:positionV>
                <wp:extent cx="4222115" cy="15240"/>
                <wp:effectExtent l="0" t="0" r="0" b="0"/>
                <wp:wrapNone/>
                <wp:docPr id="333" name="Group 333"/>
                <wp:cNvGraphicFramePr>
                  <a:graphicFrameLocks/>
                </wp:cNvGraphicFramePr>
                <a:graphic>
                  <a:graphicData uri="http://schemas.microsoft.com/office/word/2010/wordprocessingGroup">
                    <wpg:wgp>
                      <wpg:cNvPr id="333" name="Group 333"/>
                      <wpg:cNvGrpSpPr/>
                      <wpg:grpSpPr>
                        <a:xfrm>
                          <a:off x="0" y="0"/>
                          <a:ext cx="4222115" cy="15240"/>
                          <a:chExt cx="4222115" cy="15240"/>
                        </a:xfrm>
                      </wpg:grpSpPr>
                      <wps:wsp>
                        <wps:cNvPr id="334" name="Graphic 334"/>
                        <wps:cNvSpPr/>
                        <wps:spPr>
                          <a:xfrm>
                            <a:off x="0" y="7365"/>
                            <a:ext cx="4205605" cy="7620"/>
                          </a:xfrm>
                          <a:custGeom>
                            <a:avLst/>
                            <a:gdLst/>
                            <a:ahLst/>
                            <a:cxnLst/>
                            <a:rect l="l" t="t" r="r" b="b"/>
                            <a:pathLst>
                              <a:path w="4205605" h="7620">
                                <a:moveTo>
                                  <a:pt x="4205478" y="0"/>
                                </a:moveTo>
                                <a:lnTo>
                                  <a:pt x="0" y="0"/>
                                </a:lnTo>
                                <a:lnTo>
                                  <a:pt x="0" y="7620"/>
                                </a:lnTo>
                                <a:lnTo>
                                  <a:pt x="4205478" y="7620"/>
                                </a:lnTo>
                                <a:lnTo>
                                  <a:pt x="4205478" y="0"/>
                                </a:lnTo>
                                <a:close/>
                              </a:path>
                            </a:pathLst>
                          </a:custGeom>
                          <a:solidFill>
                            <a:srgbClr val="0000FF"/>
                          </a:solidFill>
                        </wps:spPr>
                        <wps:bodyPr wrap="square" lIns="0" tIns="0" rIns="0" bIns="0" rtlCol="0">
                          <a:prstTxWarp prst="textNoShape">
                            <a:avLst/>
                          </a:prstTxWarp>
                          <a:noAutofit/>
                        </wps:bodyPr>
                      </wps:wsp>
                      <wps:wsp>
                        <wps:cNvPr id="335" name="Graphic 335"/>
                        <wps:cNvSpPr/>
                        <wps:spPr>
                          <a:xfrm>
                            <a:off x="4193794" y="0"/>
                            <a:ext cx="28575" cy="12700"/>
                          </a:xfrm>
                          <a:custGeom>
                            <a:avLst/>
                            <a:gdLst/>
                            <a:ahLst/>
                            <a:cxnLst/>
                            <a:rect l="l" t="t" r="r" b="b"/>
                            <a:pathLst>
                              <a:path w="28575" h="12700">
                                <a:moveTo>
                                  <a:pt x="28321" y="0"/>
                                </a:moveTo>
                                <a:lnTo>
                                  <a:pt x="0" y="0"/>
                                </a:lnTo>
                                <a:lnTo>
                                  <a:pt x="0" y="12674"/>
                                </a:lnTo>
                                <a:lnTo>
                                  <a:pt x="28321" y="12674"/>
                                </a:lnTo>
                                <a:lnTo>
                                  <a:pt x="28321" y="0"/>
                                </a:lnTo>
                                <a:close/>
                              </a:path>
                            </a:pathLst>
                          </a:custGeom>
                          <a:solidFill>
                            <a:srgbClr val="1153CC"/>
                          </a:solidFill>
                        </wps:spPr>
                        <wps:bodyPr wrap="square" lIns="0" tIns="0" rIns="0" bIns="0" rtlCol="0">
                          <a:prstTxWarp prst="textNoShape">
                            <a:avLst/>
                          </a:prstTxWarp>
                          <a:noAutofit/>
                        </wps:bodyPr>
                      </wps:wsp>
                    </wpg:wgp>
                  </a:graphicData>
                </a:graphic>
              </wp:anchor>
            </w:drawing>
          </mc:Choice>
          <mc:Fallback>
            <w:pict>
              <v:group style="position:absolute;margin-left:162.779999pt;margin-top:19.969765pt;width:332.45pt;height:1.2pt;mso-position-horizontal-relative:page;mso-position-vertical-relative:paragraph;z-index:15789568" id="docshapegroup262" coordorigin="3256,399" coordsize="6649,24">
                <v:rect style="position:absolute;left:3255;top:411;width:6623;height:12" id="docshape263" filled="true" fillcolor="#0000ff" stroked="false">
                  <v:fill type="solid"/>
                </v:rect>
                <v:rect style="position:absolute;left:9860;top:399;width:45;height:20" id="docshape264" filled="true" fillcolor="#1153cc" stroked="false">
                  <v:fill type="solid"/>
                </v:rect>
                <w10:wrap type="none"/>
              </v:group>
            </w:pict>
          </mc:Fallback>
        </mc:AlternateContent>
      </w:r>
      <w:r>
        <w:rPr>
          <w:sz w:val="18"/>
          <w:vertAlign w:val="superscript"/>
        </w:rPr>
        <w:t>41</w:t>
      </w:r>
      <w:r>
        <w:rPr>
          <w:spacing w:val="-13"/>
          <w:sz w:val="18"/>
          <w:vertAlign w:val="baseline"/>
        </w:rPr>
        <w:t> </w:t>
      </w:r>
      <w:r>
        <w:rPr>
          <w:sz w:val="18"/>
          <w:vertAlign w:val="baseline"/>
        </w:rPr>
        <w:t>Center</w:t>
      </w:r>
      <w:r>
        <w:rPr>
          <w:spacing w:val="-4"/>
          <w:sz w:val="18"/>
          <w:vertAlign w:val="baseline"/>
        </w:rPr>
        <w:t> </w:t>
      </w:r>
      <w:r>
        <w:rPr>
          <w:sz w:val="18"/>
          <w:vertAlign w:val="baseline"/>
        </w:rPr>
        <w:t>for</w:t>
      </w:r>
      <w:r>
        <w:rPr>
          <w:spacing w:val="-3"/>
          <w:sz w:val="18"/>
          <w:vertAlign w:val="baseline"/>
        </w:rPr>
        <w:t> </w:t>
      </w:r>
      <w:r>
        <w:rPr>
          <w:sz w:val="18"/>
          <w:vertAlign w:val="baseline"/>
        </w:rPr>
        <w:t>Youth</w:t>
      </w:r>
      <w:r>
        <w:rPr>
          <w:spacing w:val="-2"/>
          <w:sz w:val="18"/>
          <w:vertAlign w:val="baseline"/>
        </w:rPr>
        <w:t> </w:t>
      </w:r>
      <w:r>
        <w:rPr>
          <w:sz w:val="18"/>
          <w:vertAlign w:val="baseline"/>
        </w:rPr>
        <w:t>and</w:t>
      </w:r>
      <w:r>
        <w:rPr>
          <w:spacing w:val="-2"/>
          <w:sz w:val="18"/>
          <w:vertAlign w:val="baseline"/>
        </w:rPr>
        <w:t> </w:t>
      </w:r>
      <w:r>
        <w:rPr>
          <w:sz w:val="18"/>
          <w:vertAlign w:val="baseline"/>
        </w:rPr>
        <w:t>Adults</w:t>
      </w:r>
      <w:r>
        <w:rPr>
          <w:spacing w:val="-2"/>
          <w:sz w:val="18"/>
          <w:vertAlign w:val="baseline"/>
        </w:rPr>
        <w:t> </w:t>
      </w:r>
      <w:r>
        <w:rPr>
          <w:sz w:val="18"/>
          <w:vertAlign w:val="baseline"/>
        </w:rPr>
        <w:t>with</w:t>
      </w:r>
      <w:r>
        <w:rPr>
          <w:spacing w:val="-2"/>
          <w:sz w:val="18"/>
          <w:vertAlign w:val="baseline"/>
        </w:rPr>
        <w:t> </w:t>
      </w:r>
      <w:r>
        <w:rPr>
          <w:sz w:val="18"/>
          <w:vertAlign w:val="baseline"/>
        </w:rPr>
        <w:t>Conditions</w:t>
      </w:r>
      <w:r>
        <w:rPr>
          <w:spacing w:val="-2"/>
          <w:sz w:val="18"/>
          <w:vertAlign w:val="baseline"/>
        </w:rPr>
        <w:t> </w:t>
      </w:r>
      <w:r>
        <w:rPr>
          <w:sz w:val="18"/>
          <w:vertAlign w:val="baseline"/>
        </w:rPr>
        <w:t>of</w:t>
      </w:r>
      <w:r>
        <w:rPr>
          <w:spacing w:val="-2"/>
          <w:sz w:val="18"/>
          <w:vertAlign w:val="baseline"/>
        </w:rPr>
        <w:t> </w:t>
      </w:r>
      <w:r>
        <w:rPr>
          <w:sz w:val="18"/>
          <w:vertAlign w:val="baseline"/>
        </w:rPr>
        <w:t>Childhood,</w:t>
      </w:r>
      <w:r>
        <w:rPr>
          <w:spacing w:val="-3"/>
          <w:sz w:val="18"/>
          <w:vertAlign w:val="baseline"/>
        </w:rPr>
        <w:t> </w:t>
      </w:r>
      <w:r>
        <w:rPr>
          <w:sz w:val="18"/>
          <w:vertAlign w:val="baseline"/>
        </w:rPr>
        <w:t>Indiana</w:t>
      </w:r>
      <w:r>
        <w:rPr>
          <w:spacing w:val="-2"/>
          <w:sz w:val="18"/>
          <w:vertAlign w:val="baseline"/>
        </w:rPr>
        <w:t> </w:t>
      </w:r>
      <w:r>
        <w:rPr>
          <w:sz w:val="18"/>
          <w:vertAlign w:val="baseline"/>
        </w:rPr>
        <w:t>School</w:t>
      </w:r>
      <w:r>
        <w:rPr>
          <w:spacing w:val="-3"/>
          <w:sz w:val="18"/>
          <w:vertAlign w:val="baseline"/>
        </w:rPr>
        <w:t> </w:t>
      </w:r>
      <w:r>
        <w:rPr>
          <w:sz w:val="18"/>
          <w:vertAlign w:val="baseline"/>
        </w:rPr>
        <w:t>of</w:t>
      </w:r>
      <w:r>
        <w:rPr>
          <w:spacing w:val="-2"/>
          <w:sz w:val="18"/>
          <w:vertAlign w:val="baseline"/>
        </w:rPr>
        <w:t> </w:t>
      </w:r>
      <w:r>
        <w:rPr>
          <w:sz w:val="18"/>
          <w:vertAlign w:val="baseline"/>
        </w:rPr>
        <w:t>Medicine.</w:t>
      </w:r>
      <w:r>
        <w:rPr>
          <w:spacing w:val="-2"/>
          <w:sz w:val="18"/>
          <w:vertAlign w:val="baseline"/>
        </w:rPr>
        <w:t> </w:t>
      </w:r>
      <w:r>
        <w:rPr>
          <w:sz w:val="18"/>
          <w:vertAlign w:val="baseline"/>
        </w:rPr>
        <w:t>“Teenage</w:t>
      </w:r>
      <w:r>
        <w:rPr>
          <w:spacing w:val="-3"/>
          <w:sz w:val="18"/>
          <w:vertAlign w:val="baseline"/>
        </w:rPr>
        <w:t> </w:t>
      </w:r>
      <w:r>
        <w:rPr>
          <w:sz w:val="18"/>
          <w:vertAlign w:val="baseline"/>
        </w:rPr>
        <w:t>Pregnancy</w:t>
      </w:r>
      <w:r>
        <w:rPr>
          <w:spacing w:val="-2"/>
          <w:sz w:val="18"/>
          <w:vertAlign w:val="baseline"/>
        </w:rPr>
        <w:t> </w:t>
      </w:r>
      <w:r>
        <w:rPr>
          <w:sz w:val="18"/>
          <w:vertAlign w:val="baseline"/>
        </w:rPr>
        <w:t>and</w:t>
      </w:r>
      <w:r>
        <w:rPr>
          <w:spacing w:val="-3"/>
          <w:sz w:val="18"/>
          <w:vertAlign w:val="baseline"/>
        </w:rPr>
        <w:t> </w:t>
      </w:r>
      <w:r>
        <w:rPr>
          <w:sz w:val="18"/>
          <w:vertAlign w:val="baseline"/>
        </w:rPr>
        <w:t>Youth</w:t>
      </w:r>
      <w:r>
        <w:rPr>
          <w:spacing w:val="-2"/>
          <w:sz w:val="18"/>
          <w:vertAlign w:val="baseline"/>
        </w:rPr>
        <w:t> </w:t>
      </w:r>
      <w:r>
        <w:rPr>
          <w:sz w:val="18"/>
          <w:vertAlign w:val="baseline"/>
        </w:rPr>
        <w:t>with Intellectual Disabilities.” </w:t>
      </w:r>
      <w:hyperlink r:id="rId426">
        <w:r>
          <w:rPr>
            <w:color w:val="0000FF"/>
            <w:sz w:val="18"/>
            <w:vertAlign w:val="baseline"/>
          </w:rPr>
          <w:t>https://instrc.indiana.edu/pdf/resources/Fact_Sheet_Teen_Pregnancy_with_Disability.pd</w:t>
        </w:r>
      </w:hyperlink>
      <w:hyperlink r:id="rId426">
        <w:r>
          <w:rPr>
            <w:color w:val="0000FF"/>
            <w:sz w:val="18"/>
            <w:vertAlign w:val="baseline"/>
          </w:rPr>
          <w:t>f</w:t>
        </w:r>
        <w:r>
          <w:rPr>
            <w:color w:val="1153CC"/>
            <w:sz w:val="18"/>
            <w:vertAlign w:val="baseline"/>
          </w:rPr>
          <w:t>.</w:t>
        </w:r>
      </w:hyperlink>
    </w:p>
    <w:p>
      <w:pPr>
        <w:spacing w:before="0"/>
        <w:ind w:left="363" w:right="272" w:hanging="1"/>
        <w:jc w:val="left"/>
        <w:rPr>
          <w:sz w:val="18"/>
        </w:rPr>
      </w:pPr>
      <w:r>
        <w:rPr>
          <w:sz w:val="18"/>
          <w:vertAlign w:val="superscript"/>
        </w:rPr>
        <w:t>42</w:t>
      </w:r>
      <w:r>
        <w:rPr>
          <w:spacing w:val="-13"/>
          <w:sz w:val="18"/>
          <w:vertAlign w:val="baseline"/>
        </w:rPr>
        <w:t> </w:t>
      </w:r>
      <w:r>
        <w:rPr>
          <w:sz w:val="18"/>
          <w:vertAlign w:val="baseline"/>
        </w:rPr>
        <w:t>Charlton,</w:t>
      </w:r>
      <w:r>
        <w:rPr>
          <w:spacing w:val="-4"/>
          <w:sz w:val="18"/>
          <w:vertAlign w:val="baseline"/>
        </w:rPr>
        <w:t> </w:t>
      </w:r>
      <w:r>
        <w:rPr>
          <w:sz w:val="18"/>
          <w:vertAlign w:val="baseline"/>
        </w:rPr>
        <w:t>Brittany,</w:t>
      </w:r>
      <w:r>
        <w:rPr>
          <w:spacing w:val="-3"/>
          <w:sz w:val="18"/>
          <w:vertAlign w:val="baseline"/>
        </w:rPr>
        <w:t> </w:t>
      </w:r>
      <w:r>
        <w:rPr>
          <w:sz w:val="18"/>
          <w:vertAlign w:val="baseline"/>
        </w:rPr>
        <w:t>et</w:t>
      </w:r>
      <w:r>
        <w:rPr>
          <w:spacing w:val="-3"/>
          <w:sz w:val="18"/>
          <w:vertAlign w:val="baseline"/>
        </w:rPr>
        <w:t> </w:t>
      </w:r>
      <w:r>
        <w:rPr>
          <w:sz w:val="18"/>
          <w:vertAlign w:val="baseline"/>
        </w:rPr>
        <w:t>al.</w:t>
      </w:r>
      <w:r>
        <w:rPr>
          <w:spacing w:val="-2"/>
          <w:sz w:val="18"/>
          <w:vertAlign w:val="baseline"/>
        </w:rPr>
        <w:t> </w:t>
      </w:r>
      <w:r>
        <w:rPr>
          <w:sz w:val="18"/>
          <w:vertAlign w:val="baseline"/>
        </w:rPr>
        <w:t>March</w:t>
      </w:r>
      <w:r>
        <w:rPr>
          <w:spacing w:val="-2"/>
          <w:sz w:val="18"/>
          <w:vertAlign w:val="baseline"/>
        </w:rPr>
        <w:t> </w:t>
      </w:r>
      <w:r>
        <w:rPr>
          <w:sz w:val="18"/>
          <w:vertAlign w:val="baseline"/>
        </w:rPr>
        <w:t>2021.</w:t>
      </w:r>
      <w:r>
        <w:rPr>
          <w:spacing w:val="-2"/>
          <w:sz w:val="18"/>
          <w:vertAlign w:val="baseline"/>
        </w:rPr>
        <w:t> </w:t>
      </w:r>
      <w:r>
        <w:rPr>
          <w:sz w:val="18"/>
          <w:vertAlign w:val="baseline"/>
        </w:rPr>
        <w:t>“Teen</w:t>
      </w:r>
      <w:r>
        <w:rPr>
          <w:spacing w:val="-3"/>
          <w:sz w:val="18"/>
          <w:vertAlign w:val="baseline"/>
        </w:rPr>
        <w:t> </w:t>
      </w:r>
      <w:r>
        <w:rPr>
          <w:sz w:val="18"/>
          <w:vertAlign w:val="baseline"/>
        </w:rPr>
        <w:t>Pregnancy</w:t>
      </w:r>
      <w:r>
        <w:rPr>
          <w:spacing w:val="-2"/>
          <w:sz w:val="18"/>
          <w:vertAlign w:val="baseline"/>
        </w:rPr>
        <w:t> </w:t>
      </w:r>
      <w:r>
        <w:rPr>
          <w:sz w:val="18"/>
          <w:vertAlign w:val="baseline"/>
        </w:rPr>
        <w:t>Risk</w:t>
      </w:r>
      <w:r>
        <w:rPr>
          <w:spacing w:val="-3"/>
          <w:sz w:val="18"/>
          <w:vertAlign w:val="baseline"/>
        </w:rPr>
        <w:t> </w:t>
      </w:r>
      <w:r>
        <w:rPr>
          <w:sz w:val="18"/>
          <w:vertAlign w:val="baseline"/>
        </w:rPr>
        <w:t>Factors</w:t>
      </w:r>
      <w:r>
        <w:rPr>
          <w:spacing w:val="-2"/>
          <w:sz w:val="18"/>
          <w:vertAlign w:val="baseline"/>
        </w:rPr>
        <w:t> </w:t>
      </w:r>
      <w:r>
        <w:rPr>
          <w:sz w:val="18"/>
          <w:vertAlign w:val="baseline"/>
        </w:rPr>
        <w:t>Among</w:t>
      </w:r>
      <w:r>
        <w:rPr>
          <w:spacing w:val="-2"/>
          <w:sz w:val="18"/>
          <w:vertAlign w:val="baseline"/>
        </w:rPr>
        <w:t> </w:t>
      </w:r>
      <w:r>
        <w:rPr>
          <w:sz w:val="18"/>
          <w:vertAlign w:val="baseline"/>
        </w:rPr>
        <w:t>Young</w:t>
      </w:r>
      <w:r>
        <w:rPr>
          <w:spacing w:val="-2"/>
          <w:sz w:val="18"/>
          <w:vertAlign w:val="baseline"/>
        </w:rPr>
        <w:t> </w:t>
      </w:r>
      <w:r>
        <w:rPr>
          <w:sz w:val="18"/>
          <w:vertAlign w:val="baseline"/>
        </w:rPr>
        <w:t>Women</w:t>
      </w:r>
      <w:r>
        <w:rPr>
          <w:spacing w:val="-2"/>
          <w:sz w:val="18"/>
          <w:vertAlign w:val="baseline"/>
        </w:rPr>
        <w:t> </w:t>
      </w:r>
      <w:r>
        <w:rPr>
          <w:sz w:val="18"/>
          <w:vertAlign w:val="baseline"/>
        </w:rPr>
        <w:t>of</w:t>
      </w:r>
      <w:r>
        <w:rPr>
          <w:spacing w:val="-2"/>
          <w:sz w:val="18"/>
          <w:vertAlign w:val="baseline"/>
        </w:rPr>
        <w:t> </w:t>
      </w:r>
      <w:r>
        <w:rPr>
          <w:sz w:val="18"/>
          <w:vertAlign w:val="baseline"/>
        </w:rPr>
        <w:t>Diverse</w:t>
      </w:r>
      <w:r>
        <w:rPr>
          <w:spacing w:val="-2"/>
          <w:sz w:val="18"/>
          <w:vertAlign w:val="baseline"/>
        </w:rPr>
        <w:t> </w:t>
      </w:r>
      <w:r>
        <w:rPr>
          <w:sz w:val="18"/>
          <w:vertAlign w:val="baseline"/>
        </w:rPr>
        <w:t>Sexual</w:t>
      </w:r>
      <w:r>
        <w:rPr>
          <w:spacing w:val="-3"/>
          <w:sz w:val="18"/>
          <w:vertAlign w:val="baseline"/>
        </w:rPr>
        <w:t> </w:t>
      </w:r>
      <w:r>
        <w:rPr>
          <w:sz w:val="18"/>
          <w:vertAlign w:val="baseline"/>
        </w:rPr>
        <w:t>Orientations.”</w:t>
      </w:r>
      <w:r>
        <w:rPr>
          <w:spacing w:val="-2"/>
          <w:sz w:val="18"/>
          <w:vertAlign w:val="baseline"/>
        </w:rPr>
        <w:t> </w:t>
      </w:r>
      <w:r>
        <w:rPr>
          <w:sz w:val="18"/>
          <w:vertAlign w:val="baseline"/>
        </w:rPr>
        <w:t>In </w:t>
      </w:r>
      <w:r>
        <w:rPr>
          <w:i/>
          <w:sz w:val="18"/>
          <w:vertAlign w:val="baseline"/>
        </w:rPr>
        <w:t>Pediatric Collections: LGBTQ+: Support and Care (Part 2: Health Concerns and Disparities)</w:t>
      </w:r>
      <w:r>
        <w:rPr>
          <w:sz w:val="18"/>
          <w:vertAlign w:val="baseline"/>
        </w:rPr>
        <w:t>. American Academy of Pediatrics. </w:t>
      </w:r>
      <w:hyperlink r:id="rId423">
        <w:r>
          <w:rPr>
            <w:color w:val="0000FF"/>
            <w:spacing w:val="-2"/>
            <w:sz w:val="18"/>
            <w:u w:val="single" w:color="0000FF"/>
            <w:vertAlign w:val="baseline"/>
          </w:rPr>
          <w:t>https://doi.org/10.1542/9781610025409-teen</w:t>
        </w:r>
      </w:hyperlink>
      <w:hyperlink r:id="rId423">
        <w:r>
          <w:rPr>
            <w:spacing w:val="-2"/>
            <w:sz w:val="18"/>
            <w:u w:val="none"/>
            <w:vertAlign w:val="baseline"/>
          </w:rPr>
          <w:t>.</w:t>
        </w:r>
      </w:hyperlink>
    </w:p>
    <w:p>
      <w:pPr>
        <w:spacing w:before="0"/>
        <w:ind w:left="363" w:right="355" w:firstLine="0"/>
        <w:jc w:val="both"/>
        <w:rPr>
          <w:sz w:val="18"/>
        </w:rPr>
      </w:pPr>
      <w:r>
        <w:rPr/>
        <mc:AlternateContent>
          <mc:Choice Requires="wps">
            <w:drawing>
              <wp:anchor distT="0" distB="0" distL="0" distR="0" allowOverlap="1" layoutInCell="1" locked="0" behindDoc="1" simplePos="0" relativeHeight="482613248">
                <wp:simplePos x="0" y="0"/>
                <wp:positionH relativeFrom="page">
                  <wp:posOffset>1689100</wp:posOffset>
                </wp:positionH>
                <wp:positionV relativeFrom="paragraph">
                  <wp:posOffset>380620</wp:posOffset>
                </wp:positionV>
                <wp:extent cx="28575" cy="12700"/>
                <wp:effectExtent l="0" t="0" r="0" b="0"/>
                <wp:wrapNone/>
                <wp:docPr id="336" name="Graphic 336"/>
                <wp:cNvGraphicFramePr>
                  <a:graphicFrameLocks/>
                </wp:cNvGraphicFramePr>
                <a:graphic>
                  <a:graphicData uri="http://schemas.microsoft.com/office/word/2010/wordprocessingShape">
                    <wps:wsp>
                      <wps:cNvPr id="336" name="Graphic 336"/>
                      <wps:cNvSpPr/>
                      <wps:spPr>
                        <a:xfrm>
                          <a:off x="0" y="0"/>
                          <a:ext cx="28575" cy="12700"/>
                        </a:xfrm>
                        <a:custGeom>
                          <a:avLst/>
                          <a:gdLst/>
                          <a:ahLst/>
                          <a:cxnLst/>
                          <a:rect l="l" t="t" r="r" b="b"/>
                          <a:pathLst>
                            <a:path w="28575" h="12700">
                              <a:moveTo>
                                <a:pt x="28320" y="0"/>
                              </a:moveTo>
                              <a:lnTo>
                                <a:pt x="0" y="0"/>
                              </a:lnTo>
                              <a:lnTo>
                                <a:pt x="0" y="12674"/>
                              </a:lnTo>
                              <a:lnTo>
                                <a:pt x="28320" y="12674"/>
                              </a:lnTo>
                              <a:lnTo>
                                <a:pt x="28320" y="0"/>
                              </a:lnTo>
                              <a:close/>
                            </a:path>
                          </a:pathLst>
                        </a:custGeom>
                        <a:solidFill>
                          <a:srgbClr val="1153CC"/>
                        </a:solidFill>
                      </wps:spPr>
                      <wps:bodyPr wrap="square" lIns="0" tIns="0" rIns="0" bIns="0" rtlCol="0">
                        <a:prstTxWarp prst="textNoShape">
                          <a:avLst/>
                        </a:prstTxWarp>
                        <a:noAutofit/>
                      </wps:bodyPr>
                    </wps:wsp>
                  </a:graphicData>
                </a:graphic>
              </wp:anchor>
            </w:drawing>
          </mc:Choice>
          <mc:Fallback>
            <w:pict>
              <v:rect style="position:absolute;margin-left:133pt;margin-top:29.970125pt;width:2.23pt;height:.998pt;mso-position-horizontal-relative:page;mso-position-vertical-relative:paragraph;z-index:-20703232" id="docshape265" filled="true" fillcolor="#1153cc" stroked="false">
                <v:fill type="solid"/>
                <w10:wrap type="none"/>
              </v:rect>
            </w:pict>
          </mc:Fallback>
        </mc:AlternateContent>
      </w:r>
      <w:r>
        <w:rPr>
          <w:sz w:val="18"/>
          <w:vertAlign w:val="superscript"/>
        </w:rPr>
        <w:t>43</w:t>
      </w:r>
      <w:r>
        <w:rPr>
          <w:spacing w:val="-11"/>
          <w:sz w:val="18"/>
          <w:vertAlign w:val="baseline"/>
        </w:rPr>
        <w:t> </w:t>
      </w:r>
      <w:r>
        <w:rPr>
          <w:sz w:val="18"/>
          <w:vertAlign w:val="baseline"/>
        </w:rPr>
        <w:t>Charlton,</w:t>
      </w:r>
      <w:r>
        <w:rPr>
          <w:spacing w:val="-7"/>
          <w:sz w:val="18"/>
          <w:vertAlign w:val="baseline"/>
        </w:rPr>
        <w:t> </w:t>
      </w:r>
      <w:r>
        <w:rPr>
          <w:sz w:val="18"/>
          <w:vertAlign w:val="baseline"/>
        </w:rPr>
        <w:t>Brittany,</w:t>
      </w:r>
      <w:r>
        <w:rPr>
          <w:spacing w:val="-3"/>
          <w:sz w:val="18"/>
          <w:vertAlign w:val="baseline"/>
        </w:rPr>
        <w:t> </w:t>
      </w:r>
      <w:r>
        <w:rPr>
          <w:sz w:val="18"/>
          <w:vertAlign w:val="baseline"/>
        </w:rPr>
        <w:t>et</w:t>
      </w:r>
      <w:r>
        <w:rPr>
          <w:spacing w:val="-3"/>
          <w:sz w:val="18"/>
          <w:vertAlign w:val="baseline"/>
        </w:rPr>
        <w:t> </w:t>
      </w:r>
      <w:r>
        <w:rPr>
          <w:sz w:val="18"/>
          <w:vertAlign w:val="baseline"/>
        </w:rPr>
        <w:t>al.</w:t>
      </w:r>
      <w:r>
        <w:rPr>
          <w:spacing w:val="-3"/>
          <w:sz w:val="18"/>
          <w:vertAlign w:val="baseline"/>
        </w:rPr>
        <w:t> </w:t>
      </w:r>
      <w:r>
        <w:rPr>
          <w:sz w:val="18"/>
          <w:vertAlign w:val="baseline"/>
        </w:rPr>
        <w:t>December</w:t>
      </w:r>
      <w:r>
        <w:rPr>
          <w:spacing w:val="-3"/>
          <w:sz w:val="18"/>
          <w:vertAlign w:val="baseline"/>
        </w:rPr>
        <w:t> </w:t>
      </w:r>
      <w:r>
        <w:rPr>
          <w:sz w:val="18"/>
          <w:vertAlign w:val="baseline"/>
        </w:rPr>
        <w:t>2019.</w:t>
      </w:r>
      <w:r>
        <w:rPr>
          <w:spacing w:val="-3"/>
          <w:sz w:val="18"/>
          <w:vertAlign w:val="baseline"/>
        </w:rPr>
        <w:t> </w:t>
      </w:r>
      <w:r>
        <w:rPr>
          <w:sz w:val="18"/>
          <w:vertAlign w:val="baseline"/>
        </w:rPr>
        <w:t>“Sexual</w:t>
      </w:r>
      <w:r>
        <w:rPr>
          <w:spacing w:val="-3"/>
          <w:sz w:val="18"/>
          <w:vertAlign w:val="baseline"/>
        </w:rPr>
        <w:t> </w:t>
      </w:r>
      <w:r>
        <w:rPr>
          <w:sz w:val="18"/>
          <w:vertAlign w:val="baseline"/>
        </w:rPr>
        <w:t>Orientation</w:t>
      </w:r>
      <w:r>
        <w:rPr>
          <w:spacing w:val="-2"/>
          <w:sz w:val="18"/>
          <w:vertAlign w:val="baseline"/>
        </w:rPr>
        <w:t> </w:t>
      </w:r>
      <w:r>
        <w:rPr>
          <w:sz w:val="18"/>
          <w:vertAlign w:val="baseline"/>
        </w:rPr>
        <w:t>Differences</w:t>
      </w:r>
      <w:r>
        <w:rPr>
          <w:spacing w:val="-3"/>
          <w:sz w:val="18"/>
          <w:vertAlign w:val="baseline"/>
        </w:rPr>
        <w:t> </w:t>
      </w:r>
      <w:r>
        <w:rPr>
          <w:sz w:val="18"/>
          <w:vertAlign w:val="baseline"/>
        </w:rPr>
        <w:t>in</w:t>
      </w:r>
      <w:r>
        <w:rPr>
          <w:spacing w:val="-3"/>
          <w:sz w:val="18"/>
          <w:vertAlign w:val="baseline"/>
        </w:rPr>
        <w:t> </w:t>
      </w:r>
      <w:r>
        <w:rPr>
          <w:sz w:val="18"/>
          <w:vertAlign w:val="baseline"/>
        </w:rPr>
        <w:t>Pregnancy</w:t>
      </w:r>
      <w:r>
        <w:rPr>
          <w:spacing w:val="-3"/>
          <w:sz w:val="18"/>
          <w:vertAlign w:val="baseline"/>
        </w:rPr>
        <w:t> </w:t>
      </w:r>
      <w:r>
        <w:rPr>
          <w:sz w:val="18"/>
          <w:vertAlign w:val="baseline"/>
        </w:rPr>
        <w:t>and</w:t>
      </w:r>
      <w:r>
        <w:rPr>
          <w:spacing w:val="-3"/>
          <w:sz w:val="18"/>
          <w:vertAlign w:val="baseline"/>
        </w:rPr>
        <w:t> </w:t>
      </w:r>
      <w:r>
        <w:rPr>
          <w:sz w:val="18"/>
          <w:vertAlign w:val="baseline"/>
        </w:rPr>
        <w:t>Abortion</w:t>
      </w:r>
      <w:r>
        <w:rPr>
          <w:spacing w:val="-3"/>
          <w:sz w:val="18"/>
          <w:vertAlign w:val="baseline"/>
        </w:rPr>
        <w:t> </w:t>
      </w:r>
      <w:r>
        <w:rPr>
          <w:sz w:val="18"/>
          <w:vertAlign w:val="baseline"/>
        </w:rPr>
        <w:t>Across</w:t>
      </w:r>
      <w:r>
        <w:rPr>
          <w:spacing w:val="-3"/>
          <w:sz w:val="18"/>
          <w:vertAlign w:val="baseline"/>
        </w:rPr>
        <w:t> </w:t>
      </w:r>
      <w:r>
        <w:rPr>
          <w:sz w:val="18"/>
          <w:vertAlign w:val="baseline"/>
        </w:rPr>
        <w:t>the</w:t>
      </w:r>
      <w:r>
        <w:rPr>
          <w:spacing w:val="-3"/>
          <w:sz w:val="18"/>
          <w:vertAlign w:val="baseline"/>
        </w:rPr>
        <w:t> </w:t>
      </w:r>
      <w:r>
        <w:rPr>
          <w:sz w:val="18"/>
          <w:vertAlign w:val="baseline"/>
        </w:rPr>
        <w:t>Lifecourse.” Guttmacher Institute. </w:t>
      </w:r>
      <w:hyperlink r:id="rId427">
        <w:r>
          <w:rPr>
            <w:color w:val="0000FF"/>
            <w:sz w:val="18"/>
            <w:u w:val="single" w:color="0000FF"/>
            <w:vertAlign w:val="baseline"/>
          </w:rPr>
          <w:t>https://www.guttmacher.org/article/2019/12/sexual-orientation-differences-pregnancy-and-abortion-</w:t>
        </w:r>
      </w:hyperlink>
      <w:r>
        <w:rPr>
          <w:color w:val="0000FF"/>
          <w:sz w:val="18"/>
          <w:u w:val="none"/>
          <w:vertAlign w:val="baseline"/>
        </w:rPr>
        <w:t> </w:t>
      </w:r>
      <w:hyperlink r:id="rId427">
        <w:r>
          <w:rPr>
            <w:color w:val="0000FF"/>
            <w:spacing w:val="-2"/>
            <w:sz w:val="18"/>
            <w:u w:val="single" w:color="0000FF"/>
            <w:vertAlign w:val="baseline"/>
          </w:rPr>
          <w:t>across-lifecourse</w:t>
        </w:r>
      </w:hyperlink>
      <w:hyperlink r:id="rId427">
        <w:r>
          <w:rPr>
            <w:color w:val="1153CC"/>
            <w:spacing w:val="-2"/>
            <w:sz w:val="18"/>
            <w:u w:val="none"/>
            <w:vertAlign w:val="baseline"/>
          </w:rPr>
          <w:t>.</w:t>
        </w:r>
      </w:hyperlink>
    </w:p>
    <w:p>
      <w:pPr>
        <w:spacing w:before="0"/>
        <w:ind w:left="363" w:right="420" w:hanging="1"/>
        <w:jc w:val="both"/>
        <w:rPr>
          <w:sz w:val="18"/>
        </w:rPr>
      </w:pPr>
      <w:r>
        <w:rPr>
          <w:sz w:val="18"/>
          <w:vertAlign w:val="superscript"/>
        </w:rPr>
        <w:t>44</w:t>
      </w:r>
      <w:r>
        <w:rPr>
          <w:spacing w:val="-11"/>
          <w:sz w:val="18"/>
          <w:vertAlign w:val="baseline"/>
        </w:rPr>
        <w:t> </w:t>
      </w:r>
      <w:r>
        <w:rPr>
          <w:sz w:val="18"/>
          <w:vertAlign w:val="baseline"/>
        </w:rPr>
        <w:t>Moseson,</w:t>
      </w:r>
      <w:r>
        <w:rPr>
          <w:spacing w:val="-7"/>
          <w:sz w:val="18"/>
          <w:vertAlign w:val="baseline"/>
        </w:rPr>
        <w:t> </w:t>
      </w:r>
      <w:r>
        <w:rPr>
          <w:sz w:val="18"/>
          <w:vertAlign w:val="baseline"/>
        </w:rPr>
        <w:t>Heidi</w:t>
      </w:r>
      <w:r>
        <w:rPr>
          <w:spacing w:val="-3"/>
          <w:sz w:val="18"/>
          <w:vertAlign w:val="baseline"/>
        </w:rPr>
        <w:t> </w:t>
      </w:r>
      <w:r>
        <w:rPr>
          <w:sz w:val="18"/>
          <w:vertAlign w:val="baseline"/>
        </w:rPr>
        <w:t>et</w:t>
      </w:r>
      <w:r>
        <w:rPr>
          <w:spacing w:val="-3"/>
          <w:sz w:val="18"/>
          <w:vertAlign w:val="baseline"/>
        </w:rPr>
        <w:t> </w:t>
      </w:r>
      <w:r>
        <w:rPr>
          <w:sz w:val="18"/>
          <w:vertAlign w:val="baseline"/>
        </w:rPr>
        <w:t>al.</w:t>
      </w:r>
      <w:r>
        <w:rPr>
          <w:spacing w:val="-2"/>
          <w:sz w:val="18"/>
          <w:vertAlign w:val="baseline"/>
        </w:rPr>
        <w:t> </w:t>
      </w:r>
      <w:r>
        <w:rPr>
          <w:sz w:val="18"/>
          <w:vertAlign w:val="baseline"/>
        </w:rPr>
        <w:t>September,</w:t>
      </w:r>
      <w:r>
        <w:rPr>
          <w:spacing w:val="-3"/>
          <w:sz w:val="18"/>
          <w:vertAlign w:val="baseline"/>
        </w:rPr>
        <w:t> </w:t>
      </w:r>
      <w:r>
        <w:rPr>
          <w:sz w:val="18"/>
          <w:vertAlign w:val="baseline"/>
        </w:rPr>
        <w:t>24,</w:t>
      </w:r>
      <w:r>
        <w:rPr>
          <w:spacing w:val="-3"/>
          <w:sz w:val="18"/>
          <w:vertAlign w:val="baseline"/>
        </w:rPr>
        <w:t> </w:t>
      </w:r>
      <w:r>
        <w:rPr>
          <w:sz w:val="18"/>
          <w:vertAlign w:val="baseline"/>
        </w:rPr>
        <w:t>2020.</w:t>
      </w:r>
      <w:r>
        <w:rPr>
          <w:spacing w:val="-2"/>
          <w:sz w:val="18"/>
          <w:vertAlign w:val="baseline"/>
        </w:rPr>
        <w:t> </w:t>
      </w:r>
      <w:r>
        <w:rPr>
          <w:sz w:val="18"/>
          <w:vertAlign w:val="baseline"/>
        </w:rPr>
        <w:t>“Abortion</w:t>
      </w:r>
      <w:r>
        <w:rPr>
          <w:spacing w:val="-2"/>
          <w:sz w:val="18"/>
          <w:vertAlign w:val="baseline"/>
        </w:rPr>
        <w:t> </w:t>
      </w:r>
      <w:r>
        <w:rPr>
          <w:sz w:val="18"/>
          <w:vertAlign w:val="baseline"/>
        </w:rPr>
        <w:t>experiences</w:t>
      </w:r>
      <w:r>
        <w:rPr>
          <w:spacing w:val="-2"/>
          <w:sz w:val="18"/>
          <w:vertAlign w:val="baseline"/>
        </w:rPr>
        <w:t> </w:t>
      </w:r>
      <w:r>
        <w:rPr>
          <w:sz w:val="18"/>
          <w:vertAlign w:val="baseline"/>
        </w:rPr>
        <w:t>and</w:t>
      </w:r>
      <w:r>
        <w:rPr>
          <w:spacing w:val="-3"/>
          <w:sz w:val="18"/>
          <w:vertAlign w:val="baseline"/>
        </w:rPr>
        <w:t> </w:t>
      </w:r>
      <w:r>
        <w:rPr>
          <w:sz w:val="18"/>
          <w:vertAlign w:val="baseline"/>
        </w:rPr>
        <w:t>preferences</w:t>
      </w:r>
      <w:r>
        <w:rPr>
          <w:spacing w:val="-2"/>
          <w:sz w:val="18"/>
          <w:vertAlign w:val="baseline"/>
        </w:rPr>
        <w:t> </w:t>
      </w:r>
      <w:r>
        <w:rPr>
          <w:sz w:val="18"/>
          <w:vertAlign w:val="baseline"/>
        </w:rPr>
        <w:t>of</w:t>
      </w:r>
      <w:r>
        <w:rPr>
          <w:spacing w:val="-2"/>
          <w:sz w:val="18"/>
          <w:vertAlign w:val="baseline"/>
        </w:rPr>
        <w:t> </w:t>
      </w:r>
      <w:r>
        <w:rPr>
          <w:sz w:val="18"/>
          <w:vertAlign w:val="baseline"/>
        </w:rPr>
        <w:t>transgender,</w:t>
      </w:r>
      <w:r>
        <w:rPr>
          <w:spacing w:val="-3"/>
          <w:sz w:val="18"/>
          <w:vertAlign w:val="baseline"/>
        </w:rPr>
        <w:t> </w:t>
      </w:r>
      <w:r>
        <w:rPr>
          <w:sz w:val="18"/>
          <w:vertAlign w:val="baseline"/>
        </w:rPr>
        <w:t>nonbinary,</w:t>
      </w:r>
      <w:r>
        <w:rPr>
          <w:spacing w:val="-3"/>
          <w:sz w:val="18"/>
          <w:vertAlign w:val="baseline"/>
        </w:rPr>
        <w:t> </w:t>
      </w:r>
      <w:r>
        <w:rPr>
          <w:sz w:val="18"/>
          <w:vertAlign w:val="baseline"/>
        </w:rPr>
        <w:t>and</w:t>
      </w:r>
      <w:r>
        <w:rPr>
          <w:spacing w:val="-2"/>
          <w:sz w:val="18"/>
          <w:vertAlign w:val="baseline"/>
        </w:rPr>
        <w:t> </w:t>
      </w:r>
      <w:r>
        <w:rPr>
          <w:sz w:val="18"/>
          <w:vertAlign w:val="baseline"/>
        </w:rPr>
        <w:t>gender- expansive</w:t>
      </w:r>
      <w:r>
        <w:rPr>
          <w:spacing w:val="-2"/>
          <w:sz w:val="18"/>
          <w:vertAlign w:val="baseline"/>
        </w:rPr>
        <w:t> </w:t>
      </w:r>
      <w:r>
        <w:rPr>
          <w:sz w:val="18"/>
          <w:vertAlign w:val="baseline"/>
        </w:rPr>
        <w:t>people</w:t>
      </w:r>
      <w:r>
        <w:rPr>
          <w:spacing w:val="-1"/>
          <w:sz w:val="18"/>
          <w:vertAlign w:val="baseline"/>
        </w:rPr>
        <w:t> </w:t>
      </w:r>
      <w:r>
        <w:rPr>
          <w:sz w:val="18"/>
          <w:vertAlign w:val="baseline"/>
        </w:rPr>
        <w:t>in</w:t>
      </w:r>
      <w:r>
        <w:rPr>
          <w:spacing w:val="-1"/>
          <w:sz w:val="18"/>
          <w:vertAlign w:val="baseline"/>
        </w:rPr>
        <w:t> </w:t>
      </w:r>
      <w:r>
        <w:rPr>
          <w:sz w:val="18"/>
          <w:vertAlign w:val="baseline"/>
        </w:rPr>
        <w:t>the</w:t>
      </w:r>
      <w:r>
        <w:rPr>
          <w:spacing w:val="-1"/>
          <w:sz w:val="18"/>
          <w:vertAlign w:val="baseline"/>
        </w:rPr>
        <w:t> </w:t>
      </w:r>
      <w:r>
        <w:rPr>
          <w:sz w:val="18"/>
          <w:vertAlign w:val="baseline"/>
        </w:rPr>
        <w:t>United</w:t>
      </w:r>
      <w:r>
        <w:rPr>
          <w:spacing w:val="-1"/>
          <w:sz w:val="18"/>
          <w:vertAlign w:val="baseline"/>
        </w:rPr>
        <w:t> </w:t>
      </w:r>
      <w:r>
        <w:rPr>
          <w:sz w:val="18"/>
          <w:vertAlign w:val="baseline"/>
        </w:rPr>
        <w:t>States.”</w:t>
      </w:r>
      <w:r>
        <w:rPr>
          <w:spacing w:val="-1"/>
          <w:sz w:val="18"/>
          <w:vertAlign w:val="baseline"/>
        </w:rPr>
        <w:t> </w:t>
      </w:r>
      <w:r>
        <w:rPr>
          <w:i/>
          <w:sz w:val="18"/>
          <w:vertAlign w:val="baseline"/>
        </w:rPr>
        <w:t>American Journal</w:t>
      </w:r>
      <w:r>
        <w:rPr>
          <w:i/>
          <w:spacing w:val="-2"/>
          <w:sz w:val="18"/>
          <w:vertAlign w:val="baseline"/>
        </w:rPr>
        <w:t> </w:t>
      </w:r>
      <w:r>
        <w:rPr>
          <w:i/>
          <w:sz w:val="18"/>
          <w:vertAlign w:val="baseline"/>
        </w:rPr>
        <w:t>of</w:t>
      </w:r>
      <w:r>
        <w:rPr>
          <w:i/>
          <w:spacing w:val="-1"/>
          <w:sz w:val="18"/>
          <w:vertAlign w:val="baseline"/>
        </w:rPr>
        <w:t> </w:t>
      </w:r>
      <w:r>
        <w:rPr>
          <w:i/>
          <w:sz w:val="18"/>
          <w:vertAlign w:val="baseline"/>
        </w:rPr>
        <w:t>Obstetrics</w:t>
      </w:r>
      <w:r>
        <w:rPr>
          <w:i/>
          <w:spacing w:val="-2"/>
          <w:sz w:val="18"/>
          <w:vertAlign w:val="baseline"/>
        </w:rPr>
        <w:t> </w:t>
      </w:r>
      <w:r>
        <w:rPr>
          <w:i/>
          <w:sz w:val="18"/>
          <w:vertAlign w:val="baseline"/>
        </w:rPr>
        <w:t>&amp;</w:t>
      </w:r>
      <w:r>
        <w:rPr>
          <w:i/>
          <w:spacing w:val="-2"/>
          <w:sz w:val="18"/>
          <w:vertAlign w:val="baseline"/>
        </w:rPr>
        <w:t> </w:t>
      </w:r>
      <w:r>
        <w:rPr>
          <w:i/>
          <w:sz w:val="18"/>
          <w:vertAlign w:val="baseline"/>
        </w:rPr>
        <w:t>Gynecology</w:t>
      </w:r>
      <w:r>
        <w:rPr>
          <w:sz w:val="18"/>
          <w:vertAlign w:val="baseline"/>
        </w:rPr>
        <w:t>,</w:t>
      </w:r>
      <w:r>
        <w:rPr>
          <w:spacing w:val="-2"/>
          <w:sz w:val="18"/>
          <w:vertAlign w:val="baseline"/>
        </w:rPr>
        <w:t> </w:t>
      </w:r>
      <w:r>
        <w:rPr>
          <w:sz w:val="18"/>
          <w:vertAlign w:val="baseline"/>
        </w:rPr>
        <w:t>Volume</w:t>
      </w:r>
      <w:r>
        <w:rPr>
          <w:spacing w:val="-1"/>
          <w:sz w:val="18"/>
          <w:vertAlign w:val="baseline"/>
        </w:rPr>
        <w:t> </w:t>
      </w:r>
      <w:r>
        <w:rPr>
          <w:sz w:val="18"/>
          <w:vertAlign w:val="baseline"/>
        </w:rPr>
        <w:t>224,</w:t>
      </w:r>
      <w:r>
        <w:rPr>
          <w:spacing w:val="-1"/>
          <w:sz w:val="18"/>
          <w:vertAlign w:val="baseline"/>
        </w:rPr>
        <w:t> </w:t>
      </w:r>
      <w:r>
        <w:rPr>
          <w:sz w:val="18"/>
          <w:vertAlign w:val="baseline"/>
        </w:rPr>
        <w:t>Issue</w:t>
      </w:r>
      <w:r>
        <w:rPr>
          <w:spacing w:val="-2"/>
          <w:sz w:val="18"/>
          <w:vertAlign w:val="baseline"/>
        </w:rPr>
        <w:t> </w:t>
      </w:r>
      <w:r>
        <w:rPr>
          <w:sz w:val="18"/>
          <w:vertAlign w:val="baseline"/>
        </w:rPr>
        <w:t>4,</w:t>
      </w:r>
      <w:r>
        <w:rPr>
          <w:spacing w:val="-2"/>
          <w:sz w:val="18"/>
          <w:vertAlign w:val="baseline"/>
        </w:rPr>
        <w:t> </w:t>
      </w:r>
      <w:r>
        <w:rPr>
          <w:sz w:val="18"/>
          <w:vertAlign w:val="baseline"/>
        </w:rPr>
        <w:t>376.e1</w:t>
      </w:r>
      <w:r>
        <w:rPr>
          <w:spacing w:val="-1"/>
          <w:sz w:val="18"/>
          <w:vertAlign w:val="baseline"/>
        </w:rPr>
        <w:t> </w:t>
      </w:r>
      <w:r>
        <w:rPr>
          <w:sz w:val="18"/>
          <w:vertAlign w:val="baseline"/>
        </w:rPr>
        <w:t>-</w:t>
      </w:r>
      <w:r>
        <w:rPr>
          <w:spacing w:val="-3"/>
          <w:sz w:val="18"/>
          <w:vertAlign w:val="baseline"/>
        </w:rPr>
        <w:t> </w:t>
      </w:r>
      <w:r>
        <w:rPr>
          <w:sz w:val="18"/>
          <w:vertAlign w:val="baseline"/>
        </w:rPr>
        <w:t>376.e11. </w:t>
      </w:r>
      <w:hyperlink r:id="rId428">
        <w:r>
          <w:rPr>
            <w:color w:val="0000FF"/>
            <w:spacing w:val="-2"/>
            <w:sz w:val="18"/>
            <w:u w:val="single" w:color="0000FF"/>
            <w:vertAlign w:val="baseline"/>
          </w:rPr>
          <w:t>https://doi.org/10.1016/j.ajog.2020.09.035</w:t>
        </w:r>
      </w:hyperlink>
      <w:hyperlink r:id="rId428">
        <w:r>
          <w:rPr>
            <w:spacing w:val="-2"/>
            <w:sz w:val="18"/>
            <w:u w:val="none"/>
            <w:vertAlign w:val="baseline"/>
          </w:rPr>
          <w:t>.</w:t>
        </w:r>
      </w:hyperlink>
    </w:p>
    <w:p>
      <w:pPr>
        <w:spacing w:before="0"/>
        <w:ind w:left="363" w:right="91" w:hanging="1"/>
        <w:jc w:val="left"/>
        <w:rPr>
          <w:sz w:val="18"/>
        </w:rPr>
      </w:pPr>
      <w:r>
        <w:rPr>
          <w:sz w:val="18"/>
          <w:vertAlign w:val="superscript"/>
        </w:rPr>
        <w:t>45</w:t>
      </w:r>
      <w:r>
        <w:rPr>
          <w:spacing w:val="-13"/>
          <w:sz w:val="18"/>
          <w:vertAlign w:val="baseline"/>
        </w:rPr>
        <w:t> </w:t>
      </w:r>
      <w:r>
        <w:rPr>
          <w:sz w:val="18"/>
          <w:vertAlign w:val="baseline"/>
        </w:rPr>
        <w:t>Heather</w:t>
      </w:r>
      <w:r>
        <w:rPr>
          <w:spacing w:val="-4"/>
          <w:sz w:val="18"/>
          <w:vertAlign w:val="baseline"/>
        </w:rPr>
        <w:t> </w:t>
      </w:r>
      <w:r>
        <w:rPr>
          <w:sz w:val="18"/>
          <w:vertAlign w:val="baseline"/>
        </w:rPr>
        <w:t>Tillewein</w:t>
      </w:r>
      <w:r>
        <w:rPr>
          <w:spacing w:val="-2"/>
          <w:sz w:val="18"/>
          <w:vertAlign w:val="baseline"/>
        </w:rPr>
        <w:t> </w:t>
      </w:r>
      <w:r>
        <w:rPr>
          <w:sz w:val="18"/>
          <w:vertAlign w:val="baseline"/>
        </w:rPr>
        <w:t>et</w:t>
      </w:r>
      <w:r>
        <w:rPr>
          <w:spacing w:val="-3"/>
          <w:sz w:val="18"/>
          <w:vertAlign w:val="baseline"/>
        </w:rPr>
        <w:t> </w:t>
      </w:r>
      <w:r>
        <w:rPr>
          <w:sz w:val="18"/>
          <w:vertAlign w:val="baseline"/>
        </w:rPr>
        <w:t>al.,</w:t>
      </w:r>
      <w:r>
        <w:rPr>
          <w:spacing w:val="-3"/>
          <w:sz w:val="18"/>
          <w:vertAlign w:val="baseline"/>
        </w:rPr>
        <w:t> </w:t>
      </w:r>
      <w:r>
        <w:rPr>
          <w:sz w:val="18"/>
          <w:vertAlign w:val="baseline"/>
        </w:rPr>
        <w:t>“Silencing</w:t>
      </w:r>
      <w:r>
        <w:rPr>
          <w:spacing w:val="-2"/>
          <w:sz w:val="18"/>
          <w:vertAlign w:val="baseline"/>
        </w:rPr>
        <w:t> </w:t>
      </w:r>
      <w:r>
        <w:rPr>
          <w:sz w:val="18"/>
          <w:vertAlign w:val="baseline"/>
        </w:rPr>
        <w:t>the</w:t>
      </w:r>
      <w:r>
        <w:rPr>
          <w:spacing w:val="-2"/>
          <w:sz w:val="18"/>
          <w:vertAlign w:val="baseline"/>
        </w:rPr>
        <w:t> </w:t>
      </w:r>
      <w:r>
        <w:rPr>
          <w:sz w:val="18"/>
          <w:vertAlign w:val="baseline"/>
        </w:rPr>
        <w:t>Rainbow:</w:t>
      </w:r>
      <w:r>
        <w:rPr>
          <w:spacing w:val="-2"/>
          <w:sz w:val="18"/>
          <w:vertAlign w:val="baseline"/>
        </w:rPr>
        <w:t> </w:t>
      </w:r>
      <w:r>
        <w:rPr>
          <w:sz w:val="18"/>
          <w:vertAlign w:val="baseline"/>
        </w:rPr>
        <w:t>Prevalence</w:t>
      </w:r>
      <w:r>
        <w:rPr>
          <w:spacing w:val="-2"/>
          <w:sz w:val="18"/>
          <w:vertAlign w:val="baseline"/>
        </w:rPr>
        <w:t> </w:t>
      </w:r>
      <w:r>
        <w:rPr>
          <w:sz w:val="18"/>
          <w:vertAlign w:val="baseline"/>
        </w:rPr>
        <w:t>of</w:t>
      </w:r>
      <w:r>
        <w:rPr>
          <w:spacing w:val="-2"/>
          <w:sz w:val="18"/>
          <w:vertAlign w:val="baseline"/>
        </w:rPr>
        <w:t> </w:t>
      </w:r>
      <w:r>
        <w:rPr>
          <w:sz w:val="18"/>
          <w:vertAlign w:val="baseline"/>
        </w:rPr>
        <w:t>LGBTQ+</w:t>
      </w:r>
      <w:r>
        <w:rPr>
          <w:spacing w:val="-2"/>
          <w:sz w:val="18"/>
          <w:vertAlign w:val="baseline"/>
        </w:rPr>
        <w:t> </w:t>
      </w:r>
      <w:r>
        <w:rPr>
          <w:sz w:val="18"/>
          <w:vertAlign w:val="baseline"/>
        </w:rPr>
        <w:t>Students</w:t>
      </w:r>
      <w:r>
        <w:rPr>
          <w:spacing w:val="-3"/>
          <w:sz w:val="18"/>
          <w:vertAlign w:val="baseline"/>
        </w:rPr>
        <w:t> </w:t>
      </w:r>
      <w:r>
        <w:rPr>
          <w:sz w:val="18"/>
          <w:vertAlign w:val="baseline"/>
        </w:rPr>
        <w:t>Who</w:t>
      </w:r>
      <w:r>
        <w:rPr>
          <w:spacing w:val="-2"/>
          <w:sz w:val="18"/>
          <w:vertAlign w:val="baseline"/>
        </w:rPr>
        <w:t> </w:t>
      </w:r>
      <w:r>
        <w:rPr>
          <w:sz w:val="18"/>
          <w:vertAlign w:val="baseline"/>
        </w:rPr>
        <w:t>Do</w:t>
      </w:r>
      <w:r>
        <w:rPr>
          <w:spacing w:val="-2"/>
          <w:sz w:val="18"/>
          <w:vertAlign w:val="baseline"/>
        </w:rPr>
        <w:t> </w:t>
      </w:r>
      <w:r>
        <w:rPr>
          <w:sz w:val="18"/>
          <w:vertAlign w:val="baseline"/>
        </w:rPr>
        <w:t>Not</w:t>
      </w:r>
      <w:r>
        <w:rPr>
          <w:spacing w:val="-3"/>
          <w:sz w:val="18"/>
          <w:vertAlign w:val="baseline"/>
        </w:rPr>
        <w:t> </w:t>
      </w:r>
      <w:r>
        <w:rPr>
          <w:sz w:val="18"/>
          <w:vertAlign w:val="baseline"/>
        </w:rPr>
        <w:t>Report</w:t>
      </w:r>
      <w:r>
        <w:rPr>
          <w:spacing w:val="-3"/>
          <w:sz w:val="18"/>
          <w:vertAlign w:val="baseline"/>
        </w:rPr>
        <w:t> </w:t>
      </w:r>
      <w:r>
        <w:rPr>
          <w:sz w:val="18"/>
          <w:vertAlign w:val="baseline"/>
        </w:rPr>
        <w:t>Sexual</w:t>
      </w:r>
      <w:r>
        <w:rPr>
          <w:spacing w:val="-3"/>
          <w:sz w:val="18"/>
          <w:vertAlign w:val="baseline"/>
        </w:rPr>
        <w:t> </w:t>
      </w:r>
      <w:r>
        <w:rPr>
          <w:sz w:val="18"/>
          <w:vertAlign w:val="baseline"/>
        </w:rPr>
        <w:t>Violence,” </w:t>
      </w:r>
      <w:r>
        <w:rPr>
          <w:i/>
          <w:sz w:val="18"/>
          <w:vertAlign w:val="baseline"/>
        </w:rPr>
        <w:t>International Journal of Environmental Research and Public Health </w:t>
      </w:r>
      <w:r>
        <w:rPr>
          <w:sz w:val="18"/>
          <w:vertAlign w:val="baseline"/>
        </w:rPr>
        <w:t>20, no. 3 (January 22, 2023): 2020, </w:t>
      </w:r>
      <w:r>
        <w:rPr>
          <w:spacing w:val="-2"/>
          <w:sz w:val="18"/>
          <w:vertAlign w:val="baseline"/>
        </w:rPr>
        <w:t>https://doi.org/10.3390/ijerph20032020.</w:t>
      </w:r>
    </w:p>
    <w:p>
      <w:pPr>
        <w:spacing w:line="219" w:lineRule="exact" w:before="0"/>
        <w:ind w:left="363" w:right="0" w:firstLine="0"/>
        <w:jc w:val="left"/>
        <w:rPr>
          <w:sz w:val="18"/>
        </w:rPr>
      </w:pPr>
      <w:r>
        <w:rPr>
          <w:sz w:val="18"/>
          <w:vertAlign w:val="superscript"/>
        </w:rPr>
        <w:t>46</w:t>
      </w:r>
      <w:r>
        <w:rPr>
          <w:spacing w:val="-15"/>
          <w:sz w:val="18"/>
          <w:vertAlign w:val="baseline"/>
        </w:rPr>
        <w:t> </w:t>
      </w:r>
      <w:r>
        <w:rPr>
          <w:sz w:val="18"/>
          <w:vertAlign w:val="baseline"/>
        </w:rPr>
        <w:t>Thoma,</w:t>
      </w:r>
      <w:r>
        <w:rPr>
          <w:spacing w:val="-5"/>
          <w:sz w:val="18"/>
          <w:vertAlign w:val="baseline"/>
        </w:rPr>
        <w:t> </w:t>
      </w:r>
      <w:r>
        <w:rPr>
          <w:sz w:val="18"/>
          <w:vertAlign w:val="baseline"/>
        </w:rPr>
        <w:t>Brian,</w:t>
      </w:r>
      <w:r>
        <w:rPr>
          <w:spacing w:val="-4"/>
          <w:sz w:val="18"/>
          <w:vertAlign w:val="baseline"/>
        </w:rPr>
        <w:t> </w:t>
      </w:r>
      <w:r>
        <w:rPr>
          <w:sz w:val="18"/>
          <w:vertAlign w:val="baseline"/>
        </w:rPr>
        <w:t>et</w:t>
      </w:r>
      <w:r>
        <w:rPr>
          <w:spacing w:val="-3"/>
          <w:sz w:val="18"/>
          <w:vertAlign w:val="baseline"/>
        </w:rPr>
        <w:t> </w:t>
      </w:r>
      <w:r>
        <w:rPr>
          <w:sz w:val="18"/>
          <w:vertAlign w:val="baseline"/>
        </w:rPr>
        <w:t>al.</w:t>
      </w:r>
      <w:r>
        <w:rPr>
          <w:spacing w:val="-2"/>
          <w:sz w:val="18"/>
          <w:vertAlign w:val="baseline"/>
        </w:rPr>
        <w:t> </w:t>
      </w:r>
      <w:r>
        <w:rPr>
          <w:sz w:val="18"/>
          <w:vertAlign w:val="baseline"/>
        </w:rPr>
        <w:t>August</w:t>
      </w:r>
      <w:r>
        <w:rPr>
          <w:spacing w:val="-3"/>
          <w:sz w:val="18"/>
          <w:vertAlign w:val="baseline"/>
        </w:rPr>
        <w:t> </w:t>
      </w:r>
      <w:r>
        <w:rPr>
          <w:sz w:val="18"/>
          <w:vertAlign w:val="baseline"/>
        </w:rPr>
        <w:t>2021.</w:t>
      </w:r>
      <w:r>
        <w:rPr>
          <w:spacing w:val="-3"/>
          <w:sz w:val="18"/>
          <w:vertAlign w:val="baseline"/>
        </w:rPr>
        <w:t> </w:t>
      </w:r>
      <w:r>
        <w:rPr>
          <w:sz w:val="18"/>
          <w:vertAlign w:val="baseline"/>
        </w:rPr>
        <w:t>“Disparities</w:t>
      </w:r>
      <w:r>
        <w:rPr>
          <w:spacing w:val="-2"/>
          <w:sz w:val="18"/>
          <w:vertAlign w:val="baseline"/>
        </w:rPr>
        <w:t> </w:t>
      </w:r>
      <w:r>
        <w:rPr>
          <w:sz w:val="18"/>
          <w:vertAlign w:val="baseline"/>
        </w:rPr>
        <w:t>in</w:t>
      </w:r>
      <w:r>
        <w:rPr>
          <w:spacing w:val="-2"/>
          <w:sz w:val="18"/>
          <w:vertAlign w:val="baseline"/>
        </w:rPr>
        <w:t> </w:t>
      </w:r>
      <w:r>
        <w:rPr>
          <w:sz w:val="18"/>
          <w:vertAlign w:val="baseline"/>
        </w:rPr>
        <w:t>Childhood</w:t>
      </w:r>
      <w:r>
        <w:rPr>
          <w:spacing w:val="-2"/>
          <w:sz w:val="18"/>
          <w:vertAlign w:val="baseline"/>
        </w:rPr>
        <w:t> </w:t>
      </w:r>
      <w:r>
        <w:rPr>
          <w:sz w:val="18"/>
          <w:vertAlign w:val="baseline"/>
        </w:rPr>
        <w:t>Abuse</w:t>
      </w:r>
      <w:r>
        <w:rPr>
          <w:spacing w:val="-2"/>
          <w:sz w:val="18"/>
          <w:vertAlign w:val="baseline"/>
        </w:rPr>
        <w:t> </w:t>
      </w:r>
      <w:r>
        <w:rPr>
          <w:sz w:val="18"/>
          <w:vertAlign w:val="baseline"/>
        </w:rPr>
        <w:t>Between</w:t>
      </w:r>
      <w:r>
        <w:rPr>
          <w:spacing w:val="-2"/>
          <w:sz w:val="18"/>
          <w:vertAlign w:val="baseline"/>
        </w:rPr>
        <w:t> </w:t>
      </w:r>
      <w:r>
        <w:rPr>
          <w:sz w:val="18"/>
          <w:vertAlign w:val="baseline"/>
        </w:rPr>
        <w:t>Transgender</w:t>
      </w:r>
      <w:r>
        <w:rPr>
          <w:spacing w:val="-3"/>
          <w:sz w:val="18"/>
          <w:vertAlign w:val="baseline"/>
        </w:rPr>
        <w:t> </w:t>
      </w:r>
      <w:r>
        <w:rPr>
          <w:sz w:val="18"/>
          <w:vertAlign w:val="baseline"/>
        </w:rPr>
        <w:t>and</w:t>
      </w:r>
      <w:r>
        <w:rPr>
          <w:spacing w:val="-2"/>
          <w:sz w:val="18"/>
          <w:vertAlign w:val="baseline"/>
        </w:rPr>
        <w:t> </w:t>
      </w:r>
      <w:r>
        <w:rPr>
          <w:sz w:val="18"/>
          <w:vertAlign w:val="baseline"/>
        </w:rPr>
        <w:t>Cisgender</w:t>
      </w:r>
      <w:r>
        <w:rPr>
          <w:spacing w:val="-3"/>
          <w:sz w:val="18"/>
          <w:vertAlign w:val="baseline"/>
        </w:rPr>
        <w:t> </w:t>
      </w:r>
      <w:r>
        <w:rPr>
          <w:spacing w:val="-2"/>
          <w:sz w:val="18"/>
          <w:vertAlign w:val="baseline"/>
        </w:rPr>
        <w:t>Adolescents.”</w:t>
      </w:r>
    </w:p>
    <w:p>
      <w:pPr>
        <w:spacing w:before="0"/>
        <w:ind w:left="363" w:right="0" w:firstLine="0"/>
        <w:jc w:val="left"/>
        <w:rPr>
          <w:sz w:val="18"/>
        </w:rPr>
      </w:pPr>
      <w:r>
        <w:rPr>
          <w:i/>
          <w:sz w:val="18"/>
        </w:rPr>
        <w:t>Pediatrics</w:t>
      </w:r>
      <w:r>
        <w:rPr>
          <w:sz w:val="18"/>
        </w:rPr>
        <w:t>:</w:t>
      </w:r>
      <w:r>
        <w:rPr>
          <w:spacing w:val="-3"/>
          <w:sz w:val="18"/>
        </w:rPr>
        <w:t> </w:t>
      </w:r>
      <w:r>
        <w:rPr>
          <w:sz w:val="18"/>
        </w:rPr>
        <w:t>Volume</w:t>
      </w:r>
      <w:r>
        <w:rPr>
          <w:spacing w:val="-2"/>
          <w:sz w:val="18"/>
        </w:rPr>
        <w:t> </w:t>
      </w:r>
      <w:r>
        <w:rPr>
          <w:sz w:val="18"/>
        </w:rPr>
        <w:t>148,</w:t>
      </w:r>
      <w:r>
        <w:rPr>
          <w:spacing w:val="-3"/>
          <w:sz w:val="18"/>
        </w:rPr>
        <w:t> </w:t>
      </w:r>
      <w:r>
        <w:rPr>
          <w:sz w:val="18"/>
        </w:rPr>
        <w:t>Issue</w:t>
      </w:r>
      <w:r>
        <w:rPr>
          <w:spacing w:val="-2"/>
          <w:sz w:val="18"/>
        </w:rPr>
        <w:t> </w:t>
      </w:r>
      <w:r>
        <w:rPr>
          <w:sz w:val="18"/>
        </w:rPr>
        <w:t>2.</w:t>
      </w:r>
      <w:r>
        <w:rPr>
          <w:spacing w:val="-4"/>
          <w:sz w:val="18"/>
        </w:rPr>
        <w:t> </w:t>
      </w:r>
      <w:hyperlink r:id="rId429">
        <w:r>
          <w:rPr>
            <w:color w:val="0000FF"/>
            <w:spacing w:val="-2"/>
            <w:sz w:val="18"/>
            <w:u w:val="single" w:color="0000FF"/>
          </w:rPr>
          <w:t>https://pubmed.ncbi.nlm.nih.gov/34226247/</w:t>
        </w:r>
      </w:hyperlink>
      <w:hyperlink r:id="rId429">
        <w:r>
          <w:rPr>
            <w:spacing w:val="-2"/>
            <w:sz w:val="18"/>
            <w:u w:val="none"/>
          </w:rPr>
          <w:t>.</w:t>
        </w:r>
      </w:hyperlink>
    </w:p>
    <w:p>
      <w:pPr>
        <w:spacing w:before="0"/>
        <w:ind w:left="363" w:right="0" w:firstLine="0"/>
        <w:jc w:val="left"/>
        <w:rPr>
          <w:sz w:val="18"/>
        </w:rPr>
      </w:pPr>
      <w:r>
        <w:rPr>
          <w:sz w:val="18"/>
          <w:vertAlign w:val="superscript"/>
        </w:rPr>
        <w:t>47</w:t>
      </w:r>
      <w:r>
        <w:rPr>
          <w:spacing w:val="-15"/>
          <w:sz w:val="18"/>
          <w:vertAlign w:val="baseline"/>
        </w:rPr>
        <w:t> </w:t>
      </w:r>
      <w:r>
        <w:rPr>
          <w:sz w:val="18"/>
          <w:vertAlign w:val="baseline"/>
        </w:rPr>
        <w:t>Thoma,</w:t>
      </w:r>
      <w:r>
        <w:rPr>
          <w:spacing w:val="-5"/>
          <w:sz w:val="18"/>
          <w:vertAlign w:val="baseline"/>
        </w:rPr>
        <w:t> </w:t>
      </w:r>
      <w:r>
        <w:rPr>
          <w:sz w:val="18"/>
          <w:vertAlign w:val="baseline"/>
        </w:rPr>
        <w:t>Brian,</w:t>
      </w:r>
      <w:r>
        <w:rPr>
          <w:spacing w:val="-4"/>
          <w:sz w:val="18"/>
          <w:vertAlign w:val="baseline"/>
        </w:rPr>
        <w:t> </w:t>
      </w:r>
      <w:r>
        <w:rPr>
          <w:sz w:val="18"/>
          <w:vertAlign w:val="baseline"/>
        </w:rPr>
        <w:t>et</w:t>
      </w:r>
      <w:r>
        <w:rPr>
          <w:spacing w:val="-3"/>
          <w:sz w:val="18"/>
          <w:vertAlign w:val="baseline"/>
        </w:rPr>
        <w:t> </w:t>
      </w:r>
      <w:r>
        <w:rPr>
          <w:sz w:val="18"/>
          <w:vertAlign w:val="baseline"/>
        </w:rPr>
        <w:t>al.</w:t>
      </w:r>
      <w:r>
        <w:rPr>
          <w:spacing w:val="-2"/>
          <w:sz w:val="18"/>
          <w:vertAlign w:val="baseline"/>
        </w:rPr>
        <w:t> </w:t>
      </w:r>
      <w:r>
        <w:rPr>
          <w:sz w:val="18"/>
          <w:vertAlign w:val="baseline"/>
        </w:rPr>
        <w:t>August</w:t>
      </w:r>
      <w:r>
        <w:rPr>
          <w:spacing w:val="-3"/>
          <w:sz w:val="18"/>
          <w:vertAlign w:val="baseline"/>
        </w:rPr>
        <w:t> </w:t>
      </w:r>
      <w:r>
        <w:rPr>
          <w:sz w:val="18"/>
          <w:vertAlign w:val="baseline"/>
        </w:rPr>
        <w:t>2021.</w:t>
      </w:r>
      <w:r>
        <w:rPr>
          <w:spacing w:val="-3"/>
          <w:sz w:val="18"/>
          <w:vertAlign w:val="baseline"/>
        </w:rPr>
        <w:t> </w:t>
      </w:r>
      <w:r>
        <w:rPr>
          <w:sz w:val="18"/>
          <w:vertAlign w:val="baseline"/>
        </w:rPr>
        <w:t>“Disparities</w:t>
      </w:r>
      <w:r>
        <w:rPr>
          <w:spacing w:val="-2"/>
          <w:sz w:val="18"/>
          <w:vertAlign w:val="baseline"/>
        </w:rPr>
        <w:t> </w:t>
      </w:r>
      <w:r>
        <w:rPr>
          <w:sz w:val="18"/>
          <w:vertAlign w:val="baseline"/>
        </w:rPr>
        <w:t>in</w:t>
      </w:r>
      <w:r>
        <w:rPr>
          <w:spacing w:val="-2"/>
          <w:sz w:val="18"/>
          <w:vertAlign w:val="baseline"/>
        </w:rPr>
        <w:t> </w:t>
      </w:r>
      <w:r>
        <w:rPr>
          <w:sz w:val="18"/>
          <w:vertAlign w:val="baseline"/>
        </w:rPr>
        <w:t>Childhood</w:t>
      </w:r>
      <w:r>
        <w:rPr>
          <w:spacing w:val="-2"/>
          <w:sz w:val="18"/>
          <w:vertAlign w:val="baseline"/>
        </w:rPr>
        <w:t> </w:t>
      </w:r>
      <w:r>
        <w:rPr>
          <w:sz w:val="18"/>
          <w:vertAlign w:val="baseline"/>
        </w:rPr>
        <w:t>Abuse</w:t>
      </w:r>
      <w:r>
        <w:rPr>
          <w:spacing w:val="-2"/>
          <w:sz w:val="18"/>
          <w:vertAlign w:val="baseline"/>
        </w:rPr>
        <w:t> </w:t>
      </w:r>
      <w:r>
        <w:rPr>
          <w:sz w:val="18"/>
          <w:vertAlign w:val="baseline"/>
        </w:rPr>
        <w:t>Between</w:t>
      </w:r>
      <w:r>
        <w:rPr>
          <w:spacing w:val="-2"/>
          <w:sz w:val="18"/>
          <w:vertAlign w:val="baseline"/>
        </w:rPr>
        <w:t> </w:t>
      </w:r>
      <w:r>
        <w:rPr>
          <w:sz w:val="18"/>
          <w:vertAlign w:val="baseline"/>
        </w:rPr>
        <w:t>Transgender</w:t>
      </w:r>
      <w:r>
        <w:rPr>
          <w:spacing w:val="-3"/>
          <w:sz w:val="18"/>
          <w:vertAlign w:val="baseline"/>
        </w:rPr>
        <w:t> </w:t>
      </w:r>
      <w:r>
        <w:rPr>
          <w:sz w:val="18"/>
          <w:vertAlign w:val="baseline"/>
        </w:rPr>
        <w:t>and</w:t>
      </w:r>
      <w:r>
        <w:rPr>
          <w:spacing w:val="-2"/>
          <w:sz w:val="18"/>
          <w:vertAlign w:val="baseline"/>
        </w:rPr>
        <w:t> </w:t>
      </w:r>
      <w:r>
        <w:rPr>
          <w:sz w:val="18"/>
          <w:vertAlign w:val="baseline"/>
        </w:rPr>
        <w:t>Cisgender</w:t>
      </w:r>
      <w:r>
        <w:rPr>
          <w:spacing w:val="-3"/>
          <w:sz w:val="18"/>
          <w:vertAlign w:val="baseline"/>
        </w:rPr>
        <w:t> </w:t>
      </w:r>
      <w:r>
        <w:rPr>
          <w:spacing w:val="-2"/>
          <w:sz w:val="18"/>
          <w:vertAlign w:val="baseline"/>
        </w:rPr>
        <w:t>Adolescents.”</w:t>
      </w:r>
    </w:p>
    <w:p>
      <w:pPr>
        <w:spacing w:before="0"/>
        <w:ind w:left="363" w:right="0" w:firstLine="0"/>
        <w:jc w:val="left"/>
        <w:rPr>
          <w:sz w:val="18"/>
        </w:rPr>
      </w:pPr>
      <w:r>
        <w:rPr>
          <w:i/>
          <w:sz w:val="18"/>
        </w:rPr>
        <w:t>Pediatrics</w:t>
      </w:r>
      <w:r>
        <w:rPr>
          <w:sz w:val="18"/>
        </w:rPr>
        <w:t>:</w:t>
      </w:r>
      <w:r>
        <w:rPr>
          <w:spacing w:val="-3"/>
          <w:sz w:val="18"/>
        </w:rPr>
        <w:t> </w:t>
      </w:r>
      <w:r>
        <w:rPr>
          <w:sz w:val="18"/>
        </w:rPr>
        <w:t>Volume</w:t>
      </w:r>
      <w:r>
        <w:rPr>
          <w:spacing w:val="-2"/>
          <w:sz w:val="18"/>
        </w:rPr>
        <w:t> </w:t>
      </w:r>
      <w:r>
        <w:rPr>
          <w:sz w:val="18"/>
        </w:rPr>
        <w:t>148,</w:t>
      </w:r>
      <w:r>
        <w:rPr>
          <w:spacing w:val="-3"/>
          <w:sz w:val="18"/>
        </w:rPr>
        <w:t> </w:t>
      </w:r>
      <w:r>
        <w:rPr>
          <w:sz w:val="18"/>
        </w:rPr>
        <w:t>Issue</w:t>
      </w:r>
      <w:r>
        <w:rPr>
          <w:spacing w:val="-2"/>
          <w:sz w:val="18"/>
        </w:rPr>
        <w:t> </w:t>
      </w:r>
      <w:r>
        <w:rPr>
          <w:sz w:val="18"/>
        </w:rPr>
        <w:t>2.</w:t>
      </w:r>
      <w:r>
        <w:rPr>
          <w:spacing w:val="-4"/>
          <w:sz w:val="18"/>
        </w:rPr>
        <w:t> </w:t>
      </w:r>
      <w:hyperlink r:id="rId429">
        <w:r>
          <w:rPr>
            <w:color w:val="0000FF"/>
            <w:spacing w:val="-2"/>
            <w:sz w:val="18"/>
            <w:u w:val="single" w:color="0000FF"/>
          </w:rPr>
          <w:t>https://pubmed.ncbi.nlm.nih.gov/34226247/</w:t>
        </w:r>
      </w:hyperlink>
      <w:hyperlink r:id="rId429">
        <w:r>
          <w:rPr>
            <w:spacing w:val="-2"/>
            <w:sz w:val="18"/>
            <w:u w:val="none"/>
          </w:rPr>
          <w:t>.</w:t>
        </w:r>
      </w:hyperlink>
    </w:p>
    <w:p>
      <w:pPr>
        <w:spacing w:before="0"/>
        <w:ind w:left="363" w:right="0" w:firstLine="0"/>
        <w:jc w:val="left"/>
        <w:rPr>
          <w:sz w:val="18"/>
        </w:rPr>
      </w:pPr>
      <w:r>
        <w:rPr>
          <w:sz w:val="18"/>
          <w:vertAlign w:val="superscript"/>
        </w:rPr>
        <w:t>48</w:t>
      </w:r>
      <w:r>
        <w:rPr>
          <w:spacing w:val="-13"/>
          <w:sz w:val="18"/>
          <w:vertAlign w:val="baseline"/>
        </w:rPr>
        <w:t> </w:t>
      </w:r>
      <w:r>
        <w:rPr>
          <w:sz w:val="18"/>
          <w:vertAlign w:val="baseline"/>
        </w:rPr>
        <w:t>2021</w:t>
      </w:r>
      <w:r>
        <w:rPr>
          <w:spacing w:val="-3"/>
          <w:sz w:val="18"/>
          <w:vertAlign w:val="baseline"/>
        </w:rPr>
        <w:t> </w:t>
      </w:r>
      <w:r>
        <w:rPr>
          <w:sz w:val="18"/>
          <w:vertAlign w:val="baseline"/>
        </w:rPr>
        <w:t>MYRBS</w:t>
      </w:r>
      <w:r>
        <w:rPr>
          <w:spacing w:val="-2"/>
          <w:sz w:val="18"/>
          <w:vertAlign w:val="baseline"/>
        </w:rPr>
        <w:t> </w:t>
      </w:r>
      <w:r>
        <w:rPr>
          <w:sz w:val="18"/>
          <w:vertAlign w:val="baseline"/>
        </w:rPr>
        <w:t>Analysis</w:t>
      </w:r>
      <w:r>
        <w:rPr>
          <w:spacing w:val="-1"/>
          <w:sz w:val="18"/>
          <w:vertAlign w:val="baseline"/>
        </w:rPr>
        <w:t> </w:t>
      </w:r>
      <w:r>
        <w:rPr>
          <w:sz w:val="18"/>
          <w:vertAlign w:val="baseline"/>
        </w:rPr>
        <w:t>–</w:t>
      </w:r>
      <w:r>
        <w:rPr>
          <w:spacing w:val="-2"/>
          <w:sz w:val="18"/>
          <w:vertAlign w:val="baseline"/>
        </w:rPr>
        <w:t> </w:t>
      </w:r>
      <w:r>
        <w:rPr>
          <w:sz w:val="18"/>
          <w:vertAlign w:val="baseline"/>
        </w:rPr>
        <w:t>data</w:t>
      </w:r>
      <w:r>
        <w:rPr>
          <w:spacing w:val="-1"/>
          <w:sz w:val="18"/>
          <w:vertAlign w:val="baseline"/>
        </w:rPr>
        <w:t> </w:t>
      </w:r>
      <w:r>
        <w:rPr>
          <w:sz w:val="18"/>
          <w:vertAlign w:val="baseline"/>
        </w:rPr>
        <w:t>on</w:t>
      </w:r>
      <w:r>
        <w:rPr>
          <w:spacing w:val="-2"/>
          <w:sz w:val="18"/>
          <w:vertAlign w:val="baseline"/>
        </w:rPr>
        <w:t> </w:t>
      </w:r>
      <w:r>
        <w:rPr>
          <w:sz w:val="18"/>
          <w:vertAlign w:val="baseline"/>
        </w:rPr>
        <w:t>file</w:t>
      </w:r>
      <w:r>
        <w:rPr>
          <w:spacing w:val="-2"/>
          <w:sz w:val="18"/>
          <w:vertAlign w:val="baseline"/>
        </w:rPr>
        <w:t> </w:t>
      </w:r>
      <w:r>
        <w:rPr>
          <w:sz w:val="18"/>
          <w:vertAlign w:val="baseline"/>
        </w:rPr>
        <w:t>with</w:t>
      </w:r>
      <w:r>
        <w:rPr>
          <w:spacing w:val="-1"/>
          <w:sz w:val="18"/>
          <w:vertAlign w:val="baseline"/>
        </w:rPr>
        <w:t> </w:t>
      </w:r>
      <w:r>
        <w:rPr>
          <w:spacing w:val="-2"/>
          <w:sz w:val="18"/>
          <w:vertAlign w:val="baseline"/>
        </w:rPr>
        <w:t>Commission.</w:t>
      </w:r>
    </w:p>
    <w:p>
      <w:pPr>
        <w:spacing w:before="0"/>
        <w:ind w:left="363" w:right="0" w:hanging="1"/>
        <w:jc w:val="left"/>
        <w:rPr>
          <w:sz w:val="18"/>
        </w:rPr>
      </w:pPr>
      <w:r>
        <w:rPr/>
        <mc:AlternateContent>
          <mc:Choice Requires="wps">
            <w:drawing>
              <wp:anchor distT="0" distB="0" distL="0" distR="0" allowOverlap="1" layoutInCell="1" locked="0" behindDoc="0" simplePos="0" relativeHeight="15790080">
                <wp:simplePos x="0" y="0"/>
                <wp:positionH relativeFrom="page">
                  <wp:posOffset>916686</wp:posOffset>
                </wp:positionH>
                <wp:positionV relativeFrom="paragraph">
                  <wp:posOffset>253854</wp:posOffset>
                </wp:positionV>
                <wp:extent cx="3874135" cy="15240"/>
                <wp:effectExtent l="0" t="0" r="0" b="0"/>
                <wp:wrapNone/>
                <wp:docPr id="337" name="Group 337"/>
                <wp:cNvGraphicFramePr>
                  <a:graphicFrameLocks/>
                </wp:cNvGraphicFramePr>
                <a:graphic>
                  <a:graphicData uri="http://schemas.microsoft.com/office/word/2010/wordprocessingGroup">
                    <wpg:wgp>
                      <wpg:cNvPr id="337" name="Group 337"/>
                      <wpg:cNvGrpSpPr/>
                      <wpg:grpSpPr>
                        <a:xfrm>
                          <a:off x="0" y="0"/>
                          <a:ext cx="3874135" cy="15240"/>
                          <a:chExt cx="3874135" cy="15240"/>
                        </a:xfrm>
                      </wpg:grpSpPr>
                      <wps:wsp>
                        <wps:cNvPr id="338" name="Graphic 338"/>
                        <wps:cNvSpPr/>
                        <wps:spPr>
                          <a:xfrm>
                            <a:off x="0" y="7365"/>
                            <a:ext cx="3859529" cy="7620"/>
                          </a:xfrm>
                          <a:custGeom>
                            <a:avLst/>
                            <a:gdLst/>
                            <a:ahLst/>
                            <a:cxnLst/>
                            <a:rect l="l" t="t" r="r" b="b"/>
                            <a:pathLst>
                              <a:path w="3859529" h="7620">
                                <a:moveTo>
                                  <a:pt x="3859529" y="0"/>
                                </a:moveTo>
                                <a:lnTo>
                                  <a:pt x="0" y="0"/>
                                </a:lnTo>
                                <a:lnTo>
                                  <a:pt x="0" y="7620"/>
                                </a:lnTo>
                                <a:lnTo>
                                  <a:pt x="3859529" y="7620"/>
                                </a:lnTo>
                                <a:lnTo>
                                  <a:pt x="3859529" y="0"/>
                                </a:lnTo>
                                <a:close/>
                              </a:path>
                            </a:pathLst>
                          </a:custGeom>
                          <a:solidFill>
                            <a:srgbClr val="0000FF"/>
                          </a:solidFill>
                        </wps:spPr>
                        <wps:bodyPr wrap="square" lIns="0" tIns="0" rIns="0" bIns="0" rtlCol="0">
                          <a:prstTxWarp prst="textNoShape">
                            <a:avLst/>
                          </a:prstTxWarp>
                          <a:noAutofit/>
                        </wps:bodyPr>
                      </wps:wsp>
                      <wps:wsp>
                        <wps:cNvPr id="339" name="Graphic 339"/>
                        <wps:cNvSpPr/>
                        <wps:spPr>
                          <a:xfrm>
                            <a:off x="3845814" y="0"/>
                            <a:ext cx="28575" cy="12700"/>
                          </a:xfrm>
                          <a:custGeom>
                            <a:avLst/>
                            <a:gdLst/>
                            <a:ahLst/>
                            <a:cxnLst/>
                            <a:rect l="l" t="t" r="r" b="b"/>
                            <a:pathLst>
                              <a:path w="28575" h="12700">
                                <a:moveTo>
                                  <a:pt x="28321" y="0"/>
                                </a:moveTo>
                                <a:lnTo>
                                  <a:pt x="0" y="0"/>
                                </a:lnTo>
                                <a:lnTo>
                                  <a:pt x="0" y="12700"/>
                                </a:lnTo>
                                <a:lnTo>
                                  <a:pt x="28321" y="12700"/>
                                </a:lnTo>
                                <a:lnTo>
                                  <a:pt x="28321" y="0"/>
                                </a:lnTo>
                                <a:close/>
                              </a:path>
                            </a:pathLst>
                          </a:custGeom>
                          <a:solidFill>
                            <a:srgbClr val="1153CC"/>
                          </a:solidFill>
                        </wps:spPr>
                        <wps:bodyPr wrap="square" lIns="0" tIns="0" rIns="0" bIns="0" rtlCol="0">
                          <a:prstTxWarp prst="textNoShape">
                            <a:avLst/>
                          </a:prstTxWarp>
                          <a:noAutofit/>
                        </wps:bodyPr>
                      </wps:wsp>
                    </wpg:wgp>
                  </a:graphicData>
                </a:graphic>
              </wp:anchor>
            </w:drawing>
          </mc:Choice>
          <mc:Fallback>
            <w:pict>
              <v:group style="position:absolute;margin-left:72.180pt;margin-top:19.988514pt;width:305.05pt;height:1.2pt;mso-position-horizontal-relative:page;mso-position-vertical-relative:paragraph;z-index:15790080" id="docshapegroup266" coordorigin="1444,400" coordsize="6101,24">
                <v:rect style="position:absolute;left:1443;top:411;width:6078;height:12" id="docshape267" filled="true" fillcolor="#0000ff" stroked="false">
                  <v:fill type="solid"/>
                </v:rect>
                <v:rect style="position:absolute;left:7500;top:399;width:45;height:20" id="docshape268" filled="true" fillcolor="#1153cc" stroked="false">
                  <v:fill type="solid"/>
                </v:rect>
                <w10:wrap type="none"/>
              </v:group>
            </w:pict>
          </mc:Fallback>
        </mc:AlternateContent>
      </w:r>
      <w:r>
        <w:rPr>
          <w:sz w:val="18"/>
          <w:vertAlign w:val="superscript"/>
        </w:rPr>
        <w:t>49</w:t>
      </w:r>
      <w:r>
        <w:rPr>
          <w:spacing w:val="-13"/>
          <w:sz w:val="18"/>
          <w:vertAlign w:val="baseline"/>
        </w:rPr>
        <w:t> </w:t>
      </w:r>
      <w:r>
        <w:rPr>
          <w:sz w:val="18"/>
          <w:vertAlign w:val="baseline"/>
        </w:rPr>
        <w:t>Office</w:t>
      </w:r>
      <w:r>
        <w:rPr>
          <w:spacing w:val="-4"/>
          <w:sz w:val="18"/>
          <w:vertAlign w:val="baseline"/>
        </w:rPr>
        <w:t> </w:t>
      </w:r>
      <w:r>
        <w:rPr>
          <w:sz w:val="18"/>
          <w:vertAlign w:val="baseline"/>
        </w:rPr>
        <w:t>for</w:t>
      </w:r>
      <w:r>
        <w:rPr>
          <w:spacing w:val="-4"/>
          <w:sz w:val="18"/>
          <w:vertAlign w:val="baseline"/>
        </w:rPr>
        <w:t> </w:t>
      </w:r>
      <w:r>
        <w:rPr>
          <w:sz w:val="18"/>
          <w:vertAlign w:val="baseline"/>
        </w:rPr>
        <w:t>Victims</w:t>
      </w:r>
      <w:r>
        <w:rPr>
          <w:spacing w:val="-3"/>
          <w:sz w:val="18"/>
          <w:vertAlign w:val="baseline"/>
        </w:rPr>
        <w:t> </w:t>
      </w:r>
      <w:r>
        <w:rPr>
          <w:sz w:val="18"/>
          <w:vertAlign w:val="baseline"/>
        </w:rPr>
        <w:t>of</w:t>
      </w:r>
      <w:r>
        <w:rPr>
          <w:spacing w:val="-3"/>
          <w:sz w:val="18"/>
          <w:vertAlign w:val="baseline"/>
        </w:rPr>
        <w:t> </w:t>
      </w:r>
      <w:r>
        <w:rPr>
          <w:sz w:val="18"/>
          <w:vertAlign w:val="baseline"/>
        </w:rPr>
        <w:t>Crime.</w:t>
      </w:r>
      <w:r>
        <w:rPr>
          <w:spacing w:val="-3"/>
          <w:sz w:val="18"/>
          <w:vertAlign w:val="baseline"/>
        </w:rPr>
        <w:t> </w:t>
      </w:r>
      <w:r>
        <w:rPr>
          <w:sz w:val="18"/>
          <w:vertAlign w:val="baseline"/>
        </w:rPr>
        <w:t>June</w:t>
      </w:r>
      <w:r>
        <w:rPr>
          <w:spacing w:val="-3"/>
          <w:sz w:val="18"/>
          <w:vertAlign w:val="baseline"/>
        </w:rPr>
        <w:t> </w:t>
      </w:r>
      <w:r>
        <w:rPr>
          <w:sz w:val="18"/>
          <w:vertAlign w:val="baseline"/>
        </w:rPr>
        <w:t>2014.</w:t>
      </w:r>
      <w:r>
        <w:rPr>
          <w:spacing w:val="-3"/>
          <w:sz w:val="18"/>
          <w:vertAlign w:val="baseline"/>
        </w:rPr>
        <w:t> </w:t>
      </w:r>
      <w:r>
        <w:rPr>
          <w:sz w:val="18"/>
          <w:vertAlign w:val="baseline"/>
        </w:rPr>
        <w:t>“Sexual</w:t>
      </w:r>
      <w:r>
        <w:rPr>
          <w:spacing w:val="-4"/>
          <w:sz w:val="18"/>
          <w:vertAlign w:val="baseline"/>
        </w:rPr>
        <w:t> </w:t>
      </w:r>
      <w:r>
        <w:rPr>
          <w:sz w:val="18"/>
          <w:vertAlign w:val="baseline"/>
        </w:rPr>
        <w:t>Assault</w:t>
      </w:r>
      <w:r>
        <w:rPr>
          <w:spacing w:val="-4"/>
          <w:sz w:val="18"/>
          <w:vertAlign w:val="baseline"/>
        </w:rPr>
        <w:t> </w:t>
      </w:r>
      <w:r>
        <w:rPr>
          <w:sz w:val="18"/>
          <w:vertAlign w:val="baseline"/>
        </w:rPr>
        <w:t>in</w:t>
      </w:r>
      <w:r>
        <w:rPr>
          <w:spacing w:val="-3"/>
          <w:sz w:val="18"/>
          <w:vertAlign w:val="baseline"/>
        </w:rPr>
        <w:t> </w:t>
      </w:r>
      <w:r>
        <w:rPr>
          <w:sz w:val="18"/>
          <w:vertAlign w:val="baseline"/>
        </w:rPr>
        <w:t>the</w:t>
      </w:r>
      <w:r>
        <w:rPr>
          <w:spacing w:val="-3"/>
          <w:sz w:val="18"/>
          <w:vertAlign w:val="baseline"/>
        </w:rPr>
        <w:t> </w:t>
      </w:r>
      <w:r>
        <w:rPr>
          <w:sz w:val="18"/>
          <w:vertAlign w:val="baseline"/>
        </w:rPr>
        <w:t>Transgender</w:t>
      </w:r>
      <w:r>
        <w:rPr>
          <w:spacing w:val="-4"/>
          <w:sz w:val="18"/>
          <w:vertAlign w:val="baseline"/>
        </w:rPr>
        <w:t> </w:t>
      </w:r>
      <w:r>
        <w:rPr>
          <w:sz w:val="18"/>
          <w:vertAlign w:val="baseline"/>
        </w:rPr>
        <w:t>Community:</w:t>
      </w:r>
      <w:r>
        <w:rPr>
          <w:spacing w:val="-3"/>
          <w:sz w:val="18"/>
          <w:vertAlign w:val="baseline"/>
        </w:rPr>
        <w:t> </w:t>
      </w:r>
      <w:r>
        <w:rPr>
          <w:sz w:val="18"/>
          <w:vertAlign w:val="baseline"/>
        </w:rPr>
        <w:t>The</w:t>
      </w:r>
      <w:r>
        <w:rPr>
          <w:spacing w:val="-3"/>
          <w:sz w:val="18"/>
          <w:vertAlign w:val="baseline"/>
        </w:rPr>
        <w:t> </w:t>
      </w:r>
      <w:r>
        <w:rPr>
          <w:sz w:val="18"/>
          <w:vertAlign w:val="baseline"/>
        </w:rPr>
        <w:t>Numbers.” </w:t>
      </w:r>
      <w:hyperlink r:id="rId430">
        <w:r>
          <w:rPr>
            <w:color w:val="0000FF"/>
            <w:spacing w:val="-2"/>
            <w:sz w:val="18"/>
            <w:vertAlign w:val="baseline"/>
          </w:rPr>
          <w:t>https://ovc.ojp.gov/sites/g/files/xyckuh226/files/pubs/forge/sexual_numbers.htm</w:t>
        </w:r>
      </w:hyperlink>
      <w:hyperlink r:id="rId430">
        <w:r>
          <w:rPr>
            <w:color w:val="0000FF"/>
            <w:spacing w:val="-2"/>
            <w:sz w:val="18"/>
            <w:vertAlign w:val="baseline"/>
          </w:rPr>
          <w:t>l</w:t>
        </w:r>
        <w:r>
          <w:rPr>
            <w:color w:val="1153CC"/>
            <w:spacing w:val="-2"/>
            <w:sz w:val="18"/>
            <w:vertAlign w:val="baseline"/>
          </w:rPr>
          <w:t>.</w:t>
        </w:r>
      </w:hyperlink>
    </w:p>
    <w:p>
      <w:pPr>
        <w:spacing w:before="0"/>
        <w:ind w:left="363" w:right="77" w:hanging="1"/>
        <w:jc w:val="left"/>
        <w:rPr>
          <w:sz w:val="18"/>
        </w:rPr>
      </w:pPr>
      <w:r>
        <w:rPr/>
        <mc:AlternateContent>
          <mc:Choice Requires="wps">
            <w:drawing>
              <wp:anchor distT="0" distB="0" distL="0" distR="0" allowOverlap="1" layoutInCell="1" locked="0" behindDoc="0" simplePos="0" relativeHeight="15790592">
                <wp:simplePos x="0" y="0"/>
                <wp:positionH relativeFrom="page">
                  <wp:posOffset>1555241</wp:posOffset>
                </wp:positionH>
                <wp:positionV relativeFrom="paragraph">
                  <wp:posOffset>253858</wp:posOffset>
                </wp:positionV>
                <wp:extent cx="3807460" cy="15240"/>
                <wp:effectExtent l="0" t="0" r="0" b="0"/>
                <wp:wrapNone/>
                <wp:docPr id="340" name="Group 340"/>
                <wp:cNvGraphicFramePr>
                  <a:graphicFrameLocks/>
                </wp:cNvGraphicFramePr>
                <a:graphic>
                  <a:graphicData uri="http://schemas.microsoft.com/office/word/2010/wordprocessingGroup">
                    <wpg:wgp>
                      <wpg:cNvPr id="340" name="Group 340"/>
                      <wpg:cNvGrpSpPr/>
                      <wpg:grpSpPr>
                        <a:xfrm>
                          <a:off x="0" y="0"/>
                          <a:ext cx="3807460" cy="15240"/>
                          <a:chExt cx="3807460" cy="15240"/>
                        </a:xfrm>
                      </wpg:grpSpPr>
                      <wps:wsp>
                        <wps:cNvPr id="341" name="Graphic 341"/>
                        <wps:cNvSpPr/>
                        <wps:spPr>
                          <a:xfrm>
                            <a:off x="0" y="7200"/>
                            <a:ext cx="3794125" cy="7620"/>
                          </a:xfrm>
                          <a:custGeom>
                            <a:avLst/>
                            <a:gdLst/>
                            <a:ahLst/>
                            <a:cxnLst/>
                            <a:rect l="l" t="t" r="r" b="b"/>
                            <a:pathLst>
                              <a:path w="3794125" h="7620">
                                <a:moveTo>
                                  <a:pt x="3793998" y="0"/>
                                </a:moveTo>
                                <a:lnTo>
                                  <a:pt x="0" y="0"/>
                                </a:lnTo>
                                <a:lnTo>
                                  <a:pt x="0" y="7620"/>
                                </a:lnTo>
                                <a:lnTo>
                                  <a:pt x="3793998" y="7620"/>
                                </a:lnTo>
                                <a:lnTo>
                                  <a:pt x="3793998" y="0"/>
                                </a:lnTo>
                                <a:close/>
                              </a:path>
                            </a:pathLst>
                          </a:custGeom>
                          <a:solidFill>
                            <a:srgbClr val="0000FF"/>
                          </a:solidFill>
                        </wps:spPr>
                        <wps:bodyPr wrap="square" lIns="0" tIns="0" rIns="0" bIns="0" rtlCol="0">
                          <a:prstTxWarp prst="textNoShape">
                            <a:avLst/>
                          </a:prstTxWarp>
                          <a:noAutofit/>
                        </wps:bodyPr>
                      </wps:wsp>
                      <wps:wsp>
                        <wps:cNvPr id="342" name="Graphic 342"/>
                        <wps:cNvSpPr/>
                        <wps:spPr>
                          <a:xfrm>
                            <a:off x="3778758" y="0"/>
                            <a:ext cx="28575" cy="12700"/>
                          </a:xfrm>
                          <a:custGeom>
                            <a:avLst/>
                            <a:gdLst/>
                            <a:ahLst/>
                            <a:cxnLst/>
                            <a:rect l="l" t="t" r="r" b="b"/>
                            <a:pathLst>
                              <a:path w="28575" h="12700">
                                <a:moveTo>
                                  <a:pt x="28333" y="0"/>
                                </a:moveTo>
                                <a:lnTo>
                                  <a:pt x="0" y="0"/>
                                </a:lnTo>
                                <a:lnTo>
                                  <a:pt x="0" y="12687"/>
                                </a:lnTo>
                                <a:lnTo>
                                  <a:pt x="28333" y="12687"/>
                                </a:lnTo>
                                <a:lnTo>
                                  <a:pt x="28333" y="0"/>
                                </a:lnTo>
                                <a:close/>
                              </a:path>
                            </a:pathLst>
                          </a:custGeom>
                          <a:solidFill>
                            <a:srgbClr val="1153CC"/>
                          </a:solidFill>
                        </wps:spPr>
                        <wps:bodyPr wrap="square" lIns="0" tIns="0" rIns="0" bIns="0" rtlCol="0">
                          <a:prstTxWarp prst="textNoShape">
                            <a:avLst/>
                          </a:prstTxWarp>
                          <a:noAutofit/>
                        </wps:bodyPr>
                      </wps:wsp>
                    </wpg:wgp>
                  </a:graphicData>
                </a:graphic>
              </wp:anchor>
            </w:drawing>
          </mc:Choice>
          <mc:Fallback>
            <w:pict>
              <v:group style="position:absolute;margin-left:122.459999pt;margin-top:19.988857pt;width:299.8pt;height:1.2pt;mso-position-horizontal-relative:page;mso-position-vertical-relative:paragraph;z-index:15790592" id="docshapegroup269" coordorigin="2449,400" coordsize="5996,24">
                <v:rect style="position:absolute;left:2449;top:411;width:5975;height:12" id="docshape270" filled="true" fillcolor="#0000ff" stroked="false">
                  <v:fill type="solid"/>
                </v:rect>
                <v:rect style="position:absolute;left:8400;top:399;width:45;height:20" id="docshape271" filled="true" fillcolor="#1153cc" stroked="false">
                  <v:fill type="solid"/>
                </v:rect>
                <w10:wrap type="none"/>
              </v:group>
            </w:pict>
          </mc:Fallback>
        </mc:AlternateContent>
      </w:r>
      <w:r>
        <w:rPr>
          <w:sz w:val="18"/>
          <w:vertAlign w:val="superscript"/>
        </w:rPr>
        <w:t>50</w:t>
      </w:r>
      <w:r>
        <w:rPr>
          <w:spacing w:val="-13"/>
          <w:sz w:val="18"/>
          <w:vertAlign w:val="baseline"/>
        </w:rPr>
        <w:t> </w:t>
      </w:r>
      <w:r>
        <w:rPr>
          <w:sz w:val="18"/>
          <w:vertAlign w:val="baseline"/>
        </w:rPr>
        <w:t>National</w:t>
      </w:r>
      <w:r>
        <w:rPr>
          <w:spacing w:val="-5"/>
          <w:sz w:val="18"/>
          <w:vertAlign w:val="baseline"/>
        </w:rPr>
        <w:t> </w:t>
      </w:r>
      <w:r>
        <w:rPr>
          <w:sz w:val="18"/>
          <w:vertAlign w:val="baseline"/>
        </w:rPr>
        <w:t>Center</w:t>
      </w:r>
      <w:r>
        <w:rPr>
          <w:spacing w:val="-3"/>
          <w:sz w:val="18"/>
          <w:vertAlign w:val="baseline"/>
        </w:rPr>
        <w:t> </w:t>
      </w:r>
      <w:r>
        <w:rPr>
          <w:sz w:val="18"/>
          <w:vertAlign w:val="baseline"/>
        </w:rPr>
        <w:t>for</w:t>
      </w:r>
      <w:r>
        <w:rPr>
          <w:spacing w:val="-3"/>
          <w:sz w:val="18"/>
          <w:vertAlign w:val="baseline"/>
        </w:rPr>
        <w:t> </w:t>
      </w:r>
      <w:r>
        <w:rPr>
          <w:sz w:val="18"/>
          <w:vertAlign w:val="baseline"/>
        </w:rPr>
        <w:t>Injury</w:t>
      </w:r>
      <w:r>
        <w:rPr>
          <w:spacing w:val="-2"/>
          <w:sz w:val="18"/>
          <w:vertAlign w:val="baseline"/>
        </w:rPr>
        <w:t> </w:t>
      </w:r>
      <w:r>
        <w:rPr>
          <w:sz w:val="18"/>
          <w:vertAlign w:val="baseline"/>
        </w:rPr>
        <w:t>Prevention</w:t>
      </w:r>
      <w:r>
        <w:rPr>
          <w:spacing w:val="-2"/>
          <w:sz w:val="18"/>
          <w:vertAlign w:val="baseline"/>
        </w:rPr>
        <w:t> </w:t>
      </w:r>
      <w:r>
        <w:rPr>
          <w:sz w:val="18"/>
          <w:vertAlign w:val="baseline"/>
        </w:rPr>
        <w:t>and</w:t>
      </w:r>
      <w:r>
        <w:rPr>
          <w:spacing w:val="-2"/>
          <w:sz w:val="18"/>
          <w:vertAlign w:val="baseline"/>
        </w:rPr>
        <w:t> </w:t>
      </w:r>
      <w:r>
        <w:rPr>
          <w:sz w:val="18"/>
          <w:vertAlign w:val="baseline"/>
        </w:rPr>
        <w:t>Control.</w:t>
      </w:r>
      <w:r>
        <w:rPr>
          <w:spacing w:val="-2"/>
          <w:sz w:val="18"/>
          <w:vertAlign w:val="baseline"/>
        </w:rPr>
        <w:t> </w:t>
      </w:r>
      <w:r>
        <w:rPr>
          <w:sz w:val="18"/>
          <w:vertAlign w:val="baseline"/>
        </w:rPr>
        <w:t>“NISVS:</w:t>
      </w:r>
      <w:r>
        <w:rPr>
          <w:spacing w:val="-2"/>
          <w:sz w:val="18"/>
          <w:vertAlign w:val="baseline"/>
        </w:rPr>
        <w:t> </w:t>
      </w:r>
      <w:r>
        <w:rPr>
          <w:sz w:val="18"/>
          <w:vertAlign w:val="baseline"/>
        </w:rPr>
        <w:t>An</w:t>
      </w:r>
      <w:r>
        <w:rPr>
          <w:spacing w:val="-2"/>
          <w:sz w:val="18"/>
          <w:vertAlign w:val="baseline"/>
        </w:rPr>
        <w:t> </w:t>
      </w:r>
      <w:r>
        <w:rPr>
          <w:sz w:val="18"/>
          <w:vertAlign w:val="baseline"/>
        </w:rPr>
        <w:t>Overview</w:t>
      </w:r>
      <w:r>
        <w:rPr>
          <w:spacing w:val="-3"/>
          <w:sz w:val="18"/>
          <w:vertAlign w:val="baseline"/>
        </w:rPr>
        <w:t> </w:t>
      </w:r>
      <w:r>
        <w:rPr>
          <w:sz w:val="18"/>
          <w:vertAlign w:val="baseline"/>
        </w:rPr>
        <w:t>of</w:t>
      </w:r>
      <w:r>
        <w:rPr>
          <w:spacing w:val="-2"/>
          <w:sz w:val="18"/>
          <w:vertAlign w:val="baseline"/>
        </w:rPr>
        <w:t> </w:t>
      </w:r>
      <w:r>
        <w:rPr>
          <w:sz w:val="18"/>
          <w:vertAlign w:val="baseline"/>
        </w:rPr>
        <w:t>2010</w:t>
      </w:r>
      <w:r>
        <w:rPr>
          <w:spacing w:val="-2"/>
          <w:sz w:val="18"/>
          <w:vertAlign w:val="baseline"/>
        </w:rPr>
        <w:t> </w:t>
      </w:r>
      <w:r>
        <w:rPr>
          <w:sz w:val="18"/>
          <w:vertAlign w:val="baseline"/>
        </w:rPr>
        <w:t>Findings</w:t>
      </w:r>
      <w:r>
        <w:rPr>
          <w:spacing w:val="-2"/>
          <w:sz w:val="18"/>
          <w:vertAlign w:val="baseline"/>
        </w:rPr>
        <w:t> </w:t>
      </w:r>
      <w:r>
        <w:rPr>
          <w:sz w:val="18"/>
          <w:vertAlign w:val="baseline"/>
        </w:rPr>
        <w:t>on</w:t>
      </w:r>
      <w:r>
        <w:rPr>
          <w:spacing w:val="-2"/>
          <w:sz w:val="18"/>
          <w:vertAlign w:val="baseline"/>
        </w:rPr>
        <w:t> </w:t>
      </w:r>
      <w:r>
        <w:rPr>
          <w:sz w:val="18"/>
          <w:vertAlign w:val="baseline"/>
        </w:rPr>
        <w:t>Victimization</w:t>
      </w:r>
      <w:r>
        <w:rPr>
          <w:spacing w:val="-2"/>
          <w:sz w:val="18"/>
          <w:vertAlign w:val="baseline"/>
        </w:rPr>
        <w:t> </w:t>
      </w:r>
      <w:r>
        <w:rPr>
          <w:sz w:val="18"/>
          <w:vertAlign w:val="baseline"/>
        </w:rPr>
        <w:t>by</w:t>
      </w:r>
      <w:r>
        <w:rPr>
          <w:spacing w:val="-2"/>
          <w:sz w:val="18"/>
          <w:vertAlign w:val="baseline"/>
        </w:rPr>
        <w:t> </w:t>
      </w:r>
      <w:r>
        <w:rPr>
          <w:sz w:val="18"/>
          <w:vertAlign w:val="baseline"/>
        </w:rPr>
        <w:t>Sexual Orientation.” </w:t>
      </w:r>
      <w:hyperlink r:id="rId431">
        <w:r>
          <w:rPr>
            <w:color w:val="0000FF"/>
            <w:sz w:val="18"/>
            <w:vertAlign w:val="baseline"/>
          </w:rPr>
          <w:t>https://www.cdc.gov/violenceprevention/pdf/cdc_nisvs_victimization_final-a.pd</w:t>
        </w:r>
      </w:hyperlink>
      <w:hyperlink r:id="rId431">
        <w:r>
          <w:rPr>
            <w:color w:val="0000FF"/>
            <w:sz w:val="18"/>
            <w:vertAlign w:val="baseline"/>
          </w:rPr>
          <w:t>f</w:t>
        </w:r>
        <w:r>
          <w:rPr>
            <w:color w:val="1153CC"/>
            <w:sz w:val="18"/>
            <w:vertAlign w:val="baseline"/>
          </w:rPr>
          <w:t>.</w:t>
        </w:r>
      </w:hyperlink>
    </w:p>
    <w:p>
      <w:pPr>
        <w:spacing w:before="0"/>
        <w:ind w:left="363" w:right="0" w:firstLine="0"/>
        <w:jc w:val="left"/>
        <w:rPr>
          <w:sz w:val="18"/>
        </w:rPr>
      </w:pPr>
      <w:r>
        <w:rPr>
          <w:sz w:val="18"/>
          <w:vertAlign w:val="superscript"/>
        </w:rPr>
        <w:t>51</w:t>
      </w:r>
      <w:r>
        <w:rPr>
          <w:spacing w:val="-13"/>
          <w:sz w:val="18"/>
          <w:vertAlign w:val="baseline"/>
        </w:rPr>
        <w:t> </w:t>
      </w:r>
      <w:r>
        <w:rPr>
          <w:sz w:val="18"/>
          <w:vertAlign w:val="baseline"/>
        </w:rPr>
        <w:t>Bauer,</w:t>
      </w:r>
      <w:r>
        <w:rPr>
          <w:spacing w:val="-5"/>
          <w:sz w:val="18"/>
          <w:vertAlign w:val="baseline"/>
        </w:rPr>
        <w:t> </w:t>
      </w:r>
      <w:r>
        <w:rPr>
          <w:sz w:val="18"/>
          <w:vertAlign w:val="baseline"/>
        </w:rPr>
        <w:t>Elizabeth</w:t>
      </w:r>
      <w:r>
        <w:rPr>
          <w:spacing w:val="-2"/>
          <w:sz w:val="18"/>
          <w:vertAlign w:val="baseline"/>
        </w:rPr>
        <w:t> </w:t>
      </w:r>
      <w:r>
        <w:rPr>
          <w:sz w:val="18"/>
          <w:vertAlign w:val="baseline"/>
        </w:rPr>
        <w:t>Edmondson,</w:t>
      </w:r>
      <w:r>
        <w:rPr>
          <w:spacing w:val="-4"/>
          <w:sz w:val="18"/>
          <w:vertAlign w:val="baseline"/>
        </w:rPr>
        <w:t> </w:t>
      </w:r>
      <w:r>
        <w:rPr>
          <w:sz w:val="18"/>
          <w:vertAlign w:val="baseline"/>
        </w:rPr>
        <w:t>et</w:t>
      </w:r>
      <w:r>
        <w:rPr>
          <w:spacing w:val="-3"/>
          <w:sz w:val="18"/>
          <w:vertAlign w:val="baseline"/>
        </w:rPr>
        <w:t> </w:t>
      </w:r>
      <w:r>
        <w:rPr>
          <w:sz w:val="18"/>
          <w:vertAlign w:val="baseline"/>
        </w:rPr>
        <w:t>al.</w:t>
      </w:r>
      <w:r>
        <w:rPr>
          <w:spacing w:val="-2"/>
          <w:sz w:val="18"/>
          <w:vertAlign w:val="baseline"/>
        </w:rPr>
        <w:t> </w:t>
      </w:r>
      <w:r>
        <w:rPr>
          <w:sz w:val="18"/>
          <w:vertAlign w:val="baseline"/>
        </w:rPr>
        <w:t>“College-Aged</w:t>
      </w:r>
      <w:r>
        <w:rPr>
          <w:spacing w:val="-2"/>
          <w:sz w:val="18"/>
          <w:vertAlign w:val="baseline"/>
        </w:rPr>
        <w:t> </w:t>
      </w:r>
      <w:r>
        <w:rPr>
          <w:sz w:val="18"/>
          <w:vertAlign w:val="baseline"/>
        </w:rPr>
        <w:t>but</w:t>
      </w:r>
      <w:r>
        <w:rPr>
          <w:spacing w:val="-3"/>
          <w:sz w:val="18"/>
          <w:vertAlign w:val="baseline"/>
        </w:rPr>
        <w:t> </w:t>
      </w:r>
      <w:r>
        <w:rPr>
          <w:sz w:val="18"/>
          <w:vertAlign w:val="baseline"/>
        </w:rPr>
        <w:t>On</w:t>
      </w:r>
      <w:r>
        <w:rPr>
          <w:spacing w:val="-2"/>
          <w:sz w:val="18"/>
          <w:vertAlign w:val="baseline"/>
        </w:rPr>
        <w:t> </w:t>
      </w:r>
      <w:r>
        <w:rPr>
          <w:sz w:val="18"/>
          <w:vertAlign w:val="baseline"/>
        </w:rPr>
        <w:t>the</w:t>
      </w:r>
      <w:r>
        <w:rPr>
          <w:spacing w:val="-2"/>
          <w:sz w:val="18"/>
          <w:vertAlign w:val="baseline"/>
        </w:rPr>
        <w:t> </w:t>
      </w:r>
      <w:r>
        <w:rPr>
          <w:sz w:val="18"/>
          <w:vertAlign w:val="baseline"/>
        </w:rPr>
        <w:t>Streets:</w:t>
      </w:r>
      <w:r>
        <w:rPr>
          <w:spacing w:val="-2"/>
          <w:sz w:val="18"/>
          <w:vertAlign w:val="baseline"/>
        </w:rPr>
        <w:t> </w:t>
      </w:r>
      <w:r>
        <w:rPr>
          <w:sz w:val="18"/>
          <w:vertAlign w:val="baseline"/>
        </w:rPr>
        <w:t>Young</w:t>
      </w:r>
      <w:r>
        <w:rPr>
          <w:spacing w:val="-2"/>
          <w:sz w:val="18"/>
          <w:vertAlign w:val="baseline"/>
        </w:rPr>
        <w:t> </w:t>
      </w:r>
      <w:r>
        <w:rPr>
          <w:sz w:val="18"/>
          <w:vertAlign w:val="baseline"/>
        </w:rPr>
        <w:t>Adults</w:t>
      </w:r>
      <w:r>
        <w:rPr>
          <w:spacing w:val="-2"/>
          <w:sz w:val="18"/>
          <w:vertAlign w:val="baseline"/>
        </w:rPr>
        <w:t> </w:t>
      </w:r>
      <w:r>
        <w:rPr>
          <w:sz w:val="18"/>
          <w:vertAlign w:val="baseline"/>
        </w:rPr>
        <w:t>Who</w:t>
      </w:r>
      <w:r>
        <w:rPr>
          <w:spacing w:val="-2"/>
          <w:sz w:val="18"/>
          <w:vertAlign w:val="baseline"/>
        </w:rPr>
        <w:t> </w:t>
      </w:r>
      <w:r>
        <w:rPr>
          <w:sz w:val="18"/>
          <w:vertAlign w:val="baseline"/>
        </w:rPr>
        <w:t>Experience</w:t>
      </w:r>
      <w:r>
        <w:rPr>
          <w:spacing w:val="-2"/>
          <w:sz w:val="18"/>
          <w:vertAlign w:val="baseline"/>
        </w:rPr>
        <w:t> </w:t>
      </w:r>
      <w:r>
        <w:rPr>
          <w:sz w:val="18"/>
          <w:vertAlign w:val="baseline"/>
        </w:rPr>
        <w:t>Homelessness</w:t>
      </w:r>
      <w:r>
        <w:rPr>
          <w:spacing w:val="-2"/>
          <w:sz w:val="18"/>
          <w:vertAlign w:val="baseline"/>
        </w:rPr>
        <w:t> </w:t>
      </w:r>
      <w:r>
        <w:rPr>
          <w:sz w:val="18"/>
          <w:vertAlign w:val="baseline"/>
        </w:rPr>
        <w:t>and</w:t>
      </w:r>
      <w:r>
        <w:rPr>
          <w:spacing w:val="-2"/>
          <w:sz w:val="18"/>
          <w:vertAlign w:val="baseline"/>
        </w:rPr>
        <w:t> </w:t>
      </w:r>
      <w:r>
        <w:rPr>
          <w:sz w:val="18"/>
          <w:vertAlign w:val="baseline"/>
        </w:rPr>
        <w:t>Sexual Violence,” page 4. National Sexual Assault Coalition Resource Sharing Project. </w:t>
      </w:r>
      <w:hyperlink r:id="rId422">
        <w:r>
          <w:rPr>
            <w:color w:val="0000FF"/>
            <w:sz w:val="18"/>
            <w:u w:val="single" w:color="0000FF"/>
            <w:vertAlign w:val="baseline"/>
          </w:rPr>
          <w:t>https://evawintl.org/wp-</w:t>
        </w:r>
      </w:hyperlink>
      <w:r>
        <w:rPr>
          <w:color w:val="0000FF"/>
          <w:sz w:val="18"/>
          <w:u w:val="none"/>
          <w:vertAlign w:val="baseline"/>
        </w:rPr>
        <w:t> </w:t>
      </w:r>
      <w:hyperlink r:id="rId422">
        <w:r>
          <w:rPr>
            <w:color w:val="0000FF"/>
            <w:spacing w:val="-2"/>
            <w:sz w:val="18"/>
            <w:u w:val="single" w:color="0000FF"/>
            <w:vertAlign w:val="baseline"/>
          </w:rPr>
          <w:t>content/uploads/YoungAdultsWhoExperienceHomelessnessandSexualViolenceMay2017.pd</w:t>
        </w:r>
      </w:hyperlink>
      <w:hyperlink r:id="rId422">
        <w:r>
          <w:rPr>
            <w:color w:val="0000FF"/>
            <w:spacing w:val="-2"/>
            <w:sz w:val="18"/>
            <w:u w:val="single" w:color="0000FF"/>
            <w:vertAlign w:val="baseline"/>
          </w:rPr>
          <w:t>f</w:t>
        </w:r>
        <w:r>
          <w:rPr>
            <w:spacing w:val="-2"/>
            <w:sz w:val="18"/>
            <w:u w:val="none"/>
            <w:vertAlign w:val="baseline"/>
          </w:rPr>
          <w:t>.</w:t>
        </w:r>
      </w:hyperlink>
    </w:p>
    <w:p>
      <w:pPr>
        <w:spacing w:before="0"/>
        <w:ind w:left="363" w:right="235" w:firstLine="0"/>
        <w:jc w:val="left"/>
        <w:rPr>
          <w:sz w:val="18"/>
        </w:rPr>
      </w:pPr>
      <w:r>
        <w:rPr/>
        <mc:AlternateContent>
          <mc:Choice Requires="wps">
            <w:drawing>
              <wp:anchor distT="0" distB="0" distL="0" distR="0" allowOverlap="1" layoutInCell="1" locked="0" behindDoc="0" simplePos="0" relativeHeight="15792128">
                <wp:simplePos x="0" y="0"/>
                <wp:positionH relativeFrom="page">
                  <wp:posOffset>6756400</wp:posOffset>
                </wp:positionH>
                <wp:positionV relativeFrom="paragraph">
                  <wp:posOffset>241163</wp:posOffset>
                </wp:positionV>
                <wp:extent cx="28575" cy="12700"/>
                <wp:effectExtent l="0" t="0" r="0" b="0"/>
                <wp:wrapNone/>
                <wp:docPr id="343" name="Graphic 343"/>
                <wp:cNvGraphicFramePr>
                  <a:graphicFrameLocks/>
                </wp:cNvGraphicFramePr>
                <a:graphic>
                  <a:graphicData uri="http://schemas.microsoft.com/office/word/2010/wordprocessingShape">
                    <wps:wsp>
                      <wps:cNvPr id="343" name="Graphic 343"/>
                      <wps:cNvSpPr/>
                      <wps:spPr>
                        <a:xfrm>
                          <a:off x="0" y="0"/>
                          <a:ext cx="28575" cy="12700"/>
                        </a:xfrm>
                        <a:custGeom>
                          <a:avLst/>
                          <a:gdLst/>
                          <a:ahLst/>
                          <a:cxnLst/>
                          <a:rect l="l" t="t" r="r" b="b"/>
                          <a:pathLst>
                            <a:path w="28575" h="12700">
                              <a:moveTo>
                                <a:pt x="28321" y="0"/>
                              </a:moveTo>
                              <a:lnTo>
                                <a:pt x="0" y="0"/>
                              </a:lnTo>
                              <a:lnTo>
                                <a:pt x="0" y="12687"/>
                              </a:lnTo>
                              <a:lnTo>
                                <a:pt x="28321" y="12687"/>
                              </a:lnTo>
                              <a:lnTo>
                                <a:pt x="28321" y="0"/>
                              </a:lnTo>
                              <a:close/>
                            </a:path>
                          </a:pathLst>
                        </a:custGeom>
                        <a:solidFill>
                          <a:srgbClr val="1153CC"/>
                        </a:solidFill>
                      </wps:spPr>
                      <wps:bodyPr wrap="square" lIns="0" tIns="0" rIns="0" bIns="0" rtlCol="0">
                        <a:prstTxWarp prst="textNoShape">
                          <a:avLst/>
                        </a:prstTxWarp>
                        <a:noAutofit/>
                      </wps:bodyPr>
                    </wps:wsp>
                  </a:graphicData>
                </a:graphic>
              </wp:anchor>
            </w:drawing>
          </mc:Choice>
          <mc:Fallback>
            <w:pict>
              <v:rect style="position:absolute;margin-left:532pt;margin-top:18.989216pt;width:2.23pt;height:.999pt;mso-position-horizontal-relative:page;mso-position-vertical-relative:paragraph;z-index:15792128" id="docshape272" filled="true" fillcolor="#1153cc" stroked="false">
                <v:fill type="solid"/>
                <w10:wrap type="none"/>
              </v:rect>
            </w:pict>
          </mc:Fallback>
        </mc:AlternateContent>
      </w:r>
      <w:r>
        <w:rPr/>
        <mc:AlternateContent>
          <mc:Choice Requires="wps">
            <w:drawing>
              <wp:anchor distT="0" distB="0" distL="0" distR="0" allowOverlap="1" layoutInCell="1" locked="0" behindDoc="0" simplePos="0" relativeHeight="15792640">
                <wp:simplePos x="0" y="0"/>
                <wp:positionH relativeFrom="page">
                  <wp:posOffset>3594100</wp:posOffset>
                </wp:positionH>
                <wp:positionV relativeFrom="paragraph">
                  <wp:posOffset>520563</wp:posOffset>
                </wp:positionV>
                <wp:extent cx="28575" cy="12700"/>
                <wp:effectExtent l="0" t="0" r="0" b="0"/>
                <wp:wrapNone/>
                <wp:docPr id="344" name="Graphic 344"/>
                <wp:cNvGraphicFramePr>
                  <a:graphicFrameLocks/>
                </wp:cNvGraphicFramePr>
                <a:graphic>
                  <a:graphicData uri="http://schemas.microsoft.com/office/word/2010/wordprocessingShape">
                    <wps:wsp>
                      <wps:cNvPr id="344" name="Graphic 344"/>
                      <wps:cNvSpPr/>
                      <wps:spPr>
                        <a:xfrm>
                          <a:off x="0" y="0"/>
                          <a:ext cx="28575" cy="12700"/>
                        </a:xfrm>
                        <a:custGeom>
                          <a:avLst/>
                          <a:gdLst/>
                          <a:ahLst/>
                          <a:cxnLst/>
                          <a:rect l="l" t="t" r="r" b="b"/>
                          <a:pathLst>
                            <a:path w="28575" h="12700">
                              <a:moveTo>
                                <a:pt x="28333" y="0"/>
                              </a:moveTo>
                              <a:lnTo>
                                <a:pt x="0" y="0"/>
                              </a:lnTo>
                              <a:lnTo>
                                <a:pt x="0" y="12700"/>
                              </a:lnTo>
                              <a:lnTo>
                                <a:pt x="28333" y="12700"/>
                              </a:lnTo>
                              <a:lnTo>
                                <a:pt x="28333" y="0"/>
                              </a:lnTo>
                              <a:close/>
                            </a:path>
                          </a:pathLst>
                        </a:custGeom>
                        <a:solidFill>
                          <a:srgbClr val="1153CC"/>
                        </a:solidFill>
                      </wps:spPr>
                      <wps:bodyPr wrap="square" lIns="0" tIns="0" rIns="0" bIns="0" rtlCol="0">
                        <a:prstTxWarp prst="textNoShape">
                          <a:avLst/>
                        </a:prstTxWarp>
                        <a:noAutofit/>
                      </wps:bodyPr>
                    </wps:wsp>
                  </a:graphicData>
                </a:graphic>
              </wp:anchor>
            </w:drawing>
          </mc:Choice>
          <mc:Fallback>
            <w:pict>
              <v:rect style="position:absolute;margin-left:283pt;margin-top:40.989216pt;width:2.231pt;height:1pt;mso-position-horizontal-relative:page;mso-position-vertical-relative:paragraph;z-index:15792640" id="docshape273" filled="true" fillcolor="#1153cc" stroked="false">
                <v:fill type="solid"/>
                <w10:wrap type="none"/>
              </v:rect>
            </w:pict>
          </mc:Fallback>
        </mc:AlternateContent>
      </w:r>
      <w:r>
        <w:rPr>
          <w:sz w:val="18"/>
          <w:vertAlign w:val="superscript"/>
        </w:rPr>
        <w:t>52</w:t>
      </w:r>
      <w:r>
        <w:rPr>
          <w:spacing w:val="-8"/>
          <w:sz w:val="18"/>
          <w:vertAlign w:val="baseline"/>
        </w:rPr>
        <w:t> </w:t>
      </w:r>
      <w:r>
        <w:rPr>
          <w:sz w:val="18"/>
          <w:vertAlign w:val="baseline"/>
        </w:rPr>
        <w:t>National Center for Transgender Equality. December 18, 2014. “Federal Survey: 40% of Transgender Prisoners Are Sexually Abused</w:t>
      </w:r>
      <w:r>
        <w:rPr>
          <w:spacing w:val="-11"/>
          <w:sz w:val="18"/>
          <w:vertAlign w:val="baseline"/>
        </w:rPr>
        <w:t> </w:t>
      </w:r>
      <w:r>
        <w:rPr>
          <w:sz w:val="18"/>
          <w:vertAlign w:val="baseline"/>
        </w:rPr>
        <w:t>Each</w:t>
      </w:r>
      <w:r>
        <w:rPr>
          <w:spacing w:val="-10"/>
          <w:sz w:val="18"/>
          <w:vertAlign w:val="baseline"/>
        </w:rPr>
        <w:t> </w:t>
      </w:r>
      <w:r>
        <w:rPr>
          <w:sz w:val="18"/>
          <w:vertAlign w:val="baseline"/>
        </w:rPr>
        <w:t>Year.”</w:t>
      </w:r>
      <w:r>
        <w:rPr>
          <w:spacing w:val="-10"/>
          <w:sz w:val="18"/>
          <w:vertAlign w:val="baseline"/>
        </w:rPr>
        <w:t> </w:t>
      </w:r>
      <w:hyperlink r:id="rId432">
        <w:r>
          <w:rPr>
            <w:color w:val="0000FF"/>
            <w:sz w:val="18"/>
            <w:u w:val="single" w:color="0000FF"/>
            <w:vertAlign w:val="baseline"/>
          </w:rPr>
          <w:t>https://transequality.org/blog/federal-survey-40-of-transgender-prisoners-are-sexually-abused-each-year</w:t>
        </w:r>
      </w:hyperlink>
      <w:hyperlink r:id="rId432">
        <w:r>
          <w:rPr>
            <w:color w:val="1153CC"/>
            <w:sz w:val="18"/>
            <w:u w:val="none"/>
            <w:vertAlign w:val="baseline"/>
          </w:rPr>
          <w:t>.</w:t>
        </w:r>
      </w:hyperlink>
      <w:r>
        <w:rPr>
          <w:color w:val="1153CC"/>
          <w:sz w:val="18"/>
          <w:u w:val="none"/>
          <w:vertAlign w:val="baseline"/>
        </w:rPr>
        <w:t> </w:t>
      </w:r>
      <w:r>
        <w:rPr>
          <w:sz w:val="18"/>
          <w:u w:val="none"/>
          <w:vertAlign w:val="superscript"/>
        </w:rPr>
        <w:t>53</w:t>
      </w:r>
      <w:r>
        <w:rPr>
          <w:spacing w:val="-13"/>
          <w:sz w:val="18"/>
          <w:u w:val="none"/>
          <w:vertAlign w:val="baseline"/>
        </w:rPr>
        <w:t> </w:t>
      </w:r>
      <w:r>
        <w:rPr>
          <w:sz w:val="18"/>
          <w:u w:val="none"/>
          <w:vertAlign w:val="baseline"/>
        </w:rPr>
        <w:t>Hernandez,</w:t>
      </w:r>
      <w:r>
        <w:rPr>
          <w:spacing w:val="-5"/>
          <w:sz w:val="18"/>
          <w:u w:val="none"/>
          <w:vertAlign w:val="baseline"/>
        </w:rPr>
        <w:t> </w:t>
      </w:r>
      <w:r>
        <w:rPr>
          <w:sz w:val="18"/>
          <w:u w:val="none"/>
          <w:vertAlign w:val="baseline"/>
        </w:rPr>
        <w:t>Rebecca.</w:t>
      </w:r>
      <w:r>
        <w:rPr>
          <w:spacing w:val="-2"/>
          <w:sz w:val="18"/>
          <w:u w:val="none"/>
          <w:vertAlign w:val="baseline"/>
        </w:rPr>
        <w:t> </w:t>
      </w:r>
      <w:r>
        <w:rPr>
          <w:sz w:val="18"/>
          <w:u w:val="none"/>
          <w:vertAlign w:val="baseline"/>
        </w:rPr>
        <w:t>July</w:t>
      </w:r>
      <w:r>
        <w:rPr>
          <w:spacing w:val="-2"/>
          <w:sz w:val="18"/>
          <w:u w:val="none"/>
          <w:vertAlign w:val="baseline"/>
        </w:rPr>
        <w:t> </w:t>
      </w:r>
      <w:r>
        <w:rPr>
          <w:sz w:val="18"/>
          <w:u w:val="none"/>
          <w:vertAlign w:val="baseline"/>
        </w:rPr>
        <w:t>27,</w:t>
      </w:r>
      <w:r>
        <w:rPr>
          <w:spacing w:val="-3"/>
          <w:sz w:val="18"/>
          <w:u w:val="none"/>
          <w:vertAlign w:val="baseline"/>
        </w:rPr>
        <w:t> </w:t>
      </w:r>
      <w:r>
        <w:rPr>
          <w:sz w:val="18"/>
          <w:u w:val="none"/>
          <w:vertAlign w:val="baseline"/>
        </w:rPr>
        <w:t>2021.</w:t>
      </w:r>
      <w:r>
        <w:rPr>
          <w:spacing w:val="-2"/>
          <w:sz w:val="18"/>
          <w:u w:val="none"/>
          <w:vertAlign w:val="baseline"/>
        </w:rPr>
        <w:t> </w:t>
      </w:r>
      <w:r>
        <w:rPr>
          <w:sz w:val="18"/>
          <w:u w:val="none"/>
          <w:vertAlign w:val="baseline"/>
        </w:rPr>
        <w:t>“The</w:t>
      </w:r>
      <w:r>
        <w:rPr>
          <w:spacing w:val="-2"/>
          <w:sz w:val="18"/>
          <w:u w:val="none"/>
          <w:vertAlign w:val="baseline"/>
        </w:rPr>
        <w:t> </w:t>
      </w:r>
      <w:r>
        <w:rPr>
          <w:sz w:val="18"/>
          <w:u w:val="none"/>
          <w:vertAlign w:val="baseline"/>
        </w:rPr>
        <w:t>Commercial</w:t>
      </w:r>
      <w:r>
        <w:rPr>
          <w:spacing w:val="-3"/>
          <w:sz w:val="18"/>
          <w:u w:val="none"/>
          <w:vertAlign w:val="baseline"/>
        </w:rPr>
        <w:t> </w:t>
      </w:r>
      <w:r>
        <w:rPr>
          <w:sz w:val="18"/>
          <w:u w:val="none"/>
          <w:vertAlign w:val="baseline"/>
        </w:rPr>
        <w:t>Exploitation</w:t>
      </w:r>
      <w:r>
        <w:rPr>
          <w:spacing w:val="-2"/>
          <w:sz w:val="18"/>
          <w:u w:val="none"/>
          <w:vertAlign w:val="baseline"/>
        </w:rPr>
        <w:t> </w:t>
      </w:r>
      <w:r>
        <w:rPr>
          <w:sz w:val="18"/>
          <w:u w:val="none"/>
          <w:vertAlign w:val="baseline"/>
        </w:rPr>
        <w:t>of</w:t>
      </w:r>
      <w:r>
        <w:rPr>
          <w:spacing w:val="-2"/>
          <w:sz w:val="18"/>
          <w:u w:val="none"/>
          <w:vertAlign w:val="baseline"/>
        </w:rPr>
        <w:t> </w:t>
      </w:r>
      <w:r>
        <w:rPr>
          <w:sz w:val="18"/>
          <w:u w:val="none"/>
          <w:vertAlign w:val="baseline"/>
        </w:rPr>
        <w:t>Boys</w:t>
      </w:r>
      <w:r>
        <w:rPr>
          <w:spacing w:val="-2"/>
          <w:sz w:val="18"/>
          <w:u w:val="none"/>
          <w:vertAlign w:val="baseline"/>
        </w:rPr>
        <w:t> </w:t>
      </w:r>
      <w:r>
        <w:rPr>
          <w:sz w:val="18"/>
          <w:u w:val="none"/>
          <w:vertAlign w:val="baseline"/>
        </w:rPr>
        <w:t>&amp;</w:t>
      </w:r>
      <w:r>
        <w:rPr>
          <w:spacing w:val="-3"/>
          <w:sz w:val="18"/>
          <w:u w:val="none"/>
          <w:vertAlign w:val="baseline"/>
        </w:rPr>
        <w:t> </w:t>
      </w:r>
      <w:r>
        <w:rPr>
          <w:sz w:val="18"/>
          <w:u w:val="none"/>
          <w:vertAlign w:val="baseline"/>
        </w:rPr>
        <w:t>LGBTQ+</w:t>
      </w:r>
      <w:r>
        <w:rPr>
          <w:spacing w:val="-2"/>
          <w:sz w:val="18"/>
          <w:u w:val="none"/>
          <w:vertAlign w:val="baseline"/>
        </w:rPr>
        <w:t> </w:t>
      </w:r>
      <w:r>
        <w:rPr>
          <w:sz w:val="18"/>
          <w:u w:val="none"/>
          <w:vertAlign w:val="baseline"/>
        </w:rPr>
        <w:t>Youth:</w:t>
      </w:r>
      <w:r>
        <w:rPr>
          <w:spacing w:val="-2"/>
          <w:sz w:val="18"/>
          <w:u w:val="none"/>
          <w:vertAlign w:val="baseline"/>
        </w:rPr>
        <w:t> </w:t>
      </w:r>
      <w:r>
        <w:rPr>
          <w:sz w:val="18"/>
          <w:u w:val="none"/>
          <w:vertAlign w:val="baseline"/>
        </w:rPr>
        <w:t>A</w:t>
      </w:r>
      <w:r>
        <w:rPr>
          <w:spacing w:val="-2"/>
          <w:sz w:val="18"/>
          <w:u w:val="none"/>
          <w:vertAlign w:val="baseline"/>
        </w:rPr>
        <w:t> </w:t>
      </w:r>
      <w:r>
        <w:rPr>
          <w:sz w:val="18"/>
          <w:u w:val="none"/>
          <w:vertAlign w:val="baseline"/>
        </w:rPr>
        <w:t>Systematic</w:t>
      </w:r>
      <w:r>
        <w:rPr>
          <w:spacing w:val="-3"/>
          <w:sz w:val="18"/>
          <w:u w:val="none"/>
          <w:vertAlign w:val="baseline"/>
        </w:rPr>
        <w:t> </w:t>
      </w:r>
      <w:r>
        <w:rPr>
          <w:sz w:val="18"/>
          <w:u w:val="none"/>
          <w:vertAlign w:val="baseline"/>
        </w:rPr>
        <w:t>Literature</w:t>
      </w:r>
      <w:r>
        <w:rPr>
          <w:spacing w:val="-2"/>
          <w:sz w:val="18"/>
          <w:u w:val="none"/>
          <w:vertAlign w:val="baseline"/>
        </w:rPr>
        <w:t> </w:t>
      </w:r>
      <w:r>
        <w:rPr>
          <w:sz w:val="18"/>
          <w:u w:val="none"/>
          <w:vertAlign w:val="baseline"/>
        </w:rPr>
        <w:t>Review.” </w:t>
      </w:r>
      <w:hyperlink r:id="rId433">
        <w:r>
          <w:rPr>
            <w:color w:val="0000FF"/>
            <w:spacing w:val="-2"/>
            <w:sz w:val="18"/>
            <w:u w:val="single" w:color="0000FF"/>
            <w:vertAlign w:val="baseline"/>
          </w:rPr>
          <w:t>https://scholarworks.calstate.edu/downloads/2v23w095</w:t>
        </w:r>
      </w:hyperlink>
      <w:hyperlink r:id="rId433">
        <w:r>
          <w:rPr>
            <w:color w:val="0000FF"/>
            <w:spacing w:val="-2"/>
            <w:sz w:val="18"/>
            <w:u w:val="single" w:color="0000FF"/>
            <w:vertAlign w:val="baseline"/>
          </w:rPr>
          <w:t>f</w:t>
        </w:r>
        <w:r>
          <w:rPr>
            <w:color w:val="1153CC"/>
            <w:spacing w:val="-2"/>
            <w:sz w:val="18"/>
            <w:u w:val="none"/>
            <w:vertAlign w:val="baseline"/>
          </w:rPr>
          <w:t>.</w:t>
        </w:r>
      </w:hyperlink>
    </w:p>
    <w:p>
      <w:pPr>
        <w:spacing w:before="0"/>
        <w:ind w:left="363" w:right="523" w:hanging="1"/>
        <w:jc w:val="left"/>
        <w:rPr>
          <w:sz w:val="18"/>
        </w:rPr>
      </w:pPr>
      <w:r>
        <w:rPr>
          <w:sz w:val="18"/>
          <w:vertAlign w:val="superscript"/>
        </w:rPr>
        <w:t>54</w:t>
      </w:r>
      <w:r>
        <w:rPr>
          <w:spacing w:val="-10"/>
          <w:sz w:val="18"/>
          <w:vertAlign w:val="baseline"/>
        </w:rPr>
        <w:t> </w:t>
      </w:r>
      <w:r>
        <w:rPr>
          <w:sz w:val="18"/>
          <w:vertAlign w:val="baseline"/>
        </w:rPr>
        <w:t>Gabriel L. Schwartz, Jaquelyn L. Jahn, and Amanda Geller, “Policing Sexuality: Sexual Minority Youth, Police Contact, and Health</w:t>
      </w:r>
      <w:r>
        <w:rPr>
          <w:spacing w:val="-4"/>
          <w:sz w:val="18"/>
          <w:vertAlign w:val="baseline"/>
        </w:rPr>
        <w:t> </w:t>
      </w:r>
      <w:r>
        <w:rPr>
          <w:sz w:val="18"/>
          <w:vertAlign w:val="baseline"/>
        </w:rPr>
        <w:t>Inequity,”</w:t>
      </w:r>
      <w:r>
        <w:rPr>
          <w:spacing w:val="-4"/>
          <w:sz w:val="18"/>
          <w:vertAlign w:val="baseline"/>
        </w:rPr>
        <w:t> </w:t>
      </w:r>
      <w:r>
        <w:rPr>
          <w:i/>
          <w:sz w:val="18"/>
          <w:vertAlign w:val="baseline"/>
        </w:rPr>
        <w:t>SSM</w:t>
      </w:r>
      <w:r>
        <w:rPr>
          <w:i/>
          <w:spacing w:val="-4"/>
          <w:sz w:val="18"/>
          <w:vertAlign w:val="baseline"/>
        </w:rPr>
        <w:t> </w:t>
      </w:r>
      <w:r>
        <w:rPr>
          <w:i/>
          <w:sz w:val="18"/>
          <w:vertAlign w:val="baseline"/>
        </w:rPr>
        <w:t>-</w:t>
      </w:r>
      <w:r>
        <w:rPr>
          <w:i/>
          <w:spacing w:val="-4"/>
          <w:sz w:val="18"/>
          <w:vertAlign w:val="baseline"/>
        </w:rPr>
        <w:t> </w:t>
      </w:r>
      <w:r>
        <w:rPr>
          <w:i/>
          <w:sz w:val="18"/>
          <w:vertAlign w:val="baseline"/>
        </w:rPr>
        <w:t>Population</w:t>
      </w:r>
      <w:r>
        <w:rPr>
          <w:i/>
          <w:spacing w:val="-5"/>
          <w:sz w:val="18"/>
          <w:vertAlign w:val="baseline"/>
        </w:rPr>
        <w:t> </w:t>
      </w:r>
      <w:r>
        <w:rPr>
          <w:i/>
          <w:sz w:val="18"/>
          <w:vertAlign w:val="baseline"/>
        </w:rPr>
        <w:t>Health</w:t>
      </w:r>
      <w:r>
        <w:rPr>
          <w:i/>
          <w:spacing w:val="-5"/>
          <w:sz w:val="18"/>
          <w:vertAlign w:val="baseline"/>
        </w:rPr>
        <w:t> </w:t>
      </w:r>
      <w:r>
        <w:rPr>
          <w:sz w:val="18"/>
          <w:vertAlign w:val="baseline"/>
        </w:rPr>
        <w:t>20</w:t>
      </w:r>
      <w:r>
        <w:rPr>
          <w:spacing w:val="-4"/>
          <w:sz w:val="18"/>
          <w:vertAlign w:val="baseline"/>
        </w:rPr>
        <w:t> </w:t>
      </w:r>
      <w:r>
        <w:rPr>
          <w:sz w:val="18"/>
          <w:vertAlign w:val="baseline"/>
        </w:rPr>
        <w:t>(November</w:t>
      </w:r>
      <w:r>
        <w:rPr>
          <w:spacing w:val="-5"/>
          <w:sz w:val="18"/>
          <w:vertAlign w:val="baseline"/>
        </w:rPr>
        <w:t> </w:t>
      </w:r>
      <w:r>
        <w:rPr>
          <w:sz w:val="18"/>
          <w:vertAlign w:val="baseline"/>
        </w:rPr>
        <w:t>17,</w:t>
      </w:r>
      <w:r>
        <w:rPr>
          <w:spacing w:val="-5"/>
          <w:sz w:val="18"/>
          <w:vertAlign w:val="baseline"/>
        </w:rPr>
        <w:t> </w:t>
      </w:r>
      <w:r>
        <w:rPr>
          <w:sz w:val="18"/>
          <w:vertAlign w:val="baseline"/>
        </w:rPr>
        <w:t>2022):</w:t>
      </w:r>
      <w:r>
        <w:rPr>
          <w:spacing w:val="-4"/>
          <w:sz w:val="18"/>
          <w:vertAlign w:val="baseline"/>
        </w:rPr>
        <w:t> </w:t>
      </w:r>
      <w:r>
        <w:rPr>
          <w:sz w:val="18"/>
          <w:vertAlign w:val="baseline"/>
        </w:rPr>
        <w:t>101292,</w:t>
      </w:r>
      <w:r>
        <w:rPr>
          <w:spacing w:val="-5"/>
          <w:sz w:val="18"/>
          <w:vertAlign w:val="baseline"/>
        </w:rPr>
        <w:t> </w:t>
      </w:r>
      <w:r>
        <w:rPr>
          <w:sz w:val="18"/>
          <w:vertAlign w:val="baseline"/>
        </w:rPr>
        <w:t>https://doi.org/10.1016/j.ssmph.2022.101292.</w:t>
      </w:r>
    </w:p>
    <w:p>
      <w:pPr>
        <w:spacing w:after="0"/>
        <w:jc w:val="left"/>
        <w:rPr>
          <w:sz w:val="18"/>
        </w:rPr>
        <w:sectPr>
          <w:pgSz w:w="12240" w:h="15840"/>
          <w:pgMar w:header="763" w:footer="1339" w:top="1180" w:bottom="1560" w:left="1080" w:right="1240"/>
        </w:sectPr>
      </w:pPr>
    </w:p>
    <w:p>
      <w:pPr>
        <w:pStyle w:val="BodyText"/>
        <w:rPr>
          <w:sz w:val="34"/>
        </w:rPr>
      </w:pPr>
    </w:p>
    <w:p>
      <w:pPr>
        <w:pStyle w:val="BodyText"/>
        <w:spacing w:before="243"/>
        <w:rPr>
          <w:sz w:val="34"/>
        </w:rPr>
      </w:pPr>
    </w:p>
    <w:p>
      <w:pPr>
        <w:spacing w:before="1"/>
        <w:ind w:left="674" w:right="0" w:firstLine="0"/>
        <w:jc w:val="left"/>
        <w:rPr>
          <w:sz w:val="34"/>
        </w:rPr>
      </w:pPr>
      <w:r>
        <w:rPr>
          <w:color w:val="FFFFFF"/>
          <w:w w:val="120"/>
          <w:sz w:val="34"/>
        </w:rPr>
        <w:t>COMMISSION</w:t>
      </w:r>
      <w:r>
        <w:rPr>
          <w:color w:val="FFFFFF"/>
          <w:spacing w:val="17"/>
          <w:w w:val="120"/>
          <w:sz w:val="34"/>
        </w:rPr>
        <w:t> </w:t>
      </w:r>
      <w:r>
        <w:rPr>
          <w:color w:val="FFFFFF"/>
          <w:w w:val="120"/>
          <w:sz w:val="34"/>
        </w:rPr>
        <w:t>ON</w:t>
      </w:r>
      <w:r>
        <w:rPr>
          <w:color w:val="FFFFFF"/>
          <w:spacing w:val="17"/>
          <w:w w:val="120"/>
          <w:sz w:val="34"/>
        </w:rPr>
        <w:t> </w:t>
      </w:r>
      <w:r>
        <w:rPr>
          <w:color w:val="FFFFFF"/>
          <w:w w:val="120"/>
          <w:sz w:val="34"/>
        </w:rPr>
        <w:t>LGBTQ</w:t>
      </w:r>
      <w:r>
        <w:rPr>
          <w:color w:val="FFFFFF"/>
          <w:spacing w:val="17"/>
          <w:w w:val="120"/>
          <w:sz w:val="34"/>
        </w:rPr>
        <w:t> </w:t>
      </w:r>
      <w:r>
        <w:rPr>
          <w:color w:val="FFFFFF"/>
          <w:spacing w:val="-2"/>
          <w:w w:val="120"/>
          <w:sz w:val="34"/>
        </w:rPr>
        <w:t>YOUTH</w:t>
      </w:r>
    </w:p>
    <w:p>
      <w:pPr>
        <w:spacing w:line="216" w:lineRule="auto" w:before="220"/>
        <w:ind w:left="674" w:right="4736" w:firstLine="0"/>
        <w:jc w:val="left"/>
        <w:rPr>
          <w:rFonts w:ascii="Verdana"/>
          <w:b/>
          <w:sz w:val="62"/>
        </w:rPr>
      </w:pPr>
      <w:r>
        <w:rPr>
          <w:rFonts w:ascii="Verdana"/>
          <w:b/>
          <w:color w:val="FFFFFF"/>
          <w:w w:val="90"/>
          <w:sz w:val="62"/>
        </w:rPr>
        <w:t>SEXUAL HEALTH </w:t>
      </w:r>
      <w:r>
        <w:rPr>
          <w:rFonts w:ascii="Verdana"/>
          <w:b/>
          <w:color w:val="FFFFFF"/>
          <w:spacing w:val="-26"/>
          <w:sz w:val="62"/>
        </w:rPr>
        <w:t>&amp;</w:t>
      </w:r>
      <w:r>
        <w:rPr>
          <w:rFonts w:ascii="Verdana"/>
          <w:b/>
          <w:color w:val="FFFFFF"/>
          <w:spacing w:val="-81"/>
          <w:sz w:val="62"/>
        </w:rPr>
        <w:t> </w:t>
      </w:r>
      <w:r>
        <w:rPr>
          <w:rFonts w:ascii="Verdana"/>
          <w:b/>
          <w:color w:val="FFFFFF"/>
          <w:spacing w:val="-26"/>
          <w:sz w:val="62"/>
        </w:rPr>
        <w:t>WELLNESS</w:t>
      </w:r>
    </w:p>
    <w:p>
      <w:pPr>
        <w:pStyle w:val="BodyText"/>
        <w:rPr>
          <w:rFonts w:ascii="Verdana"/>
          <w:b/>
          <w:sz w:val="20"/>
        </w:rPr>
      </w:pPr>
    </w:p>
    <w:p>
      <w:pPr>
        <w:pStyle w:val="BodyText"/>
        <w:rPr>
          <w:rFonts w:ascii="Verdana"/>
          <w:b/>
          <w:sz w:val="20"/>
        </w:rPr>
      </w:pPr>
    </w:p>
    <w:p>
      <w:pPr>
        <w:pStyle w:val="BodyText"/>
        <w:rPr>
          <w:rFonts w:ascii="Verdana"/>
          <w:b/>
          <w:sz w:val="20"/>
        </w:rPr>
      </w:pPr>
    </w:p>
    <w:p>
      <w:pPr>
        <w:pStyle w:val="BodyText"/>
        <w:rPr>
          <w:rFonts w:ascii="Verdana"/>
          <w:b/>
          <w:sz w:val="20"/>
        </w:rPr>
      </w:pPr>
    </w:p>
    <w:p>
      <w:pPr>
        <w:pStyle w:val="BodyText"/>
        <w:rPr>
          <w:rFonts w:ascii="Verdana"/>
          <w:b/>
          <w:sz w:val="20"/>
        </w:rPr>
      </w:pPr>
    </w:p>
    <w:p>
      <w:pPr>
        <w:pStyle w:val="BodyText"/>
        <w:spacing w:before="27"/>
        <w:rPr>
          <w:rFonts w:ascii="Verdana"/>
          <w:b/>
          <w:sz w:val="20"/>
        </w:rPr>
      </w:pPr>
    </w:p>
    <w:p>
      <w:pPr>
        <w:spacing w:after="0"/>
        <w:rPr>
          <w:rFonts w:ascii="Verdana"/>
          <w:sz w:val="20"/>
        </w:rPr>
        <w:sectPr>
          <w:headerReference w:type="default" r:id="rId434"/>
          <w:footerReference w:type="default" r:id="rId435"/>
          <w:pgSz w:w="12240" w:h="15840"/>
          <w:pgMar w:header="0" w:footer="0" w:top="0" w:bottom="280" w:left="920" w:right="300"/>
        </w:sectPr>
      </w:pPr>
    </w:p>
    <w:p>
      <w:pPr>
        <w:spacing w:before="99"/>
        <w:ind w:left="323" w:right="0" w:firstLine="0"/>
        <w:jc w:val="left"/>
        <w:rPr>
          <w:b/>
          <w:i/>
          <w:sz w:val="33"/>
        </w:rPr>
      </w:pPr>
      <w:r>
        <w:rPr>
          <w:b/>
          <w:i/>
          <w:spacing w:val="10"/>
          <w:w w:val="120"/>
          <w:sz w:val="33"/>
        </w:rPr>
        <w:t>ABOUT</w:t>
      </w:r>
    </w:p>
    <w:p>
      <w:pPr>
        <w:spacing w:line="264" w:lineRule="auto" w:before="78"/>
        <w:ind w:left="275" w:right="38" w:firstLine="0"/>
        <w:jc w:val="both"/>
        <w:rPr>
          <w:rFonts w:ascii="Georgia"/>
          <w:sz w:val="21"/>
        </w:rPr>
      </w:pPr>
      <w:r>
        <w:rPr>
          <w:rFonts w:ascii="Georgia"/>
          <w:w w:val="105"/>
          <w:sz w:val="21"/>
        </w:rPr>
        <w:t>LGBTQ</w:t>
      </w:r>
      <w:r>
        <w:rPr>
          <w:rFonts w:ascii="Georgia"/>
          <w:w w:val="105"/>
          <w:sz w:val="21"/>
        </w:rPr>
        <w:t> youth</w:t>
      </w:r>
      <w:r>
        <w:rPr>
          <w:rFonts w:ascii="Georgia"/>
          <w:w w:val="105"/>
          <w:sz w:val="21"/>
        </w:rPr>
        <w:t> remain</w:t>
      </w:r>
      <w:r>
        <w:rPr>
          <w:rFonts w:ascii="Georgia"/>
          <w:w w:val="105"/>
          <w:sz w:val="21"/>
        </w:rPr>
        <w:t> at</w:t>
      </w:r>
      <w:r>
        <w:rPr>
          <w:rFonts w:ascii="Georgia"/>
          <w:w w:val="105"/>
          <w:sz w:val="21"/>
        </w:rPr>
        <w:t> a</w:t>
      </w:r>
      <w:r>
        <w:rPr>
          <w:rFonts w:ascii="Georgia"/>
          <w:w w:val="105"/>
          <w:sz w:val="21"/>
        </w:rPr>
        <w:t> higher</w:t>
      </w:r>
      <w:r>
        <w:rPr>
          <w:rFonts w:ascii="Georgia"/>
          <w:w w:val="105"/>
          <w:sz w:val="21"/>
        </w:rPr>
        <w:t> risk</w:t>
      </w:r>
      <w:r>
        <w:rPr>
          <w:rFonts w:ascii="Georgia"/>
          <w:w w:val="105"/>
          <w:sz w:val="21"/>
        </w:rPr>
        <w:t> for</w:t>
      </w:r>
      <w:r>
        <w:rPr>
          <w:rFonts w:ascii="Georgia"/>
          <w:w w:val="105"/>
          <w:sz w:val="21"/>
        </w:rPr>
        <w:t> STIs,</w:t>
      </w:r>
      <w:r>
        <w:rPr>
          <w:rFonts w:ascii="Georgia"/>
          <w:w w:val="105"/>
          <w:sz w:val="21"/>
        </w:rPr>
        <w:t> HIV, and</w:t>
      </w:r>
      <w:r>
        <w:rPr>
          <w:rFonts w:ascii="Georgia"/>
          <w:spacing w:val="-8"/>
          <w:w w:val="105"/>
          <w:sz w:val="21"/>
        </w:rPr>
        <w:t> </w:t>
      </w:r>
      <w:r>
        <w:rPr>
          <w:rFonts w:ascii="Georgia"/>
          <w:w w:val="105"/>
          <w:sz w:val="21"/>
        </w:rPr>
        <w:t>sexual</w:t>
      </w:r>
      <w:r>
        <w:rPr>
          <w:rFonts w:ascii="Georgia"/>
          <w:spacing w:val="-8"/>
          <w:w w:val="105"/>
          <w:sz w:val="21"/>
        </w:rPr>
        <w:t> </w:t>
      </w:r>
      <w:r>
        <w:rPr>
          <w:rFonts w:ascii="Georgia"/>
          <w:w w:val="105"/>
          <w:sz w:val="21"/>
        </w:rPr>
        <w:t>violence.</w:t>
      </w:r>
      <w:r>
        <w:rPr>
          <w:rFonts w:ascii="Georgia"/>
          <w:spacing w:val="-8"/>
          <w:w w:val="105"/>
          <w:sz w:val="21"/>
        </w:rPr>
        <w:t> </w:t>
      </w:r>
      <w:r>
        <w:rPr>
          <w:rFonts w:ascii="Georgia"/>
          <w:w w:val="105"/>
          <w:sz w:val="21"/>
        </w:rPr>
        <w:t>Furthermore,</w:t>
      </w:r>
      <w:r>
        <w:rPr>
          <w:rFonts w:ascii="Georgia"/>
          <w:spacing w:val="-8"/>
          <w:w w:val="105"/>
          <w:sz w:val="21"/>
        </w:rPr>
        <w:t> </w:t>
      </w:r>
      <w:r>
        <w:rPr>
          <w:rFonts w:ascii="Georgia"/>
          <w:w w:val="105"/>
          <w:sz w:val="21"/>
        </w:rPr>
        <w:t>as</w:t>
      </w:r>
      <w:r>
        <w:rPr>
          <w:rFonts w:ascii="Georgia"/>
          <w:spacing w:val="-8"/>
          <w:w w:val="105"/>
          <w:sz w:val="21"/>
        </w:rPr>
        <w:t> </w:t>
      </w:r>
      <w:r>
        <w:rPr>
          <w:rFonts w:ascii="Georgia"/>
          <w:w w:val="105"/>
          <w:sz w:val="21"/>
        </w:rPr>
        <w:t>discussed</w:t>
      </w:r>
      <w:r>
        <w:rPr>
          <w:rFonts w:ascii="Georgia"/>
          <w:spacing w:val="-8"/>
          <w:w w:val="105"/>
          <w:sz w:val="21"/>
        </w:rPr>
        <w:t> </w:t>
      </w:r>
      <w:r>
        <w:rPr>
          <w:rFonts w:ascii="Georgia"/>
          <w:w w:val="105"/>
          <w:sz w:val="21"/>
        </w:rPr>
        <w:t>in</w:t>
      </w:r>
      <w:r>
        <w:rPr>
          <w:rFonts w:ascii="Georgia"/>
          <w:spacing w:val="-8"/>
          <w:w w:val="105"/>
          <w:sz w:val="21"/>
        </w:rPr>
        <w:t> </w:t>
      </w:r>
      <w:r>
        <w:rPr>
          <w:rFonts w:ascii="Georgia"/>
          <w:w w:val="105"/>
          <w:sz w:val="21"/>
        </w:rPr>
        <w:t>the above</w:t>
      </w:r>
      <w:r>
        <w:rPr>
          <w:rFonts w:ascii="Georgia"/>
          <w:w w:val="105"/>
          <w:sz w:val="21"/>
        </w:rPr>
        <w:t> section,</w:t>
      </w:r>
      <w:r>
        <w:rPr>
          <w:rFonts w:ascii="Georgia"/>
          <w:w w:val="105"/>
          <w:sz w:val="21"/>
        </w:rPr>
        <w:t> LGBTQ</w:t>
      </w:r>
      <w:r>
        <w:rPr>
          <w:rFonts w:ascii="Georgia"/>
          <w:w w:val="105"/>
          <w:sz w:val="21"/>
        </w:rPr>
        <w:t> youth</w:t>
      </w:r>
      <w:r>
        <w:rPr>
          <w:rFonts w:ascii="Georgia"/>
          <w:w w:val="105"/>
          <w:sz w:val="21"/>
        </w:rPr>
        <w:t> are</w:t>
      </w:r>
      <w:r>
        <w:rPr>
          <w:rFonts w:ascii="Georgia"/>
          <w:w w:val="105"/>
          <w:sz w:val="21"/>
        </w:rPr>
        <w:t> often</w:t>
      </w:r>
      <w:r>
        <w:rPr>
          <w:rFonts w:ascii="Georgia"/>
          <w:w w:val="105"/>
          <w:sz w:val="21"/>
        </w:rPr>
        <w:t> left</w:t>
      </w:r>
      <w:r>
        <w:rPr>
          <w:rFonts w:ascii="Georgia"/>
          <w:w w:val="105"/>
          <w:sz w:val="21"/>
        </w:rPr>
        <w:t> out</w:t>
      </w:r>
      <w:r>
        <w:rPr>
          <w:rFonts w:ascii="Georgia"/>
          <w:w w:val="105"/>
          <w:sz w:val="21"/>
        </w:rPr>
        <w:t> of conversations</w:t>
      </w:r>
      <w:r>
        <w:rPr>
          <w:rFonts w:ascii="Georgia"/>
          <w:w w:val="105"/>
          <w:sz w:val="21"/>
        </w:rPr>
        <w:t> around</w:t>
      </w:r>
      <w:r>
        <w:rPr>
          <w:rFonts w:ascii="Georgia"/>
          <w:w w:val="105"/>
          <w:sz w:val="21"/>
        </w:rPr>
        <w:t> national</w:t>
      </w:r>
      <w:r>
        <w:rPr>
          <w:rFonts w:ascii="Georgia"/>
          <w:w w:val="105"/>
          <w:sz w:val="21"/>
        </w:rPr>
        <w:t> and</w:t>
      </w:r>
      <w:r>
        <w:rPr>
          <w:rFonts w:ascii="Georgia"/>
          <w:w w:val="105"/>
          <w:sz w:val="21"/>
        </w:rPr>
        <w:t> statewide conversations</w:t>
      </w:r>
      <w:r>
        <w:rPr>
          <w:rFonts w:ascii="Georgia"/>
          <w:w w:val="105"/>
          <w:sz w:val="21"/>
        </w:rPr>
        <w:t> involving</w:t>
      </w:r>
      <w:r>
        <w:rPr>
          <w:rFonts w:ascii="Georgia"/>
          <w:w w:val="105"/>
          <w:sz w:val="21"/>
        </w:rPr>
        <w:t> pregnancy,</w:t>
      </w:r>
      <w:r>
        <w:rPr>
          <w:rFonts w:ascii="Georgia"/>
          <w:w w:val="105"/>
          <w:sz w:val="21"/>
        </w:rPr>
        <w:t> abortion</w:t>
      </w:r>
      <w:r>
        <w:rPr>
          <w:rFonts w:ascii="Georgia"/>
          <w:w w:val="105"/>
          <w:sz w:val="21"/>
        </w:rPr>
        <w:t> access, and</w:t>
      </w:r>
      <w:r>
        <w:rPr>
          <w:rFonts w:ascii="Georgia"/>
          <w:spacing w:val="36"/>
          <w:w w:val="105"/>
          <w:sz w:val="21"/>
        </w:rPr>
        <w:t> </w:t>
      </w:r>
      <w:r>
        <w:rPr>
          <w:rFonts w:ascii="Georgia"/>
          <w:w w:val="105"/>
          <w:sz w:val="21"/>
        </w:rPr>
        <w:t>gynecological</w:t>
      </w:r>
      <w:r>
        <w:rPr>
          <w:rFonts w:ascii="Georgia"/>
          <w:spacing w:val="37"/>
          <w:w w:val="105"/>
          <w:sz w:val="21"/>
        </w:rPr>
        <w:t> </w:t>
      </w:r>
      <w:r>
        <w:rPr>
          <w:rFonts w:ascii="Georgia"/>
          <w:w w:val="105"/>
          <w:sz w:val="21"/>
        </w:rPr>
        <w:t>health,</w:t>
      </w:r>
      <w:r>
        <w:rPr>
          <w:rFonts w:ascii="Georgia"/>
          <w:spacing w:val="37"/>
          <w:w w:val="105"/>
          <w:sz w:val="21"/>
        </w:rPr>
        <w:t> </w:t>
      </w:r>
      <w:r>
        <w:rPr>
          <w:rFonts w:ascii="Georgia"/>
          <w:w w:val="105"/>
          <w:sz w:val="21"/>
        </w:rPr>
        <w:t>but</w:t>
      </w:r>
      <w:r>
        <w:rPr>
          <w:rFonts w:ascii="Georgia"/>
          <w:spacing w:val="37"/>
          <w:w w:val="105"/>
          <w:sz w:val="21"/>
        </w:rPr>
        <w:t> </w:t>
      </w:r>
      <w:r>
        <w:rPr>
          <w:rFonts w:ascii="Georgia"/>
          <w:w w:val="105"/>
          <w:sz w:val="21"/>
        </w:rPr>
        <w:t>often</w:t>
      </w:r>
      <w:r>
        <w:rPr>
          <w:rFonts w:ascii="Georgia"/>
          <w:spacing w:val="37"/>
          <w:w w:val="105"/>
          <w:sz w:val="21"/>
        </w:rPr>
        <w:t> </w:t>
      </w:r>
      <w:r>
        <w:rPr>
          <w:rFonts w:ascii="Georgia"/>
          <w:w w:val="105"/>
          <w:sz w:val="21"/>
        </w:rPr>
        <w:t>face</w:t>
      </w:r>
      <w:r>
        <w:rPr>
          <w:rFonts w:ascii="Georgia"/>
          <w:spacing w:val="37"/>
          <w:w w:val="105"/>
          <w:sz w:val="21"/>
        </w:rPr>
        <w:t> </w:t>
      </w:r>
      <w:r>
        <w:rPr>
          <w:rFonts w:ascii="Georgia"/>
          <w:spacing w:val="-2"/>
          <w:w w:val="105"/>
          <w:sz w:val="21"/>
        </w:rPr>
        <w:t>significant</w:t>
      </w:r>
    </w:p>
    <w:p>
      <w:pPr>
        <w:spacing w:before="423"/>
        <w:ind w:left="0" w:right="980" w:firstLine="0"/>
        <w:jc w:val="center"/>
        <w:rPr>
          <w:rFonts w:ascii="Verdana"/>
          <w:b/>
          <w:sz w:val="77"/>
        </w:rPr>
      </w:pPr>
      <w:r>
        <w:rPr/>
        <w:br w:type="column"/>
      </w:r>
      <w:r>
        <w:rPr>
          <w:rFonts w:ascii="Verdana"/>
          <w:b/>
          <w:emboss/>
          <w:color w:val="001389"/>
          <w:spacing w:val="20"/>
          <w:w w:val="80"/>
          <w:sz w:val="77"/>
        </w:rPr>
        <w:t>34%</w:t>
      </w:r>
    </w:p>
    <w:p>
      <w:pPr>
        <w:spacing w:line="278" w:lineRule="auto" w:before="24"/>
        <w:ind w:left="275" w:right="1256" w:hanging="1"/>
        <w:jc w:val="center"/>
        <w:rPr>
          <w:rFonts w:ascii="Georgia"/>
          <w:sz w:val="20"/>
        </w:rPr>
      </w:pPr>
      <w:r>
        <w:rPr>
          <w:rFonts w:ascii="Georgia"/>
          <w:w w:val="105"/>
          <w:sz w:val="20"/>
        </w:rPr>
        <w:t>of</w:t>
      </w:r>
      <w:r>
        <w:rPr>
          <w:rFonts w:ascii="Georgia"/>
          <w:spacing w:val="-13"/>
          <w:w w:val="105"/>
          <w:sz w:val="20"/>
        </w:rPr>
        <w:t> </w:t>
      </w:r>
      <w:r>
        <w:rPr>
          <w:rFonts w:ascii="Georgia"/>
          <w:w w:val="105"/>
          <w:sz w:val="20"/>
        </w:rPr>
        <w:t>schools</w:t>
      </w:r>
      <w:r>
        <w:rPr>
          <w:rFonts w:ascii="Georgia"/>
          <w:spacing w:val="-13"/>
          <w:w w:val="105"/>
          <w:sz w:val="20"/>
        </w:rPr>
        <w:t> </w:t>
      </w:r>
      <w:r>
        <w:rPr>
          <w:rFonts w:ascii="Georgia"/>
          <w:w w:val="105"/>
          <w:sz w:val="20"/>
        </w:rPr>
        <w:t>in</w:t>
      </w:r>
      <w:r>
        <w:rPr>
          <w:rFonts w:ascii="Georgia"/>
          <w:spacing w:val="-12"/>
          <w:w w:val="105"/>
          <w:sz w:val="20"/>
        </w:rPr>
        <w:t> </w:t>
      </w:r>
      <w:r>
        <w:rPr>
          <w:rFonts w:ascii="Georgia"/>
          <w:w w:val="105"/>
          <w:sz w:val="20"/>
        </w:rPr>
        <w:t>Massachusettes</w:t>
      </w:r>
      <w:r>
        <w:rPr>
          <w:rFonts w:ascii="Georgia"/>
          <w:spacing w:val="-13"/>
          <w:w w:val="105"/>
          <w:sz w:val="20"/>
        </w:rPr>
        <w:t> </w:t>
      </w:r>
      <w:r>
        <w:rPr>
          <w:rFonts w:ascii="Georgia"/>
          <w:w w:val="105"/>
          <w:sz w:val="20"/>
        </w:rPr>
        <w:t>taught students</w:t>
      </w:r>
      <w:r>
        <w:rPr>
          <w:rFonts w:ascii="Georgia"/>
          <w:spacing w:val="-13"/>
          <w:w w:val="105"/>
          <w:sz w:val="20"/>
        </w:rPr>
        <w:t> </w:t>
      </w:r>
      <w:r>
        <w:rPr>
          <w:rFonts w:ascii="Georgia"/>
          <w:w w:val="105"/>
          <w:sz w:val="20"/>
        </w:rPr>
        <w:t>how</w:t>
      </w:r>
      <w:r>
        <w:rPr>
          <w:rFonts w:ascii="Georgia"/>
          <w:spacing w:val="-12"/>
          <w:w w:val="105"/>
          <w:sz w:val="20"/>
        </w:rPr>
        <w:t> </w:t>
      </w:r>
      <w:r>
        <w:rPr>
          <w:rFonts w:ascii="Georgia"/>
          <w:w w:val="105"/>
          <w:sz w:val="20"/>
        </w:rPr>
        <w:t>to</w:t>
      </w:r>
      <w:r>
        <w:rPr>
          <w:rFonts w:ascii="Georgia"/>
          <w:spacing w:val="-13"/>
          <w:w w:val="105"/>
          <w:sz w:val="20"/>
        </w:rPr>
        <w:t> </w:t>
      </w:r>
      <w:r>
        <w:rPr>
          <w:rFonts w:ascii="Georgia"/>
          <w:w w:val="105"/>
          <w:sz w:val="20"/>
        </w:rPr>
        <w:t>appropriately</w:t>
      </w:r>
      <w:r>
        <w:rPr>
          <w:rFonts w:ascii="Georgia"/>
          <w:spacing w:val="-12"/>
          <w:w w:val="105"/>
          <w:sz w:val="20"/>
        </w:rPr>
        <w:t> </w:t>
      </w:r>
      <w:r>
        <w:rPr>
          <w:rFonts w:ascii="Georgia"/>
          <w:w w:val="105"/>
          <w:sz w:val="20"/>
        </w:rPr>
        <w:t>use</w:t>
      </w:r>
      <w:r>
        <w:rPr>
          <w:rFonts w:ascii="Georgia"/>
          <w:spacing w:val="-13"/>
          <w:w w:val="105"/>
          <w:sz w:val="20"/>
        </w:rPr>
        <w:t> </w:t>
      </w:r>
      <w:r>
        <w:rPr>
          <w:rFonts w:ascii="Georgia"/>
          <w:w w:val="105"/>
          <w:sz w:val="20"/>
        </w:rPr>
        <w:t>a </w:t>
      </w:r>
      <w:r>
        <w:rPr>
          <w:rFonts w:ascii="Georgia"/>
          <w:spacing w:val="-2"/>
          <w:w w:val="105"/>
          <w:sz w:val="20"/>
        </w:rPr>
        <w:t>condom</w:t>
      </w:r>
    </w:p>
    <w:p>
      <w:pPr>
        <w:spacing w:after="0" w:line="278" w:lineRule="auto"/>
        <w:jc w:val="center"/>
        <w:rPr>
          <w:rFonts w:ascii="Georgia"/>
          <w:sz w:val="20"/>
        </w:rPr>
        <w:sectPr>
          <w:type w:val="continuous"/>
          <w:pgSz w:w="12240" w:h="15840"/>
          <w:pgMar w:header="0" w:footer="0" w:top="1420" w:bottom="280" w:left="920" w:right="300"/>
          <w:cols w:num="2" w:equalWidth="0">
            <w:col w:w="5481" w:space="731"/>
            <w:col w:w="4808"/>
          </w:cols>
        </w:sectPr>
      </w:pPr>
    </w:p>
    <w:p>
      <w:pPr>
        <w:tabs>
          <w:tab w:pos="5941" w:val="left" w:leader="none"/>
          <w:tab w:pos="10358" w:val="left" w:leader="none"/>
        </w:tabs>
        <w:spacing w:line="226" w:lineRule="exact" w:before="0"/>
        <w:ind w:left="275" w:right="0" w:firstLine="0"/>
        <w:jc w:val="left"/>
        <w:rPr>
          <w:rFonts w:ascii="Times New Roman"/>
          <w:sz w:val="21"/>
        </w:rPr>
      </w:pPr>
      <w:r>
        <w:rPr>
          <w:rFonts w:ascii="Georgia"/>
          <w:sz w:val="21"/>
        </w:rPr>
        <w:t>disparities</w:t>
      </w:r>
      <w:r>
        <w:rPr>
          <w:rFonts w:ascii="Georgia"/>
          <w:spacing w:val="72"/>
          <w:sz w:val="21"/>
        </w:rPr>
        <w:t> </w:t>
      </w:r>
      <w:r>
        <w:rPr>
          <w:rFonts w:ascii="Georgia"/>
          <w:sz w:val="21"/>
        </w:rPr>
        <w:t>in</w:t>
      </w:r>
      <w:r>
        <w:rPr>
          <w:rFonts w:ascii="Georgia"/>
          <w:spacing w:val="72"/>
          <w:sz w:val="21"/>
        </w:rPr>
        <w:t> </w:t>
      </w:r>
      <w:r>
        <w:rPr>
          <w:rFonts w:ascii="Georgia"/>
          <w:sz w:val="21"/>
        </w:rPr>
        <w:t>access</w:t>
      </w:r>
      <w:r>
        <w:rPr>
          <w:rFonts w:ascii="Georgia"/>
          <w:spacing w:val="73"/>
          <w:sz w:val="21"/>
        </w:rPr>
        <w:t> </w:t>
      </w:r>
      <w:r>
        <w:rPr>
          <w:rFonts w:ascii="Georgia"/>
          <w:sz w:val="21"/>
        </w:rPr>
        <w:t>and</w:t>
      </w:r>
      <w:r>
        <w:rPr>
          <w:rFonts w:ascii="Georgia"/>
          <w:spacing w:val="72"/>
          <w:sz w:val="21"/>
        </w:rPr>
        <w:t> </w:t>
      </w:r>
      <w:r>
        <w:rPr>
          <w:rFonts w:ascii="Georgia"/>
          <w:sz w:val="21"/>
        </w:rPr>
        <w:t>care.</w:t>
      </w:r>
      <w:r>
        <w:rPr>
          <w:rFonts w:ascii="Georgia"/>
          <w:spacing w:val="72"/>
          <w:sz w:val="21"/>
        </w:rPr>
        <w:t> </w:t>
      </w:r>
      <w:r>
        <w:rPr>
          <w:rFonts w:ascii="Georgia"/>
          <w:sz w:val="21"/>
        </w:rPr>
        <w:t>Compounding</w:t>
      </w:r>
      <w:r>
        <w:rPr>
          <w:rFonts w:ascii="Georgia"/>
          <w:spacing w:val="73"/>
          <w:sz w:val="21"/>
        </w:rPr>
        <w:t> </w:t>
      </w:r>
      <w:r>
        <w:rPr>
          <w:rFonts w:ascii="Georgia"/>
          <w:spacing w:val="-4"/>
          <w:sz w:val="21"/>
        </w:rPr>
        <w:t>these</w:t>
      </w:r>
      <w:r>
        <w:rPr>
          <w:rFonts w:ascii="Georgia"/>
          <w:sz w:val="21"/>
        </w:rPr>
        <w:tab/>
      </w:r>
      <w:r>
        <w:rPr>
          <w:rFonts w:ascii="Times New Roman"/>
          <w:sz w:val="21"/>
          <w:u w:val="thick" w:color="001389"/>
        </w:rPr>
        <w:tab/>
      </w:r>
    </w:p>
    <w:p>
      <w:pPr>
        <w:spacing w:line="260" w:lineRule="atLeast" w:before="0"/>
        <w:ind w:left="275" w:right="4736" w:firstLine="0"/>
        <w:jc w:val="left"/>
        <w:rPr>
          <w:rFonts w:ascii="Georgia"/>
          <w:sz w:val="21"/>
        </w:rPr>
      </w:pPr>
      <w:r>
        <w:rPr>
          <w:rFonts w:ascii="Georgia"/>
          <w:w w:val="105"/>
          <w:sz w:val="21"/>
        </w:rPr>
        <w:t>issues,</w:t>
      </w:r>
      <w:r>
        <w:rPr>
          <w:rFonts w:ascii="Georgia"/>
          <w:spacing w:val="-14"/>
          <w:w w:val="105"/>
          <w:sz w:val="21"/>
        </w:rPr>
        <w:t> </w:t>
      </w:r>
      <w:r>
        <w:rPr>
          <w:rFonts w:ascii="Georgia"/>
          <w:w w:val="105"/>
          <w:sz w:val="21"/>
        </w:rPr>
        <w:t>LGBTQ</w:t>
      </w:r>
      <w:r>
        <w:rPr>
          <w:rFonts w:ascii="Georgia"/>
          <w:spacing w:val="-13"/>
          <w:w w:val="105"/>
          <w:sz w:val="21"/>
        </w:rPr>
        <w:t> </w:t>
      </w:r>
      <w:r>
        <w:rPr>
          <w:rFonts w:ascii="Georgia"/>
          <w:w w:val="105"/>
          <w:sz w:val="21"/>
        </w:rPr>
        <w:t>youth</w:t>
      </w:r>
      <w:r>
        <w:rPr>
          <w:rFonts w:ascii="Georgia"/>
          <w:spacing w:val="-13"/>
          <w:w w:val="105"/>
          <w:sz w:val="21"/>
        </w:rPr>
        <w:t> </w:t>
      </w:r>
      <w:r>
        <w:rPr>
          <w:rFonts w:ascii="Georgia"/>
          <w:w w:val="105"/>
          <w:sz w:val="21"/>
        </w:rPr>
        <w:t>frequently</w:t>
      </w:r>
      <w:r>
        <w:rPr>
          <w:rFonts w:ascii="Georgia"/>
          <w:spacing w:val="-14"/>
          <w:w w:val="105"/>
          <w:sz w:val="21"/>
        </w:rPr>
        <w:t> </w:t>
      </w:r>
      <w:r>
        <w:rPr>
          <w:rFonts w:ascii="Georgia"/>
          <w:w w:val="105"/>
          <w:sz w:val="21"/>
        </w:rPr>
        <w:t>encounter</w:t>
      </w:r>
      <w:r>
        <w:rPr>
          <w:rFonts w:ascii="Georgia"/>
          <w:spacing w:val="-13"/>
          <w:w w:val="105"/>
          <w:sz w:val="21"/>
        </w:rPr>
        <w:t> </w:t>
      </w:r>
      <w:r>
        <w:rPr>
          <w:rFonts w:ascii="Georgia"/>
          <w:w w:val="105"/>
          <w:sz w:val="21"/>
        </w:rPr>
        <w:t>barriers</w:t>
      </w:r>
      <w:r>
        <w:rPr>
          <w:rFonts w:ascii="Georgia"/>
          <w:spacing w:val="-13"/>
          <w:w w:val="105"/>
          <w:sz w:val="21"/>
        </w:rPr>
        <w:t> </w:t>
      </w:r>
      <w:r>
        <w:rPr>
          <w:rFonts w:ascii="Georgia"/>
          <w:w w:val="105"/>
          <w:sz w:val="21"/>
        </w:rPr>
        <w:t>to accessing</w:t>
      </w:r>
      <w:r>
        <w:rPr>
          <w:rFonts w:ascii="Georgia"/>
          <w:spacing w:val="-9"/>
          <w:w w:val="105"/>
          <w:sz w:val="21"/>
        </w:rPr>
        <w:t> </w:t>
      </w:r>
      <w:r>
        <w:rPr>
          <w:rFonts w:ascii="Georgia"/>
          <w:w w:val="105"/>
          <w:sz w:val="21"/>
        </w:rPr>
        <w:t>contraceptives,</w:t>
      </w:r>
      <w:r>
        <w:rPr>
          <w:rFonts w:ascii="Georgia"/>
          <w:spacing w:val="-9"/>
          <w:w w:val="105"/>
          <w:sz w:val="21"/>
        </w:rPr>
        <w:t> </w:t>
      </w:r>
      <w:r>
        <w:rPr>
          <w:rFonts w:ascii="Georgia"/>
          <w:w w:val="105"/>
          <w:sz w:val="21"/>
        </w:rPr>
        <w:t>affirming</w:t>
      </w:r>
      <w:r>
        <w:rPr>
          <w:rFonts w:ascii="Georgia"/>
          <w:spacing w:val="-9"/>
          <w:w w:val="105"/>
          <w:sz w:val="21"/>
        </w:rPr>
        <w:t> </w:t>
      </w:r>
      <w:r>
        <w:rPr>
          <w:rFonts w:ascii="Georgia"/>
          <w:w w:val="105"/>
          <w:sz w:val="21"/>
        </w:rPr>
        <w:t>medical</w:t>
      </w:r>
      <w:r>
        <w:rPr>
          <w:rFonts w:ascii="Georgia"/>
          <w:spacing w:val="-9"/>
          <w:w w:val="105"/>
          <w:sz w:val="21"/>
        </w:rPr>
        <w:t> </w:t>
      </w:r>
      <w:r>
        <w:rPr>
          <w:rFonts w:ascii="Georgia"/>
          <w:w w:val="105"/>
          <w:sz w:val="21"/>
        </w:rPr>
        <w:t>care,</w:t>
      </w:r>
      <w:r>
        <w:rPr>
          <w:rFonts w:ascii="Georgia"/>
          <w:spacing w:val="-8"/>
          <w:w w:val="105"/>
          <w:sz w:val="21"/>
        </w:rPr>
        <w:t> </w:t>
      </w:r>
      <w:r>
        <w:rPr>
          <w:rFonts w:ascii="Georgia"/>
          <w:spacing w:val="-5"/>
          <w:w w:val="105"/>
          <w:sz w:val="21"/>
        </w:rPr>
        <w:t>and</w:t>
      </w:r>
    </w:p>
    <w:p>
      <w:pPr>
        <w:spacing w:after="0" w:line="260" w:lineRule="atLeast"/>
        <w:jc w:val="left"/>
        <w:rPr>
          <w:rFonts w:ascii="Georgia"/>
          <w:sz w:val="21"/>
        </w:rPr>
        <w:sectPr>
          <w:type w:val="continuous"/>
          <w:pgSz w:w="12240" w:h="15840"/>
          <w:pgMar w:header="0" w:footer="0" w:top="1420" w:bottom="280" w:left="920" w:right="300"/>
        </w:sectPr>
      </w:pPr>
    </w:p>
    <w:p>
      <w:pPr>
        <w:spacing w:before="31"/>
        <w:ind w:left="275" w:right="0" w:firstLine="0"/>
        <w:jc w:val="left"/>
        <w:rPr>
          <w:rFonts w:ascii="Georgia"/>
          <w:sz w:val="21"/>
        </w:rPr>
      </w:pPr>
      <w:r>
        <w:rPr/>
        <mc:AlternateContent>
          <mc:Choice Requires="wps">
            <w:drawing>
              <wp:anchor distT="0" distB="0" distL="0" distR="0" allowOverlap="1" layoutInCell="1" locked="0" behindDoc="1" simplePos="0" relativeHeight="482616320">
                <wp:simplePos x="0" y="0"/>
                <wp:positionH relativeFrom="page">
                  <wp:posOffset>661416</wp:posOffset>
                </wp:positionH>
                <wp:positionV relativeFrom="paragraph">
                  <wp:posOffset>488742</wp:posOffset>
                </wp:positionV>
                <wp:extent cx="3475990" cy="2969895"/>
                <wp:effectExtent l="0" t="0" r="0" b="0"/>
                <wp:wrapNone/>
                <wp:docPr id="345" name="Group 345"/>
                <wp:cNvGraphicFramePr>
                  <a:graphicFrameLocks/>
                </wp:cNvGraphicFramePr>
                <a:graphic>
                  <a:graphicData uri="http://schemas.microsoft.com/office/word/2010/wordprocessingGroup">
                    <wpg:wgp>
                      <wpg:cNvPr id="345" name="Group 345"/>
                      <wpg:cNvGrpSpPr/>
                      <wpg:grpSpPr>
                        <a:xfrm>
                          <a:off x="0" y="0"/>
                          <a:ext cx="3475990" cy="2969895"/>
                          <a:chExt cx="3475990" cy="2969895"/>
                        </a:xfrm>
                      </wpg:grpSpPr>
                      <pic:pic>
                        <pic:nvPicPr>
                          <pic:cNvPr id="346" name="Image 346"/>
                          <pic:cNvPicPr/>
                        </pic:nvPicPr>
                        <pic:blipFill>
                          <a:blip r:embed="rId436" cstate="print"/>
                          <a:stretch>
                            <a:fillRect/>
                          </a:stretch>
                        </pic:blipFill>
                        <pic:spPr>
                          <a:xfrm>
                            <a:off x="0" y="0"/>
                            <a:ext cx="3475728" cy="2969629"/>
                          </a:xfrm>
                          <a:prstGeom prst="rect">
                            <a:avLst/>
                          </a:prstGeom>
                        </pic:spPr>
                      </pic:pic>
                      <wps:wsp>
                        <wps:cNvPr id="347" name="Textbox 347"/>
                        <wps:cNvSpPr txBox="1"/>
                        <wps:spPr>
                          <a:xfrm>
                            <a:off x="0" y="0"/>
                            <a:ext cx="3475990" cy="2969895"/>
                          </a:xfrm>
                          <a:prstGeom prst="rect">
                            <a:avLst/>
                          </a:prstGeom>
                        </wps:spPr>
                        <wps:txbx>
                          <w:txbxContent>
                            <w:p>
                              <w:pPr>
                                <w:spacing w:before="126"/>
                                <w:ind w:left="204" w:right="0" w:firstLine="0"/>
                                <w:jc w:val="left"/>
                                <w:rPr>
                                  <w:b/>
                                  <w:i/>
                                  <w:sz w:val="33"/>
                                </w:rPr>
                              </w:pPr>
                              <w:r>
                                <w:rPr>
                                  <w:b/>
                                  <w:i/>
                                  <w:spacing w:val="12"/>
                                  <w:w w:val="125"/>
                                  <w:sz w:val="33"/>
                                </w:rPr>
                                <w:t>RECOMMENDATIONS</w:t>
                              </w:r>
                            </w:p>
                            <w:p>
                              <w:pPr>
                                <w:spacing w:line="276" w:lineRule="auto" w:before="268"/>
                                <w:ind w:left="661" w:right="160" w:firstLine="0"/>
                                <w:jc w:val="left"/>
                                <w:rPr>
                                  <w:rFonts w:ascii="Georgia"/>
                                  <w:sz w:val="18"/>
                                </w:rPr>
                              </w:pPr>
                              <w:r>
                                <w:rPr>
                                  <w:rFonts w:ascii="Georgia"/>
                                  <w:w w:val="105"/>
                                  <w:sz w:val="18"/>
                                </w:rPr>
                                <w:t>Ensure that all youth have access to age-appropriate, LGBTQ-inclusive,</w:t>
                              </w:r>
                              <w:r>
                                <w:rPr>
                                  <w:rFonts w:ascii="Georgia"/>
                                  <w:spacing w:val="-12"/>
                                  <w:w w:val="105"/>
                                  <w:sz w:val="18"/>
                                </w:rPr>
                                <w:t> </w:t>
                              </w:r>
                              <w:r>
                                <w:rPr>
                                  <w:rFonts w:ascii="Georgia"/>
                                  <w:w w:val="105"/>
                                  <w:sz w:val="18"/>
                                </w:rPr>
                                <w:t>and</w:t>
                              </w:r>
                              <w:r>
                                <w:rPr>
                                  <w:rFonts w:ascii="Georgia"/>
                                  <w:spacing w:val="-11"/>
                                  <w:w w:val="105"/>
                                  <w:sz w:val="18"/>
                                </w:rPr>
                                <w:t> </w:t>
                              </w:r>
                              <w:r>
                                <w:rPr>
                                  <w:rFonts w:ascii="Georgia"/>
                                  <w:w w:val="105"/>
                                  <w:sz w:val="18"/>
                                </w:rPr>
                                <w:t>consent-based</w:t>
                              </w:r>
                              <w:r>
                                <w:rPr>
                                  <w:rFonts w:ascii="Georgia"/>
                                  <w:spacing w:val="-12"/>
                                  <w:w w:val="105"/>
                                  <w:sz w:val="18"/>
                                </w:rPr>
                                <w:t> </w:t>
                              </w:r>
                              <w:r>
                                <w:rPr>
                                  <w:rFonts w:ascii="Georgia"/>
                                  <w:w w:val="105"/>
                                  <w:sz w:val="18"/>
                                </w:rPr>
                                <w:t>sex</w:t>
                              </w:r>
                              <w:r>
                                <w:rPr>
                                  <w:rFonts w:ascii="Georgia"/>
                                  <w:spacing w:val="-11"/>
                                  <w:w w:val="105"/>
                                  <w:sz w:val="18"/>
                                </w:rPr>
                                <w:t> </w:t>
                              </w:r>
                              <w:r>
                                <w:rPr>
                                  <w:rFonts w:ascii="Georgia"/>
                                  <w:w w:val="105"/>
                                  <w:sz w:val="18"/>
                                </w:rPr>
                                <w:t>ed</w:t>
                              </w:r>
                              <w:r>
                                <w:rPr>
                                  <w:rFonts w:ascii="Georgia"/>
                                  <w:spacing w:val="-11"/>
                                  <w:w w:val="105"/>
                                  <w:sz w:val="18"/>
                                </w:rPr>
                                <w:t> </w:t>
                              </w:r>
                              <w:r>
                                <w:rPr>
                                  <w:rFonts w:ascii="Georgia"/>
                                  <w:w w:val="105"/>
                                  <w:sz w:val="18"/>
                                </w:rPr>
                                <w:t>and</w:t>
                              </w:r>
                              <w:r>
                                <w:rPr>
                                  <w:rFonts w:ascii="Georgia"/>
                                  <w:spacing w:val="-12"/>
                                  <w:w w:val="105"/>
                                  <w:sz w:val="18"/>
                                </w:rPr>
                                <w:t> </w:t>
                              </w:r>
                              <w:r>
                                <w:rPr>
                                  <w:rFonts w:ascii="Georgia"/>
                                  <w:w w:val="105"/>
                                  <w:sz w:val="18"/>
                                </w:rPr>
                                <w:t>provide educators with implementation support.</w:t>
                              </w:r>
                            </w:p>
                            <w:p>
                              <w:pPr>
                                <w:spacing w:line="240" w:lineRule="auto" w:before="148"/>
                                <w:rPr>
                                  <w:rFonts w:ascii="Georgia"/>
                                  <w:sz w:val="18"/>
                                </w:rPr>
                              </w:pPr>
                            </w:p>
                            <w:p>
                              <w:pPr>
                                <w:spacing w:line="276" w:lineRule="auto" w:before="0"/>
                                <w:ind w:left="661" w:right="0" w:firstLine="0"/>
                                <w:jc w:val="left"/>
                                <w:rPr>
                                  <w:rFonts w:ascii="Georgia"/>
                                  <w:sz w:val="18"/>
                                </w:rPr>
                              </w:pPr>
                              <w:r>
                                <w:rPr>
                                  <w:rFonts w:ascii="Georgia"/>
                                  <w:w w:val="105"/>
                                  <w:sz w:val="18"/>
                                </w:rPr>
                                <w:t>Support and increase HIV &amp; STI prevention and treatment</w:t>
                              </w:r>
                              <w:r>
                                <w:rPr>
                                  <w:rFonts w:ascii="Georgia"/>
                                  <w:spacing w:val="-11"/>
                                  <w:w w:val="105"/>
                                  <w:sz w:val="18"/>
                                </w:rPr>
                                <w:t> </w:t>
                              </w:r>
                              <w:r>
                                <w:rPr>
                                  <w:rFonts w:ascii="Georgia"/>
                                  <w:w w:val="105"/>
                                  <w:sz w:val="18"/>
                                </w:rPr>
                                <w:t>services</w:t>
                              </w:r>
                              <w:r>
                                <w:rPr>
                                  <w:rFonts w:ascii="Georgia"/>
                                  <w:spacing w:val="-11"/>
                                  <w:w w:val="105"/>
                                  <w:sz w:val="18"/>
                                </w:rPr>
                                <w:t> </w:t>
                              </w:r>
                              <w:r>
                                <w:rPr>
                                  <w:rFonts w:ascii="Georgia"/>
                                  <w:w w:val="105"/>
                                  <w:sz w:val="18"/>
                                </w:rPr>
                                <w:t>for</w:t>
                              </w:r>
                              <w:r>
                                <w:rPr>
                                  <w:rFonts w:ascii="Georgia"/>
                                  <w:spacing w:val="-11"/>
                                  <w:w w:val="105"/>
                                  <w:sz w:val="18"/>
                                </w:rPr>
                                <w:t> </w:t>
                              </w:r>
                              <w:r>
                                <w:rPr>
                                  <w:rFonts w:ascii="Georgia"/>
                                  <w:w w:val="105"/>
                                  <w:sz w:val="18"/>
                                </w:rPr>
                                <w:t>LGBTQ</w:t>
                              </w:r>
                              <w:r>
                                <w:rPr>
                                  <w:rFonts w:ascii="Georgia"/>
                                  <w:spacing w:val="-11"/>
                                  <w:w w:val="105"/>
                                  <w:sz w:val="18"/>
                                </w:rPr>
                                <w:t> </w:t>
                              </w:r>
                              <w:r>
                                <w:rPr>
                                  <w:rFonts w:ascii="Georgia"/>
                                  <w:w w:val="105"/>
                                  <w:sz w:val="18"/>
                                </w:rPr>
                                <w:t>youth,</w:t>
                              </w:r>
                              <w:r>
                                <w:rPr>
                                  <w:rFonts w:ascii="Georgia"/>
                                  <w:spacing w:val="-11"/>
                                  <w:w w:val="105"/>
                                  <w:sz w:val="18"/>
                                </w:rPr>
                                <w:t> </w:t>
                              </w:r>
                              <w:r>
                                <w:rPr>
                                  <w:rFonts w:ascii="Georgia"/>
                                  <w:w w:val="105"/>
                                  <w:sz w:val="18"/>
                                </w:rPr>
                                <w:t>and</w:t>
                              </w:r>
                              <w:r>
                                <w:rPr>
                                  <w:rFonts w:ascii="Georgia"/>
                                  <w:spacing w:val="-11"/>
                                  <w:w w:val="105"/>
                                  <w:sz w:val="18"/>
                                </w:rPr>
                                <w:t> </w:t>
                              </w:r>
                              <w:r>
                                <w:rPr>
                                  <w:rFonts w:ascii="Georgia"/>
                                  <w:w w:val="105"/>
                                  <w:sz w:val="18"/>
                                </w:rPr>
                                <w:t>awareness campaigns across the state.</w:t>
                              </w:r>
                            </w:p>
                            <w:p>
                              <w:pPr>
                                <w:spacing w:line="240" w:lineRule="auto" w:before="115"/>
                                <w:rPr>
                                  <w:rFonts w:ascii="Georgia"/>
                                  <w:sz w:val="18"/>
                                </w:rPr>
                              </w:pPr>
                            </w:p>
                            <w:p>
                              <w:pPr>
                                <w:spacing w:line="264" w:lineRule="auto" w:before="0"/>
                                <w:ind w:left="661" w:right="160" w:firstLine="0"/>
                                <w:jc w:val="left"/>
                                <w:rPr>
                                  <w:rFonts w:ascii="Georgia"/>
                                  <w:sz w:val="18"/>
                                </w:rPr>
                              </w:pPr>
                              <w:r>
                                <w:rPr>
                                  <w:rFonts w:ascii="Georgia"/>
                                  <w:sz w:val="18"/>
                                </w:rPr>
                                <w:t>Prohibit medical providers from performing non- consensual examinations on unconscious </w:t>
                              </w:r>
                              <w:r>
                                <w:rPr>
                                  <w:rFonts w:ascii="Georgia"/>
                                  <w:sz w:val="18"/>
                                </w:rPr>
                                <w:t>patients.</w:t>
                              </w:r>
                            </w:p>
                            <w:p>
                              <w:pPr>
                                <w:spacing w:line="240" w:lineRule="auto" w:before="191"/>
                                <w:rPr>
                                  <w:rFonts w:ascii="Georgia"/>
                                  <w:sz w:val="18"/>
                                </w:rPr>
                              </w:pPr>
                            </w:p>
                            <w:p>
                              <w:pPr>
                                <w:spacing w:line="264" w:lineRule="auto" w:before="0"/>
                                <w:ind w:left="723" w:right="160" w:firstLine="0"/>
                                <w:jc w:val="left"/>
                                <w:rPr>
                                  <w:rFonts w:ascii="Georgia"/>
                                  <w:sz w:val="18"/>
                                </w:rPr>
                              </w:pPr>
                              <w:r>
                                <w:rPr>
                                  <w:rFonts w:ascii="Georgia"/>
                                  <w:sz w:val="18"/>
                                </w:rPr>
                                <w:t>Support and increase HIV &amp; STI prevention </w:t>
                              </w:r>
                              <w:r>
                                <w:rPr>
                                  <w:rFonts w:ascii="Georgia"/>
                                  <w:sz w:val="18"/>
                                </w:rPr>
                                <w:t>and </w:t>
                              </w:r>
                              <w:r>
                                <w:rPr>
                                  <w:rFonts w:ascii="Georgia"/>
                                  <w:w w:val="105"/>
                                  <w:sz w:val="18"/>
                                </w:rPr>
                                <w:t>treatment services and awareness campaigns.</w:t>
                              </w:r>
                            </w:p>
                          </w:txbxContent>
                        </wps:txbx>
                        <wps:bodyPr wrap="square" lIns="0" tIns="0" rIns="0" bIns="0" rtlCol="0">
                          <a:noAutofit/>
                        </wps:bodyPr>
                      </wps:wsp>
                    </wpg:wgp>
                  </a:graphicData>
                </a:graphic>
              </wp:anchor>
            </w:drawing>
          </mc:Choice>
          <mc:Fallback>
            <w:pict>
              <v:group style="position:absolute;margin-left:52.080006pt;margin-top:38.483665pt;width:273.7pt;height:233.85pt;mso-position-horizontal-relative:page;mso-position-vertical-relative:paragraph;z-index:-20700160" id="docshapegroup274" coordorigin="1042,770" coordsize="5474,4677">
                <v:shape style="position:absolute;left:1041;top:769;width:5474;height:4677" type="#_x0000_t75" id="docshape275" stroked="false">
                  <v:imagedata r:id="rId436" o:title=""/>
                </v:shape>
                <v:shape style="position:absolute;left:1041;top:769;width:5474;height:4677" type="#_x0000_t202" id="docshape276" filled="false" stroked="false">
                  <v:textbox inset="0,0,0,0">
                    <w:txbxContent>
                      <w:p>
                        <w:pPr>
                          <w:spacing w:before="126"/>
                          <w:ind w:left="204" w:right="0" w:firstLine="0"/>
                          <w:jc w:val="left"/>
                          <w:rPr>
                            <w:b/>
                            <w:i/>
                            <w:sz w:val="33"/>
                          </w:rPr>
                        </w:pPr>
                        <w:r>
                          <w:rPr>
                            <w:b/>
                            <w:i/>
                            <w:spacing w:val="12"/>
                            <w:w w:val="125"/>
                            <w:sz w:val="33"/>
                          </w:rPr>
                          <w:t>RECOMMENDATIONS</w:t>
                        </w:r>
                      </w:p>
                      <w:p>
                        <w:pPr>
                          <w:spacing w:line="276" w:lineRule="auto" w:before="268"/>
                          <w:ind w:left="661" w:right="160" w:firstLine="0"/>
                          <w:jc w:val="left"/>
                          <w:rPr>
                            <w:rFonts w:ascii="Georgia"/>
                            <w:sz w:val="18"/>
                          </w:rPr>
                        </w:pPr>
                        <w:r>
                          <w:rPr>
                            <w:rFonts w:ascii="Georgia"/>
                            <w:w w:val="105"/>
                            <w:sz w:val="18"/>
                          </w:rPr>
                          <w:t>Ensure that all youth have access to age-appropriate, LGBTQ-inclusive,</w:t>
                        </w:r>
                        <w:r>
                          <w:rPr>
                            <w:rFonts w:ascii="Georgia"/>
                            <w:spacing w:val="-12"/>
                            <w:w w:val="105"/>
                            <w:sz w:val="18"/>
                          </w:rPr>
                          <w:t> </w:t>
                        </w:r>
                        <w:r>
                          <w:rPr>
                            <w:rFonts w:ascii="Georgia"/>
                            <w:w w:val="105"/>
                            <w:sz w:val="18"/>
                          </w:rPr>
                          <w:t>and</w:t>
                        </w:r>
                        <w:r>
                          <w:rPr>
                            <w:rFonts w:ascii="Georgia"/>
                            <w:spacing w:val="-11"/>
                            <w:w w:val="105"/>
                            <w:sz w:val="18"/>
                          </w:rPr>
                          <w:t> </w:t>
                        </w:r>
                        <w:r>
                          <w:rPr>
                            <w:rFonts w:ascii="Georgia"/>
                            <w:w w:val="105"/>
                            <w:sz w:val="18"/>
                          </w:rPr>
                          <w:t>consent-based</w:t>
                        </w:r>
                        <w:r>
                          <w:rPr>
                            <w:rFonts w:ascii="Georgia"/>
                            <w:spacing w:val="-12"/>
                            <w:w w:val="105"/>
                            <w:sz w:val="18"/>
                          </w:rPr>
                          <w:t> </w:t>
                        </w:r>
                        <w:r>
                          <w:rPr>
                            <w:rFonts w:ascii="Georgia"/>
                            <w:w w:val="105"/>
                            <w:sz w:val="18"/>
                          </w:rPr>
                          <w:t>sex</w:t>
                        </w:r>
                        <w:r>
                          <w:rPr>
                            <w:rFonts w:ascii="Georgia"/>
                            <w:spacing w:val="-11"/>
                            <w:w w:val="105"/>
                            <w:sz w:val="18"/>
                          </w:rPr>
                          <w:t> </w:t>
                        </w:r>
                        <w:r>
                          <w:rPr>
                            <w:rFonts w:ascii="Georgia"/>
                            <w:w w:val="105"/>
                            <w:sz w:val="18"/>
                          </w:rPr>
                          <w:t>ed</w:t>
                        </w:r>
                        <w:r>
                          <w:rPr>
                            <w:rFonts w:ascii="Georgia"/>
                            <w:spacing w:val="-11"/>
                            <w:w w:val="105"/>
                            <w:sz w:val="18"/>
                          </w:rPr>
                          <w:t> </w:t>
                        </w:r>
                        <w:r>
                          <w:rPr>
                            <w:rFonts w:ascii="Georgia"/>
                            <w:w w:val="105"/>
                            <w:sz w:val="18"/>
                          </w:rPr>
                          <w:t>and</w:t>
                        </w:r>
                        <w:r>
                          <w:rPr>
                            <w:rFonts w:ascii="Georgia"/>
                            <w:spacing w:val="-12"/>
                            <w:w w:val="105"/>
                            <w:sz w:val="18"/>
                          </w:rPr>
                          <w:t> </w:t>
                        </w:r>
                        <w:r>
                          <w:rPr>
                            <w:rFonts w:ascii="Georgia"/>
                            <w:w w:val="105"/>
                            <w:sz w:val="18"/>
                          </w:rPr>
                          <w:t>provide educators with implementation support.</w:t>
                        </w:r>
                      </w:p>
                      <w:p>
                        <w:pPr>
                          <w:spacing w:line="240" w:lineRule="auto" w:before="148"/>
                          <w:rPr>
                            <w:rFonts w:ascii="Georgia"/>
                            <w:sz w:val="18"/>
                          </w:rPr>
                        </w:pPr>
                      </w:p>
                      <w:p>
                        <w:pPr>
                          <w:spacing w:line="276" w:lineRule="auto" w:before="0"/>
                          <w:ind w:left="661" w:right="0" w:firstLine="0"/>
                          <w:jc w:val="left"/>
                          <w:rPr>
                            <w:rFonts w:ascii="Georgia"/>
                            <w:sz w:val="18"/>
                          </w:rPr>
                        </w:pPr>
                        <w:r>
                          <w:rPr>
                            <w:rFonts w:ascii="Georgia"/>
                            <w:w w:val="105"/>
                            <w:sz w:val="18"/>
                          </w:rPr>
                          <w:t>Support and increase HIV &amp; STI prevention and treatment</w:t>
                        </w:r>
                        <w:r>
                          <w:rPr>
                            <w:rFonts w:ascii="Georgia"/>
                            <w:spacing w:val="-11"/>
                            <w:w w:val="105"/>
                            <w:sz w:val="18"/>
                          </w:rPr>
                          <w:t> </w:t>
                        </w:r>
                        <w:r>
                          <w:rPr>
                            <w:rFonts w:ascii="Georgia"/>
                            <w:w w:val="105"/>
                            <w:sz w:val="18"/>
                          </w:rPr>
                          <w:t>services</w:t>
                        </w:r>
                        <w:r>
                          <w:rPr>
                            <w:rFonts w:ascii="Georgia"/>
                            <w:spacing w:val="-11"/>
                            <w:w w:val="105"/>
                            <w:sz w:val="18"/>
                          </w:rPr>
                          <w:t> </w:t>
                        </w:r>
                        <w:r>
                          <w:rPr>
                            <w:rFonts w:ascii="Georgia"/>
                            <w:w w:val="105"/>
                            <w:sz w:val="18"/>
                          </w:rPr>
                          <w:t>for</w:t>
                        </w:r>
                        <w:r>
                          <w:rPr>
                            <w:rFonts w:ascii="Georgia"/>
                            <w:spacing w:val="-11"/>
                            <w:w w:val="105"/>
                            <w:sz w:val="18"/>
                          </w:rPr>
                          <w:t> </w:t>
                        </w:r>
                        <w:r>
                          <w:rPr>
                            <w:rFonts w:ascii="Georgia"/>
                            <w:w w:val="105"/>
                            <w:sz w:val="18"/>
                          </w:rPr>
                          <w:t>LGBTQ</w:t>
                        </w:r>
                        <w:r>
                          <w:rPr>
                            <w:rFonts w:ascii="Georgia"/>
                            <w:spacing w:val="-11"/>
                            <w:w w:val="105"/>
                            <w:sz w:val="18"/>
                          </w:rPr>
                          <w:t> </w:t>
                        </w:r>
                        <w:r>
                          <w:rPr>
                            <w:rFonts w:ascii="Georgia"/>
                            <w:w w:val="105"/>
                            <w:sz w:val="18"/>
                          </w:rPr>
                          <w:t>youth,</w:t>
                        </w:r>
                        <w:r>
                          <w:rPr>
                            <w:rFonts w:ascii="Georgia"/>
                            <w:spacing w:val="-11"/>
                            <w:w w:val="105"/>
                            <w:sz w:val="18"/>
                          </w:rPr>
                          <w:t> </w:t>
                        </w:r>
                        <w:r>
                          <w:rPr>
                            <w:rFonts w:ascii="Georgia"/>
                            <w:w w:val="105"/>
                            <w:sz w:val="18"/>
                          </w:rPr>
                          <w:t>and</w:t>
                        </w:r>
                        <w:r>
                          <w:rPr>
                            <w:rFonts w:ascii="Georgia"/>
                            <w:spacing w:val="-11"/>
                            <w:w w:val="105"/>
                            <w:sz w:val="18"/>
                          </w:rPr>
                          <w:t> </w:t>
                        </w:r>
                        <w:r>
                          <w:rPr>
                            <w:rFonts w:ascii="Georgia"/>
                            <w:w w:val="105"/>
                            <w:sz w:val="18"/>
                          </w:rPr>
                          <w:t>awareness campaigns across the state.</w:t>
                        </w:r>
                      </w:p>
                      <w:p>
                        <w:pPr>
                          <w:spacing w:line="240" w:lineRule="auto" w:before="115"/>
                          <w:rPr>
                            <w:rFonts w:ascii="Georgia"/>
                            <w:sz w:val="18"/>
                          </w:rPr>
                        </w:pPr>
                      </w:p>
                      <w:p>
                        <w:pPr>
                          <w:spacing w:line="264" w:lineRule="auto" w:before="0"/>
                          <w:ind w:left="661" w:right="160" w:firstLine="0"/>
                          <w:jc w:val="left"/>
                          <w:rPr>
                            <w:rFonts w:ascii="Georgia"/>
                            <w:sz w:val="18"/>
                          </w:rPr>
                        </w:pPr>
                        <w:r>
                          <w:rPr>
                            <w:rFonts w:ascii="Georgia"/>
                            <w:sz w:val="18"/>
                          </w:rPr>
                          <w:t>Prohibit medical providers from performing non- consensual examinations on unconscious </w:t>
                        </w:r>
                        <w:r>
                          <w:rPr>
                            <w:rFonts w:ascii="Georgia"/>
                            <w:sz w:val="18"/>
                          </w:rPr>
                          <w:t>patients.</w:t>
                        </w:r>
                      </w:p>
                      <w:p>
                        <w:pPr>
                          <w:spacing w:line="240" w:lineRule="auto" w:before="191"/>
                          <w:rPr>
                            <w:rFonts w:ascii="Georgia"/>
                            <w:sz w:val="18"/>
                          </w:rPr>
                        </w:pPr>
                      </w:p>
                      <w:p>
                        <w:pPr>
                          <w:spacing w:line="264" w:lineRule="auto" w:before="0"/>
                          <w:ind w:left="723" w:right="160" w:firstLine="0"/>
                          <w:jc w:val="left"/>
                          <w:rPr>
                            <w:rFonts w:ascii="Georgia"/>
                            <w:sz w:val="18"/>
                          </w:rPr>
                        </w:pPr>
                        <w:r>
                          <w:rPr>
                            <w:rFonts w:ascii="Georgia"/>
                            <w:sz w:val="18"/>
                          </w:rPr>
                          <w:t>Support and increase HIV &amp; STI prevention </w:t>
                        </w:r>
                        <w:r>
                          <w:rPr>
                            <w:rFonts w:ascii="Georgia"/>
                            <w:sz w:val="18"/>
                          </w:rPr>
                          <w:t>and </w:t>
                        </w:r>
                        <w:r>
                          <w:rPr>
                            <w:rFonts w:ascii="Georgia"/>
                            <w:w w:val="105"/>
                            <w:sz w:val="18"/>
                          </w:rPr>
                          <w:t>treatment services and awareness campaigns.</w:t>
                        </w:r>
                      </w:p>
                    </w:txbxContent>
                  </v:textbox>
                  <w10:wrap type="none"/>
                </v:shape>
                <w10:wrap type="none"/>
              </v:group>
            </w:pict>
          </mc:Fallback>
        </mc:AlternateContent>
      </w:r>
      <w:r>
        <w:rPr>
          <w:rFonts w:ascii="Georgia"/>
          <w:sz w:val="21"/>
        </w:rPr>
        <w:t>inclusive</w:t>
      </w:r>
      <w:r>
        <w:rPr>
          <w:rFonts w:ascii="Georgia"/>
          <w:spacing w:val="16"/>
          <w:sz w:val="21"/>
        </w:rPr>
        <w:t> </w:t>
      </w:r>
      <w:r>
        <w:rPr>
          <w:rFonts w:ascii="Georgia"/>
          <w:sz w:val="21"/>
        </w:rPr>
        <w:t>sexual</w:t>
      </w:r>
      <w:r>
        <w:rPr>
          <w:rFonts w:ascii="Georgia"/>
          <w:spacing w:val="17"/>
          <w:sz w:val="21"/>
        </w:rPr>
        <w:t> </w:t>
      </w:r>
      <w:r>
        <w:rPr>
          <w:rFonts w:ascii="Georgia"/>
          <w:sz w:val="21"/>
        </w:rPr>
        <w:t>health</w:t>
      </w:r>
      <w:r>
        <w:rPr>
          <w:rFonts w:ascii="Georgia"/>
          <w:spacing w:val="17"/>
          <w:sz w:val="21"/>
        </w:rPr>
        <w:t> </w:t>
      </w:r>
      <w:r>
        <w:rPr>
          <w:rFonts w:ascii="Georgia"/>
          <w:spacing w:val="-2"/>
          <w:sz w:val="21"/>
        </w:rPr>
        <w:t>education.</w:t>
      </w:r>
    </w:p>
    <w:p>
      <w:pPr>
        <w:pStyle w:val="Heading3"/>
        <w:spacing w:line="681" w:lineRule="exact"/>
        <w:ind w:left="77" w:right="819"/>
        <w:jc w:val="center"/>
      </w:pPr>
      <w:r>
        <w:rPr>
          <w:b w:val="0"/>
        </w:rPr>
        <w:br w:type="column"/>
      </w:r>
      <w:r>
        <w:rPr>
          <w:emboss/>
          <w:color w:val="001389"/>
          <w:spacing w:val="37"/>
          <w:w w:val="90"/>
        </w:rPr>
        <w:t>40-</w:t>
      </w:r>
      <w:r>
        <w:rPr>
          <w:emboss/>
          <w:color w:val="001389"/>
          <w:spacing w:val="19"/>
          <w:w w:val="90"/>
        </w:rPr>
        <w:t>60%</w:t>
      </w:r>
    </w:p>
    <w:p>
      <w:pPr>
        <w:spacing w:line="278" w:lineRule="auto" w:before="13"/>
        <w:ind w:left="479" w:right="1286" w:firstLine="0"/>
        <w:jc w:val="center"/>
        <w:rPr>
          <w:rFonts w:ascii="Georgia"/>
          <w:sz w:val="20"/>
        </w:rPr>
      </w:pPr>
      <w:r>
        <w:rPr>
          <w:rFonts w:ascii="Georgia"/>
          <w:w w:val="105"/>
          <w:sz w:val="20"/>
        </w:rPr>
        <w:t>of</w:t>
      </w:r>
      <w:r>
        <w:rPr>
          <w:rFonts w:ascii="Georgia"/>
          <w:spacing w:val="-13"/>
          <w:w w:val="105"/>
          <w:sz w:val="20"/>
        </w:rPr>
        <w:t> </w:t>
      </w:r>
      <w:r>
        <w:rPr>
          <w:rFonts w:ascii="Georgia"/>
          <w:w w:val="105"/>
          <w:sz w:val="20"/>
        </w:rPr>
        <w:t>Black</w:t>
      </w:r>
      <w:r>
        <w:rPr>
          <w:rFonts w:ascii="Georgia"/>
          <w:spacing w:val="-13"/>
          <w:w w:val="105"/>
          <w:sz w:val="20"/>
        </w:rPr>
        <w:t> </w:t>
      </w:r>
      <w:r>
        <w:rPr>
          <w:rFonts w:ascii="Georgia"/>
          <w:w w:val="105"/>
          <w:sz w:val="20"/>
        </w:rPr>
        <w:t>women</w:t>
      </w:r>
      <w:r>
        <w:rPr>
          <w:rFonts w:ascii="Georgia"/>
          <w:spacing w:val="-12"/>
          <w:w w:val="105"/>
          <w:sz w:val="20"/>
        </w:rPr>
        <w:t> </w:t>
      </w:r>
      <w:r>
        <w:rPr>
          <w:rFonts w:ascii="Georgia"/>
          <w:w w:val="105"/>
          <w:sz w:val="20"/>
        </w:rPr>
        <w:t>reporting</w:t>
      </w:r>
      <w:r>
        <w:rPr>
          <w:rFonts w:ascii="Georgia"/>
          <w:spacing w:val="-13"/>
          <w:w w:val="105"/>
          <w:sz w:val="20"/>
        </w:rPr>
        <w:t> </w:t>
      </w:r>
      <w:r>
        <w:rPr>
          <w:rFonts w:ascii="Georgia"/>
          <w:w w:val="105"/>
          <w:sz w:val="20"/>
        </w:rPr>
        <w:t>being subjected to coercive sexual contact by the age of 18</w:t>
      </w:r>
    </w:p>
    <w:p>
      <w:pPr>
        <w:pStyle w:val="BodyText"/>
        <w:rPr>
          <w:rFonts w:ascii="Georgia"/>
          <w:sz w:val="20"/>
        </w:rPr>
      </w:pPr>
    </w:p>
    <w:p>
      <w:pPr>
        <w:pStyle w:val="BodyText"/>
        <w:rPr>
          <w:rFonts w:ascii="Georgia"/>
          <w:sz w:val="20"/>
        </w:rPr>
      </w:pPr>
    </w:p>
    <w:p>
      <w:pPr>
        <w:pStyle w:val="BodyText"/>
        <w:spacing w:line="20" w:lineRule="exact"/>
        <w:ind w:left="-111"/>
        <w:rPr>
          <w:rFonts w:ascii="Georgia"/>
          <w:sz w:val="2"/>
        </w:rPr>
      </w:pPr>
      <w:r>
        <w:rPr>
          <w:rFonts w:ascii="Georgia"/>
          <w:sz w:val="2"/>
        </w:rPr>
        <mc:AlternateContent>
          <mc:Choice Requires="wps">
            <w:drawing>
              <wp:inline distT="0" distB="0" distL="0" distR="0">
                <wp:extent cx="2773680" cy="28575"/>
                <wp:effectExtent l="19050" t="0" r="7619" b="0"/>
                <wp:docPr id="348" name="Group 348"/>
                <wp:cNvGraphicFramePr>
                  <a:graphicFrameLocks/>
                </wp:cNvGraphicFramePr>
                <a:graphic>
                  <a:graphicData uri="http://schemas.microsoft.com/office/word/2010/wordprocessingGroup">
                    <wpg:wgp>
                      <wpg:cNvPr id="348" name="Group 348"/>
                      <wpg:cNvGrpSpPr/>
                      <wpg:grpSpPr>
                        <a:xfrm>
                          <a:off x="0" y="0"/>
                          <a:ext cx="2773680" cy="28575"/>
                          <a:chExt cx="2773680" cy="28575"/>
                        </a:xfrm>
                      </wpg:grpSpPr>
                      <wps:wsp>
                        <wps:cNvPr id="349" name="Graphic 349"/>
                        <wps:cNvSpPr/>
                        <wps:spPr>
                          <a:xfrm>
                            <a:off x="0" y="14287"/>
                            <a:ext cx="2773680" cy="1270"/>
                          </a:xfrm>
                          <a:custGeom>
                            <a:avLst/>
                            <a:gdLst/>
                            <a:ahLst/>
                            <a:cxnLst/>
                            <a:rect l="l" t="t" r="r" b="b"/>
                            <a:pathLst>
                              <a:path w="2773680" h="0">
                                <a:moveTo>
                                  <a:pt x="0" y="0"/>
                                </a:moveTo>
                                <a:lnTo>
                                  <a:pt x="2773600" y="0"/>
                                </a:lnTo>
                              </a:path>
                            </a:pathLst>
                          </a:custGeom>
                          <a:ln w="28574">
                            <a:solidFill>
                              <a:srgbClr val="001389"/>
                            </a:solidFill>
                            <a:prstDash val="sysDash"/>
                          </a:ln>
                        </wps:spPr>
                        <wps:bodyPr wrap="square" lIns="0" tIns="0" rIns="0" bIns="0" rtlCol="0">
                          <a:prstTxWarp prst="textNoShape">
                            <a:avLst/>
                          </a:prstTxWarp>
                          <a:noAutofit/>
                        </wps:bodyPr>
                      </wps:wsp>
                    </wpg:wgp>
                  </a:graphicData>
                </a:graphic>
              </wp:inline>
            </w:drawing>
          </mc:Choice>
          <mc:Fallback>
            <w:pict>
              <v:group style="width:218.4pt;height:2.25pt;mso-position-horizontal-relative:char;mso-position-vertical-relative:line" id="docshapegroup277" coordorigin="0,0" coordsize="4368,45">
                <v:line style="position:absolute" from="0,23" to="4368,23" stroked="true" strokeweight="2.25pt" strokecolor="#001389">
                  <v:stroke dashstyle="shortdash"/>
                </v:line>
              </v:group>
            </w:pict>
          </mc:Fallback>
        </mc:AlternateContent>
      </w:r>
      <w:r>
        <w:rPr>
          <w:rFonts w:ascii="Georgia"/>
          <w:sz w:val="2"/>
        </w:rPr>
      </w:r>
    </w:p>
    <w:p>
      <w:pPr>
        <w:pStyle w:val="Heading3"/>
        <w:spacing w:before="11"/>
        <w:ind w:right="819"/>
        <w:jc w:val="center"/>
      </w:pPr>
      <w:r>
        <w:rPr>
          <w:emboss/>
          <w:color w:val="001389"/>
          <w:spacing w:val="19"/>
          <w:w w:val="80"/>
        </w:rPr>
        <w:t>38%</w:t>
      </w:r>
    </w:p>
    <w:p>
      <w:pPr>
        <w:spacing w:line="278" w:lineRule="auto" w:before="60"/>
        <w:ind w:left="275" w:right="948" w:hanging="1"/>
        <w:jc w:val="center"/>
        <w:rPr>
          <w:rFonts w:ascii="Georgia"/>
          <w:sz w:val="20"/>
        </w:rPr>
      </w:pPr>
      <w:r>
        <w:rPr>
          <w:rFonts w:ascii="Georgia"/>
          <w:w w:val="105"/>
          <w:sz w:val="20"/>
        </w:rPr>
        <w:t>of</w:t>
      </w:r>
      <w:r>
        <w:rPr>
          <w:rFonts w:ascii="Georgia"/>
          <w:spacing w:val="40"/>
          <w:w w:val="105"/>
          <w:sz w:val="20"/>
        </w:rPr>
        <w:t> </w:t>
      </w:r>
      <w:r>
        <w:rPr>
          <w:rFonts w:ascii="Georgia"/>
          <w:w w:val="105"/>
          <w:sz w:val="20"/>
        </w:rPr>
        <w:t>LGBTQ youth used a condom during their</w:t>
      </w:r>
      <w:r>
        <w:rPr>
          <w:rFonts w:ascii="Georgia"/>
          <w:spacing w:val="-13"/>
          <w:w w:val="105"/>
          <w:sz w:val="20"/>
        </w:rPr>
        <w:t> </w:t>
      </w:r>
      <w:r>
        <w:rPr>
          <w:rFonts w:ascii="Georgia"/>
          <w:w w:val="105"/>
          <w:sz w:val="20"/>
        </w:rPr>
        <w:t>last</w:t>
      </w:r>
      <w:r>
        <w:rPr>
          <w:rFonts w:ascii="Georgia"/>
          <w:spacing w:val="-13"/>
          <w:w w:val="105"/>
          <w:sz w:val="20"/>
        </w:rPr>
        <w:t> </w:t>
      </w:r>
      <w:r>
        <w:rPr>
          <w:rFonts w:ascii="Georgia"/>
          <w:w w:val="105"/>
          <w:sz w:val="20"/>
        </w:rPr>
        <w:t>sexual</w:t>
      </w:r>
      <w:r>
        <w:rPr>
          <w:rFonts w:ascii="Georgia"/>
          <w:spacing w:val="-12"/>
          <w:w w:val="105"/>
          <w:sz w:val="20"/>
        </w:rPr>
        <w:t> </w:t>
      </w:r>
      <w:r>
        <w:rPr>
          <w:rFonts w:ascii="Georgia"/>
          <w:w w:val="105"/>
          <w:sz w:val="20"/>
        </w:rPr>
        <w:t>intercourse</w:t>
      </w:r>
      <w:r>
        <w:rPr>
          <w:rFonts w:ascii="Georgia"/>
          <w:spacing w:val="-13"/>
          <w:w w:val="105"/>
          <w:sz w:val="20"/>
        </w:rPr>
        <w:t> </w:t>
      </w:r>
      <w:r>
        <w:rPr>
          <w:rFonts w:ascii="Georgia"/>
          <w:w w:val="105"/>
          <w:sz w:val="20"/>
        </w:rPr>
        <w:t>compared</w:t>
      </w:r>
      <w:r>
        <w:rPr>
          <w:rFonts w:ascii="Georgia"/>
          <w:spacing w:val="-13"/>
          <w:w w:val="105"/>
          <w:sz w:val="20"/>
        </w:rPr>
        <w:t> </w:t>
      </w:r>
      <w:r>
        <w:rPr>
          <w:rFonts w:ascii="Georgia"/>
          <w:w w:val="105"/>
          <w:sz w:val="20"/>
        </w:rPr>
        <w:t>to </w:t>
      </w:r>
      <w:r>
        <w:rPr>
          <w:rFonts w:ascii="Georgia"/>
          <w:sz w:val="20"/>
        </w:rPr>
        <w:t>60%</w:t>
      </w:r>
      <w:r>
        <w:rPr>
          <w:rFonts w:ascii="Georgia"/>
          <w:spacing w:val="8"/>
          <w:sz w:val="20"/>
        </w:rPr>
        <w:t> </w:t>
      </w:r>
      <w:r>
        <w:rPr>
          <w:rFonts w:ascii="Georgia"/>
          <w:sz w:val="20"/>
        </w:rPr>
        <w:t>of</w:t>
      </w:r>
      <w:r>
        <w:rPr>
          <w:rFonts w:ascii="Georgia"/>
          <w:spacing w:val="9"/>
          <w:sz w:val="20"/>
        </w:rPr>
        <w:t> </w:t>
      </w:r>
      <w:r>
        <w:rPr>
          <w:rFonts w:ascii="Georgia"/>
          <w:sz w:val="20"/>
        </w:rPr>
        <w:t>heterosexual</w:t>
      </w:r>
      <w:r>
        <w:rPr>
          <w:rFonts w:ascii="Georgia"/>
          <w:spacing w:val="9"/>
          <w:sz w:val="20"/>
        </w:rPr>
        <w:t> </w:t>
      </w:r>
      <w:r>
        <w:rPr>
          <w:rFonts w:ascii="Georgia"/>
          <w:sz w:val="20"/>
        </w:rPr>
        <w:t>and</w:t>
      </w:r>
      <w:r>
        <w:rPr>
          <w:rFonts w:ascii="Georgia"/>
          <w:spacing w:val="9"/>
          <w:sz w:val="20"/>
        </w:rPr>
        <w:t> </w:t>
      </w:r>
      <w:r>
        <w:rPr>
          <w:rFonts w:ascii="Georgia"/>
          <w:sz w:val="20"/>
        </w:rPr>
        <w:t>cisgender</w:t>
      </w:r>
      <w:r>
        <w:rPr>
          <w:rFonts w:ascii="Georgia"/>
          <w:spacing w:val="9"/>
          <w:sz w:val="20"/>
        </w:rPr>
        <w:t> </w:t>
      </w:r>
      <w:r>
        <w:rPr>
          <w:rFonts w:ascii="Georgia"/>
          <w:spacing w:val="-4"/>
          <w:sz w:val="20"/>
        </w:rPr>
        <w:t>youth</w:t>
      </w:r>
    </w:p>
    <w:p>
      <w:pPr>
        <w:spacing w:after="0" w:line="278" w:lineRule="auto"/>
        <w:jc w:val="center"/>
        <w:rPr>
          <w:rFonts w:ascii="Georgia"/>
          <w:sz w:val="20"/>
        </w:rPr>
        <w:sectPr>
          <w:type w:val="continuous"/>
          <w:pgSz w:w="12240" w:h="15840"/>
          <w:pgMar w:header="0" w:footer="0" w:top="1420" w:bottom="280" w:left="920" w:right="300"/>
          <w:cols w:num="2" w:equalWidth="0">
            <w:col w:w="3531" w:space="2521"/>
            <w:col w:w="4968"/>
          </w:cols>
        </w:sectPr>
      </w:pPr>
    </w:p>
    <w:p>
      <w:pPr>
        <w:pStyle w:val="BodyText"/>
        <w:spacing w:before="210"/>
        <w:rPr>
          <w:rFonts w:ascii="Georgia"/>
          <w:sz w:val="20"/>
        </w:rPr>
      </w:pPr>
      <w:r>
        <w:rPr/>
        <mc:AlternateContent>
          <mc:Choice Requires="wps">
            <w:drawing>
              <wp:anchor distT="0" distB="0" distL="0" distR="0" allowOverlap="1" layoutInCell="1" locked="0" behindDoc="1" simplePos="0" relativeHeight="482615808">
                <wp:simplePos x="0" y="0"/>
                <wp:positionH relativeFrom="page">
                  <wp:posOffset>0</wp:posOffset>
                </wp:positionH>
                <wp:positionV relativeFrom="page">
                  <wp:posOffset>0</wp:posOffset>
                </wp:positionV>
                <wp:extent cx="7772400" cy="5173980"/>
                <wp:effectExtent l="0" t="0" r="0" b="0"/>
                <wp:wrapNone/>
                <wp:docPr id="350" name="Group 350"/>
                <wp:cNvGraphicFramePr>
                  <a:graphicFrameLocks/>
                </wp:cNvGraphicFramePr>
                <a:graphic>
                  <a:graphicData uri="http://schemas.microsoft.com/office/word/2010/wordprocessingGroup">
                    <wpg:wgp>
                      <wpg:cNvPr id="350" name="Group 350"/>
                      <wpg:cNvGrpSpPr/>
                      <wpg:grpSpPr>
                        <a:xfrm>
                          <a:off x="0" y="0"/>
                          <a:ext cx="7772400" cy="5173980"/>
                          <a:chExt cx="7772400" cy="5173980"/>
                        </a:xfrm>
                      </wpg:grpSpPr>
                      <pic:pic>
                        <pic:nvPicPr>
                          <pic:cNvPr id="351" name="Image 351"/>
                          <pic:cNvPicPr/>
                        </pic:nvPicPr>
                        <pic:blipFill>
                          <a:blip r:embed="rId437" cstate="print"/>
                          <a:stretch>
                            <a:fillRect/>
                          </a:stretch>
                        </pic:blipFill>
                        <pic:spPr>
                          <a:xfrm>
                            <a:off x="0" y="0"/>
                            <a:ext cx="7772399" cy="3089111"/>
                          </a:xfrm>
                          <a:prstGeom prst="rect">
                            <a:avLst/>
                          </a:prstGeom>
                        </pic:spPr>
                      </pic:pic>
                      <pic:pic>
                        <pic:nvPicPr>
                          <pic:cNvPr id="352" name="Image 352"/>
                          <pic:cNvPicPr/>
                        </pic:nvPicPr>
                        <pic:blipFill>
                          <a:blip r:embed="rId98" cstate="print"/>
                          <a:stretch>
                            <a:fillRect/>
                          </a:stretch>
                        </pic:blipFill>
                        <pic:spPr>
                          <a:xfrm>
                            <a:off x="4978374" y="735420"/>
                            <a:ext cx="1480888" cy="1480632"/>
                          </a:xfrm>
                          <a:prstGeom prst="rect">
                            <a:avLst/>
                          </a:prstGeom>
                        </pic:spPr>
                      </pic:pic>
                      <wps:wsp>
                        <wps:cNvPr id="353" name="Graphic 353"/>
                        <wps:cNvSpPr/>
                        <wps:spPr>
                          <a:xfrm>
                            <a:off x="4964629" y="721666"/>
                            <a:ext cx="1508125" cy="1508125"/>
                          </a:xfrm>
                          <a:custGeom>
                            <a:avLst/>
                            <a:gdLst/>
                            <a:ahLst/>
                            <a:cxnLst/>
                            <a:rect l="l" t="t" r="r" b="b"/>
                            <a:pathLst>
                              <a:path w="1508125" h="1508125">
                                <a:moveTo>
                                  <a:pt x="754061" y="1508119"/>
                                </a:moveTo>
                                <a:lnTo>
                                  <a:pt x="706443" y="1506633"/>
                                </a:lnTo>
                                <a:lnTo>
                                  <a:pt x="659603" y="1502233"/>
                                </a:lnTo>
                                <a:lnTo>
                                  <a:pt x="613628" y="1495009"/>
                                </a:lnTo>
                                <a:lnTo>
                                  <a:pt x="568609" y="1485050"/>
                                </a:lnTo>
                                <a:lnTo>
                                  <a:pt x="524634" y="1472444"/>
                                </a:lnTo>
                                <a:lnTo>
                                  <a:pt x="481792" y="1457281"/>
                                </a:lnTo>
                                <a:lnTo>
                                  <a:pt x="440173" y="1439650"/>
                                </a:lnTo>
                                <a:lnTo>
                                  <a:pt x="399864" y="1419640"/>
                                </a:lnTo>
                                <a:lnTo>
                                  <a:pt x="360956" y="1397339"/>
                                </a:lnTo>
                                <a:lnTo>
                                  <a:pt x="323537" y="1372837"/>
                                </a:lnTo>
                                <a:lnTo>
                                  <a:pt x="287696" y="1346223"/>
                                </a:lnTo>
                                <a:lnTo>
                                  <a:pt x="253523" y="1317586"/>
                                </a:lnTo>
                                <a:lnTo>
                                  <a:pt x="221106" y="1287014"/>
                                </a:lnTo>
                                <a:lnTo>
                                  <a:pt x="190534" y="1254598"/>
                                </a:lnTo>
                                <a:lnTo>
                                  <a:pt x="161896" y="1220425"/>
                                </a:lnTo>
                                <a:lnTo>
                                  <a:pt x="135282" y="1184585"/>
                                </a:lnTo>
                                <a:lnTo>
                                  <a:pt x="110780" y="1147166"/>
                                </a:lnTo>
                                <a:lnTo>
                                  <a:pt x="88479" y="1108259"/>
                                </a:lnTo>
                                <a:lnTo>
                                  <a:pt x="68468" y="1067951"/>
                                </a:lnTo>
                                <a:lnTo>
                                  <a:pt x="50770" y="1026142"/>
                                </a:lnTo>
                                <a:lnTo>
                                  <a:pt x="35669" y="983473"/>
                                </a:lnTo>
                                <a:lnTo>
                                  <a:pt x="23075" y="939517"/>
                                </a:lnTo>
                                <a:lnTo>
                                  <a:pt x="13118" y="894499"/>
                                </a:lnTo>
                                <a:lnTo>
                                  <a:pt x="5894" y="848526"/>
                                </a:lnTo>
                                <a:lnTo>
                                  <a:pt x="1491" y="801686"/>
                                </a:lnTo>
                                <a:lnTo>
                                  <a:pt x="0" y="754070"/>
                                </a:lnTo>
                                <a:lnTo>
                                  <a:pt x="1494" y="706368"/>
                                </a:lnTo>
                                <a:lnTo>
                                  <a:pt x="5906" y="659480"/>
                                </a:lnTo>
                                <a:lnTo>
                                  <a:pt x="13140" y="613502"/>
                                </a:lnTo>
                                <a:lnTo>
                                  <a:pt x="23094" y="568530"/>
                                </a:lnTo>
                                <a:lnTo>
                                  <a:pt x="35676" y="524643"/>
                                </a:lnTo>
                                <a:lnTo>
                                  <a:pt x="50851" y="481801"/>
                                </a:lnTo>
                                <a:lnTo>
                                  <a:pt x="68470" y="440181"/>
                                </a:lnTo>
                                <a:lnTo>
                                  <a:pt x="88480" y="399872"/>
                                </a:lnTo>
                                <a:lnTo>
                                  <a:pt x="110781" y="360964"/>
                                </a:lnTo>
                                <a:lnTo>
                                  <a:pt x="135284" y="323544"/>
                                </a:lnTo>
                                <a:lnTo>
                                  <a:pt x="161898" y="287703"/>
                                </a:lnTo>
                                <a:lnTo>
                                  <a:pt x="190536" y="253529"/>
                                </a:lnTo>
                                <a:lnTo>
                                  <a:pt x="221108" y="221111"/>
                                </a:lnTo>
                                <a:lnTo>
                                  <a:pt x="253526" y="190539"/>
                                </a:lnTo>
                                <a:lnTo>
                                  <a:pt x="287699" y="161901"/>
                                </a:lnTo>
                                <a:lnTo>
                                  <a:pt x="323540" y="135286"/>
                                </a:lnTo>
                                <a:lnTo>
                                  <a:pt x="360959" y="110783"/>
                                </a:lnTo>
                                <a:lnTo>
                                  <a:pt x="399867" y="88482"/>
                                </a:lnTo>
                                <a:lnTo>
                                  <a:pt x="440175" y="68471"/>
                                </a:lnTo>
                                <a:lnTo>
                                  <a:pt x="481795" y="50839"/>
                                </a:lnTo>
                                <a:lnTo>
                                  <a:pt x="524636" y="35676"/>
                                </a:lnTo>
                                <a:lnTo>
                                  <a:pt x="568611" y="23070"/>
                                </a:lnTo>
                                <a:lnTo>
                                  <a:pt x="613630" y="13110"/>
                                </a:lnTo>
                                <a:lnTo>
                                  <a:pt x="659604" y="5886"/>
                                </a:lnTo>
                                <a:lnTo>
                                  <a:pt x="706444" y="1486"/>
                                </a:lnTo>
                                <a:lnTo>
                                  <a:pt x="754061" y="0"/>
                                </a:lnTo>
                                <a:lnTo>
                                  <a:pt x="801678" y="1486"/>
                                </a:lnTo>
                                <a:lnTo>
                                  <a:pt x="848519" y="5886"/>
                                </a:lnTo>
                                <a:lnTo>
                                  <a:pt x="894494" y="13110"/>
                                </a:lnTo>
                                <a:lnTo>
                                  <a:pt x="939513" y="23070"/>
                                </a:lnTo>
                                <a:lnTo>
                                  <a:pt x="954942" y="27493"/>
                                </a:lnTo>
                                <a:lnTo>
                                  <a:pt x="754061" y="27493"/>
                                </a:lnTo>
                                <a:lnTo>
                                  <a:pt x="706360" y="29041"/>
                                </a:lnTo>
                                <a:lnTo>
                                  <a:pt x="659472" y="33622"/>
                                </a:lnTo>
                                <a:lnTo>
                                  <a:pt x="613495" y="41139"/>
                                </a:lnTo>
                                <a:lnTo>
                                  <a:pt x="568524" y="51496"/>
                                </a:lnTo>
                                <a:lnTo>
                                  <a:pt x="524656" y="64596"/>
                                </a:lnTo>
                                <a:lnTo>
                                  <a:pt x="481987" y="80342"/>
                                </a:lnTo>
                                <a:lnTo>
                                  <a:pt x="440615" y="98639"/>
                                </a:lnTo>
                                <a:lnTo>
                                  <a:pt x="400634" y="119389"/>
                                </a:lnTo>
                                <a:lnTo>
                                  <a:pt x="362143" y="142496"/>
                                </a:lnTo>
                                <a:lnTo>
                                  <a:pt x="325237" y="167865"/>
                                </a:lnTo>
                                <a:lnTo>
                                  <a:pt x="290013" y="195397"/>
                                </a:lnTo>
                                <a:lnTo>
                                  <a:pt x="256567" y="224997"/>
                                </a:lnTo>
                                <a:lnTo>
                                  <a:pt x="224996" y="256569"/>
                                </a:lnTo>
                                <a:lnTo>
                                  <a:pt x="195396" y="290015"/>
                                </a:lnTo>
                                <a:lnTo>
                                  <a:pt x="167863" y="325240"/>
                                </a:lnTo>
                                <a:lnTo>
                                  <a:pt x="142496" y="362147"/>
                                </a:lnTo>
                                <a:lnTo>
                                  <a:pt x="119388" y="400639"/>
                                </a:lnTo>
                                <a:lnTo>
                                  <a:pt x="98638" y="440619"/>
                                </a:lnTo>
                                <a:lnTo>
                                  <a:pt x="80342" y="481993"/>
                                </a:lnTo>
                                <a:lnTo>
                                  <a:pt x="64597" y="524662"/>
                                </a:lnTo>
                                <a:lnTo>
                                  <a:pt x="51475" y="568619"/>
                                </a:lnTo>
                                <a:lnTo>
                                  <a:pt x="41117" y="613638"/>
                                </a:lnTo>
                                <a:lnTo>
                                  <a:pt x="33609" y="659613"/>
                                </a:lnTo>
                                <a:lnTo>
                                  <a:pt x="29039" y="706453"/>
                                </a:lnTo>
                                <a:lnTo>
                                  <a:pt x="27493" y="754070"/>
                                </a:lnTo>
                                <a:lnTo>
                                  <a:pt x="29047" y="801771"/>
                                </a:lnTo>
                                <a:lnTo>
                                  <a:pt x="33631" y="848659"/>
                                </a:lnTo>
                                <a:lnTo>
                                  <a:pt x="41148" y="894637"/>
                                </a:lnTo>
                                <a:lnTo>
                                  <a:pt x="51502" y="939608"/>
                                </a:lnTo>
                                <a:lnTo>
                                  <a:pt x="64602" y="983492"/>
                                </a:lnTo>
                                <a:lnTo>
                                  <a:pt x="80341" y="1026142"/>
                                </a:lnTo>
                                <a:lnTo>
                                  <a:pt x="98638" y="1067517"/>
                                </a:lnTo>
                                <a:lnTo>
                                  <a:pt x="119388" y="1107497"/>
                                </a:lnTo>
                                <a:lnTo>
                                  <a:pt x="142496" y="1145988"/>
                                </a:lnTo>
                                <a:lnTo>
                                  <a:pt x="167864" y="1182894"/>
                                </a:lnTo>
                                <a:lnTo>
                                  <a:pt x="195396" y="1218118"/>
                                </a:lnTo>
                                <a:lnTo>
                                  <a:pt x="224996" y="1251564"/>
                                </a:lnTo>
                                <a:lnTo>
                                  <a:pt x="256567" y="1283135"/>
                                </a:lnTo>
                                <a:lnTo>
                                  <a:pt x="290013" y="1312734"/>
                                </a:lnTo>
                                <a:lnTo>
                                  <a:pt x="325237" y="1340266"/>
                                </a:lnTo>
                                <a:lnTo>
                                  <a:pt x="362143" y="1365634"/>
                                </a:lnTo>
                                <a:lnTo>
                                  <a:pt x="400635" y="1388741"/>
                                </a:lnTo>
                                <a:lnTo>
                                  <a:pt x="440615" y="1409491"/>
                                </a:lnTo>
                                <a:lnTo>
                                  <a:pt x="481988" y="1427787"/>
                                </a:lnTo>
                                <a:lnTo>
                                  <a:pt x="524656" y="1443533"/>
                                </a:lnTo>
                                <a:lnTo>
                                  <a:pt x="568524" y="1456632"/>
                                </a:lnTo>
                                <a:lnTo>
                                  <a:pt x="613495" y="1466989"/>
                                </a:lnTo>
                                <a:lnTo>
                                  <a:pt x="659473" y="1474506"/>
                                </a:lnTo>
                                <a:lnTo>
                                  <a:pt x="706361" y="1479087"/>
                                </a:lnTo>
                                <a:lnTo>
                                  <a:pt x="754061" y="1480635"/>
                                </a:lnTo>
                                <a:lnTo>
                                  <a:pt x="954914" y="1480635"/>
                                </a:lnTo>
                                <a:lnTo>
                                  <a:pt x="939512" y="1485050"/>
                                </a:lnTo>
                                <a:lnTo>
                                  <a:pt x="894493" y="1495009"/>
                                </a:lnTo>
                                <a:lnTo>
                                  <a:pt x="848519" y="1502233"/>
                                </a:lnTo>
                                <a:lnTo>
                                  <a:pt x="801678" y="1506633"/>
                                </a:lnTo>
                                <a:lnTo>
                                  <a:pt x="754061" y="1508119"/>
                                </a:lnTo>
                                <a:close/>
                              </a:path>
                              <a:path w="1508125" h="1508125">
                                <a:moveTo>
                                  <a:pt x="954914" y="1480635"/>
                                </a:moveTo>
                                <a:lnTo>
                                  <a:pt x="754061" y="1480635"/>
                                </a:lnTo>
                                <a:lnTo>
                                  <a:pt x="801761" y="1479087"/>
                                </a:lnTo>
                                <a:lnTo>
                                  <a:pt x="848648" y="1474506"/>
                                </a:lnTo>
                                <a:lnTo>
                                  <a:pt x="894626" y="1466989"/>
                                </a:lnTo>
                                <a:lnTo>
                                  <a:pt x="939597" y="1456632"/>
                                </a:lnTo>
                                <a:lnTo>
                                  <a:pt x="983465" y="1443532"/>
                                </a:lnTo>
                                <a:lnTo>
                                  <a:pt x="1026134" y="1427786"/>
                                </a:lnTo>
                                <a:lnTo>
                                  <a:pt x="1067507" y="1409490"/>
                                </a:lnTo>
                                <a:lnTo>
                                  <a:pt x="1107487" y="1388740"/>
                                </a:lnTo>
                                <a:lnTo>
                                  <a:pt x="1145979" y="1365633"/>
                                </a:lnTo>
                                <a:lnTo>
                                  <a:pt x="1182885" y="1340265"/>
                                </a:lnTo>
                                <a:lnTo>
                                  <a:pt x="1218110" y="1312732"/>
                                </a:lnTo>
                                <a:lnTo>
                                  <a:pt x="1251556" y="1283133"/>
                                </a:lnTo>
                                <a:lnTo>
                                  <a:pt x="1283128" y="1251562"/>
                                </a:lnTo>
                                <a:lnTo>
                                  <a:pt x="1312728" y="1218116"/>
                                </a:lnTo>
                                <a:lnTo>
                                  <a:pt x="1340261" y="1182892"/>
                                </a:lnTo>
                                <a:lnTo>
                                  <a:pt x="1365629" y="1145986"/>
                                </a:lnTo>
                                <a:lnTo>
                                  <a:pt x="1388737" y="1107494"/>
                                </a:lnTo>
                                <a:lnTo>
                                  <a:pt x="1409488" y="1067514"/>
                                </a:lnTo>
                                <a:lnTo>
                                  <a:pt x="1427785" y="1026142"/>
                                </a:lnTo>
                                <a:lnTo>
                                  <a:pt x="1443530" y="983473"/>
                                </a:lnTo>
                                <a:lnTo>
                                  <a:pt x="1456652" y="939517"/>
                                </a:lnTo>
                                <a:lnTo>
                                  <a:pt x="1467010" y="894499"/>
                                </a:lnTo>
                                <a:lnTo>
                                  <a:pt x="1474518" y="848526"/>
                                </a:lnTo>
                                <a:lnTo>
                                  <a:pt x="1479089" y="801686"/>
                                </a:lnTo>
                                <a:lnTo>
                                  <a:pt x="1480635" y="754070"/>
                                </a:lnTo>
                                <a:lnTo>
                                  <a:pt x="1479081" y="706368"/>
                                </a:lnTo>
                                <a:lnTo>
                                  <a:pt x="1474497" y="659480"/>
                                </a:lnTo>
                                <a:lnTo>
                                  <a:pt x="1466979" y="613502"/>
                                </a:lnTo>
                                <a:lnTo>
                                  <a:pt x="1456625" y="568530"/>
                                </a:lnTo>
                                <a:lnTo>
                                  <a:pt x="1443524" y="524643"/>
                                </a:lnTo>
                                <a:lnTo>
                                  <a:pt x="1427785" y="481993"/>
                                </a:lnTo>
                                <a:lnTo>
                                  <a:pt x="1409488" y="440619"/>
                                </a:lnTo>
                                <a:lnTo>
                                  <a:pt x="1388737" y="400639"/>
                                </a:lnTo>
                                <a:lnTo>
                                  <a:pt x="1365630" y="362147"/>
                                </a:lnTo>
                                <a:lnTo>
                                  <a:pt x="1340261" y="325240"/>
                                </a:lnTo>
                                <a:lnTo>
                                  <a:pt x="1312729" y="290015"/>
                                </a:lnTo>
                                <a:lnTo>
                                  <a:pt x="1283128" y="256569"/>
                                </a:lnTo>
                                <a:lnTo>
                                  <a:pt x="1251557" y="224997"/>
                                </a:lnTo>
                                <a:lnTo>
                                  <a:pt x="1218110" y="195397"/>
                                </a:lnTo>
                                <a:lnTo>
                                  <a:pt x="1182886" y="167865"/>
                                </a:lnTo>
                                <a:lnTo>
                                  <a:pt x="1145979" y="142496"/>
                                </a:lnTo>
                                <a:lnTo>
                                  <a:pt x="1107487" y="119389"/>
                                </a:lnTo>
                                <a:lnTo>
                                  <a:pt x="1067507" y="98639"/>
                                </a:lnTo>
                                <a:lnTo>
                                  <a:pt x="1026134" y="80342"/>
                                </a:lnTo>
                                <a:lnTo>
                                  <a:pt x="983465" y="64596"/>
                                </a:lnTo>
                                <a:lnTo>
                                  <a:pt x="939597" y="51496"/>
                                </a:lnTo>
                                <a:lnTo>
                                  <a:pt x="894626" y="41139"/>
                                </a:lnTo>
                                <a:lnTo>
                                  <a:pt x="848649" y="33622"/>
                                </a:lnTo>
                                <a:lnTo>
                                  <a:pt x="801762" y="29041"/>
                                </a:lnTo>
                                <a:lnTo>
                                  <a:pt x="754061" y="27493"/>
                                </a:lnTo>
                                <a:lnTo>
                                  <a:pt x="954942" y="27493"/>
                                </a:lnTo>
                                <a:lnTo>
                                  <a:pt x="1026330" y="50839"/>
                                </a:lnTo>
                                <a:lnTo>
                                  <a:pt x="1067949" y="68471"/>
                                </a:lnTo>
                                <a:lnTo>
                                  <a:pt x="1108258" y="88482"/>
                                </a:lnTo>
                                <a:lnTo>
                                  <a:pt x="1147166" y="110784"/>
                                </a:lnTo>
                                <a:lnTo>
                                  <a:pt x="1184585" y="135287"/>
                                </a:lnTo>
                                <a:lnTo>
                                  <a:pt x="1220425" y="161902"/>
                                </a:lnTo>
                                <a:lnTo>
                                  <a:pt x="1254599" y="190540"/>
                                </a:lnTo>
                                <a:lnTo>
                                  <a:pt x="1287016" y="221113"/>
                                </a:lnTo>
                                <a:lnTo>
                                  <a:pt x="1317588" y="253530"/>
                                </a:lnTo>
                                <a:lnTo>
                                  <a:pt x="1346225" y="287704"/>
                                </a:lnTo>
                                <a:lnTo>
                                  <a:pt x="1372840" y="323546"/>
                                </a:lnTo>
                                <a:lnTo>
                                  <a:pt x="1397342" y="360965"/>
                                </a:lnTo>
                                <a:lnTo>
                                  <a:pt x="1419643" y="399874"/>
                                </a:lnTo>
                                <a:lnTo>
                                  <a:pt x="1439653" y="440182"/>
                                </a:lnTo>
                                <a:lnTo>
                                  <a:pt x="1457352" y="481993"/>
                                </a:lnTo>
                                <a:lnTo>
                                  <a:pt x="1472452" y="524662"/>
                                </a:lnTo>
                                <a:lnTo>
                                  <a:pt x="1485047" y="568619"/>
                                </a:lnTo>
                                <a:lnTo>
                                  <a:pt x="1495003" y="613638"/>
                                </a:lnTo>
                                <a:lnTo>
                                  <a:pt x="1502228" y="659613"/>
                                </a:lnTo>
                                <a:lnTo>
                                  <a:pt x="1506630" y="706453"/>
                                </a:lnTo>
                                <a:lnTo>
                                  <a:pt x="1508122" y="754070"/>
                                </a:lnTo>
                                <a:lnTo>
                                  <a:pt x="1506628" y="801771"/>
                                </a:lnTo>
                                <a:lnTo>
                                  <a:pt x="1502215" y="848659"/>
                                </a:lnTo>
                                <a:lnTo>
                                  <a:pt x="1494982" y="894637"/>
                                </a:lnTo>
                                <a:lnTo>
                                  <a:pt x="1485027" y="939608"/>
                                </a:lnTo>
                                <a:lnTo>
                                  <a:pt x="1472446" y="983492"/>
                                </a:lnTo>
                                <a:lnTo>
                                  <a:pt x="1457271" y="1026333"/>
                                </a:lnTo>
                                <a:lnTo>
                                  <a:pt x="1439652" y="1067952"/>
                                </a:lnTo>
                                <a:lnTo>
                                  <a:pt x="1419642" y="1108260"/>
                                </a:lnTo>
                                <a:lnTo>
                                  <a:pt x="1397341" y="1147168"/>
                                </a:lnTo>
                                <a:lnTo>
                                  <a:pt x="1372839" y="1184586"/>
                                </a:lnTo>
                                <a:lnTo>
                                  <a:pt x="1346224" y="1220426"/>
                                </a:lnTo>
                                <a:lnTo>
                                  <a:pt x="1317587" y="1254599"/>
                                </a:lnTo>
                                <a:lnTo>
                                  <a:pt x="1287015" y="1287016"/>
                                </a:lnTo>
                                <a:lnTo>
                                  <a:pt x="1254598" y="1317587"/>
                                </a:lnTo>
                                <a:lnTo>
                                  <a:pt x="1220424" y="1346224"/>
                                </a:lnTo>
                                <a:lnTo>
                                  <a:pt x="1184584" y="1372838"/>
                                </a:lnTo>
                                <a:lnTo>
                                  <a:pt x="1147165" y="1397340"/>
                                </a:lnTo>
                                <a:lnTo>
                                  <a:pt x="1108257" y="1419641"/>
                                </a:lnTo>
                                <a:lnTo>
                                  <a:pt x="1067948" y="1439651"/>
                                </a:lnTo>
                                <a:lnTo>
                                  <a:pt x="1026329" y="1457282"/>
                                </a:lnTo>
                                <a:lnTo>
                                  <a:pt x="983487" y="1472445"/>
                                </a:lnTo>
                                <a:lnTo>
                                  <a:pt x="954914" y="1480635"/>
                                </a:lnTo>
                                <a:close/>
                              </a:path>
                            </a:pathLst>
                          </a:custGeom>
                          <a:solidFill>
                            <a:srgbClr val="FFFFFF"/>
                          </a:solidFill>
                        </wps:spPr>
                        <wps:bodyPr wrap="square" lIns="0" tIns="0" rIns="0" bIns="0" rtlCol="0">
                          <a:prstTxWarp prst="textNoShape">
                            <a:avLst/>
                          </a:prstTxWarp>
                          <a:noAutofit/>
                        </wps:bodyPr>
                      </wps:wsp>
                      <pic:pic>
                        <pic:nvPicPr>
                          <pic:cNvPr id="354" name="Image 354"/>
                          <pic:cNvPicPr/>
                        </pic:nvPicPr>
                        <pic:blipFill>
                          <a:blip r:embed="rId438" cstate="print"/>
                          <a:stretch>
                            <a:fillRect/>
                          </a:stretch>
                        </pic:blipFill>
                        <pic:spPr>
                          <a:xfrm>
                            <a:off x="655211" y="2413049"/>
                            <a:ext cx="4291687" cy="2760834"/>
                          </a:xfrm>
                          <a:prstGeom prst="rect">
                            <a:avLst/>
                          </a:prstGeom>
                        </pic:spPr>
                      </pic:pic>
                    </wpg:wgp>
                  </a:graphicData>
                </a:graphic>
              </wp:anchor>
            </w:drawing>
          </mc:Choice>
          <mc:Fallback>
            <w:pict>
              <v:group style="position:absolute;margin-left:-.000013pt;margin-top:.000017pt;width:612pt;height:407.4pt;mso-position-horizontal-relative:page;mso-position-vertical-relative:page;z-index:-20700672" id="docshapegroup278" coordorigin="0,0" coordsize="12240,8148">
                <v:shape style="position:absolute;left:0;top:0;width:12240;height:4865" type="#_x0000_t75" id="docshape279" stroked="false">
                  <v:imagedata r:id="rId437" o:title=""/>
                </v:shape>
                <v:shape style="position:absolute;left:7839;top:1158;width:2333;height:2332" type="#_x0000_t75" id="docshape280" stroked="false">
                  <v:imagedata r:id="rId98" o:title=""/>
                </v:shape>
                <v:shape style="position:absolute;left:7818;top:1136;width:2375;height:2375" id="docshape281" coordorigin="7818,1136" coordsize="2375,2375" path="m9006,3511l8931,3509,8857,3502,8785,3491,8714,3475,8645,3455,8577,3431,8511,3404,8448,3372,8387,3337,8328,3298,8271,3257,8218,3211,8167,3163,8118,3112,8073,3058,8031,3002,7993,2943,7958,2882,7926,2818,7898,2752,7874,2685,7855,2616,7839,2545,7828,2473,7821,2399,7818,2324,7821,2249,7828,2175,7839,2103,7855,2032,7874,1963,7898,1895,7926,1830,7958,1766,7993,1705,8031,1646,8073,1590,8118,1536,8167,1485,8218,1437,8271,1391,8328,1350,8387,1311,8448,1276,8512,1244,8577,1217,8645,1193,8714,1173,8785,1157,8857,1146,8931,1139,9006,1136,9081,1139,9155,1146,9227,1157,9298,1173,9322,1180,9006,1180,8931,1182,8857,1189,8784,1201,8714,1218,8645,1238,8577,1263,8512,1292,8449,1324,8389,1361,8330,1401,8275,1444,8222,1491,8173,1541,8126,1593,8083,1649,8043,1707,8006,1767,7974,1830,7945,1896,7920,1963,7899,2032,7883,2103,7871,2175,7864,2249,7862,2324,7864,2399,7871,2473,7883,2545,7899,2616,7920,2685,7945,2752,7974,2818,8006,2881,8043,2941,8083,2999,8126,3055,8173,3107,8222,3157,8275,3204,8330,3247,8389,3287,8449,3323,8512,3356,8577,3385,8645,3410,8714,3430,8784,3447,8857,3459,8931,3466,9006,3468,9322,3468,9298,3475,9227,3491,9155,3502,9081,3509,9006,3511xm9322,3468l9006,3468,9081,3466,9155,3459,9227,3447,9298,3430,9367,3410,9434,3385,9499,3356,9562,3323,9623,3287,9681,3247,9737,3204,9789,3157,9839,3107,9886,3055,9929,2999,9969,2941,10005,2881,10038,2818,10067,2752,10092,2685,10112,2616,10129,2545,10140,2473,10148,2399,10150,2324,10148,2249,10140,2175,10129,2103,10112,2032,10092,1963,10067,1896,10038,1830,10005,1767,9969,1707,9929,1649,9886,1593,9839,1541,9789,1491,9737,1444,9681,1401,9623,1361,9562,1324,9499,1292,9434,1263,9367,1238,9298,1218,9227,1201,9155,1189,9081,1182,9006,1180,9322,1180,9367,1193,9435,1217,9500,1244,9564,1276,9625,1311,9684,1350,9740,1391,9794,1437,9845,1485,9893,1536,9938,1590,9980,1646,10019,1705,10054,1766,10085,1830,10113,1896,10137,1963,10157,2032,10173,2103,10184,2175,10191,2249,10193,2324,10191,2399,10184,2473,10173,2545,10157,2616,10137,2685,10113,2753,10085,2818,10054,2882,10019,2943,9980,3002,9938,3058,9893,3112,9845,3163,9794,3211,9740,3257,9684,3298,9625,3337,9564,3372,9500,3404,9435,3431,9367,3455,9322,3468xe" filled="true" fillcolor="#ffffff" stroked="false">
                  <v:path arrowok="t"/>
                  <v:fill type="solid"/>
                </v:shape>
                <v:shape style="position:absolute;left:1031;top:3800;width:6759;height:4348" type="#_x0000_t75" id="docshape282" stroked="false">
                  <v:imagedata r:id="rId438" o:title=""/>
                </v:shape>
                <w10:wrap type="none"/>
              </v:group>
            </w:pict>
          </mc:Fallback>
        </mc:AlternateContent>
      </w:r>
    </w:p>
    <w:p>
      <w:pPr>
        <w:tabs>
          <w:tab w:pos="6329" w:val="left" w:leader="none"/>
        </w:tabs>
        <w:spacing w:line="240" w:lineRule="auto"/>
        <w:ind w:left="111" w:right="0" w:firstLine="0"/>
        <w:rPr>
          <w:rFonts w:ascii="Georgia"/>
          <w:sz w:val="20"/>
        </w:rPr>
      </w:pPr>
      <w:r>
        <w:rPr>
          <w:rFonts w:ascii="Georgia"/>
          <w:position w:val="20"/>
          <w:sz w:val="20"/>
        </w:rPr>
        <mc:AlternateContent>
          <mc:Choice Requires="wps">
            <w:drawing>
              <wp:inline distT="0" distB="0" distL="0" distR="0">
                <wp:extent cx="3491229" cy="1220470"/>
                <wp:effectExtent l="0" t="0" r="0" b="8255"/>
                <wp:docPr id="355" name="Group 355"/>
                <wp:cNvGraphicFramePr>
                  <a:graphicFrameLocks/>
                </wp:cNvGraphicFramePr>
                <a:graphic>
                  <a:graphicData uri="http://schemas.microsoft.com/office/word/2010/wordprocessingGroup">
                    <wpg:wgp>
                      <wpg:cNvPr id="355" name="Group 355"/>
                      <wpg:cNvGrpSpPr/>
                      <wpg:grpSpPr>
                        <a:xfrm>
                          <a:off x="0" y="0"/>
                          <a:ext cx="3491229" cy="1220470"/>
                          <a:chExt cx="3491229" cy="1220470"/>
                        </a:xfrm>
                      </wpg:grpSpPr>
                      <wps:wsp>
                        <wps:cNvPr id="356" name="Graphic 356"/>
                        <wps:cNvSpPr/>
                        <wps:spPr>
                          <a:xfrm>
                            <a:off x="0" y="0"/>
                            <a:ext cx="3491229" cy="1220470"/>
                          </a:xfrm>
                          <a:custGeom>
                            <a:avLst/>
                            <a:gdLst/>
                            <a:ahLst/>
                            <a:cxnLst/>
                            <a:rect l="l" t="t" r="r" b="b"/>
                            <a:pathLst>
                              <a:path w="3491229" h="1220470">
                                <a:moveTo>
                                  <a:pt x="3129268" y="1220023"/>
                                </a:moveTo>
                                <a:lnTo>
                                  <a:pt x="361949" y="1220023"/>
                                </a:lnTo>
                                <a:lnTo>
                                  <a:pt x="312835" y="1216719"/>
                                </a:lnTo>
                                <a:lnTo>
                                  <a:pt x="265729" y="1207094"/>
                                </a:lnTo>
                                <a:lnTo>
                                  <a:pt x="221062" y="1191579"/>
                                </a:lnTo>
                                <a:lnTo>
                                  <a:pt x="179266" y="1170606"/>
                                </a:lnTo>
                                <a:lnTo>
                                  <a:pt x="140773" y="1144606"/>
                                </a:lnTo>
                                <a:lnTo>
                                  <a:pt x="106012" y="1114010"/>
                                </a:lnTo>
                                <a:lnTo>
                                  <a:pt x="75416" y="1079250"/>
                                </a:lnTo>
                                <a:lnTo>
                                  <a:pt x="49416" y="1040756"/>
                                </a:lnTo>
                                <a:lnTo>
                                  <a:pt x="28443" y="998960"/>
                                </a:lnTo>
                                <a:lnTo>
                                  <a:pt x="12929" y="954294"/>
                                </a:lnTo>
                                <a:lnTo>
                                  <a:pt x="3304" y="907188"/>
                                </a:lnTo>
                                <a:lnTo>
                                  <a:pt x="0" y="858073"/>
                                </a:lnTo>
                                <a:lnTo>
                                  <a:pt x="0" y="361949"/>
                                </a:lnTo>
                                <a:lnTo>
                                  <a:pt x="3304" y="312835"/>
                                </a:lnTo>
                                <a:lnTo>
                                  <a:pt x="12929" y="265729"/>
                                </a:lnTo>
                                <a:lnTo>
                                  <a:pt x="28443" y="221062"/>
                                </a:lnTo>
                                <a:lnTo>
                                  <a:pt x="49416" y="179266"/>
                                </a:lnTo>
                                <a:lnTo>
                                  <a:pt x="75416" y="140773"/>
                                </a:lnTo>
                                <a:lnTo>
                                  <a:pt x="106012" y="106012"/>
                                </a:lnTo>
                                <a:lnTo>
                                  <a:pt x="140773" y="75416"/>
                                </a:lnTo>
                                <a:lnTo>
                                  <a:pt x="179266" y="49416"/>
                                </a:lnTo>
                                <a:lnTo>
                                  <a:pt x="221062" y="28443"/>
                                </a:lnTo>
                                <a:lnTo>
                                  <a:pt x="265729" y="12929"/>
                                </a:lnTo>
                                <a:lnTo>
                                  <a:pt x="312835" y="3304"/>
                                </a:lnTo>
                                <a:lnTo>
                                  <a:pt x="361949" y="0"/>
                                </a:lnTo>
                                <a:lnTo>
                                  <a:pt x="3129268" y="0"/>
                                </a:lnTo>
                                <a:lnTo>
                                  <a:pt x="3178382" y="3304"/>
                                </a:lnTo>
                                <a:lnTo>
                                  <a:pt x="3225488" y="12929"/>
                                </a:lnTo>
                                <a:lnTo>
                                  <a:pt x="3270155" y="28443"/>
                                </a:lnTo>
                                <a:lnTo>
                                  <a:pt x="3311951" y="49416"/>
                                </a:lnTo>
                                <a:lnTo>
                                  <a:pt x="3350445" y="75416"/>
                                </a:lnTo>
                                <a:lnTo>
                                  <a:pt x="3385205" y="106012"/>
                                </a:lnTo>
                                <a:lnTo>
                                  <a:pt x="3415801" y="140773"/>
                                </a:lnTo>
                                <a:lnTo>
                                  <a:pt x="3441801" y="179266"/>
                                </a:lnTo>
                                <a:lnTo>
                                  <a:pt x="3462774" y="221062"/>
                                </a:lnTo>
                                <a:lnTo>
                                  <a:pt x="3478289" y="265729"/>
                                </a:lnTo>
                                <a:lnTo>
                                  <a:pt x="3487914" y="312835"/>
                                </a:lnTo>
                                <a:lnTo>
                                  <a:pt x="3491218" y="361949"/>
                                </a:lnTo>
                                <a:lnTo>
                                  <a:pt x="3491218" y="858073"/>
                                </a:lnTo>
                                <a:lnTo>
                                  <a:pt x="3487914" y="907188"/>
                                </a:lnTo>
                                <a:lnTo>
                                  <a:pt x="3478289" y="954294"/>
                                </a:lnTo>
                                <a:lnTo>
                                  <a:pt x="3462774" y="998960"/>
                                </a:lnTo>
                                <a:lnTo>
                                  <a:pt x="3441801" y="1040756"/>
                                </a:lnTo>
                                <a:lnTo>
                                  <a:pt x="3415801" y="1079250"/>
                                </a:lnTo>
                                <a:lnTo>
                                  <a:pt x="3385205" y="1114010"/>
                                </a:lnTo>
                                <a:lnTo>
                                  <a:pt x="3350445" y="1144606"/>
                                </a:lnTo>
                                <a:lnTo>
                                  <a:pt x="3311951" y="1170606"/>
                                </a:lnTo>
                                <a:lnTo>
                                  <a:pt x="3270155" y="1191579"/>
                                </a:lnTo>
                                <a:lnTo>
                                  <a:pt x="3225488" y="1207094"/>
                                </a:lnTo>
                                <a:lnTo>
                                  <a:pt x="3178382" y="1216719"/>
                                </a:lnTo>
                                <a:lnTo>
                                  <a:pt x="3129268" y="1220023"/>
                                </a:lnTo>
                                <a:close/>
                              </a:path>
                            </a:pathLst>
                          </a:custGeom>
                          <a:solidFill>
                            <a:srgbClr val="DEC7EB">
                              <a:alpha val="55999"/>
                            </a:srgbClr>
                          </a:solidFill>
                        </wps:spPr>
                        <wps:bodyPr wrap="square" lIns="0" tIns="0" rIns="0" bIns="0" rtlCol="0">
                          <a:prstTxWarp prst="textNoShape">
                            <a:avLst/>
                          </a:prstTxWarp>
                          <a:noAutofit/>
                        </wps:bodyPr>
                      </wps:wsp>
                      <wps:wsp>
                        <wps:cNvPr id="357" name="Textbox 357"/>
                        <wps:cNvSpPr txBox="1"/>
                        <wps:spPr>
                          <a:xfrm>
                            <a:off x="0" y="0"/>
                            <a:ext cx="3491229" cy="1220470"/>
                          </a:xfrm>
                          <a:prstGeom prst="rect">
                            <a:avLst/>
                          </a:prstGeom>
                        </wps:spPr>
                        <wps:txbx>
                          <w:txbxContent>
                            <w:p>
                              <w:pPr>
                                <w:spacing w:before="80"/>
                                <w:ind w:left="279" w:right="0" w:firstLine="0"/>
                                <w:jc w:val="left"/>
                                <w:rPr>
                                  <w:b/>
                                  <w:i/>
                                  <w:sz w:val="33"/>
                                </w:rPr>
                              </w:pPr>
                              <w:r>
                                <w:rPr>
                                  <w:b/>
                                  <w:i/>
                                  <w:spacing w:val="10"/>
                                  <w:w w:val="125"/>
                                  <w:sz w:val="33"/>
                                </w:rPr>
                                <w:t>LEGISLATION</w:t>
                              </w:r>
                            </w:p>
                            <w:p>
                              <w:pPr>
                                <w:spacing w:line="547" w:lineRule="auto" w:before="101"/>
                                <w:ind w:left="279" w:right="1137" w:firstLine="0"/>
                                <w:jc w:val="left"/>
                                <w:rPr>
                                  <w:rFonts w:ascii="Georgia"/>
                                  <w:sz w:val="18"/>
                                </w:rPr>
                              </w:pPr>
                              <w:r>
                                <w:rPr>
                                  <w:rFonts w:ascii="Georgia"/>
                                  <w:sz w:val="18"/>
                                </w:rPr>
                                <w:t>S.268/H.544: The Healthy Youth Act S.619/H.1085:</w:t>
                              </w:r>
                              <w:r>
                                <w:rPr>
                                  <w:rFonts w:ascii="Georgia"/>
                                  <w:spacing w:val="-4"/>
                                  <w:sz w:val="18"/>
                                </w:rPr>
                                <w:t> </w:t>
                              </w:r>
                              <w:r>
                                <w:rPr>
                                  <w:rFonts w:ascii="Georgia"/>
                                  <w:sz w:val="18"/>
                                </w:rPr>
                                <w:t>HIV</w:t>
                              </w:r>
                              <w:r>
                                <w:rPr>
                                  <w:rFonts w:ascii="Georgia"/>
                                  <w:spacing w:val="-4"/>
                                  <w:sz w:val="18"/>
                                </w:rPr>
                                <w:t> </w:t>
                              </w:r>
                              <w:r>
                                <w:rPr>
                                  <w:rFonts w:ascii="Georgia"/>
                                  <w:sz w:val="18"/>
                                </w:rPr>
                                <w:t>Prevention</w:t>
                              </w:r>
                              <w:r>
                                <w:rPr>
                                  <w:rFonts w:ascii="Georgia"/>
                                  <w:spacing w:val="-4"/>
                                  <w:sz w:val="18"/>
                                </w:rPr>
                                <w:t> </w:t>
                              </w:r>
                              <w:r>
                                <w:rPr>
                                  <w:rFonts w:ascii="Georgia"/>
                                  <w:sz w:val="18"/>
                                </w:rPr>
                                <w:t>Medication</w:t>
                              </w:r>
                              <w:r>
                                <w:rPr>
                                  <w:rFonts w:ascii="Georgia"/>
                                  <w:spacing w:val="-4"/>
                                  <w:sz w:val="18"/>
                                </w:rPr>
                                <w:t> </w:t>
                              </w:r>
                              <w:r>
                                <w:rPr>
                                  <w:rFonts w:ascii="Georgia"/>
                                  <w:sz w:val="18"/>
                                </w:rPr>
                                <w:t>Access</w:t>
                              </w:r>
                            </w:p>
                            <w:p>
                              <w:pPr>
                                <w:spacing w:line="179" w:lineRule="exact" w:before="0"/>
                                <w:ind w:left="279" w:right="0" w:firstLine="0"/>
                                <w:jc w:val="left"/>
                                <w:rPr>
                                  <w:rFonts w:ascii="Georgia"/>
                                  <w:sz w:val="18"/>
                                </w:rPr>
                              </w:pPr>
                              <w:r>
                                <w:rPr>
                                  <w:rFonts w:ascii="Georgia"/>
                                  <w:spacing w:val="-2"/>
                                  <w:sz w:val="18"/>
                                </w:rPr>
                                <w:t>S.1333/H.2146:</w:t>
                              </w:r>
                              <w:r>
                                <w:rPr>
                                  <w:rFonts w:ascii="Georgia"/>
                                  <w:spacing w:val="9"/>
                                  <w:sz w:val="18"/>
                                </w:rPr>
                                <w:t> </w:t>
                              </w:r>
                              <w:r>
                                <w:rPr>
                                  <w:rFonts w:ascii="Georgia"/>
                                  <w:spacing w:val="-2"/>
                                  <w:sz w:val="18"/>
                                </w:rPr>
                                <w:t>Prohibit</w:t>
                              </w:r>
                              <w:r>
                                <w:rPr>
                                  <w:rFonts w:ascii="Georgia"/>
                                  <w:spacing w:val="9"/>
                                  <w:sz w:val="18"/>
                                </w:rPr>
                                <w:t> </w:t>
                              </w:r>
                              <w:r>
                                <w:rPr>
                                  <w:rFonts w:ascii="Georgia"/>
                                  <w:spacing w:val="-2"/>
                                  <w:sz w:val="18"/>
                                </w:rPr>
                                <w:t>Nonconsensual</w:t>
                              </w:r>
                              <w:r>
                                <w:rPr>
                                  <w:rFonts w:ascii="Georgia"/>
                                  <w:spacing w:val="10"/>
                                  <w:sz w:val="18"/>
                                </w:rPr>
                                <w:t> </w:t>
                              </w:r>
                              <w:r>
                                <w:rPr>
                                  <w:rFonts w:ascii="Georgia"/>
                                  <w:spacing w:val="-2"/>
                                  <w:sz w:val="18"/>
                                </w:rPr>
                                <w:t>Intimate</w:t>
                              </w:r>
                              <w:r>
                                <w:rPr>
                                  <w:rFonts w:ascii="Georgia"/>
                                  <w:spacing w:val="9"/>
                                  <w:sz w:val="18"/>
                                </w:rPr>
                                <w:t> </w:t>
                              </w:r>
                              <w:r>
                                <w:rPr>
                                  <w:rFonts w:ascii="Georgia"/>
                                  <w:spacing w:val="-2"/>
                                  <w:sz w:val="18"/>
                                </w:rPr>
                                <w:t>Examinations</w:t>
                              </w:r>
                            </w:p>
                          </w:txbxContent>
                        </wps:txbx>
                        <wps:bodyPr wrap="square" lIns="0" tIns="0" rIns="0" bIns="0" rtlCol="0">
                          <a:noAutofit/>
                        </wps:bodyPr>
                      </wps:wsp>
                    </wpg:wgp>
                  </a:graphicData>
                </a:graphic>
              </wp:inline>
            </w:drawing>
          </mc:Choice>
          <mc:Fallback>
            <w:pict>
              <v:group style="width:274.9pt;height:96.1pt;mso-position-horizontal-relative:char;mso-position-vertical-relative:line" id="docshapegroup283" coordorigin="0,0" coordsize="5498,1922">
                <v:shape style="position:absolute;left:0;top:0;width:5498;height:1922" id="docshape284" coordorigin="0,0" coordsize="5498,1922" path="m4928,1921l570,1921,493,1916,418,1901,348,1877,282,1843,222,1803,167,1754,119,1700,78,1639,45,1573,20,1503,5,1429,0,1351,0,570,5,493,20,418,45,348,78,282,119,222,167,167,222,119,282,78,348,45,418,20,493,5,570,0,4928,0,5005,5,5080,20,5150,45,5216,78,5276,119,5331,167,5379,222,5420,282,5453,348,5478,418,5493,493,5498,570,5498,1351,5493,1429,5478,1503,5453,1573,5420,1639,5379,1700,5331,1754,5276,1803,5216,1843,5150,1877,5080,1901,5005,1916,4928,1921xe" filled="true" fillcolor="#dec7eb" stroked="false">
                  <v:path arrowok="t"/>
                  <v:fill opacity="36700f" type="solid"/>
                </v:shape>
                <v:shape style="position:absolute;left:0;top:0;width:5498;height:1922" type="#_x0000_t202" id="docshape285" filled="false" stroked="false">
                  <v:textbox inset="0,0,0,0">
                    <w:txbxContent>
                      <w:p>
                        <w:pPr>
                          <w:spacing w:before="80"/>
                          <w:ind w:left="279" w:right="0" w:firstLine="0"/>
                          <w:jc w:val="left"/>
                          <w:rPr>
                            <w:b/>
                            <w:i/>
                            <w:sz w:val="33"/>
                          </w:rPr>
                        </w:pPr>
                        <w:r>
                          <w:rPr>
                            <w:b/>
                            <w:i/>
                            <w:spacing w:val="10"/>
                            <w:w w:val="125"/>
                            <w:sz w:val="33"/>
                          </w:rPr>
                          <w:t>LEGISLATION</w:t>
                        </w:r>
                      </w:p>
                      <w:p>
                        <w:pPr>
                          <w:spacing w:line="547" w:lineRule="auto" w:before="101"/>
                          <w:ind w:left="279" w:right="1137" w:firstLine="0"/>
                          <w:jc w:val="left"/>
                          <w:rPr>
                            <w:rFonts w:ascii="Georgia"/>
                            <w:sz w:val="18"/>
                          </w:rPr>
                        </w:pPr>
                        <w:r>
                          <w:rPr>
                            <w:rFonts w:ascii="Georgia"/>
                            <w:sz w:val="18"/>
                          </w:rPr>
                          <w:t>S.268/H.544: The Healthy Youth Act S.619/H.1085:</w:t>
                        </w:r>
                        <w:r>
                          <w:rPr>
                            <w:rFonts w:ascii="Georgia"/>
                            <w:spacing w:val="-4"/>
                            <w:sz w:val="18"/>
                          </w:rPr>
                          <w:t> </w:t>
                        </w:r>
                        <w:r>
                          <w:rPr>
                            <w:rFonts w:ascii="Georgia"/>
                            <w:sz w:val="18"/>
                          </w:rPr>
                          <w:t>HIV</w:t>
                        </w:r>
                        <w:r>
                          <w:rPr>
                            <w:rFonts w:ascii="Georgia"/>
                            <w:spacing w:val="-4"/>
                            <w:sz w:val="18"/>
                          </w:rPr>
                          <w:t> </w:t>
                        </w:r>
                        <w:r>
                          <w:rPr>
                            <w:rFonts w:ascii="Georgia"/>
                            <w:sz w:val="18"/>
                          </w:rPr>
                          <w:t>Prevention</w:t>
                        </w:r>
                        <w:r>
                          <w:rPr>
                            <w:rFonts w:ascii="Georgia"/>
                            <w:spacing w:val="-4"/>
                            <w:sz w:val="18"/>
                          </w:rPr>
                          <w:t> </w:t>
                        </w:r>
                        <w:r>
                          <w:rPr>
                            <w:rFonts w:ascii="Georgia"/>
                            <w:sz w:val="18"/>
                          </w:rPr>
                          <w:t>Medication</w:t>
                        </w:r>
                        <w:r>
                          <w:rPr>
                            <w:rFonts w:ascii="Georgia"/>
                            <w:spacing w:val="-4"/>
                            <w:sz w:val="18"/>
                          </w:rPr>
                          <w:t> </w:t>
                        </w:r>
                        <w:r>
                          <w:rPr>
                            <w:rFonts w:ascii="Georgia"/>
                            <w:sz w:val="18"/>
                          </w:rPr>
                          <w:t>Access</w:t>
                        </w:r>
                      </w:p>
                      <w:p>
                        <w:pPr>
                          <w:spacing w:line="179" w:lineRule="exact" w:before="0"/>
                          <w:ind w:left="279" w:right="0" w:firstLine="0"/>
                          <w:jc w:val="left"/>
                          <w:rPr>
                            <w:rFonts w:ascii="Georgia"/>
                            <w:sz w:val="18"/>
                          </w:rPr>
                        </w:pPr>
                        <w:r>
                          <w:rPr>
                            <w:rFonts w:ascii="Georgia"/>
                            <w:spacing w:val="-2"/>
                            <w:sz w:val="18"/>
                          </w:rPr>
                          <w:t>S.1333/H.2146:</w:t>
                        </w:r>
                        <w:r>
                          <w:rPr>
                            <w:rFonts w:ascii="Georgia"/>
                            <w:spacing w:val="9"/>
                            <w:sz w:val="18"/>
                          </w:rPr>
                          <w:t> </w:t>
                        </w:r>
                        <w:r>
                          <w:rPr>
                            <w:rFonts w:ascii="Georgia"/>
                            <w:spacing w:val="-2"/>
                            <w:sz w:val="18"/>
                          </w:rPr>
                          <w:t>Prohibit</w:t>
                        </w:r>
                        <w:r>
                          <w:rPr>
                            <w:rFonts w:ascii="Georgia"/>
                            <w:spacing w:val="9"/>
                            <w:sz w:val="18"/>
                          </w:rPr>
                          <w:t> </w:t>
                        </w:r>
                        <w:r>
                          <w:rPr>
                            <w:rFonts w:ascii="Georgia"/>
                            <w:spacing w:val="-2"/>
                            <w:sz w:val="18"/>
                          </w:rPr>
                          <w:t>Nonconsensual</w:t>
                        </w:r>
                        <w:r>
                          <w:rPr>
                            <w:rFonts w:ascii="Georgia"/>
                            <w:spacing w:val="10"/>
                            <w:sz w:val="18"/>
                          </w:rPr>
                          <w:t> </w:t>
                        </w:r>
                        <w:r>
                          <w:rPr>
                            <w:rFonts w:ascii="Georgia"/>
                            <w:spacing w:val="-2"/>
                            <w:sz w:val="18"/>
                          </w:rPr>
                          <w:t>Intimate</w:t>
                        </w:r>
                        <w:r>
                          <w:rPr>
                            <w:rFonts w:ascii="Georgia"/>
                            <w:spacing w:val="9"/>
                            <w:sz w:val="18"/>
                          </w:rPr>
                          <w:t> </w:t>
                        </w:r>
                        <w:r>
                          <w:rPr>
                            <w:rFonts w:ascii="Georgia"/>
                            <w:spacing w:val="-2"/>
                            <w:sz w:val="18"/>
                          </w:rPr>
                          <w:t>Examinations</w:t>
                        </w:r>
                      </w:p>
                    </w:txbxContent>
                  </v:textbox>
                  <w10:wrap type="none"/>
                </v:shape>
              </v:group>
            </w:pict>
          </mc:Fallback>
        </mc:AlternateContent>
      </w:r>
      <w:r>
        <w:rPr>
          <w:rFonts w:ascii="Georgia"/>
          <w:position w:val="20"/>
          <w:sz w:val="20"/>
        </w:rPr>
      </w:r>
      <w:r>
        <w:rPr>
          <w:rFonts w:ascii="Georgia"/>
          <w:position w:val="20"/>
          <w:sz w:val="20"/>
        </w:rPr>
        <w:tab/>
      </w:r>
      <w:r>
        <w:rPr>
          <w:rFonts w:ascii="Georgia"/>
          <w:sz w:val="20"/>
        </w:rPr>
        <w:drawing>
          <wp:inline distT="0" distB="0" distL="0" distR="0">
            <wp:extent cx="2860861" cy="2230945"/>
            <wp:effectExtent l="0" t="0" r="0" b="0"/>
            <wp:docPr id="358" name="Image 358"/>
            <wp:cNvGraphicFramePr>
              <a:graphicFrameLocks/>
            </wp:cNvGraphicFramePr>
            <a:graphic>
              <a:graphicData uri="http://schemas.openxmlformats.org/drawingml/2006/picture">
                <pic:pic>
                  <pic:nvPicPr>
                    <pic:cNvPr id="358" name="Image 358"/>
                    <pic:cNvPicPr/>
                  </pic:nvPicPr>
                  <pic:blipFill>
                    <a:blip r:embed="rId439" cstate="print"/>
                    <a:stretch>
                      <a:fillRect/>
                    </a:stretch>
                  </pic:blipFill>
                  <pic:spPr>
                    <a:xfrm>
                      <a:off x="0" y="0"/>
                      <a:ext cx="2860861" cy="2230945"/>
                    </a:xfrm>
                    <a:prstGeom prst="rect">
                      <a:avLst/>
                    </a:prstGeom>
                  </pic:spPr>
                </pic:pic>
              </a:graphicData>
            </a:graphic>
          </wp:inline>
        </w:drawing>
      </w:r>
      <w:r>
        <w:rPr>
          <w:rFonts w:ascii="Georgia"/>
          <w:sz w:val="20"/>
        </w:rPr>
      </w:r>
    </w:p>
    <w:p>
      <w:pPr>
        <w:spacing w:after="0" w:line="240" w:lineRule="auto"/>
        <w:rPr>
          <w:rFonts w:ascii="Georgia"/>
          <w:sz w:val="20"/>
        </w:rPr>
        <w:sectPr>
          <w:type w:val="continuous"/>
          <w:pgSz w:w="12240" w:h="15840"/>
          <w:pgMar w:header="0" w:footer="0" w:top="1420" w:bottom="280" w:left="920" w:right="300"/>
        </w:sectPr>
      </w:pPr>
    </w:p>
    <w:p>
      <w:pPr>
        <w:pStyle w:val="Heading7"/>
        <w:spacing w:before="330"/>
        <w:ind w:left="464"/>
      </w:pPr>
      <w:bookmarkStart w:name="FY 2025 - Homelessness - Review.docx.pdf" w:id="480"/>
      <w:bookmarkEnd w:id="480"/>
      <w:r>
        <w:rPr/>
      </w:r>
      <w:bookmarkStart w:name="_bookmark273" w:id="481"/>
      <w:bookmarkEnd w:id="481"/>
      <w:r>
        <w:rPr/>
      </w:r>
      <w:r>
        <w:rPr>
          <w:color w:val="365F91"/>
          <w:spacing w:val="-8"/>
        </w:rPr>
        <w:t>FY</w:t>
      </w:r>
      <w:r>
        <w:rPr>
          <w:color w:val="365F91"/>
          <w:spacing w:val="-14"/>
        </w:rPr>
        <w:t> </w:t>
      </w:r>
      <w:r>
        <w:rPr>
          <w:color w:val="365F91"/>
          <w:spacing w:val="-8"/>
        </w:rPr>
        <w:t>2025</w:t>
      </w:r>
      <w:r>
        <w:rPr>
          <w:color w:val="365F91"/>
          <w:spacing w:val="-14"/>
        </w:rPr>
        <w:t> </w:t>
      </w:r>
      <w:r>
        <w:rPr>
          <w:color w:val="365F91"/>
          <w:spacing w:val="-8"/>
        </w:rPr>
        <w:t>Homelessness</w:t>
      </w:r>
      <w:r>
        <w:rPr>
          <w:color w:val="365F91"/>
          <w:spacing w:val="-13"/>
        </w:rPr>
        <w:t> </w:t>
      </w:r>
      <w:r>
        <w:rPr>
          <w:color w:val="365F91"/>
          <w:spacing w:val="-8"/>
        </w:rPr>
        <w:t>and</w:t>
      </w:r>
      <w:r>
        <w:rPr>
          <w:color w:val="365F91"/>
          <w:spacing w:val="-12"/>
        </w:rPr>
        <w:t> </w:t>
      </w:r>
      <w:r>
        <w:rPr>
          <w:color w:val="365F91"/>
          <w:spacing w:val="-8"/>
        </w:rPr>
        <w:t>Housing</w:t>
      </w:r>
      <w:r>
        <w:rPr>
          <w:color w:val="365F91"/>
          <w:spacing w:val="-14"/>
        </w:rPr>
        <w:t> </w:t>
      </w:r>
      <w:r>
        <w:rPr>
          <w:color w:val="365F91"/>
          <w:spacing w:val="-8"/>
        </w:rPr>
        <w:t>Instability</w:t>
      </w:r>
    </w:p>
    <w:p>
      <w:pPr>
        <w:spacing w:before="313"/>
        <w:ind w:left="464" w:right="0" w:firstLine="0"/>
        <w:jc w:val="left"/>
        <w:rPr>
          <w:sz w:val="28"/>
        </w:rPr>
      </w:pPr>
      <w:bookmarkStart w:name="Introduction" w:id="482"/>
      <w:bookmarkEnd w:id="482"/>
      <w:r>
        <w:rPr/>
      </w:r>
      <w:r>
        <w:rPr>
          <w:color w:val="365F91"/>
          <w:spacing w:val="-2"/>
          <w:sz w:val="28"/>
        </w:rPr>
        <w:t>Introduction</w:t>
      </w:r>
    </w:p>
    <w:p>
      <w:pPr>
        <w:pStyle w:val="BodyText"/>
        <w:spacing w:before="11"/>
        <w:rPr>
          <w:sz w:val="3"/>
        </w:rPr>
      </w:pPr>
      <w:r>
        <w:rPr/>
        <mc:AlternateContent>
          <mc:Choice Requires="wps">
            <w:drawing>
              <wp:anchor distT="0" distB="0" distL="0" distR="0" allowOverlap="1" layoutInCell="1" locked="0" behindDoc="1" simplePos="0" relativeHeight="487654400">
                <wp:simplePos x="0" y="0"/>
                <wp:positionH relativeFrom="page">
                  <wp:posOffset>986789</wp:posOffset>
                </wp:positionH>
                <wp:positionV relativeFrom="paragraph">
                  <wp:posOffset>45505</wp:posOffset>
                </wp:positionV>
                <wp:extent cx="5799455" cy="6350"/>
                <wp:effectExtent l="0" t="0" r="0" b="0"/>
                <wp:wrapTopAndBottom/>
                <wp:docPr id="362" name="Graphic 362"/>
                <wp:cNvGraphicFramePr>
                  <a:graphicFrameLocks/>
                </wp:cNvGraphicFramePr>
                <a:graphic>
                  <a:graphicData uri="http://schemas.microsoft.com/office/word/2010/wordprocessingShape">
                    <wps:wsp>
                      <wps:cNvPr id="362" name="Graphic 362"/>
                      <wps:cNvSpPr/>
                      <wps:spPr>
                        <a:xfrm>
                          <a:off x="0" y="0"/>
                          <a:ext cx="5799455" cy="6350"/>
                        </a:xfrm>
                        <a:custGeom>
                          <a:avLst/>
                          <a:gdLst/>
                          <a:ahLst/>
                          <a:cxnLst/>
                          <a:rect l="l" t="t" r="r" b="b"/>
                          <a:pathLst>
                            <a:path w="5799455" h="6350">
                              <a:moveTo>
                                <a:pt x="5798832" y="0"/>
                              </a:moveTo>
                              <a:lnTo>
                                <a:pt x="0" y="0"/>
                              </a:lnTo>
                              <a:lnTo>
                                <a:pt x="0" y="6096"/>
                              </a:lnTo>
                              <a:lnTo>
                                <a:pt x="5798832" y="6096"/>
                              </a:lnTo>
                              <a:lnTo>
                                <a:pt x="5798832" y="0"/>
                              </a:lnTo>
                              <a:close/>
                            </a:path>
                          </a:pathLst>
                        </a:custGeom>
                        <a:solidFill>
                          <a:srgbClr val="4F81BC"/>
                        </a:solidFill>
                      </wps:spPr>
                      <wps:bodyPr wrap="square" lIns="0" tIns="0" rIns="0" bIns="0" rtlCol="0">
                        <a:prstTxWarp prst="textNoShape">
                          <a:avLst/>
                        </a:prstTxWarp>
                        <a:noAutofit/>
                      </wps:bodyPr>
                    </wps:wsp>
                  </a:graphicData>
                </a:graphic>
              </wp:anchor>
            </w:drawing>
          </mc:Choice>
          <mc:Fallback>
            <w:pict>
              <v:rect style="position:absolute;margin-left:77.699997pt;margin-top:3.583144pt;width:456.601pt;height:.48pt;mso-position-horizontal-relative:page;mso-position-vertical-relative:paragraph;z-index:-15662080;mso-wrap-distance-left:0;mso-wrap-distance-right:0" id="docshape289" filled="true" fillcolor="#4f81bc" stroked="false">
                <v:fill type="solid"/>
                <w10:wrap type="topAndBottom"/>
              </v:rect>
            </w:pict>
          </mc:Fallback>
        </mc:AlternateContent>
      </w:r>
    </w:p>
    <w:p>
      <w:pPr>
        <w:pStyle w:val="BodyText"/>
        <w:spacing w:line="276" w:lineRule="auto" w:before="241"/>
        <w:ind w:left="464" w:right="405"/>
        <w:jc w:val="both"/>
      </w:pPr>
      <w:r>
        <w:rPr/>
        <w:t>In the United States, rates of homelessness and housing insecurity reached a record high in 2023, making</w:t>
      </w:r>
      <w:r>
        <w:rPr>
          <w:spacing w:val="-2"/>
        </w:rPr>
        <w:t> </w:t>
      </w:r>
      <w:r>
        <w:rPr/>
        <w:t>homelessness</w:t>
      </w:r>
      <w:r>
        <w:rPr>
          <w:spacing w:val="-2"/>
        </w:rPr>
        <w:t> </w:t>
      </w:r>
      <w:r>
        <w:rPr/>
        <w:t>and</w:t>
      </w:r>
      <w:r>
        <w:rPr>
          <w:spacing w:val="-1"/>
        </w:rPr>
        <w:t> </w:t>
      </w:r>
      <w:r>
        <w:rPr/>
        <w:t>housing</w:t>
      </w:r>
      <w:r>
        <w:rPr>
          <w:spacing w:val="-2"/>
        </w:rPr>
        <w:t> </w:t>
      </w:r>
      <w:r>
        <w:rPr/>
        <w:t>insecurity</w:t>
      </w:r>
      <w:r>
        <w:rPr>
          <w:spacing w:val="-3"/>
        </w:rPr>
        <w:t> </w:t>
      </w:r>
      <w:r>
        <w:rPr/>
        <w:t>a</w:t>
      </w:r>
      <w:r>
        <w:rPr>
          <w:spacing w:val="-1"/>
        </w:rPr>
        <w:t> </w:t>
      </w:r>
      <w:r>
        <w:rPr/>
        <w:t>major</w:t>
      </w:r>
      <w:r>
        <w:rPr>
          <w:spacing w:val="-1"/>
        </w:rPr>
        <w:t> </w:t>
      </w:r>
      <w:r>
        <w:rPr/>
        <w:t>public</w:t>
      </w:r>
      <w:r>
        <w:rPr>
          <w:spacing w:val="-2"/>
        </w:rPr>
        <w:t> </w:t>
      </w:r>
      <w:r>
        <w:rPr/>
        <w:t>health</w:t>
      </w:r>
      <w:r>
        <w:rPr>
          <w:spacing w:val="-2"/>
        </w:rPr>
        <w:t> </w:t>
      </w:r>
      <w:r>
        <w:rPr/>
        <w:t>crisis</w:t>
      </w:r>
      <w:r>
        <w:rPr>
          <w:spacing w:val="-2"/>
        </w:rPr>
        <w:t> </w:t>
      </w:r>
      <w:r>
        <w:rPr/>
        <w:t>that</w:t>
      </w:r>
      <w:r>
        <w:rPr>
          <w:spacing w:val="-3"/>
        </w:rPr>
        <w:t> </w:t>
      </w:r>
      <w:r>
        <w:rPr/>
        <w:t>requires</w:t>
      </w:r>
      <w:r>
        <w:rPr>
          <w:spacing w:val="-2"/>
        </w:rPr>
        <w:t> </w:t>
      </w:r>
      <w:r>
        <w:rPr/>
        <w:t>effective</w:t>
      </w:r>
      <w:r>
        <w:rPr>
          <w:spacing w:val="-3"/>
        </w:rPr>
        <w:t> </w:t>
      </w:r>
      <w:r>
        <w:rPr/>
        <w:t>policy and</w:t>
      </w:r>
      <w:r>
        <w:rPr>
          <w:spacing w:val="-1"/>
        </w:rPr>
        <w:t> </w:t>
      </w:r>
      <w:r>
        <w:rPr/>
        <w:t>program interventions.</w:t>
      </w:r>
      <w:r>
        <w:rPr>
          <w:spacing w:val="-1"/>
        </w:rPr>
        <w:t> </w:t>
      </w:r>
      <w:r>
        <w:rPr/>
        <w:t>The</w:t>
      </w:r>
      <w:r>
        <w:rPr>
          <w:spacing w:val="-1"/>
        </w:rPr>
        <w:t> </w:t>
      </w:r>
      <w:r>
        <w:rPr/>
        <w:t>Annual Homeless Assessment Report</w:t>
      </w:r>
      <w:r>
        <w:rPr>
          <w:spacing w:val="-1"/>
        </w:rPr>
        <w:t> </w:t>
      </w:r>
      <w:r>
        <w:rPr/>
        <w:t>(AHAR) released</w:t>
      </w:r>
      <w:r>
        <w:rPr>
          <w:spacing w:val="-1"/>
        </w:rPr>
        <w:t> </w:t>
      </w:r>
      <w:r>
        <w:rPr/>
        <w:t>in</w:t>
      </w:r>
      <w:r>
        <w:rPr>
          <w:spacing w:val="-1"/>
        </w:rPr>
        <w:t> </w:t>
      </w:r>
      <w:r>
        <w:rPr/>
        <w:t>2023 by the</w:t>
      </w:r>
    </w:p>
    <w:p>
      <w:pPr>
        <w:pStyle w:val="BodyText"/>
        <w:spacing w:line="276" w:lineRule="auto"/>
        <w:ind w:left="464" w:right="401"/>
        <w:jc w:val="both"/>
      </w:pPr>
      <w:r>
        <w:rPr/>
        <w:t>U.S. Department of Housing and Urban Development reported that at a single point in time, roughly 651,000 people were reported to be experiencing homelessness. This represents a 12% increase in homelessness from 2022 to 2023 nationally. Of this increase in homelessness, the report found that Massachusetts</w:t>
      </w:r>
      <w:r>
        <w:rPr>
          <w:spacing w:val="-5"/>
        </w:rPr>
        <w:t> </w:t>
      </w:r>
      <w:r>
        <w:rPr/>
        <w:t>was</w:t>
      </w:r>
      <w:r>
        <w:rPr>
          <w:spacing w:val="-5"/>
        </w:rPr>
        <w:t> </w:t>
      </w:r>
      <w:r>
        <w:rPr/>
        <w:t>ranked</w:t>
      </w:r>
      <w:r>
        <w:rPr>
          <w:spacing w:val="-4"/>
        </w:rPr>
        <w:t> </w:t>
      </w:r>
      <w:r>
        <w:rPr/>
        <w:t>one</w:t>
      </w:r>
      <w:r>
        <w:rPr>
          <w:spacing w:val="-6"/>
        </w:rPr>
        <w:t> </w:t>
      </w:r>
      <w:r>
        <w:rPr/>
        <w:t>of</w:t>
      </w:r>
      <w:r>
        <w:rPr>
          <w:spacing w:val="-4"/>
        </w:rPr>
        <w:t> </w:t>
      </w:r>
      <w:r>
        <w:rPr/>
        <w:t>the</w:t>
      </w:r>
      <w:r>
        <w:rPr>
          <w:spacing w:val="-4"/>
        </w:rPr>
        <w:t> </w:t>
      </w:r>
      <w:r>
        <w:rPr/>
        <w:t>top</w:t>
      </w:r>
      <w:r>
        <w:rPr>
          <w:spacing w:val="-6"/>
        </w:rPr>
        <w:t> </w:t>
      </w:r>
      <w:r>
        <w:rPr/>
        <w:t>4</w:t>
      </w:r>
      <w:r>
        <w:rPr>
          <w:spacing w:val="-5"/>
        </w:rPr>
        <w:t> </w:t>
      </w:r>
      <w:r>
        <w:rPr/>
        <w:t>states</w:t>
      </w:r>
      <w:r>
        <w:rPr>
          <w:spacing w:val="-5"/>
        </w:rPr>
        <w:t> </w:t>
      </w:r>
      <w:r>
        <w:rPr/>
        <w:t>with</w:t>
      </w:r>
      <w:r>
        <w:rPr>
          <w:spacing w:val="-6"/>
        </w:rPr>
        <w:t> </w:t>
      </w:r>
      <w:r>
        <w:rPr/>
        <w:t>the</w:t>
      </w:r>
      <w:r>
        <w:rPr>
          <w:spacing w:val="-6"/>
        </w:rPr>
        <w:t> </w:t>
      </w:r>
      <w:r>
        <w:rPr/>
        <w:t>largest</w:t>
      </w:r>
      <w:r>
        <w:rPr>
          <w:spacing w:val="-5"/>
        </w:rPr>
        <w:t> </w:t>
      </w:r>
      <w:r>
        <w:rPr/>
        <w:t>absolute</w:t>
      </w:r>
      <w:r>
        <w:rPr>
          <w:spacing w:val="-6"/>
        </w:rPr>
        <w:t> </w:t>
      </w:r>
      <w:r>
        <w:rPr/>
        <w:t>increase</w:t>
      </w:r>
      <w:r>
        <w:rPr>
          <w:spacing w:val="-6"/>
        </w:rPr>
        <w:t> </w:t>
      </w:r>
      <w:r>
        <w:rPr/>
        <w:t>(23%</w:t>
      </w:r>
      <w:r>
        <w:rPr>
          <w:spacing w:val="-5"/>
        </w:rPr>
        <w:t> </w:t>
      </w:r>
      <w:r>
        <w:rPr/>
        <w:t>increase)</w:t>
      </w:r>
      <w:r>
        <w:rPr>
          <w:spacing w:val="-5"/>
        </w:rPr>
        <w:t> </w:t>
      </w:r>
      <w:r>
        <w:rPr/>
        <w:t>in homelessness between 2022 and 2023, with the vast majority due to the increase in family homelessness, highlighting the critical need for Massachusetts legislators and policymakers to continue efforts in strengthening the Commonwealth’s infrastructure in combatting the family homelessness epidemic. Additionally, efforts to combat youth homelessness are also critical. From 2017(n=469) to 2023 (n=485) there was a 3% increase in unaccompanied youth homelessness in Massachusetts reported in the AHAR report.</w:t>
      </w:r>
      <w:hyperlink w:history="true" w:anchor="_bookmark274">
        <w:r>
          <w:rPr>
            <w:vertAlign w:val="superscript"/>
          </w:rPr>
          <w:t>1</w:t>
        </w:r>
      </w:hyperlink>
    </w:p>
    <w:p>
      <w:pPr>
        <w:pStyle w:val="BodyText"/>
        <w:spacing w:line="276" w:lineRule="auto" w:before="241"/>
        <w:ind w:left="463" w:right="400"/>
        <w:jc w:val="both"/>
      </w:pPr>
      <w:r>
        <w:rPr/>
        <w:t>Among</w:t>
      </w:r>
      <w:r>
        <w:rPr>
          <w:spacing w:val="-10"/>
        </w:rPr>
        <w:t> </w:t>
      </w:r>
      <w:r>
        <w:rPr/>
        <w:t>youth</w:t>
      </w:r>
      <w:r>
        <w:rPr>
          <w:spacing w:val="-10"/>
        </w:rPr>
        <w:t> </w:t>
      </w:r>
      <w:r>
        <w:rPr/>
        <w:t>demographics,</w:t>
      </w:r>
      <w:r>
        <w:rPr>
          <w:spacing w:val="-11"/>
        </w:rPr>
        <w:t> </w:t>
      </w:r>
      <w:r>
        <w:rPr/>
        <w:t>LGBTQ</w:t>
      </w:r>
      <w:r>
        <w:rPr>
          <w:spacing w:val="-11"/>
        </w:rPr>
        <w:t> </w:t>
      </w:r>
      <w:r>
        <w:rPr/>
        <w:t>youth</w:t>
      </w:r>
      <w:r>
        <w:rPr>
          <w:spacing w:val="-10"/>
        </w:rPr>
        <w:t> </w:t>
      </w:r>
      <w:r>
        <w:rPr/>
        <w:t>and</w:t>
      </w:r>
      <w:r>
        <w:rPr>
          <w:spacing w:val="-10"/>
        </w:rPr>
        <w:t> </w:t>
      </w:r>
      <w:r>
        <w:rPr/>
        <w:t>nonbinary</w:t>
      </w:r>
      <w:r>
        <w:rPr>
          <w:spacing w:val="-11"/>
        </w:rPr>
        <w:t> </w:t>
      </w:r>
      <w:r>
        <w:rPr/>
        <w:t>populations</w:t>
      </w:r>
      <w:r>
        <w:rPr>
          <w:spacing w:val="-11"/>
        </w:rPr>
        <w:t> </w:t>
      </w:r>
      <w:r>
        <w:rPr/>
        <w:t>face</w:t>
      </w:r>
      <w:r>
        <w:rPr>
          <w:spacing w:val="-10"/>
        </w:rPr>
        <w:t> </w:t>
      </w:r>
      <w:r>
        <w:rPr/>
        <w:t>high</w:t>
      </w:r>
      <w:r>
        <w:rPr>
          <w:spacing w:val="-9"/>
        </w:rPr>
        <w:t> </w:t>
      </w:r>
      <w:r>
        <w:rPr/>
        <w:t>risks</w:t>
      </w:r>
      <w:r>
        <w:rPr>
          <w:spacing w:val="-11"/>
        </w:rPr>
        <w:t> </w:t>
      </w:r>
      <w:r>
        <w:rPr/>
        <w:t>of</w:t>
      </w:r>
      <w:r>
        <w:rPr>
          <w:spacing w:val="-10"/>
        </w:rPr>
        <w:t> </w:t>
      </w:r>
      <w:r>
        <w:rPr/>
        <w:t>homelessness, with roughly 3.5 million young adults ages 18 to 25 experiencing homelessness in the United States annually.</w:t>
      </w:r>
      <w:hyperlink w:history="true" w:anchor="_bookmark275">
        <w:r>
          <w:rPr>
            <w:vertAlign w:val="superscript"/>
          </w:rPr>
          <w:t>2</w:t>
        </w:r>
      </w:hyperlink>
      <w:r>
        <w:rPr>
          <w:spacing w:val="-3"/>
          <w:vertAlign w:val="baseline"/>
        </w:rPr>
        <w:t> </w:t>
      </w:r>
      <w:r>
        <w:rPr>
          <w:vertAlign w:val="baseline"/>
        </w:rPr>
        <w:t>Notably, LGBTQ youth have intersecting challenges that contribute to the increased risk of experiencing homelessness, including discrimination, family rejection, lack of social support, and inadequate</w:t>
      </w:r>
      <w:r>
        <w:rPr>
          <w:spacing w:val="-10"/>
          <w:vertAlign w:val="baseline"/>
        </w:rPr>
        <w:t> </w:t>
      </w:r>
      <w:r>
        <w:rPr>
          <w:vertAlign w:val="baseline"/>
        </w:rPr>
        <w:t>community</w:t>
      </w:r>
      <w:r>
        <w:rPr>
          <w:spacing w:val="-11"/>
          <w:vertAlign w:val="baseline"/>
        </w:rPr>
        <w:t> </w:t>
      </w:r>
      <w:r>
        <w:rPr>
          <w:vertAlign w:val="baseline"/>
        </w:rPr>
        <w:t>services</w:t>
      </w:r>
      <w:r>
        <w:rPr>
          <w:spacing w:val="-11"/>
          <w:vertAlign w:val="baseline"/>
        </w:rPr>
        <w:t> </w:t>
      </w:r>
      <w:r>
        <w:rPr>
          <w:vertAlign w:val="baseline"/>
        </w:rPr>
        <w:t>that</w:t>
      </w:r>
      <w:r>
        <w:rPr>
          <w:spacing w:val="-11"/>
          <w:vertAlign w:val="baseline"/>
        </w:rPr>
        <w:t> </w:t>
      </w:r>
      <w:r>
        <w:rPr>
          <w:vertAlign w:val="baseline"/>
        </w:rPr>
        <w:t>often</w:t>
      </w:r>
      <w:r>
        <w:rPr>
          <w:spacing w:val="-12"/>
          <w:vertAlign w:val="baseline"/>
        </w:rPr>
        <w:t> </w:t>
      </w:r>
      <w:r>
        <w:rPr>
          <w:vertAlign w:val="baseline"/>
        </w:rPr>
        <w:t>fail</w:t>
      </w:r>
      <w:r>
        <w:rPr>
          <w:spacing w:val="-10"/>
          <w:vertAlign w:val="baseline"/>
        </w:rPr>
        <w:t> </w:t>
      </w:r>
      <w:r>
        <w:rPr>
          <w:vertAlign w:val="baseline"/>
        </w:rPr>
        <w:t>to</w:t>
      </w:r>
      <w:r>
        <w:rPr>
          <w:spacing w:val="-10"/>
          <w:vertAlign w:val="baseline"/>
        </w:rPr>
        <w:t> </w:t>
      </w:r>
      <w:r>
        <w:rPr>
          <w:vertAlign w:val="baseline"/>
        </w:rPr>
        <w:t>meet</w:t>
      </w:r>
      <w:r>
        <w:rPr>
          <w:spacing w:val="-11"/>
          <w:vertAlign w:val="baseline"/>
        </w:rPr>
        <w:t> </w:t>
      </w:r>
      <w:r>
        <w:rPr>
          <w:vertAlign w:val="baseline"/>
        </w:rPr>
        <w:t>the</w:t>
      </w:r>
      <w:r>
        <w:rPr>
          <w:spacing w:val="-10"/>
          <w:vertAlign w:val="baseline"/>
        </w:rPr>
        <w:t> </w:t>
      </w:r>
      <w:r>
        <w:rPr>
          <w:vertAlign w:val="baseline"/>
        </w:rPr>
        <w:t>unique</w:t>
      </w:r>
      <w:r>
        <w:rPr>
          <w:spacing w:val="-9"/>
          <w:vertAlign w:val="baseline"/>
        </w:rPr>
        <w:t> </w:t>
      </w:r>
      <w:r>
        <w:rPr>
          <w:vertAlign w:val="baseline"/>
        </w:rPr>
        <w:t>needs</w:t>
      </w:r>
      <w:r>
        <w:rPr>
          <w:spacing w:val="-10"/>
          <w:vertAlign w:val="baseline"/>
        </w:rPr>
        <w:t> </w:t>
      </w:r>
      <w:r>
        <w:rPr>
          <w:vertAlign w:val="baseline"/>
        </w:rPr>
        <w:t>of</w:t>
      </w:r>
      <w:r>
        <w:rPr>
          <w:spacing w:val="-11"/>
          <w:vertAlign w:val="baseline"/>
        </w:rPr>
        <w:t> </w:t>
      </w:r>
      <w:r>
        <w:rPr>
          <w:vertAlign w:val="baseline"/>
        </w:rPr>
        <w:t>LGBTQ</w:t>
      </w:r>
      <w:r>
        <w:rPr>
          <w:spacing w:val="-12"/>
          <w:vertAlign w:val="baseline"/>
        </w:rPr>
        <w:t> </w:t>
      </w:r>
      <w:r>
        <w:rPr>
          <w:vertAlign w:val="baseline"/>
        </w:rPr>
        <w:t>youth</w:t>
      </w:r>
      <w:r>
        <w:rPr>
          <w:spacing w:val="-10"/>
          <w:vertAlign w:val="baseline"/>
        </w:rPr>
        <w:t> </w:t>
      </w:r>
      <w:r>
        <w:rPr>
          <w:vertAlign w:val="baseline"/>
        </w:rPr>
        <w:t>populations.</w:t>
      </w:r>
      <w:hyperlink w:history="true" w:anchor="_bookmark276">
        <w:r>
          <w:rPr>
            <w:vertAlign w:val="superscript"/>
          </w:rPr>
          <w:t>3</w:t>
        </w:r>
      </w:hyperlink>
    </w:p>
    <w:p>
      <w:pPr>
        <w:pStyle w:val="BodyText"/>
        <w:spacing w:line="276" w:lineRule="auto" w:before="240"/>
        <w:ind w:left="464" w:right="399"/>
        <w:jc w:val="both"/>
      </w:pPr>
      <w:r>
        <w:rPr/>
        <w:t>Currently, there is no single definition of youth homelessness defined federally, making it difficult to assess the extent of youth homelessness and develop appropriate responses and resources.</w:t>
      </w:r>
      <w:hyperlink w:history="true" w:anchor="_bookmark277">
        <w:r>
          <w:rPr>
            <w:vertAlign w:val="superscript"/>
          </w:rPr>
          <w:t>4</w:t>
        </w:r>
      </w:hyperlink>
      <w:r>
        <w:rPr>
          <w:spacing w:val="-3"/>
          <w:vertAlign w:val="baseline"/>
        </w:rPr>
        <w:t> </w:t>
      </w:r>
      <w:r>
        <w:rPr>
          <w:vertAlign w:val="baseline"/>
        </w:rPr>
        <w:t>For this report, the Commission has defined LGBTQ youth as individuals under the age of 25 who identify as lesbian, gay, bisexual, transgender, queer, questioning, and nonbinary. Additionally, the Commission has utilized the Massachusetts Unaccompanied Homeless Youth Commission’s definition of youth homelessness.</w:t>
      </w:r>
      <w:r>
        <w:rPr>
          <w:spacing w:val="-13"/>
          <w:vertAlign w:val="baseline"/>
        </w:rPr>
        <w:t> </w:t>
      </w:r>
      <w:r>
        <w:rPr>
          <w:vertAlign w:val="baseline"/>
        </w:rPr>
        <w:t>This</w:t>
      </w:r>
      <w:r>
        <w:rPr>
          <w:spacing w:val="-10"/>
          <w:vertAlign w:val="baseline"/>
        </w:rPr>
        <w:t> </w:t>
      </w:r>
      <w:r>
        <w:rPr>
          <w:vertAlign w:val="baseline"/>
        </w:rPr>
        <w:t>definition</w:t>
      </w:r>
      <w:r>
        <w:rPr>
          <w:spacing w:val="-13"/>
          <w:vertAlign w:val="baseline"/>
        </w:rPr>
        <w:t> </w:t>
      </w:r>
      <w:r>
        <w:rPr>
          <w:vertAlign w:val="baseline"/>
        </w:rPr>
        <w:t>states</w:t>
      </w:r>
      <w:r>
        <w:rPr>
          <w:spacing w:val="-10"/>
          <w:vertAlign w:val="baseline"/>
        </w:rPr>
        <w:t> </w:t>
      </w:r>
      <w:r>
        <w:rPr>
          <w:vertAlign w:val="baseline"/>
        </w:rPr>
        <w:t>that</w:t>
      </w:r>
      <w:r>
        <w:rPr>
          <w:spacing w:val="-12"/>
          <w:vertAlign w:val="baseline"/>
        </w:rPr>
        <w:t> </w:t>
      </w:r>
      <w:r>
        <w:rPr>
          <w:vertAlign w:val="baseline"/>
        </w:rPr>
        <w:t>youth</w:t>
      </w:r>
      <w:r>
        <w:rPr>
          <w:spacing w:val="-11"/>
          <w:vertAlign w:val="baseline"/>
        </w:rPr>
        <w:t> </w:t>
      </w:r>
      <w:r>
        <w:rPr>
          <w:vertAlign w:val="baseline"/>
        </w:rPr>
        <w:t>experiencing</w:t>
      </w:r>
      <w:r>
        <w:rPr>
          <w:spacing w:val="-11"/>
          <w:vertAlign w:val="baseline"/>
        </w:rPr>
        <w:t> </w:t>
      </w:r>
      <w:r>
        <w:rPr>
          <w:vertAlign w:val="baseline"/>
        </w:rPr>
        <w:t>homelessness</w:t>
      </w:r>
      <w:r>
        <w:rPr>
          <w:spacing w:val="-12"/>
          <w:vertAlign w:val="baseline"/>
        </w:rPr>
        <w:t> </w:t>
      </w:r>
      <w:r>
        <w:rPr>
          <w:vertAlign w:val="baseline"/>
        </w:rPr>
        <w:t>are</w:t>
      </w:r>
      <w:r>
        <w:rPr>
          <w:spacing w:val="-13"/>
          <w:vertAlign w:val="baseline"/>
        </w:rPr>
        <w:t> </w:t>
      </w:r>
      <w:r>
        <w:rPr>
          <w:vertAlign w:val="baseline"/>
        </w:rPr>
        <w:t>individuals</w:t>
      </w:r>
      <w:r>
        <w:rPr>
          <w:spacing w:val="-11"/>
          <w:vertAlign w:val="baseline"/>
        </w:rPr>
        <w:t> </w:t>
      </w:r>
      <w:r>
        <w:rPr>
          <w:vertAlign w:val="baseline"/>
        </w:rPr>
        <w:t>who</w:t>
      </w:r>
      <w:r>
        <w:rPr>
          <w:spacing w:val="-12"/>
          <w:vertAlign w:val="baseline"/>
        </w:rPr>
        <w:t> </w:t>
      </w:r>
      <w:r>
        <w:rPr>
          <w:vertAlign w:val="baseline"/>
        </w:rPr>
        <w:t>are</w:t>
      </w:r>
      <w:r>
        <w:rPr>
          <w:spacing w:val="-11"/>
          <w:vertAlign w:val="baseline"/>
        </w:rPr>
        <w:t> </w:t>
      </w:r>
      <w:r>
        <w:rPr>
          <w:vertAlign w:val="baseline"/>
        </w:rPr>
        <w:t>not in the physical custody of a parent or legal guardian, and who lack a fixed, regular, and adequate nighttime residence.</w:t>
      </w:r>
      <w:hyperlink w:history="true" w:anchor="_bookmark278">
        <w:r>
          <w:rPr>
            <w:vertAlign w:val="superscript"/>
          </w:rPr>
          <w:t>5</w:t>
        </w:r>
      </w:hyperlink>
    </w:p>
    <w:p>
      <w:pPr>
        <w:pStyle w:val="BodyText"/>
        <w:spacing w:line="276" w:lineRule="auto" w:before="239"/>
        <w:ind w:left="464" w:right="401"/>
        <w:jc w:val="both"/>
      </w:pPr>
      <w:r>
        <w:rPr/>
        <w:t>This section provides an understanding of LGBTQ youth homelessness in the Commonwealth of Massachusetts</w:t>
      </w:r>
      <w:r>
        <w:rPr>
          <w:spacing w:val="-9"/>
        </w:rPr>
        <w:t> </w:t>
      </w:r>
      <w:r>
        <w:rPr/>
        <w:t>and</w:t>
      </w:r>
      <w:r>
        <w:rPr>
          <w:spacing w:val="-9"/>
        </w:rPr>
        <w:t> </w:t>
      </w:r>
      <w:r>
        <w:rPr/>
        <w:t>includes</w:t>
      </w:r>
      <w:r>
        <w:rPr>
          <w:spacing w:val="-9"/>
        </w:rPr>
        <w:t> </w:t>
      </w:r>
      <w:r>
        <w:rPr/>
        <w:t>legislative</w:t>
      </w:r>
      <w:r>
        <w:rPr>
          <w:spacing w:val="-9"/>
        </w:rPr>
        <w:t> </w:t>
      </w:r>
      <w:r>
        <w:rPr/>
        <w:t>priorities</w:t>
      </w:r>
      <w:r>
        <w:rPr>
          <w:spacing w:val="-9"/>
        </w:rPr>
        <w:t> </w:t>
      </w:r>
      <w:r>
        <w:rPr/>
        <w:t>and</w:t>
      </w:r>
      <w:r>
        <w:rPr>
          <w:spacing w:val="-9"/>
        </w:rPr>
        <w:t> </w:t>
      </w:r>
      <w:r>
        <w:rPr/>
        <w:t>recommendations</w:t>
      </w:r>
      <w:r>
        <w:rPr>
          <w:spacing w:val="-9"/>
        </w:rPr>
        <w:t> </w:t>
      </w:r>
      <w:r>
        <w:rPr/>
        <w:t>defined</w:t>
      </w:r>
      <w:r>
        <w:rPr>
          <w:spacing w:val="-9"/>
        </w:rPr>
        <w:t> </w:t>
      </w:r>
      <w:r>
        <w:rPr/>
        <w:t>by</w:t>
      </w:r>
      <w:r>
        <w:rPr>
          <w:spacing w:val="-9"/>
        </w:rPr>
        <w:t> </w:t>
      </w:r>
      <w:r>
        <w:rPr/>
        <w:t>the</w:t>
      </w:r>
      <w:r>
        <w:rPr>
          <w:spacing w:val="-9"/>
        </w:rPr>
        <w:t> </w:t>
      </w:r>
      <w:r>
        <w:rPr/>
        <w:t>Commission</w:t>
      </w:r>
      <w:r>
        <w:rPr>
          <w:spacing w:val="-9"/>
        </w:rPr>
        <w:t> </w:t>
      </w:r>
      <w:r>
        <w:rPr/>
        <w:t>on LGBTQ Youth to support the goal of eradicating youth homelessness in the Commonwealth.</w:t>
      </w:r>
    </w:p>
    <w:p>
      <w:pPr>
        <w:spacing w:before="240"/>
        <w:ind w:left="464" w:right="0" w:firstLine="0"/>
        <w:jc w:val="both"/>
        <w:rPr>
          <w:sz w:val="28"/>
        </w:rPr>
      </w:pPr>
      <w:bookmarkStart w:name="Recommendations for Addressing Youth Hom" w:id="483"/>
      <w:bookmarkEnd w:id="483"/>
      <w:r>
        <w:rPr/>
      </w:r>
      <w:r>
        <w:rPr>
          <w:color w:val="365F91"/>
          <w:sz w:val="28"/>
        </w:rPr>
        <w:t>Recommendations</w:t>
      </w:r>
      <w:r>
        <w:rPr>
          <w:color w:val="365F91"/>
          <w:spacing w:val="-15"/>
          <w:sz w:val="28"/>
        </w:rPr>
        <w:t> </w:t>
      </w:r>
      <w:r>
        <w:rPr>
          <w:color w:val="365F91"/>
          <w:sz w:val="28"/>
        </w:rPr>
        <w:t>for</w:t>
      </w:r>
      <w:r>
        <w:rPr>
          <w:color w:val="365F91"/>
          <w:spacing w:val="-14"/>
          <w:sz w:val="28"/>
        </w:rPr>
        <w:t> </w:t>
      </w:r>
      <w:r>
        <w:rPr>
          <w:color w:val="365F91"/>
          <w:sz w:val="28"/>
        </w:rPr>
        <w:t>Addressing</w:t>
      </w:r>
      <w:r>
        <w:rPr>
          <w:color w:val="365F91"/>
          <w:spacing w:val="-15"/>
          <w:sz w:val="28"/>
        </w:rPr>
        <w:t> </w:t>
      </w:r>
      <w:r>
        <w:rPr>
          <w:color w:val="365F91"/>
          <w:sz w:val="28"/>
        </w:rPr>
        <w:t>Youth</w:t>
      </w:r>
      <w:r>
        <w:rPr>
          <w:color w:val="365F91"/>
          <w:spacing w:val="-14"/>
          <w:sz w:val="28"/>
        </w:rPr>
        <w:t> </w:t>
      </w:r>
      <w:r>
        <w:rPr>
          <w:color w:val="365F91"/>
          <w:sz w:val="28"/>
        </w:rPr>
        <w:t>Homelessness</w:t>
      </w:r>
      <w:r>
        <w:rPr>
          <w:color w:val="365F91"/>
          <w:spacing w:val="-14"/>
          <w:sz w:val="28"/>
        </w:rPr>
        <w:t> </w:t>
      </w:r>
      <w:r>
        <w:rPr>
          <w:color w:val="365F91"/>
          <w:sz w:val="28"/>
        </w:rPr>
        <w:t>and</w:t>
      </w:r>
      <w:r>
        <w:rPr>
          <w:color w:val="365F91"/>
          <w:spacing w:val="-13"/>
          <w:sz w:val="28"/>
        </w:rPr>
        <w:t> </w:t>
      </w:r>
      <w:r>
        <w:rPr>
          <w:color w:val="365F91"/>
          <w:sz w:val="28"/>
        </w:rPr>
        <w:t>Housing</w:t>
      </w:r>
      <w:r>
        <w:rPr>
          <w:color w:val="365F91"/>
          <w:spacing w:val="-14"/>
          <w:sz w:val="28"/>
        </w:rPr>
        <w:t> </w:t>
      </w:r>
      <w:r>
        <w:rPr>
          <w:color w:val="365F91"/>
          <w:spacing w:val="-2"/>
          <w:sz w:val="28"/>
        </w:rPr>
        <w:t>Insecurity</w:t>
      </w:r>
    </w:p>
    <w:p>
      <w:pPr>
        <w:pStyle w:val="BodyText"/>
        <w:spacing w:before="9"/>
        <w:rPr>
          <w:sz w:val="3"/>
        </w:rPr>
      </w:pPr>
      <w:r>
        <w:rPr/>
        <mc:AlternateContent>
          <mc:Choice Requires="wps">
            <w:drawing>
              <wp:anchor distT="0" distB="0" distL="0" distR="0" allowOverlap="1" layoutInCell="1" locked="0" behindDoc="1" simplePos="0" relativeHeight="487654912">
                <wp:simplePos x="0" y="0"/>
                <wp:positionH relativeFrom="page">
                  <wp:posOffset>986789</wp:posOffset>
                </wp:positionH>
                <wp:positionV relativeFrom="paragraph">
                  <wp:posOffset>44757</wp:posOffset>
                </wp:positionV>
                <wp:extent cx="5799455" cy="6350"/>
                <wp:effectExtent l="0" t="0" r="0" b="0"/>
                <wp:wrapTopAndBottom/>
                <wp:docPr id="363" name="Graphic 363"/>
                <wp:cNvGraphicFramePr>
                  <a:graphicFrameLocks/>
                </wp:cNvGraphicFramePr>
                <a:graphic>
                  <a:graphicData uri="http://schemas.microsoft.com/office/word/2010/wordprocessingShape">
                    <wps:wsp>
                      <wps:cNvPr id="363" name="Graphic 363"/>
                      <wps:cNvSpPr/>
                      <wps:spPr>
                        <a:xfrm>
                          <a:off x="0" y="0"/>
                          <a:ext cx="5799455" cy="6350"/>
                        </a:xfrm>
                        <a:custGeom>
                          <a:avLst/>
                          <a:gdLst/>
                          <a:ahLst/>
                          <a:cxnLst/>
                          <a:rect l="l" t="t" r="r" b="b"/>
                          <a:pathLst>
                            <a:path w="5799455" h="6350">
                              <a:moveTo>
                                <a:pt x="5798832" y="0"/>
                              </a:moveTo>
                              <a:lnTo>
                                <a:pt x="0" y="0"/>
                              </a:lnTo>
                              <a:lnTo>
                                <a:pt x="0" y="6108"/>
                              </a:lnTo>
                              <a:lnTo>
                                <a:pt x="5798832" y="6108"/>
                              </a:lnTo>
                              <a:lnTo>
                                <a:pt x="5798832" y="0"/>
                              </a:lnTo>
                              <a:close/>
                            </a:path>
                          </a:pathLst>
                        </a:custGeom>
                        <a:solidFill>
                          <a:srgbClr val="4F81BC"/>
                        </a:solidFill>
                      </wps:spPr>
                      <wps:bodyPr wrap="square" lIns="0" tIns="0" rIns="0" bIns="0" rtlCol="0">
                        <a:prstTxWarp prst="textNoShape">
                          <a:avLst/>
                        </a:prstTxWarp>
                        <a:noAutofit/>
                      </wps:bodyPr>
                    </wps:wsp>
                  </a:graphicData>
                </a:graphic>
              </wp:anchor>
            </w:drawing>
          </mc:Choice>
          <mc:Fallback>
            <w:pict>
              <v:rect style="position:absolute;margin-left:77.699997pt;margin-top:3.524215pt;width:456.601pt;height:.481pt;mso-position-horizontal-relative:page;mso-position-vertical-relative:paragraph;z-index:-15661568;mso-wrap-distance-left:0;mso-wrap-distance-right:0" id="docshape290" filled="true" fillcolor="#4f81bc" stroked="false">
                <v:fill type="solid"/>
                <w10:wrap type="topAndBottom"/>
              </v:rect>
            </w:pict>
          </mc:Fallback>
        </mc:AlternateContent>
      </w:r>
    </w:p>
    <w:p>
      <w:pPr>
        <w:pStyle w:val="BodyText"/>
        <w:spacing w:line="276" w:lineRule="auto" w:before="241"/>
        <w:ind w:left="464"/>
      </w:pPr>
      <w:r>
        <w:rPr/>
        <w:t>The</w:t>
      </w:r>
      <w:r>
        <w:rPr>
          <w:spacing w:val="-9"/>
        </w:rPr>
        <w:t> </w:t>
      </w:r>
      <w:r>
        <w:rPr/>
        <w:t>Commission</w:t>
      </w:r>
      <w:r>
        <w:rPr>
          <w:spacing w:val="-9"/>
        </w:rPr>
        <w:t> </w:t>
      </w:r>
      <w:r>
        <w:rPr/>
        <w:t>has</w:t>
      </w:r>
      <w:r>
        <w:rPr>
          <w:spacing w:val="-9"/>
        </w:rPr>
        <w:t> </w:t>
      </w:r>
      <w:r>
        <w:rPr/>
        <w:t>proposed</w:t>
      </w:r>
      <w:r>
        <w:rPr>
          <w:spacing w:val="-9"/>
        </w:rPr>
        <w:t> </w:t>
      </w:r>
      <w:r>
        <w:rPr/>
        <w:t>the</w:t>
      </w:r>
      <w:r>
        <w:rPr>
          <w:spacing w:val="-9"/>
        </w:rPr>
        <w:t> </w:t>
      </w:r>
      <w:r>
        <w:rPr/>
        <w:t>following</w:t>
      </w:r>
      <w:r>
        <w:rPr>
          <w:spacing w:val="-9"/>
        </w:rPr>
        <w:t> </w:t>
      </w:r>
      <w:r>
        <w:rPr/>
        <w:t>recommendations</w:t>
      </w:r>
      <w:r>
        <w:rPr>
          <w:spacing w:val="-8"/>
        </w:rPr>
        <w:t> </w:t>
      </w:r>
      <w:r>
        <w:rPr/>
        <w:t>based</w:t>
      </w:r>
      <w:r>
        <w:rPr>
          <w:spacing w:val="-9"/>
        </w:rPr>
        <w:t> </w:t>
      </w:r>
      <w:r>
        <w:rPr/>
        <w:t>on</w:t>
      </w:r>
      <w:r>
        <w:rPr>
          <w:spacing w:val="-9"/>
        </w:rPr>
        <w:t> </w:t>
      </w:r>
      <w:r>
        <w:rPr/>
        <w:t>the</w:t>
      </w:r>
      <w:r>
        <w:rPr>
          <w:spacing w:val="-9"/>
        </w:rPr>
        <w:t> </w:t>
      </w:r>
      <w:r>
        <w:rPr/>
        <w:t>evidence-based</w:t>
      </w:r>
      <w:r>
        <w:rPr>
          <w:spacing w:val="-9"/>
        </w:rPr>
        <w:t> </w:t>
      </w:r>
      <w:r>
        <w:rPr/>
        <w:t>research conducted</w:t>
      </w:r>
      <w:r>
        <w:rPr>
          <w:spacing w:val="-3"/>
        </w:rPr>
        <w:t> </w:t>
      </w:r>
      <w:r>
        <w:rPr/>
        <w:t>to</w:t>
      </w:r>
      <w:r>
        <w:rPr>
          <w:spacing w:val="-4"/>
        </w:rPr>
        <w:t> </w:t>
      </w:r>
      <w:r>
        <w:rPr/>
        <w:t>better</w:t>
      </w:r>
      <w:r>
        <w:rPr>
          <w:spacing w:val="-3"/>
        </w:rPr>
        <w:t> </w:t>
      </w:r>
      <w:r>
        <w:rPr/>
        <w:t>meet</w:t>
      </w:r>
      <w:r>
        <w:rPr>
          <w:spacing w:val="-2"/>
        </w:rPr>
        <w:t> </w:t>
      </w:r>
      <w:r>
        <w:rPr/>
        <w:t>the</w:t>
      </w:r>
      <w:r>
        <w:rPr>
          <w:spacing w:val="-3"/>
        </w:rPr>
        <w:t> </w:t>
      </w:r>
      <w:r>
        <w:rPr/>
        <w:t>needs</w:t>
      </w:r>
      <w:r>
        <w:rPr>
          <w:spacing w:val="-4"/>
        </w:rPr>
        <w:t> </w:t>
      </w:r>
      <w:r>
        <w:rPr/>
        <w:t>of</w:t>
      </w:r>
      <w:r>
        <w:rPr>
          <w:spacing w:val="-3"/>
        </w:rPr>
        <w:t> </w:t>
      </w:r>
      <w:r>
        <w:rPr/>
        <w:t>the</w:t>
      </w:r>
      <w:r>
        <w:rPr>
          <w:spacing w:val="-3"/>
        </w:rPr>
        <w:t> </w:t>
      </w:r>
      <w:r>
        <w:rPr/>
        <w:t>LGBTQ</w:t>
      </w:r>
      <w:r>
        <w:rPr>
          <w:spacing w:val="-5"/>
        </w:rPr>
        <w:t> </w:t>
      </w:r>
      <w:r>
        <w:rPr/>
        <w:t>youth</w:t>
      </w:r>
      <w:r>
        <w:rPr>
          <w:spacing w:val="-4"/>
        </w:rPr>
        <w:t> </w:t>
      </w:r>
      <w:r>
        <w:rPr/>
        <w:t>homelessness</w:t>
      </w:r>
      <w:r>
        <w:rPr>
          <w:spacing w:val="-4"/>
        </w:rPr>
        <w:t> </w:t>
      </w:r>
      <w:r>
        <w:rPr/>
        <w:t>population.</w:t>
      </w:r>
      <w:r>
        <w:rPr>
          <w:spacing w:val="-4"/>
        </w:rPr>
        <w:t> </w:t>
      </w:r>
      <w:r>
        <w:rPr/>
        <w:t>The</w:t>
      </w:r>
      <w:r>
        <w:rPr>
          <w:spacing w:val="-3"/>
        </w:rPr>
        <w:t> </w:t>
      </w:r>
      <w:r>
        <w:rPr/>
        <w:t>goal</w:t>
      </w:r>
      <w:r>
        <w:rPr>
          <w:spacing w:val="-3"/>
        </w:rPr>
        <w:t> </w:t>
      </w:r>
      <w:r>
        <w:rPr/>
        <w:t>of</w:t>
      </w:r>
      <w:r>
        <w:rPr>
          <w:spacing w:val="-4"/>
        </w:rPr>
        <w:t> </w:t>
      </w:r>
      <w:r>
        <w:rPr>
          <w:spacing w:val="-2"/>
        </w:rPr>
        <w:t>these</w:t>
      </w:r>
    </w:p>
    <w:p>
      <w:pPr>
        <w:spacing w:after="0" w:line="276" w:lineRule="auto"/>
        <w:sectPr>
          <w:headerReference w:type="default" r:id="rId440"/>
          <w:footerReference w:type="default" r:id="rId441"/>
          <w:pgSz w:w="12240" w:h="15840"/>
          <w:pgMar w:header="765" w:footer="1127" w:top="1280" w:bottom="1320" w:left="1120" w:right="1180"/>
          <w:pgNumType w:start="145"/>
        </w:sectPr>
      </w:pPr>
    </w:p>
    <w:p>
      <w:pPr>
        <w:pStyle w:val="BodyText"/>
        <w:spacing w:line="276" w:lineRule="auto" w:before="91"/>
        <w:ind w:left="464" w:right="402"/>
        <w:jc w:val="both"/>
      </w:pPr>
      <w:r>
        <w:rPr/>
        <w:t>recommendations is to integrate strategic measures and approaches for individuals, families, communities, and institutions while being aware of the intersectionality of vulnerable population identities including race, ethnicity, sexual orientation, gender identity, and gender expression.</w:t>
      </w:r>
    </w:p>
    <w:p>
      <w:pPr>
        <w:pStyle w:val="BodyText"/>
        <w:spacing w:line="276" w:lineRule="auto" w:before="241"/>
        <w:ind w:left="464" w:right="402"/>
        <w:jc w:val="both"/>
      </w:pPr>
      <w:r>
        <w:rPr/>
        <w:t>The</w:t>
      </w:r>
      <w:r>
        <w:rPr>
          <w:spacing w:val="-8"/>
        </w:rPr>
        <w:t> </w:t>
      </w:r>
      <w:r>
        <w:rPr/>
        <w:t>Commission</w:t>
      </w:r>
      <w:r>
        <w:rPr>
          <w:spacing w:val="-8"/>
        </w:rPr>
        <w:t> </w:t>
      </w:r>
      <w:r>
        <w:rPr/>
        <w:t>understands</w:t>
      </w:r>
      <w:r>
        <w:rPr>
          <w:spacing w:val="-7"/>
        </w:rPr>
        <w:t> </w:t>
      </w:r>
      <w:r>
        <w:rPr/>
        <w:t>that</w:t>
      </w:r>
      <w:r>
        <w:rPr>
          <w:spacing w:val="-7"/>
        </w:rPr>
        <w:t> </w:t>
      </w:r>
      <w:r>
        <w:rPr/>
        <w:t>the</w:t>
      </w:r>
      <w:r>
        <w:rPr>
          <w:spacing w:val="-5"/>
        </w:rPr>
        <w:t> </w:t>
      </w:r>
      <w:r>
        <w:rPr/>
        <w:t>partnership</w:t>
      </w:r>
      <w:r>
        <w:rPr>
          <w:spacing w:val="-7"/>
        </w:rPr>
        <w:t> </w:t>
      </w:r>
      <w:r>
        <w:rPr/>
        <w:t>and</w:t>
      </w:r>
      <w:r>
        <w:rPr>
          <w:spacing w:val="-8"/>
        </w:rPr>
        <w:t> </w:t>
      </w:r>
      <w:r>
        <w:rPr/>
        <w:t>support</w:t>
      </w:r>
      <w:r>
        <w:rPr>
          <w:spacing w:val="-8"/>
        </w:rPr>
        <w:t> </w:t>
      </w:r>
      <w:r>
        <w:rPr/>
        <w:t>from</w:t>
      </w:r>
      <w:r>
        <w:rPr>
          <w:spacing w:val="-8"/>
        </w:rPr>
        <w:t> </w:t>
      </w:r>
      <w:r>
        <w:rPr/>
        <w:t>Governor</w:t>
      </w:r>
      <w:r>
        <w:rPr>
          <w:spacing w:val="-6"/>
        </w:rPr>
        <w:t> </w:t>
      </w:r>
      <w:r>
        <w:rPr/>
        <w:t>Healey,</w:t>
      </w:r>
      <w:r>
        <w:rPr>
          <w:spacing w:val="-6"/>
        </w:rPr>
        <w:t> </w:t>
      </w:r>
      <w:r>
        <w:rPr/>
        <w:t>the</w:t>
      </w:r>
      <w:r>
        <w:rPr>
          <w:spacing w:val="-6"/>
        </w:rPr>
        <w:t> </w:t>
      </w:r>
      <w:r>
        <w:rPr/>
        <w:t>legislature, and other policymakers in the Commonwealth are key to implementing programs and initiatives that work to improve the resources and services offered to LGBTQ youth experiencing homelessness. The recommendations from the Commission include:</w:t>
      </w:r>
    </w:p>
    <w:p>
      <w:pPr>
        <w:numPr>
          <w:ilvl w:val="0"/>
          <w:numId w:val="24"/>
        </w:numPr>
        <w:tabs>
          <w:tab w:pos="461" w:val="left" w:leader="none"/>
        </w:tabs>
        <w:spacing w:before="239"/>
        <w:ind w:left="461" w:right="0" w:hanging="358"/>
        <w:jc w:val="left"/>
        <w:rPr>
          <w:b/>
          <w:sz w:val="22"/>
        </w:rPr>
      </w:pPr>
      <w:r>
        <w:rPr>
          <w:b/>
          <w:sz w:val="22"/>
        </w:rPr>
        <w:t>Improving</w:t>
      </w:r>
      <w:r>
        <w:rPr>
          <w:b/>
          <w:spacing w:val="-10"/>
          <w:sz w:val="22"/>
        </w:rPr>
        <w:t> </w:t>
      </w:r>
      <w:r>
        <w:rPr>
          <w:b/>
          <w:sz w:val="22"/>
        </w:rPr>
        <w:t>access</w:t>
      </w:r>
      <w:r>
        <w:rPr>
          <w:b/>
          <w:spacing w:val="-9"/>
          <w:sz w:val="22"/>
        </w:rPr>
        <w:t> </w:t>
      </w:r>
      <w:r>
        <w:rPr>
          <w:b/>
          <w:sz w:val="22"/>
        </w:rPr>
        <w:t>to</w:t>
      </w:r>
      <w:r>
        <w:rPr>
          <w:b/>
          <w:spacing w:val="-10"/>
          <w:sz w:val="22"/>
        </w:rPr>
        <w:t> </w:t>
      </w:r>
      <w:r>
        <w:rPr>
          <w:b/>
          <w:sz w:val="22"/>
        </w:rPr>
        <w:t>state</w:t>
      </w:r>
      <w:r>
        <w:rPr>
          <w:b/>
          <w:spacing w:val="-8"/>
          <w:sz w:val="22"/>
        </w:rPr>
        <w:t> </w:t>
      </w:r>
      <w:r>
        <w:rPr>
          <w:b/>
          <w:sz w:val="22"/>
        </w:rPr>
        <w:t>IDs</w:t>
      </w:r>
      <w:r>
        <w:rPr>
          <w:b/>
          <w:spacing w:val="-10"/>
          <w:sz w:val="22"/>
        </w:rPr>
        <w:t> </w:t>
      </w:r>
      <w:r>
        <w:rPr>
          <w:b/>
          <w:sz w:val="22"/>
        </w:rPr>
        <w:t>for</w:t>
      </w:r>
      <w:r>
        <w:rPr>
          <w:b/>
          <w:spacing w:val="-10"/>
          <w:sz w:val="22"/>
        </w:rPr>
        <w:t> </w:t>
      </w:r>
      <w:r>
        <w:rPr>
          <w:b/>
          <w:sz w:val="22"/>
        </w:rPr>
        <w:t>youth</w:t>
      </w:r>
      <w:r>
        <w:rPr>
          <w:b/>
          <w:spacing w:val="-9"/>
          <w:sz w:val="22"/>
        </w:rPr>
        <w:t> </w:t>
      </w:r>
      <w:r>
        <w:rPr>
          <w:b/>
          <w:sz w:val="22"/>
        </w:rPr>
        <w:t>experiencing</w:t>
      </w:r>
      <w:r>
        <w:rPr>
          <w:b/>
          <w:spacing w:val="-9"/>
          <w:sz w:val="22"/>
        </w:rPr>
        <w:t> </w:t>
      </w:r>
      <w:r>
        <w:rPr>
          <w:b/>
          <w:sz w:val="22"/>
        </w:rPr>
        <w:t>homelessness</w:t>
      </w:r>
      <w:r>
        <w:rPr>
          <w:b/>
          <w:spacing w:val="-10"/>
          <w:sz w:val="22"/>
        </w:rPr>
        <w:t> </w:t>
      </w:r>
      <w:r>
        <w:rPr>
          <w:b/>
          <w:sz w:val="22"/>
        </w:rPr>
        <w:t>and</w:t>
      </w:r>
      <w:r>
        <w:rPr>
          <w:b/>
          <w:spacing w:val="-10"/>
          <w:sz w:val="22"/>
        </w:rPr>
        <w:t> </w:t>
      </w:r>
      <w:r>
        <w:rPr>
          <w:b/>
          <w:sz w:val="22"/>
        </w:rPr>
        <w:t>gender-expansive</w:t>
      </w:r>
      <w:r>
        <w:rPr>
          <w:b/>
          <w:spacing w:val="-9"/>
          <w:sz w:val="22"/>
        </w:rPr>
        <w:t> </w:t>
      </w:r>
      <w:r>
        <w:rPr>
          <w:b/>
          <w:spacing w:val="-2"/>
          <w:sz w:val="22"/>
        </w:rPr>
        <w:t>youth.</w:t>
      </w:r>
    </w:p>
    <w:p>
      <w:pPr>
        <w:pStyle w:val="BodyText"/>
        <w:spacing w:before="11"/>
        <w:rPr>
          <w:b/>
        </w:rPr>
      </w:pPr>
    </w:p>
    <w:p>
      <w:pPr>
        <w:pStyle w:val="BodyText"/>
        <w:spacing w:line="276" w:lineRule="auto"/>
        <w:ind w:left="463" w:right="401"/>
        <w:jc w:val="both"/>
      </w:pPr>
      <w:r>
        <w:rPr/>
        <w:t>Analysis</w:t>
      </w:r>
      <w:r>
        <w:rPr>
          <w:spacing w:val="-13"/>
        </w:rPr>
        <w:t> </w:t>
      </w:r>
      <w:r>
        <w:rPr/>
        <w:t>conducted</w:t>
      </w:r>
      <w:r>
        <w:rPr>
          <w:spacing w:val="-12"/>
        </w:rPr>
        <w:t> </w:t>
      </w:r>
      <w:r>
        <w:rPr/>
        <w:t>by</w:t>
      </w:r>
      <w:r>
        <w:rPr>
          <w:spacing w:val="-13"/>
        </w:rPr>
        <w:t> </w:t>
      </w:r>
      <w:r>
        <w:rPr/>
        <w:t>the</w:t>
      </w:r>
      <w:r>
        <w:rPr>
          <w:spacing w:val="-12"/>
        </w:rPr>
        <w:t> </w:t>
      </w:r>
      <w:r>
        <w:rPr/>
        <w:t>Massachusetts</w:t>
      </w:r>
      <w:r>
        <w:rPr>
          <w:spacing w:val="-13"/>
        </w:rPr>
        <w:t> </w:t>
      </w:r>
      <w:r>
        <w:rPr/>
        <w:t>Coalition</w:t>
      </w:r>
      <w:r>
        <w:rPr>
          <w:spacing w:val="-12"/>
        </w:rPr>
        <w:t> </w:t>
      </w:r>
      <w:r>
        <w:rPr/>
        <w:t>for</w:t>
      </w:r>
      <w:r>
        <w:rPr>
          <w:spacing w:val="-13"/>
        </w:rPr>
        <w:t> </w:t>
      </w:r>
      <w:r>
        <w:rPr/>
        <w:t>the</w:t>
      </w:r>
      <w:r>
        <w:rPr>
          <w:spacing w:val="-12"/>
        </w:rPr>
        <w:t> </w:t>
      </w:r>
      <w:r>
        <w:rPr/>
        <w:t>Homeless</w:t>
      </w:r>
      <w:r>
        <w:rPr>
          <w:spacing w:val="-12"/>
        </w:rPr>
        <w:t> </w:t>
      </w:r>
      <w:r>
        <w:rPr/>
        <w:t>has</w:t>
      </w:r>
      <w:r>
        <w:rPr>
          <w:spacing w:val="-13"/>
        </w:rPr>
        <w:t> </w:t>
      </w:r>
      <w:r>
        <w:rPr/>
        <w:t>confirmed</w:t>
      </w:r>
      <w:r>
        <w:rPr>
          <w:spacing w:val="-12"/>
        </w:rPr>
        <w:t> </w:t>
      </w:r>
      <w:r>
        <w:rPr/>
        <w:t>that</w:t>
      </w:r>
      <w:r>
        <w:rPr>
          <w:spacing w:val="-13"/>
        </w:rPr>
        <w:t> </w:t>
      </w:r>
      <w:r>
        <w:rPr/>
        <w:t>access</w:t>
      </w:r>
      <w:r>
        <w:rPr>
          <w:spacing w:val="-12"/>
        </w:rPr>
        <w:t> </w:t>
      </w:r>
      <w:r>
        <w:rPr/>
        <w:t>to</w:t>
      </w:r>
      <w:r>
        <w:rPr>
          <w:spacing w:val="-13"/>
        </w:rPr>
        <w:t> </w:t>
      </w:r>
      <w:r>
        <w:rPr/>
        <w:t>state </w:t>
      </w:r>
      <w:r>
        <w:rPr>
          <w:spacing w:val="-2"/>
        </w:rPr>
        <w:t>identification continues</w:t>
      </w:r>
      <w:r>
        <w:rPr>
          <w:spacing w:val="-3"/>
        </w:rPr>
        <w:t> </w:t>
      </w:r>
      <w:r>
        <w:rPr>
          <w:spacing w:val="-2"/>
        </w:rPr>
        <w:t>to be</w:t>
      </w:r>
      <w:r>
        <w:rPr>
          <w:spacing w:val="-3"/>
        </w:rPr>
        <w:t> </w:t>
      </w:r>
      <w:r>
        <w:rPr>
          <w:spacing w:val="-2"/>
        </w:rPr>
        <w:t>a</w:t>
      </w:r>
      <w:r>
        <w:rPr>
          <w:spacing w:val="-3"/>
        </w:rPr>
        <w:t> </w:t>
      </w:r>
      <w:r>
        <w:rPr>
          <w:spacing w:val="-2"/>
        </w:rPr>
        <w:t>significant</w:t>
      </w:r>
      <w:r>
        <w:rPr>
          <w:spacing w:val="-3"/>
        </w:rPr>
        <w:t> </w:t>
      </w:r>
      <w:r>
        <w:rPr>
          <w:spacing w:val="-2"/>
        </w:rPr>
        <w:t>barrier</w:t>
      </w:r>
      <w:r>
        <w:rPr>
          <w:spacing w:val="-3"/>
        </w:rPr>
        <w:t> </w:t>
      </w:r>
      <w:r>
        <w:rPr>
          <w:spacing w:val="-2"/>
        </w:rPr>
        <w:t>in the</w:t>
      </w:r>
      <w:r>
        <w:rPr>
          <w:spacing w:val="-3"/>
        </w:rPr>
        <w:t> </w:t>
      </w:r>
      <w:r>
        <w:rPr>
          <w:spacing w:val="-2"/>
        </w:rPr>
        <w:t>Commonwealth</w:t>
      </w:r>
      <w:r>
        <w:rPr>
          <w:spacing w:val="-3"/>
        </w:rPr>
        <w:t> </w:t>
      </w:r>
      <w:r>
        <w:rPr>
          <w:spacing w:val="-2"/>
        </w:rPr>
        <w:t>and denies</w:t>
      </w:r>
      <w:r>
        <w:rPr>
          <w:spacing w:val="-3"/>
        </w:rPr>
        <w:t> </w:t>
      </w:r>
      <w:r>
        <w:rPr>
          <w:spacing w:val="-2"/>
        </w:rPr>
        <w:t>youth experiencing </w:t>
      </w:r>
      <w:r>
        <w:rPr/>
        <w:t>homelessness and housing instability the access that they need to basic services and programs that end</w:t>
      </w:r>
      <w:r>
        <w:rPr>
          <w:spacing w:val="-1"/>
        </w:rPr>
        <w:t> </w:t>
      </w:r>
      <w:r>
        <w:rPr/>
        <w:t>the</w:t>
      </w:r>
      <w:r>
        <w:rPr>
          <w:spacing w:val="-1"/>
        </w:rPr>
        <w:t> </w:t>
      </w:r>
      <w:r>
        <w:rPr/>
        <w:t>cycle of poverty that</w:t>
      </w:r>
      <w:r>
        <w:rPr>
          <w:spacing w:val="-2"/>
        </w:rPr>
        <w:t> </w:t>
      </w:r>
      <w:r>
        <w:rPr/>
        <w:t>they are</w:t>
      </w:r>
      <w:r>
        <w:rPr>
          <w:spacing w:val="-1"/>
        </w:rPr>
        <w:t> </w:t>
      </w:r>
      <w:r>
        <w:rPr/>
        <w:t>experiencing. The 2021</w:t>
      </w:r>
      <w:r>
        <w:rPr>
          <w:spacing w:val="-1"/>
        </w:rPr>
        <w:t> </w:t>
      </w:r>
      <w:r>
        <w:rPr/>
        <w:t>Massachusetts Youth</w:t>
      </w:r>
      <w:r>
        <w:rPr>
          <w:spacing w:val="-1"/>
        </w:rPr>
        <w:t> </w:t>
      </w:r>
      <w:r>
        <w:rPr/>
        <w:t>Count</w:t>
      </w:r>
      <w:r>
        <w:rPr>
          <w:spacing w:val="-1"/>
        </w:rPr>
        <w:t> </w:t>
      </w:r>
      <w:r>
        <w:rPr/>
        <w:t>found</w:t>
      </w:r>
      <w:r>
        <w:rPr>
          <w:spacing w:val="-1"/>
        </w:rPr>
        <w:t> </w:t>
      </w:r>
      <w:r>
        <w:rPr/>
        <w:t>that 35%</w:t>
      </w:r>
      <w:r>
        <w:rPr>
          <w:spacing w:val="-11"/>
        </w:rPr>
        <w:t> </w:t>
      </w:r>
      <w:r>
        <w:rPr/>
        <w:t>of</w:t>
      </w:r>
      <w:r>
        <w:rPr>
          <w:spacing w:val="-11"/>
        </w:rPr>
        <w:t> </w:t>
      </w:r>
      <w:r>
        <w:rPr/>
        <w:t>unaccompanied</w:t>
      </w:r>
      <w:r>
        <w:rPr>
          <w:spacing w:val="-10"/>
        </w:rPr>
        <w:t> </w:t>
      </w:r>
      <w:r>
        <w:rPr/>
        <w:t>youth</w:t>
      </w:r>
      <w:r>
        <w:rPr>
          <w:spacing w:val="-10"/>
        </w:rPr>
        <w:t> </w:t>
      </w:r>
      <w:r>
        <w:rPr/>
        <w:t>experiencing</w:t>
      </w:r>
      <w:r>
        <w:rPr>
          <w:spacing w:val="-10"/>
        </w:rPr>
        <w:t> </w:t>
      </w:r>
      <w:r>
        <w:rPr/>
        <w:t>homelessness</w:t>
      </w:r>
      <w:r>
        <w:rPr>
          <w:spacing w:val="-11"/>
        </w:rPr>
        <w:t> </w:t>
      </w:r>
      <w:r>
        <w:rPr/>
        <w:t>had</w:t>
      </w:r>
      <w:r>
        <w:rPr>
          <w:spacing w:val="-10"/>
        </w:rPr>
        <w:t> </w:t>
      </w:r>
      <w:r>
        <w:rPr/>
        <w:t>issues</w:t>
      </w:r>
      <w:r>
        <w:rPr>
          <w:spacing w:val="-11"/>
        </w:rPr>
        <w:t> </w:t>
      </w:r>
      <w:r>
        <w:rPr/>
        <w:t>accessing</w:t>
      </w:r>
      <w:r>
        <w:rPr>
          <w:spacing w:val="-9"/>
        </w:rPr>
        <w:t> </w:t>
      </w:r>
      <w:r>
        <w:rPr/>
        <w:t>housing</w:t>
      </w:r>
      <w:r>
        <w:rPr>
          <w:spacing w:val="-11"/>
        </w:rPr>
        <w:t> </w:t>
      </w:r>
      <w:r>
        <w:rPr/>
        <w:t>services</w:t>
      </w:r>
      <w:r>
        <w:rPr>
          <w:spacing w:val="-11"/>
        </w:rPr>
        <w:t> </w:t>
      </w:r>
      <w:r>
        <w:rPr/>
        <w:t>due</w:t>
      </w:r>
      <w:r>
        <w:rPr>
          <w:spacing w:val="-10"/>
        </w:rPr>
        <w:t> </w:t>
      </w:r>
      <w:r>
        <w:rPr/>
        <w:t>to not having proper identification or documentation to access services.</w:t>
      </w:r>
    </w:p>
    <w:p>
      <w:pPr>
        <w:pStyle w:val="BodyText"/>
        <w:spacing w:line="276" w:lineRule="auto" w:before="241"/>
        <w:ind w:left="463" w:right="401"/>
        <w:jc w:val="both"/>
      </w:pPr>
      <w:r>
        <w:rPr/>
        <w:t>In July 2023, the Massachusetts State Senate unanimously passed a bill, S.2251/H.3360, </w:t>
      </w:r>
      <w:r>
        <w:rPr>
          <w:i/>
        </w:rPr>
        <w:t>An Act to</w:t>
      </w:r>
      <w:r>
        <w:rPr>
          <w:i/>
        </w:rPr>
        <w:t> provide identification to youth and adults experiencing homelessness</w:t>
      </w:r>
      <w:r>
        <w:rPr/>
        <w:t>, to provide free identification cards to those experiencing homelessness. However, there has yet to be movement or advancement of the bill after it was sent to the House Ways and Means Committee, despite strong support and co- </w:t>
      </w:r>
      <w:r>
        <w:rPr>
          <w:spacing w:val="-2"/>
        </w:rPr>
        <w:t>sponsorship.</w:t>
      </w:r>
    </w:p>
    <w:p>
      <w:pPr>
        <w:pStyle w:val="BodyText"/>
        <w:spacing w:line="276" w:lineRule="auto" w:before="239"/>
        <w:ind w:left="463" w:right="399"/>
        <w:jc w:val="both"/>
      </w:pPr>
      <w:r>
        <w:rPr/>
        <w:t>Currently, 16 states have successfully implemented services that offer free or reduced-fee cards for individuals experiencing homelessness, making the Commonwealth of Massachusetts lag on advancements and protective measures for youth experiencing homelessness and housing instability (“Massachusetts</w:t>
      </w:r>
      <w:r>
        <w:rPr>
          <w:spacing w:val="-1"/>
        </w:rPr>
        <w:t> </w:t>
      </w:r>
      <w:r>
        <w:rPr/>
        <w:t>Coalition</w:t>
      </w:r>
      <w:r>
        <w:rPr>
          <w:spacing w:val="-1"/>
        </w:rPr>
        <w:t> </w:t>
      </w:r>
      <w:r>
        <w:rPr/>
        <w:t>for</w:t>
      </w:r>
      <w:r>
        <w:rPr>
          <w:spacing w:val="-1"/>
        </w:rPr>
        <w:t> </w:t>
      </w:r>
      <w:r>
        <w:rPr/>
        <w:t>the Homeless</w:t>
      </w:r>
      <w:r>
        <w:rPr>
          <w:spacing w:val="-1"/>
        </w:rPr>
        <w:t> </w:t>
      </w:r>
      <w:r>
        <w:rPr/>
        <w:t>-</w:t>
      </w:r>
      <w:r>
        <w:rPr>
          <w:spacing w:val="-1"/>
        </w:rPr>
        <w:t> </w:t>
      </w:r>
      <w:r>
        <w:rPr/>
        <w:t>Fact</w:t>
      </w:r>
      <w:r>
        <w:rPr>
          <w:spacing w:val="-1"/>
        </w:rPr>
        <w:t> </w:t>
      </w:r>
      <w:r>
        <w:rPr/>
        <w:t>Sheet,</w:t>
      </w:r>
      <w:r>
        <w:rPr>
          <w:spacing w:val="-1"/>
        </w:rPr>
        <w:t> </w:t>
      </w:r>
      <w:r>
        <w:rPr/>
        <w:t>‘Everyone</w:t>
      </w:r>
      <w:r>
        <w:rPr>
          <w:spacing w:val="-2"/>
        </w:rPr>
        <w:t> </w:t>
      </w:r>
      <w:r>
        <w:rPr/>
        <w:t>Needs</w:t>
      </w:r>
      <w:r>
        <w:rPr>
          <w:spacing w:val="-1"/>
        </w:rPr>
        <w:t> </w:t>
      </w:r>
      <w:r>
        <w:rPr/>
        <w:t>ID: Providing</w:t>
      </w:r>
      <w:r>
        <w:rPr>
          <w:spacing w:val="-2"/>
        </w:rPr>
        <w:t> </w:t>
      </w:r>
      <w:r>
        <w:rPr/>
        <w:t>Identification to</w:t>
      </w:r>
      <w:r>
        <w:rPr>
          <w:spacing w:val="-9"/>
        </w:rPr>
        <w:t> </w:t>
      </w:r>
      <w:r>
        <w:rPr/>
        <w:t>Youth</w:t>
      </w:r>
      <w:r>
        <w:rPr>
          <w:spacing w:val="-10"/>
        </w:rPr>
        <w:t> </w:t>
      </w:r>
      <w:r>
        <w:rPr/>
        <w:t>and</w:t>
      </w:r>
      <w:r>
        <w:rPr>
          <w:spacing w:val="-8"/>
        </w:rPr>
        <w:t> </w:t>
      </w:r>
      <w:r>
        <w:rPr/>
        <w:t>Adults</w:t>
      </w:r>
      <w:r>
        <w:rPr>
          <w:spacing w:val="-8"/>
        </w:rPr>
        <w:t> </w:t>
      </w:r>
      <w:r>
        <w:rPr/>
        <w:t>Experiencing</w:t>
      </w:r>
      <w:r>
        <w:rPr>
          <w:spacing w:val="-9"/>
        </w:rPr>
        <w:t> </w:t>
      </w:r>
      <w:r>
        <w:rPr/>
        <w:t>Homelessness,’”</w:t>
      </w:r>
      <w:r>
        <w:rPr>
          <w:spacing w:val="-9"/>
        </w:rPr>
        <w:t> </w:t>
      </w:r>
      <w:r>
        <w:rPr/>
        <w:t>2023).</w:t>
      </w:r>
      <w:r>
        <w:rPr>
          <w:spacing w:val="-10"/>
        </w:rPr>
        <w:t> </w:t>
      </w:r>
      <w:r>
        <w:rPr/>
        <w:t>Additionally,</w:t>
      </w:r>
      <w:r>
        <w:rPr>
          <w:spacing w:val="-10"/>
        </w:rPr>
        <w:t> </w:t>
      </w:r>
      <w:r>
        <w:rPr/>
        <w:t>with</w:t>
      </w:r>
      <w:r>
        <w:rPr>
          <w:spacing w:val="-9"/>
        </w:rPr>
        <w:t> </w:t>
      </w:r>
      <w:r>
        <w:rPr/>
        <w:t>the</w:t>
      </w:r>
      <w:r>
        <w:rPr>
          <w:spacing w:val="-9"/>
        </w:rPr>
        <w:t> </w:t>
      </w:r>
      <w:r>
        <w:rPr/>
        <w:t>implementation</w:t>
      </w:r>
      <w:r>
        <w:rPr>
          <w:spacing w:val="-10"/>
        </w:rPr>
        <w:t> </w:t>
      </w:r>
      <w:r>
        <w:rPr/>
        <w:t>of</w:t>
      </w:r>
      <w:r>
        <w:rPr>
          <w:spacing w:val="-10"/>
        </w:rPr>
        <w:t> </w:t>
      </w:r>
      <w:r>
        <w:rPr/>
        <w:t>the REAL ID Act across the country beginning May 7, 2025, there is an urgent need for an alternative identification card for people experiencing homelessness who lack the documentation needed for a REAL ID card.</w:t>
      </w:r>
    </w:p>
    <w:p>
      <w:pPr>
        <w:numPr>
          <w:ilvl w:val="0"/>
          <w:numId w:val="24"/>
        </w:numPr>
        <w:tabs>
          <w:tab w:pos="461" w:val="left" w:leader="none"/>
          <w:tab w:pos="463" w:val="left" w:leader="none"/>
        </w:tabs>
        <w:spacing w:line="276" w:lineRule="auto" w:before="240"/>
        <w:ind w:left="463" w:right="403" w:hanging="360"/>
        <w:jc w:val="both"/>
        <w:rPr>
          <w:b/>
          <w:sz w:val="22"/>
        </w:rPr>
      </w:pPr>
      <w:r>
        <w:rPr>
          <w:b/>
          <w:sz w:val="22"/>
        </w:rPr>
        <w:t>Increasing funding for services to expand inclusive drop-in centers, shelter spaces, and living programs for transition-aged youth to better support LGBTQ youth experiencing homelessness or housing instability.</w:t>
      </w:r>
    </w:p>
    <w:p>
      <w:pPr>
        <w:pStyle w:val="BodyText"/>
        <w:spacing w:line="276" w:lineRule="auto" w:before="239"/>
        <w:ind w:left="463" w:right="404"/>
        <w:jc w:val="both"/>
      </w:pPr>
      <w:r>
        <w:rPr/>
        <w:t>Research</w:t>
      </w:r>
      <w:r>
        <w:rPr>
          <w:spacing w:val="-10"/>
        </w:rPr>
        <w:t> </w:t>
      </w:r>
      <w:r>
        <w:rPr/>
        <w:t>has</w:t>
      </w:r>
      <w:r>
        <w:rPr>
          <w:spacing w:val="-10"/>
        </w:rPr>
        <w:t> </w:t>
      </w:r>
      <w:r>
        <w:rPr/>
        <w:t>indicated</w:t>
      </w:r>
      <w:r>
        <w:rPr>
          <w:spacing w:val="-10"/>
        </w:rPr>
        <w:t> </w:t>
      </w:r>
      <w:r>
        <w:rPr/>
        <w:t>that</w:t>
      </w:r>
      <w:r>
        <w:rPr>
          <w:spacing w:val="-12"/>
        </w:rPr>
        <w:t> </w:t>
      </w:r>
      <w:r>
        <w:rPr/>
        <w:t>lack</w:t>
      </w:r>
      <w:r>
        <w:rPr>
          <w:spacing w:val="-10"/>
        </w:rPr>
        <w:t> </w:t>
      </w:r>
      <w:r>
        <w:rPr/>
        <w:t>of</w:t>
      </w:r>
      <w:r>
        <w:rPr>
          <w:spacing w:val="-11"/>
        </w:rPr>
        <w:t> </w:t>
      </w:r>
      <w:r>
        <w:rPr/>
        <w:t>funding</w:t>
      </w:r>
      <w:r>
        <w:rPr>
          <w:spacing w:val="-12"/>
        </w:rPr>
        <w:t> </w:t>
      </w:r>
      <w:r>
        <w:rPr/>
        <w:t>was</w:t>
      </w:r>
      <w:r>
        <w:rPr>
          <w:spacing w:val="-10"/>
        </w:rPr>
        <w:t> </w:t>
      </w:r>
      <w:r>
        <w:rPr/>
        <w:t>identified</w:t>
      </w:r>
      <w:r>
        <w:rPr>
          <w:spacing w:val="-12"/>
        </w:rPr>
        <w:t> </w:t>
      </w:r>
      <w:r>
        <w:rPr/>
        <w:t>as</w:t>
      </w:r>
      <w:r>
        <w:rPr>
          <w:spacing w:val="-10"/>
        </w:rPr>
        <w:t> </w:t>
      </w:r>
      <w:r>
        <w:rPr/>
        <w:t>the</w:t>
      </w:r>
      <w:r>
        <w:rPr>
          <w:spacing w:val="-10"/>
        </w:rPr>
        <w:t> </w:t>
      </w:r>
      <w:r>
        <w:rPr/>
        <w:t>largest</w:t>
      </w:r>
      <w:r>
        <w:rPr>
          <w:spacing w:val="-11"/>
        </w:rPr>
        <w:t> </w:t>
      </w:r>
      <w:r>
        <w:rPr/>
        <w:t>barrier</w:t>
      </w:r>
      <w:r>
        <w:rPr>
          <w:spacing w:val="-10"/>
        </w:rPr>
        <w:t> </w:t>
      </w:r>
      <w:r>
        <w:rPr/>
        <w:t>to</w:t>
      </w:r>
      <w:r>
        <w:rPr>
          <w:spacing w:val="-11"/>
        </w:rPr>
        <w:t> </w:t>
      </w:r>
      <w:r>
        <w:rPr/>
        <w:t>serving</w:t>
      </w:r>
      <w:r>
        <w:rPr>
          <w:spacing w:val="-12"/>
        </w:rPr>
        <w:t> </w:t>
      </w:r>
      <w:r>
        <w:rPr/>
        <w:t>LGBTQ</w:t>
      </w:r>
      <w:r>
        <w:rPr>
          <w:spacing w:val="-12"/>
        </w:rPr>
        <w:t> </w:t>
      </w:r>
      <w:r>
        <w:rPr/>
        <w:t>youth experiencing</w:t>
      </w:r>
      <w:r>
        <w:rPr>
          <w:spacing w:val="-7"/>
        </w:rPr>
        <w:t> </w:t>
      </w:r>
      <w:r>
        <w:rPr/>
        <w:t>homelessness</w:t>
      </w:r>
      <w:r>
        <w:rPr>
          <w:spacing w:val="-7"/>
        </w:rPr>
        <w:t> </w:t>
      </w:r>
      <w:r>
        <w:rPr/>
        <w:t>(Choi</w:t>
      </w:r>
      <w:r>
        <w:rPr>
          <w:spacing w:val="-8"/>
        </w:rPr>
        <w:t> </w:t>
      </w:r>
      <w:r>
        <w:rPr/>
        <w:t>et</w:t>
      </w:r>
      <w:r>
        <w:rPr>
          <w:spacing w:val="-8"/>
        </w:rPr>
        <w:t> </w:t>
      </w:r>
      <w:r>
        <w:rPr/>
        <w:t>al.</w:t>
      </w:r>
      <w:r>
        <w:rPr>
          <w:spacing w:val="-5"/>
        </w:rPr>
        <w:t> </w:t>
      </w:r>
      <w:r>
        <w:rPr/>
        <w:t>2015).</w:t>
      </w:r>
      <w:r>
        <w:rPr>
          <w:spacing w:val="-8"/>
        </w:rPr>
        <w:t> </w:t>
      </w:r>
      <w:r>
        <w:rPr/>
        <w:t>The</w:t>
      </w:r>
      <w:r>
        <w:rPr>
          <w:spacing w:val="-8"/>
        </w:rPr>
        <w:t> </w:t>
      </w:r>
      <w:r>
        <w:rPr/>
        <w:t>Commission</w:t>
      </w:r>
      <w:r>
        <w:rPr>
          <w:spacing w:val="-8"/>
        </w:rPr>
        <w:t> </w:t>
      </w:r>
      <w:r>
        <w:rPr/>
        <w:t>urges</w:t>
      </w:r>
      <w:r>
        <w:rPr>
          <w:spacing w:val="-7"/>
        </w:rPr>
        <w:t> </w:t>
      </w:r>
      <w:r>
        <w:rPr/>
        <w:t>the</w:t>
      </w:r>
      <w:r>
        <w:rPr>
          <w:spacing w:val="-6"/>
        </w:rPr>
        <w:t> </w:t>
      </w:r>
      <w:r>
        <w:rPr/>
        <w:t>Massachusetts</w:t>
      </w:r>
      <w:r>
        <w:rPr>
          <w:spacing w:val="-7"/>
        </w:rPr>
        <w:t> </w:t>
      </w:r>
      <w:r>
        <w:rPr/>
        <w:t>Legislature</w:t>
      </w:r>
      <w:r>
        <w:rPr>
          <w:spacing w:val="-8"/>
        </w:rPr>
        <w:t> </w:t>
      </w:r>
      <w:r>
        <w:rPr/>
        <w:t>to continue to expand funding underline items for services that target LGBTQ youth experiencing homelessness and housing insecurity. Funding efforts should continue to focus on the inclusion of QTBIPOC</w:t>
      </w:r>
      <w:r>
        <w:rPr>
          <w:spacing w:val="-7"/>
        </w:rPr>
        <w:t> </w:t>
      </w:r>
      <w:r>
        <w:rPr/>
        <w:t>and</w:t>
      </w:r>
      <w:r>
        <w:rPr>
          <w:spacing w:val="-6"/>
        </w:rPr>
        <w:t> </w:t>
      </w:r>
      <w:r>
        <w:rPr/>
        <w:t>migrant</w:t>
      </w:r>
      <w:r>
        <w:rPr>
          <w:spacing w:val="-7"/>
        </w:rPr>
        <w:t> </w:t>
      </w:r>
      <w:r>
        <w:rPr/>
        <w:t>communities</w:t>
      </w:r>
      <w:r>
        <w:rPr>
          <w:spacing w:val="-7"/>
        </w:rPr>
        <w:t> </w:t>
      </w:r>
      <w:r>
        <w:rPr/>
        <w:t>that</w:t>
      </w:r>
      <w:r>
        <w:rPr>
          <w:spacing w:val="-7"/>
        </w:rPr>
        <w:t> </w:t>
      </w:r>
      <w:r>
        <w:rPr/>
        <w:t>disproportionately</w:t>
      </w:r>
      <w:r>
        <w:rPr>
          <w:spacing w:val="-7"/>
        </w:rPr>
        <w:t> </w:t>
      </w:r>
      <w:r>
        <w:rPr/>
        <w:t>face</w:t>
      </w:r>
      <w:r>
        <w:rPr>
          <w:spacing w:val="-6"/>
        </w:rPr>
        <w:t> </w:t>
      </w:r>
      <w:r>
        <w:rPr/>
        <w:t>barriers</w:t>
      </w:r>
      <w:r>
        <w:rPr>
          <w:spacing w:val="-7"/>
        </w:rPr>
        <w:t> </w:t>
      </w:r>
      <w:r>
        <w:rPr/>
        <w:t>to</w:t>
      </w:r>
      <w:r>
        <w:rPr>
          <w:spacing w:val="-7"/>
        </w:rPr>
        <w:t> </w:t>
      </w:r>
      <w:r>
        <w:rPr/>
        <w:t>accessing</w:t>
      </w:r>
      <w:r>
        <w:rPr>
          <w:spacing w:val="-8"/>
        </w:rPr>
        <w:t> </w:t>
      </w:r>
      <w:r>
        <w:rPr/>
        <w:t>housing</w:t>
      </w:r>
      <w:r>
        <w:rPr>
          <w:spacing w:val="-8"/>
        </w:rPr>
        <w:t> </w:t>
      </w:r>
      <w:r>
        <w:rPr/>
        <w:t>services and other resources.</w:t>
      </w:r>
    </w:p>
    <w:p>
      <w:pPr>
        <w:spacing w:after="0" w:line="276" w:lineRule="auto"/>
        <w:jc w:val="both"/>
        <w:sectPr>
          <w:pgSz w:w="12240" w:h="15840"/>
          <w:pgMar w:header="765" w:footer="1127" w:top="1280" w:bottom="1380" w:left="1120" w:right="1180"/>
        </w:sectPr>
      </w:pPr>
    </w:p>
    <w:p>
      <w:pPr>
        <w:pStyle w:val="BodyText"/>
        <w:spacing w:line="276" w:lineRule="auto" w:before="91"/>
        <w:ind w:left="463" w:right="401"/>
        <w:jc w:val="both"/>
      </w:pPr>
      <w:r>
        <w:rPr/>
        <w:t>Additionally, the Commission strongly recommends that drop-in centers, shelter spaces, and living programs for transition-aged youth are developed utilizing clear LGBTQ-affirming policies, materials, and</w:t>
      </w:r>
      <w:r>
        <w:rPr>
          <w:spacing w:val="-9"/>
        </w:rPr>
        <w:t> </w:t>
      </w:r>
      <w:r>
        <w:rPr/>
        <w:t>procedures</w:t>
      </w:r>
      <w:r>
        <w:rPr>
          <w:spacing w:val="-8"/>
        </w:rPr>
        <w:t> </w:t>
      </w:r>
      <w:r>
        <w:rPr/>
        <w:t>to</w:t>
      </w:r>
      <w:r>
        <w:rPr>
          <w:spacing w:val="-8"/>
        </w:rPr>
        <w:t> </w:t>
      </w:r>
      <w:r>
        <w:rPr/>
        <w:t>ensure</w:t>
      </w:r>
      <w:r>
        <w:rPr>
          <w:spacing w:val="-8"/>
        </w:rPr>
        <w:t> </w:t>
      </w:r>
      <w:r>
        <w:rPr/>
        <w:t>that</w:t>
      </w:r>
      <w:r>
        <w:rPr>
          <w:spacing w:val="-9"/>
        </w:rPr>
        <w:t> </w:t>
      </w:r>
      <w:r>
        <w:rPr/>
        <w:t>all</w:t>
      </w:r>
      <w:r>
        <w:rPr>
          <w:spacing w:val="-9"/>
        </w:rPr>
        <w:t> </w:t>
      </w:r>
      <w:r>
        <w:rPr/>
        <w:t>LGBTQ</w:t>
      </w:r>
      <w:r>
        <w:rPr>
          <w:spacing w:val="-8"/>
        </w:rPr>
        <w:t> </w:t>
      </w:r>
      <w:r>
        <w:rPr/>
        <w:t>youth</w:t>
      </w:r>
      <w:r>
        <w:rPr>
          <w:spacing w:val="-9"/>
        </w:rPr>
        <w:t> </w:t>
      </w:r>
      <w:r>
        <w:rPr/>
        <w:t>experiencing</w:t>
      </w:r>
      <w:r>
        <w:rPr>
          <w:spacing w:val="-9"/>
        </w:rPr>
        <w:t> </w:t>
      </w:r>
      <w:r>
        <w:rPr/>
        <w:t>homelessness</w:t>
      </w:r>
      <w:r>
        <w:rPr>
          <w:spacing w:val="-8"/>
        </w:rPr>
        <w:t> </w:t>
      </w:r>
      <w:r>
        <w:rPr/>
        <w:t>and</w:t>
      </w:r>
      <w:r>
        <w:rPr>
          <w:spacing w:val="-9"/>
        </w:rPr>
        <w:t> </w:t>
      </w:r>
      <w:r>
        <w:rPr/>
        <w:t>housing</w:t>
      </w:r>
      <w:r>
        <w:rPr>
          <w:spacing w:val="-9"/>
        </w:rPr>
        <w:t> </w:t>
      </w:r>
      <w:r>
        <w:rPr/>
        <w:t>insecurity</w:t>
      </w:r>
      <w:r>
        <w:rPr>
          <w:spacing w:val="-9"/>
        </w:rPr>
        <w:t> </w:t>
      </w:r>
      <w:r>
        <w:rPr/>
        <w:t>feel welcomed and supported.</w:t>
      </w:r>
    </w:p>
    <w:p>
      <w:pPr>
        <w:pStyle w:val="BodyText"/>
        <w:spacing w:line="276" w:lineRule="auto" w:before="240"/>
        <w:ind w:left="463" w:right="403"/>
        <w:jc w:val="both"/>
      </w:pPr>
      <w:r>
        <w:rPr/>
        <w:t>The Commission urges the Commonwealth to develop shelter and drop-in centers with particular attention on rural communities in the Commonwealth. This effort is in line with recent data from the federal Annual Homeless Assessment Report that shows that 29.7% of unaccompanied youth under 25 experiencing homelessness at a single point in time in 2023 were located in Central and Western </w:t>
      </w:r>
      <w:r>
        <w:rPr>
          <w:spacing w:val="-2"/>
        </w:rPr>
        <w:t>Massachusetts.</w:t>
      </w:r>
    </w:p>
    <w:p>
      <w:pPr>
        <w:numPr>
          <w:ilvl w:val="0"/>
          <w:numId w:val="24"/>
        </w:numPr>
        <w:tabs>
          <w:tab w:pos="461" w:val="left" w:leader="none"/>
        </w:tabs>
        <w:spacing w:before="240"/>
        <w:ind w:left="461" w:right="0" w:hanging="358"/>
        <w:jc w:val="left"/>
        <w:rPr>
          <w:b/>
          <w:sz w:val="22"/>
        </w:rPr>
      </w:pPr>
      <w:r>
        <w:rPr>
          <w:b/>
          <w:sz w:val="22"/>
        </w:rPr>
        <w:t>Codifying</w:t>
      </w:r>
      <w:r>
        <w:rPr>
          <w:b/>
          <w:spacing w:val="-7"/>
          <w:sz w:val="22"/>
        </w:rPr>
        <w:t> </w:t>
      </w:r>
      <w:r>
        <w:rPr>
          <w:b/>
          <w:sz w:val="22"/>
        </w:rPr>
        <w:t>a</w:t>
      </w:r>
      <w:r>
        <w:rPr>
          <w:b/>
          <w:spacing w:val="-6"/>
          <w:sz w:val="22"/>
        </w:rPr>
        <w:t> </w:t>
      </w:r>
      <w:r>
        <w:rPr>
          <w:b/>
          <w:sz w:val="22"/>
        </w:rPr>
        <w:t>bill</w:t>
      </w:r>
      <w:r>
        <w:rPr>
          <w:b/>
          <w:spacing w:val="-7"/>
          <w:sz w:val="22"/>
        </w:rPr>
        <w:t> </w:t>
      </w:r>
      <w:r>
        <w:rPr>
          <w:b/>
          <w:sz w:val="22"/>
        </w:rPr>
        <w:t>of</w:t>
      </w:r>
      <w:r>
        <w:rPr>
          <w:b/>
          <w:spacing w:val="-7"/>
          <w:sz w:val="22"/>
        </w:rPr>
        <w:t> </w:t>
      </w:r>
      <w:r>
        <w:rPr>
          <w:b/>
          <w:sz w:val="22"/>
        </w:rPr>
        <w:t>rights</w:t>
      </w:r>
      <w:r>
        <w:rPr>
          <w:b/>
          <w:spacing w:val="-7"/>
          <w:sz w:val="22"/>
        </w:rPr>
        <w:t> </w:t>
      </w:r>
      <w:r>
        <w:rPr>
          <w:b/>
          <w:sz w:val="22"/>
        </w:rPr>
        <w:t>for</w:t>
      </w:r>
      <w:r>
        <w:rPr>
          <w:b/>
          <w:spacing w:val="-7"/>
          <w:sz w:val="22"/>
        </w:rPr>
        <w:t> </w:t>
      </w:r>
      <w:r>
        <w:rPr>
          <w:b/>
          <w:sz w:val="22"/>
        </w:rPr>
        <w:t>youth</w:t>
      </w:r>
      <w:r>
        <w:rPr>
          <w:b/>
          <w:spacing w:val="-6"/>
          <w:sz w:val="22"/>
        </w:rPr>
        <w:t> </w:t>
      </w:r>
      <w:r>
        <w:rPr>
          <w:b/>
          <w:sz w:val="22"/>
        </w:rPr>
        <w:t>experiencing</w:t>
      </w:r>
      <w:r>
        <w:rPr>
          <w:b/>
          <w:spacing w:val="-7"/>
          <w:sz w:val="22"/>
        </w:rPr>
        <w:t> </w:t>
      </w:r>
      <w:r>
        <w:rPr>
          <w:b/>
          <w:spacing w:val="-2"/>
          <w:sz w:val="22"/>
        </w:rPr>
        <w:t>homelessness.</w:t>
      </w:r>
    </w:p>
    <w:p>
      <w:pPr>
        <w:pStyle w:val="BodyText"/>
        <w:spacing w:before="11"/>
        <w:rPr>
          <w:b/>
        </w:rPr>
      </w:pPr>
    </w:p>
    <w:p>
      <w:pPr>
        <w:pStyle w:val="BodyText"/>
        <w:spacing w:line="276" w:lineRule="auto"/>
        <w:ind w:left="463" w:right="402"/>
        <w:jc w:val="both"/>
      </w:pPr>
      <w:r>
        <w:rPr/>
        <w:t>LGBTQ youth are at a higher risk of experiencing homelessness than their peers and face higher rates of discrimination and victimization when attempting to access services while experiencing homelessness. This vulnerability is amplified for QTBIPOC identities among LGBTQ youth and those identified as transgender or gender expansive. Examples of this discrimination include LGBTQ youth being turned away from shelters or experiencing homophobia while in shelters and other assistance programs. As it has for many years, the Commission expresses its support for S.1112, </w:t>
      </w:r>
      <w:r>
        <w:rPr>
          <w:i/>
        </w:rPr>
        <w:t>An Act</w:t>
      </w:r>
      <w:r>
        <w:rPr>
          <w:i/>
        </w:rPr>
        <w:t> establishing a bill of rights for people experiencing homelessnes</w:t>
      </w:r>
      <w:r>
        <w:rPr/>
        <w:t>s, presented by Senator Rausch.</w:t>
      </w:r>
    </w:p>
    <w:p>
      <w:pPr>
        <w:numPr>
          <w:ilvl w:val="0"/>
          <w:numId w:val="24"/>
        </w:numPr>
        <w:tabs>
          <w:tab w:pos="461" w:val="left" w:leader="none"/>
        </w:tabs>
        <w:spacing w:before="241"/>
        <w:ind w:left="461" w:right="0" w:hanging="358"/>
        <w:jc w:val="left"/>
        <w:rPr>
          <w:b/>
          <w:sz w:val="22"/>
        </w:rPr>
      </w:pPr>
      <w:r>
        <w:rPr>
          <w:b/>
          <w:sz w:val="22"/>
        </w:rPr>
        <w:t>Improve</w:t>
      </w:r>
      <w:r>
        <w:rPr>
          <w:b/>
          <w:spacing w:val="-7"/>
          <w:sz w:val="22"/>
        </w:rPr>
        <w:t> </w:t>
      </w:r>
      <w:r>
        <w:rPr>
          <w:b/>
          <w:sz w:val="22"/>
        </w:rPr>
        <w:t>access</w:t>
      </w:r>
      <w:r>
        <w:rPr>
          <w:b/>
          <w:spacing w:val="-8"/>
          <w:sz w:val="22"/>
        </w:rPr>
        <w:t> </w:t>
      </w:r>
      <w:r>
        <w:rPr>
          <w:b/>
          <w:sz w:val="22"/>
        </w:rPr>
        <w:t>to</w:t>
      </w:r>
      <w:r>
        <w:rPr>
          <w:b/>
          <w:spacing w:val="-7"/>
          <w:sz w:val="22"/>
        </w:rPr>
        <w:t> </w:t>
      </w:r>
      <w:r>
        <w:rPr>
          <w:b/>
          <w:sz w:val="22"/>
        </w:rPr>
        <w:t>rental</w:t>
      </w:r>
      <w:r>
        <w:rPr>
          <w:b/>
          <w:spacing w:val="-7"/>
          <w:sz w:val="22"/>
        </w:rPr>
        <w:t> </w:t>
      </w:r>
      <w:r>
        <w:rPr>
          <w:b/>
          <w:sz w:val="22"/>
        </w:rPr>
        <w:t>assistance</w:t>
      </w:r>
      <w:r>
        <w:rPr>
          <w:b/>
          <w:spacing w:val="-6"/>
          <w:sz w:val="22"/>
        </w:rPr>
        <w:t> </w:t>
      </w:r>
      <w:r>
        <w:rPr>
          <w:b/>
          <w:sz w:val="22"/>
        </w:rPr>
        <w:t>and</w:t>
      </w:r>
      <w:r>
        <w:rPr>
          <w:b/>
          <w:spacing w:val="-7"/>
          <w:sz w:val="22"/>
        </w:rPr>
        <w:t> </w:t>
      </w:r>
      <w:r>
        <w:rPr>
          <w:b/>
          <w:spacing w:val="-2"/>
          <w:sz w:val="22"/>
        </w:rPr>
        <w:t>stabilization.</w:t>
      </w:r>
    </w:p>
    <w:p>
      <w:pPr>
        <w:pStyle w:val="BodyText"/>
        <w:spacing w:before="11"/>
        <w:rPr>
          <w:b/>
        </w:rPr>
      </w:pPr>
    </w:p>
    <w:p>
      <w:pPr>
        <w:pStyle w:val="BodyText"/>
        <w:spacing w:line="276" w:lineRule="auto"/>
        <w:ind w:left="463" w:right="400"/>
        <w:jc w:val="both"/>
      </w:pPr>
      <w:r>
        <w:rPr/>
        <w:t>The housing crisis continues to be a critical issue contributing to housing insecurity in the Commonwealth of Massachusetts. The Commission commends the urgency and prioritization that Governor Healey has placed on addressing this issue. In October 2023, the Healey Administration announced </w:t>
      </w:r>
      <w:hyperlink r:id="rId442">
        <w:r>
          <w:rPr>
            <w:i/>
            <w:color w:val="1154CC"/>
            <w:u w:val="single" w:color="1154CC"/>
          </w:rPr>
          <w:t>The Affordable Homes Act</w:t>
        </w:r>
        <w:r>
          <w:rPr>
            <w:u w:val="none"/>
          </w:rPr>
          <w:t>,</w:t>
        </w:r>
      </w:hyperlink>
      <w:r>
        <w:rPr>
          <w:u w:val="none"/>
        </w:rPr>
        <w:t> the largest housing investment in state history.</w:t>
      </w:r>
      <w:hyperlink w:history="true" w:anchor="_bookmark279">
        <w:r>
          <w:rPr>
            <w:u w:val="none"/>
            <w:vertAlign w:val="superscript"/>
          </w:rPr>
          <w:t>6</w:t>
        </w:r>
      </w:hyperlink>
      <w:r>
        <w:rPr>
          <w:spacing w:val="-3"/>
          <w:u w:val="none"/>
          <w:vertAlign w:val="baseline"/>
        </w:rPr>
        <w:t> </w:t>
      </w:r>
      <w:r>
        <w:rPr>
          <w:u w:val="none"/>
          <w:vertAlign w:val="baseline"/>
        </w:rPr>
        <w:t>Notably, this bill</w:t>
      </w:r>
      <w:r>
        <w:rPr>
          <w:spacing w:val="-13"/>
          <w:u w:val="none"/>
          <w:vertAlign w:val="baseline"/>
        </w:rPr>
        <w:t> </w:t>
      </w:r>
      <w:r>
        <w:rPr>
          <w:u w:val="none"/>
          <w:vertAlign w:val="baseline"/>
        </w:rPr>
        <w:t>proposed</w:t>
      </w:r>
      <w:r>
        <w:rPr>
          <w:spacing w:val="-12"/>
          <w:u w:val="none"/>
          <w:vertAlign w:val="baseline"/>
        </w:rPr>
        <w:t> </w:t>
      </w:r>
      <w:r>
        <w:rPr>
          <w:u w:val="none"/>
          <w:vertAlign w:val="baseline"/>
        </w:rPr>
        <w:t>by</w:t>
      </w:r>
      <w:r>
        <w:rPr>
          <w:spacing w:val="-13"/>
          <w:u w:val="none"/>
          <w:vertAlign w:val="baseline"/>
        </w:rPr>
        <w:t> </w:t>
      </w:r>
      <w:r>
        <w:rPr>
          <w:u w:val="none"/>
          <w:vertAlign w:val="baseline"/>
        </w:rPr>
        <w:t>the</w:t>
      </w:r>
      <w:r>
        <w:rPr>
          <w:spacing w:val="-12"/>
          <w:u w:val="none"/>
          <w:vertAlign w:val="baseline"/>
        </w:rPr>
        <w:t> </w:t>
      </w:r>
      <w:r>
        <w:rPr>
          <w:u w:val="none"/>
          <w:vertAlign w:val="baseline"/>
        </w:rPr>
        <w:t>Governor</w:t>
      </w:r>
      <w:r>
        <w:rPr>
          <w:spacing w:val="-13"/>
          <w:u w:val="none"/>
          <w:vertAlign w:val="baseline"/>
        </w:rPr>
        <w:t> </w:t>
      </w:r>
      <w:r>
        <w:rPr>
          <w:u w:val="none"/>
          <w:vertAlign w:val="baseline"/>
        </w:rPr>
        <w:t>does</w:t>
      </w:r>
      <w:r>
        <w:rPr>
          <w:spacing w:val="-12"/>
          <w:u w:val="none"/>
          <w:vertAlign w:val="baseline"/>
        </w:rPr>
        <w:t> </w:t>
      </w:r>
      <w:r>
        <w:rPr>
          <w:u w:val="none"/>
          <w:vertAlign w:val="baseline"/>
        </w:rPr>
        <w:t>not</w:t>
      </w:r>
      <w:r>
        <w:rPr>
          <w:spacing w:val="-13"/>
          <w:u w:val="none"/>
          <w:vertAlign w:val="baseline"/>
        </w:rPr>
        <w:t> </w:t>
      </w:r>
      <w:r>
        <w:rPr>
          <w:u w:val="none"/>
          <w:vertAlign w:val="baseline"/>
        </w:rPr>
        <w:t>repeal</w:t>
      </w:r>
      <w:r>
        <w:rPr>
          <w:spacing w:val="-12"/>
          <w:u w:val="none"/>
          <w:vertAlign w:val="baseline"/>
        </w:rPr>
        <w:t> </w:t>
      </w:r>
      <w:r>
        <w:rPr>
          <w:u w:val="none"/>
          <w:vertAlign w:val="baseline"/>
        </w:rPr>
        <w:t>the</w:t>
      </w:r>
      <w:r>
        <w:rPr>
          <w:spacing w:val="-12"/>
          <w:u w:val="none"/>
          <w:vertAlign w:val="baseline"/>
        </w:rPr>
        <w:t> </w:t>
      </w:r>
      <w:r>
        <w:rPr>
          <w:u w:val="none"/>
          <w:vertAlign w:val="baseline"/>
        </w:rPr>
        <w:t>ban</w:t>
      </w:r>
      <w:r>
        <w:rPr>
          <w:spacing w:val="-13"/>
          <w:u w:val="none"/>
          <w:vertAlign w:val="baseline"/>
        </w:rPr>
        <w:t> </w:t>
      </w:r>
      <w:r>
        <w:rPr>
          <w:u w:val="none"/>
          <w:vertAlign w:val="baseline"/>
        </w:rPr>
        <w:t>on</w:t>
      </w:r>
      <w:r>
        <w:rPr>
          <w:spacing w:val="-12"/>
          <w:u w:val="none"/>
          <w:vertAlign w:val="baseline"/>
        </w:rPr>
        <w:t> </w:t>
      </w:r>
      <w:r>
        <w:rPr>
          <w:u w:val="none"/>
          <w:vertAlign w:val="baseline"/>
        </w:rPr>
        <w:t>rent</w:t>
      </w:r>
      <w:r>
        <w:rPr>
          <w:spacing w:val="-13"/>
          <w:u w:val="none"/>
          <w:vertAlign w:val="baseline"/>
        </w:rPr>
        <w:t> </w:t>
      </w:r>
      <w:r>
        <w:rPr>
          <w:u w:val="none"/>
          <w:vertAlign w:val="baseline"/>
        </w:rPr>
        <w:t>control</w:t>
      </w:r>
      <w:r>
        <w:rPr>
          <w:spacing w:val="-12"/>
          <w:u w:val="none"/>
          <w:vertAlign w:val="baseline"/>
        </w:rPr>
        <w:t> </w:t>
      </w:r>
      <w:r>
        <w:rPr>
          <w:u w:val="none"/>
          <w:vertAlign w:val="baseline"/>
        </w:rPr>
        <w:t>in</w:t>
      </w:r>
      <w:r>
        <w:rPr>
          <w:spacing w:val="-13"/>
          <w:u w:val="none"/>
          <w:vertAlign w:val="baseline"/>
        </w:rPr>
        <w:t> </w:t>
      </w:r>
      <w:r>
        <w:rPr>
          <w:u w:val="none"/>
          <w:vertAlign w:val="baseline"/>
        </w:rPr>
        <w:t>the</w:t>
      </w:r>
      <w:r>
        <w:rPr>
          <w:spacing w:val="-12"/>
          <w:u w:val="none"/>
          <w:vertAlign w:val="baseline"/>
        </w:rPr>
        <w:t> </w:t>
      </w:r>
      <w:r>
        <w:rPr>
          <w:u w:val="none"/>
          <w:vertAlign w:val="baseline"/>
        </w:rPr>
        <w:t>Commonwealth,</w:t>
      </w:r>
      <w:r>
        <w:rPr>
          <w:spacing w:val="-12"/>
          <w:u w:val="none"/>
          <w:vertAlign w:val="baseline"/>
        </w:rPr>
        <w:t> </w:t>
      </w:r>
      <w:r>
        <w:rPr>
          <w:u w:val="none"/>
          <w:vertAlign w:val="baseline"/>
        </w:rPr>
        <w:t>therefore not</w:t>
      </w:r>
      <w:r>
        <w:rPr>
          <w:spacing w:val="-6"/>
          <w:u w:val="none"/>
          <w:vertAlign w:val="baseline"/>
        </w:rPr>
        <w:t> </w:t>
      </w:r>
      <w:r>
        <w:rPr>
          <w:u w:val="none"/>
          <w:vertAlign w:val="baseline"/>
        </w:rPr>
        <w:t>directly</w:t>
      </w:r>
      <w:r>
        <w:rPr>
          <w:spacing w:val="-5"/>
          <w:u w:val="none"/>
          <w:vertAlign w:val="baseline"/>
        </w:rPr>
        <w:t> </w:t>
      </w:r>
      <w:r>
        <w:rPr>
          <w:u w:val="none"/>
          <w:vertAlign w:val="baseline"/>
        </w:rPr>
        <w:t>addressing</w:t>
      </w:r>
      <w:r>
        <w:rPr>
          <w:spacing w:val="-6"/>
          <w:u w:val="none"/>
          <w:vertAlign w:val="baseline"/>
        </w:rPr>
        <w:t> </w:t>
      </w:r>
      <w:r>
        <w:rPr>
          <w:u w:val="none"/>
          <w:vertAlign w:val="baseline"/>
        </w:rPr>
        <w:t>a</w:t>
      </w:r>
      <w:r>
        <w:rPr>
          <w:spacing w:val="-4"/>
          <w:u w:val="none"/>
          <w:vertAlign w:val="baseline"/>
        </w:rPr>
        <w:t> </w:t>
      </w:r>
      <w:r>
        <w:rPr>
          <w:u w:val="none"/>
          <w:vertAlign w:val="baseline"/>
        </w:rPr>
        <w:t>major</w:t>
      </w:r>
      <w:r>
        <w:rPr>
          <w:spacing w:val="-6"/>
          <w:u w:val="none"/>
          <w:vertAlign w:val="baseline"/>
        </w:rPr>
        <w:t> </w:t>
      </w:r>
      <w:r>
        <w:rPr>
          <w:u w:val="none"/>
          <w:vertAlign w:val="baseline"/>
        </w:rPr>
        <w:t>issue</w:t>
      </w:r>
      <w:r>
        <w:rPr>
          <w:spacing w:val="-5"/>
          <w:u w:val="none"/>
          <w:vertAlign w:val="baseline"/>
        </w:rPr>
        <w:t> </w:t>
      </w:r>
      <w:r>
        <w:rPr>
          <w:u w:val="none"/>
          <w:vertAlign w:val="baseline"/>
        </w:rPr>
        <w:t>that</w:t>
      </w:r>
      <w:r>
        <w:rPr>
          <w:spacing w:val="-6"/>
          <w:u w:val="none"/>
          <w:vertAlign w:val="baseline"/>
        </w:rPr>
        <w:t> </w:t>
      </w:r>
      <w:r>
        <w:rPr>
          <w:u w:val="none"/>
          <w:vertAlign w:val="baseline"/>
        </w:rPr>
        <w:t>contributes</w:t>
      </w:r>
      <w:r>
        <w:rPr>
          <w:spacing w:val="-6"/>
          <w:u w:val="none"/>
          <w:vertAlign w:val="baseline"/>
        </w:rPr>
        <w:t> </w:t>
      </w:r>
      <w:r>
        <w:rPr>
          <w:u w:val="none"/>
          <w:vertAlign w:val="baseline"/>
        </w:rPr>
        <w:t>to</w:t>
      </w:r>
      <w:r>
        <w:rPr>
          <w:spacing w:val="-5"/>
          <w:u w:val="none"/>
          <w:vertAlign w:val="baseline"/>
        </w:rPr>
        <w:t> </w:t>
      </w:r>
      <w:r>
        <w:rPr>
          <w:u w:val="none"/>
          <w:vertAlign w:val="baseline"/>
        </w:rPr>
        <w:t>housing</w:t>
      </w:r>
      <w:r>
        <w:rPr>
          <w:spacing w:val="-6"/>
          <w:u w:val="none"/>
          <w:vertAlign w:val="baseline"/>
        </w:rPr>
        <w:t> </w:t>
      </w:r>
      <w:r>
        <w:rPr>
          <w:u w:val="none"/>
          <w:vertAlign w:val="baseline"/>
        </w:rPr>
        <w:t>insecurity</w:t>
      </w:r>
      <w:r>
        <w:rPr>
          <w:spacing w:val="-5"/>
          <w:u w:val="none"/>
          <w:vertAlign w:val="baseline"/>
        </w:rPr>
        <w:t> </w:t>
      </w:r>
      <w:r>
        <w:rPr>
          <w:u w:val="none"/>
          <w:vertAlign w:val="baseline"/>
        </w:rPr>
        <w:t>in</w:t>
      </w:r>
      <w:r>
        <w:rPr>
          <w:spacing w:val="-6"/>
          <w:u w:val="none"/>
          <w:vertAlign w:val="baseline"/>
        </w:rPr>
        <w:t> </w:t>
      </w:r>
      <w:r>
        <w:rPr>
          <w:u w:val="none"/>
          <w:vertAlign w:val="baseline"/>
        </w:rPr>
        <w:t>the</w:t>
      </w:r>
      <w:r>
        <w:rPr>
          <w:spacing w:val="-7"/>
          <w:u w:val="none"/>
          <w:vertAlign w:val="baseline"/>
        </w:rPr>
        <w:t> </w:t>
      </w:r>
      <w:r>
        <w:rPr>
          <w:u w:val="none"/>
          <w:vertAlign w:val="baseline"/>
        </w:rPr>
        <w:t>Commonwealth.</w:t>
      </w:r>
      <w:r>
        <w:rPr>
          <w:spacing w:val="-6"/>
          <w:u w:val="none"/>
          <w:vertAlign w:val="baseline"/>
        </w:rPr>
        <w:t> </w:t>
      </w:r>
      <w:r>
        <w:rPr>
          <w:u w:val="none"/>
          <w:vertAlign w:val="baseline"/>
        </w:rPr>
        <w:t>For this reason, the Commission urges legislators to support the passage of two bills that support rent stabilization</w:t>
      </w:r>
      <w:r>
        <w:rPr>
          <w:spacing w:val="-3"/>
          <w:u w:val="none"/>
          <w:vertAlign w:val="baseline"/>
        </w:rPr>
        <w:t> </w:t>
      </w:r>
      <w:r>
        <w:rPr>
          <w:u w:val="none"/>
          <w:vertAlign w:val="baseline"/>
        </w:rPr>
        <w:t>and</w:t>
      </w:r>
      <w:r>
        <w:rPr>
          <w:spacing w:val="-5"/>
          <w:u w:val="none"/>
          <w:vertAlign w:val="baseline"/>
        </w:rPr>
        <w:t> </w:t>
      </w:r>
      <w:r>
        <w:rPr>
          <w:u w:val="none"/>
          <w:vertAlign w:val="baseline"/>
        </w:rPr>
        <w:t>an</w:t>
      </w:r>
      <w:r>
        <w:rPr>
          <w:spacing w:val="-4"/>
          <w:u w:val="none"/>
          <w:vertAlign w:val="baseline"/>
        </w:rPr>
        <w:t> </w:t>
      </w:r>
      <w:r>
        <w:rPr>
          <w:u w:val="none"/>
          <w:vertAlign w:val="baseline"/>
        </w:rPr>
        <w:t>upstream</w:t>
      </w:r>
      <w:r>
        <w:rPr>
          <w:spacing w:val="-5"/>
          <w:u w:val="none"/>
          <w:vertAlign w:val="baseline"/>
        </w:rPr>
        <w:t> </w:t>
      </w:r>
      <w:r>
        <w:rPr>
          <w:u w:val="none"/>
          <w:vertAlign w:val="baseline"/>
        </w:rPr>
        <w:t>approach</w:t>
      </w:r>
      <w:r>
        <w:rPr>
          <w:spacing w:val="-5"/>
          <w:u w:val="none"/>
          <w:vertAlign w:val="baseline"/>
        </w:rPr>
        <w:t> </w:t>
      </w:r>
      <w:r>
        <w:rPr>
          <w:u w:val="none"/>
          <w:vertAlign w:val="baseline"/>
        </w:rPr>
        <w:t>to</w:t>
      </w:r>
      <w:r>
        <w:rPr>
          <w:spacing w:val="-5"/>
          <w:u w:val="none"/>
          <w:vertAlign w:val="baseline"/>
        </w:rPr>
        <w:t> </w:t>
      </w:r>
      <w:r>
        <w:rPr>
          <w:u w:val="none"/>
          <w:vertAlign w:val="baseline"/>
        </w:rPr>
        <w:t>addressing</w:t>
      </w:r>
      <w:r>
        <w:rPr>
          <w:spacing w:val="-5"/>
          <w:u w:val="none"/>
          <w:vertAlign w:val="baseline"/>
        </w:rPr>
        <w:t> </w:t>
      </w:r>
      <w:r>
        <w:rPr>
          <w:u w:val="none"/>
          <w:vertAlign w:val="baseline"/>
        </w:rPr>
        <w:t>homelessness:</w:t>
      </w:r>
      <w:r>
        <w:rPr>
          <w:spacing w:val="-5"/>
          <w:u w:val="none"/>
          <w:vertAlign w:val="baseline"/>
        </w:rPr>
        <w:t> </w:t>
      </w:r>
      <w:r>
        <w:rPr>
          <w:i/>
          <w:u w:val="none"/>
          <w:vertAlign w:val="baseline"/>
        </w:rPr>
        <w:t>An</w:t>
      </w:r>
      <w:r>
        <w:rPr>
          <w:i/>
          <w:spacing w:val="-5"/>
          <w:u w:val="none"/>
          <w:vertAlign w:val="baseline"/>
        </w:rPr>
        <w:t> </w:t>
      </w:r>
      <w:r>
        <w:rPr>
          <w:i/>
          <w:u w:val="none"/>
          <w:vertAlign w:val="baseline"/>
        </w:rPr>
        <w:t>Act</w:t>
      </w:r>
      <w:r>
        <w:rPr>
          <w:i/>
          <w:spacing w:val="-4"/>
          <w:u w:val="none"/>
          <w:vertAlign w:val="baseline"/>
        </w:rPr>
        <w:t> </w:t>
      </w:r>
      <w:r>
        <w:rPr>
          <w:i/>
          <w:u w:val="none"/>
          <w:vertAlign w:val="baseline"/>
        </w:rPr>
        <w:t>enabling</w:t>
      </w:r>
      <w:r>
        <w:rPr>
          <w:i/>
          <w:spacing w:val="-4"/>
          <w:u w:val="none"/>
          <w:vertAlign w:val="baseline"/>
        </w:rPr>
        <w:t> </w:t>
      </w:r>
      <w:r>
        <w:rPr>
          <w:i/>
          <w:u w:val="none"/>
          <w:vertAlign w:val="baseline"/>
        </w:rPr>
        <w:t>cities</w:t>
      </w:r>
      <w:r>
        <w:rPr>
          <w:i/>
          <w:spacing w:val="-5"/>
          <w:u w:val="none"/>
          <w:vertAlign w:val="baseline"/>
        </w:rPr>
        <w:t> </w:t>
      </w:r>
      <w:r>
        <w:rPr>
          <w:i/>
          <w:u w:val="none"/>
          <w:vertAlign w:val="baseline"/>
        </w:rPr>
        <w:t>and</w:t>
      </w:r>
      <w:r>
        <w:rPr>
          <w:i/>
          <w:spacing w:val="-5"/>
          <w:u w:val="none"/>
          <w:vertAlign w:val="baseline"/>
        </w:rPr>
        <w:t> </w:t>
      </w:r>
      <w:r>
        <w:rPr>
          <w:i/>
          <w:u w:val="none"/>
          <w:vertAlign w:val="baseline"/>
        </w:rPr>
        <w:t>towns</w:t>
      </w:r>
      <w:r>
        <w:rPr>
          <w:i/>
          <w:u w:val="none"/>
          <w:vertAlign w:val="baseline"/>
        </w:rPr>
        <w:t> to stabilize rents and protect tenants</w:t>
      </w:r>
      <w:r>
        <w:rPr>
          <w:u w:val="none"/>
          <w:vertAlign w:val="baseline"/>
        </w:rPr>
        <w:t>, presented by Senator Jehlen, Senator Gomez, Representative Rogers, and Representative Montaño; and S.856/H.1312, </w:t>
      </w:r>
      <w:r>
        <w:rPr>
          <w:i/>
          <w:u w:val="none"/>
          <w:vertAlign w:val="baseline"/>
        </w:rPr>
        <w:t>An Act providing upstream homelessness</w:t>
      </w:r>
      <w:r>
        <w:rPr>
          <w:i/>
          <w:u w:val="none"/>
          <w:vertAlign w:val="baseline"/>
        </w:rPr>
        <w:t> prevention assistance to families, youth, and adults</w:t>
      </w:r>
      <w:r>
        <w:rPr>
          <w:u w:val="none"/>
          <w:vertAlign w:val="baseline"/>
        </w:rPr>
        <w:t>, presented by</w:t>
      </w:r>
      <w:r>
        <w:rPr>
          <w:spacing w:val="40"/>
          <w:u w:val="none"/>
          <w:vertAlign w:val="baseline"/>
        </w:rPr>
        <w:t> </w:t>
      </w:r>
      <w:r>
        <w:rPr>
          <w:u w:val="none"/>
          <w:vertAlign w:val="baseline"/>
        </w:rPr>
        <w:t>Senator Crighton and Representative Decker.</w:t>
      </w:r>
    </w:p>
    <w:p>
      <w:pPr>
        <w:pStyle w:val="BodyText"/>
        <w:spacing w:line="276" w:lineRule="auto" w:before="240"/>
        <w:ind w:left="464" w:right="400"/>
        <w:jc w:val="both"/>
      </w:pPr>
      <w:r>
        <w:rPr/>
        <w:t>However, the Commission notes that none of this legislation addresses some of the more critical housing resources noted by QTBIPOC young people, such as assistance with brokers fees, increased support for parenting youth, or appropriate employment resources.</w:t>
      </w:r>
    </w:p>
    <w:p>
      <w:pPr>
        <w:numPr>
          <w:ilvl w:val="0"/>
          <w:numId w:val="24"/>
        </w:numPr>
        <w:tabs>
          <w:tab w:pos="461" w:val="left" w:leader="none"/>
          <w:tab w:pos="463" w:val="left" w:leader="none"/>
        </w:tabs>
        <w:spacing w:line="276" w:lineRule="auto" w:before="241"/>
        <w:ind w:left="463" w:right="404" w:hanging="360"/>
        <w:jc w:val="left"/>
        <w:rPr>
          <w:b/>
          <w:sz w:val="22"/>
        </w:rPr>
      </w:pPr>
      <w:r>
        <w:rPr>
          <w:b/>
          <w:sz w:val="22"/>
        </w:rPr>
        <w:t>Mandate</w:t>
      </w:r>
      <w:r>
        <w:rPr>
          <w:b/>
          <w:spacing w:val="-3"/>
          <w:sz w:val="22"/>
        </w:rPr>
        <w:t> </w:t>
      </w:r>
      <w:r>
        <w:rPr>
          <w:b/>
          <w:sz w:val="22"/>
        </w:rPr>
        <w:t>LGBTQ</w:t>
      </w:r>
      <w:r>
        <w:rPr>
          <w:b/>
          <w:spacing w:val="-3"/>
          <w:sz w:val="22"/>
        </w:rPr>
        <w:t> </w:t>
      </w:r>
      <w:r>
        <w:rPr>
          <w:b/>
          <w:sz w:val="22"/>
        </w:rPr>
        <w:t>cultural</w:t>
      </w:r>
      <w:r>
        <w:rPr>
          <w:b/>
          <w:spacing w:val="-1"/>
          <w:sz w:val="22"/>
        </w:rPr>
        <w:t> </w:t>
      </w:r>
      <w:r>
        <w:rPr>
          <w:b/>
          <w:sz w:val="22"/>
        </w:rPr>
        <w:t>engagement</w:t>
      </w:r>
      <w:r>
        <w:rPr>
          <w:b/>
          <w:spacing w:val="-2"/>
          <w:sz w:val="22"/>
        </w:rPr>
        <w:t> </w:t>
      </w:r>
      <w:r>
        <w:rPr>
          <w:b/>
          <w:sz w:val="22"/>
        </w:rPr>
        <w:t>trainings</w:t>
      </w:r>
      <w:r>
        <w:rPr>
          <w:b/>
          <w:spacing w:val="-1"/>
          <w:sz w:val="22"/>
        </w:rPr>
        <w:t> </w:t>
      </w:r>
      <w:r>
        <w:rPr>
          <w:b/>
          <w:sz w:val="22"/>
        </w:rPr>
        <w:t>and</w:t>
      </w:r>
      <w:r>
        <w:rPr>
          <w:b/>
          <w:spacing w:val="-3"/>
          <w:sz w:val="22"/>
        </w:rPr>
        <w:t> </w:t>
      </w:r>
      <w:r>
        <w:rPr>
          <w:b/>
          <w:sz w:val="22"/>
        </w:rPr>
        <w:t>LGBTQ-inclusive</w:t>
      </w:r>
      <w:r>
        <w:rPr>
          <w:b/>
          <w:spacing w:val="-4"/>
          <w:sz w:val="22"/>
        </w:rPr>
        <w:t> </w:t>
      </w:r>
      <w:r>
        <w:rPr>
          <w:b/>
          <w:sz w:val="22"/>
        </w:rPr>
        <w:t>nondiscrimination</w:t>
      </w:r>
      <w:r>
        <w:rPr>
          <w:b/>
          <w:spacing w:val="-3"/>
          <w:sz w:val="22"/>
        </w:rPr>
        <w:t> </w:t>
      </w:r>
      <w:r>
        <w:rPr>
          <w:b/>
          <w:sz w:val="22"/>
        </w:rPr>
        <w:t>policies</w:t>
      </w:r>
      <w:r>
        <w:rPr>
          <w:b/>
          <w:spacing w:val="-3"/>
          <w:sz w:val="22"/>
        </w:rPr>
        <w:t> </w:t>
      </w:r>
      <w:r>
        <w:rPr>
          <w:b/>
          <w:sz w:val="22"/>
        </w:rPr>
        <w:t>and procedures in shelters.</w:t>
      </w:r>
    </w:p>
    <w:p>
      <w:pPr>
        <w:pStyle w:val="BodyText"/>
        <w:spacing w:before="239"/>
        <w:ind w:left="463"/>
        <w:jc w:val="both"/>
      </w:pPr>
      <w:r>
        <w:rPr/>
        <w:t>For</w:t>
      </w:r>
      <w:r>
        <w:rPr>
          <w:spacing w:val="-2"/>
        </w:rPr>
        <w:t> </w:t>
      </w:r>
      <w:r>
        <w:rPr/>
        <w:t>years,</w:t>
      </w:r>
      <w:r>
        <w:rPr>
          <w:spacing w:val="-1"/>
        </w:rPr>
        <w:t> </w:t>
      </w:r>
      <w:r>
        <w:rPr/>
        <w:t>LGBTQ</w:t>
      </w:r>
      <w:r>
        <w:rPr>
          <w:spacing w:val="-1"/>
        </w:rPr>
        <w:t> </w:t>
      </w:r>
      <w:r>
        <w:rPr/>
        <w:t>community</w:t>
      </w:r>
      <w:r>
        <w:rPr>
          <w:spacing w:val="-2"/>
        </w:rPr>
        <w:t> </w:t>
      </w:r>
      <w:r>
        <w:rPr/>
        <w:t>advocates</w:t>
      </w:r>
      <w:r>
        <w:rPr>
          <w:spacing w:val="-1"/>
        </w:rPr>
        <w:t> </w:t>
      </w:r>
      <w:r>
        <w:rPr/>
        <w:t>and</w:t>
      </w:r>
      <w:r>
        <w:rPr>
          <w:spacing w:val="-1"/>
        </w:rPr>
        <w:t> </w:t>
      </w:r>
      <w:r>
        <w:rPr/>
        <w:t>youth</w:t>
      </w:r>
      <w:r>
        <w:rPr>
          <w:spacing w:val="-2"/>
        </w:rPr>
        <w:t> </w:t>
      </w:r>
      <w:r>
        <w:rPr/>
        <w:t>experiencing</w:t>
      </w:r>
      <w:r>
        <w:rPr>
          <w:spacing w:val="-1"/>
        </w:rPr>
        <w:t> </w:t>
      </w:r>
      <w:r>
        <w:rPr/>
        <w:t>homelessness have</w:t>
      </w:r>
      <w:r>
        <w:rPr>
          <w:spacing w:val="-2"/>
        </w:rPr>
        <w:t> </w:t>
      </w:r>
      <w:r>
        <w:rPr/>
        <w:t>raised</w:t>
      </w:r>
      <w:r>
        <w:rPr>
          <w:spacing w:val="-1"/>
        </w:rPr>
        <w:t> </w:t>
      </w:r>
      <w:r>
        <w:rPr/>
        <w:t>the</w:t>
      </w:r>
      <w:r>
        <w:rPr>
          <w:spacing w:val="-2"/>
        </w:rPr>
        <w:t> alarm</w:t>
      </w:r>
    </w:p>
    <w:p>
      <w:pPr>
        <w:spacing w:after="0"/>
        <w:jc w:val="both"/>
        <w:sectPr>
          <w:pgSz w:w="12240" w:h="15840"/>
          <w:pgMar w:header="765" w:footer="1127" w:top="1280" w:bottom="1380" w:left="1120" w:right="1180"/>
        </w:sectPr>
      </w:pPr>
    </w:p>
    <w:p>
      <w:pPr>
        <w:pStyle w:val="BodyText"/>
        <w:spacing w:line="276" w:lineRule="auto" w:before="91"/>
        <w:ind w:left="464" w:right="403"/>
        <w:jc w:val="both"/>
      </w:pPr>
      <w:r>
        <w:rPr/>
        <w:t>that there are little to no safe and affirming shelter spaces in Massachusetts. As the Commission continues</w:t>
      </w:r>
      <w:r>
        <w:rPr>
          <w:spacing w:val="-4"/>
        </w:rPr>
        <w:t> </w:t>
      </w:r>
      <w:r>
        <w:rPr/>
        <w:t>to</w:t>
      </w:r>
      <w:r>
        <w:rPr>
          <w:spacing w:val="-2"/>
        </w:rPr>
        <w:t> </w:t>
      </w:r>
      <w:r>
        <w:rPr/>
        <w:t>solicit</w:t>
      </w:r>
      <w:r>
        <w:rPr>
          <w:spacing w:val="-4"/>
        </w:rPr>
        <w:t> </w:t>
      </w:r>
      <w:r>
        <w:rPr/>
        <w:t>feedback</w:t>
      </w:r>
      <w:r>
        <w:rPr>
          <w:spacing w:val="-4"/>
        </w:rPr>
        <w:t> </w:t>
      </w:r>
      <w:r>
        <w:rPr/>
        <w:t>from</w:t>
      </w:r>
      <w:r>
        <w:rPr>
          <w:spacing w:val="-3"/>
        </w:rPr>
        <w:t> </w:t>
      </w:r>
      <w:r>
        <w:rPr/>
        <w:t>community</w:t>
      </w:r>
      <w:r>
        <w:rPr>
          <w:spacing w:val="-4"/>
        </w:rPr>
        <w:t> </w:t>
      </w:r>
      <w:r>
        <w:rPr/>
        <w:t>members</w:t>
      </w:r>
      <w:r>
        <w:rPr>
          <w:spacing w:val="-4"/>
        </w:rPr>
        <w:t> </w:t>
      </w:r>
      <w:r>
        <w:rPr/>
        <w:t>over</w:t>
      </w:r>
      <w:r>
        <w:rPr>
          <w:spacing w:val="-4"/>
        </w:rPr>
        <w:t> </w:t>
      </w:r>
      <w:r>
        <w:rPr/>
        <w:t>FY</w:t>
      </w:r>
      <w:r>
        <w:rPr>
          <w:spacing w:val="-3"/>
        </w:rPr>
        <w:t> </w:t>
      </w:r>
      <w:r>
        <w:rPr/>
        <w:t>2025</w:t>
      </w:r>
      <w:r>
        <w:rPr>
          <w:spacing w:val="-4"/>
        </w:rPr>
        <w:t> </w:t>
      </w:r>
      <w:r>
        <w:rPr/>
        <w:t>in</w:t>
      </w:r>
      <w:r>
        <w:rPr>
          <w:spacing w:val="-4"/>
        </w:rPr>
        <w:t> </w:t>
      </w:r>
      <w:r>
        <w:rPr/>
        <w:t>the</w:t>
      </w:r>
      <w:r>
        <w:rPr>
          <w:spacing w:val="-4"/>
        </w:rPr>
        <w:t> </w:t>
      </w:r>
      <w:r>
        <w:rPr/>
        <w:t>form</w:t>
      </w:r>
      <w:r>
        <w:rPr>
          <w:spacing w:val="-4"/>
        </w:rPr>
        <w:t> </w:t>
      </w:r>
      <w:r>
        <w:rPr/>
        <w:t>of</w:t>
      </w:r>
      <w:r>
        <w:rPr>
          <w:spacing w:val="-4"/>
        </w:rPr>
        <w:t> </w:t>
      </w:r>
      <w:r>
        <w:rPr/>
        <w:t>listening</w:t>
      </w:r>
      <w:r>
        <w:rPr>
          <w:spacing w:val="-4"/>
        </w:rPr>
        <w:t> </w:t>
      </w:r>
      <w:r>
        <w:rPr/>
        <w:t>sessions and one-on-one connections, initial conversations with LGBTQ community members experiencing homelessness continue to emphasize this concern.</w:t>
      </w:r>
    </w:p>
    <w:p>
      <w:pPr>
        <w:pStyle w:val="BodyText"/>
        <w:spacing w:line="276" w:lineRule="auto" w:before="240"/>
        <w:ind w:left="464" w:right="399"/>
        <w:jc w:val="both"/>
      </w:pPr>
      <w:r>
        <w:rPr/>
        <w:t>The Commission strongly recommends that the State work to create a strategic plan to ensure that every shelter participates in and creates a plan to provide recurring trainings on creating affirming spaces</w:t>
      </w:r>
      <w:r>
        <w:rPr>
          <w:spacing w:val="-2"/>
        </w:rPr>
        <w:t> </w:t>
      </w:r>
      <w:r>
        <w:rPr/>
        <w:t>for</w:t>
      </w:r>
      <w:r>
        <w:rPr>
          <w:spacing w:val="-2"/>
        </w:rPr>
        <w:t> </w:t>
      </w:r>
      <w:r>
        <w:rPr/>
        <w:t>LGBTQ</w:t>
      </w:r>
      <w:r>
        <w:rPr>
          <w:spacing w:val="-3"/>
        </w:rPr>
        <w:t> </w:t>
      </w:r>
      <w:r>
        <w:rPr/>
        <w:t>individuals</w:t>
      </w:r>
      <w:r>
        <w:rPr>
          <w:spacing w:val="-2"/>
        </w:rPr>
        <w:t> </w:t>
      </w:r>
      <w:r>
        <w:rPr/>
        <w:t>experiencing</w:t>
      </w:r>
      <w:r>
        <w:rPr>
          <w:spacing w:val="-3"/>
        </w:rPr>
        <w:t> </w:t>
      </w:r>
      <w:r>
        <w:rPr/>
        <w:t>homelessness.</w:t>
      </w:r>
      <w:r>
        <w:rPr>
          <w:spacing w:val="-3"/>
        </w:rPr>
        <w:t> </w:t>
      </w:r>
      <w:r>
        <w:rPr/>
        <w:t>Furthermore,</w:t>
      </w:r>
      <w:r>
        <w:rPr>
          <w:spacing w:val="-2"/>
        </w:rPr>
        <w:t> </w:t>
      </w:r>
      <w:r>
        <w:rPr/>
        <w:t>shelters</w:t>
      </w:r>
      <w:r>
        <w:rPr>
          <w:spacing w:val="-2"/>
        </w:rPr>
        <w:t> </w:t>
      </w:r>
      <w:r>
        <w:rPr/>
        <w:t>should</w:t>
      </w:r>
      <w:r>
        <w:rPr>
          <w:spacing w:val="-3"/>
        </w:rPr>
        <w:t> </w:t>
      </w:r>
      <w:r>
        <w:rPr/>
        <w:t>publicly</w:t>
      </w:r>
      <w:r>
        <w:rPr>
          <w:spacing w:val="-3"/>
        </w:rPr>
        <w:t> </w:t>
      </w:r>
      <w:r>
        <w:rPr/>
        <w:t>share their nondiscrimination policies and transparent procedures for how shelter users can report </w:t>
      </w:r>
      <w:r>
        <w:rPr>
          <w:spacing w:val="-2"/>
        </w:rPr>
        <w:t>discrimination.</w:t>
      </w:r>
    </w:p>
    <w:p>
      <w:pPr>
        <w:numPr>
          <w:ilvl w:val="0"/>
          <w:numId w:val="24"/>
        </w:numPr>
        <w:tabs>
          <w:tab w:pos="462" w:val="left" w:leader="none"/>
          <w:tab w:pos="464" w:val="left" w:leader="none"/>
        </w:tabs>
        <w:spacing w:line="276" w:lineRule="auto" w:before="240"/>
        <w:ind w:left="464" w:right="402" w:hanging="360"/>
        <w:jc w:val="left"/>
        <w:rPr>
          <w:b/>
          <w:sz w:val="22"/>
        </w:rPr>
      </w:pPr>
      <w:r>
        <w:rPr>
          <w:b/>
          <w:sz w:val="22"/>
        </w:rPr>
        <w:t>Evaluate</w:t>
      </w:r>
      <w:r>
        <w:rPr>
          <w:b/>
          <w:spacing w:val="-5"/>
          <w:sz w:val="22"/>
        </w:rPr>
        <w:t> </w:t>
      </w:r>
      <w:r>
        <w:rPr>
          <w:b/>
          <w:sz w:val="22"/>
        </w:rPr>
        <w:t>and</w:t>
      </w:r>
      <w:r>
        <w:rPr>
          <w:b/>
          <w:spacing w:val="-5"/>
          <w:sz w:val="22"/>
        </w:rPr>
        <w:t> </w:t>
      </w:r>
      <w:r>
        <w:rPr>
          <w:b/>
          <w:sz w:val="22"/>
        </w:rPr>
        <w:t>improve</w:t>
      </w:r>
      <w:r>
        <w:rPr>
          <w:b/>
          <w:spacing w:val="-5"/>
          <w:sz w:val="22"/>
        </w:rPr>
        <w:t> </w:t>
      </w:r>
      <w:r>
        <w:rPr>
          <w:b/>
          <w:sz w:val="22"/>
        </w:rPr>
        <w:t>coordinated</w:t>
      </w:r>
      <w:r>
        <w:rPr>
          <w:b/>
          <w:spacing w:val="-7"/>
          <w:sz w:val="22"/>
        </w:rPr>
        <w:t> </w:t>
      </w:r>
      <w:r>
        <w:rPr>
          <w:b/>
          <w:sz w:val="22"/>
        </w:rPr>
        <w:t>entry</w:t>
      </w:r>
      <w:r>
        <w:rPr>
          <w:b/>
          <w:spacing w:val="-6"/>
          <w:sz w:val="22"/>
        </w:rPr>
        <w:t> </w:t>
      </w:r>
      <w:r>
        <w:rPr>
          <w:b/>
          <w:sz w:val="22"/>
        </w:rPr>
        <w:t>tools</w:t>
      </w:r>
      <w:r>
        <w:rPr>
          <w:b/>
          <w:spacing w:val="-5"/>
          <w:sz w:val="22"/>
        </w:rPr>
        <w:t> </w:t>
      </w:r>
      <w:r>
        <w:rPr>
          <w:b/>
          <w:sz w:val="22"/>
        </w:rPr>
        <w:t>to</w:t>
      </w:r>
      <w:r>
        <w:rPr>
          <w:b/>
          <w:spacing w:val="-6"/>
          <w:sz w:val="22"/>
        </w:rPr>
        <w:t> </w:t>
      </w:r>
      <w:r>
        <w:rPr>
          <w:b/>
          <w:sz w:val="22"/>
        </w:rPr>
        <w:t>center</w:t>
      </w:r>
      <w:r>
        <w:rPr>
          <w:b/>
          <w:spacing w:val="-5"/>
          <w:sz w:val="22"/>
        </w:rPr>
        <w:t> </w:t>
      </w:r>
      <w:r>
        <w:rPr>
          <w:b/>
          <w:sz w:val="22"/>
        </w:rPr>
        <w:t>an</w:t>
      </w:r>
      <w:r>
        <w:rPr>
          <w:b/>
          <w:spacing w:val="-5"/>
          <w:sz w:val="22"/>
        </w:rPr>
        <w:t> </w:t>
      </w:r>
      <w:r>
        <w:rPr>
          <w:b/>
          <w:sz w:val="22"/>
        </w:rPr>
        <w:t>equitable</w:t>
      </w:r>
      <w:r>
        <w:rPr>
          <w:b/>
          <w:spacing w:val="-7"/>
          <w:sz w:val="22"/>
        </w:rPr>
        <w:t> </w:t>
      </w:r>
      <w:r>
        <w:rPr>
          <w:b/>
          <w:sz w:val="22"/>
        </w:rPr>
        <w:t>approach</w:t>
      </w:r>
      <w:r>
        <w:rPr>
          <w:b/>
          <w:spacing w:val="-5"/>
          <w:sz w:val="22"/>
        </w:rPr>
        <w:t> </w:t>
      </w:r>
      <w:r>
        <w:rPr>
          <w:b/>
          <w:sz w:val="22"/>
        </w:rPr>
        <w:t>to</w:t>
      </w:r>
      <w:r>
        <w:rPr>
          <w:b/>
          <w:spacing w:val="-6"/>
          <w:sz w:val="22"/>
        </w:rPr>
        <w:t> </w:t>
      </w:r>
      <w:r>
        <w:rPr>
          <w:b/>
          <w:sz w:val="22"/>
        </w:rPr>
        <w:t>increase</w:t>
      </w:r>
      <w:r>
        <w:rPr>
          <w:b/>
          <w:spacing w:val="-5"/>
          <w:sz w:val="22"/>
        </w:rPr>
        <w:t> </w:t>
      </w:r>
      <w:r>
        <w:rPr>
          <w:b/>
          <w:sz w:val="22"/>
        </w:rPr>
        <w:t>access</w:t>
      </w:r>
      <w:r>
        <w:rPr>
          <w:b/>
          <w:spacing w:val="-6"/>
          <w:sz w:val="22"/>
        </w:rPr>
        <w:t> </w:t>
      </w:r>
      <w:r>
        <w:rPr>
          <w:b/>
          <w:sz w:val="22"/>
        </w:rPr>
        <w:t>to housing opportunities for QTBIPOC youth in the Commonwealth.</w:t>
      </w:r>
    </w:p>
    <w:p>
      <w:pPr>
        <w:pStyle w:val="BodyText"/>
        <w:spacing w:line="276" w:lineRule="auto" w:before="239"/>
        <w:ind w:left="464" w:right="403"/>
        <w:jc w:val="both"/>
      </w:pPr>
      <w:r>
        <w:rPr/>
        <w:t>The Commission recommends that the state evaluates the coordinated entry tools currently being utilized by each Massachusetts Continuum of Care and works to improve or develop a new tool that centers youth, with particular attention to the diverse needs of QTBIPOC young people. Such evaluations and updates should be sure to include contributions from young people with lived experience with the homelessness systems.</w:t>
      </w:r>
    </w:p>
    <w:p>
      <w:pPr>
        <w:numPr>
          <w:ilvl w:val="0"/>
          <w:numId w:val="24"/>
        </w:numPr>
        <w:tabs>
          <w:tab w:pos="462" w:val="left" w:leader="none"/>
        </w:tabs>
        <w:spacing w:before="240"/>
        <w:ind w:left="462" w:right="0" w:hanging="358"/>
        <w:jc w:val="left"/>
        <w:rPr>
          <w:b/>
          <w:sz w:val="22"/>
        </w:rPr>
      </w:pPr>
      <w:r>
        <w:rPr>
          <w:b/>
          <w:sz w:val="22"/>
        </w:rPr>
        <w:t>Address</w:t>
      </w:r>
      <w:r>
        <w:rPr>
          <w:b/>
          <w:spacing w:val="-9"/>
          <w:sz w:val="22"/>
        </w:rPr>
        <w:t> </w:t>
      </w:r>
      <w:r>
        <w:rPr>
          <w:b/>
          <w:sz w:val="22"/>
        </w:rPr>
        <w:t>issues</w:t>
      </w:r>
      <w:r>
        <w:rPr>
          <w:b/>
          <w:spacing w:val="-9"/>
          <w:sz w:val="22"/>
        </w:rPr>
        <w:t> </w:t>
      </w:r>
      <w:r>
        <w:rPr>
          <w:b/>
          <w:sz w:val="22"/>
        </w:rPr>
        <w:t>occurring</w:t>
      </w:r>
      <w:r>
        <w:rPr>
          <w:b/>
          <w:spacing w:val="-9"/>
          <w:sz w:val="22"/>
        </w:rPr>
        <w:t> </w:t>
      </w:r>
      <w:r>
        <w:rPr>
          <w:b/>
          <w:sz w:val="22"/>
        </w:rPr>
        <w:t>from</w:t>
      </w:r>
      <w:r>
        <w:rPr>
          <w:b/>
          <w:spacing w:val="-9"/>
          <w:sz w:val="22"/>
        </w:rPr>
        <w:t> </w:t>
      </w:r>
      <w:r>
        <w:rPr>
          <w:b/>
          <w:sz w:val="22"/>
        </w:rPr>
        <w:t>youth</w:t>
      </w:r>
      <w:r>
        <w:rPr>
          <w:b/>
          <w:spacing w:val="-8"/>
          <w:sz w:val="22"/>
        </w:rPr>
        <w:t> </w:t>
      </w:r>
      <w:r>
        <w:rPr>
          <w:b/>
          <w:sz w:val="22"/>
        </w:rPr>
        <w:t>shifting</w:t>
      </w:r>
      <w:r>
        <w:rPr>
          <w:b/>
          <w:spacing w:val="-8"/>
          <w:sz w:val="22"/>
        </w:rPr>
        <w:t> </w:t>
      </w:r>
      <w:r>
        <w:rPr>
          <w:b/>
          <w:sz w:val="22"/>
        </w:rPr>
        <w:t>between</w:t>
      </w:r>
      <w:r>
        <w:rPr>
          <w:b/>
          <w:spacing w:val="-9"/>
          <w:sz w:val="22"/>
        </w:rPr>
        <w:t> </w:t>
      </w:r>
      <w:r>
        <w:rPr>
          <w:b/>
          <w:sz w:val="22"/>
        </w:rPr>
        <w:t>Continuums</w:t>
      </w:r>
      <w:r>
        <w:rPr>
          <w:b/>
          <w:spacing w:val="-9"/>
          <w:sz w:val="22"/>
        </w:rPr>
        <w:t> </w:t>
      </w:r>
      <w:r>
        <w:rPr>
          <w:b/>
          <w:sz w:val="22"/>
        </w:rPr>
        <w:t>of</w:t>
      </w:r>
      <w:r>
        <w:rPr>
          <w:b/>
          <w:spacing w:val="-8"/>
          <w:sz w:val="22"/>
        </w:rPr>
        <w:t> </w:t>
      </w:r>
      <w:r>
        <w:rPr>
          <w:b/>
          <w:spacing w:val="-2"/>
          <w:sz w:val="22"/>
        </w:rPr>
        <w:t>Care.</w:t>
      </w:r>
    </w:p>
    <w:p>
      <w:pPr>
        <w:pStyle w:val="BodyText"/>
        <w:spacing w:before="13"/>
        <w:rPr>
          <w:b/>
        </w:rPr>
      </w:pPr>
    </w:p>
    <w:p>
      <w:pPr>
        <w:pStyle w:val="BodyText"/>
        <w:spacing w:line="276" w:lineRule="auto"/>
        <w:ind w:left="464" w:right="401"/>
        <w:jc w:val="both"/>
      </w:pPr>
      <w:r>
        <w:rPr/>
        <w:t>Over the last two years, the Commission has engaged in conversations with EOHLC and providers to help address systemic barriers that can prolong experiences of homelessness for young people. One particular issue that has been noted is the penalties that some young people, oft unknowingly, face when moving between Continuums of Care (CoCs). As highlighted in the EOHLC recommendations since</w:t>
      </w:r>
      <w:r>
        <w:rPr>
          <w:spacing w:val="-4"/>
        </w:rPr>
        <w:t> </w:t>
      </w:r>
      <w:r>
        <w:rPr/>
        <w:t>FY</w:t>
      </w:r>
      <w:r>
        <w:rPr>
          <w:spacing w:val="-4"/>
        </w:rPr>
        <w:t> </w:t>
      </w:r>
      <w:r>
        <w:rPr/>
        <w:t>2024,</w:t>
      </w:r>
      <w:r>
        <w:rPr>
          <w:spacing w:val="-4"/>
        </w:rPr>
        <w:t> </w:t>
      </w:r>
      <w:r>
        <w:rPr/>
        <w:t>youth</w:t>
      </w:r>
      <w:r>
        <w:rPr>
          <w:spacing w:val="-4"/>
        </w:rPr>
        <w:t> </w:t>
      </w:r>
      <w:r>
        <w:rPr/>
        <w:t>who</w:t>
      </w:r>
      <w:r>
        <w:rPr>
          <w:spacing w:val="-4"/>
        </w:rPr>
        <w:t> </w:t>
      </w:r>
      <w:r>
        <w:rPr/>
        <w:t>travel</w:t>
      </w:r>
      <w:r>
        <w:rPr>
          <w:spacing w:val="-4"/>
        </w:rPr>
        <w:t> </w:t>
      </w:r>
      <w:r>
        <w:rPr/>
        <w:t>within</w:t>
      </w:r>
      <w:r>
        <w:rPr>
          <w:spacing w:val="-4"/>
        </w:rPr>
        <w:t> </w:t>
      </w:r>
      <w:r>
        <w:rPr/>
        <w:t>shelters</w:t>
      </w:r>
      <w:r>
        <w:rPr>
          <w:spacing w:val="-4"/>
        </w:rPr>
        <w:t> </w:t>
      </w:r>
      <w:r>
        <w:rPr/>
        <w:t>between</w:t>
      </w:r>
      <w:r>
        <w:rPr>
          <w:spacing w:val="-4"/>
        </w:rPr>
        <w:t> </w:t>
      </w:r>
      <w:r>
        <w:rPr/>
        <w:t>CoCs</w:t>
      </w:r>
      <w:r>
        <w:rPr>
          <w:spacing w:val="-4"/>
        </w:rPr>
        <w:t> </w:t>
      </w:r>
      <w:r>
        <w:rPr/>
        <w:t>-</w:t>
      </w:r>
      <w:r>
        <w:rPr>
          <w:spacing w:val="-5"/>
        </w:rPr>
        <w:t> </w:t>
      </w:r>
      <w:r>
        <w:rPr/>
        <w:t>such</w:t>
      </w:r>
      <w:r>
        <w:rPr>
          <w:spacing w:val="-4"/>
        </w:rPr>
        <w:t> </w:t>
      </w:r>
      <w:r>
        <w:rPr/>
        <w:t>as</w:t>
      </w:r>
      <w:r>
        <w:rPr>
          <w:spacing w:val="-4"/>
        </w:rPr>
        <w:t> </w:t>
      </w:r>
      <w:r>
        <w:rPr/>
        <w:t>from</w:t>
      </w:r>
      <w:r>
        <w:rPr>
          <w:spacing w:val="-4"/>
        </w:rPr>
        <w:t> </w:t>
      </w:r>
      <w:r>
        <w:rPr/>
        <w:t>Boston</w:t>
      </w:r>
      <w:r>
        <w:rPr>
          <w:spacing w:val="-4"/>
        </w:rPr>
        <w:t> </w:t>
      </w:r>
      <w:r>
        <w:rPr/>
        <w:t>to</w:t>
      </w:r>
      <w:r>
        <w:rPr>
          <w:spacing w:val="-4"/>
        </w:rPr>
        <w:t> </w:t>
      </w:r>
      <w:r>
        <w:rPr/>
        <w:t>Salem</w:t>
      </w:r>
      <w:r>
        <w:rPr>
          <w:spacing w:val="-3"/>
        </w:rPr>
        <w:t> </w:t>
      </w:r>
      <w:r>
        <w:rPr/>
        <w:t>-</w:t>
      </w:r>
      <w:r>
        <w:rPr>
          <w:spacing w:val="-4"/>
        </w:rPr>
        <w:t> </w:t>
      </w:r>
      <w:r>
        <w:rPr/>
        <w:t>can</w:t>
      </w:r>
      <w:r>
        <w:rPr>
          <w:spacing w:val="-2"/>
        </w:rPr>
        <w:t> </w:t>
      </w:r>
      <w:r>
        <w:rPr/>
        <w:t>be subject</w:t>
      </w:r>
      <w:r>
        <w:rPr>
          <w:spacing w:val="-8"/>
        </w:rPr>
        <w:t> </w:t>
      </w:r>
      <w:r>
        <w:rPr/>
        <w:t>to</w:t>
      </w:r>
      <w:r>
        <w:rPr>
          <w:spacing w:val="-7"/>
        </w:rPr>
        <w:t> </w:t>
      </w:r>
      <w:r>
        <w:rPr/>
        <w:t>a</w:t>
      </w:r>
      <w:r>
        <w:rPr>
          <w:spacing w:val="-8"/>
        </w:rPr>
        <w:t> </w:t>
      </w:r>
      <w:r>
        <w:rPr/>
        <w:t>systemic</w:t>
      </w:r>
      <w:r>
        <w:rPr>
          <w:spacing w:val="-8"/>
        </w:rPr>
        <w:t> </w:t>
      </w:r>
      <w:r>
        <w:rPr/>
        <w:t>error</w:t>
      </w:r>
      <w:r>
        <w:rPr>
          <w:spacing w:val="-7"/>
        </w:rPr>
        <w:t> </w:t>
      </w:r>
      <w:r>
        <w:rPr/>
        <w:t>that</w:t>
      </w:r>
      <w:r>
        <w:rPr>
          <w:spacing w:val="-8"/>
        </w:rPr>
        <w:t> </w:t>
      </w:r>
      <w:r>
        <w:rPr/>
        <w:t>disrupts</w:t>
      </w:r>
      <w:r>
        <w:rPr>
          <w:spacing w:val="-6"/>
        </w:rPr>
        <w:t> </w:t>
      </w:r>
      <w:r>
        <w:rPr/>
        <w:t>their</w:t>
      </w:r>
      <w:r>
        <w:rPr>
          <w:spacing w:val="-7"/>
        </w:rPr>
        <w:t> </w:t>
      </w:r>
      <w:r>
        <w:rPr/>
        <w:t>count</w:t>
      </w:r>
      <w:r>
        <w:rPr>
          <w:spacing w:val="-9"/>
        </w:rPr>
        <w:t> </w:t>
      </w:r>
      <w:r>
        <w:rPr/>
        <w:t>of</w:t>
      </w:r>
      <w:r>
        <w:rPr>
          <w:spacing w:val="-7"/>
        </w:rPr>
        <w:t> </w:t>
      </w:r>
      <w:r>
        <w:rPr/>
        <w:t>‘days</w:t>
      </w:r>
      <w:r>
        <w:rPr>
          <w:spacing w:val="-8"/>
        </w:rPr>
        <w:t> </w:t>
      </w:r>
      <w:r>
        <w:rPr/>
        <w:t>of</w:t>
      </w:r>
      <w:r>
        <w:rPr>
          <w:spacing w:val="-9"/>
        </w:rPr>
        <w:t> </w:t>
      </w:r>
      <w:r>
        <w:rPr/>
        <w:t>homelessness’,</w:t>
      </w:r>
      <w:r>
        <w:rPr>
          <w:spacing w:val="-8"/>
        </w:rPr>
        <w:t> </w:t>
      </w:r>
      <w:r>
        <w:rPr/>
        <w:t>thus</w:t>
      </w:r>
      <w:r>
        <w:rPr>
          <w:spacing w:val="-8"/>
        </w:rPr>
        <w:t> </w:t>
      </w:r>
      <w:r>
        <w:rPr/>
        <w:t>potentially</w:t>
      </w:r>
      <w:r>
        <w:rPr>
          <w:spacing w:val="-7"/>
        </w:rPr>
        <w:t> </w:t>
      </w:r>
      <w:r>
        <w:rPr/>
        <w:t>moving them down on the priority list for a housing voucher.</w:t>
      </w:r>
    </w:p>
    <w:p>
      <w:pPr>
        <w:pStyle w:val="BodyText"/>
        <w:spacing w:line="276" w:lineRule="auto" w:before="239"/>
        <w:ind w:left="463" w:right="400"/>
        <w:jc w:val="both"/>
      </w:pPr>
      <w:r>
        <w:rPr/>
        <w:t>While</w:t>
      </w:r>
      <w:r>
        <w:rPr>
          <w:spacing w:val="-8"/>
        </w:rPr>
        <w:t> </w:t>
      </w:r>
      <w:r>
        <w:rPr/>
        <w:t>EOHLC</w:t>
      </w:r>
      <w:r>
        <w:rPr>
          <w:spacing w:val="-6"/>
        </w:rPr>
        <w:t> </w:t>
      </w:r>
      <w:r>
        <w:rPr/>
        <w:t>has</w:t>
      </w:r>
      <w:r>
        <w:rPr>
          <w:spacing w:val="-8"/>
        </w:rPr>
        <w:t> </w:t>
      </w:r>
      <w:r>
        <w:rPr/>
        <w:t>informed</w:t>
      </w:r>
      <w:r>
        <w:rPr>
          <w:spacing w:val="-7"/>
        </w:rPr>
        <w:t> </w:t>
      </w:r>
      <w:r>
        <w:rPr/>
        <w:t>the</w:t>
      </w:r>
      <w:r>
        <w:rPr>
          <w:spacing w:val="-9"/>
        </w:rPr>
        <w:t> </w:t>
      </w:r>
      <w:r>
        <w:rPr/>
        <w:t>Commission</w:t>
      </w:r>
      <w:r>
        <w:rPr>
          <w:spacing w:val="-9"/>
        </w:rPr>
        <w:t> </w:t>
      </w:r>
      <w:r>
        <w:rPr/>
        <w:t>that</w:t>
      </w:r>
      <w:r>
        <w:rPr>
          <w:spacing w:val="-8"/>
        </w:rPr>
        <w:t> </w:t>
      </w:r>
      <w:r>
        <w:rPr/>
        <w:t>a</w:t>
      </w:r>
      <w:r>
        <w:rPr>
          <w:spacing w:val="-8"/>
        </w:rPr>
        <w:t> </w:t>
      </w:r>
      <w:r>
        <w:rPr/>
        <w:t>new</w:t>
      </w:r>
      <w:r>
        <w:rPr>
          <w:spacing w:val="-7"/>
        </w:rPr>
        <w:t> </w:t>
      </w:r>
      <w:r>
        <w:rPr/>
        <w:t>coordinated</w:t>
      </w:r>
      <w:r>
        <w:rPr>
          <w:spacing w:val="-8"/>
        </w:rPr>
        <w:t> </w:t>
      </w:r>
      <w:r>
        <w:rPr/>
        <w:t>care</w:t>
      </w:r>
      <w:r>
        <w:rPr>
          <w:spacing w:val="-9"/>
        </w:rPr>
        <w:t> </w:t>
      </w:r>
      <w:r>
        <w:rPr/>
        <w:t>component</w:t>
      </w:r>
      <w:r>
        <w:rPr>
          <w:spacing w:val="-8"/>
        </w:rPr>
        <w:t> </w:t>
      </w:r>
      <w:r>
        <w:rPr/>
        <w:t>has</w:t>
      </w:r>
      <w:r>
        <w:rPr>
          <w:spacing w:val="-8"/>
        </w:rPr>
        <w:t> </w:t>
      </w:r>
      <w:r>
        <w:rPr/>
        <w:t>been</w:t>
      </w:r>
      <w:r>
        <w:rPr>
          <w:spacing w:val="-8"/>
        </w:rPr>
        <w:t> </w:t>
      </w:r>
      <w:r>
        <w:rPr/>
        <w:t>created to better track</w:t>
      </w:r>
      <w:r>
        <w:rPr>
          <w:spacing w:val="-1"/>
        </w:rPr>
        <w:t> </w:t>
      </w:r>
      <w:r>
        <w:rPr/>
        <w:t>the comings and goings of individuals, it</w:t>
      </w:r>
      <w:r>
        <w:rPr>
          <w:spacing w:val="-1"/>
        </w:rPr>
        <w:t> </w:t>
      </w:r>
      <w:r>
        <w:rPr/>
        <w:t>also notes that</w:t>
      </w:r>
      <w:r>
        <w:rPr>
          <w:spacing w:val="-1"/>
        </w:rPr>
        <w:t> </w:t>
      </w:r>
      <w:r>
        <w:rPr/>
        <w:t>this component</w:t>
      </w:r>
      <w:r>
        <w:rPr>
          <w:spacing w:val="-1"/>
        </w:rPr>
        <w:t> </w:t>
      </w:r>
      <w:r>
        <w:rPr/>
        <w:t>is note</w:t>
      </w:r>
      <w:r>
        <w:rPr>
          <w:spacing w:val="-1"/>
        </w:rPr>
        <w:t> </w:t>
      </w:r>
      <w:r>
        <w:rPr/>
        <w:t>widely utilized</w:t>
      </w:r>
      <w:r>
        <w:rPr>
          <w:spacing w:val="-12"/>
        </w:rPr>
        <w:t> </w:t>
      </w:r>
      <w:r>
        <w:rPr/>
        <w:t>-</w:t>
      </w:r>
      <w:r>
        <w:rPr>
          <w:spacing w:val="-11"/>
        </w:rPr>
        <w:t> </w:t>
      </w:r>
      <w:r>
        <w:rPr/>
        <w:t>nor</w:t>
      </w:r>
      <w:r>
        <w:rPr>
          <w:spacing w:val="-11"/>
        </w:rPr>
        <w:t> </w:t>
      </w:r>
      <w:r>
        <w:rPr/>
        <w:t>does</w:t>
      </w:r>
      <w:r>
        <w:rPr>
          <w:spacing w:val="-12"/>
        </w:rPr>
        <w:t> </w:t>
      </w:r>
      <w:r>
        <w:rPr/>
        <w:t>EOHLC</w:t>
      </w:r>
      <w:r>
        <w:rPr>
          <w:spacing w:val="-11"/>
        </w:rPr>
        <w:t> </w:t>
      </w:r>
      <w:r>
        <w:rPr/>
        <w:t>have</w:t>
      </w:r>
      <w:r>
        <w:rPr>
          <w:spacing w:val="-13"/>
        </w:rPr>
        <w:t> </w:t>
      </w:r>
      <w:r>
        <w:rPr/>
        <w:t>the</w:t>
      </w:r>
      <w:r>
        <w:rPr>
          <w:spacing w:val="-12"/>
        </w:rPr>
        <w:t> </w:t>
      </w:r>
      <w:r>
        <w:rPr/>
        <w:t>authority</w:t>
      </w:r>
      <w:r>
        <w:rPr>
          <w:spacing w:val="-12"/>
        </w:rPr>
        <w:t> </w:t>
      </w:r>
      <w:r>
        <w:rPr/>
        <w:t>to</w:t>
      </w:r>
      <w:r>
        <w:rPr>
          <w:spacing w:val="-11"/>
        </w:rPr>
        <w:t> </w:t>
      </w:r>
      <w:r>
        <w:rPr/>
        <w:t>require</w:t>
      </w:r>
      <w:r>
        <w:rPr>
          <w:spacing w:val="-12"/>
        </w:rPr>
        <w:t> </w:t>
      </w:r>
      <w:r>
        <w:rPr/>
        <w:t>CoCs</w:t>
      </w:r>
      <w:r>
        <w:rPr>
          <w:spacing w:val="-12"/>
        </w:rPr>
        <w:t> </w:t>
      </w:r>
      <w:r>
        <w:rPr/>
        <w:t>to</w:t>
      </w:r>
      <w:r>
        <w:rPr>
          <w:spacing w:val="-12"/>
        </w:rPr>
        <w:t> </w:t>
      </w:r>
      <w:r>
        <w:rPr/>
        <w:t>utilize</w:t>
      </w:r>
      <w:r>
        <w:rPr>
          <w:spacing w:val="-13"/>
        </w:rPr>
        <w:t> </w:t>
      </w:r>
      <w:r>
        <w:rPr/>
        <w:t>the</w:t>
      </w:r>
      <w:r>
        <w:rPr>
          <w:spacing w:val="-12"/>
        </w:rPr>
        <w:t> </w:t>
      </w:r>
      <w:r>
        <w:rPr/>
        <w:t>component.</w:t>
      </w:r>
      <w:r>
        <w:rPr>
          <w:spacing w:val="-12"/>
        </w:rPr>
        <w:t> </w:t>
      </w:r>
      <w:r>
        <w:rPr/>
        <w:t>The</w:t>
      </w:r>
      <w:r>
        <w:rPr>
          <w:spacing w:val="-12"/>
        </w:rPr>
        <w:t> </w:t>
      </w:r>
      <w:r>
        <w:rPr/>
        <w:t>Commission emphasizes its concerns that this problem continues to unfairly penalize youth and expresses the necessity of state to commit to its responsibility to ensure that young people and providers have the needed tools and information to reduce instances of homelessness.</w:t>
      </w:r>
    </w:p>
    <w:p>
      <w:pPr>
        <w:numPr>
          <w:ilvl w:val="0"/>
          <w:numId w:val="24"/>
        </w:numPr>
        <w:tabs>
          <w:tab w:pos="462" w:val="left" w:leader="none"/>
        </w:tabs>
        <w:spacing w:before="239"/>
        <w:ind w:left="462" w:right="0" w:hanging="358"/>
        <w:jc w:val="left"/>
        <w:rPr>
          <w:b/>
          <w:sz w:val="22"/>
        </w:rPr>
      </w:pPr>
      <w:r>
        <w:rPr>
          <w:b/>
          <w:sz w:val="22"/>
        </w:rPr>
        <w:t>Improve</w:t>
      </w:r>
      <w:r>
        <w:rPr>
          <w:b/>
          <w:spacing w:val="-12"/>
          <w:sz w:val="22"/>
        </w:rPr>
        <w:t> </w:t>
      </w:r>
      <w:r>
        <w:rPr>
          <w:b/>
          <w:sz w:val="22"/>
        </w:rPr>
        <w:t>multicultural,</w:t>
      </w:r>
      <w:r>
        <w:rPr>
          <w:b/>
          <w:spacing w:val="-11"/>
          <w:sz w:val="22"/>
        </w:rPr>
        <w:t> </w:t>
      </w:r>
      <w:r>
        <w:rPr>
          <w:b/>
          <w:sz w:val="22"/>
        </w:rPr>
        <w:t>LGBTQ-affirming</w:t>
      </w:r>
      <w:r>
        <w:rPr>
          <w:b/>
          <w:spacing w:val="-12"/>
          <w:sz w:val="22"/>
        </w:rPr>
        <w:t> </w:t>
      </w:r>
      <w:r>
        <w:rPr>
          <w:b/>
          <w:sz w:val="22"/>
        </w:rPr>
        <w:t>housing</w:t>
      </w:r>
      <w:r>
        <w:rPr>
          <w:b/>
          <w:spacing w:val="-11"/>
          <w:sz w:val="22"/>
        </w:rPr>
        <w:t> </w:t>
      </w:r>
      <w:r>
        <w:rPr>
          <w:b/>
          <w:sz w:val="22"/>
        </w:rPr>
        <w:t>resources</w:t>
      </w:r>
      <w:r>
        <w:rPr>
          <w:b/>
          <w:spacing w:val="-11"/>
          <w:sz w:val="22"/>
        </w:rPr>
        <w:t> </w:t>
      </w:r>
      <w:r>
        <w:rPr>
          <w:b/>
          <w:sz w:val="22"/>
        </w:rPr>
        <w:t>for</w:t>
      </w:r>
      <w:r>
        <w:rPr>
          <w:b/>
          <w:spacing w:val="-12"/>
          <w:sz w:val="22"/>
        </w:rPr>
        <w:t> </w:t>
      </w:r>
      <w:r>
        <w:rPr>
          <w:b/>
          <w:sz w:val="22"/>
        </w:rPr>
        <w:t>immigrants</w:t>
      </w:r>
      <w:r>
        <w:rPr>
          <w:b/>
          <w:spacing w:val="-11"/>
          <w:sz w:val="22"/>
        </w:rPr>
        <w:t> </w:t>
      </w:r>
      <w:r>
        <w:rPr>
          <w:b/>
          <w:sz w:val="22"/>
        </w:rPr>
        <w:t>and</w:t>
      </w:r>
      <w:r>
        <w:rPr>
          <w:b/>
          <w:spacing w:val="-11"/>
          <w:sz w:val="22"/>
        </w:rPr>
        <w:t> </w:t>
      </w:r>
      <w:r>
        <w:rPr>
          <w:b/>
          <w:spacing w:val="-2"/>
          <w:sz w:val="22"/>
        </w:rPr>
        <w:t>refugees.</w:t>
      </w:r>
    </w:p>
    <w:p>
      <w:pPr>
        <w:pStyle w:val="BodyText"/>
        <w:spacing w:before="13"/>
        <w:rPr>
          <w:b/>
        </w:rPr>
      </w:pPr>
    </w:p>
    <w:p>
      <w:pPr>
        <w:pStyle w:val="BodyText"/>
        <w:spacing w:line="276" w:lineRule="auto"/>
        <w:ind w:left="463" w:right="401"/>
        <w:jc w:val="both"/>
      </w:pPr>
      <w:r>
        <w:rPr/>
        <w:t>Over the last year, Massachusetts has noted a significant uptick in new arrivals to the state; in its conversations</w:t>
      </w:r>
      <w:r>
        <w:rPr>
          <w:spacing w:val="-1"/>
        </w:rPr>
        <w:t> </w:t>
      </w:r>
      <w:r>
        <w:rPr/>
        <w:t>with</w:t>
      </w:r>
      <w:r>
        <w:rPr>
          <w:spacing w:val="-2"/>
        </w:rPr>
        <w:t> </w:t>
      </w:r>
      <w:r>
        <w:rPr/>
        <w:t>refugee</w:t>
      </w:r>
      <w:r>
        <w:rPr>
          <w:spacing w:val="-2"/>
        </w:rPr>
        <w:t> </w:t>
      </w:r>
      <w:r>
        <w:rPr/>
        <w:t>service</w:t>
      </w:r>
      <w:r>
        <w:rPr>
          <w:spacing w:val="-2"/>
        </w:rPr>
        <w:t> </w:t>
      </w:r>
      <w:r>
        <w:rPr/>
        <w:t>providers</w:t>
      </w:r>
      <w:r>
        <w:rPr>
          <w:spacing w:val="-1"/>
        </w:rPr>
        <w:t> </w:t>
      </w:r>
      <w:r>
        <w:rPr/>
        <w:t>across</w:t>
      </w:r>
      <w:r>
        <w:rPr>
          <w:spacing w:val="-1"/>
        </w:rPr>
        <w:t> </w:t>
      </w:r>
      <w:r>
        <w:rPr/>
        <w:t>the</w:t>
      </w:r>
      <w:r>
        <w:rPr>
          <w:spacing w:val="-2"/>
        </w:rPr>
        <w:t> </w:t>
      </w:r>
      <w:r>
        <w:rPr/>
        <w:t>state,</w:t>
      </w:r>
      <w:r>
        <w:rPr>
          <w:spacing w:val="-1"/>
        </w:rPr>
        <w:t> </w:t>
      </w:r>
      <w:r>
        <w:rPr/>
        <w:t>the Commission</w:t>
      </w:r>
      <w:r>
        <w:rPr>
          <w:spacing w:val="-2"/>
        </w:rPr>
        <w:t> </w:t>
      </w:r>
      <w:r>
        <w:rPr/>
        <w:t>been</w:t>
      </w:r>
      <w:r>
        <w:rPr>
          <w:spacing w:val="-1"/>
        </w:rPr>
        <w:t> </w:t>
      </w:r>
      <w:r>
        <w:rPr/>
        <w:t>notified</w:t>
      </w:r>
      <w:r>
        <w:rPr>
          <w:spacing w:val="-1"/>
        </w:rPr>
        <w:t> </w:t>
      </w:r>
      <w:r>
        <w:rPr/>
        <w:t>that</w:t>
      </w:r>
      <w:r>
        <w:rPr>
          <w:spacing w:val="-1"/>
        </w:rPr>
        <w:t> </w:t>
      </w:r>
      <w:r>
        <w:rPr/>
        <w:t>this uptick</w:t>
      </w:r>
      <w:r>
        <w:rPr>
          <w:spacing w:val="-7"/>
        </w:rPr>
        <w:t> </w:t>
      </w:r>
      <w:r>
        <w:rPr/>
        <w:t>has</w:t>
      </w:r>
      <w:r>
        <w:rPr>
          <w:spacing w:val="-7"/>
        </w:rPr>
        <w:t> </w:t>
      </w:r>
      <w:r>
        <w:rPr/>
        <w:t>also</w:t>
      </w:r>
      <w:r>
        <w:rPr>
          <w:spacing w:val="-7"/>
        </w:rPr>
        <w:t> </w:t>
      </w:r>
      <w:r>
        <w:rPr/>
        <w:t>been</w:t>
      </w:r>
      <w:r>
        <w:rPr>
          <w:spacing w:val="-7"/>
        </w:rPr>
        <w:t> </w:t>
      </w:r>
      <w:r>
        <w:rPr/>
        <w:t>seen</w:t>
      </w:r>
      <w:r>
        <w:rPr>
          <w:spacing w:val="-6"/>
        </w:rPr>
        <w:t> </w:t>
      </w:r>
      <w:r>
        <w:rPr/>
        <w:t>with</w:t>
      </w:r>
      <w:r>
        <w:rPr>
          <w:spacing w:val="-7"/>
        </w:rPr>
        <w:t> </w:t>
      </w:r>
      <w:r>
        <w:rPr/>
        <w:t>LGBTQ</w:t>
      </w:r>
      <w:r>
        <w:rPr>
          <w:spacing w:val="-8"/>
        </w:rPr>
        <w:t> </w:t>
      </w:r>
      <w:r>
        <w:rPr/>
        <w:t>-</w:t>
      </w:r>
      <w:r>
        <w:rPr>
          <w:spacing w:val="-6"/>
        </w:rPr>
        <w:t> </w:t>
      </w:r>
      <w:r>
        <w:rPr/>
        <w:t>particularly</w:t>
      </w:r>
      <w:r>
        <w:rPr>
          <w:spacing w:val="-7"/>
        </w:rPr>
        <w:t> </w:t>
      </w:r>
      <w:r>
        <w:rPr/>
        <w:t>transgender</w:t>
      </w:r>
      <w:r>
        <w:rPr>
          <w:spacing w:val="-6"/>
        </w:rPr>
        <w:t> </w:t>
      </w:r>
      <w:r>
        <w:rPr/>
        <w:t>-</w:t>
      </w:r>
      <w:r>
        <w:rPr>
          <w:spacing w:val="-8"/>
        </w:rPr>
        <w:t> </w:t>
      </w:r>
      <w:r>
        <w:rPr/>
        <w:t>arrivals.</w:t>
      </w:r>
      <w:r>
        <w:rPr>
          <w:spacing w:val="-8"/>
        </w:rPr>
        <w:t> </w:t>
      </w:r>
      <w:r>
        <w:rPr/>
        <w:t>As</w:t>
      </w:r>
      <w:r>
        <w:rPr>
          <w:spacing w:val="-7"/>
        </w:rPr>
        <w:t> </w:t>
      </w:r>
      <w:r>
        <w:rPr/>
        <w:t>more</w:t>
      </w:r>
      <w:r>
        <w:rPr>
          <w:spacing w:val="-8"/>
        </w:rPr>
        <w:t> </w:t>
      </w:r>
      <w:r>
        <w:rPr/>
        <w:t>LGBTQ</w:t>
      </w:r>
      <w:r>
        <w:rPr>
          <w:spacing w:val="-7"/>
        </w:rPr>
        <w:t> </w:t>
      </w:r>
      <w:r>
        <w:rPr/>
        <w:t>immigrants, refugees, and asylee seekers arrive in Massachusetts, it is critical that the state examine its existing services and the clear gaps in resources and programming, particularly around affordable housing.</w:t>
      </w:r>
    </w:p>
    <w:p>
      <w:pPr>
        <w:spacing w:after="0" w:line="276" w:lineRule="auto"/>
        <w:jc w:val="both"/>
        <w:sectPr>
          <w:pgSz w:w="12240" w:h="15840"/>
          <w:pgMar w:header="765" w:footer="1127" w:top="1280" w:bottom="1380" w:left="1120" w:right="1180"/>
        </w:sectPr>
      </w:pPr>
    </w:p>
    <w:p>
      <w:pPr>
        <w:spacing w:before="90"/>
        <w:ind w:left="464" w:right="0" w:firstLine="0"/>
        <w:jc w:val="left"/>
        <w:rPr>
          <w:sz w:val="28"/>
        </w:rPr>
      </w:pPr>
      <w:bookmarkStart w:name="Understanding LGBTQ Youth Homelessness" w:id="484"/>
      <w:bookmarkEnd w:id="484"/>
      <w:r>
        <w:rPr/>
      </w:r>
      <w:r>
        <w:rPr>
          <w:color w:val="365F91"/>
          <w:sz w:val="28"/>
        </w:rPr>
        <w:t>Understanding</w:t>
      </w:r>
      <w:r>
        <w:rPr>
          <w:color w:val="365F91"/>
          <w:spacing w:val="-13"/>
          <w:sz w:val="28"/>
        </w:rPr>
        <w:t> </w:t>
      </w:r>
      <w:r>
        <w:rPr>
          <w:color w:val="365F91"/>
          <w:sz w:val="28"/>
        </w:rPr>
        <w:t>LGBTQ</w:t>
      </w:r>
      <w:r>
        <w:rPr>
          <w:color w:val="365F91"/>
          <w:spacing w:val="-13"/>
          <w:sz w:val="28"/>
        </w:rPr>
        <w:t> </w:t>
      </w:r>
      <w:r>
        <w:rPr>
          <w:color w:val="365F91"/>
          <w:sz w:val="28"/>
        </w:rPr>
        <w:t>Youth</w:t>
      </w:r>
      <w:r>
        <w:rPr>
          <w:color w:val="365F91"/>
          <w:spacing w:val="-14"/>
          <w:sz w:val="28"/>
        </w:rPr>
        <w:t> </w:t>
      </w:r>
      <w:r>
        <w:rPr>
          <w:color w:val="365F91"/>
          <w:spacing w:val="-2"/>
          <w:sz w:val="28"/>
        </w:rPr>
        <w:t>Homelessness</w:t>
      </w:r>
    </w:p>
    <w:p>
      <w:pPr>
        <w:pStyle w:val="BodyText"/>
        <w:spacing w:before="10"/>
        <w:rPr>
          <w:sz w:val="3"/>
        </w:rPr>
      </w:pPr>
      <w:r>
        <w:rPr/>
        <mc:AlternateContent>
          <mc:Choice Requires="wps">
            <w:drawing>
              <wp:anchor distT="0" distB="0" distL="0" distR="0" allowOverlap="1" layoutInCell="1" locked="0" behindDoc="1" simplePos="0" relativeHeight="487655424">
                <wp:simplePos x="0" y="0"/>
                <wp:positionH relativeFrom="page">
                  <wp:posOffset>986789</wp:posOffset>
                </wp:positionH>
                <wp:positionV relativeFrom="paragraph">
                  <wp:posOffset>45290</wp:posOffset>
                </wp:positionV>
                <wp:extent cx="5799455" cy="6350"/>
                <wp:effectExtent l="0" t="0" r="0" b="0"/>
                <wp:wrapTopAndBottom/>
                <wp:docPr id="364" name="Graphic 364"/>
                <wp:cNvGraphicFramePr>
                  <a:graphicFrameLocks/>
                </wp:cNvGraphicFramePr>
                <a:graphic>
                  <a:graphicData uri="http://schemas.microsoft.com/office/word/2010/wordprocessingShape">
                    <wps:wsp>
                      <wps:cNvPr id="364" name="Graphic 364"/>
                      <wps:cNvSpPr/>
                      <wps:spPr>
                        <a:xfrm>
                          <a:off x="0" y="0"/>
                          <a:ext cx="5799455" cy="6350"/>
                        </a:xfrm>
                        <a:custGeom>
                          <a:avLst/>
                          <a:gdLst/>
                          <a:ahLst/>
                          <a:cxnLst/>
                          <a:rect l="l" t="t" r="r" b="b"/>
                          <a:pathLst>
                            <a:path w="5799455" h="6350">
                              <a:moveTo>
                                <a:pt x="5798832" y="0"/>
                              </a:moveTo>
                              <a:lnTo>
                                <a:pt x="0" y="0"/>
                              </a:lnTo>
                              <a:lnTo>
                                <a:pt x="0" y="6108"/>
                              </a:lnTo>
                              <a:lnTo>
                                <a:pt x="5798832" y="6108"/>
                              </a:lnTo>
                              <a:lnTo>
                                <a:pt x="5798832" y="0"/>
                              </a:lnTo>
                              <a:close/>
                            </a:path>
                          </a:pathLst>
                        </a:custGeom>
                        <a:solidFill>
                          <a:srgbClr val="4F81BC"/>
                        </a:solidFill>
                      </wps:spPr>
                      <wps:bodyPr wrap="square" lIns="0" tIns="0" rIns="0" bIns="0" rtlCol="0">
                        <a:prstTxWarp prst="textNoShape">
                          <a:avLst/>
                        </a:prstTxWarp>
                        <a:noAutofit/>
                      </wps:bodyPr>
                    </wps:wsp>
                  </a:graphicData>
                </a:graphic>
              </wp:anchor>
            </w:drawing>
          </mc:Choice>
          <mc:Fallback>
            <w:pict>
              <v:rect style="position:absolute;margin-left:77.699997pt;margin-top:3.566207pt;width:456.601pt;height:.481pt;mso-position-horizontal-relative:page;mso-position-vertical-relative:paragraph;z-index:-15661056;mso-wrap-distance-left:0;mso-wrap-distance-right:0" id="docshape291" filled="true" fillcolor="#4f81bc" stroked="false">
                <v:fill type="solid"/>
                <w10:wrap type="topAndBottom"/>
              </v:rect>
            </w:pict>
          </mc:Fallback>
        </mc:AlternateContent>
      </w:r>
    </w:p>
    <w:p>
      <w:pPr>
        <w:pStyle w:val="BodyText"/>
        <w:spacing w:line="276" w:lineRule="auto" w:before="241"/>
        <w:ind w:left="463" w:right="399"/>
        <w:jc w:val="both"/>
      </w:pPr>
      <w:r>
        <w:rPr/>
        <w:t>Youth homelessness is a complex public health issue that is further complicated by the overrepresentation</w:t>
      </w:r>
      <w:r>
        <w:rPr>
          <w:spacing w:val="-11"/>
        </w:rPr>
        <w:t> </w:t>
      </w:r>
      <w:r>
        <w:rPr/>
        <w:t>of</w:t>
      </w:r>
      <w:r>
        <w:rPr>
          <w:spacing w:val="-12"/>
        </w:rPr>
        <w:t> </w:t>
      </w:r>
      <w:r>
        <w:rPr/>
        <w:t>LGBTQ</w:t>
      </w:r>
      <w:r>
        <w:rPr>
          <w:spacing w:val="-11"/>
        </w:rPr>
        <w:t> </w:t>
      </w:r>
      <w:r>
        <w:rPr/>
        <w:t>youth</w:t>
      </w:r>
      <w:r>
        <w:rPr>
          <w:spacing w:val="-11"/>
        </w:rPr>
        <w:t> </w:t>
      </w:r>
      <w:r>
        <w:rPr/>
        <w:t>among</w:t>
      </w:r>
      <w:r>
        <w:rPr>
          <w:spacing w:val="-11"/>
        </w:rPr>
        <w:t> </w:t>
      </w:r>
      <w:r>
        <w:rPr/>
        <w:t>the</w:t>
      </w:r>
      <w:r>
        <w:rPr>
          <w:spacing w:val="-11"/>
        </w:rPr>
        <w:t> </w:t>
      </w:r>
      <w:r>
        <w:rPr/>
        <w:t>general</w:t>
      </w:r>
      <w:r>
        <w:rPr>
          <w:spacing w:val="-12"/>
        </w:rPr>
        <w:t> </w:t>
      </w:r>
      <w:r>
        <w:rPr/>
        <w:t>youth</w:t>
      </w:r>
      <w:r>
        <w:rPr>
          <w:spacing w:val="-10"/>
        </w:rPr>
        <w:t> </w:t>
      </w:r>
      <w:r>
        <w:rPr/>
        <w:t>population</w:t>
      </w:r>
      <w:r>
        <w:rPr>
          <w:spacing w:val="-11"/>
        </w:rPr>
        <w:t> </w:t>
      </w:r>
      <w:r>
        <w:rPr/>
        <w:t>experiencing</w:t>
      </w:r>
      <w:r>
        <w:rPr>
          <w:spacing w:val="-11"/>
        </w:rPr>
        <w:t> </w:t>
      </w:r>
      <w:r>
        <w:rPr/>
        <w:t>homelessness.</w:t>
      </w:r>
      <w:hyperlink w:history="true" w:anchor="_bookmark280">
        <w:r>
          <w:rPr>
            <w:vertAlign w:val="superscript"/>
          </w:rPr>
          <w:t>7</w:t>
        </w:r>
      </w:hyperlink>
      <w:r>
        <w:rPr>
          <w:vertAlign w:val="baseline"/>
        </w:rPr>
        <w:t> According to data collected by True Colors United, LGBTQ youth are nationally 120% more likely to experience homelessness than their peers with 40% of youth experiencing homelessness identifying as LGBTQ.</w:t>
      </w:r>
      <w:hyperlink w:history="true" w:anchor="_bookmark281">
        <w:r>
          <w:rPr>
            <w:vertAlign w:val="superscript"/>
          </w:rPr>
          <w:t>8</w:t>
        </w:r>
      </w:hyperlink>
      <w:r>
        <w:rPr>
          <w:vertAlign w:val="baseline"/>
        </w:rPr>
        <w:t> In the most recent Massachusetts Youth Count, 30% of the youth surveyed identify as LGBTQ. Across the nation, LGBTQ youth are at an increased risk of experiencing homelessness and housing insecurity for being disproportionately impacted by multiple risk factors that lead to homelessness including mental health challenges, family rejection, bullying, discrimination, poverty, and racism. Although the Commonwealth has made tremendous strides in combatting the youth homelessness</w:t>
      </w:r>
      <w:r>
        <w:rPr>
          <w:spacing w:val="-8"/>
          <w:vertAlign w:val="baseline"/>
        </w:rPr>
        <w:t> </w:t>
      </w:r>
      <w:r>
        <w:rPr>
          <w:vertAlign w:val="baseline"/>
        </w:rPr>
        <w:t>crisis,</w:t>
      </w:r>
      <w:r>
        <w:rPr>
          <w:spacing w:val="-8"/>
          <w:vertAlign w:val="baseline"/>
        </w:rPr>
        <w:t> </w:t>
      </w:r>
      <w:r>
        <w:rPr>
          <w:vertAlign w:val="baseline"/>
        </w:rPr>
        <w:t>LGBTQ</w:t>
      </w:r>
      <w:r>
        <w:rPr>
          <w:spacing w:val="-9"/>
          <w:vertAlign w:val="baseline"/>
        </w:rPr>
        <w:t> </w:t>
      </w:r>
      <w:r>
        <w:rPr>
          <w:vertAlign w:val="baseline"/>
        </w:rPr>
        <w:t>youth</w:t>
      </w:r>
      <w:r>
        <w:rPr>
          <w:spacing w:val="-8"/>
          <w:vertAlign w:val="baseline"/>
        </w:rPr>
        <w:t> </w:t>
      </w:r>
      <w:r>
        <w:rPr>
          <w:vertAlign w:val="baseline"/>
        </w:rPr>
        <w:t>populations</w:t>
      </w:r>
      <w:r>
        <w:rPr>
          <w:spacing w:val="-8"/>
          <w:vertAlign w:val="baseline"/>
        </w:rPr>
        <w:t> </w:t>
      </w:r>
      <w:r>
        <w:rPr>
          <w:vertAlign w:val="baseline"/>
        </w:rPr>
        <w:t>continue</w:t>
      </w:r>
      <w:r>
        <w:rPr>
          <w:spacing w:val="-9"/>
          <w:vertAlign w:val="baseline"/>
        </w:rPr>
        <w:t> </w:t>
      </w:r>
      <w:r>
        <w:rPr>
          <w:vertAlign w:val="baseline"/>
        </w:rPr>
        <w:t>to</w:t>
      </w:r>
      <w:r>
        <w:rPr>
          <w:spacing w:val="-8"/>
          <w:vertAlign w:val="baseline"/>
        </w:rPr>
        <w:t> </w:t>
      </w:r>
      <w:r>
        <w:rPr>
          <w:vertAlign w:val="baseline"/>
        </w:rPr>
        <w:t>need</w:t>
      </w:r>
      <w:r>
        <w:rPr>
          <w:spacing w:val="-9"/>
          <w:vertAlign w:val="baseline"/>
        </w:rPr>
        <w:t> </w:t>
      </w:r>
      <w:r>
        <w:rPr>
          <w:vertAlign w:val="baseline"/>
        </w:rPr>
        <w:t>additional</w:t>
      </w:r>
      <w:r>
        <w:rPr>
          <w:spacing w:val="-9"/>
          <w:vertAlign w:val="baseline"/>
        </w:rPr>
        <w:t> </w:t>
      </w:r>
      <w:r>
        <w:rPr>
          <w:vertAlign w:val="baseline"/>
        </w:rPr>
        <w:t>support</w:t>
      </w:r>
      <w:r>
        <w:rPr>
          <w:spacing w:val="-9"/>
          <w:vertAlign w:val="baseline"/>
        </w:rPr>
        <w:t> </w:t>
      </w:r>
      <w:r>
        <w:rPr>
          <w:vertAlign w:val="baseline"/>
        </w:rPr>
        <w:t>and</w:t>
      </w:r>
      <w:r>
        <w:rPr>
          <w:spacing w:val="-9"/>
          <w:vertAlign w:val="baseline"/>
        </w:rPr>
        <w:t> </w:t>
      </w:r>
      <w:r>
        <w:rPr>
          <w:vertAlign w:val="baseline"/>
        </w:rPr>
        <w:t>services</w:t>
      </w:r>
      <w:r>
        <w:rPr>
          <w:spacing w:val="-8"/>
          <w:vertAlign w:val="baseline"/>
        </w:rPr>
        <w:t> </w:t>
      </w:r>
      <w:r>
        <w:rPr>
          <w:vertAlign w:val="baseline"/>
        </w:rPr>
        <w:t>based on state-level data and national research findings.</w:t>
      </w:r>
    </w:p>
    <w:p>
      <w:pPr>
        <w:spacing w:before="239"/>
        <w:ind w:left="464" w:right="0" w:firstLine="0"/>
        <w:jc w:val="both"/>
        <w:rPr>
          <w:sz w:val="24"/>
        </w:rPr>
      </w:pPr>
      <w:bookmarkStart w:name="Intersecting Identities and Priority Pop" w:id="485"/>
      <w:bookmarkEnd w:id="485"/>
      <w:r>
        <w:rPr/>
      </w:r>
      <w:r>
        <w:rPr>
          <w:color w:val="365F91"/>
          <w:sz w:val="24"/>
        </w:rPr>
        <w:t>Intersecting</w:t>
      </w:r>
      <w:r>
        <w:rPr>
          <w:color w:val="365F91"/>
          <w:spacing w:val="-7"/>
          <w:sz w:val="24"/>
        </w:rPr>
        <w:t> </w:t>
      </w:r>
      <w:r>
        <w:rPr>
          <w:color w:val="365F91"/>
          <w:sz w:val="24"/>
        </w:rPr>
        <w:t>Identities</w:t>
      </w:r>
      <w:r>
        <w:rPr>
          <w:color w:val="365F91"/>
          <w:spacing w:val="-4"/>
          <w:sz w:val="24"/>
        </w:rPr>
        <w:t> </w:t>
      </w:r>
      <w:r>
        <w:rPr>
          <w:color w:val="365F91"/>
          <w:sz w:val="24"/>
        </w:rPr>
        <w:t>and</w:t>
      </w:r>
      <w:r>
        <w:rPr>
          <w:color w:val="365F91"/>
          <w:spacing w:val="-3"/>
          <w:sz w:val="24"/>
        </w:rPr>
        <w:t> </w:t>
      </w:r>
      <w:r>
        <w:rPr>
          <w:color w:val="365F91"/>
          <w:sz w:val="24"/>
        </w:rPr>
        <w:t>Priority</w:t>
      </w:r>
      <w:r>
        <w:rPr>
          <w:color w:val="365F91"/>
          <w:spacing w:val="-3"/>
          <w:sz w:val="24"/>
        </w:rPr>
        <w:t> </w:t>
      </w:r>
      <w:r>
        <w:rPr>
          <w:color w:val="365F91"/>
          <w:sz w:val="24"/>
        </w:rPr>
        <w:t>Populations</w:t>
      </w:r>
      <w:r>
        <w:rPr>
          <w:color w:val="365F91"/>
          <w:spacing w:val="-3"/>
          <w:sz w:val="24"/>
        </w:rPr>
        <w:t> </w:t>
      </w:r>
      <w:r>
        <w:rPr>
          <w:color w:val="365F91"/>
          <w:sz w:val="24"/>
        </w:rPr>
        <w:t>for</w:t>
      </w:r>
      <w:r>
        <w:rPr>
          <w:color w:val="365F91"/>
          <w:spacing w:val="-3"/>
          <w:sz w:val="24"/>
        </w:rPr>
        <w:t> </w:t>
      </w:r>
      <w:r>
        <w:rPr>
          <w:color w:val="365F91"/>
          <w:sz w:val="24"/>
        </w:rPr>
        <w:t>Addressing</w:t>
      </w:r>
      <w:r>
        <w:rPr>
          <w:color w:val="365F91"/>
          <w:spacing w:val="-3"/>
          <w:sz w:val="24"/>
        </w:rPr>
        <w:t> </w:t>
      </w:r>
      <w:r>
        <w:rPr>
          <w:color w:val="365F91"/>
          <w:sz w:val="24"/>
        </w:rPr>
        <w:t>LGBTQ</w:t>
      </w:r>
      <w:r>
        <w:rPr>
          <w:color w:val="365F91"/>
          <w:spacing w:val="-3"/>
          <w:sz w:val="24"/>
        </w:rPr>
        <w:t> </w:t>
      </w:r>
      <w:r>
        <w:rPr>
          <w:color w:val="365F91"/>
          <w:sz w:val="24"/>
        </w:rPr>
        <w:t>Youth</w:t>
      </w:r>
      <w:r>
        <w:rPr>
          <w:color w:val="365F91"/>
          <w:spacing w:val="-3"/>
          <w:sz w:val="24"/>
        </w:rPr>
        <w:t> </w:t>
      </w:r>
      <w:r>
        <w:rPr>
          <w:color w:val="365F91"/>
          <w:spacing w:val="-2"/>
          <w:sz w:val="24"/>
        </w:rPr>
        <w:t>Homelessness</w:t>
      </w:r>
    </w:p>
    <w:p>
      <w:pPr>
        <w:pStyle w:val="BodyText"/>
        <w:spacing w:line="276" w:lineRule="auto" w:before="286"/>
        <w:ind w:left="463" w:right="401"/>
        <w:jc w:val="both"/>
      </w:pPr>
      <w:r>
        <w:rPr/>
        <w:t>LGBTQ youth not only face challenges of their sexual orientation and gender identity, but also often carry additional marginalized identities, amplifying their vulnerability to discrimination and victimization.</w:t>
      </w:r>
      <w:r>
        <w:rPr>
          <w:spacing w:val="-13"/>
        </w:rPr>
        <w:t> </w:t>
      </w:r>
      <w:r>
        <w:rPr/>
        <w:t>This</w:t>
      </w:r>
      <w:r>
        <w:rPr>
          <w:spacing w:val="-12"/>
        </w:rPr>
        <w:t> </w:t>
      </w:r>
      <w:r>
        <w:rPr/>
        <w:t>intersectionality,</w:t>
      </w:r>
      <w:r>
        <w:rPr>
          <w:spacing w:val="-13"/>
        </w:rPr>
        <w:t> </w:t>
      </w:r>
      <w:r>
        <w:rPr/>
        <w:t>especially</w:t>
      </w:r>
      <w:r>
        <w:rPr>
          <w:spacing w:val="-12"/>
        </w:rPr>
        <w:t> </w:t>
      </w:r>
      <w:r>
        <w:rPr/>
        <w:t>for</w:t>
      </w:r>
      <w:r>
        <w:rPr>
          <w:spacing w:val="-13"/>
        </w:rPr>
        <w:t> </w:t>
      </w:r>
      <w:r>
        <w:rPr/>
        <w:t>QTBIPOC</w:t>
      </w:r>
      <w:r>
        <w:rPr>
          <w:spacing w:val="-12"/>
        </w:rPr>
        <w:t> </w:t>
      </w:r>
      <w:r>
        <w:rPr/>
        <w:t>(queer,</w:t>
      </w:r>
      <w:r>
        <w:rPr>
          <w:spacing w:val="-13"/>
        </w:rPr>
        <w:t> </w:t>
      </w:r>
      <w:r>
        <w:rPr/>
        <w:t>transgender,</w:t>
      </w:r>
      <w:r>
        <w:rPr>
          <w:spacing w:val="-12"/>
        </w:rPr>
        <w:t> </w:t>
      </w:r>
      <w:r>
        <w:rPr/>
        <w:t>Black,</w:t>
      </w:r>
      <w:r>
        <w:rPr>
          <w:spacing w:val="-12"/>
        </w:rPr>
        <w:t> </w:t>
      </w:r>
      <w:r>
        <w:rPr/>
        <w:t>Indigenous,</w:t>
      </w:r>
      <w:r>
        <w:rPr>
          <w:spacing w:val="-13"/>
        </w:rPr>
        <w:t> </w:t>
      </w:r>
      <w:r>
        <w:rPr/>
        <w:t>and people of color) individuals, exposes them to heightened risks of experiencing racism, transphobia, and homophobia simultaneously.</w:t>
      </w:r>
      <w:hyperlink w:history="true" w:anchor="_bookmark282">
        <w:r>
          <w:rPr>
            <w:vertAlign w:val="superscript"/>
          </w:rPr>
          <w:t>9</w:t>
        </w:r>
      </w:hyperlink>
      <w:r>
        <w:rPr>
          <w:spacing w:val="-3"/>
          <w:vertAlign w:val="baseline"/>
        </w:rPr>
        <w:t> </w:t>
      </w:r>
      <w:r>
        <w:rPr>
          <w:vertAlign w:val="baseline"/>
        </w:rPr>
        <w:t>The Commission is particularly alarmed by the obstacles faced by QTBIPOC youth when trying to access essential services and support for youth homelessness.</w:t>
      </w:r>
    </w:p>
    <w:p>
      <w:pPr>
        <w:spacing w:line="252" w:lineRule="auto" w:before="239"/>
        <w:ind w:left="1235" w:right="1176" w:firstLine="4"/>
        <w:jc w:val="center"/>
        <w:rPr>
          <w:rFonts w:ascii="Cambria" w:hAnsi="Cambria"/>
          <w:i/>
          <w:sz w:val="21"/>
        </w:rPr>
      </w:pPr>
      <w:r>
        <w:rPr>
          <w:rFonts w:ascii="Cambria" w:hAnsi="Cambria"/>
          <w:i/>
          <w:color w:val="4F81BC"/>
          <w:sz w:val="21"/>
        </w:rPr>
        <w:t>“When it comes to Black and brown people in my LGBTQ community, I just feel like</w:t>
      </w:r>
      <w:r>
        <w:rPr>
          <w:rFonts w:ascii="Cambria" w:hAnsi="Cambria"/>
          <w:i/>
          <w:color w:val="4F81BC"/>
          <w:sz w:val="21"/>
        </w:rPr>
        <w:t> there is a lack of urgency for my people. And when I say that, I mean for my transgender</w:t>
      </w:r>
      <w:r>
        <w:rPr>
          <w:rFonts w:ascii="Cambria" w:hAnsi="Cambria"/>
          <w:i/>
          <w:color w:val="4F81BC"/>
          <w:spacing w:val="-4"/>
          <w:sz w:val="21"/>
        </w:rPr>
        <w:t> </w:t>
      </w:r>
      <w:r>
        <w:rPr>
          <w:rFonts w:ascii="Cambria" w:hAnsi="Cambria"/>
          <w:i/>
          <w:color w:val="4F81BC"/>
          <w:sz w:val="21"/>
        </w:rPr>
        <w:t>siblings.”</w:t>
      </w:r>
      <w:r>
        <w:rPr>
          <w:rFonts w:ascii="Cambria" w:hAnsi="Cambria"/>
          <w:i/>
          <w:color w:val="4F81BC"/>
          <w:spacing w:val="-4"/>
          <w:sz w:val="21"/>
        </w:rPr>
        <w:t> </w:t>
      </w:r>
      <w:r>
        <w:rPr>
          <w:rFonts w:ascii="Cambria" w:hAnsi="Cambria"/>
          <w:i/>
          <w:color w:val="4F81BC"/>
          <w:sz w:val="21"/>
        </w:rPr>
        <w:t>–</w:t>
      </w:r>
      <w:r>
        <w:rPr>
          <w:rFonts w:ascii="Cambria" w:hAnsi="Cambria"/>
          <w:i/>
          <w:color w:val="4F81BC"/>
          <w:spacing w:val="-4"/>
          <w:sz w:val="21"/>
        </w:rPr>
        <w:t> </w:t>
      </w:r>
      <w:r>
        <w:rPr>
          <w:rFonts w:ascii="Cambria" w:hAnsi="Cambria"/>
          <w:i/>
          <w:color w:val="4F81BC"/>
          <w:sz w:val="21"/>
        </w:rPr>
        <w:t>E,</w:t>
      </w:r>
      <w:r>
        <w:rPr>
          <w:rFonts w:ascii="Cambria" w:hAnsi="Cambria"/>
          <w:i/>
          <w:color w:val="4F81BC"/>
          <w:spacing w:val="-4"/>
          <w:sz w:val="21"/>
        </w:rPr>
        <w:t> </w:t>
      </w:r>
      <w:r>
        <w:rPr>
          <w:rFonts w:ascii="Cambria" w:hAnsi="Cambria"/>
          <w:i/>
          <w:color w:val="4F81BC"/>
          <w:sz w:val="21"/>
        </w:rPr>
        <w:t>experienced</w:t>
      </w:r>
      <w:r>
        <w:rPr>
          <w:rFonts w:ascii="Cambria" w:hAnsi="Cambria"/>
          <w:i/>
          <w:color w:val="4F81BC"/>
          <w:spacing w:val="-4"/>
          <w:sz w:val="21"/>
        </w:rPr>
        <w:t> </w:t>
      </w:r>
      <w:r>
        <w:rPr>
          <w:rFonts w:ascii="Cambria" w:hAnsi="Cambria"/>
          <w:i/>
          <w:color w:val="4F81BC"/>
          <w:sz w:val="21"/>
        </w:rPr>
        <w:t>homelessness</w:t>
      </w:r>
      <w:r>
        <w:rPr>
          <w:rFonts w:ascii="Cambria" w:hAnsi="Cambria"/>
          <w:i/>
          <w:color w:val="4F81BC"/>
          <w:spacing w:val="-4"/>
          <w:sz w:val="21"/>
        </w:rPr>
        <w:t> </w:t>
      </w:r>
      <w:r>
        <w:rPr>
          <w:rFonts w:ascii="Cambria" w:hAnsi="Cambria"/>
          <w:i/>
          <w:color w:val="4F81BC"/>
          <w:sz w:val="21"/>
        </w:rPr>
        <w:t>as</w:t>
      </w:r>
      <w:r>
        <w:rPr>
          <w:rFonts w:ascii="Cambria" w:hAnsi="Cambria"/>
          <w:i/>
          <w:color w:val="4F81BC"/>
          <w:spacing w:val="-6"/>
          <w:sz w:val="21"/>
        </w:rPr>
        <w:t> </w:t>
      </w:r>
      <w:r>
        <w:rPr>
          <w:rFonts w:ascii="Cambria" w:hAnsi="Cambria"/>
          <w:i/>
          <w:color w:val="4F81BC"/>
          <w:sz w:val="21"/>
        </w:rPr>
        <w:t>a</w:t>
      </w:r>
      <w:r>
        <w:rPr>
          <w:rFonts w:ascii="Cambria" w:hAnsi="Cambria"/>
          <w:i/>
          <w:color w:val="4F81BC"/>
          <w:spacing w:val="-4"/>
          <w:sz w:val="21"/>
        </w:rPr>
        <w:t> </w:t>
      </w:r>
      <w:r>
        <w:rPr>
          <w:rFonts w:ascii="Cambria" w:hAnsi="Cambria"/>
          <w:i/>
          <w:color w:val="4F81BC"/>
          <w:sz w:val="21"/>
        </w:rPr>
        <w:t>trans</w:t>
      </w:r>
      <w:r>
        <w:rPr>
          <w:rFonts w:ascii="Cambria" w:hAnsi="Cambria"/>
          <w:i/>
          <w:color w:val="4F81BC"/>
          <w:spacing w:val="-4"/>
          <w:sz w:val="21"/>
        </w:rPr>
        <w:t> </w:t>
      </w:r>
      <w:r>
        <w:rPr>
          <w:rFonts w:ascii="Cambria" w:hAnsi="Cambria"/>
          <w:i/>
          <w:color w:val="4F81BC"/>
          <w:sz w:val="21"/>
        </w:rPr>
        <w:t>youth</w:t>
      </w:r>
      <w:r>
        <w:rPr>
          <w:rFonts w:ascii="Cambria" w:hAnsi="Cambria"/>
          <w:i/>
          <w:color w:val="4F81BC"/>
          <w:spacing w:val="-5"/>
          <w:sz w:val="21"/>
        </w:rPr>
        <w:t> </w:t>
      </w:r>
      <w:r>
        <w:rPr>
          <w:rFonts w:ascii="Cambria" w:hAnsi="Cambria"/>
          <w:i/>
          <w:color w:val="4F81BC"/>
          <w:sz w:val="21"/>
        </w:rPr>
        <w:t>in</w:t>
      </w:r>
      <w:r>
        <w:rPr>
          <w:rFonts w:ascii="Cambria" w:hAnsi="Cambria"/>
          <w:i/>
          <w:color w:val="4F81BC"/>
          <w:spacing w:val="-3"/>
          <w:sz w:val="21"/>
        </w:rPr>
        <w:t> </w:t>
      </w:r>
      <w:r>
        <w:rPr>
          <w:rFonts w:ascii="Cambria" w:hAnsi="Cambria"/>
          <w:i/>
          <w:color w:val="4F81BC"/>
          <w:sz w:val="21"/>
        </w:rPr>
        <w:t>Massachusetts</w:t>
      </w:r>
    </w:p>
    <w:p>
      <w:pPr>
        <w:pStyle w:val="BodyText"/>
        <w:spacing w:line="276" w:lineRule="auto" w:before="240"/>
        <w:ind w:left="463" w:right="401"/>
        <w:jc w:val="both"/>
      </w:pPr>
      <w:r>
        <w:rPr/>
        <w:t>The Commission urges the Commonwealth to keep young people, particularly Black, Two-Spirit, transgender, and immigrant youth, at the forefront of policymaking decisions and developing future programs and initiatives that combat youth homelessness.</w:t>
      </w:r>
    </w:p>
    <w:p>
      <w:pPr>
        <w:pStyle w:val="BodyText"/>
        <w:spacing w:before="42"/>
        <w:rPr>
          <w:sz w:val="20"/>
        </w:rPr>
      </w:pPr>
      <w:r>
        <w:rPr/>
        <w:drawing>
          <wp:anchor distT="0" distB="0" distL="0" distR="0" allowOverlap="1" layoutInCell="1" locked="0" behindDoc="1" simplePos="0" relativeHeight="487655936">
            <wp:simplePos x="0" y="0"/>
            <wp:positionH relativeFrom="page">
              <wp:posOffset>1069338</wp:posOffset>
            </wp:positionH>
            <wp:positionV relativeFrom="paragraph">
              <wp:posOffset>196963</wp:posOffset>
            </wp:positionV>
            <wp:extent cx="5826537" cy="1601819"/>
            <wp:effectExtent l="0" t="0" r="0" b="0"/>
            <wp:wrapTopAndBottom/>
            <wp:docPr id="365" name="Image 365" descr="A purple and black sign  Description automatically generated "/>
            <wp:cNvGraphicFramePr>
              <a:graphicFrameLocks/>
            </wp:cNvGraphicFramePr>
            <a:graphic>
              <a:graphicData uri="http://schemas.openxmlformats.org/drawingml/2006/picture">
                <pic:pic>
                  <pic:nvPicPr>
                    <pic:cNvPr id="365" name="Image 365" descr="A purple and black sign  Description automatically generated "/>
                    <pic:cNvPicPr/>
                  </pic:nvPicPr>
                  <pic:blipFill>
                    <a:blip r:embed="rId443" cstate="print"/>
                    <a:stretch>
                      <a:fillRect/>
                    </a:stretch>
                  </pic:blipFill>
                  <pic:spPr>
                    <a:xfrm>
                      <a:off x="0" y="0"/>
                      <a:ext cx="5826537" cy="1601819"/>
                    </a:xfrm>
                    <a:prstGeom prst="rect">
                      <a:avLst/>
                    </a:prstGeom>
                  </pic:spPr>
                </pic:pic>
              </a:graphicData>
            </a:graphic>
          </wp:anchor>
        </w:drawing>
      </w:r>
    </w:p>
    <w:p>
      <w:pPr>
        <w:pStyle w:val="BodyText"/>
        <w:spacing w:line="276" w:lineRule="auto" w:before="118"/>
        <w:ind w:left="463" w:right="400"/>
        <w:jc w:val="both"/>
      </w:pPr>
      <w:r>
        <w:rPr/>
        <w:t>Transgender youth report the highest prevalence of homelessness and the highest levels of discrimination within the shelter system compared to cisgender heterosexual and cisgender LGBTQ youth(Deal,</w:t>
      </w:r>
      <w:r>
        <w:rPr>
          <w:spacing w:val="-5"/>
        </w:rPr>
        <w:t> </w:t>
      </w:r>
      <w:r>
        <w:rPr/>
        <w:t>Doshi,</w:t>
      </w:r>
      <w:r>
        <w:rPr>
          <w:spacing w:val="-5"/>
        </w:rPr>
        <w:t> </w:t>
      </w:r>
      <w:r>
        <w:rPr/>
        <w:t>and</w:t>
      </w:r>
      <w:r>
        <w:rPr>
          <w:spacing w:val="-4"/>
        </w:rPr>
        <w:t> </w:t>
      </w:r>
      <w:r>
        <w:rPr/>
        <w:t>Gonzales</w:t>
      </w:r>
      <w:r>
        <w:rPr>
          <w:spacing w:val="-5"/>
        </w:rPr>
        <w:t> </w:t>
      </w:r>
      <w:r>
        <w:rPr/>
        <w:t>2023).</w:t>
      </w:r>
      <w:r>
        <w:rPr>
          <w:spacing w:val="-4"/>
        </w:rPr>
        <w:t> </w:t>
      </w:r>
      <w:r>
        <w:rPr/>
        <w:t>With</w:t>
      </w:r>
      <w:r>
        <w:rPr>
          <w:spacing w:val="-4"/>
        </w:rPr>
        <w:t> </w:t>
      </w:r>
      <w:r>
        <w:rPr/>
        <w:t>anti-transgender</w:t>
      </w:r>
      <w:r>
        <w:rPr>
          <w:spacing w:val="-4"/>
        </w:rPr>
        <w:t> </w:t>
      </w:r>
      <w:r>
        <w:rPr/>
        <w:t>legislation</w:t>
      </w:r>
      <w:r>
        <w:rPr>
          <w:spacing w:val="-5"/>
        </w:rPr>
        <w:t> </w:t>
      </w:r>
      <w:r>
        <w:rPr/>
        <w:t>continuing</w:t>
      </w:r>
      <w:r>
        <w:rPr>
          <w:spacing w:val="-4"/>
        </w:rPr>
        <w:t> </w:t>
      </w:r>
      <w:r>
        <w:rPr/>
        <w:t>to</w:t>
      </w:r>
      <w:r>
        <w:rPr>
          <w:spacing w:val="-3"/>
        </w:rPr>
        <w:t> </w:t>
      </w:r>
      <w:r>
        <w:rPr/>
        <w:t>be</w:t>
      </w:r>
      <w:r>
        <w:rPr>
          <w:spacing w:val="-4"/>
        </w:rPr>
        <w:t> </w:t>
      </w:r>
      <w:r>
        <w:rPr/>
        <w:t>a</w:t>
      </w:r>
      <w:r>
        <w:rPr>
          <w:spacing w:val="-4"/>
        </w:rPr>
        <w:t> </w:t>
      </w:r>
      <w:r>
        <w:rPr/>
        <w:t>pervasive issue across the country, it is critical that the Commonwealth prioritizes safely housing transgender</w:t>
      </w:r>
    </w:p>
    <w:p>
      <w:pPr>
        <w:spacing w:after="0" w:line="276" w:lineRule="auto"/>
        <w:jc w:val="both"/>
        <w:sectPr>
          <w:pgSz w:w="12240" w:h="15840"/>
          <w:pgMar w:header="765" w:footer="1127" w:top="1280" w:bottom="1320" w:left="1120" w:right="1180"/>
        </w:sectPr>
      </w:pPr>
    </w:p>
    <w:p>
      <w:pPr>
        <w:pStyle w:val="BodyText"/>
        <w:spacing w:line="276" w:lineRule="auto" w:before="91"/>
        <w:ind w:left="463" w:right="402"/>
        <w:jc w:val="both"/>
      </w:pPr>
      <w:r>
        <w:rPr/>
        <w:t>youth residents. Similar to transgender youth, nonbinary youth face unique challenges when faced with homelessness due to the binary male and female procedures utilized in homeless shelters, ultimately putting nonbinary youth at an increased risk for discrimination and victimization. </w:t>
      </w:r>
      <w:hyperlink w:history="true" w:anchor="_bookmark283">
        <w:r>
          <w:rPr>
            <w:vertAlign w:val="superscript"/>
          </w:rPr>
          <w:t>10</w:t>
        </w:r>
      </w:hyperlink>
      <w:r>
        <w:rPr>
          <w:vertAlign w:val="baseline"/>
        </w:rPr>
        <w:t> Furthermore, structural racism continues to contribute to high rates of homelessness for Black, Indigenous, people of color (BIPOC) individuals across the United States. </w:t>
      </w:r>
      <w:hyperlink w:history="true" w:anchor="_bookmark284">
        <w:r>
          <w:rPr>
            <w:vertAlign w:val="superscript"/>
          </w:rPr>
          <w:t>11</w:t>
        </w:r>
      </w:hyperlink>
      <w:r>
        <w:rPr>
          <w:vertAlign w:val="baseline"/>
        </w:rPr>
        <w:t> For example, the Massachusetts</w:t>
      </w:r>
      <w:r>
        <w:rPr>
          <w:spacing w:val="-4"/>
          <w:vertAlign w:val="baseline"/>
        </w:rPr>
        <w:t> </w:t>
      </w:r>
      <w:r>
        <w:rPr>
          <w:vertAlign w:val="baseline"/>
        </w:rPr>
        <w:t>Youth</w:t>
      </w:r>
      <w:r>
        <w:rPr>
          <w:spacing w:val="-3"/>
          <w:vertAlign w:val="baseline"/>
        </w:rPr>
        <w:t> </w:t>
      </w:r>
      <w:r>
        <w:rPr>
          <w:vertAlign w:val="baseline"/>
        </w:rPr>
        <w:t>Count</w:t>
      </w:r>
      <w:r>
        <w:rPr>
          <w:spacing w:val="-4"/>
          <w:vertAlign w:val="baseline"/>
        </w:rPr>
        <w:t> </w:t>
      </w:r>
      <w:r>
        <w:rPr>
          <w:vertAlign w:val="baseline"/>
        </w:rPr>
        <w:t>conducted</w:t>
      </w:r>
      <w:r>
        <w:rPr>
          <w:spacing w:val="-3"/>
          <w:vertAlign w:val="baseline"/>
        </w:rPr>
        <w:t> </w:t>
      </w:r>
      <w:r>
        <w:rPr>
          <w:vertAlign w:val="baseline"/>
        </w:rPr>
        <w:t>in</w:t>
      </w:r>
      <w:r>
        <w:rPr>
          <w:spacing w:val="-4"/>
          <w:vertAlign w:val="baseline"/>
        </w:rPr>
        <w:t> </w:t>
      </w:r>
      <w:r>
        <w:rPr>
          <w:vertAlign w:val="baseline"/>
        </w:rPr>
        <w:t>2022</w:t>
      </w:r>
      <w:r>
        <w:rPr>
          <w:spacing w:val="-4"/>
          <w:vertAlign w:val="baseline"/>
        </w:rPr>
        <w:t> </w:t>
      </w:r>
      <w:r>
        <w:rPr>
          <w:vertAlign w:val="baseline"/>
        </w:rPr>
        <w:t>noted</w:t>
      </w:r>
      <w:r>
        <w:rPr>
          <w:spacing w:val="-4"/>
          <w:vertAlign w:val="baseline"/>
        </w:rPr>
        <w:t> </w:t>
      </w:r>
      <w:r>
        <w:rPr>
          <w:vertAlign w:val="baseline"/>
        </w:rPr>
        <w:t>that</w:t>
      </w:r>
      <w:r>
        <w:rPr>
          <w:spacing w:val="-3"/>
          <w:vertAlign w:val="baseline"/>
        </w:rPr>
        <w:t> </w:t>
      </w:r>
      <w:r>
        <w:rPr>
          <w:vertAlign w:val="baseline"/>
        </w:rPr>
        <w:t>60%</w:t>
      </w:r>
      <w:r>
        <w:rPr>
          <w:spacing w:val="-4"/>
          <w:vertAlign w:val="baseline"/>
        </w:rPr>
        <w:t> </w:t>
      </w:r>
      <w:r>
        <w:rPr>
          <w:vertAlign w:val="baseline"/>
        </w:rPr>
        <w:t>of</w:t>
      </w:r>
      <w:r>
        <w:rPr>
          <w:spacing w:val="-4"/>
          <w:vertAlign w:val="baseline"/>
        </w:rPr>
        <w:t> </w:t>
      </w:r>
      <w:r>
        <w:rPr>
          <w:vertAlign w:val="baseline"/>
        </w:rPr>
        <w:t>unaccompanied</w:t>
      </w:r>
      <w:r>
        <w:rPr>
          <w:spacing w:val="-4"/>
          <w:vertAlign w:val="baseline"/>
        </w:rPr>
        <w:t> </w:t>
      </w:r>
      <w:r>
        <w:rPr>
          <w:vertAlign w:val="baseline"/>
        </w:rPr>
        <w:t>youth</w:t>
      </w:r>
      <w:r>
        <w:rPr>
          <w:spacing w:val="-3"/>
          <w:vertAlign w:val="baseline"/>
        </w:rPr>
        <w:t> </w:t>
      </w:r>
      <w:r>
        <w:rPr>
          <w:vertAlign w:val="baseline"/>
        </w:rPr>
        <w:t>respondents identified</w:t>
      </w:r>
      <w:r>
        <w:rPr>
          <w:spacing w:val="-2"/>
          <w:vertAlign w:val="baseline"/>
        </w:rPr>
        <w:t> </w:t>
      </w:r>
      <w:r>
        <w:rPr>
          <w:vertAlign w:val="baseline"/>
        </w:rPr>
        <w:t>as</w:t>
      </w:r>
      <w:r>
        <w:rPr>
          <w:spacing w:val="-1"/>
          <w:vertAlign w:val="baseline"/>
        </w:rPr>
        <w:t> </w:t>
      </w:r>
      <w:r>
        <w:rPr>
          <w:vertAlign w:val="baseline"/>
        </w:rPr>
        <w:t>BIPOC</w:t>
      </w:r>
      <w:r>
        <w:rPr>
          <w:spacing w:val="-1"/>
          <w:vertAlign w:val="baseline"/>
        </w:rPr>
        <w:t> </w:t>
      </w:r>
      <w:r>
        <w:rPr>
          <w:vertAlign w:val="baseline"/>
        </w:rPr>
        <w:t>in</w:t>
      </w:r>
      <w:r>
        <w:rPr>
          <w:spacing w:val="-2"/>
          <w:vertAlign w:val="baseline"/>
        </w:rPr>
        <w:t> </w:t>
      </w:r>
      <w:r>
        <w:rPr>
          <w:vertAlign w:val="baseline"/>
        </w:rPr>
        <w:t>the</w:t>
      </w:r>
      <w:r>
        <w:rPr>
          <w:spacing w:val="-1"/>
          <w:vertAlign w:val="baseline"/>
        </w:rPr>
        <w:t> </w:t>
      </w:r>
      <w:r>
        <w:rPr>
          <w:vertAlign w:val="baseline"/>
        </w:rPr>
        <w:t>Commonwealth;</w:t>
      </w:r>
      <w:r>
        <w:rPr>
          <w:spacing w:val="-2"/>
          <w:vertAlign w:val="baseline"/>
        </w:rPr>
        <w:t> </w:t>
      </w:r>
      <w:r>
        <w:rPr>
          <w:vertAlign w:val="baseline"/>
        </w:rPr>
        <w:t>making</w:t>
      </w:r>
      <w:r>
        <w:rPr>
          <w:spacing w:val="-2"/>
          <w:vertAlign w:val="baseline"/>
        </w:rPr>
        <w:t> </w:t>
      </w:r>
      <w:r>
        <w:rPr>
          <w:vertAlign w:val="baseline"/>
        </w:rPr>
        <w:t>it</w:t>
      </w:r>
      <w:r>
        <w:rPr>
          <w:spacing w:val="-1"/>
          <w:vertAlign w:val="baseline"/>
        </w:rPr>
        <w:t> </w:t>
      </w:r>
      <w:r>
        <w:rPr>
          <w:vertAlign w:val="baseline"/>
        </w:rPr>
        <w:t>vital</w:t>
      </w:r>
      <w:r>
        <w:rPr>
          <w:spacing w:val="-2"/>
          <w:vertAlign w:val="baseline"/>
        </w:rPr>
        <w:t> </w:t>
      </w:r>
      <w:r>
        <w:rPr>
          <w:vertAlign w:val="baseline"/>
        </w:rPr>
        <w:t>for</w:t>
      </w:r>
      <w:r>
        <w:rPr>
          <w:spacing w:val="-1"/>
          <w:vertAlign w:val="baseline"/>
        </w:rPr>
        <w:t> </w:t>
      </w:r>
      <w:r>
        <w:rPr>
          <w:vertAlign w:val="baseline"/>
        </w:rPr>
        <w:t>the</w:t>
      </w:r>
      <w:r>
        <w:rPr>
          <w:spacing w:val="-1"/>
          <w:vertAlign w:val="baseline"/>
        </w:rPr>
        <w:t> </w:t>
      </w:r>
      <w:r>
        <w:rPr>
          <w:vertAlign w:val="baseline"/>
        </w:rPr>
        <w:t>Commonwealth</w:t>
      </w:r>
      <w:r>
        <w:rPr>
          <w:spacing w:val="-2"/>
          <w:vertAlign w:val="baseline"/>
        </w:rPr>
        <w:t> </w:t>
      </w:r>
      <w:r>
        <w:rPr>
          <w:vertAlign w:val="baseline"/>
        </w:rPr>
        <w:t>to</w:t>
      </w:r>
      <w:r>
        <w:rPr>
          <w:spacing w:val="-1"/>
          <w:vertAlign w:val="baseline"/>
        </w:rPr>
        <w:t> </w:t>
      </w:r>
      <w:r>
        <w:rPr>
          <w:vertAlign w:val="baseline"/>
        </w:rPr>
        <w:t>consider</w:t>
      </w:r>
      <w:r>
        <w:rPr>
          <w:spacing w:val="-1"/>
          <w:vertAlign w:val="baseline"/>
        </w:rPr>
        <w:t> </w:t>
      </w:r>
      <w:r>
        <w:rPr>
          <w:vertAlign w:val="baseline"/>
        </w:rPr>
        <w:t>the</w:t>
      </w:r>
      <w:r>
        <w:rPr>
          <w:spacing w:val="-2"/>
          <w:vertAlign w:val="baseline"/>
        </w:rPr>
        <w:t> </w:t>
      </w:r>
      <w:r>
        <w:rPr>
          <w:vertAlign w:val="baseline"/>
        </w:rPr>
        <w:t>role that racism plays in driving BIPOC youth homelessness.</w:t>
      </w:r>
      <w:hyperlink w:history="true" w:anchor="_bookmark285">
        <w:r>
          <w:rPr>
            <w:vertAlign w:val="superscript"/>
          </w:rPr>
          <w:t>12</w:t>
        </w:r>
      </w:hyperlink>
      <w:r>
        <w:rPr>
          <w:spacing w:val="-3"/>
          <w:vertAlign w:val="baseline"/>
        </w:rPr>
        <w:t> </w:t>
      </w:r>
      <w:r>
        <w:rPr>
          <w:vertAlign w:val="baseline"/>
        </w:rPr>
        <w:t>Keeping attentive to the intersecting needs of QTBIPOC young people is essential to address some of the most startling disparities faced by Massachusetts young people.</w:t>
      </w:r>
    </w:p>
    <w:p>
      <w:pPr>
        <w:pStyle w:val="BodyText"/>
        <w:spacing w:line="276" w:lineRule="auto" w:before="240"/>
        <w:ind w:left="463" w:right="403"/>
        <w:jc w:val="both"/>
      </w:pPr>
      <w:r>
        <w:rPr/>
        <w:t>Additionally,</w:t>
      </w:r>
      <w:r>
        <w:rPr>
          <w:spacing w:val="-11"/>
        </w:rPr>
        <w:t> </w:t>
      </w:r>
      <w:r>
        <w:rPr/>
        <w:t>given</w:t>
      </w:r>
      <w:r>
        <w:rPr>
          <w:spacing w:val="-12"/>
        </w:rPr>
        <w:t> </w:t>
      </w:r>
      <w:r>
        <w:rPr/>
        <w:t>the</w:t>
      </w:r>
      <w:r>
        <w:rPr>
          <w:spacing w:val="-12"/>
        </w:rPr>
        <w:t> </w:t>
      </w:r>
      <w:r>
        <w:rPr/>
        <w:t>ongoing</w:t>
      </w:r>
      <w:r>
        <w:rPr>
          <w:spacing w:val="-12"/>
        </w:rPr>
        <w:t> </w:t>
      </w:r>
      <w:r>
        <w:rPr/>
        <w:t>migrant</w:t>
      </w:r>
      <w:r>
        <w:rPr>
          <w:spacing w:val="-11"/>
        </w:rPr>
        <w:t> </w:t>
      </w:r>
      <w:r>
        <w:rPr/>
        <w:t>crisis</w:t>
      </w:r>
      <w:r>
        <w:rPr>
          <w:spacing w:val="-12"/>
        </w:rPr>
        <w:t> </w:t>
      </w:r>
      <w:r>
        <w:rPr/>
        <w:t>Massachusetts</w:t>
      </w:r>
      <w:r>
        <w:rPr>
          <w:spacing w:val="-12"/>
        </w:rPr>
        <w:t> </w:t>
      </w:r>
      <w:r>
        <w:rPr/>
        <w:t>has</w:t>
      </w:r>
      <w:r>
        <w:rPr>
          <w:spacing w:val="-12"/>
        </w:rPr>
        <w:t> </w:t>
      </w:r>
      <w:r>
        <w:rPr/>
        <w:t>been</w:t>
      </w:r>
      <w:r>
        <w:rPr>
          <w:spacing w:val="-12"/>
        </w:rPr>
        <w:t> </w:t>
      </w:r>
      <w:r>
        <w:rPr/>
        <w:t>supporting,</w:t>
      </w:r>
      <w:r>
        <w:rPr>
          <w:spacing w:val="-12"/>
        </w:rPr>
        <w:t> </w:t>
      </w:r>
      <w:r>
        <w:rPr/>
        <w:t>the</w:t>
      </w:r>
      <w:r>
        <w:rPr>
          <w:spacing w:val="-12"/>
        </w:rPr>
        <w:t> </w:t>
      </w:r>
      <w:r>
        <w:rPr/>
        <w:t>Commission</w:t>
      </w:r>
      <w:r>
        <w:rPr>
          <w:spacing w:val="-12"/>
        </w:rPr>
        <w:t> </w:t>
      </w:r>
      <w:r>
        <w:rPr/>
        <w:t>has developed</w:t>
      </w:r>
      <w:r>
        <w:rPr>
          <w:spacing w:val="-13"/>
        </w:rPr>
        <w:t> </w:t>
      </w:r>
      <w:r>
        <w:rPr/>
        <w:t>a</w:t>
      </w:r>
      <w:r>
        <w:rPr>
          <w:spacing w:val="-12"/>
        </w:rPr>
        <w:t> </w:t>
      </w:r>
      <w:r>
        <w:rPr/>
        <w:t>number</w:t>
      </w:r>
      <w:r>
        <w:rPr>
          <w:spacing w:val="-13"/>
        </w:rPr>
        <w:t> </w:t>
      </w:r>
      <w:r>
        <w:rPr/>
        <w:t>of</w:t>
      </w:r>
      <w:r>
        <w:rPr>
          <w:spacing w:val="-12"/>
        </w:rPr>
        <w:t> </w:t>
      </w:r>
      <w:r>
        <w:rPr/>
        <w:t>recommendations</w:t>
      </w:r>
      <w:r>
        <w:rPr>
          <w:spacing w:val="-13"/>
        </w:rPr>
        <w:t> </w:t>
      </w:r>
      <w:r>
        <w:rPr/>
        <w:t>for</w:t>
      </w:r>
      <w:r>
        <w:rPr>
          <w:spacing w:val="-12"/>
        </w:rPr>
        <w:t> </w:t>
      </w:r>
      <w:r>
        <w:rPr/>
        <w:t>addressing</w:t>
      </w:r>
      <w:r>
        <w:rPr>
          <w:spacing w:val="-13"/>
        </w:rPr>
        <w:t> </w:t>
      </w:r>
      <w:r>
        <w:rPr/>
        <w:t>the</w:t>
      </w:r>
      <w:r>
        <w:rPr>
          <w:spacing w:val="-12"/>
        </w:rPr>
        <w:t> </w:t>
      </w:r>
      <w:r>
        <w:rPr/>
        <w:t>challenges</w:t>
      </w:r>
      <w:r>
        <w:rPr>
          <w:spacing w:val="-12"/>
        </w:rPr>
        <w:t> </w:t>
      </w:r>
      <w:r>
        <w:rPr/>
        <w:t>of</w:t>
      </w:r>
      <w:r>
        <w:rPr>
          <w:spacing w:val="-13"/>
        </w:rPr>
        <w:t> </w:t>
      </w:r>
      <w:r>
        <w:rPr/>
        <w:t>LGBTQ</w:t>
      </w:r>
      <w:r>
        <w:rPr>
          <w:spacing w:val="-12"/>
        </w:rPr>
        <w:t> </w:t>
      </w:r>
      <w:r>
        <w:rPr/>
        <w:t>youth</w:t>
      </w:r>
      <w:r>
        <w:rPr>
          <w:spacing w:val="-13"/>
        </w:rPr>
        <w:t> </w:t>
      </w:r>
      <w:r>
        <w:rPr/>
        <w:t>homelessness that intersect with the disparate needs of arriving youth. Governor Healey announced a state of emergency in August 2023 with exhausted emergency assistance efforts as a result of barriers to affordable housing and work authorization. Shelter programs in the Commonwealth have reported that migrant families arriving in Massachusetts continue to have no place to go, ultimately overwhelming emergency shelters that have reached capacity.</w:t>
      </w:r>
      <w:hyperlink w:history="true" w:anchor="_bookmark286">
        <w:r>
          <w:rPr>
            <w:vertAlign w:val="superscript"/>
          </w:rPr>
          <w:t>13</w:t>
        </w:r>
      </w:hyperlink>
    </w:p>
    <w:p>
      <w:pPr>
        <w:pStyle w:val="BodyText"/>
        <w:spacing w:line="276" w:lineRule="auto" w:before="241"/>
        <w:ind w:left="464" w:right="401"/>
        <w:jc w:val="both"/>
      </w:pPr>
      <w:r>
        <w:rPr/>
        <w:t>The</w:t>
      </w:r>
      <w:r>
        <w:rPr>
          <w:spacing w:val="-5"/>
        </w:rPr>
        <w:t> </w:t>
      </w:r>
      <w:r>
        <w:rPr/>
        <w:t>Commission</w:t>
      </w:r>
      <w:r>
        <w:rPr>
          <w:spacing w:val="-5"/>
        </w:rPr>
        <w:t> </w:t>
      </w:r>
      <w:r>
        <w:rPr/>
        <w:t>commends</w:t>
      </w:r>
      <w:r>
        <w:rPr>
          <w:spacing w:val="-5"/>
        </w:rPr>
        <w:t> </w:t>
      </w:r>
      <w:r>
        <w:rPr/>
        <w:t>the</w:t>
      </w:r>
      <w:r>
        <w:rPr>
          <w:spacing w:val="-5"/>
        </w:rPr>
        <w:t> </w:t>
      </w:r>
      <w:r>
        <w:rPr/>
        <w:t>Massachusetts</w:t>
      </w:r>
      <w:r>
        <w:rPr>
          <w:spacing w:val="-5"/>
        </w:rPr>
        <w:t> </w:t>
      </w:r>
      <w:r>
        <w:rPr/>
        <w:t>Senate's</w:t>
      </w:r>
      <w:r>
        <w:rPr>
          <w:spacing w:val="-5"/>
        </w:rPr>
        <w:t> </w:t>
      </w:r>
      <w:r>
        <w:rPr/>
        <w:t>recent</w:t>
      </w:r>
      <w:r>
        <w:rPr>
          <w:spacing w:val="-4"/>
        </w:rPr>
        <w:t> </w:t>
      </w:r>
      <w:r>
        <w:rPr/>
        <w:t>passage</w:t>
      </w:r>
      <w:r>
        <w:rPr>
          <w:spacing w:val="-5"/>
        </w:rPr>
        <w:t> </w:t>
      </w:r>
      <w:r>
        <w:rPr/>
        <w:t>of</w:t>
      </w:r>
      <w:r>
        <w:rPr>
          <w:spacing w:val="-5"/>
        </w:rPr>
        <w:t> </w:t>
      </w:r>
      <w:r>
        <w:rPr/>
        <w:t>S.2708</w:t>
      </w:r>
      <w:r>
        <w:rPr>
          <w:spacing w:val="-5"/>
        </w:rPr>
        <w:t> </w:t>
      </w:r>
      <w:r>
        <w:rPr/>
        <w:t>on</w:t>
      </w:r>
      <w:r>
        <w:rPr>
          <w:spacing w:val="-5"/>
        </w:rPr>
        <w:t> </w:t>
      </w:r>
      <w:r>
        <w:rPr/>
        <w:t>March</w:t>
      </w:r>
      <w:r>
        <w:rPr>
          <w:spacing w:val="-5"/>
        </w:rPr>
        <w:t> </w:t>
      </w:r>
      <w:r>
        <w:rPr/>
        <w:t>22,</w:t>
      </w:r>
      <w:r>
        <w:rPr>
          <w:spacing w:val="-5"/>
        </w:rPr>
        <w:t> </w:t>
      </w:r>
      <w:r>
        <w:rPr/>
        <w:t>2024. This</w:t>
      </w:r>
      <w:r>
        <w:rPr>
          <w:spacing w:val="-9"/>
        </w:rPr>
        <w:t> </w:t>
      </w:r>
      <w:r>
        <w:rPr/>
        <w:t>bill</w:t>
      </w:r>
      <w:r>
        <w:rPr>
          <w:spacing w:val="-9"/>
        </w:rPr>
        <w:t> </w:t>
      </w:r>
      <w:r>
        <w:rPr/>
        <w:t>is</w:t>
      </w:r>
      <w:r>
        <w:rPr>
          <w:spacing w:val="-9"/>
        </w:rPr>
        <w:t> </w:t>
      </w:r>
      <w:r>
        <w:rPr/>
        <w:t>a</w:t>
      </w:r>
      <w:r>
        <w:rPr>
          <w:spacing w:val="-10"/>
        </w:rPr>
        <w:t> </w:t>
      </w:r>
      <w:r>
        <w:rPr/>
        <w:t>supplemental</w:t>
      </w:r>
      <w:r>
        <w:rPr>
          <w:spacing w:val="-9"/>
        </w:rPr>
        <w:t> </w:t>
      </w:r>
      <w:r>
        <w:rPr/>
        <w:t>budget</w:t>
      </w:r>
      <w:r>
        <w:rPr>
          <w:spacing w:val="-9"/>
        </w:rPr>
        <w:t> </w:t>
      </w:r>
      <w:r>
        <w:rPr/>
        <w:t>that</w:t>
      </w:r>
      <w:r>
        <w:rPr>
          <w:spacing w:val="-8"/>
        </w:rPr>
        <w:t> </w:t>
      </w:r>
      <w:r>
        <w:rPr/>
        <w:t>would</w:t>
      </w:r>
      <w:r>
        <w:rPr>
          <w:spacing w:val="-10"/>
        </w:rPr>
        <w:t> </w:t>
      </w:r>
      <w:r>
        <w:rPr/>
        <w:t>make</w:t>
      </w:r>
      <w:r>
        <w:rPr>
          <w:spacing w:val="-9"/>
        </w:rPr>
        <w:t> </w:t>
      </w:r>
      <w:r>
        <w:rPr/>
        <w:t>additional</w:t>
      </w:r>
      <w:r>
        <w:rPr>
          <w:spacing w:val="-10"/>
        </w:rPr>
        <w:t> </w:t>
      </w:r>
      <w:r>
        <w:rPr/>
        <w:t>appropriations</w:t>
      </w:r>
      <w:r>
        <w:rPr>
          <w:spacing w:val="-9"/>
        </w:rPr>
        <w:t> </w:t>
      </w:r>
      <w:r>
        <w:rPr/>
        <w:t>to</w:t>
      </w:r>
      <w:r>
        <w:rPr>
          <w:spacing w:val="-9"/>
        </w:rPr>
        <w:t> </w:t>
      </w:r>
      <w:r>
        <w:rPr/>
        <w:t>the</w:t>
      </w:r>
      <w:r>
        <w:rPr>
          <w:spacing w:val="-9"/>
        </w:rPr>
        <w:t> </w:t>
      </w:r>
      <w:r>
        <w:rPr/>
        <w:t>emergency</w:t>
      </w:r>
      <w:r>
        <w:rPr>
          <w:spacing w:val="-10"/>
        </w:rPr>
        <w:t> </w:t>
      </w:r>
      <w:r>
        <w:rPr/>
        <w:t>shelter system while taking steps to ensure its long-term effectiveness. The bill also supports workforce training programs for families who have recently migrated to Massachusetts and creates a special commission to make recommendations on the effectiveness of the emergency housing assistance </w:t>
      </w:r>
      <w:r>
        <w:rPr>
          <w:spacing w:val="-2"/>
        </w:rPr>
        <w:t>program.</w:t>
      </w:r>
      <w:hyperlink w:history="true" w:anchor="_bookmark287">
        <w:r>
          <w:rPr>
            <w:spacing w:val="-2"/>
            <w:vertAlign w:val="superscript"/>
          </w:rPr>
          <w:t>14</w:t>
        </w:r>
      </w:hyperlink>
    </w:p>
    <w:p>
      <w:pPr>
        <w:spacing w:before="238"/>
        <w:ind w:left="464" w:right="0" w:firstLine="0"/>
        <w:jc w:val="both"/>
        <w:rPr>
          <w:sz w:val="24"/>
        </w:rPr>
      </w:pPr>
      <w:bookmarkStart w:name="Individual Risk Factors for LGBTQ Youth " w:id="486"/>
      <w:bookmarkEnd w:id="486"/>
      <w:r>
        <w:rPr/>
      </w:r>
      <w:r>
        <w:rPr>
          <w:color w:val="365F91"/>
          <w:sz w:val="24"/>
        </w:rPr>
        <w:t>Individual</w:t>
      </w:r>
      <w:r>
        <w:rPr>
          <w:color w:val="365F91"/>
          <w:spacing w:val="-6"/>
          <w:sz w:val="24"/>
        </w:rPr>
        <w:t> </w:t>
      </w:r>
      <w:r>
        <w:rPr>
          <w:color w:val="365F91"/>
          <w:sz w:val="24"/>
        </w:rPr>
        <w:t>Risk</w:t>
      </w:r>
      <w:r>
        <w:rPr>
          <w:color w:val="365F91"/>
          <w:spacing w:val="-4"/>
          <w:sz w:val="24"/>
        </w:rPr>
        <w:t> </w:t>
      </w:r>
      <w:r>
        <w:rPr>
          <w:color w:val="365F91"/>
          <w:sz w:val="24"/>
        </w:rPr>
        <w:t>Factors</w:t>
      </w:r>
      <w:r>
        <w:rPr>
          <w:color w:val="365F91"/>
          <w:spacing w:val="-3"/>
          <w:sz w:val="24"/>
        </w:rPr>
        <w:t> </w:t>
      </w:r>
      <w:r>
        <w:rPr>
          <w:color w:val="365F91"/>
          <w:sz w:val="24"/>
        </w:rPr>
        <w:t>for</w:t>
      </w:r>
      <w:r>
        <w:rPr>
          <w:color w:val="365F91"/>
          <w:spacing w:val="-3"/>
          <w:sz w:val="24"/>
        </w:rPr>
        <w:t> </w:t>
      </w:r>
      <w:r>
        <w:rPr>
          <w:color w:val="365F91"/>
          <w:sz w:val="24"/>
        </w:rPr>
        <w:t>LGBTQ</w:t>
      </w:r>
      <w:r>
        <w:rPr>
          <w:color w:val="365F91"/>
          <w:spacing w:val="-2"/>
          <w:sz w:val="24"/>
        </w:rPr>
        <w:t> </w:t>
      </w:r>
      <w:r>
        <w:rPr>
          <w:color w:val="365F91"/>
          <w:sz w:val="24"/>
        </w:rPr>
        <w:t>Youth</w:t>
      </w:r>
      <w:r>
        <w:rPr>
          <w:color w:val="365F91"/>
          <w:spacing w:val="-4"/>
          <w:sz w:val="24"/>
        </w:rPr>
        <w:t> </w:t>
      </w:r>
      <w:r>
        <w:rPr>
          <w:color w:val="365F91"/>
          <w:sz w:val="24"/>
        </w:rPr>
        <w:t>Homelessness</w:t>
      </w:r>
      <w:r>
        <w:rPr>
          <w:color w:val="365F91"/>
          <w:spacing w:val="-3"/>
          <w:sz w:val="24"/>
        </w:rPr>
        <w:t> </w:t>
      </w:r>
      <w:r>
        <w:rPr>
          <w:color w:val="365F91"/>
          <w:sz w:val="24"/>
        </w:rPr>
        <w:t>and</w:t>
      </w:r>
      <w:r>
        <w:rPr>
          <w:color w:val="365F91"/>
          <w:spacing w:val="-4"/>
          <w:sz w:val="24"/>
        </w:rPr>
        <w:t> </w:t>
      </w:r>
      <w:r>
        <w:rPr>
          <w:color w:val="365F91"/>
          <w:sz w:val="24"/>
        </w:rPr>
        <w:t>Housing</w:t>
      </w:r>
      <w:r>
        <w:rPr>
          <w:color w:val="365F91"/>
          <w:spacing w:val="-3"/>
          <w:sz w:val="24"/>
        </w:rPr>
        <w:t> </w:t>
      </w:r>
      <w:r>
        <w:rPr>
          <w:color w:val="365F91"/>
          <w:spacing w:val="-2"/>
          <w:sz w:val="24"/>
        </w:rPr>
        <w:t>Insecurity</w:t>
      </w:r>
    </w:p>
    <w:p>
      <w:pPr>
        <w:pStyle w:val="BodyText"/>
        <w:spacing w:line="276" w:lineRule="auto" w:before="286"/>
        <w:ind w:left="463" w:right="398"/>
        <w:jc w:val="both"/>
      </w:pPr>
      <w:r>
        <w:rPr/>
        <w:t>The</w:t>
      </w:r>
      <w:r>
        <w:rPr>
          <w:spacing w:val="-5"/>
        </w:rPr>
        <w:t> </w:t>
      </w:r>
      <w:r>
        <w:rPr/>
        <w:t>lived</w:t>
      </w:r>
      <w:r>
        <w:rPr>
          <w:spacing w:val="-6"/>
        </w:rPr>
        <w:t> </w:t>
      </w:r>
      <w:r>
        <w:rPr/>
        <w:t>experiences</w:t>
      </w:r>
      <w:r>
        <w:rPr>
          <w:spacing w:val="-5"/>
        </w:rPr>
        <w:t> </w:t>
      </w:r>
      <w:r>
        <w:rPr/>
        <w:t>that</w:t>
      </w:r>
      <w:r>
        <w:rPr>
          <w:spacing w:val="-5"/>
        </w:rPr>
        <w:t> </w:t>
      </w:r>
      <w:r>
        <w:rPr/>
        <w:t>LGBTQ</w:t>
      </w:r>
      <w:r>
        <w:rPr>
          <w:spacing w:val="-6"/>
        </w:rPr>
        <w:t> </w:t>
      </w:r>
      <w:r>
        <w:rPr/>
        <w:t>youth</w:t>
      </w:r>
      <w:r>
        <w:rPr>
          <w:spacing w:val="-4"/>
        </w:rPr>
        <w:t> </w:t>
      </w:r>
      <w:r>
        <w:rPr/>
        <w:t>face</w:t>
      </w:r>
      <w:r>
        <w:rPr>
          <w:spacing w:val="-6"/>
        </w:rPr>
        <w:t> </w:t>
      </w:r>
      <w:r>
        <w:rPr/>
        <w:t>have</w:t>
      </w:r>
      <w:r>
        <w:rPr>
          <w:spacing w:val="-7"/>
        </w:rPr>
        <w:t> </w:t>
      </w:r>
      <w:r>
        <w:rPr/>
        <w:t>an</w:t>
      </w:r>
      <w:r>
        <w:rPr>
          <w:spacing w:val="-6"/>
        </w:rPr>
        <w:t> </w:t>
      </w:r>
      <w:r>
        <w:rPr/>
        <w:t>impact</w:t>
      </w:r>
      <w:r>
        <w:rPr>
          <w:spacing w:val="-7"/>
        </w:rPr>
        <w:t> </w:t>
      </w:r>
      <w:r>
        <w:rPr/>
        <w:t>on</w:t>
      </w:r>
      <w:r>
        <w:rPr>
          <w:spacing w:val="-6"/>
        </w:rPr>
        <w:t> </w:t>
      </w:r>
      <w:r>
        <w:rPr/>
        <w:t>individual</w:t>
      </w:r>
      <w:r>
        <w:rPr>
          <w:spacing w:val="-5"/>
        </w:rPr>
        <w:t> </w:t>
      </w:r>
      <w:r>
        <w:rPr/>
        <w:t>mental</w:t>
      </w:r>
      <w:r>
        <w:rPr>
          <w:spacing w:val="-5"/>
        </w:rPr>
        <w:t> </w:t>
      </w:r>
      <w:r>
        <w:rPr/>
        <w:t>and</w:t>
      </w:r>
      <w:r>
        <w:rPr>
          <w:spacing w:val="-4"/>
        </w:rPr>
        <w:t> </w:t>
      </w:r>
      <w:r>
        <w:rPr/>
        <w:t>physical</w:t>
      </w:r>
      <w:r>
        <w:rPr>
          <w:spacing w:val="-4"/>
        </w:rPr>
        <w:t> </w:t>
      </w:r>
      <w:r>
        <w:rPr/>
        <w:t>health, especially</w:t>
      </w:r>
      <w:r>
        <w:rPr>
          <w:spacing w:val="-4"/>
        </w:rPr>
        <w:t> </w:t>
      </w:r>
      <w:r>
        <w:rPr/>
        <w:t>for</w:t>
      </w:r>
      <w:r>
        <w:rPr>
          <w:spacing w:val="-4"/>
        </w:rPr>
        <w:t> </w:t>
      </w:r>
      <w:r>
        <w:rPr/>
        <w:t>LGBTQ</w:t>
      </w:r>
      <w:r>
        <w:rPr>
          <w:spacing w:val="-4"/>
        </w:rPr>
        <w:t> </w:t>
      </w:r>
      <w:r>
        <w:rPr/>
        <w:t>youth</w:t>
      </w:r>
      <w:r>
        <w:rPr>
          <w:spacing w:val="-3"/>
        </w:rPr>
        <w:t> </w:t>
      </w:r>
      <w:r>
        <w:rPr/>
        <w:t>experiencing</w:t>
      </w:r>
      <w:r>
        <w:rPr>
          <w:spacing w:val="-3"/>
        </w:rPr>
        <w:t> </w:t>
      </w:r>
      <w:r>
        <w:rPr/>
        <w:t>homelessness.</w:t>
      </w:r>
      <w:r>
        <w:rPr>
          <w:spacing w:val="-5"/>
        </w:rPr>
        <w:t> </w:t>
      </w:r>
      <w:r>
        <w:rPr/>
        <w:t>Studies</w:t>
      </w:r>
      <w:r>
        <w:rPr>
          <w:spacing w:val="-3"/>
        </w:rPr>
        <w:t> </w:t>
      </w:r>
      <w:r>
        <w:rPr/>
        <w:t>have</w:t>
      </w:r>
      <w:r>
        <w:rPr>
          <w:spacing w:val="-5"/>
        </w:rPr>
        <w:t> </w:t>
      </w:r>
      <w:r>
        <w:rPr/>
        <w:t>found</w:t>
      </w:r>
      <w:r>
        <w:rPr>
          <w:spacing w:val="-4"/>
        </w:rPr>
        <w:t> </w:t>
      </w:r>
      <w:r>
        <w:rPr/>
        <w:t>that</w:t>
      </w:r>
      <w:r>
        <w:rPr>
          <w:spacing w:val="-3"/>
        </w:rPr>
        <w:t> </w:t>
      </w:r>
      <w:r>
        <w:rPr/>
        <w:t>LGBTQ</w:t>
      </w:r>
      <w:r>
        <w:rPr>
          <w:spacing w:val="-4"/>
        </w:rPr>
        <w:t> </w:t>
      </w:r>
      <w:r>
        <w:rPr/>
        <w:t>youth</w:t>
      </w:r>
      <w:r>
        <w:rPr>
          <w:spacing w:val="-3"/>
        </w:rPr>
        <w:t> </w:t>
      </w:r>
      <w:r>
        <w:rPr/>
        <w:t>are</w:t>
      </w:r>
      <w:r>
        <w:rPr>
          <w:spacing w:val="-5"/>
        </w:rPr>
        <w:t> </w:t>
      </w:r>
      <w:r>
        <w:rPr/>
        <w:t>at</w:t>
      </w:r>
      <w:r>
        <w:rPr>
          <w:spacing w:val="-4"/>
        </w:rPr>
        <w:t> </w:t>
      </w:r>
      <w:r>
        <w:rPr/>
        <w:t>a greater risk of experiencing “turning points,” or negative life experiences such as stigma and victimization that place LGBTQ youth on a pathway to homelessness.</w:t>
      </w:r>
      <w:hyperlink w:history="true" w:anchor="_bookmark288">
        <w:r>
          <w:rPr>
            <w:vertAlign w:val="superscript"/>
          </w:rPr>
          <w:t>15</w:t>
        </w:r>
      </w:hyperlink>
      <w:r>
        <w:rPr>
          <w:spacing w:val="-3"/>
          <w:vertAlign w:val="baseline"/>
        </w:rPr>
        <w:t> </w:t>
      </w:r>
      <w:r>
        <w:rPr>
          <w:vertAlign w:val="baseline"/>
        </w:rPr>
        <w:t>This is often linked to adverse experiences</w:t>
      </w:r>
      <w:r>
        <w:rPr>
          <w:spacing w:val="-10"/>
          <w:vertAlign w:val="baseline"/>
        </w:rPr>
        <w:t> </w:t>
      </w:r>
      <w:r>
        <w:rPr>
          <w:vertAlign w:val="baseline"/>
        </w:rPr>
        <w:t>with</w:t>
      </w:r>
      <w:r>
        <w:rPr>
          <w:spacing w:val="-10"/>
          <w:vertAlign w:val="baseline"/>
        </w:rPr>
        <w:t> </w:t>
      </w:r>
      <w:r>
        <w:rPr>
          <w:vertAlign w:val="baseline"/>
        </w:rPr>
        <w:t>peers</w:t>
      </w:r>
      <w:r>
        <w:rPr>
          <w:spacing w:val="-11"/>
          <w:vertAlign w:val="baseline"/>
        </w:rPr>
        <w:t> </w:t>
      </w:r>
      <w:r>
        <w:rPr>
          <w:vertAlign w:val="baseline"/>
        </w:rPr>
        <w:t>and</w:t>
      </w:r>
      <w:r>
        <w:rPr>
          <w:spacing w:val="-11"/>
          <w:vertAlign w:val="baseline"/>
        </w:rPr>
        <w:t> </w:t>
      </w:r>
      <w:r>
        <w:rPr>
          <w:vertAlign w:val="baseline"/>
        </w:rPr>
        <w:t>family</w:t>
      </w:r>
      <w:r>
        <w:rPr>
          <w:spacing w:val="-10"/>
          <w:vertAlign w:val="baseline"/>
        </w:rPr>
        <w:t> </w:t>
      </w:r>
      <w:r>
        <w:rPr>
          <w:vertAlign w:val="baseline"/>
        </w:rPr>
        <w:t>members</w:t>
      </w:r>
      <w:r>
        <w:rPr>
          <w:spacing w:val="-11"/>
          <w:vertAlign w:val="baseline"/>
        </w:rPr>
        <w:t> </w:t>
      </w:r>
      <w:r>
        <w:rPr>
          <w:vertAlign w:val="baseline"/>
        </w:rPr>
        <w:t>that</w:t>
      </w:r>
      <w:r>
        <w:rPr>
          <w:spacing w:val="-11"/>
          <w:vertAlign w:val="baseline"/>
        </w:rPr>
        <w:t> </w:t>
      </w:r>
      <w:r>
        <w:rPr>
          <w:vertAlign w:val="baseline"/>
        </w:rPr>
        <w:t>impact</w:t>
      </w:r>
      <w:r>
        <w:rPr>
          <w:spacing w:val="-11"/>
          <w:vertAlign w:val="baseline"/>
        </w:rPr>
        <w:t> </w:t>
      </w:r>
      <w:r>
        <w:rPr>
          <w:vertAlign w:val="baseline"/>
        </w:rPr>
        <w:t>mental</w:t>
      </w:r>
      <w:r>
        <w:rPr>
          <w:spacing w:val="-10"/>
          <w:vertAlign w:val="baseline"/>
        </w:rPr>
        <w:t> </w:t>
      </w:r>
      <w:r>
        <w:rPr>
          <w:vertAlign w:val="baseline"/>
        </w:rPr>
        <w:t>health</w:t>
      </w:r>
      <w:r>
        <w:rPr>
          <w:spacing w:val="-11"/>
          <w:vertAlign w:val="baseline"/>
        </w:rPr>
        <w:t> </w:t>
      </w:r>
      <w:r>
        <w:rPr>
          <w:vertAlign w:val="baseline"/>
        </w:rPr>
        <w:t>and</w:t>
      </w:r>
      <w:r>
        <w:rPr>
          <w:spacing w:val="-10"/>
          <w:vertAlign w:val="baseline"/>
        </w:rPr>
        <w:t> </w:t>
      </w:r>
      <w:r>
        <w:rPr>
          <w:vertAlign w:val="baseline"/>
        </w:rPr>
        <w:t>well-being.</w:t>
      </w:r>
      <w:hyperlink w:history="true" w:anchor="_bookmark289">
        <w:r>
          <w:rPr>
            <w:vertAlign w:val="superscript"/>
          </w:rPr>
          <w:t>16</w:t>
        </w:r>
      </w:hyperlink>
      <w:r>
        <w:rPr>
          <w:spacing w:val="-3"/>
          <w:vertAlign w:val="baseline"/>
        </w:rPr>
        <w:t> </w:t>
      </w:r>
      <w:r>
        <w:rPr>
          <w:vertAlign w:val="baseline"/>
        </w:rPr>
        <w:t>This</w:t>
      </w:r>
      <w:r>
        <w:rPr>
          <w:spacing w:val="-11"/>
          <w:vertAlign w:val="baseline"/>
        </w:rPr>
        <w:t> </w:t>
      </w:r>
      <w:r>
        <w:rPr>
          <w:vertAlign w:val="baseline"/>
        </w:rPr>
        <w:t>is</w:t>
      </w:r>
      <w:r>
        <w:rPr>
          <w:spacing w:val="-10"/>
          <w:vertAlign w:val="baseline"/>
        </w:rPr>
        <w:t> </w:t>
      </w:r>
      <w:r>
        <w:rPr>
          <w:vertAlign w:val="baseline"/>
        </w:rPr>
        <w:t>further evidenced</w:t>
      </w:r>
      <w:r>
        <w:rPr>
          <w:spacing w:val="-7"/>
          <w:vertAlign w:val="baseline"/>
        </w:rPr>
        <w:t> </w:t>
      </w:r>
      <w:r>
        <w:rPr>
          <w:vertAlign w:val="baseline"/>
        </w:rPr>
        <w:t>by</w:t>
      </w:r>
      <w:r>
        <w:rPr>
          <w:spacing w:val="-5"/>
          <w:vertAlign w:val="baseline"/>
        </w:rPr>
        <w:t> </w:t>
      </w:r>
      <w:r>
        <w:rPr>
          <w:vertAlign w:val="baseline"/>
        </w:rPr>
        <w:t>the</w:t>
      </w:r>
      <w:r>
        <w:rPr>
          <w:spacing w:val="-6"/>
          <w:vertAlign w:val="baseline"/>
        </w:rPr>
        <w:t> </w:t>
      </w:r>
      <w:r>
        <w:rPr>
          <w:vertAlign w:val="baseline"/>
        </w:rPr>
        <w:t>Minority</w:t>
      </w:r>
      <w:r>
        <w:rPr>
          <w:spacing w:val="-5"/>
          <w:vertAlign w:val="baseline"/>
        </w:rPr>
        <w:t> </w:t>
      </w:r>
      <w:r>
        <w:rPr>
          <w:vertAlign w:val="baseline"/>
        </w:rPr>
        <w:t>Stress</w:t>
      </w:r>
      <w:r>
        <w:rPr>
          <w:spacing w:val="-7"/>
          <w:vertAlign w:val="baseline"/>
        </w:rPr>
        <w:t> </w:t>
      </w:r>
      <w:r>
        <w:rPr>
          <w:vertAlign w:val="baseline"/>
        </w:rPr>
        <w:t>Theory,</w:t>
      </w:r>
      <w:r>
        <w:rPr>
          <w:spacing w:val="-7"/>
          <w:vertAlign w:val="baseline"/>
        </w:rPr>
        <w:t> </w:t>
      </w:r>
      <w:r>
        <w:rPr>
          <w:vertAlign w:val="baseline"/>
        </w:rPr>
        <w:t>which</w:t>
      </w:r>
      <w:r>
        <w:rPr>
          <w:spacing w:val="-7"/>
          <w:vertAlign w:val="baseline"/>
        </w:rPr>
        <w:t> </w:t>
      </w:r>
      <w:r>
        <w:rPr>
          <w:vertAlign w:val="baseline"/>
        </w:rPr>
        <w:t>suggests</w:t>
      </w:r>
      <w:r>
        <w:rPr>
          <w:spacing w:val="-7"/>
          <w:vertAlign w:val="baseline"/>
        </w:rPr>
        <w:t> </w:t>
      </w:r>
      <w:r>
        <w:rPr>
          <w:vertAlign w:val="baseline"/>
        </w:rPr>
        <w:t>that</w:t>
      </w:r>
      <w:r>
        <w:rPr>
          <w:spacing w:val="-8"/>
          <w:vertAlign w:val="baseline"/>
        </w:rPr>
        <w:t> </w:t>
      </w:r>
      <w:r>
        <w:rPr>
          <w:vertAlign w:val="baseline"/>
        </w:rPr>
        <w:t>sexual</w:t>
      </w:r>
      <w:r>
        <w:rPr>
          <w:spacing w:val="-8"/>
          <w:vertAlign w:val="baseline"/>
        </w:rPr>
        <w:t> </w:t>
      </w:r>
      <w:r>
        <w:rPr>
          <w:vertAlign w:val="baseline"/>
        </w:rPr>
        <w:t>minorities</w:t>
      </w:r>
      <w:r>
        <w:rPr>
          <w:spacing w:val="-6"/>
          <w:vertAlign w:val="baseline"/>
        </w:rPr>
        <w:t> </w:t>
      </w:r>
      <w:r>
        <w:rPr>
          <w:vertAlign w:val="baseline"/>
        </w:rPr>
        <w:t>and</w:t>
      </w:r>
      <w:r>
        <w:rPr>
          <w:spacing w:val="-7"/>
          <w:vertAlign w:val="baseline"/>
        </w:rPr>
        <w:t> </w:t>
      </w:r>
      <w:r>
        <w:rPr>
          <w:vertAlign w:val="baseline"/>
        </w:rPr>
        <w:t>underrepresented gender identities commonly experience chronic stressors related to their sexual orientation and gender identity.</w:t>
      </w:r>
      <w:hyperlink w:history="true" w:anchor="_bookmark290">
        <w:r>
          <w:rPr>
            <w:vertAlign w:val="superscript"/>
          </w:rPr>
          <w:t>17</w:t>
        </w:r>
      </w:hyperlink>
    </w:p>
    <w:p>
      <w:pPr>
        <w:pStyle w:val="BodyText"/>
        <w:spacing w:line="276" w:lineRule="auto" w:before="240"/>
        <w:ind w:left="464" w:right="401"/>
        <w:jc w:val="both"/>
      </w:pPr>
      <w:r>
        <w:rPr/>
        <w:t>Once homeless, LGBTQ youth are at a heightened risk of experiencing negative physical, mental, and behavioral</w:t>
      </w:r>
      <w:r>
        <w:rPr>
          <w:spacing w:val="-2"/>
        </w:rPr>
        <w:t> </w:t>
      </w:r>
      <w:r>
        <w:rPr/>
        <w:t>health</w:t>
      </w:r>
      <w:r>
        <w:rPr>
          <w:spacing w:val="-2"/>
        </w:rPr>
        <w:t> </w:t>
      </w:r>
      <w:r>
        <w:rPr/>
        <w:t>outcomes.</w:t>
      </w:r>
      <w:r>
        <w:rPr>
          <w:spacing w:val="-2"/>
        </w:rPr>
        <w:t> </w:t>
      </w:r>
      <w:r>
        <w:rPr/>
        <w:t>The</w:t>
      </w:r>
      <w:r>
        <w:rPr>
          <w:spacing w:val="-2"/>
        </w:rPr>
        <w:t> </w:t>
      </w:r>
      <w:r>
        <w:rPr/>
        <w:t>increased</w:t>
      </w:r>
      <w:r>
        <w:rPr>
          <w:spacing w:val="-2"/>
        </w:rPr>
        <w:t> </w:t>
      </w:r>
      <w:r>
        <w:rPr/>
        <w:t>risk</w:t>
      </w:r>
      <w:r>
        <w:rPr>
          <w:spacing w:val="-2"/>
        </w:rPr>
        <w:t> </w:t>
      </w:r>
      <w:r>
        <w:rPr/>
        <w:t>of</w:t>
      </w:r>
      <w:r>
        <w:rPr>
          <w:spacing w:val="-1"/>
        </w:rPr>
        <w:t> </w:t>
      </w:r>
      <w:r>
        <w:rPr/>
        <w:t>poor</w:t>
      </w:r>
      <w:r>
        <w:rPr>
          <w:spacing w:val="-1"/>
        </w:rPr>
        <w:t> </w:t>
      </w:r>
      <w:r>
        <w:rPr/>
        <w:t>mental health</w:t>
      </w:r>
      <w:r>
        <w:rPr>
          <w:spacing w:val="-2"/>
        </w:rPr>
        <w:t> </w:t>
      </w:r>
      <w:r>
        <w:rPr/>
        <w:t>outcomes among</w:t>
      </w:r>
      <w:r>
        <w:rPr>
          <w:spacing w:val="-2"/>
        </w:rPr>
        <w:t> </w:t>
      </w:r>
      <w:r>
        <w:rPr/>
        <w:t>LGBTQ</w:t>
      </w:r>
      <w:r>
        <w:rPr>
          <w:spacing w:val="-2"/>
        </w:rPr>
        <w:t> </w:t>
      </w:r>
      <w:r>
        <w:rPr/>
        <w:t>youth has been linked to chronic stress rooted in being marginalized and discriminated against at a young age.</w:t>
      </w:r>
      <w:r>
        <w:rPr>
          <w:spacing w:val="-10"/>
        </w:rPr>
        <w:t> </w:t>
      </w:r>
      <w:r>
        <w:rPr/>
        <w:t>In</w:t>
      </w:r>
      <w:r>
        <w:rPr>
          <w:spacing w:val="-10"/>
        </w:rPr>
        <w:t> </w:t>
      </w:r>
      <w:r>
        <w:rPr/>
        <w:t>particular,</w:t>
      </w:r>
      <w:r>
        <w:rPr>
          <w:spacing w:val="-10"/>
        </w:rPr>
        <w:t> </w:t>
      </w:r>
      <w:r>
        <w:rPr/>
        <w:t>transgender</w:t>
      </w:r>
      <w:r>
        <w:rPr>
          <w:spacing w:val="-10"/>
        </w:rPr>
        <w:t> </w:t>
      </w:r>
      <w:r>
        <w:rPr/>
        <w:t>and</w:t>
      </w:r>
      <w:r>
        <w:rPr>
          <w:spacing w:val="-9"/>
        </w:rPr>
        <w:t> </w:t>
      </w:r>
      <w:r>
        <w:rPr/>
        <w:t>nonbinary</w:t>
      </w:r>
      <w:r>
        <w:rPr>
          <w:spacing w:val="-10"/>
        </w:rPr>
        <w:t> </w:t>
      </w:r>
      <w:r>
        <w:rPr/>
        <w:t>youth</w:t>
      </w:r>
      <w:r>
        <w:rPr>
          <w:spacing w:val="-9"/>
        </w:rPr>
        <w:t> </w:t>
      </w:r>
      <w:r>
        <w:rPr/>
        <w:t>face</w:t>
      </w:r>
      <w:r>
        <w:rPr>
          <w:spacing w:val="-10"/>
        </w:rPr>
        <w:t> </w:t>
      </w:r>
      <w:r>
        <w:rPr/>
        <w:t>an</w:t>
      </w:r>
      <w:r>
        <w:rPr>
          <w:spacing w:val="-10"/>
        </w:rPr>
        <w:t> </w:t>
      </w:r>
      <w:r>
        <w:rPr/>
        <w:t>increased</w:t>
      </w:r>
      <w:r>
        <w:rPr>
          <w:spacing w:val="-10"/>
        </w:rPr>
        <w:t> </w:t>
      </w:r>
      <w:r>
        <w:rPr/>
        <w:t>risk</w:t>
      </w:r>
      <w:r>
        <w:rPr>
          <w:spacing w:val="-10"/>
        </w:rPr>
        <w:t> </w:t>
      </w:r>
      <w:r>
        <w:rPr/>
        <w:t>of</w:t>
      </w:r>
      <w:r>
        <w:rPr>
          <w:spacing w:val="-10"/>
        </w:rPr>
        <w:t> </w:t>
      </w:r>
      <w:r>
        <w:rPr/>
        <w:t>mental</w:t>
      </w:r>
      <w:r>
        <w:rPr>
          <w:spacing w:val="-10"/>
        </w:rPr>
        <w:t> </w:t>
      </w:r>
      <w:r>
        <w:rPr/>
        <w:t>health</w:t>
      </w:r>
      <w:r>
        <w:rPr>
          <w:spacing w:val="-9"/>
        </w:rPr>
        <w:t> </w:t>
      </w:r>
      <w:r>
        <w:rPr/>
        <w:t>challenges, including depressive moods, suicidal ideation, and suicide attempts.</w:t>
      </w:r>
      <w:hyperlink w:history="true" w:anchor="_bookmark291">
        <w:r>
          <w:rPr>
            <w:vertAlign w:val="superscript"/>
          </w:rPr>
          <w:t>18</w:t>
        </w:r>
      </w:hyperlink>
    </w:p>
    <w:p>
      <w:pPr>
        <w:spacing w:after="0" w:line="276" w:lineRule="auto"/>
        <w:jc w:val="both"/>
        <w:sectPr>
          <w:pgSz w:w="12240" w:h="15840"/>
          <w:pgMar w:header="765" w:footer="1127" w:top="1280" w:bottom="1380" w:left="1120" w:right="1180"/>
        </w:sectPr>
      </w:pPr>
    </w:p>
    <w:p>
      <w:pPr>
        <w:pStyle w:val="BodyText"/>
        <w:spacing w:line="276" w:lineRule="auto" w:before="91"/>
        <w:ind w:left="3477" w:right="401"/>
        <w:jc w:val="both"/>
      </w:pPr>
      <w:r>
        <w:rPr/>
        <w:drawing>
          <wp:anchor distT="0" distB="0" distL="0" distR="0" allowOverlap="1" layoutInCell="1" locked="0" behindDoc="0" simplePos="0" relativeHeight="15797248">
            <wp:simplePos x="0" y="0"/>
            <wp:positionH relativeFrom="page">
              <wp:posOffset>975996</wp:posOffset>
            </wp:positionH>
            <wp:positionV relativeFrom="paragraph">
              <wp:posOffset>72966</wp:posOffset>
            </wp:positionV>
            <wp:extent cx="1795548" cy="1846575"/>
            <wp:effectExtent l="0" t="0" r="0" b="0"/>
            <wp:wrapNone/>
            <wp:docPr id="366" name="Image 366" descr="A blue and pink circle with black text  Description automatically generated "/>
            <wp:cNvGraphicFramePr>
              <a:graphicFrameLocks/>
            </wp:cNvGraphicFramePr>
            <a:graphic>
              <a:graphicData uri="http://schemas.openxmlformats.org/drawingml/2006/picture">
                <pic:pic>
                  <pic:nvPicPr>
                    <pic:cNvPr id="366" name="Image 366" descr="A blue and pink circle with black text  Description automatically generated "/>
                    <pic:cNvPicPr/>
                  </pic:nvPicPr>
                  <pic:blipFill>
                    <a:blip r:embed="rId444" cstate="print"/>
                    <a:stretch>
                      <a:fillRect/>
                    </a:stretch>
                  </pic:blipFill>
                  <pic:spPr>
                    <a:xfrm>
                      <a:off x="0" y="0"/>
                      <a:ext cx="1795548" cy="1846575"/>
                    </a:xfrm>
                    <a:prstGeom prst="rect">
                      <a:avLst/>
                    </a:prstGeom>
                  </pic:spPr>
                </pic:pic>
              </a:graphicData>
            </a:graphic>
          </wp:anchor>
        </w:drawing>
      </w:r>
      <w:r>
        <w:rPr/>
        <w:t>In 2024, The Trevor Project's national report revealed that 39% of LGBTQ youth seriously contemplated attempting suicide within the last</w:t>
      </w:r>
      <w:r>
        <w:rPr>
          <w:spacing w:val="-8"/>
        </w:rPr>
        <w:t> </w:t>
      </w:r>
      <w:r>
        <w:rPr/>
        <w:t>year.</w:t>
      </w:r>
      <w:hyperlink w:history="true" w:anchor="_bookmark292">
        <w:r>
          <w:rPr>
            <w:vertAlign w:val="superscript"/>
          </w:rPr>
          <w:t>19</w:t>
        </w:r>
      </w:hyperlink>
      <w:r>
        <w:rPr>
          <w:spacing w:val="-4"/>
          <w:vertAlign w:val="baseline"/>
        </w:rPr>
        <w:t> </w:t>
      </w:r>
      <w:r>
        <w:rPr>
          <w:vertAlign w:val="baseline"/>
        </w:rPr>
        <w:t>This</w:t>
      </w:r>
      <w:r>
        <w:rPr>
          <w:spacing w:val="-7"/>
          <w:vertAlign w:val="baseline"/>
        </w:rPr>
        <w:t> </w:t>
      </w:r>
      <w:r>
        <w:rPr>
          <w:vertAlign w:val="baseline"/>
        </w:rPr>
        <w:t>concerning</w:t>
      </w:r>
      <w:r>
        <w:rPr>
          <w:spacing w:val="-7"/>
          <w:vertAlign w:val="baseline"/>
        </w:rPr>
        <w:t> </w:t>
      </w:r>
      <w:r>
        <w:rPr>
          <w:vertAlign w:val="baseline"/>
        </w:rPr>
        <w:t>statistic</w:t>
      </w:r>
      <w:r>
        <w:rPr>
          <w:spacing w:val="-7"/>
          <w:vertAlign w:val="baseline"/>
        </w:rPr>
        <w:t> </w:t>
      </w:r>
      <w:r>
        <w:rPr>
          <w:vertAlign w:val="baseline"/>
        </w:rPr>
        <w:t>aligns</w:t>
      </w:r>
      <w:r>
        <w:rPr>
          <w:spacing w:val="-6"/>
          <w:vertAlign w:val="baseline"/>
        </w:rPr>
        <w:t> </w:t>
      </w:r>
      <w:r>
        <w:rPr>
          <w:vertAlign w:val="baseline"/>
        </w:rPr>
        <w:t>with</w:t>
      </w:r>
      <w:r>
        <w:rPr>
          <w:spacing w:val="-7"/>
          <w:vertAlign w:val="baseline"/>
        </w:rPr>
        <w:t> </w:t>
      </w:r>
      <w:r>
        <w:rPr>
          <w:vertAlign w:val="baseline"/>
        </w:rPr>
        <w:t>the</w:t>
      </w:r>
      <w:r>
        <w:rPr>
          <w:spacing w:val="-8"/>
          <w:vertAlign w:val="baseline"/>
        </w:rPr>
        <w:t> </w:t>
      </w:r>
      <w:r>
        <w:rPr>
          <w:vertAlign w:val="baseline"/>
        </w:rPr>
        <w:t>findings</w:t>
      </w:r>
      <w:r>
        <w:rPr>
          <w:spacing w:val="-7"/>
          <w:vertAlign w:val="baseline"/>
        </w:rPr>
        <w:t> </w:t>
      </w:r>
      <w:r>
        <w:rPr>
          <w:vertAlign w:val="baseline"/>
        </w:rPr>
        <w:t>from</w:t>
      </w:r>
      <w:r>
        <w:rPr>
          <w:spacing w:val="-7"/>
          <w:vertAlign w:val="baseline"/>
        </w:rPr>
        <w:t> </w:t>
      </w:r>
      <w:r>
        <w:rPr>
          <w:vertAlign w:val="baseline"/>
        </w:rPr>
        <w:t>the 2022 Massachusetts Youth Count, where 71% of LGBTQ individuals expressed a need for mental health assistance; only 36% of these respondents received the support they required, highlighting the critical need for mental health services in shelters and drop-in centers across the Commonwealth to provide better support for LGBTQ youth facing homelessness.</w:t>
      </w:r>
    </w:p>
    <w:p>
      <w:pPr>
        <w:spacing w:before="239"/>
        <w:ind w:left="464" w:right="0" w:firstLine="0"/>
        <w:jc w:val="both"/>
        <w:rPr>
          <w:sz w:val="24"/>
        </w:rPr>
      </w:pPr>
      <w:bookmarkStart w:name="Pathways to Homelessness and Housing Ins" w:id="487"/>
      <w:bookmarkEnd w:id="487"/>
      <w:r>
        <w:rPr/>
      </w:r>
      <w:r>
        <w:rPr>
          <w:color w:val="365F91"/>
          <w:sz w:val="24"/>
        </w:rPr>
        <w:t>Pathways</w:t>
      </w:r>
      <w:r>
        <w:rPr>
          <w:color w:val="365F91"/>
          <w:spacing w:val="-6"/>
          <w:sz w:val="24"/>
        </w:rPr>
        <w:t> </w:t>
      </w:r>
      <w:r>
        <w:rPr>
          <w:color w:val="365F91"/>
          <w:sz w:val="24"/>
        </w:rPr>
        <w:t>to</w:t>
      </w:r>
      <w:r>
        <w:rPr>
          <w:color w:val="365F91"/>
          <w:spacing w:val="-3"/>
          <w:sz w:val="24"/>
        </w:rPr>
        <w:t> </w:t>
      </w:r>
      <w:r>
        <w:rPr>
          <w:color w:val="365F91"/>
          <w:sz w:val="24"/>
        </w:rPr>
        <w:t>Homelessness</w:t>
      </w:r>
      <w:r>
        <w:rPr>
          <w:color w:val="365F91"/>
          <w:spacing w:val="-3"/>
          <w:sz w:val="24"/>
        </w:rPr>
        <w:t> </w:t>
      </w:r>
      <w:r>
        <w:rPr>
          <w:color w:val="365F91"/>
          <w:sz w:val="24"/>
        </w:rPr>
        <w:t>and</w:t>
      </w:r>
      <w:r>
        <w:rPr>
          <w:color w:val="365F91"/>
          <w:spacing w:val="-3"/>
          <w:sz w:val="24"/>
        </w:rPr>
        <w:t> </w:t>
      </w:r>
      <w:r>
        <w:rPr>
          <w:color w:val="365F91"/>
          <w:sz w:val="24"/>
        </w:rPr>
        <w:t>Housing</w:t>
      </w:r>
      <w:r>
        <w:rPr>
          <w:color w:val="365F91"/>
          <w:spacing w:val="-4"/>
          <w:sz w:val="24"/>
        </w:rPr>
        <w:t> </w:t>
      </w:r>
      <w:r>
        <w:rPr>
          <w:color w:val="365F91"/>
          <w:sz w:val="24"/>
        </w:rPr>
        <w:t>Insecurity</w:t>
      </w:r>
      <w:r>
        <w:rPr>
          <w:color w:val="365F91"/>
          <w:spacing w:val="-2"/>
          <w:sz w:val="24"/>
        </w:rPr>
        <w:t> </w:t>
      </w:r>
      <w:r>
        <w:rPr>
          <w:color w:val="365F91"/>
          <w:sz w:val="24"/>
        </w:rPr>
        <w:t>for</w:t>
      </w:r>
      <w:r>
        <w:rPr>
          <w:color w:val="365F91"/>
          <w:spacing w:val="-2"/>
          <w:sz w:val="24"/>
        </w:rPr>
        <w:t> </w:t>
      </w:r>
      <w:r>
        <w:rPr>
          <w:color w:val="365F91"/>
          <w:sz w:val="24"/>
        </w:rPr>
        <w:t>LGBTQ</w:t>
      </w:r>
      <w:r>
        <w:rPr>
          <w:color w:val="365F91"/>
          <w:spacing w:val="-2"/>
          <w:sz w:val="24"/>
        </w:rPr>
        <w:t> Youth</w:t>
      </w:r>
    </w:p>
    <w:p>
      <w:pPr>
        <w:pStyle w:val="BodyText"/>
        <w:spacing w:line="276" w:lineRule="auto" w:before="286"/>
        <w:ind w:left="463" w:right="401"/>
        <w:jc w:val="both"/>
      </w:pPr>
      <w:r>
        <w:rPr/>
        <w:t>LGBTQ youth are uniquely influenced by social and interpersonal relationships that are often negatively affected by their LGBTQ identity. The most cited reason why LGBTQ youth enter into homelessness is due to negative familial and peer relationships. Research has indicated that issues with family life and peer relationships in school systems can place LGBTQ youth on a pathway to homelessness.</w:t>
      </w:r>
      <w:hyperlink w:history="true" w:anchor="_bookmark293">
        <w:r>
          <w:rPr>
            <w:vertAlign w:val="superscript"/>
          </w:rPr>
          <w:t>20</w:t>
        </w:r>
      </w:hyperlink>
      <w:r>
        <w:rPr>
          <w:vertAlign w:val="baseline"/>
        </w:rPr>
        <w:t> LGBTQ youth most commonly experience homelessness after being kicked out or asked</w:t>
      </w:r>
      <w:r>
        <w:rPr>
          <w:spacing w:val="-1"/>
          <w:vertAlign w:val="baseline"/>
        </w:rPr>
        <w:t> </w:t>
      </w:r>
      <w:r>
        <w:rPr>
          <w:vertAlign w:val="baseline"/>
        </w:rPr>
        <w:t>to leave</w:t>
      </w:r>
      <w:r>
        <w:rPr>
          <w:spacing w:val="-1"/>
          <w:vertAlign w:val="baseline"/>
        </w:rPr>
        <w:t> </w:t>
      </w:r>
      <w:r>
        <w:rPr>
          <w:vertAlign w:val="baseline"/>
        </w:rPr>
        <w:t>the</w:t>
      </w:r>
      <w:r>
        <w:rPr>
          <w:spacing w:val="-1"/>
          <w:vertAlign w:val="baseline"/>
        </w:rPr>
        <w:t> </w:t>
      </w:r>
      <w:r>
        <w:rPr>
          <w:vertAlign w:val="baseline"/>
        </w:rPr>
        <w:t>home</w:t>
      </w:r>
      <w:r>
        <w:rPr>
          <w:spacing w:val="-1"/>
          <w:vertAlign w:val="baseline"/>
        </w:rPr>
        <w:t> </w:t>
      </w:r>
      <w:r>
        <w:rPr>
          <w:vertAlign w:val="baseline"/>
        </w:rPr>
        <w:t>of their parents.</w:t>
      </w:r>
      <w:hyperlink w:history="true" w:anchor="_bookmark294">
        <w:r>
          <w:rPr>
            <w:vertAlign w:val="superscript"/>
          </w:rPr>
          <w:t>21</w:t>
        </w:r>
      </w:hyperlink>
      <w:r>
        <w:rPr>
          <w:spacing w:val="-3"/>
          <w:vertAlign w:val="baseline"/>
        </w:rPr>
        <w:t> </w:t>
      </w:r>
      <w:r>
        <w:rPr>
          <w:vertAlign w:val="baseline"/>
        </w:rPr>
        <w:t>Specifically, transgender youth</w:t>
      </w:r>
      <w:r>
        <w:rPr>
          <w:spacing w:val="-1"/>
          <w:vertAlign w:val="baseline"/>
        </w:rPr>
        <w:t> </w:t>
      </w:r>
      <w:r>
        <w:rPr>
          <w:vertAlign w:val="baseline"/>
        </w:rPr>
        <w:t>were more</w:t>
      </w:r>
      <w:r>
        <w:rPr>
          <w:spacing w:val="-1"/>
          <w:vertAlign w:val="baseline"/>
        </w:rPr>
        <w:t> </w:t>
      </w:r>
      <w:r>
        <w:rPr>
          <w:vertAlign w:val="baseline"/>
        </w:rPr>
        <w:t>likely to report being kicked out or asked to leave their homes.</w:t>
      </w:r>
      <w:hyperlink w:history="true" w:anchor="_bookmark295">
        <w:r>
          <w:rPr>
            <w:vertAlign w:val="superscript"/>
          </w:rPr>
          <w:t>22</w:t>
        </w:r>
      </w:hyperlink>
    </w:p>
    <w:p>
      <w:pPr>
        <w:spacing w:line="252" w:lineRule="auto" w:before="238"/>
        <w:ind w:left="1161" w:right="1100" w:firstLine="0"/>
        <w:jc w:val="center"/>
        <w:rPr>
          <w:rFonts w:ascii="Cambria" w:hAnsi="Cambria"/>
          <w:i/>
          <w:sz w:val="21"/>
        </w:rPr>
      </w:pPr>
      <w:r>
        <w:rPr>
          <w:rFonts w:ascii="Cambria" w:hAnsi="Cambria"/>
          <w:i/>
          <w:color w:val="4F81BC"/>
          <w:sz w:val="21"/>
        </w:rPr>
        <w:t>“I</w:t>
      </w:r>
      <w:r>
        <w:rPr>
          <w:rFonts w:ascii="Cambria" w:hAnsi="Cambria"/>
          <w:i/>
          <w:color w:val="4F81BC"/>
          <w:spacing w:val="-3"/>
          <w:sz w:val="21"/>
        </w:rPr>
        <w:t> </w:t>
      </w:r>
      <w:r>
        <w:rPr>
          <w:rFonts w:ascii="Cambria" w:hAnsi="Cambria"/>
          <w:i/>
          <w:color w:val="4F81BC"/>
          <w:sz w:val="21"/>
        </w:rPr>
        <w:t>grew</w:t>
      </w:r>
      <w:r>
        <w:rPr>
          <w:rFonts w:ascii="Cambria" w:hAnsi="Cambria"/>
          <w:i/>
          <w:color w:val="4F81BC"/>
          <w:spacing w:val="-3"/>
          <w:sz w:val="21"/>
        </w:rPr>
        <w:t> </w:t>
      </w:r>
      <w:r>
        <w:rPr>
          <w:rFonts w:ascii="Cambria" w:hAnsi="Cambria"/>
          <w:i/>
          <w:color w:val="4F81BC"/>
          <w:sz w:val="21"/>
        </w:rPr>
        <w:t>up</w:t>
      </w:r>
      <w:r>
        <w:rPr>
          <w:rFonts w:ascii="Cambria" w:hAnsi="Cambria"/>
          <w:i/>
          <w:color w:val="4F81BC"/>
          <w:spacing w:val="-3"/>
          <w:sz w:val="21"/>
        </w:rPr>
        <w:t> </w:t>
      </w:r>
      <w:r>
        <w:rPr>
          <w:rFonts w:ascii="Cambria" w:hAnsi="Cambria"/>
          <w:i/>
          <w:color w:val="4F81BC"/>
          <w:sz w:val="21"/>
        </w:rPr>
        <w:t>in</w:t>
      </w:r>
      <w:r>
        <w:rPr>
          <w:rFonts w:ascii="Cambria" w:hAnsi="Cambria"/>
          <w:i/>
          <w:color w:val="4F81BC"/>
          <w:spacing w:val="-4"/>
          <w:sz w:val="21"/>
        </w:rPr>
        <w:t> </w:t>
      </w:r>
      <w:r>
        <w:rPr>
          <w:rFonts w:ascii="Cambria" w:hAnsi="Cambria"/>
          <w:i/>
          <w:color w:val="4F81BC"/>
          <w:sz w:val="21"/>
        </w:rPr>
        <w:t>urban</w:t>
      </w:r>
      <w:r>
        <w:rPr>
          <w:rFonts w:ascii="Cambria" w:hAnsi="Cambria"/>
          <w:i/>
          <w:color w:val="4F81BC"/>
          <w:spacing w:val="-2"/>
          <w:sz w:val="21"/>
        </w:rPr>
        <w:t> </w:t>
      </w:r>
      <w:r>
        <w:rPr>
          <w:rFonts w:ascii="Cambria" w:hAnsi="Cambria"/>
          <w:i/>
          <w:color w:val="4F81BC"/>
          <w:sz w:val="21"/>
        </w:rPr>
        <w:t>Boston</w:t>
      </w:r>
      <w:r>
        <w:rPr>
          <w:rFonts w:ascii="Cambria" w:hAnsi="Cambria"/>
          <w:i/>
          <w:color w:val="4F81BC"/>
          <w:spacing w:val="-5"/>
          <w:sz w:val="21"/>
        </w:rPr>
        <w:t> </w:t>
      </w:r>
      <w:r>
        <w:rPr>
          <w:rFonts w:ascii="Cambria" w:hAnsi="Cambria"/>
          <w:i/>
          <w:color w:val="4F81BC"/>
          <w:sz w:val="21"/>
        </w:rPr>
        <w:t>in</w:t>
      </w:r>
      <w:r>
        <w:rPr>
          <w:rFonts w:ascii="Cambria" w:hAnsi="Cambria"/>
          <w:i/>
          <w:color w:val="4F81BC"/>
          <w:spacing w:val="-2"/>
          <w:sz w:val="21"/>
        </w:rPr>
        <w:t> </w:t>
      </w:r>
      <w:r>
        <w:rPr>
          <w:rFonts w:ascii="Cambria" w:hAnsi="Cambria"/>
          <w:i/>
          <w:color w:val="4F81BC"/>
          <w:sz w:val="21"/>
        </w:rPr>
        <w:t>a</w:t>
      </w:r>
      <w:r>
        <w:rPr>
          <w:rFonts w:ascii="Cambria" w:hAnsi="Cambria"/>
          <w:i/>
          <w:color w:val="4F81BC"/>
          <w:spacing w:val="-3"/>
          <w:sz w:val="21"/>
        </w:rPr>
        <w:t> </w:t>
      </w:r>
      <w:r>
        <w:rPr>
          <w:rFonts w:ascii="Cambria" w:hAnsi="Cambria"/>
          <w:i/>
          <w:color w:val="4F81BC"/>
          <w:sz w:val="21"/>
        </w:rPr>
        <w:t>strong</w:t>
      </w:r>
      <w:r>
        <w:rPr>
          <w:rFonts w:ascii="Cambria" w:hAnsi="Cambria"/>
          <w:i/>
          <w:color w:val="4F81BC"/>
          <w:spacing w:val="-3"/>
          <w:sz w:val="21"/>
        </w:rPr>
        <w:t> </w:t>
      </w:r>
      <w:r>
        <w:rPr>
          <w:rFonts w:ascii="Cambria" w:hAnsi="Cambria"/>
          <w:i/>
          <w:color w:val="4F81BC"/>
          <w:sz w:val="21"/>
        </w:rPr>
        <w:t>Caribbean,</w:t>
      </w:r>
      <w:r>
        <w:rPr>
          <w:rFonts w:ascii="Cambria" w:hAnsi="Cambria"/>
          <w:i/>
          <w:color w:val="4F81BC"/>
          <w:spacing w:val="-3"/>
          <w:sz w:val="21"/>
        </w:rPr>
        <w:t> </w:t>
      </w:r>
      <w:r>
        <w:rPr>
          <w:rFonts w:ascii="Cambria" w:hAnsi="Cambria"/>
          <w:i/>
          <w:color w:val="4F81BC"/>
          <w:sz w:val="21"/>
        </w:rPr>
        <w:t>faith-based</w:t>
      </w:r>
      <w:r>
        <w:rPr>
          <w:rFonts w:ascii="Cambria" w:hAnsi="Cambria"/>
          <w:i/>
          <w:color w:val="4F81BC"/>
          <w:spacing w:val="-3"/>
          <w:sz w:val="21"/>
        </w:rPr>
        <w:t> </w:t>
      </w:r>
      <w:r>
        <w:rPr>
          <w:rFonts w:ascii="Cambria" w:hAnsi="Cambria"/>
          <w:i/>
          <w:color w:val="4F81BC"/>
          <w:sz w:val="21"/>
        </w:rPr>
        <w:t>household</w:t>
      </w:r>
      <w:r>
        <w:rPr>
          <w:rFonts w:ascii="Cambria" w:hAnsi="Cambria"/>
          <w:i/>
          <w:color w:val="4F81BC"/>
          <w:spacing w:val="-4"/>
          <w:sz w:val="21"/>
        </w:rPr>
        <w:t> </w:t>
      </w:r>
      <w:r>
        <w:rPr>
          <w:rFonts w:ascii="Cambria" w:hAnsi="Cambria"/>
          <w:i/>
          <w:color w:val="4F81BC"/>
          <w:sz w:val="21"/>
        </w:rPr>
        <w:t>where</w:t>
      </w:r>
      <w:r>
        <w:rPr>
          <w:rFonts w:ascii="Cambria" w:hAnsi="Cambria"/>
          <w:i/>
          <w:color w:val="4F81BC"/>
          <w:spacing w:val="-3"/>
          <w:sz w:val="21"/>
        </w:rPr>
        <w:t> </w:t>
      </w:r>
      <w:r>
        <w:rPr>
          <w:rFonts w:ascii="Cambria" w:hAnsi="Cambria"/>
          <w:i/>
          <w:color w:val="4F81BC"/>
          <w:sz w:val="21"/>
        </w:rPr>
        <w:t>I</w:t>
      </w:r>
      <w:r>
        <w:rPr>
          <w:rFonts w:ascii="Cambria" w:hAnsi="Cambria"/>
          <w:i/>
          <w:color w:val="4F81BC"/>
          <w:spacing w:val="-4"/>
          <w:sz w:val="21"/>
        </w:rPr>
        <w:t> </w:t>
      </w:r>
      <w:r>
        <w:rPr>
          <w:rFonts w:ascii="Cambria" w:hAnsi="Cambria"/>
          <w:i/>
          <w:color w:val="4F81BC"/>
          <w:sz w:val="21"/>
        </w:rPr>
        <w:t>wasn’t</w:t>
      </w:r>
      <w:r>
        <w:rPr>
          <w:rFonts w:ascii="Cambria" w:hAnsi="Cambria"/>
          <w:i/>
          <w:color w:val="4F81BC"/>
          <w:sz w:val="21"/>
        </w:rPr>
        <w:t> able to live my authentic truth. When I finally did decide that I was going to live my truth, I experienced homelessness.“ - E</w:t>
      </w:r>
    </w:p>
    <w:p>
      <w:pPr>
        <w:pStyle w:val="BodyText"/>
        <w:spacing w:line="276" w:lineRule="auto" w:before="241"/>
        <w:ind w:left="463" w:right="402"/>
        <w:jc w:val="both"/>
      </w:pPr>
      <w:r>
        <w:rPr/>
        <w:t>LGBTQ youth experiencing homelessness and housing insecurity require interventions and services that</w:t>
      </w:r>
      <w:r>
        <w:rPr>
          <w:spacing w:val="-1"/>
        </w:rPr>
        <w:t> </w:t>
      </w:r>
      <w:r>
        <w:rPr/>
        <w:t>promote supportive</w:t>
      </w:r>
      <w:r>
        <w:rPr>
          <w:spacing w:val="-2"/>
        </w:rPr>
        <w:t> </w:t>
      </w:r>
      <w:r>
        <w:rPr/>
        <w:t>social</w:t>
      </w:r>
      <w:r>
        <w:rPr>
          <w:spacing w:val="-2"/>
        </w:rPr>
        <w:t> </w:t>
      </w:r>
      <w:r>
        <w:rPr/>
        <w:t>networks</w:t>
      </w:r>
      <w:r>
        <w:rPr>
          <w:spacing w:val="-1"/>
        </w:rPr>
        <w:t> </w:t>
      </w:r>
      <w:r>
        <w:rPr/>
        <w:t>to combat</w:t>
      </w:r>
      <w:r>
        <w:rPr>
          <w:spacing w:val="-2"/>
        </w:rPr>
        <w:t> </w:t>
      </w:r>
      <w:r>
        <w:rPr/>
        <w:t>stigma and</w:t>
      </w:r>
      <w:r>
        <w:rPr>
          <w:spacing w:val="-1"/>
        </w:rPr>
        <w:t> </w:t>
      </w:r>
      <w:r>
        <w:rPr/>
        <w:t>discrimination</w:t>
      </w:r>
      <w:r>
        <w:rPr>
          <w:spacing w:val="-2"/>
        </w:rPr>
        <w:t> </w:t>
      </w:r>
      <w:r>
        <w:rPr/>
        <w:t>and</w:t>
      </w:r>
      <w:r>
        <w:rPr>
          <w:spacing w:val="-1"/>
        </w:rPr>
        <w:t> </w:t>
      </w:r>
      <w:r>
        <w:rPr/>
        <w:t>provide accessible housing</w:t>
      </w:r>
      <w:r>
        <w:rPr>
          <w:spacing w:val="-1"/>
        </w:rPr>
        <w:t> </w:t>
      </w:r>
      <w:r>
        <w:rPr/>
        <w:t>services that meet</w:t>
      </w:r>
      <w:r>
        <w:rPr>
          <w:spacing w:val="-1"/>
        </w:rPr>
        <w:t> </w:t>
      </w:r>
      <w:r>
        <w:rPr/>
        <w:t>the needs of the</w:t>
      </w:r>
      <w:r>
        <w:rPr>
          <w:spacing w:val="-1"/>
        </w:rPr>
        <w:t> </w:t>
      </w:r>
      <w:r>
        <w:rPr/>
        <w:t>LGBTQ youth</w:t>
      </w:r>
      <w:r>
        <w:rPr>
          <w:spacing w:val="-1"/>
        </w:rPr>
        <w:t> </w:t>
      </w:r>
      <w:r>
        <w:rPr/>
        <w:t>population.</w:t>
      </w:r>
      <w:r>
        <w:rPr>
          <w:spacing w:val="-1"/>
        </w:rPr>
        <w:t> </w:t>
      </w:r>
      <w:r>
        <w:rPr/>
        <w:t>The</w:t>
      </w:r>
      <w:r>
        <w:rPr>
          <w:spacing w:val="-1"/>
        </w:rPr>
        <w:t> </w:t>
      </w:r>
      <w:r>
        <w:rPr/>
        <w:t>importance</w:t>
      </w:r>
      <w:r>
        <w:rPr>
          <w:spacing w:val="-1"/>
        </w:rPr>
        <w:t> </w:t>
      </w:r>
      <w:r>
        <w:rPr/>
        <w:t>of maintaining a</w:t>
      </w:r>
      <w:r>
        <w:rPr>
          <w:spacing w:val="-3"/>
        </w:rPr>
        <w:t> </w:t>
      </w:r>
      <w:r>
        <w:rPr/>
        <w:t>social</w:t>
      </w:r>
      <w:r>
        <w:rPr>
          <w:spacing w:val="-3"/>
        </w:rPr>
        <w:t> </w:t>
      </w:r>
      <w:r>
        <w:rPr/>
        <w:t>support</w:t>
      </w:r>
      <w:r>
        <w:rPr>
          <w:spacing w:val="-3"/>
        </w:rPr>
        <w:t> </w:t>
      </w:r>
      <w:r>
        <w:rPr/>
        <w:t>network</w:t>
      </w:r>
      <w:r>
        <w:rPr>
          <w:spacing w:val="-3"/>
        </w:rPr>
        <w:t> </w:t>
      </w:r>
      <w:r>
        <w:rPr/>
        <w:t>that</w:t>
      </w:r>
      <w:r>
        <w:rPr>
          <w:spacing w:val="-3"/>
        </w:rPr>
        <w:t> </w:t>
      </w:r>
      <w:r>
        <w:rPr/>
        <w:t>is</w:t>
      </w:r>
      <w:r>
        <w:rPr>
          <w:spacing w:val="-2"/>
        </w:rPr>
        <w:t> </w:t>
      </w:r>
      <w:r>
        <w:rPr/>
        <w:t>positive</w:t>
      </w:r>
      <w:r>
        <w:rPr>
          <w:spacing w:val="-3"/>
        </w:rPr>
        <w:t> </w:t>
      </w:r>
      <w:r>
        <w:rPr/>
        <w:t>and</w:t>
      </w:r>
      <w:r>
        <w:rPr>
          <w:spacing w:val="-3"/>
        </w:rPr>
        <w:t> </w:t>
      </w:r>
      <w:r>
        <w:rPr/>
        <w:t>supportive</w:t>
      </w:r>
      <w:r>
        <w:rPr>
          <w:spacing w:val="-3"/>
        </w:rPr>
        <w:t> </w:t>
      </w:r>
      <w:r>
        <w:rPr/>
        <w:t>is</w:t>
      </w:r>
      <w:r>
        <w:rPr>
          <w:spacing w:val="-2"/>
        </w:rPr>
        <w:t> </w:t>
      </w:r>
      <w:r>
        <w:rPr/>
        <w:t>well-researched</w:t>
      </w:r>
      <w:r>
        <w:rPr>
          <w:spacing w:val="-3"/>
        </w:rPr>
        <w:t> </w:t>
      </w:r>
      <w:r>
        <w:rPr/>
        <w:t>in</w:t>
      </w:r>
      <w:r>
        <w:rPr>
          <w:spacing w:val="-2"/>
        </w:rPr>
        <w:t> </w:t>
      </w:r>
      <w:r>
        <w:rPr/>
        <w:t>the</w:t>
      </w:r>
      <w:r>
        <w:rPr>
          <w:spacing w:val="-3"/>
        </w:rPr>
        <w:t> </w:t>
      </w:r>
      <w:r>
        <w:rPr/>
        <w:t>literature.</w:t>
      </w:r>
      <w:r>
        <w:rPr>
          <w:spacing w:val="-2"/>
        </w:rPr>
        <w:t> </w:t>
      </w:r>
      <w:r>
        <w:rPr/>
        <w:t>A</w:t>
      </w:r>
      <w:r>
        <w:rPr>
          <w:spacing w:val="-3"/>
        </w:rPr>
        <w:t> </w:t>
      </w:r>
      <w:r>
        <w:rPr/>
        <w:t>positive social</w:t>
      </w:r>
      <w:r>
        <w:rPr>
          <w:spacing w:val="-1"/>
        </w:rPr>
        <w:t> </w:t>
      </w:r>
      <w:r>
        <w:rPr/>
        <w:t>support</w:t>
      </w:r>
      <w:r>
        <w:rPr>
          <w:spacing w:val="-1"/>
        </w:rPr>
        <w:t> </w:t>
      </w:r>
      <w:r>
        <w:rPr/>
        <w:t>network is a protective factor since relationship breakdowns for LGBTQ youth and loss of a sense of belonging are some of the most common drivers of homelessness.</w:t>
      </w:r>
      <w:hyperlink w:history="true" w:anchor="_bookmark296">
        <w:r>
          <w:rPr>
            <w:vertAlign w:val="superscript"/>
          </w:rPr>
          <w:t>23</w:t>
        </w:r>
      </w:hyperlink>
      <w:r>
        <w:rPr>
          <w:spacing w:val="-2"/>
          <w:vertAlign w:val="baseline"/>
        </w:rPr>
        <w:t> </w:t>
      </w:r>
      <w:r>
        <w:rPr>
          <w:vertAlign w:val="baseline"/>
        </w:rPr>
        <w:t>Efforts to combat discrimination and promote inclusive environments are crucial for fostering resilience and ensuring the well-being of LGBTQ+ youth, highlighting the need for policies and initiatives that target families of LGBTQ youth related to the acceptance of LGBTQ youth identities.</w:t>
      </w:r>
      <w:hyperlink w:history="true" w:anchor="_bookmark297">
        <w:r>
          <w:rPr>
            <w:vertAlign w:val="superscript"/>
          </w:rPr>
          <w:t>24</w:t>
        </w:r>
      </w:hyperlink>
    </w:p>
    <w:p>
      <w:pPr>
        <w:spacing w:line="252" w:lineRule="auto" w:before="240"/>
        <w:ind w:left="1247" w:right="1185" w:firstLine="1"/>
        <w:jc w:val="center"/>
        <w:rPr>
          <w:rFonts w:ascii="Cambria" w:hAnsi="Cambria"/>
          <w:i/>
          <w:sz w:val="21"/>
        </w:rPr>
      </w:pPr>
      <w:r>
        <w:rPr>
          <w:rFonts w:ascii="Cambria" w:hAnsi="Cambria"/>
          <w:i/>
          <w:color w:val="4F81BC"/>
          <w:sz w:val="21"/>
        </w:rPr>
        <w:t>“I’ve been going through this since I was 15… I was on my own and I made dumb</w:t>
      </w:r>
      <w:r>
        <w:rPr>
          <w:rFonts w:ascii="Cambria" w:hAnsi="Cambria"/>
          <w:i/>
          <w:color w:val="4F81BC"/>
          <w:sz w:val="21"/>
        </w:rPr>
        <w:t> decisions that are affecting me as an adult. Getting in trouble shouldn’t mean that I don’t</w:t>
      </w:r>
      <w:r>
        <w:rPr>
          <w:rFonts w:ascii="Cambria" w:hAnsi="Cambria"/>
          <w:i/>
          <w:color w:val="4F81BC"/>
          <w:spacing w:val="-3"/>
          <w:sz w:val="21"/>
        </w:rPr>
        <w:t> </w:t>
      </w:r>
      <w:r>
        <w:rPr>
          <w:rFonts w:ascii="Cambria" w:hAnsi="Cambria"/>
          <w:i/>
          <w:color w:val="4F81BC"/>
          <w:sz w:val="21"/>
        </w:rPr>
        <w:t>have</w:t>
      </w:r>
      <w:r>
        <w:rPr>
          <w:rFonts w:ascii="Cambria" w:hAnsi="Cambria"/>
          <w:i/>
          <w:color w:val="4F81BC"/>
          <w:spacing w:val="-4"/>
          <w:sz w:val="21"/>
        </w:rPr>
        <w:t> </w:t>
      </w:r>
      <w:r>
        <w:rPr>
          <w:rFonts w:ascii="Cambria" w:hAnsi="Cambria"/>
          <w:i/>
          <w:color w:val="4F81BC"/>
          <w:sz w:val="21"/>
        </w:rPr>
        <w:t>the</w:t>
      </w:r>
      <w:r>
        <w:rPr>
          <w:rFonts w:ascii="Cambria" w:hAnsi="Cambria"/>
          <w:i/>
          <w:color w:val="4F81BC"/>
          <w:spacing w:val="-3"/>
          <w:sz w:val="21"/>
        </w:rPr>
        <w:t> </w:t>
      </w:r>
      <w:r>
        <w:rPr>
          <w:rFonts w:ascii="Cambria" w:hAnsi="Cambria"/>
          <w:i/>
          <w:color w:val="4F81BC"/>
          <w:sz w:val="21"/>
        </w:rPr>
        <w:t>ability</w:t>
      </w:r>
      <w:r>
        <w:rPr>
          <w:rFonts w:ascii="Cambria" w:hAnsi="Cambria"/>
          <w:i/>
          <w:color w:val="4F81BC"/>
          <w:spacing w:val="-2"/>
          <w:sz w:val="21"/>
        </w:rPr>
        <w:t> </w:t>
      </w:r>
      <w:r>
        <w:rPr>
          <w:rFonts w:ascii="Cambria" w:hAnsi="Cambria"/>
          <w:i/>
          <w:color w:val="4F81BC"/>
          <w:sz w:val="21"/>
        </w:rPr>
        <w:t>to</w:t>
      </w:r>
      <w:r>
        <w:rPr>
          <w:rFonts w:ascii="Cambria" w:hAnsi="Cambria"/>
          <w:i/>
          <w:color w:val="4F81BC"/>
          <w:spacing w:val="-3"/>
          <w:sz w:val="21"/>
        </w:rPr>
        <w:t> </w:t>
      </w:r>
      <w:r>
        <w:rPr>
          <w:rFonts w:ascii="Cambria" w:hAnsi="Cambria"/>
          <w:i/>
          <w:color w:val="4F81BC"/>
          <w:sz w:val="21"/>
        </w:rPr>
        <w:t>live</w:t>
      </w:r>
      <w:r>
        <w:rPr>
          <w:rFonts w:ascii="Cambria" w:hAnsi="Cambria"/>
          <w:i/>
          <w:color w:val="4F81BC"/>
          <w:spacing w:val="-3"/>
          <w:sz w:val="21"/>
        </w:rPr>
        <w:t> </w:t>
      </w:r>
      <w:r>
        <w:rPr>
          <w:rFonts w:ascii="Cambria" w:hAnsi="Cambria"/>
          <w:i/>
          <w:color w:val="4F81BC"/>
          <w:sz w:val="21"/>
        </w:rPr>
        <w:t>somewhere.”</w:t>
      </w:r>
      <w:r>
        <w:rPr>
          <w:rFonts w:ascii="Cambria" w:hAnsi="Cambria"/>
          <w:i/>
          <w:color w:val="4F81BC"/>
          <w:spacing w:val="-3"/>
          <w:sz w:val="21"/>
        </w:rPr>
        <w:t> </w:t>
      </w:r>
      <w:r>
        <w:rPr>
          <w:rFonts w:ascii="Cambria" w:hAnsi="Cambria"/>
          <w:i/>
          <w:color w:val="4F81BC"/>
          <w:sz w:val="21"/>
        </w:rPr>
        <w:t>–</w:t>
      </w:r>
      <w:r>
        <w:rPr>
          <w:rFonts w:ascii="Cambria" w:hAnsi="Cambria"/>
          <w:i/>
          <w:color w:val="4F81BC"/>
          <w:spacing w:val="-3"/>
          <w:sz w:val="21"/>
        </w:rPr>
        <w:t> </w:t>
      </w:r>
      <w:r>
        <w:rPr>
          <w:rFonts w:ascii="Cambria" w:hAnsi="Cambria"/>
          <w:i/>
          <w:color w:val="4F81BC"/>
          <w:sz w:val="21"/>
        </w:rPr>
        <w:t>B.Q,</w:t>
      </w:r>
      <w:r>
        <w:rPr>
          <w:rFonts w:ascii="Cambria" w:hAnsi="Cambria"/>
          <w:i/>
          <w:color w:val="4F81BC"/>
          <w:spacing w:val="-4"/>
          <w:sz w:val="21"/>
        </w:rPr>
        <w:t> </w:t>
      </w:r>
      <w:r>
        <w:rPr>
          <w:rFonts w:ascii="Cambria" w:hAnsi="Cambria"/>
          <w:i/>
          <w:color w:val="4F81BC"/>
          <w:sz w:val="21"/>
        </w:rPr>
        <w:t>trans</w:t>
      </w:r>
      <w:r>
        <w:rPr>
          <w:rFonts w:ascii="Cambria" w:hAnsi="Cambria"/>
          <w:i/>
          <w:color w:val="4F81BC"/>
          <w:spacing w:val="-4"/>
          <w:sz w:val="21"/>
        </w:rPr>
        <w:t> </w:t>
      </w:r>
      <w:r>
        <w:rPr>
          <w:rFonts w:ascii="Cambria" w:hAnsi="Cambria"/>
          <w:i/>
          <w:color w:val="4F81BC"/>
          <w:sz w:val="21"/>
        </w:rPr>
        <w:t>person</w:t>
      </w:r>
      <w:r>
        <w:rPr>
          <w:rFonts w:ascii="Cambria" w:hAnsi="Cambria"/>
          <w:i/>
          <w:color w:val="4F81BC"/>
          <w:spacing w:val="40"/>
          <w:sz w:val="21"/>
        </w:rPr>
        <w:t> </w:t>
      </w:r>
      <w:r>
        <w:rPr>
          <w:rFonts w:ascii="Cambria" w:hAnsi="Cambria"/>
          <w:i/>
          <w:color w:val="4F81BC"/>
          <w:sz w:val="21"/>
        </w:rPr>
        <w:t>formerly</w:t>
      </w:r>
      <w:r>
        <w:rPr>
          <w:rFonts w:ascii="Cambria" w:hAnsi="Cambria"/>
          <w:i/>
          <w:color w:val="4F81BC"/>
          <w:spacing w:val="-2"/>
          <w:sz w:val="21"/>
        </w:rPr>
        <w:t> </w:t>
      </w:r>
      <w:r>
        <w:rPr>
          <w:rFonts w:ascii="Cambria" w:hAnsi="Cambria"/>
          <w:i/>
          <w:color w:val="4F81BC"/>
          <w:sz w:val="21"/>
        </w:rPr>
        <w:t>incarcerated</w:t>
      </w:r>
      <w:r>
        <w:rPr>
          <w:rFonts w:ascii="Cambria" w:hAnsi="Cambria"/>
          <w:i/>
          <w:color w:val="4F81BC"/>
          <w:spacing w:val="-3"/>
          <w:sz w:val="21"/>
        </w:rPr>
        <w:t> </w:t>
      </w:r>
      <w:r>
        <w:rPr>
          <w:rFonts w:ascii="Cambria" w:hAnsi="Cambria"/>
          <w:i/>
          <w:color w:val="4F81BC"/>
          <w:sz w:val="21"/>
        </w:rPr>
        <w:t>as a youth</w:t>
      </w:r>
    </w:p>
    <w:p>
      <w:pPr>
        <w:spacing w:before="239"/>
        <w:ind w:left="464" w:right="0" w:firstLine="0"/>
        <w:jc w:val="both"/>
        <w:rPr>
          <w:sz w:val="24"/>
        </w:rPr>
      </w:pPr>
      <w:bookmarkStart w:name="Influence of Community Programs and Serv" w:id="488"/>
      <w:bookmarkEnd w:id="488"/>
      <w:r>
        <w:rPr/>
      </w:r>
      <w:r>
        <w:rPr>
          <w:color w:val="365F91"/>
          <w:sz w:val="24"/>
        </w:rPr>
        <w:t>Influence</w:t>
      </w:r>
      <w:r>
        <w:rPr>
          <w:color w:val="365F91"/>
          <w:spacing w:val="-5"/>
          <w:sz w:val="24"/>
        </w:rPr>
        <w:t> </w:t>
      </w:r>
      <w:r>
        <w:rPr>
          <w:color w:val="365F91"/>
          <w:sz w:val="24"/>
        </w:rPr>
        <w:t>of</w:t>
      </w:r>
      <w:r>
        <w:rPr>
          <w:color w:val="365F91"/>
          <w:spacing w:val="-4"/>
          <w:sz w:val="24"/>
        </w:rPr>
        <w:t> </w:t>
      </w:r>
      <w:r>
        <w:rPr>
          <w:color w:val="365F91"/>
          <w:sz w:val="24"/>
        </w:rPr>
        <w:t>Community</w:t>
      </w:r>
      <w:r>
        <w:rPr>
          <w:color w:val="365F91"/>
          <w:spacing w:val="-3"/>
          <w:sz w:val="24"/>
        </w:rPr>
        <w:t> </w:t>
      </w:r>
      <w:r>
        <w:rPr>
          <w:color w:val="365F91"/>
          <w:sz w:val="24"/>
        </w:rPr>
        <w:t>Programs</w:t>
      </w:r>
      <w:r>
        <w:rPr>
          <w:color w:val="365F91"/>
          <w:spacing w:val="-3"/>
          <w:sz w:val="24"/>
        </w:rPr>
        <w:t> </w:t>
      </w:r>
      <w:r>
        <w:rPr>
          <w:color w:val="365F91"/>
          <w:sz w:val="24"/>
        </w:rPr>
        <w:t>and</w:t>
      </w:r>
      <w:r>
        <w:rPr>
          <w:color w:val="365F91"/>
          <w:spacing w:val="-3"/>
          <w:sz w:val="24"/>
        </w:rPr>
        <w:t> </w:t>
      </w:r>
      <w:r>
        <w:rPr>
          <w:color w:val="365F91"/>
          <w:sz w:val="24"/>
        </w:rPr>
        <w:t>Services</w:t>
      </w:r>
      <w:r>
        <w:rPr>
          <w:color w:val="365F91"/>
          <w:spacing w:val="-4"/>
          <w:sz w:val="24"/>
        </w:rPr>
        <w:t> </w:t>
      </w:r>
      <w:r>
        <w:rPr>
          <w:color w:val="365F91"/>
          <w:sz w:val="24"/>
        </w:rPr>
        <w:t>to</w:t>
      </w:r>
      <w:r>
        <w:rPr>
          <w:color w:val="365F91"/>
          <w:spacing w:val="-2"/>
          <w:sz w:val="24"/>
        </w:rPr>
        <w:t> </w:t>
      </w:r>
      <w:r>
        <w:rPr>
          <w:color w:val="365F91"/>
          <w:sz w:val="24"/>
        </w:rPr>
        <w:t>Combat</w:t>
      </w:r>
      <w:r>
        <w:rPr>
          <w:color w:val="365F91"/>
          <w:spacing w:val="-3"/>
          <w:sz w:val="24"/>
        </w:rPr>
        <w:t> </w:t>
      </w:r>
      <w:r>
        <w:rPr>
          <w:color w:val="365F91"/>
          <w:sz w:val="24"/>
        </w:rPr>
        <w:t>LGBTQ</w:t>
      </w:r>
      <w:r>
        <w:rPr>
          <w:color w:val="365F91"/>
          <w:spacing w:val="-2"/>
          <w:sz w:val="24"/>
        </w:rPr>
        <w:t> </w:t>
      </w:r>
      <w:r>
        <w:rPr>
          <w:color w:val="365F91"/>
          <w:sz w:val="24"/>
        </w:rPr>
        <w:t>Youth</w:t>
      </w:r>
      <w:r>
        <w:rPr>
          <w:color w:val="365F91"/>
          <w:spacing w:val="-4"/>
          <w:sz w:val="24"/>
        </w:rPr>
        <w:t> </w:t>
      </w:r>
      <w:r>
        <w:rPr>
          <w:color w:val="365F91"/>
          <w:spacing w:val="-2"/>
          <w:sz w:val="24"/>
        </w:rPr>
        <w:t>Homelessness</w:t>
      </w:r>
    </w:p>
    <w:p>
      <w:pPr>
        <w:pStyle w:val="BodyText"/>
        <w:spacing w:line="276" w:lineRule="auto" w:before="285"/>
        <w:ind w:left="463" w:right="403"/>
        <w:jc w:val="both"/>
      </w:pPr>
      <w:r>
        <w:rPr/>
        <w:t>LGBTQ youth experiencing homelessness and housing insecurity rely on community programs and services for short-term shelter services and long-term housing support. Housing</w:t>
      </w:r>
      <w:r>
        <w:rPr>
          <w:spacing w:val="-1"/>
        </w:rPr>
        <w:t> </w:t>
      </w:r>
      <w:r>
        <w:rPr/>
        <w:t>support and</w:t>
      </w:r>
      <w:r>
        <w:rPr>
          <w:spacing w:val="-1"/>
        </w:rPr>
        <w:t> </w:t>
      </w:r>
      <w:r>
        <w:rPr/>
        <w:t>services are</w:t>
      </w:r>
      <w:r>
        <w:rPr>
          <w:spacing w:val="40"/>
        </w:rPr>
        <w:t> </w:t>
      </w:r>
      <w:r>
        <w:rPr/>
        <w:t>one</w:t>
      </w:r>
      <w:r>
        <w:rPr>
          <w:spacing w:val="40"/>
        </w:rPr>
        <w:t> </w:t>
      </w:r>
      <w:r>
        <w:rPr/>
        <w:t>of</w:t>
      </w:r>
      <w:r>
        <w:rPr>
          <w:spacing w:val="40"/>
        </w:rPr>
        <w:t> </w:t>
      </w:r>
      <w:r>
        <w:rPr/>
        <w:t>the</w:t>
      </w:r>
      <w:r>
        <w:rPr>
          <w:spacing w:val="40"/>
        </w:rPr>
        <w:t> </w:t>
      </w:r>
      <w:r>
        <w:rPr/>
        <w:t>highest</w:t>
      </w:r>
      <w:r>
        <w:rPr>
          <w:spacing w:val="40"/>
        </w:rPr>
        <w:t> </w:t>
      </w:r>
      <w:r>
        <w:rPr/>
        <w:t>priority</w:t>
      </w:r>
      <w:r>
        <w:rPr>
          <w:spacing w:val="40"/>
        </w:rPr>
        <w:t> </w:t>
      </w:r>
      <w:r>
        <w:rPr/>
        <w:t>needs</w:t>
      </w:r>
      <w:r>
        <w:rPr>
          <w:spacing w:val="40"/>
        </w:rPr>
        <w:t> </w:t>
      </w:r>
      <w:r>
        <w:rPr/>
        <w:t>for</w:t>
      </w:r>
      <w:r>
        <w:rPr>
          <w:spacing w:val="40"/>
        </w:rPr>
        <w:t> </w:t>
      </w:r>
      <w:r>
        <w:rPr/>
        <w:t>LGBTQ</w:t>
      </w:r>
      <w:r>
        <w:rPr>
          <w:spacing w:val="40"/>
        </w:rPr>
        <w:t> </w:t>
      </w:r>
      <w:r>
        <w:rPr/>
        <w:t>youth</w:t>
      </w:r>
      <w:r>
        <w:rPr>
          <w:spacing w:val="40"/>
        </w:rPr>
        <w:t> </w:t>
      </w:r>
      <w:r>
        <w:rPr/>
        <w:t>experiencing</w:t>
      </w:r>
      <w:r>
        <w:rPr>
          <w:spacing w:val="40"/>
        </w:rPr>
        <w:t> </w:t>
      </w:r>
      <w:r>
        <w:rPr/>
        <w:t>homelessness.</w:t>
      </w:r>
      <w:r>
        <w:rPr>
          <w:spacing w:val="40"/>
        </w:rPr>
        <w:t> </w:t>
      </w:r>
      <w:r>
        <w:rPr/>
        <w:t>In</w:t>
      </w:r>
      <w:r>
        <w:rPr>
          <w:spacing w:val="40"/>
        </w:rPr>
        <w:t> </w:t>
      </w:r>
      <w:r>
        <w:rPr/>
        <w:t>the</w:t>
      </w:r>
      <w:r>
        <w:rPr>
          <w:spacing w:val="40"/>
        </w:rPr>
        <w:t> </w:t>
      </w:r>
      <w:r>
        <w:rPr/>
        <w:t>2022</w:t>
      </w:r>
    </w:p>
    <w:p>
      <w:pPr>
        <w:spacing w:after="0" w:line="276" w:lineRule="auto"/>
        <w:jc w:val="both"/>
        <w:sectPr>
          <w:pgSz w:w="12240" w:h="15840"/>
          <w:pgMar w:header="765" w:footer="1127" w:top="1280" w:bottom="1380" w:left="1120" w:right="1180"/>
        </w:sectPr>
      </w:pPr>
    </w:p>
    <w:p>
      <w:pPr>
        <w:pStyle w:val="BodyText"/>
        <w:spacing w:line="276" w:lineRule="auto" w:before="91"/>
        <w:ind w:left="464" w:right="402"/>
        <w:jc w:val="both"/>
      </w:pPr>
      <w:r>
        <w:rPr/>
        <w:t>Massachusetts Youth</w:t>
      </w:r>
      <w:r>
        <w:rPr>
          <w:spacing w:val="-1"/>
        </w:rPr>
        <w:t> </w:t>
      </w:r>
      <w:r>
        <w:rPr/>
        <w:t>Count, the top</w:t>
      </w:r>
      <w:r>
        <w:rPr>
          <w:spacing w:val="-1"/>
        </w:rPr>
        <w:t> </w:t>
      </w:r>
      <w:r>
        <w:rPr/>
        <w:t>two services sought</w:t>
      </w:r>
      <w:r>
        <w:rPr>
          <w:spacing w:val="-1"/>
        </w:rPr>
        <w:t> </w:t>
      </w:r>
      <w:r>
        <w:rPr/>
        <w:t>out by respondents included</w:t>
      </w:r>
      <w:r>
        <w:rPr>
          <w:spacing w:val="-1"/>
        </w:rPr>
        <w:t> </w:t>
      </w:r>
      <w:r>
        <w:rPr/>
        <w:t>(1) shelter and transitional housing, and (2) long-term housing support.</w:t>
      </w:r>
      <w:hyperlink w:history="true" w:anchor="_bookmark298">
        <w:r>
          <w:rPr>
            <w:vertAlign w:val="superscript"/>
          </w:rPr>
          <w:t>25</w:t>
        </w:r>
      </w:hyperlink>
      <w:r>
        <w:rPr>
          <w:spacing w:val="-3"/>
          <w:vertAlign w:val="baseline"/>
        </w:rPr>
        <w:t> </w:t>
      </w:r>
      <w:r>
        <w:rPr>
          <w:vertAlign w:val="baseline"/>
        </w:rPr>
        <w:t>Housing needs are frequently identified as the</w:t>
      </w:r>
      <w:r>
        <w:rPr>
          <w:spacing w:val="-5"/>
          <w:vertAlign w:val="baseline"/>
        </w:rPr>
        <w:t> </w:t>
      </w:r>
      <w:r>
        <w:rPr>
          <w:vertAlign w:val="baseline"/>
        </w:rPr>
        <w:t>primary</w:t>
      </w:r>
      <w:r>
        <w:rPr>
          <w:spacing w:val="-5"/>
          <w:vertAlign w:val="baseline"/>
        </w:rPr>
        <w:t> </w:t>
      </w:r>
      <w:r>
        <w:rPr>
          <w:vertAlign w:val="baseline"/>
        </w:rPr>
        <w:t>concern</w:t>
      </w:r>
      <w:r>
        <w:rPr>
          <w:spacing w:val="-5"/>
          <w:vertAlign w:val="baseline"/>
        </w:rPr>
        <w:t> </w:t>
      </w:r>
      <w:r>
        <w:rPr>
          <w:vertAlign w:val="baseline"/>
        </w:rPr>
        <w:t>among</w:t>
      </w:r>
      <w:r>
        <w:rPr>
          <w:spacing w:val="-5"/>
          <w:vertAlign w:val="baseline"/>
        </w:rPr>
        <w:t> </w:t>
      </w:r>
      <w:r>
        <w:rPr>
          <w:vertAlign w:val="baseline"/>
        </w:rPr>
        <w:t>transgender</w:t>
      </w:r>
      <w:r>
        <w:rPr>
          <w:spacing w:val="-6"/>
          <w:vertAlign w:val="baseline"/>
        </w:rPr>
        <w:t> </w:t>
      </w:r>
      <w:r>
        <w:rPr>
          <w:vertAlign w:val="baseline"/>
        </w:rPr>
        <w:t>youth,</w:t>
      </w:r>
      <w:r>
        <w:rPr>
          <w:spacing w:val="-5"/>
          <w:vertAlign w:val="baseline"/>
        </w:rPr>
        <w:t> </w:t>
      </w:r>
      <w:r>
        <w:rPr>
          <w:vertAlign w:val="baseline"/>
        </w:rPr>
        <w:t>largely</w:t>
      </w:r>
      <w:r>
        <w:rPr>
          <w:spacing w:val="-6"/>
          <w:vertAlign w:val="baseline"/>
        </w:rPr>
        <w:t> </w:t>
      </w:r>
      <w:r>
        <w:rPr>
          <w:vertAlign w:val="baseline"/>
        </w:rPr>
        <w:t>due</w:t>
      </w:r>
      <w:r>
        <w:rPr>
          <w:spacing w:val="-5"/>
          <w:vertAlign w:val="baseline"/>
        </w:rPr>
        <w:t> </w:t>
      </w:r>
      <w:r>
        <w:rPr>
          <w:vertAlign w:val="baseline"/>
        </w:rPr>
        <w:t>to</w:t>
      </w:r>
      <w:r>
        <w:rPr>
          <w:spacing w:val="-5"/>
          <w:vertAlign w:val="baseline"/>
        </w:rPr>
        <w:t> </w:t>
      </w:r>
      <w:r>
        <w:rPr>
          <w:vertAlign w:val="baseline"/>
        </w:rPr>
        <w:t>the</w:t>
      </w:r>
      <w:r>
        <w:rPr>
          <w:spacing w:val="-4"/>
          <w:vertAlign w:val="baseline"/>
        </w:rPr>
        <w:t> </w:t>
      </w:r>
      <w:r>
        <w:rPr>
          <w:vertAlign w:val="baseline"/>
        </w:rPr>
        <w:t>stigma</w:t>
      </w:r>
      <w:r>
        <w:rPr>
          <w:spacing w:val="-5"/>
          <w:vertAlign w:val="baseline"/>
        </w:rPr>
        <w:t> </w:t>
      </w:r>
      <w:r>
        <w:rPr>
          <w:vertAlign w:val="baseline"/>
        </w:rPr>
        <w:t>and</w:t>
      </w:r>
      <w:r>
        <w:rPr>
          <w:spacing w:val="-5"/>
          <w:vertAlign w:val="baseline"/>
        </w:rPr>
        <w:t> </w:t>
      </w:r>
      <w:r>
        <w:rPr>
          <w:vertAlign w:val="baseline"/>
        </w:rPr>
        <w:t>discrimination</w:t>
      </w:r>
      <w:r>
        <w:rPr>
          <w:spacing w:val="-4"/>
          <w:vertAlign w:val="baseline"/>
        </w:rPr>
        <w:t> </w:t>
      </w:r>
      <w:r>
        <w:rPr>
          <w:vertAlign w:val="baseline"/>
        </w:rPr>
        <w:t>they</w:t>
      </w:r>
      <w:r>
        <w:rPr>
          <w:spacing w:val="-5"/>
          <w:vertAlign w:val="baseline"/>
        </w:rPr>
        <w:t> </w:t>
      </w:r>
      <w:r>
        <w:rPr>
          <w:vertAlign w:val="baseline"/>
        </w:rPr>
        <w:t>face when accessing essential services.</w:t>
      </w:r>
      <w:hyperlink w:history="true" w:anchor="_bookmark299">
        <w:r>
          <w:rPr>
            <w:vertAlign w:val="superscript"/>
          </w:rPr>
          <w:t>26</w:t>
        </w:r>
      </w:hyperlink>
    </w:p>
    <w:p>
      <w:pPr>
        <w:pStyle w:val="BodyText"/>
        <w:spacing w:line="276" w:lineRule="auto" w:before="240"/>
        <w:ind w:left="464" w:right="401"/>
        <w:jc w:val="both"/>
      </w:pPr>
      <w:r>
        <w:rPr/>
        <w:t>Many LGBTQ youths have cited barriers to access to these resources and services due to fear of judgment from heterosexual peers in shelters, staff-related competency issues, and program-level policy</w:t>
      </w:r>
      <w:r>
        <w:rPr>
          <w:spacing w:val="-10"/>
        </w:rPr>
        <w:t> </w:t>
      </w:r>
      <w:r>
        <w:rPr/>
        <w:t>issues.</w:t>
      </w:r>
      <w:hyperlink w:history="true" w:anchor="_bookmark300">
        <w:r>
          <w:rPr>
            <w:vertAlign w:val="superscript"/>
          </w:rPr>
          <w:t>27</w:t>
        </w:r>
      </w:hyperlink>
      <w:r>
        <w:rPr>
          <w:spacing w:val="-3"/>
          <w:vertAlign w:val="baseline"/>
        </w:rPr>
        <w:t> </w:t>
      </w:r>
      <w:r>
        <w:rPr>
          <w:vertAlign w:val="baseline"/>
        </w:rPr>
        <w:t>In</w:t>
      </w:r>
      <w:r>
        <w:rPr>
          <w:spacing w:val="-11"/>
          <w:vertAlign w:val="baseline"/>
        </w:rPr>
        <w:t> </w:t>
      </w:r>
      <w:r>
        <w:rPr>
          <w:vertAlign w:val="baseline"/>
        </w:rPr>
        <w:t>a</w:t>
      </w:r>
      <w:r>
        <w:rPr>
          <w:spacing w:val="-10"/>
          <w:vertAlign w:val="baseline"/>
        </w:rPr>
        <w:t> </w:t>
      </w:r>
      <w:r>
        <w:rPr>
          <w:vertAlign w:val="baseline"/>
        </w:rPr>
        <w:t>study</w:t>
      </w:r>
      <w:r>
        <w:rPr>
          <w:spacing w:val="-9"/>
          <w:vertAlign w:val="baseline"/>
        </w:rPr>
        <w:t> </w:t>
      </w:r>
      <w:r>
        <w:rPr>
          <w:vertAlign w:val="baseline"/>
        </w:rPr>
        <w:t>conducted</w:t>
      </w:r>
      <w:r>
        <w:rPr>
          <w:spacing w:val="-11"/>
          <w:vertAlign w:val="baseline"/>
        </w:rPr>
        <w:t> </w:t>
      </w:r>
      <w:r>
        <w:rPr>
          <w:vertAlign w:val="baseline"/>
        </w:rPr>
        <w:t>at</w:t>
      </w:r>
      <w:r>
        <w:rPr>
          <w:spacing w:val="-11"/>
          <w:vertAlign w:val="baseline"/>
        </w:rPr>
        <w:t> </w:t>
      </w:r>
      <w:r>
        <w:rPr>
          <w:vertAlign w:val="baseline"/>
        </w:rPr>
        <w:t>Youth</w:t>
      </w:r>
      <w:r>
        <w:rPr>
          <w:spacing w:val="-11"/>
          <w:vertAlign w:val="baseline"/>
        </w:rPr>
        <w:t> </w:t>
      </w:r>
      <w:r>
        <w:rPr>
          <w:vertAlign w:val="baseline"/>
        </w:rPr>
        <w:t>on</w:t>
      </w:r>
      <w:r>
        <w:rPr>
          <w:spacing w:val="-9"/>
          <w:vertAlign w:val="baseline"/>
        </w:rPr>
        <w:t> </w:t>
      </w:r>
      <w:r>
        <w:rPr>
          <w:vertAlign w:val="baseline"/>
        </w:rPr>
        <w:t>Fire</w:t>
      </w:r>
      <w:r>
        <w:rPr>
          <w:spacing w:val="-11"/>
          <w:vertAlign w:val="baseline"/>
        </w:rPr>
        <w:t> </w:t>
      </w:r>
      <w:r>
        <w:rPr>
          <w:vertAlign w:val="baseline"/>
        </w:rPr>
        <w:t>in</w:t>
      </w:r>
      <w:r>
        <w:rPr>
          <w:spacing w:val="-11"/>
          <w:vertAlign w:val="baseline"/>
        </w:rPr>
        <w:t> </w:t>
      </w:r>
      <w:r>
        <w:rPr>
          <w:vertAlign w:val="baseline"/>
        </w:rPr>
        <w:t>Boston,</w:t>
      </w:r>
      <w:r>
        <w:rPr>
          <w:spacing w:val="-10"/>
          <w:vertAlign w:val="baseline"/>
        </w:rPr>
        <w:t> </w:t>
      </w:r>
      <w:r>
        <w:rPr>
          <w:vertAlign w:val="baseline"/>
        </w:rPr>
        <w:t>Massachusetts,</w:t>
      </w:r>
      <w:r>
        <w:rPr>
          <w:spacing w:val="-10"/>
          <w:vertAlign w:val="baseline"/>
        </w:rPr>
        <w:t> </w:t>
      </w:r>
      <w:r>
        <w:rPr>
          <w:vertAlign w:val="baseline"/>
        </w:rPr>
        <w:t>participants</w:t>
      </w:r>
      <w:r>
        <w:rPr>
          <w:spacing w:val="-10"/>
          <w:vertAlign w:val="baseline"/>
        </w:rPr>
        <w:t> </w:t>
      </w:r>
      <w:r>
        <w:rPr>
          <w:vertAlign w:val="baseline"/>
        </w:rPr>
        <w:t>noted</w:t>
      </w:r>
      <w:r>
        <w:rPr>
          <w:spacing w:val="-11"/>
          <w:vertAlign w:val="baseline"/>
        </w:rPr>
        <w:t> </w:t>
      </w:r>
      <w:r>
        <w:rPr>
          <w:vertAlign w:val="baseline"/>
        </w:rPr>
        <w:t>that when they first began experiencing homelessness, they had issues navigating the drop-in and shelter resources</w:t>
      </w:r>
      <w:r>
        <w:rPr>
          <w:spacing w:val="-1"/>
          <w:vertAlign w:val="baseline"/>
        </w:rPr>
        <w:t> </w:t>
      </w:r>
      <w:r>
        <w:rPr>
          <w:vertAlign w:val="baseline"/>
        </w:rPr>
        <w:t>that</w:t>
      </w:r>
      <w:r>
        <w:rPr>
          <w:spacing w:val="-2"/>
          <w:vertAlign w:val="baseline"/>
        </w:rPr>
        <w:t> </w:t>
      </w:r>
      <w:r>
        <w:rPr>
          <w:vertAlign w:val="baseline"/>
        </w:rPr>
        <w:t>were</w:t>
      </w:r>
      <w:r>
        <w:rPr>
          <w:spacing w:val="-2"/>
          <w:vertAlign w:val="baseline"/>
        </w:rPr>
        <w:t> </w:t>
      </w:r>
      <w:r>
        <w:rPr>
          <w:vertAlign w:val="baseline"/>
        </w:rPr>
        <w:t>available</w:t>
      </w:r>
      <w:r>
        <w:rPr>
          <w:spacing w:val="-2"/>
          <w:vertAlign w:val="baseline"/>
        </w:rPr>
        <w:t> </w:t>
      </w:r>
      <w:r>
        <w:rPr>
          <w:vertAlign w:val="baseline"/>
        </w:rPr>
        <w:t>to</w:t>
      </w:r>
      <w:r>
        <w:rPr>
          <w:spacing w:val="-1"/>
          <w:vertAlign w:val="baseline"/>
        </w:rPr>
        <w:t> </w:t>
      </w:r>
      <w:r>
        <w:rPr>
          <w:vertAlign w:val="baseline"/>
        </w:rPr>
        <w:t>them,</w:t>
      </w:r>
      <w:r>
        <w:rPr>
          <w:spacing w:val="-1"/>
          <w:vertAlign w:val="baseline"/>
        </w:rPr>
        <w:t> </w:t>
      </w:r>
      <w:r>
        <w:rPr>
          <w:vertAlign w:val="baseline"/>
        </w:rPr>
        <w:t>especially</w:t>
      </w:r>
      <w:r>
        <w:rPr>
          <w:spacing w:val="-2"/>
          <w:vertAlign w:val="baseline"/>
        </w:rPr>
        <w:t> </w:t>
      </w:r>
      <w:r>
        <w:rPr>
          <w:vertAlign w:val="baseline"/>
        </w:rPr>
        <w:t>if</w:t>
      </w:r>
      <w:r>
        <w:rPr>
          <w:spacing w:val="-2"/>
          <w:vertAlign w:val="baseline"/>
        </w:rPr>
        <w:t> </w:t>
      </w:r>
      <w:r>
        <w:rPr>
          <w:vertAlign w:val="baseline"/>
        </w:rPr>
        <w:t>a</w:t>
      </w:r>
      <w:r>
        <w:rPr>
          <w:spacing w:val="-1"/>
          <w:vertAlign w:val="baseline"/>
        </w:rPr>
        <w:t> </w:t>
      </w:r>
      <w:r>
        <w:rPr>
          <w:vertAlign w:val="baseline"/>
        </w:rPr>
        <w:t>social</w:t>
      </w:r>
      <w:r>
        <w:rPr>
          <w:spacing w:val="-2"/>
          <w:vertAlign w:val="baseline"/>
        </w:rPr>
        <w:t> </w:t>
      </w:r>
      <w:r>
        <w:rPr>
          <w:vertAlign w:val="baseline"/>
        </w:rPr>
        <w:t>worker</w:t>
      </w:r>
      <w:r>
        <w:rPr>
          <w:spacing w:val="-2"/>
          <w:vertAlign w:val="baseline"/>
        </w:rPr>
        <w:t> </w:t>
      </w:r>
      <w:r>
        <w:rPr>
          <w:vertAlign w:val="baseline"/>
        </w:rPr>
        <w:t>or</w:t>
      </w:r>
      <w:r>
        <w:rPr>
          <w:spacing w:val="-2"/>
          <w:vertAlign w:val="baseline"/>
        </w:rPr>
        <w:t> </w:t>
      </w:r>
      <w:r>
        <w:rPr>
          <w:vertAlign w:val="baseline"/>
        </w:rPr>
        <w:t>case</w:t>
      </w:r>
      <w:r>
        <w:rPr>
          <w:spacing w:val="-2"/>
          <w:vertAlign w:val="baseline"/>
        </w:rPr>
        <w:t> </w:t>
      </w:r>
      <w:r>
        <w:rPr>
          <w:vertAlign w:val="baseline"/>
        </w:rPr>
        <w:t>manager</w:t>
      </w:r>
      <w:r>
        <w:rPr>
          <w:spacing w:val="-2"/>
          <w:vertAlign w:val="baseline"/>
        </w:rPr>
        <w:t> </w:t>
      </w:r>
      <w:r>
        <w:rPr>
          <w:vertAlign w:val="baseline"/>
        </w:rPr>
        <w:t>was</w:t>
      </w:r>
      <w:r>
        <w:rPr>
          <w:spacing w:val="-2"/>
          <w:vertAlign w:val="baseline"/>
        </w:rPr>
        <w:t> </w:t>
      </w:r>
      <w:r>
        <w:rPr>
          <w:vertAlign w:val="baseline"/>
        </w:rPr>
        <w:t>not</w:t>
      </w:r>
      <w:r>
        <w:rPr>
          <w:spacing w:val="-1"/>
          <w:vertAlign w:val="baseline"/>
        </w:rPr>
        <w:t> </w:t>
      </w:r>
      <w:r>
        <w:rPr>
          <w:vertAlign w:val="baseline"/>
        </w:rPr>
        <w:t>provided to them. Instead, LGBTQ youth experiencing homelessness would often utilize their peer support network</w:t>
      </w:r>
      <w:r>
        <w:rPr>
          <w:spacing w:val="-10"/>
          <w:vertAlign w:val="baseline"/>
        </w:rPr>
        <w:t> </w:t>
      </w:r>
      <w:r>
        <w:rPr>
          <w:vertAlign w:val="baseline"/>
        </w:rPr>
        <w:t>to</w:t>
      </w:r>
      <w:r>
        <w:rPr>
          <w:spacing w:val="-11"/>
          <w:vertAlign w:val="baseline"/>
        </w:rPr>
        <w:t> </w:t>
      </w:r>
      <w:r>
        <w:rPr>
          <w:vertAlign w:val="baseline"/>
        </w:rPr>
        <w:t>learn</w:t>
      </w:r>
      <w:r>
        <w:rPr>
          <w:spacing w:val="-12"/>
          <w:vertAlign w:val="baseline"/>
        </w:rPr>
        <w:t> </w:t>
      </w:r>
      <w:r>
        <w:rPr>
          <w:vertAlign w:val="baseline"/>
        </w:rPr>
        <w:t>about</w:t>
      </w:r>
      <w:r>
        <w:rPr>
          <w:spacing w:val="-12"/>
          <w:vertAlign w:val="baseline"/>
        </w:rPr>
        <w:t> </w:t>
      </w:r>
      <w:r>
        <w:rPr>
          <w:vertAlign w:val="baseline"/>
        </w:rPr>
        <w:t>where</w:t>
      </w:r>
      <w:r>
        <w:rPr>
          <w:spacing w:val="-12"/>
          <w:vertAlign w:val="baseline"/>
        </w:rPr>
        <w:t> </w:t>
      </w:r>
      <w:r>
        <w:rPr>
          <w:vertAlign w:val="baseline"/>
        </w:rPr>
        <w:t>drop-in</w:t>
      </w:r>
      <w:r>
        <w:rPr>
          <w:spacing w:val="-10"/>
          <w:vertAlign w:val="baseline"/>
        </w:rPr>
        <w:t> </w:t>
      </w:r>
      <w:r>
        <w:rPr>
          <w:vertAlign w:val="baseline"/>
        </w:rPr>
        <w:t>centers</w:t>
      </w:r>
      <w:r>
        <w:rPr>
          <w:spacing w:val="-11"/>
          <w:vertAlign w:val="baseline"/>
        </w:rPr>
        <w:t> </w:t>
      </w:r>
      <w:r>
        <w:rPr>
          <w:vertAlign w:val="baseline"/>
        </w:rPr>
        <w:t>were</w:t>
      </w:r>
      <w:r>
        <w:rPr>
          <w:spacing w:val="-11"/>
          <w:vertAlign w:val="baseline"/>
        </w:rPr>
        <w:t> </w:t>
      </w:r>
      <w:r>
        <w:rPr>
          <w:vertAlign w:val="baseline"/>
        </w:rPr>
        <w:t>located</w:t>
      </w:r>
      <w:r>
        <w:rPr>
          <w:spacing w:val="-11"/>
          <w:vertAlign w:val="baseline"/>
        </w:rPr>
        <w:t> </w:t>
      </w:r>
      <w:r>
        <w:rPr>
          <w:vertAlign w:val="baseline"/>
        </w:rPr>
        <w:t>and</w:t>
      </w:r>
      <w:r>
        <w:rPr>
          <w:spacing w:val="-11"/>
          <w:vertAlign w:val="baseline"/>
        </w:rPr>
        <w:t> </w:t>
      </w:r>
      <w:r>
        <w:rPr>
          <w:vertAlign w:val="baseline"/>
        </w:rPr>
        <w:t>which</w:t>
      </w:r>
      <w:r>
        <w:rPr>
          <w:spacing w:val="-10"/>
          <w:vertAlign w:val="baseline"/>
        </w:rPr>
        <w:t> </w:t>
      </w:r>
      <w:r>
        <w:rPr>
          <w:vertAlign w:val="baseline"/>
        </w:rPr>
        <w:t>shelters</w:t>
      </w:r>
      <w:r>
        <w:rPr>
          <w:spacing w:val="-10"/>
          <w:vertAlign w:val="baseline"/>
        </w:rPr>
        <w:t> </w:t>
      </w:r>
      <w:r>
        <w:rPr>
          <w:vertAlign w:val="baseline"/>
        </w:rPr>
        <w:t>in</w:t>
      </w:r>
      <w:r>
        <w:rPr>
          <w:spacing w:val="-11"/>
          <w:vertAlign w:val="baseline"/>
        </w:rPr>
        <w:t> </w:t>
      </w:r>
      <w:r>
        <w:rPr>
          <w:vertAlign w:val="baseline"/>
        </w:rPr>
        <w:t>the</w:t>
      </w:r>
      <w:r>
        <w:rPr>
          <w:spacing w:val="-11"/>
          <w:vertAlign w:val="baseline"/>
        </w:rPr>
        <w:t> </w:t>
      </w:r>
      <w:r>
        <w:rPr>
          <w:vertAlign w:val="baseline"/>
        </w:rPr>
        <w:t>city</w:t>
      </w:r>
      <w:r>
        <w:rPr>
          <w:spacing w:val="-11"/>
          <w:vertAlign w:val="baseline"/>
        </w:rPr>
        <w:t> </w:t>
      </w:r>
      <w:r>
        <w:rPr>
          <w:vertAlign w:val="baseline"/>
        </w:rPr>
        <w:t>were</w:t>
      </w:r>
      <w:r>
        <w:rPr>
          <w:spacing w:val="-11"/>
          <w:vertAlign w:val="baseline"/>
        </w:rPr>
        <w:t> </w:t>
      </w:r>
      <w:r>
        <w:rPr>
          <w:vertAlign w:val="baseline"/>
        </w:rPr>
        <w:t>LGBTQ- friendly. Other participants shared that they were discriminated against in shelters or were turned away because there were not enough shelter beds available.</w:t>
      </w:r>
      <w:hyperlink w:history="true" w:anchor="_bookmark301">
        <w:r>
          <w:rPr>
            <w:vertAlign w:val="superscript"/>
          </w:rPr>
          <w:t>28</w:t>
        </w:r>
      </w:hyperlink>
    </w:p>
    <w:p>
      <w:pPr>
        <w:spacing w:line="252" w:lineRule="auto" w:before="239"/>
        <w:ind w:left="1203" w:right="1141" w:hanging="1"/>
        <w:jc w:val="center"/>
        <w:rPr>
          <w:rFonts w:ascii="Cambria" w:hAnsi="Cambria"/>
          <w:i/>
          <w:sz w:val="21"/>
        </w:rPr>
      </w:pPr>
      <w:r>
        <w:rPr>
          <w:rFonts w:ascii="Cambria" w:hAnsi="Cambria"/>
          <w:i/>
          <w:color w:val="4F81BC"/>
          <w:sz w:val="21"/>
        </w:rPr>
        <w:t>“I’m mentally-ill with PTSD. It’s been hard trying to find a shelter that will accept a</w:t>
      </w:r>
      <w:r>
        <w:rPr>
          <w:rFonts w:ascii="Cambria" w:hAnsi="Cambria"/>
          <w:i/>
          <w:color w:val="4F81BC"/>
          <w:sz w:val="21"/>
        </w:rPr>
        <w:t> couple, and we don’t feel comfortable being separated… I’ve occasionally thought of masking</w:t>
      </w:r>
      <w:r>
        <w:rPr>
          <w:rFonts w:ascii="Cambria" w:hAnsi="Cambria"/>
          <w:i/>
          <w:color w:val="4F81BC"/>
          <w:spacing w:val="-2"/>
          <w:sz w:val="21"/>
        </w:rPr>
        <w:t> </w:t>
      </w:r>
      <w:r>
        <w:rPr>
          <w:rFonts w:ascii="Cambria" w:hAnsi="Cambria"/>
          <w:i/>
          <w:color w:val="4F81BC"/>
          <w:sz w:val="21"/>
        </w:rPr>
        <w:t>my</w:t>
      </w:r>
      <w:r>
        <w:rPr>
          <w:rFonts w:ascii="Cambria" w:hAnsi="Cambria"/>
          <w:i/>
          <w:color w:val="4F81BC"/>
          <w:spacing w:val="-3"/>
          <w:sz w:val="21"/>
        </w:rPr>
        <w:t> </w:t>
      </w:r>
      <w:r>
        <w:rPr>
          <w:rFonts w:ascii="Cambria" w:hAnsi="Cambria"/>
          <w:i/>
          <w:color w:val="4F81BC"/>
          <w:sz w:val="21"/>
        </w:rPr>
        <w:t>identity</w:t>
      </w:r>
      <w:r>
        <w:rPr>
          <w:rFonts w:ascii="Cambria" w:hAnsi="Cambria"/>
          <w:i/>
          <w:color w:val="4F81BC"/>
          <w:spacing w:val="-1"/>
          <w:sz w:val="21"/>
        </w:rPr>
        <w:t> </w:t>
      </w:r>
      <w:r>
        <w:rPr>
          <w:rFonts w:ascii="Cambria" w:hAnsi="Cambria"/>
          <w:i/>
          <w:color w:val="4F81BC"/>
          <w:sz w:val="21"/>
        </w:rPr>
        <w:t>just</w:t>
      </w:r>
      <w:r>
        <w:rPr>
          <w:rFonts w:ascii="Cambria" w:hAnsi="Cambria"/>
          <w:i/>
          <w:color w:val="4F81BC"/>
          <w:spacing w:val="-4"/>
          <w:sz w:val="21"/>
        </w:rPr>
        <w:t> </w:t>
      </w:r>
      <w:r>
        <w:rPr>
          <w:rFonts w:ascii="Cambria" w:hAnsi="Cambria"/>
          <w:i/>
          <w:color w:val="4F81BC"/>
          <w:sz w:val="21"/>
        </w:rPr>
        <w:t>so</w:t>
      </w:r>
      <w:r>
        <w:rPr>
          <w:rFonts w:ascii="Cambria" w:hAnsi="Cambria"/>
          <w:i/>
          <w:color w:val="4F81BC"/>
          <w:spacing w:val="-3"/>
          <w:sz w:val="21"/>
        </w:rPr>
        <w:t> </w:t>
      </w:r>
      <w:r>
        <w:rPr>
          <w:rFonts w:ascii="Cambria" w:hAnsi="Cambria"/>
          <w:i/>
          <w:color w:val="4F81BC"/>
          <w:sz w:val="21"/>
        </w:rPr>
        <w:t>I</w:t>
      </w:r>
      <w:r>
        <w:rPr>
          <w:rFonts w:ascii="Cambria" w:hAnsi="Cambria"/>
          <w:i/>
          <w:color w:val="4F81BC"/>
          <w:spacing w:val="-2"/>
          <w:sz w:val="21"/>
        </w:rPr>
        <w:t> </w:t>
      </w:r>
      <w:r>
        <w:rPr>
          <w:rFonts w:ascii="Cambria" w:hAnsi="Cambria"/>
          <w:i/>
          <w:color w:val="4F81BC"/>
          <w:sz w:val="21"/>
        </w:rPr>
        <w:t>can</w:t>
      </w:r>
      <w:r>
        <w:rPr>
          <w:rFonts w:ascii="Cambria" w:hAnsi="Cambria"/>
          <w:i/>
          <w:color w:val="4F81BC"/>
          <w:spacing w:val="-3"/>
          <w:sz w:val="21"/>
        </w:rPr>
        <w:t> </w:t>
      </w:r>
      <w:r>
        <w:rPr>
          <w:rFonts w:ascii="Cambria" w:hAnsi="Cambria"/>
          <w:i/>
          <w:color w:val="4F81BC"/>
          <w:sz w:val="21"/>
        </w:rPr>
        <w:t>join</w:t>
      </w:r>
      <w:r>
        <w:rPr>
          <w:rFonts w:ascii="Cambria" w:hAnsi="Cambria"/>
          <w:i/>
          <w:color w:val="4F81BC"/>
          <w:spacing w:val="-1"/>
          <w:sz w:val="21"/>
        </w:rPr>
        <w:t> </w:t>
      </w:r>
      <w:r>
        <w:rPr>
          <w:rFonts w:ascii="Cambria" w:hAnsi="Cambria"/>
          <w:i/>
          <w:color w:val="4F81BC"/>
          <w:sz w:val="21"/>
        </w:rPr>
        <w:t>the</w:t>
      </w:r>
      <w:r>
        <w:rPr>
          <w:rFonts w:ascii="Cambria" w:hAnsi="Cambria"/>
          <w:i/>
          <w:color w:val="4F81BC"/>
          <w:spacing w:val="-3"/>
          <w:sz w:val="21"/>
        </w:rPr>
        <w:t> </w:t>
      </w:r>
      <w:r>
        <w:rPr>
          <w:rFonts w:ascii="Cambria" w:hAnsi="Cambria"/>
          <w:i/>
          <w:color w:val="4F81BC"/>
          <w:sz w:val="21"/>
        </w:rPr>
        <w:t>men’s</w:t>
      </w:r>
      <w:r>
        <w:rPr>
          <w:rFonts w:ascii="Cambria" w:hAnsi="Cambria"/>
          <w:i/>
          <w:color w:val="4F81BC"/>
          <w:spacing w:val="-2"/>
          <w:sz w:val="21"/>
        </w:rPr>
        <w:t> </w:t>
      </w:r>
      <w:r>
        <w:rPr>
          <w:rFonts w:ascii="Cambria" w:hAnsi="Cambria"/>
          <w:i/>
          <w:color w:val="4F81BC"/>
          <w:sz w:val="21"/>
        </w:rPr>
        <w:t>shelter</w:t>
      </w:r>
      <w:r>
        <w:rPr>
          <w:rFonts w:ascii="Cambria" w:hAnsi="Cambria"/>
          <w:i/>
          <w:color w:val="4F81BC"/>
          <w:spacing w:val="-2"/>
          <w:sz w:val="21"/>
        </w:rPr>
        <w:t> </w:t>
      </w:r>
      <w:r>
        <w:rPr>
          <w:rFonts w:ascii="Cambria" w:hAnsi="Cambria"/>
          <w:i/>
          <w:color w:val="4F81BC"/>
          <w:sz w:val="21"/>
        </w:rPr>
        <w:t>to</w:t>
      </w:r>
      <w:r>
        <w:rPr>
          <w:rFonts w:ascii="Cambria" w:hAnsi="Cambria"/>
          <w:i/>
          <w:color w:val="4F81BC"/>
          <w:spacing w:val="-2"/>
          <w:sz w:val="21"/>
        </w:rPr>
        <w:t> </w:t>
      </w:r>
      <w:r>
        <w:rPr>
          <w:rFonts w:ascii="Cambria" w:hAnsi="Cambria"/>
          <w:i/>
          <w:color w:val="4F81BC"/>
          <w:sz w:val="21"/>
        </w:rPr>
        <w:t>stay</w:t>
      </w:r>
      <w:r>
        <w:rPr>
          <w:rFonts w:ascii="Cambria" w:hAnsi="Cambria"/>
          <w:i/>
          <w:color w:val="4F81BC"/>
          <w:spacing w:val="-1"/>
          <w:sz w:val="21"/>
        </w:rPr>
        <w:t> </w:t>
      </w:r>
      <w:r>
        <w:rPr>
          <w:rFonts w:ascii="Cambria" w:hAnsi="Cambria"/>
          <w:i/>
          <w:color w:val="4F81BC"/>
          <w:sz w:val="21"/>
        </w:rPr>
        <w:t>close</w:t>
      </w:r>
      <w:r>
        <w:rPr>
          <w:rFonts w:ascii="Cambria" w:hAnsi="Cambria"/>
          <w:i/>
          <w:color w:val="4F81BC"/>
          <w:spacing w:val="-3"/>
          <w:sz w:val="21"/>
        </w:rPr>
        <w:t> </w:t>
      </w:r>
      <w:r>
        <w:rPr>
          <w:rFonts w:ascii="Cambria" w:hAnsi="Cambria"/>
          <w:i/>
          <w:color w:val="4F81BC"/>
          <w:sz w:val="21"/>
        </w:rPr>
        <w:t>to</w:t>
      </w:r>
      <w:r>
        <w:rPr>
          <w:rFonts w:ascii="Cambria" w:hAnsi="Cambria"/>
          <w:i/>
          <w:color w:val="4F81BC"/>
          <w:spacing w:val="-2"/>
          <w:sz w:val="21"/>
        </w:rPr>
        <w:t> </w:t>
      </w:r>
      <w:r>
        <w:rPr>
          <w:rFonts w:ascii="Cambria" w:hAnsi="Cambria"/>
          <w:i/>
          <w:color w:val="4F81BC"/>
          <w:sz w:val="21"/>
        </w:rPr>
        <w:t>my</w:t>
      </w:r>
      <w:r>
        <w:rPr>
          <w:rFonts w:ascii="Cambria" w:hAnsi="Cambria"/>
          <w:i/>
          <w:color w:val="4F81BC"/>
          <w:spacing w:val="-2"/>
          <w:sz w:val="21"/>
        </w:rPr>
        <w:t> </w:t>
      </w:r>
      <w:r>
        <w:rPr>
          <w:rFonts w:ascii="Cambria" w:hAnsi="Cambria"/>
          <w:i/>
          <w:color w:val="4F81BC"/>
          <w:sz w:val="21"/>
        </w:rPr>
        <w:t>partner.”</w:t>
      </w:r>
      <w:r>
        <w:rPr>
          <w:rFonts w:ascii="Cambria" w:hAnsi="Cambria"/>
          <w:i/>
          <w:color w:val="4F81BC"/>
          <w:spacing w:val="-2"/>
          <w:sz w:val="21"/>
        </w:rPr>
        <w:t> </w:t>
      </w:r>
      <w:r>
        <w:rPr>
          <w:rFonts w:ascii="Cambria" w:hAnsi="Cambria"/>
          <w:i/>
          <w:color w:val="4F81BC"/>
          <w:sz w:val="21"/>
        </w:rPr>
        <w:t>–</w:t>
      </w:r>
      <w:r>
        <w:rPr>
          <w:rFonts w:ascii="Cambria" w:hAnsi="Cambria"/>
          <w:i/>
          <w:color w:val="4F81BC"/>
          <w:spacing w:val="-1"/>
          <w:sz w:val="21"/>
        </w:rPr>
        <w:t> </w:t>
      </w:r>
      <w:r>
        <w:rPr>
          <w:rFonts w:ascii="Cambria" w:hAnsi="Cambria"/>
          <w:i/>
          <w:color w:val="4F81BC"/>
          <w:sz w:val="21"/>
        </w:rPr>
        <w:t>O, Boston trans youth currently experiencing homelessness</w:t>
      </w:r>
    </w:p>
    <w:p>
      <w:pPr>
        <w:pStyle w:val="BodyText"/>
        <w:spacing w:line="276" w:lineRule="auto" w:before="241"/>
        <w:ind w:left="464" w:right="399"/>
        <w:jc w:val="both"/>
      </w:pPr>
      <w:r>
        <w:rPr/>
        <w:t>Additionally, a lack of funding and training to address LGBTQ-specific needs in shelters and drop-in centers is an issue that leads to ineffective services and mistreatment of LGBTQ youth experiencing homelessness.</w:t>
      </w:r>
      <w:r>
        <w:rPr>
          <w:spacing w:val="-10"/>
        </w:rPr>
        <w:t> </w:t>
      </w:r>
      <w:r>
        <w:rPr/>
        <w:t>As</w:t>
      </w:r>
      <w:r>
        <w:rPr>
          <w:spacing w:val="-9"/>
        </w:rPr>
        <w:t> </w:t>
      </w:r>
      <w:r>
        <w:rPr/>
        <w:t>a</w:t>
      </w:r>
      <w:r>
        <w:rPr>
          <w:spacing w:val="-10"/>
        </w:rPr>
        <w:t> </w:t>
      </w:r>
      <w:r>
        <w:rPr/>
        <w:t>result,</w:t>
      </w:r>
      <w:r>
        <w:rPr>
          <w:spacing w:val="-8"/>
        </w:rPr>
        <w:t> </w:t>
      </w:r>
      <w:r>
        <w:rPr/>
        <w:t>LGBTQ</w:t>
      </w:r>
      <w:r>
        <w:rPr>
          <w:spacing w:val="-9"/>
        </w:rPr>
        <w:t> </w:t>
      </w:r>
      <w:r>
        <w:rPr/>
        <w:t>youth</w:t>
      </w:r>
      <w:r>
        <w:rPr>
          <w:spacing w:val="-8"/>
        </w:rPr>
        <w:t> </w:t>
      </w:r>
      <w:r>
        <w:rPr/>
        <w:t>experiencing</w:t>
      </w:r>
      <w:r>
        <w:rPr>
          <w:spacing w:val="-9"/>
        </w:rPr>
        <w:t> </w:t>
      </w:r>
      <w:r>
        <w:rPr/>
        <w:t>homelessness</w:t>
      </w:r>
      <w:r>
        <w:rPr>
          <w:spacing w:val="-9"/>
        </w:rPr>
        <w:t> </w:t>
      </w:r>
      <w:r>
        <w:rPr/>
        <w:t>are</w:t>
      </w:r>
      <w:r>
        <w:rPr>
          <w:spacing w:val="-10"/>
        </w:rPr>
        <w:t> </w:t>
      </w:r>
      <w:r>
        <w:rPr/>
        <w:t>likely</w:t>
      </w:r>
      <w:r>
        <w:rPr>
          <w:spacing w:val="-9"/>
        </w:rPr>
        <w:t> </w:t>
      </w:r>
      <w:r>
        <w:rPr/>
        <w:t>to</w:t>
      </w:r>
      <w:r>
        <w:rPr>
          <w:spacing w:val="-8"/>
        </w:rPr>
        <w:t> </w:t>
      </w:r>
      <w:r>
        <w:rPr/>
        <w:t>experience</w:t>
      </w:r>
      <w:r>
        <w:rPr>
          <w:spacing w:val="-9"/>
        </w:rPr>
        <w:t> </w:t>
      </w:r>
      <w:r>
        <w:rPr/>
        <w:t>disrespect and discrimination and have safety concerns at shelters and service organizations. </w:t>
      </w:r>
      <w:hyperlink w:history="true" w:anchor="_bookmark302">
        <w:r>
          <w:rPr>
            <w:vertAlign w:val="superscript"/>
          </w:rPr>
          <w:t>29</w:t>
        </w:r>
      </w:hyperlink>
      <w:r>
        <w:rPr>
          <w:vertAlign w:val="baseline"/>
        </w:rPr>
        <w:t> The Commonwealth urges the implementation of training for staff members at all shelters and drop-in centers in the Commonwealth to ensure that LGBTQ youth feel welcomed and supported when accessing youth homelessness services.</w:t>
      </w:r>
      <w:r>
        <w:rPr>
          <w:spacing w:val="-13"/>
          <w:vertAlign w:val="baseline"/>
        </w:rPr>
        <w:t> </w:t>
      </w:r>
      <w:hyperlink w:history="true" w:anchor="_bookmark303">
        <w:r>
          <w:rPr>
            <w:vertAlign w:val="superscript"/>
          </w:rPr>
          <w:t>30</w:t>
        </w:r>
      </w:hyperlink>
      <w:r>
        <w:rPr>
          <w:vertAlign w:val="baseline"/>
        </w:rPr>
        <w:t> However, it is critical that the state not only focus its attention on ensuring shelters are affirming spaces, but also that they provide appropriate resources and</w:t>
      </w:r>
      <w:r>
        <w:rPr>
          <w:spacing w:val="-13"/>
          <w:vertAlign w:val="baseline"/>
        </w:rPr>
        <w:t> </w:t>
      </w:r>
      <w:r>
        <w:rPr>
          <w:vertAlign w:val="baseline"/>
        </w:rPr>
        <w:t>implement</w:t>
      </w:r>
      <w:r>
        <w:rPr>
          <w:spacing w:val="-12"/>
          <w:vertAlign w:val="baseline"/>
        </w:rPr>
        <w:t> </w:t>
      </w:r>
      <w:r>
        <w:rPr>
          <w:vertAlign w:val="baseline"/>
        </w:rPr>
        <w:t>policies</w:t>
      </w:r>
      <w:r>
        <w:rPr>
          <w:spacing w:val="-13"/>
          <w:vertAlign w:val="baseline"/>
        </w:rPr>
        <w:t> </w:t>
      </w:r>
      <w:r>
        <w:rPr>
          <w:vertAlign w:val="baseline"/>
        </w:rPr>
        <w:t>to</w:t>
      </w:r>
      <w:r>
        <w:rPr>
          <w:spacing w:val="-12"/>
          <w:vertAlign w:val="baseline"/>
        </w:rPr>
        <w:t> </w:t>
      </w:r>
      <w:r>
        <w:rPr>
          <w:vertAlign w:val="baseline"/>
        </w:rPr>
        <w:t>support</w:t>
      </w:r>
      <w:r>
        <w:rPr>
          <w:spacing w:val="-13"/>
          <w:vertAlign w:val="baseline"/>
        </w:rPr>
        <w:t> </w:t>
      </w:r>
      <w:r>
        <w:rPr>
          <w:vertAlign w:val="baseline"/>
        </w:rPr>
        <w:t>individuals</w:t>
      </w:r>
      <w:r>
        <w:rPr>
          <w:spacing w:val="-12"/>
          <w:vertAlign w:val="baseline"/>
        </w:rPr>
        <w:t> </w:t>
      </w:r>
      <w:r>
        <w:rPr>
          <w:vertAlign w:val="baseline"/>
        </w:rPr>
        <w:t>at</w:t>
      </w:r>
      <w:r>
        <w:rPr>
          <w:spacing w:val="-13"/>
          <w:vertAlign w:val="baseline"/>
        </w:rPr>
        <w:t> </w:t>
      </w:r>
      <w:r>
        <w:rPr>
          <w:vertAlign w:val="baseline"/>
        </w:rPr>
        <w:t>an</w:t>
      </w:r>
      <w:r>
        <w:rPr>
          <w:spacing w:val="-12"/>
          <w:vertAlign w:val="baseline"/>
        </w:rPr>
        <w:t> </w:t>
      </w:r>
      <w:r>
        <w:rPr>
          <w:vertAlign w:val="baseline"/>
        </w:rPr>
        <w:t>increased</w:t>
      </w:r>
      <w:r>
        <w:rPr>
          <w:spacing w:val="-12"/>
          <w:vertAlign w:val="baseline"/>
        </w:rPr>
        <w:t> </w:t>
      </w:r>
      <w:r>
        <w:rPr>
          <w:vertAlign w:val="baseline"/>
        </w:rPr>
        <w:t>risk</w:t>
      </w:r>
      <w:r>
        <w:rPr>
          <w:spacing w:val="-13"/>
          <w:vertAlign w:val="baseline"/>
        </w:rPr>
        <w:t> </w:t>
      </w:r>
      <w:r>
        <w:rPr>
          <w:vertAlign w:val="baseline"/>
        </w:rPr>
        <w:t>of</w:t>
      </w:r>
      <w:r>
        <w:rPr>
          <w:spacing w:val="-12"/>
          <w:vertAlign w:val="baseline"/>
        </w:rPr>
        <w:t> </w:t>
      </w:r>
      <w:r>
        <w:rPr>
          <w:vertAlign w:val="baseline"/>
        </w:rPr>
        <w:t>trafficking</w:t>
      </w:r>
      <w:r>
        <w:rPr>
          <w:spacing w:val="-13"/>
          <w:vertAlign w:val="baseline"/>
        </w:rPr>
        <w:t> </w:t>
      </w:r>
      <w:r>
        <w:rPr>
          <w:vertAlign w:val="baseline"/>
        </w:rPr>
        <w:t>and</w:t>
      </w:r>
      <w:r>
        <w:rPr>
          <w:spacing w:val="-12"/>
          <w:vertAlign w:val="baseline"/>
        </w:rPr>
        <w:t> </w:t>
      </w:r>
      <w:r>
        <w:rPr>
          <w:vertAlign w:val="baseline"/>
        </w:rPr>
        <w:t>sexual</w:t>
      </w:r>
      <w:r>
        <w:rPr>
          <w:spacing w:val="-13"/>
          <w:vertAlign w:val="baseline"/>
        </w:rPr>
        <w:t> </w:t>
      </w:r>
      <w:r>
        <w:rPr>
          <w:vertAlign w:val="baseline"/>
        </w:rPr>
        <w:t>exploitation.</w:t>
      </w:r>
    </w:p>
    <w:p>
      <w:pPr>
        <w:pStyle w:val="BodyText"/>
        <w:ind w:left="464"/>
        <w:rPr>
          <w:sz w:val="20"/>
        </w:rPr>
      </w:pPr>
      <w:r>
        <w:rPr>
          <w:sz w:val="20"/>
        </w:rPr>
        <w:drawing>
          <wp:inline distT="0" distB="0" distL="0" distR="0">
            <wp:extent cx="5963480" cy="932688"/>
            <wp:effectExtent l="0" t="0" r="0" b="0"/>
            <wp:docPr id="367" name="Image 367"/>
            <wp:cNvGraphicFramePr>
              <a:graphicFrameLocks/>
            </wp:cNvGraphicFramePr>
            <a:graphic>
              <a:graphicData uri="http://schemas.openxmlformats.org/drawingml/2006/picture">
                <pic:pic>
                  <pic:nvPicPr>
                    <pic:cNvPr id="367" name="Image 367"/>
                    <pic:cNvPicPr/>
                  </pic:nvPicPr>
                  <pic:blipFill>
                    <a:blip r:embed="rId445" cstate="print"/>
                    <a:stretch>
                      <a:fillRect/>
                    </a:stretch>
                  </pic:blipFill>
                  <pic:spPr>
                    <a:xfrm>
                      <a:off x="0" y="0"/>
                      <a:ext cx="5963480" cy="932688"/>
                    </a:xfrm>
                    <a:prstGeom prst="rect">
                      <a:avLst/>
                    </a:prstGeom>
                  </pic:spPr>
                </pic:pic>
              </a:graphicData>
            </a:graphic>
          </wp:inline>
        </w:drawing>
      </w:r>
      <w:r>
        <w:rPr>
          <w:sz w:val="20"/>
        </w:rPr>
      </w:r>
    </w:p>
    <w:p>
      <w:pPr>
        <w:pStyle w:val="BodyText"/>
        <w:spacing w:before="13"/>
      </w:pPr>
    </w:p>
    <w:p>
      <w:pPr>
        <w:pStyle w:val="BodyText"/>
        <w:spacing w:line="276" w:lineRule="auto"/>
        <w:ind w:left="464" w:right="403"/>
        <w:jc w:val="both"/>
      </w:pPr>
      <w:r>
        <w:rPr/>
        <w:t>As</w:t>
      </w:r>
      <w:r>
        <w:rPr>
          <w:spacing w:val="-11"/>
        </w:rPr>
        <w:t> </w:t>
      </w:r>
      <w:r>
        <w:rPr/>
        <w:t>highlighted</w:t>
      </w:r>
      <w:r>
        <w:rPr>
          <w:spacing w:val="-11"/>
        </w:rPr>
        <w:t> </w:t>
      </w:r>
      <w:r>
        <w:rPr/>
        <w:t>in</w:t>
      </w:r>
      <w:r>
        <w:rPr>
          <w:spacing w:val="-11"/>
        </w:rPr>
        <w:t> </w:t>
      </w:r>
      <w:r>
        <w:rPr/>
        <w:t>other</w:t>
      </w:r>
      <w:r>
        <w:rPr>
          <w:spacing w:val="-11"/>
        </w:rPr>
        <w:t> </w:t>
      </w:r>
      <w:r>
        <w:rPr/>
        <w:t>sections</w:t>
      </w:r>
      <w:r>
        <w:rPr>
          <w:spacing w:val="-11"/>
        </w:rPr>
        <w:t> </w:t>
      </w:r>
      <w:r>
        <w:rPr/>
        <w:t>of</w:t>
      </w:r>
      <w:r>
        <w:rPr>
          <w:spacing w:val="-11"/>
        </w:rPr>
        <w:t> </w:t>
      </w:r>
      <w:r>
        <w:rPr/>
        <w:t>this</w:t>
      </w:r>
      <w:r>
        <w:rPr>
          <w:spacing w:val="-11"/>
        </w:rPr>
        <w:t> </w:t>
      </w:r>
      <w:r>
        <w:rPr/>
        <w:t>report,</w:t>
      </w:r>
      <w:r>
        <w:rPr>
          <w:spacing w:val="-11"/>
        </w:rPr>
        <w:t> </w:t>
      </w:r>
      <w:r>
        <w:rPr/>
        <w:t>LGBTQ</w:t>
      </w:r>
      <w:r>
        <w:rPr>
          <w:spacing w:val="-10"/>
        </w:rPr>
        <w:t> </w:t>
      </w:r>
      <w:r>
        <w:rPr/>
        <w:t>youth</w:t>
      </w:r>
      <w:r>
        <w:rPr>
          <w:spacing w:val="-11"/>
        </w:rPr>
        <w:t> </w:t>
      </w:r>
      <w:r>
        <w:rPr/>
        <w:t>experiencing</w:t>
      </w:r>
      <w:r>
        <w:rPr>
          <w:spacing w:val="-11"/>
        </w:rPr>
        <w:t> </w:t>
      </w:r>
      <w:r>
        <w:rPr/>
        <w:t>homelessness</w:t>
      </w:r>
      <w:r>
        <w:rPr>
          <w:spacing w:val="-11"/>
        </w:rPr>
        <w:t> </w:t>
      </w:r>
      <w:r>
        <w:rPr/>
        <w:t>are</w:t>
      </w:r>
      <w:r>
        <w:rPr>
          <w:spacing w:val="-13"/>
        </w:rPr>
        <w:t> </w:t>
      </w:r>
      <w:r>
        <w:rPr/>
        <w:t>more</w:t>
      </w:r>
      <w:r>
        <w:rPr>
          <w:spacing w:val="-10"/>
        </w:rPr>
        <w:t> </w:t>
      </w:r>
      <w:r>
        <w:rPr/>
        <w:t>likely to engage in survival sex work, or experience exploitation and trafficking. Shelters must be equipped with the appropriate resources to better identify and support youth who are victims of exploitation.</w:t>
      </w:r>
    </w:p>
    <w:p>
      <w:pPr>
        <w:spacing w:before="239"/>
        <w:ind w:left="464" w:right="0" w:firstLine="0"/>
        <w:jc w:val="both"/>
        <w:rPr>
          <w:sz w:val="24"/>
        </w:rPr>
      </w:pPr>
      <w:bookmarkStart w:name="Youth Homelessness and Housing Insecurit" w:id="489"/>
      <w:bookmarkEnd w:id="489"/>
      <w:r>
        <w:rPr/>
      </w:r>
      <w:r>
        <w:rPr>
          <w:color w:val="365F91"/>
          <w:sz w:val="24"/>
        </w:rPr>
        <w:t>Youth</w:t>
      </w:r>
      <w:r>
        <w:rPr>
          <w:color w:val="365F91"/>
          <w:spacing w:val="-3"/>
          <w:sz w:val="24"/>
        </w:rPr>
        <w:t> </w:t>
      </w:r>
      <w:r>
        <w:rPr>
          <w:color w:val="365F91"/>
          <w:sz w:val="24"/>
        </w:rPr>
        <w:t>Homelessness</w:t>
      </w:r>
      <w:r>
        <w:rPr>
          <w:color w:val="365F91"/>
          <w:spacing w:val="-3"/>
          <w:sz w:val="24"/>
        </w:rPr>
        <w:t> </w:t>
      </w:r>
      <w:r>
        <w:rPr>
          <w:color w:val="365F91"/>
          <w:sz w:val="24"/>
        </w:rPr>
        <w:t>and</w:t>
      </w:r>
      <w:r>
        <w:rPr>
          <w:color w:val="365F91"/>
          <w:spacing w:val="-3"/>
          <w:sz w:val="24"/>
        </w:rPr>
        <w:t> </w:t>
      </w:r>
      <w:r>
        <w:rPr>
          <w:color w:val="365F91"/>
          <w:sz w:val="24"/>
        </w:rPr>
        <w:t>Housing</w:t>
      </w:r>
      <w:r>
        <w:rPr>
          <w:color w:val="365F91"/>
          <w:spacing w:val="-3"/>
          <w:sz w:val="24"/>
        </w:rPr>
        <w:t> </w:t>
      </w:r>
      <w:r>
        <w:rPr>
          <w:color w:val="365F91"/>
          <w:sz w:val="24"/>
        </w:rPr>
        <w:t>Insecurity</w:t>
      </w:r>
      <w:r>
        <w:rPr>
          <w:color w:val="365F91"/>
          <w:spacing w:val="-2"/>
          <w:sz w:val="24"/>
        </w:rPr>
        <w:t> </w:t>
      </w:r>
      <w:r>
        <w:rPr>
          <w:color w:val="365F91"/>
          <w:sz w:val="24"/>
        </w:rPr>
        <w:t>in</w:t>
      </w:r>
      <w:r>
        <w:rPr>
          <w:color w:val="365F91"/>
          <w:spacing w:val="-3"/>
          <w:sz w:val="24"/>
        </w:rPr>
        <w:t> </w:t>
      </w:r>
      <w:r>
        <w:rPr>
          <w:color w:val="365F91"/>
          <w:sz w:val="24"/>
        </w:rPr>
        <w:t>the</w:t>
      </w:r>
      <w:r>
        <w:rPr>
          <w:color w:val="365F91"/>
          <w:spacing w:val="-2"/>
          <w:sz w:val="24"/>
        </w:rPr>
        <w:t> Commonwealth</w:t>
      </w:r>
    </w:p>
    <w:p>
      <w:pPr>
        <w:pStyle w:val="BodyText"/>
        <w:spacing w:line="276" w:lineRule="auto" w:before="285"/>
        <w:ind w:left="464" w:right="403"/>
        <w:jc w:val="both"/>
      </w:pPr>
      <w:r>
        <w:rPr/>
        <w:t>Youth homelessness and housing insecurity continues to be a pressing issue in the Commonwealth that requires continued support and funding, especially for vulnerable populations. In 2023, the U.S. Department</w:t>
      </w:r>
      <w:r>
        <w:rPr>
          <w:spacing w:val="40"/>
        </w:rPr>
        <w:t> </w:t>
      </w:r>
      <w:r>
        <w:rPr/>
        <w:t>of</w:t>
      </w:r>
      <w:r>
        <w:rPr>
          <w:spacing w:val="40"/>
        </w:rPr>
        <w:t> </w:t>
      </w:r>
      <w:r>
        <w:rPr/>
        <w:t>Housing</w:t>
      </w:r>
      <w:r>
        <w:rPr>
          <w:spacing w:val="40"/>
        </w:rPr>
        <w:t> </w:t>
      </w:r>
      <w:r>
        <w:rPr/>
        <w:t>and</w:t>
      </w:r>
      <w:r>
        <w:rPr>
          <w:spacing w:val="40"/>
        </w:rPr>
        <w:t> </w:t>
      </w:r>
      <w:r>
        <w:rPr/>
        <w:t>Urban</w:t>
      </w:r>
      <w:r>
        <w:rPr>
          <w:spacing w:val="40"/>
        </w:rPr>
        <w:t> </w:t>
      </w:r>
      <w:r>
        <w:rPr/>
        <w:t>Development</w:t>
      </w:r>
      <w:r>
        <w:rPr>
          <w:spacing w:val="40"/>
        </w:rPr>
        <w:t> </w:t>
      </w:r>
      <w:r>
        <w:rPr/>
        <w:t>(HUD)</w:t>
      </w:r>
      <w:r>
        <w:rPr>
          <w:spacing w:val="40"/>
        </w:rPr>
        <w:t> </w:t>
      </w:r>
      <w:r>
        <w:rPr/>
        <w:t>noted</w:t>
      </w:r>
      <w:r>
        <w:rPr>
          <w:spacing w:val="40"/>
        </w:rPr>
        <w:t> </w:t>
      </w:r>
      <w:r>
        <w:rPr/>
        <w:t>that</w:t>
      </w:r>
      <w:r>
        <w:rPr>
          <w:spacing w:val="40"/>
        </w:rPr>
        <w:t> </w:t>
      </w:r>
      <w:r>
        <w:rPr/>
        <w:t>8,748</w:t>
      </w:r>
      <w:r>
        <w:rPr>
          <w:spacing w:val="40"/>
        </w:rPr>
        <w:t> </w:t>
      </w:r>
      <w:r>
        <w:rPr/>
        <w:t>individuals</w:t>
      </w:r>
      <w:r>
        <w:rPr>
          <w:spacing w:val="57"/>
        </w:rPr>
        <w:t> </w:t>
      </w:r>
      <w:r>
        <w:rPr/>
        <w:t>under</w:t>
      </w:r>
      <w:r>
        <w:rPr>
          <w:spacing w:val="40"/>
        </w:rPr>
        <w:t> </w:t>
      </w:r>
      <w:r>
        <w:rPr/>
        <w:t>25</w:t>
      </w:r>
    </w:p>
    <w:p>
      <w:pPr>
        <w:spacing w:after="0" w:line="276" w:lineRule="auto"/>
        <w:jc w:val="both"/>
        <w:sectPr>
          <w:pgSz w:w="12240" w:h="15840"/>
          <w:pgMar w:header="765" w:footer="1127" w:top="1280" w:bottom="1380" w:left="1120" w:right="1180"/>
        </w:sectPr>
      </w:pPr>
    </w:p>
    <w:p>
      <w:pPr>
        <w:pStyle w:val="BodyText"/>
        <w:spacing w:line="276" w:lineRule="auto" w:before="91"/>
        <w:ind w:left="464" w:right="402"/>
        <w:jc w:val="both"/>
      </w:pPr>
      <w:r>
        <w:rPr/>
        <w:t>experienced homelessness on a single night in Massachusetts, with 485 classified as unaccompanied homeless youth.</w:t>
      </w:r>
      <w:hyperlink w:history="true" w:anchor="_bookmark304">
        <w:r>
          <w:rPr>
            <w:vertAlign w:val="superscript"/>
          </w:rPr>
          <w:t>31</w:t>
        </w:r>
      </w:hyperlink>
      <w:r>
        <w:rPr>
          <w:spacing w:val="-3"/>
          <w:vertAlign w:val="baseline"/>
        </w:rPr>
        <w:t> </w:t>
      </w:r>
      <w:r>
        <w:rPr>
          <w:vertAlign w:val="baseline"/>
        </w:rPr>
        <w:t>However, data from the Massachusetts Department of Elementary and Secondary Education (DESE) based on the number of homeless children and youth enrolled in Massachusetts's public schools for the 2022-2023 school year recorded 1,790 unaccompanied youth in the Commonwealth.</w:t>
      </w:r>
      <w:hyperlink w:history="true" w:anchor="_bookmark305">
        <w:r>
          <w:rPr>
            <w:vertAlign w:val="superscript"/>
          </w:rPr>
          <w:t>32</w:t>
        </w:r>
      </w:hyperlink>
      <w:r>
        <w:rPr>
          <w:spacing w:val="-3"/>
          <w:vertAlign w:val="baseline"/>
        </w:rPr>
        <w:t> </w:t>
      </w:r>
      <w:r>
        <w:rPr>
          <w:vertAlign w:val="baseline"/>
        </w:rPr>
        <w:t>This</w:t>
      </w:r>
      <w:r>
        <w:rPr>
          <w:spacing w:val="-4"/>
          <w:vertAlign w:val="baseline"/>
        </w:rPr>
        <w:t> </w:t>
      </w:r>
      <w:r>
        <w:rPr>
          <w:vertAlign w:val="baseline"/>
        </w:rPr>
        <w:t>underscores</w:t>
      </w:r>
      <w:r>
        <w:rPr>
          <w:spacing w:val="-4"/>
          <w:vertAlign w:val="baseline"/>
        </w:rPr>
        <w:t> </w:t>
      </w:r>
      <w:r>
        <w:rPr>
          <w:vertAlign w:val="baseline"/>
        </w:rPr>
        <w:t>how</w:t>
      </w:r>
      <w:r>
        <w:rPr>
          <w:spacing w:val="-3"/>
          <w:vertAlign w:val="baseline"/>
        </w:rPr>
        <w:t> </w:t>
      </w:r>
      <w:r>
        <w:rPr>
          <w:vertAlign w:val="baseline"/>
        </w:rPr>
        <w:t>differences</w:t>
      </w:r>
      <w:r>
        <w:rPr>
          <w:spacing w:val="-4"/>
          <w:vertAlign w:val="baseline"/>
        </w:rPr>
        <w:t> </w:t>
      </w:r>
      <w:r>
        <w:rPr>
          <w:vertAlign w:val="baseline"/>
        </w:rPr>
        <w:t>in</w:t>
      </w:r>
      <w:r>
        <w:rPr>
          <w:spacing w:val="-3"/>
          <w:vertAlign w:val="baseline"/>
        </w:rPr>
        <w:t> </w:t>
      </w:r>
      <w:r>
        <w:rPr>
          <w:vertAlign w:val="baseline"/>
        </w:rPr>
        <w:t>data</w:t>
      </w:r>
      <w:r>
        <w:rPr>
          <w:spacing w:val="-3"/>
          <w:vertAlign w:val="baseline"/>
        </w:rPr>
        <w:t> </w:t>
      </w:r>
      <w:r>
        <w:rPr>
          <w:vertAlign w:val="baseline"/>
        </w:rPr>
        <w:t>can</w:t>
      </w:r>
      <w:r>
        <w:rPr>
          <w:spacing w:val="-4"/>
          <w:vertAlign w:val="baseline"/>
        </w:rPr>
        <w:t> </w:t>
      </w:r>
      <w:r>
        <w:rPr>
          <w:vertAlign w:val="baseline"/>
        </w:rPr>
        <w:t>impact</w:t>
      </w:r>
      <w:r>
        <w:rPr>
          <w:spacing w:val="-3"/>
          <w:vertAlign w:val="baseline"/>
        </w:rPr>
        <w:t> </w:t>
      </w:r>
      <w:r>
        <w:rPr>
          <w:vertAlign w:val="baseline"/>
        </w:rPr>
        <w:t>policy</w:t>
      </w:r>
      <w:r>
        <w:rPr>
          <w:spacing w:val="-4"/>
          <w:vertAlign w:val="baseline"/>
        </w:rPr>
        <w:t> </w:t>
      </w:r>
      <w:r>
        <w:rPr>
          <w:vertAlign w:val="baseline"/>
        </w:rPr>
        <w:t>and</w:t>
      </w:r>
      <w:r>
        <w:rPr>
          <w:spacing w:val="-4"/>
          <w:vertAlign w:val="baseline"/>
        </w:rPr>
        <w:t> </w:t>
      </w:r>
      <w:r>
        <w:rPr>
          <w:vertAlign w:val="baseline"/>
        </w:rPr>
        <w:t>program</w:t>
      </w:r>
      <w:r>
        <w:rPr>
          <w:spacing w:val="-3"/>
          <w:vertAlign w:val="baseline"/>
        </w:rPr>
        <w:t> </w:t>
      </w:r>
      <w:r>
        <w:rPr>
          <w:vertAlign w:val="baseline"/>
        </w:rPr>
        <w:t>decisions. State-level</w:t>
      </w:r>
      <w:r>
        <w:rPr>
          <w:spacing w:val="-3"/>
          <w:vertAlign w:val="baseline"/>
        </w:rPr>
        <w:t> </w:t>
      </w:r>
      <w:r>
        <w:rPr>
          <w:vertAlign w:val="baseline"/>
        </w:rPr>
        <w:t>statistics</w:t>
      </w:r>
      <w:r>
        <w:rPr>
          <w:spacing w:val="-1"/>
          <w:vertAlign w:val="baseline"/>
        </w:rPr>
        <w:t> </w:t>
      </w:r>
      <w:r>
        <w:rPr>
          <w:vertAlign w:val="baseline"/>
        </w:rPr>
        <w:t>highlight</w:t>
      </w:r>
      <w:r>
        <w:rPr>
          <w:spacing w:val="-2"/>
          <w:vertAlign w:val="baseline"/>
        </w:rPr>
        <w:t> </w:t>
      </w:r>
      <w:r>
        <w:rPr>
          <w:vertAlign w:val="baseline"/>
        </w:rPr>
        <w:t>a</w:t>
      </w:r>
      <w:r>
        <w:rPr>
          <w:spacing w:val="-2"/>
          <w:vertAlign w:val="baseline"/>
        </w:rPr>
        <w:t> </w:t>
      </w:r>
      <w:r>
        <w:rPr>
          <w:vertAlign w:val="baseline"/>
        </w:rPr>
        <w:t>significant</w:t>
      </w:r>
      <w:r>
        <w:rPr>
          <w:spacing w:val="-2"/>
          <w:vertAlign w:val="baseline"/>
        </w:rPr>
        <w:t> </w:t>
      </w:r>
      <w:r>
        <w:rPr>
          <w:vertAlign w:val="baseline"/>
        </w:rPr>
        <w:t>number</w:t>
      </w:r>
      <w:r>
        <w:rPr>
          <w:spacing w:val="-3"/>
          <w:vertAlign w:val="baseline"/>
        </w:rPr>
        <w:t> </w:t>
      </w:r>
      <w:r>
        <w:rPr>
          <w:vertAlign w:val="baseline"/>
        </w:rPr>
        <w:t>of</w:t>
      </w:r>
      <w:r>
        <w:rPr>
          <w:spacing w:val="-2"/>
          <w:vertAlign w:val="baseline"/>
        </w:rPr>
        <w:t> </w:t>
      </w:r>
      <w:r>
        <w:rPr>
          <w:vertAlign w:val="baseline"/>
        </w:rPr>
        <w:t>unaccompanied</w:t>
      </w:r>
      <w:r>
        <w:rPr>
          <w:spacing w:val="-3"/>
          <w:vertAlign w:val="baseline"/>
        </w:rPr>
        <w:t> </w:t>
      </w:r>
      <w:r>
        <w:rPr>
          <w:vertAlign w:val="baseline"/>
        </w:rPr>
        <w:t>youth</w:t>
      </w:r>
      <w:r>
        <w:rPr>
          <w:spacing w:val="-3"/>
          <w:vertAlign w:val="baseline"/>
        </w:rPr>
        <w:t> </w:t>
      </w:r>
      <w:r>
        <w:rPr>
          <w:vertAlign w:val="baseline"/>
        </w:rPr>
        <w:t>still</w:t>
      </w:r>
      <w:r>
        <w:rPr>
          <w:spacing w:val="-2"/>
          <w:vertAlign w:val="baseline"/>
        </w:rPr>
        <w:t> </w:t>
      </w:r>
      <w:r>
        <w:rPr>
          <w:vertAlign w:val="baseline"/>
        </w:rPr>
        <w:t>facing</w:t>
      </w:r>
      <w:r>
        <w:rPr>
          <w:spacing w:val="-3"/>
          <w:vertAlign w:val="baseline"/>
        </w:rPr>
        <w:t> </w:t>
      </w:r>
      <w:r>
        <w:rPr>
          <w:vertAlign w:val="baseline"/>
        </w:rPr>
        <w:t>homelessness, emphasizing the need for ongoing prioritization of state-level initiatives to address this issue.</w:t>
      </w:r>
    </w:p>
    <w:p>
      <w:pPr>
        <w:pStyle w:val="BodyText"/>
        <w:spacing w:line="276" w:lineRule="auto" w:before="240"/>
        <w:ind w:left="463" w:right="402"/>
        <w:jc w:val="both"/>
      </w:pPr>
      <w:r>
        <w:rPr/>
        <w:t>Additionally, youth homelessness is a prevalent issue across the Commonwealth in both urban and rural settings. Research has indicated that services and programs are often tailored to urban settings and neglect to provide a strategic response to better target youth homelessness in rural settings as well.</w:t>
      </w:r>
      <w:hyperlink w:history="true" w:anchor="_bookmark306">
        <w:r>
          <w:rPr>
            <w:vertAlign w:val="superscript"/>
          </w:rPr>
          <w:t>33</w:t>
        </w:r>
      </w:hyperlink>
      <w:r>
        <w:rPr>
          <w:vertAlign w:val="baseline"/>
        </w:rPr>
        <w:t> In the Commonwealth, the rates of youth homelessness of unaccompanied youth under 25 indicate</w:t>
      </w:r>
      <w:r>
        <w:rPr>
          <w:spacing w:val="-10"/>
          <w:vertAlign w:val="baseline"/>
        </w:rPr>
        <w:t> </w:t>
      </w:r>
      <w:r>
        <w:rPr>
          <w:vertAlign w:val="baseline"/>
        </w:rPr>
        <w:t>that</w:t>
      </w:r>
      <w:r>
        <w:rPr>
          <w:spacing w:val="-9"/>
          <w:vertAlign w:val="baseline"/>
        </w:rPr>
        <w:t> </w:t>
      </w:r>
      <w:r>
        <w:rPr>
          <w:vertAlign w:val="baseline"/>
        </w:rPr>
        <w:t>youth</w:t>
      </w:r>
      <w:r>
        <w:rPr>
          <w:spacing w:val="-12"/>
          <w:vertAlign w:val="baseline"/>
        </w:rPr>
        <w:t> </w:t>
      </w:r>
      <w:r>
        <w:rPr>
          <w:vertAlign w:val="baseline"/>
        </w:rPr>
        <w:t>homelessness</w:t>
      </w:r>
      <w:r>
        <w:rPr>
          <w:spacing w:val="-11"/>
          <w:vertAlign w:val="baseline"/>
        </w:rPr>
        <w:t> </w:t>
      </w:r>
      <w:r>
        <w:rPr>
          <w:vertAlign w:val="baseline"/>
        </w:rPr>
        <w:t>is</w:t>
      </w:r>
      <w:r>
        <w:rPr>
          <w:spacing w:val="-11"/>
          <w:vertAlign w:val="baseline"/>
        </w:rPr>
        <w:t> </w:t>
      </w:r>
      <w:r>
        <w:rPr>
          <w:vertAlign w:val="baseline"/>
        </w:rPr>
        <w:t>prevalent</w:t>
      </w:r>
      <w:r>
        <w:rPr>
          <w:spacing w:val="-12"/>
          <w:vertAlign w:val="baseline"/>
        </w:rPr>
        <w:t> </w:t>
      </w:r>
      <w:r>
        <w:rPr>
          <w:vertAlign w:val="baseline"/>
        </w:rPr>
        <w:t>in</w:t>
      </w:r>
      <w:r>
        <w:rPr>
          <w:spacing w:val="-10"/>
          <w:vertAlign w:val="baseline"/>
        </w:rPr>
        <w:t> </w:t>
      </w:r>
      <w:r>
        <w:rPr>
          <w:vertAlign w:val="baseline"/>
        </w:rPr>
        <w:t>both</w:t>
      </w:r>
      <w:r>
        <w:rPr>
          <w:spacing w:val="-10"/>
          <w:vertAlign w:val="baseline"/>
        </w:rPr>
        <w:t> </w:t>
      </w:r>
      <w:r>
        <w:rPr>
          <w:vertAlign w:val="baseline"/>
        </w:rPr>
        <w:t>urban</w:t>
      </w:r>
      <w:r>
        <w:rPr>
          <w:spacing w:val="-10"/>
          <w:vertAlign w:val="baseline"/>
        </w:rPr>
        <w:t> </w:t>
      </w:r>
      <w:r>
        <w:rPr>
          <w:vertAlign w:val="baseline"/>
        </w:rPr>
        <w:t>and</w:t>
      </w:r>
      <w:r>
        <w:rPr>
          <w:spacing w:val="-12"/>
          <w:vertAlign w:val="baseline"/>
        </w:rPr>
        <w:t> </w:t>
      </w:r>
      <w:r>
        <w:rPr>
          <w:vertAlign w:val="baseline"/>
        </w:rPr>
        <w:t>rural</w:t>
      </w:r>
      <w:r>
        <w:rPr>
          <w:spacing w:val="-11"/>
          <w:vertAlign w:val="baseline"/>
        </w:rPr>
        <w:t> </w:t>
      </w:r>
      <w:r>
        <w:rPr>
          <w:vertAlign w:val="baseline"/>
        </w:rPr>
        <w:t>settings</w:t>
      </w:r>
      <w:r>
        <w:rPr>
          <w:spacing w:val="-11"/>
          <w:vertAlign w:val="baseline"/>
        </w:rPr>
        <w:t> </w:t>
      </w:r>
      <w:r>
        <w:rPr>
          <w:vertAlign w:val="baseline"/>
        </w:rPr>
        <w:t>as</w:t>
      </w:r>
      <w:r>
        <w:rPr>
          <w:spacing w:val="-11"/>
          <w:vertAlign w:val="baseline"/>
        </w:rPr>
        <w:t> </w:t>
      </w:r>
      <w:r>
        <w:rPr>
          <w:vertAlign w:val="baseline"/>
        </w:rPr>
        <w:t>seen</w:t>
      </w:r>
      <w:r>
        <w:rPr>
          <w:spacing w:val="-12"/>
          <w:vertAlign w:val="baseline"/>
        </w:rPr>
        <w:t> </w:t>
      </w:r>
      <w:r>
        <w:rPr>
          <w:vertAlign w:val="baseline"/>
        </w:rPr>
        <w:t>in</w:t>
      </w:r>
      <w:r>
        <w:rPr>
          <w:spacing w:val="-12"/>
          <w:vertAlign w:val="baseline"/>
        </w:rPr>
        <w:t> </w:t>
      </w:r>
      <w:r>
        <w:rPr>
          <w:vertAlign w:val="baseline"/>
        </w:rPr>
        <w:t>Table</w:t>
      </w:r>
      <w:r>
        <w:rPr>
          <w:spacing w:val="-10"/>
          <w:vertAlign w:val="baseline"/>
        </w:rPr>
        <w:t> </w:t>
      </w:r>
      <w:r>
        <w:rPr>
          <w:vertAlign w:val="baseline"/>
        </w:rPr>
        <w:t>1.</w:t>
      </w:r>
      <w:hyperlink w:history="true" w:anchor="_bookmark307">
        <w:r>
          <w:rPr>
            <w:vertAlign w:val="superscript"/>
          </w:rPr>
          <w:t>34</w:t>
        </w:r>
      </w:hyperlink>
      <w:r>
        <w:rPr>
          <w:spacing w:val="-3"/>
          <w:vertAlign w:val="baseline"/>
        </w:rPr>
        <w:t> </w:t>
      </w:r>
      <w:r>
        <w:rPr>
          <w:vertAlign w:val="baseline"/>
        </w:rPr>
        <w:t>This table represents the 12 Continuum of Care (CoC) programs in Massachusetts that serve the purpose of a planning body that coordinates housing and services funding for homeless families and individuals.</w:t>
      </w:r>
      <w:r>
        <w:rPr>
          <w:spacing w:val="-8"/>
          <w:vertAlign w:val="baseline"/>
        </w:rPr>
        <w:t> </w:t>
      </w:r>
      <w:hyperlink w:history="true" w:anchor="_bookmark308">
        <w:r>
          <w:rPr>
            <w:vertAlign w:val="superscript"/>
          </w:rPr>
          <w:t>35</w:t>
        </w:r>
      </w:hyperlink>
      <w:r>
        <w:rPr>
          <w:vertAlign w:val="baseline"/>
        </w:rPr>
        <w:t> As the Commonwealth develops programs and initiatives for youth homelessness prevention, it is also critical to plan strategically for rural settings.</w:t>
      </w:r>
    </w:p>
    <w:p>
      <w:pPr>
        <w:pStyle w:val="BodyText"/>
        <w:spacing w:before="7"/>
        <w:rPr>
          <w:sz w:val="19"/>
        </w:rPr>
      </w:pPr>
    </w:p>
    <w:tbl>
      <w:tblPr>
        <w:tblW w:w="0" w:type="auto"/>
        <w:jc w:val="left"/>
        <w:tblInd w:w="7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510"/>
        <w:gridCol w:w="2720"/>
        <w:gridCol w:w="899"/>
        <w:gridCol w:w="810"/>
        <w:gridCol w:w="2519"/>
        <w:gridCol w:w="989"/>
      </w:tblGrid>
      <w:tr>
        <w:trPr>
          <w:trHeight w:val="440" w:hRule="atLeast"/>
        </w:trPr>
        <w:tc>
          <w:tcPr>
            <w:tcW w:w="510" w:type="dxa"/>
            <w:shd w:val="clear" w:color="auto" w:fill="CFE1F3"/>
          </w:tcPr>
          <w:p>
            <w:pPr>
              <w:pStyle w:val="TableParagraph"/>
              <w:rPr>
                <w:rFonts w:ascii="Times New Roman"/>
                <w:sz w:val="20"/>
              </w:rPr>
            </w:pPr>
          </w:p>
        </w:tc>
        <w:tc>
          <w:tcPr>
            <w:tcW w:w="2720" w:type="dxa"/>
            <w:tcBorders>
              <w:bottom w:val="single" w:sz="6" w:space="0" w:color="000000"/>
            </w:tcBorders>
            <w:shd w:val="clear" w:color="auto" w:fill="CFE1F3"/>
          </w:tcPr>
          <w:p>
            <w:pPr>
              <w:pStyle w:val="TableParagraph"/>
              <w:spacing w:before="99"/>
              <w:ind w:left="244"/>
              <w:rPr>
                <w:b/>
                <w:sz w:val="20"/>
              </w:rPr>
            </w:pPr>
            <w:r>
              <w:rPr>
                <w:b/>
                <w:sz w:val="20"/>
              </w:rPr>
              <w:t>CoC</w:t>
            </w:r>
            <w:r>
              <w:rPr>
                <w:b/>
                <w:spacing w:val="-1"/>
                <w:sz w:val="20"/>
              </w:rPr>
              <w:t> </w:t>
            </w:r>
            <w:r>
              <w:rPr>
                <w:b/>
                <w:spacing w:val="-2"/>
                <w:sz w:val="20"/>
              </w:rPr>
              <w:t>Region</w:t>
            </w:r>
          </w:p>
        </w:tc>
        <w:tc>
          <w:tcPr>
            <w:tcW w:w="899" w:type="dxa"/>
            <w:tcBorders>
              <w:bottom w:val="single" w:sz="6" w:space="0" w:color="000000"/>
              <w:right w:val="single" w:sz="12" w:space="0" w:color="000000"/>
            </w:tcBorders>
            <w:shd w:val="clear" w:color="auto" w:fill="CFE1F3"/>
          </w:tcPr>
          <w:p>
            <w:pPr>
              <w:pStyle w:val="TableParagraph"/>
              <w:spacing w:before="99"/>
              <w:ind w:left="243"/>
              <w:rPr>
                <w:b/>
                <w:sz w:val="20"/>
              </w:rPr>
            </w:pPr>
            <w:r>
              <w:rPr>
                <w:b/>
                <w:spacing w:val="-10"/>
                <w:sz w:val="20"/>
              </w:rPr>
              <w:t>%</w:t>
            </w:r>
          </w:p>
        </w:tc>
        <w:tc>
          <w:tcPr>
            <w:tcW w:w="810" w:type="dxa"/>
            <w:tcBorders>
              <w:left w:val="single" w:sz="12" w:space="0" w:color="000000"/>
            </w:tcBorders>
            <w:shd w:val="clear" w:color="auto" w:fill="CFE1F3"/>
          </w:tcPr>
          <w:p>
            <w:pPr>
              <w:pStyle w:val="TableParagraph"/>
              <w:rPr>
                <w:rFonts w:ascii="Times New Roman"/>
                <w:sz w:val="20"/>
              </w:rPr>
            </w:pPr>
          </w:p>
        </w:tc>
        <w:tc>
          <w:tcPr>
            <w:tcW w:w="2519" w:type="dxa"/>
            <w:tcBorders>
              <w:bottom w:val="single" w:sz="6" w:space="0" w:color="000000"/>
            </w:tcBorders>
            <w:shd w:val="clear" w:color="auto" w:fill="CFE1F3"/>
          </w:tcPr>
          <w:p>
            <w:pPr>
              <w:pStyle w:val="TableParagraph"/>
              <w:spacing w:before="99"/>
              <w:ind w:left="244"/>
              <w:rPr>
                <w:b/>
                <w:sz w:val="20"/>
              </w:rPr>
            </w:pPr>
            <w:r>
              <w:rPr>
                <w:b/>
                <w:sz w:val="20"/>
              </w:rPr>
              <w:t>CoC</w:t>
            </w:r>
            <w:r>
              <w:rPr>
                <w:b/>
                <w:spacing w:val="-1"/>
                <w:sz w:val="20"/>
              </w:rPr>
              <w:t> </w:t>
            </w:r>
            <w:r>
              <w:rPr>
                <w:b/>
                <w:spacing w:val="-2"/>
                <w:sz w:val="20"/>
              </w:rPr>
              <w:t>Region</w:t>
            </w:r>
          </w:p>
        </w:tc>
        <w:tc>
          <w:tcPr>
            <w:tcW w:w="989" w:type="dxa"/>
            <w:tcBorders>
              <w:bottom w:val="single" w:sz="6" w:space="0" w:color="000000"/>
            </w:tcBorders>
            <w:shd w:val="clear" w:color="auto" w:fill="CFE1F3"/>
          </w:tcPr>
          <w:p>
            <w:pPr>
              <w:pStyle w:val="TableParagraph"/>
              <w:spacing w:before="99"/>
              <w:ind w:left="245"/>
              <w:rPr>
                <w:b/>
                <w:sz w:val="20"/>
              </w:rPr>
            </w:pPr>
            <w:r>
              <w:rPr>
                <w:b/>
                <w:spacing w:val="-10"/>
                <w:sz w:val="20"/>
              </w:rPr>
              <w:t>%</w:t>
            </w:r>
          </w:p>
        </w:tc>
      </w:tr>
      <w:tr>
        <w:trPr>
          <w:trHeight w:val="932" w:hRule="atLeast"/>
        </w:trPr>
        <w:tc>
          <w:tcPr>
            <w:tcW w:w="510" w:type="dxa"/>
            <w:tcBorders>
              <w:right w:val="single" w:sz="6" w:space="0" w:color="000000"/>
            </w:tcBorders>
          </w:tcPr>
          <w:p>
            <w:pPr>
              <w:pStyle w:val="TableParagraph"/>
              <w:spacing w:before="103"/>
              <w:ind w:left="97"/>
              <w:jc w:val="center"/>
              <w:rPr>
                <w:b/>
                <w:sz w:val="20"/>
              </w:rPr>
            </w:pPr>
            <w:r>
              <w:rPr>
                <w:b/>
                <w:spacing w:val="-10"/>
                <w:sz w:val="20"/>
              </w:rPr>
              <w:t>1</w:t>
            </w:r>
          </w:p>
        </w:tc>
        <w:tc>
          <w:tcPr>
            <w:tcW w:w="2720" w:type="dxa"/>
            <w:tcBorders>
              <w:top w:val="single" w:sz="6" w:space="0" w:color="000000"/>
              <w:left w:val="single" w:sz="6" w:space="0" w:color="000000"/>
              <w:bottom w:val="single" w:sz="6" w:space="0" w:color="000000"/>
              <w:right w:val="single" w:sz="6" w:space="0" w:color="000000"/>
            </w:tcBorders>
          </w:tcPr>
          <w:p>
            <w:pPr>
              <w:pStyle w:val="TableParagraph"/>
              <w:rPr>
                <w:sz w:val="20"/>
              </w:rPr>
            </w:pPr>
          </w:p>
          <w:p>
            <w:pPr>
              <w:pStyle w:val="TableParagraph"/>
              <w:spacing w:before="103"/>
              <w:rPr>
                <w:sz w:val="20"/>
              </w:rPr>
            </w:pPr>
          </w:p>
          <w:p>
            <w:pPr>
              <w:pStyle w:val="TableParagraph"/>
              <w:ind w:left="186"/>
              <w:rPr>
                <w:sz w:val="20"/>
              </w:rPr>
            </w:pPr>
            <w:r>
              <w:rPr>
                <w:sz w:val="20"/>
              </w:rPr>
              <w:t>Balance</w:t>
            </w:r>
            <w:r>
              <w:rPr>
                <w:spacing w:val="-3"/>
                <w:sz w:val="20"/>
              </w:rPr>
              <w:t> </w:t>
            </w:r>
            <w:r>
              <w:rPr>
                <w:sz w:val="20"/>
              </w:rPr>
              <w:t>of</w:t>
            </w:r>
            <w:r>
              <w:rPr>
                <w:spacing w:val="-3"/>
                <w:sz w:val="20"/>
              </w:rPr>
              <w:t> </w:t>
            </w:r>
            <w:r>
              <w:rPr>
                <w:spacing w:val="-2"/>
                <w:sz w:val="20"/>
              </w:rPr>
              <w:t>State</w:t>
            </w:r>
          </w:p>
        </w:tc>
        <w:tc>
          <w:tcPr>
            <w:tcW w:w="899" w:type="dxa"/>
            <w:tcBorders>
              <w:top w:val="single" w:sz="6" w:space="0" w:color="000000"/>
              <w:left w:val="single" w:sz="6" w:space="0" w:color="000000"/>
              <w:bottom w:val="single" w:sz="6" w:space="0" w:color="000000"/>
              <w:right w:val="single" w:sz="12" w:space="0" w:color="000000"/>
            </w:tcBorders>
          </w:tcPr>
          <w:p>
            <w:pPr>
              <w:pStyle w:val="TableParagraph"/>
              <w:rPr>
                <w:sz w:val="20"/>
              </w:rPr>
            </w:pPr>
          </w:p>
          <w:p>
            <w:pPr>
              <w:pStyle w:val="TableParagraph"/>
              <w:spacing w:before="103"/>
              <w:rPr>
                <w:sz w:val="20"/>
              </w:rPr>
            </w:pPr>
          </w:p>
          <w:p>
            <w:pPr>
              <w:pStyle w:val="TableParagraph"/>
              <w:ind w:left="186"/>
              <w:rPr>
                <w:sz w:val="20"/>
              </w:rPr>
            </w:pPr>
            <w:r>
              <w:rPr>
                <w:spacing w:val="-2"/>
                <w:sz w:val="20"/>
              </w:rPr>
              <w:t>27.0%</w:t>
            </w:r>
          </w:p>
        </w:tc>
        <w:tc>
          <w:tcPr>
            <w:tcW w:w="810" w:type="dxa"/>
            <w:tcBorders>
              <w:left w:val="single" w:sz="12" w:space="0" w:color="000000"/>
              <w:right w:val="single" w:sz="6" w:space="0" w:color="000000"/>
            </w:tcBorders>
          </w:tcPr>
          <w:p>
            <w:pPr>
              <w:pStyle w:val="TableParagraph"/>
              <w:spacing w:before="103"/>
              <w:ind w:left="239"/>
              <w:rPr>
                <w:b/>
                <w:sz w:val="20"/>
              </w:rPr>
            </w:pPr>
            <w:r>
              <w:rPr>
                <w:b/>
                <w:spacing w:val="-10"/>
                <w:sz w:val="20"/>
              </w:rPr>
              <w:t>7</w:t>
            </w:r>
          </w:p>
        </w:tc>
        <w:tc>
          <w:tcPr>
            <w:tcW w:w="2519" w:type="dxa"/>
            <w:tcBorders>
              <w:top w:val="single" w:sz="6" w:space="0" w:color="000000"/>
              <w:left w:val="single" w:sz="6" w:space="0" w:color="000000"/>
              <w:bottom w:val="single" w:sz="6" w:space="0" w:color="000000"/>
              <w:right w:val="single" w:sz="6" w:space="0" w:color="000000"/>
            </w:tcBorders>
          </w:tcPr>
          <w:p>
            <w:pPr>
              <w:pStyle w:val="TableParagraph"/>
              <w:tabs>
                <w:tab w:pos="1552" w:val="left" w:leader="none"/>
              </w:tabs>
              <w:spacing w:before="103"/>
              <w:ind w:left="187" w:right="162"/>
              <w:jc w:val="both"/>
              <w:rPr>
                <w:sz w:val="20"/>
              </w:rPr>
            </w:pPr>
            <w:r>
              <w:rPr>
                <w:spacing w:val="-2"/>
                <w:sz w:val="20"/>
              </w:rPr>
              <w:t>Quincy,</w:t>
            </w:r>
            <w:r>
              <w:rPr>
                <w:sz w:val="20"/>
              </w:rPr>
              <w:tab/>
            </w:r>
            <w:r>
              <w:rPr>
                <w:spacing w:val="-2"/>
                <w:sz w:val="20"/>
              </w:rPr>
              <w:t>Brockton, </w:t>
            </w:r>
            <w:r>
              <w:rPr>
                <w:sz w:val="20"/>
              </w:rPr>
              <w:t>Weymouth, Plymouth</w:t>
            </w:r>
            <w:r>
              <w:rPr>
                <w:spacing w:val="40"/>
                <w:sz w:val="20"/>
              </w:rPr>
              <w:t> </w:t>
            </w:r>
            <w:r>
              <w:rPr>
                <w:sz w:val="20"/>
              </w:rPr>
              <w:t>City, and County</w:t>
            </w:r>
          </w:p>
        </w:tc>
        <w:tc>
          <w:tcPr>
            <w:tcW w:w="989" w:type="dxa"/>
            <w:tcBorders>
              <w:top w:val="single" w:sz="6" w:space="0" w:color="000000"/>
              <w:left w:val="single" w:sz="6" w:space="0" w:color="000000"/>
              <w:bottom w:val="single" w:sz="6" w:space="0" w:color="000000"/>
              <w:right w:val="single" w:sz="6" w:space="0" w:color="000000"/>
            </w:tcBorders>
          </w:tcPr>
          <w:p>
            <w:pPr>
              <w:pStyle w:val="TableParagraph"/>
              <w:rPr>
                <w:sz w:val="20"/>
              </w:rPr>
            </w:pPr>
          </w:p>
          <w:p>
            <w:pPr>
              <w:pStyle w:val="TableParagraph"/>
              <w:spacing w:before="103"/>
              <w:rPr>
                <w:sz w:val="20"/>
              </w:rPr>
            </w:pPr>
          </w:p>
          <w:p>
            <w:pPr>
              <w:pStyle w:val="TableParagraph"/>
              <w:ind w:left="188"/>
              <w:rPr>
                <w:sz w:val="20"/>
              </w:rPr>
            </w:pPr>
            <w:r>
              <w:rPr>
                <w:spacing w:val="-4"/>
                <w:sz w:val="20"/>
              </w:rPr>
              <w:t>3.7%</w:t>
            </w:r>
          </w:p>
        </w:tc>
      </w:tr>
      <w:tr>
        <w:trPr>
          <w:trHeight w:val="444" w:hRule="atLeast"/>
        </w:trPr>
        <w:tc>
          <w:tcPr>
            <w:tcW w:w="510" w:type="dxa"/>
            <w:tcBorders>
              <w:right w:val="single" w:sz="6" w:space="0" w:color="000000"/>
            </w:tcBorders>
          </w:tcPr>
          <w:p>
            <w:pPr>
              <w:pStyle w:val="TableParagraph"/>
              <w:spacing w:before="103"/>
              <w:ind w:left="97"/>
              <w:jc w:val="center"/>
              <w:rPr>
                <w:b/>
                <w:sz w:val="20"/>
              </w:rPr>
            </w:pPr>
            <w:r>
              <w:rPr>
                <w:b/>
                <w:spacing w:val="-10"/>
                <w:sz w:val="20"/>
              </w:rPr>
              <w:t>2</w:t>
            </w:r>
          </w:p>
        </w:tc>
        <w:tc>
          <w:tcPr>
            <w:tcW w:w="2720" w:type="dxa"/>
            <w:tcBorders>
              <w:top w:val="single" w:sz="6" w:space="0" w:color="000000"/>
              <w:left w:val="single" w:sz="6" w:space="0" w:color="000000"/>
              <w:bottom w:val="single" w:sz="6" w:space="0" w:color="000000"/>
              <w:right w:val="single" w:sz="6" w:space="0" w:color="000000"/>
            </w:tcBorders>
          </w:tcPr>
          <w:p>
            <w:pPr>
              <w:pStyle w:val="TableParagraph"/>
              <w:spacing w:before="103"/>
              <w:ind w:left="186"/>
              <w:rPr>
                <w:sz w:val="20"/>
              </w:rPr>
            </w:pPr>
            <w:r>
              <w:rPr>
                <w:spacing w:val="-2"/>
                <w:sz w:val="20"/>
              </w:rPr>
              <w:t>Boston</w:t>
            </w:r>
          </w:p>
        </w:tc>
        <w:tc>
          <w:tcPr>
            <w:tcW w:w="899" w:type="dxa"/>
            <w:tcBorders>
              <w:top w:val="single" w:sz="6" w:space="0" w:color="000000"/>
              <w:left w:val="single" w:sz="6" w:space="0" w:color="000000"/>
              <w:bottom w:val="single" w:sz="6" w:space="0" w:color="000000"/>
              <w:right w:val="single" w:sz="12" w:space="0" w:color="000000"/>
            </w:tcBorders>
          </w:tcPr>
          <w:p>
            <w:pPr>
              <w:pStyle w:val="TableParagraph"/>
              <w:spacing w:before="103"/>
              <w:ind w:left="186"/>
              <w:rPr>
                <w:sz w:val="20"/>
              </w:rPr>
            </w:pPr>
            <w:r>
              <w:rPr>
                <w:spacing w:val="-2"/>
                <w:sz w:val="20"/>
              </w:rPr>
              <w:t>23.1%</w:t>
            </w:r>
          </w:p>
        </w:tc>
        <w:tc>
          <w:tcPr>
            <w:tcW w:w="810" w:type="dxa"/>
            <w:tcBorders>
              <w:left w:val="single" w:sz="12" w:space="0" w:color="000000"/>
              <w:right w:val="single" w:sz="6" w:space="0" w:color="000000"/>
            </w:tcBorders>
          </w:tcPr>
          <w:p>
            <w:pPr>
              <w:pStyle w:val="TableParagraph"/>
              <w:spacing w:before="103"/>
              <w:ind w:left="239"/>
              <w:rPr>
                <w:b/>
                <w:sz w:val="20"/>
              </w:rPr>
            </w:pPr>
            <w:r>
              <w:rPr>
                <w:b/>
                <w:spacing w:val="-10"/>
                <w:sz w:val="20"/>
              </w:rPr>
              <w:t>8</w:t>
            </w:r>
          </w:p>
        </w:tc>
        <w:tc>
          <w:tcPr>
            <w:tcW w:w="2519" w:type="dxa"/>
            <w:tcBorders>
              <w:top w:val="single" w:sz="6" w:space="0" w:color="000000"/>
              <w:left w:val="single" w:sz="6" w:space="0" w:color="000000"/>
              <w:bottom w:val="single" w:sz="6" w:space="0" w:color="000000"/>
              <w:right w:val="single" w:sz="6" w:space="0" w:color="000000"/>
            </w:tcBorders>
          </w:tcPr>
          <w:p>
            <w:pPr>
              <w:pStyle w:val="TableParagraph"/>
              <w:spacing w:before="103"/>
              <w:ind w:left="187"/>
              <w:rPr>
                <w:sz w:val="20"/>
              </w:rPr>
            </w:pPr>
            <w:r>
              <w:rPr>
                <w:sz w:val="20"/>
              </w:rPr>
              <w:t>New</w:t>
            </w:r>
            <w:r>
              <w:rPr>
                <w:spacing w:val="-4"/>
                <w:sz w:val="20"/>
              </w:rPr>
              <w:t> </w:t>
            </w:r>
            <w:r>
              <w:rPr>
                <w:spacing w:val="-2"/>
                <w:sz w:val="20"/>
              </w:rPr>
              <w:t>Bedford</w:t>
            </w:r>
          </w:p>
        </w:tc>
        <w:tc>
          <w:tcPr>
            <w:tcW w:w="989" w:type="dxa"/>
            <w:tcBorders>
              <w:top w:val="single" w:sz="6" w:space="0" w:color="000000"/>
              <w:left w:val="single" w:sz="6" w:space="0" w:color="000000"/>
              <w:bottom w:val="single" w:sz="6" w:space="0" w:color="000000"/>
              <w:right w:val="single" w:sz="6" w:space="0" w:color="000000"/>
            </w:tcBorders>
          </w:tcPr>
          <w:p>
            <w:pPr>
              <w:pStyle w:val="TableParagraph"/>
              <w:spacing w:before="103"/>
              <w:ind w:left="188"/>
              <w:rPr>
                <w:sz w:val="20"/>
              </w:rPr>
            </w:pPr>
            <w:r>
              <w:rPr>
                <w:spacing w:val="-4"/>
                <w:sz w:val="20"/>
              </w:rPr>
              <w:t>3.7%</w:t>
            </w:r>
          </w:p>
        </w:tc>
      </w:tr>
      <w:tr>
        <w:trPr>
          <w:trHeight w:val="688" w:hRule="atLeast"/>
        </w:trPr>
        <w:tc>
          <w:tcPr>
            <w:tcW w:w="510" w:type="dxa"/>
            <w:tcBorders>
              <w:right w:val="single" w:sz="6" w:space="0" w:color="000000"/>
            </w:tcBorders>
          </w:tcPr>
          <w:p>
            <w:pPr>
              <w:pStyle w:val="TableParagraph"/>
              <w:spacing w:before="103"/>
              <w:ind w:left="97"/>
              <w:jc w:val="center"/>
              <w:rPr>
                <w:b/>
                <w:sz w:val="20"/>
              </w:rPr>
            </w:pPr>
            <w:r>
              <w:rPr>
                <w:b/>
                <w:spacing w:val="-10"/>
                <w:sz w:val="20"/>
              </w:rPr>
              <w:t>3</w:t>
            </w:r>
          </w:p>
        </w:tc>
        <w:tc>
          <w:tcPr>
            <w:tcW w:w="2720" w:type="dxa"/>
            <w:tcBorders>
              <w:top w:val="single" w:sz="6" w:space="0" w:color="000000"/>
              <w:left w:val="single" w:sz="6" w:space="0" w:color="000000"/>
              <w:bottom w:val="single" w:sz="6" w:space="0" w:color="000000"/>
              <w:right w:val="single" w:sz="6" w:space="0" w:color="000000"/>
            </w:tcBorders>
          </w:tcPr>
          <w:p>
            <w:pPr>
              <w:pStyle w:val="TableParagraph"/>
              <w:spacing w:before="103"/>
              <w:ind w:left="186" w:right="267"/>
              <w:rPr>
                <w:sz w:val="20"/>
              </w:rPr>
            </w:pPr>
            <w:r>
              <w:rPr>
                <w:spacing w:val="-2"/>
                <w:sz w:val="20"/>
              </w:rPr>
              <w:t>Springfield/Hampden County</w:t>
            </w:r>
          </w:p>
        </w:tc>
        <w:tc>
          <w:tcPr>
            <w:tcW w:w="899" w:type="dxa"/>
            <w:tcBorders>
              <w:top w:val="single" w:sz="6" w:space="0" w:color="000000"/>
              <w:left w:val="single" w:sz="6" w:space="0" w:color="000000"/>
              <w:bottom w:val="single" w:sz="6" w:space="0" w:color="000000"/>
              <w:right w:val="single" w:sz="12" w:space="0" w:color="000000"/>
            </w:tcBorders>
          </w:tcPr>
          <w:p>
            <w:pPr>
              <w:pStyle w:val="TableParagraph"/>
              <w:spacing w:before="102"/>
              <w:rPr>
                <w:sz w:val="20"/>
              </w:rPr>
            </w:pPr>
          </w:p>
          <w:p>
            <w:pPr>
              <w:pStyle w:val="TableParagraph"/>
              <w:ind w:left="186"/>
              <w:rPr>
                <w:sz w:val="20"/>
              </w:rPr>
            </w:pPr>
            <w:r>
              <w:rPr>
                <w:spacing w:val="-2"/>
                <w:sz w:val="20"/>
              </w:rPr>
              <w:t>12.8%</w:t>
            </w:r>
          </w:p>
        </w:tc>
        <w:tc>
          <w:tcPr>
            <w:tcW w:w="810" w:type="dxa"/>
            <w:tcBorders>
              <w:left w:val="single" w:sz="12" w:space="0" w:color="000000"/>
              <w:right w:val="single" w:sz="6" w:space="0" w:color="000000"/>
            </w:tcBorders>
          </w:tcPr>
          <w:p>
            <w:pPr>
              <w:pStyle w:val="TableParagraph"/>
              <w:spacing w:before="103"/>
              <w:ind w:left="239"/>
              <w:rPr>
                <w:b/>
                <w:sz w:val="20"/>
              </w:rPr>
            </w:pPr>
            <w:r>
              <w:rPr>
                <w:b/>
                <w:spacing w:val="-10"/>
                <w:sz w:val="20"/>
              </w:rPr>
              <w:t>9</w:t>
            </w:r>
          </w:p>
        </w:tc>
        <w:tc>
          <w:tcPr>
            <w:tcW w:w="2519" w:type="dxa"/>
            <w:tcBorders>
              <w:top w:val="single" w:sz="6" w:space="0" w:color="000000"/>
              <w:left w:val="single" w:sz="6" w:space="0" w:color="000000"/>
              <w:bottom w:val="single" w:sz="6" w:space="0" w:color="000000"/>
              <w:right w:val="single" w:sz="6" w:space="0" w:color="000000"/>
            </w:tcBorders>
          </w:tcPr>
          <w:p>
            <w:pPr>
              <w:pStyle w:val="TableParagraph"/>
              <w:spacing w:before="102"/>
              <w:rPr>
                <w:sz w:val="20"/>
              </w:rPr>
            </w:pPr>
          </w:p>
          <w:p>
            <w:pPr>
              <w:pStyle w:val="TableParagraph"/>
              <w:ind w:left="187"/>
              <w:rPr>
                <w:sz w:val="20"/>
              </w:rPr>
            </w:pPr>
            <w:r>
              <w:rPr>
                <w:sz w:val="20"/>
              </w:rPr>
              <w:t>Cape</w:t>
            </w:r>
            <w:r>
              <w:rPr>
                <w:spacing w:val="-3"/>
                <w:sz w:val="20"/>
              </w:rPr>
              <w:t> </w:t>
            </w:r>
            <w:r>
              <w:rPr>
                <w:sz w:val="20"/>
              </w:rPr>
              <w:t>Cod</w:t>
            </w:r>
            <w:r>
              <w:rPr>
                <w:spacing w:val="-2"/>
                <w:sz w:val="20"/>
              </w:rPr>
              <w:t> Islands</w:t>
            </w:r>
          </w:p>
        </w:tc>
        <w:tc>
          <w:tcPr>
            <w:tcW w:w="989" w:type="dxa"/>
            <w:tcBorders>
              <w:top w:val="single" w:sz="6" w:space="0" w:color="000000"/>
              <w:left w:val="single" w:sz="6" w:space="0" w:color="000000"/>
              <w:bottom w:val="single" w:sz="6" w:space="0" w:color="000000"/>
              <w:right w:val="single" w:sz="6" w:space="0" w:color="000000"/>
            </w:tcBorders>
          </w:tcPr>
          <w:p>
            <w:pPr>
              <w:pStyle w:val="TableParagraph"/>
              <w:spacing w:before="102"/>
              <w:rPr>
                <w:sz w:val="20"/>
              </w:rPr>
            </w:pPr>
          </w:p>
          <w:p>
            <w:pPr>
              <w:pStyle w:val="TableParagraph"/>
              <w:ind w:left="188"/>
              <w:rPr>
                <w:sz w:val="20"/>
              </w:rPr>
            </w:pPr>
            <w:r>
              <w:rPr>
                <w:spacing w:val="-4"/>
                <w:sz w:val="20"/>
              </w:rPr>
              <w:t>2.7%</w:t>
            </w:r>
          </w:p>
        </w:tc>
      </w:tr>
      <w:tr>
        <w:trPr>
          <w:trHeight w:val="687" w:hRule="atLeast"/>
        </w:trPr>
        <w:tc>
          <w:tcPr>
            <w:tcW w:w="510" w:type="dxa"/>
            <w:tcBorders>
              <w:right w:val="single" w:sz="6" w:space="0" w:color="000000"/>
            </w:tcBorders>
          </w:tcPr>
          <w:p>
            <w:pPr>
              <w:pStyle w:val="TableParagraph"/>
              <w:spacing w:before="103"/>
              <w:ind w:left="97"/>
              <w:jc w:val="center"/>
              <w:rPr>
                <w:b/>
                <w:sz w:val="20"/>
              </w:rPr>
            </w:pPr>
            <w:r>
              <w:rPr>
                <w:b/>
                <w:spacing w:val="-10"/>
                <w:sz w:val="20"/>
              </w:rPr>
              <w:t>4</w:t>
            </w:r>
          </w:p>
        </w:tc>
        <w:tc>
          <w:tcPr>
            <w:tcW w:w="2720" w:type="dxa"/>
            <w:tcBorders>
              <w:top w:val="single" w:sz="6" w:space="0" w:color="000000"/>
              <w:left w:val="single" w:sz="6" w:space="0" w:color="000000"/>
              <w:bottom w:val="single" w:sz="6" w:space="0" w:color="000000"/>
              <w:right w:val="single" w:sz="6" w:space="0" w:color="000000"/>
            </w:tcBorders>
          </w:tcPr>
          <w:p>
            <w:pPr>
              <w:pStyle w:val="TableParagraph"/>
              <w:spacing w:before="102"/>
              <w:rPr>
                <w:sz w:val="20"/>
              </w:rPr>
            </w:pPr>
          </w:p>
          <w:p>
            <w:pPr>
              <w:pStyle w:val="TableParagraph"/>
              <w:ind w:left="186"/>
              <w:rPr>
                <w:sz w:val="20"/>
              </w:rPr>
            </w:pPr>
            <w:r>
              <w:rPr>
                <w:sz w:val="20"/>
              </w:rPr>
              <w:t>Worcester</w:t>
            </w:r>
            <w:r>
              <w:rPr>
                <w:spacing w:val="-4"/>
                <w:sz w:val="20"/>
              </w:rPr>
              <w:t> </w:t>
            </w:r>
            <w:r>
              <w:rPr>
                <w:sz w:val="20"/>
              </w:rPr>
              <w:t>City</w:t>
            </w:r>
            <w:r>
              <w:rPr>
                <w:spacing w:val="-3"/>
                <w:sz w:val="20"/>
              </w:rPr>
              <w:t> </w:t>
            </w:r>
            <w:r>
              <w:rPr>
                <w:sz w:val="20"/>
              </w:rPr>
              <w:t>&amp;</w:t>
            </w:r>
            <w:r>
              <w:rPr>
                <w:spacing w:val="-2"/>
                <w:sz w:val="20"/>
              </w:rPr>
              <w:t> County</w:t>
            </w:r>
          </w:p>
        </w:tc>
        <w:tc>
          <w:tcPr>
            <w:tcW w:w="899" w:type="dxa"/>
            <w:tcBorders>
              <w:top w:val="single" w:sz="6" w:space="0" w:color="000000"/>
              <w:left w:val="single" w:sz="6" w:space="0" w:color="000000"/>
              <w:bottom w:val="single" w:sz="6" w:space="0" w:color="000000"/>
              <w:right w:val="single" w:sz="12" w:space="0" w:color="000000"/>
            </w:tcBorders>
          </w:tcPr>
          <w:p>
            <w:pPr>
              <w:pStyle w:val="TableParagraph"/>
              <w:spacing w:before="102"/>
              <w:rPr>
                <w:sz w:val="20"/>
              </w:rPr>
            </w:pPr>
          </w:p>
          <w:p>
            <w:pPr>
              <w:pStyle w:val="TableParagraph"/>
              <w:ind w:left="186"/>
              <w:rPr>
                <w:sz w:val="20"/>
              </w:rPr>
            </w:pPr>
            <w:r>
              <w:rPr>
                <w:spacing w:val="-4"/>
                <w:sz w:val="20"/>
              </w:rPr>
              <w:t>9.9%</w:t>
            </w:r>
          </w:p>
        </w:tc>
        <w:tc>
          <w:tcPr>
            <w:tcW w:w="810" w:type="dxa"/>
            <w:tcBorders>
              <w:left w:val="single" w:sz="12" w:space="0" w:color="000000"/>
              <w:right w:val="single" w:sz="6" w:space="0" w:color="000000"/>
            </w:tcBorders>
          </w:tcPr>
          <w:p>
            <w:pPr>
              <w:pStyle w:val="TableParagraph"/>
              <w:spacing w:before="103"/>
              <w:ind w:left="239"/>
              <w:rPr>
                <w:b/>
                <w:sz w:val="20"/>
              </w:rPr>
            </w:pPr>
            <w:r>
              <w:rPr>
                <w:b/>
                <w:spacing w:val="-5"/>
                <w:sz w:val="20"/>
              </w:rPr>
              <w:t>10</w:t>
            </w:r>
          </w:p>
        </w:tc>
        <w:tc>
          <w:tcPr>
            <w:tcW w:w="2519" w:type="dxa"/>
            <w:tcBorders>
              <w:top w:val="single" w:sz="6" w:space="0" w:color="000000"/>
              <w:left w:val="single" w:sz="6" w:space="0" w:color="000000"/>
              <w:bottom w:val="single" w:sz="6" w:space="0" w:color="000000"/>
              <w:right w:val="single" w:sz="6" w:space="0" w:color="000000"/>
            </w:tcBorders>
          </w:tcPr>
          <w:p>
            <w:pPr>
              <w:pStyle w:val="TableParagraph"/>
              <w:spacing w:before="103"/>
              <w:ind w:left="187" w:right="153"/>
              <w:rPr>
                <w:sz w:val="20"/>
              </w:rPr>
            </w:pPr>
            <w:r>
              <w:rPr>
                <w:sz w:val="20"/>
              </w:rPr>
              <w:t>Attleboro,</w:t>
            </w:r>
            <w:r>
              <w:rPr>
                <w:spacing w:val="-12"/>
                <w:sz w:val="20"/>
              </w:rPr>
              <w:t> </w:t>
            </w:r>
            <w:r>
              <w:rPr>
                <w:sz w:val="20"/>
              </w:rPr>
              <w:t>Taunton/Bristol </w:t>
            </w:r>
            <w:r>
              <w:rPr>
                <w:spacing w:val="-2"/>
                <w:sz w:val="20"/>
              </w:rPr>
              <w:t>County</w:t>
            </w:r>
          </w:p>
        </w:tc>
        <w:tc>
          <w:tcPr>
            <w:tcW w:w="989" w:type="dxa"/>
            <w:tcBorders>
              <w:top w:val="single" w:sz="6" w:space="0" w:color="000000"/>
              <w:left w:val="single" w:sz="6" w:space="0" w:color="000000"/>
              <w:bottom w:val="single" w:sz="6" w:space="0" w:color="000000"/>
              <w:right w:val="single" w:sz="6" w:space="0" w:color="000000"/>
            </w:tcBorders>
          </w:tcPr>
          <w:p>
            <w:pPr>
              <w:pStyle w:val="TableParagraph"/>
              <w:spacing w:before="102"/>
              <w:rPr>
                <w:sz w:val="20"/>
              </w:rPr>
            </w:pPr>
          </w:p>
          <w:p>
            <w:pPr>
              <w:pStyle w:val="TableParagraph"/>
              <w:ind w:left="188"/>
              <w:rPr>
                <w:sz w:val="20"/>
              </w:rPr>
            </w:pPr>
            <w:r>
              <w:rPr>
                <w:spacing w:val="-4"/>
                <w:sz w:val="20"/>
              </w:rPr>
              <w:t>2.3%</w:t>
            </w:r>
          </w:p>
        </w:tc>
      </w:tr>
      <w:tr>
        <w:trPr>
          <w:trHeight w:val="688" w:hRule="atLeast"/>
        </w:trPr>
        <w:tc>
          <w:tcPr>
            <w:tcW w:w="510" w:type="dxa"/>
            <w:tcBorders>
              <w:right w:val="single" w:sz="6" w:space="0" w:color="000000"/>
            </w:tcBorders>
          </w:tcPr>
          <w:p>
            <w:pPr>
              <w:pStyle w:val="TableParagraph"/>
              <w:spacing w:before="103"/>
              <w:ind w:left="97"/>
              <w:jc w:val="center"/>
              <w:rPr>
                <w:b/>
                <w:sz w:val="20"/>
              </w:rPr>
            </w:pPr>
            <w:r>
              <w:rPr>
                <w:b/>
                <w:spacing w:val="-10"/>
                <w:sz w:val="20"/>
              </w:rPr>
              <w:t>5</w:t>
            </w:r>
          </w:p>
        </w:tc>
        <w:tc>
          <w:tcPr>
            <w:tcW w:w="2720" w:type="dxa"/>
            <w:tcBorders>
              <w:top w:val="single" w:sz="6" w:space="0" w:color="000000"/>
              <w:left w:val="single" w:sz="6" w:space="0" w:color="000000"/>
              <w:bottom w:val="single" w:sz="6" w:space="0" w:color="000000"/>
              <w:right w:val="single" w:sz="6" w:space="0" w:color="000000"/>
            </w:tcBorders>
          </w:tcPr>
          <w:p>
            <w:pPr>
              <w:pStyle w:val="TableParagraph"/>
              <w:spacing w:before="103"/>
              <w:ind w:left="186"/>
              <w:rPr>
                <w:sz w:val="20"/>
              </w:rPr>
            </w:pPr>
            <w:r>
              <w:rPr>
                <w:spacing w:val="-2"/>
                <w:sz w:val="20"/>
              </w:rPr>
              <w:t>Pittsfield/Berkshire,</w:t>
            </w:r>
            <w:r>
              <w:rPr>
                <w:spacing w:val="-9"/>
                <w:sz w:val="20"/>
              </w:rPr>
              <w:t> </w:t>
            </w:r>
            <w:r>
              <w:rPr>
                <w:spacing w:val="-2"/>
                <w:sz w:val="20"/>
              </w:rPr>
              <w:t>Franklin, </w:t>
            </w:r>
            <w:r>
              <w:rPr>
                <w:sz w:val="20"/>
              </w:rPr>
              <w:t>Hampshire Counties</w:t>
            </w:r>
          </w:p>
        </w:tc>
        <w:tc>
          <w:tcPr>
            <w:tcW w:w="899" w:type="dxa"/>
            <w:tcBorders>
              <w:top w:val="single" w:sz="6" w:space="0" w:color="000000"/>
              <w:left w:val="single" w:sz="6" w:space="0" w:color="000000"/>
              <w:bottom w:val="single" w:sz="6" w:space="0" w:color="000000"/>
              <w:right w:val="single" w:sz="12" w:space="0" w:color="000000"/>
            </w:tcBorders>
          </w:tcPr>
          <w:p>
            <w:pPr>
              <w:pStyle w:val="TableParagraph"/>
              <w:spacing w:before="102"/>
              <w:rPr>
                <w:sz w:val="20"/>
              </w:rPr>
            </w:pPr>
          </w:p>
          <w:p>
            <w:pPr>
              <w:pStyle w:val="TableParagraph"/>
              <w:ind w:left="186"/>
              <w:rPr>
                <w:sz w:val="20"/>
              </w:rPr>
            </w:pPr>
            <w:r>
              <w:rPr>
                <w:spacing w:val="-4"/>
                <w:sz w:val="20"/>
              </w:rPr>
              <w:t>7.0%</w:t>
            </w:r>
          </w:p>
        </w:tc>
        <w:tc>
          <w:tcPr>
            <w:tcW w:w="810" w:type="dxa"/>
            <w:tcBorders>
              <w:left w:val="single" w:sz="12" w:space="0" w:color="000000"/>
              <w:right w:val="single" w:sz="6" w:space="0" w:color="000000"/>
            </w:tcBorders>
          </w:tcPr>
          <w:p>
            <w:pPr>
              <w:pStyle w:val="TableParagraph"/>
              <w:spacing w:before="103"/>
              <w:ind w:left="239"/>
              <w:rPr>
                <w:b/>
                <w:sz w:val="20"/>
              </w:rPr>
            </w:pPr>
            <w:r>
              <w:rPr>
                <w:b/>
                <w:spacing w:val="-5"/>
                <w:sz w:val="20"/>
              </w:rPr>
              <w:t>11</w:t>
            </w:r>
          </w:p>
        </w:tc>
        <w:tc>
          <w:tcPr>
            <w:tcW w:w="2519" w:type="dxa"/>
            <w:tcBorders>
              <w:top w:val="single" w:sz="6" w:space="0" w:color="000000"/>
              <w:left w:val="single" w:sz="6" w:space="0" w:color="000000"/>
              <w:bottom w:val="single" w:sz="6" w:space="0" w:color="000000"/>
              <w:right w:val="single" w:sz="6" w:space="0" w:color="000000"/>
            </w:tcBorders>
          </w:tcPr>
          <w:p>
            <w:pPr>
              <w:pStyle w:val="TableParagraph"/>
              <w:spacing w:before="102"/>
              <w:rPr>
                <w:sz w:val="20"/>
              </w:rPr>
            </w:pPr>
          </w:p>
          <w:p>
            <w:pPr>
              <w:pStyle w:val="TableParagraph"/>
              <w:ind w:left="187"/>
              <w:rPr>
                <w:sz w:val="20"/>
              </w:rPr>
            </w:pPr>
            <w:r>
              <w:rPr>
                <w:spacing w:val="-4"/>
                <w:sz w:val="20"/>
              </w:rPr>
              <w:t>Lynn</w:t>
            </w:r>
          </w:p>
        </w:tc>
        <w:tc>
          <w:tcPr>
            <w:tcW w:w="989" w:type="dxa"/>
            <w:tcBorders>
              <w:top w:val="single" w:sz="6" w:space="0" w:color="000000"/>
              <w:left w:val="single" w:sz="6" w:space="0" w:color="000000"/>
              <w:bottom w:val="single" w:sz="6" w:space="0" w:color="000000"/>
              <w:right w:val="single" w:sz="6" w:space="0" w:color="000000"/>
            </w:tcBorders>
          </w:tcPr>
          <w:p>
            <w:pPr>
              <w:pStyle w:val="TableParagraph"/>
              <w:spacing w:before="102"/>
              <w:rPr>
                <w:sz w:val="20"/>
              </w:rPr>
            </w:pPr>
          </w:p>
          <w:p>
            <w:pPr>
              <w:pStyle w:val="TableParagraph"/>
              <w:ind w:left="188"/>
              <w:rPr>
                <w:sz w:val="20"/>
              </w:rPr>
            </w:pPr>
            <w:r>
              <w:rPr>
                <w:spacing w:val="-4"/>
                <w:sz w:val="20"/>
              </w:rPr>
              <w:t>1.4%</w:t>
            </w:r>
          </w:p>
        </w:tc>
      </w:tr>
      <w:tr>
        <w:trPr>
          <w:trHeight w:val="445" w:hRule="atLeast"/>
        </w:trPr>
        <w:tc>
          <w:tcPr>
            <w:tcW w:w="510" w:type="dxa"/>
            <w:tcBorders>
              <w:right w:val="single" w:sz="6" w:space="0" w:color="000000"/>
            </w:tcBorders>
          </w:tcPr>
          <w:p>
            <w:pPr>
              <w:pStyle w:val="TableParagraph"/>
              <w:spacing w:before="103"/>
              <w:ind w:left="97"/>
              <w:jc w:val="center"/>
              <w:rPr>
                <w:b/>
                <w:sz w:val="20"/>
              </w:rPr>
            </w:pPr>
            <w:r>
              <w:rPr>
                <w:b/>
                <w:spacing w:val="-10"/>
                <w:sz w:val="20"/>
              </w:rPr>
              <w:t>6</w:t>
            </w:r>
          </w:p>
        </w:tc>
        <w:tc>
          <w:tcPr>
            <w:tcW w:w="2720" w:type="dxa"/>
            <w:tcBorders>
              <w:top w:val="single" w:sz="6" w:space="0" w:color="000000"/>
              <w:left w:val="single" w:sz="6" w:space="0" w:color="000000"/>
              <w:bottom w:val="single" w:sz="6" w:space="0" w:color="000000"/>
              <w:right w:val="single" w:sz="6" w:space="0" w:color="000000"/>
            </w:tcBorders>
          </w:tcPr>
          <w:p>
            <w:pPr>
              <w:pStyle w:val="TableParagraph"/>
              <w:spacing w:before="103"/>
              <w:ind w:left="186"/>
              <w:rPr>
                <w:sz w:val="20"/>
              </w:rPr>
            </w:pPr>
            <w:r>
              <w:rPr>
                <w:spacing w:val="-2"/>
                <w:sz w:val="20"/>
              </w:rPr>
              <w:t>Cambridge</w:t>
            </w:r>
          </w:p>
        </w:tc>
        <w:tc>
          <w:tcPr>
            <w:tcW w:w="899" w:type="dxa"/>
            <w:tcBorders>
              <w:top w:val="single" w:sz="6" w:space="0" w:color="000000"/>
              <w:left w:val="single" w:sz="6" w:space="0" w:color="000000"/>
              <w:bottom w:val="single" w:sz="6" w:space="0" w:color="000000"/>
              <w:right w:val="single" w:sz="12" w:space="0" w:color="000000"/>
            </w:tcBorders>
          </w:tcPr>
          <w:p>
            <w:pPr>
              <w:pStyle w:val="TableParagraph"/>
              <w:spacing w:before="103"/>
              <w:ind w:left="186"/>
              <w:rPr>
                <w:sz w:val="20"/>
              </w:rPr>
            </w:pPr>
            <w:r>
              <w:rPr>
                <w:spacing w:val="-4"/>
                <w:sz w:val="20"/>
              </w:rPr>
              <w:t>5.2%</w:t>
            </w:r>
          </w:p>
        </w:tc>
        <w:tc>
          <w:tcPr>
            <w:tcW w:w="810" w:type="dxa"/>
            <w:tcBorders>
              <w:left w:val="single" w:sz="12" w:space="0" w:color="000000"/>
              <w:right w:val="single" w:sz="6" w:space="0" w:color="000000"/>
            </w:tcBorders>
          </w:tcPr>
          <w:p>
            <w:pPr>
              <w:pStyle w:val="TableParagraph"/>
              <w:spacing w:before="103"/>
              <w:ind w:left="239"/>
              <w:rPr>
                <w:b/>
                <w:sz w:val="20"/>
              </w:rPr>
            </w:pPr>
            <w:r>
              <w:rPr>
                <w:b/>
                <w:spacing w:val="-5"/>
                <w:sz w:val="20"/>
              </w:rPr>
              <w:t>12</w:t>
            </w:r>
          </w:p>
        </w:tc>
        <w:tc>
          <w:tcPr>
            <w:tcW w:w="2519" w:type="dxa"/>
            <w:tcBorders>
              <w:top w:val="single" w:sz="6" w:space="0" w:color="000000"/>
              <w:left w:val="single" w:sz="6" w:space="0" w:color="000000"/>
              <w:bottom w:val="single" w:sz="6" w:space="0" w:color="000000"/>
              <w:right w:val="single" w:sz="6" w:space="0" w:color="000000"/>
            </w:tcBorders>
          </w:tcPr>
          <w:p>
            <w:pPr>
              <w:pStyle w:val="TableParagraph"/>
              <w:spacing w:before="103"/>
              <w:ind w:left="187"/>
              <w:rPr>
                <w:sz w:val="20"/>
              </w:rPr>
            </w:pPr>
            <w:r>
              <w:rPr>
                <w:sz w:val="20"/>
              </w:rPr>
              <w:t>Fall</w:t>
            </w:r>
            <w:r>
              <w:rPr>
                <w:spacing w:val="-2"/>
                <w:sz w:val="20"/>
              </w:rPr>
              <w:t> River</w:t>
            </w:r>
          </w:p>
        </w:tc>
        <w:tc>
          <w:tcPr>
            <w:tcW w:w="989" w:type="dxa"/>
            <w:tcBorders>
              <w:top w:val="single" w:sz="6" w:space="0" w:color="000000"/>
              <w:left w:val="single" w:sz="6" w:space="0" w:color="000000"/>
              <w:bottom w:val="single" w:sz="6" w:space="0" w:color="000000"/>
              <w:right w:val="single" w:sz="6" w:space="0" w:color="000000"/>
            </w:tcBorders>
          </w:tcPr>
          <w:p>
            <w:pPr>
              <w:pStyle w:val="TableParagraph"/>
              <w:spacing w:before="103"/>
              <w:ind w:left="188"/>
              <w:rPr>
                <w:sz w:val="20"/>
              </w:rPr>
            </w:pPr>
            <w:r>
              <w:rPr>
                <w:spacing w:val="-4"/>
                <w:sz w:val="20"/>
              </w:rPr>
              <w:t>1.2%</w:t>
            </w:r>
          </w:p>
        </w:tc>
      </w:tr>
    </w:tbl>
    <w:p>
      <w:pPr>
        <w:spacing w:line="276" w:lineRule="auto" w:before="248"/>
        <w:ind w:left="464" w:right="402" w:firstLine="0"/>
        <w:jc w:val="both"/>
        <w:rPr>
          <w:i/>
          <w:sz w:val="18"/>
        </w:rPr>
      </w:pPr>
      <w:r>
        <w:rPr>
          <w:i/>
          <w:sz w:val="18"/>
        </w:rPr>
        <w:t>Table 1: CoC Data of Unaccompanied Youth (under 25) from the 2023 Annual Homelessness Assessment Report; organized</w:t>
      </w:r>
      <w:r>
        <w:rPr>
          <w:i/>
          <w:sz w:val="18"/>
        </w:rPr>
        <w:t> from highest to lowest percentage.</w:t>
      </w:r>
    </w:p>
    <w:p>
      <w:pPr>
        <w:pStyle w:val="BodyText"/>
        <w:spacing w:before="18"/>
        <w:rPr>
          <w:i/>
          <w:sz w:val="18"/>
        </w:rPr>
      </w:pPr>
    </w:p>
    <w:p>
      <w:pPr>
        <w:spacing w:before="0"/>
        <w:ind w:left="464" w:right="0" w:firstLine="0"/>
        <w:jc w:val="both"/>
        <w:rPr>
          <w:sz w:val="28"/>
        </w:rPr>
      </w:pPr>
      <w:bookmarkStart w:name="Resources and Funding" w:id="490"/>
      <w:bookmarkEnd w:id="490"/>
      <w:r>
        <w:rPr/>
      </w:r>
      <w:r>
        <w:rPr>
          <w:color w:val="365F91"/>
          <w:sz w:val="28"/>
        </w:rPr>
        <w:t>Resources</w:t>
      </w:r>
      <w:r>
        <w:rPr>
          <w:color w:val="365F91"/>
          <w:spacing w:val="-10"/>
          <w:sz w:val="28"/>
        </w:rPr>
        <w:t> </w:t>
      </w:r>
      <w:r>
        <w:rPr>
          <w:color w:val="365F91"/>
          <w:sz w:val="28"/>
        </w:rPr>
        <w:t>and</w:t>
      </w:r>
      <w:r>
        <w:rPr>
          <w:color w:val="365F91"/>
          <w:spacing w:val="-10"/>
          <w:sz w:val="28"/>
        </w:rPr>
        <w:t> </w:t>
      </w:r>
      <w:r>
        <w:rPr>
          <w:color w:val="365F91"/>
          <w:spacing w:val="-2"/>
          <w:sz w:val="28"/>
        </w:rPr>
        <w:t>Funding</w:t>
      </w:r>
    </w:p>
    <w:p>
      <w:pPr>
        <w:pStyle w:val="BodyText"/>
        <w:spacing w:line="276" w:lineRule="auto" w:before="291"/>
        <w:ind w:left="463" w:right="400"/>
        <w:jc w:val="both"/>
      </w:pPr>
      <w:r>
        <w:rPr/>
        <w:t>The Commission commends the Commonwealth’s efforts to improve homelessness and housing insecurity</w:t>
      </w:r>
      <w:r>
        <w:rPr>
          <w:spacing w:val="-13"/>
        </w:rPr>
        <w:t> </w:t>
      </w:r>
      <w:r>
        <w:rPr/>
        <w:t>resources</w:t>
      </w:r>
      <w:r>
        <w:rPr>
          <w:spacing w:val="-11"/>
        </w:rPr>
        <w:t> </w:t>
      </w:r>
      <w:r>
        <w:rPr/>
        <w:t>that</w:t>
      </w:r>
      <w:r>
        <w:rPr>
          <w:spacing w:val="-13"/>
        </w:rPr>
        <w:t> </w:t>
      </w:r>
      <w:r>
        <w:rPr/>
        <w:t>support</w:t>
      </w:r>
      <w:r>
        <w:rPr>
          <w:spacing w:val="-12"/>
        </w:rPr>
        <w:t> </w:t>
      </w:r>
      <w:r>
        <w:rPr/>
        <w:t>youth</w:t>
      </w:r>
      <w:r>
        <w:rPr>
          <w:spacing w:val="-11"/>
        </w:rPr>
        <w:t> </w:t>
      </w:r>
      <w:r>
        <w:rPr/>
        <w:t>experiencing</w:t>
      </w:r>
      <w:r>
        <w:rPr>
          <w:spacing w:val="-11"/>
        </w:rPr>
        <w:t> </w:t>
      </w:r>
      <w:r>
        <w:rPr/>
        <w:t>homelessness</w:t>
      </w:r>
      <w:r>
        <w:rPr>
          <w:spacing w:val="-13"/>
        </w:rPr>
        <w:t> </w:t>
      </w:r>
      <w:r>
        <w:rPr/>
        <w:t>and</w:t>
      </w:r>
      <w:r>
        <w:rPr>
          <w:spacing w:val="-11"/>
        </w:rPr>
        <w:t> </w:t>
      </w:r>
      <w:r>
        <w:rPr/>
        <w:t>housing</w:t>
      </w:r>
      <w:r>
        <w:rPr>
          <w:spacing w:val="-12"/>
        </w:rPr>
        <w:t> </w:t>
      </w:r>
      <w:r>
        <w:rPr/>
        <w:t>insecurity,</w:t>
      </w:r>
      <w:r>
        <w:rPr>
          <w:spacing w:val="-12"/>
        </w:rPr>
        <w:t> </w:t>
      </w:r>
      <w:r>
        <w:rPr/>
        <w:t>specifically for funding that meets the needs of LGBTQ youth. Over the last fiscal year, the Commonwealth of Massachusetts was awarded funding by the state and federal government for programming that combats youth homelessness and works to improve resources for homelessness prevention.</w:t>
      </w:r>
    </w:p>
    <w:p>
      <w:pPr>
        <w:spacing w:after="0" w:line="276" w:lineRule="auto"/>
        <w:jc w:val="both"/>
        <w:sectPr>
          <w:pgSz w:w="12240" w:h="15840"/>
          <w:pgMar w:header="765" w:footer="1127" w:top="1280" w:bottom="1340" w:left="1120" w:right="1180"/>
        </w:sectPr>
      </w:pPr>
    </w:p>
    <w:p>
      <w:pPr>
        <w:spacing w:line="252" w:lineRule="auto" w:before="90"/>
        <w:ind w:left="1269" w:right="1207" w:hanging="1"/>
        <w:jc w:val="center"/>
        <w:rPr>
          <w:rFonts w:ascii="Cambria" w:hAnsi="Cambria"/>
          <w:i/>
          <w:sz w:val="21"/>
        </w:rPr>
      </w:pPr>
      <w:r>
        <w:rPr>
          <w:rFonts w:ascii="Cambria" w:hAnsi="Cambria"/>
          <w:i/>
          <w:color w:val="4F81BC"/>
          <w:sz w:val="21"/>
        </w:rPr>
        <w:t>“We need more housing stability. I’m HIV-positive and that brings challenges too. The</w:t>
      </w:r>
      <w:r>
        <w:rPr>
          <w:rFonts w:ascii="Cambria" w:hAnsi="Cambria"/>
          <w:i/>
          <w:color w:val="4F81BC"/>
          <w:sz w:val="21"/>
        </w:rPr>
        <w:t> last thing people want to worry about is where they are sleeping at</w:t>
      </w:r>
      <w:r>
        <w:rPr>
          <w:rFonts w:ascii="Cambria" w:hAnsi="Cambria"/>
          <w:i/>
          <w:color w:val="4F81BC"/>
          <w:spacing w:val="-1"/>
          <w:sz w:val="21"/>
        </w:rPr>
        <w:t> </w:t>
      </w:r>
      <w:r>
        <w:rPr>
          <w:rFonts w:ascii="Cambria" w:hAnsi="Cambria"/>
          <w:i/>
          <w:color w:val="4F81BC"/>
          <w:sz w:val="21"/>
        </w:rPr>
        <w:t>night, and a lot of homelessness</w:t>
      </w:r>
      <w:r>
        <w:rPr>
          <w:rFonts w:ascii="Cambria" w:hAnsi="Cambria"/>
          <w:i/>
          <w:color w:val="4F81BC"/>
          <w:spacing w:val="-5"/>
          <w:sz w:val="21"/>
        </w:rPr>
        <w:t> </w:t>
      </w:r>
      <w:r>
        <w:rPr>
          <w:rFonts w:ascii="Cambria" w:hAnsi="Cambria"/>
          <w:i/>
          <w:color w:val="4F81BC"/>
          <w:sz w:val="21"/>
        </w:rPr>
        <w:t>leads</w:t>
      </w:r>
      <w:r>
        <w:rPr>
          <w:rFonts w:ascii="Cambria" w:hAnsi="Cambria"/>
          <w:i/>
          <w:color w:val="4F81BC"/>
          <w:spacing w:val="-3"/>
          <w:sz w:val="21"/>
        </w:rPr>
        <w:t> </w:t>
      </w:r>
      <w:r>
        <w:rPr>
          <w:rFonts w:ascii="Cambria" w:hAnsi="Cambria"/>
          <w:i/>
          <w:color w:val="4F81BC"/>
          <w:sz w:val="21"/>
        </w:rPr>
        <w:t>to</w:t>
      </w:r>
      <w:r>
        <w:rPr>
          <w:rFonts w:ascii="Cambria" w:hAnsi="Cambria"/>
          <w:i/>
          <w:color w:val="4F81BC"/>
          <w:spacing w:val="-4"/>
          <w:sz w:val="21"/>
        </w:rPr>
        <w:t> </w:t>
      </w:r>
      <w:r>
        <w:rPr>
          <w:rFonts w:ascii="Cambria" w:hAnsi="Cambria"/>
          <w:i/>
          <w:color w:val="4F81BC"/>
          <w:sz w:val="21"/>
        </w:rPr>
        <w:t>a</w:t>
      </w:r>
      <w:r>
        <w:rPr>
          <w:rFonts w:ascii="Cambria" w:hAnsi="Cambria"/>
          <w:i/>
          <w:color w:val="4F81BC"/>
          <w:spacing w:val="-3"/>
          <w:sz w:val="21"/>
        </w:rPr>
        <w:t> </w:t>
      </w:r>
      <w:r>
        <w:rPr>
          <w:rFonts w:ascii="Cambria" w:hAnsi="Cambria"/>
          <w:i/>
          <w:color w:val="4F81BC"/>
          <w:sz w:val="21"/>
        </w:rPr>
        <w:t>lot</w:t>
      </w:r>
      <w:r>
        <w:rPr>
          <w:rFonts w:ascii="Cambria" w:hAnsi="Cambria"/>
          <w:i/>
          <w:color w:val="4F81BC"/>
          <w:spacing w:val="-5"/>
          <w:sz w:val="21"/>
        </w:rPr>
        <w:t> </w:t>
      </w:r>
      <w:r>
        <w:rPr>
          <w:rFonts w:ascii="Cambria" w:hAnsi="Cambria"/>
          <w:i/>
          <w:color w:val="4F81BC"/>
          <w:sz w:val="21"/>
        </w:rPr>
        <w:t>of</w:t>
      </w:r>
      <w:r>
        <w:rPr>
          <w:rFonts w:ascii="Cambria" w:hAnsi="Cambria"/>
          <w:i/>
          <w:color w:val="4F81BC"/>
          <w:spacing w:val="-3"/>
          <w:sz w:val="21"/>
        </w:rPr>
        <w:t> </w:t>
      </w:r>
      <w:r>
        <w:rPr>
          <w:rFonts w:ascii="Cambria" w:hAnsi="Cambria"/>
          <w:i/>
          <w:color w:val="4F81BC"/>
          <w:sz w:val="21"/>
        </w:rPr>
        <w:t>damaging</w:t>
      </w:r>
      <w:r>
        <w:rPr>
          <w:rFonts w:ascii="Cambria" w:hAnsi="Cambria"/>
          <w:i/>
          <w:color w:val="4F81BC"/>
          <w:spacing w:val="-3"/>
          <w:sz w:val="21"/>
        </w:rPr>
        <w:t> </w:t>
      </w:r>
      <w:r>
        <w:rPr>
          <w:rFonts w:ascii="Cambria" w:hAnsi="Cambria"/>
          <w:i/>
          <w:color w:val="4F81BC"/>
          <w:sz w:val="21"/>
        </w:rPr>
        <w:t>things.</w:t>
      </w:r>
      <w:r>
        <w:rPr>
          <w:rFonts w:ascii="Cambria" w:hAnsi="Cambria"/>
          <w:i/>
          <w:color w:val="4F81BC"/>
          <w:spacing w:val="-3"/>
          <w:sz w:val="21"/>
        </w:rPr>
        <w:t> </w:t>
      </w:r>
      <w:r>
        <w:rPr>
          <w:rFonts w:ascii="Cambria" w:hAnsi="Cambria"/>
          <w:i/>
          <w:color w:val="4F81BC"/>
          <w:sz w:val="21"/>
        </w:rPr>
        <w:t>Survival</w:t>
      </w:r>
      <w:r>
        <w:rPr>
          <w:rFonts w:ascii="Cambria" w:hAnsi="Cambria"/>
          <w:i/>
          <w:color w:val="4F81BC"/>
          <w:spacing w:val="-2"/>
          <w:sz w:val="21"/>
        </w:rPr>
        <w:t> </w:t>
      </w:r>
      <w:r>
        <w:rPr>
          <w:rFonts w:ascii="Cambria" w:hAnsi="Cambria"/>
          <w:i/>
          <w:color w:val="4F81BC"/>
          <w:sz w:val="21"/>
        </w:rPr>
        <w:t>sex</w:t>
      </w:r>
      <w:r>
        <w:rPr>
          <w:rFonts w:ascii="Cambria" w:hAnsi="Cambria"/>
          <w:i/>
          <w:color w:val="4F81BC"/>
          <w:spacing w:val="-4"/>
          <w:sz w:val="21"/>
        </w:rPr>
        <w:t> </w:t>
      </w:r>
      <w:r>
        <w:rPr>
          <w:rFonts w:ascii="Cambria" w:hAnsi="Cambria"/>
          <w:i/>
          <w:color w:val="4F81BC"/>
          <w:sz w:val="21"/>
        </w:rPr>
        <w:t>work</w:t>
      </w:r>
      <w:r>
        <w:rPr>
          <w:rFonts w:ascii="Cambria" w:hAnsi="Cambria"/>
          <w:i/>
          <w:color w:val="4F81BC"/>
          <w:spacing w:val="-3"/>
          <w:sz w:val="21"/>
        </w:rPr>
        <w:t> </w:t>
      </w:r>
      <w:r>
        <w:rPr>
          <w:rFonts w:ascii="Cambria" w:hAnsi="Cambria"/>
          <w:i/>
          <w:color w:val="4F81BC"/>
          <w:sz w:val="21"/>
        </w:rPr>
        <w:t>was</w:t>
      </w:r>
      <w:r>
        <w:rPr>
          <w:rFonts w:ascii="Cambria" w:hAnsi="Cambria"/>
          <w:i/>
          <w:color w:val="4F81BC"/>
          <w:spacing w:val="-3"/>
          <w:sz w:val="21"/>
        </w:rPr>
        <w:t> </w:t>
      </w:r>
      <w:r>
        <w:rPr>
          <w:rFonts w:ascii="Cambria" w:hAnsi="Cambria"/>
          <w:i/>
          <w:color w:val="4F81BC"/>
          <w:sz w:val="21"/>
        </w:rPr>
        <w:t>the</w:t>
      </w:r>
      <w:r>
        <w:rPr>
          <w:rFonts w:ascii="Cambria" w:hAnsi="Cambria"/>
          <w:i/>
          <w:color w:val="4F81BC"/>
          <w:spacing w:val="-3"/>
          <w:sz w:val="21"/>
        </w:rPr>
        <w:t> </w:t>
      </w:r>
      <w:r>
        <w:rPr>
          <w:rFonts w:ascii="Cambria" w:hAnsi="Cambria"/>
          <w:i/>
          <w:color w:val="4F81BC"/>
          <w:sz w:val="21"/>
        </w:rPr>
        <w:t>only</w:t>
      </w:r>
      <w:r>
        <w:rPr>
          <w:rFonts w:ascii="Cambria" w:hAnsi="Cambria"/>
          <w:i/>
          <w:color w:val="4F81BC"/>
          <w:spacing w:val="-3"/>
          <w:sz w:val="21"/>
        </w:rPr>
        <w:t> </w:t>
      </w:r>
      <w:r>
        <w:rPr>
          <w:rFonts w:ascii="Cambria" w:hAnsi="Cambria"/>
          <w:i/>
          <w:color w:val="4F81BC"/>
          <w:sz w:val="21"/>
        </w:rPr>
        <w:t>work</w:t>
      </w:r>
      <w:r>
        <w:rPr>
          <w:rFonts w:ascii="Cambria" w:hAnsi="Cambria"/>
          <w:i/>
          <w:color w:val="4F81BC"/>
          <w:spacing w:val="-3"/>
          <w:sz w:val="21"/>
        </w:rPr>
        <w:t> </w:t>
      </w:r>
      <w:r>
        <w:rPr>
          <w:rFonts w:ascii="Cambria" w:hAnsi="Cambria"/>
          <w:i/>
          <w:color w:val="4F81BC"/>
          <w:sz w:val="21"/>
        </w:rPr>
        <w:t>a lot of BIPOC people knew.” - E</w:t>
      </w:r>
    </w:p>
    <w:p>
      <w:pPr>
        <w:spacing w:before="240"/>
        <w:ind w:left="464" w:right="0" w:firstLine="0"/>
        <w:jc w:val="both"/>
        <w:rPr>
          <w:sz w:val="26"/>
        </w:rPr>
      </w:pPr>
      <w:bookmarkStart w:name="State Funding" w:id="491"/>
      <w:bookmarkEnd w:id="491"/>
      <w:r>
        <w:rPr/>
      </w:r>
      <w:r>
        <w:rPr>
          <w:color w:val="404040"/>
          <w:sz w:val="26"/>
        </w:rPr>
        <w:t>State</w:t>
      </w:r>
      <w:r>
        <w:rPr>
          <w:color w:val="404040"/>
          <w:spacing w:val="-2"/>
          <w:sz w:val="26"/>
        </w:rPr>
        <w:t> Funding</w:t>
      </w:r>
    </w:p>
    <w:p>
      <w:pPr>
        <w:pStyle w:val="BodyText"/>
        <w:spacing w:line="276" w:lineRule="auto" w:before="288"/>
        <w:ind w:left="464" w:right="403"/>
        <w:jc w:val="both"/>
      </w:pPr>
      <w:r>
        <w:rPr/>
        <w:t>In the last year, the Commonwealth has made great strides in unveiling programs and initiatives that support the eradication of LGBTQ youth homelessness in the Commonwealth. In FY24, the Commonwealth</w:t>
      </w:r>
      <w:r>
        <w:rPr>
          <w:spacing w:val="-4"/>
        </w:rPr>
        <w:t> </w:t>
      </w:r>
      <w:r>
        <w:rPr/>
        <w:t>awarded</w:t>
      </w:r>
      <w:r>
        <w:rPr>
          <w:spacing w:val="-3"/>
        </w:rPr>
        <w:t> </w:t>
      </w:r>
      <w:r>
        <w:rPr/>
        <w:t>$11</w:t>
      </w:r>
      <w:r>
        <w:rPr>
          <w:spacing w:val="-4"/>
        </w:rPr>
        <w:t> </w:t>
      </w:r>
      <w:r>
        <w:rPr/>
        <w:t>million</w:t>
      </w:r>
      <w:r>
        <w:rPr>
          <w:spacing w:val="-4"/>
        </w:rPr>
        <w:t> </w:t>
      </w:r>
      <w:r>
        <w:rPr/>
        <w:t>in</w:t>
      </w:r>
      <w:r>
        <w:rPr>
          <w:spacing w:val="-3"/>
        </w:rPr>
        <w:t> </w:t>
      </w:r>
      <w:r>
        <w:rPr/>
        <w:t>funding</w:t>
      </w:r>
      <w:r>
        <w:rPr>
          <w:spacing w:val="-3"/>
        </w:rPr>
        <w:t> </w:t>
      </w:r>
      <w:r>
        <w:rPr/>
        <w:t>to</w:t>
      </w:r>
      <w:r>
        <w:rPr>
          <w:spacing w:val="-3"/>
        </w:rPr>
        <w:t> </w:t>
      </w:r>
      <w:r>
        <w:rPr/>
        <w:t>support</w:t>
      </w:r>
      <w:r>
        <w:rPr>
          <w:spacing w:val="-4"/>
        </w:rPr>
        <w:t> </w:t>
      </w:r>
      <w:r>
        <w:rPr/>
        <w:t>providers</w:t>
      </w:r>
      <w:r>
        <w:rPr>
          <w:spacing w:val="-4"/>
        </w:rPr>
        <w:t> </w:t>
      </w:r>
      <w:r>
        <w:rPr/>
        <w:t>to</w:t>
      </w:r>
      <w:r>
        <w:rPr>
          <w:spacing w:val="-3"/>
        </w:rPr>
        <w:t> </w:t>
      </w:r>
      <w:r>
        <w:rPr/>
        <w:t>offer</w:t>
      </w:r>
      <w:r>
        <w:rPr>
          <w:spacing w:val="-4"/>
        </w:rPr>
        <w:t> </w:t>
      </w:r>
      <w:r>
        <w:rPr/>
        <w:t>housing</w:t>
      </w:r>
      <w:r>
        <w:rPr>
          <w:spacing w:val="-4"/>
        </w:rPr>
        <w:t> </w:t>
      </w:r>
      <w:r>
        <w:rPr/>
        <w:t>and</w:t>
      </w:r>
      <w:r>
        <w:rPr>
          <w:spacing w:val="-4"/>
        </w:rPr>
        <w:t> </w:t>
      </w:r>
      <w:r>
        <w:rPr/>
        <w:t>services</w:t>
      </w:r>
      <w:r>
        <w:rPr>
          <w:spacing w:val="-4"/>
        </w:rPr>
        <w:t> </w:t>
      </w:r>
      <w:r>
        <w:rPr/>
        <w:t>for </w:t>
      </w:r>
      <w:r>
        <w:rPr>
          <w:spacing w:val="-2"/>
        </w:rPr>
        <w:t>youth</w:t>
      </w:r>
      <w:r>
        <w:rPr>
          <w:spacing w:val="-5"/>
        </w:rPr>
        <w:t> </w:t>
      </w:r>
      <w:r>
        <w:rPr>
          <w:spacing w:val="-2"/>
        </w:rPr>
        <w:t>and</w:t>
      </w:r>
      <w:r>
        <w:rPr>
          <w:spacing w:val="-5"/>
        </w:rPr>
        <w:t> </w:t>
      </w:r>
      <w:r>
        <w:rPr>
          <w:spacing w:val="-2"/>
        </w:rPr>
        <w:t>young</w:t>
      </w:r>
      <w:r>
        <w:rPr>
          <w:spacing w:val="-5"/>
        </w:rPr>
        <w:t> </w:t>
      </w:r>
      <w:r>
        <w:rPr>
          <w:spacing w:val="-2"/>
        </w:rPr>
        <w:t>adults</w:t>
      </w:r>
      <w:r>
        <w:rPr>
          <w:spacing w:val="-5"/>
        </w:rPr>
        <w:t> </w:t>
      </w:r>
      <w:r>
        <w:rPr>
          <w:spacing w:val="-2"/>
        </w:rPr>
        <w:t>who</w:t>
      </w:r>
      <w:r>
        <w:rPr>
          <w:spacing w:val="-5"/>
        </w:rPr>
        <w:t> </w:t>
      </w:r>
      <w:r>
        <w:rPr>
          <w:spacing w:val="-2"/>
        </w:rPr>
        <w:t>are</w:t>
      </w:r>
      <w:r>
        <w:rPr>
          <w:spacing w:val="-5"/>
        </w:rPr>
        <w:t> </w:t>
      </w:r>
      <w:r>
        <w:rPr>
          <w:spacing w:val="-2"/>
        </w:rPr>
        <w:t>homeless</w:t>
      </w:r>
      <w:r>
        <w:rPr>
          <w:spacing w:val="-5"/>
        </w:rPr>
        <w:t> </w:t>
      </w:r>
      <w:r>
        <w:rPr>
          <w:spacing w:val="-2"/>
        </w:rPr>
        <w:t>or</w:t>
      </w:r>
      <w:r>
        <w:rPr>
          <w:spacing w:val="-5"/>
        </w:rPr>
        <w:t> </w:t>
      </w:r>
      <w:r>
        <w:rPr>
          <w:spacing w:val="-2"/>
        </w:rPr>
        <w:t>at</w:t>
      </w:r>
      <w:r>
        <w:rPr>
          <w:spacing w:val="-5"/>
        </w:rPr>
        <w:t> </w:t>
      </w:r>
      <w:r>
        <w:rPr>
          <w:spacing w:val="-2"/>
        </w:rPr>
        <w:t>risk</w:t>
      </w:r>
      <w:r>
        <w:rPr>
          <w:spacing w:val="-5"/>
        </w:rPr>
        <w:t> </w:t>
      </w:r>
      <w:r>
        <w:rPr>
          <w:spacing w:val="-2"/>
        </w:rPr>
        <w:t>of</w:t>
      </w:r>
      <w:r>
        <w:rPr>
          <w:spacing w:val="-5"/>
        </w:rPr>
        <w:t> </w:t>
      </w:r>
      <w:r>
        <w:rPr>
          <w:spacing w:val="-2"/>
        </w:rPr>
        <w:t>homelessness.</w:t>
      </w:r>
      <w:r>
        <w:rPr>
          <w:spacing w:val="-5"/>
        </w:rPr>
        <w:t> </w:t>
      </w:r>
      <w:r>
        <w:rPr>
          <w:spacing w:val="-2"/>
        </w:rPr>
        <w:t>Funding</w:t>
      </w:r>
      <w:r>
        <w:rPr>
          <w:spacing w:val="-4"/>
        </w:rPr>
        <w:t> </w:t>
      </w:r>
      <w:r>
        <w:rPr>
          <w:spacing w:val="-2"/>
        </w:rPr>
        <w:t>was</w:t>
      </w:r>
      <w:r>
        <w:rPr>
          <w:spacing w:val="-5"/>
        </w:rPr>
        <w:t> </w:t>
      </w:r>
      <w:r>
        <w:rPr>
          <w:spacing w:val="-2"/>
        </w:rPr>
        <w:t>awarded</w:t>
      </w:r>
      <w:r>
        <w:rPr>
          <w:spacing w:val="-5"/>
        </w:rPr>
        <w:t> </w:t>
      </w:r>
      <w:r>
        <w:rPr>
          <w:spacing w:val="-2"/>
        </w:rPr>
        <w:t>for</w:t>
      </w:r>
      <w:r>
        <w:rPr>
          <w:spacing w:val="-5"/>
        </w:rPr>
        <w:t> </w:t>
      </w:r>
      <w:r>
        <w:rPr>
          <w:spacing w:val="-2"/>
        </w:rPr>
        <w:t>services </w:t>
      </w:r>
      <w:r>
        <w:rPr/>
        <w:t>to support youth experiencing homelessness by providing housing search assistance, outreach and support, and transitional living programs for minors. For a complete list of the youth homelessness services funded in FY24, please see the List of Services for </w:t>
      </w:r>
      <w:hyperlink r:id="rId446">
        <w:r>
          <w:rPr>
            <w:color w:val="1154CC"/>
            <w:u w:val="single" w:color="1154CC"/>
          </w:rPr>
          <w:t>Contracted Youth Service Providers</w:t>
        </w:r>
        <w:r>
          <w:rPr>
            <w:u w:val="none"/>
          </w:rPr>
          <w:t>.</w:t>
        </w:r>
      </w:hyperlink>
    </w:p>
    <w:p>
      <w:pPr>
        <w:pStyle w:val="BodyText"/>
        <w:spacing w:line="276" w:lineRule="auto" w:before="241"/>
        <w:ind w:left="464" w:right="400"/>
        <w:jc w:val="both"/>
      </w:pPr>
      <w:r>
        <w:rPr/>
        <w:t>The</w:t>
      </w:r>
      <w:r>
        <w:rPr>
          <w:spacing w:val="-4"/>
        </w:rPr>
        <w:t> </w:t>
      </w:r>
      <w:r>
        <w:rPr/>
        <w:t>lead</w:t>
      </w:r>
      <w:r>
        <w:rPr>
          <w:spacing w:val="-3"/>
        </w:rPr>
        <w:t> </w:t>
      </w:r>
      <w:r>
        <w:rPr/>
        <w:t>regional</w:t>
      </w:r>
      <w:r>
        <w:rPr>
          <w:spacing w:val="-4"/>
        </w:rPr>
        <w:t> </w:t>
      </w:r>
      <w:r>
        <w:rPr/>
        <w:t>agencies</w:t>
      </w:r>
      <w:r>
        <w:rPr>
          <w:spacing w:val="-2"/>
        </w:rPr>
        <w:t> </w:t>
      </w:r>
      <w:r>
        <w:rPr/>
        <w:t>across</w:t>
      </w:r>
      <w:r>
        <w:rPr>
          <w:spacing w:val="-4"/>
        </w:rPr>
        <w:t> </w:t>
      </w:r>
      <w:r>
        <w:rPr/>
        <w:t>the</w:t>
      </w:r>
      <w:r>
        <w:rPr>
          <w:spacing w:val="-4"/>
        </w:rPr>
        <w:t> </w:t>
      </w:r>
      <w:r>
        <w:rPr/>
        <w:t>Commonwealth</w:t>
      </w:r>
      <w:r>
        <w:rPr>
          <w:spacing w:val="-4"/>
        </w:rPr>
        <w:t> </w:t>
      </w:r>
      <w:r>
        <w:rPr/>
        <w:t>for</w:t>
      </w:r>
      <w:r>
        <w:rPr>
          <w:spacing w:val="-4"/>
        </w:rPr>
        <w:t> </w:t>
      </w:r>
      <w:r>
        <w:rPr/>
        <w:t>youth</w:t>
      </w:r>
      <w:r>
        <w:rPr>
          <w:spacing w:val="-4"/>
        </w:rPr>
        <w:t> </w:t>
      </w:r>
      <w:r>
        <w:rPr/>
        <w:t>homelessness</w:t>
      </w:r>
      <w:r>
        <w:rPr>
          <w:spacing w:val="-4"/>
        </w:rPr>
        <w:t> </w:t>
      </w:r>
      <w:r>
        <w:rPr/>
        <w:t>support</w:t>
      </w:r>
      <w:r>
        <w:rPr>
          <w:spacing w:val="-4"/>
        </w:rPr>
        <w:t> </w:t>
      </w:r>
      <w:r>
        <w:rPr/>
        <w:t>are</w:t>
      </w:r>
      <w:r>
        <w:rPr>
          <w:spacing w:val="-4"/>
        </w:rPr>
        <w:t> </w:t>
      </w:r>
      <w:r>
        <w:rPr/>
        <w:t>Barnstable County</w:t>
      </w:r>
      <w:r>
        <w:rPr>
          <w:spacing w:val="-2"/>
        </w:rPr>
        <w:t> </w:t>
      </w:r>
      <w:r>
        <w:rPr/>
        <w:t>Department</w:t>
      </w:r>
      <w:r>
        <w:rPr>
          <w:spacing w:val="-2"/>
        </w:rPr>
        <w:t> </w:t>
      </w:r>
      <w:r>
        <w:rPr/>
        <w:t>of</w:t>
      </w:r>
      <w:r>
        <w:rPr>
          <w:spacing w:val="-1"/>
        </w:rPr>
        <w:t> </w:t>
      </w:r>
      <w:r>
        <w:rPr/>
        <w:t>Human</w:t>
      </w:r>
      <w:r>
        <w:rPr>
          <w:spacing w:val="-2"/>
        </w:rPr>
        <w:t> </w:t>
      </w:r>
      <w:r>
        <w:rPr/>
        <w:t>Services,</w:t>
      </w:r>
      <w:r>
        <w:rPr>
          <w:spacing w:val="-1"/>
        </w:rPr>
        <w:t> </w:t>
      </w:r>
      <w:r>
        <w:rPr/>
        <w:t>Bridge</w:t>
      </w:r>
      <w:r>
        <w:rPr>
          <w:spacing w:val="-2"/>
        </w:rPr>
        <w:t> </w:t>
      </w:r>
      <w:r>
        <w:rPr/>
        <w:t>Over Troubled</w:t>
      </w:r>
      <w:r>
        <w:rPr>
          <w:spacing w:val="-2"/>
        </w:rPr>
        <w:t> </w:t>
      </w:r>
      <w:r>
        <w:rPr/>
        <w:t>Waters,</w:t>
      </w:r>
      <w:r>
        <w:rPr>
          <w:spacing w:val="-1"/>
        </w:rPr>
        <w:t> </w:t>
      </w:r>
      <w:r>
        <w:rPr/>
        <w:t>Catholic</w:t>
      </w:r>
      <w:r>
        <w:rPr>
          <w:spacing w:val="-1"/>
        </w:rPr>
        <w:t> </w:t>
      </w:r>
      <w:r>
        <w:rPr/>
        <w:t>Social</w:t>
      </w:r>
      <w:r>
        <w:rPr>
          <w:spacing w:val="-2"/>
        </w:rPr>
        <w:t> </w:t>
      </w:r>
      <w:r>
        <w:rPr/>
        <w:t>Services,</w:t>
      </w:r>
      <w:r>
        <w:rPr>
          <w:spacing w:val="-1"/>
        </w:rPr>
        <w:t> </w:t>
      </w:r>
      <w:r>
        <w:rPr/>
        <w:t>City</w:t>
      </w:r>
      <w:r>
        <w:rPr>
          <w:spacing w:val="-2"/>
        </w:rPr>
        <w:t> </w:t>
      </w:r>
      <w:r>
        <w:rPr/>
        <w:t>of Springfield,</w:t>
      </w:r>
      <w:r>
        <w:rPr>
          <w:spacing w:val="35"/>
        </w:rPr>
        <w:t> </w:t>
      </w:r>
      <w:r>
        <w:rPr/>
        <w:t>Community</w:t>
      </w:r>
      <w:r>
        <w:rPr>
          <w:spacing w:val="35"/>
        </w:rPr>
        <w:t> </w:t>
      </w:r>
      <w:r>
        <w:rPr/>
        <w:t>Action</w:t>
      </w:r>
      <w:r>
        <w:rPr>
          <w:spacing w:val="36"/>
        </w:rPr>
        <w:t> </w:t>
      </w:r>
      <w:r>
        <w:rPr/>
        <w:t>Pioneer</w:t>
      </w:r>
      <w:r>
        <w:rPr>
          <w:spacing w:val="35"/>
        </w:rPr>
        <w:t> </w:t>
      </w:r>
      <w:r>
        <w:rPr/>
        <w:t>Valley,</w:t>
      </w:r>
      <w:r>
        <w:rPr>
          <w:spacing w:val="35"/>
        </w:rPr>
        <w:t> </w:t>
      </w:r>
      <w:r>
        <w:rPr/>
        <w:t>Community</w:t>
      </w:r>
      <w:r>
        <w:rPr>
          <w:spacing w:val="36"/>
        </w:rPr>
        <w:t> </w:t>
      </w:r>
      <w:r>
        <w:rPr/>
        <w:t>Teamwork,</w:t>
      </w:r>
      <w:r>
        <w:rPr>
          <w:spacing w:val="35"/>
        </w:rPr>
        <w:t> </w:t>
      </w:r>
      <w:r>
        <w:rPr/>
        <w:t>Father</w:t>
      </w:r>
      <w:r>
        <w:rPr>
          <w:spacing w:val="35"/>
        </w:rPr>
        <w:t> </w:t>
      </w:r>
      <w:r>
        <w:rPr/>
        <w:t>Bill’s</w:t>
      </w:r>
      <w:r>
        <w:rPr>
          <w:spacing w:val="35"/>
        </w:rPr>
        <w:t> </w:t>
      </w:r>
      <w:r>
        <w:rPr/>
        <w:t>&amp;</w:t>
      </w:r>
      <w:r>
        <w:rPr>
          <w:spacing w:val="35"/>
        </w:rPr>
        <w:t> </w:t>
      </w:r>
      <w:r>
        <w:rPr/>
        <w:t>MainSpring,</w:t>
      </w:r>
    </w:p>
    <w:p>
      <w:pPr>
        <w:pStyle w:val="BodyText"/>
        <w:spacing w:line="276" w:lineRule="auto"/>
        <w:ind w:left="463" w:right="401"/>
        <w:jc w:val="both"/>
      </w:pPr>
      <w:r>
        <w:rPr/>
        <w:t>L.U.K.</w:t>
      </w:r>
      <w:r>
        <w:rPr>
          <w:spacing w:val="-5"/>
        </w:rPr>
        <w:t> </w:t>
      </w:r>
      <w:r>
        <w:rPr/>
        <w:t>Crisis</w:t>
      </w:r>
      <w:r>
        <w:rPr>
          <w:spacing w:val="-5"/>
        </w:rPr>
        <w:t> </w:t>
      </w:r>
      <w:r>
        <w:rPr/>
        <w:t>Center,</w:t>
      </w:r>
      <w:r>
        <w:rPr>
          <w:spacing w:val="-5"/>
        </w:rPr>
        <w:t> </w:t>
      </w:r>
      <w:r>
        <w:rPr/>
        <w:t>Inc.,</w:t>
      </w:r>
      <w:r>
        <w:rPr>
          <w:spacing w:val="-5"/>
        </w:rPr>
        <w:t> </w:t>
      </w:r>
      <w:r>
        <w:rPr/>
        <w:t>Lynn</w:t>
      </w:r>
      <w:r>
        <w:rPr>
          <w:spacing w:val="-5"/>
        </w:rPr>
        <w:t> </w:t>
      </w:r>
      <w:r>
        <w:rPr/>
        <w:t>Housing</w:t>
      </w:r>
      <w:r>
        <w:rPr>
          <w:spacing w:val="-5"/>
        </w:rPr>
        <w:t> </w:t>
      </w:r>
      <w:r>
        <w:rPr/>
        <w:t>Authority</w:t>
      </w:r>
      <w:r>
        <w:rPr>
          <w:spacing w:val="-5"/>
        </w:rPr>
        <w:t> </w:t>
      </w:r>
      <w:r>
        <w:rPr/>
        <w:t>&amp;</w:t>
      </w:r>
      <w:r>
        <w:rPr>
          <w:spacing w:val="-5"/>
        </w:rPr>
        <w:t> </w:t>
      </w:r>
      <w:r>
        <w:rPr/>
        <w:t>Neighborhood</w:t>
      </w:r>
      <w:r>
        <w:rPr>
          <w:spacing w:val="-5"/>
        </w:rPr>
        <w:t> </w:t>
      </w:r>
      <w:r>
        <w:rPr/>
        <w:t>Development,</w:t>
      </w:r>
      <w:r>
        <w:rPr>
          <w:spacing w:val="-5"/>
        </w:rPr>
        <w:t> </w:t>
      </w:r>
      <w:r>
        <w:rPr/>
        <w:t>and</w:t>
      </w:r>
      <w:r>
        <w:rPr>
          <w:spacing w:val="-5"/>
        </w:rPr>
        <w:t> </w:t>
      </w:r>
      <w:r>
        <w:rPr/>
        <w:t>South</w:t>
      </w:r>
      <w:r>
        <w:rPr>
          <w:spacing w:val="-5"/>
        </w:rPr>
        <w:t> </w:t>
      </w:r>
      <w:r>
        <w:rPr/>
        <w:t>Middlesex Opportunity Council. It is recommended that these services are analyzed when developing LGBTQ- affirming</w:t>
      </w:r>
      <w:r>
        <w:rPr>
          <w:spacing w:val="-9"/>
        </w:rPr>
        <w:t> </w:t>
      </w:r>
      <w:r>
        <w:rPr/>
        <w:t>standards</w:t>
      </w:r>
      <w:r>
        <w:rPr>
          <w:spacing w:val="-8"/>
        </w:rPr>
        <w:t> </w:t>
      </w:r>
      <w:r>
        <w:rPr/>
        <w:t>of</w:t>
      </w:r>
      <w:r>
        <w:rPr>
          <w:spacing w:val="-9"/>
        </w:rPr>
        <w:t> </w:t>
      </w:r>
      <w:r>
        <w:rPr/>
        <w:t>practice</w:t>
      </w:r>
      <w:r>
        <w:rPr>
          <w:spacing w:val="-9"/>
        </w:rPr>
        <w:t> </w:t>
      </w:r>
      <w:r>
        <w:rPr/>
        <w:t>for</w:t>
      </w:r>
      <w:r>
        <w:rPr>
          <w:spacing w:val="-9"/>
        </w:rPr>
        <w:t> </w:t>
      </w:r>
      <w:r>
        <w:rPr/>
        <w:t>shelter</w:t>
      </w:r>
      <w:r>
        <w:rPr>
          <w:spacing w:val="-9"/>
        </w:rPr>
        <w:t> </w:t>
      </w:r>
      <w:r>
        <w:rPr/>
        <w:t>and</w:t>
      </w:r>
      <w:r>
        <w:rPr>
          <w:spacing w:val="-8"/>
        </w:rPr>
        <w:t> </w:t>
      </w:r>
      <w:r>
        <w:rPr/>
        <w:t>drop-in</w:t>
      </w:r>
      <w:r>
        <w:rPr>
          <w:spacing w:val="-9"/>
        </w:rPr>
        <w:t> </w:t>
      </w:r>
      <w:r>
        <w:rPr/>
        <w:t>centers</w:t>
      </w:r>
      <w:r>
        <w:rPr>
          <w:spacing w:val="-8"/>
        </w:rPr>
        <w:t> </w:t>
      </w:r>
      <w:r>
        <w:rPr/>
        <w:t>across</w:t>
      </w:r>
      <w:r>
        <w:rPr>
          <w:spacing w:val="-8"/>
        </w:rPr>
        <w:t> </w:t>
      </w:r>
      <w:r>
        <w:rPr/>
        <w:t>the</w:t>
      </w:r>
      <w:r>
        <w:rPr>
          <w:spacing w:val="-9"/>
        </w:rPr>
        <w:t> </w:t>
      </w:r>
      <w:r>
        <w:rPr/>
        <w:t>Commonwealth</w:t>
      </w:r>
      <w:r>
        <w:rPr>
          <w:spacing w:val="-8"/>
        </w:rPr>
        <w:t> </w:t>
      </w:r>
      <w:r>
        <w:rPr/>
        <w:t>that</w:t>
      </w:r>
      <w:r>
        <w:rPr>
          <w:spacing w:val="-9"/>
        </w:rPr>
        <w:t> </w:t>
      </w:r>
      <w:r>
        <w:rPr/>
        <w:t>support youth homelessness and housing insecurity.</w:t>
      </w:r>
    </w:p>
    <w:p>
      <w:pPr>
        <w:pStyle w:val="BodyText"/>
        <w:spacing w:line="276" w:lineRule="auto" w:before="239"/>
        <w:ind w:left="463" w:right="402"/>
        <w:jc w:val="both"/>
      </w:pPr>
      <w:r>
        <w:rPr/>
        <w:t>The Commission applauds Mayor Wu’s recent announcement of a grant that seeks to empower transgender and nonbinary communities in the City of Boston and aims to improve transgender and nonbinary</w:t>
      </w:r>
      <w:r>
        <w:rPr>
          <w:spacing w:val="-13"/>
        </w:rPr>
        <w:t> </w:t>
      </w:r>
      <w:r>
        <w:rPr/>
        <w:t>residents’</w:t>
      </w:r>
      <w:r>
        <w:rPr>
          <w:spacing w:val="-12"/>
        </w:rPr>
        <w:t> </w:t>
      </w:r>
      <w:r>
        <w:rPr/>
        <w:t>access</w:t>
      </w:r>
      <w:r>
        <w:rPr>
          <w:spacing w:val="-13"/>
        </w:rPr>
        <w:t> </w:t>
      </w:r>
      <w:r>
        <w:rPr/>
        <w:t>to</w:t>
      </w:r>
      <w:r>
        <w:rPr>
          <w:spacing w:val="-12"/>
        </w:rPr>
        <w:t> </w:t>
      </w:r>
      <w:r>
        <w:rPr/>
        <w:t>affordable</w:t>
      </w:r>
      <w:r>
        <w:rPr>
          <w:spacing w:val="-13"/>
        </w:rPr>
        <w:t> </w:t>
      </w:r>
      <w:r>
        <w:rPr/>
        <w:t>housing,</w:t>
      </w:r>
      <w:r>
        <w:rPr>
          <w:spacing w:val="-12"/>
        </w:rPr>
        <w:t> </w:t>
      </w:r>
      <w:r>
        <w:rPr/>
        <w:t>public</w:t>
      </w:r>
      <w:r>
        <w:rPr>
          <w:spacing w:val="-13"/>
        </w:rPr>
        <w:t> </w:t>
      </w:r>
      <w:r>
        <w:rPr/>
        <w:t>health</w:t>
      </w:r>
      <w:r>
        <w:rPr>
          <w:spacing w:val="-12"/>
        </w:rPr>
        <w:t> </w:t>
      </w:r>
      <w:r>
        <w:rPr/>
        <w:t>and</w:t>
      </w:r>
      <w:r>
        <w:rPr>
          <w:spacing w:val="-12"/>
        </w:rPr>
        <w:t> </w:t>
      </w:r>
      <w:r>
        <w:rPr/>
        <w:t>mental</w:t>
      </w:r>
      <w:r>
        <w:rPr>
          <w:spacing w:val="-13"/>
        </w:rPr>
        <w:t> </w:t>
      </w:r>
      <w:r>
        <w:rPr/>
        <w:t>health</w:t>
      </w:r>
      <w:r>
        <w:rPr>
          <w:spacing w:val="-12"/>
        </w:rPr>
        <w:t> </w:t>
      </w:r>
      <w:r>
        <w:rPr/>
        <w:t>resources,</w:t>
      </w:r>
      <w:r>
        <w:rPr>
          <w:spacing w:val="-13"/>
        </w:rPr>
        <w:t> </w:t>
      </w:r>
      <w:r>
        <w:rPr/>
        <w:t>and</w:t>
      </w:r>
      <w:r>
        <w:rPr>
          <w:spacing w:val="-12"/>
        </w:rPr>
        <w:t> </w:t>
      </w:r>
      <w:r>
        <w:rPr/>
        <w:t>legal support. The Transgender Emergency Fund was awarded funding totaling $700,000 to support the Transgender Transitional Housing</w:t>
      </w:r>
      <w:r>
        <w:rPr>
          <w:spacing w:val="-1"/>
        </w:rPr>
        <w:t> </w:t>
      </w:r>
      <w:r>
        <w:rPr/>
        <w:t>Program, which was established</w:t>
      </w:r>
      <w:r>
        <w:rPr>
          <w:spacing w:val="-1"/>
        </w:rPr>
        <w:t> </w:t>
      </w:r>
      <w:r>
        <w:rPr/>
        <w:t>in</w:t>
      </w:r>
      <w:r>
        <w:rPr>
          <w:spacing w:val="-1"/>
        </w:rPr>
        <w:t> </w:t>
      </w:r>
      <w:r>
        <w:rPr/>
        <w:t>May 2022 and</w:t>
      </w:r>
      <w:r>
        <w:rPr>
          <w:spacing w:val="-1"/>
        </w:rPr>
        <w:t> </w:t>
      </w:r>
      <w:r>
        <w:rPr/>
        <w:t>has since</w:t>
      </w:r>
      <w:r>
        <w:rPr>
          <w:spacing w:val="-1"/>
        </w:rPr>
        <w:t> </w:t>
      </w:r>
      <w:r>
        <w:rPr/>
        <w:t>housed 21 people to date. This partnership will help in the goal of reducing homelessness and supporting housing stability for transgender and nonbinary individuals; an issue that disproportionately impacts transgender and nonbinary individuals as stated throughout this report.</w:t>
      </w:r>
    </w:p>
    <w:p>
      <w:pPr>
        <w:pStyle w:val="BodyText"/>
        <w:spacing w:line="276" w:lineRule="auto" w:before="240"/>
        <w:ind w:left="463" w:right="402"/>
        <w:jc w:val="both"/>
      </w:pPr>
      <w:r>
        <w:rPr/>
        <w:t>The city of Boston has been highlighted by the Massachusetts Transgender Political Coalition for enforcing nondiscrimination policies for transgender, nonbinary, and gender non-conforming guests who have utilized services.</w:t>
      </w:r>
      <w:r>
        <w:rPr>
          <w:spacing w:val="40"/>
        </w:rPr>
        <w:t> </w:t>
      </w:r>
      <w:r>
        <w:rPr/>
        <w:t>The Coalition released </w:t>
      </w:r>
      <w:hyperlink r:id="rId447">
        <w:r>
          <w:rPr>
            <w:i/>
            <w:color w:val="1154CC"/>
            <w:u w:val="single" w:color="1154CC"/>
          </w:rPr>
          <w:t>Shelter for All Genders</w:t>
        </w:r>
        <w:r>
          <w:rPr>
            <w:u w:val="none"/>
          </w:rPr>
          <w:t>,</w:t>
        </w:r>
      </w:hyperlink>
      <w:r>
        <w:rPr>
          <w:u w:val="none"/>
        </w:rPr>
        <w:t> a report that details best practices for homeless shelters, services, and programs in Massachusetts that serve transgender, nonbinary, and gender non-conforming guests to support this goal.</w:t>
      </w:r>
      <w:hyperlink w:history="true" w:anchor="_bookmark309">
        <w:r>
          <w:rPr>
            <w:u w:val="none"/>
            <w:vertAlign w:val="superscript"/>
          </w:rPr>
          <w:t>36</w:t>
        </w:r>
      </w:hyperlink>
      <w:r>
        <w:rPr>
          <w:u w:val="none"/>
          <w:vertAlign w:val="baseline"/>
        </w:rPr>
        <w:t> Referencing these guidelines across</w:t>
      </w:r>
      <w:r>
        <w:rPr>
          <w:spacing w:val="-13"/>
          <w:u w:val="none"/>
          <w:vertAlign w:val="baseline"/>
        </w:rPr>
        <w:t> </w:t>
      </w:r>
      <w:r>
        <w:rPr>
          <w:u w:val="none"/>
          <w:vertAlign w:val="baseline"/>
        </w:rPr>
        <w:t>the</w:t>
      </w:r>
      <w:r>
        <w:rPr>
          <w:spacing w:val="-12"/>
          <w:u w:val="none"/>
          <w:vertAlign w:val="baseline"/>
        </w:rPr>
        <w:t> </w:t>
      </w:r>
      <w:r>
        <w:rPr>
          <w:u w:val="none"/>
          <w:vertAlign w:val="baseline"/>
        </w:rPr>
        <w:t>Commonwealth</w:t>
      </w:r>
      <w:r>
        <w:rPr>
          <w:spacing w:val="-13"/>
          <w:u w:val="none"/>
          <w:vertAlign w:val="baseline"/>
        </w:rPr>
        <w:t> </w:t>
      </w:r>
      <w:r>
        <w:rPr>
          <w:u w:val="none"/>
          <w:vertAlign w:val="baseline"/>
        </w:rPr>
        <w:t>and</w:t>
      </w:r>
      <w:r>
        <w:rPr>
          <w:spacing w:val="-12"/>
          <w:u w:val="none"/>
          <w:vertAlign w:val="baseline"/>
        </w:rPr>
        <w:t> </w:t>
      </w:r>
      <w:r>
        <w:rPr>
          <w:u w:val="none"/>
          <w:vertAlign w:val="baseline"/>
        </w:rPr>
        <w:t>using</w:t>
      </w:r>
      <w:r>
        <w:rPr>
          <w:spacing w:val="-13"/>
          <w:u w:val="none"/>
          <w:vertAlign w:val="baseline"/>
        </w:rPr>
        <w:t> </w:t>
      </w:r>
      <w:r>
        <w:rPr>
          <w:u w:val="none"/>
          <w:vertAlign w:val="baseline"/>
        </w:rPr>
        <w:t>this</w:t>
      </w:r>
      <w:r>
        <w:rPr>
          <w:spacing w:val="-12"/>
          <w:u w:val="none"/>
          <w:vertAlign w:val="baseline"/>
        </w:rPr>
        <w:t> </w:t>
      </w:r>
      <w:r>
        <w:rPr>
          <w:u w:val="none"/>
          <w:vertAlign w:val="baseline"/>
        </w:rPr>
        <w:t>information</w:t>
      </w:r>
      <w:r>
        <w:rPr>
          <w:spacing w:val="-13"/>
          <w:u w:val="none"/>
          <w:vertAlign w:val="baseline"/>
        </w:rPr>
        <w:t> </w:t>
      </w:r>
      <w:r>
        <w:rPr>
          <w:u w:val="none"/>
          <w:vertAlign w:val="baseline"/>
        </w:rPr>
        <w:t>to</w:t>
      </w:r>
      <w:r>
        <w:rPr>
          <w:spacing w:val="-12"/>
          <w:u w:val="none"/>
          <w:vertAlign w:val="baseline"/>
        </w:rPr>
        <w:t> </w:t>
      </w:r>
      <w:r>
        <w:rPr>
          <w:u w:val="none"/>
          <w:vertAlign w:val="baseline"/>
        </w:rPr>
        <w:t>develop</w:t>
      </w:r>
      <w:r>
        <w:rPr>
          <w:spacing w:val="-12"/>
          <w:u w:val="none"/>
          <w:vertAlign w:val="baseline"/>
        </w:rPr>
        <w:t> </w:t>
      </w:r>
      <w:r>
        <w:rPr>
          <w:u w:val="none"/>
          <w:vertAlign w:val="baseline"/>
        </w:rPr>
        <w:t>training</w:t>
      </w:r>
      <w:r>
        <w:rPr>
          <w:spacing w:val="-13"/>
          <w:u w:val="none"/>
          <w:vertAlign w:val="baseline"/>
        </w:rPr>
        <w:t> </w:t>
      </w:r>
      <w:r>
        <w:rPr>
          <w:u w:val="none"/>
          <w:vertAlign w:val="baseline"/>
        </w:rPr>
        <w:t>for</w:t>
      </w:r>
      <w:r>
        <w:rPr>
          <w:spacing w:val="-12"/>
          <w:u w:val="none"/>
          <w:vertAlign w:val="baseline"/>
        </w:rPr>
        <w:t> </w:t>
      </w:r>
      <w:r>
        <w:rPr>
          <w:u w:val="none"/>
          <w:vertAlign w:val="baseline"/>
        </w:rPr>
        <w:t>shelter</w:t>
      </w:r>
      <w:r>
        <w:rPr>
          <w:spacing w:val="-13"/>
          <w:u w:val="none"/>
          <w:vertAlign w:val="baseline"/>
        </w:rPr>
        <w:t> </w:t>
      </w:r>
      <w:r>
        <w:rPr>
          <w:u w:val="none"/>
          <w:vertAlign w:val="baseline"/>
        </w:rPr>
        <w:t>and</w:t>
      </w:r>
      <w:r>
        <w:rPr>
          <w:spacing w:val="-12"/>
          <w:u w:val="none"/>
          <w:vertAlign w:val="baseline"/>
        </w:rPr>
        <w:t> </w:t>
      </w:r>
      <w:r>
        <w:rPr>
          <w:u w:val="none"/>
          <w:vertAlign w:val="baseline"/>
        </w:rPr>
        <w:t>drop-in</w:t>
      </w:r>
      <w:r>
        <w:rPr>
          <w:spacing w:val="-13"/>
          <w:u w:val="none"/>
          <w:vertAlign w:val="baseline"/>
        </w:rPr>
        <w:t> </w:t>
      </w:r>
      <w:r>
        <w:rPr>
          <w:u w:val="none"/>
          <w:vertAlign w:val="baseline"/>
        </w:rPr>
        <w:t>center staff, particularly in rural areas, is important to standardize this inclusive practice.</w:t>
      </w:r>
    </w:p>
    <w:p>
      <w:pPr>
        <w:spacing w:before="240"/>
        <w:ind w:left="464" w:right="0" w:firstLine="0"/>
        <w:jc w:val="both"/>
        <w:rPr>
          <w:sz w:val="26"/>
        </w:rPr>
      </w:pPr>
      <w:bookmarkStart w:name="Federal Funding" w:id="492"/>
      <w:bookmarkEnd w:id="492"/>
      <w:r>
        <w:rPr/>
      </w:r>
      <w:r>
        <w:rPr>
          <w:color w:val="404040"/>
          <w:sz w:val="26"/>
        </w:rPr>
        <w:t>Federal</w:t>
      </w:r>
      <w:r>
        <w:rPr>
          <w:color w:val="404040"/>
          <w:spacing w:val="-4"/>
          <w:sz w:val="26"/>
        </w:rPr>
        <w:t> </w:t>
      </w:r>
      <w:r>
        <w:rPr>
          <w:color w:val="404040"/>
          <w:spacing w:val="-2"/>
          <w:sz w:val="26"/>
        </w:rPr>
        <w:t>Funding</w:t>
      </w:r>
    </w:p>
    <w:p>
      <w:pPr>
        <w:pStyle w:val="BodyText"/>
        <w:spacing w:line="276" w:lineRule="auto" w:before="288"/>
        <w:ind w:left="464" w:right="404"/>
        <w:jc w:val="both"/>
      </w:pPr>
      <w:r>
        <w:rPr/>
        <w:t>Federally, the U.S. Department of Housing and Urban Development (HUD) supported the Commonwealth</w:t>
      </w:r>
      <w:r>
        <w:rPr>
          <w:spacing w:val="40"/>
        </w:rPr>
        <w:t> </w:t>
      </w:r>
      <w:r>
        <w:rPr/>
        <w:t>of</w:t>
      </w:r>
      <w:r>
        <w:rPr>
          <w:spacing w:val="40"/>
        </w:rPr>
        <w:t> </w:t>
      </w:r>
      <w:r>
        <w:rPr/>
        <w:t>Massachusetts</w:t>
      </w:r>
      <w:r>
        <w:rPr>
          <w:spacing w:val="40"/>
        </w:rPr>
        <w:t> </w:t>
      </w:r>
      <w:r>
        <w:rPr/>
        <w:t>through</w:t>
      </w:r>
      <w:r>
        <w:rPr>
          <w:spacing w:val="40"/>
        </w:rPr>
        <w:t> </w:t>
      </w:r>
      <w:r>
        <w:rPr/>
        <w:t>homeless</w:t>
      </w:r>
      <w:r>
        <w:rPr>
          <w:spacing w:val="40"/>
        </w:rPr>
        <w:t> </w:t>
      </w:r>
      <w:r>
        <w:rPr/>
        <w:t>assistance</w:t>
      </w:r>
      <w:r>
        <w:rPr>
          <w:spacing w:val="40"/>
        </w:rPr>
        <w:t> </w:t>
      </w:r>
      <w:r>
        <w:rPr/>
        <w:t>grant</w:t>
      </w:r>
      <w:r>
        <w:rPr>
          <w:spacing w:val="40"/>
        </w:rPr>
        <w:t> </w:t>
      </w:r>
      <w:r>
        <w:rPr/>
        <w:t>funding</w:t>
      </w:r>
      <w:r>
        <w:rPr>
          <w:spacing w:val="40"/>
        </w:rPr>
        <w:t> </w:t>
      </w:r>
      <w:r>
        <w:rPr/>
        <w:t>to</w:t>
      </w:r>
      <w:r>
        <w:rPr>
          <w:spacing w:val="40"/>
        </w:rPr>
        <w:t> </w:t>
      </w:r>
      <w:r>
        <w:rPr/>
        <w:t>each</w:t>
      </w:r>
      <w:r>
        <w:rPr>
          <w:spacing w:val="40"/>
        </w:rPr>
        <w:t> </w:t>
      </w:r>
      <w:r>
        <w:rPr/>
        <w:t>of</w:t>
      </w:r>
      <w:r>
        <w:rPr>
          <w:spacing w:val="40"/>
        </w:rPr>
        <w:t> </w:t>
      </w:r>
      <w:r>
        <w:rPr/>
        <w:t>the</w:t>
      </w:r>
      <w:r>
        <w:rPr>
          <w:spacing w:val="40"/>
        </w:rPr>
        <w:t> </w:t>
      </w:r>
      <w:r>
        <w:rPr/>
        <w:t>12</w:t>
      </w:r>
    </w:p>
    <w:p>
      <w:pPr>
        <w:spacing w:after="0" w:line="276" w:lineRule="auto"/>
        <w:jc w:val="both"/>
        <w:sectPr>
          <w:pgSz w:w="12240" w:h="15840"/>
          <w:pgMar w:header="765" w:footer="1127" w:top="1280" w:bottom="1380" w:left="1120" w:right="1180"/>
        </w:sectPr>
      </w:pPr>
    </w:p>
    <w:p>
      <w:pPr>
        <w:pStyle w:val="BodyText"/>
        <w:spacing w:line="276" w:lineRule="auto" w:before="91"/>
        <w:ind w:left="464" w:right="402"/>
        <w:jc w:val="both"/>
      </w:pPr>
      <w:r>
        <w:rPr/>
        <w:t>Continuum of Care (CoC) regions. This funding totaled roughly $125 million in 2023, an increase of roughly $15 million from HUD's 2022 homelessness assistance funding.</w:t>
      </w:r>
      <w:hyperlink w:history="true" w:anchor="_bookmark310">
        <w:r>
          <w:rPr>
            <w:vertAlign w:val="superscript"/>
          </w:rPr>
          <w:t>37</w:t>
        </w:r>
      </w:hyperlink>
      <w:r>
        <w:rPr>
          <w:spacing w:val="-3"/>
          <w:vertAlign w:val="baseline"/>
        </w:rPr>
        <w:t> </w:t>
      </w:r>
      <w:r>
        <w:rPr>
          <w:vertAlign w:val="baseline"/>
        </w:rPr>
        <w:t>For an overview of funding allocation by CoC region, refer to Table 2.</w:t>
      </w:r>
    </w:p>
    <w:p>
      <w:pPr>
        <w:pStyle w:val="BodyText"/>
        <w:spacing w:line="276" w:lineRule="auto" w:before="241"/>
        <w:ind w:left="464" w:right="402"/>
        <w:jc w:val="both"/>
      </w:pPr>
      <w:r>
        <w:rPr/>
        <w:t>The Commission acknowledges and applauds the federal grant support that enables non-profits and organizations across the Commonwealth to provide effective resources for youth experiencing homelessness and housing insecurity. For example, In February 2024, $2.4 million was awarded to Cape</w:t>
      </w:r>
      <w:r>
        <w:rPr>
          <w:spacing w:val="-12"/>
        </w:rPr>
        <w:t> </w:t>
      </w:r>
      <w:r>
        <w:rPr/>
        <w:t>and</w:t>
      </w:r>
      <w:r>
        <w:rPr>
          <w:spacing w:val="-11"/>
        </w:rPr>
        <w:t> </w:t>
      </w:r>
      <w:r>
        <w:rPr/>
        <w:t>Islands</w:t>
      </w:r>
      <w:r>
        <w:rPr>
          <w:spacing w:val="-12"/>
        </w:rPr>
        <w:t> </w:t>
      </w:r>
      <w:r>
        <w:rPr/>
        <w:t>homelessness</w:t>
      </w:r>
      <w:r>
        <w:rPr>
          <w:spacing w:val="-12"/>
        </w:rPr>
        <w:t> </w:t>
      </w:r>
      <w:r>
        <w:rPr/>
        <w:t>programs</w:t>
      </w:r>
      <w:r>
        <w:rPr>
          <w:spacing w:val="-12"/>
        </w:rPr>
        <w:t> </w:t>
      </w:r>
      <w:r>
        <w:rPr/>
        <w:t>as</w:t>
      </w:r>
      <w:r>
        <w:rPr>
          <w:spacing w:val="-12"/>
        </w:rPr>
        <w:t> </w:t>
      </w:r>
      <w:r>
        <w:rPr/>
        <w:t>part</w:t>
      </w:r>
      <w:r>
        <w:rPr>
          <w:spacing w:val="-12"/>
        </w:rPr>
        <w:t> </w:t>
      </w:r>
      <w:r>
        <w:rPr/>
        <w:t>of</w:t>
      </w:r>
      <w:r>
        <w:rPr>
          <w:spacing w:val="-12"/>
        </w:rPr>
        <w:t> </w:t>
      </w:r>
      <w:r>
        <w:rPr/>
        <w:t>its</w:t>
      </w:r>
      <w:r>
        <w:rPr>
          <w:spacing w:val="-11"/>
        </w:rPr>
        <w:t> </w:t>
      </w:r>
      <w:r>
        <w:rPr/>
        <w:t>annual</w:t>
      </w:r>
      <w:r>
        <w:rPr>
          <w:spacing w:val="-11"/>
        </w:rPr>
        <w:t> </w:t>
      </w:r>
      <w:r>
        <w:rPr/>
        <w:t>Continuum</w:t>
      </w:r>
      <w:r>
        <w:rPr>
          <w:spacing w:val="-11"/>
        </w:rPr>
        <w:t> </w:t>
      </w:r>
      <w:r>
        <w:rPr/>
        <w:t>of</w:t>
      </w:r>
      <w:r>
        <w:rPr>
          <w:spacing w:val="-12"/>
        </w:rPr>
        <w:t> </w:t>
      </w:r>
      <w:r>
        <w:rPr/>
        <w:t>Care</w:t>
      </w:r>
      <w:r>
        <w:rPr>
          <w:spacing w:val="-11"/>
        </w:rPr>
        <w:t> </w:t>
      </w:r>
      <w:r>
        <w:rPr/>
        <w:t>Competition</w:t>
      </w:r>
      <w:r>
        <w:rPr>
          <w:spacing w:val="-10"/>
        </w:rPr>
        <w:t> </w:t>
      </w:r>
      <w:r>
        <w:rPr/>
        <w:t>Awards. This funding will allow for the Cape Cod and Islands CoC Region to deliver services and resources needed to alleviate youth and young adult housing insecurity. Additionally, this funding was instrumental in the continued development of Hopeful Homes, a continuum of care plan that was compiled</w:t>
      </w:r>
      <w:r>
        <w:rPr>
          <w:spacing w:val="-9"/>
        </w:rPr>
        <w:t> </w:t>
      </w:r>
      <w:r>
        <w:rPr/>
        <w:t>by</w:t>
      </w:r>
      <w:r>
        <w:rPr>
          <w:spacing w:val="-6"/>
        </w:rPr>
        <w:t> </w:t>
      </w:r>
      <w:r>
        <w:rPr/>
        <w:t>80</w:t>
      </w:r>
      <w:r>
        <w:rPr>
          <w:spacing w:val="-9"/>
        </w:rPr>
        <w:t> </w:t>
      </w:r>
      <w:r>
        <w:rPr/>
        <w:t>homeless</w:t>
      </w:r>
      <w:r>
        <w:rPr>
          <w:spacing w:val="-7"/>
        </w:rPr>
        <w:t> </w:t>
      </w:r>
      <w:r>
        <w:rPr/>
        <w:t>prevention</w:t>
      </w:r>
      <w:r>
        <w:rPr>
          <w:spacing w:val="-8"/>
        </w:rPr>
        <w:t> </w:t>
      </w:r>
      <w:r>
        <w:rPr/>
        <w:t>stakeholders</w:t>
      </w:r>
      <w:r>
        <w:rPr>
          <w:spacing w:val="-8"/>
        </w:rPr>
        <w:t> </w:t>
      </w:r>
      <w:r>
        <w:rPr/>
        <w:t>from</w:t>
      </w:r>
      <w:r>
        <w:rPr>
          <w:spacing w:val="-9"/>
        </w:rPr>
        <w:t> </w:t>
      </w:r>
      <w:r>
        <w:rPr/>
        <w:t>across</w:t>
      </w:r>
      <w:r>
        <w:rPr>
          <w:spacing w:val="-8"/>
        </w:rPr>
        <w:t> </w:t>
      </w:r>
      <w:r>
        <w:rPr/>
        <w:t>Cape</w:t>
      </w:r>
      <w:r>
        <w:rPr>
          <w:spacing w:val="-9"/>
        </w:rPr>
        <w:t> </w:t>
      </w:r>
      <w:r>
        <w:rPr/>
        <w:t>Cod</w:t>
      </w:r>
      <w:r>
        <w:rPr>
          <w:spacing w:val="-9"/>
        </w:rPr>
        <w:t> </w:t>
      </w:r>
      <w:r>
        <w:rPr/>
        <w:t>and</w:t>
      </w:r>
      <w:r>
        <w:rPr>
          <w:spacing w:val="-8"/>
        </w:rPr>
        <w:t> </w:t>
      </w:r>
      <w:r>
        <w:rPr/>
        <w:t>Islands</w:t>
      </w:r>
      <w:r>
        <w:rPr>
          <w:spacing w:val="-8"/>
        </w:rPr>
        <w:t> </w:t>
      </w:r>
      <w:r>
        <w:rPr/>
        <w:t>and</w:t>
      </w:r>
      <w:r>
        <w:rPr>
          <w:spacing w:val="-8"/>
        </w:rPr>
        <w:t> </w:t>
      </w:r>
      <w:r>
        <w:rPr/>
        <w:t>comprised</w:t>
      </w:r>
      <w:r>
        <w:rPr>
          <w:spacing w:val="-9"/>
        </w:rPr>
        <w:t> </w:t>
      </w:r>
      <w:r>
        <w:rPr/>
        <w:t>of a Youth Action Board of young adults who have experienced homelessness and housing insecurity.</w:t>
      </w:r>
      <w:hyperlink w:history="true" w:anchor="_bookmark311">
        <w:r>
          <w:rPr>
            <w:vertAlign w:val="superscript"/>
          </w:rPr>
          <w:t>38</w:t>
        </w:r>
      </w:hyperlink>
    </w:p>
    <w:p>
      <w:pPr>
        <w:pStyle w:val="BodyText"/>
        <w:spacing w:line="276" w:lineRule="auto" w:before="239"/>
        <w:ind w:left="463" w:right="401"/>
        <w:jc w:val="both"/>
        <w:rPr>
          <w:sz w:val="21"/>
        </w:rPr>
      </w:pPr>
      <w:r>
        <w:rPr/>
        <w:t>Specific</w:t>
      </w:r>
      <w:r>
        <w:rPr>
          <w:spacing w:val="-6"/>
        </w:rPr>
        <w:t> </w:t>
      </w:r>
      <w:r>
        <w:rPr/>
        <w:t>funding</w:t>
      </w:r>
      <w:r>
        <w:rPr>
          <w:spacing w:val="-6"/>
        </w:rPr>
        <w:t> </w:t>
      </w:r>
      <w:r>
        <w:rPr/>
        <w:t>for</w:t>
      </w:r>
      <w:r>
        <w:rPr>
          <w:spacing w:val="-5"/>
        </w:rPr>
        <w:t> </w:t>
      </w:r>
      <w:r>
        <w:rPr/>
        <w:t>LGBTQ</w:t>
      </w:r>
      <w:r>
        <w:rPr>
          <w:spacing w:val="-4"/>
        </w:rPr>
        <w:t> </w:t>
      </w:r>
      <w:r>
        <w:rPr/>
        <w:t>youth</w:t>
      </w:r>
      <w:r>
        <w:rPr>
          <w:spacing w:val="-6"/>
        </w:rPr>
        <w:t> </w:t>
      </w:r>
      <w:r>
        <w:rPr/>
        <w:t>and</w:t>
      </w:r>
      <w:r>
        <w:rPr>
          <w:spacing w:val="-6"/>
        </w:rPr>
        <w:t> </w:t>
      </w:r>
      <w:r>
        <w:rPr/>
        <w:t>young</w:t>
      </w:r>
      <w:r>
        <w:rPr>
          <w:spacing w:val="-6"/>
        </w:rPr>
        <w:t> </w:t>
      </w:r>
      <w:r>
        <w:rPr/>
        <w:t>adults</w:t>
      </w:r>
      <w:r>
        <w:rPr>
          <w:spacing w:val="-5"/>
        </w:rPr>
        <w:t> </w:t>
      </w:r>
      <w:r>
        <w:rPr/>
        <w:t>was</w:t>
      </w:r>
      <w:r>
        <w:rPr>
          <w:spacing w:val="-5"/>
        </w:rPr>
        <w:t> </w:t>
      </w:r>
      <w:r>
        <w:rPr/>
        <w:t>awarded</w:t>
      </w:r>
      <w:r>
        <w:rPr>
          <w:spacing w:val="-6"/>
        </w:rPr>
        <w:t> </w:t>
      </w:r>
      <w:r>
        <w:rPr/>
        <w:t>to</w:t>
      </w:r>
      <w:r>
        <w:rPr>
          <w:spacing w:val="-5"/>
        </w:rPr>
        <w:t> </w:t>
      </w:r>
      <w:r>
        <w:rPr/>
        <w:t>the</w:t>
      </w:r>
      <w:r>
        <w:rPr>
          <w:spacing w:val="-6"/>
        </w:rPr>
        <w:t> </w:t>
      </w:r>
      <w:r>
        <w:rPr/>
        <w:t>Victory</w:t>
      </w:r>
      <w:r>
        <w:rPr>
          <w:spacing w:val="-5"/>
        </w:rPr>
        <w:t> </w:t>
      </w:r>
      <w:r>
        <w:rPr/>
        <w:t>Programs,</w:t>
      </w:r>
      <w:r>
        <w:rPr>
          <w:spacing w:val="-5"/>
        </w:rPr>
        <w:t> </w:t>
      </w:r>
      <w:r>
        <w:rPr/>
        <w:t>a</w:t>
      </w:r>
      <w:r>
        <w:rPr>
          <w:spacing w:val="-5"/>
        </w:rPr>
        <w:t> </w:t>
      </w:r>
      <w:r>
        <w:rPr/>
        <w:t>non-profit that</w:t>
      </w:r>
      <w:r>
        <w:rPr>
          <w:spacing w:val="-8"/>
        </w:rPr>
        <w:t> </w:t>
      </w:r>
      <w:r>
        <w:rPr/>
        <w:t>provides</w:t>
      </w:r>
      <w:r>
        <w:rPr>
          <w:spacing w:val="-7"/>
        </w:rPr>
        <w:t> </w:t>
      </w:r>
      <w:r>
        <w:rPr/>
        <w:t>programs</w:t>
      </w:r>
      <w:r>
        <w:rPr>
          <w:spacing w:val="-8"/>
        </w:rPr>
        <w:t> </w:t>
      </w:r>
      <w:r>
        <w:rPr/>
        <w:t>for</w:t>
      </w:r>
      <w:r>
        <w:rPr>
          <w:spacing w:val="-7"/>
        </w:rPr>
        <w:t> </w:t>
      </w:r>
      <w:r>
        <w:rPr/>
        <w:t>housing,</w:t>
      </w:r>
      <w:r>
        <w:rPr>
          <w:spacing w:val="-8"/>
        </w:rPr>
        <w:t> </w:t>
      </w:r>
      <w:r>
        <w:rPr/>
        <w:t>recovery,</w:t>
      </w:r>
      <w:r>
        <w:rPr>
          <w:spacing w:val="-8"/>
        </w:rPr>
        <w:t> </w:t>
      </w:r>
      <w:r>
        <w:rPr/>
        <w:t>and</w:t>
      </w:r>
      <w:r>
        <w:rPr>
          <w:spacing w:val="-9"/>
        </w:rPr>
        <w:t> </w:t>
      </w:r>
      <w:r>
        <w:rPr/>
        <w:t>prevention</w:t>
      </w:r>
      <w:r>
        <w:rPr>
          <w:spacing w:val="-9"/>
        </w:rPr>
        <w:t> </w:t>
      </w:r>
      <w:r>
        <w:rPr/>
        <w:t>services</w:t>
      </w:r>
      <w:r>
        <w:rPr>
          <w:spacing w:val="-8"/>
        </w:rPr>
        <w:t> </w:t>
      </w:r>
      <w:r>
        <w:rPr/>
        <w:t>for</w:t>
      </w:r>
      <w:r>
        <w:rPr>
          <w:spacing w:val="-9"/>
        </w:rPr>
        <w:t> </w:t>
      </w:r>
      <w:r>
        <w:rPr/>
        <w:t>vulnerable</w:t>
      </w:r>
      <w:r>
        <w:rPr>
          <w:spacing w:val="-9"/>
        </w:rPr>
        <w:t> </w:t>
      </w:r>
      <w:r>
        <w:rPr/>
        <w:t>populations.</w:t>
      </w:r>
      <w:r>
        <w:rPr>
          <w:spacing w:val="-9"/>
        </w:rPr>
        <w:t> </w:t>
      </w:r>
      <w:r>
        <w:rPr/>
        <w:t>The Victory Programs, located in the Boston Continuum of Care Region, was awarded $767,287 for transitional</w:t>
      </w:r>
      <w:r>
        <w:rPr>
          <w:spacing w:val="-13"/>
        </w:rPr>
        <w:t> </w:t>
      </w:r>
      <w:r>
        <w:rPr/>
        <w:t>housing</w:t>
      </w:r>
      <w:r>
        <w:rPr>
          <w:spacing w:val="-12"/>
        </w:rPr>
        <w:t> </w:t>
      </w:r>
      <w:r>
        <w:rPr/>
        <w:t>and</w:t>
      </w:r>
      <w:r>
        <w:rPr>
          <w:spacing w:val="-13"/>
        </w:rPr>
        <w:t> </w:t>
      </w:r>
      <w:r>
        <w:rPr/>
        <w:t>rapid</w:t>
      </w:r>
      <w:r>
        <w:rPr>
          <w:spacing w:val="-12"/>
        </w:rPr>
        <w:t> </w:t>
      </w:r>
      <w:r>
        <w:rPr/>
        <w:t>re-housing</w:t>
      </w:r>
      <w:r>
        <w:rPr>
          <w:spacing w:val="-13"/>
        </w:rPr>
        <w:t> </w:t>
      </w:r>
      <w:r>
        <w:rPr/>
        <w:t>support</w:t>
      </w:r>
      <w:r>
        <w:rPr>
          <w:spacing w:val="-12"/>
        </w:rPr>
        <w:t> </w:t>
      </w:r>
      <w:r>
        <w:rPr/>
        <w:t>for</w:t>
      </w:r>
      <w:r>
        <w:rPr>
          <w:spacing w:val="-13"/>
        </w:rPr>
        <w:t> </w:t>
      </w:r>
      <w:r>
        <w:rPr/>
        <w:t>LGBTQ</w:t>
      </w:r>
      <w:r>
        <w:rPr>
          <w:spacing w:val="-12"/>
        </w:rPr>
        <w:t> </w:t>
      </w:r>
      <w:r>
        <w:rPr/>
        <w:t>youth.</w:t>
      </w:r>
      <w:r>
        <w:rPr>
          <w:spacing w:val="-12"/>
        </w:rPr>
        <w:t> </w:t>
      </w:r>
      <w:r>
        <w:rPr/>
        <w:t>The</w:t>
      </w:r>
      <w:r>
        <w:rPr>
          <w:spacing w:val="-13"/>
        </w:rPr>
        <w:t> </w:t>
      </w:r>
      <w:r>
        <w:rPr/>
        <w:t>program</w:t>
      </w:r>
      <w:r>
        <w:rPr>
          <w:spacing w:val="-12"/>
        </w:rPr>
        <w:t> </w:t>
      </w:r>
      <w:r>
        <w:rPr/>
        <w:t>objectives,</w:t>
      </w:r>
      <w:r>
        <w:rPr>
          <w:spacing w:val="-13"/>
        </w:rPr>
        <w:t> </w:t>
      </w:r>
      <w:r>
        <w:rPr/>
        <w:t>as</w:t>
      </w:r>
      <w:r>
        <w:rPr>
          <w:spacing w:val="-12"/>
        </w:rPr>
        <w:t> </w:t>
      </w:r>
      <w:r>
        <w:rPr/>
        <w:t>defined by HUD, would</w:t>
      </w:r>
      <w:r>
        <w:rPr>
          <w:spacing w:val="-1"/>
        </w:rPr>
        <w:t> </w:t>
      </w:r>
      <w:r>
        <w:rPr/>
        <w:t>be to provide</w:t>
      </w:r>
      <w:r>
        <w:rPr>
          <w:spacing w:val="-1"/>
        </w:rPr>
        <w:t> </w:t>
      </w:r>
      <w:r>
        <w:rPr/>
        <w:t>a safe space</w:t>
      </w:r>
      <w:r>
        <w:rPr>
          <w:spacing w:val="-1"/>
        </w:rPr>
        <w:t> </w:t>
      </w:r>
      <w:r>
        <w:rPr/>
        <w:t>for participants, quickly house participants and</w:t>
      </w:r>
      <w:r>
        <w:rPr>
          <w:spacing w:val="-1"/>
        </w:rPr>
        <w:t> </w:t>
      </w:r>
      <w:r>
        <w:rPr/>
        <w:t>move</w:t>
      </w:r>
      <w:r>
        <w:rPr>
          <w:spacing w:val="-1"/>
        </w:rPr>
        <w:t> </w:t>
      </w:r>
      <w:r>
        <w:rPr/>
        <w:t>them into permanent housing, and to provide financial assistance and wrap-around supportive services.</w:t>
      </w:r>
      <w:hyperlink w:history="true" w:anchor="_bookmark312">
        <w:r>
          <w:rPr>
            <w:vertAlign w:val="superscript"/>
          </w:rPr>
          <w:t>39</w:t>
        </w:r>
      </w:hyperlink>
      <w:r>
        <w:rPr>
          <w:vertAlign w:val="baseline"/>
        </w:rPr>
        <w:t> The full funding report can be found in the </w:t>
      </w:r>
      <w:hyperlink r:id="rId448">
        <w:r>
          <w:rPr>
            <w:color w:val="1154CC"/>
            <w:u w:val="single" w:color="1154CC"/>
            <w:vertAlign w:val="baseline"/>
          </w:rPr>
          <w:t>Massachusetts Summary Report</w:t>
        </w:r>
      </w:hyperlink>
      <w:r>
        <w:rPr>
          <w:color w:val="1154CC"/>
          <w:u w:val="none"/>
          <w:vertAlign w:val="baseline"/>
        </w:rPr>
        <w:t> </w:t>
      </w:r>
      <w:r>
        <w:rPr>
          <w:u w:val="none"/>
          <w:vertAlign w:val="baseline"/>
        </w:rPr>
        <w:t>released by HUD</w:t>
      </w:r>
      <w:r>
        <w:rPr>
          <w:sz w:val="21"/>
          <w:u w:val="none"/>
          <w:vertAlign w:val="baseline"/>
        </w:rPr>
        <w:t>.</w:t>
      </w:r>
    </w:p>
    <w:p>
      <w:pPr>
        <w:pStyle w:val="BodyText"/>
        <w:spacing w:before="7"/>
        <w:rPr>
          <w:sz w:val="19"/>
        </w:rPr>
      </w:pPr>
    </w:p>
    <w:tbl>
      <w:tblPr>
        <w:tblW w:w="0" w:type="auto"/>
        <w:jc w:val="left"/>
        <w:tblInd w:w="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730"/>
        <w:gridCol w:w="1679"/>
        <w:gridCol w:w="3141"/>
        <w:gridCol w:w="1750"/>
      </w:tblGrid>
      <w:tr>
        <w:trPr>
          <w:trHeight w:val="443" w:hRule="atLeast"/>
        </w:trPr>
        <w:tc>
          <w:tcPr>
            <w:tcW w:w="2730" w:type="dxa"/>
            <w:tcBorders>
              <w:bottom w:val="single" w:sz="6" w:space="0" w:color="000000"/>
            </w:tcBorders>
            <w:shd w:val="clear" w:color="auto" w:fill="CFE1F3"/>
          </w:tcPr>
          <w:p>
            <w:pPr>
              <w:pStyle w:val="TableParagraph"/>
              <w:spacing w:before="99"/>
              <w:ind w:left="243"/>
              <w:rPr>
                <w:b/>
                <w:sz w:val="20"/>
              </w:rPr>
            </w:pPr>
            <w:r>
              <w:rPr>
                <w:b/>
                <w:sz w:val="20"/>
              </w:rPr>
              <w:t>CoC</w:t>
            </w:r>
            <w:r>
              <w:rPr>
                <w:b/>
                <w:spacing w:val="-1"/>
                <w:sz w:val="20"/>
              </w:rPr>
              <w:t> </w:t>
            </w:r>
            <w:r>
              <w:rPr>
                <w:b/>
                <w:spacing w:val="-2"/>
                <w:sz w:val="20"/>
              </w:rPr>
              <w:t>Region</w:t>
            </w:r>
          </w:p>
        </w:tc>
        <w:tc>
          <w:tcPr>
            <w:tcW w:w="1679" w:type="dxa"/>
            <w:tcBorders>
              <w:bottom w:val="single" w:sz="6" w:space="0" w:color="000000"/>
              <w:right w:val="single" w:sz="12" w:space="0" w:color="000000"/>
            </w:tcBorders>
            <w:shd w:val="clear" w:color="auto" w:fill="CFE1F3"/>
          </w:tcPr>
          <w:p>
            <w:pPr>
              <w:pStyle w:val="TableParagraph"/>
              <w:spacing w:before="99"/>
              <w:ind w:left="243"/>
              <w:rPr>
                <w:b/>
                <w:sz w:val="20"/>
              </w:rPr>
            </w:pPr>
            <w:r>
              <w:rPr>
                <w:b/>
                <w:spacing w:val="-2"/>
                <w:sz w:val="20"/>
              </w:rPr>
              <w:t>Amount</w:t>
            </w:r>
          </w:p>
        </w:tc>
        <w:tc>
          <w:tcPr>
            <w:tcW w:w="3141" w:type="dxa"/>
            <w:tcBorders>
              <w:left w:val="single" w:sz="12" w:space="0" w:color="000000"/>
              <w:bottom w:val="single" w:sz="6" w:space="0" w:color="000000"/>
            </w:tcBorders>
            <w:shd w:val="clear" w:color="auto" w:fill="CFE1F3"/>
          </w:tcPr>
          <w:p>
            <w:pPr>
              <w:pStyle w:val="TableParagraph"/>
              <w:spacing w:before="99"/>
              <w:ind w:left="239"/>
              <w:rPr>
                <w:b/>
                <w:sz w:val="20"/>
              </w:rPr>
            </w:pPr>
            <w:r>
              <w:rPr>
                <w:b/>
                <w:sz w:val="20"/>
              </w:rPr>
              <w:t>CoC</w:t>
            </w:r>
            <w:r>
              <w:rPr>
                <w:b/>
                <w:spacing w:val="-1"/>
                <w:sz w:val="20"/>
              </w:rPr>
              <w:t> </w:t>
            </w:r>
            <w:r>
              <w:rPr>
                <w:b/>
                <w:spacing w:val="-2"/>
                <w:sz w:val="20"/>
              </w:rPr>
              <w:t>Region</w:t>
            </w:r>
          </w:p>
        </w:tc>
        <w:tc>
          <w:tcPr>
            <w:tcW w:w="1750" w:type="dxa"/>
            <w:tcBorders>
              <w:bottom w:val="single" w:sz="6" w:space="0" w:color="000000"/>
            </w:tcBorders>
            <w:shd w:val="clear" w:color="auto" w:fill="CFE1F3"/>
          </w:tcPr>
          <w:p>
            <w:pPr>
              <w:pStyle w:val="TableParagraph"/>
              <w:spacing w:before="99"/>
              <w:ind w:left="243"/>
              <w:rPr>
                <w:b/>
                <w:sz w:val="20"/>
              </w:rPr>
            </w:pPr>
            <w:r>
              <w:rPr>
                <w:b/>
                <w:spacing w:val="-2"/>
                <w:sz w:val="20"/>
              </w:rPr>
              <w:t>Amount</w:t>
            </w:r>
          </w:p>
        </w:tc>
      </w:tr>
      <w:tr>
        <w:trPr>
          <w:trHeight w:val="565" w:hRule="atLeast"/>
        </w:trPr>
        <w:tc>
          <w:tcPr>
            <w:tcW w:w="2730" w:type="dxa"/>
            <w:tcBorders>
              <w:top w:val="single" w:sz="6" w:space="0" w:color="000000"/>
              <w:left w:val="single" w:sz="6" w:space="0" w:color="000000"/>
              <w:bottom w:val="single" w:sz="6" w:space="0" w:color="000000"/>
              <w:right w:val="single" w:sz="6" w:space="0" w:color="000000"/>
            </w:tcBorders>
          </w:tcPr>
          <w:p>
            <w:pPr>
              <w:pStyle w:val="TableParagraph"/>
              <w:spacing w:before="37"/>
              <w:rPr>
                <w:sz w:val="20"/>
              </w:rPr>
            </w:pPr>
          </w:p>
          <w:p>
            <w:pPr>
              <w:pStyle w:val="TableParagraph"/>
              <w:spacing w:before="1"/>
              <w:ind w:left="185"/>
              <w:rPr>
                <w:sz w:val="20"/>
              </w:rPr>
            </w:pPr>
            <w:r>
              <w:rPr>
                <w:sz w:val="20"/>
              </w:rPr>
              <w:t>Balance</w:t>
            </w:r>
            <w:r>
              <w:rPr>
                <w:spacing w:val="-3"/>
                <w:sz w:val="20"/>
              </w:rPr>
              <w:t> </w:t>
            </w:r>
            <w:r>
              <w:rPr>
                <w:sz w:val="20"/>
              </w:rPr>
              <w:t>of</w:t>
            </w:r>
            <w:r>
              <w:rPr>
                <w:spacing w:val="-3"/>
                <w:sz w:val="20"/>
              </w:rPr>
              <w:t> </w:t>
            </w:r>
            <w:r>
              <w:rPr>
                <w:spacing w:val="-2"/>
                <w:sz w:val="20"/>
              </w:rPr>
              <w:t>State</w:t>
            </w:r>
          </w:p>
        </w:tc>
        <w:tc>
          <w:tcPr>
            <w:tcW w:w="1679" w:type="dxa"/>
            <w:tcBorders>
              <w:top w:val="single" w:sz="6" w:space="0" w:color="000000"/>
              <w:left w:val="single" w:sz="6" w:space="0" w:color="000000"/>
              <w:bottom w:val="single" w:sz="6" w:space="0" w:color="000000"/>
              <w:right w:val="single" w:sz="12" w:space="0" w:color="000000"/>
            </w:tcBorders>
          </w:tcPr>
          <w:p>
            <w:pPr>
              <w:pStyle w:val="TableParagraph"/>
              <w:spacing w:before="37"/>
              <w:rPr>
                <w:sz w:val="20"/>
              </w:rPr>
            </w:pPr>
          </w:p>
          <w:p>
            <w:pPr>
              <w:pStyle w:val="TableParagraph"/>
              <w:spacing w:before="1"/>
              <w:ind w:left="185"/>
              <w:rPr>
                <w:sz w:val="20"/>
              </w:rPr>
            </w:pPr>
            <w:r>
              <w:rPr>
                <w:spacing w:val="-2"/>
                <w:sz w:val="20"/>
              </w:rPr>
              <w:t>$31,762,597</w:t>
            </w:r>
          </w:p>
        </w:tc>
        <w:tc>
          <w:tcPr>
            <w:tcW w:w="3141" w:type="dxa"/>
            <w:tcBorders>
              <w:top w:val="single" w:sz="6" w:space="0" w:color="000000"/>
              <w:left w:val="single" w:sz="12" w:space="0" w:color="000000"/>
              <w:bottom w:val="single" w:sz="6" w:space="0" w:color="000000"/>
              <w:right w:val="single" w:sz="6" w:space="0" w:color="000000"/>
            </w:tcBorders>
          </w:tcPr>
          <w:p>
            <w:pPr>
              <w:pStyle w:val="TableParagraph"/>
              <w:tabs>
                <w:tab w:pos="999" w:val="left" w:leader="none"/>
                <w:tab w:pos="1991" w:val="left" w:leader="none"/>
              </w:tabs>
              <w:spacing w:before="38"/>
              <w:ind w:left="179" w:right="165"/>
              <w:rPr>
                <w:sz w:val="20"/>
              </w:rPr>
            </w:pPr>
            <w:r>
              <w:rPr>
                <w:spacing w:val="-2"/>
                <w:sz w:val="20"/>
              </w:rPr>
              <w:t>Quincy,</w:t>
            </w:r>
            <w:r>
              <w:rPr>
                <w:sz w:val="20"/>
              </w:rPr>
              <w:tab/>
            </w:r>
            <w:r>
              <w:rPr>
                <w:spacing w:val="-2"/>
                <w:sz w:val="20"/>
              </w:rPr>
              <w:t>Brockton,</w:t>
            </w:r>
            <w:r>
              <w:rPr>
                <w:sz w:val="20"/>
              </w:rPr>
              <w:tab/>
            </w:r>
            <w:r>
              <w:rPr>
                <w:spacing w:val="-2"/>
                <w:sz w:val="20"/>
              </w:rPr>
              <w:t>Weymouth, </w:t>
            </w:r>
            <w:r>
              <w:rPr>
                <w:sz w:val="20"/>
              </w:rPr>
              <w:t>Plymouth City, and County</w:t>
            </w:r>
          </w:p>
        </w:tc>
        <w:tc>
          <w:tcPr>
            <w:tcW w:w="1750" w:type="dxa"/>
            <w:tcBorders>
              <w:top w:val="single" w:sz="6" w:space="0" w:color="000000"/>
              <w:left w:val="single" w:sz="6" w:space="0" w:color="000000"/>
              <w:bottom w:val="single" w:sz="6" w:space="0" w:color="000000"/>
              <w:right w:val="single" w:sz="6" w:space="0" w:color="000000"/>
            </w:tcBorders>
          </w:tcPr>
          <w:p>
            <w:pPr>
              <w:pStyle w:val="TableParagraph"/>
              <w:spacing w:before="37"/>
              <w:rPr>
                <w:sz w:val="20"/>
              </w:rPr>
            </w:pPr>
          </w:p>
          <w:p>
            <w:pPr>
              <w:pStyle w:val="TableParagraph"/>
              <w:spacing w:before="1"/>
              <w:ind w:left="186"/>
              <w:rPr>
                <w:sz w:val="20"/>
              </w:rPr>
            </w:pPr>
            <w:r>
              <w:rPr>
                <w:spacing w:val="-2"/>
                <w:sz w:val="20"/>
              </w:rPr>
              <w:t>$10,838,488</w:t>
            </w:r>
          </w:p>
        </w:tc>
      </w:tr>
      <w:tr>
        <w:trPr>
          <w:trHeight w:val="320" w:hRule="atLeast"/>
        </w:trPr>
        <w:tc>
          <w:tcPr>
            <w:tcW w:w="2730" w:type="dxa"/>
            <w:tcBorders>
              <w:top w:val="single" w:sz="6" w:space="0" w:color="000000"/>
              <w:left w:val="single" w:sz="6" w:space="0" w:color="000000"/>
              <w:bottom w:val="single" w:sz="6" w:space="0" w:color="000000"/>
              <w:right w:val="single" w:sz="6" w:space="0" w:color="000000"/>
            </w:tcBorders>
          </w:tcPr>
          <w:p>
            <w:pPr>
              <w:pStyle w:val="TableParagraph"/>
              <w:spacing w:before="37"/>
              <w:ind w:left="185"/>
              <w:rPr>
                <w:sz w:val="20"/>
              </w:rPr>
            </w:pPr>
            <w:r>
              <w:rPr>
                <w:spacing w:val="-2"/>
                <w:sz w:val="20"/>
              </w:rPr>
              <w:t>Boston</w:t>
            </w:r>
          </w:p>
        </w:tc>
        <w:tc>
          <w:tcPr>
            <w:tcW w:w="1679" w:type="dxa"/>
            <w:tcBorders>
              <w:top w:val="single" w:sz="6" w:space="0" w:color="000000"/>
              <w:left w:val="single" w:sz="6" w:space="0" w:color="000000"/>
              <w:bottom w:val="single" w:sz="6" w:space="0" w:color="000000"/>
              <w:right w:val="single" w:sz="12" w:space="0" w:color="000000"/>
            </w:tcBorders>
          </w:tcPr>
          <w:p>
            <w:pPr>
              <w:pStyle w:val="TableParagraph"/>
              <w:spacing w:before="37"/>
              <w:ind w:left="185"/>
              <w:rPr>
                <w:sz w:val="20"/>
              </w:rPr>
            </w:pPr>
            <w:r>
              <w:rPr>
                <w:spacing w:val="-2"/>
                <w:sz w:val="20"/>
              </w:rPr>
              <w:t>$47,706,835</w:t>
            </w:r>
          </w:p>
        </w:tc>
        <w:tc>
          <w:tcPr>
            <w:tcW w:w="3141" w:type="dxa"/>
            <w:tcBorders>
              <w:top w:val="single" w:sz="6" w:space="0" w:color="000000"/>
              <w:left w:val="single" w:sz="12" w:space="0" w:color="000000"/>
              <w:bottom w:val="single" w:sz="6" w:space="0" w:color="000000"/>
              <w:right w:val="single" w:sz="6" w:space="0" w:color="000000"/>
            </w:tcBorders>
          </w:tcPr>
          <w:p>
            <w:pPr>
              <w:pStyle w:val="TableParagraph"/>
              <w:spacing w:before="37"/>
              <w:ind w:left="179"/>
              <w:rPr>
                <w:sz w:val="20"/>
              </w:rPr>
            </w:pPr>
            <w:r>
              <w:rPr>
                <w:sz w:val="20"/>
              </w:rPr>
              <w:t>New</w:t>
            </w:r>
            <w:r>
              <w:rPr>
                <w:spacing w:val="-4"/>
                <w:sz w:val="20"/>
              </w:rPr>
              <w:t> </w:t>
            </w:r>
            <w:r>
              <w:rPr>
                <w:spacing w:val="-2"/>
                <w:sz w:val="20"/>
              </w:rPr>
              <w:t>Bedford</w:t>
            </w:r>
          </w:p>
        </w:tc>
        <w:tc>
          <w:tcPr>
            <w:tcW w:w="1750" w:type="dxa"/>
            <w:tcBorders>
              <w:top w:val="single" w:sz="6" w:space="0" w:color="000000"/>
              <w:left w:val="single" w:sz="6" w:space="0" w:color="000000"/>
              <w:bottom w:val="single" w:sz="6" w:space="0" w:color="000000"/>
              <w:right w:val="single" w:sz="6" w:space="0" w:color="000000"/>
            </w:tcBorders>
          </w:tcPr>
          <w:p>
            <w:pPr>
              <w:pStyle w:val="TableParagraph"/>
              <w:spacing w:before="37"/>
              <w:ind w:left="186"/>
              <w:rPr>
                <w:sz w:val="20"/>
              </w:rPr>
            </w:pPr>
            <w:r>
              <w:rPr>
                <w:spacing w:val="-2"/>
                <w:sz w:val="20"/>
              </w:rPr>
              <w:t>$2,293,066</w:t>
            </w:r>
          </w:p>
        </w:tc>
      </w:tr>
      <w:tr>
        <w:trPr>
          <w:trHeight w:val="321" w:hRule="atLeast"/>
        </w:trPr>
        <w:tc>
          <w:tcPr>
            <w:tcW w:w="2730" w:type="dxa"/>
            <w:tcBorders>
              <w:top w:val="single" w:sz="6" w:space="0" w:color="000000"/>
              <w:left w:val="single" w:sz="6" w:space="0" w:color="000000"/>
              <w:bottom w:val="single" w:sz="6" w:space="0" w:color="000000"/>
              <w:right w:val="single" w:sz="6" w:space="0" w:color="000000"/>
            </w:tcBorders>
          </w:tcPr>
          <w:p>
            <w:pPr>
              <w:pStyle w:val="TableParagraph"/>
              <w:spacing w:before="37"/>
              <w:ind w:left="185"/>
              <w:rPr>
                <w:sz w:val="20"/>
              </w:rPr>
            </w:pPr>
            <w:r>
              <w:rPr>
                <w:spacing w:val="-2"/>
                <w:sz w:val="20"/>
              </w:rPr>
              <w:t>Springfield/Hampden</w:t>
            </w:r>
            <w:r>
              <w:rPr>
                <w:spacing w:val="21"/>
                <w:sz w:val="20"/>
              </w:rPr>
              <w:t> </w:t>
            </w:r>
            <w:r>
              <w:rPr>
                <w:spacing w:val="-2"/>
                <w:sz w:val="20"/>
              </w:rPr>
              <w:t>County</w:t>
            </w:r>
          </w:p>
        </w:tc>
        <w:tc>
          <w:tcPr>
            <w:tcW w:w="1679" w:type="dxa"/>
            <w:tcBorders>
              <w:top w:val="single" w:sz="6" w:space="0" w:color="000000"/>
              <w:left w:val="single" w:sz="6" w:space="0" w:color="000000"/>
              <w:bottom w:val="single" w:sz="6" w:space="0" w:color="000000"/>
              <w:right w:val="single" w:sz="12" w:space="0" w:color="000000"/>
            </w:tcBorders>
          </w:tcPr>
          <w:p>
            <w:pPr>
              <w:pStyle w:val="TableParagraph"/>
              <w:spacing w:before="37"/>
              <w:ind w:left="185"/>
              <w:rPr>
                <w:sz w:val="20"/>
              </w:rPr>
            </w:pPr>
            <w:r>
              <w:rPr>
                <w:spacing w:val="-2"/>
                <w:sz w:val="20"/>
              </w:rPr>
              <w:t>$7,534,592</w:t>
            </w:r>
          </w:p>
        </w:tc>
        <w:tc>
          <w:tcPr>
            <w:tcW w:w="3141" w:type="dxa"/>
            <w:tcBorders>
              <w:top w:val="single" w:sz="6" w:space="0" w:color="000000"/>
              <w:left w:val="single" w:sz="12" w:space="0" w:color="000000"/>
              <w:bottom w:val="single" w:sz="6" w:space="0" w:color="000000"/>
              <w:right w:val="single" w:sz="6" w:space="0" w:color="000000"/>
            </w:tcBorders>
          </w:tcPr>
          <w:p>
            <w:pPr>
              <w:pStyle w:val="TableParagraph"/>
              <w:spacing w:before="37"/>
              <w:ind w:left="179"/>
              <w:rPr>
                <w:sz w:val="20"/>
              </w:rPr>
            </w:pPr>
            <w:r>
              <w:rPr>
                <w:sz w:val="20"/>
              </w:rPr>
              <w:t>Cape</w:t>
            </w:r>
            <w:r>
              <w:rPr>
                <w:spacing w:val="-3"/>
                <w:sz w:val="20"/>
              </w:rPr>
              <w:t> </w:t>
            </w:r>
            <w:r>
              <w:rPr>
                <w:sz w:val="20"/>
              </w:rPr>
              <w:t>Cod</w:t>
            </w:r>
            <w:r>
              <w:rPr>
                <w:spacing w:val="-2"/>
                <w:sz w:val="20"/>
              </w:rPr>
              <w:t> Islands</w:t>
            </w:r>
          </w:p>
        </w:tc>
        <w:tc>
          <w:tcPr>
            <w:tcW w:w="1750" w:type="dxa"/>
            <w:tcBorders>
              <w:top w:val="single" w:sz="6" w:space="0" w:color="000000"/>
              <w:left w:val="single" w:sz="6" w:space="0" w:color="000000"/>
              <w:bottom w:val="single" w:sz="6" w:space="0" w:color="000000"/>
              <w:right w:val="single" w:sz="6" w:space="0" w:color="000000"/>
            </w:tcBorders>
          </w:tcPr>
          <w:p>
            <w:pPr>
              <w:pStyle w:val="TableParagraph"/>
              <w:spacing w:before="37"/>
              <w:ind w:left="186"/>
              <w:rPr>
                <w:sz w:val="20"/>
              </w:rPr>
            </w:pPr>
            <w:r>
              <w:rPr>
                <w:spacing w:val="-2"/>
                <w:sz w:val="20"/>
              </w:rPr>
              <w:t>$2,445,777</w:t>
            </w:r>
          </w:p>
        </w:tc>
      </w:tr>
      <w:tr>
        <w:trPr>
          <w:trHeight w:val="321" w:hRule="atLeast"/>
        </w:trPr>
        <w:tc>
          <w:tcPr>
            <w:tcW w:w="2730" w:type="dxa"/>
            <w:tcBorders>
              <w:top w:val="single" w:sz="6" w:space="0" w:color="000000"/>
              <w:left w:val="single" w:sz="6" w:space="0" w:color="000000"/>
              <w:bottom w:val="single" w:sz="6" w:space="0" w:color="000000"/>
              <w:right w:val="single" w:sz="6" w:space="0" w:color="000000"/>
            </w:tcBorders>
          </w:tcPr>
          <w:p>
            <w:pPr>
              <w:pStyle w:val="TableParagraph"/>
              <w:spacing w:before="37"/>
              <w:ind w:left="185"/>
              <w:rPr>
                <w:sz w:val="20"/>
              </w:rPr>
            </w:pPr>
            <w:r>
              <w:rPr>
                <w:sz w:val="20"/>
              </w:rPr>
              <w:t>Worcester</w:t>
            </w:r>
            <w:r>
              <w:rPr>
                <w:spacing w:val="-4"/>
                <w:sz w:val="20"/>
              </w:rPr>
              <w:t> </w:t>
            </w:r>
            <w:r>
              <w:rPr>
                <w:sz w:val="20"/>
              </w:rPr>
              <w:t>City</w:t>
            </w:r>
            <w:r>
              <w:rPr>
                <w:spacing w:val="-3"/>
                <w:sz w:val="20"/>
              </w:rPr>
              <w:t> </w:t>
            </w:r>
            <w:r>
              <w:rPr>
                <w:sz w:val="20"/>
              </w:rPr>
              <w:t>&amp;</w:t>
            </w:r>
            <w:r>
              <w:rPr>
                <w:spacing w:val="-2"/>
                <w:sz w:val="20"/>
              </w:rPr>
              <w:t> County</w:t>
            </w:r>
          </w:p>
        </w:tc>
        <w:tc>
          <w:tcPr>
            <w:tcW w:w="1679" w:type="dxa"/>
            <w:tcBorders>
              <w:top w:val="single" w:sz="6" w:space="0" w:color="000000"/>
              <w:left w:val="single" w:sz="6" w:space="0" w:color="000000"/>
              <w:bottom w:val="single" w:sz="6" w:space="0" w:color="000000"/>
              <w:right w:val="single" w:sz="12" w:space="0" w:color="000000"/>
            </w:tcBorders>
          </w:tcPr>
          <w:p>
            <w:pPr>
              <w:pStyle w:val="TableParagraph"/>
              <w:spacing w:before="37"/>
              <w:ind w:left="185"/>
              <w:rPr>
                <w:sz w:val="20"/>
              </w:rPr>
            </w:pPr>
            <w:r>
              <w:rPr>
                <w:spacing w:val="-2"/>
                <w:sz w:val="20"/>
              </w:rPr>
              <w:t>$9,632,887</w:t>
            </w:r>
          </w:p>
        </w:tc>
        <w:tc>
          <w:tcPr>
            <w:tcW w:w="3141" w:type="dxa"/>
            <w:tcBorders>
              <w:top w:val="single" w:sz="6" w:space="0" w:color="000000"/>
              <w:left w:val="single" w:sz="12" w:space="0" w:color="000000"/>
              <w:bottom w:val="single" w:sz="6" w:space="0" w:color="000000"/>
              <w:right w:val="single" w:sz="6" w:space="0" w:color="000000"/>
            </w:tcBorders>
          </w:tcPr>
          <w:p>
            <w:pPr>
              <w:pStyle w:val="TableParagraph"/>
              <w:spacing w:before="37"/>
              <w:ind w:left="179"/>
              <w:rPr>
                <w:sz w:val="20"/>
              </w:rPr>
            </w:pPr>
            <w:r>
              <w:rPr>
                <w:spacing w:val="-2"/>
                <w:sz w:val="20"/>
              </w:rPr>
              <w:t>Attleboro,</w:t>
            </w:r>
            <w:r>
              <w:rPr>
                <w:spacing w:val="12"/>
                <w:sz w:val="20"/>
              </w:rPr>
              <w:t> </w:t>
            </w:r>
            <w:r>
              <w:rPr>
                <w:spacing w:val="-2"/>
                <w:sz w:val="20"/>
              </w:rPr>
              <w:t>Taunton/Bristol</w:t>
            </w:r>
            <w:r>
              <w:rPr>
                <w:spacing w:val="11"/>
                <w:sz w:val="20"/>
              </w:rPr>
              <w:t> </w:t>
            </w:r>
            <w:r>
              <w:rPr>
                <w:spacing w:val="-2"/>
                <w:sz w:val="20"/>
              </w:rPr>
              <w:t>County</w:t>
            </w:r>
          </w:p>
        </w:tc>
        <w:tc>
          <w:tcPr>
            <w:tcW w:w="1750" w:type="dxa"/>
            <w:tcBorders>
              <w:top w:val="single" w:sz="6" w:space="0" w:color="000000"/>
              <w:left w:val="single" w:sz="6" w:space="0" w:color="000000"/>
              <w:bottom w:val="single" w:sz="6" w:space="0" w:color="000000"/>
              <w:right w:val="single" w:sz="6" w:space="0" w:color="000000"/>
            </w:tcBorders>
          </w:tcPr>
          <w:p>
            <w:pPr>
              <w:pStyle w:val="TableParagraph"/>
              <w:spacing w:before="37"/>
              <w:ind w:left="186"/>
              <w:rPr>
                <w:sz w:val="20"/>
              </w:rPr>
            </w:pPr>
            <w:r>
              <w:rPr>
                <w:spacing w:val="-2"/>
                <w:sz w:val="20"/>
              </w:rPr>
              <w:t>$1,017,524</w:t>
            </w:r>
          </w:p>
        </w:tc>
      </w:tr>
      <w:tr>
        <w:trPr>
          <w:trHeight w:val="565" w:hRule="atLeast"/>
        </w:trPr>
        <w:tc>
          <w:tcPr>
            <w:tcW w:w="2730" w:type="dxa"/>
            <w:tcBorders>
              <w:top w:val="single" w:sz="6" w:space="0" w:color="000000"/>
              <w:left w:val="single" w:sz="6" w:space="0" w:color="000000"/>
              <w:bottom w:val="single" w:sz="6" w:space="0" w:color="000000"/>
              <w:right w:val="single" w:sz="6" w:space="0" w:color="000000"/>
            </w:tcBorders>
          </w:tcPr>
          <w:p>
            <w:pPr>
              <w:pStyle w:val="TableParagraph"/>
              <w:spacing w:before="37"/>
              <w:ind w:left="185" w:right="163"/>
              <w:rPr>
                <w:sz w:val="20"/>
              </w:rPr>
            </w:pPr>
            <w:r>
              <w:rPr>
                <w:sz w:val="20"/>
              </w:rPr>
              <w:t>Pittsfield/Berkshire,</w:t>
            </w:r>
            <w:r>
              <w:rPr>
                <w:spacing w:val="-12"/>
                <w:sz w:val="20"/>
              </w:rPr>
              <w:t> </w:t>
            </w:r>
            <w:r>
              <w:rPr>
                <w:sz w:val="20"/>
              </w:rPr>
              <w:t>Franklin, Hampshire Counties</w:t>
            </w:r>
          </w:p>
        </w:tc>
        <w:tc>
          <w:tcPr>
            <w:tcW w:w="1679" w:type="dxa"/>
            <w:tcBorders>
              <w:top w:val="single" w:sz="6" w:space="0" w:color="000000"/>
              <w:left w:val="single" w:sz="6" w:space="0" w:color="000000"/>
              <w:bottom w:val="single" w:sz="6" w:space="0" w:color="000000"/>
              <w:right w:val="single" w:sz="12" w:space="0" w:color="000000"/>
            </w:tcBorders>
          </w:tcPr>
          <w:p>
            <w:pPr>
              <w:pStyle w:val="TableParagraph"/>
              <w:spacing w:before="37"/>
              <w:rPr>
                <w:sz w:val="20"/>
              </w:rPr>
            </w:pPr>
          </w:p>
          <w:p>
            <w:pPr>
              <w:pStyle w:val="TableParagraph"/>
              <w:spacing w:before="1"/>
              <w:ind w:left="185"/>
              <w:rPr>
                <w:sz w:val="20"/>
              </w:rPr>
            </w:pPr>
            <w:r>
              <w:rPr>
                <w:spacing w:val="-5"/>
                <w:sz w:val="20"/>
              </w:rPr>
              <w:t>$0</w:t>
            </w:r>
          </w:p>
        </w:tc>
        <w:tc>
          <w:tcPr>
            <w:tcW w:w="3141" w:type="dxa"/>
            <w:tcBorders>
              <w:top w:val="single" w:sz="6" w:space="0" w:color="000000"/>
              <w:left w:val="single" w:sz="12" w:space="0" w:color="000000"/>
              <w:bottom w:val="single" w:sz="6" w:space="0" w:color="000000"/>
              <w:right w:val="single" w:sz="6" w:space="0" w:color="000000"/>
            </w:tcBorders>
          </w:tcPr>
          <w:p>
            <w:pPr>
              <w:pStyle w:val="TableParagraph"/>
              <w:spacing w:before="37"/>
              <w:rPr>
                <w:sz w:val="20"/>
              </w:rPr>
            </w:pPr>
          </w:p>
          <w:p>
            <w:pPr>
              <w:pStyle w:val="TableParagraph"/>
              <w:spacing w:before="1"/>
              <w:ind w:left="179"/>
              <w:rPr>
                <w:sz w:val="20"/>
              </w:rPr>
            </w:pPr>
            <w:r>
              <w:rPr>
                <w:spacing w:val="-4"/>
                <w:sz w:val="20"/>
              </w:rPr>
              <w:t>Lynn</w:t>
            </w:r>
          </w:p>
        </w:tc>
        <w:tc>
          <w:tcPr>
            <w:tcW w:w="1750" w:type="dxa"/>
            <w:tcBorders>
              <w:top w:val="single" w:sz="6" w:space="0" w:color="000000"/>
              <w:left w:val="single" w:sz="6" w:space="0" w:color="000000"/>
              <w:bottom w:val="single" w:sz="6" w:space="0" w:color="000000"/>
              <w:right w:val="single" w:sz="6" w:space="0" w:color="000000"/>
            </w:tcBorders>
          </w:tcPr>
          <w:p>
            <w:pPr>
              <w:pStyle w:val="TableParagraph"/>
              <w:spacing w:before="37"/>
              <w:rPr>
                <w:sz w:val="20"/>
              </w:rPr>
            </w:pPr>
          </w:p>
          <w:p>
            <w:pPr>
              <w:pStyle w:val="TableParagraph"/>
              <w:spacing w:before="1"/>
              <w:ind w:left="186"/>
              <w:rPr>
                <w:sz w:val="20"/>
              </w:rPr>
            </w:pPr>
            <w:r>
              <w:rPr>
                <w:spacing w:val="-2"/>
                <w:sz w:val="20"/>
              </w:rPr>
              <w:t>$3,026,164</w:t>
            </w:r>
          </w:p>
        </w:tc>
      </w:tr>
      <w:tr>
        <w:trPr>
          <w:trHeight w:val="322" w:hRule="atLeast"/>
        </w:trPr>
        <w:tc>
          <w:tcPr>
            <w:tcW w:w="2730" w:type="dxa"/>
            <w:tcBorders>
              <w:top w:val="single" w:sz="6" w:space="0" w:color="000000"/>
              <w:left w:val="single" w:sz="6" w:space="0" w:color="000000"/>
              <w:right w:val="single" w:sz="6" w:space="0" w:color="000000"/>
            </w:tcBorders>
          </w:tcPr>
          <w:p>
            <w:pPr>
              <w:pStyle w:val="TableParagraph"/>
              <w:spacing w:before="37"/>
              <w:ind w:left="185"/>
              <w:rPr>
                <w:sz w:val="20"/>
              </w:rPr>
            </w:pPr>
            <w:r>
              <w:rPr>
                <w:spacing w:val="-2"/>
                <w:sz w:val="20"/>
              </w:rPr>
              <w:t>Cambridge</w:t>
            </w:r>
          </w:p>
        </w:tc>
        <w:tc>
          <w:tcPr>
            <w:tcW w:w="1679" w:type="dxa"/>
            <w:tcBorders>
              <w:top w:val="single" w:sz="6" w:space="0" w:color="000000"/>
              <w:left w:val="single" w:sz="6" w:space="0" w:color="000000"/>
              <w:right w:val="single" w:sz="12" w:space="0" w:color="000000"/>
            </w:tcBorders>
          </w:tcPr>
          <w:p>
            <w:pPr>
              <w:pStyle w:val="TableParagraph"/>
              <w:spacing w:before="37"/>
              <w:ind w:left="185"/>
              <w:rPr>
                <w:sz w:val="20"/>
              </w:rPr>
            </w:pPr>
            <w:r>
              <w:rPr>
                <w:spacing w:val="-2"/>
                <w:sz w:val="20"/>
              </w:rPr>
              <w:t>$6,404,386</w:t>
            </w:r>
          </w:p>
        </w:tc>
        <w:tc>
          <w:tcPr>
            <w:tcW w:w="3141" w:type="dxa"/>
            <w:tcBorders>
              <w:top w:val="single" w:sz="6" w:space="0" w:color="000000"/>
              <w:left w:val="single" w:sz="12" w:space="0" w:color="000000"/>
              <w:right w:val="single" w:sz="6" w:space="0" w:color="000000"/>
            </w:tcBorders>
          </w:tcPr>
          <w:p>
            <w:pPr>
              <w:pStyle w:val="TableParagraph"/>
              <w:spacing w:before="37"/>
              <w:ind w:left="179"/>
              <w:rPr>
                <w:sz w:val="20"/>
              </w:rPr>
            </w:pPr>
            <w:r>
              <w:rPr>
                <w:sz w:val="20"/>
              </w:rPr>
              <w:t>Fall</w:t>
            </w:r>
            <w:r>
              <w:rPr>
                <w:spacing w:val="-2"/>
                <w:sz w:val="20"/>
              </w:rPr>
              <w:t> River</w:t>
            </w:r>
          </w:p>
        </w:tc>
        <w:tc>
          <w:tcPr>
            <w:tcW w:w="1750" w:type="dxa"/>
            <w:tcBorders>
              <w:top w:val="single" w:sz="6" w:space="0" w:color="000000"/>
              <w:left w:val="single" w:sz="6" w:space="0" w:color="000000"/>
              <w:right w:val="single" w:sz="6" w:space="0" w:color="000000"/>
            </w:tcBorders>
          </w:tcPr>
          <w:p>
            <w:pPr>
              <w:pStyle w:val="TableParagraph"/>
              <w:spacing w:before="37"/>
              <w:ind w:left="186"/>
              <w:rPr>
                <w:sz w:val="20"/>
              </w:rPr>
            </w:pPr>
            <w:r>
              <w:rPr>
                <w:spacing w:val="-2"/>
                <w:sz w:val="20"/>
              </w:rPr>
              <w:t>$2,251,028</w:t>
            </w:r>
          </w:p>
        </w:tc>
      </w:tr>
      <w:tr>
        <w:trPr>
          <w:trHeight w:val="620" w:hRule="atLeast"/>
        </w:trPr>
        <w:tc>
          <w:tcPr>
            <w:tcW w:w="9300" w:type="dxa"/>
            <w:gridSpan w:val="4"/>
            <w:tcBorders>
              <w:right w:val="single" w:sz="6" w:space="0" w:color="000000"/>
            </w:tcBorders>
          </w:tcPr>
          <w:p>
            <w:pPr>
              <w:pStyle w:val="TableParagraph"/>
              <w:spacing w:before="99"/>
              <w:ind w:left="243"/>
              <w:rPr>
                <w:b/>
                <w:sz w:val="20"/>
              </w:rPr>
            </w:pPr>
            <w:r>
              <w:rPr>
                <w:b/>
                <w:sz w:val="20"/>
              </w:rPr>
              <w:t>TOTAL</w:t>
            </w:r>
            <w:r>
              <w:rPr>
                <w:b/>
                <w:spacing w:val="-4"/>
                <w:sz w:val="20"/>
              </w:rPr>
              <w:t> </w:t>
            </w:r>
            <w:r>
              <w:rPr>
                <w:b/>
                <w:sz w:val="20"/>
              </w:rPr>
              <w:t>FUNDING</w:t>
            </w:r>
            <w:r>
              <w:rPr>
                <w:b/>
                <w:spacing w:val="-4"/>
                <w:sz w:val="20"/>
              </w:rPr>
              <w:t> </w:t>
            </w:r>
            <w:r>
              <w:rPr>
                <w:b/>
                <w:sz w:val="20"/>
              </w:rPr>
              <w:t>AMOUNT:</w:t>
            </w:r>
            <w:r>
              <w:rPr>
                <w:b/>
                <w:spacing w:val="39"/>
                <w:sz w:val="20"/>
              </w:rPr>
              <w:t> </w:t>
            </w:r>
            <w:r>
              <w:rPr>
                <w:b/>
                <w:spacing w:val="-2"/>
                <w:sz w:val="20"/>
              </w:rPr>
              <w:t>$124,913,344</w:t>
            </w:r>
          </w:p>
        </w:tc>
      </w:tr>
    </w:tbl>
    <w:p>
      <w:pPr>
        <w:spacing w:before="243"/>
        <w:ind w:left="464" w:right="0" w:firstLine="0"/>
        <w:jc w:val="both"/>
        <w:rPr>
          <w:i/>
          <w:sz w:val="16"/>
        </w:rPr>
      </w:pPr>
      <w:r>
        <w:rPr>
          <w:i/>
          <w:sz w:val="16"/>
        </w:rPr>
        <w:t>Table</w:t>
      </w:r>
      <w:r>
        <w:rPr>
          <w:i/>
          <w:spacing w:val="-6"/>
          <w:sz w:val="16"/>
        </w:rPr>
        <w:t> </w:t>
      </w:r>
      <w:r>
        <w:rPr>
          <w:i/>
          <w:sz w:val="16"/>
        </w:rPr>
        <w:t>2:</w:t>
      </w:r>
      <w:r>
        <w:rPr>
          <w:i/>
          <w:spacing w:val="-6"/>
          <w:sz w:val="16"/>
        </w:rPr>
        <w:t> </w:t>
      </w:r>
      <w:r>
        <w:rPr>
          <w:i/>
          <w:sz w:val="16"/>
        </w:rPr>
        <w:t>U.S.</w:t>
      </w:r>
      <w:r>
        <w:rPr>
          <w:i/>
          <w:spacing w:val="-6"/>
          <w:sz w:val="16"/>
        </w:rPr>
        <w:t> </w:t>
      </w:r>
      <w:r>
        <w:rPr>
          <w:i/>
          <w:sz w:val="16"/>
        </w:rPr>
        <w:t>HUD</w:t>
      </w:r>
      <w:r>
        <w:rPr>
          <w:i/>
          <w:spacing w:val="-5"/>
          <w:sz w:val="16"/>
        </w:rPr>
        <w:t> </w:t>
      </w:r>
      <w:r>
        <w:rPr>
          <w:i/>
          <w:sz w:val="16"/>
        </w:rPr>
        <w:t>Data</w:t>
      </w:r>
      <w:r>
        <w:rPr>
          <w:i/>
          <w:spacing w:val="-6"/>
          <w:sz w:val="16"/>
        </w:rPr>
        <w:t> </w:t>
      </w:r>
      <w:r>
        <w:rPr>
          <w:i/>
          <w:sz w:val="16"/>
        </w:rPr>
        <w:t>of</w:t>
      </w:r>
      <w:r>
        <w:rPr>
          <w:i/>
          <w:spacing w:val="-6"/>
          <w:sz w:val="16"/>
        </w:rPr>
        <w:t> </w:t>
      </w:r>
      <w:r>
        <w:rPr>
          <w:i/>
          <w:sz w:val="16"/>
        </w:rPr>
        <w:t>FY2023</w:t>
      </w:r>
      <w:r>
        <w:rPr>
          <w:i/>
          <w:spacing w:val="-6"/>
          <w:sz w:val="16"/>
        </w:rPr>
        <w:t> </w:t>
      </w:r>
      <w:r>
        <w:rPr>
          <w:i/>
          <w:sz w:val="16"/>
        </w:rPr>
        <w:t>Funding</w:t>
      </w:r>
      <w:r>
        <w:rPr>
          <w:i/>
          <w:spacing w:val="-7"/>
          <w:sz w:val="16"/>
        </w:rPr>
        <w:t> </w:t>
      </w:r>
      <w:r>
        <w:rPr>
          <w:i/>
          <w:sz w:val="16"/>
        </w:rPr>
        <w:t>for</w:t>
      </w:r>
      <w:r>
        <w:rPr>
          <w:i/>
          <w:spacing w:val="-6"/>
          <w:sz w:val="16"/>
        </w:rPr>
        <w:t> </w:t>
      </w:r>
      <w:r>
        <w:rPr>
          <w:i/>
          <w:sz w:val="16"/>
        </w:rPr>
        <w:t>Homelessness</w:t>
      </w:r>
      <w:r>
        <w:rPr>
          <w:i/>
          <w:spacing w:val="-5"/>
          <w:sz w:val="16"/>
        </w:rPr>
        <w:t> </w:t>
      </w:r>
      <w:r>
        <w:rPr>
          <w:i/>
          <w:sz w:val="16"/>
        </w:rPr>
        <w:t>Assistance</w:t>
      </w:r>
      <w:r>
        <w:rPr>
          <w:i/>
          <w:spacing w:val="-6"/>
          <w:sz w:val="16"/>
        </w:rPr>
        <w:t> </w:t>
      </w:r>
      <w:r>
        <w:rPr>
          <w:i/>
          <w:sz w:val="16"/>
        </w:rPr>
        <w:t>Programs</w:t>
      </w:r>
      <w:r>
        <w:rPr>
          <w:i/>
          <w:spacing w:val="-6"/>
          <w:sz w:val="16"/>
        </w:rPr>
        <w:t> </w:t>
      </w:r>
      <w:r>
        <w:rPr>
          <w:i/>
          <w:sz w:val="16"/>
        </w:rPr>
        <w:t>in</w:t>
      </w:r>
      <w:r>
        <w:rPr>
          <w:i/>
          <w:spacing w:val="-6"/>
          <w:sz w:val="16"/>
        </w:rPr>
        <w:t> </w:t>
      </w:r>
      <w:r>
        <w:rPr>
          <w:i/>
          <w:sz w:val="16"/>
        </w:rPr>
        <w:t>Massachusetts</w:t>
      </w:r>
      <w:r>
        <w:rPr>
          <w:i/>
          <w:spacing w:val="-6"/>
          <w:sz w:val="16"/>
        </w:rPr>
        <w:t> </w:t>
      </w:r>
      <w:r>
        <w:rPr>
          <w:i/>
          <w:spacing w:val="-4"/>
          <w:sz w:val="16"/>
        </w:rPr>
        <w:t>CoCs</w:t>
      </w:r>
    </w:p>
    <w:p>
      <w:pPr>
        <w:pStyle w:val="BodyText"/>
        <w:spacing w:before="73"/>
        <w:rPr>
          <w:i/>
          <w:sz w:val="16"/>
        </w:rPr>
      </w:pPr>
    </w:p>
    <w:p>
      <w:pPr>
        <w:spacing w:before="0"/>
        <w:ind w:left="464" w:right="0" w:firstLine="0"/>
        <w:jc w:val="both"/>
        <w:rPr>
          <w:sz w:val="24"/>
        </w:rPr>
      </w:pPr>
      <w:bookmarkStart w:name="Addressing Gaps in LGBTQ Youth Homelessn" w:id="493"/>
      <w:bookmarkEnd w:id="493"/>
      <w:r>
        <w:rPr/>
      </w:r>
      <w:r>
        <w:rPr>
          <w:color w:val="365F91"/>
          <w:sz w:val="24"/>
        </w:rPr>
        <w:t>Addressing</w:t>
      </w:r>
      <w:r>
        <w:rPr>
          <w:color w:val="365F91"/>
          <w:spacing w:val="-3"/>
          <w:sz w:val="24"/>
        </w:rPr>
        <w:t> </w:t>
      </w:r>
      <w:r>
        <w:rPr>
          <w:color w:val="365F91"/>
          <w:sz w:val="24"/>
        </w:rPr>
        <w:t>Gaps</w:t>
      </w:r>
      <w:r>
        <w:rPr>
          <w:color w:val="365F91"/>
          <w:spacing w:val="-3"/>
          <w:sz w:val="24"/>
        </w:rPr>
        <w:t> </w:t>
      </w:r>
      <w:r>
        <w:rPr>
          <w:color w:val="365F91"/>
          <w:sz w:val="24"/>
        </w:rPr>
        <w:t>in</w:t>
      </w:r>
      <w:r>
        <w:rPr>
          <w:color w:val="365F91"/>
          <w:spacing w:val="-3"/>
          <w:sz w:val="24"/>
        </w:rPr>
        <w:t> </w:t>
      </w:r>
      <w:r>
        <w:rPr>
          <w:color w:val="365F91"/>
          <w:sz w:val="24"/>
        </w:rPr>
        <w:t>LGBTQ</w:t>
      </w:r>
      <w:r>
        <w:rPr>
          <w:color w:val="365F91"/>
          <w:spacing w:val="-1"/>
          <w:sz w:val="24"/>
        </w:rPr>
        <w:t> </w:t>
      </w:r>
      <w:r>
        <w:rPr>
          <w:color w:val="365F91"/>
          <w:sz w:val="24"/>
        </w:rPr>
        <w:t>Youth</w:t>
      </w:r>
      <w:r>
        <w:rPr>
          <w:color w:val="365F91"/>
          <w:spacing w:val="-3"/>
          <w:sz w:val="24"/>
        </w:rPr>
        <w:t> </w:t>
      </w:r>
      <w:r>
        <w:rPr>
          <w:color w:val="365F91"/>
          <w:sz w:val="24"/>
        </w:rPr>
        <w:t>Homelessness</w:t>
      </w:r>
      <w:r>
        <w:rPr>
          <w:color w:val="365F91"/>
          <w:spacing w:val="-3"/>
          <w:sz w:val="24"/>
        </w:rPr>
        <w:t> </w:t>
      </w:r>
      <w:r>
        <w:rPr>
          <w:color w:val="365F91"/>
          <w:sz w:val="24"/>
        </w:rPr>
        <w:t>in</w:t>
      </w:r>
      <w:r>
        <w:rPr>
          <w:color w:val="365F91"/>
          <w:spacing w:val="-3"/>
          <w:sz w:val="24"/>
        </w:rPr>
        <w:t> </w:t>
      </w:r>
      <w:r>
        <w:rPr>
          <w:color w:val="365F91"/>
          <w:sz w:val="24"/>
        </w:rPr>
        <w:t>the</w:t>
      </w:r>
      <w:r>
        <w:rPr>
          <w:color w:val="365F91"/>
          <w:spacing w:val="-1"/>
          <w:sz w:val="24"/>
        </w:rPr>
        <w:t> </w:t>
      </w:r>
      <w:r>
        <w:rPr>
          <w:color w:val="365F91"/>
          <w:spacing w:val="-2"/>
          <w:sz w:val="24"/>
        </w:rPr>
        <w:t>Commonwealth</w:t>
      </w:r>
    </w:p>
    <w:p>
      <w:pPr>
        <w:spacing w:line="252" w:lineRule="auto" w:before="284"/>
        <w:ind w:left="1215" w:right="1152" w:hanging="2"/>
        <w:jc w:val="center"/>
        <w:rPr>
          <w:rFonts w:ascii="Cambria" w:hAnsi="Cambria"/>
          <w:i/>
          <w:sz w:val="21"/>
        </w:rPr>
      </w:pPr>
      <w:r>
        <w:rPr>
          <w:rFonts w:ascii="Cambria" w:hAnsi="Cambria"/>
          <w:i/>
          <w:color w:val="4F81BC"/>
          <w:sz w:val="21"/>
        </w:rPr>
        <w:t>“I’ve been homeless on and off since 2019. Recently, I became homeless because I was</w:t>
      </w:r>
      <w:r>
        <w:rPr>
          <w:rFonts w:ascii="Cambria" w:hAnsi="Cambria"/>
          <w:i/>
          <w:color w:val="4F81BC"/>
          <w:sz w:val="21"/>
        </w:rPr>
        <w:t> evicted – my previous roommates abandoned the lease without notice and the rent piled up. Before that, I was homeless because the landlord evicted us because repairs were needed… appliances weren’t working, the roof leaked, the power kept tripping, and</w:t>
      </w:r>
      <w:r>
        <w:rPr>
          <w:rFonts w:ascii="Cambria" w:hAnsi="Cambria"/>
          <w:i/>
          <w:color w:val="4F81BC"/>
          <w:spacing w:val="-3"/>
          <w:sz w:val="21"/>
        </w:rPr>
        <w:t> </w:t>
      </w:r>
      <w:r>
        <w:rPr>
          <w:rFonts w:ascii="Cambria" w:hAnsi="Cambria"/>
          <w:i/>
          <w:color w:val="4F81BC"/>
          <w:sz w:val="21"/>
        </w:rPr>
        <w:t>there</w:t>
      </w:r>
      <w:r>
        <w:rPr>
          <w:rFonts w:ascii="Cambria" w:hAnsi="Cambria"/>
          <w:i/>
          <w:color w:val="4F81BC"/>
          <w:spacing w:val="-3"/>
          <w:sz w:val="21"/>
        </w:rPr>
        <w:t> </w:t>
      </w:r>
      <w:r>
        <w:rPr>
          <w:rFonts w:ascii="Cambria" w:hAnsi="Cambria"/>
          <w:i/>
          <w:color w:val="4F81BC"/>
          <w:sz w:val="21"/>
        </w:rPr>
        <w:t>was</w:t>
      </w:r>
      <w:r>
        <w:rPr>
          <w:rFonts w:ascii="Cambria" w:hAnsi="Cambria"/>
          <w:i/>
          <w:color w:val="4F81BC"/>
          <w:spacing w:val="-3"/>
          <w:sz w:val="21"/>
        </w:rPr>
        <w:t> </w:t>
      </w:r>
      <w:r>
        <w:rPr>
          <w:rFonts w:ascii="Cambria" w:hAnsi="Cambria"/>
          <w:i/>
          <w:color w:val="4F81BC"/>
          <w:sz w:val="21"/>
        </w:rPr>
        <w:t>a</w:t>
      </w:r>
      <w:r>
        <w:rPr>
          <w:rFonts w:ascii="Cambria" w:hAnsi="Cambria"/>
          <w:i/>
          <w:color w:val="4F81BC"/>
          <w:spacing w:val="-3"/>
          <w:sz w:val="21"/>
        </w:rPr>
        <w:t> </w:t>
      </w:r>
      <w:r>
        <w:rPr>
          <w:rFonts w:ascii="Cambria" w:hAnsi="Cambria"/>
          <w:i/>
          <w:color w:val="4F81BC"/>
          <w:sz w:val="21"/>
        </w:rPr>
        <w:t>mouse</w:t>
      </w:r>
      <w:r>
        <w:rPr>
          <w:rFonts w:ascii="Cambria" w:hAnsi="Cambria"/>
          <w:i/>
          <w:color w:val="4F81BC"/>
          <w:spacing w:val="-3"/>
          <w:sz w:val="21"/>
        </w:rPr>
        <w:t> </w:t>
      </w:r>
      <w:r>
        <w:rPr>
          <w:rFonts w:ascii="Cambria" w:hAnsi="Cambria"/>
          <w:i/>
          <w:color w:val="4F81BC"/>
          <w:sz w:val="21"/>
        </w:rPr>
        <w:t>infestation.</w:t>
      </w:r>
      <w:r>
        <w:rPr>
          <w:rFonts w:ascii="Cambria" w:hAnsi="Cambria"/>
          <w:i/>
          <w:color w:val="4F81BC"/>
          <w:spacing w:val="-3"/>
          <w:sz w:val="21"/>
        </w:rPr>
        <w:t> </w:t>
      </w:r>
      <w:r>
        <w:rPr>
          <w:rFonts w:ascii="Cambria" w:hAnsi="Cambria"/>
          <w:i/>
          <w:color w:val="4F81BC"/>
          <w:sz w:val="21"/>
        </w:rPr>
        <w:t>We</w:t>
      </w:r>
      <w:r>
        <w:rPr>
          <w:rFonts w:ascii="Cambria" w:hAnsi="Cambria"/>
          <w:i/>
          <w:color w:val="4F81BC"/>
          <w:spacing w:val="-3"/>
          <w:sz w:val="21"/>
        </w:rPr>
        <w:t> </w:t>
      </w:r>
      <w:r>
        <w:rPr>
          <w:rFonts w:ascii="Cambria" w:hAnsi="Cambria"/>
          <w:i/>
          <w:color w:val="4F81BC"/>
          <w:sz w:val="21"/>
        </w:rPr>
        <w:t>tried</w:t>
      </w:r>
      <w:r>
        <w:rPr>
          <w:rFonts w:ascii="Cambria" w:hAnsi="Cambria"/>
          <w:i/>
          <w:color w:val="4F81BC"/>
          <w:spacing w:val="-3"/>
          <w:sz w:val="21"/>
        </w:rPr>
        <w:t> </w:t>
      </w:r>
      <w:r>
        <w:rPr>
          <w:rFonts w:ascii="Cambria" w:hAnsi="Cambria"/>
          <w:i/>
          <w:color w:val="4F81BC"/>
          <w:sz w:val="21"/>
        </w:rPr>
        <w:t>to</w:t>
      </w:r>
      <w:r>
        <w:rPr>
          <w:rFonts w:ascii="Cambria" w:hAnsi="Cambria"/>
          <w:i/>
          <w:color w:val="4F81BC"/>
          <w:spacing w:val="-3"/>
          <w:sz w:val="21"/>
        </w:rPr>
        <w:t> </w:t>
      </w:r>
      <w:r>
        <w:rPr>
          <w:rFonts w:ascii="Cambria" w:hAnsi="Cambria"/>
          <w:i/>
          <w:color w:val="4F81BC"/>
          <w:sz w:val="21"/>
        </w:rPr>
        <w:t>call</w:t>
      </w:r>
      <w:r>
        <w:rPr>
          <w:rFonts w:ascii="Cambria" w:hAnsi="Cambria"/>
          <w:i/>
          <w:color w:val="4F81BC"/>
          <w:spacing w:val="-3"/>
          <w:sz w:val="21"/>
        </w:rPr>
        <w:t> </w:t>
      </w:r>
      <w:r>
        <w:rPr>
          <w:rFonts w:ascii="Cambria" w:hAnsi="Cambria"/>
          <w:i/>
          <w:color w:val="4F81BC"/>
          <w:sz w:val="21"/>
        </w:rPr>
        <w:t>the</w:t>
      </w:r>
      <w:r>
        <w:rPr>
          <w:rFonts w:ascii="Cambria" w:hAnsi="Cambria"/>
          <w:i/>
          <w:color w:val="4F81BC"/>
          <w:spacing w:val="-3"/>
          <w:sz w:val="21"/>
        </w:rPr>
        <w:t> </w:t>
      </w:r>
      <w:r>
        <w:rPr>
          <w:rFonts w:ascii="Cambria" w:hAnsi="Cambria"/>
          <w:i/>
          <w:color w:val="4F81BC"/>
          <w:sz w:val="21"/>
        </w:rPr>
        <w:t>city</w:t>
      </w:r>
      <w:r>
        <w:rPr>
          <w:rFonts w:ascii="Cambria" w:hAnsi="Cambria"/>
          <w:i/>
          <w:color w:val="4F81BC"/>
          <w:spacing w:val="-2"/>
          <w:sz w:val="21"/>
        </w:rPr>
        <w:t> </w:t>
      </w:r>
      <w:r>
        <w:rPr>
          <w:rFonts w:ascii="Cambria" w:hAnsi="Cambria"/>
          <w:i/>
          <w:color w:val="4F81BC"/>
          <w:sz w:val="21"/>
        </w:rPr>
        <w:t>but</w:t>
      </w:r>
      <w:r>
        <w:rPr>
          <w:rFonts w:ascii="Cambria" w:hAnsi="Cambria"/>
          <w:i/>
          <w:color w:val="4F81BC"/>
          <w:spacing w:val="-3"/>
          <w:sz w:val="21"/>
        </w:rPr>
        <w:t> </w:t>
      </w:r>
      <w:r>
        <w:rPr>
          <w:rFonts w:ascii="Cambria" w:hAnsi="Cambria"/>
          <w:i/>
          <w:color w:val="4F81BC"/>
          <w:sz w:val="21"/>
        </w:rPr>
        <w:t>they</w:t>
      </w:r>
      <w:r>
        <w:rPr>
          <w:rFonts w:ascii="Cambria" w:hAnsi="Cambria"/>
          <w:i/>
          <w:color w:val="4F81BC"/>
          <w:spacing w:val="-3"/>
          <w:sz w:val="21"/>
        </w:rPr>
        <w:t> </w:t>
      </w:r>
      <w:r>
        <w:rPr>
          <w:rFonts w:ascii="Cambria" w:hAnsi="Cambria"/>
          <w:i/>
          <w:color w:val="4F81BC"/>
          <w:sz w:val="21"/>
        </w:rPr>
        <w:t>wouldn’t</w:t>
      </w:r>
      <w:r>
        <w:rPr>
          <w:rFonts w:ascii="Cambria" w:hAnsi="Cambria"/>
          <w:i/>
          <w:color w:val="4F81BC"/>
          <w:spacing w:val="-3"/>
          <w:sz w:val="21"/>
        </w:rPr>
        <w:t> </w:t>
      </w:r>
      <w:r>
        <w:rPr>
          <w:rFonts w:ascii="Cambria" w:hAnsi="Cambria"/>
          <w:i/>
          <w:color w:val="4F81BC"/>
          <w:sz w:val="21"/>
        </w:rPr>
        <w:t>help…</w:t>
      </w:r>
      <w:r>
        <w:rPr>
          <w:rFonts w:ascii="Cambria" w:hAnsi="Cambria"/>
          <w:i/>
          <w:color w:val="4F81BC"/>
          <w:spacing w:val="-3"/>
          <w:sz w:val="21"/>
        </w:rPr>
        <w:t> </w:t>
      </w:r>
      <w:r>
        <w:rPr>
          <w:rFonts w:ascii="Cambria" w:hAnsi="Cambria"/>
          <w:i/>
          <w:color w:val="4F81BC"/>
          <w:sz w:val="21"/>
        </w:rPr>
        <w:t>the</w:t>
      </w:r>
    </w:p>
    <w:p>
      <w:pPr>
        <w:spacing w:after="0" w:line="252" w:lineRule="auto"/>
        <w:jc w:val="center"/>
        <w:rPr>
          <w:rFonts w:ascii="Cambria" w:hAnsi="Cambria"/>
          <w:sz w:val="21"/>
        </w:rPr>
        <w:sectPr>
          <w:pgSz w:w="12240" w:h="15840"/>
          <w:pgMar w:header="765" w:footer="1127" w:top="1280" w:bottom="1380" w:left="1120" w:right="1180"/>
        </w:sectPr>
      </w:pPr>
    </w:p>
    <w:p>
      <w:pPr>
        <w:spacing w:line="252" w:lineRule="auto" w:before="90"/>
        <w:ind w:left="1220" w:right="1158" w:firstLine="0"/>
        <w:jc w:val="center"/>
        <w:rPr>
          <w:rFonts w:ascii="Cambria" w:hAnsi="Cambria"/>
          <w:i/>
          <w:sz w:val="21"/>
        </w:rPr>
      </w:pPr>
      <w:r>
        <w:rPr>
          <w:rFonts w:ascii="Cambria" w:hAnsi="Cambria"/>
          <w:i/>
          <w:color w:val="4F81BC"/>
          <w:sz w:val="21"/>
        </w:rPr>
        <w:t>city</w:t>
      </w:r>
      <w:r>
        <w:rPr>
          <w:rFonts w:ascii="Cambria" w:hAnsi="Cambria"/>
          <w:i/>
          <w:color w:val="4F81BC"/>
          <w:spacing w:val="-2"/>
          <w:sz w:val="21"/>
        </w:rPr>
        <w:t> </w:t>
      </w:r>
      <w:r>
        <w:rPr>
          <w:rFonts w:ascii="Cambria" w:hAnsi="Cambria"/>
          <w:i/>
          <w:color w:val="4F81BC"/>
          <w:sz w:val="21"/>
        </w:rPr>
        <w:t>needs</w:t>
      </w:r>
      <w:r>
        <w:rPr>
          <w:rFonts w:ascii="Cambria" w:hAnsi="Cambria"/>
          <w:i/>
          <w:color w:val="4F81BC"/>
          <w:spacing w:val="-4"/>
          <w:sz w:val="21"/>
        </w:rPr>
        <w:t> </w:t>
      </w:r>
      <w:r>
        <w:rPr>
          <w:rFonts w:ascii="Cambria" w:hAnsi="Cambria"/>
          <w:i/>
          <w:color w:val="4F81BC"/>
          <w:sz w:val="21"/>
        </w:rPr>
        <w:t>to</w:t>
      </w:r>
      <w:r>
        <w:rPr>
          <w:rFonts w:ascii="Cambria" w:hAnsi="Cambria"/>
          <w:i/>
          <w:color w:val="4F81BC"/>
          <w:spacing w:val="-4"/>
          <w:sz w:val="21"/>
        </w:rPr>
        <w:t> </w:t>
      </w:r>
      <w:r>
        <w:rPr>
          <w:rFonts w:ascii="Cambria" w:hAnsi="Cambria"/>
          <w:i/>
          <w:color w:val="4F81BC"/>
          <w:sz w:val="21"/>
        </w:rPr>
        <w:t>update</w:t>
      </w:r>
      <w:r>
        <w:rPr>
          <w:rFonts w:ascii="Cambria" w:hAnsi="Cambria"/>
          <w:i/>
          <w:color w:val="4F81BC"/>
          <w:spacing w:val="-3"/>
          <w:sz w:val="21"/>
        </w:rPr>
        <w:t> </w:t>
      </w:r>
      <w:r>
        <w:rPr>
          <w:rFonts w:ascii="Cambria" w:hAnsi="Cambria"/>
          <w:i/>
          <w:color w:val="4F81BC"/>
          <w:sz w:val="21"/>
        </w:rPr>
        <w:t>its</w:t>
      </w:r>
      <w:r>
        <w:rPr>
          <w:rFonts w:ascii="Cambria" w:hAnsi="Cambria"/>
          <w:i/>
          <w:color w:val="4F81BC"/>
          <w:spacing w:val="-3"/>
          <w:sz w:val="21"/>
        </w:rPr>
        <w:t> </w:t>
      </w:r>
      <w:r>
        <w:rPr>
          <w:rFonts w:ascii="Cambria" w:hAnsi="Cambria"/>
          <w:i/>
          <w:color w:val="4F81BC"/>
          <w:sz w:val="21"/>
        </w:rPr>
        <w:t>qualifications</w:t>
      </w:r>
      <w:r>
        <w:rPr>
          <w:rFonts w:ascii="Cambria" w:hAnsi="Cambria"/>
          <w:i/>
          <w:color w:val="4F81BC"/>
          <w:spacing w:val="-3"/>
          <w:sz w:val="21"/>
        </w:rPr>
        <w:t> </w:t>
      </w:r>
      <w:r>
        <w:rPr>
          <w:rFonts w:ascii="Cambria" w:hAnsi="Cambria"/>
          <w:i/>
          <w:color w:val="4F81BC"/>
          <w:sz w:val="21"/>
        </w:rPr>
        <w:t>for</w:t>
      </w:r>
      <w:r>
        <w:rPr>
          <w:rFonts w:ascii="Cambria" w:hAnsi="Cambria"/>
          <w:i/>
          <w:color w:val="4F81BC"/>
          <w:spacing w:val="-3"/>
          <w:sz w:val="21"/>
        </w:rPr>
        <w:t> </w:t>
      </w:r>
      <w:r>
        <w:rPr>
          <w:rFonts w:ascii="Cambria" w:hAnsi="Cambria"/>
          <w:i/>
          <w:color w:val="4F81BC"/>
          <w:sz w:val="21"/>
        </w:rPr>
        <w:t>what</w:t>
      </w:r>
      <w:r>
        <w:rPr>
          <w:rFonts w:ascii="Cambria" w:hAnsi="Cambria"/>
          <w:i/>
          <w:color w:val="4F81BC"/>
          <w:spacing w:val="-3"/>
          <w:sz w:val="21"/>
        </w:rPr>
        <w:t> </w:t>
      </w:r>
      <w:r>
        <w:rPr>
          <w:rFonts w:ascii="Cambria" w:hAnsi="Cambria"/>
          <w:i/>
          <w:color w:val="4F81BC"/>
          <w:sz w:val="21"/>
        </w:rPr>
        <w:t>counts</w:t>
      </w:r>
      <w:r>
        <w:rPr>
          <w:rFonts w:ascii="Cambria" w:hAnsi="Cambria"/>
          <w:i/>
          <w:color w:val="4F81BC"/>
          <w:spacing w:val="-4"/>
          <w:sz w:val="21"/>
        </w:rPr>
        <w:t> </w:t>
      </w:r>
      <w:r>
        <w:rPr>
          <w:rFonts w:ascii="Cambria" w:hAnsi="Cambria"/>
          <w:i/>
          <w:color w:val="4F81BC"/>
          <w:sz w:val="21"/>
        </w:rPr>
        <w:t>as</w:t>
      </w:r>
      <w:r>
        <w:rPr>
          <w:rFonts w:ascii="Cambria" w:hAnsi="Cambria"/>
          <w:i/>
          <w:color w:val="4F81BC"/>
          <w:spacing w:val="-3"/>
          <w:sz w:val="21"/>
        </w:rPr>
        <w:t> </w:t>
      </w:r>
      <w:r>
        <w:rPr>
          <w:rFonts w:ascii="Cambria" w:hAnsi="Cambria"/>
          <w:i/>
          <w:color w:val="4F81BC"/>
          <w:sz w:val="21"/>
        </w:rPr>
        <w:t>an</w:t>
      </w:r>
      <w:r>
        <w:rPr>
          <w:rFonts w:ascii="Cambria" w:hAnsi="Cambria"/>
          <w:i/>
          <w:color w:val="4F81BC"/>
          <w:spacing w:val="-4"/>
          <w:sz w:val="21"/>
        </w:rPr>
        <w:t> </w:t>
      </w:r>
      <w:r>
        <w:rPr>
          <w:rFonts w:ascii="Cambria" w:hAnsi="Cambria"/>
          <w:i/>
          <w:color w:val="4F81BC"/>
          <w:sz w:val="21"/>
        </w:rPr>
        <w:t>up-to-date</w:t>
      </w:r>
      <w:r>
        <w:rPr>
          <w:rFonts w:ascii="Cambria" w:hAnsi="Cambria"/>
          <w:i/>
          <w:color w:val="4F81BC"/>
          <w:spacing w:val="-3"/>
          <w:sz w:val="21"/>
        </w:rPr>
        <w:t> </w:t>
      </w:r>
      <w:r>
        <w:rPr>
          <w:rFonts w:ascii="Cambria" w:hAnsi="Cambria"/>
          <w:i/>
          <w:color w:val="4F81BC"/>
          <w:sz w:val="21"/>
        </w:rPr>
        <w:t>or</w:t>
      </w:r>
      <w:r>
        <w:rPr>
          <w:rFonts w:ascii="Cambria" w:hAnsi="Cambria"/>
          <w:i/>
          <w:color w:val="4F81BC"/>
          <w:spacing w:val="-3"/>
          <w:sz w:val="21"/>
        </w:rPr>
        <w:t> </w:t>
      </w:r>
      <w:r>
        <w:rPr>
          <w:rFonts w:ascii="Cambria" w:hAnsi="Cambria"/>
          <w:i/>
          <w:color w:val="4F81BC"/>
          <w:sz w:val="21"/>
        </w:rPr>
        <w:t>safe</w:t>
      </w:r>
      <w:r>
        <w:rPr>
          <w:rFonts w:ascii="Cambria" w:hAnsi="Cambria"/>
          <w:i/>
          <w:color w:val="4F81BC"/>
          <w:spacing w:val="-3"/>
          <w:sz w:val="21"/>
        </w:rPr>
        <w:t> </w:t>
      </w:r>
      <w:r>
        <w:rPr>
          <w:rFonts w:ascii="Cambria" w:hAnsi="Cambria"/>
          <w:i/>
          <w:color w:val="4F81BC"/>
          <w:sz w:val="21"/>
        </w:rPr>
        <w:t>house</w:t>
      </w:r>
      <w:r>
        <w:rPr>
          <w:rFonts w:ascii="Cambria" w:hAnsi="Cambria"/>
          <w:i/>
          <w:color w:val="4F81BC"/>
          <w:sz w:val="21"/>
        </w:rPr>
        <w:t> and there’s a lack of accountability for landlords.” - O</w:t>
      </w:r>
    </w:p>
    <w:p>
      <w:pPr>
        <w:pStyle w:val="BodyText"/>
        <w:spacing w:line="276" w:lineRule="auto" w:before="241"/>
        <w:ind w:left="463" w:right="401"/>
        <w:jc w:val="both"/>
      </w:pPr>
      <w:r>
        <w:rPr/>
        <w:t>Holistically</w:t>
      </w:r>
      <w:r>
        <w:rPr>
          <w:spacing w:val="-12"/>
        </w:rPr>
        <w:t> </w:t>
      </w:r>
      <w:r>
        <w:rPr/>
        <w:t>addressing</w:t>
      </w:r>
      <w:r>
        <w:rPr>
          <w:spacing w:val="-12"/>
        </w:rPr>
        <w:t> </w:t>
      </w:r>
      <w:r>
        <w:rPr/>
        <w:t>the</w:t>
      </w:r>
      <w:r>
        <w:rPr>
          <w:spacing w:val="-11"/>
        </w:rPr>
        <w:t> </w:t>
      </w:r>
      <w:r>
        <w:rPr/>
        <w:t>needs</w:t>
      </w:r>
      <w:r>
        <w:rPr>
          <w:spacing w:val="-12"/>
        </w:rPr>
        <w:t> </w:t>
      </w:r>
      <w:r>
        <w:rPr/>
        <w:t>of</w:t>
      </w:r>
      <w:r>
        <w:rPr>
          <w:spacing w:val="-12"/>
        </w:rPr>
        <w:t> </w:t>
      </w:r>
      <w:r>
        <w:rPr/>
        <w:t>LGTBQ</w:t>
      </w:r>
      <w:r>
        <w:rPr>
          <w:spacing w:val="-12"/>
        </w:rPr>
        <w:t> </w:t>
      </w:r>
      <w:r>
        <w:rPr/>
        <w:t>youth</w:t>
      </w:r>
      <w:r>
        <w:rPr>
          <w:spacing w:val="-12"/>
        </w:rPr>
        <w:t> </w:t>
      </w:r>
      <w:r>
        <w:rPr/>
        <w:t>experiencing</w:t>
      </w:r>
      <w:r>
        <w:rPr>
          <w:spacing w:val="-12"/>
        </w:rPr>
        <w:t> </w:t>
      </w:r>
      <w:r>
        <w:rPr/>
        <w:t>homelessness</w:t>
      </w:r>
      <w:r>
        <w:rPr>
          <w:spacing w:val="-12"/>
        </w:rPr>
        <w:t> </w:t>
      </w:r>
      <w:r>
        <w:rPr/>
        <w:t>requires</w:t>
      </w:r>
      <w:r>
        <w:rPr>
          <w:spacing w:val="-12"/>
        </w:rPr>
        <w:t> </w:t>
      </w:r>
      <w:r>
        <w:rPr/>
        <w:t>approaches</w:t>
      </w:r>
      <w:r>
        <w:rPr>
          <w:spacing w:val="-12"/>
        </w:rPr>
        <w:t> </w:t>
      </w:r>
      <w:r>
        <w:rPr/>
        <w:t>that address</w:t>
      </w:r>
      <w:r>
        <w:rPr>
          <w:spacing w:val="-13"/>
        </w:rPr>
        <w:t> </w:t>
      </w:r>
      <w:r>
        <w:rPr/>
        <w:t>both</w:t>
      </w:r>
      <w:r>
        <w:rPr>
          <w:spacing w:val="-11"/>
        </w:rPr>
        <w:t> </w:t>
      </w:r>
      <w:r>
        <w:rPr/>
        <w:t>systemic</w:t>
      </w:r>
      <w:r>
        <w:rPr>
          <w:spacing w:val="-11"/>
        </w:rPr>
        <w:t> </w:t>
      </w:r>
      <w:r>
        <w:rPr/>
        <w:t>factors</w:t>
      </w:r>
      <w:r>
        <w:rPr>
          <w:spacing w:val="-12"/>
        </w:rPr>
        <w:t> </w:t>
      </w:r>
      <w:r>
        <w:rPr/>
        <w:t>and</w:t>
      </w:r>
      <w:r>
        <w:rPr>
          <w:spacing w:val="-13"/>
        </w:rPr>
        <w:t> </w:t>
      </w:r>
      <w:r>
        <w:rPr/>
        <w:t>unique</w:t>
      </w:r>
      <w:r>
        <w:rPr>
          <w:spacing w:val="-12"/>
        </w:rPr>
        <w:t> </w:t>
      </w:r>
      <w:r>
        <w:rPr/>
        <w:t>challenges</w:t>
      </w:r>
      <w:r>
        <w:rPr>
          <w:spacing w:val="-12"/>
        </w:rPr>
        <w:t> </w:t>
      </w:r>
      <w:r>
        <w:rPr/>
        <w:t>that</w:t>
      </w:r>
      <w:r>
        <w:rPr>
          <w:spacing w:val="-13"/>
        </w:rPr>
        <w:t> </w:t>
      </w:r>
      <w:r>
        <w:rPr/>
        <w:t>LGBTQ</w:t>
      </w:r>
      <w:r>
        <w:rPr>
          <w:spacing w:val="-12"/>
        </w:rPr>
        <w:t> </w:t>
      </w:r>
      <w:r>
        <w:rPr/>
        <w:t>youth</w:t>
      </w:r>
      <w:r>
        <w:rPr>
          <w:spacing w:val="-12"/>
        </w:rPr>
        <w:t> </w:t>
      </w:r>
      <w:r>
        <w:rPr/>
        <w:t>face</w:t>
      </w:r>
      <w:r>
        <w:rPr>
          <w:spacing w:val="-12"/>
        </w:rPr>
        <w:t> </w:t>
      </w:r>
      <w:r>
        <w:rPr/>
        <w:t>within</w:t>
      </w:r>
      <w:r>
        <w:rPr>
          <w:spacing w:val="-13"/>
        </w:rPr>
        <w:t> </w:t>
      </w:r>
      <w:r>
        <w:rPr/>
        <w:t>the</w:t>
      </w:r>
      <w:r>
        <w:rPr>
          <w:spacing w:val="-12"/>
        </w:rPr>
        <w:t> </w:t>
      </w:r>
      <w:r>
        <w:rPr/>
        <w:t>homeless</w:t>
      </w:r>
      <w:r>
        <w:rPr>
          <w:spacing w:val="-12"/>
        </w:rPr>
        <w:t> </w:t>
      </w:r>
      <w:r>
        <w:rPr/>
        <w:t>youth population. Systematic changes are key to targeting the intersectionality between LGBTQ youth homelessness</w:t>
      </w:r>
      <w:r>
        <w:rPr>
          <w:spacing w:val="-2"/>
        </w:rPr>
        <w:t> </w:t>
      </w:r>
      <w:r>
        <w:rPr/>
        <w:t>and</w:t>
      </w:r>
      <w:r>
        <w:rPr>
          <w:spacing w:val="-3"/>
        </w:rPr>
        <w:t> </w:t>
      </w:r>
      <w:r>
        <w:rPr/>
        <w:t>the</w:t>
      </w:r>
      <w:r>
        <w:rPr>
          <w:spacing w:val="-3"/>
        </w:rPr>
        <w:t> </w:t>
      </w:r>
      <w:r>
        <w:rPr/>
        <w:t>social</w:t>
      </w:r>
      <w:r>
        <w:rPr>
          <w:spacing w:val="-3"/>
        </w:rPr>
        <w:t> </w:t>
      </w:r>
      <w:r>
        <w:rPr/>
        <w:t>determinants</w:t>
      </w:r>
      <w:r>
        <w:rPr>
          <w:spacing w:val="-2"/>
        </w:rPr>
        <w:t> </w:t>
      </w:r>
      <w:r>
        <w:rPr/>
        <w:t>of</w:t>
      </w:r>
      <w:r>
        <w:rPr>
          <w:spacing w:val="-3"/>
        </w:rPr>
        <w:t> </w:t>
      </w:r>
      <w:r>
        <w:rPr/>
        <w:t>health</w:t>
      </w:r>
      <w:r>
        <w:rPr>
          <w:spacing w:val="-2"/>
        </w:rPr>
        <w:t> </w:t>
      </w:r>
      <w:r>
        <w:rPr/>
        <w:t>that</w:t>
      </w:r>
      <w:r>
        <w:rPr>
          <w:spacing w:val="-3"/>
        </w:rPr>
        <w:t> </w:t>
      </w:r>
      <w:r>
        <w:rPr/>
        <w:t>lead</w:t>
      </w:r>
      <w:r>
        <w:rPr>
          <w:spacing w:val="-2"/>
        </w:rPr>
        <w:t> </w:t>
      </w:r>
      <w:r>
        <w:rPr/>
        <w:t>to</w:t>
      </w:r>
      <w:r>
        <w:rPr>
          <w:spacing w:val="-2"/>
        </w:rPr>
        <w:t> </w:t>
      </w:r>
      <w:r>
        <w:rPr/>
        <w:t>homelessness.</w:t>
      </w:r>
      <w:r>
        <w:rPr>
          <w:spacing w:val="-3"/>
        </w:rPr>
        <w:t> </w:t>
      </w:r>
      <w:r>
        <w:rPr/>
        <w:t>For</w:t>
      </w:r>
      <w:r>
        <w:rPr>
          <w:spacing w:val="-3"/>
        </w:rPr>
        <w:t> </w:t>
      </w:r>
      <w:r>
        <w:rPr/>
        <w:t>example,</w:t>
      </w:r>
      <w:r>
        <w:rPr>
          <w:spacing w:val="-1"/>
        </w:rPr>
        <w:t> </w:t>
      </w:r>
      <w:r>
        <w:rPr/>
        <w:t>systems and sectors that serve youth experiencing homelessness such as healthcare services, public health programs, and housing shelters are often siloed and independent of one another. As stated, LGBTQ youth</w:t>
      </w:r>
      <w:r>
        <w:rPr>
          <w:spacing w:val="-2"/>
        </w:rPr>
        <w:t> </w:t>
      </w:r>
      <w:r>
        <w:rPr/>
        <w:t>in</w:t>
      </w:r>
      <w:r>
        <w:rPr>
          <w:spacing w:val="-1"/>
        </w:rPr>
        <w:t> </w:t>
      </w:r>
      <w:r>
        <w:rPr/>
        <w:t>these</w:t>
      </w:r>
      <w:r>
        <w:rPr>
          <w:spacing w:val="-2"/>
        </w:rPr>
        <w:t> </w:t>
      </w:r>
      <w:r>
        <w:rPr/>
        <w:t>situations have</w:t>
      </w:r>
      <w:r>
        <w:rPr>
          <w:spacing w:val="-2"/>
        </w:rPr>
        <w:t> </w:t>
      </w:r>
      <w:r>
        <w:rPr/>
        <w:t>issues</w:t>
      </w:r>
      <w:r>
        <w:rPr>
          <w:spacing w:val="-1"/>
        </w:rPr>
        <w:t> </w:t>
      </w:r>
      <w:r>
        <w:rPr/>
        <w:t>navigating</w:t>
      </w:r>
      <w:r>
        <w:rPr>
          <w:spacing w:val="-1"/>
        </w:rPr>
        <w:t> </w:t>
      </w:r>
      <w:r>
        <w:rPr/>
        <w:t>the services</w:t>
      </w:r>
      <w:r>
        <w:rPr>
          <w:spacing w:val="-1"/>
        </w:rPr>
        <w:t> </w:t>
      </w:r>
      <w:r>
        <w:rPr/>
        <w:t>available</w:t>
      </w:r>
      <w:r>
        <w:rPr>
          <w:spacing w:val="-2"/>
        </w:rPr>
        <w:t> </w:t>
      </w:r>
      <w:r>
        <w:rPr/>
        <w:t>to them. Considerations</w:t>
      </w:r>
      <w:r>
        <w:rPr>
          <w:spacing w:val="-1"/>
        </w:rPr>
        <w:t> </w:t>
      </w:r>
      <w:r>
        <w:rPr/>
        <w:t>should be made on how services can collaborate to better meet the needs of LGBTQ youth experiencing </w:t>
      </w:r>
      <w:r>
        <w:rPr>
          <w:spacing w:val="-2"/>
        </w:rPr>
        <w:t>homelessness.</w:t>
      </w:r>
      <w:hyperlink w:history="true" w:anchor="_bookmark313">
        <w:r>
          <w:rPr>
            <w:spacing w:val="-2"/>
            <w:vertAlign w:val="superscript"/>
          </w:rPr>
          <w:t>40</w:t>
        </w:r>
      </w:hyperlink>
    </w:p>
    <w:p>
      <w:pPr>
        <w:spacing w:line="252" w:lineRule="auto" w:before="240"/>
        <w:ind w:left="1330" w:right="1269" w:firstLine="2"/>
        <w:jc w:val="center"/>
        <w:rPr>
          <w:rFonts w:ascii="Cambria" w:hAnsi="Cambria"/>
          <w:i/>
          <w:sz w:val="21"/>
        </w:rPr>
      </w:pPr>
      <w:r>
        <w:rPr>
          <w:rFonts w:ascii="Cambria" w:hAnsi="Cambria"/>
          <w:i/>
          <w:color w:val="4F81BC"/>
          <w:sz w:val="21"/>
        </w:rPr>
        <w:t>“I was signed up for my back rent to be helped from and organization in Quincy, but</w:t>
      </w:r>
      <w:r>
        <w:rPr>
          <w:rFonts w:ascii="Cambria" w:hAnsi="Cambria"/>
          <w:i/>
          <w:color w:val="4F81BC"/>
          <w:sz w:val="21"/>
        </w:rPr>
        <w:t> they</w:t>
      </w:r>
      <w:r>
        <w:rPr>
          <w:rFonts w:ascii="Cambria" w:hAnsi="Cambria"/>
          <w:i/>
          <w:color w:val="4F81BC"/>
          <w:spacing w:val="-2"/>
          <w:sz w:val="21"/>
        </w:rPr>
        <w:t> </w:t>
      </w:r>
      <w:r>
        <w:rPr>
          <w:rFonts w:ascii="Cambria" w:hAnsi="Cambria"/>
          <w:i/>
          <w:color w:val="4F81BC"/>
          <w:sz w:val="21"/>
        </w:rPr>
        <w:t>had</w:t>
      </w:r>
      <w:r>
        <w:rPr>
          <w:rFonts w:ascii="Cambria" w:hAnsi="Cambria"/>
          <w:i/>
          <w:color w:val="4F81BC"/>
          <w:spacing w:val="-4"/>
          <w:sz w:val="21"/>
        </w:rPr>
        <w:t> </w:t>
      </w:r>
      <w:r>
        <w:rPr>
          <w:rFonts w:ascii="Cambria" w:hAnsi="Cambria"/>
          <w:i/>
          <w:color w:val="4F81BC"/>
          <w:sz w:val="21"/>
        </w:rPr>
        <w:t>so</w:t>
      </w:r>
      <w:r>
        <w:rPr>
          <w:rFonts w:ascii="Cambria" w:hAnsi="Cambria"/>
          <w:i/>
          <w:color w:val="4F81BC"/>
          <w:spacing w:val="-4"/>
          <w:sz w:val="21"/>
        </w:rPr>
        <w:t> </w:t>
      </w:r>
      <w:r>
        <w:rPr>
          <w:rFonts w:ascii="Cambria" w:hAnsi="Cambria"/>
          <w:i/>
          <w:color w:val="4F81BC"/>
          <w:sz w:val="21"/>
        </w:rPr>
        <w:t>much</w:t>
      </w:r>
      <w:r>
        <w:rPr>
          <w:rFonts w:ascii="Cambria" w:hAnsi="Cambria"/>
          <w:i/>
          <w:color w:val="4F81BC"/>
          <w:spacing w:val="-3"/>
          <w:sz w:val="21"/>
        </w:rPr>
        <w:t> </w:t>
      </w:r>
      <w:r>
        <w:rPr>
          <w:rFonts w:ascii="Cambria" w:hAnsi="Cambria"/>
          <w:i/>
          <w:color w:val="4F81BC"/>
          <w:sz w:val="21"/>
        </w:rPr>
        <w:t>red-tape</w:t>
      </w:r>
      <w:r>
        <w:rPr>
          <w:rFonts w:ascii="Cambria" w:hAnsi="Cambria"/>
          <w:i/>
          <w:color w:val="4F81BC"/>
          <w:spacing w:val="-3"/>
          <w:sz w:val="21"/>
        </w:rPr>
        <w:t> </w:t>
      </w:r>
      <w:r>
        <w:rPr>
          <w:rFonts w:ascii="Cambria" w:hAnsi="Cambria"/>
          <w:i/>
          <w:color w:val="4F81BC"/>
          <w:sz w:val="21"/>
        </w:rPr>
        <w:t>that</w:t>
      </w:r>
      <w:r>
        <w:rPr>
          <w:rFonts w:ascii="Cambria" w:hAnsi="Cambria"/>
          <w:i/>
          <w:color w:val="4F81BC"/>
          <w:spacing w:val="-3"/>
          <w:sz w:val="21"/>
        </w:rPr>
        <w:t> </w:t>
      </w:r>
      <w:r>
        <w:rPr>
          <w:rFonts w:ascii="Cambria" w:hAnsi="Cambria"/>
          <w:i/>
          <w:color w:val="4F81BC"/>
          <w:sz w:val="21"/>
        </w:rPr>
        <w:t>I</w:t>
      </w:r>
      <w:r>
        <w:rPr>
          <w:rFonts w:ascii="Cambria" w:hAnsi="Cambria"/>
          <w:i/>
          <w:color w:val="4F81BC"/>
          <w:spacing w:val="-3"/>
          <w:sz w:val="21"/>
        </w:rPr>
        <w:t> </w:t>
      </w:r>
      <w:r>
        <w:rPr>
          <w:rFonts w:ascii="Cambria" w:hAnsi="Cambria"/>
          <w:i/>
          <w:color w:val="4F81BC"/>
          <w:sz w:val="21"/>
        </w:rPr>
        <w:t>never</w:t>
      </w:r>
      <w:r>
        <w:rPr>
          <w:rFonts w:ascii="Cambria" w:hAnsi="Cambria"/>
          <w:i/>
          <w:color w:val="4F81BC"/>
          <w:spacing w:val="-3"/>
          <w:sz w:val="21"/>
        </w:rPr>
        <w:t> </w:t>
      </w:r>
      <w:r>
        <w:rPr>
          <w:rFonts w:ascii="Cambria" w:hAnsi="Cambria"/>
          <w:i/>
          <w:color w:val="4F81BC"/>
          <w:sz w:val="21"/>
        </w:rPr>
        <w:t>got</w:t>
      </w:r>
      <w:r>
        <w:rPr>
          <w:rFonts w:ascii="Cambria" w:hAnsi="Cambria"/>
          <w:i/>
          <w:color w:val="4F81BC"/>
          <w:spacing w:val="-3"/>
          <w:sz w:val="21"/>
        </w:rPr>
        <w:t> </w:t>
      </w:r>
      <w:r>
        <w:rPr>
          <w:rFonts w:ascii="Cambria" w:hAnsi="Cambria"/>
          <w:i/>
          <w:color w:val="4F81BC"/>
          <w:sz w:val="21"/>
        </w:rPr>
        <w:t>back</w:t>
      </w:r>
      <w:r>
        <w:rPr>
          <w:rFonts w:ascii="Cambria" w:hAnsi="Cambria"/>
          <w:i/>
          <w:color w:val="4F81BC"/>
          <w:spacing w:val="-3"/>
          <w:sz w:val="21"/>
        </w:rPr>
        <w:t> </w:t>
      </w:r>
      <w:r>
        <w:rPr>
          <w:rFonts w:ascii="Cambria" w:hAnsi="Cambria"/>
          <w:i/>
          <w:color w:val="4F81BC"/>
          <w:sz w:val="21"/>
        </w:rPr>
        <w:t>to</w:t>
      </w:r>
      <w:r>
        <w:rPr>
          <w:rFonts w:ascii="Cambria" w:hAnsi="Cambria"/>
          <w:i/>
          <w:color w:val="4F81BC"/>
          <w:spacing w:val="-3"/>
          <w:sz w:val="21"/>
        </w:rPr>
        <w:t> </w:t>
      </w:r>
      <w:r>
        <w:rPr>
          <w:rFonts w:ascii="Cambria" w:hAnsi="Cambria"/>
          <w:i/>
          <w:color w:val="4F81BC"/>
          <w:sz w:val="21"/>
        </w:rPr>
        <w:t>them.</w:t>
      </w:r>
      <w:r>
        <w:rPr>
          <w:rFonts w:ascii="Cambria" w:hAnsi="Cambria"/>
          <w:i/>
          <w:color w:val="4F81BC"/>
          <w:spacing w:val="-3"/>
          <w:sz w:val="21"/>
        </w:rPr>
        <w:t> </w:t>
      </w:r>
      <w:r>
        <w:rPr>
          <w:rFonts w:ascii="Cambria" w:hAnsi="Cambria"/>
          <w:i/>
          <w:color w:val="4F81BC"/>
          <w:sz w:val="21"/>
        </w:rPr>
        <w:t>There</w:t>
      </w:r>
      <w:r>
        <w:rPr>
          <w:rFonts w:ascii="Cambria" w:hAnsi="Cambria"/>
          <w:i/>
          <w:color w:val="4F81BC"/>
          <w:spacing w:val="-3"/>
          <w:sz w:val="21"/>
        </w:rPr>
        <w:t> </w:t>
      </w:r>
      <w:r>
        <w:rPr>
          <w:rFonts w:ascii="Cambria" w:hAnsi="Cambria"/>
          <w:i/>
          <w:color w:val="4F81BC"/>
          <w:sz w:val="21"/>
        </w:rPr>
        <w:t>needs</w:t>
      </w:r>
      <w:r>
        <w:rPr>
          <w:rFonts w:ascii="Cambria" w:hAnsi="Cambria"/>
          <w:i/>
          <w:color w:val="4F81BC"/>
          <w:spacing w:val="-3"/>
          <w:sz w:val="21"/>
        </w:rPr>
        <w:t> </w:t>
      </w:r>
      <w:r>
        <w:rPr>
          <w:rFonts w:ascii="Cambria" w:hAnsi="Cambria"/>
          <w:i/>
          <w:color w:val="4F81BC"/>
          <w:sz w:val="21"/>
        </w:rPr>
        <w:t>to</w:t>
      </w:r>
      <w:r>
        <w:rPr>
          <w:rFonts w:ascii="Cambria" w:hAnsi="Cambria"/>
          <w:i/>
          <w:color w:val="4F81BC"/>
          <w:spacing w:val="-3"/>
          <w:sz w:val="21"/>
        </w:rPr>
        <w:t> </w:t>
      </w:r>
      <w:r>
        <w:rPr>
          <w:rFonts w:ascii="Cambria" w:hAnsi="Cambria"/>
          <w:i/>
          <w:color w:val="4F81BC"/>
          <w:sz w:val="21"/>
        </w:rPr>
        <w:t>be</w:t>
      </w:r>
      <w:r>
        <w:rPr>
          <w:rFonts w:ascii="Cambria" w:hAnsi="Cambria"/>
          <w:i/>
          <w:color w:val="4F81BC"/>
          <w:spacing w:val="-3"/>
          <w:sz w:val="21"/>
        </w:rPr>
        <w:t> </w:t>
      </w:r>
      <w:r>
        <w:rPr>
          <w:rFonts w:ascii="Cambria" w:hAnsi="Cambria"/>
          <w:i/>
          <w:color w:val="4F81BC"/>
          <w:sz w:val="21"/>
        </w:rPr>
        <w:t>an</w:t>
      </w:r>
      <w:r>
        <w:rPr>
          <w:rFonts w:ascii="Cambria" w:hAnsi="Cambria"/>
          <w:i/>
          <w:color w:val="4F81BC"/>
          <w:spacing w:val="-2"/>
          <w:sz w:val="21"/>
        </w:rPr>
        <w:t> </w:t>
      </w:r>
      <w:r>
        <w:rPr>
          <w:rFonts w:ascii="Cambria" w:hAnsi="Cambria"/>
          <w:i/>
          <w:color w:val="4F81BC"/>
          <w:sz w:val="21"/>
        </w:rPr>
        <w:t>easier process for rental support that is more transparent.” – B, trans person currently experiencing housing instability in the Greater Boston area</w:t>
      </w:r>
    </w:p>
    <w:p>
      <w:pPr>
        <w:pStyle w:val="BodyText"/>
        <w:spacing w:line="276" w:lineRule="auto" w:before="240"/>
        <w:ind w:left="463" w:right="400"/>
        <w:jc w:val="both"/>
      </w:pPr>
      <w:r>
        <w:rPr/>
        <w:t>The Commission has proposed six (6) key improvement areas to focus on when developing initiatives and</w:t>
      </w:r>
      <w:r>
        <w:rPr>
          <w:spacing w:val="-13"/>
        </w:rPr>
        <w:t> </w:t>
      </w:r>
      <w:r>
        <w:rPr/>
        <w:t>programming</w:t>
      </w:r>
      <w:r>
        <w:rPr>
          <w:spacing w:val="-12"/>
        </w:rPr>
        <w:t> </w:t>
      </w:r>
      <w:r>
        <w:rPr/>
        <w:t>for</w:t>
      </w:r>
      <w:r>
        <w:rPr>
          <w:spacing w:val="-13"/>
        </w:rPr>
        <w:t> </w:t>
      </w:r>
      <w:r>
        <w:rPr/>
        <w:t>LGBTQ</w:t>
      </w:r>
      <w:r>
        <w:rPr>
          <w:spacing w:val="-12"/>
        </w:rPr>
        <w:t> </w:t>
      </w:r>
      <w:r>
        <w:rPr/>
        <w:t>youth</w:t>
      </w:r>
      <w:r>
        <w:rPr>
          <w:spacing w:val="-13"/>
        </w:rPr>
        <w:t> </w:t>
      </w:r>
      <w:r>
        <w:rPr/>
        <w:t>experiencing</w:t>
      </w:r>
      <w:r>
        <w:rPr>
          <w:spacing w:val="-12"/>
        </w:rPr>
        <w:t> </w:t>
      </w:r>
      <w:r>
        <w:rPr/>
        <w:t>homelessness</w:t>
      </w:r>
      <w:r>
        <w:rPr>
          <w:spacing w:val="-13"/>
        </w:rPr>
        <w:t> </w:t>
      </w:r>
      <w:r>
        <w:rPr/>
        <w:t>and</w:t>
      </w:r>
      <w:r>
        <w:rPr>
          <w:spacing w:val="-12"/>
        </w:rPr>
        <w:t> </w:t>
      </w:r>
      <w:r>
        <w:rPr/>
        <w:t>housing</w:t>
      </w:r>
      <w:r>
        <w:rPr>
          <w:spacing w:val="-12"/>
        </w:rPr>
        <w:t> </w:t>
      </w:r>
      <w:r>
        <w:rPr/>
        <w:t>insecurity.</w:t>
      </w:r>
      <w:hyperlink w:history="true" w:anchor="_bookmark314">
        <w:r>
          <w:rPr>
            <w:vertAlign w:val="superscript"/>
          </w:rPr>
          <w:t>41</w:t>
        </w:r>
      </w:hyperlink>
      <w:r>
        <w:rPr>
          <w:spacing w:val="-7"/>
          <w:vertAlign w:val="baseline"/>
        </w:rPr>
        <w:t> </w:t>
      </w:r>
      <w:r>
        <w:rPr>
          <w:vertAlign w:val="baseline"/>
        </w:rPr>
        <w:t>The</w:t>
      </w:r>
      <w:r>
        <w:rPr>
          <w:spacing w:val="-11"/>
          <w:vertAlign w:val="baseline"/>
        </w:rPr>
        <w:t> </w:t>
      </w:r>
      <w:r>
        <w:rPr>
          <w:vertAlign w:val="baseline"/>
        </w:rPr>
        <w:t>proposed improvement areas summarize the need for improved services for LGBTQ youth experiencing homelessness and housing insecurity in the Commonwealth. By developing initiatives and designing programs that address each service area, the Commonwealth of Massachusetts can successfully address LGBTQ youth homelessness and housing insecurity.</w:t>
      </w:r>
    </w:p>
    <w:p>
      <w:pPr>
        <w:pStyle w:val="BodyText"/>
        <w:spacing w:before="51"/>
        <w:rPr>
          <w:sz w:val="20"/>
        </w:rPr>
      </w:pPr>
    </w:p>
    <w:p>
      <w:pPr>
        <w:spacing w:after="0"/>
        <w:rPr>
          <w:sz w:val="20"/>
        </w:rPr>
        <w:sectPr>
          <w:pgSz w:w="12240" w:h="15840"/>
          <w:pgMar w:header="765" w:footer="1127" w:top="1280" w:bottom="1380" w:left="1120" w:right="1180"/>
        </w:sectPr>
      </w:pPr>
    </w:p>
    <w:p>
      <w:pPr>
        <w:spacing w:before="64"/>
        <w:ind w:left="1943" w:right="0" w:firstLine="0"/>
        <w:jc w:val="left"/>
        <w:rPr>
          <w:b/>
          <w:sz w:val="18"/>
        </w:rPr>
      </w:pPr>
      <w:r>
        <w:rPr>
          <w:b/>
          <w:sz w:val="18"/>
        </w:rPr>
        <w:t>Housing</w:t>
      </w:r>
      <w:r>
        <w:rPr>
          <w:b/>
          <w:spacing w:val="-4"/>
          <w:sz w:val="18"/>
        </w:rPr>
        <w:t> </w:t>
      </w:r>
      <w:r>
        <w:rPr>
          <w:b/>
          <w:spacing w:val="-2"/>
          <w:sz w:val="18"/>
        </w:rPr>
        <w:t>Services</w:t>
      </w:r>
    </w:p>
    <w:p>
      <w:pPr>
        <w:pStyle w:val="ListParagraph"/>
        <w:numPr>
          <w:ilvl w:val="0"/>
          <w:numId w:val="25"/>
        </w:numPr>
        <w:tabs>
          <w:tab w:pos="610" w:val="left" w:leader="none"/>
        </w:tabs>
        <w:spacing w:line="240" w:lineRule="auto" w:before="1" w:after="0"/>
        <w:ind w:left="610" w:right="0" w:hanging="360"/>
        <w:jc w:val="left"/>
        <w:rPr>
          <w:sz w:val="18"/>
        </w:rPr>
      </w:pPr>
      <w:r>
        <w:rPr>
          <w:sz w:val="18"/>
        </w:rPr>
        <w:t>Improve</w:t>
      </w:r>
      <w:r>
        <w:rPr>
          <w:spacing w:val="-5"/>
          <w:sz w:val="18"/>
        </w:rPr>
        <w:t> </w:t>
      </w:r>
      <w:r>
        <w:rPr>
          <w:sz w:val="18"/>
        </w:rPr>
        <w:t>the</w:t>
      </w:r>
      <w:r>
        <w:rPr>
          <w:spacing w:val="-3"/>
          <w:sz w:val="18"/>
        </w:rPr>
        <w:t> </w:t>
      </w:r>
      <w:r>
        <w:rPr>
          <w:sz w:val="18"/>
        </w:rPr>
        <w:t>emergency</w:t>
      </w:r>
      <w:r>
        <w:rPr>
          <w:spacing w:val="-2"/>
          <w:sz w:val="18"/>
        </w:rPr>
        <w:t> </w:t>
      </w:r>
      <w:r>
        <w:rPr>
          <w:sz w:val="18"/>
        </w:rPr>
        <w:t>shelter</w:t>
      </w:r>
      <w:r>
        <w:rPr>
          <w:spacing w:val="-4"/>
          <w:sz w:val="18"/>
        </w:rPr>
        <w:t> </w:t>
      </w:r>
      <w:r>
        <w:rPr>
          <w:sz w:val="18"/>
        </w:rPr>
        <w:t>crisis</w:t>
      </w:r>
      <w:r>
        <w:rPr>
          <w:spacing w:val="-2"/>
          <w:sz w:val="18"/>
        </w:rPr>
        <w:t> </w:t>
      </w:r>
      <w:r>
        <w:rPr>
          <w:sz w:val="18"/>
        </w:rPr>
        <w:t>bed</w:t>
      </w:r>
      <w:r>
        <w:rPr>
          <w:spacing w:val="-2"/>
          <w:sz w:val="18"/>
        </w:rPr>
        <w:t> </w:t>
      </w:r>
      <w:r>
        <w:rPr>
          <w:sz w:val="18"/>
        </w:rPr>
        <w:t>capacity</w:t>
      </w:r>
      <w:r>
        <w:rPr>
          <w:spacing w:val="-2"/>
          <w:sz w:val="18"/>
        </w:rPr>
        <w:t> </w:t>
      </w:r>
      <w:r>
        <w:rPr>
          <w:spacing w:val="-5"/>
          <w:sz w:val="18"/>
        </w:rPr>
        <w:t>for</w:t>
      </w:r>
    </w:p>
    <w:p>
      <w:pPr>
        <w:spacing w:before="0"/>
        <w:ind w:left="2066" w:right="0" w:firstLine="0"/>
        <w:jc w:val="left"/>
        <w:rPr>
          <w:sz w:val="18"/>
        </w:rPr>
      </w:pPr>
      <w:r>
        <w:rPr>
          <w:sz w:val="18"/>
        </w:rPr>
        <w:t>LGBTQ</w:t>
      </w:r>
      <w:r>
        <w:rPr>
          <w:spacing w:val="-4"/>
          <w:sz w:val="18"/>
        </w:rPr>
        <w:t> </w:t>
      </w:r>
      <w:r>
        <w:rPr>
          <w:spacing w:val="-2"/>
          <w:sz w:val="18"/>
        </w:rPr>
        <w:t>youth.</w:t>
      </w:r>
    </w:p>
    <w:p>
      <w:pPr>
        <w:pStyle w:val="ListParagraph"/>
        <w:numPr>
          <w:ilvl w:val="0"/>
          <w:numId w:val="25"/>
        </w:numPr>
        <w:tabs>
          <w:tab w:pos="577" w:val="left" w:leader="none"/>
          <w:tab w:pos="1482" w:val="left" w:leader="none"/>
        </w:tabs>
        <w:spacing w:line="240" w:lineRule="auto" w:before="0" w:after="0"/>
        <w:ind w:left="1482" w:right="38" w:hanging="1265"/>
        <w:jc w:val="left"/>
        <w:rPr>
          <w:sz w:val="18"/>
        </w:rPr>
      </w:pPr>
      <w:r>
        <w:rPr>
          <w:sz w:val="18"/>
        </w:rPr>
        <w:t>Support</w:t>
      </w:r>
      <w:r>
        <w:rPr>
          <w:spacing w:val="-7"/>
          <w:sz w:val="18"/>
        </w:rPr>
        <w:t> </w:t>
      </w:r>
      <w:r>
        <w:rPr>
          <w:sz w:val="18"/>
        </w:rPr>
        <w:t>LGBTQ</w:t>
      </w:r>
      <w:r>
        <w:rPr>
          <w:spacing w:val="-8"/>
          <w:sz w:val="18"/>
        </w:rPr>
        <w:t> </w:t>
      </w:r>
      <w:r>
        <w:rPr>
          <w:sz w:val="18"/>
        </w:rPr>
        <w:t>youth</w:t>
      </w:r>
      <w:r>
        <w:rPr>
          <w:spacing w:val="-6"/>
          <w:sz w:val="18"/>
        </w:rPr>
        <w:t> </w:t>
      </w:r>
      <w:r>
        <w:rPr>
          <w:sz w:val="18"/>
        </w:rPr>
        <w:t>transitioning</w:t>
      </w:r>
      <w:r>
        <w:rPr>
          <w:spacing w:val="-6"/>
          <w:sz w:val="18"/>
        </w:rPr>
        <w:t> </w:t>
      </w:r>
      <w:r>
        <w:rPr>
          <w:sz w:val="18"/>
        </w:rPr>
        <w:t>from</w:t>
      </w:r>
      <w:r>
        <w:rPr>
          <w:spacing w:val="-6"/>
          <w:sz w:val="18"/>
        </w:rPr>
        <w:t> </w:t>
      </w:r>
      <w:r>
        <w:rPr>
          <w:sz w:val="18"/>
        </w:rPr>
        <w:t>short-term</w:t>
      </w:r>
      <w:r>
        <w:rPr>
          <w:spacing w:val="-6"/>
          <w:sz w:val="18"/>
        </w:rPr>
        <w:t> </w:t>
      </w:r>
      <w:r>
        <w:rPr>
          <w:sz w:val="18"/>
        </w:rPr>
        <w:t>to long-term housing assistance.</w:t>
      </w:r>
    </w:p>
    <w:p>
      <w:pPr>
        <w:spacing w:before="64"/>
        <w:ind w:left="1458" w:right="0" w:firstLine="0"/>
        <w:jc w:val="left"/>
        <w:rPr>
          <w:b/>
          <w:sz w:val="18"/>
        </w:rPr>
      </w:pPr>
      <w:r>
        <w:rPr/>
        <w:br w:type="column"/>
      </w:r>
      <w:r>
        <w:rPr>
          <w:b/>
          <w:sz w:val="18"/>
        </w:rPr>
        <w:t>Advocacy</w:t>
      </w:r>
      <w:r>
        <w:rPr>
          <w:b/>
          <w:spacing w:val="-3"/>
          <w:sz w:val="18"/>
        </w:rPr>
        <w:t> </w:t>
      </w:r>
      <w:r>
        <w:rPr>
          <w:b/>
          <w:sz w:val="18"/>
        </w:rPr>
        <w:t>and</w:t>
      </w:r>
      <w:r>
        <w:rPr>
          <w:b/>
          <w:spacing w:val="-2"/>
          <w:sz w:val="18"/>
        </w:rPr>
        <w:t> </w:t>
      </w:r>
      <w:r>
        <w:rPr>
          <w:b/>
          <w:sz w:val="18"/>
        </w:rPr>
        <w:t>Coalition</w:t>
      </w:r>
      <w:r>
        <w:rPr>
          <w:b/>
          <w:spacing w:val="-2"/>
          <w:sz w:val="18"/>
        </w:rPr>
        <w:t> Building</w:t>
      </w:r>
    </w:p>
    <w:p>
      <w:pPr>
        <w:pStyle w:val="ListParagraph"/>
        <w:numPr>
          <w:ilvl w:val="0"/>
          <w:numId w:val="25"/>
        </w:numPr>
        <w:tabs>
          <w:tab w:pos="577" w:val="left" w:leader="none"/>
          <w:tab w:pos="666" w:val="left" w:leader="none"/>
        </w:tabs>
        <w:spacing w:line="240" w:lineRule="auto" w:before="1" w:after="0"/>
        <w:ind w:left="666" w:right="423" w:hanging="449"/>
        <w:jc w:val="left"/>
        <w:rPr>
          <w:sz w:val="18"/>
        </w:rPr>
      </w:pPr>
      <w:r>
        <w:rPr>
          <w:sz w:val="18"/>
        </w:rPr>
        <w:t>Amplify</w:t>
      </w:r>
      <w:r>
        <w:rPr>
          <w:spacing w:val="-5"/>
          <w:sz w:val="18"/>
        </w:rPr>
        <w:t> </w:t>
      </w:r>
      <w:r>
        <w:rPr>
          <w:sz w:val="18"/>
        </w:rPr>
        <w:t>advocacy</w:t>
      </w:r>
      <w:r>
        <w:rPr>
          <w:spacing w:val="-5"/>
          <w:sz w:val="18"/>
        </w:rPr>
        <w:t> </w:t>
      </w:r>
      <w:r>
        <w:rPr>
          <w:sz w:val="18"/>
        </w:rPr>
        <w:t>and</w:t>
      </w:r>
      <w:r>
        <w:rPr>
          <w:spacing w:val="-5"/>
          <w:sz w:val="18"/>
        </w:rPr>
        <w:t> </w:t>
      </w:r>
      <w:r>
        <w:rPr>
          <w:sz w:val="18"/>
        </w:rPr>
        <w:t>public</w:t>
      </w:r>
      <w:r>
        <w:rPr>
          <w:spacing w:val="-6"/>
          <w:sz w:val="18"/>
        </w:rPr>
        <w:t> </w:t>
      </w:r>
      <w:r>
        <w:rPr>
          <w:sz w:val="18"/>
        </w:rPr>
        <w:t>awareness</w:t>
      </w:r>
      <w:r>
        <w:rPr>
          <w:spacing w:val="-6"/>
          <w:sz w:val="18"/>
        </w:rPr>
        <w:t> </w:t>
      </w:r>
      <w:r>
        <w:rPr>
          <w:sz w:val="18"/>
        </w:rPr>
        <w:t>for</w:t>
      </w:r>
      <w:r>
        <w:rPr>
          <w:spacing w:val="-6"/>
          <w:sz w:val="18"/>
        </w:rPr>
        <w:t> </w:t>
      </w:r>
      <w:r>
        <w:rPr>
          <w:sz w:val="18"/>
        </w:rPr>
        <w:t>LGBTQ</w:t>
      </w:r>
      <w:r>
        <w:rPr>
          <w:spacing w:val="-5"/>
          <w:sz w:val="18"/>
        </w:rPr>
        <w:t> </w:t>
      </w:r>
      <w:r>
        <w:rPr>
          <w:sz w:val="18"/>
        </w:rPr>
        <w:t>youth homelessness, particularly in rural areas where LGBTQ</w:t>
      </w:r>
    </w:p>
    <w:p>
      <w:pPr>
        <w:spacing w:line="219" w:lineRule="exact" w:before="0"/>
        <w:ind w:left="1254" w:right="0" w:firstLine="0"/>
        <w:jc w:val="left"/>
        <w:rPr>
          <w:sz w:val="18"/>
        </w:rPr>
      </w:pPr>
      <w:r>
        <w:rPr>
          <w:sz w:val="18"/>
        </w:rPr>
        <w:t>acceptance</w:t>
      </w:r>
      <w:r>
        <w:rPr>
          <w:spacing w:val="-2"/>
          <w:sz w:val="18"/>
        </w:rPr>
        <w:t> </w:t>
      </w:r>
      <w:r>
        <w:rPr>
          <w:sz w:val="18"/>
        </w:rPr>
        <w:t>is</w:t>
      </w:r>
      <w:r>
        <w:rPr>
          <w:spacing w:val="-1"/>
          <w:sz w:val="18"/>
        </w:rPr>
        <w:t> </w:t>
      </w:r>
      <w:r>
        <w:rPr>
          <w:sz w:val="18"/>
        </w:rPr>
        <w:t>less</w:t>
      </w:r>
      <w:r>
        <w:rPr>
          <w:spacing w:val="-2"/>
          <w:sz w:val="18"/>
        </w:rPr>
        <w:t> </w:t>
      </w:r>
      <w:r>
        <w:rPr>
          <w:sz w:val="18"/>
        </w:rPr>
        <w:t>than</w:t>
      </w:r>
      <w:r>
        <w:rPr>
          <w:spacing w:val="-1"/>
          <w:sz w:val="18"/>
        </w:rPr>
        <w:t> </w:t>
      </w:r>
      <w:r>
        <w:rPr>
          <w:sz w:val="18"/>
        </w:rPr>
        <w:t>in</w:t>
      </w:r>
      <w:r>
        <w:rPr>
          <w:spacing w:val="-2"/>
          <w:sz w:val="18"/>
        </w:rPr>
        <w:t> </w:t>
      </w:r>
      <w:r>
        <w:rPr>
          <w:sz w:val="18"/>
        </w:rPr>
        <w:t>urban</w:t>
      </w:r>
      <w:r>
        <w:rPr>
          <w:spacing w:val="-1"/>
          <w:sz w:val="18"/>
        </w:rPr>
        <w:t> </w:t>
      </w:r>
      <w:r>
        <w:rPr>
          <w:spacing w:val="-2"/>
          <w:sz w:val="18"/>
        </w:rPr>
        <w:t>areas.</w:t>
      </w:r>
    </w:p>
    <w:p>
      <w:pPr>
        <w:pStyle w:val="ListParagraph"/>
        <w:numPr>
          <w:ilvl w:val="1"/>
          <w:numId w:val="25"/>
        </w:numPr>
        <w:tabs>
          <w:tab w:pos="556" w:val="left" w:leader="none"/>
          <w:tab w:pos="696" w:val="left" w:leader="none"/>
        </w:tabs>
        <w:spacing w:line="240" w:lineRule="auto" w:before="0" w:after="0"/>
        <w:ind w:left="556" w:right="399" w:hanging="220"/>
        <w:jc w:val="left"/>
        <w:rPr>
          <w:sz w:val="18"/>
        </w:rPr>
      </w:pPr>
      <w:r>
        <w:rPr>
          <w:sz w:val="18"/>
        </w:rPr>
        <w:tab/>
        <w:t>Promote information sharing to develop a network of housing</w:t>
      </w:r>
      <w:r>
        <w:rPr>
          <w:spacing w:val="-4"/>
          <w:sz w:val="18"/>
        </w:rPr>
        <w:t> </w:t>
      </w:r>
      <w:r>
        <w:rPr>
          <w:sz w:val="18"/>
        </w:rPr>
        <w:t>and</w:t>
      </w:r>
      <w:r>
        <w:rPr>
          <w:spacing w:val="-5"/>
          <w:sz w:val="18"/>
        </w:rPr>
        <w:t> </w:t>
      </w:r>
      <w:r>
        <w:rPr>
          <w:sz w:val="18"/>
        </w:rPr>
        <w:t>shelter</w:t>
      </w:r>
      <w:r>
        <w:rPr>
          <w:spacing w:val="-5"/>
          <w:sz w:val="18"/>
        </w:rPr>
        <w:t> </w:t>
      </w:r>
      <w:r>
        <w:rPr>
          <w:sz w:val="18"/>
        </w:rPr>
        <w:t>resources</w:t>
      </w:r>
      <w:r>
        <w:rPr>
          <w:spacing w:val="-4"/>
          <w:sz w:val="18"/>
        </w:rPr>
        <w:t> </w:t>
      </w:r>
      <w:r>
        <w:rPr>
          <w:sz w:val="18"/>
        </w:rPr>
        <w:t>for</w:t>
      </w:r>
      <w:r>
        <w:rPr>
          <w:spacing w:val="-5"/>
          <w:sz w:val="18"/>
        </w:rPr>
        <w:t> </w:t>
      </w:r>
      <w:r>
        <w:rPr>
          <w:sz w:val="18"/>
        </w:rPr>
        <w:t>LGBTQ</w:t>
      </w:r>
      <w:r>
        <w:rPr>
          <w:spacing w:val="-4"/>
          <w:sz w:val="18"/>
        </w:rPr>
        <w:t> </w:t>
      </w:r>
      <w:r>
        <w:rPr>
          <w:sz w:val="18"/>
        </w:rPr>
        <w:t>youth</w:t>
      </w:r>
      <w:r>
        <w:rPr>
          <w:spacing w:val="-4"/>
          <w:sz w:val="18"/>
        </w:rPr>
        <w:t> </w:t>
      </w:r>
      <w:r>
        <w:rPr>
          <w:sz w:val="18"/>
        </w:rPr>
        <w:t>to</w:t>
      </w:r>
      <w:r>
        <w:rPr>
          <w:spacing w:val="-6"/>
          <w:sz w:val="18"/>
        </w:rPr>
        <w:t> </w:t>
      </w:r>
      <w:r>
        <w:rPr>
          <w:sz w:val="18"/>
        </w:rPr>
        <w:t>access.</w:t>
      </w:r>
    </w:p>
    <w:p>
      <w:pPr>
        <w:spacing w:after="0" w:line="240" w:lineRule="auto"/>
        <w:jc w:val="left"/>
        <w:rPr>
          <w:sz w:val="18"/>
        </w:rPr>
        <w:sectPr>
          <w:type w:val="continuous"/>
          <w:pgSz w:w="12240" w:h="15840"/>
          <w:pgMar w:header="765" w:footer="1127" w:top="1420" w:bottom="280" w:left="1120" w:right="1180"/>
          <w:cols w:num="2" w:equalWidth="0">
            <w:col w:w="4601" w:space="181"/>
            <w:col w:w="5158"/>
          </w:cols>
        </w:sectPr>
      </w:pPr>
    </w:p>
    <w:p>
      <w:pPr>
        <w:pStyle w:val="BodyText"/>
        <w:spacing w:before="9"/>
        <w:rPr>
          <w:sz w:val="12"/>
        </w:rPr>
      </w:pPr>
    </w:p>
    <w:p>
      <w:pPr>
        <w:spacing w:after="0"/>
        <w:rPr>
          <w:sz w:val="12"/>
        </w:rPr>
        <w:sectPr>
          <w:type w:val="continuous"/>
          <w:pgSz w:w="12240" w:h="15840"/>
          <w:pgMar w:header="765" w:footer="1127" w:top="1420" w:bottom="280" w:left="1120" w:right="1180"/>
        </w:sectPr>
      </w:pPr>
    </w:p>
    <w:p>
      <w:pPr>
        <w:spacing w:before="64"/>
        <w:ind w:left="387" w:right="0" w:firstLine="0"/>
        <w:jc w:val="center"/>
        <w:rPr>
          <w:b/>
          <w:sz w:val="18"/>
        </w:rPr>
      </w:pPr>
      <w:r>
        <w:rPr>
          <w:b/>
          <w:sz w:val="18"/>
        </w:rPr>
        <w:t>Employment</w:t>
      </w:r>
      <w:r>
        <w:rPr>
          <w:b/>
          <w:spacing w:val="-4"/>
          <w:sz w:val="18"/>
        </w:rPr>
        <w:t> </w:t>
      </w:r>
      <w:r>
        <w:rPr>
          <w:b/>
          <w:spacing w:val="-2"/>
          <w:sz w:val="18"/>
        </w:rPr>
        <w:t>Services</w:t>
      </w:r>
    </w:p>
    <w:p>
      <w:pPr>
        <w:spacing w:before="1"/>
        <w:ind w:left="384" w:right="0" w:firstLine="0"/>
        <w:jc w:val="center"/>
        <w:rPr>
          <w:sz w:val="18"/>
        </w:rPr>
      </w:pPr>
      <w:r>
        <w:rPr>
          <w:sz w:val="18"/>
        </w:rPr>
        <w:t>Connect</w:t>
      </w:r>
      <w:r>
        <w:rPr>
          <w:spacing w:val="-8"/>
          <w:sz w:val="18"/>
        </w:rPr>
        <w:t> </w:t>
      </w:r>
      <w:r>
        <w:rPr>
          <w:sz w:val="18"/>
        </w:rPr>
        <w:t>LGBTQ</w:t>
      </w:r>
      <w:r>
        <w:rPr>
          <w:spacing w:val="-8"/>
          <w:sz w:val="18"/>
        </w:rPr>
        <w:t> </w:t>
      </w:r>
      <w:r>
        <w:rPr>
          <w:sz w:val="18"/>
        </w:rPr>
        <w:t>youth</w:t>
      </w:r>
      <w:r>
        <w:rPr>
          <w:spacing w:val="-7"/>
          <w:sz w:val="18"/>
        </w:rPr>
        <w:t> </w:t>
      </w:r>
      <w:r>
        <w:rPr>
          <w:sz w:val="18"/>
        </w:rPr>
        <w:t>experiencing</w:t>
      </w:r>
      <w:r>
        <w:rPr>
          <w:spacing w:val="-7"/>
          <w:sz w:val="18"/>
        </w:rPr>
        <w:t> </w:t>
      </w:r>
      <w:r>
        <w:rPr>
          <w:sz w:val="18"/>
        </w:rPr>
        <w:t>homelessness</w:t>
      </w:r>
      <w:r>
        <w:rPr>
          <w:spacing w:val="-7"/>
          <w:sz w:val="18"/>
        </w:rPr>
        <w:t> </w:t>
      </w:r>
      <w:r>
        <w:rPr>
          <w:sz w:val="18"/>
        </w:rPr>
        <w:t>with</w:t>
      </w:r>
      <w:r>
        <w:rPr>
          <w:spacing w:val="-7"/>
          <w:sz w:val="18"/>
        </w:rPr>
        <w:t> </w:t>
      </w:r>
      <w:r>
        <w:rPr>
          <w:sz w:val="18"/>
        </w:rPr>
        <w:t>paid opportunities at local organizations and non-profits as a form of transitional employment across the </w:t>
      </w:r>
      <w:r>
        <w:rPr>
          <w:spacing w:val="-2"/>
          <w:sz w:val="18"/>
        </w:rPr>
        <w:t>Commonwealth.</w:t>
      </w:r>
    </w:p>
    <w:p>
      <w:pPr>
        <w:pStyle w:val="ListParagraph"/>
        <w:numPr>
          <w:ilvl w:val="1"/>
          <w:numId w:val="25"/>
        </w:numPr>
        <w:tabs>
          <w:tab w:pos="671" w:val="left" w:leader="none"/>
          <w:tab w:pos="1474" w:val="left" w:leader="none"/>
        </w:tabs>
        <w:spacing w:line="240" w:lineRule="auto" w:before="0" w:after="0"/>
        <w:ind w:left="1474" w:right="284" w:hanging="1163"/>
        <w:jc w:val="left"/>
        <w:rPr>
          <w:sz w:val="18"/>
        </w:rPr>
      </w:pPr>
      <w:r>
        <w:rPr>
          <w:sz w:val="18"/>
        </w:rPr>
        <w:t>Create</w:t>
      </w:r>
      <w:r>
        <w:rPr>
          <w:spacing w:val="-5"/>
          <w:sz w:val="18"/>
        </w:rPr>
        <w:t> </w:t>
      </w:r>
      <w:r>
        <w:rPr>
          <w:sz w:val="18"/>
        </w:rPr>
        <w:t>career</w:t>
      </w:r>
      <w:r>
        <w:rPr>
          <w:spacing w:val="-6"/>
          <w:sz w:val="18"/>
        </w:rPr>
        <w:t> </w:t>
      </w:r>
      <w:r>
        <w:rPr>
          <w:sz w:val="18"/>
        </w:rPr>
        <w:t>planning</w:t>
      </w:r>
      <w:r>
        <w:rPr>
          <w:spacing w:val="-5"/>
          <w:sz w:val="18"/>
        </w:rPr>
        <w:t> </w:t>
      </w:r>
      <w:r>
        <w:rPr>
          <w:sz w:val="18"/>
        </w:rPr>
        <w:t>services</w:t>
      </w:r>
      <w:r>
        <w:rPr>
          <w:spacing w:val="-5"/>
          <w:sz w:val="18"/>
        </w:rPr>
        <w:t> </w:t>
      </w:r>
      <w:r>
        <w:rPr>
          <w:sz w:val="18"/>
        </w:rPr>
        <w:t>for</w:t>
      </w:r>
      <w:r>
        <w:rPr>
          <w:spacing w:val="-6"/>
          <w:sz w:val="18"/>
        </w:rPr>
        <w:t> </w:t>
      </w:r>
      <w:r>
        <w:rPr>
          <w:sz w:val="18"/>
        </w:rPr>
        <w:t>LGBTQ</w:t>
      </w:r>
      <w:r>
        <w:rPr>
          <w:spacing w:val="-5"/>
          <w:sz w:val="18"/>
        </w:rPr>
        <w:t> </w:t>
      </w:r>
      <w:r>
        <w:rPr>
          <w:sz w:val="18"/>
        </w:rPr>
        <w:t>youth</w:t>
      </w:r>
      <w:r>
        <w:rPr>
          <w:spacing w:val="-6"/>
          <w:sz w:val="18"/>
        </w:rPr>
        <w:t> </w:t>
      </w:r>
      <w:r>
        <w:rPr>
          <w:sz w:val="18"/>
        </w:rPr>
        <w:t>for resilience and empowerment.</w:t>
      </w:r>
    </w:p>
    <w:p>
      <w:pPr>
        <w:spacing w:before="64"/>
        <w:ind w:left="1881" w:right="0" w:firstLine="0"/>
        <w:jc w:val="left"/>
        <w:rPr>
          <w:b/>
          <w:sz w:val="18"/>
        </w:rPr>
      </w:pPr>
      <w:r>
        <w:rPr/>
        <w:br w:type="column"/>
      </w:r>
      <w:r>
        <w:rPr>
          <w:b/>
          <w:sz w:val="18"/>
        </w:rPr>
        <w:t>Educational</w:t>
      </w:r>
      <w:r>
        <w:rPr>
          <w:b/>
          <w:spacing w:val="-7"/>
          <w:sz w:val="18"/>
        </w:rPr>
        <w:t> </w:t>
      </w:r>
      <w:r>
        <w:rPr>
          <w:b/>
          <w:spacing w:val="-2"/>
          <w:sz w:val="18"/>
        </w:rPr>
        <w:t>Services</w:t>
      </w:r>
    </w:p>
    <w:p>
      <w:pPr>
        <w:pStyle w:val="ListParagraph"/>
        <w:numPr>
          <w:ilvl w:val="0"/>
          <w:numId w:val="25"/>
        </w:numPr>
        <w:tabs>
          <w:tab w:pos="534" w:val="left" w:leader="none"/>
        </w:tabs>
        <w:spacing w:line="240" w:lineRule="auto" w:before="1" w:after="0"/>
        <w:ind w:left="534" w:right="0" w:hanging="360"/>
        <w:jc w:val="left"/>
        <w:rPr>
          <w:sz w:val="18"/>
        </w:rPr>
      </w:pPr>
      <w:r>
        <w:rPr/>
        <mc:AlternateContent>
          <mc:Choice Requires="wps">
            <w:drawing>
              <wp:anchor distT="0" distB="0" distL="0" distR="0" allowOverlap="1" layoutInCell="1" locked="0" behindDoc="1" simplePos="0" relativeHeight="482619392">
                <wp:simplePos x="0" y="0"/>
                <wp:positionH relativeFrom="page">
                  <wp:posOffset>3884676</wp:posOffset>
                </wp:positionH>
                <wp:positionV relativeFrom="paragraph">
                  <wp:posOffset>-139483</wp:posOffset>
                </wp:positionV>
                <wp:extent cx="12700" cy="1180465"/>
                <wp:effectExtent l="0" t="0" r="0" b="0"/>
                <wp:wrapNone/>
                <wp:docPr id="368" name="Graphic 368"/>
                <wp:cNvGraphicFramePr>
                  <a:graphicFrameLocks/>
                </wp:cNvGraphicFramePr>
                <a:graphic>
                  <a:graphicData uri="http://schemas.microsoft.com/office/word/2010/wordprocessingShape">
                    <wps:wsp>
                      <wps:cNvPr id="368" name="Graphic 368"/>
                      <wps:cNvSpPr/>
                      <wps:spPr>
                        <a:xfrm>
                          <a:off x="0" y="0"/>
                          <a:ext cx="12700" cy="1180465"/>
                        </a:xfrm>
                        <a:custGeom>
                          <a:avLst/>
                          <a:gdLst/>
                          <a:ahLst/>
                          <a:cxnLst/>
                          <a:rect l="l" t="t" r="r" b="b"/>
                          <a:pathLst>
                            <a:path w="12700" h="1180465">
                              <a:moveTo>
                                <a:pt x="12179" y="0"/>
                              </a:moveTo>
                              <a:lnTo>
                                <a:pt x="0" y="0"/>
                              </a:lnTo>
                              <a:lnTo>
                                <a:pt x="0" y="1180338"/>
                              </a:lnTo>
                              <a:lnTo>
                                <a:pt x="12179" y="1180338"/>
                              </a:lnTo>
                              <a:lnTo>
                                <a:pt x="12179"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rect style="position:absolute;margin-left:305.880005pt;margin-top:-10.982937pt;width:.959pt;height:92.94pt;mso-position-horizontal-relative:page;mso-position-vertical-relative:paragraph;z-index:-20697088" id="docshape292" filled="true" fillcolor="#ffffff" stroked="false">
                <v:fill type="solid"/>
                <w10:wrap type="none"/>
              </v:rect>
            </w:pict>
          </mc:Fallback>
        </mc:AlternateContent>
      </w:r>
      <w:r>
        <w:rPr>
          <w:sz w:val="18"/>
        </w:rPr>
        <w:t>Re-connect</w:t>
      </w:r>
      <w:r>
        <w:rPr>
          <w:spacing w:val="-4"/>
          <w:sz w:val="18"/>
        </w:rPr>
        <w:t> </w:t>
      </w:r>
      <w:r>
        <w:rPr>
          <w:sz w:val="18"/>
        </w:rPr>
        <w:t>LGBTQ</w:t>
      </w:r>
      <w:r>
        <w:rPr>
          <w:spacing w:val="-3"/>
          <w:sz w:val="18"/>
        </w:rPr>
        <w:t> </w:t>
      </w:r>
      <w:r>
        <w:rPr>
          <w:sz w:val="18"/>
        </w:rPr>
        <w:t>youth</w:t>
      </w:r>
      <w:r>
        <w:rPr>
          <w:spacing w:val="-2"/>
          <w:sz w:val="18"/>
        </w:rPr>
        <w:t> </w:t>
      </w:r>
      <w:r>
        <w:rPr>
          <w:sz w:val="18"/>
        </w:rPr>
        <w:t>with</w:t>
      </w:r>
      <w:r>
        <w:rPr>
          <w:spacing w:val="-3"/>
          <w:sz w:val="18"/>
        </w:rPr>
        <w:t> </w:t>
      </w:r>
      <w:r>
        <w:rPr>
          <w:sz w:val="18"/>
        </w:rPr>
        <w:t>local</w:t>
      </w:r>
      <w:r>
        <w:rPr>
          <w:spacing w:val="-4"/>
          <w:sz w:val="18"/>
        </w:rPr>
        <w:t> </w:t>
      </w:r>
      <w:r>
        <w:rPr>
          <w:sz w:val="18"/>
        </w:rPr>
        <w:t>public-school</w:t>
      </w:r>
      <w:r>
        <w:rPr>
          <w:spacing w:val="-2"/>
          <w:sz w:val="18"/>
        </w:rPr>
        <w:t> systems</w:t>
      </w:r>
    </w:p>
    <w:p>
      <w:pPr>
        <w:spacing w:before="0"/>
        <w:ind w:left="481" w:right="340" w:firstLine="0"/>
        <w:jc w:val="center"/>
        <w:rPr>
          <w:sz w:val="18"/>
        </w:rPr>
      </w:pPr>
      <w:r>
        <w:rPr>
          <w:sz w:val="18"/>
        </w:rPr>
        <w:t>or</w:t>
      </w:r>
      <w:r>
        <w:rPr>
          <w:spacing w:val="-2"/>
          <w:sz w:val="18"/>
        </w:rPr>
        <w:t> </w:t>
      </w:r>
      <w:r>
        <w:rPr>
          <w:sz w:val="18"/>
        </w:rPr>
        <w:t>GED</w:t>
      </w:r>
      <w:r>
        <w:rPr>
          <w:spacing w:val="-2"/>
          <w:sz w:val="18"/>
        </w:rPr>
        <w:t> programs.</w:t>
      </w:r>
    </w:p>
    <w:p>
      <w:pPr>
        <w:spacing w:before="0"/>
        <w:ind w:left="481" w:right="337" w:firstLine="0"/>
        <w:jc w:val="center"/>
        <w:rPr>
          <w:sz w:val="18"/>
        </w:rPr>
      </w:pPr>
      <w:r>
        <w:rPr>
          <w:sz w:val="18"/>
        </w:rPr>
        <w:t>Provide</w:t>
      </w:r>
      <w:r>
        <w:rPr>
          <w:spacing w:val="-6"/>
          <w:sz w:val="18"/>
        </w:rPr>
        <w:t> </w:t>
      </w:r>
      <w:r>
        <w:rPr>
          <w:sz w:val="18"/>
        </w:rPr>
        <w:t>peer</w:t>
      </w:r>
      <w:r>
        <w:rPr>
          <w:spacing w:val="-6"/>
          <w:sz w:val="18"/>
        </w:rPr>
        <w:t> </w:t>
      </w:r>
      <w:r>
        <w:rPr>
          <w:sz w:val="18"/>
        </w:rPr>
        <w:t>education</w:t>
      </w:r>
      <w:r>
        <w:rPr>
          <w:spacing w:val="-6"/>
          <w:sz w:val="18"/>
        </w:rPr>
        <w:t> </w:t>
      </w:r>
      <w:r>
        <w:rPr>
          <w:sz w:val="18"/>
        </w:rPr>
        <w:t>services</w:t>
      </w:r>
      <w:r>
        <w:rPr>
          <w:spacing w:val="-6"/>
          <w:sz w:val="18"/>
        </w:rPr>
        <w:t> </w:t>
      </w:r>
      <w:r>
        <w:rPr>
          <w:sz w:val="18"/>
        </w:rPr>
        <w:t>to</w:t>
      </w:r>
      <w:r>
        <w:rPr>
          <w:spacing w:val="-6"/>
          <w:sz w:val="18"/>
        </w:rPr>
        <w:t> </w:t>
      </w:r>
      <w:r>
        <w:rPr>
          <w:sz w:val="18"/>
        </w:rPr>
        <w:t>empower</w:t>
      </w:r>
      <w:r>
        <w:rPr>
          <w:spacing w:val="-6"/>
          <w:sz w:val="18"/>
        </w:rPr>
        <w:t> </w:t>
      </w:r>
      <w:r>
        <w:rPr>
          <w:sz w:val="18"/>
        </w:rPr>
        <w:t>LGBTQ</w:t>
      </w:r>
      <w:r>
        <w:rPr>
          <w:spacing w:val="-6"/>
          <w:sz w:val="18"/>
        </w:rPr>
        <w:t> </w:t>
      </w:r>
      <w:r>
        <w:rPr>
          <w:sz w:val="18"/>
        </w:rPr>
        <w:t>youth in their identity.</w:t>
      </w:r>
    </w:p>
    <w:p>
      <w:pPr>
        <w:pStyle w:val="ListParagraph"/>
        <w:numPr>
          <w:ilvl w:val="0"/>
          <w:numId w:val="25"/>
        </w:numPr>
        <w:tabs>
          <w:tab w:pos="597" w:val="left" w:leader="none"/>
          <w:tab w:pos="729" w:val="left" w:leader="none"/>
        </w:tabs>
        <w:spacing w:line="240" w:lineRule="auto" w:before="0" w:after="0"/>
        <w:ind w:left="729" w:right="454" w:hanging="492"/>
        <w:jc w:val="left"/>
        <w:rPr>
          <w:sz w:val="18"/>
        </w:rPr>
      </w:pPr>
      <w:r>
        <w:rPr>
          <w:sz w:val="18"/>
        </w:rPr>
        <w:t>Develop</w:t>
      </w:r>
      <w:r>
        <w:rPr>
          <w:spacing w:val="-6"/>
          <w:sz w:val="18"/>
        </w:rPr>
        <w:t> </w:t>
      </w:r>
      <w:r>
        <w:rPr>
          <w:sz w:val="18"/>
        </w:rPr>
        <w:t>programming</w:t>
      </w:r>
      <w:r>
        <w:rPr>
          <w:spacing w:val="-6"/>
          <w:sz w:val="18"/>
        </w:rPr>
        <w:t> </w:t>
      </w:r>
      <w:r>
        <w:rPr>
          <w:sz w:val="18"/>
        </w:rPr>
        <w:t>for</w:t>
      </w:r>
      <w:r>
        <w:rPr>
          <w:spacing w:val="-7"/>
          <w:sz w:val="18"/>
        </w:rPr>
        <w:t> </w:t>
      </w:r>
      <w:r>
        <w:rPr>
          <w:sz w:val="18"/>
        </w:rPr>
        <w:t>LGBTQ</w:t>
      </w:r>
      <w:r>
        <w:rPr>
          <w:spacing w:val="-6"/>
          <w:sz w:val="18"/>
        </w:rPr>
        <w:t> </w:t>
      </w:r>
      <w:r>
        <w:rPr>
          <w:sz w:val="18"/>
        </w:rPr>
        <w:t>youth</w:t>
      </w:r>
      <w:r>
        <w:rPr>
          <w:spacing w:val="-6"/>
          <w:sz w:val="18"/>
        </w:rPr>
        <w:t> </w:t>
      </w:r>
      <w:r>
        <w:rPr>
          <w:sz w:val="18"/>
        </w:rPr>
        <w:t>to</w:t>
      </w:r>
      <w:r>
        <w:rPr>
          <w:spacing w:val="-6"/>
          <w:sz w:val="18"/>
        </w:rPr>
        <w:t> </w:t>
      </w:r>
      <w:r>
        <w:rPr>
          <w:sz w:val="18"/>
        </w:rPr>
        <w:t>gain</w:t>
      </w:r>
      <w:r>
        <w:rPr>
          <w:spacing w:val="-6"/>
          <w:sz w:val="18"/>
        </w:rPr>
        <w:t> </w:t>
      </w:r>
      <w:r>
        <w:rPr>
          <w:sz w:val="18"/>
        </w:rPr>
        <w:t>financial empowerment and steps to securing stable housing.</w:t>
      </w:r>
    </w:p>
    <w:p>
      <w:pPr>
        <w:spacing w:after="0" w:line="240" w:lineRule="auto"/>
        <w:jc w:val="left"/>
        <w:rPr>
          <w:sz w:val="18"/>
        </w:rPr>
        <w:sectPr>
          <w:type w:val="continuous"/>
          <w:pgSz w:w="12240" w:h="15840"/>
          <w:pgMar w:header="765" w:footer="1127" w:top="1420" w:bottom="280" w:left="1120" w:right="1180"/>
          <w:cols w:num="2" w:equalWidth="0">
            <w:col w:w="4754" w:space="40"/>
            <w:col w:w="5146"/>
          </w:cols>
        </w:sectPr>
      </w:pPr>
    </w:p>
    <w:p>
      <w:pPr>
        <w:pStyle w:val="BodyText"/>
        <w:spacing w:before="132"/>
        <w:rPr>
          <w:sz w:val="20"/>
        </w:rPr>
      </w:pPr>
    </w:p>
    <w:p>
      <w:pPr>
        <w:spacing w:after="0"/>
        <w:rPr>
          <w:sz w:val="20"/>
        </w:rPr>
        <w:sectPr>
          <w:type w:val="continuous"/>
          <w:pgSz w:w="12240" w:h="15840"/>
          <w:pgMar w:header="765" w:footer="1127" w:top="1420" w:bottom="280" w:left="1120" w:right="1180"/>
        </w:sectPr>
      </w:pPr>
    </w:p>
    <w:p>
      <w:pPr>
        <w:spacing w:before="64"/>
        <w:ind w:left="1646" w:right="0" w:firstLine="0"/>
        <w:jc w:val="left"/>
        <w:rPr>
          <w:b/>
          <w:sz w:val="18"/>
        </w:rPr>
      </w:pPr>
      <w:r>
        <w:rPr>
          <w:b/>
          <w:sz w:val="18"/>
        </w:rPr>
        <w:t>LGBTQ</w:t>
      </w:r>
      <w:r>
        <w:rPr>
          <w:b/>
          <w:spacing w:val="-3"/>
          <w:sz w:val="18"/>
        </w:rPr>
        <w:t> </w:t>
      </w:r>
      <w:r>
        <w:rPr>
          <w:b/>
          <w:sz w:val="18"/>
        </w:rPr>
        <w:t>Inclusive</w:t>
      </w:r>
      <w:r>
        <w:rPr>
          <w:b/>
          <w:spacing w:val="-3"/>
          <w:sz w:val="18"/>
        </w:rPr>
        <w:t> </w:t>
      </w:r>
      <w:r>
        <w:rPr>
          <w:b/>
          <w:spacing w:val="-2"/>
          <w:sz w:val="18"/>
        </w:rPr>
        <w:t>Training</w:t>
      </w:r>
    </w:p>
    <w:p>
      <w:pPr>
        <w:pStyle w:val="ListParagraph"/>
        <w:numPr>
          <w:ilvl w:val="0"/>
          <w:numId w:val="25"/>
        </w:numPr>
        <w:tabs>
          <w:tab w:pos="528" w:val="left" w:leader="none"/>
          <w:tab w:pos="591" w:val="left" w:leader="none"/>
        </w:tabs>
        <w:spacing w:line="240" w:lineRule="auto" w:before="0" w:after="0"/>
        <w:ind w:left="591" w:right="172" w:hanging="423"/>
        <w:jc w:val="left"/>
        <w:rPr>
          <w:sz w:val="18"/>
        </w:rPr>
      </w:pPr>
      <w:r>
        <w:rPr>
          <w:sz w:val="18"/>
        </w:rPr>
        <w:t>Develop</w:t>
      </w:r>
      <w:r>
        <w:rPr>
          <w:spacing w:val="-6"/>
          <w:sz w:val="18"/>
        </w:rPr>
        <w:t> </w:t>
      </w:r>
      <w:r>
        <w:rPr>
          <w:sz w:val="18"/>
        </w:rPr>
        <w:t>LGBTQ</w:t>
      </w:r>
      <w:r>
        <w:rPr>
          <w:spacing w:val="-8"/>
          <w:sz w:val="18"/>
        </w:rPr>
        <w:t> </w:t>
      </w:r>
      <w:r>
        <w:rPr>
          <w:sz w:val="18"/>
        </w:rPr>
        <w:t>cultural</w:t>
      </w:r>
      <w:r>
        <w:rPr>
          <w:spacing w:val="-6"/>
          <w:sz w:val="18"/>
        </w:rPr>
        <w:t> </w:t>
      </w:r>
      <w:r>
        <w:rPr>
          <w:sz w:val="18"/>
        </w:rPr>
        <w:t>competency</w:t>
      </w:r>
      <w:r>
        <w:rPr>
          <w:spacing w:val="-6"/>
          <w:sz w:val="18"/>
        </w:rPr>
        <w:t> </w:t>
      </w:r>
      <w:r>
        <w:rPr>
          <w:sz w:val="18"/>
        </w:rPr>
        <w:t>training</w:t>
      </w:r>
      <w:r>
        <w:rPr>
          <w:spacing w:val="-6"/>
          <w:sz w:val="18"/>
        </w:rPr>
        <w:t> </w:t>
      </w:r>
      <w:r>
        <w:rPr>
          <w:sz w:val="18"/>
        </w:rPr>
        <w:t>in</w:t>
      </w:r>
      <w:r>
        <w:rPr>
          <w:spacing w:val="-6"/>
          <w:sz w:val="18"/>
        </w:rPr>
        <w:t> </w:t>
      </w:r>
      <w:r>
        <w:rPr>
          <w:sz w:val="18"/>
        </w:rPr>
        <w:t>shelters and drop-in centers to provide safer spaces for LGBTQ</w:t>
      </w:r>
    </w:p>
    <w:p>
      <w:pPr>
        <w:spacing w:before="0"/>
        <w:ind w:left="2333" w:right="0" w:hanging="1916"/>
        <w:jc w:val="left"/>
        <w:rPr>
          <w:sz w:val="18"/>
        </w:rPr>
      </w:pPr>
      <w:r>
        <w:rPr>
          <w:sz w:val="18"/>
        </w:rPr>
        <w:t>youth</w:t>
      </w:r>
      <w:r>
        <w:rPr>
          <w:spacing w:val="-7"/>
          <w:sz w:val="18"/>
        </w:rPr>
        <w:t> </w:t>
      </w:r>
      <w:r>
        <w:rPr>
          <w:sz w:val="18"/>
        </w:rPr>
        <w:t>experiencing</w:t>
      </w:r>
      <w:r>
        <w:rPr>
          <w:spacing w:val="-7"/>
          <w:sz w:val="18"/>
        </w:rPr>
        <w:t> </w:t>
      </w:r>
      <w:r>
        <w:rPr>
          <w:sz w:val="18"/>
        </w:rPr>
        <w:t>homelessness;</w:t>
      </w:r>
      <w:r>
        <w:rPr>
          <w:spacing w:val="-7"/>
          <w:sz w:val="18"/>
        </w:rPr>
        <w:t> </w:t>
      </w:r>
      <w:r>
        <w:rPr>
          <w:sz w:val="18"/>
        </w:rPr>
        <w:t>specifically</w:t>
      </w:r>
      <w:r>
        <w:rPr>
          <w:spacing w:val="-7"/>
          <w:sz w:val="18"/>
        </w:rPr>
        <w:t> </w:t>
      </w:r>
      <w:r>
        <w:rPr>
          <w:sz w:val="18"/>
        </w:rPr>
        <w:t>for</w:t>
      </w:r>
      <w:r>
        <w:rPr>
          <w:spacing w:val="-7"/>
          <w:sz w:val="18"/>
        </w:rPr>
        <w:t> </w:t>
      </w:r>
      <w:r>
        <w:rPr>
          <w:sz w:val="18"/>
        </w:rPr>
        <w:t>QTBIPOC </w:t>
      </w:r>
      <w:r>
        <w:rPr>
          <w:spacing w:val="-2"/>
          <w:sz w:val="18"/>
        </w:rPr>
        <w:t>youth.</w:t>
      </w:r>
    </w:p>
    <w:p>
      <w:pPr>
        <w:spacing w:before="0"/>
        <w:ind w:left="2264" w:right="0" w:hanging="1869"/>
        <w:jc w:val="left"/>
        <w:rPr>
          <w:sz w:val="18"/>
        </w:rPr>
      </w:pPr>
      <w:r>
        <w:rPr>
          <w:sz w:val="18"/>
        </w:rPr>
        <w:t>Require</w:t>
      </w:r>
      <w:r>
        <w:rPr>
          <w:spacing w:val="-4"/>
          <w:sz w:val="18"/>
        </w:rPr>
        <w:t> </w:t>
      </w:r>
      <w:r>
        <w:rPr>
          <w:sz w:val="18"/>
        </w:rPr>
        <w:t>all</w:t>
      </w:r>
      <w:r>
        <w:rPr>
          <w:spacing w:val="-5"/>
          <w:sz w:val="18"/>
        </w:rPr>
        <w:t> </w:t>
      </w:r>
      <w:r>
        <w:rPr>
          <w:sz w:val="18"/>
        </w:rPr>
        <w:t>staff</w:t>
      </w:r>
      <w:r>
        <w:rPr>
          <w:spacing w:val="-4"/>
          <w:sz w:val="18"/>
        </w:rPr>
        <w:t> </w:t>
      </w:r>
      <w:r>
        <w:rPr>
          <w:sz w:val="18"/>
        </w:rPr>
        <w:t>in</w:t>
      </w:r>
      <w:r>
        <w:rPr>
          <w:spacing w:val="-4"/>
          <w:sz w:val="18"/>
        </w:rPr>
        <w:t> </w:t>
      </w:r>
      <w:r>
        <w:rPr>
          <w:sz w:val="18"/>
        </w:rPr>
        <w:t>shelters</w:t>
      </w:r>
      <w:r>
        <w:rPr>
          <w:spacing w:val="-4"/>
          <w:sz w:val="18"/>
        </w:rPr>
        <w:t> </w:t>
      </w:r>
      <w:r>
        <w:rPr>
          <w:sz w:val="18"/>
        </w:rPr>
        <w:t>and</w:t>
      </w:r>
      <w:r>
        <w:rPr>
          <w:spacing w:val="-4"/>
          <w:sz w:val="18"/>
        </w:rPr>
        <w:t> </w:t>
      </w:r>
      <w:r>
        <w:rPr>
          <w:sz w:val="18"/>
        </w:rPr>
        <w:t>drop-in</w:t>
      </w:r>
      <w:r>
        <w:rPr>
          <w:spacing w:val="-4"/>
          <w:sz w:val="18"/>
        </w:rPr>
        <w:t> </w:t>
      </w:r>
      <w:r>
        <w:rPr>
          <w:sz w:val="18"/>
        </w:rPr>
        <w:t>centers</w:t>
      </w:r>
      <w:r>
        <w:rPr>
          <w:spacing w:val="-4"/>
          <w:sz w:val="18"/>
        </w:rPr>
        <w:t> </w:t>
      </w:r>
      <w:r>
        <w:rPr>
          <w:sz w:val="18"/>
        </w:rPr>
        <w:t>to</w:t>
      </w:r>
      <w:r>
        <w:rPr>
          <w:spacing w:val="-4"/>
          <w:sz w:val="18"/>
        </w:rPr>
        <w:t> </w:t>
      </w:r>
      <w:r>
        <w:rPr>
          <w:sz w:val="18"/>
        </w:rPr>
        <w:t>complete </w:t>
      </w:r>
      <w:r>
        <w:rPr>
          <w:spacing w:val="-2"/>
          <w:sz w:val="18"/>
        </w:rPr>
        <w:t>training.</w:t>
      </w:r>
    </w:p>
    <w:p>
      <w:pPr>
        <w:spacing w:before="64"/>
        <w:ind w:left="1642" w:right="0" w:firstLine="0"/>
        <w:jc w:val="left"/>
        <w:rPr>
          <w:b/>
          <w:sz w:val="18"/>
        </w:rPr>
      </w:pPr>
      <w:r>
        <w:rPr/>
        <w:br w:type="column"/>
      </w:r>
      <w:r>
        <w:rPr>
          <w:b/>
          <w:sz w:val="18"/>
        </w:rPr>
        <w:t>Family</w:t>
      </w:r>
      <w:r>
        <w:rPr>
          <w:b/>
          <w:spacing w:val="-3"/>
          <w:sz w:val="18"/>
        </w:rPr>
        <w:t> </w:t>
      </w:r>
      <w:r>
        <w:rPr>
          <w:b/>
          <w:sz w:val="18"/>
        </w:rPr>
        <w:t>Support</w:t>
      </w:r>
      <w:r>
        <w:rPr>
          <w:b/>
          <w:spacing w:val="-3"/>
          <w:sz w:val="18"/>
        </w:rPr>
        <w:t> </w:t>
      </w:r>
      <w:r>
        <w:rPr>
          <w:b/>
          <w:spacing w:val="-2"/>
          <w:sz w:val="18"/>
        </w:rPr>
        <w:t>Services</w:t>
      </w:r>
    </w:p>
    <w:p>
      <w:pPr>
        <w:pStyle w:val="ListParagraph"/>
        <w:numPr>
          <w:ilvl w:val="0"/>
          <w:numId w:val="25"/>
        </w:numPr>
        <w:tabs>
          <w:tab w:pos="441" w:val="left" w:leader="none"/>
          <w:tab w:pos="564" w:val="left" w:leader="none"/>
        </w:tabs>
        <w:spacing w:line="240" w:lineRule="auto" w:before="0" w:after="0"/>
        <w:ind w:left="441" w:right="410" w:hanging="237"/>
        <w:jc w:val="left"/>
        <w:rPr>
          <w:sz w:val="18"/>
        </w:rPr>
      </w:pPr>
      <w:r>
        <w:rPr>
          <w:sz w:val="18"/>
        </w:rPr>
        <w:tab/>
        <w:t>Promote interventions of family acceptance of LGBTQ youth</w:t>
      </w:r>
      <w:r>
        <w:rPr>
          <w:spacing w:val="-5"/>
          <w:sz w:val="18"/>
        </w:rPr>
        <w:t> </w:t>
      </w:r>
      <w:r>
        <w:rPr>
          <w:sz w:val="18"/>
        </w:rPr>
        <w:t>identity</w:t>
      </w:r>
      <w:r>
        <w:rPr>
          <w:spacing w:val="-5"/>
          <w:sz w:val="18"/>
        </w:rPr>
        <w:t> </w:t>
      </w:r>
      <w:r>
        <w:rPr>
          <w:sz w:val="18"/>
        </w:rPr>
        <w:t>to</w:t>
      </w:r>
      <w:r>
        <w:rPr>
          <w:spacing w:val="-5"/>
          <w:sz w:val="18"/>
        </w:rPr>
        <w:t> </w:t>
      </w:r>
      <w:r>
        <w:rPr>
          <w:sz w:val="18"/>
        </w:rPr>
        <w:t>combat</w:t>
      </w:r>
      <w:r>
        <w:rPr>
          <w:spacing w:val="-5"/>
          <w:sz w:val="18"/>
        </w:rPr>
        <w:t> </w:t>
      </w:r>
      <w:r>
        <w:rPr>
          <w:sz w:val="18"/>
        </w:rPr>
        <w:t>the</w:t>
      </w:r>
      <w:r>
        <w:rPr>
          <w:spacing w:val="-5"/>
          <w:sz w:val="18"/>
        </w:rPr>
        <w:t> </w:t>
      </w:r>
      <w:r>
        <w:rPr>
          <w:sz w:val="18"/>
        </w:rPr>
        <w:t>main</w:t>
      </w:r>
      <w:r>
        <w:rPr>
          <w:spacing w:val="-5"/>
          <w:sz w:val="18"/>
        </w:rPr>
        <w:t> </w:t>
      </w:r>
      <w:r>
        <w:rPr>
          <w:sz w:val="18"/>
        </w:rPr>
        <w:t>driver</w:t>
      </w:r>
      <w:r>
        <w:rPr>
          <w:spacing w:val="-5"/>
          <w:sz w:val="18"/>
        </w:rPr>
        <w:t> </w:t>
      </w:r>
      <w:r>
        <w:rPr>
          <w:sz w:val="18"/>
        </w:rPr>
        <w:t>of</w:t>
      </w:r>
      <w:r>
        <w:rPr>
          <w:spacing w:val="-5"/>
          <w:sz w:val="18"/>
        </w:rPr>
        <w:t> </w:t>
      </w:r>
      <w:r>
        <w:rPr>
          <w:sz w:val="18"/>
        </w:rPr>
        <w:t>LGBTQ</w:t>
      </w:r>
      <w:r>
        <w:rPr>
          <w:spacing w:val="-5"/>
          <w:sz w:val="18"/>
        </w:rPr>
        <w:t> </w:t>
      </w:r>
      <w:r>
        <w:rPr>
          <w:sz w:val="18"/>
        </w:rPr>
        <w:t>youth</w:t>
      </w:r>
    </w:p>
    <w:p>
      <w:pPr>
        <w:spacing w:line="219" w:lineRule="exact" w:before="0"/>
        <w:ind w:left="2000" w:right="0" w:firstLine="0"/>
        <w:jc w:val="left"/>
        <w:rPr>
          <w:sz w:val="18"/>
        </w:rPr>
      </w:pPr>
      <w:r>
        <w:rPr>
          <w:spacing w:val="-2"/>
          <w:sz w:val="18"/>
        </w:rPr>
        <w:t>homelessness.</w:t>
      </w:r>
    </w:p>
    <w:p>
      <w:pPr>
        <w:pStyle w:val="ListParagraph"/>
        <w:numPr>
          <w:ilvl w:val="0"/>
          <w:numId w:val="25"/>
        </w:numPr>
        <w:tabs>
          <w:tab w:pos="383" w:val="left" w:leader="none"/>
          <w:tab w:pos="528" w:val="left" w:leader="none"/>
        </w:tabs>
        <w:spacing w:line="240" w:lineRule="auto" w:before="0" w:after="0"/>
        <w:ind w:left="383" w:right="353" w:hanging="215"/>
        <w:jc w:val="left"/>
        <w:rPr>
          <w:sz w:val="18"/>
        </w:rPr>
      </w:pPr>
      <w:r>
        <w:rPr>
          <w:sz w:val="18"/>
        </w:rPr>
        <w:tab/>
        <w:t>Urge the Department of Children and Families (DCF) to support</w:t>
      </w:r>
      <w:r>
        <w:rPr>
          <w:spacing w:val="-5"/>
          <w:sz w:val="18"/>
        </w:rPr>
        <w:t> </w:t>
      </w:r>
      <w:r>
        <w:rPr>
          <w:sz w:val="18"/>
        </w:rPr>
        <w:t>and</w:t>
      </w:r>
      <w:r>
        <w:rPr>
          <w:spacing w:val="-4"/>
          <w:sz w:val="18"/>
        </w:rPr>
        <w:t> </w:t>
      </w:r>
      <w:r>
        <w:rPr>
          <w:sz w:val="18"/>
        </w:rPr>
        <w:t>train</w:t>
      </w:r>
      <w:r>
        <w:rPr>
          <w:spacing w:val="-4"/>
          <w:sz w:val="18"/>
        </w:rPr>
        <w:t> </w:t>
      </w:r>
      <w:r>
        <w:rPr>
          <w:sz w:val="18"/>
        </w:rPr>
        <w:t>DCF</w:t>
      </w:r>
      <w:r>
        <w:rPr>
          <w:spacing w:val="-4"/>
          <w:sz w:val="18"/>
        </w:rPr>
        <w:t> </w:t>
      </w:r>
      <w:r>
        <w:rPr>
          <w:sz w:val="18"/>
        </w:rPr>
        <w:t>staff</w:t>
      </w:r>
      <w:r>
        <w:rPr>
          <w:spacing w:val="-4"/>
          <w:sz w:val="18"/>
        </w:rPr>
        <w:t> </w:t>
      </w:r>
      <w:r>
        <w:rPr>
          <w:sz w:val="18"/>
        </w:rPr>
        <w:t>and</w:t>
      </w:r>
      <w:r>
        <w:rPr>
          <w:spacing w:val="-4"/>
          <w:sz w:val="18"/>
        </w:rPr>
        <w:t> </w:t>
      </w:r>
      <w:r>
        <w:rPr>
          <w:sz w:val="18"/>
        </w:rPr>
        <w:t>foster</w:t>
      </w:r>
      <w:r>
        <w:rPr>
          <w:spacing w:val="-5"/>
          <w:sz w:val="18"/>
        </w:rPr>
        <w:t> </w:t>
      </w:r>
      <w:r>
        <w:rPr>
          <w:sz w:val="18"/>
        </w:rPr>
        <w:t>parents</w:t>
      </w:r>
      <w:r>
        <w:rPr>
          <w:spacing w:val="-4"/>
          <w:sz w:val="18"/>
        </w:rPr>
        <w:t> </w:t>
      </w:r>
      <w:r>
        <w:rPr>
          <w:sz w:val="18"/>
        </w:rPr>
        <w:t>on</w:t>
      </w:r>
      <w:r>
        <w:rPr>
          <w:spacing w:val="-5"/>
          <w:sz w:val="18"/>
        </w:rPr>
        <w:t> </w:t>
      </w:r>
      <w:r>
        <w:rPr>
          <w:sz w:val="18"/>
        </w:rPr>
        <w:t>affirming</w:t>
      </w:r>
    </w:p>
    <w:p>
      <w:pPr>
        <w:spacing w:line="219" w:lineRule="exact" w:before="0"/>
        <w:ind w:left="599" w:right="0" w:firstLine="0"/>
        <w:jc w:val="left"/>
        <w:rPr>
          <w:sz w:val="18"/>
        </w:rPr>
      </w:pPr>
      <w:r>
        <w:rPr>
          <w:sz w:val="18"/>
        </w:rPr>
        <w:t>behaviors</w:t>
      </w:r>
      <w:r>
        <w:rPr>
          <w:spacing w:val="-5"/>
          <w:sz w:val="18"/>
        </w:rPr>
        <w:t> </w:t>
      </w:r>
      <w:r>
        <w:rPr>
          <w:sz w:val="18"/>
        </w:rPr>
        <w:t>for</w:t>
      </w:r>
      <w:r>
        <w:rPr>
          <w:spacing w:val="-2"/>
          <w:sz w:val="18"/>
        </w:rPr>
        <w:t> </w:t>
      </w:r>
      <w:r>
        <w:rPr>
          <w:sz w:val="18"/>
        </w:rPr>
        <w:t>LGBTQ</w:t>
      </w:r>
      <w:r>
        <w:rPr>
          <w:spacing w:val="-2"/>
          <w:sz w:val="18"/>
        </w:rPr>
        <w:t> </w:t>
      </w:r>
      <w:r>
        <w:rPr>
          <w:sz w:val="18"/>
        </w:rPr>
        <w:t>youth</w:t>
      </w:r>
      <w:r>
        <w:rPr>
          <w:spacing w:val="-2"/>
          <w:sz w:val="18"/>
        </w:rPr>
        <w:t> </w:t>
      </w:r>
      <w:r>
        <w:rPr>
          <w:sz w:val="18"/>
        </w:rPr>
        <w:t>in</w:t>
      </w:r>
      <w:r>
        <w:rPr>
          <w:spacing w:val="-3"/>
          <w:sz w:val="18"/>
        </w:rPr>
        <w:t> </w:t>
      </w:r>
      <w:r>
        <w:rPr>
          <w:sz w:val="18"/>
        </w:rPr>
        <w:t>the</w:t>
      </w:r>
      <w:r>
        <w:rPr>
          <w:spacing w:val="-2"/>
          <w:sz w:val="18"/>
        </w:rPr>
        <w:t> </w:t>
      </w:r>
      <w:r>
        <w:rPr>
          <w:sz w:val="18"/>
        </w:rPr>
        <w:t>foster</w:t>
      </w:r>
      <w:r>
        <w:rPr>
          <w:spacing w:val="-2"/>
          <w:sz w:val="18"/>
        </w:rPr>
        <w:t> </w:t>
      </w:r>
      <w:r>
        <w:rPr>
          <w:sz w:val="18"/>
        </w:rPr>
        <w:t>care</w:t>
      </w:r>
      <w:r>
        <w:rPr>
          <w:spacing w:val="-2"/>
          <w:sz w:val="18"/>
        </w:rPr>
        <w:t> system.</w:t>
      </w:r>
    </w:p>
    <w:p>
      <w:pPr>
        <w:spacing w:after="0" w:line="219" w:lineRule="exact"/>
        <w:jc w:val="left"/>
        <w:rPr>
          <w:sz w:val="18"/>
        </w:rPr>
        <w:sectPr>
          <w:type w:val="continuous"/>
          <w:pgSz w:w="12240" w:h="15840"/>
          <w:pgMar w:header="765" w:footer="1127" w:top="1420" w:bottom="280" w:left="1120" w:right="1180"/>
          <w:cols w:num="2" w:equalWidth="0">
            <w:col w:w="4785" w:space="121"/>
            <w:col w:w="5034"/>
          </w:cols>
        </w:sectPr>
      </w:pPr>
    </w:p>
    <w:p>
      <w:pPr>
        <w:spacing w:before="90"/>
        <w:ind w:left="464" w:right="0" w:firstLine="0"/>
        <w:jc w:val="both"/>
        <w:rPr>
          <w:sz w:val="24"/>
        </w:rPr>
      </w:pPr>
      <w:bookmarkStart w:name="Limitations in Homelessness and Housing " w:id="494"/>
      <w:bookmarkEnd w:id="494"/>
      <w:r>
        <w:rPr/>
      </w:r>
      <w:r>
        <w:rPr>
          <w:color w:val="365F91"/>
          <w:sz w:val="24"/>
        </w:rPr>
        <w:t>Limitations</w:t>
      </w:r>
      <w:r>
        <w:rPr>
          <w:color w:val="365F91"/>
          <w:spacing w:val="-6"/>
          <w:sz w:val="24"/>
        </w:rPr>
        <w:t> </w:t>
      </w:r>
      <w:r>
        <w:rPr>
          <w:color w:val="365F91"/>
          <w:sz w:val="24"/>
        </w:rPr>
        <w:t>in</w:t>
      </w:r>
      <w:r>
        <w:rPr>
          <w:color w:val="365F91"/>
          <w:spacing w:val="-4"/>
          <w:sz w:val="24"/>
        </w:rPr>
        <w:t> </w:t>
      </w:r>
      <w:r>
        <w:rPr>
          <w:color w:val="365F91"/>
          <w:sz w:val="24"/>
        </w:rPr>
        <w:t>Homelessness</w:t>
      </w:r>
      <w:r>
        <w:rPr>
          <w:color w:val="365F91"/>
          <w:spacing w:val="-4"/>
          <w:sz w:val="24"/>
        </w:rPr>
        <w:t> </w:t>
      </w:r>
      <w:r>
        <w:rPr>
          <w:color w:val="365F91"/>
          <w:sz w:val="24"/>
        </w:rPr>
        <w:t>and</w:t>
      </w:r>
      <w:r>
        <w:rPr>
          <w:color w:val="365F91"/>
          <w:spacing w:val="-4"/>
          <w:sz w:val="24"/>
        </w:rPr>
        <w:t> </w:t>
      </w:r>
      <w:r>
        <w:rPr>
          <w:color w:val="365F91"/>
          <w:sz w:val="24"/>
        </w:rPr>
        <w:t>Housing</w:t>
      </w:r>
      <w:r>
        <w:rPr>
          <w:color w:val="365F91"/>
          <w:spacing w:val="-4"/>
          <w:sz w:val="24"/>
        </w:rPr>
        <w:t> </w:t>
      </w:r>
      <w:r>
        <w:rPr>
          <w:color w:val="365F91"/>
          <w:sz w:val="24"/>
        </w:rPr>
        <w:t>Insecurity</w:t>
      </w:r>
      <w:r>
        <w:rPr>
          <w:color w:val="365F91"/>
          <w:spacing w:val="-3"/>
          <w:sz w:val="24"/>
        </w:rPr>
        <w:t> </w:t>
      </w:r>
      <w:r>
        <w:rPr>
          <w:color w:val="365F91"/>
          <w:spacing w:val="-4"/>
          <w:sz w:val="24"/>
        </w:rPr>
        <w:t>Data</w:t>
      </w:r>
    </w:p>
    <w:p>
      <w:pPr>
        <w:spacing w:line="276" w:lineRule="auto" w:before="285"/>
        <w:ind w:left="463" w:right="400" w:firstLine="0"/>
        <w:jc w:val="both"/>
        <w:rPr>
          <w:sz w:val="21"/>
        </w:rPr>
      </w:pPr>
      <w:r>
        <w:rPr>
          <w:sz w:val="21"/>
        </w:rPr>
        <w:t>There are several limitations in data reporting addressed in this report. Specifically, data collection and reporting on LGBTQ youth homelessness and housing insecurity tend to underestimate the actual prevalence of homelessness. One major issue is the lack of a nationally standardized definition for unaccompanied youth homelessness, leading to inconsistencies in reporting. Additionally, common data collection</w:t>
      </w:r>
      <w:r>
        <w:rPr>
          <w:spacing w:val="-11"/>
          <w:sz w:val="21"/>
        </w:rPr>
        <w:t> </w:t>
      </w:r>
      <w:r>
        <w:rPr>
          <w:sz w:val="21"/>
        </w:rPr>
        <w:t>methods</w:t>
      </w:r>
      <w:r>
        <w:rPr>
          <w:spacing w:val="-12"/>
          <w:sz w:val="21"/>
        </w:rPr>
        <w:t> </w:t>
      </w:r>
      <w:r>
        <w:rPr>
          <w:sz w:val="21"/>
        </w:rPr>
        <w:t>often</w:t>
      </w:r>
      <w:r>
        <w:rPr>
          <w:spacing w:val="-11"/>
          <w:sz w:val="21"/>
        </w:rPr>
        <w:t> </w:t>
      </w:r>
      <w:r>
        <w:rPr>
          <w:sz w:val="21"/>
        </w:rPr>
        <w:t>overlook</w:t>
      </w:r>
      <w:r>
        <w:rPr>
          <w:spacing w:val="-11"/>
          <w:sz w:val="21"/>
        </w:rPr>
        <w:t> </w:t>
      </w:r>
      <w:r>
        <w:rPr>
          <w:sz w:val="21"/>
        </w:rPr>
        <w:t>individuals</w:t>
      </w:r>
      <w:r>
        <w:rPr>
          <w:spacing w:val="-12"/>
          <w:sz w:val="21"/>
        </w:rPr>
        <w:t> </w:t>
      </w:r>
      <w:r>
        <w:rPr>
          <w:sz w:val="21"/>
        </w:rPr>
        <w:t>temporarily</w:t>
      </w:r>
      <w:r>
        <w:rPr>
          <w:spacing w:val="-11"/>
          <w:sz w:val="21"/>
        </w:rPr>
        <w:t> </w:t>
      </w:r>
      <w:r>
        <w:rPr>
          <w:sz w:val="21"/>
        </w:rPr>
        <w:t>staying</w:t>
      </w:r>
      <w:r>
        <w:rPr>
          <w:spacing w:val="-12"/>
          <w:sz w:val="21"/>
        </w:rPr>
        <w:t> </w:t>
      </w:r>
      <w:r>
        <w:rPr>
          <w:sz w:val="21"/>
        </w:rPr>
        <w:t>with</w:t>
      </w:r>
      <w:r>
        <w:rPr>
          <w:spacing w:val="-11"/>
          <w:sz w:val="21"/>
        </w:rPr>
        <w:t> </w:t>
      </w:r>
      <w:r>
        <w:rPr>
          <w:sz w:val="21"/>
        </w:rPr>
        <w:t>friends</w:t>
      </w:r>
      <w:r>
        <w:rPr>
          <w:spacing w:val="-12"/>
          <w:sz w:val="21"/>
        </w:rPr>
        <w:t> </w:t>
      </w:r>
      <w:r>
        <w:rPr>
          <w:sz w:val="21"/>
        </w:rPr>
        <w:t>("couch-surfing")</w:t>
      </w:r>
      <w:r>
        <w:rPr>
          <w:spacing w:val="-11"/>
          <w:sz w:val="21"/>
        </w:rPr>
        <w:t> </w:t>
      </w:r>
      <w:r>
        <w:rPr>
          <w:sz w:val="21"/>
        </w:rPr>
        <w:t>or</w:t>
      </w:r>
      <w:r>
        <w:rPr>
          <w:spacing w:val="-11"/>
          <w:sz w:val="21"/>
        </w:rPr>
        <w:t> </w:t>
      </w:r>
      <w:r>
        <w:rPr>
          <w:sz w:val="21"/>
        </w:rPr>
        <w:t>sleeping in cars, which results in these experiences being underrepresented in reports. For instance, the Annual Homelessness Assessment Report (AHAR) by the U.S. Department of Housing and Urban Development exemplifies</w:t>
      </w:r>
      <w:r>
        <w:rPr>
          <w:spacing w:val="-12"/>
          <w:sz w:val="21"/>
        </w:rPr>
        <w:t> </w:t>
      </w:r>
      <w:r>
        <w:rPr>
          <w:sz w:val="21"/>
        </w:rPr>
        <w:t>how</w:t>
      </w:r>
      <w:r>
        <w:rPr>
          <w:spacing w:val="-12"/>
          <w:sz w:val="21"/>
        </w:rPr>
        <w:t> </w:t>
      </w:r>
      <w:r>
        <w:rPr>
          <w:sz w:val="21"/>
        </w:rPr>
        <w:t>data</w:t>
      </w:r>
      <w:r>
        <w:rPr>
          <w:spacing w:val="-12"/>
          <w:sz w:val="21"/>
        </w:rPr>
        <w:t> </w:t>
      </w:r>
      <w:r>
        <w:rPr>
          <w:sz w:val="21"/>
        </w:rPr>
        <w:t>can</w:t>
      </w:r>
      <w:r>
        <w:rPr>
          <w:spacing w:val="-12"/>
          <w:sz w:val="21"/>
        </w:rPr>
        <w:t> </w:t>
      </w:r>
      <w:r>
        <w:rPr>
          <w:sz w:val="21"/>
        </w:rPr>
        <w:t>be</w:t>
      </w:r>
      <w:r>
        <w:rPr>
          <w:spacing w:val="-12"/>
          <w:sz w:val="21"/>
        </w:rPr>
        <w:t> </w:t>
      </w:r>
      <w:r>
        <w:rPr>
          <w:sz w:val="21"/>
        </w:rPr>
        <w:t>underreported.</w:t>
      </w:r>
      <w:hyperlink w:history="true" w:anchor="_bookmark315">
        <w:r>
          <w:rPr>
            <w:sz w:val="21"/>
            <w:vertAlign w:val="superscript"/>
          </w:rPr>
          <w:t>42</w:t>
        </w:r>
      </w:hyperlink>
      <w:r>
        <w:rPr>
          <w:spacing w:val="-12"/>
          <w:sz w:val="21"/>
          <w:vertAlign w:val="baseline"/>
        </w:rPr>
        <w:t> </w:t>
      </w:r>
      <w:r>
        <w:rPr>
          <w:sz w:val="21"/>
          <w:vertAlign w:val="baseline"/>
        </w:rPr>
        <w:t>Furthermore,</w:t>
      </w:r>
      <w:r>
        <w:rPr>
          <w:spacing w:val="-12"/>
          <w:sz w:val="21"/>
          <w:vertAlign w:val="baseline"/>
        </w:rPr>
        <w:t> </w:t>
      </w:r>
      <w:r>
        <w:rPr>
          <w:sz w:val="21"/>
          <w:vertAlign w:val="baseline"/>
        </w:rPr>
        <w:t>data</w:t>
      </w:r>
      <w:r>
        <w:rPr>
          <w:spacing w:val="-11"/>
          <w:sz w:val="21"/>
          <w:vertAlign w:val="baseline"/>
        </w:rPr>
        <w:t> </w:t>
      </w:r>
      <w:r>
        <w:rPr>
          <w:sz w:val="21"/>
          <w:vertAlign w:val="baseline"/>
        </w:rPr>
        <w:t>collection</w:t>
      </w:r>
      <w:r>
        <w:rPr>
          <w:spacing w:val="-12"/>
          <w:sz w:val="21"/>
          <w:vertAlign w:val="baseline"/>
        </w:rPr>
        <w:t> </w:t>
      </w:r>
      <w:r>
        <w:rPr>
          <w:sz w:val="21"/>
          <w:vertAlign w:val="baseline"/>
        </w:rPr>
        <w:t>efforts</w:t>
      </w:r>
      <w:r>
        <w:rPr>
          <w:spacing w:val="-12"/>
          <w:sz w:val="21"/>
          <w:vertAlign w:val="baseline"/>
        </w:rPr>
        <w:t> </w:t>
      </w:r>
      <w:r>
        <w:rPr>
          <w:sz w:val="21"/>
          <w:vertAlign w:val="baseline"/>
        </w:rPr>
        <w:t>frequently</w:t>
      </w:r>
      <w:r>
        <w:rPr>
          <w:spacing w:val="-12"/>
          <w:sz w:val="21"/>
          <w:vertAlign w:val="baseline"/>
        </w:rPr>
        <w:t> </w:t>
      </w:r>
      <w:r>
        <w:rPr>
          <w:sz w:val="21"/>
          <w:vertAlign w:val="baseline"/>
        </w:rPr>
        <w:t>fail</w:t>
      </w:r>
      <w:r>
        <w:rPr>
          <w:spacing w:val="-12"/>
          <w:sz w:val="21"/>
          <w:vertAlign w:val="baseline"/>
        </w:rPr>
        <w:t> </w:t>
      </w:r>
      <w:r>
        <w:rPr>
          <w:sz w:val="21"/>
          <w:vertAlign w:val="baseline"/>
        </w:rPr>
        <w:t>to</w:t>
      </w:r>
      <w:r>
        <w:rPr>
          <w:spacing w:val="-12"/>
          <w:sz w:val="21"/>
          <w:vertAlign w:val="baseline"/>
        </w:rPr>
        <w:t> </w:t>
      </w:r>
      <w:r>
        <w:rPr>
          <w:sz w:val="21"/>
          <w:vertAlign w:val="baseline"/>
        </w:rPr>
        <w:t>include LGBTQ youth respondents, and even when they do, these respondents may choose not to disclose their identity due to fear or denial. This omission contributes to inaccurate reporting and incomplete data collection regarding LGBTQ youth homelessness and housing insecurity.</w:t>
      </w:r>
    </w:p>
    <w:p>
      <w:pPr>
        <w:spacing w:before="240"/>
        <w:ind w:left="464" w:right="0" w:firstLine="0"/>
        <w:jc w:val="both"/>
        <w:rPr>
          <w:sz w:val="28"/>
        </w:rPr>
      </w:pPr>
      <w:bookmarkStart w:name="Acknowledgments &amp; Citations" w:id="495"/>
      <w:bookmarkEnd w:id="495"/>
      <w:r>
        <w:rPr/>
      </w:r>
      <w:r>
        <w:rPr>
          <w:color w:val="365F91"/>
          <w:sz w:val="28"/>
        </w:rPr>
        <w:t>Acknowledgments</w:t>
      </w:r>
      <w:r>
        <w:rPr>
          <w:color w:val="365F91"/>
          <w:spacing w:val="-15"/>
          <w:sz w:val="28"/>
        </w:rPr>
        <w:t> </w:t>
      </w:r>
      <w:r>
        <w:rPr>
          <w:color w:val="365F91"/>
          <w:sz w:val="28"/>
        </w:rPr>
        <w:t>&amp;</w:t>
      </w:r>
      <w:r>
        <w:rPr>
          <w:color w:val="365F91"/>
          <w:spacing w:val="-14"/>
          <w:sz w:val="28"/>
        </w:rPr>
        <w:t> </w:t>
      </w:r>
      <w:r>
        <w:rPr>
          <w:color w:val="365F91"/>
          <w:spacing w:val="-2"/>
          <w:sz w:val="28"/>
        </w:rPr>
        <w:t>Citations</w:t>
      </w:r>
    </w:p>
    <w:p>
      <w:pPr>
        <w:pStyle w:val="BodyText"/>
        <w:spacing w:before="9"/>
        <w:rPr>
          <w:sz w:val="3"/>
        </w:rPr>
      </w:pPr>
      <w:r>
        <w:rPr/>
        <mc:AlternateContent>
          <mc:Choice Requires="wps">
            <w:drawing>
              <wp:anchor distT="0" distB="0" distL="0" distR="0" allowOverlap="1" layoutInCell="1" locked="0" behindDoc="1" simplePos="0" relativeHeight="487657472">
                <wp:simplePos x="0" y="0"/>
                <wp:positionH relativeFrom="page">
                  <wp:posOffset>986789</wp:posOffset>
                </wp:positionH>
                <wp:positionV relativeFrom="paragraph">
                  <wp:posOffset>44562</wp:posOffset>
                </wp:positionV>
                <wp:extent cx="5799455" cy="6350"/>
                <wp:effectExtent l="0" t="0" r="0" b="0"/>
                <wp:wrapTopAndBottom/>
                <wp:docPr id="369" name="Graphic 369"/>
                <wp:cNvGraphicFramePr>
                  <a:graphicFrameLocks/>
                </wp:cNvGraphicFramePr>
                <a:graphic>
                  <a:graphicData uri="http://schemas.microsoft.com/office/word/2010/wordprocessingShape">
                    <wps:wsp>
                      <wps:cNvPr id="369" name="Graphic 369"/>
                      <wps:cNvSpPr/>
                      <wps:spPr>
                        <a:xfrm>
                          <a:off x="0" y="0"/>
                          <a:ext cx="5799455" cy="6350"/>
                        </a:xfrm>
                        <a:custGeom>
                          <a:avLst/>
                          <a:gdLst/>
                          <a:ahLst/>
                          <a:cxnLst/>
                          <a:rect l="l" t="t" r="r" b="b"/>
                          <a:pathLst>
                            <a:path w="5799455" h="6350">
                              <a:moveTo>
                                <a:pt x="5798832" y="0"/>
                              </a:moveTo>
                              <a:lnTo>
                                <a:pt x="0" y="0"/>
                              </a:lnTo>
                              <a:lnTo>
                                <a:pt x="0" y="6096"/>
                              </a:lnTo>
                              <a:lnTo>
                                <a:pt x="5798832" y="6096"/>
                              </a:lnTo>
                              <a:lnTo>
                                <a:pt x="5798832" y="0"/>
                              </a:lnTo>
                              <a:close/>
                            </a:path>
                          </a:pathLst>
                        </a:custGeom>
                        <a:solidFill>
                          <a:srgbClr val="4F81BC"/>
                        </a:solidFill>
                      </wps:spPr>
                      <wps:bodyPr wrap="square" lIns="0" tIns="0" rIns="0" bIns="0" rtlCol="0">
                        <a:prstTxWarp prst="textNoShape">
                          <a:avLst/>
                        </a:prstTxWarp>
                        <a:noAutofit/>
                      </wps:bodyPr>
                    </wps:wsp>
                  </a:graphicData>
                </a:graphic>
              </wp:anchor>
            </w:drawing>
          </mc:Choice>
          <mc:Fallback>
            <w:pict>
              <v:rect style="position:absolute;margin-left:77.699997pt;margin-top:3.508877pt;width:456.601pt;height:.48pt;mso-position-horizontal-relative:page;mso-position-vertical-relative:paragraph;z-index:-15659008;mso-wrap-distance-left:0;mso-wrap-distance-right:0" id="docshape293" filled="true" fillcolor="#4f81bc" stroked="false">
                <v:fill type="solid"/>
                <w10:wrap type="topAndBottom"/>
              </v:rect>
            </w:pict>
          </mc:Fallback>
        </mc:AlternateContent>
      </w:r>
    </w:p>
    <w:p>
      <w:pPr>
        <w:spacing w:before="241"/>
        <w:ind w:left="464" w:right="0" w:firstLine="0"/>
        <w:jc w:val="left"/>
        <w:rPr>
          <w:i/>
          <w:sz w:val="21"/>
        </w:rPr>
      </w:pPr>
      <w:r>
        <w:rPr>
          <w:i/>
          <w:sz w:val="21"/>
        </w:rPr>
        <w:t>Acknowledgments:</w:t>
      </w:r>
      <w:r>
        <w:rPr>
          <w:i/>
          <w:spacing w:val="-3"/>
          <w:sz w:val="21"/>
        </w:rPr>
        <w:t> </w:t>
      </w:r>
      <w:r>
        <w:rPr>
          <w:i/>
          <w:sz w:val="21"/>
        </w:rPr>
        <w:t>Sean</w:t>
      </w:r>
      <w:r>
        <w:rPr>
          <w:i/>
          <w:spacing w:val="-3"/>
          <w:sz w:val="21"/>
        </w:rPr>
        <w:t> </w:t>
      </w:r>
      <w:r>
        <w:rPr>
          <w:i/>
          <w:sz w:val="21"/>
        </w:rPr>
        <w:t>Hanwell,</w:t>
      </w:r>
      <w:r>
        <w:rPr>
          <w:i/>
          <w:spacing w:val="-3"/>
          <w:sz w:val="21"/>
        </w:rPr>
        <w:t> </w:t>
      </w:r>
      <w:r>
        <w:rPr>
          <w:i/>
          <w:sz w:val="21"/>
        </w:rPr>
        <w:t>lead</w:t>
      </w:r>
      <w:r>
        <w:rPr>
          <w:i/>
          <w:spacing w:val="-3"/>
          <w:sz w:val="21"/>
        </w:rPr>
        <w:t> </w:t>
      </w:r>
      <w:r>
        <w:rPr>
          <w:i/>
          <w:sz w:val="21"/>
        </w:rPr>
        <w:t>researcher</w:t>
      </w:r>
      <w:r>
        <w:rPr>
          <w:i/>
          <w:spacing w:val="-4"/>
          <w:sz w:val="21"/>
        </w:rPr>
        <w:t> </w:t>
      </w:r>
      <w:r>
        <w:rPr>
          <w:i/>
          <w:sz w:val="21"/>
        </w:rPr>
        <w:t>&amp;</w:t>
      </w:r>
      <w:r>
        <w:rPr>
          <w:i/>
          <w:spacing w:val="-2"/>
          <w:sz w:val="21"/>
        </w:rPr>
        <w:t> author</w:t>
      </w:r>
    </w:p>
    <w:p>
      <w:pPr>
        <w:pStyle w:val="BodyText"/>
        <w:spacing w:before="247"/>
        <w:rPr>
          <w:i/>
          <w:sz w:val="21"/>
        </w:rPr>
      </w:pPr>
    </w:p>
    <w:p>
      <w:pPr>
        <w:spacing w:before="0"/>
        <w:ind w:left="464" w:right="688" w:hanging="1"/>
        <w:jc w:val="left"/>
        <w:rPr>
          <w:sz w:val="18"/>
        </w:rPr>
      </w:pPr>
      <w:bookmarkStart w:name="_bookmark274" w:id="496"/>
      <w:bookmarkEnd w:id="496"/>
      <w:r>
        <w:rPr/>
      </w:r>
      <w:r>
        <w:rPr>
          <w:sz w:val="18"/>
          <w:vertAlign w:val="superscript"/>
        </w:rPr>
        <w:t>1</w:t>
      </w:r>
      <w:r>
        <w:rPr>
          <w:spacing w:val="-2"/>
          <w:sz w:val="18"/>
          <w:vertAlign w:val="baseline"/>
        </w:rPr>
        <w:t> </w:t>
      </w:r>
      <w:r>
        <w:rPr>
          <w:sz w:val="18"/>
          <w:vertAlign w:val="baseline"/>
        </w:rPr>
        <w:t>“2023</w:t>
      </w:r>
      <w:r>
        <w:rPr>
          <w:spacing w:val="-2"/>
          <w:sz w:val="18"/>
          <w:vertAlign w:val="baseline"/>
        </w:rPr>
        <w:t> </w:t>
      </w:r>
      <w:r>
        <w:rPr>
          <w:sz w:val="18"/>
          <w:vertAlign w:val="baseline"/>
        </w:rPr>
        <w:t>Annual</w:t>
      </w:r>
      <w:r>
        <w:rPr>
          <w:spacing w:val="-3"/>
          <w:sz w:val="18"/>
          <w:vertAlign w:val="baseline"/>
        </w:rPr>
        <w:t> </w:t>
      </w:r>
      <w:r>
        <w:rPr>
          <w:sz w:val="18"/>
          <w:vertAlign w:val="baseline"/>
        </w:rPr>
        <w:t>Homeless</w:t>
      </w:r>
      <w:r>
        <w:rPr>
          <w:spacing w:val="-2"/>
          <w:sz w:val="18"/>
          <w:vertAlign w:val="baseline"/>
        </w:rPr>
        <w:t> </w:t>
      </w:r>
      <w:r>
        <w:rPr>
          <w:sz w:val="18"/>
          <w:vertAlign w:val="baseline"/>
        </w:rPr>
        <w:t>Assessment</w:t>
      </w:r>
      <w:r>
        <w:rPr>
          <w:spacing w:val="-3"/>
          <w:sz w:val="18"/>
          <w:vertAlign w:val="baseline"/>
        </w:rPr>
        <w:t> </w:t>
      </w:r>
      <w:r>
        <w:rPr>
          <w:sz w:val="18"/>
          <w:vertAlign w:val="baseline"/>
        </w:rPr>
        <w:t>Report-</w:t>
      </w:r>
      <w:r>
        <w:rPr>
          <w:spacing w:val="-2"/>
          <w:sz w:val="18"/>
          <w:vertAlign w:val="baseline"/>
        </w:rPr>
        <w:t> </w:t>
      </w:r>
      <w:r>
        <w:rPr>
          <w:sz w:val="18"/>
          <w:vertAlign w:val="baseline"/>
        </w:rPr>
        <w:t>Estimates</w:t>
      </w:r>
      <w:r>
        <w:rPr>
          <w:spacing w:val="-2"/>
          <w:sz w:val="18"/>
          <w:vertAlign w:val="baseline"/>
        </w:rPr>
        <w:t> </w:t>
      </w:r>
      <w:r>
        <w:rPr>
          <w:sz w:val="18"/>
          <w:vertAlign w:val="baseline"/>
        </w:rPr>
        <w:t>of</w:t>
      </w:r>
      <w:r>
        <w:rPr>
          <w:spacing w:val="-2"/>
          <w:sz w:val="18"/>
          <w:vertAlign w:val="baseline"/>
        </w:rPr>
        <w:t> </w:t>
      </w:r>
      <w:r>
        <w:rPr>
          <w:sz w:val="18"/>
          <w:vertAlign w:val="baseline"/>
        </w:rPr>
        <w:t>Homelessness</w:t>
      </w:r>
      <w:r>
        <w:rPr>
          <w:spacing w:val="-2"/>
          <w:sz w:val="18"/>
          <w:vertAlign w:val="baseline"/>
        </w:rPr>
        <w:t> </w:t>
      </w:r>
      <w:r>
        <w:rPr>
          <w:sz w:val="18"/>
          <w:vertAlign w:val="baseline"/>
        </w:rPr>
        <w:t>in</w:t>
      </w:r>
      <w:r>
        <w:rPr>
          <w:spacing w:val="-2"/>
          <w:sz w:val="18"/>
          <w:vertAlign w:val="baseline"/>
        </w:rPr>
        <w:t> </w:t>
      </w:r>
      <w:r>
        <w:rPr>
          <w:sz w:val="18"/>
          <w:vertAlign w:val="baseline"/>
        </w:rPr>
        <w:t>the</w:t>
      </w:r>
      <w:r>
        <w:rPr>
          <w:spacing w:val="-2"/>
          <w:sz w:val="18"/>
          <w:vertAlign w:val="baseline"/>
        </w:rPr>
        <w:t> </w:t>
      </w:r>
      <w:r>
        <w:rPr>
          <w:sz w:val="18"/>
          <w:vertAlign w:val="baseline"/>
        </w:rPr>
        <w:t>U.S.”</w:t>
      </w:r>
      <w:r>
        <w:rPr>
          <w:spacing w:val="-2"/>
          <w:sz w:val="18"/>
          <w:vertAlign w:val="baseline"/>
        </w:rPr>
        <w:t> </w:t>
      </w:r>
      <w:r>
        <w:rPr>
          <w:sz w:val="18"/>
          <w:vertAlign w:val="baseline"/>
        </w:rPr>
        <w:t>2023.</w:t>
      </w:r>
      <w:r>
        <w:rPr>
          <w:spacing w:val="-2"/>
          <w:sz w:val="18"/>
          <w:vertAlign w:val="baseline"/>
        </w:rPr>
        <w:t> </w:t>
      </w:r>
      <w:r>
        <w:rPr>
          <w:sz w:val="18"/>
          <w:vertAlign w:val="baseline"/>
        </w:rPr>
        <w:t>Office</w:t>
      </w:r>
      <w:r>
        <w:rPr>
          <w:spacing w:val="-3"/>
          <w:sz w:val="18"/>
          <w:vertAlign w:val="baseline"/>
        </w:rPr>
        <w:t> </w:t>
      </w:r>
      <w:r>
        <w:rPr>
          <w:sz w:val="18"/>
          <w:vertAlign w:val="baseline"/>
        </w:rPr>
        <w:t>of</w:t>
      </w:r>
      <w:r>
        <w:rPr>
          <w:spacing w:val="-2"/>
          <w:sz w:val="18"/>
          <w:vertAlign w:val="baseline"/>
        </w:rPr>
        <w:t> </w:t>
      </w:r>
      <w:r>
        <w:rPr>
          <w:sz w:val="18"/>
          <w:vertAlign w:val="baseline"/>
        </w:rPr>
        <w:t>Policy</w:t>
      </w:r>
      <w:r>
        <w:rPr>
          <w:spacing w:val="-2"/>
          <w:sz w:val="18"/>
          <w:vertAlign w:val="baseline"/>
        </w:rPr>
        <w:t> </w:t>
      </w:r>
      <w:r>
        <w:rPr>
          <w:sz w:val="18"/>
          <w:vertAlign w:val="baseline"/>
        </w:rPr>
        <w:t>Develop</w:t>
      </w:r>
      <w:r>
        <w:rPr>
          <w:spacing w:val="-2"/>
          <w:sz w:val="18"/>
          <w:vertAlign w:val="baseline"/>
        </w:rPr>
        <w:t> </w:t>
      </w:r>
      <w:r>
        <w:rPr>
          <w:sz w:val="18"/>
          <w:vertAlign w:val="baseline"/>
        </w:rPr>
        <w:t>and Research. December 2023. https:</w:t>
      </w:r>
      <w:hyperlink r:id="rId449">
        <w:r>
          <w:rPr>
            <w:sz w:val="18"/>
            <w:vertAlign w:val="baseline"/>
          </w:rPr>
          <w:t>//www.huduser.gov/portal/datasets/ahar/2023-ahar-part-1-pit-estimates-of-</w:t>
        </w:r>
      </w:hyperlink>
      <w:r>
        <w:rPr>
          <w:sz w:val="18"/>
          <w:vertAlign w:val="baseline"/>
        </w:rPr>
        <w:t> </w:t>
      </w:r>
      <w:r>
        <w:rPr>
          <w:spacing w:val="-2"/>
          <w:sz w:val="18"/>
          <w:vertAlign w:val="baseline"/>
        </w:rPr>
        <w:t>homelessness-in-the-us.html.</w:t>
      </w:r>
    </w:p>
    <w:p>
      <w:pPr>
        <w:spacing w:before="120"/>
        <w:ind w:left="463" w:right="1677" w:firstLine="0"/>
        <w:jc w:val="left"/>
        <w:rPr>
          <w:sz w:val="18"/>
        </w:rPr>
      </w:pPr>
      <w:bookmarkStart w:name="_bookmark275" w:id="497"/>
      <w:bookmarkEnd w:id="497"/>
      <w:r>
        <w:rPr/>
      </w:r>
      <w:r>
        <w:rPr>
          <w:sz w:val="18"/>
          <w:vertAlign w:val="superscript"/>
        </w:rPr>
        <w:t>2</w:t>
      </w:r>
      <w:r>
        <w:rPr>
          <w:spacing w:val="-3"/>
          <w:sz w:val="18"/>
          <w:vertAlign w:val="baseline"/>
        </w:rPr>
        <w:t> </w:t>
      </w:r>
      <w:r>
        <w:rPr>
          <w:sz w:val="18"/>
          <w:vertAlign w:val="baseline"/>
        </w:rPr>
        <w:t>Kovalick,</w:t>
      </w:r>
      <w:r>
        <w:rPr>
          <w:spacing w:val="-4"/>
          <w:sz w:val="18"/>
          <w:vertAlign w:val="baseline"/>
        </w:rPr>
        <w:t> </w:t>
      </w:r>
      <w:r>
        <w:rPr>
          <w:sz w:val="18"/>
          <w:vertAlign w:val="baseline"/>
        </w:rPr>
        <w:t>Carrie.</w:t>
      </w:r>
      <w:r>
        <w:rPr>
          <w:spacing w:val="-2"/>
          <w:sz w:val="18"/>
          <w:vertAlign w:val="baseline"/>
        </w:rPr>
        <w:t> </w:t>
      </w:r>
      <w:r>
        <w:rPr>
          <w:sz w:val="18"/>
          <w:vertAlign w:val="baseline"/>
        </w:rPr>
        <w:t>2024.</w:t>
      </w:r>
      <w:r>
        <w:rPr>
          <w:spacing w:val="-3"/>
          <w:sz w:val="18"/>
          <w:vertAlign w:val="baseline"/>
        </w:rPr>
        <w:t> </w:t>
      </w:r>
      <w:r>
        <w:rPr>
          <w:sz w:val="18"/>
          <w:vertAlign w:val="baseline"/>
        </w:rPr>
        <w:t>“LGBTQ+</w:t>
      </w:r>
      <w:r>
        <w:rPr>
          <w:spacing w:val="-5"/>
          <w:sz w:val="18"/>
          <w:vertAlign w:val="baseline"/>
        </w:rPr>
        <w:t> </w:t>
      </w:r>
      <w:r>
        <w:rPr>
          <w:sz w:val="18"/>
          <w:vertAlign w:val="baseline"/>
        </w:rPr>
        <w:t>Youth</w:t>
      </w:r>
      <w:r>
        <w:rPr>
          <w:spacing w:val="-3"/>
          <w:sz w:val="18"/>
          <w:vertAlign w:val="baseline"/>
        </w:rPr>
        <w:t> </w:t>
      </w:r>
      <w:r>
        <w:rPr>
          <w:sz w:val="18"/>
          <w:vertAlign w:val="baseline"/>
        </w:rPr>
        <w:t>Homelessness.”</w:t>
      </w:r>
      <w:r>
        <w:rPr>
          <w:spacing w:val="-3"/>
          <w:sz w:val="18"/>
          <w:vertAlign w:val="baseline"/>
        </w:rPr>
        <w:t> </w:t>
      </w:r>
      <w:r>
        <w:rPr>
          <w:i/>
          <w:sz w:val="18"/>
          <w:vertAlign w:val="baseline"/>
        </w:rPr>
        <w:t>National</w:t>
      </w:r>
      <w:r>
        <w:rPr>
          <w:i/>
          <w:spacing w:val="-4"/>
          <w:sz w:val="18"/>
          <w:vertAlign w:val="baseline"/>
        </w:rPr>
        <w:t> </w:t>
      </w:r>
      <w:r>
        <w:rPr>
          <w:i/>
          <w:sz w:val="18"/>
          <w:vertAlign w:val="baseline"/>
        </w:rPr>
        <w:t>Network</w:t>
      </w:r>
      <w:r>
        <w:rPr>
          <w:i/>
          <w:spacing w:val="-4"/>
          <w:sz w:val="18"/>
          <w:vertAlign w:val="baseline"/>
        </w:rPr>
        <w:t> </w:t>
      </w:r>
      <w:r>
        <w:rPr>
          <w:i/>
          <w:sz w:val="18"/>
          <w:vertAlign w:val="baseline"/>
        </w:rPr>
        <w:t>for</w:t>
      </w:r>
      <w:r>
        <w:rPr>
          <w:i/>
          <w:spacing w:val="-4"/>
          <w:sz w:val="18"/>
          <w:vertAlign w:val="baseline"/>
        </w:rPr>
        <w:t> </w:t>
      </w:r>
      <w:r>
        <w:rPr>
          <w:i/>
          <w:sz w:val="18"/>
          <w:vertAlign w:val="baseline"/>
        </w:rPr>
        <w:t>Youth</w:t>
      </w:r>
      <w:r>
        <w:rPr>
          <w:i/>
          <w:spacing w:val="-3"/>
          <w:sz w:val="18"/>
          <w:vertAlign w:val="baseline"/>
        </w:rPr>
        <w:t> </w:t>
      </w:r>
      <w:r>
        <w:rPr>
          <w:sz w:val="18"/>
          <w:vertAlign w:val="baseline"/>
        </w:rPr>
        <w:t>(blog).</w:t>
      </w:r>
      <w:r>
        <w:rPr>
          <w:spacing w:val="-3"/>
          <w:sz w:val="18"/>
          <w:vertAlign w:val="baseline"/>
        </w:rPr>
        <w:t> </w:t>
      </w:r>
      <w:r>
        <w:rPr>
          <w:sz w:val="18"/>
          <w:vertAlign w:val="baseline"/>
        </w:rPr>
        <w:t>March</w:t>
      </w:r>
      <w:r>
        <w:rPr>
          <w:spacing w:val="-4"/>
          <w:sz w:val="18"/>
          <w:vertAlign w:val="baseline"/>
        </w:rPr>
        <w:t> </w:t>
      </w:r>
      <w:r>
        <w:rPr>
          <w:sz w:val="18"/>
          <w:vertAlign w:val="baseline"/>
        </w:rPr>
        <w:t>5,</w:t>
      </w:r>
      <w:r>
        <w:rPr>
          <w:spacing w:val="-4"/>
          <w:sz w:val="18"/>
          <w:vertAlign w:val="baseline"/>
        </w:rPr>
        <w:t> </w:t>
      </w:r>
      <w:r>
        <w:rPr>
          <w:sz w:val="18"/>
          <w:vertAlign w:val="baseline"/>
        </w:rPr>
        <w:t>2024. </w:t>
      </w:r>
      <w:r>
        <w:rPr>
          <w:spacing w:val="-2"/>
          <w:sz w:val="18"/>
          <w:vertAlign w:val="baseline"/>
        </w:rPr>
        <w:t>https://nn4youth.org/lgbtq-homeless-youth/.</w:t>
      </w:r>
    </w:p>
    <w:p>
      <w:pPr>
        <w:spacing w:before="119"/>
        <w:ind w:left="464" w:right="0" w:firstLine="0"/>
        <w:jc w:val="left"/>
        <w:rPr>
          <w:sz w:val="18"/>
        </w:rPr>
      </w:pPr>
      <w:bookmarkStart w:name="_bookmark276" w:id="498"/>
      <w:bookmarkEnd w:id="498"/>
      <w:r>
        <w:rPr/>
      </w:r>
      <w:r>
        <w:rPr>
          <w:sz w:val="18"/>
          <w:vertAlign w:val="superscript"/>
        </w:rPr>
        <w:t>3</w:t>
      </w:r>
      <w:r>
        <w:rPr>
          <w:spacing w:val="-5"/>
          <w:sz w:val="18"/>
          <w:vertAlign w:val="baseline"/>
        </w:rPr>
        <w:t> </w:t>
      </w:r>
      <w:r>
        <w:rPr>
          <w:sz w:val="18"/>
          <w:vertAlign w:val="baseline"/>
        </w:rPr>
        <w:t>Fraser,</w:t>
      </w:r>
      <w:r>
        <w:rPr>
          <w:spacing w:val="-3"/>
          <w:sz w:val="18"/>
          <w:vertAlign w:val="baseline"/>
        </w:rPr>
        <w:t> </w:t>
      </w:r>
      <w:r>
        <w:rPr>
          <w:sz w:val="18"/>
          <w:vertAlign w:val="baseline"/>
        </w:rPr>
        <w:t>Brodie,</w:t>
      </w:r>
      <w:r>
        <w:rPr>
          <w:spacing w:val="-3"/>
          <w:sz w:val="18"/>
          <w:vertAlign w:val="baseline"/>
        </w:rPr>
        <w:t> </w:t>
      </w:r>
      <w:r>
        <w:rPr>
          <w:sz w:val="18"/>
          <w:vertAlign w:val="baseline"/>
        </w:rPr>
        <w:t>Nevil</w:t>
      </w:r>
      <w:r>
        <w:rPr>
          <w:spacing w:val="-3"/>
          <w:sz w:val="18"/>
          <w:vertAlign w:val="baseline"/>
        </w:rPr>
        <w:t> </w:t>
      </w:r>
      <w:r>
        <w:rPr>
          <w:sz w:val="18"/>
          <w:vertAlign w:val="baseline"/>
        </w:rPr>
        <w:t>Pierse,</w:t>
      </w:r>
      <w:r>
        <w:rPr>
          <w:spacing w:val="-3"/>
          <w:sz w:val="18"/>
          <w:vertAlign w:val="baseline"/>
        </w:rPr>
        <w:t> </w:t>
      </w:r>
      <w:r>
        <w:rPr>
          <w:sz w:val="18"/>
          <w:vertAlign w:val="baseline"/>
        </w:rPr>
        <w:t>Elinor</w:t>
      </w:r>
      <w:r>
        <w:rPr>
          <w:spacing w:val="-3"/>
          <w:sz w:val="18"/>
          <w:vertAlign w:val="baseline"/>
        </w:rPr>
        <w:t> </w:t>
      </w:r>
      <w:r>
        <w:rPr>
          <w:sz w:val="18"/>
          <w:vertAlign w:val="baseline"/>
        </w:rPr>
        <w:t>Chisholm,</w:t>
      </w:r>
      <w:r>
        <w:rPr>
          <w:spacing w:val="-3"/>
          <w:sz w:val="18"/>
          <w:vertAlign w:val="baseline"/>
        </w:rPr>
        <w:t> </w:t>
      </w:r>
      <w:r>
        <w:rPr>
          <w:sz w:val="18"/>
          <w:vertAlign w:val="baseline"/>
        </w:rPr>
        <w:t>and</w:t>
      </w:r>
      <w:r>
        <w:rPr>
          <w:spacing w:val="-2"/>
          <w:sz w:val="18"/>
          <w:vertAlign w:val="baseline"/>
        </w:rPr>
        <w:t> </w:t>
      </w:r>
      <w:r>
        <w:rPr>
          <w:sz w:val="18"/>
          <w:vertAlign w:val="baseline"/>
        </w:rPr>
        <w:t>Hera</w:t>
      </w:r>
      <w:r>
        <w:rPr>
          <w:spacing w:val="-2"/>
          <w:sz w:val="18"/>
          <w:vertAlign w:val="baseline"/>
        </w:rPr>
        <w:t> </w:t>
      </w:r>
      <w:r>
        <w:rPr>
          <w:sz w:val="18"/>
          <w:vertAlign w:val="baseline"/>
        </w:rPr>
        <w:t>Cook.</w:t>
      </w:r>
      <w:r>
        <w:rPr>
          <w:spacing w:val="-3"/>
          <w:sz w:val="18"/>
          <w:vertAlign w:val="baseline"/>
        </w:rPr>
        <w:t> </w:t>
      </w:r>
      <w:r>
        <w:rPr>
          <w:sz w:val="18"/>
          <w:vertAlign w:val="baseline"/>
        </w:rPr>
        <w:t>2019.</w:t>
      </w:r>
      <w:r>
        <w:rPr>
          <w:spacing w:val="-2"/>
          <w:sz w:val="18"/>
          <w:vertAlign w:val="baseline"/>
        </w:rPr>
        <w:t> </w:t>
      </w:r>
      <w:r>
        <w:rPr>
          <w:sz w:val="18"/>
          <w:vertAlign w:val="baseline"/>
        </w:rPr>
        <w:t>“LGBTIQ+</w:t>
      </w:r>
      <w:r>
        <w:rPr>
          <w:spacing w:val="-2"/>
          <w:sz w:val="18"/>
          <w:vertAlign w:val="baseline"/>
        </w:rPr>
        <w:t> </w:t>
      </w:r>
      <w:r>
        <w:rPr>
          <w:sz w:val="18"/>
          <w:vertAlign w:val="baseline"/>
        </w:rPr>
        <w:t>Homelessness:</w:t>
      </w:r>
      <w:r>
        <w:rPr>
          <w:spacing w:val="-4"/>
          <w:sz w:val="18"/>
          <w:vertAlign w:val="baseline"/>
        </w:rPr>
        <w:t> </w:t>
      </w:r>
      <w:r>
        <w:rPr>
          <w:sz w:val="18"/>
          <w:vertAlign w:val="baseline"/>
        </w:rPr>
        <w:t>A</w:t>
      </w:r>
      <w:r>
        <w:rPr>
          <w:spacing w:val="-2"/>
          <w:sz w:val="18"/>
          <w:vertAlign w:val="baseline"/>
        </w:rPr>
        <w:t> </w:t>
      </w:r>
      <w:r>
        <w:rPr>
          <w:sz w:val="18"/>
          <w:vertAlign w:val="baseline"/>
        </w:rPr>
        <w:t>Review</w:t>
      </w:r>
      <w:r>
        <w:rPr>
          <w:spacing w:val="-3"/>
          <w:sz w:val="18"/>
          <w:vertAlign w:val="baseline"/>
        </w:rPr>
        <w:t> </w:t>
      </w:r>
      <w:r>
        <w:rPr>
          <w:sz w:val="18"/>
          <w:vertAlign w:val="baseline"/>
        </w:rPr>
        <w:t>of</w:t>
      </w:r>
      <w:r>
        <w:rPr>
          <w:spacing w:val="-2"/>
          <w:sz w:val="18"/>
          <w:vertAlign w:val="baseline"/>
        </w:rPr>
        <w:t> </w:t>
      </w:r>
      <w:r>
        <w:rPr>
          <w:sz w:val="18"/>
          <w:vertAlign w:val="baseline"/>
        </w:rPr>
        <w:t>the</w:t>
      </w:r>
      <w:r>
        <w:rPr>
          <w:spacing w:val="-2"/>
          <w:sz w:val="18"/>
          <w:vertAlign w:val="baseline"/>
        </w:rPr>
        <w:t> Literature.”</w:t>
      </w:r>
    </w:p>
    <w:p>
      <w:pPr>
        <w:spacing w:before="0"/>
        <w:ind w:left="464" w:right="0" w:firstLine="0"/>
        <w:jc w:val="left"/>
        <w:rPr>
          <w:sz w:val="18"/>
        </w:rPr>
      </w:pPr>
      <w:r>
        <w:rPr>
          <w:i/>
          <w:sz w:val="18"/>
        </w:rPr>
        <w:t>International</w:t>
      </w:r>
      <w:r>
        <w:rPr>
          <w:i/>
          <w:spacing w:val="-7"/>
          <w:sz w:val="18"/>
        </w:rPr>
        <w:t> </w:t>
      </w:r>
      <w:r>
        <w:rPr>
          <w:i/>
          <w:sz w:val="18"/>
        </w:rPr>
        <w:t>Journal</w:t>
      </w:r>
      <w:r>
        <w:rPr>
          <w:i/>
          <w:spacing w:val="-4"/>
          <w:sz w:val="18"/>
        </w:rPr>
        <w:t> </w:t>
      </w:r>
      <w:r>
        <w:rPr>
          <w:i/>
          <w:sz w:val="18"/>
        </w:rPr>
        <w:t>of</w:t>
      </w:r>
      <w:r>
        <w:rPr>
          <w:i/>
          <w:spacing w:val="-3"/>
          <w:sz w:val="18"/>
        </w:rPr>
        <w:t> </w:t>
      </w:r>
      <w:r>
        <w:rPr>
          <w:i/>
          <w:sz w:val="18"/>
        </w:rPr>
        <w:t>Environmental</w:t>
      </w:r>
      <w:r>
        <w:rPr>
          <w:i/>
          <w:spacing w:val="-4"/>
          <w:sz w:val="18"/>
        </w:rPr>
        <w:t> </w:t>
      </w:r>
      <w:r>
        <w:rPr>
          <w:i/>
          <w:sz w:val="18"/>
        </w:rPr>
        <w:t>Research</w:t>
      </w:r>
      <w:r>
        <w:rPr>
          <w:i/>
          <w:spacing w:val="-2"/>
          <w:sz w:val="18"/>
        </w:rPr>
        <w:t> </w:t>
      </w:r>
      <w:r>
        <w:rPr>
          <w:i/>
          <w:sz w:val="18"/>
        </w:rPr>
        <w:t>and</w:t>
      </w:r>
      <w:r>
        <w:rPr>
          <w:i/>
          <w:spacing w:val="-4"/>
          <w:sz w:val="18"/>
        </w:rPr>
        <w:t> </w:t>
      </w:r>
      <w:r>
        <w:rPr>
          <w:i/>
          <w:sz w:val="18"/>
        </w:rPr>
        <w:t>Public</w:t>
      </w:r>
      <w:r>
        <w:rPr>
          <w:i/>
          <w:spacing w:val="-3"/>
          <w:sz w:val="18"/>
        </w:rPr>
        <w:t> </w:t>
      </w:r>
      <w:r>
        <w:rPr>
          <w:i/>
          <w:sz w:val="18"/>
        </w:rPr>
        <w:t>Health</w:t>
      </w:r>
      <w:r>
        <w:rPr>
          <w:i/>
          <w:spacing w:val="-3"/>
          <w:sz w:val="18"/>
        </w:rPr>
        <w:t> </w:t>
      </w:r>
      <w:r>
        <w:rPr>
          <w:sz w:val="18"/>
        </w:rPr>
        <w:t>16</w:t>
      </w:r>
      <w:r>
        <w:rPr>
          <w:spacing w:val="-3"/>
          <w:sz w:val="18"/>
        </w:rPr>
        <w:t> </w:t>
      </w:r>
      <w:r>
        <w:rPr>
          <w:sz w:val="18"/>
        </w:rPr>
        <w:t>(July):</w:t>
      </w:r>
      <w:r>
        <w:rPr>
          <w:spacing w:val="-3"/>
          <w:sz w:val="18"/>
        </w:rPr>
        <w:t> </w:t>
      </w:r>
      <w:r>
        <w:rPr>
          <w:sz w:val="18"/>
        </w:rPr>
        <w:t>2677.</w:t>
      </w:r>
      <w:r>
        <w:rPr>
          <w:spacing w:val="-3"/>
          <w:sz w:val="18"/>
        </w:rPr>
        <w:t> </w:t>
      </w:r>
      <w:r>
        <w:rPr>
          <w:spacing w:val="-2"/>
          <w:sz w:val="18"/>
        </w:rPr>
        <w:t>https://doi.org/10.3390/ijerph16152677.</w:t>
      </w:r>
    </w:p>
    <w:p>
      <w:pPr>
        <w:spacing w:before="120"/>
        <w:ind w:left="464" w:right="1625" w:hanging="1"/>
        <w:jc w:val="left"/>
        <w:rPr>
          <w:sz w:val="18"/>
        </w:rPr>
      </w:pPr>
      <w:bookmarkStart w:name="_bookmark277" w:id="499"/>
      <w:bookmarkEnd w:id="499"/>
      <w:r>
        <w:rPr/>
      </w:r>
      <w:r>
        <w:rPr>
          <w:sz w:val="18"/>
          <w:vertAlign w:val="superscript"/>
        </w:rPr>
        <w:t>4</w:t>
      </w:r>
      <w:r>
        <w:rPr>
          <w:spacing w:val="-4"/>
          <w:sz w:val="18"/>
          <w:vertAlign w:val="baseline"/>
        </w:rPr>
        <w:t> </w:t>
      </w:r>
      <w:r>
        <w:rPr>
          <w:sz w:val="18"/>
          <w:vertAlign w:val="baseline"/>
        </w:rPr>
        <w:t>“Policy</w:t>
      </w:r>
      <w:r>
        <w:rPr>
          <w:spacing w:val="-4"/>
          <w:sz w:val="18"/>
          <w:vertAlign w:val="baseline"/>
        </w:rPr>
        <w:t> </w:t>
      </w:r>
      <w:r>
        <w:rPr>
          <w:sz w:val="18"/>
          <w:vertAlign w:val="baseline"/>
        </w:rPr>
        <w:t>Brief:</w:t>
      </w:r>
      <w:r>
        <w:rPr>
          <w:spacing w:val="-4"/>
          <w:sz w:val="18"/>
          <w:vertAlign w:val="baseline"/>
        </w:rPr>
        <w:t> </w:t>
      </w:r>
      <w:r>
        <w:rPr>
          <w:sz w:val="18"/>
          <w:vertAlign w:val="baseline"/>
        </w:rPr>
        <w:t>LGBTQ+</w:t>
      </w:r>
      <w:r>
        <w:rPr>
          <w:spacing w:val="-4"/>
          <w:sz w:val="18"/>
          <w:vertAlign w:val="baseline"/>
        </w:rPr>
        <w:t> </w:t>
      </w:r>
      <w:r>
        <w:rPr>
          <w:sz w:val="18"/>
          <w:vertAlign w:val="baseline"/>
        </w:rPr>
        <w:t>Youth</w:t>
      </w:r>
      <w:r>
        <w:rPr>
          <w:spacing w:val="-4"/>
          <w:sz w:val="18"/>
          <w:vertAlign w:val="baseline"/>
        </w:rPr>
        <w:t> </w:t>
      </w:r>
      <w:r>
        <w:rPr>
          <w:sz w:val="18"/>
          <w:vertAlign w:val="baseline"/>
        </w:rPr>
        <w:t>Homelessness.”</w:t>
      </w:r>
      <w:r>
        <w:rPr>
          <w:spacing w:val="-4"/>
          <w:sz w:val="18"/>
          <w:vertAlign w:val="baseline"/>
        </w:rPr>
        <w:t> </w:t>
      </w:r>
      <w:r>
        <w:rPr>
          <w:sz w:val="18"/>
          <w:vertAlign w:val="baseline"/>
        </w:rPr>
        <w:t>2023.</w:t>
      </w:r>
      <w:r>
        <w:rPr>
          <w:spacing w:val="-4"/>
          <w:sz w:val="18"/>
          <w:vertAlign w:val="baseline"/>
        </w:rPr>
        <w:t> </w:t>
      </w:r>
      <w:r>
        <w:rPr>
          <w:sz w:val="18"/>
          <w:vertAlign w:val="baseline"/>
        </w:rPr>
        <w:t>National</w:t>
      </w:r>
      <w:r>
        <w:rPr>
          <w:spacing w:val="-4"/>
          <w:sz w:val="18"/>
          <w:vertAlign w:val="baseline"/>
        </w:rPr>
        <w:t> </w:t>
      </w:r>
      <w:r>
        <w:rPr>
          <w:sz w:val="18"/>
          <w:vertAlign w:val="baseline"/>
        </w:rPr>
        <w:t>Network</w:t>
      </w:r>
      <w:r>
        <w:rPr>
          <w:spacing w:val="-4"/>
          <w:sz w:val="18"/>
          <w:vertAlign w:val="baseline"/>
        </w:rPr>
        <w:t> </w:t>
      </w:r>
      <w:r>
        <w:rPr>
          <w:sz w:val="18"/>
          <w:vertAlign w:val="baseline"/>
        </w:rPr>
        <w:t>for</w:t>
      </w:r>
      <w:r>
        <w:rPr>
          <w:spacing w:val="-4"/>
          <w:sz w:val="18"/>
          <w:vertAlign w:val="baseline"/>
        </w:rPr>
        <w:t> </w:t>
      </w:r>
      <w:r>
        <w:rPr>
          <w:sz w:val="18"/>
          <w:vertAlign w:val="baseline"/>
        </w:rPr>
        <w:t>Youth.</w:t>
      </w:r>
      <w:r>
        <w:rPr>
          <w:spacing w:val="-3"/>
          <w:sz w:val="18"/>
          <w:vertAlign w:val="baseline"/>
        </w:rPr>
        <w:t> </w:t>
      </w:r>
      <w:r>
        <w:rPr>
          <w:sz w:val="18"/>
          <w:vertAlign w:val="baseline"/>
        </w:rPr>
        <w:t>https://nn4youth.org/wp- </w:t>
      </w:r>
      <w:r>
        <w:rPr>
          <w:spacing w:val="-2"/>
          <w:sz w:val="18"/>
          <w:vertAlign w:val="baseline"/>
        </w:rPr>
        <w:t>content/uploads/23-LGBTQ-Policy-Brief.pdf.</w:t>
      </w:r>
    </w:p>
    <w:p>
      <w:pPr>
        <w:spacing w:before="120"/>
        <w:ind w:left="464" w:right="565" w:firstLine="0"/>
        <w:jc w:val="left"/>
        <w:rPr>
          <w:sz w:val="18"/>
        </w:rPr>
      </w:pPr>
      <w:bookmarkStart w:name="_bookmark278" w:id="500"/>
      <w:bookmarkEnd w:id="500"/>
      <w:r>
        <w:rPr/>
      </w:r>
      <w:r>
        <w:rPr>
          <w:sz w:val="18"/>
          <w:vertAlign w:val="superscript"/>
        </w:rPr>
        <w:t>5</w:t>
      </w:r>
      <w:r>
        <w:rPr>
          <w:spacing w:val="-3"/>
          <w:sz w:val="18"/>
          <w:vertAlign w:val="baseline"/>
        </w:rPr>
        <w:t> </w:t>
      </w:r>
      <w:r>
        <w:rPr>
          <w:sz w:val="18"/>
          <w:vertAlign w:val="baseline"/>
        </w:rPr>
        <w:t>“Massachusetts</w:t>
      </w:r>
      <w:r>
        <w:rPr>
          <w:spacing w:val="-4"/>
          <w:sz w:val="18"/>
          <w:vertAlign w:val="baseline"/>
        </w:rPr>
        <w:t> </w:t>
      </w:r>
      <w:r>
        <w:rPr>
          <w:sz w:val="18"/>
          <w:vertAlign w:val="baseline"/>
        </w:rPr>
        <w:t>State</w:t>
      </w:r>
      <w:r>
        <w:rPr>
          <w:spacing w:val="-3"/>
          <w:sz w:val="18"/>
          <w:vertAlign w:val="baseline"/>
        </w:rPr>
        <w:t> </w:t>
      </w:r>
      <w:r>
        <w:rPr>
          <w:sz w:val="18"/>
          <w:vertAlign w:val="baseline"/>
        </w:rPr>
        <w:t>Plan</w:t>
      </w:r>
      <w:r>
        <w:rPr>
          <w:spacing w:val="-3"/>
          <w:sz w:val="18"/>
          <w:vertAlign w:val="baseline"/>
        </w:rPr>
        <w:t> </w:t>
      </w:r>
      <w:r>
        <w:rPr>
          <w:sz w:val="18"/>
          <w:vertAlign w:val="baseline"/>
        </w:rPr>
        <w:t>To</w:t>
      </w:r>
      <w:r>
        <w:rPr>
          <w:spacing w:val="-3"/>
          <w:sz w:val="18"/>
          <w:vertAlign w:val="baseline"/>
        </w:rPr>
        <w:t> </w:t>
      </w:r>
      <w:r>
        <w:rPr>
          <w:sz w:val="18"/>
          <w:vertAlign w:val="baseline"/>
        </w:rPr>
        <w:t>End</w:t>
      </w:r>
      <w:r>
        <w:rPr>
          <w:spacing w:val="-3"/>
          <w:sz w:val="18"/>
          <w:vertAlign w:val="baseline"/>
        </w:rPr>
        <w:t> </w:t>
      </w:r>
      <w:r>
        <w:rPr>
          <w:sz w:val="18"/>
          <w:vertAlign w:val="baseline"/>
        </w:rPr>
        <w:t>Youth</w:t>
      </w:r>
      <w:r>
        <w:rPr>
          <w:spacing w:val="-3"/>
          <w:sz w:val="18"/>
          <w:vertAlign w:val="baseline"/>
        </w:rPr>
        <w:t> </w:t>
      </w:r>
      <w:r>
        <w:rPr>
          <w:sz w:val="18"/>
          <w:vertAlign w:val="baseline"/>
        </w:rPr>
        <w:t>Homelessness.”</w:t>
      </w:r>
      <w:r>
        <w:rPr>
          <w:spacing w:val="-3"/>
          <w:sz w:val="18"/>
          <w:vertAlign w:val="baseline"/>
        </w:rPr>
        <w:t> </w:t>
      </w:r>
      <w:r>
        <w:rPr>
          <w:sz w:val="18"/>
          <w:vertAlign w:val="baseline"/>
        </w:rPr>
        <w:t>2018.</w:t>
      </w:r>
      <w:r>
        <w:rPr>
          <w:spacing w:val="-4"/>
          <w:sz w:val="18"/>
          <w:vertAlign w:val="baseline"/>
        </w:rPr>
        <w:t> </w:t>
      </w:r>
      <w:r>
        <w:rPr>
          <w:sz w:val="18"/>
          <w:vertAlign w:val="baseline"/>
        </w:rPr>
        <w:t>Massachusetts</w:t>
      </w:r>
      <w:r>
        <w:rPr>
          <w:spacing w:val="-3"/>
          <w:sz w:val="18"/>
          <w:vertAlign w:val="baseline"/>
        </w:rPr>
        <w:t> </w:t>
      </w:r>
      <w:r>
        <w:rPr>
          <w:sz w:val="18"/>
          <w:vertAlign w:val="baseline"/>
        </w:rPr>
        <w:t>Executive</w:t>
      </w:r>
      <w:r>
        <w:rPr>
          <w:spacing w:val="-3"/>
          <w:sz w:val="18"/>
          <w:vertAlign w:val="baseline"/>
        </w:rPr>
        <w:t> </w:t>
      </w:r>
      <w:r>
        <w:rPr>
          <w:sz w:val="18"/>
          <w:vertAlign w:val="baseline"/>
        </w:rPr>
        <w:t>Office</w:t>
      </w:r>
      <w:r>
        <w:rPr>
          <w:spacing w:val="-3"/>
          <w:sz w:val="18"/>
          <w:vertAlign w:val="baseline"/>
        </w:rPr>
        <w:t> </w:t>
      </w:r>
      <w:r>
        <w:rPr>
          <w:sz w:val="18"/>
          <w:vertAlign w:val="baseline"/>
        </w:rPr>
        <w:t>of</w:t>
      </w:r>
      <w:r>
        <w:rPr>
          <w:spacing w:val="-3"/>
          <w:sz w:val="18"/>
          <w:vertAlign w:val="baseline"/>
        </w:rPr>
        <w:t> </w:t>
      </w:r>
      <w:r>
        <w:rPr>
          <w:sz w:val="18"/>
          <w:vertAlign w:val="baseline"/>
        </w:rPr>
        <w:t>Health</w:t>
      </w:r>
      <w:r>
        <w:rPr>
          <w:spacing w:val="-3"/>
          <w:sz w:val="18"/>
          <w:vertAlign w:val="baseline"/>
        </w:rPr>
        <w:t> </w:t>
      </w:r>
      <w:r>
        <w:rPr>
          <w:sz w:val="18"/>
          <w:vertAlign w:val="baseline"/>
        </w:rPr>
        <w:t>and</w:t>
      </w:r>
      <w:r>
        <w:rPr>
          <w:spacing w:val="-3"/>
          <w:sz w:val="18"/>
          <w:vertAlign w:val="baseline"/>
        </w:rPr>
        <w:t> </w:t>
      </w:r>
      <w:r>
        <w:rPr>
          <w:sz w:val="18"/>
          <w:vertAlign w:val="baseline"/>
        </w:rPr>
        <w:t>Human Services. https:/</w:t>
      </w:r>
      <w:hyperlink r:id="rId450">
        <w:r>
          <w:rPr>
            <w:sz w:val="18"/>
            <w:vertAlign w:val="baseline"/>
          </w:rPr>
          <w:t>/www.mass.gov/doc/massachusetts-state-plan-to-end-youth-homelessness/download.</w:t>
        </w:r>
      </w:hyperlink>
    </w:p>
    <w:p>
      <w:pPr>
        <w:spacing w:before="121"/>
        <w:ind w:left="464" w:right="670" w:hanging="1"/>
        <w:jc w:val="left"/>
        <w:rPr>
          <w:sz w:val="18"/>
        </w:rPr>
      </w:pPr>
      <w:bookmarkStart w:name="_bookmark279" w:id="501"/>
      <w:bookmarkEnd w:id="501"/>
      <w:r>
        <w:rPr/>
      </w:r>
      <w:r>
        <w:rPr>
          <w:sz w:val="18"/>
          <w:vertAlign w:val="superscript"/>
        </w:rPr>
        <w:t>6</w:t>
      </w:r>
      <w:r>
        <w:rPr>
          <w:sz w:val="18"/>
          <w:vertAlign w:val="baseline"/>
        </w:rPr>
        <w:t> “Healey-Driscoll Administration Unveils $4 Billion Affordable Homes Act to Increase Production and Lower Costs | Mass.Gov.”</w:t>
      </w:r>
      <w:r>
        <w:rPr>
          <w:spacing w:val="-11"/>
          <w:sz w:val="18"/>
          <w:vertAlign w:val="baseline"/>
        </w:rPr>
        <w:t> </w:t>
      </w:r>
      <w:r>
        <w:rPr>
          <w:sz w:val="18"/>
          <w:vertAlign w:val="baseline"/>
        </w:rPr>
        <w:t>2024.</w:t>
      </w:r>
      <w:r>
        <w:rPr>
          <w:spacing w:val="-10"/>
          <w:sz w:val="18"/>
          <w:vertAlign w:val="baseline"/>
        </w:rPr>
        <w:t> </w:t>
      </w:r>
      <w:r>
        <w:rPr>
          <w:sz w:val="18"/>
          <w:vertAlign w:val="baseline"/>
        </w:rPr>
        <w:t>2024.</w:t>
      </w:r>
      <w:r>
        <w:rPr>
          <w:spacing w:val="-10"/>
          <w:sz w:val="18"/>
          <w:vertAlign w:val="baseline"/>
        </w:rPr>
        <w:t> </w:t>
      </w:r>
      <w:r>
        <w:rPr>
          <w:sz w:val="18"/>
          <w:vertAlign w:val="baseline"/>
        </w:rPr>
        <w:t>https://</w:t>
      </w:r>
      <w:hyperlink r:id="rId451">
        <w:r>
          <w:rPr>
            <w:sz w:val="18"/>
            <w:vertAlign w:val="baseline"/>
          </w:rPr>
          <w:t>www.mass.gov/news/healey-driscoll-administration-unveils-4-billion-affordable-homes-</w:t>
        </w:r>
      </w:hyperlink>
      <w:r>
        <w:rPr>
          <w:sz w:val="18"/>
          <w:vertAlign w:val="baseline"/>
        </w:rPr>
        <w:t> </w:t>
      </w:r>
      <w:r>
        <w:rPr>
          <w:spacing w:val="-2"/>
          <w:sz w:val="18"/>
          <w:vertAlign w:val="baseline"/>
        </w:rPr>
        <w:t>act-to-increase-production-and-lower-costs.</w:t>
      </w:r>
    </w:p>
    <w:p>
      <w:pPr>
        <w:spacing w:before="119"/>
        <w:ind w:left="464" w:right="565" w:firstLine="0"/>
        <w:jc w:val="left"/>
        <w:rPr>
          <w:sz w:val="18"/>
        </w:rPr>
      </w:pPr>
      <w:bookmarkStart w:name="_bookmark280" w:id="502"/>
      <w:bookmarkEnd w:id="502"/>
      <w:r>
        <w:rPr/>
      </w:r>
      <w:r>
        <w:rPr>
          <w:sz w:val="18"/>
          <w:vertAlign w:val="superscript"/>
        </w:rPr>
        <w:t>7</w:t>
      </w:r>
      <w:r>
        <w:rPr>
          <w:sz w:val="18"/>
          <w:vertAlign w:val="baseline"/>
        </w:rPr>
        <w:t> Goodyear, Trevor, Koharu Loulou Chayama, John L. Oliffe, Hannah Kia, Danya Fast, Caroline Mniszak, Rod Knight, and Emily</w:t>
      </w:r>
      <w:r>
        <w:rPr>
          <w:spacing w:val="-4"/>
          <w:sz w:val="18"/>
          <w:vertAlign w:val="baseline"/>
        </w:rPr>
        <w:t> </w:t>
      </w:r>
      <w:r>
        <w:rPr>
          <w:sz w:val="18"/>
          <w:vertAlign w:val="baseline"/>
        </w:rPr>
        <w:t>Jenkins.</w:t>
      </w:r>
      <w:r>
        <w:rPr>
          <w:spacing w:val="-4"/>
          <w:sz w:val="18"/>
          <w:vertAlign w:val="baseline"/>
        </w:rPr>
        <w:t> </w:t>
      </w:r>
      <w:r>
        <w:rPr>
          <w:sz w:val="18"/>
          <w:vertAlign w:val="baseline"/>
        </w:rPr>
        <w:t>2024.</w:t>
      </w:r>
      <w:r>
        <w:rPr>
          <w:spacing w:val="-4"/>
          <w:sz w:val="18"/>
          <w:vertAlign w:val="baseline"/>
        </w:rPr>
        <w:t> </w:t>
      </w:r>
      <w:r>
        <w:rPr>
          <w:sz w:val="18"/>
          <w:vertAlign w:val="baseline"/>
        </w:rPr>
        <w:t>“Intersecting</w:t>
      </w:r>
      <w:r>
        <w:rPr>
          <w:spacing w:val="-4"/>
          <w:sz w:val="18"/>
          <w:vertAlign w:val="baseline"/>
        </w:rPr>
        <w:t> </w:t>
      </w:r>
      <w:r>
        <w:rPr>
          <w:sz w:val="18"/>
          <w:vertAlign w:val="baseline"/>
        </w:rPr>
        <w:t>Transitions</w:t>
      </w:r>
      <w:r>
        <w:rPr>
          <w:spacing w:val="-4"/>
          <w:sz w:val="18"/>
          <w:vertAlign w:val="baseline"/>
        </w:rPr>
        <w:t> </w:t>
      </w:r>
      <w:r>
        <w:rPr>
          <w:sz w:val="18"/>
          <w:vertAlign w:val="baseline"/>
        </w:rPr>
        <w:t>among</w:t>
      </w:r>
      <w:r>
        <w:rPr>
          <w:spacing w:val="-4"/>
          <w:sz w:val="18"/>
          <w:vertAlign w:val="baseline"/>
        </w:rPr>
        <w:t> </w:t>
      </w:r>
      <w:r>
        <w:rPr>
          <w:sz w:val="18"/>
          <w:vertAlign w:val="baseline"/>
        </w:rPr>
        <w:t>2S/LGBTQ+</w:t>
      </w:r>
      <w:r>
        <w:rPr>
          <w:spacing w:val="-4"/>
          <w:sz w:val="18"/>
          <w:vertAlign w:val="baseline"/>
        </w:rPr>
        <w:t> </w:t>
      </w:r>
      <w:r>
        <w:rPr>
          <w:sz w:val="18"/>
          <w:vertAlign w:val="baseline"/>
        </w:rPr>
        <w:t>Youth</w:t>
      </w:r>
      <w:r>
        <w:rPr>
          <w:spacing w:val="-4"/>
          <w:sz w:val="18"/>
          <w:vertAlign w:val="baseline"/>
        </w:rPr>
        <w:t> </w:t>
      </w:r>
      <w:r>
        <w:rPr>
          <w:sz w:val="18"/>
          <w:vertAlign w:val="baseline"/>
        </w:rPr>
        <w:t>Experiencing</w:t>
      </w:r>
      <w:r>
        <w:rPr>
          <w:spacing w:val="-4"/>
          <w:sz w:val="18"/>
          <w:vertAlign w:val="baseline"/>
        </w:rPr>
        <w:t> </w:t>
      </w:r>
      <w:r>
        <w:rPr>
          <w:sz w:val="18"/>
          <w:vertAlign w:val="baseline"/>
        </w:rPr>
        <w:t>Homelessness:</w:t>
      </w:r>
      <w:r>
        <w:rPr>
          <w:spacing w:val="-4"/>
          <w:sz w:val="18"/>
          <w:vertAlign w:val="baseline"/>
        </w:rPr>
        <w:t> </w:t>
      </w:r>
      <w:r>
        <w:rPr>
          <w:sz w:val="18"/>
          <w:vertAlign w:val="baseline"/>
        </w:rPr>
        <w:t>A</w:t>
      </w:r>
      <w:r>
        <w:rPr>
          <w:spacing w:val="-4"/>
          <w:sz w:val="18"/>
          <w:vertAlign w:val="baseline"/>
        </w:rPr>
        <w:t> </w:t>
      </w:r>
      <w:r>
        <w:rPr>
          <w:sz w:val="18"/>
          <w:vertAlign w:val="baseline"/>
        </w:rPr>
        <w:t>Scoping</w:t>
      </w:r>
      <w:r>
        <w:rPr>
          <w:spacing w:val="-4"/>
          <w:sz w:val="18"/>
          <w:vertAlign w:val="baseline"/>
        </w:rPr>
        <w:t> </w:t>
      </w:r>
      <w:r>
        <w:rPr>
          <w:sz w:val="18"/>
          <w:vertAlign w:val="baseline"/>
        </w:rPr>
        <w:t>Review.” </w:t>
      </w:r>
      <w:r>
        <w:rPr>
          <w:i/>
          <w:sz w:val="18"/>
          <w:vertAlign w:val="baseline"/>
        </w:rPr>
        <w:t>Children and Youth Services Review </w:t>
      </w:r>
      <w:r>
        <w:rPr>
          <w:sz w:val="18"/>
          <w:vertAlign w:val="baseline"/>
        </w:rPr>
        <w:t>156 (January): 107355. https://doi.org/10.1016/j.childyouth.2023.107355.</w:t>
      </w:r>
    </w:p>
    <w:p>
      <w:pPr>
        <w:spacing w:before="120"/>
        <w:ind w:left="464" w:right="0" w:firstLine="0"/>
        <w:jc w:val="left"/>
        <w:rPr>
          <w:sz w:val="18"/>
        </w:rPr>
      </w:pPr>
      <w:bookmarkStart w:name="_bookmark281" w:id="503"/>
      <w:bookmarkEnd w:id="503"/>
      <w:r>
        <w:rPr/>
      </w:r>
      <w:r>
        <w:rPr>
          <w:sz w:val="18"/>
          <w:vertAlign w:val="superscript"/>
        </w:rPr>
        <w:t>8</w:t>
      </w:r>
      <w:r>
        <w:rPr>
          <w:spacing w:val="-7"/>
          <w:sz w:val="18"/>
          <w:vertAlign w:val="baseline"/>
        </w:rPr>
        <w:t> </w:t>
      </w:r>
      <w:r>
        <w:rPr>
          <w:sz w:val="18"/>
          <w:vertAlign w:val="baseline"/>
        </w:rPr>
        <w:t>“True</w:t>
      </w:r>
      <w:r>
        <w:rPr>
          <w:spacing w:val="-4"/>
          <w:sz w:val="18"/>
          <w:vertAlign w:val="baseline"/>
        </w:rPr>
        <w:t> </w:t>
      </w:r>
      <w:r>
        <w:rPr>
          <w:sz w:val="18"/>
          <w:vertAlign w:val="baseline"/>
        </w:rPr>
        <w:t>Colors</w:t>
      </w:r>
      <w:r>
        <w:rPr>
          <w:spacing w:val="-4"/>
          <w:sz w:val="18"/>
          <w:vertAlign w:val="baseline"/>
        </w:rPr>
        <w:t> </w:t>
      </w:r>
      <w:r>
        <w:rPr>
          <w:sz w:val="18"/>
          <w:vertAlign w:val="baseline"/>
        </w:rPr>
        <w:t>United.”</w:t>
      </w:r>
      <w:r>
        <w:rPr>
          <w:spacing w:val="-4"/>
          <w:sz w:val="18"/>
          <w:vertAlign w:val="baseline"/>
        </w:rPr>
        <w:t> </w:t>
      </w:r>
      <w:r>
        <w:rPr>
          <w:sz w:val="18"/>
          <w:vertAlign w:val="baseline"/>
        </w:rPr>
        <w:t>2024.</w:t>
      </w:r>
      <w:r>
        <w:rPr>
          <w:spacing w:val="-4"/>
          <w:sz w:val="18"/>
          <w:vertAlign w:val="baseline"/>
        </w:rPr>
        <w:t> </w:t>
      </w:r>
      <w:r>
        <w:rPr>
          <w:sz w:val="18"/>
          <w:vertAlign w:val="baseline"/>
        </w:rPr>
        <w:t>True</w:t>
      </w:r>
      <w:r>
        <w:rPr>
          <w:spacing w:val="-5"/>
          <w:sz w:val="18"/>
          <w:vertAlign w:val="baseline"/>
        </w:rPr>
        <w:t> </w:t>
      </w:r>
      <w:r>
        <w:rPr>
          <w:sz w:val="18"/>
          <w:vertAlign w:val="baseline"/>
        </w:rPr>
        <w:t>Colors</w:t>
      </w:r>
      <w:r>
        <w:rPr>
          <w:spacing w:val="-4"/>
          <w:sz w:val="18"/>
          <w:vertAlign w:val="baseline"/>
        </w:rPr>
        <w:t> </w:t>
      </w:r>
      <w:r>
        <w:rPr>
          <w:sz w:val="18"/>
          <w:vertAlign w:val="baseline"/>
        </w:rPr>
        <w:t>United.</w:t>
      </w:r>
      <w:r>
        <w:rPr>
          <w:spacing w:val="-4"/>
          <w:sz w:val="18"/>
          <w:vertAlign w:val="baseline"/>
        </w:rPr>
        <w:t> </w:t>
      </w:r>
      <w:r>
        <w:rPr>
          <w:sz w:val="18"/>
          <w:vertAlign w:val="baseline"/>
        </w:rPr>
        <w:t>March</w:t>
      </w:r>
      <w:r>
        <w:rPr>
          <w:spacing w:val="-4"/>
          <w:sz w:val="18"/>
          <w:vertAlign w:val="baseline"/>
        </w:rPr>
        <w:t> </w:t>
      </w:r>
      <w:r>
        <w:rPr>
          <w:sz w:val="18"/>
          <w:vertAlign w:val="baseline"/>
        </w:rPr>
        <w:t>16,</w:t>
      </w:r>
      <w:r>
        <w:rPr>
          <w:spacing w:val="-5"/>
          <w:sz w:val="18"/>
          <w:vertAlign w:val="baseline"/>
        </w:rPr>
        <w:t> </w:t>
      </w:r>
      <w:r>
        <w:rPr>
          <w:sz w:val="18"/>
          <w:vertAlign w:val="baseline"/>
        </w:rPr>
        <w:t>2024.</w:t>
      </w:r>
      <w:r>
        <w:rPr>
          <w:spacing w:val="-3"/>
          <w:sz w:val="18"/>
          <w:vertAlign w:val="baseline"/>
        </w:rPr>
        <w:t> </w:t>
      </w:r>
      <w:r>
        <w:rPr>
          <w:sz w:val="18"/>
          <w:vertAlign w:val="baseline"/>
        </w:rPr>
        <w:t>https://truecolorsunited.org/our-</w:t>
      </w:r>
      <w:r>
        <w:rPr>
          <w:spacing w:val="-2"/>
          <w:sz w:val="18"/>
          <w:vertAlign w:val="baseline"/>
        </w:rPr>
        <w:t>issue/.</w:t>
      </w:r>
    </w:p>
    <w:p>
      <w:pPr>
        <w:spacing w:before="120"/>
        <w:ind w:left="464" w:right="401" w:firstLine="0"/>
        <w:jc w:val="left"/>
        <w:rPr>
          <w:sz w:val="18"/>
        </w:rPr>
      </w:pPr>
      <w:bookmarkStart w:name="_bookmark282" w:id="504"/>
      <w:bookmarkEnd w:id="504"/>
      <w:r>
        <w:rPr/>
      </w:r>
      <w:r>
        <w:rPr>
          <w:sz w:val="18"/>
          <w:vertAlign w:val="superscript"/>
        </w:rPr>
        <w:t>9</w:t>
      </w:r>
      <w:r>
        <w:rPr>
          <w:sz w:val="18"/>
          <w:vertAlign w:val="baseline"/>
        </w:rPr>
        <w:t> Rivers, Malik. 2023. “Intersectionality and Homelessness: We Need to Take a Deeper Dive.” National Alliance to End Homelessness.</w:t>
      </w:r>
      <w:r>
        <w:rPr>
          <w:spacing w:val="-10"/>
          <w:sz w:val="18"/>
          <w:vertAlign w:val="baseline"/>
        </w:rPr>
        <w:t> </w:t>
      </w:r>
      <w:r>
        <w:rPr>
          <w:sz w:val="18"/>
          <w:vertAlign w:val="baseline"/>
        </w:rPr>
        <w:t>February</w:t>
      </w:r>
      <w:r>
        <w:rPr>
          <w:spacing w:val="-10"/>
          <w:sz w:val="18"/>
          <w:vertAlign w:val="baseline"/>
        </w:rPr>
        <w:t> </w:t>
      </w:r>
      <w:r>
        <w:rPr>
          <w:sz w:val="18"/>
          <w:vertAlign w:val="baseline"/>
        </w:rPr>
        <w:t>23,</w:t>
      </w:r>
      <w:r>
        <w:rPr>
          <w:spacing w:val="-10"/>
          <w:sz w:val="18"/>
          <w:vertAlign w:val="baseline"/>
        </w:rPr>
        <w:t> </w:t>
      </w:r>
      <w:r>
        <w:rPr>
          <w:sz w:val="18"/>
          <w:vertAlign w:val="baseline"/>
        </w:rPr>
        <w:t>2023.</w:t>
      </w:r>
      <w:r>
        <w:rPr>
          <w:spacing w:val="-10"/>
          <w:sz w:val="18"/>
          <w:vertAlign w:val="baseline"/>
        </w:rPr>
        <w:t> </w:t>
      </w:r>
      <w:r>
        <w:rPr>
          <w:sz w:val="18"/>
          <w:vertAlign w:val="baseline"/>
        </w:rPr>
        <w:t>https://endhomelessness.org/blog/intersectionality-and-homelessness-we-need-to-take- </w:t>
      </w:r>
      <w:r>
        <w:rPr>
          <w:spacing w:val="-2"/>
          <w:sz w:val="18"/>
          <w:vertAlign w:val="baseline"/>
        </w:rPr>
        <w:t>a-deeper-dive/.</w:t>
      </w:r>
    </w:p>
    <w:p>
      <w:pPr>
        <w:spacing w:before="121"/>
        <w:ind w:left="464" w:right="565" w:firstLine="0"/>
        <w:jc w:val="left"/>
        <w:rPr>
          <w:sz w:val="18"/>
        </w:rPr>
      </w:pPr>
      <w:bookmarkStart w:name="_bookmark283" w:id="505"/>
      <w:bookmarkEnd w:id="505"/>
      <w:r>
        <w:rPr/>
      </w:r>
      <w:r>
        <w:rPr>
          <w:sz w:val="18"/>
          <w:vertAlign w:val="superscript"/>
        </w:rPr>
        <w:t>10</w:t>
      </w:r>
      <w:r>
        <w:rPr>
          <w:spacing w:val="-3"/>
          <w:sz w:val="18"/>
          <w:vertAlign w:val="baseline"/>
        </w:rPr>
        <w:t> </w:t>
      </w:r>
      <w:r>
        <w:rPr>
          <w:sz w:val="18"/>
          <w:vertAlign w:val="baseline"/>
        </w:rPr>
        <w:t>Deal,</w:t>
      </w:r>
      <w:r>
        <w:rPr>
          <w:spacing w:val="-4"/>
          <w:sz w:val="18"/>
          <w:vertAlign w:val="baseline"/>
        </w:rPr>
        <w:t> </w:t>
      </w:r>
      <w:r>
        <w:rPr>
          <w:sz w:val="18"/>
          <w:vertAlign w:val="baseline"/>
        </w:rPr>
        <w:t>Cameron,</w:t>
      </w:r>
      <w:r>
        <w:rPr>
          <w:spacing w:val="-4"/>
          <w:sz w:val="18"/>
          <w:vertAlign w:val="baseline"/>
        </w:rPr>
        <w:t> </w:t>
      </w:r>
      <w:r>
        <w:rPr>
          <w:sz w:val="18"/>
          <w:vertAlign w:val="baseline"/>
        </w:rPr>
        <w:t>Riya</w:t>
      </w:r>
      <w:r>
        <w:rPr>
          <w:spacing w:val="-3"/>
          <w:sz w:val="18"/>
          <w:vertAlign w:val="baseline"/>
        </w:rPr>
        <w:t> </w:t>
      </w:r>
      <w:r>
        <w:rPr>
          <w:sz w:val="18"/>
          <w:vertAlign w:val="baseline"/>
        </w:rPr>
        <w:t>D.</w:t>
      </w:r>
      <w:r>
        <w:rPr>
          <w:spacing w:val="-3"/>
          <w:sz w:val="18"/>
          <w:vertAlign w:val="baseline"/>
        </w:rPr>
        <w:t> </w:t>
      </w:r>
      <w:r>
        <w:rPr>
          <w:sz w:val="18"/>
          <w:vertAlign w:val="baseline"/>
        </w:rPr>
        <w:t>Doshi,</w:t>
      </w:r>
      <w:r>
        <w:rPr>
          <w:spacing w:val="-4"/>
          <w:sz w:val="18"/>
          <w:vertAlign w:val="baseline"/>
        </w:rPr>
        <w:t> </w:t>
      </w:r>
      <w:r>
        <w:rPr>
          <w:sz w:val="18"/>
          <w:vertAlign w:val="baseline"/>
        </w:rPr>
        <w:t>and</w:t>
      </w:r>
      <w:r>
        <w:rPr>
          <w:spacing w:val="-3"/>
          <w:sz w:val="18"/>
          <w:vertAlign w:val="baseline"/>
        </w:rPr>
        <w:t> </w:t>
      </w:r>
      <w:r>
        <w:rPr>
          <w:sz w:val="18"/>
          <w:vertAlign w:val="baseline"/>
        </w:rPr>
        <w:t>Gilbert</w:t>
      </w:r>
      <w:r>
        <w:rPr>
          <w:spacing w:val="-4"/>
          <w:sz w:val="18"/>
          <w:vertAlign w:val="baseline"/>
        </w:rPr>
        <w:t> </w:t>
      </w:r>
      <w:r>
        <w:rPr>
          <w:sz w:val="18"/>
          <w:vertAlign w:val="baseline"/>
        </w:rPr>
        <w:t>Gonzales.</w:t>
      </w:r>
      <w:r>
        <w:rPr>
          <w:spacing w:val="-3"/>
          <w:sz w:val="18"/>
          <w:vertAlign w:val="baseline"/>
        </w:rPr>
        <w:t> </w:t>
      </w:r>
      <w:r>
        <w:rPr>
          <w:sz w:val="18"/>
          <w:vertAlign w:val="baseline"/>
        </w:rPr>
        <w:t>2023.</w:t>
      </w:r>
      <w:r>
        <w:rPr>
          <w:spacing w:val="-3"/>
          <w:sz w:val="18"/>
          <w:vertAlign w:val="baseline"/>
        </w:rPr>
        <w:t> </w:t>
      </w:r>
      <w:r>
        <w:rPr>
          <w:sz w:val="18"/>
          <w:vertAlign w:val="baseline"/>
        </w:rPr>
        <w:t>“Gender</w:t>
      </w:r>
      <w:r>
        <w:rPr>
          <w:spacing w:val="-4"/>
          <w:sz w:val="18"/>
          <w:vertAlign w:val="baseline"/>
        </w:rPr>
        <w:t> </w:t>
      </w:r>
      <w:r>
        <w:rPr>
          <w:sz w:val="18"/>
          <w:vertAlign w:val="baseline"/>
        </w:rPr>
        <w:t>Minority</w:t>
      </w:r>
      <w:r>
        <w:rPr>
          <w:spacing w:val="-3"/>
          <w:sz w:val="18"/>
          <w:vertAlign w:val="baseline"/>
        </w:rPr>
        <w:t> </w:t>
      </w:r>
      <w:r>
        <w:rPr>
          <w:sz w:val="18"/>
          <w:vertAlign w:val="baseline"/>
        </w:rPr>
        <w:t>Youth</w:t>
      </w:r>
      <w:r>
        <w:rPr>
          <w:spacing w:val="-3"/>
          <w:sz w:val="18"/>
          <w:vertAlign w:val="baseline"/>
        </w:rPr>
        <w:t> </w:t>
      </w:r>
      <w:r>
        <w:rPr>
          <w:sz w:val="18"/>
          <w:vertAlign w:val="baseline"/>
        </w:rPr>
        <w:t>Experiencing</w:t>
      </w:r>
      <w:r>
        <w:rPr>
          <w:spacing w:val="-3"/>
          <w:sz w:val="18"/>
          <w:vertAlign w:val="baseline"/>
        </w:rPr>
        <w:t> </w:t>
      </w:r>
      <w:r>
        <w:rPr>
          <w:sz w:val="18"/>
          <w:vertAlign w:val="baseline"/>
        </w:rPr>
        <w:t>Homelessness</w:t>
      </w:r>
      <w:r>
        <w:rPr>
          <w:spacing w:val="-4"/>
          <w:sz w:val="18"/>
          <w:vertAlign w:val="baseline"/>
        </w:rPr>
        <w:t> </w:t>
      </w:r>
      <w:r>
        <w:rPr>
          <w:sz w:val="18"/>
          <w:vertAlign w:val="baseline"/>
        </w:rPr>
        <w:t>and Corresponding Health Disparities.” </w:t>
      </w:r>
      <w:r>
        <w:rPr>
          <w:i/>
          <w:sz w:val="18"/>
          <w:vertAlign w:val="baseline"/>
        </w:rPr>
        <w:t>Journal of Adolescent Health </w:t>
      </w:r>
      <w:r>
        <w:rPr>
          <w:sz w:val="18"/>
          <w:vertAlign w:val="baseline"/>
        </w:rPr>
        <w:t>72 (5): 763–69. </w:t>
      </w:r>
      <w:r>
        <w:rPr>
          <w:spacing w:val="-2"/>
          <w:sz w:val="18"/>
          <w:vertAlign w:val="baseline"/>
        </w:rPr>
        <w:t>https://doi.org/10.1016/j.jadohealth.2022.11.229.</w:t>
      </w:r>
    </w:p>
    <w:p>
      <w:pPr>
        <w:spacing w:before="119"/>
        <w:ind w:left="464" w:right="0" w:firstLine="0"/>
        <w:jc w:val="left"/>
        <w:rPr>
          <w:sz w:val="18"/>
        </w:rPr>
      </w:pPr>
      <w:bookmarkStart w:name="_bookmark284" w:id="506"/>
      <w:bookmarkEnd w:id="506"/>
      <w:r>
        <w:rPr/>
      </w:r>
      <w:r>
        <w:rPr>
          <w:sz w:val="18"/>
          <w:vertAlign w:val="superscript"/>
        </w:rPr>
        <w:t>11</w:t>
      </w:r>
      <w:r>
        <w:rPr>
          <w:spacing w:val="-5"/>
          <w:sz w:val="18"/>
          <w:vertAlign w:val="baseline"/>
        </w:rPr>
        <w:t> </w:t>
      </w:r>
      <w:r>
        <w:rPr>
          <w:sz w:val="18"/>
          <w:vertAlign w:val="baseline"/>
        </w:rPr>
        <w:t>Richard,</w:t>
      </w:r>
      <w:r>
        <w:rPr>
          <w:spacing w:val="-2"/>
          <w:sz w:val="18"/>
          <w:vertAlign w:val="baseline"/>
        </w:rPr>
        <w:t> </w:t>
      </w:r>
      <w:r>
        <w:rPr>
          <w:sz w:val="18"/>
          <w:vertAlign w:val="baseline"/>
        </w:rPr>
        <w:t>Molly</w:t>
      </w:r>
      <w:r>
        <w:rPr>
          <w:spacing w:val="-2"/>
          <w:sz w:val="18"/>
          <w:vertAlign w:val="baseline"/>
        </w:rPr>
        <w:t> </w:t>
      </w:r>
      <w:r>
        <w:rPr>
          <w:sz w:val="18"/>
          <w:vertAlign w:val="baseline"/>
        </w:rPr>
        <w:t>K.</w:t>
      </w:r>
      <w:r>
        <w:rPr>
          <w:spacing w:val="-2"/>
          <w:sz w:val="18"/>
          <w:vertAlign w:val="baseline"/>
        </w:rPr>
        <w:t> </w:t>
      </w:r>
      <w:r>
        <w:rPr>
          <w:sz w:val="18"/>
          <w:vertAlign w:val="baseline"/>
        </w:rPr>
        <w:t>2023.</w:t>
      </w:r>
      <w:r>
        <w:rPr>
          <w:spacing w:val="-3"/>
          <w:sz w:val="18"/>
          <w:vertAlign w:val="baseline"/>
        </w:rPr>
        <w:t> </w:t>
      </w:r>
      <w:r>
        <w:rPr>
          <w:sz w:val="18"/>
          <w:vertAlign w:val="baseline"/>
        </w:rPr>
        <w:t>“Race</w:t>
      </w:r>
      <w:r>
        <w:rPr>
          <w:spacing w:val="-2"/>
          <w:sz w:val="18"/>
          <w:vertAlign w:val="baseline"/>
        </w:rPr>
        <w:t> </w:t>
      </w:r>
      <w:r>
        <w:rPr>
          <w:sz w:val="18"/>
          <w:vertAlign w:val="baseline"/>
        </w:rPr>
        <w:t>Matters</w:t>
      </w:r>
      <w:r>
        <w:rPr>
          <w:spacing w:val="-2"/>
          <w:sz w:val="18"/>
          <w:vertAlign w:val="baseline"/>
        </w:rPr>
        <w:t> </w:t>
      </w:r>
      <w:r>
        <w:rPr>
          <w:sz w:val="18"/>
          <w:vertAlign w:val="baseline"/>
        </w:rPr>
        <w:t>in</w:t>
      </w:r>
      <w:r>
        <w:rPr>
          <w:spacing w:val="-2"/>
          <w:sz w:val="18"/>
          <w:vertAlign w:val="baseline"/>
        </w:rPr>
        <w:t> </w:t>
      </w:r>
      <w:r>
        <w:rPr>
          <w:sz w:val="18"/>
          <w:vertAlign w:val="baseline"/>
        </w:rPr>
        <w:t>Addressing</w:t>
      </w:r>
      <w:r>
        <w:rPr>
          <w:spacing w:val="-3"/>
          <w:sz w:val="18"/>
          <w:vertAlign w:val="baseline"/>
        </w:rPr>
        <w:t> </w:t>
      </w:r>
      <w:r>
        <w:rPr>
          <w:sz w:val="18"/>
          <w:vertAlign w:val="baseline"/>
        </w:rPr>
        <w:t>Homelessness:</w:t>
      </w:r>
      <w:r>
        <w:rPr>
          <w:spacing w:val="-2"/>
          <w:sz w:val="18"/>
          <w:vertAlign w:val="baseline"/>
        </w:rPr>
        <w:t> </w:t>
      </w:r>
      <w:r>
        <w:rPr>
          <w:sz w:val="18"/>
          <w:vertAlign w:val="baseline"/>
        </w:rPr>
        <w:t>A</w:t>
      </w:r>
      <w:r>
        <w:rPr>
          <w:spacing w:val="-2"/>
          <w:sz w:val="18"/>
          <w:vertAlign w:val="baseline"/>
        </w:rPr>
        <w:t> </w:t>
      </w:r>
      <w:r>
        <w:rPr>
          <w:sz w:val="18"/>
          <w:vertAlign w:val="baseline"/>
        </w:rPr>
        <w:t>Scoping</w:t>
      </w:r>
      <w:r>
        <w:rPr>
          <w:spacing w:val="-2"/>
          <w:sz w:val="18"/>
          <w:vertAlign w:val="baseline"/>
        </w:rPr>
        <w:t> </w:t>
      </w:r>
      <w:r>
        <w:rPr>
          <w:sz w:val="18"/>
          <w:vertAlign w:val="baseline"/>
        </w:rPr>
        <w:t>Review</w:t>
      </w:r>
      <w:r>
        <w:rPr>
          <w:spacing w:val="-4"/>
          <w:sz w:val="18"/>
          <w:vertAlign w:val="baseline"/>
        </w:rPr>
        <w:t> </w:t>
      </w:r>
      <w:r>
        <w:rPr>
          <w:sz w:val="18"/>
          <w:vertAlign w:val="baseline"/>
        </w:rPr>
        <w:t>and</w:t>
      </w:r>
      <w:r>
        <w:rPr>
          <w:spacing w:val="-2"/>
          <w:sz w:val="18"/>
          <w:vertAlign w:val="baseline"/>
        </w:rPr>
        <w:t> </w:t>
      </w:r>
      <w:r>
        <w:rPr>
          <w:sz w:val="18"/>
          <w:vertAlign w:val="baseline"/>
        </w:rPr>
        <w:t>Call</w:t>
      </w:r>
      <w:r>
        <w:rPr>
          <w:spacing w:val="-3"/>
          <w:sz w:val="18"/>
          <w:vertAlign w:val="baseline"/>
        </w:rPr>
        <w:t> </w:t>
      </w:r>
      <w:r>
        <w:rPr>
          <w:sz w:val="18"/>
          <w:vertAlign w:val="baseline"/>
        </w:rPr>
        <w:t>for</w:t>
      </w:r>
      <w:r>
        <w:rPr>
          <w:spacing w:val="-3"/>
          <w:sz w:val="18"/>
          <w:vertAlign w:val="baseline"/>
        </w:rPr>
        <w:t> </w:t>
      </w:r>
      <w:r>
        <w:rPr>
          <w:sz w:val="18"/>
          <w:vertAlign w:val="baseline"/>
        </w:rPr>
        <w:t>Critical</w:t>
      </w:r>
      <w:r>
        <w:rPr>
          <w:spacing w:val="-3"/>
          <w:sz w:val="18"/>
          <w:vertAlign w:val="baseline"/>
        </w:rPr>
        <w:t> </w:t>
      </w:r>
      <w:r>
        <w:rPr>
          <w:spacing w:val="-2"/>
          <w:sz w:val="18"/>
          <w:vertAlign w:val="baseline"/>
        </w:rPr>
        <w:t>Research.”</w:t>
      </w:r>
    </w:p>
    <w:p>
      <w:pPr>
        <w:spacing w:before="0"/>
        <w:ind w:left="464" w:right="0" w:firstLine="0"/>
        <w:jc w:val="left"/>
        <w:rPr>
          <w:sz w:val="18"/>
        </w:rPr>
      </w:pPr>
      <w:r>
        <w:rPr>
          <w:i/>
          <w:sz w:val="18"/>
        </w:rPr>
        <w:t>American</w:t>
      </w:r>
      <w:r>
        <w:rPr>
          <w:i/>
          <w:spacing w:val="-6"/>
          <w:sz w:val="18"/>
        </w:rPr>
        <w:t> </w:t>
      </w:r>
      <w:r>
        <w:rPr>
          <w:i/>
          <w:sz w:val="18"/>
        </w:rPr>
        <w:t>Journal</w:t>
      </w:r>
      <w:r>
        <w:rPr>
          <w:i/>
          <w:spacing w:val="-3"/>
          <w:sz w:val="18"/>
        </w:rPr>
        <w:t> </w:t>
      </w:r>
      <w:r>
        <w:rPr>
          <w:i/>
          <w:sz w:val="18"/>
        </w:rPr>
        <w:t>of</w:t>
      </w:r>
      <w:r>
        <w:rPr>
          <w:i/>
          <w:spacing w:val="-3"/>
          <w:sz w:val="18"/>
        </w:rPr>
        <w:t> </w:t>
      </w:r>
      <w:r>
        <w:rPr>
          <w:i/>
          <w:sz w:val="18"/>
        </w:rPr>
        <w:t>Community</w:t>
      </w:r>
      <w:r>
        <w:rPr>
          <w:i/>
          <w:spacing w:val="-1"/>
          <w:sz w:val="18"/>
        </w:rPr>
        <w:t> </w:t>
      </w:r>
      <w:r>
        <w:rPr>
          <w:i/>
          <w:sz w:val="18"/>
        </w:rPr>
        <w:t>Psychology</w:t>
      </w:r>
      <w:r>
        <w:rPr>
          <w:i/>
          <w:spacing w:val="-3"/>
          <w:sz w:val="18"/>
        </w:rPr>
        <w:t> </w:t>
      </w:r>
      <w:r>
        <w:rPr>
          <w:sz w:val="18"/>
        </w:rPr>
        <w:t>72</w:t>
      </w:r>
      <w:r>
        <w:rPr>
          <w:spacing w:val="-2"/>
          <w:sz w:val="18"/>
        </w:rPr>
        <w:t> </w:t>
      </w:r>
      <w:r>
        <w:rPr>
          <w:sz w:val="18"/>
        </w:rPr>
        <w:t>(3–4):</w:t>
      </w:r>
      <w:r>
        <w:rPr>
          <w:spacing w:val="-3"/>
          <w:sz w:val="18"/>
        </w:rPr>
        <w:t> </w:t>
      </w:r>
      <w:r>
        <w:rPr>
          <w:sz w:val="18"/>
        </w:rPr>
        <w:t>464–85.</w:t>
      </w:r>
      <w:r>
        <w:rPr>
          <w:spacing w:val="-2"/>
          <w:sz w:val="18"/>
        </w:rPr>
        <w:t> https://doi.org/10.1002/ajcp.12700.</w:t>
      </w:r>
    </w:p>
    <w:p>
      <w:pPr>
        <w:spacing w:before="120"/>
        <w:ind w:left="464" w:right="0" w:firstLine="0"/>
        <w:jc w:val="left"/>
        <w:rPr>
          <w:sz w:val="18"/>
        </w:rPr>
      </w:pPr>
      <w:bookmarkStart w:name="_bookmark285" w:id="507"/>
      <w:bookmarkEnd w:id="507"/>
      <w:r>
        <w:rPr/>
      </w:r>
      <w:r>
        <w:rPr>
          <w:sz w:val="18"/>
          <w:vertAlign w:val="superscript"/>
        </w:rPr>
        <w:t>12</w:t>
      </w:r>
      <w:r>
        <w:rPr>
          <w:spacing w:val="-3"/>
          <w:sz w:val="18"/>
          <w:vertAlign w:val="baseline"/>
        </w:rPr>
        <w:t> </w:t>
      </w:r>
      <w:r>
        <w:rPr>
          <w:sz w:val="18"/>
          <w:vertAlign w:val="baseline"/>
        </w:rPr>
        <w:t>Laurie</w:t>
      </w:r>
      <w:r>
        <w:rPr>
          <w:spacing w:val="-3"/>
          <w:sz w:val="18"/>
          <w:vertAlign w:val="baseline"/>
        </w:rPr>
        <w:t> </w:t>
      </w:r>
      <w:r>
        <w:rPr>
          <w:sz w:val="18"/>
          <w:vertAlign w:val="baseline"/>
        </w:rPr>
        <w:t>Ross,</w:t>
      </w:r>
      <w:r>
        <w:rPr>
          <w:spacing w:val="-4"/>
          <w:sz w:val="18"/>
          <w:vertAlign w:val="baseline"/>
        </w:rPr>
        <w:t> </w:t>
      </w:r>
      <w:r>
        <w:rPr>
          <w:sz w:val="18"/>
          <w:vertAlign w:val="baseline"/>
        </w:rPr>
        <w:t>PhD.</w:t>
      </w:r>
      <w:r>
        <w:rPr>
          <w:spacing w:val="-3"/>
          <w:sz w:val="18"/>
          <w:vertAlign w:val="baseline"/>
        </w:rPr>
        <w:t> </w:t>
      </w:r>
      <w:r>
        <w:rPr>
          <w:sz w:val="18"/>
          <w:vertAlign w:val="baseline"/>
        </w:rPr>
        <w:t>2022.</w:t>
      </w:r>
      <w:r>
        <w:rPr>
          <w:spacing w:val="-3"/>
          <w:sz w:val="18"/>
          <w:vertAlign w:val="baseline"/>
        </w:rPr>
        <w:t> </w:t>
      </w:r>
      <w:r>
        <w:rPr>
          <w:sz w:val="18"/>
          <w:vertAlign w:val="baseline"/>
        </w:rPr>
        <w:t>“Massachusetts</w:t>
      </w:r>
      <w:r>
        <w:rPr>
          <w:spacing w:val="-3"/>
          <w:sz w:val="18"/>
          <w:vertAlign w:val="baseline"/>
        </w:rPr>
        <w:t> </w:t>
      </w:r>
      <w:r>
        <w:rPr>
          <w:sz w:val="18"/>
          <w:vertAlign w:val="baseline"/>
        </w:rPr>
        <w:t>Youth</w:t>
      </w:r>
      <w:r>
        <w:rPr>
          <w:spacing w:val="-3"/>
          <w:sz w:val="18"/>
          <w:vertAlign w:val="baseline"/>
        </w:rPr>
        <w:t> </w:t>
      </w:r>
      <w:r>
        <w:rPr>
          <w:sz w:val="18"/>
          <w:vertAlign w:val="baseline"/>
        </w:rPr>
        <w:t>Count</w:t>
      </w:r>
      <w:r>
        <w:rPr>
          <w:spacing w:val="-3"/>
          <w:sz w:val="18"/>
          <w:vertAlign w:val="baseline"/>
        </w:rPr>
        <w:t> </w:t>
      </w:r>
      <w:r>
        <w:rPr>
          <w:spacing w:val="-2"/>
          <w:sz w:val="18"/>
          <w:vertAlign w:val="baseline"/>
        </w:rPr>
        <w:t>2022.”</w:t>
      </w:r>
    </w:p>
    <w:p>
      <w:pPr>
        <w:spacing w:after="0"/>
        <w:jc w:val="left"/>
        <w:rPr>
          <w:sz w:val="18"/>
        </w:rPr>
        <w:sectPr>
          <w:pgSz w:w="12240" w:h="15840"/>
          <w:pgMar w:header="765" w:footer="1127" w:top="1280" w:bottom="1380" w:left="1120" w:right="1180"/>
        </w:sectPr>
      </w:pPr>
    </w:p>
    <w:p>
      <w:pPr>
        <w:pStyle w:val="BodyText"/>
        <w:spacing w:before="118"/>
        <w:rPr>
          <w:sz w:val="18"/>
        </w:rPr>
      </w:pPr>
    </w:p>
    <w:p>
      <w:pPr>
        <w:spacing w:before="0"/>
        <w:ind w:left="464" w:right="621" w:firstLine="0"/>
        <w:jc w:val="both"/>
        <w:rPr>
          <w:sz w:val="18"/>
        </w:rPr>
      </w:pPr>
      <w:bookmarkStart w:name="_bookmark286" w:id="508"/>
      <w:bookmarkEnd w:id="508"/>
      <w:r>
        <w:rPr/>
      </w:r>
      <w:r>
        <w:rPr>
          <w:sz w:val="18"/>
          <w:vertAlign w:val="superscript"/>
        </w:rPr>
        <w:t>13</w:t>
      </w:r>
      <w:r>
        <w:rPr>
          <w:spacing w:val="-2"/>
          <w:sz w:val="18"/>
          <w:vertAlign w:val="baseline"/>
        </w:rPr>
        <w:t> </w:t>
      </w:r>
      <w:r>
        <w:rPr>
          <w:sz w:val="18"/>
          <w:vertAlign w:val="baseline"/>
        </w:rPr>
        <w:t>“Governor</w:t>
      </w:r>
      <w:r>
        <w:rPr>
          <w:spacing w:val="-3"/>
          <w:sz w:val="18"/>
          <w:vertAlign w:val="baseline"/>
        </w:rPr>
        <w:t> </w:t>
      </w:r>
      <w:r>
        <w:rPr>
          <w:sz w:val="18"/>
          <w:vertAlign w:val="baseline"/>
        </w:rPr>
        <w:t>Healey</w:t>
      </w:r>
      <w:r>
        <w:rPr>
          <w:spacing w:val="-2"/>
          <w:sz w:val="18"/>
          <w:vertAlign w:val="baseline"/>
        </w:rPr>
        <w:t> </w:t>
      </w:r>
      <w:r>
        <w:rPr>
          <w:sz w:val="18"/>
          <w:vertAlign w:val="baseline"/>
        </w:rPr>
        <w:t>Declares</w:t>
      </w:r>
      <w:r>
        <w:rPr>
          <w:spacing w:val="-2"/>
          <w:sz w:val="18"/>
          <w:vertAlign w:val="baseline"/>
        </w:rPr>
        <w:t> </w:t>
      </w:r>
      <w:r>
        <w:rPr>
          <w:sz w:val="18"/>
          <w:vertAlign w:val="baseline"/>
        </w:rPr>
        <w:t>State</w:t>
      </w:r>
      <w:r>
        <w:rPr>
          <w:spacing w:val="-2"/>
          <w:sz w:val="18"/>
          <w:vertAlign w:val="baseline"/>
        </w:rPr>
        <w:t> </w:t>
      </w:r>
      <w:r>
        <w:rPr>
          <w:sz w:val="18"/>
          <w:vertAlign w:val="baseline"/>
        </w:rPr>
        <w:t>of</w:t>
      </w:r>
      <w:r>
        <w:rPr>
          <w:spacing w:val="-2"/>
          <w:sz w:val="18"/>
          <w:vertAlign w:val="baseline"/>
        </w:rPr>
        <w:t> </w:t>
      </w:r>
      <w:r>
        <w:rPr>
          <w:sz w:val="18"/>
          <w:vertAlign w:val="baseline"/>
        </w:rPr>
        <w:t>Emergency,</w:t>
      </w:r>
      <w:r>
        <w:rPr>
          <w:spacing w:val="-3"/>
          <w:sz w:val="18"/>
          <w:vertAlign w:val="baseline"/>
        </w:rPr>
        <w:t> </w:t>
      </w:r>
      <w:r>
        <w:rPr>
          <w:sz w:val="18"/>
          <w:vertAlign w:val="baseline"/>
        </w:rPr>
        <w:t>Calls</w:t>
      </w:r>
      <w:r>
        <w:rPr>
          <w:spacing w:val="-2"/>
          <w:sz w:val="18"/>
          <w:vertAlign w:val="baseline"/>
        </w:rPr>
        <w:t> </w:t>
      </w:r>
      <w:r>
        <w:rPr>
          <w:sz w:val="18"/>
          <w:vertAlign w:val="baseline"/>
        </w:rPr>
        <w:t>for</w:t>
      </w:r>
      <w:r>
        <w:rPr>
          <w:spacing w:val="-3"/>
          <w:sz w:val="18"/>
          <w:vertAlign w:val="baseline"/>
        </w:rPr>
        <w:t> </w:t>
      </w:r>
      <w:r>
        <w:rPr>
          <w:sz w:val="18"/>
          <w:vertAlign w:val="baseline"/>
        </w:rPr>
        <w:t>Support</w:t>
      </w:r>
      <w:r>
        <w:rPr>
          <w:spacing w:val="-3"/>
          <w:sz w:val="18"/>
          <w:vertAlign w:val="baseline"/>
        </w:rPr>
        <w:t> </w:t>
      </w:r>
      <w:r>
        <w:rPr>
          <w:sz w:val="18"/>
          <w:vertAlign w:val="baseline"/>
        </w:rPr>
        <w:t>for</w:t>
      </w:r>
      <w:r>
        <w:rPr>
          <w:spacing w:val="-3"/>
          <w:sz w:val="18"/>
          <w:vertAlign w:val="baseline"/>
        </w:rPr>
        <w:t> </w:t>
      </w:r>
      <w:r>
        <w:rPr>
          <w:sz w:val="18"/>
          <w:vertAlign w:val="baseline"/>
        </w:rPr>
        <w:t>Newly</w:t>
      </w:r>
      <w:r>
        <w:rPr>
          <w:spacing w:val="-2"/>
          <w:sz w:val="18"/>
          <w:vertAlign w:val="baseline"/>
        </w:rPr>
        <w:t> </w:t>
      </w:r>
      <w:r>
        <w:rPr>
          <w:sz w:val="18"/>
          <w:vertAlign w:val="baseline"/>
        </w:rPr>
        <w:t>Arriving</w:t>
      </w:r>
      <w:r>
        <w:rPr>
          <w:spacing w:val="-2"/>
          <w:sz w:val="18"/>
          <w:vertAlign w:val="baseline"/>
        </w:rPr>
        <w:t> </w:t>
      </w:r>
      <w:r>
        <w:rPr>
          <w:sz w:val="18"/>
          <w:vertAlign w:val="baseline"/>
        </w:rPr>
        <w:t>Migrant</w:t>
      </w:r>
      <w:r>
        <w:rPr>
          <w:spacing w:val="-3"/>
          <w:sz w:val="18"/>
          <w:vertAlign w:val="baseline"/>
        </w:rPr>
        <w:t> </w:t>
      </w:r>
      <w:r>
        <w:rPr>
          <w:sz w:val="18"/>
          <w:vertAlign w:val="baseline"/>
        </w:rPr>
        <w:t>Families</w:t>
      </w:r>
      <w:r>
        <w:rPr>
          <w:spacing w:val="-2"/>
          <w:sz w:val="18"/>
          <w:vertAlign w:val="baseline"/>
        </w:rPr>
        <w:t> </w:t>
      </w:r>
      <w:r>
        <w:rPr>
          <w:sz w:val="18"/>
          <w:vertAlign w:val="baseline"/>
        </w:rPr>
        <w:t>|</w:t>
      </w:r>
      <w:r>
        <w:rPr>
          <w:spacing w:val="-2"/>
          <w:sz w:val="18"/>
          <w:vertAlign w:val="baseline"/>
        </w:rPr>
        <w:t> </w:t>
      </w:r>
      <w:r>
        <w:rPr>
          <w:sz w:val="18"/>
          <w:vertAlign w:val="baseline"/>
        </w:rPr>
        <w:t>Mass.Gov.”</w:t>
      </w:r>
      <w:r>
        <w:rPr>
          <w:spacing w:val="-2"/>
          <w:sz w:val="18"/>
          <w:vertAlign w:val="baseline"/>
        </w:rPr>
        <w:t> </w:t>
      </w:r>
      <w:r>
        <w:rPr>
          <w:sz w:val="18"/>
          <w:vertAlign w:val="baseline"/>
        </w:rPr>
        <w:t>n.d. Accessed</w:t>
      </w:r>
      <w:r>
        <w:rPr>
          <w:spacing w:val="-3"/>
          <w:sz w:val="18"/>
          <w:vertAlign w:val="baseline"/>
        </w:rPr>
        <w:t> </w:t>
      </w:r>
      <w:r>
        <w:rPr>
          <w:sz w:val="18"/>
          <w:vertAlign w:val="baseline"/>
        </w:rPr>
        <w:t>March</w:t>
      </w:r>
      <w:r>
        <w:rPr>
          <w:spacing w:val="-4"/>
          <w:sz w:val="18"/>
          <w:vertAlign w:val="baseline"/>
        </w:rPr>
        <w:t> </w:t>
      </w:r>
      <w:r>
        <w:rPr>
          <w:sz w:val="18"/>
          <w:vertAlign w:val="baseline"/>
        </w:rPr>
        <w:t>21,</w:t>
      </w:r>
      <w:r>
        <w:rPr>
          <w:spacing w:val="-4"/>
          <w:sz w:val="18"/>
          <w:vertAlign w:val="baseline"/>
        </w:rPr>
        <w:t> </w:t>
      </w:r>
      <w:r>
        <w:rPr>
          <w:sz w:val="18"/>
          <w:vertAlign w:val="baseline"/>
        </w:rPr>
        <w:t>2024.</w:t>
      </w:r>
      <w:r>
        <w:rPr>
          <w:spacing w:val="-3"/>
          <w:sz w:val="18"/>
          <w:vertAlign w:val="baseline"/>
        </w:rPr>
        <w:t> </w:t>
      </w:r>
      <w:r>
        <w:rPr>
          <w:sz w:val="18"/>
          <w:vertAlign w:val="baseline"/>
        </w:rPr>
        <w:t>https:</w:t>
      </w:r>
      <w:hyperlink r:id="rId454">
        <w:r>
          <w:rPr>
            <w:sz w:val="18"/>
            <w:vertAlign w:val="baseline"/>
          </w:rPr>
          <w:t>//www.mass.gov/news/governor-healey-declares-state-of-emergency-calls-for-support-</w:t>
        </w:r>
      </w:hyperlink>
      <w:r>
        <w:rPr>
          <w:sz w:val="18"/>
          <w:vertAlign w:val="baseline"/>
        </w:rPr>
        <w:t> </w:t>
      </w:r>
      <w:r>
        <w:rPr>
          <w:spacing w:val="-2"/>
          <w:sz w:val="18"/>
          <w:vertAlign w:val="baseline"/>
        </w:rPr>
        <w:t>for-newly-arriving-migrant-families.</w:t>
      </w:r>
    </w:p>
    <w:p>
      <w:pPr>
        <w:spacing w:before="119"/>
        <w:ind w:left="464" w:right="0" w:firstLine="0"/>
        <w:jc w:val="both"/>
        <w:rPr>
          <w:sz w:val="18"/>
        </w:rPr>
      </w:pPr>
      <w:bookmarkStart w:name="_bookmark287" w:id="509"/>
      <w:bookmarkEnd w:id="509"/>
      <w:r>
        <w:rPr/>
      </w:r>
      <w:r>
        <w:rPr>
          <w:sz w:val="18"/>
          <w:vertAlign w:val="superscript"/>
        </w:rPr>
        <w:t>14</w:t>
      </w:r>
      <w:r>
        <w:rPr>
          <w:spacing w:val="-5"/>
          <w:sz w:val="18"/>
          <w:vertAlign w:val="baseline"/>
        </w:rPr>
        <w:t> </w:t>
      </w:r>
      <w:r>
        <w:rPr>
          <w:sz w:val="18"/>
          <w:vertAlign w:val="baseline"/>
        </w:rPr>
        <w:t>“Amendment</w:t>
      </w:r>
      <w:r>
        <w:rPr>
          <w:spacing w:val="-3"/>
          <w:sz w:val="18"/>
          <w:vertAlign w:val="baseline"/>
        </w:rPr>
        <w:t> </w:t>
      </w:r>
      <w:r>
        <w:rPr>
          <w:sz w:val="18"/>
          <w:vertAlign w:val="baseline"/>
        </w:rPr>
        <w:t>S.2708.”</w:t>
      </w:r>
      <w:r>
        <w:rPr>
          <w:spacing w:val="-3"/>
          <w:sz w:val="18"/>
          <w:vertAlign w:val="baseline"/>
        </w:rPr>
        <w:t> </w:t>
      </w:r>
      <w:r>
        <w:rPr>
          <w:sz w:val="18"/>
          <w:vertAlign w:val="baseline"/>
        </w:rPr>
        <w:t>n.d.</w:t>
      </w:r>
      <w:r>
        <w:rPr>
          <w:spacing w:val="-2"/>
          <w:sz w:val="18"/>
          <w:vertAlign w:val="baseline"/>
        </w:rPr>
        <w:t> </w:t>
      </w:r>
      <w:r>
        <w:rPr>
          <w:sz w:val="18"/>
          <w:vertAlign w:val="baseline"/>
        </w:rPr>
        <w:t>Accessed</w:t>
      </w:r>
      <w:r>
        <w:rPr>
          <w:spacing w:val="-2"/>
          <w:sz w:val="18"/>
          <w:vertAlign w:val="baseline"/>
        </w:rPr>
        <w:t> </w:t>
      </w:r>
      <w:r>
        <w:rPr>
          <w:sz w:val="18"/>
          <w:vertAlign w:val="baseline"/>
        </w:rPr>
        <w:t>March</w:t>
      </w:r>
      <w:r>
        <w:rPr>
          <w:spacing w:val="-3"/>
          <w:sz w:val="18"/>
          <w:vertAlign w:val="baseline"/>
        </w:rPr>
        <w:t> </w:t>
      </w:r>
      <w:r>
        <w:rPr>
          <w:sz w:val="18"/>
          <w:vertAlign w:val="baseline"/>
        </w:rPr>
        <w:t>23,</w:t>
      </w:r>
      <w:r>
        <w:rPr>
          <w:spacing w:val="-3"/>
          <w:sz w:val="18"/>
          <w:vertAlign w:val="baseline"/>
        </w:rPr>
        <w:t> </w:t>
      </w:r>
      <w:r>
        <w:rPr>
          <w:sz w:val="18"/>
          <w:vertAlign w:val="baseline"/>
        </w:rPr>
        <w:t>2024.</w:t>
      </w:r>
      <w:r>
        <w:rPr>
          <w:spacing w:val="-2"/>
          <w:sz w:val="18"/>
          <w:vertAlign w:val="baseline"/>
        </w:rPr>
        <w:t> https://malegislature.gov/Bills/193/S2708.</w:t>
      </w:r>
    </w:p>
    <w:p>
      <w:pPr>
        <w:spacing w:before="120"/>
        <w:ind w:left="464" w:right="565" w:firstLine="0"/>
        <w:jc w:val="left"/>
        <w:rPr>
          <w:sz w:val="18"/>
        </w:rPr>
      </w:pPr>
      <w:bookmarkStart w:name="_bookmark288" w:id="510"/>
      <w:bookmarkEnd w:id="510"/>
      <w:r>
        <w:rPr/>
      </w:r>
      <w:r>
        <w:rPr>
          <w:sz w:val="18"/>
          <w:vertAlign w:val="superscript"/>
        </w:rPr>
        <w:t>15</w:t>
      </w:r>
      <w:r>
        <w:rPr>
          <w:spacing w:val="-3"/>
          <w:sz w:val="18"/>
          <w:vertAlign w:val="baseline"/>
        </w:rPr>
        <w:t> </w:t>
      </w:r>
      <w:r>
        <w:rPr>
          <w:sz w:val="18"/>
          <w:vertAlign w:val="baseline"/>
        </w:rPr>
        <w:t>Robinson,</w:t>
      </w:r>
      <w:r>
        <w:rPr>
          <w:spacing w:val="-4"/>
          <w:sz w:val="18"/>
          <w:vertAlign w:val="baseline"/>
        </w:rPr>
        <w:t> </w:t>
      </w:r>
      <w:r>
        <w:rPr>
          <w:sz w:val="18"/>
          <w:vertAlign w:val="baseline"/>
        </w:rPr>
        <w:t>Brandon</w:t>
      </w:r>
      <w:r>
        <w:rPr>
          <w:spacing w:val="-3"/>
          <w:sz w:val="18"/>
          <w:vertAlign w:val="baseline"/>
        </w:rPr>
        <w:t> </w:t>
      </w:r>
      <w:r>
        <w:rPr>
          <w:sz w:val="18"/>
          <w:vertAlign w:val="baseline"/>
        </w:rPr>
        <w:t>Andrew.</w:t>
      </w:r>
      <w:r>
        <w:rPr>
          <w:spacing w:val="-3"/>
          <w:sz w:val="18"/>
          <w:vertAlign w:val="baseline"/>
        </w:rPr>
        <w:t> </w:t>
      </w:r>
      <w:r>
        <w:rPr>
          <w:sz w:val="18"/>
          <w:vertAlign w:val="baseline"/>
        </w:rPr>
        <w:t>2023.</w:t>
      </w:r>
      <w:r>
        <w:rPr>
          <w:spacing w:val="-3"/>
          <w:sz w:val="18"/>
          <w:vertAlign w:val="baseline"/>
        </w:rPr>
        <w:t> </w:t>
      </w:r>
      <w:r>
        <w:rPr>
          <w:sz w:val="18"/>
          <w:vertAlign w:val="baseline"/>
        </w:rPr>
        <w:t>“‘They</w:t>
      </w:r>
      <w:r>
        <w:rPr>
          <w:spacing w:val="-3"/>
          <w:sz w:val="18"/>
          <w:vertAlign w:val="baseline"/>
        </w:rPr>
        <w:t> </w:t>
      </w:r>
      <w:r>
        <w:rPr>
          <w:sz w:val="18"/>
          <w:vertAlign w:val="baseline"/>
        </w:rPr>
        <w:t>Peed</w:t>
      </w:r>
      <w:r>
        <w:rPr>
          <w:spacing w:val="-4"/>
          <w:sz w:val="18"/>
          <w:vertAlign w:val="baseline"/>
        </w:rPr>
        <w:t> </w:t>
      </w:r>
      <w:r>
        <w:rPr>
          <w:sz w:val="18"/>
          <w:vertAlign w:val="baseline"/>
        </w:rPr>
        <w:t>on</w:t>
      </w:r>
      <w:r>
        <w:rPr>
          <w:spacing w:val="-3"/>
          <w:sz w:val="18"/>
          <w:vertAlign w:val="baseline"/>
        </w:rPr>
        <w:t> </w:t>
      </w:r>
      <w:r>
        <w:rPr>
          <w:sz w:val="18"/>
          <w:vertAlign w:val="baseline"/>
        </w:rPr>
        <w:t>My</w:t>
      </w:r>
      <w:r>
        <w:rPr>
          <w:spacing w:val="-3"/>
          <w:sz w:val="18"/>
          <w:vertAlign w:val="baseline"/>
        </w:rPr>
        <w:t> </w:t>
      </w:r>
      <w:r>
        <w:rPr>
          <w:sz w:val="18"/>
          <w:vertAlign w:val="baseline"/>
        </w:rPr>
        <w:t>Shoes’:</w:t>
      </w:r>
      <w:r>
        <w:rPr>
          <w:spacing w:val="-3"/>
          <w:sz w:val="18"/>
          <w:vertAlign w:val="baseline"/>
        </w:rPr>
        <w:t> </w:t>
      </w:r>
      <w:r>
        <w:rPr>
          <w:sz w:val="18"/>
          <w:vertAlign w:val="baseline"/>
        </w:rPr>
        <w:t>Foregrounding</w:t>
      </w:r>
      <w:r>
        <w:rPr>
          <w:spacing w:val="-3"/>
          <w:sz w:val="18"/>
          <w:vertAlign w:val="baseline"/>
        </w:rPr>
        <w:t> </w:t>
      </w:r>
      <w:r>
        <w:rPr>
          <w:sz w:val="18"/>
          <w:vertAlign w:val="baseline"/>
        </w:rPr>
        <w:t>Intersectional</w:t>
      </w:r>
      <w:r>
        <w:rPr>
          <w:spacing w:val="-4"/>
          <w:sz w:val="18"/>
          <w:vertAlign w:val="baseline"/>
        </w:rPr>
        <w:t> </w:t>
      </w:r>
      <w:r>
        <w:rPr>
          <w:sz w:val="18"/>
          <w:vertAlign w:val="baseline"/>
        </w:rPr>
        <w:t>Minority</w:t>
      </w:r>
      <w:r>
        <w:rPr>
          <w:spacing w:val="-3"/>
          <w:sz w:val="18"/>
          <w:vertAlign w:val="baseline"/>
        </w:rPr>
        <w:t> </w:t>
      </w:r>
      <w:r>
        <w:rPr>
          <w:sz w:val="18"/>
          <w:vertAlign w:val="baseline"/>
        </w:rPr>
        <w:t>Stress</w:t>
      </w:r>
      <w:r>
        <w:rPr>
          <w:spacing w:val="-3"/>
          <w:sz w:val="18"/>
          <w:vertAlign w:val="baseline"/>
        </w:rPr>
        <w:t> </w:t>
      </w:r>
      <w:r>
        <w:rPr>
          <w:sz w:val="18"/>
          <w:vertAlign w:val="baseline"/>
        </w:rPr>
        <w:t>in Understanding LGBTQ Youth Homelessness.” </w:t>
      </w:r>
      <w:r>
        <w:rPr>
          <w:i/>
          <w:sz w:val="18"/>
          <w:vertAlign w:val="baseline"/>
        </w:rPr>
        <w:t>Journal of LGBT Youth </w:t>
      </w:r>
      <w:r>
        <w:rPr>
          <w:sz w:val="18"/>
          <w:vertAlign w:val="baseline"/>
        </w:rPr>
        <w:t>20 (4): 783–99. </w:t>
      </w:r>
      <w:r>
        <w:rPr>
          <w:spacing w:val="-2"/>
          <w:sz w:val="18"/>
          <w:vertAlign w:val="baseline"/>
        </w:rPr>
        <w:t>https://doi.org/10.1080/19361653.2021.1925196.</w:t>
      </w:r>
    </w:p>
    <w:p>
      <w:pPr>
        <w:spacing w:before="120"/>
        <w:ind w:left="464" w:right="434" w:firstLine="0"/>
        <w:jc w:val="left"/>
        <w:rPr>
          <w:sz w:val="18"/>
        </w:rPr>
      </w:pPr>
      <w:bookmarkStart w:name="_bookmark289" w:id="511"/>
      <w:bookmarkEnd w:id="511"/>
      <w:r>
        <w:rPr/>
      </w:r>
      <w:r>
        <w:rPr>
          <w:sz w:val="18"/>
          <w:vertAlign w:val="superscript"/>
        </w:rPr>
        <w:t>16</w:t>
      </w:r>
      <w:r>
        <w:rPr>
          <w:spacing w:val="-2"/>
          <w:sz w:val="18"/>
          <w:vertAlign w:val="baseline"/>
        </w:rPr>
        <w:t> </w:t>
      </w:r>
      <w:r>
        <w:rPr>
          <w:sz w:val="18"/>
          <w:vertAlign w:val="baseline"/>
        </w:rPr>
        <w:t>Alessi,</w:t>
      </w:r>
      <w:r>
        <w:rPr>
          <w:spacing w:val="-3"/>
          <w:sz w:val="18"/>
          <w:vertAlign w:val="baseline"/>
        </w:rPr>
        <w:t> </w:t>
      </w:r>
      <w:r>
        <w:rPr>
          <w:sz w:val="18"/>
          <w:vertAlign w:val="baseline"/>
        </w:rPr>
        <w:t>Edward,</w:t>
      </w:r>
      <w:r>
        <w:rPr>
          <w:spacing w:val="-3"/>
          <w:sz w:val="18"/>
          <w:vertAlign w:val="baseline"/>
        </w:rPr>
        <w:t> </w:t>
      </w:r>
      <w:r>
        <w:rPr>
          <w:sz w:val="18"/>
          <w:vertAlign w:val="baseline"/>
        </w:rPr>
        <w:t>Brett</w:t>
      </w:r>
      <w:r>
        <w:rPr>
          <w:spacing w:val="-3"/>
          <w:sz w:val="18"/>
          <w:vertAlign w:val="baseline"/>
        </w:rPr>
        <w:t> </w:t>
      </w:r>
      <w:r>
        <w:rPr>
          <w:sz w:val="18"/>
          <w:vertAlign w:val="baseline"/>
        </w:rPr>
        <w:t>Greenfield,</w:t>
      </w:r>
      <w:r>
        <w:rPr>
          <w:spacing w:val="-4"/>
          <w:sz w:val="18"/>
          <w:vertAlign w:val="baseline"/>
        </w:rPr>
        <w:t> </w:t>
      </w:r>
      <w:r>
        <w:rPr>
          <w:sz w:val="18"/>
          <w:vertAlign w:val="baseline"/>
        </w:rPr>
        <w:t>Dean</w:t>
      </w:r>
      <w:r>
        <w:rPr>
          <w:spacing w:val="-2"/>
          <w:sz w:val="18"/>
          <w:vertAlign w:val="baseline"/>
        </w:rPr>
        <w:t> </w:t>
      </w:r>
      <w:r>
        <w:rPr>
          <w:sz w:val="18"/>
          <w:vertAlign w:val="baseline"/>
        </w:rPr>
        <w:t>Manning,</w:t>
      </w:r>
      <w:r>
        <w:rPr>
          <w:spacing w:val="-4"/>
          <w:sz w:val="18"/>
          <w:vertAlign w:val="baseline"/>
        </w:rPr>
        <w:t> </w:t>
      </w:r>
      <w:r>
        <w:rPr>
          <w:sz w:val="18"/>
          <w:vertAlign w:val="baseline"/>
        </w:rPr>
        <w:t>and</w:t>
      </w:r>
      <w:r>
        <w:rPr>
          <w:spacing w:val="-2"/>
          <w:sz w:val="18"/>
          <w:vertAlign w:val="baseline"/>
        </w:rPr>
        <w:t> </w:t>
      </w:r>
      <w:r>
        <w:rPr>
          <w:sz w:val="18"/>
          <w:vertAlign w:val="baseline"/>
        </w:rPr>
        <w:t>Meredith</w:t>
      </w:r>
      <w:r>
        <w:rPr>
          <w:spacing w:val="-2"/>
          <w:sz w:val="18"/>
          <w:vertAlign w:val="baseline"/>
        </w:rPr>
        <w:t> </w:t>
      </w:r>
      <w:r>
        <w:rPr>
          <w:sz w:val="18"/>
          <w:vertAlign w:val="baseline"/>
        </w:rPr>
        <w:t>Dank.</w:t>
      </w:r>
      <w:r>
        <w:rPr>
          <w:spacing w:val="-2"/>
          <w:sz w:val="18"/>
          <w:vertAlign w:val="baseline"/>
        </w:rPr>
        <w:t> </w:t>
      </w:r>
      <w:r>
        <w:rPr>
          <w:sz w:val="18"/>
          <w:vertAlign w:val="baseline"/>
        </w:rPr>
        <w:t>2020.</w:t>
      </w:r>
      <w:r>
        <w:rPr>
          <w:spacing w:val="-2"/>
          <w:sz w:val="18"/>
          <w:vertAlign w:val="baseline"/>
        </w:rPr>
        <w:t> </w:t>
      </w:r>
      <w:r>
        <w:rPr>
          <w:sz w:val="18"/>
          <w:vertAlign w:val="baseline"/>
        </w:rPr>
        <w:t>“Victimization</w:t>
      </w:r>
      <w:r>
        <w:rPr>
          <w:spacing w:val="-2"/>
          <w:sz w:val="18"/>
          <w:vertAlign w:val="baseline"/>
        </w:rPr>
        <w:t> </w:t>
      </w:r>
      <w:r>
        <w:rPr>
          <w:sz w:val="18"/>
          <w:vertAlign w:val="baseline"/>
        </w:rPr>
        <w:t>and</w:t>
      </w:r>
      <w:r>
        <w:rPr>
          <w:spacing w:val="-2"/>
          <w:sz w:val="18"/>
          <w:vertAlign w:val="baseline"/>
        </w:rPr>
        <w:t> </w:t>
      </w:r>
      <w:r>
        <w:rPr>
          <w:sz w:val="18"/>
          <w:vertAlign w:val="baseline"/>
        </w:rPr>
        <w:t>Resilience</w:t>
      </w:r>
      <w:r>
        <w:rPr>
          <w:spacing w:val="-2"/>
          <w:sz w:val="18"/>
          <w:vertAlign w:val="baseline"/>
        </w:rPr>
        <w:t> </w:t>
      </w:r>
      <w:r>
        <w:rPr>
          <w:sz w:val="18"/>
          <w:vertAlign w:val="baseline"/>
        </w:rPr>
        <w:t>Among</w:t>
      </w:r>
      <w:r>
        <w:rPr>
          <w:spacing w:val="-3"/>
          <w:sz w:val="18"/>
          <w:vertAlign w:val="baseline"/>
        </w:rPr>
        <w:t> </w:t>
      </w:r>
      <w:r>
        <w:rPr>
          <w:sz w:val="18"/>
          <w:vertAlign w:val="baseline"/>
        </w:rPr>
        <w:t>Sexual and Gender Minority Homeless Youth Engaging in Survival Sex.” </w:t>
      </w:r>
      <w:r>
        <w:rPr>
          <w:i/>
          <w:sz w:val="18"/>
          <w:vertAlign w:val="baseline"/>
        </w:rPr>
        <w:t>Journal of Interpersonal Violence </w:t>
      </w:r>
      <w:r>
        <w:rPr>
          <w:sz w:val="18"/>
          <w:vertAlign w:val="baseline"/>
        </w:rPr>
        <w:t>36 (January): 088626051989843. https://doi.org/10.1177/0886260519898434.</w:t>
      </w:r>
    </w:p>
    <w:p>
      <w:pPr>
        <w:spacing w:before="121"/>
        <w:ind w:left="463" w:right="432" w:firstLine="0"/>
        <w:jc w:val="left"/>
        <w:rPr>
          <w:sz w:val="18"/>
        </w:rPr>
      </w:pPr>
      <w:bookmarkStart w:name="_bookmark290" w:id="512"/>
      <w:bookmarkEnd w:id="512"/>
      <w:r>
        <w:rPr/>
      </w:r>
      <w:r>
        <w:rPr>
          <w:sz w:val="18"/>
          <w:vertAlign w:val="superscript"/>
        </w:rPr>
        <w:t>17</w:t>
      </w:r>
      <w:r>
        <w:rPr>
          <w:spacing w:val="-2"/>
          <w:sz w:val="18"/>
          <w:vertAlign w:val="baseline"/>
        </w:rPr>
        <w:t> </w:t>
      </w:r>
      <w:r>
        <w:rPr>
          <w:sz w:val="18"/>
          <w:vertAlign w:val="baseline"/>
        </w:rPr>
        <w:t>Price-Feeney,</w:t>
      </w:r>
      <w:r>
        <w:rPr>
          <w:spacing w:val="-3"/>
          <w:sz w:val="18"/>
          <w:vertAlign w:val="baseline"/>
        </w:rPr>
        <w:t> </w:t>
      </w:r>
      <w:r>
        <w:rPr>
          <w:sz w:val="18"/>
          <w:vertAlign w:val="baseline"/>
        </w:rPr>
        <w:t>Myeshia,</w:t>
      </w:r>
      <w:r>
        <w:rPr>
          <w:spacing w:val="-3"/>
          <w:sz w:val="18"/>
          <w:vertAlign w:val="baseline"/>
        </w:rPr>
        <w:t> </w:t>
      </w:r>
      <w:r>
        <w:rPr>
          <w:sz w:val="18"/>
          <w:vertAlign w:val="baseline"/>
        </w:rPr>
        <w:t>Amy</w:t>
      </w:r>
      <w:r>
        <w:rPr>
          <w:spacing w:val="-2"/>
          <w:sz w:val="18"/>
          <w:vertAlign w:val="baseline"/>
        </w:rPr>
        <w:t> </w:t>
      </w:r>
      <w:r>
        <w:rPr>
          <w:sz w:val="18"/>
          <w:vertAlign w:val="baseline"/>
        </w:rPr>
        <w:t>E.</w:t>
      </w:r>
      <w:r>
        <w:rPr>
          <w:spacing w:val="-2"/>
          <w:sz w:val="18"/>
          <w:vertAlign w:val="baseline"/>
        </w:rPr>
        <w:t> </w:t>
      </w:r>
      <w:r>
        <w:rPr>
          <w:sz w:val="18"/>
          <w:vertAlign w:val="baseline"/>
        </w:rPr>
        <w:t>Green,</w:t>
      </w:r>
      <w:r>
        <w:rPr>
          <w:spacing w:val="-3"/>
          <w:sz w:val="18"/>
          <w:vertAlign w:val="baseline"/>
        </w:rPr>
        <w:t> </w:t>
      </w:r>
      <w:r>
        <w:rPr>
          <w:sz w:val="18"/>
          <w:vertAlign w:val="baseline"/>
        </w:rPr>
        <w:t>and</w:t>
      </w:r>
      <w:r>
        <w:rPr>
          <w:spacing w:val="-2"/>
          <w:sz w:val="18"/>
          <w:vertAlign w:val="baseline"/>
        </w:rPr>
        <w:t> </w:t>
      </w:r>
      <w:r>
        <w:rPr>
          <w:sz w:val="18"/>
          <w:vertAlign w:val="baseline"/>
        </w:rPr>
        <w:t>Samuel</w:t>
      </w:r>
      <w:r>
        <w:rPr>
          <w:spacing w:val="-3"/>
          <w:sz w:val="18"/>
          <w:vertAlign w:val="baseline"/>
        </w:rPr>
        <w:t> </w:t>
      </w:r>
      <w:r>
        <w:rPr>
          <w:sz w:val="18"/>
          <w:vertAlign w:val="baseline"/>
        </w:rPr>
        <w:t>Dorison.</w:t>
      </w:r>
      <w:r>
        <w:rPr>
          <w:spacing w:val="-2"/>
          <w:sz w:val="18"/>
          <w:vertAlign w:val="baseline"/>
        </w:rPr>
        <w:t> </w:t>
      </w:r>
      <w:r>
        <w:rPr>
          <w:sz w:val="18"/>
          <w:vertAlign w:val="baseline"/>
        </w:rPr>
        <w:t>2020.</w:t>
      </w:r>
      <w:r>
        <w:rPr>
          <w:spacing w:val="-2"/>
          <w:sz w:val="18"/>
          <w:vertAlign w:val="baseline"/>
        </w:rPr>
        <w:t> </w:t>
      </w:r>
      <w:r>
        <w:rPr>
          <w:sz w:val="18"/>
          <w:vertAlign w:val="baseline"/>
        </w:rPr>
        <w:t>“Understanding</w:t>
      </w:r>
      <w:r>
        <w:rPr>
          <w:spacing w:val="-2"/>
          <w:sz w:val="18"/>
          <w:vertAlign w:val="baseline"/>
        </w:rPr>
        <w:t> </w:t>
      </w:r>
      <w:r>
        <w:rPr>
          <w:sz w:val="18"/>
          <w:vertAlign w:val="baseline"/>
        </w:rPr>
        <w:t>the</w:t>
      </w:r>
      <w:r>
        <w:rPr>
          <w:spacing w:val="-2"/>
          <w:sz w:val="18"/>
          <w:vertAlign w:val="baseline"/>
        </w:rPr>
        <w:t> </w:t>
      </w:r>
      <w:r>
        <w:rPr>
          <w:sz w:val="18"/>
          <w:vertAlign w:val="baseline"/>
        </w:rPr>
        <w:t>Mental</w:t>
      </w:r>
      <w:r>
        <w:rPr>
          <w:spacing w:val="-3"/>
          <w:sz w:val="18"/>
          <w:vertAlign w:val="baseline"/>
        </w:rPr>
        <w:t> </w:t>
      </w:r>
      <w:r>
        <w:rPr>
          <w:sz w:val="18"/>
          <w:vertAlign w:val="baseline"/>
        </w:rPr>
        <w:t>Health</w:t>
      </w:r>
      <w:r>
        <w:rPr>
          <w:spacing w:val="-2"/>
          <w:sz w:val="18"/>
          <w:vertAlign w:val="baseline"/>
        </w:rPr>
        <w:t> </w:t>
      </w:r>
      <w:r>
        <w:rPr>
          <w:sz w:val="18"/>
          <w:vertAlign w:val="baseline"/>
        </w:rPr>
        <w:t>of</w:t>
      </w:r>
      <w:r>
        <w:rPr>
          <w:spacing w:val="-2"/>
          <w:sz w:val="18"/>
          <w:vertAlign w:val="baseline"/>
        </w:rPr>
        <w:t> </w:t>
      </w:r>
      <w:r>
        <w:rPr>
          <w:sz w:val="18"/>
          <w:vertAlign w:val="baseline"/>
        </w:rPr>
        <w:t>Transgender</w:t>
      </w:r>
      <w:r>
        <w:rPr>
          <w:spacing w:val="-3"/>
          <w:sz w:val="18"/>
          <w:vertAlign w:val="baseline"/>
        </w:rPr>
        <w:t> </w:t>
      </w:r>
      <w:r>
        <w:rPr>
          <w:sz w:val="18"/>
          <w:vertAlign w:val="baseline"/>
        </w:rPr>
        <w:t>and Nonbinary Youth.” </w:t>
      </w:r>
      <w:r>
        <w:rPr>
          <w:i/>
          <w:sz w:val="18"/>
          <w:vertAlign w:val="baseline"/>
        </w:rPr>
        <w:t>Journal of Adolescent Health </w:t>
      </w:r>
      <w:r>
        <w:rPr>
          <w:sz w:val="18"/>
          <w:vertAlign w:val="baseline"/>
        </w:rPr>
        <w:t>66 (6): 684–90. </w:t>
      </w:r>
      <w:hyperlink r:id="rId455">
        <w:r>
          <w:rPr>
            <w:color w:val="0000FF"/>
            <w:sz w:val="18"/>
            <w:u w:val="single" w:color="0000FF"/>
            <w:vertAlign w:val="baseline"/>
          </w:rPr>
          <w:t>https://doi.org/10.1016/j.jadohealth.2019.11.314</w:t>
        </w:r>
        <w:r>
          <w:rPr>
            <w:sz w:val="18"/>
            <w:u w:val="none"/>
            <w:vertAlign w:val="baseline"/>
          </w:rPr>
          <w:t>.</w:t>
        </w:r>
      </w:hyperlink>
      <w:r>
        <w:rPr>
          <w:sz w:val="18"/>
          <w:u w:val="none"/>
          <w:vertAlign w:val="baseline"/>
        </w:rPr>
        <w:t>; Robinson, Brandon Andrew. 2023. “‘They Peed on My Shoes’: Foregrounding Intersectional Minority Stress in Understanding LGBTQ Youth Homelessness.” </w:t>
      </w:r>
      <w:r>
        <w:rPr>
          <w:i/>
          <w:sz w:val="18"/>
          <w:u w:val="none"/>
          <w:vertAlign w:val="baseline"/>
        </w:rPr>
        <w:t>Journal of LGBT Youth </w:t>
      </w:r>
      <w:r>
        <w:rPr>
          <w:sz w:val="18"/>
          <w:u w:val="none"/>
          <w:vertAlign w:val="baseline"/>
        </w:rPr>
        <w:t>20 (4): 783–99. </w:t>
      </w:r>
      <w:r>
        <w:rPr>
          <w:spacing w:val="-2"/>
          <w:sz w:val="18"/>
          <w:u w:val="none"/>
          <w:vertAlign w:val="baseline"/>
        </w:rPr>
        <w:t>https://doi.org/10.1080/19361653.2021.1925196.</w:t>
      </w:r>
    </w:p>
    <w:p>
      <w:pPr>
        <w:spacing w:before="119"/>
        <w:ind w:left="463" w:right="0" w:firstLine="0"/>
        <w:jc w:val="left"/>
        <w:rPr>
          <w:sz w:val="18"/>
        </w:rPr>
      </w:pPr>
      <w:bookmarkStart w:name="_bookmark291" w:id="513"/>
      <w:bookmarkEnd w:id="513"/>
      <w:r>
        <w:rPr/>
      </w:r>
      <w:r>
        <w:rPr>
          <w:sz w:val="18"/>
          <w:vertAlign w:val="superscript"/>
        </w:rPr>
        <w:t>18</w:t>
      </w:r>
      <w:r>
        <w:rPr>
          <w:spacing w:val="-2"/>
          <w:sz w:val="18"/>
          <w:vertAlign w:val="baseline"/>
        </w:rPr>
        <w:t> </w:t>
      </w:r>
      <w:r>
        <w:rPr>
          <w:sz w:val="18"/>
          <w:vertAlign w:val="baseline"/>
        </w:rPr>
        <w:t>Price-Feeney,</w:t>
      </w:r>
      <w:r>
        <w:rPr>
          <w:spacing w:val="-3"/>
          <w:sz w:val="18"/>
          <w:vertAlign w:val="baseline"/>
        </w:rPr>
        <w:t> </w:t>
      </w:r>
      <w:r>
        <w:rPr>
          <w:sz w:val="18"/>
          <w:vertAlign w:val="baseline"/>
        </w:rPr>
        <w:t>Myeshia,</w:t>
      </w:r>
      <w:r>
        <w:rPr>
          <w:spacing w:val="-3"/>
          <w:sz w:val="18"/>
          <w:vertAlign w:val="baseline"/>
        </w:rPr>
        <w:t> </w:t>
      </w:r>
      <w:r>
        <w:rPr>
          <w:sz w:val="18"/>
          <w:vertAlign w:val="baseline"/>
        </w:rPr>
        <w:t>Amy</w:t>
      </w:r>
      <w:r>
        <w:rPr>
          <w:spacing w:val="-2"/>
          <w:sz w:val="18"/>
          <w:vertAlign w:val="baseline"/>
        </w:rPr>
        <w:t> </w:t>
      </w:r>
      <w:r>
        <w:rPr>
          <w:sz w:val="18"/>
          <w:vertAlign w:val="baseline"/>
        </w:rPr>
        <w:t>E.</w:t>
      </w:r>
      <w:r>
        <w:rPr>
          <w:spacing w:val="-2"/>
          <w:sz w:val="18"/>
          <w:vertAlign w:val="baseline"/>
        </w:rPr>
        <w:t> </w:t>
      </w:r>
      <w:r>
        <w:rPr>
          <w:sz w:val="18"/>
          <w:vertAlign w:val="baseline"/>
        </w:rPr>
        <w:t>Green,</w:t>
      </w:r>
      <w:r>
        <w:rPr>
          <w:spacing w:val="-3"/>
          <w:sz w:val="18"/>
          <w:vertAlign w:val="baseline"/>
        </w:rPr>
        <w:t> </w:t>
      </w:r>
      <w:r>
        <w:rPr>
          <w:sz w:val="18"/>
          <w:vertAlign w:val="baseline"/>
        </w:rPr>
        <w:t>and</w:t>
      </w:r>
      <w:r>
        <w:rPr>
          <w:spacing w:val="-2"/>
          <w:sz w:val="18"/>
          <w:vertAlign w:val="baseline"/>
        </w:rPr>
        <w:t> </w:t>
      </w:r>
      <w:r>
        <w:rPr>
          <w:sz w:val="18"/>
          <w:vertAlign w:val="baseline"/>
        </w:rPr>
        <w:t>Samuel</w:t>
      </w:r>
      <w:r>
        <w:rPr>
          <w:spacing w:val="-3"/>
          <w:sz w:val="18"/>
          <w:vertAlign w:val="baseline"/>
        </w:rPr>
        <w:t> </w:t>
      </w:r>
      <w:r>
        <w:rPr>
          <w:sz w:val="18"/>
          <w:vertAlign w:val="baseline"/>
        </w:rPr>
        <w:t>Dorison.</w:t>
      </w:r>
      <w:r>
        <w:rPr>
          <w:spacing w:val="-2"/>
          <w:sz w:val="18"/>
          <w:vertAlign w:val="baseline"/>
        </w:rPr>
        <w:t> </w:t>
      </w:r>
      <w:r>
        <w:rPr>
          <w:sz w:val="18"/>
          <w:vertAlign w:val="baseline"/>
        </w:rPr>
        <w:t>2020.</w:t>
      </w:r>
      <w:r>
        <w:rPr>
          <w:spacing w:val="-2"/>
          <w:sz w:val="18"/>
          <w:vertAlign w:val="baseline"/>
        </w:rPr>
        <w:t> </w:t>
      </w:r>
      <w:r>
        <w:rPr>
          <w:sz w:val="18"/>
          <w:vertAlign w:val="baseline"/>
        </w:rPr>
        <w:t>“Understanding</w:t>
      </w:r>
      <w:r>
        <w:rPr>
          <w:spacing w:val="-2"/>
          <w:sz w:val="18"/>
          <w:vertAlign w:val="baseline"/>
        </w:rPr>
        <w:t> </w:t>
      </w:r>
      <w:r>
        <w:rPr>
          <w:sz w:val="18"/>
          <w:vertAlign w:val="baseline"/>
        </w:rPr>
        <w:t>the</w:t>
      </w:r>
      <w:r>
        <w:rPr>
          <w:spacing w:val="-2"/>
          <w:sz w:val="18"/>
          <w:vertAlign w:val="baseline"/>
        </w:rPr>
        <w:t> </w:t>
      </w:r>
      <w:r>
        <w:rPr>
          <w:sz w:val="18"/>
          <w:vertAlign w:val="baseline"/>
        </w:rPr>
        <w:t>Mental</w:t>
      </w:r>
      <w:r>
        <w:rPr>
          <w:spacing w:val="-3"/>
          <w:sz w:val="18"/>
          <w:vertAlign w:val="baseline"/>
        </w:rPr>
        <w:t> </w:t>
      </w:r>
      <w:r>
        <w:rPr>
          <w:sz w:val="18"/>
          <w:vertAlign w:val="baseline"/>
        </w:rPr>
        <w:t>Health</w:t>
      </w:r>
      <w:r>
        <w:rPr>
          <w:spacing w:val="-2"/>
          <w:sz w:val="18"/>
          <w:vertAlign w:val="baseline"/>
        </w:rPr>
        <w:t> </w:t>
      </w:r>
      <w:r>
        <w:rPr>
          <w:sz w:val="18"/>
          <w:vertAlign w:val="baseline"/>
        </w:rPr>
        <w:t>of</w:t>
      </w:r>
      <w:r>
        <w:rPr>
          <w:spacing w:val="-2"/>
          <w:sz w:val="18"/>
          <w:vertAlign w:val="baseline"/>
        </w:rPr>
        <w:t> </w:t>
      </w:r>
      <w:r>
        <w:rPr>
          <w:sz w:val="18"/>
          <w:vertAlign w:val="baseline"/>
        </w:rPr>
        <w:t>Transgender</w:t>
      </w:r>
      <w:r>
        <w:rPr>
          <w:spacing w:val="-3"/>
          <w:sz w:val="18"/>
          <w:vertAlign w:val="baseline"/>
        </w:rPr>
        <w:t> </w:t>
      </w:r>
      <w:r>
        <w:rPr>
          <w:sz w:val="18"/>
          <w:vertAlign w:val="baseline"/>
        </w:rPr>
        <w:t>and Nonbinary Youth.” </w:t>
      </w:r>
      <w:r>
        <w:rPr>
          <w:i/>
          <w:sz w:val="18"/>
          <w:vertAlign w:val="baseline"/>
        </w:rPr>
        <w:t>Journal of Adolescent Health </w:t>
      </w:r>
      <w:r>
        <w:rPr>
          <w:sz w:val="18"/>
          <w:vertAlign w:val="baseline"/>
        </w:rPr>
        <w:t>66 (6): 684–90. https://doi.org/10.1016/j.jadohealth.2019.11.314.</w:t>
      </w:r>
    </w:p>
    <w:p>
      <w:pPr>
        <w:spacing w:before="120"/>
        <w:ind w:left="463" w:right="434" w:firstLine="0"/>
        <w:jc w:val="left"/>
        <w:rPr>
          <w:sz w:val="18"/>
        </w:rPr>
      </w:pPr>
      <w:bookmarkStart w:name="_bookmark292" w:id="514"/>
      <w:bookmarkEnd w:id="514"/>
      <w:r>
        <w:rPr/>
      </w:r>
      <w:r>
        <w:rPr>
          <w:sz w:val="18"/>
          <w:vertAlign w:val="superscript"/>
        </w:rPr>
        <w:t>19</w:t>
      </w:r>
      <w:r>
        <w:rPr>
          <w:spacing w:val="-2"/>
          <w:sz w:val="18"/>
          <w:vertAlign w:val="baseline"/>
        </w:rPr>
        <w:t> </w:t>
      </w:r>
      <w:r>
        <w:rPr>
          <w:sz w:val="18"/>
          <w:vertAlign w:val="baseline"/>
        </w:rPr>
        <w:t>“2024</w:t>
      </w:r>
      <w:r>
        <w:rPr>
          <w:spacing w:val="-3"/>
          <w:sz w:val="18"/>
          <w:vertAlign w:val="baseline"/>
        </w:rPr>
        <w:t> </w:t>
      </w:r>
      <w:r>
        <w:rPr>
          <w:sz w:val="18"/>
          <w:vertAlign w:val="baseline"/>
        </w:rPr>
        <w:t>U.S.</w:t>
      </w:r>
      <w:r>
        <w:rPr>
          <w:spacing w:val="-2"/>
          <w:sz w:val="18"/>
          <w:vertAlign w:val="baseline"/>
        </w:rPr>
        <w:t> </w:t>
      </w:r>
      <w:r>
        <w:rPr>
          <w:sz w:val="18"/>
          <w:vertAlign w:val="baseline"/>
        </w:rPr>
        <w:t>National</w:t>
      </w:r>
      <w:r>
        <w:rPr>
          <w:spacing w:val="-3"/>
          <w:sz w:val="18"/>
          <w:vertAlign w:val="baseline"/>
        </w:rPr>
        <w:t> </w:t>
      </w:r>
      <w:r>
        <w:rPr>
          <w:sz w:val="18"/>
          <w:vertAlign w:val="baseline"/>
        </w:rPr>
        <w:t>Survey</w:t>
      </w:r>
      <w:r>
        <w:rPr>
          <w:spacing w:val="-2"/>
          <w:sz w:val="18"/>
          <w:vertAlign w:val="baseline"/>
        </w:rPr>
        <w:t> </w:t>
      </w:r>
      <w:r>
        <w:rPr>
          <w:sz w:val="18"/>
          <w:vertAlign w:val="baseline"/>
        </w:rPr>
        <w:t>on</w:t>
      </w:r>
      <w:r>
        <w:rPr>
          <w:spacing w:val="-2"/>
          <w:sz w:val="18"/>
          <w:vertAlign w:val="baseline"/>
        </w:rPr>
        <w:t> </w:t>
      </w:r>
      <w:r>
        <w:rPr>
          <w:sz w:val="18"/>
          <w:vertAlign w:val="baseline"/>
        </w:rPr>
        <w:t>the</w:t>
      </w:r>
      <w:r>
        <w:rPr>
          <w:spacing w:val="-3"/>
          <w:sz w:val="18"/>
          <w:vertAlign w:val="baseline"/>
        </w:rPr>
        <w:t> </w:t>
      </w:r>
      <w:r>
        <w:rPr>
          <w:sz w:val="18"/>
          <w:vertAlign w:val="baseline"/>
        </w:rPr>
        <w:t>Mental</w:t>
      </w:r>
      <w:r>
        <w:rPr>
          <w:spacing w:val="-3"/>
          <w:sz w:val="18"/>
          <w:vertAlign w:val="baseline"/>
        </w:rPr>
        <w:t> </w:t>
      </w:r>
      <w:r>
        <w:rPr>
          <w:sz w:val="18"/>
          <w:vertAlign w:val="baseline"/>
        </w:rPr>
        <w:t>Health</w:t>
      </w:r>
      <w:r>
        <w:rPr>
          <w:spacing w:val="-2"/>
          <w:sz w:val="18"/>
          <w:vertAlign w:val="baseline"/>
        </w:rPr>
        <w:t> </w:t>
      </w:r>
      <w:r>
        <w:rPr>
          <w:sz w:val="18"/>
          <w:vertAlign w:val="baseline"/>
        </w:rPr>
        <w:t>of</w:t>
      </w:r>
      <w:r>
        <w:rPr>
          <w:spacing w:val="-2"/>
          <w:sz w:val="18"/>
          <w:vertAlign w:val="baseline"/>
        </w:rPr>
        <w:t> </w:t>
      </w:r>
      <w:r>
        <w:rPr>
          <w:sz w:val="18"/>
          <w:vertAlign w:val="baseline"/>
        </w:rPr>
        <w:t>LGBTQ</w:t>
      </w:r>
      <w:r>
        <w:rPr>
          <w:spacing w:val="-3"/>
          <w:sz w:val="18"/>
          <w:vertAlign w:val="baseline"/>
        </w:rPr>
        <w:t> </w:t>
      </w:r>
      <w:r>
        <w:rPr>
          <w:sz w:val="18"/>
          <w:vertAlign w:val="baseline"/>
        </w:rPr>
        <w:t>Young</w:t>
      </w:r>
      <w:r>
        <w:rPr>
          <w:spacing w:val="-2"/>
          <w:sz w:val="18"/>
          <w:vertAlign w:val="baseline"/>
        </w:rPr>
        <w:t> </w:t>
      </w:r>
      <w:r>
        <w:rPr>
          <w:sz w:val="18"/>
          <w:vertAlign w:val="baseline"/>
        </w:rPr>
        <w:t>People.”</w:t>
      </w:r>
      <w:r>
        <w:rPr>
          <w:spacing w:val="-2"/>
          <w:sz w:val="18"/>
          <w:vertAlign w:val="baseline"/>
        </w:rPr>
        <w:t> </w:t>
      </w:r>
      <w:r>
        <w:rPr>
          <w:sz w:val="18"/>
          <w:vertAlign w:val="baseline"/>
        </w:rPr>
        <w:t>2024.</w:t>
      </w:r>
      <w:r>
        <w:rPr>
          <w:spacing w:val="-3"/>
          <w:sz w:val="18"/>
          <w:vertAlign w:val="baseline"/>
        </w:rPr>
        <w:t> </w:t>
      </w:r>
      <w:r>
        <w:rPr>
          <w:sz w:val="18"/>
          <w:vertAlign w:val="baseline"/>
        </w:rPr>
        <w:t>The</w:t>
      </w:r>
      <w:r>
        <w:rPr>
          <w:spacing w:val="-2"/>
          <w:sz w:val="18"/>
          <w:vertAlign w:val="baseline"/>
        </w:rPr>
        <w:t> </w:t>
      </w:r>
      <w:r>
        <w:rPr>
          <w:sz w:val="18"/>
          <w:vertAlign w:val="baseline"/>
        </w:rPr>
        <w:t>Trevor</w:t>
      </w:r>
      <w:r>
        <w:rPr>
          <w:spacing w:val="-3"/>
          <w:sz w:val="18"/>
          <w:vertAlign w:val="baseline"/>
        </w:rPr>
        <w:t> </w:t>
      </w:r>
      <w:r>
        <w:rPr>
          <w:sz w:val="18"/>
          <w:vertAlign w:val="baseline"/>
        </w:rPr>
        <w:t>Project. </w:t>
      </w:r>
      <w:r>
        <w:rPr>
          <w:spacing w:val="-2"/>
          <w:sz w:val="18"/>
          <w:vertAlign w:val="baseline"/>
        </w:rPr>
        <w:t>https://</w:t>
      </w:r>
      <w:hyperlink r:id="rId456">
        <w:r>
          <w:rPr>
            <w:spacing w:val="-2"/>
            <w:sz w:val="18"/>
            <w:vertAlign w:val="baseline"/>
          </w:rPr>
          <w:t>www.thetrevorproject.org/.</w:t>
        </w:r>
      </w:hyperlink>
    </w:p>
    <w:p>
      <w:pPr>
        <w:spacing w:before="121"/>
        <w:ind w:left="464" w:right="434" w:hanging="1"/>
        <w:jc w:val="left"/>
        <w:rPr>
          <w:sz w:val="18"/>
        </w:rPr>
      </w:pPr>
      <w:bookmarkStart w:name="_bookmark293" w:id="515"/>
      <w:bookmarkEnd w:id="515"/>
      <w:r>
        <w:rPr/>
      </w:r>
      <w:r>
        <w:rPr>
          <w:sz w:val="18"/>
          <w:vertAlign w:val="superscript"/>
        </w:rPr>
        <w:t>20</w:t>
      </w:r>
      <w:r>
        <w:rPr>
          <w:spacing w:val="-2"/>
          <w:sz w:val="18"/>
          <w:vertAlign w:val="baseline"/>
        </w:rPr>
        <w:t> </w:t>
      </w:r>
      <w:r>
        <w:rPr>
          <w:sz w:val="18"/>
          <w:vertAlign w:val="baseline"/>
        </w:rPr>
        <w:t>Côté,</w:t>
      </w:r>
      <w:r>
        <w:rPr>
          <w:spacing w:val="-3"/>
          <w:sz w:val="18"/>
          <w:vertAlign w:val="baseline"/>
        </w:rPr>
        <w:t> </w:t>
      </w:r>
      <w:r>
        <w:rPr>
          <w:sz w:val="18"/>
          <w:vertAlign w:val="baseline"/>
        </w:rPr>
        <w:t>Philippe-Benoit,</w:t>
      </w:r>
      <w:r>
        <w:rPr>
          <w:spacing w:val="-3"/>
          <w:sz w:val="18"/>
          <w:vertAlign w:val="baseline"/>
        </w:rPr>
        <w:t> </w:t>
      </w:r>
      <w:r>
        <w:rPr>
          <w:sz w:val="18"/>
          <w:vertAlign w:val="baseline"/>
        </w:rPr>
        <w:t>Lolita</w:t>
      </w:r>
      <w:r>
        <w:rPr>
          <w:spacing w:val="-2"/>
          <w:sz w:val="18"/>
          <w:vertAlign w:val="baseline"/>
        </w:rPr>
        <w:t> </w:t>
      </w:r>
      <w:r>
        <w:rPr>
          <w:sz w:val="18"/>
          <w:vertAlign w:val="baseline"/>
        </w:rPr>
        <w:t>Frésard,</w:t>
      </w:r>
      <w:r>
        <w:rPr>
          <w:spacing w:val="-3"/>
          <w:sz w:val="18"/>
          <w:vertAlign w:val="baseline"/>
        </w:rPr>
        <w:t> </w:t>
      </w:r>
      <w:r>
        <w:rPr>
          <w:sz w:val="18"/>
          <w:vertAlign w:val="baseline"/>
        </w:rPr>
        <w:t>and</w:t>
      </w:r>
      <w:r>
        <w:rPr>
          <w:spacing w:val="-2"/>
          <w:sz w:val="18"/>
          <w:vertAlign w:val="baseline"/>
        </w:rPr>
        <w:t> </w:t>
      </w:r>
      <w:r>
        <w:rPr>
          <w:sz w:val="18"/>
          <w:vertAlign w:val="baseline"/>
        </w:rPr>
        <w:t>Martin</w:t>
      </w:r>
      <w:r>
        <w:rPr>
          <w:spacing w:val="-2"/>
          <w:sz w:val="18"/>
          <w:vertAlign w:val="baseline"/>
        </w:rPr>
        <w:t> </w:t>
      </w:r>
      <w:r>
        <w:rPr>
          <w:sz w:val="18"/>
          <w:vertAlign w:val="baseline"/>
        </w:rPr>
        <w:t>Blais.</w:t>
      </w:r>
      <w:r>
        <w:rPr>
          <w:spacing w:val="-2"/>
          <w:sz w:val="18"/>
          <w:vertAlign w:val="baseline"/>
        </w:rPr>
        <w:t> </w:t>
      </w:r>
      <w:r>
        <w:rPr>
          <w:sz w:val="18"/>
          <w:vertAlign w:val="baseline"/>
        </w:rPr>
        <w:t>2023.</w:t>
      </w:r>
      <w:r>
        <w:rPr>
          <w:spacing w:val="-2"/>
          <w:sz w:val="18"/>
          <w:vertAlign w:val="baseline"/>
        </w:rPr>
        <w:t> </w:t>
      </w:r>
      <w:r>
        <w:rPr>
          <w:sz w:val="18"/>
          <w:vertAlign w:val="baseline"/>
        </w:rPr>
        <w:t>“‘I</w:t>
      </w:r>
      <w:r>
        <w:rPr>
          <w:spacing w:val="-2"/>
          <w:sz w:val="18"/>
          <w:vertAlign w:val="baseline"/>
        </w:rPr>
        <w:t> </w:t>
      </w:r>
      <w:r>
        <w:rPr>
          <w:sz w:val="18"/>
          <w:vertAlign w:val="baseline"/>
        </w:rPr>
        <w:t>Didn’t</w:t>
      </w:r>
      <w:r>
        <w:rPr>
          <w:spacing w:val="-3"/>
          <w:sz w:val="18"/>
          <w:vertAlign w:val="baseline"/>
        </w:rPr>
        <w:t> </w:t>
      </w:r>
      <w:r>
        <w:rPr>
          <w:sz w:val="18"/>
          <w:vertAlign w:val="baseline"/>
        </w:rPr>
        <w:t>Want</w:t>
      </w:r>
      <w:r>
        <w:rPr>
          <w:spacing w:val="-3"/>
          <w:sz w:val="18"/>
          <w:vertAlign w:val="baseline"/>
        </w:rPr>
        <w:t> </w:t>
      </w:r>
      <w:r>
        <w:rPr>
          <w:sz w:val="18"/>
          <w:vertAlign w:val="baseline"/>
        </w:rPr>
        <w:t>to</w:t>
      </w:r>
      <w:r>
        <w:rPr>
          <w:spacing w:val="-2"/>
          <w:sz w:val="18"/>
          <w:vertAlign w:val="baseline"/>
        </w:rPr>
        <w:t> </w:t>
      </w:r>
      <w:r>
        <w:rPr>
          <w:sz w:val="18"/>
          <w:vertAlign w:val="baseline"/>
        </w:rPr>
        <w:t>Be</w:t>
      </w:r>
      <w:r>
        <w:rPr>
          <w:spacing w:val="-2"/>
          <w:sz w:val="18"/>
          <w:vertAlign w:val="baseline"/>
        </w:rPr>
        <w:t> </w:t>
      </w:r>
      <w:r>
        <w:rPr>
          <w:sz w:val="18"/>
          <w:vertAlign w:val="baseline"/>
        </w:rPr>
        <w:t>Noticed’:</w:t>
      </w:r>
      <w:r>
        <w:rPr>
          <w:spacing w:val="-2"/>
          <w:sz w:val="18"/>
          <w:vertAlign w:val="baseline"/>
        </w:rPr>
        <w:t> </w:t>
      </w:r>
      <w:r>
        <w:rPr>
          <w:sz w:val="18"/>
          <w:vertAlign w:val="baseline"/>
        </w:rPr>
        <w:t>Discrimination</w:t>
      </w:r>
      <w:r>
        <w:rPr>
          <w:spacing w:val="-2"/>
          <w:sz w:val="18"/>
          <w:vertAlign w:val="baseline"/>
        </w:rPr>
        <w:t> </w:t>
      </w:r>
      <w:r>
        <w:rPr>
          <w:sz w:val="18"/>
          <w:vertAlign w:val="baseline"/>
        </w:rPr>
        <w:t>and</w:t>
      </w:r>
      <w:r>
        <w:rPr>
          <w:spacing w:val="-2"/>
          <w:sz w:val="18"/>
          <w:vertAlign w:val="baseline"/>
        </w:rPr>
        <w:t> </w:t>
      </w:r>
      <w:r>
        <w:rPr>
          <w:sz w:val="18"/>
          <w:vertAlign w:val="baseline"/>
        </w:rPr>
        <w:t>Violence among LGBTQ + Youth Experiencing Homelessness,” March. https://doi.org/10.1080/19361653.2023.2185337.</w:t>
      </w:r>
    </w:p>
    <w:p>
      <w:pPr>
        <w:spacing w:before="119"/>
        <w:ind w:left="463" w:right="0" w:firstLine="0"/>
        <w:jc w:val="left"/>
        <w:rPr>
          <w:sz w:val="18"/>
        </w:rPr>
      </w:pPr>
      <w:bookmarkStart w:name="_bookmark294" w:id="516"/>
      <w:bookmarkEnd w:id="516"/>
      <w:r>
        <w:rPr/>
      </w:r>
      <w:r>
        <w:rPr>
          <w:sz w:val="18"/>
          <w:vertAlign w:val="superscript"/>
        </w:rPr>
        <w:t>21</w:t>
      </w:r>
      <w:r>
        <w:rPr>
          <w:spacing w:val="-3"/>
          <w:sz w:val="18"/>
          <w:vertAlign w:val="baseline"/>
        </w:rPr>
        <w:t> </w:t>
      </w:r>
      <w:r>
        <w:rPr>
          <w:sz w:val="18"/>
          <w:vertAlign w:val="baseline"/>
        </w:rPr>
        <w:t>Hail-Jares,</w:t>
      </w:r>
      <w:r>
        <w:rPr>
          <w:spacing w:val="-3"/>
          <w:sz w:val="18"/>
          <w:vertAlign w:val="baseline"/>
        </w:rPr>
        <w:t> </w:t>
      </w:r>
      <w:r>
        <w:rPr>
          <w:sz w:val="18"/>
          <w:vertAlign w:val="baseline"/>
        </w:rPr>
        <w:t>Katie,</w:t>
      </w:r>
      <w:r>
        <w:rPr>
          <w:spacing w:val="-4"/>
          <w:sz w:val="18"/>
          <w:vertAlign w:val="baseline"/>
        </w:rPr>
        <w:t> </w:t>
      </w:r>
      <w:r>
        <w:rPr>
          <w:sz w:val="18"/>
          <w:vertAlign w:val="baseline"/>
        </w:rPr>
        <w:t>Rhianon</w:t>
      </w:r>
      <w:r>
        <w:rPr>
          <w:spacing w:val="-3"/>
          <w:sz w:val="18"/>
          <w:vertAlign w:val="baseline"/>
        </w:rPr>
        <w:t> </w:t>
      </w:r>
      <w:r>
        <w:rPr>
          <w:sz w:val="18"/>
          <w:vertAlign w:val="baseline"/>
        </w:rPr>
        <w:t>Vichta-Ohlsen,</w:t>
      </w:r>
      <w:r>
        <w:rPr>
          <w:spacing w:val="-3"/>
          <w:sz w:val="18"/>
          <w:vertAlign w:val="baseline"/>
        </w:rPr>
        <w:t> </w:t>
      </w:r>
      <w:r>
        <w:rPr>
          <w:sz w:val="18"/>
          <w:vertAlign w:val="baseline"/>
        </w:rPr>
        <w:t>Theo</w:t>
      </w:r>
      <w:r>
        <w:rPr>
          <w:spacing w:val="-3"/>
          <w:sz w:val="18"/>
          <w:vertAlign w:val="baseline"/>
        </w:rPr>
        <w:t> </w:t>
      </w:r>
      <w:r>
        <w:rPr>
          <w:sz w:val="18"/>
          <w:vertAlign w:val="baseline"/>
        </w:rPr>
        <w:t>M.</w:t>
      </w:r>
      <w:r>
        <w:rPr>
          <w:spacing w:val="-3"/>
          <w:sz w:val="18"/>
          <w:vertAlign w:val="baseline"/>
        </w:rPr>
        <w:t> </w:t>
      </w:r>
      <w:r>
        <w:rPr>
          <w:sz w:val="18"/>
          <w:vertAlign w:val="baseline"/>
        </w:rPr>
        <w:t>Butler,</w:t>
      </w:r>
      <w:r>
        <w:rPr>
          <w:spacing w:val="-3"/>
          <w:sz w:val="18"/>
          <w:vertAlign w:val="baseline"/>
        </w:rPr>
        <w:t> </w:t>
      </w:r>
      <w:r>
        <w:rPr>
          <w:sz w:val="18"/>
          <w:vertAlign w:val="baseline"/>
        </w:rPr>
        <w:t>and</w:t>
      </w:r>
      <w:r>
        <w:rPr>
          <w:spacing w:val="-3"/>
          <w:sz w:val="18"/>
          <w:vertAlign w:val="baseline"/>
        </w:rPr>
        <w:t> </w:t>
      </w:r>
      <w:r>
        <w:rPr>
          <w:sz w:val="18"/>
          <w:vertAlign w:val="baseline"/>
        </w:rPr>
        <w:t>Jacqueline</w:t>
      </w:r>
      <w:r>
        <w:rPr>
          <w:spacing w:val="-3"/>
          <w:sz w:val="18"/>
          <w:vertAlign w:val="baseline"/>
        </w:rPr>
        <w:t> </w:t>
      </w:r>
      <w:r>
        <w:rPr>
          <w:sz w:val="18"/>
          <w:vertAlign w:val="baseline"/>
        </w:rPr>
        <w:t>Byrne.</w:t>
      </w:r>
      <w:r>
        <w:rPr>
          <w:spacing w:val="-3"/>
          <w:sz w:val="18"/>
          <w:vertAlign w:val="baseline"/>
        </w:rPr>
        <w:t> </w:t>
      </w:r>
      <w:r>
        <w:rPr>
          <w:sz w:val="18"/>
          <w:vertAlign w:val="baseline"/>
        </w:rPr>
        <w:t>2023.</w:t>
      </w:r>
      <w:r>
        <w:rPr>
          <w:spacing w:val="-3"/>
          <w:sz w:val="18"/>
          <w:vertAlign w:val="baseline"/>
        </w:rPr>
        <w:t> </w:t>
      </w:r>
      <w:r>
        <w:rPr>
          <w:sz w:val="18"/>
          <w:vertAlign w:val="baseline"/>
        </w:rPr>
        <w:t>“Queer</w:t>
      </w:r>
      <w:r>
        <w:rPr>
          <w:spacing w:val="-3"/>
          <w:sz w:val="18"/>
          <w:vertAlign w:val="baseline"/>
        </w:rPr>
        <w:t> </w:t>
      </w:r>
      <w:r>
        <w:rPr>
          <w:sz w:val="18"/>
          <w:vertAlign w:val="baseline"/>
        </w:rPr>
        <w:t>Homelessness:</w:t>
      </w:r>
      <w:r>
        <w:rPr>
          <w:spacing w:val="-3"/>
          <w:sz w:val="18"/>
          <w:vertAlign w:val="baseline"/>
        </w:rPr>
        <w:t> </w:t>
      </w:r>
      <w:r>
        <w:rPr>
          <w:sz w:val="18"/>
          <w:vertAlign w:val="baseline"/>
        </w:rPr>
        <w:t>The</w:t>
      </w:r>
      <w:r>
        <w:rPr>
          <w:spacing w:val="-3"/>
          <w:sz w:val="18"/>
          <w:vertAlign w:val="baseline"/>
        </w:rPr>
        <w:t> </w:t>
      </w:r>
      <w:r>
        <w:rPr>
          <w:sz w:val="18"/>
          <w:vertAlign w:val="baseline"/>
        </w:rPr>
        <w:t>Distinct Experiences of Sexuality and Trans-Gender Diverse Youth.” </w:t>
      </w:r>
      <w:r>
        <w:rPr>
          <w:i/>
          <w:sz w:val="18"/>
          <w:vertAlign w:val="baseline"/>
        </w:rPr>
        <w:t>Journal of LGBT Youth </w:t>
      </w:r>
      <w:r>
        <w:rPr>
          <w:sz w:val="18"/>
          <w:vertAlign w:val="baseline"/>
        </w:rPr>
        <w:t>20 (4): 757–82. </w:t>
      </w:r>
      <w:r>
        <w:rPr>
          <w:spacing w:val="-2"/>
          <w:sz w:val="18"/>
          <w:vertAlign w:val="baseline"/>
        </w:rPr>
        <w:t>https://doi.org/10.1080/19361653.2021.1990817.</w:t>
      </w:r>
    </w:p>
    <w:p>
      <w:pPr>
        <w:spacing w:before="120"/>
        <w:ind w:left="464" w:right="565" w:firstLine="0"/>
        <w:jc w:val="left"/>
        <w:rPr>
          <w:sz w:val="18"/>
        </w:rPr>
      </w:pPr>
      <w:bookmarkStart w:name="_bookmark295" w:id="517"/>
      <w:bookmarkEnd w:id="517"/>
      <w:r>
        <w:rPr/>
      </w:r>
      <w:r>
        <w:rPr>
          <w:sz w:val="18"/>
          <w:vertAlign w:val="superscript"/>
        </w:rPr>
        <w:t>22</w:t>
      </w:r>
      <w:r>
        <w:rPr>
          <w:spacing w:val="-3"/>
          <w:sz w:val="18"/>
          <w:vertAlign w:val="baseline"/>
        </w:rPr>
        <w:t> </w:t>
      </w:r>
      <w:r>
        <w:rPr>
          <w:sz w:val="18"/>
          <w:vertAlign w:val="baseline"/>
        </w:rPr>
        <w:t>Shelton,</w:t>
      </w:r>
      <w:r>
        <w:rPr>
          <w:spacing w:val="-4"/>
          <w:sz w:val="18"/>
          <w:vertAlign w:val="baseline"/>
        </w:rPr>
        <w:t> </w:t>
      </w:r>
      <w:r>
        <w:rPr>
          <w:sz w:val="18"/>
          <w:vertAlign w:val="baseline"/>
        </w:rPr>
        <w:t>Jama,</w:t>
      </w:r>
      <w:r>
        <w:rPr>
          <w:spacing w:val="-4"/>
          <w:sz w:val="18"/>
          <w:vertAlign w:val="baseline"/>
        </w:rPr>
        <w:t> </w:t>
      </w:r>
      <w:r>
        <w:rPr>
          <w:sz w:val="18"/>
          <w:vertAlign w:val="baseline"/>
        </w:rPr>
        <w:t>Christa</w:t>
      </w:r>
      <w:r>
        <w:rPr>
          <w:spacing w:val="-3"/>
          <w:sz w:val="18"/>
          <w:vertAlign w:val="baseline"/>
        </w:rPr>
        <w:t> </w:t>
      </w:r>
      <w:r>
        <w:rPr>
          <w:sz w:val="18"/>
          <w:vertAlign w:val="baseline"/>
        </w:rPr>
        <w:t>Price,</w:t>
      </w:r>
      <w:r>
        <w:rPr>
          <w:spacing w:val="-4"/>
          <w:sz w:val="18"/>
          <w:vertAlign w:val="baseline"/>
        </w:rPr>
        <w:t> </w:t>
      </w:r>
      <w:r>
        <w:rPr>
          <w:sz w:val="18"/>
          <w:vertAlign w:val="baseline"/>
        </w:rPr>
        <w:t>and</w:t>
      </w:r>
      <w:r>
        <w:rPr>
          <w:spacing w:val="-3"/>
          <w:sz w:val="18"/>
          <w:vertAlign w:val="baseline"/>
        </w:rPr>
        <w:t> </w:t>
      </w:r>
      <w:r>
        <w:rPr>
          <w:sz w:val="18"/>
          <w:vertAlign w:val="baseline"/>
        </w:rPr>
        <w:t>Phoebe</w:t>
      </w:r>
      <w:r>
        <w:rPr>
          <w:spacing w:val="-3"/>
          <w:sz w:val="18"/>
          <w:vertAlign w:val="baseline"/>
        </w:rPr>
        <w:t> </w:t>
      </w:r>
      <w:r>
        <w:rPr>
          <w:sz w:val="18"/>
          <w:vertAlign w:val="baseline"/>
        </w:rPr>
        <w:t>VanCleefe.</w:t>
      </w:r>
      <w:r>
        <w:rPr>
          <w:spacing w:val="-4"/>
          <w:sz w:val="18"/>
          <w:vertAlign w:val="baseline"/>
        </w:rPr>
        <w:t> </w:t>
      </w:r>
      <w:r>
        <w:rPr>
          <w:sz w:val="18"/>
          <w:vertAlign w:val="baseline"/>
        </w:rPr>
        <w:t>2017.</w:t>
      </w:r>
      <w:r>
        <w:rPr>
          <w:spacing w:val="-3"/>
          <w:sz w:val="18"/>
          <w:vertAlign w:val="baseline"/>
        </w:rPr>
        <w:t> </w:t>
      </w:r>
      <w:r>
        <w:rPr>
          <w:sz w:val="18"/>
          <w:vertAlign w:val="baseline"/>
        </w:rPr>
        <w:t>“Authentic</w:t>
      </w:r>
      <w:r>
        <w:rPr>
          <w:spacing w:val="-4"/>
          <w:sz w:val="18"/>
          <w:vertAlign w:val="baseline"/>
        </w:rPr>
        <w:t> </w:t>
      </w:r>
      <w:r>
        <w:rPr>
          <w:sz w:val="18"/>
          <w:vertAlign w:val="baseline"/>
        </w:rPr>
        <w:t>Youth</w:t>
      </w:r>
      <w:r>
        <w:rPr>
          <w:spacing w:val="-3"/>
          <w:sz w:val="18"/>
          <w:vertAlign w:val="baseline"/>
        </w:rPr>
        <w:t> </w:t>
      </w:r>
      <w:r>
        <w:rPr>
          <w:sz w:val="18"/>
          <w:vertAlign w:val="baseline"/>
        </w:rPr>
        <w:t>and</w:t>
      </w:r>
      <w:r>
        <w:rPr>
          <w:spacing w:val="-3"/>
          <w:sz w:val="18"/>
          <w:vertAlign w:val="baseline"/>
        </w:rPr>
        <w:t> </w:t>
      </w:r>
      <w:r>
        <w:rPr>
          <w:sz w:val="18"/>
          <w:vertAlign w:val="baseline"/>
        </w:rPr>
        <w:t>Young</w:t>
      </w:r>
      <w:r>
        <w:rPr>
          <w:spacing w:val="-3"/>
          <w:sz w:val="18"/>
          <w:vertAlign w:val="baseline"/>
        </w:rPr>
        <w:t> </w:t>
      </w:r>
      <w:r>
        <w:rPr>
          <w:sz w:val="18"/>
          <w:vertAlign w:val="baseline"/>
        </w:rPr>
        <w:t>Adult</w:t>
      </w:r>
      <w:r>
        <w:rPr>
          <w:spacing w:val="-4"/>
          <w:sz w:val="18"/>
          <w:vertAlign w:val="baseline"/>
        </w:rPr>
        <w:t> </w:t>
      </w:r>
      <w:r>
        <w:rPr>
          <w:sz w:val="18"/>
          <w:vertAlign w:val="baseline"/>
        </w:rPr>
        <w:t>Partnerships:</w:t>
      </w:r>
      <w:r>
        <w:rPr>
          <w:spacing w:val="-3"/>
          <w:sz w:val="18"/>
          <w:vertAlign w:val="baseline"/>
        </w:rPr>
        <w:t> </w:t>
      </w:r>
      <w:r>
        <w:rPr>
          <w:sz w:val="18"/>
          <w:vertAlign w:val="baseline"/>
        </w:rPr>
        <w:t>Broadening the Narrative of LGBTQ Youth Homelessness.” </w:t>
      </w:r>
      <w:r>
        <w:rPr>
          <w:i/>
          <w:sz w:val="18"/>
          <w:vertAlign w:val="baseline"/>
        </w:rPr>
        <w:t>Journal of Family Strengths </w:t>
      </w:r>
      <w:r>
        <w:rPr>
          <w:sz w:val="18"/>
          <w:vertAlign w:val="baseline"/>
        </w:rPr>
        <w:t>17 (2). https://doi.org/10.58464/2168- </w:t>
      </w:r>
      <w:r>
        <w:rPr>
          <w:spacing w:val="-2"/>
          <w:sz w:val="18"/>
          <w:vertAlign w:val="baseline"/>
        </w:rPr>
        <w:t>670X.1354.</w:t>
      </w:r>
    </w:p>
    <w:p>
      <w:pPr>
        <w:spacing w:before="120"/>
        <w:ind w:left="464" w:right="413" w:firstLine="0"/>
        <w:jc w:val="left"/>
        <w:rPr>
          <w:sz w:val="18"/>
        </w:rPr>
      </w:pPr>
      <w:bookmarkStart w:name="_bookmark296" w:id="518"/>
      <w:bookmarkEnd w:id="518"/>
      <w:r>
        <w:rPr/>
      </w:r>
      <w:r>
        <w:rPr>
          <w:sz w:val="18"/>
          <w:vertAlign w:val="superscript"/>
        </w:rPr>
        <w:t>23</w:t>
      </w:r>
      <w:r>
        <w:rPr>
          <w:spacing w:val="-3"/>
          <w:sz w:val="18"/>
          <w:vertAlign w:val="baseline"/>
        </w:rPr>
        <w:t> </w:t>
      </w:r>
      <w:r>
        <w:rPr>
          <w:sz w:val="18"/>
          <w:vertAlign w:val="baseline"/>
        </w:rPr>
        <w:t>Semborski,</w:t>
      </w:r>
      <w:r>
        <w:rPr>
          <w:spacing w:val="-3"/>
          <w:sz w:val="18"/>
          <w:vertAlign w:val="baseline"/>
        </w:rPr>
        <w:t> </w:t>
      </w:r>
      <w:r>
        <w:rPr>
          <w:sz w:val="18"/>
          <w:vertAlign w:val="baseline"/>
        </w:rPr>
        <w:t>Sara,</w:t>
      </w:r>
      <w:r>
        <w:rPr>
          <w:spacing w:val="-3"/>
          <w:sz w:val="18"/>
          <w:vertAlign w:val="baseline"/>
        </w:rPr>
        <w:t> </w:t>
      </w:r>
      <w:r>
        <w:rPr>
          <w:sz w:val="18"/>
          <w:vertAlign w:val="baseline"/>
        </w:rPr>
        <w:t>Ankur</w:t>
      </w:r>
      <w:r>
        <w:rPr>
          <w:spacing w:val="-3"/>
          <w:sz w:val="18"/>
          <w:vertAlign w:val="baseline"/>
        </w:rPr>
        <w:t> </w:t>
      </w:r>
      <w:r>
        <w:rPr>
          <w:sz w:val="18"/>
          <w:vertAlign w:val="baseline"/>
        </w:rPr>
        <w:t>Srivastava,</w:t>
      </w:r>
      <w:r>
        <w:rPr>
          <w:spacing w:val="-3"/>
          <w:sz w:val="18"/>
          <w:vertAlign w:val="baseline"/>
        </w:rPr>
        <w:t> </w:t>
      </w:r>
      <w:r>
        <w:rPr>
          <w:sz w:val="18"/>
          <w:vertAlign w:val="baseline"/>
        </w:rPr>
        <w:t>Harmony</w:t>
      </w:r>
      <w:r>
        <w:rPr>
          <w:spacing w:val="-3"/>
          <w:sz w:val="18"/>
          <w:vertAlign w:val="baseline"/>
        </w:rPr>
        <w:t> </w:t>
      </w:r>
      <w:r>
        <w:rPr>
          <w:sz w:val="18"/>
          <w:vertAlign w:val="baseline"/>
        </w:rPr>
        <w:t>Rhoades,</w:t>
      </w:r>
      <w:r>
        <w:rPr>
          <w:spacing w:val="-3"/>
          <w:sz w:val="18"/>
          <w:vertAlign w:val="baseline"/>
        </w:rPr>
        <w:t> </w:t>
      </w:r>
      <w:r>
        <w:rPr>
          <w:sz w:val="18"/>
          <w:vertAlign w:val="baseline"/>
        </w:rPr>
        <w:t>Anthony</w:t>
      </w:r>
      <w:r>
        <w:rPr>
          <w:spacing w:val="-3"/>
          <w:sz w:val="18"/>
          <w:vertAlign w:val="baseline"/>
        </w:rPr>
        <w:t> </w:t>
      </w:r>
      <w:r>
        <w:rPr>
          <w:sz w:val="18"/>
          <w:vertAlign w:val="baseline"/>
        </w:rPr>
        <w:t>Fulginiti,</w:t>
      </w:r>
      <w:r>
        <w:rPr>
          <w:spacing w:val="-3"/>
          <w:sz w:val="18"/>
          <w:vertAlign w:val="baseline"/>
        </w:rPr>
        <w:t> </w:t>
      </w:r>
      <w:r>
        <w:rPr>
          <w:sz w:val="18"/>
          <w:vertAlign w:val="baseline"/>
        </w:rPr>
        <w:t>and</w:t>
      </w:r>
      <w:r>
        <w:rPr>
          <w:spacing w:val="-3"/>
          <w:sz w:val="18"/>
          <w:vertAlign w:val="baseline"/>
        </w:rPr>
        <w:t> </w:t>
      </w:r>
      <w:r>
        <w:rPr>
          <w:sz w:val="18"/>
          <w:vertAlign w:val="baseline"/>
        </w:rPr>
        <w:t>Jeremy</w:t>
      </w:r>
      <w:r>
        <w:rPr>
          <w:spacing w:val="-3"/>
          <w:sz w:val="18"/>
          <w:vertAlign w:val="baseline"/>
        </w:rPr>
        <w:t> </w:t>
      </w:r>
      <w:r>
        <w:rPr>
          <w:sz w:val="18"/>
          <w:vertAlign w:val="baseline"/>
        </w:rPr>
        <w:t>Goldbach.</w:t>
      </w:r>
      <w:r>
        <w:rPr>
          <w:spacing w:val="-3"/>
          <w:sz w:val="18"/>
          <w:vertAlign w:val="baseline"/>
        </w:rPr>
        <w:t> </w:t>
      </w:r>
      <w:r>
        <w:rPr>
          <w:sz w:val="18"/>
          <w:vertAlign w:val="baseline"/>
        </w:rPr>
        <w:t>2021.</w:t>
      </w:r>
      <w:r>
        <w:rPr>
          <w:spacing w:val="-3"/>
          <w:sz w:val="18"/>
          <w:vertAlign w:val="baseline"/>
        </w:rPr>
        <w:t> </w:t>
      </w:r>
      <w:r>
        <w:rPr>
          <w:sz w:val="18"/>
          <w:vertAlign w:val="baseline"/>
        </w:rPr>
        <w:t>“Burden,</w:t>
      </w:r>
      <w:r>
        <w:rPr>
          <w:spacing w:val="-4"/>
          <w:sz w:val="18"/>
          <w:vertAlign w:val="baseline"/>
        </w:rPr>
        <w:t> </w:t>
      </w:r>
      <w:r>
        <w:rPr>
          <w:sz w:val="18"/>
          <w:vertAlign w:val="baseline"/>
        </w:rPr>
        <w:t>Belonging, and Homelessness: Disclosure and Social Network Differences among LGBTQ Youth Recruited from a Suicide Crisis Service Provider.” </w:t>
      </w:r>
      <w:r>
        <w:rPr>
          <w:i/>
          <w:sz w:val="18"/>
          <w:vertAlign w:val="baseline"/>
        </w:rPr>
        <w:t>Journal of Homosexuality </w:t>
      </w:r>
      <w:r>
        <w:rPr>
          <w:sz w:val="18"/>
          <w:vertAlign w:val="baseline"/>
        </w:rPr>
        <w:t>69 (April): 1–18. https://doi.org/10.1080/00918369.2021.1898801.</w:t>
      </w:r>
    </w:p>
    <w:p>
      <w:pPr>
        <w:spacing w:before="121"/>
        <w:ind w:left="464" w:right="565" w:firstLine="0"/>
        <w:jc w:val="left"/>
        <w:rPr>
          <w:sz w:val="18"/>
        </w:rPr>
      </w:pPr>
      <w:bookmarkStart w:name="_bookmark297" w:id="519"/>
      <w:bookmarkEnd w:id="519"/>
      <w:r>
        <w:rPr/>
      </w:r>
      <w:r>
        <w:rPr>
          <w:sz w:val="18"/>
          <w:vertAlign w:val="superscript"/>
        </w:rPr>
        <w:t>24</w:t>
      </w:r>
      <w:r>
        <w:rPr>
          <w:spacing w:val="-3"/>
          <w:sz w:val="18"/>
          <w:vertAlign w:val="baseline"/>
        </w:rPr>
        <w:t> </w:t>
      </w:r>
      <w:r>
        <w:rPr>
          <w:sz w:val="18"/>
          <w:vertAlign w:val="baseline"/>
        </w:rPr>
        <w:t>Shelton,</w:t>
      </w:r>
      <w:r>
        <w:rPr>
          <w:spacing w:val="-4"/>
          <w:sz w:val="18"/>
          <w:vertAlign w:val="baseline"/>
        </w:rPr>
        <w:t> </w:t>
      </w:r>
      <w:r>
        <w:rPr>
          <w:sz w:val="18"/>
          <w:vertAlign w:val="baseline"/>
        </w:rPr>
        <w:t>Jama,</w:t>
      </w:r>
      <w:r>
        <w:rPr>
          <w:spacing w:val="-4"/>
          <w:sz w:val="18"/>
          <w:vertAlign w:val="baseline"/>
        </w:rPr>
        <w:t> </w:t>
      </w:r>
      <w:r>
        <w:rPr>
          <w:sz w:val="18"/>
          <w:vertAlign w:val="baseline"/>
        </w:rPr>
        <w:t>Christa</w:t>
      </w:r>
      <w:r>
        <w:rPr>
          <w:spacing w:val="-3"/>
          <w:sz w:val="18"/>
          <w:vertAlign w:val="baseline"/>
        </w:rPr>
        <w:t> </w:t>
      </w:r>
      <w:r>
        <w:rPr>
          <w:sz w:val="18"/>
          <w:vertAlign w:val="baseline"/>
        </w:rPr>
        <w:t>Price,</w:t>
      </w:r>
      <w:r>
        <w:rPr>
          <w:spacing w:val="-4"/>
          <w:sz w:val="18"/>
          <w:vertAlign w:val="baseline"/>
        </w:rPr>
        <w:t> </w:t>
      </w:r>
      <w:r>
        <w:rPr>
          <w:sz w:val="18"/>
          <w:vertAlign w:val="baseline"/>
        </w:rPr>
        <w:t>and</w:t>
      </w:r>
      <w:r>
        <w:rPr>
          <w:spacing w:val="-3"/>
          <w:sz w:val="18"/>
          <w:vertAlign w:val="baseline"/>
        </w:rPr>
        <w:t> </w:t>
      </w:r>
      <w:r>
        <w:rPr>
          <w:sz w:val="18"/>
          <w:vertAlign w:val="baseline"/>
        </w:rPr>
        <w:t>Phoebe</w:t>
      </w:r>
      <w:r>
        <w:rPr>
          <w:spacing w:val="-3"/>
          <w:sz w:val="18"/>
          <w:vertAlign w:val="baseline"/>
        </w:rPr>
        <w:t> </w:t>
      </w:r>
      <w:r>
        <w:rPr>
          <w:sz w:val="18"/>
          <w:vertAlign w:val="baseline"/>
        </w:rPr>
        <w:t>VanCleefe.</w:t>
      </w:r>
      <w:r>
        <w:rPr>
          <w:spacing w:val="-4"/>
          <w:sz w:val="18"/>
          <w:vertAlign w:val="baseline"/>
        </w:rPr>
        <w:t> </w:t>
      </w:r>
      <w:r>
        <w:rPr>
          <w:sz w:val="18"/>
          <w:vertAlign w:val="baseline"/>
        </w:rPr>
        <w:t>2017.</w:t>
      </w:r>
      <w:r>
        <w:rPr>
          <w:spacing w:val="-3"/>
          <w:sz w:val="18"/>
          <w:vertAlign w:val="baseline"/>
        </w:rPr>
        <w:t> </w:t>
      </w:r>
      <w:r>
        <w:rPr>
          <w:sz w:val="18"/>
          <w:vertAlign w:val="baseline"/>
        </w:rPr>
        <w:t>“Authentic</w:t>
      </w:r>
      <w:r>
        <w:rPr>
          <w:spacing w:val="-4"/>
          <w:sz w:val="18"/>
          <w:vertAlign w:val="baseline"/>
        </w:rPr>
        <w:t> </w:t>
      </w:r>
      <w:r>
        <w:rPr>
          <w:sz w:val="18"/>
          <w:vertAlign w:val="baseline"/>
        </w:rPr>
        <w:t>Youth</w:t>
      </w:r>
      <w:r>
        <w:rPr>
          <w:spacing w:val="-3"/>
          <w:sz w:val="18"/>
          <w:vertAlign w:val="baseline"/>
        </w:rPr>
        <w:t> </w:t>
      </w:r>
      <w:r>
        <w:rPr>
          <w:sz w:val="18"/>
          <w:vertAlign w:val="baseline"/>
        </w:rPr>
        <w:t>and</w:t>
      </w:r>
      <w:r>
        <w:rPr>
          <w:spacing w:val="-3"/>
          <w:sz w:val="18"/>
          <w:vertAlign w:val="baseline"/>
        </w:rPr>
        <w:t> </w:t>
      </w:r>
      <w:r>
        <w:rPr>
          <w:sz w:val="18"/>
          <w:vertAlign w:val="baseline"/>
        </w:rPr>
        <w:t>Young</w:t>
      </w:r>
      <w:r>
        <w:rPr>
          <w:spacing w:val="-3"/>
          <w:sz w:val="18"/>
          <w:vertAlign w:val="baseline"/>
        </w:rPr>
        <w:t> </w:t>
      </w:r>
      <w:r>
        <w:rPr>
          <w:sz w:val="18"/>
          <w:vertAlign w:val="baseline"/>
        </w:rPr>
        <w:t>Adult</w:t>
      </w:r>
      <w:r>
        <w:rPr>
          <w:spacing w:val="-4"/>
          <w:sz w:val="18"/>
          <w:vertAlign w:val="baseline"/>
        </w:rPr>
        <w:t> </w:t>
      </w:r>
      <w:r>
        <w:rPr>
          <w:sz w:val="18"/>
          <w:vertAlign w:val="baseline"/>
        </w:rPr>
        <w:t>Partnerships:</w:t>
      </w:r>
      <w:r>
        <w:rPr>
          <w:spacing w:val="-3"/>
          <w:sz w:val="18"/>
          <w:vertAlign w:val="baseline"/>
        </w:rPr>
        <w:t> </w:t>
      </w:r>
      <w:r>
        <w:rPr>
          <w:sz w:val="18"/>
          <w:vertAlign w:val="baseline"/>
        </w:rPr>
        <w:t>Broadening the Narrative of LGBTQ Youth Homelessness.” </w:t>
      </w:r>
      <w:r>
        <w:rPr>
          <w:i/>
          <w:sz w:val="18"/>
          <w:vertAlign w:val="baseline"/>
        </w:rPr>
        <w:t>Journal of Family Strengths </w:t>
      </w:r>
      <w:r>
        <w:rPr>
          <w:sz w:val="18"/>
          <w:vertAlign w:val="baseline"/>
        </w:rPr>
        <w:t>17 (2). https://doi.org/10.58464/2168- </w:t>
      </w:r>
      <w:r>
        <w:rPr>
          <w:spacing w:val="-2"/>
          <w:sz w:val="18"/>
          <w:vertAlign w:val="baseline"/>
        </w:rPr>
        <w:t>670X.1354.</w:t>
      </w:r>
    </w:p>
    <w:p>
      <w:pPr>
        <w:spacing w:before="119"/>
        <w:ind w:left="464" w:right="0" w:firstLine="0"/>
        <w:jc w:val="left"/>
        <w:rPr>
          <w:sz w:val="18"/>
        </w:rPr>
      </w:pPr>
      <w:bookmarkStart w:name="_bookmark298" w:id="520"/>
      <w:bookmarkEnd w:id="520"/>
      <w:r>
        <w:rPr/>
      </w:r>
      <w:r>
        <w:rPr>
          <w:sz w:val="18"/>
          <w:vertAlign w:val="superscript"/>
        </w:rPr>
        <w:t>25</w:t>
      </w:r>
      <w:r>
        <w:rPr>
          <w:spacing w:val="-3"/>
          <w:sz w:val="18"/>
          <w:vertAlign w:val="baseline"/>
        </w:rPr>
        <w:t> </w:t>
      </w:r>
      <w:r>
        <w:rPr>
          <w:sz w:val="18"/>
          <w:vertAlign w:val="baseline"/>
        </w:rPr>
        <w:t>Laurie</w:t>
      </w:r>
      <w:r>
        <w:rPr>
          <w:spacing w:val="-3"/>
          <w:sz w:val="18"/>
          <w:vertAlign w:val="baseline"/>
        </w:rPr>
        <w:t> </w:t>
      </w:r>
      <w:r>
        <w:rPr>
          <w:sz w:val="18"/>
          <w:vertAlign w:val="baseline"/>
        </w:rPr>
        <w:t>Ross,</w:t>
      </w:r>
      <w:r>
        <w:rPr>
          <w:spacing w:val="-4"/>
          <w:sz w:val="18"/>
          <w:vertAlign w:val="baseline"/>
        </w:rPr>
        <w:t> </w:t>
      </w:r>
      <w:r>
        <w:rPr>
          <w:sz w:val="18"/>
          <w:vertAlign w:val="baseline"/>
        </w:rPr>
        <w:t>PhD.</w:t>
      </w:r>
      <w:r>
        <w:rPr>
          <w:spacing w:val="-3"/>
          <w:sz w:val="18"/>
          <w:vertAlign w:val="baseline"/>
        </w:rPr>
        <w:t> </w:t>
      </w:r>
      <w:r>
        <w:rPr>
          <w:sz w:val="18"/>
          <w:vertAlign w:val="baseline"/>
        </w:rPr>
        <w:t>2022.</w:t>
      </w:r>
      <w:r>
        <w:rPr>
          <w:spacing w:val="-3"/>
          <w:sz w:val="18"/>
          <w:vertAlign w:val="baseline"/>
        </w:rPr>
        <w:t> </w:t>
      </w:r>
      <w:r>
        <w:rPr>
          <w:sz w:val="18"/>
          <w:vertAlign w:val="baseline"/>
        </w:rPr>
        <w:t>“Massachusetts</w:t>
      </w:r>
      <w:r>
        <w:rPr>
          <w:spacing w:val="-3"/>
          <w:sz w:val="18"/>
          <w:vertAlign w:val="baseline"/>
        </w:rPr>
        <w:t> </w:t>
      </w:r>
      <w:r>
        <w:rPr>
          <w:sz w:val="18"/>
          <w:vertAlign w:val="baseline"/>
        </w:rPr>
        <w:t>Youth</w:t>
      </w:r>
      <w:r>
        <w:rPr>
          <w:spacing w:val="-3"/>
          <w:sz w:val="18"/>
          <w:vertAlign w:val="baseline"/>
        </w:rPr>
        <w:t> </w:t>
      </w:r>
      <w:r>
        <w:rPr>
          <w:sz w:val="18"/>
          <w:vertAlign w:val="baseline"/>
        </w:rPr>
        <w:t>Count</w:t>
      </w:r>
      <w:r>
        <w:rPr>
          <w:spacing w:val="-3"/>
          <w:sz w:val="18"/>
          <w:vertAlign w:val="baseline"/>
        </w:rPr>
        <w:t> </w:t>
      </w:r>
      <w:r>
        <w:rPr>
          <w:spacing w:val="-2"/>
          <w:sz w:val="18"/>
          <w:vertAlign w:val="baseline"/>
        </w:rPr>
        <w:t>2022.”</w:t>
      </w:r>
    </w:p>
    <w:p>
      <w:pPr>
        <w:spacing w:before="120"/>
        <w:ind w:left="464" w:right="565" w:firstLine="0"/>
        <w:jc w:val="left"/>
        <w:rPr>
          <w:sz w:val="18"/>
        </w:rPr>
      </w:pPr>
      <w:bookmarkStart w:name="_bookmark299" w:id="521"/>
      <w:bookmarkEnd w:id="521"/>
      <w:r>
        <w:rPr/>
      </w:r>
      <w:r>
        <w:rPr>
          <w:sz w:val="18"/>
          <w:vertAlign w:val="superscript"/>
        </w:rPr>
        <w:t>26</w:t>
      </w:r>
      <w:r>
        <w:rPr>
          <w:spacing w:val="-2"/>
          <w:sz w:val="18"/>
          <w:vertAlign w:val="baseline"/>
        </w:rPr>
        <w:t> </w:t>
      </w:r>
      <w:r>
        <w:rPr>
          <w:sz w:val="18"/>
          <w:vertAlign w:val="baseline"/>
        </w:rPr>
        <w:t>Choi,</w:t>
      </w:r>
      <w:r>
        <w:rPr>
          <w:spacing w:val="-3"/>
          <w:sz w:val="18"/>
          <w:vertAlign w:val="baseline"/>
        </w:rPr>
        <w:t> </w:t>
      </w:r>
      <w:r>
        <w:rPr>
          <w:sz w:val="18"/>
          <w:vertAlign w:val="baseline"/>
        </w:rPr>
        <w:t>Soon</w:t>
      </w:r>
      <w:r>
        <w:rPr>
          <w:spacing w:val="-2"/>
          <w:sz w:val="18"/>
          <w:vertAlign w:val="baseline"/>
        </w:rPr>
        <w:t> </w:t>
      </w:r>
      <w:r>
        <w:rPr>
          <w:sz w:val="18"/>
          <w:vertAlign w:val="baseline"/>
        </w:rPr>
        <w:t>Kyu,</w:t>
      </w:r>
      <w:r>
        <w:rPr>
          <w:spacing w:val="-3"/>
          <w:sz w:val="18"/>
          <w:vertAlign w:val="baseline"/>
        </w:rPr>
        <w:t> </w:t>
      </w:r>
      <w:r>
        <w:rPr>
          <w:sz w:val="18"/>
          <w:vertAlign w:val="baseline"/>
        </w:rPr>
        <w:t>Bianca</w:t>
      </w:r>
      <w:r>
        <w:rPr>
          <w:spacing w:val="-2"/>
          <w:sz w:val="18"/>
          <w:vertAlign w:val="baseline"/>
        </w:rPr>
        <w:t> </w:t>
      </w:r>
      <w:r>
        <w:rPr>
          <w:sz w:val="18"/>
          <w:vertAlign w:val="baseline"/>
        </w:rPr>
        <w:t>DM</w:t>
      </w:r>
      <w:r>
        <w:rPr>
          <w:spacing w:val="-3"/>
          <w:sz w:val="18"/>
          <w:vertAlign w:val="baseline"/>
        </w:rPr>
        <w:t> </w:t>
      </w:r>
      <w:r>
        <w:rPr>
          <w:sz w:val="18"/>
          <w:vertAlign w:val="baseline"/>
        </w:rPr>
        <w:t>Wilson,</w:t>
      </w:r>
      <w:r>
        <w:rPr>
          <w:spacing w:val="-3"/>
          <w:sz w:val="18"/>
          <w:vertAlign w:val="baseline"/>
        </w:rPr>
        <w:t> </w:t>
      </w:r>
      <w:r>
        <w:rPr>
          <w:sz w:val="18"/>
          <w:vertAlign w:val="baseline"/>
        </w:rPr>
        <w:t>Jama</w:t>
      </w:r>
      <w:r>
        <w:rPr>
          <w:spacing w:val="-2"/>
          <w:sz w:val="18"/>
          <w:vertAlign w:val="baseline"/>
        </w:rPr>
        <w:t> </w:t>
      </w:r>
      <w:r>
        <w:rPr>
          <w:sz w:val="18"/>
          <w:vertAlign w:val="baseline"/>
        </w:rPr>
        <w:t>Shelton,</w:t>
      </w:r>
      <w:r>
        <w:rPr>
          <w:spacing w:val="-3"/>
          <w:sz w:val="18"/>
          <w:vertAlign w:val="baseline"/>
        </w:rPr>
        <w:t> </w:t>
      </w:r>
      <w:r>
        <w:rPr>
          <w:sz w:val="18"/>
          <w:vertAlign w:val="baseline"/>
        </w:rPr>
        <w:t>and</w:t>
      </w:r>
      <w:r>
        <w:rPr>
          <w:spacing w:val="-2"/>
          <w:sz w:val="18"/>
          <w:vertAlign w:val="baseline"/>
        </w:rPr>
        <w:t> </w:t>
      </w:r>
      <w:r>
        <w:rPr>
          <w:sz w:val="18"/>
          <w:vertAlign w:val="baseline"/>
        </w:rPr>
        <w:t>Gary</w:t>
      </w:r>
      <w:r>
        <w:rPr>
          <w:spacing w:val="-2"/>
          <w:sz w:val="18"/>
          <w:vertAlign w:val="baseline"/>
        </w:rPr>
        <w:t> </w:t>
      </w:r>
      <w:r>
        <w:rPr>
          <w:sz w:val="18"/>
          <w:vertAlign w:val="baseline"/>
        </w:rPr>
        <w:t>J.</w:t>
      </w:r>
      <w:r>
        <w:rPr>
          <w:spacing w:val="-3"/>
          <w:sz w:val="18"/>
          <w:vertAlign w:val="baseline"/>
        </w:rPr>
        <w:t> </w:t>
      </w:r>
      <w:r>
        <w:rPr>
          <w:sz w:val="18"/>
          <w:vertAlign w:val="baseline"/>
        </w:rPr>
        <w:t>Gates.</w:t>
      </w:r>
      <w:r>
        <w:rPr>
          <w:spacing w:val="-2"/>
          <w:sz w:val="18"/>
          <w:vertAlign w:val="baseline"/>
        </w:rPr>
        <w:t> </w:t>
      </w:r>
      <w:r>
        <w:rPr>
          <w:sz w:val="18"/>
          <w:vertAlign w:val="baseline"/>
        </w:rPr>
        <w:t>2015.</w:t>
      </w:r>
      <w:r>
        <w:rPr>
          <w:spacing w:val="-2"/>
          <w:sz w:val="18"/>
          <w:vertAlign w:val="baseline"/>
        </w:rPr>
        <w:t> </w:t>
      </w:r>
      <w:r>
        <w:rPr>
          <w:sz w:val="18"/>
          <w:vertAlign w:val="baseline"/>
        </w:rPr>
        <w:t>“Serving</w:t>
      </w:r>
      <w:r>
        <w:rPr>
          <w:spacing w:val="-2"/>
          <w:sz w:val="18"/>
          <w:vertAlign w:val="baseline"/>
        </w:rPr>
        <w:t> </w:t>
      </w:r>
      <w:r>
        <w:rPr>
          <w:sz w:val="18"/>
          <w:vertAlign w:val="baseline"/>
        </w:rPr>
        <w:t>Our</w:t>
      </w:r>
      <w:r>
        <w:rPr>
          <w:spacing w:val="-3"/>
          <w:sz w:val="18"/>
          <w:vertAlign w:val="baseline"/>
        </w:rPr>
        <w:t> </w:t>
      </w:r>
      <w:r>
        <w:rPr>
          <w:sz w:val="18"/>
          <w:vertAlign w:val="baseline"/>
        </w:rPr>
        <w:t>Youth</w:t>
      </w:r>
      <w:r>
        <w:rPr>
          <w:spacing w:val="-2"/>
          <w:sz w:val="18"/>
          <w:vertAlign w:val="baseline"/>
        </w:rPr>
        <w:t> </w:t>
      </w:r>
      <w:r>
        <w:rPr>
          <w:sz w:val="18"/>
          <w:vertAlign w:val="baseline"/>
        </w:rPr>
        <w:t>2015:</w:t>
      </w:r>
      <w:r>
        <w:rPr>
          <w:spacing w:val="-2"/>
          <w:sz w:val="18"/>
          <w:vertAlign w:val="baseline"/>
        </w:rPr>
        <w:t> </w:t>
      </w:r>
      <w:r>
        <w:rPr>
          <w:sz w:val="18"/>
          <w:vertAlign w:val="baseline"/>
        </w:rPr>
        <w:t>The</w:t>
      </w:r>
      <w:r>
        <w:rPr>
          <w:spacing w:val="-2"/>
          <w:sz w:val="18"/>
          <w:vertAlign w:val="baseline"/>
        </w:rPr>
        <w:t> </w:t>
      </w:r>
      <w:r>
        <w:rPr>
          <w:sz w:val="18"/>
          <w:vertAlign w:val="baseline"/>
        </w:rPr>
        <w:t>Needs</w:t>
      </w:r>
      <w:r>
        <w:rPr>
          <w:spacing w:val="-2"/>
          <w:sz w:val="18"/>
          <w:vertAlign w:val="baseline"/>
        </w:rPr>
        <w:t> </w:t>
      </w:r>
      <w:r>
        <w:rPr>
          <w:sz w:val="18"/>
          <w:vertAlign w:val="baseline"/>
        </w:rPr>
        <w:t>and Experiences of Lesbian, Gay, Bisexual, Transgender, and Questioning Youth Experiencing Homelessness,” June. </w:t>
      </w:r>
      <w:r>
        <w:rPr>
          <w:spacing w:val="-2"/>
          <w:sz w:val="18"/>
          <w:vertAlign w:val="baseline"/>
        </w:rPr>
        <w:t>https://escholarship.org/uc/item/1pd9886n.</w:t>
      </w:r>
    </w:p>
    <w:p>
      <w:pPr>
        <w:spacing w:before="121"/>
        <w:ind w:left="464" w:right="434" w:firstLine="0"/>
        <w:jc w:val="left"/>
        <w:rPr>
          <w:sz w:val="18"/>
        </w:rPr>
      </w:pPr>
      <w:bookmarkStart w:name="_bookmark300" w:id="522"/>
      <w:bookmarkEnd w:id="522"/>
      <w:r>
        <w:rPr/>
      </w:r>
      <w:r>
        <w:rPr>
          <w:sz w:val="18"/>
          <w:vertAlign w:val="superscript"/>
        </w:rPr>
        <w:t>27</w:t>
      </w:r>
      <w:r>
        <w:rPr>
          <w:sz w:val="18"/>
          <w:vertAlign w:val="baseline"/>
        </w:rPr>
        <w:t> Coolhart, Deborah, and Maria Brown. 2017. “The Need for Safe Spaces: Exploring the Experiences of Homeless LGBTQ Youth</w:t>
      </w:r>
      <w:r>
        <w:rPr>
          <w:spacing w:val="-4"/>
          <w:sz w:val="18"/>
          <w:vertAlign w:val="baseline"/>
        </w:rPr>
        <w:t> </w:t>
      </w:r>
      <w:r>
        <w:rPr>
          <w:sz w:val="18"/>
          <w:vertAlign w:val="baseline"/>
        </w:rPr>
        <w:t>in</w:t>
      </w:r>
      <w:r>
        <w:rPr>
          <w:spacing w:val="-4"/>
          <w:sz w:val="18"/>
          <w:vertAlign w:val="baseline"/>
        </w:rPr>
        <w:t> </w:t>
      </w:r>
      <w:r>
        <w:rPr>
          <w:sz w:val="18"/>
          <w:vertAlign w:val="baseline"/>
        </w:rPr>
        <w:t>Shelters.”</w:t>
      </w:r>
      <w:r>
        <w:rPr>
          <w:spacing w:val="-4"/>
          <w:sz w:val="18"/>
          <w:vertAlign w:val="baseline"/>
        </w:rPr>
        <w:t> </w:t>
      </w:r>
      <w:r>
        <w:rPr>
          <w:i/>
          <w:sz w:val="18"/>
          <w:vertAlign w:val="baseline"/>
        </w:rPr>
        <w:t>Children</w:t>
      </w:r>
      <w:r>
        <w:rPr>
          <w:i/>
          <w:spacing w:val="-5"/>
          <w:sz w:val="18"/>
          <w:vertAlign w:val="baseline"/>
        </w:rPr>
        <w:t> </w:t>
      </w:r>
      <w:r>
        <w:rPr>
          <w:i/>
          <w:sz w:val="18"/>
          <w:vertAlign w:val="baseline"/>
        </w:rPr>
        <w:t>and</w:t>
      </w:r>
      <w:r>
        <w:rPr>
          <w:i/>
          <w:spacing w:val="-3"/>
          <w:sz w:val="18"/>
          <w:vertAlign w:val="baseline"/>
        </w:rPr>
        <w:t> </w:t>
      </w:r>
      <w:r>
        <w:rPr>
          <w:i/>
          <w:sz w:val="18"/>
          <w:vertAlign w:val="baseline"/>
        </w:rPr>
        <w:t>Youth</w:t>
      </w:r>
      <w:r>
        <w:rPr>
          <w:i/>
          <w:spacing w:val="-5"/>
          <w:sz w:val="18"/>
          <w:vertAlign w:val="baseline"/>
        </w:rPr>
        <w:t> </w:t>
      </w:r>
      <w:r>
        <w:rPr>
          <w:i/>
          <w:sz w:val="18"/>
          <w:vertAlign w:val="baseline"/>
        </w:rPr>
        <w:t>Services</w:t>
      </w:r>
      <w:r>
        <w:rPr>
          <w:i/>
          <w:spacing w:val="-5"/>
          <w:sz w:val="18"/>
          <w:vertAlign w:val="baseline"/>
        </w:rPr>
        <w:t> </w:t>
      </w:r>
      <w:r>
        <w:rPr>
          <w:i/>
          <w:sz w:val="18"/>
          <w:vertAlign w:val="baseline"/>
        </w:rPr>
        <w:t>Review</w:t>
      </w:r>
      <w:r>
        <w:rPr>
          <w:i/>
          <w:spacing w:val="-4"/>
          <w:sz w:val="18"/>
          <w:vertAlign w:val="baseline"/>
        </w:rPr>
        <w:t> </w:t>
      </w:r>
      <w:r>
        <w:rPr>
          <w:sz w:val="18"/>
          <w:vertAlign w:val="baseline"/>
        </w:rPr>
        <w:t>82</w:t>
      </w:r>
      <w:r>
        <w:rPr>
          <w:spacing w:val="-4"/>
          <w:sz w:val="18"/>
          <w:vertAlign w:val="baseline"/>
        </w:rPr>
        <w:t> </w:t>
      </w:r>
      <w:r>
        <w:rPr>
          <w:sz w:val="18"/>
          <w:vertAlign w:val="baseline"/>
        </w:rPr>
        <w:t>(September).</w:t>
      </w:r>
      <w:r>
        <w:rPr>
          <w:spacing w:val="-4"/>
          <w:sz w:val="18"/>
          <w:vertAlign w:val="baseline"/>
        </w:rPr>
        <w:t> </w:t>
      </w:r>
      <w:r>
        <w:rPr>
          <w:sz w:val="18"/>
          <w:vertAlign w:val="baseline"/>
        </w:rPr>
        <w:t>https://doi.org/10.1016/j.childyouth.2017.09.021.</w:t>
      </w:r>
    </w:p>
    <w:p>
      <w:pPr>
        <w:spacing w:before="120"/>
        <w:ind w:left="464" w:right="0" w:firstLine="0"/>
        <w:jc w:val="left"/>
        <w:rPr>
          <w:sz w:val="18"/>
        </w:rPr>
      </w:pPr>
      <w:bookmarkStart w:name="_bookmark301" w:id="523"/>
      <w:bookmarkEnd w:id="523"/>
      <w:r>
        <w:rPr/>
      </w:r>
      <w:r>
        <w:rPr>
          <w:sz w:val="18"/>
          <w:vertAlign w:val="superscript"/>
        </w:rPr>
        <w:t>28</w:t>
      </w:r>
      <w:r>
        <w:rPr>
          <w:spacing w:val="-5"/>
          <w:sz w:val="18"/>
          <w:vertAlign w:val="baseline"/>
        </w:rPr>
        <w:t> </w:t>
      </w:r>
      <w:r>
        <w:rPr>
          <w:sz w:val="18"/>
          <w:vertAlign w:val="baseline"/>
        </w:rPr>
        <w:t>Connery,</w:t>
      </w:r>
      <w:r>
        <w:rPr>
          <w:spacing w:val="-4"/>
          <w:sz w:val="18"/>
          <w:vertAlign w:val="baseline"/>
        </w:rPr>
        <w:t> </w:t>
      </w:r>
      <w:r>
        <w:rPr>
          <w:sz w:val="18"/>
          <w:vertAlign w:val="baseline"/>
        </w:rPr>
        <w:t>Brittney.</w:t>
      </w:r>
      <w:r>
        <w:rPr>
          <w:spacing w:val="-3"/>
          <w:sz w:val="18"/>
          <w:vertAlign w:val="baseline"/>
        </w:rPr>
        <w:t> </w:t>
      </w:r>
      <w:r>
        <w:rPr>
          <w:sz w:val="18"/>
          <w:vertAlign w:val="baseline"/>
        </w:rPr>
        <w:t>2014.</w:t>
      </w:r>
      <w:r>
        <w:rPr>
          <w:spacing w:val="-2"/>
          <w:sz w:val="18"/>
          <w:vertAlign w:val="baseline"/>
        </w:rPr>
        <w:t> </w:t>
      </w:r>
      <w:r>
        <w:rPr>
          <w:sz w:val="18"/>
          <w:vertAlign w:val="baseline"/>
        </w:rPr>
        <w:t>“LGBT</w:t>
      </w:r>
      <w:r>
        <w:rPr>
          <w:spacing w:val="-5"/>
          <w:sz w:val="18"/>
          <w:vertAlign w:val="baseline"/>
        </w:rPr>
        <w:t> </w:t>
      </w:r>
      <w:r>
        <w:rPr>
          <w:sz w:val="18"/>
          <w:vertAlign w:val="baseline"/>
        </w:rPr>
        <w:t>Homeless</w:t>
      </w:r>
      <w:r>
        <w:rPr>
          <w:spacing w:val="-2"/>
          <w:sz w:val="18"/>
          <w:vertAlign w:val="baseline"/>
        </w:rPr>
        <w:t> </w:t>
      </w:r>
      <w:r>
        <w:rPr>
          <w:sz w:val="18"/>
          <w:vertAlign w:val="baseline"/>
        </w:rPr>
        <w:t>Youth</w:t>
      </w:r>
      <w:r>
        <w:rPr>
          <w:spacing w:val="-4"/>
          <w:sz w:val="18"/>
          <w:vertAlign w:val="baseline"/>
        </w:rPr>
        <w:t> </w:t>
      </w:r>
      <w:r>
        <w:rPr>
          <w:sz w:val="18"/>
          <w:vertAlign w:val="baseline"/>
        </w:rPr>
        <w:t>in</w:t>
      </w:r>
      <w:r>
        <w:rPr>
          <w:spacing w:val="-3"/>
          <w:sz w:val="18"/>
          <w:vertAlign w:val="baseline"/>
        </w:rPr>
        <w:t> </w:t>
      </w:r>
      <w:r>
        <w:rPr>
          <w:sz w:val="18"/>
          <w:vertAlign w:val="baseline"/>
        </w:rPr>
        <w:t>Boston</w:t>
      </w:r>
      <w:r>
        <w:rPr>
          <w:spacing w:val="-2"/>
          <w:sz w:val="18"/>
          <w:vertAlign w:val="baseline"/>
        </w:rPr>
        <w:t> </w:t>
      </w:r>
      <w:r>
        <w:rPr>
          <w:sz w:val="18"/>
          <w:vertAlign w:val="baseline"/>
        </w:rPr>
        <w:t>MA:</w:t>
      </w:r>
      <w:r>
        <w:rPr>
          <w:spacing w:val="-3"/>
          <w:sz w:val="18"/>
          <w:vertAlign w:val="baseline"/>
        </w:rPr>
        <w:t> </w:t>
      </w:r>
      <w:r>
        <w:rPr>
          <w:sz w:val="18"/>
          <w:vertAlign w:val="baseline"/>
        </w:rPr>
        <w:t>Experiences</w:t>
      </w:r>
      <w:r>
        <w:rPr>
          <w:spacing w:val="-3"/>
          <w:sz w:val="18"/>
          <w:vertAlign w:val="baseline"/>
        </w:rPr>
        <w:t> </w:t>
      </w:r>
      <w:r>
        <w:rPr>
          <w:sz w:val="18"/>
          <w:vertAlign w:val="baseline"/>
        </w:rPr>
        <w:t>Regarding</w:t>
      </w:r>
      <w:r>
        <w:rPr>
          <w:spacing w:val="-3"/>
          <w:sz w:val="18"/>
          <w:vertAlign w:val="baseline"/>
        </w:rPr>
        <w:t> </w:t>
      </w:r>
      <w:r>
        <w:rPr>
          <w:sz w:val="18"/>
          <w:vertAlign w:val="baseline"/>
        </w:rPr>
        <w:t>Resources</w:t>
      </w:r>
      <w:r>
        <w:rPr>
          <w:spacing w:val="-3"/>
          <w:sz w:val="18"/>
          <w:vertAlign w:val="baseline"/>
        </w:rPr>
        <w:t> </w:t>
      </w:r>
      <w:r>
        <w:rPr>
          <w:sz w:val="18"/>
          <w:vertAlign w:val="baseline"/>
        </w:rPr>
        <w:t>and</w:t>
      </w:r>
      <w:r>
        <w:rPr>
          <w:spacing w:val="-3"/>
          <w:sz w:val="18"/>
          <w:vertAlign w:val="baseline"/>
        </w:rPr>
        <w:t> </w:t>
      </w:r>
      <w:r>
        <w:rPr>
          <w:sz w:val="18"/>
          <w:vertAlign w:val="baseline"/>
        </w:rPr>
        <w:t>Potential</w:t>
      </w:r>
      <w:r>
        <w:rPr>
          <w:spacing w:val="-3"/>
          <w:sz w:val="18"/>
          <w:vertAlign w:val="baseline"/>
        </w:rPr>
        <w:t> </w:t>
      </w:r>
      <w:r>
        <w:rPr>
          <w:spacing w:val="-2"/>
          <w:sz w:val="18"/>
          <w:vertAlign w:val="baseline"/>
        </w:rPr>
        <w:t>Barriers.”</w:t>
      </w:r>
    </w:p>
    <w:p>
      <w:pPr>
        <w:spacing w:before="119"/>
        <w:ind w:left="464" w:right="565" w:firstLine="0"/>
        <w:jc w:val="left"/>
        <w:rPr>
          <w:sz w:val="18"/>
        </w:rPr>
      </w:pPr>
      <w:bookmarkStart w:name="_bookmark302" w:id="524"/>
      <w:bookmarkEnd w:id="524"/>
      <w:r>
        <w:rPr/>
      </w:r>
      <w:r>
        <w:rPr>
          <w:sz w:val="18"/>
          <w:vertAlign w:val="superscript"/>
        </w:rPr>
        <w:t>29</w:t>
      </w:r>
      <w:r>
        <w:rPr>
          <w:spacing w:val="-3"/>
          <w:sz w:val="18"/>
          <w:vertAlign w:val="baseline"/>
        </w:rPr>
        <w:t> </w:t>
      </w:r>
      <w:r>
        <w:rPr>
          <w:sz w:val="18"/>
          <w:vertAlign w:val="baseline"/>
        </w:rPr>
        <w:t>Robinson,</w:t>
      </w:r>
      <w:r>
        <w:rPr>
          <w:spacing w:val="-4"/>
          <w:sz w:val="18"/>
          <w:vertAlign w:val="baseline"/>
        </w:rPr>
        <w:t> </w:t>
      </w:r>
      <w:r>
        <w:rPr>
          <w:sz w:val="18"/>
          <w:vertAlign w:val="baseline"/>
        </w:rPr>
        <w:t>Brandon</w:t>
      </w:r>
      <w:r>
        <w:rPr>
          <w:spacing w:val="-3"/>
          <w:sz w:val="18"/>
          <w:vertAlign w:val="baseline"/>
        </w:rPr>
        <w:t> </w:t>
      </w:r>
      <w:r>
        <w:rPr>
          <w:sz w:val="18"/>
          <w:vertAlign w:val="baseline"/>
        </w:rPr>
        <w:t>Andrew.</w:t>
      </w:r>
      <w:r>
        <w:rPr>
          <w:spacing w:val="-3"/>
          <w:sz w:val="18"/>
          <w:vertAlign w:val="baseline"/>
        </w:rPr>
        <w:t> </w:t>
      </w:r>
      <w:r>
        <w:rPr>
          <w:sz w:val="18"/>
          <w:vertAlign w:val="baseline"/>
        </w:rPr>
        <w:t>2023.</w:t>
      </w:r>
      <w:r>
        <w:rPr>
          <w:spacing w:val="-3"/>
          <w:sz w:val="18"/>
          <w:vertAlign w:val="baseline"/>
        </w:rPr>
        <w:t> </w:t>
      </w:r>
      <w:r>
        <w:rPr>
          <w:sz w:val="18"/>
          <w:vertAlign w:val="baseline"/>
        </w:rPr>
        <w:t>“‘They</w:t>
      </w:r>
      <w:r>
        <w:rPr>
          <w:spacing w:val="-3"/>
          <w:sz w:val="18"/>
          <w:vertAlign w:val="baseline"/>
        </w:rPr>
        <w:t> </w:t>
      </w:r>
      <w:r>
        <w:rPr>
          <w:sz w:val="18"/>
          <w:vertAlign w:val="baseline"/>
        </w:rPr>
        <w:t>Peed</w:t>
      </w:r>
      <w:r>
        <w:rPr>
          <w:spacing w:val="-4"/>
          <w:sz w:val="18"/>
          <w:vertAlign w:val="baseline"/>
        </w:rPr>
        <w:t> </w:t>
      </w:r>
      <w:r>
        <w:rPr>
          <w:sz w:val="18"/>
          <w:vertAlign w:val="baseline"/>
        </w:rPr>
        <w:t>on</w:t>
      </w:r>
      <w:r>
        <w:rPr>
          <w:spacing w:val="-3"/>
          <w:sz w:val="18"/>
          <w:vertAlign w:val="baseline"/>
        </w:rPr>
        <w:t> </w:t>
      </w:r>
      <w:r>
        <w:rPr>
          <w:sz w:val="18"/>
          <w:vertAlign w:val="baseline"/>
        </w:rPr>
        <w:t>My</w:t>
      </w:r>
      <w:r>
        <w:rPr>
          <w:spacing w:val="-3"/>
          <w:sz w:val="18"/>
          <w:vertAlign w:val="baseline"/>
        </w:rPr>
        <w:t> </w:t>
      </w:r>
      <w:r>
        <w:rPr>
          <w:sz w:val="18"/>
          <w:vertAlign w:val="baseline"/>
        </w:rPr>
        <w:t>Shoes’:</w:t>
      </w:r>
      <w:r>
        <w:rPr>
          <w:spacing w:val="-3"/>
          <w:sz w:val="18"/>
          <w:vertAlign w:val="baseline"/>
        </w:rPr>
        <w:t> </w:t>
      </w:r>
      <w:r>
        <w:rPr>
          <w:sz w:val="18"/>
          <w:vertAlign w:val="baseline"/>
        </w:rPr>
        <w:t>Foregrounding</w:t>
      </w:r>
      <w:r>
        <w:rPr>
          <w:spacing w:val="-3"/>
          <w:sz w:val="18"/>
          <w:vertAlign w:val="baseline"/>
        </w:rPr>
        <w:t> </w:t>
      </w:r>
      <w:r>
        <w:rPr>
          <w:sz w:val="18"/>
          <w:vertAlign w:val="baseline"/>
        </w:rPr>
        <w:t>Intersectional</w:t>
      </w:r>
      <w:r>
        <w:rPr>
          <w:spacing w:val="-4"/>
          <w:sz w:val="18"/>
          <w:vertAlign w:val="baseline"/>
        </w:rPr>
        <w:t> </w:t>
      </w:r>
      <w:r>
        <w:rPr>
          <w:sz w:val="18"/>
          <w:vertAlign w:val="baseline"/>
        </w:rPr>
        <w:t>Minority</w:t>
      </w:r>
      <w:r>
        <w:rPr>
          <w:spacing w:val="-3"/>
          <w:sz w:val="18"/>
          <w:vertAlign w:val="baseline"/>
        </w:rPr>
        <w:t> </w:t>
      </w:r>
      <w:r>
        <w:rPr>
          <w:sz w:val="18"/>
          <w:vertAlign w:val="baseline"/>
        </w:rPr>
        <w:t>Stress</w:t>
      </w:r>
      <w:r>
        <w:rPr>
          <w:spacing w:val="-3"/>
          <w:sz w:val="18"/>
          <w:vertAlign w:val="baseline"/>
        </w:rPr>
        <w:t> </w:t>
      </w:r>
      <w:r>
        <w:rPr>
          <w:sz w:val="18"/>
          <w:vertAlign w:val="baseline"/>
        </w:rPr>
        <w:t>in Understanding LGBTQ Youth Homelessness.” </w:t>
      </w:r>
      <w:r>
        <w:rPr>
          <w:i/>
          <w:sz w:val="18"/>
          <w:vertAlign w:val="baseline"/>
        </w:rPr>
        <w:t>Journal of LGBT Youth </w:t>
      </w:r>
      <w:r>
        <w:rPr>
          <w:sz w:val="18"/>
          <w:vertAlign w:val="baseline"/>
        </w:rPr>
        <w:t>20 (4): 783–99. </w:t>
      </w:r>
      <w:r>
        <w:rPr>
          <w:spacing w:val="-2"/>
          <w:sz w:val="18"/>
          <w:vertAlign w:val="baseline"/>
        </w:rPr>
        <w:t>https://doi.org/10.1080/19361653.2021.1925196.</w:t>
      </w:r>
    </w:p>
    <w:p>
      <w:pPr>
        <w:spacing w:before="120"/>
        <w:ind w:left="464" w:right="565" w:firstLine="0"/>
        <w:jc w:val="left"/>
        <w:rPr>
          <w:sz w:val="18"/>
        </w:rPr>
      </w:pPr>
      <w:bookmarkStart w:name="_bookmark303" w:id="525"/>
      <w:bookmarkEnd w:id="525"/>
      <w:r>
        <w:rPr/>
      </w:r>
      <w:r>
        <w:rPr>
          <w:sz w:val="18"/>
          <w:vertAlign w:val="superscript"/>
        </w:rPr>
        <w:t>30</w:t>
      </w:r>
      <w:r>
        <w:rPr>
          <w:spacing w:val="-2"/>
          <w:sz w:val="18"/>
          <w:vertAlign w:val="baseline"/>
        </w:rPr>
        <w:t> </w:t>
      </w:r>
      <w:r>
        <w:rPr>
          <w:sz w:val="18"/>
          <w:vertAlign w:val="baseline"/>
        </w:rPr>
        <w:t>Choi,</w:t>
      </w:r>
      <w:r>
        <w:rPr>
          <w:spacing w:val="-3"/>
          <w:sz w:val="18"/>
          <w:vertAlign w:val="baseline"/>
        </w:rPr>
        <w:t> </w:t>
      </w:r>
      <w:r>
        <w:rPr>
          <w:sz w:val="18"/>
          <w:vertAlign w:val="baseline"/>
        </w:rPr>
        <w:t>Soon</w:t>
      </w:r>
      <w:r>
        <w:rPr>
          <w:spacing w:val="-2"/>
          <w:sz w:val="18"/>
          <w:vertAlign w:val="baseline"/>
        </w:rPr>
        <w:t> </w:t>
      </w:r>
      <w:r>
        <w:rPr>
          <w:sz w:val="18"/>
          <w:vertAlign w:val="baseline"/>
        </w:rPr>
        <w:t>Kyu,</w:t>
      </w:r>
      <w:r>
        <w:rPr>
          <w:spacing w:val="-3"/>
          <w:sz w:val="18"/>
          <w:vertAlign w:val="baseline"/>
        </w:rPr>
        <w:t> </w:t>
      </w:r>
      <w:r>
        <w:rPr>
          <w:sz w:val="18"/>
          <w:vertAlign w:val="baseline"/>
        </w:rPr>
        <w:t>Bianca</w:t>
      </w:r>
      <w:r>
        <w:rPr>
          <w:spacing w:val="-2"/>
          <w:sz w:val="18"/>
          <w:vertAlign w:val="baseline"/>
        </w:rPr>
        <w:t> </w:t>
      </w:r>
      <w:r>
        <w:rPr>
          <w:sz w:val="18"/>
          <w:vertAlign w:val="baseline"/>
        </w:rPr>
        <w:t>DM</w:t>
      </w:r>
      <w:r>
        <w:rPr>
          <w:spacing w:val="-3"/>
          <w:sz w:val="18"/>
          <w:vertAlign w:val="baseline"/>
        </w:rPr>
        <w:t> </w:t>
      </w:r>
      <w:r>
        <w:rPr>
          <w:sz w:val="18"/>
          <w:vertAlign w:val="baseline"/>
        </w:rPr>
        <w:t>Wilson,</w:t>
      </w:r>
      <w:r>
        <w:rPr>
          <w:spacing w:val="-3"/>
          <w:sz w:val="18"/>
          <w:vertAlign w:val="baseline"/>
        </w:rPr>
        <w:t> </w:t>
      </w:r>
      <w:r>
        <w:rPr>
          <w:sz w:val="18"/>
          <w:vertAlign w:val="baseline"/>
        </w:rPr>
        <w:t>Jama</w:t>
      </w:r>
      <w:r>
        <w:rPr>
          <w:spacing w:val="-2"/>
          <w:sz w:val="18"/>
          <w:vertAlign w:val="baseline"/>
        </w:rPr>
        <w:t> </w:t>
      </w:r>
      <w:r>
        <w:rPr>
          <w:sz w:val="18"/>
          <w:vertAlign w:val="baseline"/>
        </w:rPr>
        <w:t>Shelton,</w:t>
      </w:r>
      <w:r>
        <w:rPr>
          <w:spacing w:val="-3"/>
          <w:sz w:val="18"/>
          <w:vertAlign w:val="baseline"/>
        </w:rPr>
        <w:t> </w:t>
      </w:r>
      <w:r>
        <w:rPr>
          <w:sz w:val="18"/>
          <w:vertAlign w:val="baseline"/>
        </w:rPr>
        <w:t>and</w:t>
      </w:r>
      <w:r>
        <w:rPr>
          <w:spacing w:val="-2"/>
          <w:sz w:val="18"/>
          <w:vertAlign w:val="baseline"/>
        </w:rPr>
        <w:t> </w:t>
      </w:r>
      <w:r>
        <w:rPr>
          <w:sz w:val="18"/>
          <w:vertAlign w:val="baseline"/>
        </w:rPr>
        <w:t>Gary</w:t>
      </w:r>
      <w:r>
        <w:rPr>
          <w:spacing w:val="-2"/>
          <w:sz w:val="18"/>
          <w:vertAlign w:val="baseline"/>
        </w:rPr>
        <w:t> </w:t>
      </w:r>
      <w:r>
        <w:rPr>
          <w:sz w:val="18"/>
          <w:vertAlign w:val="baseline"/>
        </w:rPr>
        <w:t>J.</w:t>
      </w:r>
      <w:r>
        <w:rPr>
          <w:spacing w:val="-3"/>
          <w:sz w:val="18"/>
          <w:vertAlign w:val="baseline"/>
        </w:rPr>
        <w:t> </w:t>
      </w:r>
      <w:r>
        <w:rPr>
          <w:sz w:val="18"/>
          <w:vertAlign w:val="baseline"/>
        </w:rPr>
        <w:t>Gates.</w:t>
      </w:r>
      <w:r>
        <w:rPr>
          <w:spacing w:val="-2"/>
          <w:sz w:val="18"/>
          <w:vertAlign w:val="baseline"/>
        </w:rPr>
        <w:t> </w:t>
      </w:r>
      <w:r>
        <w:rPr>
          <w:sz w:val="18"/>
          <w:vertAlign w:val="baseline"/>
        </w:rPr>
        <w:t>2015.</w:t>
      </w:r>
      <w:r>
        <w:rPr>
          <w:spacing w:val="-2"/>
          <w:sz w:val="18"/>
          <w:vertAlign w:val="baseline"/>
        </w:rPr>
        <w:t> </w:t>
      </w:r>
      <w:r>
        <w:rPr>
          <w:sz w:val="18"/>
          <w:vertAlign w:val="baseline"/>
        </w:rPr>
        <w:t>“Serving</w:t>
      </w:r>
      <w:r>
        <w:rPr>
          <w:spacing w:val="-2"/>
          <w:sz w:val="18"/>
          <w:vertAlign w:val="baseline"/>
        </w:rPr>
        <w:t> </w:t>
      </w:r>
      <w:r>
        <w:rPr>
          <w:sz w:val="18"/>
          <w:vertAlign w:val="baseline"/>
        </w:rPr>
        <w:t>Our</w:t>
      </w:r>
      <w:r>
        <w:rPr>
          <w:spacing w:val="-3"/>
          <w:sz w:val="18"/>
          <w:vertAlign w:val="baseline"/>
        </w:rPr>
        <w:t> </w:t>
      </w:r>
      <w:r>
        <w:rPr>
          <w:sz w:val="18"/>
          <w:vertAlign w:val="baseline"/>
        </w:rPr>
        <w:t>Youth</w:t>
      </w:r>
      <w:r>
        <w:rPr>
          <w:spacing w:val="-2"/>
          <w:sz w:val="18"/>
          <w:vertAlign w:val="baseline"/>
        </w:rPr>
        <w:t> </w:t>
      </w:r>
      <w:r>
        <w:rPr>
          <w:sz w:val="18"/>
          <w:vertAlign w:val="baseline"/>
        </w:rPr>
        <w:t>2015:</w:t>
      </w:r>
      <w:r>
        <w:rPr>
          <w:spacing w:val="-2"/>
          <w:sz w:val="18"/>
          <w:vertAlign w:val="baseline"/>
        </w:rPr>
        <w:t> </w:t>
      </w:r>
      <w:r>
        <w:rPr>
          <w:sz w:val="18"/>
          <w:vertAlign w:val="baseline"/>
        </w:rPr>
        <w:t>The</w:t>
      </w:r>
      <w:r>
        <w:rPr>
          <w:spacing w:val="-2"/>
          <w:sz w:val="18"/>
          <w:vertAlign w:val="baseline"/>
        </w:rPr>
        <w:t> </w:t>
      </w:r>
      <w:r>
        <w:rPr>
          <w:sz w:val="18"/>
          <w:vertAlign w:val="baseline"/>
        </w:rPr>
        <w:t>Needs</w:t>
      </w:r>
      <w:r>
        <w:rPr>
          <w:spacing w:val="-2"/>
          <w:sz w:val="18"/>
          <w:vertAlign w:val="baseline"/>
        </w:rPr>
        <w:t> </w:t>
      </w:r>
      <w:r>
        <w:rPr>
          <w:sz w:val="18"/>
          <w:vertAlign w:val="baseline"/>
        </w:rPr>
        <w:t>and Experiences of Lesbian, Gay, Bisexual, Transgender, and Questioning Youth Experiencing Homelessness,” June. </w:t>
      </w:r>
      <w:r>
        <w:rPr>
          <w:spacing w:val="-2"/>
          <w:sz w:val="18"/>
          <w:vertAlign w:val="baseline"/>
        </w:rPr>
        <w:t>https://escholarship.org/uc/item/1pd9886n.</w:t>
      </w:r>
    </w:p>
    <w:p>
      <w:pPr>
        <w:spacing w:before="120"/>
        <w:ind w:left="464" w:right="627" w:hanging="1"/>
        <w:jc w:val="left"/>
        <w:rPr>
          <w:sz w:val="18"/>
        </w:rPr>
      </w:pPr>
      <w:r>
        <w:rPr/>
        <mc:AlternateContent>
          <mc:Choice Requires="wps">
            <w:drawing>
              <wp:anchor distT="0" distB="0" distL="0" distR="0" allowOverlap="1" layoutInCell="1" locked="0" behindDoc="0" simplePos="0" relativeHeight="15798784">
                <wp:simplePos x="0" y="0"/>
                <wp:positionH relativeFrom="page">
                  <wp:posOffset>895350</wp:posOffset>
                </wp:positionH>
                <wp:positionV relativeFrom="paragraph">
                  <wp:posOffset>425826</wp:posOffset>
                </wp:positionV>
                <wp:extent cx="5982335" cy="6350"/>
                <wp:effectExtent l="0" t="0" r="0" b="0"/>
                <wp:wrapNone/>
                <wp:docPr id="372" name="Graphic 372"/>
                <wp:cNvGraphicFramePr>
                  <a:graphicFrameLocks/>
                </wp:cNvGraphicFramePr>
                <a:graphic>
                  <a:graphicData uri="http://schemas.microsoft.com/office/word/2010/wordprocessingShape">
                    <wps:wsp>
                      <wps:cNvPr id="372" name="Graphic 372"/>
                      <wps:cNvSpPr/>
                      <wps:spPr>
                        <a:xfrm>
                          <a:off x="0" y="0"/>
                          <a:ext cx="5982335" cy="6350"/>
                        </a:xfrm>
                        <a:custGeom>
                          <a:avLst/>
                          <a:gdLst/>
                          <a:ahLst/>
                          <a:cxnLst/>
                          <a:rect l="l" t="t" r="r" b="b"/>
                          <a:pathLst>
                            <a:path w="5982335" h="6350">
                              <a:moveTo>
                                <a:pt x="5981712" y="0"/>
                              </a:moveTo>
                              <a:lnTo>
                                <a:pt x="0" y="0"/>
                              </a:lnTo>
                              <a:lnTo>
                                <a:pt x="0" y="6096"/>
                              </a:lnTo>
                              <a:lnTo>
                                <a:pt x="5981712" y="6096"/>
                              </a:lnTo>
                              <a:lnTo>
                                <a:pt x="5981712"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rect style="position:absolute;margin-left:70.5pt;margin-top:33.529629pt;width:471.001pt;height:.48pt;mso-position-horizontal-relative:page;mso-position-vertical-relative:paragraph;z-index:15798784" id="docshape296" filled="true" fillcolor="#d9d9d9" stroked="false">
                <v:fill type="solid"/>
                <w10:wrap type="none"/>
              </v:rect>
            </w:pict>
          </mc:Fallback>
        </mc:AlternateContent>
      </w:r>
      <w:bookmarkStart w:name="_bookmark304" w:id="526"/>
      <w:bookmarkEnd w:id="526"/>
      <w:r>
        <w:rPr/>
      </w:r>
      <w:r>
        <w:rPr>
          <w:sz w:val="18"/>
          <w:vertAlign w:val="superscript"/>
        </w:rPr>
        <w:t>31</w:t>
      </w:r>
      <w:r>
        <w:rPr>
          <w:spacing w:val="-2"/>
          <w:sz w:val="18"/>
          <w:vertAlign w:val="baseline"/>
        </w:rPr>
        <w:t> </w:t>
      </w:r>
      <w:r>
        <w:rPr>
          <w:sz w:val="18"/>
          <w:vertAlign w:val="baseline"/>
        </w:rPr>
        <w:t>“2023</w:t>
      </w:r>
      <w:r>
        <w:rPr>
          <w:spacing w:val="-2"/>
          <w:sz w:val="18"/>
          <w:vertAlign w:val="baseline"/>
        </w:rPr>
        <w:t> </w:t>
      </w:r>
      <w:r>
        <w:rPr>
          <w:sz w:val="18"/>
          <w:vertAlign w:val="baseline"/>
        </w:rPr>
        <w:t>Annual</w:t>
      </w:r>
      <w:r>
        <w:rPr>
          <w:spacing w:val="-3"/>
          <w:sz w:val="18"/>
          <w:vertAlign w:val="baseline"/>
        </w:rPr>
        <w:t> </w:t>
      </w:r>
      <w:r>
        <w:rPr>
          <w:sz w:val="18"/>
          <w:vertAlign w:val="baseline"/>
        </w:rPr>
        <w:t>Homeless</w:t>
      </w:r>
      <w:r>
        <w:rPr>
          <w:spacing w:val="-2"/>
          <w:sz w:val="18"/>
          <w:vertAlign w:val="baseline"/>
        </w:rPr>
        <w:t> </w:t>
      </w:r>
      <w:r>
        <w:rPr>
          <w:sz w:val="18"/>
          <w:vertAlign w:val="baseline"/>
        </w:rPr>
        <w:t>Assessment</w:t>
      </w:r>
      <w:r>
        <w:rPr>
          <w:spacing w:val="-3"/>
          <w:sz w:val="18"/>
          <w:vertAlign w:val="baseline"/>
        </w:rPr>
        <w:t> </w:t>
      </w:r>
      <w:r>
        <w:rPr>
          <w:sz w:val="18"/>
          <w:vertAlign w:val="baseline"/>
        </w:rPr>
        <w:t>Report-</w:t>
      </w:r>
      <w:r>
        <w:rPr>
          <w:spacing w:val="-2"/>
          <w:sz w:val="18"/>
          <w:vertAlign w:val="baseline"/>
        </w:rPr>
        <w:t> </w:t>
      </w:r>
      <w:r>
        <w:rPr>
          <w:sz w:val="18"/>
          <w:vertAlign w:val="baseline"/>
        </w:rPr>
        <w:t>Estimates</w:t>
      </w:r>
      <w:r>
        <w:rPr>
          <w:spacing w:val="-2"/>
          <w:sz w:val="18"/>
          <w:vertAlign w:val="baseline"/>
        </w:rPr>
        <w:t> </w:t>
      </w:r>
      <w:r>
        <w:rPr>
          <w:sz w:val="18"/>
          <w:vertAlign w:val="baseline"/>
        </w:rPr>
        <w:t>of</w:t>
      </w:r>
      <w:r>
        <w:rPr>
          <w:spacing w:val="-2"/>
          <w:sz w:val="18"/>
          <w:vertAlign w:val="baseline"/>
        </w:rPr>
        <w:t> </w:t>
      </w:r>
      <w:r>
        <w:rPr>
          <w:sz w:val="18"/>
          <w:vertAlign w:val="baseline"/>
        </w:rPr>
        <w:t>Homelessness</w:t>
      </w:r>
      <w:r>
        <w:rPr>
          <w:spacing w:val="-2"/>
          <w:sz w:val="18"/>
          <w:vertAlign w:val="baseline"/>
        </w:rPr>
        <w:t> </w:t>
      </w:r>
      <w:r>
        <w:rPr>
          <w:sz w:val="18"/>
          <w:vertAlign w:val="baseline"/>
        </w:rPr>
        <w:t>in</w:t>
      </w:r>
      <w:r>
        <w:rPr>
          <w:spacing w:val="-2"/>
          <w:sz w:val="18"/>
          <w:vertAlign w:val="baseline"/>
        </w:rPr>
        <w:t> </w:t>
      </w:r>
      <w:r>
        <w:rPr>
          <w:sz w:val="18"/>
          <w:vertAlign w:val="baseline"/>
        </w:rPr>
        <w:t>the</w:t>
      </w:r>
      <w:r>
        <w:rPr>
          <w:spacing w:val="-2"/>
          <w:sz w:val="18"/>
          <w:vertAlign w:val="baseline"/>
        </w:rPr>
        <w:t> </w:t>
      </w:r>
      <w:r>
        <w:rPr>
          <w:sz w:val="18"/>
          <w:vertAlign w:val="baseline"/>
        </w:rPr>
        <w:t>U.S.”</w:t>
      </w:r>
      <w:r>
        <w:rPr>
          <w:spacing w:val="-2"/>
          <w:sz w:val="18"/>
          <w:vertAlign w:val="baseline"/>
        </w:rPr>
        <w:t> </w:t>
      </w:r>
      <w:r>
        <w:rPr>
          <w:sz w:val="18"/>
          <w:vertAlign w:val="baseline"/>
        </w:rPr>
        <w:t>2023.</w:t>
      </w:r>
      <w:r>
        <w:rPr>
          <w:spacing w:val="-2"/>
          <w:sz w:val="18"/>
          <w:vertAlign w:val="baseline"/>
        </w:rPr>
        <w:t> </w:t>
      </w:r>
      <w:r>
        <w:rPr>
          <w:sz w:val="18"/>
          <w:vertAlign w:val="baseline"/>
        </w:rPr>
        <w:t>Office</w:t>
      </w:r>
      <w:r>
        <w:rPr>
          <w:spacing w:val="-3"/>
          <w:sz w:val="18"/>
          <w:vertAlign w:val="baseline"/>
        </w:rPr>
        <w:t> </w:t>
      </w:r>
      <w:r>
        <w:rPr>
          <w:sz w:val="18"/>
          <w:vertAlign w:val="baseline"/>
        </w:rPr>
        <w:t>of</w:t>
      </w:r>
      <w:r>
        <w:rPr>
          <w:spacing w:val="-2"/>
          <w:sz w:val="18"/>
          <w:vertAlign w:val="baseline"/>
        </w:rPr>
        <w:t> </w:t>
      </w:r>
      <w:r>
        <w:rPr>
          <w:sz w:val="18"/>
          <w:vertAlign w:val="baseline"/>
        </w:rPr>
        <w:t>Policy</w:t>
      </w:r>
      <w:r>
        <w:rPr>
          <w:spacing w:val="-2"/>
          <w:sz w:val="18"/>
          <w:vertAlign w:val="baseline"/>
        </w:rPr>
        <w:t> </w:t>
      </w:r>
      <w:r>
        <w:rPr>
          <w:sz w:val="18"/>
          <w:vertAlign w:val="baseline"/>
        </w:rPr>
        <w:t>Develop</w:t>
      </w:r>
      <w:r>
        <w:rPr>
          <w:spacing w:val="-2"/>
          <w:sz w:val="18"/>
          <w:vertAlign w:val="baseline"/>
        </w:rPr>
        <w:t> </w:t>
      </w:r>
      <w:r>
        <w:rPr>
          <w:sz w:val="18"/>
          <w:vertAlign w:val="baseline"/>
        </w:rPr>
        <w:t>and Research. December 2023. https:</w:t>
      </w:r>
      <w:hyperlink r:id="rId449">
        <w:r>
          <w:rPr>
            <w:sz w:val="18"/>
            <w:vertAlign w:val="baseline"/>
          </w:rPr>
          <w:t>//www.huduser.gov/portal/datasets/ahar/2023-ahar-part-1-pit-estimates-of-</w:t>
        </w:r>
      </w:hyperlink>
      <w:r>
        <w:rPr>
          <w:sz w:val="18"/>
          <w:vertAlign w:val="baseline"/>
        </w:rPr>
        <w:t> </w:t>
      </w:r>
      <w:r>
        <w:rPr>
          <w:spacing w:val="-2"/>
          <w:sz w:val="18"/>
          <w:vertAlign w:val="baseline"/>
        </w:rPr>
        <w:t>homelessness-in-the-us.html.</w:t>
      </w:r>
    </w:p>
    <w:p>
      <w:pPr>
        <w:spacing w:after="0"/>
        <w:jc w:val="left"/>
        <w:rPr>
          <w:sz w:val="18"/>
        </w:rPr>
        <w:sectPr>
          <w:headerReference w:type="default" r:id="rId452"/>
          <w:footerReference w:type="default" r:id="rId453"/>
          <w:pgSz w:w="12240" w:h="15840"/>
          <w:pgMar w:header="765" w:footer="1011" w:top="1280" w:bottom="1200" w:left="1120" w:right="1180"/>
        </w:sectPr>
      </w:pPr>
    </w:p>
    <w:p>
      <w:pPr>
        <w:pStyle w:val="BodyText"/>
        <w:spacing w:before="118"/>
        <w:rPr>
          <w:sz w:val="18"/>
        </w:rPr>
      </w:pPr>
    </w:p>
    <w:p>
      <w:pPr>
        <w:spacing w:before="0"/>
        <w:ind w:left="464" w:right="1493" w:hanging="1"/>
        <w:jc w:val="left"/>
        <w:rPr>
          <w:sz w:val="18"/>
        </w:rPr>
      </w:pPr>
      <w:bookmarkStart w:name="_bookmark305" w:id="527"/>
      <w:bookmarkEnd w:id="527"/>
      <w:r>
        <w:rPr/>
      </w:r>
      <w:r>
        <w:rPr>
          <w:sz w:val="18"/>
          <w:vertAlign w:val="superscript"/>
        </w:rPr>
        <w:t>32</w:t>
      </w:r>
      <w:r>
        <w:rPr>
          <w:spacing w:val="-3"/>
          <w:sz w:val="18"/>
          <w:vertAlign w:val="baseline"/>
        </w:rPr>
        <w:t> </w:t>
      </w:r>
      <w:r>
        <w:rPr>
          <w:sz w:val="18"/>
          <w:vertAlign w:val="baseline"/>
        </w:rPr>
        <w:t>“Massachusetts</w:t>
      </w:r>
      <w:r>
        <w:rPr>
          <w:spacing w:val="-4"/>
          <w:sz w:val="18"/>
          <w:vertAlign w:val="baseline"/>
        </w:rPr>
        <w:t> </w:t>
      </w:r>
      <w:r>
        <w:rPr>
          <w:sz w:val="18"/>
          <w:vertAlign w:val="baseline"/>
        </w:rPr>
        <w:t>Homeless</w:t>
      </w:r>
      <w:r>
        <w:rPr>
          <w:spacing w:val="-3"/>
          <w:sz w:val="18"/>
          <w:vertAlign w:val="baseline"/>
        </w:rPr>
        <w:t> </w:t>
      </w:r>
      <w:r>
        <w:rPr>
          <w:sz w:val="18"/>
          <w:vertAlign w:val="baseline"/>
        </w:rPr>
        <w:t>Student</w:t>
      </w:r>
      <w:r>
        <w:rPr>
          <w:spacing w:val="-4"/>
          <w:sz w:val="18"/>
          <w:vertAlign w:val="baseline"/>
        </w:rPr>
        <w:t> </w:t>
      </w:r>
      <w:r>
        <w:rPr>
          <w:sz w:val="18"/>
          <w:vertAlign w:val="baseline"/>
        </w:rPr>
        <w:t>Program</w:t>
      </w:r>
      <w:r>
        <w:rPr>
          <w:spacing w:val="-3"/>
          <w:sz w:val="18"/>
          <w:vertAlign w:val="baseline"/>
        </w:rPr>
        <w:t> </w:t>
      </w:r>
      <w:r>
        <w:rPr>
          <w:sz w:val="18"/>
          <w:vertAlign w:val="baseline"/>
        </w:rPr>
        <w:t>Data</w:t>
      </w:r>
      <w:r>
        <w:rPr>
          <w:spacing w:val="-3"/>
          <w:sz w:val="18"/>
          <w:vertAlign w:val="baseline"/>
        </w:rPr>
        <w:t> </w:t>
      </w:r>
      <w:r>
        <w:rPr>
          <w:sz w:val="18"/>
          <w:vertAlign w:val="baseline"/>
        </w:rPr>
        <w:t>2022-23</w:t>
      </w:r>
      <w:r>
        <w:rPr>
          <w:spacing w:val="-3"/>
          <w:sz w:val="18"/>
          <w:vertAlign w:val="baseline"/>
        </w:rPr>
        <w:t> </w:t>
      </w:r>
      <w:r>
        <w:rPr>
          <w:sz w:val="18"/>
          <w:vertAlign w:val="baseline"/>
        </w:rPr>
        <w:t>-</w:t>
      </w:r>
      <w:r>
        <w:rPr>
          <w:spacing w:val="-3"/>
          <w:sz w:val="18"/>
          <w:vertAlign w:val="baseline"/>
        </w:rPr>
        <w:t> </w:t>
      </w:r>
      <w:r>
        <w:rPr>
          <w:sz w:val="18"/>
          <w:vertAlign w:val="baseline"/>
        </w:rPr>
        <w:t>Student</w:t>
      </w:r>
      <w:r>
        <w:rPr>
          <w:spacing w:val="-4"/>
          <w:sz w:val="18"/>
          <w:vertAlign w:val="baseline"/>
        </w:rPr>
        <w:t> </w:t>
      </w:r>
      <w:r>
        <w:rPr>
          <w:sz w:val="18"/>
          <w:vertAlign w:val="baseline"/>
        </w:rPr>
        <w:t>and</w:t>
      </w:r>
      <w:r>
        <w:rPr>
          <w:spacing w:val="-3"/>
          <w:sz w:val="18"/>
          <w:vertAlign w:val="baseline"/>
        </w:rPr>
        <w:t> </w:t>
      </w:r>
      <w:r>
        <w:rPr>
          <w:sz w:val="18"/>
          <w:vertAlign w:val="baseline"/>
        </w:rPr>
        <w:t>Family</w:t>
      </w:r>
      <w:r>
        <w:rPr>
          <w:spacing w:val="-3"/>
          <w:sz w:val="18"/>
          <w:vertAlign w:val="baseline"/>
        </w:rPr>
        <w:t> </w:t>
      </w:r>
      <w:r>
        <w:rPr>
          <w:sz w:val="18"/>
          <w:vertAlign w:val="baseline"/>
        </w:rPr>
        <w:t>Support</w:t>
      </w:r>
      <w:r>
        <w:rPr>
          <w:spacing w:val="-4"/>
          <w:sz w:val="18"/>
          <w:vertAlign w:val="baseline"/>
        </w:rPr>
        <w:t> </w:t>
      </w:r>
      <w:r>
        <w:rPr>
          <w:sz w:val="18"/>
          <w:vertAlign w:val="baseline"/>
        </w:rPr>
        <w:t>(SFS).”</w:t>
      </w:r>
      <w:r>
        <w:rPr>
          <w:spacing w:val="-4"/>
          <w:sz w:val="18"/>
          <w:vertAlign w:val="baseline"/>
        </w:rPr>
        <w:t> </w:t>
      </w:r>
      <w:r>
        <w:rPr>
          <w:sz w:val="18"/>
          <w:vertAlign w:val="baseline"/>
        </w:rPr>
        <w:t>2023.</w:t>
      </w:r>
      <w:r>
        <w:rPr>
          <w:spacing w:val="-3"/>
          <w:sz w:val="18"/>
          <w:vertAlign w:val="baseline"/>
        </w:rPr>
        <w:t> </w:t>
      </w:r>
      <w:r>
        <w:rPr>
          <w:sz w:val="18"/>
          <w:vertAlign w:val="baseline"/>
        </w:rPr>
        <w:t>2023. </w:t>
      </w:r>
      <w:r>
        <w:rPr>
          <w:spacing w:val="-2"/>
          <w:sz w:val="18"/>
          <w:vertAlign w:val="baseline"/>
        </w:rPr>
        <w:t>https:</w:t>
      </w:r>
      <w:hyperlink r:id="rId459">
        <w:r>
          <w:rPr>
            <w:spacing w:val="-2"/>
            <w:sz w:val="18"/>
            <w:vertAlign w:val="baseline"/>
          </w:rPr>
          <w:t>//www.doe.mass.edu/sfs/mv/2022-23data.html.</w:t>
        </w:r>
      </w:hyperlink>
    </w:p>
    <w:p>
      <w:pPr>
        <w:spacing w:before="119"/>
        <w:ind w:left="464" w:right="0" w:firstLine="0"/>
        <w:jc w:val="left"/>
        <w:rPr>
          <w:sz w:val="18"/>
        </w:rPr>
      </w:pPr>
      <w:bookmarkStart w:name="_bookmark306" w:id="528"/>
      <w:bookmarkEnd w:id="528"/>
      <w:r>
        <w:rPr/>
      </w:r>
      <w:r>
        <w:rPr>
          <w:sz w:val="18"/>
          <w:vertAlign w:val="superscript"/>
        </w:rPr>
        <w:t>33</w:t>
      </w:r>
      <w:r>
        <w:rPr>
          <w:spacing w:val="-5"/>
          <w:sz w:val="18"/>
          <w:vertAlign w:val="baseline"/>
        </w:rPr>
        <w:t> </w:t>
      </w:r>
      <w:r>
        <w:rPr>
          <w:sz w:val="18"/>
          <w:vertAlign w:val="baseline"/>
        </w:rPr>
        <w:t>Gonzalez,</w:t>
      </w:r>
      <w:r>
        <w:rPr>
          <w:spacing w:val="-3"/>
          <w:sz w:val="18"/>
          <w:vertAlign w:val="baseline"/>
        </w:rPr>
        <w:t> </w:t>
      </w:r>
      <w:r>
        <w:rPr>
          <w:sz w:val="18"/>
          <w:vertAlign w:val="baseline"/>
        </w:rPr>
        <w:t>Sarah</w:t>
      </w:r>
      <w:r>
        <w:rPr>
          <w:spacing w:val="-3"/>
          <w:sz w:val="18"/>
          <w:vertAlign w:val="baseline"/>
        </w:rPr>
        <w:t> </w:t>
      </w:r>
      <w:r>
        <w:rPr>
          <w:sz w:val="18"/>
          <w:vertAlign w:val="baseline"/>
        </w:rPr>
        <w:t>Berger,</w:t>
      </w:r>
      <w:r>
        <w:rPr>
          <w:spacing w:val="-3"/>
          <w:sz w:val="18"/>
          <w:vertAlign w:val="baseline"/>
        </w:rPr>
        <w:t> </w:t>
      </w:r>
      <w:r>
        <w:rPr>
          <w:sz w:val="18"/>
          <w:vertAlign w:val="baseline"/>
        </w:rPr>
        <w:t>Matt</w:t>
      </w:r>
      <w:r>
        <w:rPr>
          <w:spacing w:val="-3"/>
          <w:sz w:val="18"/>
          <w:vertAlign w:val="baseline"/>
        </w:rPr>
        <w:t> </w:t>
      </w:r>
      <w:r>
        <w:rPr>
          <w:sz w:val="18"/>
          <w:vertAlign w:val="baseline"/>
        </w:rPr>
        <w:t>Aronson,</w:t>
      </w:r>
      <w:r>
        <w:rPr>
          <w:spacing w:val="-3"/>
          <w:sz w:val="18"/>
          <w:vertAlign w:val="baseline"/>
        </w:rPr>
        <w:t> </w:t>
      </w:r>
      <w:r>
        <w:rPr>
          <w:sz w:val="18"/>
          <w:vertAlign w:val="baseline"/>
        </w:rPr>
        <w:t>and</w:t>
      </w:r>
      <w:r>
        <w:rPr>
          <w:spacing w:val="-3"/>
          <w:sz w:val="18"/>
          <w:vertAlign w:val="baseline"/>
        </w:rPr>
        <w:t> </w:t>
      </w:r>
      <w:r>
        <w:rPr>
          <w:sz w:val="18"/>
          <w:vertAlign w:val="baseline"/>
        </w:rPr>
        <w:t>Bryan</w:t>
      </w:r>
      <w:r>
        <w:rPr>
          <w:spacing w:val="-2"/>
          <w:sz w:val="18"/>
          <w:vertAlign w:val="baseline"/>
        </w:rPr>
        <w:t> </w:t>
      </w:r>
      <w:r>
        <w:rPr>
          <w:sz w:val="18"/>
          <w:vertAlign w:val="baseline"/>
        </w:rPr>
        <w:t>Samuels.</w:t>
      </w:r>
      <w:r>
        <w:rPr>
          <w:spacing w:val="-3"/>
          <w:sz w:val="18"/>
          <w:vertAlign w:val="baseline"/>
        </w:rPr>
        <w:t> </w:t>
      </w:r>
      <w:r>
        <w:rPr>
          <w:sz w:val="18"/>
          <w:vertAlign w:val="baseline"/>
        </w:rPr>
        <w:t>2024.</w:t>
      </w:r>
      <w:r>
        <w:rPr>
          <w:spacing w:val="-2"/>
          <w:sz w:val="18"/>
          <w:vertAlign w:val="baseline"/>
        </w:rPr>
        <w:t> </w:t>
      </w:r>
      <w:r>
        <w:rPr>
          <w:sz w:val="18"/>
          <w:vertAlign w:val="baseline"/>
        </w:rPr>
        <w:t>“The</w:t>
      </w:r>
      <w:r>
        <w:rPr>
          <w:spacing w:val="-2"/>
          <w:sz w:val="18"/>
          <w:vertAlign w:val="baseline"/>
        </w:rPr>
        <w:t> </w:t>
      </w:r>
      <w:r>
        <w:rPr>
          <w:sz w:val="18"/>
          <w:vertAlign w:val="baseline"/>
        </w:rPr>
        <w:t>Count:</w:t>
      </w:r>
      <w:r>
        <w:rPr>
          <w:spacing w:val="-3"/>
          <w:sz w:val="18"/>
          <w:vertAlign w:val="baseline"/>
        </w:rPr>
        <w:t> </w:t>
      </w:r>
      <w:r>
        <w:rPr>
          <w:sz w:val="18"/>
          <w:vertAlign w:val="baseline"/>
        </w:rPr>
        <w:t>Youth</w:t>
      </w:r>
      <w:r>
        <w:rPr>
          <w:spacing w:val="-2"/>
          <w:sz w:val="18"/>
          <w:vertAlign w:val="baseline"/>
        </w:rPr>
        <w:t> </w:t>
      </w:r>
      <w:r>
        <w:rPr>
          <w:sz w:val="18"/>
          <w:vertAlign w:val="baseline"/>
        </w:rPr>
        <w:t>Homelessness,”</w:t>
      </w:r>
      <w:r>
        <w:rPr>
          <w:spacing w:val="-2"/>
          <w:sz w:val="18"/>
          <w:vertAlign w:val="baseline"/>
        </w:rPr>
        <w:t> February.</w:t>
      </w:r>
    </w:p>
    <w:p>
      <w:pPr>
        <w:spacing w:before="120"/>
        <w:ind w:left="464" w:right="627" w:hanging="1"/>
        <w:jc w:val="left"/>
        <w:rPr>
          <w:sz w:val="18"/>
        </w:rPr>
      </w:pPr>
      <w:bookmarkStart w:name="_bookmark307" w:id="529"/>
      <w:bookmarkEnd w:id="529"/>
      <w:r>
        <w:rPr/>
      </w:r>
      <w:r>
        <w:rPr>
          <w:sz w:val="18"/>
          <w:vertAlign w:val="superscript"/>
        </w:rPr>
        <w:t>34</w:t>
      </w:r>
      <w:r>
        <w:rPr>
          <w:spacing w:val="-2"/>
          <w:sz w:val="18"/>
          <w:vertAlign w:val="baseline"/>
        </w:rPr>
        <w:t> </w:t>
      </w:r>
      <w:r>
        <w:rPr>
          <w:sz w:val="18"/>
          <w:vertAlign w:val="baseline"/>
        </w:rPr>
        <w:t>“2023</w:t>
      </w:r>
      <w:r>
        <w:rPr>
          <w:spacing w:val="-2"/>
          <w:sz w:val="18"/>
          <w:vertAlign w:val="baseline"/>
        </w:rPr>
        <w:t> </w:t>
      </w:r>
      <w:r>
        <w:rPr>
          <w:sz w:val="18"/>
          <w:vertAlign w:val="baseline"/>
        </w:rPr>
        <w:t>Annual</w:t>
      </w:r>
      <w:r>
        <w:rPr>
          <w:spacing w:val="-3"/>
          <w:sz w:val="18"/>
          <w:vertAlign w:val="baseline"/>
        </w:rPr>
        <w:t> </w:t>
      </w:r>
      <w:r>
        <w:rPr>
          <w:sz w:val="18"/>
          <w:vertAlign w:val="baseline"/>
        </w:rPr>
        <w:t>Homeless</w:t>
      </w:r>
      <w:r>
        <w:rPr>
          <w:spacing w:val="-2"/>
          <w:sz w:val="18"/>
          <w:vertAlign w:val="baseline"/>
        </w:rPr>
        <w:t> </w:t>
      </w:r>
      <w:r>
        <w:rPr>
          <w:sz w:val="18"/>
          <w:vertAlign w:val="baseline"/>
        </w:rPr>
        <w:t>Assessment</w:t>
      </w:r>
      <w:r>
        <w:rPr>
          <w:spacing w:val="-3"/>
          <w:sz w:val="18"/>
          <w:vertAlign w:val="baseline"/>
        </w:rPr>
        <w:t> </w:t>
      </w:r>
      <w:r>
        <w:rPr>
          <w:sz w:val="18"/>
          <w:vertAlign w:val="baseline"/>
        </w:rPr>
        <w:t>Report-</w:t>
      </w:r>
      <w:r>
        <w:rPr>
          <w:spacing w:val="-2"/>
          <w:sz w:val="18"/>
          <w:vertAlign w:val="baseline"/>
        </w:rPr>
        <w:t> </w:t>
      </w:r>
      <w:r>
        <w:rPr>
          <w:sz w:val="18"/>
          <w:vertAlign w:val="baseline"/>
        </w:rPr>
        <w:t>Estimates</w:t>
      </w:r>
      <w:r>
        <w:rPr>
          <w:spacing w:val="-2"/>
          <w:sz w:val="18"/>
          <w:vertAlign w:val="baseline"/>
        </w:rPr>
        <w:t> </w:t>
      </w:r>
      <w:r>
        <w:rPr>
          <w:sz w:val="18"/>
          <w:vertAlign w:val="baseline"/>
        </w:rPr>
        <w:t>of</w:t>
      </w:r>
      <w:r>
        <w:rPr>
          <w:spacing w:val="-2"/>
          <w:sz w:val="18"/>
          <w:vertAlign w:val="baseline"/>
        </w:rPr>
        <w:t> </w:t>
      </w:r>
      <w:r>
        <w:rPr>
          <w:sz w:val="18"/>
          <w:vertAlign w:val="baseline"/>
        </w:rPr>
        <w:t>Homelessness</w:t>
      </w:r>
      <w:r>
        <w:rPr>
          <w:spacing w:val="-2"/>
          <w:sz w:val="18"/>
          <w:vertAlign w:val="baseline"/>
        </w:rPr>
        <w:t> </w:t>
      </w:r>
      <w:r>
        <w:rPr>
          <w:sz w:val="18"/>
          <w:vertAlign w:val="baseline"/>
        </w:rPr>
        <w:t>in</w:t>
      </w:r>
      <w:r>
        <w:rPr>
          <w:spacing w:val="-2"/>
          <w:sz w:val="18"/>
          <w:vertAlign w:val="baseline"/>
        </w:rPr>
        <w:t> </w:t>
      </w:r>
      <w:r>
        <w:rPr>
          <w:sz w:val="18"/>
          <w:vertAlign w:val="baseline"/>
        </w:rPr>
        <w:t>the</w:t>
      </w:r>
      <w:r>
        <w:rPr>
          <w:spacing w:val="-2"/>
          <w:sz w:val="18"/>
          <w:vertAlign w:val="baseline"/>
        </w:rPr>
        <w:t> </w:t>
      </w:r>
      <w:r>
        <w:rPr>
          <w:sz w:val="18"/>
          <w:vertAlign w:val="baseline"/>
        </w:rPr>
        <w:t>U.S.”</w:t>
      </w:r>
      <w:r>
        <w:rPr>
          <w:spacing w:val="-2"/>
          <w:sz w:val="18"/>
          <w:vertAlign w:val="baseline"/>
        </w:rPr>
        <w:t> </w:t>
      </w:r>
      <w:r>
        <w:rPr>
          <w:sz w:val="18"/>
          <w:vertAlign w:val="baseline"/>
        </w:rPr>
        <w:t>2023.</w:t>
      </w:r>
      <w:r>
        <w:rPr>
          <w:spacing w:val="-2"/>
          <w:sz w:val="18"/>
          <w:vertAlign w:val="baseline"/>
        </w:rPr>
        <w:t> </w:t>
      </w:r>
      <w:r>
        <w:rPr>
          <w:sz w:val="18"/>
          <w:vertAlign w:val="baseline"/>
        </w:rPr>
        <w:t>Office</w:t>
      </w:r>
      <w:r>
        <w:rPr>
          <w:spacing w:val="-3"/>
          <w:sz w:val="18"/>
          <w:vertAlign w:val="baseline"/>
        </w:rPr>
        <w:t> </w:t>
      </w:r>
      <w:r>
        <w:rPr>
          <w:sz w:val="18"/>
          <w:vertAlign w:val="baseline"/>
        </w:rPr>
        <w:t>of</w:t>
      </w:r>
      <w:r>
        <w:rPr>
          <w:spacing w:val="-2"/>
          <w:sz w:val="18"/>
          <w:vertAlign w:val="baseline"/>
        </w:rPr>
        <w:t> </w:t>
      </w:r>
      <w:r>
        <w:rPr>
          <w:sz w:val="18"/>
          <w:vertAlign w:val="baseline"/>
        </w:rPr>
        <w:t>Policy</w:t>
      </w:r>
      <w:r>
        <w:rPr>
          <w:spacing w:val="-2"/>
          <w:sz w:val="18"/>
          <w:vertAlign w:val="baseline"/>
        </w:rPr>
        <w:t> </w:t>
      </w:r>
      <w:r>
        <w:rPr>
          <w:sz w:val="18"/>
          <w:vertAlign w:val="baseline"/>
        </w:rPr>
        <w:t>Develop</w:t>
      </w:r>
      <w:r>
        <w:rPr>
          <w:spacing w:val="-2"/>
          <w:sz w:val="18"/>
          <w:vertAlign w:val="baseline"/>
        </w:rPr>
        <w:t> </w:t>
      </w:r>
      <w:r>
        <w:rPr>
          <w:sz w:val="18"/>
          <w:vertAlign w:val="baseline"/>
        </w:rPr>
        <w:t>and Research. December 2023. https:</w:t>
      </w:r>
      <w:hyperlink r:id="rId449">
        <w:r>
          <w:rPr>
            <w:sz w:val="18"/>
            <w:vertAlign w:val="baseline"/>
          </w:rPr>
          <w:t>//www.huduser.gov/portal/datasets/ahar/2023-ahar-part-1-pit-estimates-of-</w:t>
        </w:r>
      </w:hyperlink>
      <w:r>
        <w:rPr>
          <w:sz w:val="18"/>
          <w:vertAlign w:val="baseline"/>
        </w:rPr>
        <w:t> </w:t>
      </w:r>
      <w:r>
        <w:rPr>
          <w:spacing w:val="-2"/>
          <w:sz w:val="18"/>
          <w:vertAlign w:val="baseline"/>
        </w:rPr>
        <w:t>homelessness-in-the-us.html.</w:t>
      </w:r>
    </w:p>
    <w:p>
      <w:pPr>
        <w:spacing w:before="120"/>
        <w:ind w:left="464" w:right="1260" w:firstLine="0"/>
        <w:jc w:val="left"/>
        <w:rPr>
          <w:sz w:val="18"/>
        </w:rPr>
      </w:pPr>
      <w:bookmarkStart w:name="_bookmark308" w:id="530"/>
      <w:bookmarkEnd w:id="530"/>
      <w:r>
        <w:rPr/>
      </w:r>
      <w:r>
        <w:rPr>
          <w:sz w:val="18"/>
          <w:vertAlign w:val="superscript"/>
        </w:rPr>
        <w:t>35</w:t>
      </w:r>
      <w:r>
        <w:rPr>
          <w:spacing w:val="-3"/>
          <w:sz w:val="18"/>
          <w:vertAlign w:val="baseline"/>
        </w:rPr>
        <w:t> </w:t>
      </w:r>
      <w:r>
        <w:rPr>
          <w:sz w:val="18"/>
          <w:vertAlign w:val="baseline"/>
        </w:rPr>
        <w:t>“Continuum</w:t>
      </w:r>
      <w:r>
        <w:rPr>
          <w:spacing w:val="-3"/>
          <w:sz w:val="18"/>
          <w:vertAlign w:val="baseline"/>
        </w:rPr>
        <w:t> </w:t>
      </w:r>
      <w:r>
        <w:rPr>
          <w:sz w:val="18"/>
          <w:vertAlign w:val="baseline"/>
        </w:rPr>
        <w:t>of</w:t>
      </w:r>
      <w:r>
        <w:rPr>
          <w:spacing w:val="-4"/>
          <w:sz w:val="18"/>
          <w:vertAlign w:val="baseline"/>
        </w:rPr>
        <w:t> </w:t>
      </w:r>
      <w:r>
        <w:rPr>
          <w:sz w:val="18"/>
          <w:vertAlign w:val="baseline"/>
        </w:rPr>
        <w:t>Care</w:t>
      </w:r>
      <w:r>
        <w:rPr>
          <w:spacing w:val="-3"/>
          <w:sz w:val="18"/>
          <w:vertAlign w:val="baseline"/>
        </w:rPr>
        <w:t> </w:t>
      </w:r>
      <w:r>
        <w:rPr>
          <w:sz w:val="18"/>
          <w:vertAlign w:val="baseline"/>
        </w:rPr>
        <w:t>Programs</w:t>
      </w:r>
      <w:r>
        <w:rPr>
          <w:spacing w:val="-4"/>
          <w:sz w:val="18"/>
          <w:vertAlign w:val="baseline"/>
        </w:rPr>
        <w:t> </w:t>
      </w:r>
      <w:r>
        <w:rPr>
          <w:sz w:val="18"/>
          <w:vertAlign w:val="baseline"/>
        </w:rPr>
        <w:t>(COC)</w:t>
      </w:r>
      <w:r>
        <w:rPr>
          <w:spacing w:val="-3"/>
          <w:sz w:val="18"/>
          <w:vertAlign w:val="baseline"/>
        </w:rPr>
        <w:t> </w:t>
      </w:r>
      <w:r>
        <w:rPr>
          <w:sz w:val="18"/>
          <w:vertAlign w:val="baseline"/>
        </w:rPr>
        <w:t>|</w:t>
      </w:r>
      <w:r>
        <w:rPr>
          <w:spacing w:val="-3"/>
          <w:sz w:val="18"/>
          <w:vertAlign w:val="baseline"/>
        </w:rPr>
        <w:t> </w:t>
      </w:r>
      <w:r>
        <w:rPr>
          <w:sz w:val="18"/>
          <w:vertAlign w:val="baseline"/>
        </w:rPr>
        <w:t>Mass.Gov.”</w:t>
      </w:r>
      <w:r>
        <w:rPr>
          <w:spacing w:val="-3"/>
          <w:sz w:val="18"/>
          <w:vertAlign w:val="baseline"/>
        </w:rPr>
        <w:t> </w:t>
      </w:r>
      <w:r>
        <w:rPr>
          <w:sz w:val="18"/>
          <w:vertAlign w:val="baseline"/>
        </w:rPr>
        <w:t>n.d.</w:t>
      </w:r>
      <w:r>
        <w:rPr>
          <w:spacing w:val="-4"/>
          <w:sz w:val="18"/>
          <w:vertAlign w:val="baseline"/>
        </w:rPr>
        <w:t> </w:t>
      </w:r>
      <w:r>
        <w:rPr>
          <w:sz w:val="18"/>
          <w:vertAlign w:val="baseline"/>
        </w:rPr>
        <w:t>Accessed</w:t>
      </w:r>
      <w:r>
        <w:rPr>
          <w:spacing w:val="-3"/>
          <w:sz w:val="18"/>
          <w:vertAlign w:val="baseline"/>
        </w:rPr>
        <w:t> </w:t>
      </w:r>
      <w:r>
        <w:rPr>
          <w:sz w:val="18"/>
          <w:vertAlign w:val="baseline"/>
        </w:rPr>
        <w:t>March</w:t>
      </w:r>
      <w:r>
        <w:rPr>
          <w:spacing w:val="-3"/>
          <w:sz w:val="18"/>
          <w:vertAlign w:val="baseline"/>
        </w:rPr>
        <w:t> </w:t>
      </w:r>
      <w:r>
        <w:rPr>
          <w:sz w:val="18"/>
          <w:vertAlign w:val="baseline"/>
        </w:rPr>
        <w:t>14,</w:t>
      </w:r>
      <w:r>
        <w:rPr>
          <w:spacing w:val="-4"/>
          <w:sz w:val="18"/>
          <w:vertAlign w:val="baseline"/>
        </w:rPr>
        <w:t> </w:t>
      </w:r>
      <w:r>
        <w:rPr>
          <w:sz w:val="18"/>
          <w:vertAlign w:val="baseline"/>
        </w:rPr>
        <w:t>2024.</w:t>
      </w:r>
      <w:r>
        <w:rPr>
          <w:spacing w:val="-3"/>
          <w:sz w:val="18"/>
          <w:vertAlign w:val="baseline"/>
        </w:rPr>
        <w:t> </w:t>
      </w:r>
      <w:r>
        <w:rPr>
          <w:sz w:val="18"/>
          <w:vertAlign w:val="baseline"/>
        </w:rPr>
        <w:t>https:</w:t>
      </w:r>
      <w:hyperlink r:id="rId163">
        <w:r>
          <w:rPr>
            <w:sz w:val="18"/>
            <w:vertAlign w:val="baseline"/>
          </w:rPr>
          <w:t>//www.mass.gov/info-</w:t>
        </w:r>
      </w:hyperlink>
      <w:r>
        <w:rPr>
          <w:sz w:val="18"/>
          <w:vertAlign w:val="baseline"/>
        </w:rPr>
        <w:t> </w:t>
      </w:r>
      <w:r>
        <w:rPr>
          <w:spacing w:val="-2"/>
          <w:sz w:val="18"/>
          <w:vertAlign w:val="baseline"/>
        </w:rPr>
        <w:t>details/continuum-of-care-programs-coc.</w:t>
      </w:r>
    </w:p>
    <w:p>
      <w:pPr>
        <w:spacing w:before="120"/>
        <w:ind w:left="463" w:right="947" w:firstLine="0"/>
        <w:jc w:val="left"/>
        <w:rPr>
          <w:sz w:val="18"/>
        </w:rPr>
      </w:pPr>
      <w:bookmarkStart w:name="_bookmark309" w:id="531"/>
      <w:bookmarkEnd w:id="531"/>
      <w:r>
        <w:rPr/>
      </w:r>
      <w:r>
        <w:rPr>
          <w:sz w:val="18"/>
          <w:vertAlign w:val="superscript"/>
        </w:rPr>
        <w:t>36</w:t>
      </w:r>
      <w:r>
        <w:rPr>
          <w:sz w:val="18"/>
          <w:vertAlign w:val="baseline"/>
        </w:rPr>
        <w:t> “Shelter for All Genders: Best Practices for Homeless Shelters, Services, and Programs in Massachusetts in Serving Transgender,</w:t>
      </w:r>
      <w:r>
        <w:rPr>
          <w:spacing w:val="-5"/>
          <w:sz w:val="18"/>
          <w:vertAlign w:val="baseline"/>
        </w:rPr>
        <w:t> </w:t>
      </w:r>
      <w:r>
        <w:rPr>
          <w:sz w:val="18"/>
          <w:vertAlign w:val="baseline"/>
        </w:rPr>
        <w:t>Nonbinary,</w:t>
      </w:r>
      <w:r>
        <w:rPr>
          <w:spacing w:val="-5"/>
          <w:sz w:val="18"/>
          <w:vertAlign w:val="baseline"/>
        </w:rPr>
        <w:t> </w:t>
      </w:r>
      <w:r>
        <w:rPr>
          <w:sz w:val="18"/>
          <w:vertAlign w:val="baseline"/>
        </w:rPr>
        <w:t>and</w:t>
      </w:r>
      <w:r>
        <w:rPr>
          <w:spacing w:val="-4"/>
          <w:sz w:val="18"/>
          <w:vertAlign w:val="baseline"/>
        </w:rPr>
        <w:t> </w:t>
      </w:r>
      <w:r>
        <w:rPr>
          <w:sz w:val="18"/>
          <w:vertAlign w:val="baseline"/>
        </w:rPr>
        <w:t>Gender</w:t>
      </w:r>
      <w:r>
        <w:rPr>
          <w:spacing w:val="-5"/>
          <w:sz w:val="18"/>
          <w:vertAlign w:val="baseline"/>
        </w:rPr>
        <w:t> </w:t>
      </w:r>
      <w:r>
        <w:rPr>
          <w:sz w:val="18"/>
          <w:vertAlign w:val="baseline"/>
        </w:rPr>
        <w:t>Non-Conforming</w:t>
      </w:r>
      <w:r>
        <w:rPr>
          <w:spacing w:val="-4"/>
          <w:sz w:val="18"/>
          <w:vertAlign w:val="baseline"/>
        </w:rPr>
        <w:t> </w:t>
      </w:r>
      <w:r>
        <w:rPr>
          <w:sz w:val="18"/>
          <w:vertAlign w:val="baseline"/>
        </w:rPr>
        <w:t>Guests.”</w:t>
      </w:r>
      <w:r>
        <w:rPr>
          <w:spacing w:val="-4"/>
          <w:sz w:val="18"/>
          <w:vertAlign w:val="baseline"/>
        </w:rPr>
        <w:t> </w:t>
      </w:r>
      <w:r>
        <w:rPr>
          <w:sz w:val="18"/>
          <w:vertAlign w:val="baseline"/>
        </w:rPr>
        <w:t>2023.</w:t>
      </w:r>
      <w:r>
        <w:rPr>
          <w:spacing w:val="-4"/>
          <w:sz w:val="18"/>
          <w:vertAlign w:val="baseline"/>
        </w:rPr>
        <w:t> </w:t>
      </w:r>
      <w:r>
        <w:rPr>
          <w:sz w:val="18"/>
          <w:vertAlign w:val="baseline"/>
        </w:rPr>
        <w:t>Massachusetts</w:t>
      </w:r>
      <w:r>
        <w:rPr>
          <w:spacing w:val="-4"/>
          <w:sz w:val="18"/>
          <w:vertAlign w:val="baseline"/>
        </w:rPr>
        <w:t> </w:t>
      </w:r>
      <w:r>
        <w:rPr>
          <w:sz w:val="18"/>
          <w:vertAlign w:val="baseline"/>
        </w:rPr>
        <w:t>Transgender</w:t>
      </w:r>
      <w:r>
        <w:rPr>
          <w:spacing w:val="-5"/>
          <w:sz w:val="18"/>
          <w:vertAlign w:val="baseline"/>
        </w:rPr>
        <w:t> </w:t>
      </w:r>
      <w:r>
        <w:rPr>
          <w:sz w:val="18"/>
          <w:vertAlign w:val="baseline"/>
        </w:rPr>
        <w:t>Political</w:t>
      </w:r>
      <w:r>
        <w:rPr>
          <w:spacing w:val="-5"/>
          <w:sz w:val="18"/>
          <w:vertAlign w:val="baseline"/>
        </w:rPr>
        <w:t> </w:t>
      </w:r>
      <w:r>
        <w:rPr>
          <w:sz w:val="18"/>
          <w:vertAlign w:val="baseline"/>
        </w:rPr>
        <w:t>Coalition. </w:t>
      </w:r>
      <w:r>
        <w:rPr>
          <w:spacing w:val="-2"/>
          <w:sz w:val="18"/>
          <w:vertAlign w:val="baseline"/>
        </w:rPr>
        <w:t>https:</w:t>
      </w:r>
      <w:hyperlink r:id="rId460">
        <w:r>
          <w:rPr>
            <w:spacing w:val="-2"/>
            <w:sz w:val="18"/>
            <w:vertAlign w:val="baseline"/>
          </w:rPr>
          <w:t>//www.masstpc.org/wp-content/uploads/Shelter-for-All-Genders-Revised-2023-FINAL.pdf.</w:t>
        </w:r>
      </w:hyperlink>
    </w:p>
    <w:p>
      <w:pPr>
        <w:spacing w:before="121"/>
        <w:ind w:left="464" w:right="565" w:firstLine="0"/>
        <w:jc w:val="left"/>
        <w:rPr>
          <w:sz w:val="18"/>
        </w:rPr>
      </w:pPr>
      <w:bookmarkStart w:name="_bookmark310" w:id="532"/>
      <w:bookmarkEnd w:id="532"/>
      <w:r>
        <w:rPr/>
      </w:r>
      <w:r>
        <w:rPr>
          <w:sz w:val="18"/>
          <w:vertAlign w:val="superscript"/>
        </w:rPr>
        <w:t>37</w:t>
      </w:r>
      <w:r>
        <w:rPr>
          <w:spacing w:val="-2"/>
          <w:sz w:val="18"/>
          <w:vertAlign w:val="baseline"/>
        </w:rPr>
        <w:t> </w:t>
      </w:r>
      <w:r>
        <w:rPr>
          <w:sz w:val="18"/>
          <w:vertAlign w:val="baseline"/>
        </w:rPr>
        <w:t>“FY</w:t>
      </w:r>
      <w:r>
        <w:rPr>
          <w:spacing w:val="-2"/>
          <w:sz w:val="18"/>
          <w:vertAlign w:val="baseline"/>
        </w:rPr>
        <w:t> </w:t>
      </w:r>
      <w:r>
        <w:rPr>
          <w:sz w:val="18"/>
          <w:vertAlign w:val="baseline"/>
        </w:rPr>
        <w:t>2023</w:t>
      </w:r>
      <w:r>
        <w:rPr>
          <w:spacing w:val="-2"/>
          <w:sz w:val="18"/>
          <w:vertAlign w:val="baseline"/>
        </w:rPr>
        <w:t> </w:t>
      </w:r>
      <w:r>
        <w:rPr>
          <w:sz w:val="18"/>
          <w:vertAlign w:val="baseline"/>
        </w:rPr>
        <w:t>CoC</w:t>
      </w:r>
      <w:r>
        <w:rPr>
          <w:spacing w:val="-2"/>
          <w:sz w:val="18"/>
          <w:vertAlign w:val="baseline"/>
        </w:rPr>
        <w:t> </w:t>
      </w:r>
      <w:r>
        <w:rPr>
          <w:sz w:val="18"/>
          <w:vertAlign w:val="baseline"/>
        </w:rPr>
        <w:t>Program</w:t>
      </w:r>
      <w:r>
        <w:rPr>
          <w:spacing w:val="-2"/>
          <w:sz w:val="18"/>
          <w:vertAlign w:val="baseline"/>
        </w:rPr>
        <w:t> </w:t>
      </w:r>
      <w:r>
        <w:rPr>
          <w:sz w:val="18"/>
          <w:vertAlign w:val="baseline"/>
        </w:rPr>
        <w:t>Competition</w:t>
      </w:r>
      <w:r>
        <w:rPr>
          <w:spacing w:val="-2"/>
          <w:sz w:val="18"/>
          <w:vertAlign w:val="baseline"/>
        </w:rPr>
        <w:t> </w:t>
      </w:r>
      <w:r>
        <w:rPr>
          <w:sz w:val="18"/>
          <w:vertAlign w:val="baseline"/>
        </w:rPr>
        <w:t>and</w:t>
      </w:r>
      <w:r>
        <w:rPr>
          <w:spacing w:val="-2"/>
          <w:sz w:val="18"/>
          <w:vertAlign w:val="baseline"/>
        </w:rPr>
        <w:t> </w:t>
      </w:r>
      <w:r>
        <w:rPr>
          <w:sz w:val="18"/>
          <w:vertAlign w:val="baseline"/>
        </w:rPr>
        <w:t>Funding</w:t>
      </w:r>
      <w:r>
        <w:rPr>
          <w:spacing w:val="-3"/>
          <w:sz w:val="18"/>
          <w:vertAlign w:val="baseline"/>
        </w:rPr>
        <w:t> </w:t>
      </w:r>
      <w:r>
        <w:rPr>
          <w:sz w:val="18"/>
          <w:vertAlign w:val="baseline"/>
        </w:rPr>
        <w:t>Report.”</w:t>
      </w:r>
      <w:r>
        <w:rPr>
          <w:spacing w:val="-2"/>
          <w:sz w:val="18"/>
          <w:vertAlign w:val="baseline"/>
        </w:rPr>
        <w:t> </w:t>
      </w:r>
      <w:r>
        <w:rPr>
          <w:sz w:val="18"/>
          <w:vertAlign w:val="baseline"/>
        </w:rPr>
        <w:t>n.d.</w:t>
      </w:r>
      <w:r>
        <w:rPr>
          <w:spacing w:val="-2"/>
          <w:sz w:val="18"/>
          <w:vertAlign w:val="baseline"/>
        </w:rPr>
        <w:t> </w:t>
      </w:r>
      <w:r>
        <w:rPr>
          <w:sz w:val="18"/>
          <w:vertAlign w:val="baseline"/>
        </w:rPr>
        <w:t>HUD.Gov</w:t>
      </w:r>
      <w:r>
        <w:rPr>
          <w:spacing w:val="-2"/>
          <w:sz w:val="18"/>
          <w:vertAlign w:val="baseline"/>
        </w:rPr>
        <w:t> </w:t>
      </w:r>
      <w:r>
        <w:rPr>
          <w:sz w:val="18"/>
          <w:vertAlign w:val="baseline"/>
        </w:rPr>
        <w:t>/</w:t>
      </w:r>
      <w:r>
        <w:rPr>
          <w:spacing w:val="-2"/>
          <w:sz w:val="18"/>
          <w:vertAlign w:val="baseline"/>
        </w:rPr>
        <w:t> </w:t>
      </w:r>
      <w:r>
        <w:rPr>
          <w:sz w:val="18"/>
          <w:vertAlign w:val="baseline"/>
        </w:rPr>
        <w:t>U.S.</w:t>
      </w:r>
      <w:r>
        <w:rPr>
          <w:spacing w:val="-2"/>
          <w:sz w:val="18"/>
          <w:vertAlign w:val="baseline"/>
        </w:rPr>
        <w:t> </w:t>
      </w:r>
      <w:r>
        <w:rPr>
          <w:sz w:val="18"/>
          <w:vertAlign w:val="baseline"/>
        </w:rPr>
        <w:t>Department</w:t>
      </w:r>
      <w:r>
        <w:rPr>
          <w:spacing w:val="-3"/>
          <w:sz w:val="18"/>
          <w:vertAlign w:val="baseline"/>
        </w:rPr>
        <w:t> </w:t>
      </w:r>
      <w:r>
        <w:rPr>
          <w:sz w:val="18"/>
          <w:vertAlign w:val="baseline"/>
        </w:rPr>
        <w:t>of</w:t>
      </w:r>
      <w:r>
        <w:rPr>
          <w:spacing w:val="-2"/>
          <w:sz w:val="18"/>
          <w:vertAlign w:val="baseline"/>
        </w:rPr>
        <w:t> </w:t>
      </w:r>
      <w:r>
        <w:rPr>
          <w:sz w:val="18"/>
          <w:vertAlign w:val="baseline"/>
        </w:rPr>
        <w:t>Housing</w:t>
      </w:r>
      <w:r>
        <w:rPr>
          <w:spacing w:val="-2"/>
          <w:sz w:val="18"/>
          <w:vertAlign w:val="baseline"/>
        </w:rPr>
        <w:t> </w:t>
      </w:r>
      <w:r>
        <w:rPr>
          <w:sz w:val="18"/>
          <w:vertAlign w:val="baseline"/>
        </w:rPr>
        <w:t>and</w:t>
      </w:r>
      <w:r>
        <w:rPr>
          <w:spacing w:val="-2"/>
          <w:sz w:val="18"/>
          <w:vertAlign w:val="baseline"/>
        </w:rPr>
        <w:t> </w:t>
      </w:r>
      <w:r>
        <w:rPr>
          <w:sz w:val="18"/>
          <w:vertAlign w:val="baseline"/>
        </w:rPr>
        <w:t>Urban Development (HUD). Accessed April 14, 2024. </w:t>
      </w:r>
      <w:r>
        <w:rPr>
          <w:spacing w:val="-2"/>
          <w:sz w:val="18"/>
          <w:vertAlign w:val="baseline"/>
        </w:rPr>
        <w:t>https:</w:t>
      </w:r>
      <w:hyperlink r:id="rId461">
        <w:r>
          <w:rPr>
            <w:spacing w:val="-2"/>
            <w:sz w:val="18"/>
            <w:vertAlign w:val="baseline"/>
          </w:rPr>
          <w:t>//www.hud.gov/program_offices/comm_planning/coc/fy_2023_coc_competition.</w:t>
        </w:r>
      </w:hyperlink>
    </w:p>
    <w:p>
      <w:pPr>
        <w:spacing w:before="119"/>
        <w:ind w:left="464" w:right="1268" w:firstLine="0"/>
        <w:jc w:val="left"/>
        <w:rPr>
          <w:sz w:val="18"/>
        </w:rPr>
      </w:pPr>
      <w:bookmarkStart w:name="_bookmark311" w:id="533"/>
      <w:bookmarkEnd w:id="533"/>
      <w:r>
        <w:rPr/>
      </w:r>
      <w:r>
        <w:rPr>
          <w:sz w:val="18"/>
          <w:vertAlign w:val="superscript"/>
        </w:rPr>
        <w:t>38</w:t>
      </w:r>
      <w:r>
        <w:rPr>
          <w:sz w:val="18"/>
          <w:vertAlign w:val="baseline"/>
        </w:rPr>
        <w:t> “Continuum of Care | Barnstable County, Cape Cod.” 2024. Barnstable County. February 2024. </w:t>
      </w:r>
      <w:r>
        <w:rPr>
          <w:spacing w:val="-2"/>
          <w:sz w:val="18"/>
          <w:vertAlign w:val="baseline"/>
        </w:rPr>
        <w:t>https:</w:t>
      </w:r>
      <w:hyperlink r:id="rId462">
        <w:r>
          <w:rPr>
            <w:spacing w:val="-2"/>
            <w:sz w:val="18"/>
            <w:vertAlign w:val="baseline"/>
          </w:rPr>
          <w:t>//www.capecod.gov/departments/human-services/initiatives/housing-homelessness/continuum-of-care/.</w:t>
        </w:r>
      </w:hyperlink>
    </w:p>
    <w:p>
      <w:pPr>
        <w:spacing w:before="120"/>
        <w:ind w:left="464" w:right="1581" w:hanging="1"/>
        <w:jc w:val="left"/>
        <w:rPr>
          <w:sz w:val="18"/>
        </w:rPr>
      </w:pPr>
      <w:bookmarkStart w:name="_bookmark312" w:id="534"/>
      <w:bookmarkEnd w:id="534"/>
      <w:r>
        <w:rPr/>
      </w:r>
      <w:r>
        <w:rPr>
          <w:sz w:val="18"/>
          <w:vertAlign w:val="superscript"/>
        </w:rPr>
        <w:t>39</w:t>
      </w:r>
      <w:r>
        <w:rPr>
          <w:sz w:val="18"/>
          <w:vertAlign w:val="baseline"/>
        </w:rPr>
        <w:t> “Joint TH-RRH Program Component Presentation.Pdf.” n.d. Accessed May 1, 2024. </w:t>
      </w:r>
      <w:r>
        <w:rPr>
          <w:spacing w:val="-2"/>
          <w:sz w:val="18"/>
          <w:vertAlign w:val="baseline"/>
        </w:rPr>
        <w:t>https:</w:t>
      </w:r>
      <w:hyperlink r:id="rId463">
        <w:r>
          <w:rPr>
            <w:spacing w:val="-2"/>
            <w:sz w:val="18"/>
            <w:vertAlign w:val="baseline"/>
          </w:rPr>
          <w:t>//www.hud.gov/sites/dfiles/State/documents/Joint_TH-RRH_Program_Component_Presentation.pdf.</w:t>
        </w:r>
      </w:hyperlink>
    </w:p>
    <w:p>
      <w:pPr>
        <w:spacing w:before="121"/>
        <w:ind w:left="464" w:right="528" w:hanging="1"/>
        <w:jc w:val="left"/>
        <w:rPr>
          <w:sz w:val="18"/>
        </w:rPr>
      </w:pPr>
      <w:bookmarkStart w:name="_bookmark313" w:id="535"/>
      <w:bookmarkEnd w:id="535"/>
      <w:r>
        <w:rPr/>
      </w:r>
      <w:r>
        <w:rPr>
          <w:sz w:val="18"/>
          <w:vertAlign w:val="superscript"/>
        </w:rPr>
        <w:t>40</w:t>
      </w:r>
      <w:r>
        <w:rPr>
          <w:sz w:val="18"/>
          <w:vertAlign w:val="baseline"/>
        </w:rPr>
        <w:t> Gewirtz OBrien, Janna R., Annie Lemieux, Emma McGrew, Zeinab Mohamud, and Meghan Ford. 2024. “Youth-Driven Systems</w:t>
      </w:r>
      <w:r>
        <w:rPr>
          <w:spacing w:val="-3"/>
          <w:sz w:val="18"/>
          <w:vertAlign w:val="baseline"/>
        </w:rPr>
        <w:t> </w:t>
      </w:r>
      <w:r>
        <w:rPr>
          <w:sz w:val="18"/>
          <w:vertAlign w:val="baseline"/>
        </w:rPr>
        <w:t>Alignment</w:t>
      </w:r>
      <w:r>
        <w:rPr>
          <w:spacing w:val="-4"/>
          <w:sz w:val="18"/>
          <w:vertAlign w:val="baseline"/>
        </w:rPr>
        <w:t> </w:t>
      </w:r>
      <w:r>
        <w:rPr>
          <w:sz w:val="18"/>
          <w:vertAlign w:val="baseline"/>
        </w:rPr>
        <w:t>Strategies</w:t>
      </w:r>
      <w:r>
        <w:rPr>
          <w:spacing w:val="-3"/>
          <w:sz w:val="18"/>
          <w:vertAlign w:val="baseline"/>
        </w:rPr>
        <w:t> </w:t>
      </w:r>
      <w:r>
        <w:rPr>
          <w:sz w:val="18"/>
          <w:vertAlign w:val="baseline"/>
        </w:rPr>
        <w:t>to</w:t>
      </w:r>
      <w:r>
        <w:rPr>
          <w:spacing w:val="-5"/>
          <w:sz w:val="18"/>
          <w:vertAlign w:val="baseline"/>
        </w:rPr>
        <w:t> </w:t>
      </w:r>
      <w:r>
        <w:rPr>
          <w:sz w:val="18"/>
          <w:vertAlign w:val="baseline"/>
        </w:rPr>
        <w:t>Optimize</w:t>
      </w:r>
      <w:r>
        <w:rPr>
          <w:spacing w:val="-3"/>
          <w:sz w:val="18"/>
          <w:vertAlign w:val="baseline"/>
        </w:rPr>
        <w:t> </w:t>
      </w:r>
      <w:r>
        <w:rPr>
          <w:sz w:val="18"/>
          <w:vertAlign w:val="baseline"/>
        </w:rPr>
        <w:t>Health</w:t>
      </w:r>
      <w:r>
        <w:rPr>
          <w:spacing w:val="-2"/>
          <w:sz w:val="18"/>
          <w:vertAlign w:val="baseline"/>
        </w:rPr>
        <w:t> </w:t>
      </w:r>
      <w:r>
        <w:rPr>
          <w:sz w:val="18"/>
          <w:vertAlign w:val="baseline"/>
        </w:rPr>
        <w:t>Among</w:t>
      </w:r>
      <w:r>
        <w:rPr>
          <w:spacing w:val="-3"/>
          <w:sz w:val="18"/>
          <w:vertAlign w:val="baseline"/>
        </w:rPr>
        <w:t> </w:t>
      </w:r>
      <w:r>
        <w:rPr>
          <w:sz w:val="18"/>
          <w:vertAlign w:val="baseline"/>
        </w:rPr>
        <w:t>Youth</w:t>
      </w:r>
      <w:r>
        <w:rPr>
          <w:spacing w:val="-3"/>
          <w:sz w:val="18"/>
          <w:vertAlign w:val="baseline"/>
        </w:rPr>
        <w:t> </w:t>
      </w:r>
      <w:r>
        <w:rPr>
          <w:sz w:val="18"/>
          <w:vertAlign w:val="baseline"/>
        </w:rPr>
        <w:t>Experiencing</w:t>
      </w:r>
      <w:r>
        <w:rPr>
          <w:spacing w:val="-3"/>
          <w:sz w:val="18"/>
          <w:vertAlign w:val="baseline"/>
        </w:rPr>
        <w:t> </w:t>
      </w:r>
      <w:r>
        <w:rPr>
          <w:sz w:val="18"/>
          <w:vertAlign w:val="baseline"/>
        </w:rPr>
        <w:t>Homelessness.”</w:t>
      </w:r>
      <w:r>
        <w:rPr>
          <w:spacing w:val="-3"/>
          <w:sz w:val="18"/>
          <w:vertAlign w:val="baseline"/>
        </w:rPr>
        <w:t> </w:t>
      </w:r>
      <w:r>
        <w:rPr>
          <w:i/>
          <w:sz w:val="18"/>
          <w:vertAlign w:val="baseline"/>
        </w:rPr>
        <w:t>Journal</w:t>
      </w:r>
      <w:r>
        <w:rPr>
          <w:i/>
          <w:spacing w:val="-4"/>
          <w:sz w:val="18"/>
          <w:vertAlign w:val="baseline"/>
        </w:rPr>
        <w:t> </w:t>
      </w:r>
      <w:r>
        <w:rPr>
          <w:i/>
          <w:sz w:val="18"/>
          <w:vertAlign w:val="baseline"/>
        </w:rPr>
        <w:t>of</w:t>
      </w:r>
      <w:r>
        <w:rPr>
          <w:i/>
          <w:spacing w:val="-3"/>
          <w:sz w:val="18"/>
          <w:vertAlign w:val="baseline"/>
        </w:rPr>
        <w:t> </w:t>
      </w:r>
      <w:r>
        <w:rPr>
          <w:i/>
          <w:sz w:val="18"/>
          <w:vertAlign w:val="baseline"/>
        </w:rPr>
        <w:t>Adolescent</w:t>
      </w:r>
      <w:r>
        <w:rPr>
          <w:i/>
          <w:spacing w:val="-4"/>
          <w:sz w:val="18"/>
          <w:vertAlign w:val="baseline"/>
        </w:rPr>
        <w:t> </w:t>
      </w:r>
      <w:r>
        <w:rPr>
          <w:i/>
          <w:sz w:val="18"/>
          <w:vertAlign w:val="baseline"/>
        </w:rPr>
        <w:t>Health</w:t>
      </w:r>
      <w:r>
        <w:rPr>
          <w:i/>
          <w:sz w:val="18"/>
          <w:vertAlign w:val="baseline"/>
        </w:rPr>
        <w:t> </w:t>
      </w:r>
      <w:r>
        <w:rPr>
          <w:sz w:val="18"/>
          <w:vertAlign w:val="baseline"/>
        </w:rPr>
        <w:t>74 (3): S15–16. https://doi.org/10.1016/j.jadohealth.2023.11.223.</w:t>
      </w:r>
    </w:p>
    <w:p>
      <w:pPr>
        <w:spacing w:before="119"/>
        <w:ind w:left="464" w:right="565" w:firstLine="0"/>
        <w:jc w:val="left"/>
        <w:rPr>
          <w:sz w:val="18"/>
        </w:rPr>
      </w:pPr>
      <w:bookmarkStart w:name="_bookmark314" w:id="536"/>
      <w:bookmarkEnd w:id="536"/>
      <w:r>
        <w:rPr/>
      </w:r>
      <w:r>
        <w:rPr>
          <w:sz w:val="18"/>
          <w:vertAlign w:val="superscript"/>
        </w:rPr>
        <w:t>41</w:t>
      </w:r>
      <w:r>
        <w:rPr>
          <w:spacing w:val="-2"/>
          <w:sz w:val="18"/>
          <w:vertAlign w:val="baseline"/>
        </w:rPr>
        <w:t> </w:t>
      </w:r>
      <w:r>
        <w:rPr>
          <w:sz w:val="18"/>
          <w:vertAlign w:val="baseline"/>
        </w:rPr>
        <w:t>Maccio,</w:t>
      </w:r>
      <w:r>
        <w:rPr>
          <w:spacing w:val="-3"/>
          <w:sz w:val="18"/>
          <w:vertAlign w:val="baseline"/>
        </w:rPr>
        <w:t> </w:t>
      </w:r>
      <w:r>
        <w:rPr>
          <w:sz w:val="18"/>
          <w:vertAlign w:val="baseline"/>
        </w:rPr>
        <w:t>Elaine</w:t>
      </w:r>
      <w:r>
        <w:rPr>
          <w:spacing w:val="-2"/>
          <w:sz w:val="18"/>
          <w:vertAlign w:val="baseline"/>
        </w:rPr>
        <w:t> </w:t>
      </w:r>
      <w:r>
        <w:rPr>
          <w:sz w:val="18"/>
          <w:vertAlign w:val="baseline"/>
        </w:rPr>
        <w:t>M.,</w:t>
      </w:r>
      <w:r>
        <w:rPr>
          <w:spacing w:val="-3"/>
          <w:sz w:val="18"/>
          <w:vertAlign w:val="baseline"/>
        </w:rPr>
        <w:t> </w:t>
      </w:r>
      <w:r>
        <w:rPr>
          <w:sz w:val="18"/>
          <w:vertAlign w:val="baseline"/>
        </w:rPr>
        <w:t>and</w:t>
      </w:r>
      <w:r>
        <w:rPr>
          <w:spacing w:val="-2"/>
          <w:sz w:val="18"/>
          <w:vertAlign w:val="baseline"/>
        </w:rPr>
        <w:t> </w:t>
      </w:r>
      <w:r>
        <w:rPr>
          <w:sz w:val="18"/>
          <w:vertAlign w:val="baseline"/>
        </w:rPr>
        <w:t>Kristin</w:t>
      </w:r>
      <w:r>
        <w:rPr>
          <w:spacing w:val="-2"/>
          <w:sz w:val="18"/>
          <w:vertAlign w:val="baseline"/>
        </w:rPr>
        <w:t> </w:t>
      </w:r>
      <w:r>
        <w:rPr>
          <w:sz w:val="18"/>
          <w:vertAlign w:val="baseline"/>
        </w:rPr>
        <w:t>M.</w:t>
      </w:r>
      <w:r>
        <w:rPr>
          <w:spacing w:val="-2"/>
          <w:sz w:val="18"/>
          <w:vertAlign w:val="baseline"/>
        </w:rPr>
        <w:t> </w:t>
      </w:r>
      <w:r>
        <w:rPr>
          <w:sz w:val="18"/>
          <w:vertAlign w:val="baseline"/>
        </w:rPr>
        <w:t>Ferguson.</w:t>
      </w:r>
      <w:r>
        <w:rPr>
          <w:spacing w:val="-2"/>
          <w:sz w:val="18"/>
          <w:vertAlign w:val="baseline"/>
        </w:rPr>
        <w:t> </w:t>
      </w:r>
      <w:r>
        <w:rPr>
          <w:sz w:val="18"/>
          <w:vertAlign w:val="baseline"/>
        </w:rPr>
        <w:t>2016.</w:t>
      </w:r>
      <w:r>
        <w:rPr>
          <w:spacing w:val="-2"/>
          <w:sz w:val="18"/>
          <w:vertAlign w:val="baseline"/>
        </w:rPr>
        <w:t> </w:t>
      </w:r>
      <w:r>
        <w:rPr>
          <w:sz w:val="18"/>
          <w:vertAlign w:val="baseline"/>
        </w:rPr>
        <w:t>“Services</w:t>
      </w:r>
      <w:r>
        <w:rPr>
          <w:spacing w:val="-2"/>
          <w:sz w:val="18"/>
          <w:vertAlign w:val="baseline"/>
        </w:rPr>
        <w:t> </w:t>
      </w:r>
      <w:r>
        <w:rPr>
          <w:sz w:val="18"/>
          <w:vertAlign w:val="baseline"/>
        </w:rPr>
        <w:t>to</w:t>
      </w:r>
      <w:r>
        <w:rPr>
          <w:spacing w:val="-4"/>
          <w:sz w:val="18"/>
          <w:vertAlign w:val="baseline"/>
        </w:rPr>
        <w:t> </w:t>
      </w:r>
      <w:r>
        <w:rPr>
          <w:sz w:val="18"/>
          <w:vertAlign w:val="baseline"/>
        </w:rPr>
        <w:t>LGBTQ</w:t>
      </w:r>
      <w:r>
        <w:rPr>
          <w:spacing w:val="-2"/>
          <w:sz w:val="18"/>
          <w:vertAlign w:val="baseline"/>
        </w:rPr>
        <w:t> </w:t>
      </w:r>
      <w:r>
        <w:rPr>
          <w:sz w:val="18"/>
          <w:vertAlign w:val="baseline"/>
        </w:rPr>
        <w:t>Runaway</w:t>
      </w:r>
      <w:r>
        <w:rPr>
          <w:spacing w:val="-3"/>
          <w:sz w:val="18"/>
          <w:vertAlign w:val="baseline"/>
        </w:rPr>
        <w:t> </w:t>
      </w:r>
      <w:r>
        <w:rPr>
          <w:sz w:val="18"/>
          <w:vertAlign w:val="baseline"/>
        </w:rPr>
        <w:t>and</w:t>
      </w:r>
      <w:r>
        <w:rPr>
          <w:spacing w:val="-2"/>
          <w:sz w:val="18"/>
          <w:vertAlign w:val="baseline"/>
        </w:rPr>
        <w:t> </w:t>
      </w:r>
      <w:r>
        <w:rPr>
          <w:sz w:val="18"/>
          <w:vertAlign w:val="baseline"/>
        </w:rPr>
        <w:t>Homeless</w:t>
      </w:r>
      <w:r>
        <w:rPr>
          <w:spacing w:val="-2"/>
          <w:sz w:val="18"/>
          <w:vertAlign w:val="baseline"/>
        </w:rPr>
        <w:t> </w:t>
      </w:r>
      <w:r>
        <w:rPr>
          <w:sz w:val="18"/>
          <w:vertAlign w:val="baseline"/>
        </w:rPr>
        <w:t>Youth:</w:t>
      </w:r>
      <w:r>
        <w:rPr>
          <w:spacing w:val="-2"/>
          <w:sz w:val="18"/>
          <w:vertAlign w:val="baseline"/>
        </w:rPr>
        <w:t> </w:t>
      </w:r>
      <w:r>
        <w:rPr>
          <w:sz w:val="18"/>
          <w:vertAlign w:val="baseline"/>
        </w:rPr>
        <w:t>Gaps</w:t>
      </w:r>
      <w:r>
        <w:rPr>
          <w:spacing w:val="-2"/>
          <w:sz w:val="18"/>
          <w:vertAlign w:val="baseline"/>
        </w:rPr>
        <w:t> </w:t>
      </w:r>
      <w:r>
        <w:rPr>
          <w:sz w:val="18"/>
          <w:vertAlign w:val="baseline"/>
        </w:rPr>
        <w:t>and Recommendations.” </w:t>
      </w:r>
      <w:r>
        <w:rPr>
          <w:i/>
          <w:sz w:val="18"/>
          <w:vertAlign w:val="baseline"/>
        </w:rPr>
        <w:t>Children and Youth Services Review </w:t>
      </w:r>
      <w:r>
        <w:rPr>
          <w:sz w:val="18"/>
          <w:vertAlign w:val="baseline"/>
        </w:rPr>
        <w:t>63 (April): 47–57. </w:t>
      </w:r>
      <w:r>
        <w:rPr>
          <w:spacing w:val="-2"/>
          <w:sz w:val="18"/>
          <w:vertAlign w:val="baseline"/>
        </w:rPr>
        <w:t>https://doi.org/10.1016/j.childyouth.2016.02.008.</w:t>
      </w:r>
    </w:p>
    <w:p>
      <w:pPr>
        <w:spacing w:before="120"/>
        <w:ind w:left="464" w:right="0" w:firstLine="0"/>
        <w:jc w:val="left"/>
        <w:rPr>
          <w:i/>
          <w:sz w:val="18"/>
        </w:rPr>
      </w:pPr>
      <w:bookmarkStart w:name="_bookmark315" w:id="537"/>
      <w:bookmarkEnd w:id="537"/>
      <w:r>
        <w:rPr/>
      </w:r>
      <w:r>
        <w:rPr>
          <w:sz w:val="18"/>
          <w:vertAlign w:val="superscript"/>
        </w:rPr>
        <w:t>42</w:t>
      </w:r>
      <w:r>
        <w:rPr>
          <w:spacing w:val="-5"/>
          <w:sz w:val="18"/>
          <w:vertAlign w:val="baseline"/>
        </w:rPr>
        <w:t> </w:t>
      </w:r>
      <w:r>
        <w:rPr>
          <w:sz w:val="18"/>
          <w:vertAlign w:val="baseline"/>
        </w:rPr>
        <w:t>Lee,</w:t>
      </w:r>
      <w:r>
        <w:rPr>
          <w:spacing w:val="-4"/>
          <w:sz w:val="18"/>
          <w:vertAlign w:val="baseline"/>
        </w:rPr>
        <w:t> </w:t>
      </w:r>
      <w:r>
        <w:rPr>
          <w:sz w:val="18"/>
          <w:vertAlign w:val="baseline"/>
        </w:rPr>
        <w:t>Leconte.</w:t>
      </w:r>
      <w:r>
        <w:rPr>
          <w:spacing w:val="-3"/>
          <w:sz w:val="18"/>
          <w:vertAlign w:val="baseline"/>
        </w:rPr>
        <w:t> </w:t>
      </w:r>
      <w:r>
        <w:rPr>
          <w:sz w:val="18"/>
          <w:vertAlign w:val="baseline"/>
        </w:rPr>
        <w:t>2023.</w:t>
      </w:r>
      <w:r>
        <w:rPr>
          <w:spacing w:val="-2"/>
          <w:sz w:val="18"/>
          <w:vertAlign w:val="baseline"/>
        </w:rPr>
        <w:t> </w:t>
      </w:r>
      <w:r>
        <w:rPr>
          <w:sz w:val="18"/>
          <w:vertAlign w:val="baseline"/>
        </w:rPr>
        <w:t>“The</w:t>
      </w:r>
      <w:r>
        <w:rPr>
          <w:spacing w:val="-3"/>
          <w:sz w:val="18"/>
          <w:vertAlign w:val="baseline"/>
        </w:rPr>
        <w:t> </w:t>
      </w:r>
      <w:r>
        <w:rPr>
          <w:sz w:val="18"/>
          <w:vertAlign w:val="baseline"/>
        </w:rPr>
        <w:t>Pitfalls</w:t>
      </w:r>
      <w:r>
        <w:rPr>
          <w:spacing w:val="-3"/>
          <w:sz w:val="18"/>
          <w:vertAlign w:val="baseline"/>
        </w:rPr>
        <w:t> </w:t>
      </w:r>
      <w:r>
        <w:rPr>
          <w:sz w:val="18"/>
          <w:vertAlign w:val="baseline"/>
        </w:rPr>
        <w:t>of</w:t>
      </w:r>
      <w:r>
        <w:rPr>
          <w:spacing w:val="-2"/>
          <w:sz w:val="18"/>
          <w:vertAlign w:val="baseline"/>
        </w:rPr>
        <w:t> </w:t>
      </w:r>
      <w:r>
        <w:rPr>
          <w:sz w:val="18"/>
          <w:vertAlign w:val="baseline"/>
        </w:rPr>
        <w:t>HUD’s</w:t>
      </w:r>
      <w:r>
        <w:rPr>
          <w:spacing w:val="-3"/>
          <w:sz w:val="18"/>
          <w:vertAlign w:val="baseline"/>
        </w:rPr>
        <w:t> </w:t>
      </w:r>
      <w:r>
        <w:rPr>
          <w:sz w:val="18"/>
          <w:vertAlign w:val="baseline"/>
        </w:rPr>
        <w:t>Point-in-Time</w:t>
      </w:r>
      <w:r>
        <w:rPr>
          <w:spacing w:val="-3"/>
          <w:sz w:val="18"/>
          <w:vertAlign w:val="baseline"/>
        </w:rPr>
        <w:t> </w:t>
      </w:r>
      <w:r>
        <w:rPr>
          <w:sz w:val="18"/>
          <w:vertAlign w:val="baseline"/>
        </w:rPr>
        <w:t>Count</w:t>
      </w:r>
      <w:r>
        <w:rPr>
          <w:spacing w:val="-3"/>
          <w:sz w:val="18"/>
          <w:vertAlign w:val="baseline"/>
        </w:rPr>
        <w:t> </w:t>
      </w:r>
      <w:r>
        <w:rPr>
          <w:sz w:val="18"/>
          <w:vertAlign w:val="baseline"/>
        </w:rPr>
        <w:t>for</w:t>
      </w:r>
      <w:r>
        <w:rPr>
          <w:spacing w:val="-4"/>
          <w:sz w:val="18"/>
          <w:vertAlign w:val="baseline"/>
        </w:rPr>
        <w:t> </w:t>
      </w:r>
      <w:r>
        <w:rPr>
          <w:sz w:val="18"/>
          <w:vertAlign w:val="baseline"/>
        </w:rPr>
        <w:t>Children,</w:t>
      </w:r>
      <w:r>
        <w:rPr>
          <w:spacing w:val="-4"/>
          <w:sz w:val="18"/>
          <w:vertAlign w:val="baseline"/>
        </w:rPr>
        <w:t> </w:t>
      </w:r>
      <w:r>
        <w:rPr>
          <w:sz w:val="18"/>
          <w:vertAlign w:val="baseline"/>
        </w:rPr>
        <w:t>Youth,</w:t>
      </w:r>
      <w:r>
        <w:rPr>
          <w:spacing w:val="-3"/>
          <w:sz w:val="18"/>
          <w:vertAlign w:val="baseline"/>
        </w:rPr>
        <w:t> </w:t>
      </w:r>
      <w:r>
        <w:rPr>
          <w:sz w:val="18"/>
          <w:vertAlign w:val="baseline"/>
        </w:rPr>
        <w:t>and</w:t>
      </w:r>
      <w:r>
        <w:rPr>
          <w:spacing w:val="-3"/>
          <w:sz w:val="18"/>
          <w:vertAlign w:val="baseline"/>
        </w:rPr>
        <w:t> </w:t>
      </w:r>
      <w:r>
        <w:rPr>
          <w:sz w:val="18"/>
          <w:vertAlign w:val="baseline"/>
        </w:rPr>
        <w:t>Families.”</w:t>
      </w:r>
      <w:r>
        <w:rPr>
          <w:spacing w:val="-3"/>
          <w:sz w:val="18"/>
          <w:vertAlign w:val="baseline"/>
        </w:rPr>
        <w:t> </w:t>
      </w:r>
      <w:r>
        <w:rPr>
          <w:i/>
          <w:sz w:val="18"/>
          <w:vertAlign w:val="baseline"/>
        </w:rPr>
        <w:t>SchoolHouse</w:t>
      </w:r>
      <w:r>
        <w:rPr>
          <w:i/>
          <w:spacing w:val="-2"/>
          <w:sz w:val="18"/>
          <w:vertAlign w:val="baseline"/>
        </w:rPr>
        <w:t> Connection</w:t>
      </w:r>
    </w:p>
    <w:p>
      <w:pPr>
        <w:spacing w:before="0"/>
        <w:ind w:left="463" w:right="0" w:firstLine="0"/>
        <w:jc w:val="left"/>
        <w:rPr>
          <w:sz w:val="18"/>
        </w:rPr>
      </w:pPr>
      <w:r>
        <w:rPr>
          <w:spacing w:val="-2"/>
          <w:sz w:val="18"/>
        </w:rPr>
        <w:t>(blog).</w:t>
      </w:r>
      <w:r>
        <w:rPr>
          <w:spacing w:val="34"/>
          <w:sz w:val="18"/>
        </w:rPr>
        <w:t> </w:t>
      </w:r>
      <w:r>
        <w:rPr>
          <w:spacing w:val="-2"/>
          <w:sz w:val="18"/>
        </w:rPr>
        <w:t>December</w:t>
      </w:r>
      <w:r>
        <w:rPr>
          <w:spacing w:val="34"/>
          <w:sz w:val="18"/>
        </w:rPr>
        <w:t> </w:t>
      </w:r>
      <w:r>
        <w:rPr>
          <w:spacing w:val="-2"/>
          <w:sz w:val="18"/>
        </w:rPr>
        <w:t>19,</w:t>
      </w:r>
      <w:r>
        <w:rPr>
          <w:spacing w:val="34"/>
          <w:sz w:val="18"/>
        </w:rPr>
        <w:t> </w:t>
      </w:r>
      <w:r>
        <w:rPr>
          <w:spacing w:val="-2"/>
          <w:sz w:val="18"/>
        </w:rPr>
        <w:t>2023.</w:t>
      </w:r>
      <w:r>
        <w:rPr>
          <w:spacing w:val="37"/>
          <w:sz w:val="18"/>
        </w:rPr>
        <w:t> </w:t>
      </w:r>
      <w:r>
        <w:rPr>
          <w:spacing w:val="-2"/>
          <w:sz w:val="18"/>
        </w:rPr>
        <w:t>https://schoolhouseconnection.org/the-pitfalls-of-huds-point-in-time-count/.</w:t>
      </w:r>
    </w:p>
    <w:p>
      <w:pPr>
        <w:spacing w:after="0"/>
        <w:jc w:val="left"/>
        <w:rPr>
          <w:sz w:val="18"/>
        </w:rPr>
        <w:sectPr>
          <w:headerReference w:type="default" r:id="rId457"/>
          <w:footerReference w:type="default" r:id="rId458"/>
          <w:pgSz w:w="12240" w:h="15840"/>
          <w:pgMar w:header="765" w:footer="1197" w:top="1280" w:bottom="1380" w:left="1120" w:right="1180"/>
        </w:sectPr>
      </w:pPr>
    </w:p>
    <w:p>
      <w:pPr>
        <w:pStyle w:val="BodyText"/>
        <w:rPr>
          <w:sz w:val="34"/>
        </w:rPr>
      </w:pPr>
    </w:p>
    <w:p>
      <w:pPr>
        <w:pStyle w:val="BodyText"/>
        <w:spacing w:before="243"/>
        <w:rPr>
          <w:sz w:val="34"/>
        </w:rPr>
      </w:pPr>
    </w:p>
    <w:p>
      <w:pPr>
        <w:spacing w:line="361" w:lineRule="exact" w:before="1"/>
        <w:ind w:left="674" w:right="0" w:firstLine="0"/>
        <w:jc w:val="left"/>
        <w:rPr>
          <w:sz w:val="34"/>
        </w:rPr>
      </w:pPr>
      <w:bookmarkStart w:name="Flyer Template for Reports Gianna, Theo " w:id="538"/>
      <w:bookmarkEnd w:id="538"/>
      <w:r>
        <w:rPr/>
      </w:r>
      <w:r>
        <w:rPr>
          <w:color w:val="FFFFFF"/>
          <w:w w:val="120"/>
          <w:sz w:val="34"/>
        </w:rPr>
        <w:t>COMMISSION</w:t>
      </w:r>
      <w:r>
        <w:rPr>
          <w:color w:val="FFFFFF"/>
          <w:spacing w:val="17"/>
          <w:w w:val="120"/>
          <w:sz w:val="34"/>
        </w:rPr>
        <w:t> </w:t>
      </w:r>
      <w:r>
        <w:rPr>
          <w:color w:val="FFFFFF"/>
          <w:w w:val="120"/>
          <w:sz w:val="34"/>
        </w:rPr>
        <w:t>ON</w:t>
      </w:r>
      <w:r>
        <w:rPr>
          <w:color w:val="FFFFFF"/>
          <w:spacing w:val="17"/>
          <w:w w:val="120"/>
          <w:sz w:val="34"/>
        </w:rPr>
        <w:t> </w:t>
      </w:r>
      <w:r>
        <w:rPr>
          <w:color w:val="FFFFFF"/>
          <w:w w:val="120"/>
          <w:sz w:val="34"/>
        </w:rPr>
        <w:t>LGBTQ</w:t>
      </w:r>
      <w:r>
        <w:rPr>
          <w:color w:val="FFFFFF"/>
          <w:spacing w:val="17"/>
          <w:w w:val="120"/>
          <w:sz w:val="34"/>
        </w:rPr>
        <w:t> </w:t>
      </w:r>
      <w:r>
        <w:rPr>
          <w:color w:val="FFFFFF"/>
          <w:spacing w:val="-2"/>
          <w:w w:val="120"/>
          <w:sz w:val="34"/>
        </w:rPr>
        <w:t>YOUTH</w:t>
      </w:r>
    </w:p>
    <w:p>
      <w:pPr>
        <w:spacing w:line="187" w:lineRule="auto" w:before="120"/>
        <w:ind w:left="674" w:right="1403" w:firstLine="0"/>
        <w:jc w:val="left"/>
        <w:rPr>
          <w:rFonts w:ascii="Arial Black"/>
          <w:sz w:val="72"/>
        </w:rPr>
      </w:pPr>
      <w:r>
        <w:rPr>
          <w:rFonts w:ascii="Arial Black"/>
          <w:color w:val="FFFFFF"/>
          <w:spacing w:val="-2"/>
          <w:sz w:val="72"/>
        </w:rPr>
        <w:t>ENDING </w:t>
      </w:r>
      <w:r>
        <w:rPr>
          <w:rFonts w:ascii="Arial Black"/>
          <w:color w:val="FFFFFF"/>
          <w:spacing w:val="-2"/>
          <w:w w:val="90"/>
          <w:sz w:val="72"/>
        </w:rPr>
        <w:t>HOMELESSNESS</w:t>
      </w:r>
    </w:p>
    <w:p>
      <w:pPr>
        <w:pStyle w:val="BodyText"/>
        <w:rPr>
          <w:rFonts w:ascii="Arial Black"/>
          <w:sz w:val="20"/>
        </w:rPr>
      </w:pPr>
    </w:p>
    <w:p>
      <w:pPr>
        <w:pStyle w:val="BodyText"/>
        <w:rPr>
          <w:rFonts w:ascii="Arial Black"/>
          <w:sz w:val="20"/>
        </w:rPr>
      </w:pPr>
    </w:p>
    <w:p>
      <w:pPr>
        <w:pStyle w:val="BodyText"/>
        <w:rPr>
          <w:rFonts w:ascii="Arial Black"/>
          <w:sz w:val="20"/>
        </w:rPr>
      </w:pPr>
    </w:p>
    <w:p>
      <w:pPr>
        <w:pStyle w:val="BodyText"/>
        <w:rPr>
          <w:rFonts w:ascii="Arial Black"/>
          <w:sz w:val="20"/>
        </w:rPr>
      </w:pPr>
    </w:p>
    <w:p>
      <w:pPr>
        <w:pStyle w:val="BodyText"/>
        <w:spacing w:before="97"/>
        <w:rPr>
          <w:rFonts w:ascii="Arial Black"/>
          <w:sz w:val="20"/>
        </w:rPr>
      </w:pPr>
    </w:p>
    <w:p>
      <w:pPr>
        <w:spacing w:after="0"/>
        <w:rPr>
          <w:rFonts w:ascii="Arial Black"/>
          <w:sz w:val="20"/>
        </w:rPr>
        <w:sectPr>
          <w:headerReference w:type="default" r:id="rId464"/>
          <w:footerReference w:type="default" r:id="rId465"/>
          <w:pgSz w:w="12240" w:h="15840"/>
          <w:pgMar w:header="0" w:footer="0" w:top="0" w:bottom="280" w:left="920" w:right="200"/>
        </w:sectPr>
      </w:pPr>
    </w:p>
    <w:p>
      <w:pPr>
        <w:pStyle w:val="Heading9"/>
        <w:rPr>
          <w:i/>
        </w:rPr>
      </w:pPr>
      <w:r>
        <w:rPr>
          <w:i/>
          <w:spacing w:val="11"/>
          <w:w w:val="125"/>
        </w:rPr>
        <w:t>ABOUT</w:t>
      </w:r>
    </w:p>
    <w:p>
      <w:pPr>
        <w:pStyle w:val="BodyText"/>
        <w:spacing w:line="273" w:lineRule="auto" w:before="212"/>
        <w:ind w:left="323" w:right="38"/>
        <w:jc w:val="both"/>
        <w:rPr>
          <w:rFonts w:ascii="Georgia" w:hAnsi="Georgia"/>
        </w:rPr>
      </w:pPr>
      <w:r>
        <w:rPr>
          <w:rFonts w:ascii="Georgia" w:hAnsi="Georgia"/>
          <w:w w:val="105"/>
        </w:rPr>
        <w:t>LGBTQ</w:t>
      </w:r>
      <w:r>
        <w:rPr>
          <w:rFonts w:ascii="Georgia" w:hAnsi="Georgia"/>
          <w:w w:val="105"/>
        </w:rPr>
        <w:t> youth</w:t>
      </w:r>
      <w:r>
        <w:rPr>
          <w:rFonts w:ascii="Georgia" w:hAnsi="Georgia"/>
          <w:w w:val="105"/>
        </w:rPr>
        <w:t> are</w:t>
      </w:r>
      <w:r>
        <w:rPr>
          <w:rFonts w:ascii="Georgia" w:hAnsi="Georgia"/>
          <w:w w:val="105"/>
        </w:rPr>
        <w:t> disproportionately</w:t>
      </w:r>
      <w:r>
        <w:rPr>
          <w:rFonts w:ascii="Georgia" w:hAnsi="Georgia"/>
          <w:w w:val="105"/>
        </w:rPr>
        <w:t> represented within</w:t>
      </w:r>
      <w:r>
        <w:rPr>
          <w:rFonts w:ascii="Georgia" w:hAnsi="Georgia"/>
          <w:w w:val="105"/>
        </w:rPr>
        <w:t> rates</w:t>
      </w:r>
      <w:r>
        <w:rPr>
          <w:rFonts w:ascii="Georgia" w:hAnsi="Georgia"/>
          <w:w w:val="105"/>
        </w:rPr>
        <w:t> of</w:t>
      </w:r>
      <w:r>
        <w:rPr>
          <w:rFonts w:ascii="Georgia" w:hAnsi="Georgia"/>
          <w:w w:val="105"/>
        </w:rPr>
        <w:t> youth</w:t>
      </w:r>
      <w:r>
        <w:rPr>
          <w:rFonts w:ascii="Georgia" w:hAnsi="Georgia"/>
          <w:w w:val="105"/>
        </w:rPr>
        <w:t> experiencing</w:t>
      </w:r>
      <w:r>
        <w:rPr>
          <w:rFonts w:ascii="Georgia" w:hAnsi="Georgia"/>
          <w:w w:val="105"/>
        </w:rPr>
        <w:t> homelessness. Multiple</w:t>
      </w:r>
      <w:r>
        <w:rPr>
          <w:rFonts w:ascii="Georgia" w:hAnsi="Georgia"/>
          <w:spacing w:val="-5"/>
          <w:w w:val="105"/>
        </w:rPr>
        <w:t> </w:t>
      </w:r>
      <w:r>
        <w:rPr>
          <w:rFonts w:ascii="Georgia" w:hAnsi="Georgia"/>
          <w:w w:val="105"/>
        </w:rPr>
        <w:t>risk</w:t>
      </w:r>
      <w:r>
        <w:rPr>
          <w:rFonts w:ascii="Georgia" w:hAnsi="Georgia"/>
          <w:spacing w:val="-5"/>
          <w:w w:val="105"/>
        </w:rPr>
        <w:t> </w:t>
      </w:r>
      <w:r>
        <w:rPr>
          <w:rFonts w:ascii="Georgia" w:hAnsi="Georgia"/>
          <w:w w:val="105"/>
        </w:rPr>
        <w:t>factors</w:t>
      </w:r>
      <w:r>
        <w:rPr>
          <w:rFonts w:ascii="Georgia" w:hAnsi="Georgia"/>
          <w:spacing w:val="-5"/>
          <w:w w:val="105"/>
        </w:rPr>
        <w:t> </w:t>
      </w:r>
      <w:r>
        <w:rPr>
          <w:rFonts w:ascii="Georgia" w:hAnsi="Georgia"/>
          <w:w w:val="105"/>
        </w:rPr>
        <w:t>contribute</w:t>
      </w:r>
      <w:r>
        <w:rPr>
          <w:rFonts w:ascii="Georgia" w:hAnsi="Georgia"/>
          <w:spacing w:val="-5"/>
          <w:w w:val="105"/>
        </w:rPr>
        <w:t> </w:t>
      </w:r>
      <w:r>
        <w:rPr>
          <w:rFonts w:ascii="Georgia" w:hAnsi="Georgia"/>
          <w:w w:val="105"/>
        </w:rPr>
        <w:t>to</w:t>
      </w:r>
      <w:r>
        <w:rPr>
          <w:rFonts w:ascii="Georgia" w:hAnsi="Georgia"/>
          <w:spacing w:val="-5"/>
          <w:w w:val="105"/>
        </w:rPr>
        <w:t> </w:t>
      </w:r>
      <w:r>
        <w:rPr>
          <w:rFonts w:ascii="Georgia" w:hAnsi="Georgia"/>
          <w:w w:val="105"/>
        </w:rPr>
        <w:t>LGBTQ</w:t>
      </w:r>
      <w:r>
        <w:rPr>
          <w:rFonts w:ascii="Georgia" w:hAnsi="Georgia"/>
          <w:spacing w:val="-5"/>
          <w:w w:val="105"/>
        </w:rPr>
        <w:t> </w:t>
      </w:r>
      <w:r>
        <w:rPr>
          <w:rFonts w:ascii="Georgia" w:hAnsi="Georgia"/>
          <w:w w:val="105"/>
        </w:rPr>
        <w:t>youth’s experience</w:t>
      </w:r>
      <w:r>
        <w:rPr>
          <w:rFonts w:ascii="Georgia" w:hAnsi="Georgia"/>
          <w:w w:val="105"/>
        </w:rPr>
        <w:t> of</w:t>
      </w:r>
      <w:r>
        <w:rPr>
          <w:rFonts w:ascii="Georgia" w:hAnsi="Georgia"/>
          <w:w w:val="105"/>
        </w:rPr>
        <w:t> higher</w:t>
      </w:r>
      <w:r>
        <w:rPr>
          <w:rFonts w:ascii="Georgia" w:hAnsi="Georgia"/>
          <w:w w:val="105"/>
        </w:rPr>
        <w:t> rates</w:t>
      </w:r>
      <w:r>
        <w:rPr>
          <w:rFonts w:ascii="Georgia" w:hAnsi="Georgia"/>
          <w:w w:val="105"/>
        </w:rPr>
        <w:t> of</w:t>
      </w:r>
      <w:r>
        <w:rPr>
          <w:rFonts w:ascii="Georgia" w:hAnsi="Georgia"/>
          <w:w w:val="105"/>
        </w:rPr>
        <w:t> homelessness,</w:t>
      </w:r>
      <w:r>
        <w:rPr>
          <w:rFonts w:ascii="Georgia" w:hAnsi="Georgia"/>
          <w:w w:val="105"/>
        </w:rPr>
        <w:t> such as</w:t>
      </w:r>
      <w:r>
        <w:rPr>
          <w:rFonts w:ascii="Georgia" w:hAnsi="Georgia"/>
          <w:w w:val="105"/>
        </w:rPr>
        <w:t> family</w:t>
      </w:r>
      <w:r>
        <w:rPr>
          <w:rFonts w:ascii="Georgia" w:hAnsi="Georgia"/>
          <w:w w:val="105"/>
        </w:rPr>
        <w:t> rejection,</w:t>
      </w:r>
      <w:r>
        <w:rPr>
          <w:rFonts w:ascii="Georgia" w:hAnsi="Georgia"/>
          <w:w w:val="105"/>
        </w:rPr>
        <w:t> abandonment</w:t>
      </w:r>
      <w:r>
        <w:rPr>
          <w:rFonts w:ascii="Georgia" w:hAnsi="Georgia"/>
          <w:w w:val="105"/>
        </w:rPr>
        <w:t> and</w:t>
      </w:r>
      <w:r>
        <w:rPr>
          <w:rFonts w:ascii="Georgia" w:hAnsi="Georgia"/>
          <w:w w:val="105"/>
        </w:rPr>
        <w:t> conflict, poverty,</w:t>
      </w:r>
      <w:r>
        <w:rPr>
          <w:rFonts w:ascii="Georgia" w:hAnsi="Georgia"/>
          <w:w w:val="105"/>
        </w:rPr>
        <w:t> medical</w:t>
      </w:r>
      <w:r>
        <w:rPr>
          <w:rFonts w:ascii="Georgia" w:hAnsi="Georgia"/>
          <w:w w:val="105"/>
        </w:rPr>
        <w:t> and</w:t>
      </w:r>
      <w:r>
        <w:rPr>
          <w:rFonts w:ascii="Georgia" w:hAnsi="Georgia"/>
          <w:w w:val="105"/>
        </w:rPr>
        <w:t> mental</w:t>
      </w:r>
      <w:r>
        <w:rPr>
          <w:rFonts w:ascii="Georgia" w:hAnsi="Georgia"/>
          <w:w w:val="105"/>
        </w:rPr>
        <w:t> health</w:t>
      </w:r>
      <w:r>
        <w:rPr>
          <w:rFonts w:ascii="Georgia" w:hAnsi="Georgia"/>
          <w:w w:val="105"/>
        </w:rPr>
        <w:t> difficulties, discrimination, and racism.</w:t>
      </w:r>
    </w:p>
    <w:p>
      <w:pPr>
        <w:spacing w:before="90"/>
        <w:ind w:left="1650" w:right="0" w:firstLine="0"/>
        <w:jc w:val="left"/>
        <w:rPr>
          <w:rFonts w:ascii="Arial Black"/>
          <w:sz w:val="75"/>
        </w:rPr>
      </w:pPr>
      <w:r>
        <w:rPr/>
        <w:br w:type="column"/>
      </w:r>
      <w:r>
        <w:rPr>
          <w:rFonts w:ascii="Arial Black"/>
          <w:emboss/>
          <w:color w:val="F4B648"/>
          <w:spacing w:val="19"/>
          <w:sz w:val="75"/>
        </w:rPr>
        <w:t>30%</w:t>
      </w:r>
    </w:p>
    <w:p>
      <w:pPr>
        <w:spacing w:line="271" w:lineRule="auto" w:before="11"/>
        <w:ind w:left="511" w:right="852" w:hanging="1"/>
        <w:jc w:val="center"/>
        <w:rPr>
          <w:rFonts w:ascii="Georgia"/>
          <w:sz w:val="26"/>
        </w:rPr>
      </w:pPr>
      <w:r>
        <w:rPr>
          <w:rFonts w:ascii="Georgia"/>
          <w:sz w:val="26"/>
        </w:rPr>
        <w:t>of Massachusetts youth experiencing homelessness identify as LGBTQ+</w:t>
      </w:r>
    </w:p>
    <w:p>
      <w:pPr>
        <w:pStyle w:val="Heading4"/>
        <w:spacing w:before="274"/>
        <w:ind w:left="1768"/>
      </w:pPr>
      <w:r>
        <w:rPr>
          <w:emboss/>
          <w:color w:val="F4B648"/>
          <w:spacing w:val="19"/>
          <w:w w:val="85"/>
        </w:rPr>
        <w:t>12%</w:t>
      </w:r>
    </w:p>
    <w:p>
      <w:pPr>
        <w:spacing w:line="271" w:lineRule="auto" w:before="94"/>
        <w:ind w:left="0" w:right="551" w:firstLine="0"/>
        <w:jc w:val="center"/>
        <w:rPr>
          <w:rFonts w:ascii="Georgia"/>
          <w:sz w:val="26"/>
        </w:rPr>
      </w:pPr>
      <w:r>
        <w:rPr/>
        <mc:AlternateContent>
          <mc:Choice Requires="wps">
            <w:drawing>
              <wp:anchor distT="0" distB="0" distL="0" distR="0" allowOverlap="1" layoutInCell="1" locked="0" behindDoc="1" simplePos="0" relativeHeight="482622464">
                <wp:simplePos x="0" y="0"/>
                <wp:positionH relativeFrom="page">
                  <wp:posOffset>655211</wp:posOffset>
                </wp:positionH>
                <wp:positionV relativeFrom="paragraph">
                  <wp:posOffset>126716</wp:posOffset>
                </wp:positionV>
                <wp:extent cx="3475990" cy="2472690"/>
                <wp:effectExtent l="0" t="0" r="0" b="0"/>
                <wp:wrapNone/>
                <wp:docPr id="376" name="Group 376"/>
                <wp:cNvGraphicFramePr>
                  <a:graphicFrameLocks/>
                </wp:cNvGraphicFramePr>
                <a:graphic>
                  <a:graphicData uri="http://schemas.microsoft.com/office/word/2010/wordprocessingGroup">
                    <wpg:wgp>
                      <wpg:cNvPr id="376" name="Group 376"/>
                      <wpg:cNvGrpSpPr/>
                      <wpg:grpSpPr>
                        <a:xfrm>
                          <a:off x="0" y="0"/>
                          <a:ext cx="3475990" cy="2472690"/>
                          <a:chExt cx="3475990" cy="2472690"/>
                        </a:xfrm>
                      </wpg:grpSpPr>
                      <pic:pic>
                        <pic:nvPicPr>
                          <pic:cNvPr id="377" name="Image 377"/>
                          <pic:cNvPicPr/>
                        </pic:nvPicPr>
                        <pic:blipFill>
                          <a:blip r:embed="rId466" cstate="print"/>
                          <a:stretch>
                            <a:fillRect/>
                          </a:stretch>
                        </pic:blipFill>
                        <pic:spPr>
                          <a:xfrm>
                            <a:off x="0" y="0"/>
                            <a:ext cx="3475728" cy="2472295"/>
                          </a:xfrm>
                          <a:prstGeom prst="rect">
                            <a:avLst/>
                          </a:prstGeom>
                        </pic:spPr>
                      </pic:pic>
                      <wps:wsp>
                        <wps:cNvPr id="378" name="Textbox 378"/>
                        <wps:cNvSpPr txBox="1"/>
                        <wps:spPr>
                          <a:xfrm>
                            <a:off x="121801" y="77509"/>
                            <a:ext cx="3283585" cy="1450975"/>
                          </a:xfrm>
                          <a:prstGeom prst="rect">
                            <a:avLst/>
                          </a:prstGeom>
                        </wps:spPr>
                        <wps:txbx>
                          <w:txbxContent>
                            <w:p>
                              <w:pPr>
                                <w:spacing w:before="26"/>
                                <w:ind w:left="20" w:right="0" w:firstLine="0"/>
                                <w:jc w:val="left"/>
                                <w:rPr>
                                  <w:b/>
                                  <w:i/>
                                  <w:sz w:val="34"/>
                                </w:rPr>
                              </w:pPr>
                              <w:r>
                                <w:rPr>
                                  <w:b/>
                                  <w:i/>
                                  <w:spacing w:val="13"/>
                                  <w:w w:val="125"/>
                                  <w:sz w:val="34"/>
                                </w:rPr>
                                <w:t>RECOMMENDATIONS</w:t>
                              </w:r>
                            </w:p>
                            <w:p>
                              <w:pPr>
                                <w:spacing w:line="264" w:lineRule="auto" w:before="119"/>
                                <w:ind w:left="866" w:right="0" w:firstLine="0"/>
                                <w:jc w:val="left"/>
                                <w:rPr>
                                  <w:rFonts w:ascii="Georgia"/>
                                  <w:sz w:val="21"/>
                                </w:rPr>
                              </w:pPr>
                              <w:r>
                                <w:rPr>
                                  <w:rFonts w:ascii="Georgia"/>
                                  <w:sz w:val="21"/>
                                </w:rPr>
                                <w:t>Improve access to state IDs for youth experiencing homelessness and gender expansive youth.</w:t>
                              </w:r>
                            </w:p>
                            <w:p>
                              <w:pPr>
                                <w:spacing w:line="240" w:lineRule="auto" w:before="173"/>
                                <w:rPr>
                                  <w:rFonts w:ascii="Georgia"/>
                                  <w:sz w:val="21"/>
                                </w:rPr>
                              </w:pPr>
                            </w:p>
                            <w:p>
                              <w:pPr>
                                <w:spacing w:line="264" w:lineRule="auto" w:before="1"/>
                                <w:ind w:left="866" w:right="0" w:firstLine="0"/>
                                <w:jc w:val="left"/>
                                <w:rPr>
                                  <w:rFonts w:ascii="Georgia"/>
                                  <w:sz w:val="21"/>
                                </w:rPr>
                              </w:pPr>
                              <w:r>
                                <w:rPr>
                                  <w:rFonts w:ascii="Georgia"/>
                                  <w:sz w:val="21"/>
                                </w:rPr>
                                <w:t>Increase safe places and community centers for LGBTQ youth experiencing homelessness.</w:t>
                              </w:r>
                            </w:p>
                          </w:txbxContent>
                        </wps:txbx>
                        <wps:bodyPr wrap="square" lIns="0" tIns="0" rIns="0" bIns="0" rtlCol="0">
                          <a:noAutofit/>
                        </wps:bodyPr>
                      </wps:wsp>
                      <wps:wsp>
                        <wps:cNvPr id="379" name="Textbox 379"/>
                        <wps:cNvSpPr txBox="1"/>
                        <wps:spPr>
                          <a:xfrm>
                            <a:off x="659324" y="1864598"/>
                            <a:ext cx="2720340" cy="345440"/>
                          </a:xfrm>
                          <a:prstGeom prst="rect">
                            <a:avLst/>
                          </a:prstGeom>
                        </wps:spPr>
                        <wps:txbx>
                          <w:txbxContent>
                            <w:p>
                              <w:pPr>
                                <w:spacing w:line="264" w:lineRule="auto" w:before="18"/>
                                <w:ind w:left="20" w:right="38" w:firstLine="0"/>
                                <w:jc w:val="left"/>
                                <w:rPr>
                                  <w:rFonts w:ascii="Georgia"/>
                                  <w:sz w:val="21"/>
                                </w:rPr>
                              </w:pPr>
                              <w:r>
                                <w:rPr>
                                  <w:rFonts w:ascii="Georgia"/>
                                  <w:sz w:val="21"/>
                                </w:rPr>
                                <w:t>Codify a bill of rights for people experiencing </w:t>
                              </w:r>
                              <w:r>
                                <w:rPr>
                                  <w:rFonts w:ascii="Georgia"/>
                                  <w:spacing w:val="-2"/>
                                  <w:sz w:val="21"/>
                                </w:rPr>
                                <w:t>homelessness.</w:t>
                              </w:r>
                            </w:p>
                          </w:txbxContent>
                        </wps:txbx>
                        <wps:bodyPr wrap="square" lIns="0" tIns="0" rIns="0" bIns="0" rtlCol="0">
                          <a:noAutofit/>
                        </wps:bodyPr>
                      </wps:wsp>
                    </wpg:wgp>
                  </a:graphicData>
                </a:graphic>
              </wp:anchor>
            </w:drawing>
          </mc:Choice>
          <mc:Fallback>
            <w:pict>
              <v:group style="position:absolute;margin-left:51.591454pt;margin-top:9.977638pt;width:273.7pt;height:194.7pt;mso-position-horizontal-relative:page;mso-position-vertical-relative:paragraph;z-index:-20694016" id="docshapegroup300" coordorigin="1032,200" coordsize="5474,3894">
                <v:shape style="position:absolute;left:1031;top:199;width:5474;height:3894" type="#_x0000_t75" id="docshape301" stroked="false">
                  <v:imagedata r:id="rId466" o:title=""/>
                </v:shape>
                <v:shape style="position:absolute;left:1223;top:321;width:5171;height:2285" type="#_x0000_t202" id="docshape302" filled="false" stroked="false">
                  <v:textbox inset="0,0,0,0">
                    <w:txbxContent>
                      <w:p>
                        <w:pPr>
                          <w:spacing w:before="26"/>
                          <w:ind w:left="20" w:right="0" w:firstLine="0"/>
                          <w:jc w:val="left"/>
                          <w:rPr>
                            <w:b/>
                            <w:i/>
                            <w:sz w:val="34"/>
                          </w:rPr>
                        </w:pPr>
                        <w:r>
                          <w:rPr>
                            <w:b/>
                            <w:i/>
                            <w:spacing w:val="13"/>
                            <w:w w:val="125"/>
                            <w:sz w:val="34"/>
                          </w:rPr>
                          <w:t>RECOMMENDATIONS</w:t>
                        </w:r>
                      </w:p>
                      <w:p>
                        <w:pPr>
                          <w:spacing w:line="264" w:lineRule="auto" w:before="119"/>
                          <w:ind w:left="866" w:right="0" w:firstLine="0"/>
                          <w:jc w:val="left"/>
                          <w:rPr>
                            <w:rFonts w:ascii="Georgia"/>
                            <w:sz w:val="21"/>
                          </w:rPr>
                        </w:pPr>
                        <w:r>
                          <w:rPr>
                            <w:rFonts w:ascii="Georgia"/>
                            <w:sz w:val="21"/>
                          </w:rPr>
                          <w:t>Improve access to state IDs for youth experiencing homelessness and gender expansive youth.</w:t>
                        </w:r>
                      </w:p>
                      <w:p>
                        <w:pPr>
                          <w:spacing w:line="240" w:lineRule="auto" w:before="173"/>
                          <w:rPr>
                            <w:rFonts w:ascii="Georgia"/>
                            <w:sz w:val="21"/>
                          </w:rPr>
                        </w:pPr>
                      </w:p>
                      <w:p>
                        <w:pPr>
                          <w:spacing w:line="264" w:lineRule="auto" w:before="1"/>
                          <w:ind w:left="866" w:right="0" w:firstLine="0"/>
                          <w:jc w:val="left"/>
                          <w:rPr>
                            <w:rFonts w:ascii="Georgia"/>
                            <w:sz w:val="21"/>
                          </w:rPr>
                        </w:pPr>
                        <w:r>
                          <w:rPr>
                            <w:rFonts w:ascii="Georgia"/>
                            <w:sz w:val="21"/>
                          </w:rPr>
                          <w:t>Increase safe places and community centers for LGBTQ youth experiencing homelessness.</w:t>
                        </w:r>
                      </w:p>
                    </w:txbxContent>
                  </v:textbox>
                  <w10:wrap type="none"/>
                </v:shape>
                <v:shape style="position:absolute;left:2070;top:3135;width:4284;height:544" type="#_x0000_t202" id="docshape303" filled="false" stroked="false">
                  <v:textbox inset="0,0,0,0">
                    <w:txbxContent>
                      <w:p>
                        <w:pPr>
                          <w:spacing w:line="264" w:lineRule="auto" w:before="18"/>
                          <w:ind w:left="20" w:right="38" w:firstLine="0"/>
                          <w:jc w:val="left"/>
                          <w:rPr>
                            <w:rFonts w:ascii="Georgia"/>
                            <w:sz w:val="21"/>
                          </w:rPr>
                        </w:pPr>
                        <w:r>
                          <w:rPr>
                            <w:rFonts w:ascii="Georgia"/>
                            <w:sz w:val="21"/>
                          </w:rPr>
                          <w:t>Codify a bill of rights for people experiencing </w:t>
                        </w:r>
                        <w:r>
                          <w:rPr>
                            <w:rFonts w:ascii="Georgia"/>
                            <w:spacing w:val="-2"/>
                            <w:sz w:val="21"/>
                          </w:rPr>
                          <w:t>homelessness.</w:t>
                        </w:r>
                      </w:p>
                    </w:txbxContent>
                  </v:textbox>
                  <w10:wrap type="none"/>
                </v:shape>
                <w10:wrap type="none"/>
              </v:group>
            </w:pict>
          </mc:Fallback>
        </mc:AlternateContent>
      </w:r>
      <w:r>
        <w:rPr>
          <w:rFonts w:ascii="Georgia"/>
          <w:sz w:val="26"/>
        </w:rPr>
        <w:t>LGBTQ</w:t>
      </w:r>
      <w:r>
        <w:rPr>
          <w:rFonts w:ascii="Georgia"/>
          <w:spacing w:val="-5"/>
          <w:sz w:val="26"/>
        </w:rPr>
        <w:t> </w:t>
      </w:r>
      <w:r>
        <w:rPr>
          <w:rFonts w:ascii="Georgia"/>
          <w:sz w:val="26"/>
        </w:rPr>
        <w:t>youth</w:t>
      </w:r>
      <w:r>
        <w:rPr>
          <w:rFonts w:ascii="Georgia"/>
          <w:spacing w:val="-5"/>
          <w:sz w:val="26"/>
        </w:rPr>
        <w:t> </w:t>
      </w:r>
      <w:r>
        <w:rPr>
          <w:rFonts w:ascii="Georgia"/>
          <w:sz w:val="26"/>
        </w:rPr>
        <w:t>reported</w:t>
      </w:r>
      <w:r>
        <w:rPr>
          <w:rFonts w:ascii="Georgia"/>
          <w:spacing w:val="-5"/>
          <w:sz w:val="26"/>
        </w:rPr>
        <w:t> </w:t>
      </w:r>
      <w:r>
        <w:rPr>
          <w:rFonts w:ascii="Georgia"/>
          <w:sz w:val="26"/>
        </w:rPr>
        <w:t>sleeping</w:t>
      </w:r>
      <w:r>
        <w:rPr>
          <w:rFonts w:ascii="Georgia"/>
          <w:spacing w:val="-5"/>
          <w:sz w:val="26"/>
        </w:rPr>
        <w:t> </w:t>
      </w:r>
      <w:r>
        <w:rPr>
          <w:rFonts w:ascii="Georgia"/>
          <w:sz w:val="26"/>
        </w:rPr>
        <w:t>in</w:t>
      </w:r>
      <w:r>
        <w:rPr>
          <w:rFonts w:ascii="Georgia"/>
          <w:spacing w:val="-5"/>
          <w:sz w:val="26"/>
        </w:rPr>
        <w:t> </w:t>
      </w:r>
      <w:r>
        <w:rPr>
          <w:rFonts w:ascii="Georgia"/>
          <w:sz w:val="26"/>
        </w:rPr>
        <w:t>an unsheltered location</w:t>
      </w:r>
    </w:p>
    <w:p>
      <w:pPr>
        <w:pStyle w:val="BodyText"/>
        <w:rPr>
          <w:rFonts w:ascii="Georgia"/>
          <w:sz w:val="20"/>
        </w:rPr>
      </w:pPr>
    </w:p>
    <w:p>
      <w:pPr>
        <w:pStyle w:val="BodyText"/>
        <w:rPr>
          <w:rFonts w:ascii="Georgia"/>
          <w:sz w:val="20"/>
        </w:rPr>
      </w:pPr>
      <w:r>
        <w:rPr/>
        <mc:AlternateContent>
          <mc:Choice Requires="wps">
            <w:drawing>
              <wp:anchor distT="0" distB="0" distL="0" distR="0" allowOverlap="1" layoutInCell="1" locked="0" behindDoc="1" simplePos="0" relativeHeight="487658496">
                <wp:simplePos x="0" y="0"/>
                <wp:positionH relativeFrom="page">
                  <wp:posOffset>4332640</wp:posOffset>
                </wp:positionH>
                <wp:positionV relativeFrom="paragraph">
                  <wp:posOffset>159613</wp:posOffset>
                </wp:positionV>
                <wp:extent cx="2773680" cy="1270"/>
                <wp:effectExtent l="0" t="0" r="0" b="0"/>
                <wp:wrapTopAndBottom/>
                <wp:docPr id="380" name="Graphic 380"/>
                <wp:cNvGraphicFramePr>
                  <a:graphicFrameLocks/>
                </wp:cNvGraphicFramePr>
                <a:graphic>
                  <a:graphicData uri="http://schemas.microsoft.com/office/word/2010/wordprocessingShape">
                    <wps:wsp>
                      <wps:cNvPr id="380" name="Graphic 380"/>
                      <wps:cNvSpPr/>
                      <wps:spPr>
                        <a:xfrm>
                          <a:off x="0" y="0"/>
                          <a:ext cx="2773680" cy="1270"/>
                        </a:xfrm>
                        <a:custGeom>
                          <a:avLst/>
                          <a:gdLst/>
                          <a:ahLst/>
                          <a:cxnLst/>
                          <a:rect l="l" t="t" r="r" b="b"/>
                          <a:pathLst>
                            <a:path w="2773680" h="0">
                              <a:moveTo>
                                <a:pt x="0" y="0"/>
                              </a:moveTo>
                              <a:lnTo>
                                <a:pt x="2773600" y="0"/>
                              </a:lnTo>
                            </a:path>
                          </a:pathLst>
                        </a:custGeom>
                        <a:ln w="28574">
                          <a:solidFill>
                            <a:srgbClr val="F4B648"/>
                          </a:solidFill>
                          <a:prstDash val="sysDash"/>
                        </a:ln>
                      </wps:spPr>
                      <wps:bodyPr wrap="square" lIns="0" tIns="0" rIns="0" bIns="0" rtlCol="0">
                        <a:prstTxWarp prst="textNoShape">
                          <a:avLst/>
                        </a:prstTxWarp>
                        <a:noAutofit/>
                      </wps:bodyPr>
                    </wps:wsp>
                  </a:graphicData>
                </a:graphic>
              </wp:anchor>
            </w:drawing>
          </mc:Choice>
          <mc:Fallback>
            <w:pict>
              <v:shape style="position:absolute;margin-left:341.152832pt;margin-top:12.568025pt;width:218.4pt;height:.1pt;mso-position-horizontal-relative:page;mso-position-vertical-relative:paragraph;z-index:-15657984;mso-wrap-distance-left:0;mso-wrap-distance-right:0" id="docshape304" coordorigin="6823,251" coordsize="4368,0" path="m6823,251l11191,251e" filled="false" stroked="true" strokeweight="2.25pt" strokecolor="#f4b648">
                <v:path arrowok="t"/>
                <v:stroke dashstyle="shortdash"/>
                <w10:wrap type="topAndBottom"/>
              </v:shape>
            </w:pict>
          </mc:Fallback>
        </mc:AlternateContent>
      </w:r>
    </w:p>
    <w:p>
      <w:pPr>
        <w:pStyle w:val="Heading4"/>
        <w:spacing w:before="24"/>
        <w:ind w:left="1637"/>
      </w:pPr>
      <w:r>
        <w:rPr>
          <w:emboss/>
          <w:color w:val="F4B648"/>
          <w:spacing w:val="19"/>
        </w:rPr>
        <w:t>60%</w:t>
      </w:r>
    </w:p>
    <w:p>
      <w:pPr>
        <w:spacing w:line="271" w:lineRule="auto" w:before="11"/>
        <w:ind w:left="0" w:right="551" w:firstLine="0"/>
        <w:jc w:val="center"/>
        <w:rPr>
          <w:rFonts w:ascii="Georgia"/>
          <w:sz w:val="26"/>
        </w:rPr>
      </w:pPr>
      <w:r>
        <w:rPr>
          <w:rFonts w:ascii="Georgia"/>
          <w:sz w:val="26"/>
        </w:rPr>
        <w:t>of Massachusetts youth experiencing homelessness identify as BIPOC</w:t>
      </w:r>
    </w:p>
    <w:p>
      <w:pPr>
        <w:spacing w:after="0" w:line="271" w:lineRule="auto"/>
        <w:jc w:val="center"/>
        <w:rPr>
          <w:rFonts w:ascii="Georgia"/>
          <w:sz w:val="26"/>
        </w:rPr>
        <w:sectPr>
          <w:type w:val="continuous"/>
          <w:pgSz w:w="12240" w:h="15840"/>
          <w:pgMar w:header="0" w:footer="0" w:top="1420" w:bottom="280" w:left="920" w:right="200"/>
          <w:cols w:num="2" w:equalWidth="0">
            <w:col w:w="5433" w:space="173"/>
            <w:col w:w="5514"/>
          </w:cols>
        </w:sectPr>
      </w:pPr>
    </w:p>
    <w:p>
      <w:pPr>
        <w:pStyle w:val="BodyText"/>
        <w:rPr>
          <w:rFonts w:ascii="Georgia"/>
          <w:sz w:val="20"/>
        </w:rPr>
      </w:pPr>
      <w:r>
        <w:rPr/>
        <mc:AlternateContent>
          <mc:Choice Requires="wps">
            <w:drawing>
              <wp:anchor distT="0" distB="0" distL="0" distR="0" allowOverlap="1" layoutInCell="1" locked="0" behindDoc="1" simplePos="0" relativeHeight="482621952">
                <wp:simplePos x="0" y="0"/>
                <wp:positionH relativeFrom="page">
                  <wp:posOffset>0</wp:posOffset>
                </wp:positionH>
                <wp:positionV relativeFrom="page">
                  <wp:posOffset>0</wp:posOffset>
                </wp:positionV>
                <wp:extent cx="7772400" cy="5227320"/>
                <wp:effectExtent l="0" t="0" r="0" b="0"/>
                <wp:wrapNone/>
                <wp:docPr id="381" name="Group 381"/>
                <wp:cNvGraphicFramePr>
                  <a:graphicFrameLocks/>
                </wp:cNvGraphicFramePr>
                <a:graphic>
                  <a:graphicData uri="http://schemas.microsoft.com/office/word/2010/wordprocessingGroup">
                    <wpg:wgp>
                      <wpg:cNvPr id="381" name="Group 381"/>
                      <wpg:cNvGrpSpPr/>
                      <wpg:grpSpPr>
                        <a:xfrm>
                          <a:off x="0" y="0"/>
                          <a:ext cx="7772400" cy="5227320"/>
                          <a:chExt cx="7772400" cy="5227320"/>
                        </a:xfrm>
                      </wpg:grpSpPr>
                      <pic:pic>
                        <pic:nvPicPr>
                          <pic:cNvPr id="382" name="Image 382"/>
                          <pic:cNvPicPr/>
                        </pic:nvPicPr>
                        <pic:blipFill>
                          <a:blip r:embed="rId467" cstate="print"/>
                          <a:stretch>
                            <a:fillRect/>
                          </a:stretch>
                        </pic:blipFill>
                        <pic:spPr>
                          <a:xfrm>
                            <a:off x="0" y="0"/>
                            <a:ext cx="7772400" cy="3082917"/>
                          </a:xfrm>
                          <a:prstGeom prst="rect">
                            <a:avLst/>
                          </a:prstGeom>
                        </pic:spPr>
                      </pic:pic>
                      <pic:pic>
                        <pic:nvPicPr>
                          <pic:cNvPr id="383" name="Image 383"/>
                          <pic:cNvPicPr/>
                        </pic:nvPicPr>
                        <pic:blipFill>
                          <a:blip r:embed="rId98" cstate="print"/>
                          <a:stretch>
                            <a:fillRect/>
                          </a:stretch>
                        </pic:blipFill>
                        <pic:spPr>
                          <a:xfrm>
                            <a:off x="4978373" y="735420"/>
                            <a:ext cx="1480888" cy="1480632"/>
                          </a:xfrm>
                          <a:prstGeom prst="rect">
                            <a:avLst/>
                          </a:prstGeom>
                        </pic:spPr>
                      </pic:pic>
                      <wps:wsp>
                        <wps:cNvPr id="384" name="Graphic 384"/>
                        <wps:cNvSpPr/>
                        <wps:spPr>
                          <a:xfrm>
                            <a:off x="4964628" y="721666"/>
                            <a:ext cx="1508125" cy="1508125"/>
                          </a:xfrm>
                          <a:custGeom>
                            <a:avLst/>
                            <a:gdLst/>
                            <a:ahLst/>
                            <a:cxnLst/>
                            <a:rect l="l" t="t" r="r" b="b"/>
                            <a:pathLst>
                              <a:path w="1508125" h="1508125">
                                <a:moveTo>
                                  <a:pt x="754061" y="1508119"/>
                                </a:moveTo>
                                <a:lnTo>
                                  <a:pt x="706443" y="1506633"/>
                                </a:lnTo>
                                <a:lnTo>
                                  <a:pt x="659603" y="1502233"/>
                                </a:lnTo>
                                <a:lnTo>
                                  <a:pt x="613628" y="1495009"/>
                                </a:lnTo>
                                <a:lnTo>
                                  <a:pt x="568609" y="1485050"/>
                                </a:lnTo>
                                <a:lnTo>
                                  <a:pt x="524634" y="1472444"/>
                                </a:lnTo>
                                <a:lnTo>
                                  <a:pt x="481792" y="1457281"/>
                                </a:lnTo>
                                <a:lnTo>
                                  <a:pt x="440173" y="1439650"/>
                                </a:lnTo>
                                <a:lnTo>
                                  <a:pt x="399864" y="1419640"/>
                                </a:lnTo>
                                <a:lnTo>
                                  <a:pt x="360956" y="1397339"/>
                                </a:lnTo>
                                <a:lnTo>
                                  <a:pt x="323537" y="1372837"/>
                                </a:lnTo>
                                <a:lnTo>
                                  <a:pt x="287696" y="1346223"/>
                                </a:lnTo>
                                <a:lnTo>
                                  <a:pt x="253523" y="1317586"/>
                                </a:lnTo>
                                <a:lnTo>
                                  <a:pt x="221106" y="1287014"/>
                                </a:lnTo>
                                <a:lnTo>
                                  <a:pt x="190534" y="1254598"/>
                                </a:lnTo>
                                <a:lnTo>
                                  <a:pt x="161896" y="1220425"/>
                                </a:lnTo>
                                <a:lnTo>
                                  <a:pt x="135282" y="1184585"/>
                                </a:lnTo>
                                <a:lnTo>
                                  <a:pt x="110780" y="1147166"/>
                                </a:lnTo>
                                <a:lnTo>
                                  <a:pt x="88479" y="1108259"/>
                                </a:lnTo>
                                <a:lnTo>
                                  <a:pt x="68468" y="1067951"/>
                                </a:lnTo>
                                <a:lnTo>
                                  <a:pt x="50770" y="1026142"/>
                                </a:lnTo>
                                <a:lnTo>
                                  <a:pt x="35669" y="983473"/>
                                </a:lnTo>
                                <a:lnTo>
                                  <a:pt x="23075" y="939517"/>
                                </a:lnTo>
                                <a:lnTo>
                                  <a:pt x="13118" y="894499"/>
                                </a:lnTo>
                                <a:lnTo>
                                  <a:pt x="5894" y="848526"/>
                                </a:lnTo>
                                <a:lnTo>
                                  <a:pt x="1491" y="801686"/>
                                </a:lnTo>
                                <a:lnTo>
                                  <a:pt x="0" y="754070"/>
                                </a:lnTo>
                                <a:lnTo>
                                  <a:pt x="1494" y="706368"/>
                                </a:lnTo>
                                <a:lnTo>
                                  <a:pt x="5906" y="659480"/>
                                </a:lnTo>
                                <a:lnTo>
                                  <a:pt x="13140" y="613502"/>
                                </a:lnTo>
                                <a:lnTo>
                                  <a:pt x="23094" y="568530"/>
                                </a:lnTo>
                                <a:lnTo>
                                  <a:pt x="35676" y="524643"/>
                                </a:lnTo>
                                <a:lnTo>
                                  <a:pt x="50851" y="481801"/>
                                </a:lnTo>
                                <a:lnTo>
                                  <a:pt x="68470" y="440181"/>
                                </a:lnTo>
                                <a:lnTo>
                                  <a:pt x="88480" y="399872"/>
                                </a:lnTo>
                                <a:lnTo>
                                  <a:pt x="110781" y="360964"/>
                                </a:lnTo>
                                <a:lnTo>
                                  <a:pt x="135284" y="323544"/>
                                </a:lnTo>
                                <a:lnTo>
                                  <a:pt x="161898" y="287703"/>
                                </a:lnTo>
                                <a:lnTo>
                                  <a:pt x="190536" y="253529"/>
                                </a:lnTo>
                                <a:lnTo>
                                  <a:pt x="221108" y="221111"/>
                                </a:lnTo>
                                <a:lnTo>
                                  <a:pt x="253526" y="190539"/>
                                </a:lnTo>
                                <a:lnTo>
                                  <a:pt x="287699" y="161901"/>
                                </a:lnTo>
                                <a:lnTo>
                                  <a:pt x="323540" y="135286"/>
                                </a:lnTo>
                                <a:lnTo>
                                  <a:pt x="360959" y="110783"/>
                                </a:lnTo>
                                <a:lnTo>
                                  <a:pt x="399867" y="88482"/>
                                </a:lnTo>
                                <a:lnTo>
                                  <a:pt x="440175" y="68471"/>
                                </a:lnTo>
                                <a:lnTo>
                                  <a:pt x="481795" y="50839"/>
                                </a:lnTo>
                                <a:lnTo>
                                  <a:pt x="524636" y="35676"/>
                                </a:lnTo>
                                <a:lnTo>
                                  <a:pt x="568611" y="23070"/>
                                </a:lnTo>
                                <a:lnTo>
                                  <a:pt x="613630" y="13110"/>
                                </a:lnTo>
                                <a:lnTo>
                                  <a:pt x="659604" y="5886"/>
                                </a:lnTo>
                                <a:lnTo>
                                  <a:pt x="706444" y="1486"/>
                                </a:lnTo>
                                <a:lnTo>
                                  <a:pt x="754061" y="0"/>
                                </a:lnTo>
                                <a:lnTo>
                                  <a:pt x="801678" y="1486"/>
                                </a:lnTo>
                                <a:lnTo>
                                  <a:pt x="848519" y="5886"/>
                                </a:lnTo>
                                <a:lnTo>
                                  <a:pt x="894494" y="13110"/>
                                </a:lnTo>
                                <a:lnTo>
                                  <a:pt x="939513" y="23070"/>
                                </a:lnTo>
                                <a:lnTo>
                                  <a:pt x="954942" y="27493"/>
                                </a:lnTo>
                                <a:lnTo>
                                  <a:pt x="754061" y="27493"/>
                                </a:lnTo>
                                <a:lnTo>
                                  <a:pt x="706360" y="29041"/>
                                </a:lnTo>
                                <a:lnTo>
                                  <a:pt x="659472" y="33622"/>
                                </a:lnTo>
                                <a:lnTo>
                                  <a:pt x="613495" y="41139"/>
                                </a:lnTo>
                                <a:lnTo>
                                  <a:pt x="568524" y="51496"/>
                                </a:lnTo>
                                <a:lnTo>
                                  <a:pt x="524656" y="64596"/>
                                </a:lnTo>
                                <a:lnTo>
                                  <a:pt x="481987" y="80342"/>
                                </a:lnTo>
                                <a:lnTo>
                                  <a:pt x="440615" y="98639"/>
                                </a:lnTo>
                                <a:lnTo>
                                  <a:pt x="400634" y="119389"/>
                                </a:lnTo>
                                <a:lnTo>
                                  <a:pt x="362143" y="142496"/>
                                </a:lnTo>
                                <a:lnTo>
                                  <a:pt x="325237" y="167865"/>
                                </a:lnTo>
                                <a:lnTo>
                                  <a:pt x="290013" y="195397"/>
                                </a:lnTo>
                                <a:lnTo>
                                  <a:pt x="256567" y="224997"/>
                                </a:lnTo>
                                <a:lnTo>
                                  <a:pt x="224996" y="256569"/>
                                </a:lnTo>
                                <a:lnTo>
                                  <a:pt x="195396" y="290015"/>
                                </a:lnTo>
                                <a:lnTo>
                                  <a:pt x="167863" y="325240"/>
                                </a:lnTo>
                                <a:lnTo>
                                  <a:pt x="142496" y="362147"/>
                                </a:lnTo>
                                <a:lnTo>
                                  <a:pt x="119388" y="400639"/>
                                </a:lnTo>
                                <a:lnTo>
                                  <a:pt x="98638" y="440619"/>
                                </a:lnTo>
                                <a:lnTo>
                                  <a:pt x="80342" y="481993"/>
                                </a:lnTo>
                                <a:lnTo>
                                  <a:pt x="64597" y="524662"/>
                                </a:lnTo>
                                <a:lnTo>
                                  <a:pt x="51475" y="568619"/>
                                </a:lnTo>
                                <a:lnTo>
                                  <a:pt x="41117" y="613638"/>
                                </a:lnTo>
                                <a:lnTo>
                                  <a:pt x="33609" y="659613"/>
                                </a:lnTo>
                                <a:lnTo>
                                  <a:pt x="29039" y="706453"/>
                                </a:lnTo>
                                <a:lnTo>
                                  <a:pt x="27493" y="754070"/>
                                </a:lnTo>
                                <a:lnTo>
                                  <a:pt x="29047" y="801771"/>
                                </a:lnTo>
                                <a:lnTo>
                                  <a:pt x="33631" y="848659"/>
                                </a:lnTo>
                                <a:lnTo>
                                  <a:pt x="41148" y="894637"/>
                                </a:lnTo>
                                <a:lnTo>
                                  <a:pt x="51502" y="939608"/>
                                </a:lnTo>
                                <a:lnTo>
                                  <a:pt x="64602" y="983492"/>
                                </a:lnTo>
                                <a:lnTo>
                                  <a:pt x="80341" y="1026142"/>
                                </a:lnTo>
                                <a:lnTo>
                                  <a:pt x="98638" y="1067517"/>
                                </a:lnTo>
                                <a:lnTo>
                                  <a:pt x="119388" y="1107497"/>
                                </a:lnTo>
                                <a:lnTo>
                                  <a:pt x="142496" y="1145988"/>
                                </a:lnTo>
                                <a:lnTo>
                                  <a:pt x="167864" y="1182894"/>
                                </a:lnTo>
                                <a:lnTo>
                                  <a:pt x="195396" y="1218118"/>
                                </a:lnTo>
                                <a:lnTo>
                                  <a:pt x="224996" y="1251564"/>
                                </a:lnTo>
                                <a:lnTo>
                                  <a:pt x="256567" y="1283135"/>
                                </a:lnTo>
                                <a:lnTo>
                                  <a:pt x="290013" y="1312734"/>
                                </a:lnTo>
                                <a:lnTo>
                                  <a:pt x="325237" y="1340266"/>
                                </a:lnTo>
                                <a:lnTo>
                                  <a:pt x="362143" y="1365634"/>
                                </a:lnTo>
                                <a:lnTo>
                                  <a:pt x="400635" y="1388741"/>
                                </a:lnTo>
                                <a:lnTo>
                                  <a:pt x="440615" y="1409491"/>
                                </a:lnTo>
                                <a:lnTo>
                                  <a:pt x="481988" y="1427787"/>
                                </a:lnTo>
                                <a:lnTo>
                                  <a:pt x="524656" y="1443533"/>
                                </a:lnTo>
                                <a:lnTo>
                                  <a:pt x="568524" y="1456632"/>
                                </a:lnTo>
                                <a:lnTo>
                                  <a:pt x="613495" y="1466989"/>
                                </a:lnTo>
                                <a:lnTo>
                                  <a:pt x="659473" y="1474506"/>
                                </a:lnTo>
                                <a:lnTo>
                                  <a:pt x="706361" y="1479087"/>
                                </a:lnTo>
                                <a:lnTo>
                                  <a:pt x="754061" y="1480635"/>
                                </a:lnTo>
                                <a:lnTo>
                                  <a:pt x="954914" y="1480635"/>
                                </a:lnTo>
                                <a:lnTo>
                                  <a:pt x="939512" y="1485050"/>
                                </a:lnTo>
                                <a:lnTo>
                                  <a:pt x="894493" y="1495009"/>
                                </a:lnTo>
                                <a:lnTo>
                                  <a:pt x="848519" y="1502233"/>
                                </a:lnTo>
                                <a:lnTo>
                                  <a:pt x="801678" y="1506633"/>
                                </a:lnTo>
                                <a:lnTo>
                                  <a:pt x="754061" y="1508119"/>
                                </a:lnTo>
                                <a:close/>
                              </a:path>
                              <a:path w="1508125" h="1508125">
                                <a:moveTo>
                                  <a:pt x="954914" y="1480635"/>
                                </a:moveTo>
                                <a:lnTo>
                                  <a:pt x="754061" y="1480635"/>
                                </a:lnTo>
                                <a:lnTo>
                                  <a:pt x="801761" y="1479087"/>
                                </a:lnTo>
                                <a:lnTo>
                                  <a:pt x="848648" y="1474506"/>
                                </a:lnTo>
                                <a:lnTo>
                                  <a:pt x="894626" y="1466989"/>
                                </a:lnTo>
                                <a:lnTo>
                                  <a:pt x="939597" y="1456632"/>
                                </a:lnTo>
                                <a:lnTo>
                                  <a:pt x="983465" y="1443532"/>
                                </a:lnTo>
                                <a:lnTo>
                                  <a:pt x="1026134" y="1427786"/>
                                </a:lnTo>
                                <a:lnTo>
                                  <a:pt x="1067507" y="1409490"/>
                                </a:lnTo>
                                <a:lnTo>
                                  <a:pt x="1107487" y="1388740"/>
                                </a:lnTo>
                                <a:lnTo>
                                  <a:pt x="1145979" y="1365633"/>
                                </a:lnTo>
                                <a:lnTo>
                                  <a:pt x="1182885" y="1340265"/>
                                </a:lnTo>
                                <a:lnTo>
                                  <a:pt x="1218110" y="1312732"/>
                                </a:lnTo>
                                <a:lnTo>
                                  <a:pt x="1251556" y="1283133"/>
                                </a:lnTo>
                                <a:lnTo>
                                  <a:pt x="1283128" y="1251562"/>
                                </a:lnTo>
                                <a:lnTo>
                                  <a:pt x="1312728" y="1218116"/>
                                </a:lnTo>
                                <a:lnTo>
                                  <a:pt x="1340261" y="1182892"/>
                                </a:lnTo>
                                <a:lnTo>
                                  <a:pt x="1365629" y="1145986"/>
                                </a:lnTo>
                                <a:lnTo>
                                  <a:pt x="1388737" y="1107494"/>
                                </a:lnTo>
                                <a:lnTo>
                                  <a:pt x="1409488" y="1067514"/>
                                </a:lnTo>
                                <a:lnTo>
                                  <a:pt x="1427785" y="1026142"/>
                                </a:lnTo>
                                <a:lnTo>
                                  <a:pt x="1443530" y="983473"/>
                                </a:lnTo>
                                <a:lnTo>
                                  <a:pt x="1456652" y="939517"/>
                                </a:lnTo>
                                <a:lnTo>
                                  <a:pt x="1467010" y="894499"/>
                                </a:lnTo>
                                <a:lnTo>
                                  <a:pt x="1474518" y="848526"/>
                                </a:lnTo>
                                <a:lnTo>
                                  <a:pt x="1479089" y="801686"/>
                                </a:lnTo>
                                <a:lnTo>
                                  <a:pt x="1480635" y="754070"/>
                                </a:lnTo>
                                <a:lnTo>
                                  <a:pt x="1479081" y="706368"/>
                                </a:lnTo>
                                <a:lnTo>
                                  <a:pt x="1474497" y="659480"/>
                                </a:lnTo>
                                <a:lnTo>
                                  <a:pt x="1466979" y="613502"/>
                                </a:lnTo>
                                <a:lnTo>
                                  <a:pt x="1456625" y="568530"/>
                                </a:lnTo>
                                <a:lnTo>
                                  <a:pt x="1443524" y="524643"/>
                                </a:lnTo>
                                <a:lnTo>
                                  <a:pt x="1427785" y="481993"/>
                                </a:lnTo>
                                <a:lnTo>
                                  <a:pt x="1409488" y="440619"/>
                                </a:lnTo>
                                <a:lnTo>
                                  <a:pt x="1388737" y="400639"/>
                                </a:lnTo>
                                <a:lnTo>
                                  <a:pt x="1365630" y="362147"/>
                                </a:lnTo>
                                <a:lnTo>
                                  <a:pt x="1340261" y="325240"/>
                                </a:lnTo>
                                <a:lnTo>
                                  <a:pt x="1312729" y="290015"/>
                                </a:lnTo>
                                <a:lnTo>
                                  <a:pt x="1283128" y="256569"/>
                                </a:lnTo>
                                <a:lnTo>
                                  <a:pt x="1251557" y="224997"/>
                                </a:lnTo>
                                <a:lnTo>
                                  <a:pt x="1218110" y="195397"/>
                                </a:lnTo>
                                <a:lnTo>
                                  <a:pt x="1182886" y="167865"/>
                                </a:lnTo>
                                <a:lnTo>
                                  <a:pt x="1145979" y="142496"/>
                                </a:lnTo>
                                <a:lnTo>
                                  <a:pt x="1107487" y="119389"/>
                                </a:lnTo>
                                <a:lnTo>
                                  <a:pt x="1067507" y="98639"/>
                                </a:lnTo>
                                <a:lnTo>
                                  <a:pt x="1026134" y="80342"/>
                                </a:lnTo>
                                <a:lnTo>
                                  <a:pt x="983465" y="64596"/>
                                </a:lnTo>
                                <a:lnTo>
                                  <a:pt x="939597" y="51496"/>
                                </a:lnTo>
                                <a:lnTo>
                                  <a:pt x="894626" y="41139"/>
                                </a:lnTo>
                                <a:lnTo>
                                  <a:pt x="848649" y="33622"/>
                                </a:lnTo>
                                <a:lnTo>
                                  <a:pt x="801762" y="29041"/>
                                </a:lnTo>
                                <a:lnTo>
                                  <a:pt x="754061" y="27493"/>
                                </a:lnTo>
                                <a:lnTo>
                                  <a:pt x="954942" y="27493"/>
                                </a:lnTo>
                                <a:lnTo>
                                  <a:pt x="1026330" y="50839"/>
                                </a:lnTo>
                                <a:lnTo>
                                  <a:pt x="1067949" y="68471"/>
                                </a:lnTo>
                                <a:lnTo>
                                  <a:pt x="1108258" y="88482"/>
                                </a:lnTo>
                                <a:lnTo>
                                  <a:pt x="1147166" y="110784"/>
                                </a:lnTo>
                                <a:lnTo>
                                  <a:pt x="1184585" y="135287"/>
                                </a:lnTo>
                                <a:lnTo>
                                  <a:pt x="1220425" y="161902"/>
                                </a:lnTo>
                                <a:lnTo>
                                  <a:pt x="1254599" y="190540"/>
                                </a:lnTo>
                                <a:lnTo>
                                  <a:pt x="1287016" y="221113"/>
                                </a:lnTo>
                                <a:lnTo>
                                  <a:pt x="1317588" y="253530"/>
                                </a:lnTo>
                                <a:lnTo>
                                  <a:pt x="1346225" y="287704"/>
                                </a:lnTo>
                                <a:lnTo>
                                  <a:pt x="1372840" y="323546"/>
                                </a:lnTo>
                                <a:lnTo>
                                  <a:pt x="1397342" y="360965"/>
                                </a:lnTo>
                                <a:lnTo>
                                  <a:pt x="1419643" y="399874"/>
                                </a:lnTo>
                                <a:lnTo>
                                  <a:pt x="1439653" y="440182"/>
                                </a:lnTo>
                                <a:lnTo>
                                  <a:pt x="1457352" y="481993"/>
                                </a:lnTo>
                                <a:lnTo>
                                  <a:pt x="1472452" y="524662"/>
                                </a:lnTo>
                                <a:lnTo>
                                  <a:pt x="1485047" y="568619"/>
                                </a:lnTo>
                                <a:lnTo>
                                  <a:pt x="1495003" y="613638"/>
                                </a:lnTo>
                                <a:lnTo>
                                  <a:pt x="1502228" y="659613"/>
                                </a:lnTo>
                                <a:lnTo>
                                  <a:pt x="1506630" y="706453"/>
                                </a:lnTo>
                                <a:lnTo>
                                  <a:pt x="1508122" y="754070"/>
                                </a:lnTo>
                                <a:lnTo>
                                  <a:pt x="1506628" y="801771"/>
                                </a:lnTo>
                                <a:lnTo>
                                  <a:pt x="1502215" y="848659"/>
                                </a:lnTo>
                                <a:lnTo>
                                  <a:pt x="1494982" y="894637"/>
                                </a:lnTo>
                                <a:lnTo>
                                  <a:pt x="1485027" y="939608"/>
                                </a:lnTo>
                                <a:lnTo>
                                  <a:pt x="1472446" y="983492"/>
                                </a:lnTo>
                                <a:lnTo>
                                  <a:pt x="1457271" y="1026333"/>
                                </a:lnTo>
                                <a:lnTo>
                                  <a:pt x="1439652" y="1067952"/>
                                </a:lnTo>
                                <a:lnTo>
                                  <a:pt x="1419642" y="1108260"/>
                                </a:lnTo>
                                <a:lnTo>
                                  <a:pt x="1397341" y="1147168"/>
                                </a:lnTo>
                                <a:lnTo>
                                  <a:pt x="1372839" y="1184586"/>
                                </a:lnTo>
                                <a:lnTo>
                                  <a:pt x="1346224" y="1220426"/>
                                </a:lnTo>
                                <a:lnTo>
                                  <a:pt x="1317587" y="1254599"/>
                                </a:lnTo>
                                <a:lnTo>
                                  <a:pt x="1287015" y="1287016"/>
                                </a:lnTo>
                                <a:lnTo>
                                  <a:pt x="1254598" y="1317587"/>
                                </a:lnTo>
                                <a:lnTo>
                                  <a:pt x="1220424" y="1346224"/>
                                </a:lnTo>
                                <a:lnTo>
                                  <a:pt x="1184584" y="1372838"/>
                                </a:lnTo>
                                <a:lnTo>
                                  <a:pt x="1147165" y="1397340"/>
                                </a:lnTo>
                                <a:lnTo>
                                  <a:pt x="1108257" y="1419641"/>
                                </a:lnTo>
                                <a:lnTo>
                                  <a:pt x="1067948" y="1439651"/>
                                </a:lnTo>
                                <a:lnTo>
                                  <a:pt x="1026329" y="1457282"/>
                                </a:lnTo>
                                <a:lnTo>
                                  <a:pt x="983487" y="1472445"/>
                                </a:lnTo>
                                <a:lnTo>
                                  <a:pt x="954914" y="1480635"/>
                                </a:lnTo>
                                <a:close/>
                              </a:path>
                            </a:pathLst>
                          </a:custGeom>
                          <a:solidFill>
                            <a:srgbClr val="FFFFFF"/>
                          </a:solidFill>
                        </wps:spPr>
                        <wps:bodyPr wrap="square" lIns="0" tIns="0" rIns="0" bIns="0" rtlCol="0">
                          <a:prstTxWarp prst="textNoShape">
                            <a:avLst/>
                          </a:prstTxWarp>
                          <a:noAutofit/>
                        </wps:bodyPr>
                      </wps:wsp>
                      <pic:pic>
                        <pic:nvPicPr>
                          <pic:cNvPr id="385" name="Image 385"/>
                          <pic:cNvPicPr/>
                        </pic:nvPicPr>
                        <pic:blipFill>
                          <a:blip r:embed="rId468" cstate="print"/>
                          <a:stretch>
                            <a:fillRect/>
                          </a:stretch>
                        </pic:blipFill>
                        <pic:spPr>
                          <a:xfrm>
                            <a:off x="655211" y="2933568"/>
                            <a:ext cx="3475544" cy="2293142"/>
                          </a:xfrm>
                          <a:prstGeom prst="rect">
                            <a:avLst/>
                          </a:prstGeom>
                        </pic:spPr>
                      </pic:pic>
                      <wps:wsp>
                        <wps:cNvPr id="386" name="Graphic 386"/>
                        <wps:cNvSpPr/>
                        <wps:spPr>
                          <a:xfrm>
                            <a:off x="4332640" y="4377995"/>
                            <a:ext cx="2773680" cy="1270"/>
                          </a:xfrm>
                          <a:custGeom>
                            <a:avLst/>
                            <a:gdLst/>
                            <a:ahLst/>
                            <a:cxnLst/>
                            <a:rect l="l" t="t" r="r" b="b"/>
                            <a:pathLst>
                              <a:path w="2773680" h="0">
                                <a:moveTo>
                                  <a:pt x="0" y="0"/>
                                </a:moveTo>
                                <a:lnTo>
                                  <a:pt x="2773600" y="0"/>
                                </a:lnTo>
                              </a:path>
                            </a:pathLst>
                          </a:custGeom>
                          <a:ln w="28574">
                            <a:solidFill>
                              <a:srgbClr val="F4B648"/>
                            </a:solidFill>
                            <a:prstDash val="sysDash"/>
                          </a:ln>
                        </wps:spPr>
                        <wps:bodyPr wrap="square" lIns="0" tIns="0" rIns="0" bIns="0" rtlCol="0">
                          <a:prstTxWarp prst="textNoShape">
                            <a:avLst/>
                          </a:prstTxWarp>
                          <a:noAutofit/>
                        </wps:bodyPr>
                      </wps:wsp>
                    </wpg:wgp>
                  </a:graphicData>
                </a:graphic>
              </wp:anchor>
            </w:drawing>
          </mc:Choice>
          <mc:Fallback>
            <w:pict>
              <v:group style="position:absolute;margin-left:.000003pt;margin-top:.000017pt;width:612pt;height:411.6pt;mso-position-horizontal-relative:page;mso-position-vertical-relative:page;z-index:-20694528" id="docshapegroup305" coordorigin="0,0" coordsize="12240,8232">
                <v:shape style="position:absolute;left:0;top:0;width:12240;height:4855" type="#_x0000_t75" id="docshape306" stroked="false">
                  <v:imagedata r:id="rId467" o:title=""/>
                </v:shape>
                <v:shape style="position:absolute;left:7839;top:1158;width:2333;height:2332" type="#_x0000_t75" id="docshape307" stroked="false">
                  <v:imagedata r:id="rId98" o:title=""/>
                </v:shape>
                <v:shape style="position:absolute;left:7818;top:1136;width:2375;height:2375" id="docshape308" coordorigin="7818,1136" coordsize="2375,2375" path="m9006,3511l8931,3509,8857,3502,8785,3491,8714,3475,8645,3455,8577,3431,8511,3404,8448,3372,8387,3337,8328,3298,8271,3257,8218,3211,8167,3163,8118,3112,8073,3058,8031,3002,7993,2943,7958,2882,7926,2818,7898,2752,7874,2685,7855,2616,7839,2545,7828,2473,7821,2399,7818,2324,7821,2249,7828,2175,7839,2103,7855,2032,7874,1963,7898,1895,7926,1830,7958,1766,7993,1705,8031,1646,8073,1590,8118,1536,8167,1485,8218,1437,8271,1391,8328,1350,8387,1311,8448,1276,8512,1244,8577,1217,8645,1193,8714,1173,8785,1157,8857,1146,8931,1139,9006,1136,9081,1139,9155,1146,9227,1157,9298,1173,9322,1180,9006,1180,8931,1182,8857,1189,8784,1201,8714,1218,8645,1238,8577,1263,8512,1292,8449,1324,8389,1361,8330,1401,8275,1444,8222,1491,8173,1541,8126,1593,8083,1649,8043,1707,8006,1767,7974,1830,7945,1896,7920,1963,7899,2032,7883,2103,7871,2175,7864,2249,7862,2324,7864,2399,7871,2473,7883,2545,7899,2616,7920,2685,7945,2752,7974,2818,8006,2881,8043,2941,8083,2999,8126,3055,8173,3107,8222,3157,8275,3204,8330,3247,8389,3287,8449,3323,8512,3356,8577,3385,8645,3410,8714,3430,8784,3447,8857,3459,8931,3466,9006,3468,9322,3468,9298,3475,9227,3491,9155,3502,9081,3509,9006,3511xm9322,3468l9006,3468,9081,3466,9155,3459,9227,3447,9298,3430,9367,3410,9434,3385,9499,3356,9562,3323,9623,3287,9681,3247,9737,3204,9789,3157,9839,3107,9886,3055,9929,2999,9969,2941,10005,2881,10038,2818,10067,2752,10092,2685,10112,2616,10129,2545,10140,2473,10148,2399,10150,2324,10148,2249,10140,2175,10129,2103,10112,2032,10092,1963,10067,1896,10038,1830,10005,1767,9969,1707,9929,1649,9886,1593,9839,1541,9789,1491,9737,1444,9681,1401,9623,1361,9562,1324,9499,1292,9434,1263,9367,1238,9298,1218,9227,1201,9155,1189,9081,1182,9006,1180,9322,1180,9367,1193,9435,1217,9500,1244,9564,1276,9625,1311,9684,1350,9740,1391,9794,1437,9845,1485,9893,1536,9938,1590,9980,1646,10019,1705,10054,1766,10085,1830,10113,1896,10137,1963,10157,2032,10173,2103,10184,2175,10191,2249,10193,2324,10191,2399,10184,2473,10173,2545,10157,2616,10137,2685,10113,2753,10085,2818,10054,2882,10019,2943,9980,3002,9938,3058,9893,3112,9845,3163,9794,3211,9740,3257,9684,3298,9625,3337,9564,3372,9500,3404,9435,3431,9367,3455,9322,3468xe" filled="true" fillcolor="#ffffff" stroked="false">
                  <v:path arrowok="t"/>
                  <v:fill type="solid"/>
                </v:shape>
                <v:shape style="position:absolute;left:1031;top:4619;width:5474;height:3612" type="#_x0000_t75" id="docshape309" stroked="false">
                  <v:imagedata r:id="rId468" o:title=""/>
                </v:shape>
                <v:line style="position:absolute" from="6823,6894" to="11191,6894" stroked="true" strokeweight="2.25pt" strokecolor="#f4b648">
                  <v:stroke dashstyle="shortdash"/>
                </v:line>
                <w10:wrap type="none"/>
              </v:group>
            </w:pict>
          </mc:Fallback>
        </mc:AlternateContent>
      </w:r>
    </w:p>
    <w:p>
      <w:pPr>
        <w:pStyle w:val="BodyText"/>
        <w:rPr>
          <w:rFonts w:ascii="Georgia"/>
          <w:sz w:val="20"/>
        </w:rPr>
      </w:pPr>
    </w:p>
    <w:p>
      <w:pPr>
        <w:pStyle w:val="BodyText"/>
        <w:spacing w:before="131"/>
        <w:rPr>
          <w:rFonts w:ascii="Georgia"/>
          <w:sz w:val="20"/>
        </w:rPr>
      </w:pPr>
    </w:p>
    <w:p>
      <w:pPr>
        <w:tabs>
          <w:tab w:pos="6845" w:val="left" w:leader="none"/>
        </w:tabs>
        <w:spacing w:line="240" w:lineRule="auto"/>
        <w:ind w:left="121" w:right="0" w:firstLine="0"/>
        <w:rPr>
          <w:rFonts w:ascii="Georgia"/>
          <w:sz w:val="20"/>
        </w:rPr>
      </w:pPr>
      <w:r>
        <w:rPr>
          <w:rFonts w:ascii="Georgia"/>
          <w:position w:val="64"/>
          <w:sz w:val="20"/>
        </w:rPr>
        <mc:AlternateContent>
          <mc:Choice Requires="wps">
            <w:drawing>
              <wp:inline distT="0" distB="0" distL="0" distR="0">
                <wp:extent cx="3469640" cy="1466215"/>
                <wp:effectExtent l="0" t="0" r="0" b="634"/>
                <wp:docPr id="387" name="Group 387"/>
                <wp:cNvGraphicFramePr>
                  <a:graphicFrameLocks/>
                </wp:cNvGraphicFramePr>
                <a:graphic>
                  <a:graphicData uri="http://schemas.microsoft.com/office/word/2010/wordprocessingGroup">
                    <wpg:wgp>
                      <wpg:cNvPr id="387" name="Group 387"/>
                      <wpg:cNvGrpSpPr/>
                      <wpg:grpSpPr>
                        <a:xfrm>
                          <a:off x="0" y="0"/>
                          <a:ext cx="3469640" cy="1466215"/>
                          <a:chExt cx="3469640" cy="1466215"/>
                        </a:xfrm>
                      </wpg:grpSpPr>
                      <wps:wsp>
                        <wps:cNvPr id="388" name="Graphic 388"/>
                        <wps:cNvSpPr/>
                        <wps:spPr>
                          <a:xfrm>
                            <a:off x="0" y="0"/>
                            <a:ext cx="3469640" cy="1466215"/>
                          </a:xfrm>
                          <a:custGeom>
                            <a:avLst/>
                            <a:gdLst/>
                            <a:ahLst/>
                            <a:cxnLst/>
                            <a:rect l="l" t="t" r="r" b="b"/>
                            <a:pathLst>
                              <a:path w="3469640" h="1466215">
                                <a:moveTo>
                                  <a:pt x="3107574" y="1465971"/>
                                </a:moveTo>
                                <a:lnTo>
                                  <a:pt x="361949" y="1465971"/>
                                </a:lnTo>
                                <a:lnTo>
                                  <a:pt x="312835" y="1462667"/>
                                </a:lnTo>
                                <a:lnTo>
                                  <a:pt x="265729" y="1453042"/>
                                </a:lnTo>
                                <a:lnTo>
                                  <a:pt x="221062" y="1437528"/>
                                </a:lnTo>
                                <a:lnTo>
                                  <a:pt x="179266" y="1416555"/>
                                </a:lnTo>
                                <a:lnTo>
                                  <a:pt x="140773" y="1390555"/>
                                </a:lnTo>
                                <a:lnTo>
                                  <a:pt x="106012" y="1359959"/>
                                </a:lnTo>
                                <a:lnTo>
                                  <a:pt x="75416" y="1325198"/>
                                </a:lnTo>
                                <a:lnTo>
                                  <a:pt x="49416" y="1286704"/>
                                </a:lnTo>
                                <a:lnTo>
                                  <a:pt x="28443" y="1244909"/>
                                </a:lnTo>
                                <a:lnTo>
                                  <a:pt x="12929" y="1200242"/>
                                </a:lnTo>
                                <a:lnTo>
                                  <a:pt x="3304" y="1153136"/>
                                </a:lnTo>
                                <a:lnTo>
                                  <a:pt x="0" y="1104021"/>
                                </a:lnTo>
                                <a:lnTo>
                                  <a:pt x="0" y="361949"/>
                                </a:lnTo>
                                <a:lnTo>
                                  <a:pt x="3304" y="312835"/>
                                </a:lnTo>
                                <a:lnTo>
                                  <a:pt x="12929" y="265729"/>
                                </a:lnTo>
                                <a:lnTo>
                                  <a:pt x="28443" y="221062"/>
                                </a:lnTo>
                                <a:lnTo>
                                  <a:pt x="49416" y="179266"/>
                                </a:lnTo>
                                <a:lnTo>
                                  <a:pt x="75416" y="140773"/>
                                </a:lnTo>
                                <a:lnTo>
                                  <a:pt x="106012" y="106012"/>
                                </a:lnTo>
                                <a:lnTo>
                                  <a:pt x="140773" y="75416"/>
                                </a:lnTo>
                                <a:lnTo>
                                  <a:pt x="179266" y="49416"/>
                                </a:lnTo>
                                <a:lnTo>
                                  <a:pt x="221062" y="28443"/>
                                </a:lnTo>
                                <a:lnTo>
                                  <a:pt x="265729" y="12929"/>
                                </a:lnTo>
                                <a:lnTo>
                                  <a:pt x="312835" y="3304"/>
                                </a:lnTo>
                                <a:lnTo>
                                  <a:pt x="361949" y="0"/>
                                </a:lnTo>
                                <a:lnTo>
                                  <a:pt x="3107574" y="0"/>
                                </a:lnTo>
                                <a:lnTo>
                                  <a:pt x="3156688" y="3304"/>
                                </a:lnTo>
                                <a:lnTo>
                                  <a:pt x="3203795" y="12929"/>
                                </a:lnTo>
                                <a:lnTo>
                                  <a:pt x="3248461" y="28443"/>
                                </a:lnTo>
                                <a:lnTo>
                                  <a:pt x="3290257" y="49416"/>
                                </a:lnTo>
                                <a:lnTo>
                                  <a:pt x="3328751" y="75416"/>
                                </a:lnTo>
                                <a:lnTo>
                                  <a:pt x="3363511" y="106012"/>
                                </a:lnTo>
                                <a:lnTo>
                                  <a:pt x="3394107" y="140773"/>
                                </a:lnTo>
                                <a:lnTo>
                                  <a:pt x="3420107" y="179266"/>
                                </a:lnTo>
                                <a:lnTo>
                                  <a:pt x="3441080" y="221062"/>
                                </a:lnTo>
                                <a:lnTo>
                                  <a:pt x="3456594" y="265729"/>
                                </a:lnTo>
                                <a:lnTo>
                                  <a:pt x="3466219" y="312835"/>
                                </a:lnTo>
                                <a:lnTo>
                                  <a:pt x="3469524" y="361949"/>
                                </a:lnTo>
                                <a:lnTo>
                                  <a:pt x="3469524" y="1104021"/>
                                </a:lnTo>
                                <a:lnTo>
                                  <a:pt x="3466219" y="1153136"/>
                                </a:lnTo>
                                <a:lnTo>
                                  <a:pt x="3456594" y="1200242"/>
                                </a:lnTo>
                                <a:lnTo>
                                  <a:pt x="3441080" y="1244909"/>
                                </a:lnTo>
                                <a:lnTo>
                                  <a:pt x="3420107" y="1286704"/>
                                </a:lnTo>
                                <a:lnTo>
                                  <a:pt x="3394107" y="1325198"/>
                                </a:lnTo>
                                <a:lnTo>
                                  <a:pt x="3363511" y="1359959"/>
                                </a:lnTo>
                                <a:lnTo>
                                  <a:pt x="3328751" y="1390555"/>
                                </a:lnTo>
                                <a:lnTo>
                                  <a:pt x="3290257" y="1416555"/>
                                </a:lnTo>
                                <a:lnTo>
                                  <a:pt x="3248461" y="1437528"/>
                                </a:lnTo>
                                <a:lnTo>
                                  <a:pt x="3203795" y="1453042"/>
                                </a:lnTo>
                                <a:lnTo>
                                  <a:pt x="3156688" y="1462667"/>
                                </a:lnTo>
                                <a:lnTo>
                                  <a:pt x="3107574" y="1465971"/>
                                </a:lnTo>
                                <a:close/>
                              </a:path>
                            </a:pathLst>
                          </a:custGeom>
                          <a:solidFill>
                            <a:srgbClr val="29BED0">
                              <a:alpha val="55999"/>
                            </a:srgbClr>
                          </a:solidFill>
                        </wps:spPr>
                        <wps:bodyPr wrap="square" lIns="0" tIns="0" rIns="0" bIns="0" rtlCol="0">
                          <a:prstTxWarp prst="textNoShape">
                            <a:avLst/>
                          </a:prstTxWarp>
                          <a:noAutofit/>
                        </wps:bodyPr>
                      </wps:wsp>
                      <wps:wsp>
                        <wps:cNvPr id="389" name="Textbox 389"/>
                        <wps:cNvSpPr txBox="1"/>
                        <wps:spPr>
                          <a:xfrm>
                            <a:off x="0" y="0"/>
                            <a:ext cx="3469640" cy="1466215"/>
                          </a:xfrm>
                          <a:prstGeom prst="rect">
                            <a:avLst/>
                          </a:prstGeom>
                        </wps:spPr>
                        <wps:txbx>
                          <w:txbxContent>
                            <w:p>
                              <w:pPr>
                                <w:spacing w:before="136"/>
                                <w:ind w:left="202" w:right="0" w:firstLine="0"/>
                                <w:jc w:val="left"/>
                                <w:rPr>
                                  <w:b/>
                                  <w:i/>
                                  <w:sz w:val="34"/>
                                </w:rPr>
                              </w:pPr>
                              <w:r>
                                <w:rPr>
                                  <w:b/>
                                  <w:i/>
                                  <w:spacing w:val="11"/>
                                  <w:w w:val="130"/>
                                  <w:sz w:val="34"/>
                                </w:rPr>
                                <w:t>LEGISLATION</w:t>
                              </w:r>
                            </w:p>
                            <w:p>
                              <w:pPr>
                                <w:spacing w:line="271" w:lineRule="auto" w:before="277"/>
                                <w:ind w:left="204" w:right="0" w:firstLine="0"/>
                                <w:jc w:val="left"/>
                                <w:rPr>
                                  <w:rFonts w:ascii="Georgia"/>
                                  <w:sz w:val="21"/>
                                </w:rPr>
                              </w:pPr>
                              <w:r>
                                <w:rPr>
                                  <w:rFonts w:ascii="Georgia"/>
                                  <w:sz w:val="21"/>
                                </w:rPr>
                                <w:t>S.1112/H.211:</w:t>
                              </w:r>
                              <w:r>
                                <w:rPr>
                                  <w:rFonts w:ascii="Georgia"/>
                                  <w:spacing w:val="-3"/>
                                  <w:sz w:val="21"/>
                                </w:rPr>
                                <w:t> </w:t>
                              </w:r>
                              <w:r>
                                <w:rPr>
                                  <w:rFonts w:ascii="Georgia"/>
                                  <w:sz w:val="21"/>
                                </w:rPr>
                                <w:t>Bill</w:t>
                              </w:r>
                              <w:r>
                                <w:rPr>
                                  <w:rFonts w:ascii="Georgia"/>
                                  <w:spacing w:val="-3"/>
                                  <w:sz w:val="21"/>
                                </w:rPr>
                                <w:t> </w:t>
                              </w:r>
                              <w:r>
                                <w:rPr>
                                  <w:rFonts w:ascii="Georgia"/>
                                  <w:sz w:val="21"/>
                                </w:rPr>
                                <w:t>of</w:t>
                              </w:r>
                              <w:r>
                                <w:rPr>
                                  <w:rFonts w:ascii="Georgia"/>
                                  <w:spacing w:val="-3"/>
                                  <w:sz w:val="21"/>
                                </w:rPr>
                                <w:t> </w:t>
                              </w:r>
                              <w:r>
                                <w:rPr>
                                  <w:rFonts w:ascii="Georgia"/>
                                  <w:sz w:val="21"/>
                                </w:rPr>
                                <w:t>Rights</w:t>
                              </w:r>
                              <w:r>
                                <w:rPr>
                                  <w:rFonts w:ascii="Georgia"/>
                                  <w:spacing w:val="-3"/>
                                  <w:sz w:val="21"/>
                                </w:rPr>
                                <w:t> </w:t>
                              </w:r>
                              <w:r>
                                <w:rPr>
                                  <w:rFonts w:ascii="Georgia"/>
                                  <w:sz w:val="21"/>
                                </w:rPr>
                                <w:t>for</w:t>
                              </w:r>
                              <w:r>
                                <w:rPr>
                                  <w:rFonts w:ascii="Georgia"/>
                                  <w:spacing w:val="-3"/>
                                  <w:sz w:val="21"/>
                                </w:rPr>
                                <w:t> </w:t>
                              </w:r>
                              <w:r>
                                <w:rPr>
                                  <w:rFonts w:ascii="Georgia"/>
                                  <w:sz w:val="21"/>
                                </w:rPr>
                                <w:t>People</w:t>
                              </w:r>
                              <w:r>
                                <w:rPr>
                                  <w:rFonts w:ascii="Georgia"/>
                                  <w:spacing w:val="-3"/>
                                  <w:sz w:val="21"/>
                                </w:rPr>
                                <w:t> </w:t>
                              </w:r>
                              <w:r>
                                <w:rPr>
                                  <w:rFonts w:ascii="Georgia"/>
                                  <w:sz w:val="21"/>
                                </w:rPr>
                                <w:t>Experiencing </w:t>
                              </w:r>
                              <w:r>
                                <w:rPr>
                                  <w:rFonts w:ascii="Georgia"/>
                                  <w:spacing w:val="-2"/>
                                  <w:sz w:val="21"/>
                                </w:rPr>
                                <w:t>Homelessness</w:t>
                              </w:r>
                            </w:p>
                            <w:p>
                              <w:pPr>
                                <w:spacing w:line="240" w:lineRule="auto" w:before="32"/>
                                <w:rPr>
                                  <w:rFonts w:ascii="Georgia"/>
                                  <w:sz w:val="21"/>
                                </w:rPr>
                              </w:pPr>
                            </w:p>
                            <w:p>
                              <w:pPr>
                                <w:spacing w:before="1"/>
                                <w:ind w:left="204" w:right="0" w:firstLine="0"/>
                                <w:jc w:val="left"/>
                                <w:rPr>
                                  <w:rFonts w:ascii="Georgia"/>
                                  <w:sz w:val="21"/>
                                </w:rPr>
                              </w:pPr>
                              <w:r>
                                <w:rPr>
                                  <w:rFonts w:ascii="Georgia"/>
                                  <w:spacing w:val="-2"/>
                                  <w:sz w:val="21"/>
                                </w:rPr>
                                <w:t>S.856/H.1312:</w:t>
                              </w:r>
                              <w:r>
                                <w:rPr>
                                  <w:rFonts w:ascii="Georgia"/>
                                  <w:spacing w:val="-7"/>
                                  <w:sz w:val="21"/>
                                </w:rPr>
                                <w:t> </w:t>
                              </w:r>
                              <w:r>
                                <w:rPr>
                                  <w:rFonts w:ascii="Georgia"/>
                                  <w:spacing w:val="-2"/>
                                  <w:sz w:val="21"/>
                                </w:rPr>
                                <w:t>Upstream</w:t>
                              </w:r>
                              <w:r>
                                <w:rPr>
                                  <w:rFonts w:ascii="Georgia"/>
                                  <w:spacing w:val="-7"/>
                                  <w:sz w:val="21"/>
                                </w:rPr>
                                <w:t> </w:t>
                              </w:r>
                              <w:r>
                                <w:rPr>
                                  <w:rFonts w:ascii="Georgia"/>
                                  <w:spacing w:val="-2"/>
                                  <w:sz w:val="21"/>
                                </w:rPr>
                                <w:t>Homelessness</w:t>
                              </w:r>
                              <w:r>
                                <w:rPr>
                                  <w:rFonts w:ascii="Georgia"/>
                                  <w:spacing w:val="-6"/>
                                  <w:sz w:val="21"/>
                                </w:rPr>
                                <w:t> </w:t>
                              </w:r>
                              <w:r>
                                <w:rPr>
                                  <w:rFonts w:ascii="Georgia"/>
                                  <w:spacing w:val="-2"/>
                                  <w:sz w:val="21"/>
                                </w:rPr>
                                <w:t>Assistance</w:t>
                              </w:r>
                            </w:p>
                          </w:txbxContent>
                        </wps:txbx>
                        <wps:bodyPr wrap="square" lIns="0" tIns="0" rIns="0" bIns="0" rtlCol="0">
                          <a:noAutofit/>
                        </wps:bodyPr>
                      </wps:wsp>
                    </wpg:wgp>
                  </a:graphicData>
                </a:graphic>
              </wp:inline>
            </w:drawing>
          </mc:Choice>
          <mc:Fallback>
            <w:pict>
              <v:group style="width:273.2pt;height:115.45pt;mso-position-horizontal-relative:char;mso-position-vertical-relative:line" id="docshapegroup310" coordorigin="0,0" coordsize="5464,2309">
                <v:shape style="position:absolute;left:0;top:0;width:5464;height:2309" id="docshape311" coordorigin="0,0" coordsize="5464,2309" path="m4894,2309l570,2309,493,2303,418,2288,348,2264,282,2231,222,2190,167,2142,119,2087,78,2026,45,1960,20,1890,5,1816,0,1739,0,570,5,493,20,418,45,348,78,282,119,222,167,167,222,119,282,78,348,45,418,20,493,5,570,0,4894,0,4971,5,5045,20,5116,45,5182,78,5242,119,5297,167,5345,222,5386,282,5419,348,5443,418,5459,493,5464,570,5464,1739,5459,1816,5443,1890,5419,1960,5386,2026,5345,2087,5297,2142,5242,2190,5182,2231,5116,2264,5045,2288,4971,2303,4894,2309xe" filled="true" fillcolor="#29bed0" stroked="false">
                  <v:path arrowok="t"/>
                  <v:fill opacity="36700f" type="solid"/>
                </v:shape>
                <v:shape style="position:absolute;left:0;top:0;width:5464;height:2309" type="#_x0000_t202" id="docshape312" filled="false" stroked="false">
                  <v:textbox inset="0,0,0,0">
                    <w:txbxContent>
                      <w:p>
                        <w:pPr>
                          <w:spacing w:before="136"/>
                          <w:ind w:left="202" w:right="0" w:firstLine="0"/>
                          <w:jc w:val="left"/>
                          <w:rPr>
                            <w:b/>
                            <w:i/>
                            <w:sz w:val="34"/>
                          </w:rPr>
                        </w:pPr>
                        <w:r>
                          <w:rPr>
                            <w:b/>
                            <w:i/>
                            <w:spacing w:val="11"/>
                            <w:w w:val="130"/>
                            <w:sz w:val="34"/>
                          </w:rPr>
                          <w:t>LEGISLATION</w:t>
                        </w:r>
                      </w:p>
                      <w:p>
                        <w:pPr>
                          <w:spacing w:line="271" w:lineRule="auto" w:before="277"/>
                          <w:ind w:left="204" w:right="0" w:firstLine="0"/>
                          <w:jc w:val="left"/>
                          <w:rPr>
                            <w:rFonts w:ascii="Georgia"/>
                            <w:sz w:val="21"/>
                          </w:rPr>
                        </w:pPr>
                        <w:r>
                          <w:rPr>
                            <w:rFonts w:ascii="Georgia"/>
                            <w:sz w:val="21"/>
                          </w:rPr>
                          <w:t>S.1112/H.211:</w:t>
                        </w:r>
                        <w:r>
                          <w:rPr>
                            <w:rFonts w:ascii="Georgia"/>
                            <w:spacing w:val="-3"/>
                            <w:sz w:val="21"/>
                          </w:rPr>
                          <w:t> </w:t>
                        </w:r>
                        <w:r>
                          <w:rPr>
                            <w:rFonts w:ascii="Georgia"/>
                            <w:sz w:val="21"/>
                          </w:rPr>
                          <w:t>Bill</w:t>
                        </w:r>
                        <w:r>
                          <w:rPr>
                            <w:rFonts w:ascii="Georgia"/>
                            <w:spacing w:val="-3"/>
                            <w:sz w:val="21"/>
                          </w:rPr>
                          <w:t> </w:t>
                        </w:r>
                        <w:r>
                          <w:rPr>
                            <w:rFonts w:ascii="Georgia"/>
                            <w:sz w:val="21"/>
                          </w:rPr>
                          <w:t>of</w:t>
                        </w:r>
                        <w:r>
                          <w:rPr>
                            <w:rFonts w:ascii="Georgia"/>
                            <w:spacing w:val="-3"/>
                            <w:sz w:val="21"/>
                          </w:rPr>
                          <w:t> </w:t>
                        </w:r>
                        <w:r>
                          <w:rPr>
                            <w:rFonts w:ascii="Georgia"/>
                            <w:sz w:val="21"/>
                          </w:rPr>
                          <w:t>Rights</w:t>
                        </w:r>
                        <w:r>
                          <w:rPr>
                            <w:rFonts w:ascii="Georgia"/>
                            <w:spacing w:val="-3"/>
                            <w:sz w:val="21"/>
                          </w:rPr>
                          <w:t> </w:t>
                        </w:r>
                        <w:r>
                          <w:rPr>
                            <w:rFonts w:ascii="Georgia"/>
                            <w:sz w:val="21"/>
                          </w:rPr>
                          <w:t>for</w:t>
                        </w:r>
                        <w:r>
                          <w:rPr>
                            <w:rFonts w:ascii="Georgia"/>
                            <w:spacing w:val="-3"/>
                            <w:sz w:val="21"/>
                          </w:rPr>
                          <w:t> </w:t>
                        </w:r>
                        <w:r>
                          <w:rPr>
                            <w:rFonts w:ascii="Georgia"/>
                            <w:sz w:val="21"/>
                          </w:rPr>
                          <w:t>People</w:t>
                        </w:r>
                        <w:r>
                          <w:rPr>
                            <w:rFonts w:ascii="Georgia"/>
                            <w:spacing w:val="-3"/>
                            <w:sz w:val="21"/>
                          </w:rPr>
                          <w:t> </w:t>
                        </w:r>
                        <w:r>
                          <w:rPr>
                            <w:rFonts w:ascii="Georgia"/>
                            <w:sz w:val="21"/>
                          </w:rPr>
                          <w:t>Experiencing </w:t>
                        </w:r>
                        <w:r>
                          <w:rPr>
                            <w:rFonts w:ascii="Georgia"/>
                            <w:spacing w:val="-2"/>
                            <w:sz w:val="21"/>
                          </w:rPr>
                          <w:t>Homelessness</w:t>
                        </w:r>
                      </w:p>
                      <w:p>
                        <w:pPr>
                          <w:spacing w:line="240" w:lineRule="auto" w:before="32"/>
                          <w:rPr>
                            <w:rFonts w:ascii="Georgia"/>
                            <w:sz w:val="21"/>
                          </w:rPr>
                        </w:pPr>
                      </w:p>
                      <w:p>
                        <w:pPr>
                          <w:spacing w:before="1"/>
                          <w:ind w:left="204" w:right="0" w:firstLine="0"/>
                          <w:jc w:val="left"/>
                          <w:rPr>
                            <w:rFonts w:ascii="Georgia"/>
                            <w:sz w:val="21"/>
                          </w:rPr>
                        </w:pPr>
                        <w:r>
                          <w:rPr>
                            <w:rFonts w:ascii="Georgia"/>
                            <w:spacing w:val="-2"/>
                            <w:sz w:val="21"/>
                          </w:rPr>
                          <w:t>S.856/H.1312:</w:t>
                        </w:r>
                        <w:r>
                          <w:rPr>
                            <w:rFonts w:ascii="Georgia"/>
                            <w:spacing w:val="-7"/>
                            <w:sz w:val="21"/>
                          </w:rPr>
                          <w:t> </w:t>
                        </w:r>
                        <w:r>
                          <w:rPr>
                            <w:rFonts w:ascii="Georgia"/>
                            <w:spacing w:val="-2"/>
                            <w:sz w:val="21"/>
                          </w:rPr>
                          <w:t>Upstream</w:t>
                        </w:r>
                        <w:r>
                          <w:rPr>
                            <w:rFonts w:ascii="Georgia"/>
                            <w:spacing w:val="-7"/>
                            <w:sz w:val="21"/>
                          </w:rPr>
                          <w:t> </w:t>
                        </w:r>
                        <w:r>
                          <w:rPr>
                            <w:rFonts w:ascii="Georgia"/>
                            <w:spacing w:val="-2"/>
                            <w:sz w:val="21"/>
                          </w:rPr>
                          <w:t>Homelessness</w:t>
                        </w:r>
                        <w:r>
                          <w:rPr>
                            <w:rFonts w:ascii="Georgia"/>
                            <w:spacing w:val="-6"/>
                            <w:sz w:val="21"/>
                          </w:rPr>
                          <w:t> </w:t>
                        </w:r>
                        <w:r>
                          <w:rPr>
                            <w:rFonts w:ascii="Georgia"/>
                            <w:spacing w:val="-2"/>
                            <w:sz w:val="21"/>
                          </w:rPr>
                          <w:t>Assistance</w:t>
                        </w:r>
                      </w:p>
                    </w:txbxContent>
                  </v:textbox>
                  <w10:wrap type="none"/>
                </v:shape>
              </v:group>
            </w:pict>
          </mc:Fallback>
        </mc:AlternateContent>
      </w:r>
      <w:r>
        <w:rPr>
          <w:rFonts w:ascii="Georgia"/>
          <w:position w:val="64"/>
          <w:sz w:val="20"/>
        </w:rPr>
      </w:r>
      <w:r>
        <w:rPr>
          <w:rFonts w:ascii="Georgia"/>
          <w:position w:val="64"/>
          <w:sz w:val="20"/>
        </w:rPr>
        <w:tab/>
      </w:r>
      <w:r>
        <w:rPr>
          <w:rFonts w:ascii="Georgia"/>
          <w:sz w:val="20"/>
        </w:rPr>
        <w:drawing>
          <wp:inline distT="0" distB="0" distL="0" distR="0">
            <wp:extent cx="2648643" cy="2105025"/>
            <wp:effectExtent l="0" t="0" r="0" b="0"/>
            <wp:docPr id="390" name="Image 390"/>
            <wp:cNvGraphicFramePr>
              <a:graphicFrameLocks/>
            </wp:cNvGraphicFramePr>
            <a:graphic>
              <a:graphicData uri="http://schemas.openxmlformats.org/drawingml/2006/picture">
                <pic:pic>
                  <pic:nvPicPr>
                    <pic:cNvPr id="390" name="Image 390"/>
                    <pic:cNvPicPr/>
                  </pic:nvPicPr>
                  <pic:blipFill>
                    <a:blip r:embed="rId469" cstate="print"/>
                    <a:stretch>
                      <a:fillRect/>
                    </a:stretch>
                  </pic:blipFill>
                  <pic:spPr>
                    <a:xfrm>
                      <a:off x="0" y="0"/>
                      <a:ext cx="2648643" cy="2105025"/>
                    </a:xfrm>
                    <a:prstGeom prst="rect">
                      <a:avLst/>
                    </a:prstGeom>
                  </pic:spPr>
                </pic:pic>
              </a:graphicData>
            </a:graphic>
          </wp:inline>
        </w:drawing>
      </w:r>
      <w:r>
        <w:rPr>
          <w:rFonts w:ascii="Georgia"/>
          <w:sz w:val="20"/>
        </w:rPr>
      </w:r>
    </w:p>
    <w:p>
      <w:pPr>
        <w:spacing w:after="0" w:line="240" w:lineRule="auto"/>
        <w:rPr>
          <w:rFonts w:ascii="Georgia"/>
          <w:sz w:val="20"/>
        </w:rPr>
        <w:sectPr>
          <w:type w:val="continuous"/>
          <w:pgSz w:w="12240" w:h="15840"/>
          <w:pgMar w:header="0" w:footer="0" w:top="1420" w:bottom="280" w:left="920" w:right="200"/>
        </w:sectPr>
      </w:pPr>
    </w:p>
    <w:p>
      <w:pPr>
        <w:pStyle w:val="Heading7"/>
        <w:spacing w:before="304"/>
        <w:ind w:left="464"/>
      </w:pPr>
      <w:bookmarkStart w:name="FY 2025 - Criminal Justice - Final.pdf" w:id="539"/>
      <w:bookmarkEnd w:id="539"/>
      <w:r>
        <w:rPr/>
      </w:r>
      <w:bookmarkStart w:name="_bookmark316" w:id="540"/>
      <w:bookmarkEnd w:id="540"/>
      <w:r>
        <w:rPr/>
      </w:r>
      <w:hyperlink w:history="true" w:anchor="_bookmark3">
        <w:r>
          <w:rPr>
            <w:color w:val="365F91"/>
            <w:spacing w:val="-8"/>
          </w:rPr>
          <w:t>Advancing</w:t>
        </w:r>
        <w:r>
          <w:rPr>
            <w:color w:val="365F91"/>
            <w:spacing w:val="-12"/>
          </w:rPr>
          <w:t> </w:t>
        </w:r>
        <w:r>
          <w:rPr>
            <w:color w:val="365F91"/>
            <w:spacing w:val="-8"/>
          </w:rPr>
          <w:t>Justice</w:t>
        </w:r>
        <w:r>
          <w:rPr>
            <w:color w:val="365F91"/>
            <w:spacing w:val="-12"/>
          </w:rPr>
          <w:t> </w:t>
        </w:r>
        <w:r>
          <w:rPr>
            <w:color w:val="365F91"/>
            <w:spacing w:val="-8"/>
          </w:rPr>
          <w:t>in</w:t>
        </w:r>
        <w:r>
          <w:rPr>
            <w:color w:val="365F91"/>
            <w:spacing w:val="-12"/>
          </w:rPr>
          <w:t> </w:t>
        </w:r>
        <w:r>
          <w:rPr>
            <w:color w:val="365F91"/>
            <w:spacing w:val="-8"/>
          </w:rPr>
          <w:t>the</w:t>
        </w:r>
        <w:r>
          <w:rPr>
            <w:color w:val="365F91"/>
            <w:spacing w:val="-13"/>
          </w:rPr>
          <w:t> </w:t>
        </w:r>
        <w:r>
          <w:rPr>
            <w:color w:val="365F91"/>
            <w:spacing w:val="-8"/>
          </w:rPr>
          <w:t>Criminal</w:t>
        </w:r>
        <w:r>
          <w:rPr>
            <w:color w:val="365F91"/>
            <w:spacing w:val="-13"/>
          </w:rPr>
          <w:t> </w:t>
        </w:r>
        <w:r>
          <w:rPr>
            <w:color w:val="365F91"/>
            <w:spacing w:val="-8"/>
          </w:rPr>
          <w:t>Legal</w:t>
        </w:r>
        <w:r>
          <w:rPr>
            <w:color w:val="365F91"/>
            <w:spacing w:val="-15"/>
          </w:rPr>
          <w:t> </w:t>
        </w:r>
        <w:r>
          <w:rPr>
            <w:color w:val="365F91"/>
            <w:spacing w:val="-8"/>
          </w:rPr>
          <w:t>System</w:t>
        </w:r>
      </w:hyperlink>
    </w:p>
    <w:p>
      <w:pPr>
        <w:spacing w:before="313"/>
        <w:ind w:left="464" w:right="0" w:firstLine="0"/>
        <w:jc w:val="left"/>
        <w:rPr>
          <w:sz w:val="28"/>
        </w:rPr>
      </w:pPr>
      <w:bookmarkStart w:name="Introduction" w:id="541"/>
      <w:bookmarkEnd w:id="541"/>
      <w:r>
        <w:rPr/>
      </w:r>
      <w:r>
        <w:rPr>
          <w:color w:val="365F91"/>
          <w:spacing w:val="-2"/>
          <w:sz w:val="28"/>
        </w:rPr>
        <w:t>Introduction</w:t>
      </w:r>
    </w:p>
    <w:p>
      <w:pPr>
        <w:pStyle w:val="BodyText"/>
        <w:spacing w:before="9"/>
        <w:rPr>
          <w:sz w:val="3"/>
        </w:rPr>
      </w:pPr>
      <w:r>
        <w:rPr/>
        <mc:AlternateContent>
          <mc:Choice Requires="wps">
            <w:drawing>
              <wp:anchor distT="0" distB="0" distL="0" distR="0" allowOverlap="1" layoutInCell="1" locked="0" behindDoc="1" simplePos="0" relativeHeight="487660544">
                <wp:simplePos x="0" y="0"/>
                <wp:positionH relativeFrom="page">
                  <wp:posOffset>986789</wp:posOffset>
                </wp:positionH>
                <wp:positionV relativeFrom="paragraph">
                  <wp:posOffset>44832</wp:posOffset>
                </wp:positionV>
                <wp:extent cx="5799455" cy="6350"/>
                <wp:effectExtent l="0" t="0" r="0" b="0"/>
                <wp:wrapTopAndBottom/>
                <wp:docPr id="394" name="Graphic 394"/>
                <wp:cNvGraphicFramePr>
                  <a:graphicFrameLocks/>
                </wp:cNvGraphicFramePr>
                <a:graphic>
                  <a:graphicData uri="http://schemas.microsoft.com/office/word/2010/wordprocessingShape">
                    <wps:wsp>
                      <wps:cNvPr id="394" name="Graphic 394"/>
                      <wps:cNvSpPr/>
                      <wps:spPr>
                        <a:xfrm>
                          <a:off x="0" y="0"/>
                          <a:ext cx="5799455" cy="6350"/>
                        </a:xfrm>
                        <a:custGeom>
                          <a:avLst/>
                          <a:gdLst/>
                          <a:ahLst/>
                          <a:cxnLst/>
                          <a:rect l="l" t="t" r="r" b="b"/>
                          <a:pathLst>
                            <a:path w="5799455" h="6350">
                              <a:moveTo>
                                <a:pt x="5798832" y="0"/>
                              </a:moveTo>
                              <a:lnTo>
                                <a:pt x="0" y="0"/>
                              </a:lnTo>
                              <a:lnTo>
                                <a:pt x="0" y="6108"/>
                              </a:lnTo>
                              <a:lnTo>
                                <a:pt x="5798832" y="6108"/>
                              </a:lnTo>
                              <a:lnTo>
                                <a:pt x="5798832" y="0"/>
                              </a:lnTo>
                              <a:close/>
                            </a:path>
                          </a:pathLst>
                        </a:custGeom>
                        <a:solidFill>
                          <a:srgbClr val="4F81BC"/>
                        </a:solidFill>
                      </wps:spPr>
                      <wps:bodyPr wrap="square" lIns="0" tIns="0" rIns="0" bIns="0" rtlCol="0">
                        <a:prstTxWarp prst="textNoShape">
                          <a:avLst/>
                        </a:prstTxWarp>
                        <a:noAutofit/>
                      </wps:bodyPr>
                    </wps:wsp>
                  </a:graphicData>
                </a:graphic>
              </wp:anchor>
            </w:drawing>
          </mc:Choice>
          <mc:Fallback>
            <w:pict>
              <v:rect style="position:absolute;margin-left:77.699997pt;margin-top:3.530094pt;width:456.601pt;height:.481pt;mso-position-horizontal-relative:page;mso-position-vertical-relative:paragraph;z-index:-15655936;mso-wrap-distance-left:0;mso-wrap-distance-right:0" id="docshape316" filled="true" fillcolor="#4f81bc" stroked="false">
                <v:fill type="solid"/>
                <w10:wrap type="topAndBottom"/>
              </v:rect>
            </w:pict>
          </mc:Fallback>
        </mc:AlternateContent>
      </w:r>
    </w:p>
    <w:p>
      <w:pPr>
        <w:spacing w:line="276" w:lineRule="auto" w:before="241"/>
        <w:ind w:left="464" w:right="238" w:firstLine="0"/>
        <w:jc w:val="both"/>
        <w:rPr>
          <w:sz w:val="21"/>
        </w:rPr>
      </w:pPr>
      <w:r>
        <w:rPr>
          <w:sz w:val="21"/>
        </w:rPr>
        <w:t>The Commission on LGBTQ Youth defines 'youth' as individuals younger than 25 years old. In formulating recommendations regarding LGBTQ youth within Massachusetts' criminal legal system, it is important to note that the Commission's report covers both juvenile and adult legal systems. Further, this section will rely on the phrase “criminal legal system” instead of “criminal justice system” throughout to more accurately</w:t>
      </w:r>
      <w:r>
        <w:rPr>
          <w:spacing w:val="-6"/>
          <w:sz w:val="21"/>
        </w:rPr>
        <w:t> </w:t>
      </w:r>
      <w:r>
        <w:rPr>
          <w:sz w:val="21"/>
        </w:rPr>
        <w:t>describe</w:t>
      </w:r>
      <w:r>
        <w:rPr>
          <w:spacing w:val="-5"/>
          <w:sz w:val="21"/>
        </w:rPr>
        <w:t> </w:t>
      </w:r>
      <w:r>
        <w:rPr>
          <w:sz w:val="21"/>
        </w:rPr>
        <w:t>the</w:t>
      </w:r>
      <w:r>
        <w:rPr>
          <w:spacing w:val="-5"/>
          <w:sz w:val="21"/>
        </w:rPr>
        <w:t> </w:t>
      </w:r>
      <w:r>
        <w:rPr>
          <w:sz w:val="21"/>
        </w:rPr>
        <w:t>inequitable</w:t>
      </w:r>
      <w:r>
        <w:rPr>
          <w:spacing w:val="-5"/>
          <w:sz w:val="21"/>
        </w:rPr>
        <w:t> </w:t>
      </w:r>
      <w:r>
        <w:rPr>
          <w:sz w:val="21"/>
        </w:rPr>
        <w:t>and</w:t>
      </w:r>
      <w:r>
        <w:rPr>
          <w:spacing w:val="-5"/>
          <w:sz w:val="21"/>
        </w:rPr>
        <w:t> </w:t>
      </w:r>
      <w:r>
        <w:rPr>
          <w:sz w:val="21"/>
        </w:rPr>
        <w:t>often</w:t>
      </w:r>
      <w:r>
        <w:rPr>
          <w:spacing w:val="-5"/>
          <w:sz w:val="21"/>
        </w:rPr>
        <w:t> </w:t>
      </w:r>
      <w:r>
        <w:rPr>
          <w:sz w:val="21"/>
        </w:rPr>
        <w:t>harmful</w:t>
      </w:r>
      <w:r>
        <w:rPr>
          <w:spacing w:val="-6"/>
          <w:sz w:val="21"/>
        </w:rPr>
        <w:t> </w:t>
      </w:r>
      <w:r>
        <w:rPr>
          <w:sz w:val="21"/>
        </w:rPr>
        <w:t>U.S.</w:t>
      </w:r>
      <w:r>
        <w:rPr>
          <w:spacing w:val="-6"/>
          <w:sz w:val="21"/>
        </w:rPr>
        <w:t> </w:t>
      </w:r>
      <w:r>
        <w:rPr>
          <w:sz w:val="21"/>
        </w:rPr>
        <w:t>institutions</w:t>
      </w:r>
      <w:r>
        <w:rPr>
          <w:spacing w:val="-5"/>
          <w:sz w:val="21"/>
        </w:rPr>
        <w:t> </w:t>
      </w:r>
      <w:r>
        <w:rPr>
          <w:sz w:val="21"/>
        </w:rPr>
        <w:t>of</w:t>
      </w:r>
      <w:r>
        <w:rPr>
          <w:spacing w:val="-6"/>
          <w:sz w:val="21"/>
        </w:rPr>
        <w:t> </w:t>
      </w:r>
      <w:r>
        <w:rPr>
          <w:sz w:val="21"/>
        </w:rPr>
        <w:t>policing,</w:t>
      </w:r>
      <w:r>
        <w:rPr>
          <w:spacing w:val="-5"/>
          <w:sz w:val="21"/>
        </w:rPr>
        <w:t> </w:t>
      </w:r>
      <w:r>
        <w:rPr>
          <w:sz w:val="21"/>
        </w:rPr>
        <w:t>prosecution,</w:t>
      </w:r>
      <w:r>
        <w:rPr>
          <w:spacing w:val="-5"/>
          <w:sz w:val="21"/>
        </w:rPr>
        <w:t> </w:t>
      </w:r>
      <w:r>
        <w:rPr>
          <w:sz w:val="21"/>
        </w:rPr>
        <w:t>courts,</w:t>
      </w:r>
      <w:r>
        <w:rPr>
          <w:spacing w:val="-5"/>
          <w:sz w:val="21"/>
        </w:rPr>
        <w:t> </w:t>
      </w:r>
      <w:r>
        <w:rPr>
          <w:sz w:val="21"/>
        </w:rPr>
        <w:t>and corrections. This preference stems from a critical examination of the criminal legal system's historical, discriminatory roots and its ongoing disproportionate impact on marginalized communities, particularly people</w:t>
      </w:r>
      <w:r>
        <w:rPr>
          <w:spacing w:val="-12"/>
          <w:sz w:val="21"/>
        </w:rPr>
        <w:t> </w:t>
      </w:r>
      <w:r>
        <w:rPr>
          <w:sz w:val="21"/>
        </w:rPr>
        <w:t>of</w:t>
      </w:r>
      <w:r>
        <w:rPr>
          <w:spacing w:val="-12"/>
          <w:sz w:val="21"/>
        </w:rPr>
        <w:t> </w:t>
      </w:r>
      <w:r>
        <w:rPr>
          <w:sz w:val="21"/>
        </w:rPr>
        <w:t>color</w:t>
      </w:r>
      <w:r>
        <w:rPr>
          <w:spacing w:val="-12"/>
          <w:sz w:val="21"/>
        </w:rPr>
        <w:t> </w:t>
      </w:r>
      <w:r>
        <w:rPr>
          <w:sz w:val="21"/>
        </w:rPr>
        <w:t>as</w:t>
      </w:r>
      <w:r>
        <w:rPr>
          <w:spacing w:val="-12"/>
          <w:sz w:val="21"/>
        </w:rPr>
        <w:t> </w:t>
      </w:r>
      <w:r>
        <w:rPr>
          <w:sz w:val="21"/>
        </w:rPr>
        <w:t>well</w:t>
      </w:r>
      <w:r>
        <w:rPr>
          <w:spacing w:val="-12"/>
          <w:sz w:val="21"/>
        </w:rPr>
        <w:t> </w:t>
      </w:r>
      <w:r>
        <w:rPr>
          <w:sz w:val="21"/>
        </w:rPr>
        <w:t>as</w:t>
      </w:r>
      <w:r>
        <w:rPr>
          <w:spacing w:val="-12"/>
          <w:sz w:val="21"/>
        </w:rPr>
        <w:t> </w:t>
      </w:r>
      <w:r>
        <w:rPr>
          <w:sz w:val="21"/>
        </w:rPr>
        <w:t>individuals</w:t>
      </w:r>
      <w:r>
        <w:rPr>
          <w:spacing w:val="-12"/>
          <w:sz w:val="21"/>
        </w:rPr>
        <w:t> </w:t>
      </w:r>
      <w:r>
        <w:rPr>
          <w:sz w:val="21"/>
        </w:rPr>
        <w:t>experiencing</w:t>
      </w:r>
      <w:r>
        <w:rPr>
          <w:spacing w:val="-11"/>
          <w:sz w:val="21"/>
        </w:rPr>
        <w:t> </w:t>
      </w:r>
      <w:r>
        <w:rPr>
          <w:sz w:val="21"/>
        </w:rPr>
        <w:t>poverty.</w:t>
      </w:r>
      <w:hyperlink w:history="true" w:anchor="_bookmark317">
        <w:r>
          <w:rPr>
            <w:sz w:val="21"/>
            <w:vertAlign w:val="superscript"/>
          </w:rPr>
          <w:t>1</w:t>
        </w:r>
      </w:hyperlink>
      <w:r>
        <w:rPr>
          <w:spacing w:val="-12"/>
          <w:sz w:val="21"/>
          <w:vertAlign w:val="baseline"/>
        </w:rPr>
        <w:t> </w:t>
      </w:r>
      <w:r>
        <w:rPr>
          <w:sz w:val="21"/>
          <w:vertAlign w:val="baseline"/>
        </w:rPr>
        <w:t>The</w:t>
      </w:r>
      <w:r>
        <w:rPr>
          <w:spacing w:val="-12"/>
          <w:sz w:val="21"/>
          <w:vertAlign w:val="baseline"/>
        </w:rPr>
        <w:t> </w:t>
      </w:r>
      <w:r>
        <w:rPr>
          <w:sz w:val="21"/>
          <w:vertAlign w:val="baseline"/>
        </w:rPr>
        <w:t>U.S.</w:t>
      </w:r>
      <w:r>
        <w:rPr>
          <w:spacing w:val="-12"/>
          <w:sz w:val="21"/>
          <w:vertAlign w:val="baseline"/>
        </w:rPr>
        <w:t> </w:t>
      </w:r>
      <w:r>
        <w:rPr>
          <w:sz w:val="21"/>
          <w:vertAlign w:val="baseline"/>
        </w:rPr>
        <w:t>criminal</w:t>
      </w:r>
      <w:r>
        <w:rPr>
          <w:spacing w:val="-12"/>
          <w:sz w:val="21"/>
          <w:vertAlign w:val="baseline"/>
        </w:rPr>
        <w:t> </w:t>
      </w:r>
      <w:r>
        <w:rPr>
          <w:sz w:val="21"/>
          <w:vertAlign w:val="baseline"/>
        </w:rPr>
        <w:t>legal</w:t>
      </w:r>
      <w:r>
        <w:rPr>
          <w:spacing w:val="-12"/>
          <w:sz w:val="21"/>
          <w:vertAlign w:val="baseline"/>
        </w:rPr>
        <w:t> </w:t>
      </w:r>
      <w:r>
        <w:rPr>
          <w:sz w:val="21"/>
          <w:vertAlign w:val="baseline"/>
        </w:rPr>
        <w:t>system</w:t>
      </w:r>
      <w:r>
        <w:rPr>
          <w:spacing w:val="-12"/>
          <w:sz w:val="21"/>
          <w:vertAlign w:val="baseline"/>
        </w:rPr>
        <w:t> </w:t>
      </w:r>
      <w:r>
        <w:rPr>
          <w:sz w:val="21"/>
          <w:vertAlign w:val="baseline"/>
        </w:rPr>
        <w:t>since</w:t>
      </w:r>
      <w:r>
        <w:rPr>
          <w:spacing w:val="-12"/>
          <w:sz w:val="21"/>
          <w:vertAlign w:val="baseline"/>
        </w:rPr>
        <w:t> </w:t>
      </w:r>
      <w:r>
        <w:rPr>
          <w:sz w:val="21"/>
          <w:vertAlign w:val="baseline"/>
        </w:rPr>
        <w:t>its</w:t>
      </w:r>
      <w:r>
        <w:rPr>
          <w:spacing w:val="-11"/>
          <w:sz w:val="21"/>
          <w:vertAlign w:val="baseline"/>
        </w:rPr>
        <w:t> </w:t>
      </w:r>
      <w:r>
        <w:rPr>
          <w:sz w:val="21"/>
          <w:vertAlign w:val="baseline"/>
        </w:rPr>
        <w:t>inception has been and continues to be deeply intertwined with racism and perpetuates inequality and injustice, evident</w:t>
      </w:r>
      <w:r>
        <w:rPr>
          <w:spacing w:val="-1"/>
          <w:sz w:val="21"/>
          <w:vertAlign w:val="baseline"/>
        </w:rPr>
        <w:t> </w:t>
      </w:r>
      <w:r>
        <w:rPr>
          <w:sz w:val="21"/>
          <w:vertAlign w:val="baseline"/>
        </w:rPr>
        <w:t>in</w:t>
      </w:r>
      <w:r>
        <w:rPr>
          <w:spacing w:val="-3"/>
          <w:sz w:val="21"/>
          <w:vertAlign w:val="baseline"/>
        </w:rPr>
        <w:t> </w:t>
      </w:r>
      <w:r>
        <w:rPr>
          <w:sz w:val="21"/>
          <w:vertAlign w:val="baseline"/>
        </w:rPr>
        <w:t>practices</w:t>
      </w:r>
      <w:r>
        <w:rPr>
          <w:spacing w:val="-2"/>
          <w:sz w:val="21"/>
          <w:vertAlign w:val="baseline"/>
        </w:rPr>
        <w:t> </w:t>
      </w:r>
      <w:r>
        <w:rPr>
          <w:sz w:val="21"/>
          <w:vertAlign w:val="baseline"/>
        </w:rPr>
        <w:t>like</w:t>
      </w:r>
      <w:r>
        <w:rPr>
          <w:spacing w:val="-2"/>
          <w:sz w:val="21"/>
          <w:vertAlign w:val="baseline"/>
        </w:rPr>
        <w:t> </w:t>
      </w:r>
      <w:r>
        <w:rPr>
          <w:sz w:val="21"/>
          <w:vertAlign w:val="baseline"/>
        </w:rPr>
        <w:t>racial</w:t>
      </w:r>
      <w:r>
        <w:rPr>
          <w:spacing w:val="-2"/>
          <w:sz w:val="21"/>
          <w:vertAlign w:val="baseline"/>
        </w:rPr>
        <w:t> </w:t>
      </w:r>
      <w:r>
        <w:rPr>
          <w:sz w:val="21"/>
          <w:vertAlign w:val="baseline"/>
        </w:rPr>
        <w:t>profiling,</w:t>
      </w:r>
      <w:r>
        <w:rPr>
          <w:spacing w:val="-1"/>
          <w:sz w:val="21"/>
          <w:vertAlign w:val="baseline"/>
        </w:rPr>
        <w:t> </w:t>
      </w:r>
      <w:r>
        <w:rPr>
          <w:sz w:val="21"/>
          <w:vertAlign w:val="baseline"/>
        </w:rPr>
        <w:t>disparities</w:t>
      </w:r>
      <w:r>
        <w:rPr>
          <w:spacing w:val="-2"/>
          <w:sz w:val="21"/>
          <w:vertAlign w:val="baseline"/>
        </w:rPr>
        <w:t> </w:t>
      </w:r>
      <w:r>
        <w:rPr>
          <w:sz w:val="21"/>
          <w:vertAlign w:val="baseline"/>
        </w:rPr>
        <w:t>in</w:t>
      </w:r>
      <w:r>
        <w:rPr>
          <w:spacing w:val="-2"/>
          <w:sz w:val="21"/>
          <w:vertAlign w:val="baseline"/>
        </w:rPr>
        <w:t> </w:t>
      </w:r>
      <w:r>
        <w:rPr>
          <w:sz w:val="21"/>
          <w:vertAlign w:val="baseline"/>
        </w:rPr>
        <w:t>bail</w:t>
      </w:r>
      <w:r>
        <w:rPr>
          <w:spacing w:val="-2"/>
          <w:sz w:val="21"/>
          <w:vertAlign w:val="baseline"/>
        </w:rPr>
        <w:t> </w:t>
      </w:r>
      <w:r>
        <w:rPr>
          <w:sz w:val="21"/>
          <w:vertAlign w:val="baseline"/>
        </w:rPr>
        <w:t>accessibility,</w:t>
      </w:r>
      <w:r>
        <w:rPr>
          <w:spacing w:val="-1"/>
          <w:sz w:val="21"/>
          <w:vertAlign w:val="baseline"/>
        </w:rPr>
        <w:t> </w:t>
      </w:r>
      <w:r>
        <w:rPr>
          <w:sz w:val="21"/>
          <w:vertAlign w:val="baseline"/>
        </w:rPr>
        <w:t>and</w:t>
      </w:r>
      <w:r>
        <w:rPr>
          <w:spacing w:val="-3"/>
          <w:sz w:val="21"/>
          <w:vertAlign w:val="baseline"/>
        </w:rPr>
        <w:t> </w:t>
      </w:r>
      <w:r>
        <w:rPr>
          <w:sz w:val="21"/>
          <w:vertAlign w:val="baseline"/>
        </w:rPr>
        <w:t>harsher</w:t>
      </w:r>
      <w:r>
        <w:rPr>
          <w:spacing w:val="-2"/>
          <w:sz w:val="21"/>
          <w:vertAlign w:val="baseline"/>
        </w:rPr>
        <w:t> </w:t>
      </w:r>
      <w:r>
        <w:rPr>
          <w:sz w:val="21"/>
          <w:vertAlign w:val="baseline"/>
        </w:rPr>
        <w:t>sentencing</w:t>
      </w:r>
      <w:r>
        <w:rPr>
          <w:spacing w:val="-2"/>
          <w:sz w:val="21"/>
          <w:vertAlign w:val="baseline"/>
        </w:rPr>
        <w:t> </w:t>
      </w:r>
      <w:r>
        <w:rPr>
          <w:sz w:val="21"/>
          <w:vertAlign w:val="baseline"/>
        </w:rPr>
        <w:t>of</w:t>
      </w:r>
      <w:r>
        <w:rPr>
          <w:spacing w:val="-3"/>
          <w:sz w:val="21"/>
          <w:vertAlign w:val="baseline"/>
        </w:rPr>
        <w:t> </w:t>
      </w:r>
      <w:r>
        <w:rPr>
          <w:sz w:val="21"/>
          <w:vertAlign w:val="baseline"/>
        </w:rPr>
        <w:t>Black</w:t>
      </w:r>
      <w:r>
        <w:rPr>
          <w:spacing w:val="-1"/>
          <w:sz w:val="21"/>
          <w:vertAlign w:val="baseline"/>
        </w:rPr>
        <w:t> </w:t>
      </w:r>
      <w:r>
        <w:rPr>
          <w:sz w:val="21"/>
          <w:vertAlign w:val="baseline"/>
        </w:rPr>
        <w:t>and Latinx individuals compared to their white counterparts.</w:t>
      </w:r>
      <w:hyperlink w:history="true" w:anchor="_bookmark318">
        <w:r>
          <w:rPr>
            <w:sz w:val="21"/>
            <w:vertAlign w:val="superscript"/>
          </w:rPr>
          <w:t>2</w:t>
        </w:r>
      </w:hyperlink>
      <w:r>
        <w:rPr>
          <w:spacing w:val="-2"/>
          <w:sz w:val="21"/>
          <w:vertAlign w:val="baseline"/>
        </w:rPr>
        <w:t> </w:t>
      </w:r>
      <w:r>
        <w:rPr>
          <w:sz w:val="21"/>
          <w:vertAlign w:val="baseline"/>
        </w:rPr>
        <w:t>Furthermore, the criminal legal system's failure to address or mitigate crimes of poverty, alongside the imposition of fines and long-lasting financial consequences post-incarceration, highlights its inefficacy in promoting fairness.</w:t>
      </w:r>
      <w:hyperlink w:history="true" w:anchor="_bookmark319">
        <w:r>
          <w:rPr>
            <w:sz w:val="21"/>
            <w:vertAlign w:val="superscript"/>
          </w:rPr>
          <w:t>3</w:t>
        </w:r>
      </w:hyperlink>
      <w:r>
        <w:rPr>
          <w:spacing w:val="-2"/>
          <w:sz w:val="21"/>
          <w:vertAlign w:val="baseline"/>
        </w:rPr>
        <w:t> </w:t>
      </w:r>
      <w:r>
        <w:rPr>
          <w:sz w:val="21"/>
          <w:vertAlign w:val="baseline"/>
        </w:rPr>
        <w:t>By referring to it as the "criminal</w:t>
      </w:r>
      <w:r>
        <w:rPr>
          <w:spacing w:val="-1"/>
          <w:sz w:val="21"/>
          <w:vertAlign w:val="baseline"/>
        </w:rPr>
        <w:t> </w:t>
      </w:r>
      <w:r>
        <w:rPr>
          <w:sz w:val="21"/>
          <w:vertAlign w:val="baseline"/>
        </w:rPr>
        <w:t>legal</w:t>
      </w:r>
      <w:r>
        <w:rPr>
          <w:spacing w:val="-1"/>
          <w:sz w:val="21"/>
          <w:vertAlign w:val="baseline"/>
        </w:rPr>
        <w:t> </w:t>
      </w:r>
      <w:r>
        <w:rPr>
          <w:sz w:val="21"/>
          <w:vertAlign w:val="baseline"/>
        </w:rPr>
        <w:t>system,"</w:t>
      </w:r>
      <w:r>
        <w:rPr>
          <w:spacing w:val="-1"/>
          <w:sz w:val="21"/>
          <w:vertAlign w:val="baseline"/>
        </w:rPr>
        <w:t> </w:t>
      </w:r>
      <w:r>
        <w:rPr>
          <w:sz w:val="21"/>
          <w:vertAlign w:val="baseline"/>
        </w:rPr>
        <w:t>we</w:t>
      </w:r>
      <w:r>
        <w:rPr>
          <w:spacing w:val="-2"/>
          <w:sz w:val="21"/>
          <w:vertAlign w:val="baseline"/>
        </w:rPr>
        <w:t> </w:t>
      </w:r>
      <w:r>
        <w:rPr>
          <w:sz w:val="21"/>
          <w:vertAlign w:val="baseline"/>
        </w:rPr>
        <w:t>acknowledge</w:t>
      </w:r>
      <w:r>
        <w:rPr>
          <w:spacing w:val="-1"/>
          <w:sz w:val="21"/>
          <w:vertAlign w:val="baseline"/>
        </w:rPr>
        <w:t> </w:t>
      </w:r>
      <w:r>
        <w:rPr>
          <w:sz w:val="21"/>
          <w:vertAlign w:val="baseline"/>
        </w:rPr>
        <w:t>its</w:t>
      </w:r>
      <w:r>
        <w:rPr>
          <w:spacing w:val="-1"/>
          <w:sz w:val="21"/>
          <w:vertAlign w:val="baseline"/>
        </w:rPr>
        <w:t> </w:t>
      </w:r>
      <w:r>
        <w:rPr>
          <w:sz w:val="21"/>
          <w:vertAlign w:val="baseline"/>
        </w:rPr>
        <w:t>fundamental</w:t>
      </w:r>
      <w:r>
        <w:rPr>
          <w:spacing w:val="-1"/>
          <w:sz w:val="21"/>
          <w:vertAlign w:val="baseline"/>
        </w:rPr>
        <w:t> </w:t>
      </w:r>
      <w:r>
        <w:rPr>
          <w:sz w:val="21"/>
          <w:vertAlign w:val="baseline"/>
        </w:rPr>
        <w:t>flaws</w:t>
      </w:r>
      <w:r>
        <w:rPr>
          <w:spacing w:val="-1"/>
          <w:sz w:val="21"/>
          <w:vertAlign w:val="baseline"/>
        </w:rPr>
        <w:t> </w:t>
      </w:r>
      <w:r>
        <w:rPr>
          <w:sz w:val="21"/>
          <w:vertAlign w:val="baseline"/>
        </w:rPr>
        <w:t>and</w:t>
      </w:r>
      <w:r>
        <w:rPr>
          <w:spacing w:val="-1"/>
          <w:sz w:val="21"/>
          <w:vertAlign w:val="baseline"/>
        </w:rPr>
        <w:t> </w:t>
      </w:r>
      <w:r>
        <w:rPr>
          <w:sz w:val="21"/>
          <w:vertAlign w:val="baseline"/>
        </w:rPr>
        <w:t>the</w:t>
      </w:r>
      <w:r>
        <w:rPr>
          <w:spacing w:val="-1"/>
          <w:sz w:val="21"/>
          <w:vertAlign w:val="baseline"/>
        </w:rPr>
        <w:t> </w:t>
      </w:r>
      <w:r>
        <w:rPr>
          <w:sz w:val="21"/>
          <w:vertAlign w:val="baseline"/>
        </w:rPr>
        <w:t>need for reform, emphasizing</w:t>
      </w:r>
      <w:r>
        <w:rPr>
          <w:spacing w:val="-1"/>
          <w:sz w:val="21"/>
          <w:vertAlign w:val="baseline"/>
        </w:rPr>
        <w:t> </w:t>
      </w:r>
      <w:r>
        <w:rPr>
          <w:sz w:val="21"/>
          <w:vertAlign w:val="baseline"/>
        </w:rPr>
        <w:t>that justice, in its truest sense, remains elusive for many </w:t>
      </w:r>
      <w:r>
        <w:rPr>
          <w:i/>
          <w:sz w:val="21"/>
          <w:vertAlign w:val="baseline"/>
        </w:rPr>
        <w:t>caught up </w:t>
      </w:r>
      <w:r>
        <w:rPr>
          <w:sz w:val="21"/>
          <w:vertAlign w:val="baseline"/>
        </w:rPr>
        <w:t>within this system.</w:t>
      </w:r>
    </w:p>
    <w:p>
      <w:pPr>
        <w:spacing w:line="276" w:lineRule="auto" w:before="241"/>
        <w:ind w:left="464" w:right="240" w:firstLine="0"/>
        <w:jc w:val="both"/>
        <w:rPr>
          <w:sz w:val="21"/>
        </w:rPr>
      </w:pPr>
      <w:r>
        <w:rPr>
          <w:sz w:val="21"/>
        </w:rPr>
        <w:t>Nationally, LGBTQ youth are twice as likely to enter the juvenile legal system as their non-LGBTQ counterparts, with LGBTQ youth of color and transgender individuals facing even more profound disparities.</w:t>
      </w:r>
      <w:r>
        <w:rPr>
          <w:spacing w:val="-12"/>
          <w:sz w:val="21"/>
        </w:rPr>
        <w:t> </w:t>
      </w:r>
      <w:hyperlink w:history="true" w:anchor="_bookmark320">
        <w:r>
          <w:rPr>
            <w:sz w:val="21"/>
            <w:vertAlign w:val="superscript"/>
          </w:rPr>
          <w:t>4</w:t>
        </w:r>
      </w:hyperlink>
      <w:r>
        <w:rPr>
          <w:spacing w:val="-6"/>
          <w:sz w:val="21"/>
          <w:vertAlign w:val="baseline"/>
        </w:rPr>
        <w:t> </w:t>
      </w:r>
      <w:r>
        <w:rPr>
          <w:sz w:val="21"/>
          <w:vertAlign w:val="baseline"/>
        </w:rPr>
        <w:t>Specifically, transgender youth of color are four times more likely to be incarcerated.</w:t>
      </w:r>
      <w:r>
        <w:rPr>
          <w:spacing w:val="-12"/>
          <w:sz w:val="21"/>
          <w:vertAlign w:val="baseline"/>
        </w:rPr>
        <w:t> </w:t>
      </w:r>
      <w:hyperlink w:history="true" w:anchor="_bookmark321">
        <w:r>
          <w:rPr>
            <w:sz w:val="21"/>
            <w:vertAlign w:val="superscript"/>
          </w:rPr>
          <w:t>5</w:t>
        </w:r>
      </w:hyperlink>
      <w:r>
        <w:rPr>
          <w:sz w:val="21"/>
          <w:vertAlign w:val="baseline"/>
        </w:rPr>
        <w:t> A staggering 85% of LGBTQ youth in the legal system are youth of color, which not only highlights the overrepresentation</w:t>
      </w:r>
      <w:r>
        <w:rPr>
          <w:spacing w:val="-10"/>
          <w:sz w:val="21"/>
          <w:vertAlign w:val="baseline"/>
        </w:rPr>
        <w:t> </w:t>
      </w:r>
      <w:r>
        <w:rPr>
          <w:sz w:val="21"/>
          <w:vertAlign w:val="baseline"/>
        </w:rPr>
        <w:t>of</w:t>
      </w:r>
      <w:r>
        <w:rPr>
          <w:spacing w:val="-11"/>
          <w:sz w:val="21"/>
          <w:vertAlign w:val="baseline"/>
        </w:rPr>
        <w:t> </w:t>
      </w:r>
      <w:r>
        <w:rPr>
          <w:sz w:val="21"/>
          <w:vertAlign w:val="baseline"/>
        </w:rPr>
        <w:t>these</w:t>
      </w:r>
      <w:r>
        <w:rPr>
          <w:spacing w:val="-12"/>
          <w:sz w:val="21"/>
          <w:vertAlign w:val="baseline"/>
        </w:rPr>
        <w:t> </w:t>
      </w:r>
      <w:r>
        <w:rPr>
          <w:sz w:val="21"/>
          <w:vertAlign w:val="baseline"/>
        </w:rPr>
        <w:t>groups</w:t>
      </w:r>
      <w:r>
        <w:rPr>
          <w:spacing w:val="-11"/>
          <w:sz w:val="21"/>
          <w:vertAlign w:val="baseline"/>
        </w:rPr>
        <w:t> </w:t>
      </w:r>
      <w:r>
        <w:rPr>
          <w:sz w:val="21"/>
          <w:vertAlign w:val="baseline"/>
        </w:rPr>
        <w:t>but</w:t>
      </w:r>
      <w:r>
        <w:rPr>
          <w:spacing w:val="-10"/>
          <w:sz w:val="21"/>
          <w:vertAlign w:val="baseline"/>
        </w:rPr>
        <w:t> </w:t>
      </w:r>
      <w:r>
        <w:rPr>
          <w:sz w:val="21"/>
          <w:vertAlign w:val="baseline"/>
        </w:rPr>
        <w:t>also</w:t>
      </w:r>
      <w:r>
        <w:rPr>
          <w:spacing w:val="-11"/>
          <w:sz w:val="21"/>
          <w:vertAlign w:val="baseline"/>
        </w:rPr>
        <w:t> </w:t>
      </w:r>
      <w:r>
        <w:rPr>
          <w:sz w:val="21"/>
          <w:vertAlign w:val="baseline"/>
        </w:rPr>
        <w:t>reflects</w:t>
      </w:r>
      <w:r>
        <w:rPr>
          <w:spacing w:val="-11"/>
          <w:sz w:val="21"/>
          <w:vertAlign w:val="baseline"/>
        </w:rPr>
        <w:t> </w:t>
      </w:r>
      <w:r>
        <w:rPr>
          <w:sz w:val="21"/>
          <w:vertAlign w:val="baseline"/>
        </w:rPr>
        <w:t>broader</w:t>
      </w:r>
      <w:r>
        <w:rPr>
          <w:spacing w:val="-10"/>
          <w:sz w:val="21"/>
          <w:vertAlign w:val="baseline"/>
        </w:rPr>
        <w:t> </w:t>
      </w:r>
      <w:r>
        <w:rPr>
          <w:sz w:val="21"/>
          <w:vertAlign w:val="baseline"/>
        </w:rPr>
        <w:t>racial</w:t>
      </w:r>
      <w:r>
        <w:rPr>
          <w:spacing w:val="-10"/>
          <w:sz w:val="21"/>
          <w:vertAlign w:val="baseline"/>
        </w:rPr>
        <w:t> </w:t>
      </w:r>
      <w:r>
        <w:rPr>
          <w:sz w:val="21"/>
          <w:vertAlign w:val="baseline"/>
        </w:rPr>
        <w:t>disparities.</w:t>
      </w:r>
      <w:hyperlink w:history="true" w:anchor="_bookmark322">
        <w:r>
          <w:rPr>
            <w:sz w:val="21"/>
            <w:vertAlign w:val="superscript"/>
          </w:rPr>
          <w:t>6</w:t>
        </w:r>
      </w:hyperlink>
      <w:r>
        <w:rPr>
          <w:spacing w:val="-3"/>
          <w:sz w:val="21"/>
          <w:vertAlign w:val="baseline"/>
        </w:rPr>
        <w:t> </w:t>
      </w:r>
      <w:r>
        <w:rPr>
          <w:sz w:val="21"/>
          <w:vertAlign w:val="baseline"/>
        </w:rPr>
        <w:t>Risk</w:t>
      </w:r>
      <w:r>
        <w:rPr>
          <w:spacing w:val="-10"/>
          <w:sz w:val="21"/>
          <w:vertAlign w:val="baseline"/>
        </w:rPr>
        <w:t> </w:t>
      </w:r>
      <w:r>
        <w:rPr>
          <w:sz w:val="21"/>
          <w:vertAlign w:val="baseline"/>
        </w:rPr>
        <w:t>factors</w:t>
      </w:r>
      <w:r>
        <w:rPr>
          <w:spacing w:val="-11"/>
          <w:sz w:val="21"/>
          <w:vertAlign w:val="baseline"/>
        </w:rPr>
        <w:t> </w:t>
      </w:r>
      <w:r>
        <w:rPr>
          <w:sz w:val="21"/>
          <w:vertAlign w:val="baseline"/>
        </w:rPr>
        <w:t>such</w:t>
      </w:r>
      <w:r>
        <w:rPr>
          <w:spacing w:val="-10"/>
          <w:sz w:val="21"/>
          <w:vertAlign w:val="baseline"/>
        </w:rPr>
        <w:t> </w:t>
      </w:r>
      <w:r>
        <w:rPr>
          <w:sz w:val="21"/>
          <w:vertAlign w:val="baseline"/>
        </w:rPr>
        <w:t>as</w:t>
      </w:r>
      <w:r>
        <w:rPr>
          <w:spacing w:val="-11"/>
          <w:sz w:val="21"/>
          <w:vertAlign w:val="baseline"/>
        </w:rPr>
        <w:t> </w:t>
      </w:r>
      <w:r>
        <w:rPr>
          <w:sz w:val="21"/>
          <w:vertAlign w:val="baseline"/>
        </w:rPr>
        <w:t>truancy, bullying,</w:t>
      </w:r>
      <w:r>
        <w:rPr>
          <w:spacing w:val="-2"/>
          <w:sz w:val="21"/>
          <w:vertAlign w:val="baseline"/>
        </w:rPr>
        <w:t> </w:t>
      </w:r>
      <w:r>
        <w:rPr>
          <w:sz w:val="21"/>
          <w:vertAlign w:val="baseline"/>
        </w:rPr>
        <w:t>and</w:t>
      </w:r>
      <w:r>
        <w:rPr>
          <w:spacing w:val="-4"/>
          <w:sz w:val="21"/>
          <w:vertAlign w:val="baseline"/>
        </w:rPr>
        <w:t> </w:t>
      </w:r>
      <w:r>
        <w:rPr>
          <w:sz w:val="21"/>
          <w:vertAlign w:val="baseline"/>
        </w:rPr>
        <w:t>homelessness,</w:t>
      </w:r>
      <w:r>
        <w:rPr>
          <w:spacing w:val="-2"/>
          <w:sz w:val="21"/>
          <w:vertAlign w:val="baseline"/>
        </w:rPr>
        <w:t> </w:t>
      </w:r>
      <w:r>
        <w:rPr>
          <w:sz w:val="21"/>
          <w:vertAlign w:val="baseline"/>
        </w:rPr>
        <w:t>often</w:t>
      </w:r>
      <w:r>
        <w:rPr>
          <w:spacing w:val="-3"/>
          <w:sz w:val="21"/>
          <w:vertAlign w:val="baseline"/>
        </w:rPr>
        <w:t> </w:t>
      </w:r>
      <w:r>
        <w:rPr>
          <w:sz w:val="21"/>
          <w:vertAlign w:val="baseline"/>
        </w:rPr>
        <w:t>exacerbated</w:t>
      </w:r>
      <w:r>
        <w:rPr>
          <w:spacing w:val="-3"/>
          <w:sz w:val="21"/>
          <w:vertAlign w:val="baseline"/>
        </w:rPr>
        <w:t> </w:t>
      </w:r>
      <w:r>
        <w:rPr>
          <w:sz w:val="21"/>
          <w:vertAlign w:val="baseline"/>
        </w:rPr>
        <w:t>by</w:t>
      </w:r>
      <w:r>
        <w:rPr>
          <w:spacing w:val="-3"/>
          <w:sz w:val="21"/>
          <w:vertAlign w:val="baseline"/>
        </w:rPr>
        <w:t> </w:t>
      </w:r>
      <w:r>
        <w:rPr>
          <w:sz w:val="21"/>
          <w:vertAlign w:val="baseline"/>
        </w:rPr>
        <w:t>discrimination,</w:t>
      </w:r>
      <w:r>
        <w:rPr>
          <w:spacing w:val="-2"/>
          <w:sz w:val="21"/>
          <w:vertAlign w:val="baseline"/>
        </w:rPr>
        <w:t> </w:t>
      </w:r>
      <w:r>
        <w:rPr>
          <w:sz w:val="21"/>
          <w:vertAlign w:val="baseline"/>
        </w:rPr>
        <w:t>further</w:t>
      </w:r>
      <w:r>
        <w:rPr>
          <w:spacing w:val="-3"/>
          <w:sz w:val="21"/>
          <w:vertAlign w:val="baseline"/>
        </w:rPr>
        <w:t> </w:t>
      </w:r>
      <w:r>
        <w:rPr>
          <w:sz w:val="21"/>
          <w:vertAlign w:val="baseline"/>
        </w:rPr>
        <w:t>propel</w:t>
      </w:r>
      <w:r>
        <w:rPr>
          <w:spacing w:val="-3"/>
          <w:sz w:val="21"/>
          <w:vertAlign w:val="baseline"/>
        </w:rPr>
        <w:t> </w:t>
      </w:r>
      <w:r>
        <w:rPr>
          <w:sz w:val="21"/>
          <w:vertAlign w:val="baseline"/>
        </w:rPr>
        <w:t>LGBTQ</w:t>
      </w:r>
      <w:r>
        <w:rPr>
          <w:spacing w:val="-3"/>
          <w:sz w:val="21"/>
          <w:vertAlign w:val="baseline"/>
        </w:rPr>
        <w:t> </w:t>
      </w:r>
      <w:r>
        <w:rPr>
          <w:sz w:val="21"/>
          <w:vertAlign w:val="baseline"/>
        </w:rPr>
        <w:t>youth,</w:t>
      </w:r>
      <w:r>
        <w:rPr>
          <w:spacing w:val="-4"/>
          <w:sz w:val="21"/>
          <w:vertAlign w:val="baseline"/>
        </w:rPr>
        <w:t> </w:t>
      </w:r>
      <w:r>
        <w:rPr>
          <w:sz w:val="21"/>
          <w:vertAlign w:val="baseline"/>
        </w:rPr>
        <w:t>particularly transgender youth and youth of color, towards the criminal legal system.</w:t>
      </w:r>
      <w:hyperlink w:history="true" w:anchor="_bookmark323">
        <w:r>
          <w:rPr>
            <w:sz w:val="21"/>
            <w:vertAlign w:val="superscript"/>
          </w:rPr>
          <w:t>7</w:t>
        </w:r>
      </w:hyperlink>
    </w:p>
    <w:p>
      <w:pPr>
        <w:spacing w:line="276" w:lineRule="auto" w:before="240"/>
        <w:ind w:left="5573" w:right="240" w:firstLine="0"/>
        <w:jc w:val="both"/>
        <w:rPr>
          <w:sz w:val="21"/>
        </w:rPr>
      </w:pPr>
      <w:r>
        <w:rPr/>
        <w:drawing>
          <wp:anchor distT="0" distB="0" distL="0" distR="0" allowOverlap="1" layoutInCell="1" locked="0" behindDoc="0" simplePos="0" relativeHeight="15801856">
            <wp:simplePos x="0" y="0"/>
            <wp:positionH relativeFrom="page">
              <wp:posOffset>922725</wp:posOffset>
            </wp:positionH>
            <wp:positionV relativeFrom="paragraph">
              <wp:posOffset>159251</wp:posOffset>
            </wp:positionV>
            <wp:extent cx="3201175" cy="1621151"/>
            <wp:effectExtent l="0" t="0" r="0" b="0"/>
            <wp:wrapNone/>
            <wp:docPr id="395" name="Image 395" descr="A close-up of a text  Description automatically generated "/>
            <wp:cNvGraphicFramePr>
              <a:graphicFrameLocks/>
            </wp:cNvGraphicFramePr>
            <a:graphic>
              <a:graphicData uri="http://schemas.openxmlformats.org/drawingml/2006/picture">
                <pic:pic>
                  <pic:nvPicPr>
                    <pic:cNvPr id="395" name="Image 395" descr="A close-up of a text  Description automatically generated "/>
                    <pic:cNvPicPr/>
                  </pic:nvPicPr>
                  <pic:blipFill>
                    <a:blip r:embed="rId472" cstate="print"/>
                    <a:stretch>
                      <a:fillRect/>
                    </a:stretch>
                  </pic:blipFill>
                  <pic:spPr>
                    <a:xfrm>
                      <a:off x="0" y="0"/>
                      <a:ext cx="3201175" cy="1621151"/>
                    </a:xfrm>
                    <a:prstGeom prst="rect">
                      <a:avLst/>
                    </a:prstGeom>
                  </pic:spPr>
                </pic:pic>
              </a:graphicData>
            </a:graphic>
          </wp:anchor>
        </w:drawing>
      </w:r>
      <w:r>
        <w:rPr>
          <w:sz w:val="21"/>
        </w:rPr>
        <w:t>These issues are deeply intertwined with systemic racial disparities, with studies showing that compared to White youth, Black youth are four times, Native American youth are</w:t>
      </w:r>
      <w:r>
        <w:rPr>
          <w:spacing w:val="-12"/>
          <w:sz w:val="21"/>
        </w:rPr>
        <w:t> </w:t>
      </w:r>
      <w:r>
        <w:rPr>
          <w:sz w:val="21"/>
        </w:rPr>
        <w:t>nearly</w:t>
      </w:r>
      <w:r>
        <w:rPr>
          <w:spacing w:val="-12"/>
          <w:sz w:val="21"/>
        </w:rPr>
        <w:t> </w:t>
      </w:r>
      <w:r>
        <w:rPr>
          <w:sz w:val="21"/>
        </w:rPr>
        <w:t>three</w:t>
      </w:r>
      <w:r>
        <w:rPr>
          <w:spacing w:val="-12"/>
          <w:sz w:val="21"/>
        </w:rPr>
        <w:t> </w:t>
      </w:r>
      <w:r>
        <w:rPr>
          <w:sz w:val="21"/>
        </w:rPr>
        <w:t>times,</w:t>
      </w:r>
      <w:r>
        <w:rPr>
          <w:spacing w:val="-12"/>
          <w:sz w:val="21"/>
        </w:rPr>
        <w:t> </w:t>
      </w:r>
      <w:r>
        <w:rPr>
          <w:sz w:val="21"/>
        </w:rPr>
        <w:t>and</w:t>
      </w:r>
      <w:r>
        <w:rPr>
          <w:spacing w:val="-12"/>
          <w:sz w:val="21"/>
        </w:rPr>
        <w:t> </w:t>
      </w:r>
      <w:r>
        <w:rPr>
          <w:sz w:val="21"/>
        </w:rPr>
        <w:t>Latinx</w:t>
      </w:r>
      <w:r>
        <w:rPr>
          <w:spacing w:val="-12"/>
          <w:sz w:val="21"/>
        </w:rPr>
        <w:t> </w:t>
      </w:r>
      <w:r>
        <w:rPr>
          <w:sz w:val="21"/>
        </w:rPr>
        <w:t>youth</w:t>
      </w:r>
      <w:r>
        <w:rPr>
          <w:spacing w:val="-12"/>
          <w:sz w:val="21"/>
        </w:rPr>
        <w:t> </w:t>
      </w:r>
      <w:r>
        <w:rPr>
          <w:sz w:val="21"/>
        </w:rPr>
        <w:t>are</w:t>
      </w:r>
      <w:r>
        <w:rPr>
          <w:spacing w:val="-11"/>
          <w:sz w:val="21"/>
        </w:rPr>
        <w:t> </w:t>
      </w:r>
      <w:r>
        <w:rPr>
          <w:sz w:val="21"/>
        </w:rPr>
        <w:t>1.5 times more likely to be incarcerated.</w:t>
      </w:r>
      <w:r>
        <w:rPr>
          <w:spacing w:val="-12"/>
          <w:sz w:val="21"/>
        </w:rPr>
        <w:t> </w:t>
      </w:r>
      <w:hyperlink w:history="true" w:anchor="_bookmark324">
        <w:r>
          <w:rPr>
            <w:sz w:val="21"/>
            <w:vertAlign w:val="superscript"/>
          </w:rPr>
          <w:t>8</w:t>
        </w:r>
      </w:hyperlink>
      <w:r>
        <w:rPr>
          <w:sz w:val="21"/>
          <w:vertAlign w:val="baseline"/>
        </w:rPr>
        <w:t> Such statistics</w:t>
      </w:r>
      <w:r>
        <w:rPr>
          <w:spacing w:val="-8"/>
          <w:sz w:val="21"/>
          <w:vertAlign w:val="baseline"/>
        </w:rPr>
        <w:t> </w:t>
      </w:r>
      <w:r>
        <w:rPr>
          <w:sz w:val="21"/>
          <w:vertAlign w:val="baseline"/>
        </w:rPr>
        <w:t>are</w:t>
      </w:r>
      <w:r>
        <w:rPr>
          <w:spacing w:val="-8"/>
          <w:sz w:val="21"/>
          <w:vertAlign w:val="baseline"/>
        </w:rPr>
        <w:t> </w:t>
      </w:r>
      <w:r>
        <w:rPr>
          <w:sz w:val="21"/>
          <w:vertAlign w:val="baseline"/>
        </w:rPr>
        <w:t>alarming</w:t>
      </w:r>
      <w:r>
        <w:rPr>
          <w:spacing w:val="-8"/>
          <w:sz w:val="21"/>
          <w:vertAlign w:val="baseline"/>
        </w:rPr>
        <w:t> </w:t>
      </w:r>
      <w:r>
        <w:rPr>
          <w:sz w:val="21"/>
          <w:vertAlign w:val="baseline"/>
        </w:rPr>
        <w:t>and</w:t>
      </w:r>
      <w:r>
        <w:rPr>
          <w:spacing w:val="-8"/>
          <w:sz w:val="21"/>
          <w:vertAlign w:val="baseline"/>
        </w:rPr>
        <w:t> </w:t>
      </w:r>
      <w:r>
        <w:rPr>
          <w:sz w:val="21"/>
          <w:vertAlign w:val="baseline"/>
        </w:rPr>
        <w:t>highlight</w:t>
      </w:r>
      <w:r>
        <w:rPr>
          <w:spacing w:val="-7"/>
          <w:sz w:val="21"/>
          <w:vertAlign w:val="baseline"/>
        </w:rPr>
        <w:t> </w:t>
      </w:r>
      <w:r>
        <w:rPr>
          <w:sz w:val="21"/>
          <w:vertAlign w:val="baseline"/>
        </w:rPr>
        <w:t>the</w:t>
      </w:r>
      <w:r>
        <w:rPr>
          <w:spacing w:val="-7"/>
          <w:sz w:val="21"/>
          <w:vertAlign w:val="baseline"/>
        </w:rPr>
        <w:t> </w:t>
      </w:r>
      <w:r>
        <w:rPr>
          <w:sz w:val="21"/>
          <w:vertAlign w:val="baseline"/>
        </w:rPr>
        <w:t>urgent need for targeted, equitable reforms. The Commission's</w:t>
      </w:r>
      <w:r>
        <w:rPr>
          <w:spacing w:val="66"/>
          <w:sz w:val="21"/>
          <w:vertAlign w:val="baseline"/>
        </w:rPr>
        <w:t>  </w:t>
      </w:r>
      <w:r>
        <w:rPr>
          <w:sz w:val="21"/>
          <w:vertAlign w:val="baseline"/>
        </w:rPr>
        <w:t>efforts</w:t>
      </w:r>
      <w:r>
        <w:rPr>
          <w:spacing w:val="66"/>
          <w:sz w:val="21"/>
          <w:vertAlign w:val="baseline"/>
        </w:rPr>
        <w:t>  </w:t>
      </w:r>
      <w:r>
        <w:rPr>
          <w:sz w:val="21"/>
          <w:vertAlign w:val="baseline"/>
        </w:rPr>
        <w:t>to</w:t>
      </w:r>
      <w:r>
        <w:rPr>
          <w:spacing w:val="66"/>
          <w:sz w:val="21"/>
          <w:vertAlign w:val="baseline"/>
        </w:rPr>
        <w:t>  </w:t>
      </w:r>
      <w:r>
        <w:rPr>
          <w:sz w:val="21"/>
          <w:vertAlign w:val="baseline"/>
        </w:rPr>
        <w:t>combat</w:t>
      </w:r>
      <w:r>
        <w:rPr>
          <w:spacing w:val="66"/>
          <w:sz w:val="21"/>
          <w:vertAlign w:val="baseline"/>
        </w:rPr>
        <w:t>  </w:t>
      </w:r>
      <w:r>
        <w:rPr>
          <w:spacing w:val="-2"/>
          <w:sz w:val="21"/>
          <w:vertAlign w:val="baseline"/>
        </w:rPr>
        <w:t>these</w:t>
      </w:r>
    </w:p>
    <w:p>
      <w:pPr>
        <w:spacing w:line="276" w:lineRule="auto" w:before="0"/>
        <w:ind w:left="464" w:right="241" w:firstLine="0"/>
        <w:jc w:val="both"/>
        <w:rPr>
          <w:sz w:val="21"/>
        </w:rPr>
      </w:pPr>
      <w:r>
        <w:rPr>
          <w:sz w:val="21"/>
        </w:rPr>
        <w:t>disparities involve close collaboration with various state agencies and community organizations, including Citizens for Juvenile Justice and the statewide Juvenile Justice Coalition. By advancing legislation and promoting</w:t>
      </w:r>
      <w:r>
        <w:rPr>
          <w:spacing w:val="-7"/>
          <w:sz w:val="21"/>
        </w:rPr>
        <w:t> </w:t>
      </w:r>
      <w:r>
        <w:rPr>
          <w:sz w:val="21"/>
        </w:rPr>
        <w:t>equitable</w:t>
      </w:r>
      <w:r>
        <w:rPr>
          <w:spacing w:val="-7"/>
          <w:sz w:val="21"/>
        </w:rPr>
        <w:t> </w:t>
      </w:r>
      <w:r>
        <w:rPr>
          <w:sz w:val="21"/>
        </w:rPr>
        <w:t>state</w:t>
      </w:r>
      <w:r>
        <w:rPr>
          <w:spacing w:val="-7"/>
          <w:sz w:val="21"/>
        </w:rPr>
        <w:t> </w:t>
      </w:r>
      <w:r>
        <w:rPr>
          <w:sz w:val="21"/>
        </w:rPr>
        <w:t>policies,</w:t>
      </w:r>
      <w:r>
        <w:rPr>
          <w:spacing w:val="-6"/>
          <w:sz w:val="21"/>
        </w:rPr>
        <w:t> </w:t>
      </w:r>
      <w:r>
        <w:rPr>
          <w:sz w:val="21"/>
        </w:rPr>
        <w:t>significant</w:t>
      </w:r>
      <w:r>
        <w:rPr>
          <w:spacing w:val="-6"/>
          <w:sz w:val="21"/>
        </w:rPr>
        <w:t> </w:t>
      </w:r>
      <w:r>
        <w:rPr>
          <w:sz w:val="21"/>
        </w:rPr>
        <w:t>strides</w:t>
      </w:r>
      <w:r>
        <w:rPr>
          <w:spacing w:val="-7"/>
          <w:sz w:val="21"/>
        </w:rPr>
        <w:t> </w:t>
      </w:r>
      <w:r>
        <w:rPr>
          <w:sz w:val="21"/>
        </w:rPr>
        <w:t>have</w:t>
      </w:r>
      <w:r>
        <w:rPr>
          <w:spacing w:val="-7"/>
          <w:sz w:val="21"/>
        </w:rPr>
        <w:t> </w:t>
      </w:r>
      <w:r>
        <w:rPr>
          <w:sz w:val="21"/>
        </w:rPr>
        <w:t>been</w:t>
      </w:r>
      <w:r>
        <w:rPr>
          <w:spacing w:val="-7"/>
          <w:sz w:val="21"/>
        </w:rPr>
        <w:t> </w:t>
      </w:r>
      <w:r>
        <w:rPr>
          <w:sz w:val="21"/>
        </w:rPr>
        <w:t>made</w:t>
      </w:r>
      <w:r>
        <w:rPr>
          <w:spacing w:val="-8"/>
          <w:sz w:val="21"/>
        </w:rPr>
        <w:t> </w:t>
      </w:r>
      <w:r>
        <w:rPr>
          <w:sz w:val="21"/>
        </w:rPr>
        <w:t>towards</w:t>
      </w:r>
      <w:r>
        <w:rPr>
          <w:spacing w:val="-7"/>
          <w:sz w:val="21"/>
        </w:rPr>
        <w:t> </w:t>
      </w:r>
      <w:r>
        <w:rPr>
          <w:sz w:val="21"/>
        </w:rPr>
        <w:t>reforming</w:t>
      </w:r>
      <w:r>
        <w:rPr>
          <w:spacing w:val="-7"/>
          <w:sz w:val="21"/>
        </w:rPr>
        <w:t> </w:t>
      </w:r>
      <w:r>
        <w:rPr>
          <w:sz w:val="21"/>
        </w:rPr>
        <w:t>the</w:t>
      </w:r>
      <w:r>
        <w:rPr>
          <w:spacing w:val="-7"/>
          <w:sz w:val="21"/>
        </w:rPr>
        <w:t> </w:t>
      </w:r>
      <w:r>
        <w:rPr>
          <w:sz w:val="21"/>
        </w:rPr>
        <w:t>juvenile</w:t>
      </w:r>
      <w:r>
        <w:rPr>
          <w:spacing w:val="-7"/>
          <w:sz w:val="21"/>
        </w:rPr>
        <w:t> </w:t>
      </w:r>
      <w:r>
        <w:rPr>
          <w:sz w:val="21"/>
        </w:rPr>
        <w:t>legal system to be more inclusive and supportive of LGBTQ youth.</w:t>
      </w:r>
    </w:p>
    <w:p>
      <w:pPr>
        <w:spacing w:after="0" w:line="276" w:lineRule="auto"/>
        <w:jc w:val="both"/>
        <w:rPr>
          <w:sz w:val="21"/>
        </w:rPr>
        <w:sectPr>
          <w:headerReference w:type="default" r:id="rId470"/>
          <w:footerReference w:type="default" r:id="rId471"/>
          <w:pgSz w:w="12240" w:h="15840"/>
          <w:pgMar w:header="763" w:footer="1041" w:top="1360" w:bottom="1240" w:left="1120" w:right="1340"/>
          <w:pgNumType w:start="161"/>
        </w:sectPr>
      </w:pPr>
    </w:p>
    <w:p>
      <w:pPr>
        <w:spacing w:line="276" w:lineRule="auto" w:before="65"/>
        <w:ind w:left="464" w:right="238" w:firstLine="0"/>
        <w:jc w:val="both"/>
        <w:rPr>
          <w:sz w:val="21"/>
        </w:rPr>
      </w:pPr>
      <w:r>
        <w:rPr>
          <w:sz w:val="21"/>
        </w:rPr>
        <w:t>Despite</w:t>
      </w:r>
      <w:r>
        <w:rPr>
          <w:spacing w:val="-5"/>
          <w:sz w:val="21"/>
        </w:rPr>
        <w:t> </w:t>
      </w:r>
      <w:r>
        <w:rPr>
          <w:sz w:val="21"/>
        </w:rPr>
        <w:t>progress</w:t>
      </w:r>
      <w:r>
        <w:rPr>
          <w:spacing w:val="-6"/>
          <w:sz w:val="21"/>
        </w:rPr>
        <w:t> </w:t>
      </w:r>
      <w:r>
        <w:rPr>
          <w:sz w:val="21"/>
        </w:rPr>
        <w:t>towards</w:t>
      </w:r>
      <w:r>
        <w:rPr>
          <w:spacing w:val="-6"/>
          <w:sz w:val="21"/>
        </w:rPr>
        <w:t> </w:t>
      </w:r>
      <w:r>
        <w:rPr>
          <w:sz w:val="21"/>
        </w:rPr>
        <w:t>creating</w:t>
      </w:r>
      <w:r>
        <w:rPr>
          <w:spacing w:val="-6"/>
          <w:sz w:val="21"/>
        </w:rPr>
        <w:t> </w:t>
      </w:r>
      <w:r>
        <w:rPr>
          <w:sz w:val="21"/>
        </w:rPr>
        <w:t>safer</w:t>
      </w:r>
      <w:r>
        <w:rPr>
          <w:spacing w:val="-5"/>
          <w:sz w:val="21"/>
        </w:rPr>
        <w:t> </w:t>
      </w:r>
      <w:r>
        <w:rPr>
          <w:sz w:val="21"/>
        </w:rPr>
        <w:t>and</w:t>
      </w:r>
      <w:r>
        <w:rPr>
          <w:spacing w:val="-5"/>
          <w:sz w:val="21"/>
        </w:rPr>
        <w:t> </w:t>
      </w:r>
      <w:r>
        <w:rPr>
          <w:sz w:val="21"/>
        </w:rPr>
        <w:t>more</w:t>
      </w:r>
      <w:r>
        <w:rPr>
          <w:spacing w:val="-5"/>
          <w:sz w:val="21"/>
        </w:rPr>
        <w:t> </w:t>
      </w:r>
      <w:r>
        <w:rPr>
          <w:sz w:val="21"/>
        </w:rPr>
        <w:t>affirming</w:t>
      </w:r>
      <w:r>
        <w:rPr>
          <w:spacing w:val="-6"/>
          <w:sz w:val="21"/>
        </w:rPr>
        <w:t> </w:t>
      </w:r>
      <w:r>
        <w:rPr>
          <w:sz w:val="21"/>
        </w:rPr>
        <w:t>environments</w:t>
      </w:r>
      <w:r>
        <w:rPr>
          <w:spacing w:val="-6"/>
          <w:sz w:val="21"/>
        </w:rPr>
        <w:t> </w:t>
      </w:r>
      <w:r>
        <w:rPr>
          <w:sz w:val="21"/>
        </w:rPr>
        <w:t>within</w:t>
      </w:r>
      <w:r>
        <w:rPr>
          <w:spacing w:val="-7"/>
          <w:sz w:val="21"/>
        </w:rPr>
        <w:t> </w:t>
      </w:r>
      <w:r>
        <w:rPr>
          <w:sz w:val="21"/>
        </w:rPr>
        <w:t>the</w:t>
      </w:r>
      <w:r>
        <w:rPr>
          <w:spacing w:val="-5"/>
          <w:sz w:val="21"/>
        </w:rPr>
        <w:t> </w:t>
      </w:r>
      <w:r>
        <w:rPr>
          <w:sz w:val="21"/>
        </w:rPr>
        <w:t>Department</w:t>
      </w:r>
      <w:r>
        <w:rPr>
          <w:spacing w:val="-5"/>
          <w:sz w:val="21"/>
        </w:rPr>
        <w:t> </w:t>
      </w:r>
      <w:r>
        <w:rPr>
          <w:sz w:val="21"/>
        </w:rPr>
        <w:t>of</w:t>
      </w:r>
      <w:r>
        <w:rPr>
          <w:spacing w:val="-6"/>
          <w:sz w:val="21"/>
        </w:rPr>
        <w:t> </w:t>
      </w:r>
      <w:r>
        <w:rPr>
          <w:sz w:val="21"/>
        </w:rPr>
        <w:t>Youth Services</w:t>
      </w:r>
      <w:r>
        <w:rPr>
          <w:spacing w:val="-11"/>
          <w:sz w:val="21"/>
        </w:rPr>
        <w:t> </w:t>
      </w:r>
      <w:r>
        <w:rPr>
          <w:sz w:val="21"/>
        </w:rPr>
        <w:t>(DYS),</w:t>
      </w:r>
      <w:r>
        <w:rPr>
          <w:spacing w:val="-10"/>
          <w:sz w:val="21"/>
        </w:rPr>
        <w:t> </w:t>
      </w:r>
      <w:r>
        <w:rPr>
          <w:sz w:val="21"/>
        </w:rPr>
        <w:t>much</w:t>
      </w:r>
      <w:r>
        <w:rPr>
          <w:spacing w:val="-10"/>
          <w:sz w:val="21"/>
        </w:rPr>
        <w:t> </w:t>
      </w:r>
      <w:r>
        <w:rPr>
          <w:sz w:val="21"/>
        </w:rPr>
        <w:t>remains</w:t>
      </w:r>
      <w:r>
        <w:rPr>
          <w:spacing w:val="-11"/>
          <w:sz w:val="21"/>
        </w:rPr>
        <w:t> </w:t>
      </w:r>
      <w:r>
        <w:rPr>
          <w:sz w:val="21"/>
        </w:rPr>
        <w:t>to</w:t>
      </w:r>
      <w:r>
        <w:rPr>
          <w:spacing w:val="-11"/>
          <w:sz w:val="21"/>
        </w:rPr>
        <w:t> </w:t>
      </w:r>
      <w:r>
        <w:rPr>
          <w:sz w:val="21"/>
        </w:rPr>
        <w:t>be</w:t>
      </w:r>
      <w:r>
        <w:rPr>
          <w:spacing w:val="-10"/>
          <w:sz w:val="21"/>
        </w:rPr>
        <w:t> </w:t>
      </w:r>
      <w:r>
        <w:rPr>
          <w:sz w:val="21"/>
        </w:rPr>
        <w:t>done.</w:t>
      </w:r>
      <w:r>
        <w:rPr>
          <w:spacing w:val="-10"/>
          <w:sz w:val="21"/>
        </w:rPr>
        <w:t> </w:t>
      </w:r>
      <w:r>
        <w:rPr>
          <w:sz w:val="21"/>
        </w:rPr>
        <w:t>The</w:t>
      </w:r>
      <w:r>
        <w:rPr>
          <w:spacing w:val="-10"/>
          <w:sz w:val="21"/>
        </w:rPr>
        <w:t> </w:t>
      </w:r>
      <w:r>
        <w:rPr>
          <w:sz w:val="21"/>
        </w:rPr>
        <w:t>overarching</w:t>
      </w:r>
      <w:r>
        <w:rPr>
          <w:spacing w:val="-11"/>
          <w:sz w:val="21"/>
        </w:rPr>
        <w:t> </w:t>
      </w:r>
      <w:r>
        <w:rPr>
          <w:sz w:val="21"/>
        </w:rPr>
        <w:t>challenge</w:t>
      </w:r>
      <w:r>
        <w:rPr>
          <w:spacing w:val="-10"/>
          <w:sz w:val="21"/>
        </w:rPr>
        <w:t> </w:t>
      </w:r>
      <w:r>
        <w:rPr>
          <w:sz w:val="21"/>
        </w:rPr>
        <w:t>is</w:t>
      </w:r>
      <w:r>
        <w:rPr>
          <w:spacing w:val="-10"/>
          <w:sz w:val="21"/>
        </w:rPr>
        <w:t> </w:t>
      </w:r>
      <w:r>
        <w:rPr>
          <w:sz w:val="21"/>
        </w:rPr>
        <w:t>preventing</w:t>
      </w:r>
      <w:r>
        <w:rPr>
          <w:spacing w:val="-11"/>
          <w:sz w:val="21"/>
        </w:rPr>
        <w:t> </w:t>
      </w:r>
      <w:r>
        <w:rPr>
          <w:sz w:val="21"/>
        </w:rPr>
        <w:t>the</w:t>
      </w:r>
      <w:r>
        <w:rPr>
          <w:spacing w:val="-10"/>
          <w:sz w:val="21"/>
        </w:rPr>
        <w:t> </w:t>
      </w:r>
      <w:r>
        <w:rPr>
          <w:sz w:val="21"/>
        </w:rPr>
        <w:t>entry</w:t>
      </w:r>
      <w:r>
        <w:rPr>
          <w:spacing w:val="-11"/>
          <w:sz w:val="21"/>
        </w:rPr>
        <w:t> </w:t>
      </w:r>
      <w:r>
        <w:rPr>
          <w:sz w:val="21"/>
        </w:rPr>
        <w:t>of</w:t>
      </w:r>
      <w:r>
        <w:rPr>
          <w:spacing w:val="-11"/>
          <w:sz w:val="21"/>
        </w:rPr>
        <w:t> </w:t>
      </w:r>
      <w:r>
        <w:rPr>
          <w:sz w:val="21"/>
        </w:rPr>
        <w:t>LGBTQ</w:t>
      </w:r>
      <w:r>
        <w:rPr>
          <w:spacing w:val="-10"/>
          <w:sz w:val="21"/>
        </w:rPr>
        <w:t> </w:t>
      </w:r>
      <w:r>
        <w:rPr>
          <w:sz w:val="21"/>
        </w:rPr>
        <w:t>youth into</w:t>
      </w:r>
      <w:r>
        <w:rPr>
          <w:spacing w:val="-10"/>
          <w:sz w:val="21"/>
        </w:rPr>
        <w:t> </w:t>
      </w:r>
      <w:r>
        <w:rPr>
          <w:sz w:val="21"/>
        </w:rPr>
        <w:t>these</w:t>
      </w:r>
      <w:r>
        <w:rPr>
          <w:spacing w:val="-9"/>
          <w:sz w:val="21"/>
        </w:rPr>
        <w:t> </w:t>
      </w:r>
      <w:r>
        <w:rPr>
          <w:sz w:val="21"/>
        </w:rPr>
        <w:t>systems</w:t>
      </w:r>
      <w:r>
        <w:rPr>
          <w:spacing w:val="-10"/>
          <w:sz w:val="21"/>
        </w:rPr>
        <w:t> </w:t>
      </w:r>
      <w:r>
        <w:rPr>
          <w:sz w:val="21"/>
        </w:rPr>
        <w:t>in</w:t>
      </w:r>
      <w:r>
        <w:rPr>
          <w:spacing w:val="-9"/>
          <w:sz w:val="21"/>
        </w:rPr>
        <w:t> </w:t>
      </w:r>
      <w:r>
        <w:rPr>
          <w:sz w:val="21"/>
        </w:rPr>
        <w:t>the</w:t>
      </w:r>
      <w:r>
        <w:rPr>
          <w:spacing w:val="-9"/>
          <w:sz w:val="21"/>
        </w:rPr>
        <w:t> </w:t>
      </w:r>
      <w:r>
        <w:rPr>
          <w:sz w:val="21"/>
        </w:rPr>
        <w:t>first</w:t>
      </w:r>
      <w:r>
        <w:rPr>
          <w:spacing w:val="-9"/>
          <w:sz w:val="21"/>
        </w:rPr>
        <w:t> </w:t>
      </w:r>
      <w:r>
        <w:rPr>
          <w:sz w:val="21"/>
        </w:rPr>
        <w:t>place,</w:t>
      </w:r>
      <w:r>
        <w:rPr>
          <w:spacing w:val="-9"/>
          <w:sz w:val="21"/>
        </w:rPr>
        <w:t> </w:t>
      </w:r>
      <w:r>
        <w:rPr>
          <w:sz w:val="21"/>
        </w:rPr>
        <w:t>which</w:t>
      </w:r>
      <w:r>
        <w:rPr>
          <w:spacing w:val="-10"/>
          <w:sz w:val="21"/>
        </w:rPr>
        <w:t> </w:t>
      </w:r>
      <w:r>
        <w:rPr>
          <w:sz w:val="21"/>
        </w:rPr>
        <w:t>would</w:t>
      </w:r>
      <w:r>
        <w:rPr>
          <w:spacing w:val="-9"/>
          <w:sz w:val="21"/>
        </w:rPr>
        <w:t> </w:t>
      </w:r>
      <w:r>
        <w:rPr>
          <w:sz w:val="21"/>
        </w:rPr>
        <w:t>require</w:t>
      </w:r>
      <w:r>
        <w:rPr>
          <w:spacing w:val="-9"/>
          <w:sz w:val="21"/>
        </w:rPr>
        <w:t> </w:t>
      </w:r>
      <w:r>
        <w:rPr>
          <w:sz w:val="21"/>
        </w:rPr>
        <w:t>a</w:t>
      </w:r>
      <w:r>
        <w:rPr>
          <w:spacing w:val="-9"/>
          <w:sz w:val="21"/>
        </w:rPr>
        <w:t> </w:t>
      </w:r>
      <w:r>
        <w:rPr>
          <w:sz w:val="21"/>
        </w:rPr>
        <w:t>holistic</w:t>
      </w:r>
      <w:r>
        <w:rPr>
          <w:spacing w:val="-9"/>
          <w:sz w:val="21"/>
        </w:rPr>
        <w:t> </w:t>
      </w:r>
      <w:r>
        <w:rPr>
          <w:sz w:val="21"/>
        </w:rPr>
        <w:t>approach</w:t>
      </w:r>
      <w:r>
        <w:rPr>
          <w:spacing w:val="-9"/>
          <w:sz w:val="21"/>
        </w:rPr>
        <w:t> </w:t>
      </w:r>
      <w:r>
        <w:rPr>
          <w:sz w:val="21"/>
        </w:rPr>
        <w:t>focused</w:t>
      </w:r>
      <w:r>
        <w:rPr>
          <w:spacing w:val="-8"/>
          <w:sz w:val="21"/>
        </w:rPr>
        <w:t> </w:t>
      </w:r>
      <w:r>
        <w:rPr>
          <w:sz w:val="21"/>
        </w:rPr>
        <w:t>on</w:t>
      </w:r>
      <w:r>
        <w:rPr>
          <w:spacing w:val="-9"/>
          <w:sz w:val="21"/>
        </w:rPr>
        <w:t> </w:t>
      </w:r>
      <w:r>
        <w:rPr>
          <w:sz w:val="21"/>
        </w:rPr>
        <w:t>law</w:t>
      </w:r>
      <w:r>
        <w:rPr>
          <w:spacing w:val="-9"/>
          <w:sz w:val="21"/>
        </w:rPr>
        <w:t> </w:t>
      </w:r>
      <w:r>
        <w:rPr>
          <w:sz w:val="21"/>
        </w:rPr>
        <w:t>reform,</w:t>
      </w:r>
      <w:r>
        <w:rPr>
          <w:spacing w:val="-9"/>
          <w:sz w:val="21"/>
        </w:rPr>
        <w:t> </w:t>
      </w:r>
      <w:r>
        <w:rPr>
          <w:sz w:val="21"/>
        </w:rPr>
        <w:t>equity, anti-racism, and dismantling the socio-structural factors that lead to incarceration. Furthermore, reforms face</w:t>
      </w:r>
      <w:r>
        <w:rPr>
          <w:spacing w:val="-12"/>
          <w:sz w:val="21"/>
        </w:rPr>
        <w:t> </w:t>
      </w:r>
      <w:r>
        <w:rPr>
          <w:sz w:val="21"/>
        </w:rPr>
        <w:t>a</w:t>
      </w:r>
      <w:r>
        <w:rPr>
          <w:spacing w:val="-10"/>
          <w:sz w:val="21"/>
        </w:rPr>
        <w:t> </w:t>
      </w:r>
      <w:r>
        <w:rPr>
          <w:sz w:val="21"/>
        </w:rPr>
        <w:t>critical</w:t>
      </w:r>
      <w:r>
        <w:rPr>
          <w:spacing w:val="-12"/>
          <w:sz w:val="21"/>
        </w:rPr>
        <w:t> </w:t>
      </w:r>
      <w:r>
        <w:rPr>
          <w:sz w:val="21"/>
        </w:rPr>
        <w:t>barrier</w:t>
      </w:r>
      <w:r>
        <w:rPr>
          <w:spacing w:val="-10"/>
          <w:sz w:val="21"/>
        </w:rPr>
        <w:t> </w:t>
      </w:r>
      <w:r>
        <w:rPr>
          <w:sz w:val="21"/>
        </w:rPr>
        <w:t>to</w:t>
      </w:r>
      <w:r>
        <w:rPr>
          <w:spacing w:val="-12"/>
          <w:sz w:val="21"/>
        </w:rPr>
        <w:t> </w:t>
      </w:r>
      <w:r>
        <w:rPr>
          <w:sz w:val="21"/>
        </w:rPr>
        <w:t>informed</w:t>
      </w:r>
      <w:r>
        <w:rPr>
          <w:spacing w:val="-10"/>
          <w:sz w:val="21"/>
        </w:rPr>
        <w:t> </w:t>
      </w:r>
      <w:r>
        <w:rPr>
          <w:sz w:val="21"/>
        </w:rPr>
        <w:t>impact</w:t>
      </w:r>
      <w:r>
        <w:rPr>
          <w:spacing w:val="-12"/>
          <w:sz w:val="21"/>
        </w:rPr>
        <w:t> </w:t>
      </w:r>
      <w:r>
        <w:rPr>
          <w:sz w:val="21"/>
        </w:rPr>
        <w:t>as</w:t>
      </w:r>
      <w:r>
        <w:rPr>
          <w:spacing w:val="-11"/>
          <w:sz w:val="21"/>
        </w:rPr>
        <w:t> </w:t>
      </w:r>
      <w:r>
        <w:rPr>
          <w:sz w:val="21"/>
        </w:rPr>
        <w:t>we</w:t>
      </w:r>
      <w:r>
        <w:rPr>
          <w:spacing w:val="-11"/>
          <w:sz w:val="21"/>
        </w:rPr>
        <w:t> </w:t>
      </w:r>
      <w:r>
        <w:rPr>
          <w:sz w:val="21"/>
        </w:rPr>
        <w:t>currently</w:t>
      </w:r>
      <w:r>
        <w:rPr>
          <w:spacing w:val="-12"/>
          <w:sz w:val="21"/>
        </w:rPr>
        <w:t> </w:t>
      </w:r>
      <w:r>
        <w:rPr>
          <w:sz w:val="21"/>
        </w:rPr>
        <w:t>lack</w:t>
      </w:r>
      <w:r>
        <w:rPr>
          <w:spacing w:val="-10"/>
          <w:sz w:val="21"/>
        </w:rPr>
        <w:t> </w:t>
      </w:r>
      <w:r>
        <w:rPr>
          <w:sz w:val="21"/>
        </w:rPr>
        <w:t>comprehensive</w:t>
      </w:r>
      <w:r>
        <w:rPr>
          <w:spacing w:val="-11"/>
          <w:sz w:val="21"/>
        </w:rPr>
        <w:t> </w:t>
      </w:r>
      <w:r>
        <w:rPr>
          <w:sz w:val="21"/>
        </w:rPr>
        <w:t>data</w:t>
      </w:r>
      <w:r>
        <w:rPr>
          <w:spacing w:val="-12"/>
          <w:sz w:val="21"/>
        </w:rPr>
        <w:t> </w:t>
      </w:r>
      <w:r>
        <w:rPr>
          <w:sz w:val="21"/>
        </w:rPr>
        <w:t>on</w:t>
      </w:r>
      <w:r>
        <w:rPr>
          <w:spacing w:val="-10"/>
          <w:sz w:val="21"/>
        </w:rPr>
        <w:t> </w:t>
      </w:r>
      <w:r>
        <w:rPr>
          <w:sz w:val="21"/>
        </w:rPr>
        <w:t>the</w:t>
      </w:r>
      <w:r>
        <w:rPr>
          <w:spacing w:val="-12"/>
          <w:sz w:val="21"/>
        </w:rPr>
        <w:t> </w:t>
      </w:r>
      <w:r>
        <w:rPr>
          <w:sz w:val="21"/>
        </w:rPr>
        <w:t>sexual</w:t>
      </w:r>
      <w:r>
        <w:rPr>
          <w:spacing w:val="-12"/>
          <w:sz w:val="21"/>
        </w:rPr>
        <w:t> </w:t>
      </w:r>
      <w:r>
        <w:rPr>
          <w:sz w:val="21"/>
        </w:rPr>
        <w:t>orientation, gender</w:t>
      </w:r>
      <w:r>
        <w:rPr>
          <w:spacing w:val="-10"/>
          <w:sz w:val="21"/>
        </w:rPr>
        <w:t> </w:t>
      </w:r>
      <w:r>
        <w:rPr>
          <w:sz w:val="21"/>
        </w:rPr>
        <w:t>identity,</w:t>
      </w:r>
      <w:r>
        <w:rPr>
          <w:spacing w:val="-10"/>
          <w:sz w:val="21"/>
        </w:rPr>
        <w:t> </w:t>
      </w:r>
      <w:r>
        <w:rPr>
          <w:sz w:val="21"/>
        </w:rPr>
        <w:t>and</w:t>
      </w:r>
      <w:r>
        <w:rPr>
          <w:spacing w:val="-10"/>
          <w:sz w:val="21"/>
        </w:rPr>
        <w:t> </w:t>
      </w:r>
      <w:r>
        <w:rPr>
          <w:sz w:val="21"/>
        </w:rPr>
        <w:t>expression</w:t>
      </w:r>
      <w:r>
        <w:rPr>
          <w:spacing w:val="-10"/>
          <w:sz w:val="21"/>
        </w:rPr>
        <w:t> </w:t>
      </w:r>
      <w:r>
        <w:rPr>
          <w:sz w:val="21"/>
        </w:rPr>
        <w:t>(SOGIE)</w:t>
      </w:r>
      <w:r>
        <w:rPr>
          <w:spacing w:val="-10"/>
          <w:sz w:val="21"/>
        </w:rPr>
        <w:t> </w:t>
      </w:r>
      <w:r>
        <w:rPr>
          <w:sz w:val="21"/>
        </w:rPr>
        <w:t>of</w:t>
      </w:r>
      <w:r>
        <w:rPr>
          <w:spacing w:val="-11"/>
          <w:sz w:val="21"/>
        </w:rPr>
        <w:t> </w:t>
      </w:r>
      <w:r>
        <w:rPr>
          <w:sz w:val="21"/>
        </w:rPr>
        <w:t>incarcerated</w:t>
      </w:r>
      <w:r>
        <w:rPr>
          <w:spacing w:val="-10"/>
          <w:sz w:val="21"/>
        </w:rPr>
        <w:t> </w:t>
      </w:r>
      <w:r>
        <w:rPr>
          <w:sz w:val="21"/>
        </w:rPr>
        <w:t>individuals.</w:t>
      </w:r>
      <w:r>
        <w:rPr>
          <w:spacing w:val="-10"/>
          <w:sz w:val="21"/>
        </w:rPr>
        <w:t> </w:t>
      </w:r>
      <w:r>
        <w:rPr>
          <w:sz w:val="21"/>
        </w:rPr>
        <w:t>The</w:t>
      </w:r>
      <w:r>
        <w:rPr>
          <w:spacing w:val="-10"/>
          <w:sz w:val="21"/>
        </w:rPr>
        <w:t> </w:t>
      </w:r>
      <w:r>
        <w:rPr>
          <w:sz w:val="21"/>
        </w:rPr>
        <w:t>Department</w:t>
      </w:r>
      <w:r>
        <w:rPr>
          <w:spacing w:val="-11"/>
          <w:sz w:val="21"/>
        </w:rPr>
        <w:t> </w:t>
      </w:r>
      <w:r>
        <w:rPr>
          <w:sz w:val="21"/>
        </w:rPr>
        <w:t>of</w:t>
      </w:r>
      <w:r>
        <w:rPr>
          <w:spacing w:val="-11"/>
          <w:sz w:val="21"/>
        </w:rPr>
        <w:t> </w:t>
      </w:r>
      <w:r>
        <w:rPr>
          <w:sz w:val="21"/>
        </w:rPr>
        <w:t>Correction</w:t>
      </w:r>
      <w:r>
        <w:rPr>
          <w:spacing w:val="-9"/>
          <w:sz w:val="21"/>
        </w:rPr>
        <w:t> </w:t>
      </w:r>
      <w:r>
        <w:rPr>
          <w:sz w:val="21"/>
        </w:rPr>
        <w:t>does</w:t>
      </w:r>
      <w:r>
        <w:rPr>
          <w:spacing w:val="-11"/>
          <w:sz w:val="21"/>
        </w:rPr>
        <w:t> </w:t>
      </w:r>
      <w:r>
        <w:rPr>
          <w:sz w:val="21"/>
        </w:rPr>
        <w:t>not currently collect or publicize sufficient sexual orientation, gender identity, and gender expression (SOGIE) data on incarcerated people in Massachusetts. This data gap severely limits the understanding of the disparities faced by LGBTQ youth and hinders the development of targeted interventions. As such, the Commission recommends that SOGIE data be recorded and analyzed for LGBTQ populations within the criminal legal system. By addressing these gaps in data and fostering an environment of inclusivity and support, the Commission aims to significantly reduce disparities and improve the lives of LGBTQ youth involved in Massachusetts' juvenile and adult criminal legal systems.</w:t>
      </w:r>
    </w:p>
    <w:p>
      <w:pPr>
        <w:pStyle w:val="BodyText"/>
        <w:spacing w:before="142"/>
        <w:rPr>
          <w:sz w:val="21"/>
        </w:rPr>
      </w:pPr>
    </w:p>
    <w:p>
      <w:pPr>
        <w:spacing w:before="1"/>
        <w:ind w:left="464" w:right="0" w:firstLine="0"/>
        <w:jc w:val="both"/>
        <w:rPr>
          <w:sz w:val="28"/>
        </w:rPr>
      </w:pPr>
      <w:r>
        <w:rPr/>
        <mc:AlternateContent>
          <mc:Choice Requires="wps">
            <w:drawing>
              <wp:anchor distT="0" distB="0" distL="0" distR="0" allowOverlap="1" layoutInCell="1" locked="0" behindDoc="1" simplePos="0" relativeHeight="487661568">
                <wp:simplePos x="0" y="0"/>
                <wp:positionH relativeFrom="page">
                  <wp:posOffset>986789</wp:posOffset>
                </wp:positionH>
                <wp:positionV relativeFrom="paragraph">
                  <wp:posOffset>230095</wp:posOffset>
                </wp:positionV>
                <wp:extent cx="5799455" cy="6350"/>
                <wp:effectExtent l="0" t="0" r="0" b="0"/>
                <wp:wrapTopAndBottom/>
                <wp:docPr id="396" name="Graphic 396"/>
                <wp:cNvGraphicFramePr>
                  <a:graphicFrameLocks/>
                </wp:cNvGraphicFramePr>
                <a:graphic>
                  <a:graphicData uri="http://schemas.microsoft.com/office/word/2010/wordprocessingShape">
                    <wps:wsp>
                      <wps:cNvPr id="396" name="Graphic 396"/>
                      <wps:cNvSpPr/>
                      <wps:spPr>
                        <a:xfrm>
                          <a:off x="0" y="0"/>
                          <a:ext cx="5799455" cy="6350"/>
                        </a:xfrm>
                        <a:custGeom>
                          <a:avLst/>
                          <a:gdLst/>
                          <a:ahLst/>
                          <a:cxnLst/>
                          <a:rect l="l" t="t" r="r" b="b"/>
                          <a:pathLst>
                            <a:path w="5799455" h="6350">
                              <a:moveTo>
                                <a:pt x="5798832" y="0"/>
                              </a:moveTo>
                              <a:lnTo>
                                <a:pt x="0" y="0"/>
                              </a:lnTo>
                              <a:lnTo>
                                <a:pt x="0" y="6096"/>
                              </a:lnTo>
                              <a:lnTo>
                                <a:pt x="5798832" y="6096"/>
                              </a:lnTo>
                              <a:lnTo>
                                <a:pt x="5798832" y="0"/>
                              </a:lnTo>
                              <a:close/>
                            </a:path>
                          </a:pathLst>
                        </a:custGeom>
                        <a:solidFill>
                          <a:srgbClr val="4F81BC"/>
                        </a:solidFill>
                      </wps:spPr>
                      <wps:bodyPr wrap="square" lIns="0" tIns="0" rIns="0" bIns="0" rtlCol="0">
                        <a:prstTxWarp prst="textNoShape">
                          <a:avLst/>
                        </a:prstTxWarp>
                        <a:noAutofit/>
                      </wps:bodyPr>
                    </wps:wsp>
                  </a:graphicData>
                </a:graphic>
              </wp:anchor>
            </w:drawing>
          </mc:Choice>
          <mc:Fallback>
            <w:pict>
              <v:rect style="position:absolute;margin-left:77.699997pt;margin-top:18.117744pt;width:456.601pt;height:.48pt;mso-position-horizontal-relative:page;mso-position-vertical-relative:paragraph;z-index:-15654912;mso-wrap-distance-left:0;mso-wrap-distance-right:0" id="docshape317" filled="true" fillcolor="#4f81bc" stroked="false">
                <v:fill type="solid"/>
                <w10:wrap type="topAndBottom"/>
              </v:rect>
            </w:pict>
          </mc:Fallback>
        </mc:AlternateContent>
      </w:r>
      <w:bookmarkStart w:name="Recommendations to the Governor and Legi" w:id="542"/>
      <w:bookmarkEnd w:id="542"/>
      <w:r>
        <w:rPr/>
      </w:r>
      <w:r>
        <w:rPr>
          <w:color w:val="365F91"/>
          <w:sz w:val="28"/>
        </w:rPr>
        <w:t>Recommendations</w:t>
      </w:r>
      <w:r>
        <w:rPr>
          <w:color w:val="365F91"/>
          <w:spacing w:val="-12"/>
          <w:sz w:val="28"/>
        </w:rPr>
        <w:t> </w:t>
      </w:r>
      <w:r>
        <w:rPr>
          <w:color w:val="365F91"/>
          <w:sz w:val="28"/>
        </w:rPr>
        <w:t>to</w:t>
      </w:r>
      <w:r>
        <w:rPr>
          <w:color w:val="365F91"/>
          <w:spacing w:val="-11"/>
          <w:sz w:val="28"/>
        </w:rPr>
        <w:t> </w:t>
      </w:r>
      <w:r>
        <w:rPr>
          <w:color w:val="365F91"/>
          <w:sz w:val="28"/>
        </w:rPr>
        <w:t>the</w:t>
      </w:r>
      <w:r>
        <w:rPr>
          <w:color w:val="365F91"/>
          <w:spacing w:val="-11"/>
          <w:sz w:val="28"/>
        </w:rPr>
        <w:t> </w:t>
      </w:r>
      <w:r>
        <w:rPr>
          <w:color w:val="365F91"/>
          <w:sz w:val="28"/>
        </w:rPr>
        <w:t>Governor</w:t>
      </w:r>
      <w:r>
        <w:rPr>
          <w:color w:val="365F91"/>
          <w:spacing w:val="-12"/>
          <w:sz w:val="28"/>
        </w:rPr>
        <w:t> </w:t>
      </w:r>
      <w:r>
        <w:rPr>
          <w:color w:val="365F91"/>
          <w:sz w:val="28"/>
        </w:rPr>
        <w:t>and</w:t>
      </w:r>
      <w:r>
        <w:rPr>
          <w:color w:val="365F91"/>
          <w:spacing w:val="-12"/>
          <w:sz w:val="28"/>
        </w:rPr>
        <w:t> </w:t>
      </w:r>
      <w:r>
        <w:rPr>
          <w:color w:val="365F91"/>
          <w:sz w:val="28"/>
        </w:rPr>
        <w:t>Legislature</w:t>
      </w:r>
      <w:r>
        <w:rPr>
          <w:color w:val="365F91"/>
          <w:spacing w:val="-11"/>
          <w:sz w:val="28"/>
        </w:rPr>
        <w:t> </w:t>
      </w:r>
      <w:r>
        <w:rPr>
          <w:color w:val="365F91"/>
          <w:sz w:val="28"/>
        </w:rPr>
        <w:t>on</w:t>
      </w:r>
      <w:r>
        <w:rPr>
          <w:color w:val="365F91"/>
          <w:spacing w:val="-12"/>
          <w:sz w:val="28"/>
        </w:rPr>
        <w:t> </w:t>
      </w:r>
      <w:r>
        <w:rPr>
          <w:color w:val="365F91"/>
          <w:sz w:val="28"/>
        </w:rPr>
        <w:t>Advancing</w:t>
      </w:r>
      <w:r>
        <w:rPr>
          <w:color w:val="365F91"/>
          <w:spacing w:val="-11"/>
          <w:sz w:val="28"/>
        </w:rPr>
        <w:t> </w:t>
      </w:r>
      <w:r>
        <w:rPr>
          <w:color w:val="365F91"/>
          <w:spacing w:val="-2"/>
          <w:sz w:val="28"/>
        </w:rPr>
        <w:t>Justice</w:t>
      </w:r>
    </w:p>
    <w:p>
      <w:pPr>
        <w:pStyle w:val="ListParagraph"/>
        <w:numPr>
          <w:ilvl w:val="0"/>
          <w:numId w:val="26"/>
        </w:numPr>
        <w:tabs>
          <w:tab w:pos="463" w:val="left" w:leader="none"/>
        </w:tabs>
        <w:spacing w:line="276" w:lineRule="auto" w:before="241" w:after="0"/>
        <w:ind w:left="463" w:right="245" w:hanging="360"/>
        <w:jc w:val="left"/>
        <w:rPr>
          <w:b/>
          <w:sz w:val="21"/>
        </w:rPr>
      </w:pPr>
      <w:r>
        <w:rPr>
          <w:b/>
          <w:sz w:val="21"/>
        </w:rPr>
        <w:t>Increase collection of data on sexual orientation and gender identity to identify and reduce disparities throughout the juvenile and criminal legal systems.</w:t>
      </w:r>
    </w:p>
    <w:p>
      <w:pPr>
        <w:spacing w:line="276" w:lineRule="auto" w:before="240"/>
        <w:ind w:left="463" w:right="238" w:firstLine="0"/>
        <w:jc w:val="both"/>
        <w:rPr>
          <w:sz w:val="21"/>
        </w:rPr>
      </w:pPr>
      <w:r>
        <w:rPr>
          <w:sz w:val="21"/>
        </w:rPr>
        <w:t>Without comprehensive data, the state has little insight to the widespread disparities experienced by LGBTQ youth in the Commonwealth. In 2018, the legislature created the Juvenile Justice Policy and Data Board</w:t>
      </w:r>
      <w:r>
        <w:rPr>
          <w:spacing w:val="-2"/>
          <w:sz w:val="21"/>
        </w:rPr>
        <w:t> </w:t>
      </w:r>
      <w:r>
        <w:rPr>
          <w:sz w:val="21"/>
        </w:rPr>
        <w:t>(JJPAD)</w:t>
      </w:r>
      <w:r>
        <w:rPr>
          <w:spacing w:val="-2"/>
          <w:sz w:val="21"/>
        </w:rPr>
        <w:t> </w:t>
      </w:r>
      <w:r>
        <w:rPr>
          <w:sz w:val="21"/>
        </w:rPr>
        <w:t>which</w:t>
      </w:r>
      <w:r>
        <w:rPr>
          <w:spacing w:val="-2"/>
          <w:sz w:val="21"/>
        </w:rPr>
        <w:t> </w:t>
      </w:r>
      <w:r>
        <w:rPr>
          <w:sz w:val="21"/>
        </w:rPr>
        <w:t>was</w:t>
      </w:r>
      <w:r>
        <w:rPr>
          <w:spacing w:val="-2"/>
          <w:sz w:val="21"/>
        </w:rPr>
        <w:t> </w:t>
      </w:r>
      <w:r>
        <w:rPr>
          <w:sz w:val="21"/>
        </w:rPr>
        <w:t>tasked</w:t>
      </w:r>
      <w:r>
        <w:rPr>
          <w:spacing w:val="-2"/>
          <w:sz w:val="21"/>
        </w:rPr>
        <w:t> </w:t>
      </w:r>
      <w:r>
        <w:rPr>
          <w:sz w:val="21"/>
        </w:rPr>
        <w:t>with</w:t>
      </w:r>
      <w:r>
        <w:rPr>
          <w:spacing w:val="-2"/>
          <w:sz w:val="21"/>
        </w:rPr>
        <w:t> </w:t>
      </w:r>
      <w:r>
        <w:rPr>
          <w:sz w:val="21"/>
        </w:rPr>
        <w:t>collecting</w:t>
      </w:r>
      <w:r>
        <w:rPr>
          <w:spacing w:val="-2"/>
          <w:sz w:val="21"/>
        </w:rPr>
        <w:t> </w:t>
      </w:r>
      <w:r>
        <w:rPr>
          <w:sz w:val="21"/>
        </w:rPr>
        <w:t>data</w:t>
      </w:r>
      <w:r>
        <w:rPr>
          <w:spacing w:val="-2"/>
          <w:sz w:val="21"/>
        </w:rPr>
        <w:t> </w:t>
      </w:r>
      <w:r>
        <w:rPr>
          <w:sz w:val="21"/>
        </w:rPr>
        <w:t>to</w:t>
      </w:r>
      <w:r>
        <w:rPr>
          <w:spacing w:val="-2"/>
          <w:sz w:val="21"/>
        </w:rPr>
        <w:t> </w:t>
      </w:r>
      <w:r>
        <w:rPr>
          <w:sz w:val="21"/>
        </w:rPr>
        <w:t>identify</w:t>
      </w:r>
      <w:r>
        <w:rPr>
          <w:spacing w:val="-2"/>
          <w:sz w:val="21"/>
        </w:rPr>
        <w:t> </w:t>
      </w:r>
      <w:r>
        <w:rPr>
          <w:sz w:val="21"/>
        </w:rPr>
        <w:t>disparities</w:t>
      </w:r>
      <w:r>
        <w:rPr>
          <w:spacing w:val="-2"/>
          <w:sz w:val="21"/>
        </w:rPr>
        <w:t> </w:t>
      </w:r>
      <w:r>
        <w:rPr>
          <w:sz w:val="21"/>
        </w:rPr>
        <w:t>and</w:t>
      </w:r>
      <w:r>
        <w:rPr>
          <w:spacing w:val="-2"/>
          <w:sz w:val="21"/>
        </w:rPr>
        <w:t> </w:t>
      </w:r>
      <w:r>
        <w:rPr>
          <w:sz w:val="21"/>
        </w:rPr>
        <w:t>make</w:t>
      </w:r>
      <w:r>
        <w:rPr>
          <w:spacing w:val="-2"/>
          <w:sz w:val="21"/>
        </w:rPr>
        <w:t> </w:t>
      </w:r>
      <w:r>
        <w:rPr>
          <w:sz w:val="21"/>
        </w:rPr>
        <w:t>recommendations</w:t>
      </w:r>
      <w:r>
        <w:rPr>
          <w:spacing w:val="-2"/>
          <w:sz w:val="21"/>
        </w:rPr>
        <w:t> </w:t>
      </w:r>
      <w:r>
        <w:rPr>
          <w:sz w:val="21"/>
        </w:rPr>
        <w:t>on how to improve the experience of youth in the juvenile legal system. However, there are still further improvements to be made in the collection of SOGIE data in the criminal legal systems, including by mandating the collection of SOGIE data in the adult legal system. One such path forward would be for the legislature to pass An Act to Promote Rehabilitation Including Guaranteed Health, Treatment, and Safety for</w:t>
      </w:r>
      <w:r>
        <w:rPr>
          <w:spacing w:val="-4"/>
          <w:sz w:val="21"/>
        </w:rPr>
        <w:t> </w:t>
      </w:r>
      <w:r>
        <w:rPr>
          <w:sz w:val="21"/>
        </w:rPr>
        <w:t>Incarcerated</w:t>
      </w:r>
      <w:r>
        <w:rPr>
          <w:spacing w:val="-4"/>
          <w:sz w:val="21"/>
        </w:rPr>
        <w:t> </w:t>
      </w:r>
      <w:r>
        <w:rPr>
          <w:sz w:val="21"/>
        </w:rPr>
        <w:t>LGBTQI+</w:t>
      </w:r>
      <w:r>
        <w:rPr>
          <w:spacing w:val="-4"/>
          <w:sz w:val="21"/>
        </w:rPr>
        <w:t> </w:t>
      </w:r>
      <w:r>
        <w:rPr>
          <w:sz w:val="21"/>
        </w:rPr>
        <w:t>People,</w:t>
      </w:r>
      <w:r>
        <w:rPr>
          <w:spacing w:val="-4"/>
          <w:sz w:val="21"/>
        </w:rPr>
        <w:t> </w:t>
      </w:r>
      <w:r>
        <w:rPr>
          <w:sz w:val="21"/>
        </w:rPr>
        <w:t>also</w:t>
      </w:r>
      <w:r>
        <w:rPr>
          <w:spacing w:val="-4"/>
          <w:sz w:val="21"/>
        </w:rPr>
        <w:t> </w:t>
      </w:r>
      <w:r>
        <w:rPr>
          <w:sz w:val="21"/>
        </w:rPr>
        <w:t>known</w:t>
      </w:r>
      <w:r>
        <w:rPr>
          <w:spacing w:val="-4"/>
          <w:sz w:val="21"/>
        </w:rPr>
        <w:t> </w:t>
      </w:r>
      <w:r>
        <w:rPr>
          <w:sz w:val="21"/>
        </w:rPr>
        <w:t>as</w:t>
      </w:r>
      <w:r>
        <w:rPr>
          <w:spacing w:val="-5"/>
          <w:sz w:val="21"/>
        </w:rPr>
        <w:t> </w:t>
      </w:r>
      <w:r>
        <w:rPr>
          <w:sz w:val="21"/>
        </w:rPr>
        <w:t>the</w:t>
      </w:r>
      <w:r>
        <w:rPr>
          <w:spacing w:val="-4"/>
          <w:sz w:val="21"/>
        </w:rPr>
        <w:t> </w:t>
      </w:r>
      <w:r>
        <w:rPr>
          <w:sz w:val="21"/>
        </w:rPr>
        <w:t>RIGHTS</w:t>
      </w:r>
      <w:r>
        <w:rPr>
          <w:spacing w:val="-5"/>
          <w:sz w:val="21"/>
        </w:rPr>
        <w:t> </w:t>
      </w:r>
      <w:r>
        <w:rPr>
          <w:sz w:val="21"/>
        </w:rPr>
        <w:t>Act</w:t>
      </w:r>
      <w:r>
        <w:rPr>
          <w:spacing w:val="-4"/>
          <w:sz w:val="21"/>
        </w:rPr>
        <w:t> </w:t>
      </w:r>
      <w:r>
        <w:rPr>
          <w:sz w:val="21"/>
        </w:rPr>
        <w:t>(S.1499/H.2357),</w:t>
      </w:r>
      <w:r>
        <w:rPr>
          <w:spacing w:val="-5"/>
          <w:sz w:val="21"/>
        </w:rPr>
        <w:t> </w:t>
      </w:r>
      <w:r>
        <w:rPr>
          <w:sz w:val="21"/>
        </w:rPr>
        <w:t>which</w:t>
      </w:r>
      <w:r>
        <w:rPr>
          <w:spacing w:val="-4"/>
          <w:sz w:val="21"/>
        </w:rPr>
        <w:t> </w:t>
      </w:r>
      <w:r>
        <w:rPr>
          <w:sz w:val="21"/>
        </w:rPr>
        <w:t>would</w:t>
      </w:r>
      <w:r>
        <w:rPr>
          <w:spacing w:val="-4"/>
          <w:sz w:val="21"/>
        </w:rPr>
        <w:t> </w:t>
      </w:r>
      <w:r>
        <w:rPr>
          <w:sz w:val="21"/>
        </w:rPr>
        <w:t>collect</w:t>
      </w:r>
      <w:r>
        <w:rPr>
          <w:spacing w:val="-4"/>
          <w:sz w:val="21"/>
        </w:rPr>
        <w:t> </w:t>
      </w:r>
      <w:r>
        <w:rPr>
          <w:sz w:val="21"/>
        </w:rPr>
        <w:t>data on LGBTQI prisoners held in restrictive housing.</w:t>
      </w:r>
    </w:p>
    <w:p>
      <w:pPr>
        <w:spacing w:line="276" w:lineRule="auto" w:before="240"/>
        <w:ind w:left="463" w:right="237" w:firstLine="0"/>
        <w:jc w:val="both"/>
        <w:rPr>
          <w:sz w:val="21"/>
        </w:rPr>
      </w:pPr>
      <w:r>
        <w:rPr>
          <w:sz w:val="21"/>
        </w:rPr>
        <w:t>Additionally,</w:t>
      </w:r>
      <w:r>
        <w:rPr>
          <w:spacing w:val="-11"/>
          <w:sz w:val="21"/>
        </w:rPr>
        <w:t> </w:t>
      </w:r>
      <w:r>
        <w:rPr>
          <w:sz w:val="21"/>
        </w:rPr>
        <w:t>the</w:t>
      </w:r>
      <w:r>
        <w:rPr>
          <w:spacing w:val="-12"/>
          <w:sz w:val="21"/>
        </w:rPr>
        <w:t> </w:t>
      </w:r>
      <w:r>
        <w:rPr>
          <w:sz w:val="21"/>
        </w:rPr>
        <w:t>Commission</w:t>
      </w:r>
      <w:r>
        <w:rPr>
          <w:spacing w:val="-11"/>
          <w:sz w:val="21"/>
        </w:rPr>
        <w:t> </w:t>
      </w:r>
      <w:r>
        <w:rPr>
          <w:sz w:val="21"/>
        </w:rPr>
        <w:t>advises</w:t>
      </w:r>
      <w:r>
        <w:rPr>
          <w:spacing w:val="-12"/>
          <w:sz w:val="21"/>
        </w:rPr>
        <w:t> </w:t>
      </w:r>
      <w:r>
        <w:rPr>
          <w:sz w:val="21"/>
        </w:rPr>
        <w:t>that</w:t>
      </w:r>
      <w:r>
        <w:rPr>
          <w:spacing w:val="-11"/>
          <w:sz w:val="21"/>
        </w:rPr>
        <w:t> </w:t>
      </w:r>
      <w:r>
        <w:rPr>
          <w:sz w:val="21"/>
        </w:rPr>
        <w:t>the</w:t>
      </w:r>
      <w:r>
        <w:rPr>
          <w:spacing w:val="-12"/>
          <w:sz w:val="21"/>
        </w:rPr>
        <w:t> </w:t>
      </w:r>
      <w:r>
        <w:rPr>
          <w:sz w:val="21"/>
        </w:rPr>
        <w:t>legislature</w:t>
      </w:r>
      <w:r>
        <w:rPr>
          <w:spacing w:val="-12"/>
          <w:sz w:val="21"/>
        </w:rPr>
        <w:t> </w:t>
      </w:r>
      <w:r>
        <w:rPr>
          <w:sz w:val="21"/>
        </w:rPr>
        <w:t>should</w:t>
      </w:r>
      <w:r>
        <w:rPr>
          <w:spacing w:val="-11"/>
          <w:sz w:val="21"/>
        </w:rPr>
        <w:t> </w:t>
      </w:r>
      <w:r>
        <w:rPr>
          <w:sz w:val="21"/>
        </w:rPr>
        <w:t>pass</w:t>
      </w:r>
      <w:r>
        <w:rPr>
          <w:spacing w:val="-11"/>
          <w:sz w:val="21"/>
        </w:rPr>
        <w:t> </w:t>
      </w:r>
      <w:r>
        <w:rPr>
          <w:sz w:val="21"/>
        </w:rPr>
        <w:t>An</w:t>
      </w:r>
      <w:r>
        <w:rPr>
          <w:spacing w:val="-11"/>
          <w:sz w:val="21"/>
        </w:rPr>
        <w:t> </w:t>
      </w:r>
      <w:r>
        <w:rPr>
          <w:sz w:val="21"/>
        </w:rPr>
        <w:t>Act</w:t>
      </w:r>
      <w:r>
        <w:rPr>
          <w:spacing w:val="-11"/>
          <w:sz w:val="21"/>
        </w:rPr>
        <w:t> </w:t>
      </w:r>
      <w:r>
        <w:rPr>
          <w:sz w:val="21"/>
        </w:rPr>
        <w:t>Improving</w:t>
      </w:r>
      <w:r>
        <w:rPr>
          <w:spacing w:val="-12"/>
          <w:sz w:val="21"/>
        </w:rPr>
        <w:t> </w:t>
      </w:r>
      <w:r>
        <w:rPr>
          <w:sz w:val="21"/>
        </w:rPr>
        <w:t>Juvenile</w:t>
      </w:r>
      <w:r>
        <w:rPr>
          <w:spacing w:val="-12"/>
          <w:sz w:val="21"/>
        </w:rPr>
        <w:t> </w:t>
      </w:r>
      <w:r>
        <w:rPr>
          <w:sz w:val="21"/>
        </w:rPr>
        <w:t>Justice</w:t>
      </w:r>
      <w:r>
        <w:rPr>
          <w:spacing w:val="-12"/>
          <w:sz w:val="21"/>
        </w:rPr>
        <w:t> </w:t>
      </w:r>
      <w:r>
        <w:rPr>
          <w:sz w:val="21"/>
        </w:rPr>
        <w:t>Data Collection</w:t>
      </w:r>
      <w:r>
        <w:rPr>
          <w:spacing w:val="-8"/>
          <w:sz w:val="21"/>
        </w:rPr>
        <w:t> </w:t>
      </w:r>
      <w:r>
        <w:rPr>
          <w:sz w:val="21"/>
        </w:rPr>
        <w:t>(S.931/H.1802),</w:t>
      </w:r>
      <w:r>
        <w:rPr>
          <w:spacing w:val="-9"/>
          <w:sz w:val="21"/>
        </w:rPr>
        <w:t> </w:t>
      </w:r>
      <w:r>
        <w:rPr>
          <w:sz w:val="21"/>
        </w:rPr>
        <w:t>which</w:t>
      </w:r>
      <w:r>
        <w:rPr>
          <w:spacing w:val="-8"/>
          <w:sz w:val="21"/>
        </w:rPr>
        <w:t> </w:t>
      </w:r>
      <w:r>
        <w:rPr>
          <w:sz w:val="21"/>
        </w:rPr>
        <w:t>would</w:t>
      </w:r>
      <w:r>
        <w:rPr>
          <w:spacing w:val="-8"/>
          <w:sz w:val="21"/>
        </w:rPr>
        <w:t> </w:t>
      </w:r>
      <w:r>
        <w:rPr>
          <w:sz w:val="21"/>
        </w:rPr>
        <w:t>include</w:t>
      </w:r>
      <w:r>
        <w:rPr>
          <w:spacing w:val="-8"/>
          <w:sz w:val="21"/>
        </w:rPr>
        <w:t> </w:t>
      </w:r>
      <w:r>
        <w:rPr>
          <w:sz w:val="21"/>
        </w:rPr>
        <w:t>sexual</w:t>
      </w:r>
      <w:r>
        <w:rPr>
          <w:spacing w:val="-8"/>
          <w:sz w:val="21"/>
        </w:rPr>
        <w:t> </w:t>
      </w:r>
      <w:r>
        <w:rPr>
          <w:sz w:val="21"/>
        </w:rPr>
        <w:t>orientation</w:t>
      </w:r>
      <w:r>
        <w:rPr>
          <w:spacing w:val="-8"/>
          <w:sz w:val="21"/>
        </w:rPr>
        <w:t> </w:t>
      </w:r>
      <w:r>
        <w:rPr>
          <w:sz w:val="21"/>
        </w:rPr>
        <w:t>and</w:t>
      </w:r>
      <w:r>
        <w:rPr>
          <w:spacing w:val="-9"/>
          <w:sz w:val="21"/>
        </w:rPr>
        <w:t> </w:t>
      </w:r>
      <w:r>
        <w:rPr>
          <w:sz w:val="21"/>
        </w:rPr>
        <w:t>gender</w:t>
      </w:r>
      <w:r>
        <w:rPr>
          <w:spacing w:val="-8"/>
          <w:sz w:val="21"/>
        </w:rPr>
        <w:t> </w:t>
      </w:r>
      <w:r>
        <w:rPr>
          <w:sz w:val="21"/>
        </w:rPr>
        <w:t>identity</w:t>
      </w:r>
      <w:r>
        <w:rPr>
          <w:spacing w:val="-8"/>
          <w:sz w:val="21"/>
        </w:rPr>
        <w:t> </w:t>
      </w:r>
      <w:r>
        <w:rPr>
          <w:sz w:val="21"/>
        </w:rPr>
        <w:t>in</w:t>
      </w:r>
      <w:r>
        <w:rPr>
          <w:spacing w:val="-8"/>
          <w:sz w:val="21"/>
        </w:rPr>
        <w:t> </w:t>
      </w:r>
      <w:r>
        <w:rPr>
          <w:sz w:val="21"/>
        </w:rPr>
        <w:t>the</w:t>
      </w:r>
      <w:r>
        <w:rPr>
          <w:spacing w:val="-8"/>
          <w:sz w:val="21"/>
        </w:rPr>
        <w:t> </w:t>
      </w:r>
      <w:r>
        <w:rPr>
          <w:sz w:val="21"/>
        </w:rPr>
        <w:t>collection</w:t>
      </w:r>
      <w:r>
        <w:rPr>
          <w:spacing w:val="-8"/>
          <w:sz w:val="21"/>
        </w:rPr>
        <w:t> </w:t>
      </w:r>
      <w:r>
        <w:rPr>
          <w:sz w:val="21"/>
        </w:rPr>
        <w:t>and reporting</w:t>
      </w:r>
      <w:r>
        <w:rPr>
          <w:spacing w:val="-4"/>
          <w:sz w:val="21"/>
        </w:rPr>
        <w:t> </w:t>
      </w:r>
      <w:r>
        <w:rPr>
          <w:sz w:val="21"/>
        </w:rPr>
        <w:t>of</w:t>
      </w:r>
      <w:r>
        <w:rPr>
          <w:spacing w:val="-4"/>
          <w:sz w:val="21"/>
        </w:rPr>
        <w:t> </w:t>
      </w:r>
      <w:r>
        <w:rPr>
          <w:sz w:val="21"/>
        </w:rPr>
        <w:t>juvenile</w:t>
      </w:r>
      <w:r>
        <w:rPr>
          <w:spacing w:val="-3"/>
          <w:sz w:val="21"/>
        </w:rPr>
        <w:t> </w:t>
      </w:r>
      <w:r>
        <w:rPr>
          <w:sz w:val="21"/>
        </w:rPr>
        <w:t>data</w:t>
      </w:r>
      <w:r>
        <w:rPr>
          <w:spacing w:val="-4"/>
          <w:sz w:val="21"/>
        </w:rPr>
        <w:t> </w:t>
      </w:r>
      <w:r>
        <w:rPr>
          <w:sz w:val="21"/>
        </w:rPr>
        <w:t>to</w:t>
      </w:r>
      <w:r>
        <w:rPr>
          <w:spacing w:val="-5"/>
          <w:sz w:val="21"/>
        </w:rPr>
        <w:t> </w:t>
      </w:r>
      <w:r>
        <w:rPr>
          <w:sz w:val="21"/>
        </w:rPr>
        <w:t>identify</w:t>
      </w:r>
      <w:r>
        <w:rPr>
          <w:spacing w:val="-3"/>
          <w:sz w:val="21"/>
        </w:rPr>
        <w:t> </w:t>
      </w:r>
      <w:r>
        <w:rPr>
          <w:sz w:val="21"/>
        </w:rPr>
        <w:t>and</w:t>
      </w:r>
      <w:r>
        <w:rPr>
          <w:spacing w:val="-3"/>
          <w:sz w:val="21"/>
        </w:rPr>
        <w:t> </w:t>
      </w:r>
      <w:r>
        <w:rPr>
          <w:sz w:val="21"/>
        </w:rPr>
        <w:t>evaluate</w:t>
      </w:r>
      <w:r>
        <w:rPr>
          <w:spacing w:val="-3"/>
          <w:sz w:val="21"/>
        </w:rPr>
        <w:t> </w:t>
      </w:r>
      <w:r>
        <w:rPr>
          <w:sz w:val="21"/>
        </w:rPr>
        <w:t>policies</w:t>
      </w:r>
      <w:r>
        <w:rPr>
          <w:spacing w:val="-4"/>
          <w:sz w:val="21"/>
        </w:rPr>
        <w:t> </w:t>
      </w:r>
      <w:r>
        <w:rPr>
          <w:sz w:val="21"/>
        </w:rPr>
        <w:t>to</w:t>
      </w:r>
      <w:r>
        <w:rPr>
          <w:spacing w:val="-3"/>
          <w:sz w:val="21"/>
        </w:rPr>
        <w:t> </w:t>
      </w:r>
      <w:r>
        <w:rPr>
          <w:sz w:val="21"/>
        </w:rPr>
        <w:t>reduce</w:t>
      </w:r>
      <w:r>
        <w:rPr>
          <w:spacing w:val="-4"/>
          <w:sz w:val="21"/>
        </w:rPr>
        <w:t> </w:t>
      </w:r>
      <w:r>
        <w:rPr>
          <w:sz w:val="21"/>
        </w:rPr>
        <w:t>racial</w:t>
      </w:r>
      <w:r>
        <w:rPr>
          <w:spacing w:val="-3"/>
          <w:sz w:val="21"/>
        </w:rPr>
        <w:t> </w:t>
      </w:r>
      <w:r>
        <w:rPr>
          <w:sz w:val="21"/>
        </w:rPr>
        <w:t>disparities</w:t>
      </w:r>
      <w:r>
        <w:rPr>
          <w:spacing w:val="-4"/>
          <w:sz w:val="21"/>
        </w:rPr>
        <w:t> </w:t>
      </w:r>
      <w:r>
        <w:rPr>
          <w:sz w:val="21"/>
        </w:rPr>
        <w:t>in</w:t>
      </w:r>
      <w:r>
        <w:rPr>
          <w:spacing w:val="-3"/>
          <w:sz w:val="21"/>
        </w:rPr>
        <w:t> </w:t>
      </w:r>
      <w:r>
        <w:rPr>
          <w:sz w:val="21"/>
        </w:rPr>
        <w:t>the</w:t>
      </w:r>
      <w:r>
        <w:rPr>
          <w:spacing w:val="-4"/>
          <w:sz w:val="21"/>
        </w:rPr>
        <w:t> </w:t>
      </w:r>
      <w:r>
        <w:rPr>
          <w:sz w:val="21"/>
        </w:rPr>
        <w:t>juvenile</w:t>
      </w:r>
      <w:r>
        <w:rPr>
          <w:spacing w:val="-3"/>
          <w:sz w:val="21"/>
        </w:rPr>
        <w:t> </w:t>
      </w:r>
      <w:r>
        <w:rPr>
          <w:sz w:val="21"/>
        </w:rPr>
        <w:t>justice </w:t>
      </w:r>
      <w:r>
        <w:rPr>
          <w:spacing w:val="-2"/>
          <w:sz w:val="21"/>
        </w:rPr>
        <w:t>system.</w:t>
      </w:r>
    </w:p>
    <w:p>
      <w:pPr>
        <w:spacing w:line="276" w:lineRule="auto" w:before="241"/>
        <w:ind w:left="463" w:right="241" w:firstLine="0"/>
        <w:jc w:val="both"/>
        <w:rPr>
          <w:sz w:val="21"/>
        </w:rPr>
      </w:pPr>
      <w:r>
        <w:rPr>
          <w:sz w:val="21"/>
        </w:rPr>
        <w:t>As noted in the above Child Welfare section of this annual report, the Commission further recommends that the legislature amend the appointed members of the JJPAD to add dedicated representatives for LGBTQ</w:t>
      </w:r>
      <w:r>
        <w:rPr>
          <w:spacing w:val="-4"/>
          <w:sz w:val="21"/>
        </w:rPr>
        <w:t> </w:t>
      </w:r>
      <w:r>
        <w:rPr>
          <w:sz w:val="21"/>
        </w:rPr>
        <w:t>youth</w:t>
      </w:r>
      <w:r>
        <w:rPr>
          <w:spacing w:val="-5"/>
          <w:sz w:val="21"/>
        </w:rPr>
        <w:t> </w:t>
      </w:r>
      <w:r>
        <w:rPr>
          <w:sz w:val="21"/>
        </w:rPr>
        <w:t>and</w:t>
      </w:r>
      <w:r>
        <w:rPr>
          <w:spacing w:val="-4"/>
          <w:sz w:val="21"/>
        </w:rPr>
        <w:t> </w:t>
      </w:r>
      <w:r>
        <w:rPr>
          <w:sz w:val="21"/>
        </w:rPr>
        <w:t>youth</w:t>
      </w:r>
      <w:r>
        <w:rPr>
          <w:spacing w:val="-5"/>
          <w:sz w:val="21"/>
        </w:rPr>
        <w:t> </w:t>
      </w:r>
      <w:r>
        <w:rPr>
          <w:sz w:val="21"/>
        </w:rPr>
        <w:t>with</w:t>
      </w:r>
      <w:r>
        <w:rPr>
          <w:spacing w:val="-4"/>
          <w:sz w:val="21"/>
        </w:rPr>
        <w:t> </w:t>
      </w:r>
      <w:r>
        <w:rPr>
          <w:sz w:val="21"/>
        </w:rPr>
        <w:t>disabilities.</w:t>
      </w:r>
      <w:r>
        <w:rPr>
          <w:spacing w:val="-4"/>
          <w:sz w:val="21"/>
        </w:rPr>
        <w:t> </w:t>
      </w:r>
      <w:r>
        <w:rPr>
          <w:sz w:val="21"/>
        </w:rPr>
        <w:t>Since</w:t>
      </w:r>
      <w:r>
        <w:rPr>
          <w:spacing w:val="-4"/>
          <w:sz w:val="21"/>
        </w:rPr>
        <w:t> </w:t>
      </w:r>
      <w:r>
        <w:rPr>
          <w:sz w:val="21"/>
        </w:rPr>
        <w:t>December</w:t>
      </w:r>
      <w:r>
        <w:rPr>
          <w:spacing w:val="-4"/>
          <w:sz w:val="21"/>
        </w:rPr>
        <w:t> </w:t>
      </w:r>
      <w:r>
        <w:rPr>
          <w:sz w:val="21"/>
        </w:rPr>
        <w:t>2022,</w:t>
      </w:r>
      <w:r>
        <w:rPr>
          <w:spacing w:val="-5"/>
          <w:sz w:val="21"/>
        </w:rPr>
        <w:t> </w:t>
      </w:r>
      <w:r>
        <w:rPr>
          <w:sz w:val="21"/>
        </w:rPr>
        <w:t>the</w:t>
      </w:r>
      <w:r>
        <w:rPr>
          <w:spacing w:val="-5"/>
          <w:sz w:val="21"/>
        </w:rPr>
        <w:t> </w:t>
      </w:r>
      <w:r>
        <w:rPr>
          <w:sz w:val="21"/>
        </w:rPr>
        <w:t>Commission</w:t>
      </w:r>
      <w:r>
        <w:rPr>
          <w:spacing w:val="-4"/>
          <w:sz w:val="21"/>
        </w:rPr>
        <w:t> </w:t>
      </w:r>
      <w:r>
        <w:rPr>
          <w:sz w:val="21"/>
        </w:rPr>
        <w:t>has</w:t>
      </w:r>
      <w:r>
        <w:rPr>
          <w:spacing w:val="-5"/>
          <w:sz w:val="21"/>
        </w:rPr>
        <w:t> </w:t>
      </w:r>
      <w:r>
        <w:rPr>
          <w:sz w:val="21"/>
        </w:rPr>
        <w:t>been</w:t>
      </w:r>
      <w:r>
        <w:rPr>
          <w:spacing w:val="-4"/>
          <w:sz w:val="21"/>
        </w:rPr>
        <w:t> </w:t>
      </w:r>
      <w:r>
        <w:rPr>
          <w:sz w:val="21"/>
        </w:rPr>
        <w:t>in</w:t>
      </w:r>
      <w:r>
        <w:rPr>
          <w:spacing w:val="-5"/>
          <w:sz w:val="21"/>
        </w:rPr>
        <w:t> </w:t>
      </w:r>
      <w:r>
        <w:rPr>
          <w:sz w:val="21"/>
        </w:rPr>
        <w:t>conversations with the legislature on the best path forward for this endeavor.</w:t>
      </w:r>
    </w:p>
    <w:p>
      <w:pPr>
        <w:pStyle w:val="ListParagraph"/>
        <w:numPr>
          <w:ilvl w:val="0"/>
          <w:numId w:val="26"/>
        </w:numPr>
        <w:tabs>
          <w:tab w:pos="462" w:val="left" w:leader="none"/>
        </w:tabs>
        <w:spacing w:line="240" w:lineRule="auto" w:before="239" w:after="0"/>
        <w:ind w:left="462" w:right="0" w:hanging="359"/>
        <w:jc w:val="left"/>
        <w:rPr>
          <w:b/>
          <w:sz w:val="21"/>
        </w:rPr>
      </w:pPr>
      <w:r>
        <w:rPr>
          <w:b/>
          <w:sz w:val="21"/>
        </w:rPr>
        <w:t>Disrupt</w:t>
      </w:r>
      <w:r>
        <w:rPr>
          <w:b/>
          <w:spacing w:val="-6"/>
          <w:sz w:val="21"/>
        </w:rPr>
        <w:t> </w:t>
      </w:r>
      <w:r>
        <w:rPr>
          <w:b/>
          <w:sz w:val="21"/>
        </w:rPr>
        <w:t>the</w:t>
      </w:r>
      <w:r>
        <w:rPr>
          <w:b/>
          <w:spacing w:val="-5"/>
          <w:sz w:val="21"/>
        </w:rPr>
        <w:t> </w:t>
      </w:r>
      <w:r>
        <w:rPr>
          <w:b/>
          <w:sz w:val="21"/>
        </w:rPr>
        <w:t>school-to-prison</w:t>
      </w:r>
      <w:r>
        <w:rPr>
          <w:b/>
          <w:spacing w:val="-4"/>
          <w:sz w:val="21"/>
        </w:rPr>
        <w:t> </w:t>
      </w:r>
      <w:r>
        <w:rPr>
          <w:b/>
          <w:sz w:val="21"/>
        </w:rPr>
        <w:t>pipeline</w:t>
      </w:r>
      <w:r>
        <w:rPr>
          <w:b/>
          <w:spacing w:val="-4"/>
          <w:sz w:val="21"/>
        </w:rPr>
        <w:t> </w:t>
      </w:r>
      <w:r>
        <w:rPr>
          <w:b/>
          <w:sz w:val="21"/>
        </w:rPr>
        <w:t>by</w:t>
      </w:r>
      <w:r>
        <w:rPr>
          <w:b/>
          <w:spacing w:val="-5"/>
          <w:sz w:val="21"/>
        </w:rPr>
        <w:t> </w:t>
      </w:r>
      <w:r>
        <w:rPr>
          <w:b/>
          <w:sz w:val="21"/>
        </w:rPr>
        <w:t>removing</w:t>
      </w:r>
      <w:r>
        <w:rPr>
          <w:b/>
          <w:spacing w:val="-4"/>
          <w:sz w:val="21"/>
        </w:rPr>
        <w:t> </w:t>
      </w:r>
      <w:r>
        <w:rPr>
          <w:b/>
          <w:sz w:val="21"/>
        </w:rPr>
        <w:t>police</w:t>
      </w:r>
      <w:r>
        <w:rPr>
          <w:b/>
          <w:spacing w:val="-4"/>
          <w:sz w:val="21"/>
        </w:rPr>
        <w:t> </w:t>
      </w:r>
      <w:r>
        <w:rPr>
          <w:b/>
          <w:sz w:val="21"/>
        </w:rPr>
        <w:t>from</w:t>
      </w:r>
      <w:r>
        <w:rPr>
          <w:b/>
          <w:spacing w:val="-3"/>
          <w:sz w:val="21"/>
        </w:rPr>
        <w:t> </w:t>
      </w:r>
      <w:r>
        <w:rPr>
          <w:b/>
          <w:spacing w:val="-2"/>
          <w:sz w:val="21"/>
        </w:rPr>
        <w:t>schools.</w:t>
      </w:r>
    </w:p>
    <w:p>
      <w:pPr>
        <w:pStyle w:val="BodyText"/>
        <w:spacing w:before="23"/>
        <w:rPr>
          <w:b/>
          <w:sz w:val="21"/>
        </w:rPr>
      </w:pPr>
    </w:p>
    <w:p>
      <w:pPr>
        <w:spacing w:line="276" w:lineRule="auto" w:before="0"/>
        <w:ind w:left="463" w:right="236" w:firstLine="0"/>
        <w:jc w:val="both"/>
        <w:rPr>
          <w:sz w:val="21"/>
        </w:rPr>
      </w:pPr>
      <w:r>
        <w:rPr>
          <w:sz w:val="21"/>
        </w:rPr>
        <w:t>The</w:t>
      </w:r>
      <w:r>
        <w:rPr>
          <w:spacing w:val="-9"/>
          <w:sz w:val="21"/>
        </w:rPr>
        <w:t> </w:t>
      </w:r>
      <w:r>
        <w:rPr>
          <w:sz w:val="21"/>
        </w:rPr>
        <w:t>Commission</w:t>
      </w:r>
      <w:r>
        <w:rPr>
          <w:spacing w:val="-9"/>
          <w:sz w:val="21"/>
        </w:rPr>
        <w:t> </w:t>
      </w:r>
      <w:r>
        <w:rPr>
          <w:sz w:val="21"/>
        </w:rPr>
        <w:t>continues</w:t>
      </w:r>
      <w:r>
        <w:rPr>
          <w:spacing w:val="-10"/>
          <w:sz w:val="21"/>
        </w:rPr>
        <w:t> </w:t>
      </w:r>
      <w:r>
        <w:rPr>
          <w:sz w:val="21"/>
        </w:rPr>
        <w:t>to</w:t>
      </w:r>
      <w:r>
        <w:rPr>
          <w:spacing w:val="-10"/>
          <w:sz w:val="21"/>
        </w:rPr>
        <w:t> </w:t>
      </w:r>
      <w:r>
        <w:rPr>
          <w:sz w:val="21"/>
        </w:rPr>
        <w:t>support</w:t>
      </w:r>
      <w:r>
        <w:rPr>
          <w:spacing w:val="-10"/>
          <w:sz w:val="21"/>
        </w:rPr>
        <w:t> </w:t>
      </w:r>
      <w:r>
        <w:rPr>
          <w:sz w:val="21"/>
        </w:rPr>
        <w:t>the</w:t>
      </w:r>
      <w:r>
        <w:rPr>
          <w:spacing w:val="-10"/>
          <w:sz w:val="21"/>
        </w:rPr>
        <w:t> </w:t>
      </w:r>
      <w:r>
        <w:rPr>
          <w:sz w:val="21"/>
        </w:rPr>
        <w:t>removal</w:t>
      </w:r>
      <w:r>
        <w:rPr>
          <w:spacing w:val="-9"/>
          <w:sz w:val="21"/>
        </w:rPr>
        <w:t> </w:t>
      </w:r>
      <w:r>
        <w:rPr>
          <w:sz w:val="21"/>
        </w:rPr>
        <w:t>of</w:t>
      </w:r>
      <w:r>
        <w:rPr>
          <w:spacing w:val="-10"/>
          <w:sz w:val="21"/>
        </w:rPr>
        <w:t> </w:t>
      </w:r>
      <w:r>
        <w:rPr>
          <w:sz w:val="21"/>
        </w:rPr>
        <w:t>police</w:t>
      </w:r>
      <w:r>
        <w:rPr>
          <w:spacing w:val="-9"/>
          <w:sz w:val="21"/>
        </w:rPr>
        <w:t> </w:t>
      </w:r>
      <w:r>
        <w:rPr>
          <w:sz w:val="21"/>
        </w:rPr>
        <w:t>officers</w:t>
      </w:r>
      <w:r>
        <w:rPr>
          <w:spacing w:val="-10"/>
          <w:sz w:val="21"/>
        </w:rPr>
        <w:t> </w:t>
      </w:r>
      <w:r>
        <w:rPr>
          <w:sz w:val="21"/>
        </w:rPr>
        <w:t>from</w:t>
      </w:r>
      <w:r>
        <w:rPr>
          <w:spacing w:val="-9"/>
          <w:sz w:val="21"/>
        </w:rPr>
        <w:t> </w:t>
      </w:r>
      <w:r>
        <w:rPr>
          <w:sz w:val="21"/>
        </w:rPr>
        <w:t>schools</w:t>
      </w:r>
      <w:r>
        <w:rPr>
          <w:spacing w:val="-10"/>
          <w:sz w:val="21"/>
        </w:rPr>
        <w:t> </w:t>
      </w:r>
      <w:r>
        <w:rPr>
          <w:sz w:val="21"/>
        </w:rPr>
        <w:t>and</w:t>
      </w:r>
      <w:r>
        <w:rPr>
          <w:spacing w:val="-11"/>
          <w:sz w:val="21"/>
        </w:rPr>
        <w:t> </w:t>
      </w:r>
      <w:r>
        <w:rPr>
          <w:sz w:val="21"/>
        </w:rPr>
        <w:t>recommends</w:t>
      </w:r>
      <w:r>
        <w:rPr>
          <w:spacing w:val="-11"/>
          <w:sz w:val="21"/>
        </w:rPr>
        <w:t> </w:t>
      </w:r>
      <w:r>
        <w:rPr>
          <w:sz w:val="21"/>
        </w:rPr>
        <w:t>that</w:t>
      </w:r>
      <w:r>
        <w:rPr>
          <w:spacing w:val="-10"/>
          <w:sz w:val="21"/>
        </w:rPr>
        <w:t> </w:t>
      </w:r>
      <w:r>
        <w:rPr>
          <w:sz w:val="21"/>
        </w:rPr>
        <w:t>the legislature pass the newly refiled bill, An Act Relative to the Location of School Resource Officers (H.565), which</w:t>
      </w:r>
      <w:r>
        <w:rPr>
          <w:spacing w:val="-1"/>
          <w:sz w:val="21"/>
        </w:rPr>
        <w:t> </w:t>
      </w:r>
      <w:r>
        <w:rPr>
          <w:sz w:val="21"/>
        </w:rPr>
        <w:t>would</w:t>
      </w:r>
      <w:r>
        <w:rPr>
          <w:spacing w:val="-1"/>
          <w:sz w:val="21"/>
        </w:rPr>
        <w:t> </w:t>
      </w:r>
      <w:r>
        <w:rPr>
          <w:sz w:val="21"/>
        </w:rPr>
        <w:t>require</w:t>
      </w:r>
      <w:r>
        <w:rPr>
          <w:spacing w:val="-1"/>
          <w:sz w:val="21"/>
        </w:rPr>
        <w:t> </w:t>
      </w:r>
      <w:r>
        <w:rPr>
          <w:sz w:val="21"/>
        </w:rPr>
        <w:t>that school</w:t>
      </w:r>
      <w:r>
        <w:rPr>
          <w:spacing w:val="-1"/>
          <w:sz w:val="21"/>
        </w:rPr>
        <w:t> </w:t>
      </w:r>
      <w:r>
        <w:rPr>
          <w:sz w:val="21"/>
        </w:rPr>
        <w:t>resource officers</w:t>
      </w:r>
      <w:r>
        <w:rPr>
          <w:spacing w:val="-1"/>
          <w:sz w:val="21"/>
        </w:rPr>
        <w:t> </w:t>
      </w:r>
      <w:r>
        <w:rPr>
          <w:sz w:val="21"/>
        </w:rPr>
        <w:t>be</w:t>
      </w:r>
      <w:r>
        <w:rPr>
          <w:spacing w:val="-1"/>
          <w:sz w:val="21"/>
        </w:rPr>
        <w:t> </w:t>
      </w:r>
      <w:r>
        <w:rPr>
          <w:sz w:val="21"/>
        </w:rPr>
        <w:t>located</w:t>
      </w:r>
      <w:r>
        <w:rPr>
          <w:spacing w:val="-1"/>
          <w:sz w:val="21"/>
        </w:rPr>
        <w:t> </w:t>
      </w:r>
      <w:r>
        <w:rPr>
          <w:sz w:val="21"/>
        </w:rPr>
        <w:t>at police</w:t>
      </w:r>
      <w:r>
        <w:rPr>
          <w:spacing w:val="-2"/>
          <w:sz w:val="21"/>
        </w:rPr>
        <w:t> </w:t>
      </w:r>
      <w:r>
        <w:rPr>
          <w:sz w:val="21"/>
        </w:rPr>
        <w:t>stations</w:t>
      </w:r>
      <w:r>
        <w:rPr>
          <w:spacing w:val="-1"/>
          <w:sz w:val="21"/>
        </w:rPr>
        <w:t> </w:t>
      </w:r>
      <w:r>
        <w:rPr>
          <w:sz w:val="21"/>
        </w:rPr>
        <w:t>and</w:t>
      </w:r>
      <w:r>
        <w:rPr>
          <w:spacing w:val="-1"/>
          <w:sz w:val="21"/>
        </w:rPr>
        <w:t> </w:t>
      </w:r>
      <w:r>
        <w:rPr>
          <w:sz w:val="21"/>
        </w:rPr>
        <w:t>not on</w:t>
      </w:r>
      <w:r>
        <w:rPr>
          <w:spacing w:val="-1"/>
          <w:sz w:val="21"/>
        </w:rPr>
        <w:t> </w:t>
      </w:r>
      <w:r>
        <w:rPr>
          <w:sz w:val="21"/>
        </w:rPr>
        <w:t>school</w:t>
      </w:r>
      <w:r>
        <w:rPr>
          <w:spacing w:val="-1"/>
          <w:sz w:val="21"/>
        </w:rPr>
        <w:t> </w:t>
      </w:r>
      <w:r>
        <w:rPr>
          <w:sz w:val="21"/>
        </w:rPr>
        <w:t>grounds.</w:t>
      </w:r>
    </w:p>
    <w:p>
      <w:pPr>
        <w:spacing w:after="0" w:line="276" w:lineRule="auto"/>
        <w:jc w:val="both"/>
        <w:rPr>
          <w:sz w:val="21"/>
        </w:rPr>
        <w:sectPr>
          <w:pgSz w:w="12240" w:h="15840"/>
          <w:pgMar w:header="763" w:footer="1041" w:top="1360" w:bottom="1240" w:left="1120" w:right="1340"/>
        </w:sectPr>
      </w:pPr>
    </w:p>
    <w:p>
      <w:pPr>
        <w:spacing w:line="276" w:lineRule="auto" w:before="65"/>
        <w:ind w:left="464" w:right="240" w:firstLine="0"/>
        <w:jc w:val="both"/>
        <w:rPr>
          <w:sz w:val="21"/>
        </w:rPr>
      </w:pPr>
      <w:r>
        <w:rPr>
          <w:sz w:val="21"/>
        </w:rPr>
        <w:t>Furthermore, the Commission recommends that schools be mandated to collect SOGIE demographic information</w:t>
      </w:r>
      <w:r>
        <w:rPr>
          <w:spacing w:val="-9"/>
          <w:sz w:val="21"/>
        </w:rPr>
        <w:t> </w:t>
      </w:r>
      <w:r>
        <w:rPr>
          <w:sz w:val="21"/>
        </w:rPr>
        <w:t>on</w:t>
      </w:r>
      <w:r>
        <w:rPr>
          <w:spacing w:val="-9"/>
          <w:sz w:val="21"/>
        </w:rPr>
        <w:t> </w:t>
      </w:r>
      <w:r>
        <w:rPr>
          <w:sz w:val="21"/>
        </w:rPr>
        <w:t>students</w:t>
      </w:r>
      <w:r>
        <w:rPr>
          <w:spacing w:val="-9"/>
          <w:sz w:val="21"/>
        </w:rPr>
        <w:t> </w:t>
      </w:r>
      <w:r>
        <w:rPr>
          <w:sz w:val="21"/>
        </w:rPr>
        <w:t>involved</w:t>
      </w:r>
      <w:r>
        <w:rPr>
          <w:spacing w:val="-9"/>
          <w:sz w:val="21"/>
        </w:rPr>
        <w:t> </w:t>
      </w:r>
      <w:r>
        <w:rPr>
          <w:sz w:val="21"/>
        </w:rPr>
        <w:t>in</w:t>
      </w:r>
      <w:r>
        <w:rPr>
          <w:spacing w:val="-9"/>
          <w:sz w:val="21"/>
        </w:rPr>
        <w:t> </w:t>
      </w:r>
      <w:r>
        <w:rPr>
          <w:sz w:val="21"/>
        </w:rPr>
        <w:t>disciplinary</w:t>
      </w:r>
      <w:r>
        <w:rPr>
          <w:spacing w:val="-9"/>
          <w:sz w:val="21"/>
        </w:rPr>
        <w:t> </w:t>
      </w:r>
      <w:r>
        <w:rPr>
          <w:sz w:val="21"/>
        </w:rPr>
        <w:t>cases.</w:t>
      </w:r>
      <w:r>
        <w:rPr>
          <w:spacing w:val="-9"/>
          <w:sz w:val="21"/>
        </w:rPr>
        <w:t> </w:t>
      </w:r>
      <w:r>
        <w:rPr>
          <w:sz w:val="21"/>
        </w:rPr>
        <w:t>As</w:t>
      </w:r>
      <w:r>
        <w:rPr>
          <w:spacing w:val="-10"/>
          <w:sz w:val="21"/>
        </w:rPr>
        <w:t> </w:t>
      </w:r>
      <w:r>
        <w:rPr>
          <w:sz w:val="21"/>
        </w:rPr>
        <w:t>highlighted</w:t>
      </w:r>
      <w:r>
        <w:rPr>
          <w:spacing w:val="-9"/>
          <w:sz w:val="21"/>
        </w:rPr>
        <w:t> </w:t>
      </w:r>
      <w:r>
        <w:rPr>
          <w:sz w:val="21"/>
        </w:rPr>
        <w:t>throughout</w:t>
      </w:r>
      <w:r>
        <w:rPr>
          <w:spacing w:val="-8"/>
          <w:sz w:val="21"/>
        </w:rPr>
        <w:t> </w:t>
      </w:r>
      <w:r>
        <w:rPr>
          <w:sz w:val="21"/>
        </w:rPr>
        <w:t>this</w:t>
      </w:r>
      <w:r>
        <w:rPr>
          <w:spacing w:val="-10"/>
          <w:sz w:val="21"/>
        </w:rPr>
        <w:t> </w:t>
      </w:r>
      <w:r>
        <w:rPr>
          <w:sz w:val="21"/>
        </w:rPr>
        <w:t>annual</w:t>
      </w:r>
      <w:r>
        <w:rPr>
          <w:spacing w:val="-9"/>
          <w:sz w:val="21"/>
        </w:rPr>
        <w:t> </w:t>
      </w:r>
      <w:r>
        <w:rPr>
          <w:sz w:val="21"/>
        </w:rPr>
        <w:t>report,</w:t>
      </w:r>
      <w:r>
        <w:rPr>
          <w:spacing w:val="-10"/>
          <w:sz w:val="21"/>
        </w:rPr>
        <w:t> </w:t>
      </w:r>
      <w:r>
        <w:rPr>
          <w:sz w:val="21"/>
        </w:rPr>
        <w:t>LGBTQ youth</w:t>
      </w:r>
      <w:r>
        <w:rPr>
          <w:spacing w:val="-1"/>
          <w:sz w:val="21"/>
        </w:rPr>
        <w:t> </w:t>
      </w:r>
      <w:r>
        <w:rPr>
          <w:sz w:val="21"/>
        </w:rPr>
        <w:t>are</w:t>
      </w:r>
      <w:r>
        <w:rPr>
          <w:spacing w:val="-1"/>
          <w:sz w:val="21"/>
        </w:rPr>
        <w:t> </w:t>
      </w:r>
      <w:r>
        <w:rPr>
          <w:sz w:val="21"/>
        </w:rPr>
        <w:t>more</w:t>
      </w:r>
      <w:r>
        <w:rPr>
          <w:spacing w:val="-1"/>
          <w:sz w:val="21"/>
        </w:rPr>
        <w:t> </w:t>
      </w:r>
      <w:r>
        <w:rPr>
          <w:sz w:val="21"/>
        </w:rPr>
        <w:t>likely</w:t>
      </w:r>
      <w:r>
        <w:rPr>
          <w:spacing w:val="-1"/>
          <w:sz w:val="21"/>
        </w:rPr>
        <w:t> </w:t>
      </w:r>
      <w:r>
        <w:rPr>
          <w:sz w:val="21"/>
        </w:rPr>
        <w:t>to</w:t>
      </w:r>
      <w:r>
        <w:rPr>
          <w:spacing w:val="-1"/>
          <w:sz w:val="21"/>
        </w:rPr>
        <w:t> </w:t>
      </w:r>
      <w:r>
        <w:rPr>
          <w:sz w:val="21"/>
        </w:rPr>
        <w:t>be</w:t>
      </w:r>
      <w:r>
        <w:rPr>
          <w:spacing w:val="-2"/>
          <w:sz w:val="21"/>
        </w:rPr>
        <w:t> </w:t>
      </w:r>
      <w:r>
        <w:rPr>
          <w:sz w:val="21"/>
        </w:rPr>
        <w:t>victims</w:t>
      </w:r>
      <w:r>
        <w:rPr>
          <w:spacing w:val="-1"/>
          <w:sz w:val="21"/>
        </w:rPr>
        <w:t> </w:t>
      </w:r>
      <w:r>
        <w:rPr>
          <w:sz w:val="21"/>
        </w:rPr>
        <w:t>of</w:t>
      </w:r>
      <w:r>
        <w:rPr>
          <w:spacing w:val="-1"/>
          <w:sz w:val="21"/>
        </w:rPr>
        <w:t> </w:t>
      </w:r>
      <w:r>
        <w:rPr>
          <w:sz w:val="21"/>
        </w:rPr>
        <w:t>bullying, and</w:t>
      </w:r>
      <w:r>
        <w:rPr>
          <w:spacing w:val="-1"/>
          <w:sz w:val="21"/>
        </w:rPr>
        <w:t> </w:t>
      </w:r>
      <w:r>
        <w:rPr>
          <w:sz w:val="21"/>
        </w:rPr>
        <w:t>thus</w:t>
      </w:r>
      <w:r>
        <w:rPr>
          <w:spacing w:val="-3"/>
          <w:sz w:val="21"/>
        </w:rPr>
        <w:t> </w:t>
      </w:r>
      <w:r>
        <w:rPr>
          <w:sz w:val="21"/>
        </w:rPr>
        <w:t>more</w:t>
      </w:r>
      <w:r>
        <w:rPr>
          <w:spacing w:val="-1"/>
          <w:sz w:val="21"/>
        </w:rPr>
        <w:t> </w:t>
      </w:r>
      <w:r>
        <w:rPr>
          <w:sz w:val="21"/>
        </w:rPr>
        <w:t>likely</w:t>
      </w:r>
      <w:r>
        <w:rPr>
          <w:spacing w:val="-1"/>
          <w:sz w:val="21"/>
        </w:rPr>
        <w:t> </w:t>
      </w:r>
      <w:r>
        <w:rPr>
          <w:sz w:val="21"/>
        </w:rPr>
        <w:t>to</w:t>
      </w:r>
      <w:r>
        <w:rPr>
          <w:spacing w:val="-2"/>
          <w:sz w:val="21"/>
        </w:rPr>
        <w:t> </w:t>
      </w:r>
      <w:r>
        <w:rPr>
          <w:sz w:val="21"/>
        </w:rPr>
        <w:t>be</w:t>
      </w:r>
      <w:r>
        <w:rPr>
          <w:spacing w:val="-1"/>
          <w:sz w:val="21"/>
        </w:rPr>
        <w:t> </w:t>
      </w:r>
      <w:r>
        <w:rPr>
          <w:sz w:val="21"/>
        </w:rPr>
        <w:t>involved</w:t>
      </w:r>
      <w:r>
        <w:rPr>
          <w:spacing w:val="-1"/>
          <w:sz w:val="21"/>
        </w:rPr>
        <w:t> </w:t>
      </w:r>
      <w:r>
        <w:rPr>
          <w:sz w:val="21"/>
        </w:rPr>
        <w:t>in</w:t>
      </w:r>
      <w:r>
        <w:rPr>
          <w:spacing w:val="-1"/>
          <w:sz w:val="21"/>
        </w:rPr>
        <w:t> </w:t>
      </w:r>
      <w:r>
        <w:rPr>
          <w:sz w:val="21"/>
        </w:rPr>
        <w:t>a</w:t>
      </w:r>
      <w:r>
        <w:rPr>
          <w:spacing w:val="-1"/>
          <w:sz w:val="21"/>
        </w:rPr>
        <w:t> </w:t>
      </w:r>
      <w:r>
        <w:rPr>
          <w:sz w:val="21"/>
        </w:rPr>
        <w:t>disciplinary</w:t>
      </w:r>
      <w:r>
        <w:rPr>
          <w:spacing w:val="-1"/>
          <w:sz w:val="21"/>
        </w:rPr>
        <w:t> </w:t>
      </w:r>
      <w:r>
        <w:rPr>
          <w:sz w:val="21"/>
        </w:rPr>
        <w:t>process that can sometimes lead to the victims being punished more than the perpetrator.</w:t>
      </w:r>
    </w:p>
    <w:p>
      <w:pPr>
        <w:pStyle w:val="ListParagraph"/>
        <w:numPr>
          <w:ilvl w:val="0"/>
          <w:numId w:val="26"/>
        </w:numPr>
        <w:tabs>
          <w:tab w:pos="463" w:val="left" w:leader="none"/>
        </w:tabs>
        <w:spacing w:line="276" w:lineRule="auto" w:before="240" w:after="0"/>
        <w:ind w:left="463" w:right="240" w:hanging="360"/>
        <w:jc w:val="left"/>
        <w:rPr>
          <w:b/>
          <w:sz w:val="21"/>
        </w:rPr>
      </w:pPr>
      <w:r>
        <w:rPr>
          <w:b/>
          <w:sz w:val="21"/>
        </w:rPr>
        <w:t>Limit</w:t>
      </w:r>
      <w:r>
        <w:rPr>
          <w:b/>
          <w:spacing w:val="31"/>
          <w:sz w:val="21"/>
        </w:rPr>
        <w:t> </w:t>
      </w:r>
      <w:r>
        <w:rPr>
          <w:b/>
          <w:sz w:val="21"/>
        </w:rPr>
        <w:t>the</w:t>
      </w:r>
      <w:r>
        <w:rPr>
          <w:b/>
          <w:spacing w:val="30"/>
          <w:sz w:val="21"/>
        </w:rPr>
        <w:t> </w:t>
      </w:r>
      <w:r>
        <w:rPr>
          <w:b/>
          <w:sz w:val="21"/>
        </w:rPr>
        <w:t>use</w:t>
      </w:r>
      <w:r>
        <w:rPr>
          <w:b/>
          <w:spacing w:val="29"/>
          <w:sz w:val="21"/>
        </w:rPr>
        <w:t> </w:t>
      </w:r>
      <w:r>
        <w:rPr>
          <w:b/>
          <w:sz w:val="21"/>
        </w:rPr>
        <w:t>of</w:t>
      </w:r>
      <w:r>
        <w:rPr>
          <w:b/>
          <w:spacing w:val="30"/>
          <w:sz w:val="21"/>
        </w:rPr>
        <w:t> </w:t>
      </w:r>
      <w:r>
        <w:rPr>
          <w:b/>
          <w:sz w:val="21"/>
        </w:rPr>
        <w:t>force</w:t>
      </w:r>
      <w:r>
        <w:rPr>
          <w:b/>
          <w:spacing w:val="30"/>
          <w:sz w:val="21"/>
        </w:rPr>
        <w:t> </w:t>
      </w:r>
      <w:r>
        <w:rPr>
          <w:b/>
          <w:sz w:val="21"/>
        </w:rPr>
        <w:t>by</w:t>
      </w:r>
      <w:r>
        <w:rPr>
          <w:b/>
          <w:spacing w:val="30"/>
          <w:sz w:val="21"/>
        </w:rPr>
        <w:t> </w:t>
      </w:r>
      <w:r>
        <w:rPr>
          <w:b/>
          <w:sz w:val="21"/>
        </w:rPr>
        <w:t>law</w:t>
      </w:r>
      <w:r>
        <w:rPr>
          <w:b/>
          <w:spacing w:val="30"/>
          <w:sz w:val="21"/>
        </w:rPr>
        <w:t> </w:t>
      </w:r>
      <w:r>
        <w:rPr>
          <w:b/>
          <w:sz w:val="21"/>
        </w:rPr>
        <w:t>enforcement</w:t>
      </w:r>
      <w:r>
        <w:rPr>
          <w:b/>
          <w:spacing w:val="31"/>
          <w:sz w:val="21"/>
        </w:rPr>
        <w:t> </w:t>
      </w:r>
      <w:r>
        <w:rPr>
          <w:b/>
          <w:sz w:val="21"/>
        </w:rPr>
        <w:t>and</w:t>
      </w:r>
      <w:r>
        <w:rPr>
          <w:b/>
          <w:spacing w:val="30"/>
          <w:sz w:val="21"/>
        </w:rPr>
        <w:t> </w:t>
      </w:r>
      <w:r>
        <w:rPr>
          <w:b/>
          <w:sz w:val="21"/>
        </w:rPr>
        <w:t>correctional</w:t>
      </w:r>
      <w:r>
        <w:rPr>
          <w:b/>
          <w:spacing w:val="30"/>
          <w:sz w:val="21"/>
        </w:rPr>
        <w:t> </w:t>
      </w:r>
      <w:r>
        <w:rPr>
          <w:b/>
          <w:sz w:val="21"/>
        </w:rPr>
        <w:t>officers</w:t>
      </w:r>
      <w:r>
        <w:rPr>
          <w:b/>
          <w:spacing w:val="30"/>
          <w:sz w:val="21"/>
        </w:rPr>
        <w:t> </w:t>
      </w:r>
      <w:r>
        <w:rPr>
          <w:b/>
          <w:sz w:val="21"/>
        </w:rPr>
        <w:t>and</w:t>
      </w:r>
      <w:r>
        <w:rPr>
          <w:b/>
          <w:spacing w:val="30"/>
          <w:sz w:val="21"/>
        </w:rPr>
        <w:t> </w:t>
      </w:r>
      <w:r>
        <w:rPr>
          <w:b/>
          <w:sz w:val="21"/>
        </w:rPr>
        <w:t>establish</w:t>
      </w:r>
      <w:r>
        <w:rPr>
          <w:b/>
          <w:spacing w:val="30"/>
          <w:sz w:val="21"/>
        </w:rPr>
        <w:t> </w:t>
      </w:r>
      <w:r>
        <w:rPr>
          <w:b/>
          <w:sz w:val="21"/>
        </w:rPr>
        <w:t>community-based response systems to reduce police intervention.</w:t>
      </w:r>
    </w:p>
    <w:p>
      <w:pPr>
        <w:spacing w:line="276" w:lineRule="auto" w:before="240"/>
        <w:ind w:left="464" w:right="238" w:firstLine="0"/>
        <w:jc w:val="both"/>
        <w:rPr>
          <w:sz w:val="21"/>
        </w:rPr>
      </w:pPr>
      <w:r>
        <w:rPr>
          <w:sz w:val="21"/>
        </w:rPr>
        <w:t>In 2020, Massachusetts passed several police reform bills following the murders of George Floyd and Breonna Taylor at the hands of police, as well as countless other instances of police brutality. Since 2020, there</w:t>
      </w:r>
      <w:r>
        <w:rPr>
          <w:spacing w:val="-8"/>
          <w:sz w:val="21"/>
        </w:rPr>
        <w:t> </w:t>
      </w:r>
      <w:r>
        <w:rPr>
          <w:sz w:val="21"/>
        </w:rPr>
        <w:t>has</w:t>
      </w:r>
      <w:r>
        <w:rPr>
          <w:spacing w:val="-8"/>
          <w:sz w:val="21"/>
        </w:rPr>
        <w:t> </w:t>
      </w:r>
      <w:r>
        <w:rPr>
          <w:sz w:val="21"/>
        </w:rPr>
        <w:t>been</w:t>
      </w:r>
      <w:r>
        <w:rPr>
          <w:spacing w:val="-8"/>
          <w:sz w:val="21"/>
        </w:rPr>
        <w:t> </w:t>
      </w:r>
      <w:r>
        <w:rPr>
          <w:sz w:val="21"/>
        </w:rPr>
        <w:t>no</w:t>
      </w:r>
      <w:r>
        <w:rPr>
          <w:spacing w:val="-8"/>
          <w:sz w:val="21"/>
        </w:rPr>
        <w:t> </w:t>
      </w:r>
      <w:r>
        <w:rPr>
          <w:sz w:val="21"/>
        </w:rPr>
        <w:t>further</w:t>
      </w:r>
      <w:r>
        <w:rPr>
          <w:spacing w:val="-9"/>
          <w:sz w:val="21"/>
        </w:rPr>
        <w:t> </w:t>
      </w:r>
      <w:r>
        <w:rPr>
          <w:sz w:val="21"/>
        </w:rPr>
        <w:t>major</w:t>
      </w:r>
      <w:r>
        <w:rPr>
          <w:spacing w:val="-8"/>
          <w:sz w:val="21"/>
        </w:rPr>
        <w:t> </w:t>
      </w:r>
      <w:r>
        <w:rPr>
          <w:sz w:val="21"/>
        </w:rPr>
        <w:t>evolutions</w:t>
      </w:r>
      <w:r>
        <w:rPr>
          <w:spacing w:val="-8"/>
          <w:sz w:val="21"/>
        </w:rPr>
        <w:t> </w:t>
      </w:r>
      <w:r>
        <w:rPr>
          <w:sz w:val="21"/>
        </w:rPr>
        <w:t>in</w:t>
      </w:r>
      <w:r>
        <w:rPr>
          <w:spacing w:val="-8"/>
          <w:sz w:val="21"/>
        </w:rPr>
        <w:t> </w:t>
      </w:r>
      <w:r>
        <w:rPr>
          <w:sz w:val="21"/>
        </w:rPr>
        <w:t>Massachusetts</w:t>
      </w:r>
      <w:r>
        <w:rPr>
          <w:spacing w:val="-8"/>
          <w:sz w:val="21"/>
        </w:rPr>
        <w:t> </w:t>
      </w:r>
      <w:r>
        <w:rPr>
          <w:sz w:val="21"/>
        </w:rPr>
        <w:t>law,</w:t>
      </w:r>
      <w:r>
        <w:rPr>
          <w:spacing w:val="-8"/>
          <w:sz w:val="21"/>
        </w:rPr>
        <w:t> </w:t>
      </w:r>
      <w:r>
        <w:rPr>
          <w:sz w:val="21"/>
        </w:rPr>
        <w:t>and</w:t>
      </w:r>
      <w:r>
        <w:rPr>
          <w:spacing w:val="-8"/>
          <w:sz w:val="21"/>
        </w:rPr>
        <w:t> </w:t>
      </w:r>
      <w:r>
        <w:rPr>
          <w:sz w:val="21"/>
        </w:rPr>
        <w:t>the</w:t>
      </w:r>
      <w:r>
        <w:rPr>
          <w:spacing w:val="-9"/>
          <w:sz w:val="21"/>
        </w:rPr>
        <w:t> </w:t>
      </w:r>
      <w:r>
        <w:rPr>
          <w:sz w:val="21"/>
        </w:rPr>
        <w:t>2020</w:t>
      </w:r>
      <w:r>
        <w:rPr>
          <w:spacing w:val="-9"/>
          <w:sz w:val="21"/>
        </w:rPr>
        <w:t> </w:t>
      </w:r>
      <w:r>
        <w:rPr>
          <w:sz w:val="21"/>
        </w:rPr>
        <w:t>reforms</w:t>
      </w:r>
      <w:r>
        <w:rPr>
          <w:spacing w:val="-8"/>
          <w:sz w:val="21"/>
        </w:rPr>
        <w:t> </w:t>
      </w:r>
      <w:r>
        <w:rPr>
          <w:sz w:val="21"/>
        </w:rPr>
        <w:t>fell</w:t>
      </w:r>
      <w:r>
        <w:rPr>
          <w:spacing w:val="-7"/>
          <w:sz w:val="21"/>
        </w:rPr>
        <w:t> </w:t>
      </w:r>
      <w:r>
        <w:rPr>
          <w:sz w:val="21"/>
        </w:rPr>
        <w:t>short</w:t>
      </w:r>
      <w:r>
        <w:rPr>
          <w:spacing w:val="-7"/>
          <w:sz w:val="21"/>
        </w:rPr>
        <w:t> </w:t>
      </w:r>
      <w:r>
        <w:rPr>
          <w:sz w:val="21"/>
        </w:rPr>
        <w:t>in</w:t>
      </w:r>
      <w:r>
        <w:rPr>
          <w:spacing w:val="-8"/>
          <w:sz w:val="21"/>
        </w:rPr>
        <w:t> </w:t>
      </w:r>
      <w:r>
        <w:rPr>
          <w:sz w:val="21"/>
        </w:rPr>
        <w:t>several areas, including: failing to (1) restrict the government’s use of dangerous, racially-biased and transphobic facial surveillance technology; (2) abolish or meaningfully roll back qualified immunity for police officers, which shields police from liability for violating the rights of an individual; (3) establish clear definitions of police</w:t>
      </w:r>
      <w:r>
        <w:rPr>
          <w:spacing w:val="-11"/>
          <w:sz w:val="21"/>
        </w:rPr>
        <w:t> </w:t>
      </w:r>
      <w:r>
        <w:rPr>
          <w:sz w:val="21"/>
        </w:rPr>
        <w:t>use</w:t>
      </w:r>
      <w:r>
        <w:rPr>
          <w:spacing w:val="-11"/>
          <w:sz w:val="21"/>
        </w:rPr>
        <w:t> </w:t>
      </w:r>
      <w:r>
        <w:rPr>
          <w:sz w:val="21"/>
        </w:rPr>
        <w:t>of</w:t>
      </w:r>
      <w:r>
        <w:rPr>
          <w:spacing w:val="-12"/>
          <w:sz w:val="21"/>
        </w:rPr>
        <w:t> </w:t>
      </w:r>
      <w:r>
        <w:rPr>
          <w:sz w:val="21"/>
        </w:rPr>
        <w:t>force,</w:t>
      </w:r>
      <w:r>
        <w:rPr>
          <w:spacing w:val="-10"/>
          <w:sz w:val="21"/>
        </w:rPr>
        <w:t> </w:t>
      </w:r>
      <w:r>
        <w:rPr>
          <w:sz w:val="21"/>
        </w:rPr>
        <w:t>the</w:t>
      </w:r>
      <w:r>
        <w:rPr>
          <w:spacing w:val="-12"/>
          <w:sz w:val="21"/>
        </w:rPr>
        <w:t> </w:t>
      </w:r>
      <w:r>
        <w:rPr>
          <w:sz w:val="21"/>
        </w:rPr>
        <w:t>failure</w:t>
      </w:r>
      <w:r>
        <w:rPr>
          <w:spacing w:val="-10"/>
          <w:sz w:val="21"/>
        </w:rPr>
        <w:t> </w:t>
      </w:r>
      <w:r>
        <w:rPr>
          <w:sz w:val="21"/>
        </w:rPr>
        <w:t>of</w:t>
      </w:r>
      <w:r>
        <w:rPr>
          <w:spacing w:val="-12"/>
          <w:sz w:val="21"/>
        </w:rPr>
        <w:t> </w:t>
      </w:r>
      <w:r>
        <w:rPr>
          <w:sz w:val="21"/>
        </w:rPr>
        <w:t>which</w:t>
      </w:r>
      <w:r>
        <w:rPr>
          <w:spacing w:val="-10"/>
          <w:sz w:val="21"/>
        </w:rPr>
        <w:t> </w:t>
      </w:r>
      <w:r>
        <w:rPr>
          <w:sz w:val="21"/>
        </w:rPr>
        <w:t>leaves</w:t>
      </w:r>
      <w:r>
        <w:rPr>
          <w:spacing w:val="-12"/>
          <w:sz w:val="21"/>
        </w:rPr>
        <w:t> </w:t>
      </w:r>
      <w:r>
        <w:rPr>
          <w:sz w:val="21"/>
        </w:rPr>
        <w:t>the</w:t>
      </w:r>
      <w:r>
        <w:rPr>
          <w:spacing w:val="-12"/>
          <w:sz w:val="21"/>
        </w:rPr>
        <w:t> </w:t>
      </w:r>
      <w:r>
        <w:rPr>
          <w:sz w:val="21"/>
        </w:rPr>
        <w:t>appropriate</w:t>
      </w:r>
      <w:r>
        <w:rPr>
          <w:spacing w:val="-10"/>
          <w:sz w:val="21"/>
        </w:rPr>
        <w:t> </w:t>
      </w:r>
      <w:r>
        <w:rPr>
          <w:sz w:val="21"/>
        </w:rPr>
        <w:t>standard</w:t>
      </w:r>
      <w:r>
        <w:rPr>
          <w:spacing w:val="-11"/>
          <w:sz w:val="21"/>
        </w:rPr>
        <w:t> </w:t>
      </w:r>
      <w:r>
        <w:rPr>
          <w:sz w:val="21"/>
        </w:rPr>
        <w:t>for</w:t>
      </w:r>
      <w:r>
        <w:rPr>
          <w:spacing w:val="-11"/>
          <w:sz w:val="21"/>
        </w:rPr>
        <w:t> </w:t>
      </w:r>
      <w:r>
        <w:rPr>
          <w:sz w:val="21"/>
        </w:rPr>
        <w:t>police</w:t>
      </w:r>
      <w:r>
        <w:rPr>
          <w:spacing w:val="-12"/>
          <w:sz w:val="21"/>
        </w:rPr>
        <w:t> </w:t>
      </w:r>
      <w:r>
        <w:rPr>
          <w:sz w:val="21"/>
        </w:rPr>
        <w:t>use</w:t>
      </w:r>
      <w:r>
        <w:rPr>
          <w:spacing w:val="-10"/>
          <w:sz w:val="21"/>
        </w:rPr>
        <w:t> </w:t>
      </w:r>
      <w:r>
        <w:rPr>
          <w:sz w:val="21"/>
        </w:rPr>
        <w:t>of</w:t>
      </w:r>
      <w:r>
        <w:rPr>
          <w:spacing w:val="-12"/>
          <w:sz w:val="21"/>
        </w:rPr>
        <w:t> </w:t>
      </w:r>
      <w:r>
        <w:rPr>
          <w:sz w:val="21"/>
        </w:rPr>
        <w:t>physical</w:t>
      </w:r>
      <w:r>
        <w:rPr>
          <w:spacing w:val="-10"/>
          <w:sz w:val="21"/>
        </w:rPr>
        <w:t> </w:t>
      </w:r>
      <w:r>
        <w:rPr>
          <w:sz w:val="21"/>
        </w:rPr>
        <w:t>force</w:t>
      </w:r>
      <w:r>
        <w:rPr>
          <w:spacing w:val="-11"/>
          <w:sz w:val="21"/>
        </w:rPr>
        <w:t> </w:t>
      </w:r>
      <w:r>
        <w:rPr>
          <w:sz w:val="21"/>
        </w:rPr>
        <w:t>open to</w:t>
      </w:r>
      <w:r>
        <w:rPr>
          <w:spacing w:val="-3"/>
          <w:sz w:val="21"/>
        </w:rPr>
        <w:t> </w:t>
      </w:r>
      <w:r>
        <w:rPr>
          <w:sz w:val="21"/>
        </w:rPr>
        <w:t>subjective</w:t>
      </w:r>
      <w:r>
        <w:rPr>
          <w:spacing w:val="-3"/>
          <w:sz w:val="21"/>
        </w:rPr>
        <w:t> </w:t>
      </w:r>
      <w:r>
        <w:rPr>
          <w:sz w:val="21"/>
        </w:rPr>
        <w:t>interpretation;</w:t>
      </w:r>
      <w:r>
        <w:rPr>
          <w:spacing w:val="-3"/>
          <w:sz w:val="21"/>
        </w:rPr>
        <w:t> </w:t>
      </w:r>
      <w:r>
        <w:rPr>
          <w:sz w:val="21"/>
        </w:rPr>
        <w:t>and</w:t>
      </w:r>
      <w:r>
        <w:rPr>
          <w:spacing w:val="-3"/>
          <w:sz w:val="21"/>
        </w:rPr>
        <w:t> </w:t>
      </w:r>
      <w:r>
        <w:rPr>
          <w:sz w:val="21"/>
        </w:rPr>
        <w:t>(4)</w:t>
      </w:r>
      <w:r>
        <w:rPr>
          <w:spacing w:val="-3"/>
          <w:sz w:val="21"/>
        </w:rPr>
        <w:t> </w:t>
      </w:r>
      <w:r>
        <w:rPr>
          <w:sz w:val="21"/>
        </w:rPr>
        <w:t>require</w:t>
      </w:r>
      <w:r>
        <w:rPr>
          <w:spacing w:val="-3"/>
          <w:sz w:val="21"/>
        </w:rPr>
        <w:t> </w:t>
      </w:r>
      <w:r>
        <w:rPr>
          <w:sz w:val="21"/>
        </w:rPr>
        <w:t>local</w:t>
      </w:r>
      <w:r>
        <w:rPr>
          <w:spacing w:val="-3"/>
          <w:sz w:val="21"/>
        </w:rPr>
        <w:t> </w:t>
      </w:r>
      <w:r>
        <w:rPr>
          <w:sz w:val="21"/>
        </w:rPr>
        <w:t>elected</w:t>
      </w:r>
      <w:r>
        <w:rPr>
          <w:spacing w:val="-3"/>
          <w:sz w:val="21"/>
        </w:rPr>
        <w:t> </w:t>
      </w:r>
      <w:r>
        <w:rPr>
          <w:sz w:val="21"/>
        </w:rPr>
        <w:t>government</w:t>
      </w:r>
      <w:r>
        <w:rPr>
          <w:spacing w:val="-3"/>
          <w:sz w:val="21"/>
        </w:rPr>
        <w:t> </w:t>
      </w:r>
      <w:r>
        <w:rPr>
          <w:sz w:val="21"/>
        </w:rPr>
        <w:t>bodies,</w:t>
      </w:r>
      <w:r>
        <w:rPr>
          <w:spacing w:val="-3"/>
          <w:sz w:val="21"/>
        </w:rPr>
        <w:t> </w:t>
      </w:r>
      <w:r>
        <w:rPr>
          <w:sz w:val="21"/>
        </w:rPr>
        <w:t>like</w:t>
      </w:r>
      <w:r>
        <w:rPr>
          <w:spacing w:val="-3"/>
          <w:sz w:val="21"/>
        </w:rPr>
        <w:t> </w:t>
      </w:r>
      <w:r>
        <w:rPr>
          <w:sz w:val="21"/>
        </w:rPr>
        <w:t>city</w:t>
      </w:r>
      <w:r>
        <w:rPr>
          <w:spacing w:val="-3"/>
          <w:sz w:val="21"/>
        </w:rPr>
        <w:t> </w:t>
      </w:r>
      <w:r>
        <w:rPr>
          <w:sz w:val="21"/>
        </w:rPr>
        <w:t>councils,</w:t>
      </w:r>
      <w:r>
        <w:rPr>
          <w:spacing w:val="-2"/>
          <w:sz w:val="21"/>
        </w:rPr>
        <w:t> </w:t>
      </w:r>
      <w:r>
        <w:rPr>
          <w:sz w:val="21"/>
        </w:rPr>
        <w:t>to</w:t>
      </w:r>
      <w:r>
        <w:rPr>
          <w:spacing w:val="-3"/>
          <w:sz w:val="21"/>
        </w:rPr>
        <w:t> </w:t>
      </w:r>
      <w:r>
        <w:rPr>
          <w:sz w:val="21"/>
        </w:rPr>
        <w:t>approve any</w:t>
      </w:r>
      <w:r>
        <w:rPr>
          <w:spacing w:val="-6"/>
          <w:sz w:val="21"/>
        </w:rPr>
        <w:t> </w:t>
      </w:r>
      <w:r>
        <w:rPr>
          <w:sz w:val="21"/>
        </w:rPr>
        <w:t>transfers</w:t>
      </w:r>
      <w:r>
        <w:rPr>
          <w:spacing w:val="-6"/>
          <w:sz w:val="21"/>
        </w:rPr>
        <w:t> </w:t>
      </w:r>
      <w:r>
        <w:rPr>
          <w:sz w:val="21"/>
        </w:rPr>
        <w:t>to</w:t>
      </w:r>
      <w:r>
        <w:rPr>
          <w:spacing w:val="-6"/>
          <w:sz w:val="21"/>
        </w:rPr>
        <w:t> </w:t>
      </w:r>
      <w:r>
        <w:rPr>
          <w:sz w:val="21"/>
        </w:rPr>
        <w:t>military</w:t>
      </w:r>
      <w:r>
        <w:rPr>
          <w:spacing w:val="-6"/>
          <w:sz w:val="21"/>
        </w:rPr>
        <w:t> </w:t>
      </w:r>
      <w:r>
        <w:rPr>
          <w:sz w:val="21"/>
        </w:rPr>
        <w:t>equipment</w:t>
      </w:r>
      <w:r>
        <w:rPr>
          <w:spacing w:val="-6"/>
          <w:sz w:val="21"/>
        </w:rPr>
        <w:t> </w:t>
      </w:r>
      <w:r>
        <w:rPr>
          <w:sz w:val="21"/>
        </w:rPr>
        <w:t>to</w:t>
      </w:r>
      <w:r>
        <w:rPr>
          <w:spacing w:val="-6"/>
          <w:sz w:val="21"/>
        </w:rPr>
        <w:t> </w:t>
      </w:r>
      <w:r>
        <w:rPr>
          <w:sz w:val="21"/>
        </w:rPr>
        <w:t>their</w:t>
      </w:r>
      <w:r>
        <w:rPr>
          <w:spacing w:val="-6"/>
          <w:sz w:val="21"/>
        </w:rPr>
        <w:t> </w:t>
      </w:r>
      <w:r>
        <w:rPr>
          <w:sz w:val="21"/>
        </w:rPr>
        <w:t>local</w:t>
      </w:r>
      <w:r>
        <w:rPr>
          <w:spacing w:val="-6"/>
          <w:sz w:val="21"/>
        </w:rPr>
        <w:t> </w:t>
      </w:r>
      <w:r>
        <w:rPr>
          <w:sz w:val="21"/>
        </w:rPr>
        <w:t>police</w:t>
      </w:r>
      <w:r>
        <w:rPr>
          <w:spacing w:val="-6"/>
          <w:sz w:val="21"/>
        </w:rPr>
        <w:t> </w:t>
      </w:r>
      <w:r>
        <w:rPr>
          <w:sz w:val="21"/>
        </w:rPr>
        <w:t>department.</w:t>
      </w:r>
      <w:r>
        <w:rPr>
          <w:spacing w:val="-6"/>
          <w:sz w:val="21"/>
        </w:rPr>
        <w:t> </w:t>
      </w:r>
      <w:r>
        <w:rPr>
          <w:sz w:val="21"/>
        </w:rPr>
        <w:t>In</w:t>
      </w:r>
      <w:r>
        <w:rPr>
          <w:spacing w:val="-8"/>
          <w:sz w:val="21"/>
        </w:rPr>
        <w:t> </w:t>
      </w:r>
      <w:r>
        <w:rPr>
          <w:sz w:val="21"/>
        </w:rPr>
        <w:t>particular,</w:t>
      </w:r>
      <w:r>
        <w:rPr>
          <w:spacing w:val="-6"/>
          <w:sz w:val="21"/>
        </w:rPr>
        <w:t> </w:t>
      </w:r>
      <w:r>
        <w:rPr>
          <w:sz w:val="21"/>
        </w:rPr>
        <w:t>the</w:t>
      </w:r>
      <w:r>
        <w:rPr>
          <w:spacing w:val="-7"/>
          <w:sz w:val="21"/>
        </w:rPr>
        <w:t> </w:t>
      </w:r>
      <w:r>
        <w:rPr>
          <w:sz w:val="21"/>
        </w:rPr>
        <w:t>Commission</w:t>
      </w:r>
      <w:r>
        <w:rPr>
          <w:spacing w:val="-6"/>
          <w:sz w:val="21"/>
        </w:rPr>
        <w:t> </w:t>
      </w:r>
      <w:r>
        <w:rPr>
          <w:sz w:val="21"/>
        </w:rPr>
        <w:t>strongly recommends that the State examine all local practices and policies as it relates to police responses to emergency calls to ensure that youth are protected from violence and discrimination when in crisis.</w:t>
      </w:r>
    </w:p>
    <w:p>
      <w:pPr>
        <w:spacing w:line="276" w:lineRule="auto" w:before="240"/>
        <w:ind w:left="464" w:right="242" w:firstLine="0"/>
        <w:jc w:val="both"/>
        <w:rPr>
          <w:sz w:val="21"/>
        </w:rPr>
      </w:pPr>
      <w:r>
        <w:rPr>
          <w:sz w:val="21"/>
        </w:rPr>
        <w:t>The Commission further recommends that Massachusetts ban the use of facial surveillance technology, such as suggested in An Act to Implement the Recommendations of the Special Commission on Facial Recognition</w:t>
      </w:r>
      <w:r>
        <w:rPr>
          <w:spacing w:val="-12"/>
          <w:sz w:val="21"/>
        </w:rPr>
        <w:t> </w:t>
      </w:r>
      <w:r>
        <w:rPr>
          <w:sz w:val="21"/>
        </w:rPr>
        <w:t>Technology</w:t>
      </w:r>
      <w:r>
        <w:rPr>
          <w:spacing w:val="-11"/>
          <w:sz w:val="21"/>
        </w:rPr>
        <w:t> </w:t>
      </w:r>
      <w:r>
        <w:rPr>
          <w:sz w:val="21"/>
        </w:rPr>
        <w:t>(S.927/H.1728).</w:t>
      </w:r>
      <w:r>
        <w:rPr>
          <w:spacing w:val="-12"/>
          <w:sz w:val="21"/>
        </w:rPr>
        <w:t> </w:t>
      </w:r>
      <w:r>
        <w:rPr>
          <w:sz w:val="21"/>
        </w:rPr>
        <w:t>As</w:t>
      </w:r>
      <w:r>
        <w:rPr>
          <w:spacing w:val="-12"/>
          <w:sz w:val="21"/>
        </w:rPr>
        <w:t> </w:t>
      </w:r>
      <w:r>
        <w:rPr>
          <w:sz w:val="21"/>
        </w:rPr>
        <w:t>discussed</w:t>
      </w:r>
      <w:r>
        <w:rPr>
          <w:spacing w:val="-11"/>
          <w:sz w:val="21"/>
        </w:rPr>
        <w:t> </w:t>
      </w:r>
      <w:r>
        <w:rPr>
          <w:sz w:val="21"/>
        </w:rPr>
        <w:t>below,</w:t>
      </w:r>
      <w:r>
        <w:rPr>
          <w:spacing w:val="-11"/>
          <w:sz w:val="21"/>
        </w:rPr>
        <w:t> </w:t>
      </w:r>
      <w:r>
        <w:rPr>
          <w:sz w:val="21"/>
        </w:rPr>
        <w:t>facial</w:t>
      </w:r>
      <w:r>
        <w:rPr>
          <w:spacing w:val="-11"/>
          <w:sz w:val="21"/>
        </w:rPr>
        <w:t> </w:t>
      </w:r>
      <w:r>
        <w:rPr>
          <w:sz w:val="21"/>
        </w:rPr>
        <w:t>surveillance</w:t>
      </w:r>
      <w:r>
        <w:rPr>
          <w:spacing w:val="-11"/>
          <w:sz w:val="21"/>
        </w:rPr>
        <w:t> </w:t>
      </w:r>
      <w:r>
        <w:rPr>
          <w:sz w:val="21"/>
        </w:rPr>
        <w:t>technology</w:t>
      </w:r>
      <w:r>
        <w:rPr>
          <w:spacing w:val="-11"/>
          <w:sz w:val="21"/>
        </w:rPr>
        <w:t> </w:t>
      </w:r>
      <w:r>
        <w:rPr>
          <w:sz w:val="21"/>
        </w:rPr>
        <w:t>has</w:t>
      </w:r>
      <w:r>
        <w:rPr>
          <w:spacing w:val="-12"/>
          <w:sz w:val="21"/>
        </w:rPr>
        <w:t> </w:t>
      </w:r>
      <w:r>
        <w:rPr>
          <w:sz w:val="21"/>
        </w:rPr>
        <w:t>been</w:t>
      </w:r>
      <w:r>
        <w:rPr>
          <w:spacing w:val="-11"/>
          <w:sz w:val="21"/>
        </w:rPr>
        <w:t> </w:t>
      </w:r>
      <w:r>
        <w:rPr>
          <w:sz w:val="21"/>
        </w:rPr>
        <w:t>shown to increase the likelihood of false arrests and criminal charges against QTBIPOC individuals.</w:t>
      </w:r>
    </w:p>
    <w:p>
      <w:pPr>
        <w:pStyle w:val="ListParagraph"/>
        <w:numPr>
          <w:ilvl w:val="0"/>
          <w:numId w:val="26"/>
        </w:numPr>
        <w:tabs>
          <w:tab w:pos="464" w:val="left" w:leader="none"/>
        </w:tabs>
        <w:spacing w:line="276" w:lineRule="auto" w:before="241" w:after="0"/>
        <w:ind w:left="464" w:right="241" w:hanging="360"/>
        <w:jc w:val="left"/>
        <w:rPr>
          <w:b/>
          <w:sz w:val="21"/>
        </w:rPr>
      </w:pPr>
      <w:r>
        <w:rPr>
          <w:b/>
          <w:sz w:val="21"/>
        </w:rPr>
        <w:t>Decriminalize consensual</w:t>
      </w:r>
      <w:r>
        <w:rPr>
          <w:b/>
          <w:spacing w:val="-1"/>
          <w:sz w:val="21"/>
        </w:rPr>
        <w:t> </w:t>
      </w:r>
      <w:r>
        <w:rPr>
          <w:b/>
          <w:sz w:val="21"/>
        </w:rPr>
        <w:t>sexual</w:t>
      </w:r>
      <w:r>
        <w:rPr>
          <w:b/>
          <w:spacing w:val="-1"/>
          <w:sz w:val="21"/>
        </w:rPr>
        <w:t> </w:t>
      </w:r>
      <w:r>
        <w:rPr>
          <w:b/>
          <w:sz w:val="21"/>
        </w:rPr>
        <w:t>relations among</w:t>
      </w:r>
      <w:r>
        <w:rPr>
          <w:b/>
          <w:spacing w:val="-1"/>
          <w:sz w:val="21"/>
        </w:rPr>
        <w:t> </w:t>
      </w:r>
      <w:r>
        <w:rPr>
          <w:b/>
          <w:sz w:val="21"/>
        </w:rPr>
        <w:t>parties close</w:t>
      </w:r>
      <w:r>
        <w:rPr>
          <w:b/>
          <w:spacing w:val="-1"/>
          <w:sz w:val="21"/>
        </w:rPr>
        <w:t> </w:t>
      </w:r>
      <w:r>
        <w:rPr>
          <w:b/>
          <w:sz w:val="21"/>
        </w:rPr>
        <w:t>in age</w:t>
      </w:r>
      <w:r>
        <w:rPr>
          <w:b/>
          <w:spacing w:val="-1"/>
          <w:sz w:val="21"/>
        </w:rPr>
        <w:t> </w:t>
      </w:r>
      <w:r>
        <w:rPr>
          <w:b/>
          <w:sz w:val="21"/>
        </w:rPr>
        <w:t>and support</w:t>
      </w:r>
      <w:r>
        <w:rPr>
          <w:b/>
          <w:spacing w:val="-1"/>
          <w:sz w:val="21"/>
        </w:rPr>
        <w:t> </w:t>
      </w:r>
      <w:r>
        <w:rPr>
          <w:b/>
          <w:sz w:val="21"/>
        </w:rPr>
        <w:t>education rather</w:t>
      </w:r>
      <w:r>
        <w:rPr>
          <w:b/>
          <w:spacing w:val="-1"/>
          <w:sz w:val="21"/>
        </w:rPr>
        <w:t> </w:t>
      </w:r>
      <w:r>
        <w:rPr>
          <w:b/>
          <w:sz w:val="21"/>
        </w:rPr>
        <w:t>than criminal discipline.</w:t>
      </w:r>
    </w:p>
    <w:p>
      <w:pPr>
        <w:spacing w:line="276" w:lineRule="auto" w:before="239"/>
        <w:ind w:left="464" w:right="238" w:firstLine="0"/>
        <w:jc w:val="both"/>
        <w:rPr>
          <w:sz w:val="21"/>
        </w:rPr>
      </w:pPr>
      <w:r>
        <w:rPr>
          <w:sz w:val="21"/>
        </w:rPr>
        <w:t>The Commission recommends that the state decriminalize the consensual sexual relations among parties close in age, such as relationships between 14 and 15-year-olds. LGBTQ youth are often the victims of discriminatory use of these laws as a means of punishing stigmatized relationships between LGBTQ young people,</w:t>
      </w:r>
      <w:r>
        <w:rPr>
          <w:spacing w:val="-12"/>
          <w:sz w:val="21"/>
        </w:rPr>
        <w:t> </w:t>
      </w:r>
      <w:r>
        <w:rPr>
          <w:sz w:val="21"/>
        </w:rPr>
        <w:t>which</w:t>
      </w:r>
      <w:r>
        <w:rPr>
          <w:spacing w:val="-12"/>
          <w:sz w:val="21"/>
        </w:rPr>
        <w:t> </w:t>
      </w:r>
      <w:r>
        <w:rPr>
          <w:sz w:val="21"/>
        </w:rPr>
        <w:t>more</w:t>
      </w:r>
      <w:r>
        <w:rPr>
          <w:spacing w:val="-11"/>
          <w:sz w:val="21"/>
        </w:rPr>
        <w:t> </w:t>
      </w:r>
      <w:r>
        <w:rPr>
          <w:sz w:val="21"/>
        </w:rPr>
        <w:t>typically</w:t>
      </w:r>
      <w:r>
        <w:rPr>
          <w:spacing w:val="-12"/>
          <w:sz w:val="21"/>
        </w:rPr>
        <w:t> </w:t>
      </w:r>
      <w:r>
        <w:rPr>
          <w:sz w:val="21"/>
        </w:rPr>
        <w:t>more</w:t>
      </w:r>
      <w:r>
        <w:rPr>
          <w:spacing w:val="-11"/>
          <w:sz w:val="21"/>
        </w:rPr>
        <w:t> </w:t>
      </w:r>
      <w:r>
        <w:rPr>
          <w:sz w:val="21"/>
        </w:rPr>
        <w:t>affects</w:t>
      </w:r>
      <w:r>
        <w:rPr>
          <w:spacing w:val="-12"/>
          <w:sz w:val="21"/>
        </w:rPr>
        <w:t> </w:t>
      </w:r>
      <w:r>
        <w:rPr>
          <w:sz w:val="21"/>
        </w:rPr>
        <w:t>young</w:t>
      </w:r>
      <w:r>
        <w:rPr>
          <w:spacing w:val="-12"/>
          <w:sz w:val="21"/>
        </w:rPr>
        <w:t> </w:t>
      </w:r>
      <w:r>
        <w:rPr>
          <w:sz w:val="21"/>
        </w:rPr>
        <w:t>boys.</w:t>
      </w:r>
      <w:r>
        <w:rPr>
          <w:spacing w:val="-11"/>
          <w:sz w:val="21"/>
        </w:rPr>
        <w:t> </w:t>
      </w:r>
      <w:r>
        <w:rPr>
          <w:sz w:val="21"/>
        </w:rPr>
        <w:t>Relatedly,</w:t>
      </w:r>
      <w:r>
        <w:rPr>
          <w:spacing w:val="-11"/>
          <w:sz w:val="21"/>
        </w:rPr>
        <w:t> </w:t>
      </w:r>
      <w:r>
        <w:rPr>
          <w:sz w:val="21"/>
        </w:rPr>
        <w:t>the</w:t>
      </w:r>
      <w:r>
        <w:rPr>
          <w:spacing w:val="-12"/>
          <w:sz w:val="21"/>
        </w:rPr>
        <w:t> </w:t>
      </w:r>
      <w:r>
        <w:rPr>
          <w:sz w:val="21"/>
        </w:rPr>
        <w:t>Commission</w:t>
      </w:r>
      <w:r>
        <w:rPr>
          <w:spacing w:val="-11"/>
          <w:sz w:val="21"/>
        </w:rPr>
        <w:t> </w:t>
      </w:r>
      <w:r>
        <w:rPr>
          <w:sz w:val="21"/>
        </w:rPr>
        <w:t>further</w:t>
      </w:r>
      <w:r>
        <w:rPr>
          <w:spacing w:val="-11"/>
          <w:sz w:val="21"/>
        </w:rPr>
        <w:t> </w:t>
      </w:r>
      <w:r>
        <w:rPr>
          <w:sz w:val="21"/>
        </w:rPr>
        <w:t>recommends</w:t>
      </w:r>
      <w:r>
        <w:rPr>
          <w:spacing w:val="-12"/>
          <w:sz w:val="21"/>
        </w:rPr>
        <w:t> </w:t>
      </w:r>
      <w:r>
        <w:rPr>
          <w:sz w:val="21"/>
        </w:rPr>
        <w:t>that legislators</w:t>
      </w:r>
      <w:r>
        <w:rPr>
          <w:spacing w:val="-12"/>
          <w:sz w:val="21"/>
        </w:rPr>
        <w:t> </w:t>
      </w:r>
      <w:r>
        <w:rPr>
          <w:sz w:val="21"/>
        </w:rPr>
        <w:t>decriminalize</w:t>
      </w:r>
      <w:r>
        <w:rPr>
          <w:spacing w:val="-11"/>
          <w:sz w:val="21"/>
        </w:rPr>
        <w:t> </w:t>
      </w:r>
      <w:r>
        <w:rPr>
          <w:sz w:val="21"/>
        </w:rPr>
        <w:t>the</w:t>
      </w:r>
      <w:r>
        <w:rPr>
          <w:spacing w:val="-12"/>
          <w:sz w:val="21"/>
        </w:rPr>
        <w:t> </w:t>
      </w:r>
      <w:r>
        <w:rPr>
          <w:sz w:val="21"/>
        </w:rPr>
        <w:t>engaging</w:t>
      </w:r>
      <w:r>
        <w:rPr>
          <w:spacing w:val="-12"/>
          <w:sz w:val="21"/>
        </w:rPr>
        <w:t> </w:t>
      </w:r>
      <w:r>
        <w:rPr>
          <w:sz w:val="21"/>
        </w:rPr>
        <w:t>of</w:t>
      </w:r>
      <w:r>
        <w:rPr>
          <w:spacing w:val="-12"/>
          <w:sz w:val="21"/>
        </w:rPr>
        <w:t> </w:t>
      </w:r>
      <w:r>
        <w:rPr>
          <w:sz w:val="21"/>
        </w:rPr>
        <w:t>minors</w:t>
      </w:r>
      <w:r>
        <w:rPr>
          <w:spacing w:val="-11"/>
          <w:sz w:val="21"/>
        </w:rPr>
        <w:t> </w:t>
      </w:r>
      <w:r>
        <w:rPr>
          <w:sz w:val="21"/>
        </w:rPr>
        <w:t>in</w:t>
      </w:r>
      <w:r>
        <w:rPr>
          <w:spacing w:val="-11"/>
          <w:sz w:val="21"/>
        </w:rPr>
        <w:t> </w:t>
      </w:r>
      <w:r>
        <w:rPr>
          <w:sz w:val="21"/>
        </w:rPr>
        <w:t>disseminating</w:t>
      </w:r>
      <w:r>
        <w:rPr>
          <w:spacing w:val="-12"/>
          <w:sz w:val="21"/>
        </w:rPr>
        <w:t> </w:t>
      </w:r>
      <w:r>
        <w:rPr>
          <w:sz w:val="21"/>
        </w:rPr>
        <w:t>explicit</w:t>
      </w:r>
      <w:r>
        <w:rPr>
          <w:spacing w:val="-11"/>
          <w:sz w:val="21"/>
        </w:rPr>
        <w:t> </w:t>
      </w:r>
      <w:r>
        <w:rPr>
          <w:sz w:val="21"/>
        </w:rPr>
        <w:t>visual</w:t>
      </w:r>
      <w:r>
        <w:rPr>
          <w:spacing w:val="-11"/>
          <w:sz w:val="21"/>
        </w:rPr>
        <w:t> </w:t>
      </w:r>
      <w:r>
        <w:rPr>
          <w:sz w:val="21"/>
        </w:rPr>
        <w:t>material</w:t>
      </w:r>
      <w:r>
        <w:rPr>
          <w:spacing w:val="-11"/>
          <w:sz w:val="21"/>
        </w:rPr>
        <w:t> </w:t>
      </w:r>
      <w:r>
        <w:rPr>
          <w:sz w:val="21"/>
        </w:rPr>
        <w:t>amongst</w:t>
      </w:r>
      <w:r>
        <w:rPr>
          <w:spacing w:val="-11"/>
          <w:sz w:val="21"/>
        </w:rPr>
        <w:t> </w:t>
      </w:r>
      <w:r>
        <w:rPr>
          <w:sz w:val="21"/>
        </w:rPr>
        <w:t>peers,</w:t>
      </w:r>
      <w:r>
        <w:rPr>
          <w:spacing w:val="-11"/>
          <w:sz w:val="21"/>
        </w:rPr>
        <w:t> </w:t>
      </w:r>
      <w:r>
        <w:rPr>
          <w:sz w:val="21"/>
        </w:rPr>
        <w:t>and stress the need for education in this area instead of criminal punishment. Furthermore, given the harmful effects of the criminalization of consensual sexual relationships between minors as noted above, state entities can play a role in clarifying when such reporting should occur and in helping to clarify for youth when</w:t>
      </w:r>
      <w:r>
        <w:rPr>
          <w:spacing w:val="-2"/>
          <w:sz w:val="21"/>
        </w:rPr>
        <w:t> </w:t>
      </w:r>
      <w:r>
        <w:rPr>
          <w:sz w:val="21"/>
        </w:rPr>
        <w:t>they</w:t>
      </w:r>
      <w:r>
        <w:rPr>
          <w:spacing w:val="-2"/>
          <w:sz w:val="21"/>
        </w:rPr>
        <w:t> </w:t>
      </w:r>
      <w:r>
        <w:rPr>
          <w:sz w:val="21"/>
        </w:rPr>
        <w:t>are</w:t>
      </w:r>
      <w:r>
        <w:rPr>
          <w:spacing w:val="-2"/>
          <w:sz w:val="21"/>
        </w:rPr>
        <w:t> </w:t>
      </w:r>
      <w:r>
        <w:rPr>
          <w:sz w:val="21"/>
        </w:rPr>
        <w:t>able</w:t>
      </w:r>
      <w:r>
        <w:rPr>
          <w:spacing w:val="-2"/>
          <w:sz w:val="21"/>
        </w:rPr>
        <w:t> </w:t>
      </w:r>
      <w:r>
        <w:rPr>
          <w:sz w:val="21"/>
        </w:rPr>
        <w:t>to</w:t>
      </w:r>
      <w:r>
        <w:rPr>
          <w:spacing w:val="-2"/>
          <w:sz w:val="21"/>
        </w:rPr>
        <w:t> </w:t>
      </w:r>
      <w:r>
        <w:rPr>
          <w:sz w:val="21"/>
        </w:rPr>
        <w:t>seek</w:t>
      </w:r>
      <w:r>
        <w:rPr>
          <w:spacing w:val="-1"/>
          <w:sz w:val="21"/>
        </w:rPr>
        <w:t> </w:t>
      </w:r>
      <w:r>
        <w:rPr>
          <w:sz w:val="21"/>
        </w:rPr>
        <w:t>services</w:t>
      </w:r>
      <w:r>
        <w:rPr>
          <w:spacing w:val="-2"/>
          <w:sz w:val="21"/>
        </w:rPr>
        <w:t> </w:t>
      </w:r>
      <w:r>
        <w:rPr>
          <w:sz w:val="21"/>
        </w:rPr>
        <w:t>without</w:t>
      </w:r>
      <w:r>
        <w:rPr>
          <w:spacing w:val="-1"/>
          <w:sz w:val="21"/>
        </w:rPr>
        <w:t> </w:t>
      </w:r>
      <w:r>
        <w:rPr>
          <w:sz w:val="21"/>
        </w:rPr>
        <w:t>fear</w:t>
      </w:r>
      <w:r>
        <w:rPr>
          <w:spacing w:val="-2"/>
          <w:sz w:val="21"/>
        </w:rPr>
        <w:t> </w:t>
      </w:r>
      <w:r>
        <w:rPr>
          <w:sz w:val="21"/>
        </w:rPr>
        <w:t>of</w:t>
      </w:r>
      <w:r>
        <w:rPr>
          <w:spacing w:val="-2"/>
          <w:sz w:val="21"/>
        </w:rPr>
        <w:t> </w:t>
      </w:r>
      <w:r>
        <w:rPr>
          <w:sz w:val="21"/>
        </w:rPr>
        <w:t>punishment.</w:t>
      </w:r>
      <w:r>
        <w:rPr>
          <w:spacing w:val="-2"/>
          <w:sz w:val="21"/>
        </w:rPr>
        <w:t> </w:t>
      </w:r>
      <w:r>
        <w:rPr>
          <w:sz w:val="21"/>
        </w:rPr>
        <w:t>The</w:t>
      </w:r>
      <w:r>
        <w:rPr>
          <w:spacing w:val="-2"/>
          <w:sz w:val="21"/>
        </w:rPr>
        <w:t> </w:t>
      </w:r>
      <w:r>
        <w:rPr>
          <w:sz w:val="21"/>
        </w:rPr>
        <w:t>Commission</w:t>
      </w:r>
      <w:r>
        <w:rPr>
          <w:spacing w:val="-2"/>
          <w:sz w:val="21"/>
        </w:rPr>
        <w:t> </w:t>
      </w:r>
      <w:r>
        <w:rPr>
          <w:sz w:val="21"/>
        </w:rPr>
        <w:t>has</w:t>
      </w:r>
      <w:r>
        <w:rPr>
          <w:spacing w:val="-2"/>
          <w:sz w:val="21"/>
        </w:rPr>
        <w:t> </w:t>
      </w:r>
      <w:r>
        <w:rPr>
          <w:sz w:val="21"/>
        </w:rPr>
        <w:t>heard</w:t>
      </w:r>
      <w:r>
        <w:rPr>
          <w:spacing w:val="-2"/>
          <w:sz w:val="21"/>
        </w:rPr>
        <w:t> </w:t>
      </w:r>
      <w:r>
        <w:rPr>
          <w:sz w:val="21"/>
        </w:rPr>
        <w:t>from</w:t>
      </w:r>
      <w:r>
        <w:rPr>
          <w:spacing w:val="-2"/>
          <w:sz w:val="21"/>
        </w:rPr>
        <w:t> </w:t>
      </w:r>
      <w:r>
        <w:rPr>
          <w:sz w:val="21"/>
        </w:rPr>
        <w:t>actors</w:t>
      </w:r>
      <w:r>
        <w:rPr>
          <w:spacing w:val="-2"/>
          <w:sz w:val="21"/>
        </w:rPr>
        <w:t> </w:t>
      </w:r>
      <w:r>
        <w:rPr>
          <w:sz w:val="21"/>
        </w:rPr>
        <w:t>in fields</w:t>
      </w:r>
      <w:r>
        <w:rPr>
          <w:spacing w:val="-2"/>
          <w:sz w:val="21"/>
        </w:rPr>
        <w:t> </w:t>
      </w:r>
      <w:r>
        <w:rPr>
          <w:sz w:val="21"/>
        </w:rPr>
        <w:t>such</w:t>
      </w:r>
      <w:r>
        <w:rPr>
          <w:spacing w:val="-2"/>
          <w:sz w:val="21"/>
        </w:rPr>
        <w:t> </w:t>
      </w:r>
      <w:r>
        <w:rPr>
          <w:sz w:val="21"/>
        </w:rPr>
        <w:t>as</w:t>
      </w:r>
      <w:r>
        <w:rPr>
          <w:spacing w:val="-1"/>
          <w:sz w:val="21"/>
        </w:rPr>
        <w:t> </w:t>
      </w:r>
      <w:r>
        <w:rPr>
          <w:sz w:val="21"/>
        </w:rPr>
        <w:t>education,</w:t>
      </w:r>
      <w:r>
        <w:rPr>
          <w:spacing w:val="-2"/>
          <w:sz w:val="21"/>
        </w:rPr>
        <w:t> </w:t>
      </w:r>
      <w:r>
        <w:rPr>
          <w:sz w:val="21"/>
        </w:rPr>
        <w:t>health,</w:t>
      </w:r>
      <w:r>
        <w:rPr>
          <w:spacing w:val="-1"/>
          <w:sz w:val="21"/>
        </w:rPr>
        <w:t> </w:t>
      </w:r>
      <w:r>
        <w:rPr>
          <w:sz w:val="21"/>
        </w:rPr>
        <w:t>and</w:t>
      </w:r>
      <w:r>
        <w:rPr>
          <w:spacing w:val="-3"/>
          <w:sz w:val="21"/>
        </w:rPr>
        <w:t> </w:t>
      </w:r>
      <w:r>
        <w:rPr>
          <w:sz w:val="21"/>
        </w:rPr>
        <w:t>congregate</w:t>
      </w:r>
      <w:r>
        <w:rPr>
          <w:spacing w:val="-2"/>
          <w:sz w:val="21"/>
        </w:rPr>
        <w:t> </w:t>
      </w:r>
      <w:r>
        <w:rPr>
          <w:sz w:val="21"/>
        </w:rPr>
        <w:t>care</w:t>
      </w:r>
      <w:r>
        <w:rPr>
          <w:spacing w:val="-2"/>
          <w:sz w:val="21"/>
        </w:rPr>
        <w:t> </w:t>
      </w:r>
      <w:r>
        <w:rPr>
          <w:sz w:val="21"/>
        </w:rPr>
        <w:t>that</w:t>
      </w:r>
      <w:r>
        <w:rPr>
          <w:spacing w:val="-1"/>
          <w:sz w:val="21"/>
        </w:rPr>
        <w:t> </w:t>
      </w:r>
      <w:r>
        <w:rPr>
          <w:sz w:val="21"/>
        </w:rPr>
        <w:t>the</w:t>
      </w:r>
      <w:r>
        <w:rPr>
          <w:spacing w:val="-2"/>
          <w:sz w:val="21"/>
        </w:rPr>
        <w:t> </w:t>
      </w:r>
      <w:r>
        <w:rPr>
          <w:sz w:val="21"/>
        </w:rPr>
        <w:t>current</w:t>
      </w:r>
      <w:r>
        <w:rPr>
          <w:spacing w:val="-3"/>
          <w:sz w:val="21"/>
        </w:rPr>
        <w:t> </w:t>
      </w:r>
      <w:r>
        <w:rPr>
          <w:sz w:val="21"/>
        </w:rPr>
        <w:t>lack</w:t>
      </w:r>
      <w:r>
        <w:rPr>
          <w:spacing w:val="-1"/>
          <w:sz w:val="21"/>
        </w:rPr>
        <w:t> </w:t>
      </w:r>
      <w:r>
        <w:rPr>
          <w:sz w:val="21"/>
        </w:rPr>
        <w:t>of</w:t>
      </w:r>
      <w:r>
        <w:rPr>
          <w:spacing w:val="-2"/>
          <w:sz w:val="21"/>
        </w:rPr>
        <w:t> </w:t>
      </w:r>
      <w:r>
        <w:rPr>
          <w:sz w:val="21"/>
        </w:rPr>
        <w:t>clarity</w:t>
      </w:r>
      <w:r>
        <w:rPr>
          <w:spacing w:val="-3"/>
          <w:sz w:val="21"/>
        </w:rPr>
        <w:t> </w:t>
      </w:r>
      <w:r>
        <w:rPr>
          <w:sz w:val="21"/>
        </w:rPr>
        <w:t>and</w:t>
      </w:r>
      <w:r>
        <w:rPr>
          <w:spacing w:val="-2"/>
          <w:sz w:val="21"/>
        </w:rPr>
        <w:t> </w:t>
      </w:r>
      <w:r>
        <w:rPr>
          <w:sz w:val="21"/>
        </w:rPr>
        <w:t>fairness</w:t>
      </w:r>
      <w:r>
        <w:rPr>
          <w:spacing w:val="-3"/>
          <w:sz w:val="21"/>
        </w:rPr>
        <w:t> </w:t>
      </w:r>
      <w:r>
        <w:rPr>
          <w:sz w:val="21"/>
        </w:rPr>
        <w:t>in</w:t>
      </w:r>
      <w:r>
        <w:rPr>
          <w:spacing w:val="-2"/>
          <w:sz w:val="21"/>
        </w:rPr>
        <w:t> </w:t>
      </w:r>
      <w:r>
        <w:rPr>
          <w:sz w:val="21"/>
        </w:rPr>
        <w:t>the</w:t>
      </w:r>
      <w:r>
        <w:rPr>
          <w:spacing w:val="-2"/>
          <w:sz w:val="21"/>
        </w:rPr>
        <w:t> </w:t>
      </w:r>
      <w:r>
        <w:rPr>
          <w:sz w:val="21"/>
        </w:rPr>
        <w:t>law presents</w:t>
      </w:r>
      <w:r>
        <w:rPr>
          <w:spacing w:val="-8"/>
          <w:sz w:val="21"/>
        </w:rPr>
        <w:t> </w:t>
      </w:r>
      <w:r>
        <w:rPr>
          <w:sz w:val="21"/>
        </w:rPr>
        <w:t>a</w:t>
      </w:r>
      <w:r>
        <w:rPr>
          <w:spacing w:val="-7"/>
          <w:sz w:val="21"/>
        </w:rPr>
        <w:t> </w:t>
      </w:r>
      <w:r>
        <w:rPr>
          <w:sz w:val="21"/>
        </w:rPr>
        <w:t>major</w:t>
      </w:r>
      <w:r>
        <w:rPr>
          <w:spacing w:val="-8"/>
          <w:sz w:val="21"/>
        </w:rPr>
        <w:t> </w:t>
      </w:r>
      <w:r>
        <w:rPr>
          <w:sz w:val="21"/>
        </w:rPr>
        <w:t>problem</w:t>
      </w:r>
      <w:r>
        <w:rPr>
          <w:spacing w:val="-7"/>
          <w:sz w:val="21"/>
        </w:rPr>
        <w:t> </w:t>
      </w:r>
      <w:r>
        <w:rPr>
          <w:sz w:val="21"/>
        </w:rPr>
        <w:t>for</w:t>
      </w:r>
      <w:r>
        <w:rPr>
          <w:spacing w:val="-8"/>
          <w:sz w:val="21"/>
        </w:rPr>
        <w:t> </w:t>
      </w:r>
      <w:r>
        <w:rPr>
          <w:sz w:val="21"/>
        </w:rPr>
        <w:t>delivering</w:t>
      </w:r>
      <w:r>
        <w:rPr>
          <w:spacing w:val="-8"/>
          <w:sz w:val="21"/>
        </w:rPr>
        <w:t> </w:t>
      </w:r>
      <w:r>
        <w:rPr>
          <w:sz w:val="21"/>
        </w:rPr>
        <w:t>services,</w:t>
      </w:r>
      <w:r>
        <w:rPr>
          <w:spacing w:val="-7"/>
          <w:sz w:val="21"/>
        </w:rPr>
        <w:t> </w:t>
      </w:r>
      <w:r>
        <w:rPr>
          <w:sz w:val="21"/>
        </w:rPr>
        <w:t>and</w:t>
      </w:r>
      <w:r>
        <w:rPr>
          <w:spacing w:val="-9"/>
          <w:sz w:val="21"/>
        </w:rPr>
        <w:t> </w:t>
      </w:r>
      <w:r>
        <w:rPr>
          <w:sz w:val="21"/>
        </w:rPr>
        <w:t>the</w:t>
      </w:r>
      <w:r>
        <w:rPr>
          <w:spacing w:val="-8"/>
          <w:sz w:val="21"/>
        </w:rPr>
        <w:t> </w:t>
      </w:r>
      <w:r>
        <w:rPr>
          <w:sz w:val="21"/>
        </w:rPr>
        <w:t>state</w:t>
      </w:r>
      <w:r>
        <w:rPr>
          <w:spacing w:val="-9"/>
          <w:sz w:val="21"/>
        </w:rPr>
        <w:t> </w:t>
      </w:r>
      <w:r>
        <w:rPr>
          <w:sz w:val="21"/>
        </w:rPr>
        <w:t>can</w:t>
      </w:r>
      <w:r>
        <w:rPr>
          <w:spacing w:val="-9"/>
          <w:sz w:val="21"/>
        </w:rPr>
        <w:t> </w:t>
      </w:r>
      <w:r>
        <w:rPr>
          <w:sz w:val="21"/>
        </w:rPr>
        <w:t>easily</w:t>
      </w:r>
      <w:r>
        <w:rPr>
          <w:spacing w:val="-8"/>
          <w:sz w:val="21"/>
        </w:rPr>
        <w:t> </w:t>
      </w:r>
      <w:r>
        <w:rPr>
          <w:sz w:val="21"/>
        </w:rPr>
        <w:t>remedy</w:t>
      </w:r>
      <w:r>
        <w:rPr>
          <w:spacing w:val="-8"/>
          <w:sz w:val="21"/>
        </w:rPr>
        <w:t> </w:t>
      </w:r>
      <w:r>
        <w:rPr>
          <w:sz w:val="21"/>
        </w:rPr>
        <w:t>this</w:t>
      </w:r>
      <w:r>
        <w:rPr>
          <w:spacing w:val="-8"/>
          <w:sz w:val="21"/>
        </w:rPr>
        <w:t> </w:t>
      </w:r>
      <w:r>
        <w:rPr>
          <w:sz w:val="21"/>
        </w:rPr>
        <w:t>challenging</w:t>
      </w:r>
      <w:r>
        <w:rPr>
          <w:spacing w:val="-8"/>
          <w:sz w:val="21"/>
        </w:rPr>
        <w:t> </w:t>
      </w:r>
      <w:r>
        <w:rPr>
          <w:sz w:val="21"/>
        </w:rPr>
        <w:t>situation.</w:t>
      </w:r>
    </w:p>
    <w:p>
      <w:pPr>
        <w:pStyle w:val="ListParagraph"/>
        <w:numPr>
          <w:ilvl w:val="0"/>
          <w:numId w:val="26"/>
        </w:numPr>
        <w:tabs>
          <w:tab w:pos="464" w:val="left" w:leader="none"/>
        </w:tabs>
        <w:spacing w:line="276" w:lineRule="auto" w:before="242" w:after="0"/>
        <w:ind w:left="464" w:right="241" w:hanging="360"/>
        <w:jc w:val="left"/>
        <w:rPr>
          <w:b/>
          <w:sz w:val="21"/>
        </w:rPr>
      </w:pPr>
      <w:r>
        <w:rPr>
          <w:b/>
          <w:sz w:val="21"/>
        </w:rPr>
        <w:t>Eliminate</w:t>
      </w:r>
      <w:r>
        <w:rPr>
          <w:b/>
          <w:spacing w:val="-2"/>
          <w:sz w:val="21"/>
        </w:rPr>
        <w:t> </w:t>
      </w:r>
      <w:r>
        <w:rPr>
          <w:b/>
          <w:sz w:val="21"/>
        </w:rPr>
        <w:t>common</w:t>
      </w:r>
      <w:r>
        <w:rPr>
          <w:b/>
          <w:spacing w:val="-2"/>
          <w:sz w:val="21"/>
        </w:rPr>
        <w:t> </w:t>
      </w:r>
      <w:r>
        <w:rPr>
          <w:b/>
          <w:sz w:val="21"/>
        </w:rPr>
        <w:t>night-walking</w:t>
      </w:r>
      <w:r>
        <w:rPr>
          <w:b/>
          <w:spacing w:val="-2"/>
          <w:sz w:val="21"/>
        </w:rPr>
        <w:t> </w:t>
      </w:r>
      <w:r>
        <w:rPr>
          <w:b/>
          <w:sz w:val="21"/>
        </w:rPr>
        <w:t>laws</w:t>
      </w:r>
      <w:r>
        <w:rPr>
          <w:b/>
          <w:spacing w:val="-2"/>
          <w:sz w:val="21"/>
        </w:rPr>
        <w:t> </w:t>
      </w:r>
      <w:r>
        <w:rPr>
          <w:b/>
          <w:sz w:val="21"/>
        </w:rPr>
        <w:t>and</w:t>
      </w:r>
      <w:r>
        <w:rPr>
          <w:b/>
          <w:spacing w:val="-2"/>
          <w:sz w:val="21"/>
        </w:rPr>
        <w:t> </w:t>
      </w:r>
      <w:r>
        <w:rPr>
          <w:b/>
          <w:sz w:val="21"/>
        </w:rPr>
        <w:t>increase</w:t>
      </w:r>
      <w:r>
        <w:rPr>
          <w:b/>
          <w:spacing w:val="-2"/>
          <w:sz w:val="21"/>
        </w:rPr>
        <w:t> </w:t>
      </w:r>
      <w:r>
        <w:rPr>
          <w:b/>
          <w:sz w:val="21"/>
        </w:rPr>
        <w:t>funding</w:t>
      </w:r>
      <w:r>
        <w:rPr>
          <w:b/>
          <w:spacing w:val="-2"/>
          <w:sz w:val="21"/>
        </w:rPr>
        <w:t> </w:t>
      </w:r>
      <w:r>
        <w:rPr>
          <w:b/>
          <w:sz w:val="21"/>
        </w:rPr>
        <w:t>for</w:t>
      </w:r>
      <w:r>
        <w:rPr>
          <w:b/>
          <w:spacing w:val="-2"/>
          <w:sz w:val="21"/>
        </w:rPr>
        <w:t> </w:t>
      </w:r>
      <w:r>
        <w:rPr>
          <w:b/>
          <w:sz w:val="21"/>
        </w:rPr>
        <w:t>programs</w:t>
      </w:r>
      <w:r>
        <w:rPr>
          <w:b/>
          <w:spacing w:val="-2"/>
          <w:sz w:val="21"/>
        </w:rPr>
        <w:t> </w:t>
      </w:r>
      <w:r>
        <w:rPr>
          <w:b/>
          <w:sz w:val="21"/>
        </w:rPr>
        <w:t>serving</w:t>
      </w:r>
      <w:r>
        <w:rPr>
          <w:b/>
          <w:spacing w:val="-2"/>
          <w:sz w:val="21"/>
        </w:rPr>
        <w:t> </w:t>
      </w:r>
      <w:r>
        <w:rPr>
          <w:b/>
          <w:sz w:val="21"/>
        </w:rPr>
        <w:t>LGBTQ</w:t>
      </w:r>
      <w:r>
        <w:rPr>
          <w:b/>
          <w:spacing w:val="-3"/>
          <w:sz w:val="21"/>
        </w:rPr>
        <w:t> </w:t>
      </w:r>
      <w:r>
        <w:rPr>
          <w:b/>
          <w:sz w:val="21"/>
        </w:rPr>
        <w:t>youth</w:t>
      </w:r>
      <w:r>
        <w:rPr>
          <w:b/>
          <w:spacing w:val="-2"/>
          <w:sz w:val="21"/>
        </w:rPr>
        <w:t> </w:t>
      </w:r>
      <w:r>
        <w:rPr>
          <w:b/>
          <w:sz w:val="21"/>
        </w:rPr>
        <w:t>at-risk</w:t>
      </w:r>
      <w:r>
        <w:rPr>
          <w:b/>
          <w:spacing w:val="-3"/>
          <w:sz w:val="21"/>
        </w:rPr>
        <w:t> </w:t>
      </w:r>
      <w:r>
        <w:rPr>
          <w:b/>
          <w:sz w:val="21"/>
        </w:rPr>
        <w:t>of sexual exploitation.</w:t>
      </w:r>
    </w:p>
    <w:p>
      <w:pPr>
        <w:spacing w:line="276" w:lineRule="auto" w:before="239"/>
        <w:ind w:left="464" w:right="238" w:firstLine="0"/>
        <w:jc w:val="both"/>
        <w:rPr>
          <w:sz w:val="21"/>
        </w:rPr>
      </w:pPr>
      <w:r>
        <w:rPr>
          <w:sz w:val="21"/>
        </w:rPr>
        <w:t>The</w:t>
      </w:r>
      <w:r>
        <w:rPr>
          <w:spacing w:val="-4"/>
          <w:sz w:val="21"/>
        </w:rPr>
        <w:t> </w:t>
      </w:r>
      <w:r>
        <w:rPr>
          <w:sz w:val="21"/>
        </w:rPr>
        <w:t>Commission</w:t>
      </w:r>
      <w:r>
        <w:rPr>
          <w:spacing w:val="-4"/>
          <w:sz w:val="21"/>
        </w:rPr>
        <w:t> </w:t>
      </w:r>
      <w:r>
        <w:rPr>
          <w:sz w:val="21"/>
        </w:rPr>
        <w:t>recommends</w:t>
      </w:r>
      <w:r>
        <w:rPr>
          <w:spacing w:val="-5"/>
          <w:sz w:val="21"/>
        </w:rPr>
        <w:t> </w:t>
      </w:r>
      <w:r>
        <w:rPr>
          <w:sz w:val="21"/>
        </w:rPr>
        <w:t>that</w:t>
      </w:r>
      <w:r>
        <w:rPr>
          <w:spacing w:val="-6"/>
          <w:sz w:val="21"/>
        </w:rPr>
        <w:t> </w:t>
      </w:r>
      <w:r>
        <w:rPr>
          <w:sz w:val="21"/>
        </w:rPr>
        <w:t>the</w:t>
      </w:r>
      <w:r>
        <w:rPr>
          <w:spacing w:val="-5"/>
          <w:sz w:val="21"/>
        </w:rPr>
        <w:t> </w:t>
      </w:r>
      <w:r>
        <w:rPr>
          <w:sz w:val="21"/>
        </w:rPr>
        <w:t>Commonwealth</w:t>
      </w:r>
      <w:r>
        <w:rPr>
          <w:spacing w:val="-5"/>
          <w:sz w:val="21"/>
        </w:rPr>
        <w:t> </w:t>
      </w:r>
      <w:r>
        <w:rPr>
          <w:sz w:val="21"/>
        </w:rPr>
        <w:t>explore</w:t>
      </w:r>
      <w:r>
        <w:rPr>
          <w:spacing w:val="-4"/>
          <w:sz w:val="21"/>
        </w:rPr>
        <w:t> </w:t>
      </w:r>
      <w:r>
        <w:rPr>
          <w:sz w:val="21"/>
        </w:rPr>
        <w:t>a</w:t>
      </w:r>
      <w:r>
        <w:rPr>
          <w:spacing w:val="-5"/>
          <w:sz w:val="21"/>
        </w:rPr>
        <w:t> </w:t>
      </w:r>
      <w:r>
        <w:rPr>
          <w:sz w:val="21"/>
        </w:rPr>
        <w:t>path</w:t>
      </w:r>
      <w:r>
        <w:rPr>
          <w:spacing w:val="-5"/>
          <w:sz w:val="21"/>
        </w:rPr>
        <w:t> </w:t>
      </w:r>
      <w:r>
        <w:rPr>
          <w:sz w:val="21"/>
        </w:rPr>
        <w:t>to</w:t>
      </w:r>
      <w:r>
        <w:rPr>
          <w:spacing w:val="-6"/>
          <w:sz w:val="21"/>
        </w:rPr>
        <w:t> </w:t>
      </w:r>
      <w:r>
        <w:rPr>
          <w:sz w:val="21"/>
        </w:rPr>
        <w:t>the</w:t>
      </w:r>
      <w:r>
        <w:rPr>
          <w:spacing w:val="-5"/>
          <w:sz w:val="21"/>
        </w:rPr>
        <w:t> </w:t>
      </w:r>
      <w:r>
        <w:rPr>
          <w:sz w:val="21"/>
        </w:rPr>
        <w:t>decriminalization</w:t>
      </w:r>
      <w:r>
        <w:rPr>
          <w:spacing w:val="-4"/>
          <w:sz w:val="21"/>
        </w:rPr>
        <w:t> </w:t>
      </w:r>
      <w:r>
        <w:rPr>
          <w:sz w:val="21"/>
        </w:rPr>
        <w:t>of</w:t>
      </w:r>
      <w:r>
        <w:rPr>
          <w:spacing w:val="-5"/>
          <w:sz w:val="21"/>
        </w:rPr>
        <w:t> </w:t>
      </w:r>
      <w:r>
        <w:rPr>
          <w:sz w:val="21"/>
        </w:rPr>
        <w:t>sex</w:t>
      </w:r>
      <w:r>
        <w:rPr>
          <w:spacing w:val="-4"/>
          <w:sz w:val="21"/>
        </w:rPr>
        <w:t> </w:t>
      </w:r>
      <w:r>
        <w:rPr>
          <w:sz w:val="21"/>
        </w:rPr>
        <w:t>work for</w:t>
      </w:r>
      <w:r>
        <w:rPr>
          <w:spacing w:val="-7"/>
          <w:sz w:val="21"/>
        </w:rPr>
        <w:t> </w:t>
      </w:r>
      <w:r>
        <w:rPr>
          <w:sz w:val="21"/>
        </w:rPr>
        <w:t>youth</w:t>
      </w:r>
      <w:r>
        <w:rPr>
          <w:spacing w:val="-7"/>
          <w:sz w:val="21"/>
        </w:rPr>
        <w:t> </w:t>
      </w:r>
      <w:r>
        <w:rPr>
          <w:sz w:val="21"/>
        </w:rPr>
        <w:t>over</w:t>
      </w:r>
      <w:r>
        <w:rPr>
          <w:spacing w:val="-7"/>
          <w:sz w:val="21"/>
        </w:rPr>
        <w:t> </w:t>
      </w:r>
      <w:r>
        <w:rPr>
          <w:sz w:val="21"/>
        </w:rPr>
        <w:t>the</w:t>
      </w:r>
      <w:r>
        <w:rPr>
          <w:spacing w:val="-8"/>
          <w:sz w:val="21"/>
        </w:rPr>
        <w:t> </w:t>
      </w:r>
      <w:r>
        <w:rPr>
          <w:sz w:val="21"/>
        </w:rPr>
        <w:t>age</w:t>
      </w:r>
      <w:r>
        <w:rPr>
          <w:spacing w:val="-7"/>
          <w:sz w:val="21"/>
        </w:rPr>
        <w:t> </w:t>
      </w:r>
      <w:r>
        <w:rPr>
          <w:sz w:val="21"/>
        </w:rPr>
        <w:t>of</w:t>
      </w:r>
      <w:r>
        <w:rPr>
          <w:spacing w:val="-7"/>
          <w:sz w:val="21"/>
        </w:rPr>
        <w:t> </w:t>
      </w:r>
      <w:r>
        <w:rPr>
          <w:sz w:val="21"/>
        </w:rPr>
        <w:t>18,</w:t>
      </w:r>
      <w:r>
        <w:rPr>
          <w:spacing w:val="-8"/>
          <w:sz w:val="21"/>
        </w:rPr>
        <w:t> </w:t>
      </w:r>
      <w:r>
        <w:rPr>
          <w:sz w:val="21"/>
        </w:rPr>
        <w:t>through</w:t>
      </w:r>
      <w:r>
        <w:rPr>
          <w:spacing w:val="-7"/>
          <w:sz w:val="21"/>
        </w:rPr>
        <w:t> </w:t>
      </w:r>
      <w:r>
        <w:rPr>
          <w:sz w:val="21"/>
        </w:rPr>
        <w:t>bills</w:t>
      </w:r>
      <w:r>
        <w:rPr>
          <w:spacing w:val="-8"/>
          <w:sz w:val="21"/>
        </w:rPr>
        <w:t> </w:t>
      </w:r>
      <w:r>
        <w:rPr>
          <w:sz w:val="21"/>
        </w:rPr>
        <w:t>such</w:t>
      </w:r>
      <w:r>
        <w:rPr>
          <w:spacing w:val="-7"/>
          <w:sz w:val="21"/>
        </w:rPr>
        <w:t> </w:t>
      </w:r>
      <w:r>
        <w:rPr>
          <w:sz w:val="21"/>
        </w:rPr>
        <w:t>as</w:t>
      </w:r>
      <w:r>
        <w:rPr>
          <w:spacing w:val="-7"/>
          <w:sz w:val="21"/>
        </w:rPr>
        <w:t> </w:t>
      </w:r>
      <w:r>
        <w:rPr>
          <w:sz w:val="21"/>
        </w:rPr>
        <w:t>An</w:t>
      </w:r>
      <w:r>
        <w:rPr>
          <w:spacing w:val="-7"/>
          <w:sz w:val="21"/>
        </w:rPr>
        <w:t> </w:t>
      </w:r>
      <w:r>
        <w:rPr>
          <w:sz w:val="21"/>
        </w:rPr>
        <w:t>Act</w:t>
      </w:r>
      <w:r>
        <w:rPr>
          <w:spacing w:val="-7"/>
          <w:sz w:val="21"/>
        </w:rPr>
        <w:t> </w:t>
      </w:r>
      <w:r>
        <w:rPr>
          <w:sz w:val="21"/>
        </w:rPr>
        <w:t>Relative</w:t>
      </w:r>
      <w:r>
        <w:rPr>
          <w:spacing w:val="-8"/>
          <w:sz w:val="21"/>
        </w:rPr>
        <w:t> </w:t>
      </w:r>
      <w:r>
        <w:rPr>
          <w:sz w:val="21"/>
        </w:rPr>
        <w:t>to</w:t>
      </w:r>
      <w:r>
        <w:rPr>
          <w:spacing w:val="-7"/>
          <w:sz w:val="21"/>
        </w:rPr>
        <w:t> </w:t>
      </w:r>
      <w:r>
        <w:rPr>
          <w:sz w:val="21"/>
        </w:rPr>
        <w:t>the</w:t>
      </w:r>
      <w:r>
        <w:rPr>
          <w:spacing w:val="-7"/>
          <w:sz w:val="21"/>
        </w:rPr>
        <w:t> </w:t>
      </w:r>
      <w:r>
        <w:rPr>
          <w:sz w:val="21"/>
        </w:rPr>
        <w:t>Expungement</w:t>
      </w:r>
      <w:r>
        <w:rPr>
          <w:spacing w:val="-6"/>
          <w:sz w:val="21"/>
        </w:rPr>
        <w:t> </w:t>
      </w:r>
      <w:r>
        <w:rPr>
          <w:sz w:val="21"/>
        </w:rPr>
        <w:t>of</w:t>
      </w:r>
      <w:r>
        <w:rPr>
          <w:spacing w:val="-7"/>
          <w:sz w:val="21"/>
        </w:rPr>
        <w:t> </w:t>
      </w:r>
      <w:r>
        <w:rPr>
          <w:sz w:val="21"/>
        </w:rPr>
        <w:t>Certain</w:t>
      </w:r>
      <w:r>
        <w:rPr>
          <w:spacing w:val="-9"/>
          <w:sz w:val="21"/>
        </w:rPr>
        <w:t> </w:t>
      </w:r>
      <w:r>
        <w:rPr>
          <w:sz w:val="21"/>
        </w:rPr>
        <w:t>Marijuana</w:t>
      </w:r>
    </w:p>
    <w:p>
      <w:pPr>
        <w:spacing w:after="0" w:line="276" w:lineRule="auto"/>
        <w:jc w:val="both"/>
        <w:rPr>
          <w:sz w:val="21"/>
        </w:rPr>
        <w:sectPr>
          <w:pgSz w:w="12240" w:h="15840"/>
          <w:pgMar w:header="763" w:footer="1041" w:top="1360" w:bottom="1240" w:left="1120" w:right="1340"/>
        </w:sectPr>
      </w:pPr>
    </w:p>
    <w:p>
      <w:pPr>
        <w:spacing w:line="276" w:lineRule="auto" w:before="65"/>
        <w:ind w:left="464" w:right="238" w:hanging="1"/>
        <w:jc w:val="both"/>
        <w:rPr>
          <w:sz w:val="21"/>
        </w:rPr>
      </w:pPr>
      <w:r>
        <w:rPr>
          <w:sz w:val="21"/>
        </w:rPr>
        <w:t>and Prostitution-Related Records (H.1757), which would eliminate common night-walking laws and expunge</w:t>
      </w:r>
      <w:r>
        <w:rPr>
          <w:spacing w:val="-9"/>
          <w:sz w:val="21"/>
        </w:rPr>
        <w:t> </w:t>
      </w:r>
      <w:r>
        <w:rPr>
          <w:sz w:val="21"/>
        </w:rPr>
        <w:t>records</w:t>
      </w:r>
      <w:r>
        <w:rPr>
          <w:spacing w:val="-10"/>
          <w:sz w:val="21"/>
        </w:rPr>
        <w:t> </w:t>
      </w:r>
      <w:r>
        <w:rPr>
          <w:sz w:val="21"/>
        </w:rPr>
        <w:t>for</w:t>
      </w:r>
      <w:r>
        <w:rPr>
          <w:spacing w:val="-9"/>
          <w:sz w:val="21"/>
        </w:rPr>
        <w:t> </w:t>
      </w:r>
      <w:r>
        <w:rPr>
          <w:sz w:val="21"/>
        </w:rPr>
        <w:t>those</w:t>
      </w:r>
      <w:r>
        <w:rPr>
          <w:spacing w:val="-9"/>
          <w:sz w:val="21"/>
        </w:rPr>
        <w:t> </w:t>
      </w:r>
      <w:r>
        <w:rPr>
          <w:sz w:val="21"/>
        </w:rPr>
        <w:t>convicted</w:t>
      </w:r>
      <w:r>
        <w:rPr>
          <w:spacing w:val="-9"/>
          <w:sz w:val="21"/>
        </w:rPr>
        <w:t> </w:t>
      </w:r>
      <w:r>
        <w:rPr>
          <w:sz w:val="21"/>
        </w:rPr>
        <w:t>of</w:t>
      </w:r>
      <w:r>
        <w:rPr>
          <w:spacing w:val="-10"/>
          <w:sz w:val="21"/>
        </w:rPr>
        <w:t> </w:t>
      </w:r>
      <w:r>
        <w:rPr>
          <w:sz w:val="21"/>
        </w:rPr>
        <w:t>sex</w:t>
      </w:r>
      <w:r>
        <w:rPr>
          <w:spacing w:val="-9"/>
          <w:sz w:val="21"/>
        </w:rPr>
        <w:t> </w:t>
      </w:r>
      <w:r>
        <w:rPr>
          <w:sz w:val="21"/>
        </w:rPr>
        <w:t>work;</w:t>
      </w:r>
      <w:r>
        <w:rPr>
          <w:spacing w:val="-9"/>
          <w:sz w:val="21"/>
        </w:rPr>
        <w:t> </w:t>
      </w:r>
      <w:r>
        <w:rPr>
          <w:sz w:val="21"/>
        </w:rPr>
        <w:t>and</w:t>
      </w:r>
      <w:r>
        <w:rPr>
          <w:spacing w:val="-9"/>
          <w:sz w:val="21"/>
        </w:rPr>
        <w:t> </w:t>
      </w:r>
      <w:r>
        <w:rPr>
          <w:sz w:val="21"/>
        </w:rPr>
        <w:t>An</w:t>
      </w:r>
      <w:r>
        <w:rPr>
          <w:spacing w:val="-9"/>
          <w:sz w:val="21"/>
        </w:rPr>
        <w:t> </w:t>
      </w:r>
      <w:r>
        <w:rPr>
          <w:sz w:val="21"/>
        </w:rPr>
        <w:t>Act</w:t>
      </w:r>
      <w:r>
        <w:rPr>
          <w:spacing w:val="-9"/>
          <w:sz w:val="21"/>
        </w:rPr>
        <w:t> </w:t>
      </w:r>
      <w:r>
        <w:rPr>
          <w:sz w:val="21"/>
        </w:rPr>
        <w:t>to</w:t>
      </w:r>
      <w:r>
        <w:rPr>
          <w:spacing w:val="-10"/>
          <w:sz w:val="21"/>
        </w:rPr>
        <w:t> </w:t>
      </w:r>
      <w:r>
        <w:rPr>
          <w:sz w:val="21"/>
        </w:rPr>
        <w:t>Prevent</w:t>
      </w:r>
      <w:r>
        <w:rPr>
          <w:spacing w:val="-9"/>
          <w:sz w:val="21"/>
        </w:rPr>
        <w:t> </w:t>
      </w:r>
      <w:r>
        <w:rPr>
          <w:sz w:val="21"/>
        </w:rPr>
        <w:t>Human</w:t>
      </w:r>
      <w:r>
        <w:rPr>
          <w:spacing w:val="-9"/>
          <w:sz w:val="21"/>
        </w:rPr>
        <w:t> </w:t>
      </w:r>
      <w:r>
        <w:rPr>
          <w:sz w:val="21"/>
        </w:rPr>
        <w:t>Trafficking</w:t>
      </w:r>
      <w:r>
        <w:rPr>
          <w:spacing w:val="-10"/>
          <w:sz w:val="21"/>
        </w:rPr>
        <w:t> </w:t>
      </w:r>
      <w:r>
        <w:rPr>
          <w:sz w:val="21"/>
        </w:rPr>
        <w:t>and</w:t>
      </w:r>
      <w:r>
        <w:rPr>
          <w:spacing w:val="-9"/>
          <w:sz w:val="21"/>
        </w:rPr>
        <w:t> </w:t>
      </w:r>
      <w:r>
        <w:rPr>
          <w:sz w:val="21"/>
        </w:rPr>
        <w:t>Improve</w:t>
      </w:r>
      <w:r>
        <w:rPr>
          <w:spacing w:val="-9"/>
          <w:sz w:val="21"/>
        </w:rPr>
        <w:t> </w:t>
      </w:r>
      <w:r>
        <w:rPr>
          <w:sz w:val="21"/>
        </w:rPr>
        <w:t>the Health</w:t>
      </w:r>
      <w:r>
        <w:rPr>
          <w:spacing w:val="-7"/>
          <w:sz w:val="21"/>
        </w:rPr>
        <w:t> </w:t>
      </w:r>
      <w:r>
        <w:rPr>
          <w:sz w:val="21"/>
        </w:rPr>
        <w:t>and</w:t>
      </w:r>
      <w:r>
        <w:rPr>
          <w:spacing w:val="-8"/>
          <w:sz w:val="21"/>
        </w:rPr>
        <w:t> </w:t>
      </w:r>
      <w:r>
        <w:rPr>
          <w:sz w:val="21"/>
        </w:rPr>
        <w:t>Safety</w:t>
      </w:r>
      <w:r>
        <w:rPr>
          <w:spacing w:val="-7"/>
          <w:sz w:val="21"/>
        </w:rPr>
        <w:t> </w:t>
      </w:r>
      <w:r>
        <w:rPr>
          <w:sz w:val="21"/>
        </w:rPr>
        <w:t>of</w:t>
      </w:r>
      <w:r>
        <w:rPr>
          <w:spacing w:val="-8"/>
          <w:sz w:val="21"/>
        </w:rPr>
        <w:t> </w:t>
      </w:r>
      <w:r>
        <w:rPr>
          <w:sz w:val="21"/>
        </w:rPr>
        <w:t>Sex</w:t>
      </w:r>
      <w:r>
        <w:rPr>
          <w:spacing w:val="-7"/>
          <w:sz w:val="21"/>
        </w:rPr>
        <w:t> </w:t>
      </w:r>
      <w:r>
        <w:rPr>
          <w:sz w:val="21"/>
        </w:rPr>
        <w:t>Workers</w:t>
      </w:r>
      <w:r>
        <w:rPr>
          <w:spacing w:val="-7"/>
          <w:sz w:val="21"/>
        </w:rPr>
        <w:t> </w:t>
      </w:r>
      <w:r>
        <w:rPr>
          <w:sz w:val="21"/>
        </w:rPr>
        <w:t>(S.1046/H.1758),</w:t>
      </w:r>
      <w:r>
        <w:rPr>
          <w:spacing w:val="-8"/>
          <w:sz w:val="21"/>
        </w:rPr>
        <w:t> </w:t>
      </w:r>
      <w:r>
        <w:rPr>
          <w:sz w:val="21"/>
        </w:rPr>
        <w:t>which</w:t>
      </w:r>
      <w:r>
        <w:rPr>
          <w:spacing w:val="-7"/>
          <w:sz w:val="21"/>
        </w:rPr>
        <w:t> </w:t>
      </w:r>
      <w:r>
        <w:rPr>
          <w:sz w:val="21"/>
        </w:rPr>
        <w:t>would</w:t>
      </w:r>
      <w:r>
        <w:rPr>
          <w:spacing w:val="-8"/>
          <w:sz w:val="21"/>
        </w:rPr>
        <w:t> </w:t>
      </w:r>
      <w:r>
        <w:rPr>
          <w:sz w:val="21"/>
        </w:rPr>
        <w:t>further</w:t>
      </w:r>
      <w:r>
        <w:rPr>
          <w:spacing w:val="-7"/>
          <w:sz w:val="21"/>
        </w:rPr>
        <w:t> </w:t>
      </w:r>
      <w:r>
        <w:rPr>
          <w:sz w:val="21"/>
        </w:rPr>
        <w:t>support</w:t>
      </w:r>
      <w:r>
        <w:rPr>
          <w:spacing w:val="-7"/>
          <w:sz w:val="21"/>
        </w:rPr>
        <w:t> </w:t>
      </w:r>
      <w:r>
        <w:rPr>
          <w:sz w:val="21"/>
        </w:rPr>
        <w:t>sex</w:t>
      </w:r>
      <w:r>
        <w:rPr>
          <w:spacing w:val="-7"/>
          <w:sz w:val="21"/>
        </w:rPr>
        <w:t> </w:t>
      </w:r>
      <w:r>
        <w:rPr>
          <w:sz w:val="21"/>
        </w:rPr>
        <w:t>workers</w:t>
      </w:r>
      <w:r>
        <w:rPr>
          <w:spacing w:val="-7"/>
          <w:sz w:val="21"/>
        </w:rPr>
        <w:t> </w:t>
      </w:r>
      <w:r>
        <w:rPr>
          <w:sz w:val="21"/>
        </w:rPr>
        <w:t>and</w:t>
      </w:r>
      <w:r>
        <w:rPr>
          <w:spacing w:val="-8"/>
          <w:sz w:val="21"/>
        </w:rPr>
        <w:t> </w:t>
      </w:r>
      <w:r>
        <w:rPr>
          <w:sz w:val="21"/>
        </w:rPr>
        <w:t>victims</w:t>
      </w:r>
      <w:r>
        <w:rPr>
          <w:spacing w:val="-7"/>
          <w:sz w:val="21"/>
        </w:rPr>
        <w:t> </w:t>
      </w:r>
      <w:r>
        <w:rPr>
          <w:sz w:val="21"/>
        </w:rPr>
        <w:t>of trafficking or exploitation by developing a Human Trafficking Prevention and Sex Worker Project, and establish an interagency committee to study more effectively a path for the full decriminalization of sex work in the Commonwealth. For years, research has shown that the criminalization of sex work has made sex workers</w:t>
      </w:r>
      <w:r>
        <w:rPr>
          <w:spacing w:val="-2"/>
          <w:sz w:val="21"/>
        </w:rPr>
        <w:t> </w:t>
      </w:r>
      <w:r>
        <w:rPr>
          <w:sz w:val="21"/>
        </w:rPr>
        <w:t>more</w:t>
      </w:r>
      <w:r>
        <w:rPr>
          <w:spacing w:val="-1"/>
          <w:sz w:val="21"/>
        </w:rPr>
        <w:t> </w:t>
      </w:r>
      <w:r>
        <w:rPr>
          <w:sz w:val="21"/>
        </w:rPr>
        <w:t>vulnerable</w:t>
      </w:r>
      <w:r>
        <w:rPr>
          <w:spacing w:val="-1"/>
          <w:sz w:val="21"/>
        </w:rPr>
        <w:t> </w:t>
      </w:r>
      <w:r>
        <w:rPr>
          <w:sz w:val="21"/>
        </w:rPr>
        <w:t>to</w:t>
      </w:r>
      <w:r>
        <w:rPr>
          <w:spacing w:val="-1"/>
          <w:sz w:val="21"/>
        </w:rPr>
        <w:t> </w:t>
      </w:r>
      <w:r>
        <w:rPr>
          <w:sz w:val="21"/>
        </w:rPr>
        <w:t>violence</w:t>
      </w:r>
      <w:r>
        <w:rPr>
          <w:spacing w:val="-1"/>
          <w:sz w:val="21"/>
        </w:rPr>
        <w:t> </w:t>
      </w:r>
      <w:r>
        <w:rPr>
          <w:sz w:val="21"/>
        </w:rPr>
        <w:t>and</w:t>
      </w:r>
      <w:r>
        <w:rPr>
          <w:spacing w:val="-2"/>
          <w:sz w:val="21"/>
        </w:rPr>
        <w:t> </w:t>
      </w:r>
      <w:r>
        <w:rPr>
          <w:sz w:val="21"/>
        </w:rPr>
        <w:t>discrimination</w:t>
      </w:r>
      <w:r>
        <w:rPr>
          <w:spacing w:val="-1"/>
          <w:sz w:val="21"/>
        </w:rPr>
        <w:t> </w:t>
      </w:r>
      <w:r>
        <w:rPr>
          <w:sz w:val="21"/>
        </w:rPr>
        <w:t>from police, and</w:t>
      </w:r>
      <w:r>
        <w:rPr>
          <w:spacing w:val="-1"/>
          <w:sz w:val="21"/>
        </w:rPr>
        <w:t> </w:t>
      </w:r>
      <w:r>
        <w:rPr>
          <w:sz w:val="21"/>
        </w:rPr>
        <w:t>leads</w:t>
      </w:r>
      <w:r>
        <w:rPr>
          <w:spacing w:val="-1"/>
          <w:sz w:val="21"/>
        </w:rPr>
        <w:t> </w:t>
      </w:r>
      <w:r>
        <w:rPr>
          <w:sz w:val="21"/>
        </w:rPr>
        <w:t>to</w:t>
      </w:r>
      <w:r>
        <w:rPr>
          <w:spacing w:val="-1"/>
          <w:sz w:val="21"/>
        </w:rPr>
        <w:t> </w:t>
      </w:r>
      <w:r>
        <w:rPr>
          <w:sz w:val="21"/>
        </w:rPr>
        <w:t>poorer public</w:t>
      </w:r>
      <w:r>
        <w:rPr>
          <w:spacing w:val="-1"/>
          <w:sz w:val="21"/>
        </w:rPr>
        <w:t> </w:t>
      </w:r>
      <w:r>
        <w:rPr>
          <w:sz w:val="21"/>
        </w:rPr>
        <w:t>health outcomes.</w:t>
      </w:r>
      <w:r>
        <w:rPr>
          <w:spacing w:val="-7"/>
          <w:sz w:val="21"/>
        </w:rPr>
        <w:t> </w:t>
      </w:r>
      <w:r>
        <w:rPr>
          <w:sz w:val="21"/>
        </w:rPr>
        <w:t>Furthermore,</w:t>
      </w:r>
      <w:r>
        <w:rPr>
          <w:spacing w:val="-6"/>
          <w:sz w:val="21"/>
        </w:rPr>
        <w:t> </w:t>
      </w:r>
      <w:r>
        <w:rPr>
          <w:sz w:val="21"/>
        </w:rPr>
        <w:t>due</w:t>
      </w:r>
      <w:r>
        <w:rPr>
          <w:spacing w:val="-7"/>
          <w:sz w:val="21"/>
        </w:rPr>
        <w:t> </w:t>
      </w:r>
      <w:r>
        <w:rPr>
          <w:sz w:val="21"/>
        </w:rPr>
        <w:t>to</w:t>
      </w:r>
      <w:r>
        <w:rPr>
          <w:spacing w:val="-7"/>
          <w:sz w:val="21"/>
        </w:rPr>
        <w:t> </w:t>
      </w:r>
      <w:r>
        <w:rPr>
          <w:sz w:val="21"/>
        </w:rPr>
        <w:t>increased</w:t>
      </w:r>
      <w:r>
        <w:rPr>
          <w:spacing w:val="-8"/>
          <w:sz w:val="21"/>
        </w:rPr>
        <w:t> </w:t>
      </w:r>
      <w:r>
        <w:rPr>
          <w:sz w:val="21"/>
        </w:rPr>
        <w:t>likelihood</w:t>
      </w:r>
      <w:r>
        <w:rPr>
          <w:spacing w:val="-7"/>
          <w:sz w:val="21"/>
        </w:rPr>
        <w:t> </w:t>
      </w:r>
      <w:r>
        <w:rPr>
          <w:sz w:val="21"/>
        </w:rPr>
        <w:t>of</w:t>
      </w:r>
      <w:r>
        <w:rPr>
          <w:spacing w:val="-7"/>
          <w:sz w:val="21"/>
        </w:rPr>
        <w:t> </w:t>
      </w:r>
      <w:r>
        <w:rPr>
          <w:sz w:val="21"/>
        </w:rPr>
        <w:t>experiencing</w:t>
      </w:r>
      <w:r>
        <w:rPr>
          <w:spacing w:val="-7"/>
          <w:sz w:val="21"/>
        </w:rPr>
        <w:t> </w:t>
      </w:r>
      <w:r>
        <w:rPr>
          <w:sz w:val="21"/>
        </w:rPr>
        <w:t>homelessness</w:t>
      </w:r>
      <w:r>
        <w:rPr>
          <w:spacing w:val="-6"/>
          <w:sz w:val="21"/>
        </w:rPr>
        <w:t> </w:t>
      </w:r>
      <w:r>
        <w:rPr>
          <w:sz w:val="21"/>
        </w:rPr>
        <w:t>and</w:t>
      </w:r>
      <w:r>
        <w:rPr>
          <w:spacing w:val="-7"/>
          <w:sz w:val="21"/>
        </w:rPr>
        <w:t> </w:t>
      </w:r>
      <w:r>
        <w:rPr>
          <w:sz w:val="21"/>
        </w:rPr>
        <w:t>financial</w:t>
      </w:r>
      <w:r>
        <w:rPr>
          <w:spacing w:val="-7"/>
          <w:sz w:val="21"/>
        </w:rPr>
        <w:t> </w:t>
      </w:r>
      <w:r>
        <w:rPr>
          <w:sz w:val="21"/>
        </w:rPr>
        <w:t>insecurity, LGBTQ youth are more likely to exchange sex to meet their financial and material needs, than their heterosexual, cisgender peers, as well as more at-risk of sexual exploitation and trafficking. As discussed thoroughly in the public health section of this annual report, too often, law enforcement officers and policymakers conflate ‘sex work’ with ‘sex trafficking’ which leads to ineffective policy implementations, and increased criminalization of LGBTQ youth.</w:t>
      </w:r>
    </w:p>
    <w:p>
      <w:pPr>
        <w:pStyle w:val="ListParagraph"/>
        <w:numPr>
          <w:ilvl w:val="0"/>
          <w:numId w:val="26"/>
        </w:numPr>
        <w:tabs>
          <w:tab w:pos="463" w:val="left" w:leader="none"/>
        </w:tabs>
        <w:spacing w:line="240" w:lineRule="auto" w:before="241" w:after="0"/>
        <w:ind w:left="463" w:right="0" w:hanging="359"/>
        <w:jc w:val="left"/>
        <w:rPr>
          <w:b/>
          <w:sz w:val="21"/>
        </w:rPr>
      </w:pPr>
      <w:r>
        <w:rPr>
          <w:b/>
          <w:sz w:val="21"/>
        </w:rPr>
        <w:t>Improve</w:t>
      </w:r>
      <w:r>
        <w:rPr>
          <w:b/>
          <w:spacing w:val="-6"/>
          <w:sz w:val="21"/>
        </w:rPr>
        <w:t> </w:t>
      </w:r>
      <w:r>
        <w:rPr>
          <w:b/>
          <w:sz w:val="21"/>
        </w:rPr>
        <w:t>conditions</w:t>
      </w:r>
      <w:r>
        <w:rPr>
          <w:b/>
          <w:spacing w:val="-3"/>
          <w:sz w:val="21"/>
        </w:rPr>
        <w:t> </w:t>
      </w:r>
      <w:r>
        <w:rPr>
          <w:b/>
          <w:sz w:val="21"/>
        </w:rPr>
        <w:t>of</w:t>
      </w:r>
      <w:r>
        <w:rPr>
          <w:b/>
          <w:spacing w:val="-3"/>
          <w:sz w:val="21"/>
        </w:rPr>
        <w:t> </w:t>
      </w:r>
      <w:r>
        <w:rPr>
          <w:b/>
          <w:sz w:val="21"/>
        </w:rPr>
        <w:t>confinement</w:t>
      </w:r>
      <w:r>
        <w:rPr>
          <w:b/>
          <w:spacing w:val="-3"/>
          <w:sz w:val="21"/>
        </w:rPr>
        <w:t> </w:t>
      </w:r>
      <w:r>
        <w:rPr>
          <w:b/>
          <w:sz w:val="21"/>
        </w:rPr>
        <w:t>for</w:t>
      </w:r>
      <w:r>
        <w:rPr>
          <w:b/>
          <w:spacing w:val="-4"/>
          <w:sz w:val="21"/>
        </w:rPr>
        <w:t> </w:t>
      </w:r>
      <w:r>
        <w:rPr>
          <w:b/>
          <w:sz w:val="21"/>
        </w:rPr>
        <w:t>incarcerated</w:t>
      </w:r>
      <w:r>
        <w:rPr>
          <w:b/>
          <w:spacing w:val="-3"/>
          <w:sz w:val="21"/>
        </w:rPr>
        <w:t> </w:t>
      </w:r>
      <w:r>
        <w:rPr>
          <w:b/>
          <w:sz w:val="21"/>
        </w:rPr>
        <w:t>LGBTQ</w:t>
      </w:r>
      <w:r>
        <w:rPr>
          <w:b/>
          <w:spacing w:val="-3"/>
          <w:sz w:val="21"/>
        </w:rPr>
        <w:t> </w:t>
      </w:r>
      <w:r>
        <w:rPr>
          <w:b/>
          <w:sz w:val="21"/>
        </w:rPr>
        <w:t>and</w:t>
      </w:r>
      <w:r>
        <w:rPr>
          <w:b/>
          <w:spacing w:val="-3"/>
          <w:sz w:val="21"/>
        </w:rPr>
        <w:t> </w:t>
      </w:r>
      <w:r>
        <w:rPr>
          <w:b/>
          <w:sz w:val="21"/>
        </w:rPr>
        <w:t>intersex</w:t>
      </w:r>
      <w:r>
        <w:rPr>
          <w:b/>
          <w:spacing w:val="-3"/>
          <w:sz w:val="21"/>
        </w:rPr>
        <w:t> </w:t>
      </w:r>
      <w:r>
        <w:rPr>
          <w:b/>
          <w:spacing w:val="-2"/>
          <w:sz w:val="21"/>
        </w:rPr>
        <w:t>individuals.</w:t>
      </w:r>
    </w:p>
    <w:p>
      <w:pPr>
        <w:pStyle w:val="BodyText"/>
        <w:spacing w:before="21"/>
        <w:rPr>
          <w:b/>
          <w:sz w:val="21"/>
        </w:rPr>
      </w:pPr>
    </w:p>
    <w:p>
      <w:pPr>
        <w:spacing w:line="276" w:lineRule="auto" w:before="0"/>
        <w:ind w:left="464" w:right="240" w:firstLine="0"/>
        <w:jc w:val="both"/>
        <w:rPr>
          <w:sz w:val="21"/>
        </w:rPr>
      </w:pPr>
      <w:r>
        <w:rPr>
          <w:sz w:val="21"/>
        </w:rPr>
        <w:t>Nationally, LGBTQ and intersex individuals are overrepresented among prison inmates in the adult legal system, and face higher rates of abuse and physical and sexual assault than their non-LGBTQ peers. While little</w:t>
      </w:r>
      <w:r>
        <w:rPr>
          <w:spacing w:val="-2"/>
          <w:sz w:val="21"/>
        </w:rPr>
        <w:t> </w:t>
      </w:r>
      <w:r>
        <w:rPr>
          <w:sz w:val="21"/>
        </w:rPr>
        <w:t>research</w:t>
      </w:r>
      <w:r>
        <w:rPr>
          <w:spacing w:val="-2"/>
          <w:sz w:val="21"/>
        </w:rPr>
        <w:t> </w:t>
      </w:r>
      <w:r>
        <w:rPr>
          <w:sz w:val="21"/>
        </w:rPr>
        <w:t>exists</w:t>
      </w:r>
      <w:r>
        <w:rPr>
          <w:spacing w:val="-2"/>
          <w:sz w:val="21"/>
        </w:rPr>
        <w:t> </w:t>
      </w:r>
      <w:r>
        <w:rPr>
          <w:sz w:val="21"/>
        </w:rPr>
        <w:t>on</w:t>
      </w:r>
      <w:r>
        <w:rPr>
          <w:spacing w:val="-2"/>
          <w:sz w:val="21"/>
        </w:rPr>
        <w:t> </w:t>
      </w:r>
      <w:r>
        <w:rPr>
          <w:sz w:val="21"/>
        </w:rPr>
        <w:t>current</w:t>
      </w:r>
      <w:r>
        <w:rPr>
          <w:spacing w:val="-1"/>
          <w:sz w:val="21"/>
        </w:rPr>
        <w:t> </w:t>
      </w:r>
      <w:r>
        <w:rPr>
          <w:sz w:val="21"/>
        </w:rPr>
        <w:t>prison</w:t>
      </w:r>
      <w:r>
        <w:rPr>
          <w:spacing w:val="-2"/>
          <w:sz w:val="21"/>
        </w:rPr>
        <w:t> </w:t>
      </w:r>
      <w:r>
        <w:rPr>
          <w:sz w:val="21"/>
        </w:rPr>
        <w:t>conditions</w:t>
      </w:r>
      <w:r>
        <w:rPr>
          <w:spacing w:val="-2"/>
          <w:sz w:val="21"/>
        </w:rPr>
        <w:t> </w:t>
      </w:r>
      <w:r>
        <w:rPr>
          <w:sz w:val="21"/>
        </w:rPr>
        <w:t>for</w:t>
      </w:r>
      <w:r>
        <w:rPr>
          <w:spacing w:val="-2"/>
          <w:sz w:val="21"/>
        </w:rPr>
        <w:t> </w:t>
      </w:r>
      <w:r>
        <w:rPr>
          <w:sz w:val="21"/>
        </w:rPr>
        <w:t>incarcerated</w:t>
      </w:r>
      <w:r>
        <w:rPr>
          <w:spacing w:val="-2"/>
          <w:sz w:val="21"/>
        </w:rPr>
        <w:t> </w:t>
      </w:r>
      <w:r>
        <w:rPr>
          <w:sz w:val="21"/>
        </w:rPr>
        <w:t>intersex</w:t>
      </w:r>
      <w:r>
        <w:rPr>
          <w:spacing w:val="-2"/>
          <w:sz w:val="21"/>
        </w:rPr>
        <w:t> </w:t>
      </w:r>
      <w:r>
        <w:rPr>
          <w:sz w:val="21"/>
        </w:rPr>
        <w:t>individuals,</w:t>
      </w:r>
      <w:r>
        <w:rPr>
          <w:spacing w:val="-1"/>
          <w:sz w:val="21"/>
        </w:rPr>
        <w:t> </w:t>
      </w:r>
      <w:r>
        <w:rPr>
          <w:sz w:val="21"/>
        </w:rPr>
        <w:t>studies</w:t>
      </w:r>
      <w:r>
        <w:rPr>
          <w:spacing w:val="-2"/>
          <w:sz w:val="21"/>
        </w:rPr>
        <w:t> </w:t>
      </w:r>
      <w:r>
        <w:rPr>
          <w:sz w:val="21"/>
        </w:rPr>
        <w:t>have</w:t>
      </w:r>
      <w:r>
        <w:rPr>
          <w:spacing w:val="-2"/>
          <w:sz w:val="21"/>
        </w:rPr>
        <w:t> </w:t>
      </w:r>
      <w:r>
        <w:rPr>
          <w:sz w:val="21"/>
        </w:rPr>
        <w:t>shown this</w:t>
      </w:r>
      <w:r>
        <w:rPr>
          <w:spacing w:val="-9"/>
          <w:sz w:val="21"/>
        </w:rPr>
        <w:t> </w:t>
      </w:r>
      <w:r>
        <w:rPr>
          <w:sz w:val="21"/>
        </w:rPr>
        <w:t>group</w:t>
      </w:r>
      <w:r>
        <w:rPr>
          <w:spacing w:val="-9"/>
          <w:sz w:val="21"/>
        </w:rPr>
        <w:t> </w:t>
      </w:r>
      <w:r>
        <w:rPr>
          <w:sz w:val="21"/>
        </w:rPr>
        <w:t>to</w:t>
      </w:r>
      <w:r>
        <w:rPr>
          <w:spacing w:val="-10"/>
          <w:sz w:val="21"/>
        </w:rPr>
        <w:t> </w:t>
      </w:r>
      <w:r>
        <w:rPr>
          <w:sz w:val="21"/>
        </w:rPr>
        <w:t>be</w:t>
      </w:r>
      <w:r>
        <w:rPr>
          <w:spacing w:val="-9"/>
          <w:sz w:val="21"/>
        </w:rPr>
        <w:t> </w:t>
      </w:r>
      <w:r>
        <w:rPr>
          <w:sz w:val="21"/>
        </w:rPr>
        <w:t>particularly</w:t>
      </w:r>
      <w:r>
        <w:rPr>
          <w:spacing w:val="-10"/>
          <w:sz w:val="21"/>
        </w:rPr>
        <w:t> </w:t>
      </w:r>
      <w:r>
        <w:rPr>
          <w:sz w:val="21"/>
        </w:rPr>
        <w:t>vulnerable</w:t>
      </w:r>
      <w:r>
        <w:rPr>
          <w:spacing w:val="-10"/>
          <w:sz w:val="21"/>
        </w:rPr>
        <w:t> </w:t>
      </w:r>
      <w:r>
        <w:rPr>
          <w:sz w:val="21"/>
        </w:rPr>
        <w:t>to</w:t>
      </w:r>
      <w:r>
        <w:rPr>
          <w:spacing w:val="-10"/>
          <w:sz w:val="21"/>
        </w:rPr>
        <w:t> </w:t>
      </w:r>
      <w:r>
        <w:rPr>
          <w:sz w:val="21"/>
        </w:rPr>
        <w:t>sexual</w:t>
      </w:r>
      <w:r>
        <w:rPr>
          <w:spacing w:val="-9"/>
          <w:sz w:val="21"/>
        </w:rPr>
        <w:t> </w:t>
      </w:r>
      <w:r>
        <w:rPr>
          <w:sz w:val="21"/>
        </w:rPr>
        <w:t>abuse.</w:t>
      </w:r>
      <w:r>
        <w:rPr>
          <w:spacing w:val="-10"/>
          <w:sz w:val="21"/>
        </w:rPr>
        <w:t> </w:t>
      </w:r>
      <w:r>
        <w:rPr>
          <w:sz w:val="21"/>
        </w:rPr>
        <w:t>As</w:t>
      </w:r>
      <w:r>
        <w:rPr>
          <w:spacing w:val="-9"/>
          <w:sz w:val="21"/>
        </w:rPr>
        <w:t> </w:t>
      </w:r>
      <w:r>
        <w:rPr>
          <w:sz w:val="21"/>
        </w:rPr>
        <w:t>noted</w:t>
      </w:r>
      <w:r>
        <w:rPr>
          <w:spacing w:val="-9"/>
          <w:sz w:val="21"/>
        </w:rPr>
        <w:t> </w:t>
      </w:r>
      <w:r>
        <w:rPr>
          <w:sz w:val="21"/>
        </w:rPr>
        <w:t>above,</w:t>
      </w:r>
      <w:r>
        <w:rPr>
          <w:spacing w:val="-9"/>
          <w:sz w:val="21"/>
        </w:rPr>
        <w:t> </w:t>
      </w:r>
      <w:r>
        <w:rPr>
          <w:sz w:val="21"/>
        </w:rPr>
        <w:t>the</w:t>
      </w:r>
      <w:r>
        <w:rPr>
          <w:spacing w:val="-10"/>
          <w:sz w:val="21"/>
        </w:rPr>
        <w:t> </w:t>
      </w:r>
      <w:r>
        <w:rPr>
          <w:sz w:val="21"/>
        </w:rPr>
        <w:t>Commission</w:t>
      </w:r>
      <w:r>
        <w:rPr>
          <w:spacing w:val="-9"/>
          <w:sz w:val="21"/>
        </w:rPr>
        <w:t> </w:t>
      </w:r>
      <w:r>
        <w:rPr>
          <w:sz w:val="21"/>
        </w:rPr>
        <w:t>strongly</w:t>
      </w:r>
      <w:r>
        <w:rPr>
          <w:spacing w:val="-8"/>
          <w:sz w:val="21"/>
        </w:rPr>
        <w:t> </w:t>
      </w:r>
      <w:r>
        <w:rPr>
          <w:sz w:val="21"/>
        </w:rPr>
        <w:t>urges</w:t>
      </w:r>
      <w:r>
        <w:rPr>
          <w:spacing w:val="-9"/>
          <w:sz w:val="21"/>
        </w:rPr>
        <w:t> </w:t>
      </w:r>
      <w:r>
        <w:rPr>
          <w:sz w:val="21"/>
        </w:rPr>
        <w:t>the state to pass and enact the RIGHTS Act (S.1499/H.2357) to ensure stronger protections of LGBTQI incarcerated youth in the adult criminal legal system, as well as conduct research studies to better understand the experiences of LGBTQ individuals being detained across the state.</w:t>
      </w:r>
    </w:p>
    <w:p>
      <w:pPr>
        <w:pStyle w:val="ListParagraph"/>
        <w:numPr>
          <w:ilvl w:val="0"/>
          <w:numId w:val="26"/>
        </w:numPr>
        <w:tabs>
          <w:tab w:pos="463" w:val="left" w:leader="none"/>
        </w:tabs>
        <w:spacing w:line="240" w:lineRule="auto" w:before="241" w:after="0"/>
        <w:ind w:left="463" w:right="0" w:hanging="359"/>
        <w:jc w:val="left"/>
        <w:rPr>
          <w:b/>
          <w:sz w:val="21"/>
        </w:rPr>
      </w:pPr>
      <w:r>
        <w:rPr>
          <w:b/>
          <w:sz w:val="21"/>
        </w:rPr>
        <w:t>Provide</w:t>
      </w:r>
      <w:r>
        <w:rPr>
          <w:b/>
          <w:spacing w:val="-4"/>
          <w:sz w:val="21"/>
        </w:rPr>
        <w:t> </w:t>
      </w:r>
      <w:r>
        <w:rPr>
          <w:b/>
          <w:sz w:val="21"/>
        </w:rPr>
        <w:t>increased</w:t>
      </w:r>
      <w:r>
        <w:rPr>
          <w:b/>
          <w:spacing w:val="-3"/>
          <w:sz w:val="21"/>
        </w:rPr>
        <w:t> </w:t>
      </w:r>
      <w:r>
        <w:rPr>
          <w:b/>
          <w:sz w:val="21"/>
        </w:rPr>
        <w:t>legal</w:t>
      </w:r>
      <w:r>
        <w:rPr>
          <w:b/>
          <w:spacing w:val="-4"/>
          <w:sz w:val="21"/>
        </w:rPr>
        <w:t> </w:t>
      </w:r>
      <w:r>
        <w:rPr>
          <w:b/>
          <w:sz w:val="21"/>
        </w:rPr>
        <w:t>support</w:t>
      </w:r>
      <w:r>
        <w:rPr>
          <w:b/>
          <w:spacing w:val="-3"/>
          <w:sz w:val="21"/>
        </w:rPr>
        <w:t> </w:t>
      </w:r>
      <w:r>
        <w:rPr>
          <w:b/>
          <w:sz w:val="21"/>
        </w:rPr>
        <w:t>for</w:t>
      </w:r>
      <w:r>
        <w:rPr>
          <w:b/>
          <w:spacing w:val="-4"/>
          <w:sz w:val="21"/>
        </w:rPr>
        <w:t> </w:t>
      </w:r>
      <w:r>
        <w:rPr>
          <w:b/>
          <w:sz w:val="21"/>
        </w:rPr>
        <w:t>undocumented</w:t>
      </w:r>
      <w:r>
        <w:rPr>
          <w:b/>
          <w:spacing w:val="-3"/>
          <w:sz w:val="21"/>
        </w:rPr>
        <w:t> </w:t>
      </w:r>
      <w:r>
        <w:rPr>
          <w:b/>
          <w:spacing w:val="-2"/>
          <w:sz w:val="21"/>
        </w:rPr>
        <w:t>youth.</w:t>
      </w:r>
    </w:p>
    <w:p>
      <w:pPr>
        <w:pStyle w:val="BodyText"/>
        <w:spacing w:before="22"/>
        <w:rPr>
          <w:b/>
          <w:sz w:val="21"/>
        </w:rPr>
      </w:pPr>
    </w:p>
    <w:p>
      <w:pPr>
        <w:spacing w:line="276" w:lineRule="auto" w:before="0"/>
        <w:ind w:left="464" w:right="239" w:firstLine="0"/>
        <w:jc w:val="both"/>
        <w:rPr>
          <w:sz w:val="21"/>
        </w:rPr>
      </w:pPr>
      <w:r>
        <w:rPr>
          <w:sz w:val="21"/>
        </w:rPr>
        <w:t>At a time when the federal government is increasingly targeting undocumented communities and Massachusetts is seeing a significant increase in new arrivals to the state, it is imperative that the state takes steps to ensure that local police do not work hand in hand with the federal government to carry out the work of Immigration and Customs Enforcement (ICE). It is well documented that LGBTQ youth— particularly</w:t>
      </w:r>
      <w:r>
        <w:rPr>
          <w:spacing w:val="-12"/>
          <w:sz w:val="21"/>
        </w:rPr>
        <w:t> </w:t>
      </w:r>
      <w:r>
        <w:rPr>
          <w:sz w:val="21"/>
        </w:rPr>
        <w:t>LGBTQ</w:t>
      </w:r>
      <w:r>
        <w:rPr>
          <w:spacing w:val="-12"/>
          <w:sz w:val="21"/>
        </w:rPr>
        <w:t> </w:t>
      </w:r>
      <w:r>
        <w:rPr>
          <w:sz w:val="21"/>
        </w:rPr>
        <w:t>youth</w:t>
      </w:r>
      <w:r>
        <w:rPr>
          <w:spacing w:val="-12"/>
          <w:sz w:val="21"/>
        </w:rPr>
        <w:t> </w:t>
      </w:r>
      <w:r>
        <w:rPr>
          <w:sz w:val="21"/>
        </w:rPr>
        <w:t>of</w:t>
      </w:r>
      <w:r>
        <w:rPr>
          <w:spacing w:val="-12"/>
          <w:sz w:val="21"/>
        </w:rPr>
        <w:t> </w:t>
      </w:r>
      <w:r>
        <w:rPr>
          <w:sz w:val="21"/>
        </w:rPr>
        <w:t>color—are</w:t>
      </w:r>
      <w:r>
        <w:rPr>
          <w:spacing w:val="-12"/>
          <w:sz w:val="21"/>
        </w:rPr>
        <w:t> </w:t>
      </w:r>
      <w:r>
        <w:rPr>
          <w:sz w:val="21"/>
        </w:rPr>
        <w:t>overrepresented</w:t>
      </w:r>
      <w:r>
        <w:rPr>
          <w:spacing w:val="-12"/>
          <w:sz w:val="21"/>
        </w:rPr>
        <w:t> </w:t>
      </w:r>
      <w:r>
        <w:rPr>
          <w:sz w:val="21"/>
        </w:rPr>
        <w:t>in</w:t>
      </w:r>
      <w:r>
        <w:rPr>
          <w:spacing w:val="-12"/>
          <w:sz w:val="21"/>
        </w:rPr>
        <w:t> </w:t>
      </w:r>
      <w:r>
        <w:rPr>
          <w:sz w:val="21"/>
        </w:rPr>
        <w:t>the</w:t>
      </w:r>
      <w:r>
        <w:rPr>
          <w:spacing w:val="-11"/>
          <w:sz w:val="21"/>
        </w:rPr>
        <w:t> </w:t>
      </w:r>
      <w:r>
        <w:rPr>
          <w:sz w:val="21"/>
        </w:rPr>
        <w:t>justice</w:t>
      </w:r>
      <w:r>
        <w:rPr>
          <w:spacing w:val="-12"/>
          <w:sz w:val="21"/>
        </w:rPr>
        <w:t> </w:t>
      </w:r>
      <w:r>
        <w:rPr>
          <w:sz w:val="21"/>
        </w:rPr>
        <w:t>system.</w:t>
      </w:r>
      <w:r>
        <w:rPr>
          <w:spacing w:val="-12"/>
          <w:sz w:val="21"/>
        </w:rPr>
        <w:t> </w:t>
      </w:r>
      <w:r>
        <w:rPr>
          <w:sz w:val="21"/>
        </w:rPr>
        <w:t>Undocumented</w:t>
      </w:r>
      <w:r>
        <w:rPr>
          <w:spacing w:val="-12"/>
          <w:sz w:val="21"/>
        </w:rPr>
        <w:t> </w:t>
      </w:r>
      <w:r>
        <w:rPr>
          <w:sz w:val="21"/>
        </w:rPr>
        <w:t>LGBTQ</w:t>
      </w:r>
      <w:r>
        <w:rPr>
          <w:spacing w:val="-12"/>
          <w:sz w:val="21"/>
        </w:rPr>
        <w:t> </w:t>
      </w:r>
      <w:r>
        <w:rPr>
          <w:sz w:val="21"/>
        </w:rPr>
        <w:t>youth face additional vulnerabilities due to documentation status. Massachusetts should take steps to protect undocumented immigrants, such as passing An Act to Protect the Civil Rights and Safety of All Massachusetts Residents (H.2288/S.1510), also known as the Safe Communities Act, which would ensure that local police do not share information with ICE.</w:t>
      </w:r>
    </w:p>
    <w:p>
      <w:pPr>
        <w:pStyle w:val="ListParagraph"/>
        <w:numPr>
          <w:ilvl w:val="0"/>
          <w:numId w:val="26"/>
        </w:numPr>
        <w:tabs>
          <w:tab w:pos="463" w:val="left" w:leader="none"/>
        </w:tabs>
        <w:spacing w:line="240" w:lineRule="auto" w:before="241" w:after="0"/>
        <w:ind w:left="463" w:right="0" w:hanging="359"/>
        <w:jc w:val="left"/>
        <w:rPr>
          <w:b/>
          <w:sz w:val="21"/>
        </w:rPr>
      </w:pPr>
      <w:r>
        <w:rPr>
          <w:b/>
          <w:sz w:val="21"/>
        </w:rPr>
        <w:t>Raise</w:t>
      </w:r>
      <w:r>
        <w:rPr>
          <w:b/>
          <w:spacing w:val="-4"/>
          <w:sz w:val="21"/>
        </w:rPr>
        <w:t> </w:t>
      </w:r>
      <w:r>
        <w:rPr>
          <w:b/>
          <w:sz w:val="21"/>
        </w:rPr>
        <w:t>the</w:t>
      </w:r>
      <w:r>
        <w:rPr>
          <w:b/>
          <w:spacing w:val="-1"/>
          <w:sz w:val="21"/>
        </w:rPr>
        <w:t> </w:t>
      </w:r>
      <w:r>
        <w:rPr>
          <w:b/>
          <w:sz w:val="21"/>
        </w:rPr>
        <w:t>age</w:t>
      </w:r>
      <w:r>
        <w:rPr>
          <w:b/>
          <w:spacing w:val="-3"/>
          <w:sz w:val="21"/>
        </w:rPr>
        <w:t> </w:t>
      </w:r>
      <w:r>
        <w:rPr>
          <w:b/>
          <w:sz w:val="21"/>
        </w:rPr>
        <w:t>of</w:t>
      </w:r>
      <w:r>
        <w:rPr>
          <w:b/>
          <w:spacing w:val="-1"/>
          <w:sz w:val="21"/>
        </w:rPr>
        <w:t> </w:t>
      </w:r>
      <w:r>
        <w:rPr>
          <w:b/>
          <w:sz w:val="21"/>
        </w:rPr>
        <w:t>the</w:t>
      </w:r>
      <w:r>
        <w:rPr>
          <w:b/>
          <w:spacing w:val="-2"/>
          <w:sz w:val="21"/>
        </w:rPr>
        <w:t> </w:t>
      </w:r>
      <w:r>
        <w:rPr>
          <w:b/>
          <w:sz w:val="21"/>
        </w:rPr>
        <w:t>juvenile</w:t>
      </w:r>
      <w:r>
        <w:rPr>
          <w:b/>
          <w:spacing w:val="-1"/>
          <w:sz w:val="21"/>
        </w:rPr>
        <w:t> </w:t>
      </w:r>
      <w:r>
        <w:rPr>
          <w:b/>
          <w:sz w:val="21"/>
        </w:rPr>
        <w:t>legal</w:t>
      </w:r>
      <w:r>
        <w:rPr>
          <w:b/>
          <w:spacing w:val="-2"/>
          <w:sz w:val="21"/>
        </w:rPr>
        <w:t> </w:t>
      </w:r>
      <w:r>
        <w:rPr>
          <w:b/>
          <w:sz w:val="21"/>
        </w:rPr>
        <w:t>system</w:t>
      </w:r>
      <w:r>
        <w:rPr>
          <w:b/>
          <w:spacing w:val="-1"/>
          <w:sz w:val="21"/>
        </w:rPr>
        <w:t> </w:t>
      </w:r>
      <w:r>
        <w:rPr>
          <w:b/>
          <w:sz w:val="21"/>
        </w:rPr>
        <w:t>to</w:t>
      </w:r>
      <w:r>
        <w:rPr>
          <w:b/>
          <w:spacing w:val="-2"/>
          <w:sz w:val="21"/>
        </w:rPr>
        <w:t> </w:t>
      </w:r>
      <w:r>
        <w:rPr>
          <w:b/>
          <w:sz w:val="21"/>
        </w:rPr>
        <w:t>include</w:t>
      </w:r>
      <w:r>
        <w:rPr>
          <w:b/>
          <w:spacing w:val="-2"/>
          <w:sz w:val="21"/>
        </w:rPr>
        <w:t> </w:t>
      </w:r>
      <w:r>
        <w:rPr>
          <w:b/>
          <w:sz w:val="21"/>
        </w:rPr>
        <w:t>18-to</w:t>
      </w:r>
      <w:r>
        <w:rPr>
          <w:b/>
          <w:spacing w:val="-2"/>
          <w:sz w:val="21"/>
        </w:rPr>
        <w:t> </w:t>
      </w:r>
      <w:r>
        <w:rPr>
          <w:b/>
          <w:sz w:val="21"/>
        </w:rPr>
        <w:t>20-year-</w:t>
      </w:r>
      <w:r>
        <w:rPr>
          <w:b/>
          <w:spacing w:val="-2"/>
          <w:sz w:val="21"/>
        </w:rPr>
        <w:t>olds.</w:t>
      </w:r>
    </w:p>
    <w:p>
      <w:pPr>
        <w:pStyle w:val="BodyText"/>
        <w:spacing w:before="21"/>
        <w:rPr>
          <w:b/>
          <w:sz w:val="21"/>
        </w:rPr>
      </w:pPr>
    </w:p>
    <w:p>
      <w:pPr>
        <w:spacing w:line="276" w:lineRule="auto" w:before="0"/>
        <w:ind w:left="464" w:right="240" w:firstLine="0"/>
        <w:jc w:val="both"/>
        <w:rPr>
          <w:sz w:val="21"/>
        </w:rPr>
      </w:pPr>
      <w:r>
        <w:rPr>
          <w:sz w:val="21"/>
        </w:rPr>
        <w:t>The Commission recommends that the legislature raise the age of the juvenile justice system to gradually include</w:t>
      </w:r>
      <w:r>
        <w:rPr>
          <w:spacing w:val="-6"/>
          <w:sz w:val="21"/>
        </w:rPr>
        <w:t> </w:t>
      </w:r>
      <w:r>
        <w:rPr>
          <w:sz w:val="21"/>
        </w:rPr>
        <w:t>18-</w:t>
      </w:r>
      <w:r>
        <w:rPr>
          <w:spacing w:val="-6"/>
          <w:sz w:val="21"/>
        </w:rPr>
        <w:t> </w:t>
      </w:r>
      <w:r>
        <w:rPr>
          <w:sz w:val="21"/>
        </w:rPr>
        <w:t>to</w:t>
      </w:r>
      <w:r>
        <w:rPr>
          <w:spacing w:val="-8"/>
          <w:sz w:val="21"/>
        </w:rPr>
        <w:t> </w:t>
      </w:r>
      <w:r>
        <w:rPr>
          <w:sz w:val="21"/>
        </w:rPr>
        <w:t>20-year-olds</w:t>
      </w:r>
      <w:r>
        <w:rPr>
          <w:spacing w:val="-7"/>
          <w:sz w:val="21"/>
        </w:rPr>
        <w:t> </w:t>
      </w:r>
      <w:r>
        <w:rPr>
          <w:sz w:val="21"/>
        </w:rPr>
        <w:t>to</w:t>
      </w:r>
      <w:r>
        <w:rPr>
          <w:spacing w:val="-6"/>
          <w:sz w:val="21"/>
        </w:rPr>
        <w:t> </w:t>
      </w:r>
      <w:r>
        <w:rPr>
          <w:sz w:val="21"/>
        </w:rPr>
        <w:t>improve</w:t>
      </w:r>
      <w:r>
        <w:rPr>
          <w:spacing w:val="-6"/>
          <w:sz w:val="21"/>
        </w:rPr>
        <w:t> </w:t>
      </w:r>
      <w:r>
        <w:rPr>
          <w:sz w:val="21"/>
        </w:rPr>
        <w:t>public</w:t>
      </w:r>
      <w:r>
        <w:rPr>
          <w:spacing w:val="-6"/>
          <w:sz w:val="21"/>
        </w:rPr>
        <w:t> </w:t>
      </w:r>
      <w:r>
        <w:rPr>
          <w:sz w:val="21"/>
        </w:rPr>
        <w:t>safety</w:t>
      </w:r>
      <w:r>
        <w:rPr>
          <w:spacing w:val="-6"/>
          <w:sz w:val="21"/>
        </w:rPr>
        <w:t> </w:t>
      </w:r>
      <w:r>
        <w:rPr>
          <w:sz w:val="21"/>
        </w:rPr>
        <w:t>and</w:t>
      </w:r>
      <w:r>
        <w:rPr>
          <w:spacing w:val="-7"/>
          <w:sz w:val="21"/>
        </w:rPr>
        <w:t> </w:t>
      </w:r>
      <w:r>
        <w:rPr>
          <w:sz w:val="21"/>
        </w:rPr>
        <w:t>improve</w:t>
      </w:r>
      <w:r>
        <w:rPr>
          <w:spacing w:val="-6"/>
          <w:sz w:val="21"/>
        </w:rPr>
        <w:t> </w:t>
      </w:r>
      <w:r>
        <w:rPr>
          <w:sz w:val="21"/>
        </w:rPr>
        <w:t>outcomes</w:t>
      </w:r>
      <w:r>
        <w:rPr>
          <w:spacing w:val="-6"/>
          <w:sz w:val="21"/>
        </w:rPr>
        <w:t> </w:t>
      </w:r>
      <w:r>
        <w:rPr>
          <w:sz w:val="21"/>
        </w:rPr>
        <w:t>for</w:t>
      </w:r>
      <w:r>
        <w:rPr>
          <w:spacing w:val="-6"/>
          <w:sz w:val="21"/>
        </w:rPr>
        <w:t> </w:t>
      </w:r>
      <w:r>
        <w:rPr>
          <w:sz w:val="21"/>
        </w:rPr>
        <w:t>the</w:t>
      </w:r>
      <w:r>
        <w:rPr>
          <w:spacing w:val="-7"/>
          <w:sz w:val="21"/>
        </w:rPr>
        <w:t> </w:t>
      </w:r>
      <w:r>
        <w:rPr>
          <w:sz w:val="21"/>
        </w:rPr>
        <w:t>teens</w:t>
      </w:r>
      <w:r>
        <w:rPr>
          <w:spacing w:val="-6"/>
          <w:sz w:val="21"/>
        </w:rPr>
        <w:t> </w:t>
      </w:r>
      <w:r>
        <w:rPr>
          <w:sz w:val="21"/>
        </w:rPr>
        <w:t>as</w:t>
      </w:r>
      <w:r>
        <w:rPr>
          <w:spacing w:val="-6"/>
          <w:sz w:val="21"/>
        </w:rPr>
        <w:t> </w:t>
      </w:r>
      <w:r>
        <w:rPr>
          <w:sz w:val="21"/>
        </w:rPr>
        <w:t>proposed</w:t>
      </w:r>
      <w:r>
        <w:rPr>
          <w:spacing w:val="-6"/>
          <w:sz w:val="21"/>
        </w:rPr>
        <w:t> </w:t>
      </w:r>
      <w:r>
        <w:rPr>
          <w:sz w:val="21"/>
        </w:rPr>
        <w:t>in</w:t>
      </w:r>
      <w:r>
        <w:rPr>
          <w:spacing w:val="-6"/>
          <w:sz w:val="21"/>
        </w:rPr>
        <w:t> </w:t>
      </w:r>
      <w:r>
        <w:rPr>
          <w:sz w:val="21"/>
        </w:rPr>
        <w:t>An Act to Promote Public Safety and Better Outcomes for Young Adults (S.942/H.1710), also known as ‘Raise the Age.’ Massachusetts is well-known to have better outcomes for youth in the juvenile justice system through the Department of Youth Services and for youth over the age of 18, these formative years are particularly important for LGBTQ youth who often struggle with mental health issues.</w:t>
      </w:r>
    </w:p>
    <w:p>
      <w:pPr>
        <w:spacing w:after="0" w:line="276" w:lineRule="auto"/>
        <w:jc w:val="both"/>
        <w:rPr>
          <w:sz w:val="21"/>
        </w:rPr>
        <w:sectPr>
          <w:pgSz w:w="12240" w:h="15840"/>
          <w:pgMar w:header="763" w:footer="1041" w:top="1360" w:bottom="1240" w:left="1120" w:right="1340"/>
        </w:sectPr>
      </w:pPr>
    </w:p>
    <w:p>
      <w:pPr>
        <w:pStyle w:val="ListParagraph"/>
        <w:numPr>
          <w:ilvl w:val="0"/>
          <w:numId w:val="26"/>
        </w:numPr>
        <w:tabs>
          <w:tab w:pos="463" w:val="left" w:leader="none"/>
        </w:tabs>
        <w:spacing w:line="240" w:lineRule="auto" w:before="65" w:after="0"/>
        <w:ind w:left="463" w:right="0" w:hanging="359"/>
        <w:jc w:val="left"/>
        <w:rPr>
          <w:b/>
          <w:sz w:val="21"/>
        </w:rPr>
      </w:pPr>
      <w:r>
        <w:rPr>
          <w:b/>
          <w:sz w:val="21"/>
        </w:rPr>
        <w:t>Increase</w:t>
      </w:r>
      <w:r>
        <w:rPr>
          <w:b/>
          <w:spacing w:val="-6"/>
          <w:sz w:val="21"/>
        </w:rPr>
        <w:t> </w:t>
      </w:r>
      <w:r>
        <w:rPr>
          <w:b/>
          <w:sz w:val="21"/>
        </w:rPr>
        <w:t>transitional</w:t>
      </w:r>
      <w:r>
        <w:rPr>
          <w:b/>
          <w:spacing w:val="-4"/>
          <w:sz w:val="21"/>
        </w:rPr>
        <w:t> </w:t>
      </w:r>
      <w:r>
        <w:rPr>
          <w:b/>
          <w:sz w:val="21"/>
        </w:rPr>
        <w:t>and</w:t>
      </w:r>
      <w:r>
        <w:rPr>
          <w:b/>
          <w:spacing w:val="-4"/>
          <w:sz w:val="21"/>
        </w:rPr>
        <w:t> </w:t>
      </w:r>
      <w:r>
        <w:rPr>
          <w:b/>
          <w:sz w:val="21"/>
        </w:rPr>
        <w:t>permanent</w:t>
      </w:r>
      <w:r>
        <w:rPr>
          <w:b/>
          <w:spacing w:val="-3"/>
          <w:sz w:val="21"/>
        </w:rPr>
        <w:t> </w:t>
      </w:r>
      <w:r>
        <w:rPr>
          <w:b/>
          <w:sz w:val="21"/>
        </w:rPr>
        <w:t>housing</w:t>
      </w:r>
      <w:r>
        <w:rPr>
          <w:b/>
          <w:spacing w:val="-4"/>
          <w:sz w:val="21"/>
        </w:rPr>
        <w:t> </w:t>
      </w:r>
      <w:r>
        <w:rPr>
          <w:b/>
          <w:sz w:val="21"/>
        </w:rPr>
        <w:t>resources</w:t>
      </w:r>
      <w:r>
        <w:rPr>
          <w:b/>
          <w:spacing w:val="-5"/>
          <w:sz w:val="21"/>
        </w:rPr>
        <w:t> </w:t>
      </w:r>
      <w:r>
        <w:rPr>
          <w:b/>
          <w:sz w:val="21"/>
        </w:rPr>
        <w:t>for</w:t>
      </w:r>
      <w:r>
        <w:rPr>
          <w:b/>
          <w:spacing w:val="-3"/>
          <w:sz w:val="21"/>
        </w:rPr>
        <w:t> </w:t>
      </w:r>
      <w:r>
        <w:rPr>
          <w:b/>
          <w:sz w:val="21"/>
        </w:rPr>
        <w:t>formerly</w:t>
      </w:r>
      <w:r>
        <w:rPr>
          <w:b/>
          <w:spacing w:val="-4"/>
          <w:sz w:val="21"/>
        </w:rPr>
        <w:t> </w:t>
      </w:r>
      <w:r>
        <w:rPr>
          <w:b/>
          <w:sz w:val="21"/>
        </w:rPr>
        <w:t>incarcerated</w:t>
      </w:r>
      <w:r>
        <w:rPr>
          <w:b/>
          <w:spacing w:val="-4"/>
          <w:sz w:val="21"/>
        </w:rPr>
        <w:t> </w:t>
      </w:r>
      <w:r>
        <w:rPr>
          <w:b/>
          <w:sz w:val="21"/>
        </w:rPr>
        <w:t>LGBTQ</w:t>
      </w:r>
      <w:r>
        <w:rPr>
          <w:b/>
          <w:spacing w:val="-3"/>
          <w:sz w:val="21"/>
        </w:rPr>
        <w:t> </w:t>
      </w:r>
      <w:r>
        <w:rPr>
          <w:b/>
          <w:spacing w:val="-2"/>
          <w:sz w:val="21"/>
        </w:rPr>
        <w:t>youth.</w:t>
      </w:r>
    </w:p>
    <w:p>
      <w:pPr>
        <w:pStyle w:val="BodyText"/>
        <w:spacing w:before="22"/>
        <w:rPr>
          <w:b/>
          <w:sz w:val="21"/>
        </w:rPr>
      </w:pPr>
    </w:p>
    <w:p>
      <w:pPr>
        <w:spacing w:line="276" w:lineRule="auto" w:before="0"/>
        <w:ind w:left="463" w:right="241" w:firstLine="0"/>
        <w:jc w:val="both"/>
        <w:rPr>
          <w:sz w:val="21"/>
        </w:rPr>
      </w:pPr>
      <w:r>
        <w:rPr>
          <w:sz w:val="21"/>
        </w:rPr>
        <w:t>The Commission strongly recommends that the Commonwealth allocate funding to the development of and expansion of transitional housing resources for formerly incarcerated LGBTQ youth, particularly for those</w:t>
      </w:r>
      <w:r>
        <w:rPr>
          <w:spacing w:val="-9"/>
          <w:sz w:val="21"/>
        </w:rPr>
        <w:t> </w:t>
      </w:r>
      <w:r>
        <w:rPr>
          <w:sz w:val="21"/>
        </w:rPr>
        <w:t>aged</w:t>
      </w:r>
      <w:r>
        <w:rPr>
          <w:spacing w:val="-9"/>
          <w:sz w:val="21"/>
        </w:rPr>
        <w:t> </w:t>
      </w:r>
      <w:r>
        <w:rPr>
          <w:sz w:val="21"/>
        </w:rPr>
        <w:t>22</w:t>
      </w:r>
      <w:r>
        <w:rPr>
          <w:spacing w:val="-11"/>
          <w:sz w:val="21"/>
        </w:rPr>
        <w:t> </w:t>
      </w:r>
      <w:r>
        <w:rPr>
          <w:sz w:val="21"/>
        </w:rPr>
        <w:t>to</w:t>
      </w:r>
      <w:r>
        <w:rPr>
          <w:spacing w:val="-10"/>
          <w:sz w:val="21"/>
        </w:rPr>
        <w:t> </w:t>
      </w:r>
      <w:r>
        <w:rPr>
          <w:sz w:val="21"/>
        </w:rPr>
        <w:t>24</w:t>
      </w:r>
      <w:r>
        <w:rPr>
          <w:spacing w:val="-9"/>
          <w:sz w:val="21"/>
        </w:rPr>
        <w:t> </w:t>
      </w:r>
      <w:r>
        <w:rPr>
          <w:sz w:val="21"/>
        </w:rPr>
        <w:t>who</w:t>
      </w:r>
      <w:r>
        <w:rPr>
          <w:spacing w:val="-11"/>
          <w:sz w:val="21"/>
        </w:rPr>
        <w:t> </w:t>
      </w:r>
      <w:r>
        <w:rPr>
          <w:sz w:val="21"/>
        </w:rPr>
        <w:t>may</w:t>
      </w:r>
      <w:r>
        <w:rPr>
          <w:spacing w:val="-9"/>
          <w:sz w:val="21"/>
        </w:rPr>
        <w:t> </w:t>
      </w:r>
      <w:r>
        <w:rPr>
          <w:sz w:val="21"/>
        </w:rPr>
        <w:t>not</w:t>
      </w:r>
      <w:r>
        <w:rPr>
          <w:spacing w:val="-10"/>
          <w:sz w:val="21"/>
        </w:rPr>
        <w:t> </w:t>
      </w:r>
      <w:r>
        <w:rPr>
          <w:sz w:val="21"/>
        </w:rPr>
        <w:t>be</w:t>
      </w:r>
      <w:r>
        <w:rPr>
          <w:spacing w:val="-9"/>
          <w:sz w:val="21"/>
        </w:rPr>
        <w:t> </w:t>
      </w:r>
      <w:r>
        <w:rPr>
          <w:sz w:val="21"/>
        </w:rPr>
        <w:t>eligible</w:t>
      </w:r>
      <w:r>
        <w:rPr>
          <w:spacing w:val="-9"/>
          <w:sz w:val="21"/>
        </w:rPr>
        <w:t> </w:t>
      </w:r>
      <w:r>
        <w:rPr>
          <w:sz w:val="21"/>
        </w:rPr>
        <w:t>for</w:t>
      </w:r>
      <w:r>
        <w:rPr>
          <w:spacing w:val="-9"/>
          <w:sz w:val="21"/>
        </w:rPr>
        <w:t> </w:t>
      </w:r>
      <w:r>
        <w:rPr>
          <w:sz w:val="21"/>
        </w:rPr>
        <w:t>other</w:t>
      </w:r>
      <w:r>
        <w:rPr>
          <w:spacing w:val="-10"/>
          <w:sz w:val="21"/>
        </w:rPr>
        <w:t> </w:t>
      </w:r>
      <w:r>
        <w:rPr>
          <w:sz w:val="21"/>
        </w:rPr>
        <w:t>state</w:t>
      </w:r>
      <w:r>
        <w:rPr>
          <w:spacing w:val="-9"/>
          <w:sz w:val="21"/>
        </w:rPr>
        <w:t> </w:t>
      </w:r>
      <w:r>
        <w:rPr>
          <w:sz w:val="21"/>
        </w:rPr>
        <w:t>services.</w:t>
      </w:r>
      <w:r>
        <w:rPr>
          <w:spacing w:val="-9"/>
          <w:sz w:val="21"/>
        </w:rPr>
        <w:t> </w:t>
      </w:r>
      <w:r>
        <w:rPr>
          <w:sz w:val="21"/>
        </w:rPr>
        <w:t>An</w:t>
      </w:r>
      <w:r>
        <w:rPr>
          <w:spacing w:val="-9"/>
          <w:sz w:val="21"/>
        </w:rPr>
        <w:t> </w:t>
      </w:r>
      <w:r>
        <w:rPr>
          <w:sz w:val="21"/>
        </w:rPr>
        <w:t>example</w:t>
      </w:r>
      <w:r>
        <w:rPr>
          <w:spacing w:val="-11"/>
          <w:sz w:val="21"/>
        </w:rPr>
        <w:t> </w:t>
      </w:r>
      <w:r>
        <w:rPr>
          <w:sz w:val="21"/>
        </w:rPr>
        <w:t>of</w:t>
      </w:r>
      <w:r>
        <w:rPr>
          <w:spacing w:val="-11"/>
          <w:sz w:val="21"/>
        </w:rPr>
        <w:t> </w:t>
      </w:r>
      <w:r>
        <w:rPr>
          <w:sz w:val="21"/>
        </w:rPr>
        <w:t>this</w:t>
      </w:r>
      <w:r>
        <w:rPr>
          <w:spacing w:val="-10"/>
          <w:sz w:val="21"/>
        </w:rPr>
        <w:t> </w:t>
      </w:r>
      <w:r>
        <w:rPr>
          <w:sz w:val="21"/>
        </w:rPr>
        <w:t>transitional</w:t>
      </w:r>
      <w:r>
        <w:rPr>
          <w:spacing w:val="-10"/>
          <w:sz w:val="21"/>
        </w:rPr>
        <w:t> </w:t>
      </w:r>
      <w:r>
        <w:rPr>
          <w:sz w:val="21"/>
        </w:rPr>
        <w:t>housing program</w:t>
      </w:r>
      <w:r>
        <w:rPr>
          <w:spacing w:val="-4"/>
          <w:sz w:val="21"/>
        </w:rPr>
        <w:t> </w:t>
      </w:r>
      <w:r>
        <w:rPr>
          <w:sz w:val="21"/>
        </w:rPr>
        <w:t>is</w:t>
      </w:r>
      <w:r>
        <w:rPr>
          <w:spacing w:val="-5"/>
          <w:sz w:val="21"/>
        </w:rPr>
        <w:t> </w:t>
      </w:r>
      <w:r>
        <w:rPr>
          <w:sz w:val="21"/>
        </w:rPr>
        <w:t>offered</w:t>
      </w:r>
      <w:r>
        <w:rPr>
          <w:spacing w:val="-4"/>
          <w:sz w:val="21"/>
        </w:rPr>
        <w:t> </w:t>
      </w:r>
      <w:r>
        <w:rPr>
          <w:sz w:val="21"/>
        </w:rPr>
        <w:t>by</w:t>
      </w:r>
      <w:r>
        <w:rPr>
          <w:spacing w:val="-4"/>
          <w:sz w:val="21"/>
        </w:rPr>
        <w:t> </w:t>
      </w:r>
      <w:r>
        <w:rPr>
          <w:sz w:val="21"/>
        </w:rPr>
        <w:t>the</w:t>
      </w:r>
      <w:r>
        <w:rPr>
          <w:spacing w:val="-4"/>
          <w:sz w:val="21"/>
        </w:rPr>
        <w:t> </w:t>
      </w:r>
      <w:r>
        <w:rPr>
          <w:sz w:val="21"/>
        </w:rPr>
        <w:t>Transgender</w:t>
      </w:r>
      <w:r>
        <w:rPr>
          <w:spacing w:val="-4"/>
          <w:sz w:val="21"/>
        </w:rPr>
        <w:t> </w:t>
      </w:r>
      <w:r>
        <w:rPr>
          <w:sz w:val="21"/>
        </w:rPr>
        <w:t>Emergency</w:t>
      </w:r>
      <w:r>
        <w:rPr>
          <w:spacing w:val="-4"/>
          <w:sz w:val="21"/>
        </w:rPr>
        <w:t> </w:t>
      </w:r>
      <w:r>
        <w:rPr>
          <w:sz w:val="21"/>
        </w:rPr>
        <w:t>Fund</w:t>
      </w:r>
      <w:r>
        <w:rPr>
          <w:spacing w:val="-4"/>
          <w:sz w:val="21"/>
        </w:rPr>
        <w:t> </w:t>
      </w:r>
      <w:r>
        <w:rPr>
          <w:sz w:val="21"/>
        </w:rPr>
        <w:t>Transitional</w:t>
      </w:r>
      <w:r>
        <w:rPr>
          <w:spacing w:val="-4"/>
          <w:sz w:val="21"/>
        </w:rPr>
        <w:t> </w:t>
      </w:r>
      <w:r>
        <w:rPr>
          <w:sz w:val="21"/>
        </w:rPr>
        <w:t>Housing</w:t>
      </w:r>
      <w:r>
        <w:rPr>
          <w:spacing w:val="-5"/>
          <w:sz w:val="21"/>
        </w:rPr>
        <w:t> </w:t>
      </w:r>
      <w:r>
        <w:rPr>
          <w:sz w:val="21"/>
        </w:rPr>
        <w:t>Program,</w:t>
      </w:r>
      <w:r>
        <w:rPr>
          <w:spacing w:val="-4"/>
          <w:sz w:val="21"/>
        </w:rPr>
        <w:t> </w:t>
      </w:r>
      <w:r>
        <w:rPr>
          <w:sz w:val="21"/>
        </w:rPr>
        <w:t>which</w:t>
      </w:r>
      <w:r>
        <w:rPr>
          <w:spacing w:val="-4"/>
          <w:sz w:val="21"/>
        </w:rPr>
        <w:t> </w:t>
      </w:r>
      <w:r>
        <w:rPr>
          <w:sz w:val="21"/>
        </w:rPr>
        <w:t>houses</w:t>
      </w:r>
      <w:r>
        <w:rPr>
          <w:spacing w:val="-5"/>
          <w:sz w:val="21"/>
        </w:rPr>
        <w:t> </w:t>
      </w:r>
      <w:r>
        <w:rPr>
          <w:sz w:val="21"/>
        </w:rPr>
        <w:t>up</w:t>
      </w:r>
      <w:r>
        <w:rPr>
          <w:spacing w:val="-4"/>
          <w:sz w:val="21"/>
        </w:rPr>
        <w:t> </w:t>
      </w:r>
      <w:r>
        <w:rPr>
          <w:sz w:val="21"/>
        </w:rPr>
        <w:t>to eight transgender and gender expansive individuals currently experiencing homelessness.</w:t>
      </w:r>
    </w:p>
    <w:p>
      <w:pPr>
        <w:pStyle w:val="ListParagraph"/>
        <w:numPr>
          <w:ilvl w:val="0"/>
          <w:numId w:val="26"/>
        </w:numPr>
        <w:tabs>
          <w:tab w:pos="461" w:val="left" w:leader="none"/>
        </w:tabs>
        <w:spacing w:line="240" w:lineRule="auto" w:before="240" w:after="0"/>
        <w:ind w:left="461" w:right="0" w:hanging="358"/>
        <w:jc w:val="left"/>
        <w:rPr>
          <w:sz w:val="21"/>
        </w:rPr>
      </w:pPr>
      <w:r>
        <w:rPr>
          <w:b/>
          <w:sz w:val="21"/>
        </w:rPr>
        <w:t>Support</w:t>
      </w:r>
      <w:r>
        <w:rPr>
          <w:b/>
          <w:spacing w:val="-14"/>
          <w:sz w:val="21"/>
        </w:rPr>
        <w:t> </w:t>
      </w:r>
      <w:r>
        <w:rPr>
          <w:b/>
          <w:sz w:val="21"/>
        </w:rPr>
        <w:t>legislative</w:t>
      </w:r>
      <w:r>
        <w:rPr>
          <w:b/>
          <w:spacing w:val="-12"/>
          <w:sz w:val="21"/>
        </w:rPr>
        <w:t> </w:t>
      </w:r>
      <w:r>
        <w:rPr>
          <w:b/>
          <w:sz w:val="21"/>
        </w:rPr>
        <w:t>initiatives</w:t>
      </w:r>
      <w:r>
        <w:rPr>
          <w:b/>
          <w:spacing w:val="-11"/>
          <w:sz w:val="21"/>
        </w:rPr>
        <w:t> </w:t>
      </w:r>
      <w:r>
        <w:rPr>
          <w:b/>
          <w:sz w:val="21"/>
        </w:rPr>
        <w:t>to</w:t>
      </w:r>
      <w:r>
        <w:rPr>
          <w:b/>
          <w:spacing w:val="-11"/>
          <w:sz w:val="21"/>
        </w:rPr>
        <w:t> </w:t>
      </w:r>
      <w:r>
        <w:rPr>
          <w:b/>
          <w:sz w:val="21"/>
        </w:rPr>
        <w:t>improve</w:t>
      </w:r>
      <w:r>
        <w:rPr>
          <w:b/>
          <w:spacing w:val="-12"/>
          <w:sz w:val="21"/>
        </w:rPr>
        <w:t> </w:t>
      </w:r>
      <w:r>
        <w:rPr>
          <w:b/>
          <w:sz w:val="21"/>
        </w:rPr>
        <w:t>the</w:t>
      </w:r>
      <w:r>
        <w:rPr>
          <w:b/>
          <w:spacing w:val="-11"/>
          <w:sz w:val="21"/>
        </w:rPr>
        <w:t> </w:t>
      </w:r>
      <w:r>
        <w:rPr>
          <w:b/>
          <w:sz w:val="21"/>
        </w:rPr>
        <w:t>Massachusetts</w:t>
      </w:r>
      <w:r>
        <w:rPr>
          <w:b/>
          <w:spacing w:val="-12"/>
          <w:sz w:val="21"/>
        </w:rPr>
        <w:t> </w:t>
      </w:r>
      <w:r>
        <w:rPr>
          <w:b/>
          <w:sz w:val="21"/>
        </w:rPr>
        <w:t>legal</w:t>
      </w:r>
      <w:r>
        <w:rPr>
          <w:b/>
          <w:spacing w:val="-11"/>
          <w:sz w:val="21"/>
        </w:rPr>
        <w:t> </w:t>
      </w:r>
      <w:r>
        <w:rPr>
          <w:b/>
          <w:sz w:val="21"/>
        </w:rPr>
        <w:t>system,</w:t>
      </w:r>
      <w:r>
        <w:rPr>
          <w:b/>
          <w:spacing w:val="-10"/>
          <w:sz w:val="21"/>
        </w:rPr>
        <w:t> </w:t>
      </w:r>
      <w:r>
        <w:rPr>
          <w:b/>
          <w:sz w:val="21"/>
        </w:rPr>
        <w:t>and</w:t>
      </w:r>
      <w:r>
        <w:rPr>
          <w:b/>
          <w:spacing w:val="-11"/>
          <w:sz w:val="21"/>
        </w:rPr>
        <w:t> </w:t>
      </w:r>
      <w:r>
        <w:rPr>
          <w:b/>
          <w:sz w:val="21"/>
        </w:rPr>
        <w:t>support</w:t>
      </w:r>
      <w:r>
        <w:rPr>
          <w:b/>
          <w:spacing w:val="-11"/>
          <w:sz w:val="21"/>
        </w:rPr>
        <w:t> </w:t>
      </w:r>
      <w:r>
        <w:rPr>
          <w:b/>
          <w:sz w:val="21"/>
        </w:rPr>
        <w:t>diversion</w:t>
      </w:r>
      <w:r>
        <w:rPr>
          <w:b/>
          <w:spacing w:val="-12"/>
          <w:sz w:val="21"/>
        </w:rPr>
        <w:t> </w:t>
      </w:r>
      <w:r>
        <w:rPr>
          <w:b/>
          <w:sz w:val="21"/>
        </w:rPr>
        <w:t>of</w:t>
      </w:r>
      <w:r>
        <w:rPr>
          <w:b/>
          <w:spacing w:val="-11"/>
          <w:sz w:val="21"/>
        </w:rPr>
        <w:t> </w:t>
      </w:r>
      <w:r>
        <w:rPr>
          <w:b/>
          <w:spacing w:val="-2"/>
          <w:sz w:val="21"/>
        </w:rPr>
        <w:t>youth</w:t>
      </w:r>
      <w:r>
        <w:rPr>
          <w:spacing w:val="-2"/>
          <w:sz w:val="21"/>
        </w:rPr>
        <w:t>.</w:t>
      </w:r>
    </w:p>
    <w:p>
      <w:pPr>
        <w:pStyle w:val="BodyText"/>
        <w:spacing w:before="22"/>
        <w:rPr>
          <w:sz w:val="21"/>
        </w:rPr>
      </w:pPr>
    </w:p>
    <w:p>
      <w:pPr>
        <w:spacing w:line="276" w:lineRule="auto" w:before="1"/>
        <w:ind w:left="464" w:right="237" w:firstLine="0"/>
        <w:jc w:val="both"/>
        <w:rPr>
          <w:sz w:val="21"/>
        </w:rPr>
      </w:pPr>
      <w:r>
        <w:rPr>
          <w:sz w:val="21"/>
        </w:rPr>
        <w:t>The Commission supports the expansion of access to record sealing, and the automatic sealing of eligible juvenile and adult records within 90 days, as proposed in an </w:t>
      </w:r>
      <w:r>
        <w:rPr>
          <w:i/>
          <w:sz w:val="21"/>
        </w:rPr>
        <w:t>Act Providing Easier and Greater Access to</w:t>
      </w:r>
      <w:r>
        <w:rPr>
          <w:i/>
          <w:sz w:val="21"/>
        </w:rPr>
        <w:t> Record Sealing </w:t>
      </w:r>
      <w:r>
        <w:rPr>
          <w:sz w:val="21"/>
        </w:rPr>
        <w:t>(S.979/H.1598), as the process of sealing records can be difficult and lengthy given the current backlogs. Furthermore, the Commission supports the expansion of access to judicial diversion for youth who commit low-level offenses in order to better support diverting youth away from the juvenile system, as proposed in </w:t>
      </w:r>
      <w:r>
        <w:rPr>
          <w:i/>
          <w:sz w:val="21"/>
        </w:rPr>
        <w:t>An Act Promoting Diversion of Juveniles to Community Supervision and Services</w:t>
      </w:r>
      <w:r>
        <w:rPr>
          <w:i/>
          <w:sz w:val="21"/>
        </w:rPr>
        <w:t> </w:t>
      </w:r>
      <w:r>
        <w:rPr>
          <w:sz w:val="21"/>
        </w:rPr>
        <w:t>(S.940/H.1495). Furthermore, the Commission recommends that the state eliminate bail administrative fees for youth, and transfers authority over detention decisions from police to bail magistrates.</w:t>
      </w:r>
    </w:p>
    <w:p>
      <w:pPr>
        <w:pStyle w:val="ListParagraph"/>
        <w:numPr>
          <w:ilvl w:val="0"/>
          <w:numId w:val="26"/>
        </w:numPr>
        <w:tabs>
          <w:tab w:pos="461" w:val="left" w:leader="none"/>
          <w:tab w:pos="464" w:val="left" w:leader="none"/>
        </w:tabs>
        <w:spacing w:line="276" w:lineRule="auto" w:before="240" w:after="0"/>
        <w:ind w:left="464" w:right="243" w:hanging="361"/>
        <w:jc w:val="left"/>
        <w:rPr>
          <w:b/>
          <w:sz w:val="21"/>
        </w:rPr>
      </w:pPr>
      <w:r>
        <w:rPr>
          <w:b/>
          <w:sz w:val="21"/>
        </w:rPr>
        <w:t>Actively</w:t>
      </w:r>
      <w:r>
        <w:rPr>
          <w:b/>
          <w:spacing w:val="-12"/>
          <w:sz w:val="21"/>
        </w:rPr>
        <w:t> </w:t>
      </w:r>
      <w:r>
        <w:rPr>
          <w:b/>
          <w:sz w:val="21"/>
        </w:rPr>
        <w:t>involve</w:t>
      </w:r>
      <w:r>
        <w:rPr>
          <w:b/>
          <w:spacing w:val="-12"/>
          <w:sz w:val="21"/>
        </w:rPr>
        <w:t> </w:t>
      </w:r>
      <w:r>
        <w:rPr>
          <w:b/>
          <w:sz w:val="21"/>
        </w:rPr>
        <w:t>justice-involved</w:t>
      </w:r>
      <w:r>
        <w:rPr>
          <w:b/>
          <w:spacing w:val="-12"/>
          <w:sz w:val="21"/>
        </w:rPr>
        <w:t> </w:t>
      </w:r>
      <w:r>
        <w:rPr>
          <w:b/>
          <w:sz w:val="21"/>
        </w:rPr>
        <w:t>youth</w:t>
      </w:r>
      <w:r>
        <w:rPr>
          <w:b/>
          <w:spacing w:val="-12"/>
          <w:sz w:val="21"/>
        </w:rPr>
        <w:t> </w:t>
      </w:r>
      <w:r>
        <w:rPr>
          <w:b/>
          <w:sz w:val="21"/>
        </w:rPr>
        <w:t>in</w:t>
      </w:r>
      <w:r>
        <w:rPr>
          <w:b/>
          <w:spacing w:val="-12"/>
          <w:sz w:val="21"/>
        </w:rPr>
        <w:t> </w:t>
      </w:r>
      <w:r>
        <w:rPr>
          <w:b/>
          <w:sz w:val="21"/>
        </w:rPr>
        <w:t>government</w:t>
      </w:r>
      <w:r>
        <w:rPr>
          <w:b/>
          <w:spacing w:val="-12"/>
          <w:sz w:val="21"/>
        </w:rPr>
        <w:t> </w:t>
      </w:r>
      <w:r>
        <w:rPr>
          <w:b/>
          <w:sz w:val="21"/>
        </w:rPr>
        <w:t>decision</w:t>
      </w:r>
      <w:r>
        <w:rPr>
          <w:b/>
          <w:spacing w:val="-12"/>
          <w:sz w:val="21"/>
        </w:rPr>
        <w:t> </w:t>
      </w:r>
      <w:r>
        <w:rPr>
          <w:b/>
          <w:sz w:val="21"/>
        </w:rPr>
        <w:t>affecting</w:t>
      </w:r>
      <w:r>
        <w:rPr>
          <w:b/>
          <w:spacing w:val="-11"/>
          <w:sz w:val="21"/>
        </w:rPr>
        <w:t> </w:t>
      </w:r>
      <w:r>
        <w:rPr>
          <w:b/>
          <w:sz w:val="21"/>
        </w:rPr>
        <w:t>them,</w:t>
      </w:r>
      <w:r>
        <w:rPr>
          <w:b/>
          <w:spacing w:val="-12"/>
          <w:sz w:val="21"/>
        </w:rPr>
        <w:t> </w:t>
      </w:r>
      <w:r>
        <w:rPr>
          <w:b/>
          <w:sz w:val="21"/>
        </w:rPr>
        <w:t>ensuring</w:t>
      </w:r>
      <w:r>
        <w:rPr>
          <w:b/>
          <w:spacing w:val="-12"/>
          <w:sz w:val="21"/>
        </w:rPr>
        <w:t> </w:t>
      </w:r>
      <w:r>
        <w:rPr>
          <w:b/>
          <w:sz w:val="21"/>
        </w:rPr>
        <w:t>their</w:t>
      </w:r>
      <w:r>
        <w:rPr>
          <w:b/>
          <w:spacing w:val="-12"/>
          <w:sz w:val="21"/>
        </w:rPr>
        <w:t> </w:t>
      </w:r>
      <w:r>
        <w:rPr>
          <w:b/>
          <w:sz w:val="21"/>
        </w:rPr>
        <w:t>experiences directly inform policies and programs designed to serve their needs.</w:t>
      </w:r>
    </w:p>
    <w:p>
      <w:pPr>
        <w:spacing w:line="276" w:lineRule="auto" w:before="239"/>
        <w:ind w:left="464" w:right="239" w:firstLine="0"/>
        <w:jc w:val="both"/>
        <w:rPr>
          <w:sz w:val="21"/>
        </w:rPr>
      </w:pPr>
      <w:r>
        <w:rPr>
          <w:sz w:val="21"/>
        </w:rPr>
        <w:t>The</w:t>
      </w:r>
      <w:r>
        <w:rPr>
          <w:spacing w:val="-9"/>
          <w:sz w:val="21"/>
        </w:rPr>
        <w:t> </w:t>
      </w:r>
      <w:r>
        <w:rPr>
          <w:sz w:val="21"/>
        </w:rPr>
        <w:t>inclusion</w:t>
      </w:r>
      <w:r>
        <w:rPr>
          <w:spacing w:val="-8"/>
          <w:sz w:val="21"/>
        </w:rPr>
        <w:t> </w:t>
      </w:r>
      <w:r>
        <w:rPr>
          <w:sz w:val="21"/>
        </w:rPr>
        <w:t>of</w:t>
      </w:r>
      <w:r>
        <w:rPr>
          <w:spacing w:val="-9"/>
          <w:sz w:val="21"/>
        </w:rPr>
        <w:t> </w:t>
      </w:r>
      <w:r>
        <w:rPr>
          <w:sz w:val="21"/>
        </w:rPr>
        <w:t>young</w:t>
      </w:r>
      <w:r>
        <w:rPr>
          <w:spacing w:val="-9"/>
          <w:sz w:val="21"/>
        </w:rPr>
        <w:t> </w:t>
      </w:r>
      <w:r>
        <w:rPr>
          <w:sz w:val="21"/>
        </w:rPr>
        <w:t>people</w:t>
      </w:r>
      <w:r>
        <w:rPr>
          <w:spacing w:val="-9"/>
          <w:sz w:val="21"/>
        </w:rPr>
        <w:t> </w:t>
      </w:r>
      <w:r>
        <w:rPr>
          <w:sz w:val="21"/>
        </w:rPr>
        <w:t>with</w:t>
      </w:r>
      <w:r>
        <w:rPr>
          <w:spacing w:val="-9"/>
          <w:sz w:val="21"/>
        </w:rPr>
        <w:t> </w:t>
      </w:r>
      <w:r>
        <w:rPr>
          <w:sz w:val="21"/>
        </w:rPr>
        <w:t>lived</w:t>
      </w:r>
      <w:r>
        <w:rPr>
          <w:spacing w:val="-9"/>
          <w:sz w:val="21"/>
        </w:rPr>
        <w:t> </w:t>
      </w:r>
      <w:r>
        <w:rPr>
          <w:sz w:val="21"/>
        </w:rPr>
        <w:t>experience</w:t>
      </w:r>
      <w:r>
        <w:rPr>
          <w:spacing w:val="-9"/>
          <w:sz w:val="21"/>
        </w:rPr>
        <w:t> </w:t>
      </w:r>
      <w:r>
        <w:rPr>
          <w:sz w:val="21"/>
        </w:rPr>
        <w:t>in</w:t>
      </w:r>
      <w:r>
        <w:rPr>
          <w:spacing w:val="-9"/>
          <w:sz w:val="21"/>
        </w:rPr>
        <w:t> </w:t>
      </w:r>
      <w:r>
        <w:rPr>
          <w:sz w:val="21"/>
        </w:rPr>
        <w:t>state</w:t>
      </w:r>
      <w:r>
        <w:rPr>
          <w:spacing w:val="-9"/>
          <w:sz w:val="21"/>
        </w:rPr>
        <w:t> </w:t>
      </w:r>
      <w:r>
        <w:rPr>
          <w:sz w:val="21"/>
        </w:rPr>
        <w:t>systems</w:t>
      </w:r>
      <w:r>
        <w:rPr>
          <w:spacing w:val="-9"/>
          <w:sz w:val="21"/>
        </w:rPr>
        <w:t> </w:t>
      </w:r>
      <w:r>
        <w:rPr>
          <w:sz w:val="21"/>
        </w:rPr>
        <w:t>is</w:t>
      </w:r>
      <w:r>
        <w:rPr>
          <w:spacing w:val="-9"/>
          <w:sz w:val="21"/>
        </w:rPr>
        <w:t> </w:t>
      </w:r>
      <w:r>
        <w:rPr>
          <w:sz w:val="21"/>
        </w:rPr>
        <w:t>critical</w:t>
      </w:r>
      <w:r>
        <w:rPr>
          <w:spacing w:val="-9"/>
          <w:sz w:val="21"/>
        </w:rPr>
        <w:t> </w:t>
      </w:r>
      <w:r>
        <w:rPr>
          <w:sz w:val="21"/>
        </w:rPr>
        <w:t>to</w:t>
      </w:r>
      <w:r>
        <w:rPr>
          <w:spacing w:val="-9"/>
          <w:sz w:val="21"/>
        </w:rPr>
        <w:t> </w:t>
      </w:r>
      <w:r>
        <w:rPr>
          <w:sz w:val="21"/>
        </w:rPr>
        <w:t>ensuring</w:t>
      </w:r>
      <w:r>
        <w:rPr>
          <w:spacing w:val="-9"/>
          <w:sz w:val="21"/>
        </w:rPr>
        <w:t> </w:t>
      </w:r>
      <w:r>
        <w:rPr>
          <w:sz w:val="21"/>
        </w:rPr>
        <w:t>real</w:t>
      </w:r>
      <w:r>
        <w:rPr>
          <w:spacing w:val="-9"/>
          <w:sz w:val="21"/>
        </w:rPr>
        <w:t> </w:t>
      </w:r>
      <w:r>
        <w:rPr>
          <w:sz w:val="21"/>
        </w:rPr>
        <w:t>and</w:t>
      </w:r>
      <w:r>
        <w:rPr>
          <w:spacing w:val="-9"/>
          <w:sz w:val="21"/>
        </w:rPr>
        <w:t> </w:t>
      </w:r>
      <w:r>
        <w:rPr>
          <w:sz w:val="21"/>
        </w:rPr>
        <w:t>effective change in initiatives to improve the criminal legal system. The Commission strongly recommends that policymakers, agencies, and community stakeholders actively work to provide paid, meaningful opportunities</w:t>
      </w:r>
      <w:r>
        <w:rPr>
          <w:spacing w:val="-12"/>
          <w:sz w:val="21"/>
        </w:rPr>
        <w:t> </w:t>
      </w:r>
      <w:r>
        <w:rPr>
          <w:sz w:val="21"/>
        </w:rPr>
        <w:t>for</w:t>
      </w:r>
      <w:r>
        <w:rPr>
          <w:spacing w:val="-12"/>
          <w:sz w:val="21"/>
        </w:rPr>
        <w:t> </w:t>
      </w:r>
      <w:r>
        <w:rPr>
          <w:sz w:val="21"/>
        </w:rPr>
        <w:t>justice-involved</w:t>
      </w:r>
      <w:r>
        <w:rPr>
          <w:spacing w:val="-12"/>
          <w:sz w:val="21"/>
        </w:rPr>
        <w:t> </w:t>
      </w:r>
      <w:r>
        <w:rPr>
          <w:sz w:val="21"/>
        </w:rPr>
        <w:t>youth</w:t>
      </w:r>
      <w:r>
        <w:rPr>
          <w:spacing w:val="-12"/>
          <w:sz w:val="21"/>
        </w:rPr>
        <w:t> </w:t>
      </w:r>
      <w:r>
        <w:rPr>
          <w:sz w:val="21"/>
        </w:rPr>
        <w:t>to</w:t>
      </w:r>
      <w:r>
        <w:rPr>
          <w:spacing w:val="-12"/>
          <w:sz w:val="21"/>
        </w:rPr>
        <w:t> </w:t>
      </w:r>
      <w:r>
        <w:rPr>
          <w:sz w:val="21"/>
        </w:rPr>
        <w:t>participate</w:t>
      </w:r>
      <w:r>
        <w:rPr>
          <w:spacing w:val="-12"/>
          <w:sz w:val="21"/>
        </w:rPr>
        <w:t> </w:t>
      </w:r>
      <w:r>
        <w:rPr>
          <w:sz w:val="21"/>
        </w:rPr>
        <w:t>in</w:t>
      </w:r>
      <w:r>
        <w:rPr>
          <w:spacing w:val="-13"/>
          <w:sz w:val="21"/>
        </w:rPr>
        <w:t> </w:t>
      </w:r>
      <w:r>
        <w:rPr>
          <w:sz w:val="21"/>
        </w:rPr>
        <w:t>new</w:t>
      </w:r>
      <w:r>
        <w:rPr>
          <w:spacing w:val="-12"/>
          <w:sz w:val="21"/>
        </w:rPr>
        <w:t> </w:t>
      </w:r>
      <w:r>
        <w:rPr>
          <w:sz w:val="21"/>
        </w:rPr>
        <w:t>initiatives,</w:t>
      </w:r>
      <w:r>
        <w:rPr>
          <w:spacing w:val="-12"/>
          <w:sz w:val="21"/>
        </w:rPr>
        <w:t> </w:t>
      </w:r>
      <w:r>
        <w:rPr>
          <w:sz w:val="21"/>
        </w:rPr>
        <w:t>programs,</w:t>
      </w:r>
      <w:r>
        <w:rPr>
          <w:spacing w:val="-11"/>
          <w:sz w:val="21"/>
        </w:rPr>
        <w:t> </w:t>
      </w:r>
      <w:r>
        <w:rPr>
          <w:sz w:val="21"/>
        </w:rPr>
        <w:t>and</w:t>
      </w:r>
      <w:r>
        <w:rPr>
          <w:spacing w:val="-12"/>
          <w:sz w:val="21"/>
        </w:rPr>
        <w:t> </w:t>
      </w:r>
      <w:r>
        <w:rPr>
          <w:sz w:val="21"/>
        </w:rPr>
        <w:t>policy</w:t>
      </w:r>
      <w:r>
        <w:rPr>
          <w:spacing w:val="-12"/>
          <w:sz w:val="21"/>
        </w:rPr>
        <w:t> </w:t>
      </w:r>
      <w:r>
        <w:rPr>
          <w:sz w:val="21"/>
        </w:rPr>
        <w:t>development.</w:t>
      </w:r>
    </w:p>
    <w:p>
      <w:pPr>
        <w:pStyle w:val="BodyText"/>
        <w:spacing w:before="142"/>
        <w:rPr>
          <w:sz w:val="21"/>
        </w:rPr>
      </w:pPr>
    </w:p>
    <w:p>
      <w:pPr>
        <w:spacing w:before="0"/>
        <w:ind w:left="464" w:right="0" w:firstLine="0"/>
        <w:jc w:val="both"/>
        <w:rPr>
          <w:sz w:val="28"/>
        </w:rPr>
      </w:pPr>
      <w:r>
        <w:rPr/>
        <mc:AlternateContent>
          <mc:Choice Requires="wps">
            <w:drawing>
              <wp:anchor distT="0" distB="0" distL="0" distR="0" allowOverlap="1" layoutInCell="1" locked="0" behindDoc="1" simplePos="0" relativeHeight="487662080">
                <wp:simplePos x="0" y="0"/>
                <wp:positionH relativeFrom="page">
                  <wp:posOffset>986789</wp:posOffset>
                </wp:positionH>
                <wp:positionV relativeFrom="paragraph">
                  <wp:posOffset>229975</wp:posOffset>
                </wp:positionV>
                <wp:extent cx="5799455" cy="6350"/>
                <wp:effectExtent l="0" t="0" r="0" b="0"/>
                <wp:wrapTopAndBottom/>
                <wp:docPr id="397" name="Graphic 397"/>
                <wp:cNvGraphicFramePr>
                  <a:graphicFrameLocks/>
                </wp:cNvGraphicFramePr>
                <a:graphic>
                  <a:graphicData uri="http://schemas.microsoft.com/office/word/2010/wordprocessingShape">
                    <wps:wsp>
                      <wps:cNvPr id="397" name="Graphic 397"/>
                      <wps:cNvSpPr/>
                      <wps:spPr>
                        <a:xfrm>
                          <a:off x="0" y="0"/>
                          <a:ext cx="5799455" cy="6350"/>
                        </a:xfrm>
                        <a:custGeom>
                          <a:avLst/>
                          <a:gdLst/>
                          <a:ahLst/>
                          <a:cxnLst/>
                          <a:rect l="l" t="t" r="r" b="b"/>
                          <a:pathLst>
                            <a:path w="5799455" h="6350">
                              <a:moveTo>
                                <a:pt x="5798832" y="0"/>
                              </a:moveTo>
                              <a:lnTo>
                                <a:pt x="0" y="0"/>
                              </a:lnTo>
                              <a:lnTo>
                                <a:pt x="0" y="6096"/>
                              </a:lnTo>
                              <a:lnTo>
                                <a:pt x="5798832" y="6096"/>
                              </a:lnTo>
                              <a:lnTo>
                                <a:pt x="5798832" y="0"/>
                              </a:lnTo>
                              <a:close/>
                            </a:path>
                          </a:pathLst>
                        </a:custGeom>
                        <a:solidFill>
                          <a:srgbClr val="4F81BC"/>
                        </a:solidFill>
                      </wps:spPr>
                      <wps:bodyPr wrap="square" lIns="0" tIns="0" rIns="0" bIns="0" rtlCol="0">
                        <a:prstTxWarp prst="textNoShape">
                          <a:avLst/>
                        </a:prstTxWarp>
                        <a:noAutofit/>
                      </wps:bodyPr>
                    </wps:wsp>
                  </a:graphicData>
                </a:graphic>
              </wp:anchor>
            </w:drawing>
          </mc:Choice>
          <mc:Fallback>
            <w:pict>
              <v:rect style="position:absolute;margin-left:77.699997pt;margin-top:18.108271pt;width:456.601pt;height:.48pt;mso-position-horizontal-relative:page;mso-position-vertical-relative:paragraph;z-index:-15654400;mso-wrap-distance-left:0;mso-wrap-distance-right:0" id="docshape318" filled="true" fillcolor="#4f81bc" stroked="false">
                <v:fill type="solid"/>
                <w10:wrap type="topAndBottom"/>
              </v:rect>
            </w:pict>
          </mc:Fallback>
        </mc:AlternateContent>
      </w:r>
      <w:bookmarkStart w:name="Research on Juvenile Detainment and Inca" w:id="543"/>
      <w:bookmarkEnd w:id="543"/>
      <w:r>
        <w:rPr/>
      </w:r>
      <w:r>
        <w:rPr>
          <w:color w:val="365F91"/>
          <w:sz w:val="28"/>
        </w:rPr>
        <w:t>Research</w:t>
      </w:r>
      <w:r>
        <w:rPr>
          <w:color w:val="365F91"/>
          <w:spacing w:val="-11"/>
          <w:sz w:val="28"/>
        </w:rPr>
        <w:t> </w:t>
      </w:r>
      <w:r>
        <w:rPr>
          <w:color w:val="365F91"/>
          <w:sz w:val="28"/>
        </w:rPr>
        <w:t>on</w:t>
      </w:r>
      <w:r>
        <w:rPr>
          <w:color w:val="365F91"/>
          <w:spacing w:val="-10"/>
          <w:sz w:val="28"/>
        </w:rPr>
        <w:t> </w:t>
      </w:r>
      <w:r>
        <w:rPr>
          <w:color w:val="365F91"/>
          <w:sz w:val="28"/>
        </w:rPr>
        <w:t>Juvenile</w:t>
      </w:r>
      <w:r>
        <w:rPr>
          <w:color w:val="365F91"/>
          <w:spacing w:val="-10"/>
          <w:sz w:val="28"/>
        </w:rPr>
        <w:t> </w:t>
      </w:r>
      <w:r>
        <w:rPr>
          <w:color w:val="365F91"/>
          <w:sz w:val="28"/>
        </w:rPr>
        <w:t>Detainment</w:t>
      </w:r>
      <w:r>
        <w:rPr>
          <w:color w:val="365F91"/>
          <w:spacing w:val="-9"/>
          <w:sz w:val="28"/>
        </w:rPr>
        <w:t> </w:t>
      </w:r>
      <w:r>
        <w:rPr>
          <w:color w:val="365F91"/>
          <w:sz w:val="28"/>
        </w:rPr>
        <w:t>and</w:t>
      </w:r>
      <w:r>
        <w:rPr>
          <w:color w:val="365F91"/>
          <w:spacing w:val="-11"/>
          <w:sz w:val="28"/>
        </w:rPr>
        <w:t> </w:t>
      </w:r>
      <w:r>
        <w:rPr>
          <w:color w:val="365F91"/>
          <w:spacing w:val="-2"/>
          <w:sz w:val="28"/>
        </w:rPr>
        <w:t>Incarceration</w:t>
      </w:r>
    </w:p>
    <w:p>
      <w:pPr>
        <w:spacing w:line="276" w:lineRule="auto" w:before="241"/>
        <w:ind w:left="464" w:right="238" w:firstLine="0"/>
        <w:jc w:val="both"/>
        <w:rPr>
          <w:sz w:val="21"/>
        </w:rPr>
      </w:pPr>
      <w:r>
        <w:rPr>
          <w:sz w:val="21"/>
        </w:rPr>
        <w:t>This annual report highlights the unique challenges faced by LGBTQ youth, which increase their susceptibility to involvement in the juvenile and criminal legal systems. These challenges include homelessness, engagement in the child welfare system, the criminalization of survival sex work, drug use and/or sales, and employment discrimination. Data on the experiences of Massachusetts youth under 25 within the criminal legal systems remain limited. Anecdotal evidence from conversations with youth, providers, and advocates suggests a pressing need for further work, especially for youth over 18.</w:t>
      </w:r>
    </w:p>
    <w:p>
      <w:pPr>
        <w:spacing w:line="276" w:lineRule="auto" w:before="241"/>
        <w:ind w:left="463" w:right="240" w:firstLine="0"/>
        <w:jc w:val="both"/>
        <w:rPr>
          <w:sz w:val="21"/>
        </w:rPr>
      </w:pPr>
      <w:r>
        <w:rPr>
          <w:sz w:val="21"/>
        </w:rPr>
        <w:t>Nationally, lesbian, gay, and bisexual youth are twice as likely to be involved in the juvenile system compared</w:t>
      </w:r>
      <w:r>
        <w:rPr>
          <w:spacing w:val="-5"/>
          <w:sz w:val="21"/>
        </w:rPr>
        <w:t> </w:t>
      </w:r>
      <w:r>
        <w:rPr>
          <w:sz w:val="21"/>
        </w:rPr>
        <w:t>to</w:t>
      </w:r>
      <w:r>
        <w:rPr>
          <w:spacing w:val="-7"/>
          <w:sz w:val="21"/>
        </w:rPr>
        <w:t> </w:t>
      </w:r>
      <w:r>
        <w:rPr>
          <w:sz w:val="21"/>
        </w:rPr>
        <w:t>their</w:t>
      </w:r>
      <w:r>
        <w:rPr>
          <w:spacing w:val="-5"/>
          <w:sz w:val="21"/>
        </w:rPr>
        <w:t> </w:t>
      </w:r>
      <w:r>
        <w:rPr>
          <w:sz w:val="21"/>
        </w:rPr>
        <w:t>heterosexual</w:t>
      </w:r>
      <w:r>
        <w:rPr>
          <w:spacing w:val="-6"/>
          <w:sz w:val="21"/>
        </w:rPr>
        <w:t> </w:t>
      </w:r>
      <w:r>
        <w:rPr>
          <w:sz w:val="21"/>
        </w:rPr>
        <w:t>peers,</w:t>
      </w:r>
      <w:r>
        <w:rPr>
          <w:spacing w:val="-5"/>
          <w:sz w:val="21"/>
        </w:rPr>
        <w:t> </w:t>
      </w:r>
      <w:r>
        <w:rPr>
          <w:sz w:val="21"/>
        </w:rPr>
        <w:t>while</w:t>
      </w:r>
      <w:r>
        <w:rPr>
          <w:spacing w:val="-5"/>
          <w:sz w:val="21"/>
        </w:rPr>
        <w:t> </w:t>
      </w:r>
      <w:r>
        <w:rPr>
          <w:sz w:val="21"/>
        </w:rPr>
        <w:t>transgender</w:t>
      </w:r>
      <w:r>
        <w:rPr>
          <w:spacing w:val="-5"/>
          <w:sz w:val="21"/>
        </w:rPr>
        <w:t> </w:t>
      </w:r>
      <w:r>
        <w:rPr>
          <w:sz w:val="21"/>
        </w:rPr>
        <w:t>and</w:t>
      </w:r>
      <w:r>
        <w:rPr>
          <w:spacing w:val="-5"/>
          <w:sz w:val="21"/>
        </w:rPr>
        <w:t> </w:t>
      </w:r>
      <w:r>
        <w:rPr>
          <w:sz w:val="21"/>
        </w:rPr>
        <w:t>gender-expansive</w:t>
      </w:r>
      <w:r>
        <w:rPr>
          <w:spacing w:val="-5"/>
          <w:sz w:val="21"/>
        </w:rPr>
        <w:t> </w:t>
      </w:r>
      <w:r>
        <w:rPr>
          <w:sz w:val="21"/>
        </w:rPr>
        <w:t>youth</w:t>
      </w:r>
      <w:r>
        <w:rPr>
          <w:spacing w:val="-5"/>
          <w:sz w:val="21"/>
        </w:rPr>
        <w:t> </w:t>
      </w:r>
      <w:r>
        <w:rPr>
          <w:sz w:val="21"/>
        </w:rPr>
        <w:t>are</w:t>
      </w:r>
      <w:r>
        <w:rPr>
          <w:spacing w:val="-7"/>
          <w:sz w:val="21"/>
        </w:rPr>
        <w:t> </w:t>
      </w:r>
      <w:r>
        <w:rPr>
          <w:sz w:val="21"/>
        </w:rPr>
        <w:t>four</w:t>
      </w:r>
      <w:r>
        <w:rPr>
          <w:spacing w:val="-5"/>
          <w:sz w:val="21"/>
        </w:rPr>
        <w:t> </w:t>
      </w:r>
      <w:r>
        <w:rPr>
          <w:sz w:val="21"/>
        </w:rPr>
        <w:t>times</w:t>
      </w:r>
      <w:r>
        <w:rPr>
          <w:spacing w:val="-6"/>
          <w:sz w:val="21"/>
        </w:rPr>
        <w:t> </w:t>
      </w:r>
      <w:r>
        <w:rPr>
          <w:sz w:val="21"/>
        </w:rPr>
        <w:t>more likely to encounter the criminal legal system than cisgender youth.</w:t>
      </w:r>
      <w:r>
        <w:rPr>
          <w:spacing w:val="-6"/>
          <w:sz w:val="21"/>
        </w:rPr>
        <w:t> </w:t>
      </w:r>
      <w:hyperlink w:history="true" w:anchor="_bookmark325">
        <w:r>
          <w:rPr>
            <w:sz w:val="21"/>
            <w:vertAlign w:val="superscript"/>
          </w:rPr>
          <w:t>9</w:t>
        </w:r>
      </w:hyperlink>
      <w:r>
        <w:rPr>
          <w:sz w:val="21"/>
          <w:vertAlign w:val="baseline"/>
        </w:rPr>
        <w:t> Youths of color report higher engagement</w:t>
      </w:r>
      <w:r>
        <w:rPr>
          <w:spacing w:val="-4"/>
          <w:sz w:val="21"/>
          <w:vertAlign w:val="baseline"/>
        </w:rPr>
        <w:t> </w:t>
      </w:r>
      <w:r>
        <w:rPr>
          <w:sz w:val="21"/>
          <w:vertAlign w:val="baseline"/>
        </w:rPr>
        <w:t>with</w:t>
      </w:r>
      <w:r>
        <w:rPr>
          <w:spacing w:val="-3"/>
          <w:sz w:val="21"/>
          <w:vertAlign w:val="baseline"/>
        </w:rPr>
        <w:t> </w:t>
      </w:r>
      <w:r>
        <w:rPr>
          <w:sz w:val="21"/>
          <w:vertAlign w:val="baseline"/>
        </w:rPr>
        <w:t>the</w:t>
      </w:r>
      <w:r>
        <w:rPr>
          <w:spacing w:val="-4"/>
          <w:sz w:val="21"/>
          <w:vertAlign w:val="baseline"/>
        </w:rPr>
        <w:t> </w:t>
      </w:r>
      <w:r>
        <w:rPr>
          <w:sz w:val="21"/>
          <w:vertAlign w:val="baseline"/>
        </w:rPr>
        <w:t>legal</w:t>
      </w:r>
      <w:r>
        <w:rPr>
          <w:spacing w:val="-4"/>
          <w:sz w:val="21"/>
          <w:vertAlign w:val="baseline"/>
        </w:rPr>
        <w:t> </w:t>
      </w:r>
      <w:r>
        <w:rPr>
          <w:sz w:val="21"/>
          <w:vertAlign w:val="baseline"/>
        </w:rPr>
        <w:t>system</w:t>
      </w:r>
      <w:r>
        <w:rPr>
          <w:spacing w:val="-3"/>
          <w:sz w:val="21"/>
          <w:vertAlign w:val="baseline"/>
        </w:rPr>
        <w:t> </w:t>
      </w:r>
      <w:r>
        <w:rPr>
          <w:sz w:val="21"/>
          <w:vertAlign w:val="baseline"/>
        </w:rPr>
        <w:t>and</w:t>
      </w:r>
      <w:r>
        <w:rPr>
          <w:spacing w:val="-3"/>
          <w:sz w:val="21"/>
          <w:vertAlign w:val="baseline"/>
        </w:rPr>
        <w:t> </w:t>
      </w:r>
      <w:r>
        <w:rPr>
          <w:sz w:val="21"/>
          <w:vertAlign w:val="baseline"/>
        </w:rPr>
        <w:t>are</w:t>
      </w:r>
      <w:r>
        <w:rPr>
          <w:spacing w:val="-3"/>
          <w:sz w:val="21"/>
          <w:vertAlign w:val="baseline"/>
        </w:rPr>
        <w:t> </w:t>
      </w:r>
      <w:r>
        <w:rPr>
          <w:sz w:val="21"/>
          <w:vertAlign w:val="baseline"/>
        </w:rPr>
        <w:t>more</w:t>
      </w:r>
      <w:r>
        <w:rPr>
          <w:spacing w:val="-3"/>
          <w:sz w:val="21"/>
          <w:vertAlign w:val="baseline"/>
        </w:rPr>
        <w:t> </w:t>
      </w:r>
      <w:r>
        <w:rPr>
          <w:sz w:val="21"/>
          <w:vertAlign w:val="baseline"/>
        </w:rPr>
        <w:t>frequently</w:t>
      </w:r>
      <w:r>
        <w:rPr>
          <w:spacing w:val="-3"/>
          <w:sz w:val="21"/>
          <w:vertAlign w:val="baseline"/>
        </w:rPr>
        <w:t> </w:t>
      </w:r>
      <w:r>
        <w:rPr>
          <w:sz w:val="21"/>
          <w:vertAlign w:val="baseline"/>
        </w:rPr>
        <w:t>victims</w:t>
      </w:r>
      <w:r>
        <w:rPr>
          <w:spacing w:val="-4"/>
          <w:sz w:val="21"/>
          <w:vertAlign w:val="baseline"/>
        </w:rPr>
        <w:t> </w:t>
      </w:r>
      <w:r>
        <w:rPr>
          <w:sz w:val="21"/>
          <w:vertAlign w:val="baseline"/>
        </w:rPr>
        <w:t>of</w:t>
      </w:r>
      <w:r>
        <w:rPr>
          <w:spacing w:val="-4"/>
          <w:sz w:val="21"/>
          <w:vertAlign w:val="baseline"/>
        </w:rPr>
        <w:t> </w:t>
      </w:r>
      <w:r>
        <w:rPr>
          <w:sz w:val="21"/>
          <w:vertAlign w:val="baseline"/>
        </w:rPr>
        <w:t>police</w:t>
      </w:r>
      <w:r>
        <w:rPr>
          <w:spacing w:val="-3"/>
          <w:sz w:val="21"/>
          <w:vertAlign w:val="baseline"/>
        </w:rPr>
        <w:t> </w:t>
      </w:r>
      <w:r>
        <w:rPr>
          <w:sz w:val="21"/>
          <w:vertAlign w:val="baseline"/>
        </w:rPr>
        <w:t>violence.</w:t>
      </w:r>
      <w:hyperlink w:history="true" w:anchor="_bookmark326">
        <w:r>
          <w:rPr>
            <w:sz w:val="21"/>
            <w:vertAlign w:val="superscript"/>
          </w:rPr>
          <w:t>10</w:t>
        </w:r>
      </w:hyperlink>
      <w:r>
        <w:rPr>
          <w:spacing w:val="-2"/>
          <w:sz w:val="21"/>
          <w:vertAlign w:val="baseline"/>
        </w:rPr>
        <w:t> </w:t>
      </w:r>
      <w:r>
        <w:rPr>
          <w:sz w:val="21"/>
          <w:vertAlign w:val="baseline"/>
        </w:rPr>
        <w:t>Research</w:t>
      </w:r>
      <w:r>
        <w:rPr>
          <w:spacing w:val="-3"/>
          <w:sz w:val="21"/>
          <w:vertAlign w:val="baseline"/>
        </w:rPr>
        <w:t> </w:t>
      </w:r>
      <w:r>
        <w:rPr>
          <w:sz w:val="21"/>
          <w:vertAlign w:val="baseline"/>
        </w:rPr>
        <w:t>indicates that Black youth are four times more likely to be incarcerated, Native/Indigenous youth are nearly three times as likely, and Latinx/Latine youth are 1.5 times more likely than White youth.</w:t>
      </w:r>
      <w:hyperlink w:history="true" w:anchor="_bookmark327">
        <w:r>
          <w:rPr>
            <w:sz w:val="21"/>
            <w:vertAlign w:val="superscript"/>
          </w:rPr>
          <w:t>11</w:t>
        </w:r>
      </w:hyperlink>
      <w:r>
        <w:rPr>
          <w:spacing w:val="-1"/>
          <w:sz w:val="21"/>
          <w:vertAlign w:val="baseline"/>
        </w:rPr>
        <w:t> </w:t>
      </w:r>
      <w:r>
        <w:rPr>
          <w:sz w:val="21"/>
          <w:vertAlign w:val="baseline"/>
        </w:rPr>
        <w:t>It is estimated that 85-90% of LGBTQ youth in the juvenile legal system are youths of color.</w:t>
      </w:r>
      <w:r>
        <w:rPr>
          <w:spacing w:val="-12"/>
          <w:sz w:val="21"/>
          <w:vertAlign w:val="baseline"/>
        </w:rPr>
        <w:t> </w:t>
      </w:r>
      <w:hyperlink w:history="true" w:anchor="_bookmark328">
        <w:r>
          <w:rPr>
            <w:sz w:val="21"/>
            <w:vertAlign w:val="superscript"/>
          </w:rPr>
          <w:t>12</w:t>
        </w:r>
      </w:hyperlink>
      <w:r>
        <w:rPr>
          <w:sz w:val="21"/>
          <w:vertAlign w:val="baseline"/>
        </w:rPr>
        <w:t> Transgender and gender- nonconforming individuals face particularly high rates of incarceration, with transgender people of color</w:t>
      </w:r>
    </w:p>
    <w:p>
      <w:pPr>
        <w:spacing w:after="0" w:line="276" w:lineRule="auto"/>
        <w:jc w:val="both"/>
        <w:rPr>
          <w:sz w:val="21"/>
        </w:rPr>
        <w:sectPr>
          <w:pgSz w:w="12240" w:h="15840"/>
          <w:pgMar w:header="763" w:footer="1041" w:top="1360" w:bottom="1240" w:left="1120" w:right="1340"/>
        </w:sectPr>
      </w:pPr>
    </w:p>
    <w:p>
      <w:pPr>
        <w:spacing w:line="276" w:lineRule="auto" w:before="65"/>
        <w:ind w:left="464" w:right="239" w:hanging="1"/>
        <w:jc w:val="both"/>
        <w:rPr>
          <w:sz w:val="21"/>
        </w:rPr>
      </w:pPr>
      <w:r>
        <w:rPr>
          <w:sz w:val="21"/>
        </w:rPr>
        <w:t>experiencing past incarceration rates four times higher than other LGBTQ people.</w:t>
      </w:r>
      <w:hyperlink w:history="true" w:anchor="_bookmark329">
        <w:r>
          <w:rPr>
            <w:sz w:val="21"/>
            <w:vertAlign w:val="superscript"/>
          </w:rPr>
          <w:t>13</w:t>
        </w:r>
      </w:hyperlink>
      <w:r>
        <w:rPr>
          <w:spacing w:val="-2"/>
          <w:sz w:val="21"/>
          <w:vertAlign w:val="baseline"/>
        </w:rPr>
        <w:t> </w:t>
      </w:r>
      <w:r>
        <w:rPr>
          <w:sz w:val="21"/>
          <w:vertAlign w:val="baseline"/>
        </w:rPr>
        <w:t>Up to 40% of persons assigned female at birth in the juvenile legal system identify as lesbian, bisexual, queer, and/or gender- nonconforming.</w:t>
      </w:r>
      <w:hyperlink w:history="true" w:anchor="_bookmark330">
        <w:r>
          <w:rPr>
            <w:sz w:val="21"/>
            <w:vertAlign w:val="superscript"/>
          </w:rPr>
          <w:t>14</w:t>
        </w:r>
      </w:hyperlink>
      <w:r>
        <w:rPr>
          <w:spacing w:val="-2"/>
          <w:sz w:val="21"/>
          <w:vertAlign w:val="baseline"/>
        </w:rPr>
        <w:t> </w:t>
      </w:r>
      <w:r>
        <w:rPr>
          <w:sz w:val="21"/>
          <w:vertAlign w:val="baseline"/>
        </w:rPr>
        <w:t>Additionally,</w:t>
      </w:r>
      <w:r>
        <w:rPr>
          <w:spacing w:val="-10"/>
          <w:sz w:val="21"/>
          <w:vertAlign w:val="baseline"/>
        </w:rPr>
        <w:t> </w:t>
      </w:r>
      <w:r>
        <w:rPr>
          <w:sz w:val="21"/>
          <w:vertAlign w:val="baseline"/>
        </w:rPr>
        <w:t>5%</w:t>
      </w:r>
      <w:r>
        <w:rPr>
          <w:spacing w:val="-10"/>
          <w:sz w:val="21"/>
          <w:vertAlign w:val="baseline"/>
        </w:rPr>
        <w:t> </w:t>
      </w:r>
      <w:r>
        <w:rPr>
          <w:sz w:val="21"/>
          <w:vertAlign w:val="baseline"/>
        </w:rPr>
        <w:t>of</w:t>
      </w:r>
      <w:r>
        <w:rPr>
          <w:spacing w:val="-11"/>
          <w:sz w:val="21"/>
          <w:vertAlign w:val="baseline"/>
        </w:rPr>
        <w:t> </w:t>
      </w:r>
      <w:r>
        <w:rPr>
          <w:sz w:val="21"/>
          <w:vertAlign w:val="baseline"/>
        </w:rPr>
        <w:t>LGBTQ</w:t>
      </w:r>
      <w:r>
        <w:rPr>
          <w:spacing w:val="-10"/>
          <w:sz w:val="21"/>
          <w:vertAlign w:val="baseline"/>
        </w:rPr>
        <w:t> </w:t>
      </w:r>
      <w:r>
        <w:rPr>
          <w:sz w:val="21"/>
          <w:vertAlign w:val="baseline"/>
        </w:rPr>
        <w:t>youth</w:t>
      </w:r>
      <w:r>
        <w:rPr>
          <w:spacing w:val="-10"/>
          <w:sz w:val="21"/>
          <w:vertAlign w:val="baseline"/>
        </w:rPr>
        <w:t> </w:t>
      </w:r>
      <w:r>
        <w:rPr>
          <w:sz w:val="21"/>
          <w:vertAlign w:val="baseline"/>
        </w:rPr>
        <w:t>report</w:t>
      </w:r>
      <w:r>
        <w:rPr>
          <w:spacing w:val="-10"/>
          <w:sz w:val="21"/>
          <w:vertAlign w:val="baseline"/>
        </w:rPr>
        <w:t> </w:t>
      </w:r>
      <w:r>
        <w:rPr>
          <w:sz w:val="21"/>
          <w:vertAlign w:val="baseline"/>
        </w:rPr>
        <w:t>having</w:t>
      </w:r>
      <w:r>
        <w:rPr>
          <w:spacing w:val="-11"/>
          <w:sz w:val="21"/>
          <w:vertAlign w:val="baseline"/>
        </w:rPr>
        <w:t> </w:t>
      </w:r>
      <w:r>
        <w:rPr>
          <w:sz w:val="21"/>
          <w:vertAlign w:val="baseline"/>
        </w:rPr>
        <w:t>been</w:t>
      </w:r>
      <w:r>
        <w:rPr>
          <w:spacing w:val="-11"/>
          <w:sz w:val="21"/>
          <w:vertAlign w:val="baseline"/>
        </w:rPr>
        <w:t> </w:t>
      </w:r>
      <w:r>
        <w:rPr>
          <w:sz w:val="21"/>
          <w:vertAlign w:val="baseline"/>
        </w:rPr>
        <w:t>incarcerated,</w:t>
      </w:r>
      <w:r>
        <w:rPr>
          <w:spacing w:val="-11"/>
          <w:sz w:val="21"/>
          <w:vertAlign w:val="baseline"/>
        </w:rPr>
        <w:t> </w:t>
      </w:r>
      <w:r>
        <w:rPr>
          <w:sz w:val="21"/>
          <w:vertAlign w:val="baseline"/>
        </w:rPr>
        <w:t>and</w:t>
      </w:r>
      <w:r>
        <w:rPr>
          <w:spacing w:val="-10"/>
          <w:sz w:val="21"/>
          <w:vertAlign w:val="baseline"/>
        </w:rPr>
        <w:t> </w:t>
      </w:r>
      <w:r>
        <w:rPr>
          <w:sz w:val="21"/>
          <w:vertAlign w:val="baseline"/>
        </w:rPr>
        <w:t>73%</w:t>
      </w:r>
      <w:r>
        <w:rPr>
          <w:spacing w:val="-10"/>
          <w:sz w:val="21"/>
          <w:vertAlign w:val="baseline"/>
        </w:rPr>
        <w:t> </w:t>
      </w:r>
      <w:r>
        <w:rPr>
          <w:sz w:val="21"/>
          <w:vertAlign w:val="baseline"/>
        </w:rPr>
        <w:t>report</w:t>
      </w:r>
      <w:r>
        <w:rPr>
          <w:spacing w:val="-10"/>
          <w:sz w:val="21"/>
          <w:vertAlign w:val="baseline"/>
        </w:rPr>
        <w:t> </w:t>
      </w:r>
      <w:r>
        <w:rPr>
          <w:sz w:val="21"/>
          <w:vertAlign w:val="baseline"/>
        </w:rPr>
        <w:t>having had personal interactions with law enforcement in the previous five years.</w:t>
      </w:r>
      <w:hyperlink w:history="true" w:anchor="_bookmark331">
        <w:r>
          <w:rPr>
            <w:sz w:val="21"/>
            <w:vertAlign w:val="superscript"/>
          </w:rPr>
          <w:t>15</w:t>
        </w:r>
      </w:hyperlink>
      <w:r>
        <w:rPr>
          <w:sz w:val="21"/>
          <w:vertAlign w:val="baseline"/>
        </w:rPr>
        <w:t> The Department of Youth Services (DYS) has committed to providing a more detailed breakdown of race/ethnicity and SOGI data in its next annual report. In 2018, the Department of Youth Services released a report on recidivism that included</w:t>
      </w:r>
      <w:r>
        <w:rPr>
          <w:spacing w:val="-5"/>
          <w:sz w:val="21"/>
          <w:vertAlign w:val="baseline"/>
        </w:rPr>
        <w:t> </w:t>
      </w:r>
      <w:r>
        <w:rPr>
          <w:sz w:val="21"/>
          <w:vertAlign w:val="baseline"/>
        </w:rPr>
        <w:t>a</w:t>
      </w:r>
      <w:r>
        <w:rPr>
          <w:spacing w:val="-5"/>
          <w:sz w:val="21"/>
          <w:vertAlign w:val="baseline"/>
        </w:rPr>
        <w:t> </w:t>
      </w:r>
      <w:r>
        <w:rPr>
          <w:sz w:val="21"/>
          <w:vertAlign w:val="baseline"/>
        </w:rPr>
        <w:t>demographic</w:t>
      </w:r>
      <w:r>
        <w:rPr>
          <w:spacing w:val="-5"/>
          <w:sz w:val="21"/>
          <w:vertAlign w:val="baseline"/>
        </w:rPr>
        <w:t> </w:t>
      </w:r>
      <w:r>
        <w:rPr>
          <w:sz w:val="21"/>
          <w:vertAlign w:val="baseline"/>
        </w:rPr>
        <w:t>breakdown</w:t>
      </w:r>
      <w:r>
        <w:rPr>
          <w:spacing w:val="-5"/>
          <w:sz w:val="21"/>
          <w:vertAlign w:val="baseline"/>
        </w:rPr>
        <w:t> </w:t>
      </w:r>
      <w:r>
        <w:rPr>
          <w:sz w:val="21"/>
          <w:vertAlign w:val="baseline"/>
        </w:rPr>
        <w:t>for</w:t>
      </w:r>
      <w:r>
        <w:rPr>
          <w:spacing w:val="-5"/>
          <w:sz w:val="21"/>
          <w:vertAlign w:val="baseline"/>
        </w:rPr>
        <w:t> </w:t>
      </w:r>
      <w:r>
        <w:rPr>
          <w:sz w:val="21"/>
          <w:vertAlign w:val="baseline"/>
        </w:rPr>
        <w:t>LGBTQ</w:t>
      </w:r>
      <w:r>
        <w:rPr>
          <w:spacing w:val="-5"/>
          <w:sz w:val="21"/>
          <w:vertAlign w:val="baseline"/>
        </w:rPr>
        <w:t> </w:t>
      </w:r>
      <w:r>
        <w:rPr>
          <w:sz w:val="21"/>
          <w:vertAlign w:val="baseline"/>
        </w:rPr>
        <w:t>youth,</w:t>
      </w:r>
      <w:r>
        <w:rPr>
          <w:spacing w:val="-6"/>
          <w:sz w:val="21"/>
          <w:vertAlign w:val="baseline"/>
        </w:rPr>
        <w:t> </w:t>
      </w:r>
      <w:r>
        <w:rPr>
          <w:sz w:val="21"/>
          <w:vertAlign w:val="baseline"/>
        </w:rPr>
        <w:t>and</w:t>
      </w:r>
      <w:r>
        <w:rPr>
          <w:spacing w:val="-5"/>
          <w:sz w:val="21"/>
          <w:vertAlign w:val="baseline"/>
        </w:rPr>
        <w:t> </w:t>
      </w:r>
      <w:r>
        <w:rPr>
          <w:sz w:val="21"/>
          <w:vertAlign w:val="baseline"/>
        </w:rPr>
        <w:t>unfortunately</w:t>
      </w:r>
      <w:r>
        <w:rPr>
          <w:spacing w:val="-6"/>
          <w:sz w:val="21"/>
          <w:vertAlign w:val="baseline"/>
        </w:rPr>
        <w:t> </w:t>
      </w:r>
      <w:r>
        <w:rPr>
          <w:sz w:val="21"/>
          <w:vertAlign w:val="baseline"/>
        </w:rPr>
        <w:t>finding</w:t>
      </w:r>
      <w:r>
        <w:rPr>
          <w:spacing w:val="-6"/>
          <w:sz w:val="21"/>
          <w:vertAlign w:val="baseline"/>
        </w:rPr>
        <w:t> </w:t>
      </w:r>
      <w:r>
        <w:rPr>
          <w:sz w:val="21"/>
          <w:vertAlign w:val="baseline"/>
        </w:rPr>
        <w:t>that</w:t>
      </w:r>
      <w:r>
        <w:rPr>
          <w:spacing w:val="-5"/>
          <w:sz w:val="21"/>
          <w:vertAlign w:val="baseline"/>
        </w:rPr>
        <w:t> </w:t>
      </w:r>
      <w:r>
        <w:rPr>
          <w:sz w:val="21"/>
          <w:vertAlign w:val="baseline"/>
        </w:rPr>
        <w:t>youth</w:t>
      </w:r>
      <w:r>
        <w:rPr>
          <w:spacing w:val="-5"/>
          <w:sz w:val="21"/>
          <w:vertAlign w:val="baseline"/>
        </w:rPr>
        <w:t> </w:t>
      </w:r>
      <w:r>
        <w:rPr>
          <w:sz w:val="21"/>
          <w:vertAlign w:val="baseline"/>
        </w:rPr>
        <w:t>who</w:t>
      </w:r>
      <w:r>
        <w:rPr>
          <w:spacing w:val="-6"/>
          <w:sz w:val="21"/>
          <w:vertAlign w:val="baseline"/>
        </w:rPr>
        <w:t> </w:t>
      </w:r>
      <w:r>
        <w:rPr>
          <w:sz w:val="21"/>
          <w:vertAlign w:val="baseline"/>
        </w:rPr>
        <w:t>identify</w:t>
      </w:r>
      <w:r>
        <w:rPr>
          <w:spacing w:val="-6"/>
          <w:sz w:val="21"/>
          <w:vertAlign w:val="baseline"/>
        </w:rPr>
        <w:t> </w:t>
      </w:r>
      <w:r>
        <w:rPr>
          <w:sz w:val="21"/>
          <w:vertAlign w:val="baseline"/>
        </w:rPr>
        <w:t>as LGBTQ+ had a higher recidivism rate of 27.8% compared to a recidivism rate of 19.9% for youth who did not identify as LGBTQ+.</w:t>
      </w:r>
      <w:hyperlink w:history="true" w:anchor="_bookmark332">
        <w:r>
          <w:rPr>
            <w:sz w:val="21"/>
            <w:vertAlign w:val="superscript"/>
          </w:rPr>
          <w:t>16</w:t>
        </w:r>
      </w:hyperlink>
    </w:p>
    <w:p>
      <w:pPr>
        <w:spacing w:line="276" w:lineRule="auto" w:before="240"/>
        <w:ind w:left="463" w:right="240" w:firstLine="0"/>
        <w:jc w:val="both"/>
        <w:rPr>
          <w:sz w:val="21"/>
        </w:rPr>
      </w:pPr>
      <w:r>
        <w:rPr>
          <w:sz w:val="21"/>
        </w:rPr>
        <w:t>Over two-thirds of justice-involved youth have histories of interpersonal trauma, and most face discrimination based on race, ethnicity, gender identity, sexual orientation, and disability status.</w:t>
      </w:r>
      <w:hyperlink w:history="true" w:anchor="_bookmark333">
        <w:r>
          <w:rPr>
            <w:sz w:val="21"/>
            <w:vertAlign w:val="superscript"/>
          </w:rPr>
          <w:t>17</w:t>
        </w:r>
      </w:hyperlink>
      <w:r>
        <w:rPr>
          <w:spacing w:val="-2"/>
          <w:sz w:val="21"/>
          <w:vertAlign w:val="baseline"/>
        </w:rPr>
        <w:t> </w:t>
      </w:r>
      <w:r>
        <w:rPr>
          <w:sz w:val="21"/>
          <w:vertAlign w:val="baseline"/>
        </w:rPr>
        <w:t>Factors such as homelessness, overrepresentation in the foster care system, and the criminalization of sex work further increase their risk of incarceration. Given these complexities, there's a critical need for more research on the impact of sexual orientation, gender identity, race, and other social identities on incarceration and detention rates.</w:t>
      </w:r>
    </w:p>
    <w:p>
      <w:pPr>
        <w:spacing w:before="239"/>
        <w:ind w:left="464" w:right="0" w:firstLine="0"/>
        <w:jc w:val="both"/>
        <w:rPr>
          <w:sz w:val="28"/>
        </w:rPr>
      </w:pPr>
      <w:bookmarkStart w:name="Pathways to Involvement in the Juvenile " w:id="544"/>
      <w:bookmarkEnd w:id="544"/>
      <w:r>
        <w:rPr/>
      </w:r>
      <w:r>
        <w:rPr>
          <w:color w:val="365F91"/>
          <w:sz w:val="28"/>
        </w:rPr>
        <w:t>Pathways</w:t>
      </w:r>
      <w:r>
        <w:rPr>
          <w:color w:val="365F91"/>
          <w:spacing w:val="-9"/>
          <w:sz w:val="28"/>
        </w:rPr>
        <w:t> </w:t>
      </w:r>
      <w:r>
        <w:rPr>
          <w:color w:val="365F91"/>
          <w:sz w:val="28"/>
        </w:rPr>
        <w:t>to</w:t>
      </w:r>
      <w:r>
        <w:rPr>
          <w:color w:val="365F91"/>
          <w:spacing w:val="-8"/>
          <w:sz w:val="28"/>
        </w:rPr>
        <w:t> </w:t>
      </w:r>
      <w:r>
        <w:rPr>
          <w:color w:val="365F91"/>
          <w:sz w:val="28"/>
        </w:rPr>
        <w:t>Involvement</w:t>
      </w:r>
      <w:r>
        <w:rPr>
          <w:color w:val="365F91"/>
          <w:spacing w:val="-9"/>
          <w:sz w:val="28"/>
        </w:rPr>
        <w:t> </w:t>
      </w:r>
      <w:r>
        <w:rPr>
          <w:color w:val="365F91"/>
          <w:sz w:val="28"/>
        </w:rPr>
        <w:t>in</w:t>
      </w:r>
      <w:r>
        <w:rPr>
          <w:color w:val="365F91"/>
          <w:spacing w:val="-9"/>
          <w:sz w:val="28"/>
        </w:rPr>
        <w:t> </w:t>
      </w:r>
      <w:r>
        <w:rPr>
          <w:color w:val="365F91"/>
          <w:sz w:val="28"/>
        </w:rPr>
        <w:t>the</w:t>
      </w:r>
      <w:r>
        <w:rPr>
          <w:color w:val="365F91"/>
          <w:spacing w:val="-9"/>
          <w:sz w:val="28"/>
        </w:rPr>
        <w:t> </w:t>
      </w:r>
      <w:r>
        <w:rPr>
          <w:color w:val="365F91"/>
          <w:sz w:val="28"/>
        </w:rPr>
        <w:t>Juvenile</w:t>
      </w:r>
      <w:r>
        <w:rPr>
          <w:color w:val="365F91"/>
          <w:spacing w:val="-8"/>
          <w:sz w:val="28"/>
        </w:rPr>
        <w:t> </w:t>
      </w:r>
      <w:r>
        <w:rPr>
          <w:color w:val="365F91"/>
          <w:sz w:val="28"/>
        </w:rPr>
        <w:t>and</w:t>
      </w:r>
      <w:r>
        <w:rPr>
          <w:color w:val="365F91"/>
          <w:spacing w:val="-10"/>
          <w:sz w:val="28"/>
        </w:rPr>
        <w:t> </w:t>
      </w:r>
      <w:r>
        <w:rPr>
          <w:color w:val="365F91"/>
          <w:sz w:val="28"/>
        </w:rPr>
        <w:t>Criminal</w:t>
      </w:r>
      <w:r>
        <w:rPr>
          <w:color w:val="365F91"/>
          <w:spacing w:val="-8"/>
          <w:sz w:val="28"/>
        </w:rPr>
        <w:t> </w:t>
      </w:r>
      <w:r>
        <w:rPr>
          <w:color w:val="365F91"/>
          <w:sz w:val="28"/>
        </w:rPr>
        <w:t>Legal</w:t>
      </w:r>
      <w:r>
        <w:rPr>
          <w:color w:val="365F91"/>
          <w:spacing w:val="-9"/>
          <w:sz w:val="28"/>
        </w:rPr>
        <w:t> </w:t>
      </w:r>
      <w:r>
        <w:rPr>
          <w:color w:val="365F91"/>
          <w:spacing w:val="-2"/>
          <w:sz w:val="28"/>
        </w:rPr>
        <w:t>Systems</w:t>
      </w:r>
    </w:p>
    <w:p>
      <w:pPr>
        <w:spacing w:line="276" w:lineRule="auto" w:before="241"/>
        <w:ind w:left="463" w:right="238" w:firstLine="0"/>
        <w:jc w:val="both"/>
        <w:rPr>
          <w:sz w:val="21"/>
        </w:rPr>
      </w:pPr>
      <w:r>
        <w:rPr>
          <w:sz w:val="21"/>
        </w:rPr>
        <w:t>LGBTQ youth face systemic challenges and societal discrimination that significantly contribute to their overrepresentation</w:t>
      </w:r>
      <w:r>
        <w:rPr>
          <w:spacing w:val="-1"/>
          <w:sz w:val="21"/>
        </w:rPr>
        <w:t> </w:t>
      </w:r>
      <w:r>
        <w:rPr>
          <w:sz w:val="21"/>
        </w:rPr>
        <w:t>in</w:t>
      </w:r>
      <w:r>
        <w:rPr>
          <w:spacing w:val="-2"/>
          <w:sz w:val="21"/>
        </w:rPr>
        <w:t> </w:t>
      </w:r>
      <w:r>
        <w:rPr>
          <w:sz w:val="21"/>
        </w:rPr>
        <w:t>the</w:t>
      </w:r>
      <w:r>
        <w:rPr>
          <w:spacing w:val="-1"/>
          <w:sz w:val="21"/>
        </w:rPr>
        <w:t> </w:t>
      </w:r>
      <w:r>
        <w:rPr>
          <w:sz w:val="21"/>
        </w:rPr>
        <w:t>juvenile</w:t>
      </w:r>
      <w:r>
        <w:rPr>
          <w:spacing w:val="-1"/>
          <w:sz w:val="21"/>
        </w:rPr>
        <w:t> </w:t>
      </w:r>
      <w:r>
        <w:rPr>
          <w:sz w:val="21"/>
        </w:rPr>
        <w:t>and</w:t>
      </w:r>
      <w:r>
        <w:rPr>
          <w:spacing w:val="-1"/>
          <w:sz w:val="21"/>
        </w:rPr>
        <w:t> </w:t>
      </w:r>
      <w:r>
        <w:rPr>
          <w:sz w:val="21"/>
        </w:rPr>
        <w:t>criminal</w:t>
      </w:r>
      <w:r>
        <w:rPr>
          <w:spacing w:val="-1"/>
          <w:sz w:val="21"/>
        </w:rPr>
        <w:t> </w:t>
      </w:r>
      <w:r>
        <w:rPr>
          <w:sz w:val="21"/>
        </w:rPr>
        <w:t>legal</w:t>
      </w:r>
      <w:r>
        <w:rPr>
          <w:spacing w:val="-1"/>
          <w:sz w:val="21"/>
        </w:rPr>
        <w:t> </w:t>
      </w:r>
      <w:r>
        <w:rPr>
          <w:sz w:val="21"/>
        </w:rPr>
        <w:t>systems.</w:t>
      </w:r>
      <w:r>
        <w:rPr>
          <w:spacing w:val="-1"/>
          <w:sz w:val="21"/>
        </w:rPr>
        <w:t> </w:t>
      </w:r>
      <w:r>
        <w:rPr>
          <w:sz w:val="21"/>
        </w:rPr>
        <w:t>These</w:t>
      </w:r>
      <w:r>
        <w:rPr>
          <w:spacing w:val="-1"/>
          <w:sz w:val="21"/>
        </w:rPr>
        <w:t> </w:t>
      </w:r>
      <w:r>
        <w:rPr>
          <w:sz w:val="21"/>
        </w:rPr>
        <w:t>young</w:t>
      </w:r>
      <w:r>
        <w:rPr>
          <w:spacing w:val="-1"/>
          <w:sz w:val="21"/>
        </w:rPr>
        <w:t> </w:t>
      </w:r>
      <w:r>
        <w:rPr>
          <w:sz w:val="21"/>
        </w:rPr>
        <w:t>individuals</w:t>
      </w:r>
      <w:r>
        <w:rPr>
          <w:spacing w:val="-1"/>
          <w:sz w:val="21"/>
        </w:rPr>
        <w:t> </w:t>
      </w:r>
      <w:r>
        <w:rPr>
          <w:sz w:val="21"/>
        </w:rPr>
        <w:t>are</w:t>
      </w:r>
      <w:r>
        <w:rPr>
          <w:spacing w:val="-1"/>
          <w:sz w:val="21"/>
        </w:rPr>
        <w:t> </w:t>
      </w:r>
      <w:r>
        <w:rPr>
          <w:sz w:val="21"/>
        </w:rPr>
        <w:t>often</w:t>
      </w:r>
      <w:r>
        <w:rPr>
          <w:spacing w:val="-2"/>
          <w:sz w:val="21"/>
        </w:rPr>
        <w:t> </w:t>
      </w:r>
      <w:r>
        <w:rPr>
          <w:sz w:val="21"/>
        </w:rPr>
        <w:t>subjected to harassment, bullying, and violence, which can lead them to engage in criminalized compensatory behaviors and survival economies, including sex work and selling drugs. Moreover, discriminatory policies and policing strategies disproportionately target LGBTQ youth, particularly those of color and those experiencing homelessness.</w:t>
      </w:r>
      <w:r>
        <w:rPr>
          <w:spacing w:val="-12"/>
          <w:sz w:val="21"/>
        </w:rPr>
        <w:t> </w:t>
      </w:r>
      <w:hyperlink w:history="true" w:anchor="_bookmark334">
        <w:r>
          <w:rPr>
            <w:sz w:val="21"/>
            <w:vertAlign w:val="superscript"/>
          </w:rPr>
          <w:t>18</w:t>
        </w:r>
      </w:hyperlink>
      <w:r>
        <w:rPr>
          <w:sz w:val="21"/>
          <w:vertAlign w:val="baseline"/>
        </w:rPr>
        <w:t> Such interactions with the criminal legal system during adolescence—a critical</w:t>
      </w:r>
      <w:r>
        <w:rPr>
          <w:spacing w:val="-12"/>
          <w:sz w:val="21"/>
          <w:vertAlign w:val="baseline"/>
        </w:rPr>
        <w:t> </w:t>
      </w:r>
      <w:r>
        <w:rPr>
          <w:sz w:val="21"/>
          <w:vertAlign w:val="baseline"/>
        </w:rPr>
        <w:t>period</w:t>
      </w:r>
      <w:r>
        <w:rPr>
          <w:spacing w:val="-12"/>
          <w:sz w:val="21"/>
          <w:vertAlign w:val="baseline"/>
        </w:rPr>
        <w:t> </w:t>
      </w:r>
      <w:r>
        <w:rPr>
          <w:sz w:val="21"/>
          <w:vertAlign w:val="baseline"/>
        </w:rPr>
        <w:t>of</w:t>
      </w:r>
      <w:r>
        <w:rPr>
          <w:spacing w:val="-12"/>
          <w:sz w:val="21"/>
          <w:vertAlign w:val="baseline"/>
        </w:rPr>
        <w:t> </w:t>
      </w:r>
      <w:r>
        <w:rPr>
          <w:sz w:val="21"/>
          <w:vertAlign w:val="baseline"/>
        </w:rPr>
        <w:t>brain</w:t>
      </w:r>
      <w:r>
        <w:rPr>
          <w:spacing w:val="-12"/>
          <w:sz w:val="21"/>
          <w:vertAlign w:val="baseline"/>
        </w:rPr>
        <w:t> </w:t>
      </w:r>
      <w:r>
        <w:rPr>
          <w:sz w:val="21"/>
          <w:vertAlign w:val="baseline"/>
        </w:rPr>
        <w:t>development—can</w:t>
      </w:r>
      <w:r>
        <w:rPr>
          <w:spacing w:val="-12"/>
          <w:sz w:val="21"/>
          <w:vertAlign w:val="baseline"/>
        </w:rPr>
        <w:t> </w:t>
      </w:r>
      <w:r>
        <w:rPr>
          <w:sz w:val="21"/>
          <w:vertAlign w:val="baseline"/>
        </w:rPr>
        <w:t>have</w:t>
      </w:r>
      <w:r>
        <w:rPr>
          <w:spacing w:val="-12"/>
          <w:sz w:val="21"/>
          <w:vertAlign w:val="baseline"/>
        </w:rPr>
        <w:t> </w:t>
      </w:r>
      <w:r>
        <w:rPr>
          <w:sz w:val="21"/>
          <w:vertAlign w:val="baseline"/>
        </w:rPr>
        <w:t>lifelong</w:t>
      </w:r>
      <w:r>
        <w:rPr>
          <w:spacing w:val="-12"/>
          <w:sz w:val="21"/>
          <w:vertAlign w:val="baseline"/>
        </w:rPr>
        <w:t> </w:t>
      </w:r>
      <w:r>
        <w:rPr>
          <w:sz w:val="21"/>
          <w:vertAlign w:val="baseline"/>
        </w:rPr>
        <w:t>repercussions.</w:t>
      </w:r>
      <w:hyperlink w:history="true" w:anchor="_bookmark335">
        <w:r>
          <w:rPr>
            <w:sz w:val="21"/>
            <w:vertAlign w:val="superscript"/>
          </w:rPr>
          <w:t>19</w:t>
        </w:r>
      </w:hyperlink>
      <w:r>
        <w:rPr>
          <w:spacing w:val="-11"/>
          <w:sz w:val="21"/>
          <w:vertAlign w:val="baseline"/>
        </w:rPr>
        <w:t> </w:t>
      </w:r>
      <w:r>
        <w:rPr>
          <w:sz w:val="21"/>
          <w:vertAlign w:val="baseline"/>
        </w:rPr>
        <w:t>There</w:t>
      </w:r>
      <w:r>
        <w:rPr>
          <w:spacing w:val="-12"/>
          <w:sz w:val="21"/>
          <w:vertAlign w:val="baseline"/>
        </w:rPr>
        <w:t> </w:t>
      </w:r>
      <w:r>
        <w:rPr>
          <w:sz w:val="21"/>
          <w:vertAlign w:val="baseline"/>
        </w:rPr>
        <w:t>is</w:t>
      </w:r>
      <w:r>
        <w:rPr>
          <w:spacing w:val="-12"/>
          <w:sz w:val="21"/>
          <w:vertAlign w:val="baseline"/>
        </w:rPr>
        <w:t> </w:t>
      </w:r>
      <w:r>
        <w:rPr>
          <w:sz w:val="21"/>
          <w:vertAlign w:val="baseline"/>
        </w:rPr>
        <w:t>an</w:t>
      </w:r>
      <w:r>
        <w:rPr>
          <w:spacing w:val="-12"/>
          <w:sz w:val="21"/>
          <w:vertAlign w:val="baseline"/>
        </w:rPr>
        <w:t> </w:t>
      </w:r>
      <w:r>
        <w:rPr>
          <w:sz w:val="21"/>
          <w:vertAlign w:val="baseline"/>
        </w:rPr>
        <w:t>urgent</w:t>
      </w:r>
      <w:r>
        <w:rPr>
          <w:spacing w:val="-12"/>
          <w:sz w:val="21"/>
          <w:vertAlign w:val="baseline"/>
        </w:rPr>
        <w:t> </w:t>
      </w:r>
      <w:r>
        <w:rPr>
          <w:sz w:val="21"/>
          <w:vertAlign w:val="baseline"/>
        </w:rPr>
        <w:t>need</w:t>
      </w:r>
      <w:r>
        <w:rPr>
          <w:spacing w:val="-12"/>
          <w:sz w:val="21"/>
          <w:vertAlign w:val="baseline"/>
        </w:rPr>
        <w:t> </w:t>
      </w:r>
      <w:r>
        <w:rPr>
          <w:sz w:val="21"/>
          <w:vertAlign w:val="baseline"/>
        </w:rPr>
        <w:t>for</w:t>
      </w:r>
      <w:r>
        <w:rPr>
          <w:spacing w:val="-12"/>
          <w:sz w:val="21"/>
          <w:vertAlign w:val="baseline"/>
        </w:rPr>
        <w:t> </w:t>
      </w:r>
      <w:r>
        <w:rPr>
          <w:sz w:val="21"/>
          <w:vertAlign w:val="baseline"/>
        </w:rPr>
        <w:t>reforms that</w:t>
      </w:r>
      <w:r>
        <w:rPr>
          <w:spacing w:val="-7"/>
          <w:sz w:val="21"/>
          <w:vertAlign w:val="baseline"/>
        </w:rPr>
        <w:t> </w:t>
      </w:r>
      <w:r>
        <w:rPr>
          <w:sz w:val="21"/>
          <w:vertAlign w:val="baseline"/>
        </w:rPr>
        <w:t>address</w:t>
      </w:r>
      <w:r>
        <w:rPr>
          <w:spacing w:val="-7"/>
          <w:sz w:val="21"/>
          <w:vertAlign w:val="baseline"/>
        </w:rPr>
        <w:t> </w:t>
      </w:r>
      <w:r>
        <w:rPr>
          <w:sz w:val="21"/>
          <w:vertAlign w:val="baseline"/>
        </w:rPr>
        <w:t>the</w:t>
      </w:r>
      <w:r>
        <w:rPr>
          <w:spacing w:val="-7"/>
          <w:sz w:val="21"/>
          <w:vertAlign w:val="baseline"/>
        </w:rPr>
        <w:t> </w:t>
      </w:r>
      <w:r>
        <w:rPr>
          <w:sz w:val="21"/>
          <w:vertAlign w:val="baseline"/>
        </w:rPr>
        <w:t>root</w:t>
      </w:r>
      <w:r>
        <w:rPr>
          <w:spacing w:val="-6"/>
          <w:sz w:val="21"/>
          <w:vertAlign w:val="baseline"/>
        </w:rPr>
        <w:t> </w:t>
      </w:r>
      <w:r>
        <w:rPr>
          <w:sz w:val="21"/>
          <w:vertAlign w:val="baseline"/>
        </w:rPr>
        <w:t>causes</w:t>
      </w:r>
      <w:r>
        <w:rPr>
          <w:spacing w:val="-7"/>
          <w:sz w:val="21"/>
          <w:vertAlign w:val="baseline"/>
        </w:rPr>
        <w:t> </w:t>
      </w:r>
      <w:r>
        <w:rPr>
          <w:sz w:val="21"/>
          <w:vertAlign w:val="baseline"/>
        </w:rPr>
        <w:t>of</w:t>
      </w:r>
      <w:r>
        <w:rPr>
          <w:spacing w:val="-7"/>
          <w:sz w:val="21"/>
          <w:vertAlign w:val="baseline"/>
        </w:rPr>
        <w:t> </w:t>
      </w:r>
      <w:r>
        <w:rPr>
          <w:sz w:val="21"/>
          <w:vertAlign w:val="baseline"/>
        </w:rPr>
        <w:t>discrimination</w:t>
      </w:r>
      <w:r>
        <w:rPr>
          <w:spacing w:val="-7"/>
          <w:sz w:val="21"/>
          <w:vertAlign w:val="baseline"/>
        </w:rPr>
        <w:t> </w:t>
      </w:r>
      <w:r>
        <w:rPr>
          <w:sz w:val="21"/>
          <w:vertAlign w:val="baseline"/>
        </w:rPr>
        <w:t>and</w:t>
      </w:r>
      <w:r>
        <w:rPr>
          <w:spacing w:val="-8"/>
          <w:sz w:val="21"/>
          <w:vertAlign w:val="baseline"/>
        </w:rPr>
        <w:t> </w:t>
      </w:r>
      <w:r>
        <w:rPr>
          <w:sz w:val="21"/>
          <w:vertAlign w:val="baseline"/>
        </w:rPr>
        <w:t>stigmatization</w:t>
      </w:r>
      <w:r>
        <w:rPr>
          <w:spacing w:val="-7"/>
          <w:sz w:val="21"/>
          <w:vertAlign w:val="baseline"/>
        </w:rPr>
        <w:t> </w:t>
      </w:r>
      <w:r>
        <w:rPr>
          <w:sz w:val="21"/>
          <w:vertAlign w:val="baseline"/>
        </w:rPr>
        <w:t>against</w:t>
      </w:r>
      <w:r>
        <w:rPr>
          <w:spacing w:val="-6"/>
          <w:sz w:val="21"/>
          <w:vertAlign w:val="baseline"/>
        </w:rPr>
        <w:t> </w:t>
      </w:r>
      <w:r>
        <w:rPr>
          <w:sz w:val="21"/>
          <w:vertAlign w:val="baseline"/>
        </w:rPr>
        <w:t>LGBTQ</w:t>
      </w:r>
      <w:r>
        <w:rPr>
          <w:spacing w:val="-6"/>
          <w:sz w:val="21"/>
          <w:vertAlign w:val="baseline"/>
        </w:rPr>
        <w:t> </w:t>
      </w:r>
      <w:r>
        <w:rPr>
          <w:sz w:val="21"/>
          <w:vertAlign w:val="baseline"/>
        </w:rPr>
        <w:t>youth,</w:t>
      </w:r>
      <w:r>
        <w:rPr>
          <w:spacing w:val="-7"/>
          <w:sz w:val="21"/>
          <w:vertAlign w:val="baseline"/>
        </w:rPr>
        <w:t> </w:t>
      </w:r>
      <w:r>
        <w:rPr>
          <w:sz w:val="21"/>
          <w:vertAlign w:val="baseline"/>
        </w:rPr>
        <w:t>ensuring</w:t>
      </w:r>
      <w:r>
        <w:rPr>
          <w:spacing w:val="-8"/>
          <w:sz w:val="21"/>
          <w:vertAlign w:val="baseline"/>
        </w:rPr>
        <w:t> </w:t>
      </w:r>
      <w:r>
        <w:rPr>
          <w:sz w:val="21"/>
          <w:vertAlign w:val="baseline"/>
        </w:rPr>
        <w:t>disruption in pathways to involvement in the juvenile and criminal legal systems.</w:t>
      </w:r>
    </w:p>
    <w:p>
      <w:pPr>
        <w:spacing w:line="276" w:lineRule="auto" w:before="240"/>
        <w:ind w:left="464" w:right="239" w:firstLine="0"/>
        <w:jc w:val="both"/>
        <w:rPr>
          <w:sz w:val="21"/>
        </w:rPr>
      </w:pPr>
      <w:r>
        <w:rPr>
          <w:sz w:val="21"/>
        </w:rPr>
        <w:t>LGBTQ youth face a disproportionate risk of entering the juvenile and criminal legal systems, stemming from</w:t>
      </w:r>
      <w:r>
        <w:rPr>
          <w:spacing w:val="-6"/>
          <w:sz w:val="21"/>
        </w:rPr>
        <w:t> </w:t>
      </w:r>
      <w:r>
        <w:rPr>
          <w:sz w:val="21"/>
        </w:rPr>
        <w:t>systemic</w:t>
      </w:r>
      <w:r>
        <w:rPr>
          <w:spacing w:val="-6"/>
          <w:sz w:val="21"/>
        </w:rPr>
        <w:t> </w:t>
      </w:r>
      <w:r>
        <w:rPr>
          <w:sz w:val="21"/>
        </w:rPr>
        <w:t>issues</w:t>
      </w:r>
      <w:r>
        <w:rPr>
          <w:spacing w:val="-7"/>
          <w:sz w:val="21"/>
        </w:rPr>
        <w:t> </w:t>
      </w:r>
      <w:r>
        <w:rPr>
          <w:sz w:val="21"/>
        </w:rPr>
        <w:t>such</w:t>
      </w:r>
      <w:r>
        <w:rPr>
          <w:spacing w:val="-6"/>
          <w:sz w:val="21"/>
        </w:rPr>
        <w:t> </w:t>
      </w:r>
      <w:r>
        <w:rPr>
          <w:sz w:val="21"/>
        </w:rPr>
        <w:t>as</w:t>
      </w:r>
      <w:r>
        <w:rPr>
          <w:spacing w:val="-7"/>
          <w:sz w:val="21"/>
        </w:rPr>
        <w:t> </w:t>
      </w:r>
      <w:r>
        <w:rPr>
          <w:sz w:val="21"/>
        </w:rPr>
        <w:t>poverty,</w:t>
      </w:r>
      <w:r>
        <w:rPr>
          <w:spacing w:val="-7"/>
          <w:sz w:val="21"/>
        </w:rPr>
        <w:t> </w:t>
      </w:r>
      <w:r>
        <w:rPr>
          <w:sz w:val="21"/>
        </w:rPr>
        <w:t>homelessness,</w:t>
      </w:r>
      <w:r>
        <w:rPr>
          <w:spacing w:val="-6"/>
          <w:sz w:val="21"/>
        </w:rPr>
        <w:t> </w:t>
      </w:r>
      <w:r>
        <w:rPr>
          <w:sz w:val="21"/>
        </w:rPr>
        <w:t>and</w:t>
      </w:r>
      <w:r>
        <w:rPr>
          <w:spacing w:val="-6"/>
          <w:sz w:val="21"/>
        </w:rPr>
        <w:t> </w:t>
      </w:r>
      <w:r>
        <w:rPr>
          <w:sz w:val="21"/>
        </w:rPr>
        <w:t>engagement</w:t>
      </w:r>
      <w:r>
        <w:rPr>
          <w:spacing w:val="-6"/>
          <w:sz w:val="21"/>
        </w:rPr>
        <w:t> </w:t>
      </w:r>
      <w:r>
        <w:rPr>
          <w:sz w:val="21"/>
        </w:rPr>
        <w:t>in</w:t>
      </w:r>
      <w:r>
        <w:rPr>
          <w:spacing w:val="-6"/>
          <w:sz w:val="21"/>
        </w:rPr>
        <w:t> </w:t>
      </w:r>
      <w:r>
        <w:rPr>
          <w:sz w:val="21"/>
        </w:rPr>
        <w:t>compensatory</w:t>
      </w:r>
      <w:r>
        <w:rPr>
          <w:spacing w:val="-7"/>
          <w:sz w:val="21"/>
        </w:rPr>
        <w:t> </w:t>
      </w:r>
      <w:r>
        <w:rPr>
          <w:sz w:val="21"/>
        </w:rPr>
        <w:t>behaviors</w:t>
      </w:r>
      <w:r>
        <w:rPr>
          <w:spacing w:val="-7"/>
          <w:sz w:val="21"/>
        </w:rPr>
        <w:t> </w:t>
      </w:r>
      <w:r>
        <w:rPr>
          <w:sz w:val="21"/>
        </w:rPr>
        <w:t>like</w:t>
      </w:r>
      <w:r>
        <w:rPr>
          <w:spacing w:val="-6"/>
          <w:sz w:val="21"/>
        </w:rPr>
        <w:t> </w:t>
      </w:r>
      <w:r>
        <w:rPr>
          <w:sz w:val="21"/>
        </w:rPr>
        <w:t>drug use.</w:t>
      </w:r>
      <w:r>
        <w:rPr>
          <w:spacing w:val="-3"/>
          <w:sz w:val="21"/>
        </w:rPr>
        <w:t> </w:t>
      </w:r>
      <w:r>
        <w:rPr>
          <w:sz w:val="21"/>
        </w:rPr>
        <w:t>This</w:t>
      </w:r>
      <w:r>
        <w:rPr>
          <w:spacing w:val="-4"/>
          <w:sz w:val="21"/>
        </w:rPr>
        <w:t> </w:t>
      </w:r>
      <w:r>
        <w:rPr>
          <w:sz w:val="21"/>
        </w:rPr>
        <w:t>vulnerability</w:t>
      </w:r>
      <w:r>
        <w:rPr>
          <w:spacing w:val="-3"/>
          <w:sz w:val="21"/>
        </w:rPr>
        <w:t> </w:t>
      </w:r>
      <w:r>
        <w:rPr>
          <w:sz w:val="21"/>
        </w:rPr>
        <w:t>is</w:t>
      </w:r>
      <w:r>
        <w:rPr>
          <w:spacing w:val="-4"/>
          <w:sz w:val="21"/>
        </w:rPr>
        <w:t> </w:t>
      </w:r>
      <w:r>
        <w:rPr>
          <w:sz w:val="21"/>
        </w:rPr>
        <w:t>exacerbated</w:t>
      </w:r>
      <w:r>
        <w:rPr>
          <w:spacing w:val="-3"/>
          <w:sz w:val="21"/>
        </w:rPr>
        <w:t> </w:t>
      </w:r>
      <w:r>
        <w:rPr>
          <w:sz w:val="21"/>
        </w:rPr>
        <w:t>by</w:t>
      </w:r>
      <w:r>
        <w:rPr>
          <w:spacing w:val="-3"/>
          <w:sz w:val="21"/>
        </w:rPr>
        <w:t> </w:t>
      </w:r>
      <w:r>
        <w:rPr>
          <w:sz w:val="21"/>
        </w:rPr>
        <w:t>the</w:t>
      </w:r>
      <w:r>
        <w:rPr>
          <w:spacing w:val="-3"/>
          <w:sz w:val="21"/>
        </w:rPr>
        <w:t> </w:t>
      </w:r>
      <w:r>
        <w:rPr>
          <w:sz w:val="21"/>
        </w:rPr>
        <w:t>higher</w:t>
      </w:r>
      <w:r>
        <w:rPr>
          <w:spacing w:val="-3"/>
          <w:sz w:val="21"/>
        </w:rPr>
        <w:t> </w:t>
      </w:r>
      <w:r>
        <w:rPr>
          <w:sz w:val="21"/>
        </w:rPr>
        <w:t>rates</w:t>
      </w:r>
      <w:r>
        <w:rPr>
          <w:spacing w:val="-4"/>
          <w:sz w:val="21"/>
        </w:rPr>
        <w:t> </w:t>
      </w:r>
      <w:r>
        <w:rPr>
          <w:sz w:val="21"/>
        </w:rPr>
        <w:t>of</w:t>
      </w:r>
      <w:r>
        <w:rPr>
          <w:spacing w:val="-4"/>
          <w:sz w:val="21"/>
        </w:rPr>
        <w:t> </w:t>
      </w:r>
      <w:r>
        <w:rPr>
          <w:sz w:val="21"/>
        </w:rPr>
        <w:t>poverty</w:t>
      </w:r>
      <w:r>
        <w:rPr>
          <w:spacing w:val="-3"/>
          <w:sz w:val="21"/>
        </w:rPr>
        <w:t> </w:t>
      </w:r>
      <w:r>
        <w:rPr>
          <w:sz w:val="21"/>
        </w:rPr>
        <w:t>among</w:t>
      </w:r>
      <w:r>
        <w:rPr>
          <w:spacing w:val="-4"/>
          <w:sz w:val="21"/>
        </w:rPr>
        <w:t> </w:t>
      </w:r>
      <w:r>
        <w:rPr>
          <w:sz w:val="21"/>
        </w:rPr>
        <w:t>LGBTQ</w:t>
      </w:r>
      <w:r>
        <w:rPr>
          <w:spacing w:val="-3"/>
          <w:sz w:val="21"/>
        </w:rPr>
        <w:t> </w:t>
      </w:r>
      <w:r>
        <w:rPr>
          <w:sz w:val="21"/>
        </w:rPr>
        <w:t>individuals</w:t>
      </w:r>
      <w:r>
        <w:rPr>
          <w:spacing w:val="-4"/>
          <w:sz w:val="21"/>
        </w:rPr>
        <w:t> </w:t>
      </w:r>
      <w:r>
        <w:rPr>
          <w:sz w:val="21"/>
        </w:rPr>
        <w:t>compared</w:t>
      </w:r>
      <w:r>
        <w:rPr>
          <w:spacing w:val="-3"/>
          <w:sz w:val="21"/>
        </w:rPr>
        <w:t> </w:t>
      </w:r>
      <w:r>
        <w:rPr>
          <w:sz w:val="21"/>
        </w:rPr>
        <w:t>to the general population, with transgender youth experiencing even higher rates of poverty than other LGB populations.</w:t>
      </w:r>
      <w:hyperlink w:history="true" w:anchor="_bookmark336">
        <w:r>
          <w:rPr>
            <w:sz w:val="21"/>
            <w:vertAlign w:val="superscript"/>
          </w:rPr>
          <w:t>20</w:t>
        </w:r>
      </w:hyperlink>
      <w:r>
        <w:rPr>
          <w:spacing w:val="-2"/>
          <w:sz w:val="21"/>
          <w:vertAlign w:val="baseline"/>
        </w:rPr>
        <w:t> </w:t>
      </w:r>
      <w:r>
        <w:rPr>
          <w:sz w:val="21"/>
          <w:vertAlign w:val="baseline"/>
        </w:rPr>
        <w:t>The struggles with poverty and joblessness often push LGBTQ people towards criminalized economies, such as sex work or drug sales, as a means of survival.</w:t>
      </w:r>
      <w:hyperlink w:history="true" w:anchor="_bookmark337">
        <w:r>
          <w:rPr>
            <w:sz w:val="21"/>
            <w:vertAlign w:val="superscript"/>
          </w:rPr>
          <w:t>21</w:t>
        </w:r>
      </w:hyperlink>
      <w:r>
        <w:rPr>
          <w:sz w:val="21"/>
          <w:vertAlign w:val="baseline"/>
        </w:rPr>
        <w:t> These actions, while attempts to navigate through dire circumstances, frequently lead to incarceration or other forms of criminal legal system involvement.</w:t>
      </w:r>
    </w:p>
    <w:p>
      <w:pPr>
        <w:spacing w:line="276" w:lineRule="auto" w:before="240"/>
        <w:ind w:left="464" w:right="240" w:firstLine="0"/>
        <w:jc w:val="both"/>
        <w:rPr>
          <w:sz w:val="21"/>
        </w:rPr>
      </w:pPr>
      <w:r>
        <w:rPr>
          <w:sz w:val="21"/>
        </w:rPr>
        <w:t>The intersection of homelessness and the criminal legal system further complicates the lives of LGBTQ youth.</w:t>
      </w:r>
      <w:r>
        <w:rPr>
          <w:spacing w:val="15"/>
          <w:sz w:val="21"/>
        </w:rPr>
        <w:t> </w:t>
      </w:r>
      <w:r>
        <w:rPr>
          <w:sz w:val="21"/>
        </w:rPr>
        <w:t>Being</w:t>
      </w:r>
      <w:r>
        <w:rPr>
          <w:spacing w:val="16"/>
          <w:sz w:val="21"/>
        </w:rPr>
        <w:t> </w:t>
      </w:r>
      <w:r>
        <w:rPr>
          <w:sz w:val="21"/>
        </w:rPr>
        <w:t>unhoused</w:t>
      </w:r>
      <w:r>
        <w:rPr>
          <w:spacing w:val="15"/>
          <w:sz w:val="21"/>
        </w:rPr>
        <w:t> </w:t>
      </w:r>
      <w:r>
        <w:rPr>
          <w:sz w:val="21"/>
        </w:rPr>
        <w:t>or</w:t>
      </w:r>
      <w:r>
        <w:rPr>
          <w:spacing w:val="16"/>
          <w:sz w:val="21"/>
        </w:rPr>
        <w:t> </w:t>
      </w:r>
      <w:r>
        <w:rPr>
          <w:sz w:val="21"/>
        </w:rPr>
        <w:t>under-housed</w:t>
      </w:r>
      <w:r>
        <w:rPr>
          <w:spacing w:val="16"/>
          <w:sz w:val="21"/>
        </w:rPr>
        <w:t> </w:t>
      </w:r>
      <w:r>
        <w:rPr>
          <w:sz w:val="21"/>
        </w:rPr>
        <w:t>not</w:t>
      </w:r>
      <w:r>
        <w:rPr>
          <w:spacing w:val="15"/>
          <w:sz w:val="21"/>
        </w:rPr>
        <w:t> </w:t>
      </w:r>
      <w:r>
        <w:rPr>
          <w:sz w:val="21"/>
        </w:rPr>
        <w:t>only</w:t>
      </w:r>
      <w:r>
        <w:rPr>
          <w:spacing w:val="15"/>
          <w:sz w:val="21"/>
        </w:rPr>
        <w:t> </w:t>
      </w:r>
      <w:r>
        <w:rPr>
          <w:sz w:val="21"/>
        </w:rPr>
        <w:t>exposes</w:t>
      </w:r>
      <w:r>
        <w:rPr>
          <w:spacing w:val="14"/>
          <w:sz w:val="21"/>
        </w:rPr>
        <w:t> </w:t>
      </w:r>
      <w:r>
        <w:rPr>
          <w:sz w:val="21"/>
        </w:rPr>
        <w:t>LGBTQ</w:t>
      </w:r>
      <w:r>
        <w:rPr>
          <w:spacing w:val="16"/>
          <w:sz w:val="21"/>
        </w:rPr>
        <w:t> </w:t>
      </w:r>
      <w:r>
        <w:rPr>
          <w:sz w:val="21"/>
        </w:rPr>
        <w:t>youth</w:t>
      </w:r>
      <w:r>
        <w:rPr>
          <w:spacing w:val="15"/>
          <w:sz w:val="21"/>
        </w:rPr>
        <w:t> </w:t>
      </w:r>
      <w:r>
        <w:rPr>
          <w:sz w:val="21"/>
        </w:rPr>
        <w:t>to</w:t>
      </w:r>
      <w:r>
        <w:rPr>
          <w:spacing w:val="14"/>
          <w:sz w:val="21"/>
        </w:rPr>
        <w:t> </w:t>
      </w:r>
      <w:r>
        <w:rPr>
          <w:sz w:val="21"/>
        </w:rPr>
        <w:t>the</w:t>
      </w:r>
      <w:r>
        <w:rPr>
          <w:spacing w:val="15"/>
          <w:sz w:val="21"/>
        </w:rPr>
        <w:t> </w:t>
      </w:r>
      <w:r>
        <w:rPr>
          <w:sz w:val="21"/>
        </w:rPr>
        <w:t>elements</w:t>
      </w:r>
      <w:r>
        <w:rPr>
          <w:spacing w:val="15"/>
          <w:sz w:val="21"/>
        </w:rPr>
        <w:t> </w:t>
      </w:r>
      <w:r>
        <w:rPr>
          <w:sz w:val="21"/>
        </w:rPr>
        <w:t>but</w:t>
      </w:r>
      <w:r>
        <w:rPr>
          <w:spacing w:val="15"/>
          <w:sz w:val="21"/>
        </w:rPr>
        <w:t> </w:t>
      </w:r>
      <w:r>
        <w:rPr>
          <w:sz w:val="21"/>
        </w:rPr>
        <w:t>also</w:t>
      </w:r>
      <w:r>
        <w:rPr>
          <w:spacing w:val="15"/>
          <w:sz w:val="21"/>
        </w:rPr>
        <w:t> </w:t>
      </w:r>
      <w:r>
        <w:rPr>
          <w:sz w:val="21"/>
        </w:rPr>
        <w:t>to</w:t>
      </w:r>
      <w:r>
        <w:rPr>
          <w:spacing w:val="16"/>
          <w:sz w:val="21"/>
        </w:rPr>
        <w:t> </w:t>
      </w:r>
      <w:r>
        <w:rPr>
          <w:spacing w:val="-5"/>
          <w:sz w:val="21"/>
        </w:rPr>
        <w:t>the</w:t>
      </w:r>
    </w:p>
    <w:p>
      <w:pPr>
        <w:spacing w:after="0" w:line="276" w:lineRule="auto"/>
        <w:jc w:val="both"/>
        <w:rPr>
          <w:sz w:val="21"/>
        </w:rPr>
        <w:sectPr>
          <w:pgSz w:w="12240" w:h="15840"/>
          <w:pgMar w:header="763" w:footer="1041" w:top="1360" w:bottom="1240" w:left="1120" w:right="1340"/>
        </w:sectPr>
      </w:pPr>
    </w:p>
    <w:p>
      <w:pPr>
        <w:spacing w:line="276" w:lineRule="auto" w:before="65"/>
        <w:ind w:left="464" w:right="5016" w:firstLine="0"/>
        <w:jc w:val="both"/>
        <w:rPr>
          <w:sz w:val="21"/>
        </w:rPr>
      </w:pPr>
      <w:r>
        <w:rPr/>
        <w:drawing>
          <wp:anchor distT="0" distB="0" distL="0" distR="0" allowOverlap="1" layoutInCell="1" locked="0" behindDoc="0" simplePos="0" relativeHeight="15803392">
            <wp:simplePos x="0" y="0"/>
            <wp:positionH relativeFrom="page">
              <wp:posOffset>3910434</wp:posOffset>
            </wp:positionH>
            <wp:positionV relativeFrom="paragraph">
              <wp:posOffset>82504</wp:posOffset>
            </wp:positionV>
            <wp:extent cx="2879861" cy="1312854"/>
            <wp:effectExtent l="0" t="0" r="0" b="0"/>
            <wp:wrapNone/>
            <wp:docPr id="398" name="Image 398" descr="A group of people with text  Description automatically generated "/>
            <wp:cNvGraphicFramePr>
              <a:graphicFrameLocks/>
            </wp:cNvGraphicFramePr>
            <a:graphic>
              <a:graphicData uri="http://schemas.openxmlformats.org/drawingml/2006/picture">
                <pic:pic>
                  <pic:nvPicPr>
                    <pic:cNvPr id="398" name="Image 398" descr="A group of people with text  Description automatically generated "/>
                    <pic:cNvPicPr/>
                  </pic:nvPicPr>
                  <pic:blipFill>
                    <a:blip r:embed="rId473" cstate="print"/>
                    <a:stretch>
                      <a:fillRect/>
                    </a:stretch>
                  </pic:blipFill>
                  <pic:spPr>
                    <a:xfrm>
                      <a:off x="0" y="0"/>
                      <a:ext cx="2879861" cy="1312854"/>
                    </a:xfrm>
                    <a:prstGeom prst="rect">
                      <a:avLst/>
                    </a:prstGeom>
                  </pic:spPr>
                </pic:pic>
              </a:graphicData>
            </a:graphic>
          </wp:anchor>
        </w:drawing>
      </w:r>
      <w:r>
        <w:rPr>
          <w:sz w:val="21"/>
        </w:rPr>
        <w:t>punitive mechanisms of law enforcement, including arrests for loitering or sleeping in public spaces.</w:t>
      </w:r>
      <w:hyperlink w:history="true" w:anchor="_bookmark338">
        <w:r>
          <w:rPr>
            <w:sz w:val="21"/>
            <w:vertAlign w:val="superscript"/>
          </w:rPr>
          <w:t>22</w:t>
        </w:r>
      </w:hyperlink>
      <w:r>
        <w:rPr>
          <w:spacing w:val="-5"/>
          <w:sz w:val="21"/>
          <w:vertAlign w:val="baseline"/>
        </w:rPr>
        <w:t> </w:t>
      </w:r>
      <w:r>
        <w:rPr>
          <w:sz w:val="21"/>
          <w:vertAlign w:val="baseline"/>
        </w:rPr>
        <w:t>In</w:t>
      </w:r>
      <w:r>
        <w:rPr>
          <w:spacing w:val="-6"/>
          <w:sz w:val="21"/>
          <w:vertAlign w:val="baseline"/>
        </w:rPr>
        <w:t> </w:t>
      </w:r>
      <w:r>
        <w:rPr>
          <w:sz w:val="21"/>
          <w:vertAlign w:val="baseline"/>
        </w:rPr>
        <w:t>Massachusetts,</w:t>
      </w:r>
      <w:r>
        <w:rPr>
          <w:spacing w:val="-6"/>
          <w:sz w:val="21"/>
          <w:vertAlign w:val="baseline"/>
        </w:rPr>
        <w:t> </w:t>
      </w:r>
      <w:r>
        <w:rPr>
          <w:sz w:val="21"/>
          <w:vertAlign w:val="baseline"/>
        </w:rPr>
        <w:t>one</w:t>
      </w:r>
      <w:r>
        <w:rPr>
          <w:spacing w:val="-6"/>
          <w:sz w:val="21"/>
          <w:vertAlign w:val="baseline"/>
        </w:rPr>
        <w:t> </w:t>
      </w:r>
      <w:r>
        <w:rPr>
          <w:sz w:val="21"/>
          <w:vertAlign w:val="baseline"/>
        </w:rPr>
        <w:t>out</w:t>
      </w:r>
      <w:r>
        <w:rPr>
          <w:spacing w:val="-7"/>
          <w:sz w:val="21"/>
          <w:vertAlign w:val="baseline"/>
        </w:rPr>
        <w:t> </w:t>
      </w:r>
      <w:r>
        <w:rPr>
          <w:sz w:val="21"/>
          <w:vertAlign w:val="baseline"/>
        </w:rPr>
        <w:t>of</w:t>
      </w:r>
      <w:r>
        <w:rPr>
          <w:spacing w:val="-7"/>
          <w:sz w:val="21"/>
          <w:vertAlign w:val="baseline"/>
        </w:rPr>
        <w:t> </w:t>
      </w:r>
      <w:r>
        <w:rPr>
          <w:sz w:val="21"/>
          <w:vertAlign w:val="baseline"/>
        </w:rPr>
        <w:t>every</w:t>
      </w:r>
      <w:r>
        <w:rPr>
          <w:spacing w:val="-7"/>
          <w:sz w:val="21"/>
          <w:vertAlign w:val="baseline"/>
        </w:rPr>
        <w:t> </w:t>
      </w:r>
      <w:r>
        <w:rPr>
          <w:sz w:val="21"/>
          <w:vertAlign w:val="baseline"/>
        </w:rPr>
        <w:t>three youths experiencing homelessness identifies as LGBTQ.</w:t>
      </w:r>
      <w:hyperlink w:history="true" w:anchor="_bookmark339">
        <w:r>
          <w:rPr>
            <w:sz w:val="21"/>
            <w:vertAlign w:val="superscript"/>
          </w:rPr>
          <w:t>23</w:t>
        </w:r>
      </w:hyperlink>
      <w:r>
        <w:rPr>
          <w:spacing w:val="-3"/>
          <w:sz w:val="21"/>
          <w:vertAlign w:val="baseline"/>
        </w:rPr>
        <w:t> </w:t>
      </w:r>
      <w:r>
        <w:rPr>
          <w:sz w:val="21"/>
          <w:vertAlign w:val="baseline"/>
        </w:rPr>
        <w:t>As a result of these experiences, LGBTQ youth may turn to sex work or selling drugs to survive, which can often lead to some type of involvement</w:t>
      </w:r>
      <w:r>
        <w:rPr>
          <w:spacing w:val="33"/>
          <w:sz w:val="21"/>
          <w:vertAlign w:val="baseline"/>
        </w:rPr>
        <w:t>  </w:t>
      </w:r>
      <w:r>
        <w:rPr>
          <w:sz w:val="21"/>
          <w:vertAlign w:val="baseline"/>
        </w:rPr>
        <w:t>with</w:t>
      </w:r>
      <w:r>
        <w:rPr>
          <w:spacing w:val="34"/>
          <w:sz w:val="21"/>
          <w:vertAlign w:val="baseline"/>
        </w:rPr>
        <w:t>  </w:t>
      </w:r>
      <w:r>
        <w:rPr>
          <w:sz w:val="21"/>
          <w:vertAlign w:val="baseline"/>
        </w:rPr>
        <w:t>the</w:t>
      </w:r>
      <w:r>
        <w:rPr>
          <w:spacing w:val="33"/>
          <w:sz w:val="21"/>
          <w:vertAlign w:val="baseline"/>
        </w:rPr>
        <w:t>  </w:t>
      </w:r>
      <w:r>
        <w:rPr>
          <w:sz w:val="21"/>
          <w:vertAlign w:val="baseline"/>
        </w:rPr>
        <w:t>criminal</w:t>
      </w:r>
      <w:r>
        <w:rPr>
          <w:spacing w:val="34"/>
          <w:sz w:val="21"/>
          <w:vertAlign w:val="baseline"/>
        </w:rPr>
        <w:t>  </w:t>
      </w:r>
      <w:r>
        <w:rPr>
          <w:sz w:val="21"/>
          <w:vertAlign w:val="baseline"/>
        </w:rPr>
        <w:t>legal</w:t>
      </w:r>
      <w:r>
        <w:rPr>
          <w:spacing w:val="33"/>
          <w:sz w:val="21"/>
          <w:vertAlign w:val="baseline"/>
        </w:rPr>
        <w:t>  </w:t>
      </w:r>
      <w:r>
        <w:rPr>
          <w:spacing w:val="-2"/>
          <w:sz w:val="21"/>
          <w:vertAlign w:val="baseline"/>
        </w:rPr>
        <w:t>system,</w:t>
      </w:r>
    </w:p>
    <w:p>
      <w:pPr>
        <w:spacing w:line="276" w:lineRule="auto" w:before="0"/>
        <w:ind w:left="463" w:right="237" w:firstLine="0"/>
        <w:jc w:val="both"/>
        <w:rPr>
          <w:sz w:val="21"/>
        </w:rPr>
      </w:pPr>
      <w:r>
        <w:rPr>
          <w:sz w:val="21"/>
        </w:rPr>
        <w:t>including incarceration. The state's shelter system, especially for LGBTQ youth, is under-resourced and often</w:t>
      </w:r>
      <w:r>
        <w:rPr>
          <w:spacing w:val="-8"/>
          <w:sz w:val="21"/>
        </w:rPr>
        <w:t> </w:t>
      </w:r>
      <w:r>
        <w:rPr>
          <w:sz w:val="21"/>
        </w:rPr>
        <w:t>unsafe,</w:t>
      </w:r>
      <w:r>
        <w:rPr>
          <w:spacing w:val="-9"/>
          <w:sz w:val="21"/>
        </w:rPr>
        <w:t> </w:t>
      </w:r>
      <w:r>
        <w:rPr>
          <w:sz w:val="21"/>
        </w:rPr>
        <w:t>forcing</w:t>
      </w:r>
      <w:r>
        <w:rPr>
          <w:spacing w:val="-8"/>
          <w:sz w:val="21"/>
        </w:rPr>
        <w:t> </w:t>
      </w:r>
      <w:r>
        <w:rPr>
          <w:sz w:val="21"/>
        </w:rPr>
        <w:t>youth</w:t>
      </w:r>
      <w:r>
        <w:rPr>
          <w:spacing w:val="-8"/>
          <w:sz w:val="21"/>
        </w:rPr>
        <w:t> </w:t>
      </w:r>
      <w:r>
        <w:rPr>
          <w:sz w:val="21"/>
        </w:rPr>
        <w:t>out</w:t>
      </w:r>
      <w:r>
        <w:rPr>
          <w:spacing w:val="-8"/>
          <w:sz w:val="21"/>
        </w:rPr>
        <w:t> </w:t>
      </w:r>
      <w:r>
        <w:rPr>
          <w:sz w:val="21"/>
        </w:rPr>
        <w:t>into</w:t>
      </w:r>
      <w:r>
        <w:rPr>
          <w:spacing w:val="-8"/>
          <w:sz w:val="21"/>
        </w:rPr>
        <w:t> </w:t>
      </w:r>
      <w:r>
        <w:rPr>
          <w:sz w:val="21"/>
        </w:rPr>
        <w:t>public</w:t>
      </w:r>
      <w:r>
        <w:rPr>
          <w:spacing w:val="-8"/>
          <w:sz w:val="21"/>
        </w:rPr>
        <w:t> </w:t>
      </w:r>
      <w:r>
        <w:rPr>
          <w:sz w:val="21"/>
        </w:rPr>
        <w:t>spaces</w:t>
      </w:r>
      <w:r>
        <w:rPr>
          <w:spacing w:val="-8"/>
          <w:sz w:val="21"/>
        </w:rPr>
        <w:t> </w:t>
      </w:r>
      <w:r>
        <w:rPr>
          <w:sz w:val="21"/>
        </w:rPr>
        <w:t>and</w:t>
      </w:r>
      <w:r>
        <w:rPr>
          <w:spacing w:val="-8"/>
          <w:sz w:val="21"/>
        </w:rPr>
        <w:t> </w:t>
      </w:r>
      <w:r>
        <w:rPr>
          <w:sz w:val="21"/>
        </w:rPr>
        <w:t>increasing</w:t>
      </w:r>
      <w:r>
        <w:rPr>
          <w:spacing w:val="-8"/>
          <w:sz w:val="21"/>
        </w:rPr>
        <w:t> </w:t>
      </w:r>
      <w:r>
        <w:rPr>
          <w:sz w:val="21"/>
        </w:rPr>
        <w:t>their</w:t>
      </w:r>
      <w:r>
        <w:rPr>
          <w:spacing w:val="-8"/>
          <w:sz w:val="21"/>
        </w:rPr>
        <w:t> </w:t>
      </w:r>
      <w:r>
        <w:rPr>
          <w:sz w:val="21"/>
        </w:rPr>
        <w:t>interactions</w:t>
      </w:r>
      <w:r>
        <w:rPr>
          <w:spacing w:val="-10"/>
          <w:sz w:val="21"/>
        </w:rPr>
        <w:t> </w:t>
      </w:r>
      <w:r>
        <w:rPr>
          <w:sz w:val="21"/>
        </w:rPr>
        <w:t>with</w:t>
      </w:r>
      <w:r>
        <w:rPr>
          <w:spacing w:val="-8"/>
          <w:sz w:val="21"/>
        </w:rPr>
        <w:t> </w:t>
      </w:r>
      <w:r>
        <w:rPr>
          <w:sz w:val="21"/>
        </w:rPr>
        <w:t>law</w:t>
      </w:r>
      <w:r>
        <w:rPr>
          <w:spacing w:val="-8"/>
          <w:sz w:val="21"/>
        </w:rPr>
        <w:t> </w:t>
      </w:r>
      <w:r>
        <w:rPr>
          <w:sz w:val="21"/>
        </w:rPr>
        <w:t>enforcement.</w:t>
      </w:r>
      <w:hyperlink w:history="true" w:anchor="_bookmark340">
        <w:r>
          <w:rPr>
            <w:sz w:val="21"/>
            <w:vertAlign w:val="superscript"/>
          </w:rPr>
          <w:t>24</w:t>
        </w:r>
      </w:hyperlink>
      <w:r>
        <w:rPr>
          <w:sz w:val="21"/>
          <w:vertAlign w:val="baseline"/>
        </w:rPr>
        <w:t> Traditional emergency homeless shelters can be dangerous environments for LGBTQ youth due to several intertwined</w:t>
      </w:r>
      <w:r>
        <w:rPr>
          <w:spacing w:val="-12"/>
          <w:sz w:val="21"/>
          <w:vertAlign w:val="baseline"/>
        </w:rPr>
        <w:t> </w:t>
      </w:r>
      <w:r>
        <w:rPr>
          <w:sz w:val="21"/>
          <w:vertAlign w:val="baseline"/>
        </w:rPr>
        <w:t>factors.</w:t>
      </w:r>
      <w:hyperlink w:history="true" w:anchor="_bookmark341">
        <w:r>
          <w:rPr>
            <w:sz w:val="21"/>
            <w:vertAlign w:val="superscript"/>
          </w:rPr>
          <w:t>25</w:t>
        </w:r>
      </w:hyperlink>
      <w:r>
        <w:rPr>
          <w:spacing w:val="-12"/>
          <w:sz w:val="21"/>
          <w:vertAlign w:val="baseline"/>
        </w:rPr>
        <w:t> </w:t>
      </w:r>
      <w:r>
        <w:rPr>
          <w:sz w:val="21"/>
          <w:vertAlign w:val="baseline"/>
        </w:rPr>
        <w:t>These</w:t>
      </w:r>
      <w:r>
        <w:rPr>
          <w:spacing w:val="-12"/>
          <w:sz w:val="21"/>
          <w:vertAlign w:val="baseline"/>
        </w:rPr>
        <w:t> </w:t>
      </w:r>
      <w:r>
        <w:rPr>
          <w:sz w:val="21"/>
          <w:vertAlign w:val="baseline"/>
        </w:rPr>
        <w:t>facilities</w:t>
      </w:r>
      <w:r>
        <w:rPr>
          <w:spacing w:val="-12"/>
          <w:sz w:val="21"/>
          <w:vertAlign w:val="baseline"/>
        </w:rPr>
        <w:t> </w:t>
      </w:r>
      <w:r>
        <w:rPr>
          <w:sz w:val="21"/>
          <w:vertAlign w:val="baseline"/>
        </w:rPr>
        <w:t>may</w:t>
      </w:r>
      <w:r>
        <w:rPr>
          <w:spacing w:val="-12"/>
          <w:sz w:val="21"/>
          <w:vertAlign w:val="baseline"/>
        </w:rPr>
        <w:t> </w:t>
      </w:r>
      <w:r>
        <w:rPr>
          <w:sz w:val="21"/>
          <w:vertAlign w:val="baseline"/>
        </w:rPr>
        <w:t>lack</w:t>
      </w:r>
      <w:r>
        <w:rPr>
          <w:spacing w:val="-11"/>
          <w:sz w:val="21"/>
          <w:vertAlign w:val="baseline"/>
        </w:rPr>
        <w:t> </w:t>
      </w:r>
      <w:r>
        <w:rPr>
          <w:sz w:val="21"/>
          <w:vertAlign w:val="baseline"/>
        </w:rPr>
        <w:t>staff</w:t>
      </w:r>
      <w:r>
        <w:rPr>
          <w:spacing w:val="-12"/>
          <w:sz w:val="21"/>
          <w:vertAlign w:val="baseline"/>
        </w:rPr>
        <w:t> </w:t>
      </w:r>
      <w:r>
        <w:rPr>
          <w:sz w:val="21"/>
          <w:vertAlign w:val="baseline"/>
        </w:rPr>
        <w:t>trained</w:t>
      </w:r>
      <w:r>
        <w:rPr>
          <w:spacing w:val="-12"/>
          <w:sz w:val="21"/>
          <w:vertAlign w:val="baseline"/>
        </w:rPr>
        <w:t> </w:t>
      </w:r>
      <w:r>
        <w:rPr>
          <w:sz w:val="21"/>
          <w:vertAlign w:val="baseline"/>
        </w:rPr>
        <w:t>in</w:t>
      </w:r>
      <w:r>
        <w:rPr>
          <w:spacing w:val="-12"/>
          <w:sz w:val="21"/>
          <w:vertAlign w:val="baseline"/>
        </w:rPr>
        <w:t> </w:t>
      </w:r>
      <w:r>
        <w:rPr>
          <w:sz w:val="21"/>
          <w:vertAlign w:val="baseline"/>
        </w:rPr>
        <w:t>LGBTQ</w:t>
      </w:r>
      <w:r>
        <w:rPr>
          <w:spacing w:val="-12"/>
          <w:sz w:val="21"/>
          <w:vertAlign w:val="baseline"/>
        </w:rPr>
        <w:t> </w:t>
      </w:r>
      <w:r>
        <w:rPr>
          <w:sz w:val="21"/>
          <w:vertAlign w:val="baseline"/>
        </w:rPr>
        <w:t>care,</w:t>
      </w:r>
      <w:r>
        <w:rPr>
          <w:spacing w:val="-11"/>
          <w:sz w:val="21"/>
          <w:vertAlign w:val="baseline"/>
        </w:rPr>
        <w:t> </w:t>
      </w:r>
      <w:r>
        <w:rPr>
          <w:sz w:val="21"/>
          <w:vertAlign w:val="baseline"/>
        </w:rPr>
        <w:t>leading</w:t>
      </w:r>
      <w:r>
        <w:rPr>
          <w:spacing w:val="-12"/>
          <w:sz w:val="21"/>
          <w:vertAlign w:val="baseline"/>
        </w:rPr>
        <w:t> </w:t>
      </w:r>
      <w:r>
        <w:rPr>
          <w:sz w:val="21"/>
          <w:vertAlign w:val="baseline"/>
        </w:rPr>
        <w:t>to</w:t>
      </w:r>
      <w:r>
        <w:rPr>
          <w:spacing w:val="-12"/>
          <w:sz w:val="21"/>
          <w:vertAlign w:val="baseline"/>
        </w:rPr>
        <w:t> </w:t>
      </w:r>
      <w:r>
        <w:rPr>
          <w:sz w:val="21"/>
          <w:vertAlign w:val="baseline"/>
        </w:rPr>
        <w:t>an</w:t>
      </w:r>
      <w:r>
        <w:rPr>
          <w:spacing w:val="-12"/>
          <w:sz w:val="21"/>
          <w:vertAlign w:val="baseline"/>
        </w:rPr>
        <w:t> </w:t>
      </w:r>
      <w:r>
        <w:rPr>
          <w:sz w:val="21"/>
          <w:vertAlign w:val="baseline"/>
        </w:rPr>
        <w:t>environment</w:t>
      </w:r>
      <w:r>
        <w:rPr>
          <w:spacing w:val="-12"/>
          <w:sz w:val="21"/>
          <w:vertAlign w:val="baseline"/>
        </w:rPr>
        <w:t> </w:t>
      </w:r>
      <w:r>
        <w:rPr>
          <w:sz w:val="21"/>
          <w:vertAlign w:val="baseline"/>
        </w:rPr>
        <w:t>where discrimination, harassment, and even violence against LGBTQ youth can occur unchecked.</w:t>
      </w:r>
      <w:hyperlink w:history="true" w:anchor="_bookmark342">
        <w:r>
          <w:rPr>
            <w:sz w:val="21"/>
            <w:vertAlign w:val="superscript"/>
          </w:rPr>
          <w:t>26</w:t>
        </w:r>
      </w:hyperlink>
      <w:r>
        <w:rPr>
          <w:spacing w:val="-2"/>
          <w:sz w:val="21"/>
          <w:vertAlign w:val="baseline"/>
        </w:rPr>
        <w:t> </w:t>
      </w:r>
      <w:r>
        <w:rPr>
          <w:sz w:val="21"/>
          <w:vertAlign w:val="baseline"/>
        </w:rPr>
        <w:t>Additionally, shelter policies and practices may not respect the gender identities of transgender and nonbinary youth, forcing them into accommodations that do not align with their gender identity and exposing them to heightened risks of abuse and trauma.</w:t>
      </w:r>
      <w:r>
        <w:rPr>
          <w:spacing w:val="-10"/>
          <w:sz w:val="21"/>
          <w:vertAlign w:val="baseline"/>
        </w:rPr>
        <w:t> </w:t>
      </w:r>
      <w:hyperlink w:history="true" w:anchor="_bookmark343">
        <w:r>
          <w:rPr>
            <w:sz w:val="21"/>
            <w:vertAlign w:val="superscript"/>
          </w:rPr>
          <w:t>27</w:t>
        </w:r>
      </w:hyperlink>
      <w:r>
        <w:rPr>
          <w:sz w:val="21"/>
          <w:vertAlign w:val="baseline"/>
        </w:rPr>
        <w:t> This situation creates a vicious cycle where homelessness contributes to criminalization, which in turn, exacerbates the challenges faced by these youths. After release from incarceration, many returning youth struggle to find stability and often face homelessness.</w:t>
      </w:r>
    </w:p>
    <w:p>
      <w:pPr>
        <w:spacing w:line="276" w:lineRule="auto" w:before="240"/>
        <w:ind w:left="463" w:right="239" w:firstLine="0"/>
        <w:jc w:val="both"/>
        <w:rPr>
          <w:sz w:val="21"/>
        </w:rPr>
      </w:pPr>
      <w:r>
        <w:rPr>
          <w:sz w:val="21"/>
        </w:rPr>
        <w:t>The communal living situations typical of emergency shelters can further exacerbate vulnerabilities for LGBTQ</w:t>
      </w:r>
      <w:r>
        <w:rPr>
          <w:spacing w:val="-10"/>
          <w:sz w:val="21"/>
        </w:rPr>
        <w:t> </w:t>
      </w:r>
      <w:r>
        <w:rPr>
          <w:sz w:val="21"/>
        </w:rPr>
        <w:t>youth,</w:t>
      </w:r>
      <w:r>
        <w:rPr>
          <w:spacing w:val="-10"/>
          <w:sz w:val="21"/>
        </w:rPr>
        <w:t> </w:t>
      </w:r>
      <w:r>
        <w:rPr>
          <w:sz w:val="21"/>
        </w:rPr>
        <w:t>who</w:t>
      </w:r>
      <w:r>
        <w:rPr>
          <w:spacing w:val="-11"/>
          <w:sz w:val="21"/>
        </w:rPr>
        <w:t> </w:t>
      </w:r>
      <w:r>
        <w:rPr>
          <w:sz w:val="21"/>
        </w:rPr>
        <w:t>may</w:t>
      </w:r>
      <w:r>
        <w:rPr>
          <w:spacing w:val="-11"/>
          <w:sz w:val="21"/>
        </w:rPr>
        <w:t> </w:t>
      </w:r>
      <w:r>
        <w:rPr>
          <w:sz w:val="21"/>
        </w:rPr>
        <w:t>face</w:t>
      </w:r>
      <w:r>
        <w:rPr>
          <w:spacing w:val="-9"/>
          <w:sz w:val="21"/>
        </w:rPr>
        <w:t> </w:t>
      </w:r>
      <w:r>
        <w:rPr>
          <w:sz w:val="21"/>
        </w:rPr>
        <w:t>bullying</w:t>
      </w:r>
      <w:r>
        <w:rPr>
          <w:spacing w:val="-11"/>
          <w:sz w:val="21"/>
        </w:rPr>
        <w:t> </w:t>
      </w:r>
      <w:r>
        <w:rPr>
          <w:sz w:val="21"/>
        </w:rPr>
        <w:t>and</w:t>
      </w:r>
      <w:r>
        <w:rPr>
          <w:spacing w:val="-10"/>
          <w:sz w:val="21"/>
        </w:rPr>
        <w:t> </w:t>
      </w:r>
      <w:r>
        <w:rPr>
          <w:sz w:val="21"/>
        </w:rPr>
        <w:t>isolation</w:t>
      </w:r>
      <w:r>
        <w:rPr>
          <w:spacing w:val="-10"/>
          <w:sz w:val="21"/>
        </w:rPr>
        <w:t> </w:t>
      </w:r>
      <w:r>
        <w:rPr>
          <w:sz w:val="21"/>
        </w:rPr>
        <w:t>from</w:t>
      </w:r>
      <w:r>
        <w:rPr>
          <w:spacing w:val="-10"/>
          <w:sz w:val="21"/>
        </w:rPr>
        <w:t> </w:t>
      </w:r>
      <w:r>
        <w:rPr>
          <w:sz w:val="21"/>
        </w:rPr>
        <w:t>their</w:t>
      </w:r>
      <w:r>
        <w:rPr>
          <w:spacing w:val="-10"/>
          <w:sz w:val="21"/>
        </w:rPr>
        <w:t> </w:t>
      </w:r>
      <w:r>
        <w:rPr>
          <w:sz w:val="21"/>
        </w:rPr>
        <w:t>peers.</w:t>
      </w:r>
      <w:hyperlink w:history="true" w:anchor="_bookmark344">
        <w:r>
          <w:rPr>
            <w:sz w:val="21"/>
            <w:vertAlign w:val="superscript"/>
          </w:rPr>
          <w:t>28</w:t>
        </w:r>
      </w:hyperlink>
      <w:r>
        <w:rPr>
          <w:spacing w:val="-2"/>
          <w:sz w:val="21"/>
          <w:vertAlign w:val="baseline"/>
        </w:rPr>
        <w:t> </w:t>
      </w:r>
      <w:r>
        <w:rPr>
          <w:sz w:val="21"/>
          <w:vertAlign w:val="baseline"/>
        </w:rPr>
        <w:t>Studies</w:t>
      </w:r>
      <w:r>
        <w:rPr>
          <w:spacing w:val="-11"/>
          <w:sz w:val="21"/>
          <w:vertAlign w:val="baseline"/>
        </w:rPr>
        <w:t> </w:t>
      </w:r>
      <w:r>
        <w:rPr>
          <w:sz w:val="21"/>
          <w:vertAlign w:val="baseline"/>
        </w:rPr>
        <w:t>consistently</w:t>
      </w:r>
      <w:r>
        <w:rPr>
          <w:spacing w:val="-11"/>
          <w:sz w:val="21"/>
          <w:vertAlign w:val="baseline"/>
        </w:rPr>
        <w:t> </w:t>
      </w:r>
      <w:r>
        <w:rPr>
          <w:sz w:val="21"/>
          <w:vertAlign w:val="baseline"/>
        </w:rPr>
        <w:t>show</w:t>
      </w:r>
      <w:r>
        <w:rPr>
          <w:spacing w:val="-10"/>
          <w:sz w:val="21"/>
          <w:vertAlign w:val="baseline"/>
        </w:rPr>
        <w:t> </w:t>
      </w:r>
      <w:r>
        <w:rPr>
          <w:sz w:val="21"/>
          <w:vertAlign w:val="baseline"/>
        </w:rPr>
        <w:t>that</w:t>
      </w:r>
      <w:r>
        <w:rPr>
          <w:spacing w:val="-10"/>
          <w:sz w:val="21"/>
          <w:vertAlign w:val="baseline"/>
        </w:rPr>
        <w:t> </w:t>
      </w:r>
      <w:r>
        <w:rPr>
          <w:sz w:val="21"/>
          <w:vertAlign w:val="baseline"/>
        </w:rPr>
        <w:t>LGBTQ young people who face anti-LGBTQ victimization, such as physical threats or harm, discrimination, or bullying, report higher instances of attempting suicide.</w:t>
      </w:r>
      <w:hyperlink w:history="true" w:anchor="_bookmark345">
        <w:r>
          <w:rPr>
            <w:sz w:val="21"/>
            <w:vertAlign w:val="superscript"/>
          </w:rPr>
          <w:t>29</w:t>
        </w:r>
      </w:hyperlink>
      <w:r>
        <w:rPr>
          <w:spacing w:val="-2"/>
          <w:sz w:val="21"/>
          <w:vertAlign w:val="baseline"/>
        </w:rPr>
        <w:t> </w:t>
      </w:r>
      <w:r>
        <w:rPr>
          <w:sz w:val="21"/>
          <w:vertAlign w:val="baseline"/>
        </w:rPr>
        <w:t>The combination of these elements creates an atmosphere where LGBTQ youth may not only feel unsafe but can also experience detrimental effects on their physical, mental, and emotional well-being, driving them away from seeking help or accessing the supportive services they desperately need. Improving LGBTQ-friendly shelter availability and the safety of emergency shelters, particularly for those under 18, are crucial steps toward addressing the systemic failures that funnel LGBTQ youth into the criminal legal system.</w:t>
      </w:r>
    </w:p>
    <w:p>
      <w:pPr>
        <w:spacing w:line="276" w:lineRule="auto" w:before="240"/>
        <w:ind w:left="463" w:right="239" w:firstLine="0"/>
        <w:jc w:val="both"/>
        <w:rPr>
          <w:sz w:val="21"/>
        </w:rPr>
      </w:pPr>
      <w:r>
        <w:rPr>
          <w:sz w:val="21"/>
        </w:rPr>
        <w:t>LGBTQ immigrant and asylum seeker - youth have received little consideration in policy development, research efforts, and institutionally funded opportunities. LGBTQ individuals seeking asylum encounter dehumanization,</w:t>
      </w:r>
      <w:r>
        <w:rPr>
          <w:spacing w:val="-9"/>
          <w:sz w:val="21"/>
        </w:rPr>
        <w:t> </w:t>
      </w:r>
      <w:r>
        <w:rPr>
          <w:sz w:val="21"/>
        </w:rPr>
        <w:t>abuse,</w:t>
      </w:r>
      <w:r>
        <w:rPr>
          <w:spacing w:val="-9"/>
          <w:sz w:val="21"/>
        </w:rPr>
        <w:t> </w:t>
      </w:r>
      <w:r>
        <w:rPr>
          <w:sz w:val="21"/>
        </w:rPr>
        <w:t>and</w:t>
      </w:r>
      <w:r>
        <w:rPr>
          <w:spacing w:val="-9"/>
          <w:sz w:val="21"/>
        </w:rPr>
        <w:t> </w:t>
      </w:r>
      <w:r>
        <w:rPr>
          <w:sz w:val="21"/>
        </w:rPr>
        <w:t>transphobia</w:t>
      </w:r>
      <w:r>
        <w:rPr>
          <w:spacing w:val="-10"/>
          <w:sz w:val="21"/>
        </w:rPr>
        <w:t> </w:t>
      </w:r>
      <w:r>
        <w:rPr>
          <w:sz w:val="21"/>
        </w:rPr>
        <w:t>in</w:t>
      </w:r>
      <w:r>
        <w:rPr>
          <w:spacing w:val="-9"/>
          <w:sz w:val="21"/>
        </w:rPr>
        <w:t> </w:t>
      </w:r>
      <w:r>
        <w:rPr>
          <w:sz w:val="21"/>
        </w:rPr>
        <w:t>detention</w:t>
      </w:r>
      <w:r>
        <w:rPr>
          <w:spacing w:val="-9"/>
          <w:sz w:val="21"/>
        </w:rPr>
        <w:t> </w:t>
      </w:r>
      <w:r>
        <w:rPr>
          <w:sz w:val="21"/>
        </w:rPr>
        <w:t>settings,</w:t>
      </w:r>
      <w:r>
        <w:rPr>
          <w:spacing w:val="-9"/>
          <w:sz w:val="21"/>
        </w:rPr>
        <w:t> </w:t>
      </w:r>
      <w:r>
        <w:rPr>
          <w:sz w:val="21"/>
        </w:rPr>
        <w:t>including</w:t>
      </w:r>
      <w:r>
        <w:rPr>
          <w:spacing w:val="-9"/>
          <w:sz w:val="21"/>
        </w:rPr>
        <w:t> </w:t>
      </w:r>
      <w:r>
        <w:rPr>
          <w:sz w:val="21"/>
        </w:rPr>
        <w:t>the</w:t>
      </w:r>
      <w:r>
        <w:rPr>
          <w:spacing w:val="-9"/>
          <w:sz w:val="21"/>
        </w:rPr>
        <w:t> </w:t>
      </w:r>
      <w:r>
        <w:rPr>
          <w:sz w:val="21"/>
        </w:rPr>
        <w:t>denial</w:t>
      </w:r>
      <w:r>
        <w:rPr>
          <w:spacing w:val="-10"/>
          <w:sz w:val="21"/>
        </w:rPr>
        <w:t> </w:t>
      </w:r>
      <w:r>
        <w:rPr>
          <w:sz w:val="21"/>
        </w:rPr>
        <w:t>of</w:t>
      </w:r>
      <w:r>
        <w:rPr>
          <w:spacing w:val="-9"/>
          <w:sz w:val="21"/>
        </w:rPr>
        <w:t> </w:t>
      </w:r>
      <w:r>
        <w:rPr>
          <w:sz w:val="21"/>
        </w:rPr>
        <w:t>access</w:t>
      </w:r>
      <w:r>
        <w:rPr>
          <w:spacing w:val="-10"/>
          <w:sz w:val="21"/>
        </w:rPr>
        <w:t> </w:t>
      </w:r>
      <w:r>
        <w:rPr>
          <w:sz w:val="21"/>
        </w:rPr>
        <w:t>to</w:t>
      </w:r>
      <w:r>
        <w:rPr>
          <w:spacing w:val="-9"/>
          <w:sz w:val="21"/>
        </w:rPr>
        <w:t> </w:t>
      </w:r>
      <w:r>
        <w:rPr>
          <w:sz w:val="21"/>
        </w:rPr>
        <w:t>basic</w:t>
      </w:r>
      <w:r>
        <w:rPr>
          <w:spacing w:val="-9"/>
          <w:sz w:val="21"/>
        </w:rPr>
        <w:t> </w:t>
      </w:r>
      <w:r>
        <w:rPr>
          <w:sz w:val="21"/>
        </w:rPr>
        <w:t>needs and medical care.</w:t>
      </w:r>
      <w:r>
        <w:rPr>
          <w:spacing w:val="-12"/>
          <w:sz w:val="21"/>
        </w:rPr>
        <w:t> </w:t>
      </w:r>
      <w:hyperlink w:history="true" w:anchor="_bookmark346">
        <w:r>
          <w:rPr>
            <w:sz w:val="21"/>
            <w:vertAlign w:val="superscript"/>
          </w:rPr>
          <w:t>30</w:t>
        </w:r>
      </w:hyperlink>
      <w:r>
        <w:rPr>
          <w:sz w:val="21"/>
          <w:vertAlign w:val="baseline"/>
        </w:rPr>
        <w:t> Overall, LGBTQ immigrant youth face unique pressures related to their immigrant status, which heightens their risk of homelessness.</w:t>
      </w:r>
      <w:hyperlink w:history="true" w:anchor="_bookmark347">
        <w:r>
          <w:rPr>
            <w:sz w:val="21"/>
            <w:vertAlign w:val="superscript"/>
          </w:rPr>
          <w:t>31</w:t>
        </w:r>
      </w:hyperlink>
      <w:r>
        <w:rPr>
          <w:spacing w:val="-2"/>
          <w:sz w:val="21"/>
          <w:vertAlign w:val="baseline"/>
        </w:rPr>
        <w:t> </w:t>
      </w:r>
      <w:r>
        <w:rPr>
          <w:sz w:val="21"/>
          <w:vertAlign w:val="baseline"/>
        </w:rPr>
        <w:t>These pressures include the fear of deportation and worsened mental health conditions stemming from discrimination and the stress of cultural adaptation.</w:t>
      </w:r>
      <w:hyperlink w:history="true" w:anchor="_bookmark348">
        <w:r>
          <w:rPr>
            <w:sz w:val="21"/>
            <w:vertAlign w:val="superscript"/>
          </w:rPr>
          <w:t>32</w:t>
        </w:r>
      </w:hyperlink>
      <w:r>
        <w:rPr>
          <w:sz w:val="21"/>
          <w:vertAlign w:val="baseline"/>
        </w:rPr>
        <w:t> There</w:t>
      </w:r>
      <w:r>
        <w:rPr>
          <w:spacing w:val="-8"/>
          <w:sz w:val="21"/>
          <w:vertAlign w:val="baseline"/>
        </w:rPr>
        <w:t> </w:t>
      </w:r>
      <w:r>
        <w:rPr>
          <w:sz w:val="21"/>
          <w:vertAlign w:val="baseline"/>
        </w:rPr>
        <w:t>is</w:t>
      </w:r>
      <w:r>
        <w:rPr>
          <w:spacing w:val="-8"/>
          <w:sz w:val="21"/>
          <w:vertAlign w:val="baseline"/>
        </w:rPr>
        <w:t> </w:t>
      </w:r>
      <w:r>
        <w:rPr>
          <w:sz w:val="21"/>
          <w:vertAlign w:val="baseline"/>
        </w:rPr>
        <w:t>a</w:t>
      </w:r>
      <w:r>
        <w:rPr>
          <w:spacing w:val="-7"/>
          <w:sz w:val="21"/>
          <w:vertAlign w:val="baseline"/>
        </w:rPr>
        <w:t> </w:t>
      </w:r>
      <w:r>
        <w:rPr>
          <w:sz w:val="21"/>
          <w:vertAlign w:val="baseline"/>
        </w:rPr>
        <w:t>significant</w:t>
      </w:r>
      <w:r>
        <w:rPr>
          <w:spacing w:val="-7"/>
          <w:sz w:val="21"/>
          <w:vertAlign w:val="baseline"/>
        </w:rPr>
        <w:t> </w:t>
      </w:r>
      <w:r>
        <w:rPr>
          <w:sz w:val="21"/>
          <w:vertAlign w:val="baseline"/>
        </w:rPr>
        <w:t>gap</w:t>
      </w:r>
      <w:r>
        <w:rPr>
          <w:spacing w:val="-8"/>
          <w:sz w:val="21"/>
          <w:vertAlign w:val="baseline"/>
        </w:rPr>
        <w:t> </w:t>
      </w:r>
      <w:r>
        <w:rPr>
          <w:sz w:val="21"/>
          <w:vertAlign w:val="baseline"/>
        </w:rPr>
        <w:t>in</w:t>
      </w:r>
      <w:r>
        <w:rPr>
          <w:spacing w:val="-8"/>
          <w:sz w:val="21"/>
          <w:vertAlign w:val="baseline"/>
        </w:rPr>
        <w:t> </w:t>
      </w:r>
      <w:r>
        <w:rPr>
          <w:sz w:val="21"/>
          <w:vertAlign w:val="baseline"/>
        </w:rPr>
        <w:t>research</w:t>
      </w:r>
      <w:r>
        <w:rPr>
          <w:spacing w:val="-8"/>
          <w:sz w:val="21"/>
          <w:vertAlign w:val="baseline"/>
        </w:rPr>
        <w:t> </w:t>
      </w:r>
      <w:r>
        <w:rPr>
          <w:sz w:val="21"/>
          <w:vertAlign w:val="baseline"/>
        </w:rPr>
        <w:t>focused</w:t>
      </w:r>
      <w:r>
        <w:rPr>
          <w:spacing w:val="-8"/>
          <w:sz w:val="21"/>
          <w:vertAlign w:val="baseline"/>
        </w:rPr>
        <w:t> </w:t>
      </w:r>
      <w:r>
        <w:rPr>
          <w:sz w:val="21"/>
          <w:vertAlign w:val="baseline"/>
        </w:rPr>
        <w:t>on</w:t>
      </w:r>
      <w:r>
        <w:rPr>
          <w:spacing w:val="-8"/>
          <w:sz w:val="21"/>
          <w:vertAlign w:val="baseline"/>
        </w:rPr>
        <w:t> </w:t>
      </w:r>
      <w:r>
        <w:rPr>
          <w:sz w:val="21"/>
          <w:vertAlign w:val="baseline"/>
        </w:rPr>
        <w:t>understanding</w:t>
      </w:r>
      <w:r>
        <w:rPr>
          <w:spacing w:val="-8"/>
          <w:sz w:val="21"/>
          <w:vertAlign w:val="baseline"/>
        </w:rPr>
        <w:t> </w:t>
      </w:r>
      <w:r>
        <w:rPr>
          <w:sz w:val="21"/>
          <w:vertAlign w:val="baseline"/>
        </w:rPr>
        <w:t>the</w:t>
      </w:r>
      <w:r>
        <w:rPr>
          <w:spacing w:val="-8"/>
          <w:sz w:val="21"/>
          <w:vertAlign w:val="baseline"/>
        </w:rPr>
        <w:t> </w:t>
      </w:r>
      <w:r>
        <w:rPr>
          <w:sz w:val="21"/>
          <w:vertAlign w:val="baseline"/>
        </w:rPr>
        <w:t>experiences</w:t>
      </w:r>
      <w:r>
        <w:rPr>
          <w:spacing w:val="-8"/>
          <w:sz w:val="21"/>
          <w:vertAlign w:val="baseline"/>
        </w:rPr>
        <w:t> </w:t>
      </w:r>
      <w:r>
        <w:rPr>
          <w:sz w:val="21"/>
          <w:vertAlign w:val="baseline"/>
        </w:rPr>
        <w:t>of</w:t>
      </w:r>
      <w:r>
        <w:rPr>
          <w:spacing w:val="-8"/>
          <w:sz w:val="21"/>
          <w:vertAlign w:val="baseline"/>
        </w:rPr>
        <w:t> </w:t>
      </w:r>
      <w:r>
        <w:rPr>
          <w:sz w:val="21"/>
          <w:vertAlign w:val="baseline"/>
        </w:rPr>
        <w:t>LGBTQ</w:t>
      </w:r>
      <w:r>
        <w:rPr>
          <w:spacing w:val="-7"/>
          <w:sz w:val="21"/>
          <w:vertAlign w:val="baseline"/>
        </w:rPr>
        <w:t> </w:t>
      </w:r>
      <w:r>
        <w:rPr>
          <w:sz w:val="21"/>
          <w:vertAlign w:val="baseline"/>
        </w:rPr>
        <w:t>immigrant</w:t>
      </w:r>
      <w:r>
        <w:rPr>
          <w:spacing w:val="-7"/>
          <w:sz w:val="21"/>
          <w:vertAlign w:val="baseline"/>
        </w:rPr>
        <w:t> </w:t>
      </w:r>
      <w:r>
        <w:rPr>
          <w:sz w:val="21"/>
          <w:vertAlign w:val="baseline"/>
        </w:rPr>
        <w:t>youth, and without more data we cannot adequately support this population.</w:t>
      </w:r>
    </w:p>
    <w:p>
      <w:pPr>
        <w:spacing w:line="276" w:lineRule="auto" w:before="239"/>
        <w:ind w:left="463" w:right="238" w:firstLine="0"/>
        <w:jc w:val="both"/>
        <w:rPr>
          <w:sz w:val="21"/>
        </w:rPr>
      </w:pPr>
      <w:r>
        <w:rPr>
          <w:sz w:val="21"/>
        </w:rPr>
        <w:t>Further, the conditions within immigration detention facilities are particularly harmful for LGBTQ immigrants, both</w:t>
      </w:r>
      <w:r>
        <w:rPr>
          <w:spacing w:val="-1"/>
          <w:sz w:val="21"/>
        </w:rPr>
        <w:t> </w:t>
      </w:r>
      <w:r>
        <w:rPr>
          <w:sz w:val="21"/>
        </w:rPr>
        <w:t>for</w:t>
      </w:r>
      <w:r>
        <w:rPr>
          <w:spacing w:val="-1"/>
          <w:sz w:val="21"/>
        </w:rPr>
        <w:t> </w:t>
      </w:r>
      <w:r>
        <w:rPr>
          <w:sz w:val="21"/>
        </w:rPr>
        <w:t>adults</w:t>
      </w:r>
      <w:r>
        <w:rPr>
          <w:spacing w:val="-2"/>
          <w:sz w:val="21"/>
        </w:rPr>
        <w:t> </w:t>
      </w:r>
      <w:r>
        <w:rPr>
          <w:sz w:val="21"/>
        </w:rPr>
        <w:t>and</w:t>
      </w:r>
      <w:r>
        <w:rPr>
          <w:spacing w:val="-1"/>
          <w:sz w:val="21"/>
        </w:rPr>
        <w:t> </w:t>
      </w:r>
      <w:r>
        <w:rPr>
          <w:sz w:val="21"/>
        </w:rPr>
        <w:t>for youth.</w:t>
      </w:r>
      <w:r>
        <w:rPr>
          <w:spacing w:val="-2"/>
          <w:sz w:val="21"/>
        </w:rPr>
        <w:t> </w:t>
      </w:r>
      <w:r>
        <w:rPr>
          <w:sz w:val="21"/>
        </w:rPr>
        <w:t>Massachusetts</w:t>
      </w:r>
      <w:r>
        <w:rPr>
          <w:spacing w:val="-1"/>
          <w:sz w:val="21"/>
        </w:rPr>
        <w:t> </w:t>
      </w:r>
      <w:r>
        <w:rPr>
          <w:sz w:val="21"/>
        </w:rPr>
        <w:t>hosts</w:t>
      </w:r>
      <w:r>
        <w:rPr>
          <w:spacing w:val="-1"/>
          <w:sz w:val="21"/>
        </w:rPr>
        <w:t> </w:t>
      </w:r>
      <w:r>
        <w:rPr>
          <w:sz w:val="21"/>
        </w:rPr>
        <w:t>nine</w:t>
      </w:r>
      <w:r>
        <w:rPr>
          <w:spacing w:val="-2"/>
          <w:sz w:val="21"/>
        </w:rPr>
        <w:t> </w:t>
      </w:r>
      <w:r>
        <w:rPr>
          <w:sz w:val="21"/>
        </w:rPr>
        <w:t>immigration</w:t>
      </w:r>
      <w:r>
        <w:rPr>
          <w:spacing w:val="-1"/>
          <w:sz w:val="21"/>
        </w:rPr>
        <w:t> </w:t>
      </w:r>
      <w:r>
        <w:rPr>
          <w:sz w:val="21"/>
        </w:rPr>
        <w:t>detention</w:t>
      </w:r>
      <w:r>
        <w:rPr>
          <w:spacing w:val="-1"/>
          <w:sz w:val="21"/>
        </w:rPr>
        <w:t> </w:t>
      </w:r>
      <w:r>
        <w:rPr>
          <w:sz w:val="21"/>
        </w:rPr>
        <w:t>centers</w:t>
      </w:r>
      <w:r>
        <w:rPr>
          <w:spacing w:val="-1"/>
          <w:sz w:val="21"/>
        </w:rPr>
        <w:t> </w:t>
      </w:r>
      <w:r>
        <w:rPr>
          <w:sz w:val="21"/>
        </w:rPr>
        <w:t>under the</w:t>
      </w:r>
      <w:r>
        <w:rPr>
          <w:spacing w:val="-6"/>
          <w:sz w:val="21"/>
        </w:rPr>
        <w:t> </w:t>
      </w:r>
      <w:r>
        <w:rPr>
          <w:sz w:val="21"/>
        </w:rPr>
        <w:t>supervision</w:t>
      </w:r>
      <w:r>
        <w:rPr>
          <w:spacing w:val="-6"/>
          <w:sz w:val="21"/>
        </w:rPr>
        <w:t> </w:t>
      </w:r>
      <w:r>
        <w:rPr>
          <w:sz w:val="21"/>
        </w:rPr>
        <w:t>of</w:t>
      </w:r>
      <w:r>
        <w:rPr>
          <w:spacing w:val="-6"/>
          <w:sz w:val="21"/>
        </w:rPr>
        <w:t> </w:t>
      </w:r>
      <w:r>
        <w:rPr>
          <w:sz w:val="21"/>
        </w:rPr>
        <w:t>U.S.</w:t>
      </w:r>
      <w:r>
        <w:rPr>
          <w:spacing w:val="-6"/>
          <w:sz w:val="21"/>
        </w:rPr>
        <w:t> </w:t>
      </w:r>
      <w:r>
        <w:rPr>
          <w:sz w:val="21"/>
        </w:rPr>
        <w:t>Immigration</w:t>
      </w:r>
      <w:r>
        <w:rPr>
          <w:spacing w:val="-6"/>
          <w:sz w:val="21"/>
        </w:rPr>
        <w:t> </w:t>
      </w:r>
      <w:r>
        <w:rPr>
          <w:sz w:val="21"/>
        </w:rPr>
        <w:t>and</w:t>
      </w:r>
      <w:r>
        <w:rPr>
          <w:spacing w:val="-6"/>
          <w:sz w:val="21"/>
        </w:rPr>
        <w:t> </w:t>
      </w:r>
      <w:r>
        <w:rPr>
          <w:sz w:val="21"/>
        </w:rPr>
        <w:t>Customs</w:t>
      </w:r>
      <w:r>
        <w:rPr>
          <w:spacing w:val="-6"/>
          <w:sz w:val="21"/>
        </w:rPr>
        <w:t> </w:t>
      </w:r>
      <w:r>
        <w:rPr>
          <w:sz w:val="21"/>
        </w:rPr>
        <w:t>Enforcement</w:t>
      </w:r>
      <w:r>
        <w:rPr>
          <w:spacing w:val="-5"/>
          <w:sz w:val="21"/>
        </w:rPr>
        <w:t> </w:t>
      </w:r>
      <w:r>
        <w:rPr>
          <w:sz w:val="21"/>
        </w:rPr>
        <w:t>(“ICE”).</w:t>
      </w:r>
      <w:hyperlink w:history="true" w:anchor="_bookmark349">
        <w:r>
          <w:rPr>
            <w:sz w:val="21"/>
            <w:vertAlign w:val="superscript"/>
          </w:rPr>
          <w:t>33</w:t>
        </w:r>
      </w:hyperlink>
      <w:r>
        <w:rPr>
          <w:spacing w:val="-2"/>
          <w:sz w:val="21"/>
          <w:vertAlign w:val="baseline"/>
        </w:rPr>
        <w:t> </w:t>
      </w:r>
      <w:r>
        <w:rPr>
          <w:sz w:val="21"/>
          <w:vertAlign w:val="baseline"/>
        </w:rPr>
        <w:t>Physical</w:t>
      </w:r>
      <w:r>
        <w:rPr>
          <w:spacing w:val="-6"/>
          <w:sz w:val="21"/>
          <w:vertAlign w:val="baseline"/>
        </w:rPr>
        <w:t> </w:t>
      </w:r>
      <w:r>
        <w:rPr>
          <w:sz w:val="21"/>
          <w:vertAlign w:val="baseline"/>
        </w:rPr>
        <w:t>and</w:t>
      </w:r>
      <w:r>
        <w:rPr>
          <w:spacing w:val="-7"/>
          <w:sz w:val="21"/>
          <w:vertAlign w:val="baseline"/>
        </w:rPr>
        <w:t> </w:t>
      </w:r>
      <w:r>
        <w:rPr>
          <w:sz w:val="21"/>
          <w:vertAlign w:val="baseline"/>
        </w:rPr>
        <w:t>sexual</w:t>
      </w:r>
      <w:r>
        <w:rPr>
          <w:spacing w:val="-6"/>
          <w:sz w:val="21"/>
          <w:vertAlign w:val="baseline"/>
        </w:rPr>
        <w:t> </w:t>
      </w:r>
      <w:r>
        <w:rPr>
          <w:sz w:val="21"/>
          <w:vertAlign w:val="baseline"/>
        </w:rPr>
        <w:t>abuse</w:t>
      </w:r>
      <w:r>
        <w:rPr>
          <w:spacing w:val="-6"/>
          <w:sz w:val="21"/>
          <w:vertAlign w:val="baseline"/>
        </w:rPr>
        <w:t> </w:t>
      </w:r>
      <w:r>
        <w:rPr>
          <w:sz w:val="21"/>
          <w:vertAlign w:val="baseline"/>
        </w:rPr>
        <w:t>remains a</w:t>
      </w:r>
      <w:r>
        <w:rPr>
          <w:spacing w:val="-6"/>
          <w:sz w:val="21"/>
          <w:vertAlign w:val="baseline"/>
        </w:rPr>
        <w:t> </w:t>
      </w:r>
      <w:r>
        <w:rPr>
          <w:sz w:val="21"/>
          <w:vertAlign w:val="baseline"/>
        </w:rPr>
        <w:t>widespread</w:t>
      </w:r>
      <w:r>
        <w:rPr>
          <w:spacing w:val="-7"/>
          <w:sz w:val="21"/>
          <w:vertAlign w:val="baseline"/>
        </w:rPr>
        <w:t> </w:t>
      </w:r>
      <w:r>
        <w:rPr>
          <w:sz w:val="21"/>
          <w:vertAlign w:val="baseline"/>
        </w:rPr>
        <w:t>issue</w:t>
      </w:r>
      <w:r>
        <w:rPr>
          <w:spacing w:val="-7"/>
          <w:sz w:val="21"/>
          <w:vertAlign w:val="baseline"/>
        </w:rPr>
        <w:t> </w:t>
      </w:r>
      <w:r>
        <w:rPr>
          <w:sz w:val="21"/>
          <w:vertAlign w:val="baseline"/>
        </w:rPr>
        <w:t>in</w:t>
      </w:r>
      <w:r>
        <w:rPr>
          <w:spacing w:val="-7"/>
          <w:sz w:val="21"/>
          <w:vertAlign w:val="baseline"/>
        </w:rPr>
        <w:t> </w:t>
      </w:r>
      <w:r>
        <w:rPr>
          <w:sz w:val="21"/>
          <w:vertAlign w:val="baseline"/>
        </w:rPr>
        <w:t>these</w:t>
      </w:r>
      <w:r>
        <w:rPr>
          <w:spacing w:val="-7"/>
          <w:sz w:val="21"/>
          <w:vertAlign w:val="baseline"/>
        </w:rPr>
        <w:t> </w:t>
      </w:r>
      <w:r>
        <w:rPr>
          <w:sz w:val="21"/>
          <w:vertAlign w:val="baseline"/>
        </w:rPr>
        <w:t>adult</w:t>
      </w:r>
      <w:r>
        <w:rPr>
          <w:spacing w:val="-6"/>
          <w:sz w:val="21"/>
          <w:vertAlign w:val="baseline"/>
        </w:rPr>
        <w:t> </w:t>
      </w:r>
      <w:r>
        <w:rPr>
          <w:sz w:val="21"/>
          <w:vertAlign w:val="baseline"/>
        </w:rPr>
        <w:t>detention</w:t>
      </w:r>
      <w:r>
        <w:rPr>
          <w:spacing w:val="-7"/>
          <w:sz w:val="21"/>
          <w:vertAlign w:val="baseline"/>
        </w:rPr>
        <w:t> </w:t>
      </w:r>
      <w:r>
        <w:rPr>
          <w:sz w:val="21"/>
          <w:vertAlign w:val="baseline"/>
        </w:rPr>
        <w:t>centers,</w:t>
      </w:r>
      <w:r>
        <w:rPr>
          <w:spacing w:val="-6"/>
          <w:sz w:val="21"/>
          <w:vertAlign w:val="baseline"/>
        </w:rPr>
        <w:t> </w:t>
      </w:r>
      <w:r>
        <w:rPr>
          <w:sz w:val="21"/>
          <w:vertAlign w:val="baseline"/>
        </w:rPr>
        <w:t>where</w:t>
      </w:r>
      <w:r>
        <w:rPr>
          <w:spacing w:val="-7"/>
          <w:sz w:val="21"/>
          <w:vertAlign w:val="baseline"/>
        </w:rPr>
        <w:t> </w:t>
      </w:r>
      <w:r>
        <w:rPr>
          <w:sz w:val="21"/>
          <w:vertAlign w:val="baseline"/>
        </w:rPr>
        <w:t>the</w:t>
      </w:r>
      <w:r>
        <w:rPr>
          <w:spacing w:val="-7"/>
          <w:sz w:val="21"/>
          <w:vertAlign w:val="baseline"/>
        </w:rPr>
        <w:t> </w:t>
      </w:r>
      <w:r>
        <w:rPr>
          <w:sz w:val="21"/>
          <w:vertAlign w:val="baseline"/>
        </w:rPr>
        <w:t>prevalence</w:t>
      </w:r>
      <w:r>
        <w:rPr>
          <w:spacing w:val="-7"/>
          <w:sz w:val="21"/>
          <w:vertAlign w:val="baseline"/>
        </w:rPr>
        <w:t> </w:t>
      </w:r>
      <w:r>
        <w:rPr>
          <w:sz w:val="21"/>
          <w:vertAlign w:val="baseline"/>
        </w:rPr>
        <w:t>of</w:t>
      </w:r>
      <w:r>
        <w:rPr>
          <w:spacing w:val="-7"/>
          <w:sz w:val="21"/>
          <w:vertAlign w:val="baseline"/>
        </w:rPr>
        <w:t> </w:t>
      </w:r>
      <w:r>
        <w:rPr>
          <w:sz w:val="21"/>
          <w:vertAlign w:val="baseline"/>
        </w:rPr>
        <w:t>sexual</w:t>
      </w:r>
      <w:r>
        <w:rPr>
          <w:spacing w:val="-7"/>
          <w:sz w:val="21"/>
          <w:vertAlign w:val="baseline"/>
        </w:rPr>
        <w:t> </w:t>
      </w:r>
      <w:r>
        <w:rPr>
          <w:sz w:val="21"/>
          <w:vertAlign w:val="baseline"/>
        </w:rPr>
        <w:t>abuse</w:t>
      </w:r>
      <w:r>
        <w:rPr>
          <w:spacing w:val="-7"/>
          <w:sz w:val="21"/>
          <w:vertAlign w:val="baseline"/>
        </w:rPr>
        <w:t> </w:t>
      </w:r>
      <w:r>
        <w:rPr>
          <w:sz w:val="21"/>
          <w:vertAlign w:val="baseline"/>
        </w:rPr>
        <w:t>mirrors</w:t>
      </w:r>
      <w:r>
        <w:rPr>
          <w:spacing w:val="-7"/>
          <w:sz w:val="21"/>
          <w:vertAlign w:val="baseline"/>
        </w:rPr>
        <w:t> </w:t>
      </w:r>
      <w:r>
        <w:rPr>
          <w:sz w:val="21"/>
          <w:vertAlign w:val="baseline"/>
        </w:rPr>
        <w:t>the</w:t>
      </w:r>
      <w:r>
        <w:rPr>
          <w:spacing w:val="-7"/>
          <w:sz w:val="21"/>
          <w:vertAlign w:val="baseline"/>
        </w:rPr>
        <w:t> </w:t>
      </w:r>
      <w:r>
        <w:rPr>
          <w:sz w:val="21"/>
          <w:vertAlign w:val="baseline"/>
        </w:rPr>
        <w:t>high rates found in prisons at large.</w:t>
      </w:r>
      <w:r>
        <w:rPr>
          <w:spacing w:val="-12"/>
          <w:sz w:val="21"/>
          <w:vertAlign w:val="baseline"/>
        </w:rPr>
        <w:t> </w:t>
      </w:r>
      <w:hyperlink w:history="true" w:anchor="_bookmark350">
        <w:r>
          <w:rPr>
            <w:sz w:val="21"/>
            <w:vertAlign w:val="superscript"/>
          </w:rPr>
          <w:t>34</w:t>
        </w:r>
      </w:hyperlink>
      <w:r>
        <w:rPr>
          <w:sz w:val="21"/>
          <w:vertAlign w:val="baseline"/>
        </w:rPr>
        <w:t> Transgender immigrants face even greater dangers, as the common practice</w:t>
      </w:r>
      <w:r>
        <w:rPr>
          <w:spacing w:val="-5"/>
          <w:sz w:val="21"/>
          <w:vertAlign w:val="baseline"/>
        </w:rPr>
        <w:t> </w:t>
      </w:r>
      <w:r>
        <w:rPr>
          <w:sz w:val="21"/>
          <w:vertAlign w:val="baseline"/>
        </w:rPr>
        <w:t>of</w:t>
      </w:r>
      <w:r>
        <w:rPr>
          <w:spacing w:val="-7"/>
          <w:sz w:val="21"/>
          <w:vertAlign w:val="baseline"/>
        </w:rPr>
        <w:t> </w:t>
      </w:r>
      <w:r>
        <w:rPr>
          <w:sz w:val="21"/>
          <w:vertAlign w:val="baseline"/>
        </w:rPr>
        <w:t>assigning</w:t>
      </w:r>
      <w:r>
        <w:rPr>
          <w:spacing w:val="-6"/>
          <w:sz w:val="21"/>
          <w:vertAlign w:val="baseline"/>
        </w:rPr>
        <w:t> </w:t>
      </w:r>
      <w:r>
        <w:rPr>
          <w:sz w:val="21"/>
          <w:vertAlign w:val="baseline"/>
        </w:rPr>
        <w:t>them</w:t>
      </w:r>
      <w:r>
        <w:rPr>
          <w:spacing w:val="-6"/>
          <w:sz w:val="21"/>
          <w:vertAlign w:val="baseline"/>
        </w:rPr>
        <w:t> </w:t>
      </w:r>
      <w:r>
        <w:rPr>
          <w:sz w:val="21"/>
          <w:vertAlign w:val="baseline"/>
        </w:rPr>
        <w:t>to</w:t>
      </w:r>
      <w:r>
        <w:rPr>
          <w:spacing w:val="-6"/>
          <w:sz w:val="21"/>
          <w:vertAlign w:val="baseline"/>
        </w:rPr>
        <w:t> </w:t>
      </w:r>
      <w:r>
        <w:rPr>
          <w:sz w:val="21"/>
          <w:vertAlign w:val="baseline"/>
        </w:rPr>
        <w:t>facilities</w:t>
      </w:r>
      <w:r>
        <w:rPr>
          <w:spacing w:val="-6"/>
          <w:sz w:val="21"/>
          <w:vertAlign w:val="baseline"/>
        </w:rPr>
        <w:t> </w:t>
      </w:r>
      <w:r>
        <w:rPr>
          <w:sz w:val="21"/>
          <w:vertAlign w:val="baseline"/>
        </w:rPr>
        <w:t>based</w:t>
      </w:r>
      <w:r>
        <w:rPr>
          <w:spacing w:val="-5"/>
          <w:sz w:val="21"/>
          <w:vertAlign w:val="baseline"/>
        </w:rPr>
        <w:t> </w:t>
      </w:r>
      <w:r>
        <w:rPr>
          <w:sz w:val="21"/>
          <w:vertAlign w:val="baseline"/>
        </w:rPr>
        <w:t>on</w:t>
      </w:r>
      <w:r>
        <w:rPr>
          <w:spacing w:val="-6"/>
          <w:sz w:val="21"/>
          <w:vertAlign w:val="baseline"/>
        </w:rPr>
        <w:t> </w:t>
      </w:r>
      <w:r>
        <w:rPr>
          <w:sz w:val="21"/>
          <w:vertAlign w:val="baseline"/>
        </w:rPr>
        <w:t>their</w:t>
      </w:r>
      <w:r>
        <w:rPr>
          <w:spacing w:val="-5"/>
          <w:sz w:val="21"/>
          <w:vertAlign w:val="baseline"/>
        </w:rPr>
        <w:t> </w:t>
      </w:r>
      <w:r>
        <w:rPr>
          <w:sz w:val="21"/>
          <w:vertAlign w:val="baseline"/>
        </w:rPr>
        <w:t>sex</w:t>
      </w:r>
      <w:r>
        <w:rPr>
          <w:spacing w:val="-5"/>
          <w:sz w:val="21"/>
          <w:vertAlign w:val="baseline"/>
        </w:rPr>
        <w:t> </w:t>
      </w:r>
      <w:r>
        <w:rPr>
          <w:sz w:val="21"/>
          <w:vertAlign w:val="baseline"/>
        </w:rPr>
        <w:t>assigned</w:t>
      </w:r>
      <w:r>
        <w:rPr>
          <w:spacing w:val="-5"/>
          <w:sz w:val="21"/>
          <w:vertAlign w:val="baseline"/>
        </w:rPr>
        <w:t> </w:t>
      </w:r>
      <w:r>
        <w:rPr>
          <w:sz w:val="21"/>
          <w:vertAlign w:val="baseline"/>
        </w:rPr>
        <w:t>at</w:t>
      </w:r>
      <w:r>
        <w:rPr>
          <w:spacing w:val="-7"/>
          <w:sz w:val="21"/>
          <w:vertAlign w:val="baseline"/>
        </w:rPr>
        <w:t> </w:t>
      </w:r>
      <w:r>
        <w:rPr>
          <w:sz w:val="21"/>
          <w:vertAlign w:val="baseline"/>
        </w:rPr>
        <w:t>birth</w:t>
      </w:r>
      <w:r>
        <w:rPr>
          <w:spacing w:val="-5"/>
          <w:sz w:val="21"/>
          <w:vertAlign w:val="baseline"/>
        </w:rPr>
        <w:t> </w:t>
      </w:r>
      <w:r>
        <w:rPr>
          <w:sz w:val="21"/>
          <w:vertAlign w:val="baseline"/>
        </w:rPr>
        <w:t>(and</w:t>
      </w:r>
      <w:r>
        <w:rPr>
          <w:spacing w:val="-7"/>
          <w:sz w:val="21"/>
          <w:vertAlign w:val="baseline"/>
        </w:rPr>
        <w:t> </w:t>
      </w:r>
      <w:r>
        <w:rPr>
          <w:sz w:val="21"/>
          <w:vertAlign w:val="baseline"/>
        </w:rPr>
        <w:t>not</w:t>
      </w:r>
      <w:r>
        <w:rPr>
          <w:spacing w:val="-7"/>
          <w:sz w:val="21"/>
          <w:vertAlign w:val="baseline"/>
        </w:rPr>
        <w:t> </w:t>
      </w:r>
      <w:r>
        <w:rPr>
          <w:sz w:val="21"/>
          <w:vertAlign w:val="baseline"/>
        </w:rPr>
        <w:t>their</w:t>
      </w:r>
      <w:r>
        <w:rPr>
          <w:spacing w:val="-5"/>
          <w:sz w:val="21"/>
          <w:vertAlign w:val="baseline"/>
        </w:rPr>
        <w:t> </w:t>
      </w:r>
      <w:r>
        <w:rPr>
          <w:sz w:val="21"/>
          <w:vertAlign w:val="baseline"/>
        </w:rPr>
        <w:t>contemporaneous</w:t>
      </w:r>
    </w:p>
    <w:p>
      <w:pPr>
        <w:spacing w:after="0" w:line="276" w:lineRule="auto"/>
        <w:jc w:val="both"/>
        <w:rPr>
          <w:sz w:val="21"/>
        </w:rPr>
        <w:sectPr>
          <w:pgSz w:w="12240" w:h="15840"/>
          <w:pgMar w:header="763" w:footer="1041" w:top="1360" w:bottom="1240" w:left="1120" w:right="1340"/>
        </w:sectPr>
      </w:pPr>
    </w:p>
    <w:p>
      <w:pPr>
        <w:spacing w:line="276" w:lineRule="auto" w:before="65"/>
        <w:ind w:left="464" w:right="240" w:hanging="1"/>
        <w:jc w:val="both"/>
        <w:rPr>
          <w:sz w:val="21"/>
        </w:rPr>
      </w:pPr>
      <w:r>
        <w:rPr>
          <w:sz w:val="21"/>
        </w:rPr>
        <w:t>gender) not only inflicts psychological damage but also significantly heightens their risk of abuse.</w:t>
      </w:r>
      <w:hyperlink w:history="true" w:anchor="_bookmark351">
        <w:r>
          <w:rPr>
            <w:sz w:val="21"/>
            <w:vertAlign w:val="superscript"/>
          </w:rPr>
          <w:t>35</w:t>
        </w:r>
      </w:hyperlink>
      <w:r>
        <w:rPr>
          <w:sz w:val="21"/>
          <w:vertAlign w:val="baseline"/>
        </w:rPr>
        <w:t> For instance, a comprehensive survey in California revealed that transgender women placed in male prisons</w:t>
      </w:r>
    </w:p>
    <w:p>
      <w:pPr>
        <w:spacing w:line="276" w:lineRule="auto" w:before="0"/>
        <w:ind w:left="3687" w:right="237" w:firstLine="0"/>
        <w:jc w:val="both"/>
        <w:rPr>
          <w:sz w:val="21"/>
        </w:rPr>
      </w:pPr>
      <w:r>
        <w:rPr/>
        <w:drawing>
          <wp:anchor distT="0" distB="0" distL="0" distR="0" allowOverlap="1" layoutInCell="1" locked="0" behindDoc="0" simplePos="0" relativeHeight="15803904">
            <wp:simplePos x="0" y="0"/>
            <wp:positionH relativeFrom="page">
              <wp:posOffset>972577</wp:posOffset>
            </wp:positionH>
            <wp:positionV relativeFrom="paragraph">
              <wp:posOffset>67938</wp:posOffset>
            </wp:positionV>
            <wp:extent cx="1874145" cy="2077895"/>
            <wp:effectExtent l="0" t="0" r="0" b="0"/>
            <wp:wrapNone/>
            <wp:docPr id="399" name="Image 399"/>
            <wp:cNvGraphicFramePr>
              <a:graphicFrameLocks/>
            </wp:cNvGraphicFramePr>
            <a:graphic>
              <a:graphicData uri="http://schemas.openxmlformats.org/drawingml/2006/picture">
                <pic:pic>
                  <pic:nvPicPr>
                    <pic:cNvPr id="399" name="Image 399"/>
                    <pic:cNvPicPr/>
                  </pic:nvPicPr>
                  <pic:blipFill>
                    <a:blip r:embed="rId474" cstate="print"/>
                    <a:stretch>
                      <a:fillRect/>
                    </a:stretch>
                  </pic:blipFill>
                  <pic:spPr>
                    <a:xfrm>
                      <a:off x="0" y="0"/>
                      <a:ext cx="1874145" cy="2077895"/>
                    </a:xfrm>
                    <a:prstGeom prst="rect">
                      <a:avLst/>
                    </a:prstGeom>
                  </pic:spPr>
                </pic:pic>
              </a:graphicData>
            </a:graphic>
          </wp:anchor>
        </w:drawing>
      </w:r>
      <w:r>
        <w:rPr>
          <w:sz w:val="21"/>
        </w:rPr>
        <w:t>were 13 times more likely to experience sexual abuse compared to their fellow inmates.</w:t>
      </w:r>
      <w:hyperlink w:history="true" w:anchor="_bookmark352">
        <w:r>
          <w:rPr>
            <w:sz w:val="21"/>
            <w:vertAlign w:val="superscript"/>
          </w:rPr>
          <w:t>36</w:t>
        </w:r>
      </w:hyperlink>
      <w:r>
        <w:rPr>
          <w:spacing w:val="-3"/>
          <w:sz w:val="21"/>
          <w:vertAlign w:val="baseline"/>
        </w:rPr>
        <w:t> </w:t>
      </w:r>
      <w:r>
        <w:rPr>
          <w:sz w:val="21"/>
          <w:vertAlign w:val="baseline"/>
        </w:rPr>
        <w:t>Rather than accommodating trans-detainees according to their gender identity, officials frequently resort to placing</w:t>
      </w:r>
      <w:r>
        <w:rPr>
          <w:spacing w:val="-8"/>
          <w:sz w:val="21"/>
          <w:vertAlign w:val="baseline"/>
        </w:rPr>
        <w:t> </w:t>
      </w:r>
      <w:r>
        <w:rPr>
          <w:sz w:val="21"/>
          <w:vertAlign w:val="baseline"/>
        </w:rPr>
        <w:t>them</w:t>
      </w:r>
      <w:r>
        <w:rPr>
          <w:spacing w:val="-7"/>
          <w:sz w:val="21"/>
          <w:vertAlign w:val="baseline"/>
        </w:rPr>
        <w:t> </w:t>
      </w:r>
      <w:r>
        <w:rPr>
          <w:sz w:val="21"/>
          <w:vertAlign w:val="baseline"/>
        </w:rPr>
        <w:t>in</w:t>
      </w:r>
      <w:r>
        <w:rPr>
          <w:spacing w:val="-8"/>
          <w:sz w:val="21"/>
          <w:vertAlign w:val="baseline"/>
        </w:rPr>
        <w:t> </w:t>
      </w:r>
      <w:r>
        <w:rPr>
          <w:sz w:val="21"/>
          <w:vertAlign w:val="baseline"/>
        </w:rPr>
        <w:t>protective</w:t>
      </w:r>
      <w:r>
        <w:rPr>
          <w:spacing w:val="-9"/>
          <w:sz w:val="21"/>
          <w:vertAlign w:val="baseline"/>
        </w:rPr>
        <w:t> </w:t>
      </w:r>
      <w:r>
        <w:rPr>
          <w:sz w:val="21"/>
          <w:vertAlign w:val="baseline"/>
        </w:rPr>
        <w:t>custody</w:t>
      </w:r>
      <w:r>
        <w:rPr>
          <w:spacing w:val="-8"/>
          <w:sz w:val="21"/>
          <w:vertAlign w:val="baseline"/>
        </w:rPr>
        <w:t> </w:t>
      </w:r>
      <w:r>
        <w:rPr>
          <w:sz w:val="21"/>
          <w:vertAlign w:val="baseline"/>
        </w:rPr>
        <w:t>or</w:t>
      </w:r>
      <w:r>
        <w:rPr>
          <w:spacing w:val="-8"/>
          <w:sz w:val="21"/>
          <w:vertAlign w:val="baseline"/>
        </w:rPr>
        <w:t> </w:t>
      </w:r>
      <w:r>
        <w:rPr>
          <w:sz w:val="21"/>
          <w:vertAlign w:val="baseline"/>
        </w:rPr>
        <w:t>solitary</w:t>
      </w:r>
      <w:r>
        <w:rPr>
          <w:spacing w:val="-8"/>
          <w:sz w:val="21"/>
          <w:vertAlign w:val="baseline"/>
        </w:rPr>
        <w:t> </w:t>
      </w:r>
      <w:r>
        <w:rPr>
          <w:sz w:val="21"/>
          <w:vertAlign w:val="baseline"/>
        </w:rPr>
        <w:t>confinement</w:t>
      </w:r>
      <w:r>
        <w:rPr>
          <w:spacing w:val="-7"/>
          <w:sz w:val="21"/>
          <w:vertAlign w:val="baseline"/>
        </w:rPr>
        <w:t> </w:t>
      </w:r>
      <w:r>
        <w:rPr>
          <w:sz w:val="21"/>
          <w:vertAlign w:val="baseline"/>
        </w:rPr>
        <w:t>under</w:t>
      </w:r>
      <w:r>
        <w:rPr>
          <w:spacing w:val="-9"/>
          <w:sz w:val="21"/>
          <w:vertAlign w:val="baseline"/>
        </w:rPr>
        <w:t> </w:t>
      </w:r>
      <w:r>
        <w:rPr>
          <w:sz w:val="21"/>
          <w:vertAlign w:val="baseline"/>
        </w:rPr>
        <w:t>the mistaken belief that such segregation will protect them.</w:t>
      </w:r>
      <w:r>
        <w:rPr>
          <w:spacing w:val="-12"/>
          <w:sz w:val="21"/>
          <w:vertAlign w:val="baseline"/>
        </w:rPr>
        <w:t> </w:t>
      </w:r>
      <w:hyperlink w:history="true" w:anchor="_bookmark353">
        <w:r>
          <w:rPr>
            <w:sz w:val="21"/>
            <w:vertAlign w:val="superscript"/>
          </w:rPr>
          <w:t>37</w:t>
        </w:r>
      </w:hyperlink>
      <w:r>
        <w:rPr>
          <w:sz w:val="21"/>
          <w:vertAlign w:val="baseline"/>
        </w:rPr>
        <w:t> LGBTQ detainees</w:t>
      </w:r>
      <w:r>
        <w:rPr>
          <w:spacing w:val="-12"/>
          <w:sz w:val="21"/>
          <w:vertAlign w:val="baseline"/>
        </w:rPr>
        <w:t> </w:t>
      </w:r>
      <w:r>
        <w:rPr>
          <w:sz w:val="21"/>
          <w:vertAlign w:val="baseline"/>
        </w:rPr>
        <w:t>confined</w:t>
      </w:r>
      <w:r>
        <w:rPr>
          <w:spacing w:val="-12"/>
          <w:sz w:val="21"/>
          <w:vertAlign w:val="baseline"/>
        </w:rPr>
        <w:t> </w:t>
      </w:r>
      <w:r>
        <w:rPr>
          <w:sz w:val="21"/>
          <w:vertAlign w:val="baseline"/>
        </w:rPr>
        <w:t>for</w:t>
      </w:r>
      <w:r>
        <w:rPr>
          <w:spacing w:val="-12"/>
          <w:sz w:val="21"/>
          <w:vertAlign w:val="baseline"/>
        </w:rPr>
        <w:t> </w:t>
      </w:r>
      <w:r>
        <w:rPr>
          <w:sz w:val="21"/>
          <w:vertAlign w:val="baseline"/>
        </w:rPr>
        <w:t>protection</w:t>
      </w:r>
      <w:r>
        <w:rPr>
          <w:spacing w:val="-12"/>
          <w:sz w:val="21"/>
          <w:vertAlign w:val="baseline"/>
        </w:rPr>
        <w:t> </w:t>
      </w:r>
      <w:r>
        <w:rPr>
          <w:sz w:val="21"/>
          <w:vertAlign w:val="baseline"/>
        </w:rPr>
        <w:t>have</w:t>
      </w:r>
      <w:r>
        <w:rPr>
          <w:spacing w:val="-12"/>
          <w:sz w:val="21"/>
          <w:vertAlign w:val="baseline"/>
        </w:rPr>
        <w:t> </w:t>
      </w:r>
      <w:r>
        <w:rPr>
          <w:sz w:val="21"/>
          <w:vertAlign w:val="baseline"/>
        </w:rPr>
        <w:t>reported</w:t>
      </w:r>
      <w:r>
        <w:rPr>
          <w:spacing w:val="-12"/>
          <w:sz w:val="21"/>
          <w:vertAlign w:val="baseline"/>
        </w:rPr>
        <w:t> </w:t>
      </w:r>
      <w:r>
        <w:rPr>
          <w:sz w:val="21"/>
          <w:vertAlign w:val="baseline"/>
        </w:rPr>
        <w:t>being</w:t>
      </w:r>
      <w:r>
        <w:rPr>
          <w:spacing w:val="-12"/>
          <w:sz w:val="21"/>
          <w:vertAlign w:val="baseline"/>
        </w:rPr>
        <w:t> </w:t>
      </w:r>
      <w:r>
        <w:rPr>
          <w:sz w:val="21"/>
          <w:vertAlign w:val="baseline"/>
        </w:rPr>
        <w:t>isolated</w:t>
      </w:r>
      <w:r>
        <w:rPr>
          <w:spacing w:val="-11"/>
          <w:sz w:val="21"/>
          <w:vertAlign w:val="baseline"/>
        </w:rPr>
        <w:t> </w:t>
      </w:r>
      <w:r>
        <w:rPr>
          <w:sz w:val="21"/>
          <w:vertAlign w:val="baseline"/>
        </w:rPr>
        <w:t>for</w:t>
      </w:r>
      <w:r>
        <w:rPr>
          <w:spacing w:val="-12"/>
          <w:sz w:val="21"/>
          <w:vertAlign w:val="baseline"/>
        </w:rPr>
        <w:t> </w:t>
      </w:r>
      <w:r>
        <w:rPr>
          <w:sz w:val="21"/>
          <w:vertAlign w:val="baseline"/>
        </w:rPr>
        <w:t>up to , deprived of access to libraries, phones, outdoor activities, religious,</w:t>
      </w:r>
      <w:r>
        <w:rPr>
          <w:spacing w:val="-8"/>
          <w:sz w:val="21"/>
          <w:vertAlign w:val="baseline"/>
        </w:rPr>
        <w:t> </w:t>
      </w:r>
      <w:r>
        <w:rPr>
          <w:sz w:val="21"/>
          <w:vertAlign w:val="baseline"/>
        </w:rPr>
        <w:t>and</w:t>
      </w:r>
      <w:r>
        <w:rPr>
          <w:spacing w:val="-10"/>
          <w:sz w:val="21"/>
          <w:vertAlign w:val="baseline"/>
        </w:rPr>
        <w:t> </w:t>
      </w:r>
      <w:r>
        <w:rPr>
          <w:sz w:val="21"/>
          <w:vertAlign w:val="baseline"/>
        </w:rPr>
        <w:t>legal</w:t>
      </w:r>
      <w:r>
        <w:rPr>
          <w:spacing w:val="-9"/>
          <w:sz w:val="21"/>
          <w:vertAlign w:val="baseline"/>
        </w:rPr>
        <w:t> </w:t>
      </w:r>
      <w:r>
        <w:rPr>
          <w:sz w:val="21"/>
          <w:vertAlign w:val="baseline"/>
        </w:rPr>
        <w:t>services</w:t>
      </w:r>
      <w:r>
        <w:rPr>
          <w:spacing w:val="-8"/>
          <w:sz w:val="21"/>
          <w:vertAlign w:val="baseline"/>
        </w:rPr>
        <w:t> </w:t>
      </w:r>
      <w:r>
        <w:rPr>
          <w:sz w:val="21"/>
          <w:vertAlign w:val="baseline"/>
        </w:rPr>
        <w:t>that</w:t>
      </w:r>
      <w:r>
        <w:rPr>
          <w:spacing w:val="-9"/>
          <w:sz w:val="21"/>
          <w:vertAlign w:val="baseline"/>
        </w:rPr>
        <w:t> </w:t>
      </w:r>
      <w:r>
        <w:rPr>
          <w:sz w:val="21"/>
          <w:vertAlign w:val="baseline"/>
        </w:rPr>
        <w:t>are</w:t>
      </w:r>
      <w:r>
        <w:rPr>
          <w:spacing w:val="-9"/>
          <w:sz w:val="21"/>
          <w:vertAlign w:val="baseline"/>
        </w:rPr>
        <w:t> </w:t>
      </w:r>
      <w:r>
        <w:rPr>
          <w:sz w:val="21"/>
          <w:vertAlign w:val="baseline"/>
        </w:rPr>
        <w:t>available</w:t>
      </w:r>
      <w:r>
        <w:rPr>
          <w:spacing w:val="-9"/>
          <w:sz w:val="21"/>
          <w:vertAlign w:val="baseline"/>
        </w:rPr>
        <w:t> </w:t>
      </w:r>
      <w:r>
        <w:rPr>
          <w:sz w:val="21"/>
          <w:vertAlign w:val="baseline"/>
        </w:rPr>
        <w:t>to</w:t>
      </w:r>
      <w:r>
        <w:rPr>
          <w:spacing w:val="-9"/>
          <w:sz w:val="21"/>
          <w:vertAlign w:val="baseline"/>
        </w:rPr>
        <w:t> </w:t>
      </w:r>
      <w:r>
        <w:rPr>
          <w:sz w:val="21"/>
          <w:vertAlign w:val="baseline"/>
        </w:rPr>
        <w:t>the</w:t>
      </w:r>
      <w:r>
        <w:rPr>
          <w:spacing w:val="-10"/>
          <w:sz w:val="21"/>
          <w:vertAlign w:val="baseline"/>
        </w:rPr>
        <w:t> </w:t>
      </w:r>
      <w:r>
        <w:rPr>
          <w:sz w:val="21"/>
          <w:vertAlign w:val="baseline"/>
        </w:rPr>
        <w:t>general</w:t>
      </w:r>
      <w:r>
        <w:rPr>
          <w:spacing w:val="-9"/>
          <w:sz w:val="21"/>
          <w:vertAlign w:val="baseline"/>
        </w:rPr>
        <w:t> </w:t>
      </w:r>
      <w:r>
        <w:rPr>
          <w:sz w:val="21"/>
          <w:vertAlign w:val="baseline"/>
        </w:rPr>
        <w:t>detainee population.</w:t>
      </w:r>
      <w:hyperlink w:history="true" w:anchor="_bookmark354">
        <w:r>
          <w:rPr>
            <w:sz w:val="21"/>
            <w:vertAlign w:val="superscript"/>
          </w:rPr>
          <w:t>38</w:t>
        </w:r>
      </w:hyperlink>
      <w:r>
        <w:rPr>
          <w:spacing w:val="-3"/>
          <w:sz w:val="21"/>
          <w:vertAlign w:val="baseline"/>
        </w:rPr>
        <w:t> </w:t>
      </w:r>
      <w:r>
        <w:rPr>
          <w:sz w:val="21"/>
          <w:vertAlign w:val="baseline"/>
        </w:rPr>
        <w:t>The</w:t>
      </w:r>
      <w:r>
        <w:rPr>
          <w:spacing w:val="-5"/>
          <w:sz w:val="21"/>
          <w:vertAlign w:val="baseline"/>
        </w:rPr>
        <w:t> </w:t>
      </w:r>
      <w:r>
        <w:rPr>
          <w:sz w:val="21"/>
          <w:vertAlign w:val="baseline"/>
        </w:rPr>
        <w:t>psychological</w:t>
      </w:r>
      <w:r>
        <w:rPr>
          <w:spacing w:val="-5"/>
          <w:sz w:val="21"/>
          <w:vertAlign w:val="baseline"/>
        </w:rPr>
        <w:t> </w:t>
      </w:r>
      <w:r>
        <w:rPr>
          <w:sz w:val="21"/>
          <w:vertAlign w:val="baseline"/>
        </w:rPr>
        <w:t>toll</w:t>
      </w:r>
      <w:r>
        <w:rPr>
          <w:spacing w:val="-6"/>
          <w:sz w:val="21"/>
          <w:vertAlign w:val="baseline"/>
        </w:rPr>
        <w:t> </w:t>
      </w:r>
      <w:r>
        <w:rPr>
          <w:sz w:val="21"/>
          <w:vertAlign w:val="baseline"/>
        </w:rPr>
        <w:t>of</w:t>
      </w:r>
      <w:r>
        <w:rPr>
          <w:spacing w:val="-6"/>
          <w:sz w:val="21"/>
          <w:vertAlign w:val="baseline"/>
        </w:rPr>
        <w:t> </w:t>
      </w:r>
      <w:r>
        <w:rPr>
          <w:sz w:val="21"/>
          <w:vertAlign w:val="baseline"/>
        </w:rPr>
        <w:t>solitary</w:t>
      </w:r>
      <w:r>
        <w:rPr>
          <w:spacing w:val="-6"/>
          <w:sz w:val="21"/>
          <w:vertAlign w:val="baseline"/>
        </w:rPr>
        <w:t> </w:t>
      </w:r>
      <w:r>
        <w:rPr>
          <w:sz w:val="21"/>
          <w:vertAlign w:val="baseline"/>
        </w:rPr>
        <w:t>confinement</w:t>
      </w:r>
      <w:r>
        <w:rPr>
          <w:spacing w:val="-5"/>
          <w:sz w:val="21"/>
          <w:vertAlign w:val="baseline"/>
        </w:rPr>
        <w:t> </w:t>
      </w:r>
      <w:r>
        <w:rPr>
          <w:sz w:val="21"/>
          <w:vertAlign w:val="baseline"/>
        </w:rPr>
        <w:t>has</w:t>
      </w:r>
      <w:r>
        <w:rPr>
          <w:spacing w:val="-6"/>
          <w:sz w:val="21"/>
          <w:vertAlign w:val="baseline"/>
        </w:rPr>
        <w:t> </w:t>
      </w:r>
      <w:r>
        <w:rPr>
          <w:sz w:val="21"/>
          <w:vertAlign w:val="baseline"/>
        </w:rPr>
        <w:t>been well-documented by psychologists, and its impacts include severe anxiety, depression, paranoia, hallucinations, and a propensity for impulsive,</w:t>
      </w:r>
      <w:r>
        <w:rPr>
          <w:spacing w:val="29"/>
          <w:sz w:val="21"/>
          <w:vertAlign w:val="baseline"/>
        </w:rPr>
        <w:t>  </w:t>
      </w:r>
      <w:r>
        <w:rPr>
          <w:sz w:val="21"/>
          <w:vertAlign w:val="baseline"/>
        </w:rPr>
        <w:t>self-harmful</w:t>
      </w:r>
      <w:r>
        <w:rPr>
          <w:spacing w:val="29"/>
          <w:sz w:val="21"/>
          <w:vertAlign w:val="baseline"/>
        </w:rPr>
        <w:t>  </w:t>
      </w:r>
      <w:r>
        <w:rPr>
          <w:sz w:val="21"/>
          <w:vertAlign w:val="baseline"/>
        </w:rPr>
        <w:t>behaviors.</w:t>
      </w:r>
      <w:r>
        <w:rPr>
          <w:spacing w:val="46"/>
          <w:sz w:val="21"/>
          <w:vertAlign w:val="baseline"/>
        </w:rPr>
        <w:t> </w:t>
      </w:r>
      <w:hyperlink w:history="true" w:anchor="_bookmark355">
        <w:r>
          <w:rPr>
            <w:sz w:val="21"/>
            <w:vertAlign w:val="superscript"/>
          </w:rPr>
          <w:t>39</w:t>
        </w:r>
      </w:hyperlink>
      <w:r>
        <w:rPr>
          <w:spacing w:val="62"/>
          <w:w w:val="150"/>
          <w:sz w:val="21"/>
          <w:vertAlign w:val="baseline"/>
        </w:rPr>
        <w:t> </w:t>
      </w:r>
      <w:r>
        <w:rPr>
          <w:sz w:val="21"/>
          <w:vertAlign w:val="baseline"/>
        </w:rPr>
        <w:t>The</w:t>
      </w:r>
      <w:r>
        <w:rPr>
          <w:spacing w:val="28"/>
          <w:sz w:val="21"/>
          <w:vertAlign w:val="baseline"/>
        </w:rPr>
        <w:t>  </w:t>
      </w:r>
      <w:r>
        <w:rPr>
          <w:sz w:val="21"/>
          <w:vertAlign w:val="baseline"/>
        </w:rPr>
        <w:t>Commission</w:t>
      </w:r>
      <w:r>
        <w:rPr>
          <w:spacing w:val="30"/>
          <w:sz w:val="21"/>
          <w:vertAlign w:val="baseline"/>
        </w:rPr>
        <w:t>  </w:t>
      </w:r>
      <w:r>
        <w:rPr>
          <w:spacing w:val="-2"/>
          <w:sz w:val="21"/>
          <w:vertAlign w:val="baseline"/>
        </w:rPr>
        <w:t>strongly</w:t>
      </w:r>
    </w:p>
    <w:p>
      <w:pPr>
        <w:spacing w:line="276" w:lineRule="auto" w:before="0"/>
        <w:ind w:left="463" w:right="241" w:firstLine="0"/>
        <w:jc w:val="both"/>
        <w:rPr>
          <w:sz w:val="21"/>
        </w:rPr>
      </w:pPr>
      <w:r>
        <w:rPr>
          <w:sz w:val="21"/>
        </w:rPr>
        <w:t>recommends that Massachusetts undertake additional research to gain a deeper understanding of the experiences faced by LGBTQ youth detained in the state's immigration facilities.</w:t>
      </w:r>
    </w:p>
    <w:p>
      <w:pPr>
        <w:spacing w:line="276" w:lineRule="auto" w:before="240"/>
        <w:ind w:left="463" w:right="240" w:firstLine="0"/>
        <w:jc w:val="both"/>
        <w:rPr>
          <w:sz w:val="21"/>
        </w:rPr>
      </w:pPr>
      <w:r>
        <w:rPr>
          <w:sz w:val="21"/>
        </w:rPr>
        <w:t>LGBTQ youth disproportionately engage in drug use and sales, which places them at higher risk of arrest and</w:t>
      </w:r>
      <w:r>
        <w:rPr>
          <w:spacing w:val="-4"/>
          <w:sz w:val="21"/>
        </w:rPr>
        <w:t> </w:t>
      </w:r>
      <w:r>
        <w:rPr>
          <w:sz w:val="21"/>
        </w:rPr>
        <w:t>conviction</w:t>
      </w:r>
      <w:r>
        <w:rPr>
          <w:spacing w:val="-4"/>
          <w:sz w:val="21"/>
        </w:rPr>
        <w:t> </w:t>
      </w:r>
      <w:r>
        <w:rPr>
          <w:sz w:val="21"/>
        </w:rPr>
        <w:t>for</w:t>
      </w:r>
      <w:r>
        <w:rPr>
          <w:spacing w:val="-4"/>
          <w:sz w:val="21"/>
        </w:rPr>
        <w:t> </w:t>
      </w:r>
      <w:r>
        <w:rPr>
          <w:sz w:val="21"/>
        </w:rPr>
        <w:t>drug</w:t>
      </w:r>
      <w:r>
        <w:rPr>
          <w:spacing w:val="-5"/>
          <w:sz w:val="21"/>
        </w:rPr>
        <w:t> </w:t>
      </w:r>
      <w:r>
        <w:rPr>
          <w:sz w:val="21"/>
        </w:rPr>
        <w:t>offenses.</w:t>
      </w:r>
      <w:hyperlink w:history="true" w:anchor="_bookmark356">
        <w:r>
          <w:rPr>
            <w:sz w:val="21"/>
            <w:vertAlign w:val="superscript"/>
          </w:rPr>
          <w:t>40</w:t>
        </w:r>
      </w:hyperlink>
      <w:r>
        <w:rPr>
          <w:spacing w:val="-2"/>
          <w:sz w:val="21"/>
          <w:vertAlign w:val="baseline"/>
        </w:rPr>
        <w:t> </w:t>
      </w:r>
      <w:r>
        <w:rPr>
          <w:sz w:val="21"/>
          <w:vertAlign w:val="baseline"/>
        </w:rPr>
        <w:t>Drug</w:t>
      </w:r>
      <w:r>
        <w:rPr>
          <w:spacing w:val="-6"/>
          <w:sz w:val="21"/>
          <w:vertAlign w:val="baseline"/>
        </w:rPr>
        <w:t> </w:t>
      </w:r>
      <w:r>
        <w:rPr>
          <w:sz w:val="21"/>
          <w:vertAlign w:val="baseline"/>
        </w:rPr>
        <w:t>use</w:t>
      </w:r>
      <w:r>
        <w:rPr>
          <w:spacing w:val="-4"/>
          <w:sz w:val="21"/>
          <w:vertAlign w:val="baseline"/>
        </w:rPr>
        <w:t> </w:t>
      </w:r>
      <w:r>
        <w:rPr>
          <w:sz w:val="21"/>
          <w:vertAlign w:val="baseline"/>
        </w:rPr>
        <w:t>can</w:t>
      </w:r>
      <w:r>
        <w:rPr>
          <w:spacing w:val="-4"/>
          <w:sz w:val="21"/>
          <w:vertAlign w:val="baseline"/>
        </w:rPr>
        <w:t> </w:t>
      </w:r>
      <w:r>
        <w:rPr>
          <w:sz w:val="21"/>
          <w:vertAlign w:val="baseline"/>
        </w:rPr>
        <w:t>be</w:t>
      </w:r>
      <w:r>
        <w:rPr>
          <w:spacing w:val="-6"/>
          <w:sz w:val="21"/>
          <w:vertAlign w:val="baseline"/>
        </w:rPr>
        <w:t> </w:t>
      </w:r>
      <w:r>
        <w:rPr>
          <w:sz w:val="21"/>
          <w:vertAlign w:val="baseline"/>
        </w:rPr>
        <w:t>a</w:t>
      </w:r>
      <w:r>
        <w:rPr>
          <w:spacing w:val="-5"/>
          <w:sz w:val="21"/>
          <w:vertAlign w:val="baseline"/>
        </w:rPr>
        <w:t> </w:t>
      </w:r>
      <w:r>
        <w:rPr>
          <w:sz w:val="21"/>
          <w:vertAlign w:val="baseline"/>
        </w:rPr>
        <w:t>coping</w:t>
      </w:r>
      <w:r>
        <w:rPr>
          <w:spacing w:val="-5"/>
          <w:sz w:val="21"/>
          <w:vertAlign w:val="baseline"/>
        </w:rPr>
        <w:t> </w:t>
      </w:r>
      <w:r>
        <w:rPr>
          <w:sz w:val="21"/>
          <w:vertAlign w:val="baseline"/>
        </w:rPr>
        <w:t>mechanism</w:t>
      </w:r>
      <w:r>
        <w:rPr>
          <w:spacing w:val="-4"/>
          <w:sz w:val="21"/>
          <w:vertAlign w:val="baseline"/>
        </w:rPr>
        <w:t> </w:t>
      </w:r>
      <w:r>
        <w:rPr>
          <w:sz w:val="21"/>
          <w:vertAlign w:val="baseline"/>
        </w:rPr>
        <w:t>for</w:t>
      </w:r>
      <w:r>
        <w:rPr>
          <w:spacing w:val="-4"/>
          <w:sz w:val="21"/>
          <w:vertAlign w:val="baseline"/>
        </w:rPr>
        <w:t> </w:t>
      </w:r>
      <w:r>
        <w:rPr>
          <w:sz w:val="21"/>
          <w:vertAlign w:val="baseline"/>
        </w:rPr>
        <w:t>many</w:t>
      </w:r>
      <w:r>
        <w:rPr>
          <w:spacing w:val="-6"/>
          <w:sz w:val="21"/>
          <w:vertAlign w:val="baseline"/>
        </w:rPr>
        <w:t> </w:t>
      </w:r>
      <w:r>
        <w:rPr>
          <w:sz w:val="21"/>
          <w:vertAlign w:val="baseline"/>
        </w:rPr>
        <w:t>LGBTQ</w:t>
      </w:r>
      <w:r>
        <w:rPr>
          <w:spacing w:val="-4"/>
          <w:sz w:val="21"/>
          <w:vertAlign w:val="baseline"/>
        </w:rPr>
        <w:t> </w:t>
      </w:r>
      <w:r>
        <w:rPr>
          <w:sz w:val="21"/>
          <w:vertAlign w:val="baseline"/>
        </w:rPr>
        <w:t>youths</w:t>
      </w:r>
      <w:r>
        <w:rPr>
          <w:spacing w:val="-5"/>
          <w:sz w:val="21"/>
          <w:vertAlign w:val="baseline"/>
        </w:rPr>
        <w:t> </w:t>
      </w:r>
      <w:r>
        <w:rPr>
          <w:sz w:val="21"/>
          <w:vertAlign w:val="baseline"/>
        </w:rPr>
        <w:t>subjected to sexual-prejudice stigma and discrimination.</w:t>
      </w:r>
      <w:r>
        <w:rPr>
          <w:spacing w:val="-12"/>
          <w:sz w:val="21"/>
          <w:vertAlign w:val="baseline"/>
        </w:rPr>
        <w:t> </w:t>
      </w:r>
      <w:hyperlink w:history="true" w:anchor="_bookmark357">
        <w:r>
          <w:rPr>
            <w:sz w:val="21"/>
            <w:vertAlign w:val="superscript"/>
          </w:rPr>
          <w:t>41</w:t>
        </w:r>
      </w:hyperlink>
      <w:r>
        <w:rPr>
          <w:sz w:val="21"/>
          <w:vertAlign w:val="baseline"/>
        </w:rPr>
        <w:t> A recent study discovered a notably higher rate of marijuana use among sexual minority youth in neighborhoods experiencing a greater number of LGBT assault hate crimes.</w:t>
      </w:r>
      <w:r>
        <w:rPr>
          <w:spacing w:val="-12"/>
          <w:sz w:val="21"/>
          <w:vertAlign w:val="baseline"/>
        </w:rPr>
        <w:t> </w:t>
      </w:r>
      <w:hyperlink w:history="true" w:anchor="_bookmark358">
        <w:r>
          <w:rPr>
            <w:sz w:val="21"/>
            <w:vertAlign w:val="superscript"/>
          </w:rPr>
          <w:t>42</w:t>
        </w:r>
      </w:hyperlink>
      <w:r>
        <w:rPr>
          <w:sz w:val="21"/>
          <w:vertAlign w:val="baseline"/>
        </w:rPr>
        <w:t> These findings indicate that the context of the neighborhood, specifically the prevalence of LGBT hate crimes, might play a role in the differences observed in marijuana use based on sexual orientation. LGBTQ youth start using substances at an earlier age and have higher rates of use and misuse than their heterosexual and cisgender peers.</w:t>
      </w:r>
      <w:r>
        <w:rPr>
          <w:spacing w:val="-12"/>
          <w:sz w:val="21"/>
          <w:vertAlign w:val="baseline"/>
        </w:rPr>
        <w:t> </w:t>
      </w:r>
      <w:hyperlink w:history="true" w:anchor="_bookmark359">
        <w:r>
          <w:rPr>
            <w:sz w:val="21"/>
            <w:vertAlign w:val="superscript"/>
          </w:rPr>
          <w:t>43</w:t>
        </w:r>
      </w:hyperlink>
      <w:r>
        <w:rPr>
          <w:sz w:val="21"/>
          <w:vertAlign w:val="baseline"/>
        </w:rPr>
        <w:t> This pattern persists despite overall declines in substance use among the general youth population. National research indicates that 80% of young individuals in state juvenile legal systems were either under the influence drugs or alcohol at the time of their</w:t>
      </w:r>
      <w:r>
        <w:rPr>
          <w:spacing w:val="-10"/>
          <w:sz w:val="21"/>
          <w:vertAlign w:val="baseline"/>
        </w:rPr>
        <w:t> </w:t>
      </w:r>
      <w:r>
        <w:rPr>
          <w:sz w:val="21"/>
          <w:vertAlign w:val="baseline"/>
        </w:rPr>
        <w:t>offense(s),</w:t>
      </w:r>
      <w:r>
        <w:rPr>
          <w:spacing w:val="-10"/>
          <w:sz w:val="21"/>
          <w:vertAlign w:val="baseline"/>
        </w:rPr>
        <w:t> </w:t>
      </w:r>
      <w:r>
        <w:rPr>
          <w:sz w:val="21"/>
          <w:vertAlign w:val="baseline"/>
        </w:rPr>
        <w:t>tested</w:t>
      </w:r>
      <w:r>
        <w:rPr>
          <w:spacing w:val="-10"/>
          <w:sz w:val="21"/>
          <w:vertAlign w:val="baseline"/>
        </w:rPr>
        <w:t> </w:t>
      </w:r>
      <w:r>
        <w:rPr>
          <w:sz w:val="21"/>
          <w:vertAlign w:val="baseline"/>
        </w:rPr>
        <w:t>positive</w:t>
      </w:r>
      <w:r>
        <w:rPr>
          <w:spacing w:val="-10"/>
          <w:sz w:val="21"/>
          <w:vertAlign w:val="baseline"/>
        </w:rPr>
        <w:t> </w:t>
      </w:r>
      <w:r>
        <w:rPr>
          <w:sz w:val="21"/>
          <w:vertAlign w:val="baseline"/>
        </w:rPr>
        <w:t>for</w:t>
      </w:r>
      <w:r>
        <w:rPr>
          <w:spacing w:val="-10"/>
          <w:sz w:val="21"/>
          <w:vertAlign w:val="baseline"/>
        </w:rPr>
        <w:t> </w:t>
      </w:r>
      <w:r>
        <w:rPr>
          <w:sz w:val="21"/>
          <w:vertAlign w:val="baseline"/>
        </w:rPr>
        <w:t>substances,</w:t>
      </w:r>
      <w:r>
        <w:rPr>
          <w:spacing w:val="-10"/>
          <w:sz w:val="21"/>
          <w:vertAlign w:val="baseline"/>
        </w:rPr>
        <w:t> </w:t>
      </w:r>
      <w:r>
        <w:rPr>
          <w:sz w:val="21"/>
          <w:vertAlign w:val="baseline"/>
        </w:rPr>
        <w:t>were</w:t>
      </w:r>
      <w:r>
        <w:rPr>
          <w:spacing w:val="-10"/>
          <w:sz w:val="21"/>
          <w:vertAlign w:val="baseline"/>
        </w:rPr>
        <w:t> </w:t>
      </w:r>
      <w:r>
        <w:rPr>
          <w:sz w:val="21"/>
          <w:vertAlign w:val="baseline"/>
        </w:rPr>
        <w:t>detained</w:t>
      </w:r>
      <w:r>
        <w:rPr>
          <w:spacing w:val="-10"/>
          <w:sz w:val="21"/>
          <w:vertAlign w:val="baseline"/>
        </w:rPr>
        <w:t> </w:t>
      </w:r>
      <w:r>
        <w:rPr>
          <w:sz w:val="21"/>
          <w:vertAlign w:val="baseline"/>
        </w:rPr>
        <w:t>for</w:t>
      </w:r>
      <w:r>
        <w:rPr>
          <w:spacing w:val="-10"/>
          <w:sz w:val="21"/>
          <w:vertAlign w:val="baseline"/>
        </w:rPr>
        <w:t> </w:t>
      </w:r>
      <w:r>
        <w:rPr>
          <w:sz w:val="21"/>
          <w:vertAlign w:val="baseline"/>
        </w:rPr>
        <w:t>alcohol</w:t>
      </w:r>
      <w:r>
        <w:rPr>
          <w:spacing w:val="-10"/>
          <w:sz w:val="21"/>
          <w:vertAlign w:val="baseline"/>
        </w:rPr>
        <w:t> </w:t>
      </w:r>
      <w:r>
        <w:rPr>
          <w:sz w:val="21"/>
          <w:vertAlign w:val="baseline"/>
        </w:rPr>
        <w:t>or</w:t>
      </w:r>
      <w:r>
        <w:rPr>
          <w:spacing w:val="-10"/>
          <w:sz w:val="21"/>
          <w:vertAlign w:val="baseline"/>
        </w:rPr>
        <w:t> </w:t>
      </w:r>
      <w:r>
        <w:rPr>
          <w:sz w:val="21"/>
          <w:vertAlign w:val="baseline"/>
        </w:rPr>
        <w:t>drug-related</w:t>
      </w:r>
      <w:r>
        <w:rPr>
          <w:spacing w:val="-10"/>
          <w:sz w:val="21"/>
          <w:vertAlign w:val="baseline"/>
        </w:rPr>
        <w:t> </w:t>
      </w:r>
      <w:r>
        <w:rPr>
          <w:sz w:val="21"/>
          <w:vertAlign w:val="baseline"/>
        </w:rPr>
        <w:t>crimes,</w:t>
      </w:r>
      <w:r>
        <w:rPr>
          <w:spacing w:val="-10"/>
          <w:sz w:val="21"/>
          <w:vertAlign w:val="baseline"/>
        </w:rPr>
        <w:t> </w:t>
      </w:r>
      <w:r>
        <w:rPr>
          <w:sz w:val="21"/>
          <w:vertAlign w:val="baseline"/>
        </w:rPr>
        <w:t>confessed to struggling with substance abuse or addiction, or exhibited a mix of these factors.</w:t>
      </w:r>
      <w:hyperlink w:history="true" w:anchor="_bookmark360">
        <w:r>
          <w:rPr>
            <w:sz w:val="21"/>
            <w:vertAlign w:val="superscript"/>
          </w:rPr>
          <w:t>44</w:t>
        </w:r>
      </w:hyperlink>
      <w:r>
        <w:rPr>
          <w:spacing w:val="-2"/>
          <w:sz w:val="21"/>
          <w:vertAlign w:val="baseline"/>
        </w:rPr>
        <w:t> </w:t>
      </w:r>
      <w:r>
        <w:rPr>
          <w:sz w:val="21"/>
          <w:vertAlign w:val="baseline"/>
        </w:rPr>
        <w:t>Approximately 10% of</w:t>
      </w:r>
      <w:r>
        <w:rPr>
          <w:spacing w:val="-11"/>
          <w:sz w:val="21"/>
          <w:vertAlign w:val="baseline"/>
        </w:rPr>
        <w:t> </w:t>
      </w:r>
      <w:r>
        <w:rPr>
          <w:sz w:val="21"/>
          <w:vertAlign w:val="baseline"/>
        </w:rPr>
        <w:t>all</w:t>
      </w:r>
      <w:r>
        <w:rPr>
          <w:spacing w:val="-10"/>
          <w:sz w:val="21"/>
          <w:vertAlign w:val="baseline"/>
        </w:rPr>
        <w:t> </w:t>
      </w:r>
      <w:r>
        <w:rPr>
          <w:sz w:val="21"/>
          <w:vertAlign w:val="baseline"/>
        </w:rPr>
        <w:t>juvenile</w:t>
      </w:r>
      <w:r>
        <w:rPr>
          <w:spacing w:val="-10"/>
          <w:sz w:val="21"/>
          <w:vertAlign w:val="baseline"/>
        </w:rPr>
        <w:t> </w:t>
      </w:r>
      <w:r>
        <w:rPr>
          <w:sz w:val="21"/>
          <w:vertAlign w:val="baseline"/>
        </w:rPr>
        <w:t>arrests</w:t>
      </w:r>
      <w:r>
        <w:rPr>
          <w:spacing w:val="-11"/>
          <w:sz w:val="21"/>
          <w:vertAlign w:val="baseline"/>
        </w:rPr>
        <w:t> </w:t>
      </w:r>
      <w:r>
        <w:rPr>
          <w:sz w:val="21"/>
          <w:vertAlign w:val="baseline"/>
        </w:rPr>
        <w:t>in</w:t>
      </w:r>
      <w:r>
        <w:rPr>
          <w:spacing w:val="-10"/>
          <w:sz w:val="21"/>
          <w:vertAlign w:val="baseline"/>
        </w:rPr>
        <w:t> </w:t>
      </w:r>
      <w:r>
        <w:rPr>
          <w:sz w:val="21"/>
          <w:vertAlign w:val="baseline"/>
        </w:rPr>
        <w:t>the</w:t>
      </w:r>
      <w:r>
        <w:rPr>
          <w:spacing w:val="-12"/>
          <w:sz w:val="21"/>
          <w:vertAlign w:val="baseline"/>
        </w:rPr>
        <w:t> </w:t>
      </w:r>
      <w:r>
        <w:rPr>
          <w:sz w:val="21"/>
          <w:vertAlign w:val="baseline"/>
        </w:rPr>
        <w:t>United</w:t>
      </w:r>
      <w:r>
        <w:rPr>
          <w:spacing w:val="-9"/>
          <w:sz w:val="21"/>
          <w:vertAlign w:val="baseline"/>
        </w:rPr>
        <w:t> </w:t>
      </w:r>
      <w:r>
        <w:rPr>
          <w:sz w:val="21"/>
          <w:vertAlign w:val="baseline"/>
        </w:rPr>
        <w:t>States</w:t>
      </w:r>
      <w:r>
        <w:rPr>
          <w:spacing w:val="-12"/>
          <w:sz w:val="21"/>
          <w:vertAlign w:val="baseline"/>
        </w:rPr>
        <w:t> </w:t>
      </w:r>
      <w:r>
        <w:rPr>
          <w:sz w:val="21"/>
          <w:vertAlign w:val="baseline"/>
        </w:rPr>
        <w:t>in</w:t>
      </w:r>
      <w:r>
        <w:rPr>
          <w:spacing w:val="-10"/>
          <w:sz w:val="21"/>
          <w:vertAlign w:val="baseline"/>
        </w:rPr>
        <w:t> </w:t>
      </w:r>
      <w:r>
        <w:rPr>
          <w:sz w:val="21"/>
          <w:vertAlign w:val="baseline"/>
        </w:rPr>
        <w:t>2020</w:t>
      </w:r>
      <w:r>
        <w:rPr>
          <w:spacing w:val="-11"/>
          <w:sz w:val="21"/>
          <w:vertAlign w:val="baseline"/>
        </w:rPr>
        <w:t> </w:t>
      </w:r>
      <w:r>
        <w:rPr>
          <w:sz w:val="21"/>
          <w:vertAlign w:val="baseline"/>
        </w:rPr>
        <w:t>were</w:t>
      </w:r>
      <w:r>
        <w:rPr>
          <w:spacing w:val="-10"/>
          <w:sz w:val="21"/>
          <w:vertAlign w:val="baseline"/>
        </w:rPr>
        <w:t> </w:t>
      </w:r>
      <w:r>
        <w:rPr>
          <w:sz w:val="21"/>
          <w:vertAlign w:val="baseline"/>
        </w:rPr>
        <w:t>related</w:t>
      </w:r>
      <w:r>
        <w:rPr>
          <w:spacing w:val="-10"/>
          <w:sz w:val="21"/>
          <w:vertAlign w:val="baseline"/>
        </w:rPr>
        <w:t> </w:t>
      </w:r>
      <w:r>
        <w:rPr>
          <w:sz w:val="21"/>
          <w:vertAlign w:val="baseline"/>
        </w:rPr>
        <w:t>to</w:t>
      </w:r>
      <w:r>
        <w:rPr>
          <w:spacing w:val="-11"/>
          <w:sz w:val="21"/>
          <w:vertAlign w:val="baseline"/>
        </w:rPr>
        <w:t> </w:t>
      </w:r>
      <w:r>
        <w:rPr>
          <w:sz w:val="21"/>
          <w:vertAlign w:val="baseline"/>
        </w:rPr>
        <w:t>drug</w:t>
      </w:r>
      <w:r>
        <w:rPr>
          <w:spacing w:val="-12"/>
          <w:sz w:val="21"/>
          <w:vertAlign w:val="baseline"/>
        </w:rPr>
        <w:t> </w:t>
      </w:r>
      <w:r>
        <w:rPr>
          <w:sz w:val="21"/>
          <w:vertAlign w:val="baseline"/>
        </w:rPr>
        <w:t>abuse</w:t>
      </w:r>
      <w:r>
        <w:rPr>
          <w:spacing w:val="-9"/>
          <w:sz w:val="21"/>
          <w:vertAlign w:val="baseline"/>
        </w:rPr>
        <w:t> </w:t>
      </w:r>
      <w:r>
        <w:rPr>
          <w:sz w:val="21"/>
          <w:vertAlign w:val="baseline"/>
        </w:rPr>
        <w:t>violations.</w:t>
      </w:r>
      <w:hyperlink w:history="true" w:anchor="_bookmark361">
        <w:r>
          <w:rPr>
            <w:sz w:val="21"/>
            <w:vertAlign w:val="superscript"/>
          </w:rPr>
          <w:t>45</w:t>
        </w:r>
      </w:hyperlink>
      <w:r>
        <w:rPr>
          <w:spacing w:val="-2"/>
          <w:sz w:val="21"/>
          <w:vertAlign w:val="baseline"/>
        </w:rPr>
        <w:t> </w:t>
      </w:r>
      <w:r>
        <w:rPr>
          <w:sz w:val="21"/>
          <w:vertAlign w:val="baseline"/>
        </w:rPr>
        <w:t>Moreover,</w:t>
      </w:r>
      <w:r>
        <w:rPr>
          <w:spacing w:val="-10"/>
          <w:sz w:val="21"/>
          <w:vertAlign w:val="baseline"/>
        </w:rPr>
        <w:t> </w:t>
      </w:r>
      <w:r>
        <w:rPr>
          <w:sz w:val="21"/>
          <w:vertAlign w:val="baseline"/>
        </w:rPr>
        <w:t>LGBTQ communities</w:t>
      </w:r>
      <w:r>
        <w:rPr>
          <w:spacing w:val="-7"/>
          <w:sz w:val="21"/>
          <w:vertAlign w:val="baseline"/>
        </w:rPr>
        <w:t> </w:t>
      </w:r>
      <w:r>
        <w:rPr>
          <w:sz w:val="21"/>
          <w:vertAlign w:val="baseline"/>
        </w:rPr>
        <w:t>have</w:t>
      </w:r>
      <w:r>
        <w:rPr>
          <w:spacing w:val="-7"/>
          <w:sz w:val="21"/>
          <w:vertAlign w:val="baseline"/>
        </w:rPr>
        <w:t> </w:t>
      </w:r>
      <w:r>
        <w:rPr>
          <w:sz w:val="21"/>
          <w:vertAlign w:val="baseline"/>
        </w:rPr>
        <w:t>historically</w:t>
      </w:r>
      <w:r>
        <w:rPr>
          <w:spacing w:val="-7"/>
          <w:sz w:val="21"/>
          <w:vertAlign w:val="baseline"/>
        </w:rPr>
        <w:t> </w:t>
      </w:r>
      <w:r>
        <w:rPr>
          <w:sz w:val="21"/>
          <w:vertAlign w:val="baseline"/>
        </w:rPr>
        <w:t>faced</w:t>
      </w:r>
      <w:r>
        <w:rPr>
          <w:spacing w:val="-7"/>
          <w:sz w:val="21"/>
          <w:vertAlign w:val="baseline"/>
        </w:rPr>
        <w:t> </w:t>
      </w:r>
      <w:r>
        <w:rPr>
          <w:sz w:val="21"/>
          <w:vertAlign w:val="baseline"/>
        </w:rPr>
        <w:t>hyper-policing</w:t>
      </w:r>
      <w:r>
        <w:rPr>
          <w:spacing w:val="-7"/>
          <w:sz w:val="21"/>
          <w:vertAlign w:val="baseline"/>
        </w:rPr>
        <w:t> </w:t>
      </w:r>
      <w:r>
        <w:rPr>
          <w:sz w:val="21"/>
          <w:vertAlign w:val="baseline"/>
        </w:rPr>
        <w:t>intended</w:t>
      </w:r>
      <w:r>
        <w:rPr>
          <w:spacing w:val="-7"/>
          <w:sz w:val="21"/>
          <w:vertAlign w:val="baseline"/>
        </w:rPr>
        <w:t> </w:t>
      </w:r>
      <w:r>
        <w:rPr>
          <w:sz w:val="21"/>
          <w:vertAlign w:val="baseline"/>
        </w:rPr>
        <w:t>to</w:t>
      </w:r>
      <w:r>
        <w:rPr>
          <w:spacing w:val="-7"/>
          <w:sz w:val="21"/>
          <w:vertAlign w:val="baseline"/>
        </w:rPr>
        <w:t> </w:t>
      </w:r>
      <w:r>
        <w:rPr>
          <w:sz w:val="21"/>
          <w:vertAlign w:val="baseline"/>
        </w:rPr>
        <w:t>enforce</w:t>
      </w:r>
      <w:r>
        <w:rPr>
          <w:spacing w:val="-7"/>
          <w:sz w:val="21"/>
          <w:vertAlign w:val="baseline"/>
        </w:rPr>
        <w:t> </w:t>
      </w:r>
      <w:r>
        <w:rPr>
          <w:sz w:val="21"/>
          <w:vertAlign w:val="baseline"/>
        </w:rPr>
        <w:t>cisgender</w:t>
      </w:r>
      <w:r>
        <w:rPr>
          <w:spacing w:val="-7"/>
          <w:sz w:val="21"/>
          <w:vertAlign w:val="baseline"/>
        </w:rPr>
        <w:t> </w:t>
      </w:r>
      <w:r>
        <w:rPr>
          <w:sz w:val="21"/>
          <w:vertAlign w:val="baseline"/>
        </w:rPr>
        <w:t>and</w:t>
      </w:r>
      <w:r>
        <w:rPr>
          <w:spacing w:val="-7"/>
          <w:sz w:val="21"/>
          <w:vertAlign w:val="baseline"/>
        </w:rPr>
        <w:t> </w:t>
      </w:r>
      <w:r>
        <w:rPr>
          <w:sz w:val="21"/>
          <w:vertAlign w:val="baseline"/>
        </w:rPr>
        <w:t>heterosexual</w:t>
      </w:r>
      <w:r>
        <w:rPr>
          <w:spacing w:val="-7"/>
          <w:sz w:val="21"/>
          <w:vertAlign w:val="baseline"/>
        </w:rPr>
        <w:t> </w:t>
      </w:r>
      <w:r>
        <w:rPr>
          <w:sz w:val="21"/>
          <w:vertAlign w:val="baseline"/>
        </w:rPr>
        <w:t>norms, further increasing their risk of being arrested for their use or misuse of drugs.</w:t>
      </w:r>
    </w:p>
    <w:p>
      <w:pPr>
        <w:spacing w:before="239"/>
        <w:ind w:left="464" w:right="0" w:firstLine="0"/>
        <w:jc w:val="both"/>
        <w:rPr>
          <w:sz w:val="26"/>
        </w:rPr>
      </w:pPr>
      <w:bookmarkStart w:name="The Foster Care-to-Prison Pipeline" w:id="545"/>
      <w:bookmarkEnd w:id="545"/>
      <w:r>
        <w:rPr/>
      </w:r>
      <w:r>
        <w:rPr>
          <w:color w:val="404040"/>
          <w:sz w:val="26"/>
        </w:rPr>
        <w:t>The</w:t>
      </w:r>
      <w:r>
        <w:rPr>
          <w:color w:val="404040"/>
          <w:spacing w:val="-4"/>
          <w:sz w:val="26"/>
        </w:rPr>
        <w:t> </w:t>
      </w:r>
      <w:r>
        <w:rPr>
          <w:color w:val="404040"/>
          <w:sz w:val="26"/>
        </w:rPr>
        <w:t>Foster</w:t>
      </w:r>
      <w:r>
        <w:rPr>
          <w:color w:val="404040"/>
          <w:spacing w:val="-4"/>
          <w:sz w:val="26"/>
        </w:rPr>
        <w:t> </w:t>
      </w:r>
      <w:r>
        <w:rPr>
          <w:color w:val="404040"/>
          <w:sz w:val="26"/>
        </w:rPr>
        <w:t>Care-to-Prison</w:t>
      </w:r>
      <w:r>
        <w:rPr>
          <w:color w:val="404040"/>
          <w:spacing w:val="-4"/>
          <w:sz w:val="26"/>
        </w:rPr>
        <w:t> </w:t>
      </w:r>
      <w:r>
        <w:rPr>
          <w:color w:val="404040"/>
          <w:spacing w:val="-2"/>
          <w:sz w:val="26"/>
        </w:rPr>
        <w:t>Pipeline</w:t>
      </w:r>
    </w:p>
    <w:p>
      <w:pPr>
        <w:spacing w:line="276" w:lineRule="auto" w:before="240"/>
        <w:ind w:left="463" w:right="238" w:firstLine="0"/>
        <w:jc w:val="both"/>
        <w:rPr>
          <w:sz w:val="21"/>
        </w:rPr>
      </w:pPr>
      <w:r>
        <w:rPr>
          <w:sz w:val="21"/>
        </w:rPr>
        <w:t>Massachusetts is celebrated for its leadership in LGBTQ rights, being the first state to legalize same-sex marriage</w:t>
      </w:r>
      <w:r>
        <w:rPr>
          <w:spacing w:val="-11"/>
          <w:sz w:val="21"/>
        </w:rPr>
        <w:t> </w:t>
      </w:r>
      <w:r>
        <w:rPr>
          <w:sz w:val="21"/>
        </w:rPr>
        <w:t>in</w:t>
      </w:r>
      <w:r>
        <w:rPr>
          <w:spacing w:val="-11"/>
          <w:sz w:val="21"/>
        </w:rPr>
        <w:t> </w:t>
      </w:r>
      <w:r>
        <w:rPr>
          <w:sz w:val="21"/>
        </w:rPr>
        <w:t>2004</w:t>
      </w:r>
      <w:r>
        <w:rPr>
          <w:spacing w:val="-11"/>
          <w:sz w:val="21"/>
        </w:rPr>
        <w:t> </w:t>
      </w:r>
      <w:r>
        <w:rPr>
          <w:sz w:val="21"/>
        </w:rPr>
        <w:t>and</w:t>
      </w:r>
      <w:r>
        <w:rPr>
          <w:spacing w:val="-12"/>
          <w:sz w:val="21"/>
        </w:rPr>
        <w:t> </w:t>
      </w:r>
      <w:r>
        <w:rPr>
          <w:sz w:val="21"/>
        </w:rPr>
        <w:t>home</w:t>
      </w:r>
      <w:r>
        <w:rPr>
          <w:spacing w:val="-11"/>
          <w:sz w:val="21"/>
        </w:rPr>
        <w:t> </w:t>
      </w:r>
      <w:r>
        <w:rPr>
          <w:sz w:val="21"/>
        </w:rPr>
        <w:t>to</w:t>
      </w:r>
      <w:r>
        <w:rPr>
          <w:spacing w:val="-12"/>
          <w:sz w:val="21"/>
        </w:rPr>
        <w:t> </w:t>
      </w:r>
      <w:r>
        <w:rPr>
          <w:sz w:val="21"/>
        </w:rPr>
        <w:t>the</w:t>
      </w:r>
      <w:r>
        <w:rPr>
          <w:spacing w:val="-11"/>
          <w:sz w:val="21"/>
        </w:rPr>
        <w:t> </w:t>
      </w:r>
      <w:r>
        <w:rPr>
          <w:sz w:val="21"/>
        </w:rPr>
        <w:t>nation's</w:t>
      </w:r>
      <w:r>
        <w:rPr>
          <w:spacing w:val="-12"/>
          <w:sz w:val="21"/>
        </w:rPr>
        <w:t> </w:t>
      </w:r>
      <w:r>
        <w:rPr>
          <w:sz w:val="21"/>
        </w:rPr>
        <w:t>only</w:t>
      </w:r>
      <w:r>
        <w:rPr>
          <w:spacing w:val="-12"/>
          <w:sz w:val="21"/>
        </w:rPr>
        <w:t> </w:t>
      </w:r>
      <w:r>
        <w:rPr>
          <w:sz w:val="21"/>
        </w:rPr>
        <w:t>state</w:t>
      </w:r>
      <w:r>
        <w:rPr>
          <w:spacing w:val="-11"/>
          <w:sz w:val="21"/>
        </w:rPr>
        <w:t> </w:t>
      </w:r>
      <w:r>
        <w:rPr>
          <w:sz w:val="21"/>
        </w:rPr>
        <w:t>LGBTQ</w:t>
      </w:r>
      <w:r>
        <w:rPr>
          <w:spacing w:val="-11"/>
          <w:sz w:val="21"/>
        </w:rPr>
        <w:t> </w:t>
      </w:r>
      <w:r>
        <w:rPr>
          <w:sz w:val="21"/>
        </w:rPr>
        <w:t>youth</w:t>
      </w:r>
      <w:r>
        <w:rPr>
          <w:spacing w:val="-11"/>
          <w:sz w:val="21"/>
        </w:rPr>
        <w:t> </w:t>
      </w:r>
      <w:r>
        <w:rPr>
          <w:sz w:val="21"/>
        </w:rPr>
        <w:t>commission.</w:t>
      </w:r>
      <w:r>
        <w:rPr>
          <w:spacing w:val="-11"/>
          <w:sz w:val="21"/>
        </w:rPr>
        <w:t> </w:t>
      </w:r>
      <w:r>
        <w:rPr>
          <w:sz w:val="21"/>
        </w:rPr>
        <w:t>The</w:t>
      </w:r>
      <w:r>
        <w:rPr>
          <w:spacing w:val="-11"/>
          <w:sz w:val="21"/>
        </w:rPr>
        <w:t> </w:t>
      </w:r>
      <w:r>
        <w:rPr>
          <w:sz w:val="21"/>
        </w:rPr>
        <w:t>Commonwealth</w:t>
      </w:r>
      <w:r>
        <w:rPr>
          <w:spacing w:val="-11"/>
          <w:sz w:val="21"/>
        </w:rPr>
        <w:t> </w:t>
      </w:r>
      <w:r>
        <w:rPr>
          <w:sz w:val="21"/>
        </w:rPr>
        <w:t>boasts legal protections against discrimination based on sexual orientation and gender identity in several areas, such as public accommodations, housing, employment, and state services. Despite these advancements, the Massachusetts child welfare system lags behind. Notably, LGBTQ youth are disproportionately represented in these systems. In Massachusetts, according to the Department of Children and Families' (DCF) Quarter 1 report for FY 2024, 9% of youth in DCF services identify as LGBTQ.</w:t>
      </w:r>
      <w:r>
        <w:rPr>
          <w:spacing w:val="-12"/>
          <w:sz w:val="21"/>
        </w:rPr>
        <w:t> </w:t>
      </w:r>
      <w:hyperlink w:history="true" w:anchor="_bookmark362">
        <w:r>
          <w:rPr>
            <w:sz w:val="21"/>
            <w:vertAlign w:val="superscript"/>
          </w:rPr>
          <w:t>46</w:t>
        </w:r>
      </w:hyperlink>
      <w:r>
        <w:rPr>
          <w:sz w:val="21"/>
          <w:vertAlign w:val="baseline"/>
        </w:rPr>
        <w:t> However, this percentage may actually be much higher, as many youths and workers have previously reported to the Commission</w:t>
      </w:r>
      <w:r>
        <w:rPr>
          <w:spacing w:val="-6"/>
          <w:sz w:val="21"/>
          <w:vertAlign w:val="baseline"/>
        </w:rPr>
        <w:t> </w:t>
      </w:r>
      <w:r>
        <w:rPr>
          <w:sz w:val="21"/>
          <w:vertAlign w:val="baseline"/>
        </w:rPr>
        <w:t>that</w:t>
      </w:r>
      <w:r>
        <w:rPr>
          <w:spacing w:val="-5"/>
          <w:sz w:val="21"/>
          <w:vertAlign w:val="baseline"/>
        </w:rPr>
        <w:t> </w:t>
      </w:r>
      <w:r>
        <w:rPr>
          <w:sz w:val="21"/>
          <w:vertAlign w:val="baseline"/>
        </w:rPr>
        <w:t>they</w:t>
      </w:r>
      <w:r>
        <w:rPr>
          <w:spacing w:val="-7"/>
          <w:sz w:val="21"/>
          <w:vertAlign w:val="baseline"/>
        </w:rPr>
        <w:t> </w:t>
      </w:r>
      <w:r>
        <w:rPr>
          <w:sz w:val="21"/>
          <w:vertAlign w:val="baseline"/>
        </w:rPr>
        <w:t>do</w:t>
      </w:r>
      <w:r>
        <w:rPr>
          <w:spacing w:val="-6"/>
          <w:sz w:val="21"/>
          <w:vertAlign w:val="baseline"/>
        </w:rPr>
        <w:t> </w:t>
      </w:r>
      <w:r>
        <w:rPr>
          <w:sz w:val="21"/>
          <w:vertAlign w:val="baseline"/>
        </w:rPr>
        <w:t>not</w:t>
      </w:r>
      <w:r>
        <w:rPr>
          <w:spacing w:val="-5"/>
          <w:sz w:val="21"/>
          <w:vertAlign w:val="baseline"/>
        </w:rPr>
        <w:t> </w:t>
      </w:r>
      <w:r>
        <w:rPr>
          <w:sz w:val="21"/>
          <w:vertAlign w:val="baseline"/>
        </w:rPr>
        <w:t>feel</w:t>
      </w:r>
      <w:r>
        <w:rPr>
          <w:spacing w:val="-6"/>
          <w:sz w:val="21"/>
          <w:vertAlign w:val="baseline"/>
        </w:rPr>
        <w:t> </w:t>
      </w:r>
      <w:r>
        <w:rPr>
          <w:sz w:val="21"/>
          <w:vertAlign w:val="baseline"/>
        </w:rPr>
        <w:t>comfortable</w:t>
      </w:r>
      <w:r>
        <w:rPr>
          <w:spacing w:val="-6"/>
          <w:sz w:val="21"/>
          <w:vertAlign w:val="baseline"/>
        </w:rPr>
        <w:t> </w:t>
      </w:r>
      <w:r>
        <w:rPr>
          <w:sz w:val="21"/>
          <w:vertAlign w:val="baseline"/>
        </w:rPr>
        <w:t>or</w:t>
      </w:r>
      <w:r>
        <w:rPr>
          <w:spacing w:val="-6"/>
          <w:sz w:val="21"/>
          <w:vertAlign w:val="baseline"/>
        </w:rPr>
        <w:t> </w:t>
      </w:r>
      <w:r>
        <w:rPr>
          <w:sz w:val="21"/>
          <w:vertAlign w:val="baseline"/>
        </w:rPr>
        <w:t>safe</w:t>
      </w:r>
      <w:r>
        <w:rPr>
          <w:spacing w:val="-6"/>
          <w:sz w:val="21"/>
          <w:vertAlign w:val="baseline"/>
        </w:rPr>
        <w:t> </w:t>
      </w:r>
      <w:r>
        <w:rPr>
          <w:sz w:val="21"/>
          <w:vertAlign w:val="baseline"/>
        </w:rPr>
        <w:t>enough</w:t>
      </w:r>
      <w:r>
        <w:rPr>
          <w:spacing w:val="-6"/>
          <w:sz w:val="21"/>
          <w:vertAlign w:val="baseline"/>
        </w:rPr>
        <w:t> </w:t>
      </w:r>
      <w:r>
        <w:rPr>
          <w:sz w:val="21"/>
          <w:vertAlign w:val="baseline"/>
        </w:rPr>
        <w:t>to</w:t>
      </w:r>
      <w:r>
        <w:rPr>
          <w:spacing w:val="-6"/>
          <w:sz w:val="21"/>
          <w:vertAlign w:val="baseline"/>
        </w:rPr>
        <w:t> </w:t>
      </w:r>
      <w:r>
        <w:rPr>
          <w:sz w:val="21"/>
          <w:vertAlign w:val="baseline"/>
        </w:rPr>
        <w:t>disclose</w:t>
      </w:r>
      <w:r>
        <w:rPr>
          <w:spacing w:val="-6"/>
          <w:sz w:val="21"/>
          <w:vertAlign w:val="baseline"/>
        </w:rPr>
        <w:t> </w:t>
      </w:r>
      <w:r>
        <w:rPr>
          <w:sz w:val="21"/>
          <w:vertAlign w:val="baseline"/>
        </w:rPr>
        <w:t>their</w:t>
      </w:r>
      <w:r>
        <w:rPr>
          <w:spacing w:val="-6"/>
          <w:sz w:val="21"/>
          <w:vertAlign w:val="baseline"/>
        </w:rPr>
        <w:t> </w:t>
      </w:r>
      <w:r>
        <w:rPr>
          <w:sz w:val="21"/>
          <w:vertAlign w:val="baseline"/>
        </w:rPr>
        <w:t>identity</w:t>
      </w:r>
      <w:r>
        <w:rPr>
          <w:spacing w:val="-6"/>
          <w:sz w:val="21"/>
          <w:vertAlign w:val="baseline"/>
        </w:rPr>
        <w:t> </w:t>
      </w:r>
      <w:r>
        <w:rPr>
          <w:sz w:val="21"/>
          <w:vertAlign w:val="baseline"/>
        </w:rPr>
        <w:t>to</w:t>
      </w:r>
      <w:r>
        <w:rPr>
          <w:spacing w:val="-7"/>
          <w:sz w:val="21"/>
          <w:vertAlign w:val="baseline"/>
        </w:rPr>
        <w:t> </w:t>
      </w:r>
      <w:r>
        <w:rPr>
          <w:sz w:val="21"/>
          <w:vertAlign w:val="baseline"/>
        </w:rPr>
        <w:t>DCF.</w:t>
      </w:r>
      <w:r>
        <w:rPr>
          <w:spacing w:val="-6"/>
          <w:sz w:val="21"/>
          <w:vertAlign w:val="baseline"/>
        </w:rPr>
        <w:t> </w:t>
      </w:r>
      <w:r>
        <w:rPr>
          <w:sz w:val="21"/>
          <w:vertAlign w:val="baseline"/>
        </w:rPr>
        <w:t>Regrettably,</w:t>
      </w:r>
    </w:p>
    <w:p>
      <w:pPr>
        <w:spacing w:after="0" w:line="276" w:lineRule="auto"/>
        <w:jc w:val="both"/>
        <w:rPr>
          <w:sz w:val="21"/>
        </w:rPr>
        <w:sectPr>
          <w:pgSz w:w="12240" w:h="15840"/>
          <w:pgMar w:header="763" w:footer="1041" w:top="1360" w:bottom="1240" w:left="1120" w:right="1340"/>
        </w:sectPr>
      </w:pPr>
    </w:p>
    <w:p>
      <w:pPr>
        <w:spacing w:line="276" w:lineRule="auto" w:before="65"/>
        <w:ind w:left="463" w:right="239" w:firstLine="0"/>
        <w:jc w:val="both"/>
        <w:rPr>
          <w:sz w:val="21"/>
        </w:rPr>
      </w:pPr>
      <w:r>
        <w:rPr>
          <w:sz w:val="21"/>
        </w:rPr>
        <w:t>the child welfare system serves as a pathway for what is known as the “foster care-to-prison pipeline,” a process</w:t>
      </w:r>
      <w:r>
        <w:rPr>
          <w:spacing w:val="-11"/>
          <w:sz w:val="21"/>
        </w:rPr>
        <w:t> </w:t>
      </w:r>
      <w:r>
        <w:rPr>
          <w:sz w:val="21"/>
        </w:rPr>
        <w:t>that</w:t>
      </w:r>
      <w:r>
        <w:rPr>
          <w:spacing w:val="-10"/>
          <w:sz w:val="21"/>
        </w:rPr>
        <w:t> </w:t>
      </w:r>
      <w:r>
        <w:rPr>
          <w:sz w:val="21"/>
        </w:rPr>
        <w:t>funnels</w:t>
      </w:r>
      <w:r>
        <w:rPr>
          <w:spacing w:val="-11"/>
          <w:sz w:val="21"/>
        </w:rPr>
        <w:t> </w:t>
      </w:r>
      <w:r>
        <w:rPr>
          <w:sz w:val="21"/>
        </w:rPr>
        <w:t>children</w:t>
      </w:r>
      <w:r>
        <w:rPr>
          <w:spacing w:val="-10"/>
          <w:sz w:val="21"/>
        </w:rPr>
        <w:t> </w:t>
      </w:r>
      <w:r>
        <w:rPr>
          <w:sz w:val="21"/>
        </w:rPr>
        <w:t>from</w:t>
      </w:r>
      <w:r>
        <w:rPr>
          <w:spacing w:val="-10"/>
          <w:sz w:val="21"/>
        </w:rPr>
        <w:t> </w:t>
      </w:r>
      <w:r>
        <w:rPr>
          <w:sz w:val="21"/>
        </w:rPr>
        <w:t>foster</w:t>
      </w:r>
      <w:r>
        <w:rPr>
          <w:spacing w:val="-11"/>
          <w:sz w:val="21"/>
        </w:rPr>
        <w:t> </w:t>
      </w:r>
      <w:r>
        <w:rPr>
          <w:sz w:val="21"/>
        </w:rPr>
        <w:t>care</w:t>
      </w:r>
      <w:r>
        <w:rPr>
          <w:spacing w:val="-10"/>
          <w:sz w:val="21"/>
        </w:rPr>
        <w:t> </w:t>
      </w:r>
      <w:r>
        <w:rPr>
          <w:sz w:val="21"/>
        </w:rPr>
        <w:t>directly</w:t>
      </w:r>
      <w:r>
        <w:rPr>
          <w:spacing w:val="-10"/>
          <w:sz w:val="21"/>
        </w:rPr>
        <w:t> </w:t>
      </w:r>
      <w:r>
        <w:rPr>
          <w:sz w:val="21"/>
        </w:rPr>
        <w:t>into</w:t>
      </w:r>
      <w:r>
        <w:rPr>
          <w:spacing w:val="-11"/>
          <w:sz w:val="21"/>
        </w:rPr>
        <w:t> </w:t>
      </w:r>
      <w:r>
        <w:rPr>
          <w:sz w:val="21"/>
        </w:rPr>
        <w:t>juvenile</w:t>
      </w:r>
      <w:r>
        <w:rPr>
          <w:spacing w:val="-10"/>
          <w:sz w:val="21"/>
        </w:rPr>
        <w:t> </w:t>
      </w:r>
      <w:r>
        <w:rPr>
          <w:sz w:val="21"/>
        </w:rPr>
        <w:t>detention</w:t>
      </w:r>
      <w:r>
        <w:rPr>
          <w:spacing w:val="-10"/>
          <w:sz w:val="21"/>
        </w:rPr>
        <w:t> </w:t>
      </w:r>
      <w:r>
        <w:rPr>
          <w:sz w:val="21"/>
        </w:rPr>
        <w:t>or</w:t>
      </w:r>
      <w:r>
        <w:rPr>
          <w:spacing w:val="-10"/>
          <w:sz w:val="21"/>
        </w:rPr>
        <w:t> </w:t>
      </w:r>
      <w:r>
        <w:rPr>
          <w:sz w:val="21"/>
        </w:rPr>
        <w:t>adult</w:t>
      </w:r>
      <w:r>
        <w:rPr>
          <w:spacing w:val="-10"/>
          <w:sz w:val="21"/>
        </w:rPr>
        <w:t> </w:t>
      </w:r>
      <w:r>
        <w:rPr>
          <w:sz w:val="21"/>
        </w:rPr>
        <w:t>correctional</w:t>
      </w:r>
      <w:r>
        <w:rPr>
          <w:spacing w:val="-10"/>
          <w:sz w:val="21"/>
        </w:rPr>
        <w:t> </w:t>
      </w:r>
      <w:r>
        <w:rPr>
          <w:sz w:val="21"/>
        </w:rPr>
        <w:t>facilities. </w:t>
      </w:r>
      <w:hyperlink w:history="true" w:anchor="_bookmark363">
        <w:r>
          <w:rPr>
            <w:sz w:val="21"/>
            <w:vertAlign w:val="superscript"/>
          </w:rPr>
          <w:t>47</w:t>
        </w:r>
      </w:hyperlink>
      <w:r>
        <w:rPr>
          <w:sz w:val="21"/>
          <w:vertAlign w:val="baseline"/>
        </w:rPr>
        <w:t>At the national level, by age 17, more than half of all children in foster care have had an encounter with the juvenile legal system, whether through arrest, conviction, or detention.</w:t>
      </w:r>
      <w:hyperlink w:history="true" w:anchor="_bookmark364">
        <w:r>
          <w:rPr>
            <w:sz w:val="21"/>
            <w:vertAlign w:val="superscript"/>
          </w:rPr>
          <w:t>48</w:t>
        </w:r>
      </w:hyperlink>
      <w:r>
        <w:rPr>
          <w:spacing w:val="-2"/>
          <w:sz w:val="21"/>
          <w:vertAlign w:val="baseline"/>
        </w:rPr>
        <w:t> </w:t>
      </w:r>
      <w:r>
        <w:rPr>
          <w:sz w:val="21"/>
          <w:vertAlign w:val="baseline"/>
        </w:rPr>
        <w:t>For those children who have experienced five or more foster placements, there is a 90% chance of involvement with the criminal legal system.</w:t>
      </w:r>
      <w:hyperlink w:history="true" w:anchor="_bookmark365">
        <w:r>
          <w:rPr>
            <w:sz w:val="21"/>
            <w:vertAlign w:val="superscript"/>
          </w:rPr>
          <w:t>49</w:t>
        </w:r>
      </w:hyperlink>
      <w:r>
        <w:rPr>
          <w:spacing w:val="-2"/>
          <w:sz w:val="21"/>
          <w:vertAlign w:val="baseline"/>
        </w:rPr>
        <w:t> </w:t>
      </w:r>
      <w:r>
        <w:rPr>
          <w:sz w:val="21"/>
          <w:vertAlign w:val="baseline"/>
        </w:rPr>
        <w:t>This</w:t>
      </w:r>
      <w:r>
        <w:rPr>
          <w:spacing w:val="-8"/>
          <w:sz w:val="21"/>
          <w:vertAlign w:val="baseline"/>
        </w:rPr>
        <w:t> </w:t>
      </w:r>
      <w:r>
        <w:rPr>
          <w:sz w:val="21"/>
          <w:vertAlign w:val="baseline"/>
        </w:rPr>
        <w:t>phenomenon</w:t>
      </w:r>
      <w:r>
        <w:rPr>
          <w:spacing w:val="-8"/>
          <w:sz w:val="21"/>
          <w:vertAlign w:val="baseline"/>
        </w:rPr>
        <w:t> </w:t>
      </w:r>
      <w:r>
        <w:rPr>
          <w:sz w:val="21"/>
          <w:vertAlign w:val="baseline"/>
        </w:rPr>
        <w:t>impacts</w:t>
      </w:r>
      <w:r>
        <w:rPr>
          <w:spacing w:val="-8"/>
          <w:sz w:val="21"/>
          <w:vertAlign w:val="baseline"/>
        </w:rPr>
        <w:t> </w:t>
      </w:r>
      <w:r>
        <w:rPr>
          <w:sz w:val="21"/>
          <w:vertAlign w:val="baseline"/>
        </w:rPr>
        <w:t>LGBTQ</w:t>
      </w:r>
      <w:r>
        <w:rPr>
          <w:spacing w:val="-8"/>
          <w:sz w:val="21"/>
          <w:vertAlign w:val="baseline"/>
        </w:rPr>
        <w:t> </w:t>
      </w:r>
      <w:r>
        <w:rPr>
          <w:sz w:val="21"/>
          <w:vertAlign w:val="baseline"/>
        </w:rPr>
        <w:t>youth;</w:t>
      </w:r>
      <w:r>
        <w:rPr>
          <w:spacing w:val="-9"/>
          <w:sz w:val="21"/>
          <w:vertAlign w:val="baseline"/>
        </w:rPr>
        <w:t> </w:t>
      </w:r>
      <w:r>
        <w:rPr>
          <w:sz w:val="21"/>
          <w:vertAlign w:val="baseline"/>
        </w:rPr>
        <w:t>specifically,</w:t>
      </w:r>
      <w:r>
        <w:rPr>
          <w:spacing w:val="-8"/>
          <w:sz w:val="21"/>
          <w:vertAlign w:val="baseline"/>
        </w:rPr>
        <w:t> </w:t>
      </w:r>
      <w:r>
        <w:rPr>
          <w:sz w:val="21"/>
          <w:vertAlign w:val="baseline"/>
        </w:rPr>
        <w:t>23%</w:t>
      </w:r>
      <w:r>
        <w:rPr>
          <w:spacing w:val="-8"/>
          <w:sz w:val="21"/>
          <w:vertAlign w:val="baseline"/>
        </w:rPr>
        <w:t> </w:t>
      </w:r>
      <w:r>
        <w:rPr>
          <w:sz w:val="21"/>
          <w:vertAlign w:val="baseline"/>
        </w:rPr>
        <w:t>of</w:t>
      </w:r>
      <w:r>
        <w:rPr>
          <w:spacing w:val="-10"/>
          <w:sz w:val="21"/>
          <w:vertAlign w:val="baseline"/>
        </w:rPr>
        <w:t> </w:t>
      </w:r>
      <w:r>
        <w:rPr>
          <w:sz w:val="21"/>
          <w:vertAlign w:val="baseline"/>
        </w:rPr>
        <w:t>LGBQ</w:t>
      </w:r>
      <w:r>
        <w:rPr>
          <w:spacing w:val="-8"/>
          <w:sz w:val="21"/>
          <w:vertAlign w:val="baseline"/>
        </w:rPr>
        <w:t> </w:t>
      </w:r>
      <w:r>
        <w:rPr>
          <w:sz w:val="21"/>
          <w:vertAlign w:val="baseline"/>
        </w:rPr>
        <w:t>youth</w:t>
      </w:r>
      <w:r>
        <w:rPr>
          <w:spacing w:val="-8"/>
          <w:sz w:val="21"/>
          <w:vertAlign w:val="baseline"/>
        </w:rPr>
        <w:t> </w:t>
      </w:r>
      <w:r>
        <w:rPr>
          <w:sz w:val="21"/>
          <w:vertAlign w:val="baseline"/>
        </w:rPr>
        <w:t>and</w:t>
      </w:r>
      <w:r>
        <w:rPr>
          <w:spacing w:val="-8"/>
          <w:sz w:val="21"/>
          <w:vertAlign w:val="baseline"/>
        </w:rPr>
        <w:t> </w:t>
      </w:r>
      <w:r>
        <w:rPr>
          <w:sz w:val="21"/>
          <w:vertAlign w:val="baseline"/>
        </w:rPr>
        <w:t>20%</w:t>
      </w:r>
      <w:r>
        <w:rPr>
          <w:spacing w:val="-9"/>
          <w:sz w:val="21"/>
          <w:vertAlign w:val="baseline"/>
        </w:rPr>
        <w:t> </w:t>
      </w:r>
      <w:r>
        <w:rPr>
          <w:sz w:val="21"/>
          <w:vertAlign w:val="baseline"/>
        </w:rPr>
        <w:t>of</w:t>
      </w:r>
      <w:r>
        <w:rPr>
          <w:spacing w:val="-8"/>
          <w:sz w:val="21"/>
          <w:vertAlign w:val="baseline"/>
        </w:rPr>
        <w:t> </w:t>
      </w:r>
      <w:r>
        <w:rPr>
          <w:sz w:val="21"/>
          <w:vertAlign w:val="baseline"/>
        </w:rPr>
        <w:t>transgender and gender-nonconforming youth in juvenile detention have reported prior placements in foster or group homes.</w:t>
      </w:r>
      <w:hyperlink w:history="true" w:anchor="_bookmark366">
        <w:r>
          <w:rPr>
            <w:sz w:val="21"/>
            <w:vertAlign w:val="superscript"/>
          </w:rPr>
          <w:t>50</w:t>
        </w:r>
      </w:hyperlink>
      <w:r>
        <w:rPr>
          <w:sz w:val="21"/>
          <w:vertAlign w:val="baseline"/>
        </w:rPr>
        <w:t> Furthermore, the foster care-to-prison pipeline disproportionately affects youth of color, and those with mental health issues.</w:t>
      </w:r>
      <w:hyperlink w:history="true" w:anchor="_bookmark367">
        <w:r>
          <w:rPr>
            <w:sz w:val="21"/>
            <w:vertAlign w:val="superscript"/>
          </w:rPr>
          <w:t>51</w:t>
        </w:r>
      </w:hyperlink>
    </w:p>
    <w:p>
      <w:pPr>
        <w:spacing w:line="276" w:lineRule="auto" w:before="240"/>
        <w:ind w:left="463" w:right="238" w:firstLine="0"/>
        <w:jc w:val="both"/>
        <w:rPr>
          <w:sz w:val="21"/>
        </w:rPr>
      </w:pPr>
      <w:r>
        <w:rPr>
          <w:sz w:val="21"/>
        </w:rPr>
        <w:t>Over the last</w:t>
      </w:r>
      <w:r>
        <w:rPr>
          <w:spacing w:val="-2"/>
          <w:sz w:val="21"/>
        </w:rPr>
        <w:t> </w:t>
      </w:r>
      <w:r>
        <w:rPr>
          <w:sz w:val="21"/>
        </w:rPr>
        <w:t>several years, the Commission has taken</w:t>
      </w:r>
      <w:r>
        <w:rPr>
          <w:spacing w:val="-2"/>
          <w:sz w:val="21"/>
        </w:rPr>
        <w:t> </w:t>
      </w:r>
      <w:r>
        <w:rPr>
          <w:sz w:val="21"/>
        </w:rPr>
        <w:t>a deeper look at the</w:t>
      </w:r>
      <w:r>
        <w:rPr>
          <w:spacing w:val="-1"/>
          <w:sz w:val="21"/>
        </w:rPr>
        <w:t> </w:t>
      </w:r>
      <w:r>
        <w:rPr>
          <w:sz w:val="21"/>
        </w:rPr>
        <w:t>experiences of LGBTQ youth in intersecting</w:t>
      </w:r>
      <w:r>
        <w:rPr>
          <w:spacing w:val="-8"/>
          <w:sz w:val="21"/>
        </w:rPr>
        <w:t> </w:t>
      </w:r>
      <w:r>
        <w:rPr>
          <w:sz w:val="21"/>
        </w:rPr>
        <w:t>systems,</w:t>
      </w:r>
      <w:r>
        <w:rPr>
          <w:spacing w:val="-8"/>
          <w:sz w:val="21"/>
        </w:rPr>
        <w:t> </w:t>
      </w:r>
      <w:r>
        <w:rPr>
          <w:sz w:val="21"/>
        </w:rPr>
        <w:t>including</w:t>
      </w:r>
      <w:r>
        <w:rPr>
          <w:spacing w:val="-8"/>
          <w:sz w:val="21"/>
        </w:rPr>
        <w:t> </w:t>
      </w:r>
      <w:r>
        <w:rPr>
          <w:sz w:val="21"/>
        </w:rPr>
        <w:t>the</w:t>
      </w:r>
      <w:r>
        <w:rPr>
          <w:spacing w:val="-8"/>
          <w:sz w:val="21"/>
        </w:rPr>
        <w:t> </w:t>
      </w:r>
      <w:r>
        <w:rPr>
          <w:sz w:val="21"/>
        </w:rPr>
        <w:t>child</w:t>
      </w:r>
      <w:r>
        <w:rPr>
          <w:spacing w:val="-8"/>
          <w:sz w:val="21"/>
        </w:rPr>
        <w:t> </w:t>
      </w:r>
      <w:r>
        <w:rPr>
          <w:sz w:val="21"/>
        </w:rPr>
        <w:t>welfare</w:t>
      </w:r>
      <w:r>
        <w:rPr>
          <w:spacing w:val="-8"/>
          <w:sz w:val="21"/>
        </w:rPr>
        <w:t> </w:t>
      </w:r>
      <w:r>
        <w:rPr>
          <w:sz w:val="21"/>
        </w:rPr>
        <w:t>system</w:t>
      </w:r>
      <w:r>
        <w:rPr>
          <w:spacing w:val="-8"/>
          <w:sz w:val="21"/>
        </w:rPr>
        <w:t> </w:t>
      </w:r>
      <w:r>
        <w:rPr>
          <w:sz w:val="21"/>
        </w:rPr>
        <w:t>and</w:t>
      </w:r>
      <w:r>
        <w:rPr>
          <w:spacing w:val="-8"/>
          <w:sz w:val="21"/>
        </w:rPr>
        <w:t> </w:t>
      </w:r>
      <w:r>
        <w:rPr>
          <w:sz w:val="21"/>
        </w:rPr>
        <w:t>criminal</w:t>
      </w:r>
      <w:r>
        <w:rPr>
          <w:spacing w:val="-8"/>
          <w:sz w:val="21"/>
        </w:rPr>
        <w:t> </w:t>
      </w:r>
      <w:r>
        <w:rPr>
          <w:sz w:val="21"/>
        </w:rPr>
        <w:t>legal</w:t>
      </w:r>
      <w:r>
        <w:rPr>
          <w:spacing w:val="-8"/>
          <w:sz w:val="21"/>
        </w:rPr>
        <w:t> </w:t>
      </w:r>
      <w:r>
        <w:rPr>
          <w:sz w:val="21"/>
        </w:rPr>
        <w:t>system.</w:t>
      </w:r>
      <w:r>
        <w:rPr>
          <w:spacing w:val="-8"/>
          <w:sz w:val="21"/>
        </w:rPr>
        <w:t> </w:t>
      </w:r>
      <w:r>
        <w:rPr>
          <w:sz w:val="21"/>
        </w:rPr>
        <w:t>In</w:t>
      </w:r>
      <w:r>
        <w:rPr>
          <w:spacing w:val="-8"/>
          <w:sz w:val="21"/>
        </w:rPr>
        <w:t> </w:t>
      </w:r>
      <w:r>
        <w:rPr>
          <w:sz w:val="21"/>
        </w:rPr>
        <w:t>2021,</w:t>
      </w:r>
      <w:r>
        <w:rPr>
          <w:spacing w:val="-8"/>
          <w:sz w:val="21"/>
        </w:rPr>
        <w:t> </w:t>
      </w:r>
      <w:r>
        <w:rPr>
          <w:sz w:val="21"/>
        </w:rPr>
        <w:t>the</w:t>
      </w:r>
      <w:r>
        <w:rPr>
          <w:spacing w:val="-8"/>
          <w:sz w:val="21"/>
        </w:rPr>
        <w:t> </w:t>
      </w:r>
      <w:r>
        <w:rPr>
          <w:sz w:val="21"/>
        </w:rPr>
        <w:t>Commission published a report entitled, “LGBTQ Youth in the Massachusetts Child Welfare System: A Report on Pervasive Threats to</w:t>
      </w:r>
      <w:r>
        <w:rPr>
          <w:spacing w:val="-1"/>
          <w:sz w:val="21"/>
        </w:rPr>
        <w:t> </w:t>
      </w:r>
      <w:r>
        <w:rPr>
          <w:sz w:val="21"/>
        </w:rPr>
        <w:t>Safety, Wellbeing, and Permanency,”</w:t>
      </w:r>
      <w:hyperlink w:history="true" w:anchor="_bookmark368">
        <w:r>
          <w:rPr>
            <w:sz w:val="21"/>
            <w:vertAlign w:val="superscript"/>
          </w:rPr>
          <w:t>52</w:t>
        </w:r>
      </w:hyperlink>
      <w:r>
        <w:rPr>
          <w:spacing w:val="-2"/>
          <w:sz w:val="21"/>
          <w:vertAlign w:val="baseline"/>
        </w:rPr>
        <w:t> </w:t>
      </w:r>
      <w:r>
        <w:rPr>
          <w:sz w:val="21"/>
          <w:vertAlign w:val="baseline"/>
        </w:rPr>
        <w:t>which shed</w:t>
      </w:r>
      <w:r>
        <w:rPr>
          <w:spacing w:val="-1"/>
          <w:sz w:val="21"/>
          <w:vertAlign w:val="baseline"/>
        </w:rPr>
        <w:t> </w:t>
      </w:r>
      <w:r>
        <w:rPr>
          <w:sz w:val="21"/>
          <w:vertAlign w:val="baseline"/>
        </w:rPr>
        <w:t>light on the experiences of LGBTQ youth and their families involved with the Department of Children and Families (DCF). Though approximately</w:t>
      </w:r>
      <w:r>
        <w:rPr>
          <w:spacing w:val="-3"/>
          <w:sz w:val="21"/>
          <w:vertAlign w:val="baseline"/>
        </w:rPr>
        <w:t> </w:t>
      </w:r>
      <w:r>
        <w:rPr>
          <w:sz w:val="21"/>
          <w:vertAlign w:val="baseline"/>
        </w:rPr>
        <w:t>20%</w:t>
      </w:r>
      <w:r>
        <w:rPr>
          <w:spacing w:val="-4"/>
          <w:sz w:val="21"/>
          <w:vertAlign w:val="baseline"/>
        </w:rPr>
        <w:t> </w:t>
      </w:r>
      <w:r>
        <w:rPr>
          <w:sz w:val="21"/>
          <w:vertAlign w:val="baseline"/>
        </w:rPr>
        <w:t>of</w:t>
      </w:r>
      <w:r>
        <w:rPr>
          <w:spacing w:val="-3"/>
          <w:sz w:val="21"/>
          <w:vertAlign w:val="baseline"/>
        </w:rPr>
        <w:t> </w:t>
      </w:r>
      <w:r>
        <w:rPr>
          <w:sz w:val="21"/>
          <w:vertAlign w:val="baseline"/>
        </w:rPr>
        <w:t>the</w:t>
      </w:r>
      <w:r>
        <w:rPr>
          <w:spacing w:val="-4"/>
          <w:sz w:val="21"/>
          <w:vertAlign w:val="baseline"/>
        </w:rPr>
        <w:t> </w:t>
      </w:r>
      <w:r>
        <w:rPr>
          <w:sz w:val="21"/>
          <w:vertAlign w:val="baseline"/>
        </w:rPr>
        <w:t>state's</w:t>
      </w:r>
      <w:r>
        <w:rPr>
          <w:spacing w:val="-3"/>
          <w:sz w:val="21"/>
          <w:vertAlign w:val="baseline"/>
        </w:rPr>
        <w:t> </w:t>
      </w:r>
      <w:r>
        <w:rPr>
          <w:sz w:val="21"/>
          <w:vertAlign w:val="baseline"/>
        </w:rPr>
        <w:t>students</w:t>
      </w:r>
      <w:r>
        <w:rPr>
          <w:spacing w:val="-4"/>
          <w:sz w:val="21"/>
          <w:vertAlign w:val="baseline"/>
        </w:rPr>
        <w:t> </w:t>
      </w:r>
      <w:r>
        <w:rPr>
          <w:sz w:val="21"/>
          <w:vertAlign w:val="baseline"/>
        </w:rPr>
        <w:t>identify</w:t>
      </w:r>
      <w:r>
        <w:rPr>
          <w:spacing w:val="-3"/>
          <w:sz w:val="21"/>
          <w:vertAlign w:val="baseline"/>
        </w:rPr>
        <w:t> </w:t>
      </w:r>
      <w:r>
        <w:rPr>
          <w:sz w:val="21"/>
          <w:vertAlign w:val="baseline"/>
        </w:rPr>
        <w:t>as</w:t>
      </w:r>
      <w:r>
        <w:rPr>
          <w:spacing w:val="-3"/>
          <w:sz w:val="21"/>
          <w:vertAlign w:val="baseline"/>
        </w:rPr>
        <w:t> </w:t>
      </w:r>
      <w:r>
        <w:rPr>
          <w:sz w:val="21"/>
          <w:vertAlign w:val="baseline"/>
        </w:rPr>
        <w:t>LGBTQ,</w:t>
      </w:r>
      <w:r>
        <w:rPr>
          <w:spacing w:val="-3"/>
          <w:sz w:val="21"/>
          <w:vertAlign w:val="baseline"/>
        </w:rPr>
        <w:t> </w:t>
      </w:r>
      <w:r>
        <w:rPr>
          <w:sz w:val="21"/>
          <w:vertAlign w:val="baseline"/>
        </w:rPr>
        <w:t>the</w:t>
      </w:r>
      <w:r>
        <w:rPr>
          <w:spacing w:val="-3"/>
          <w:sz w:val="21"/>
          <w:vertAlign w:val="baseline"/>
        </w:rPr>
        <w:t> </w:t>
      </w:r>
      <w:r>
        <w:rPr>
          <w:sz w:val="21"/>
          <w:vertAlign w:val="baseline"/>
        </w:rPr>
        <w:t>report</w:t>
      </w:r>
      <w:r>
        <w:rPr>
          <w:spacing w:val="-2"/>
          <w:sz w:val="21"/>
          <w:vertAlign w:val="baseline"/>
        </w:rPr>
        <w:t> </w:t>
      </w:r>
      <w:r>
        <w:rPr>
          <w:sz w:val="21"/>
          <w:vertAlign w:val="baseline"/>
        </w:rPr>
        <w:t>found</w:t>
      </w:r>
      <w:r>
        <w:rPr>
          <w:spacing w:val="-3"/>
          <w:sz w:val="21"/>
          <w:vertAlign w:val="baseline"/>
        </w:rPr>
        <w:t> </w:t>
      </w:r>
      <w:r>
        <w:rPr>
          <w:sz w:val="21"/>
          <w:vertAlign w:val="baseline"/>
        </w:rPr>
        <w:t>that</w:t>
      </w:r>
      <w:r>
        <w:rPr>
          <w:spacing w:val="-4"/>
          <w:sz w:val="21"/>
          <w:vertAlign w:val="baseline"/>
        </w:rPr>
        <w:t> </w:t>
      </w:r>
      <w:r>
        <w:rPr>
          <w:sz w:val="21"/>
          <w:vertAlign w:val="baseline"/>
        </w:rPr>
        <w:t>specific</w:t>
      </w:r>
      <w:r>
        <w:rPr>
          <w:spacing w:val="-3"/>
          <w:sz w:val="21"/>
          <w:vertAlign w:val="baseline"/>
        </w:rPr>
        <w:t> </w:t>
      </w:r>
      <w:r>
        <w:rPr>
          <w:sz w:val="21"/>
          <w:vertAlign w:val="baseline"/>
        </w:rPr>
        <w:t>data</w:t>
      </w:r>
      <w:r>
        <w:rPr>
          <w:spacing w:val="-4"/>
          <w:sz w:val="21"/>
          <w:vertAlign w:val="baseline"/>
        </w:rPr>
        <w:t> </w:t>
      </w:r>
      <w:r>
        <w:rPr>
          <w:sz w:val="21"/>
          <w:vertAlign w:val="baseline"/>
        </w:rPr>
        <w:t>on</w:t>
      </w:r>
      <w:r>
        <w:rPr>
          <w:spacing w:val="-3"/>
          <w:sz w:val="21"/>
          <w:vertAlign w:val="baseline"/>
        </w:rPr>
        <w:t> </w:t>
      </w:r>
      <w:r>
        <w:rPr>
          <w:sz w:val="21"/>
          <w:vertAlign w:val="baseline"/>
        </w:rPr>
        <w:t>LGBTQ youth in the</w:t>
      </w:r>
      <w:r>
        <w:rPr>
          <w:spacing w:val="-1"/>
          <w:sz w:val="21"/>
          <w:vertAlign w:val="baseline"/>
        </w:rPr>
        <w:t> </w:t>
      </w:r>
      <w:r>
        <w:rPr>
          <w:sz w:val="21"/>
          <w:vertAlign w:val="baseline"/>
        </w:rPr>
        <w:t>Massachusetts DCF system was scarce.</w:t>
      </w:r>
      <w:hyperlink w:history="true" w:anchor="_bookmark369">
        <w:r>
          <w:rPr>
            <w:sz w:val="21"/>
            <w:vertAlign w:val="superscript"/>
          </w:rPr>
          <w:t>53</w:t>
        </w:r>
      </w:hyperlink>
      <w:r>
        <w:rPr>
          <w:spacing w:val="-2"/>
          <w:sz w:val="21"/>
          <w:vertAlign w:val="baseline"/>
        </w:rPr>
        <w:t> </w:t>
      </w:r>
      <w:r>
        <w:rPr>
          <w:sz w:val="21"/>
          <w:vertAlign w:val="baseline"/>
        </w:rPr>
        <w:t>The report analyzes national studies, public records, the Commission's findings from working with DCF, and anonymous interviews with DCF-involved youth, service providers, foster parents, and advocates.</w:t>
      </w:r>
      <w:hyperlink w:history="true" w:anchor="_bookmark370">
        <w:r>
          <w:rPr>
            <w:sz w:val="21"/>
            <w:vertAlign w:val="superscript"/>
          </w:rPr>
          <w:t>54</w:t>
        </w:r>
      </w:hyperlink>
      <w:r>
        <w:rPr>
          <w:spacing w:val="-2"/>
          <w:sz w:val="21"/>
          <w:vertAlign w:val="baseline"/>
        </w:rPr>
        <w:t> </w:t>
      </w:r>
      <w:r>
        <w:rPr>
          <w:sz w:val="21"/>
          <w:vertAlign w:val="baseline"/>
        </w:rPr>
        <w:t>The report found severe issues within the foster care system, including unsafe environments for LGBTQ youth, barriers</w:t>
      </w:r>
      <w:r>
        <w:rPr>
          <w:spacing w:val="-1"/>
          <w:sz w:val="21"/>
          <w:vertAlign w:val="baseline"/>
        </w:rPr>
        <w:t> </w:t>
      </w:r>
      <w:r>
        <w:rPr>
          <w:sz w:val="21"/>
          <w:vertAlign w:val="baseline"/>
        </w:rPr>
        <w:t>to</w:t>
      </w:r>
      <w:r>
        <w:rPr>
          <w:spacing w:val="-1"/>
          <w:sz w:val="21"/>
          <w:vertAlign w:val="baseline"/>
        </w:rPr>
        <w:t> </w:t>
      </w:r>
      <w:r>
        <w:rPr>
          <w:sz w:val="21"/>
          <w:vertAlign w:val="baseline"/>
        </w:rPr>
        <w:t>accessing necessary medical care and education,</w:t>
      </w:r>
      <w:r>
        <w:rPr>
          <w:spacing w:val="-2"/>
          <w:sz w:val="21"/>
          <w:vertAlign w:val="baseline"/>
        </w:rPr>
        <w:t> </w:t>
      </w:r>
      <w:r>
        <w:rPr>
          <w:sz w:val="21"/>
          <w:vertAlign w:val="baseline"/>
        </w:rPr>
        <w:t>and</w:t>
      </w:r>
      <w:r>
        <w:rPr>
          <w:spacing w:val="-3"/>
          <w:sz w:val="21"/>
          <w:vertAlign w:val="baseline"/>
        </w:rPr>
        <w:t> </w:t>
      </w:r>
      <w:r>
        <w:rPr>
          <w:sz w:val="21"/>
          <w:vertAlign w:val="baseline"/>
        </w:rPr>
        <w:t>challenges</w:t>
      </w:r>
      <w:r>
        <w:rPr>
          <w:spacing w:val="-3"/>
          <w:sz w:val="21"/>
          <w:vertAlign w:val="baseline"/>
        </w:rPr>
        <w:t> </w:t>
      </w:r>
      <w:r>
        <w:rPr>
          <w:sz w:val="21"/>
          <w:vertAlign w:val="baseline"/>
        </w:rPr>
        <w:t>in</w:t>
      </w:r>
      <w:r>
        <w:rPr>
          <w:spacing w:val="-3"/>
          <w:sz w:val="21"/>
          <w:vertAlign w:val="baseline"/>
        </w:rPr>
        <w:t> </w:t>
      </w:r>
      <w:r>
        <w:rPr>
          <w:sz w:val="21"/>
          <w:vertAlign w:val="baseline"/>
        </w:rPr>
        <w:t>achieving</w:t>
      </w:r>
      <w:r>
        <w:rPr>
          <w:spacing w:val="-3"/>
          <w:sz w:val="21"/>
          <w:vertAlign w:val="baseline"/>
        </w:rPr>
        <w:t> </w:t>
      </w:r>
      <w:r>
        <w:rPr>
          <w:sz w:val="21"/>
          <w:vertAlign w:val="baseline"/>
        </w:rPr>
        <w:t>stable,</w:t>
      </w:r>
      <w:r>
        <w:rPr>
          <w:spacing w:val="-2"/>
          <w:sz w:val="21"/>
          <w:vertAlign w:val="baseline"/>
        </w:rPr>
        <w:t> </w:t>
      </w:r>
      <w:r>
        <w:rPr>
          <w:sz w:val="21"/>
          <w:vertAlign w:val="baseline"/>
        </w:rPr>
        <w:t>permanent</w:t>
      </w:r>
      <w:r>
        <w:rPr>
          <w:spacing w:val="-2"/>
          <w:sz w:val="21"/>
          <w:vertAlign w:val="baseline"/>
        </w:rPr>
        <w:t> </w:t>
      </w:r>
      <w:r>
        <w:rPr>
          <w:sz w:val="21"/>
          <w:vertAlign w:val="baseline"/>
        </w:rPr>
        <w:t>living</w:t>
      </w:r>
      <w:r>
        <w:rPr>
          <w:spacing w:val="-3"/>
          <w:sz w:val="21"/>
          <w:vertAlign w:val="baseline"/>
        </w:rPr>
        <w:t> </w:t>
      </w:r>
      <w:r>
        <w:rPr>
          <w:sz w:val="21"/>
          <w:vertAlign w:val="baseline"/>
        </w:rPr>
        <w:t>situations.</w:t>
      </w:r>
      <w:hyperlink w:history="true" w:anchor="_bookmark371">
        <w:r>
          <w:rPr>
            <w:sz w:val="21"/>
            <w:vertAlign w:val="superscript"/>
          </w:rPr>
          <w:t>55</w:t>
        </w:r>
      </w:hyperlink>
      <w:r>
        <w:rPr>
          <w:spacing w:val="-3"/>
          <w:sz w:val="21"/>
          <w:vertAlign w:val="baseline"/>
        </w:rPr>
        <w:t> </w:t>
      </w:r>
      <w:r>
        <w:rPr>
          <w:sz w:val="21"/>
          <w:vertAlign w:val="baseline"/>
        </w:rPr>
        <w:t>Notably,</w:t>
      </w:r>
      <w:r>
        <w:rPr>
          <w:spacing w:val="-2"/>
          <w:sz w:val="21"/>
          <w:vertAlign w:val="baseline"/>
        </w:rPr>
        <w:t> </w:t>
      </w:r>
      <w:r>
        <w:rPr>
          <w:sz w:val="21"/>
          <w:vertAlign w:val="baseline"/>
        </w:rPr>
        <w:t>the</w:t>
      </w:r>
      <w:r>
        <w:rPr>
          <w:spacing w:val="-3"/>
          <w:sz w:val="21"/>
          <w:vertAlign w:val="baseline"/>
        </w:rPr>
        <w:t> </w:t>
      </w:r>
      <w:r>
        <w:rPr>
          <w:sz w:val="21"/>
          <w:vertAlign w:val="baseline"/>
        </w:rPr>
        <w:t>report</w:t>
      </w:r>
      <w:r>
        <w:rPr>
          <w:spacing w:val="-3"/>
          <w:sz w:val="21"/>
          <w:vertAlign w:val="baseline"/>
        </w:rPr>
        <w:t> </w:t>
      </w:r>
      <w:r>
        <w:rPr>
          <w:sz w:val="21"/>
          <w:vertAlign w:val="baseline"/>
        </w:rPr>
        <w:t>concludes that</w:t>
      </w:r>
      <w:r>
        <w:rPr>
          <w:spacing w:val="40"/>
          <w:sz w:val="21"/>
          <w:vertAlign w:val="baseline"/>
        </w:rPr>
        <w:t> </w:t>
      </w:r>
      <w:r>
        <w:rPr>
          <w:sz w:val="21"/>
          <w:vertAlign w:val="baseline"/>
        </w:rPr>
        <w:t>the system has failed to ensure the safety and protection of LGBTQ youth from violence, abuse, and exploitation,</w:t>
      </w:r>
      <w:r>
        <w:rPr>
          <w:spacing w:val="-10"/>
          <w:sz w:val="21"/>
          <w:vertAlign w:val="baseline"/>
        </w:rPr>
        <w:t> </w:t>
      </w:r>
      <w:r>
        <w:rPr>
          <w:sz w:val="21"/>
          <w:vertAlign w:val="baseline"/>
        </w:rPr>
        <w:t>particularly</w:t>
      </w:r>
      <w:r>
        <w:rPr>
          <w:spacing w:val="-10"/>
          <w:sz w:val="21"/>
          <w:vertAlign w:val="baseline"/>
        </w:rPr>
        <w:t> </w:t>
      </w:r>
      <w:r>
        <w:rPr>
          <w:sz w:val="21"/>
          <w:vertAlign w:val="baseline"/>
        </w:rPr>
        <w:t>those</w:t>
      </w:r>
      <w:r>
        <w:rPr>
          <w:spacing w:val="-10"/>
          <w:sz w:val="21"/>
          <w:vertAlign w:val="baseline"/>
        </w:rPr>
        <w:t> </w:t>
      </w:r>
      <w:r>
        <w:rPr>
          <w:sz w:val="21"/>
          <w:vertAlign w:val="baseline"/>
        </w:rPr>
        <w:t>in</w:t>
      </w:r>
      <w:r>
        <w:rPr>
          <w:spacing w:val="-10"/>
          <w:sz w:val="21"/>
          <w:vertAlign w:val="baseline"/>
        </w:rPr>
        <w:t> </w:t>
      </w:r>
      <w:r>
        <w:rPr>
          <w:sz w:val="21"/>
          <w:vertAlign w:val="baseline"/>
        </w:rPr>
        <w:t>congregate</w:t>
      </w:r>
      <w:r>
        <w:rPr>
          <w:spacing w:val="-10"/>
          <w:sz w:val="21"/>
          <w:vertAlign w:val="baseline"/>
        </w:rPr>
        <w:t> </w:t>
      </w:r>
      <w:r>
        <w:rPr>
          <w:sz w:val="21"/>
          <w:vertAlign w:val="baseline"/>
        </w:rPr>
        <w:t>care</w:t>
      </w:r>
      <w:r>
        <w:rPr>
          <w:spacing w:val="-11"/>
          <w:sz w:val="21"/>
          <w:vertAlign w:val="baseline"/>
        </w:rPr>
        <w:t> </w:t>
      </w:r>
      <w:r>
        <w:rPr>
          <w:sz w:val="21"/>
          <w:vertAlign w:val="baseline"/>
        </w:rPr>
        <w:t>settings.</w:t>
      </w:r>
      <w:hyperlink w:history="true" w:anchor="_bookmark372">
        <w:r>
          <w:rPr>
            <w:sz w:val="21"/>
            <w:vertAlign w:val="superscript"/>
          </w:rPr>
          <w:t>56</w:t>
        </w:r>
      </w:hyperlink>
      <w:r>
        <w:rPr>
          <w:spacing w:val="-3"/>
          <w:sz w:val="21"/>
          <w:vertAlign w:val="baseline"/>
        </w:rPr>
        <w:t> </w:t>
      </w:r>
      <w:r>
        <w:rPr>
          <w:sz w:val="21"/>
          <w:vertAlign w:val="baseline"/>
        </w:rPr>
        <w:t>The</w:t>
      </w:r>
      <w:r>
        <w:rPr>
          <w:spacing w:val="-10"/>
          <w:sz w:val="21"/>
          <w:vertAlign w:val="baseline"/>
        </w:rPr>
        <w:t> </w:t>
      </w:r>
      <w:r>
        <w:rPr>
          <w:sz w:val="21"/>
          <w:vertAlign w:val="baseline"/>
        </w:rPr>
        <w:t>Commission</w:t>
      </w:r>
      <w:r>
        <w:rPr>
          <w:spacing w:val="-10"/>
          <w:sz w:val="21"/>
          <w:vertAlign w:val="baseline"/>
        </w:rPr>
        <w:t> </w:t>
      </w:r>
      <w:r>
        <w:rPr>
          <w:sz w:val="21"/>
          <w:vertAlign w:val="baseline"/>
        </w:rPr>
        <w:t>uncovered</w:t>
      </w:r>
      <w:r>
        <w:rPr>
          <w:spacing w:val="-10"/>
          <w:sz w:val="21"/>
          <w:vertAlign w:val="baseline"/>
        </w:rPr>
        <w:t> </w:t>
      </w:r>
      <w:r>
        <w:rPr>
          <w:sz w:val="21"/>
          <w:vertAlign w:val="baseline"/>
        </w:rPr>
        <w:t>significant</w:t>
      </w:r>
      <w:r>
        <w:rPr>
          <w:spacing w:val="-10"/>
          <w:sz w:val="21"/>
          <w:vertAlign w:val="baseline"/>
        </w:rPr>
        <w:t> </w:t>
      </w:r>
      <w:r>
        <w:rPr>
          <w:sz w:val="21"/>
          <w:vertAlign w:val="baseline"/>
        </w:rPr>
        <w:t>threats to</w:t>
      </w:r>
      <w:r>
        <w:rPr>
          <w:spacing w:val="-2"/>
          <w:sz w:val="21"/>
          <w:vertAlign w:val="baseline"/>
        </w:rPr>
        <w:t> </w:t>
      </w:r>
      <w:r>
        <w:rPr>
          <w:sz w:val="21"/>
          <w:vertAlign w:val="baseline"/>
        </w:rPr>
        <w:t>the</w:t>
      </w:r>
      <w:r>
        <w:rPr>
          <w:spacing w:val="-3"/>
          <w:sz w:val="21"/>
          <w:vertAlign w:val="baseline"/>
        </w:rPr>
        <w:t> </w:t>
      </w:r>
      <w:r>
        <w:rPr>
          <w:sz w:val="21"/>
          <w:vertAlign w:val="baseline"/>
        </w:rPr>
        <w:t>wellbeing</w:t>
      </w:r>
      <w:r>
        <w:rPr>
          <w:spacing w:val="-2"/>
          <w:sz w:val="21"/>
          <w:vertAlign w:val="baseline"/>
        </w:rPr>
        <w:t> </w:t>
      </w:r>
      <w:r>
        <w:rPr>
          <w:sz w:val="21"/>
          <w:vertAlign w:val="baseline"/>
        </w:rPr>
        <w:t>of</w:t>
      </w:r>
      <w:r>
        <w:rPr>
          <w:spacing w:val="-2"/>
          <w:sz w:val="21"/>
          <w:vertAlign w:val="baseline"/>
        </w:rPr>
        <w:t> </w:t>
      </w:r>
      <w:r>
        <w:rPr>
          <w:sz w:val="21"/>
          <w:vertAlign w:val="baseline"/>
        </w:rPr>
        <w:t>these</w:t>
      </w:r>
      <w:r>
        <w:rPr>
          <w:spacing w:val="-2"/>
          <w:sz w:val="21"/>
          <w:vertAlign w:val="baseline"/>
        </w:rPr>
        <w:t> </w:t>
      </w:r>
      <w:r>
        <w:rPr>
          <w:sz w:val="21"/>
          <w:vertAlign w:val="baseline"/>
        </w:rPr>
        <w:t>youths,</w:t>
      </w:r>
      <w:r>
        <w:rPr>
          <w:spacing w:val="-1"/>
          <w:sz w:val="21"/>
          <w:vertAlign w:val="baseline"/>
        </w:rPr>
        <w:t> </w:t>
      </w:r>
      <w:r>
        <w:rPr>
          <w:sz w:val="21"/>
          <w:vertAlign w:val="baseline"/>
        </w:rPr>
        <w:t>including</w:t>
      </w:r>
      <w:r>
        <w:rPr>
          <w:spacing w:val="-2"/>
          <w:sz w:val="21"/>
          <w:vertAlign w:val="baseline"/>
        </w:rPr>
        <w:t> </w:t>
      </w:r>
      <w:r>
        <w:rPr>
          <w:sz w:val="21"/>
          <w:vertAlign w:val="baseline"/>
        </w:rPr>
        <w:t>extensive</w:t>
      </w:r>
      <w:r>
        <w:rPr>
          <w:spacing w:val="-2"/>
          <w:sz w:val="21"/>
          <w:vertAlign w:val="baseline"/>
        </w:rPr>
        <w:t> </w:t>
      </w:r>
      <w:r>
        <w:rPr>
          <w:sz w:val="21"/>
          <w:vertAlign w:val="baseline"/>
        </w:rPr>
        <w:t>delays</w:t>
      </w:r>
      <w:r>
        <w:rPr>
          <w:spacing w:val="-2"/>
          <w:sz w:val="21"/>
          <w:vertAlign w:val="baseline"/>
        </w:rPr>
        <w:t> </w:t>
      </w:r>
      <w:r>
        <w:rPr>
          <w:sz w:val="21"/>
          <w:vertAlign w:val="baseline"/>
        </w:rPr>
        <w:t>in</w:t>
      </w:r>
      <w:r>
        <w:rPr>
          <w:spacing w:val="-2"/>
          <w:sz w:val="21"/>
          <w:vertAlign w:val="baseline"/>
        </w:rPr>
        <w:t> </w:t>
      </w:r>
      <w:r>
        <w:rPr>
          <w:sz w:val="21"/>
          <w:vertAlign w:val="baseline"/>
        </w:rPr>
        <w:t>obtaining</w:t>
      </w:r>
      <w:r>
        <w:rPr>
          <w:spacing w:val="-2"/>
          <w:sz w:val="21"/>
          <w:vertAlign w:val="baseline"/>
        </w:rPr>
        <w:t> </w:t>
      </w:r>
      <w:r>
        <w:rPr>
          <w:sz w:val="21"/>
          <w:vertAlign w:val="baseline"/>
        </w:rPr>
        <w:t>medically</w:t>
      </w:r>
      <w:r>
        <w:rPr>
          <w:spacing w:val="-2"/>
          <w:sz w:val="21"/>
          <w:vertAlign w:val="baseline"/>
        </w:rPr>
        <w:t> </w:t>
      </w:r>
      <w:r>
        <w:rPr>
          <w:sz w:val="21"/>
          <w:vertAlign w:val="baseline"/>
        </w:rPr>
        <w:t>necessary</w:t>
      </w:r>
      <w:r>
        <w:rPr>
          <w:spacing w:val="-2"/>
          <w:sz w:val="21"/>
          <w:vertAlign w:val="baseline"/>
        </w:rPr>
        <w:t> </w:t>
      </w:r>
      <w:r>
        <w:rPr>
          <w:sz w:val="21"/>
          <w:vertAlign w:val="baseline"/>
        </w:rPr>
        <w:t>care,</w:t>
      </w:r>
      <w:r>
        <w:rPr>
          <w:spacing w:val="-1"/>
          <w:sz w:val="21"/>
          <w:vertAlign w:val="baseline"/>
        </w:rPr>
        <w:t> </w:t>
      </w:r>
      <w:r>
        <w:rPr>
          <w:sz w:val="21"/>
          <w:vertAlign w:val="baseline"/>
        </w:rPr>
        <w:t>barriers to</w:t>
      </w:r>
      <w:r>
        <w:rPr>
          <w:spacing w:val="-2"/>
          <w:sz w:val="21"/>
          <w:vertAlign w:val="baseline"/>
        </w:rPr>
        <w:t> </w:t>
      </w:r>
      <w:r>
        <w:rPr>
          <w:sz w:val="21"/>
          <w:vertAlign w:val="baseline"/>
        </w:rPr>
        <w:t>education,</w:t>
      </w:r>
      <w:r>
        <w:rPr>
          <w:spacing w:val="-3"/>
          <w:sz w:val="21"/>
          <w:vertAlign w:val="baseline"/>
        </w:rPr>
        <w:t> </w:t>
      </w:r>
      <w:r>
        <w:rPr>
          <w:sz w:val="21"/>
          <w:vertAlign w:val="baseline"/>
        </w:rPr>
        <w:t>and</w:t>
      </w:r>
      <w:r>
        <w:rPr>
          <w:spacing w:val="-2"/>
          <w:sz w:val="21"/>
          <w:vertAlign w:val="baseline"/>
        </w:rPr>
        <w:t> </w:t>
      </w:r>
      <w:r>
        <w:rPr>
          <w:sz w:val="21"/>
          <w:vertAlign w:val="baseline"/>
        </w:rPr>
        <w:t>a</w:t>
      </w:r>
      <w:r>
        <w:rPr>
          <w:spacing w:val="-3"/>
          <w:sz w:val="21"/>
          <w:vertAlign w:val="baseline"/>
        </w:rPr>
        <w:t> </w:t>
      </w:r>
      <w:r>
        <w:rPr>
          <w:sz w:val="21"/>
          <w:vertAlign w:val="baseline"/>
        </w:rPr>
        <w:t>widespread</w:t>
      </w:r>
      <w:r>
        <w:rPr>
          <w:spacing w:val="-2"/>
          <w:sz w:val="21"/>
          <w:vertAlign w:val="baseline"/>
        </w:rPr>
        <w:t> </w:t>
      </w:r>
      <w:r>
        <w:rPr>
          <w:sz w:val="21"/>
          <w:vertAlign w:val="baseline"/>
        </w:rPr>
        <w:t>invalidation</w:t>
      </w:r>
      <w:r>
        <w:rPr>
          <w:spacing w:val="-2"/>
          <w:sz w:val="21"/>
          <w:vertAlign w:val="baseline"/>
        </w:rPr>
        <w:t> </w:t>
      </w:r>
      <w:r>
        <w:rPr>
          <w:sz w:val="21"/>
          <w:vertAlign w:val="baseline"/>
        </w:rPr>
        <w:t>of</w:t>
      </w:r>
      <w:r>
        <w:rPr>
          <w:spacing w:val="-2"/>
          <w:sz w:val="21"/>
          <w:vertAlign w:val="baseline"/>
        </w:rPr>
        <w:t> </w:t>
      </w:r>
      <w:r>
        <w:rPr>
          <w:sz w:val="21"/>
          <w:vertAlign w:val="baseline"/>
        </w:rPr>
        <w:t>LGBTQ</w:t>
      </w:r>
      <w:r>
        <w:rPr>
          <w:spacing w:val="-2"/>
          <w:sz w:val="21"/>
          <w:vertAlign w:val="baseline"/>
        </w:rPr>
        <w:t> </w:t>
      </w:r>
      <w:r>
        <w:rPr>
          <w:sz w:val="21"/>
          <w:vertAlign w:val="baseline"/>
        </w:rPr>
        <w:t>identities.</w:t>
      </w:r>
      <w:r>
        <w:rPr>
          <w:spacing w:val="-2"/>
          <w:sz w:val="21"/>
          <w:vertAlign w:val="baseline"/>
        </w:rPr>
        <w:t> </w:t>
      </w:r>
      <w:r>
        <w:rPr>
          <w:sz w:val="21"/>
          <w:vertAlign w:val="baseline"/>
        </w:rPr>
        <w:t>It</w:t>
      </w:r>
      <w:r>
        <w:rPr>
          <w:spacing w:val="-3"/>
          <w:sz w:val="21"/>
          <w:vertAlign w:val="baseline"/>
        </w:rPr>
        <w:t> </w:t>
      </w:r>
      <w:r>
        <w:rPr>
          <w:sz w:val="21"/>
          <w:vertAlign w:val="baseline"/>
        </w:rPr>
        <w:t>also</w:t>
      </w:r>
      <w:r>
        <w:rPr>
          <w:spacing w:val="-2"/>
          <w:sz w:val="21"/>
          <w:vertAlign w:val="baseline"/>
        </w:rPr>
        <w:t> </w:t>
      </w:r>
      <w:r>
        <w:rPr>
          <w:sz w:val="21"/>
          <w:vertAlign w:val="baseline"/>
        </w:rPr>
        <w:t>noted</w:t>
      </w:r>
      <w:r>
        <w:rPr>
          <w:spacing w:val="-2"/>
          <w:sz w:val="21"/>
          <w:vertAlign w:val="baseline"/>
        </w:rPr>
        <w:t> </w:t>
      </w:r>
      <w:r>
        <w:rPr>
          <w:sz w:val="21"/>
          <w:vertAlign w:val="baseline"/>
        </w:rPr>
        <w:t>poor</w:t>
      </w:r>
      <w:r>
        <w:rPr>
          <w:spacing w:val="-2"/>
          <w:sz w:val="21"/>
          <w:vertAlign w:val="baseline"/>
        </w:rPr>
        <w:t> </w:t>
      </w:r>
      <w:r>
        <w:rPr>
          <w:sz w:val="21"/>
          <w:vertAlign w:val="baseline"/>
        </w:rPr>
        <w:t>permanency</w:t>
      </w:r>
      <w:r>
        <w:rPr>
          <w:spacing w:val="-3"/>
          <w:sz w:val="21"/>
          <w:vertAlign w:val="baseline"/>
        </w:rPr>
        <w:t> </w:t>
      </w:r>
      <w:r>
        <w:rPr>
          <w:sz w:val="21"/>
          <w:vertAlign w:val="baseline"/>
        </w:rPr>
        <w:t>outcomes for LGBTQ foster youth, characterized by inappropriate placements, frequent moves, and difficult transitions into adulthood. The damage resulting from these failures is profound and, in some cases, irreversible, disproportionately affecting Black and Brown youth as well as transgender youth due to disparate access to resources and ongoing biases within the child welfare system.</w:t>
      </w:r>
    </w:p>
    <w:p>
      <w:pPr>
        <w:spacing w:line="276" w:lineRule="auto" w:before="240"/>
        <w:ind w:left="464" w:right="239" w:firstLine="0"/>
        <w:jc w:val="both"/>
        <w:rPr>
          <w:sz w:val="21"/>
        </w:rPr>
      </w:pPr>
      <w:r>
        <w:rPr>
          <w:sz w:val="21"/>
        </w:rPr>
        <w:t>Fortunately,</w:t>
      </w:r>
      <w:r>
        <w:rPr>
          <w:spacing w:val="-4"/>
          <w:sz w:val="21"/>
        </w:rPr>
        <w:t> </w:t>
      </w:r>
      <w:r>
        <w:rPr>
          <w:sz w:val="21"/>
        </w:rPr>
        <w:t>DCF</w:t>
      </w:r>
      <w:r>
        <w:rPr>
          <w:spacing w:val="-5"/>
          <w:sz w:val="21"/>
        </w:rPr>
        <w:t> </w:t>
      </w:r>
      <w:r>
        <w:rPr>
          <w:sz w:val="21"/>
        </w:rPr>
        <w:t>has</w:t>
      </w:r>
      <w:r>
        <w:rPr>
          <w:spacing w:val="-5"/>
          <w:sz w:val="21"/>
        </w:rPr>
        <w:t> </w:t>
      </w:r>
      <w:r>
        <w:rPr>
          <w:sz w:val="21"/>
        </w:rPr>
        <w:t>made</w:t>
      </w:r>
      <w:r>
        <w:rPr>
          <w:spacing w:val="-4"/>
          <w:sz w:val="21"/>
        </w:rPr>
        <w:t> </w:t>
      </w:r>
      <w:r>
        <w:rPr>
          <w:sz w:val="21"/>
        </w:rPr>
        <w:t>significant</w:t>
      </w:r>
      <w:r>
        <w:rPr>
          <w:spacing w:val="-4"/>
          <w:sz w:val="21"/>
        </w:rPr>
        <w:t> </w:t>
      </w:r>
      <w:r>
        <w:rPr>
          <w:sz w:val="21"/>
        </w:rPr>
        <w:t>progress</w:t>
      </w:r>
      <w:r>
        <w:rPr>
          <w:spacing w:val="-5"/>
          <w:sz w:val="21"/>
        </w:rPr>
        <w:t> </w:t>
      </w:r>
      <w:r>
        <w:rPr>
          <w:sz w:val="21"/>
        </w:rPr>
        <w:t>since</w:t>
      </w:r>
      <w:r>
        <w:rPr>
          <w:spacing w:val="-4"/>
          <w:sz w:val="21"/>
        </w:rPr>
        <w:t> </w:t>
      </w:r>
      <w:r>
        <w:rPr>
          <w:sz w:val="21"/>
        </w:rPr>
        <w:t>the</w:t>
      </w:r>
      <w:r>
        <w:rPr>
          <w:spacing w:val="-4"/>
          <w:sz w:val="21"/>
        </w:rPr>
        <w:t> </w:t>
      </w:r>
      <w:r>
        <w:rPr>
          <w:sz w:val="21"/>
        </w:rPr>
        <w:t>release</w:t>
      </w:r>
      <w:r>
        <w:rPr>
          <w:spacing w:val="-4"/>
          <w:sz w:val="21"/>
        </w:rPr>
        <w:t> </w:t>
      </w:r>
      <w:r>
        <w:rPr>
          <w:sz w:val="21"/>
        </w:rPr>
        <w:t>of</w:t>
      </w:r>
      <w:r>
        <w:rPr>
          <w:spacing w:val="-5"/>
          <w:sz w:val="21"/>
        </w:rPr>
        <w:t> </w:t>
      </w:r>
      <w:r>
        <w:rPr>
          <w:sz w:val="21"/>
        </w:rPr>
        <w:t>the</w:t>
      </w:r>
      <w:r>
        <w:rPr>
          <w:spacing w:val="-4"/>
          <w:sz w:val="21"/>
        </w:rPr>
        <w:t> </w:t>
      </w:r>
      <w:r>
        <w:rPr>
          <w:sz w:val="21"/>
        </w:rPr>
        <w:t>Commission’s</w:t>
      </w:r>
      <w:r>
        <w:rPr>
          <w:spacing w:val="-4"/>
          <w:sz w:val="21"/>
        </w:rPr>
        <w:t> </w:t>
      </w:r>
      <w:r>
        <w:rPr>
          <w:sz w:val="21"/>
        </w:rPr>
        <w:t>report.</w:t>
      </w:r>
      <w:r>
        <w:rPr>
          <w:spacing w:val="-5"/>
          <w:sz w:val="21"/>
        </w:rPr>
        <w:t> </w:t>
      </w:r>
      <w:r>
        <w:rPr>
          <w:sz w:val="21"/>
        </w:rPr>
        <w:t>Over</w:t>
      </w:r>
      <w:r>
        <w:rPr>
          <w:spacing w:val="-4"/>
          <w:sz w:val="21"/>
        </w:rPr>
        <w:t> </w:t>
      </w:r>
      <w:r>
        <w:rPr>
          <w:sz w:val="21"/>
        </w:rPr>
        <w:t>the</w:t>
      </w:r>
      <w:r>
        <w:rPr>
          <w:spacing w:val="-4"/>
          <w:sz w:val="21"/>
        </w:rPr>
        <w:t> </w:t>
      </w:r>
      <w:r>
        <w:rPr>
          <w:sz w:val="21"/>
        </w:rPr>
        <w:t>past three years, the Department of Children and Families (DCF) has significantly improved its practices for collecting Sexual Orientation and Gender Identity (SOGI) data, with much of this data being included in its quarterly reports since early fiscal year 2023. During a</w:t>
      </w:r>
      <w:r>
        <w:rPr>
          <w:spacing w:val="-1"/>
          <w:sz w:val="21"/>
        </w:rPr>
        <w:t> </w:t>
      </w:r>
      <w:r>
        <w:rPr>
          <w:sz w:val="21"/>
        </w:rPr>
        <w:t>meeting in February 2024, the Commission learned that DCF is developing an LGBTQ training program to be hosted on MassAchieve, the state employee training</w:t>
      </w:r>
      <w:r>
        <w:rPr>
          <w:spacing w:val="-11"/>
          <w:sz w:val="21"/>
        </w:rPr>
        <w:t> </w:t>
      </w:r>
      <w:r>
        <w:rPr>
          <w:sz w:val="21"/>
        </w:rPr>
        <w:t>platform.</w:t>
      </w:r>
      <w:r>
        <w:rPr>
          <w:spacing w:val="-10"/>
          <w:sz w:val="21"/>
        </w:rPr>
        <w:t> </w:t>
      </w:r>
      <w:r>
        <w:rPr>
          <w:sz w:val="21"/>
        </w:rPr>
        <w:t>This</w:t>
      </w:r>
      <w:r>
        <w:rPr>
          <w:spacing w:val="-11"/>
          <w:sz w:val="21"/>
        </w:rPr>
        <w:t> </w:t>
      </w:r>
      <w:r>
        <w:rPr>
          <w:sz w:val="21"/>
        </w:rPr>
        <w:t>program</w:t>
      </w:r>
      <w:r>
        <w:rPr>
          <w:spacing w:val="-10"/>
          <w:sz w:val="21"/>
        </w:rPr>
        <w:t> </w:t>
      </w:r>
      <w:r>
        <w:rPr>
          <w:sz w:val="21"/>
        </w:rPr>
        <w:t>will</w:t>
      </w:r>
      <w:r>
        <w:rPr>
          <w:spacing w:val="-10"/>
          <w:sz w:val="21"/>
        </w:rPr>
        <w:t> </w:t>
      </w:r>
      <w:r>
        <w:rPr>
          <w:sz w:val="21"/>
        </w:rPr>
        <w:t>include</w:t>
      </w:r>
      <w:r>
        <w:rPr>
          <w:spacing w:val="-10"/>
          <w:sz w:val="21"/>
        </w:rPr>
        <w:t> </w:t>
      </w:r>
      <w:r>
        <w:rPr>
          <w:sz w:val="21"/>
        </w:rPr>
        <w:t>discussions</w:t>
      </w:r>
      <w:r>
        <w:rPr>
          <w:spacing w:val="-11"/>
          <w:sz w:val="21"/>
        </w:rPr>
        <w:t> </w:t>
      </w:r>
      <w:r>
        <w:rPr>
          <w:sz w:val="21"/>
        </w:rPr>
        <w:t>at</w:t>
      </w:r>
      <w:r>
        <w:rPr>
          <w:spacing w:val="-10"/>
          <w:sz w:val="21"/>
        </w:rPr>
        <w:t> </w:t>
      </w:r>
      <w:r>
        <w:rPr>
          <w:sz w:val="21"/>
        </w:rPr>
        <w:t>all</w:t>
      </w:r>
      <w:r>
        <w:rPr>
          <w:spacing w:val="-12"/>
          <w:sz w:val="21"/>
        </w:rPr>
        <w:t> </w:t>
      </w:r>
      <w:r>
        <w:rPr>
          <w:sz w:val="21"/>
        </w:rPr>
        <w:t>area</w:t>
      </w:r>
      <w:r>
        <w:rPr>
          <w:spacing w:val="-11"/>
          <w:sz w:val="21"/>
        </w:rPr>
        <w:t> </w:t>
      </w:r>
      <w:r>
        <w:rPr>
          <w:sz w:val="21"/>
        </w:rPr>
        <w:t>offices</w:t>
      </w:r>
      <w:r>
        <w:rPr>
          <w:spacing w:val="-11"/>
          <w:sz w:val="21"/>
        </w:rPr>
        <w:t> </w:t>
      </w:r>
      <w:r>
        <w:rPr>
          <w:sz w:val="21"/>
        </w:rPr>
        <w:t>to</w:t>
      </w:r>
      <w:r>
        <w:rPr>
          <w:spacing w:val="-11"/>
          <w:sz w:val="21"/>
        </w:rPr>
        <w:t> </w:t>
      </w:r>
      <w:r>
        <w:rPr>
          <w:sz w:val="21"/>
        </w:rPr>
        <w:t>guarantee</w:t>
      </w:r>
      <w:r>
        <w:rPr>
          <w:spacing w:val="-10"/>
          <w:sz w:val="21"/>
        </w:rPr>
        <w:t> </w:t>
      </w:r>
      <w:r>
        <w:rPr>
          <w:sz w:val="21"/>
        </w:rPr>
        <w:t>both</w:t>
      </w:r>
      <w:r>
        <w:rPr>
          <w:spacing w:val="-10"/>
          <w:sz w:val="21"/>
        </w:rPr>
        <w:t> </w:t>
      </w:r>
      <w:r>
        <w:rPr>
          <w:sz w:val="21"/>
        </w:rPr>
        <w:t>compliance</w:t>
      </w:r>
      <w:r>
        <w:rPr>
          <w:spacing w:val="-10"/>
          <w:sz w:val="21"/>
        </w:rPr>
        <w:t> </w:t>
      </w:r>
      <w:r>
        <w:rPr>
          <w:sz w:val="21"/>
        </w:rPr>
        <w:t>and understanding. The newly established LGBTQIA+ Office at DCF will lead these discussions in collaboration with</w:t>
      </w:r>
      <w:r>
        <w:rPr>
          <w:spacing w:val="-6"/>
          <w:sz w:val="21"/>
        </w:rPr>
        <w:t> </w:t>
      </w:r>
      <w:r>
        <w:rPr>
          <w:sz w:val="21"/>
        </w:rPr>
        <w:t>the</w:t>
      </w:r>
      <w:r>
        <w:rPr>
          <w:spacing w:val="-6"/>
          <w:sz w:val="21"/>
        </w:rPr>
        <w:t> </w:t>
      </w:r>
      <w:r>
        <w:rPr>
          <w:sz w:val="21"/>
        </w:rPr>
        <w:t>leadership</w:t>
      </w:r>
      <w:r>
        <w:rPr>
          <w:spacing w:val="-6"/>
          <w:sz w:val="21"/>
        </w:rPr>
        <w:t> </w:t>
      </w:r>
      <w:r>
        <w:rPr>
          <w:sz w:val="21"/>
        </w:rPr>
        <w:t>and</w:t>
      </w:r>
      <w:r>
        <w:rPr>
          <w:spacing w:val="-6"/>
          <w:sz w:val="21"/>
        </w:rPr>
        <w:t> </w:t>
      </w:r>
      <w:r>
        <w:rPr>
          <w:sz w:val="21"/>
        </w:rPr>
        <w:t>training</w:t>
      </w:r>
      <w:r>
        <w:rPr>
          <w:spacing w:val="-6"/>
          <w:sz w:val="21"/>
        </w:rPr>
        <w:t> </w:t>
      </w:r>
      <w:r>
        <w:rPr>
          <w:sz w:val="21"/>
        </w:rPr>
        <w:t>teams</w:t>
      </w:r>
      <w:r>
        <w:rPr>
          <w:spacing w:val="-6"/>
          <w:sz w:val="21"/>
        </w:rPr>
        <w:t> </w:t>
      </w:r>
      <w:r>
        <w:rPr>
          <w:sz w:val="21"/>
        </w:rPr>
        <w:t>of</w:t>
      </w:r>
      <w:r>
        <w:rPr>
          <w:spacing w:val="-6"/>
          <w:sz w:val="21"/>
        </w:rPr>
        <w:t> </w:t>
      </w:r>
      <w:r>
        <w:rPr>
          <w:sz w:val="21"/>
        </w:rPr>
        <w:t>the</w:t>
      </w:r>
      <w:r>
        <w:rPr>
          <w:spacing w:val="-6"/>
          <w:sz w:val="21"/>
        </w:rPr>
        <w:t> </w:t>
      </w:r>
      <w:r>
        <w:rPr>
          <w:sz w:val="21"/>
        </w:rPr>
        <w:t>area</w:t>
      </w:r>
      <w:r>
        <w:rPr>
          <w:spacing w:val="-5"/>
          <w:sz w:val="21"/>
        </w:rPr>
        <w:t> </w:t>
      </w:r>
      <w:r>
        <w:rPr>
          <w:sz w:val="21"/>
        </w:rPr>
        <w:t>offices.</w:t>
      </w:r>
      <w:r>
        <w:rPr>
          <w:spacing w:val="-6"/>
          <w:sz w:val="21"/>
        </w:rPr>
        <w:t> </w:t>
      </w:r>
      <w:r>
        <w:rPr>
          <w:sz w:val="21"/>
        </w:rPr>
        <w:t>In</w:t>
      </w:r>
      <w:r>
        <w:rPr>
          <w:spacing w:val="-6"/>
          <w:sz w:val="21"/>
        </w:rPr>
        <w:t> </w:t>
      </w:r>
      <w:r>
        <w:rPr>
          <w:sz w:val="21"/>
        </w:rPr>
        <w:t>addition,</w:t>
      </w:r>
      <w:r>
        <w:rPr>
          <w:spacing w:val="-5"/>
          <w:sz w:val="21"/>
        </w:rPr>
        <w:t> </w:t>
      </w:r>
      <w:r>
        <w:rPr>
          <w:sz w:val="21"/>
        </w:rPr>
        <w:t>DCF</w:t>
      </w:r>
      <w:r>
        <w:rPr>
          <w:spacing w:val="-6"/>
          <w:sz w:val="21"/>
        </w:rPr>
        <w:t> </w:t>
      </w:r>
      <w:r>
        <w:rPr>
          <w:sz w:val="21"/>
        </w:rPr>
        <w:t>has</w:t>
      </w:r>
      <w:r>
        <w:rPr>
          <w:spacing w:val="-6"/>
          <w:sz w:val="21"/>
        </w:rPr>
        <w:t> </w:t>
      </w:r>
      <w:r>
        <w:rPr>
          <w:sz w:val="21"/>
        </w:rPr>
        <w:t>made</w:t>
      </w:r>
      <w:r>
        <w:rPr>
          <w:spacing w:val="-6"/>
          <w:sz w:val="21"/>
        </w:rPr>
        <w:t> </w:t>
      </w:r>
      <w:r>
        <w:rPr>
          <w:sz w:val="21"/>
        </w:rPr>
        <w:t>significant</w:t>
      </w:r>
      <w:r>
        <w:rPr>
          <w:spacing w:val="-5"/>
          <w:sz w:val="21"/>
        </w:rPr>
        <w:t> </w:t>
      </w:r>
      <w:r>
        <w:rPr>
          <w:sz w:val="21"/>
        </w:rPr>
        <w:t>progress</w:t>
      </w:r>
      <w:r>
        <w:rPr>
          <w:spacing w:val="-6"/>
          <w:sz w:val="21"/>
        </w:rPr>
        <w:t> </w:t>
      </w:r>
      <w:r>
        <w:rPr>
          <w:sz w:val="21"/>
        </w:rPr>
        <w:t>in implementing LGBTQ-inclusive policies over the last four years and remains committed to continually assessing the effectiveness of these policies. Currently, DCF is reviewing its Gender-Affirming Medication Consent Policy, introduced in 2021, to update and clarify its language to address some ongoing issues and </w:t>
      </w:r>
      <w:r>
        <w:rPr>
          <w:spacing w:val="-2"/>
          <w:sz w:val="21"/>
        </w:rPr>
        <w:t>obstacles.</w:t>
      </w:r>
    </w:p>
    <w:p>
      <w:pPr>
        <w:spacing w:after="0" w:line="276" w:lineRule="auto"/>
        <w:jc w:val="both"/>
        <w:rPr>
          <w:sz w:val="21"/>
        </w:rPr>
        <w:sectPr>
          <w:pgSz w:w="12240" w:h="15840"/>
          <w:pgMar w:header="763" w:footer="1041" w:top="1360" w:bottom="1240" w:left="1120" w:right="1340"/>
        </w:sectPr>
      </w:pPr>
    </w:p>
    <w:p>
      <w:pPr>
        <w:spacing w:line="276" w:lineRule="auto" w:before="65"/>
        <w:ind w:left="463" w:right="239" w:firstLine="0"/>
        <w:jc w:val="both"/>
        <w:rPr>
          <w:sz w:val="21"/>
        </w:rPr>
      </w:pPr>
      <w:r>
        <w:rPr>
          <w:sz w:val="21"/>
        </w:rPr>
        <w:t>Despite</w:t>
      </w:r>
      <w:r>
        <w:rPr>
          <w:spacing w:val="-4"/>
          <w:sz w:val="21"/>
        </w:rPr>
        <w:t> </w:t>
      </w:r>
      <w:r>
        <w:rPr>
          <w:sz w:val="21"/>
        </w:rPr>
        <w:t>the</w:t>
      </w:r>
      <w:r>
        <w:rPr>
          <w:spacing w:val="-5"/>
          <w:sz w:val="21"/>
        </w:rPr>
        <w:t> </w:t>
      </w:r>
      <w:r>
        <w:rPr>
          <w:sz w:val="21"/>
        </w:rPr>
        <w:t>significant</w:t>
      </w:r>
      <w:r>
        <w:rPr>
          <w:spacing w:val="-4"/>
          <w:sz w:val="21"/>
        </w:rPr>
        <w:t> </w:t>
      </w:r>
      <w:r>
        <w:rPr>
          <w:sz w:val="21"/>
        </w:rPr>
        <w:t>strides</w:t>
      </w:r>
      <w:r>
        <w:rPr>
          <w:spacing w:val="-5"/>
          <w:sz w:val="21"/>
        </w:rPr>
        <w:t> </w:t>
      </w:r>
      <w:r>
        <w:rPr>
          <w:sz w:val="21"/>
        </w:rPr>
        <w:t>made</w:t>
      </w:r>
      <w:r>
        <w:rPr>
          <w:spacing w:val="-5"/>
          <w:sz w:val="21"/>
        </w:rPr>
        <w:t> </w:t>
      </w:r>
      <w:r>
        <w:rPr>
          <w:sz w:val="21"/>
        </w:rPr>
        <w:t>by</w:t>
      </w:r>
      <w:r>
        <w:rPr>
          <w:spacing w:val="-6"/>
          <w:sz w:val="21"/>
        </w:rPr>
        <w:t> </w:t>
      </w:r>
      <w:r>
        <w:rPr>
          <w:sz w:val="21"/>
        </w:rPr>
        <w:t>DCF,</w:t>
      </w:r>
      <w:r>
        <w:rPr>
          <w:spacing w:val="-4"/>
          <w:sz w:val="21"/>
        </w:rPr>
        <w:t> </w:t>
      </w:r>
      <w:r>
        <w:rPr>
          <w:sz w:val="21"/>
        </w:rPr>
        <w:t>the</w:t>
      </w:r>
      <w:r>
        <w:rPr>
          <w:spacing w:val="-5"/>
          <w:sz w:val="21"/>
        </w:rPr>
        <w:t> </w:t>
      </w:r>
      <w:r>
        <w:rPr>
          <w:sz w:val="21"/>
        </w:rPr>
        <w:t>Commission’s</w:t>
      </w:r>
      <w:r>
        <w:rPr>
          <w:spacing w:val="-5"/>
          <w:sz w:val="21"/>
        </w:rPr>
        <w:t> </w:t>
      </w:r>
      <w:r>
        <w:rPr>
          <w:sz w:val="21"/>
        </w:rPr>
        <w:t>report's</w:t>
      </w:r>
      <w:r>
        <w:rPr>
          <w:spacing w:val="-5"/>
          <w:sz w:val="21"/>
        </w:rPr>
        <w:t> </w:t>
      </w:r>
      <w:r>
        <w:rPr>
          <w:sz w:val="21"/>
        </w:rPr>
        <w:t>findings,</w:t>
      </w:r>
      <w:r>
        <w:rPr>
          <w:spacing w:val="-4"/>
          <w:sz w:val="21"/>
        </w:rPr>
        <w:t> </w:t>
      </w:r>
      <w:r>
        <w:rPr>
          <w:sz w:val="21"/>
        </w:rPr>
        <w:t>nevertheless,</w:t>
      </w:r>
      <w:r>
        <w:rPr>
          <w:spacing w:val="-4"/>
          <w:sz w:val="21"/>
        </w:rPr>
        <w:t> </w:t>
      </w:r>
      <w:r>
        <w:rPr>
          <w:sz w:val="21"/>
        </w:rPr>
        <w:t>are</w:t>
      </w:r>
      <w:r>
        <w:rPr>
          <w:spacing w:val="-4"/>
          <w:sz w:val="21"/>
        </w:rPr>
        <w:t> </w:t>
      </w:r>
      <w:r>
        <w:rPr>
          <w:sz w:val="21"/>
        </w:rPr>
        <w:t>alarming considering</w:t>
      </w:r>
      <w:r>
        <w:rPr>
          <w:spacing w:val="-8"/>
          <w:sz w:val="21"/>
        </w:rPr>
        <w:t> </w:t>
      </w:r>
      <w:r>
        <w:rPr>
          <w:sz w:val="21"/>
        </w:rPr>
        <w:t>research</w:t>
      </w:r>
      <w:r>
        <w:rPr>
          <w:spacing w:val="-8"/>
          <w:sz w:val="21"/>
        </w:rPr>
        <w:t> </w:t>
      </w:r>
      <w:r>
        <w:rPr>
          <w:sz w:val="21"/>
        </w:rPr>
        <w:t>on</w:t>
      </w:r>
      <w:r>
        <w:rPr>
          <w:spacing w:val="-8"/>
          <w:sz w:val="21"/>
        </w:rPr>
        <w:t> </w:t>
      </w:r>
      <w:r>
        <w:rPr>
          <w:sz w:val="21"/>
        </w:rPr>
        <w:t>suicidality</w:t>
      </w:r>
      <w:r>
        <w:rPr>
          <w:spacing w:val="-8"/>
          <w:sz w:val="21"/>
        </w:rPr>
        <w:t> </w:t>
      </w:r>
      <w:r>
        <w:rPr>
          <w:sz w:val="21"/>
        </w:rPr>
        <w:t>among</w:t>
      </w:r>
      <w:r>
        <w:rPr>
          <w:spacing w:val="-9"/>
          <w:sz w:val="21"/>
        </w:rPr>
        <w:t> </w:t>
      </w:r>
      <w:r>
        <w:rPr>
          <w:sz w:val="21"/>
        </w:rPr>
        <w:t>LGBTQ</w:t>
      </w:r>
      <w:r>
        <w:rPr>
          <w:spacing w:val="-7"/>
          <w:sz w:val="21"/>
        </w:rPr>
        <w:t> </w:t>
      </w:r>
      <w:r>
        <w:rPr>
          <w:sz w:val="21"/>
        </w:rPr>
        <w:t>youth</w:t>
      </w:r>
      <w:r>
        <w:rPr>
          <w:spacing w:val="-9"/>
          <w:sz w:val="21"/>
        </w:rPr>
        <w:t> </w:t>
      </w:r>
      <w:r>
        <w:rPr>
          <w:sz w:val="21"/>
        </w:rPr>
        <w:t>with</w:t>
      </w:r>
      <w:r>
        <w:rPr>
          <w:spacing w:val="-8"/>
          <w:sz w:val="21"/>
        </w:rPr>
        <w:t> </w:t>
      </w:r>
      <w:r>
        <w:rPr>
          <w:sz w:val="21"/>
        </w:rPr>
        <w:t>a</w:t>
      </w:r>
      <w:r>
        <w:rPr>
          <w:spacing w:val="-9"/>
          <w:sz w:val="21"/>
        </w:rPr>
        <w:t> </w:t>
      </w:r>
      <w:r>
        <w:rPr>
          <w:sz w:val="21"/>
        </w:rPr>
        <w:t>history</w:t>
      </w:r>
      <w:r>
        <w:rPr>
          <w:spacing w:val="-9"/>
          <w:sz w:val="21"/>
        </w:rPr>
        <w:t> </w:t>
      </w:r>
      <w:r>
        <w:rPr>
          <w:sz w:val="21"/>
        </w:rPr>
        <w:t>of</w:t>
      </w:r>
      <w:r>
        <w:rPr>
          <w:spacing w:val="-8"/>
          <w:sz w:val="21"/>
        </w:rPr>
        <w:t> </w:t>
      </w:r>
      <w:r>
        <w:rPr>
          <w:sz w:val="21"/>
        </w:rPr>
        <w:t>foster</w:t>
      </w:r>
      <w:r>
        <w:rPr>
          <w:spacing w:val="-8"/>
          <w:sz w:val="21"/>
        </w:rPr>
        <w:t> </w:t>
      </w:r>
      <w:r>
        <w:rPr>
          <w:sz w:val="21"/>
        </w:rPr>
        <w:t>care.</w:t>
      </w:r>
      <w:r>
        <w:rPr>
          <w:spacing w:val="-9"/>
          <w:sz w:val="21"/>
        </w:rPr>
        <w:t> </w:t>
      </w:r>
      <w:r>
        <w:rPr>
          <w:sz w:val="21"/>
        </w:rPr>
        <w:t>LGBTQ</w:t>
      </w:r>
      <w:r>
        <w:rPr>
          <w:spacing w:val="-7"/>
          <w:sz w:val="21"/>
        </w:rPr>
        <w:t> </w:t>
      </w:r>
      <w:r>
        <w:rPr>
          <w:sz w:val="21"/>
        </w:rPr>
        <w:t>youth</w:t>
      </w:r>
      <w:r>
        <w:rPr>
          <w:spacing w:val="-9"/>
          <w:sz w:val="21"/>
        </w:rPr>
        <w:t> </w:t>
      </w:r>
      <w:r>
        <w:rPr>
          <w:sz w:val="21"/>
        </w:rPr>
        <w:t>who</w:t>
      </w:r>
      <w:r>
        <w:rPr>
          <w:spacing w:val="-8"/>
          <w:sz w:val="21"/>
        </w:rPr>
        <w:t> </w:t>
      </w:r>
      <w:r>
        <w:rPr>
          <w:sz w:val="21"/>
        </w:rPr>
        <w:t>had been</w:t>
      </w:r>
      <w:r>
        <w:rPr>
          <w:spacing w:val="-4"/>
          <w:sz w:val="21"/>
        </w:rPr>
        <w:t> </w:t>
      </w:r>
      <w:r>
        <w:rPr>
          <w:sz w:val="21"/>
        </w:rPr>
        <w:t>in</w:t>
      </w:r>
      <w:r>
        <w:rPr>
          <w:spacing w:val="-4"/>
          <w:sz w:val="21"/>
        </w:rPr>
        <w:t> </w:t>
      </w:r>
      <w:r>
        <w:rPr>
          <w:sz w:val="21"/>
        </w:rPr>
        <w:t>foster</w:t>
      </w:r>
      <w:r>
        <w:rPr>
          <w:spacing w:val="-5"/>
          <w:sz w:val="21"/>
        </w:rPr>
        <w:t> </w:t>
      </w:r>
      <w:r>
        <w:rPr>
          <w:sz w:val="21"/>
        </w:rPr>
        <w:t>care</w:t>
      </w:r>
      <w:r>
        <w:rPr>
          <w:spacing w:val="-4"/>
          <w:sz w:val="21"/>
        </w:rPr>
        <w:t> </w:t>
      </w:r>
      <w:r>
        <w:rPr>
          <w:sz w:val="21"/>
        </w:rPr>
        <w:t>are</w:t>
      </w:r>
      <w:r>
        <w:rPr>
          <w:spacing w:val="-6"/>
          <w:sz w:val="21"/>
        </w:rPr>
        <w:t> </w:t>
      </w:r>
      <w:r>
        <w:rPr>
          <w:sz w:val="21"/>
        </w:rPr>
        <w:t>three</w:t>
      </w:r>
      <w:r>
        <w:rPr>
          <w:spacing w:val="-4"/>
          <w:sz w:val="21"/>
        </w:rPr>
        <w:t> </w:t>
      </w:r>
      <w:r>
        <w:rPr>
          <w:sz w:val="21"/>
        </w:rPr>
        <w:t>times</w:t>
      </w:r>
      <w:r>
        <w:rPr>
          <w:spacing w:val="-5"/>
          <w:sz w:val="21"/>
        </w:rPr>
        <w:t> </w:t>
      </w:r>
      <w:r>
        <w:rPr>
          <w:sz w:val="21"/>
        </w:rPr>
        <w:t>more</w:t>
      </w:r>
      <w:r>
        <w:rPr>
          <w:spacing w:val="-4"/>
          <w:sz w:val="21"/>
        </w:rPr>
        <w:t> </w:t>
      </w:r>
      <w:r>
        <w:rPr>
          <w:sz w:val="21"/>
        </w:rPr>
        <w:t>likely</w:t>
      </w:r>
      <w:r>
        <w:rPr>
          <w:spacing w:val="-5"/>
          <w:sz w:val="21"/>
        </w:rPr>
        <w:t> </w:t>
      </w:r>
      <w:r>
        <w:rPr>
          <w:sz w:val="21"/>
        </w:rPr>
        <w:t>to</w:t>
      </w:r>
      <w:r>
        <w:rPr>
          <w:spacing w:val="-5"/>
          <w:sz w:val="21"/>
        </w:rPr>
        <w:t> </w:t>
      </w:r>
      <w:r>
        <w:rPr>
          <w:sz w:val="21"/>
        </w:rPr>
        <w:t>have</w:t>
      </w:r>
      <w:r>
        <w:rPr>
          <w:spacing w:val="-6"/>
          <w:sz w:val="21"/>
        </w:rPr>
        <w:t> </w:t>
      </w:r>
      <w:r>
        <w:rPr>
          <w:sz w:val="21"/>
        </w:rPr>
        <w:t>attempted</w:t>
      </w:r>
      <w:r>
        <w:rPr>
          <w:spacing w:val="-6"/>
          <w:sz w:val="21"/>
        </w:rPr>
        <w:t> </w:t>
      </w:r>
      <w:r>
        <w:rPr>
          <w:sz w:val="21"/>
        </w:rPr>
        <w:t>suicide</w:t>
      </w:r>
      <w:r>
        <w:rPr>
          <w:spacing w:val="-4"/>
          <w:sz w:val="21"/>
        </w:rPr>
        <w:t> </w:t>
      </w:r>
      <w:r>
        <w:rPr>
          <w:sz w:val="21"/>
        </w:rPr>
        <w:t>in</w:t>
      </w:r>
      <w:r>
        <w:rPr>
          <w:spacing w:val="-4"/>
          <w:sz w:val="21"/>
        </w:rPr>
        <w:t> </w:t>
      </w:r>
      <w:r>
        <w:rPr>
          <w:sz w:val="21"/>
        </w:rPr>
        <w:t>the</w:t>
      </w:r>
      <w:r>
        <w:rPr>
          <w:spacing w:val="-6"/>
          <w:sz w:val="21"/>
        </w:rPr>
        <w:t> </w:t>
      </w:r>
      <w:r>
        <w:rPr>
          <w:sz w:val="21"/>
        </w:rPr>
        <w:t>previous</w:t>
      </w:r>
      <w:r>
        <w:rPr>
          <w:spacing w:val="-5"/>
          <w:sz w:val="21"/>
        </w:rPr>
        <w:t> </w:t>
      </w:r>
      <w:r>
        <w:rPr>
          <w:sz w:val="21"/>
        </w:rPr>
        <w:t>year</w:t>
      </w:r>
      <w:r>
        <w:rPr>
          <w:spacing w:val="-4"/>
          <w:sz w:val="21"/>
        </w:rPr>
        <w:t> </w:t>
      </w:r>
      <w:r>
        <w:rPr>
          <w:sz w:val="21"/>
        </w:rPr>
        <w:t>compared</w:t>
      </w:r>
      <w:r>
        <w:rPr>
          <w:spacing w:val="-4"/>
          <w:sz w:val="21"/>
        </w:rPr>
        <w:t> </w:t>
      </w:r>
      <w:r>
        <w:rPr>
          <w:sz w:val="21"/>
        </w:rPr>
        <w:t>to other</w:t>
      </w:r>
      <w:r>
        <w:rPr>
          <w:spacing w:val="-4"/>
          <w:sz w:val="21"/>
        </w:rPr>
        <w:t> </w:t>
      </w:r>
      <w:r>
        <w:rPr>
          <w:sz w:val="21"/>
        </w:rPr>
        <w:t>LGBTQ</w:t>
      </w:r>
      <w:r>
        <w:rPr>
          <w:spacing w:val="-5"/>
          <w:sz w:val="21"/>
        </w:rPr>
        <w:t> </w:t>
      </w:r>
      <w:r>
        <w:rPr>
          <w:sz w:val="21"/>
        </w:rPr>
        <w:t>youth.</w:t>
      </w:r>
      <w:hyperlink w:history="true" w:anchor="_bookmark373">
        <w:r>
          <w:rPr>
            <w:sz w:val="21"/>
            <w:vertAlign w:val="superscript"/>
          </w:rPr>
          <w:t>57</w:t>
        </w:r>
      </w:hyperlink>
      <w:r>
        <w:rPr>
          <w:spacing w:val="-2"/>
          <w:sz w:val="21"/>
          <w:vertAlign w:val="baseline"/>
        </w:rPr>
        <w:t> </w:t>
      </w:r>
      <w:r>
        <w:rPr>
          <w:sz w:val="21"/>
          <w:vertAlign w:val="baseline"/>
        </w:rPr>
        <w:t>Specifically,</w:t>
      </w:r>
      <w:r>
        <w:rPr>
          <w:spacing w:val="-4"/>
          <w:sz w:val="21"/>
          <w:vertAlign w:val="baseline"/>
        </w:rPr>
        <w:t> </w:t>
      </w:r>
      <w:r>
        <w:rPr>
          <w:sz w:val="21"/>
          <w:vertAlign w:val="baseline"/>
        </w:rPr>
        <w:t>45%</w:t>
      </w:r>
      <w:r>
        <w:rPr>
          <w:spacing w:val="-5"/>
          <w:sz w:val="21"/>
          <w:vertAlign w:val="baseline"/>
        </w:rPr>
        <w:t> </w:t>
      </w:r>
      <w:r>
        <w:rPr>
          <w:sz w:val="21"/>
          <w:vertAlign w:val="baseline"/>
        </w:rPr>
        <w:t>of</w:t>
      </w:r>
      <w:r>
        <w:rPr>
          <w:spacing w:val="-5"/>
          <w:sz w:val="21"/>
          <w:vertAlign w:val="baseline"/>
        </w:rPr>
        <w:t> </w:t>
      </w:r>
      <w:r>
        <w:rPr>
          <w:sz w:val="21"/>
          <w:vertAlign w:val="baseline"/>
        </w:rPr>
        <w:t>transgender</w:t>
      </w:r>
      <w:r>
        <w:rPr>
          <w:spacing w:val="-4"/>
          <w:sz w:val="21"/>
          <w:vertAlign w:val="baseline"/>
        </w:rPr>
        <w:t> </w:t>
      </w:r>
      <w:r>
        <w:rPr>
          <w:sz w:val="21"/>
          <w:vertAlign w:val="baseline"/>
        </w:rPr>
        <w:t>and</w:t>
      </w:r>
      <w:r>
        <w:rPr>
          <w:spacing w:val="-4"/>
          <w:sz w:val="21"/>
          <w:vertAlign w:val="baseline"/>
        </w:rPr>
        <w:t> </w:t>
      </w:r>
      <w:r>
        <w:rPr>
          <w:sz w:val="21"/>
          <w:vertAlign w:val="baseline"/>
        </w:rPr>
        <w:t>nonbinary</w:t>
      </w:r>
      <w:r>
        <w:rPr>
          <w:spacing w:val="-5"/>
          <w:sz w:val="21"/>
          <w:vertAlign w:val="baseline"/>
        </w:rPr>
        <w:t> </w:t>
      </w:r>
      <w:r>
        <w:rPr>
          <w:sz w:val="21"/>
          <w:vertAlign w:val="baseline"/>
        </w:rPr>
        <w:t>youth</w:t>
      </w:r>
      <w:r>
        <w:rPr>
          <w:spacing w:val="-4"/>
          <w:sz w:val="21"/>
          <w:vertAlign w:val="baseline"/>
        </w:rPr>
        <w:t> </w:t>
      </w:r>
      <w:r>
        <w:rPr>
          <w:sz w:val="21"/>
          <w:vertAlign w:val="baseline"/>
        </w:rPr>
        <w:t>and</w:t>
      </w:r>
      <w:r>
        <w:rPr>
          <w:spacing w:val="-6"/>
          <w:sz w:val="21"/>
          <w:vertAlign w:val="baseline"/>
        </w:rPr>
        <w:t> </w:t>
      </w:r>
      <w:r>
        <w:rPr>
          <w:sz w:val="21"/>
          <w:vertAlign w:val="baseline"/>
        </w:rPr>
        <w:t>38%</w:t>
      </w:r>
      <w:r>
        <w:rPr>
          <w:spacing w:val="-6"/>
          <w:sz w:val="21"/>
          <w:vertAlign w:val="baseline"/>
        </w:rPr>
        <w:t> </w:t>
      </w:r>
      <w:r>
        <w:rPr>
          <w:sz w:val="21"/>
          <w:vertAlign w:val="baseline"/>
        </w:rPr>
        <w:t>of</w:t>
      </w:r>
      <w:r>
        <w:rPr>
          <w:spacing w:val="-5"/>
          <w:sz w:val="21"/>
          <w:vertAlign w:val="baseline"/>
        </w:rPr>
        <w:t> </w:t>
      </w:r>
      <w:r>
        <w:rPr>
          <w:sz w:val="21"/>
          <w:vertAlign w:val="baseline"/>
        </w:rPr>
        <w:t>youth</w:t>
      </w:r>
      <w:r>
        <w:rPr>
          <w:spacing w:val="-4"/>
          <w:sz w:val="21"/>
          <w:vertAlign w:val="baseline"/>
        </w:rPr>
        <w:t> </w:t>
      </w:r>
      <w:r>
        <w:rPr>
          <w:sz w:val="21"/>
          <w:vertAlign w:val="baseline"/>
        </w:rPr>
        <w:t>of</w:t>
      </w:r>
      <w:r>
        <w:rPr>
          <w:spacing w:val="-5"/>
          <w:sz w:val="21"/>
          <w:vertAlign w:val="baseline"/>
        </w:rPr>
        <w:t> </w:t>
      </w:r>
      <w:r>
        <w:rPr>
          <w:sz w:val="21"/>
          <w:vertAlign w:val="baseline"/>
        </w:rPr>
        <w:t>color</w:t>
      </w:r>
      <w:r>
        <w:rPr>
          <w:spacing w:val="-4"/>
          <w:sz w:val="21"/>
          <w:vertAlign w:val="baseline"/>
        </w:rPr>
        <w:t> </w:t>
      </w:r>
      <w:r>
        <w:rPr>
          <w:sz w:val="21"/>
          <w:vertAlign w:val="baseline"/>
        </w:rPr>
        <w:t>with a</w:t>
      </w:r>
      <w:r>
        <w:rPr>
          <w:spacing w:val="-4"/>
          <w:sz w:val="21"/>
          <w:vertAlign w:val="baseline"/>
        </w:rPr>
        <w:t> </w:t>
      </w:r>
      <w:r>
        <w:rPr>
          <w:sz w:val="21"/>
          <w:vertAlign w:val="baseline"/>
        </w:rPr>
        <w:t>history</w:t>
      </w:r>
      <w:r>
        <w:rPr>
          <w:spacing w:val="-5"/>
          <w:sz w:val="21"/>
          <w:vertAlign w:val="baseline"/>
        </w:rPr>
        <w:t> </w:t>
      </w:r>
      <w:r>
        <w:rPr>
          <w:sz w:val="21"/>
          <w:vertAlign w:val="baseline"/>
        </w:rPr>
        <w:t>of</w:t>
      </w:r>
      <w:r>
        <w:rPr>
          <w:spacing w:val="-5"/>
          <w:sz w:val="21"/>
          <w:vertAlign w:val="baseline"/>
        </w:rPr>
        <w:t> </w:t>
      </w:r>
      <w:r>
        <w:rPr>
          <w:sz w:val="21"/>
          <w:vertAlign w:val="baseline"/>
        </w:rPr>
        <w:t>foster</w:t>
      </w:r>
      <w:r>
        <w:rPr>
          <w:spacing w:val="-4"/>
          <w:sz w:val="21"/>
          <w:vertAlign w:val="baseline"/>
        </w:rPr>
        <w:t> </w:t>
      </w:r>
      <w:r>
        <w:rPr>
          <w:sz w:val="21"/>
          <w:vertAlign w:val="baseline"/>
        </w:rPr>
        <w:t>care</w:t>
      </w:r>
      <w:r>
        <w:rPr>
          <w:spacing w:val="-4"/>
          <w:sz w:val="21"/>
          <w:vertAlign w:val="baseline"/>
        </w:rPr>
        <w:t> </w:t>
      </w:r>
      <w:r>
        <w:rPr>
          <w:sz w:val="21"/>
          <w:vertAlign w:val="baseline"/>
        </w:rPr>
        <w:t>involvement</w:t>
      </w:r>
      <w:r>
        <w:rPr>
          <w:spacing w:val="-4"/>
          <w:sz w:val="21"/>
          <w:vertAlign w:val="baseline"/>
        </w:rPr>
        <w:t> </w:t>
      </w:r>
      <w:r>
        <w:rPr>
          <w:sz w:val="21"/>
          <w:vertAlign w:val="baseline"/>
        </w:rPr>
        <w:t>had</w:t>
      </w:r>
      <w:r>
        <w:rPr>
          <w:spacing w:val="-5"/>
          <w:sz w:val="21"/>
          <w:vertAlign w:val="baseline"/>
        </w:rPr>
        <w:t> </w:t>
      </w:r>
      <w:r>
        <w:rPr>
          <w:sz w:val="21"/>
          <w:vertAlign w:val="baseline"/>
        </w:rPr>
        <w:t>attempted</w:t>
      </w:r>
      <w:r>
        <w:rPr>
          <w:spacing w:val="-6"/>
          <w:sz w:val="21"/>
          <w:vertAlign w:val="baseline"/>
        </w:rPr>
        <w:t> </w:t>
      </w:r>
      <w:r>
        <w:rPr>
          <w:sz w:val="21"/>
          <w:vertAlign w:val="baseline"/>
        </w:rPr>
        <w:t>suicide</w:t>
      </w:r>
      <w:r>
        <w:rPr>
          <w:spacing w:val="-4"/>
          <w:sz w:val="21"/>
          <w:vertAlign w:val="baseline"/>
        </w:rPr>
        <w:t> </w:t>
      </w:r>
      <w:r>
        <w:rPr>
          <w:sz w:val="21"/>
          <w:vertAlign w:val="baseline"/>
        </w:rPr>
        <w:t>in</w:t>
      </w:r>
      <w:r>
        <w:rPr>
          <w:spacing w:val="-4"/>
          <w:sz w:val="21"/>
          <w:vertAlign w:val="baseline"/>
        </w:rPr>
        <w:t> </w:t>
      </w:r>
      <w:r>
        <w:rPr>
          <w:sz w:val="21"/>
          <w:vertAlign w:val="baseline"/>
        </w:rPr>
        <w:t>the</w:t>
      </w:r>
      <w:r>
        <w:rPr>
          <w:spacing w:val="-6"/>
          <w:sz w:val="21"/>
          <w:vertAlign w:val="baseline"/>
        </w:rPr>
        <w:t> </w:t>
      </w:r>
      <w:r>
        <w:rPr>
          <w:sz w:val="21"/>
          <w:vertAlign w:val="baseline"/>
        </w:rPr>
        <w:t>twelve</w:t>
      </w:r>
      <w:r>
        <w:rPr>
          <w:spacing w:val="-4"/>
          <w:sz w:val="21"/>
          <w:vertAlign w:val="baseline"/>
        </w:rPr>
        <w:t> </w:t>
      </w:r>
      <w:r>
        <w:rPr>
          <w:sz w:val="21"/>
          <w:vertAlign w:val="baseline"/>
        </w:rPr>
        <w:t>months</w:t>
      </w:r>
      <w:r>
        <w:rPr>
          <w:spacing w:val="-5"/>
          <w:sz w:val="21"/>
          <w:vertAlign w:val="baseline"/>
        </w:rPr>
        <w:t> </w:t>
      </w:r>
      <w:r>
        <w:rPr>
          <w:sz w:val="21"/>
          <w:vertAlign w:val="baseline"/>
        </w:rPr>
        <w:t>prior</w:t>
      </w:r>
      <w:r>
        <w:rPr>
          <w:spacing w:val="-4"/>
          <w:sz w:val="21"/>
          <w:vertAlign w:val="baseline"/>
        </w:rPr>
        <w:t> </w:t>
      </w:r>
      <w:r>
        <w:rPr>
          <w:sz w:val="21"/>
          <w:vertAlign w:val="baseline"/>
        </w:rPr>
        <w:t>to</w:t>
      </w:r>
      <w:r>
        <w:rPr>
          <w:spacing w:val="-5"/>
          <w:sz w:val="21"/>
          <w:vertAlign w:val="baseline"/>
        </w:rPr>
        <w:t> </w:t>
      </w:r>
      <w:r>
        <w:rPr>
          <w:sz w:val="21"/>
          <w:vertAlign w:val="baseline"/>
        </w:rPr>
        <w:t>the</w:t>
      </w:r>
      <w:r>
        <w:rPr>
          <w:spacing w:val="-4"/>
          <w:sz w:val="21"/>
          <w:vertAlign w:val="baseline"/>
        </w:rPr>
        <w:t> </w:t>
      </w:r>
      <w:r>
        <w:rPr>
          <w:sz w:val="21"/>
          <w:vertAlign w:val="baseline"/>
        </w:rPr>
        <w:t>Commission’s 2021 survey.</w:t>
      </w:r>
      <w:r>
        <w:rPr>
          <w:spacing w:val="-12"/>
          <w:sz w:val="21"/>
          <w:vertAlign w:val="baseline"/>
        </w:rPr>
        <w:t> </w:t>
      </w:r>
      <w:hyperlink w:history="true" w:anchor="_bookmark374">
        <w:r>
          <w:rPr>
            <w:sz w:val="21"/>
            <w:vertAlign w:val="superscript"/>
          </w:rPr>
          <w:t>58</w:t>
        </w:r>
      </w:hyperlink>
      <w:r>
        <w:rPr>
          <w:sz w:val="21"/>
          <w:vertAlign w:val="baseline"/>
        </w:rPr>
        <w:t> It is imperative that systemic changes to better support and protect LGBTQ youth be undertaken within the foster care system.</w:t>
      </w:r>
    </w:p>
    <w:p>
      <w:pPr>
        <w:spacing w:line="276" w:lineRule="auto" w:before="240"/>
        <w:ind w:left="464" w:right="239" w:firstLine="0"/>
        <w:jc w:val="both"/>
        <w:rPr>
          <w:sz w:val="21"/>
        </w:rPr>
      </w:pPr>
      <w:r>
        <w:rPr>
          <w:sz w:val="21"/>
        </w:rPr>
        <w:t>To</w:t>
      </w:r>
      <w:r>
        <w:rPr>
          <w:spacing w:val="-1"/>
          <w:sz w:val="21"/>
        </w:rPr>
        <w:t> </w:t>
      </w:r>
      <w:r>
        <w:rPr>
          <w:sz w:val="21"/>
        </w:rPr>
        <w:t>address</w:t>
      </w:r>
      <w:r>
        <w:rPr>
          <w:spacing w:val="-1"/>
          <w:sz w:val="21"/>
        </w:rPr>
        <w:t> </w:t>
      </w:r>
      <w:r>
        <w:rPr>
          <w:sz w:val="21"/>
        </w:rPr>
        <w:t>the foster care crisis</w:t>
      </w:r>
      <w:r>
        <w:rPr>
          <w:spacing w:val="-1"/>
          <w:sz w:val="21"/>
        </w:rPr>
        <w:t> </w:t>
      </w:r>
      <w:r>
        <w:rPr>
          <w:sz w:val="21"/>
        </w:rPr>
        <w:t>comprehensively, the</w:t>
      </w:r>
      <w:r>
        <w:rPr>
          <w:spacing w:val="-2"/>
          <w:sz w:val="21"/>
        </w:rPr>
        <w:t> </w:t>
      </w:r>
      <w:r>
        <w:rPr>
          <w:sz w:val="21"/>
        </w:rPr>
        <w:t>Commission has</w:t>
      </w:r>
      <w:r>
        <w:rPr>
          <w:spacing w:val="-1"/>
          <w:sz w:val="21"/>
        </w:rPr>
        <w:t> </w:t>
      </w:r>
      <w:r>
        <w:rPr>
          <w:sz w:val="21"/>
        </w:rPr>
        <w:t>recommended coordination across state agencies to tackle systemic biases and reallocate resources to address root causes like poverty and violence. Furthermore, as discussed at greater length in the FY 25 DCF recommendations included in this annual report, the Commission recommends that DCF and other stakeholders: collect and report data on sexual orientation and gender identity, develop and implement policies to ensure equitable services, train and provide resources for DCF providers and caregivers, and create structural changes that increase capacity</w:t>
      </w:r>
      <w:r>
        <w:rPr>
          <w:spacing w:val="-8"/>
          <w:sz w:val="21"/>
        </w:rPr>
        <w:t> </w:t>
      </w:r>
      <w:r>
        <w:rPr>
          <w:sz w:val="21"/>
        </w:rPr>
        <w:t>to</w:t>
      </w:r>
      <w:r>
        <w:rPr>
          <w:spacing w:val="-7"/>
          <w:sz w:val="21"/>
        </w:rPr>
        <w:t> </w:t>
      </w:r>
      <w:r>
        <w:rPr>
          <w:sz w:val="21"/>
        </w:rPr>
        <w:t>serve</w:t>
      </w:r>
      <w:r>
        <w:rPr>
          <w:spacing w:val="-7"/>
          <w:sz w:val="21"/>
        </w:rPr>
        <w:t> </w:t>
      </w:r>
      <w:r>
        <w:rPr>
          <w:sz w:val="21"/>
        </w:rPr>
        <w:t>LGBTQ,</w:t>
      </w:r>
      <w:r>
        <w:rPr>
          <w:spacing w:val="-7"/>
          <w:sz w:val="21"/>
        </w:rPr>
        <w:t> </w:t>
      </w:r>
      <w:r>
        <w:rPr>
          <w:sz w:val="21"/>
        </w:rPr>
        <w:t>including</w:t>
      </w:r>
      <w:r>
        <w:rPr>
          <w:spacing w:val="-7"/>
          <w:sz w:val="21"/>
        </w:rPr>
        <w:t> </w:t>
      </w:r>
      <w:r>
        <w:rPr>
          <w:sz w:val="21"/>
        </w:rPr>
        <w:t>expanding</w:t>
      </w:r>
      <w:r>
        <w:rPr>
          <w:spacing w:val="-7"/>
          <w:sz w:val="21"/>
        </w:rPr>
        <w:t> </w:t>
      </w:r>
      <w:r>
        <w:rPr>
          <w:sz w:val="21"/>
        </w:rPr>
        <w:t>the</w:t>
      </w:r>
      <w:r>
        <w:rPr>
          <w:spacing w:val="-8"/>
          <w:sz w:val="21"/>
        </w:rPr>
        <w:t> </w:t>
      </w:r>
      <w:r>
        <w:rPr>
          <w:sz w:val="21"/>
        </w:rPr>
        <w:t>number</w:t>
      </w:r>
      <w:r>
        <w:rPr>
          <w:spacing w:val="-7"/>
          <w:sz w:val="21"/>
        </w:rPr>
        <w:t> </w:t>
      </w:r>
      <w:r>
        <w:rPr>
          <w:sz w:val="21"/>
        </w:rPr>
        <w:t>of</w:t>
      </w:r>
      <w:r>
        <w:rPr>
          <w:spacing w:val="-7"/>
          <w:sz w:val="21"/>
        </w:rPr>
        <w:t> </w:t>
      </w:r>
      <w:r>
        <w:rPr>
          <w:sz w:val="21"/>
        </w:rPr>
        <w:t>affirming</w:t>
      </w:r>
      <w:r>
        <w:rPr>
          <w:spacing w:val="-7"/>
          <w:sz w:val="21"/>
        </w:rPr>
        <w:t> </w:t>
      </w:r>
      <w:r>
        <w:rPr>
          <w:sz w:val="21"/>
        </w:rPr>
        <w:t>homes.</w:t>
      </w:r>
      <w:r>
        <w:rPr>
          <w:spacing w:val="-7"/>
          <w:sz w:val="21"/>
        </w:rPr>
        <w:t> </w:t>
      </w:r>
      <w:r>
        <w:rPr>
          <w:sz w:val="21"/>
        </w:rPr>
        <w:t>DCF</w:t>
      </w:r>
      <w:r>
        <w:rPr>
          <w:spacing w:val="-8"/>
          <w:sz w:val="21"/>
        </w:rPr>
        <w:t> </w:t>
      </w:r>
      <w:r>
        <w:rPr>
          <w:sz w:val="21"/>
        </w:rPr>
        <w:t>has</w:t>
      </w:r>
      <w:r>
        <w:rPr>
          <w:spacing w:val="-7"/>
          <w:sz w:val="21"/>
        </w:rPr>
        <w:t> </w:t>
      </w:r>
      <w:r>
        <w:rPr>
          <w:sz w:val="21"/>
        </w:rPr>
        <w:t>begun</w:t>
      </w:r>
      <w:r>
        <w:rPr>
          <w:spacing w:val="-7"/>
          <w:sz w:val="21"/>
        </w:rPr>
        <w:t> </w:t>
      </w:r>
      <w:r>
        <w:rPr>
          <w:sz w:val="21"/>
        </w:rPr>
        <w:t>evaluation</w:t>
      </w:r>
      <w:r>
        <w:rPr>
          <w:spacing w:val="-7"/>
          <w:sz w:val="21"/>
        </w:rPr>
        <w:t> </w:t>
      </w:r>
      <w:r>
        <w:rPr>
          <w:sz w:val="21"/>
        </w:rPr>
        <w:t>or implementation already for many of these recommendations, however, more work is needed. The Commission’s</w:t>
      </w:r>
      <w:r>
        <w:rPr>
          <w:spacing w:val="-2"/>
          <w:sz w:val="21"/>
        </w:rPr>
        <w:t> </w:t>
      </w:r>
      <w:r>
        <w:rPr>
          <w:sz w:val="21"/>
        </w:rPr>
        <w:t>FY</w:t>
      </w:r>
      <w:r>
        <w:rPr>
          <w:spacing w:val="-2"/>
          <w:sz w:val="21"/>
        </w:rPr>
        <w:t> </w:t>
      </w:r>
      <w:r>
        <w:rPr>
          <w:sz w:val="21"/>
        </w:rPr>
        <w:t>25</w:t>
      </w:r>
      <w:r>
        <w:rPr>
          <w:spacing w:val="-1"/>
          <w:sz w:val="21"/>
        </w:rPr>
        <w:t> </w:t>
      </w:r>
      <w:r>
        <w:rPr>
          <w:sz w:val="21"/>
        </w:rPr>
        <w:t>recommendations</w:t>
      </w:r>
      <w:r>
        <w:rPr>
          <w:spacing w:val="-2"/>
          <w:sz w:val="21"/>
        </w:rPr>
        <w:t> </w:t>
      </w:r>
      <w:r>
        <w:rPr>
          <w:sz w:val="21"/>
        </w:rPr>
        <w:t>for</w:t>
      </w:r>
      <w:r>
        <w:rPr>
          <w:spacing w:val="-3"/>
          <w:sz w:val="21"/>
        </w:rPr>
        <w:t> </w:t>
      </w:r>
      <w:r>
        <w:rPr>
          <w:sz w:val="21"/>
        </w:rPr>
        <w:t>the</w:t>
      </w:r>
      <w:r>
        <w:rPr>
          <w:spacing w:val="-2"/>
          <w:sz w:val="21"/>
        </w:rPr>
        <w:t> </w:t>
      </w:r>
      <w:r>
        <w:rPr>
          <w:sz w:val="21"/>
        </w:rPr>
        <w:t>Department</w:t>
      </w:r>
      <w:r>
        <w:rPr>
          <w:spacing w:val="-1"/>
          <w:sz w:val="21"/>
        </w:rPr>
        <w:t> </w:t>
      </w:r>
      <w:r>
        <w:rPr>
          <w:sz w:val="21"/>
        </w:rPr>
        <w:t>of</w:t>
      </w:r>
      <w:r>
        <w:rPr>
          <w:spacing w:val="-2"/>
          <w:sz w:val="21"/>
        </w:rPr>
        <w:t> </w:t>
      </w:r>
      <w:r>
        <w:rPr>
          <w:sz w:val="21"/>
        </w:rPr>
        <w:t>Children</w:t>
      </w:r>
      <w:r>
        <w:rPr>
          <w:spacing w:val="-3"/>
          <w:sz w:val="21"/>
        </w:rPr>
        <w:t> </w:t>
      </w:r>
      <w:r>
        <w:rPr>
          <w:sz w:val="21"/>
        </w:rPr>
        <w:t>&amp;</w:t>
      </w:r>
      <w:r>
        <w:rPr>
          <w:spacing w:val="-2"/>
          <w:sz w:val="21"/>
        </w:rPr>
        <w:t> </w:t>
      </w:r>
      <w:r>
        <w:rPr>
          <w:sz w:val="21"/>
        </w:rPr>
        <w:t>Families</w:t>
      </w:r>
      <w:r>
        <w:rPr>
          <w:spacing w:val="-2"/>
          <w:sz w:val="21"/>
        </w:rPr>
        <w:t> </w:t>
      </w:r>
      <w:r>
        <w:rPr>
          <w:sz w:val="21"/>
        </w:rPr>
        <w:t>(DCF)</w:t>
      </w:r>
      <w:r>
        <w:rPr>
          <w:spacing w:val="-2"/>
          <w:sz w:val="21"/>
        </w:rPr>
        <w:t> </w:t>
      </w:r>
      <w:r>
        <w:rPr>
          <w:sz w:val="21"/>
        </w:rPr>
        <w:t>include</w:t>
      </w:r>
      <w:r>
        <w:rPr>
          <w:spacing w:val="-2"/>
          <w:sz w:val="21"/>
        </w:rPr>
        <w:t> </w:t>
      </w:r>
      <w:r>
        <w:rPr>
          <w:sz w:val="21"/>
        </w:rPr>
        <w:t>continuing thorough and accurate SOGI data collection with new mandatory data elements and staff training, maintaining and reviewing LGBTQ-inclusive policies, and considering the creation of an internal coding system for greater case transparency. DCF is advised to update the LGBTQ Guide to ensure it is accessible to all relevant parties and to implement the updated MAPP training curriculum with a system for regular reviews to ensure its relevance. Further, there's a need to improve the recruitment of LGBTQ-affirming foster parents and to create a statewide database of such homes. Further, the Commission recommends that DCF collaborate with LGBTQ youth and organizations to develop resources, address service gaps for LGBTQ immigrant youth, expand training on LGBTQ cultural engagement and other inclusivity topics.</w:t>
      </w:r>
    </w:p>
    <w:p>
      <w:pPr>
        <w:spacing w:line="276" w:lineRule="auto" w:before="240"/>
        <w:ind w:left="464" w:right="236" w:firstLine="0"/>
        <w:jc w:val="both"/>
        <w:rPr>
          <w:sz w:val="21"/>
        </w:rPr>
      </w:pPr>
      <w:r>
        <w:rPr>
          <w:sz w:val="21"/>
        </w:rPr>
        <w:t>Furthermore, the Commission, as discussed in greater detail the FY 25 CPCS recommendations included in this annual report, has made a series of recommendations to the Committee for Public Counsel Services (CPCS) aimed at enhancing the legal support provided to LGBTQ youth within the child welfare system, specifically</w:t>
      </w:r>
      <w:r>
        <w:rPr>
          <w:spacing w:val="-8"/>
          <w:sz w:val="21"/>
        </w:rPr>
        <w:t> </w:t>
      </w:r>
      <w:r>
        <w:rPr>
          <w:sz w:val="21"/>
        </w:rPr>
        <w:t>through</w:t>
      </w:r>
      <w:r>
        <w:rPr>
          <w:spacing w:val="-8"/>
          <w:sz w:val="21"/>
        </w:rPr>
        <w:t> </w:t>
      </w:r>
      <w:r>
        <w:rPr>
          <w:sz w:val="21"/>
        </w:rPr>
        <w:t>the</w:t>
      </w:r>
      <w:r>
        <w:rPr>
          <w:spacing w:val="-8"/>
          <w:sz w:val="21"/>
        </w:rPr>
        <w:t> </w:t>
      </w:r>
      <w:r>
        <w:rPr>
          <w:sz w:val="21"/>
        </w:rPr>
        <w:t>Children</w:t>
      </w:r>
      <w:r>
        <w:rPr>
          <w:spacing w:val="-8"/>
          <w:sz w:val="21"/>
        </w:rPr>
        <w:t> </w:t>
      </w:r>
      <w:r>
        <w:rPr>
          <w:sz w:val="21"/>
        </w:rPr>
        <w:t>and</w:t>
      </w:r>
      <w:r>
        <w:rPr>
          <w:spacing w:val="-8"/>
          <w:sz w:val="21"/>
        </w:rPr>
        <w:t> </w:t>
      </w:r>
      <w:r>
        <w:rPr>
          <w:sz w:val="21"/>
        </w:rPr>
        <w:t>Family</w:t>
      </w:r>
      <w:r>
        <w:rPr>
          <w:spacing w:val="-8"/>
          <w:sz w:val="21"/>
        </w:rPr>
        <w:t> </w:t>
      </w:r>
      <w:r>
        <w:rPr>
          <w:sz w:val="21"/>
        </w:rPr>
        <w:t>Law</w:t>
      </w:r>
      <w:r>
        <w:rPr>
          <w:spacing w:val="-8"/>
          <w:sz w:val="21"/>
        </w:rPr>
        <w:t> </w:t>
      </w:r>
      <w:r>
        <w:rPr>
          <w:sz w:val="21"/>
        </w:rPr>
        <w:t>Division</w:t>
      </w:r>
      <w:r>
        <w:rPr>
          <w:spacing w:val="-8"/>
          <w:sz w:val="21"/>
        </w:rPr>
        <w:t> </w:t>
      </w:r>
      <w:r>
        <w:rPr>
          <w:sz w:val="21"/>
        </w:rPr>
        <w:t>(CAFL).</w:t>
      </w:r>
      <w:r>
        <w:rPr>
          <w:spacing w:val="-8"/>
          <w:sz w:val="21"/>
        </w:rPr>
        <w:t> </w:t>
      </w:r>
      <w:r>
        <w:rPr>
          <w:sz w:val="21"/>
        </w:rPr>
        <w:t>These</w:t>
      </w:r>
      <w:r>
        <w:rPr>
          <w:spacing w:val="-8"/>
          <w:sz w:val="21"/>
        </w:rPr>
        <w:t> </w:t>
      </w:r>
      <w:r>
        <w:rPr>
          <w:sz w:val="21"/>
        </w:rPr>
        <w:t>recommendations</w:t>
      </w:r>
      <w:r>
        <w:rPr>
          <w:spacing w:val="-8"/>
          <w:sz w:val="21"/>
        </w:rPr>
        <w:t> </w:t>
      </w:r>
      <w:r>
        <w:rPr>
          <w:sz w:val="21"/>
        </w:rPr>
        <w:t>are</w:t>
      </w:r>
      <w:r>
        <w:rPr>
          <w:spacing w:val="-8"/>
          <w:sz w:val="21"/>
        </w:rPr>
        <w:t> </w:t>
      </w:r>
      <w:r>
        <w:rPr>
          <w:sz w:val="21"/>
        </w:rPr>
        <w:t>driven</w:t>
      </w:r>
      <w:r>
        <w:rPr>
          <w:spacing w:val="-8"/>
          <w:sz w:val="21"/>
        </w:rPr>
        <w:t> </w:t>
      </w:r>
      <w:r>
        <w:rPr>
          <w:sz w:val="21"/>
        </w:rPr>
        <w:t>by</w:t>
      </w:r>
      <w:r>
        <w:rPr>
          <w:spacing w:val="-8"/>
          <w:sz w:val="21"/>
        </w:rPr>
        <w:t> </w:t>
      </w:r>
      <w:r>
        <w:rPr>
          <w:sz w:val="21"/>
        </w:rPr>
        <w:t>the unique</w:t>
      </w:r>
      <w:r>
        <w:rPr>
          <w:spacing w:val="-3"/>
          <w:sz w:val="21"/>
        </w:rPr>
        <w:t> </w:t>
      </w:r>
      <w:r>
        <w:rPr>
          <w:sz w:val="21"/>
        </w:rPr>
        <w:t>challenges</w:t>
      </w:r>
      <w:r>
        <w:rPr>
          <w:spacing w:val="-3"/>
          <w:sz w:val="21"/>
        </w:rPr>
        <w:t> </w:t>
      </w:r>
      <w:r>
        <w:rPr>
          <w:sz w:val="21"/>
        </w:rPr>
        <w:t>and</w:t>
      </w:r>
      <w:r>
        <w:rPr>
          <w:spacing w:val="-3"/>
          <w:sz w:val="21"/>
        </w:rPr>
        <w:t> </w:t>
      </w:r>
      <w:r>
        <w:rPr>
          <w:sz w:val="21"/>
        </w:rPr>
        <w:t>discrimination</w:t>
      </w:r>
      <w:r>
        <w:rPr>
          <w:spacing w:val="-3"/>
          <w:sz w:val="21"/>
        </w:rPr>
        <w:t> </w:t>
      </w:r>
      <w:r>
        <w:rPr>
          <w:sz w:val="21"/>
        </w:rPr>
        <w:t>faced</w:t>
      </w:r>
      <w:r>
        <w:rPr>
          <w:spacing w:val="-3"/>
          <w:sz w:val="21"/>
        </w:rPr>
        <w:t> </w:t>
      </w:r>
      <w:r>
        <w:rPr>
          <w:sz w:val="21"/>
        </w:rPr>
        <w:t>by</w:t>
      </w:r>
      <w:r>
        <w:rPr>
          <w:spacing w:val="-3"/>
          <w:sz w:val="21"/>
        </w:rPr>
        <w:t> </w:t>
      </w:r>
      <w:r>
        <w:rPr>
          <w:sz w:val="21"/>
        </w:rPr>
        <w:t>LGBTQ</w:t>
      </w:r>
      <w:r>
        <w:rPr>
          <w:spacing w:val="-3"/>
          <w:sz w:val="21"/>
        </w:rPr>
        <w:t> </w:t>
      </w:r>
      <w:r>
        <w:rPr>
          <w:sz w:val="21"/>
        </w:rPr>
        <w:t>youth</w:t>
      </w:r>
      <w:r>
        <w:rPr>
          <w:spacing w:val="-3"/>
          <w:sz w:val="21"/>
        </w:rPr>
        <w:t> </w:t>
      </w:r>
      <w:r>
        <w:rPr>
          <w:sz w:val="21"/>
        </w:rPr>
        <w:t>in</w:t>
      </w:r>
      <w:r>
        <w:rPr>
          <w:spacing w:val="-3"/>
          <w:sz w:val="21"/>
        </w:rPr>
        <w:t> </w:t>
      </w:r>
      <w:r>
        <w:rPr>
          <w:sz w:val="21"/>
        </w:rPr>
        <w:t>foster</w:t>
      </w:r>
      <w:r>
        <w:rPr>
          <w:spacing w:val="-3"/>
          <w:sz w:val="21"/>
        </w:rPr>
        <w:t> </w:t>
      </w:r>
      <w:r>
        <w:rPr>
          <w:sz w:val="21"/>
        </w:rPr>
        <w:t>care,</w:t>
      </w:r>
      <w:r>
        <w:rPr>
          <w:spacing w:val="-2"/>
          <w:sz w:val="21"/>
        </w:rPr>
        <w:t> </w:t>
      </w:r>
      <w:r>
        <w:rPr>
          <w:sz w:val="21"/>
        </w:rPr>
        <w:t>including</w:t>
      </w:r>
      <w:r>
        <w:rPr>
          <w:spacing w:val="-3"/>
          <w:sz w:val="21"/>
        </w:rPr>
        <w:t> </w:t>
      </w:r>
      <w:r>
        <w:rPr>
          <w:sz w:val="21"/>
        </w:rPr>
        <w:t>violence,</w:t>
      </w:r>
      <w:r>
        <w:rPr>
          <w:spacing w:val="-2"/>
          <w:sz w:val="21"/>
        </w:rPr>
        <w:t> </w:t>
      </w:r>
      <w:r>
        <w:rPr>
          <w:sz w:val="21"/>
        </w:rPr>
        <w:t>harassment, and issues with misgendering and bullying. CAFL lawyers play a critical role in ensuring that the rights of these</w:t>
      </w:r>
      <w:r>
        <w:rPr>
          <w:spacing w:val="-8"/>
          <w:sz w:val="21"/>
        </w:rPr>
        <w:t> </w:t>
      </w:r>
      <w:r>
        <w:rPr>
          <w:sz w:val="21"/>
        </w:rPr>
        <w:t>youth</w:t>
      </w:r>
      <w:r>
        <w:rPr>
          <w:spacing w:val="-8"/>
          <w:sz w:val="21"/>
        </w:rPr>
        <w:t> </w:t>
      </w:r>
      <w:r>
        <w:rPr>
          <w:sz w:val="21"/>
        </w:rPr>
        <w:t>are</w:t>
      </w:r>
      <w:r>
        <w:rPr>
          <w:spacing w:val="-8"/>
          <w:sz w:val="21"/>
        </w:rPr>
        <w:t> </w:t>
      </w:r>
      <w:r>
        <w:rPr>
          <w:sz w:val="21"/>
        </w:rPr>
        <w:t>protected,</w:t>
      </w:r>
      <w:r>
        <w:rPr>
          <w:spacing w:val="-8"/>
          <w:sz w:val="21"/>
        </w:rPr>
        <w:t> </w:t>
      </w:r>
      <w:r>
        <w:rPr>
          <w:sz w:val="21"/>
        </w:rPr>
        <w:t>and</w:t>
      </w:r>
      <w:r>
        <w:rPr>
          <w:spacing w:val="-8"/>
          <w:sz w:val="21"/>
        </w:rPr>
        <w:t> </w:t>
      </w:r>
      <w:r>
        <w:rPr>
          <w:sz w:val="21"/>
        </w:rPr>
        <w:t>that</w:t>
      </w:r>
      <w:r>
        <w:rPr>
          <w:spacing w:val="-9"/>
          <w:sz w:val="21"/>
        </w:rPr>
        <w:t> </w:t>
      </w:r>
      <w:r>
        <w:rPr>
          <w:sz w:val="21"/>
        </w:rPr>
        <w:t>they</w:t>
      </w:r>
      <w:r>
        <w:rPr>
          <w:spacing w:val="-8"/>
          <w:sz w:val="21"/>
        </w:rPr>
        <w:t> </w:t>
      </w:r>
      <w:r>
        <w:rPr>
          <w:sz w:val="21"/>
        </w:rPr>
        <w:t>receive</w:t>
      </w:r>
      <w:r>
        <w:rPr>
          <w:spacing w:val="-8"/>
          <w:sz w:val="21"/>
        </w:rPr>
        <w:t> </w:t>
      </w:r>
      <w:r>
        <w:rPr>
          <w:sz w:val="21"/>
        </w:rPr>
        <w:t>the</w:t>
      </w:r>
      <w:r>
        <w:rPr>
          <w:spacing w:val="-8"/>
          <w:sz w:val="21"/>
        </w:rPr>
        <w:t> </w:t>
      </w:r>
      <w:r>
        <w:rPr>
          <w:sz w:val="21"/>
        </w:rPr>
        <w:t>necessary</w:t>
      </w:r>
      <w:r>
        <w:rPr>
          <w:spacing w:val="-8"/>
          <w:sz w:val="21"/>
        </w:rPr>
        <w:t> </w:t>
      </w:r>
      <w:r>
        <w:rPr>
          <w:sz w:val="21"/>
        </w:rPr>
        <w:t>support</w:t>
      </w:r>
      <w:r>
        <w:rPr>
          <w:spacing w:val="-7"/>
          <w:sz w:val="21"/>
        </w:rPr>
        <w:t> </w:t>
      </w:r>
      <w:r>
        <w:rPr>
          <w:sz w:val="21"/>
        </w:rPr>
        <w:t>for</w:t>
      </w:r>
      <w:r>
        <w:rPr>
          <w:spacing w:val="-8"/>
          <w:sz w:val="21"/>
        </w:rPr>
        <w:t> </w:t>
      </w:r>
      <w:r>
        <w:rPr>
          <w:sz w:val="21"/>
        </w:rPr>
        <w:t>reunification</w:t>
      </w:r>
      <w:r>
        <w:rPr>
          <w:spacing w:val="-8"/>
          <w:sz w:val="21"/>
        </w:rPr>
        <w:t> </w:t>
      </w:r>
      <w:r>
        <w:rPr>
          <w:sz w:val="21"/>
        </w:rPr>
        <w:t>with</w:t>
      </w:r>
      <w:r>
        <w:rPr>
          <w:spacing w:val="-8"/>
          <w:sz w:val="21"/>
        </w:rPr>
        <w:t> </w:t>
      </w:r>
      <w:r>
        <w:rPr>
          <w:sz w:val="21"/>
        </w:rPr>
        <w:t>their</w:t>
      </w:r>
      <w:r>
        <w:rPr>
          <w:spacing w:val="-9"/>
          <w:sz w:val="21"/>
        </w:rPr>
        <w:t> </w:t>
      </w:r>
      <w:r>
        <w:rPr>
          <w:sz w:val="21"/>
        </w:rPr>
        <w:t>families, transition</w:t>
      </w:r>
      <w:r>
        <w:rPr>
          <w:spacing w:val="-6"/>
          <w:sz w:val="21"/>
        </w:rPr>
        <w:t> </w:t>
      </w:r>
      <w:r>
        <w:rPr>
          <w:sz w:val="21"/>
        </w:rPr>
        <w:t>to</w:t>
      </w:r>
      <w:r>
        <w:rPr>
          <w:spacing w:val="-6"/>
          <w:sz w:val="21"/>
        </w:rPr>
        <w:t> </w:t>
      </w:r>
      <w:r>
        <w:rPr>
          <w:sz w:val="21"/>
        </w:rPr>
        <w:t>new</w:t>
      </w:r>
      <w:r>
        <w:rPr>
          <w:spacing w:val="-6"/>
          <w:sz w:val="21"/>
        </w:rPr>
        <w:t> </w:t>
      </w:r>
      <w:r>
        <w:rPr>
          <w:sz w:val="21"/>
        </w:rPr>
        <w:t>homes,</w:t>
      </w:r>
      <w:r>
        <w:rPr>
          <w:spacing w:val="-5"/>
          <w:sz w:val="21"/>
        </w:rPr>
        <w:t> </w:t>
      </w:r>
      <w:r>
        <w:rPr>
          <w:sz w:val="21"/>
        </w:rPr>
        <w:t>or</w:t>
      </w:r>
      <w:r>
        <w:rPr>
          <w:spacing w:val="-7"/>
          <w:sz w:val="21"/>
        </w:rPr>
        <w:t> </w:t>
      </w:r>
      <w:r>
        <w:rPr>
          <w:sz w:val="21"/>
        </w:rPr>
        <w:t>aging</w:t>
      </w:r>
      <w:r>
        <w:rPr>
          <w:spacing w:val="-6"/>
          <w:sz w:val="21"/>
        </w:rPr>
        <w:t> </w:t>
      </w:r>
      <w:r>
        <w:rPr>
          <w:sz w:val="21"/>
        </w:rPr>
        <w:t>out</w:t>
      </w:r>
      <w:r>
        <w:rPr>
          <w:spacing w:val="-5"/>
          <w:sz w:val="21"/>
        </w:rPr>
        <w:t> </w:t>
      </w:r>
      <w:r>
        <w:rPr>
          <w:sz w:val="21"/>
        </w:rPr>
        <w:t>of</w:t>
      </w:r>
      <w:r>
        <w:rPr>
          <w:spacing w:val="-6"/>
          <w:sz w:val="21"/>
        </w:rPr>
        <w:t> </w:t>
      </w:r>
      <w:r>
        <w:rPr>
          <w:sz w:val="21"/>
        </w:rPr>
        <w:t>the</w:t>
      </w:r>
      <w:r>
        <w:rPr>
          <w:spacing w:val="-6"/>
          <w:sz w:val="21"/>
        </w:rPr>
        <w:t> </w:t>
      </w:r>
      <w:r>
        <w:rPr>
          <w:sz w:val="21"/>
        </w:rPr>
        <w:t>system</w:t>
      </w:r>
      <w:r>
        <w:rPr>
          <w:spacing w:val="-5"/>
          <w:sz w:val="21"/>
        </w:rPr>
        <w:t> </w:t>
      </w:r>
      <w:r>
        <w:rPr>
          <w:sz w:val="21"/>
        </w:rPr>
        <w:t>with</w:t>
      </w:r>
      <w:r>
        <w:rPr>
          <w:spacing w:val="-6"/>
          <w:sz w:val="21"/>
        </w:rPr>
        <w:t> </w:t>
      </w:r>
      <w:r>
        <w:rPr>
          <w:sz w:val="21"/>
        </w:rPr>
        <w:t>dignity.</w:t>
      </w:r>
      <w:r>
        <w:rPr>
          <w:spacing w:val="-6"/>
          <w:sz w:val="21"/>
        </w:rPr>
        <w:t> </w:t>
      </w:r>
      <w:r>
        <w:rPr>
          <w:sz w:val="21"/>
        </w:rPr>
        <w:t>The</w:t>
      </w:r>
      <w:r>
        <w:rPr>
          <w:spacing w:val="-7"/>
          <w:sz w:val="21"/>
        </w:rPr>
        <w:t> </w:t>
      </w:r>
      <w:r>
        <w:rPr>
          <w:sz w:val="21"/>
        </w:rPr>
        <w:t>Commission</w:t>
      </w:r>
      <w:r>
        <w:rPr>
          <w:spacing w:val="-6"/>
          <w:sz w:val="21"/>
        </w:rPr>
        <w:t> </w:t>
      </w:r>
      <w:r>
        <w:rPr>
          <w:sz w:val="21"/>
        </w:rPr>
        <w:t>recognizes</w:t>
      </w:r>
      <w:r>
        <w:rPr>
          <w:spacing w:val="-6"/>
          <w:sz w:val="21"/>
        </w:rPr>
        <w:t> </w:t>
      </w:r>
      <w:r>
        <w:rPr>
          <w:sz w:val="21"/>
        </w:rPr>
        <w:t>that</w:t>
      </w:r>
      <w:r>
        <w:rPr>
          <w:spacing w:val="-5"/>
          <w:sz w:val="21"/>
        </w:rPr>
        <w:t> </w:t>
      </w:r>
      <w:r>
        <w:rPr>
          <w:sz w:val="21"/>
        </w:rPr>
        <w:t>CAFL</w:t>
      </w:r>
      <w:r>
        <w:rPr>
          <w:spacing w:val="-5"/>
          <w:sz w:val="21"/>
        </w:rPr>
        <w:t> </w:t>
      </w:r>
      <w:r>
        <w:rPr>
          <w:sz w:val="21"/>
        </w:rPr>
        <w:t>has been exploring ways to deliver more consistent and affirming services to LGBTQ clients. To address these concerns, the Commission suggests that the CAFL Performance Standards explicitly include guidelines for representing LGBTQ clients; this would include important culturally competent interventions including using appropriate names and pronouns, facilitating name and gender marker changes, and pursuing continuous education to improve LGBTQ competency among lawyers. Moreover, the Commission recommends</w:t>
      </w:r>
      <w:r>
        <w:rPr>
          <w:spacing w:val="-10"/>
          <w:sz w:val="21"/>
        </w:rPr>
        <w:t> </w:t>
      </w:r>
      <w:r>
        <w:rPr>
          <w:sz w:val="21"/>
        </w:rPr>
        <w:t>that</w:t>
      </w:r>
      <w:r>
        <w:rPr>
          <w:spacing w:val="-10"/>
          <w:sz w:val="21"/>
        </w:rPr>
        <w:t> </w:t>
      </w:r>
      <w:r>
        <w:rPr>
          <w:sz w:val="21"/>
        </w:rPr>
        <w:t>there</w:t>
      </w:r>
      <w:r>
        <w:rPr>
          <w:spacing w:val="-9"/>
          <w:sz w:val="21"/>
        </w:rPr>
        <w:t> </w:t>
      </w:r>
      <w:r>
        <w:rPr>
          <w:sz w:val="21"/>
        </w:rPr>
        <w:t>be</w:t>
      </w:r>
      <w:r>
        <w:rPr>
          <w:spacing w:val="-10"/>
          <w:sz w:val="21"/>
        </w:rPr>
        <w:t> </w:t>
      </w:r>
      <w:r>
        <w:rPr>
          <w:sz w:val="21"/>
        </w:rPr>
        <w:t>a</w:t>
      </w:r>
      <w:r>
        <w:rPr>
          <w:spacing w:val="-9"/>
          <w:sz w:val="21"/>
        </w:rPr>
        <w:t> </w:t>
      </w:r>
      <w:r>
        <w:rPr>
          <w:sz w:val="21"/>
        </w:rPr>
        <w:t>clear</w:t>
      </w:r>
      <w:r>
        <w:rPr>
          <w:spacing w:val="-9"/>
          <w:sz w:val="21"/>
        </w:rPr>
        <w:t> </w:t>
      </w:r>
      <w:r>
        <w:rPr>
          <w:sz w:val="21"/>
        </w:rPr>
        <w:t>and</w:t>
      </w:r>
      <w:r>
        <w:rPr>
          <w:spacing w:val="-9"/>
          <w:sz w:val="21"/>
        </w:rPr>
        <w:t> </w:t>
      </w:r>
      <w:r>
        <w:rPr>
          <w:sz w:val="21"/>
        </w:rPr>
        <w:t>efficient</w:t>
      </w:r>
      <w:r>
        <w:rPr>
          <w:spacing w:val="-9"/>
          <w:sz w:val="21"/>
        </w:rPr>
        <w:t> </w:t>
      </w:r>
      <w:r>
        <w:rPr>
          <w:sz w:val="21"/>
        </w:rPr>
        <w:t>process</w:t>
      </w:r>
      <w:r>
        <w:rPr>
          <w:spacing w:val="-8"/>
          <w:sz w:val="21"/>
        </w:rPr>
        <w:t> </w:t>
      </w:r>
      <w:r>
        <w:rPr>
          <w:sz w:val="21"/>
        </w:rPr>
        <w:t>for</w:t>
      </w:r>
      <w:r>
        <w:rPr>
          <w:spacing w:val="-9"/>
          <w:sz w:val="21"/>
        </w:rPr>
        <w:t> </w:t>
      </w:r>
      <w:r>
        <w:rPr>
          <w:sz w:val="21"/>
        </w:rPr>
        <w:t>evaluating</w:t>
      </w:r>
      <w:r>
        <w:rPr>
          <w:spacing w:val="-10"/>
          <w:sz w:val="21"/>
        </w:rPr>
        <w:t> </w:t>
      </w:r>
      <w:r>
        <w:rPr>
          <w:sz w:val="21"/>
        </w:rPr>
        <w:t>attorney</w:t>
      </w:r>
      <w:r>
        <w:rPr>
          <w:spacing w:val="-9"/>
          <w:sz w:val="21"/>
        </w:rPr>
        <w:t> </w:t>
      </w:r>
      <w:r>
        <w:rPr>
          <w:sz w:val="21"/>
        </w:rPr>
        <w:t>performance</w:t>
      </w:r>
      <w:r>
        <w:rPr>
          <w:spacing w:val="-9"/>
          <w:sz w:val="21"/>
        </w:rPr>
        <w:t> </w:t>
      </w:r>
      <w:r>
        <w:rPr>
          <w:sz w:val="21"/>
        </w:rPr>
        <w:t>in</w:t>
      </w:r>
      <w:r>
        <w:rPr>
          <w:spacing w:val="-9"/>
          <w:sz w:val="21"/>
        </w:rPr>
        <w:t> </w:t>
      </w:r>
      <w:r>
        <w:rPr>
          <w:sz w:val="21"/>
        </w:rPr>
        <w:t>these</w:t>
      </w:r>
      <w:r>
        <w:rPr>
          <w:spacing w:val="-9"/>
          <w:sz w:val="21"/>
        </w:rPr>
        <w:t> </w:t>
      </w:r>
      <w:r>
        <w:rPr>
          <w:sz w:val="21"/>
        </w:rPr>
        <w:t>areas, alongside accessible avenues for clients to report instances of bias or discrimination.</w:t>
      </w:r>
    </w:p>
    <w:p>
      <w:pPr>
        <w:spacing w:line="276" w:lineRule="auto" w:before="241"/>
        <w:ind w:left="464" w:right="239" w:firstLine="0"/>
        <w:jc w:val="both"/>
        <w:rPr>
          <w:sz w:val="21"/>
        </w:rPr>
      </w:pPr>
      <w:r>
        <w:rPr>
          <w:sz w:val="21"/>
        </w:rPr>
        <w:t>Further,</w:t>
      </w:r>
      <w:r>
        <w:rPr>
          <w:spacing w:val="-9"/>
          <w:sz w:val="21"/>
        </w:rPr>
        <w:t> </w:t>
      </w:r>
      <w:r>
        <w:rPr>
          <w:sz w:val="21"/>
        </w:rPr>
        <w:t>the</w:t>
      </w:r>
      <w:r>
        <w:rPr>
          <w:spacing w:val="-9"/>
          <w:sz w:val="21"/>
        </w:rPr>
        <w:t> </w:t>
      </w:r>
      <w:r>
        <w:rPr>
          <w:sz w:val="21"/>
        </w:rPr>
        <w:t>Commission</w:t>
      </w:r>
      <w:r>
        <w:rPr>
          <w:spacing w:val="-9"/>
          <w:sz w:val="21"/>
        </w:rPr>
        <w:t> </w:t>
      </w:r>
      <w:r>
        <w:rPr>
          <w:sz w:val="21"/>
        </w:rPr>
        <w:t>recommends</w:t>
      </w:r>
      <w:r>
        <w:rPr>
          <w:spacing w:val="-9"/>
          <w:sz w:val="21"/>
        </w:rPr>
        <w:t> </w:t>
      </w:r>
      <w:r>
        <w:rPr>
          <w:sz w:val="21"/>
        </w:rPr>
        <w:t>that</w:t>
      </w:r>
      <w:r>
        <w:rPr>
          <w:spacing w:val="-10"/>
          <w:sz w:val="21"/>
        </w:rPr>
        <w:t> </w:t>
      </w:r>
      <w:r>
        <w:rPr>
          <w:sz w:val="21"/>
        </w:rPr>
        <w:t>there</w:t>
      </w:r>
      <w:r>
        <w:rPr>
          <w:spacing w:val="-9"/>
          <w:sz w:val="21"/>
        </w:rPr>
        <w:t> </w:t>
      </w:r>
      <w:r>
        <w:rPr>
          <w:sz w:val="21"/>
        </w:rPr>
        <w:t>be</w:t>
      </w:r>
      <w:r>
        <w:rPr>
          <w:spacing w:val="-10"/>
          <w:sz w:val="21"/>
        </w:rPr>
        <w:t> </w:t>
      </w:r>
      <w:r>
        <w:rPr>
          <w:sz w:val="21"/>
        </w:rPr>
        <w:t>consistent</w:t>
      </w:r>
      <w:r>
        <w:rPr>
          <w:spacing w:val="-9"/>
          <w:sz w:val="21"/>
        </w:rPr>
        <w:t> </w:t>
      </w:r>
      <w:r>
        <w:rPr>
          <w:sz w:val="21"/>
        </w:rPr>
        <w:t>and</w:t>
      </w:r>
      <w:r>
        <w:rPr>
          <w:spacing w:val="-10"/>
          <w:sz w:val="21"/>
        </w:rPr>
        <w:t> </w:t>
      </w:r>
      <w:r>
        <w:rPr>
          <w:sz w:val="21"/>
        </w:rPr>
        <w:t>high-quality</w:t>
      </w:r>
      <w:r>
        <w:rPr>
          <w:spacing w:val="-9"/>
          <w:sz w:val="21"/>
        </w:rPr>
        <w:t> </w:t>
      </w:r>
      <w:r>
        <w:rPr>
          <w:sz w:val="21"/>
        </w:rPr>
        <w:t>training</w:t>
      </w:r>
      <w:r>
        <w:rPr>
          <w:spacing w:val="-9"/>
          <w:sz w:val="21"/>
        </w:rPr>
        <w:t> </w:t>
      </w:r>
      <w:r>
        <w:rPr>
          <w:sz w:val="21"/>
        </w:rPr>
        <w:t>on</w:t>
      </w:r>
      <w:r>
        <w:rPr>
          <w:spacing w:val="-9"/>
          <w:sz w:val="21"/>
        </w:rPr>
        <w:t> </w:t>
      </w:r>
      <w:r>
        <w:rPr>
          <w:sz w:val="21"/>
        </w:rPr>
        <w:t>LGBTQ</w:t>
      </w:r>
      <w:r>
        <w:rPr>
          <w:spacing w:val="-9"/>
          <w:sz w:val="21"/>
        </w:rPr>
        <w:t> </w:t>
      </w:r>
      <w:r>
        <w:rPr>
          <w:sz w:val="21"/>
        </w:rPr>
        <w:t>subjects for</w:t>
      </w:r>
      <w:r>
        <w:rPr>
          <w:spacing w:val="-9"/>
          <w:sz w:val="21"/>
        </w:rPr>
        <w:t> </w:t>
      </w:r>
      <w:r>
        <w:rPr>
          <w:sz w:val="21"/>
        </w:rPr>
        <w:t>CAFL</w:t>
      </w:r>
      <w:r>
        <w:rPr>
          <w:spacing w:val="-8"/>
          <w:sz w:val="21"/>
        </w:rPr>
        <w:t> </w:t>
      </w:r>
      <w:r>
        <w:rPr>
          <w:sz w:val="21"/>
        </w:rPr>
        <w:t>staff</w:t>
      </w:r>
      <w:r>
        <w:rPr>
          <w:spacing w:val="-8"/>
          <w:sz w:val="21"/>
        </w:rPr>
        <w:t> </w:t>
      </w:r>
      <w:r>
        <w:rPr>
          <w:sz w:val="21"/>
        </w:rPr>
        <w:t>and</w:t>
      </w:r>
      <w:r>
        <w:rPr>
          <w:spacing w:val="-9"/>
          <w:sz w:val="21"/>
        </w:rPr>
        <w:t> </w:t>
      </w:r>
      <w:r>
        <w:rPr>
          <w:sz w:val="21"/>
        </w:rPr>
        <w:t>private</w:t>
      </w:r>
      <w:r>
        <w:rPr>
          <w:spacing w:val="-9"/>
          <w:sz w:val="21"/>
        </w:rPr>
        <w:t> </w:t>
      </w:r>
      <w:r>
        <w:rPr>
          <w:sz w:val="21"/>
        </w:rPr>
        <w:t>attorneys.</w:t>
      </w:r>
      <w:r>
        <w:rPr>
          <w:spacing w:val="-9"/>
          <w:sz w:val="21"/>
        </w:rPr>
        <w:t> </w:t>
      </w:r>
      <w:r>
        <w:rPr>
          <w:sz w:val="21"/>
        </w:rPr>
        <w:t>It</w:t>
      </w:r>
      <w:r>
        <w:rPr>
          <w:spacing w:val="-8"/>
          <w:sz w:val="21"/>
        </w:rPr>
        <w:t> </w:t>
      </w:r>
      <w:r>
        <w:rPr>
          <w:sz w:val="21"/>
        </w:rPr>
        <w:t>is</w:t>
      </w:r>
      <w:r>
        <w:rPr>
          <w:spacing w:val="-9"/>
          <w:sz w:val="21"/>
        </w:rPr>
        <w:t> </w:t>
      </w:r>
      <w:r>
        <w:rPr>
          <w:sz w:val="21"/>
        </w:rPr>
        <w:t>of</w:t>
      </w:r>
      <w:r>
        <w:rPr>
          <w:spacing w:val="-9"/>
          <w:sz w:val="21"/>
        </w:rPr>
        <w:t> </w:t>
      </w:r>
      <w:r>
        <w:rPr>
          <w:sz w:val="21"/>
        </w:rPr>
        <w:t>critical</w:t>
      </w:r>
      <w:r>
        <w:rPr>
          <w:spacing w:val="-9"/>
          <w:sz w:val="21"/>
        </w:rPr>
        <w:t> </w:t>
      </w:r>
      <w:r>
        <w:rPr>
          <w:sz w:val="21"/>
        </w:rPr>
        <w:t>importance</w:t>
      </w:r>
      <w:r>
        <w:rPr>
          <w:spacing w:val="-9"/>
          <w:sz w:val="21"/>
        </w:rPr>
        <w:t> </w:t>
      </w:r>
      <w:r>
        <w:rPr>
          <w:sz w:val="21"/>
        </w:rPr>
        <w:t>that</w:t>
      </w:r>
      <w:r>
        <w:rPr>
          <w:spacing w:val="-8"/>
          <w:sz w:val="21"/>
        </w:rPr>
        <w:t> </w:t>
      </w:r>
      <w:r>
        <w:rPr>
          <w:sz w:val="21"/>
        </w:rPr>
        <w:t>attorneys</w:t>
      </w:r>
      <w:r>
        <w:rPr>
          <w:spacing w:val="-9"/>
          <w:sz w:val="21"/>
        </w:rPr>
        <w:t> </w:t>
      </w:r>
      <w:r>
        <w:rPr>
          <w:sz w:val="21"/>
        </w:rPr>
        <w:t>receive</w:t>
      </w:r>
      <w:r>
        <w:rPr>
          <w:spacing w:val="-9"/>
          <w:sz w:val="21"/>
        </w:rPr>
        <w:t> </w:t>
      </w:r>
      <w:r>
        <w:rPr>
          <w:sz w:val="21"/>
        </w:rPr>
        <w:t>both</w:t>
      </w:r>
      <w:r>
        <w:rPr>
          <w:spacing w:val="-9"/>
          <w:sz w:val="21"/>
        </w:rPr>
        <w:t> </w:t>
      </w:r>
      <w:r>
        <w:rPr>
          <w:sz w:val="21"/>
        </w:rPr>
        <w:t>introductory</w:t>
      </w:r>
      <w:r>
        <w:rPr>
          <w:spacing w:val="-9"/>
          <w:sz w:val="21"/>
        </w:rPr>
        <w:t> </w:t>
      </w:r>
      <w:r>
        <w:rPr>
          <w:sz w:val="21"/>
        </w:rPr>
        <w:t>and</w:t>
      </w:r>
    </w:p>
    <w:p>
      <w:pPr>
        <w:spacing w:after="0" w:line="276" w:lineRule="auto"/>
        <w:jc w:val="both"/>
        <w:rPr>
          <w:sz w:val="21"/>
        </w:rPr>
        <w:sectPr>
          <w:pgSz w:w="12240" w:h="15840"/>
          <w:pgMar w:header="763" w:footer="1041" w:top="1360" w:bottom="1240" w:left="1120" w:right="1340"/>
        </w:sectPr>
      </w:pPr>
    </w:p>
    <w:p>
      <w:pPr>
        <w:spacing w:line="276" w:lineRule="auto" w:before="65"/>
        <w:ind w:left="463" w:right="238" w:firstLine="0"/>
        <w:jc w:val="both"/>
        <w:rPr>
          <w:sz w:val="21"/>
        </w:rPr>
      </w:pPr>
      <w:r>
        <w:rPr>
          <w:sz w:val="21"/>
        </w:rPr>
        <w:t>specialized training covering various LGBTQ topics, such as gender-affirming healthcare and advocacy in educational settings. Attorneys, especially those with long-standing practices, might not proactively seek out new training opportunities relevant to LGBTQ clients, thus necessitating a mandatory training requirement</w:t>
      </w:r>
      <w:r>
        <w:rPr>
          <w:spacing w:val="-11"/>
          <w:sz w:val="21"/>
        </w:rPr>
        <w:t> </w:t>
      </w:r>
      <w:r>
        <w:rPr>
          <w:sz w:val="21"/>
        </w:rPr>
        <w:t>to</w:t>
      </w:r>
      <w:r>
        <w:rPr>
          <w:spacing w:val="-11"/>
          <w:sz w:val="21"/>
        </w:rPr>
        <w:t> </w:t>
      </w:r>
      <w:r>
        <w:rPr>
          <w:sz w:val="21"/>
        </w:rPr>
        <w:t>ensure</w:t>
      </w:r>
      <w:r>
        <w:rPr>
          <w:spacing w:val="-10"/>
          <w:sz w:val="21"/>
        </w:rPr>
        <w:t> </w:t>
      </w:r>
      <w:r>
        <w:rPr>
          <w:sz w:val="21"/>
        </w:rPr>
        <w:t>that</w:t>
      </w:r>
      <w:r>
        <w:rPr>
          <w:spacing w:val="-12"/>
          <w:sz w:val="21"/>
        </w:rPr>
        <w:t> </w:t>
      </w:r>
      <w:r>
        <w:rPr>
          <w:sz w:val="21"/>
        </w:rPr>
        <w:t>all</w:t>
      </w:r>
      <w:r>
        <w:rPr>
          <w:spacing w:val="-10"/>
          <w:sz w:val="21"/>
        </w:rPr>
        <w:t> </w:t>
      </w:r>
      <w:r>
        <w:rPr>
          <w:sz w:val="21"/>
        </w:rPr>
        <w:t>attorneys</w:t>
      </w:r>
      <w:r>
        <w:rPr>
          <w:spacing w:val="-11"/>
          <w:sz w:val="21"/>
        </w:rPr>
        <w:t> </w:t>
      </w:r>
      <w:r>
        <w:rPr>
          <w:sz w:val="21"/>
        </w:rPr>
        <w:t>are</w:t>
      </w:r>
      <w:r>
        <w:rPr>
          <w:spacing w:val="-10"/>
          <w:sz w:val="21"/>
        </w:rPr>
        <w:t> </w:t>
      </w:r>
      <w:r>
        <w:rPr>
          <w:sz w:val="21"/>
        </w:rPr>
        <w:t>equipped</w:t>
      </w:r>
      <w:r>
        <w:rPr>
          <w:spacing w:val="-11"/>
          <w:sz w:val="21"/>
        </w:rPr>
        <w:t> </w:t>
      </w:r>
      <w:r>
        <w:rPr>
          <w:sz w:val="21"/>
        </w:rPr>
        <w:t>to</w:t>
      </w:r>
      <w:r>
        <w:rPr>
          <w:spacing w:val="-11"/>
          <w:sz w:val="21"/>
        </w:rPr>
        <w:t> </w:t>
      </w:r>
      <w:r>
        <w:rPr>
          <w:sz w:val="21"/>
        </w:rPr>
        <w:t>serve</w:t>
      </w:r>
      <w:r>
        <w:rPr>
          <w:spacing w:val="-10"/>
          <w:sz w:val="21"/>
        </w:rPr>
        <w:t> </w:t>
      </w:r>
      <w:r>
        <w:rPr>
          <w:sz w:val="21"/>
        </w:rPr>
        <w:t>this</w:t>
      </w:r>
      <w:r>
        <w:rPr>
          <w:spacing w:val="-11"/>
          <w:sz w:val="21"/>
        </w:rPr>
        <w:t> </w:t>
      </w:r>
      <w:r>
        <w:rPr>
          <w:sz w:val="21"/>
        </w:rPr>
        <w:t>community</w:t>
      </w:r>
      <w:r>
        <w:rPr>
          <w:spacing w:val="-10"/>
          <w:sz w:val="21"/>
        </w:rPr>
        <w:t> </w:t>
      </w:r>
      <w:r>
        <w:rPr>
          <w:sz w:val="21"/>
        </w:rPr>
        <w:t>effectively.</w:t>
      </w:r>
      <w:r>
        <w:rPr>
          <w:spacing w:val="-10"/>
          <w:sz w:val="21"/>
        </w:rPr>
        <w:t> </w:t>
      </w:r>
      <w:r>
        <w:rPr>
          <w:sz w:val="21"/>
        </w:rPr>
        <w:t>The</w:t>
      </w:r>
      <w:r>
        <w:rPr>
          <w:spacing w:val="-10"/>
          <w:sz w:val="21"/>
        </w:rPr>
        <w:t> </w:t>
      </w:r>
      <w:r>
        <w:rPr>
          <w:sz w:val="21"/>
        </w:rPr>
        <w:t>Commission advocates</w:t>
      </w:r>
      <w:r>
        <w:rPr>
          <w:spacing w:val="-9"/>
          <w:sz w:val="21"/>
        </w:rPr>
        <w:t> </w:t>
      </w:r>
      <w:r>
        <w:rPr>
          <w:sz w:val="21"/>
        </w:rPr>
        <w:t>for</w:t>
      </w:r>
      <w:r>
        <w:rPr>
          <w:spacing w:val="-9"/>
          <w:sz w:val="21"/>
        </w:rPr>
        <w:t> </w:t>
      </w:r>
      <w:r>
        <w:rPr>
          <w:sz w:val="21"/>
        </w:rPr>
        <w:t>the</w:t>
      </w:r>
      <w:r>
        <w:rPr>
          <w:spacing w:val="-9"/>
          <w:sz w:val="21"/>
        </w:rPr>
        <w:t> </w:t>
      </w:r>
      <w:r>
        <w:rPr>
          <w:sz w:val="21"/>
        </w:rPr>
        <w:t>designation</w:t>
      </w:r>
      <w:r>
        <w:rPr>
          <w:spacing w:val="-9"/>
          <w:sz w:val="21"/>
        </w:rPr>
        <w:t> </w:t>
      </w:r>
      <w:r>
        <w:rPr>
          <w:sz w:val="21"/>
        </w:rPr>
        <w:t>of</w:t>
      </w:r>
      <w:r>
        <w:rPr>
          <w:spacing w:val="-9"/>
          <w:sz w:val="21"/>
        </w:rPr>
        <w:t> </w:t>
      </w:r>
      <w:r>
        <w:rPr>
          <w:sz w:val="21"/>
        </w:rPr>
        <w:t>one</w:t>
      </w:r>
      <w:r>
        <w:rPr>
          <w:spacing w:val="-9"/>
          <w:sz w:val="21"/>
        </w:rPr>
        <w:t> </w:t>
      </w:r>
      <w:r>
        <w:rPr>
          <w:sz w:val="21"/>
        </w:rPr>
        <w:t>or</w:t>
      </w:r>
      <w:r>
        <w:rPr>
          <w:spacing w:val="-9"/>
          <w:sz w:val="21"/>
        </w:rPr>
        <w:t> </w:t>
      </w:r>
      <w:r>
        <w:rPr>
          <w:sz w:val="21"/>
        </w:rPr>
        <w:t>more</w:t>
      </w:r>
      <w:r>
        <w:rPr>
          <w:spacing w:val="-9"/>
          <w:sz w:val="21"/>
        </w:rPr>
        <w:t> </w:t>
      </w:r>
      <w:r>
        <w:rPr>
          <w:sz w:val="21"/>
        </w:rPr>
        <w:t>point</w:t>
      </w:r>
      <w:r>
        <w:rPr>
          <w:spacing w:val="-8"/>
          <w:sz w:val="21"/>
        </w:rPr>
        <w:t> </w:t>
      </w:r>
      <w:r>
        <w:rPr>
          <w:sz w:val="21"/>
        </w:rPr>
        <w:t>people</w:t>
      </w:r>
      <w:r>
        <w:rPr>
          <w:spacing w:val="-9"/>
          <w:sz w:val="21"/>
        </w:rPr>
        <w:t> </w:t>
      </w:r>
      <w:r>
        <w:rPr>
          <w:sz w:val="21"/>
        </w:rPr>
        <w:t>within</w:t>
      </w:r>
      <w:r>
        <w:rPr>
          <w:spacing w:val="-9"/>
          <w:sz w:val="21"/>
        </w:rPr>
        <w:t> </w:t>
      </w:r>
      <w:r>
        <w:rPr>
          <w:sz w:val="21"/>
        </w:rPr>
        <w:t>CAFL</w:t>
      </w:r>
      <w:r>
        <w:rPr>
          <w:spacing w:val="-8"/>
          <w:sz w:val="21"/>
        </w:rPr>
        <w:t> </w:t>
      </w:r>
      <w:r>
        <w:rPr>
          <w:sz w:val="21"/>
        </w:rPr>
        <w:t>as</w:t>
      </w:r>
      <w:r>
        <w:rPr>
          <w:spacing w:val="-9"/>
          <w:sz w:val="21"/>
        </w:rPr>
        <w:t> </w:t>
      </w:r>
      <w:r>
        <w:rPr>
          <w:sz w:val="21"/>
        </w:rPr>
        <w:t>subject-matter</w:t>
      </w:r>
      <w:r>
        <w:rPr>
          <w:spacing w:val="-9"/>
          <w:sz w:val="21"/>
        </w:rPr>
        <w:t> </w:t>
      </w:r>
      <w:r>
        <w:rPr>
          <w:sz w:val="21"/>
        </w:rPr>
        <w:t>experts</w:t>
      </w:r>
      <w:r>
        <w:rPr>
          <w:spacing w:val="-11"/>
          <w:sz w:val="21"/>
        </w:rPr>
        <w:t> </w:t>
      </w:r>
      <w:r>
        <w:rPr>
          <w:sz w:val="21"/>
        </w:rPr>
        <w:t>on</w:t>
      </w:r>
      <w:r>
        <w:rPr>
          <w:spacing w:val="-9"/>
          <w:sz w:val="21"/>
        </w:rPr>
        <w:t> </w:t>
      </w:r>
      <w:r>
        <w:rPr>
          <w:sz w:val="21"/>
        </w:rPr>
        <w:t>LGBTQ issues.</w:t>
      </w:r>
      <w:r>
        <w:rPr>
          <w:spacing w:val="-8"/>
          <w:sz w:val="21"/>
        </w:rPr>
        <w:t> </w:t>
      </w:r>
      <w:r>
        <w:rPr>
          <w:sz w:val="21"/>
        </w:rPr>
        <w:t>This</w:t>
      </w:r>
      <w:r>
        <w:rPr>
          <w:spacing w:val="-8"/>
          <w:sz w:val="21"/>
        </w:rPr>
        <w:t> </w:t>
      </w:r>
      <w:r>
        <w:rPr>
          <w:sz w:val="21"/>
        </w:rPr>
        <w:t>would</w:t>
      </w:r>
      <w:r>
        <w:rPr>
          <w:spacing w:val="-8"/>
          <w:sz w:val="21"/>
        </w:rPr>
        <w:t> </w:t>
      </w:r>
      <w:r>
        <w:rPr>
          <w:sz w:val="21"/>
        </w:rPr>
        <w:t>provide</w:t>
      </w:r>
      <w:r>
        <w:rPr>
          <w:spacing w:val="-8"/>
          <w:sz w:val="21"/>
        </w:rPr>
        <w:t> </w:t>
      </w:r>
      <w:r>
        <w:rPr>
          <w:sz w:val="21"/>
        </w:rPr>
        <w:t>a</w:t>
      </w:r>
      <w:r>
        <w:rPr>
          <w:spacing w:val="-8"/>
          <w:sz w:val="21"/>
        </w:rPr>
        <w:t> </w:t>
      </w:r>
      <w:r>
        <w:rPr>
          <w:sz w:val="21"/>
        </w:rPr>
        <w:t>reliable</w:t>
      </w:r>
      <w:r>
        <w:rPr>
          <w:spacing w:val="-8"/>
          <w:sz w:val="21"/>
        </w:rPr>
        <w:t> </w:t>
      </w:r>
      <w:r>
        <w:rPr>
          <w:sz w:val="21"/>
        </w:rPr>
        <w:t>resource</w:t>
      </w:r>
      <w:r>
        <w:rPr>
          <w:spacing w:val="-8"/>
          <w:sz w:val="21"/>
        </w:rPr>
        <w:t> </w:t>
      </w:r>
      <w:r>
        <w:rPr>
          <w:sz w:val="21"/>
        </w:rPr>
        <w:t>for</w:t>
      </w:r>
      <w:r>
        <w:rPr>
          <w:spacing w:val="-8"/>
          <w:sz w:val="21"/>
        </w:rPr>
        <w:t> </w:t>
      </w:r>
      <w:r>
        <w:rPr>
          <w:sz w:val="21"/>
        </w:rPr>
        <w:t>colleagues</w:t>
      </w:r>
      <w:r>
        <w:rPr>
          <w:spacing w:val="-9"/>
          <w:sz w:val="21"/>
        </w:rPr>
        <w:t> </w:t>
      </w:r>
      <w:r>
        <w:rPr>
          <w:sz w:val="21"/>
        </w:rPr>
        <w:t>seeking</w:t>
      </w:r>
      <w:r>
        <w:rPr>
          <w:spacing w:val="-8"/>
          <w:sz w:val="21"/>
        </w:rPr>
        <w:t> </w:t>
      </w:r>
      <w:r>
        <w:rPr>
          <w:sz w:val="21"/>
        </w:rPr>
        <w:t>advice</w:t>
      </w:r>
      <w:r>
        <w:rPr>
          <w:spacing w:val="-8"/>
          <w:sz w:val="21"/>
        </w:rPr>
        <w:t> </w:t>
      </w:r>
      <w:r>
        <w:rPr>
          <w:sz w:val="21"/>
        </w:rPr>
        <w:t>on</w:t>
      </w:r>
      <w:r>
        <w:rPr>
          <w:spacing w:val="-8"/>
          <w:sz w:val="21"/>
        </w:rPr>
        <w:t> </w:t>
      </w:r>
      <w:r>
        <w:rPr>
          <w:sz w:val="21"/>
        </w:rPr>
        <w:t>best</w:t>
      </w:r>
      <w:r>
        <w:rPr>
          <w:spacing w:val="-8"/>
          <w:sz w:val="21"/>
        </w:rPr>
        <w:t> </w:t>
      </w:r>
      <w:r>
        <w:rPr>
          <w:sz w:val="21"/>
        </w:rPr>
        <w:t>practices</w:t>
      </w:r>
      <w:r>
        <w:rPr>
          <w:spacing w:val="-9"/>
          <w:sz w:val="21"/>
        </w:rPr>
        <w:t> </w:t>
      </w:r>
      <w:r>
        <w:rPr>
          <w:sz w:val="21"/>
        </w:rPr>
        <w:t>for</w:t>
      </w:r>
      <w:r>
        <w:rPr>
          <w:spacing w:val="-8"/>
          <w:sz w:val="21"/>
        </w:rPr>
        <w:t> </w:t>
      </w:r>
      <w:r>
        <w:rPr>
          <w:sz w:val="21"/>
        </w:rPr>
        <w:t>advocating for</w:t>
      </w:r>
      <w:r>
        <w:rPr>
          <w:spacing w:val="-12"/>
          <w:sz w:val="21"/>
        </w:rPr>
        <w:t> </w:t>
      </w:r>
      <w:r>
        <w:rPr>
          <w:sz w:val="21"/>
        </w:rPr>
        <w:t>LGBTQ</w:t>
      </w:r>
      <w:r>
        <w:rPr>
          <w:spacing w:val="-12"/>
          <w:sz w:val="21"/>
        </w:rPr>
        <w:t> </w:t>
      </w:r>
      <w:r>
        <w:rPr>
          <w:sz w:val="21"/>
        </w:rPr>
        <w:t>clients.</w:t>
      </w:r>
      <w:r>
        <w:rPr>
          <w:spacing w:val="-12"/>
          <w:sz w:val="21"/>
        </w:rPr>
        <w:t> </w:t>
      </w:r>
      <w:r>
        <w:rPr>
          <w:sz w:val="21"/>
        </w:rPr>
        <w:t>The</w:t>
      </w:r>
      <w:r>
        <w:rPr>
          <w:spacing w:val="-12"/>
          <w:sz w:val="21"/>
        </w:rPr>
        <w:t> </w:t>
      </w:r>
      <w:r>
        <w:rPr>
          <w:sz w:val="21"/>
        </w:rPr>
        <w:t>establishment</w:t>
      </w:r>
      <w:r>
        <w:rPr>
          <w:spacing w:val="-12"/>
          <w:sz w:val="21"/>
        </w:rPr>
        <w:t> </w:t>
      </w:r>
      <w:r>
        <w:rPr>
          <w:sz w:val="21"/>
        </w:rPr>
        <w:t>of</w:t>
      </w:r>
      <w:r>
        <w:rPr>
          <w:spacing w:val="-12"/>
          <w:sz w:val="21"/>
        </w:rPr>
        <w:t> </w:t>
      </w:r>
      <w:r>
        <w:rPr>
          <w:sz w:val="21"/>
        </w:rPr>
        <w:t>such</w:t>
      </w:r>
      <w:r>
        <w:rPr>
          <w:spacing w:val="-12"/>
          <w:sz w:val="21"/>
        </w:rPr>
        <w:t> </w:t>
      </w:r>
      <w:r>
        <w:rPr>
          <w:sz w:val="21"/>
        </w:rPr>
        <w:t>positions,</w:t>
      </w:r>
      <w:r>
        <w:rPr>
          <w:spacing w:val="-11"/>
          <w:sz w:val="21"/>
        </w:rPr>
        <w:t> </w:t>
      </w:r>
      <w:r>
        <w:rPr>
          <w:sz w:val="21"/>
        </w:rPr>
        <w:t>potentially</w:t>
      </w:r>
      <w:r>
        <w:rPr>
          <w:spacing w:val="-12"/>
          <w:sz w:val="21"/>
        </w:rPr>
        <w:t> </w:t>
      </w:r>
      <w:r>
        <w:rPr>
          <w:sz w:val="21"/>
        </w:rPr>
        <w:t>initiated</w:t>
      </w:r>
      <w:r>
        <w:rPr>
          <w:spacing w:val="-12"/>
          <w:sz w:val="21"/>
        </w:rPr>
        <w:t> </w:t>
      </w:r>
      <w:r>
        <w:rPr>
          <w:sz w:val="21"/>
        </w:rPr>
        <w:t>through</w:t>
      </w:r>
      <w:r>
        <w:rPr>
          <w:spacing w:val="-12"/>
          <w:sz w:val="21"/>
        </w:rPr>
        <w:t> </w:t>
      </w:r>
      <w:r>
        <w:rPr>
          <w:sz w:val="21"/>
        </w:rPr>
        <w:t>legal</w:t>
      </w:r>
      <w:r>
        <w:rPr>
          <w:spacing w:val="-12"/>
          <w:sz w:val="21"/>
        </w:rPr>
        <w:t> </w:t>
      </w:r>
      <w:r>
        <w:rPr>
          <w:sz w:val="21"/>
        </w:rPr>
        <w:t>fellowships,</w:t>
      </w:r>
      <w:r>
        <w:rPr>
          <w:spacing w:val="-12"/>
          <w:sz w:val="21"/>
        </w:rPr>
        <w:t> </w:t>
      </w:r>
      <w:r>
        <w:rPr>
          <w:sz w:val="21"/>
        </w:rPr>
        <w:t>would be a critical step toward embedding LGBTQ cultural competency within CAFL's operations. Further, it is recommended that CAFL collect and report data on sexual orientation, gender identity, and other demographics</w:t>
      </w:r>
      <w:r>
        <w:rPr>
          <w:spacing w:val="-2"/>
          <w:sz w:val="21"/>
        </w:rPr>
        <w:t> </w:t>
      </w:r>
      <w:r>
        <w:rPr>
          <w:sz w:val="21"/>
        </w:rPr>
        <w:t>to</w:t>
      </w:r>
      <w:r>
        <w:rPr>
          <w:spacing w:val="-3"/>
          <w:sz w:val="21"/>
        </w:rPr>
        <w:t> </w:t>
      </w:r>
      <w:r>
        <w:rPr>
          <w:sz w:val="21"/>
        </w:rPr>
        <w:t>better</w:t>
      </w:r>
      <w:r>
        <w:rPr>
          <w:spacing w:val="-4"/>
          <w:sz w:val="21"/>
        </w:rPr>
        <w:t> </w:t>
      </w:r>
      <w:r>
        <w:rPr>
          <w:sz w:val="21"/>
        </w:rPr>
        <w:t>understand</w:t>
      </w:r>
      <w:r>
        <w:rPr>
          <w:spacing w:val="-3"/>
          <w:sz w:val="21"/>
        </w:rPr>
        <w:t> </w:t>
      </w:r>
      <w:r>
        <w:rPr>
          <w:sz w:val="21"/>
        </w:rPr>
        <w:t>and</w:t>
      </w:r>
      <w:r>
        <w:rPr>
          <w:spacing w:val="-4"/>
          <w:sz w:val="21"/>
        </w:rPr>
        <w:t> </w:t>
      </w:r>
      <w:r>
        <w:rPr>
          <w:sz w:val="21"/>
        </w:rPr>
        <w:t>meet</w:t>
      </w:r>
      <w:r>
        <w:rPr>
          <w:spacing w:val="-3"/>
          <w:sz w:val="21"/>
        </w:rPr>
        <w:t> </w:t>
      </w:r>
      <w:r>
        <w:rPr>
          <w:sz w:val="21"/>
        </w:rPr>
        <w:t>the</w:t>
      </w:r>
      <w:r>
        <w:rPr>
          <w:spacing w:val="-3"/>
          <w:sz w:val="21"/>
        </w:rPr>
        <w:t> </w:t>
      </w:r>
      <w:r>
        <w:rPr>
          <w:sz w:val="21"/>
        </w:rPr>
        <w:t>needs</w:t>
      </w:r>
      <w:r>
        <w:rPr>
          <w:spacing w:val="-4"/>
          <w:sz w:val="21"/>
        </w:rPr>
        <w:t> </w:t>
      </w:r>
      <w:r>
        <w:rPr>
          <w:sz w:val="21"/>
        </w:rPr>
        <w:t>of</w:t>
      </w:r>
      <w:r>
        <w:rPr>
          <w:spacing w:val="-4"/>
          <w:sz w:val="21"/>
        </w:rPr>
        <w:t> </w:t>
      </w:r>
      <w:r>
        <w:rPr>
          <w:sz w:val="21"/>
        </w:rPr>
        <w:t>LGBTQ</w:t>
      </w:r>
      <w:r>
        <w:rPr>
          <w:spacing w:val="-3"/>
          <w:sz w:val="21"/>
        </w:rPr>
        <w:t> </w:t>
      </w:r>
      <w:r>
        <w:rPr>
          <w:sz w:val="21"/>
        </w:rPr>
        <w:t>youth,</w:t>
      </w:r>
      <w:r>
        <w:rPr>
          <w:spacing w:val="-3"/>
          <w:sz w:val="21"/>
        </w:rPr>
        <w:t> </w:t>
      </w:r>
      <w:r>
        <w:rPr>
          <w:sz w:val="21"/>
        </w:rPr>
        <w:t>including</w:t>
      </w:r>
      <w:r>
        <w:rPr>
          <w:spacing w:val="-4"/>
          <w:sz w:val="21"/>
        </w:rPr>
        <w:t> </w:t>
      </w:r>
      <w:r>
        <w:rPr>
          <w:sz w:val="21"/>
        </w:rPr>
        <w:t>those</w:t>
      </w:r>
      <w:r>
        <w:rPr>
          <w:spacing w:val="-4"/>
          <w:sz w:val="21"/>
        </w:rPr>
        <w:t> </w:t>
      </w:r>
      <w:r>
        <w:rPr>
          <w:sz w:val="21"/>
        </w:rPr>
        <w:t>of</w:t>
      </w:r>
      <w:r>
        <w:rPr>
          <w:spacing w:val="-4"/>
          <w:sz w:val="21"/>
        </w:rPr>
        <w:t> </w:t>
      </w:r>
      <w:r>
        <w:rPr>
          <w:sz w:val="21"/>
        </w:rPr>
        <w:t>color</w:t>
      </w:r>
      <w:r>
        <w:rPr>
          <w:spacing w:val="-3"/>
          <w:sz w:val="21"/>
        </w:rPr>
        <w:t> </w:t>
      </w:r>
      <w:r>
        <w:rPr>
          <w:sz w:val="21"/>
        </w:rPr>
        <w:t>and</w:t>
      </w:r>
      <w:r>
        <w:rPr>
          <w:spacing w:val="-3"/>
          <w:sz w:val="21"/>
        </w:rPr>
        <w:t> </w:t>
      </w:r>
      <w:r>
        <w:rPr>
          <w:sz w:val="21"/>
        </w:rPr>
        <w:t>with disabilities. Finally, the recommendations, included in more detail elsewhere in this report, call for an investigation into and addressing of service provision gaps for immigrant youth, ensuring that these vulnerable groups receive appropriate and effective legal representation.</w:t>
      </w:r>
    </w:p>
    <w:p>
      <w:pPr>
        <w:spacing w:line="276" w:lineRule="auto" w:before="241"/>
        <w:ind w:left="464" w:right="240" w:firstLine="0"/>
        <w:jc w:val="both"/>
        <w:rPr>
          <w:sz w:val="21"/>
        </w:rPr>
      </w:pPr>
      <w:r>
        <w:rPr>
          <w:sz w:val="21"/>
        </w:rPr>
        <w:t>Within the foster care system, LGBTQ youth frequently face intolerance, mistreatment, and neglect from caregivers and peers.</w:t>
      </w:r>
      <w:r>
        <w:rPr>
          <w:spacing w:val="-12"/>
          <w:sz w:val="21"/>
        </w:rPr>
        <w:t> </w:t>
      </w:r>
      <w:hyperlink w:history="true" w:anchor="_bookmark375">
        <w:r>
          <w:rPr>
            <w:sz w:val="21"/>
            <w:vertAlign w:val="superscript"/>
          </w:rPr>
          <w:t>59</w:t>
        </w:r>
      </w:hyperlink>
      <w:r>
        <w:rPr>
          <w:sz w:val="21"/>
          <w:vertAlign w:val="baseline"/>
        </w:rPr>
        <w:t> The Commission has repeatedly advised DCF to improve the recruitment and training of LGBTQ-affirming foster parents and to develop a system for tracking such homes. The scarcity of affirming foster homes across the country and the state exacerbates the risks for LGBTQ youth, making them more likely to be placed in non-affirming group homes or foster homes, thereby increasing their vulnerability to violence and discrimination.</w:t>
      </w:r>
      <w:hyperlink w:history="true" w:anchor="_bookmark376">
        <w:r>
          <w:rPr>
            <w:sz w:val="21"/>
            <w:vertAlign w:val="superscript"/>
          </w:rPr>
          <w:t>60</w:t>
        </w:r>
      </w:hyperlink>
      <w:r>
        <w:rPr>
          <w:sz w:val="21"/>
          <w:vertAlign w:val="baseline"/>
        </w:rPr>
        <w:t> The trauma of being placed in the child welfare system, coupled</w:t>
      </w:r>
      <w:r>
        <w:rPr>
          <w:spacing w:val="-4"/>
          <w:sz w:val="21"/>
          <w:vertAlign w:val="baseline"/>
        </w:rPr>
        <w:t> </w:t>
      </w:r>
      <w:r>
        <w:rPr>
          <w:sz w:val="21"/>
          <w:vertAlign w:val="baseline"/>
        </w:rPr>
        <w:t>with</w:t>
      </w:r>
      <w:r>
        <w:rPr>
          <w:spacing w:val="-4"/>
          <w:sz w:val="21"/>
          <w:vertAlign w:val="baseline"/>
        </w:rPr>
        <w:t> </w:t>
      </w:r>
      <w:r>
        <w:rPr>
          <w:sz w:val="21"/>
          <w:vertAlign w:val="baseline"/>
        </w:rPr>
        <w:t>this</w:t>
      </w:r>
      <w:r>
        <w:rPr>
          <w:spacing w:val="-5"/>
          <w:sz w:val="21"/>
          <w:vertAlign w:val="baseline"/>
        </w:rPr>
        <w:t> </w:t>
      </w:r>
      <w:r>
        <w:rPr>
          <w:sz w:val="21"/>
          <w:vertAlign w:val="baseline"/>
        </w:rPr>
        <w:t>rejection,</w:t>
      </w:r>
      <w:r>
        <w:rPr>
          <w:spacing w:val="-4"/>
          <w:sz w:val="21"/>
          <w:vertAlign w:val="baseline"/>
        </w:rPr>
        <w:t> </w:t>
      </w:r>
      <w:r>
        <w:rPr>
          <w:sz w:val="21"/>
          <w:vertAlign w:val="baseline"/>
        </w:rPr>
        <w:t>can</w:t>
      </w:r>
      <w:r>
        <w:rPr>
          <w:spacing w:val="-4"/>
          <w:sz w:val="21"/>
          <w:vertAlign w:val="baseline"/>
        </w:rPr>
        <w:t> </w:t>
      </w:r>
      <w:r>
        <w:rPr>
          <w:sz w:val="21"/>
          <w:vertAlign w:val="baseline"/>
        </w:rPr>
        <w:t>have</w:t>
      </w:r>
      <w:r>
        <w:rPr>
          <w:spacing w:val="-4"/>
          <w:sz w:val="21"/>
          <w:vertAlign w:val="baseline"/>
        </w:rPr>
        <w:t> </w:t>
      </w:r>
      <w:r>
        <w:rPr>
          <w:sz w:val="21"/>
          <w:vertAlign w:val="baseline"/>
        </w:rPr>
        <w:t>severe</w:t>
      </w:r>
      <w:r>
        <w:rPr>
          <w:spacing w:val="-4"/>
          <w:sz w:val="21"/>
          <w:vertAlign w:val="baseline"/>
        </w:rPr>
        <w:t> </w:t>
      </w:r>
      <w:r>
        <w:rPr>
          <w:sz w:val="21"/>
          <w:vertAlign w:val="baseline"/>
        </w:rPr>
        <w:t>effects</w:t>
      </w:r>
      <w:r>
        <w:rPr>
          <w:spacing w:val="-5"/>
          <w:sz w:val="21"/>
          <w:vertAlign w:val="baseline"/>
        </w:rPr>
        <w:t> </w:t>
      </w:r>
      <w:r>
        <w:rPr>
          <w:sz w:val="21"/>
          <w:vertAlign w:val="baseline"/>
        </w:rPr>
        <w:t>on</w:t>
      </w:r>
      <w:r>
        <w:rPr>
          <w:spacing w:val="-4"/>
          <w:sz w:val="21"/>
          <w:vertAlign w:val="baseline"/>
        </w:rPr>
        <w:t> </w:t>
      </w:r>
      <w:r>
        <w:rPr>
          <w:sz w:val="21"/>
          <w:vertAlign w:val="baseline"/>
        </w:rPr>
        <w:t>their</w:t>
      </w:r>
      <w:r>
        <w:rPr>
          <w:spacing w:val="-4"/>
          <w:sz w:val="21"/>
          <w:vertAlign w:val="baseline"/>
        </w:rPr>
        <w:t> </w:t>
      </w:r>
      <w:r>
        <w:rPr>
          <w:sz w:val="21"/>
          <w:vertAlign w:val="baseline"/>
        </w:rPr>
        <w:t>mental</w:t>
      </w:r>
      <w:r>
        <w:rPr>
          <w:spacing w:val="-4"/>
          <w:sz w:val="21"/>
          <w:vertAlign w:val="baseline"/>
        </w:rPr>
        <w:t> </w:t>
      </w:r>
      <w:r>
        <w:rPr>
          <w:sz w:val="21"/>
          <w:vertAlign w:val="baseline"/>
        </w:rPr>
        <w:t>and</w:t>
      </w:r>
      <w:r>
        <w:rPr>
          <w:spacing w:val="-4"/>
          <w:sz w:val="21"/>
          <w:vertAlign w:val="baseline"/>
        </w:rPr>
        <w:t> </w:t>
      </w:r>
      <w:r>
        <w:rPr>
          <w:sz w:val="21"/>
          <w:vertAlign w:val="baseline"/>
        </w:rPr>
        <w:t>emotional</w:t>
      </w:r>
      <w:r>
        <w:rPr>
          <w:spacing w:val="-5"/>
          <w:sz w:val="21"/>
          <w:vertAlign w:val="baseline"/>
        </w:rPr>
        <w:t> </w:t>
      </w:r>
      <w:r>
        <w:rPr>
          <w:sz w:val="21"/>
          <w:vertAlign w:val="baseline"/>
        </w:rPr>
        <w:t>health.</w:t>
      </w:r>
      <w:hyperlink w:history="true" w:anchor="_bookmark377">
        <w:r>
          <w:rPr>
            <w:sz w:val="21"/>
            <w:vertAlign w:val="superscript"/>
          </w:rPr>
          <w:t>61</w:t>
        </w:r>
      </w:hyperlink>
      <w:r>
        <w:rPr>
          <w:spacing w:val="-2"/>
          <w:sz w:val="21"/>
          <w:vertAlign w:val="baseline"/>
        </w:rPr>
        <w:t> </w:t>
      </w:r>
      <w:r>
        <w:rPr>
          <w:sz w:val="21"/>
          <w:vertAlign w:val="baseline"/>
        </w:rPr>
        <w:t>Many</w:t>
      </w:r>
      <w:r>
        <w:rPr>
          <w:spacing w:val="-6"/>
          <w:sz w:val="21"/>
          <w:vertAlign w:val="baseline"/>
        </w:rPr>
        <w:t> </w:t>
      </w:r>
      <w:r>
        <w:rPr>
          <w:sz w:val="21"/>
          <w:vertAlign w:val="baseline"/>
        </w:rPr>
        <w:t>of</w:t>
      </w:r>
      <w:r>
        <w:rPr>
          <w:spacing w:val="-5"/>
          <w:sz w:val="21"/>
          <w:vertAlign w:val="baseline"/>
        </w:rPr>
        <w:t> </w:t>
      </w:r>
      <w:r>
        <w:rPr>
          <w:sz w:val="21"/>
          <w:vertAlign w:val="baseline"/>
        </w:rPr>
        <w:t>these youth encounter untreated mental health issues or are over-medicated with psychotropic drugs.</w:t>
      </w:r>
    </w:p>
    <w:p>
      <w:pPr>
        <w:spacing w:line="276" w:lineRule="auto" w:before="239"/>
        <w:ind w:left="463" w:right="238" w:firstLine="0"/>
        <w:jc w:val="both"/>
        <w:rPr>
          <w:sz w:val="21"/>
        </w:rPr>
      </w:pPr>
      <w:r>
        <w:rPr>
          <w:sz w:val="21"/>
        </w:rPr>
        <w:t>In</w:t>
      </w:r>
      <w:r>
        <w:rPr>
          <w:spacing w:val="-7"/>
          <w:sz w:val="21"/>
        </w:rPr>
        <w:t> </w:t>
      </w:r>
      <w:r>
        <w:rPr>
          <w:sz w:val="21"/>
        </w:rPr>
        <w:t>addition</w:t>
      </w:r>
      <w:r>
        <w:rPr>
          <w:spacing w:val="-7"/>
          <w:sz w:val="21"/>
        </w:rPr>
        <w:t> </w:t>
      </w:r>
      <w:r>
        <w:rPr>
          <w:sz w:val="21"/>
        </w:rPr>
        <w:t>to</w:t>
      </w:r>
      <w:r>
        <w:rPr>
          <w:spacing w:val="-10"/>
          <w:sz w:val="21"/>
        </w:rPr>
        <w:t> </w:t>
      </w:r>
      <w:r>
        <w:rPr>
          <w:sz w:val="21"/>
        </w:rPr>
        <w:t>the</w:t>
      </w:r>
      <w:r>
        <w:rPr>
          <w:spacing w:val="-7"/>
          <w:sz w:val="21"/>
        </w:rPr>
        <w:t> </w:t>
      </w:r>
      <w:r>
        <w:rPr>
          <w:sz w:val="21"/>
        </w:rPr>
        <w:t>systemic</w:t>
      </w:r>
      <w:r>
        <w:rPr>
          <w:spacing w:val="-7"/>
          <w:sz w:val="21"/>
        </w:rPr>
        <w:t> </w:t>
      </w:r>
      <w:r>
        <w:rPr>
          <w:sz w:val="21"/>
        </w:rPr>
        <w:t>failings</w:t>
      </w:r>
      <w:r>
        <w:rPr>
          <w:spacing w:val="-7"/>
          <w:sz w:val="21"/>
        </w:rPr>
        <w:t> </w:t>
      </w:r>
      <w:r>
        <w:rPr>
          <w:sz w:val="21"/>
        </w:rPr>
        <w:t>in</w:t>
      </w:r>
      <w:r>
        <w:rPr>
          <w:spacing w:val="-7"/>
          <w:sz w:val="21"/>
        </w:rPr>
        <w:t> </w:t>
      </w:r>
      <w:r>
        <w:rPr>
          <w:sz w:val="21"/>
        </w:rPr>
        <w:t>foster</w:t>
      </w:r>
      <w:r>
        <w:rPr>
          <w:spacing w:val="-7"/>
          <w:sz w:val="21"/>
        </w:rPr>
        <w:t> </w:t>
      </w:r>
      <w:r>
        <w:rPr>
          <w:sz w:val="21"/>
        </w:rPr>
        <w:t>care,</w:t>
      </w:r>
      <w:r>
        <w:rPr>
          <w:spacing w:val="-8"/>
          <w:sz w:val="21"/>
        </w:rPr>
        <w:t> </w:t>
      </w:r>
      <w:r>
        <w:rPr>
          <w:sz w:val="21"/>
        </w:rPr>
        <w:t>the</w:t>
      </w:r>
      <w:r>
        <w:rPr>
          <w:spacing w:val="-7"/>
          <w:sz w:val="21"/>
        </w:rPr>
        <w:t> </w:t>
      </w:r>
      <w:r>
        <w:rPr>
          <w:sz w:val="21"/>
        </w:rPr>
        <w:t>criminalization</w:t>
      </w:r>
      <w:r>
        <w:rPr>
          <w:spacing w:val="-7"/>
          <w:sz w:val="21"/>
        </w:rPr>
        <w:t> </w:t>
      </w:r>
      <w:r>
        <w:rPr>
          <w:sz w:val="21"/>
        </w:rPr>
        <w:t>of</w:t>
      </w:r>
      <w:r>
        <w:rPr>
          <w:spacing w:val="-7"/>
          <w:sz w:val="21"/>
        </w:rPr>
        <w:t> </w:t>
      </w:r>
      <w:r>
        <w:rPr>
          <w:sz w:val="21"/>
        </w:rPr>
        <w:t>mental</w:t>
      </w:r>
      <w:r>
        <w:rPr>
          <w:spacing w:val="-7"/>
          <w:sz w:val="21"/>
        </w:rPr>
        <w:t> </w:t>
      </w:r>
      <w:r>
        <w:rPr>
          <w:sz w:val="21"/>
        </w:rPr>
        <w:t>illness</w:t>
      </w:r>
      <w:r>
        <w:rPr>
          <w:spacing w:val="-7"/>
          <w:sz w:val="21"/>
        </w:rPr>
        <w:t> </w:t>
      </w:r>
      <w:r>
        <w:rPr>
          <w:sz w:val="21"/>
        </w:rPr>
        <w:t>plays</w:t>
      </w:r>
      <w:r>
        <w:rPr>
          <w:spacing w:val="-7"/>
          <w:sz w:val="21"/>
        </w:rPr>
        <w:t> </w:t>
      </w:r>
      <w:r>
        <w:rPr>
          <w:sz w:val="21"/>
        </w:rPr>
        <w:t>a</w:t>
      </w:r>
      <w:r>
        <w:rPr>
          <w:spacing w:val="-6"/>
          <w:sz w:val="21"/>
        </w:rPr>
        <w:t> </w:t>
      </w:r>
      <w:r>
        <w:rPr>
          <w:sz w:val="21"/>
        </w:rPr>
        <w:t>significant</w:t>
      </w:r>
      <w:r>
        <w:rPr>
          <w:spacing w:val="-6"/>
          <w:sz w:val="21"/>
        </w:rPr>
        <w:t> </w:t>
      </w:r>
      <w:r>
        <w:rPr>
          <w:sz w:val="21"/>
        </w:rPr>
        <w:t>role in propelling LGBTQ youth from foster care into the prison system.</w:t>
      </w:r>
      <w:r>
        <w:rPr>
          <w:spacing w:val="-12"/>
          <w:sz w:val="21"/>
        </w:rPr>
        <w:t> </w:t>
      </w:r>
      <w:hyperlink w:history="true" w:anchor="_bookmark378">
        <w:r>
          <w:rPr>
            <w:sz w:val="21"/>
            <w:vertAlign w:val="superscript"/>
          </w:rPr>
          <w:t>62</w:t>
        </w:r>
      </w:hyperlink>
      <w:r>
        <w:rPr>
          <w:sz w:val="21"/>
          <w:vertAlign w:val="baseline"/>
        </w:rPr>
        <w:t> Rather than receiving trauma- informed and identity-affirming care, many foster youth are incarcerated during mental health crises.</w:t>
      </w:r>
      <w:hyperlink w:history="true" w:anchor="_bookmark379">
        <w:r>
          <w:rPr>
            <w:sz w:val="21"/>
            <w:vertAlign w:val="superscript"/>
          </w:rPr>
          <w:t>63</w:t>
        </w:r>
      </w:hyperlink>
      <w:r>
        <w:rPr>
          <w:sz w:val="21"/>
          <w:vertAlign w:val="baseline"/>
        </w:rPr>
        <w:t> And,</w:t>
      </w:r>
      <w:r>
        <w:rPr>
          <w:spacing w:val="-8"/>
          <w:sz w:val="21"/>
          <w:vertAlign w:val="baseline"/>
        </w:rPr>
        <w:t> </w:t>
      </w:r>
      <w:r>
        <w:rPr>
          <w:sz w:val="21"/>
          <w:vertAlign w:val="baseline"/>
        </w:rPr>
        <w:t>the</w:t>
      </w:r>
      <w:r>
        <w:rPr>
          <w:spacing w:val="-9"/>
          <w:sz w:val="21"/>
          <w:vertAlign w:val="baseline"/>
        </w:rPr>
        <w:t> </w:t>
      </w:r>
      <w:r>
        <w:rPr>
          <w:sz w:val="21"/>
          <w:vertAlign w:val="baseline"/>
        </w:rPr>
        <w:t>transition</w:t>
      </w:r>
      <w:r>
        <w:rPr>
          <w:spacing w:val="-8"/>
          <w:sz w:val="21"/>
          <w:vertAlign w:val="baseline"/>
        </w:rPr>
        <w:t> </w:t>
      </w:r>
      <w:r>
        <w:rPr>
          <w:sz w:val="21"/>
          <w:vertAlign w:val="baseline"/>
        </w:rPr>
        <w:t>out</w:t>
      </w:r>
      <w:r>
        <w:rPr>
          <w:spacing w:val="-7"/>
          <w:sz w:val="21"/>
          <w:vertAlign w:val="baseline"/>
        </w:rPr>
        <w:t> </w:t>
      </w:r>
      <w:r>
        <w:rPr>
          <w:sz w:val="21"/>
          <w:vertAlign w:val="baseline"/>
        </w:rPr>
        <w:t>of</w:t>
      </w:r>
      <w:r>
        <w:rPr>
          <w:spacing w:val="-8"/>
          <w:sz w:val="21"/>
          <w:vertAlign w:val="baseline"/>
        </w:rPr>
        <w:t> </w:t>
      </w:r>
      <w:r>
        <w:rPr>
          <w:sz w:val="21"/>
          <w:vertAlign w:val="baseline"/>
        </w:rPr>
        <w:t>foster</w:t>
      </w:r>
      <w:r>
        <w:rPr>
          <w:spacing w:val="-8"/>
          <w:sz w:val="21"/>
          <w:vertAlign w:val="baseline"/>
        </w:rPr>
        <w:t> </w:t>
      </w:r>
      <w:r>
        <w:rPr>
          <w:sz w:val="21"/>
          <w:vertAlign w:val="baseline"/>
        </w:rPr>
        <w:t>care</w:t>
      </w:r>
      <w:r>
        <w:rPr>
          <w:spacing w:val="-8"/>
          <w:sz w:val="21"/>
          <w:vertAlign w:val="baseline"/>
        </w:rPr>
        <w:t> </w:t>
      </w:r>
      <w:r>
        <w:rPr>
          <w:sz w:val="21"/>
          <w:vertAlign w:val="baseline"/>
        </w:rPr>
        <w:t>presents</w:t>
      </w:r>
      <w:r>
        <w:rPr>
          <w:spacing w:val="-8"/>
          <w:sz w:val="21"/>
          <w:vertAlign w:val="baseline"/>
        </w:rPr>
        <w:t> </w:t>
      </w:r>
      <w:r>
        <w:rPr>
          <w:sz w:val="21"/>
          <w:vertAlign w:val="baseline"/>
        </w:rPr>
        <w:t>its</w:t>
      </w:r>
      <w:r>
        <w:rPr>
          <w:spacing w:val="-8"/>
          <w:sz w:val="21"/>
          <w:vertAlign w:val="baseline"/>
        </w:rPr>
        <w:t> </w:t>
      </w:r>
      <w:r>
        <w:rPr>
          <w:sz w:val="21"/>
          <w:vertAlign w:val="baseline"/>
        </w:rPr>
        <w:t>own</w:t>
      </w:r>
      <w:r>
        <w:rPr>
          <w:spacing w:val="-8"/>
          <w:sz w:val="21"/>
          <w:vertAlign w:val="baseline"/>
        </w:rPr>
        <w:t> </w:t>
      </w:r>
      <w:r>
        <w:rPr>
          <w:sz w:val="21"/>
          <w:vertAlign w:val="baseline"/>
        </w:rPr>
        <w:t>set</w:t>
      </w:r>
      <w:r>
        <w:rPr>
          <w:spacing w:val="-8"/>
          <w:sz w:val="21"/>
          <w:vertAlign w:val="baseline"/>
        </w:rPr>
        <w:t> </w:t>
      </w:r>
      <w:r>
        <w:rPr>
          <w:sz w:val="21"/>
          <w:vertAlign w:val="baseline"/>
        </w:rPr>
        <w:t>of</w:t>
      </w:r>
      <w:r>
        <w:rPr>
          <w:spacing w:val="-8"/>
          <w:sz w:val="21"/>
          <w:vertAlign w:val="baseline"/>
        </w:rPr>
        <w:t> </w:t>
      </w:r>
      <w:r>
        <w:rPr>
          <w:sz w:val="21"/>
          <w:vertAlign w:val="baseline"/>
        </w:rPr>
        <w:t>challenges</w:t>
      </w:r>
      <w:r>
        <w:rPr>
          <w:spacing w:val="-8"/>
          <w:sz w:val="21"/>
          <w:vertAlign w:val="baseline"/>
        </w:rPr>
        <w:t> </w:t>
      </w:r>
      <w:r>
        <w:rPr>
          <w:sz w:val="21"/>
          <w:vertAlign w:val="baseline"/>
        </w:rPr>
        <w:t>for</w:t>
      </w:r>
      <w:r>
        <w:rPr>
          <w:spacing w:val="-8"/>
          <w:sz w:val="21"/>
          <w:vertAlign w:val="baseline"/>
        </w:rPr>
        <w:t> </w:t>
      </w:r>
      <w:r>
        <w:rPr>
          <w:sz w:val="21"/>
          <w:vertAlign w:val="baseline"/>
        </w:rPr>
        <w:t>LGBTQ</w:t>
      </w:r>
      <w:r>
        <w:rPr>
          <w:spacing w:val="-8"/>
          <w:sz w:val="21"/>
          <w:vertAlign w:val="baseline"/>
        </w:rPr>
        <w:t> </w:t>
      </w:r>
      <w:r>
        <w:rPr>
          <w:sz w:val="21"/>
          <w:vertAlign w:val="baseline"/>
        </w:rPr>
        <w:t>youth,</w:t>
      </w:r>
      <w:r>
        <w:rPr>
          <w:spacing w:val="-8"/>
          <w:sz w:val="21"/>
          <w:vertAlign w:val="baseline"/>
        </w:rPr>
        <w:t> </w:t>
      </w:r>
      <w:r>
        <w:rPr>
          <w:sz w:val="21"/>
          <w:vertAlign w:val="baseline"/>
        </w:rPr>
        <w:t>including</w:t>
      </w:r>
      <w:r>
        <w:rPr>
          <w:spacing w:val="-8"/>
          <w:sz w:val="21"/>
          <w:vertAlign w:val="baseline"/>
        </w:rPr>
        <w:t> </w:t>
      </w:r>
      <w:r>
        <w:rPr>
          <w:sz w:val="21"/>
          <w:vertAlign w:val="baseline"/>
        </w:rPr>
        <w:t>unstable housing, insufficient educational opportunities, unemployment, and physical and mental health issues, all of which heighten their risk of entanglement with the criminal legal system.</w:t>
      </w:r>
      <w:hyperlink w:history="true" w:anchor="_bookmark380">
        <w:r>
          <w:rPr>
            <w:sz w:val="21"/>
            <w:vertAlign w:val="superscript"/>
          </w:rPr>
          <w:t>64</w:t>
        </w:r>
      </w:hyperlink>
    </w:p>
    <w:p>
      <w:pPr>
        <w:spacing w:line="276" w:lineRule="auto" w:before="240"/>
        <w:ind w:left="463" w:right="237" w:firstLine="0"/>
        <w:jc w:val="both"/>
        <w:rPr>
          <w:sz w:val="21"/>
        </w:rPr>
      </w:pPr>
      <w:r>
        <w:rPr>
          <w:sz w:val="21"/>
        </w:rPr>
        <w:t>For</w:t>
      </w:r>
      <w:r>
        <w:rPr>
          <w:spacing w:val="-10"/>
          <w:sz w:val="21"/>
        </w:rPr>
        <w:t> </w:t>
      </w:r>
      <w:r>
        <w:rPr>
          <w:sz w:val="21"/>
        </w:rPr>
        <w:t>LGBTQ</w:t>
      </w:r>
      <w:r>
        <w:rPr>
          <w:spacing w:val="-10"/>
          <w:sz w:val="21"/>
        </w:rPr>
        <w:t> </w:t>
      </w:r>
      <w:r>
        <w:rPr>
          <w:sz w:val="21"/>
        </w:rPr>
        <w:t>youth,</w:t>
      </w:r>
      <w:r>
        <w:rPr>
          <w:spacing w:val="-10"/>
          <w:sz w:val="21"/>
        </w:rPr>
        <w:t> </w:t>
      </w:r>
      <w:r>
        <w:rPr>
          <w:sz w:val="21"/>
        </w:rPr>
        <w:t>the</w:t>
      </w:r>
      <w:r>
        <w:rPr>
          <w:spacing w:val="-10"/>
          <w:sz w:val="21"/>
        </w:rPr>
        <w:t> </w:t>
      </w:r>
      <w:r>
        <w:rPr>
          <w:sz w:val="21"/>
        </w:rPr>
        <w:t>inadequacies</w:t>
      </w:r>
      <w:r>
        <w:rPr>
          <w:spacing w:val="-10"/>
          <w:sz w:val="21"/>
        </w:rPr>
        <w:t> </w:t>
      </w:r>
      <w:r>
        <w:rPr>
          <w:sz w:val="21"/>
        </w:rPr>
        <w:t>of</w:t>
      </w:r>
      <w:r>
        <w:rPr>
          <w:spacing w:val="-10"/>
          <w:sz w:val="21"/>
        </w:rPr>
        <w:t> </w:t>
      </w:r>
      <w:r>
        <w:rPr>
          <w:sz w:val="21"/>
        </w:rPr>
        <w:t>the</w:t>
      </w:r>
      <w:r>
        <w:rPr>
          <w:spacing w:val="-10"/>
          <w:sz w:val="21"/>
        </w:rPr>
        <w:t> </w:t>
      </w:r>
      <w:r>
        <w:rPr>
          <w:sz w:val="21"/>
        </w:rPr>
        <w:t>child</w:t>
      </w:r>
      <w:r>
        <w:rPr>
          <w:spacing w:val="-10"/>
          <w:sz w:val="21"/>
        </w:rPr>
        <w:t> </w:t>
      </w:r>
      <w:r>
        <w:rPr>
          <w:sz w:val="21"/>
        </w:rPr>
        <w:t>welfare</w:t>
      </w:r>
      <w:r>
        <w:rPr>
          <w:spacing w:val="-10"/>
          <w:sz w:val="21"/>
        </w:rPr>
        <w:t> </w:t>
      </w:r>
      <w:r>
        <w:rPr>
          <w:sz w:val="21"/>
        </w:rPr>
        <w:t>system</w:t>
      </w:r>
      <w:r>
        <w:rPr>
          <w:spacing w:val="-10"/>
          <w:sz w:val="21"/>
        </w:rPr>
        <w:t> </w:t>
      </w:r>
      <w:r>
        <w:rPr>
          <w:sz w:val="21"/>
        </w:rPr>
        <w:t>often</w:t>
      </w:r>
      <w:r>
        <w:rPr>
          <w:spacing w:val="-10"/>
          <w:sz w:val="21"/>
        </w:rPr>
        <w:t> </w:t>
      </w:r>
      <w:r>
        <w:rPr>
          <w:sz w:val="21"/>
        </w:rPr>
        <w:t>force</w:t>
      </w:r>
      <w:r>
        <w:rPr>
          <w:spacing w:val="-10"/>
          <w:sz w:val="21"/>
        </w:rPr>
        <w:t> </w:t>
      </w:r>
      <w:r>
        <w:rPr>
          <w:sz w:val="21"/>
        </w:rPr>
        <w:t>a</w:t>
      </w:r>
      <w:r>
        <w:rPr>
          <w:spacing w:val="-10"/>
          <w:sz w:val="21"/>
        </w:rPr>
        <w:t> </w:t>
      </w:r>
      <w:r>
        <w:rPr>
          <w:sz w:val="21"/>
        </w:rPr>
        <w:t>dire</w:t>
      </w:r>
      <w:r>
        <w:rPr>
          <w:spacing w:val="-11"/>
          <w:sz w:val="21"/>
        </w:rPr>
        <w:t> </w:t>
      </w:r>
      <w:r>
        <w:rPr>
          <w:sz w:val="21"/>
        </w:rPr>
        <w:t>choice</w:t>
      </w:r>
      <w:r>
        <w:rPr>
          <w:spacing w:val="-10"/>
          <w:sz w:val="21"/>
        </w:rPr>
        <w:t> </w:t>
      </w:r>
      <w:r>
        <w:rPr>
          <w:sz w:val="21"/>
        </w:rPr>
        <w:t>between</w:t>
      </w:r>
      <w:r>
        <w:rPr>
          <w:spacing w:val="-10"/>
          <w:sz w:val="21"/>
        </w:rPr>
        <w:t> </w:t>
      </w:r>
      <w:r>
        <w:rPr>
          <w:sz w:val="21"/>
        </w:rPr>
        <w:t>remaining in an abusive environment or fleeing which can lead to homelessness, engaging in survival sex work, or becoming victims of trafficking. Even those who age out of the system encounter minimal support, facing unstable</w:t>
      </w:r>
      <w:r>
        <w:rPr>
          <w:spacing w:val="-4"/>
          <w:sz w:val="21"/>
        </w:rPr>
        <w:t> </w:t>
      </w:r>
      <w:r>
        <w:rPr>
          <w:sz w:val="21"/>
        </w:rPr>
        <w:t>housing,</w:t>
      </w:r>
      <w:r>
        <w:rPr>
          <w:spacing w:val="-4"/>
          <w:sz w:val="21"/>
        </w:rPr>
        <w:t> </w:t>
      </w:r>
      <w:r>
        <w:rPr>
          <w:sz w:val="21"/>
        </w:rPr>
        <w:t>inadequate</w:t>
      </w:r>
      <w:r>
        <w:rPr>
          <w:spacing w:val="-4"/>
          <w:sz w:val="21"/>
        </w:rPr>
        <w:t> </w:t>
      </w:r>
      <w:r>
        <w:rPr>
          <w:sz w:val="21"/>
        </w:rPr>
        <w:t>access</w:t>
      </w:r>
      <w:r>
        <w:rPr>
          <w:spacing w:val="-5"/>
          <w:sz w:val="21"/>
        </w:rPr>
        <w:t> </w:t>
      </w:r>
      <w:r>
        <w:rPr>
          <w:sz w:val="21"/>
        </w:rPr>
        <w:t>to</w:t>
      </w:r>
      <w:r>
        <w:rPr>
          <w:spacing w:val="-4"/>
          <w:sz w:val="21"/>
        </w:rPr>
        <w:t> </w:t>
      </w:r>
      <w:r>
        <w:rPr>
          <w:sz w:val="21"/>
        </w:rPr>
        <w:t>education,</w:t>
      </w:r>
      <w:r>
        <w:rPr>
          <w:spacing w:val="-4"/>
          <w:sz w:val="21"/>
        </w:rPr>
        <w:t> </w:t>
      </w:r>
      <w:r>
        <w:rPr>
          <w:sz w:val="21"/>
        </w:rPr>
        <w:t>unemployment,</w:t>
      </w:r>
      <w:r>
        <w:rPr>
          <w:spacing w:val="-4"/>
          <w:sz w:val="21"/>
        </w:rPr>
        <w:t> </w:t>
      </w:r>
      <w:r>
        <w:rPr>
          <w:sz w:val="21"/>
        </w:rPr>
        <w:t>and</w:t>
      </w:r>
      <w:r>
        <w:rPr>
          <w:spacing w:val="-4"/>
          <w:sz w:val="21"/>
        </w:rPr>
        <w:t> </w:t>
      </w:r>
      <w:r>
        <w:rPr>
          <w:sz w:val="21"/>
        </w:rPr>
        <w:t>health</w:t>
      </w:r>
      <w:r>
        <w:rPr>
          <w:spacing w:val="-4"/>
          <w:sz w:val="21"/>
        </w:rPr>
        <w:t> </w:t>
      </w:r>
      <w:r>
        <w:rPr>
          <w:sz w:val="21"/>
        </w:rPr>
        <w:t>issues,</w:t>
      </w:r>
      <w:r>
        <w:rPr>
          <w:spacing w:val="-4"/>
          <w:sz w:val="21"/>
        </w:rPr>
        <w:t> </w:t>
      </w:r>
      <w:r>
        <w:rPr>
          <w:sz w:val="21"/>
        </w:rPr>
        <w:t>which</w:t>
      </w:r>
      <w:r>
        <w:rPr>
          <w:spacing w:val="-4"/>
          <w:sz w:val="21"/>
        </w:rPr>
        <w:t> </w:t>
      </w:r>
      <w:r>
        <w:rPr>
          <w:sz w:val="21"/>
        </w:rPr>
        <w:t>can</w:t>
      </w:r>
      <w:r>
        <w:rPr>
          <w:spacing w:val="-4"/>
          <w:sz w:val="21"/>
        </w:rPr>
        <w:t> </w:t>
      </w:r>
      <w:r>
        <w:rPr>
          <w:sz w:val="21"/>
        </w:rPr>
        <w:t>spiral</w:t>
      </w:r>
      <w:r>
        <w:rPr>
          <w:spacing w:val="-4"/>
          <w:sz w:val="21"/>
        </w:rPr>
        <w:t> </w:t>
      </w:r>
      <w:r>
        <w:rPr>
          <w:sz w:val="21"/>
        </w:rPr>
        <w:t>into interactions with the juvenile legal system.</w:t>
      </w:r>
    </w:p>
    <w:p>
      <w:pPr>
        <w:spacing w:before="238"/>
        <w:ind w:left="464" w:right="0" w:firstLine="0"/>
        <w:jc w:val="both"/>
        <w:rPr>
          <w:sz w:val="26"/>
        </w:rPr>
      </w:pPr>
      <w:bookmarkStart w:name="The School-to-Prison Pipeline" w:id="546"/>
      <w:bookmarkEnd w:id="546"/>
      <w:r>
        <w:rPr/>
      </w:r>
      <w:r>
        <w:rPr>
          <w:color w:val="404040"/>
          <w:sz w:val="26"/>
        </w:rPr>
        <w:t>The</w:t>
      </w:r>
      <w:r>
        <w:rPr>
          <w:color w:val="404040"/>
          <w:spacing w:val="-6"/>
          <w:sz w:val="26"/>
        </w:rPr>
        <w:t> </w:t>
      </w:r>
      <w:r>
        <w:rPr>
          <w:color w:val="404040"/>
          <w:sz w:val="26"/>
        </w:rPr>
        <w:t>School-to-Prison</w:t>
      </w:r>
      <w:r>
        <w:rPr>
          <w:color w:val="404040"/>
          <w:spacing w:val="-7"/>
          <w:sz w:val="26"/>
        </w:rPr>
        <w:t> </w:t>
      </w:r>
      <w:r>
        <w:rPr>
          <w:color w:val="404040"/>
          <w:spacing w:val="-2"/>
          <w:sz w:val="26"/>
        </w:rPr>
        <w:t>Pipeline</w:t>
      </w:r>
    </w:p>
    <w:p>
      <w:pPr>
        <w:spacing w:line="276" w:lineRule="auto" w:before="242"/>
        <w:ind w:left="463" w:right="238" w:firstLine="0"/>
        <w:jc w:val="both"/>
        <w:rPr>
          <w:sz w:val="21"/>
        </w:rPr>
      </w:pPr>
      <w:r>
        <w:rPr>
          <w:sz w:val="21"/>
        </w:rPr>
        <w:t>According to recent data, a significant number of LGBTQ students going to school in Massachusetts have faced</w:t>
      </w:r>
      <w:r>
        <w:rPr>
          <w:spacing w:val="-12"/>
          <w:sz w:val="21"/>
        </w:rPr>
        <w:t> </w:t>
      </w:r>
      <w:r>
        <w:rPr>
          <w:sz w:val="21"/>
        </w:rPr>
        <w:t>discriminatory</w:t>
      </w:r>
      <w:r>
        <w:rPr>
          <w:spacing w:val="-12"/>
          <w:sz w:val="21"/>
        </w:rPr>
        <w:t> </w:t>
      </w:r>
      <w:r>
        <w:rPr>
          <w:sz w:val="21"/>
        </w:rPr>
        <w:t>policies</w:t>
      </w:r>
      <w:r>
        <w:rPr>
          <w:spacing w:val="-12"/>
          <w:sz w:val="21"/>
        </w:rPr>
        <w:t> </w:t>
      </w:r>
      <w:r>
        <w:rPr>
          <w:sz w:val="21"/>
        </w:rPr>
        <w:t>or</w:t>
      </w:r>
      <w:r>
        <w:rPr>
          <w:spacing w:val="-12"/>
          <w:sz w:val="21"/>
        </w:rPr>
        <w:t> </w:t>
      </w:r>
      <w:r>
        <w:rPr>
          <w:sz w:val="21"/>
        </w:rPr>
        <w:t>practices</w:t>
      </w:r>
      <w:r>
        <w:rPr>
          <w:spacing w:val="-12"/>
          <w:sz w:val="21"/>
        </w:rPr>
        <w:t> </w:t>
      </w:r>
      <w:r>
        <w:rPr>
          <w:sz w:val="21"/>
        </w:rPr>
        <w:t>within</w:t>
      </w:r>
      <w:r>
        <w:rPr>
          <w:spacing w:val="-12"/>
          <w:sz w:val="21"/>
        </w:rPr>
        <w:t> </w:t>
      </w:r>
      <w:r>
        <w:rPr>
          <w:sz w:val="21"/>
        </w:rPr>
        <w:t>their</w:t>
      </w:r>
      <w:r>
        <w:rPr>
          <w:spacing w:val="-11"/>
          <w:sz w:val="21"/>
        </w:rPr>
        <w:t> </w:t>
      </w:r>
      <w:r>
        <w:rPr>
          <w:sz w:val="21"/>
        </w:rPr>
        <w:t>schools.</w:t>
      </w:r>
      <w:r>
        <w:rPr>
          <w:spacing w:val="-12"/>
          <w:sz w:val="21"/>
        </w:rPr>
        <w:t> </w:t>
      </w:r>
      <w:r>
        <w:rPr>
          <w:sz w:val="21"/>
        </w:rPr>
        <w:t>Over</w:t>
      </w:r>
      <w:r>
        <w:rPr>
          <w:spacing w:val="-12"/>
          <w:sz w:val="21"/>
        </w:rPr>
        <w:t> </w:t>
      </w:r>
      <w:r>
        <w:rPr>
          <w:sz w:val="21"/>
        </w:rPr>
        <w:t>40%</w:t>
      </w:r>
      <w:r>
        <w:rPr>
          <w:spacing w:val="-11"/>
          <w:sz w:val="21"/>
        </w:rPr>
        <w:t> </w:t>
      </w:r>
      <w:r>
        <w:rPr>
          <w:sz w:val="21"/>
        </w:rPr>
        <w:t>of</w:t>
      </w:r>
      <w:r>
        <w:rPr>
          <w:spacing w:val="-12"/>
          <w:sz w:val="21"/>
        </w:rPr>
        <w:t> </w:t>
      </w:r>
      <w:r>
        <w:rPr>
          <w:sz w:val="21"/>
        </w:rPr>
        <w:t>these</w:t>
      </w:r>
      <w:r>
        <w:rPr>
          <w:spacing w:val="-12"/>
          <w:sz w:val="21"/>
        </w:rPr>
        <w:t> </w:t>
      </w:r>
      <w:r>
        <w:rPr>
          <w:sz w:val="21"/>
        </w:rPr>
        <w:t>students</w:t>
      </w:r>
      <w:r>
        <w:rPr>
          <w:spacing w:val="-12"/>
          <w:sz w:val="21"/>
        </w:rPr>
        <w:t> </w:t>
      </w:r>
      <w:r>
        <w:rPr>
          <w:sz w:val="21"/>
        </w:rPr>
        <w:t>have</w:t>
      </w:r>
      <w:r>
        <w:rPr>
          <w:spacing w:val="-12"/>
          <w:sz w:val="21"/>
        </w:rPr>
        <w:t> </w:t>
      </w:r>
      <w:r>
        <w:rPr>
          <w:sz w:val="21"/>
        </w:rPr>
        <w:t>experienced some form of anti-LGBTQ discrimination. </w:t>
      </w:r>
      <w:hyperlink w:history="true" w:anchor="_bookmark381">
        <w:r>
          <w:rPr>
            <w:sz w:val="21"/>
            <w:vertAlign w:val="superscript"/>
          </w:rPr>
          <w:t>65</w:t>
        </w:r>
      </w:hyperlink>
      <w:r>
        <w:rPr>
          <w:sz w:val="21"/>
          <w:vertAlign w:val="baseline"/>
        </w:rPr>
        <w:t> This includes being barred from using chosen names or pronouns (14%), using gender-aligned bathrooms (16%), and accessing appropriate locker rooms (12%).</w:t>
      </w:r>
      <w:hyperlink w:history="true" w:anchor="_bookmark382">
        <w:r>
          <w:rPr>
            <w:sz w:val="21"/>
            <w:vertAlign w:val="superscript"/>
          </w:rPr>
          <w:t>66</w:t>
        </w:r>
      </w:hyperlink>
      <w:r>
        <w:rPr>
          <w:sz w:val="21"/>
          <w:vertAlign w:val="baseline"/>
        </w:rPr>
        <w:t> And, 14% of LGBTQ youth have faced disciplinary action for public displays of affection, not similarly enforced against non-LGBTQ students.</w:t>
      </w:r>
      <w:hyperlink w:history="true" w:anchor="_bookmark383">
        <w:r>
          <w:rPr>
            <w:sz w:val="21"/>
            <w:vertAlign w:val="superscript"/>
          </w:rPr>
          <w:t>67</w:t>
        </w:r>
      </w:hyperlink>
      <w:r>
        <w:rPr>
          <w:spacing w:val="-2"/>
          <w:sz w:val="21"/>
          <w:vertAlign w:val="baseline"/>
        </w:rPr>
        <w:t> </w:t>
      </w:r>
      <w:r>
        <w:rPr>
          <w:sz w:val="21"/>
          <w:vertAlign w:val="baseline"/>
        </w:rPr>
        <w:t>Some students have also reported being restricted from wearing</w:t>
      </w:r>
    </w:p>
    <w:p>
      <w:pPr>
        <w:spacing w:after="0" w:line="276" w:lineRule="auto"/>
        <w:jc w:val="both"/>
        <w:rPr>
          <w:sz w:val="21"/>
        </w:rPr>
        <w:sectPr>
          <w:pgSz w:w="12240" w:h="15840"/>
          <w:pgMar w:header="763" w:footer="1041" w:top="1360" w:bottom="1240" w:left="1120" w:right="1340"/>
        </w:sectPr>
      </w:pPr>
    </w:p>
    <w:p>
      <w:pPr>
        <w:spacing w:line="276" w:lineRule="auto" w:before="65"/>
        <w:ind w:left="464" w:right="241" w:firstLine="0"/>
        <w:jc w:val="both"/>
        <w:rPr>
          <w:sz w:val="21"/>
        </w:rPr>
      </w:pPr>
      <w:r>
        <w:rPr>
          <w:sz w:val="21"/>
        </w:rPr>
        <w:t>clothing</w:t>
      </w:r>
      <w:r>
        <w:rPr>
          <w:spacing w:val="-12"/>
          <w:sz w:val="21"/>
        </w:rPr>
        <w:t> </w:t>
      </w:r>
      <w:r>
        <w:rPr>
          <w:sz w:val="21"/>
        </w:rPr>
        <w:t>considered</w:t>
      </w:r>
      <w:r>
        <w:rPr>
          <w:spacing w:val="-11"/>
          <w:sz w:val="21"/>
        </w:rPr>
        <w:t> </w:t>
      </w:r>
      <w:r>
        <w:rPr>
          <w:sz w:val="21"/>
        </w:rPr>
        <w:t>"inappropriate"</w:t>
      </w:r>
      <w:r>
        <w:rPr>
          <w:spacing w:val="-12"/>
          <w:sz w:val="21"/>
        </w:rPr>
        <w:t> </w:t>
      </w:r>
      <w:r>
        <w:rPr>
          <w:sz w:val="21"/>
        </w:rPr>
        <w:t>based</w:t>
      </w:r>
      <w:r>
        <w:rPr>
          <w:spacing w:val="-11"/>
          <w:sz w:val="21"/>
        </w:rPr>
        <w:t> </w:t>
      </w:r>
      <w:r>
        <w:rPr>
          <w:sz w:val="21"/>
        </w:rPr>
        <w:t>on</w:t>
      </w:r>
      <w:r>
        <w:rPr>
          <w:spacing w:val="-11"/>
          <w:sz w:val="21"/>
        </w:rPr>
        <w:t> </w:t>
      </w:r>
      <w:r>
        <w:rPr>
          <w:sz w:val="21"/>
        </w:rPr>
        <w:t>gender</w:t>
      </w:r>
      <w:r>
        <w:rPr>
          <w:spacing w:val="-11"/>
          <w:sz w:val="21"/>
        </w:rPr>
        <w:t> </w:t>
      </w:r>
      <w:r>
        <w:rPr>
          <w:sz w:val="21"/>
        </w:rPr>
        <w:t>(11%)</w:t>
      </w:r>
      <w:r>
        <w:rPr>
          <w:spacing w:val="-11"/>
          <w:sz w:val="21"/>
        </w:rPr>
        <w:t> </w:t>
      </w:r>
      <w:r>
        <w:rPr>
          <w:sz w:val="21"/>
        </w:rPr>
        <w:t>or</w:t>
      </w:r>
      <w:r>
        <w:rPr>
          <w:spacing w:val="-11"/>
          <w:sz w:val="21"/>
        </w:rPr>
        <w:t> </w:t>
      </w:r>
      <w:r>
        <w:rPr>
          <w:sz w:val="21"/>
        </w:rPr>
        <w:t>from</w:t>
      </w:r>
      <w:r>
        <w:rPr>
          <w:spacing w:val="-11"/>
          <w:sz w:val="21"/>
        </w:rPr>
        <w:t> </w:t>
      </w:r>
      <w:r>
        <w:rPr>
          <w:sz w:val="21"/>
        </w:rPr>
        <w:t>participating</w:t>
      </w:r>
      <w:r>
        <w:rPr>
          <w:spacing w:val="-12"/>
          <w:sz w:val="21"/>
        </w:rPr>
        <w:t> </w:t>
      </w:r>
      <w:r>
        <w:rPr>
          <w:sz w:val="21"/>
        </w:rPr>
        <w:t>in</w:t>
      </w:r>
      <w:r>
        <w:rPr>
          <w:spacing w:val="-11"/>
          <w:sz w:val="21"/>
        </w:rPr>
        <w:t> </w:t>
      </w:r>
      <w:r>
        <w:rPr>
          <w:sz w:val="21"/>
        </w:rPr>
        <w:t>sports</w:t>
      </w:r>
      <w:r>
        <w:rPr>
          <w:spacing w:val="-12"/>
          <w:sz w:val="21"/>
        </w:rPr>
        <w:t> </w:t>
      </w:r>
      <w:r>
        <w:rPr>
          <w:sz w:val="21"/>
        </w:rPr>
        <w:t>teams</w:t>
      </w:r>
      <w:r>
        <w:rPr>
          <w:spacing w:val="-12"/>
          <w:sz w:val="21"/>
        </w:rPr>
        <w:t> </w:t>
      </w:r>
      <w:r>
        <w:rPr>
          <w:sz w:val="21"/>
        </w:rPr>
        <w:t>consistent with their gender identity (7%).</w:t>
      </w:r>
      <w:hyperlink w:history="true" w:anchor="_bookmark384">
        <w:r>
          <w:rPr>
            <w:sz w:val="21"/>
            <w:vertAlign w:val="superscript"/>
          </w:rPr>
          <w:t>68</w:t>
        </w:r>
      </w:hyperlink>
      <w:r>
        <w:rPr>
          <w:spacing w:val="-2"/>
          <w:sz w:val="21"/>
          <w:vertAlign w:val="baseline"/>
        </w:rPr>
        <w:t> </w:t>
      </w:r>
      <w:r>
        <w:rPr>
          <w:sz w:val="21"/>
          <w:vertAlign w:val="baseline"/>
        </w:rPr>
        <w:t>Transgender and nonbinary students have disproportionately high rates of gender discrimination in schools,</w:t>
      </w:r>
      <w:hyperlink w:history="true" w:anchor="_bookmark385">
        <w:r>
          <w:rPr>
            <w:sz w:val="21"/>
            <w:vertAlign w:val="superscript"/>
          </w:rPr>
          <w:t>69</w:t>
        </w:r>
      </w:hyperlink>
      <w:r>
        <w:rPr>
          <w:spacing w:val="-2"/>
          <w:sz w:val="21"/>
          <w:vertAlign w:val="baseline"/>
        </w:rPr>
        <w:t> </w:t>
      </w:r>
      <w:r>
        <w:rPr>
          <w:sz w:val="21"/>
          <w:vertAlign w:val="baseline"/>
        </w:rPr>
        <w:t>with data showing that transgender students have reported being prevented</w:t>
      </w:r>
      <w:r>
        <w:rPr>
          <w:spacing w:val="-3"/>
          <w:sz w:val="21"/>
          <w:vertAlign w:val="baseline"/>
        </w:rPr>
        <w:t> </w:t>
      </w:r>
      <w:r>
        <w:rPr>
          <w:sz w:val="21"/>
          <w:vertAlign w:val="baseline"/>
        </w:rPr>
        <w:t>from</w:t>
      </w:r>
      <w:r>
        <w:rPr>
          <w:spacing w:val="-3"/>
          <w:sz w:val="21"/>
          <w:vertAlign w:val="baseline"/>
        </w:rPr>
        <w:t> </w:t>
      </w:r>
      <w:r>
        <w:rPr>
          <w:sz w:val="21"/>
          <w:vertAlign w:val="baseline"/>
        </w:rPr>
        <w:t>using</w:t>
      </w:r>
      <w:r>
        <w:rPr>
          <w:spacing w:val="-3"/>
          <w:sz w:val="21"/>
          <w:vertAlign w:val="baseline"/>
        </w:rPr>
        <w:t> </w:t>
      </w:r>
      <w:r>
        <w:rPr>
          <w:sz w:val="21"/>
          <w:vertAlign w:val="baseline"/>
        </w:rPr>
        <w:t>their</w:t>
      </w:r>
      <w:r>
        <w:rPr>
          <w:spacing w:val="-4"/>
          <w:sz w:val="21"/>
          <w:vertAlign w:val="baseline"/>
        </w:rPr>
        <w:t> </w:t>
      </w:r>
      <w:r>
        <w:rPr>
          <w:sz w:val="21"/>
          <w:vertAlign w:val="baseline"/>
        </w:rPr>
        <w:t>chosen</w:t>
      </w:r>
      <w:r>
        <w:rPr>
          <w:spacing w:val="-3"/>
          <w:sz w:val="21"/>
          <w:vertAlign w:val="baseline"/>
        </w:rPr>
        <w:t> </w:t>
      </w:r>
      <w:r>
        <w:rPr>
          <w:sz w:val="21"/>
          <w:vertAlign w:val="baseline"/>
        </w:rPr>
        <w:t>name</w:t>
      </w:r>
      <w:r>
        <w:rPr>
          <w:spacing w:val="-4"/>
          <w:sz w:val="21"/>
          <w:vertAlign w:val="baseline"/>
        </w:rPr>
        <w:t> </w:t>
      </w:r>
      <w:r>
        <w:rPr>
          <w:sz w:val="21"/>
          <w:vertAlign w:val="baseline"/>
        </w:rPr>
        <w:t>or</w:t>
      </w:r>
      <w:r>
        <w:rPr>
          <w:spacing w:val="-3"/>
          <w:sz w:val="21"/>
          <w:vertAlign w:val="baseline"/>
        </w:rPr>
        <w:t> </w:t>
      </w:r>
      <w:r>
        <w:rPr>
          <w:sz w:val="21"/>
          <w:vertAlign w:val="baseline"/>
        </w:rPr>
        <w:t>pronouns</w:t>
      </w:r>
      <w:r>
        <w:rPr>
          <w:spacing w:val="-4"/>
          <w:sz w:val="21"/>
          <w:vertAlign w:val="baseline"/>
        </w:rPr>
        <w:t> </w:t>
      </w:r>
      <w:r>
        <w:rPr>
          <w:sz w:val="21"/>
          <w:vertAlign w:val="baseline"/>
        </w:rPr>
        <w:t>(23%),</w:t>
      </w:r>
      <w:r>
        <w:rPr>
          <w:spacing w:val="-2"/>
          <w:sz w:val="21"/>
          <w:vertAlign w:val="baseline"/>
        </w:rPr>
        <w:t> </w:t>
      </w:r>
      <w:r>
        <w:rPr>
          <w:sz w:val="21"/>
          <w:vertAlign w:val="baseline"/>
        </w:rPr>
        <w:t>accessing</w:t>
      </w:r>
      <w:r>
        <w:rPr>
          <w:spacing w:val="-3"/>
          <w:sz w:val="21"/>
          <w:vertAlign w:val="baseline"/>
        </w:rPr>
        <w:t> </w:t>
      </w:r>
      <w:r>
        <w:rPr>
          <w:sz w:val="21"/>
          <w:vertAlign w:val="baseline"/>
        </w:rPr>
        <w:t>bathrooms</w:t>
      </w:r>
      <w:r>
        <w:rPr>
          <w:spacing w:val="-3"/>
          <w:sz w:val="21"/>
          <w:vertAlign w:val="baseline"/>
        </w:rPr>
        <w:t> </w:t>
      </w:r>
      <w:r>
        <w:rPr>
          <w:sz w:val="21"/>
          <w:vertAlign w:val="baseline"/>
        </w:rPr>
        <w:t>(26%)</w:t>
      </w:r>
      <w:r>
        <w:rPr>
          <w:spacing w:val="-3"/>
          <w:sz w:val="21"/>
          <w:vertAlign w:val="baseline"/>
        </w:rPr>
        <w:t> </w:t>
      </w:r>
      <w:r>
        <w:rPr>
          <w:sz w:val="21"/>
          <w:vertAlign w:val="baseline"/>
        </w:rPr>
        <w:t>and</w:t>
      </w:r>
      <w:r>
        <w:rPr>
          <w:spacing w:val="-3"/>
          <w:sz w:val="21"/>
          <w:vertAlign w:val="baseline"/>
        </w:rPr>
        <w:t> </w:t>
      </w:r>
      <w:r>
        <w:rPr>
          <w:sz w:val="21"/>
          <w:vertAlign w:val="baseline"/>
        </w:rPr>
        <w:t>locker</w:t>
      </w:r>
      <w:r>
        <w:rPr>
          <w:spacing w:val="-3"/>
          <w:sz w:val="21"/>
          <w:vertAlign w:val="baseline"/>
        </w:rPr>
        <w:t> </w:t>
      </w:r>
      <w:r>
        <w:rPr>
          <w:sz w:val="21"/>
          <w:vertAlign w:val="baseline"/>
        </w:rPr>
        <w:t>rooms (19%) matching their gender, wearing certain clothing (13%), and playing on sports teams that align with their gender (11%).</w:t>
      </w:r>
      <w:hyperlink w:history="true" w:anchor="_bookmark386">
        <w:r>
          <w:rPr>
            <w:sz w:val="21"/>
            <w:vertAlign w:val="superscript"/>
          </w:rPr>
          <w:t>70</w:t>
        </w:r>
      </w:hyperlink>
    </w:p>
    <w:p>
      <w:pPr>
        <w:spacing w:line="276" w:lineRule="auto" w:before="240"/>
        <w:ind w:left="464" w:right="239" w:firstLine="0"/>
        <w:jc w:val="both"/>
        <w:rPr>
          <w:sz w:val="21"/>
        </w:rPr>
      </w:pPr>
      <w:r>
        <w:rPr>
          <w:sz w:val="21"/>
        </w:rPr>
        <w:t>LGBTQ students face high rates of bullying and harassment in Massachusetts, including at school and at home.</w:t>
      </w:r>
      <w:r>
        <w:rPr>
          <w:spacing w:val="-12"/>
          <w:sz w:val="21"/>
        </w:rPr>
        <w:t> </w:t>
      </w:r>
      <w:r>
        <w:rPr>
          <w:sz w:val="21"/>
        </w:rPr>
        <w:t>Recent</w:t>
      </w:r>
      <w:r>
        <w:rPr>
          <w:spacing w:val="-12"/>
          <w:sz w:val="21"/>
        </w:rPr>
        <w:t> </w:t>
      </w:r>
      <w:r>
        <w:rPr>
          <w:sz w:val="21"/>
        </w:rPr>
        <w:t>data</w:t>
      </w:r>
      <w:r>
        <w:rPr>
          <w:spacing w:val="-10"/>
          <w:sz w:val="21"/>
        </w:rPr>
        <w:t> </w:t>
      </w:r>
      <w:r>
        <w:rPr>
          <w:sz w:val="21"/>
        </w:rPr>
        <w:t>indicates</w:t>
      </w:r>
      <w:r>
        <w:rPr>
          <w:spacing w:val="-12"/>
          <w:sz w:val="21"/>
        </w:rPr>
        <w:t> </w:t>
      </w:r>
      <w:r>
        <w:rPr>
          <w:sz w:val="21"/>
        </w:rPr>
        <w:t>that</w:t>
      </w:r>
      <w:r>
        <w:rPr>
          <w:spacing w:val="-11"/>
          <w:sz w:val="21"/>
        </w:rPr>
        <w:t> </w:t>
      </w:r>
      <w:r>
        <w:rPr>
          <w:sz w:val="21"/>
        </w:rPr>
        <w:t>1</w:t>
      </w:r>
      <w:r>
        <w:rPr>
          <w:spacing w:val="-11"/>
          <w:sz w:val="21"/>
        </w:rPr>
        <w:t> </w:t>
      </w:r>
      <w:r>
        <w:rPr>
          <w:sz w:val="21"/>
        </w:rPr>
        <w:t>in</w:t>
      </w:r>
      <w:r>
        <w:rPr>
          <w:spacing w:val="-11"/>
          <w:sz w:val="21"/>
        </w:rPr>
        <w:t> </w:t>
      </w:r>
      <w:r>
        <w:rPr>
          <w:sz w:val="21"/>
        </w:rPr>
        <w:t>3</w:t>
      </w:r>
      <w:r>
        <w:rPr>
          <w:spacing w:val="-12"/>
          <w:sz w:val="21"/>
        </w:rPr>
        <w:t> </w:t>
      </w:r>
      <w:r>
        <w:rPr>
          <w:sz w:val="21"/>
        </w:rPr>
        <w:t>LGBTQ</w:t>
      </w:r>
      <w:r>
        <w:rPr>
          <w:spacing w:val="-11"/>
          <w:sz w:val="21"/>
        </w:rPr>
        <w:t> </w:t>
      </w:r>
      <w:r>
        <w:rPr>
          <w:sz w:val="21"/>
        </w:rPr>
        <w:t>youth</w:t>
      </w:r>
      <w:r>
        <w:rPr>
          <w:spacing w:val="-11"/>
          <w:sz w:val="21"/>
        </w:rPr>
        <w:t> </w:t>
      </w:r>
      <w:r>
        <w:rPr>
          <w:sz w:val="21"/>
        </w:rPr>
        <w:t>have</w:t>
      </w:r>
      <w:r>
        <w:rPr>
          <w:spacing w:val="-12"/>
          <w:sz w:val="21"/>
        </w:rPr>
        <w:t> </w:t>
      </w:r>
      <w:r>
        <w:rPr>
          <w:sz w:val="21"/>
        </w:rPr>
        <w:t>experienced</w:t>
      </w:r>
      <w:r>
        <w:rPr>
          <w:spacing w:val="-11"/>
          <w:sz w:val="21"/>
        </w:rPr>
        <w:t> </w:t>
      </w:r>
      <w:r>
        <w:rPr>
          <w:sz w:val="21"/>
        </w:rPr>
        <w:t>threat</w:t>
      </w:r>
      <w:r>
        <w:rPr>
          <w:spacing w:val="-11"/>
          <w:sz w:val="21"/>
        </w:rPr>
        <w:t> </w:t>
      </w:r>
      <w:r>
        <w:rPr>
          <w:sz w:val="21"/>
        </w:rPr>
        <w:t>or</w:t>
      </w:r>
      <w:r>
        <w:rPr>
          <w:spacing w:val="-11"/>
          <w:sz w:val="21"/>
        </w:rPr>
        <w:t> </w:t>
      </w:r>
      <w:r>
        <w:rPr>
          <w:sz w:val="21"/>
        </w:rPr>
        <w:t>harm</w:t>
      </w:r>
      <w:r>
        <w:rPr>
          <w:spacing w:val="-12"/>
          <w:sz w:val="21"/>
        </w:rPr>
        <w:t> </w:t>
      </w:r>
      <w:r>
        <w:rPr>
          <w:sz w:val="21"/>
        </w:rPr>
        <w:t>based</w:t>
      </w:r>
      <w:r>
        <w:rPr>
          <w:spacing w:val="-11"/>
          <w:sz w:val="21"/>
        </w:rPr>
        <w:t> </w:t>
      </w:r>
      <w:r>
        <w:rPr>
          <w:sz w:val="21"/>
        </w:rPr>
        <w:t>on</w:t>
      </w:r>
      <w:r>
        <w:rPr>
          <w:spacing w:val="-11"/>
          <w:sz w:val="21"/>
        </w:rPr>
        <w:t> </w:t>
      </w:r>
      <w:r>
        <w:rPr>
          <w:sz w:val="21"/>
        </w:rPr>
        <w:t>their</w:t>
      </w:r>
      <w:r>
        <w:rPr>
          <w:spacing w:val="-12"/>
          <w:sz w:val="21"/>
        </w:rPr>
        <w:t> </w:t>
      </w:r>
      <w:r>
        <w:rPr>
          <w:sz w:val="21"/>
        </w:rPr>
        <w:t>sexual orientation or gender identity, and nearly 70% have experienced discrimination on this basis.</w:t>
      </w:r>
      <w:hyperlink w:history="true" w:anchor="_bookmark387">
        <w:r>
          <w:rPr>
            <w:sz w:val="21"/>
            <w:vertAlign w:val="superscript"/>
          </w:rPr>
          <w:t>71</w:t>
        </w:r>
      </w:hyperlink>
      <w:r>
        <w:rPr>
          <w:spacing w:val="-2"/>
          <w:sz w:val="21"/>
          <w:vertAlign w:val="baseline"/>
        </w:rPr>
        <w:t> </w:t>
      </w:r>
      <w:r>
        <w:rPr>
          <w:sz w:val="21"/>
          <w:vertAlign w:val="baseline"/>
        </w:rPr>
        <w:t>Only 29% of LGBTQ youth have identified home as an LGBTQ affirming space, indicating an overall lack of familial support that can impact their wellbeing.</w:t>
      </w:r>
      <w:hyperlink w:history="true" w:anchor="_bookmark388">
        <w:r>
          <w:rPr>
            <w:sz w:val="21"/>
            <w:vertAlign w:val="superscript"/>
          </w:rPr>
          <w:t>72</w:t>
        </w:r>
      </w:hyperlink>
      <w:r>
        <w:rPr>
          <w:spacing w:val="-2"/>
          <w:sz w:val="21"/>
          <w:vertAlign w:val="baseline"/>
        </w:rPr>
        <w:t> </w:t>
      </w:r>
      <w:r>
        <w:rPr>
          <w:sz w:val="21"/>
          <w:vertAlign w:val="baseline"/>
        </w:rPr>
        <w:t>A significant portion of LGBTQ students feel unsupported in the face of harassment.</w:t>
      </w:r>
      <w:hyperlink w:history="true" w:anchor="_bookmark389">
        <w:r>
          <w:rPr>
            <w:sz w:val="21"/>
            <w:vertAlign w:val="superscript"/>
          </w:rPr>
          <w:t>73</w:t>
        </w:r>
      </w:hyperlink>
      <w:r>
        <w:rPr>
          <w:spacing w:val="-1"/>
          <w:sz w:val="21"/>
          <w:vertAlign w:val="baseline"/>
        </w:rPr>
        <w:t> </w:t>
      </w:r>
      <w:r>
        <w:rPr>
          <w:sz w:val="21"/>
          <w:vertAlign w:val="baseline"/>
        </w:rPr>
        <w:t>And 61% of LGBTQ youth who experienced harassment did not report it to school authorities,</w:t>
      </w:r>
      <w:r>
        <w:rPr>
          <w:spacing w:val="-5"/>
          <w:sz w:val="21"/>
          <w:vertAlign w:val="baseline"/>
        </w:rPr>
        <w:t> </w:t>
      </w:r>
      <w:r>
        <w:rPr>
          <w:sz w:val="21"/>
          <w:vertAlign w:val="baseline"/>
        </w:rPr>
        <w:t>citing</w:t>
      </w:r>
      <w:r>
        <w:rPr>
          <w:spacing w:val="-6"/>
          <w:sz w:val="21"/>
          <w:vertAlign w:val="baseline"/>
        </w:rPr>
        <w:t> </w:t>
      </w:r>
      <w:r>
        <w:rPr>
          <w:sz w:val="21"/>
          <w:vertAlign w:val="baseline"/>
        </w:rPr>
        <w:t>fears</w:t>
      </w:r>
      <w:r>
        <w:rPr>
          <w:spacing w:val="-6"/>
          <w:sz w:val="21"/>
          <w:vertAlign w:val="baseline"/>
        </w:rPr>
        <w:t> </w:t>
      </w:r>
      <w:r>
        <w:rPr>
          <w:sz w:val="21"/>
          <w:vertAlign w:val="baseline"/>
        </w:rPr>
        <w:t>of</w:t>
      </w:r>
      <w:r>
        <w:rPr>
          <w:spacing w:val="-6"/>
          <w:sz w:val="21"/>
          <w:vertAlign w:val="baseline"/>
        </w:rPr>
        <w:t> </w:t>
      </w:r>
      <w:r>
        <w:rPr>
          <w:sz w:val="21"/>
          <w:vertAlign w:val="baseline"/>
        </w:rPr>
        <w:t>repercussions</w:t>
      </w:r>
      <w:r>
        <w:rPr>
          <w:spacing w:val="-6"/>
          <w:sz w:val="21"/>
          <w:vertAlign w:val="baseline"/>
        </w:rPr>
        <w:t> </w:t>
      </w:r>
      <w:r>
        <w:rPr>
          <w:sz w:val="21"/>
          <w:vertAlign w:val="baseline"/>
        </w:rPr>
        <w:t>or</w:t>
      </w:r>
      <w:r>
        <w:rPr>
          <w:spacing w:val="-5"/>
          <w:sz w:val="21"/>
          <w:vertAlign w:val="baseline"/>
        </w:rPr>
        <w:t> </w:t>
      </w:r>
      <w:r>
        <w:rPr>
          <w:sz w:val="21"/>
          <w:vertAlign w:val="baseline"/>
        </w:rPr>
        <w:t>doubts</w:t>
      </w:r>
      <w:r>
        <w:rPr>
          <w:spacing w:val="-6"/>
          <w:sz w:val="21"/>
          <w:vertAlign w:val="baseline"/>
        </w:rPr>
        <w:t> </w:t>
      </w:r>
      <w:r>
        <w:rPr>
          <w:sz w:val="21"/>
          <w:vertAlign w:val="baseline"/>
        </w:rPr>
        <w:t>about</w:t>
      </w:r>
      <w:r>
        <w:rPr>
          <w:spacing w:val="-5"/>
          <w:sz w:val="21"/>
          <w:vertAlign w:val="baseline"/>
        </w:rPr>
        <w:t> </w:t>
      </w:r>
      <w:r>
        <w:rPr>
          <w:sz w:val="21"/>
          <w:vertAlign w:val="baseline"/>
        </w:rPr>
        <w:t>receiving</w:t>
      </w:r>
      <w:r>
        <w:rPr>
          <w:spacing w:val="-6"/>
          <w:sz w:val="21"/>
          <w:vertAlign w:val="baseline"/>
        </w:rPr>
        <w:t> </w:t>
      </w:r>
      <w:r>
        <w:rPr>
          <w:sz w:val="21"/>
          <w:vertAlign w:val="baseline"/>
        </w:rPr>
        <w:t>adequate</w:t>
      </w:r>
      <w:r>
        <w:rPr>
          <w:spacing w:val="-5"/>
          <w:sz w:val="21"/>
          <w:vertAlign w:val="baseline"/>
        </w:rPr>
        <w:t> </w:t>
      </w:r>
      <w:r>
        <w:rPr>
          <w:sz w:val="21"/>
          <w:vertAlign w:val="baseline"/>
        </w:rPr>
        <w:t>assistance.</w:t>
      </w:r>
      <w:r>
        <w:rPr>
          <w:spacing w:val="-6"/>
          <w:sz w:val="21"/>
          <w:vertAlign w:val="baseline"/>
        </w:rPr>
        <w:t> </w:t>
      </w:r>
      <w:r>
        <w:rPr>
          <w:sz w:val="21"/>
          <w:vertAlign w:val="baseline"/>
        </w:rPr>
        <w:t>This</w:t>
      </w:r>
      <w:r>
        <w:rPr>
          <w:spacing w:val="-6"/>
          <w:sz w:val="21"/>
          <w:vertAlign w:val="baseline"/>
        </w:rPr>
        <w:t> </w:t>
      </w:r>
      <w:r>
        <w:rPr>
          <w:sz w:val="21"/>
          <w:vertAlign w:val="baseline"/>
        </w:rPr>
        <w:t>lack</w:t>
      </w:r>
      <w:r>
        <w:rPr>
          <w:spacing w:val="-6"/>
          <w:sz w:val="21"/>
          <w:vertAlign w:val="baseline"/>
        </w:rPr>
        <w:t> </w:t>
      </w:r>
      <w:r>
        <w:rPr>
          <w:sz w:val="21"/>
          <w:vertAlign w:val="baseline"/>
        </w:rPr>
        <w:t>of</w:t>
      </w:r>
      <w:r>
        <w:rPr>
          <w:spacing w:val="-6"/>
          <w:sz w:val="21"/>
          <w:vertAlign w:val="baseline"/>
        </w:rPr>
        <w:t> </w:t>
      </w:r>
      <w:r>
        <w:rPr>
          <w:sz w:val="21"/>
          <w:vertAlign w:val="baseline"/>
        </w:rPr>
        <w:t>trust</w:t>
      </w:r>
      <w:r>
        <w:rPr>
          <w:spacing w:val="-6"/>
          <w:sz w:val="21"/>
          <w:vertAlign w:val="baseline"/>
        </w:rPr>
        <w:t> </w:t>
      </w:r>
      <w:r>
        <w:rPr>
          <w:sz w:val="21"/>
          <w:vertAlign w:val="baseline"/>
        </w:rPr>
        <w:t>is further</w:t>
      </w:r>
      <w:r>
        <w:rPr>
          <w:spacing w:val="-2"/>
          <w:sz w:val="21"/>
          <w:vertAlign w:val="baseline"/>
        </w:rPr>
        <w:t> </w:t>
      </w:r>
      <w:r>
        <w:rPr>
          <w:sz w:val="21"/>
          <w:vertAlign w:val="baseline"/>
        </w:rPr>
        <w:t>exacerbated</w:t>
      </w:r>
      <w:r>
        <w:rPr>
          <w:spacing w:val="-2"/>
          <w:sz w:val="21"/>
          <w:vertAlign w:val="baseline"/>
        </w:rPr>
        <w:t> </w:t>
      </w:r>
      <w:r>
        <w:rPr>
          <w:sz w:val="21"/>
          <w:vertAlign w:val="baseline"/>
        </w:rPr>
        <w:t>by</w:t>
      </w:r>
      <w:r>
        <w:rPr>
          <w:spacing w:val="-3"/>
          <w:sz w:val="21"/>
          <w:vertAlign w:val="baseline"/>
        </w:rPr>
        <w:t> </w:t>
      </w:r>
      <w:r>
        <w:rPr>
          <w:sz w:val="21"/>
          <w:vertAlign w:val="baseline"/>
        </w:rPr>
        <w:t>the</w:t>
      </w:r>
      <w:r>
        <w:rPr>
          <w:spacing w:val="-3"/>
          <w:sz w:val="21"/>
          <w:vertAlign w:val="baseline"/>
        </w:rPr>
        <w:t> </w:t>
      </w:r>
      <w:r>
        <w:rPr>
          <w:sz w:val="21"/>
          <w:vertAlign w:val="baseline"/>
        </w:rPr>
        <w:t>patterned,</w:t>
      </w:r>
      <w:r>
        <w:rPr>
          <w:spacing w:val="-3"/>
          <w:sz w:val="21"/>
          <w:vertAlign w:val="baseline"/>
        </w:rPr>
        <w:t> </w:t>
      </w:r>
      <w:r>
        <w:rPr>
          <w:sz w:val="21"/>
          <w:vertAlign w:val="baseline"/>
        </w:rPr>
        <w:t>negative</w:t>
      </w:r>
      <w:r>
        <w:rPr>
          <w:spacing w:val="-2"/>
          <w:sz w:val="21"/>
          <w:vertAlign w:val="baseline"/>
        </w:rPr>
        <w:t> </w:t>
      </w:r>
      <w:r>
        <w:rPr>
          <w:sz w:val="21"/>
          <w:vertAlign w:val="baseline"/>
        </w:rPr>
        <w:t>treatment</w:t>
      </w:r>
      <w:r>
        <w:rPr>
          <w:spacing w:val="-1"/>
          <w:sz w:val="21"/>
          <w:vertAlign w:val="baseline"/>
        </w:rPr>
        <w:t> </w:t>
      </w:r>
      <w:r>
        <w:rPr>
          <w:sz w:val="21"/>
          <w:vertAlign w:val="baseline"/>
        </w:rPr>
        <w:t>of</w:t>
      </w:r>
      <w:r>
        <w:rPr>
          <w:spacing w:val="-2"/>
          <w:sz w:val="21"/>
          <w:vertAlign w:val="baseline"/>
        </w:rPr>
        <w:t> </w:t>
      </w:r>
      <w:r>
        <w:rPr>
          <w:sz w:val="21"/>
          <w:vertAlign w:val="baseline"/>
        </w:rPr>
        <w:t>LGBTQ</w:t>
      </w:r>
      <w:r>
        <w:rPr>
          <w:spacing w:val="-3"/>
          <w:sz w:val="21"/>
          <w:vertAlign w:val="baseline"/>
        </w:rPr>
        <w:t> </w:t>
      </w:r>
      <w:r>
        <w:rPr>
          <w:sz w:val="21"/>
          <w:vertAlign w:val="baseline"/>
        </w:rPr>
        <w:t>youth</w:t>
      </w:r>
      <w:r>
        <w:rPr>
          <w:spacing w:val="-2"/>
          <w:sz w:val="21"/>
          <w:vertAlign w:val="baseline"/>
        </w:rPr>
        <w:t> </w:t>
      </w:r>
      <w:r>
        <w:rPr>
          <w:sz w:val="21"/>
          <w:vertAlign w:val="baseline"/>
        </w:rPr>
        <w:t>who</w:t>
      </w:r>
      <w:r>
        <w:rPr>
          <w:spacing w:val="-2"/>
          <w:sz w:val="21"/>
          <w:vertAlign w:val="baseline"/>
        </w:rPr>
        <w:t> </w:t>
      </w:r>
      <w:r>
        <w:rPr>
          <w:sz w:val="21"/>
          <w:vertAlign w:val="baseline"/>
        </w:rPr>
        <w:t>do</w:t>
      </w:r>
      <w:r>
        <w:rPr>
          <w:spacing w:val="-2"/>
          <w:sz w:val="21"/>
          <w:vertAlign w:val="baseline"/>
        </w:rPr>
        <w:t> </w:t>
      </w:r>
      <w:r>
        <w:rPr>
          <w:sz w:val="21"/>
          <w:vertAlign w:val="baseline"/>
        </w:rPr>
        <w:t>report</w:t>
      </w:r>
      <w:r>
        <w:rPr>
          <w:spacing w:val="-1"/>
          <w:sz w:val="21"/>
          <w:vertAlign w:val="baseline"/>
        </w:rPr>
        <w:t> </w:t>
      </w:r>
      <w:r>
        <w:rPr>
          <w:sz w:val="21"/>
          <w:vertAlign w:val="baseline"/>
        </w:rPr>
        <w:t>the</w:t>
      </w:r>
      <w:r>
        <w:rPr>
          <w:spacing w:val="-3"/>
          <w:sz w:val="21"/>
          <w:vertAlign w:val="baseline"/>
        </w:rPr>
        <w:t> </w:t>
      </w:r>
      <w:r>
        <w:rPr>
          <w:sz w:val="21"/>
          <w:vertAlign w:val="baseline"/>
        </w:rPr>
        <w:t>harassment. Frequently, LGBTQ youth who endure bullying or harassment find themselves facing more severe disciplinary actions than the perpetrators themselves.</w:t>
      </w:r>
      <w:r>
        <w:rPr>
          <w:spacing w:val="-12"/>
          <w:sz w:val="21"/>
          <w:vertAlign w:val="baseline"/>
        </w:rPr>
        <w:t> </w:t>
      </w:r>
      <w:hyperlink w:history="true" w:anchor="_bookmark390">
        <w:r>
          <w:rPr>
            <w:sz w:val="21"/>
            <w:vertAlign w:val="superscript"/>
          </w:rPr>
          <w:t>74</w:t>
        </w:r>
      </w:hyperlink>
      <w:r>
        <w:rPr>
          <w:sz w:val="21"/>
          <w:vertAlign w:val="baseline"/>
        </w:rPr>
        <w:t> In some cases, LGBTQ youth have even been suspended after reporting incidents of bullying.</w:t>
      </w:r>
    </w:p>
    <w:p>
      <w:pPr>
        <w:pStyle w:val="BodyText"/>
        <w:spacing w:before="11"/>
        <w:rPr>
          <w:sz w:val="10"/>
        </w:rPr>
      </w:pPr>
      <w:r>
        <w:rPr/>
        <w:drawing>
          <wp:anchor distT="0" distB="0" distL="0" distR="0" allowOverlap="1" layoutInCell="1" locked="0" behindDoc="1" simplePos="0" relativeHeight="487663616">
            <wp:simplePos x="0" y="0"/>
            <wp:positionH relativeFrom="page">
              <wp:posOffset>1047750</wp:posOffset>
            </wp:positionH>
            <wp:positionV relativeFrom="paragraph">
              <wp:posOffset>100141</wp:posOffset>
            </wp:positionV>
            <wp:extent cx="5656062" cy="1359027"/>
            <wp:effectExtent l="0" t="0" r="0" b="0"/>
            <wp:wrapTopAndBottom/>
            <wp:docPr id="400" name="Image 400"/>
            <wp:cNvGraphicFramePr>
              <a:graphicFrameLocks/>
            </wp:cNvGraphicFramePr>
            <a:graphic>
              <a:graphicData uri="http://schemas.openxmlformats.org/drawingml/2006/picture">
                <pic:pic>
                  <pic:nvPicPr>
                    <pic:cNvPr id="400" name="Image 400"/>
                    <pic:cNvPicPr/>
                  </pic:nvPicPr>
                  <pic:blipFill>
                    <a:blip r:embed="rId475" cstate="print"/>
                    <a:stretch>
                      <a:fillRect/>
                    </a:stretch>
                  </pic:blipFill>
                  <pic:spPr>
                    <a:xfrm>
                      <a:off x="0" y="0"/>
                      <a:ext cx="5656062" cy="1359027"/>
                    </a:xfrm>
                    <a:prstGeom prst="rect">
                      <a:avLst/>
                    </a:prstGeom>
                  </pic:spPr>
                </pic:pic>
              </a:graphicData>
            </a:graphic>
          </wp:anchor>
        </w:drawing>
      </w:r>
    </w:p>
    <w:p>
      <w:pPr>
        <w:pStyle w:val="BodyText"/>
        <w:rPr>
          <w:sz w:val="21"/>
        </w:rPr>
      </w:pPr>
    </w:p>
    <w:p>
      <w:pPr>
        <w:pStyle w:val="BodyText"/>
        <w:spacing w:before="15"/>
        <w:rPr>
          <w:sz w:val="21"/>
        </w:rPr>
      </w:pPr>
    </w:p>
    <w:p>
      <w:pPr>
        <w:spacing w:line="276" w:lineRule="auto" w:before="0"/>
        <w:ind w:left="464" w:right="238" w:firstLine="0"/>
        <w:jc w:val="both"/>
        <w:rPr>
          <w:sz w:val="21"/>
        </w:rPr>
      </w:pPr>
      <w:r>
        <w:rPr>
          <w:sz w:val="21"/>
        </w:rPr>
        <w:t>The alarming rates of abuse and harassment experienced by LGBTQ students in Massachusetts reflect broader national trends. Across the country, LGBTQ youth are disproportionately suspended and</w:t>
      </w:r>
      <w:r>
        <w:rPr>
          <w:spacing w:val="-1"/>
          <w:sz w:val="21"/>
        </w:rPr>
        <w:t> </w:t>
      </w:r>
      <w:r>
        <w:rPr>
          <w:sz w:val="21"/>
        </w:rPr>
        <w:t>expelled from school, often paving the way for their involvement in the juvenile legal system. A recent national survey,</w:t>
      </w:r>
      <w:r>
        <w:rPr>
          <w:spacing w:val="-5"/>
          <w:sz w:val="21"/>
        </w:rPr>
        <w:t> </w:t>
      </w:r>
      <w:r>
        <w:rPr>
          <w:sz w:val="21"/>
        </w:rPr>
        <w:t>the</w:t>
      </w:r>
      <w:r>
        <w:rPr>
          <w:spacing w:val="-6"/>
          <w:sz w:val="21"/>
        </w:rPr>
        <w:t> </w:t>
      </w:r>
      <w:r>
        <w:rPr>
          <w:sz w:val="21"/>
        </w:rPr>
        <w:t>U.S.</w:t>
      </w:r>
      <w:r>
        <w:rPr>
          <w:spacing w:val="-6"/>
          <w:sz w:val="21"/>
        </w:rPr>
        <w:t> </w:t>
      </w:r>
      <w:r>
        <w:rPr>
          <w:sz w:val="21"/>
        </w:rPr>
        <w:t>Trans</w:t>
      </w:r>
      <w:r>
        <w:rPr>
          <w:spacing w:val="-6"/>
          <w:sz w:val="21"/>
        </w:rPr>
        <w:t> </w:t>
      </w:r>
      <w:r>
        <w:rPr>
          <w:sz w:val="21"/>
        </w:rPr>
        <w:t>Survey,</w:t>
      </w:r>
      <w:r>
        <w:rPr>
          <w:spacing w:val="-5"/>
          <w:sz w:val="21"/>
        </w:rPr>
        <w:t> </w:t>
      </w:r>
      <w:r>
        <w:rPr>
          <w:sz w:val="21"/>
        </w:rPr>
        <w:t>found</w:t>
      </w:r>
      <w:r>
        <w:rPr>
          <w:spacing w:val="-6"/>
          <w:sz w:val="21"/>
        </w:rPr>
        <w:t> </w:t>
      </w:r>
      <w:r>
        <w:rPr>
          <w:sz w:val="21"/>
        </w:rPr>
        <w:t>that</w:t>
      </w:r>
      <w:r>
        <w:rPr>
          <w:spacing w:val="-8"/>
          <w:sz w:val="21"/>
        </w:rPr>
        <w:t> </w:t>
      </w:r>
      <w:r>
        <w:rPr>
          <w:sz w:val="21"/>
        </w:rPr>
        <w:t>eighty</w:t>
      </w:r>
      <w:r>
        <w:rPr>
          <w:spacing w:val="-6"/>
          <w:sz w:val="21"/>
        </w:rPr>
        <w:t> </w:t>
      </w:r>
      <w:r>
        <w:rPr>
          <w:sz w:val="21"/>
        </w:rPr>
        <w:t>percent</w:t>
      </w:r>
      <w:r>
        <w:rPr>
          <w:spacing w:val="-5"/>
          <w:sz w:val="21"/>
        </w:rPr>
        <w:t> </w:t>
      </w:r>
      <w:r>
        <w:rPr>
          <w:sz w:val="21"/>
        </w:rPr>
        <w:t>of</w:t>
      </w:r>
      <w:r>
        <w:rPr>
          <w:spacing w:val="-6"/>
          <w:sz w:val="21"/>
        </w:rPr>
        <w:t> </w:t>
      </w:r>
      <w:r>
        <w:rPr>
          <w:sz w:val="21"/>
        </w:rPr>
        <w:t>adult</w:t>
      </w:r>
      <w:r>
        <w:rPr>
          <w:spacing w:val="-6"/>
          <w:sz w:val="21"/>
        </w:rPr>
        <w:t> </w:t>
      </w:r>
      <w:r>
        <w:rPr>
          <w:sz w:val="21"/>
        </w:rPr>
        <w:t>transgender</w:t>
      </w:r>
      <w:r>
        <w:rPr>
          <w:spacing w:val="-6"/>
          <w:sz w:val="21"/>
        </w:rPr>
        <w:t> </w:t>
      </w:r>
      <w:r>
        <w:rPr>
          <w:sz w:val="21"/>
        </w:rPr>
        <w:t>participants</w:t>
      </w:r>
      <w:r>
        <w:rPr>
          <w:spacing w:val="-6"/>
          <w:sz w:val="21"/>
        </w:rPr>
        <w:t> </w:t>
      </w:r>
      <w:r>
        <w:rPr>
          <w:sz w:val="21"/>
        </w:rPr>
        <w:t>and</w:t>
      </w:r>
      <w:r>
        <w:rPr>
          <w:spacing w:val="-6"/>
          <w:sz w:val="21"/>
        </w:rPr>
        <w:t> </w:t>
      </w:r>
      <w:r>
        <w:rPr>
          <w:sz w:val="21"/>
        </w:rPr>
        <w:t>sixty</w:t>
      </w:r>
      <w:r>
        <w:rPr>
          <w:spacing w:val="-6"/>
          <w:sz w:val="21"/>
        </w:rPr>
        <w:t> </w:t>
      </w:r>
      <w:r>
        <w:rPr>
          <w:sz w:val="21"/>
        </w:rPr>
        <w:t>percent of transgender respondents aged 16 and</w:t>
      </w:r>
      <w:r>
        <w:rPr>
          <w:spacing w:val="-2"/>
          <w:sz w:val="21"/>
        </w:rPr>
        <w:t> </w:t>
      </w:r>
      <w:r>
        <w:rPr>
          <w:sz w:val="21"/>
        </w:rPr>
        <w:t>17, who were</w:t>
      </w:r>
      <w:r>
        <w:rPr>
          <w:spacing w:val="-1"/>
          <w:sz w:val="21"/>
        </w:rPr>
        <w:t> </w:t>
      </w:r>
      <w:r>
        <w:rPr>
          <w:sz w:val="21"/>
        </w:rPr>
        <w:t>identified or perceived as transgender during their K-12 education, reported facing at least one type of negative experience or mistreatment at school.</w:t>
      </w:r>
      <w:hyperlink w:history="true" w:anchor="_bookmark391">
        <w:r>
          <w:rPr>
            <w:sz w:val="21"/>
            <w:vertAlign w:val="superscript"/>
          </w:rPr>
          <w:t>75</w:t>
        </w:r>
      </w:hyperlink>
      <w:r>
        <w:rPr>
          <w:spacing w:val="-2"/>
          <w:sz w:val="21"/>
          <w:vertAlign w:val="baseline"/>
        </w:rPr>
        <w:t> </w:t>
      </w:r>
      <w:r>
        <w:rPr>
          <w:sz w:val="21"/>
          <w:vertAlign w:val="baseline"/>
        </w:rPr>
        <w:t>This included verbal harassment, physical assaults, cyberbullying, restrictions on dressing according to their gender</w:t>
      </w:r>
      <w:r>
        <w:rPr>
          <w:spacing w:val="-6"/>
          <w:sz w:val="21"/>
          <w:vertAlign w:val="baseline"/>
        </w:rPr>
        <w:t> </w:t>
      </w:r>
      <w:r>
        <w:rPr>
          <w:sz w:val="21"/>
          <w:vertAlign w:val="baseline"/>
        </w:rPr>
        <w:t>identity</w:t>
      </w:r>
      <w:r>
        <w:rPr>
          <w:spacing w:val="-6"/>
          <w:sz w:val="21"/>
          <w:vertAlign w:val="baseline"/>
        </w:rPr>
        <w:t> </w:t>
      </w:r>
      <w:r>
        <w:rPr>
          <w:sz w:val="21"/>
          <w:vertAlign w:val="baseline"/>
        </w:rPr>
        <w:t>or</w:t>
      </w:r>
      <w:r>
        <w:rPr>
          <w:spacing w:val="-6"/>
          <w:sz w:val="21"/>
          <w:vertAlign w:val="baseline"/>
        </w:rPr>
        <w:t> </w:t>
      </w:r>
      <w:r>
        <w:rPr>
          <w:sz w:val="21"/>
          <w:vertAlign w:val="baseline"/>
        </w:rPr>
        <w:t>expression,</w:t>
      </w:r>
      <w:r>
        <w:rPr>
          <w:spacing w:val="-5"/>
          <w:sz w:val="21"/>
          <w:vertAlign w:val="baseline"/>
        </w:rPr>
        <w:t> </w:t>
      </w:r>
      <w:r>
        <w:rPr>
          <w:sz w:val="21"/>
          <w:vertAlign w:val="baseline"/>
        </w:rPr>
        <w:t>refusal</w:t>
      </w:r>
      <w:r>
        <w:rPr>
          <w:spacing w:val="-6"/>
          <w:sz w:val="21"/>
          <w:vertAlign w:val="baseline"/>
        </w:rPr>
        <w:t> </w:t>
      </w:r>
      <w:r>
        <w:rPr>
          <w:sz w:val="21"/>
          <w:vertAlign w:val="baseline"/>
        </w:rPr>
        <w:t>by</w:t>
      </w:r>
      <w:r>
        <w:rPr>
          <w:spacing w:val="-6"/>
          <w:sz w:val="21"/>
          <w:vertAlign w:val="baseline"/>
        </w:rPr>
        <w:t> </w:t>
      </w:r>
      <w:r>
        <w:rPr>
          <w:sz w:val="21"/>
          <w:vertAlign w:val="baseline"/>
        </w:rPr>
        <w:t>teachers</w:t>
      </w:r>
      <w:r>
        <w:rPr>
          <w:spacing w:val="-6"/>
          <w:sz w:val="21"/>
          <w:vertAlign w:val="baseline"/>
        </w:rPr>
        <w:t> </w:t>
      </w:r>
      <w:r>
        <w:rPr>
          <w:sz w:val="21"/>
          <w:vertAlign w:val="baseline"/>
        </w:rPr>
        <w:t>or</w:t>
      </w:r>
      <w:r>
        <w:rPr>
          <w:spacing w:val="-6"/>
          <w:sz w:val="21"/>
          <w:vertAlign w:val="baseline"/>
        </w:rPr>
        <w:t> </w:t>
      </w:r>
      <w:r>
        <w:rPr>
          <w:sz w:val="21"/>
          <w:vertAlign w:val="baseline"/>
        </w:rPr>
        <w:t>staff</w:t>
      </w:r>
      <w:r>
        <w:rPr>
          <w:spacing w:val="-6"/>
          <w:sz w:val="21"/>
          <w:vertAlign w:val="baseline"/>
        </w:rPr>
        <w:t> </w:t>
      </w:r>
      <w:r>
        <w:rPr>
          <w:sz w:val="21"/>
          <w:vertAlign w:val="baseline"/>
        </w:rPr>
        <w:t>to</w:t>
      </w:r>
      <w:r>
        <w:rPr>
          <w:spacing w:val="-6"/>
          <w:sz w:val="21"/>
          <w:vertAlign w:val="baseline"/>
        </w:rPr>
        <w:t> </w:t>
      </w:r>
      <w:r>
        <w:rPr>
          <w:sz w:val="21"/>
          <w:vertAlign w:val="baseline"/>
        </w:rPr>
        <w:t>use</w:t>
      </w:r>
      <w:r>
        <w:rPr>
          <w:spacing w:val="-6"/>
          <w:sz w:val="21"/>
          <w:vertAlign w:val="baseline"/>
        </w:rPr>
        <w:t> </w:t>
      </w:r>
      <w:r>
        <w:rPr>
          <w:sz w:val="21"/>
          <w:vertAlign w:val="baseline"/>
        </w:rPr>
        <w:t>their</w:t>
      </w:r>
      <w:r>
        <w:rPr>
          <w:spacing w:val="-4"/>
          <w:sz w:val="21"/>
          <w:vertAlign w:val="baseline"/>
        </w:rPr>
        <w:t> </w:t>
      </w:r>
      <w:r>
        <w:rPr>
          <w:sz w:val="21"/>
          <w:vertAlign w:val="baseline"/>
        </w:rPr>
        <w:t>chosen</w:t>
      </w:r>
      <w:r>
        <w:rPr>
          <w:spacing w:val="-6"/>
          <w:sz w:val="21"/>
          <w:vertAlign w:val="baseline"/>
        </w:rPr>
        <w:t> </w:t>
      </w:r>
      <w:r>
        <w:rPr>
          <w:sz w:val="21"/>
          <w:vertAlign w:val="baseline"/>
        </w:rPr>
        <w:t>names</w:t>
      </w:r>
      <w:r>
        <w:rPr>
          <w:spacing w:val="-5"/>
          <w:sz w:val="21"/>
          <w:vertAlign w:val="baseline"/>
        </w:rPr>
        <w:t> </w:t>
      </w:r>
      <w:r>
        <w:rPr>
          <w:sz w:val="21"/>
          <w:vertAlign w:val="baseline"/>
        </w:rPr>
        <w:t>or</w:t>
      </w:r>
      <w:r>
        <w:rPr>
          <w:spacing w:val="-6"/>
          <w:sz w:val="21"/>
          <w:vertAlign w:val="baseline"/>
        </w:rPr>
        <w:t> </w:t>
      </w:r>
      <w:r>
        <w:rPr>
          <w:sz w:val="21"/>
          <w:vertAlign w:val="baseline"/>
        </w:rPr>
        <w:t>pronouns,</w:t>
      </w:r>
      <w:r>
        <w:rPr>
          <w:spacing w:val="-4"/>
          <w:sz w:val="21"/>
          <w:vertAlign w:val="baseline"/>
        </w:rPr>
        <w:t> </w:t>
      </w:r>
      <w:r>
        <w:rPr>
          <w:sz w:val="21"/>
          <w:vertAlign w:val="baseline"/>
        </w:rPr>
        <w:t>or</w:t>
      </w:r>
      <w:r>
        <w:rPr>
          <w:spacing w:val="-6"/>
          <w:sz w:val="21"/>
          <w:vertAlign w:val="baseline"/>
        </w:rPr>
        <w:t> </w:t>
      </w:r>
      <w:r>
        <w:rPr>
          <w:sz w:val="21"/>
          <w:vertAlign w:val="baseline"/>
        </w:rPr>
        <w:t>denial of</w:t>
      </w:r>
      <w:r>
        <w:rPr>
          <w:spacing w:val="-1"/>
          <w:sz w:val="21"/>
          <w:vertAlign w:val="baseline"/>
        </w:rPr>
        <w:t> </w:t>
      </w:r>
      <w:r>
        <w:rPr>
          <w:sz w:val="21"/>
          <w:vertAlign w:val="baseline"/>
        </w:rPr>
        <w:t>access</w:t>
      </w:r>
      <w:r>
        <w:rPr>
          <w:spacing w:val="-1"/>
          <w:sz w:val="21"/>
          <w:vertAlign w:val="baseline"/>
        </w:rPr>
        <w:t> </w:t>
      </w:r>
      <w:r>
        <w:rPr>
          <w:sz w:val="21"/>
          <w:vertAlign w:val="baseline"/>
        </w:rPr>
        <w:t>to</w:t>
      </w:r>
      <w:r>
        <w:rPr>
          <w:spacing w:val="-1"/>
          <w:sz w:val="21"/>
          <w:vertAlign w:val="baseline"/>
        </w:rPr>
        <w:t> </w:t>
      </w:r>
      <w:r>
        <w:rPr>
          <w:sz w:val="21"/>
          <w:vertAlign w:val="baseline"/>
        </w:rPr>
        <w:t>bathrooms</w:t>
      </w:r>
      <w:r>
        <w:rPr>
          <w:spacing w:val="-1"/>
          <w:sz w:val="21"/>
          <w:vertAlign w:val="baseline"/>
        </w:rPr>
        <w:t> </w:t>
      </w:r>
      <w:r>
        <w:rPr>
          <w:sz w:val="21"/>
          <w:vertAlign w:val="baseline"/>
        </w:rPr>
        <w:t>or</w:t>
      </w:r>
      <w:r>
        <w:rPr>
          <w:spacing w:val="-1"/>
          <w:sz w:val="21"/>
          <w:vertAlign w:val="baseline"/>
        </w:rPr>
        <w:t> </w:t>
      </w:r>
      <w:r>
        <w:rPr>
          <w:sz w:val="21"/>
          <w:vertAlign w:val="baseline"/>
        </w:rPr>
        <w:t>locker</w:t>
      </w:r>
      <w:r>
        <w:rPr>
          <w:spacing w:val="-1"/>
          <w:sz w:val="21"/>
          <w:vertAlign w:val="baseline"/>
        </w:rPr>
        <w:t> </w:t>
      </w:r>
      <w:r>
        <w:rPr>
          <w:sz w:val="21"/>
          <w:vertAlign w:val="baseline"/>
        </w:rPr>
        <w:t>rooms</w:t>
      </w:r>
      <w:r>
        <w:rPr>
          <w:spacing w:val="-1"/>
          <w:sz w:val="21"/>
          <w:vertAlign w:val="baseline"/>
        </w:rPr>
        <w:t> </w:t>
      </w:r>
      <w:r>
        <w:rPr>
          <w:sz w:val="21"/>
          <w:vertAlign w:val="baseline"/>
        </w:rPr>
        <w:t>that aligned</w:t>
      </w:r>
      <w:r>
        <w:rPr>
          <w:spacing w:val="-1"/>
          <w:sz w:val="21"/>
          <w:vertAlign w:val="baseline"/>
        </w:rPr>
        <w:t> </w:t>
      </w:r>
      <w:r>
        <w:rPr>
          <w:sz w:val="21"/>
          <w:vertAlign w:val="baseline"/>
        </w:rPr>
        <w:t>with</w:t>
      </w:r>
      <w:r>
        <w:rPr>
          <w:spacing w:val="-1"/>
          <w:sz w:val="21"/>
          <w:vertAlign w:val="baseline"/>
        </w:rPr>
        <w:t> </w:t>
      </w:r>
      <w:r>
        <w:rPr>
          <w:sz w:val="21"/>
          <w:vertAlign w:val="baseline"/>
        </w:rPr>
        <w:t>their</w:t>
      </w:r>
      <w:r>
        <w:rPr>
          <w:spacing w:val="-2"/>
          <w:sz w:val="21"/>
          <w:vertAlign w:val="baseline"/>
        </w:rPr>
        <w:t> </w:t>
      </w:r>
      <w:r>
        <w:rPr>
          <w:sz w:val="21"/>
          <w:vertAlign w:val="baseline"/>
        </w:rPr>
        <w:t>gender</w:t>
      </w:r>
      <w:r>
        <w:rPr>
          <w:spacing w:val="-1"/>
          <w:sz w:val="21"/>
          <w:vertAlign w:val="baseline"/>
        </w:rPr>
        <w:t> </w:t>
      </w:r>
      <w:r>
        <w:rPr>
          <w:sz w:val="21"/>
          <w:vertAlign w:val="baseline"/>
        </w:rPr>
        <w:t>identity.</w:t>
      </w:r>
      <w:hyperlink w:history="true" w:anchor="_bookmark392">
        <w:r>
          <w:rPr>
            <w:sz w:val="21"/>
            <w:vertAlign w:val="superscript"/>
          </w:rPr>
          <w:t>76</w:t>
        </w:r>
      </w:hyperlink>
      <w:r>
        <w:rPr>
          <w:spacing w:val="-2"/>
          <w:sz w:val="21"/>
          <w:vertAlign w:val="baseline"/>
        </w:rPr>
        <w:t> </w:t>
      </w:r>
      <w:r>
        <w:rPr>
          <w:sz w:val="21"/>
          <w:vertAlign w:val="baseline"/>
        </w:rPr>
        <w:t>This</w:t>
      </w:r>
      <w:r>
        <w:rPr>
          <w:spacing w:val="-1"/>
          <w:sz w:val="21"/>
          <w:vertAlign w:val="baseline"/>
        </w:rPr>
        <w:t> </w:t>
      </w:r>
      <w:r>
        <w:rPr>
          <w:sz w:val="21"/>
          <w:vertAlign w:val="baseline"/>
        </w:rPr>
        <w:t>harm</w:t>
      </w:r>
      <w:r>
        <w:rPr>
          <w:spacing w:val="-1"/>
          <w:sz w:val="21"/>
          <w:vertAlign w:val="baseline"/>
        </w:rPr>
        <w:t> </w:t>
      </w:r>
      <w:r>
        <w:rPr>
          <w:sz w:val="21"/>
          <w:vertAlign w:val="baseline"/>
        </w:rPr>
        <w:t>is</w:t>
      </w:r>
      <w:r>
        <w:rPr>
          <w:spacing w:val="-1"/>
          <w:sz w:val="21"/>
          <w:vertAlign w:val="baseline"/>
        </w:rPr>
        <w:t> </w:t>
      </w:r>
      <w:r>
        <w:rPr>
          <w:sz w:val="21"/>
          <w:vertAlign w:val="baseline"/>
        </w:rPr>
        <w:t>exacerbated in schools with the</w:t>
      </w:r>
      <w:r>
        <w:rPr>
          <w:spacing w:val="-1"/>
          <w:sz w:val="21"/>
          <w:vertAlign w:val="baseline"/>
        </w:rPr>
        <w:t> </w:t>
      </w:r>
      <w:r>
        <w:rPr>
          <w:sz w:val="21"/>
          <w:vertAlign w:val="baseline"/>
        </w:rPr>
        <w:t>presence of School Resource Officers (SROs), where LGBTQ youth are</w:t>
      </w:r>
      <w:r>
        <w:rPr>
          <w:spacing w:val="-1"/>
          <w:sz w:val="21"/>
          <w:vertAlign w:val="baseline"/>
        </w:rPr>
        <w:t> </w:t>
      </w:r>
      <w:r>
        <w:rPr>
          <w:sz w:val="21"/>
          <w:vertAlign w:val="baseline"/>
        </w:rPr>
        <w:t>more likely to be referred to law enforcement for disciplinary infractions.</w:t>
      </w:r>
      <w:r>
        <w:rPr>
          <w:spacing w:val="-12"/>
          <w:sz w:val="21"/>
          <w:vertAlign w:val="baseline"/>
        </w:rPr>
        <w:t> </w:t>
      </w:r>
      <w:hyperlink w:history="true" w:anchor="_bookmark393">
        <w:r>
          <w:rPr>
            <w:sz w:val="21"/>
            <w:vertAlign w:val="superscript"/>
          </w:rPr>
          <w:t>77</w:t>
        </w:r>
      </w:hyperlink>
      <w:r>
        <w:rPr>
          <w:sz w:val="21"/>
          <w:vertAlign w:val="baseline"/>
        </w:rPr>
        <w:t> As a result, these interactions perpetuate a phenomenon</w:t>
      </w:r>
      <w:r>
        <w:rPr>
          <w:spacing w:val="-12"/>
          <w:sz w:val="21"/>
          <w:vertAlign w:val="baseline"/>
        </w:rPr>
        <w:t> </w:t>
      </w:r>
      <w:r>
        <w:rPr>
          <w:sz w:val="21"/>
          <w:vertAlign w:val="baseline"/>
        </w:rPr>
        <w:t>referred</w:t>
      </w:r>
      <w:r>
        <w:rPr>
          <w:spacing w:val="-12"/>
          <w:sz w:val="21"/>
          <w:vertAlign w:val="baseline"/>
        </w:rPr>
        <w:t> </w:t>
      </w:r>
      <w:r>
        <w:rPr>
          <w:sz w:val="21"/>
          <w:vertAlign w:val="baseline"/>
        </w:rPr>
        <w:t>to</w:t>
      </w:r>
      <w:r>
        <w:rPr>
          <w:spacing w:val="-12"/>
          <w:sz w:val="21"/>
          <w:vertAlign w:val="baseline"/>
        </w:rPr>
        <w:t> </w:t>
      </w:r>
      <w:r>
        <w:rPr>
          <w:sz w:val="21"/>
          <w:vertAlign w:val="baseline"/>
        </w:rPr>
        <w:t>as</w:t>
      </w:r>
      <w:r>
        <w:rPr>
          <w:spacing w:val="-12"/>
          <w:sz w:val="21"/>
          <w:vertAlign w:val="baseline"/>
        </w:rPr>
        <w:t> </w:t>
      </w:r>
      <w:r>
        <w:rPr>
          <w:sz w:val="21"/>
          <w:vertAlign w:val="baseline"/>
        </w:rPr>
        <w:t>the</w:t>
      </w:r>
      <w:r>
        <w:rPr>
          <w:spacing w:val="-12"/>
          <w:sz w:val="21"/>
          <w:vertAlign w:val="baseline"/>
        </w:rPr>
        <w:t> </w:t>
      </w:r>
      <w:r>
        <w:rPr>
          <w:sz w:val="21"/>
          <w:vertAlign w:val="baseline"/>
        </w:rPr>
        <w:t>school-to-prison</w:t>
      </w:r>
      <w:r>
        <w:rPr>
          <w:spacing w:val="-12"/>
          <w:sz w:val="21"/>
          <w:vertAlign w:val="baseline"/>
        </w:rPr>
        <w:t> </w:t>
      </w:r>
      <w:r>
        <w:rPr>
          <w:sz w:val="21"/>
          <w:vertAlign w:val="baseline"/>
        </w:rPr>
        <w:t>pipeline,</w:t>
      </w:r>
      <w:r>
        <w:rPr>
          <w:spacing w:val="-12"/>
          <w:sz w:val="21"/>
          <w:vertAlign w:val="baseline"/>
        </w:rPr>
        <w:t> </w:t>
      </w:r>
      <w:r>
        <w:rPr>
          <w:sz w:val="21"/>
          <w:vertAlign w:val="baseline"/>
        </w:rPr>
        <w:t>in</w:t>
      </w:r>
      <w:r>
        <w:rPr>
          <w:spacing w:val="-11"/>
          <w:sz w:val="21"/>
          <w:vertAlign w:val="baseline"/>
        </w:rPr>
        <w:t> </w:t>
      </w:r>
      <w:r>
        <w:rPr>
          <w:sz w:val="21"/>
          <w:vertAlign w:val="baseline"/>
        </w:rPr>
        <w:t>which</w:t>
      </w:r>
      <w:r>
        <w:rPr>
          <w:spacing w:val="-11"/>
          <w:sz w:val="21"/>
          <w:vertAlign w:val="baseline"/>
        </w:rPr>
        <w:t> </w:t>
      </w:r>
      <w:r>
        <w:rPr>
          <w:sz w:val="21"/>
          <w:vertAlign w:val="baseline"/>
        </w:rPr>
        <w:t>a</w:t>
      </w:r>
      <w:r>
        <w:rPr>
          <w:spacing w:val="-12"/>
          <w:sz w:val="21"/>
          <w:vertAlign w:val="baseline"/>
        </w:rPr>
        <w:t> </w:t>
      </w:r>
      <w:r>
        <w:rPr>
          <w:sz w:val="21"/>
          <w:vertAlign w:val="baseline"/>
        </w:rPr>
        <w:t>series</w:t>
      </w:r>
      <w:r>
        <w:rPr>
          <w:spacing w:val="-12"/>
          <w:sz w:val="21"/>
          <w:vertAlign w:val="baseline"/>
        </w:rPr>
        <w:t> </w:t>
      </w:r>
      <w:r>
        <w:rPr>
          <w:sz w:val="21"/>
          <w:vertAlign w:val="baseline"/>
        </w:rPr>
        <w:t>of</w:t>
      </w:r>
      <w:r>
        <w:rPr>
          <w:spacing w:val="-12"/>
          <w:sz w:val="21"/>
          <w:vertAlign w:val="baseline"/>
        </w:rPr>
        <w:t> </w:t>
      </w:r>
      <w:r>
        <w:rPr>
          <w:sz w:val="21"/>
          <w:vertAlign w:val="baseline"/>
        </w:rPr>
        <w:t>punitive</w:t>
      </w:r>
      <w:r>
        <w:rPr>
          <w:spacing w:val="-11"/>
          <w:sz w:val="21"/>
          <w:vertAlign w:val="baseline"/>
        </w:rPr>
        <w:t> </w:t>
      </w:r>
      <w:r>
        <w:rPr>
          <w:sz w:val="21"/>
          <w:vertAlign w:val="baseline"/>
        </w:rPr>
        <w:t>policies</w:t>
      </w:r>
      <w:r>
        <w:rPr>
          <w:spacing w:val="-12"/>
          <w:sz w:val="21"/>
          <w:vertAlign w:val="baseline"/>
        </w:rPr>
        <w:t> </w:t>
      </w:r>
      <w:r>
        <w:rPr>
          <w:sz w:val="21"/>
          <w:vertAlign w:val="baseline"/>
        </w:rPr>
        <w:t>and</w:t>
      </w:r>
      <w:r>
        <w:rPr>
          <w:spacing w:val="-12"/>
          <w:sz w:val="21"/>
          <w:vertAlign w:val="baseline"/>
        </w:rPr>
        <w:t> </w:t>
      </w:r>
      <w:r>
        <w:rPr>
          <w:sz w:val="21"/>
          <w:vertAlign w:val="baseline"/>
        </w:rPr>
        <w:t>practices within the education system disproportionately funnel students, particularly those already at risk, out of classrooms and into the juvenile and criminal legal systems.</w:t>
      </w:r>
      <w:r>
        <w:rPr>
          <w:spacing w:val="-12"/>
          <w:sz w:val="21"/>
          <w:vertAlign w:val="baseline"/>
        </w:rPr>
        <w:t> </w:t>
      </w:r>
      <w:hyperlink w:history="true" w:anchor="_bookmark394">
        <w:r>
          <w:rPr>
            <w:sz w:val="21"/>
            <w:vertAlign w:val="superscript"/>
          </w:rPr>
          <w:t>78</w:t>
        </w:r>
      </w:hyperlink>
      <w:r>
        <w:rPr>
          <w:sz w:val="21"/>
          <w:vertAlign w:val="baseline"/>
        </w:rPr>
        <w:t> The school-to-prison pipeline reflects a prioritization</w:t>
      </w:r>
      <w:r>
        <w:rPr>
          <w:spacing w:val="-11"/>
          <w:sz w:val="21"/>
          <w:vertAlign w:val="baseline"/>
        </w:rPr>
        <w:t> </w:t>
      </w:r>
      <w:r>
        <w:rPr>
          <w:sz w:val="21"/>
          <w:vertAlign w:val="baseline"/>
        </w:rPr>
        <w:t>of</w:t>
      </w:r>
      <w:r>
        <w:rPr>
          <w:spacing w:val="-11"/>
          <w:sz w:val="21"/>
          <w:vertAlign w:val="baseline"/>
        </w:rPr>
        <w:t> </w:t>
      </w:r>
      <w:r>
        <w:rPr>
          <w:sz w:val="21"/>
          <w:vertAlign w:val="baseline"/>
        </w:rPr>
        <w:t>punishment</w:t>
      </w:r>
      <w:r>
        <w:rPr>
          <w:spacing w:val="-10"/>
          <w:sz w:val="21"/>
          <w:vertAlign w:val="baseline"/>
        </w:rPr>
        <w:t> </w:t>
      </w:r>
      <w:r>
        <w:rPr>
          <w:sz w:val="21"/>
          <w:vertAlign w:val="baseline"/>
        </w:rPr>
        <w:t>over</w:t>
      </w:r>
      <w:r>
        <w:rPr>
          <w:spacing w:val="-11"/>
          <w:sz w:val="21"/>
          <w:vertAlign w:val="baseline"/>
        </w:rPr>
        <w:t> </w:t>
      </w:r>
      <w:r>
        <w:rPr>
          <w:sz w:val="21"/>
          <w:vertAlign w:val="baseline"/>
        </w:rPr>
        <w:t>education,</w:t>
      </w:r>
      <w:r>
        <w:rPr>
          <w:spacing w:val="-10"/>
          <w:sz w:val="21"/>
          <w:vertAlign w:val="baseline"/>
        </w:rPr>
        <w:t> </w:t>
      </w:r>
      <w:r>
        <w:rPr>
          <w:sz w:val="21"/>
          <w:vertAlign w:val="baseline"/>
        </w:rPr>
        <w:t>contributing</w:t>
      </w:r>
      <w:r>
        <w:rPr>
          <w:spacing w:val="-11"/>
          <w:sz w:val="21"/>
          <w:vertAlign w:val="baseline"/>
        </w:rPr>
        <w:t> </w:t>
      </w:r>
      <w:r>
        <w:rPr>
          <w:sz w:val="21"/>
          <w:vertAlign w:val="baseline"/>
        </w:rPr>
        <w:t>to</w:t>
      </w:r>
      <w:r>
        <w:rPr>
          <w:spacing w:val="-12"/>
          <w:sz w:val="21"/>
          <w:vertAlign w:val="baseline"/>
        </w:rPr>
        <w:t> </w:t>
      </w:r>
      <w:r>
        <w:rPr>
          <w:sz w:val="21"/>
          <w:vertAlign w:val="baseline"/>
        </w:rPr>
        <w:t>a</w:t>
      </w:r>
      <w:r>
        <w:rPr>
          <w:spacing w:val="-10"/>
          <w:sz w:val="21"/>
          <w:vertAlign w:val="baseline"/>
        </w:rPr>
        <w:t> </w:t>
      </w:r>
      <w:r>
        <w:rPr>
          <w:sz w:val="21"/>
          <w:vertAlign w:val="baseline"/>
        </w:rPr>
        <w:t>cycle</w:t>
      </w:r>
      <w:r>
        <w:rPr>
          <w:spacing w:val="-11"/>
          <w:sz w:val="21"/>
          <w:vertAlign w:val="baseline"/>
        </w:rPr>
        <w:t> </w:t>
      </w:r>
      <w:r>
        <w:rPr>
          <w:sz w:val="21"/>
          <w:vertAlign w:val="baseline"/>
        </w:rPr>
        <w:t>of</w:t>
      </w:r>
      <w:r>
        <w:rPr>
          <w:spacing w:val="-11"/>
          <w:sz w:val="21"/>
          <w:vertAlign w:val="baseline"/>
        </w:rPr>
        <w:t> </w:t>
      </w:r>
      <w:r>
        <w:rPr>
          <w:sz w:val="21"/>
          <w:vertAlign w:val="baseline"/>
        </w:rPr>
        <w:t>incarceration</w:t>
      </w:r>
      <w:r>
        <w:rPr>
          <w:spacing w:val="-10"/>
          <w:sz w:val="21"/>
          <w:vertAlign w:val="baseline"/>
        </w:rPr>
        <w:t> </w:t>
      </w:r>
      <w:r>
        <w:rPr>
          <w:sz w:val="21"/>
          <w:vertAlign w:val="baseline"/>
        </w:rPr>
        <w:t>that</w:t>
      </w:r>
      <w:r>
        <w:rPr>
          <w:spacing w:val="-11"/>
          <w:sz w:val="21"/>
          <w:vertAlign w:val="baseline"/>
        </w:rPr>
        <w:t> </w:t>
      </w:r>
      <w:r>
        <w:rPr>
          <w:sz w:val="21"/>
          <w:vertAlign w:val="baseline"/>
        </w:rPr>
        <w:t>disproportionately affects</w:t>
      </w:r>
      <w:r>
        <w:rPr>
          <w:spacing w:val="22"/>
          <w:sz w:val="21"/>
          <w:vertAlign w:val="baseline"/>
        </w:rPr>
        <w:t> </w:t>
      </w:r>
      <w:r>
        <w:rPr>
          <w:sz w:val="21"/>
          <w:vertAlign w:val="baseline"/>
        </w:rPr>
        <w:t>marginalized</w:t>
      </w:r>
      <w:r>
        <w:rPr>
          <w:spacing w:val="23"/>
          <w:sz w:val="21"/>
          <w:vertAlign w:val="baseline"/>
        </w:rPr>
        <w:t> </w:t>
      </w:r>
      <w:r>
        <w:rPr>
          <w:sz w:val="21"/>
          <w:vertAlign w:val="baseline"/>
        </w:rPr>
        <w:t>communities,</w:t>
      </w:r>
      <w:r>
        <w:rPr>
          <w:spacing w:val="23"/>
          <w:sz w:val="21"/>
          <w:vertAlign w:val="baseline"/>
        </w:rPr>
        <w:t> </w:t>
      </w:r>
      <w:r>
        <w:rPr>
          <w:sz w:val="21"/>
          <w:vertAlign w:val="baseline"/>
        </w:rPr>
        <w:t>including</w:t>
      </w:r>
      <w:r>
        <w:rPr>
          <w:spacing w:val="22"/>
          <w:sz w:val="21"/>
          <w:vertAlign w:val="baseline"/>
        </w:rPr>
        <w:t> </w:t>
      </w:r>
      <w:r>
        <w:rPr>
          <w:sz w:val="21"/>
          <w:vertAlign w:val="baseline"/>
        </w:rPr>
        <w:t>LGBTQ</w:t>
      </w:r>
      <w:r>
        <w:rPr>
          <w:spacing w:val="23"/>
          <w:sz w:val="21"/>
          <w:vertAlign w:val="baseline"/>
        </w:rPr>
        <w:t> </w:t>
      </w:r>
      <w:r>
        <w:rPr>
          <w:sz w:val="21"/>
          <w:vertAlign w:val="baseline"/>
        </w:rPr>
        <w:t>youth.</w:t>
      </w:r>
      <w:hyperlink w:history="true" w:anchor="_bookmark395">
        <w:r>
          <w:rPr>
            <w:sz w:val="21"/>
            <w:vertAlign w:val="superscript"/>
          </w:rPr>
          <w:t>79</w:t>
        </w:r>
      </w:hyperlink>
      <w:r>
        <w:rPr>
          <w:sz w:val="21"/>
          <w:vertAlign w:val="baseline"/>
        </w:rPr>
        <w:t> Once</w:t>
      </w:r>
      <w:r>
        <w:rPr>
          <w:spacing w:val="23"/>
          <w:sz w:val="21"/>
          <w:vertAlign w:val="baseline"/>
        </w:rPr>
        <w:t> </w:t>
      </w:r>
      <w:r>
        <w:rPr>
          <w:sz w:val="21"/>
          <w:vertAlign w:val="baseline"/>
        </w:rPr>
        <w:t>involved</w:t>
      </w:r>
      <w:r>
        <w:rPr>
          <w:spacing w:val="23"/>
          <w:sz w:val="21"/>
          <w:vertAlign w:val="baseline"/>
        </w:rPr>
        <w:t> </w:t>
      </w:r>
      <w:r>
        <w:rPr>
          <w:sz w:val="21"/>
          <w:vertAlign w:val="baseline"/>
        </w:rPr>
        <w:t>in</w:t>
      </w:r>
      <w:r>
        <w:rPr>
          <w:spacing w:val="23"/>
          <w:sz w:val="21"/>
          <w:vertAlign w:val="baseline"/>
        </w:rPr>
        <w:t> </w:t>
      </w:r>
      <w:r>
        <w:rPr>
          <w:sz w:val="21"/>
          <w:vertAlign w:val="baseline"/>
        </w:rPr>
        <w:t>the</w:t>
      </w:r>
      <w:r>
        <w:rPr>
          <w:spacing w:val="23"/>
          <w:sz w:val="21"/>
          <w:vertAlign w:val="baseline"/>
        </w:rPr>
        <w:t> </w:t>
      </w:r>
      <w:r>
        <w:rPr>
          <w:sz w:val="21"/>
          <w:vertAlign w:val="baseline"/>
        </w:rPr>
        <w:t>juvenile</w:t>
      </w:r>
      <w:r>
        <w:rPr>
          <w:spacing w:val="23"/>
          <w:sz w:val="21"/>
          <w:vertAlign w:val="baseline"/>
        </w:rPr>
        <w:t> </w:t>
      </w:r>
      <w:r>
        <w:rPr>
          <w:sz w:val="21"/>
          <w:vertAlign w:val="baseline"/>
        </w:rPr>
        <w:t>legal</w:t>
      </w:r>
      <w:r>
        <w:rPr>
          <w:spacing w:val="23"/>
          <w:sz w:val="21"/>
          <w:vertAlign w:val="baseline"/>
        </w:rPr>
        <w:t> </w:t>
      </w:r>
      <w:r>
        <w:rPr>
          <w:sz w:val="21"/>
          <w:vertAlign w:val="baseline"/>
        </w:rPr>
        <w:t>system,</w:t>
      </w:r>
    </w:p>
    <w:p>
      <w:pPr>
        <w:spacing w:after="0" w:line="276" w:lineRule="auto"/>
        <w:jc w:val="both"/>
        <w:rPr>
          <w:sz w:val="21"/>
        </w:rPr>
        <w:sectPr>
          <w:pgSz w:w="12240" w:h="15840"/>
          <w:pgMar w:header="763" w:footer="1041" w:top="1360" w:bottom="1240" w:left="1120" w:right="1340"/>
        </w:sectPr>
      </w:pPr>
    </w:p>
    <w:p>
      <w:pPr>
        <w:spacing w:line="276" w:lineRule="auto" w:before="65"/>
        <w:ind w:left="464" w:right="241" w:firstLine="0"/>
        <w:jc w:val="both"/>
        <w:rPr>
          <w:sz w:val="21"/>
        </w:rPr>
      </w:pPr>
      <w:r>
        <w:rPr>
          <w:sz w:val="21"/>
        </w:rPr>
        <w:t>students face numerous barriers to re-entering traditional schooling. Many of these students never graduate from high school, further limiting their opportunities for future success and increasing their likelihood of incarceration or re-incarceration.</w:t>
      </w:r>
    </w:p>
    <w:p>
      <w:pPr>
        <w:spacing w:line="276" w:lineRule="auto" w:before="240"/>
        <w:ind w:left="464" w:right="240" w:firstLine="0"/>
        <w:jc w:val="both"/>
        <w:rPr>
          <w:sz w:val="21"/>
        </w:rPr>
      </w:pPr>
      <w:r>
        <w:rPr>
          <w:sz w:val="21"/>
        </w:rPr>
        <w:t>The</w:t>
      </w:r>
      <w:r>
        <w:rPr>
          <w:spacing w:val="-4"/>
          <w:sz w:val="21"/>
        </w:rPr>
        <w:t> </w:t>
      </w:r>
      <w:r>
        <w:rPr>
          <w:sz w:val="21"/>
        </w:rPr>
        <w:t>repercussions</w:t>
      </w:r>
      <w:r>
        <w:rPr>
          <w:spacing w:val="-5"/>
          <w:sz w:val="21"/>
        </w:rPr>
        <w:t> </w:t>
      </w:r>
      <w:r>
        <w:rPr>
          <w:sz w:val="21"/>
        </w:rPr>
        <w:t>of</w:t>
      </w:r>
      <w:r>
        <w:rPr>
          <w:spacing w:val="-5"/>
          <w:sz w:val="21"/>
        </w:rPr>
        <w:t> </w:t>
      </w:r>
      <w:r>
        <w:rPr>
          <w:sz w:val="21"/>
        </w:rPr>
        <w:t>discrimination</w:t>
      </w:r>
      <w:r>
        <w:rPr>
          <w:spacing w:val="-4"/>
          <w:sz w:val="21"/>
        </w:rPr>
        <w:t> </w:t>
      </w:r>
      <w:r>
        <w:rPr>
          <w:sz w:val="21"/>
        </w:rPr>
        <w:t>and</w:t>
      </w:r>
      <w:r>
        <w:rPr>
          <w:spacing w:val="-5"/>
          <w:sz w:val="21"/>
        </w:rPr>
        <w:t> </w:t>
      </w:r>
      <w:r>
        <w:rPr>
          <w:sz w:val="21"/>
        </w:rPr>
        <w:t>harassment</w:t>
      </w:r>
      <w:r>
        <w:rPr>
          <w:spacing w:val="-4"/>
          <w:sz w:val="21"/>
        </w:rPr>
        <w:t> </w:t>
      </w:r>
      <w:r>
        <w:rPr>
          <w:sz w:val="21"/>
        </w:rPr>
        <w:t>extend</w:t>
      </w:r>
      <w:r>
        <w:rPr>
          <w:spacing w:val="-4"/>
          <w:sz w:val="21"/>
        </w:rPr>
        <w:t> </w:t>
      </w:r>
      <w:r>
        <w:rPr>
          <w:sz w:val="21"/>
        </w:rPr>
        <w:t>beyond</w:t>
      </w:r>
      <w:r>
        <w:rPr>
          <w:spacing w:val="-5"/>
          <w:sz w:val="21"/>
        </w:rPr>
        <w:t> </w:t>
      </w:r>
      <w:r>
        <w:rPr>
          <w:sz w:val="21"/>
        </w:rPr>
        <w:t>the</w:t>
      </w:r>
      <w:r>
        <w:rPr>
          <w:spacing w:val="-4"/>
          <w:sz w:val="21"/>
        </w:rPr>
        <w:t> </w:t>
      </w:r>
      <w:r>
        <w:rPr>
          <w:sz w:val="21"/>
        </w:rPr>
        <w:t>school</w:t>
      </w:r>
      <w:r>
        <w:rPr>
          <w:spacing w:val="-4"/>
          <w:sz w:val="21"/>
        </w:rPr>
        <w:t> </w:t>
      </w:r>
      <w:r>
        <w:rPr>
          <w:sz w:val="21"/>
        </w:rPr>
        <w:t>environment.</w:t>
      </w:r>
      <w:r>
        <w:rPr>
          <w:spacing w:val="-4"/>
          <w:sz w:val="21"/>
        </w:rPr>
        <w:t> </w:t>
      </w:r>
      <w:r>
        <w:rPr>
          <w:sz w:val="21"/>
        </w:rPr>
        <w:t>LGBTQ</w:t>
      </w:r>
      <w:r>
        <w:rPr>
          <w:spacing w:val="-4"/>
          <w:sz w:val="21"/>
        </w:rPr>
        <w:t> </w:t>
      </w:r>
      <w:r>
        <w:rPr>
          <w:sz w:val="21"/>
        </w:rPr>
        <w:t>youth in Massachusetts are statistically more prone to engaging in physical altercations and carrying weapons, likely to protect themselves, compared to their heterosexual and cisgender peers, leading to arrest and potential incarceration. Moreover, the disparities are particularly stark for LGBTQ youth of color, with a higher</w:t>
      </w:r>
      <w:r>
        <w:rPr>
          <w:spacing w:val="-10"/>
          <w:sz w:val="21"/>
        </w:rPr>
        <w:t> </w:t>
      </w:r>
      <w:r>
        <w:rPr>
          <w:sz w:val="21"/>
        </w:rPr>
        <w:t>likelihood</w:t>
      </w:r>
      <w:r>
        <w:rPr>
          <w:spacing w:val="-10"/>
          <w:sz w:val="21"/>
        </w:rPr>
        <w:t> </w:t>
      </w:r>
      <w:r>
        <w:rPr>
          <w:sz w:val="21"/>
        </w:rPr>
        <w:t>of</w:t>
      </w:r>
      <w:r>
        <w:rPr>
          <w:spacing w:val="-11"/>
          <w:sz w:val="21"/>
        </w:rPr>
        <w:t> </w:t>
      </w:r>
      <w:r>
        <w:rPr>
          <w:sz w:val="21"/>
        </w:rPr>
        <w:t>police</w:t>
      </w:r>
      <w:r>
        <w:rPr>
          <w:spacing w:val="-10"/>
          <w:sz w:val="21"/>
        </w:rPr>
        <w:t> </w:t>
      </w:r>
      <w:r>
        <w:rPr>
          <w:sz w:val="21"/>
        </w:rPr>
        <w:t>involvement</w:t>
      </w:r>
      <w:r>
        <w:rPr>
          <w:spacing w:val="-10"/>
          <w:sz w:val="21"/>
        </w:rPr>
        <w:t> </w:t>
      </w:r>
      <w:r>
        <w:rPr>
          <w:sz w:val="21"/>
        </w:rPr>
        <w:t>during</w:t>
      </w:r>
      <w:r>
        <w:rPr>
          <w:spacing w:val="-11"/>
          <w:sz w:val="21"/>
        </w:rPr>
        <w:t> </w:t>
      </w:r>
      <w:r>
        <w:rPr>
          <w:sz w:val="21"/>
        </w:rPr>
        <w:t>their</w:t>
      </w:r>
      <w:r>
        <w:rPr>
          <w:spacing w:val="-10"/>
          <w:sz w:val="21"/>
        </w:rPr>
        <w:t> </w:t>
      </w:r>
      <w:r>
        <w:rPr>
          <w:sz w:val="21"/>
        </w:rPr>
        <w:t>middle</w:t>
      </w:r>
      <w:r>
        <w:rPr>
          <w:spacing w:val="-10"/>
          <w:sz w:val="21"/>
        </w:rPr>
        <w:t> </w:t>
      </w:r>
      <w:r>
        <w:rPr>
          <w:sz w:val="21"/>
        </w:rPr>
        <w:t>and</w:t>
      </w:r>
      <w:r>
        <w:rPr>
          <w:spacing w:val="-10"/>
          <w:sz w:val="21"/>
        </w:rPr>
        <w:t> </w:t>
      </w:r>
      <w:r>
        <w:rPr>
          <w:sz w:val="21"/>
        </w:rPr>
        <w:t>high</w:t>
      </w:r>
      <w:r>
        <w:rPr>
          <w:spacing w:val="-10"/>
          <w:sz w:val="21"/>
        </w:rPr>
        <w:t> </w:t>
      </w:r>
      <w:r>
        <w:rPr>
          <w:sz w:val="21"/>
        </w:rPr>
        <w:t>school</w:t>
      </w:r>
      <w:r>
        <w:rPr>
          <w:spacing w:val="-10"/>
          <w:sz w:val="21"/>
        </w:rPr>
        <w:t> </w:t>
      </w:r>
      <w:r>
        <w:rPr>
          <w:sz w:val="21"/>
        </w:rPr>
        <w:t>years.</w:t>
      </w:r>
      <w:r>
        <w:rPr>
          <w:spacing w:val="-10"/>
          <w:sz w:val="21"/>
        </w:rPr>
        <w:t> </w:t>
      </w:r>
      <w:r>
        <w:rPr>
          <w:sz w:val="21"/>
        </w:rPr>
        <w:t>These</w:t>
      </w:r>
      <w:r>
        <w:rPr>
          <w:spacing w:val="-10"/>
          <w:sz w:val="21"/>
        </w:rPr>
        <w:t> </w:t>
      </w:r>
      <w:r>
        <w:rPr>
          <w:sz w:val="21"/>
        </w:rPr>
        <w:t>disciplinary</w:t>
      </w:r>
      <w:r>
        <w:rPr>
          <w:spacing w:val="-10"/>
          <w:sz w:val="21"/>
        </w:rPr>
        <w:t> </w:t>
      </w:r>
      <w:r>
        <w:rPr>
          <w:sz w:val="21"/>
        </w:rPr>
        <w:t>actions </w:t>
      </w:r>
      <w:r>
        <w:rPr>
          <w:spacing w:val="-2"/>
          <w:sz w:val="21"/>
        </w:rPr>
        <w:t>can have long-lasting consequences, potentially leading to a criminal record that detrimentally impacts their </w:t>
      </w:r>
      <w:r>
        <w:rPr>
          <w:sz w:val="21"/>
        </w:rPr>
        <w:t>prospects in terms of employment and housing.</w:t>
      </w:r>
    </w:p>
    <w:p>
      <w:pPr>
        <w:spacing w:before="239"/>
        <w:ind w:left="464" w:right="0" w:firstLine="0"/>
        <w:jc w:val="both"/>
        <w:rPr>
          <w:sz w:val="26"/>
        </w:rPr>
      </w:pPr>
      <w:bookmarkStart w:name="Criminalization of Consensual Sexual Rel" w:id="547"/>
      <w:bookmarkEnd w:id="547"/>
      <w:r>
        <w:rPr/>
      </w:r>
      <w:r>
        <w:rPr>
          <w:color w:val="404040"/>
          <w:sz w:val="26"/>
        </w:rPr>
        <w:t>Criminalization</w:t>
      </w:r>
      <w:r>
        <w:rPr>
          <w:color w:val="404040"/>
          <w:spacing w:val="-6"/>
          <w:sz w:val="26"/>
        </w:rPr>
        <w:t> </w:t>
      </w:r>
      <w:r>
        <w:rPr>
          <w:color w:val="404040"/>
          <w:sz w:val="26"/>
        </w:rPr>
        <w:t>of</w:t>
      </w:r>
      <w:r>
        <w:rPr>
          <w:color w:val="404040"/>
          <w:spacing w:val="-4"/>
          <w:sz w:val="26"/>
        </w:rPr>
        <w:t> </w:t>
      </w:r>
      <w:r>
        <w:rPr>
          <w:color w:val="404040"/>
          <w:sz w:val="26"/>
        </w:rPr>
        <w:t>Consensual</w:t>
      </w:r>
      <w:r>
        <w:rPr>
          <w:color w:val="404040"/>
          <w:spacing w:val="-4"/>
          <w:sz w:val="26"/>
        </w:rPr>
        <w:t> </w:t>
      </w:r>
      <w:r>
        <w:rPr>
          <w:color w:val="404040"/>
          <w:sz w:val="26"/>
        </w:rPr>
        <w:t>Sexual</w:t>
      </w:r>
      <w:r>
        <w:rPr>
          <w:color w:val="404040"/>
          <w:spacing w:val="-3"/>
          <w:sz w:val="26"/>
        </w:rPr>
        <w:t> </w:t>
      </w:r>
      <w:r>
        <w:rPr>
          <w:color w:val="404040"/>
          <w:sz w:val="26"/>
        </w:rPr>
        <w:t>Relationships</w:t>
      </w:r>
      <w:r>
        <w:rPr>
          <w:color w:val="404040"/>
          <w:spacing w:val="-5"/>
          <w:sz w:val="26"/>
        </w:rPr>
        <w:t> </w:t>
      </w:r>
      <w:r>
        <w:rPr>
          <w:color w:val="404040"/>
          <w:sz w:val="26"/>
        </w:rPr>
        <w:t>and</w:t>
      </w:r>
      <w:r>
        <w:rPr>
          <w:color w:val="404040"/>
          <w:spacing w:val="-5"/>
          <w:sz w:val="26"/>
        </w:rPr>
        <w:t> </w:t>
      </w:r>
      <w:r>
        <w:rPr>
          <w:color w:val="404040"/>
          <w:sz w:val="26"/>
        </w:rPr>
        <w:t>Sex</w:t>
      </w:r>
      <w:r>
        <w:rPr>
          <w:color w:val="404040"/>
          <w:spacing w:val="-3"/>
          <w:sz w:val="26"/>
        </w:rPr>
        <w:t> </w:t>
      </w:r>
      <w:r>
        <w:rPr>
          <w:color w:val="404040"/>
          <w:spacing w:val="-4"/>
          <w:sz w:val="26"/>
        </w:rPr>
        <w:t>Work</w:t>
      </w:r>
    </w:p>
    <w:p>
      <w:pPr>
        <w:spacing w:line="276" w:lineRule="auto" w:before="240"/>
        <w:ind w:left="464" w:right="237" w:firstLine="0"/>
        <w:jc w:val="both"/>
        <w:rPr>
          <w:sz w:val="21"/>
        </w:rPr>
      </w:pPr>
      <w:r>
        <w:rPr>
          <w:sz w:val="21"/>
        </w:rPr>
        <w:t>As</w:t>
      </w:r>
      <w:r>
        <w:rPr>
          <w:spacing w:val="-9"/>
          <w:sz w:val="21"/>
        </w:rPr>
        <w:t> </w:t>
      </w:r>
      <w:r>
        <w:rPr>
          <w:sz w:val="21"/>
        </w:rPr>
        <w:t>reiterated</w:t>
      </w:r>
      <w:r>
        <w:rPr>
          <w:spacing w:val="-10"/>
          <w:sz w:val="21"/>
        </w:rPr>
        <w:t> </w:t>
      </w:r>
      <w:r>
        <w:rPr>
          <w:sz w:val="21"/>
        </w:rPr>
        <w:t>throughout</w:t>
      </w:r>
      <w:r>
        <w:rPr>
          <w:spacing w:val="-9"/>
          <w:sz w:val="21"/>
        </w:rPr>
        <w:t> </w:t>
      </w:r>
      <w:r>
        <w:rPr>
          <w:sz w:val="21"/>
        </w:rPr>
        <w:t>other</w:t>
      </w:r>
      <w:r>
        <w:rPr>
          <w:spacing w:val="-9"/>
          <w:sz w:val="21"/>
        </w:rPr>
        <w:t> </w:t>
      </w:r>
      <w:r>
        <w:rPr>
          <w:sz w:val="21"/>
        </w:rPr>
        <w:t>sections</w:t>
      </w:r>
      <w:r>
        <w:rPr>
          <w:spacing w:val="-9"/>
          <w:sz w:val="21"/>
        </w:rPr>
        <w:t> </w:t>
      </w:r>
      <w:r>
        <w:rPr>
          <w:sz w:val="21"/>
        </w:rPr>
        <w:t>in</w:t>
      </w:r>
      <w:r>
        <w:rPr>
          <w:spacing w:val="-10"/>
          <w:sz w:val="21"/>
        </w:rPr>
        <w:t> </w:t>
      </w:r>
      <w:r>
        <w:rPr>
          <w:sz w:val="21"/>
        </w:rPr>
        <w:t>this</w:t>
      </w:r>
      <w:r>
        <w:rPr>
          <w:spacing w:val="-11"/>
          <w:sz w:val="21"/>
        </w:rPr>
        <w:t> </w:t>
      </w:r>
      <w:r>
        <w:rPr>
          <w:sz w:val="21"/>
        </w:rPr>
        <w:t>annual</w:t>
      </w:r>
      <w:r>
        <w:rPr>
          <w:spacing w:val="-10"/>
          <w:sz w:val="21"/>
        </w:rPr>
        <w:t> </w:t>
      </w:r>
      <w:r>
        <w:rPr>
          <w:sz w:val="21"/>
        </w:rPr>
        <w:t>report,</w:t>
      </w:r>
      <w:r>
        <w:rPr>
          <w:spacing w:val="-10"/>
          <w:sz w:val="21"/>
        </w:rPr>
        <w:t> </w:t>
      </w:r>
      <w:r>
        <w:rPr>
          <w:sz w:val="21"/>
        </w:rPr>
        <w:t>the</w:t>
      </w:r>
      <w:r>
        <w:rPr>
          <w:spacing w:val="-10"/>
          <w:sz w:val="21"/>
        </w:rPr>
        <w:t> </w:t>
      </w:r>
      <w:r>
        <w:rPr>
          <w:sz w:val="21"/>
        </w:rPr>
        <w:t>Commission</w:t>
      </w:r>
      <w:r>
        <w:rPr>
          <w:spacing w:val="-9"/>
          <w:sz w:val="21"/>
        </w:rPr>
        <w:t> </w:t>
      </w:r>
      <w:r>
        <w:rPr>
          <w:sz w:val="21"/>
        </w:rPr>
        <w:t>steadfastly</w:t>
      </w:r>
      <w:r>
        <w:rPr>
          <w:spacing w:val="-9"/>
          <w:sz w:val="21"/>
        </w:rPr>
        <w:t> </w:t>
      </w:r>
      <w:r>
        <w:rPr>
          <w:sz w:val="21"/>
        </w:rPr>
        <w:t>advocates</w:t>
      </w:r>
      <w:r>
        <w:rPr>
          <w:spacing w:val="-9"/>
          <w:sz w:val="21"/>
        </w:rPr>
        <w:t> </w:t>
      </w:r>
      <w:r>
        <w:rPr>
          <w:sz w:val="21"/>
        </w:rPr>
        <w:t>for</w:t>
      </w:r>
      <w:r>
        <w:rPr>
          <w:spacing w:val="-9"/>
          <w:sz w:val="21"/>
        </w:rPr>
        <w:t> </w:t>
      </w:r>
      <w:r>
        <w:rPr>
          <w:sz w:val="21"/>
        </w:rPr>
        <w:t>the decriminalization of sex work for individuals over 18, as decriminalization would alleviate public health disparities, enhance housing accessibility, and diminish the entanglement of LGBTQ youth in the criminal legal system. Furthermore, decriminalization enables a more strategic allocation of resources towards effectively safeguarding vulnerable youth from commercial sexual exploitation and trafficking. This strategic</w:t>
      </w:r>
      <w:r>
        <w:rPr>
          <w:spacing w:val="-9"/>
          <w:sz w:val="21"/>
        </w:rPr>
        <w:t> </w:t>
      </w:r>
      <w:r>
        <w:rPr>
          <w:sz w:val="21"/>
        </w:rPr>
        <w:t>redirection</w:t>
      </w:r>
      <w:r>
        <w:rPr>
          <w:spacing w:val="-9"/>
          <w:sz w:val="21"/>
        </w:rPr>
        <w:t> </w:t>
      </w:r>
      <w:r>
        <w:rPr>
          <w:sz w:val="21"/>
        </w:rPr>
        <w:t>of</w:t>
      </w:r>
      <w:r>
        <w:rPr>
          <w:spacing w:val="-10"/>
          <w:sz w:val="21"/>
        </w:rPr>
        <w:t> </w:t>
      </w:r>
      <w:r>
        <w:rPr>
          <w:sz w:val="21"/>
        </w:rPr>
        <w:t>resources</w:t>
      </w:r>
      <w:r>
        <w:rPr>
          <w:spacing w:val="-10"/>
          <w:sz w:val="21"/>
        </w:rPr>
        <w:t> </w:t>
      </w:r>
      <w:r>
        <w:rPr>
          <w:sz w:val="21"/>
        </w:rPr>
        <w:t>is</w:t>
      </w:r>
      <w:r>
        <w:rPr>
          <w:spacing w:val="-10"/>
          <w:sz w:val="21"/>
        </w:rPr>
        <w:t> </w:t>
      </w:r>
      <w:r>
        <w:rPr>
          <w:sz w:val="21"/>
        </w:rPr>
        <w:t>imperative,</w:t>
      </w:r>
      <w:r>
        <w:rPr>
          <w:spacing w:val="-9"/>
          <w:sz w:val="21"/>
        </w:rPr>
        <w:t> </w:t>
      </w:r>
      <w:r>
        <w:rPr>
          <w:sz w:val="21"/>
        </w:rPr>
        <w:t>as</w:t>
      </w:r>
      <w:r>
        <w:rPr>
          <w:spacing w:val="-10"/>
          <w:sz w:val="21"/>
        </w:rPr>
        <w:t> </w:t>
      </w:r>
      <w:r>
        <w:rPr>
          <w:sz w:val="21"/>
        </w:rPr>
        <w:t>the</w:t>
      </w:r>
      <w:r>
        <w:rPr>
          <w:spacing w:val="-11"/>
          <w:sz w:val="21"/>
        </w:rPr>
        <w:t> </w:t>
      </w:r>
      <w:r>
        <w:rPr>
          <w:sz w:val="21"/>
        </w:rPr>
        <w:t>conflation</w:t>
      </w:r>
      <w:r>
        <w:rPr>
          <w:spacing w:val="-9"/>
          <w:sz w:val="21"/>
        </w:rPr>
        <w:t> </w:t>
      </w:r>
      <w:r>
        <w:rPr>
          <w:sz w:val="21"/>
        </w:rPr>
        <w:t>of</w:t>
      </w:r>
      <w:r>
        <w:rPr>
          <w:spacing w:val="-10"/>
          <w:sz w:val="21"/>
        </w:rPr>
        <w:t> </w:t>
      </w:r>
      <w:r>
        <w:rPr>
          <w:sz w:val="21"/>
        </w:rPr>
        <w:t>sex</w:t>
      </w:r>
      <w:r>
        <w:rPr>
          <w:spacing w:val="-9"/>
          <w:sz w:val="21"/>
        </w:rPr>
        <w:t> </w:t>
      </w:r>
      <w:r>
        <w:rPr>
          <w:sz w:val="21"/>
        </w:rPr>
        <w:t>work</w:t>
      </w:r>
      <w:r>
        <w:rPr>
          <w:spacing w:val="-9"/>
          <w:sz w:val="21"/>
        </w:rPr>
        <w:t> </w:t>
      </w:r>
      <w:r>
        <w:rPr>
          <w:sz w:val="21"/>
        </w:rPr>
        <w:t>with</w:t>
      </w:r>
      <w:r>
        <w:rPr>
          <w:spacing w:val="-9"/>
          <w:sz w:val="21"/>
        </w:rPr>
        <w:t> </w:t>
      </w:r>
      <w:r>
        <w:rPr>
          <w:sz w:val="21"/>
        </w:rPr>
        <w:t>sex</w:t>
      </w:r>
      <w:r>
        <w:rPr>
          <w:spacing w:val="-9"/>
          <w:sz w:val="21"/>
        </w:rPr>
        <w:t> </w:t>
      </w:r>
      <w:r>
        <w:rPr>
          <w:sz w:val="21"/>
        </w:rPr>
        <w:t>trafficking</w:t>
      </w:r>
      <w:r>
        <w:rPr>
          <w:spacing w:val="-10"/>
          <w:sz w:val="21"/>
        </w:rPr>
        <w:t> </w:t>
      </w:r>
      <w:r>
        <w:rPr>
          <w:sz w:val="21"/>
        </w:rPr>
        <w:t>often</w:t>
      </w:r>
      <w:r>
        <w:rPr>
          <w:spacing w:val="-9"/>
          <w:sz w:val="21"/>
        </w:rPr>
        <w:t> </w:t>
      </w:r>
      <w:r>
        <w:rPr>
          <w:sz w:val="21"/>
        </w:rPr>
        <w:t>leads to</w:t>
      </w:r>
      <w:r>
        <w:rPr>
          <w:spacing w:val="-1"/>
          <w:sz w:val="21"/>
        </w:rPr>
        <w:t> </w:t>
      </w:r>
      <w:r>
        <w:rPr>
          <w:sz w:val="21"/>
        </w:rPr>
        <w:t>ineffective</w:t>
      </w:r>
      <w:r>
        <w:rPr>
          <w:spacing w:val="-2"/>
          <w:sz w:val="21"/>
        </w:rPr>
        <w:t> </w:t>
      </w:r>
      <w:r>
        <w:rPr>
          <w:sz w:val="21"/>
        </w:rPr>
        <w:t>and</w:t>
      </w:r>
      <w:r>
        <w:rPr>
          <w:spacing w:val="-1"/>
          <w:sz w:val="21"/>
        </w:rPr>
        <w:t> </w:t>
      </w:r>
      <w:r>
        <w:rPr>
          <w:sz w:val="21"/>
        </w:rPr>
        <w:t>inefficient programs,</w:t>
      </w:r>
      <w:r>
        <w:rPr>
          <w:spacing w:val="-1"/>
          <w:sz w:val="21"/>
        </w:rPr>
        <w:t> </w:t>
      </w:r>
      <w:r>
        <w:rPr>
          <w:sz w:val="21"/>
        </w:rPr>
        <w:t>further</w:t>
      </w:r>
      <w:r>
        <w:rPr>
          <w:spacing w:val="-1"/>
          <w:sz w:val="21"/>
        </w:rPr>
        <w:t> </w:t>
      </w:r>
      <w:r>
        <w:rPr>
          <w:sz w:val="21"/>
        </w:rPr>
        <w:t>stigmatizing</w:t>
      </w:r>
      <w:r>
        <w:rPr>
          <w:spacing w:val="-1"/>
          <w:sz w:val="21"/>
        </w:rPr>
        <w:t> </w:t>
      </w:r>
      <w:r>
        <w:rPr>
          <w:sz w:val="21"/>
        </w:rPr>
        <w:t>and</w:t>
      </w:r>
      <w:r>
        <w:rPr>
          <w:spacing w:val="-1"/>
          <w:sz w:val="21"/>
        </w:rPr>
        <w:t> </w:t>
      </w:r>
      <w:r>
        <w:rPr>
          <w:sz w:val="21"/>
        </w:rPr>
        <w:t>criminalizing</w:t>
      </w:r>
      <w:r>
        <w:rPr>
          <w:spacing w:val="-1"/>
          <w:sz w:val="21"/>
        </w:rPr>
        <w:t> </w:t>
      </w:r>
      <w:r>
        <w:rPr>
          <w:sz w:val="21"/>
        </w:rPr>
        <w:t>both</w:t>
      </w:r>
      <w:r>
        <w:rPr>
          <w:spacing w:val="-2"/>
          <w:sz w:val="21"/>
        </w:rPr>
        <w:t> </w:t>
      </w:r>
      <w:r>
        <w:rPr>
          <w:sz w:val="21"/>
        </w:rPr>
        <w:t>consensual</w:t>
      </w:r>
      <w:r>
        <w:rPr>
          <w:spacing w:val="-1"/>
          <w:sz w:val="21"/>
        </w:rPr>
        <w:t> </w:t>
      </w:r>
      <w:r>
        <w:rPr>
          <w:sz w:val="21"/>
        </w:rPr>
        <w:t>sex workers and sexually exploited victims alike.</w:t>
      </w:r>
      <w:hyperlink w:history="true" w:anchor="_bookmark396">
        <w:r>
          <w:rPr>
            <w:sz w:val="21"/>
            <w:vertAlign w:val="superscript"/>
          </w:rPr>
          <w:t>80</w:t>
        </w:r>
      </w:hyperlink>
    </w:p>
    <w:p>
      <w:pPr>
        <w:spacing w:line="276" w:lineRule="auto" w:before="240"/>
        <w:ind w:left="464" w:right="238" w:firstLine="0"/>
        <w:jc w:val="both"/>
        <w:rPr>
          <w:sz w:val="21"/>
        </w:rPr>
      </w:pPr>
      <w:r>
        <w:rPr>
          <w:sz w:val="21"/>
        </w:rPr>
        <w:t>Furthermore, the Commission recommends a substantial investment in programs tailored to address the vulnerabilities</w:t>
      </w:r>
      <w:r>
        <w:rPr>
          <w:spacing w:val="-8"/>
          <w:sz w:val="21"/>
        </w:rPr>
        <w:t> </w:t>
      </w:r>
      <w:r>
        <w:rPr>
          <w:sz w:val="21"/>
        </w:rPr>
        <w:t>of</w:t>
      </w:r>
      <w:r>
        <w:rPr>
          <w:spacing w:val="-9"/>
          <w:sz w:val="21"/>
        </w:rPr>
        <w:t> </w:t>
      </w:r>
      <w:r>
        <w:rPr>
          <w:sz w:val="21"/>
        </w:rPr>
        <w:t>youth</w:t>
      </w:r>
      <w:r>
        <w:rPr>
          <w:spacing w:val="-9"/>
          <w:sz w:val="21"/>
        </w:rPr>
        <w:t> </w:t>
      </w:r>
      <w:r>
        <w:rPr>
          <w:sz w:val="21"/>
        </w:rPr>
        <w:t>susceptible</w:t>
      </w:r>
      <w:r>
        <w:rPr>
          <w:spacing w:val="-9"/>
          <w:sz w:val="21"/>
        </w:rPr>
        <w:t> </w:t>
      </w:r>
      <w:r>
        <w:rPr>
          <w:sz w:val="21"/>
        </w:rPr>
        <w:t>to</w:t>
      </w:r>
      <w:r>
        <w:rPr>
          <w:spacing w:val="-9"/>
          <w:sz w:val="21"/>
        </w:rPr>
        <w:t> </w:t>
      </w:r>
      <w:r>
        <w:rPr>
          <w:sz w:val="21"/>
        </w:rPr>
        <w:t>commercial</w:t>
      </w:r>
      <w:r>
        <w:rPr>
          <w:spacing w:val="-9"/>
          <w:sz w:val="21"/>
        </w:rPr>
        <w:t> </w:t>
      </w:r>
      <w:r>
        <w:rPr>
          <w:sz w:val="21"/>
        </w:rPr>
        <w:t>sexual</w:t>
      </w:r>
      <w:r>
        <w:rPr>
          <w:spacing w:val="-9"/>
          <w:sz w:val="21"/>
        </w:rPr>
        <w:t> </w:t>
      </w:r>
      <w:r>
        <w:rPr>
          <w:sz w:val="21"/>
        </w:rPr>
        <w:t>exploitation,</w:t>
      </w:r>
      <w:r>
        <w:rPr>
          <w:spacing w:val="-11"/>
          <w:sz w:val="21"/>
        </w:rPr>
        <w:t> </w:t>
      </w:r>
      <w:r>
        <w:rPr>
          <w:sz w:val="21"/>
        </w:rPr>
        <w:t>with</w:t>
      </w:r>
      <w:r>
        <w:rPr>
          <w:spacing w:val="-9"/>
          <w:sz w:val="21"/>
        </w:rPr>
        <w:t> </w:t>
      </w:r>
      <w:r>
        <w:rPr>
          <w:sz w:val="21"/>
        </w:rPr>
        <w:t>a</w:t>
      </w:r>
      <w:r>
        <w:rPr>
          <w:spacing w:val="-9"/>
          <w:sz w:val="21"/>
        </w:rPr>
        <w:t> </w:t>
      </w:r>
      <w:r>
        <w:rPr>
          <w:sz w:val="21"/>
        </w:rPr>
        <w:t>specific</w:t>
      </w:r>
      <w:r>
        <w:rPr>
          <w:spacing w:val="-9"/>
          <w:sz w:val="21"/>
        </w:rPr>
        <w:t> </w:t>
      </w:r>
      <w:r>
        <w:rPr>
          <w:sz w:val="21"/>
        </w:rPr>
        <w:t>focus</w:t>
      </w:r>
      <w:r>
        <w:rPr>
          <w:spacing w:val="-9"/>
          <w:sz w:val="21"/>
        </w:rPr>
        <w:t> </w:t>
      </w:r>
      <w:r>
        <w:rPr>
          <w:sz w:val="21"/>
        </w:rPr>
        <w:t>on</w:t>
      </w:r>
      <w:r>
        <w:rPr>
          <w:spacing w:val="-9"/>
          <w:sz w:val="21"/>
        </w:rPr>
        <w:t> </w:t>
      </w:r>
      <w:r>
        <w:rPr>
          <w:sz w:val="21"/>
        </w:rPr>
        <w:t>LGBTQ</w:t>
      </w:r>
      <w:r>
        <w:rPr>
          <w:spacing w:val="-9"/>
          <w:sz w:val="21"/>
        </w:rPr>
        <w:t> </w:t>
      </w:r>
      <w:r>
        <w:rPr>
          <w:sz w:val="21"/>
        </w:rPr>
        <w:t>youth and cisgender boys, who are frequently overlooked in discussions concerning sexual exploitation and trafficking.</w:t>
      </w:r>
      <w:r>
        <w:rPr>
          <w:spacing w:val="-12"/>
          <w:sz w:val="21"/>
        </w:rPr>
        <w:t> </w:t>
      </w:r>
      <w:r>
        <w:rPr>
          <w:sz w:val="21"/>
        </w:rPr>
        <w:t>Additionally,</w:t>
      </w:r>
      <w:r>
        <w:rPr>
          <w:spacing w:val="-12"/>
          <w:sz w:val="21"/>
        </w:rPr>
        <w:t> </w:t>
      </w:r>
      <w:r>
        <w:rPr>
          <w:sz w:val="21"/>
        </w:rPr>
        <w:t>the</w:t>
      </w:r>
      <w:r>
        <w:rPr>
          <w:spacing w:val="-12"/>
          <w:sz w:val="21"/>
        </w:rPr>
        <w:t> </w:t>
      </w:r>
      <w:r>
        <w:rPr>
          <w:sz w:val="21"/>
        </w:rPr>
        <w:t>state</w:t>
      </w:r>
      <w:r>
        <w:rPr>
          <w:spacing w:val="-12"/>
          <w:sz w:val="21"/>
        </w:rPr>
        <w:t> </w:t>
      </w:r>
      <w:r>
        <w:rPr>
          <w:sz w:val="21"/>
        </w:rPr>
        <w:t>is</w:t>
      </w:r>
      <w:r>
        <w:rPr>
          <w:spacing w:val="-12"/>
          <w:sz w:val="21"/>
        </w:rPr>
        <w:t> </w:t>
      </w:r>
      <w:r>
        <w:rPr>
          <w:sz w:val="21"/>
        </w:rPr>
        <w:t>urged</w:t>
      </w:r>
      <w:r>
        <w:rPr>
          <w:spacing w:val="-12"/>
          <w:sz w:val="21"/>
        </w:rPr>
        <w:t> </w:t>
      </w:r>
      <w:r>
        <w:rPr>
          <w:sz w:val="21"/>
        </w:rPr>
        <w:t>to</w:t>
      </w:r>
      <w:r>
        <w:rPr>
          <w:spacing w:val="-12"/>
          <w:sz w:val="21"/>
        </w:rPr>
        <w:t> </w:t>
      </w:r>
      <w:r>
        <w:rPr>
          <w:sz w:val="21"/>
        </w:rPr>
        <w:t>broaden</w:t>
      </w:r>
      <w:r>
        <w:rPr>
          <w:spacing w:val="-11"/>
          <w:sz w:val="21"/>
        </w:rPr>
        <w:t> </w:t>
      </w:r>
      <w:r>
        <w:rPr>
          <w:sz w:val="21"/>
        </w:rPr>
        <w:t>its</w:t>
      </w:r>
      <w:r>
        <w:rPr>
          <w:spacing w:val="-12"/>
          <w:sz w:val="21"/>
        </w:rPr>
        <w:t> </w:t>
      </w:r>
      <w:r>
        <w:rPr>
          <w:sz w:val="21"/>
        </w:rPr>
        <w:t>approach</w:t>
      </w:r>
      <w:r>
        <w:rPr>
          <w:spacing w:val="-12"/>
          <w:sz w:val="21"/>
        </w:rPr>
        <w:t> </w:t>
      </w:r>
      <w:r>
        <w:rPr>
          <w:sz w:val="21"/>
        </w:rPr>
        <w:t>to</w:t>
      </w:r>
      <w:r>
        <w:rPr>
          <w:spacing w:val="-12"/>
          <w:sz w:val="21"/>
        </w:rPr>
        <w:t> </w:t>
      </w:r>
      <w:r>
        <w:rPr>
          <w:sz w:val="21"/>
        </w:rPr>
        <w:t>youth</w:t>
      </w:r>
      <w:r>
        <w:rPr>
          <w:spacing w:val="-12"/>
          <w:sz w:val="21"/>
        </w:rPr>
        <w:t> </w:t>
      </w:r>
      <w:r>
        <w:rPr>
          <w:sz w:val="21"/>
        </w:rPr>
        <w:t>sex</w:t>
      </w:r>
      <w:r>
        <w:rPr>
          <w:spacing w:val="-12"/>
          <w:sz w:val="21"/>
        </w:rPr>
        <w:t> </w:t>
      </w:r>
      <w:r>
        <w:rPr>
          <w:sz w:val="21"/>
        </w:rPr>
        <w:t>work</w:t>
      </w:r>
      <w:r>
        <w:rPr>
          <w:spacing w:val="-12"/>
          <w:sz w:val="21"/>
        </w:rPr>
        <w:t> </w:t>
      </w:r>
      <w:r>
        <w:rPr>
          <w:sz w:val="21"/>
        </w:rPr>
        <w:t>away</w:t>
      </w:r>
      <w:r>
        <w:rPr>
          <w:spacing w:val="-12"/>
          <w:sz w:val="21"/>
        </w:rPr>
        <w:t> </w:t>
      </w:r>
      <w:r>
        <w:rPr>
          <w:sz w:val="21"/>
        </w:rPr>
        <w:t>from</w:t>
      </w:r>
      <w:r>
        <w:rPr>
          <w:spacing w:val="-11"/>
          <w:sz w:val="21"/>
        </w:rPr>
        <w:t> </w:t>
      </w:r>
      <w:r>
        <w:rPr>
          <w:sz w:val="21"/>
        </w:rPr>
        <w:t>the</w:t>
      </w:r>
      <w:r>
        <w:rPr>
          <w:spacing w:val="-12"/>
          <w:sz w:val="21"/>
        </w:rPr>
        <w:t> </w:t>
      </w:r>
      <w:r>
        <w:rPr>
          <w:sz w:val="21"/>
        </w:rPr>
        <w:t>criminal legal</w:t>
      </w:r>
      <w:r>
        <w:rPr>
          <w:spacing w:val="-8"/>
          <w:sz w:val="21"/>
        </w:rPr>
        <w:t> </w:t>
      </w:r>
      <w:r>
        <w:rPr>
          <w:sz w:val="21"/>
        </w:rPr>
        <w:t>system</w:t>
      </w:r>
      <w:r>
        <w:rPr>
          <w:spacing w:val="-7"/>
          <w:sz w:val="21"/>
        </w:rPr>
        <w:t> </w:t>
      </w:r>
      <w:r>
        <w:rPr>
          <w:sz w:val="21"/>
        </w:rPr>
        <w:t>and</w:t>
      </w:r>
      <w:r>
        <w:rPr>
          <w:spacing w:val="-8"/>
          <w:sz w:val="21"/>
        </w:rPr>
        <w:t> </w:t>
      </w:r>
      <w:r>
        <w:rPr>
          <w:sz w:val="21"/>
        </w:rPr>
        <w:t>instead</w:t>
      </w:r>
      <w:r>
        <w:rPr>
          <w:spacing w:val="-9"/>
          <w:sz w:val="21"/>
        </w:rPr>
        <w:t> </w:t>
      </w:r>
      <w:r>
        <w:rPr>
          <w:sz w:val="21"/>
        </w:rPr>
        <w:t>towards</w:t>
      </w:r>
      <w:r>
        <w:rPr>
          <w:spacing w:val="-8"/>
          <w:sz w:val="21"/>
        </w:rPr>
        <w:t> </w:t>
      </w:r>
      <w:r>
        <w:rPr>
          <w:sz w:val="21"/>
        </w:rPr>
        <w:t>assisting</w:t>
      </w:r>
      <w:r>
        <w:rPr>
          <w:spacing w:val="-8"/>
          <w:sz w:val="21"/>
        </w:rPr>
        <w:t> </w:t>
      </w:r>
      <w:r>
        <w:rPr>
          <w:sz w:val="21"/>
        </w:rPr>
        <w:t>youth</w:t>
      </w:r>
      <w:r>
        <w:rPr>
          <w:spacing w:val="-9"/>
          <w:sz w:val="21"/>
        </w:rPr>
        <w:t> </w:t>
      </w:r>
      <w:r>
        <w:rPr>
          <w:sz w:val="21"/>
        </w:rPr>
        <w:t>that</w:t>
      </w:r>
      <w:r>
        <w:rPr>
          <w:spacing w:val="-8"/>
          <w:sz w:val="21"/>
        </w:rPr>
        <w:t> </w:t>
      </w:r>
      <w:r>
        <w:rPr>
          <w:sz w:val="21"/>
        </w:rPr>
        <w:t>engage</w:t>
      </w:r>
      <w:r>
        <w:rPr>
          <w:spacing w:val="-8"/>
          <w:sz w:val="21"/>
        </w:rPr>
        <w:t> </w:t>
      </w:r>
      <w:r>
        <w:rPr>
          <w:sz w:val="21"/>
        </w:rPr>
        <w:t>in</w:t>
      </w:r>
      <w:r>
        <w:rPr>
          <w:spacing w:val="-8"/>
          <w:sz w:val="21"/>
        </w:rPr>
        <w:t> </w:t>
      </w:r>
      <w:r>
        <w:rPr>
          <w:sz w:val="21"/>
        </w:rPr>
        <w:t>sex</w:t>
      </w:r>
      <w:r>
        <w:rPr>
          <w:spacing w:val="-7"/>
          <w:sz w:val="21"/>
        </w:rPr>
        <w:t> </w:t>
      </w:r>
      <w:r>
        <w:rPr>
          <w:sz w:val="21"/>
        </w:rPr>
        <w:t>work</w:t>
      </w:r>
      <w:r>
        <w:rPr>
          <w:spacing w:val="-7"/>
          <w:sz w:val="21"/>
        </w:rPr>
        <w:t> </w:t>
      </w:r>
      <w:r>
        <w:rPr>
          <w:sz w:val="21"/>
        </w:rPr>
        <w:t>to</w:t>
      </w:r>
      <w:r>
        <w:rPr>
          <w:spacing w:val="-9"/>
          <w:sz w:val="21"/>
        </w:rPr>
        <w:t> </w:t>
      </w:r>
      <w:r>
        <w:rPr>
          <w:sz w:val="21"/>
        </w:rPr>
        <w:t>meet</w:t>
      </w:r>
      <w:r>
        <w:rPr>
          <w:spacing w:val="-8"/>
          <w:sz w:val="21"/>
        </w:rPr>
        <w:t> </w:t>
      </w:r>
      <w:r>
        <w:rPr>
          <w:sz w:val="21"/>
        </w:rPr>
        <w:t>their</w:t>
      </w:r>
      <w:r>
        <w:rPr>
          <w:spacing w:val="-8"/>
          <w:sz w:val="21"/>
        </w:rPr>
        <w:t> </w:t>
      </w:r>
      <w:r>
        <w:rPr>
          <w:sz w:val="21"/>
        </w:rPr>
        <w:t>financial</w:t>
      </w:r>
      <w:r>
        <w:rPr>
          <w:spacing w:val="-8"/>
          <w:sz w:val="21"/>
        </w:rPr>
        <w:t> </w:t>
      </w:r>
      <w:r>
        <w:rPr>
          <w:sz w:val="21"/>
        </w:rPr>
        <w:t>or</w:t>
      </w:r>
      <w:r>
        <w:rPr>
          <w:spacing w:val="-9"/>
          <w:sz w:val="21"/>
        </w:rPr>
        <w:t> </w:t>
      </w:r>
      <w:r>
        <w:rPr>
          <w:sz w:val="21"/>
        </w:rPr>
        <w:t>material needs. For instance, initiatives providing gender-affirming care products could significantly mitigate the risks</w:t>
      </w:r>
      <w:r>
        <w:rPr>
          <w:spacing w:val="-10"/>
          <w:sz w:val="21"/>
        </w:rPr>
        <w:t> </w:t>
      </w:r>
      <w:r>
        <w:rPr>
          <w:sz w:val="21"/>
        </w:rPr>
        <w:t>associated</w:t>
      </w:r>
      <w:r>
        <w:rPr>
          <w:spacing w:val="-9"/>
          <w:sz w:val="21"/>
        </w:rPr>
        <w:t> </w:t>
      </w:r>
      <w:r>
        <w:rPr>
          <w:sz w:val="21"/>
        </w:rPr>
        <w:t>with</w:t>
      </w:r>
      <w:r>
        <w:rPr>
          <w:spacing w:val="-9"/>
          <w:sz w:val="21"/>
        </w:rPr>
        <w:t> </w:t>
      </w:r>
      <w:r>
        <w:rPr>
          <w:sz w:val="21"/>
        </w:rPr>
        <w:t>engaging</w:t>
      </w:r>
      <w:r>
        <w:rPr>
          <w:spacing w:val="-10"/>
          <w:sz w:val="21"/>
        </w:rPr>
        <w:t> </w:t>
      </w:r>
      <w:r>
        <w:rPr>
          <w:sz w:val="21"/>
        </w:rPr>
        <w:t>in</w:t>
      </w:r>
      <w:r>
        <w:rPr>
          <w:spacing w:val="-9"/>
          <w:sz w:val="21"/>
        </w:rPr>
        <w:t> </w:t>
      </w:r>
      <w:r>
        <w:rPr>
          <w:sz w:val="21"/>
        </w:rPr>
        <w:t>sex</w:t>
      </w:r>
      <w:r>
        <w:rPr>
          <w:spacing w:val="-9"/>
          <w:sz w:val="21"/>
        </w:rPr>
        <w:t> </w:t>
      </w:r>
      <w:r>
        <w:rPr>
          <w:sz w:val="21"/>
        </w:rPr>
        <w:t>work</w:t>
      </w:r>
      <w:r>
        <w:rPr>
          <w:spacing w:val="-9"/>
          <w:sz w:val="21"/>
        </w:rPr>
        <w:t> </w:t>
      </w:r>
      <w:r>
        <w:rPr>
          <w:sz w:val="21"/>
        </w:rPr>
        <w:t>by</w:t>
      </w:r>
      <w:r>
        <w:rPr>
          <w:spacing w:val="-9"/>
          <w:sz w:val="21"/>
        </w:rPr>
        <w:t> </w:t>
      </w:r>
      <w:r>
        <w:rPr>
          <w:sz w:val="21"/>
        </w:rPr>
        <w:t>supporting</w:t>
      </w:r>
      <w:r>
        <w:rPr>
          <w:spacing w:val="-10"/>
          <w:sz w:val="21"/>
        </w:rPr>
        <w:t> </w:t>
      </w:r>
      <w:r>
        <w:rPr>
          <w:sz w:val="21"/>
        </w:rPr>
        <w:t>transgender</w:t>
      </w:r>
      <w:r>
        <w:rPr>
          <w:spacing w:val="-9"/>
          <w:sz w:val="21"/>
        </w:rPr>
        <w:t> </w:t>
      </w:r>
      <w:r>
        <w:rPr>
          <w:sz w:val="21"/>
        </w:rPr>
        <w:t>and</w:t>
      </w:r>
      <w:r>
        <w:rPr>
          <w:spacing w:val="-9"/>
          <w:sz w:val="21"/>
        </w:rPr>
        <w:t> </w:t>
      </w:r>
      <w:r>
        <w:rPr>
          <w:sz w:val="21"/>
        </w:rPr>
        <w:t>gender</w:t>
      </w:r>
      <w:r>
        <w:rPr>
          <w:spacing w:val="-9"/>
          <w:sz w:val="21"/>
        </w:rPr>
        <w:t> </w:t>
      </w:r>
      <w:r>
        <w:rPr>
          <w:sz w:val="21"/>
        </w:rPr>
        <w:t>expansive</w:t>
      </w:r>
      <w:r>
        <w:rPr>
          <w:spacing w:val="-9"/>
          <w:sz w:val="21"/>
        </w:rPr>
        <w:t> </w:t>
      </w:r>
      <w:r>
        <w:rPr>
          <w:sz w:val="21"/>
        </w:rPr>
        <w:t>youth</w:t>
      </w:r>
      <w:r>
        <w:rPr>
          <w:spacing w:val="-9"/>
          <w:sz w:val="21"/>
        </w:rPr>
        <w:t> </w:t>
      </w:r>
      <w:r>
        <w:rPr>
          <w:sz w:val="21"/>
        </w:rPr>
        <w:t>who</w:t>
      </w:r>
      <w:r>
        <w:rPr>
          <w:spacing w:val="-10"/>
          <w:sz w:val="21"/>
        </w:rPr>
        <w:t> </w:t>
      </w:r>
      <w:r>
        <w:rPr>
          <w:sz w:val="21"/>
        </w:rPr>
        <w:t>may turn to sex work to afford essential items such as wigs, binders, packers, and makeup.</w:t>
      </w:r>
    </w:p>
    <w:p>
      <w:pPr>
        <w:spacing w:line="276" w:lineRule="auto" w:before="241"/>
        <w:ind w:left="463" w:right="238" w:firstLine="0"/>
        <w:jc w:val="both"/>
        <w:rPr>
          <w:sz w:val="21"/>
        </w:rPr>
      </w:pPr>
      <w:bookmarkStart w:name="_bookmark317" w:id="548"/>
      <w:bookmarkEnd w:id="548"/>
      <w:r>
        <w:rPr/>
      </w:r>
      <w:r>
        <w:rPr>
          <w:sz w:val="21"/>
        </w:rPr>
        <w:t>Despite the U.S. Supreme Court ruling anti-sodomy laws unconstitutional in 2003 and Massachusetts </w:t>
      </w:r>
      <w:bookmarkStart w:name="_bookmark318" w:id="549"/>
      <w:bookmarkEnd w:id="549"/>
      <w:r>
        <w:rPr>
          <w:sz w:val="21"/>
        </w:rPr>
        <w:t>r</w:t>
      </w:r>
      <w:r>
        <w:rPr>
          <w:sz w:val="21"/>
        </w:rPr>
        <w:t>ecognizing</w:t>
      </w:r>
      <w:r>
        <w:rPr>
          <w:spacing w:val="-12"/>
          <w:sz w:val="21"/>
        </w:rPr>
        <w:t> </w:t>
      </w:r>
      <w:r>
        <w:rPr>
          <w:sz w:val="21"/>
        </w:rPr>
        <w:t>same-sex</w:t>
      </w:r>
      <w:r>
        <w:rPr>
          <w:spacing w:val="-11"/>
          <w:sz w:val="21"/>
        </w:rPr>
        <w:t> </w:t>
      </w:r>
      <w:r>
        <w:rPr>
          <w:sz w:val="21"/>
        </w:rPr>
        <w:t>marriage</w:t>
      </w:r>
      <w:r>
        <w:rPr>
          <w:spacing w:val="-11"/>
          <w:sz w:val="21"/>
        </w:rPr>
        <w:t> </w:t>
      </w:r>
      <w:r>
        <w:rPr>
          <w:sz w:val="21"/>
        </w:rPr>
        <w:t>since</w:t>
      </w:r>
      <w:r>
        <w:rPr>
          <w:spacing w:val="-11"/>
          <w:sz w:val="21"/>
        </w:rPr>
        <w:t> </w:t>
      </w:r>
      <w:r>
        <w:rPr>
          <w:sz w:val="21"/>
        </w:rPr>
        <w:t>2004,</w:t>
      </w:r>
      <w:r>
        <w:rPr>
          <w:spacing w:val="-12"/>
          <w:sz w:val="21"/>
        </w:rPr>
        <w:t> </w:t>
      </w:r>
      <w:r>
        <w:rPr>
          <w:sz w:val="21"/>
        </w:rPr>
        <w:t>laws</w:t>
      </w:r>
      <w:r>
        <w:rPr>
          <w:spacing w:val="-12"/>
          <w:sz w:val="21"/>
        </w:rPr>
        <w:t> </w:t>
      </w:r>
      <w:r>
        <w:rPr>
          <w:sz w:val="21"/>
        </w:rPr>
        <w:t>that</w:t>
      </w:r>
      <w:r>
        <w:rPr>
          <w:spacing w:val="-11"/>
          <w:sz w:val="21"/>
        </w:rPr>
        <w:t> </w:t>
      </w:r>
      <w:r>
        <w:rPr>
          <w:sz w:val="21"/>
        </w:rPr>
        <w:t>penalize</w:t>
      </w:r>
      <w:r>
        <w:rPr>
          <w:spacing w:val="-11"/>
          <w:sz w:val="21"/>
        </w:rPr>
        <w:t> </w:t>
      </w:r>
      <w:r>
        <w:rPr>
          <w:sz w:val="21"/>
        </w:rPr>
        <w:t>sodomy,</w:t>
      </w:r>
      <w:r>
        <w:rPr>
          <w:spacing w:val="-11"/>
          <w:sz w:val="21"/>
        </w:rPr>
        <w:t> </w:t>
      </w:r>
      <w:r>
        <w:rPr>
          <w:sz w:val="21"/>
        </w:rPr>
        <w:t>"unnatural</w:t>
      </w:r>
      <w:r>
        <w:rPr>
          <w:spacing w:val="-11"/>
          <w:sz w:val="21"/>
        </w:rPr>
        <w:t> </w:t>
      </w:r>
      <w:r>
        <w:rPr>
          <w:sz w:val="21"/>
        </w:rPr>
        <w:t>acts,"</w:t>
      </w:r>
      <w:r>
        <w:rPr>
          <w:spacing w:val="-12"/>
          <w:sz w:val="21"/>
        </w:rPr>
        <w:t> </w:t>
      </w:r>
      <w:r>
        <w:rPr>
          <w:sz w:val="21"/>
        </w:rPr>
        <w:t>and</w:t>
      </w:r>
      <w:r>
        <w:rPr>
          <w:spacing w:val="-11"/>
          <w:sz w:val="21"/>
        </w:rPr>
        <w:t> </w:t>
      </w:r>
      <w:r>
        <w:rPr>
          <w:sz w:val="21"/>
        </w:rPr>
        <w:t>blasphemy</w:t>
      </w:r>
      <w:r>
        <w:rPr>
          <w:spacing w:val="-12"/>
          <w:sz w:val="21"/>
        </w:rPr>
        <w:t> </w:t>
      </w:r>
      <w:r>
        <w:rPr>
          <w:sz w:val="21"/>
        </w:rPr>
        <w:t>still exist on the Commonwealth’s books.</w:t>
      </w:r>
      <w:hyperlink w:history="true" w:anchor="_bookmark397">
        <w:r>
          <w:rPr>
            <w:sz w:val="21"/>
            <w:vertAlign w:val="superscript"/>
          </w:rPr>
          <w:t>81</w:t>
        </w:r>
      </w:hyperlink>
      <w:r>
        <w:rPr>
          <w:spacing w:val="-1"/>
          <w:sz w:val="21"/>
          <w:vertAlign w:val="baseline"/>
        </w:rPr>
        <w:t> </w:t>
      </w:r>
      <w:r>
        <w:rPr>
          <w:sz w:val="21"/>
          <w:vertAlign w:val="baseline"/>
        </w:rPr>
        <w:t>These laws, though not actively enforced, have been criticized for </w:t>
      </w:r>
      <w:bookmarkStart w:name="_bookmark319" w:id="550"/>
      <w:bookmarkEnd w:id="550"/>
      <w:r>
        <w:rPr>
          <w:sz w:val="21"/>
          <w:vertAlign w:val="baseline"/>
        </w:rPr>
        <w:t>th</w:t>
      </w:r>
      <w:r>
        <w:rPr>
          <w:sz w:val="21"/>
          <w:vertAlign w:val="baseline"/>
        </w:rPr>
        <w:t>eir potential threat to the LGBTQ+ community and others.</w:t>
      </w:r>
      <w:r>
        <w:rPr>
          <w:spacing w:val="40"/>
          <w:sz w:val="21"/>
          <w:vertAlign w:val="baseline"/>
        </w:rPr>
        <w:t> </w:t>
      </w:r>
      <w:r>
        <w:rPr>
          <w:sz w:val="21"/>
          <w:vertAlign w:val="baseline"/>
        </w:rPr>
        <w:t>In January 2024, the Massachusetts State Senate passed Senate Bill 2551 aimed at removing outdated and discriminatory laws from the state's </w:t>
      </w:r>
      <w:bookmarkStart w:name="_bookmark320" w:id="551"/>
      <w:bookmarkEnd w:id="551"/>
      <w:r>
        <w:rPr>
          <w:sz w:val="21"/>
          <w:vertAlign w:val="baseline"/>
        </w:rPr>
        <w:t>s</w:t>
      </w:r>
      <w:r>
        <w:rPr>
          <w:sz w:val="21"/>
          <w:vertAlign w:val="baseline"/>
        </w:rPr>
        <w:t>tatutes.</w:t>
      </w:r>
      <w:r>
        <w:rPr>
          <w:spacing w:val="-12"/>
          <w:sz w:val="21"/>
          <w:vertAlign w:val="baseline"/>
        </w:rPr>
        <w:t> </w:t>
      </w:r>
      <w:hyperlink w:history="true" w:anchor="_bookmark398">
        <w:r>
          <w:rPr>
            <w:sz w:val="21"/>
            <w:vertAlign w:val="superscript"/>
          </w:rPr>
          <w:t>82</w:t>
        </w:r>
      </w:hyperlink>
      <w:r>
        <w:rPr>
          <w:sz w:val="21"/>
          <w:vertAlign w:val="baseline"/>
        </w:rPr>
        <w:t> The bill also seeks to repeal laws related to "common night-walking," which refers to an </w:t>
      </w:r>
      <w:bookmarkStart w:name="_bookmark321" w:id="552"/>
      <w:bookmarkEnd w:id="552"/>
      <w:r>
        <w:rPr>
          <w:sz w:val="21"/>
          <w:vertAlign w:val="baseline"/>
        </w:rPr>
        <w:t>i</w:t>
      </w:r>
      <w:r>
        <w:rPr>
          <w:sz w:val="21"/>
          <w:vertAlign w:val="baseline"/>
        </w:rPr>
        <w:t>ndividual who is out at night, inviting others to participate in illegal sexual activities.</w:t>
      </w:r>
      <w:hyperlink w:history="true" w:anchor="_bookmark399">
        <w:r>
          <w:rPr>
            <w:sz w:val="21"/>
            <w:vertAlign w:val="superscript"/>
          </w:rPr>
          <w:t>83</w:t>
        </w:r>
      </w:hyperlink>
      <w:r>
        <w:rPr>
          <w:spacing w:val="-1"/>
          <w:sz w:val="21"/>
          <w:vertAlign w:val="baseline"/>
        </w:rPr>
        <w:t> </w:t>
      </w:r>
      <w:r>
        <w:rPr>
          <w:sz w:val="21"/>
          <w:vertAlign w:val="baseline"/>
        </w:rPr>
        <w:t>Typically, this term is</w:t>
      </w:r>
      <w:r>
        <w:rPr>
          <w:spacing w:val="-1"/>
          <w:sz w:val="21"/>
          <w:vertAlign w:val="baseline"/>
        </w:rPr>
        <w:t> </w:t>
      </w:r>
      <w:r>
        <w:rPr>
          <w:sz w:val="21"/>
          <w:vertAlign w:val="baseline"/>
        </w:rPr>
        <w:t>used</w:t>
      </w:r>
      <w:r>
        <w:rPr>
          <w:spacing w:val="-1"/>
          <w:sz w:val="21"/>
          <w:vertAlign w:val="baseline"/>
        </w:rPr>
        <w:t> </w:t>
      </w:r>
      <w:r>
        <w:rPr>
          <w:sz w:val="21"/>
          <w:vertAlign w:val="baseline"/>
        </w:rPr>
        <w:t>to</w:t>
      </w:r>
      <w:r>
        <w:rPr>
          <w:spacing w:val="-1"/>
          <w:sz w:val="21"/>
          <w:vertAlign w:val="baseline"/>
        </w:rPr>
        <w:t> </w:t>
      </w:r>
      <w:r>
        <w:rPr>
          <w:sz w:val="21"/>
          <w:vertAlign w:val="baseline"/>
        </w:rPr>
        <w:t>describe</w:t>
      </w:r>
      <w:r>
        <w:rPr>
          <w:spacing w:val="-1"/>
          <w:sz w:val="21"/>
          <w:vertAlign w:val="baseline"/>
        </w:rPr>
        <w:t> </w:t>
      </w:r>
      <w:r>
        <w:rPr>
          <w:sz w:val="21"/>
          <w:vertAlign w:val="baseline"/>
        </w:rPr>
        <w:t>a</w:t>
      </w:r>
      <w:r>
        <w:rPr>
          <w:spacing w:val="-1"/>
          <w:sz w:val="21"/>
          <w:vertAlign w:val="baseline"/>
        </w:rPr>
        <w:t> </w:t>
      </w:r>
      <w:r>
        <w:rPr>
          <w:sz w:val="21"/>
          <w:vertAlign w:val="baseline"/>
        </w:rPr>
        <w:t>sex</w:t>
      </w:r>
      <w:r>
        <w:rPr>
          <w:spacing w:val="-1"/>
          <w:sz w:val="21"/>
          <w:vertAlign w:val="baseline"/>
        </w:rPr>
        <w:t> </w:t>
      </w:r>
      <w:r>
        <w:rPr>
          <w:sz w:val="21"/>
          <w:vertAlign w:val="baseline"/>
        </w:rPr>
        <w:t>worker</w:t>
      </w:r>
      <w:r>
        <w:rPr>
          <w:spacing w:val="-1"/>
          <w:sz w:val="21"/>
          <w:vertAlign w:val="baseline"/>
        </w:rPr>
        <w:t> </w:t>
      </w:r>
      <w:r>
        <w:rPr>
          <w:sz w:val="21"/>
          <w:vertAlign w:val="baseline"/>
        </w:rPr>
        <w:t>who</w:t>
      </w:r>
      <w:r>
        <w:rPr>
          <w:spacing w:val="-1"/>
          <w:sz w:val="21"/>
          <w:vertAlign w:val="baseline"/>
        </w:rPr>
        <w:t> </w:t>
      </w:r>
      <w:r>
        <w:rPr>
          <w:sz w:val="21"/>
          <w:vertAlign w:val="baseline"/>
        </w:rPr>
        <w:t>seeks</w:t>
      </w:r>
      <w:r>
        <w:rPr>
          <w:spacing w:val="-1"/>
          <w:sz w:val="21"/>
          <w:vertAlign w:val="baseline"/>
        </w:rPr>
        <w:t> </w:t>
      </w:r>
      <w:r>
        <w:rPr>
          <w:sz w:val="21"/>
          <w:vertAlign w:val="baseline"/>
        </w:rPr>
        <w:t>out clients</w:t>
      </w:r>
      <w:r>
        <w:rPr>
          <w:spacing w:val="-1"/>
          <w:sz w:val="21"/>
          <w:vertAlign w:val="baseline"/>
        </w:rPr>
        <w:t> </w:t>
      </w:r>
      <w:r>
        <w:rPr>
          <w:sz w:val="21"/>
          <w:vertAlign w:val="baseline"/>
        </w:rPr>
        <w:t>in</w:t>
      </w:r>
      <w:r>
        <w:rPr>
          <w:spacing w:val="-1"/>
          <w:sz w:val="21"/>
          <w:vertAlign w:val="baseline"/>
        </w:rPr>
        <w:t> </w:t>
      </w:r>
      <w:r>
        <w:rPr>
          <w:sz w:val="21"/>
          <w:vertAlign w:val="baseline"/>
        </w:rPr>
        <w:t>public</w:t>
      </w:r>
      <w:r>
        <w:rPr>
          <w:spacing w:val="-1"/>
          <w:sz w:val="21"/>
          <w:vertAlign w:val="baseline"/>
        </w:rPr>
        <w:t> </w:t>
      </w:r>
      <w:r>
        <w:rPr>
          <w:sz w:val="21"/>
          <w:vertAlign w:val="baseline"/>
        </w:rPr>
        <w:t>spaces.</w:t>
      </w:r>
      <w:r>
        <w:rPr>
          <w:spacing w:val="-1"/>
          <w:sz w:val="21"/>
          <w:vertAlign w:val="baseline"/>
        </w:rPr>
        <w:t> </w:t>
      </w:r>
      <w:r>
        <w:rPr>
          <w:sz w:val="21"/>
          <w:vertAlign w:val="baseline"/>
        </w:rPr>
        <w:t>This</w:t>
      </w:r>
      <w:r>
        <w:rPr>
          <w:spacing w:val="-1"/>
          <w:sz w:val="21"/>
          <w:vertAlign w:val="baseline"/>
        </w:rPr>
        <w:t> </w:t>
      </w:r>
      <w:r>
        <w:rPr>
          <w:sz w:val="21"/>
          <w:vertAlign w:val="baseline"/>
        </w:rPr>
        <w:t>archaic</w:t>
      </w:r>
      <w:r>
        <w:rPr>
          <w:spacing w:val="-1"/>
          <w:sz w:val="21"/>
          <w:vertAlign w:val="baseline"/>
        </w:rPr>
        <w:t> </w:t>
      </w:r>
      <w:r>
        <w:rPr>
          <w:sz w:val="21"/>
          <w:vertAlign w:val="baseline"/>
        </w:rPr>
        <w:t>law</w:t>
      </w:r>
      <w:r>
        <w:rPr>
          <w:spacing w:val="-1"/>
          <w:sz w:val="21"/>
          <w:vertAlign w:val="baseline"/>
        </w:rPr>
        <w:t> </w:t>
      </w:r>
      <w:r>
        <w:rPr>
          <w:sz w:val="21"/>
          <w:vertAlign w:val="baseline"/>
        </w:rPr>
        <w:t>disproportionately </w:t>
      </w:r>
      <w:bookmarkStart w:name="_bookmark322" w:id="553"/>
      <w:bookmarkEnd w:id="553"/>
      <w:r>
        <w:rPr>
          <w:sz w:val="21"/>
          <w:vertAlign w:val="baseline"/>
        </w:rPr>
        <w:t>harms</w:t>
      </w:r>
      <w:r>
        <w:rPr>
          <w:spacing w:val="-8"/>
          <w:sz w:val="21"/>
          <w:vertAlign w:val="baseline"/>
        </w:rPr>
        <w:t> </w:t>
      </w:r>
      <w:r>
        <w:rPr>
          <w:sz w:val="21"/>
          <w:vertAlign w:val="baseline"/>
        </w:rPr>
        <w:t>women,</w:t>
      </w:r>
      <w:r>
        <w:rPr>
          <w:spacing w:val="-7"/>
          <w:sz w:val="21"/>
          <w:vertAlign w:val="baseline"/>
        </w:rPr>
        <w:t> </w:t>
      </w:r>
      <w:r>
        <w:rPr>
          <w:sz w:val="21"/>
          <w:vertAlign w:val="baseline"/>
        </w:rPr>
        <w:t>particularly</w:t>
      </w:r>
      <w:r>
        <w:rPr>
          <w:spacing w:val="-8"/>
          <w:sz w:val="21"/>
          <w:vertAlign w:val="baseline"/>
        </w:rPr>
        <w:t> </w:t>
      </w:r>
      <w:r>
        <w:rPr>
          <w:sz w:val="21"/>
          <w:vertAlign w:val="baseline"/>
        </w:rPr>
        <w:t>Black</w:t>
      </w:r>
      <w:r>
        <w:rPr>
          <w:spacing w:val="-8"/>
          <w:sz w:val="21"/>
          <w:vertAlign w:val="baseline"/>
        </w:rPr>
        <w:t> </w:t>
      </w:r>
      <w:r>
        <w:rPr>
          <w:sz w:val="21"/>
          <w:vertAlign w:val="baseline"/>
        </w:rPr>
        <w:t>and</w:t>
      </w:r>
      <w:r>
        <w:rPr>
          <w:spacing w:val="-9"/>
          <w:sz w:val="21"/>
          <w:vertAlign w:val="baseline"/>
        </w:rPr>
        <w:t> </w:t>
      </w:r>
      <w:r>
        <w:rPr>
          <w:sz w:val="21"/>
          <w:vertAlign w:val="baseline"/>
        </w:rPr>
        <w:t>Latino</w:t>
      </w:r>
      <w:r>
        <w:rPr>
          <w:spacing w:val="-8"/>
          <w:sz w:val="21"/>
          <w:vertAlign w:val="baseline"/>
        </w:rPr>
        <w:t> </w:t>
      </w:r>
      <w:r>
        <w:rPr>
          <w:sz w:val="21"/>
          <w:vertAlign w:val="baseline"/>
        </w:rPr>
        <w:t>women</w:t>
      </w:r>
      <w:r>
        <w:rPr>
          <w:spacing w:val="-8"/>
          <w:sz w:val="21"/>
          <w:vertAlign w:val="baseline"/>
        </w:rPr>
        <w:t> </w:t>
      </w:r>
      <w:r>
        <w:rPr>
          <w:sz w:val="21"/>
          <w:vertAlign w:val="baseline"/>
        </w:rPr>
        <w:t>in</w:t>
      </w:r>
      <w:r>
        <w:rPr>
          <w:spacing w:val="-9"/>
          <w:sz w:val="21"/>
          <w:vertAlign w:val="baseline"/>
        </w:rPr>
        <w:t> </w:t>
      </w:r>
      <w:r>
        <w:rPr>
          <w:sz w:val="21"/>
          <w:vertAlign w:val="baseline"/>
        </w:rPr>
        <w:t>low-income</w:t>
      </w:r>
      <w:r>
        <w:rPr>
          <w:spacing w:val="-8"/>
          <w:sz w:val="21"/>
          <w:vertAlign w:val="baseline"/>
        </w:rPr>
        <w:t> </w:t>
      </w:r>
      <w:r>
        <w:rPr>
          <w:sz w:val="21"/>
          <w:vertAlign w:val="baseline"/>
        </w:rPr>
        <w:t>neighborhoods.</w:t>
      </w:r>
      <w:r>
        <w:rPr>
          <w:spacing w:val="-8"/>
          <w:sz w:val="21"/>
          <w:vertAlign w:val="baseline"/>
        </w:rPr>
        <w:t> </w:t>
      </w:r>
      <w:r>
        <w:rPr>
          <w:sz w:val="21"/>
          <w:vertAlign w:val="baseline"/>
        </w:rPr>
        <w:t>The</w:t>
      </w:r>
      <w:r>
        <w:rPr>
          <w:spacing w:val="-8"/>
          <w:sz w:val="21"/>
          <w:vertAlign w:val="baseline"/>
        </w:rPr>
        <w:t> </w:t>
      </w:r>
      <w:r>
        <w:rPr>
          <w:sz w:val="21"/>
          <w:vertAlign w:val="baseline"/>
        </w:rPr>
        <w:t>bill</w:t>
      </w:r>
      <w:r>
        <w:rPr>
          <w:spacing w:val="-8"/>
          <w:sz w:val="21"/>
          <w:vertAlign w:val="baseline"/>
        </w:rPr>
        <w:t> </w:t>
      </w:r>
      <w:r>
        <w:rPr>
          <w:sz w:val="21"/>
          <w:vertAlign w:val="baseline"/>
        </w:rPr>
        <w:t>is</w:t>
      </w:r>
      <w:r>
        <w:rPr>
          <w:spacing w:val="-9"/>
          <w:sz w:val="21"/>
          <w:vertAlign w:val="baseline"/>
        </w:rPr>
        <w:t> </w:t>
      </w:r>
      <w:r>
        <w:rPr>
          <w:sz w:val="21"/>
          <w:vertAlign w:val="baseline"/>
        </w:rPr>
        <w:t>seen</w:t>
      </w:r>
      <w:r>
        <w:rPr>
          <w:spacing w:val="-9"/>
          <w:sz w:val="21"/>
          <w:vertAlign w:val="baseline"/>
        </w:rPr>
        <w:t> </w:t>
      </w:r>
      <w:r>
        <w:rPr>
          <w:sz w:val="21"/>
          <w:vertAlign w:val="baseline"/>
        </w:rPr>
        <w:t>as</w:t>
      </w:r>
      <w:r>
        <w:rPr>
          <w:spacing w:val="-8"/>
          <w:sz w:val="21"/>
          <w:vertAlign w:val="baseline"/>
        </w:rPr>
        <w:t> </w:t>
      </w:r>
      <w:r>
        <w:rPr>
          <w:sz w:val="21"/>
          <w:vertAlign w:val="baseline"/>
        </w:rPr>
        <w:t>a</w:t>
      </w:r>
      <w:r>
        <w:rPr>
          <w:spacing w:val="-9"/>
          <w:sz w:val="21"/>
          <w:vertAlign w:val="baseline"/>
        </w:rPr>
        <w:t> </w:t>
      </w:r>
      <w:r>
        <w:rPr>
          <w:sz w:val="21"/>
          <w:vertAlign w:val="baseline"/>
        </w:rPr>
        <w:t>step </w:t>
      </w:r>
      <w:bookmarkStart w:name="_bookmark323" w:id="554"/>
      <w:bookmarkEnd w:id="554"/>
      <w:r>
        <w:rPr>
          <w:sz w:val="21"/>
          <w:vertAlign w:val="baseline"/>
        </w:rPr>
        <w:t>t</w:t>
      </w:r>
      <w:r>
        <w:rPr>
          <w:sz w:val="21"/>
          <w:vertAlign w:val="baseline"/>
        </w:rPr>
        <w:t>oward respecting individual rights and eliminating laws based on outdated notions of morality and social norms.</w:t>
      </w:r>
      <w:r>
        <w:rPr>
          <w:spacing w:val="-7"/>
          <w:sz w:val="21"/>
          <w:vertAlign w:val="baseline"/>
        </w:rPr>
        <w:t> </w:t>
      </w:r>
      <w:r>
        <w:rPr>
          <w:sz w:val="21"/>
          <w:vertAlign w:val="baseline"/>
        </w:rPr>
        <w:t>As</w:t>
      </w:r>
      <w:r>
        <w:rPr>
          <w:spacing w:val="-7"/>
          <w:sz w:val="21"/>
          <w:vertAlign w:val="baseline"/>
        </w:rPr>
        <w:t> </w:t>
      </w:r>
      <w:r>
        <w:rPr>
          <w:sz w:val="21"/>
          <w:vertAlign w:val="baseline"/>
        </w:rPr>
        <w:t>of</w:t>
      </w:r>
      <w:r>
        <w:rPr>
          <w:spacing w:val="-7"/>
          <w:sz w:val="21"/>
          <w:vertAlign w:val="baseline"/>
        </w:rPr>
        <w:t> </w:t>
      </w:r>
      <w:r>
        <w:rPr>
          <w:sz w:val="21"/>
          <w:vertAlign w:val="baseline"/>
        </w:rPr>
        <w:t>the</w:t>
      </w:r>
      <w:r>
        <w:rPr>
          <w:spacing w:val="-7"/>
          <w:sz w:val="21"/>
          <w:vertAlign w:val="baseline"/>
        </w:rPr>
        <w:t> </w:t>
      </w:r>
      <w:r>
        <w:rPr>
          <w:sz w:val="21"/>
          <w:vertAlign w:val="baseline"/>
        </w:rPr>
        <w:t>drafting</w:t>
      </w:r>
      <w:r>
        <w:rPr>
          <w:spacing w:val="-7"/>
          <w:sz w:val="21"/>
          <w:vertAlign w:val="baseline"/>
        </w:rPr>
        <w:t> </w:t>
      </w:r>
      <w:r>
        <w:rPr>
          <w:sz w:val="21"/>
          <w:vertAlign w:val="baseline"/>
        </w:rPr>
        <w:t>of</w:t>
      </w:r>
      <w:r>
        <w:rPr>
          <w:spacing w:val="-8"/>
          <w:sz w:val="21"/>
          <w:vertAlign w:val="baseline"/>
        </w:rPr>
        <w:t> </w:t>
      </w:r>
      <w:r>
        <w:rPr>
          <w:sz w:val="21"/>
          <w:vertAlign w:val="baseline"/>
        </w:rPr>
        <w:t>the</w:t>
      </w:r>
      <w:r>
        <w:rPr>
          <w:spacing w:val="-7"/>
          <w:sz w:val="21"/>
          <w:vertAlign w:val="baseline"/>
        </w:rPr>
        <w:t> </w:t>
      </w:r>
      <w:r>
        <w:rPr>
          <w:sz w:val="21"/>
          <w:vertAlign w:val="baseline"/>
        </w:rPr>
        <w:t>report,</w:t>
      </w:r>
      <w:r>
        <w:rPr>
          <w:spacing w:val="-8"/>
          <w:sz w:val="21"/>
          <w:vertAlign w:val="baseline"/>
        </w:rPr>
        <w:t> </w:t>
      </w:r>
      <w:r>
        <w:rPr>
          <w:sz w:val="21"/>
          <w:vertAlign w:val="baseline"/>
        </w:rPr>
        <w:t>the</w:t>
      </w:r>
      <w:r>
        <w:rPr>
          <w:spacing w:val="-7"/>
          <w:sz w:val="21"/>
          <w:vertAlign w:val="baseline"/>
        </w:rPr>
        <w:t> </w:t>
      </w:r>
      <w:r>
        <w:rPr>
          <w:sz w:val="21"/>
          <w:vertAlign w:val="baseline"/>
        </w:rPr>
        <w:t>bill</w:t>
      </w:r>
      <w:r>
        <w:rPr>
          <w:spacing w:val="-7"/>
          <w:sz w:val="21"/>
          <w:vertAlign w:val="baseline"/>
        </w:rPr>
        <w:t> </w:t>
      </w:r>
      <w:r>
        <w:rPr>
          <w:sz w:val="21"/>
          <w:vertAlign w:val="baseline"/>
        </w:rPr>
        <w:t>is</w:t>
      </w:r>
      <w:r>
        <w:rPr>
          <w:spacing w:val="-7"/>
          <w:sz w:val="21"/>
          <w:vertAlign w:val="baseline"/>
        </w:rPr>
        <w:t> </w:t>
      </w:r>
      <w:r>
        <w:rPr>
          <w:sz w:val="21"/>
          <w:vertAlign w:val="baseline"/>
        </w:rPr>
        <w:t>still</w:t>
      </w:r>
      <w:r>
        <w:rPr>
          <w:spacing w:val="-8"/>
          <w:sz w:val="21"/>
          <w:vertAlign w:val="baseline"/>
        </w:rPr>
        <w:t> </w:t>
      </w:r>
      <w:r>
        <w:rPr>
          <w:sz w:val="21"/>
          <w:vertAlign w:val="baseline"/>
        </w:rPr>
        <w:t>pending</w:t>
      </w:r>
      <w:r>
        <w:rPr>
          <w:spacing w:val="-7"/>
          <w:sz w:val="21"/>
          <w:vertAlign w:val="baseline"/>
        </w:rPr>
        <w:t> </w:t>
      </w:r>
      <w:r>
        <w:rPr>
          <w:sz w:val="21"/>
          <w:vertAlign w:val="baseline"/>
        </w:rPr>
        <w:t>in</w:t>
      </w:r>
      <w:r>
        <w:rPr>
          <w:spacing w:val="-8"/>
          <w:sz w:val="21"/>
          <w:vertAlign w:val="baseline"/>
        </w:rPr>
        <w:t> </w:t>
      </w:r>
      <w:r>
        <w:rPr>
          <w:sz w:val="21"/>
          <w:vertAlign w:val="baseline"/>
        </w:rPr>
        <w:t>the</w:t>
      </w:r>
      <w:r>
        <w:rPr>
          <w:spacing w:val="-7"/>
          <w:sz w:val="21"/>
          <w:vertAlign w:val="baseline"/>
        </w:rPr>
        <w:t> </w:t>
      </w:r>
      <w:r>
        <w:rPr>
          <w:sz w:val="21"/>
          <w:vertAlign w:val="baseline"/>
        </w:rPr>
        <w:t>House</w:t>
      </w:r>
      <w:r>
        <w:rPr>
          <w:spacing w:val="-7"/>
          <w:sz w:val="21"/>
          <w:vertAlign w:val="baseline"/>
        </w:rPr>
        <w:t> </w:t>
      </w:r>
      <w:r>
        <w:rPr>
          <w:sz w:val="21"/>
          <w:vertAlign w:val="baseline"/>
        </w:rPr>
        <w:t>Committee</w:t>
      </w:r>
      <w:r>
        <w:rPr>
          <w:spacing w:val="-7"/>
          <w:sz w:val="21"/>
          <w:vertAlign w:val="baseline"/>
        </w:rPr>
        <w:t> </w:t>
      </w:r>
      <w:r>
        <w:rPr>
          <w:sz w:val="21"/>
          <w:vertAlign w:val="baseline"/>
        </w:rPr>
        <w:t>on</w:t>
      </w:r>
      <w:r>
        <w:rPr>
          <w:spacing w:val="-8"/>
          <w:sz w:val="21"/>
          <w:vertAlign w:val="baseline"/>
        </w:rPr>
        <w:t> </w:t>
      </w:r>
      <w:r>
        <w:rPr>
          <w:sz w:val="21"/>
          <w:vertAlign w:val="baseline"/>
        </w:rPr>
        <w:t>Ways</w:t>
      </w:r>
      <w:r>
        <w:rPr>
          <w:spacing w:val="-7"/>
          <w:sz w:val="21"/>
          <w:vertAlign w:val="baseline"/>
        </w:rPr>
        <w:t> </w:t>
      </w:r>
      <w:r>
        <w:rPr>
          <w:sz w:val="21"/>
          <w:vertAlign w:val="baseline"/>
        </w:rPr>
        <w:t>and</w:t>
      </w:r>
      <w:r>
        <w:rPr>
          <w:spacing w:val="-7"/>
          <w:sz w:val="21"/>
          <w:vertAlign w:val="baseline"/>
        </w:rPr>
        <w:t> </w:t>
      </w:r>
      <w:r>
        <w:rPr>
          <w:sz w:val="21"/>
          <w:vertAlign w:val="baseline"/>
        </w:rPr>
        <w:t>Means. The Commission supports this bill, and others like it, aimed to decriminalize adult sex work, as its impact</w:t>
      </w:r>
    </w:p>
    <w:p>
      <w:pPr>
        <w:spacing w:after="0" w:line="276" w:lineRule="auto"/>
        <w:jc w:val="both"/>
        <w:rPr>
          <w:sz w:val="21"/>
        </w:rPr>
        <w:sectPr>
          <w:pgSz w:w="12240" w:h="15840"/>
          <w:pgMar w:header="763" w:footer="1041" w:top="1360" w:bottom="1240" w:left="1120" w:right="1340"/>
        </w:sectPr>
      </w:pPr>
    </w:p>
    <w:p>
      <w:pPr>
        <w:spacing w:line="276" w:lineRule="auto" w:before="65"/>
        <w:ind w:left="464" w:right="240" w:firstLine="0"/>
        <w:jc w:val="both"/>
        <w:rPr>
          <w:sz w:val="21"/>
        </w:rPr>
      </w:pPr>
      <w:r>
        <w:rPr>
          <w:sz w:val="21"/>
        </w:rPr>
        <w:t>would be far-reaching for many LGBTQ youths over 18. Decriminalizing sex work is a crucial step towards </w:t>
      </w:r>
      <w:bookmarkStart w:name="_bookmark324" w:id="555"/>
      <w:bookmarkEnd w:id="555"/>
      <w:r>
        <w:rPr>
          <w:sz w:val="21"/>
        </w:rPr>
        <w:t>e</w:t>
      </w:r>
      <w:r>
        <w:rPr>
          <w:sz w:val="21"/>
        </w:rPr>
        <w:t>nhancing legal protections, improving access to justice and healthcare, and combatting violence against sex workers, thereby fostering healthier and more equitable communities.</w:t>
      </w:r>
    </w:p>
    <w:p>
      <w:pPr>
        <w:spacing w:line="276" w:lineRule="auto" w:before="240"/>
        <w:ind w:left="464" w:right="241" w:firstLine="0"/>
        <w:jc w:val="both"/>
        <w:rPr>
          <w:sz w:val="21"/>
        </w:rPr>
      </w:pPr>
      <w:bookmarkStart w:name="_bookmark325" w:id="556"/>
      <w:bookmarkEnd w:id="556"/>
      <w:r>
        <w:rPr/>
      </w:r>
      <w:bookmarkStart w:name="_bookmark326" w:id="557"/>
      <w:bookmarkEnd w:id="557"/>
      <w:r>
        <w:rPr/>
      </w:r>
      <w:r>
        <w:rPr>
          <w:sz w:val="21"/>
        </w:rPr>
        <w:t>In addition, the Commission advocates for the decriminalization of consensual teen sex and sexting, proposing adjustments to the current age of consent laws for minors involved in consensual sexual activities.</w:t>
      </w:r>
      <w:hyperlink w:history="true" w:anchor="_bookmark400">
        <w:r>
          <w:rPr>
            <w:sz w:val="21"/>
            <w:vertAlign w:val="superscript"/>
          </w:rPr>
          <w:t>84</w:t>
        </w:r>
      </w:hyperlink>
      <w:r>
        <w:rPr>
          <w:spacing w:val="-2"/>
          <w:sz w:val="21"/>
          <w:vertAlign w:val="baseline"/>
        </w:rPr>
        <w:t> </w:t>
      </w:r>
      <w:r>
        <w:rPr>
          <w:sz w:val="21"/>
          <w:vertAlign w:val="baseline"/>
        </w:rPr>
        <w:t>Despite</w:t>
      </w:r>
      <w:r>
        <w:rPr>
          <w:spacing w:val="-2"/>
          <w:sz w:val="21"/>
          <w:vertAlign w:val="baseline"/>
        </w:rPr>
        <w:t> </w:t>
      </w:r>
      <w:r>
        <w:rPr>
          <w:sz w:val="21"/>
          <w:vertAlign w:val="baseline"/>
        </w:rPr>
        <w:t>the</w:t>
      </w:r>
      <w:r>
        <w:rPr>
          <w:spacing w:val="-2"/>
          <w:sz w:val="21"/>
          <w:vertAlign w:val="baseline"/>
        </w:rPr>
        <w:t> </w:t>
      </w:r>
      <w:r>
        <w:rPr>
          <w:sz w:val="21"/>
          <w:vertAlign w:val="baseline"/>
        </w:rPr>
        <w:t>absence</w:t>
      </w:r>
      <w:r>
        <w:rPr>
          <w:spacing w:val="-2"/>
          <w:sz w:val="21"/>
          <w:vertAlign w:val="baseline"/>
        </w:rPr>
        <w:t> </w:t>
      </w:r>
      <w:r>
        <w:rPr>
          <w:sz w:val="21"/>
          <w:vertAlign w:val="baseline"/>
        </w:rPr>
        <w:t>of</w:t>
      </w:r>
      <w:r>
        <w:rPr>
          <w:spacing w:val="-2"/>
          <w:sz w:val="21"/>
          <w:vertAlign w:val="baseline"/>
        </w:rPr>
        <w:t> </w:t>
      </w:r>
      <w:r>
        <w:rPr>
          <w:sz w:val="21"/>
          <w:vertAlign w:val="baseline"/>
        </w:rPr>
        <w:t>explicit</w:t>
      </w:r>
      <w:r>
        <w:rPr>
          <w:spacing w:val="-2"/>
          <w:sz w:val="21"/>
          <w:vertAlign w:val="baseline"/>
        </w:rPr>
        <w:t> </w:t>
      </w:r>
      <w:r>
        <w:rPr>
          <w:sz w:val="21"/>
          <w:vertAlign w:val="baseline"/>
        </w:rPr>
        <w:t>sexting</w:t>
      </w:r>
      <w:r>
        <w:rPr>
          <w:spacing w:val="-2"/>
          <w:sz w:val="21"/>
          <w:vertAlign w:val="baseline"/>
        </w:rPr>
        <w:t> </w:t>
      </w:r>
      <w:r>
        <w:rPr>
          <w:sz w:val="21"/>
          <w:vertAlign w:val="baseline"/>
        </w:rPr>
        <w:t>laws</w:t>
      </w:r>
      <w:r>
        <w:rPr>
          <w:spacing w:val="-2"/>
          <w:sz w:val="21"/>
          <w:vertAlign w:val="baseline"/>
        </w:rPr>
        <w:t> </w:t>
      </w:r>
      <w:r>
        <w:rPr>
          <w:sz w:val="21"/>
          <w:vertAlign w:val="baseline"/>
        </w:rPr>
        <w:t>in</w:t>
      </w:r>
      <w:r>
        <w:rPr>
          <w:spacing w:val="-2"/>
          <w:sz w:val="21"/>
          <w:vertAlign w:val="baseline"/>
        </w:rPr>
        <w:t> </w:t>
      </w:r>
      <w:r>
        <w:rPr>
          <w:sz w:val="21"/>
          <w:vertAlign w:val="baseline"/>
        </w:rPr>
        <w:t>Massachusetts,</w:t>
      </w:r>
      <w:r>
        <w:rPr>
          <w:spacing w:val="-1"/>
          <w:sz w:val="21"/>
          <w:vertAlign w:val="baseline"/>
        </w:rPr>
        <w:t> </w:t>
      </w:r>
      <w:r>
        <w:rPr>
          <w:sz w:val="21"/>
          <w:vertAlign w:val="baseline"/>
        </w:rPr>
        <w:t>child</w:t>
      </w:r>
      <w:r>
        <w:rPr>
          <w:spacing w:val="-2"/>
          <w:sz w:val="21"/>
          <w:vertAlign w:val="baseline"/>
        </w:rPr>
        <w:t> </w:t>
      </w:r>
      <w:r>
        <w:rPr>
          <w:sz w:val="21"/>
          <w:vertAlign w:val="baseline"/>
        </w:rPr>
        <w:t>pornography</w:t>
      </w:r>
      <w:r>
        <w:rPr>
          <w:spacing w:val="-2"/>
          <w:sz w:val="21"/>
          <w:vertAlign w:val="baseline"/>
        </w:rPr>
        <w:t> </w:t>
      </w:r>
      <w:r>
        <w:rPr>
          <w:sz w:val="21"/>
          <w:vertAlign w:val="baseline"/>
        </w:rPr>
        <w:t>statutes</w:t>
      </w:r>
      <w:r>
        <w:rPr>
          <w:spacing w:val="-2"/>
          <w:sz w:val="21"/>
          <w:vertAlign w:val="baseline"/>
        </w:rPr>
        <w:t> </w:t>
      </w:r>
      <w:r>
        <w:rPr>
          <w:sz w:val="21"/>
          <w:vertAlign w:val="baseline"/>
        </w:rPr>
        <w:t>pose </w:t>
      </w:r>
      <w:bookmarkStart w:name="_bookmark327" w:id="558"/>
      <w:bookmarkEnd w:id="558"/>
      <w:r>
        <w:rPr>
          <w:sz w:val="21"/>
          <w:vertAlign w:val="baseline"/>
        </w:rPr>
        <w:t>p</w:t>
      </w:r>
      <w:r>
        <w:rPr>
          <w:sz w:val="21"/>
          <w:vertAlign w:val="baseline"/>
        </w:rPr>
        <w:t>otential</w:t>
      </w:r>
      <w:r>
        <w:rPr>
          <w:spacing w:val="-7"/>
          <w:sz w:val="21"/>
          <w:vertAlign w:val="baseline"/>
        </w:rPr>
        <w:t> </w:t>
      </w:r>
      <w:r>
        <w:rPr>
          <w:sz w:val="21"/>
          <w:vertAlign w:val="baseline"/>
        </w:rPr>
        <w:t>legal</w:t>
      </w:r>
      <w:r>
        <w:rPr>
          <w:spacing w:val="-8"/>
          <w:sz w:val="21"/>
          <w:vertAlign w:val="baseline"/>
        </w:rPr>
        <w:t> </w:t>
      </w:r>
      <w:r>
        <w:rPr>
          <w:sz w:val="21"/>
          <w:vertAlign w:val="baseline"/>
        </w:rPr>
        <w:t>ramifications</w:t>
      </w:r>
      <w:r>
        <w:rPr>
          <w:spacing w:val="-8"/>
          <w:sz w:val="21"/>
          <w:vertAlign w:val="baseline"/>
        </w:rPr>
        <w:t> </w:t>
      </w:r>
      <w:r>
        <w:rPr>
          <w:sz w:val="21"/>
          <w:vertAlign w:val="baseline"/>
        </w:rPr>
        <w:t>for</w:t>
      </w:r>
      <w:r>
        <w:rPr>
          <w:spacing w:val="-7"/>
          <w:sz w:val="21"/>
          <w:vertAlign w:val="baseline"/>
        </w:rPr>
        <w:t> </w:t>
      </w:r>
      <w:r>
        <w:rPr>
          <w:sz w:val="21"/>
          <w:vertAlign w:val="baseline"/>
        </w:rPr>
        <w:t>minors</w:t>
      </w:r>
      <w:r>
        <w:rPr>
          <w:spacing w:val="-7"/>
          <w:sz w:val="21"/>
          <w:vertAlign w:val="baseline"/>
        </w:rPr>
        <w:t> </w:t>
      </w:r>
      <w:r>
        <w:rPr>
          <w:sz w:val="21"/>
          <w:vertAlign w:val="baseline"/>
        </w:rPr>
        <w:t>under</w:t>
      </w:r>
      <w:r>
        <w:rPr>
          <w:spacing w:val="-7"/>
          <w:sz w:val="21"/>
          <w:vertAlign w:val="baseline"/>
        </w:rPr>
        <w:t> </w:t>
      </w:r>
      <w:r>
        <w:rPr>
          <w:sz w:val="21"/>
          <w:vertAlign w:val="baseline"/>
        </w:rPr>
        <w:t>16</w:t>
      </w:r>
      <w:r>
        <w:rPr>
          <w:spacing w:val="-8"/>
          <w:sz w:val="21"/>
          <w:vertAlign w:val="baseline"/>
        </w:rPr>
        <w:t> </w:t>
      </w:r>
      <w:r>
        <w:rPr>
          <w:sz w:val="21"/>
          <w:vertAlign w:val="baseline"/>
        </w:rPr>
        <w:t>engaging</w:t>
      </w:r>
      <w:r>
        <w:rPr>
          <w:spacing w:val="-7"/>
          <w:sz w:val="21"/>
          <w:vertAlign w:val="baseline"/>
        </w:rPr>
        <w:t> </w:t>
      </w:r>
      <w:r>
        <w:rPr>
          <w:sz w:val="21"/>
          <w:vertAlign w:val="baseline"/>
        </w:rPr>
        <w:t>in</w:t>
      </w:r>
      <w:r>
        <w:rPr>
          <w:spacing w:val="-7"/>
          <w:sz w:val="21"/>
          <w:vertAlign w:val="baseline"/>
        </w:rPr>
        <w:t> </w:t>
      </w:r>
      <w:r>
        <w:rPr>
          <w:sz w:val="21"/>
          <w:vertAlign w:val="baseline"/>
        </w:rPr>
        <w:t>consensual</w:t>
      </w:r>
      <w:r>
        <w:rPr>
          <w:spacing w:val="-7"/>
          <w:sz w:val="21"/>
          <w:vertAlign w:val="baseline"/>
        </w:rPr>
        <w:t> </w:t>
      </w:r>
      <w:r>
        <w:rPr>
          <w:sz w:val="21"/>
          <w:vertAlign w:val="baseline"/>
        </w:rPr>
        <w:t>sexting,</w:t>
      </w:r>
      <w:r>
        <w:rPr>
          <w:spacing w:val="-7"/>
          <w:sz w:val="21"/>
          <w:vertAlign w:val="baseline"/>
        </w:rPr>
        <w:t> </w:t>
      </w:r>
      <w:r>
        <w:rPr>
          <w:sz w:val="21"/>
          <w:vertAlign w:val="baseline"/>
        </w:rPr>
        <w:t>which</w:t>
      </w:r>
      <w:r>
        <w:rPr>
          <w:spacing w:val="-7"/>
          <w:sz w:val="21"/>
          <w:vertAlign w:val="baseline"/>
        </w:rPr>
        <w:t> </w:t>
      </w:r>
      <w:r>
        <w:rPr>
          <w:sz w:val="21"/>
          <w:vertAlign w:val="baseline"/>
        </w:rPr>
        <w:t>can</w:t>
      </w:r>
      <w:r>
        <w:rPr>
          <w:spacing w:val="-8"/>
          <w:sz w:val="21"/>
          <w:vertAlign w:val="baseline"/>
        </w:rPr>
        <w:t> </w:t>
      </w:r>
      <w:r>
        <w:rPr>
          <w:sz w:val="21"/>
          <w:vertAlign w:val="baseline"/>
        </w:rPr>
        <w:t>lead</w:t>
      </w:r>
      <w:r>
        <w:rPr>
          <w:spacing w:val="-8"/>
          <w:sz w:val="21"/>
          <w:vertAlign w:val="baseline"/>
        </w:rPr>
        <w:t> </w:t>
      </w:r>
      <w:r>
        <w:rPr>
          <w:sz w:val="21"/>
          <w:vertAlign w:val="baseline"/>
        </w:rPr>
        <w:t>to</w:t>
      </w:r>
      <w:r>
        <w:rPr>
          <w:spacing w:val="-7"/>
          <w:sz w:val="21"/>
          <w:vertAlign w:val="baseline"/>
        </w:rPr>
        <w:t> </w:t>
      </w:r>
      <w:r>
        <w:rPr>
          <w:sz w:val="21"/>
          <w:vertAlign w:val="baseline"/>
        </w:rPr>
        <w:t>criminal convictions.</w:t>
      </w:r>
      <w:hyperlink w:history="true" w:anchor="_bookmark401">
        <w:r>
          <w:rPr>
            <w:sz w:val="21"/>
            <w:vertAlign w:val="superscript"/>
          </w:rPr>
          <w:t>85</w:t>
        </w:r>
      </w:hyperlink>
      <w:r>
        <w:rPr>
          <w:spacing w:val="-2"/>
          <w:sz w:val="21"/>
          <w:vertAlign w:val="baseline"/>
        </w:rPr>
        <w:t> </w:t>
      </w:r>
      <w:r>
        <w:rPr>
          <w:sz w:val="21"/>
          <w:vertAlign w:val="baseline"/>
        </w:rPr>
        <w:t>It</w:t>
      </w:r>
      <w:r>
        <w:rPr>
          <w:spacing w:val="-5"/>
          <w:sz w:val="21"/>
          <w:vertAlign w:val="baseline"/>
        </w:rPr>
        <w:t> </w:t>
      </w:r>
      <w:r>
        <w:rPr>
          <w:sz w:val="21"/>
          <w:vertAlign w:val="baseline"/>
        </w:rPr>
        <w:t>is</w:t>
      </w:r>
      <w:r>
        <w:rPr>
          <w:spacing w:val="-5"/>
          <w:sz w:val="21"/>
          <w:vertAlign w:val="baseline"/>
        </w:rPr>
        <w:t> </w:t>
      </w:r>
      <w:r>
        <w:rPr>
          <w:sz w:val="21"/>
          <w:vertAlign w:val="baseline"/>
        </w:rPr>
        <w:t>recommended</w:t>
      </w:r>
      <w:r>
        <w:rPr>
          <w:spacing w:val="-4"/>
          <w:sz w:val="21"/>
          <w:vertAlign w:val="baseline"/>
        </w:rPr>
        <w:t> </w:t>
      </w:r>
      <w:r>
        <w:rPr>
          <w:sz w:val="21"/>
          <w:vertAlign w:val="baseline"/>
        </w:rPr>
        <w:t>that</w:t>
      </w:r>
      <w:r>
        <w:rPr>
          <w:spacing w:val="-5"/>
          <w:sz w:val="21"/>
          <w:vertAlign w:val="baseline"/>
        </w:rPr>
        <w:t> </w:t>
      </w:r>
      <w:r>
        <w:rPr>
          <w:sz w:val="21"/>
          <w:vertAlign w:val="baseline"/>
        </w:rPr>
        <w:t>legislative</w:t>
      </w:r>
      <w:r>
        <w:rPr>
          <w:spacing w:val="-4"/>
          <w:sz w:val="21"/>
          <w:vertAlign w:val="baseline"/>
        </w:rPr>
        <w:t> </w:t>
      </w:r>
      <w:r>
        <w:rPr>
          <w:sz w:val="21"/>
          <w:vertAlign w:val="baseline"/>
        </w:rPr>
        <w:t>reforms</w:t>
      </w:r>
      <w:r>
        <w:rPr>
          <w:spacing w:val="-5"/>
          <w:sz w:val="21"/>
          <w:vertAlign w:val="baseline"/>
        </w:rPr>
        <w:t> </w:t>
      </w:r>
      <w:r>
        <w:rPr>
          <w:sz w:val="21"/>
          <w:vertAlign w:val="baseline"/>
        </w:rPr>
        <w:t>be</w:t>
      </w:r>
      <w:r>
        <w:rPr>
          <w:spacing w:val="-4"/>
          <w:sz w:val="21"/>
          <w:vertAlign w:val="baseline"/>
        </w:rPr>
        <w:t> </w:t>
      </w:r>
      <w:r>
        <w:rPr>
          <w:sz w:val="21"/>
          <w:vertAlign w:val="baseline"/>
        </w:rPr>
        <w:t>taken</w:t>
      </w:r>
      <w:r>
        <w:rPr>
          <w:spacing w:val="-6"/>
          <w:sz w:val="21"/>
          <w:vertAlign w:val="baseline"/>
        </w:rPr>
        <w:t> </w:t>
      </w:r>
      <w:r>
        <w:rPr>
          <w:sz w:val="21"/>
          <w:vertAlign w:val="baseline"/>
        </w:rPr>
        <w:t>to</w:t>
      </w:r>
      <w:r>
        <w:rPr>
          <w:spacing w:val="-5"/>
          <w:sz w:val="21"/>
          <w:vertAlign w:val="baseline"/>
        </w:rPr>
        <w:t> </w:t>
      </w:r>
      <w:r>
        <w:rPr>
          <w:sz w:val="21"/>
          <w:vertAlign w:val="baseline"/>
        </w:rPr>
        <w:t>support</w:t>
      </w:r>
      <w:r>
        <w:rPr>
          <w:spacing w:val="-4"/>
          <w:sz w:val="21"/>
          <w:vertAlign w:val="baseline"/>
        </w:rPr>
        <w:t> </w:t>
      </w:r>
      <w:r>
        <w:rPr>
          <w:sz w:val="21"/>
          <w:vertAlign w:val="baseline"/>
        </w:rPr>
        <w:t>minors</w:t>
      </w:r>
      <w:r>
        <w:rPr>
          <w:spacing w:val="-5"/>
          <w:sz w:val="21"/>
          <w:vertAlign w:val="baseline"/>
        </w:rPr>
        <w:t> </w:t>
      </w:r>
      <w:r>
        <w:rPr>
          <w:sz w:val="21"/>
          <w:vertAlign w:val="baseline"/>
        </w:rPr>
        <w:t>in</w:t>
      </w:r>
      <w:r>
        <w:rPr>
          <w:spacing w:val="-4"/>
          <w:sz w:val="21"/>
          <w:vertAlign w:val="baseline"/>
        </w:rPr>
        <w:t> </w:t>
      </w:r>
      <w:r>
        <w:rPr>
          <w:sz w:val="21"/>
          <w:vertAlign w:val="baseline"/>
        </w:rPr>
        <w:t>navigating</w:t>
      </w:r>
      <w:r>
        <w:rPr>
          <w:spacing w:val="-5"/>
          <w:sz w:val="21"/>
          <w:vertAlign w:val="baseline"/>
        </w:rPr>
        <w:t> </w:t>
      </w:r>
      <w:r>
        <w:rPr>
          <w:sz w:val="21"/>
          <w:vertAlign w:val="baseline"/>
        </w:rPr>
        <w:t>evolving </w:t>
      </w:r>
      <w:bookmarkStart w:name="_bookmark328" w:id="559"/>
      <w:bookmarkEnd w:id="559"/>
      <w:r>
        <w:rPr>
          <w:sz w:val="21"/>
          <w:vertAlign w:val="baseline"/>
        </w:rPr>
        <w:t>t</w:t>
      </w:r>
      <w:r>
        <w:rPr>
          <w:sz w:val="21"/>
          <w:vertAlign w:val="baseline"/>
        </w:rPr>
        <w:t>echnology and dating culture without subjecting them to criminal penalties.</w:t>
      </w:r>
    </w:p>
    <w:p>
      <w:pPr>
        <w:spacing w:line="276" w:lineRule="auto" w:before="240"/>
        <w:ind w:left="464" w:right="239" w:firstLine="0"/>
        <w:jc w:val="both"/>
        <w:rPr>
          <w:sz w:val="21"/>
        </w:rPr>
      </w:pPr>
      <w:bookmarkStart w:name="_bookmark329" w:id="560"/>
      <w:bookmarkEnd w:id="560"/>
      <w:r>
        <w:rPr/>
      </w:r>
      <w:r>
        <w:rPr>
          <w:sz w:val="21"/>
        </w:rPr>
        <w:t>Moreover, evidence shows discriminatory policing of consensual teen sexual relationships, particularly </w:t>
      </w:r>
      <w:bookmarkStart w:name="_bookmark330" w:id="561"/>
      <w:bookmarkEnd w:id="561"/>
      <w:r>
        <w:rPr>
          <w:sz w:val="21"/>
        </w:rPr>
        <w:t>impact</w:t>
      </w:r>
      <w:r>
        <w:rPr>
          <w:sz w:val="21"/>
        </w:rPr>
        <w:t>ing</w:t>
      </w:r>
      <w:r>
        <w:rPr>
          <w:spacing w:val="-12"/>
          <w:sz w:val="21"/>
        </w:rPr>
        <w:t> </w:t>
      </w:r>
      <w:r>
        <w:rPr>
          <w:sz w:val="21"/>
        </w:rPr>
        <w:t>LGBTQ</w:t>
      </w:r>
      <w:r>
        <w:rPr>
          <w:spacing w:val="-12"/>
          <w:sz w:val="21"/>
        </w:rPr>
        <w:t> </w:t>
      </w:r>
      <w:r>
        <w:rPr>
          <w:sz w:val="21"/>
        </w:rPr>
        <w:t>youth,</w:t>
      </w:r>
      <w:r>
        <w:rPr>
          <w:spacing w:val="-12"/>
          <w:sz w:val="21"/>
        </w:rPr>
        <w:t> </w:t>
      </w:r>
      <w:r>
        <w:rPr>
          <w:sz w:val="21"/>
        </w:rPr>
        <w:t>who</w:t>
      </w:r>
      <w:r>
        <w:rPr>
          <w:spacing w:val="-12"/>
          <w:sz w:val="21"/>
        </w:rPr>
        <w:t> </w:t>
      </w:r>
      <w:r>
        <w:rPr>
          <w:sz w:val="21"/>
        </w:rPr>
        <w:t>are</w:t>
      </w:r>
      <w:r>
        <w:rPr>
          <w:spacing w:val="-12"/>
          <w:sz w:val="21"/>
        </w:rPr>
        <w:t> </w:t>
      </w:r>
      <w:r>
        <w:rPr>
          <w:sz w:val="21"/>
        </w:rPr>
        <w:t>unfairly</w:t>
      </w:r>
      <w:r>
        <w:rPr>
          <w:spacing w:val="-12"/>
          <w:sz w:val="21"/>
        </w:rPr>
        <w:t> </w:t>
      </w:r>
      <w:r>
        <w:rPr>
          <w:sz w:val="21"/>
        </w:rPr>
        <w:t>labeled</w:t>
      </w:r>
      <w:r>
        <w:rPr>
          <w:spacing w:val="-12"/>
          <w:sz w:val="21"/>
        </w:rPr>
        <w:t> </w:t>
      </w:r>
      <w:r>
        <w:rPr>
          <w:sz w:val="21"/>
        </w:rPr>
        <w:t>as</w:t>
      </w:r>
      <w:r>
        <w:rPr>
          <w:spacing w:val="-11"/>
          <w:sz w:val="21"/>
        </w:rPr>
        <w:t> </w:t>
      </w:r>
      <w:r>
        <w:rPr>
          <w:sz w:val="21"/>
        </w:rPr>
        <w:t>sex</w:t>
      </w:r>
      <w:r>
        <w:rPr>
          <w:spacing w:val="-12"/>
          <w:sz w:val="21"/>
        </w:rPr>
        <w:t> </w:t>
      </w:r>
      <w:r>
        <w:rPr>
          <w:sz w:val="21"/>
        </w:rPr>
        <w:t>offenders.</w:t>
      </w:r>
      <w:hyperlink w:history="true" w:anchor="_bookmark402">
        <w:r>
          <w:rPr>
            <w:sz w:val="21"/>
            <w:vertAlign w:val="superscript"/>
          </w:rPr>
          <w:t>86</w:t>
        </w:r>
      </w:hyperlink>
      <w:r>
        <w:rPr>
          <w:spacing w:val="-12"/>
          <w:sz w:val="21"/>
          <w:vertAlign w:val="baseline"/>
        </w:rPr>
        <w:t> </w:t>
      </w:r>
      <w:r>
        <w:rPr>
          <w:sz w:val="21"/>
          <w:vertAlign w:val="baseline"/>
        </w:rPr>
        <w:t>These</w:t>
      </w:r>
      <w:r>
        <w:rPr>
          <w:spacing w:val="-12"/>
          <w:sz w:val="21"/>
          <w:vertAlign w:val="baseline"/>
        </w:rPr>
        <w:t> </w:t>
      </w:r>
      <w:r>
        <w:rPr>
          <w:sz w:val="21"/>
          <w:vertAlign w:val="baseline"/>
        </w:rPr>
        <w:t>unjust</w:t>
      </w:r>
      <w:r>
        <w:rPr>
          <w:spacing w:val="-12"/>
          <w:sz w:val="21"/>
          <w:vertAlign w:val="baseline"/>
        </w:rPr>
        <w:t> </w:t>
      </w:r>
      <w:r>
        <w:rPr>
          <w:sz w:val="21"/>
          <w:vertAlign w:val="baseline"/>
        </w:rPr>
        <w:t>legal</w:t>
      </w:r>
      <w:r>
        <w:rPr>
          <w:spacing w:val="-12"/>
          <w:sz w:val="21"/>
          <w:vertAlign w:val="baseline"/>
        </w:rPr>
        <w:t> </w:t>
      </w:r>
      <w:r>
        <w:rPr>
          <w:sz w:val="21"/>
          <w:vertAlign w:val="baseline"/>
        </w:rPr>
        <w:t>practices</w:t>
      </w:r>
      <w:r>
        <w:rPr>
          <w:spacing w:val="-12"/>
          <w:sz w:val="21"/>
          <w:vertAlign w:val="baseline"/>
        </w:rPr>
        <w:t> </w:t>
      </w:r>
      <w:r>
        <w:rPr>
          <w:sz w:val="21"/>
          <w:vertAlign w:val="baseline"/>
        </w:rPr>
        <w:t>perpetuate </w:t>
      </w:r>
      <w:bookmarkStart w:name="_bookmark331" w:id="562"/>
      <w:bookmarkEnd w:id="562"/>
      <w:r>
        <w:rPr>
          <w:sz w:val="21"/>
          <w:vertAlign w:val="baseline"/>
        </w:rPr>
        <w:t>c</w:t>
      </w:r>
      <w:r>
        <w:rPr>
          <w:sz w:val="21"/>
          <w:vertAlign w:val="baseline"/>
        </w:rPr>
        <w:t>ycles of poverty, instability, and criminalization, emphasizing the necessity of decriminalizing consensual </w:t>
      </w:r>
      <w:bookmarkStart w:name="_bookmark332" w:id="563"/>
      <w:bookmarkEnd w:id="563"/>
      <w:r>
        <w:rPr>
          <w:sz w:val="21"/>
          <w:vertAlign w:val="baseline"/>
        </w:rPr>
        <w:t>s</w:t>
      </w:r>
      <w:r>
        <w:rPr>
          <w:sz w:val="21"/>
          <w:vertAlign w:val="baseline"/>
        </w:rPr>
        <w:t>exual</w:t>
      </w:r>
      <w:r>
        <w:rPr>
          <w:spacing w:val="-12"/>
          <w:sz w:val="21"/>
          <w:vertAlign w:val="baseline"/>
        </w:rPr>
        <w:t> </w:t>
      </w:r>
      <w:r>
        <w:rPr>
          <w:sz w:val="21"/>
          <w:vertAlign w:val="baseline"/>
        </w:rPr>
        <w:t>relations</w:t>
      </w:r>
      <w:r>
        <w:rPr>
          <w:spacing w:val="-12"/>
          <w:sz w:val="21"/>
          <w:vertAlign w:val="baseline"/>
        </w:rPr>
        <w:t> </w:t>
      </w:r>
      <w:r>
        <w:rPr>
          <w:sz w:val="21"/>
          <w:vertAlign w:val="baseline"/>
        </w:rPr>
        <w:t>among</w:t>
      </w:r>
      <w:r>
        <w:rPr>
          <w:spacing w:val="-12"/>
          <w:sz w:val="21"/>
          <w:vertAlign w:val="baseline"/>
        </w:rPr>
        <w:t> </w:t>
      </w:r>
      <w:r>
        <w:rPr>
          <w:sz w:val="21"/>
          <w:vertAlign w:val="baseline"/>
        </w:rPr>
        <w:t>close-in-age</w:t>
      </w:r>
      <w:r>
        <w:rPr>
          <w:spacing w:val="-12"/>
          <w:sz w:val="21"/>
          <w:vertAlign w:val="baseline"/>
        </w:rPr>
        <w:t> </w:t>
      </w:r>
      <w:r>
        <w:rPr>
          <w:sz w:val="21"/>
          <w:vertAlign w:val="baseline"/>
        </w:rPr>
        <w:t>parties.</w:t>
      </w:r>
      <w:r>
        <w:rPr>
          <w:spacing w:val="-12"/>
          <w:sz w:val="21"/>
          <w:vertAlign w:val="baseline"/>
        </w:rPr>
        <w:t> </w:t>
      </w:r>
      <w:r>
        <w:rPr>
          <w:sz w:val="21"/>
          <w:vertAlign w:val="baseline"/>
        </w:rPr>
        <w:t>Further,</w:t>
      </w:r>
      <w:r>
        <w:rPr>
          <w:spacing w:val="-12"/>
          <w:sz w:val="21"/>
          <w:vertAlign w:val="baseline"/>
        </w:rPr>
        <w:t> </w:t>
      </w:r>
      <w:r>
        <w:rPr>
          <w:sz w:val="21"/>
          <w:vertAlign w:val="baseline"/>
        </w:rPr>
        <w:t>discriminatory</w:t>
      </w:r>
      <w:r>
        <w:rPr>
          <w:spacing w:val="-12"/>
          <w:sz w:val="21"/>
          <w:vertAlign w:val="baseline"/>
        </w:rPr>
        <w:t> </w:t>
      </w:r>
      <w:r>
        <w:rPr>
          <w:sz w:val="21"/>
          <w:vertAlign w:val="baseline"/>
        </w:rPr>
        <w:t>criminal</w:t>
      </w:r>
      <w:r>
        <w:rPr>
          <w:spacing w:val="-11"/>
          <w:sz w:val="21"/>
          <w:vertAlign w:val="baseline"/>
        </w:rPr>
        <w:t> </w:t>
      </w:r>
      <w:r>
        <w:rPr>
          <w:sz w:val="21"/>
          <w:vertAlign w:val="baseline"/>
        </w:rPr>
        <w:t>penalties</w:t>
      </w:r>
      <w:r>
        <w:rPr>
          <w:spacing w:val="-12"/>
          <w:sz w:val="21"/>
          <w:vertAlign w:val="baseline"/>
        </w:rPr>
        <w:t> </w:t>
      </w:r>
      <w:r>
        <w:rPr>
          <w:sz w:val="21"/>
          <w:vertAlign w:val="baseline"/>
        </w:rPr>
        <w:t>are</w:t>
      </w:r>
      <w:r>
        <w:rPr>
          <w:spacing w:val="-12"/>
          <w:sz w:val="21"/>
          <w:vertAlign w:val="baseline"/>
        </w:rPr>
        <w:t> </w:t>
      </w:r>
      <w:r>
        <w:rPr>
          <w:sz w:val="21"/>
          <w:vertAlign w:val="baseline"/>
        </w:rPr>
        <w:t>sometimes</w:t>
      </w:r>
      <w:r>
        <w:rPr>
          <w:spacing w:val="-12"/>
          <w:sz w:val="21"/>
          <w:vertAlign w:val="baseline"/>
        </w:rPr>
        <w:t> </w:t>
      </w:r>
      <w:r>
        <w:rPr>
          <w:sz w:val="21"/>
          <w:vertAlign w:val="baseline"/>
        </w:rPr>
        <w:t>levied on</w:t>
      </w:r>
      <w:r>
        <w:rPr>
          <w:spacing w:val="-12"/>
          <w:sz w:val="21"/>
          <w:vertAlign w:val="baseline"/>
        </w:rPr>
        <w:t> </w:t>
      </w:r>
      <w:r>
        <w:rPr>
          <w:sz w:val="21"/>
          <w:vertAlign w:val="baseline"/>
        </w:rPr>
        <w:t>individuals</w:t>
      </w:r>
      <w:r>
        <w:rPr>
          <w:spacing w:val="-12"/>
          <w:sz w:val="21"/>
          <w:vertAlign w:val="baseline"/>
        </w:rPr>
        <w:t> </w:t>
      </w:r>
      <w:r>
        <w:rPr>
          <w:sz w:val="21"/>
          <w:vertAlign w:val="baseline"/>
        </w:rPr>
        <w:t>living</w:t>
      </w:r>
      <w:r>
        <w:rPr>
          <w:spacing w:val="-12"/>
          <w:sz w:val="21"/>
          <w:vertAlign w:val="baseline"/>
        </w:rPr>
        <w:t> </w:t>
      </w:r>
      <w:r>
        <w:rPr>
          <w:sz w:val="21"/>
          <w:vertAlign w:val="baseline"/>
        </w:rPr>
        <w:t>with</w:t>
      </w:r>
      <w:r>
        <w:rPr>
          <w:spacing w:val="-12"/>
          <w:sz w:val="21"/>
          <w:vertAlign w:val="baseline"/>
        </w:rPr>
        <w:t> </w:t>
      </w:r>
      <w:r>
        <w:rPr>
          <w:sz w:val="21"/>
          <w:vertAlign w:val="baseline"/>
        </w:rPr>
        <w:t>HIV,</w:t>
      </w:r>
      <w:r>
        <w:rPr>
          <w:spacing w:val="-12"/>
          <w:sz w:val="21"/>
          <w:vertAlign w:val="baseline"/>
        </w:rPr>
        <w:t> </w:t>
      </w:r>
      <w:r>
        <w:rPr>
          <w:sz w:val="21"/>
          <w:vertAlign w:val="baseline"/>
        </w:rPr>
        <w:t>particularly</w:t>
      </w:r>
      <w:r>
        <w:rPr>
          <w:spacing w:val="-12"/>
          <w:sz w:val="21"/>
          <w:vertAlign w:val="baseline"/>
        </w:rPr>
        <w:t> </w:t>
      </w:r>
      <w:r>
        <w:rPr>
          <w:sz w:val="21"/>
          <w:vertAlign w:val="baseline"/>
        </w:rPr>
        <w:t>among</w:t>
      </w:r>
      <w:r>
        <w:rPr>
          <w:spacing w:val="-12"/>
          <w:sz w:val="21"/>
          <w:vertAlign w:val="baseline"/>
        </w:rPr>
        <w:t> </w:t>
      </w:r>
      <w:r>
        <w:rPr>
          <w:sz w:val="21"/>
          <w:vertAlign w:val="baseline"/>
        </w:rPr>
        <w:t>LGBTQ</w:t>
      </w:r>
      <w:r>
        <w:rPr>
          <w:spacing w:val="-11"/>
          <w:sz w:val="21"/>
          <w:vertAlign w:val="baseline"/>
        </w:rPr>
        <w:t> </w:t>
      </w:r>
      <w:r>
        <w:rPr>
          <w:sz w:val="21"/>
          <w:vertAlign w:val="baseline"/>
        </w:rPr>
        <w:t>youth</w:t>
      </w:r>
      <w:r>
        <w:rPr>
          <w:spacing w:val="-12"/>
          <w:sz w:val="21"/>
          <w:vertAlign w:val="baseline"/>
        </w:rPr>
        <w:t> </w:t>
      </w:r>
      <w:r>
        <w:rPr>
          <w:sz w:val="21"/>
          <w:vertAlign w:val="baseline"/>
        </w:rPr>
        <w:t>and</w:t>
      </w:r>
      <w:r>
        <w:rPr>
          <w:spacing w:val="-12"/>
          <w:sz w:val="21"/>
          <w:vertAlign w:val="baseline"/>
        </w:rPr>
        <w:t> </w:t>
      </w:r>
      <w:r>
        <w:rPr>
          <w:sz w:val="21"/>
          <w:vertAlign w:val="baseline"/>
        </w:rPr>
        <w:t>youth</w:t>
      </w:r>
      <w:r>
        <w:rPr>
          <w:spacing w:val="-12"/>
          <w:sz w:val="21"/>
          <w:vertAlign w:val="baseline"/>
        </w:rPr>
        <w:t> </w:t>
      </w:r>
      <w:r>
        <w:rPr>
          <w:sz w:val="21"/>
          <w:vertAlign w:val="baseline"/>
        </w:rPr>
        <w:t>of</w:t>
      </w:r>
      <w:r>
        <w:rPr>
          <w:spacing w:val="-12"/>
          <w:sz w:val="21"/>
          <w:vertAlign w:val="baseline"/>
        </w:rPr>
        <w:t> </w:t>
      </w:r>
      <w:r>
        <w:rPr>
          <w:sz w:val="21"/>
          <w:vertAlign w:val="baseline"/>
        </w:rPr>
        <w:t>color,</w:t>
      </w:r>
      <w:r>
        <w:rPr>
          <w:spacing w:val="-12"/>
          <w:sz w:val="21"/>
          <w:vertAlign w:val="baseline"/>
        </w:rPr>
        <w:t> </w:t>
      </w:r>
      <w:r>
        <w:rPr>
          <w:sz w:val="21"/>
          <w:vertAlign w:val="baseline"/>
        </w:rPr>
        <w:t>underscoring</w:t>
      </w:r>
      <w:r>
        <w:rPr>
          <w:spacing w:val="-12"/>
          <w:sz w:val="21"/>
          <w:vertAlign w:val="baseline"/>
        </w:rPr>
        <w:t> </w:t>
      </w:r>
      <w:r>
        <w:rPr>
          <w:sz w:val="21"/>
          <w:vertAlign w:val="baseline"/>
        </w:rPr>
        <w:t>the</w:t>
      </w:r>
      <w:r>
        <w:rPr>
          <w:spacing w:val="-12"/>
          <w:sz w:val="21"/>
          <w:vertAlign w:val="baseline"/>
        </w:rPr>
        <w:t> </w:t>
      </w:r>
      <w:r>
        <w:rPr>
          <w:sz w:val="21"/>
          <w:vertAlign w:val="baseline"/>
        </w:rPr>
        <w:t>urgency for legal reforms to prevent further marginalization and discrimination.</w:t>
      </w:r>
      <w:hyperlink w:history="true" w:anchor="_bookmark403">
        <w:r>
          <w:rPr>
            <w:sz w:val="21"/>
            <w:vertAlign w:val="superscript"/>
          </w:rPr>
          <w:t>87</w:t>
        </w:r>
      </w:hyperlink>
    </w:p>
    <w:p>
      <w:pPr>
        <w:spacing w:line="276" w:lineRule="auto" w:before="240"/>
        <w:ind w:left="463" w:right="241" w:firstLine="0"/>
        <w:jc w:val="both"/>
        <w:rPr>
          <w:sz w:val="21"/>
        </w:rPr>
      </w:pPr>
      <w:r>
        <w:rPr>
          <w:sz w:val="21"/>
        </w:rPr>
        <w:t>Recognizing</w:t>
      </w:r>
      <w:r>
        <w:rPr>
          <w:spacing w:val="-7"/>
          <w:sz w:val="21"/>
        </w:rPr>
        <w:t> </w:t>
      </w:r>
      <w:r>
        <w:rPr>
          <w:sz w:val="21"/>
        </w:rPr>
        <w:t>the</w:t>
      </w:r>
      <w:r>
        <w:rPr>
          <w:spacing w:val="-7"/>
          <w:sz w:val="21"/>
        </w:rPr>
        <w:t> </w:t>
      </w:r>
      <w:r>
        <w:rPr>
          <w:sz w:val="21"/>
        </w:rPr>
        <w:t>disproportionate</w:t>
      </w:r>
      <w:r>
        <w:rPr>
          <w:spacing w:val="-7"/>
          <w:sz w:val="21"/>
        </w:rPr>
        <w:t> </w:t>
      </w:r>
      <w:r>
        <w:rPr>
          <w:sz w:val="21"/>
        </w:rPr>
        <w:t>harm</w:t>
      </w:r>
      <w:r>
        <w:rPr>
          <w:spacing w:val="-8"/>
          <w:sz w:val="21"/>
        </w:rPr>
        <w:t> </w:t>
      </w:r>
      <w:r>
        <w:rPr>
          <w:sz w:val="21"/>
        </w:rPr>
        <w:t>inflicted</w:t>
      </w:r>
      <w:r>
        <w:rPr>
          <w:spacing w:val="-7"/>
          <w:sz w:val="21"/>
        </w:rPr>
        <w:t> </w:t>
      </w:r>
      <w:r>
        <w:rPr>
          <w:sz w:val="21"/>
        </w:rPr>
        <w:t>by</w:t>
      </w:r>
      <w:r>
        <w:rPr>
          <w:spacing w:val="-7"/>
          <w:sz w:val="21"/>
        </w:rPr>
        <w:t> </w:t>
      </w:r>
      <w:r>
        <w:rPr>
          <w:sz w:val="21"/>
        </w:rPr>
        <w:t>laws</w:t>
      </w:r>
      <w:r>
        <w:rPr>
          <w:spacing w:val="-7"/>
          <w:sz w:val="21"/>
        </w:rPr>
        <w:t> </w:t>
      </w:r>
      <w:r>
        <w:rPr>
          <w:sz w:val="21"/>
        </w:rPr>
        <w:t>criminalizing</w:t>
      </w:r>
      <w:r>
        <w:rPr>
          <w:spacing w:val="-7"/>
          <w:sz w:val="21"/>
        </w:rPr>
        <w:t> </w:t>
      </w:r>
      <w:r>
        <w:rPr>
          <w:sz w:val="21"/>
        </w:rPr>
        <w:t>adult</w:t>
      </w:r>
      <w:r>
        <w:rPr>
          <w:spacing w:val="-6"/>
          <w:sz w:val="21"/>
        </w:rPr>
        <w:t> </w:t>
      </w:r>
      <w:r>
        <w:rPr>
          <w:sz w:val="21"/>
        </w:rPr>
        <w:t>sex</w:t>
      </w:r>
      <w:r>
        <w:rPr>
          <w:spacing w:val="-6"/>
          <w:sz w:val="21"/>
        </w:rPr>
        <w:t> </w:t>
      </w:r>
      <w:r>
        <w:rPr>
          <w:sz w:val="21"/>
        </w:rPr>
        <w:t>work</w:t>
      </w:r>
      <w:r>
        <w:rPr>
          <w:spacing w:val="-6"/>
          <w:sz w:val="21"/>
        </w:rPr>
        <w:t> </w:t>
      </w:r>
      <w:r>
        <w:rPr>
          <w:sz w:val="21"/>
        </w:rPr>
        <w:t>and</w:t>
      </w:r>
      <w:r>
        <w:rPr>
          <w:spacing w:val="-8"/>
          <w:sz w:val="21"/>
        </w:rPr>
        <w:t> </w:t>
      </w:r>
      <w:r>
        <w:rPr>
          <w:sz w:val="21"/>
        </w:rPr>
        <w:t>consensual</w:t>
      </w:r>
      <w:r>
        <w:rPr>
          <w:spacing w:val="-7"/>
          <w:sz w:val="21"/>
        </w:rPr>
        <w:t> </w:t>
      </w:r>
      <w:r>
        <w:rPr>
          <w:sz w:val="21"/>
        </w:rPr>
        <w:t>sexual </w:t>
      </w:r>
      <w:bookmarkStart w:name="_bookmark333" w:id="564"/>
      <w:bookmarkEnd w:id="564"/>
      <w:r>
        <w:rPr>
          <w:sz w:val="21"/>
        </w:rPr>
        <w:t>r</w:t>
      </w:r>
      <w:r>
        <w:rPr>
          <w:sz w:val="21"/>
        </w:rPr>
        <w:t>elationships for youth, especially on LGBTQ youth, immigrants, and people of color, the Commission advocates for the passage of legislation aimed at promoting the health and safety of individuals in the sex </w:t>
      </w:r>
      <w:bookmarkStart w:name="_bookmark334" w:id="565"/>
      <w:bookmarkEnd w:id="565"/>
      <w:r>
        <w:rPr>
          <w:sz w:val="21"/>
        </w:rPr>
        <w:t>trade</w:t>
      </w:r>
      <w:r>
        <w:rPr>
          <w:sz w:val="21"/>
        </w:rPr>
        <w:t> and consensual sexual relationships.</w:t>
      </w:r>
    </w:p>
    <w:p>
      <w:pPr>
        <w:spacing w:before="239"/>
        <w:ind w:left="464" w:right="0" w:firstLine="0"/>
        <w:jc w:val="both"/>
        <w:rPr>
          <w:sz w:val="26"/>
        </w:rPr>
      </w:pPr>
      <w:bookmarkStart w:name="Discriminatory Law Enforcement Strategie" w:id="566"/>
      <w:bookmarkEnd w:id="566"/>
      <w:r>
        <w:rPr/>
      </w:r>
      <w:bookmarkStart w:name="_bookmark335" w:id="567"/>
      <w:bookmarkEnd w:id="567"/>
      <w:r>
        <w:rPr/>
      </w:r>
      <w:bookmarkStart w:name="_bookmark336" w:id="568"/>
      <w:bookmarkEnd w:id="568"/>
      <w:r>
        <w:rPr/>
      </w:r>
      <w:r>
        <w:rPr>
          <w:color w:val="404040"/>
          <w:sz w:val="26"/>
        </w:rPr>
        <w:t>Discriminatory</w:t>
      </w:r>
      <w:r>
        <w:rPr>
          <w:color w:val="404040"/>
          <w:spacing w:val="-6"/>
          <w:sz w:val="26"/>
        </w:rPr>
        <w:t> </w:t>
      </w:r>
      <w:r>
        <w:rPr>
          <w:color w:val="404040"/>
          <w:sz w:val="26"/>
        </w:rPr>
        <w:t>Law</w:t>
      </w:r>
      <w:r>
        <w:rPr>
          <w:color w:val="404040"/>
          <w:spacing w:val="-5"/>
          <w:sz w:val="26"/>
        </w:rPr>
        <w:t> </w:t>
      </w:r>
      <w:r>
        <w:rPr>
          <w:color w:val="404040"/>
          <w:sz w:val="26"/>
        </w:rPr>
        <w:t>Enforcement</w:t>
      </w:r>
      <w:r>
        <w:rPr>
          <w:color w:val="404040"/>
          <w:spacing w:val="-4"/>
          <w:sz w:val="26"/>
        </w:rPr>
        <w:t> </w:t>
      </w:r>
      <w:r>
        <w:rPr>
          <w:color w:val="404040"/>
          <w:spacing w:val="-2"/>
          <w:sz w:val="26"/>
        </w:rPr>
        <w:t>Strategies</w:t>
      </w:r>
    </w:p>
    <w:p>
      <w:pPr>
        <w:spacing w:line="276" w:lineRule="auto" w:before="240"/>
        <w:ind w:left="463" w:right="238" w:firstLine="0"/>
        <w:jc w:val="both"/>
        <w:rPr>
          <w:sz w:val="21"/>
        </w:rPr>
      </w:pPr>
      <w:r>
        <w:rPr>
          <w:sz w:val="21"/>
        </w:rPr>
        <w:t>Studies</w:t>
      </w:r>
      <w:r>
        <w:rPr>
          <w:spacing w:val="-8"/>
          <w:sz w:val="21"/>
        </w:rPr>
        <w:t> </w:t>
      </w:r>
      <w:r>
        <w:rPr>
          <w:sz w:val="21"/>
        </w:rPr>
        <w:t>show</w:t>
      </w:r>
      <w:r>
        <w:rPr>
          <w:spacing w:val="-8"/>
          <w:sz w:val="21"/>
        </w:rPr>
        <w:t> </w:t>
      </w:r>
      <w:r>
        <w:rPr>
          <w:sz w:val="21"/>
        </w:rPr>
        <w:t>that</w:t>
      </w:r>
      <w:r>
        <w:rPr>
          <w:spacing w:val="-9"/>
          <w:sz w:val="21"/>
        </w:rPr>
        <w:t> </w:t>
      </w:r>
      <w:r>
        <w:rPr>
          <w:sz w:val="21"/>
        </w:rPr>
        <w:t>prejudice</w:t>
      </w:r>
      <w:r>
        <w:rPr>
          <w:spacing w:val="-8"/>
          <w:sz w:val="21"/>
        </w:rPr>
        <w:t> </w:t>
      </w:r>
      <w:r>
        <w:rPr>
          <w:sz w:val="21"/>
        </w:rPr>
        <w:t>and</w:t>
      </w:r>
      <w:r>
        <w:rPr>
          <w:spacing w:val="-8"/>
          <w:sz w:val="21"/>
        </w:rPr>
        <w:t> </w:t>
      </w:r>
      <w:r>
        <w:rPr>
          <w:sz w:val="21"/>
        </w:rPr>
        <w:t>discrimination</w:t>
      </w:r>
      <w:r>
        <w:rPr>
          <w:spacing w:val="-8"/>
          <w:sz w:val="21"/>
        </w:rPr>
        <w:t> </w:t>
      </w:r>
      <w:r>
        <w:rPr>
          <w:sz w:val="21"/>
        </w:rPr>
        <w:t>can</w:t>
      </w:r>
      <w:r>
        <w:rPr>
          <w:spacing w:val="-8"/>
          <w:sz w:val="21"/>
        </w:rPr>
        <w:t> </w:t>
      </w:r>
      <w:r>
        <w:rPr>
          <w:sz w:val="21"/>
        </w:rPr>
        <w:t>guide</w:t>
      </w:r>
      <w:r>
        <w:rPr>
          <w:spacing w:val="-8"/>
          <w:sz w:val="21"/>
        </w:rPr>
        <w:t> </w:t>
      </w:r>
      <w:r>
        <w:rPr>
          <w:sz w:val="21"/>
        </w:rPr>
        <w:t>the</w:t>
      </w:r>
      <w:r>
        <w:rPr>
          <w:spacing w:val="-8"/>
          <w:sz w:val="21"/>
        </w:rPr>
        <w:t> </w:t>
      </w:r>
      <w:r>
        <w:rPr>
          <w:sz w:val="21"/>
        </w:rPr>
        <w:t>actions</w:t>
      </w:r>
      <w:r>
        <w:rPr>
          <w:spacing w:val="-9"/>
          <w:sz w:val="21"/>
        </w:rPr>
        <w:t> </w:t>
      </w:r>
      <w:r>
        <w:rPr>
          <w:sz w:val="21"/>
        </w:rPr>
        <w:t>of</w:t>
      </w:r>
      <w:r>
        <w:rPr>
          <w:spacing w:val="-8"/>
          <w:sz w:val="21"/>
        </w:rPr>
        <w:t> </w:t>
      </w:r>
      <w:r>
        <w:rPr>
          <w:sz w:val="21"/>
        </w:rPr>
        <w:t>law</w:t>
      </w:r>
      <w:r>
        <w:rPr>
          <w:spacing w:val="-8"/>
          <w:sz w:val="21"/>
        </w:rPr>
        <w:t> </w:t>
      </w:r>
      <w:r>
        <w:rPr>
          <w:sz w:val="21"/>
        </w:rPr>
        <w:t>enforcement,</w:t>
      </w:r>
      <w:r>
        <w:rPr>
          <w:spacing w:val="-8"/>
          <w:sz w:val="21"/>
        </w:rPr>
        <w:t> </w:t>
      </w:r>
      <w:r>
        <w:rPr>
          <w:sz w:val="21"/>
        </w:rPr>
        <w:t>leading</w:t>
      </w:r>
      <w:r>
        <w:rPr>
          <w:spacing w:val="-10"/>
          <w:sz w:val="21"/>
        </w:rPr>
        <w:t> </w:t>
      </w:r>
      <w:r>
        <w:rPr>
          <w:sz w:val="21"/>
        </w:rPr>
        <w:t>to</w:t>
      </w:r>
      <w:r>
        <w:rPr>
          <w:spacing w:val="-8"/>
          <w:sz w:val="21"/>
        </w:rPr>
        <w:t> </w:t>
      </w:r>
      <w:r>
        <w:rPr>
          <w:sz w:val="21"/>
        </w:rPr>
        <w:t>LGBTQ </w:t>
      </w:r>
      <w:bookmarkStart w:name="_bookmark337" w:id="569"/>
      <w:bookmarkEnd w:id="569"/>
      <w:r>
        <w:rPr>
          <w:sz w:val="21"/>
        </w:rPr>
        <w:t>y</w:t>
      </w:r>
      <w:r>
        <w:rPr>
          <w:sz w:val="21"/>
        </w:rPr>
        <w:t>ouths, especially girls and those of color, being disproportionately targeted. </w:t>
      </w:r>
      <w:hyperlink w:history="true" w:anchor="_bookmark404">
        <w:r>
          <w:rPr>
            <w:sz w:val="21"/>
            <w:vertAlign w:val="superscript"/>
          </w:rPr>
          <w:t>88</w:t>
        </w:r>
      </w:hyperlink>
      <w:r>
        <w:rPr>
          <w:sz w:val="21"/>
          <w:vertAlign w:val="baseline"/>
        </w:rPr>
        <w:t> LGBTQ individuals, </w:t>
      </w:r>
      <w:bookmarkStart w:name="_bookmark338" w:id="570"/>
      <w:bookmarkEnd w:id="570"/>
      <w:r>
        <w:rPr>
          <w:sz w:val="21"/>
          <w:vertAlign w:val="baseline"/>
        </w:rPr>
        <w:t>e</w:t>
      </w:r>
      <w:r>
        <w:rPr>
          <w:sz w:val="21"/>
          <w:vertAlign w:val="baseline"/>
        </w:rPr>
        <w:t>specially those from minority backgrounds, often encounter adverse reactions from police. A national survey discovered that 31% of LGBTQ victims of hate-driven violence experienced hostile responses from </w:t>
      </w:r>
      <w:bookmarkStart w:name="_bookmark339" w:id="571"/>
      <w:bookmarkEnd w:id="571"/>
      <w:r>
        <w:rPr>
          <w:sz w:val="21"/>
          <w:vertAlign w:val="baseline"/>
        </w:rPr>
        <w:t>the</w:t>
      </w:r>
      <w:r>
        <w:rPr>
          <w:sz w:val="21"/>
          <w:vertAlign w:val="baseline"/>
        </w:rPr>
        <w:t> police officers they approached, and 35% reported police indifference towards their victimization.</w:t>
      </w:r>
      <w:hyperlink w:history="true" w:anchor="_bookmark405">
        <w:r>
          <w:rPr>
            <w:sz w:val="21"/>
            <w:vertAlign w:val="superscript"/>
          </w:rPr>
          <w:t>89</w:t>
        </w:r>
      </w:hyperlink>
      <w:r>
        <w:rPr>
          <w:sz w:val="21"/>
          <w:vertAlign w:val="baseline"/>
        </w:rPr>
        <w:t> </w:t>
      </w:r>
      <w:bookmarkStart w:name="_bookmark340" w:id="572"/>
      <w:bookmarkEnd w:id="572"/>
      <w:r>
        <w:rPr>
          <w:sz w:val="21"/>
          <w:vertAlign w:val="baseline"/>
        </w:rPr>
        <w:t>T</w:t>
      </w:r>
      <w:r>
        <w:rPr>
          <w:sz w:val="21"/>
          <w:vertAlign w:val="baseline"/>
        </w:rPr>
        <w:t>ransgender victims of hate crimes notably faced higher instances of violence from police compared to </w:t>
      </w:r>
      <w:bookmarkStart w:name="_bookmark341" w:id="573"/>
      <w:bookmarkEnd w:id="573"/>
      <w:r>
        <w:rPr>
          <w:sz w:val="21"/>
          <w:vertAlign w:val="baseline"/>
        </w:rPr>
        <w:t>o</w:t>
      </w:r>
      <w:r>
        <w:rPr>
          <w:sz w:val="21"/>
          <w:vertAlign w:val="baseline"/>
        </w:rPr>
        <w:t>thers, with Black LGBTQ individuals experiencing police use of force nearly three times more frequently than other victims.</w:t>
      </w:r>
      <w:hyperlink w:history="true" w:anchor="_bookmark406">
        <w:r>
          <w:rPr>
            <w:sz w:val="21"/>
            <w:vertAlign w:val="superscript"/>
          </w:rPr>
          <w:t>90</w:t>
        </w:r>
      </w:hyperlink>
    </w:p>
    <w:p>
      <w:pPr>
        <w:spacing w:line="276" w:lineRule="auto" w:before="240"/>
        <w:ind w:left="463" w:right="240" w:firstLine="0"/>
        <w:jc w:val="both"/>
        <w:rPr>
          <w:sz w:val="21"/>
        </w:rPr>
      </w:pPr>
      <w:bookmarkStart w:name="_bookmark342" w:id="574"/>
      <w:bookmarkEnd w:id="574"/>
      <w:r>
        <w:rPr/>
      </w:r>
      <w:bookmarkStart w:name="_bookmark343" w:id="575"/>
      <w:bookmarkEnd w:id="575"/>
      <w:r>
        <w:rPr/>
      </w:r>
      <w:bookmarkStart w:name="_bookmark344" w:id="576"/>
      <w:bookmarkEnd w:id="576"/>
      <w:r>
        <w:rPr/>
      </w:r>
      <w:r>
        <w:rPr>
          <w:sz w:val="21"/>
        </w:rPr>
        <w:t>In addition, it</w:t>
      </w:r>
      <w:r>
        <w:rPr>
          <w:spacing w:val="-2"/>
          <w:sz w:val="21"/>
        </w:rPr>
        <w:t> </w:t>
      </w:r>
      <w:r>
        <w:rPr>
          <w:sz w:val="21"/>
        </w:rPr>
        <w:t>is likely that many hate crimes go unreported as</w:t>
      </w:r>
      <w:r>
        <w:rPr>
          <w:spacing w:val="-1"/>
          <w:sz w:val="21"/>
        </w:rPr>
        <w:t> </w:t>
      </w:r>
      <w:r>
        <w:rPr>
          <w:sz w:val="21"/>
        </w:rPr>
        <w:t>there</w:t>
      </w:r>
      <w:r>
        <w:rPr>
          <w:spacing w:val="-1"/>
          <w:sz w:val="21"/>
        </w:rPr>
        <w:t> </w:t>
      </w:r>
      <w:r>
        <w:rPr>
          <w:sz w:val="21"/>
        </w:rPr>
        <w:t>exists significant differences between recorded hate crime statistics and reports from victims.</w:t>
      </w:r>
      <w:hyperlink w:history="true" w:anchor="_bookmark407">
        <w:r>
          <w:rPr>
            <w:sz w:val="21"/>
            <w:vertAlign w:val="superscript"/>
          </w:rPr>
          <w:t>91</w:t>
        </w:r>
      </w:hyperlink>
      <w:r>
        <w:rPr>
          <w:spacing w:val="-2"/>
          <w:sz w:val="21"/>
          <w:vertAlign w:val="baseline"/>
        </w:rPr>
        <w:t> </w:t>
      </w:r>
      <w:r>
        <w:rPr>
          <w:sz w:val="21"/>
          <w:vertAlign w:val="baseline"/>
        </w:rPr>
        <w:t>LGBTQ individuals often hesitate to report hate </w:t>
      </w:r>
      <w:bookmarkStart w:name="_bookmark345" w:id="577"/>
      <w:bookmarkEnd w:id="577"/>
      <w:r>
        <w:rPr>
          <w:sz w:val="21"/>
          <w:vertAlign w:val="baseline"/>
        </w:rPr>
        <w:t>c</w:t>
      </w:r>
      <w:r>
        <w:rPr>
          <w:sz w:val="21"/>
          <w:vertAlign w:val="baseline"/>
        </w:rPr>
        <w:t>rimes due to fears for their safety and the anticipated negative response from law enforcement.</w:t>
      </w:r>
      <w:hyperlink w:history="true" w:anchor="_bookmark408">
        <w:r>
          <w:rPr>
            <w:sz w:val="21"/>
            <w:vertAlign w:val="superscript"/>
          </w:rPr>
          <w:t>92</w:t>
        </w:r>
      </w:hyperlink>
      <w:r>
        <w:rPr>
          <w:spacing w:val="-2"/>
          <w:sz w:val="21"/>
          <w:vertAlign w:val="baseline"/>
        </w:rPr>
        <w:t> </w:t>
      </w:r>
      <w:r>
        <w:rPr>
          <w:sz w:val="21"/>
          <w:vertAlign w:val="baseline"/>
        </w:rPr>
        <w:t>Law enforcement officers may be hesitant to investigate these crimes due to unease in dealing with LGBTQ </w:t>
      </w:r>
      <w:bookmarkStart w:name="_bookmark346" w:id="578"/>
      <w:bookmarkEnd w:id="578"/>
      <w:r>
        <w:rPr>
          <w:sz w:val="21"/>
          <w:vertAlign w:val="baseline"/>
        </w:rPr>
        <w:t>i</w:t>
      </w:r>
      <w:r>
        <w:rPr>
          <w:sz w:val="21"/>
          <w:vertAlign w:val="baseline"/>
        </w:rPr>
        <w:t>ndividuals and a lack of definitive instructions on hate crime case protocol.</w:t>
      </w:r>
    </w:p>
    <w:p>
      <w:pPr>
        <w:spacing w:before="240"/>
        <w:ind w:left="464" w:right="0" w:firstLine="0"/>
        <w:jc w:val="both"/>
        <w:rPr>
          <w:sz w:val="28"/>
        </w:rPr>
      </w:pPr>
      <w:bookmarkStart w:name="Experiences of LGBTQ Youth in the Crimin" w:id="579"/>
      <w:bookmarkEnd w:id="579"/>
      <w:r>
        <w:rPr/>
      </w:r>
      <w:bookmarkStart w:name="_bookmark347" w:id="580"/>
      <w:bookmarkEnd w:id="580"/>
      <w:r>
        <w:rPr/>
      </w:r>
      <w:bookmarkStart w:name="_bookmark348" w:id="581"/>
      <w:bookmarkEnd w:id="581"/>
      <w:r>
        <w:rPr/>
      </w:r>
      <w:r>
        <w:rPr>
          <w:color w:val="365F91"/>
          <w:sz w:val="28"/>
        </w:rPr>
        <w:t>Experiences</w:t>
      </w:r>
      <w:r>
        <w:rPr>
          <w:color w:val="365F91"/>
          <w:spacing w:val="-8"/>
          <w:sz w:val="28"/>
        </w:rPr>
        <w:t> </w:t>
      </w:r>
      <w:r>
        <w:rPr>
          <w:color w:val="365F91"/>
          <w:sz w:val="28"/>
        </w:rPr>
        <w:t>of</w:t>
      </w:r>
      <w:r>
        <w:rPr>
          <w:color w:val="365F91"/>
          <w:spacing w:val="-8"/>
          <w:sz w:val="28"/>
        </w:rPr>
        <w:t> </w:t>
      </w:r>
      <w:r>
        <w:rPr>
          <w:color w:val="365F91"/>
          <w:sz w:val="28"/>
        </w:rPr>
        <w:t>LGBTQ</w:t>
      </w:r>
      <w:r>
        <w:rPr>
          <w:color w:val="365F91"/>
          <w:spacing w:val="-8"/>
          <w:sz w:val="28"/>
        </w:rPr>
        <w:t> </w:t>
      </w:r>
      <w:r>
        <w:rPr>
          <w:color w:val="365F91"/>
          <w:sz w:val="28"/>
        </w:rPr>
        <w:t>Youth</w:t>
      </w:r>
      <w:r>
        <w:rPr>
          <w:color w:val="365F91"/>
          <w:spacing w:val="-9"/>
          <w:sz w:val="28"/>
        </w:rPr>
        <w:t> </w:t>
      </w:r>
      <w:r>
        <w:rPr>
          <w:color w:val="365F91"/>
          <w:sz w:val="28"/>
        </w:rPr>
        <w:t>in</w:t>
      </w:r>
      <w:r>
        <w:rPr>
          <w:color w:val="365F91"/>
          <w:spacing w:val="-8"/>
          <w:sz w:val="28"/>
        </w:rPr>
        <w:t> </w:t>
      </w:r>
      <w:r>
        <w:rPr>
          <w:color w:val="365F91"/>
          <w:sz w:val="28"/>
        </w:rPr>
        <w:t>the</w:t>
      </w:r>
      <w:r>
        <w:rPr>
          <w:color w:val="365F91"/>
          <w:spacing w:val="-8"/>
          <w:sz w:val="28"/>
        </w:rPr>
        <w:t> </w:t>
      </w:r>
      <w:r>
        <w:rPr>
          <w:color w:val="365F91"/>
          <w:sz w:val="28"/>
        </w:rPr>
        <w:t>Criminal</w:t>
      </w:r>
      <w:r>
        <w:rPr>
          <w:color w:val="365F91"/>
          <w:spacing w:val="-8"/>
          <w:sz w:val="28"/>
        </w:rPr>
        <w:t> </w:t>
      </w:r>
      <w:r>
        <w:rPr>
          <w:color w:val="365F91"/>
          <w:sz w:val="28"/>
        </w:rPr>
        <w:t>Legal</w:t>
      </w:r>
      <w:r>
        <w:rPr>
          <w:color w:val="365F91"/>
          <w:spacing w:val="-8"/>
          <w:sz w:val="28"/>
        </w:rPr>
        <w:t> </w:t>
      </w:r>
      <w:r>
        <w:rPr>
          <w:color w:val="365F91"/>
          <w:spacing w:val="-2"/>
          <w:sz w:val="28"/>
        </w:rPr>
        <w:t>System</w:t>
      </w:r>
    </w:p>
    <w:p>
      <w:pPr>
        <w:spacing w:line="276" w:lineRule="auto" w:before="241"/>
        <w:ind w:left="463" w:right="239" w:firstLine="0"/>
        <w:jc w:val="both"/>
        <w:rPr>
          <w:sz w:val="21"/>
        </w:rPr>
      </w:pPr>
      <w:bookmarkStart w:name="_bookmark349" w:id="582"/>
      <w:bookmarkEnd w:id="582"/>
      <w:r>
        <w:rPr/>
      </w:r>
      <w:r>
        <w:rPr>
          <w:sz w:val="21"/>
        </w:rPr>
        <w:t>LGBTQ youth face systemic challenges and discrimination throughout the pre-trial, trial, and incarceration phases within both juvenile and criminal legal systems.</w:t>
      </w:r>
      <w:hyperlink w:history="true" w:anchor="_bookmark409">
        <w:r>
          <w:rPr>
            <w:sz w:val="21"/>
            <w:vertAlign w:val="superscript"/>
          </w:rPr>
          <w:t>93</w:t>
        </w:r>
      </w:hyperlink>
      <w:r>
        <w:rPr>
          <w:spacing w:val="-2"/>
          <w:sz w:val="21"/>
          <w:vertAlign w:val="baseline"/>
        </w:rPr>
        <w:t> </w:t>
      </w:r>
      <w:r>
        <w:rPr>
          <w:sz w:val="21"/>
          <w:vertAlign w:val="baseline"/>
        </w:rPr>
        <w:t>Research, including findings from the Williams Institute, reveals that LGBTQ youth, particularly those of color, endure longer periods within the juvenile</w:t>
      </w:r>
    </w:p>
    <w:p>
      <w:pPr>
        <w:spacing w:after="0" w:line="276" w:lineRule="auto"/>
        <w:jc w:val="both"/>
        <w:rPr>
          <w:sz w:val="21"/>
        </w:rPr>
        <w:sectPr>
          <w:pgSz w:w="12240" w:h="15840"/>
          <w:pgMar w:header="763" w:footer="1041" w:top="1360" w:bottom="1240" w:left="1120" w:right="1340"/>
        </w:sectPr>
      </w:pPr>
    </w:p>
    <w:p>
      <w:pPr>
        <w:spacing w:line="276" w:lineRule="auto" w:before="65"/>
        <w:ind w:left="463" w:right="239" w:firstLine="0"/>
        <w:jc w:val="both"/>
        <w:rPr>
          <w:sz w:val="21"/>
        </w:rPr>
      </w:pPr>
      <w:r>
        <w:rPr>
          <w:sz w:val="21"/>
        </w:rPr>
        <w:t>legal</w:t>
      </w:r>
      <w:r>
        <w:rPr>
          <w:spacing w:val="-3"/>
          <w:sz w:val="21"/>
        </w:rPr>
        <w:t> </w:t>
      </w:r>
      <w:r>
        <w:rPr>
          <w:sz w:val="21"/>
        </w:rPr>
        <w:t>system</w:t>
      </w:r>
      <w:r>
        <w:rPr>
          <w:spacing w:val="-3"/>
          <w:sz w:val="21"/>
        </w:rPr>
        <w:t> </w:t>
      </w:r>
      <w:r>
        <w:rPr>
          <w:sz w:val="21"/>
        </w:rPr>
        <w:t>and</w:t>
      </w:r>
      <w:r>
        <w:rPr>
          <w:spacing w:val="-3"/>
          <w:sz w:val="21"/>
        </w:rPr>
        <w:t> </w:t>
      </w:r>
      <w:r>
        <w:rPr>
          <w:sz w:val="21"/>
        </w:rPr>
        <w:t>are</w:t>
      </w:r>
      <w:r>
        <w:rPr>
          <w:spacing w:val="-4"/>
          <w:sz w:val="21"/>
        </w:rPr>
        <w:t> </w:t>
      </w:r>
      <w:r>
        <w:rPr>
          <w:sz w:val="21"/>
        </w:rPr>
        <w:t>at</w:t>
      </w:r>
      <w:r>
        <w:rPr>
          <w:spacing w:val="-4"/>
          <w:sz w:val="21"/>
        </w:rPr>
        <w:t> </w:t>
      </w:r>
      <w:r>
        <w:rPr>
          <w:sz w:val="21"/>
        </w:rPr>
        <w:t>a</w:t>
      </w:r>
      <w:r>
        <w:rPr>
          <w:spacing w:val="-3"/>
          <w:sz w:val="21"/>
        </w:rPr>
        <w:t> </w:t>
      </w:r>
      <w:r>
        <w:rPr>
          <w:sz w:val="21"/>
        </w:rPr>
        <w:t>higher</w:t>
      </w:r>
      <w:r>
        <w:rPr>
          <w:spacing w:val="-3"/>
          <w:sz w:val="21"/>
        </w:rPr>
        <w:t> </w:t>
      </w:r>
      <w:r>
        <w:rPr>
          <w:sz w:val="21"/>
        </w:rPr>
        <w:t>risk</w:t>
      </w:r>
      <w:r>
        <w:rPr>
          <w:spacing w:val="-3"/>
          <w:sz w:val="21"/>
        </w:rPr>
        <w:t> </w:t>
      </w:r>
      <w:r>
        <w:rPr>
          <w:sz w:val="21"/>
        </w:rPr>
        <w:t>of</w:t>
      </w:r>
      <w:r>
        <w:rPr>
          <w:spacing w:val="-4"/>
          <w:sz w:val="21"/>
        </w:rPr>
        <w:t> </w:t>
      </w:r>
      <w:r>
        <w:rPr>
          <w:sz w:val="21"/>
        </w:rPr>
        <w:t>facing</w:t>
      </w:r>
      <w:r>
        <w:rPr>
          <w:spacing w:val="-4"/>
          <w:sz w:val="21"/>
        </w:rPr>
        <w:t> </w:t>
      </w:r>
      <w:r>
        <w:rPr>
          <w:sz w:val="21"/>
        </w:rPr>
        <w:t>discrimination</w:t>
      </w:r>
      <w:r>
        <w:rPr>
          <w:spacing w:val="-3"/>
          <w:sz w:val="21"/>
        </w:rPr>
        <w:t> </w:t>
      </w:r>
      <w:r>
        <w:rPr>
          <w:sz w:val="21"/>
        </w:rPr>
        <w:t>and</w:t>
      </w:r>
      <w:r>
        <w:rPr>
          <w:spacing w:val="-3"/>
          <w:sz w:val="21"/>
        </w:rPr>
        <w:t> </w:t>
      </w:r>
      <w:r>
        <w:rPr>
          <w:sz w:val="21"/>
        </w:rPr>
        <w:t>violence</w:t>
      </w:r>
      <w:r>
        <w:rPr>
          <w:spacing w:val="-3"/>
          <w:sz w:val="21"/>
        </w:rPr>
        <w:t> </w:t>
      </w:r>
      <w:r>
        <w:rPr>
          <w:sz w:val="21"/>
        </w:rPr>
        <w:t>while</w:t>
      </w:r>
      <w:r>
        <w:rPr>
          <w:spacing w:val="-3"/>
          <w:sz w:val="21"/>
        </w:rPr>
        <w:t> </w:t>
      </w:r>
      <w:r>
        <w:rPr>
          <w:sz w:val="21"/>
        </w:rPr>
        <w:t>detained</w:t>
      </w:r>
      <w:r>
        <w:rPr>
          <w:spacing w:val="-3"/>
          <w:sz w:val="21"/>
        </w:rPr>
        <w:t> </w:t>
      </w:r>
      <w:r>
        <w:rPr>
          <w:sz w:val="21"/>
        </w:rPr>
        <w:t>or</w:t>
      </w:r>
      <w:r>
        <w:rPr>
          <w:spacing w:val="-3"/>
          <w:sz w:val="21"/>
        </w:rPr>
        <w:t> </w:t>
      </w:r>
      <w:r>
        <w:rPr>
          <w:sz w:val="21"/>
        </w:rPr>
        <w:t>incarcerated.</w:t>
      </w:r>
      <w:hyperlink w:history="true" w:anchor="_bookmark410">
        <w:r>
          <w:rPr>
            <w:sz w:val="21"/>
            <w:vertAlign w:val="superscript"/>
          </w:rPr>
          <w:t>94</w:t>
        </w:r>
      </w:hyperlink>
      <w:r>
        <w:rPr>
          <w:sz w:val="21"/>
          <w:vertAlign w:val="baseline"/>
        </w:rPr>
        <w:t> </w:t>
      </w:r>
      <w:bookmarkStart w:name="_bookmark350" w:id="583"/>
      <w:bookmarkEnd w:id="583"/>
      <w:r>
        <w:rPr>
          <w:sz w:val="21"/>
          <w:vertAlign w:val="baseline"/>
        </w:rPr>
        <w:t>No</w:t>
      </w:r>
      <w:r>
        <w:rPr>
          <w:sz w:val="21"/>
          <w:vertAlign w:val="baseline"/>
        </w:rPr>
        <w:t>tably, LGBTQ</w:t>
      </w:r>
      <w:r>
        <w:rPr>
          <w:spacing w:val="-1"/>
          <w:sz w:val="21"/>
          <w:vertAlign w:val="baseline"/>
        </w:rPr>
        <w:t> </w:t>
      </w:r>
      <w:r>
        <w:rPr>
          <w:sz w:val="21"/>
          <w:vertAlign w:val="baseline"/>
        </w:rPr>
        <w:t>youth</w:t>
      </w:r>
      <w:r>
        <w:rPr>
          <w:spacing w:val="-1"/>
          <w:sz w:val="21"/>
          <w:vertAlign w:val="baseline"/>
        </w:rPr>
        <w:t> </w:t>
      </w:r>
      <w:r>
        <w:rPr>
          <w:sz w:val="21"/>
          <w:vertAlign w:val="baseline"/>
        </w:rPr>
        <w:t>are</w:t>
      </w:r>
      <w:r>
        <w:rPr>
          <w:spacing w:val="-1"/>
          <w:sz w:val="21"/>
          <w:vertAlign w:val="baseline"/>
        </w:rPr>
        <w:t> </w:t>
      </w:r>
      <w:r>
        <w:rPr>
          <w:sz w:val="21"/>
          <w:vertAlign w:val="baseline"/>
        </w:rPr>
        <w:t>significantly</w:t>
      </w:r>
      <w:r>
        <w:rPr>
          <w:spacing w:val="-1"/>
          <w:sz w:val="21"/>
          <w:vertAlign w:val="baseline"/>
        </w:rPr>
        <w:t> </w:t>
      </w:r>
      <w:r>
        <w:rPr>
          <w:sz w:val="21"/>
          <w:vertAlign w:val="baseline"/>
        </w:rPr>
        <w:t>more</w:t>
      </w:r>
      <w:r>
        <w:rPr>
          <w:spacing w:val="-1"/>
          <w:sz w:val="21"/>
          <w:vertAlign w:val="baseline"/>
        </w:rPr>
        <w:t> </w:t>
      </w:r>
      <w:r>
        <w:rPr>
          <w:sz w:val="21"/>
          <w:vertAlign w:val="baseline"/>
        </w:rPr>
        <w:t>likely</w:t>
      </w:r>
      <w:r>
        <w:rPr>
          <w:spacing w:val="-1"/>
          <w:sz w:val="21"/>
          <w:vertAlign w:val="baseline"/>
        </w:rPr>
        <w:t> </w:t>
      </w:r>
      <w:r>
        <w:rPr>
          <w:sz w:val="21"/>
          <w:vertAlign w:val="baseline"/>
        </w:rPr>
        <w:t>to</w:t>
      </w:r>
      <w:r>
        <w:rPr>
          <w:spacing w:val="-1"/>
          <w:sz w:val="21"/>
          <w:vertAlign w:val="baseline"/>
        </w:rPr>
        <w:t> </w:t>
      </w:r>
      <w:r>
        <w:rPr>
          <w:sz w:val="21"/>
          <w:vertAlign w:val="baseline"/>
        </w:rPr>
        <w:t>be</w:t>
      </w:r>
      <w:r>
        <w:rPr>
          <w:spacing w:val="-2"/>
          <w:sz w:val="21"/>
          <w:vertAlign w:val="baseline"/>
        </w:rPr>
        <w:t> </w:t>
      </w:r>
      <w:r>
        <w:rPr>
          <w:sz w:val="21"/>
          <w:vertAlign w:val="baseline"/>
        </w:rPr>
        <w:t>detained</w:t>
      </w:r>
      <w:r>
        <w:rPr>
          <w:spacing w:val="-1"/>
          <w:sz w:val="21"/>
          <w:vertAlign w:val="baseline"/>
        </w:rPr>
        <w:t> </w:t>
      </w:r>
      <w:r>
        <w:rPr>
          <w:sz w:val="21"/>
          <w:vertAlign w:val="baseline"/>
        </w:rPr>
        <w:t>for</w:t>
      </w:r>
      <w:r>
        <w:rPr>
          <w:spacing w:val="-1"/>
          <w:sz w:val="21"/>
          <w:vertAlign w:val="baseline"/>
        </w:rPr>
        <w:t> </w:t>
      </w:r>
      <w:r>
        <w:rPr>
          <w:sz w:val="21"/>
          <w:vertAlign w:val="baseline"/>
        </w:rPr>
        <w:t>extended</w:t>
      </w:r>
      <w:r>
        <w:rPr>
          <w:spacing w:val="-1"/>
          <w:sz w:val="21"/>
          <w:vertAlign w:val="baseline"/>
        </w:rPr>
        <w:t> </w:t>
      </w:r>
      <w:r>
        <w:rPr>
          <w:sz w:val="21"/>
          <w:vertAlign w:val="baseline"/>
        </w:rPr>
        <w:t>periods, with</w:t>
      </w:r>
      <w:r>
        <w:rPr>
          <w:spacing w:val="-1"/>
          <w:sz w:val="21"/>
          <w:vertAlign w:val="baseline"/>
        </w:rPr>
        <w:t> </w:t>
      </w:r>
      <w:r>
        <w:rPr>
          <w:sz w:val="21"/>
          <w:vertAlign w:val="baseline"/>
        </w:rPr>
        <w:t>some</w:t>
      </w:r>
      <w:r>
        <w:rPr>
          <w:spacing w:val="-1"/>
          <w:sz w:val="21"/>
          <w:vertAlign w:val="baseline"/>
        </w:rPr>
        <w:t> </w:t>
      </w:r>
      <w:r>
        <w:rPr>
          <w:sz w:val="21"/>
          <w:vertAlign w:val="baseline"/>
        </w:rPr>
        <w:t>studies </w:t>
      </w:r>
      <w:bookmarkStart w:name="_bookmark351" w:id="584"/>
      <w:bookmarkEnd w:id="584"/>
      <w:r>
        <w:rPr>
          <w:sz w:val="21"/>
          <w:vertAlign w:val="baseline"/>
        </w:rPr>
        <w:t>i</w:t>
      </w:r>
      <w:r>
        <w:rPr>
          <w:sz w:val="21"/>
          <w:vertAlign w:val="baseline"/>
        </w:rPr>
        <w:t>ndicating they have a two- to three-times higher chance of being held for over a year compared to non- LGBTQ peers.</w:t>
      </w:r>
      <w:hyperlink w:history="true" w:anchor="_bookmark411">
        <w:r>
          <w:rPr>
            <w:sz w:val="21"/>
            <w:vertAlign w:val="superscript"/>
          </w:rPr>
          <w:t>95</w:t>
        </w:r>
      </w:hyperlink>
      <w:r>
        <w:rPr>
          <w:spacing w:val="-2"/>
          <w:sz w:val="21"/>
          <w:vertAlign w:val="baseline"/>
        </w:rPr>
        <w:t> </w:t>
      </w:r>
      <w:r>
        <w:rPr>
          <w:sz w:val="21"/>
          <w:vertAlign w:val="baseline"/>
        </w:rPr>
        <w:t>Lengthier detention periods are troubling due to their harmful effects on young people. </w:t>
      </w:r>
      <w:bookmarkStart w:name="_bookmark352" w:id="585"/>
      <w:bookmarkEnd w:id="585"/>
      <w:r>
        <w:rPr>
          <w:sz w:val="21"/>
          <w:vertAlign w:val="baseline"/>
        </w:rPr>
        <w:t>A</w:t>
      </w:r>
      <w:r>
        <w:rPr>
          <w:sz w:val="21"/>
          <w:vertAlign w:val="baseline"/>
        </w:rPr>
        <w:t>part from well-documented risks like the spread of negative peer influences, heightened trauma, and an increased</w:t>
      </w:r>
      <w:r>
        <w:rPr>
          <w:spacing w:val="-6"/>
          <w:sz w:val="21"/>
          <w:vertAlign w:val="baseline"/>
        </w:rPr>
        <w:t> </w:t>
      </w:r>
      <w:r>
        <w:rPr>
          <w:sz w:val="21"/>
          <w:vertAlign w:val="baseline"/>
        </w:rPr>
        <w:t>chance</w:t>
      </w:r>
      <w:r>
        <w:rPr>
          <w:spacing w:val="-6"/>
          <w:sz w:val="21"/>
          <w:vertAlign w:val="baseline"/>
        </w:rPr>
        <w:t> </w:t>
      </w:r>
      <w:r>
        <w:rPr>
          <w:sz w:val="21"/>
          <w:vertAlign w:val="baseline"/>
        </w:rPr>
        <w:t>of</w:t>
      </w:r>
      <w:r>
        <w:rPr>
          <w:spacing w:val="-7"/>
          <w:sz w:val="21"/>
          <w:vertAlign w:val="baseline"/>
        </w:rPr>
        <w:t> </w:t>
      </w:r>
      <w:r>
        <w:rPr>
          <w:sz w:val="21"/>
          <w:vertAlign w:val="baseline"/>
        </w:rPr>
        <w:t>subsequent</w:t>
      </w:r>
      <w:r>
        <w:rPr>
          <w:spacing w:val="-6"/>
          <w:sz w:val="21"/>
          <w:vertAlign w:val="baseline"/>
        </w:rPr>
        <w:t> </w:t>
      </w:r>
      <w:r>
        <w:rPr>
          <w:sz w:val="21"/>
          <w:vertAlign w:val="baseline"/>
        </w:rPr>
        <w:t>legal</w:t>
      </w:r>
      <w:r>
        <w:rPr>
          <w:spacing w:val="-8"/>
          <w:sz w:val="21"/>
          <w:vertAlign w:val="baseline"/>
        </w:rPr>
        <w:t> </w:t>
      </w:r>
      <w:r>
        <w:rPr>
          <w:sz w:val="21"/>
          <w:vertAlign w:val="baseline"/>
        </w:rPr>
        <w:t>troubles,</w:t>
      </w:r>
      <w:r>
        <w:rPr>
          <w:spacing w:val="-6"/>
          <w:sz w:val="21"/>
          <w:vertAlign w:val="baseline"/>
        </w:rPr>
        <w:t> </w:t>
      </w:r>
      <w:r>
        <w:rPr>
          <w:sz w:val="21"/>
          <w:vertAlign w:val="baseline"/>
        </w:rPr>
        <w:t>prolonged</w:t>
      </w:r>
      <w:r>
        <w:rPr>
          <w:spacing w:val="-6"/>
          <w:sz w:val="21"/>
          <w:vertAlign w:val="baseline"/>
        </w:rPr>
        <w:t> </w:t>
      </w:r>
      <w:r>
        <w:rPr>
          <w:sz w:val="21"/>
          <w:vertAlign w:val="baseline"/>
        </w:rPr>
        <w:t>detention</w:t>
      </w:r>
      <w:r>
        <w:rPr>
          <w:spacing w:val="-8"/>
          <w:sz w:val="21"/>
          <w:vertAlign w:val="baseline"/>
        </w:rPr>
        <w:t> </w:t>
      </w:r>
      <w:r>
        <w:rPr>
          <w:sz w:val="21"/>
          <w:vertAlign w:val="baseline"/>
        </w:rPr>
        <w:t>carries</w:t>
      </w:r>
      <w:r>
        <w:rPr>
          <w:spacing w:val="-7"/>
          <w:sz w:val="21"/>
          <w:vertAlign w:val="baseline"/>
        </w:rPr>
        <w:t> </w:t>
      </w:r>
      <w:r>
        <w:rPr>
          <w:sz w:val="21"/>
          <w:vertAlign w:val="baseline"/>
        </w:rPr>
        <w:t>further</w:t>
      </w:r>
      <w:r>
        <w:rPr>
          <w:spacing w:val="-6"/>
          <w:sz w:val="21"/>
          <w:vertAlign w:val="baseline"/>
        </w:rPr>
        <w:t> </w:t>
      </w:r>
      <w:r>
        <w:rPr>
          <w:sz w:val="21"/>
          <w:vertAlign w:val="baseline"/>
        </w:rPr>
        <w:t>adverse</w:t>
      </w:r>
      <w:r>
        <w:rPr>
          <w:spacing w:val="-6"/>
          <w:sz w:val="21"/>
          <w:vertAlign w:val="baseline"/>
        </w:rPr>
        <w:t> </w:t>
      </w:r>
      <w:r>
        <w:rPr>
          <w:sz w:val="21"/>
          <w:vertAlign w:val="baseline"/>
        </w:rPr>
        <w:t>consequences. </w:t>
      </w:r>
      <w:bookmarkStart w:name="_bookmark353" w:id="586"/>
      <w:bookmarkEnd w:id="586"/>
      <w:r>
        <w:rPr>
          <w:sz w:val="21"/>
          <w:vertAlign w:val="baseline"/>
        </w:rPr>
        <w:t>E</w:t>
      </w:r>
      <w:r>
        <w:rPr>
          <w:sz w:val="21"/>
          <w:vertAlign w:val="baseline"/>
        </w:rPr>
        <w:t>xtended time in detention can disrupt a young person's access to ongoing mental and behavioral health services within the community, undermine the effectiveness of rehabilitation programs, postpone the </w:t>
      </w:r>
      <w:bookmarkStart w:name="_bookmark354" w:id="587"/>
      <w:bookmarkEnd w:id="587"/>
      <w:r>
        <w:rPr>
          <w:sz w:val="21"/>
          <w:vertAlign w:val="baseline"/>
        </w:rPr>
        <w:t>pr</w:t>
      </w:r>
      <w:r>
        <w:rPr>
          <w:sz w:val="21"/>
          <w:vertAlign w:val="baseline"/>
        </w:rPr>
        <w:t>ocess of taking accountability, and may even lead to premature death.</w:t>
      </w:r>
      <w:hyperlink w:history="true" w:anchor="_bookmark412">
        <w:r>
          <w:rPr>
            <w:sz w:val="21"/>
            <w:vertAlign w:val="superscript"/>
          </w:rPr>
          <w:t>96</w:t>
        </w:r>
      </w:hyperlink>
    </w:p>
    <w:p>
      <w:pPr>
        <w:spacing w:line="276" w:lineRule="auto" w:before="240"/>
        <w:ind w:left="463" w:right="238" w:firstLine="0"/>
        <w:jc w:val="both"/>
        <w:rPr>
          <w:sz w:val="21"/>
        </w:rPr>
      </w:pPr>
      <w:bookmarkStart w:name="_bookmark355" w:id="588"/>
      <w:bookmarkEnd w:id="588"/>
      <w:r>
        <w:rPr/>
      </w:r>
      <w:r>
        <w:rPr>
          <w:sz w:val="21"/>
        </w:rPr>
        <w:t>The Department of Youth Services (DYS) tracks the sexual orientation, transgender status, and intersex </w:t>
      </w:r>
      <w:bookmarkStart w:name="_bookmark356" w:id="589"/>
      <w:bookmarkEnd w:id="589"/>
      <w:r>
        <w:rPr>
          <w:sz w:val="21"/>
        </w:rPr>
        <w:t>s</w:t>
      </w:r>
      <w:r>
        <w:rPr>
          <w:sz w:val="21"/>
        </w:rPr>
        <w:t>tatus of young people in their care, including during pretrial detention. For 2023 pre-trial detention admissions, DYS found only 6% (47 individuals) identified as LGBTQ.</w:t>
      </w:r>
      <w:hyperlink w:history="true" w:anchor="_bookmark413">
        <w:r>
          <w:rPr>
            <w:sz w:val="21"/>
            <w:vertAlign w:val="superscript"/>
          </w:rPr>
          <w:t>97</w:t>
        </w:r>
      </w:hyperlink>
      <w:r>
        <w:rPr>
          <w:spacing w:val="-2"/>
          <w:sz w:val="21"/>
          <w:vertAlign w:val="baseline"/>
        </w:rPr>
        <w:t> </w:t>
      </w:r>
      <w:r>
        <w:rPr>
          <w:sz w:val="21"/>
          <w:vertAlign w:val="baseline"/>
        </w:rPr>
        <w:t>This figure is lower than national </w:t>
      </w:r>
      <w:bookmarkStart w:name="_bookmark357" w:id="590"/>
      <w:bookmarkEnd w:id="590"/>
      <w:r>
        <w:rPr>
          <w:sz w:val="21"/>
          <w:vertAlign w:val="baseline"/>
        </w:rPr>
        <w:t>a</w:t>
      </w:r>
      <w:r>
        <w:rPr>
          <w:sz w:val="21"/>
          <w:vertAlign w:val="baseline"/>
        </w:rPr>
        <w:t>verages.</w:t>
      </w:r>
      <w:hyperlink w:history="true" w:anchor="_bookmark414">
        <w:r>
          <w:rPr>
            <w:sz w:val="21"/>
            <w:vertAlign w:val="superscript"/>
          </w:rPr>
          <w:t>98</w:t>
        </w:r>
      </w:hyperlink>
      <w:r>
        <w:rPr>
          <w:sz w:val="21"/>
          <w:vertAlign w:val="baseline"/>
        </w:rPr>
        <w:t> The lower rate of LGBTQ+ youth in pretrial detention in Massachusetts might be seen as a </w:t>
      </w:r>
      <w:bookmarkStart w:name="_bookmark358" w:id="591"/>
      <w:bookmarkEnd w:id="591"/>
      <w:r>
        <w:rPr>
          <w:sz w:val="21"/>
          <w:vertAlign w:val="baseline"/>
        </w:rPr>
        <w:t>p</w:t>
      </w:r>
      <w:r>
        <w:rPr>
          <w:sz w:val="21"/>
          <w:vertAlign w:val="baseline"/>
        </w:rPr>
        <w:t>ositive</w:t>
      </w:r>
      <w:r>
        <w:rPr>
          <w:spacing w:val="-10"/>
          <w:sz w:val="21"/>
          <w:vertAlign w:val="baseline"/>
        </w:rPr>
        <w:t> </w:t>
      </w:r>
      <w:r>
        <w:rPr>
          <w:sz w:val="21"/>
          <w:vertAlign w:val="baseline"/>
        </w:rPr>
        <w:t>development,</w:t>
      </w:r>
      <w:r>
        <w:rPr>
          <w:spacing w:val="-11"/>
          <w:sz w:val="21"/>
          <w:vertAlign w:val="baseline"/>
        </w:rPr>
        <w:t> </w:t>
      </w:r>
      <w:r>
        <w:rPr>
          <w:sz w:val="21"/>
          <w:vertAlign w:val="baseline"/>
        </w:rPr>
        <w:t>but</w:t>
      </w:r>
      <w:r>
        <w:rPr>
          <w:spacing w:val="-11"/>
          <w:sz w:val="21"/>
          <w:vertAlign w:val="baseline"/>
        </w:rPr>
        <w:t> </w:t>
      </w:r>
      <w:r>
        <w:rPr>
          <w:sz w:val="21"/>
          <w:vertAlign w:val="baseline"/>
        </w:rPr>
        <w:t>it</w:t>
      </w:r>
      <w:r>
        <w:rPr>
          <w:spacing w:val="-11"/>
          <w:sz w:val="21"/>
          <w:vertAlign w:val="baseline"/>
        </w:rPr>
        <w:t> </w:t>
      </w:r>
      <w:r>
        <w:rPr>
          <w:sz w:val="21"/>
          <w:vertAlign w:val="baseline"/>
        </w:rPr>
        <w:t>could</w:t>
      </w:r>
      <w:r>
        <w:rPr>
          <w:spacing w:val="-11"/>
          <w:sz w:val="21"/>
          <w:vertAlign w:val="baseline"/>
        </w:rPr>
        <w:t> </w:t>
      </w:r>
      <w:r>
        <w:rPr>
          <w:sz w:val="21"/>
          <w:vertAlign w:val="baseline"/>
        </w:rPr>
        <w:t>also</w:t>
      </w:r>
      <w:r>
        <w:rPr>
          <w:spacing w:val="-11"/>
          <w:sz w:val="21"/>
          <w:vertAlign w:val="baseline"/>
        </w:rPr>
        <w:t> </w:t>
      </w:r>
      <w:r>
        <w:rPr>
          <w:sz w:val="21"/>
          <w:vertAlign w:val="baseline"/>
        </w:rPr>
        <w:t>suggest</w:t>
      </w:r>
      <w:r>
        <w:rPr>
          <w:spacing w:val="-10"/>
          <w:sz w:val="21"/>
          <w:vertAlign w:val="baseline"/>
        </w:rPr>
        <w:t> </w:t>
      </w:r>
      <w:r>
        <w:rPr>
          <w:sz w:val="21"/>
          <w:vertAlign w:val="baseline"/>
        </w:rPr>
        <w:t>that</w:t>
      </w:r>
      <w:r>
        <w:rPr>
          <w:spacing w:val="-11"/>
          <w:sz w:val="21"/>
          <w:vertAlign w:val="baseline"/>
        </w:rPr>
        <w:t> </w:t>
      </w:r>
      <w:r>
        <w:rPr>
          <w:sz w:val="21"/>
          <w:vertAlign w:val="baseline"/>
        </w:rPr>
        <w:t>many</w:t>
      </w:r>
      <w:r>
        <w:rPr>
          <w:spacing w:val="-10"/>
          <w:sz w:val="21"/>
          <w:vertAlign w:val="baseline"/>
        </w:rPr>
        <w:t> </w:t>
      </w:r>
      <w:r>
        <w:rPr>
          <w:sz w:val="21"/>
          <w:vertAlign w:val="baseline"/>
        </w:rPr>
        <w:t>detained</w:t>
      </w:r>
      <w:r>
        <w:rPr>
          <w:spacing w:val="-11"/>
          <w:sz w:val="21"/>
          <w:vertAlign w:val="baseline"/>
        </w:rPr>
        <w:t> </w:t>
      </w:r>
      <w:r>
        <w:rPr>
          <w:sz w:val="21"/>
          <w:vertAlign w:val="baseline"/>
        </w:rPr>
        <w:t>youths</w:t>
      </w:r>
      <w:r>
        <w:rPr>
          <w:spacing w:val="-11"/>
          <w:sz w:val="21"/>
          <w:vertAlign w:val="baseline"/>
        </w:rPr>
        <w:t> </w:t>
      </w:r>
      <w:r>
        <w:rPr>
          <w:sz w:val="21"/>
          <w:vertAlign w:val="baseline"/>
        </w:rPr>
        <w:t>choose</w:t>
      </w:r>
      <w:r>
        <w:rPr>
          <w:spacing w:val="-10"/>
          <w:sz w:val="21"/>
          <w:vertAlign w:val="baseline"/>
        </w:rPr>
        <w:t> </w:t>
      </w:r>
      <w:r>
        <w:rPr>
          <w:sz w:val="21"/>
          <w:vertAlign w:val="baseline"/>
        </w:rPr>
        <w:t>not</w:t>
      </w:r>
      <w:r>
        <w:rPr>
          <w:spacing w:val="-10"/>
          <w:sz w:val="21"/>
          <w:vertAlign w:val="baseline"/>
        </w:rPr>
        <w:t> </w:t>
      </w:r>
      <w:r>
        <w:rPr>
          <w:sz w:val="21"/>
          <w:vertAlign w:val="baseline"/>
        </w:rPr>
        <w:t>to</w:t>
      </w:r>
      <w:r>
        <w:rPr>
          <w:spacing w:val="-11"/>
          <w:sz w:val="21"/>
          <w:vertAlign w:val="baseline"/>
        </w:rPr>
        <w:t> </w:t>
      </w:r>
      <w:r>
        <w:rPr>
          <w:sz w:val="21"/>
          <w:vertAlign w:val="baseline"/>
        </w:rPr>
        <w:t>reveal</w:t>
      </w:r>
      <w:r>
        <w:rPr>
          <w:spacing w:val="-11"/>
          <w:sz w:val="21"/>
          <w:vertAlign w:val="baseline"/>
        </w:rPr>
        <w:t> </w:t>
      </w:r>
      <w:r>
        <w:rPr>
          <w:sz w:val="21"/>
          <w:vertAlign w:val="baseline"/>
        </w:rPr>
        <w:t>their</w:t>
      </w:r>
      <w:r>
        <w:rPr>
          <w:spacing w:val="-10"/>
          <w:sz w:val="21"/>
          <w:vertAlign w:val="baseline"/>
        </w:rPr>
        <w:t> </w:t>
      </w:r>
      <w:r>
        <w:rPr>
          <w:sz w:val="21"/>
          <w:vertAlign w:val="baseline"/>
        </w:rPr>
        <w:t>sexual orientation or gender identity during the</w:t>
      </w:r>
      <w:r>
        <w:rPr>
          <w:spacing w:val="-1"/>
          <w:sz w:val="21"/>
          <w:vertAlign w:val="baseline"/>
        </w:rPr>
        <w:t> </w:t>
      </w:r>
      <w:r>
        <w:rPr>
          <w:sz w:val="21"/>
          <w:vertAlign w:val="baseline"/>
        </w:rPr>
        <w:t>intake</w:t>
      </w:r>
      <w:r>
        <w:rPr>
          <w:spacing w:val="-1"/>
          <w:sz w:val="21"/>
          <w:vertAlign w:val="baseline"/>
        </w:rPr>
        <w:t> </w:t>
      </w:r>
      <w:r>
        <w:rPr>
          <w:sz w:val="21"/>
          <w:vertAlign w:val="baseline"/>
        </w:rPr>
        <w:t>process. The discrepancy in the</w:t>
      </w:r>
      <w:r>
        <w:rPr>
          <w:spacing w:val="-1"/>
          <w:sz w:val="21"/>
          <w:vertAlign w:val="baseline"/>
        </w:rPr>
        <w:t> </w:t>
      </w:r>
      <w:r>
        <w:rPr>
          <w:sz w:val="21"/>
          <w:vertAlign w:val="baseline"/>
        </w:rPr>
        <w:t>representation of LGBTQ+ </w:t>
      </w:r>
      <w:bookmarkStart w:name="_bookmark359" w:id="592"/>
      <w:bookmarkEnd w:id="592"/>
      <w:r>
        <w:rPr>
          <w:sz w:val="21"/>
          <w:vertAlign w:val="baseline"/>
        </w:rPr>
        <w:t>y</w:t>
      </w:r>
      <w:r>
        <w:rPr>
          <w:sz w:val="21"/>
          <w:vertAlign w:val="baseline"/>
        </w:rPr>
        <w:t>outh in detention in Massachusetts, whether it be</w:t>
      </w:r>
      <w:r>
        <w:rPr>
          <w:spacing w:val="-1"/>
          <w:sz w:val="21"/>
          <w:vertAlign w:val="baseline"/>
        </w:rPr>
        <w:t> </w:t>
      </w:r>
      <w:r>
        <w:rPr>
          <w:sz w:val="21"/>
          <w:vertAlign w:val="baseline"/>
        </w:rPr>
        <w:t>an</w:t>
      </w:r>
      <w:r>
        <w:rPr>
          <w:spacing w:val="-1"/>
          <w:sz w:val="21"/>
          <w:vertAlign w:val="baseline"/>
        </w:rPr>
        <w:t> </w:t>
      </w:r>
      <w:r>
        <w:rPr>
          <w:sz w:val="21"/>
          <w:vertAlign w:val="baseline"/>
        </w:rPr>
        <w:t>overrepresentation or</w:t>
      </w:r>
      <w:r>
        <w:rPr>
          <w:spacing w:val="-1"/>
          <w:sz w:val="21"/>
          <w:vertAlign w:val="baseline"/>
        </w:rPr>
        <w:t> </w:t>
      </w:r>
      <w:r>
        <w:rPr>
          <w:sz w:val="21"/>
          <w:vertAlign w:val="baseline"/>
        </w:rPr>
        <w:t>underrepresentation, comes with</w:t>
      </w:r>
      <w:r>
        <w:rPr>
          <w:spacing w:val="-10"/>
          <w:sz w:val="21"/>
          <w:vertAlign w:val="baseline"/>
        </w:rPr>
        <w:t> </w:t>
      </w:r>
      <w:r>
        <w:rPr>
          <w:sz w:val="21"/>
          <w:vertAlign w:val="baseline"/>
        </w:rPr>
        <w:t>distinct</w:t>
      </w:r>
      <w:r>
        <w:rPr>
          <w:spacing w:val="-11"/>
          <w:sz w:val="21"/>
          <w:vertAlign w:val="baseline"/>
        </w:rPr>
        <w:t> </w:t>
      </w:r>
      <w:r>
        <w:rPr>
          <w:sz w:val="21"/>
          <w:vertAlign w:val="baseline"/>
        </w:rPr>
        <w:t>reasons</w:t>
      </w:r>
      <w:r>
        <w:rPr>
          <w:spacing w:val="-11"/>
          <w:sz w:val="21"/>
          <w:vertAlign w:val="baseline"/>
        </w:rPr>
        <w:t> </w:t>
      </w:r>
      <w:r>
        <w:rPr>
          <w:sz w:val="21"/>
          <w:vertAlign w:val="baseline"/>
        </w:rPr>
        <w:t>for</w:t>
      </w:r>
      <w:r>
        <w:rPr>
          <w:spacing w:val="-10"/>
          <w:sz w:val="21"/>
          <w:vertAlign w:val="baseline"/>
        </w:rPr>
        <w:t> </w:t>
      </w:r>
      <w:r>
        <w:rPr>
          <w:sz w:val="21"/>
          <w:vertAlign w:val="baseline"/>
        </w:rPr>
        <w:t>their</w:t>
      </w:r>
      <w:r>
        <w:rPr>
          <w:spacing w:val="-10"/>
          <w:sz w:val="21"/>
          <w:vertAlign w:val="baseline"/>
        </w:rPr>
        <w:t> </w:t>
      </w:r>
      <w:r>
        <w:rPr>
          <w:sz w:val="21"/>
          <w:vertAlign w:val="baseline"/>
        </w:rPr>
        <w:t>detention</w:t>
      </w:r>
      <w:r>
        <w:rPr>
          <w:spacing w:val="-11"/>
          <w:sz w:val="21"/>
          <w:vertAlign w:val="baseline"/>
        </w:rPr>
        <w:t> </w:t>
      </w:r>
      <w:r>
        <w:rPr>
          <w:sz w:val="21"/>
          <w:vertAlign w:val="baseline"/>
        </w:rPr>
        <w:t>when</w:t>
      </w:r>
      <w:r>
        <w:rPr>
          <w:spacing w:val="-10"/>
          <w:sz w:val="21"/>
          <w:vertAlign w:val="baseline"/>
        </w:rPr>
        <w:t> </w:t>
      </w:r>
      <w:r>
        <w:rPr>
          <w:sz w:val="21"/>
          <w:vertAlign w:val="baseline"/>
        </w:rPr>
        <w:t>compared</w:t>
      </w:r>
      <w:r>
        <w:rPr>
          <w:spacing w:val="-10"/>
          <w:sz w:val="21"/>
          <w:vertAlign w:val="baseline"/>
        </w:rPr>
        <w:t> </w:t>
      </w:r>
      <w:r>
        <w:rPr>
          <w:sz w:val="21"/>
          <w:vertAlign w:val="baseline"/>
        </w:rPr>
        <w:t>to</w:t>
      </w:r>
      <w:r>
        <w:rPr>
          <w:spacing w:val="-12"/>
          <w:sz w:val="21"/>
          <w:vertAlign w:val="baseline"/>
        </w:rPr>
        <w:t> </w:t>
      </w:r>
      <w:r>
        <w:rPr>
          <w:sz w:val="21"/>
          <w:vertAlign w:val="baseline"/>
        </w:rPr>
        <w:t>non-LGBTQ+</w:t>
      </w:r>
      <w:r>
        <w:rPr>
          <w:spacing w:val="-11"/>
          <w:sz w:val="21"/>
          <w:vertAlign w:val="baseline"/>
        </w:rPr>
        <w:t> </w:t>
      </w:r>
      <w:r>
        <w:rPr>
          <w:sz w:val="21"/>
          <w:vertAlign w:val="baseline"/>
        </w:rPr>
        <w:t>youth.</w:t>
      </w:r>
      <w:hyperlink w:history="true" w:anchor="_bookmark415">
        <w:r>
          <w:rPr>
            <w:sz w:val="21"/>
            <w:vertAlign w:val="superscript"/>
          </w:rPr>
          <w:t>99</w:t>
        </w:r>
      </w:hyperlink>
      <w:r>
        <w:rPr>
          <w:spacing w:val="-3"/>
          <w:sz w:val="21"/>
          <w:vertAlign w:val="baseline"/>
        </w:rPr>
        <w:t> </w:t>
      </w:r>
      <w:r>
        <w:rPr>
          <w:sz w:val="21"/>
          <w:vertAlign w:val="baseline"/>
        </w:rPr>
        <w:t>Among</w:t>
      </w:r>
      <w:r>
        <w:rPr>
          <w:spacing w:val="-11"/>
          <w:sz w:val="21"/>
          <w:vertAlign w:val="baseline"/>
        </w:rPr>
        <w:t> </w:t>
      </w:r>
      <w:r>
        <w:rPr>
          <w:sz w:val="21"/>
          <w:vertAlign w:val="baseline"/>
        </w:rPr>
        <w:t>the</w:t>
      </w:r>
      <w:r>
        <w:rPr>
          <w:spacing w:val="-12"/>
          <w:sz w:val="21"/>
          <w:vertAlign w:val="baseline"/>
        </w:rPr>
        <w:t> </w:t>
      </w:r>
      <w:r>
        <w:rPr>
          <w:sz w:val="21"/>
          <w:vertAlign w:val="baseline"/>
        </w:rPr>
        <w:t>768</w:t>
      </w:r>
      <w:r>
        <w:rPr>
          <w:spacing w:val="-11"/>
          <w:sz w:val="21"/>
          <w:vertAlign w:val="baseline"/>
        </w:rPr>
        <w:t> </w:t>
      </w:r>
      <w:r>
        <w:rPr>
          <w:sz w:val="21"/>
          <w:vertAlign w:val="baseline"/>
        </w:rPr>
        <w:t>detention admissions,</w:t>
      </w:r>
      <w:r>
        <w:rPr>
          <w:spacing w:val="-3"/>
          <w:sz w:val="21"/>
          <w:vertAlign w:val="baseline"/>
        </w:rPr>
        <w:t> </w:t>
      </w:r>
      <w:r>
        <w:rPr>
          <w:sz w:val="21"/>
          <w:vertAlign w:val="baseline"/>
        </w:rPr>
        <w:t>those</w:t>
      </w:r>
      <w:r>
        <w:rPr>
          <w:spacing w:val="-3"/>
          <w:sz w:val="21"/>
          <w:vertAlign w:val="baseline"/>
        </w:rPr>
        <w:t> </w:t>
      </w:r>
      <w:r>
        <w:rPr>
          <w:sz w:val="21"/>
          <w:vertAlign w:val="baseline"/>
        </w:rPr>
        <w:t>who</w:t>
      </w:r>
      <w:r>
        <w:rPr>
          <w:spacing w:val="-3"/>
          <w:sz w:val="21"/>
          <w:vertAlign w:val="baseline"/>
        </w:rPr>
        <w:t> </w:t>
      </w:r>
      <w:r>
        <w:rPr>
          <w:sz w:val="21"/>
          <w:vertAlign w:val="baseline"/>
        </w:rPr>
        <w:t>identified</w:t>
      </w:r>
      <w:r>
        <w:rPr>
          <w:spacing w:val="-3"/>
          <w:sz w:val="21"/>
          <w:vertAlign w:val="baseline"/>
        </w:rPr>
        <w:t> </w:t>
      </w:r>
      <w:r>
        <w:rPr>
          <w:sz w:val="21"/>
          <w:vertAlign w:val="baseline"/>
        </w:rPr>
        <w:t>as</w:t>
      </w:r>
      <w:r>
        <w:rPr>
          <w:spacing w:val="-4"/>
          <w:sz w:val="21"/>
          <w:vertAlign w:val="baseline"/>
        </w:rPr>
        <w:t> </w:t>
      </w:r>
      <w:r>
        <w:rPr>
          <w:sz w:val="21"/>
          <w:vertAlign w:val="baseline"/>
        </w:rPr>
        <w:t>LGBTQ+</w:t>
      </w:r>
      <w:r>
        <w:rPr>
          <w:spacing w:val="-3"/>
          <w:sz w:val="21"/>
          <w:vertAlign w:val="baseline"/>
        </w:rPr>
        <w:t> </w:t>
      </w:r>
      <w:r>
        <w:rPr>
          <w:sz w:val="21"/>
          <w:vertAlign w:val="baseline"/>
        </w:rPr>
        <w:t>were</w:t>
      </w:r>
      <w:r>
        <w:rPr>
          <w:spacing w:val="-3"/>
          <w:sz w:val="21"/>
          <w:vertAlign w:val="baseline"/>
        </w:rPr>
        <w:t> </w:t>
      </w:r>
      <w:r>
        <w:rPr>
          <w:sz w:val="21"/>
          <w:vertAlign w:val="baseline"/>
        </w:rPr>
        <w:t>far</w:t>
      </w:r>
      <w:r>
        <w:rPr>
          <w:spacing w:val="-3"/>
          <w:sz w:val="21"/>
          <w:vertAlign w:val="baseline"/>
        </w:rPr>
        <w:t> </w:t>
      </w:r>
      <w:r>
        <w:rPr>
          <w:sz w:val="21"/>
          <w:vertAlign w:val="baseline"/>
        </w:rPr>
        <w:t>more</w:t>
      </w:r>
      <w:r>
        <w:rPr>
          <w:spacing w:val="-3"/>
          <w:sz w:val="21"/>
          <w:vertAlign w:val="baseline"/>
        </w:rPr>
        <w:t> </w:t>
      </w:r>
      <w:r>
        <w:rPr>
          <w:sz w:val="21"/>
          <w:vertAlign w:val="baseline"/>
        </w:rPr>
        <w:t>likely</w:t>
      </w:r>
      <w:r>
        <w:rPr>
          <w:spacing w:val="-3"/>
          <w:sz w:val="21"/>
          <w:vertAlign w:val="baseline"/>
        </w:rPr>
        <w:t> </w:t>
      </w:r>
      <w:r>
        <w:rPr>
          <w:sz w:val="21"/>
          <w:vertAlign w:val="baseline"/>
        </w:rPr>
        <w:t>to</w:t>
      </w:r>
      <w:r>
        <w:rPr>
          <w:spacing w:val="-3"/>
          <w:sz w:val="21"/>
          <w:vertAlign w:val="baseline"/>
        </w:rPr>
        <w:t> </w:t>
      </w:r>
      <w:r>
        <w:rPr>
          <w:sz w:val="21"/>
          <w:vertAlign w:val="baseline"/>
        </w:rPr>
        <w:t>be</w:t>
      </w:r>
      <w:r>
        <w:rPr>
          <w:spacing w:val="-3"/>
          <w:sz w:val="21"/>
          <w:vertAlign w:val="baseline"/>
        </w:rPr>
        <w:t> </w:t>
      </w:r>
      <w:r>
        <w:rPr>
          <w:sz w:val="21"/>
          <w:vertAlign w:val="baseline"/>
        </w:rPr>
        <w:t>held</w:t>
      </w:r>
      <w:r>
        <w:rPr>
          <w:spacing w:val="-3"/>
          <w:sz w:val="21"/>
          <w:vertAlign w:val="baseline"/>
        </w:rPr>
        <w:t> </w:t>
      </w:r>
      <w:r>
        <w:rPr>
          <w:sz w:val="21"/>
          <w:vertAlign w:val="baseline"/>
        </w:rPr>
        <w:t>on</w:t>
      </w:r>
      <w:r>
        <w:rPr>
          <w:spacing w:val="-3"/>
          <w:sz w:val="21"/>
          <w:vertAlign w:val="baseline"/>
        </w:rPr>
        <w:t> </w:t>
      </w:r>
      <w:r>
        <w:rPr>
          <w:sz w:val="21"/>
          <w:vertAlign w:val="baseline"/>
        </w:rPr>
        <w:t>cash</w:t>
      </w:r>
      <w:r>
        <w:rPr>
          <w:spacing w:val="-2"/>
          <w:sz w:val="21"/>
          <w:vertAlign w:val="baseline"/>
        </w:rPr>
        <w:t> </w:t>
      </w:r>
      <w:r>
        <w:rPr>
          <w:sz w:val="21"/>
          <w:vertAlign w:val="baseline"/>
        </w:rPr>
        <w:t>bail</w:t>
      </w:r>
      <w:r>
        <w:rPr>
          <w:spacing w:val="-3"/>
          <w:sz w:val="21"/>
          <w:vertAlign w:val="baseline"/>
        </w:rPr>
        <w:t> </w:t>
      </w:r>
      <w:r>
        <w:rPr>
          <w:sz w:val="21"/>
          <w:vertAlign w:val="baseline"/>
        </w:rPr>
        <w:t>compared</w:t>
      </w:r>
      <w:r>
        <w:rPr>
          <w:spacing w:val="-3"/>
          <w:sz w:val="21"/>
          <w:vertAlign w:val="baseline"/>
        </w:rPr>
        <w:t> </w:t>
      </w:r>
      <w:r>
        <w:rPr>
          <w:sz w:val="21"/>
          <w:vertAlign w:val="baseline"/>
        </w:rPr>
        <w:t>to</w:t>
      </w:r>
      <w:r>
        <w:rPr>
          <w:spacing w:val="-3"/>
          <w:sz w:val="21"/>
          <w:vertAlign w:val="baseline"/>
        </w:rPr>
        <w:t> </w:t>
      </w:r>
      <w:r>
        <w:rPr>
          <w:sz w:val="21"/>
          <w:vertAlign w:val="baseline"/>
        </w:rPr>
        <w:t>their </w:t>
      </w:r>
      <w:bookmarkStart w:name="_bookmark360" w:id="593"/>
      <w:bookmarkEnd w:id="593"/>
      <w:r>
        <w:rPr>
          <w:sz w:val="21"/>
          <w:vertAlign w:val="baseline"/>
        </w:rPr>
        <w:t>n</w:t>
      </w:r>
      <w:r>
        <w:rPr>
          <w:sz w:val="21"/>
          <w:vertAlign w:val="baseline"/>
        </w:rPr>
        <w:t>on-LGBTQ+ counterparts.</w:t>
      </w:r>
      <w:hyperlink w:history="true" w:anchor="_bookmark416">
        <w:r>
          <w:rPr>
            <w:sz w:val="21"/>
            <w:vertAlign w:val="superscript"/>
          </w:rPr>
          <w:t>100</w:t>
        </w:r>
      </w:hyperlink>
    </w:p>
    <w:p>
      <w:pPr>
        <w:spacing w:line="276" w:lineRule="auto" w:before="240"/>
        <w:ind w:left="463" w:right="238" w:firstLine="0"/>
        <w:jc w:val="both"/>
        <w:rPr>
          <w:sz w:val="21"/>
        </w:rPr>
      </w:pPr>
      <w:bookmarkStart w:name="_bookmark361" w:id="594"/>
      <w:bookmarkEnd w:id="594"/>
      <w:r>
        <w:rPr/>
      </w:r>
      <w:r>
        <w:rPr>
          <w:sz w:val="21"/>
        </w:rPr>
        <w:t>Despite legislative efforts to protect LGBTQ youth in incarceration settings, such as the Prison Rape </w:t>
      </w:r>
      <w:bookmarkStart w:name="_bookmark362" w:id="595"/>
      <w:bookmarkEnd w:id="595"/>
      <w:r>
        <w:rPr>
          <w:sz w:val="21"/>
        </w:rPr>
      </w:r>
      <w:bookmarkStart w:name="_bookmark363" w:id="596"/>
      <w:bookmarkEnd w:id="596"/>
      <w:r>
        <w:rPr>
          <w:sz w:val="21"/>
        </w:rPr>
        <w:t>E</w:t>
      </w:r>
      <w:r>
        <w:rPr>
          <w:sz w:val="21"/>
        </w:rPr>
        <w:t>limination Act (PREA) of 2003 and the federal Juvenile Justice and Delinquency Prevention Act, the implementation of these protective standards has been inconsistent.</w:t>
      </w:r>
      <w:r>
        <w:rPr>
          <w:spacing w:val="-12"/>
          <w:sz w:val="21"/>
        </w:rPr>
        <w:t> </w:t>
      </w:r>
      <w:hyperlink w:history="true" w:anchor="_bookmark417">
        <w:r>
          <w:rPr>
            <w:sz w:val="21"/>
            <w:vertAlign w:val="superscript"/>
          </w:rPr>
          <w:t>101</w:t>
        </w:r>
      </w:hyperlink>
      <w:r>
        <w:rPr>
          <w:sz w:val="21"/>
          <w:vertAlign w:val="baseline"/>
        </w:rPr>
        <w:t> This inconsistency sometimes exacerbates the challenges LGBTQ youth face, including higher rates of abuse and harassment.</w:t>
      </w:r>
      <w:r>
        <w:rPr>
          <w:spacing w:val="-1"/>
          <w:sz w:val="21"/>
          <w:vertAlign w:val="baseline"/>
        </w:rPr>
        <w:t> </w:t>
      </w:r>
      <w:hyperlink w:history="true" w:anchor="_bookmark418">
        <w:r>
          <w:rPr>
            <w:sz w:val="21"/>
            <w:vertAlign w:val="superscript"/>
          </w:rPr>
          <w:t>102</w:t>
        </w:r>
      </w:hyperlink>
      <w:r>
        <w:rPr>
          <w:sz w:val="21"/>
          <w:vertAlign w:val="baseline"/>
        </w:rPr>
        <w:t> Specifically, the Bureau of Justice Statistics reports that incarcerated gay, bisexual men, and transgender </w:t>
      </w:r>
      <w:bookmarkStart w:name="_bookmark364" w:id="597"/>
      <w:bookmarkEnd w:id="597"/>
      <w:r>
        <w:rPr>
          <w:sz w:val="21"/>
          <w:vertAlign w:val="baseline"/>
        </w:rPr>
        <w:t>w</w:t>
      </w:r>
      <w:r>
        <w:rPr>
          <w:sz w:val="21"/>
          <w:vertAlign w:val="baseline"/>
        </w:rPr>
        <w:t>omen are approximately ten times more likely to suffer sexual victimization than their heterosexual counterparts.</w:t>
      </w:r>
      <w:hyperlink w:history="true" w:anchor="_bookmark419">
        <w:r>
          <w:rPr>
            <w:sz w:val="21"/>
            <w:vertAlign w:val="superscript"/>
          </w:rPr>
          <w:t>103</w:t>
        </w:r>
      </w:hyperlink>
      <w:r>
        <w:rPr>
          <w:sz w:val="21"/>
          <w:vertAlign w:val="baseline"/>
        </w:rPr>
        <w:t> Moreover, a staggering 85% of LGBTQ inmates have experienced solitary confinement, </w:t>
      </w:r>
      <w:bookmarkStart w:name="_bookmark365" w:id="598"/>
      <w:bookmarkEnd w:id="598"/>
      <w:r>
        <w:rPr>
          <w:sz w:val="21"/>
          <w:vertAlign w:val="baseline"/>
        </w:rPr>
      </w:r>
      <w:bookmarkStart w:name="_bookmark366" w:id="599"/>
      <w:bookmarkEnd w:id="599"/>
      <w:r>
        <w:rPr>
          <w:sz w:val="21"/>
          <w:vertAlign w:val="baseline"/>
        </w:rPr>
        <w:t>w</w:t>
      </w:r>
      <w:r>
        <w:rPr>
          <w:sz w:val="21"/>
          <w:vertAlign w:val="baseline"/>
        </w:rPr>
        <w:t>ith about 30% of LGB young people in prison placed in segregated housing, significantly higher than the 18% of their non-LGB peers.</w:t>
      </w:r>
      <w:r>
        <w:rPr>
          <w:spacing w:val="-10"/>
          <w:sz w:val="21"/>
          <w:vertAlign w:val="baseline"/>
        </w:rPr>
        <w:t> </w:t>
      </w:r>
      <w:hyperlink w:history="true" w:anchor="_bookmark420">
        <w:r>
          <w:rPr>
            <w:sz w:val="21"/>
            <w:vertAlign w:val="superscript"/>
          </w:rPr>
          <w:t>104</w:t>
        </w:r>
      </w:hyperlink>
      <w:r>
        <w:rPr>
          <w:sz w:val="21"/>
          <w:vertAlign w:val="baseline"/>
        </w:rPr>
        <w:t> These numbers may be particularly alarming for transgender youth however, there is a dearth of data on the subject. According to the 2022 Department of Youth Services </w:t>
      </w:r>
      <w:bookmarkStart w:name="_bookmark367" w:id="600"/>
      <w:bookmarkEnd w:id="600"/>
      <w:r>
        <w:rPr>
          <w:sz w:val="21"/>
          <w:vertAlign w:val="baseline"/>
        </w:rPr>
      </w:r>
      <w:bookmarkStart w:name="_bookmark368" w:id="601"/>
      <w:bookmarkEnd w:id="601"/>
      <w:r>
        <w:rPr>
          <w:sz w:val="21"/>
          <w:vertAlign w:val="baseline"/>
        </w:rPr>
        <w:t>r</w:t>
      </w:r>
      <w:r>
        <w:rPr>
          <w:sz w:val="21"/>
          <w:vertAlign w:val="baseline"/>
        </w:rPr>
        <w:t>eport,</w:t>
      </w:r>
      <w:r>
        <w:rPr>
          <w:spacing w:val="-11"/>
          <w:sz w:val="21"/>
          <w:vertAlign w:val="baseline"/>
        </w:rPr>
        <w:t> </w:t>
      </w:r>
      <w:r>
        <w:rPr>
          <w:sz w:val="21"/>
          <w:vertAlign w:val="baseline"/>
        </w:rPr>
        <w:t>“youth</w:t>
      </w:r>
      <w:r>
        <w:rPr>
          <w:spacing w:val="-12"/>
          <w:sz w:val="21"/>
          <w:vertAlign w:val="baseline"/>
        </w:rPr>
        <w:t> </w:t>
      </w:r>
      <w:r>
        <w:rPr>
          <w:sz w:val="21"/>
          <w:vertAlign w:val="baseline"/>
        </w:rPr>
        <w:t>who</w:t>
      </w:r>
      <w:r>
        <w:rPr>
          <w:spacing w:val="-11"/>
          <w:sz w:val="21"/>
          <w:vertAlign w:val="baseline"/>
        </w:rPr>
        <w:t> </w:t>
      </w:r>
      <w:r>
        <w:rPr>
          <w:sz w:val="21"/>
          <w:vertAlign w:val="baseline"/>
        </w:rPr>
        <w:t>identify</w:t>
      </w:r>
      <w:r>
        <w:rPr>
          <w:spacing w:val="-12"/>
          <w:sz w:val="21"/>
          <w:vertAlign w:val="baseline"/>
        </w:rPr>
        <w:t> </w:t>
      </w:r>
      <w:r>
        <w:rPr>
          <w:sz w:val="21"/>
          <w:vertAlign w:val="baseline"/>
        </w:rPr>
        <w:t>as</w:t>
      </w:r>
      <w:r>
        <w:rPr>
          <w:spacing w:val="-12"/>
          <w:sz w:val="21"/>
          <w:vertAlign w:val="baseline"/>
        </w:rPr>
        <w:t> </w:t>
      </w:r>
      <w:r>
        <w:rPr>
          <w:sz w:val="21"/>
          <w:vertAlign w:val="baseline"/>
        </w:rPr>
        <w:t>transgender</w:t>
      </w:r>
      <w:r>
        <w:rPr>
          <w:spacing w:val="-10"/>
          <w:sz w:val="21"/>
          <w:vertAlign w:val="baseline"/>
        </w:rPr>
        <w:t> </w:t>
      </w:r>
      <w:r>
        <w:rPr>
          <w:sz w:val="21"/>
          <w:vertAlign w:val="baseline"/>
        </w:rPr>
        <w:t>are</w:t>
      </w:r>
      <w:r>
        <w:rPr>
          <w:spacing w:val="-11"/>
          <w:sz w:val="21"/>
          <w:vertAlign w:val="baseline"/>
        </w:rPr>
        <w:t> </w:t>
      </w:r>
      <w:r>
        <w:rPr>
          <w:sz w:val="21"/>
          <w:vertAlign w:val="baseline"/>
        </w:rPr>
        <w:t>assigned</w:t>
      </w:r>
      <w:r>
        <w:rPr>
          <w:spacing w:val="-11"/>
          <w:sz w:val="21"/>
          <w:vertAlign w:val="baseline"/>
        </w:rPr>
        <w:t> </w:t>
      </w:r>
      <w:r>
        <w:rPr>
          <w:sz w:val="21"/>
          <w:vertAlign w:val="baseline"/>
        </w:rPr>
        <w:t>to</w:t>
      </w:r>
      <w:r>
        <w:rPr>
          <w:spacing w:val="-12"/>
          <w:sz w:val="21"/>
          <w:vertAlign w:val="baseline"/>
        </w:rPr>
        <w:t> </w:t>
      </w:r>
      <w:r>
        <w:rPr>
          <w:sz w:val="21"/>
          <w:vertAlign w:val="baseline"/>
        </w:rPr>
        <w:t>alternative</w:t>
      </w:r>
      <w:r>
        <w:rPr>
          <w:spacing w:val="-12"/>
          <w:sz w:val="21"/>
          <w:vertAlign w:val="baseline"/>
        </w:rPr>
        <w:t> </w:t>
      </w:r>
      <w:r>
        <w:rPr>
          <w:sz w:val="21"/>
          <w:vertAlign w:val="baseline"/>
        </w:rPr>
        <w:t>placement</w:t>
      </w:r>
      <w:r>
        <w:rPr>
          <w:spacing w:val="-10"/>
          <w:sz w:val="21"/>
          <w:vertAlign w:val="baseline"/>
        </w:rPr>
        <w:t> </w:t>
      </w:r>
      <w:r>
        <w:rPr>
          <w:sz w:val="21"/>
          <w:vertAlign w:val="baseline"/>
        </w:rPr>
        <w:t>based</w:t>
      </w:r>
      <w:r>
        <w:rPr>
          <w:spacing w:val="-11"/>
          <w:sz w:val="21"/>
          <w:vertAlign w:val="baseline"/>
        </w:rPr>
        <w:t> </w:t>
      </w:r>
      <w:r>
        <w:rPr>
          <w:sz w:val="21"/>
          <w:vertAlign w:val="baseline"/>
        </w:rPr>
        <w:t>on</w:t>
      </w:r>
      <w:r>
        <w:rPr>
          <w:spacing w:val="-11"/>
          <w:sz w:val="21"/>
          <w:vertAlign w:val="baseline"/>
        </w:rPr>
        <w:t> </w:t>
      </w:r>
      <w:r>
        <w:rPr>
          <w:sz w:val="21"/>
          <w:vertAlign w:val="baseline"/>
        </w:rPr>
        <w:t>their</w:t>
      </w:r>
      <w:r>
        <w:rPr>
          <w:spacing w:val="-11"/>
          <w:sz w:val="21"/>
          <w:vertAlign w:val="baseline"/>
        </w:rPr>
        <w:t> </w:t>
      </w:r>
      <w:r>
        <w:rPr>
          <w:sz w:val="21"/>
          <w:vertAlign w:val="baseline"/>
        </w:rPr>
        <w:t>preference on</w:t>
      </w:r>
      <w:r>
        <w:rPr>
          <w:spacing w:val="-3"/>
          <w:sz w:val="21"/>
          <w:vertAlign w:val="baseline"/>
        </w:rPr>
        <w:t> </w:t>
      </w:r>
      <w:r>
        <w:rPr>
          <w:sz w:val="21"/>
          <w:vertAlign w:val="baseline"/>
        </w:rPr>
        <w:t>a</w:t>
      </w:r>
      <w:r>
        <w:rPr>
          <w:spacing w:val="-3"/>
          <w:sz w:val="21"/>
          <w:vertAlign w:val="baseline"/>
        </w:rPr>
        <w:t> </w:t>
      </w:r>
      <w:r>
        <w:rPr>
          <w:sz w:val="21"/>
          <w:vertAlign w:val="baseline"/>
        </w:rPr>
        <w:t>case-by-case</w:t>
      </w:r>
      <w:r>
        <w:rPr>
          <w:spacing w:val="-3"/>
          <w:sz w:val="21"/>
          <w:vertAlign w:val="baseline"/>
        </w:rPr>
        <w:t> </w:t>
      </w:r>
      <w:r>
        <w:rPr>
          <w:sz w:val="21"/>
          <w:vertAlign w:val="baseline"/>
        </w:rPr>
        <w:t>basis,</w:t>
      </w:r>
      <w:r>
        <w:rPr>
          <w:spacing w:val="-3"/>
          <w:sz w:val="21"/>
          <w:vertAlign w:val="baseline"/>
        </w:rPr>
        <w:t> </w:t>
      </w:r>
      <w:r>
        <w:rPr>
          <w:sz w:val="21"/>
          <w:vertAlign w:val="baseline"/>
        </w:rPr>
        <w:t>depending</w:t>
      </w:r>
      <w:r>
        <w:rPr>
          <w:spacing w:val="-4"/>
          <w:sz w:val="21"/>
          <w:vertAlign w:val="baseline"/>
        </w:rPr>
        <w:t> </w:t>
      </w:r>
      <w:r>
        <w:rPr>
          <w:sz w:val="21"/>
          <w:vertAlign w:val="baseline"/>
        </w:rPr>
        <w:t>on</w:t>
      </w:r>
      <w:r>
        <w:rPr>
          <w:spacing w:val="-3"/>
          <w:sz w:val="21"/>
          <w:vertAlign w:val="baseline"/>
        </w:rPr>
        <w:t> </w:t>
      </w:r>
      <w:r>
        <w:rPr>
          <w:sz w:val="21"/>
          <w:vertAlign w:val="baseline"/>
        </w:rPr>
        <w:t>self-identification</w:t>
      </w:r>
      <w:r>
        <w:rPr>
          <w:spacing w:val="-3"/>
          <w:sz w:val="21"/>
          <w:vertAlign w:val="baseline"/>
        </w:rPr>
        <w:t> </w:t>
      </w:r>
      <w:r>
        <w:rPr>
          <w:sz w:val="21"/>
          <w:vertAlign w:val="baseline"/>
        </w:rPr>
        <w:t>and</w:t>
      </w:r>
      <w:r>
        <w:rPr>
          <w:spacing w:val="-3"/>
          <w:sz w:val="21"/>
          <w:vertAlign w:val="baseline"/>
        </w:rPr>
        <w:t> </w:t>
      </w:r>
      <w:r>
        <w:rPr>
          <w:sz w:val="21"/>
          <w:vertAlign w:val="baseline"/>
        </w:rPr>
        <w:t>safety</w:t>
      </w:r>
      <w:r>
        <w:rPr>
          <w:spacing w:val="-3"/>
          <w:sz w:val="21"/>
          <w:vertAlign w:val="baseline"/>
        </w:rPr>
        <w:t> </w:t>
      </w:r>
      <w:r>
        <w:rPr>
          <w:sz w:val="21"/>
          <w:vertAlign w:val="baseline"/>
        </w:rPr>
        <w:t>measures.”</w:t>
      </w:r>
      <w:hyperlink w:history="true" w:anchor="_bookmark421">
        <w:r>
          <w:rPr>
            <w:sz w:val="21"/>
            <w:vertAlign w:val="superscript"/>
          </w:rPr>
          <w:t>105</w:t>
        </w:r>
      </w:hyperlink>
      <w:r>
        <w:rPr>
          <w:spacing w:val="-2"/>
          <w:sz w:val="21"/>
          <w:vertAlign w:val="baseline"/>
        </w:rPr>
        <w:t> </w:t>
      </w:r>
      <w:r>
        <w:rPr>
          <w:sz w:val="21"/>
          <w:vertAlign w:val="baseline"/>
        </w:rPr>
        <w:t>Yet,</w:t>
      </w:r>
      <w:r>
        <w:rPr>
          <w:spacing w:val="-4"/>
          <w:sz w:val="21"/>
          <w:vertAlign w:val="baseline"/>
        </w:rPr>
        <w:t> </w:t>
      </w:r>
      <w:r>
        <w:rPr>
          <w:sz w:val="21"/>
          <w:vertAlign w:val="baseline"/>
        </w:rPr>
        <w:t>Massachusetts</w:t>
      </w:r>
      <w:r>
        <w:rPr>
          <w:spacing w:val="-4"/>
          <w:sz w:val="21"/>
          <w:vertAlign w:val="baseline"/>
        </w:rPr>
        <w:t> </w:t>
      </w:r>
      <w:r>
        <w:rPr>
          <w:sz w:val="21"/>
          <w:vertAlign w:val="baseline"/>
        </w:rPr>
        <w:t>data on how frequently these alternative placements occur and what incidents result from placements that do </w:t>
      </w:r>
      <w:bookmarkStart w:name="_bookmark369" w:id="602"/>
      <w:bookmarkEnd w:id="602"/>
      <w:r>
        <w:rPr>
          <w:sz w:val="21"/>
          <w:vertAlign w:val="baseline"/>
        </w:rPr>
      </w:r>
      <w:bookmarkStart w:name="_bookmark370" w:id="603"/>
      <w:bookmarkEnd w:id="603"/>
      <w:r>
        <w:rPr>
          <w:sz w:val="21"/>
          <w:vertAlign w:val="baseline"/>
        </w:rPr>
        <w:t>n</w:t>
      </w:r>
      <w:r>
        <w:rPr>
          <w:sz w:val="21"/>
          <w:vertAlign w:val="baseline"/>
        </w:rPr>
        <w:t>ot align with a transgender youth’s gender are not sufficiently available.</w:t>
      </w:r>
    </w:p>
    <w:p>
      <w:pPr>
        <w:spacing w:line="276" w:lineRule="auto" w:before="240"/>
        <w:ind w:left="464" w:right="239" w:firstLine="0"/>
        <w:jc w:val="both"/>
        <w:rPr>
          <w:sz w:val="21"/>
        </w:rPr>
      </w:pPr>
      <w:bookmarkStart w:name="_bookmark371" w:id="604"/>
      <w:bookmarkEnd w:id="604"/>
      <w:r>
        <w:rPr/>
      </w:r>
      <w:bookmarkStart w:name="_bookmark372" w:id="605"/>
      <w:bookmarkEnd w:id="605"/>
      <w:r>
        <w:rPr/>
      </w:r>
      <w:r>
        <w:rPr>
          <w:sz w:val="21"/>
        </w:rPr>
        <w:t>Solitary</w:t>
      </w:r>
      <w:r>
        <w:rPr>
          <w:spacing w:val="-4"/>
          <w:sz w:val="21"/>
        </w:rPr>
        <w:t> </w:t>
      </w:r>
      <w:r>
        <w:rPr>
          <w:sz w:val="21"/>
        </w:rPr>
        <w:t>confinement</w:t>
      </w:r>
      <w:r>
        <w:rPr>
          <w:spacing w:val="-3"/>
          <w:sz w:val="21"/>
        </w:rPr>
        <w:t> </w:t>
      </w:r>
      <w:r>
        <w:rPr>
          <w:sz w:val="21"/>
        </w:rPr>
        <w:t>or</w:t>
      </w:r>
      <w:r>
        <w:rPr>
          <w:spacing w:val="-5"/>
          <w:sz w:val="21"/>
        </w:rPr>
        <w:t> </w:t>
      </w:r>
      <w:r>
        <w:rPr>
          <w:sz w:val="21"/>
        </w:rPr>
        <w:t>“administrative</w:t>
      </w:r>
      <w:r>
        <w:rPr>
          <w:spacing w:val="-4"/>
          <w:sz w:val="21"/>
        </w:rPr>
        <w:t> </w:t>
      </w:r>
      <w:r>
        <w:rPr>
          <w:sz w:val="21"/>
        </w:rPr>
        <w:t>segregation”</w:t>
      </w:r>
      <w:r>
        <w:rPr>
          <w:spacing w:val="-4"/>
          <w:sz w:val="21"/>
        </w:rPr>
        <w:t> </w:t>
      </w:r>
      <w:r>
        <w:rPr>
          <w:sz w:val="21"/>
        </w:rPr>
        <w:t>remains</w:t>
      </w:r>
      <w:r>
        <w:rPr>
          <w:spacing w:val="-4"/>
          <w:sz w:val="21"/>
        </w:rPr>
        <w:t> </w:t>
      </w:r>
      <w:r>
        <w:rPr>
          <w:sz w:val="21"/>
        </w:rPr>
        <w:t>a</w:t>
      </w:r>
      <w:r>
        <w:rPr>
          <w:spacing w:val="-4"/>
          <w:sz w:val="21"/>
        </w:rPr>
        <w:t> </w:t>
      </w:r>
      <w:r>
        <w:rPr>
          <w:sz w:val="21"/>
        </w:rPr>
        <w:t>critical</w:t>
      </w:r>
      <w:r>
        <w:rPr>
          <w:spacing w:val="-4"/>
          <w:sz w:val="21"/>
        </w:rPr>
        <w:t> </w:t>
      </w:r>
      <w:r>
        <w:rPr>
          <w:sz w:val="21"/>
        </w:rPr>
        <w:t>issue</w:t>
      </w:r>
      <w:r>
        <w:rPr>
          <w:spacing w:val="-4"/>
          <w:sz w:val="21"/>
        </w:rPr>
        <w:t> </w:t>
      </w:r>
      <w:r>
        <w:rPr>
          <w:sz w:val="21"/>
        </w:rPr>
        <w:t>for</w:t>
      </w:r>
      <w:r>
        <w:rPr>
          <w:spacing w:val="-4"/>
          <w:sz w:val="21"/>
        </w:rPr>
        <w:t> </w:t>
      </w:r>
      <w:r>
        <w:rPr>
          <w:sz w:val="21"/>
        </w:rPr>
        <w:t>detained</w:t>
      </w:r>
      <w:r>
        <w:rPr>
          <w:spacing w:val="-4"/>
          <w:sz w:val="21"/>
        </w:rPr>
        <w:t> </w:t>
      </w:r>
      <w:r>
        <w:rPr>
          <w:sz w:val="21"/>
        </w:rPr>
        <w:t>and</w:t>
      </w:r>
      <w:r>
        <w:rPr>
          <w:spacing w:val="-4"/>
          <w:sz w:val="21"/>
        </w:rPr>
        <w:t> </w:t>
      </w:r>
      <w:r>
        <w:rPr>
          <w:sz w:val="21"/>
        </w:rPr>
        <w:t>incarcerated </w:t>
      </w:r>
      <w:bookmarkStart w:name="_bookmark373" w:id="606"/>
      <w:bookmarkEnd w:id="606"/>
      <w:r>
        <w:rPr>
          <w:sz w:val="21"/>
        </w:rPr>
        <w:t>L</w:t>
      </w:r>
      <w:r>
        <w:rPr>
          <w:sz w:val="21"/>
        </w:rPr>
        <w:t>GBTQ youth.</w:t>
      </w:r>
      <w:hyperlink w:history="true" w:anchor="_bookmark422">
        <w:r>
          <w:rPr>
            <w:sz w:val="21"/>
            <w:vertAlign w:val="superscript"/>
          </w:rPr>
          <w:t>106</w:t>
        </w:r>
      </w:hyperlink>
      <w:r>
        <w:rPr>
          <w:spacing w:val="-2"/>
          <w:sz w:val="21"/>
          <w:vertAlign w:val="baseline"/>
        </w:rPr>
        <w:t> </w:t>
      </w:r>
      <w:r>
        <w:rPr>
          <w:sz w:val="21"/>
          <w:vertAlign w:val="baseline"/>
        </w:rPr>
        <w:t>It is reportedly used for the protection of LGBTQ youth against sexual violence and other </w:t>
      </w:r>
      <w:bookmarkStart w:name="_bookmark374" w:id="607"/>
      <w:bookmarkEnd w:id="607"/>
      <w:r>
        <w:rPr>
          <w:sz w:val="21"/>
          <w:vertAlign w:val="baseline"/>
        </w:rPr>
        <w:t>f</w:t>
      </w:r>
      <w:r>
        <w:rPr>
          <w:sz w:val="21"/>
          <w:vertAlign w:val="baseline"/>
        </w:rPr>
        <w:t>orms</w:t>
      </w:r>
      <w:r>
        <w:rPr>
          <w:spacing w:val="-1"/>
          <w:sz w:val="21"/>
          <w:vertAlign w:val="baseline"/>
        </w:rPr>
        <w:t> </w:t>
      </w:r>
      <w:r>
        <w:rPr>
          <w:sz w:val="21"/>
          <w:vertAlign w:val="baseline"/>
        </w:rPr>
        <w:t>of</w:t>
      </w:r>
      <w:r>
        <w:rPr>
          <w:spacing w:val="-1"/>
          <w:sz w:val="21"/>
          <w:vertAlign w:val="baseline"/>
        </w:rPr>
        <w:t> </w:t>
      </w:r>
      <w:r>
        <w:rPr>
          <w:sz w:val="21"/>
          <w:vertAlign w:val="baseline"/>
        </w:rPr>
        <w:t>abuse, however, this</w:t>
      </w:r>
      <w:r>
        <w:rPr>
          <w:spacing w:val="-1"/>
          <w:sz w:val="21"/>
          <w:vertAlign w:val="baseline"/>
        </w:rPr>
        <w:t> </w:t>
      </w:r>
      <w:r>
        <w:rPr>
          <w:sz w:val="21"/>
          <w:vertAlign w:val="baseline"/>
        </w:rPr>
        <w:t>practice</w:t>
      </w:r>
      <w:r>
        <w:rPr>
          <w:spacing w:val="-1"/>
          <w:sz w:val="21"/>
          <w:vertAlign w:val="baseline"/>
        </w:rPr>
        <w:t> </w:t>
      </w:r>
      <w:r>
        <w:rPr>
          <w:sz w:val="21"/>
          <w:vertAlign w:val="baseline"/>
        </w:rPr>
        <w:t>has</w:t>
      </w:r>
      <w:r>
        <w:rPr>
          <w:spacing w:val="-1"/>
          <w:sz w:val="21"/>
          <w:vertAlign w:val="baseline"/>
        </w:rPr>
        <w:t> </w:t>
      </w:r>
      <w:r>
        <w:rPr>
          <w:sz w:val="21"/>
          <w:vertAlign w:val="baseline"/>
        </w:rPr>
        <w:t>been</w:t>
      </w:r>
      <w:r>
        <w:rPr>
          <w:spacing w:val="-1"/>
          <w:sz w:val="21"/>
          <w:vertAlign w:val="baseline"/>
        </w:rPr>
        <w:t> </w:t>
      </w:r>
      <w:r>
        <w:rPr>
          <w:sz w:val="21"/>
          <w:vertAlign w:val="baseline"/>
        </w:rPr>
        <w:t>deemed</w:t>
      </w:r>
      <w:r>
        <w:rPr>
          <w:spacing w:val="-1"/>
          <w:sz w:val="21"/>
          <w:vertAlign w:val="baseline"/>
        </w:rPr>
        <w:t> </w:t>
      </w:r>
      <w:r>
        <w:rPr>
          <w:sz w:val="21"/>
          <w:vertAlign w:val="baseline"/>
        </w:rPr>
        <w:t>inhumane</w:t>
      </w:r>
      <w:r>
        <w:rPr>
          <w:spacing w:val="-2"/>
          <w:sz w:val="21"/>
          <w:vertAlign w:val="baseline"/>
        </w:rPr>
        <w:t> </w:t>
      </w:r>
      <w:r>
        <w:rPr>
          <w:sz w:val="21"/>
          <w:vertAlign w:val="baseline"/>
        </w:rPr>
        <w:t>by</w:t>
      </w:r>
      <w:r>
        <w:rPr>
          <w:spacing w:val="-1"/>
          <w:sz w:val="21"/>
          <w:vertAlign w:val="baseline"/>
        </w:rPr>
        <w:t> </w:t>
      </w:r>
      <w:r>
        <w:rPr>
          <w:sz w:val="21"/>
          <w:vertAlign w:val="baseline"/>
        </w:rPr>
        <w:t>the</w:t>
      </w:r>
      <w:r>
        <w:rPr>
          <w:spacing w:val="-1"/>
          <w:sz w:val="21"/>
          <w:vertAlign w:val="baseline"/>
        </w:rPr>
        <w:t> </w:t>
      </w:r>
      <w:r>
        <w:rPr>
          <w:sz w:val="21"/>
          <w:vertAlign w:val="baseline"/>
        </w:rPr>
        <w:t>Children’s</w:t>
      </w:r>
      <w:r>
        <w:rPr>
          <w:spacing w:val="-1"/>
          <w:sz w:val="21"/>
          <w:vertAlign w:val="baseline"/>
        </w:rPr>
        <w:t> </w:t>
      </w:r>
      <w:r>
        <w:rPr>
          <w:sz w:val="21"/>
          <w:vertAlign w:val="baseline"/>
        </w:rPr>
        <w:t>Defense</w:t>
      </w:r>
      <w:r>
        <w:rPr>
          <w:spacing w:val="-1"/>
          <w:sz w:val="21"/>
          <w:vertAlign w:val="baseline"/>
        </w:rPr>
        <w:t> </w:t>
      </w:r>
      <w:r>
        <w:rPr>
          <w:sz w:val="21"/>
          <w:vertAlign w:val="baseline"/>
        </w:rPr>
        <w:t>Fund</w:t>
      </w:r>
      <w:r>
        <w:rPr>
          <w:spacing w:val="-1"/>
          <w:sz w:val="21"/>
          <w:vertAlign w:val="baseline"/>
        </w:rPr>
        <w:t> </w:t>
      </w:r>
      <w:r>
        <w:rPr>
          <w:sz w:val="21"/>
          <w:vertAlign w:val="baseline"/>
        </w:rPr>
        <w:t>due</w:t>
      </w:r>
      <w:r>
        <w:rPr>
          <w:spacing w:val="-1"/>
          <w:sz w:val="21"/>
          <w:vertAlign w:val="baseline"/>
        </w:rPr>
        <w:t> </w:t>
      </w:r>
      <w:r>
        <w:rPr>
          <w:sz w:val="21"/>
          <w:vertAlign w:val="baseline"/>
        </w:rPr>
        <w:t>to its severe negative impacts on mental health, including heightened suicide risks and increased abuse by staff.</w:t>
      </w:r>
      <w:hyperlink w:history="true" w:anchor="_bookmark423">
        <w:r>
          <w:rPr>
            <w:sz w:val="21"/>
            <w:vertAlign w:val="superscript"/>
          </w:rPr>
          <w:t>107</w:t>
        </w:r>
      </w:hyperlink>
      <w:r>
        <w:rPr>
          <w:spacing w:val="-3"/>
          <w:sz w:val="21"/>
          <w:vertAlign w:val="baseline"/>
        </w:rPr>
        <w:t> </w:t>
      </w:r>
      <w:r>
        <w:rPr>
          <w:sz w:val="21"/>
          <w:vertAlign w:val="baseline"/>
        </w:rPr>
        <w:t>As of March 2024, American Psychological Association (APA) officially recommended banning the </w:t>
      </w:r>
      <w:bookmarkStart w:name="_bookmark375" w:id="608"/>
      <w:bookmarkEnd w:id="608"/>
      <w:r>
        <w:rPr>
          <w:sz w:val="21"/>
          <w:vertAlign w:val="baseline"/>
        </w:rPr>
        <w:t>u</w:t>
      </w:r>
      <w:r>
        <w:rPr>
          <w:sz w:val="21"/>
          <w:vertAlign w:val="baseline"/>
        </w:rPr>
        <w:t>se of solitary confinement for youths in juvenile legal settings, except in emergencies.</w:t>
      </w:r>
      <w:hyperlink w:history="true" w:anchor="_bookmark424">
        <w:r>
          <w:rPr>
            <w:sz w:val="21"/>
            <w:vertAlign w:val="superscript"/>
          </w:rPr>
          <w:t>108</w:t>
        </w:r>
      </w:hyperlink>
      <w:r>
        <w:rPr>
          <w:spacing w:val="-2"/>
          <w:sz w:val="21"/>
          <w:vertAlign w:val="baseline"/>
        </w:rPr>
        <w:t> </w:t>
      </w:r>
      <w:r>
        <w:rPr>
          <w:sz w:val="21"/>
          <w:vertAlign w:val="baseline"/>
        </w:rPr>
        <w:t>The Association cited evidence indicating the harmful effects of isolation on young individuals' mental health and development.</w:t>
      </w:r>
      <w:r>
        <w:rPr>
          <w:spacing w:val="-21"/>
          <w:sz w:val="21"/>
          <w:vertAlign w:val="baseline"/>
        </w:rPr>
        <w:t> </w:t>
      </w:r>
      <w:hyperlink w:history="true" w:anchor="_bookmark425">
        <w:r>
          <w:rPr>
            <w:sz w:val="21"/>
            <w:vertAlign w:val="superscript"/>
          </w:rPr>
          <w:t>109</w:t>
        </w:r>
      </w:hyperlink>
      <w:r>
        <w:rPr>
          <w:spacing w:val="17"/>
          <w:sz w:val="21"/>
          <w:vertAlign w:val="baseline"/>
        </w:rPr>
        <w:t> </w:t>
      </w:r>
      <w:r>
        <w:rPr>
          <w:sz w:val="21"/>
          <w:vertAlign w:val="baseline"/>
        </w:rPr>
        <w:t>This</w:t>
      </w:r>
      <w:r>
        <w:rPr>
          <w:spacing w:val="37"/>
          <w:sz w:val="21"/>
          <w:vertAlign w:val="baseline"/>
        </w:rPr>
        <w:t> </w:t>
      </w:r>
      <w:r>
        <w:rPr>
          <w:sz w:val="21"/>
          <w:vertAlign w:val="baseline"/>
        </w:rPr>
        <w:t>resolution</w:t>
      </w:r>
      <w:r>
        <w:rPr>
          <w:spacing w:val="37"/>
          <w:sz w:val="21"/>
          <w:vertAlign w:val="baseline"/>
        </w:rPr>
        <w:t> </w:t>
      </w:r>
      <w:r>
        <w:rPr>
          <w:sz w:val="21"/>
          <w:vertAlign w:val="baseline"/>
        </w:rPr>
        <w:t>advocates</w:t>
      </w:r>
      <w:r>
        <w:rPr>
          <w:spacing w:val="37"/>
          <w:sz w:val="21"/>
          <w:vertAlign w:val="baseline"/>
        </w:rPr>
        <w:t> </w:t>
      </w:r>
      <w:r>
        <w:rPr>
          <w:sz w:val="21"/>
          <w:vertAlign w:val="baseline"/>
        </w:rPr>
        <w:t>for</w:t>
      </w:r>
      <w:r>
        <w:rPr>
          <w:spacing w:val="37"/>
          <w:sz w:val="21"/>
          <w:vertAlign w:val="baseline"/>
        </w:rPr>
        <w:t> </w:t>
      </w:r>
      <w:r>
        <w:rPr>
          <w:sz w:val="21"/>
          <w:vertAlign w:val="baseline"/>
        </w:rPr>
        <w:t>emergency-only</w:t>
      </w:r>
      <w:r>
        <w:rPr>
          <w:spacing w:val="37"/>
          <w:sz w:val="21"/>
          <w:vertAlign w:val="baseline"/>
        </w:rPr>
        <w:t> </w:t>
      </w:r>
      <w:r>
        <w:rPr>
          <w:sz w:val="21"/>
          <w:vertAlign w:val="baseline"/>
        </w:rPr>
        <w:t>use</w:t>
      </w:r>
      <w:r>
        <w:rPr>
          <w:spacing w:val="37"/>
          <w:sz w:val="21"/>
          <w:vertAlign w:val="baseline"/>
        </w:rPr>
        <w:t> </w:t>
      </w:r>
      <w:r>
        <w:rPr>
          <w:sz w:val="21"/>
          <w:vertAlign w:val="baseline"/>
        </w:rPr>
        <w:t>of</w:t>
      </w:r>
      <w:r>
        <w:rPr>
          <w:spacing w:val="37"/>
          <w:sz w:val="21"/>
          <w:vertAlign w:val="baseline"/>
        </w:rPr>
        <w:t> </w:t>
      </w:r>
      <w:r>
        <w:rPr>
          <w:sz w:val="21"/>
          <w:vertAlign w:val="baseline"/>
        </w:rPr>
        <w:t>solitary</w:t>
      </w:r>
      <w:r>
        <w:rPr>
          <w:spacing w:val="37"/>
          <w:sz w:val="21"/>
          <w:vertAlign w:val="baseline"/>
        </w:rPr>
        <w:t> </w:t>
      </w:r>
      <w:r>
        <w:rPr>
          <w:sz w:val="21"/>
          <w:vertAlign w:val="baseline"/>
        </w:rPr>
        <w:t>confinement</w:t>
      </w:r>
      <w:r>
        <w:rPr>
          <w:spacing w:val="38"/>
          <w:sz w:val="21"/>
          <w:vertAlign w:val="baseline"/>
        </w:rPr>
        <w:t> </w:t>
      </w:r>
      <w:r>
        <w:rPr>
          <w:sz w:val="21"/>
          <w:vertAlign w:val="baseline"/>
        </w:rPr>
        <w:t>as</w:t>
      </w:r>
      <w:r>
        <w:rPr>
          <w:spacing w:val="36"/>
          <w:sz w:val="21"/>
          <w:vertAlign w:val="baseline"/>
        </w:rPr>
        <w:t> </w:t>
      </w:r>
      <w:r>
        <w:rPr>
          <w:sz w:val="21"/>
          <w:vertAlign w:val="baseline"/>
        </w:rPr>
        <w:t>well</w:t>
      </w:r>
      <w:r>
        <w:rPr>
          <w:spacing w:val="37"/>
          <w:sz w:val="21"/>
          <w:vertAlign w:val="baseline"/>
        </w:rPr>
        <w:t> </w:t>
      </w:r>
      <w:r>
        <w:rPr>
          <w:sz w:val="21"/>
          <w:vertAlign w:val="baseline"/>
        </w:rPr>
        <w:t>as</w:t>
      </w:r>
    </w:p>
    <w:p>
      <w:pPr>
        <w:spacing w:after="0" w:line="276" w:lineRule="auto"/>
        <w:jc w:val="both"/>
        <w:rPr>
          <w:sz w:val="21"/>
        </w:rPr>
        <w:sectPr>
          <w:pgSz w:w="12240" w:h="15840"/>
          <w:pgMar w:header="763" w:footer="1041" w:top="1360" w:bottom="1240" w:left="1120" w:right="1340"/>
        </w:sectPr>
      </w:pPr>
    </w:p>
    <w:p>
      <w:pPr>
        <w:spacing w:line="276" w:lineRule="auto" w:before="65"/>
        <w:ind w:left="464" w:right="240" w:firstLine="0"/>
        <w:jc w:val="both"/>
        <w:rPr>
          <w:sz w:val="21"/>
        </w:rPr>
      </w:pPr>
      <w:r>
        <w:rPr>
          <w:sz w:val="21"/>
        </w:rPr>
        <w:t>limiting its duration, implementing alternative behavior management strategies, and ensuring ongoing </w:t>
      </w:r>
      <w:bookmarkStart w:name="_bookmark376" w:id="609"/>
      <w:bookmarkEnd w:id="609"/>
      <w:r>
        <w:rPr>
          <w:sz w:val="21"/>
        </w:rPr>
        <w:t>m</w:t>
      </w:r>
      <w:r>
        <w:rPr>
          <w:sz w:val="21"/>
        </w:rPr>
        <w:t>ental health support for isolated youths.</w:t>
      </w:r>
      <w:hyperlink w:history="true" w:anchor="_bookmark426">
        <w:r>
          <w:rPr>
            <w:sz w:val="21"/>
            <w:vertAlign w:val="superscript"/>
          </w:rPr>
          <w:t>110</w:t>
        </w:r>
      </w:hyperlink>
      <w:r>
        <w:rPr>
          <w:spacing w:val="-2"/>
          <w:sz w:val="21"/>
          <w:vertAlign w:val="baseline"/>
        </w:rPr>
        <w:t> </w:t>
      </w:r>
      <w:r>
        <w:rPr>
          <w:sz w:val="21"/>
          <w:vertAlign w:val="baseline"/>
        </w:rPr>
        <w:t>Additionally, it calls for federal and state authorities to track </w:t>
      </w:r>
      <w:bookmarkStart w:name="_bookmark377" w:id="610"/>
      <w:bookmarkEnd w:id="610"/>
      <w:r>
        <w:rPr>
          <w:sz w:val="21"/>
          <w:vertAlign w:val="baseline"/>
        </w:rPr>
        <w:t>and</w:t>
      </w:r>
      <w:r>
        <w:rPr>
          <w:sz w:val="21"/>
          <w:vertAlign w:val="baseline"/>
        </w:rPr>
        <w:t> report the use of solitary confinement, detailing the data by various demographics, including gender, </w:t>
      </w:r>
      <w:bookmarkStart w:name="_bookmark378" w:id="611"/>
      <w:bookmarkEnd w:id="611"/>
      <w:r>
        <w:rPr>
          <w:sz w:val="21"/>
          <w:vertAlign w:val="baseline"/>
        </w:rPr>
        <w:t>rac</w:t>
      </w:r>
      <w:r>
        <w:rPr>
          <w:sz w:val="21"/>
          <w:vertAlign w:val="baseline"/>
        </w:rPr>
        <w:t>e/ethnicity, LGBTQ+ status, and disability.</w:t>
      </w:r>
      <w:hyperlink w:history="true" w:anchor="_bookmark427">
        <w:r>
          <w:rPr>
            <w:sz w:val="21"/>
            <w:vertAlign w:val="superscript"/>
          </w:rPr>
          <w:t>111</w:t>
        </w:r>
      </w:hyperlink>
    </w:p>
    <w:p>
      <w:pPr>
        <w:spacing w:line="276" w:lineRule="auto" w:before="240"/>
        <w:ind w:left="463" w:right="239" w:firstLine="0"/>
        <w:jc w:val="both"/>
        <w:rPr>
          <w:sz w:val="21"/>
        </w:rPr>
      </w:pPr>
      <w:r>
        <w:rPr>
          <w:sz w:val="21"/>
        </w:rPr>
        <w:t>The sexual and reproductive healthcare needs of LGBTQ youth are often unmet within both juvenile and </w:t>
      </w:r>
      <w:bookmarkStart w:name="_bookmark379" w:id="612"/>
      <w:bookmarkEnd w:id="612"/>
      <w:r>
        <w:rPr>
          <w:sz w:val="21"/>
        </w:rPr>
        <w:t>c</w:t>
      </w:r>
      <w:r>
        <w:rPr>
          <w:sz w:val="21"/>
        </w:rPr>
        <w:t>riminal detention facilities, contributing to a higher rate of sexually transmitted infections and HIV </w:t>
      </w:r>
      <w:bookmarkStart w:name="_bookmark380" w:id="613"/>
      <w:bookmarkEnd w:id="613"/>
      <w:r>
        <w:rPr>
          <w:sz w:val="21"/>
        </w:rPr>
        <w:t>tran</w:t>
      </w:r>
      <w:r>
        <w:rPr>
          <w:sz w:val="21"/>
        </w:rPr>
        <w:t>smission among this population upon release. </w:t>
      </w:r>
      <w:hyperlink w:history="true" w:anchor="_bookmark428">
        <w:r>
          <w:rPr>
            <w:sz w:val="21"/>
            <w:vertAlign w:val="superscript"/>
          </w:rPr>
          <w:t>112</w:t>
        </w:r>
      </w:hyperlink>
      <w:r>
        <w:rPr>
          <w:sz w:val="21"/>
          <w:vertAlign w:val="baseline"/>
        </w:rPr>
        <w:t> Young people under state care (including in </w:t>
      </w:r>
      <w:bookmarkStart w:name="_bookmark381" w:id="614"/>
      <w:bookmarkEnd w:id="614"/>
      <w:r>
        <w:rPr>
          <w:sz w:val="21"/>
          <w:vertAlign w:val="baseline"/>
        </w:rPr>
        <w:t>d</w:t>
      </w:r>
      <w:r>
        <w:rPr>
          <w:sz w:val="21"/>
          <w:vertAlign w:val="baseline"/>
        </w:rPr>
        <w:t>etainment and incarceration) face heightened risks, necessitating a comprehensive response from the authorities responsible for their well-being. Data shows that those living outside traditional home </w:t>
      </w:r>
      <w:bookmarkStart w:name="_bookmark382" w:id="615"/>
      <w:bookmarkEnd w:id="615"/>
      <w:r>
        <w:rPr>
          <w:sz w:val="21"/>
          <w:vertAlign w:val="baseline"/>
        </w:rPr>
        <w:t>e</w:t>
      </w:r>
      <w:r>
        <w:rPr>
          <w:sz w:val="21"/>
          <w:vertAlign w:val="baseline"/>
        </w:rPr>
        <w:t>nvironments are more likely to engage in risky behaviors, including substance misuse and unprotected </w:t>
      </w:r>
      <w:bookmarkStart w:name="_bookmark383" w:id="616"/>
      <w:bookmarkEnd w:id="616"/>
      <w:r>
        <w:rPr>
          <w:sz w:val="21"/>
          <w:vertAlign w:val="baseline"/>
        </w:rPr>
        <w:t>se</w:t>
      </w:r>
      <w:r>
        <w:rPr>
          <w:sz w:val="21"/>
          <w:vertAlign w:val="baseline"/>
        </w:rPr>
        <w:t>x.</w:t>
      </w:r>
      <w:hyperlink w:history="true" w:anchor="_bookmark429">
        <w:r>
          <w:rPr>
            <w:sz w:val="21"/>
            <w:vertAlign w:val="superscript"/>
          </w:rPr>
          <w:t>113</w:t>
        </w:r>
      </w:hyperlink>
      <w:r>
        <w:rPr>
          <w:spacing w:val="-2"/>
          <w:sz w:val="21"/>
          <w:vertAlign w:val="baseline"/>
        </w:rPr>
        <w:t> </w:t>
      </w:r>
      <w:r>
        <w:rPr>
          <w:sz w:val="21"/>
          <w:vertAlign w:val="baseline"/>
        </w:rPr>
        <w:t>Adolescents</w:t>
      </w:r>
      <w:r>
        <w:rPr>
          <w:spacing w:val="-6"/>
          <w:sz w:val="21"/>
          <w:vertAlign w:val="baseline"/>
        </w:rPr>
        <w:t> </w:t>
      </w:r>
      <w:r>
        <w:rPr>
          <w:sz w:val="21"/>
          <w:vertAlign w:val="baseline"/>
        </w:rPr>
        <w:t>in</w:t>
      </w:r>
      <w:r>
        <w:rPr>
          <w:spacing w:val="-7"/>
          <w:sz w:val="21"/>
          <w:vertAlign w:val="baseline"/>
        </w:rPr>
        <w:t> </w:t>
      </w:r>
      <w:r>
        <w:rPr>
          <w:sz w:val="21"/>
          <w:vertAlign w:val="baseline"/>
        </w:rPr>
        <w:t>juvenile</w:t>
      </w:r>
      <w:r>
        <w:rPr>
          <w:spacing w:val="-7"/>
          <w:sz w:val="21"/>
          <w:vertAlign w:val="baseline"/>
        </w:rPr>
        <w:t> </w:t>
      </w:r>
      <w:r>
        <w:rPr>
          <w:sz w:val="21"/>
          <w:vertAlign w:val="baseline"/>
        </w:rPr>
        <w:t>detention</w:t>
      </w:r>
      <w:r>
        <w:rPr>
          <w:spacing w:val="-6"/>
          <w:sz w:val="21"/>
          <w:vertAlign w:val="baseline"/>
        </w:rPr>
        <w:t> </w:t>
      </w:r>
      <w:r>
        <w:rPr>
          <w:sz w:val="21"/>
          <w:vertAlign w:val="baseline"/>
        </w:rPr>
        <w:t>centers</w:t>
      </w:r>
      <w:r>
        <w:rPr>
          <w:spacing w:val="-6"/>
          <w:sz w:val="21"/>
          <w:vertAlign w:val="baseline"/>
        </w:rPr>
        <w:t> </w:t>
      </w:r>
      <w:r>
        <w:rPr>
          <w:sz w:val="21"/>
          <w:vertAlign w:val="baseline"/>
        </w:rPr>
        <w:t>tend</w:t>
      </w:r>
      <w:r>
        <w:rPr>
          <w:spacing w:val="-7"/>
          <w:sz w:val="21"/>
          <w:vertAlign w:val="baseline"/>
        </w:rPr>
        <w:t> </w:t>
      </w:r>
      <w:r>
        <w:rPr>
          <w:sz w:val="21"/>
          <w:vertAlign w:val="baseline"/>
        </w:rPr>
        <w:t>to</w:t>
      </w:r>
      <w:r>
        <w:rPr>
          <w:spacing w:val="-7"/>
          <w:sz w:val="21"/>
          <w:vertAlign w:val="baseline"/>
        </w:rPr>
        <w:t> </w:t>
      </w:r>
      <w:r>
        <w:rPr>
          <w:sz w:val="21"/>
          <w:vertAlign w:val="baseline"/>
        </w:rPr>
        <w:t>start</w:t>
      </w:r>
      <w:r>
        <w:rPr>
          <w:spacing w:val="-5"/>
          <w:sz w:val="21"/>
          <w:vertAlign w:val="baseline"/>
        </w:rPr>
        <w:t> </w:t>
      </w:r>
      <w:r>
        <w:rPr>
          <w:sz w:val="21"/>
          <w:vertAlign w:val="baseline"/>
        </w:rPr>
        <w:t>having</w:t>
      </w:r>
      <w:r>
        <w:rPr>
          <w:spacing w:val="-6"/>
          <w:sz w:val="21"/>
          <w:vertAlign w:val="baseline"/>
        </w:rPr>
        <w:t> </w:t>
      </w:r>
      <w:r>
        <w:rPr>
          <w:sz w:val="21"/>
          <w:vertAlign w:val="baseline"/>
        </w:rPr>
        <w:t>sex</w:t>
      </w:r>
      <w:r>
        <w:rPr>
          <w:spacing w:val="-7"/>
          <w:sz w:val="21"/>
          <w:vertAlign w:val="baseline"/>
        </w:rPr>
        <w:t> </w:t>
      </w:r>
      <w:r>
        <w:rPr>
          <w:sz w:val="21"/>
          <w:vertAlign w:val="baseline"/>
        </w:rPr>
        <w:t>at</w:t>
      </w:r>
      <w:r>
        <w:rPr>
          <w:spacing w:val="-5"/>
          <w:sz w:val="21"/>
          <w:vertAlign w:val="baseline"/>
        </w:rPr>
        <w:t> </w:t>
      </w:r>
      <w:r>
        <w:rPr>
          <w:sz w:val="21"/>
          <w:vertAlign w:val="baseline"/>
        </w:rPr>
        <w:t>younger</w:t>
      </w:r>
      <w:r>
        <w:rPr>
          <w:spacing w:val="-7"/>
          <w:sz w:val="21"/>
          <w:vertAlign w:val="baseline"/>
        </w:rPr>
        <w:t> </w:t>
      </w:r>
      <w:r>
        <w:rPr>
          <w:sz w:val="21"/>
          <w:vertAlign w:val="baseline"/>
        </w:rPr>
        <w:t>ages</w:t>
      </w:r>
      <w:r>
        <w:rPr>
          <w:spacing w:val="-6"/>
          <w:sz w:val="21"/>
          <w:vertAlign w:val="baseline"/>
        </w:rPr>
        <w:t> </w:t>
      </w:r>
      <w:r>
        <w:rPr>
          <w:sz w:val="21"/>
          <w:vertAlign w:val="baseline"/>
        </w:rPr>
        <w:t>and</w:t>
      </w:r>
      <w:r>
        <w:rPr>
          <w:spacing w:val="-6"/>
          <w:sz w:val="21"/>
          <w:vertAlign w:val="baseline"/>
        </w:rPr>
        <w:t> </w:t>
      </w:r>
      <w:r>
        <w:rPr>
          <w:sz w:val="21"/>
          <w:vertAlign w:val="baseline"/>
        </w:rPr>
        <w:t>report</w:t>
      </w:r>
      <w:r>
        <w:rPr>
          <w:spacing w:val="-7"/>
          <w:sz w:val="21"/>
          <w:vertAlign w:val="baseline"/>
        </w:rPr>
        <w:t> </w:t>
      </w:r>
      <w:r>
        <w:rPr>
          <w:sz w:val="21"/>
          <w:vertAlign w:val="baseline"/>
        </w:rPr>
        <w:t>higher </w:t>
      </w:r>
      <w:bookmarkStart w:name="_bookmark384" w:id="617"/>
      <w:bookmarkEnd w:id="617"/>
      <w:r>
        <w:rPr>
          <w:sz w:val="21"/>
          <w:vertAlign w:val="baseline"/>
        </w:rPr>
        <w:t>rat</w:t>
      </w:r>
      <w:r>
        <w:rPr>
          <w:sz w:val="21"/>
          <w:vertAlign w:val="baseline"/>
        </w:rPr>
        <w:t>es of sexually transmitted infections (STIs) compared to</w:t>
      </w:r>
      <w:r>
        <w:rPr>
          <w:spacing w:val="-1"/>
          <w:sz w:val="21"/>
          <w:vertAlign w:val="baseline"/>
        </w:rPr>
        <w:t> </w:t>
      </w:r>
      <w:r>
        <w:rPr>
          <w:sz w:val="21"/>
          <w:vertAlign w:val="baseline"/>
        </w:rPr>
        <w:t>their</w:t>
      </w:r>
      <w:r>
        <w:rPr>
          <w:spacing w:val="-1"/>
          <w:sz w:val="21"/>
          <w:vertAlign w:val="baseline"/>
        </w:rPr>
        <w:t> </w:t>
      </w:r>
      <w:r>
        <w:rPr>
          <w:sz w:val="21"/>
          <w:vertAlign w:val="baseline"/>
        </w:rPr>
        <w:t>peers not in</w:t>
      </w:r>
      <w:r>
        <w:rPr>
          <w:spacing w:val="-1"/>
          <w:sz w:val="21"/>
          <w:vertAlign w:val="baseline"/>
        </w:rPr>
        <w:t> </w:t>
      </w:r>
      <w:r>
        <w:rPr>
          <w:sz w:val="21"/>
          <w:vertAlign w:val="baseline"/>
        </w:rPr>
        <w:t>such facilities.</w:t>
      </w:r>
      <w:hyperlink w:history="true" w:anchor="_bookmark430">
        <w:r>
          <w:rPr>
            <w:sz w:val="21"/>
            <w:vertAlign w:val="superscript"/>
          </w:rPr>
          <w:t>114</w:t>
        </w:r>
      </w:hyperlink>
      <w:r>
        <w:rPr>
          <w:spacing w:val="-2"/>
          <w:sz w:val="21"/>
          <w:vertAlign w:val="baseline"/>
        </w:rPr>
        <w:t> </w:t>
      </w:r>
      <w:r>
        <w:rPr>
          <w:sz w:val="21"/>
          <w:vertAlign w:val="baseline"/>
        </w:rPr>
        <w:t>A significant </w:t>
      </w:r>
      <w:bookmarkStart w:name="_bookmark385" w:id="618"/>
      <w:bookmarkEnd w:id="618"/>
      <w:r>
        <w:rPr>
          <w:sz w:val="21"/>
          <w:vertAlign w:val="baseline"/>
        </w:rPr>
      </w:r>
      <w:bookmarkStart w:name="_bookmark386" w:id="619"/>
      <w:bookmarkEnd w:id="619"/>
      <w:r>
        <w:rPr>
          <w:sz w:val="21"/>
          <w:vertAlign w:val="baseline"/>
        </w:rPr>
        <w:t>numb</w:t>
      </w:r>
      <w:r>
        <w:rPr>
          <w:sz w:val="21"/>
          <w:vertAlign w:val="baseline"/>
        </w:rPr>
        <w:t>er</w:t>
      </w:r>
      <w:r>
        <w:rPr>
          <w:spacing w:val="-3"/>
          <w:sz w:val="21"/>
          <w:vertAlign w:val="baseline"/>
        </w:rPr>
        <w:t> </w:t>
      </w:r>
      <w:r>
        <w:rPr>
          <w:sz w:val="21"/>
          <w:vertAlign w:val="baseline"/>
        </w:rPr>
        <w:t>of</w:t>
      </w:r>
      <w:r>
        <w:rPr>
          <w:spacing w:val="-3"/>
          <w:sz w:val="21"/>
          <w:vertAlign w:val="baseline"/>
        </w:rPr>
        <w:t> </w:t>
      </w:r>
      <w:r>
        <w:rPr>
          <w:sz w:val="21"/>
          <w:vertAlign w:val="baseline"/>
        </w:rPr>
        <w:t>these</w:t>
      </w:r>
      <w:r>
        <w:rPr>
          <w:spacing w:val="-3"/>
          <w:sz w:val="21"/>
          <w:vertAlign w:val="baseline"/>
        </w:rPr>
        <w:t> </w:t>
      </w:r>
      <w:r>
        <w:rPr>
          <w:sz w:val="21"/>
          <w:vertAlign w:val="baseline"/>
        </w:rPr>
        <w:t>young</w:t>
      </w:r>
      <w:r>
        <w:rPr>
          <w:spacing w:val="-3"/>
          <w:sz w:val="21"/>
          <w:vertAlign w:val="baseline"/>
        </w:rPr>
        <w:t> </w:t>
      </w:r>
      <w:r>
        <w:rPr>
          <w:sz w:val="21"/>
          <w:vertAlign w:val="baseline"/>
        </w:rPr>
        <w:t>individuals</w:t>
      </w:r>
      <w:r>
        <w:rPr>
          <w:spacing w:val="-4"/>
          <w:sz w:val="21"/>
          <w:vertAlign w:val="baseline"/>
        </w:rPr>
        <w:t> </w:t>
      </w:r>
      <w:r>
        <w:rPr>
          <w:sz w:val="21"/>
          <w:vertAlign w:val="baseline"/>
        </w:rPr>
        <w:t>entered</w:t>
      </w:r>
      <w:r>
        <w:rPr>
          <w:spacing w:val="-3"/>
          <w:sz w:val="21"/>
          <w:vertAlign w:val="baseline"/>
        </w:rPr>
        <w:t> </w:t>
      </w:r>
      <w:r>
        <w:rPr>
          <w:sz w:val="21"/>
          <w:vertAlign w:val="baseline"/>
        </w:rPr>
        <w:t>state</w:t>
      </w:r>
      <w:r>
        <w:rPr>
          <w:spacing w:val="-3"/>
          <w:sz w:val="21"/>
          <w:vertAlign w:val="baseline"/>
        </w:rPr>
        <w:t> </w:t>
      </w:r>
      <w:r>
        <w:rPr>
          <w:sz w:val="21"/>
          <w:vertAlign w:val="baseline"/>
        </w:rPr>
        <w:t>control</w:t>
      </w:r>
      <w:r>
        <w:rPr>
          <w:spacing w:val="-3"/>
          <w:sz w:val="21"/>
          <w:vertAlign w:val="baseline"/>
        </w:rPr>
        <w:t> </w:t>
      </w:r>
      <w:r>
        <w:rPr>
          <w:sz w:val="21"/>
          <w:vertAlign w:val="baseline"/>
        </w:rPr>
        <w:t>after</w:t>
      </w:r>
      <w:r>
        <w:rPr>
          <w:spacing w:val="-3"/>
          <w:sz w:val="21"/>
          <w:vertAlign w:val="baseline"/>
        </w:rPr>
        <w:t> </w:t>
      </w:r>
      <w:r>
        <w:rPr>
          <w:sz w:val="21"/>
          <w:vertAlign w:val="baseline"/>
        </w:rPr>
        <w:t>living</w:t>
      </w:r>
      <w:r>
        <w:rPr>
          <w:spacing w:val="-3"/>
          <w:sz w:val="21"/>
          <w:vertAlign w:val="baseline"/>
        </w:rPr>
        <w:t> </w:t>
      </w:r>
      <w:r>
        <w:rPr>
          <w:sz w:val="21"/>
          <w:vertAlign w:val="baseline"/>
        </w:rPr>
        <w:t>on</w:t>
      </w:r>
      <w:r>
        <w:rPr>
          <w:spacing w:val="-3"/>
          <w:sz w:val="21"/>
          <w:vertAlign w:val="baseline"/>
        </w:rPr>
        <w:t> </w:t>
      </w:r>
      <w:r>
        <w:rPr>
          <w:sz w:val="21"/>
          <w:vertAlign w:val="baseline"/>
        </w:rPr>
        <w:t>the</w:t>
      </w:r>
      <w:r>
        <w:rPr>
          <w:spacing w:val="-3"/>
          <w:sz w:val="21"/>
          <w:vertAlign w:val="baseline"/>
        </w:rPr>
        <w:t> </w:t>
      </w:r>
      <w:r>
        <w:rPr>
          <w:sz w:val="21"/>
          <w:vertAlign w:val="baseline"/>
        </w:rPr>
        <w:t>streets,</w:t>
      </w:r>
      <w:r>
        <w:rPr>
          <w:spacing w:val="-2"/>
          <w:sz w:val="21"/>
          <w:vertAlign w:val="baseline"/>
        </w:rPr>
        <w:t> </w:t>
      </w:r>
      <w:r>
        <w:rPr>
          <w:sz w:val="21"/>
          <w:vertAlign w:val="baseline"/>
        </w:rPr>
        <w:t>where</w:t>
      </w:r>
      <w:r>
        <w:rPr>
          <w:spacing w:val="-4"/>
          <w:sz w:val="21"/>
          <w:vertAlign w:val="baseline"/>
        </w:rPr>
        <w:t> </w:t>
      </w:r>
      <w:r>
        <w:rPr>
          <w:sz w:val="21"/>
          <w:vertAlign w:val="baseline"/>
        </w:rPr>
        <w:t>they</w:t>
      </w:r>
      <w:r>
        <w:rPr>
          <w:spacing w:val="-4"/>
          <w:sz w:val="21"/>
          <w:vertAlign w:val="baseline"/>
        </w:rPr>
        <w:t> </w:t>
      </w:r>
      <w:r>
        <w:rPr>
          <w:sz w:val="21"/>
          <w:vertAlign w:val="baseline"/>
        </w:rPr>
        <w:t>might</w:t>
      </w:r>
      <w:r>
        <w:rPr>
          <w:spacing w:val="-3"/>
          <w:sz w:val="21"/>
          <w:vertAlign w:val="baseline"/>
        </w:rPr>
        <w:t> </w:t>
      </w:r>
      <w:r>
        <w:rPr>
          <w:sz w:val="21"/>
          <w:vertAlign w:val="baseline"/>
        </w:rPr>
        <w:t>have </w:t>
      </w:r>
      <w:bookmarkStart w:name="_bookmark387" w:id="620"/>
      <w:bookmarkEnd w:id="620"/>
      <w:r>
        <w:rPr>
          <w:sz w:val="21"/>
          <w:vertAlign w:val="baseline"/>
        </w:rPr>
        <w:t>e</w:t>
      </w:r>
      <w:r>
        <w:rPr>
          <w:sz w:val="21"/>
          <w:vertAlign w:val="baseline"/>
        </w:rPr>
        <w:t>ngaged in dangerous behaviors to meet basic needs, thus elevating their risk of STIs, HIV, or becoming victims of sexual violence. Federal bodies, including the Center for Disease Control and the National </w:t>
      </w:r>
      <w:bookmarkStart w:name="_bookmark388" w:id="621"/>
      <w:bookmarkEnd w:id="621"/>
      <w:r>
        <w:rPr>
          <w:sz w:val="21"/>
          <w:vertAlign w:val="baseline"/>
        </w:rPr>
        <w:t>I</w:t>
      </w:r>
      <w:r>
        <w:rPr>
          <w:sz w:val="21"/>
          <w:vertAlign w:val="baseline"/>
        </w:rPr>
        <w:t>nstitute of Justice, have identified that juveniles in confinement face a significantly higher risk of HIV and </w:t>
      </w:r>
      <w:bookmarkStart w:name="_bookmark389" w:id="622"/>
      <w:bookmarkEnd w:id="622"/>
      <w:r>
        <w:rPr>
          <w:sz w:val="21"/>
          <w:vertAlign w:val="baseline"/>
        </w:rPr>
        <w:t>S</w:t>
      </w:r>
      <w:r>
        <w:rPr>
          <w:sz w:val="21"/>
          <w:vertAlign w:val="baseline"/>
        </w:rPr>
        <w:t>TIs; and this risk follows them after they leave juvenile detention facilities.</w:t>
      </w:r>
      <w:hyperlink w:history="true" w:anchor="_bookmark431">
        <w:r>
          <w:rPr>
            <w:sz w:val="21"/>
            <w:vertAlign w:val="superscript"/>
          </w:rPr>
          <w:t>115</w:t>
        </w:r>
      </w:hyperlink>
    </w:p>
    <w:p>
      <w:pPr>
        <w:spacing w:line="276" w:lineRule="auto" w:before="239"/>
        <w:ind w:left="464" w:right="237" w:hanging="1"/>
        <w:jc w:val="both"/>
        <w:rPr>
          <w:sz w:val="21"/>
        </w:rPr>
      </w:pPr>
      <w:r>
        <w:rPr>
          <w:sz w:val="21"/>
        </w:rPr>
        <w:t>Healthcare</w:t>
      </w:r>
      <w:r>
        <w:rPr>
          <w:spacing w:val="-3"/>
          <w:sz w:val="21"/>
        </w:rPr>
        <w:t> </w:t>
      </w:r>
      <w:r>
        <w:rPr>
          <w:sz w:val="21"/>
        </w:rPr>
        <w:t>professionals</w:t>
      </w:r>
      <w:r>
        <w:rPr>
          <w:spacing w:val="-4"/>
          <w:sz w:val="21"/>
        </w:rPr>
        <w:t> </w:t>
      </w:r>
      <w:r>
        <w:rPr>
          <w:sz w:val="21"/>
        </w:rPr>
        <w:t>in</w:t>
      </w:r>
      <w:r>
        <w:rPr>
          <w:spacing w:val="-3"/>
          <w:sz w:val="21"/>
        </w:rPr>
        <w:t> </w:t>
      </w:r>
      <w:r>
        <w:rPr>
          <w:sz w:val="21"/>
        </w:rPr>
        <w:t>prisons</w:t>
      </w:r>
      <w:r>
        <w:rPr>
          <w:spacing w:val="-3"/>
          <w:sz w:val="21"/>
        </w:rPr>
        <w:t> </w:t>
      </w:r>
      <w:r>
        <w:rPr>
          <w:sz w:val="21"/>
        </w:rPr>
        <w:t>and</w:t>
      </w:r>
      <w:r>
        <w:rPr>
          <w:spacing w:val="-3"/>
          <w:sz w:val="21"/>
        </w:rPr>
        <w:t> </w:t>
      </w:r>
      <w:r>
        <w:rPr>
          <w:sz w:val="21"/>
        </w:rPr>
        <w:t>detention</w:t>
      </w:r>
      <w:r>
        <w:rPr>
          <w:spacing w:val="-3"/>
          <w:sz w:val="21"/>
        </w:rPr>
        <w:t> </w:t>
      </w:r>
      <w:r>
        <w:rPr>
          <w:sz w:val="21"/>
        </w:rPr>
        <w:t>facilities</w:t>
      </w:r>
      <w:r>
        <w:rPr>
          <w:spacing w:val="-4"/>
          <w:sz w:val="21"/>
        </w:rPr>
        <w:t> </w:t>
      </w:r>
      <w:r>
        <w:rPr>
          <w:sz w:val="21"/>
        </w:rPr>
        <w:t>should</w:t>
      </w:r>
      <w:r>
        <w:rPr>
          <w:spacing w:val="-3"/>
          <w:sz w:val="21"/>
        </w:rPr>
        <w:t> </w:t>
      </w:r>
      <w:r>
        <w:rPr>
          <w:sz w:val="21"/>
        </w:rPr>
        <w:t>deliver</w:t>
      </w:r>
      <w:r>
        <w:rPr>
          <w:spacing w:val="-3"/>
          <w:sz w:val="21"/>
        </w:rPr>
        <w:t> </w:t>
      </w:r>
      <w:r>
        <w:rPr>
          <w:sz w:val="21"/>
        </w:rPr>
        <w:t>reliable,</w:t>
      </w:r>
      <w:r>
        <w:rPr>
          <w:spacing w:val="-4"/>
          <w:sz w:val="21"/>
        </w:rPr>
        <w:t> </w:t>
      </w:r>
      <w:r>
        <w:rPr>
          <w:sz w:val="21"/>
        </w:rPr>
        <w:t>evidence-based</w:t>
      </w:r>
      <w:r>
        <w:rPr>
          <w:spacing w:val="-3"/>
          <w:sz w:val="21"/>
        </w:rPr>
        <w:t> </w:t>
      </w:r>
      <w:r>
        <w:rPr>
          <w:sz w:val="21"/>
        </w:rPr>
        <w:t>medical </w:t>
      </w:r>
      <w:bookmarkStart w:name="_bookmark390" w:id="623"/>
      <w:bookmarkEnd w:id="623"/>
      <w:r>
        <w:rPr>
          <w:sz w:val="21"/>
        </w:rPr>
        <w:t>tr</w:t>
      </w:r>
      <w:r>
        <w:rPr>
          <w:sz w:val="21"/>
        </w:rPr>
        <w:t>eatment that aligns with recognized healthcare standards; this includes immediate provision of HIV </w:t>
      </w:r>
      <w:bookmarkStart w:name="_bookmark391" w:id="624"/>
      <w:bookmarkEnd w:id="624"/>
      <w:r>
        <w:rPr>
          <w:sz w:val="21"/>
        </w:rPr>
        <w:t>tr</w:t>
      </w:r>
      <w:r>
        <w:rPr>
          <w:sz w:val="21"/>
        </w:rPr>
        <w:t>eatments</w:t>
      </w:r>
      <w:r>
        <w:rPr>
          <w:spacing w:val="-7"/>
          <w:sz w:val="21"/>
        </w:rPr>
        <w:t> </w:t>
      </w:r>
      <w:r>
        <w:rPr>
          <w:sz w:val="21"/>
        </w:rPr>
        <w:t>and</w:t>
      </w:r>
      <w:r>
        <w:rPr>
          <w:spacing w:val="-7"/>
          <w:sz w:val="21"/>
        </w:rPr>
        <w:t> </w:t>
      </w:r>
      <w:r>
        <w:rPr>
          <w:sz w:val="21"/>
        </w:rPr>
        <w:t>healthcare</w:t>
      </w:r>
      <w:r>
        <w:rPr>
          <w:spacing w:val="-7"/>
          <w:sz w:val="21"/>
        </w:rPr>
        <w:t> </w:t>
      </w:r>
      <w:r>
        <w:rPr>
          <w:sz w:val="21"/>
        </w:rPr>
        <w:t>services</w:t>
      </w:r>
      <w:r>
        <w:rPr>
          <w:spacing w:val="-7"/>
          <w:sz w:val="21"/>
        </w:rPr>
        <w:t> </w:t>
      </w:r>
      <w:r>
        <w:rPr>
          <w:sz w:val="21"/>
        </w:rPr>
        <w:t>tailored</w:t>
      </w:r>
      <w:r>
        <w:rPr>
          <w:spacing w:val="-7"/>
          <w:sz w:val="21"/>
        </w:rPr>
        <w:t> </w:t>
      </w:r>
      <w:r>
        <w:rPr>
          <w:sz w:val="21"/>
        </w:rPr>
        <w:t>to</w:t>
      </w:r>
      <w:r>
        <w:rPr>
          <w:spacing w:val="-8"/>
          <w:sz w:val="21"/>
        </w:rPr>
        <w:t> </w:t>
      </w:r>
      <w:r>
        <w:rPr>
          <w:sz w:val="21"/>
        </w:rPr>
        <w:t>the</w:t>
      </w:r>
      <w:r>
        <w:rPr>
          <w:spacing w:val="-7"/>
          <w:sz w:val="21"/>
        </w:rPr>
        <w:t> </w:t>
      </w:r>
      <w:r>
        <w:rPr>
          <w:sz w:val="21"/>
        </w:rPr>
        <w:t>needs</w:t>
      </w:r>
      <w:r>
        <w:rPr>
          <w:spacing w:val="-7"/>
          <w:sz w:val="21"/>
        </w:rPr>
        <w:t> </w:t>
      </w:r>
      <w:r>
        <w:rPr>
          <w:sz w:val="21"/>
        </w:rPr>
        <w:t>of</w:t>
      </w:r>
      <w:r>
        <w:rPr>
          <w:spacing w:val="-7"/>
          <w:sz w:val="21"/>
        </w:rPr>
        <w:t> </w:t>
      </w:r>
      <w:r>
        <w:rPr>
          <w:sz w:val="21"/>
        </w:rPr>
        <w:t>transgender</w:t>
      </w:r>
      <w:r>
        <w:rPr>
          <w:spacing w:val="-7"/>
          <w:sz w:val="21"/>
        </w:rPr>
        <w:t> </w:t>
      </w:r>
      <w:r>
        <w:rPr>
          <w:sz w:val="21"/>
        </w:rPr>
        <w:t>youth.</w:t>
      </w:r>
      <w:r>
        <w:rPr>
          <w:spacing w:val="-7"/>
          <w:sz w:val="21"/>
        </w:rPr>
        <w:t> </w:t>
      </w:r>
      <w:r>
        <w:rPr>
          <w:sz w:val="21"/>
        </w:rPr>
        <w:t>It</w:t>
      </w:r>
      <w:r>
        <w:rPr>
          <w:spacing w:val="-6"/>
          <w:sz w:val="21"/>
        </w:rPr>
        <w:t> </w:t>
      </w:r>
      <w:r>
        <w:rPr>
          <w:sz w:val="21"/>
        </w:rPr>
        <w:t>is</w:t>
      </w:r>
      <w:r>
        <w:rPr>
          <w:spacing w:val="-7"/>
          <w:sz w:val="21"/>
        </w:rPr>
        <w:t> </w:t>
      </w:r>
      <w:r>
        <w:rPr>
          <w:sz w:val="21"/>
        </w:rPr>
        <w:t>crucial</w:t>
      </w:r>
      <w:r>
        <w:rPr>
          <w:spacing w:val="-7"/>
          <w:sz w:val="21"/>
        </w:rPr>
        <w:t> </w:t>
      </w:r>
      <w:r>
        <w:rPr>
          <w:sz w:val="21"/>
        </w:rPr>
        <w:t>for</w:t>
      </w:r>
      <w:r>
        <w:rPr>
          <w:spacing w:val="-7"/>
          <w:sz w:val="21"/>
        </w:rPr>
        <w:t> </w:t>
      </w:r>
      <w:r>
        <w:rPr>
          <w:sz w:val="21"/>
        </w:rPr>
        <w:t>all</w:t>
      </w:r>
      <w:r>
        <w:rPr>
          <w:spacing w:val="-7"/>
          <w:sz w:val="21"/>
        </w:rPr>
        <w:t> </w:t>
      </w:r>
      <w:r>
        <w:rPr>
          <w:sz w:val="21"/>
        </w:rPr>
        <w:t>personnel </w:t>
      </w:r>
      <w:bookmarkStart w:name="_bookmark392" w:id="625"/>
      <w:bookmarkEnd w:id="625"/>
      <w:r>
        <w:rPr>
          <w:sz w:val="21"/>
        </w:rPr>
        <w:t>to</w:t>
      </w:r>
      <w:r>
        <w:rPr>
          <w:spacing w:val="-12"/>
          <w:sz w:val="21"/>
        </w:rPr>
        <w:t> </w:t>
      </w:r>
      <w:r>
        <w:rPr>
          <w:sz w:val="21"/>
        </w:rPr>
        <w:t>safeguard</w:t>
      </w:r>
      <w:r>
        <w:rPr>
          <w:spacing w:val="-10"/>
          <w:sz w:val="21"/>
        </w:rPr>
        <w:t> </w:t>
      </w:r>
      <w:r>
        <w:rPr>
          <w:sz w:val="21"/>
        </w:rPr>
        <w:t>the</w:t>
      </w:r>
      <w:r>
        <w:rPr>
          <w:spacing w:val="-11"/>
          <w:sz w:val="21"/>
        </w:rPr>
        <w:t> </w:t>
      </w:r>
      <w:r>
        <w:rPr>
          <w:sz w:val="21"/>
        </w:rPr>
        <w:t>privacy</w:t>
      </w:r>
      <w:r>
        <w:rPr>
          <w:spacing w:val="-12"/>
          <w:sz w:val="21"/>
        </w:rPr>
        <w:t> </w:t>
      </w:r>
      <w:r>
        <w:rPr>
          <w:sz w:val="21"/>
        </w:rPr>
        <w:t>of</w:t>
      </w:r>
      <w:r>
        <w:rPr>
          <w:spacing w:val="-11"/>
          <w:sz w:val="21"/>
        </w:rPr>
        <w:t> </w:t>
      </w:r>
      <w:r>
        <w:rPr>
          <w:sz w:val="21"/>
        </w:rPr>
        <w:t>young</w:t>
      </w:r>
      <w:r>
        <w:rPr>
          <w:spacing w:val="-12"/>
          <w:sz w:val="21"/>
        </w:rPr>
        <w:t> </w:t>
      </w:r>
      <w:r>
        <w:rPr>
          <w:sz w:val="21"/>
        </w:rPr>
        <w:t>individuals</w:t>
      </w:r>
      <w:r>
        <w:rPr>
          <w:spacing w:val="-11"/>
          <w:sz w:val="21"/>
        </w:rPr>
        <w:t> </w:t>
      </w:r>
      <w:r>
        <w:rPr>
          <w:sz w:val="21"/>
        </w:rPr>
        <w:t>by</w:t>
      </w:r>
      <w:r>
        <w:rPr>
          <w:spacing w:val="-12"/>
          <w:sz w:val="21"/>
        </w:rPr>
        <w:t> </w:t>
      </w:r>
      <w:r>
        <w:rPr>
          <w:sz w:val="21"/>
        </w:rPr>
        <w:t>securing</w:t>
      </w:r>
      <w:r>
        <w:rPr>
          <w:spacing w:val="-11"/>
          <w:sz w:val="21"/>
        </w:rPr>
        <w:t> </w:t>
      </w:r>
      <w:r>
        <w:rPr>
          <w:sz w:val="21"/>
        </w:rPr>
        <w:t>their</w:t>
      </w:r>
      <w:r>
        <w:rPr>
          <w:spacing w:val="-11"/>
          <w:sz w:val="21"/>
        </w:rPr>
        <w:t> </w:t>
      </w:r>
      <w:r>
        <w:rPr>
          <w:sz w:val="21"/>
        </w:rPr>
        <w:t>health</w:t>
      </w:r>
      <w:r>
        <w:rPr>
          <w:spacing w:val="-12"/>
          <w:sz w:val="21"/>
        </w:rPr>
        <w:t> </w:t>
      </w:r>
      <w:r>
        <w:rPr>
          <w:sz w:val="21"/>
        </w:rPr>
        <w:t>records</w:t>
      </w:r>
      <w:r>
        <w:rPr>
          <w:spacing w:val="-11"/>
          <w:sz w:val="21"/>
        </w:rPr>
        <w:t> </w:t>
      </w:r>
      <w:r>
        <w:rPr>
          <w:sz w:val="21"/>
        </w:rPr>
        <w:t>and</w:t>
      </w:r>
      <w:r>
        <w:rPr>
          <w:spacing w:val="-11"/>
          <w:sz w:val="21"/>
        </w:rPr>
        <w:t> </w:t>
      </w:r>
      <w:r>
        <w:rPr>
          <w:sz w:val="21"/>
        </w:rPr>
        <w:t>limiting</w:t>
      </w:r>
      <w:r>
        <w:rPr>
          <w:spacing w:val="-12"/>
          <w:sz w:val="21"/>
        </w:rPr>
        <w:t> </w:t>
      </w:r>
      <w:r>
        <w:rPr>
          <w:sz w:val="21"/>
        </w:rPr>
        <w:t>the</w:t>
      </w:r>
      <w:r>
        <w:rPr>
          <w:spacing w:val="-12"/>
          <w:sz w:val="21"/>
        </w:rPr>
        <w:t> </w:t>
      </w:r>
      <w:r>
        <w:rPr>
          <w:sz w:val="21"/>
        </w:rPr>
        <w:t>dissemination </w:t>
      </w:r>
      <w:bookmarkStart w:name="_bookmark393" w:id="626"/>
      <w:bookmarkEnd w:id="626"/>
      <w:r>
        <w:rPr>
          <w:sz w:val="21"/>
        </w:rPr>
        <w:t>o</w:t>
      </w:r>
      <w:r>
        <w:rPr>
          <w:sz w:val="21"/>
        </w:rPr>
        <w:t>f</w:t>
      </w:r>
      <w:r>
        <w:rPr>
          <w:spacing w:val="-4"/>
          <w:sz w:val="21"/>
        </w:rPr>
        <w:t> </w:t>
      </w:r>
      <w:r>
        <w:rPr>
          <w:sz w:val="21"/>
        </w:rPr>
        <w:t>sensitive</w:t>
      </w:r>
      <w:r>
        <w:rPr>
          <w:spacing w:val="-3"/>
          <w:sz w:val="21"/>
        </w:rPr>
        <w:t> </w:t>
      </w:r>
      <w:r>
        <w:rPr>
          <w:sz w:val="21"/>
        </w:rPr>
        <w:t>information</w:t>
      </w:r>
      <w:r>
        <w:rPr>
          <w:spacing w:val="-3"/>
          <w:sz w:val="21"/>
        </w:rPr>
        <w:t> </w:t>
      </w:r>
      <w:r>
        <w:rPr>
          <w:sz w:val="21"/>
        </w:rPr>
        <w:t>to</w:t>
      </w:r>
      <w:r>
        <w:rPr>
          <w:spacing w:val="-3"/>
          <w:sz w:val="21"/>
        </w:rPr>
        <w:t> </w:t>
      </w:r>
      <w:r>
        <w:rPr>
          <w:sz w:val="21"/>
        </w:rPr>
        <w:t>non-medical</w:t>
      </w:r>
      <w:r>
        <w:rPr>
          <w:spacing w:val="-3"/>
          <w:sz w:val="21"/>
        </w:rPr>
        <w:t> </w:t>
      </w:r>
      <w:r>
        <w:rPr>
          <w:sz w:val="21"/>
        </w:rPr>
        <w:t>staff,</w:t>
      </w:r>
      <w:r>
        <w:rPr>
          <w:spacing w:val="-3"/>
          <w:sz w:val="21"/>
        </w:rPr>
        <w:t> </w:t>
      </w:r>
      <w:r>
        <w:rPr>
          <w:sz w:val="21"/>
        </w:rPr>
        <w:t>such</w:t>
      </w:r>
      <w:r>
        <w:rPr>
          <w:spacing w:val="-3"/>
          <w:sz w:val="21"/>
        </w:rPr>
        <w:t> </w:t>
      </w:r>
      <w:r>
        <w:rPr>
          <w:sz w:val="21"/>
        </w:rPr>
        <w:t>as</w:t>
      </w:r>
      <w:r>
        <w:rPr>
          <w:spacing w:val="-4"/>
          <w:sz w:val="21"/>
        </w:rPr>
        <w:t> </w:t>
      </w:r>
      <w:r>
        <w:rPr>
          <w:sz w:val="21"/>
        </w:rPr>
        <w:t>a</w:t>
      </w:r>
      <w:r>
        <w:rPr>
          <w:spacing w:val="-3"/>
          <w:sz w:val="21"/>
        </w:rPr>
        <w:t> </w:t>
      </w:r>
      <w:r>
        <w:rPr>
          <w:sz w:val="21"/>
        </w:rPr>
        <w:t>youth's</w:t>
      </w:r>
      <w:r>
        <w:rPr>
          <w:spacing w:val="-4"/>
          <w:sz w:val="21"/>
        </w:rPr>
        <w:t> </w:t>
      </w:r>
      <w:r>
        <w:rPr>
          <w:sz w:val="21"/>
        </w:rPr>
        <w:t>HIV</w:t>
      </w:r>
      <w:r>
        <w:rPr>
          <w:spacing w:val="-3"/>
          <w:sz w:val="21"/>
        </w:rPr>
        <w:t> </w:t>
      </w:r>
      <w:r>
        <w:rPr>
          <w:sz w:val="21"/>
        </w:rPr>
        <w:t>status</w:t>
      </w:r>
      <w:r>
        <w:rPr>
          <w:spacing w:val="-4"/>
          <w:sz w:val="21"/>
        </w:rPr>
        <w:t> </w:t>
      </w:r>
      <w:r>
        <w:rPr>
          <w:sz w:val="21"/>
        </w:rPr>
        <w:t>or</w:t>
      </w:r>
      <w:r>
        <w:rPr>
          <w:spacing w:val="-3"/>
          <w:sz w:val="21"/>
        </w:rPr>
        <w:t> </w:t>
      </w:r>
      <w:r>
        <w:rPr>
          <w:sz w:val="21"/>
        </w:rPr>
        <w:t>LGBTQ</w:t>
      </w:r>
      <w:r>
        <w:rPr>
          <w:spacing w:val="-3"/>
          <w:sz w:val="21"/>
        </w:rPr>
        <w:t> </w:t>
      </w:r>
      <w:r>
        <w:rPr>
          <w:sz w:val="21"/>
        </w:rPr>
        <w:t>identification.</w:t>
      </w:r>
      <w:r>
        <w:rPr>
          <w:spacing w:val="-3"/>
          <w:sz w:val="21"/>
        </w:rPr>
        <w:t> </w:t>
      </w:r>
      <w:r>
        <w:rPr>
          <w:sz w:val="21"/>
        </w:rPr>
        <w:t>Further, many juvenile legal facilities are inadequately equipped to meet the medical needs of transgender youth, </w:t>
      </w:r>
      <w:bookmarkStart w:name="_bookmark394" w:id="627"/>
      <w:bookmarkEnd w:id="627"/>
      <w:r>
        <w:rPr>
          <w:sz w:val="21"/>
        </w:rPr>
        <w:t>i</w:t>
      </w:r>
      <w:r>
        <w:rPr>
          <w:sz w:val="21"/>
        </w:rPr>
        <w:t>ncluding the provision of transition-related hormones or hormone blockers.</w:t>
      </w:r>
      <w:hyperlink w:history="true" w:anchor="_bookmark432">
        <w:r>
          <w:rPr>
            <w:sz w:val="21"/>
            <w:vertAlign w:val="superscript"/>
          </w:rPr>
          <w:t>116</w:t>
        </w:r>
      </w:hyperlink>
      <w:r>
        <w:rPr>
          <w:spacing w:val="-2"/>
          <w:sz w:val="21"/>
          <w:vertAlign w:val="baseline"/>
        </w:rPr>
        <w:t> </w:t>
      </w:r>
      <w:r>
        <w:rPr>
          <w:sz w:val="21"/>
          <w:vertAlign w:val="baseline"/>
        </w:rPr>
        <w:t>The pressing sexual health </w:t>
      </w:r>
      <w:bookmarkStart w:name="_bookmark395" w:id="628"/>
      <w:bookmarkEnd w:id="628"/>
      <w:r>
        <w:rPr>
          <w:sz w:val="21"/>
          <w:vertAlign w:val="baseline"/>
        </w:rPr>
        <w:t>n</w:t>
      </w:r>
      <w:r>
        <w:rPr>
          <w:sz w:val="21"/>
          <w:vertAlign w:val="baseline"/>
        </w:rPr>
        <w:t>eeds of young individuals in state facilities require a dedicated effort by the authorities overseeing the juvenile and criminal legal institutions. Unlike their peers not in custody, these youths often lack regular </w:t>
      </w:r>
      <w:bookmarkStart w:name="_bookmark396" w:id="629"/>
      <w:bookmarkEnd w:id="629"/>
      <w:r>
        <w:rPr>
          <w:sz w:val="21"/>
          <w:vertAlign w:val="baseline"/>
        </w:rPr>
        <w:t>ac</w:t>
      </w:r>
      <w:r>
        <w:rPr>
          <w:sz w:val="21"/>
          <w:vertAlign w:val="baseline"/>
        </w:rPr>
        <w:t>cess</w:t>
      </w:r>
      <w:r>
        <w:rPr>
          <w:spacing w:val="-12"/>
          <w:sz w:val="21"/>
          <w:vertAlign w:val="baseline"/>
        </w:rPr>
        <w:t> </w:t>
      </w:r>
      <w:r>
        <w:rPr>
          <w:sz w:val="21"/>
          <w:vertAlign w:val="baseline"/>
        </w:rPr>
        <w:t>to</w:t>
      </w:r>
      <w:r>
        <w:rPr>
          <w:spacing w:val="-11"/>
          <w:sz w:val="21"/>
          <w:vertAlign w:val="baseline"/>
        </w:rPr>
        <w:t> </w:t>
      </w:r>
      <w:r>
        <w:rPr>
          <w:sz w:val="21"/>
          <w:vertAlign w:val="baseline"/>
        </w:rPr>
        <w:t>educational</w:t>
      </w:r>
      <w:r>
        <w:rPr>
          <w:spacing w:val="-11"/>
          <w:sz w:val="21"/>
          <w:vertAlign w:val="baseline"/>
        </w:rPr>
        <w:t> </w:t>
      </w:r>
      <w:r>
        <w:rPr>
          <w:sz w:val="21"/>
          <w:vertAlign w:val="baseline"/>
        </w:rPr>
        <w:t>resources</w:t>
      </w:r>
      <w:r>
        <w:rPr>
          <w:spacing w:val="-11"/>
          <w:sz w:val="21"/>
          <w:vertAlign w:val="baseline"/>
        </w:rPr>
        <w:t> </w:t>
      </w:r>
      <w:r>
        <w:rPr>
          <w:sz w:val="21"/>
          <w:vertAlign w:val="baseline"/>
        </w:rPr>
        <w:t>that</w:t>
      </w:r>
      <w:r>
        <w:rPr>
          <w:spacing w:val="-11"/>
          <w:sz w:val="21"/>
          <w:vertAlign w:val="baseline"/>
        </w:rPr>
        <w:t> </w:t>
      </w:r>
      <w:r>
        <w:rPr>
          <w:sz w:val="21"/>
          <w:vertAlign w:val="baseline"/>
        </w:rPr>
        <w:t>they</w:t>
      </w:r>
      <w:r>
        <w:rPr>
          <w:spacing w:val="-12"/>
          <w:sz w:val="21"/>
          <w:vertAlign w:val="baseline"/>
        </w:rPr>
        <w:t> </w:t>
      </w:r>
      <w:r>
        <w:rPr>
          <w:sz w:val="21"/>
          <w:vertAlign w:val="baseline"/>
        </w:rPr>
        <w:t>would</w:t>
      </w:r>
      <w:r>
        <w:rPr>
          <w:spacing w:val="-10"/>
          <w:sz w:val="21"/>
          <w:vertAlign w:val="baseline"/>
        </w:rPr>
        <w:t> </w:t>
      </w:r>
      <w:r>
        <w:rPr>
          <w:sz w:val="21"/>
          <w:vertAlign w:val="baseline"/>
        </w:rPr>
        <w:t>have</w:t>
      </w:r>
      <w:r>
        <w:rPr>
          <w:spacing w:val="-11"/>
          <w:sz w:val="21"/>
          <w:vertAlign w:val="baseline"/>
        </w:rPr>
        <w:t> </w:t>
      </w:r>
      <w:r>
        <w:rPr>
          <w:sz w:val="21"/>
          <w:vertAlign w:val="baseline"/>
        </w:rPr>
        <w:t>received</w:t>
      </w:r>
      <w:r>
        <w:rPr>
          <w:spacing w:val="-11"/>
          <w:sz w:val="21"/>
          <w:vertAlign w:val="baseline"/>
        </w:rPr>
        <w:t> </w:t>
      </w:r>
      <w:r>
        <w:rPr>
          <w:sz w:val="21"/>
          <w:vertAlign w:val="baseline"/>
        </w:rPr>
        <w:t>in</w:t>
      </w:r>
      <w:r>
        <w:rPr>
          <w:spacing w:val="-11"/>
          <w:sz w:val="21"/>
          <w:vertAlign w:val="baseline"/>
        </w:rPr>
        <w:t> </w:t>
      </w:r>
      <w:r>
        <w:rPr>
          <w:sz w:val="21"/>
          <w:vertAlign w:val="baseline"/>
        </w:rPr>
        <w:t>the</w:t>
      </w:r>
      <w:r>
        <w:rPr>
          <w:spacing w:val="-11"/>
          <w:sz w:val="21"/>
          <w:vertAlign w:val="baseline"/>
        </w:rPr>
        <w:t> </w:t>
      </w:r>
      <w:r>
        <w:rPr>
          <w:sz w:val="21"/>
          <w:vertAlign w:val="baseline"/>
        </w:rPr>
        <w:t>public</w:t>
      </w:r>
      <w:r>
        <w:rPr>
          <w:spacing w:val="-11"/>
          <w:sz w:val="21"/>
          <w:vertAlign w:val="baseline"/>
        </w:rPr>
        <w:t> </w:t>
      </w:r>
      <w:r>
        <w:rPr>
          <w:sz w:val="21"/>
          <w:vertAlign w:val="baseline"/>
        </w:rPr>
        <w:t>school</w:t>
      </w:r>
      <w:r>
        <w:rPr>
          <w:spacing w:val="-11"/>
          <w:sz w:val="21"/>
          <w:vertAlign w:val="baseline"/>
        </w:rPr>
        <w:t> </w:t>
      </w:r>
      <w:r>
        <w:rPr>
          <w:sz w:val="21"/>
          <w:vertAlign w:val="baseline"/>
        </w:rPr>
        <w:t>system</w:t>
      </w:r>
      <w:r>
        <w:rPr>
          <w:spacing w:val="-11"/>
          <w:sz w:val="21"/>
          <w:vertAlign w:val="baseline"/>
        </w:rPr>
        <w:t> </w:t>
      </w:r>
      <w:r>
        <w:rPr>
          <w:sz w:val="21"/>
          <w:vertAlign w:val="baseline"/>
        </w:rPr>
        <w:t>or</w:t>
      </w:r>
      <w:r>
        <w:rPr>
          <w:spacing w:val="-11"/>
          <w:sz w:val="21"/>
          <w:vertAlign w:val="baseline"/>
        </w:rPr>
        <w:t> </w:t>
      </w:r>
      <w:r>
        <w:rPr>
          <w:sz w:val="21"/>
          <w:vertAlign w:val="baseline"/>
        </w:rPr>
        <w:t>guidance</w:t>
      </w:r>
      <w:r>
        <w:rPr>
          <w:spacing w:val="-11"/>
          <w:sz w:val="21"/>
          <w:vertAlign w:val="baseline"/>
        </w:rPr>
        <w:t> </w:t>
      </w:r>
      <w:r>
        <w:rPr>
          <w:sz w:val="21"/>
          <w:vertAlign w:val="baseline"/>
        </w:rPr>
        <w:t>from </w:t>
      </w:r>
      <w:bookmarkStart w:name="_bookmark397" w:id="630"/>
      <w:bookmarkEnd w:id="630"/>
      <w:r>
        <w:rPr>
          <w:sz w:val="21"/>
          <w:vertAlign w:val="baseline"/>
        </w:rPr>
        <w:t>a</w:t>
      </w:r>
      <w:r>
        <w:rPr>
          <w:spacing w:val="-12"/>
          <w:sz w:val="21"/>
          <w:vertAlign w:val="baseline"/>
        </w:rPr>
        <w:t> </w:t>
      </w:r>
      <w:r>
        <w:rPr>
          <w:sz w:val="21"/>
          <w:vertAlign w:val="baseline"/>
        </w:rPr>
        <w:t>parent</w:t>
      </w:r>
      <w:r>
        <w:rPr>
          <w:spacing w:val="-12"/>
          <w:sz w:val="21"/>
          <w:vertAlign w:val="baseline"/>
        </w:rPr>
        <w:t> </w:t>
      </w:r>
      <w:r>
        <w:rPr>
          <w:sz w:val="21"/>
          <w:vertAlign w:val="baseline"/>
        </w:rPr>
        <w:t>regarding</w:t>
      </w:r>
      <w:r>
        <w:rPr>
          <w:spacing w:val="-12"/>
          <w:sz w:val="21"/>
          <w:vertAlign w:val="baseline"/>
        </w:rPr>
        <w:t> </w:t>
      </w:r>
      <w:r>
        <w:rPr>
          <w:sz w:val="21"/>
          <w:vertAlign w:val="baseline"/>
        </w:rPr>
        <w:t>health,</w:t>
      </w:r>
      <w:r>
        <w:rPr>
          <w:spacing w:val="-12"/>
          <w:sz w:val="21"/>
          <w:vertAlign w:val="baseline"/>
        </w:rPr>
        <w:t> </w:t>
      </w:r>
      <w:r>
        <w:rPr>
          <w:sz w:val="21"/>
          <w:vertAlign w:val="baseline"/>
        </w:rPr>
        <w:t>including</w:t>
      </w:r>
      <w:r>
        <w:rPr>
          <w:spacing w:val="-12"/>
          <w:sz w:val="21"/>
          <w:vertAlign w:val="baseline"/>
        </w:rPr>
        <w:t> </w:t>
      </w:r>
      <w:r>
        <w:rPr>
          <w:sz w:val="21"/>
          <w:vertAlign w:val="baseline"/>
        </w:rPr>
        <w:t>sexual</w:t>
      </w:r>
      <w:r>
        <w:rPr>
          <w:spacing w:val="-12"/>
          <w:sz w:val="21"/>
          <w:vertAlign w:val="baseline"/>
        </w:rPr>
        <w:t> </w:t>
      </w:r>
      <w:r>
        <w:rPr>
          <w:sz w:val="21"/>
          <w:vertAlign w:val="baseline"/>
        </w:rPr>
        <w:t>education.</w:t>
      </w:r>
      <w:r>
        <w:rPr>
          <w:spacing w:val="-12"/>
          <w:sz w:val="21"/>
          <w:vertAlign w:val="baseline"/>
        </w:rPr>
        <w:t> </w:t>
      </w:r>
      <w:r>
        <w:rPr>
          <w:sz w:val="21"/>
          <w:vertAlign w:val="baseline"/>
        </w:rPr>
        <w:t>Furthermore,</w:t>
      </w:r>
      <w:r>
        <w:rPr>
          <w:spacing w:val="-11"/>
          <w:sz w:val="21"/>
          <w:vertAlign w:val="baseline"/>
        </w:rPr>
        <w:t> </w:t>
      </w:r>
      <w:r>
        <w:rPr>
          <w:sz w:val="21"/>
          <w:vertAlign w:val="baseline"/>
        </w:rPr>
        <w:t>they</w:t>
      </w:r>
      <w:r>
        <w:rPr>
          <w:spacing w:val="-12"/>
          <w:sz w:val="21"/>
          <w:vertAlign w:val="baseline"/>
        </w:rPr>
        <w:t> </w:t>
      </w:r>
      <w:r>
        <w:rPr>
          <w:sz w:val="21"/>
          <w:vertAlign w:val="baseline"/>
        </w:rPr>
        <w:t>are</w:t>
      </w:r>
      <w:r>
        <w:rPr>
          <w:spacing w:val="-12"/>
          <w:sz w:val="21"/>
          <w:vertAlign w:val="baseline"/>
        </w:rPr>
        <w:t> </w:t>
      </w:r>
      <w:r>
        <w:rPr>
          <w:sz w:val="21"/>
          <w:vertAlign w:val="baseline"/>
        </w:rPr>
        <w:t>unable</w:t>
      </w:r>
      <w:r>
        <w:rPr>
          <w:spacing w:val="-12"/>
          <w:sz w:val="21"/>
          <w:vertAlign w:val="baseline"/>
        </w:rPr>
        <w:t> </w:t>
      </w:r>
      <w:r>
        <w:rPr>
          <w:sz w:val="21"/>
          <w:vertAlign w:val="baseline"/>
        </w:rPr>
        <w:t>to</w:t>
      </w:r>
      <w:r>
        <w:rPr>
          <w:spacing w:val="-12"/>
          <w:sz w:val="21"/>
          <w:vertAlign w:val="baseline"/>
        </w:rPr>
        <w:t> </w:t>
      </w:r>
      <w:r>
        <w:rPr>
          <w:sz w:val="21"/>
          <w:vertAlign w:val="baseline"/>
        </w:rPr>
        <w:t>reach</w:t>
      </w:r>
      <w:r>
        <w:rPr>
          <w:spacing w:val="-12"/>
          <w:sz w:val="21"/>
          <w:vertAlign w:val="baseline"/>
        </w:rPr>
        <w:t> </w:t>
      </w:r>
      <w:r>
        <w:rPr>
          <w:sz w:val="21"/>
          <w:vertAlign w:val="baseline"/>
        </w:rPr>
        <w:t>out</w:t>
      </w:r>
      <w:r>
        <w:rPr>
          <w:spacing w:val="-12"/>
          <w:sz w:val="21"/>
          <w:vertAlign w:val="baseline"/>
        </w:rPr>
        <w:t> </w:t>
      </w:r>
      <w:r>
        <w:rPr>
          <w:sz w:val="21"/>
          <w:vertAlign w:val="baseline"/>
        </w:rPr>
        <w:t>to</w:t>
      </w:r>
      <w:r>
        <w:rPr>
          <w:spacing w:val="-12"/>
          <w:sz w:val="21"/>
          <w:vertAlign w:val="baseline"/>
        </w:rPr>
        <w:t> </w:t>
      </w:r>
      <w:r>
        <w:rPr>
          <w:sz w:val="21"/>
          <w:vertAlign w:val="baseline"/>
        </w:rPr>
        <w:t>external sources for medical care, counseling, support, and information. Youth who are incarcerated rely on the </w:t>
      </w:r>
      <w:bookmarkStart w:name="_bookmark398" w:id="631"/>
      <w:bookmarkEnd w:id="631"/>
      <w:r>
        <w:rPr>
          <w:sz w:val="21"/>
          <w:vertAlign w:val="baseline"/>
        </w:rPr>
        <w:t>s</w:t>
      </w:r>
      <w:r>
        <w:rPr>
          <w:sz w:val="21"/>
          <w:vertAlign w:val="baseline"/>
        </w:rPr>
        <w:t>tate to fulfill these essential needs.</w:t>
      </w:r>
    </w:p>
    <w:p>
      <w:pPr>
        <w:spacing w:line="276" w:lineRule="auto" w:before="241"/>
        <w:ind w:left="464" w:right="238" w:firstLine="0"/>
        <w:jc w:val="both"/>
        <w:rPr>
          <w:sz w:val="21"/>
        </w:rPr>
      </w:pPr>
      <w:bookmarkStart w:name="_bookmark399" w:id="632"/>
      <w:bookmarkEnd w:id="632"/>
      <w:r>
        <w:rPr/>
      </w:r>
      <w:bookmarkStart w:name="_bookmark400" w:id="633"/>
      <w:bookmarkEnd w:id="633"/>
      <w:r>
        <w:rPr/>
      </w:r>
      <w:r>
        <w:rPr>
          <w:sz w:val="21"/>
        </w:rPr>
        <w:t>After release, LGBTQ youth experience the collateral consequences of incarceration. The concept of collateral consequences is defined to include the negative impacts that arise for young people and their </w:t>
      </w:r>
      <w:bookmarkStart w:name="_bookmark401" w:id="634"/>
      <w:bookmarkEnd w:id="634"/>
      <w:r>
        <w:rPr>
          <w:sz w:val="21"/>
        </w:rPr>
        <w:t>f</w:t>
      </w:r>
      <w:r>
        <w:rPr>
          <w:sz w:val="21"/>
        </w:rPr>
        <w:t>amilies following involvement with the juvenile legal and the criminal legal systems, including through stages such as arrest, referral, intake, detention, adjudication, residential placement, probation, and </w:t>
      </w:r>
      <w:bookmarkStart w:name="_bookmark402" w:id="635"/>
      <w:bookmarkEnd w:id="635"/>
      <w:r>
        <w:rPr>
          <w:sz w:val="21"/>
        </w:rPr>
        <w:t>r</w:t>
      </w:r>
      <w:r>
        <w:rPr>
          <w:sz w:val="21"/>
        </w:rPr>
        <w:t>elease. </w:t>
      </w:r>
      <w:hyperlink w:history="true" w:anchor="_bookmark433">
        <w:r>
          <w:rPr>
            <w:sz w:val="21"/>
            <w:vertAlign w:val="superscript"/>
          </w:rPr>
          <w:t>117</w:t>
        </w:r>
      </w:hyperlink>
      <w:r>
        <w:rPr>
          <w:sz w:val="21"/>
          <w:vertAlign w:val="baseline"/>
        </w:rPr>
        <w:t> These impacts are particularly pronounced for individuals from racially marginalized </w:t>
      </w:r>
      <w:bookmarkStart w:name="_bookmark403" w:id="636"/>
      <w:bookmarkEnd w:id="636"/>
      <w:r>
        <w:rPr>
          <w:sz w:val="21"/>
          <w:vertAlign w:val="baseline"/>
        </w:rPr>
        <w:t>co</w:t>
      </w:r>
      <w:r>
        <w:rPr>
          <w:sz w:val="21"/>
          <w:vertAlign w:val="baseline"/>
        </w:rPr>
        <w:t>mmunities or those with lower socioeconomic status. The repercussions of these consequences can be </w:t>
      </w:r>
      <w:bookmarkStart w:name="_bookmark404" w:id="637"/>
      <w:bookmarkEnd w:id="637"/>
      <w:r>
        <w:rPr>
          <w:sz w:val="21"/>
          <w:vertAlign w:val="baseline"/>
        </w:rPr>
        <w:t>e</w:t>
      </w:r>
      <w:r>
        <w:rPr>
          <w:sz w:val="21"/>
          <w:vertAlign w:val="baseline"/>
        </w:rPr>
        <w:t>nduring and often unforeseen, affecting a young person's life trajectory in ways that extend far beyond the initial interaction with the criminal legal system. The Office of Juvenile Justice and Delinquency Prevention has documented over ten collateral consequences for previously incarcerated youth, including barriers to accessing local public education and higher education as such youth may have trouble re- enrolling</w:t>
      </w:r>
      <w:r>
        <w:rPr>
          <w:spacing w:val="39"/>
          <w:sz w:val="21"/>
          <w:vertAlign w:val="baseline"/>
        </w:rPr>
        <w:t> </w:t>
      </w:r>
      <w:r>
        <w:rPr>
          <w:sz w:val="21"/>
          <w:vertAlign w:val="baseline"/>
        </w:rPr>
        <w:t>in</w:t>
      </w:r>
      <w:r>
        <w:rPr>
          <w:spacing w:val="40"/>
          <w:sz w:val="21"/>
          <w:vertAlign w:val="baseline"/>
        </w:rPr>
        <w:t> </w:t>
      </w:r>
      <w:r>
        <w:rPr>
          <w:sz w:val="21"/>
          <w:vertAlign w:val="baseline"/>
        </w:rPr>
        <w:t>school,</w:t>
      </w:r>
      <w:r>
        <w:rPr>
          <w:spacing w:val="40"/>
          <w:sz w:val="21"/>
          <w:vertAlign w:val="baseline"/>
        </w:rPr>
        <w:t> </w:t>
      </w:r>
      <w:r>
        <w:rPr>
          <w:sz w:val="21"/>
          <w:vertAlign w:val="baseline"/>
        </w:rPr>
        <w:t>transferring</w:t>
      </w:r>
      <w:r>
        <w:rPr>
          <w:spacing w:val="39"/>
          <w:sz w:val="21"/>
          <w:vertAlign w:val="baseline"/>
        </w:rPr>
        <w:t> </w:t>
      </w:r>
      <w:r>
        <w:rPr>
          <w:sz w:val="21"/>
          <w:vertAlign w:val="baseline"/>
        </w:rPr>
        <w:t>credits,</w:t>
      </w:r>
      <w:r>
        <w:rPr>
          <w:spacing w:val="40"/>
          <w:sz w:val="21"/>
          <w:vertAlign w:val="baseline"/>
        </w:rPr>
        <w:t> </w:t>
      </w:r>
      <w:r>
        <w:rPr>
          <w:sz w:val="21"/>
          <w:vertAlign w:val="baseline"/>
        </w:rPr>
        <w:t>and</w:t>
      </w:r>
      <w:r>
        <w:rPr>
          <w:spacing w:val="40"/>
          <w:sz w:val="21"/>
          <w:vertAlign w:val="baseline"/>
        </w:rPr>
        <w:t> </w:t>
      </w:r>
      <w:r>
        <w:rPr>
          <w:sz w:val="21"/>
          <w:vertAlign w:val="baseline"/>
        </w:rPr>
        <w:t>may</w:t>
      </w:r>
      <w:r>
        <w:rPr>
          <w:spacing w:val="39"/>
          <w:sz w:val="21"/>
          <w:vertAlign w:val="baseline"/>
        </w:rPr>
        <w:t> </w:t>
      </w:r>
      <w:r>
        <w:rPr>
          <w:sz w:val="21"/>
          <w:vertAlign w:val="baseline"/>
        </w:rPr>
        <w:t>even</w:t>
      </w:r>
      <w:r>
        <w:rPr>
          <w:spacing w:val="40"/>
          <w:sz w:val="21"/>
          <w:vertAlign w:val="baseline"/>
        </w:rPr>
        <w:t> </w:t>
      </w:r>
      <w:r>
        <w:rPr>
          <w:sz w:val="21"/>
          <w:vertAlign w:val="baseline"/>
        </w:rPr>
        <w:t>be</w:t>
      </w:r>
      <w:r>
        <w:rPr>
          <w:spacing w:val="40"/>
          <w:sz w:val="21"/>
          <w:vertAlign w:val="baseline"/>
        </w:rPr>
        <w:t> </w:t>
      </w:r>
      <w:r>
        <w:rPr>
          <w:sz w:val="21"/>
          <w:vertAlign w:val="baseline"/>
        </w:rPr>
        <w:t>disqualified</w:t>
      </w:r>
      <w:r>
        <w:rPr>
          <w:spacing w:val="40"/>
          <w:sz w:val="21"/>
          <w:vertAlign w:val="baseline"/>
        </w:rPr>
        <w:t> </w:t>
      </w:r>
      <w:r>
        <w:rPr>
          <w:sz w:val="21"/>
          <w:vertAlign w:val="baseline"/>
        </w:rPr>
        <w:t>from</w:t>
      </w:r>
      <w:r>
        <w:rPr>
          <w:spacing w:val="40"/>
          <w:sz w:val="21"/>
          <w:vertAlign w:val="baseline"/>
        </w:rPr>
        <w:t> </w:t>
      </w:r>
      <w:r>
        <w:rPr>
          <w:sz w:val="21"/>
          <w:vertAlign w:val="baseline"/>
        </w:rPr>
        <w:t>receiving</w:t>
      </w:r>
      <w:r>
        <w:rPr>
          <w:spacing w:val="39"/>
          <w:sz w:val="21"/>
          <w:vertAlign w:val="baseline"/>
        </w:rPr>
        <w:t> </w:t>
      </w:r>
      <w:r>
        <w:rPr>
          <w:sz w:val="21"/>
          <w:vertAlign w:val="baseline"/>
        </w:rPr>
        <w:t>federal</w:t>
      </w:r>
      <w:r>
        <w:rPr>
          <w:spacing w:val="40"/>
          <w:sz w:val="21"/>
          <w:vertAlign w:val="baseline"/>
        </w:rPr>
        <w:t> </w:t>
      </w:r>
      <w:r>
        <w:rPr>
          <w:sz w:val="21"/>
          <w:vertAlign w:val="baseline"/>
        </w:rPr>
        <w:t>student</w:t>
      </w:r>
    </w:p>
    <w:p>
      <w:pPr>
        <w:spacing w:after="0" w:line="276" w:lineRule="auto"/>
        <w:jc w:val="both"/>
        <w:rPr>
          <w:sz w:val="21"/>
        </w:rPr>
        <w:sectPr>
          <w:pgSz w:w="12240" w:h="15840"/>
          <w:pgMar w:header="763" w:footer="1041" w:top="1360" w:bottom="1240" w:left="1120" w:right="1340"/>
        </w:sectPr>
      </w:pPr>
    </w:p>
    <w:p>
      <w:pPr>
        <w:spacing w:line="276" w:lineRule="auto" w:before="65"/>
        <w:ind w:left="464" w:right="241" w:hanging="1"/>
        <w:jc w:val="both"/>
        <w:rPr>
          <w:sz w:val="21"/>
        </w:rPr>
      </w:pPr>
      <w:r>
        <w:rPr>
          <w:sz w:val="21"/>
        </w:rPr>
        <w:t>loans.</w:t>
      </w:r>
      <w:hyperlink w:history="true" w:anchor="_bookmark434">
        <w:r>
          <w:rPr>
            <w:sz w:val="21"/>
            <w:vertAlign w:val="superscript"/>
          </w:rPr>
          <w:t>118</w:t>
        </w:r>
      </w:hyperlink>
      <w:r>
        <w:rPr>
          <w:spacing w:val="-3"/>
          <w:sz w:val="21"/>
          <w:vertAlign w:val="baseline"/>
        </w:rPr>
        <w:t> </w:t>
      </w:r>
      <w:r>
        <w:rPr>
          <w:sz w:val="21"/>
          <w:vertAlign w:val="baseline"/>
        </w:rPr>
        <w:t>Furthermore,</w:t>
      </w:r>
      <w:r>
        <w:rPr>
          <w:spacing w:val="-11"/>
          <w:sz w:val="21"/>
          <w:vertAlign w:val="baseline"/>
        </w:rPr>
        <w:t> </w:t>
      </w:r>
      <w:r>
        <w:rPr>
          <w:sz w:val="21"/>
          <w:vertAlign w:val="baseline"/>
        </w:rPr>
        <w:t>the</w:t>
      </w:r>
      <w:r>
        <w:rPr>
          <w:spacing w:val="-12"/>
          <w:sz w:val="21"/>
          <w:vertAlign w:val="baseline"/>
        </w:rPr>
        <w:t> </w:t>
      </w:r>
      <w:r>
        <w:rPr>
          <w:sz w:val="21"/>
          <w:vertAlign w:val="baseline"/>
        </w:rPr>
        <w:t>families</w:t>
      </w:r>
      <w:r>
        <w:rPr>
          <w:spacing w:val="-12"/>
          <w:sz w:val="21"/>
          <w:vertAlign w:val="baseline"/>
        </w:rPr>
        <w:t> </w:t>
      </w:r>
      <w:r>
        <w:rPr>
          <w:sz w:val="21"/>
          <w:vertAlign w:val="baseline"/>
        </w:rPr>
        <w:t>of</w:t>
      </w:r>
      <w:r>
        <w:rPr>
          <w:spacing w:val="-12"/>
          <w:sz w:val="21"/>
          <w:vertAlign w:val="baseline"/>
        </w:rPr>
        <w:t> </w:t>
      </w:r>
      <w:r>
        <w:rPr>
          <w:sz w:val="21"/>
          <w:vertAlign w:val="baseline"/>
        </w:rPr>
        <w:t>these</w:t>
      </w:r>
      <w:r>
        <w:rPr>
          <w:spacing w:val="-12"/>
          <w:sz w:val="21"/>
          <w:vertAlign w:val="baseline"/>
        </w:rPr>
        <w:t> </w:t>
      </w:r>
      <w:r>
        <w:rPr>
          <w:sz w:val="21"/>
          <w:vertAlign w:val="baseline"/>
        </w:rPr>
        <w:t>young</w:t>
      </w:r>
      <w:r>
        <w:rPr>
          <w:spacing w:val="-12"/>
          <w:sz w:val="21"/>
          <w:vertAlign w:val="baseline"/>
        </w:rPr>
        <w:t> </w:t>
      </w:r>
      <w:r>
        <w:rPr>
          <w:sz w:val="21"/>
          <w:vertAlign w:val="baseline"/>
        </w:rPr>
        <w:t>individuals</w:t>
      </w:r>
      <w:r>
        <w:rPr>
          <w:spacing w:val="-11"/>
          <w:sz w:val="21"/>
          <w:vertAlign w:val="baseline"/>
        </w:rPr>
        <w:t> </w:t>
      </w:r>
      <w:r>
        <w:rPr>
          <w:sz w:val="21"/>
          <w:vertAlign w:val="baseline"/>
        </w:rPr>
        <w:t>may</w:t>
      </w:r>
      <w:r>
        <w:rPr>
          <w:spacing w:val="-12"/>
          <w:sz w:val="21"/>
          <w:vertAlign w:val="baseline"/>
        </w:rPr>
        <w:t> </w:t>
      </w:r>
      <w:r>
        <w:rPr>
          <w:sz w:val="21"/>
          <w:vertAlign w:val="baseline"/>
        </w:rPr>
        <w:t>also</w:t>
      </w:r>
      <w:r>
        <w:rPr>
          <w:spacing w:val="-12"/>
          <w:sz w:val="21"/>
          <w:vertAlign w:val="baseline"/>
        </w:rPr>
        <w:t> </w:t>
      </w:r>
      <w:r>
        <w:rPr>
          <w:sz w:val="21"/>
          <w:vertAlign w:val="baseline"/>
        </w:rPr>
        <w:t>experience</w:t>
      </w:r>
      <w:r>
        <w:rPr>
          <w:spacing w:val="-12"/>
          <w:sz w:val="21"/>
          <w:vertAlign w:val="baseline"/>
        </w:rPr>
        <w:t> </w:t>
      </w:r>
      <w:r>
        <w:rPr>
          <w:sz w:val="21"/>
          <w:vertAlign w:val="baseline"/>
        </w:rPr>
        <w:t>collateral</w:t>
      </w:r>
      <w:r>
        <w:rPr>
          <w:spacing w:val="-12"/>
          <w:sz w:val="21"/>
          <w:vertAlign w:val="baseline"/>
        </w:rPr>
        <w:t> </w:t>
      </w:r>
      <w:r>
        <w:rPr>
          <w:sz w:val="21"/>
          <w:vertAlign w:val="baseline"/>
        </w:rPr>
        <w:t>consequences, </w:t>
      </w:r>
      <w:bookmarkStart w:name="_bookmark405" w:id="638"/>
      <w:bookmarkEnd w:id="638"/>
      <w:r>
        <w:rPr>
          <w:sz w:val="21"/>
          <w:vertAlign w:val="baseline"/>
        </w:rPr>
        <w:t>f</w:t>
      </w:r>
      <w:r>
        <w:rPr>
          <w:sz w:val="21"/>
          <w:vertAlign w:val="baseline"/>
        </w:rPr>
        <w:t>acing financial burdens, limited housing options, and potentially criminal charges if they are deemed responsible for the minor's actions. </w:t>
      </w:r>
      <w:hyperlink w:history="true" w:anchor="_bookmark435">
        <w:r>
          <w:rPr>
            <w:sz w:val="21"/>
            <w:vertAlign w:val="superscript"/>
          </w:rPr>
          <w:t>119</w:t>
        </w:r>
      </w:hyperlink>
    </w:p>
    <w:p>
      <w:pPr>
        <w:spacing w:line="276" w:lineRule="auto" w:before="240"/>
        <w:ind w:left="463" w:right="239" w:firstLine="0"/>
        <w:jc w:val="both"/>
        <w:rPr>
          <w:sz w:val="21"/>
        </w:rPr>
      </w:pPr>
      <w:bookmarkStart w:name="_bookmark406" w:id="639"/>
      <w:bookmarkEnd w:id="639"/>
      <w:r>
        <w:rPr/>
      </w:r>
      <w:bookmarkStart w:name="_bookmark407" w:id="640"/>
      <w:bookmarkEnd w:id="640"/>
      <w:r>
        <w:rPr/>
      </w:r>
      <w:r>
        <w:rPr>
          <w:sz w:val="21"/>
        </w:rPr>
        <w:t>Those who are eligible for expungement or sealing of their criminal record must face lengthy processing times (sometimes over a year) and, many struggle to afford an attorney to assist them in filing.</w:t>
      </w:r>
      <w:hyperlink w:history="true" w:anchor="_bookmark436">
        <w:r>
          <w:rPr>
            <w:sz w:val="21"/>
            <w:vertAlign w:val="superscript"/>
          </w:rPr>
          <w:t>120</w:t>
        </w:r>
      </w:hyperlink>
      <w:r>
        <w:rPr>
          <w:spacing w:val="-2"/>
          <w:sz w:val="21"/>
          <w:vertAlign w:val="baseline"/>
        </w:rPr>
        <w:t> </w:t>
      </w:r>
      <w:r>
        <w:rPr>
          <w:sz w:val="21"/>
          <w:vertAlign w:val="baseline"/>
        </w:rPr>
        <w:t>Studies </w:t>
      </w:r>
      <w:bookmarkStart w:name="_bookmark408" w:id="641"/>
      <w:bookmarkEnd w:id="641"/>
      <w:r>
        <w:rPr>
          <w:sz w:val="21"/>
          <w:vertAlign w:val="baseline"/>
        </w:rPr>
        <w:t>i</w:t>
      </w:r>
      <w:r>
        <w:rPr>
          <w:sz w:val="21"/>
          <w:vertAlign w:val="baseline"/>
        </w:rPr>
        <w:t>ndicate that sealing records can significantly enhance job access and wages.</w:t>
      </w:r>
      <w:hyperlink w:history="true" w:anchor="_bookmark437">
        <w:r>
          <w:rPr>
            <w:sz w:val="21"/>
            <w:vertAlign w:val="superscript"/>
          </w:rPr>
          <w:t>121</w:t>
        </w:r>
      </w:hyperlink>
      <w:r>
        <w:rPr>
          <w:spacing w:val="-2"/>
          <w:sz w:val="21"/>
          <w:vertAlign w:val="baseline"/>
        </w:rPr>
        <w:t> </w:t>
      </w:r>
      <w:r>
        <w:rPr>
          <w:sz w:val="21"/>
          <w:vertAlign w:val="baseline"/>
        </w:rPr>
        <w:t>Clean Slate is a legislative </w:t>
      </w:r>
      <w:bookmarkStart w:name="_bookmark409" w:id="642"/>
      <w:bookmarkEnd w:id="642"/>
      <w:r>
        <w:rPr>
          <w:sz w:val="21"/>
          <w:vertAlign w:val="baseline"/>
        </w:rPr>
        <w:t>p</w:t>
      </w:r>
      <w:r>
        <w:rPr>
          <w:sz w:val="21"/>
          <w:vertAlign w:val="baseline"/>
        </w:rPr>
        <w:t>roposal</w:t>
      </w:r>
      <w:r>
        <w:rPr>
          <w:spacing w:val="-3"/>
          <w:sz w:val="21"/>
          <w:vertAlign w:val="baseline"/>
        </w:rPr>
        <w:t> </w:t>
      </w:r>
      <w:r>
        <w:rPr>
          <w:sz w:val="21"/>
          <w:vertAlign w:val="baseline"/>
        </w:rPr>
        <w:t>aimed</w:t>
      </w:r>
      <w:r>
        <w:rPr>
          <w:spacing w:val="-3"/>
          <w:sz w:val="21"/>
          <w:vertAlign w:val="baseline"/>
        </w:rPr>
        <w:t> </w:t>
      </w:r>
      <w:r>
        <w:rPr>
          <w:sz w:val="21"/>
          <w:vertAlign w:val="baseline"/>
        </w:rPr>
        <w:t>at</w:t>
      </w:r>
      <w:r>
        <w:rPr>
          <w:spacing w:val="-3"/>
          <w:sz w:val="21"/>
          <w:vertAlign w:val="baseline"/>
        </w:rPr>
        <w:t> </w:t>
      </w:r>
      <w:r>
        <w:rPr>
          <w:sz w:val="21"/>
          <w:vertAlign w:val="baseline"/>
        </w:rPr>
        <w:t>reforming</w:t>
      </w:r>
      <w:r>
        <w:rPr>
          <w:spacing w:val="-3"/>
          <w:sz w:val="21"/>
          <w:vertAlign w:val="baseline"/>
        </w:rPr>
        <w:t> </w:t>
      </w:r>
      <w:r>
        <w:rPr>
          <w:sz w:val="21"/>
          <w:vertAlign w:val="baseline"/>
        </w:rPr>
        <w:t>the</w:t>
      </w:r>
      <w:r>
        <w:rPr>
          <w:spacing w:val="-3"/>
          <w:sz w:val="21"/>
          <w:vertAlign w:val="baseline"/>
        </w:rPr>
        <w:t> </w:t>
      </w:r>
      <w:r>
        <w:rPr>
          <w:sz w:val="21"/>
          <w:vertAlign w:val="baseline"/>
        </w:rPr>
        <w:t>process</w:t>
      </w:r>
      <w:r>
        <w:rPr>
          <w:spacing w:val="-3"/>
          <w:sz w:val="21"/>
          <w:vertAlign w:val="baseline"/>
        </w:rPr>
        <w:t> </w:t>
      </w:r>
      <w:r>
        <w:rPr>
          <w:sz w:val="21"/>
          <w:vertAlign w:val="baseline"/>
        </w:rPr>
        <w:t>of</w:t>
      </w:r>
      <w:r>
        <w:rPr>
          <w:spacing w:val="-3"/>
          <w:sz w:val="21"/>
          <w:vertAlign w:val="baseline"/>
        </w:rPr>
        <w:t> </w:t>
      </w:r>
      <w:r>
        <w:rPr>
          <w:sz w:val="21"/>
          <w:vertAlign w:val="baseline"/>
        </w:rPr>
        <w:t>sealing</w:t>
      </w:r>
      <w:r>
        <w:rPr>
          <w:spacing w:val="-3"/>
          <w:sz w:val="21"/>
          <w:vertAlign w:val="baseline"/>
        </w:rPr>
        <w:t> </w:t>
      </w:r>
      <w:r>
        <w:rPr>
          <w:sz w:val="21"/>
          <w:vertAlign w:val="baseline"/>
        </w:rPr>
        <w:t>criminal</w:t>
      </w:r>
      <w:r>
        <w:rPr>
          <w:spacing w:val="-3"/>
          <w:sz w:val="21"/>
          <w:vertAlign w:val="baseline"/>
        </w:rPr>
        <w:t> </w:t>
      </w:r>
      <w:r>
        <w:rPr>
          <w:sz w:val="21"/>
          <w:vertAlign w:val="baseline"/>
        </w:rPr>
        <w:t>and</w:t>
      </w:r>
      <w:r>
        <w:rPr>
          <w:spacing w:val="-3"/>
          <w:sz w:val="21"/>
          <w:vertAlign w:val="baseline"/>
        </w:rPr>
        <w:t> </w:t>
      </w:r>
      <w:r>
        <w:rPr>
          <w:sz w:val="21"/>
          <w:vertAlign w:val="baseline"/>
        </w:rPr>
        <w:t>juvenile</w:t>
      </w:r>
      <w:r>
        <w:rPr>
          <w:spacing w:val="-3"/>
          <w:sz w:val="21"/>
          <w:vertAlign w:val="baseline"/>
        </w:rPr>
        <w:t> </w:t>
      </w:r>
      <w:r>
        <w:rPr>
          <w:sz w:val="21"/>
          <w:vertAlign w:val="baseline"/>
        </w:rPr>
        <w:t>records</w:t>
      </w:r>
      <w:r>
        <w:rPr>
          <w:spacing w:val="-3"/>
          <w:sz w:val="21"/>
          <w:vertAlign w:val="baseline"/>
        </w:rPr>
        <w:t> </w:t>
      </w:r>
      <w:r>
        <w:rPr>
          <w:sz w:val="21"/>
          <w:vertAlign w:val="baseline"/>
        </w:rPr>
        <w:t>to</w:t>
      </w:r>
      <w:r>
        <w:rPr>
          <w:spacing w:val="-3"/>
          <w:sz w:val="21"/>
          <w:vertAlign w:val="baseline"/>
        </w:rPr>
        <w:t> </w:t>
      </w:r>
      <w:r>
        <w:rPr>
          <w:sz w:val="21"/>
          <w:vertAlign w:val="baseline"/>
        </w:rPr>
        <w:t>alleviate</w:t>
      </w:r>
      <w:r>
        <w:rPr>
          <w:spacing w:val="-3"/>
          <w:sz w:val="21"/>
          <w:vertAlign w:val="baseline"/>
        </w:rPr>
        <w:t> </w:t>
      </w:r>
      <w:r>
        <w:rPr>
          <w:sz w:val="21"/>
          <w:vertAlign w:val="baseline"/>
        </w:rPr>
        <w:t>the</w:t>
      </w:r>
      <w:r>
        <w:rPr>
          <w:spacing w:val="-3"/>
          <w:sz w:val="21"/>
          <w:vertAlign w:val="baseline"/>
        </w:rPr>
        <w:t> </w:t>
      </w:r>
      <w:r>
        <w:rPr>
          <w:sz w:val="21"/>
          <w:vertAlign w:val="baseline"/>
        </w:rPr>
        <w:t>long-term </w:t>
      </w:r>
      <w:bookmarkStart w:name="_bookmark410" w:id="643"/>
      <w:bookmarkEnd w:id="643"/>
      <w:r>
        <w:rPr>
          <w:sz w:val="21"/>
          <w:vertAlign w:val="baseline"/>
        </w:rPr>
        <w:t>co</w:t>
      </w:r>
      <w:r>
        <w:rPr>
          <w:sz w:val="21"/>
          <w:vertAlign w:val="baseline"/>
        </w:rPr>
        <w:t>nsequences of having a criminal record, which includes barriers to employment and housing.</w:t>
      </w:r>
      <w:hyperlink w:history="true" w:anchor="_bookmark438">
        <w:r>
          <w:rPr>
            <w:sz w:val="21"/>
            <w:vertAlign w:val="superscript"/>
          </w:rPr>
          <w:t>122</w:t>
        </w:r>
      </w:hyperlink>
      <w:r>
        <w:rPr>
          <w:spacing w:val="-2"/>
          <w:sz w:val="21"/>
          <w:vertAlign w:val="baseline"/>
        </w:rPr>
        <w:t> </w:t>
      </w:r>
      <w:r>
        <w:rPr>
          <w:sz w:val="21"/>
          <w:vertAlign w:val="baseline"/>
        </w:rPr>
        <w:t>Several bills were proposed in 2023 that would mandate the Commissioner of Probation to automatically seal an </w:t>
      </w:r>
      <w:bookmarkStart w:name="_bookmark411" w:id="644"/>
      <w:bookmarkEnd w:id="644"/>
      <w:r>
        <w:rPr>
          <w:sz w:val="21"/>
          <w:vertAlign w:val="baseline"/>
        </w:rPr>
        <w:t>i</w:t>
      </w:r>
      <w:r>
        <w:rPr>
          <w:sz w:val="21"/>
          <w:vertAlign w:val="baseline"/>
        </w:rPr>
        <w:t>ndividual’s record after their statutorily required waiting period has passed, eliminating the need for individuals to navigate a complex and slow petition process currently plagued by backlogs.</w:t>
      </w:r>
      <w:hyperlink w:history="true" w:anchor="_bookmark439">
        <w:r>
          <w:rPr>
            <w:sz w:val="21"/>
            <w:vertAlign w:val="superscript"/>
          </w:rPr>
          <w:t>123</w:t>
        </w:r>
      </w:hyperlink>
      <w:r>
        <w:rPr>
          <w:spacing w:val="-2"/>
          <w:sz w:val="21"/>
          <w:vertAlign w:val="baseline"/>
        </w:rPr>
        <w:t> </w:t>
      </w:r>
      <w:r>
        <w:rPr>
          <w:sz w:val="21"/>
          <w:vertAlign w:val="baseline"/>
        </w:rPr>
        <w:t>This change is intended to streamline the sealing process, which is critical for individuals trying to move past their </w:t>
      </w:r>
      <w:bookmarkStart w:name="_bookmark412" w:id="645"/>
      <w:bookmarkEnd w:id="645"/>
      <w:r>
        <w:rPr>
          <w:sz w:val="21"/>
          <w:vertAlign w:val="baseline"/>
        </w:rPr>
        <w:t>c</w:t>
      </w:r>
      <w:r>
        <w:rPr>
          <w:sz w:val="21"/>
          <w:vertAlign w:val="baseline"/>
        </w:rPr>
        <w:t>riminal records and improve their access to jobs and housing. Furthermore, the proposed legislative reform</w:t>
      </w:r>
      <w:r>
        <w:rPr>
          <w:spacing w:val="-6"/>
          <w:sz w:val="21"/>
          <w:vertAlign w:val="baseline"/>
        </w:rPr>
        <w:t> </w:t>
      </w:r>
      <w:r>
        <w:rPr>
          <w:sz w:val="21"/>
          <w:vertAlign w:val="baseline"/>
        </w:rPr>
        <w:t>would</w:t>
      </w:r>
      <w:r>
        <w:rPr>
          <w:spacing w:val="-7"/>
          <w:sz w:val="21"/>
          <w:vertAlign w:val="baseline"/>
        </w:rPr>
        <w:t> </w:t>
      </w:r>
      <w:r>
        <w:rPr>
          <w:sz w:val="21"/>
          <w:vertAlign w:val="baseline"/>
        </w:rPr>
        <w:t>immediately</w:t>
      </w:r>
      <w:r>
        <w:rPr>
          <w:spacing w:val="-7"/>
          <w:sz w:val="21"/>
          <w:vertAlign w:val="baseline"/>
        </w:rPr>
        <w:t> </w:t>
      </w:r>
      <w:r>
        <w:rPr>
          <w:sz w:val="21"/>
          <w:vertAlign w:val="baseline"/>
        </w:rPr>
        <w:t>seal</w:t>
      </w:r>
      <w:r>
        <w:rPr>
          <w:spacing w:val="-7"/>
          <w:sz w:val="21"/>
          <w:vertAlign w:val="baseline"/>
        </w:rPr>
        <w:t> </w:t>
      </w:r>
      <w:r>
        <w:rPr>
          <w:sz w:val="21"/>
          <w:vertAlign w:val="baseline"/>
        </w:rPr>
        <w:t>offenses</w:t>
      </w:r>
      <w:r>
        <w:rPr>
          <w:spacing w:val="-7"/>
          <w:sz w:val="21"/>
          <w:vertAlign w:val="baseline"/>
        </w:rPr>
        <w:t> </w:t>
      </w:r>
      <w:r>
        <w:rPr>
          <w:sz w:val="21"/>
          <w:vertAlign w:val="baseline"/>
        </w:rPr>
        <w:t>at</w:t>
      </w:r>
      <w:r>
        <w:rPr>
          <w:spacing w:val="-6"/>
          <w:sz w:val="21"/>
          <w:vertAlign w:val="baseline"/>
        </w:rPr>
        <w:t> </w:t>
      </w:r>
      <w:r>
        <w:rPr>
          <w:sz w:val="21"/>
          <w:vertAlign w:val="baseline"/>
        </w:rPr>
        <w:t>the</w:t>
      </w:r>
      <w:r>
        <w:rPr>
          <w:spacing w:val="-8"/>
          <w:sz w:val="21"/>
          <w:vertAlign w:val="baseline"/>
        </w:rPr>
        <w:t> </w:t>
      </w:r>
      <w:r>
        <w:rPr>
          <w:sz w:val="21"/>
          <w:vertAlign w:val="baseline"/>
        </w:rPr>
        <w:t>time</w:t>
      </w:r>
      <w:r>
        <w:rPr>
          <w:spacing w:val="-8"/>
          <w:sz w:val="21"/>
          <w:vertAlign w:val="baseline"/>
        </w:rPr>
        <w:t> </w:t>
      </w:r>
      <w:r>
        <w:rPr>
          <w:sz w:val="21"/>
          <w:vertAlign w:val="baseline"/>
        </w:rPr>
        <w:t>of</w:t>
      </w:r>
      <w:r>
        <w:rPr>
          <w:spacing w:val="-7"/>
          <w:sz w:val="21"/>
          <w:vertAlign w:val="baseline"/>
        </w:rPr>
        <w:t> </w:t>
      </w:r>
      <w:r>
        <w:rPr>
          <w:sz w:val="21"/>
          <w:vertAlign w:val="baseline"/>
        </w:rPr>
        <w:t>final</w:t>
      </w:r>
      <w:r>
        <w:rPr>
          <w:spacing w:val="-7"/>
          <w:sz w:val="21"/>
          <w:vertAlign w:val="baseline"/>
        </w:rPr>
        <w:t> </w:t>
      </w:r>
      <w:r>
        <w:rPr>
          <w:sz w:val="21"/>
          <w:vertAlign w:val="baseline"/>
        </w:rPr>
        <w:t>disposition</w:t>
      </w:r>
      <w:r>
        <w:rPr>
          <w:spacing w:val="-7"/>
          <w:sz w:val="21"/>
          <w:vertAlign w:val="baseline"/>
        </w:rPr>
        <w:t> </w:t>
      </w:r>
      <w:r>
        <w:rPr>
          <w:sz w:val="21"/>
          <w:vertAlign w:val="baseline"/>
        </w:rPr>
        <w:t>if</w:t>
      </w:r>
      <w:r>
        <w:rPr>
          <w:spacing w:val="-7"/>
          <w:sz w:val="21"/>
          <w:vertAlign w:val="baseline"/>
        </w:rPr>
        <w:t> </w:t>
      </w:r>
      <w:r>
        <w:rPr>
          <w:sz w:val="21"/>
          <w:vertAlign w:val="baseline"/>
        </w:rPr>
        <w:t>they</w:t>
      </w:r>
      <w:r>
        <w:rPr>
          <w:spacing w:val="-7"/>
          <w:sz w:val="21"/>
          <w:vertAlign w:val="baseline"/>
        </w:rPr>
        <w:t> </w:t>
      </w:r>
      <w:r>
        <w:rPr>
          <w:sz w:val="21"/>
          <w:vertAlign w:val="baseline"/>
        </w:rPr>
        <w:t>did</w:t>
      </w:r>
      <w:r>
        <w:rPr>
          <w:spacing w:val="-8"/>
          <w:sz w:val="21"/>
          <w:vertAlign w:val="baseline"/>
        </w:rPr>
        <w:t> </w:t>
      </w:r>
      <w:r>
        <w:rPr>
          <w:sz w:val="21"/>
          <w:vertAlign w:val="baseline"/>
        </w:rPr>
        <w:t>not</w:t>
      </w:r>
      <w:r>
        <w:rPr>
          <w:spacing w:val="-6"/>
          <w:sz w:val="21"/>
          <w:vertAlign w:val="baseline"/>
        </w:rPr>
        <w:t> </w:t>
      </w:r>
      <w:r>
        <w:rPr>
          <w:sz w:val="21"/>
          <w:vertAlign w:val="baseline"/>
        </w:rPr>
        <w:t>result</w:t>
      </w:r>
      <w:r>
        <w:rPr>
          <w:spacing w:val="-6"/>
          <w:sz w:val="21"/>
          <w:vertAlign w:val="baseline"/>
        </w:rPr>
        <w:t> </w:t>
      </w:r>
      <w:r>
        <w:rPr>
          <w:sz w:val="21"/>
          <w:vertAlign w:val="baseline"/>
        </w:rPr>
        <w:t>in</w:t>
      </w:r>
      <w:r>
        <w:rPr>
          <w:spacing w:val="-8"/>
          <w:sz w:val="21"/>
          <w:vertAlign w:val="baseline"/>
        </w:rPr>
        <w:t> </w:t>
      </w:r>
      <w:r>
        <w:rPr>
          <w:sz w:val="21"/>
          <w:vertAlign w:val="baseline"/>
        </w:rPr>
        <w:t>a</w:t>
      </w:r>
      <w:r>
        <w:rPr>
          <w:spacing w:val="-6"/>
          <w:sz w:val="21"/>
          <w:vertAlign w:val="baseline"/>
        </w:rPr>
        <w:t> </w:t>
      </w:r>
      <w:r>
        <w:rPr>
          <w:sz w:val="21"/>
          <w:vertAlign w:val="baseline"/>
        </w:rPr>
        <w:t>conviction, </w:t>
      </w:r>
      <w:bookmarkStart w:name="_bookmark413" w:id="646"/>
      <w:bookmarkEnd w:id="646"/>
      <w:r>
        <w:rPr>
          <w:sz w:val="21"/>
          <w:vertAlign w:val="baseline"/>
        </w:rPr>
        <w:t>th</w:t>
      </w:r>
      <w:r>
        <w:rPr>
          <w:sz w:val="21"/>
          <w:vertAlign w:val="baseline"/>
        </w:rPr>
        <w:t>ereby protecting the presumption of innocence. These efforts are part of a national trend, with several </w:t>
      </w:r>
      <w:bookmarkStart w:name="_bookmark414" w:id="647"/>
      <w:bookmarkEnd w:id="647"/>
      <w:r>
        <w:rPr>
          <w:sz w:val="21"/>
          <w:vertAlign w:val="baseline"/>
        </w:rPr>
        <w:t>s</w:t>
      </w:r>
      <w:r>
        <w:rPr>
          <w:sz w:val="21"/>
          <w:vertAlign w:val="baseline"/>
        </w:rPr>
        <w:t>tates</w:t>
      </w:r>
      <w:r>
        <w:rPr>
          <w:spacing w:val="-1"/>
          <w:sz w:val="21"/>
          <w:vertAlign w:val="baseline"/>
        </w:rPr>
        <w:t> </w:t>
      </w:r>
      <w:r>
        <w:rPr>
          <w:sz w:val="21"/>
          <w:vertAlign w:val="baseline"/>
        </w:rPr>
        <w:t>(PA, CT, NJ, NY,</w:t>
      </w:r>
      <w:r>
        <w:rPr>
          <w:spacing w:val="-2"/>
          <w:sz w:val="21"/>
          <w:vertAlign w:val="baseline"/>
        </w:rPr>
        <w:t> </w:t>
      </w:r>
      <w:r>
        <w:rPr>
          <w:sz w:val="21"/>
          <w:vertAlign w:val="baseline"/>
        </w:rPr>
        <w:t>CA, CO, DE,</w:t>
      </w:r>
      <w:r>
        <w:rPr>
          <w:spacing w:val="-2"/>
          <w:sz w:val="21"/>
          <w:vertAlign w:val="baseline"/>
        </w:rPr>
        <w:t> </w:t>
      </w:r>
      <w:r>
        <w:rPr>
          <w:sz w:val="21"/>
          <w:vertAlign w:val="baseline"/>
        </w:rPr>
        <w:t>MI,</w:t>
      </w:r>
      <w:r>
        <w:rPr>
          <w:spacing w:val="-2"/>
          <w:sz w:val="21"/>
          <w:vertAlign w:val="baseline"/>
        </w:rPr>
        <w:t> </w:t>
      </w:r>
      <w:r>
        <w:rPr>
          <w:sz w:val="21"/>
          <w:vertAlign w:val="baseline"/>
        </w:rPr>
        <w:t>OK,</w:t>
      </w:r>
      <w:r>
        <w:rPr>
          <w:spacing w:val="-2"/>
          <w:sz w:val="21"/>
          <w:vertAlign w:val="baseline"/>
        </w:rPr>
        <w:t> </w:t>
      </w:r>
      <w:r>
        <w:rPr>
          <w:sz w:val="21"/>
          <w:vertAlign w:val="baseline"/>
        </w:rPr>
        <w:t>VA, and</w:t>
      </w:r>
      <w:r>
        <w:rPr>
          <w:spacing w:val="-1"/>
          <w:sz w:val="21"/>
          <w:vertAlign w:val="baseline"/>
        </w:rPr>
        <w:t> </w:t>
      </w:r>
      <w:r>
        <w:rPr>
          <w:sz w:val="21"/>
          <w:vertAlign w:val="baseline"/>
        </w:rPr>
        <w:t>UT)</w:t>
      </w:r>
      <w:r>
        <w:rPr>
          <w:spacing w:val="40"/>
          <w:sz w:val="21"/>
          <w:vertAlign w:val="baseline"/>
        </w:rPr>
        <w:t> </w:t>
      </w:r>
      <w:r>
        <w:rPr>
          <w:sz w:val="21"/>
          <w:vertAlign w:val="baseline"/>
        </w:rPr>
        <w:t>already</w:t>
      </w:r>
      <w:r>
        <w:rPr>
          <w:spacing w:val="-1"/>
          <w:sz w:val="21"/>
          <w:vertAlign w:val="baseline"/>
        </w:rPr>
        <w:t> </w:t>
      </w:r>
      <w:r>
        <w:rPr>
          <w:sz w:val="21"/>
          <w:vertAlign w:val="baseline"/>
        </w:rPr>
        <w:t>implementing</w:t>
      </w:r>
      <w:r>
        <w:rPr>
          <w:spacing w:val="-1"/>
          <w:sz w:val="21"/>
          <w:vertAlign w:val="baseline"/>
        </w:rPr>
        <w:t> </w:t>
      </w:r>
      <w:r>
        <w:rPr>
          <w:sz w:val="21"/>
          <w:vertAlign w:val="baseline"/>
        </w:rPr>
        <w:t>automatic</w:t>
      </w:r>
      <w:r>
        <w:rPr>
          <w:spacing w:val="-1"/>
          <w:sz w:val="21"/>
          <w:vertAlign w:val="baseline"/>
        </w:rPr>
        <w:t> </w:t>
      </w:r>
      <w:r>
        <w:rPr>
          <w:sz w:val="21"/>
          <w:vertAlign w:val="baseline"/>
        </w:rPr>
        <w:t>record</w:t>
      </w:r>
      <w:r>
        <w:rPr>
          <w:spacing w:val="-1"/>
          <w:sz w:val="21"/>
          <w:vertAlign w:val="baseline"/>
        </w:rPr>
        <w:t> </w:t>
      </w:r>
      <w:r>
        <w:rPr>
          <w:sz w:val="21"/>
          <w:vertAlign w:val="baseline"/>
        </w:rPr>
        <w:t>clearing</w:t>
      </w:r>
      <w:r>
        <w:rPr>
          <w:spacing w:val="-1"/>
          <w:sz w:val="21"/>
          <w:vertAlign w:val="baseline"/>
        </w:rPr>
        <w:t> </w:t>
      </w:r>
      <w:r>
        <w:rPr>
          <w:sz w:val="21"/>
          <w:vertAlign w:val="baseline"/>
        </w:rPr>
        <w:t>to </w:t>
      </w:r>
      <w:bookmarkStart w:name="_bookmark415" w:id="648"/>
      <w:bookmarkEnd w:id="648"/>
      <w:r>
        <w:rPr>
          <w:sz w:val="21"/>
          <w:vertAlign w:val="baseline"/>
        </w:rPr>
        <w:t>g</w:t>
      </w:r>
      <w:r>
        <w:rPr>
          <w:sz w:val="21"/>
          <w:vertAlign w:val="baseline"/>
        </w:rPr>
        <w:t>reat effect.</w:t>
      </w:r>
      <w:hyperlink w:history="true" w:anchor="_bookmark440">
        <w:r>
          <w:rPr>
            <w:sz w:val="21"/>
            <w:vertAlign w:val="superscript"/>
          </w:rPr>
          <w:t>124</w:t>
        </w:r>
      </w:hyperlink>
      <w:r>
        <w:rPr>
          <w:sz w:val="21"/>
          <w:vertAlign w:val="baseline"/>
        </w:rPr>
        <w:t> The Clean Slate bills introduced in Massachusetts were sent to study and did not move </w:t>
      </w:r>
      <w:bookmarkStart w:name="_bookmark416" w:id="649"/>
      <w:bookmarkEnd w:id="649"/>
      <w:r>
        <w:rPr>
          <w:sz w:val="21"/>
          <w:vertAlign w:val="baseline"/>
        </w:rPr>
        <w:t>f</w:t>
      </w:r>
      <w:r>
        <w:rPr>
          <w:sz w:val="21"/>
          <w:vertAlign w:val="baseline"/>
        </w:rPr>
        <w:t>orward this legislative session.</w:t>
      </w:r>
    </w:p>
    <w:p>
      <w:pPr>
        <w:spacing w:line="276" w:lineRule="auto" w:before="240"/>
        <w:ind w:left="464" w:right="238" w:firstLine="0"/>
        <w:jc w:val="both"/>
        <w:rPr>
          <w:sz w:val="21"/>
        </w:rPr>
      </w:pPr>
      <w:bookmarkStart w:name="_bookmark417" w:id="650"/>
      <w:bookmarkEnd w:id="650"/>
      <w:r>
        <w:rPr/>
      </w:r>
      <w:r>
        <w:rPr>
          <w:sz w:val="21"/>
        </w:rPr>
        <w:t>In summary, while there are protective measures in place, LGBTQ youth continue to face significant disparities</w:t>
      </w:r>
      <w:r>
        <w:rPr>
          <w:spacing w:val="-4"/>
          <w:sz w:val="21"/>
        </w:rPr>
        <w:t> </w:t>
      </w:r>
      <w:r>
        <w:rPr>
          <w:sz w:val="21"/>
        </w:rPr>
        <w:t>and</w:t>
      </w:r>
      <w:r>
        <w:rPr>
          <w:spacing w:val="-3"/>
          <w:sz w:val="21"/>
        </w:rPr>
        <w:t> </w:t>
      </w:r>
      <w:r>
        <w:rPr>
          <w:sz w:val="21"/>
        </w:rPr>
        <w:t>discrimination</w:t>
      </w:r>
      <w:r>
        <w:rPr>
          <w:spacing w:val="-3"/>
          <w:sz w:val="21"/>
        </w:rPr>
        <w:t> </w:t>
      </w:r>
      <w:r>
        <w:rPr>
          <w:sz w:val="21"/>
        </w:rPr>
        <w:t>within</w:t>
      </w:r>
      <w:r>
        <w:rPr>
          <w:spacing w:val="-3"/>
          <w:sz w:val="21"/>
        </w:rPr>
        <w:t> </w:t>
      </w:r>
      <w:r>
        <w:rPr>
          <w:sz w:val="21"/>
        </w:rPr>
        <w:t>the</w:t>
      </w:r>
      <w:r>
        <w:rPr>
          <w:spacing w:val="-4"/>
          <w:sz w:val="21"/>
        </w:rPr>
        <w:t> </w:t>
      </w:r>
      <w:r>
        <w:rPr>
          <w:sz w:val="21"/>
        </w:rPr>
        <w:t>juvenile</w:t>
      </w:r>
      <w:r>
        <w:rPr>
          <w:spacing w:val="-3"/>
          <w:sz w:val="21"/>
        </w:rPr>
        <w:t> </w:t>
      </w:r>
      <w:r>
        <w:rPr>
          <w:sz w:val="21"/>
        </w:rPr>
        <w:t>and</w:t>
      </w:r>
      <w:r>
        <w:rPr>
          <w:spacing w:val="-3"/>
          <w:sz w:val="21"/>
        </w:rPr>
        <w:t> </w:t>
      </w:r>
      <w:r>
        <w:rPr>
          <w:sz w:val="21"/>
        </w:rPr>
        <w:t>criminal</w:t>
      </w:r>
      <w:r>
        <w:rPr>
          <w:spacing w:val="-3"/>
          <w:sz w:val="21"/>
        </w:rPr>
        <w:t> </w:t>
      </w:r>
      <w:r>
        <w:rPr>
          <w:sz w:val="21"/>
        </w:rPr>
        <w:t>legal</w:t>
      </w:r>
      <w:r>
        <w:rPr>
          <w:spacing w:val="-3"/>
          <w:sz w:val="21"/>
        </w:rPr>
        <w:t> </w:t>
      </w:r>
      <w:r>
        <w:rPr>
          <w:sz w:val="21"/>
        </w:rPr>
        <w:t>systems.</w:t>
      </w:r>
      <w:r>
        <w:rPr>
          <w:spacing w:val="-3"/>
          <w:sz w:val="21"/>
        </w:rPr>
        <w:t> </w:t>
      </w:r>
      <w:r>
        <w:rPr>
          <w:sz w:val="21"/>
        </w:rPr>
        <w:t>Data</w:t>
      </w:r>
      <w:r>
        <w:rPr>
          <w:spacing w:val="-3"/>
          <w:sz w:val="21"/>
        </w:rPr>
        <w:t> </w:t>
      </w:r>
      <w:r>
        <w:rPr>
          <w:sz w:val="21"/>
        </w:rPr>
        <w:t>indicates</w:t>
      </w:r>
      <w:r>
        <w:rPr>
          <w:spacing w:val="-4"/>
          <w:sz w:val="21"/>
        </w:rPr>
        <w:t> </w:t>
      </w:r>
      <w:r>
        <w:rPr>
          <w:sz w:val="21"/>
        </w:rPr>
        <w:t>that</w:t>
      </w:r>
      <w:r>
        <w:rPr>
          <w:spacing w:val="-4"/>
          <w:sz w:val="21"/>
        </w:rPr>
        <w:t> </w:t>
      </w:r>
      <w:r>
        <w:rPr>
          <w:sz w:val="21"/>
        </w:rPr>
        <w:t>there</w:t>
      </w:r>
      <w:r>
        <w:rPr>
          <w:spacing w:val="-3"/>
          <w:sz w:val="21"/>
        </w:rPr>
        <w:t> </w:t>
      </w:r>
      <w:r>
        <w:rPr>
          <w:sz w:val="21"/>
        </w:rPr>
        <w:t>is</w:t>
      </w:r>
      <w:r>
        <w:rPr>
          <w:spacing w:val="-4"/>
          <w:sz w:val="21"/>
        </w:rPr>
        <w:t> </w:t>
      </w:r>
      <w:r>
        <w:rPr>
          <w:sz w:val="21"/>
        </w:rPr>
        <w:t>an </w:t>
      </w:r>
      <w:bookmarkStart w:name="_bookmark418" w:id="651"/>
      <w:bookmarkEnd w:id="651"/>
      <w:r>
        <w:rPr>
          <w:sz w:val="21"/>
        </w:rPr>
      </w:r>
      <w:bookmarkStart w:name="_bookmark419" w:id="652"/>
      <w:bookmarkEnd w:id="652"/>
      <w:r>
        <w:rPr>
          <w:sz w:val="21"/>
        </w:rPr>
        <w:t>ur</w:t>
      </w:r>
      <w:r>
        <w:rPr>
          <w:sz w:val="21"/>
        </w:rPr>
        <w:t>gent need for comprehensive reform and more inclusive, equitable treatment practices. Further, enhanced</w:t>
      </w:r>
      <w:r>
        <w:rPr>
          <w:spacing w:val="-4"/>
          <w:sz w:val="21"/>
        </w:rPr>
        <w:t> </w:t>
      </w:r>
      <w:r>
        <w:rPr>
          <w:sz w:val="21"/>
        </w:rPr>
        <w:t>SOGI</w:t>
      </w:r>
      <w:r>
        <w:rPr>
          <w:spacing w:val="-4"/>
          <w:sz w:val="21"/>
        </w:rPr>
        <w:t> </w:t>
      </w:r>
      <w:r>
        <w:rPr>
          <w:sz w:val="21"/>
        </w:rPr>
        <w:t>data</w:t>
      </w:r>
      <w:r>
        <w:rPr>
          <w:spacing w:val="-4"/>
          <w:sz w:val="21"/>
        </w:rPr>
        <w:t> </w:t>
      </w:r>
      <w:r>
        <w:rPr>
          <w:sz w:val="21"/>
        </w:rPr>
        <w:t>recording</w:t>
      </w:r>
      <w:r>
        <w:rPr>
          <w:spacing w:val="-5"/>
          <w:sz w:val="21"/>
        </w:rPr>
        <w:t> </w:t>
      </w:r>
      <w:r>
        <w:rPr>
          <w:sz w:val="21"/>
        </w:rPr>
        <w:t>is</w:t>
      </w:r>
      <w:r>
        <w:rPr>
          <w:spacing w:val="-5"/>
          <w:sz w:val="21"/>
        </w:rPr>
        <w:t> </w:t>
      </w:r>
      <w:r>
        <w:rPr>
          <w:sz w:val="21"/>
        </w:rPr>
        <w:t>needed</w:t>
      </w:r>
      <w:r>
        <w:rPr>
          <w:spacing w:val="-4"/>
          <w:sz w:val="21"/>
        </w:rPr>
        <w:t> </w:t>
      </w:r>
      <w:r>
        <w:rPr>
          <w:sz w:val="21"/>
        </w:rPr>
        <w:t>to</w:t>
      </w:r>
      <w:r>
        <w:rPr>
          <w:spacing w:val="-4"/>
          <w:sz w:val="21"/>
        </w:rPr>
        <w:t> </w:t>
      </w:r>
      <w:r>
        <w:rPr>
          <w:sz w:val="21"/>
        </w:rPr>
        <w:t>demonstrate</w:t>
      </w:r>
      <w:r>
        <w:rPr>
          <w:spacing w:val="-4"/>
          <w:sz w:val="21"/>
        </w:rPr>
        <w:t> </w:t>
      </w:r>
      <w:r>
        <w:rPr>
          <w:sz w:val="21"/>
        </w:rPr>
        <w:t>the</w:t>
      </w:r>
      <w:r>
        <w:rPr>
          <w:spacing w:val="-4"/>
          <w:sz w:val="21"/>
        </w:rPr>
        <w:t> </w:t>
      </w:r>
      <w:r>
        <w:rPr>
          <w:sz w:val="21"/>
        </w:rPr>
        <w:t>experiences</w:t>
      </w:r>
      <w:r>
        <w:rPr>
          <w:spacing w:val="-5"/>
          <w:sz w:val="21"/>
        </w:rPr>
        <w:t> </w:t>
      </w:r>
      <w:r>
        <w:rPr>
          <w:sz w:val="21"/>
        </w:rPr>
        <w:t>of</w:t>
      </w:r>
      <w:r>
        <w:rPr>
          <w:spacing w:val="-5"/>
          <w:sz w:val="21"/>
        </w:rPr>
        <w:t> </w:t>
      </w:r>
      <w:r>
        <w:rPr>
          <w:sz w:val="21"/>
        </w:rPr>
        <w:t>LGBTQ</w:t>
      </w:r>
      <w:r>
        <w:rPr>
          <w:spacing w:val="-4"/>
          <w:sz w:val="21"/>
        </w:rPr>
        <w:t> </w:t>
      </w:r>
      <w:r>
        <w:rPr>
          <w:sz w:val="21"/>
        </w:rPr>
        <w:t>youth</w:t>
      </w:r>
      <w:r>
        <w:rPr>
          <w:spacing w:val="-4"/>
          <w:sz w:val="21"/>
        </w:rPr>
        <w:t> </w:t>
      </w:r>
      <w:r>
        <w:rPr>
          <w:sz w:val="21"/>
        </w:rPr>
        <w:t>in</w:t>
      </w:r>
      <w:r>
        <w:rPr>
          <w:spacing w:val="-4"/>
          <w:sz w:val="21"/>
        </w:rPr>
        <w:t> </w:t>
      </w:r>
      <w:r>
        <w:rPr>
          <w:sz w:val="21"/>
        </w:rPr>
        <w:t>both</w:t>
      </w:r>
      <w:r>
        <w:rPr>
          <w:spacing w:val="-4"/>
          <w:sz w:val="21"/>
        </w:rPr>
        <w:t> </w:t>
      </w:r>
      <w:r>
        <w:rPr>
          <w:sz w:val="21"/>
        </w:rPr>
        <w:t>systems.</w:t>
      </w:r>
    </w:p>
    <w:p>
      <w:pPr>
        <w:spacing w:before="238"/>
        <w:ind w:left="464" w:right="0" w:firstLine="0"/>
        <w:jc w:val="both"/>
        <w:rPr>
          <w:sz w:val="28"/>
        </w:rPr>
      </w:pPr>
      <w:bookmarkStart w:name="Progress in Massachusetts on Juvenile Le" w:id="653"/>
      <w:bookmarkEnd w:id="653"/>
      <w:r>
        <w:rPr/>
      </w:r>
      <w:bookmarkStart w:name="_bookmark420" w:id="654"/>
      <w:bookmarkEnd w:id="654"/>
      <w:r>
        <w:rPr/>
      </w:r>
      <w:bookmarkStart w:name="_bookmark421" w:id="655"/>
      <w:bookmarkEnd w:id="655"/>
      <w:r>
        <w:rPr/>
      </w:r>
      <w:r>
        <w:rPr>
          <w:color w:val="365F91"/>
          <w:sz w:val="28"/>
        </w:rPr>
        <w:t>Progress</w:t>
      </w:r>
      <w:r>
        <w:rPr>
          <w:color w:val="365F91"/>
          <w:spacing w:val="-11"/>
          <w:sz w:val="28"/>
        </w:rPr>
        <w:t> </w:t>
      </w:r>
      <w:r>
        <w:rPr>
          <w:color w:val="365F91"/>
          <w:sz w:val="28"/>
        </w:rPr>
        <w:t>in</w:t>
      </w:r>
      <w:r>
        <w:rPr>
          <w:color w:val="365F91"/>
          <w:spacing w:val="-10"/>
          <w:sz w:val="28"/>
        </w:rPr>
        <w:t> </w:t>
      </w:r>
      <w:r>
        <w:rPr>
          <w:color w:val="365F91"/>
          <w:sz w:val="28"/>
        </w:rPr>
        <w:t>Massachusetts</w:t>
      </w:r>
      <w:r>
        <w:rPr>
          <w:color w:val="365F91"/>
          <w:spacing w:val="-9"/>
          <w:sz w:val="28"/>
        </w:rPr>
        <w:t> </w:t>
      </w:r>
      <w:r>
        <w:rPr>
          <w:color w:val="365F91"/>
          <w:sz w:val="28"/>
        </w:rPr>
        <w:t>on</w:t>
      </w:r>
      <w:r>
        <w:rPr>
          <w:color w:val="365F91"/>
          <w:spacing w:val="-10"/>
          <w:sz w:val="28"/>
        </w:rPr>
        <w:t> </w:t>
      </w:r>
      <w:r>
        <w:rPr>
          <w:color w:val="365F91"/>
          <w:sz w:val="28"/>
        </w:rPr>
        <w:t>Juvenile</w:t>
      </w:r>
      <w:r>
        <w:rPr>
          <w:color w:val="365F91"/>
          <w:spacing w:val="-10"/>
          <w:sz w:val="28"/>
        </w:rPr>
        <w:t> </w:t>
      </w:r>
      <w:r>
        <w:rPr>
          <w:color w:val="365F91"/>
          <w:sz w:val="28"/>
        </w:rPr>
        <w:t>Legal</w:t>
      </w:r>
      <w:r>
        <w:rPr>
          <w:color w:val="365F91"/>
          <w:spacing w:val="-9"/>
          <w:sz w:val="28"/>
        </w:rPr>
        <w:t> </w:t>
      </w:r>
      <w:r>
        <w:rPr>
          <w:color w:val="365F91"/>
          <w:spacing w:val="-2"/>
          <w:sz w:val="28"/>
        </w:rPr>
        <w:t>System</w:t>
      </w:r>
    </w:p>
    <w:p>
      <w:pPr>
        <w:pStyle w:val="BodyText"/>
        <w:rPr>
          <w:sz w:val="28"/>
        </w:rPr>
      </w:pPr>
    </w:p>
    <w:p>
      <w:pPr>
        <w:pStyle w:val="BodyText"/>
        <w:spacing w:before="93"/>
        <w:rPr>
          <w:sz w:val="28"/>
        </w:rPr>
      </w:pPr>
    </w:p>
    <w:p>
      <w:pPr>
        <w:spacing w:line="276" w:lineRule="auto" w:before="0"/>
        <w:ind w:left="464" w:right="238" w:firstLine="0"/>
        <w:jc w:val="both"/>
        <w:rPr>
          <w:sz w:val="21"/>
        </w:rPr>
      </w:pPr>
      <w:bookmarkStart w:name="_bookmark422" w:id="656"/>
      <w:bookmarkEnd w:id="656"/>
      <w:r>
        <w:rPr/>
      </w:r>
      <w:bookmarkStart w:name="_bookmark423" w:id="657"/>
      <w:bookmarkEnd w:id="657"/>
      <w:r>
        <w:rPr/>
      </w:r>
      <w:r>
        <w:rPr>
          <w:sz w:val="21"/>
        </w:rPr>
        <w:t>In</w:t>
      </w:r>
      <w:r>
        <w:rPr>
          <w:spacing w:val="-12"/>
          <w:sz w:val="21"/>
        </w:rPr>
        <w:t> </w:t>
      </w:r>
      <w:r>
        <w:rPr>
          <w:sz w:val="21"/>
        </w:rPr>
        <w:t>April</w:t>
      </w:r>
      <w:r>
        <w:rPr>
          <w:spacing w:val="-12"/>
          <w:sz w:val="21"/>
        </w:rPr>
        <w:t> </w:t>
      </w:r>
      <w:r>
        <w:rPr>
          <w:sz w:val="21"/>
        </w:rPr>
        <w:t>2018,</w:t>
      </w:r>
      <w:r>
        <w:rPr>
          <w:spacing w:val="-12"/>
          <w:sz w:val="21"/>
        </w:rPr>
        <w:t> </w:t>
      </w:r>
      <w:r>
        <w:rPr>
          <w:sz w:val="21"/>
        </w:rPr>
        <w:t>Massachusetts</w:t>
      </w:r>
      <w:r>
        <w:rPr>
          <w:spacing w:val="-12"/>
          <w:sz w:val="21"/>
        </w:rPr>
        <w:t> </w:t>
      </w:r>
      <w:r>
        <w:rPr>
          <w:sz w:val="21"/>
        </w:rPr>
        <w:t>undertook</w:t>
      </w:r>
      <w:r>
        <w:rPr>
          <w:spacing w:val="-12"/>
          <w:sz w:val="21"/>
        </w:rPr>
        <w:t> </w:t>
      </w:r>
      <w:r>
        <w:rPr>
          <w:sz w:val="21"/>
        </w:rPr>
        <w:t>a</w:t>
      </w:r>
      <w:r>
        <w:rPr>
          <w:spacing w:val="-12"/>
          <w:sz w:val="21"/>
        </w:rPr>
        <w:t> </w:t>
      </w:r>
      <w:r>
        <w:rPr>
          <w:sz w:val="21"/>
        </w:rPr>
        <w:t>significant</w:t>
      </w:r>
      <w:r>
        <w:rPr>
          <w:spacing w:val="-12"/>
          <w:sz w:val="21"/>
        </w:rPr>
        <w:t> </w:t>
      </w:r>
      <w:r>
        <w:rPr>
          <w:sz w:val="21"/>
        </w:rPr>
        <w:t>step</w:t>
      </w:r>
      <w:r>
        <w:rPr>
          <w:spacing w:val="-11"/>
          <w:sz w:val="21"/>
        </w:rPr>
        <w:t> </w:t>
      </w:r>
      <w:r>
        <w:rPr>
          <w:sz w:val="21"/>
        </w:rPr>
        <w:t>in</w:t>
      </w:r>
      <w:r>
        <w:rPr>
          <w:spacing w:val="-12"/>
          <w:sz w:val="21"/>
        </w:rPr>
        <w:t> </w:t>
      </w:r>
      <w:r>
        <w:rPr>
          <w:sz w:val="21"/>
        </w:rPr>
        <w:t>reforming</w:t>
      </w:r>
      <w:r>
        <w:rPr>
          <w:spacing w:val="-12"/>
          <w:sz w:val="21"/>
        </w:rPr>
        <w:t> </w:t>
      </w:r>
      <w:r>
        <w:rPr>
          <w:sz w:val="21"/>
        </w:rPr>
        <w:t>its</w:t>
      </w:r>
      <w:r>
        <w:rPr>
          <w:spacing w:val="-12"/>
          <w:sz w:val="21"/>
        </w:rPr>
        <w:t> </w:t>
      </w:r>
      <w:r>
        <w:rPr>
          <w:sz w:val="21"/>
        </w:rPr>
        <w:t>juvenile</w:t>
      </w:r>
      <w:r>
        <w:rPr>
          <w:spacing w:val="-12"/>
          <w:sz w:val="21"/>
        </w:rPr>
        <w:t> </w:t>
      </w:r>
      <w:r>
        <w:rPr>
          <w:sz w:val="21"/>
        </w:rPr>
        <w:t>and</w:t>
      </w:r>
      <w:r>
        <w:rPr>
          <w:spacing w:val="-12"/>
          <w:sz w:val="21"/>
        </w:rPr>
        <w:t> </w:t>
      </w:r>
      <w:r>
        <w:rPr>
          <w:sz w:val="21"/>
        </w:rPr>
        <w:t>criminal</w:t>
      </w:r>
      <w:r>
        <w:rPr>
          <w:spacing w:val="-12"/>
          <w:sz w:val="21"/>
        </w:rPr>
        <w:t> </w:t>
      </w:r>
      <w:r>
        <w:rPr>
          <w:sz w:val="21"/>
        </w:rPr>
        <w:t>legal</w:t>
      </w:r>
      <w:r>
        <w:rPr>
          <w:spacing w:val="-12"/>
          <w:sz w:val="21"/>
        </w:rPr>
        <w:t> </w:t>
      </w:r>
      <w:r>
        <w:rPr>
          <w:sz w:val="21"/>
        </w:rPr>
        <w:t>systems </w:t>
      </w:r>
      <w:bookmarkStart w:name="_bookmark424" w:id="658"/>
      <w:bookmarkEnd w:id="658"/>
      <w:r>
        <w:rPr>
          <w:sz w:val="21"/>
        </w:rPr>
        <w:t>w</w:t>
      </w:r>
      <w:r>
        <w:rPr>
          <w:sz w:val="21"/>
        </w:rPr>
        <w:t>ith</w:t>
      </w:r>
      <w:r>
        <w:rPr>
          <w:spacing w:val="-3"/>
          <w:sz w:val="21"/>
        </w:rPr>
        <w:t> </w:t>
      </w:r>
      <w:r>
        <w:rPr>
          <w:sz w:val="21"/>
        </w:rPr>
        <w:t>the</w:t>
      </w:r>
      <w:r>
        <w:rPr>
          <w:spacing w:val="-3"/>
          <w:sz w:val="21"/>
        </w:rPr>
        <w:t> </w:t>
      </w:r>
      <w:r>
        <w:rPr>
          <w:sz w:val="21"/>
        </w:rPr>
        <w:t>enactment</w:t>
      </w:r>
      <w:r>
        <w:rPr>
          <w:spacing w:val="-3"/>
          <w:sz w:val="21"/>
        </w:rPr>
        <w:t> </w:t>
      </w:r>
      <w:r>
        <w:rPr>
          <w:sz w:val="21"/>
        </w:rPr>
        <w:t>of</w:t>
      </w:r>
      <w:r>
        <w:rPr>
          <w:spacing w:val="-3"/>
          <w:sz w:val="21"/>
        </w:rPr>
        <w:t> </w:t>
      </w:r>
      <w:r>
        <w:rPr>
          <w:sz w:val="21"/>
        </w:rPr>
        <w:t>a</w:t>
      </w:r>
      <w:r>
        <w:rPr>
          <w:spacing w:val="-4"/>
          <w:sz w:val="21"/>
        </w:rPr>
        <w:t> </w:t>
      </w:r>
      <w:r>
        <w:rPr>
          <w:sz w:val="21"/>
        </w:rPr>
        <w:t>comprehensive</w:t>
      </w:r>
      <w:r>
        <w:rPr>
          <w:spacing w:val="-3"/>
          <w:sz w:val="21"/>
        </w:rPr>
        <w:t> </w:t>
      </w:r>
      <w:r>
        <w:rPr>
          <w:sz w:val="21"/>
        </w:rPr>
        <w:t>criminal</w:t>
      </w:r>
      <w:r>
        <w:rPr>
          <w:spacing w:val="-3"/>
          <w:sz w:val="21"/>
        </w:rPr>
        <w:t> </w:t>
      </w:r>
      <w:r>
        <w:rPr>
          <w:sz w:val="21"/>
        </w:rPr>
        <w:t>reform</w:t>
      </w:r>
      <w:r>
        <w:rPr>
          <w:spacing w:val="-3"/>
          <w:sz w:val="21"/>
        </w:rPr>
        <w:t> </w:t>
      </w:r>
      <w:r>
        <w:rPr>
          <w:sz w:val="21"/>
        </w:rPr>
        <w:t>package.</w:t>
      </w:r>
      <w:r>
        <w:rPr>
          <w:spacing w:val="-3"/>
          <w:sz w:val="21"/>
        </w:rPr>
        <w:t> </w:t>
      </w:r>
      <w:r>
        <w:rPr>
          <w:sz w:val="21"/>
        </w:rPr>
        <w:t>This</w:t>
      </w:r>
      <w:r>
        <w:rPr>
          <w:spacing w:val="-3"/>
          <w:sz w:val="21"/>
        </w:rPr>
        <w:t> </w:t>
      </w:r>
      <w:r>
        <w:rPr>
          <w:sz w:val="21"/>
        </w:rPr>
        <w:t>legislation</w:t>
      </w:r>
      <w:r>
        <w:rPr>
          <w:spacing w:val="-3"/>
          <w:sz w:val="21"/>
        </w:rPr>
        <w:t> </w:t>
      </w:r>
      <w:r>
        <w:rPr>
          <w:sz w:val="21"/>
        </w:rPr>
        <w:t>holds</w:t>
      </w:r>
      <w:r>
        <w:rPr>
          <w:spacing w:val="-4"/>
          <w:sz w:val="21"/>
        </w:rPr>
        <w:t> </w:t>
      </w:r>
      <w:r>
        <w:rPr>
          <w:sz w:val="21"/>
        </w:rPr>
        <w:t>promise</w:t>
      </w:r>
      <w:r>
        <w:rPr>
          <w:spacing w:val="-3"/>
          <w:sz w:val="21"/>
        </w:rPr>
        <w:t> </w:t>
      </w:r>
      <w:r>
        <w:rPr>
          <w:sz w:val="21"/>
        </w:rPr>
        <w:t>for</w:t>
      </w:r>
      <w:r>
        <w:rPr>
          <w:spacing w:val="-3"/>
          <w:sz w:val="21"/>
        </w:rPr>
        <w:t> </w:t>
      </w:r>
      <w:r>
        <w:rPr>
          <w:sz w:val="21"/>
        </w:rPr>
        <w:t>LGBTQ </w:t>
      </w:r>
      <w:bookmarkStart w:name="_bookmark425" w:id="659"/>
      <w:bookmarkEnd w:id="659"/>
      <w:r>
        <w:rPr>
          <w:sz w:val="21"/>
        </w:rPr>
        <w:t>y</w:t>
      </w:r>
      <w:r>
        <w:rPr>
          <w:sz w:val="21"/>
        </w:rPr>
        <w:t>outh,</w:t>
      </w:r>
      <w:r>
        <w:rPr>
          <w:spacing w:val="-4"/>
          <w:sz w:val="21"/>
        </w:rPr>
        <w:t> </w:t>
      </w:r>
      <w:r>
        <w:rPr>
          <w:sz w:val="21"/>
        </w:rPr>
        <w:t>who</w:t>
      </w:r>
      <w:r>
        <w:rPr>
          <w:spacing w:val="-6"/>
          <w:sz w:val="21"/>
        </w:rPr>
        <w:t> </w:t>
      </w:r>
      <w:r>
        <w:rPr>
          <w:sz w:val="21"/>
        </w:rPr>
        <w:t>face</w:t>
      </w:r>
      <w:r>
        <w:rPr>
          <w:spacing w:val="-4"/>
          <w:sz w:val="21"/>
        </w:rPr>
        <w:t> </w:t>
      </w:r>
      <w:r>
        <w:rPr>
          <w:sz w:val="21"/>
        </w:rPr>
        <w:t>disproportionate</w:t>
      </w:r>
      <w:r>
        <w:rPr>
          <w:spacing w:val="-4"/>
          <w:sz w:val="21"/>
        </w:rPr>
        <w:t> </w:t>
      </w:r>
      <w:r>
        <w:rPr>
          <w:sz w:val="21"/>
        </w:rPr>
        <w:t>challenges</w:t>
      </w:r>
      <w:r>
        <w:rPr>
          <w:spacing w:val="-5"/>
          <w:sz w:val="21"/>
        </w:rPr>
        <w:t> </w:t>
      </w:r>
      <w:r>
        <w:rPr>
          <w:sz w:val="21"/>
        </w:rPr>
        <w:t>within</w:t>
      </w:r>
      <w:r>
        <w:rPr>
          <w:spacing w:val="-4"/>
          <w:sz w:val="21"/>
        </w:rPr>
        <w:t> </w:t>
      </w:r>
      <w:r>
        <w:rPr>
          <w:sz w:val="21"/>
        </w:rPr>
        <w:t>these</w:t>
      </w:r>
      <w:r>
        <w:rPr>
          <w:spacing w:val="-4"/>
          <w:sz w:val="21"/>
        </w:rPr>
        <w:t> </w:t>
      </w:r>
      <w:r>
        <w:rPr>
          <w:sz w:val="21"/>
        </w:rPr>
        <w:t>systems.</w:t>
      </w:r>
      <w:hyperlink w:history="true" w:anchor="_bookmark441">
        <w:r>
          <w:rPr>
            <w:sz w:val="21"/>
            <w:vertAlign w:val="superscript"/>
          </w:rPr>
          <w:t>125</w:t>
        </w:r>
      </w:hyperlink>
      <w:r>
        <w:rPr>
          <w:spacing w:val="-2"/>
          <w:sz w:val="21"/>
          <w:vertAlign w:val="baseline"/>
        </w:rPr>
        <w:t> </w:t>
      </w:r>
      <w:r>
        <w:rPr>
          <w:sz w:val="21"/>
          <w:vertAlign w:val="baseline"/>
        </w:rPr>
        <w:t>A</w:t>
      </w:r>
      <w:r>
        <w:rPr>
          <w:spacing w:val="-5"/>
          <w:sz w:val="21"/>
          <w:vertAlign w:val="baseline"/>
        </w:rPr>
        <w:t> </w:t>
      </w:r>
      <w:r>
        <w:rPr>
          <w:sz w:val="21"/>
          <w:vertAlign w:val="baseline"/>
        </w:rPr>
        <w:t>critical</w:t>
      </w:r>
      <w:r>
        <w:rPr>
          <w:spacing w:val="-5"/>
          <w:sz w:val="21"/>
          <w:vertAlign w:val="baseline"/>
        </w:rPr>
        <w:t> </w:t>
      </w:r>
      <w:r>
        <w:rPr>
          <w:sz w:val="21"/>
          <w:vertAlign w:val="baseline"/>
        </w:rPr>
        <w:t>feature</w:t>
      </w:r>
      <w:r>
        <w:rPr>
          <w:spacing w:val="-4"/>
          <w:sz w:val="21"/>
          <w:vertAlign w:val="baseline"/>
        </w:rPr>
        <w:t> </w:t>
      </w:r>
      <w:r>
        <w:rPr>
          <w:sz w:val="21"/>
          <w:vertAlign w:val="baseline"/>
        </w:rPr>
        <w:t>of</w:t>
      </w:r>
      <w:r>
        <w:rPr>
          <w:spacing w:val="-5"/>
          <w:sz w:val="21"/>
          <w:vertAlign w:val="baseline"/>
        </w:rPr>
        <w:t> </w:t>
      </w:r>
      <w:r>
        <w:rPr>
          <w:sz w:val="21"/>
          <w:vertAlign w:val="baseline"/>
        </w:rPr>
        <w:t>this</w:t>
      </w:r>
      <w:r>
        <w:rPr>
          <w:spacing w:val="-5"/>
          <w:sz w:val="21"/>
          <w:vertAlign w:val="baseline"/>
        </w:rPr>
        <w:t> </w:t>
      </w:r>
      <w:r>
        <w:rPr>
          <w:sz w:val="21"/>
          <w:vertAlign w:val="baseline"/>
        </w:rPr>
        <w:t>reform</w:t>
      </w:r>
      <w:r>
        <w:rPr>
          <w:spacing w:val="-4"/>
          <w:sz w:val="21"/>
          <w:vertAlign w:val="baseline"/>
        </w:rPr>
        <w:t> </w:t>
      </w:r>
      <w:r>
        <w:rPr>
          <w:sz w:val="21"/>
          <w:vertAlign w:val="baseline"/>
        </w:rPr>
        <w:t>is</w:t>
      </w:r>
      <w:r>
        <w:rPr>
          <w:spacing w:val="-5"/>
          <w:sz w:val="21"/>
          <w:vertAlign w:val="baseline"/>
        </w:rPr>
        <w:t> </w:t>
      </w:r>
      <w:r>
        <w:rPr>
          <w:sz w:val="21"/>
          <w:vertAlign w:val="baseline"/>
        </w:rPr>
        <w:t>the </w:t>
      </w:r>
      <w:bookmarkStart w:name="_bookmark426" w:id="660"/>
      <w:bookmarkEnd w:id="660"/>
      <w:r>
        <w:rPr>
          <w:sz w:val="21"/>
          <w:vertAlign w:val="baseline"/>
        </w:rPr>
        <w:t>d</w:t>
      </w:r>
      <w:r>
        <w:rPr>
          <w:sz w:val="21"/>
          <w:vertAlign w:val="baseline"/>
        </w:rPr>
        <w:t>ecriminalization of non-violent, school-based offenses, a change that directly benefits LGBTQ students. </w:t>
      </w:r>
      <w:bookmarkStart w:name="_bookmark427" w:id="661"/>
      <w:bookmarkEnd w:id="661"/>
      <w:r>
        <w:rPr>
          <w:sz w:val="21"/>
          <w:vertAlign w:val="baseline"/>
        </w:rPr>
      </w:r>
      <w:bookmarkStart w:name="_bookmark428" w:id="662"/>
      <w:bookmarkEnd w:id="662"/>
      <w:r>
        <w:rPr>
          <w:sz w:val="21"/>
          <w:vertAlign w:val="baseline"/>
        </w:rPr>
        <w:t>T</w:t>
      </w:r>
      <w:r>
        <w:rPr>
          <w:sz w:val="21"/>
          <w:vertAlign w:val="baseline"/>
        </w:rPr>
        <w:t>hese students are notably more susceptible to severe disciplinary actions in school settings compared to their heterosexual and cisgender counterparts, with evidence suggesting they are three times as likely to face such consequences. By decriminalizing non-violent acts, the legislation aims to disrupt the school-to- </w:t>
      </w:r>
      <w:bookmarkStart w:name="_bookmark429" w:id="663"/>
      <w:bookmarkEnd w:id="663"/>
      <w:r>
        <w:rPr>
          <w:sz w:val="21"/>
          <w:vertAlign w:val="baseline"/>
        </w:rPr>
        <w:t>p</w:t>
      </w:r>
      <w:r>
        <w:rPr>
          <w:sz w:val="21"/>
          <w:vertAlign w:val="baseline"/>
        </w:rPr>
        <w:t>rison pipeline that particularly threatens LGBTQ youth of color.</w:t>
      </w:r>
    </w:p>
    <w:p>
      <w:pPr>
        <w:spacing w:line="276" w:lineRule="auto" w:before="240"/>
        <w:ind w:left="464" w:right="239" w:firstLine="0"/>
        <w:jc w:val="both"/>
        <w:rPr>
          <w:sz w:val="21"/>
        </w:rPr>
      </w:pPr>
      <w:r>
        <w:rPr>
          <w:sz w:val="21"/>
        </w:rPr>
        <w:t>The reform package offers mechanisms for diverting cases from the criminal legal system before </w:t>
      </w:r>
      <w:bookmarkStart w:name="_bookmark430" w:id="664"/>
      <w:bookmarkEnd w:id="664"/>
      <w:r>
        <w:rPr>
          <w:sz w:val="21"/>
        </w:rPr>
        <w:t>ar</w:t>
      </w:r>
      <w:r>
        <w:rPr>
          <w:sz w:val="21"/>
        </w:rPr>
        <w:t>raignment, thereby preventing formal court processing and the subsequent creation of a juvenile </w:t>
      </w:r>
      <w:bookmarkStart w:name="_bookmark431" w:id="665"/>
      <w:bookmarkEnd w:id="665"/>
      <w:r>
        <w:rPr>
          <w:sz w:val="21"/>
        </w:rPr>
        <w:t>r</w:t>
      </w:r>
      <w:r>
        <w:rPr>
          <w:sz w:val="21"/>
        </w:rPr>
        <w:t>ecord.</w:t>
      </w:r>
      <w:hyperlink w:history="true" w:anchor="_bookmark442">
        <w:r>
          <w:rPr>
            <w:sz w:val="21"/>
            <w:vertAlign w:val="superscript"/>
          </w:rPr>
          <w:t>126</w:t>
        </w:r>
      </w:hyperlink>
      <w:r>
        <w:rPr>
          <w:spacing w:val="-2"/>
          <w:sz w:val="21"/>
          <w:vertAlign w:val="baseline"/>
        </w:rPr>
        <w:t> </w:t>
      </w:r>
      <w:r>
        <w:rPr>
          <w:sz w:val="21"/>
          <w:vertAlign w:val="baseline"/>
        </w:rPr>
        <w:t>This approach is pivotal for LGBTQ youth, who are already more vulnerable to dropping out of high school due to stigma, discrimination, and harassment. By channeling youth towards rehabilitation, treatment, and other supportive services, the reforms seek to reduce recidivism and avert further harm. Furthermore, the reforms address the disproportionate incarceration rates and the conditions of confinement for LGBTQ youth. The legislation codifies the prohibition of solitary confinement for LGBTQ</w:t>
      </w:r>
    </w:p>
    <w:p>
      <w:pPr>
        <w:spacing w:after="0" w:line="276" w:lineRule="auto"/>
        <w:jc w:val="both"/>
        <w:rPr>
          <w:sz w:val="21"/>
        </w:rPr>
        <w:sectPr>
          <w:pgSz w:w="12240" w:h="15840"/>
          <w:pgMar w:header="763" w:footer="1041" w:top="1360" w:bottom="1240" w:left="1120" w:right="1340"/>
        </w:sectPr>
      </w:pPr>
    </w:p>
    <w:p>
      <w:pPr>
        <w:spacing w:line="276" w:lineRule="auto" w:before="65"/>
        <w:ind w:left="463" w:right="239" w:firstLine="0"/>
        <w:jc w:val="both"/>
        <w:rPr>
          <w:sz w:val="21"/>
        </w:rPr>
      </w:pPr>
      <w:r>
        <w:rPr>
          <w:sz w:val="21"/>
        </w:rPr>
        <w:t>individuals and allows for the expungement of non-serious offenses committed before the age of 21.</w:t>
      </w:r>
      <w:hyperlink w:history="true" w:anchor="_bookmark443">
        <w:r>
          <w:rPr>
            <w:sz w:val="21"/>
            <w:vertAlign w:val="superscript"/>
          </w:rPr>
          <w:t>127</w:t>
        </w:r>
      </w:hyperlink>
      <w:r>
        <w:rPr>
          <w:sz w:val="21"/>
          <w:vertAlign w:val="baseline"/>
        </w:rPr>
        <w:t> </w:t>
      </w:r>
      <w:bookmarkStart w:name="_bookmark432" w:id="666"/>
      <w:bookmarkEnd w:id="666"/>
      <w:r>
        <w:rPr>
          <w:sz w:val="21"/>
          <w:vertAlign w:val="baseline"/>
        </w:rPr>
        <w:t>G</w:t>
      </w:r>
      <w:r>
        <w:rPr>
          <w:sz w:val="21"/>
          <w:vertAlign w:val="baseline"/>
        </w:rPr>
        <w:t>iven that LGBTQ individuals face discrimination in employment, housing, and social services, mitigating the additional burden of a criminal record is a crucial step towards equality.</w:t>
      </w:r>
    </w:p>
    <w:p>
      <w:pPr>
        <w:spacing w:line="276" w:lineRule="auto" w:before="240"/>
        <w:ind w:left="463" w:right="239" w:firstLine="0"/>
        <w:jc w:val="both"/>
        <w:rPr>
          <w:sz w:val="21"/>
        </w:rPr>
      </w:pPr>
      <w:bookmarkStart w:name="_bookmark433" w:id="667"/>
      <w:bookmarkEnd w:id="667"/>
      <w:r>
        <w:rPr/>
      </w:r>
      <w:bookmarkStart w:name="_bookmark434" w:id="668"/>
      <w:bookmarkEnd w:id="668"/>
      <w:r>
        <w:rPr/>
      </w:r>
      <w:r>
        <w:rPr>
          <w:sz w:val="21"/>
        </w:rPr>
        <w:t>To enhance the health and safety of incarcerated LGBTQ individuals, the reform law established a special commission and created the Juvenile Justice Policy and Data Board.</w:t>
      </w:r>
      <w:r>
        <w:rPr>
          <w:spacing w:val="-12"/>
          <w:sz w:val="21"/>
        </w:rPr>
        <w:t> </w:t>
      </w:r>
      <w:hyperlink w:history="true" w:anchor="_bookmark444">
        <w:r>
          <w:rPr>
            <w:sz w:val="21"/>
            <w:vertAlign w:val="superscript"/>
          </w:rPr>
          <w:t>128</w:t>
        </w:r>
      </w:hyperlink>
      <w:r>
        <w:rPr>
          <w:sz w:val="21"/>
          <w:vertAlign w:val="baseline"/>
        </w:rPr>
        <w:t> These bodies are tasked with </w:t>
      </w:r>
      <w:bookmarkStart w:name="_bookmark435" w:id="669"/>
      <w:bookmarkEnd w:id="669"/>
      <w:r>
        <w:rPr>
          <w:sz w:val="21"/>
          <w:vertAlign w:val="baseline"/>
        </w:rPr>
        <w:t>e</w:t>
      </w:r>
      <w:r>
        <w:rPr>
          <w:sz w:val="21"/>
          <w:vertAlign w:val="baseline"/>
        </w:rPr>
        <w:t>valuating</w:t>
      </w:r>
      <w:r>
        <w:rPr>
          <w:spacing w:val="-1"/>
          <w:sz w:val="21"/>
          <w:vertAlign w:val="baseline"/>
        </w:rPr>
        <w:t> </w:t>
      </w:r>
      <w:r>
        <w:rPr>
          <w:sz w:val="21"/>
          <w:vertAlign w:val="baseline"/>
        </w:rPr>
        <w:t>the</w:t>
      </w:r>
      <w:r>
        <w:rPr>
          <w:spacing w:val="-2"/>
          <w:sz w:val="21"/>
          <w:vertAlign w:val="baseline"/>
        </w:rPr>
        <w:t> </w:t>
      </w:r>
      <w:r>
        <w:rPr>
          <w:sz w:val="21"/>
          <w:vertAlign w:val="baseline"/>
        </w:rPr>
        <w:t>juvenile</w:t>
      </w:r>
      <w:r>
        <w:rPr>
          <w:spacing w:val="-1"/>
          <w:sz w:val="21"/>
          <w:vertAlign w:val="baseline"/>
        </w:rPr>
        <w:t> </w:t>
      </w:r>
      <w:r>
        <w:rPr>
          <w:sz w:val="21"/>
          <w:vertAlign w:val="baseline"/>
        </w:rPr>
        <w:t>legal</w:t>
      </w:r>
      <w:r>
        <w:rPr>
          <w:spacing w:val="-2"/>
          <w:sz w:val="21"/>
          <w:vertAlign w:val="baseline"/>
        </w:rPr>
        <w:t> </w:t>
      </w:r>
      <w:r>
        <w:rPr>
          <w:sz w:val="21"/>
          <w:vertAlign w:val="baseline"/>
        </w:rPr>
        <w:t>system’s</w:t>
      </w:r>
      <w:r>
        <w:rPr>
          <w:spacing w:val="-1"/>
          <w:sz w:val="21"/>
          <w:vertAlign w:val="baseline"/>
        </w:rPr>
        <w:t> </w:t>
      </w:r>
      <w:r>
        <w:rPr>
          <w:sz w:val="21"/>
          <w:vertAlign w:val="baseline"/>
        </w:rPr>
        <w:t>policies, examining</w:t>
      </w:r>
      <w:r>
        <w:rPr>
          <w:spacing w:val="-1"/>
          <w:sz w:val="21"/>
          <w:vertAlign w:val="baseline"/>
        </w:rPr>
        <w:t> </w:t>
      </w:r>
      <w:r>
        <w:rPr>
          <w:sz w:val="21"/>
          <w:vertAlign w:val="baseline"/>
        </w:rPr>
        <w:t>the</w:t>
      </w:r>
      <w:r>
        <w:rPr>
          <w:spacing w:val="-2"/>
          <w:sz w:val="21"/>
          <w:vertAlign w:val="baseline"/>
        </w:rPr>
        <w:t> </w:t>
      </w:r>
      <w:r>
        <w:rPr>
          <w:sz w:val="21"/>
          <w:vertAlign w:val="baseline"/>
        </w:rPr>
        <w:t>potential</w:t>
      </w:r>
      <w:r>
        <w:rPr>
          <w:spacing w:val="-3"/>
          <w:sz w:val="21"/>
          <w:vertAlign w:val="baseline"/>
        </w:rPr>
        <w:t> </w:t>
      </w:r>
      <w:r>
        <w:rPr>
          <w:sz w:val="21"/>
          <w:vertAlign w:val="baseline"/>
        </w:rPr>
        <w:t>for improved</w:t>
      </w:r>
      <w:r>
        <w:rPr>
          <w:spacing w:val="-2"/>
          <w:sz w:val="21"/>
          <w:vertAlign w:val="baseline"/>
        </w:rPr>
        <w:t> </w:t>
      </w:r>
      <w:r>
        <w:rPr>
          <w:sz w:val="21"/>
          <w:vertAlign w:val="baseline"/>
        </w:rPr>
        <w:t>data</w:t>
      </w:r>
      <w:r>
        <w:rPr>
          <w:spacing w:val="-2"/>
          <w:sz w:val="21"/>
          <w:vertAlign w:val="baseline"/>
        </w:rPr>
        <w:t> </w:t>
      </w:r>
      <w:r>
        <w:rPr>
          <w:sz w:val="21"/>
          <w:vertAlign w:val="baseline"/>
        </w:rPr>
        <w:t>collection</w:t>
      </w:r>
      <w:r>
        <w:rPr>
          <w:spacing w:val="-1"/>
          <w:sz w:val="21"/>
          <w:vertAlign w:val="baseline"/>
        </w:rPr>
        <w:t> </w:t>
      </w:r>
      <w:r>
        <w:rPr>
          <w:sz w:val="21"/>
          <w:vertAlign w:val="baseline"/>
        </w:rPr>
        <w:t>across </w:t>
      </w:r>
      <w:bookmarkStart w:name="_bookmark436" w:id="670"/>
      <w:bookmarkEnd w:id="670"/>
      <w:r>
        <w:rPr>
          <w:sz w:val="21"/>
          <w:vertAlign w:val="baseline"/>
        </w:rPr>
        <w:t>a</w:t>
      </w:r>
      <w:r>
        <w:rPr>
          <w:sz w:val="21"/>
          <w:vertAlign w:val="baseline"/>
        </w:rPr>
        <w:t>gencies, and providing recommendations for implementing statutory changes. </w:t>
      </w:r>
      <w:hyperlink w:history="true" w:anchor="_bookmark445">
        <w:r>
          <w:rPr>
            <w:sz w:val="21"/>
            <w:vertAlign w:val="superscript"/>
          </w:rPr>
          <w:t>129</w:t>
        </w:r>
      </w:hyperlink>
      <w:r>
        <w:rPr>
          <w:sz w:val="21"/>
          <w:vertAlign w:val="baseline"/>
        </w:rPr>
        <w:t>With an emphasis on </w:t>
      </w:r>
      <w:bookmarkStart w:name="_bookmark437" w:id="671"/>
      <w:bookmarkEnd w:id="671"/>
      <w:r>
        <w:rPr>
          <w:sz w:val="21"/>
          <w:vertAlign w:val="baseline"/>
        </w:rPr>
        <w:t>co</w:t>
      </w:r>
      <w:r>
        <w:rPr>
          <w:sz w:val="21"/>
          <w:vertAlign w:val="baseline"/>
        </w:rPr>
        <w:t>llaboration, these initiatives aim to bolster services for LGBTQ youth and advise on best practices for collecting and reporting data concerning sexual orientation, gender identity, and expression. Despite the </w:t>
      </w:r>
      <w:bookmarkStart w:name="_bookmark438" w:id="672"/>
      <w:bookmarkEnd w:id="672"/>
      <w:r>
        <w:rPr>
          <w:sz w:val="21"/>
          <w:vertAlign w:val="baseline"/>
        </w:rPr>
        <w:t>r</w:t>
      </w:r>
      <w:r>
        <w:rPr>
          <w:sz w:val="21"/>
          <w:vertAlign w:val="baseline"/>
        </w:rPr>
        <w:t>eforms and the decreased number of youths in the juvenile legal system over time, disparities persist, </w:t>
      </w:r>
      <w:bookmarkStart w:name="_bookmark439" w:id="673"/>
      <w:bookmarkEnd w:id="673"/>
      <w:r>
        <w:rPr>
          <w:sz w:val="21"/>
          <w:vertAlign w:val="baseline"/>
        </w:rPr>
        <w:t>part</w:t>
      </w:r>
      <w:r>
        <w:rPr>
          <w:sz w:val="21"/>
          <w:vertAlign w:val="baseline"/>
        </w:rPr>
        <w:t>icularly among LGBTQ youth of color, who remain overrepresented.</w:t>
      </w:r>
      <w:hyperlink w:history="true" w:anchor="_bookmark446">
        <w:r>
          <w:rPr>
            <w:sz w:val="21"/>
            <w:vertAlign w:val="superscript"/>
          </w:rPr>
          <w:t>130</w:t>
        </w:r>
      </w:hyperlink>
      <w:r>
        <w:rPr>
          <w:spacing w:val="-2"/>
          <w:sz w:val="21"/>
          <w:vertAlign w:val="baseline"/>
        </w:rPr>
        <w:t> </w:t>
      </w:r>
      <w:r>
        <w:rPr>
          <w:sz w:val="21"/>
          <w:vertAlign w:val="baseline"/>
        </w:rPr>
        <w:t>This situation underscores the need</w:t>
      </w:r>
      <w:r>
        <w:rPr>
          <w:spacing w:val="-2"/>
          <w:sz w:val="21"/>
          <w:vertAlign w:val="baseline"/>
        </w:rPr>
        <w:t> </w:t>
      </w:r>
      <w:r>
        <w:rPr>
          <w:sz w:val="21"/>
          <w:vertAlign w:val="baseline"/>
        </w:rPr>
        <w:t>for</w:t>
      </w:r>
      <w:r>
        <w:rPr>
          <w:spacing w:val="-2"/>
          <w:sz w:val="21"/>
          <w:vertAlign w:val="baseline"/>
        </w:rPr>
        <w:t> </w:t>
      </w:r>
      <w:r>
        <w:rPr>
          <w:sz w:val="21"/>
          <w:vertAlign w:val="baseline"/>
        </w:rPr>
        <w:t>ongoing</w:t>
      </w:r>
      <w:r>
        <w:rPr>
          <w:spacing w:val="-2"/>
          <w:sz w:val="21"/>
          <w:vertAlign w:val="baseline"/>
        </w:rPr>
        <w:t> </w:t>
      </w:r>
      <w:r>
        <w:rPr>
          <w:sz w:val="21"/>
          <w:vertAlign w:val="baseline"/>
        </w:rPr>
        <w:t>attention</w:t>
      </w:r>
      <w:r>
        <w:rPr>
          <w:spacing w:val="-3"/>
          <w:sz w:val="21"/>
          <w:vertAlign w:val="baseline"/>
        </w:rPr>
        <w:t> </w:t>
      </w:r>
      <w:r>
        <w:rPr>
          <w:sz w:val="21"/>
          <w:vertAlign w:val="baseline"/>
        </w:rPr>
        <w:t>and</w:t>
      </w:r>
      <w:r>
        <w:rPr>
          <w:spacing w:val="-2"/>
          <w:sz w:val="21"/>
          <w:vertAlign w:val="baseline"/>
        </w:rPr>
        <w:t> </w:t>
      </w:r>
      <w:r>
        <w:rPr>
          <w:sz w:val="21"/>
          <w:vertAlign w:val="baseline"/>
        </w:rPr>
        <w:t>action</w:t>
      </w:r>
      <w:r>
        <w:rPr>
          <w:spacing w:val="-3"/>
          <w:sz w:val="21"/>
          <w:vertAlign w:val="baseline"/>
        </w:rPr>
        <w:t> </w:t>
      </w:r>
      <w:r>
        <w:rPr>
          <w:sz w:val="21"/>
          <w:vertAlign w:val="baseline"/>
        </w:rPr>
        <w:t>to</w:t>
      </w:r>
      <w:r>
        <w:rPr>
          <w:spacing w:val="-3"/>
          <w:sz w:val="21"/>
          <w:vertAlign w:val="baseline"/>
        </w:rPr>
        <w:t> </w:t>
      </w:r>
      <w:r>
        <w:rPr>
          <w:sz w:val="21"/>
          <w:vertAlign w:val="baseline"/>
        </w:rPr>
        <w:t>ensure</w:t>
      </w:r>
      <w:r>
        <w:rPr>
          <w:spacing w:val="-2"/>
          <w:sz w:val="21"/>
          <w:vertAlign w:val="baseline"/>
        </w:rPr>
        <w:t> </w:t>
      </w:r>
      <w:r>
        <w:rPr>
          <w:sz w:val="21"/>
          <w:vertAlign w:val="baseline"/>
        </w:rPr>
        <w:t>that</w:t>
      </w:r>
      <w:r>
        <w:rPr>
          <w:spacing w:val="-4"/>
          <w:sz w:val="21"/>
          <w:vertAlign w:val="baseline"/>
        </w:rPr>
        <w:t> </w:t>
      </w:r>
      <w:r>
        <w:rPr>
          <w:sz w:val="21"/>
          <w:vertAlign w:val="baseline"/>
        </w:rPr>
        <w:t>the</w:t>
      </w:r>
      <w:r>
        <w:rPr>
          <w:spacing w:val="-2"/>
          <w:sz w:val="21"/>
          <w:vertAlign w:val="baseline"/>
        </w:rPr>
        <w:t> </w:t>
      </w:r>
      <w:r>
        <w:rPr>
          <w:sz w:val="21"/>
          <w:vertAlign w:val="baseline"/>
        </w:rPr>
        <w:t>reforms</w:t>
      </w:r>
      <w:r>
        <w:rPr>
          <w:spacing w:val="-2"/>
          <w:sz w:val="21"/>
          <w:vertAlign w:val="baseline"/>
        </w:rPr>
        <w:t> </w:t>
      </w:r>
      <w:r>
        <w:rPr>
          <w:sz w:val="21"/>
          <w:vertAlign w:val="baseline"/>
        </w:rPr>
        <w:t>translate</w:t>
      </w:r>
      <w:r>
        <w:rPr>
          <w:spacing w:val="-2"/>
          <w:sz w:val="21"/>
          <w:vertAlign w:val="baseline"/>
        </w:rPr>
        <w:t> </w:t>
      </w:r>
      <w:r>
        <w:rPr>
          <w:sz w:val="21"/>
          <w:vertAlign w:val="baseline"/>
        </w:rPr>
        <w:t>into</w:t>
      </w:r>
      <w:r>
        <w:rPr>
          <w:spacing w:val="-3"/>
          <w:sz w:val="21"/>
          <w:vertAlign w:val="baseline"/>
        </w:rPr>
        <w:t> </w:t>
      </w:r>
      <w:r>
        <w:rPr>
          <w:sz w:val="21"/>
          <w:vertAlign w:val="baseline"/>
        </w:rPr>
        <w:t>meaningful</w:t>
      </w:r>
      <w:r>
        <w:rPr>
          <w:spacing w:val="-2"/>
          <w:sz w:val="21"/>
          <w:vertAlign w:val="baseline"/>
        </w:rPr>
        <w:t> </w:t>
      </w:r>
      <w:r>
        <w:rPr>
          <w:sz w:val="21"/>
          <w:vertAlign w:val="baseline"/>
        </w:rPr>
        <w:t>improvements </w:t>
      </w:r>
      <w:bookmarkStart w:name="_bookmark440" w:id="674"/>
      <w:bookmarkEnd w:id="674"/>
      <w:r>
        <w:rPr>
          <w:sz w:val="21"/>
          <w:vertAlign w:val="baseline"/>
        </w:rPr>
        <w:t>f</w:t>
      </w:r>
      <w:r>
        <w:rPr>
          <w:sz w:val="21"/>
          <w:vertAlign w:val="baseline"/>
        </w:rPr>
        <w:t>or all LGBTQ youth within Massachusetts's juvenile and criminal legal systems.</w:t>
      </w:r>
    </w:p>
    <w:p>
      <w:pPr>
        <w:spacing w:line="276" w:lineRule="auto" w:before="240"/>
        <w:ind w:left="463" w:right="238" w:firstLine="0"/>
        <w:jc w:val="both"/>
        <w:rPr>
          <w:sz w:val="21"/>
        </w:rPr>
      </w:pPr>
      <w:bookmarkStart w:name="_bookmark441" w:id="675"/>
      <w:bookmarkEnd w:id="675"/>
      <w:r>
        <w:rPr/>
      </w:r>
      <w:r>
        <w:rPr>
          <w:sz w:val="21"/>
        </w:rPr>
        <w:t>In December 2020, the legislature passed An Act Relative to Justice, Equity, and Accountability in Law Enforcement</w:t>
      </w:r>
      <w:r>
        <w:rPr>
          <w:spacing w:val="-11"/>
          <w:sz w:val="21"/>
        </w:rPr>
        <w:t> </w:t>
      </w:r>
      <w:r>
        <w:rPr>
          <w:sz w:val="21"/>
        </w:rPr>
        <w:t>in</w:t>
      </w:r>
      <w:r>
        <w:rPr>
          <w:spacing w:val="-11"/>
          <w:sz w:val="21"/>
        </w:rPr>
        <w:t> </w:t>
      </w:r>
      <w:r>
        <w:rPr>
          <w:sz w:val="21"/>
        </w:rPr>
        <w:t>the</w:t>
      </w:r>
      <w:r>
        <w:rPr>
          <w:spacing w:val="-12"/>
          <w:sz w:val="21"/>
        </w:rPr>
        <w:t> </w:t>
      </w:r>
      <w:r>
        <w:rPr>
          <w:sz w:val="21"/>
        </w:rPr>
        <w:t>Commonwealth,</w:t>
      </w:r>
      <w:r>
        <w:rPr>
          <w:spacing w:val="-11"/>
          <w:sz w:val="21"/>
        </w:rPr>
        <w:t> </w:t>
      </w:r>
      <w:r>
        <w:rPr>
          <w:sz w:val="21"/>
        </w:rPr>
        <w:t>marking</w:t>
      </w:r>
      <w:r>
        <w:rPr>
          <w:spacing w:val="-12"/>
          <w:sz w:val="21"/>
        </w:rPr>
        <w:t> </w:t>
      </w:r>
      <w:r>
        <w:rPr>
          <w:sz w:val="21"/>
        </w:rPr>
        <w:t>a</w:t>
      </w:r>
      <w:r>
        <w:rPr>
          <w:spacing w:val="-10"/>
          <w:sz w:val="21"/>
        </w:rPr>
        <w:t> </w:t>
      </w:r>
      <w:r>
        <w:rPr>
          <w:sz w:val="21"/>
        </w:rPr>
        <w:t>significant</w:t>
      </w:r>
      <w:r>
        <w:rPr>
          <w:spacing w:val="-11"/>
          <w:sz w:val="21"/>
        </w:rPr>
        <w:t> </w:t>
      </w:r>
      <w:r>
        <w:rPr>
          <w:sz w:val="21"/>
        </w:rPr>
        <w:t>step</w:t>
      </w:r>
      <w:r>
        <w:rPr>
          <w:spacing w:val="-12"/>
          <w:sz w:val="21"/>
        </w:rPr>
        <w:t> </w:t>
      </w:r>
      <w:r>
        <w:rPr>
          <w:sz w:val="21"/>
        </w:rPr>
        <w:t>toward</w:t>
      </w:r>
      <w:r>
        <w:rPr>
          <w:spacing w:val="-10"/>
          <w:sz w:val="21"/>
        </w:rPr>
        <w:t> </w:t>
      </w:r>
      <w:r>
        <w:rPr>
          <w:sz w:val="21"/>
        </w:rPr>
        <w:t>police</w:t>
      </w:r>
      <w:r>
        <w:rPr>
          <w:spacing w:val="-11"/>
          <w:sz w:val="21"/>
        </w:rPr>
        <w:t> </w:t>
      </w:r>
      <w:r>
        <w:rPr>
          <w:sz w:val="21"/>
        </w:rPr>
        <w:t>reform.</w:t>
      </w:r>
      <w:hyperlink w:history="true" w:anchor="_bookmark447">
        <w:r>
          <w:rPr>
            <w:sz w:val="21"/>
            <w:vertAlign w:val="superscript"/>
          </w:rPr>
          <w:t>131</w:t>
        </w:r>
      </w:hyperlink>
      <w:r>
        <w:rPr>
          <w:spacing w:val="-3"/>
          <w:sz w:val="21"/>
          <w:vertAlign w:val="baseline"/>
        </w:rPr>
        <w:t> </w:t>
      </w:r>
      <w:r>
        <w:rPr>
          <w:sz w:val="21"/>
          <w:vertAlign w:val="baseline"/>
        </w:rPr>
        <w:t>This</w:t>
      </w:r>
      <w:r>
        <w:rPr>
          <w:spacing w:val="-12"/>
          <w:sz w:val="21"/>
          <w:vertAlign w:val="baseline"/>
        </w:rPr>
        <w:t> </w:t>
      </w:r>
      <w:r>
        <w:rPr>
          <w:sz w:val="21"/>
          <w:vertAlign w:val="baseline"/>
        </w:rPr>
        <w:t>Act</w:t>
      </w:r>
      <w:r>
        <w:rPr>
          <w:spacing w:val="-10"/>
          <w:sz w:val="21"/>
          <w:vertAlign w:val="baseline"/>
        </w:rPr>
        <w:t> </w:t>
      </w:r>
      <w:r>
        <w:rPr>
          <w:sz w:val="21"/>
          <w:vertAlign w:val="baseline"/>
        </w:rPr>
        <w:t>establishes </w:t>
      </w:r>
      <w:bookmarkStart w:name="_bookmark442" w:id="676"/>
      <w:bookmarkEnd w:id="676"/>
      <w:r>
        <w:rPr>
          <w:sz w:val="21"/>
          <w:vertAlign w:val="baseline"/>
        </w:rPr>
        <w:t>a</w:t>
      </w:r>
      <w:r>
        <w:rPr>
          <w:sz w:val="21"/>
          <w:vertAlign w:val="baseline"/>
        </w:rPr>
        <w:t> new commission for the statewide certification of police officers, ties qualified immunity to decertification, introduces stricter facial recognition guidelines, creates a task force to examine body camera regulations, enhances use of force policies, and initiates investigations into structural racism, </w:t>
      </w:r>
      <w:bookmarkStart w:name="_bookmark443" w:id="677"/>
      <w:bookmarkEnd w:id="677"/>
      <w:r>
        <w:rPr>
          <w:sz w:val="21"/>
          <w:vertAlign w:val="baseline"/>
        </w:rPr>
      </w:r>
      <w:bookmarkStart w:name="_bookmark444" w:id="678"/>
      <w:bookmarkEnd w:id="678"/>
      <w:r>
        <w:rPr>
          <w:sz w:val="21"/>
          <w:vertAlign w:val="baseline"/>
        </w:rPr>
        <w:t>am</w:t>
      </w:r>
      <w:r>
        <w:rPr>
          <w:sz w:val="21"/>
          <w:vertAlign w:val="baseline"/>
        </w:rPr>
        <w:t>ong other measures.</w:t>
      </w:r>
      <w:hyperlink w:history="true" w:anchor="_bookmark448">
        <w:r>
          <w:rPr>
            <w:sz w:val="21"/>
            <w:vertAlign w:val="superscript"/>
          </w:rPr>
          <w:t>132</w:t>
        </w:r>
      </w:hyperlink>
      <w:r>
        <w:rPr>
          <w:spacing w:val="-2"/>
          <w:sz w:val="21"/>
          <w:vertAlign w:val="baseline"/>
        </w:rPr>
        <w:t> </w:t>
      </w:r>
      <w:r>
        <w:rPr>
          <w:sz w:val="21"/>
          <w:vertAlign w:val="baseline"/>
        </w:rPr>
        <w:t>Despite these advances, the legislation represents a compromise, and further </w:t>
      </w:r>
      <w:bookmarkStart w:name="_bookmark445" w:id="679"/>
      <w:bookmarkEnd w:id="679"/>
      <w:r>
        <w:rPr>
          <w:sz w:val="21"/>
          <w:vertAlign w:val="baseline"/>
        </w:rPr>
        <w:t>e</w:t>
      </w:r>
      <w:r>
        <w:rPr>
          <w:sz w:val="21"/>
          <w:vertAlign w:val="baseline"/>
        </w:rPr>
        <w:t>fforts</w:t>
      </w:r>
      <w:r>
        <w:rPr>
          <w:spacing w:val="-11"/>
          <w:sz w:val="21"/>
          <w:vertAlign w:val="baseline"/>
        </w:rPr>
        <w:t> </w:t>
      </w:r>
      <w:r>
        <w:rPr>
          <w:sz w:val="21"/>
          <w:vertAlign w:val="baseline"/>
        </w:rPr>
        <w:t>are</w:t>
      </w:r>
      <w:r>
        <w:rPr>
          <w:spacing w:val="-10"/>
          <w:sz w:val="21"/>
          <w:vertAlign w:val="baseline"/>
        </w:rPr>
        <w:t> </w:t>
      </w:r>
      <w:r>
        <w:rPr>
          <w:sz w:val="21"/>
          <w:vertAlign w:val="baseline"/>
        </w:rPr>
        <w:t>necessary</w:t>
      </w:r>
      <w:r>
        <w:rPr>
          <w:spacing w:val="-11"/>
          <w:sz w:val="21"/>
          <w:vertAlign w:val="baseline"/>
        </w:rPr>
        <w:t> </w:t>
      </w:r>
      <w:r>
        <w:rPr>
          <w:sz w:val="21"/>
          <w:vertAlign w:val="baseline"/>
        </w:rPr>
        <w:t>to</w:t>
      </w:r>
      <w:r>
        <w:rPr>
          <w:spacing w:val="-11"/>
          <w:sz w:val="21"/>
          <w:vertAlign w:val="baseline"/>
        </w:rPr>
        <w:t> </w:t>
      </w:r>
      <w:r>
        <w:rPr>
          <w:sz w:val="21"/>
          <w:vertAlign w:val="baseline"/>
        </w:rPr>
        <w:t>safeguard</w:t>
      </w:r>
      <w:r>
        <w:rPr>
          <w:spacing w:val="-10"/>
          <w:sz w:val="21"/>
          <w:vertAlign w:val="baseline"/>
        </w:rPr>
        <w:t> </w:t>
      </w:r>
      <w:r>
        <w:rPr>
          <w:sz w:val="21"/>
          <w:vertAlign w:val="baseline"/>
        </w:rPr>
        <w:t>LGBTQ</w:t>
      </w:r>
      <w:r>
        <w:rPr>
          <w:spacing w:val="-10"/>
          <w:sz w:val="21"/>
          <w:vertAlign w:val="baseline"/>
        </w:rPr>
        <w:t> </w:t>
      </w:r>
      <w:r>
        <w:rPr>
          <w:sz w:val="21"/>
          <w:vertAlign w:val="baseline"/>
        </w:rPr>
        <w:t>youth,</w:t>
      </w:r>
      <w:r>
        <w:rPr>
          <w:spacing w:val="-10"/>
          <w:sz w:val="21"/>
          <w:vertAlign w:val="baseline"/>
        </w:rPr>
        <w:t> </w:t>
      </w:r>
      <w:r>
        <w:rPr>
          <w:sz w:val="21"/>
          <w:vertAlign w:val="baseline"/>
        </w:rPr>
        <w:t>especially</w:t>
      </w:r>
      <w:r>
        <w:rPr>
          <w:spacing w:val="-11"/>
          <w:sz w:val="21"/>
          <w:vertAlign w:val="baseline"/>
        </w:rPr>
        <w:t> </w:t>
      </w:r>
      <w:r>
        <w:rPr>
          <w:sz w:val="21"/>
          <w:vertAlign w:val="baseline"/>
        </w:rPr>
        <w:t>those</w:t>
      </w:r>
      <w:r>
        <w:rPr>
          <w:spacing w:val="-10"/>
          <w:sz w:val="21"/>
          <w:vertAlign w:val="baseline"/>
        </w:rPr>
        <w:t> </w:t>
      </w:r>
      <w:r>
        <w:rPr>
          <w:sz w:val="21"/>
          <w:vertAlign w:val="baseline"/>
        </w:rPr>
        <w:t>of</w:t>
      </w:r>
      <w:r>
        <w:rPr>
          <w:spacing w:val="-11"/>
          <w:sz w:val="21"/>
          <w:vertAlign w:val="baseline"/>
        </w:rPr>
        <w:t> </w:t>
      </w:r>
      <w:r>
        <w:rPr>
          <w:sz w:val="21"/>
          <w:vertAlign w:val="baseline"/>
        </w:rPr>
        <w:t>color,</w:t>
      </w:r>
      <w:r>
        <w:rPr>
          <w:spacing w:val="-10"/>
          <w:sz w:val="21"/>
          <w:vertAlign w:val="baseline"/>
        </w:rPr>
        <w:t> </w:t>
      </w:r>
      <w:r>
        <w:rPr>
          <w:sz w:val="21"/>
          <w:vertAlign w:val="baseline"/>
        </w:rPr>
        <w:t>from</w:t>
      </w:r>
      <w:r>
        <w:rPr>
          <w:spacing w:val="-10"/>
          <w:sz w:val="21"/>
          <w:vertAlign w:val="baseline"/>
        </w:rPr>
        <w:t> </w:t>
      </w:r>
      <w:r>
        <w:rPr>
          <w:sz w:val="21"/>
          <w:vertAlign w:val="baseline"/>
        </w:rPr>
        <w:t>police</w:t>
      </w:r>
      <w:r>
        <w:rPr>
          <w:spacing w:val="-10"/>
          <w:sz w:val="21"/>
          <w:vertAlign w:val="baseline"/>
        </w:rPr>
        <w:t> </w:t>
      </w:r>
      <w:r>
        <w:rPr>
          <w:sz w:val="21"/>
          <w:vertAlign w:val="baseline"/>
        </w:rPr>
        <w:t>brutality</w:t>
      </w:r>
      <w:r>
        <w:rPr>
          <w:spacing w:val="-11"/>
          <w:sz w:val="21"/>
          <w:vertAlign w:val="baseline"/>
        </w:rPr>
        <w:t> </w:t>
      </w:r>
      <w:r>
        <w:rPr>
          <w:sz w:val="21"/>
          <w:vertAlign w:val="baseline"/>
        </w:rPr>
        <w:t>and</w:t>
      </w:r>
      <w:r>
        <w:rPr>
          <w:spacing w:val="-10"/>
          <w:sz w:val="21"/>
          <w:vertAlign w:val="baseline"/>
        </w:rPr>
        <w:t> </w:t>
      </w:r>
      <w:r>
        <w:rPr>
          <w:sz w:val="21"/>
          <w:vertAlign w:val="baseline"/>
        </w:rPr>
        <w:t>unequal </w:t>
      </w:r>
      <w:bookmarkStart w:name="_bookmark446" w:id="680"/>
      <w:bookmarkEnd w:id="680"/>
      <w:r>
        <w:rPr>
          <w:sz w:val="21"/>
          <w:vertAlign w:val="baseline"/>
        </w:rPr>
        <w:t>law</w:t>
      </w:r>
      <w:r>
        <w:rPr>
          <w:sz w:val="21"/>
          <w:vertAlign w:val="baseline"/>
        </w:rPr>
        <w:t> enforcement practices, including the abolishment of qualified immunity.</w:t>
      </w:r>
    </w:p>
    <w:p>
      <w:pPr>
        <w:spacing w:line="276" w:lineRule="auto" w:before="240"/>
        <w:ind w:left="463" w:right="239" w:firstLine="0"/>
        <w:jc w:val="both"/>
        <w:rPr>
          <w:sz w:val="21"/>
        </w:rPr>
      </w:pPr>
      <w:bookmarkStart w:name="_bookmark447" w:id="681"/>
      <w:bookmarkEnd w:id="681"/>
      <w:r>
        <w:rPr/>
      </w:r>
      <w:r>
        <w:rPr>
          <w:sz w:val="21"/>
        </w:rPr>
        <w:t>Over</w:t>
      </w:r>
      <w:r>
        <w:rPr>
          <w:spacing w:val="-8"/>
          <w:sz w:val="21"/>
        </w:rPr>
        <w:t> </w:t>
      </w:r>
      <w:r>
        <w:rPr>
          <w:sz w:val="21"/>
        </w:rPr>
        <w:t>the</w:t>
      </w:r>
      <w:r>
        <w:rPr>
          <w:spacing w:val="-9"/>
          <w:sz w:val="21"/>
        </w:rPr>
        <w:t> </w:t>
      </w:r>
      <w:r>
        <w:rPr>
          <w:sz w:val="21"/>
        </w:rPr>
        <w:t>last</w:t>
      </w:r>
      <w:r>
        <w:rPr>
          <w:spacing w:val="-10"/>
          <w:sz w:val="21"/>
        </w:rPr>
        <w:t> </w:t>
      </w:r>
      <w:r>
        <w:rPr>
          <w:sz w:val="21"/>
        </w:rPr>
        <w:t>decade,</w:t>
      </w:r>
      <w:r>
        <w:rPr>
          <w:spacing w:val="-9"/>
          <w:sz w:val="21"/>
        </w:rPr>
        <w:t> </w:t>
      </w:r>
      <w:r>
        <w:rPr>
          <w:sz w:val="21"/>
        </w:rPr>
        <w:t>there</w:t>
      </w:r>
      <w:r>
        <w:rPr>
          <w:spacing w:val="-10"/>
          <w:sz w:val="21"/>
        </w:rPr>
        <w:t> </w:t>
      </w:r>
      <w:r>
        <w:rPr>
          <w:sz w:val="21"/>
        </w:rPr>
        <w:t>had</w:t>
      </w:r>
      <w:r>
        <w:rPr>
          <w:spacing w:val="-8"/>
          <w:sz w:val="21"/>
        </w:rPr>
        <w:t> </w:t>
      </w:r>
      <w:r>
        <w:rPr>
          <w:sz w:val="21"/>
        </w:rPr>
        <w:t>been</w:t>
      </w:r>
      <w:r>
        <w:rPr>
          <w:spacing w:val="-9"/>
          <w:sz w:val="21"/>
        </w:rPr>
        <w:t> </w:t>
      </w:r>
      <w:r>
        <w:rPr>
          <w:sz w:val="21"/>
        </w:rPr>
        <w:t>a</w:t>
      </w:r>
      <w:r>
        <w:rPr>
          <w:spacing w:val="-9"/>
          <w:sz w:val="21"/>
        </w:rPr>
        <w:t> </w:t>
      </w:r>
      <w:r>
        <w:rPr>
          <w:sz w:val="21"/>
        </w:rPr>
        <w:t>promising</w:t>
      </w:r>
      <w:r>
        <w:rPr>
          <w:spacing w:val="-8"/>
          <w:sz w:val="21"/>
        </w:rPr>
        <w:t> </w:t>
      </w:r>
      <w:r>
        <w:rPr>
          <w:sz w:val="21"/>
        </w:rPr>
        <w:t>overall</w:t>
      </w:r>
      <w:r>
        <w:rPr>
          <w:spacing w:val="-8"/>
          <w:sz w:val="21"/>
        </w:rPr>
        <w:t> </w:t>
      </w:r>
      <w:r>
        <w:rPr>
          <w:sz w:val="21"/>
        </w:rPr>
        <w:t>reduction</w:t>
      </w:r>
      <w:r>
        <w:rPr>
          <w:spacing w:val="-9"/>
          <w:sz w:val="21"/>
        </w:rPr>
        <w:t> </w:t>
      </w:r>
      <w:r>
        <w:rPr>
          <w:sz w:val="21"/>
        </w:rPr>
        <w:t>in</w:t>
      </w:r>
      <w:r>
        <w:rPr>
          <w:spacing w:val="-9"/>
          <w:sz w:val="21"/>
        </w:rPr>
        <w:t> </w:t>
      </w:r>
      <w:r>
        <w:rPr>
          <w:sz w:val="21"/>
        </w:rPr>
        <w:t>youth</w:t>
      </w:r>
      <w:r>
        <w:rPr>
          <w:spacing w:val="-8"/>
          <w:sz w:val="21"/>
        </w:rPr>
        <w:t> </w:t>
      </w:r>
      <w:r>
        <w:rPr>
          <w:sz w:val="21"/>
        </w:rPr>
        <w:t>admissions</w:t>
      </w:r>
      <w:r>
        <w:rPr>
          <w:spacing w:val="-9"/>
          <w:sz w:val="21"/>
        </w:rPr>
        <w:t> </w:t>
      </w:r>
      <w:r>
        <w:rPr>
          <w:sz w:val="21"/>
        </w:rPr>
        <w:t>to</w:t>
      </w:r>
      <w:r>
        <w:rPr>
          <w:spacing w:val="-10"/>
          <w:sz w:val="21"/>
        </w:rPr>
        <w:t> </w:t>
      </w:r>
      <w:r>
        <w:rPr>
          <w:sz w:val="21"/>
        </w:rPr>
        <w:t>the</w:t>
      </w:r>
      <w:r>
        <w:rPr>
          <w:spacing w:val="-9"/>
          <w:sz w:val="21"/>
        </w:rPr>
        <w:t> </w:t>
      </w:r>
      <w:r>
        <w:rPr>
          <w:sz w:val="21"/>
        </w:rPr>
        <w:t>juvenile</w:t>
      </w:r>
      <w:r>
        <w:rPr>
          <w:spacing w:val="-8"/>
          <w:sz w:val="21"/>
        </w:rPr>
        <w:t> </w:t>
      </w:r>
      <w:r>
        <w:rPr>
          <w:sz w:val="21"/>
        </w:rPr>
        <w:t>legal </w:t>
      </w:r>
      <w:bookmarkStart w:name="_bookmark448" w:id="682"/>
      <w:bookmarkEnd w:id="682"/>
      <w:r>
        <w:rPr>
          <w:sz w:val="21"/>
        </w:rPr>
        <w:t>s</w:t>
      </w:r>
      <w:r>
        <w:rPr>
          <w:sz w:val="21"/>
        </w:rPr>
        <w:t>ystem, however, we are now seeing a concerning rise. In 2007, Massachusetts witnessed a high influx of </w:t>
      </w:r>
      <w:bookmarkStart w:name="_bookmark449" w:id="683"/>
      <w:bookmarkEnd w:id="683"/>
      <w:r>
        <w:rPr>
          <w:sz w:val="21"/>
        </w:rPr>
        <w:t>y</w:t>
      </w:r>
      <w:r>
        <w:rPr>
          <w:sz w:val="21"/>
        </w:rPr>
        <w:t>outh</w:t>
      </w:r>
      <w:r>
        <w:rPr>
          <w:spacing w:val="-8"/>
          <w:sz w:val="21"/>
        </w:rPr>
        <w:t> </w:t>
      </w:r>
      <w:r>
        <w:rPr>
          <w:sz w:val="21"/>
        </w:rPr>
        <w:t>into</w:t>
      </w:r>
      <w:r>
        <w:rPr>
          <w:spacing w:val="-8"/>
          <w:sz w:val="21"/>
        </w:rPr>
        <w:t> </w:t>
      </w:r>
      <w:r>
        <w:rPr>
          <w:sz w:val="21"/>
        </w:rPr>
        <w:t>detention,</w:t>
      </w:r>
      <w:r>
        <w:rPr>
          <w:spacing w:val="-8"/>
          <w:sz w:val="21"/>
        </w:rPr>
        <w:t> </w:t>
      </w:r>
      <w:r>
        <w:rPr>
          <w:sz w:val="21"/>
        </w:rPr>
        <w:t>with</w:t>
      </w:r>
      <w:r>
        <w:rPr>
          <w:spacing w:val="-9"/>
          <w:sz w:val="21"/>
        </w:rPr>
        <w:t> </w:t>
      </w:r>
      <w:r>
        <w:rPr>
          <w:sz w:val="21"/>
        </w:rPr>
        <w:t>4,345</w:t>
      </w:r>
      <w:r>
        <w:rPr>
          <w:spacing w:val="-9"/>
          <w:sz w:val="21"/>
        </w:rPr>
        <w:t> </w:t>
      </w:r>
      <w:r>
        <w:rPr>
          <w:sz w:val="21"/>
        </w:rPr>
        <w:t>young</w:t>
      </w:r>
      <w:r>
        <w:rPr>
          <w:spacing w:val="-8"/>
          <w:sz w:val="21"/>
        </w:rPr>
        <w:t> </w:t>
      </w:r>
      <w:r>
        <w:rPr>
          <w:sz w:val="21"/>
        </w:rPr>
        <w:t>individuals</w:t>
      </w:r>
      <w:r>
        <w:rPr>
          <w:spacing w:val="-8"/>
          <w:sz w:val="21"/>
        </w:rPr>
        <w:t> </w:t>
      </w:r>
      <w:r>
        <w:rPr>
          <w:sz w:val="21"/>
        </w:rPr>
        <w:t>admitted</w:t>
      </w:r>
      <w:r>
        <w:rPr>
          <w:spacing w:val="-8"/>
          <w:sz w:val="21"/>
        </w:rPr>
        <w:t> </w:t>
      </w:r>
      <w:r>
        <w:rPr>
          <w:sz w:val="21"/>
        </w:rPr>
        <w:t>that</w:t>
      </w:r>
      <w:r>
        <w:rPr>
          <w:spacing w:val="-9"/>
          <w:sz w:val="21"/>
        </w:rPr>
        <w:t> </w:t>
      </w:r>
      <w:r>
        <w:rPr>
          <w:sz w:val="21"/>
        </w:rPr>
        <w:t>year.</w:t>
      </w:r>
      <w:hyperlink w:history="true" w:anchor="_bookmark449">
        <w:r>
          <w:rPr>
            <w:sz w:val="21"/>
            <w:vertAlign w:val="superscript"/>
          </w:rPr>
          <w:t>133</w:t>
        </w:r>
      </w:hyperlink>
      <w:r>
        <w:rPr>
          <w:spacing w:val="-2"/>
          <w:sz w:val="21"/>
          <w:vertAlign w:val="baseline"/>
        </w:rPr>
        <w:t> </w:t>
      </w:r>
      <w:r>
        <w:rPr>
          <w:sz w:val="21"/>
          <w:vertAlign w:val="baseline"/>
        </w:rPr>
        <w:t>However,</w:t>
      </w:r>
      <w:r>
        <w:rPr>
          <w:spacing w:val="-8"/>
          <w:sz w:val="21"/>
          <w:vertAlign w:val="baseline"/>
        </w:rPr>
        <w:t> </w:t>
      </w:r>
      <w:r>
        <w:rPr>
          <w:sz w:val="21"/>
          <w:vertAlign w:val="baseline"/>
        </w:rPr>
        <w:t>by</w:t>
      </w:r>
      <w:r>
        <w:rPr>
          <w:spacing w:val="-8"/>
          <w:sz w:val="21"/>
          <w:vertAlign w:val="baseline"/>
        </w:rPr>
        <w:t> </w:t>
      </w:r>
      <w:r>
        <w:rPr>
          <w:sz w:val="21"/>
          <w:vertAlign w:val="baseline"/>
        </w:rPr>
        <w:t>the</w:t>
      </w:r>
      <w:r>
        <w:rPr>
          <w:spacing w:val="-8"/>
          <w:sz w:val="21"/>
          <w:vertAlign w:val="baseline"/>
        </w:rPr>
        <w:t> </w:t>
      </w:r>
      <w:r>
        <w:rPr>
          <w:sz w:val="21"/>
          <w:vertAlign w:val="baseline"/>
        </w:rPr>
        <w:t>end</w:t>
      </w:r>
      <w:r>
        <w:rPr>
          <w:spacing w:val="-8"/>
          <w:sz w:val="21"/>
          <w:vertAlign w:val="baseline"/>
        </w:rPr>
        <w:t> </w:t>
      </w:r>
      <w:r>
        <w:rPr>
          <w:sz w:val="21"/>
          <w:vertAlign w:val="baseline"/>
        </w:rPr>
        <w:t>of</w:t>
      </w:r>
      <w:r>
        <w:rPr>
          <w:spacing w:val="-10"/>
          <w:sz w:val="21"/>
          <w:vertAlign w:val="baseline"/>
        </w:rPr>
        <w:t> </w:t>
      </w:r>
      <w:r>
        <w:rPr>
          <w:sz w:val="21"/>
          <w:vertAlign w:val="baseline"/>
        </w:rPr>
        <w:t>2022,</w:t>
      </w:r>
      <w:r>
        <w:rPr>
          <w:spacing w:val="-9"/>
          <w:sz w:val="21"/>
          <w:vertAlign w:val="baseline"/>
        </w:rPr>
        <w:t> </w:t>
      </w:r>
      <w:r>
        <w:rPr>
          <w:sz w:val="21"/>
          <w:vertAlign w:val="baseline"/>
        </w:rPr>
        <w:t>this </w:t>
      </w:r>
      <w:bookmarkStart w:name="_bookmark450" w:id="684"/>
      <w:bookmarkEnd w:id="684"/>
      <w:r>
        <w:rPr>
          <w:sz w:val="21"/>
          <w:vertAlign w:val="baseline"/>
        </w:rPr>
        <w:t>f</w:t>
      </w:r>
      <w:r>
        <w:rPr>
          <w:sz w:val="21"/>
          <w:vertAlign w:val="baseline"/>
        </w:rPr>
        <w:t>igure significantly reduced to 728, marking an 83 percent decline.</w:t>
      </w:r>
      <w:hyperlink w:history="true" w:anchor="_bookmark450">
        <w:r>
          <w:rPr>
            <w:sz w:val="21"/>
            <w:vertAlign w:val="superscript"/>
          </w:rPr>
          <w:t>134</w:t>
        </w:r>
      </w:hyperlink>
      <w:r>
        <w:rPr>
          <w:sz w:val="21"/>
          <w:vertAlign w:val="baseline"/>
        </w:rPr>
        <w:t> Unfortunately, this trend has not continued</w:t>
      </w:r>
      <w:r>
        <w:rPr>
          <w:spacing w:val="-9"/>
          <w:sz w:val="21"/>
          <w:vertAlign w:val="baseline"/>
        </w:rPr>
        <w:t> </w:t>
      </w:r>
      <w:r>
        <w:rPr>
          <w:sz w:val="21"/>
          <w:vertAlign w:val="baseline"/>
        </w:rPr>
        <w:t>into</w:t>
      </w:r>
      <w:r>
        <w:rPr>
          <w:spacing w:val="-10"/>
          <w:sz w:val="21"/>
          <w:vertAlign w:val="baseline"/>
        </w:rPr>
        <w:t> </w:t>
      </w:r>
      <w:r>
        <w:rPr>
          <w:sz w:val="21"/>
          <w:vertAlign w:val="baseline"/>
        </w:rPr>
        <w:t>recent</w:t>
      </w:r>
      <w:r>
        <w:rPr>
          <w:spacing w:val="-9"/>
          <w:sz w:val="21"/>
          <w:vertAlign w:val="baseline"/>
        </w:rPr>
        <w:t> </w:t>
      </w:r>
      <w:r>
        <w:rPr>
          <w:sz w:val="21"/>
          <w:vertAlign w:val="baseline"/>
        </w:rPr>
        <w:t>years.</w:t>
      </w:r>
      <w:r>
        <w:rPr>
          <w:spacing w:val="-9"/>
          <w:sz w:val="21"/>
          <w:vertAlign w:val="baseline"/>
        </w:rPr>
        <w:t> </w:t>
      </w:r>
      <w:r>
        <w:rPr>
          <w:sz w:val="21"/>
          <w:vertAlign w:val="baseline"/>
        </w:rPr>
        <w:t>A</w:t>
      </w:r>
      <w:r>
        <w:rPr>
          <w:spacing w:val="-10"/>
          <w:sz w:val="21"/>
          <w:vertAlign w:val="baseline"/>
        </w:rPr>
        <w:t> </w:t>
      </w:r>
      <w:r>
        <w:rPr>
          <w:sz w:val="21"/>
          <w:vertAlign w:val="baseline"/>
        </w:rPr>
        <w:t>recent</w:t>
      </w:r>
      <w:r>
        <w:rPr>
          <w:spacing w:val="-9"/>
          <w:sz w:val="21"/>
          <w:vertAlign w:val="baseline"/>
        </w:rPr>
        <w:t> </w:t>
      </w:r>
      <w:r>
        <w:rPr>
          <w:sz w:val="21"/>
          <w:vertAlign w:val="baseline"/>
        </w:rPr>
        <w:t>JDAI</w:t>
      </w:r>
      <w:r>
        <w:rPr>
          <w:spacing w:val="-9"/>
          <w:sz w:val="21"/>
          <w:vertAlign w:val="baseline"/>
        </w:rPr>
        <w:t> </w:t>
      </w:r>
      <w:r>
        <w:rPr>
          <w:sz w:val="21"/>
          <w:vertAlign w:val="baseline"/>
        </w:rPr>
        <w:t>report</w:t>
      </w:r>
      <w:r>
        <w:rPr>
          <w:spacing w:val="-9"/>
          <w:sz w:val="21"/>
          <w:vertAlign w:val="baseline"/>
        </w:rPr>
        <w:t> </w:t>
      </w:r>
      <w:r>
        <w:rPr>
          <w:sz w:val="21"/>
          <w:vertAlign w:val="baseline"/>
        </w:rPr>
        <w:t>has</w:t>
      </w:r>
      <w:r>
        <w:rPr>
          <w:spacing w:val="-10"/>
          <w:sz w:val="21"/>
          <w:vertAlign w:val="baseline"/>
        </w:rPr>
        <w:t> </w:t>
      </w:r>
      <w:r>
        <w:rPr>
          <w:sz w:val="21"/>
          <w:vertAlign w:val="baseline"/>
        </w:rPr>
        <w:t>found</w:t>
      </w:r>
      <w:r>
        <w:rPr>
          <w:spacing w:val="-9"/>
          <w:sz w:val="21"/>
          <w:vertAlign w:val="baseline"/>
        </w:rPr>
        <w:t> </w:t>
      </w:r>
      <w:r>
        <w:rPr>
          <w:sz w:val="21"/>
          <w:vertAlign w:val="baseline"/>
        </w:rPr>
        <w:t>a</w:t>
      </w:r>
      <w:r>
        <w:rPr>
          <w:spacing w:val="-9"/>
          <w:sz w:val="21"/>
          <w:vertAlign w:val="baseline"/>
        </w:rPr>
        <w:t> </w:t>
      </w:r>
      <w:r>
        <w:rPr>
          <w:sz w:val="21"/>
          <w:vertAlign w:val="baseline"/>
        </w:rPr>
        <w:t>significant</w:t>
      </w:r>
      <w:r>
        <w:rPr>
          <w:spacing w:val="-9"/>
          <w:sz w:val="21"/>
          <w:vertAlign w:val="baseline"/>
        </w:rPr>
        <w:t> </w:t>
      </w:r>
      <w:r>
        <w:rPr>
          <w:sz w:val="21"/>
          <w:vertAlign w:val="baseline"/>
        </w:rPr>
        <w:t>uptick</w:t>
      </w:r>
      <w:r>
        <w:rPr>
          <w:spacing w:val="-10"/>
          <w:sz w:val="21"/>
          <w:vertAlign w:val="baseline"/>
        </w:rPr>
        <w:t> </w:t>
      </w:r>
      <w:r>
        <w:rPr>
          <w:sz w:val="21"/>
          <w:vertAlign w:val="baseline"/>
        </w:rPr>
        <w:t>in</w:t>
      </w:r>
      <w:r>
        <w:rPr>
          <w:spacing w:val="-9"/>
          <w:sz w:val="21"/>
          <w:vertAlign w:val="baseline"/>
        </w:rPr>
        <w:t> </w:t>
      </w:r>
      <w:r>
        <w:rPr>
          <w:sz w:val="21"/>
          <w:vertAlign w:val="baseline"/>
        </w:rPr>
        <w:t>admissions</w:t>
      </w:r>
      <w:r>
        <w:rPr>
          <w:spacing w:val="-10"/>
          <w:sz w:val="21"/>
          <w:vertAlign w:val="baseline"/>
        </w:rPr>
        <w:t> </w:t>
      </w:r>
      <w:r>
        <w:rPr>
          <w:sz w:val="21"/>
          <w:vertAlign w:val="baseline"/>
        </w:rPr>
        <w:t>to</w:t>
      </w:r>
      <w:r>
        <w:rPr>
          <w:spacing w:val="-10"/>
          <w:sz w:val="21"/>
          <w:vertAlign w:val="baseline"/>
        </w:rPr>
        <w:t> </w:t>
      </w:r>
      <w:r>
        <w:rPr>
          <w:sz w:val="21"/>
          <w:vertAlign w:val="baseline"/>
        </w:rPr>
        <w:t>the</w:t>
      </w:r>
      <w:r>
        <w:rPr>
          <w:spacing w:val="-9"/>
          <w:sz w:val="21"/>
          <w:vertAlign w:val="baseline"/>
        </w:rPr>
        <w:t> </w:t>
      </w:r>
      <w:r>
        <w:rPr>
          <w:sz w:val="21"/>
          <w:vertAlign w:val="baseline"/>
        </w:rPr>
        <w:t>juvenile </w:t>
      </w:r>
      <w:bookmarkStart w:name="_bookmark451" w:id="685"/>
      <w:bookmarkEnd w:id="685"/>
      <w:r>
        <w:rPr>
          <w:sz w:val="21"/>
          <w:vertAlign w:val="baseline"/>
        </w:rPr>
        <w:t>l</w:t>
      </w:r>
      <w:r>
        <w:rPr>
          <w:sz w:val="21"/>
          <w:vertAlign w:val="baseline"/>
        </w:rPr>
        <w:t>egal system compared to FY22, continuing a trend of increased activity since the pre-pandemic period of </w:t>
      </w:r>
      <w:bookmarkStart w:name="_bookmark452" w:id="686"/>
      <w:bookmarkEnd w:id="686"/>
      <w:r>
        <w:rPr>
          <w:sz w:val="21"/>
          <w:vertAlign w:val="baseline"/>
        </w:rPr>
        <w:t>FY</w:t>
      </w:r>
      <w:r>
        <w:rPr>
          <w:sz w:val="21"/>
          <w:vertAlign w:val="baseline"/>
        </w:rPr>
        <w:t>19.</w:t>
      </w:r>
      <w:hyperlink w:history="true" w:anchor="_bookmark451">
        <w:r>
          <w:rPr>
            <w:sz w:val="21"/>
            <w:vertAlign w:val="superscript"/>
          </w:rPr>
          <w:t>135</w:t>
        </w:r>
      </w:hyperlink>
      <w:r>
        <w:rPr>
          <w:spacing w:val="-2"/>
          <w:sz w:val="21"/>
          <w:vertAlign w:val="baseline"/>
        </w:rPr>
        <w:t> </w:t>
      </w:r>
      <w:r>
        <w:rPr>
          <w:sz w:val="21"/>
          <w:vertAlign w:val="baseline"/>
        </w:rPr>
        <w:t>And</w:t>
      </w:r>
      <w:r>
        <w:rPr>
          <w:spacing w:val="-3"/>
          <w:sz w:val="21"/>
          <w:vertAlign w:val="baseline"/>
        </w:rPr>
        <w:t> </w:t>
      </w:r>
      <w:r>
        <w:rPr>
          <w:sz w:val="21"/>
          <w:vertAlign w:val="baseline"/>
        </w:rPr>
        <w:t>these</w:t>
      </w:r>
      <w:r>
        <w:rPr>
          <w:spacing w:val="-3"/>
          <w:sz w:val="21"/>
          <w:vertAlign w:val="baseline"/>
        </w:rPr>
        <w:t> </w:t>
      </w:r>
      <w:r>
        <w:rPr>
          <w:sz w:val="21"/>
          <w:vertAlign w:val="baseline"/>
        </w:rPr>
        <w:t>effects</w:t>
      </w:r>
      <w:r>
        <w:rPr>
          <w:spacing w:val="-4"/>
          <w:sz w:val="21"/>
          <w:vertAlign w:val="baseline"/>
        </w:rPr>
        <w:t> </w:t>
      </w:r>
      <w:r>
        <w:rPr>
          <w:sz w:val="21"/>
          <w:vertAlign w:val="baseline"/>
        </w:rPr>
        <w:t>are</w:t>
      </w:r>
      <w:r>
        <w:rPr>
          <w:spacing w:val="-3"/>
          <w:sz w:val="21"/>
          <w:vertAlign w:val="baseline"/>
        </w:rPr>
        <w:t> </w:t>
      </w:r>
      <w:r>
        <w:rPr>
          <w:sz w:val="21"/>
          <w:vertAlign w:val="baseline"/>
        </w:rPr>
        <w:t>disproportionately</w:t>
      </w:r>
      <w:r>
        <w:rPr>
          <w:spacing w:val="-3"/>
          <w:sz w:val="21"/>
          <w:vertAlign w:val="baseline"/>
        </w:rPr>
        <w:t> </w:t>
      </w:r>
      <w:r>
        <w:rPr>
          <w:sz w:val="21"/>
          <w:vertAlign w:val="baseline"/>
        </w:rPr>
        <w:t>felt</w:t>
      </w:r>
      <w:r>
        <w:rPr>
          <w:spacing w:val="-3"/>
          <w:sz w:val="21"/>
          <w:vertAlign w:val="baseline"/>
        </w:rPr>
        <w:t> </w:t>
      </w:r>
      <w:r>
        <w:rPr>
          <w:sz w:val="21"/>
          <w:vertAlign w:val="baseline"/>
        </w:rPr>
        <w:t>depending</w:t>
      </w:r>
      <w:r>
        <w:rPr>
          <w:spacing w:val="-4"/>
          <w:sz w:val="21"/>
          <w:vertAlign w:val="baseline"/>
        </w:rPr>
        <w:t> </w:t>
      </w:r>
      <w:r>
        <w:rPr>
          <w:sz w:val="21"/>
          <w:vertAlign w:val="baseline"/>
        </w:rPr>
        <w:t>on</w:t>
      </w:r>
      <w:r>
        <w:rPr>
          <w:spacing w:val="-3"/>
          <w:sz w:val="21"/>
          <w:vertAlign w:val="baseline"/>
        </w:rPr>
        <w:t> </w:t>
      </w:r>
      <w:r>
        <w:rPr>
          <w:sz w:val="21"/>
          <w:vertAlign w:val="baseline"/>
        </w:rPr>
        <w:t>which</w:t>
      </w:r>
      <w:r>
        <w:rPr>
          <w:spacing w:val="-3"/>
          <w:sz w:val="21"/>
          <w:vertAlign w:val="baseline"/>
        </w:rPr>
        <w:t> </w:t>
      </w:r>
      <w:r>
        <w:rPr>
          <w:sz w:val="21"/>
          <w:vertAlign w:val="baseline"/>
        </w:rPr>
        <w:t>county</w:t>
      </w:r>
      <w:r>
        <w:rPr>
          <w:spacing w:val="-3"/>
          <w:sz w:val="21"/>
          <w:vertAlign w:val="baseline"/>
        </w:rPr>
        <w:t> </w:t>
      </w:r>
      <w:r>
        <w:rPr>
          <w:sz w:val="21"/>
          <w:vertAlign w:val="baseline"/>
        </w:rPr>
        <w:t>the</w:t>
      </w:r>
      <w:r>
        <w:rPr>
          <w:spacing w:val="-4"/>
          <w:sz w:val="21"/>
          <w:vertAlign w:val="baseline"/>
        </w:rPr>
        <w:t> </w:t>
      </w:r>
      <w:r>
        <w:rPr>
          <w:sz w:val="21"/>
          <w:vertAlign w:val="baseline"/>
        </w:rPr>
        <w:t>youth</w:t>
      </w:r>
      <w:r>
        <w:rPr>
          <w:spacing w:val="-3"/>
          <w:sz w:val="21"/>
          <w:vertAlign w:val="baseline"/>
        </w:rPr>
        <w:t> </w:t>
      </w:r>
      <w:r>
        <w:rPr>
          <w:sz w:val="21"/>
          <w:vertAlign w:val="baseline"/>
        </w:rPr>
        <w:t>reside,</w:t>
      </w:r>
      <w:r>
        <w:rPr>
          <w:spacing w:val="-3"/>
          <w:sz w:val="21"/>
          <w:vertAlign w:val="baseline"/>
        </w:rPr>
        <w:t> </w:t>
      </w:r>
      <w:r>
        <w:rPr>
          <w:sz w:val="21"/>
          <w:vertAlign w:val="baseline"/>
        </w:rPr>
        <w:t>as</w:t>
      </w:r>
      <w:r>
        <w:rPr>
          <w:spacing w:val="-4"/>
          <w:sz w:val="21"/>
          <w:vertAlign w:val="baseline"/>
        </w:rPr>
        <w:t> </w:t>
      </w:r>
      <w:r>
        <w:rPr>
          <w:sz w:val="21"/>
          <w:vertAlign w:val="baseline"/>
        </w:rPr>
        <w:t>data reveals that there is a differential application of criminal legal policies and practices across </w:t>
      </w:r>
      <w:bookmarkStart w:name="_bookmark453" w:id="687"/>
      <w:bookmarkEnd w:id="687"/>
      <w:r>
        <w:rPr>
          <w:sz w:val="21"/>
          <w:vertAlign w:val="baseline"/>
        </w:rPr>
        <w:t>Ma</w:t>
      </w:r>
      <w:r>
        <w:rPr>
          <w:sz w:val="21"/>
          <w:vertAlign w:val="baseline"/>
        </w:rPr>
        <w:t>ssachusetts.</w:t>
      </w:r>
      <w:hyperlink w:history="true" w:anchor="_bookmark452">
        <w:r>
          <w:rPr>
            <w:sz w:val="21"/>
            <w:vertAlign w:val="superscript"/>
          </w:rPr>
          <w:t>136</w:t>
        </w:r>
      </w:hyperlink>
      <w:r>
        <w:rPr>
          <w:spacing w:val="-2"/>
          <w:sz w:val="21"/>
          <w:vertAlign w:val="baseline"/>
        </w:rPr>
        <w:t> </w:t>
      </w:r>
      <w:r>
        <w:rPr>
          <w:sz w:val="21"/>
          <w:vertAlign w:val="baseline"/>
        </w:rPr>
        <w:t>This upswing begins at the system's "front door" with a notable rise in applications for complaint—largely fueled by an increase in arrests—and extends through all major court process milestones.</w:t>
      </w:r>
      <w:r>
        <w:rPr>
          <w:spacing w:val="-4"/>
          <w:sz w:val="21"/>
          <w:vertAlign w:val="baseline"/>
        </w:rPr>
        <w:t> </w:t>
      </w:r>
      <w:hyperlink w:history="true" w:anchor="_bookmark453">
        <w:r>
          <w:rPr>
            <w:sz w:val="21"/>
            <w:vertAlign w:val="superscript"/>
          </w:rPr>
          <w:t>137</w:t>
        </w:r>
      </w:hyperlink>
      <w:r>
        <w:rPr>
          <w:sz w:val="21"/>
          <w:vertAlign w:val="baseline"/>
        </w:rPr>
        <w:t> Specifically, the growth is attributed to a surge in cases involving youth accused of </w:t>
      </w:r>
      <w:bookmarkStart w:name="_bookmark454" w:id="688"/>
      <w:bookmarkEnd w:id="688"/>
      <w:r>
        <w:rPr>
          <w:sz w:val="21"/>
          <w:vertAlign w:val="baseline"/>
        </w:rPr>
      </w:r>
      <w:bookmarkStart w:name="_bookmark455" w:id="689"/>
      <w:bookmarkEnd w:id="689"/>
      <w:r>
        <w:rPr>
          <w:sz w:val="21"/>
          <w:vertAlign w:val="baseline"/>
        </w:rPr>
        <w:t>m</w:t>
      </w:r>
      <w:r>
        <w:rPr>
          <w:sz w:val="21"/>
          <w:vertAlign w:val="baseline"/>
        </w:rPr>
        <w:t>isdemeanor</w:t>
      </w:r>
      <w:r>
        <w:rPr>
          <w:spacing w:val="-2"/>
          <w:sz w:val="21"/>
          <w:vertAlign w:val="baseline"/>
        </w:rPr>
        <w:t> </w:t>
      </w:r>
      <w:r>
        <w:rPr>
          <w:sz w:val="21"/>
          <w:vertAlign w:val="baseline"/>
        </w:rPr>
        <w:t>or</w:t>
      </w:r>
      <w:r>
        <w:rPr>
          <w:spacing w:val="-1"/>
          <w:sz w:val="21"/>
          <w:vertAlign w:val="baseline"/>
        </w:rPr>
        <w:t> </w:t>
      </w:r>
      <w:r>
        <w:rPr>
          <w:sz w:val="21"/>
          <w:vertAlign w:val="baseline"/>
        </w:rPr>
        <w:t>lower-level</w:t>
      </w:r>
      <w:r>
        <w:rPr>
          <w:spacing w:val="-1"/>
          <w:sz w:val="21"/>
          <w:vertAlign w:val="baseline"/>
        </w:rPr>
        <w:t> </w:t>
      </w:r>
      <w:r>
        <w:rPr>
          <w:sz w:val="21"/>
          <w:vertAlign w:val="baseline"/>
        </w:rPr>
        <w:t>offenses.</w:t>
      </w:r>
      <w:hyperlink w:history="true" w:anchor="_bookmark454">
        <w:r>
          <w:rPr>
            <w:sz w:val="21"/>
            <w:vertAlign w:val="superscript"/>
          </w:rPr>
          <w:t>138</w:t>
        </w:r>
      </w:hyperlink>
      <w:r>
        <w:rPr>
          <w:spacing w:val="-2"/>
          <w:sz w:val="21"/>
          <w:vertAlign w:val="baseline"/>
        </w:rPr>
        <w:t> </w:t>
      </w:r>
      <w:r>
        <w:rPr>
          <w:sz w:val="21"/>
          <w:vertAlign w:val="baseline"/>
        </w:rPr>
        <w:t>Despite</w:t>
      </w:r>
      <w:r>
        <w:rPr>
          <w:spacing w:val="-1"/>
          <w:sz w:val="21"/>
          <w:vertAlign w:val="baseline"/>
        </w:rPr>
        <w:t> </w:t>
      </w:r>
      <w:r>
        <w:rPr>
          <w:sz w:val="21"/>
          <w:vertAlign w:val="baseline"/>
        </w:rPr>
        <w:t>the</w:t>
      </w:r>
      <w:r>
        <w:rPr>
          <w:spacing w:val="-1"/>
          <w:sz w:val="21"/>
          <w:vertAlign w:val="baseline"/>
        </w:rPr>
        <w:t> </w:t>
      </w:r>
      <w:r>
        <w:rPr>
          <w:sz w:val="21"/>
          <w:vertAlign w:val="baseline"/>
        </w:rPr>
        <w:t>increase</w:t>
      </w:r>
      <w:r>
        <w:rPr>
          <w:spacing w:val="-1"/>
          <w:sz w:val="21"/>
          <w:vertAlign w:val="baseline"/>
        </w:rPr>
        <w:t> </w:t>
      </w:r>
      <w:r>
        <w:rPr>
          <w:sz w:val="21"/>
          <w:vertAlign w:val="baseline"/>
        </w:rPr>
        <w:t>in</w:t>
      </w:r>
      <w:r>
        <w:rPr>
          <w:spacing w:val="-1"/>
          <w:sz w:val="21"/>
          <w:vertAlign w:val="baseline"/>
        </w:rPr>
        <w:t> </w:t>
      </w:r>
      <w:r>
        <w:rPr>
          <w:sz w:val="21"/>
          <w:vertAlign w:val="baseline"/>
        </w:rPr>
        <w:t>FY23,</w:t>
      </w:r>
      <w:r>
        <w:rPr>
          <w:spacing w:val="-2"/>
          <w:sz w:val="21"/>
          <w:vertAlign w:val="baseline"/>
        </w:rPr>
        <w:t> </w:t>
      </w:r>
      <w:r>
        <w:rPr>
          <w:sz w:val="21"/>
          <w:vertAlign w:val="baseline"/>
        </w:rPr>
        <w:t>the</w:t>
      </w:r>
      <w:r>
        <w:rPr>
          <w:spacing w:val="-1"/>
          <w:sz w:val="21"/>
          <w:vertAlign w:val="baseline"/>
        </w:rPr>
        <w:t> </w:t>
      </w:r>
      <w:r>
        <w:rPr>
          <w:sz w:val="21"/>
          <w:vertAlign w:val="baseline"/>
        </w:rPr>
        <w:t>volume</w:t>
      </w:r>
      <w:r>
        <w:rPr>
          <w:spacing w:val="-2"/>
          <w:sz w:val="21"/>
          <w:vertAlign w:val="baseline"/>
        </w:rPr>
        <w:t> </w:t>
      </w:r>
      <w:r>
        <w:rPr>
          <w:sz w:val="21"/>
          <w:vertAlign w:val="baseline"/>
        </w:rPr>
        <w:t>of</w:t>
      </w:r>
      <w:r>
        <w:rPr>
          <w:spacing w:val="-2"/>
          <w:sz w:val="21"/>
          <w:vertAlign w:val="baseline"/>
        </w:rPr>
        <w:t> </w:t>
      </w:r>
      <w:r>
        <w:rPr>
          <w:sz w:val="21"/>
          <w:vertAlign w:val="baseline"/>
        </w:rPr>
        <w:t>cases</w:t>
      </w:r>
      <w:r>
        <w:rPr>
          <w:spacing w:val="-1"/>
          <w:sz w:val="21"/>
          <w:vertAlign w:val="baseline"/>
        </w:rPr>
        <w:t> </w:t>
      </w:r>
      <w:r>
        <w:rPr>
          <w:sz w:val="21"/>
          <w:vertAlign w:val="baseline"/>
        </w:rPr>
        <w:t>involving</w:t>
      </w:r>
      <w:r>
        <w:rPr>
          <w:spacing w:val="-1"/>
          <w:sz w:val="21"/>
          <w:vertAlign w:val="baseline"/>
        </w:rPr>
        <w:t> </w:t>
      </w:r>
      <w:r>
        <w:rPr>
          <w:sz w:val="21"/>
          <w:vertAlign w:val="baseline"/>
        </w:rPr>
        <w:t>youth entering and</w:t>
      </w:r>
      <w:r>
        <w:rPr>
          <w:spacing w:val="-1"/>
          <w:sz w:val="21"/>
          <w:vertAlign w:val="baseline"/>
        </w:rPr>
        <w:t> </w:t>
      </w:r>
      <w:r>
        <w:rPr>
          <w:sz w:val="21"/>
          <w:vertAlign w:val="baseline"/>
        </w:rPr>
        <w:t>progressing through the juvenile legal system remains</w:t>
      </w:r>
      <w:r>
        <w:rPr>
          <w:spacing w:val="-3"/>
          <w:sz w:val="21"/>
          <w:vertAlign w:val="baseline"/>
        </w:rPr>
        <w:t> </w:t>
      </w:r>
      <w:r>
        <w:rPr>
          <w:sz w:val="21"/>
          <w:vertAlign w:val="baseline"/>
        </w:rPr>
        <w:t>below the levels observed prior to the </w:t>
      </w:r>
      <w:bookmarkStart w:name="_bookmark456" w:id="690"/>
      <w:bookmarkEnd w:id="690"/>
      <w:r>
        <w:rPr>
          <w:sz w:val="21"/>
          <w:vertAlign w:val="baseline"/>
        </w:rPr>
        <w:t>e</w:t>
      </w:r>
      <w:r>
        <w:rPr>
          <w:sz w:val="21"/>
          <w:vertAlign w:val="baseline"/>
        </w:rPr>
        <w:t>nactment</w:t>
      </w:r>
      <w:r>
        <w:rPr>
          <w:spacing w:val="-7"/>
          <w:sz w:val="21"/>
          <w:vertAlign w:val="baseline"/>
        </w:rPr>
        <w:t> </w:t>
      </w:r>
      <w:r>
        <w:rPr>
          <w:sz w:val="21"/>
          <w:vertAlign w:val="baseline"/>
        </w:rPr>
        <w:t>of</w:t>
      </w:r>
      <w:r>
        <w:rPr>
          <w:spacing w:val="-10"/>
          <w:sz w:val="21"/>
          <w:vertAlign w:val="baseline"/>
        </w:rPr>
        <w:t> </w:t>
      </w:r>
      <w:r>
        <w:rPr>
          <w:sz w:val="21"/>
          <w:vertAlign w:val="baseline"/>
        </w:rPr>
        <w:t>the</w:t>
      </w:r>
      <w:r>
        <w:rPr>
          <w:spacing w:val="-8"/>
          <w:sz w:val="21"/>
          <w:vertAlign w:val="baseline"/>
        </w:rPr>
        <w:t> </w:t>
      </w:r>
      <w:r>
        <w:rPr>
          <w:sz w:val="21"/>
          <w:vertAlign w:val="baseline"/>
        </w:rPr>
        <w:t>Criminal</w:t>
      </w:r>
      <w:r>
        <w:rPr>
          <w:spacing w:val="-8"/>
          <w:sz w:val="21"/>
          <w:vertAlign w:val="baseline"/>
        </w:rPr>
        <w:t> </w:t>
      </w:r>
      <w:r>
        <w:rPr>
          <w:sz w:val="21"/>
          <w:vertAlign w:val="baseline"/>
        </w:rPr>
        <w:t>Justice</w:t>
      </w:r>
      <w:r>
        <w:rPr>
          <w:spacing w:val="-8"/>
          <w:sz w:val="21"/>
          <w:vertAlign w:val="baseline"/>
        </w:rPr>
        <w:t> </w:t>
      </w:r>
      <w:r>
        <w:rPr>
          <w:sz w:val="21"/>
          <w:vertAlign w:val="baseline"/>
        </w:rPr>
        <w:t>Reform</w:t>
      </w:r>
      <w:r>
        <w:rPr>
          <w:spacing w:val="-7"/>
          <w:sz w:val="21"/>
          <w:vertAlign w:val="baseline"/>
        </w:rPr>
        <w:t> </w:t>
      </w:r>
      <w:r>
        <w:rPr>
          <w:sz w:val="21"/>
          <w:vertAlign w:val="baseline"/>
        </w:rPr>
        <w:t>Act</w:t>
      </w:r>
      <w:r>
        <w:rPr>
          <w:spacing w:val="-7"/>
          <w:sz w:val="21"/>
          <w:vertAlign w:val="baseline"/>
        </w:rPr>
        <w:t> </w:t>
      </w:r>
      <w:r>
        <w:rPr>
          <w:sz w:val="21"/>
          <w:vertAlign w:val="baseline"/>
        </w:rPr>
        <w:t>(CJRA)</w:t>
      </w:r>
      <w:r>
        <w:rPr>
          <w:spacing w:val="-8"/>
          <w:sz w:val="21"/>
          <w:vertAlign w:val="baseline"/>
        </w:rPr>
        <w:t> </w:t>
      </w:r>
      <w:r>
        <w:rPr>
          <w:sz w:val="21"/>
          <w:vertAlign w:val="baseline"/>
        </w:rPr>
        <w:t>in</w:t>
      </w:r>
      <w:r>
        <w:rPr>
          <w:spacing w:val="-8"/>
          <w:sz w:val="21"/>
          <w:vertAlign w:val="baseline"/>
        </w:rPr>
        <w:t> </w:t>
      </w:r>
      <w:r>
        <w:rPr>
          <w:sz w:val="21"/>
          <w:vertAlign w:val="baseline"/>
        </w:rPr>
        <w:t>FY18.</w:t>
      </w:r>
      <w:hyperlink w:history="true" w:anchor="_bookmark455">
        <w:r>
          <w:rPr>
            <w:sz w:val="21"/>
            <w:vertAlign w:val="superscript"/>
          </w:rPr>
          <w:t>139</w:t>
        </w:r>
      </w:hyperlink>
      <w:r>
        <w:rPr>
          <w:spacing w:val="-2"/>
          <w:sz w:val="21"/>
          <w:vertAlign w:val="baseline"/>
        </w:rPr>
        <w:t> </w:t>
      </w:r>
      <w:r>
        <w:rPr>
          <w:sz w:val="21"/>
          <w:vertAlign w:val="baseline"/>
        </w:rPr>
        <w:t>However,</w:t>
      </w:r>
      <w:r>
        <w:rPr>
          <w:spacing w:val="-8"/>
          <w:sz w:val="21"/>
          <w:vertAlign w:val="baseline"/>
        </w:rPr>
        <w:t> </w:t>
      </w:r>
      <w:r>
        <w:rPr>
          <w:sz w:val="21"/>
          <w:vertAlign w:val="baseline"/>
        </w:rPr>
        <w:t>should</w:t>
      </w:r>
      <w:r>
        <w:rPr>
          <w:spacing w:val="-8"/>
          <w:sz w:val="21"/>
          <w:vertAlign w:val="baseline"/>
        </w:rPr>
        <w:t> </w:t>
      </w:r>
      <w:r>
        <w:rPr>
          <w:sz w:val="21"/>
          <w:vertAlign w:val="baseline"/>
        </w:rPr>
        <w:t>the</w:t>
      </w:r>
      <w:r>
        <w:rPr>
          <w:spacing w:val="-8"/>
          <w:sz w:val="21"/>
          <w:vertAlign w:val="baseline"/>
        </w:rPr>
        <w:t> </w:t>
      </w:r>
      <w:r>
        <w:rPr>
          <w:sz w:val="21"/>
          <w:vertAlign w:val="baseline"/>
        </w:rPr>
        <w:t>recent</w:t>
      </w:r>
      <w:r>
        <w:rPr>
          <w:spacing w:val="-7"/>
          <w:sz w:val="21"/>
          <w:vertAlign w:val="baseline"/>
        </w:rPr>
        <w:t> </w:t>
      </w:r>
      <w:r>
        <w:rPr>
          <w:sz w:val="21"/>
          <w:vertAlign w:val="baseline"/>
        </w:rPr>
        <w:t>two-year</w:t>
      </w:r>
      <w:r>
        <w:rPr>
          <w:spacing w:val="-9"/>
          <w:sz w:val="21"/>
          <w:vertAlign w:val="baseline"/>
        </w:rPr>
        <w:t> </w:t>
      </w:r>
      <w:r>
        <w:rPr>
          <w:sz w:val="21"/>
          <w:vertAlign w:val="baseline"/>
        </w:rPr>
        <w:t>trend </w:t>
      </w:r>
      <w:bookmarkStart w:name="_bookmark457" w:id="691"/>
      <w:bookmarkEnd w:id="691"/>
      <w:r>
        <w:rPr>
          <w:sz w:val="21"/>
          <w:vertAlign w:val="baseline"/>
        </w:rPr>
      </w:r>
      <w:bookmarkStart w:name="_bookmark458" w:id="692"/>
      <w:bookmarkEnd w:id="692"/>
      <w:r>
        <w:rPr>
          <w:sz w:val="21"/>
          <w:vertAlign w:val="baseline"/>
        </w:rPr>
        <w:t>o</w:t>
      </w:r>
      <w:r>
        <w:rPr>
          <w:sz w:val="21"/>
          <w:vertAlign w:val="baseline"/>
        </w:rPr>
        <w:t>f increases persist, incarceration rates are projected to return to pre-CJRA figures within the next one to </w:t>
      </w:r>
      <w:bookmarkStart w:name="_bookmark459" w:id="693"/>
      <w:bookmarkEnd w:id="693"/>
      <w:r>
        <w:rPr>
          <w:sz w:val="21"/>
          <w:vertAlign w:val="baseline"/>
        </w:rPr>
        <w:t>t</w:t>
      </w:r>
      <w:r>
        <w:rPr>
          <w:sz w:val="21"/>
          <w:vertAlign w:val="baseline"/>
        </w:rPr>
        <w:t>wo years.</w:t>
      </w:r>
    </w:p>
    <w:p>
      <w:pPr>
        <w:spacing w:line="276" w:lineRule="auto" w:before="240"/>
        <w:ind w:left="464" w:right="239" w:firstLine="0"/>
        <w:jc w:val="both"/>
        <w:rPr>
          <w:sz w:val="21"/>
        </w:rPr>
      </w:pPr>
      <w:bookmarkStart w:name="_bookmark460" w:id="694"/>
      <w:bookmarkEnd w:id="694"/>
      <w:r>
        <w:rPr/>
      </w:r>
      <w:bookmarkStart w:name="_bookmark461" w:id="695"/>
      <w:bookmarkEnd w:id="695"/>
      <w:r>
        <w:rPr/>
      </w:r>
      <w:r>
        <w:rPr>
          <w:sz w:val="21"/>
        </w:rPr>
        <w:t>Furthermore, the JDAI report indicates a deepening of racial and ethnic disparities at the initial stages of the</w:t>
      </w:r>
      <w:r>
        <w:rPr>
          <w:spacing w:val="-11"/>
          <w:sz w:val="21"/>
        </w:rPr>
        <w:t> </w:t>
      </w:r>
      <w:r>
        <w:rPr>
          <w:sz w:val="21"/>
        </w:rPr>
        <w:t>criminal</w:t>
      </w:r>
      <w:r>
        <w:rPr>
          <w:spacing w:val="-11"/>
          <w:sz w:val="21"/>
        </w:rPr>
        <w:t> </w:t>
      </w:r>
      <w:r>
        <w:rPr>
          <w:sz w:val="21"/>
        </w:rPr>
        <w:t>legal</w:t>
      </w:r>
      <w:r>
        <w:rPr>
          <w:spacing w:val="-11"/>
          <w:sz w:val="21"/>
        </w:rPr>
        <w:t> </w:t>
      </w:r>
      <w:r>
        <w:rPr>
          <w:sz w:val="21"/>
        </w:rPr>
        <w:t>process</w:t>
      </w:r>
      <w:r>
        <w:rPr>
          <w:spacing w:val="-12"/>
          <w:sz w:val="21"/>
        </w:rPr>
        <w:t> </w:t>
      </w:r>
      <w:r>
        <w:rPr>
          <w:sz w:val="21"/>
        </w:rPr>
        <w:t>compared</w:t>
      </w:r>
      <w:r>
        <w:rPr>
          <w:spacing w:val="-10"/>
          <w:sz w:val="21"/>
        </w:rPr>
        <w:t> </w:t>
      </w:r>
      <w:r>
        <w:rPr>
          <w:sz w:val="21"/>
        </w:rPr>
        <w:t>to</w:t>
      </w:r>
      <w:r>
        <w:rPr>
          <w:spacing w:val="-12"/>
          <w:sz w:val="21"/>
        </w:rPr>
        <w:t> </w:t>
      </w:r>
      <w:r>
        <w:rPr>
          <w:sz w:val="21"/>
        </w:rPr>
        <w:t>the</w:t>
      </w:r>
      <w:r>
        <w:rPr>
          <w:spacing w:val="-12"/>
          <w:sz w:val="21"/>
        </w:rPr>
        <w:t> </w:t>
      </w:r>
      <w:r>
        <w:rPr>
          <w:sz w:val="21"/>
        </w:rPr>
        <w:t>previous</w:t>
      </w:r>
      <w:r>
        <w:rPr>
          <w:spacing w:val="-11"/>
          <w:sz w:val="21"/>
        </w:rPr>
        <w:t> </w:t>
      </w:r>
      <w:r>
        <w:rPr>
          <w:sz w:val="21"/>
        </w:rPr>
        <w:t>year,</w:t>
      </w:r>
      <w:r>
        <w:rPr>
          <w:spacing w:val="-11"/>
          <w:sz w:val="21"/>
        </w:rPr>
        <w:t> </w:t>
      </w:r>
      <w:r>
        <w:rPr>
          <w:sz w:val="21"/>
        </w:rPr>
        <w:t>particularly</w:t>
      </w:r>
      <w:r>
        <w:rPr>
          <w:spacing w:val="-12"/>
          <w:sz w:val="21"/>
        </w:rPr>
        <w:t> </w:t>
      </w:r>
      <w:r>
        <w:rPr>
          <w:sz w:val="21"/>
        </w:rPr>
        <w:t>concerning</w:t>
      </w:r>
      <w:r>
        <w:rPr>
          <w:spacing w:val="-11"/>
          <w:sz w:val="21"/>
        </w:rPr>
        <w:t> </w:t>
      </w:r>
      <w:r>
        <w:rPr>
          <w:sz w:val="21"/>
        </w:rPr>
        <w:t>applications</w:t>
      </w:r>
      <w:r>
        <w:rPr>
          <w:spacing w:val="-12"/>
          <w:sz w:val="21"/>
        </w:rPr>
        <w:t> </w:t>
      </w:r>
      <w:r>
        <w:rPr>
          <w:sz w:val="21"/>
        </w:rPr>
        <w:t>for</w:t>
      </w:r>
      <w:r>
        <w:rPr>
          <w:spacing w:val="-10"/>
          <w:sz w:val="21"/>
        </w:rPr>
        <w:t> </w:t>
      </w:r>
      <w:r>
        <w:rPr>
          <w:sz w:val="21"/>
        </w:rPr>
        <w:t>complaint initiated</w:t>
      </w:r>
      <w:r>
        <w:rPr>
          <w:spacing w:val="60"/>
          <w:sz w:val="21"/>
        </w:rPr>
        <w:t> </w:t>
      </w:r>
      <w:r>
        <w:rPr>
          <w:sz w:val="21"/>
        </w:rPr>
        <w:t>by</w:t>
      </w:r>
      <w:r>
        <w:rPr>
          <w:spacing w:val="58"/>
          <w:sz w:val="21"/>
        </w:rPr>
        <w:t> </w:t>
      </w:r>
      <w:r>
        <w:rPr>
          <w:sz w:val="21"/>
        </w:rPr>
        <w:t>arrest</w:t>
      </w:r>
      <w:r>
        <w:rPr>
          <w:spacing w:val="60"/>
          <w:sz w:val="21"/>
        </w:rPr>
        <w:t> </w:t>
      </w:r>
      <w:r>
        <w:rPr>
          <w:sz w:val="21"/>
        </w:rPr>
        <w:t>rather</w:t>
      </w:r>
      <w:r>
        <w:rPr>
          <w:spacing w:val="59"/>
          <w:sz w:val="21"/>
        </w:rPr>
        <w:t> </w:t>
      </w:r>
      <w:r>
        <w:rPr>
          <w:sz w:val="21"/>
        </w:rPr>
        <w:t>than</w:t>
      </w:r>
      <w:r>
        <w:rPr>
          <w:spacing w:val="59"/>
          <w:sz w:val="21"/>
        </w:rPr>
        <w:t> </w:t>
      </w:r>
      <w:r>
        <w:rPr>
          <w:sz w:val="21"/>
        </w:rPr>
        <w:t>court</w:t>
      </w:r>
      <w:r>
        <w:rPr>
          <w:spacing w:val="58"/>
          <w:sz w:val="21"/>
        </w:rPr>
        <w:t> </w:t>
      </w:r>
      <w:r>
        <w:rPr>
          <w:sz w:val="21"/>
        </w:rPr>
        <w:t>summons. </w:t>
      </w:r>
      <w:hyperlink w:history="true" w:anchor="_bookmark456">
        <w:r>
          <w:rPr>
            <w:sz w:val="21"/>
            <w:vertAlign w:val="superscript"/>
          </w:rPr>
          <w:t>140</w:t>
        </w:r>
      </w:hyperlink>
      <w:r>
        <w:rPr>
          <w:spacing w:val="39"/>
          <w:sz w:val="21"/>
          <w:vertAlign w:val="baseline"/>
        </w:rPr>
        <w:t> </w:t>
      </w:r>
      <w:r>
        <w:rPr>
          <w:sz w:val="21"/>
          <w:vertAlign w:val="baseline"/>
        </w:rPr>
        <w:t>In</w:t>
      </w:r>
      <w:r>
        <w:rPr>
          <w:spacing w:val="59"/>
          <w:sz w:val="21"/>
          <w:vertAlign w:val="baseline"/>
        </w:rPr>
        <w:t> </w:t>
      </w:r>
      <w:r>
        <w:rPr>
          <w:sz w:val="21"/>
          <w:vertAlign w:val="baseline"/>
        </w:rPr>
        <w:t>FY23,</w:t>
      </w:r>
      <w:r>
        <w:rPr>
          <w:spacing w:val="60"/>
          <w:sz w:val="21"/>
          <w:vertAlign w:val="baseline"/>
        </w:rPr>
        <w:t> </w:t>
      </w:r>
      <w:r>
        <w:rPr>
          <w:sz w:val="21"/>
          <w:vertAlign w:val="baseline"/>
        </w:rPr>
        <w:t>compared</w:t>
      </w:r>
      <w:r>
        <w:rPr>
          <w:spacing w:val="60"/>
          <w:sz w:val="21"/>
          <w:vertAlign w:val="baseline"/>
        </w:rPr>
        <w:t> </w:t>
      </w:r>
      <w:r>
        <w:rPr>
          <w:sz w:val="21"/>
          <w:vertAlign w:val="baseline"/>
        </w:rPr>
        <w:t>to</w:t>
      </w:r>
      <w:r>
        <w:rPr>
          <w:spacing w:val="58"/>
          <w:sz w:val="21"/>
          <w:vertAlign w:val="baseline"/>
        </w:rPr>
        <w:t> </w:t>
      </w:r>
      <w:r>
        <w:rPr>
          <w:sz w:val="21"/>
          <w:vertAlign w:val="baseline"/>
        </w:rPr>
        <w:t>their</w:t>
      </w:r>
      <w:r>
        <w:rPr>
          <w:spacing w:val="59"/>
          <w:sz w:val="21"/>
          <w:vertAlign w:val="baseline"/>
        </w:rPr>
        <w:t> </w:t>
      </w:r>
      <w:r>
        <w:rPr>
          <w:sz w:val="21"/>
          <w:vertAlign w:val="baseline"/>
        </w:rPr>
        <w:t>white</w:t>
      </w:r>
      <w:r>
        <w:rPr>
          <w:spacing w:val="60"/>
          <w:sz w:val="21"/>
          <w:vertAlign w:val="baseline"/>
        </w:rPr>
        <w:t> </w:t>
      </w:r>
      <w:r>
        <w:rPr>
          <w:sz w:val="21"/>
          <w:vertAlign w:val="baseline"/>
        </w:rPr>
        <w:t>counterparts,</w:t>
      </w:r>
    </w:p>
    <w:p>
      <w:pPr>
        <w:spacing w:after="0" w:line="276" w:lineRule="auto"/>
        <w:jc w:val="both"/>
        <w:rPr>
          <w:sz w:val="21"/>
        </w:rPr>
        <w:sectPr>
          <w:pgSz w:w="12240" w:h="15840"/>
          <w:pgMar w:header="763" w:footer="1041" w:top="1360" w:bottom="1240" w:left="1120" w:right="1340"/>
        </w:sectPr>
      </w:pPr>
    </w:p>
    <w:p>
      <w:pPr>
        <w:spacing w:line="276" w:lineRule="auto" w:before="65"/>
        <w:ind w:left="464" w:right="240" w:firstLine="0"/>
        <w:jc w:val="both"/>
        <w:rPr>
          <w:sz w:val="21"/>
        </w:rPr>
      </w:pPr>
      <w:r>
        <w:rPr>
          <w:sz w:val="21"/>
        </w:rPr>
        <w:t>Black/African American youth were 3.85 times more likely to have charges filed against them through an </w:t>
      </w:r>
      <w:bookmarkStart w:name="_bookmark462" w:id="696"/>
      <w:bookmarkEnd w:id="696"/>
      <w:r>
        <w:rPr>
          <w:sz w:val="21"/>
        </w:rPr>
        <w:t>applicat</w:t>
      </w:r>
      <w:r>
        <w:rPr>
          <w:sz w:val="21"/>
        </w:rPr>
        <w:t>ion</w:t>
      </w:r>
      <w:r>
        <w:rPr>
          <w:spacing w:val="-4"/>
          <w:sz w:val="21"/>
        </w:rPr>
        <w:t> </w:t>
      </w:r>
      <w:r>
        <w:rPr>
          <w:sz w:val="21"/>
        </w:rPr>
        <w:t>for</w:t>
      </w:r>
      <w:r>
        <w:rPr>
          <w:spacing w:val="-4"/>
          <w:sz w:val="21"/>
        </w:rPr>
        <w:t> </w:t>
      </w:r>
      <w:r>
        <w:rPr>
          <w:sz w:val="21"/>
        </w:rPr>
        <w:t>complaint</w:t>
      </w:r>
      <w:r>
        <w:rPr>
          <w:spacing w:val="-5"/>
          <w:sz w:val="21"/>
        </w:rPr>
        <w:t> </w:t>
      </w:r>
      <w:r>
        <w:rPr>
          <w:sz w:val="21"/>
        </w:rPr>
        <w:t>and</w:t>
      </w:r>
      <w:r>
        <w:rPr>
          <w:spacing w:val="-4"/>
          <w:sz w:val="21"/>
        </w:rPr>
        <w:t> </w:t>
      </w:r>
      <w:r>
        <w:rPr>
          <w:sz w:val="21"/>
        </w:rPr>
        <w:t>4.89</w:t>
      </w:r>
      <w:r>
        <w:rPr>
          <w:spacing w:val="-5"/>
          <w:sz w:val="21"/>
        </w:rPr>
        <w:t> </w:t>
      </w:r>
      <w:r>
        <w:rPr>
          <w:sz w:val="21"/>
        </w:rPr>
        <w:t>times</w:t>
      </w:r>
      <w:r>
        <w:rPr>
          <w:spacing w:val="-6"/>
          <w:sz w:val="21"/>
        </w:rPr>
        <w:t> </w:t>
      </w:r>
      <w:r>
        <w:rPr>
          <w:sz w:val="21"/>
        </w:rPr>
        <w:t>more</w:t>
      </w:r>
      <w:r>
        <w:rPr>
          <w:spacing w:val="-4"/>
          <w:sz w:val="21"/>
        </w:rPr>
        <w:t> </w:t>
      </w:r>
      <w:r>
        <w:rPr>
          <w:sz w:val="21"/>
        </w:rPr>
        <w:t>likely</w:t>
      </w:r>
      <w:r>
        <w:rPr>
          <w:spacing w:val="-5"/>
          <w:sz w:val="21"/>
        </w:rPr>
        <w:t> </w:t>
      </w:r>
      <w:r>
        <w:rPr>
          <w:sz w:val="21"/>
        </w:rPr>
        <w:t>to</w:t>
      </w:r>
      <w:r>
        <w:rPr>
          <w:spacing w:val="-7"/>
          <w:sz w:val="21"/>
        </w:rPr>
        <w:t> </w:t>
      </w:r>
      <w:r>
        <w:rPr>
          <w:sz w:val="21"/>
        </w:rPr>
        <w:t>be</w:t>
      </w:r>
      <w:r>
        <w:rPr>
          <w:spacing w:val="-4"/>
          <w:sz w:val="21"/>
        </w:rPr>
        <w:t> </w:t>
      </w:r>
      <w:r>
        <w:rPr>
          <w:sz w:val="21"/>
        </w:rPr>
        <w:t>arrested</w:t>
      </w:r>
      <w:r>
        <w:rPr>
          <w:spacing w:val="-6"/>
          <w:sz w:val="21"/>
        </w:rPr>
        <w:t> </w:t>
      </w:r>
      <w:r>
        <w:rPr>
          <w:sz w:val="21"/>
        </w:rPr>
        <w:t>and</w:t>
      </w:r>
      <w:r>
        <w:rPr>
          <w:spacing w:val="-4"/>
          <w:sz w:val="21"/>
        </w:rPr>
        <w:t> </w:t>
      </w:r>
      <w:r>
        <w:rPr>
          <w:sz w:val="21"/>
        </w:rPr>
        <w:t>taken</w:t>
      </w:r>
      <w:r>
        <w:rPr>
          <w:spacing w:val="-6"/>
          <w:sz w:val="21"/>
        </w:rPr>
        <w:t> </w:t>
      </w:r>
      <w:r>
        <w:rPr>
          <w:sz w:val="21"/>
        </w:rPr>
        <w:t>to</w:t>
      </w:r>
      <w:r>
        <w:rPr>
          <w:spacing w:val="-5"/>
          <w:sz w:val="21"/>
        </w:rPr>
        <w:t> </w:t>
      </w:r>
      <w:r>
        <w:rPr>
          <w:sz w:val="21"/>
        </w:rPr>
        <w:t>court.</w:t>
      </w:r>
      <w:hyperlink w:history="true" w:anchor="_bookmark457">
        <w:r>
          <w:rPr>
            <w:sz w:val="21"/>
            <w:vertAlign w:val="superscript"/>
          </w:rPr>
          <w:t>141</w:t>
        </w:r>
      </w:hyperlink>
      <w:r>
        <w:rPr>
          <w:spacing w:val="-2"/>
          <w:sz w:val="21"/>
          <w:vertAlign w:val="baseline"/>
        </w:rPr>
        <w:t> </w:t>
      </w:r>
      <w:r>
        <w:rPr>
          <w:sz w:val="21"/>
          <w:vertAlign w:val="baseline"/>
        </w:rPr>
        <w:t>They</w:t>
      </w:r>
      <w:r>
        <w:rPr>
          <w:spacing w:val="-5"/>
          <w:sz w:val="21"/>
          <w:vertAlign w:val="baseline"/>
        </w:rPr>
        <w:t> </w:t>
      </w:r>
      <w:r>
        <w:rPr>
          <w:sz w:val="21"/>
          <w:vertAlign w:val="baseline"/>
        </w:rPr>
        <w:t>also</w:t>
      </w:r>
      <w:r>
        <w:rPr>
          <w:spacing w:val="-5"/>
          <w:sz w:val="21"/>
          <w:vertAlign w:val="baseline"/>
        </w:rPr>
        <w:t> </w:t>
      </w:r>
      <w:r>
        <w:rPr>
          <w:sz w:val="21"/>
          <w:vertAlign w:val="baseline"/>
        </w:rPr>
        <w:t>faced</w:t>
      </w:r>
      <w:r>
        <w:rPr>
          <w:spacing w:val="-4"/>
          <w:sz w:val="21"/>
          <w:vertAlign w:val="baseline"/>
        </w:rPr>
        <w:t> </w:t>
      </w:r>
      <w:r>
        <w:rPr>
          <w:sz w:val="21"/>
          <w:vertAlign w:val="baseline"/>
        </w:rPr>
        <w:t>a</w:t>
      </w:r>
    </w:p>
    <w:p>
      <w:pPr>
        <w:spacing w:line="276" w:lineRule="auto" w:before="0"/>
        <w:ind w:left="464" w:right="239" w:firstLine="0"/>
        <w:jc w:val="both"/>
        <w:rPr>
          <w:sz w:val="21"/>
        </w:rPr>
      </w:pPr>
      <w:bookmarkStart w:name="_bookmark463" w:id="697"/>
      <w:bookmarkEnd w:id="697"/>
      <w:r>
        <w:rPr/>
      </w:r>
      <w:r>
        <w:rPr>
          <w:sz w:val="21"/>
        </w:rPr>
        <w:t>2.98</w:t>
      </w:r>
      <w:r>
        <w:rPr>
          <w:spacing w:val="-12"/>
          <w:sz w:val="21"/>
        </w:rPr>
        <w:t> </w:t>
      </w:r>
      <w:r>
        <w:rPr>
          <w:sz w:val="21"/>
        </w:rPr>
        <w:t>times</w:t>
      </w:r>
      <w:r>
        <w:rPr>
          <w:spacing w:val="-12"/>
          <w:sz w:val="21"/>
        </w:rPr>
        <w:t> </w:t>
      </w:r>
      <w:r>
        <w:rPr>
          <w:sz w:val="21"/>
        </w:rPr>
        <w:t>higher</w:t>
      </w:r>
      <w:r>
        <w:rPr>
          <w:spacing w:val="-12"/>
          <w:sz w:val="21"/>
        </w:rPr>
        <w:t> </w:t>
      </w:r>
      <w:r>
        <w:rPr>
          <w:sz w:val="21"/>
        </w:rPr>
        <w:t>likelihood</w:t>
      </w:r>
      <w:r>
        <w:rPr>
          <w:spacing w:val="-12"/>
          <w:sz w:val="21"/>
        </w:rPr>
        <w:t> </w:t>
      </w:r>
      <w:r>
        <w:rPr>
          <w:sz w:val="21"/>
        </w:rPr>
        <w:t>of</w:t>
      </w:r>
      <w:r>
        <w:rPr>
          <w:spacing w:val="-12"/>
          <w:sz w:val="21"/>
        </w:rPr>
        <w:t> </w:t>
      </w:r>
      <w:r>
        <w:rPr>
          <w:sz w:val="21"/>
        </w:rPr>
        <w:t>being</w:t>
      </w:r>
      <w:r>
        <w:rPr>
          <w:spacing w:val="-12"/>
          <w:sz w:val="21"/>
        </w:rPr>
        <w:t> </w:t>
      </w:r>
      <w:r>
        <w:rPr>
          <w:sz w:val="21"/>
        </w:rPr>
        <w:t>summoned</w:t>
      </w:r>
      <w:r>
        <w:rPr>
          <w:spacing w:val="-12"/>
          <w:sz w:val="21"/>
        </w:rPr>
        <w:t> </w:t>
      </w:r>
      <w:r>
        <w:rPr>
          <w:sz w:val="21"/>
        </w:rPr>
        <w:t>to</w:t>
      </w:r>
      <w:r>
        <w:rPr>
          <w:spacing w:val="-11"/>
          <w:sz w:val="21"/>
        </w:rPr>
        <w:t> </w:t>
      </w:r>
      <w:r>
        <w:rPr>
          <w:sz w:val="21"/>
        </w:rPr>
        <w:t>court.</w:t>
      </w:r>
      <w:r>
        <w:rPr>
          <w:spacing w:val="-12"/>
          <w:sz w:val="21"/>
        </w:rPr>
        <w:t> </w:t>
      </w:r>
      <w:r>
        <w:rPr>
          <w:sz w:val="21"/>
        </w:rPr>
        <w:t>Latino/Hispanic</w:t>
      </w:r>
      <w:r>
        <w:rPr>
          <w:spacing w:val="-12"/>
          <w:sz w:val="21"/>
        </w:rPr>
        <w:t> </w:t>
      </w:r>
      <w:r>
        <w:rPr>
          <w:sz w:val="21"/>
        </w:rPr>
        <w:t>youth</w:t>
      </w:r>
      <w:r>
        <w:rPr>
          <w:spacing w:val="-12"/>
          <w:sz w:val="21"/>
        </w:rPr>
        <w:t> </w:t>
      </w:r>
      <w:r>
        <w:rPr>
          <w:sz w:val="21"/>
        </w:rPr>
        <w:t>were</w:t>
      </w:r>
      <w:r>
        <w:rPr>
          <w:spacing w:val="-12"/>
          <w:sz w:val="21"/>
        </w:rPr>
        <w:t> </w:t>
      </w:r>
      <w:r>
        <w:rPr>
          <w:sz w:val="21"/>
        </w:rPr>
        <w:t>2.35</w:t>
      </w:r>
      <w:r>
        <w:rPr>
          <w:spacing w:val="-12"/>
          <w:sz w:val="21"/>
        </w:rPr>
        <w:t> </w:t>
      </w:r>
      <w:r>
        <w:rPr>
          <w:sz w:val="21"/>
        </w:rPr>
        <w:t>times</w:t>
      </w:r>
      <w:r>
        <w:rPr>
          <w:spacing w:val="-12"/>
          <w:sz w:val="21"/>
        </w:rPr>
        <w:t> </w:t>
      </w:r>
      <w:r>
        <w:rPr>
          <w:sz w:val="21"/>
        </w:rPr>
        <w:t>more</w:t>
      </w:r>
      <w:r>
        <w:rPr>
          <w:spacing w:val="-12"/>
          <w:sz w:val="21"/>
        </w:rPr>
        <w:t> </w:t>
      </w:r>
      <w:r>
        <w:rPr>
          <w:sz w:val="21"/>
        </w:rPr>
        <w:t>likely </w:t>
      </w:r>
      <w:bookmarkStart w:name="_bookmark464" w:id="698"/>
      <w:bookmarkEnd w:id="698"/>
      <w:r>
        <w:rPr>
          <w:sz w:val="21"/>
        </w:rPr>
      </w:r>
      <w:bookmarkStart w:name="_bookmark465" w:id="699"/>
      <w:bookmarkEnd w:id="699"/>
      <w:r>
        <w:rPr>
          <w:sz w:val="21"/>
        </w:rPr>
        <w:t>to</w:t>
      </w:r>
      <w:r>
        <w:rPr>
          <w:sz w:val="21"/>
        </w:rPr>
        <w:t> have charges filed against them in this manner, 2.89 times more likely to be arrested and brought to </w:t>
      </w:r>
      <w:bookmarkStart w:name="_bookmark466" w:id="700"/>
      <w:bookmarkEnd w:id="700"/>
      <w:r>
        <w:rPr>
          <w:sz w:val="21"/>
        </w:rPr>
        <w:t>co</w:t>
      </w:r>
      <w:r>
        <w:rPr>
          <w:sz w:val="21"/>
        </w:rPr>
        <w:t>urt, and 1.93 times more likely to be summoned to court than white youth.</w:t>
      </w:r>
      <w:hyperlink w:history="true" w:anchor="_bookmark458">
        <w:r>
          <w:rPr>
            <w:sz w:val="21"/>
            <w:vertAlign w:val="superscript"/>
          </w:rPr>
          <w:t>142</w:t>
        </w:r>
      </w:hyperlink>
    </w:p>
    <w:p>
      <w:pPr>
        <w:spacing w:line="276" w:lineRule="auto" w:before="239"/>
        <w:ind w:left="464" w:right="237" w:firstLine="0"/>
        <w:jc w:val="both"/>
        <w:rPr>
          <w:sz w:val="21"/>
        </w:rPr>
      </w:pPr>
      <w:bookmarkStart w:name="_bookmark467" w:id="701"/>
      <w:bookmarkEnd w:id="701"/>
      <w:r>
        <w:rPr/>
      </w:r>
      <w:r>
        <w:rPr>
          <w:sz w:val="21"/>
        </w:rPr>
        <w:t>In addition to racial disparities, recent data show the alarming impact of the child welfare system. For </w:t>
      </w:r>
      <w:bookmarkStart w:name="_bookmark468" w:id="702"/>
      <w:bookmarkEnd w:id="702"/>
      <w:r>
        <w:rPr>
          <w:sz w:val="21"/>
        </w:rPr>
        <w:t>e</w:t>
      </w:r>
      <w:r>
        <w:rPr>
          <w:sz w:val="21"/>
        </w:rPr>
        <w:t>xample, in 2023, 1 in 2 (53%) of all youth admitted into juvenile detention had active cases with the Department of Children and Families (DCF), indicated by either a Care and Protection order or a Child </w:t>
      </w:r>
      <w:bookmarkStart w:name="_bookmark469" w:id="703"/>
      <w:bookmarkEnd w:id="703"/>
      <w:r>
        <w:rPr>
          <w:sz w:val="21"/>
        </w:rPr>
        <w:t>R</w:t>
      </w:r>
      <w:r>
        <w:rPr>
          <w:sz w:val="21"/>
        </w:rPr>
        <w:t>equiring</w:t>
      </w:r>
      <w:r>
        <w:rPr>
          <w:spacing w:val="-5"/>
          <w:sz w:val="21"/>
        </w:rPr>
        <w:t> </w:t>
      </w:r>
      <w:r>
        <w:rPr>
          <w:sz w:val="21"/>
        </w:rPr>
        <w:t>Assistance</w:t>
      </w:r>
      <w:r>
        <w:rPr>
          <w:spacing w:val="-4"/>
          <w:sz w:val="21"/>
        </w:rPr>
        <w:t> </w:t>
      </w:r>
      <w:r>
        <w:rPr>
          <w:sz w:val="21"/>
        </w:rPr>
        <w:t>matter.</w:t>
      </w:r>
      <w:hyperlink w:history="true" w:anchor="_bookmark459">
        <w:r>
          <w:rPr>
            <w:sz w:val="21"/>
            <w:vertAlign w:val="superscript"/>
          </w:rPr>
          <w:t>143</w:t>
        </w:r>
      </w:hyperlink>
      <w:r>
        <w:rPr>
          <w:spacing w:val="-2"/>
          <w:sz w:val="21"/>
          <w:vertAlign w:val="baseline"/>
        </w:rPr>
        <w:t> </w:t>
      </w:r>
      <w:r>
        <w:rPr>
          <w:sz w:val="21"/>
          <w:vertAlign w:val="baseline"/>
        </w:rPr>
        <w:t>This</w:t>
      </w:r>
      <w:r>
        <w:rPr>
          <w:spacing w:val="-5"/>
          <w:sz w:val="21"/>
          <w:vertAlign w:val="baseline"/>
        </w:rPr>
        <w:t> </w:t>
      </w:r>
      <w:r>
        <w:rPr>
          <w:sz w:val="21"/>
          <w:vertAlign w:val="baseline"/>
        </w:rPr>
        <w:t>involvement</w:t>
      </w:r>
      <w:r>
        <w:rPr>
          <w:spacing w:val="-4"/>
          <w:sz w:val="21"/>
          <w:vertAlign w:val="baseline"/>
        </w:rPr>
        <w:t> </w:t>
      </w:r>
      <w:r>
        <w:rPr>
          <w:sz w:val="21"/>
          <w:vertAlign w:val="baseline"/>
        </w:rPr>
        <w:t>with</w:t>
      </w:r>
      <w:r>
        <w:rPr>
          <w:spacing w:val="-4"/>
          <w:sz w:val="21"/>
          <w:vertAlign w:val="baseline"/>
        </w:rPr>
        <w:t> </w:t>
      </w:r>
      <w:r>
        <w:rPr>
          <w:sz w:val="21"/>
          <w:vertAlign w:val="baseline"/>
        </w:rPr>
        <w:t>DCF</w:t>
      </w:r>
      <w:r>
        <w:rPr>
          <w:spacing w:val="-5"/>
          <w:sz w:val="21"/>
          <w:vertAlign w:val="baseline"/>
        </w:rPr>
        <w:t> </w:t>
      </w:r>
      <w:r>
        <w:rPr>
          <w:sz w:val="21"/>
          <w:vertAlign w:val="baseline"/>
        </w:rPr>
        <w:t>can</w:t>
      </w:r>
      <w:r>
        <w:rPr>
          <w:spacing w:val="-4"/>
          <w:sz w:val="21"/>
          <w:vertAlign w:val="baseline"/>
        </w:rPr>
        <w:t> </w:t>
      </w:r>
      <w:r>
        <w:rPr>
          <w:sz w:val="21"/>
          <w:vertAlign w:val="baseline"/>
        </w:rPr>
        <w:t>impact</w:t>
      </w:r>
      <w:r>
        <w:rPr>
          <w:spacing w:val="-4"/>
          <w:sz w:val="21"/>
          <w:vertAlign w:val="baseline"/>
        </w:rPr>
        <w:t> </w:t>
      </w:r>
      <w:r>
        <w:rPr>
          <w:sz w:val="21"/>
          <w:vertAlign w:val="baseline"/>
        </w:rPr>
        <w:t>the</w:t>
      </w:r>
      <w:r>
        <w:rPr>
          <w:spacing w:val="-4"/>
          <w:sz w:val="21"/>
          <w:vertAlign w:val="baseline"/>
        </w:rPr>
        <w:t> </w:t>
      </w:r>
      <w:r>
        <w:rPr>
          <w:sz w:val="21"/>
          <w:vertAlign w:val="baseline"/>
        </w:rPr>
        <w:t>length</w:t>
      </w:r>
      <w:r>
        <w:rPr>
          <w:spacing w:val="-4"/>
          <w:sz w:val="21"/>
          <w:vertAlign w:val="baseline"/>
        </w:rPr>
        <w:t> </w:t>
      </w:r>
      <w:r>
        <w:rPr>
          <w:sz w:val="21"/>
          <w:vertAlign w:val="baseline"/>
        </w:rPr>
        <w:t>of</w:t>
      </w:r>
      <w:r>
        <w:rPr>
          <w:spacing w:val="-5"/>
          <w:sz w:val="21"/>
          <w:vertAlign w:val="baseline"/>
        </w:rPr>
        <w:t> </w:t>
      </w:r>
      <w:r>
        <w:rPr>
          <w:sz w:val="21"/>
          <w:vertAlign w:val="baseline"/>
        </w:rPr>
        <w:t>their</w:t>
      </w:r>
      <w:r>
        <w:rPr>
          <w:spacing w:val="-4"/>
          <w:sz w:val="21"/>
          <w:vertAlign w:val="baseline"/>
        </w:rPr>
        <w:t> </w:t>
      </w:r>
      <w:r>
        <w:rPr>
          <w:sz w:val="21"/>
          <w:vertAlign w:val="baseline"/>
        </w:rPr>
        <w:t>stay</w:t>
      </w:r>
      <w:r>
        <w:rPr>
          <w:spacing w:val="-5"/>
          <w:sz w:val="21"/>
          <w:vertAlign w:val="baseline"/>
        </w:rPr>
        <w:t> </w:t>
      </w:r>
      <w:r>
        <w:rPr>
          <w:sz w:val="21"/>
          <w:vertAlign w:val="baseline"/>
        </w:rPr>
        <w:t>in</w:t>
      </w:r>
      <w:r>
        <w:rPr>
          <w:spacing w:val="-4"/>
          <w:sz w:val="21"/>
          <w:vertAlign w:val="baseline"/>
        </w:rPr>
        <w:t> </w:t>
      </w:r>
      <w:r>
        <w:rPr>
          <w:sz w:val="21"/>
          <w:vertAlign w:val="baseline"/>
        </w:rPr>
        <w:t>detention, </w:t>
      </w:r>
      <w:bookmarkStart w:name="_bookmark470" w:id="704"/>
      <w:bookmarkEnd w:id="704"/>
      <w:r>
        <w:rPr>
          <w:sz w:val="21"/>
          <w:vertAlign w:val="baseline"/>
        </w:rPr>
        <w:t>r</w:t>
      </w:r>
      <w:r>
        <w:rPr>
          <w:sz w:val="21"/>
          <w:vertAlign w:val="baseline"/>
        </w:rPr>
        <w:t>egardless</w:t>
      </w:r>
      <w:r>
        <w:rPr>
          <w:spacing w:val="-4"/>
          <w:sz w:val="21"/>
          <w:vertAlign w:val="baseline"/>
        </w:rPr>
        <w:t> </w:t>
      </w:r>
      <w:r>
        <w:rPr>
          <w:sz w:val="21"/>
          <w:vertAlign w:val="baseline"/>
        </w:rPr>
        <w:t>of</w:t>
      </w:r>
      <w:r>
        <w:rPr>
          <w:spacing w:val="-5"/>
          <w:sz w:val="21"/>
          <w:vertAlign w:val="baseline"/>
        </w:rPr>
        <w:t> </w:t>
      </w:r>
      <w:r>
        <w:rPr>
          <w:sz w:val="21"/>
          <w:vertAlign w:val="baseline"/>
        </w:rPr>
        <w:t>the</w:t>
      </w:r>
      <w:r>
        <w:rPr>
          <w:spacing w:val="-4"/>
          <w:sz w:val="21"/>
          <w:vertAlign w:val="baseline"/>
        </w:rPr>
        <w:t> </w:t>
      </w:r>
      <w:r>
        <w:rPr>
          <w:sz w:val="21"/>
          <w:vertAlign w:val="baseline"/>
        </w:rPr>
        <w:t>severity</w:t>
      </w:r>
      <w:r>
        <w:rPr>
          <w:spacing w:val="-5"/>
          <w:sz w:val="21"/>
          <w:vertAlign w:val="baseline"/>
        </w:rPr>
        <w:t> </w:t>
      </w:r>
      <w:r>
        <w:rPr>
          <w:sz w:val="21"/>
          <w:vertAlign w:val="baseline"/>
        </w:rPr>
        <w:t>of</w:t>
      </w:r>
      <w:r>
        <w:rPr>
          <w:spacing w:val="-4"/>
          <w:sz w:val="21"/>
          <w:vertAlign w:val="baseline"/>
        </w:rPr>
        <w:t> </w:t>
      </w:r>
      <w:r>
        <w:rPr>
          <w:sz w:val="21"/>
          <w:vertAlign w:val="baseline"/>
        </w:rPr>
        <w:t>their</w:t>
      </w:r>
      <w:r>
        <w:rPr>
          <w:spacing w:val="-4"/>
          <w:sz w:val="21"/>
          <w:vertAlign w:val="baseline"/>
        </w:rPr>
        <w:t> </w:t>
      </w:r>
      <w:r>
        <w:rPr>
          <w:sz w:val="21"/>
          <w:vertAlign w:val="baseline"/>
        </w:rPr>
        <w:t>charges.</w:t>
      </w:r>
      <w:r>
        <w:rPr>
          <w:spacing w:val="-5"/>
          <w:sz w:val="21"/>
          <w:vertAlign w:val="baseline"/>
        </w:rPr>
        <w:t> </w:t>
      </w:r>
      <w:r>
        <w:rPr>
          <w:sz w:val="21"/>
          <w:vertAlign w:val="baseline"/>
        </w:rPr>
        <w:t>Detained</w:t>
      </w:r>
      <w:r>
        <w:rPr>
          <w:spacing w:val="-4"/>
          <w:sz w:val="21"/>
          <w:vertAlign w:val="baseline"/>
        </w:rPr>
        <w:t> </w:t>
      </w:r>
      <w:r>
        <w:rPr>
          <w:sz w:val="21"/>
          <w:vertAlign w:val="baseline"/>
        </w:rPr>
        <w:t>youth</w:t>
      </w:r>
      <w:r>
        <w:rPr>
          <w:spacing w:val="-4"/>
          <w:sz w:val="21"/>
          <w:vertAlign w:val="baseline"/>
        </w:rPr>
        <w:t> </w:t>
      </w:r>
      <w:r>
        <w:rPr>
          <w:sz w:val="21"/>
          <w:vertAlign w:val="baseline"/>
        </w:rPr>
        <w:t>are</w:t>
      </w:r>
      <w:r>
        <w:rPr>
          <w:spacing w:val="-4"/>
          <w:sz w:val="21"/>
          <w:vertAlign w:val="baseline"/>
        </w:rPr>
        <w:t> </w:t>
      </w:r>
      <w:r>
        <w:rPr>
          <w:sz w:val="21"/>
          <w:vertAlign w:val="baseline"/>
        </w:rPr>
        <w:t>brought</w:t>
      </w:r>
      <w:r>
        <w:rPr>
          <w:spacing w:val="-4"/>
          <w:sz w:val="21"/>
          <w:vertAlign w:val="baseline"/>
        </w:rPr>
        <w:t> </w:t>
      </w:r>
      <w:r>
        <w:rPr>
          <w:sz w:val="21"/>
          <w:vertAlign w:val="baseline"/>
        </w:rPr>
        <w:t>in</w:t>
      </w:r>
      <w:r>
        <w:rPr>
          <w:spacing w:val="-4"/>
          <w:sz w:val="21"/>
          <w:vertAlign w:val="baseline"/>
        </w:rPr>
        <w:t> </w:t>
      </w:r>
      <w:r>
        <w:rPr>
          <w:sz w:val="21"/>
          <w:vertAlign w:val="baseline"/>
        </w:rPr>
        <w:t>with</w:t>
      </w:r>
      <w:r>
        <w:rPr>
          <w:spacing w:val="-4"/>
          <w:sz w:val="21"/>
          <w:vertAlign w:val="baseline"/>
        </w:rPr>
        <w:t> </w:t>
      </w:r>
      <w:r>
        <w:rPr>
          <w:sz w:val="21"/>
          <w:vertAlign w:val="baseline"/>
        </w:rPr>
        <w:t>a</w:t>
      </w:r>
      <w:r>
        <w:rPr>
          <w:spacing w:val="-4"/>
          <w:sz w:val="21"/>
          <w:vertAlign w:val="baseline"/>
        </w:rPr>
        <w:t> </w:t>
      </w:r>
      <w:r>
        <w:rPr>
          <w:sz w:val="21"/>
          <w:vertAlign w:val="baseline"/>
        </w:rPr>
        <w:t>legal</w:t>
      </w:r>
      <w:r>
        <w:rPr>
          <w:spacing w:val="-4"/>
          <w:sz w:val="21"/>
          <w:vertAlign w:val="baseline"/>
        </w:rPr>
        <w:t> </w:t>
      </w:r>
      <w:r>
        <w:rPr>
          <w:sz w:val="21"/>
          <w:vertAlign w:val="baseline"/>
        </w:rPr>
        <w:t>document</w:t>
      </w:r>
      <w:r>
        <w:rPr>
          <w:spacing w:val="-4"/>
          <w:sz w:val="21"/>
          <w:vertAlign w:val="baseline"/>
        </w:rPr>
        <w:t> </w:t>
      </w:r>
      <w:r>
        <w:rPr>
          <w:sz w:val="21"/>
          <w:vertAlign w:val="baseline"/>
        </w:rPr>
        <w:t>(mittimus) </w:t>
      </w:r>
      <w:bookmarkStart w:name="_bookmark471" w:id="705"/>
      <w:bookmarkEnd w:id="705"/>
      <w:r>
        <w:rPr>
          <w:sz w:val="21"/>
          <w:vertAlign w:val="baseline"/>
        </w:rPr>
        <w:t>s</w:t>
      </w:r>
      <w:r>
        <w:rPr>
          <w:sz w:val="21"/>
          <w:vertAlign w:val="baseline"/>
        </w:rPr>
        <w:t>pecifying</w:t>
      </w:r>
      <w:r>
        <w:rPr>
          <w:spacing w:val="-2"/>
          <w:sz w:val="21"/>
          <w:vertAlign w:val="baseline"/>
        </w:rPr>
        <w:t> </w:t>
      </w:r>
      <w:r>
        <w:rPr>
          <w:sz w:val="21"/>
          <w:vertAlign w:val="baseline"/>
        </w:rPr>
        <w:t>conditions</w:t>
      </w:r>
      <w:r>
        <w:rPr>
          <w:spacing w:val="-2"/>
          <w:sz w:val="21"/>
          <w:vertAlign w:val="baseline"/>
        </w:rPr>
        <w:t> </w:t>
      </w:r>
      <w:r>
        <w:rPr>
          <w:sz w:val="21"/>
          <w:vertAlign w:val="baseline"/>
        </w:rPr>
        <w:t>of</w:t>
      </w:r>
      <w:r>
        <w:rPr>
          <w:spacing w:val="-2"/>
          <w:sz w:val="21"/>
          <w:vertAlign w:val="baseline"/>
        </w:rPr>
        <w:t> </w:t>
      </w:r>
      <w:r>
        <w:rPr>
          <w:sz w:val="21"/>
          <w:vertAlign w:val="baseline"/>
        </w:rPr>
        <w:t>bail,</w:t>
      </w:r>
      <w:r>
        <w:rPr>
          <w:spacing w:val="-2"/>
          <w:sz w:val="21"/>
          <w:vertAlign w:val="baseline"/>
        </w:rPr>
        <w:t> </w:t>
      </w:r>
      <w:r>
        <w:rPr>
          <w:sz w:val="21"/>
          <w:vertAlign w:val="baseline"/>
        </w:rPr>
        <w:t>including</w:t>
      </w:r>
      <w:r>
        <w:rPr>
          <w:spacing w:val="-2"/>
          <w:sz w:val="21"/>
          <w:vertAlign w:val="baseline"/>
        </w:rPr>
        <w:t> </w:t>
      </w:r>
      <w:r>
        <w:rPr>
          <w:sz w:val="21"/>
          <w:vertAlign w:val="baseline"/>
        </w:rPr>
        <w:t>cases</w:t>
      </w:r>
      <w:r>
        <w:rPr>
          <w:spacing w:val="-2"/>
          <w:sz w:val="21"/>
          <w:vertAlign w:val="baseline"/>
        </w:rPr>
        <w:t> </w:t>
      </w:r>
      <w:r>
        <w:rPr>
          <w:sz w:val="21"/>
          <w:vertAlign w:val="baseline"/>
        </w:rPr>
        <w:t>where</w:t>
      </w:r>
      <w:r>
        <w:rPr>
          <w:spacing w:val="-2"/>
          <w:sz w:val="21"/>
          <w:vertAlign w:val="baseline"/>
        </w:rPr>
        <w:t> </w:t>
      </w:r>
      <w:r>
        <w:rPr>
          <w:sz w:val="21"/>
          <w:vertAlign w:val="baseline"/>
        </w:rPr>
        <w:t>release</w:t>
      </w:r>
      <w:r>
        <w:rPr>
          <w:spacing w:val="-2"/>
          <w:sz w:val="21"/>
          <w:vertAlign w:val="baseline"/>
        </w:rPr>
        <w:t> </w:t>
      </w:r>
      <w:r>
        <w:rPr>
          <w:sz w:val="21"/>
          <w:vertAlign w:val="baseline"/>
        </w:rPr>
        <w:t>is</w:t>
      </w:r>
      <w:r>
        <w:rPr>
          <w:spacing w:val="-3"/>
          <w:sz w:val="21"/>
          <w:vertAlign w:val="baseline"/>
        </w:rPr>
        <w:t> </w:t>
      </w:r>
      <w:r>
        <w:rPr>
          <w:sz w:val="21"/>
          <w:vertAlign w:val="baseline"/>
        </w:rPr>
        <w:t>only</w:t>
      </w:r>
      <w:r>
        <w:rPr>
          <w:spacing w:val="-2"/>
          <w:sz w:val="21"/>
          <w:vertAlign w:val="baseline"/>
        </w:rPr>
        <w:t> </w:t>
      </w:r>
      <w:r>
        <w:rPr>
          <w:sz w:val="21"/>
          <w:vertAlign w:val="baseline"/>
        </w:rPr>
        <w:t>possible</w:t>
      </w:r>
      <w:r>
        <w:rPr>
          <w:spacing w:val="-2"/>
          <w:sz w:val="21"/>
          <w:vertAlign w:val="baseline"/>
        </w:rPr>
        <w:t> </w:t>
      </w:r>
      <w:r>
        <w:rPr>
          <w:sz w:val="21"/>
          <w:vertAlign w:val="baseline"/>
        </w:rPr>
        <w:t>into</w:t>
      </w:r>
      <w:r>
        <w:rPr>
          <w:spacing w:val="-2"/>
          <w:sz w:val="21"/>
          <w:vertAlign w:val="baseline"/>
        </w:rPr>
        <w:t> </w:t>
      </w:r>
      <w:r>
        <w:rPr>
          <w:sz w:val="21"/>
          <w:vertAlign w:val="baseline"/>
        </w:rPr>
        <w:t>DCF</w:t>
      </w:r>
      <w:r>
        <w:rPr>
          <w:spacing w:val="-2"/>
          <w:sz w:val="21"/>
          <w:vertAlign w:val="baseline"/>
        </w:rPr>
        <w:t> </w:t>
      </w:r>
      <w:r>
        <w:rPr>
          <w:sz w:val="21"/>
          <w:vertAlign w:val="baseline"/>
        </w:rPr>
        <w:t>custody.</w:t>
      </w:r>
      <w:hyperlink w:history="true" w:anchor="_bookmark460">
        <w:r>
          <w:rPr>
            <w:sz w:val="21"/>
            <w:vertAlign w:val="superscript"/>
          </w:rPr>
          <w:t>144</w:t>
        </w:r>
      </w:hyperlink>
      <w:r>
        <w:rPr>
          <w:spacing w:val="-2"/>
          <w:sz w:val="21"/>
          <w:vertAlign w:val="baseline"/>
        </w:rPr>
        <w:t> </w:t>
      </w:r>
      <w:r>
        <w:rPr>
          <w:sz w:val="21"/>
          <w:vertAlign w:val="baseline"/>
        </w:rPr>
        <w:t>Often,</w:t>
      </w:r>
      <w:r>
        <w:rPr>
          <w:spacing w:val="-1"/>
          <w:sz w:val="21"/>
          <w:vertAlign w:val="baseline"/>
        </w:rPr>
        <w:t> </w:t>
      </w:r>
      <w:r>
        <w:rPr>
          <w:sz w:val="21"/>
          <w:vertAlign w:val="baseline"/>
        </w:rPr>
        <w:t>DCF </w:t>
      </w:r>
      <w:bookmarkStart w:name="_bookmark472" w:id="706"/>
      <w:bookmarkEnd w:id="706"/>
      <w:r>
        <w:rPr>
          <w:sz w:val="21"/>
          <w:vertAlign w:val="baseline"/>
        </w:rPr>
        <w:t>lacks</w:t>
      </w:r>
      <w:r>
        <w:rPr>
          <w:spacing w:val="-12"/>
          <w:sz w:val="21"/>
          <w:vertAlign w:val="baseline"/>
        </w:rPr>
        <w:t> </w:t>
      </w:r>
      <w:r>
        <w:rPr>
          <w:sz w:val="21"/>
          <w:vertAlign w:val="baseline"/>
        </w:rPr>
        <w:t>appropriate</w:t>
      </w:r>
      <w:r>
        <w:rPr>
          <w:spacing w:val="-11"/>
          <w:sz w:val="21"/>
          <w:vertAlign w:val="baseline"/>
        </w:rPr>
        <w:t> </w:t>
      </w:r>
      <w:r>
        <w:rPr>
          <w:sz w:val="21"/>
          <w:vertAlign w:val="baseline"/>
        </w:rPr>
        <w:t>placements</w:t>
      </w:r>
      <w:r>
        <w:rPr>
          <w:spacing w:val="-12"/>
          <w:sz w:val="21"/>
          <w:vertAlign w:val="baseline"/>
        </w:rPr>
        <w:t> </w:t>
      </w:r>
      <w:r>
        <w:rPr>
          <w:sz w:val="21"/>
          <w:vertAlign w:val="baseline"/>
        </w:rPr>
        <w:t>for</w:t>
      </w:r>
      <w:r>
        <w:rPr>
          <w:spacing w:val="-11"/>
          <w:sz w:val="21"/>
          <w:vertAlign w:val="baseline"/>
        </w:rPr>
        <w:t> </w:t>
      </w:r>
      <w:r>
        <w:rPr>
          <w:sz w:val="21"/>
          <w:vertAlign w:val="baseline"/>
        </w:rPr>
        <w:t>those</w:t>
      </w:r>
      <w:r>
        <w:rPr>
          <w:spacing w:val="-11"/>
          <w:sz w:val="21"/>
          <w:vertAlign w:val="baseline"/>
        </w:rPr>
        <w:t> </w:t>
      </w:r>
      <w:r>
        <w:rPr>
          <w:sz w:val="21"/>
          <w:vertAlign w:val="baseline"/>
        </w:rPr>
        <w:t>held</w:t>
      </w:r>
      <w:r>
        <w:rPr>
          <w:spacing w:val="-11"/>
          <w:sz w:val="21"/>
          <w:vertAlign w:val="baseline"/>
        </w:rPr>
        <w:t> </w:t>
      </w:r>
      <w:r>
        <w:rPr>
          <w:sz w:val="21"/>
          <w:vertAlign w:val="baseline"/>
        </w:rPr>
        <w:t>on</w:t>
      </w:r>
      <w:r>
        <w:rPr>
          <w:spacing w:val="-11"/>
          <w:sz w:val="21"/>
          <w:vertAlign w:val="baseline"/>
        </w:rPr>
        <w:t> </w:t>
      </w:r>
      <w:r>
        <w:rPr>
          <w:sz w:val="21"/>
          <w:vertAlign w:val="baseline"/>
        </w:rPr>
        <w:t>low</w:t>
      </w:r>
      <w:r>
        <w:rPr>
          <w:spacing w:val="-11"/>
          <w:sz w:val="21"/>
          <w:vertAlign w:val="baseline"/>
        </w:rPr>
        <w:t> </w:t>
      </w:r>
      <w:r>
        <w:rPr>
          <w:sz w:val="21"/>
          <w:vertAlign w:val="baseline"/>
        </w:rPr>
        <w:t>bail</w:t>
      </w:r>
      <w:r>
        <w:rPr>
          <w:spacing w:val="-11"/>
          <w:sz w:val="21"/>
          <w:vertAlign w:val="baseline"/>
        </w:rPr>
        <w:t> </w:t>
      </w:r>
      <w:r>
        <w:rPr>
          <w:sz w:val="21"/>
          <w:vertAlign w:val="baseline"/>
        </w:rPr>
        <w:t>for</w:t>
      </w:r>
      <w:r>
        <w:rPr>
          <w:spacing w:val="-11"/>
          <w:sz w:val="21"/>
          <w:vertAlign w:val="baseline"/>
        </w:rPr>
        <w:t> </w:t>
      </w:r>
      <w:r>
        <w:rPr>
          <w:sz w:val="21"/>
          <w:vertAlign w:val="baseline"/>
        </w:rPr>
        <w:t>minor</w:t>
      </w:r>
      <w:r>
        <w:rPr>
          <w:spacing w:val="-11"/>
          <w:sz w:val="21"/>
          <w:vertAlign w:val="baseline"/>
        </w:rPr>
        <w:t> </w:t>
      </w:r>
      <w:r>
        <w:rPr>
          <w:sz w:val="21"/>
          <w:vertAlign w:val="baseline"/>
        </w:rPr>
        <w:t>offenses,</w:t>
      </w:r>
      <w:r>
        <w:rPr>
          <w:spacing w:val="-11"/>
          <w:sz w:val="21"/>
          <w:vertAlign w:val="baseline"/>
        </w:rPr>
        <w:t> </w:t>
      </w:r>
      <w:r>
        <w:rPr>
          <w:sz w:val="21"/>
          <w:vertAlign w:val="baseline"/>
        </w:rPr>
        <w:t>leading</w:t>
      </w:r>
      <w:r>
        <w:rPr>
          <w:spacing w:val="-12"/>
          <w:sz w:val="21"/>
          <w:vertAlign w:val="baseline"/>
        </w:rPr>
        <w:t> </w:t>
      </w:r>
      <w:r>
        <w:rPr>
          <w:sz w:val="21"/>
          <w:vertAlign w:val="baseline"/>
        </w:rPr>
        <w:t>to</w:t>
      </w:r>
      <w:r>
        <w:rPr>
          <w:spacing w:val="-12"/>
          <w:sz w:val="21"/>
          <w:vertAlign w:val="baseline"/>
        </w:rPr>
        <w:t> </w:t>
      </w:r>
      <w:r>
        <w:rPr>
          <w:sz w:val="21"/>
          <w:vertAlign w:val="baseline"/>
        </w:rPr>
        <w:t>prolonged</w:t>
      </w:r>
      <w:r>
        <w:rPr>
          <w:spacing w:val="-11"/>
          <w:sz w:val="21"/>
          <w:vertAlign w:val="baseline"/>
        </w:rPr>
        <w:t> </w:t>
      </w:r>
      <w:r>
        <w:rPr>
          <w:sz w:val="21"/>
          <w:vertAlign w:val="baseline"/>
        </w:rPr>
        <w:t>detentions </w:t>
      </w:r>
      <w:bookmarkStart w:name="_bookmark473" w:id="707"/>
      <w:bookmarkEnd w:id="707"/>
      <w:r>
        <w:rPr>
          <w:sz w:val="21"/>
          <w:vertAlign w:val="baseline"/>
        </w:rPr>
      </w:r>
      <w:bookmarkStart w:name="_bookmark474" w:id="708"/>
      <w:bookmarkEnd w:id="708"/>
      <w:r>
        <w:rPr>
          <w:sz w:val="21"/>
          <w:vertAlign w:val="baseline"/>
        </w:rPr>
        <w:t>n</w:t>
      </w:r>
      <w:r>
        <w:rPr>
          <w:sz w:val="21"/>
          <w:vertAlign w:val="baseline"/>
        </w:rPr>
        <w:t>ot because of the severity of their charges but due to the absence of suitable release placements.</w:t>
      </w:r>
      <w:hyperlink w:history="true" w:anchor="_bookmark461">
        <w:r>
          <w:rPr>
            <w:sz w:val="21"/>
            <w:vertAlign w:val="superscript"/>
          </w:rPr>
          <w:t>145</w:t>
        </w:r>
      </w:hyperlink>
    </w:p>
    <w:p>
      <w:pPr>
        <w:spacing w:line="276" w:lineRule="auto" w:before="241"/>
        <w:ind w:left="464" w:right="239" w:firstLine="0"/>
        <w:jc w:val="both"/>
        <w:rPr>
          <w:sz w:val="21"/>
        </w:rPr>
      </w:pPr>
      <w:bookmarkStart w:name="_bookmark475" w:id="709"/>
      <w:bookmarkEnd w:id="709"/>
      <w:r>
        <w:rPr/>
      </w:r>
      <w:r>
        <w:rPr>
          <w:sz w:val="21"/>
        </w:rPr>
        <w:t>However,</w:t>
      </w:r>
      <w:r>
        <w:rPr>
          <w:spacing w:val="-6"/>
          <w:sz w:val="21"/>
        </w:rPr>
        <w:t> </w:t>
      </w:r>
      <w:r>
        <w:rPr>
          <w:sz w:val="21"/>
        </w:rPr>
        <w:t>the</w:t>
      </w:r>
      <w:r>
        <w:rPr>
          <w:spacing w:val="-8"/>
          <w:sz w:val="21"/>
        </w:rPr>
        <w:t> </w:t>
      </w:r>
      <w:r>
        <w:rPr>
          <w:sz w:val="21"/>
        </w:rPr>
        <w:t>Department</w:t>
      </w:r>
      <w:r>
        <w:rPr>
          <w:spacing w:val="-7"/>
          <w:sz w:val="21"/>
        </w:rPr>
        <w:t> </w:t>
      </w:r>
      <w:r>
        <w:rPr>
          <w:sz w:val="21"/>
        </w:rPr>
        <w:t>of</w:t>
      </w:r>
      <w:r>
        <w:rPr>
          <w:spacing w:val="-7"/>
          <w:sz w:val="21"/>
        </w:rPr>
        <w:t> </w:t>
      </w:r>
      <w:r>
        <w:rPr>
          <w:sz w:val="21"/>
        </w:rPr>
        <w:t>Children</w:t>
      </w:r>
      <w:r>
        <w:rPr>
          <w:spacing w:val="-7"/>
          <w:sz w:val="21"/>
        </w:rPr>
        <w:t> </w:t>
      </w:r>
      <w:r>
        <w:rPr>
          <w:sz w:val="21"/>
        </w:rPr>
        <w:t>and</w:t>
      </w:r>
      <w:r>
        <w:rPr>
          <w:spacing w:val="-7"/>
          <w:sz w:val="21"/>
        </w:rPr>
        <w:t> </w:t>
      </w:r>
      <w:r>
        <w:rPr>
          <w:sz w:val="21"/>
        </w:rPr>
        <w:t>Families</w:t>
      </w:r>
      <w:r>
        <w:rPr>
          <w:spacing w:val="-7"/>
          <w:sz w:val="21"/>
        </w:rPr>
        <w:t> </w:t>
      </w:r>
      <w:r>
        <w:rPr>
          <w:sz w:val="21"/>
        </w:rPr>
        <w:t>has</w:t>
      </w:r>
      <w:r>
        <w:rPr>
          <w:spacing w:val="34"/>
          <w:sz w:val="21"/>
        </w:rPr>
        <w:t> </w:t>
      </w:r>
      <w:r>
        <w:rPr>
          <w:sz w:val="21"/>
        </w:rPr>
        <w:t>made</w:t>
      </w:r>
      <w:r>
        <w:rPr>
          <w:spacing w:val="-7"/>
          <w:sz w:val="21"/>
        </w:rPr>
        <w:t> </w:t>
      </w:r>
      <w:r>
        <w:rPr>
          <w:sz w:val="21"/>
        </w:rPr>
        <w:t>strides</w:t>
      </w:r>
      <w:r>
        <w:rPr>
          <w:spacing w:val="-7"/>
          <w:sz w:val="21"/>
        </w:rPr>
        <w:t> </w:t>
      </w:r>
      <w:r>
        <w:rPr>
          <w:sz w:val="21"/>
        </w:rPr>
        <w:t>in</w:t>
      </w:r>
      <w:r>
        <w:rPr>
          <w:spacing w:val="-7"/>
          <w:sz w:val="21"/>
        </w:rPr>
        <w:t> </w:t>
      </w:r>
      <w:r>
        <w:rPr>
          <w:sz w:val="21"/>
        </w:rPr>
        <w:t>supporting</w:t>
      </w:r>
      <w:r>
        <w:rPr>
          <w:spacing w:val="-7"/>
          <w:sz w:val="21"/>
        </w:rPr>
        <w:t> </w:t>
      </w:r>
      <w:r>
        <w:rPr>
          <w:sz w:val="21"/>
        </w:rPr>
        <w:t>LGBTQ</w:t>
      </w:r>
      <w:r>
        <w:rPr>
          <w:spacing w:val="-6"/>
          <w:sz w:val="21"/>
        </w:rPr>
        <w:t> </w:t>
      </w:r>
      <w:r>
        <w:rPr>
          <w:sz w:val="21"/>
        </w:rPr>
        <w:t>youth</w:t>
      </w:r>
      <w:r>
        <w:rPr>
          <w:spacing w:val="-7"/>
          <w:sz w:val="21"/>
        </w:rPr>
        <w:t> </w:t>
      </w:r>
      <w:r>
        <w:rPr>
          <w:sz w:val="21"/>
        </w:rPr>
        <w:t>within</w:t>
      </w:r>
      <w:r>
        <w:rPr>
          <w:spacing w:val="-7"/>
          <w:sz w:val="21"/>
        </w:rPr>
        <w:t> </w:t>
      </w:r>
      <w:r>
        <w:rPr>
          <w:sz w:val="21"/>
        </w:rPr>
        <w:t>the </w:t>
      </w:r>
      <w:bookmarkStart w:name="_bookmark476" w:id="710"/>
      <w:bookmarkEnd w:id="710"/>
      <w:r>
        <w:rPr>
          <w:sz w:val="21"/>
        </w:rPr>
        <w:t>c</w:t>
      </w:r>
      <w:r>
        <w:rPr>
          <w:sz w:val="21"/>
        </w:rPr>
        <w:t>hild welfare system. The Department recently adopted comprehensive policies and created a dedicated </w:t>
      </w:r>
      <w:bookmarkStart w:name="_bookmark477" w:id="711"/>
      <w:bookmarkEnd w:id="711"/>
      <w:r>
        <w:rPr>
          <w:sz w:val="21"/>
        </w:rPr>
        <w:t>ro</w:t>
      </w:r>
      <w:r>
        <w:rPr>
          <w:sz w:val="21"/>
        </w:rPr>
        <w:t>le aimed at fostering an inclusive environment. In 2022, DCF introduced a new policy that defined its </w:t>
      </w:r>
      <w:bookmarkStart w:name="_bookmark478" w:id="712"/>
      <w:bookmarkEnd w:id="712"/>
      <w:r>
        <w:rPr>
          <w:sz w:val="21"/>
        </w:rPr>
        <w:t>v</w:t>
      </w:r>
      <w:r>
        <w:rPr>
          <w:sz w:val="21"/>
        </w:rPr>
        <w:t>alues</w:t>
      </w:r>
      <w:r>
        <w:rPr>
          <w:spacing w:val="-6"/>
          <w:sz w:val="21"/>
        </w:rPr>
        <w:t> </w:t>
      </w:r>
      <w:r>
        <w:rPr>
          <w:sz w:val="21"/>
        </w:rPr>
        <w:t>and</w:t>
      </w:r>
      <w:r>
        <w:rPr>
          <w:spacing w:val="-7"/>
          <w:sz w:val="21"/>
        </w:rPr>
        <w:t> </w:t>
      </w:r>
      <w:r>
        <w:rPr>
          <w:sz w:val="21"/>
        </w:rPr>
        <w:t>guiding</w:t>
      </w:r>
      <w:r>
        <w:rPr>
          <w:spacing w:val="-6"/>
          <w:sz w:val="21"/>
        </w:rPr>
        <w:t> </w:t>
      </w:r>
      <w:r>
        <w:rPr>
          <w:sz w:val="21"/>
        </w:rPr>
        <w:t>principles</w:t>
      </w:r>
      <w:r>
        <w:rPr>
          <w:spacing w:val="-6"/>
          <w:sz w:val="21"/>
        </w:rPr>
        <w:t> </w:t>
      </w:r>
      <w:r>
        <w:rPr>
          <w:sz w:val="21"/>
        </w:rPr>
        <w:t>for</w:t>
      </w:r>
      <w:r>
        <w:rPr>
          <w:spacing w:val="-6"/>
          <w:sz w:val="21"/>
        </w:rPr>
        <w:t> </w:t>
      </w:r>
      <w:r>
        <w:rPr>
          <w:sz w:val="21"/>
        </w:rPr>
        <w:t>engaging</w:t>
      </w:r>
      <w:r>
        <w:rPr>
          <w:spacing w:val="-6"/>
          <w:sz w:val="21"/>
        </w:rPr>
        <w:t> </w:t>
      </w:r>
      <w:r>
        <w:rPr>
          <w:sz w:val="21"/>
        </w:rPr>
        <w:t>with</w:t>
      </w:r>
      <w:r>
        <w:rPr>
          <w:spacing w:val="-7"/>
          <w:sz w:val="21"/>
        </w:rPr>
        <w:t> </w:t>
      </w:r>
      <w:r>
        <w:rPr>
          <w:sz w:val="21"/>
        </w:rPr>
        <w:t>LGBTQIA+</w:t>
      </w:r>
      <w:r>
        <w:rPr>
          <w:spacing w:val="-6"/>
          <w:sz w:val="21"/>
        </w:rPr>
        <w:t> </w:t>
      </w:r>
      <w:r>
        <w:rPr>
          <w:sz w:val="21"/>
        </w:rPr>
        <w:t>children</w:t>
      </w:r>
      <w:r>
        <w:rPr>
          <w:spacing w:val="-7"/>
          <w:sz w:val="21"/>
        </w:rPr>
        <w:t> </w:t>
      </w:r>
      <w:r>
        <w:rPr>
          <w:sz w:val="21"/>
        </w:rPr>
        <w:t>and</w:t>
      </w:r>
      <w:r>
        <w:rPr>
          <w:spacing w:val="-7"/>
          <w:sz w:val="21"/>
        </w:rPr>
        <w:t> </w:t>
      </w:r>
      <w:r>
        <w:rPr>
          <w:sz w:val="21"/>
        </w:rPr>
        <w:t>their</w:t>
      </w:r>
      <w:r>
        <w:rPr>
          <w:spacing w:val="-7"/>
          <w:sz w:val="21"/>
        </w:rPr>
        <w:t> </w:t>
      </w:r>
      <w:r>
        <w:rPr>
          <w:sz w:val="21"/>
        </w:rPr>
        <w:t>families.</w:t>
      </w:r>
      <w:hyperlink w:history="true" w:anchor="_bookmark462">
        <w:r>
          <w:rPr>
            <w:sz w:val="21"/>
            <w:vertAlign w:val="superscript"/>
          </w:rPr>
          <w:t>146</w:t>
        </w:r>
      </w:hyperlink>
      <w:r>
        <w:rPr>
          <w:spacing w:val="-2"/>
          <w:sz w:val="21"/>
          <w:vertAlign w:val="baseline"/>
        </w:rPr>
        <w:t> </w:t>
      </w:r>
      <w:r>
        <w:rPr>
          <w:sz w:val="21"/>
          <w:vertAlign w:val="baseline"/>
        </w:rPr>
        <w:t>The</w:t>
      </w:r>
      <w:r>
        <w:rPr>
          <w:spacing w:val="-6"/>
          <w:sz w:val="21"/>
          <w:vertAlign w:val="baseline"/>
        </w:rPr>
        <w:t> </w:t>
      </w:r>
      <w:r>
        <w:rPr>
          <w:sz w:val="21"/>
          <w:vertAlign w:val="baseline"/>
        </w:rPr>
        <w:t>Department</w:t>
      </w:r>
      <w:r>
        <w:rPr>
          <w:spacing w:val="-5"/>
          <w:sz w:val="21"/>
          <w:vertAlign w:val="baseline"/>
        </w:rPr>
        <w:t> </w:t>
      </w:r>
      <w:r>
        <w:rPr>
          <w:sz w:val="21"/>
          <w:vertAlign w:val="baseline"/>
        </w:rPr>
        <w:t>of </w:t>
      </w:r>
      <w:bookmarkStart w:name="_bookmark479" w:id="713"/>
      <w:bookmarkEnd w:id="713"/>
      <w:r>
        <w:rPr>
          <w:sz w:val="21"/>
          <w:vertAlign w:val="baseline"/>
        </w:rPr>
        <w:t>C</w:t>
      </w:r>
      <w:r>
        <w:rPr>
          <w:sz w:val="21"/>
          <w:vertAlign w:val="baseline"/>
        </w:rPr>
        <w:t>hildren and Families’ LGBTQIA+ Nondiscrimination Policy underscores the Department’s commitment to creating</w:t>
      </w:r>
      <w:r>
        <w:rPr>
          <w:spacing w:val="-12"/>
          <w:sz w:val="21"/>
          <w:vertAlign w:val="baseline"/>
        </w:rPr>
        <w:t> </w:t>
      </w:r>
      <w:r>
        <w:rPr>
          <w:sz w:val="21"/>
          <w:vertAlign w:val="baseline"/>
        </w:rPr>
        <w:t>a</w:t>
      </w:r>
      <w:r>
        <w:rPr>
          <w:spacing w:val="-12"/>
          <w:sz w:val="21"/>
          <w:vertAlign w:val="baseline"/>
        </w:rPr>
        <w:t> </w:t>
      </w:r>
      <w:r>
        <w:rPr>
          <w:sz w:val="21"/>
          <w:vertAlign w:val="baseline"/>
        </w:rPr>
        <w:t>safe,</w:t>
      </w:r>
      <w:r>
        <w:rPr>
          <w:spacing w:val="-12"/>
          <w:sz w:val="21"/>
          <w:vertAlign w:val="baseline"/>
        </w:rPr>
        <w:t> </w:t>
      </w:r>
      <w:r>
        <w:rPr>
          <w:sz w:val="21"/>
          <w:vertAlign w:val="baseline"/>
        </w:rPr>
        <w:t>affirming,</w:t>
      </w:r>
      <w:r>
        <w:rPr>
          <w:spacing w:val="-12"/>
          <w:sz w:val="21"/>
          <w:vertAlign w:val="baseline"/>
        </w:rPr>
        <w:t> </w:t>
      </w:r>
      <w:r>
        <w:rPr>
          <w:sz w:val="21"/>
          <w:vertAlign w:val="baseline"/>
        </w:rPr>
        <w:t>and</w:t>
      </w:r>
      <w:r>
        <w:rPr>
          <w:spacing w:val="-12"/>
          <w:sz w:val="21"/>
          <w:vertAlign w:val="baseline"/>
        </w:rPr>
        <w:t> </w:t>
      </w:r>
      <w:r>
        <w:rPr>
          <w:sz w:val="21"/>
          <w:vertAlign w:val="baseline"/>
        </w:rPr>
        <w:t>discrimination-free</w:t>
      </w:r>
      <w:r>
        <w:rPr>
          <w:spacing w:val="-12"/>
          <w:sz w:val="21"/>
          <w:vertAlign w:val="baseline"/>
        </w:rPr>
        <w:t> </w:t>
      </w:r>
      <w:r>
        <w:rPr>
          <w:sz w:val="21"/>
          <w:vertAlign w:val="baseline"/>
        </w:rPr>
        <w:t>environment</w:t>
      </w:r>
      <w:r>
        <w:rPr>
          <w:spacing w:val="-12"/>
          <w:sz w:val="21"/>
          <w:vertAlign w:val="baseline"/>
        </w:rPr>
        <w:t> </w:t>
      </w:r>
      <w:r>
        <w:rPr>
          <w:sz w:val="21"/>
          <w:vertAlign w:val="baseline"/>
        </w:rPr>
        <w:t>for</w:t>
      </w:r>
      <w:r>
        <w:rPr>
          <w:spacing w:val="-11"/>
          <w:sz w:val="21"/>
          <w:vertAlign w:val="baseline"/>
        </w:rPr>
        <w:t> </w:t>
      </w:r>
      <w:r>
        <w:rPr>
          <w:sz w:val="21"/>
          <w:vertAlign w:val="baseline"/>
        </w:rPr>
        <w:t>LGBTQIA+</w:t>
      </w:r>
      <w:r>
        <w:rPr>
          <w:spacing w:val="-12"/>
          <w:sz w:val="21"/>
          <w:vertAlign w:val="baseline"/>
        </w:rPr>
        <w:t> </w:t>
      </w:r>
      <w:r>
        <w:rPr>
          <w:sz w:val="21"/>
          <w:vertAlign w:val="baseline"/>
        </w:rPr>
        <w:t>individuals,</w:t>
      </w:r>
      <w:r>
        <w:rPr>
          <w:spacing w:val="-12"/>
          <w:sz w:val="21"/>
          <w:vertAlign w:val="baseline"/>
        </w:rPr>
        <w:t> </w:t>
      </w:r>
      <w:r>
        <w:rPr>
          <w:sz w:val="21"/>
          <w:vertAlign w:val="baseline"/>
        </w:rPr>
        <w:t>including</w:t>
      </w:r>
      <w:r>
        <w:rPr>
          <w:spacing w:val="-12"/>
          <w:sz w:val="21"/>
          <w:vertAlign w:val="baseline"/>
        </w:rPr>
        <w:t> </w:t>
      </w:r>
      <w:r>
        <w:rPr>
          <w:sz w:val="21"/>
          <w:vertAlign w:val="baseline"/>
        </w:rPr>
        <w:t>children, </w:t>
      </w:r>
      <w:bookmarkStart w:name="_bookmark480" w:id="714"/>
      <w:bookmarkEnd w:id="714"/>
      <w:r>
        <w:rPr>
          <w:sz w:val="21"/>
          <w:vertAlign w:val="baseline"/>
        </w:rPr>
        <w:t>y</w:t>
      </w:r>
      <w:r>
        <w:rPr>
          <w:sz w:val="21"/>
          <w:vertAlign w:val="baseline"/>
        </w:rPr>
        <w:t>outh, parents, caregivers, and foster parents.</w:t>
      </w:r>
      <w:hyperlink w:history="true" w:anchor="_bookmark463">
        <w:r>
          <w:rPr>
            <w:sz w:val="21"/>
            <w:vertAlign w:val="superscript"/>
          </w:rPr>
          <w:t>147</w:t>
        </w:r>
      </w:hyperlink>
      <w:r>
        <w:rPr>
          <w:sz w:val="21"/>
          <w:vertAlign w:val="baseline"/>
        </w:rPr>
        <w:t> The policy emphasizes respect for everyone’s chosen </w:t>
      </w:r>
      <w:bookmarkStart w:name="_bookmark481" w:id="715"/>
      <w:bookmarkEnd w:id="715"/>
      <w:r>
        <w:rPr>
          <w:sz w:val="21"/>
          <w:vertAlign w:val="baseline"/>
        </w:rPr>
        <w:t>nam</w:t>
      </w:r>
      <w:r>
        <w:rPr>
          <w:sz w:val="21"/>
          <w:vertAlign w:val="baseline"/>
        </w:rPr>
        <w:t>es and pronouns, ensuring these are used in all interactions and documentation without requiring a </w:t>
      </w:r>
      <w:bookmarkStart w:name="_bookmark482" w:id="716"/>
      <w:bookmarkEnd w:id="716"/>
      <w:r>
        <w:rPr>
          <w:sz w:val="21"/>
          <w:vertAlign w:val="baseline"/>
        </w:rPr>
        <w:t>co</w:t>
      </w:r>
      <w:r>
        <w:rPr>
          <w:sz w:val="21"/>
          <w:vertAlign w:val="baseline"/>
        </w:rPr>
        <w:t>urt-ordered name or gender change.</w:t>
      </w:r>
      <w:hyperlink w:history="true" w:anchor="_bookmark464">
        <w:r>
          <w:rPr>
            <w:sz w:val="21"/>
            <w:vertAlign w:val="superscript"/>
          </w:rPr>
          <w:t>148</w:t>
        </w:r>
      </w:hyperlink>
      <w:r>
        <w:rPr>
          <w:spacing w:val="-2"/>
          <w:sz w:val="21"/>
          <w:vertAlign w:val="baseline"/>
        </w:rPr>
        <w:t> </w:t>
      </w:r>
      <w:r>
        <w:rPr>
          <w:sz w:val="21"/>
          <w:vertAlign w:val="baseline"/>
        </w:rPr>
        <w:t>The guidelines also support the expression of gender identity through clothing and other means, providing resources like gender-affirming clothing to transgender and gender-diverse youth.</w:t>
      </w:r>
      <w:r>
        <w:rPr>
          <w:spacing w:val="-8"/>
          <w:sz w:val="21"/>
          <w:vertAlign w:val="baseline"/>
        </w:rPr>
        <w:t> </w:t>
      </w:r>
      <w:hyperlink w:history="true" w:anchor="_bookmark465">
        <w:r>
          <w:rPr>
            <w:sz w:val="21"/>
            <w:vertAlign w:val="superscript"/>
          </w:rPr>
          <w:t>149</w:t>
        </w:r>
      </w:hyperlink>
      <w:r>
        <w:rPr>
          <w:sz w:val="21"/>
          <w:vertAlign w:val="baseline"/>
        </w:rPr>
        <w:t> Additionally, the policy prohibits any attempts to change a youth's sexual </w:t>
      </w:r>
      <w:bookmarkStart w:name="_bookmark483" w:id="717"/>
      <w:bookmarkEnd w:id="717"/>
      <w:r>
        <w:rPr>
          <w:sz w:val="21"/>
          <w:vertAlign w:val="baseline"/>
        </w:rPr>
        <w:t>o</w:t>
      </w:r>
      <w:r>
        <w:rPr>
          <w:sz w:val="21"/>
          <w:vertAlign w:val="baseline"/>
        </w:rPr>
        <w:t>rientation</w:t>
      </w:r>
      <w:r>
        <w:rPr>
          <w:spacing w:val="-5"/>
          <w:sz w:val="21"/>
          <w:vertAlign w:val="baseline"/>
        </w:rPr>
        <w:t> </w:t>
      </w:r>
      <w:r>
        <w:rPr>
          <w:sz w:val="21"/>
          <w:vertAlign w:val="baseline"/>
        </w:rPr>
        <w:t>or</w:t>
      </w:r>
      <w:r>
        <w:rPr>
          <w:spacing w:val="-5"/>
          <w:sz w:val="21"/>
          <w:vertAlign w:val="baseline"/>
        </w:rPr>
        <w:t> </w:t>
      </w:r>
      <w:r>
        <w:rPr>
          <w:sz w:val="21"/>
          <w:vertAlign w:val="baseline"/>
        </w:rPr>
        <w:t>gender</w:t>
      </w:r>
      <w:r>
        <w:rPr>
          <w:spacing w:val="-5"/>
          <w:sz w:val="21"/>
          <w:vertAlign w:val="baseline"/>
        </w:rPr>
        <w:t> </w:t>
      </w:r>
      <w:r>
        <w:rPr>
          <w:sz w:val="21"/>
          <w:vertAlign w:val="baseline"/>
        </w:rPr>
        <w:t>identity</w:t>
      </w:r>
      <w:r>
        <w:rPr>
          <w:spacing w:val="-6"/>
          <w:sz w:val="21"/>
          <w:vertAlign w:val="baseline"/>
        </w:rPr>
        <w:t> </w:t>
      </w:r>
      <w:r>
        <w:rPr>
          <w:sz w:val="21"/>
          <w:vertAlign w:val="baseline"/>
        </w:rPr>
        <w:t>through</w:t>
      </w:r>
      <w:r>
        <w:rPr>
          <w:spacing w:val="-5"/>
          <w:sz w:val="21"/>
          <w:vertAlign w:val="baseline"/>
        </w:rPr>
        <w:t> </w:t>
      </w:r>
      <w:r>
        <w:rPr>
          <w:sz w:val="21"/>
          <w:vertAlign w:val="baseline"/>
        </w:rPr>
        <w:t>so-called</w:t>
      </w:r>
      <w:r>
        <w:rPr>
          <w:spacing w:val="-5"/>
          <w:sz w:val="21"/>
          <w:vertAlign w:val="baseline"/>
        </w:rPr>
        <w:t> </w:t>
      </w:r>
      <w:r>
        <w:rPr>
          <w:sz w:val="21"/>
          <w:vertAlign w:val="baseline"/>
        </w:rPr>
        <w:t>"sexual</w:t>
      </w:r>
      <w:r>
        <w:rPr>
          <w:spacing w:val="-5"/>
          <w:sz w:val="21"/>
          <w:vertAlign w:val="baseline"/>
        </w:rPr>
        <w:t> </w:t>
      </w:r>
      <w:r>
        <w:rPr>
          <w:sz w:val="21"/>
          <w:vertAlign w:val="baseline"/>
        </w:rPr>
        <w:t>orientation</w:t>
      </w:r>
      <w:r>
        <w:rPr>
          <w:spacing w:val="-5"/>
          <w:sz w:val="21"/>
          <w:vertAlign w:val="baseline"/>
        </w:rPr>
        <w:t> </w:t>
      </w:r>
      <w:r>
        <w:rPr>
          <w:sz w:val="21"/>
          <w:vertAlign w:val="baseline"/>
        </w:rPr>
        <w:t>and</w:t>
      </w:r>
      <w:r>
        <w:rPr>
          <w:spacing w:val="-5"/>
          <w:sz w:val="21"/>
          <w:vertAlign w:val="baseline"/>
        </w:rPr>
        <w:t> </w:t>
      </w:r>
      <w:r>
        <w:rPr>
          <w:sz w:val="21"/>
          <w:vertAlign w:val="baseline"/>
        </w:rPr>
        <w:t>gender</w:t>
      </w:r>
      <w:r>
        <w:rPr>
          <w:spacing w:val="-5"/>
          <w:sz w:val="21"/>
          <w:vertAlign w:val="baseline"/>
        </w:rPr>
        <w:t> </w:t>
      </w:r>
      <w:r>
        <w:rPr>
          <w:sz w:val="21"/>
          <w:vertAlign w:val="baseline"/>
        </w:rPr>
        <w:t>identity</w:t>
      </w:r>
      <w:r>
        <w:rPr>
          <w:spacing w:val="-6"/>
          <w:sz w:val="21"/>
          <w:vertAlign w:val="baseline"/>
        </w:rPr>
        <w:t> </w:t>
      </w:r>
      <w:r>
        <w:rPr>
          <w:sz w:val="21"/>
          <w:vertAlign w:val="baseline"/>
        </w:rPr>
        <w:t>change</w:t>
      </w:r>
      <w:r>
        <w:rPr>
          <w:spacing w:val="-5"/>
          <w:sz w:val="21"/>
          <w:vertAlign w:val="baseline"/>
        </w:rPr>
        <w:t> </w:t>
      </w:r>
      <w:r>
        <w:rPr>
          <w:sz w:val="21"/>
          <w:vertAlign w:val="baseline"/>
        </w:rPr>
        <w:t>efforts''</w:t>
      </w:r>
      <w:r>
        <w:rPr>
          <w:spacing w:val="-5"/>
          <w:sz w:val="21"/>
          <w:vertAlign w:val="baseline"/>
        </w:rPr>
        <w:t> </w:t>
      </w:r>
      <w:r>
        <w:rPr>
          <w:sz w:val="21"/>
          <w:vertAlign w:val="baseline"/>
        </w:rPr>
        <w:t>by </w:t>
      </w:r>
      <w:bookmarkStart w:name="_bookmark484" w:id="718"/>
      <w:bookmarkEnd w:id="718"/>
      <w:r>
        <w:rPr>
          <w:sz w:val="21"/>
          <w:vertAlign w:val="baseline"/>
        </w:rPr>
        <w:t>h</w:t>
      </w:r>
      <w:r>
        <w:rPr>
          <w:sz w:val="21"/>
          <w:vertAlign w:val="baseline"/>
        </w:rPr>
        <w:t>ealthcare providers.</w:t>
      </w:r>
      <w:hyperlink w:history="true" w:anchor="_bookmark466">
        <w:r>
          <w:rPr>
            <w:sz w:val="21"/>
            <w:vertAlign w:val="superscript"/>
          </w:rPr>
          <w:t>150</w:t>
        </w:r>
      </w:hyperlink>
      <w:r>
        <w:rPr>
          <w:spacing w:val="-2"/>
          <w:sz w:val="21"/>
          <w:vertAlign w:val="baseline"/>
        </w:rPr>
        <w:t> </w:t>
      </w:r>
      <w:r>
        <w:rPr>
          <w:sz w:val="21"/>
          <w:vertAlign w:val="baseline"/>
        </w:rPr>
        <w:t>And in January 2023, DCF welcomed its inaugural Director of LGBTQIA+ Services. </w:t>
      </w:r>
      <w:bookmarkStart w:name="_bookmark485" w:id="719"/>
      <w:bookmarkEnd w:id="719"/>
      <w:r>
        <w:rPr>
          <w:sz w:val="21"/>
          <w:vertAlign w:val="baseline"/>
        </w:rPr>
      </w:r>
      <w:bookmarkStart w:name="_bookmark486" w:id="720"/>
      <w:bookmarkEnd w:id="720"/>
      <w:r>
        <w:rPr>
          <w:sz w:val="21"/>
          <w:vertAlign w:val="baseline"/>
        </w:rPr>
        <w:t>T</w:t>
      </w:r>
      <w:r>
        <w:rPr>
          <w:sz w:val="21"/>
          <w:vertAlign w:val="baseline"/>
        </w:rPr>
        <w:t>his new role is dedicated to leading efforts that enhance the support for children and youth under DCF’s care, focusing on equipping their staff with the necessary resources to create a secure and inclusive environment for gender-expansive young individuals.</w:t>
      </w:r>
      <w:hyperlink w:history="true" w:anchor="_bookmark467">
        <w:r>
          <w:rPr>
            <w:sz w:val="21"/>
            <w:vertAlign w:val="superscript"/>
          </w:rPr>
          <w:t>151</w:t>
        </w:r>
      </w:hyperlink>
    </w:p>
    <w:p>
      <w:pPr>
        <w:spacing w:line="276" w:lineRule="auto" w:before="239"/>
        <w:ind w:left="463" w:right="240" w:firstLine="0"/>
        <w:jc w:val="both"/>
        <w:rPr>
          <w:sz w:val="21"/>
        </w:rPr>
      </w:pPr>
      <w:bookmarkStart w:name="_bookmark487" w:id="721"/>
      <w:bookmarkEnd w:id="721"/>
      <w:r>
        <w:rPr/>
      </w:r>
      <w:bookmarkStart w:name="_bookmark488" w:id="722"/>
      <w:bookmarkEnd w:id="722"/>
      <w:r>
        <w:rPr/>
      </w:r>
      <w:r>
        <w:rPr>
          <w:sz w:val="21"/>
        </w:rPr>
        <w:t>In January 2022, the Massachusetts Trial Court/Juvenile Court Department received a $1.5 million Federal Grant from the Office of Juvenile Justice and Delinquency Prevention (OJJDP) for a Family Drug Court Program.</w:t>
      </w:r>
      <w:hyperlink w:history="true" w:anchor="_bookmark468">
        <w:r>
          <w:rPr>
            <w:sz w:val="21"/>
            <w:vertAlign w:val="superscript"/>
          </w:rPr>
          <w:t>152</w:t>
        </w:r>
      </w:hyperlink>
      <w:r>
        <w:rPr>
          <w:spacing w:val="-2"/>
          <w:sz w:val="21"/>
          <w:vertAlign w:val="baseline"/>
        </w:rPr>
        <w:t> </w:t>
      </w:r>
      <w:r>
        <w:rPr>
          <w:sz w:val="21"/>
          <w:vertAlign w:val="baseline"/>
        </w:rPr>
        <w:t>This</w:t>
      </w:r>
      <w:r>
        <w:rPr>
          <w:spacing w:val="-7"/>
          <w:sz w:val="21"/>
          <w:vertAlign w:val="baseline"/>
        </w:rPr>
        <w:t> </w:t>
      </w:r>
      <w:r>
        <w:rPr>
          <w:sz w:val="21"/>
          <w:vertAlign w:val="baseline"/>
        </w:rPr>
        <w:t>initiative,</w:t>
      </w:r>
      <w:r>
        <w:rPr>
          <w:spacing w:val="-8"/>
          <w:sz w:val="21"/>
          <w:vertAlign w:val="baseline"/>
        </w:rPr>
        <w:t> </w:t>
      </w:r>
      <w:r>
        <w:rPr>
          <w:sz w:val="21"/>
          <w:vertAlign w:val="baseline"/>
        </w:rPr>
        <w:t>which</w:t>
      </w:r>
      <w:r>
        <w:rPr>
          <w:spacing w:val="-8"/>
          <w:sz w:val="21"/>
          <w:vertAlign w:val="baseline"/>
        </w:rPr>
        <w:t> </w:t>
      </w:r>
      <w:r>
        <w:rPr>
          <w:sz w:val="21"/>
          <w:vertAlign w:val="baseline"/>
        </w:rPr>
        <w:t>is</w:t>
      </w:r>
      <w:r>
        <w:rPr>
          <w:spacing w:val="-9"/>
          <w:sz w:val="21"/>
          <w:vertAlign w:val="baseline"/>
        </w:rPr>
        <w:t> </w:t>
      </w:r>
      <w:r>
        <w:rPr>
          <w:sz w:val="21"/>
          <w:vertAlign w:val="baseline"/>
        </w:rPr>
        <w:t>a</w:t>
      </w:r>
      <w:r>
        <w:rPr>
          <w:spacing w:val="-8"/>
          <w:sz w:val="21"/>
          <w:vertAlign w:val="baseline"/>
        </w:rPr>
        <w:t> </w:t>
      </w:r>
      <w:r>
        <w:rPr>
          <w:sz w:val="21"/>
          <w:vertAlign w:val="baseline"/>
        </w:rPr>
        <w:t>collaboration</w:t>
      </w:r>
      <w:r>
        <w:rPr>
          <w:spacing w:val="-8"/>
          <w:sz w:val="21"/>
          <w:vertAlign w:val="baseline"/>
        </w:rPr>
        <w:t> </w:t>
      </w:r>
      <w:r>
        <w:rPr>
          <w:sz w:val="21"/>
          <w:vertAlign w:val="baseline"/>
        </w:rPr>
        <w:t>involving</w:t>
      </w:r>
      <w:r>
        <w:rPr>
          <w:spacing w:val="-8"/>
          <w:sz w:val="21"/>
          <w:vertAlign w:val="baseline"/>
        </w:rPr>
        <w:t> </w:t>
      </w:r>
      <w:r>
        <w:rPr>
          <w:sz w:val="21"/>
          <w:vertAlign w:val="baseline"/>
        </w:rPr>
        <w:t>the</w:t>
      </w:r>
      <w:r>
        <w:rPr>
          <w:spacing w:val="-8"/>
          <w:sz w:val="21"/>
          <w:vertAlign w:val="baseline"/>
        </w:rPr>
        <w:t> </w:t>
      </w:r>
      <w:r>
        <w:rPr>
          <w:sz w:val="21"/>
          <w:vertAlign w:val="baseline"/>
        </w:rPr>
        <w:t>Juvenile</w:t>
      </w:r>
      <w:r>
        <w:rPr>
          <w:spacing w:val="-8"/>
          <w:sz w:val="21"/>
          <w:vertAlign w:val="baseline"/>
        </w:rPr>
        <w:t> </w:t>
      </w:r>
      <w:r>
        <w:rPr>
          <w:sz w:val="21"/>
          <w:vertAlign w:val="baseline"/>
        </w:rPr>
        <w:t>Court</w:t>
      </w:r>
      <w:r>
        <w:rPr>
          <w:spacing w:val="-7"/>
          <w:sz w:val="21"/>
          <w:vertAlign w:val="baseline"/>
        </w:rPr>
        <w:t> </w:t>
      </w:r>
      <w:r>
        <w:rPr>
          <w:sz w:val="21"/>
          <w:vertAlign w:val="baseline"/>
        </w:rPr>
        <w:t>and</w:t>
      </w:r>
      <w:r>
        <w:rPr>
          <w:spacing w:val="-8"/>
          <w:sz w:val="21"/>
          <w:vertAlign w:val="baseline"/>
        </w:rPr>
        <w:t> </w:t>
      </w:r>
      <w:r>
        <w:rPr>
          <w:sz w:val="21"/>
          <w:vertAlign w:val="baseline"/>
        </w:rPr>
        <w:t>leadership</w:t>
      </w:r>
      <w:r>
        <w:rPr>
          <w:spacing w:val="-8"/>
          <w:sz w:val="21"/>
          <w:vertAlign w:val="baseline"/>
        </w:rPr>
        <w:t> </w:t>
      </w:r>
      <w:r>
        <w:rPr>
          <w:sz w:val="21"/>
          <w:vertAlign w:val="baseline"/>
        </w:rPr>
        <w:t>from</w:t>
      </w:r>
      <w:r>
        <w:rPr>
          <w:spacing w:val="-7"/>
          <w:sz w:val="21"/>
          <w:vertAlign w:val="baseline"/>
        </w:rPr>
        <w:t> </w:t>
      </w:r>
      <w:r>
        <w:rPr>
          <w:sz w:val="21"/>
          <w:vertAlign w:val="baseline"/>
        </w:rPr>
        <w:t>various </w:t>
      </w:r>
      <w:bookmarkStart w:name="_bookmark489" w:id="723"/>
      <w:bookmarkEnd w:id="723"/>
      <w:r>
        <w:rPr>
          <w:sz w:val="21"/>
          <w:vertAlign w:val="baseline"/>
        </w:rPr>
      </w:r>
      <w:bookmarkStart w:name="_bookmark490" w:id="724"/>
      <w:bookmarkEnd w:id="724"/>
      <w:r>
        <w:rPr>
          <w:sz w:val="21"/>
          <w:vertAlign w:val="baseline"/>
        </w:rPr>
        <w:t>s</w:t>
      </w:r>
      <w:r>
        <w:rPr>
          <w:sz w:val="21"/>
          <w:vertAlign w:val="baseline"/>
        </w:rPr>
        <w:t>tate departments including DCF, Massachusetts Probation Service, DPH, and DMH, aims to carry out a </w:t>
      </w:r>
      <w:bookmarkStart w:name="_bookmark491" w:id="725"/>
      <w:bookmarkEnd w:id="725"/>
      <w:r>
        <w:rPr>
          <w:sz w:val="21"/>
          <w:vertAlign w:val="baseline"/>
        </w:rPr>
        <w:t>s</w:t>
      </w:r>
      <w:r>
        <w:rPr>
          <w:sz w:val="21"/>
          <w:vertAlign w:val="baseline"/>
        </w:rPr>
        <w:t>tatewide needs assessment and establish 8 family treatment court sessions over three years. </w:t>
      </w:r>
      <w:hyperlink w:history="true" w:anchor="_bookmark469">
        <w:r>
          <w:rPr>
            <w:sz w:val="21"/>
            <w:vertAlign w:val="superscript"/>
          </w:rPr>
          <w:t>153</w:t>
        </w:r>
      </w:hyperlink>
      <w:r>
        <w:rPr>
          <w:sz w:val="21"/>
          <w:vertAlign w:val="baseline"/>
        </w:rPr>
        <w:t> Additionally, this program aligns with the "Upstream" initiative that began in April 2021, focusing on </w:t>
      </w:r>
      <w:bookmarkStart w:name="_bookmark492" w:id="726"/>
      <w:bookmarkEnd w:id="726"/>
      <w:r>
        <w:rPr>
          <w:sz w:val="21"/>
          <w:vertAlign w:val="baseline"/>
        </w:rPr>
      </w:r>
      <w:bookmarkStart w:name="_bookmark493" w:id="727"/>
      <w:bookmarkEnd w:id="727"/>
      <w:r>
        <w:rPr>
          <w:sz w:val="21"/>
          <w:vertAlign w:val="baseline"/>
        </w:rPr>
        <w:t>mapp</w:t>
      </w:r>
      <w:r>
        <w:rPr>
          <w:sz w:val="21"/>
          <w:vertAlign w:val="baseline"/>
        </w:rPr>
        <w:t>ing child welfare resources to identify gaps and create action plans for better collaboration across systems. This initiative has already seen a summit in Hampden County, bringing together various </w:t>
      </w:r>
      <w:r>
        <w:rPr>
          <w:spacing w:val="-2"/>
          <w:sz w:val="21"/>
          <w:vertAlign w:val="baseline"/>
        </w:rPr>
        <w:t>stakeholders.</w:t>
      </w:r>
    </w:p>
    <w:p>
      <w:pPr>
        <w:spacing w:line="276" w:lineRule="auto" w:before="240"/>
        <w:ind w:left="463" w:right="238" w:firstLine="0"/>
        <w:jc w:val="both"/>
        <w:rPr>
          <w:sz w:val="21"/>
        </w:rPr>
      </w:pPr>
      <w:bookmarkStart w:name="_bookmark494" w:id="728"/>
      <w:bookmarkEnd w:id="728"/>
      <w:r>
        <w:rPr/>
      </w:r>
      <w:bookmarkStart w:name="_bookmark495" w:id="729"/>
      <w:bookmarkEnd w:id="729"/>
      <w:r>
        <w:rPr/>
      </w:r>
      <w:r>
        <w:rPr>
          <w:sz w:val="21"/>
        </w:rPr>
        <w:t>The Commonwealth of Massachusetts has implemented a new policy to provide no-cost phone calls for incarcerated</w:t>
      </w:r>
      <w:r>
        <w:rPr>
          <w:spacing w:val="-5"/>
          <w:sz w:val="21"/>
        </w:rPr>
        <w:t> </w:t>
      </w:r>
      <w:r>
        <w:rPr>
          <w:sz w:val="21"/>
        </w:rPr>
        <w:t>individuals</w:t>
      </w:r>
      <w:r>
        <w:rPr>
          <w:spacing w:val="-6"/>
          <w:sz w:val="21"/>
        </w:rPr>
        <w:t> </w:t>
      </w:r>
      <w:r>
        <w:rPr>
          <w:sz w:val="21"/>
        </w:rPr>
        <w:t>across</w:t>
      </w:r>
      <w:r>
        <w:rPr>
          <w:spacing w:val="-6"/>
          <w:sz w:val="21"/>
        </w:rPr>
        <w:t> </w:t>
      </w:r>
      <w:r>
        <w:rPr>
          <w:sz w:val="21"/>
        </w:rPr>
        <w:t>state</w:t>
      </w:r>
      <w:r>
        <w:rPr>
          <w:spacing w:val="-5"/>
          <w:sz w:val="21"/>
        </w:rPr>
        <w:t> </w:t>
      </w:r>
      <w:r>
        <w:rPr>
          <w:sz w:val="21"/>
        </w:rPr>
        <w:t>and</w:t>
      </w:r>
      <w:r>
        <w:rPr>
          <w:spacing w:val="-7"/>
          <w:sz w:val="21"/>
        </w:rPr>
        <w:t> </w:t>
      </w:r>
      <w:r>
        <w:rPr>
          <w:sz w:val="21"/>
        </w:rPr>
        <w:t>county</w:t>
      </w:r>
      <w:r>
        <w:rPr>
          <w:spacing w:val="-6"/>
          <w:sz w:val="21"/>
        </w:rPr>
        <w:t> </w:t>
      </w:r>
      <w:r>
        <w:rPr>
          <w:sz w:val="21"/>
        </w:rPr>
        <w:t>correctional</w:t>
      </w:r>
      <w:r>
        <w:rPr>
          <w:spacing w:val="-5"/>
          <w:sz w:val="21"/>
        </w:rPr>
        <w:t> </w:t>
      </w:r>
      <w:r>
        <w:rPr>
          <w:sz w:val="21"/>
        </w:rPr>
        <w:t>facilities,</w:t>
      </w:r>
      <w:r>
        <w:rPr>
          <w:spacing w:val="-5"/>
          <w:sz w:val="21"/>
        </w:rPr>
        <w:t> </w:t>
      </w:r>
      <w:r>
        <w:rPr>
          <w:sz w:val="21"/>
        </w:rPr>
        <w:t>which</w:t>
      </w:r>
      <w:r>
        <w:rPr>
          <w:spacing w:val="-5"/>
          <w:sz w:val="21"/>
        </w:rPr>
        <w:t> </w:t>
      </w:r>
      <w:r>
        <w:rPr>
          <w:sz w:val="21"/>
        </w:rPr>
        <w:t>came</w:t>
      </w:r>
      <w:r>
        <w:rPr>
          <w:spacing w:val="-7"/>
          <w:sz w:val="21"/>
        </w:rPr>
        <w:t> </w:t>
      </w:r>
      <w:r>
        <w:rPr>
          <w:sz w:val="21"/>
        </w:rPr>
        <w:t>into</w:t>
      </w:r>
      <w:r>
        <w:rPr>
          <w:spacing w:val="-6"/>
          <w:sz w:val="21"/>
        </w:rPr>
        <w:t> </w:t>
      </w:r>
      <w:r>
        <w:rPr>
          <w:sz w:val="21"/>
        </w:rPr>
        <w:t>effect</w:t>
      </w:r>
      <w:r>
        <w:rPr>
          <w:spacing w:val="-5"/>
          <w:sz w:val="21"/>
        </w:rPr>
        <w:t> </w:t>
      </w:r>
      <w:r>
        <w:rPr>
          <w:sz w:val="21"/>
        </w:rPr>
        <w:t>December</w:t>
      </w:r>
      <w:r>
        <w:rPr>
          <w:spacing w:val="-5"/>
          <w:sz w:val="21"/>
        </w:rPr>
        <w:t> </w:t>
      </w:r>
      <w:r>
        <w:rPr>
          <w:sz w:val="21"/>
        </w:rPr>
        <w:t>1,</w:t>
      </w:r>
    </w:p>
    <w:p>
      <w:pPr>
        <w:spacing w:after="0" w:line="276" w:lineRule="auto"/>
        <w:jc w:val="both"/>
        <w:rPr>
          <w:sz w:val="21"/>
        </w:rPr>
        <w:sectPr>
          <w:pgSz w:w="12240" w:h="15840"/>
          <w:pgMar w:header="763" w:footer="1041" w:top="1360" w:bottom="1240" w:left="1120" w:right="1340"/>
        </w:sectPr>
      </w:pPr>
    </w:p>
    <w:p>
      <w:pPr>
        <w:spacing w:line="276" w:lineRule="auto" w:before="65"/>
        <w:ind w:left="464" w:right="238" w:hanging="1"/>
        <w:jc w:val="both"/>
        <w:rPr>
          <w:sz w:val="21"/>
        </w:rPr>
      </w:pPr>
      <w:r>
        <w:rPr>
          <w:sz w:val="21"/>
        </w:rPr>
        <w:t>2023.</w:t>
      </w:r>
      <w:hyperlink w:history="true" w:anchor="_bookmark470">
        <w:r>
          <w:rPr>
            <w:sz w:val="21"/>
            <w:vertAlign w:val="superscript"/>
          </w:rPr>
          <w:t>154</w:t>
        </w:r>
      </w:hyperlink>
      <w:r>
        <w:rPr>
          <w:spacing w:val="-2"/>
          <w:sz w:val="21"/>
          <w:vertAlign w:val="baseline"/>
        </w:rPr>
        <w:t> </w:t>
      </w:r>
      <w:r>
        <w:rPr>
          <w:sz w:val="21"/>
          <w:vertAlign w:val="baseline"/>
        </w:rPr>
        <w:t>This</w:t>
      </w:r>
      <w:r>
        <w:rPr>
          <w:spacing w:val="-4"/>
          <w:sz w:val="21"/>
          <w:vertAlign w:val="baseline"/>
        </w:rPr>
        <w:t> </w:t>
      </w:r>
      <w:r>
        <w:rPr>
          <w:sz w:val="21"/>
          <w:vertAlign w:val="baseline"/>
        </w:rPr>
        <w:t>policy</w:t>
      </w:r>
      <w:r>
        <w:rPr>
          <w:spacing w:val="-3"/>
          <w:sz w:val="21"/>
          <w:vertAlign w:val="baseline"/>
        </w:rPr>
        <w:t> </w:t>
      </w:r>
      <w:r>
        <w:rPr>
          <w:sz w:val="21"/>
          <w:vertAlign w:val="baseline"/>
        </w:rPr>
        <w:t>is</w:t>
      </w:r>
      <w:r>
        <w:rPr>
          <w:spacing w:val="-4"/>
          <w:sz w:val="21"/>
          <w:vertAlign w:val="baseline"/>
        </w:rPr>
        <w:t> </w:t>
      </w:r>
      <w:r>
        <w:rPr>
          <w:sz w:val="21"/>
          <w:vertAlign w:val="baseline"/>
        </w:rPr>
        <w:t>a</w:t>
      </w:r>
      <w:r>
        <w:rPr>
          <w:spacing w:val="-3"/>
          <w:sz w:val="21"/>
          <w:vertAlign w:val="baseline"/>
        </w:rPr>
        <w:t> </w:t>
      </w:r>
      <w:r>
        <w:rPr>
          <w:sz w:val="21"/>
          <w:vertAlign w:val="baseline"/>
        </w:rPr>
        <w:t>result</w:t>
      </w:r>
      <w:r>
        <w:rPr>
          <w:spacing w:val="-3"/>
          <w:sz w:val="21"/>
          <w:vertAlign w:val="baseline"/>
        </w:rPr>
        <w:t> </w:t>
      </w:r>
      <w:r>
        <w:rPr>
          <w:sz w:val="21"/>
          <w:vertAlign w:val="baseline"/>
        </w:rPr>
        <w:t>of</w:t>
      </w:r>
      <w:r>
        <w:rPr>
          <w:spacing w:val="-4"/>
          <w:sz w:val="21"/>
          <w:vertAlign w:val="baseline"/>
        </w:rPr>
        <w:t> </w:t>
      </w:r>
      <w:r>
        <w:rPr>
          <w:sz w:val="21"/>
          <w:vertAlign w:val="baseline"/>
        </w:rPr>
        <w:t>legislation</w:t>
      </w:r>
      <w:r>
        <w:rPr>
          <w:spacing w:val="-3"/>
          <w:sz w:val="21"/>
          <w:vertAlign w:val="baseline"/>
        </w:rPr>
        <w:t> </w:t>
      </w:r>
      <w:r>
        <w:rPr>
          <w:sz w:val="21"/>
          <w:vertAlign w:val="baseline"/>
        </w:rPr>
        <w:t>signed</w:t>
      </w:r>
      <w:r>
        <w:rPr>
          <w:spacing w:val="-3"/>
          <w:sz w:val="21"/>
          <w:vertAlign w:val="baseline"/>
        </w:rPr>
        <w:t> </w:t>
      </w:r>
      <w:r>
        <w:rPr>
          <w:sz w:val="21"/>
          <w:vertAlign w:val="baseline"/>
        </w:rPr>
        <w:t>by</w:t>
      </w:r>
      <w:r>
        <w:rPr>
          <w:spacing w:val="-3"/>
          <w:sz w:val="21"/>
          <w:vertAlign w:val="baseline"/>
        </w:rPr>
        <w:t> </w:t>
      </w:r>
      <w:r>
        <w:rPr>
          <w:sz w:val="21"/>
          <w:vertAlign w:val="baseline"/>
        </w:rPr>
        <w:t>Governor</w:t>
      </w:r>
      <w:r>
        <w:rPr>
          <w:spacing w:val="-3"/>
          <w:sz w:val="21"/>
          <w:vertAlign w:val="baseline"/>
        </w:rPr>
        <w:t> </w:t>
      </w:r>
      <w:r>
        <w:rPr>
          <w:sz w:val="21"/>
          <w:vertAlign w:val="baseline"/>
        </w:rPr>
        <w:t>Maura</w:t>
      </w:r>
      <w:r>
        <w:rPr>
          <w:spacing w:val="-3"/>
          <w:sz w:val="21"/>
          <w:vertAlign w:val="baseline"/>
        </w:rPr>
        <w:t> </w:t>
      </w:r>
      <w:r>
        <w:rPr>
          <w:sz w:val="21"/>
          <w:vertAlign w:val="baseline"/>
        </w:rPr>
        <w:t>Healey,</w:t>
      </w:r>
      <w:r>
        <w:rPr>
          <w:spacing w:val="-3"/>
          <w:sz w:val="21"/>
          <w:vertAlign w:val="baseline"/>
        </w:rPr>
        <w:t> </w:t>
      </w:r>
      <w:r>
        <w:rPr>
          <w:sz w:val="21"/>
          <w:vertAlign w:val="baseline"/>
        </w:rPr>
        <w:t>aimed</w:t>
      </w:r>
      <w:r>
        <w:rPr>
          <w:spacing w:val="-4"/>
          <w:sz w:val="21"/>
          <w:vertAlign w:val="baseline"/>
        </w:rPr>
        <w:t> </w:t>
      </w:r>
      <w:r>
        <w:rPr>
          <w:sz w:val="21"/>
          <w:vertAlign w:val="baseline"/>
        </w:rPr>
        <w:t>at</w:t>
      </w:r>
      <w:r>
        <w:rPr>
          <w:spacing w:val="-3"/>
          <w:sz w:val="21"/>
          <w:vertAlign w:val="baseline"/>
        </w:rPr>
        <w:t> </w:t>
      </w:r>
      <w:r>
        <w:rPr>
          <w:sz w:val="21"/>
          <w:vertAlign w:val="baseline"/>
        </w:rPr>
        <w:t>ensuring</w:t>
      </w:r>
      <w:r>
        <w:rPr>
          <w:spacing w:val="-4"/>
          <w:sz w:val="21"/>
          <w:vertAlign w:val="baseline"/>
        </w:rPr>
        <w:t> </w:t>
      </w:r>
      <w:r>
        <w:rPr>
          <w:sz w:val="21"/>
          <w:vertAlign w:val="baseline"/>
        </w:rPr>
        <w:t>equitable </w:t>
      </w:r>
      <w:bookmarkStart w:name="_bookmark496" w:id="730"/>
      <w:bookmarkEnd w:id="730"/>
      <w:r>
        <w:rPr>
          <w:sz w:val="21"/>
          <w:vertAlign w:val="baseline"/>
        </w:rPr>
      </w:r>
      <w:bookmarkStart w:name="_bookmark497" w:id="731"/>
      <w:bookmarkEnd w:id="731"/>
      <w:r>
        <w:rPr>
          <w:sz w:val="21"/>
          <w:vertAlign w:val="baseline"/>
        </w:rPr>
        <w:t>acc</w:t>
      </w:r>
      <w:r>
        <w:rPr>
          <w:sz w:val="21"/>
          <w:vertAlign w:val="baseline"/>
        </w:rPr>
        <w:t>ess to communication for inmates and their families, recognizing the importance of maintaining </w:t>
      </w:r>
      <w:bookmarkStart w:name="_bookmark498" w:id="732"/>
      <w:bookmarkEnd w:id="732"/>
      <w:r>
        <w:rPr>
          <w:sz w:val="21"/>
          <w:vertAlign w:val="baseline"/>
        </w:rPr>
        <w:t>co</w:t>
      </w:r>
      <w:r>
        <w:rPr>
          <w:sz w:val="21"/>
          <w:vertAlign w:val="baseline"/>
        </w:rPr>
        <w:t>nnections to aid rehabilitation, reduce recidivism, and enhance community safety.</w:t>
      </w:r>
      <w:r>
        <w:rPr>
          <w:spacing w:val="-12"/>
          <w:sz w:val="21"/>
          <w:vertAlign w:val="baseline"/>
        </w:rPr>
        <w:t> </w:t>
      </w:r>
      <w:hyperlink w:history="true" w:anchor="_bookmark471">
        <w:r>
          <w:rPr>
            <w:sz w:val="21"/>
            <w:vertAlign w:val="superscript"/>
          </w:rPr>
          <w:t>155</w:t>
        </w:r>
      </w:hyperlink>
      <w:r>
        <w:rPr>
          <w:sz w:val="21"/>
          <w:vertAlign w:val="baseline"/>
        </w:rPr>
        <w:t> The initiative </w:t>
      </w:r>
      <w:bookmarkStart w:name="_bookmark499" w:id="733"/>
      <w:bookmarkEnd w:id="733"/>
      <w:r>
        <w:rPr>
          <w:sz w:val="21"/>
          <w:vertAlign w:val="baseline"/>
        </w:rPr>
      </w:r>
      <w:bookmarkStart w:name="_bookmark500" w:id="734"/>
      <w:bookmarkEnd w:id="734"/>
      <w:r>
        <w:rPr>
          <w:sz w:val="21"/>
          <w:vertAlign w:val="baseline"/>
        </w:rPr>
        <w:t>i</w:t>
      </w:r>
      <w:r>
        <w:rPr>
          <w:sz w:val="21"/>
          <w:vertAlign w:val="baseline"/>
        </w:rPr>
        <w:t>ncludes</w:t>
      </w:r>
      <w:r>
        <w:rPr>
          <w:spacing w:val="-10"/>
          <w:sz w:val="21"/>
          <w:vertAlign w:val="baseline"/>
        </w:rPr>
        <w:t> </w:t>
      </w:r>
      <w:r>
        <w:rPr>
          <w:sz w:val="21"/>
          <w:vertAlign w:val="baseline"/>
        </w:rPr>
        <w:t>no</w:t>
      </w:r>
      <w:r>
        <w:rPr>
          <w:spacing w:val="-10"/>
          <w:sz w:val="21"/>
          <w:vertAlign w:val="baseline"/>
        </w:rPr>
        <w:t> </w:t>
      </w:r>
      <w:r>
        <w:rPr>
          <w:sz w:val="21"/>
          <w:vertAlign w:val="baseline"/>
        </w:rPr>
        <w:t>limits</w:t>
      </w:r>
      <w:r>
        <w:rPr>
          <w:spacing w:val="-10"/>
          <w:sz w:val="21"/>
          <w:vertAlign w:val="baseline"/>
        </w:rPr>
        <w:t> </w:t>
      </w:r>
      <w:r>
        <w:rPr>
          <w:sz w:val="21"/>
          <w:vertAlign w:val="baseline"/>
        </w:rPr>
        <w:t>on</w:t>
      </w:r>
      <w:r>
        <w:rPr>
          <w:spacing w:val="-9"/>
          <w:sz w:val="21"/>
          <w:vertAlign w:val="baseline"/>
        </w:rPr>
        <w:t> </w:t>
      </w:r>
      <w:r>
        <w:rPr>
          <w:sz w:val="21"/>
          <w:vertAlign w:val="baseline"/>
        </w:rPr>
        <w:t>the</w:t>
      </w:r>
      <w:r>
        <w:rPr>
          <w:spacing w:val="-9"/>
          <w:sz w:val="21"/>
          <w:vertAlign w:val="baseline"/>
        </w:rPr>
        <w:t> </w:t>
      </w:r>
      <w:r>
        <w:rPr>
          <w:sz w:val="21"/>
          <w:vertAlign w:val="baseline"/>
        </w:rPr>
        <w:t>number</w:t>
      </w:r>
      <w:r>
        <w:rPr>
          <w:spacing w:val="-9"/>
          <w:sz w:val="21"/>
          <w:vertAlign w:val="baseline"/>
        </w:rPr>
        <w:t> </w:t>
      </w:r>
      <w:r>
        <w:rPr>
          <w:sz w:val="21"/>
          <w:vertAlign w:val="baseline"/>
        </w:rPr>
        <w:t>of</w:t>
      </w:r>
      <w:r>
        <w:rPr>
          <w:spacing w:val="-10"/>
          <w:sz w:val="21"/>
          <w:vertAlign w:val="baseline"/>
        </w:rPr>
        <w:t> </w:t>
      </w:r>
      <w:r>
        <w:rPr>
          <w:sz w:val="21"/>
          <w:vertAlign w:val="baseline"/>
        </w:rPr>
        <w:t>calls,</w:t>
      </w:r>
      <w:r>
        <w:rPr>
          <w:spacing w:val="-9"/>
          <w:sz w:val="21"/>
          <w:vertAlign w:val="baseline"/>
        </w:rPr>
        <w:t> </w:t>
      </w:r>
      <w:r>
        <w:rPr>
          <w:sz w:val="21"/>
          <w:vertAlign w:val="baseline"/>
        </w:rPr>
        <w:t>with</w:t>
      </w:r>
      <w:r>
        <w:rPr>
          <w:spacing w:val="-9"/>
          <w:sz w:val="21"/>
          <w:vertAlign w:val="baseline"/>
        </w:rPr>
        <w:t> </w:t>
      </w:r>
      <w:r>
        <w:rPr>
          <w:sz w:val="21"/>
          <w:vertAlign w:val="baseline"/>
        </w:rPr>
        <w:t>the</w:t>
      </w:r>
      <w:r>
        <w:rPr>
          <w:spacing w:val="-9"/>
          <w:sz w:val="21"/>
          <w:vertAlign w:val="baseline"/>
        </w:rPr>
        <w:t> </w:t>
      </w:r>
      <w:r>
        <w:rPr>
          <w:sz w:val="21"/>
          <w:vertAlign w:val="baseline"/>
        </w:rPr>
        <w:t>aim</w:t>
      </w:r>
      <w:r>
        <w:rPr>
          <w:spacing w:val="-10"/>
          <w:sz w:val="21"/>
          <w:vertAlign w:val="baseline"/>
        </w:rPr>
        <w:t> </w:t>
      </w:r>
      <w:r>
        <w:rPr>
          <w:sz w:val="21"/>
          <w:vertAlign w:val="baseline"/>
        </w:rPr>
        <w:t>to</w:t>
      </w:r>
      <w:r>
        <w:rPr>
          <w:spacing w:val="-10"/>
          <w:sz w:val="21"/>
          <w:vertAlign w:val="baseline"/>
        </w:rPr>
        <w:t> </w:t>
      </w:r>
      <w:r>
        <w:rPr>
          <w:sz w:val="21"/>
          <w:vertAlign w:val="baseline"/>
        </w:rPr>
        <w:t>alleviate</w:t>
      </w:r>
      <w:r>
        <w:rPr>
          <w:spacing w:val="-9"/>
          <w:sz w:val="21"/>
          <w:vertAlign w:val="baseline"/>
        </w:rPr>
        <w:t> </w:t>
      </w:r>
      <w:r>
        <w:rPr>
          <w:sz w:val="21"/>
          <w:vertAlign w:val="baseline"/>
        </w:rPr>
        <w:t>financial</w:t>
      </w:r>
      <w:r>
        <w:rPr>
          <w:spacing w:val="-9"/>
          <w:sz w:val="21"/>
          <w:vertAlign w:val="baseline"/>
        </w:rPr>
        <w:t> </w:t>
      </w:r>
      <w:r>
        <w:rPr>
          <w:sz w:val="21"/>
          <w:vertAlign w:val="baseline"/>
        </w:rPr>
        <w:t>burdens</w:t>
      </w:r>
      <w:r>
        <w:rPr>
          <w:spacing w:val="-10"/>
          <w:sz w:val="21"/>
          <w:vertAlign w:val="baseline"/>
        </w:rPr>
        <w:t> </w:t>
      </w:r>
      <w:r>
        <w:rPr>
          <w:sz w:val="21"/>
          <w:vertAlign w:val="baseline"/>
        </w:rPr>
        <w:t>on</w:t>
      </w:r>
      <w:r>
        <w:rPr>
          <w:spacing w:val="-9"/>
          <w:sz w:val="21"/>
          <w:vertAlign w:val="baseline"/>
        </w:rPr>
        <w:t> </w:t>
      </w:r>
      <w:r>
        <w:rPr>
          <w:sz w:val="21"/>
          <w:vertAlign w:val="baseline"/>
        </w:rPr>
        <w:t>families</w:t>
      </w:r>
      <w:r>
        <w:rPr>
          <w:spacing w:val="-10"/>
          <w:sz w:val="21"/>
          <w:vertAlign w:val="baseline"/>
        </w:rPr>
        <w:t> </w:t>
      </w:r>
      <w:r>
        <w:rPr>
          <w:sz w:val="21"/>
          <w:vertAlign w:val="baseline"/>
        </w:rPr>
        <w:t>and</w:t>
      </w:r>
      <w:r>
        <w:rPr>
          <w:spacing w:val="-9"/>
          <w:sz w:val="21"/>
          <w:vertAlign w:val="baseline"/>
        </w:rPr>
        <w:t> </w:t>
      </w:r>
      <w:r>
        <w:rPr>
          <w:sz w:val="21"/>
          <w:vertAlign w:val="baseline"/>
        </w:rPr>
        <w:t>support </w:t>
      </w:r>
      <w:bookmarkStart w:name="_bookmark501" w:id="735"/>
      <w:bookmarkEnd w:id="735"/>
      <w:r>
        <w:rPr>
          <w:sz w:val="21"/>
          <w:vertAlign w:val="baseline"/>
        </w:rPr>
        <w:t>the</w:t>
      </w:r>
      <w:r>
        <w:rPr>
          <w:sz w:val="21"/>
          <w:vertAlign w:val="baseline"/>
        </w:rPr>
        <w:t> previously incarcerated individuals’ reintegration into society.</w:t>
      </w:r>
      <w:hyperlink w:history="true" w:anchor="_bookmark472">
        <w:r>
          <w:rPr>
            <w:sz w:val="21"/>
            <w:vertAlign w:val="superscript"/>
          </w:rPr>
          <w:t>156</w:t>
        </w:r>
      </w:hyperlink>
      <w:r>
        <w:rPr>
          <w:spacing w:val="-2"/>
          <w:sz w:val="21"/>
          <w:vertAlign w:val="baseline"/>
        </w:rPr>
        <w:t> </w:t>
      </w:r>
      <w:r>
        <w:rPr>
          <w:sz w:val="21"/>
          <w:vertAlign w:val="baseline"/>
        </w:rPr>
        <w:t>Additional efforts are being made to increase call access and explore alternative communication methods, such as through tablets.</w:t>
      </w:r>
      <w:r>
        <w:rPr>
          <w:spacing w:val="-12"/>
          <w:sz w:val="21"/>
          <w:vertAlign w:val="baseline"/>
        </w:rPr>
        <w:t> </w:t>
      </w:r>
      <w:hyperlink w:history="true" w:anchor="_bookmark473">
        <w:r>
          <w:rPr>
            <w:sz w:val="21"/>
            <w:vertAlign w:val="superscript"/>
          </w:rPr>
          <w:t>157</w:t>
        </w:r>
      </w:hyperlink>
      <w:r>
        <w:rPr>
          <w:sz w:val="21"/>
          <w:vertAlign w:val="baseline"/>
        </w:rPr>
        <w:t> The </w:t>
      </w:r>
      <w:bookmarkStart w:name="_bookmark502" w:id="736"/>
      <w:bookmarkEnd w:id="736"/>
      <w:r>
        <w:rPr>
          <w:sz w:val="21"/>
          <w:vertAlign w:val="baseline"/>
        </w:rPr>
        <w:t>D</w:t>
      </w:r>
      <w:r>
        <w:rPr>
          <w:sz w:val="21"/>
          <w:vertAlign w:val="baseline"/>
        </w:rPr>
        <w:t>epartment</w:t>
      </w:r>
      <w:r>
        <w:rPr>
          <w:spacing w:val="-9"/>
          <w:sz w:val="21"/>
          <w:vertAlign w:val="baseline"/>
        </w:rPr>
        <w:t> </w:t>
      </w:r>
      <w:r>
        <w:rPr>
          <w:sz w:val="21"/>
          <w:vertAlign w:val="baseline"/>
        </w:rPr>
        <w:t>has</w:t>
      </w:r>
      <w:r>
        <w:rPr>
          <w:spacing w:val="-8"/>
          <w:sz w:val="21"/>
          <w:vertAlign w:val="baseline"/>
        </w:rPr>
        <w:t> </w:t>
      </w:r>
      <w:r>
        <w:rPr>
          <w:sz w:val="21"/>
          <w:vertAlign w:val="baseline"/>
        </w:rPr>
        <w:t>taken</w:t>
      </w:r>
      <w:r>
        <w:rPr>
          <w:spacing w:val="-8"/>
          <w:sz w:val="21"/>
          <w:vertAlign w:val="baseline"/>
        </w:rPr>
        <w:t> </w:t>
      </w:r>
      <w:r>
        <w:rPr>
          <w:sz w:val="21"/>
          <w:vertAlign w:val="baseline"/>
        </w:rPr>
        <w:t>steps</w:t>
      </w:r>
      <w:r>
        <w:rPr>
          <w:spacing w:val="-10"/>
          <w:sz w:val="21"/>
          <w:vertAlign w:val="baseline"/>
        </w:rPr>
        <w:t> </w:t>
      </w:r>
      <w:r>
        <w:rPr>
          <w:sz w:val="21"/>
          <w:vertAlign w:val="baseline"/>
        </w:rPr>
        <w:t>to</w:t>
      </w:r>
      <w:r>
        <w:rPr>
          <w:spacing w:val="-8"/>
          <w:sz w:val="21"/>
          <w:vertAlign w:val="baseline"/>
        </w:rPr>
        <w:t> </w:t>
      </w:r>
      <w:r>
        <w:rPr>
          <w:sz w:val="21"/>
          <w:vertAlign w:val="baseline"/>
        </w:rPr>
        <w:t>inform</w:t>
      </w:r>
      <w:r>
        <w:rPr>
          <w:spacing w:val="-8"/>
          <w:sz w:val="21"/>
          <w:vertAlign w:val="baseline"/>
        </w:rPr>
        <w:t> </w:t>
      </w:r>
      <w:r>
        <w:rPr>
          <w:sz w:val="21"/>
          <w:vertAlign w:val="baseline"/>
        </w:rPr>
        <w:t>the</w:t>
      </w:r>
      <w:r>
        <w:rPr>
          <w:spacing w:val="-9"/>
          <w:sz w:val="21"/>
          <w:vertAlign w:val="baseline"/>
        </w:rPr>
        <w:t> </w:t>
      </w:r>
      <w:r>
        <w:rPr>
          <w:sz w:val="21"/>
          <w:vertAlign w:val="baseline"/>
        </w:rPr>
        <w:t>incarcerated</w:t>
      </w:r>
      <w:r>
        <w:rPr>
          <w:spacing w:val="-8"/>
          <w:sz w:val="21"/>
          <w:vertAlign w:val="baseline"/>
        </w:rPr>
        <w:t> </w:t>
      </w:r>
      <w:r>
        <w:rPr>
          <w:sz w:val="21"/>
          <w:vertAlign w:val="baseline"/>
        </w:rPr>
        <w:t>population</w:t>
      </w:r>
      <w:r>
        <w:rPr>
          <w:spacing w:val="-8"/>
          <w:sz w:val="21"/>
          <w:vertAlign w:val="baseline"/>
        </w:rPr>
        <w:t> </w:t>
      </w:r>
      <w:r>
        <w:rPr>
          <w:sz w:val="21"/>
          <w:vertAlign w:val="baseline"/>
        </w:rPr>
        <w:t>and</w:t>
      </w:r>
      <w:r>
        <w:rPr>
          <w:spacing w:val="-9"/>
          <w:sz w:val="21"/>
          <w:vertAlign w:val="baseline"/>
        </w:rPr>
        <w:t> </w:t>
      </w:r>
      <w:r>
        <w:rPr>
          <w:sz w:val="21"/>
          <w:vertAlign w:val="baseline"/>
        </w:rPr>
        <w:t>their</w:t>
      </w:r>
      <w:r>
        <w:rPr>
          <w:spacing w:val="-8"/>
          <w:sz w:val="21"/>
          <w:vertAlign w:val="baseline"/>
        </w:rPr>
        <w:t> </w:t>
      </w:r>
      <w:r>
        <w:rPr>
          <w:sz w:val="21"/>
          <w:vertAlign w:val="baseline"/>
        </w:rPr>
        <w:t>families</w:t>
      </w:r>
      <w:r>
        <w:rPr>
          <w:spacing w:val="-8"/>
          <w:sz w:val="21"/>
          <w:vertAlign w:val="baseline"/>
        </w:rPr>
        <w:t> </w:t>
      </w:r>
      <w:r>
        <w:rPr>
          <w:sz w:val="21"/>
          <w:vertAlign w:val="baseline"/>
        </w:rPr>
        <w:t>about</w:t>
      </w:r>
      <w:r>
        <w:rPr>
          <w:spacing w:val="-7"/>
          <w:sz w:val="21"/>
          <w:vertAlign w:val="baseline"/>
        </w:rPr>
        <w:t> </w:t>
      </w:r>
      <w:r>
        <w:rPr>
          <w:sz w:val="21"/>
          <w:vertAlign w:val="baseline"/>
        </w:rPr>
        <w:t>this</w:t>
      </w:r>
      <w:r>
        <w:rPr>
          <w:spacing w:val="-8"/>
          <w:sz w:val="21"/>
          <w:vertAlign w:val="baseline"/>
        </w:rPr>
        <w:t> </w:t>
      </w:r>
      <w:r>
        <w:rPr>
          <w:sz w:val="21"/>
          <w:vertAlign w:val="baseline"/>
        </w:rPr>
        <w:t>change</w:t>
      </w:r>
      <w:r>
        <w:rPr>
          <w:spacing w:val="-8"/>
          <w:sz w:val="21"/>
          <w:vertAlign w:val="baseline"/>
        </w:rPr>
        <w:t> </w:t>
      </w:r>
      <w:r>
        <w:rPr>
          <w:sz w:val="21"/>
          <w:vertAlign w:val="baseline"/>
        </w:rPr>
        <w:t>and </w:t>
      </w:r>
      <w:bookmarkStart w:name="_bookmark503" w:id="737"/>
      <w:bookmarkEnd w:id="737"/>
      <w:r>
        <w:rPr>
          <w:sz w:val="21"/>
          <w:vertAlign w:val="baseline"/>
        </w:rPr>
        <w:t>i</w:t>
      </w:r>
      <w:r>
        <w:rPr>
          <w:sz w:val="21"/>
          <w:vertAlign w:val="baseline"/>
        </w:rPr>
        <w:t>s working on infrastructure improvements to accommodate the expected increase in call volume.</w:t>
      </w:r>
      <w:hyperlink w:history="true" w:anchor="_bookmark474">
        <w:r>
          <w:rPr>
            <w:sz w:val="21"/>
            <w:vertAlign w:val="superscript"/>
          </w:rPr>
          <w:t>158</w:t>
        </w:r>
      </w:hyperlink>
      <w:r>
        <w:rPr>
          <w:spacing w:val="-2"/>
          <w:sz w:val="21"/>
          <w:vertAlign w:val="baseline"/>
        </w:rPr>
        <w:t> </w:t>
      </w:r>
      <w:r>
        <w:rPr>
          <w:sz w:val="21"/>
          <w:vertAlign w:val="baseline"/>
        </w:rPr>
        <w:t>This </w:t>
      </w:r>
      <w:bookmarkStart w:name="_bookmark504" w:id="738"/>
      <w:bookmarkEnd w:id="738"/>
      <w:r>
        <w:rPr>
          <w:sz w:val="21"/>
          <w:vertAlign w:val="baseline"/>
        </w:rPr>
        <w:t>m</w:t>
      </w:r>
      <w:r>
        <w:rPr>
          <w:sz w:val="21"/>
          <w:vertAlign w:val="baseline"/>
        </w:rPr>
        <w:t>ove makes Massachusetts the fifth state in the nation to eliminate fees for prison phone calls, joining </w:t>
      </w:r>
      <w:bookmarkStart w:name="_bookmark505" w:id="739"/>
      <w:bookmarkEnd w:id="739"/>
      <w:r>
        <w:rPr>
          <w:sz w:val="21"/>
          <w:vertAlign w:val="baseline"/>
        </w:rPr>
      </w:r>
      <w:bookmarkStart w:name="_bookmark506" w:id="740"/>
      <w:bookmarkEnd w:id="740"/>
      <w:r>
        <w:rPr>
          <w:sz w:val="21"/>
          <w:vertAlign w:val="baseline"/>
        </w:rPr>
        <w:t>C</w:t>
      </w:r>
      <w:r>
        <w:rPr>
          <w:sz w:val="21"/>
          <w:vertAlign w:val="baseline"/>
        </w:rPr>
        <w:t>onnecticut,</w:t>
      </w:r>
      <w:r>
        <w:rPr>
          <w:spacing w:val="-10"/>
          <w:sz w:val="21"/>
          <w:vertAlign w:val="baseline"/>
        </w:rPr>
        <w:t> </w:t>
      </w:r>
      <w:r>
        <w:rPr>
          <w:sz w:val="21"/>
          <w:vertAlign w:val="baseline"/>
        </w:rPr>
        <w:t>California,</w:t>
      </w:r>
      <w:r>
        <w:rPr>
          <w:spacing w:val="-9"/>
          <w:sz w:val="21"/>
          <w:vertAlign w:val="baseline"/>
        </w:rPr>
        <w:t> </w:t>
      </w:r>
      <w:r>
        <w:rPr>
          <w:sz w:val="21"/>
          <w:vertAlign w:val="baseline"/>
        </w:rPr>
        <w:t>Minnesota,</w:t>
      </w:r>
      <w:r>
        <w:rPr>
          <w:spacing w:val="-9"/>
          <w:sz w:val="21"/>
          <w:vertAlign w:val="baseline"/>
        </w:rPr>
        <w:t> </w:t>
      </w:r>
      <w:r>
        <w:rPr>
          <w:sz w:val="21"/>
          <w:vertAlign w:val="baseline"/>
        </w:rPr>
        <w:t>and</w:t>
      </w:r>
      <w:r>
        <w:rPr>
          <w:spacing w:val="-10"/>
          <w:sz w:val="21"/>
          <w:vertAlign w:val="baseline"/>
        </w:rPr>
        <w:t> </w:t>
      </w:r>
      <w:r>
        <w:rPr>
          <w:sz w:val="21"/>
          <w:vertAlign w:val="baseline"/>
        </w:rPr>
        <w:t>Colorado,</w:t>
      </w:r>
      <w:r>
        <w:rPr>
          <w:spacing w:val="-9"/>
          <w:sz w:val="21"/>
          <w:vertAlign w:val="baseline"/>
        </w:rPr>
        <w:t> </w:t>
      </w:r>
      <w:r>
        <w:rPr>
          <w:sz w:val="21"/>
          <w:vertAlign w:val="baseline"/>
        </w:rPr>
        <w:t>reflecting</w:t>
      </w:r>
      <w:r>
        <w:rPr>
          <w:spacing w:val="-9"/>
          <w:sz w:val="21"/>
          <w:vertAlign w:val="baseline"/>
        </w:rPr>
        <w:t> </w:t>
      </w:r>
      <w:r>
        <w:rPr>
          <w:sz w:val="21"/>
          <w:vertAlign w:val="baseline"/>
        </w:rPr>
        <w:t>a</w:t>
      </w:r>
      <w:r>
        <w:rPr>
          <w:spacing w:val="-9"/>
          <w:sz w:val="21"/>
          <w:vertAlign w:val="baseline"/>
        </w:rPr>
        <w:t> </w:t>
      </w:r>
      <w:r>
        <w:rPr>
          <w:sz w:val="21"/>
          <w:vertAlign w:val="baseline"/>
        </w:rPr>
        <w:t>broader</w:t>
      </w:r>
      <w:r>
        <w:rPr>
          <w:spacing w:val="-9"/>
          <w:sz w:val="21"/>
          <w:vertAlign w:val="baseline"/>
        </w:rPr>
        <w:t> </w:t>
      </w:r>
      <w:r>
        <w:rPr>
          <w:sz w:val="21"/>
          <w:vertAlign w:val="baseline"/>
        </w:rPr>
        <w:t>trend</w:t>
      </w:r>
      <w:r>
        <w:rPr>
          <w:spacing w:val="-10"/>
          <w:sz w:val="21"/>
          <w:vertAlign w:val="baseline"/>
        </w:rPr>
        <w:t> </w:t>
      </w:r>
      <w:r>
        <w:rPr>
          <w:sz w:val="21"/>
          <w:vertAlign w:val="baseline"/>
        </w:rPr>
        <w:t>towards</w:t>
      </w:r>
      <w:r>
        <w:rPr>
          <w:spacing w:val="-9"/>
          <w:sz w:val="21"/>
          <w:vertAlign w:val="baseline"/>
        </w:rPr>
        <w:t> </w:t>
      </w:r>
      <w:r>
        <w:rPr>
          <w:sz w:val="21"/>
          <w:vertAlign w:val="baseline"/>
        </w:rPr>
        <w:t>reducing</w:t>
      </w:r>
      <w:r>
        <w:rPr>
          <w:spacing w:val="-9"/>
          <w:sz w:val="21"/>
          <w:vertAlign w:val="baseline"/>
        </w:rPr>
        <w:t> </w:t>
      </w:r>
      <w:r>
        <w:rPr>
          <w:sz w:val="21"/>
          <w:vertAlign w:val="baseline"/>
        </w:rPr>
        <w:t>the</w:t>
      </w:r>
      <w:r>
        <w:rPr>
          <w:spacing w:val="-9"/>
          <w:sz w:val="21"/>
          <w:vertAlign w:val="baseline"/>
        </w:rPr>
        <w:t> </w:t>
      </w:r>
      <w:r>
        <w:rPr>
          <w:sz w:val="21"/>
          <w:vertAlign w:val="baseline"/>
        </w:rPr>
        <w:t>financial </w:t>
      </w:r>
      <w:bookmarkStart w:name="_bookmark507" w:id="741"/>
      <w:bookmarkEnd w:id="741"/>
      <w:r>
        <w:rPr>
          <w:sz w:val="21"/>
          <w:vertAlign w:val="baseline"/>
        </w:rPr>
        <w:t>impact</w:t>
      </w:r>
      <w:r>
        <w:rPr>
          <w:sz w:val="21"/>
          <w:vertAlign w:val="baseline"/>
        </w:rPr>
        <w:t> of incarceration on families.</w:t>
      </w:r>
      <w:hyperlink w:history="true" w:anchor="_bookmark475">
        <w:r>
          <w:rPr>
            <w:sz w:val="21"/>
            <w:vertAlign w:val="superscript"/>
          </w:rPr>
          <w:t>159</w:t>
        </w:r>
      </w:hyperlink>
    </w:p>
    <w:p>
      <w:pPr>
        <w:spacing w:line="276" w:lineRule="auto" w:before="239"/>
        <w:ind w:left="463" w:right="238" w:firstLine="0"/>
        <w:jc w:val="both"/>
        <w:rPr>
          <w:sz w:val="21"/>
        </w:rPr>
      </w:pPr>
      <w:bookmarkStart w:name="_bookmark508" w:id="742"/>
      <w:bookmarkEnd w:id="742"/>
      <w:r>
        <w:rPr/>
      </w:r>
      <w:r>
        <w:rPr>
          <w:sz w:val="21"/>
        </w:rPr>
        <w:t>Massachusetts has become the first state to ban life sentences without parole for individuals under 21, </w:t>
      </w:r>
      <w:bookmarkStart w:name="_bookmark509" w:id="743"/>
      <w:bookmarkEnd w:id="743"/>
      <w:r>
        <w:rPr>
          <w:sz w:val="21"/>
        </w:rPr>
        <w:t>f</w:t>
      </w:r>
      <w:r>
        <w:rPr>
          <w:sz w:val="21"/>
        </w:rPr>
        <w:t>ollowing a recent decision by the State's Supreme Judicial Court.</w:t>
      </w:r>
      <w:hyperlink w:history="true" w:anchor="_bookmark476">
        <w:r>
          <w:rPr>
            <w:sz w:val="21"/>
            <w:vertAlign w:val="superscript"/>
          </w:rPr>
          <w:t>160</w:t>
        </w:r>
      </w:hyperlink>
      <w:r>
        <w:rPr>
          <w:spacing w:val="-2"/>
          <w:sz w:val="21"/>
          <w:vertAlign w:val="baseline"/>
        </w:rPr>
        <w:t> </w:t>
      </w:r>
      <w:r>
        <w:rPr>
          <w:sz w:val="21"/>
          <w:vertAlign w:val="baseline"/>
        </w:rPr>
        <w:t>Previously, Massachusetts mandated </w:t>
      </w:r>
      <w:bookmarkStart w:name="_bookmark510" w:id="744"/>
      <w:bookmarkEnd w:id="744"/>
      <w:r>
        <w:rPr>
          <w:sz w:val="21"/>
          <w:vertAlign w:val="baseline"/>
        </w:rPr>
        <w:t>li</w:t>
      </w:r>
      <w:r>
        <w:rPr>
          <w:sz w:val="21"/>
          <w:vertAlign w:val="baseline"/>
        </w:rPr>
        <w:t>fe without parole for first-degree murderers aged 18 to 20.</w:t>
      </w:r>
      <w:r>
        <w:rPr>
          <w:spacing w:val="-7"/>
          <w:sz w:val="21"/>
          <w:vertAlign w:val="baseline"/>
        </w:rPr>
        <w:t> </w:t>
      </w:r>
      <w:hyperlink w:history="true" w:anchor="_bookmark477">
        <w:r>
          <w:rPr>
            <w:sz w:val="21"/>
            <w:vertAlign w:val="superscript"/>
          </w:rPr>
          <w:t>161</w:t>
        </w:r>
      </w:hyperlink>
      <w:r>
        <w:rPr>
          <w:sz w:val="21"/>
          <w:vertAlign w:val="baseline"/>
        </w:rPr>
        <w:t> This new ruling acknowledges the neurological</w:t>
      </w:r>
      <w:r>
        <w:rPr>
          <w:spacing w:val="-12"/>
          <w:sz w:val="21"/>
          <w:vertAlign w:val="baseline"/>
        </w:rPr>
        <w:t> </w:t>
      </w:r>
      <w:r>
        <w:rPr>
          <w:sz w:val="21"/>
          <w:vertAlign w:val="baseline"/>
        </w:rPr>
        <w:t>similarities</w:t>
      </w:r>
      <w:r>
        <w:rPr>
          <w:spacing w:val="-12"/>
          <w:sz w:val="21"/>
          <w:vertAlign w:val="baseline"/>
        </w:rPr>
        <w:t> </w:t>
      </w:r>
      <w:r>
        <w:rPr>
          <w:sz w:val="21"/>
          <w:vertAlign w:val="baseline"/>
        </w:rPr>
        <w:t>between</w:t>
      </w:r>
      <w:r>
        <w:rPr>
          <w:spacing w:val="-12"/>
          <w:sz w:val="21"/>
          <w:vertAlign w:val="baseline"/>
        </w:rPr>
        <w:t> </w:t>
      </w:r>
      <w:r>
        <w:rPr>
          <w:sz w:val="21"/>
          <w:vertAlign w:val="baseline"/>
        </w:rPr>
        <w:t>"emerging</w:t>
      </w:r>
      <w:r>
        <w:rPr>
          <w:spacing w:val="-11"/>
          <w:sz w:val="21"/>
          <w:vertAlign w:val="baseline"/>
        </w:rPr>
        <w:t> </w:t>
      </w:r>
      <w:r>
        <w:rPr>
          <w:sz w:val="21"/>
          <w:vertAlign w:val="baseline"/>
        </w:rPr>
        <w:t>adults"</w:t>
      </w:r>
      <w:r>
        <w:rPr>
          <w:spacing w:val="-12"/>
          <w:sz w:val="21"/>
          <w:vertAlign w:val="baseline"/>
        </w:rPr>
        <w:t> </w:t>
      </w:r>
      <w:r>
        <w:rPr>
          <w:sz w:val="21"/>
          <w:vertAlign w:val="baseline"/>
        </w:rPr>
        <w:t>and</w:t>
      </w:r>
      <w:r>
        <w:rPr>
          <w:spacing w:val="-12"/>
          <w:sz w:val="21"/>
          <w:vertAlign w:val="baseline"/>
        </w:rPr>
        <w:t> </w:t>
      </w:r>
      <w:r>
        <w:rPr>
          <w:sz w:val="21"/>
          <w:vertAlign w:val="baseline"/>
        </w:rPr>
        <w:t>juveniles,</w:t>
      </w:r>
      <w:r>
        <w:rPr>
          <w:spacing w:val="-12"/>
          <w:sz w:val="21"/>
          <w:vertAlign w:val="baseline"/>
        </w:rPr>
        <w:t> </w:t>
      </w:r>
      <w:r>
        <w:rPr>
          <w:sz w:val="21"/>
          <w:vertAlign w:val="baseline"/>
        </w:rPr>
        <w:t>highlighting</w:t>
      </w:r>
      <w:r>
        <w:rPr>
          <w:spacing w:val="-12"/>
          <w:sz w:val="21"/>
          <w:vertAlign w:val="baseline"/>
        </w:rPr>
        <w:t> </w:t>
      </w:r>
      <w:r>
        <w:rPr>
          <w:sz w:val="21"/>
          <w:vertAlign w:val="baseline"/>
        </w:rPr>
        <w:t>that</w:t>
      </w:r>
      <w:r>
        <w:rPr>
          <w:spacing w:val="-12"/>
          <w:sz w:val="21"/>
          <w:vertAlign w:val="baseline"/>
        </w:rPr>
        <w:t> </w:t>
      </w:r>
      <w:r>
        <w:rPr>
          <w:sz w:val="21"/>
          <w:vertAlign w:val="baseline"/>
        </w:rPr>
        <w:t>their</w:t>
      </w:r>
      <w:r>
        <w:rPr>
          <w:spacing w:val="-10"/>
          <w:sz w:val="21"/>
          <w:vertAlign w:val="baseline"/>
        </w:rPr>
        <w:t> </w:t>
      </w:r>
      <w:r>
        <w:rPr>
          <w:sz w:val="21"/>
          <w:vertAlign w:val="baseline"/>
        </w:rPr>
        <w:t>brains</w:t>
      </w:r>
      <w:r>
        <w:rPr>
          <w:spacing w:val="-12"/>
          <w:sz w:val="21"/>
          <w:vertAlign w:val="baseline"/>
        </w:rPr>
        <w:t> </w:t>
      </w:r>
      <w:r>
        <w:rPr>
          <w:sz w:val="21"/>
          <w:vertAlign w:val="baseline"/>
        </w:rPr>
        <w:t>are</w:t>
      </w:r>
      <w:r>
        <w:rPr>
          <w:spacing w:val="-11"/>
          <w:sz w:val="21"/>
          <w:vertAlign w:val="baseline"/>
        </w:rPr>
        <w:t> </w:t>
      </w:r>
      <w:r>
        <w:rPr>
          <w:sz w:val="21"/>
          <w:vertAlign w:val="baseline"/>
        </w:rPr>
        <w:t>not</w:t>
      </w:r>
      <w:r>
        <w:rPr>
          <w:spacing w:val="-12"/>
          <w:sz w:val="21"/>
          <w:vertAlign w:val="baseline"/>
        </w:rPr>
        <w:t> </w:t>
      </w:r>
      <w:r>
        <w:rPr>
          <w:sz w:val="21"/>
          <w:vertAlign w:val="baseline"/>
        </w:rPr>
        <w:t>fully </w:t>
      </w:r>
      <w:bookmarkStart w:name="_bookmark511" w:id="745"/>
      <w:bookmarkEnd w:id="745"/>
      <w:r>
        <w:rPr>
          <w:sz w:val="21"/>
          <w:vertAlign w:val="baseline"/>
        </w:rPr>
      </w:r>
      <w:bookmarkStart w:name="_bookmark512" w:id="746"/>
      <w:bookmarkEnd w:id="746"/>
      <w:r>
        <w:rPr>
          <w:sz w:val="21"/>
          <w:vertAlign w:val="baseline"/>
        </w:rPr>
        <w:t>matu</w:t>
      </w:r>
      <w:r>
        <w:rPr>
          <w:sz w:val="21"/>
          <w:vertAlign w:val="baseline"/>
        </w:rPr>
        <w:t>red, which impacts</w:t>
      </w:r>
      <w:r>
        <w:rPr>
          <w:spacing w:val="-1"/>
          <w:sz w:val="21"/>
          <w:vertAlign w:val="baseline"/>
        </w:rPr>
        <w:t> </w:t>
      </w:r>
      <w:r>
        <w:rPr>
          <w:sz w:val="21"/>
          <w:vertAlign w:val="baseline"/>
        </w:rPr>
        <w:t>their decision-making.</w:t>
      </w:r>
      <w:hyperlink w:history="true" w:anchor="_bookmark478">
        <w:r>
          <w:rPr>
            <w:sz w:val="21"/>
            <w:vertAlign w:val="superscript"/>
          </w:rPr>
          <w:t>162</w:t>
        </w:r>
      </w:hyperlink>
      <w:r>
        <w:rPr>
          <w:spacing w:val="-2"/>
          <w:sz w:val="21"/>
          <w:vertAlign w:val="baseline"/>
        </w:rPr>
        <w:t> </w:t>
      </w:r>
      <w:r>
        <w:rPr>
          <w:sz w:val="21"/>
          <w:vertAlign w:val="baseline"/>
        </w:rPr>
        <w:t>As a result of this decision, approximately 70 individuals currently serving life sentences will now be eligible for parole in Suffolk County alone.</w:t>
      </w:r>
      <w:r>
        <w:rPr>
          <w:spacing w:val="-12"/>
          <w:sz w:val="21"/>
          <w:vertAlign w:val="baseline"/>
        </w:rPr>
        <w:t> </w:t>
      </w:r>
      <w:hyperlink w:history="true" w:anchor="_bookmark479">
        <w:r>
          <w:rPr>
            <w:sz w:val="21"/>
            <w:vertAlign w:val="superscript"/>
          </w:rPr>
          <w:t>163</w:t>
        </w:r>
      </w:hyperlink>
      <w:r>
        <w:rPr>
          <w:sz w:val="21"/>
          <w:vertAlign w:val="baseline"/>
        </w:rPr>
        <w:t> The case </w:t>
      </w:r>
      <w:bookmarkStart w:name="_bookmark513" w:id="747"/>
      <w:bookmarkEnd w:id="747"/>
      <w:r>
        <w:rPr>
          <w:spacing w:val="-2"/>
          <w:sz w:val="21"/>
          <w:vertAlign w:val="baseline"/>
        </w:rPr>
        <w:t>p</w:t>
      </w:r>
      <w:r>
        <w:rPr>
          <w:spacing w:val="-2"/>
          <w:sz w:val="21"/>
          <w:vertAlign w:val="baseline"/>
        </w:rPr>
        <w:t>rompting</w:t>
      </w:r>
      <w:r>
        <w:rPr>
          <w:spacing w:val="-4"/>
          <w:sz w:val="21"/>
          <w:vertAlign w:val="baseline"/>
        </w:rPr>
        <w:t> </w:t>
      </w:r>
      <w:r>
        <w:rPr>
          <w:spacing w:val="-2"/>
          <w:sz w:val="21"/>
          <w:vertAlign w:val="baseline"/>
        </w:rPr>
        <w:t>this</w:t>
      </w:r>
      <w:r>
        <w:rPr>
          <w:spacing w:val="-5"/>
          <w:sz w:val="21"/>
          <w:vertAlign w:val="baseline"/>
        </w:rPr>
        <w:t> </w:t>
      </w:r>
      <w:r>
        <w:rPr>
          <w:spacing w:val="-2"/>
          <w:sz w:val="21"/>
          <w:vertAlign w:val="baseline"/>
        </w:rPr>
        <w:t>change</w:t>
      </w:r>
      <w:r>
        <w:rPr>
          <w:spacing w:val="-4"/>
          <w:sz w:val="21"/>
          <w:vertAlign w:val="baseline"/>
        </w:rPr>
        <w:t> </w:t>
      </w:r>
      <w:r>
        <w:rPr>
          <w:spacing w:val="-2"/>
          <w:sz w:val="21"/>
          <w:vertAlign w:val="baseline"/>
        </w:rPr>
        <w:t>involved</w:t>
      </w:r>
      <w:r>
        <w:rPr>
          <w:spacing w:val="-4"/>
          <w:sz w:val="21"/>
          <w:vertAlign w:val="baseline"/>
        </w:rPr>
        <w:t> </w:t>
      </w:r>
      <w:r>
        <w:rPr>
          <w:spacing w:val="-2"/>
          <w:sz w:val="21"/>
          <w:vertAlign w:val="baseline"/>
        </w:rPr>
        <w:t>Sheldon</w:t>
      </w:r>
      <w:r>
        <w:rPr>
          <w:spacing w:val="-4"/>
          <w:sz w:val="21"/>
          <w:vertAlign w:val="baseline"/>
        </w:rPr>
        <w:t> </w:t>
      </w:r>
      <w:r>
        <w:rPr>
          <w:spacing w:val="-2"/>
          <w:sz w:val="21"/>
          <w:vertAlign w:val="baseline"/>
        </w:rPr>
        <w:t>Mattis,</w:t>
      </w:r>
      <w:r>
        <w:rPr>
          <w:spacing w:val="-4"/>
          <w:sz w:val="21"/>
          <w:vertAlign w:val="baseline"/>
        </w:rPr>
        <w:t> </w:t>
      </w:r>
      <w:r>
        <w:rPr>
          <w:spacing w:val="-2"/>
          <w:sz w:val="21"/>
          <w:vertAlign w:val="baseline"/>
        </w:rPr>
        <w:t>who</w:t>
      </w:r>
      <w:r>
        <w:rPr>
          <w:spacing w:val="-4"/>
          <w:sz w:val="21"/>
          <w:vertAlign w:val="baseline"/>
        </w:rPr>
        <w:t> </w:t>
      </w:r>
      <w:r>
        <w:rPr>
          <w:spacing w:val="-2"/>
          <w:sz w:val="21"/>
          <w:vertAlign w:val="baseline"/>
        </w:rPr>
        <w:t>was</w:t>
      </w:r>
      <w:r>
        <w:rPr>
          <w:spacing w:val="-5"/>
          <w:sz w:val="21"/>
          <w:vertAlign w:val="baseline"/>
        </w:rPr>
        <w:t> </w:t>
      </w:r>
      <w:r>
        <w:rPr>
          <w:spacing w:val="-2"/>
          <w:sz w:val="21"/>
          <w:vertAlign w:val="baseline"/>
        </w:rPr>
        <w:t>sentenced</w:t>
      </w:r>
      <w:r>
        <w:rPr>
          <w:spacing w:val="-4"/>
          <w:sz w:val="21"/>
          <w:vertAlign w:val="baseline"/>
        </w:rPr>
        <w:t> </w:t>
      </w:r>
      <w:r>
        <w:rPr>
          <w:spacing w:val="-2"/>
          <w:sz w:val="21"/>
          <w:vertAlign w:val="baseline"/>
        </w:rPr>
        <w:t>to</w:t>
      </w:r>
      <w:r>
        <w:rPr>
          <w:spacing w:val="-4"/>
          <w:sz w:val="21"/>
          <w:vertAlign w:val="baseline"/>
        </w:rPr>
        <w:t> </w:t>
      </w:r>
      <w:r>
        <w:rPr>
          <w:spacing w:val="-2"/>
          <w:sz w:val="21"/>
          <w:vertAlign w:val="baseline"/>
        </w:rPr>
        <w:t>life</w:t>
      </w:r>
      <w:r>
        <w:rPr>
          <w:spacing w:val="-4"/>
          <w:sz w:val="21"/>
          <w:vertAlign w:val="baseline"/>
        </w:rPr>
        <w:t> </w:t>
      </w:r>
      <w:r>
        <w:rPr>
          <w:spacing w:val="-2"/>
          <w:sz w:val="21"/>
          <w:vertAlign w:val="baseline"/>
        </w:rPr>
        <w:t>without</w:t>
      </w:r>
      <w:r>
        <w:rPr>
          <w:spacing w:val="-4"/>
          <w:sz w:val="21"/>
          <w:vertAlign w:val="baseline"/>
        </w:rPr>
        <w:t> </w:t>
      </w:r>
      <w:r>
        <w:rPr>
          <w:spacing w:val="-2"/>
          <w:sz w:val="21"/>
          <w:vertAlign w:val="baseline"/>
        </w:rPr>
        <w:t>parole</w:t>
      </w:r>
      <w:r>
        <w:rPr>
          <w:spacing w:val="-4"/>
          <w:sz w:val="21"/>
          <w:vertAlign w:val="baseline"/>
        </w:rPr>
        <w:t> </w:t>
      </w:r>
      <w:r>
        <w:rPr>
          <w:spacing w:val="-2"/>
          <w:sz w:val="21"/>
          <w:vertAlign w:val="baseline"/>
        </w:rPr>
        <w:t>at</w:t>
      </w:r>
      <w:r>
        <w:rPr>
          <w:spacing w:val="-4"/>
          <w:sz w:val="21"/>
          <w:vertAlign w:val="baseline"/>
        </w:rPr>
        <w:t> </w:t>
      </w:r>
      <w:r>
        <w:rPr>
          <w:spacing w:val="-2"/>
          <w:sz w:val="21"/>
          <w:vertAlign w:val="baseline"/>
        </w:rPr>
        <w:t>18</w:t>
      </w:r>
      <w:r>
        <w:rPr>
          <w:spacing w:val="-4"/>
          <w:sz w:val="21"/>
          <w:vertAlign w:val="baseline"/>
        </w:rPr>
        <w:t> </w:t>
      </w:r>
      <w:r>
        <w:rPr>
          <w:spacing w:val="-2"/>
          <w:sz w:val="21"/>
          <w:vertAlign w:val="baseline"/>
        </w:rPr>
        <w:t>for</w:t>
      </w:r>
      <w:r>
        <w:rPr>
          <w:spacing w:val="-4"/>
          <w:sz w:val="21"/>
          <w:vertAlign w:val="baseline"/>
        </w:rPr>
        <w:t> </w:t>
      </w:r>
      <w:r>
        <w:rPr>
          <w:spacing w:val="-2"/>
          <w:sz w:val="21"/>
          <w:vertAlign w:val="baseline"/>
        </w:rPr>
        <w:t>a</w:t>
      </w:r>
      <w:r>
        <w:rPr>
          <w:spacing w:val="-4"/>
          <w:sz w:val="21"/>
          <w:vertAlign w:val="baseline"/>
        </w:rPr>
        <w:t> </w:t>
      </w:r>
      <w:r>
        <w:rPr>
          <w:spacing w:val="-2"/>
          <w:sz w:val="21"/>
          <w:vertAlign w:val="baseline"/>
        </w:rPr>
        <w:t>murder </w:t>
      </w:r>
      <w:bookmarkStart w:name="_bookmark514" w:id="748"/>
      <w:bookmarkEnd w:id="748"/>
      <w:r>
        <w:rPr>
          <w:sz w:val="21"/>
          <w:vertAlign w:val="baseline"/>
        </w:rPr>
        <w:t>c</w:t>
      </w:r>
      <w:r>
        <w:rPr>
          <w:sz w:val="21"/>
          <w:vertAlign w:val="baseline"/>
        </w:rPr>
        <w:t>ommitted in 2011.</w:t>
      </w:r>
      <w:hyperlink w:history="true" w:anchor="_bookmark480">
        <w:r>
          <w:rPr>
            <w:sz w:val="21"/>
            <w:vertAlign w:val="superscript"/>
          </w:rPr>
          <w:t>164</w:t>
        </w:r>
      </w:hyperlink>
      <w:r>
        <w:rPr>
          <w:spacing w:val="-1"/>
          <w:sz w:val="21"/>
          <w:vertAlign w:val="baseline"/>
        </w:rPr>
        <w:t> </w:t>
      </w:r>
      <w:r>
        <w:rPr>
          <w:sz w:val="21"/>
          <w:vertAlign w:val="baseline"/>
        </w:rPr>
        <w:t>His case, among others, will be resentenced, aligning with the court's stance that younger adults deserve a chance for redemption based on potential maturity and rehabilitation.</w:t>
      </w:r>
      <w:hyperlink w:history="true" w:anchor="_bookmark481">
        <w:r>
          <w:rPr>
            <w:sz w:val="21"/>
            <w:vertAlign w:val="superscript"/>
          </w:rPr>
          <w:t>165</w:t>
        </w:r>
      </w:hyperlink>
      <w:r>
        <w:rPr>
          <w:spacing w:val="-2"/>
          <w:sz w:val="21"/>
          <w:vertAlign w:val="baseline"/>
        </w:rPr>
        <w:t> </w:t>
      </w:r>
      <w:r>
        <w:rPr>
          <w:sz w:val="21"/>
          <w:vertAlign w:val="baseline"/>
        </w:rPr>
        <w:t>This </w:t>
      </w:r>
      <w:bookmarkStart w:name="_bookmark515" w:id="749"/>
      <w:bookmarkEnd w:id="749"/>
      <w:r>
        <w:rPr>
          <w:sz w:val="21"/>
          <w:vertAlign w:val="baseline"/>
        </w:rPr>
        <w:t>landmark</w:t>
      </w:r>
      <w:r>
        <w:rPr>
          <w:sz w:val="21"/>
          <w:vertAlign w:val="baseline"/>
        </w:rPr>
        <w:t> decision has been welcomed by criminal justice reform advocates as a significant step towards </w:t>
      </w:r>
      <w:bookmarkStart w:name="_bookmark516" w:id="750"/>
      <w:bookmarkEnd w:id="750"/>
      <w:r>
        <w:rPr>
          <w:sz w:val="21"/>
          <w:vertAlign w:val="baseline"/>
        </w:rPr>
        <w:t>ackn</w:t>
      </w:r>
      <w:r>
        <w:rPr>
          <w:sz w:val="21"/>
          <w:vertAlign w:val="baseline"/>
        </w:rPr>
        <w:t>owledging developmental science in legal penalties.</w:t>
      </w:r>
    </w:p>
    <w:p>
      <w:pPr>
        <w:spacing w:line="276" w:lineRule="auto" w:before="241"/>
        <w:ind w:left="463" w:right="239" w:firstLine="0"/>
        <w:jc w:val="both"/>
        <w:rPr>
          <w:sz w:val="21"/>
        </w:rPr>
      </w:pPr>
      <w:bookmarkStart w:name="_bookmark517" w:id="751"/>
      <w:bookmarkEnd w:id="751"/>
      <w:r>
        <w:rPr/>
      </w:r>
      <w:bookmarkStart w:name="_bookmark518" w:id="752"/>
      <w:bookmarkEnd w:id="752"/>
      <w:r>
        <w:rPr/>
      </w:r>
      <w:r>
        <w:rPr>
          <w:sz w:val="21"/>
        </w:rPr>
        <w:t>In</w:t>
      </w:r>
      <w:r>
        <w:rPr>
          <w:spacing w:val="-6"/>
          <w:sz w:val="21"/>
        </w:rPr>
        <w:t> </w:t>
      </w:r>
      <w:r>
        <w:rPr>
          <w:sz w:val="21"/>
        </w:rPr>
        <w:t>February</w:t>
      </w:r>
      <w:r>
        <w:rPr>
          <w:spacing w:val="-6"/>
          <w:sz w:val="21"/>
        </w:rPr>
        <w:t> </w:t>
      </w:r>
      <w:r>
        <w:rPr>
          <w:sz w:val="21"/>
        </w:rPr>
        <w:t>2024,</w:t>
      </w:r>
      <w:r>
        <w:rPr>
          <w:spacing w:val="-6"/>
          <w:sz w:val="21"/>
        </w:rPr>
        <w:t> </w:t>
      </w:r>
      <w:r>
        <w:rPr>
          <w:sz w:val="21"/>
        </w:rPr>
        <w:t>the</w:t>
      </w:r>
      <w:r>
        <w:rPr>
          <w:spacing w:val="-6"/>
          <w:sz w:val="21"/>
        </w:rPr>
        <w:t> </w:t>
      </w:r>
      <w:r>
        <w:rPr>
          <w:sz w:val="21"/>
        </w:rPr>
        <w:t>Healey-Driscoll</w:t>
      </w:r>
      <w:r>
        <w:rPr>
          <w:spacing w:val="-6"/>
          <w:sz w:val="21"/>
        </w:rPr>
        <w:t> </w:t>
      </w:r>
      <w:r>
        <w:rPr>
          <w:sz w:val="21"/>
        </w:rPr>
        <w:t>Administration</w:t>
      </w:r>
      <w:r>
        <w:rPr>
          <w:spacing w:val="-6"/>
          <w:sz w:val="21"/>
        </w:rPr>
        <w:t> </w:t>
      </w:r>
      <w:r>
        <w:rPr>
          <w:sz w:val="21"/>
        </w:rPr>
        <w:t>announced</w:t>
      </w:r>
      <w:r>
        <w:rPr>
          <w:spacing w:val="-6"/>
          <w:sz w:val="21"/>
        </w:rPr>
        <w:t> </w:t>
      </w:r>
      <w:r>
        <w:rPr>
          <w:sz w:val="21"/>
        </w:rPr>
        <w:t>that</w:t>
      </w:r>
      <w:r>
        <w:rPr>
          <w:spacing w:val="-5"/>
          <w:sz w:val="21"/>
        </w:rPr>
        <w:t> </w:t>
      </w:r>
      <w:r>
        <w:rPr>
          <w:sz w:val="21"/>
        </w:rPr>
        <w:t>nearly</w:t>
      </w:r>
      <w:r>
        <w:rPr>
          <w:spacing w:val="-6"/>
          <w:sz w:val="21"/>
        </w:rPr>
        <w:t> </w:t>
      </w:r>
      <w:r>
        <w:rPr>
          <w:sz w:val="21"/>
        </w:rPr>
        <w:t>$6.5</w:t>
      </w:r>
      <w:r>
        <w:rPr>
          <w:spacing w:val="-6"/>
          <w:sz w:val="21"/>
        </w:rPr>
        <w:t> </w:t>
      </w:r>
      <w:r>
        <w:rPr>
          <w:sz w:val="21"/>
        </w:rPr>
        <w:t>million</w:t>
      </w:r>
      <w:r>
        <w:rPr>
          <w:spacing w:val="-6"/>
          <w:sz w:val="21"/>
        </w:rPr>
        <w:t> </w:t>
      </w:r>
      <w:r>
        <w:rPr>
          <w:sz w:val="21"/>
        </w:rPr>
        <w:t>in</w:t>
      </w:r>
      <w:r>
        <w:rPr>
          <w:spacing w:val="-6"/>
          <w:sz w:val="21"/>
        </w:rPr>
        <w:t> </w:t>
      </w:r>
      <w:r>
        <w:rPr>
          <w:sz w:val="21"/>
        </w:rPr>
        <w:t>grants</w:t>
      </w:r>
      <w:r>
        <w:rPr>
          <w:spacing w:val="-6"/>
          <w:sz w:val="21"/>
        </w:rPr>
        <w:t> </w:t>
      </w:r>
      <w:r>
        <w:rPr>
          <w:sz w:val="21"/>
        </w:rPr>
        <w:t>has</w:t>
      </w:r>
      <w:r>
        <w:rPr>
          <w:spacing w:val="-6"/>
          <w:sz w:val="21"/>
        </w:rPr>
        <w:t> </w:t>
      </w:r>
      <w:r>
        <w:rPr>
          <w:sz w:val="21"/>
        </w:rPr>
        <w:t>been </w:t>
      </w:r>
      <w:bookmarkStart w:name="_bookmark519" w:id="753"/>
      <w:bookmarkEnd w:id="753"/>
      <w:r>
        <w:rPr>
          <w:sz w:val="21"/>
        </w:rPr>
        <w:t>a</w:t>
      </w:r>
      <w:r>
        <w:rPr>
          <w:sz w:val="21"/>
        </w:rPr>
        <w:t>llocated to reduce recidivism among young adults in Massachusetts.</w:t>
      </w:r>
      <w:hyperlink w:history="true" w:anchor="_bookmark482">
        <w:r>
          <w:rPr>
            <w:sz w:val="21"/>
            <w:vertAlign w:val="superscript"/>
          </w:rPr>
          <w:t>166</w:t>
        </w:r>
      </w:hyperlink>
      <w:r>
        <w:rPr>
          <w:spacing w:val="-2"/>
          <w:sz w:val="21"/>
          <w:vertAlign w:val="baseline"/>
        </w:rPr>
        <w:t> </w:t>
      </w:r>
      <w:r>
        <w:rPr>
          <w:sz w:val="21"/>
          <w:vertAlign w:val="baseline"/>
        </w:rPr>
        <w:t>This funding supports nonprofits </w:t>
      </w:r>
      <w:bookmarkStart w:name="_bookmark520" w:id="754"/>
      <w:bookmarkEnd w:id="754"/>
      <w:r>
        <w:rPr>
          <w:sz w:val="21"/>
          <w:vertAlign w:val="baseline"/>
        </w:rPr>
        <w:t>i</w:t>
      </w:r>
      <w:r>
        <w:rPr>
          <w:sz w:val="21"/>
          <w:vertAlign w:val="baseline"/>
        </w:rPr>
        <w:t>n collaboration with the Massachusetts Department of Correction and Sheriffs’ Offices to offer reentry </w:t>
      </w:r>
      <w:bookmarkStart w:name="_bookmark521" w:id="755"/>
      <w:bookmarkEnd w:id="755"/>
      <w:r>
        <w:rPr>
          <w:sz w:val="21"/>
          <w:vertAlign w:val="baseline"/>
        </w:rPr>
        <w:t>s</w:t>
      </w:r>
      <w:r>
        <w:rPr>
          <w:sz w:val="21"/>
          <w:vertAlign w:val="baseline"/>
        </w:rPr>
        <w:t>ervices</w:t>
      </w:r>
      <w:r>
        <w:rPr>
          <w:spacing w:val="-4"/>
          <w:sz w:val="21"/>
          <w:vertAlign w:val="baseline"/>
        </w:rPr>
        <w:t> </w:t>
      </w:r>
      <w:r>
        <w:rPr>
          <w:sz w:val="21"/>
          <w:vertAlign w:val="baseline"/>
        </w:rPr>
        <w:t>for</w:t>
      </w:r>
      <w:r>
        <w:rPr>
          <w:spacing w:val="-3"/>
          <w:sz w:val="21"/>
          <w:vertAlign w:val="baseline"/>
        </w:rPr>
        <w:t> </w:t>
      </w:r>
      <w:r>
        <w:rPr>
          <w:sz w:val="21"/>
          <w:vertAlign w:val="baseline"/>
        </w:rPr>
        <w:t>18-</w:t>
      </w:r>
      <w:r>
        <w:rPr>
          <w:spacing w:val="-3"/>
          <w:sz w:val="21"/>
          <w:vertAlign w:val="baseline"/>
        </w:rPr>
        <w:t> </w:t>
      </w:r>
      <w:r>
        <w:rPr>
          <w:sz w:val="21"/>
          <w:vertAlign w:val="baseline"/>
        </w:rPr>
        <w:t>to</w:t>
      </w:r>
      <w:r>
        <w:rPr>
          <w:spacing w:val="-5"/>
          <w:sz w:val="21"/>
          <w:vertAlign w:val="baseline"/>
        </w:rPr>
        <w:t> </w:t>
      </w:r>
      <w:r>
        <w:rPr>
          <w:sz w:val="21"/>
          <w:vertAlign w:val="baseline"/>
        </w:rPr>
        <w:t>25-year-olds</w:t>
      </w:r>
      <w:r>
        <w:rPr>
          <w:spacing w:val="-4"/>
          <w:sz w:val="21"/>
          <w:vertAlign w:val="baseline"/>
        </w:rPr>
        <w:t> </w:t>
      </w:r>
      <w:r>
        <w:rPr>
          <w:sz w:val="21"/>
          <w:vertAlign w:val="baseline"/>
        </w:rPr>
        <w:t>exiting</w:t>
      </w:r>
      <w:r>
        <w:rPr>
          <w:spacing w:val="-4"/>
          <w:sz w:val="21"/>
          <w:vertAlign w:val="baseline"/>
        </w:rPr>
        <w:t> </w:t>
      </w:r>
      <w:r>
        <w:rPr>
          <w:sz w:val="21"/>
          <w:vertAlign w:val="baseline"/>
        </w:rPr>
        <w:t>incarceration.</w:t>
      </w:r>
      <w:hyperlink w:history="true" w:anchor="_bookmark483">
        <w:r>
          <w:rPr>
            <w:sz w:val="21"/>
            <w:vertAlign w:val="superscript"/>
          </w:rPr>
          <w:t>167</w:t>
        </w:r>
      </w:hyperlink>
      <w:r>
        <w:rPr>
          <w:spacing w:val="-2"/>
          <w:sz w:val="21"/>
          <w:vertAlign w:val="baseline"/>
        </w:rPr>
        <w:t> </w:t>
      </w:r>
      <w:r>
        <w:rPr>
          <w:sz w:val="21"/>
          <w:vertAlign w:val="baseline"/>
        </w:rPr>
        <w:t>The</w:t>
      </w:r>
      <w:r>
        <w:rPr>
          <w:spacing w:val="-3"/>
          <w:sz w:val="21"/>
          <w:vertAlign w:val="baseline"/>
        </w:rPr>
        <w:t> </w:t>
      </w:r>
      <w:r>
        <w:rPr>
          <w:sz w:val="21"/>
          <w:vertAlign w:val="baseline"/>
        </w:rPr>
        <w:t>FY24</w:t>
      </w:r>
      <w:r>
        <w:rPr>
          <w:spacing w:val="-3"/>
          <w:sz w:val="21"/>
          <w:vertAlign w:val="baseline"/>
        </w:rPr>
        <w:t> </w:t>
      </w:r>
      <w:r>
        <w:rPr>
          <w:sz w:val="21"/>
          <w:vertAlign w:val="baseline"/>
        </w:rPr>
        <w:t>Emerging</w:t>
      </w:r>
      <w:r>
        <w:rPr>
          <w:spacing w:val="-4"/>
          <w:sz w:val="21"/>
          <w:vertAlign w:val="baseline"/>
        </w:rPr>
        <w:t> </w:t>
      </w:r>
      <w:r>
        <w:rPr>
          <w:sz w:val="21"/>
          <w:vertAlign w:val="baseline"/>
        </w:rPr>
        <w:t>Adult</w:t>
      </w:r>
      <w:r>
        <w:rPr>
          <w:spacing w:val="-3"/>
          <w:sz w:val="21"/>
          <w:vertAlign w:val="baseline"/>
        </w:rPr>
        <w:t> </w:t>
      </w:r>
      <w:r>
        <w:rPr>
          <w:sz w:val="21"/>
          <w:vertAlign w:val="baseline"/>
        </w:rPr>
        <w:t>Reentry</w:t>
      </w:r>
      <w:r>
        <w:rPr>
          <w:spacing w:val="-3"/>
          <w:sz w:val="21"/>
          <w:vertAlign w:val="baseline"/>
        </w:rPr>
        <w:t> </w:t>
      </w:r>
      <w:r>
        <w:rPr>
          <w:sz w:val="21"/>
          <w:vertAlign w:val="baseline"/>
        </w:rPr>
        <w:t>Initiative</w:t>
      </w:r>
      <w:r>
        <w:rPr>
          <w:spacing w:val="-3"/>
          <w:sz w:val="21"/>
          <w:vertAlign w:val="baseline"/>
        </w:rPr>
        <w:t> </w:t>
      </w:r>
      <w:r>
        <w:rPr>
          <w:sz w:val="21"/>
          <w:vertAlign w:val="baseline"/>
        </w:rPr>
        <w:t>aims</w:t>
      </w:r>
      <w:r>
        <w:rPr>
          <w:spacing w:val="-4"/>
          <w:sz w:val="21"/>
          <w:vertAlign w:val="baseline"/>
        </w:rPr>
        <w:t> </w:t>
      </w:r>
      <w:r>
        <w:rPr>
          <w:sz w:val="21"/>
          <w:vertAlign w:val="baseline"/>
        </w:rPr>
        <w:t>to </w:t>
      </w:r>
      <w:bookmarkStart w:name="_bookmark522" w:id="756"/>
      <w:bookmarkEnd w:id="756"/>
      <w:r>
        <w:rPr>
          <w:sz w:val="21"/>
          <w:vertAlign w:val="baseline"/>
        </w:rPr>
        <w:t>f</w:t>
      </w:r>
      <w:r>
        <w:rPr>
          <w:sz w:val="21"/>
          <w:vertAlign w:val="baseline"/>
        </w:rPr>
        <w:t>und evidence-based programs facilitating successful community reintegration for these young adults, </w:t>
      </w:r>
      <w:bookmarkStart w:name="_bookmark523" w:id="757"/>
      <w:bookmarkEnd w:id="757"/>
      <w:r>
        <w:rPr>
          <w:sz w:val="21"/>
          <w:vertAlign w:val="baseline"/>
        </w:rPr>
        <w:t>i</w:t>
      </w:r>
      <w:r>
        <w:rPr>
          <w:sz w:val="21"/>
          <w:vertAlign w:val="baseline"/>
        </w:rPr>
        <w:t>ncluding</w:t>
      </w:r>
      <w:r>
        <w:rPr>
          <w:spacing w:val="-12"/>
          <w:sz w:val="21"/>
          <w:vertAlign w:val="baseline"/>
        </w:rPr>
        <w:t> </w:t>
      </w:r>
      <w:r>
        <w:rPr>
          <w:sz w:val="21"/>
          <w:vertAlign w:val="baseline"/>
        </w:rPr>
        <w:t>pre-</w:t>
      </w:r>
      <w:r>
        <w:rPr>
          <w:spacing w:val="-12"/>
          <w:sz w:val="21"/>
          <w:vertAlign w:val="baseline"/>
        </w:rPr>
        <w:t> </w:t>
      </w:r>
      <w:r>
        <w:rPr>
          <w:sz w:val="21"/>
          <w:vertAlign w:val="baseline"/>
        </w:rPr>
        <w:t>and</w:t>
      </w:r>
      <w:r>
        <w:rPr>
          <w:spacing w:val="-12"/>
          <w:sz w:val="21"/>
          <w:vertAlign w:val="baseline"/>
        </w:rPr>
        <w:t> </w:t>
      </w:r>
      <w:r>
        <w:rPr>
          <w:sz w:val="21"/>
          <w:vertAlign w:val="baseline"/>
        </w:rPr>
        <w:t>post-release</w:t>
      </w:r>
      <w:r>
        <w:rPr>
          <w:spacing w:val="-12"/>
          <w:sz w:val="21"/>
          <w:vertAlign w:val="baseline"/>
        </w:rPr>
        <w:t> </w:t>
      </w:r>
      <w:r>
        <w:rPr>
          <w:sz w:val="21"/>
          <w:vertAlign w:val="baseline"/>
        </w:rPr>
        <w:t>services.</w:t>
      </w:r>
      <w:hyperlink w:history="true" w:anchor="_bookmark484">
        <w:r>
          <w:rPr>
            <w:sz w:val="21"/>
            <w:vertAlign w:val="superscript"/>
          </w:rPr>
          <w:t>168</w:t>
        </w:r>
      </w:hyperlink>
      <w:r>
        <w:rPr>
          <w:spacing w:val="-3"/>
          <w:sz w:val="21"/>
          <w:vertAlign w:val="baseline"/>
        </w:rPr>
        <w:t> </w:t>
      </w:r>
      <w:r>
        <w:rPr>
          <w:sz w:val="21"/>
          <w:vertAlign w:val="baseline"/>
        </w:rPr>
        <w:t>This</w:t>
      </w:r>
      <w:r>
        <w:rPr>
          <w:spacing w:val="-12"/>
          <w:sz w:val="21"/>
          <w:vertAlign w:val="baseline"/>
        </w:rPr>
        <w:t> </w:t>
      </w:r>
      <w:r>
        <w:rPr>
          <w:sz w:val="21"/>
          <w:vertAlign w:val="baseline"/>
        </w:rPr>
        <w:t>initiative</w:t>
      </w:r>
      <w:r>
        <w:rPr>
          <w:spacing w:val="-12"/>
          <w:sz w:val="21"/>
          <w:vertAlign w:val="baseline"/>
        </w:rPr>
        <w:t> </w:t>
      </w:r>
      <w:r>
        <w:rPr>
          <w:sz w:val="21"/>
          <w:vertAlign w:val="baseline"/>
        </w:rPr>
        <w:t>is</w:t>
      </w:r>
      <w:r>
        <w:rPr>
          <w:spacing w:val="-12"/>
          <w:sz w:val="21"/>
          <w:vertAlign w:val="baseline"/>
        </w:rPr>
        <w:t> </w:t>
      </w:r>
      <w:r>
        <w:rPr>
          <w:sz w:val="21"/>
          <w:vertAlign w:val="baseline"/>
        </w:rPr>
        <w:t>part</w:t>
      </w:r>
      <w:r>
        <w:rPr>
          <w:spacing w:val="-11"/>
          <w:sz w:val="21"/>
          <w:vertAlign w:val="baseline"/>
        </w:rPr>
        <w:t> </w:t>
      </w:r>
      <w:r>
        <w:rPr>
          <w:sz w:val="21"/>
          <w:vertAlign w:val="baseline"/>
        </w:rPr>
        <w:t>of</w:t>
      </w:r>
      <w:r>
        <w:rPr>
          <w:spacing w:val="-12"/>
          <w:sz w:val="21"/>
          <w:vertAlign w:val="baseline"/>
        </w:rPr>
        <w:t> </w:t>
      </w:r>
      <w:r>
        <w:rPr>
          <w:sz w:val="21"/>
          <w:vertAlign w:val="baseline"/>
        </w:rPr>
        <w:t>a</w:t>
      </w:r>
      <w:r>
        <w:rPr>
          <w:spacing w:val="-11"/>
          <w:sz w:val="21"/>
          <w:vertAlign w:val="baseline"/>
        </w:rPr>
        <w:t> </w:t>
      </w:r>
      <w:r>
        <w:rPr>
          <w:sz w:val="21"/>
          <w:vertAlign w:val="baseline"/>
        </w:rPr>
        <w:t>broader</w:t>
      </w:r>
      <w:r>
        <w:rPr>
          <w:spacing w:val="-11"/>
          <w:sz w:val="21"/>
          <w:vertAlign w:val="baseline"/>
        </w:rPr>
        <w:t> </w:t>
      </w:r>
      <w:r>
        <w:rPr>
          <w:sz w:val="21"/>
          <w:vertAlign w:val="baseline"/>
        </w:rPr>
        <w:t>commitment</w:t>
      </w:r>
      <w:r>
        <w:rPr>
          <w:spacing w:val="-12"/>
          <w:sz w:val="21"/>
          <w:vertAlign w:val="baseline"/>
        </w:rPr>
        <w:t> </w:t>
      </w:r>
      <w:r>
        <w:rPr>
          <w:sz w:val="21"/>
          <w:vertAlign w:val="baseline"/>
        </w:rPr>
        <w:t>to</w:t>
      </w:r>
      <w:r>
        <w:rPr>
          <w:spacing w:val="-12"/>
          <w:sz w:val="21"/>
          <w:vertAlign w:val="baseline"/>
        </w:rPr>
        <w:t> </w:t>
      </w:r>
      <w:r>
        <w:rPr>
          <w:sz w:val="21"/>
          <w:vertAlign w:val="baseline"/>
        </w:rPr>
        <w:t>improve</w:t>
      </w:r>
      <w:r>
        <w:rPr>
          <w:spacing w:val="-12"/>
          <w:sz w:val="21"/>
          <w:vertAlign w:val="baseline"/>
        </w:rPr>
        <w:t> </w:t>
      </w:r>
      <w:r>
        <w:rPr>
          <w:sz w:val="21"/>
          <w:vertAlign w:val="baseline"/>
        </w:rPr>
        <w:t>public safety and outcomes for criminal-involved individuals by reducing barriers to successful reentry.</w:t>
      </w:r>
      <w:r>
        <w:rPr>
          <w:spacing w:val="-3"/>
          <w:sz w:val="21"/>
          <w:vertAlign w:val="baseline"/>
        </w:rPr>
        <w:t> </w:t>
      </w:r>
      <w:hyperlink w:history="true" w:anchor="_bookmark485">
        <w:r>
          <w:rPr>
            <w:sz w:val="21"/>
            <w:vertAlign w:val="superscript"/>
          </w:rPr>
          <w:t>169</w:t>
        </w:r>
      </w:hyperlink>
      <w:r>
        <w:rPr>
          <w:sz w:val="21"/>
          <w:vertAlign w:val="baseline"/>
        </w:rPr>
        <w:t> Additionally, the administration has introduced several other reentry initiatives focusing on housing, </w:t>
      </w:r>
      <w:bookmarkStart w:name="_bookmark524" w:id="758"/>
      <w:bookmarkEnd w:id="758"/>
      <w:r>
        <w:rPr>
          <w:sz w:val="21"/>
          <w:vertAlign w:val="baseline"/>
        </w:rPr>
        <w:t>m</w:t>
      </w:r>
      <w:r>
        <w:rPr>
          <w:sz w:val="21"/>
          <w:vertAlign w:val="baseline"/>
        </w:rPr>
        <w:t>entoring, and support services, all geared towards enhancing public safety, reducing recidivism, and aiding the reintegration of formerly incarcerated individuals into the community. The Commission </w:t>
      </w:r>
      <w:bookmarkStart w:name="_bookmark525" w:id="759"/>
      <w:bookmarkEnd w:id="759"/>
      <w:r>
        <w:rPr>
          <w:sz w:val="21"/>
          <w:vertAlign w:val="baseline"/>
        </w:rPr>
        <w:t>r</w:t>
      </w:r>
      <w:r>
        <w:rPr>
          <w:sz w:val="21"/>
          <w:vertAlign w:val="baseline"/>
        </w:rPr>
        <w:t>ecommends that the funds</w:t>
      </w:r>
      <w:r>
        <w:rPr>
          <w:spacing w:val="-1"/>
          <w:sz w:val="21"/>
          <w:vertAlign w:val="baseline"/>
        </w:rPr>
        <w:t> </w:t>
      </w:r>
      <w:r>
        <w:rPr>
          <w:sz w:val="21"/>
          <w:vertAlign w:val="baseline"/>
        </w:rPr>
        <w:t>be strategically used to address the unique needs of LGBTQ youth engaged in the criminal legal system. These funds should support programs that offer not only reentry services, but </w:t>
      </w:r>
      <w:bookmarkStart w:name="_bookmark526" w:id="760"/>
      <w:bookmarkEnd w:id="760"/>
      <w:r>
        <w:rPr>
          <w:sz w:val="21"/>
          <w:vertAlign w:val="baseline"/>
        </w:rPr>
        <w:t>al</w:t>
      </w:r>
      <w:r>
        <w:rPr>
          <w:sz w:val="21"/>
          <w:vertAlign w:val="baseline"/>
        </w:rPr>
        <w:t>so specific interventions tailored to the challenges faced by LGBTQ youth, such as disrupting the school </w:t>
      </w:r>
      <w:bookmarkStart w:name="_bookmark527" w:id="761"/>
      <w:bookmarkEnd w:id="761"/>
      <w:r>
        <w:rPr>
          <w:sz w:val="21"/>
          <w:vertAlign w:val="baseline"/>
        </w:rPr>
      </w:r>
      <w:bookmarkStart w:name="_bookmark528" w:id="762"/>
      <w:bookmarkEnd w:id="762"/>
      <w:r>
        <w:rPr>
          <w:sz w:val="21"/>
          <w:vertAlign w:val="baseline"/>
        </w:rPr>
        <w:t>and</w:t>
      </w:r>
      <w:r>
        <w:rPr>
          <w:sz w:val="21"/>
          <w:vertAlign w:val="baseline"/>
        </w:rPr>
        <w:t> foster to prison pipelines and specific allocations to services and resources for LGBTQ youth impacted by the criminal legal system.</w:t>
      </w:r>
    </w:p>
    <w:p>
      <w:pPr>
        <w:spacing w:line="276" w:lineRule="auto" w:before="240"/>
        <w:ind w:left="463" w:right="241" w:firstLine="0"/>
        <w:jc w:val="both"/>
        <w:rPr>
          <w:sz w:val="21"/>
        </w:rPr>
      </w:pPr>
      <w:bookmarkStart w:name="_bookmark529" w:id="763"/>
      <w:bookmarkEnd w:id="763"/>
      <w:r>
        <w:rPr/>
      </w:r>
      <w:r>
        <w:rPr>
          <w:sz w:val="21"/>
        </w:rPr>
        <w:t>In March 2024, Governor Maura Healey of Massachusetts announced an initiative to pardon adult </w:t>
      </w:r>
      <w:bookmarkStart w:name="_bookmark530" w:id="764"/>
      <w:bookmarkEnd w:id="764"/>
      <w:r>
        <w:rPr>
          <w:sz w:val="21"/>
        </w:rPr>
      </w:r>
      <w:bookmarkStart w:name="_bookmark531" w:id="765"/>
      <w:bookmarkEnd w:id="765"/>
      <w:r>
        <w:rPr>
          <w:sz w:val="21"/>
        </w:rPr>
        <w:t>m</w:t>
      </w:r>
      <w:r>
        <w:rPr>
          <w:sz w:val="21"/>
        </w:rPr>
        <w:t>isdemeanor marijuana possession convictions; a move that aligns with President Biden's call for such actions</w:t>
      </w:r>
      <w:r>
        <w:rPr>
          <w:spacing w:val="-3"/>
          <w:sz w:val="21"/>
        </w:rPr>
        <w:t> </w:t>
      </w:r>
      <w:r>
        <w:rPr>
          <w:sz w:val="21"/>
        </w:rPr>
        <w:t>at</w:t>
      </w:r>
      <w:r>
        <w:rPr>
          <w:spacing w:val="-3"/>
          <w:sz w:val="21"/>
        </w:rPr>
        <w:t> </w:t>
      </w:r>
      <w:r>
        <w:rPr>
          <w:sz w:val="21"/>
        </w:rPr>
        <w:t>the</w:t>
      </w:r>
      <w:r>
        <w:rPr>
          <w:spacing w:val="-3"/>
          <w:sz w:val="21"/>
        </w:rPr>
        <w:t> </w:t>
      </w:r>
      <w:r>
        <w:rPr>
          <w:sz w:val="21"/>
        </w:rPr>
        <w:t>state</w:t>
      </w:r>
      <w:r>
        <w:rPr>
          <w:spacing w:val="-2"/>
          <w:sz w:val="21"/>
        </w:rPr>
        <w:t> </w:t>
      </w:r>
      <w:r>
        <w:rPr>
          <w:sz w:val="21"/>
        </w:rPr>
        <w:t>level.</w:t>
      </w:r>
      <w:hyperlink w:history="true" w:anchor="_bookmark486">
        <w:r>
          <w:rPr>
            <w:sz w:val="21"/>
            <w:vertAlign w:val="superscript"/>
          </w:rPr>
          <w:t>170</w:t>
        </w:r>
      </w:hyperlink>
      <w:r>
        <w:rPr>
          <w:spacing w:val="-1"/>
          <w:sz w:val="21"/>
          <w:vertAlign w:val="baseline"/>
        </w:rPr>
        <w:t> </w:t>
      </w:r>
      <w:r>
        <w:rPr>
          <w:sz w:val="21"/>
          <w:vertAlign w:val="baseline"/>
        </w:rPr>
        <w:t>The</w:t>
      </w:r>
      <w:r>
        <w:rPr>
          <w:spacing w:val="-2"/>
          <w:sz w:val="21"/>
          <w:vertAlign w:val="baseline"/>
        </w:rPr>
        <w:t> </w:t>
      </w:r>
      <w:r>
        <w:rPr>
          <w:sz w:val="21"/>
          <w:vertAlign w:val="baseline"/>
        </w:rPr>
        <w:t>Governor’s</w:t>
      </w:r>
      <w:r>
        <w:rPr>
          <w:spacing w:val="-3"/>
          <w:sz w:val="21"/>
          <w:vertAlign w:val="baseline"/>
        </w:rPr>
        <w:t> </w:t>
      </w:r>
      <w:r>
        <w:rPr>
          <w:sz w:val="21"/>
          <w:vertAlign w:val="baseline"/>
        </w:rPr>
        <w:t>Council</w:t>
      </w:r>
      <w:r>
        <w:rPr>
          <w:spacing w:val="-2"/>
          <w:sz w:val="21"/>
          <w:vertAlign w:val="baseline"/>
        </w:rPr>
        <w:t> </w:t>
      </w:r>
      <w:r>
        <w:rPr>
          <w:sz w:val="21"/>
          <w:vertAlign w:val="baseline"/>
        </w:rPr>
        <w:t>approved</w:t>
      </w:r>
      <w:r>
        <w:rPr>
          <w:spacing w:val="-2"/>
          <w:sz w:val="21"/>
          <w:vertAlign w:val="baseline"/>
        </w:rPr>
        <w:t> </w:t>
      </w:r>
      <w:r>
        <w:rPr>
          <w:sz w:val="21"/>
          <w:vertAlign w:val="baseline"/>
        </w:rPr>
        <w:t>the</w:t>
      </w:r>
      <w:r>
        <w:rPr>
          <w:spacing w:val="-2"/>
          <w:sz w:val="21"/>
          <w:vertAlign w:val="baseline"/>
        </w:rPr>
        <w:t> </w:t>
      </w:r>
      <w:r>
        <w:rPr>
          <w:sz w:val="21"/>
          <w:vertAlign w:val="baseline"/>
        </w:rPr>
        <w:t>measure</w:t>
      </w:r>
      <w:r>
        <w:rPr>
          <w:spacing w:val="-2"/>
          <w:sz w:val="21"/>
          <w:vertAlign w:val="baseline"/>
        </w:rPr>
        <w:t> </w:t>
      </w:r>
      <w:r>
        <w:rPr>
          <w:sz w:val="21"/>
          <w:vertAlign w:val="baseline"/>
        </w:rPr>
        <w:t>April</w:t>
      </w:r>
      <w:r>
        <w:rPr>
          <w:spacing w:val="-2"/>
          <w:sz w:val="21"/>
          <w:vertAlign w:val="baseline"/>
        </w:rPr>
        <w:t> </w:t>
      </w:r>
      <w:r>
        <w:rPr>
          <w:sz w:val="21"/>
          <w:vertAlign w:val="baseline"/>
        </w:rPr>
        <w:t>3</w:t>
      </w:r>
      <w:r>
        <w:rPr>
          <w:sz w:val="21"/>
          <w:vertAlign w:val="superscript"/>
        </w:rPr>
        <w:t>rd</w:t>
      </w:r>
      <w:r>
        <w:rPr>
          <w:sz w:val="21"/>
          <w:vertAlign w:val="baseline"/>
        </w:rPr>
        <w:t>,</w:t>
      </w:r>
      <w:r>
        <w:rPr>
          <w:spacing w:val="-3"/>
          <w:sz w:val="21"/>
          <w:vertAlign w:val="baseline"/>
        </w:rPr>
        <w:t> </w:t>
      </w:r>
      <w:r>
        <w:rPr>
          <w:sz w:val="21"/>
          <w:vertAlign w:val="baseline"/>
        </w:rPr>
        <w:t>2024.</w:t>
      </w:r>
      <w:hyperlink w:history="true" w:anchor="_bookmark487">
        <w:r>
          <w:rPr>
            <w:sz w:val="21"/>
            <w:vertAlign w:val="superscript"/>
          </w:rPr>
          <w:t>171</w:t>
        </w:r>
      </w:hyperlink>
      <w:r>
        <w:rPr>
          <w:spacing w:val="-1"/>
          <w:sz w:val="21"/>
          <w:vertAlign w:val="baseline"/>
        </w:rPr>
        <w:t> </w:t>
      </w:r>
      <w:r>
        <w:rPr>
          <w:sz w:val="21"/>
          <w:vertAlign w:val="baseline"/>
        </w:rPr>
        <w:t>This</w:t>
      </w:r>
      <w:r>
        <w:rPr>
          <w:spacing w:val="-3"/>
          <w:sz w:val="21"/>
          <w:vertAlign w:val="baseline"/>
        </w:rPr>
        <w:t> </w:t>
      </w:r>
      <w:r>
        <w:rPr>
          <w:sz w:val="21"/>
          <w:vertAlign w:val="baseline"/>
        </w:rPr>
        <w:t>measure will</w:t>
      </w:r>
      <w:r>
        <w:rPr>
          <w:spacing w:val="27"/>
          <w:sz w:val="21"/>
          <w:vertAlign w:val="baseline"/>
        </w:rPr>
        <w:t> </w:t>
      </w:r>
      <w:r>
        <w:rPr>
          <w:sz w:val="21"/>
          <w:vertAlign w:val="baseline"/>
        </w:rPr>
        <w:t>apply</w:t>
      </w:r>
      <w:r>
        <w:rPr>
          <w:spacing w:val="27"/>
          <w:sz w:val="21"/>
          <w:vertAlign w:val="baseline"/>
        </w:rPr>
        <w:t> </w:t>
      </w:r>
      <w:r>
        <w:rPr>
          <w:sz w:val="21"/>
          <w:vertAlign w:val="baseline"/>
        </w:rPr>
        <w:t>to</w:t>
      </w:r>
      <w:r>
        <w:rPr>
          <w:spacing w:val="26"/>
          <w:sz w:val="21"/>
          <w:vertAlign w:val="baseline"/>
        </w:rPr>
        <w:t> </w:t>
      </w:r>
      <w:r>
        <w:rPr>
          <w:sz w:val="21"/>
          <w:vertAlign w:val="baseline"/>
        </w:rPr>
        <w:t>all</w:t>
      </w:r>
      <w:r>
        <w:rPr>
          <w:spacing w:val="27"/>
          <w:sz w:val="21"/>
          <w:vertAlign w:val="baseline"/>
        </w:rPr>
        <w:t> </w:t>
      </w:r>
      <w:r>
        <w:rPr>
          <w:sz w:val="21"/>
          <w:vertAlign w:val="baseline"/>
        </w:rPr>
        <w:t>eligible</w:t>
      </w:r>
      <w:r>
        <w:rPr>
          <w:spacing w:val="27"/>
          <w:sz w:val="21"/>
          <w:vertAlign w:val="baseline"/>
        </w:rPr>
        <w:t> </w:t>
      </w:r>
      <w:r>
        <w:rPr>
          <w:sz w:val="21"/>
          <w:vertAlign w:val="baseline"/>
        </w:rPr>
        <w:t>adult</w:t>
      </w:r>
      <w:r>
        <w:rPr>
          <w:spacing w:val="28"/>
          <w:sz w:val="21"/>
          <w:vertAlign w:val="baseline"/>
        </w:rPr>
        <w:t> </w:t>
      </w:r>
      <w:r>
        <w:rPr>
          <w:sz w:val="21"/>
          <w:vertAlign w:val="baseline"/>
        </w:rPr>
        <w:t>convictions</w:t>
      </w:r>
      <w:r>
        <w:rPr>
          <w:spacing w:val="27"/>
          <w:sz w:val="21"/>
          <w:vertAlign w:val="baseline"/>
        </w:rPr>
        <w:t> </w:t>
      </w:r>
      <w:r>
        <w:rPr>
          <w:sz w:val="21"/>
          <w:vertAlign w:val="baseline"/>
        </w:rPr>
        <w:t>in</w:t>
      </w:r>
      <w:r>
        <w:rPr>
          <w:spacing w:val="28"/>
          <w:sz w:val="21"/>
          <w:vertAlign w:val="baseline"/>
        </w:rPr>
        <w:t> </w:t>
      </w:r>
      <w:r>
        <w:rPr>
          <w:sz w:val="21"/>
          <w:vertAlign w:val="baseline"/>
        </w:rPr>
        <w:t>Massachusetts</w:t>
      </w:r>
      <w:r>
        <w:rPr>
          <w:spacing w:val="27"/>
          <w:sz w:val="21"/>
          <w:vertAlign w:val="baseline"/>
        </w:rPr>
        <w:t> </w:t>
      </w:r>
      <w:r>
        <w:rPr>
          <w:sz w:val="21"/>
          <w:vertAlign w:val="baseline"/>
        </w:rPr>
        <w:t>state</w:t>
      </w:r>
      <w:r>
        <w:rPr>
          <w:spacing w:val="27"/>
          <w:sz w:val="21"/>
          <w:vertAlign w:val="baseline"/>
        </w:rPr>
        <w:t> </w:t>
      </w:r>
      <w:r>
        <w:rPr>
          <w:sz w:val="21"/>
          <w:vertAlign w:val="baseline"/>
        </w:rPr>
        <w:t>courts</w:t>
      </w:r>
      <w:r>
        <w:rPr>
          <w:spacing w:val="27"/>
          <w:sz w:val="21"/>
          <w:vertAlign w:val="baseline"/>
        </w:rPr>
        <w:t> </w:t>
      </w:r>
      <w:r>
        <w:rPr>
          <w:sz w:val="21"/>
          <w:vertAlign w:val="baseline"/>
        </w:rPr>
        <w:t>before</w:t>
      </w:r>
      <w:r>
        <w:rPr>
          <w:spacing w:val="27"/>
          <w:sz w:val="21"/>
          <w:vertAlign w:val="baseline"/>
        </w:rPr>
        <w:t> </w:t>
      </w:r>
      <w:r>
        <w:rPr>
          <w:sz w:val="21"/>
          <w:vertAlign w:val="baseline"/>
        </w:rPr>
        <w:t>March</w:t>
      </w:r>
      <w:r>
        <w:rPr>
          <w:spacing w:val="27"/>
          <w:sz w:val="21"/>
          <w:vertAlign w:val="baseline"/>
        </w:rPr>
        <w:t> </w:t>
      </w:r>
      <w:r>
        <w:rPr>
          <w:sz w:val="21"/>
          <w:vertAlign w:val="baseline"/>
        </w:rPr>
        <w:t>13,</w:t>
      </w:r>
      <w:r>
        <w:rPr>
          <w:spacing w:val="27"/>
          <w:sz w:val="21"/>
          <w:vertAlign w:val="baseline"/>
        </w:rPr>
        <w:t> </w:t>
      </w:r>
      <w:r>
        <w:rPr>
          <w:sz w:val="21"/>
          <w:vertAlign w:val="baseline"/>
        </w:rPr>
        <w:t>2024.</w:t>
      </w:r>
      <w:hyperlink w:history="true" w:anchor="_bookmark488">
        <w:r>
          <w:rPr>
            <w:sz w:val="21"/>
            <w:vertAlign w:val="superscript"/>
          </w:rPr>
          <w:t>172</w:t>
        </w:r>
      </w:hyperlink>
      <w:r>
        <w:rPr>
          <w:sz w:val="21"/>
          <w:vertAlign w:val="baseline"/>
        </w:rPr>
        <w:t> The</w:t>
      </w:r>
    </w:p>
    <w:p>
      <w:pPr>
        <w:spacing w:after="0" w:line="276" w:lineRule="auto"/>
        <w:jc w:val="both"/>
        <w:rPr>
          <w:sz w:val="21"/>
        </w:rPr>
        <w:sectPr>
          <w:pgSz w:w="12240" w:h="15840"/>
          <w:pgMar w:header="763" w:footer="1041" w:top="1360" w:bottom="1240" w:left="1120" w:right="1340"/>
        </w:sectPr>
      </w:pPr>
    </w:p>
    <w:p>
      <w:pPr>
        <w:spacing w:line="276" w:lineRule="auto" w:before="65"/>
        <w:ind w:left="464" w:right="240" w:firstLine="0"/>
        <w:jc w:val="both"/>
        <w:rPr>
          <w:sz w:val="21"/>
        </w:rPr>
      </w:pPr>
      <w:r>
        <w:rPr>
          <w:sz w:val="21"/>
        </w:rPr>
        <w:t>pardon,</w:t>
      </w:r>
      <w:r>
        <w:rPr>
          <w:spacing w:val="-3"/>
          <w:sz w:val="21"/>
        </w:rPr>
        <w:t> </w:t>
      </w:r>
      <w:r>
        <w:rPr>
          <w:sz w:val="21"/>
        </w:rPr>
        <w:t>which</w:t>
      </w:r>
      <w:r>
        <w:rPr>
          <w:spacing w:val="-4"/>
          <w:sz w:val="21"/>
        </w:rPr>
        <w:t> </w:t>
      </w:r>
      <w:r>
        <w:rPr>
          <w:sz w:val="21"/>
        </w:rPr>
        <w:t>is</w:t>
      </w:r>
      <w:r>
        <w:rPr>
          <w:spacing w:val="-4"/>
          <w:sz w:val="21"/>
        </w:rPr>
        <w:t> </w:t>
      </w:r>
      <w:r>
        <w:rPr>
          <w:sz w:val="21"/>
        </w:rPr>
        <w:t>seen</w:t>
      </w:r>
      <w:r>
        <w:rPr>
          <w:spacing w:val="-3"/>
          <w:sz w:val="21"/>
        </w:rPr>
        <w:t> </w:t>
      </w:r>
      <w:r>
        <w:rPr>
          <w:sz w:val="21"/>
        </w:rPr>
        <w:t>as</w:t>
      </w:r>
      <w:r>
        <w:rPr>
          <w:spacing w:val="-3"/>
          <w:sz w:val="21"/>
        </w:rPr>
        <w:t> </w:t>
      </w:r>
      <w:r>
        <w:rPr>
          <w:sz w:val="21"/>
        </w:rPr>
        <w:t>the</w:t>
      </w:r>
      <w:r>
        <w:rPr>
          <w:spacing w:val="-3"/>
          <w:sz w:val="21"/>
        </w:rPr>
        <w:t> </w:t>
      </w:r>
      <w:r>
        <w:rPr>
          <w:sz w:val="21"/>
        </w:rPr>
        <w:t>most</w:t>
      </w:r>
      <w:r>
        <w:rPr>
          <w:spacing w:val="-3"/>
          <w:sz w:val="21"/>
        </w:rPr>
        <w:t> </w:t>
      </w:r>
      <w:r>
        <w:rPr>
          <w:sz w:val="21"/>
        </w:rPr>
        <w:t>comprehensive</w:t>
      </w:r>
      <w:r>
        <w:rPr>
          <w:spacing w:val="-3"/>
          <w:sz w:val="21"/>
        </w:rPr>
        <w:t> </w:t>
      </w:r>
      <w:r>
        <w:rPr>
          <w:sz w:val="21"/>
        </w:rPr>
        <w:t>gubernatorial</w:t>
      </w:r>
      <w:r>
        <w:rPr>
          <w:spacing w:val="-3"/>
          <w:sz w:val="21"/>
        </w:rPr>
        <w:t> </w:t>
      </w:r>
      <w:r>
        <w:rPr>
          <w:sz w:val="21"/>
        </w:rPr>
        <w:t>action</w:t>
      </w:r>
      <w:r>
        <w:rPr>
          <w:spacing w:val="-3"/>
          <w:sz w:val="21"/>
        </w:rPr>
        <w:t> </w:t>
      </w:r>
      <w:r>
        <w:rPr>
          <w:sz w:val="21"/>
        </w:rPr>
        <w:t>following</w:t>
      </w:r>
      <w:r>
        <w:rPr>
          <w:spacing w:val="-3"/>
          <w:sz w:val="21"/>
        </w:rPr>
        <w:t> </w:t>
      </w:r>
      <w:r>
        <w:rPr>
          <w:sz w:val="21"/>
        </w:rPr>
        <w:t>the</w:t>
      </w:r>
      <w:r>
        <w:rPr>
          <w:spacing w:val="-3"/>
          <w:sz w:val="21"/>
        </w:rPr>
        <w:t> </w:t>
      </w:r>
      <w:r>
        <w:rPr>
          <w:sz w:val="21"/>
        </w:rPr>
        <w:t>President's</w:t>
      </w:r>
      <w:r>
        <w:rPr>
          <w:spacing w:val="-4"/>
          <w:sz w:val="21"/>
        </w:rPr>
        <w:t> </w:t>
      </w:r>
      <w:r>
        <w:rPr>
          <w:sz w:val="21"/>
        </w:rPr>
        <w:t>pardon</w:t>
      </w:r>
      <w:r>
        <w:rPr>
          <w:spacing w:val="-3"/>
          <w:sz w:val="21"/>
        </w:rPr>
        <w:t> </w:t>
      </w:r>
      <w:r>
        <w:rPr>
          <w:sz w:val="21"/>
        </w:rPr>
        <w:t>of federal convictions, is designed to remove barriers to employment, housing, and education for individuals with past convictions for acts that would no longer be prosecuted today.</w:t>
      </w:r>
      <w:hyperlink w:history="true" w:anchor="_bookmark489">
        <w:r>
          <w:rPr>
            <w:sz w:val="21"/>
            <w:vertAlign w:val="superscript"/>
          </w:rPr>
          <w:t>173</w:t>
        </w:r>
      </w:hyperlink>
      <w:r>
        <w:rPr>
          <w:spacing w:val="-2"/>
          <w:sz w:val="21"/>
          <w:vertAlign w:val="baseline"/>
        </w:rPr>
        <w:t> </w:t>
      </w:r>
      <w:r>
        <w:rPr>
          <w:sz w:val="21"/>
          <w:vertAlign w:val="baseline"/>
        </w:rPr>
        <w:t>This step is part of a broader commitment by the Healey administration to promote fairness and equity within the criminal justice system, acknowledging the significant changes in marijuana laws over the past decade and addressing historic</w:t>
      </w:r>
      <w:r>
        <w:rPr>
          <w:spacing w:val="-6"/>
          <w:sz w:val="21"/>
          <w:vertAlign w:val="baseline"/>
        </w:rPr>
        <w:t> </w:t>
      </w:r>
      <w:r>
        <w:rPr>
          <w:sz w:val="21"/>
          <w:vertAlign w:val="baseline"/>
        </w:rPr>
        <w:t>wrongs</w:t>
      </w:r>
      <w:r>
        <w:rPr>
          <w:spacing w:val="-6"/>
          <w:sz w:val="21"/>
          <w:vertAlign w:val="baseline"/>
        </w:rPr>
        <w:t> </w:t>
      </w:r>
      <w:r>
        <w:rPr>
          <w:sz w:val="21"/>
          <w:vertAlign w:val="baseline"/>
        </w:rPr>
        <w:t>particularly</w:t>
      </w:r>
      <w:r>
        <w:rPr>
          <w:spacing w:val="-7"/>
          <w:sz w:val="21"/>
          <w:vertAlign w:val="baseline"/>
        </w:rPr>
        <w:t> </w:t>
      </w:r>
      <w:r>
        <w:rPr>
          <w:sz w:val="21"/>
          <w:vertAlign w:val="baseline"/>
        </w:rPr>
        <w:t>tied</w:t>
      </w:r>
      <w:r>
        <w:rPr>
          <w:spacing w:val="-5"/>
          <w:sz w:val="21"/>
          <w:vertAlign w:val="baseline"/>
        </w:rPr>
        <w:t> </w:t>
      </w:r>
      <w:r>
        <w:rPr>
          <w:sz w:val="21"/>
          <w:vertAlign w:val="baseline"/>
        </w:rPr>
        <w:t>to</w:t>
      </w:r>
      <w:r>
        <w:rPr>
          <w:spacing w:val="-7"/>
          <w:sz w:val="21"/>
          <w:vertAlign w:val="baseline"/>
        </w:rPr>
        <w:t> </w:t>
      </w:r>
      <w:r>
        <w:rPr>
          <w:sz w:val="21"/>
          <w:vertAlign w:val="baseline"/>
        </w:rPr>
        <w:t>the</w:t>
      </w:r>
      <w:r>
        <w:rPr>
          <w:spacing w:val="-7"/>
          <w:sz w:val="21"/>
          <w:vertAlign w:val="baseline"/>
        </w:rPr>
        <w:t> </w:t>
      </w:r>
      <w:r>
        <w:rPr>
          <w:sz w:val="21"/>
          <w:vertAlign w:val="baseline"/>
        </w:rPr>
        <w:t>War</w:t>
      </w:r>
      <w:r>
        <w:rPr>
          <w:spacing w:val="-7"/>
          <w:sz w:val="21"/>
          <w:vertAlign w:val="baseline"/>
        </w:rPr>
        <w:t> </w:t>
      </w:r>
      <w:r>
        <w:rPr>
          <w:sz w:val="21"/>
          <w:vertAlign w:val="baseline"/>
        </w:rPr>
        <w:t>on</w:t>
      </w:r>
      <w:r>
        <w:rPr>
          <w:spacing w:val="-7"/>
          <w:sz w:val="21"/>
          <w:vertAlign w:val="baseline"/>
        </w:rPr>
        <w:t> </w:t>
      </w:r>
      <w:r>
        <w:rPr>
          <w:sz w:val="21"/>
          <w:vertAlign w:val="baseline"/>
        </w:rPr>
        <w:t>Drugs.</w:t>
      </w:r>
      <w:hyperlink w:history="true" w:anchor="_bookmark490">
        <w:r>
          <w:rPr>
            <w:sz w:val="21"/>
            <w:vertAlign w:val="superscript"/>
          </w:rPr>
          <w:t>174</w:t>
        </w:r>
      </w:hyperlink>
      <w:r>
        <w:rPr>
          <w:spacing w:val="-2"/>
          <w:sz w:val="21"/>
          <w:vertAlign w:val="baseline"/>
        </w:rPr>
        <w:t> </w:t>
      </w:r>
      <w:r>
        <w:rPr>
          <w:sz w:val="21"/>
          <w:vertAlign w:val="baseline"/>
        </w:rPr>
        <w:t>Various</w:t>
      </w:r>
      <w:r>
        <w:rPr>
          <w:spacing w:val="-6"/>
          <w:sz w:val="21"/>
          <w:vertAlign w:val="baseline"/>
        </w:rPr>
        <w:t> </w:t>
      </w:r>
      <w:r>
        <w:rPr>
          <w:sz w:val="21"/>
          <w:vertAlign w:val="baseline"/>
        </w:rPr>
        <w:t>leaders</w:t>
      </w:r>
      <w:r>
        <w:rPr>
          <w:spacing w:val="-6"/>
          <w:sz w:val="21"/>
          <w:vertAlign w:val="baseline"/>
        </w:rPr>
        <w:t> </w:t>
      </w:r>
      <w:r>
        <w:rPr>
          <w:sz w:val="21"/>
          <w:vertAlign w:val="baseline"/>
        </w:rPr>
        <w:t>and</w:t>
      </w:r>
      <w:r>
        <w:rPr>
          <w:spacing w:val="-6"/>
          <w:sz w:val="21"/>
          <w:vertAlign w:val="baseline"/>
        </w:rPr>
        <w:t> </w:t>
      </w:r>
      <w:r>
        <w:rPr>
          <w:sz w:val="21"/>
          <w:vertAlign w:val="baseline"/>
        </w:rPr>
        <w:t>organizations</w:t>
      </w:r>
      <w:r>
        <w:rPr>
          <w:spacing w:val="-6"/>
          <w:sz w:val="21"/>
          <w:vertAlign w:val="baseline"/>
        </w:rPr>
        <w:t> </w:t>
      </w:r>
      <w:r>
        <w:rPr>
          <w:sz w:val="21"/>
          <w:vertAlign w:val="baseline"/>
        </w:rPr>
        <w:t>across</w:t>
      </w:r>
      <w:r>
        <w:rPr>
          <w:spacing w:val="-6"/>
          <w:sz w:val="21"/>
          <w:vertAlign w:val="baseline"/>
        </w:rPr>
        <w:t> </w:t>
      </w:r>
      <w:r>
        <w:rPr>
          <w:sz w:val="21"/>
          <w:vertAlign w:val="baseline"/>
        </w:rPr>
        <w:t>the</w:t>
      </w:r>
      <w:r>
        <w:rPr>
          <w:spacing w:val="-6"/>
          <w:sz w:val="21"/>
          <w:vertAlign w:val="baseline"/>
        </w:rPr>
        <w:t> </w:t>
      </w:r>
      <w:r>
        <w:rPr>
          <w:sz w:val="21"/>
          <w:vertAlign w:val="baseline"/>
        </w:rPr>
        <w:t>state, including legal, law enforcement, and civil rights groups, have expressed strong support for this effort, emphasizing</w:t>
      </w:r>
      <w:r>
        <w:rPr>
          <w:spacing w:val="-7"/>
          <w:sz w:val="21"/>
          <w:vertAlign w:val="baseline"/>
        </w:rPr>
        <w:t> </w:t>
      </w:r>
      <w:r>
        <w:rPr>
          <w:sz w:val="21"/>
          <w:vertAlign w:val="baseline"/>
        </w:rPr>
        <w:t>its</w:t>
      </w:r>
      <w:r>
        <w:rPr>
          <w:spacing w:val="-7"/>
          <w:sz w:val="21"/>
          <w:vertAlign w:val="baseline"/>
        </w:rPr>
        <w:t> </w:t>
      </w:r>
      <w:r>
        <w:rPr>
          <w:sz w:val="21"/>
          <w:vertAlign w:val="baseline"/>
        </w:rPr>
        <w:t>potential</w:t>
      </w:r>
      <w:r>
        <w:rPr>
          <w:spacing w:val="-7"/>
          <w:sz w:val="21"/>
          <w:vertAlign w:val="baseline"/>
        </w:rPr>
        <w:t> </w:t>
      </w:r>
      <w:r>
        <w:rPr>
          <w:sz w:val="21"/>
          <w:vertAlign w:val="baseline"/>
        </w:rPr>
        <w:t>to</w:t>
      </w:r>
      <w:r>
        <w:rPr>
          <w:spacing w:val="-9"/>
          <w:sz w:val="21"/>
          <w:vertAlign w:val="baseline"/>
        </w:rPr>
        <w:t> </w:t>
      </w:r>
      <w:r>
        <w:rPr>
          <w:sz w:val="21"/>
          <w:vertAlign w:val="baseline"/>
        </w:rPr>
        <w:t>rectify</w:t>
      </w:r>
      <w:r>
        <w:rPr>
          <w:spacing w:val="-7"/>
          <w:sz w:val="21"/>
          <w:vertAlign w:val="baseline"/>
        </w:rPr>
        <w:t> </w:t>
      </w:r>
      <w:r>
        <w:rPr>
          <w:sz w:val="21"/>
          <w:vertAlign w:val="baseline"/>
        </w:rPr>
        <w:t>racial</w:t>
      </w:r>
      <w:r>
        <w:rPr>
          <w:spacing w:val="-7"/>
          <w:sz w:val="21"/>
          <w:vertAlign w:val="baseline"/>
        </w:rPr>
        <w:t> </w:t>
      </w:r>
      <w:r>
        <w:rPr>
          <w:sz w:val="21"/>
          <w:vertAlign w:val="baseline"/>
        </w:rPr>
        <w:t>disparities</w:t>
      </w:r>
      <w:r>
        <w:rPr>
          <w:spacing w:val="-7"/>
          <w:sz w:val="21"/>
          <w:vertAlign w:val="baseline"/>
        </w:rPr>
        <w:t> </w:t>
      </w:r>
      <w:r>
        <w:rPr>
          <w:sz w:val="21"/>
          <w:vertAlign w:val="baseline"/>
        </w:rPr>
        <w:t>and</w:t>
      </w:r>
      <w:r>
        <w:rPr>
          <w:spacing w:val="-7"/>
          <w:sz w:val="21"/>
          <w:vertAlign w:val="baseline"/>
        </w:rPr>
        <w:t> </w:t>
      </w:r>
      <w:r>
        <w:rPr>
          <w:sz w:val="21"/>
          <w:vertAlign w:val="baseline"/>
        </w:rPr>
        <w:t>improve</w:t>
      </w:r>
      <w:r>
        <w:rPr>
          <w:spacing w:val="-7"/>
          <w:sz w:val="21"/>
          <w:vertAlign w:val="baseline"/>
        </w:rPr>
        <w:t> </w:t>
      </w:r>
      <w:r>
        <w:rPr>
          <w:sz w:val="21"/>
          <w:vertAlign w:val="baseline"/>
        </w:rPr>
        <w:t>economic</w:t>
      </w:r>
      <w:r>
        <w:rPr>
          <w:spacing w:val="-7"/>
          <w:sz w:val="21"/>
          <w:vertAlign w:val="baseline"/>
        </w:rPr>
        <w:t> </w:t>
      </w:r>
      <w:r>
        <w:rPr>
          <w:sz w:val="21"/>
          <w:vertAlign w:val="baseline"/>
        </w:rPr>
        <w:t>stability</w:t>
      </w:r>
      <w:r>
        <w:rPr>
          <w:spacing w:val="-8"/>
          <w:sz w:val="21"/>
          <w:vertAlign w:val="baseline"/>
        </w:rPr>
        <w:t> </w:t>
      </w:r>
      <w:r>
        <w:rPr>
          <w:sz w:val="21"/>
          <w:vertAlign w:val="baseline"/>
        </w:rPr>
        <w:t>for</w:t>
      </w:r>
      <w:r>
        <w:rPr>
          <w:spacing w:val="-7"/>
          <w:sz w:val="21"/>
          <w:vertAlign w:val="baseline"/>
        </w:rPr>
        <w:t> </w:t>
      </w:r>
      <w:r>
        <w:rPr>
          <w:sz w:val="21"/>
          <w:vertAlign w:val="baseline"/>
        </w:rPr>
        <w:t>affected</w:t>
      </w:r>
      <w:r>
        <w:rPr>
          <w:spacing w:val="-7"/>
          <w:sz w:val="21"/>
          <w:vertAlign w:val="baseline"/>
        </w:rPr>
        <w:t> </w:t>
      </w:r>
      <w:r>
        <w:rPr>
          <w:sz w:val="21"/>
          <w:vertAlign w:val="baseline"/>
        </w:rPr>
        <w:t>individuals and families. Though the measure only applies to adult convictions, the Commission applauds this significant step to improve the lives of those with cannabis convictions, including those who were young adults (i.e. 18-24) at the time of their conviction.</w:t>
      </w:r>
    </w:p>
    <w:p>
      <w:pPr>
        <w:spacing w:line="276" w:lineRule="auto" w:before="240"/>
        <w:ind w:left="464" w:right="239" w:firstLine="0"/>
        <w:jc w:val="both"/>
        <w:rPr>
          <w:sz w:val="21"/>
        </w:rPr>
      </w:pPr>
      <w:r>
        <w:rPr>
          <w:sz w:val="21"/>
        </w:rPr>
        <w:t>Despite considerable reforms within the juvenile and criminal legal systems, much remains to be accomplished in safeguarding LGBTQ individuals older than 18. Although it is possible to expunge non- serious offenses committed before the age of 21 from a person's record, this procedure is not automatic and</w:t>
      </w:r>
      <w:r>
        <w:rPr>
          <w:spacing w:val="-3"/>
          <w:sz w:val="21"/>
        </w:rPr>
        <w:t> </w:t>
      </w:r>
      <w:r>
        <w:rPr>
          <w:sz w:val="21"/>
        </w:rPr>
        <w:t>often</w:t>
      </w:r>
      <w:r>
        <w:rPr>
          <w:spacing w:val="-4"/>
          <w:sz w:val="21"/>
        </w:rPr>
        <w:t> </w:t>
      </w:r>
      <w:r>
        <w:rPr>
          <w:sz w:val="21"/>
        </w:rPr>
        <w:t>involves</w:t>
      </w:r>
      <w:r>
        <w:rPr>
          <w:spacing w:val="-4"/>
          <w:sz w:val="21"/>
        </w:rPr>
        <w:t> </w:t>
      </w:r>
      <w:r>
        <w:rPr>
          <w:sz w:val="21"/>
        </w:rPr>
        <w:t>a</w:t>
      </w:r>
      <w:r>
        <w:rPr>
          <w:spacing w:val="-3"/>
          <w:sz w:val="21"/>
        </w:rPr>
        <w:t> </w:t>
      </w:r>
      <w:r>
        <w:rPr>
          <w:sz w:val="21"/>
        </w:rPr>
        <w:t>complex</w:t>
      </w:r>
      <w:r>
        <w:rPr>
          <w:spacing w:val="-3"/>
          <w:sz w:val="21"/>
        </w:rPr>
        <w:t> </w:t>
      </w:r>
      <w:r>
        <w:rPr>
          <w:sz w:val="21"/>
        </w:rPr>
        <w:t>and</w:t>
      </w:r>
      <w:r>
        <w:rPr>
          <w:spacing w:val="-4"/>
          <w:sz w:val="21"/>
        </w:rPr>
        <w:t> </w:t>
      </w:r>
      <w:r>
        <w:rPr>
          <w:sz w:val="21"/>
        </w:rPr>
        <w:t>protracted</w:t>
      </w:r>
      <w:r>
        <w:rPr>
          <w:spacing w:val="-3"/>
          <w:sz w:val="21"/>
        </w:rPr>
        <w:t> </w:t>
      </w:r>
      <w:r>
        <w:rPr>
          <w:sz w:val="21"/>
        </w:rPr>
        <w:t>process.</w:t>
      </w:r>
      <w:r>
        <w:rPr>
          <w:spacing w:val="-4"/>
          <w:sz w:val="21"/>
        </w:rPr>
        <w:t> </w:t>
      </w:r>
      <w:r>
        <w:rPr>
          <w:sz w:val="21"/>
        </w:rPr>
        <w:t>LGBTQ</w:t>
      </w:r>
      <w:r>
        <w:rPr>
          <w:spacing w:val="-3"/>
          <w:sz w:val="21"/>
        </w:rPr>
        <w:t> </w:t>
      </w:r>
      <w:r>
        <w:rPr>
          <w:sz w:val="21"/>
        </w:rPr>
        <w:t>youth</w:t>
      </w:r>
      <w:r>
        <w:rPr>
          <w:spacing w:val="-4"/>
          <w:sz w:val="21"/>
        </w:rPr>
        <w:t> </w:t>
      </w:r>
      <w:r>
        <w:rPr>
          <w:sz w:val="21"/>
        </w:rPr>
        <w:t>frequently</w:t>
      </w:r>
      <w:r>
        <w:rPr>
          <w:spacing w:val="-3"/>
          <w:sz w:val="21"/>
        </w:rPr>
        <w:t> </w:t>
      </w:r>
      <w:r>
        <w:rPr>
          <w:sz w:val="21"/>
        </w:rPr>
        <w:t>encounter</w:t>
      </w:r>
      <w:r>
        <w:rPr>
          <w:spacing w:val="-3"/>
          <w:sz w:val="21"/>
        </w:rPr>
        <w:t> </w:t>
      </w:r>
      <w:r>
        <w:rPr>
          <w:sz w:val="21"/>
        </w:rPr>
        <w:t>discrimination</w:t>
      </w:r>
      <w:r>
        <w:rPr>
          <w:spacing w:val="-3"/>
          <w:sz w:val="21"/>
        </w:rPr>
        <w:t> </w:t>
      </w:r>
      <w:r>
        <w:rPr>
          <w:sz w:val="21"/>
        </w:rPr>
        <w:t>in areas such as employment, housing, and accessing social services. The presence of a criminal record, even for minor offenses, can significantly worsen these challenges.</w:t>
      </w:r>
    </w:p>
    <w:p>
      <w:pPr>
        <w:spacing w:before="239"/>
        <w:ind w:left="464" w:right="0" w:firstLine="0"/>
        <w:jc w:val="both"/>
        <w:rPr>
          <w:sz w:val="28"/>
        </w:rPr>
      </w:pPr>
      <w:bookmarkStart w:name="Restorative Justice, Diversion, and Alte" w:id="766"/>
      <w:bookmarkEnd w:id="766"/>
      <w:r>
        <w:rPr/>
      </w:r>
      <w:r>
        <w:rPr>
          <w:color w:val="365F91"/>
          <w:sz w:val="28"/>
        </w:rPr>
        <w:t>Restorative</w:t>
      </w:r>
      <w:r>
        <w:rPr>
          <w:color w:val="365F91"/>
          <w:spacing w:val="-13"/>
          <w:sz w:val="28"/>
        </w:rPr>
        <w:t> </w:t>
      </w:r>
      <w:r>
        <w:rPr>
          <w:color w:val="365F91"/>
          <w:sz w:val="28"/>
        </w:rPr>
        <w:t>Justice,</w:t>
      </w:r>
      <w:r>
        <w:rPr>
          <w:color w:val="365F91"/>
          <w:spacing w:val="-12"/>
          <w:sz w:val="28"/>
        </w:rPr>
        <w:t> </w:t>
      </w:r>
      <w:r>
        <w:rPr>
          <w:color w:val="365F91"/>
          <w:sz w:val="28"/>
        </w:rPr>
        <w:t>Diversion,</w:t>
      </w:r>
      <w:r>
        <w:rPr>
          <w:color w:val="365F91"/>
          <w:spacing w:val="-12"/>
          <w:sz w:val="28"/>
        </w:rPr>
        <w:t> </w:t>
      </w:r>
      <w:r>
        <w:rPr>
          <w:color w:val="365F91"/>
          <w:sz w:val="28"/>
        </w:rPr>
        <w:t>and</w:t>
      </w:r>
      <w:r>
        <w:rPr>
          <w:color w:val="365F91"/>
          <w:spacing w:val="-12"/>
          <w:sz w:val="28"/>
        </w:rPr>
        <w:t> </w:t>
      </w:r>
      <w:r>
        <w:rPr>
          <w:color w:val="365F91"/>
          <w:sz w:val="28"/>
        </w:rPr>
        <w:t>Alternatives</w:t>
      </w:r>
      <w:r>
        <w:rPr>
          <w:color w:val="365F91"/>
          <w:spacing w:val="-13"/>
          <w:sz w:val="28"/>
        </w:rPr>
        <w:t> </w:t>
      </w:r>
      <w:r>
        <w:rPr>
          <w:color w:val="365F91"/>
          <w:sz w:val="28"/>
        </w:rPr>
        <w:t>to</w:t>
      </w:r>
      <w:r>
        <w:rPr>
          <w:color w:val="365F91"/>
          <w:spacing w:val="-12"/>
          <w:sz w:val="28"/>
        </w:rPr>
        <w:t> </w:t>
      </w:r>
      <w:r>
        <w:rPr>
          <w:color w:val="365F91"/>
          <w:spacing w:val="-2"/>
          <w:sz w:val="28"/>
        </w:rPr>
        <w:t>Confinement</w:t>
      </w:r>
    </w:p>
    <w:p>
      <w:pPr>
        <w:spacing w:line="276" w:lineRule="auto" w:before="240"/>
        <w:ind w:left="463" w:right="239" w:firstLine="0"/>
        <w:jc w:val="both"/>
        <w:rPr>
          <w:sz w:val="21"/>
        </w:rPr>
      </w:pPr>
      <w:r>
        <w:rPr>
          <w:sz w:val="21"/>
        </w:rPr>
        <w:t>Given the significant and often irrevocable harm caused by both juvenile detention and criminal adult incarceration</w:t>
      </w:r>
      <w:r>
        <w:rPr>
          <w:spacing w:val="-4"/>
          <w:sz w:val="21"/>
        </w:rPr>
        <w:t> </w:t>
      </w:r>
      <w:r>
        <w:rPr>
          <w:sz w:val="21"/>
        </w:rPr>
        <w:t>on</w:t>
      </w:r>
      <w:r>
        <w:rPr>
          <w:spacing w:val="-3"/>
          <w:sz w:val="21"/>
        </w:rPr>
        <w:t> </w:t>
      </w:r>
      <w:r>
        <w:rPr>
          <w:sz w:val="21"/>
        </w:rPr>
        <w:t>LGBTQ</w:t>
      </w:r>
      <w:r>
        <w:rPr>
          <w:spacing w:val="-3"/>
          <w:sz w:val="21"/>
        </w:rPr>
        <w:t> </w:t>
      </w:r>
      <w:r>
        <w:rPr>
          <w:sz w:val="21"/>
        </w:rPr>
        <w:t>youth</w:t>
      </w:r>
      <w:r>
        <w:rPr>
          <w:spacing w:val="-3"/>
          <w:sz w:val="21"/>
        </w:rPr>
        <w:t> </w:t>
      </w:r>
      <w:r>
        <w:rPr>
          <w:sz w:val="21"/>
        </w:rPr>
        <w:t>(as</w:t>
      </w:r>
      <w:r>
        <w:rPr>
          <w:spacing w:val="-3"/>
          <w:sz w:val="21"/>
        </w:rPr>
        <w:t> </w:t>
      </w:r>
      <w:r>
        <w:rPr>
          <w:sz w:val="21"/>
        </w:rPr>
        <w:t>explored</w:t>
      </w:r>
      <w:r>
        <w:rPr>
          <w:spacing w:val="-3"/>
          <w:sz w:val="21"/>
        </w:rPr>
        <w:t> </w:t>
      </w:r>
      <w:r>
        <w:rPr>
          <w:sz w:val="21"/>
        </w:rPr>
        <w:t>above),</w:t>
      </w:r>
      <w:r>
        <w:rPr>
          <w:spacing w:val="-2"/>
          <w:sz w:val="21"/>
        </w:rPr>
        <w:t> </w:t>
      </w:r>
      <w:r>
        <w:rPr>
          <w:sz w:val="21"/>
        </w:rPr>
        <w:t>especially</w:t>
      </w:r>
      <w:r>
        <w:rPr>
          <w:spacing w:val="-3"/>
          <w:sz w:val="21"/>
        </w:rPr>
        <w:t> </w:t>
      </w:r>
      <w:r>
        <w:rPr>
          <w:sz w:val="21"/>
        </w:rPr>
        <w:t>for</w:t>
      </w:r>
      <w:r>
        <w:rPr>
          <w:spacing w:val="-3"/>
          <w:sz w:val="21"/>
        </w:rPr>
        <w:t> </w:t>
      </w:r>
      <w:r>
        <w:rPr>
          <w:sz w:val="21"/>
        </w:rPr>
        <w:t>Black</w:t>
      </w:r>
      <w:r>
        <w:rPr>
          <w:spacing w:val="-2"/>
          <w:sz w:val="21"/>
        </w:rPr>
        <w:t> </w:t>
      </w:r>
      <w:r>
        <w:rPr>
          <w:sz w:val="21"/>
        </w:rPr>
        <w:t>youth</w:t>
      </w:r>
      <w:r>
        <w:rPr>
          <w:spacing w:val="-4"/>
          <w:sz w:val="21"/>
        </w:rPr>
        <w:t> </w:t>
      </w:r>
      <w:r>
        <w:rPr>
          <w:sz w:val="21"/>
        </w:rPr>
        <w:t>and</w:t>
      </w:r>
      <w:r>
        <w:rPr>
          <w:spacing w:val="-3"/>
          <w:sz w:val="21"/>
        </w:rPr>
        <w:t> </w:t>
      </w:r>
      <w:r>
        <w:rPr>
          <w:sz w:val="21"/>
        </w:rPr>
        <w:t>other</w:t>
      </w:r>
      <w:r>
        <w:rPr>
          <w:spacing w:val="-3"/>
          <w:sz w:val="21"/>
        </w:rPr>
        <w:t> </w:t>
      </w:r>
      <w:r>
        <w:rPr>
          <w:sz w:val="21"/>
        </w:rPr>
        <w:t>youth</w:t>
      </w:r>
      <w:r>
        <w:rPr>
          <w:spacing w:val="-3"/>
          <w:sz w:val="21"/>
        </w:rPr>
        <w:t> </w:t>
      </w:r>
      <w:r>
        <w:rPr>
          <w:sz w:val="21"/>
        </w:rPr>
        <w:t>of</w:t>
      </w:r>
      <w:r>
        <w:rPr>
          <w:spacing w:val="-5"/>
          <w:sz w:val="21"/>
        </w:rPr>
        <w:t> </w:t>
      </w:r>
      <w:r>
        <w:rPr>
          <w:sz w:val="21"/>
        </w:rPr>
        <w:t>color,</w:t>
      </w:r>
      <w:r>
        <w:rPr>
          <w:spacing w:val="-2"/>
          <w:sz w:val="21"/>
        </w:rPr>
        <w:t> </w:t>
      </w:r>
      <w:r>
        <w:rPr>
          <w:sz w:val="21"/>
        </w:rPr>
        <w:t>the Commission advocates for a pivotal shift towards humane and effective responses to juvenile illegal behavior, emphasizing the need for alternatives that promote healing and growth rather than punitive </w:t>
      </w:r>
      <w:r>
        <w:rPr>
          <w:spacing w:val="-2"/>
          <w:sz w:val="21"/>
        </w:rPr>
        <w:t>measures.</w:t>
      </w:r>
    </w:p>
    <w:p>
      <w:pPr>
        <w:spacing w:line="276" w:lineRule="auto" w:before="240"/>
        <w:ind w:left="464" w:right="238" w:firstLine="0"/>
        <w:jc w:val="both"/>
        <w:rPr>
          <w:sz w:val="21"/>
        </w:rPr>
      </w:pPr>
      <w:r>
        <w:rPr>
          <w:sz w:val="21"/>
        </w:rPr>
        <w:t>There are numerous alternative approaches that significantly outperform incarceration in supporting at- risk</w:t>
      </w:r>
      <w:r>
        <w:rPr>
          <w:spacing w:val="-11"/>
          <w:sz w:val="21"/>
        </w:rPr>
        <w:t> </w:t>
      </w:r>
      <w:r>
        <w:rPr>
          <w:sz w:val="21"/>
        </w:rPr>
        <w:t>youth</w:t>
      </w:r>
      <w:r>
        <w:rPr>
          <w:spacing w:val="-11"/>
          <w:sz w:val="21"/>
        </w:rPr>
        <w:t> </w:t>
      </w:r>
      <w:r>
        <w:rPr>
          <w:sz w:val="21"/>
        </w:rPr>
        <w:t>and</w:t>
      </w:r>
      <w:r>
        <w:rPr>
          <w:spacing w:val="-11"/>
          <w:sz w:val="21"/>
        </w:rPr>
        <w:t> </w:t>
      </w:r>
      <w:r>
        <w:rPr>
          <w:sz w:val="21"/>
        </w:rPr>
        <w:t>disincentivizing</w:t>
      </w:r>
      <w:r>
        <w:rPr>
          <w:spacing w:val="-11"/>
          <w:sz w:val="21"/>
        </w:rPr>
        <w:t> </w:t>
      </w:r>
      <w:r>
        <w:rPr>
          <w:sz w:val="21"/>
        </w:rPr>
        <w:t>criminal</w:t>
      </w:r>
      <w:r>
        <w:rPr>
          <w:spacing w:val="-11"/>
          <w:sz w:val="21"/>
        </w:rPr>
        <w:t> </w:t>
      </w:r>
      <w:r>
        <w:rPr>
          <w:sz w:val="21"/>
        </w:rPr>
        <w:t>conduct,</w:t>
      </w:r>
      <w:r>
        <w:rPr>
          <w:spacing w:val="-11"/>
          <w:sz w:val="21"/>
        </w:rPr>
        <w:t> </w:t>
      </w:r>
      <w:r>
        <w:rPr>
          <w:sz w:val="21"/>
        </w:rPr>
        <w:t>such</w:t>
      </w:r>
      <w:r>
        <w:rPr>
          <w:spacing w:val="-11"/>
          <w:sz w:val="21"/>
        </w:rPr>
        <w:t> </w:t>
      </w:r>
      <w:r>
        <w:rPr>
          <w:sz w:val="21"/>
        </w:rPr>
        <w:t>as</w:t>
      </w:r>
      <w:r>
        <w:rPr>
          <w:spacing w:val="-11"/>
          <w:sz w:val="21"/>
        </w:rPr>
        <w:t> </w:t>
      </w:r>
      <w:r>
        <w:rPr>
          <w:sz w:val="21"/>
        </w:rPr>
        <w:t>diversion,</w:t>
      </w:r>
      <w:r>
        <w:rPr>
          <w:spacing w:val="-11"/>
          <w:sz w:val="21"/>
        </w:rPr>
        <w:t> </w:t>
      </w:r>
      <w:r>
        <w:rPr>
          <w:sz w:val="21"/>
        </w:rPr>
        <w:t>credible</w:t>
      </w:r>
      <w:r>
        <w:rPr>
          <w:spacing w:val="-11"/>
          <w:sz w:val="21"/>
        </w:rPr>
        <w:t> </w:t>
      </w:r>
      <w:r>
        <w:rPr>
          <w:sz w:val="21"/>
        </w:rPr>
        <w:t>messenger</w:t>
      </w:r>
      <w:r>
        <w:rPr>
          <w:spacing w:val="-11"/>
          <w:sz w:val="21"/>
        </w:rPr>
        <w:t> </w:t>
      </w:r>
      <w:r>
        <w:rPr>
          <w:sz w:val="21"/>
        </w:rPr>
        <w:t>mentoring,</w:t>
      </w:r>
      <w:r>
        <w:rPr>
          <w:spacing w:val="-12"/>
          <w:sz w:val="21"/>
        </w:rPr>
        <w:t> </w:t>
      </w:r>
      <w:r>
        <w:rPr>
          <w:sz w:val="21"/>
        </w:rPr>
        <w:t>cognitive behavioral therapy, restorative justice conferencing, intensive multipronged family focused treatment models, and community reinvestment. </w:t>
      </w:r>
      <w:hyperlink w:history="true" w:anchor="_bookmark491">
        <w:r>
          <w:rPr>
            <w:sz w:val="21"/>
            <w:vertAlign w:val="superscript"/>
          </w:rPr>
          <w:t>175</w:t>
        </w:r>
      </w:hyperlink>
      <w:r>
        <w:rPr>
          <w:sz w:val="21"/>
          <w:vertAlign w:val="baseline"/>
        </w:rPr>
        <w:t> Each model focuses on key elements such as intensive mentorship, family involvement, and individualized support plans, demonstrating success in reducing recidivism</w:t>
      </w:r>
      <w:r>
        <w:rPr>
          <w:spacing w:val="-12"/>
          <w:sz w:val="21"/>
          <w:vertAlign w:val="baseline"/>
        </w:rPr>
        <w:t> </w:t>
      </w:r>
      <w:r>
        <w:rPr>
          <w:sz w:val="21"/>
          <w:vertAlign w:val="baseline"/>
        </w:rPr>
        <w:t>rates</w:t>
      </w:r>
      <w:r>
        <w:rPr>
          <w:spacing w:val="-12"/>
          <w:sz w:val="21"/>
          <w:vertAlign w:val="baseline"/>
        </w:rPr>
        <w:t> </w:t>
      </w:r>
      <w:r>
        <w:rPr>
          <w:sz w:val="21"/>
          <w:vertAlign w:val="baseline"/>
        </w:rPr>
        <w:t>and</w:t>
      </w:r>
      <w:r>
        <w:rPr>
          <w:spacing w:val="-12"/>
          <w:sz w:val="21"/>
          <w:vertAlign w:val="baseline"/>
        </w:rPr>
        <w:t> </w:t>
      </w:r>
      <w:r>
        <w:rPr>
          <w:sz w:val="21"/>
          <w:vertAlign w:val="baseline"/>
        </w:rPr>
        <w:t>fostering</w:t>
      </w:r>
      <w:r>
        <w:rPr>
          <w:spacing w:val="-12"/>
          <w:sz w:val="21"/>
          <w:vertAlign w:val="baseline"/>
        </w:rPr>
        <w:t> </w:t>
      </w:r>
      <w:r>
        <w:rPr>
          <w:sz w:val="21"/>
          <w:vertAlign w:val="baseline"/>
        </w:rPr>
        <w:t>positive</w:t>
      </w:r>
      <w:r>
        <w:rPr>
          <w:spacing w:val="-12"/>
          <w:sz w:val="21"/>
          <w:vertAlign w:val="baseline"/>
        </w:rPr>
        <w:t> </w:t>
      </w:r>
      <w:r>
        <w:rPr>
          <w:sz w:val="21"/>
          <w:vertAlign w:val="baseline"/>
        </w:rPr>
        <w:t>developmental</w:t>
      </w:r>
      <w:r>
        <w:rPr>
          <w:spacing w:val="-12"/>
          <w:sz w:val="21"/>
          <w:vertAlign w:val="baseline"/>
        </w:rPr>
        <w:t> </w:t>
      </w:r>
      <w:r>
        <w:rPr>
          <w:sz w:val="21"/>
          <w:vertAlign w:val="baseline"/>
        </w:rPr>
        <w:t>outcomes</w:t>
      </w:r>
      <w:r>
        <w:rPr>
          <w:spacing w:val="-12"/>
          <w:sz w:val="21"/>
          <w:vertAlign w:val="baseline"/>
        </w:rPr>
        <w:t> </w:t>
      </w:r>
      <w:r>
        <w:rPr>
          <w:sz w:val="21"/>
          <w:vertAlign w:val="baseline"/>
        </w:rPr>
        <w:t>among</w:t>
      </w:r>
      <w:r>
        <w:rPr>
          <w:spacing w:val="-11"/>
          <w:sz w:val="21"/>
          <w:vertAlign w:val="baseline"/>
        </w:rPr>
        <w:t> </w:t>
      </w:r>
      <w:r>
        <w:rPr>
          <w:sz w:val="21"/>
          <w:vertAlign w:val="baseline"/>
        </w:rPr>
        <w:t>youth</w:t>
      </w:r>
      <w:r>
        <w:rPr>
          <w:spacing w:val="-12"/>
          <w:sz w:val="21"/>
          <w:vertAlign w:val="baseline"/>
        </w:rPr>
        <w:t> </w:t>
      </w:r>
      <w:r>
        <w:rPr>
          <w:sz w:val="21"/>
          <w:vertAlign w:val="baseline"/>
        </w:rPr>
        <w:t>and</w:t>
      </w:r>
      <w:r>
        <w:rPr>
          <w:spacing w:val="-12"/>
          <w:sz w:val="21"/>
          <w:vertAlign w:val="baseline"/>
        </w:rPr>
        <w:t> </w:t>
      </w:r>
      <w:r>
        <w:rPr>
          <w:sz w:val="21"/>
          <w:vertAlign w:val="baseline"/>
        </w:rPr>
        <w:t>caregiver</w:t>
      </w:r>
      <w:r>
        <w:rPr>
          <w:spacing w:val="-12"/>
          <w:sz w:val="21"/>
          <w:vertAlign w:val="baseline"/>
        </w:rPr>
        <w:t> </w:t>
      </w:r>
      <w:r>
        <w:rPr>
          <w:sz w:val="21"/>
          <w:vertAlign w:val="baseline"/>
        </w:rPr>
        <w:t>participants.</w:t>
      </w:r>
      <w:hyperlink w:history="true" w:anchor="_bookmark492">
        <w:r>
          <w:rPr>
            <w:sz w:val="21"/>
            <w:vertAlign w:val="superscript"/>
          </w:rPr>
          <w:t>176</w:t>
        </w:r>
      </w:hyperlink>
    </w:p>
    <w:p>
      <w:pPr>
        <w:spacing w:line="276" w:lineRule="auto" w:before="240"/>
        <w:ind w:left="463" w:right="238" w:firstLine="0"/>
        <w:jc w:val="both"/>
        <w:rPr>
          <w:sz w:val="21"/>
        </w:rPr>
      </w:pPr>
      <w:r>
        <w:rPr>
          <w:sz w:val="21"/>
        </w:rPr>
        <w:t>Diversion programs offer a way to stop young people from getting a criminal record by guiding them to service-oriented alternatives that keep them out of the court process.</w:t>
      </w:r>
      <w:hyperlink w:history="true" w:anchor="_bookmark493">
        <w:r>
          <w:rPr>
            <w:sz w:val="21"/>
            <w:vertAlign w:val="superscript"/>
          </w:rPr>
          <w:t>177</w:t>
        </w:r>
      </w:hyperlink>
      <w:r>
        <w:rPr>
          <w:spacing w:val="-1"/>
          <w:sz w:val="21"/>
          <w:vertAlign w:val="baseline"/>
        </w:rPr>
        <w:t> </w:t>
      </w:r>
      <w:r>
        <w:rPr>
          <w:sz w:val="21"/>
          <w:vertAlign w:val="baseline"/>
        </w:rPr>
        <w:t>These programs provide several benefits, such as being more cost-effective, lessening trauma with healing approaches, and providing ongoing support for the youth even after their involvement with the juvenile and criminal legal systems ends. While the specifics of diversion programs can differ greatly, they work best when the help and opportunities they provide are optional, non-punitive, and easy to access. While diversion doesn't completely</w:t>
      </w:r>
      <w:r>
        <w:rPr>
          <w:spacing w:val="-3"/>
          <w:sz w:val="21"/>
          <w:vertAlign w:val="baseline"/>
        </w:rPr>
        <w:t> </w:t>
      </w:r>
      <w:r>
        <w:rPr>
          <w:sz w:val="21"/>
          <w:vertAlign w:val="baseline"/>
        </w:rPr>
        <w:t>negate</w:t>
      </w:r>
      <w:r>
        <w:rPr>
          <w:spacing w:val="-3"/>
          <w:sz w:val="21"/>
          <w:vertAlign w:val="baseline"/>
        </w:rPr>
        <w:t> </w:t>
      </w:r>
      <w:r>
        <w:rPr>
          <w:sz w:val="21"/>
          <w:vertAlign w:val="baseline"/>
        </w:rPr>
        <w:t>the</w:t>
      </w:r>
      <w:r>
        <w:rPr>
          <w:spacing w:val="-3"/>
          <w:sz w:val="21"/>
          <w:vertAlign w:val="baseline"/>
        </w:rPr>
        <w:t> </w:t>
      </w:r>
      <w:r>
        <w:rPr>
          <w:sz w:val="21"/>
          <w:vertAlign w:val="baseline"/>
        </w:rPr>
        <w:t>harmful</w:t>
      </w:r>
      <w:r>
        <w:rPr>
          <w:spacing w:val="-3"/>
          <w:sz w:val="21"/>
          <w:vertAlign w:val="baseline"/>
        </w:rPr>
        <w:t> </w:t>
      </w:r>
      <w:r>
        <w:rPr>
          <w:sz w:val="21"/>
          <w:vertAlign w:val="baseline"/>
        </w:rPr>
        <w:t>impact</w:t>
      </w:r>
      <w:r>
        <w:rPr>
          <w:spacing w:val="-3"/>
          <w:sz w:val="21"/>
          <w:vertAlign w:val="baseline"/>
        </w:rPr>
        <w:t> </w:t>
      </w:r>
      <w:r>
        <w:rPr>
          <w:sz w:val="21"/>
          <w:vertAlign w:val="baseline"/>
        </w:rPr>
        <w:t>of</w:t>
      </w:r>
      <w:r>
        <w:rPr>
          <w:spacing w:val="-3"/>
          <w:sz w:val="21"/>
          <w:vertAlign w:val="baseline"/>
        </w:rPr>
        <w:t> </w:t>
      </w:r>
      <w:r>
        <w:rPr>
          <w:sz w:val="21"/>
          <w:vertAlign w:val="baseline"/>
        </w:rPr>
        <w:t>a</w:t>
      </w:r>
      <w:r>
        <w:rPr>
          <w:spacing w:val="-3"/>
          <w:sz w:val="21"/>
          <w:vertAlign w:val="baseline"/>
        </w:rPr>
        <w:t> </w:t>
      </w:r>
      <w:r>
        <w:rPr>
          <w:sz w:val="21"/>
          <w:vertAlign w:val="baseline"/>
        </w:rPr>
        <w:t>young</w:t>
      </w:r>
      <w:r>
        <w:rPr>
          <w:spacing w:val="-3"/>
          <w:sz w:val="21"/>
          <w:vertAlign w:val="baseline"/>
        </w:rPr>
        <w:t> </w:t>
      </w:r>
      <w:r>
        <w:rPr>
          <w:sz w:val="21"/>
          <w:vertAlign w:val="baseline"/>
        </w:rPr>
        <w:t>person's</w:t>
      </w:r>
      <w:r>
        <w:rPr>
          <w:spacing w:val="-3"/>
          <w:sz w:val="21"/>
          <w:vertAlign w:val="baseline"/>
        </w:rPr>
        <w:t> </w:t>
      </w:r>
      <w:r>
        <w:rPr>
          <w:sz w:val="21"/>
          <w:vertAlign w:val="baseline"/>
        </w:rPr>
        <w:t>initial</w:t>
      </w:r>
      <w:r>
        <w:rPr>
          <w:spacing w:val="-3"/>
          <w:sz w:val="21"/>
          <w:vertAlign w:val="baseline"/>
        </w:rPr>
        <w:t> </w:t>
      </w:r>
      <w:r>
        <w:rPr>
          <w:sz w:val="21"/>
          <w:vertAlign w:val="baseline"/>
        </w:rPr>
        <w:t>encounter</w:t>
      </w:r>
      <w:r>
        <w:rPr>
          <w:spacing w:val="-3"/>
          <w:sz w:val="21"/>
          <w:vertAlign w:val="baseline"/>
        </w:rPr>
        <w:t> </w:t>
      </w:r>
      <w:r>
        <w:rPr>
          <w:sz w:val="21"/>
          <w:vertAlign w:val="baseline"/>
        </w:rPr>
        <w:t>with</w:t>
      </w:r>
      <w:r>
        <w:rPr>
          <w:spacing w:val="-3"/>
          <w:sz w:val="21"/>
          <w:vertAlign w:val="baseline"/>
        </w:rPr>
        <w:t> </w:t>
      </w:r>
      <w:r>
        <w:rPr>
          <w:sz w:val="21"/>
          <w:vertAlign w:val="baseline"/>
        </w:rPr>
        <w:t>the</w:t>
      </w:r>
      <w:r>
        <w:rPr>
          <w:spacing w:val="-4"/>
          <w:sz w:val="21"/>
          <w:vertAlign w:val="baseline"/>
        </w:rPr>
        <w:t> </w:t>
      </w:r>
      <w:r>
        <w:rPr>
          <w:sz w:val="21"/>
          <w:vertAlign w:val="baseline"/>
        </w:rPr>
        <w:t>criminal</w:t>
      </w:r>
      <w:r>
        <w:rPr>
          <w:spacing w:val="-3"/>
          <w:sz w:val="21"/>
          <w:vertAlign w:val="baseline"/>
        </w:rPr>
        <w:t> </w:t>
      </w:r>
      <w:r>
        <w:rPr>
          <w:sz w:val="21"/>
          <w:vertAlign w:val="baseline"/>
        </w:rPr>
        <w:t>legal</w:t>
      </w:r>
      <w:r>
        <w:rPr>
          <w:spacing w:val="-3"/>
          <w:sz w:val="21"/>
          <w:vertAlign w:val="baseline"/>
        </w:rPr>
        <w:t> </w:t>
      </w:r>
      <w:r>
        <w:rPr>
          <w:sz w:val="21"/>
          <w:vertAlign w:val="baseline"/>
        </w:rPr>
        <w:t>system, it can significantly reduce the lasting damage of being formally charged with a crime.</w:t>
      </w:r>
    </w:p>
    <w:p>
      <w:pPr>
        <w:spacing w:line="276" w:lineRule="auto" w:before="241"/>
        <w:ind w:left="464" w:right="240" w:firstLine="0"/>
        <w:jc w:val="both"/>
        <w:rPr>
          <w:sz w:val="21"/>
        </w:rPr>
      </w:pPr>
      <w:r>
        <w:rPr>
          <w:sz w:val="21"/>
        </w:rPr>
        <w:t>In October 2021, the Massachusetts Department of Youth Services (DYS), in collaboration with the Office of</w:t>
      </w:r>
      <w:r>
        <w:rPr>
          <w:spacing w:val="17"/>
          <w:sz w:val="21"/>
        </w:rPr>
        <w:t> </w:t>
      </w:r>
      <w:r>
        <w:rPr>
          <w:sz w:val="21"/>
        </w:rPr>
        <w:t>the</w:t>
      </w:r>
      <w:r>
        <w:rPr>
          <w:spacing w:val="17"/>
          <w:sz w:val="21"/>
        </w:rPr>
        <w:t> </w:t>
      </w:r>
      <w:r>
        <w:rPr>
          <w:sz w:val="21"/>
        </w:rPr>
        <w:t>Child</w:t>
      </w:r>
      <w:r>
        <w:rPr>
          <w:spacing w:val="17"/>
          <w:sz w:val="21"/>
        </w:rPr>
        <w:t> </w:t>
      </w:r>
      <w:r>
        <w:rPr>
          <w:sz w:val="21"/>
        </w:rPr>
        <w:t>Advocate</w:t>
      </w:r>
      <w:r>
        <w:rPr>
          <w:spacing w:val="17"/>
          <w:sz w:val="21"/>
        </w:rPr>
        <w:t> </w:t>
      </w:r>
      <w:r>
        <w:rPr>
          <w:sz w:val="21"/>
        </w:rPr>
        <w:t>(OCA),</w:t>
      </w:r>
      <w:r>
        <w:rPr>
          <w:spacing w:val="18"/>
          <w:sz w:val="21"/>
        </w:rPr>
        <w:t> </w:t>
      </w:r>
      <w:r>
        <w:rPr>
          <w:sz w:val="21"/>
        </w:rPr>
        <w:t>initiated</w:t>
      </w:r>
      <w:r>
        <w:rPr>
          <w:spacing w:val="16"/>
          <w:sz w:val="21"/>
        </w:rPr>
        <w:t> </w:t>
      </w:r>
      <w:r>
        <w:rPr>
          <w:sz w:val="21"/>
        </w:rPr>
        <w:t>the</w:t>
      </w:r>
      <w:r>
        <w:rPr>
          <w:spacing w:val="17"/>
          <w:sz w:val="21"/>
        </w:rPr>
        <w:t> </w:t>
      </w:r>
      <w:r>
        <w:rPr>
          <w:sz w:val="21"/>
        </w:rPr>
        <w:t>Youth</w:t>
      </w:r>
      <w:r>
        <w:rPr>
          <w:spacing w:val="17"/>
          <w:sz w:val="21"/>
        </w:rPr>
        <w:t> </w:t>
      </w:r>
      <w:r>
        <w:rPr>
          <w:sz w:val="21"/>
        </w:rPr>
        <w:t>Diversion</w:t>
      </w:r>
      <w:r>
        <w:rPr>
          <w:spacing w:val="17"/>
          <w:sz w:val="21"/>
        </w:rPr>
        <w:t> </w:t>
      </w:r>
      <w:r>
        <w:rPr>
          <w:sz w:val="21"/>
        </w:rPr>
        <w:t>Learning</w:t>
      </w:r>
      <w:r>
        <w:rPr>
          <w:spacing w:val="17"/>
          <w:sz w:val="21"/>
        </w:rPr>
        <w:t> </w:t>
      </w:r>
      <w:r>
        <w:rPr>
          <w:sz w:val="21"/>
        </w:rPr>
        <w:t>Lab.</w:t>
      </w:r>
      <w:hyperlink w:history="true" w:anchor="_bookmark494">
        <w:r>
          <w:rPr>
            <w:sz w:val="21"/>
            <w:vertAlign w:val="superscript"/>
          </w:rPr>
          <w:t>178</w:t>
        </w:r>
      </w:hyperlink>
      <w:r>
        <w:rPr>
          <w:spacing w:val="-2"/>
          <w:sz w:val="21"/>
          <w:vertAlign w:val="baseline"/>
        </w:rPr>
        <w:t> </w:t>
      </w:r>
      <w:r>
        <w:rPr>
          <w:sz w:val="21"/>
          <w:vertAlign w:val="baseline"/>
        </w:rPr>
        <w:t>This</w:t>
      </w:r>
      <w:r>
        <w:rPr>
          <w:spacing w:val="17"/>
          <w:sz w:val="21"/>
          <w:vertAlign w:val="baseline"/>
        </w:rPr>
        <w:t> </w:t>
      </w:r>
      <w:r>
        <w:rPr>
          <w:sz w:val="21"/>
          <w:vertAlign w:val="baseline"/>
        </w:rPr>
        <w:t>initiative</w:t>
      </w:r>
      <w:r>
        <w:rPr>
          <w:spacing w:val="17"/>
          <w:sz w:val="21"/>
          <w:vertAlign w:val="baseline"/>
        </w:rPr>
        <w:t> </w:t>
      </w:r>
      <w:r>
        <w:rPr>
          <w:sz w:val="21"/>
          <w:vertAlign w:val="baseline"/>
        </w:rPr>
        <w:t>seeks</w:t>
      </w:r>
      <w:r>
        <w:rPr>
          <w:spacing w:val="17"/>
          <w:sz w:val="21"/>
          <w:vertAlign w:val="baseline"/>
        </w:rPr>
        <w:t> </w:t>
      </w:r>
      <w:r>
        <w:rPr>
          <w:sz w:val="21"/>
          <w:vertAlign w:val="baseline"/>
        </w:rPr>
        <w:t>to</w:t>
      </w:r>
      <w:r>
        <w:rPr>
          <w:spacing w:val="16"/>
          <w:sz w:val="21"/>
          <w:vertAlign w:val="baseline"/>
        </w:rPr>
        <w:t> </w:t>
      </w:r>
      <w:r>
        <w:rPr>
          <w:sz w:val="21"/>
          <w:vertAlign w:val="baseline"/>
        </w:rPr>
        <w:t>divert</w:t>
      </w:r>
    </w:p>
    <w:p>
      <w:pPr>
        <w:spacing w:after="0" w:line="276" w:lineRule="auto"/>
        <w:jc w:val="both"/>
        <w:rPr>
          <w:sz w:val="21"/>
        </w:rPr>
        <w:sectPr>
          <w:pgSz w:w="12240" w:h="15840"/>
          <w:pgMar w:header="763" w:footer="1041" w:top="1360" w:bottom="1240" w:left="1120" w:right="1340"/>
        </w:sectPr>
      </w:pPr>
    </w:p>
    <w:p>
      <w:pPr>
        <w:spacing w:line="276" w:lineRule="auto" w:before="65"/>
        <w:ind w:left="463" w:right="238" w:firstLine="0"/>
        <w:jc w:val="both"/>
        <w:rPr>
          <w:sz w:val="21"/>
        </w:rPr>
      </w:pPr>
      <w:r>
        <w:rPr>
          <w:sz w:val="21"/>
        </w:rPr>
        <w:t>youth from the formal juvenile legal system, an approach increasingly recognized across the Commonwealth for its negative impact on youth well-being.</w:t>
      </w:r>
      <w:hyperlink w:history="true" w:anchor="_bookmark495">
        <w:r>
          <w:rPr>
            <w:sz w:val="21"/>
            <w:vertAlign w:val="superscript"/>
          </w:rPr>
          <w:t>179</w:t>
        </w:r>
      </w:hyperlink>
      <w:r>
        <w:rPr>
          <w:spacing w:val="-2"/>
          <w:sz w:val="21"/>
          <w:vertAlign w:val="baseline"/>
        </w:rPr>
        <w:t> </w:t>
      </w:r>
      <w:r>
        <w:rPr>
          <w:sz w:val="21"/>
          <w:vertAlign w:val="baseline"/>
        </w:rPr>
        <w:t>The Diversion Learning Lab program was crafted with several key aims at its core. First, it seeks to decrease the probability that young individuals will commit offenses again, thereby contributing to greater public safety. </w:t>
      </w:r>
      <w:hyperlink w:history="true" w:anchor="_bookmark496">
        <w:r>
          <w:rPr>
            <w:sz w:val="21"/>
            <w:vertAlign w:val="superscript"/>
          </w:rPr>
          <w:t>180</w:t>
        </w:r>
      </w:hyperlink>
      <w:r>
        <w:rPr>
          <w:sz w:val="21"/>
          <w:vertAlign w:val="baseline"/>
        </w:rPr>
        <w:t> Second, the program encourages youth to take accountability for their actions. It aims to nurture positive youth development, focusing on cultivating beneficial qualities and skills in young people. Lastly, a fundamental goal of the Diversion Learning Lab is to guarantee fairness and equity throughout the program's processes, ensuring all</w:t>
      </w:r>
      <w:r>
        <w:rPr>
          <w:spacing w:val="-3"/>
          <w:sz w:val="21"/>
          <w:vertAlign w:val="baseline"/>
        </w:rPr>
        <w:t> </w:t>
      </w:r>
      <w:r>
        <w:rPr>
          <w:sz w:val="21"/>
          <w:vertAlign w:val="baseline"/>
        </w:rPr>
        <w:t>participants</w:t>
      </w:r>
      <w:r>
        <w:rPr>
          <w:spacing w:val="-4"/>
          <w:sz w:val="21"/>
          <w:vertAlign w:val="baseline"/>
        </w:rPr>
        <w:t> </w:t>
      </w:r>
      <w:r>
        <w:rPr>
          <w:sz w:val="21"/>
          <w:vertAlign w:val="baseline"/>
        </w:rPr>
        <w:t>are</w:t>
      </w:r>
      <w:r>
        <w:rPr>
          <w:spacing w:val="-3"/>
          <w:sz w:val="21"/>
          <w:vertAlign w:val="baseline"/>
        </w:rPr>
        <w:t> </w:t>
      </w:r>
      <w:r>
        <w:rPr>
          <w:sz w:val="21"/>
          <w:vertAlign w:val="baseline"/>
        </w:rPr>
        <w:t>treated</w:t>
      </w:r>
      <w:r>
        <w:rPr>
          <w:spacing w:val="-4"/>
          <w:sz w:val="21"/>
          <w:vertAlign w:val="baseline"/>
        </w:rPr>
        <w:t> </w:t>
      </w:r>
      <w:r>
        <w:rPr>
          <w:sz w:val="21"/>
          <w:vertAlign w:val="baseline"/>
        </w:rPr>
        <w:t>justly</w:t>
      </w:r>
      <w:r>
        <w:rPr>
          <w:spacing w:val="-3"/>
          <w:sz w:val="21"/>
          <w:vertAlign w:val="baseline"/>
        </w:rPr>
        <w:t> </w:t>
      </w:r>
      <w:r>
        <w:rPr>
          <w:sz w:val="21"/>
          <w:vertAlign w:val="baseline"/>
        </w:rPr>
        <w:t>and</w:t>
      </w:r>
      <w:r>
        <w:rPr>
          <w:spacing w:val="-3"/>
          <w:sz w:val="21"/>
          <w:vertAlign w:val="baseline"/>
        </w:rPr>
        <w:t> </w:t>
      </w:r>
      <w:r>
        <w:rPr>
          <w:sz w:val="21"/>
          <w:vertAlign w:val="baseline"/>
        </w:rPr>
        <w:t>equitably.</w:t>
      </w:r>
      <w:r>
        <w:rPr>
          <w:spacing w:val="-3"/>
          <w:sz w:val="21"/>
          <w:vertAlign w:val="baseline"/>
        </w:rPr>
        <w:t> </w:t>
      </w:r>
      <w:r>
        <w:rPr>
          <w:sz w:val="21"/>
          <w:vertAlign w:val="baseline"/>
        </w:rPr>
        <w:t>Diversion</w:t>
      </w:r>
      <w:r>
        <w:rPr>
          <w:spacing w:val="-3"/>
          <w:sz w:val="21"/>
          <w:vertAlign w:val="baseline"/>
        </w:rPr>
        <w:t> </w:t>
      </w:r>
      <w:r>
        <w:rPr>
          <w:sz w:val="21"/>
          <w:vertAlign w:val="baseline"/>
        </w:rPr>
        <w:t>Coordination</w:t>
      </w:r>
      <w:r>
        <w:rPr>
          <w:spacing w:val="-3"/>
          <w:sz w:val="21"/>
          <w:vertAlign w:val="baseline"/>
        </w:rPr>
        <w:t> </w:t>
      </w:r>
      <w:r>
        <w:rPr>
          <w:sz w:val="21"/>
          <w:vertAlign w:val="baseline"/>
        </w:rPr>
        <w:t>Programs</w:t>
      </w:r>
      <w:r>
        <w:rPr>
          <w:spacing w:val="-3"/>
          <w:sz w:val="21"/>
          <w:vertAlign w:val="baseline"/>
        </w:rPr>
        <w:t> </w:t>
      </w:r>
      <w:r>
        <w:rPr>
          <w:sz w:val="21"/>
          <w:vertAlign w:val="baseline"/>
        </w:rPr>
        <w:t>have</w:t>
      </w:r>
      <w:r>
        <w:rPr>
          <w:spacing w:val="-3"/>
          <w:sz w:val="21"/>
          <w:vertAlign w:val="baseline"/>
        </w:rPr>
        <w:t> </w:t>
      </w:r>
      <w:r>
        <w:rPr>
          <w:sz w:val="21"/>
          <w:vertAlign w:val="baseline"/>
        </w:rPr>
        <w:t>been</w:t>
      </w:r>
      <w:r>
        <w:rPr>
          <w:spacing w:val="-3"/>
          <w:sz w:val="21"/>
          <w:vertAlign w:val="baseline"/>
        </w:rPr>
        <w:t> </w:t>
      </w:r>
      <w:r>
        <w:rPr>
          <w:sz w:val="21"/>
          <w:vertAlign w:val="baseline"/>
        </w:rPr>
        <w:t>established</w:t>
      </w:r>
      <w:r>
        <w:rPr>
          <w:spacing w:val="-3"/>
          <w:sz w:val="21"/>
          <w:vertAlign w:val="baseline"/>
        </w:rPr>
        <w:t> </w:t>
      </w:r>
      <w:r>
        <w:rPr>
          <w:sz w:val="21"/>
          <w:vertAlign w:val="baseline"/>
        </w:rPr>
        <w:t>in counties like Worcester, Middlesex, and Essex, with the potential for statewide expansion, if effective.</w:t>
      </w:r>
      <w:hyperlink w:history="true" w:anchor="_bookmark497">
        <w:r>
          <w:rPr>
            <w:sz w:val="21"/>
            <w:vertAlign w:val="superscript"/>
          </w:rPr>
          <w:t>181</w:t>
        </w:r>
      </w:hyperlink>
      <w:r>
        <w:rPr>
          <w:sz w:val="21"/>
          <w:vertAlign w:val="baseline"/>
        </w:rPr>
        <w:t> While there is a variety of diversion practices across the state, the overarching goal is to adopt evidence- based methods to improve outcomes for youth involved in the juvenile legal system.</w:t>
      </w:r>
    </w:p>
    <w:p>
      <w:pPr>
        <w:spacing w:line="276" w:lineRule="auto" w:before="239"/>
        <w:ind w:left="463" w:right="238" w:firstLine="0"/>
        <w:jc w:val="both"/>
        <w:rPr>
          <w:sz w:val="21"/>
        </w:rPr>
      </w:pPr>
      <w:r>
        <w:rPr>
          <w:sz w:val="21"/>
        </w:rPr>
        <w:t>The</w:t>
      </w:r>
      <w:r>
        <w:rPr>
          <w:spacing w:val="-11"/>
          <w:sz w:val="21"/>
        </w:rPr>
        <w:t> </w:t>
      </w:r>
      <w:r>
        <w:rPr>
          <w:sz w:val="21"/>
        </w:rPr>
        <w:t>Diversion</w:t>
      </w:r>
      <w:r>
        <w:rPr>
          <w:spacing w:val="-10"/>
          <w:sz w:val="21"/>
        </w:rPr>
        <w:t> </w:t>
      </w:r>
      <w:r>
        <w:rPr>
          <w:sz w:val="21"/>
        </w:rPr>
        <w:t>Learning</w:t>
      </w:r>
      <w:r>
        <w:rPr>
          <w:spacing w:val="-12"/>
          <w:sz w:val="21"/>
        </w:rPr>
        <w:t> </w:t>
      </w:r>
      <w:r>
        <w:rPr>
          <w:sz w:val="21"/>
        </w:rPr>
        <w:t>Lab</w:t>
      </w:r>
      <w:r>
        <w:rPr>
          <w:spacing w:val="-10"/>
          <w:sz w:val="21"/>
        </w:rPr>
        <w:t> </w:t>
      </w:r>
      <w:r>
        <w:rPr>
          <w:sz w:val="21"/>
        </w:rPr>
        <w:t>aims</w:t>
      </w:r>
      <w:r>
        <w:rPr>
          <w:spacing w:val="-12"/>
          <w:sz w:val="21"/>
        </w:rPr>
        <w:t> </w:t>
      </w:r>
      <w:r>
        <w:rPr>
          <w:sz w:val="21"/>
        </w:rPr>
        <w:t>to</w:t>
      </w:r>
      <w:r>
        <w:rPr>
          <w:spacing w:val="-11"/>
          <w:sz w:val="21"/>
        </w:rPr>
        <w:t> </w:t>
      </w:r>
      <w:r>
        <w:rPr>
          <w:sz w:val="21"/>
        </w:rPr>
        <w:t>reduce</w:t>
      </w:r>
      <w:r>
        <w:rPr>
          <w:spacing w:val="-11"/>
          <w:sz w:val="21"/>
        </w:rPr>
        <w:t> </w:t>
      </w:r>
      <w:r>
        <w:rPr>
          <w:sz w:val="21"/>
        </w:rPr>
        <w:t>future</w:t>
      </w:r>
      <w:r>
        <w:rPr>
          <w:spacing w:val="-11"/>
          <w:sz w:val="21"/>
        </w:rPr>
        <w:t> </w:t>
      </w:r>
      <w:r>
        <w:rPr>
          <w:sz w:val="21"/>
        </w:rPr>
        <w:t>offending,</w:t>
      </w:r>
      <w:r>
        <w:rPr>
          <w:spacing w:val="-11"/>
          <w:sz w:val="21"/>
        </w:rPr>
        <w:t> </w:t>
      </w:r>
      <w:r>
        <w:rPr>
          <w:sz w:val="21"/>
        </w:rPr>
        <w:t>enhance</w:t>
      </w:r>
      <w:r>
        <w:rPr>
          <w:spacing w:val="-11"/>
          <w:sz w:val="21"/>
        </w:rPr>
        <w:t> </w:t>
      </w:r>
      <w:r>
        <w:rPr>
          <w:sz w:val="21"/>
        </w:rPr>
        <w:t>public</w:t>
      </w:r>
      <w:r>
        <w:rPr>
          <w:spacing w:val="-11"/>
          <w:sz w:val="21"/>
        </w:rPr>
        <w:t> </w:t>
      </w:r>
      <w:r>
        <w:rPr>
          <w:sz w:val="21"/>
        </w:rPr>
        <w:t>safety,</w:t>
      </w:r>
      <w:r>
        <w:rPr>
          <w:spacing w:val="-11"/>
          <w:sz w:val="21"/>
        </w:rPr>
        <w:t> </w:t>
      </w:r>
      <w:r>
        <w:rPr>
          <w:sz w:val="21"/>
        </w:rPr>
        <w:t>hold</w:t>
      </w:r>
      <w:r>
        <w:rPr>
          <w:spacing w:val="-11"/>
          <w:sz w:val="21"/>
        </w:rPr>
        <w:t> </w:t>
      </w:r>
      <w:r>
        <w:rPr>
          <w:sz w:val="21"/>
        </w:rPr>
        <w:t>youth</w:t>
      </w:r>
      <w:r>
        <w:rPr>
          <w:spacing w:val="-11"/>
          <w:sz w:val="21"/>
        </w:rPr>
        <w:t> </w:t>
      </w:r>
      <w:r>
        <w:rPr>
          <w:sz w:val="21"/>
        </w:rPr>
        <w:t>accountable, support</w:t>
      </w:r>
      <w:r>
        <w:rPr>
          <w:spacing w:val="-8"/>
          <w:sz w:val="21"/>
        </w:rPr>
        <w:t> </w:t>
      </w:r>
      <w:r>
        <w:rPr>
          <w:sz w:val="21"/>
        </w:rPr>
        <w:t>their</w:t>
      </w:r>
      <w:r>
        <w:rPr>
          <w:spacing w:val="-9"/>
          <w:sz w:val="21"/>
        </w:rPr>
        <w:t> </w:t>
      </w:r>
      <w:r>
        <w:rPr>
          <w:sz w:val="21"/>
        </w:rPr>
        <w:t>development,</w:t>
      </w:r>
      <w:r>
        <w:rPr>
          <w:spacing w:val="-8"/>
          <w:sz w:val="21"/>
        </w:rPr>
        <w:t> </w:t>
      </w:r>
      <w:r>
        <w:rPr>
          <w:sz w:val="21"/>
        </w:rPr>
        <w:t>and</w:t>
      </w:r>
      <w:r>
        <w:rPr>
          <w:spacing w:val="-9"/>
          <w:sz w:val="21"/>
        </w:rPr>
        <w:t> </w:t>
      </w:r>
      <w:r>
        <w:rPr>
          <w:sz w:val="21"/>
        </w:rPr>
        <w:t>promote</w:t>
      </w:r>
      <w:r>
        <w:rPr>
          <w:spacing w:val="-9"/>
          <w:sz w:val="21"/>
        </w:rPr>
        <w:t> </w:t>
      </w:r>
      <w:r>
        <w:rPr>
          <w:sz w:val="21"/>
        </w:rPr>
        <w:t>equity</w:t>
      </w:r>
      <w:r>
        <w:rPr>
          <w:spacing w:val="-8"/>
          <w:sz w:val="21"/>
        </w:rPr>
        <w:t> </w:t>
      </w:r>
      <w:r>
        <w:rPr>
          <w:sz w:val="21"/>
        </w:rPr>
        <w:t>in</w:t>
      </w:r>
      <w:r>
        <w:rPr>
          <w:spacing w:val="-8"/>
          <w:sz w:val="21"/>
        </w:rPr>
        <w:t> </w:t>
      </w:r>
      <w:r>
        <w:rPr>
          <w:sz w:val="21"/>
        </w:rPr>
        <w:t>the</w:t>
      </w:r>
      <w:r>
        <w:rPr>
          <w:spacing w:val="-8"/>
          <w:sz w:val="21"/>
        </w:rPr>
        <w:t> </w:t>
      </w:r>
      <w:r>
        <w:rPr>
          <w:sz w:val="21"/>
        </w:rPr>
        <w:t>diversion</w:t>
      </w:r>
      <w:r>
        <w:rPr>
          <w:spacing w:val="-8"/>
          <w:sz w:val="21"/>
        </w:rPr>
        <w:t> </w:t>
      </w:r>
      <w:r>
        <w:rPr>
          <w:sz w:val="21"/>
        </w:rPr>
        <w:t>process.</w:t>
      </w:r>
      <w:hyperlink w:history="true" w:anchor="_bookmark498">
        <w:r>
          <w:rPr>
            <w:sz w:val="21"/>
            <w:vertAlign w:val="superscript"/>
          </w:rPr>
          <w:t>182</w:t>
        </w:r>
      </w:hyperlink>
      <w:r>
        <w:rPr>
          <w:spacing w:val="-2"/>
          <w:sz w:val="21"/>
          <w:vertAlign w:val="baseline"/>
        </w:rPr>
        <w:t> </w:t>
      </w:r>
      <w:r>
        <w:rPr>
          <w:sz w:val="21"/>
          <w:vertAlign w:val="baseline"/>
        </w:rPr>
        <w:t>The</w:t>
      </w:r>
      <w:r>
        <w:rPr>
          <w:spacing w:val="-8"/>
          <w:sz w:val="21"/>
          <w:vertAlign w:val="baseline"/>
        </w:rPr>
        <w:t> </w:t>
      </w:r>
      <w:r>
        <w:rPr>
          <w:sz w:val="21"/>
          <w:vertAlign w:val="baseline"/>
        </w:rPr>
        <w:t>program</w:t>
      </w:r>
      <w:r>
        <w:rPr>
          <w:spacing w:val="-8"/>
          <w:sz w:val="21"/>
          <w:vertAlign w:val="baseline"/>
        </w:rPr>
        <w:t> </w:t>
      </w:r>
      <w:r>
        <w:rPr>
          <w:sz w:val="21"/>
          <w:vertAlign w:val="baseline"/>
        </w:rPr>
        <w:t>model,</w:t>
      </w:r>
      <w:r>
        <w:rPr>
          <w:spacing w:val="-8"/>
          <w:sz w:val="21"/>
          <w:vertAlign w:val="baseline"/>
        </w:rPr>
        <w:t> </w:t>
      </w:r>
      <w:r>
        <w:rPr>
          <w:sz w:val="21"/>
          <w:vertAlign w:val="baseline"/>
        </w:rPr>
        <w:t>crafted</w:t>
      </w:r>
      <w:r>
        <w:rPr>
          <w:spacing w:val="-8"/>
          <w:sz w:val="21"/>
          <w:vertAlign w:val="baseline"/>
        </w:rPr>
        <w:t> </w:t>
      </w:r>
      <w:r>
        <w:rPr>
          <w:sz w:val="21"/>
          <w:vertAlign w:val="baseline"/>
        </w:rPr>
        <w:t>by the JJPAD Board’s Community-Based Interventions Subcommittee and outlined in the Model Program Guide, emphasizes collaboration among various stakeholders, including law enforcement, judges, and community organizations.</w:t>
      </w:r>
      <w:hyperlink w:history="true" w:anchor="_bookmark499">
        <w:r>
          <w:rPr>
            <w:sz w:val="21"/>
            <w:vertAlign w:val="superscript"/>
          </w:rPr>
          <w:t>183</w:t>
        </w:r>
      </w:hyperlink>
      <w:r>
        <w:rPr>
          <w:spacing w:val="-2"/>
          <w:sz w:val="21"/>
          <w:vertAlign w:val="baseline"/>
        </w:rPr>
        <w:t> </w:t>
      </w:r>
      <w:r>
        <w:rPr>
          <w:sz w:val="21"/>
          <w:vertAlign w:val="baseline"/>
        </w:rPr>
        <w:t>The program offers voluntary participation, comprehensive service provision including risk and needs assessments, individualized case plans, and active case management. It also maintains communication with referrers to monitor progress and addresses any challenges, thereby supporting the youth and their families in accessing necessary services and overcoming barriers to </w:t>
      </w:r>
      <w:r>
        <w:rPr>
          <w:spacing w:val="-2"/>
          <w:sz w:val="21"/>
          <w:vertAlign w:val="baseline"/>
        </w:rPr>
        <w:t>success.</w:t>
      </w:r>
      <w:hyperlink w:history="true" w:anchor="_bookmark500">
        <w:r>
          <w:rPr>
            <w:spacing w:val="-2"/>
            <w:sz w:val="21"/>
            <w:vertAlign w:val="superscript"/>
          </w:rPr>
          <w:t>184</w:t>
        </w:r>
      </w:hyperlink>
    </w:p>
    <w:p>
      <w:pPr>
        <w:spacing w:line="276" w:lineRule="auto" w:before="240"/>
        <w:ind w:left="464" w:right="239" w:firstLine="0"/>
        <w:jc w:val="both"/>
        <w:rPr>
          <w:sz w:val="21"/>
        </w:rPr>
      </w:pPr>
      <w:r>
        <w:rPr>
          <w:sz w:val="21"/>
        </w:rPr>
        <w:t>In</w:t>
      </w:r>
      <w:r>
        <w:rPr>
          <w:spacing w:val="-4"/>
          <w:sz w:val="21"/>
        </w:rPr>
        <w:t> </w:t>
      </w:r>
      <w:r>
        <w:rPr>
          <w:sz w:val="21"/>
        </w:rPr>
        <w:t>October</w:t>
      </w:r>
      <w:r>
        <w:rPr>
          <w:spacing w:val="-4"/>
          <w:sz w:val="21"/>
        </w:rPr>
        <w:t> </w:t>
      </w:r>
      <w:r>
        <w:rPr>
          <w:sz w:val="21"/>
        </w:rPr>
        <w:t>2023,</w:t>
      </w:r>
      <w:r>
        <w:rPr>
          <w:spacing w:val="-5"/>
          <w:sz w:val="21"/>
        </w:rPr>
        <w:t> </w:t>
      </w:r>
      <w:r>
        <w:rPr>
          <w:sz w:val="21"/>
        </w:rPr>
        <w:t>the</w:t>
      </w:r>
      <w:r>
        <w:rPr>
          <w:spacing w:val="-5"/>
          <w:sz w:val="21"/>
        </w:rPr>
        <w:t> </w:t>
      </w:r>
      <w:r>
        <w:rPr>
          <w:sz w:val="21"/>
        </w:rPr>
        <w:t>Massachusetts</w:t>
      </w:r>
      <w:r>
        <w:rPr>
          <w:spacing w:val="-5"/>
          <w:sz w:val="21"/>
        </w:rPr>
        <w:t> </w:t>
      </w:r>
      <w:r>
        <w:rPr>
          <w:sz w:val="21"/>
        </w:rPr>
        <w:t>Office</w:t>
      </w:r>
      <w:r>
        <w:rPr>
          <w:spacing w:val="-4"/>
          <w:sz w:val="21"/>
        </w:rPr>
        <w:t> </w:t>
      </w:r>
      <w:r>
        <w:rPr>
          <w:sz w:val="21"/>
        </w:rPr>
        <w:t>of</w:t>
      </w:r>
      <w:r>
        <w:rPr>
          <w:spacing w:val="-5"/>
          <w:sz w:val="21"/>
        </w:rPr>
        <w:t> </w:t>
      </w:r>
      <w:r>
        <w:rPr>
          <w:sz w:val="21"/>
        </w:rPr>
        <w:t>the</w:t>
      </w:r>
      <w:r>
        <w:rPr>
          <w:spacing w:val="-4"/>
          <w:sz w:val="21"/>
        </w:rPr>
        <w:t> </w:t>
      </w:r>
      <w:r>
        <w:rPr>
          <w:sz w:val="21"/>
        </w:rPr>
        <w:t>Child</w:t>
      </w:r>
      <w:r>
        <w:rPr>
          <w:spacing w:val="-5"/>
          <w:sz w:val="21"/>
        </w:rPr>
        <w:t> </w:t>
      </w:r>
      <w:r>
        <w:rPr>
          <w:sz w:val="21"/>
        </w:rPr>
        <w:t>Advocate</w:t>
      </w:r>
      <w:r>
        <w:rPr>
          <w:spacing w:val="-4"/>
          <w:sz w:val="21"/>
        </w:rPr>
        <w:t> </w:t>
      </w:r>
      <w:r>
        <w:rPr>
          <w:sz w:val="21"/>
        </w:rPr>
        <w:t>(OCA)</w:t>
      </w:r>
      <w:r>
        <w:rPr>
          <w:spacing w:val="-4"/>
          <w:sz w:val="21"/>
        </w:rPr>
        <w:t> </w:t>
      </w:r>
      <w:r>
        <w:rPr>
          <w:sz w:val="21"/>
        </w:rPr>
        <w:t>released</w:t>
      </w:r>
      <w:r>
        <w:rPr>
          <w:spacing w:val="-4"/>
          <w:sz w:val="21"/>
        </w:rPr>
        <w:t> </w:t>
      </w:r>
      <w:r>
        <w:rPr>
          <w:sz w:val="21"/>
        </w:rPr>
        <w:t>a</w:t>
      </w:r>
      <w:r>
        <w:rPr>
          <w:spacing w:val="-5"/>
          <w:sz w:val="21"/>
        </w:rPr>
        <w:t> </w:t>
      </w:r>
      <w:r>
        <w:rPr>
          <w:sz w:val="21"/>
        </w:rPr>
        <w:t>progress</w:t>
      </w:r>
      <w:r>
        <w:rPr>
          <w:spacing w:val="-5"/>
          <w:sz w:val="21"/>
        </w:rPr>
        <w:t> </w:t>
      </w:r>
      <w:r>
        <w:rPr>
          <w:sz w:val="21"/>
        </w:rPr>
        <w:t>report</w:t>
      </w:r>
      <w:r>
        <w:rPr>
          <w:spacing w:val="-4"/>
          <w:sz w:val="21"/>
        </w:rPr>
        <w:t> </w:t>
      </w:r>
      <w:r>
        <w:rPr>
          <w:sz w:val="21"/>
        </w:rPr>
        <w:t>tracking results from the first year of implementation (calendar year 2022) of the Youth Diversion Learning Lab in three initial pilot sites in Worcester, Essex, and Middlesex Counties.</w:t>
      </w:r>
      <w:r>
        <w:rPr>
          <w:spacing w:val="-10"/>
          <w:sz w:val="21"/>
        </w:rPr>
        <w:t> </w:t>
      </w:r>
      <w:hyperlink w:history="true" w:anchor="_bookmark501">
        <w:r>
          <w:rPr>
            <w:sz w:val="21"/>
            <w:vertAlign w:val="superscript"/>
          </w:rPr>
          <w:t>185</w:t>
        </w:r>
      </w:hyperlink>
      <w:r>
        <w:rPr>
          <w:sz w:val="21"/>
          <w:vertAlign w:val="baseline"/>
        </w:rPr>
        <w:t> The report revealed several significant findings regarding the program's performance and impact in 2022.</w:t>
      </w:r>
      <w:hyperlink w:history="true" w:anchor="_bookmark502">
        <w:r>
          <w:rPr>
            <w:sz w:val="21"/>
            <w:vertAlign w:val="superscript"/>
          </w:rPr>
          <w:t>186</w:t>
        </w:r>
      </w:hyperlink>
      <w:r>
        <w:rPr>
          <w:spacing w:val="-2"/>
          <w:sz w:val="21"/>
          <w:vertAlign w:val="baseline"/>
        </w:rPr>
        <w:t> </w:t>
      </w:r>
      <w:r>
        <w:rPr>
          <w:sz w:val="21"/>
          <w:vertAlign w:val="baseline"/>
        </w:rPr>
        <w:t>Throughout the year, 134 young</w:t>
      </w:r>
      <w:r>
        <w:rPr>
          <w:spacing w:val="-6"/>
          <w:sz w:val="21"/>
          <w:vertAlign w:val="baseline"/>
        </w:rPr>
        <w:t> </w:t>
      </w:r>
      <w:r>
        <w:rPr>
          <w:sz w:val="21"/>
          <w:vertAlign w:val="baseline"/>
        </w:rPr>
        <w:t>individuals</w:t>
      </w:r>
      <w:r>
        <w:rPr>
          <w:spacing w:val="-6"/>
          <w:sz w:val="21"/>
          <w:vertAlign w:val="baseline"/>
        </w:rPr>
        <w:t> </w:t>
      </w:r>
      <w:r>
        <w:rPr>
          <w:sz w:val="21"/>
          <w:vertAlign w:val="baseline"/>
        </w:rPr>
        <w:t>were</w:t>
      </w:r>
      <w:r>
        <w:rPr>
          <w:spacing w:val="-6"/>
          <w:sz w:val="21"/>
          <w:vertAlign w:val="baseline"/>
        </w:rPr>
        <w:t> </w:t>
      </w:r>
      <w:r>
        <w:rPr>
          <w:sz w:val="21"/>
          <w:vertAlign w:val="baseline"/>
        </w:rPr>
        <w:t>referred</w:t>
      </w:r>
      <w:r>
        <w:rPr>
          <w:spacing w:val="-6"/>
          <w:sz w:val="21"/>
          <w:vertAlign w:val="baseline"/>
        </w:rPr>
        <w:t> </w:t>
      </w:r>
      <w:r>
        <w:rPr>
          <w:sz w:val="21"/>
          <w:vertAlign w:val="baseline"/>
        </w:rPr>
        <w:t>to</w:t>
      </w:r>
      <w:r>
        <w:rPr>
          <w:spacing w:val="-6"/>
          <w:sz w:val="21"/>
          <w:vertAlign w:val="baseline"/>
        </w:rPr>
        <w:t> </w:t>
      </w:r>
      <w:r>
        <w:rPr>
          <w:sz w:val="21"/>
          <w:vertAlign w:val="baseline"/>
        </w:rPr>
        <w:t>the</w:t>
      </w:r>
      <w:r>
        <w:rPr>
          <w:spacing w:val="-6"/>
          <w:sz w:val="21"/>
          <w:vertAlign w:val="baseline"/>
        </w:rPr>
        <w:t> </w:t>
      </w:r>
      <w:r>
        <w:rPr>
          <w:sz w:val="21"/>
          <w:vertAlign w:val="baseline"/>
        </w:rPr>
        <w:t>program,</w:t>
      </w:r>
      <w:r>
        <w:rPr>
          <w:spacing w:val="-5"/>
          <w:sz w:val="21"/>
          <w:vertAlign w:val="baseline"/>
        </w:rPr>
        <w:t> </w:t>
      </w:r>
      <w:r>
        <w:rPr>
          <w:sz w:val="21"/>
          <w:vertAlign w:val="baseline"/>
        </w:rPr>
        <w:t>with</w:t>
      </w:r>
      <w:r>
        <w:rPr>
          <w:spacing w:val="-6"/>
          <w:sz w:val="21"/>
          <w:vertAlign w:val="baseline"/>
        </w:rPr>
        <w:t> </w:t>
      </w:r>
      <w:r>
        <w:rPr>
          <w:sz w:val="21"/>
          <w:vertAlign w:val="baseline"/>
        </w:rPr>
        <w:t>the</w:t>
      </w:r>
      <w:r>
        <w:rPr>
          <w:spacing w:val="-6"/>
          <w:sz w:val="21"/>
          <w:vertAlign w:val="baseline"/>
        </w:rPr>
        <w:t> </w:t>
      </w:r>
      <w:r>
        <w:rPr>
          <w:sz w:val="21"/>
          <w:vertAlign w:val="baseline"/>
        </w:rPr>
        <w:t>rate</w:t>
      </w:r>
      <w:r>
        <w:rPr>
          <w:spacing w:val="-6"/>
          <w:sz w:val="21"/>
          <w:vertAlign w:val="baseline"/>
        </w:rPr>
        <w:t> </w:t>
      </w:r>
      <w:r>
        <w:rPr>
          <w:sz w:val="21"/>
          <w:vertAlign w:val="baseline"/>
        </w:rPr>
        <w:t>of</w:t>
      </w:r>
      <w:r>
        <w:rPr>
          <w:spacing w:val="-6"/>
          <w:sz w:val="21"/>
          <w:vertAlign w:val="baseline"/>
        </w:rPr>
        <w:t> </w:t>
      </w:r>
      <w:r>
        <w:rPr>
          <w:sz w:val="21"/>
          <w:vertAlign w:val="baseline"/>
        </w:rPr>
        <w:t>monthly</w:t>
      </w:r>
      <w:r>
        <w:rPr>
          <w:spacing w:val="-6"/>
          <w:sz w:val="21"/>
          <w:vertAlign w:val="baseline"/>
        </w:rPr>
        <w:t> </w:t>
      </w:r>
      <w:r>
        <w:rPr>
          <w:sz w:val="21"/>
          <w:vertAlign w:val="baseline"/>
        </w:rPr>
        <w:t>referrals</w:t>
      </w:r>
      <w:r>
        <w:rPr>
          <w:spacing w:val="-5"/>
          <w:sz w:val="21"/>
          <w:vertAlign w:val="baseline"/>
        </w:rPr>
        <w:t> </w:t>
      </w:r>
      <w:r>
        <w:rPr>
          <w:sz w:val="21"/>
          <w:vertAlign w:val="baseline"/>
        </w:rPr>
        <w:t>increasing</w:t>
      </w:r>
      <w:r>
        <w:rPr>
          <w:spacing w:val="-6"/>
          <w:sz w:val="21"/>
          <w:vertAlign w:val="baseline"/>
        </w:rPr>
        <w:t> </w:t>
      </w:r>
      <w:r>
        <w:rPr>
          <w:sz w:val="21"/>
          <w:vertAlign w:val="baseline"/>
        </w:rPr>
        <w:t>as</w:t>
      </w:r>
      <w:r>
        <w:rPr>
          <w:spacing w:val="-6"/>
          <w:sz w:val="21"/>
          <w:vertAlign w:val="baseline"/>
        </w:rPr>
        <w:t> </w:t>
      </w:r>
      <w:r>
        <w:rPr>
          <w:sz w:val="21"/>
          <w:vertAlign w:val="baseline"/>
        </w:rPr>
        <w:t>awareness of the program grew among potential referrers.</w:t>
      </w:r>
      <w:r>
        <w:rPr>
          <w:spacing w:val="-12"/>
          <w:sz w:val="21"/>
          <w:vertAlign w:val="baseline"/>
        </w:rPr>
        <w:t> </w:t>
      </w:r>
      <w:hyperlink w:history="true" w:anchor="_bookmark503">
        <w:r>
          <w:rPr>
            <w:sz w:val="21"/>
            <w:vertAlign w:val="superscript"/>
          </w:rPr>
          <w:t>187</w:t>
        </w:r>
      </w:hyperlink>
      <w:r>
        <w:rPr>
          <w:sz w:val="21"/>
          <w:vertAlign w:val="baseline"/>
        </w:rPr>
        <w:t> A primary aim of the initiative is to address the disproportionate representation of Black and Latino youth within the juvenile legal system. Initial data indicate progress in reducing disparities among Hispanic/Latino participants, who accounted for 46% of those reaching the intake phase by year's end.</w:t>
      </w:r>
      <w:hyperlink w:history="true" w:anchor="_bookmark504">
        <w:r>
          <w:rPr>
            <w:sz w:val="21"/>
            <w:vertAlign w:val="superscript"/>
          </w:rPr>
          <w:t>188</w:t>
        </w:r>
      </w:hyperlink>
      <w:r>
        <w:rPr>
          <w:spacing w:val="-2"/>
          <w:sz w:val="21"/>
          <w:vertAlign w:val="baseline"/>
        </w:rPr>
        <w:t> </w:t>
      </w:r>
      <w:r>
        <w:rPr>
          <w:sz w:val="21"/>
          <w:vertAlign w:val="baseline"/>
        </w:rPr>
        <w:t>However, it highlighted the need for further efforts to ensure Black youth, who represented only 8% of referrals, receive fair access to the program. Feedback from a survey among young participants who finished the program in 2022 revealed that 86% reported feeling equipped to steer clear of legal issues in the future.</w:t>
      </w:r>
      <w:hyperlink w:history="true" w:anchor="_bookmark505">
        <w:r>
          <w:rPr>
            <w:sz w:val="21"/>
            <w:vertAlign w:val="superscript"/>
          </w:rPr>
          <w:t>189</w:t>
        </w:r>
      </w:hyperlink>
      <w:r>
        <w:rPr>
          <w:sz w:val="21"/>
          <w:vertAlign w:val="baseline"/>
        </w:rPr>
        <w:t> Similarly, 86% recognized the program's effectiveness in encouraging them to contemplate any harm they might have inflicted.</w:t>
      </w:r>
      <w:hyperlink w:history="true" w:anchor="_bookmark506">
        <w:r>
          <w:rPr>
            <w:sz w:val="21"/>
            <w:vertAlign w:val="superscript"/>
          </w:rPr>
          <w:t>190</w:t>
        </w:r>
      </w:hyperlink>
    </w:p>
    <w:p>
      <w:pPr>
        <w:spacing w:line="276" w:lineRule="auto" w:before="241"/>
        <w:ind w:left="463" w:right="239" w:firstLine="0"/>
        <w:jc w:val="both"/>
        <w:rPr>
          <w:sz w:val="21"/>
        </w:rPr>
      </w:pPr>
      <w:r>
        <w:rPr>
          <w:sz w:val="21"/>
        </w:rPr>
        <w:t>Credible messenger mentoring initiatives employ individuals from the community who have previous experience with the criminal legal system.</w:t>
      </w:r>
      <w:hyperlink w:history="true" w:anchor="_bookmark507">
        <w:r>
          <w:rPr>
            <w:sz w:val="21"/>
            <w:vertAlign w:val="superscript"/>
          </w:rPr>
          <w:t>191</w:t>
        </w:r>
      </w:hyperlink>
      <w:r>
        <w:rPr>
          <w:spacing w:val="-2"/>
          <w:sz w:val="21"/>
          <w:vertAlign w:val="baseline"/>
        </w:rPr>
        <w:t> </w:t>
      </w:r>
      <w:r>
        <w:rPr>
          <w:sz w:val="21"/>
          <w:vertAlign w:val="baseline"/>
        </w:rPr>
        <w:t>These individuals offer comprehensive assistance to young people and their families, usually serving as a component of a broader, multifaceted intervention strategy.</w:t>
      </w:r>
      <w:hyperlink w:history="true" w:anchor="_bookmark508">
        <w:r>
          <w:rPr>
            <w:sz w:val="21"/>
            <w:vertAlign w:val="superscript"/>
          </w:rPr>
          <w:t>192</w:t>
        </w:r>
      </w:hyperlink>
      <w:r>
        <w:rPr>
          <w:spacing w:val="-2"/>
          <w:sz w:val="21"/>
          <w:vertAlign w:val="baseline"/>
        </w:rPr>
        <w:t> </w:t>
      </w:r>
      <w:r>
        <w:rPr>
          <w:sz w:val="21"/>
          <w:vertAlign w:val="baseline"/>
        </w:rPr>
        <w:t>Cognitive behavioral therapy coupled with supportive mentors can engage at-risk youth and equip them with behavioral interventions to prevent harmful and potentially illegal behavior.</w:t>
      </w:r>
      <w:hyperlink w:history="true" w:anchor="_bookmark509">
        <w:r>
          <w:rPr>
            <w:sz w:val="21"/>
            <w:vertAlign w:val="superscript"/>
          </w:rPr>
          <w:t>193</w:t>
        </w:r>
      </w:hyperlink>
      <w:r>
        <w:rPr>
          <w:spacing w:val="-2"/>
          <w:sz w:val="21"/>
          <w:vertAlign w:val="baseline"/>
        </w:rPr>
        <w:t> </w:t>
      </w:r>
      <w:r>
        <w:rPr>
          <w:sz w:val="21"/>
          <w:vertAlign w:val="baseline"/>
        </w:rPr>
        <w:t>Intensive multipronged</w:t>
      </w:r>
      <w:r>
        <w:rPr>
          <w:spacing w:val="-12"/>
          <w:sz w:val="21"/>
          <w:vertAlign w:val="baseline"/>
        </w:rPr>
        <w:t> </w:t>
      </w:r>
      <w:r>
        <w:rPr>
          <w:sz w:val="21"/>
          <w:vertAlign w:val="baseline"/>
        </w:rPr>
        <w:t>family</w:t>
      </w:r>
      <w:r>
        <w:rPr>
          <w:spacing w:val="-12"/>
          <w:sz w:val="21"/>
          <w:vertAlign w:val="baseline"/>
        </w:rPr>
        <w:t> </w:t>
      </w:r>
      <w:r>
        <w:rPr>
          <w:sz w:val="21"/>
          <w:vertAlign w:val="baseline"/>
        </w:rPr>
        <w:t>focused</w:t>
      </w:r>
      <w:r>
        <w:rPr>
          <w:spacing w:val="-12"/>
          <w:sz w:val="21"/>
          <w:vertAlign w:val="baseline"/>
        </w:rPr>
        <w:t> </w:t>
      </w:r>
      <w:r>
        <w:rPr>
          <w:sz w:val="21"/>
          <w:vertAlign w:val="baseline"/>
        </w:rPr>
        <w:t>treatment</w:t>
      </w:r>
      <w:r>
        <w:rPr>
          <w:spacing w:val="-12"/>
          <w:sz w:val="21"/>
          <w:vertAlign w:val="baseline"/>
        </w:rPr>
        <w:t> </w:t>
      </w:r>
      <w:r>
        <w:rPr>
          <w:sz w:val="21"/>
          <w:vertAlign w:val="baseline"/>
        </w:rPr>
        <w:t>models</w:t>
      </w:r>
      <w:r>
        <w:rPr>
          <w:spacing w:val="-12"/>
          <w:sz w:val="21"/>
          <w:vertAlign w:val="baseline"/>
        </w:rPr>
        <w:t> </w:t>
      </w:r>
      <w:r>
        <w:rPr>
          <w:sz w:val="21"/>
          <w:vertAlign w:val="baseline"/>
        </w:rPr>
        <w:t>designate</w:t>
      </w:r>
      <w:r>
        <w:rPr>
          <w:spacing w:val="-12"/>
          <w:sz w:val="21"/>
          <w:vertAlign w:val="baseline"/>
        </w:rPr>
        <w:t> </w:t>
      </w:r>
      <w:r>
        <w:rPr>
          <w:sz w:val="21"/>
          <w:vertAlign w:val="baseline"/>
        </w:rPr>
        <w:t>therapists</w:t>
      </w:r>
      <w:r>
        <w:rPr>
          <w:spacing w:val="-12"/>
          <w:sz w:val="21"/>
          <w:vertAlign w:val="baseline"/>
        </w:rPr>
        <w:t> </w:t>
      </w:r>
      <w:r>
        <w:rPr>
          <w:sz w:val="21"/>
          <w:vertAlign w:val="baseline"/>
        </w:rPr>
        <w:t>with</w:t>
      </w:r>
      <w:r>
        <w:rPr>
          <w:spacing w:val="-11"/>
          <w:sz w:val="21"/>
          <w:vertAlign w:val="baseline"/>
        </w:rPr>
        <w:t> </w:t>
      </w:r>
      <w:r>
        <w:rPr>
          <w:sz w:val="21"/>
          <w:vertAlign w:val="baseline"/>
        </w:rPr>
        <w:t>specialized</w:t>
      </w:r>
      <w:r>
        <w:rPr>
          <w:spacing w:val="-12"/>
          <w:sz w:val="21"/>
          <w:vertAlign w:val="baseline"/>
        </w:rPr>
        <w:t> </w:t>
      </w:r>
      <w:r>
        <w:rPr>
          <w:sz w:val="21"/>
          <w:vertAlign w:val="baseline"/>
        </w:rPr>
        <w:t>training</w:t>
      </w:r>
      <w:r>
        <w:rPr>
          <w:spacing w:val="-12"/>
          <w:sz w:val="21"/>
          <w:vertAlign w:val="baseline"/>
        </w:rPr>
        <w:t> </w:t>
      </w:r>
      <w:r>
        <w:rPr>
          <w:sz w:val="21"/>
          <w:vertAlign w:val="baseline"/>
        </w:rPr>
        <w:t>to</w:t>
      </w:r>
      <w:r>
        <w:rPr>
          <w:spacing w:val="-12"/>
          <w:sz w:val="21"/>
          <w:vertAlign w:val="baseline"/>
        </w:rPr>
        <w:t> </w:t>
      </w:r>
      <w:r>
        <w:rPr>
          <w:sz w:val="21"/>
          <w:vertAlign w:val="baseline"/>
        </w:rPr>
        <w:t>collaborate with young individuals and their families over a period of several months.</w:t>
      </w:r>
      <w:r>
        <w:rPr>
          <w:spacing w:val="-12"/>
          <w:sz w:val="21"/>
          <w:vertAlign w:val="baseline"/>
        </w:rPr>
        <w:t> </w:t>
      </w:r>
      <w:hyperlink w:history="true" w:anchor="_bookmark510">
        <w:r>
          <w:rPr>
            <w:sz w:val="21"/>
            <w:vertAlign w:val="superscript"/>
          </w:rPr>
          <w:t>194</w:t>
        </w:r>
      </w:hyperlink>
      <w:r>
        <w:rPr>
          <w:sz w:val="21"/>
          <w:vertAlign w:val="baseline"/>
        </w:rPr>
        <w:t> These programs aim to enhance</w:t>
      </w:r>
      <w:r>
        <w:rPr>
          <w:spacing w:val="40"/>
          <w:sz w:val="21"/>
          <w:vertAlign w:val="baseline"/>
        </w:rPr>
        <w:t> </w:t>
      </w:r>
      <w:r>
        <w:rPr>
          <w:sz w:val="21"/>
          <w:vertAlign w:val="baseline"/>
        </w:rPr>
        <w:t>how</w:t>
      </w:r>
      <w:r>
        <w:rPr>
          <w:spacing w:val="40"/>
          <w:sz w:val="21"/>
          <w:vertAlign w:val="baseline"/>
        </w:rPr>
        <w:t> </w:t>
      </w:r>
      <w:r>
        <w:rPr>
          <w:sz w:val="21"/>
          <w:vertAlign w:val="baseline"/>
        </w:rPr>
        <w:t>families</w:t>
      </w:r>
      <w:r>
        <w:rPr>
          <w:spacing w:val="40"/>
          <w:sz w:val="21"/>
          <w:vertAlign w:val="baseline"/>
        </w:rPr>
        <w:t> </w:t>
      </w:r>
      <w:r>
        <w:rPr>
          <w:sz w:val="21"/>
          <w:vertAlign w:val="baseline"/>
        </w:rPr>
        <w:t>operate</w:t>
      </w:r>
      <w:r>
        <w:rPr>
          <w:spacing w:val="40"/>
          <w:sz w:val="21"/>
          <w:vertAlign w:val="baseline"/>
        </w:rPr>
        <w:t> </w:t>
      </w:r>
      <w:r>
        <w:rPr>
          <w:sz w:val="21"/>
          <w:vertAlign w:val="baseline"/>
        </w:rPr>
        <w:t>together,</w:t>
      </w:r>
      <w:r>
        <w:rPr>
          <w:spacing w:val="40"/>
          <w:sz w:val="21"/>
          <w:vertAlign w:val="baseline"/>
        </w:rPr>
        <w:t> </w:t>
      </w:r>
      <w:r>
        <w:rPr>
          <w:sz w:val="21"/>
          <w:vertAlign w:val="baseline"/>
        </w:rPr>
        <w:t>pinpoint</w:t>
      </w:r>
      <w:r>
        <w:rPr>
          <w:spacing w:val="40"/>
          <w:sz w:val="21"/>
          <w:vertAlign w:val="baseline"/>
        </w:rPr>
        <w:t> </w:t>
      </w:r>
      <w:r>
        <w:rPr>
          <w:sz w:val="21"/>
          <w:vertAlign w:val="baseline"/>
        </w:rPr>
        <w:t>and</w:t>
      </w:r>
      <w:r>
        <w:rPr>
          <w:spacing w:val="40"/>
          <w:sz w:val="21"/>
          <w:vertAlign w:val="baseline"/>
        </w:rPr>
        <w:t> </w:t>
      </w:r>
      <w:r>
        <w:rPr>
          <w:sz w:val="21"/>
          <w:vertAlign w:val="baseline"/>
        </w:rPr>
        <w:t>tackle</w:t>
      </w:r>
      <w:r>
        <w:rPr>
          <w:spacing w:val="40"/>
          <w:sz w:val="21"/>
          <w:vertAlign w:val="baseline"/>
        </w:rPr>
        <w:t> </w:t>
      </w:r>
      <w:r>
        <w:rPr>
          <w:sz w:val="21"/>
          <w:vertAlign w:val="baseline"/>
        </w:rPr>
        <w:t>the</w:t>
      </w:r>
      <w:r>
        <w:rPr>
          <w:spacing w:val="40"/>
          <w:sz w:val="21"/>
          <w:vertAlign w:val="baseline"/>
        </w:rPr>
        <w:t> </w:t>
      </w:r>
      <w:r>
        <w:rPr>
          <w:sz w:val="21"/>
          <w:vertAlign w:val="baseline"/>
        </w:rPr>
        <w:t>underlying</w:t>
      </w:r>
      <w:r>
        <w:rPr>
          <w:spacing w:val="40"/>
          <w:sz w:val="21"/>
          <w:vertAlign w:val="baseline"/>
        </w:rPr>
        <w:t> </w:t>
      </w:r>
      <w:r>
        <w:rPr>
          <w:sz w:val="21"/>
          <w:vertAlign w:val="baseline"/>
        </w:rPr>
        <w:t>reasons</w:t>
      </w:r>
      <w:r>
        <w:rPr>
          <w:spacing w:val="40"/>
          <w:sz w:val="21"/>
          <w:vertAlign w:val="baseline"/>
        </w:rPr>
        <w:t> </w:t>
      </w:r>
      <w:r>
        <w:rPr>
          <w:sz w:val="21"/>
          <w:vertAlign w:val="baseline"/>
        </w:rPr>
        <w:t>for</w:t>
      </w:r>
      <w:r>
        <w:rPr>
          <w:spacing w:val="40"/>
          <w:sz w:val="21"/>
          <w:vertAlign w:val="baseline"/>
        </w:rPr>
        <w:t> </w:t>
      </w:r>
      <w:r>
        <w:rPr>
          <w:sz w:val="21"/>
          <w:vertAlign w:val="baseline"/>
        </w:rPr>
        <w:t>delinquent</w:t>
      </w:r>
    </w:p>
    <w:p>
      <w:pPr>
        <w:spacing w:after="0" w:line="276" w:lineRule="auto"/>
        <w:jc w:val="both"/>
        <w:rPr>
          <w:sz w:val="21"/>
        </w:rPr>
        <w:sectPr>
          <w:pgSz w:w="12240" w:h="15840"/>
          <w:pgMar w:header="763" w:footer="1041" w:top="1360" w:bottom="1240" w:left="1120" w:right="1340"/>
        </w:sectPr>
      </w:pPr>
    </w:p>
    <w:p>
      <w:pPr>
        <w:spacing w:line="276" w:lineRule="auto" w:before="65"/>
        <w:ind w:left="464" w:right="238" w:hanging="1"/>
        <w:jc w:val="both"/>
        <w:rPr>
          <w:sz w:val="21"/>
        </w:rPr>
      </w:pPr>
      <w:r>
        <w:rPr>
          <w:sz w:val="21"/>
        </w:rPr>
        <w:t>behavior, and facilitate significant changes in behavior.</w:t>
      </w:r>
      <w:r>
        <w:rPr>
          <w:spacing w:val="-12"/>
          <w:sz w:val="21"/>
        </w:rPr>
        <w:t> </w:t>
      </w:r>
      <w:hyperlink w:history="true" w:anchor="_bookmark511">
        <w:r>
          <w:rPr>
            <w:sz w:val="21"/>
            <w:vertAlign w:val="superscript"/>
          </w:rPr>
          <w:t>195</w:t>
        </w:r>
      </w:hyperlink>
      <w:r>
        <w:rPr>
          <w:spacing w:val="40"/>
          <w:sz w:val="21"/>
          <w:vertAlign w:val="baseline"/>
        </w:rPr>
        <w:t> </w:t>
      </w:r>
      <w:r>
        <w:rPr>
          <w:sz w:val="21"/>
          <w:vertAlign w:val="baseline"/>
        </w:rPr>
        <w:t>Restorative justice conferencing for young individuals accused of crimes offer a substitute to conventional courtroom proceedings.</w:t>
      </w:r>
      <w:hyperlink w:history="true" w:anchor="_bookmark512">
        <w:r>
          <w:rPr>
            <w:sz w:val="21"/>
            <w:vertAlign w:val="superscript"/>
          </w:rPr>
          <w:t>196</w:t>
        </w:r>
      </w:hyperlink>
      <w:r>
        <w:rPr>
          <w:spacing w:val="-2"/>
          <w:sz w:val="21"/>
          <w:vertAlign w:val="baseline"/>
        </w:rPr>
        <w:t> </w:t>
      </w:r>
      <w:r>
        <w:rPr>
          <w:sz w:val="21"/>
          <w:vertAlign w:val="baseline"/>
        </w:rPr>
        <w:t>Such programs often include the participation of victims and conclude</w:t>
      </w:r>
      <w:r>
        <w:rPr>
          <w:spacing w:val="-1"/>
          <w:sz w:val="21"/>
          <w:vertAlign w:val="baseline"/>
        </w:rPr>
        <w:t> </w:t>
      </w:r>
      <w:r>
        <w:rPr>
          <w:sz w:val="21"/>
          <w:vertAlign w:val="baseline"/>
        </w:rPr>
        <w:t>with a meeting where victims, the</w:t>
      </w:r>
      <w:r>
        <w:rPr>
          <w:spacing w:val="-1"/>
          <w:sz w:val="21"/>
          <w:vertAlign w:val="baseline"/>
        </w:rPr>
        <w:t> </w:t>
      </w:r>
      <w:r>
        <w:rPr>
          <w:sz w:val="21"/>
          <w:vertAlign w:val="baseline"/>
        </w:rPr>
        <w:t>accused youths, and supportive adults in their lives gather to address the impact of the crime and devise strategies for the youths to "make amends."</w:t>
      </w:r>
    </w:p>
    <w:p>
      <w:pPr>
        <w:spacing w:line="276" w:lineRule="auto" w:before="239"/>
        <w:ind w:left="464" w:right="239" w:firstLine="0"/>
        <w:jc w:val="both"/>
        <w:rPr>
          <w:sz w:val="21"/>
        </w:rPr>
      </w:pPr>
      <w:r>
        <w:rPr>
          <w:sz w:val="21"/>
        </w:rPr>
        <w:t>In 2017, the Restorative Justice Juvenile Mediation Project (RJUMP) (and half a dozen other community based organizations) partnered with the Suffolk County District Attorney's Office to launch the Juvenile Alternative Resolution Program (JAR) in Suffolk County.</w:t>
      </w:r>
      <w:hyperlink w:history="true" w:anchor="_bookmark513">
        <w:r>
          <w:rPr>
            <w:sz w:val="21"/>
            <w:vertAlign w:val="superscript"/>
          </w:rPr>
          <w:t>197</w:t>
        </w:r>
      </w:hyperlink>
      <w:r>
        <w:rPr>
          <w:spacing w:val="-2"/>
          <w:sz w:val="21"/>
          <w:vertAlign w:val="baseline"/>
        </w:rPr>
        <w:t> </w:t>
      </w:r>
      <w:r>
        <w:rPr>
          <w:sz w:val="21"/>
          <w:vertAlign w:val="baseline"/>
        </w:rPr>
        <w:t>This pioneering initiative, in collaboration with community youth service organizations and victim/survivor groups, aims to reform juvenile offenders through restorative justice services and mediation.</w:t>
      </w:r>
      <w:hyperlink w:history="true" w:anchor="_bookmark514">
        <w:r>
          <w:rPr>
            <w:sz w:val="21"/>
            <w:vertAlign w:val="superscript"/>
          </w:rPr>
          <w:t>198</w:t>
        </w:r>
      </w:hyperlink>
      <w:r>
        <w:rPr>
          <w:spacing w:val="-2"/>
          <w:sz w:val="21"/>
          <w:vertAlign w:val="baseline"/>
        </w:rPr>
        <w:t> </w:t>
      </w:r>
      <w:r>
        <w:rPr>
          <w:sz w:val="21"/>
          <w:vertAlign w:val="baseline"/>
        </w:rPr>
        <w:t>By facilitating dialogues between young offenders and their victims, the program addresses the root causes of delinquent behavior and steers participants away from the criminal legal system, thereby avoiding the stigma of a criminal record.</w:t>
      </w:r>
      <w:r>
        <w:rPr>
          <w:spacing w:val="-12"/>
          <w:sz w:val="21"/>
          <w:vertAlign w:val="baseline"/>
        </w:rPr>
        <w:t> </w:t>
      </w:r>
      <w:hyperlink w:history="true" w:anchor="_bookmark515">
        <w:r>
          <w:rPr>
            <w:sz w:val="21"/>
            <w:vertAlign w:val="superscript"/>
          </w:rPr>
          <w:t>199</w:t>
        </w:r>
      </w:hyperlink>
      <w:r>
        <w:rPr>
          <w:sz w:val="21"/>
          <w:vertAlign w:val="baseline"/>
        </w:rPr>
        <w:t> The Project focuses</w:t>
      </w:r>
      <w:r>
        <w:rPr>
          <w:spacing w:val="-6"/>
          <w:sz w:val="21"/>
          <w:vertAlign w:val="baseline"/>
        </w:rPr>
        <w:t> </w:t>
      </w:r>
      <w:r>
        <w:rPr>
          <w:sz w:val="21"/>
          <w:vertAlign w:val="baseline"/>
        </w:rPr>
        <w:t>on</w:t>
      </w:r>
      <w:r>
        <w:rPr>
          <w:spacing w:val="-6"/>
          <w:sz w:val="21"/>
          <w:vertAlign w:val="baseline"/>
        </w:rPr>
        <w:t> </w:t>
      </w:r>
      <w:r>
        <w:rPr>
          <w:sz w:val="21"/>
          <w:vertAlign w:val="baseline"/>
        </w:rPr>
        <w:t>the</w:t>
      </w:r>
      <w:r>
        <w:rPr>
          <w:spacing w:val="-6"/>
          <w:sz w:val="21"/>
          <w:vertAlign w:val="baseline"/>
        </w:rPr>
        <w:t> </w:t>
      </w:r>
      <w:r>
        <w:rPr>
          <w:sz w:val="21"/>
          <w:vertAlign w:val="baseline"/>
        </w:rPr>
        <w:t>underlying</w:t>
      </w:r>
      <w:r>
        <w:rPr>
          <w:spacing w:val="-6"/>
          <w:sz w:val="21"/>
          <w:vertAlign w:val="baseline"/>
        </w:rPr>
        <w:t> </w:t>
      </w:r>
      <w:r>
        <w:rPr>
          <w:sz w:val="21"/>
          <w:vertAlign w:val="baseline"/>
        </w:rPr>
        <w:t>issues</w:t>
      </w:r>
      <w:r>
        <w:rPr>
          <w:spacing w:val="-6"/>
          <w:sz w:val="21"/>
          <w:vertAlign w:val="baseline"/>
        </w:rPr>
        <w:t> </w:t>
      </w:r>
      <w:r>
        <w:rPr>
          <w:sz w:val="21"/>
          <w:vertAlign w:val="baseline"/>
        </w:rPr>
        <w:t>that</w:t>
      </w:r>
      <w:r>
        <w:rPr>
          <w:spacing w:val="-5"/>
          <w:sz w:val="21"/>
          <w:vertAlign w:val="baseline"/>
        </w:rPr>
        <w:t> </w:t>
      </w:r>
      <w:r>
        <w:rPr>
          <w:sz w:val="21"/>
          <w:vertAlign w:val="baseline"/>
        </w:rPr>
        <w:t>lead</w:t>
      </w:r>
      <w:r>
        <w:rPr>
          <w:spacing w:val="-6"/>
          <w:sz w:val="21"/>
          <w:vertAlign w:val="baseline"/>
        </w:rPr>
        <w:t> </w:t>
      </w:r>
      <w:r>
        <w:rPr>
          <w:sz w:val="21"/>
          <w:vertAlign w:val="baseline"/>
        </w:rPr>
        <w:t>to</w:t>
      </w:r>
      <w:r>
        <w:rPr>
          <w:spacing w:val="-6"/>
          <w:sz w:val="21"/>
          <w:vertAlign w:val="baseline"/>
        </w:rPr>
        <w:t> </w:t>
      </w:r>
      <w:r>
        <w:rPr>
          <w:sz w:val="21"/>
          <w:vertAlign w:val="baseline"/>
        </w:rPr>
        <w:t>criminal</w:t>
      </w:r>
      <w:r>
        <w:rPr>
          <w:spacing w:val="-7"/>
          <w:sz w:val="21"/>
          <w:vertAlign w:val="baseline"/>
        </w:rPr>
        <w:t> </w:t>
      </w:r>
      <w:r>
        <w:rPr>
          <w:sz w:val="21"/>
          <w:vertAlign w:val="baseline"/>
        </w:rPr>
        <w:t>activity,</w:t>
      </w:r>
      <w:r>
        <w:rPr>
          <w:spacing w:val="-5"/>
          <w:sz w:val="21"/>
          <w:vertAlign w:val="baseline"/>
        </w:rPr>
        <w:t> </w:t>
      </w:r>
      <w:r>
        <w:rPr>
          <w:sz w:val="21"/>
          <w:vertAlign w:val="baseline"/>
        </w:rPr>
        <w:t>such</w:t>
      </w:r>
      <w:r>
        <w:rPr>
          <w:spacing w:val="-7"/>
          <w:sz w:val="21"/>
          <w:vertAlign w:val="baseline"/>
        </w:rPr>
        <w:t> </w:t>
      </w:r>
      <w:r>
        <w:rPr>
          <w:sz w:val="21"/>
          <w:vertAlign w:val="baseline"/>
        </w:rPr>
        <w:t>as</w:t>
      </w:r>
      <w:r>
        <w:rPr>
          <w:spacing w:val="-6"/>
          <w:sz w:val="21"/>
          <w:vertAlign w:val="baseline"/>
        </w:rPr>
        <w:t> </w:t>
      </w:r>
      <w:r>
        <w:rPr>
          <w:sz w:val="21"/>
          <w:vertAlign w:val="baseline"/>
        </w:rPr>
        <w:t>trauma,</w:t>
      </w:r>
      <w:r>
        <w:rPr>
          <w:spacing w:val="-6"/>
          <w:sz w:val="21"/>
          <w:vertAlign w:val="baseline"/>
        </w:rPr>
        <w:t> </w:t>
      </w:r>
      <w:r>
        <w:rPr>
          <w:sz w:val="21"/>
          <w:vertAlign w:val="baseline"/>
        </w:rPr>
        <w:t>fear,</w:t>
      </w:r>
      <w:r>
        <w:rPr>
          <w:spacing w:val="-5"/>
          <w:sz w:val="21"/>
          <w:vertAlign w:val="baseline"/>
        </w:rPr>
        <w:t> </w:t>
      </w:r>
      <w:r>
        <w:rPr>
          <w:sz w:val="21"/>
          <w:vertAlign w:val="baseline"/>
        </w:rPr>
        <w:t>and</w:t>
      </w:r>
      <w:r>
        <w:rPr>
          <w:spacing w:val="-7"/>
          <w:sz w:val="21"/>
          <w:vertAlign w:val="baseline"/>
        </w:rPr>
        <w:t> </w:t>
      </w:r>
      <w:r>
        <w:rPr>
          <w:sz w:val="21"/>
          <w:vertAlign w:val="baseline"/>
        </w:rPr>
        <w:t>a</w:t>
      </w:r>
      <w:r>
        <w:rPr>
          <w:spacing w:val="-5"/>
          <w:sz w:val="21"/>
          <w:vertAlign w:val="baseline"/>
        </w:rPr>
        <w:t> </w:t>
      </w:r>
      <w:r>
        <w:rPr>
          <w:sz w:val="21"/>
          <w:vertAlign w:val="baseline"/>
        </w:rPr>
        <w:t>lack</w:t>
      </w:r>
      <w:r>
        <w:rPr>
          <w:spacing w:val="-6"/>
          <w:sz w:val="21"/>
          <w:vertAlign w:val="baseline"/>
        </w:rPr>
        <w:t> </w:t>
      </w:r>
      <w:r>
        <w:rPr>
          <w:sz w:val="21"/>
          <w:vertAlign w:val="baseline"/>
        </w:rPr>
        <w:t>of</w:t>
      </w:r>
      <w:r>
        <w:rPr>
          <w:spacing w:val="-6"/>
          <w:sz w:val="21"/>
          <w:vertAlign w:val="baseline"/>
        </w:rPr>
        <w:t> </w:t>
      </w:r>
      <w:r>
        <w:rPr>
          <w:sz w:val="21"/>
          <w:vertAlign w:val="baseline"/>
        </w:rPr>
        <w:t>belonging, helping participants to recognize and heal from their pain and to become proactive in making positive changes in their lives.</w:t>
      </w:r>
      <w:hyperlink w:history="true" w:anchor="_bookmark516">
        <w:r>
          <w:rPr>
            <w:sz w:val="21"/>
            <w:vertAlign w:val="superscript"/>
          </w:rPr>
          <w:t>200</w:t>
        </w:r>
      </w:hyperlink>
      <w:r>
        <w:rPr>
          <w:spacing w:val="-2"/>
          <w:sz w:val="21"/>
          <w:vertAlign w:val="baseline"/>
        </w:rPr>
        <w:t> </w:t>
      </w:r>
      <w:r>
        <w:rPr>
          <w:sz w:val="21"/>
          <w:vertAlign w:val="baseline"/>
        </w:rPr>
        <w:t>Only the most serious offenses – sex offenses, gun crimes, and crimes causing serious injury to a victim – are automatically ineligible for diversion.</w:t>
      </w:r>
    </w:p>
    <w:p>
      <w:pPr>
        <w:spacing w:line="276" w:lineRule="auto" w:before="241"/>
        <w:ind w:left="464" w:right="238" w:firstLine="0"/>
        <w:jc w:val="both"/>
        <w:rPr>
          <w:sz w:val="21"/>
        </w:rPr>
      </w:pPr>
      <w:r>
        <w:rPr>
          <w:sz w:val="21"/>
        </w:rPr>
        <w:t>RJUMP's services include various forms of moderated dialogues and circles that bring together victims, offenders, their families, and support groups to discuss the impact of the crime and explore ways for offenders to make amends.</w:t>
      </w:r>
      <w:r>
        <w:rPr>
          <w:spacing w:val="-12"/>
          <w:sz w:val="21"/>
        </w:rPr>
        <w:t> </w:t>
      </w:r>
      <w:hyperlink w:history="true" w:anchor="_bookmark517">
        <w:r>
          <w:rPr>
            <w:sz w:val="21"/>
            <w:vertAlign w:val="superscript"/>
          </w:rPr>
          <w:t>201</w:t>
        </w:r>
      </w:hyperlink>
      <w:r>
        <w:rPr>
          <w:sz w:val="21"/>
          <w:vertAlign w:val="baseline"/>
        </w:rPr>
        <w:t> These include victim/offender dialogues, reparation agreements where participants decide on actions the offender should take to repair the harm caused, and restorative family conferences that address familial issues contributing to delinquent behavior. Additionally, the program offers parent/child mediation to resolve family conflicts, restorative youth dialogues aimed at high-risk juveniles to uncover and address underlying criminal behavior, and mentorship for serious cases requiring closer</w:t>
      </w:r>
      <w:r>
        <w:rPr>
          <w:spacing w:val="-4"/>
          <w:sz w:val="21"/>
          <w:vertAlign w:val="baseline"/>
        </w:rPr>
        <w:t> </w:t>
      </w:r>
      <w:r>
        <w:rPr>
          <w:sz w:val="21"/>
          <w:vertAlign w:val="baseline"/>
        </w:rPr>
        <w:t>supervision.</w:t>
      </w:r>
      <w:hyperlink w:history="true" w:anchor="_bookmark518">
        <w:r>
          <w:rPr>
            <w:sz w:val="21"/>
            <w:vertAlign w:val="superscript"/>
          </w:rPr>
          <w:t>202</w:t>
        </w:r>
      </w:hyperlink>
      <w:r>
        <w:rPr>
          <w:spacing w:val="-2"/>
          <w:sz w:val="21"/>
          <w:vertAlign w:val="baseline"/>
        </w:rPr>
        <w:t> </w:t>
      </w:r>
      <w:r>
        <w:rPr>
          <w:sz w:val="21"/>
          <w:vertAlign w:val="baseline"/>
        </w:rPr>
        <w:t>These</w:t>
      </w:r>
      <w:r>
        <w:rPr>
          <w:spacing w:val="-4"/>
          <w:sz w:val="21"/>
          <w:vertAlign w:val="baseline"/>
        </w:rPr>
        <w:t> </w:t>
      </w:r>
      <w:r>
        <w:rPr>
          <w:sz w:val="21"/>
          <w:vertAlign w:val="baseline"/>
        </w:rPr>
        <w:t>interventions</w:t>
      </w:r>
      <w:r>
        <w:rPr>
          <w:spacing w:val="-5"/>
          <w:sz w:val="21"/>
          <w:vertAlign w:val="baseline"/>
        </w:rPr>
        <w:t> </w:t>
      </w:r>
      <w:r>
        <w:rPr>
          <w:sz w:val="21"/>
          <w:vertAlign w:val="baseline"/>
        </w:rPr>
        <w:t>not</w:t>
      </w:r>
      <w:r>
        <w:rPr>
          <w:spacing w:val="-4"/>
          <w:sz w:val="21"/>
          <w:vertAlign w:val="baseline"/>
        </w:rPr>
        <w:t> </w:t>
      </w:r>
      <w:r>
        <w:rPr>
          <w:sz w:val="21"/>
          <w:vertAlign w:val="baseline"/>
        </w:rPr>
        <w:t>only</w:t>
      </w:r>
      <w:r>
        <w:rPr>
          <w:spacing w:val="-5"/>
          <w:sz w:val="21"/>
          <w:vertAlign w:val="baseline"/>
        </w:rPr>
        <w:t> </w:t>
      </w:r>
      <w:r>
        <w:rPr>
          <w:sz w:val="21"/>
          <w:vertAlign w:val="baseline"/>
        </w:rPr>
        <w:t>aim</w:t>
      </w:r>
      <w:r>
        <w:rPr>
          <w:spacing w:val="-4"/>
          <w:sz w:val="21"/>
          <w:vertAlign w:val="baseline"/>
        </w:rPr>
        <w:t> </w:t>
      </w:r>
      <w:r>
        <w:rPr>
          <w:sz w:val="21"/>
          <w:vertAlign w:val="baseline"/>
        </w:rPr>
        <w:t>to</w:t>
      </w:r>
      <w:r>
        <w:rPr>
          <w:spacing w:val="-6"/>
          <w:sz w:val="21"/>
          <w:vertAlign w:val="baseline"/>
        </w:rPr>
        <w:t> </w:t>
      </w:r>
      <w:r>
        <w:rPr>
          <w:sz w:val="21"/>
          <w:vertAlign w:val="baseline"/>
        </w:rPr>
        <w:t>resolve</w:t>
      </w:r>
      <w:r>
        <w:rPr>
          <w:spacing w:val="-4"/>
          <w:sz w:val="21"/>
          <w:vertAlign w:val="baseline"/>
        </w:rPr>
        <w:t> </w:t>
      </w:r>
      <w:r>
        <w:rPr>
          <w:sz w:val="21"/>
          <w:vertAlign w:val="baseline"/>
        </w:rPr>
        <w:t>immediate</w:t>
      </w:r>
      <w:r>
        <w:rPr>
          <w:spacing w:val="-4"/>
          <w:sz w:val="21"/>
          <w:vertAlign w:val="baseline"/>
        </w:rPr>
        <w:t> </w:t>
      </w:r>
      <w:r>
        <w:rPr>
          <w:sz w:val="21"/>
          <w:vertAlign w:val="baseline"/>
        </w:rPr>
        <w:t>issues</w:t>
      </w:r>
      <w:r>
        <w:rPr>
          <w:spacing w:val="-5"/>
          <w:sz w:val="21"/>
          <w:vertAlign w:val="baseline"/>
        </w:rPr>
        <w:t> </w:t>
      </w:r>
      <w:r>
        <w:rPr>
          <w:sz w:val="21"/>
          <w:vertAlign w:val="baseline"/>
        </w:rPr>
        <w:t>but</w:t>
      </w:r>
      <w:r>
        <w:rPr>
          <w:spacing w:val="-4"/>
          <w:sz w:val="21"/>
          <w:vertAlign w:val="baseline"/>
        </w:rPr>
        <w:t> </w:t>
      </w:r>
      <w:r>
        <w:rPr>
          <w:sz w:val="21"/>
          <w:vertAlign w:val="baseline"/>
        </w:rPr>
        <w:t>also</w:t>
      </w:r>
      <w:r>
        <w:rPr>
          <w:spacing w:val="-5"/>
          <w:sz w:val="21"/>
          <w:vertAlign w:val="baseline"/>
        </w:rPr>
        <w:t> </w:t>
      </w:r>
      <w:r>
        <w:rPr>
          <w:sz w:val="21"/>
          <w:vertAlign w:val="baseline"/>
        </w:rPr>
        <w:t>to</w:t>
      </w:r>
      <w:r>
        <w:rPr>
          <w:spacing w:val="-5"/>
          <w:sz w:val="21"/>
          <w:vertAlign w:val="baseline"/>
        </w:rPr>
        <w:t> </w:t>
      </w:r>
      <w:r>
        <w:rPr>
          <w:sz w:val="21"/>
          <w:vertAlign w:val="baseline"/>
        </w:rPr>
        <w:t>identify</w:t>
      </w:r>
      <w:r>
        <w:rPr>
          <w:spacing w:val="-5"/>
          <w:sz w:val="21"/>
          <w:vertAlign w:val="baseline"/>
        </w:rPr>
        <w:t> </w:t>
      </w:r>
      <w:r>
        <w:rPr>
          <w:sz w:val="21"/>
          <w:vertAlign w:val="baseline"/>
        </w:rPr>
        <w:t>and address</w:t>
      </w:r>
      <w:r>
        <w:rPr>
          <w:spacing w:val="-4"/>
          <w:sz w:val="21"/>
          <w:vertAlign w:val="baseline"/>
        </w:rPr>
        <w:t> </w:t>
      </w:r>
      <w:r>
        <w:rPr>
          <w:sz w:val="21"/>
          <w:vertAlign w:val="baseline"/>
        </w:rPr>
        <w:t>deeper</w:t>
      </w:r>
      <w:r>
        <w:rPr>
          <w:spacing w:val="-4"/>
          <w:sz w:val="21"/>
          <w:vertAlign w:val="baseline"/>
        </w:rPr>
        <w:t> </w:t>
      </w:r>
      <w:r>
        <w:rPr>
          <w:sz w:val="21"/>
          <w:vertAlign w:val="baseline"/>
        </w:rPr>
        <w:t>problems</w:t>
      </w:r>
      <w:r>
        <w:rPr>
          <w:spacing w:val="-5"/>
          <w:sz w:val="21"/>
          <w:vertAlign w:val="baseline"/>
        </w:rPr>
        <w:t> </w:t>
      </w:r>
      <w:r>
        <w:rPr>
          <w:sz w:val="21"/>
          <w:vertAlign w:val="baseline"/>
        </w:rPr>
        <w:t>within</w:t>
      </w:r>
      <w:r>
        <w:rPr>
          <w:spacing w:val="-4"/>
          <w:sz w:val="21"/>
          <w:vertAlign w:val="baseline"/>
        </w:rPr>
        <w:t> </w:t>
      </w:r>
      <w:r>
        <w:rPr>
          <w:sz w:val="21"/>
          <w:vertAlign w:val="baseline"/>
        </w:rPr>
        <w:t>offenders'</w:t>
      </w:r>
      <w:r>
        <w:rPr>
          <w:spacing w:val="-3"/>
          <w:sz w:val="21"/>
          <w:vertAlign w:val="baseline"/>
        </w:rPr>
        <w:t> </w:t>
      </w:r>
      <w:r>
        <w:rPr>
          <w:sz w:val="21"/>
          <w:vertAlign w:val="baseline"/>
        </w:rPr>
        <w:t>lives,</w:t>
      </w:r>
      <w:r>
        <w:rPr>
          <w:spacing w:val="-4"/>
          <w:sz w:val="21"/>
          <w:vertAlign w:val="baseline"/>
        </w:rPr>
        <w:t> </w:t>
      </w:r>
      <w:r>
        <w:rPr>
          <w:sz w:val="21"/>
          <w:vertAlign w:val="baseline"/>
        </w:rPr>
        <w:t>promoting</w:t>
      </w:r>
      <w:r>
        <w:rPr>
          <w:spacing w:val="-4"/>
          <w:sz w:val="21"/>
          <w:vertAlign w:val="baseline"/>
        </w:rPr>
        <w:t> </w:t>
      </w:r>
      <w:r>
        <w:rPr>
          <w:sz w:val="21"/>
          <w:vertAlign w:val="baseline"/>
        </w:rPr>
        <w:t>long-term</w:t>
      </w:r>
      <w:r>
        <w:rPr>
          <w:spacing w:val="-4"/>
          <w:sz w:val="21"/>
          <w:vertAlign w:val="baseline"/>
        </w:rPr>
        <w:t> </w:t>
      </w:r>
      <w:r>
        <w:rPr>
          <w:sz w:val="21"/>
          <w:vertAlign w:val="baseline"/>
        </w:rPr>
        <w:t>well-being</w:t>
      </w:r>
      <w:r>
        <w:rPr>
          <w:spacing w:val="-4"/>
          <w:sz w:val="21"/>
          <w:vertAlign w:val="baseline"/>
        </w:rPr>
        <w:t> </w:t>
      </w:r>
      <w:r>
        <w:rPr>
          <w:sz w:val="21"/>
          <w:vertAlign w:val="baseline"/>
        </w:rPr>
        <w:t>and</w:t>
      </w:r>
      <w:r>
        <w:rPr>
          <w:spacing w:val="-5"/>
          <w:sz w:val="21"/>
          <w:vertAlign w:val="baseline"/>
        </w:rPr>
        <w:t> </w:t>
      </w:r>
      <w:r>
        <w:rPr>
          <w:sz w:val="21"/>
          <w:vertAlign w:val="baseline"/>
        </w:rPr>
        <w:t>steering</w:t>
      </w:r>
      <w:r>
        <w:rPr>
          <w:spacing w:val="-4"/>
          <w:sz w:val="21"/>
          <w:vertAlign w:val="baseline"/>
        </w:rPr>
        <w:t> </w:t>
      </w:r>
      <w:r>
        <w:rPr>
          <w:sz w:val="21"/>
          <w:vertAlign w:val="baseline"/>
        </w:rPr>
        <w:t>youth</w:t>
      </w:r>
      <w:r>
        <w:rPr>
          <w:spacing w:val="-5"/>
          <w:sz w:val="21"/>
          <w:vertAlign w:val="baseline"/>
        </w:rPr>
        <w:t> </w:t>
      </w:r>
      <w:r>
        <w:rPr>
          <w:sz w:val="21"/>
          <w:vertAlign w:val="baseline"/>
        </w:rPr>
        <w:t>away from illegal behavior.</w:t>
      </w:r>
    </w:p>
    <w:p>
      <w:pPr>
        <w:spacing w:line="276" w:lineRule="auto" w:before="239"/>
        <w:ind w:left="464" w:right="240" w:firstLine="0"/>
        <w:jc w:val="both"/>
        <w:rPr>
          <w:sz w:val="21"/>
        </w:rPr>
      </w:pPr>
      <w:r>
        <w:rPr>
          <w:sz w:val="21"/>
        </w:rPr>
        <w:t>During</w:t>
      </w:r>
      <w:r>
        <w:rPr>
          <w:spacing w:val="-5"/>
          <w:sz w:val="21"/>
        </w:rPr>
        <w:t> </w:t>
      </w:r>
      <w:r>
        <w:rPr>
          <w:sz w:val="21"/>
        </w:rPr>
        <w:t>its</w:t>
      </w:r>
      <w:r>
        <w:rPr>
          <w:spacing w:val="-5"/>
          <w:sz w:val="21"/>
        </w:rPr>
        <w:t> </w:t>
      </w:r>
      <w:r>
        <w:rPr>
          <w:sz w:val="21"/>
        </w:rPr>
        <w:t>first</w:t>
      </w:r>
      <w:r>
        <w:rPr>
          <w:spacing w:val="-4"/>
          <w:sz w:val="21"/>
        </w:rPr>
        <w:t> </w:t>
      </w:r>
      <w:r>
        <w:rPr>
          <w:sz w:val="21"/>
        </w:rPr>
        <w:t>year</w:t>
      </w:r>
      <w:r>
        <w:rPr>
          <w:spacing w:val="-4"/>
          <w:sz w:val="21"/>
        </w:rPr>
        <w:t> </w:t>
      </w:r>
      <w:r>
        <w:rPr>
          <w:sz w:val="21"/>
        </w:rPr>
        <w:t>of</w:t>
      </w:r>
      <w:r>
        <w:rPr>
          <w:spacing w:val="-5"/>
          <w:sz w:val="21"/>
        </w:rPr>
        <w:t> </w:t>
      </w:r>
      <w:r>
        <w:rPr>
          <w:sz w:val="21"/>
        </w:rPr>
        <w:t>implementation,</w:t>
      </w:r>
      <w:r>
        <w:rPr>
          <w:spacing w:val="-4"/>
          <w:sz w:val="21"/>
        </w:rPr>
        <w:t> </w:t>
      </w:r>
      <w:r>
        <w:rPr>
          <w:sz w:val="21"/>
        </w:rPr>
        <w:t>the</w:t>
      </w:r>
      <w:r>
        <w:rPr>
          <w:spacing w:val="-4"/>
          <w:sz w:val="21"/>
        </w:rPr>
        <w:t> </w:t>
      </w:r>
      <w:r>
        <w:rPr>
          <w:sz w:val="21"/>
        </w:rPr>
        <w:t>JAR</w:t>
      </w:r>
      <w:r>
        <w:rPr>
          <w:spacing w:val="-4"/>
          <w:sz w:val="21"/>
        </w:rPr>
        <w:t> </w:t>
      </w:r>
      <w:r>
        <w:rPr>
          <w:sz w:val="21"/>
        </w:rPr>
        <w:t>program</w:t>
      </w:r>
      <w:r>
        <w:rPr>
          <w:spacing w:val="-4"/>
          <w:sz w:val="21"/>
        </w:rPr>
        <w:t> </w:t>
      </w:r>
      <w:r>
        <w:rPr>
          <w:sz w:val="21"/>
        </w:rPr>
        <w:t>welcomed</w:t>
      </w:r>
      <w:r>
        <w:rPr>
          <w:spacing w:val="-4"/>
          <w:sz w:val="21"/>
        </w:rPr>
        <w:t> </w:t>
      </w:r>
      <w:r>
        <w:rPr>
          <w:sz w:val="21"/>
        </w:rPr>
        <w:t>70</w:t>
      </w:r>
      <w:r>
        <w:rPr>
          <w:spacing w:val="-4"/>
          <w:sz w:val="21"/>
        </w:rPr>
        <w:t> </w:t>
      </w:r>
      <w:r>
        <w:rPr>
          <w:sz w:val="21"/>
        </w:rPr>
        <w:t>young</w:t>
      </w:r>
      <w:r>
        <w:rPr>
          <w:spacing w:val="-5"/>
          <w:sz w:val="21"/>
        </w:rPr>
        <w:t> </w:t>
      </w:r>
      <w:r>
        <w:rPr>
          <w:sz w:val="21"/>
        </w:rPr>
        <w:t>individuals</w:t>
      </w:r>
      <w:r>
        <w:rPr>
          <w:spacing w:val="-5"/>
          <w:sz w:val="21"/>
        </w:rPr>
        <w:t> </w:t>
      </w:r>
      <w:r>
        <w:rPr>
          <w:sz w:val="21"/>
        </w:rPr>
        <w:t>charged</w:t>
      </w:r>
      <w:r>
        <w:rPr>
          <w:spacing w:val="-4"/>
          <w:sz w:val="21"/>
        </w:rPr>
        <w:t> </w:t>
      </w:r>
      <w:r>
        <w:rPr>
          <w:sz w:val="21"/>
        </w:rPr>
        <w:t>with</w:t>
      </w:r>
      <w:r>
        <w:rPr>
          <w:spacing w:val="-4"/>
          <w:sz w:val="21"/>
        </w:rPr>
        <w:t> </w:t>
      </w:r>
      <w:r>
        <w:rPr>
          <w:sz w:val="21"/>
        </w:rPr>
        <w:t>over 100</w:t>
      </w:r>
      <w:r>
        <w:rPr>
          <w:spacing w:val="-11"/>
          <w:sz w:val="21"/>
        </w:rPr>
        <w:t> </w:t>
      </w:r>
      <w:r>
        <w:rPr>
          <w:sz w:val="21"/>
        </w:rPr>
        <w:t>different</w:t>
      </w:r>
      <w:r>
        <w:rPr>
          <w:spacing w:val="-11"/>
          <w:sz w:val="21"/>
        </w:rPr>
        <w:t> </w:t>
      </w:r>
      <w:r>
        <w:rPr>
          <w:sz w:val="21"/>
        </w:rPr>
        <w:t>crimes.</w:t>
      </w:r>
      <w:hyperlink w:history="true" w:anchor="_bookmark519">
        <w:r>
          <w:rPr>
            <w:sz w:val="21"/>
            <w:vertAlign w:val="superscript"/>
          </w:rPr>
          <w:t>203</w:t>
        </w:r>
      </w:hyperlink>
      <w:r>
        <w:rPr>
          <w:spacing w:val="-3"/>
          <w:sz w:val="21"/>
          <w:vertAlign w:val="baseline"/>
        </w:rPr>
        <w:t> </w:t>
      </w:r>
      <w:r>
        <w:rPr>
          <w:sz w:val="21"/>
          <w:vertAlign w:val="baseline"/>
        </w:rPr>
        <w:t>Remarkably,</w:t>
      </w:r>
      <w:r>
        <w:rPr>
          <w:spacing w:val="-11"/>
          <w:sz w:val="21"/>
          <w:vertAlign w:val="baseline"/>
        </w:rPr>
        <w:t> </w:t>
      </w:r>
      <w:r>
        <w:rPr>
          <w:sz w:val="21"/>
          <w:vertAlign w:val="baseline"/>
        </w:rPr>
        <w:t>fewer</w:t>
      </w:r>
      <w:r>
        <w:rPr>
          <w:spacing w:val="-11"/>
          <w:sz w:val="21"/>
          <w:vertAlign w:val="baseline"/>
        </w:rPr>
        <w:t> </w:t>
      </w:r>
      <w:r>
        <w:rPr>
          <w:sz w:val="21"/>
          <w:vertAlign w:val="baseline"/>
        </w:rPr>
        <w:t>than</w:t>
      </w:r>
      <w:r>
        <w:rPr>
          <w:spacing w:val="-11"/>
          <w:sz w:val="21"/>
          <w:vertAlign w:val="baseline"/>
        </w:rPr>
        <w:t> </w:t>
      </w:r>
      <w:r>
        <w:rPr>
          <w:sz w:val="21"/>
          <w:vertAlign w:val="baseline"/>
        </w:rPr>
        <w:t>5%</w:t>
      </w:r>
      <w:r>
        <w:rPr>
          <w:spacing w:val="-11"/>
          <w:sz w:val="21"/>
          <w:vertAlign w:val="baseline"/>
        </w:rPr>
        <w:t> </w:t>
      </w:r>
      <w:r>
        <w:rPr>
          <w:sz w:val="21"/>
          <w:vertAlign w:val="baseline"/>
        </w:rPr>
        <w:t>of</w:t>
      </w:r>
      <w:r>
        <w:rPr>
          <w:spacing w:val="-11"/>
          <w:sz w:val="21"/>
          <w:vertAlign w:val="baseline"/>
        </w:rPr>
        <w:t> </w:t>
      </w:r>
      <w:r>
        <w:rPr>
          <w:sz w:val="21"/>
          <w:vertAlign w:val="baseline"/>
        </w:rPr>
        <w:t>the</w:t>
      </w:r>
      <w:r>
        <w:rPr>
          <w:spacing w:val="-12"/>
          <w:sz w:val="21"/>
          <w:vertAlign w:val="baseline"/>
        </w:rPr>
        <w:t> </w:t>
      </w:r>
      <w:r>
        <w:rPr>
          <w:sz w:val="21"/>
          <w:vertAlign w:val="baseline"/>
        </w:rPr>
        <w:t>participants—just</w:t>
      </w:r>
      <w:r>
        <w:rPr>
          <w:spacing w:val="-10"/>
          <w:sz w:val="21"/>
          <w:vertAlign w:val="baseline"/>
        </w:rPr>
        <w:t> </w:t>
      </w:r>
      <w:r>
        <w:rPr>
          <w:sz w:val="21"/>
          <w:vertAlign w:val="baseline"/>
        </w:rPr>
        <w:t>three</w:t>
      </w:r>
      <w:r>
        <w:rPr>
          <w:spacing w:val="-11"/>
          <w:sz w:val="21"/>
          <w:vertAlign w:val="baseline"/>
        </w:rPr>
        <w:t> </w:t>
      </w:r>
      <w:r>
        <w:rPr>
          <w:sz w:val="21"/>
          <w:vertAlign w:val="baseline"/>
        </w:rPr>
        <w:t>youths—were</w:t>
      </w:r>
      <w:r>
        <w:rPr>
          <w:spacing w:val="-11"/>
          <w:sz w:val="21"/>
          <w:vertAlign w:val="baseline"/>
        </w:rPr>
        <w:t> </w:t>
      </w:r>
      <w:r>
        <w:rPr>
          <w:sz w:val="21"/>
          <w:vertAlign w:val="baseline"/>
        </w:rPr>
        <w:t>dismissed from the program due to non-compliance with its terms.</w:t>
      </w:r>
      <w:hyperlink w:history="true" w:anchor="_bookmark520">
        <w:r>
          <w:rPr>
            <w:sz w:val="21"/>
            <w:vertAlign w:val="superscript"/>
          </w:rPr>
          <w:t>204</w:t>
        </w:r>
      </w:hyperlink>
      <w:r>
        <w:rPr>
          <w:spacing w:val="-2"/>
          <w:sz w:val="21"/>
          <w:vertAlign w:val="baseline"/>
        </w:rPr>
        <w:t> </w:t>
      </w:r>
      <w:r>
        <w:rPr>
          <w:sz w:val="21"/>
          <w:vertAlign w:val="baseline"/>
        </w:rPr>
        <w:t>Following the conclusion of its pilot stage, the JAR initiative broadened its reach to encompass additional areas within Boston. Notably, around 65% of delinquency cases in Suffolk County, totaling over 500 cases, were diverted through the JAR program.</w:t>
      </w:r>
      <w:hyperlink w:history="true" w:anchor="_bookmark521">
        <w:r>
          <w:rPr>
            <w:sz w:val="21"/>
            <w:vertAlign w:val="superscript"/>
          </w:rPr>
          <w:t>205</w:t>
        </w:r>
      </w:hyperlink>
    </w:p>
    <w:p>
      <w:pPr>
        <w:spacing w:line="276" w:lineRule="auto" w:before="241"/>
        <w:ind w:left="463" w:right="237" w:firstLine="0"/>
        <w:jc w:val="both"/>
        <w:rPr>
          <w:sz w:val="21"/>
        </w:rPr>
      </w:pPr>
      <w:r>
        <w:rPr>
          <w:sz w:val="21"/>
        </w:rPr>
        <w:t>Community reinvestment aims to cut the issue of juvenile delinquency off at the root cause: historic dis- investment of marginalized communities, often of color.</w:t>
      </w:r>
      <w:r>
        <w:rPr>
          <w:spacing w:val="-11"/>
          <w:sz w:val="21"/>
        </w:rPr>
        <w:t> </w:t>
      </w:r>
      <w:hyperlink w:history="true" w:anchor="_bookmark522">
        <w:r>
          <w:rPr>
            <w:sz w:val="21"/>
            <w:vertAlign w:val="superscript"/>
          </w:rPr>
          <w:t>206</w:t>
        </w:r>
      </w:hyperlink>
      <w:r>
        <w:rPr>
          <w:sz w:val="21"/>
          <w:vertAlign w:val="baseline"/>
        </w:rPr>
        <w:t> Increased state funding and support for preventative community-based initiatives designed to minimize system involvement and foster prosocial activities among youth can have impactful effects for youth offenders.</w:t>
      </w:r>
      <w:hyperlink w:history="true" w:anchor="_bookmark523">
        <w:r>
          <w:rPr>
            <w:sz w:val="21"/>
            <w:vertAlign w:val="superscript"/>
          </w:rPr>
          <w:t>207</w:t>
        </w:r>
      </w:hyperlink>
      <w:r>
        <w:rPr>
          <w:spacing w:val="-2"/>
          <w:sz w:val="21"/>
          <w:vertAlign w:val="baseline"/>
        </w:rPr>
        <w:t> </w:t>
      </w:r>
      <w:r>
        <w:rPr>
          <w:sz w:val="21"/>
          <w:vertAlign w:val="baseline"/>
        </w:rPr>
        <w:t>Recognizing the critical role that social connections and positive engagements play in reducing the likelihood of juvenile delinquency, the Commission</w:t>
      </w:r>
      <w:r>
        <w:rPr>
          <w:spacing w:val="-3"/>
          <w:sz w:val="21"/>
          <w:vertAlign w:val="baseline"/>
        </w:rPr>
        <w:t> </w:t>
      </w:r>
      <w:r>
        <w:rPr>
          <w:sz w:val="21"/>
          <w:vertAlign w:val="baseline"/>
        </w:rPr>
        <w:t>urges</w:t>
      </w:r>
      <w:r>
        <w:rPr>
          <w:spacing w:val="-3"/>
          <w:sz w:val="21"/>
          <w:vertAlign w:val="baseline"/>
        </w:rPr>
        <w:t> </w:t>
      </w:r>
      <w:r>
        <w:rPr>
          <w:sz w:val="21"/>
          <w:vertAlign w:val="baseline"/>
        </w:rPr>
        <w:t>an</w:t>
      </w:r>
      <w:r>
        <w:rPr>
          <w:spacing w:val="-3"/>
          <w:sz w:val="21"/>
          <w:vertAlign w:val="baseline"/>
        </w:rPr>
        <w:t> </w:t>
      </w:r>
      <w:r>
        <w:rPr>
          <w:sz w:val="21"/>
          <w:vertAlign w:val="baseline"/>
        </w:rPr>
        <w:t>expansion</w:t>
      </w:r>
      <w:r>
        <w:rPr>
          <w:spacing w:val="-3"/>
          <w:sz w:val="21"/>
          <w:vertAlign w:val="baseline"/>
        </w:rPr>
        <w:t> </w:t>
      </w:r>
      <w:r>
        <w:rPr>
          <w:sz w:val="21"/>
          <w:vertAlign w:val="baseline"/>
        </w:rPr>
        <w:t>in</w:t>
      </w:r>
      <w:r>
        <w:rPr>
          <w:spacing w:val="-3"/>
          <w:sz w:val="21"/>
          <w:vertAlign w:val="baseline"/>
        </w:rPr>
        <w:t> </w:t>
      </w:r>
      <w:r>
        <w:rPr>
          <w:sz w:val="21"/>
          <w:vertAlign w:val="baseline"/>
        </w:rPr>
        <w:t>services</w:t>
      </w:r>
      <w:r>
        <w:rPr>
          <w:spacing w:val="-4"/>
          <w:sz w:val="21"/>
          <w:vertAlign w:val="baseline"/>
        </w:rPr>
        <w:t> </w:t>
      </w:r>
      <w:r>
        <w:rPr>
          <w:sz w:val="21"/>
          <w:vertAlign w:val="baseline"/>
        </w:rPr>
        <w:t>that</w:t>
      </w:r>
      <w:r>
        <w:rPr>
          <w:spacing w:val="-2"/>
          <w:sz w:val="21"/>
          <w:vertAlign w:val="baseline"/>
        </w:rPr>
        <w:t> </w:t>
      </w:r>
      <w:r>
        <w:rPr>
          <w:sz w:val="21"/>
          <w:vertAlign w:val="baseline"/>
        </w:rPr>
        <w:t>enhance</w:t>
      </w:r>
      <w:r>
        <w:rPr>
          <w:spacing w:val="-3"/>
          <w:sz w:val="21"/>
          <w:vertAlign w:val="baseline"/>
        </w:rPr>
        <w:t> </w:t>
      </w:r>
      <w:r>
        <w:rPr>
          <w:sz w:val="21"/>
          <w:vertAlign w:val="baseline"/>
        </w:rPr>
        <w:t>social</w:t>
      </w:r>
      <w:r>
        <w:rPr>
          <w:spacing w:val="-3"/>
          <w:sz w:val="21"/>
          <w:vertAlign w:val="baseline"/>
        </w:rPr>
        <w:t> </w:t>
      </w:r>
      <w:r>
        <w:rPr>
          <w:sz w:val="21"/>
          <w:vertAlign w:val="baseline"/>
        </w:rPr>
        <w:t>ties</w:t>
      </w:r>
      <w:r>
        <w:rPr>
          <w:spacing w:val="-3"/>
          <w:sz w:val="21"/>
          <w:vertAlign w:val="baseline"/>
        </w:rPr>
        <w:t> </w:t>
      </w:r>
      <w:r>
        <w:rPr>
          <w:sz w:val="21"/>
          <w:vertAlign w:val="baseline"/>
        </w:rPr>
        <w:t>and</w:t>
      </w:r>
      <w:r>
        <w:rPr>
          <w:spacing w:val="-3"/>
          <w:sz w:val="21"/>
          <w:vertAlign w:val="baseline"/>
        </w:rPr>
        <w:t> </w:t>
      </w:r>
      <w:r>
        <w:rPr>
          <w:sz w:val="21"/>
          <w:vertAlign w:val="baseline"/>
        </w:rPr>
        <w:t>support</w:t>
      </w:r>
      <w:r>
        <w:rPr>
          <w:spacing w:val="-2"/>
          <w:sz w:val="21"/>
          <w:vertAlign w:val="baseline"/>
        </w:rPr>
        <w:t> </w:t>
      </w:r>
      <w:r>
        <w:rPr>
          <w:sz w:val="21"/>
          <w:vertAlign w:val="baseline"/>
        </w:rPr>
        <w:t>positive</w:t>
      </w:r>
      <w:r>
        <w:rPr>
          <w:spacing w:val="-3"/>
          <w:sz w:val="21"/>
          <w:vertAlign w:val="baseline"/>
        </w:rPr>
        <w:t> </w:t>
      </w:r>
      <w:r>
        <w:rPr>
          <w:sz w:val="21"/>
          <w:vertAlign w:val="baseline"/>
        </w:rPr>
        <w:t>development</w:t>
      </w:r>
      <w:r>
        <w:rPr>
          <w:spacing w:val="-3"/>
          <w:sz w:val="21"/>
          <w:vertAlign w:val="baseline"/>
        </w:rPr>
        <w:t> </w:t>
      </w:r>
      <w:r>
        <w:rPr>
          <w:sz w:val="21"/>
          <w:vertAlign w:val="baseline"/>
        </w:rPr>
        <w:t>and wellbeing in young people.</w:t>
      </w:r>
      <w:r>
        <w:rPr>
          <w:spacing w:val="40"/>
          <w:sz w:val="21"/>
          <w:vertAlign w:val="baseline"/>
        </w:rPr>
        <w:t> </w:t>
      </w:r>
      <w:r>
        <w:rPr>
          <w:sz w:val="21"/>
          <w:vertAlign w:val="baseline"/>
        </w:rPr>
        <w:t>Studies indicate that individuals who feel accepted by their community post- conviction are more inclined to adopt positive social behaviors, thereby reducing their chances of reoffending.</w:t>
      </w:r>
      <w:r>
        <w:rPr>
          <w:spacing w:val="-28"/>
          <w:sz w:val="21"/>
          <w:vertAlign w:val="baseline"/>
        </w:rPr>
        <w:t> </w:t>
      </w:r>
      <w:hyperlink w:history="true" w:anchor="_bookmark524">
        <w:r>
          <w:rPr>
            <w:sz w:val="21"/>
            <w:vertAlign w:val="superscript"/>
          </w:rPr>
          <w:t>208</w:t>
        </w:r>
      </w:hyperlink>
      <w:r>
        <w:rPr>
          <w:spacing w:val="40"/>
          <w:sz w:val="21"/>
          <w:vertAlign w:val="baseline"/>
        </w:rPr>
        <w:t> </w:t>
      </w:r>
      <w:r>
        <w:rPr>
          <w:sz w:val="21"/>
          <w:vertAlign w:val="baseline"/>
        </w:rPr>
        <w:t>Specifically,</w:t>
      </w:r>
      <w:r>
        <w:rPr>
          <w:spacing w:val="29"/>
          <w:sz w:val="21"/>
          <w:vertAlign w:val="baseline"/>
        </w:rPr>
        <w:t> </w:t>
      </w:r>
      <w:r>
        <w:rPr>
          <w:sz w:val="21"/>
          <w:vertAlign w:val="baseline"/>
        </w:rPr>
        <w:t>such</w:t>
      </w:r>
      <w:r>
        <w:rPr>
          <w:spacing w:val="29"/>
          <w:sz w:val="21"/>
          <w:vertAlign w:val="baseline"/>
        </w:rPr>
        <w:t> </w:t>
      </w:r>
      <w:r>
        <w:rPr>
          <w:sz w:val="21"/>
          <w:vertAlign w:val="baseline"/>
        </w:rPr>
        <w:t>interventions</w:t>
      </w:r>
      <w:r>
        <w:rPr>
          <w:spacing w:val="28"/>
          <w:sz w:val="21"/>
          <w:vertAlign w:val="baseline"/>
        </w:rPr>
        <w:t> </w:t>
      </w:r>
      <w:r>
        <w:rPr>
          <w:sz w:val="21"/>
          <w:vertAlign w:val="baseline"/>
        </w:rPr>
        <w:t>should</w:t>
      </w:r>
      <w:r>
        <w:rPr>
          <w:spacing w:val="29"/>
          <w:sz w:val="21"/>
          <w:vertAlign w:val="baseline"/>
        </w:rPr>
        <w:t> </w:t>
      </w:r>
      <w:r>
        <w:rPr>
          <w:sz w:val="21"/>
          <w:vertAlign w:val="baseline"/>
        </w:rPr>
        <w:t>include</w:t>
      </w:r>
      <w:r>
        <w:rPr>
          <w:spacing w:val="29"/>
          <w:sz w:val="21"/>
          <w:vertAlign w:val="baseline"/>
        </w:rPr>
        <w:t> </w:t>
      </w:r>
      <w:r>
        <w:rPr>
          <w:sz w:val="21"/>
          <w:vertAlign w:val="baseline"/>
        </w:rPr>
        <w:t>peer</w:t>
      </w:r>
      <w:r>
        <w:rPr>
          <w:spacing w:val="29"/>
          <w:sz w:val="21"/>
          <w:vertAlign w:val="baseline"/>
        </w:rPr>
        <w:t> </w:t>
      </w:r>
      <w:r>
        <w:rPr>
          <w:sz w:val="21"/>
          <w:vertAlign w:val="baseline"/>
        </w:rPr>
        <w:t>support</w:t>
      </w:r>
      <w:r>
        <w:rPr>
          <w:spacing w:val="29"/>
          <w:sz w:val="21"/>
          <w:vertAlign w:val="baseline"/>
        </w:rPr>
        <w:t> </w:t>
      </w:r>
      <w:r>
        <w:rPr>
          <w:sz w:val="21"/>
          <w:vertAlign w:val="baseline"/>
        </w:rPr>
        <w:t>and</w:t>
      </w:r>
      <w:r>
        <w:rPr>
          <w:spacing w:val="28"/>
          <w:sz w:val="21"/>
          <w:vertAlign w:val="baseline"/>
        </w:rPr>
        <w:t> </w:t>
      </w:r>
      <w:r>
        <w:rPr>
          <w:sz w:val="21"/>
          <w:vertAlign w:val="baseline"/>
        </w:rPr>
        <w:t>mentorship,</w:t>
      </w:r>
      <w:r>
        <w:rPr>
          <w:spacing w:val="29"/>
          <w:sz w:val="21"/>
          <w:vertAlign w:val="baseline"/>
        </w:rPr>
        <w:t> </w:t>
      </w:r>
      <w:r>
        <w:rPr>
          <w:sz w:val="21"/>
          <w:vertAlign w:val="baseline"/>
        </w:rPr>
        <w:t>academic</w:t>
      </w:r>
    </w:p>
    <w:p>
      <w:pPr>
        <w:spacing w:after="0" w:line="276" w:lineRule="auto"/>
        <w:jc w:val="both"/>
        <w:rPr>
          <w:sz w:val="21"/>
        </w:rPr>
        <w:sectPr>
          <w:pgSz w:w="12240" w:h="15840"/>
          <w:pgMar w:header="763" w:footer="1041" w:top="1360" w:bottom="1240" w:left="1120" w:right="1340"/>
        </w:sectPr>
      </w:pPr>
    </w:p>
    <w:p>
      <w:pPr>
        <w:spacing w:line="276" w:lineRule="auto" w:before="65"/>
        <w:ind w:left="464" w:right="242" w:hanging="1"/>
        <w:jc w:val="both"/>
        <w:rPr>
          <w:sz w:val="21"/>
        </w:rPr>
      </w:pPr>
      <w:r>
        <w:rPr>
          <w:sz w:val="21"/>
        </w:rPr>
        <w:t>achievement and re-engagement with education, vocational training and employment opportunities, life skills and civic participation, and strategies for violence prevention and disengagement from gangs.</w:t>
      </w:r>
    </w:p>
    <w:p>
      <w:pPr>
        <w:spacing w:line="276" w:lineRule="auto" w:before="239"/>
        <w:ind w:left="464" w:right="238" w:firstLine="0"/>
        <w:jc w:val="both"/>
        <w:rPr>
          <w:sz w:val="21"/>
        </w:rPr>
      </w:pPr>
      <w:r>
        <w:rPr>
          <w:sz w:val="21"/>
        </w:rPr>
        <w:t>By adopting a holistic and evidence-based approach, communities can significantly reduce reliance on incarceration,</w:t>
      </w:r>
      <w:r>
        <w:rPr>
          <w:spacing w:val="-6"/>
          <w:sz w:val="21"/>
        </w:rPr>
        <w:t> </w:t>
      </w:r>
      <w:r>
        <w:rPr>
          <w:sz w:val="21"/>
        </w:rPr>
        <w:t>improve</w:t>
      </w:r>
      <w:r>
        <w:rPr>
          <w:spacing w:val="-6"/>
          <w:sz w:val="21"/>
        </w:rPr>
        <w:t> </w:t>
      </w:r>
      <w:r>
        <w:rPr>
          <w:sz w:val="21"/>
        </w:rPr>
        <w:t>public</w:t>
      </w:r>
      <w:r>
        <w:rPr>
          <w:spacing w:val="-6"/>
          <w:sz w:val="21"/>
        </w:rPr>
        <w:t> </w:t>
      </w:r>
      <w:r>
        <w:rPr>
          <w:sz w:val="21"/>
        </w:rPr>
        <w:t>safety,</w:t>
      </w:r>
      <w:r>
        <w:rPr>
          <w:spacing w:val="-5"/>
          <w:sz w:val="21"/>
        </w:rPr>
        <w:t> </w:t>
      </w:r>
      <w:r>
        <w:rPr>
          <w:sz w:val="21"/>
        </w:rPr>
        <w:t>and</w:t>
      </w:r>
      <w:r>
        <w:rPr>
          <w:spacing w:val="-6"/>
          <w:sz w:val="21"/>
        </w:rPr>
        <w:t> </w:t>
      </w:r>
      <w:r>
        <w:rPr>
          <w:sz w:val="21"/>
        </w:rPr>
        <w:t>offer</w:t>
      </w:r>
      <w:r>
        <w:rPr>
          <w:spacing w:val="-6"/>
          <w:sz w:val="21"/>
        </w:rPr>
        <w:t> </w:t>
      </w:r>
      <w:r>
        <w:rPr>
          <w:sz w:val="21"/>
        </w:rPr>
        <w:t>a</w:t>
      </w:r>
      <w:r>
        <w:rPr>
          <w:spacing w:val="-5"/>
          <w:sz w:val="21"/>
        </w:rPr>
        <w:t> </w:t>
      </w:r>
      <w:r>
        <w:rPr>
          <w:sz w:val="21"/>
        </w:rPr>
        <w:t>more</w:t>
      </w:r>
      <w:r>
        <w:rPr>
          <w:spacing w:val="-6"/>
          <w:sz w:val="21"/>
        </w:rPr>
        <w:t> </w:t>
      </w:r>
      <w:r>
        <w:rPr>
          <w:sz w:val="21"/>
        </w:rPr>
        <w:t>just</w:t>
      </w:r>
      <w:r>
        <w:rPr>
          <w:spacing w:val="-5"/>
          <w:sz w:val="21"/>
        </w:rPr>
        <w:t> </w:t>
      </w:r>
      <w:r>
        <w:rPr>
          <w:sz w:val="21"/>
        </w:rPr>
        <w:t>and</w:t>
      </w:r>
      <w:r>
        <w:rPr>
          <w:spacing w:val="-6"/>
          <w:sz w:val="21"/>
        </w:rPr>
        <w:t> </w:t>
      </w:r>
      <w:r>
        <w:rPr>
          <w:sz w:val="21"/>
        </w:rPr>
        <w:t>effective</w:t>
      </w:r>
      <w:r>
        <w:rPr>
          <w:spacing w:val="-6"/>
          <w:sz w:val="21"/>
        </w:rPr>
        <w:t> </w:t>
      </w:r>
      <w:r>
        <w:rPr>
          <w:sz w:val="21"/>
        </w:rPr>
        <w:t>response</w:t>
      </w:r>
      <w:r>
        <w:rPr>
          <w:spacing w:val="-6"/>
          <w:sz w:val="21"/>
        </w:rPr>
        <w:t> </w:t>
      </w:r>
      <w:r>
        <w:rPr>
          <w:sz w:val="21"/>
        </w:rPr>
        <w:t>to</w:t>
      </w:r>
      <w:r>
        <w:rPr>
          <w:spacing w:val="-5"/>
          <w:sz w:val="21"/>
        </w:rPr>
        <w:t> </w:t>
      </w:r>
      <w:r>
        <w:rPr>
          <w:sz w:val="21"/>
        </w:rPr>
        <w:t>youth</w:t>
      </w:r>
      <w:r>
        <w:rPr>
          <w:spacing w:val="-6"/>
          <w:sz w:val="21"/>
        </w:rPr>
        <w:t> </w:t>
      </w:r>
      <w:r>
        <w:rPr>
          <w:sz w:val="21"/>
        </w:rPr>
        <w:t>illegal</w:t>
      </w:r>
      <w:r>
        <w:rPr>
          <w:spacing w:val="-6"/>
          <w:sz w:val="21"/>
        </w:rPr>
        <w:t> </w:t>
      </w:r>
      <w:r>
        <w:rPr>
          <w:sz w:val="21"/>
        </w:rPr>
        <w:t>behavior. By</w:t>
      </w:r>
      <w:r>
        <w:rPr>
          <w:spacing w:val="-1"/>
          <w:sz w:val="21"/>
        </w:rPr>
        <w:t> </w:t>
      </w:r>
      <w:r>
        <w:rPr>
          <w:sz w:val="21"/>
        </w:rPr>
        <w:t>embracing</w:t>
      </w:r>
      <w:r>
        <w:rPr>
          <w:spacing w:val="-2"/>
          <w:sz w:val="21"/>
        </w:rPr>
        <w:t> </w:t>
      </w:r>
      <w:r>
        <w:rPr>
          <w:sz w:val="21"/>
        </w:rPr>
        <w:t>alternative</w:t>
      </w:r>
      <w:r>
        <w:rPr>
          <w:spacing w:val="-1"/>
          <w:sz w:val="21"/>
        </w:rPr>
        <w:t> </w:t>
      </w:r>
      <w:r>
        <w:rPr>
          <w:sz w:val="21"/>
        </w:rPr>
        <w:t>interventions</w:t>
      </w:r>
      <w:r>
        <w:rPr>
          <w:spacing w:val="-1"/>
          <w:sz w:val="21"/>
        </w:rPr>
        <w:t> </w:t>
      </w:r>
      <w:r>
        <w:rPr>
          <w:sz w:val="21"/>
        </w:rPr>
        <w:t>and systemic</w:t>
      </w:r>
      <w:r>
        <w:rPr>
          <w:spacing w:val="-1"/>
          <w:sz w:val="21"/>
        </w:rPr>
        <w:t> </w:t>
      </w:r>
      <w:r>
        <w:rPr>
          <w:sz w:val="21"/>
        </w:rPr>
        <w:t>reforms, we</w:t>
      </w:r>
      <w:r>
        <w:rPr>
          <w:spacing w:val="-1"/>
          <w:sz w:val="21"/>
        </w:rPr>
        <w:t> </w:t>
      </w:r>
      <w:r>
        <w:rPr>
          <w:sz w:val="21"/>
        </w:rPr>
        <w:t>can</w:t>
      </w:r>
      <w:r>
        <w:rPr>
          <w:spacing w:val="-3"/>
          <w:sz w:val="21"/>
        </w:rPr>
        <w:t> </w:t>
      </w:r>
      <w:r>
        <w:rPr>
          <w:sz w:val="21"/>
        </w:rPr>
        <w:t>support at-risk youth</w:t>
      </w:r>
      <w:r>
        <w:rPr>
          <w:spacing w:val="-2"/>
          <w:sz w:val="21"/>
        </w:rPr>
        <w:t> </w:t>
      </w:r>
      <w:r>
        <w:rPr>
          <w:sz w:val="21"/>
        </w:rPr>
        <w:t>in</w:t>
      </w:r>
      <w:r>
        <w:rPr>
          <w:spacing w:val="-1"/>
          <w:sz w:val="21"/>
        </w:rPr>
        <w:t> </w:t>
      </w:r>
      <w:r>
        <w:rPr>
          <w:sz w:val="21"/>
        </w:rPr>
        <w:t>constructive ways that encourage personal growth, reduce reoffending, and build safer communities. This transformative approach not only mitigates the immediate and collateral consequences of incarceration but also advances the principles of justice, equity, and humanity within our juvenile and criminal legal </w:t>
      </w:r>
      <w:r>
        <w:rPr>
          <w:spacing w:val="-2"/>
          <w:sz w:val="21"/>
        </w:rPr>
        <w:t>systems.</w:t>
      </w:r>
    </w:p>
    <w:p>
      <w:pPr>
        <w:spacing w:before="240"/>
        <w:ind w:left="464" w:right="0" w:firstLine="0"/>
        <w:jc w:val="both"/>
        <w:rPr>
          <w:sz w:val="28"/>
        </w:rPr>
      </w:pPr>
      <w:bookmarkStart w:name="Empowering Currently and Formerly Incarc" w:id="767"/>
      <w:bookmarkEnd w:id="767"/>
      <w:r>
        <w:rPr/>
      </w:r>
      <w:r>
        <w:rPr>
          <w:color w:val="365F91"/>
          <w:sz w:val="28"/>
        </w:rPr>
        <w:t>Empowering</w:t>
      </w:r>
      <w:r>
        <w:rPr>
          <w:color w:val="365F91"/>
          <w:spacing w:val="-12"/>
          <w:sz w:val="28"/>
        </w:rPr>
        <w:t> </w:t>
      </w:r>
      <w:r>
        <w:rPr>
          <w:color w:val="365F91"/>
          <w:sz w:val="28"/>
        </w:rPr>
        <w:t>Currently</w:t>
      </w:r>
      <w:r>
        <w:rPr>
          <w:color w:val="365F91"/>
          <w:spacing w:val="-12"/>
          <w:sz w:val="28"/>
        </w:rPr>
        <w:t> </w:t>
      </w:r>
      <w:r>
        <w:rPr>
          <w:color w:val="365F91"/>
          <w:sz w:val="28"/>
        </w:rPr>
        <w:t>and</w:t>
      </w:r>
      <w:r>
        <w:rPr>
          <w:color w:val="365F91"/>
          <w:spacing w:val="-13"/>
          <w:sz w:val="28"/>
        </w:rPr>
        <w:t> </w:t>
      </w:r>
      <w:r>
        <w:rPr>
          <w:color w:val="365F91"/>
          <w:sz w:val="28"/>
        </w:rPr>
        <w:t>Formerly</w:t>
      </w:r>
      <w:r>
        <w:rPr>
          <w:color w:val="365F91"/>
          <w:spacing w:val="-12"/>
          <w:sz w:val="28"/>
        </w:rPr>
        <w:t> </w:t>
      </w:r>
      <w:r>
        <w:rPr>
          <w:color w:val="365F91"/>
          <w:sz w:val="28"/>
        </w:rPr>
        <w:t>Incarcerated</w:t>
      </w:r>
      <w:r>
        <w:rPr>
          <w:color w:val="365F91"/>
          <w:spacing w:val="-13"/>
          <w:sz w:val="28"/>
        </w:rPr>
        <w:t> </w:t>
      </w:r>
      <w:r>
        <w:rPr>
          <w:color w:val="365F91"/>
          <w:sz w:val="28"/>
        </w:rPr>
        <w:t>LGBTQ</w:t>
      </w:r>
      <w:r>
        <w:rPr>
          <w:color w:val="365F91"/>
          <w:spacing w:val="-12"/>
          <w:sz w:val="28"/>
        </w:rPr>
        <w:t> </w:t>
      </w:r>
      <w:r>
        <w:rPr>
          <w:color w:val="365F91"/>
          <w:sz w:val="28"/>
        </w:rPr>
        <w:t>Youth</w:t>
      </w:r>
      <w:r>
        <w:rPr>
          <w:color w:val="365F91"/>
          <w:spacing w:val="-13"/>
          <w:sz w:val="28"/>
        </w:rPr>
        <w:t> </w:t>
      </w:r>
      <w:r>
        <w:rPr>
          <w:color w:val="365F91"/>
          <w:spacing w:val="-2"/>
          <w:sz w:val="28"/>
        </w:rPr>
        <w:t>Voices</w:t>
      </w:r>
    </w:p>
    <w:p>
      <w:pPr>
        <w:spacing w:line="276" w:lineRule="auto" w:before="241"/>
        <w:ind w:left="464" w:right="239" w:firstLine="0"/>
        <w:jc w:val="both"/>
        <w:rPr>
          <w:sz w:val="21"/>
        </w:rPr>
      </w:pPr>
      <w:r>
        <w:rPr>
          <w:sz w:val="21"/>
        </w:rPr>
        <w:t>The</w:t>
      </w:r>
      <w:r>
        <w:rPr>
          <w:spacing w:val="-8"/>
          <w:sz w:val="21"/>
        </w:rPr>
        <w:t> </w:t>
      </w:r>
      <w:r>
        <w:rPr>
          <w:sz w:val="21"/>
        </w:rPr>
        <w:t>Commission</w:t>
      </w:r>
      <w:r>
        <w:rPr>
          <w:spacing w:val="-8"/>
          <w:sz w:val="21"/>
        </w:rPr>
        <w:t> </w:t>
      </w:r>
      <w:r>
        <w:rPr>
          <w:sz w:val="21"/>
        </w:rPr>
        <w:t>recommends</w:t>
      </w:r>
      <w:r>
        <w:rPr>
          <w:spacing w:val="-8"/>
          <w:sz w:val="21"/>
        </w:rPr>
        <w:t> </w:t>
      </w:r>
      <w:r>
        <w:rPr>
          <w:sz w:val="21"/>
        </w:rPr>
        <w:t>that</w:t>
      </w:r>
      <w:r>
        <w:rPr>
          <w:spacing w:val="-7"/>
          <w:sz w:val="21"/>
        </w:rPr>
        <w:t> </w:t>
      </w:r>
      <w:r>
        <w:rPr>
          <w:sz w:val="21"/>
        </w:rPr>
        <w:t>youth</w:t>
      </w:r>
      <w:r>
        <w:rPr>
          <w:spacing w:val="-9"/>
          <w:sz w:val="21"/>
        </w:rPr>
        <w:t> </w:t>
      </w:r>
      <w:r>
        <w:rPr>
          <w:sz w:val="21"/>
        </w:rPr>
        <w:t>with</w:t>
      </w:r>
      <w:r>
        <w:rPr>
          <w:spacing w:val="-8"/>
          <w:sz w:val="21"/>
        </w:rPr>
        <w:t> </w:t>
      </w:r>
      <w:r>
        <w:rPr>
          <w:sz w:val="21"/>
        </w:rPr>
        <w:t>lived</w:t>
      </w:r>
      <w:r>
        <w:rPr>
          <w:spacing w:val="-8"/>
          <w:sz w:val="21"/>
        </w:rPr>
        <w:t> </w:t>
      </w:r>
      <w:r>
        <w:rPr>
          <w:sz w:val="21"/>
        </w:rPr>
        <w:t>experience</w:t>
      </w:r>
      <w:r>
        <w:rPr>
          <w:spacing w:val="-8"/>
          <w:sz w:val="21"/>
        </w:rPr>
        <w:t> </w:t>
      </w:r>
      <w:r>
        <w:rPr>
          <w:sz w:val="21"/>
        </w:rPr>
        <w:t>be</w:t>
      </w:r>
      <w:r>
        <w:rPr>
          <w:spacing w:val="-8"/>
          <w:sz w:val="21"/>
        </w:rPr>
        <w:t> </w:t>
      </w:r>
      <w:r>
        <w:rPr>
          <w:sz w:val="21"/>
        </w:rPr>
        <w:t>involved</w:t>
      </w:r>
      <w:r>
        <w:rPr>
          <w:spacing w:val="-8"/>
          <w:sz w:val="21"/>
        </w:rPr>
        <w:t> </w:t>
      </w:r>
      <w:r>
        <w:rPr>
          <w:sz w:val="21"/>
        </w:rPr>
        <w:t>in</w:t>
      </w:r>
      <w:r>
        <w:rPr>
          <w:spacing w:val="-8"/>
          <w:sz w:val="21"/>
        </w:rPr>
        <w:t> </w:t>
      </w:r>
      <w:r>
        <w:rPr>
          <w:sz w:val="21"/>
        </w:rPr>
        <w:t>crafting</w:t>
      </w:r>
      <w:r>
        <w:rPr>
          <w:spacing w:val="-8"/>
          <w:sz w:val="21"/>
        </w:rPr>
        <w:t> </w:t>
      </w:r>
      <w:r>
        <w:rPr>
          <w:sz w:val="21"/>
        </w:rPr>
        <w:t>policy</w:t>
      </w:r>
      <w:r>
        <w:rPr>
          <w:spacing w:val="-8"/>
          <w:sz w:val="21"/>
        </w:rPr>
        <w:t> </w:t>
      </w:r>
      <w:r>
        <w:rPr>
          <w:sz w:val="21"/>
        </w:rPr>
        <w:t>reforms</w:t>
      </w:r>
      <w:r>
        <w:rPr>
          <w:spacing w:val="-9"/>
          <w:sz w:val="21"/>
        </w:rPr>
        <w:t> </w:t>
      </w:r>
      <w:r>
        <w:rPr>
          <w:sz w:val="21"/>
        </w:rPr>
        <w:t>to</w:t>
      </w:r>
      <w:r>
        <w:rPr>
          <w:spacing w:val="-8"/>
          <w:sz w:val="21"/>
        </w:rPr>
        <w:t> </w:t>
      </w:r>
      <w:r>
        <w:rPr>
          <w:sz w:val="21"/>
        </w:rPr>
        <w:t>the juvenile and criminal legal systems. Including youth with lived experience as partners in policy and system reform is essential for creating more effective and equitable juvenile and criminal legal systems. This approach is also supported by the National Council of Juvenile and Family Court Judges (NCJFCJ),</w:t>
      </w:r>
      <w:hyperlink w:history="true" w:anchor="_bookmark525">
        <w:r>
          <w:rPr>
            <w:sz w:val="21"/>
            <w:vertAlign w:val="superscript"/>
          </w:rPr>
          <w:t>209</w:t>
        </w:r>
      </w:hyperlink>
      <w:r>
        <w:rPr>
          <w:spacing w:val="-2"/>
          <w:sz w:val="21"/>
          <w:vertAlign w:val="baseline"/>
        </w:rPr>
        <w:t> </w:t>
      </w:r>
      <w:r>
        <w:rPr>
          <w:sz w:val="21"/>
          <w:vertAlign w:val="baseline"/>
        </w:rPr>
        <w:t>which has highlighted the need for engaging individuals who have firsthand experience with the carceral system to ensure that policies and practices are truly person-centered. Those with lived experience offer unique insights that can lead to more impactful reforms, challenging existing practices and driving substantial </w:t>
      </w:r>
      <w:r>
        <w:rPr>
          <w:spacing w:val="-2"/>
          <w:sz w:val="21"/>
          <w:vertAlign w:val="baseline"/>
        </w:rPr>
        <w:t>change.</w:t>
      </w:r>
      <w:hyperlink w:history="true" w:anchor="_bookmark526">
        <w:r>
          <w:rPr>
            <w:spacing w:val="-2"/>
            <w:sz w:val="21"/>
            <w:vertAlign w:val="superscript"/>
          </w:rPr>
          <w:t>210</w:t>
        </w:r>
      </w:hyperlink>
    </w:p>
    <w:p>
      <w:pPr>
        <w:spacing w:line="276" w:lineRule="auto" w:before="240"/>
        <w:ind w:left="464" w:right="238" w:firstLine="0"/>
        <w:jc w:val="both"/>
        <w:rPr>
          <w:sz w:val="21"/>
        </w:rPr>
      </w:pPr>
      <w:r>
        <w:rPr>
          <w:sz w:val="21"/>
        </w:rPr>
        <w:t>Partnerships with youth with lived experience should be based on mutual respect for the lived expertise these individuals bring, facilitating shared leadership and decision-making.</w:t>
      </w:r>
      <w:hyperlink w:history="true" w:anchor="_bookmark527">
        <w:r>
          <w:rPr>
            <w:sz w:val="21"/>
            <w:vertAlign w:val="superscript"/>
          </w:rPr>
          <w:t>211</w:t>
        </w:r>
      </w:hyperlink>
      <w:r>
        <w:rPr>
          <w:spacing w:val="-3"/>
          <w:sz w:val="21"/>
          <w:vertAlign w:val="baseline"/>
        </w:rPr>
        <w:t> </w:t>
      </w:r>
      <w:r>
        <w:rPr>
          <w:sz w:val="21"/>
          <w:vertAlign w:val="baseline"/>
        </w:rPr>
        <w:t>This collaborative approach ensures</w:t>
      </w:r>
      <w:r>
        <w:rPr>
          <w:spacing w:val="-7"/>
          <w:sz w:val="21"/>
          <w:vertAlign w:val="baseline"/>
        </w:rPr>
        <w:t> </w:t>
      </w:r>
      <w:r>
        <w:rPr>
          <w:sz w:val="21"/>
          <w:vertAlign w:val="baseline"/>
        </w:rPr>
        <w:t>that</w:t>
      </w:r>
      <w:r>
        <w:rPr>
          <w:spacing w:val="-7"/>
          <w:sz w:val="21"/>
          <w:vertAlign w:val="baseline"/>
        </w:rPr>
        <w:t> </w:t>
      </w:r>
      <w:r>
        <w:rPr>
          <w:sz w:val="21"/>
          <w:vertAlign w:val="baseline"/>
        </w:rPr>
        <w:t>the</w:t>
      </w:r>
      <w:r>
        <w:rPr>
          <w:spacing w:val="-7"/>
          <w:sz w:val="21"/>
          <w:vertAlign w:val="baseline"/>
        </w:rPr>
        <w:t> </w:t>
      </w:r>
      <w:r>
        <w:rPr>
          <w:sz w:val="21"/>
          <w:vertAlign w:val="baseline"/>
        </w:rPr>
        <w:t>voices</w:t>
      </w:r>
      <w:r>
        <w:rPr>
          <w:spacing w:val="-7"/>
          <w:sz w:val="21"/>
          <w:vertAlign w:val="baseline"/>
        </w:rPr>
        <w:t> </w:t>
      </w:r>
      <w:r>
        <w:rPr>
          <w:sz w:val="21"/>
          <w:vertAlign w:val="baseline"/>
        </w:rPr>
        <w:t>of</w:t>
      </w:r>
      <w:r>
        <w:rPr>
          <w:spacing w:val="-7"/>
          <w:sz w:val="21"/>
          <w:vertAlign w:val="baseline"/>
        </w:rPr>
        <w:t> </w:t>
      </w:r>
      <w:r>
        <w:rPr>
          <w:sz w:val="21"/>
          <w:vertAlign w:val="baseline"/>
        </w:rPr>
        <w:t>those</w:t>
      </w:r>
      <w:r>
        <w:rPr>
          <w:spacing w:val="-7"/>
          <w:sz w:val="21"/>
          <w:vertAlign w:val="baseline"/>
        </w:rPr>
        <w:t> </w:t>
      </w:r>
      <w:r>
        <w:rPr>
          <w:sz w:val="21"/>
          <w:vertAlign w:val="baseline"/>
        </w:rPr>
        <w:t>most</w:t>
      </w:r>
      <w:r>
        <w:rPr>
          <w:spacing w:val="-6"/>
          <w:sz w:val="21"/>
          <w:vertAlign w:val="baseline"/>
        </w:rPr>
        <w:t> </w:t>
      </w:r>
      <w:r>
        <w:rPr>
          <w:sz w:val="21"/>
          <w:vertAlign w:val="baseline"/>
        </w:rPr>
        <w:t>affected</w:t>
      </w:r>
      <w:r>
        <w:rPr>
          <w:spacing w:val="-7"/>
          <w:sz w:val="21"/>
          <w:vertAlign w:val="baseline"/>
        </w:rPr>
        <w:t> </w:t>
      </w:r>
      <w:r>
        <w:rPr>
          <w:sz w:val="21"/>
          <w:vertAlign w:val="baseline"/>
        </w:rPr>
        <w:t>by</w:t>
      </w:r>
      <w:r>
        <w:rPr>
          <w:spacing w:val="-8"/>
          <w:sz w:val="21"/>
          <w:vertAlign w:val="baseline"/>
        </w:rPr>
        <w:t> </w:t>
      </w:r>
      <w:r>
        <w:rPr>
          <w:sz w:val="21"/>
          <w:vertAlign w:val="baseline"/>
        </w:rPr>
        <w:t>policies</w:t>
      </w:r>
      <w:r>
        <w:rPr>
          <w:spacing w:val="-7"/>
          <w:sz w:val="21"/>
          <w:vertAlign w:val="baseline"/>
        </w:rPr>
        <w:t> </w:t>
      </w:r>
      <w:r>
        <w:rPr>
          <w:sz w:val="21"/>
          <w:vertAlign w:val="baseline"/>
        </w:rPr>
        <w:t>are</w:t>
      </w:r>
      <w:r>
        <w:rPr>
          <w:spacing w:val="-8"/>
          <w:sz w:val="21"/>
          <w:vertAlign w:val="baseline"/>
        </w:rPr>
        <w:t> </w:t>
      </w:r>
      <w:r>
        <w:rPr>
          <w:sz w:val="21"/>
          <w:vertAlign w:val="baseline"/>
        </w:rPr>
        <w:t>not</w:t>
      </w:r>
      <w:r>
        <w:rPr>
          <w:spacing w:val="-7"/>
          <w:sz w:val="21"/>
          <w:vertAlign w:val="baseline"/>
        </w:rPr>
        <w:t> </w:t>
      </w:r>
      <w:r>
        <w:rPr>
          <w:sz w:val="21"/>
          <w:vertAlign w:val="baseline"/>
        </w:rPr>
        <w:t>only</w:t>
      </w:r>
      <w:r>
        <w:rPr>
          <w:spacing w:val="-8"/>
          <w:sz w:val="21"/>
          <w:vertAlign w:val="baseline"/>
        </w:rPr>
        <w:t> </w:t>
      </w:r>
      <w:r>
        <w:rPr>
          <w:sz w:val="21"/>
          <w:vertAlign w:val="baseline"/>
        </w:rPr>
        <w:t>heard,</w:t>
      </w:r>
      <w:r>
        <w:rPr>
          <w:spacing w:val="-8"/>
          <w:sz w:val="21"/>
          <w:vertAlign w:val="baseline"/>
        </w:rPr>
        <w:t> </w:t>
      </w:r>
      <w:r>
        <w:rPr>
          <w:sz w:val="21"/>
          <w:vertAlign w:val="baseline"/>
        </w:rPr>
        <w:t>but</w:t>
      </w:r>
      <w:r>
        <w:rPr>
          <w:spacing w:val="-7"/>
          <w:sz w:val="21"/>
          <w:vertAlign w:val="baseline"/>
        </w:rPr>
        <w:t> </w:t>
      </w:r>
      <w:r>
        <w:rPr>
          <w:sz w:val="21"/>
          <w:vertAlign w:val="baseline"/>
        </w:rPr>
        <w:t>are</w:t>
      </w:r>
      <w:r>
        <w:rPr>
          <w:spacing w:val="-8"/>
          <w:sz w:val="21"/>
          <w:vertAlign w:val="baseline"/>
        </w:rPr>
        <w:t> </w:t>
      </w:r>
      <w:r>
        <w:rPr>
          <w:sz w:val="21"/>
          <w:vertAlign w:val="baseline"/>
        </w:rPr>
        <w:t>seen</w:t>
      </w:r>
      <w:r>
        <w:rPr>
          <w:spacing w:val="-7"/>
          <w:sz w:val="21"/>
          <w:vertAlign w:val="baseline"/>
        </w:rPr>
        <w:t> </w:t>
      </w:r>
      <w:r>
        <w:rPr>
          <w:sz w:val="21"/>
          <w:vertAlign w:val="baseline"/>
        </w:rPr>
        <w:t>as</w:t>
      </w:r>
      <w:r>
        <w:rPr>
          <w:spacing w:val="-8"/>
          <w:sz w:val="21"/>
          <w:vertAlign w:val="baseline"/>
        </w:rPr>
        <w:t> </w:t>
      </w:r>
      <w:r>
        <w:rPr>
          <w:sz w:val="21"/>
          <w:vertAlign w:val="baseline"/>
        </w:rPr>
        <w:t>integral</w:t>
      </w:r>
      <w:r>
        <w:rPr>
          <w:spacing w:val="-7"/>
          <w:sz w:val="21"/>
          <w:vertAlign w:val="baseline"/>
        </w:rPr>
        <w:t> </w:t>
      </w:r>
      <w:r>
        <w:rPr>
          <w:sz w:val="21"/>
          <w:vertAlign w:val="baseline"/>
        </w:rPr>
        <w:t>to</w:t>
      </w:r>
      <w:r>
        <w:rPr>
          <w:spacing w:val="-8"/>
          <w:sz w:val="21"/>
          <w:vertAlign w:val="baseline"/>
        </w:rPr>
        <w:t> </w:t>
      </w:r>
      <w:r>
        <w:rPr>
          <w:sz w:val="21"/>
          <w:vertAlign w:val="baseline"/>
        </w:rPr>
        <w:t>the formulation and implementation of those policies. Engagement must be genuine and involves preparing and supporting youth to participate meaningfully in discussions and decisions; this includes providing orientation</w:t>
      </w:r>
      <w:r>
        <w:rPr>
          <w:spacing w:val="-4"/>
          <w:sz w:val="21"/>
          <w:vertAlign w:val="baseline"/>
        </w:rPr>
        <w:t> </w:t>
      </w:r>
      <w:r>
        <w:rPr>
          <w:sz w:val="21"/>
          <w:vertAlign w:val="baseline"/>
        </w:rPr>
        <w:t>about</w:t>
      </w:r>
      <w:r>
        <w:rPr>
          <w:spacing w:val="-4"/>
          <w:sz w:val="21"/>
          <w:vertAlign w:val="baseline"/>
        </w:rPr>
        <w:t> </w:t>
      </w:r>
      <w:r>
        <w:rPr>
          <w:sz w:val="21"/>
          <w:vertAlign w:val="baseline"/>
        </w:rPr>
        <w:t>system</w:t>
      </w:r>
      <w:r>
        <w:rPr>
          <w:spacing w:val="-4"/>
          <w:sz w:val="21"/>
          <w:vertAlign w:val="baseline"/>
        </w:rPr>
        <w:t> </w:t>
      </w:r>
      <w:r>
        <w:rPr>
          <w:sz w:val="21"/>
          <w:vertAlign w:val="baseline"/>
        </w:rPr>
        <w:t>changes,</w:t>
      </w:r>
      <w:r>
        <w:rPr>
          <w:spacing w:val="-4"/>
          <w:sz w:val="21"/>
          <w:vertAlign w:val="baseline"/>
        </w:rPr>
        <w:t> </w:t>
      </w:r>
      <w:r>
        <w:rPr>
          <w:sz w:val="21"/>
          <w:vertAlign w:val="baseline"/>
        </w:rPr>
        <w:t>training</w:t>
      </w:r>
      <w:r>
        <w:rPr>
          <w:spacing w:val="-5"/>
          <w:sz w:val="21"/>
          <w:vertAlign w:val="baseline"/>
        </w:rPr>
        <w:t> </w:t>
      </w:r>
      <w:r>
        <w:rPr>
          <w:sz w:val="21"/>
          <w:vertAlign w:val="baseline"/>
        </w:rPr>
        <w:t>in</w:t>
      </w:r>
      <w:r>
        <w:rPr>
          <w:spacing w:val="-4"/>
          <w:sz w:val="21"/>
          <w:vertAlign w:val="baseline"/>
        </w:rPr>
        <w:t> </w:t>
      </w:r>
      <w:r>
        <w:rPr>
          <w:sz w:val="21"/>
          <w:vertAlign w:val="baseline"/>
        </w:rPr>
        <w:t>public</w:t>
      </w:r>
      <w:r>
        <w:rPr>
          <w:spacing w:val="-4"/>
          <w:sz w:val="21"/>
          <w:vertAlign w:val="baseline"/>
        </w:rPr>
        <w:t> </w:t>
      </w:r>
      <w:r>
        <w:rPr>
          <w:sz w:val="21"/>
          <w:vertAlign w:val="baseline"/>
        </w:rPr>
        <w:t>speaking,</w:t>
      </w:r>
      <w:r>
        <w:rPr>
          <w:spacing w:val="-4"/>
          <w:sz w:val="21"/>
          <w:vertAlign w:val="baseline"/>
        </w:rPr>
        <w:t> </w:t>
      </w:r>
      <w:r>
        <w:rPr>
          <w:sz w:val="21"/>
          <w:vertAlign w:val="baseline"/>
        </w:rPr>
        <w:t>and</w:t>
      </w:r>
      <w:r>
        <w:rPr>
          <w:spacing w:val="-4"/>
          <w:sz w:val="21"/>
          <w:vertAlign w:val="baseline"/>
        </w:rPr>
        <w:t> </w:t>
      </w:r>
      <w:r>
        <w:rPr>
          <w:sz w:val="21"/>
          <w:vertAlign w:val="baseline"/>
        </w:rPr>
        <w:t>ensuring</w:t>
      </w:r>
      <w:r>
        <w:rPr>
          <w:spacing w:val="-5"/>
          <w:sz w:val="21"/>
          <w:vertAlign w:val="baseline"/>
        </w:rPr>
        <w:t> </w:t>
      </w:r>
      <w:r>
        <w:rPr>
          <w:sz w:val="21"/>
          <w:vertAlign w:val="baseline"/>
        </w:rPr>
        <w:t>that</w:t>
      </w:r>
      <w:r>
        <w:rPr>
          <w:spacing w:val="-4"/>
          <w:sz w:val="21"/>
          <w:vertAlign w:val="baseline"/>
        </w:rPr>
        <w:t> </w:t>
      </w:r>
      <w:r>
        <w:rPr>
          <w:sz w:val="21"/>
          <w:vertAlign w:val="baseline"/>
        </w:rPr>
        <w:t>their</w:t>
      </w:r>
      <w:r>
        <w:rPr>
          <w:spacing w:val="-4"/>
          <w:sz w:val="21"/>
          <w:vertAlign w:val="baseline"/>
        </w:rPr>
        <w:t> </w:t>
      </w:r>
      <w:r>
        <w:rPr>
          <w:sz w:val="21"/>
          <w:vertAlign w:val="baseline"/>
        </w:rPr>
        <w:t>contributions</w:t>
      </w:r>
      <w:r>
        <w:rPr>
          <w:spacing w:val="-5"/>
          <w:sz w:val="21"/>
          <w:vertAlign w:val="baseline"/>
        </w:rPr>
        <w:t> </w:t>
      </w:r>
      <w:r>
        <w:rPr>
          <w:sz w:val="21"/>
          <w:vertAlign w:val="baseline"/>
        </w:rPr>
        <w:t>do</w:t>
      </w:r>
      <w:r>
        <w:rPr>
          <w:spacing w:val="-4"/>
          <w:sz w:val="21"/>
          <w:vertAlign w:val="baseline"/>
        </w:rPr>
        <w:t> </w:t>
      </w:r>
      <w:r>
        <w:rPr>
          <w:sz w:val="21"/>
          <w:vertAlign w:val="baseline"/>
        </w:rPr>
        <w:t>not negatively</w:t>
      </w:r>
      <w:r>
        <w:rPr>
          <w:spacing w:val="-12"/>
          <w:sz w:val="21"/>
          <w:vertAlign w:val="baseline"/>
        </w:rPr>
        <w:t> </w:t>
      </w:r>
      <w:r>
        <w:rPr>
          <w:sz w:val="21"/>
          <w:vertAlign w:val="baseline"/>
        </w:rPr>
        <w:t>impact</w:t>
      </w:r>
      <w:r>
        <w:rPr>
          <w:spacing w:val="-12"/>
          <w:sz w:val="21"/>
          <w:vertAlign w:val="baseline"/>
        </w:rPr>
        <w:t> </w:t>
      </w:r>
      <w:r>
        <w:rPr>
          <w:sz w:val="21"/>
          <w:vertAlign w:val="baseline"/>
        </w:rPr>
        <w:t>their</w:t>
      </w:r>
      <w:r>
        <w:rPr>
          <w:spacing w:val="-12"/>
          <w:sz w:val="21"/>
          <w:vertAlign w:val="baseline"/>
        </w:rPr>
        <w:t> </w:t>
      </w:r>
      <w:r>
        <w:rPr>
          <w:sz w:val="21"/>
          <w:vertAlign w:val="baseline"/>
        </w:rPr>
        <w:t>personal</w:t>
      </w:r>
      <w:r>
        <w:rPr>
          <w:spacing w:val="-12"/>
          <w:sz w:val="21"/>
          <w:vertAlign w:val="baseline"/>
        </w:rPr>
        <w:t> </w:t>
      </w:r>
      <w:r>
        <w:rPr>
          <w:sz w:val="21"/>
          <w:vertAlign w:val="baseline"/>
        </w:rPr>
        <w:t>cases</w:t>
      </w:r>
      <w:r>
        <w:rPr>
          <w:spacing w:val="-12"/>
          <w:sz w:val="21"/>
          <w:vertAlign w:val="baseline"/>
        </w:rPr>
        <w:t> </w:t>
      </w:r>
      <w:r>
        <w:rPr>
          <w:sz w:val="21"/>
          <w:vertAlign w:val="baseline"/>
        </w:rPr>
        <w:t>or</w:t>
      </w:r>
      <w:r>
        <w:rPr>
          <w:spacing w:val="-12"/>
          <w:sz w:val="21"/>
          <w:vertAlign w:val="baseline"/>
        </w:rPr>
        <w:t> </w:t>
      </w:r>
      <w:r>
        <w:rPr>
          <w:sz w:val="21"/>
          <w:vertAlign w:val="baseline"/>
        </w:rPr>
        <w:t>future.</w:t>
      </w:r>
      <w:r>
        <w:rPr>
          <w:spacing w:val="-12"/>
          <w:sz w:val="21"/>
          <w:vertAlign w:val="baseline"/>
        </w:rPr>
        <w:t> </w:t>
      </w:r>
      <w:r>
        <w:rPr>
          <w:sz w:val="21"/>
          <w:vertAlign w:val="baseline"/>
        </w:rPr>
        <w:t>Moreover,</w:t>
      </w:r>
      <w:r>
        <w:rPr>
          <w:spacing w:val="-11"/>
          <w:sz w:val="21"/>
          <w:vertAlign w:val="baseline"/>
        </w:rPr>
        <w:t> </w:t>
      </w:r>
      <w:r>
        <w:rPr>
          <w:sz w:val="21"/>
          <w:vertAlign w:val="baseline"/>
        </w:rPr>
        <w:t>recognizing</w:t>
      </w:r>
      <w:r>
        <w:rPr>
          <w:spacing w:val="-12"/>
          <w:sz w:val="21"/>
          <w:vertAlign w:val="baseline"/>
        </w:rPr>
        <w:t> </w:t>
      </w:r>
      <w:r>
        <w:rPr>
          <w:sz w:val="21"/>
          <w:vertAlign w:val="baseline"/>
        </w:rPr>
        <w:t>and</w:t>
      </w:r>
      <w:r>
        <w:rPr>
          <w:spacing w:val="-12"/>
          <w:sz w:val="21"/>
          <w:vertAlign w:val="baseline"/>
        </w:rPr>
        <w:t> </w:t>
      </w:r>
      <w:r>
        <w:rPr>
          <w:sz w:val="21"/>
          <w:vertAlign w:val="baseline"/>
        </w:rPr>
        <w:t>compensating</w:t>
      </w:r>
      <w:r>
        <w:rPr>
          <w:spacing w:val="-12"/>
          <w:sz w:val="21"/>
          <w:vertAlign w:val="baseline"/>
        </w:rPr>
        <w:t> </w:t>
      </w:r>
      <w:r>
        <w:rPr>
          <w:sz w:val="21"/>
          <w:vertAlign w:val="baseline"/>
        </w:rPr>
        <w:t>these</w:t>
      </w:r>
      <w:r>
        <w:rPr>
          <w:spacing w:val="-12"/>
          <w:sz w:val="21"/>
          <w:vertAlign w:val="baseline"/>
        </w:rPr>
        <w:t> </w:t>
      </w:r>
      <w:r>
        <w:rPr>
          <w:sz w:val="21"/>
          <w:vertAlign w:val="baseline"/>
        </w:rPr>
        <w:t>individuals for their time and insights acknowledges the value of their contributions, aligning with the principles of equity and respect.</w:t>
      </w:r>
    </w:p>
    <w:p>
      <w:pPr>
        <w:spacing w:line="276" w:lineRule="auto" w:before="240"/>
        <w:ind w:left="464" w:right="239" w:firstLine="0"/>
        <w:jc w:val="both"/>
        <w:rPr>
          <w:sz w:val="21"/>
        </w:rPr>
      </w:pPr>
      <w:r>
        <w:rPr>
          <w:sz w:val="21"/>
        </w:rPr>
        <w:t>Effective</w:t>
      </w:r>
      <w:r>
        <w:rPr>
          <w:spacing w:val="-2"/>
          <w:sz w:val="21"/>
        </w:rPr>
        <w:t> </w:t>
      </w:r>
      <w:r>
        <w:rPr>
          <w:sz w:val="21"/>
        </w:rPr>
        <w:t>engagement</w:t>
      </w:r>
      <w:r>
        <w:rPr>
          <w:spacing w:val="-1"/>
          <w:sz w:val="21"/>
        </w:rPr>
        <w:t> </w:t>
      </w:r>
      <w:r>
        <w:rPr>
          <w:sz w:val="21"/>
        </w:rPr>
        <w:t>involves</w:t>
      </w:r>
      <w:r>
        <w:rPr>
          <w:spacing w:val="-2"/>
          <w:sz w:val="21"/>
        </w:rPr>
        <w:t> </w:t>
      </w:r>
      <w:r>
        <w:rPr>
          <w:sz w:val="21"/>
        </w:rPr>
        <w:t>including</w:t>
      </w:r>
      <w:r>
        <w:rPr>
          <w:spacing w:val="-2"/>
          <w:sz w:val="21"/>
        </w:rPr>
        <w:t> </w:t>
      </w:r>
      <w:r>
        <w:rPr>
          <w:sz w:val="21"/>
        </w:rPr>
        <w:t>youth</w:t>
      </w:r>
      <w:r>
        <w:rPr>
          <w:spacing w:val="-2"/>
          <w:sz w:val="21"/>
        </w:rPr>
        <w:t> </w:t>
      </w:r>
      <w:r>
        <w:rPr>
          <w:sz w:val="21"/>
        </w:rPr>
        <w:t>with</w:t>
      </w:r>
      <w:r>
        <w:rPr>
          <w:spacing w:val="-2"/>
          <w:sz w:val="21"/>
        </w:rPr>
        <w:t> </w:t>
      </w:r>
      <w:r>
        <w:rPr>
          <w:sz w:val="21"/>
        </w:rPr>
        <w:t>lived</w:t>
      </w:r>
      <w:r>
        <w:rPr>
          <w:spacing w:val="-2"/>
          <w:sz w:val="21"/>
        </w:rPr>
        <w:t> </w:t>
      </w:r>
      <w:r>
        <w:rPr>
          <w:sz w:val="21"/>
        </w:rPr>
        <w:t>experience</w:t>
      </w:r>
      <w:r>
        <w:rPr>
          <w:spacing w:val="-2"/>
          <w:sz w:val="21"/>
        </w:rPr>
        <w:t> </w:t>
      </w:r>
      <w:r>
        <w:rPr>
          <w:sz w:val="21"/>
        </w:rPr>
        <w:t>throughout</w:t>
      </w:r>
      <w:r>
        <w:rPr>
          <w:spacing w:val="-1"/>
          <w:sz w:val="21"/>
        </w:rPr>
        <w:t> </w:t>
      </w:r>
      <w:r>
        <w:rPr>
          <w:sz w:val="21"/>
        </w:rPr>
        <w:t>the</w:t>
      </w:r>
      <w:r>
        <w:rPr>
          <w:spacing w:val="-2"/>
          <w:sz w:val="21"/>
        </w:rPr>
        <w:t> </w:t>
      </w:r>
      <w:r>
        <w:rPr>
          <w:sz w:val="21"/>
        </w:rPr>
        <w:t>entire</w:t>
      </w:r>
      <w:r>
        <w:rPr>
          <w:spacing w:val="-2"/>
          <w:sz w:val="21"/>
        </w:rPr>
        <w:t> </w:t>
      </w:r>
      <w:r>
        <w:rPr>
          <w:sz w:val="21"/>
        </w:rPr>
        <w:t>process—from planning and design to implementation and evaluation.</w:t>
      </w:r>
      <w:hyperlink w:history="true" w:anchor="_bookmark528">
        <w:r>
          <w:rPr>
            <w:sz w:val="21"/>
            <w:vertAlign w:val="superscript"/>
          </w:rPr>
          <w:t>212</w:t>
        </w:r>
      </w:hyperlink>
      <w:r>
        <w:rPr>
          <w:spacing w:val="-2"/>
          <w:sz w:val="21"/>
          <w:vertAlign w:val="baseline"/>
        </w:rPr>
        <w:t> </w:t>
      </w:r>
      <w:r>
        <w:rPr>
          <w:sz w:val="21"/>
          <w:vertAlign w:val="baseline"/>
        </w:rPr>
        <w:t>This ensures that programs are responsive and truly</w:t>
      </w:r>
      <w:r>
        <w:rPr>
          <w:spacing w:val="-7"/>
          <w:sz w:val="21"/>
          <w:vertAlign w:val="baseline"/>
        </w:rPr>
        <w:t> </w:t>
      </w:r>
      <w:r>
        <w:rPr>
          <w:sz w:val="21"/>
          <w:vertAlign w:val="baseline"/>
        </w:rPr>
        <w:t>meet</w:t>
      </w:r>
      <w:r>
        <w:rPr>
          <w:spacing w:val="-7"/>
          <w:sz w:val="21"/>
          <w:vertAlign w:val="baseline"/>
        </w:rPr>
        <w:t> </w:t>
      </w:r>
      <w:r>
        <w:rPr>
          <w:sz w:val="21"/>
          <w:vertAlign w:val="baseline"/>
        </w:rPr>
        <w:t>the</w:t>
      </w:r>
      <w:r>
        <w:rPr>
          <w:spacing w:val="-8"/>
          <w:sz w:val="21"/>
          <w:vertAlign w:val="baseline"/>
        </w:rPr>
        <w:t> </w:t>
      </w:r>
      <w:r>
        <w:rPr>
          <w:sz w:val="21"/>
          <w:vertAlign w:val="baseline"/>
        </w:rPr>
        <w:t>needs</w:t>
      </w:r>
      <w:r>
        <w:rPr>
          <w:spacing w:val="-7"/>
          <w:sz w:val="21"/>
          <w:vertAlign w:val="baseline"/>
        </w:rPr>
        <w:t> </w:t>
      </w:r>
      <w:r>
        <w:rPr>
          <w:sz w:val="21"/>
          <w:vertAlign w:val="baseline"/>
        </w:rPr>
        <w:t>of</w:t>
      </w:r>
      <w:r>
        <w:rPr>
          <w:spacing w:val="-7"/>
          <w:sz w:val="21"/>
          <w:vertAlign w:val="baseline"/>
        </w:rPr>
        <w:t> </w:t>
      </w:r>
      <w:r>
        <w:rPr>
          <w:sz w:val="21"/>
          <w:vertAlign w:val="baseline"/>
        </w:rPr>
        <w:t>the</w:t>
      </w:r>
      <w:r>
        <w:rPr>
          <w:spacing w:val="-9"/>
          <w:sz w:val="21"/>
          <w:vertAlign w:val="baseline"/>
        </w:rPr>
        <w:t> </w:t>
      </w:r>
      <w:r>
        <w:rPr>
          <w:sz w:val="21"/>
          <w:vertAlign w:val="baseline"/>
        </w:rPr>
        <w:t>communities</w:t>
      </w:r>
      <w:r>
        <w:rPr>
          <w:spacing w:val="-7"/>
          <w:sz w:val="21"/>
          <w:vertAlign w:val="baseline"/>
        </w:rPr>
        <w:t> </w:t>
      </w:r>
      <w:r>
        <w:rPr>
          <w:sz w:val="21"/>
          <w:vertAlign w:val="baseline"/>
        </w:rPr>
        <w:t>they</w:t>
      </w:r>
      <w:r>
        <w:rPr>
          <w:spacing w:val="-7"/>
          <w:sz w:val="21"/>
          <w:vertAlign w:val="baseline"/>
        </w:rPr>
        <w:t> </w:t>
      </w:r>
      <w:r>
        <w:rPr>
          <w:sz w:val="21"/>
          <w:vertAlign w:val="baseline"/>
        </w:rPr>
        <w:t>aim</w:t>
      </w:r>
      <w:r>
        <w:rPr>
          <w:spacing w:val="-8"/>
          <w:sz w:val="21"/>
          <w:vertAlign w:val="baseline"/>
        </w:rPr>
        <w:t> </w:t>
      </w:r>
      <w:r>
        <w:rPr>
          <w:sz w:val="21"/>
          <w:vertAlign w:val="baseline"/>
        </w:rPr>
        <w:t>to</w:t>
      </w:r>
      <w:r>
        <w:rPr>
          <w:spacing w:val="-7"/>
          <w:sz w:val="21"/>
          <w:vertAlign w:val="baseline"/>
        </w:rPr>
        <w:t> </w:t>
      </w:r>
      <w:r>
        <w:rPr>
          <w:sz w:val="21"/>
          <w:vertAlign w:val="baseline"/>
        </w:rPr>
        <w:t>serve.</w:t>
      </w:r>
      <w:r>
        <w:rPr>
          <w:spacing w:val="-7"/>
          <w:sz w:val="21"/>
          <w:vertAlign w:val="baseline"/>
        </w:rPr>
        <w:t> </w:t>
      </w:r>
      <w:r>
        <w:rPr>
          <w:sz w:val="21"/>
          <w:vertAlign w:val="baseline"/>
        </w:rPr>
        <w:t>It</w:t>
      </w:r>
      <w:r>
        <w:rPr>
          <w:spacing w:val="-6"/>
          <w:sz w:val="21"/>
          <w:vertAlign w:val="baseline"/>
        </w:rPr>
        <w:t> </w:t>
      </w:r>
      <w:r>
        <w:rPr>
          <w:sz w:val="21"/>
          <w:vertAlign w:val="baseline"/>
        </w:rPr>
        <w:t>also</w:t>
      </w:r>
      <w:r>
        <w:rPr>
          <w:spacing w:val="-7"/>
          <w:sz w:val="21"/>
          <w:vertAlign w:val="baseline"/>
        </w:rPr>
        <w:t> </w:t>
      </w:r>
      <w:r>
        <w:rPr>
          <w:sz w:val="21"/>
          <w:vertAlign w:val="baseline"/>
        </w:rPr>
        <w:t>helps</w:t>
      </w:r>
      <w:r>
        <w:rPr>
          <w:spacing w:val="-7"/>
          <w:sz w:val="21"/>
          <w:vertAlign w:val="baseline"/>
        </w:rPr>
        <w:t> </w:t>
      </w:r>
      <w:r>
        <w:rPr>
          <w:sz w:val="21"/>
          <w:vertAlign w:val="baseline"/>
        </w:rPr>
        <w:t>in</w:t>
      </w:r>
      <w:r>
        <w:rPr>
          <w:spacing w:val="-7"/>
          <w:sz w:val="21"/>
          <w:vertAlign w:val="baseline"/>
        </w:rPr>
        <w:t> </w:t>
      </w:r>
      <w:r>
        <w:rPr>
          <w:sz w:val="21"/>
          <w:vertAlign w:val="baseline"/>
        </w:rPr>
        <w:t>identifying</w:t>
      </w:r>
      <w:r>
        <w:rPr>
          <w:spacing w:val="-7"/>
          <w:sz w:val="21"/>
          <w:vertAlign w:val="baseline"/>
        </w:rPr>
        <w:t> </w:t>
      </w:r>
      <w:r>
        <w:rPr>
          <w:sz w:val="21"/>
          <w:vertAlign w:val="baseline"/>
        </w:rPr>
        <w:t>potential</w:t>
      </w:r>
      <w:r>
        <w:rPr>
          <w:spacing w:val="-7"/>
          <w:sz w:val="21"/>
          <w:vertAlign w:val="baseline"/>
        </w:rPr>
        <w:t> </w:t>
      </w:r>
      <w:r>
        <w:rPr>
          <w:sz w:val="21"/>
          <w:vertAlign w:val="baseline"/>
        </w:rPr>
        <w:t>unintended consequences of policies and programs. Moreover, engagement should be rooted in empowerment and equity,</w:t>
      </w:r>
      <w:r>
        <w:rPr>
          <w:spacing w:val="-12"/>
          <w:sz w:val="21"/>
          <w:vertAlign w:val="baseline"/>
        </w:rPr>
        <w:t> </w:t>
      </w:r>
      <w:r>
        <w:rPr>
          <w:sz w:val="21"/>
          <w:vertAlign w:val="baseline"/>
        </w:rPr>
        <w:t>focusing</w:t>
      </w:r>
      <w:r>
        <w:rPr>
          <w:spacing w:val="-12"/>
          <w:sz w:val="21"/>
          <w:vertAlign w:val="baseline"/>
        </w:rPr>
        <w:t> </w:t>
      </w:r>
      <w:r>
        <w:rPr>
          <w:sz w:val="21"/>
          <w:vertAlign w:val="baseline"/>
        </w:rPr>
        <w:t>on</w:t>
      </w:r>
      <w:r>
        <w:rPr>
          <w:spacing w:val="-12"/>
          <w:sz w:val="21"/>
          <w:vertAlign w:val="baseline"/>
        </w:rPr>
        <w:t> </w:t>
      </w:r>
      <w:r>
        <w:rPr>
          <w:sz w:val="21"/>
          <w:vertAlign w:val="baseline"/>
        </w:rPr>
        <w:t>giving</w:t>
      </w:r>
      <w:r>
        <w:rPr>
          <w:spacing w:val="-12"/>
          <w:sz w:val="21"/>
          <w:vertAlign w:val="baseline"/>
        </w:rPr>
        <w:t> </w:t>
      </w:r>
      <w:r>
        <w:rPr>
          <w:sz w:val="21"/>
          <w:vertAlign w:val="baseline"/>
        </w:rPr>
        <w:t>these</w:t>
      </w:r>
      <w:r>
        <w:rPr>
          <w:spacing w:val="-12"/>
          <w:sz w:val="21"/>
          <w:vertAlign w:val="baseline"/>
        </w:rPr>
        <w:t> </w:t>
      </w:r>
      <w:r>
        <w:rPr>
          <w:sz w:val="21"/>
          <w:vertAlign w:val="baseline"/>
        </w:rPr>
        <w:t>individuals</w:t>
      </w:r>
      <w:r>
        <w:rPr>
          <w:spacing w:val="-12"/>
          <w:sz w:val="21"/>
          <w:vertAlign w:val="baseline"/>
        </w:rPr>
        <w:t> </w:t>
      </w:r>
      <w:r>
        <w:rPr>
          <w:sz w:val="21"/>
          <w:vertAlign w:val="baseline"/>
        </w:rPr>
        <w:t>not</w:t>
      </w:r>
      <w:r>
        <w:rPr>
          <w:spacing w:val="-12"/>
          <w:sz w:val="21"/>
          <w:vertAlign w:val="baseline"/>
        </w:rPr>
        <w:t> </w:t>
      </w:r>
      <w:r>
        <w:rPr>
          <w:sz w:val="21"/>
          <w:vertAlign w:val="baseline"/>
        </w:rPr>
        <w:t>just</w:t>
      </w:r>
      <w:r>
        <w:rPr>
          <w:spacing w:val="-11"/>
          <w:sz w:val="21"/>
          <w:vertAlign w:val="baseline"/>
        </w:rPr>
        <w:t> </w:t>
      </w:r>
      <w:r>
        <w:rPr>
          <w:sz w:val="21"/>
          <w:vertAlign w:val="baseline"/>
        </w:rPr>
        <w:t>a</w:t>
      </w:r>
      <w:r>
        <w:rPr>
          <w:spacing w:val="-12"/>
          <w:sz w:val="21"/>
          <w:vertAlign w:val="baseline"/>
        </w:rPr>
        <w:t> </w:t>
      </w:r>
      <w:r>
        <w:rPr>
          <w:sz w:val="21"/>
          <w:vertAlign w:val="baseline"/>
        </w:rPr>
        <w:t>voice</w:t>
      </w:r>
      <w:r>
        <w:rPr>
          <w:spacing w:val="-12"/>
          <w:sz w:val="21"/>
          <w:vertAlign w:val="baseline"/>
        </w:rPr>
        <w:t> </w:t>
      </w:r>
      <w:r>
        <w:rPr>
          <w:sz w:val="21"/>
          <w:vertAlign w:val="baseline"/>
        </w:rPr>
        <w:t>but</w:t>
      </w:r>
      <w:r>
        <w:rPr>
          <w:spacing w:val="-12"/>
          <w:sz w:val="21"/>
          <w:vertAlign w:val="baseline"/>
        </w:rPr>
        <w:t> </w:t>
      </w:r>
      <w:r>
        <w:rPr>
          <w:sz w:val="21"/>
          <w:vertAlign w:val="baseline"/>
        </w:rPr>
        <w:t>actual</w:t>
      </w:r>
      <w:r>
        <w:rPr>
          <w:spacing w:val="-12"/>
          <w:sz w:val="21"/>
          <w:vertAlign w:val="baseline"/>
        </w:rPr>
        <w:t> </w:t>
      </w:r>
      <w:r>
        <w:rPr>
          <w:sz w:val="21"/>
          <w:vertAlign w:val="baseline"/>
        </w:rPr>
        <w:t>decision-making</w:t>
      </w:r>
      <w:r>
        <w:rPr>
          <w:spacing w:val="-12"/>
          <w:sz w:val="21"/>
          <w:vertAlign w:val="baseline"/>
        </w:rPr>
        <w:t> </w:t>
      </w:r>
      <w:r>
        <w:rPr>
          <w:sz w:val="21"/>
          <w:vertAlign w:val="baseline"/>
        </w:rPr>
        <w:t>power.</w:t>
      </w:r>
      <w:r>
        <w:rPr>
          <w:spacing w:val="-12"/>
          <w:sz w:val="21"/>
          <w:vertAlign w:val="baseline"/>
        </w:rPr>
        <w:t> </w:t>
      </w:r>
      <w:r>
        <w:rPr>
          <w:sz w:val="21"/>
          <w:vertAlign w:val="baseline"/>
        </w:rPr>
        <w:t>This</w:t>
      </w:r>
      <w:r>
        <w:rPr>
          <w:spacing w:val="-12"/>
          <w:sz w:val="21"/>
          <w:vertAlign w:val="baseline"/>
        </w:rPr>
        <w:t> </w:t>
      </w:r>
      <w:r>
        <w:rPr>
          <w:sz w:val="21"/>
          <w:vertAlign w:val="baseline"/>
        </w:rPr>
        <w:t>approach helps rectify power imbalances and ensures that the engagement is transformational rather than transactional. For engagement to be impactful, it must be sustained and meaningful. This involves setting clear</w:t>
      </w:r>
      <w:r>
        <w:rPr>
          <w:spacing w:val="-4"/>
          <w:sz w:val="21"/>
          <w:vertAlign w:val="baseline"/>
        </w:rPr>
        <w:t> </w:t>
      </w:r>
      <w:r>
        <w:rPr>
          <w:sz w:val="21"/>
          <w:vertAlign w:val="baseline"/>
        </w:rPr>
        <w:t>roles</w:t>
      </w:r>
      <w:r>
        <w:rPr>
          <w:spacing w:val="-5"/>
          <w:sz w:val="21"/>
          <w:vertAlign w:val="baseline"/>
        </w:rPr>
        <w:t> </w:t>
      </w:r>
      <w:r>
        <w:rPr>
          <w:sz w:val="21"/>
          <w:vertAlign w:val="baseline"/>
        </w:rPr>
        <w:t>and</w:t>
      </w:r>
      <w:r>
        <w:rPr>
          <w:spacing w:val="-4"/>
          <w:sz w:val="21"/>
          <w:vertAlign w:val="baseline"/>
        </w:rPr>
        <w:t> </w:t>
      </w:r>
      <w:r>
        <w:rPr>
          <w:sz w:val="21"/>
          <w:vertAlign w:val="baseline"/>
        </w:rPr>
        <w:t>expectations,</w:t>
      </w:r>
      <w:r>
        <w:rPr>
          <w:spacing w:val="-4"/>
          <w:sz w:val="21"/>
          <w:vertAlign w:val="baseline"/>
        </w:rPr>
        <w:t> </w:t>
      </w:r>
      <w:r>
        <w:rPr>
          <w:sz w:val="21"/>
          <w:vertAlign w:val="baseline"/>
        </w:rPr>
        <w:t>and</w:t>
      </w:r>
      <w:r>
        <w:rPr>
          <w:spacing w:val="-5"/>
          <w:sz w:val="21"/>
          <w:vertAlign w:val="baseline"/>
        </w:rPr>
        <w:t> </w:t>
      </w:r>
      <w:r>
        <w:rPr>
          <w:sz w:val="21"/>
          <w:vertAlign w:val="baseline"/>
        </w:rPr>
        <w:t>compensations</w:t>
      </w:r>
      <w:r>
        <w:rPr>
          <w:spacing w:val="-5"/>
          <w:sz w:val="21"/>
          <w:vertAlign w:val="baseline"/>
        </w:rPr>
        <w:t> </w:t>
      </w:r>
      <w:r>
        <w:rPr>
          <w:sz w:val="21"/>
          <w:vertAlign w:val="baseline"/>
        </w:rPr>
        <w:t>that</w:t>
      </w:r>
      <w:r>
        <w:rPr>
          <w:spacing w:val="-6"/>
          <w:sz w:val="21"/>
          <w:vertAlign w:val="baseline"/>
        </w:rPr>
        <w:t> </w:t>
      </w:r>
      <w:r>
        <w:rPr>
          <w:sz w:val="21"/>
          <w:vertAlign w:val="baseline"/>
        </w:rPr>
        <w:t>acknowledge</w:t>
      </w:r>
      <w:r>
        <w:rPr>
          <w:spacing w:val="-4"/>
          <w:sz w:val="21"/>
          <w:vertAlign w:val="baseline"/>
        </w:rPr>
        <w:t> </w:t>
      </w:r>
      <w:r>
        <w:rPr>
          <w:sz w:val="21"/>
          <w:vertAlign w:val="baseline"/>
        </w:rPr>
        <w:t>the</w:t>
      </w:r>
      <w:r>
        <w:rPr>
          <w:spacing w:val="-4"/>
          <w:sz w:val="21"/>
          <w:vertAlign w:val="baseline"/>
        </w:rPr>
        <w:t> </w:t>
      </w:r>
      <w:r>
        <w:rPr>
          <w:sz w:val="21"/>
          <w:vertAlign w:val="baseline"/>
        </w:rPr>
        <w:t>value</w:t>
      </w:r>
      <w:r>
        <w:rPr>
          <w:spacing w:val="-5"/>
          <w:sz w:val="21"/>
          <w:vertAlign w:val="baseline"/>
        </w:rPr>
        <w:t> </w:t>
      </w:r>
      <w:r>
        <w:rPr>
          <w:sz w:val="21"/>
          <w:vertAlign w:val="baseline"/>
        </w:rPr>
        <w:t>of</w:t>
      </w:r>
      <w:r>
        <w:rPr>
          <w:spacing w:val="-5"/>
          <w:sz w:val="21"/>
          <w:vertAlign w:val="baseline"/>
        </w:rPr>
        <w:t> </w:t>
      </w:r>
      <w:r>
        <w:rPr>
          <w:sz w:val="21"/>
          <w:vertAlign w:val="baseline"/>
        </w:rPr>
        <w:t>the</w:t>
      </w:r>
      <w:r>
        <w:rPr>
          <w:spacing w:val="-4"/>
          <w:sz w:val="21"/>
          <w:vertAlign w:val="baseline"/>
        </w:rPr>
        <w:t> </w:t>
      </w:r>
      <w:r>
        <w:rPr>
          <w:sz w:val="21"/>
          <w:vertAlign w:val="baseline"/>
        </w:rPr>
        <w:t>contributions</w:t>
      </w:r>
      <w:r>
        <w:rPr>
          <w:spacing w:val="-5"/>
          <w:sz w:val="21"/>
          <w:vertAlign w:val="baseline"/>
        </w:rPr>
        <w:t> </w:t>
      </w:r>
      <w:r>
        <w:rPr>
          <w:sz w:val="21"/>
          <w:vertAlign w:val="baseline"/>
        </w:rPr>
        <w:t>made</w:t>
      </w:r>
      <w:r>
        <w:rPr>
          <w:spacing w:val="-4"/>
          <w:sz w:val="21"/>
          <w:vertAlign w:val="baseline"/>
        </w:rPr>
        <w:t> </w:t>
      </w:r>
      <w:r>
        <w:rPr>
          <w:sz w:val="21"/>
          <w:vertAlign w:val="baseline"/>
        </w:rPr>
        <w:t>by individuals with lived experience. Successful engagement requires appropriate infrastructure and resources, including</w:t>
      </w:r>
      <w:r>
        <w:rPr>
          <w:spacing w:val="-1"/>
          <w:sz w:val="21"/>
          <w:vertAlign w:val="baseline"/>
        </w:rPr>
        <w:t> </w:t>
      </w:r>
      <w:r>
        <w:rPr>
          <w:sz w:val="21"/>
          <w:vertAlign w:val="baseline"/>
        </w:rPr>
        <w:t>dedicated</w:t>
      </w:r>
      <w:r>
        <w:rPr>
          <w:spacing w:val="-1"/>
          <w:sz w:val="21"/>
          <w:vertAlign w:val="baseline"/>
        </w:rPr>
        <w:t> </w:t>
      </w:r>
      <w:r>
        <w:rPr>
          <w:sz w:val="21"/>
          <w:vertAlign w:val="baseline"/>
        </w:rPr>
        <w:t>staff</w:t>
      </w:r>
      <w:r>
        <w:rPr>
          <w:spacing w:val="-1"/>
          <w:sz w:val="21"/>
          <w:vertAlign w:val="baseline"/>
        </w:rPr>
        <w:t> </w:t>
      </w:r>
      <w:r>
        <w:rPr>
          <w:sz w:val="21"/>
          <w:vertAlign w:val="baseline"/>
        </w:rPr>
        <w:t>to</w:t>
      </w:r>
      <w:r>
        <w:rPr>
          <w:spacing w:val="-1"/>
          <w:sz w:val="21"/>
          <w:vertAlign w:val="baseline"/>
        </w:rPr>
        <w:t> </w:t>
      </w:r>
      <w:r>
        <w:rPr>
          <w:sz w:val="21"/>
          <w:vertAlign w:val="baseline"/>
        </w:rPr>
        <w:t>facilitate</w:t>
      </w:r>
      <w:r>
        <w:rPr>
          <w:spacing w:val="-1"/>
          <w:sz w:val="21"/>
          <w:vertAlign w:val="baseline"/>
        </w:rPr>
        <w:t> </w:t>
      </w:r>
      <w:r>
        <w:rPr>
          <w:sz w:val="21"/>
          <w:vertAlign w:val="baseline"/>
        </w:rPr>
        <w:t>engagement,</w:t>
      </w:r>
      <w:r>
        <w:rPr>
          <w:spacing w:val="-1"/>
          <w:sz w:val="21"/>
          <w:vertAlign w:val="baseline"/>
        </w:rPr>
        <w:t> </w:t>
      </w:r>
      <w:r>
        <w:rPr>
          <w:sz w:val="21"/>
          <w:vertAlign w:val="baseline"/>
        </w:rPr>
        <w:t>adequate</w:t>
      </w:r>
      <w:r>
        <w:rPr>
          <w:spacing w:val="-1"/>
          <w:sz w:val="21"/>
          <w:vertAlign w:val="baseline"/>
        </w:rPr>
        <w:t> </w:t>
      </w:r>
      <w:r>
        <w:rPr>
          <w:sz w:val="21"/>
          <w:vertAlign w:val="baseline"/>
        </w:rPr>
        <w:t>funding, and</w:t>
      </w:r>
      <w:r>
        <w:rPr>
          <w:spacing w:val="-1"/>
          <w:sz w:val="21"/>
          <w:vertAlign w:val="baseline"/>
        </w:rPr>
        <w:t> </w:t>
      </w:r>
      <w:r>
        <w:rPr>
          <w:sz w:val="21"/>
          <w:vertAlign w:val="baseline"/>
        </w:rPr>
        <w:t>support systems</w:t>
      </w:r>
      <w:r>
        <w:rPr>
          <w:spacing w:val="-1"/>
          <w:sz w:val="21"/>
          <w:vertAlign w:val="baseline"/>
        </w:rPr>
        <w:t> </w:t>
      </w:r>
      <w:r>
        <w:rPr>
          <w:sz w:val="21"/>
          <w:vertAlign w:val="baseline"/>
        </w:rPr>
        <w:t>that help mitigate risks like secondary trauma for those with lived experience. Engagements must also be culturally</w:t>
      </w:r>
      <w:r>
        <w:rPr>
          <w:spacing w:val="76"/>
          <w:sz w:val="21"/>
          <w:vertAlign w:val="baseline"/>
        </w:rPr>
        <w:t> </w:t>
      </w:r>
      <w:r>
        <w:rPr>
          <w:sz w:val="21"/>
          <w:vertAlign w:val="baseline"/>
        </w:rPr>
        <w:t>sensitive</w:t>
      </w:r>
      <w:r>
        <w:rPr>
          <w:spacing w:val="76"/>
          <w:sz w:val="21"/>
          <w:vertAlign w:val="baseline"/>
        </w:rPr>
        <w:t> </w:t>
      </w:r>
      <w:r>
        <w:rPr>
          <w:sz w:val="21"/>
          <w:vertAlign w:val="baseline"/>
        </w:rPr>
        <w:t>and</w:t>
      </w:r>
      <w:r>
        <w:rPr>
          <w:spacing w:val="76"/>
          <w:sz w:val="21"/>
          <w:vertAlign w:val="baseline"/>
        </w:rPr>
        <w:t> </w:t>
      </w:r>
      <w:r>
        <w:rPr>
          <w:sz w:val="21"/>
          <w:vertAlign w:val="baseline"/>
        </w:rPr>
        <w:t>trauma-informed,</w:t>
      </w:r>
      <w:r>
        <w:rPr>
          <w:spacing w:val="77"/>
          <w:sz w:val="21"/>
          <w:vertAlign w:val="baseline"/>
        </w:rPr>
        <w:t> </w:t>
      </w:r>
      <w:r>
        <w:rPr>
          <w:sz w:val="21"/>
          <w:vertAlign w:val="baseline"/>
        </w:rPr>
        <w:t>respecting</w:t>
      </w:r>
      <w:r>
        <w:rPr>
          <w:spacing w:val="76"/>
          <w:sz w:val="21"/>
          <w:vertAlign w:val="baseline"/>
        </w:rPr>
        <w:t> </w:t>
      </w:r>
      <w:r>
        <w:rPr>
          <w:sz w:val="21"/>
          <w:vertAlign w:val="baseline"/>
        </w:rPr>
        <w:t>the</w:t>
      </w:r>
      <w:r>
        <w:rPr>
          <w:spacing w:val="76"/>
          <w:sz w:val="21"/>
          <w:vertAlign w:val="baseline"/>
        </w:rPr>
        <w:t> </w:t>
      </w:r>
      <w:r>
        <w:rPr>
          <w:sz w:val="21"/>
          <w:vertAlign w:val="baseline"/>
        </w:rPr>
        <w:t>diverse</w:t>
      </w:r>
      <w:r>
        <w:rPr>
          <w:spacing w:val="76"/>
          <w:sz w:val="21"/>
          <w:vertAlign w:val="baseline"/>
        </w:rPr>
        <w:t> </w:t>
      </w:r>
      <w:r>
        <w:rPr>
          <w:sz w:val="21"/>
          <w:vertAlign w:val="baseline"/>
        </w:rPr>
        <w:t>backgrounds</w:t>
      </w:r>
      <w:r>
        <w:rPr>
          <w:spacing w:val="76"/>
          <w:sz w:val="21"/>
          <w:vertAlign w:val="baseline"/>
        </w:rPr>
        <w:t> </w:t>
      </w:r>
      <w:r>
        <w:rPr>
          <w:sz w:val="21"/>
          <w:vertAlign w:val="baseline"/>
        </w:rPr>
        <w:t>and</w:t>
      </w:r>
      <w:r>
        <w:rPr>
          <w:spacing w:val="76"/>
          <w:sz w:val="21"/>
          <w:vertAlign w:val="baseline"/>
        </w:rPr>
        <w:t> </w:t>
      </w:r>
      <w:r>
        <w:rPr>
          <w:sz w:val="21"/>
          <w:vertAlign w:val="baseline"/>
        </w:rPr>
        <w:t>experiences</w:t>
      </w:r>
      <w:r>
        <w:rPr>
          <w:spacing w:val="76"/>
          <w:sz w:val="21"/>
          <w:vertAlign w:val="baseline"/>
        </w:rPr>
        <w:t> </w:t>
      </w:r>
      <w:r>
        <w:rPr>
          <w:sz w:val="21"/>
          <w:vertAlign w:val="baseline"/>
        </w:rPr>
        <w:t>of</w:t>
      </w:r>
    </w:p>
    <w:p>
      <w:pPr>
        <w:spacing w:after="0" w:line="276" w:lineRule="auto"/>
        <w:jc w:val="both"/>
        <w:rPr>
          <w:sz w:val="21"/>
        </w:rPr>
        <w:sectPr>
          <w:pgSz w:w="12240" w:h="15840"/>
          <w:pgMar w:header="763" w:footer="1041" w:top="1360" w:bottom="1240" w:left="1120" w:right="1340"/>
        </w:sectPr>
      </w:pPr>
    </w:p>
    <w:p>
      <w:pPr>
        <w:spacing w:line="276" w:lineRule="auto" w:before="65"/>
        <w:ind w:left="464" w:right="239" w:firstLine="0"/>
        <w:jc w:val="both"/>
        <w:rPr>
          <w:sz w:val="21"/>
        </w:rPr>
      </w:pPr>
      <w:r>
        <w:rPr>
          <w:sz w:val="21"/>
        </w:rPr>
        <w:t>participants.</w:t>
      </w:r>
      <w:r>
        <w:rPr>
          <w:spacing w:val="-3"/>
          <w:sz w:val="21"/>
        </w:rPr>
        <w:t> </w:t>
      </w:r>
      <w:r>
        <w:rPr>
          <w:sz w:val="21"/>
        </w:rPr>
        <w:t>This</w:t>
      </w:r>
      <w:r>
        <w:rPr>
          <w:spacing w:val="-3"/>
          <w:sz w:val="21"/>
        </w:rPr>
        <w:t> </w:t>
      </w:r>
      <w:r>
        <w:rPr>
          <w:sz w:val="21"/>
        </w:rPr>
        <w:t>approach</w:t>
      </w:r>
      <w:r>
        <w:rPr>
          <w:spacing w:val="-4"/>
          <w:sz w:val="21"/>
        </w:rPr>
        <w:t> </w:t>
      </w:r>
      <w:r>
        <w:rPr>
          <w:sz w:val="21"/>
        </w:rPr>
        <w:t>not</w:t>
      </w:r>
      <w:r>
        <w:rPr>
          <w:spacing w:val="-2"/>
          <w:sz w:val="21"/>
        </w:rPr>
        <w:t> </w:t>
      </w:r>
      <w:r>
        <w:rPr>
          <w:sz w:val="21"/>
        </w:rPr>
        <w:t>only</w:t>
      </w:r>
      <w:r>
        <w:rPr>
          <w:spacing w:val="-3"/>
          <w:sz w:val="21"/>
        </w:rPr>
        <w:t> </w:t>
      </w:r>
      <w:r>
        <w:rPr>
          <w:sz w:val="21"/>
        </w:rPr>
        <w:t>enhances</w:t>
      </w:r>
      <w:r>
        <w:rPr>
          <w:spacing w:val="-3"/>
          <w:sz w:val="21"/>
        </w:rPr>
        <w:t> </w:t>
      </w:r>
      <w:r>
        <w:rPr>
          <w:sz w:val="21"/>
        </w:rPr>
        <w:t>the</w:t>
      </w:r>
      <w:r>
        <w:rPr>
          <w:spacing w:val="-3"/>
          <w:sz w:val="21"/>
        </w:rPr>
        <w:t> </w:t>
      </w:r>
      <w:r>
        <w:rPr>
          <w:sz w:val="21"/>
        </w:rPr>
        <w:t>effectiveness</w:t>
      </w:r>
      <w:r>
        <w:rPr>
          <w:spacing w:val="-4"/>
          <w:sz w:val="21"/>
        </w:rPr>
        <w:t> </w:t>
      </w:r>
      <w:r>
        <w:rPr>
          <w:sz w:val="21"/>
        </w:rPr>
        <w:t>of</w:t>
      </w:r>
      <w:r>
        <w:rPr>
          <w:spacing w:val="-3"/>
          <w:sz w:val="21"/>
        </w:rPr>
        <w:t> </w:t>
      </w:r>
      <w:r>
        <w:rPr>
          <w:sz w:val="21"/>
        </w:rPr>
        <w:t>the</w:t>
      </w:r>
      <w:r>
        <w:rPr>
          <w:spacing w:val="-3"/>
          <w:sz w:val="21"/>
        </w:rPr>
        <w:t> </w:t>
      </w:r>
      <w:r>
        <w:rPr>
          <w:sz w:val="21"/>
        </w:rPr>
        <w:t>engagement</w:t>
      </w:r>
      <w:r>
        <w:rPr>
          <w:spacing w:val="-4"/>
          <w:sz w:val="21"/>
        </w:rPr>
        <w:t> </w:t>
      </w:r>
      <w:r>
        <w:rPr>
          <w:sz w:val="21"/>
        </w:rPr>
        <w:t>but</w:t>
      </w:r>
      <w:r>
        <w:rPr>
          <w:spacing w:val="-4"/>
          <w:sz w:val="21"/>
        </w:rPr>
        <w:t> </w:t>
      </w:r>
      <w:r>
        <w:rPr>
          <w:sz w:val="21"/>
        </w:rPr>
        <w:t>also</w:t>
      </w:r>
      <w:r>
        <w:rPr>
          <w:spacing w:val="-3"/>
          <w:sz w:val="21"/>
        </w:rPr>
        <w:t> </w:t>
      </w:r>
      <w:r>
        <w:rPr>
          <w:sz w:val="21"/>
        </w:rPr>
        <w:t>fosters</w:t>
      </w:r>
      <w:r>
        <w:rPr>
          <w:spacing w:val="-3"/>
          <w:sz w:val="21"/>
        </w:rPr>
        <w:t> </w:t>
      </w:r>
      <w:r>
        <w:rPr>
          <w:sz w:val="21"/>
        </w:rPr>
        <w:t>a</w:t>
      </w:r>
      <w:r>
        <w:rPr>
          <w:spacing w:val="-3"/>
          <w:sz w:val="21"/>
        </w:rPr>
        <w:t> </w:t>
      </w:r>
      <w:r>
        <w:rPr>
          <w:sz w:val="21"/>
        </w:rPr>
        <w:t>safer environment for participants.</w:t>
      </w:r>
    </w:p>
    <w:p>
      <w:pPr>
        <w:spacing w:line="276" w:lineRule="auto" w:before="239"/>
        <w:ind w:left="464" w:right="238" w:firstLine="0"/>
        <w:jc w:val="both"/>
        <w:rPr>
          <w:sz w:val="21"/>
        </w:rPr>
      </w:pPr>
      <w:r>
        <w:rPr>
          <w:sz w:val="21"/>
        </w:rPr>
        <w:t>Engaging</w:t>
      </w:r>
      <w:r>
        <w:rPr>
          <w:spacing w:val="-3"/>
          <w:sz w:val="21"/>
        </w:rPr>
        <w:t> </w:t>
      </w:r>
      <w:r>
        <w:rPr>
          <w:sz w:val="21"/>
        </w:rPr>
        <w:t>youth</w:t>
      </w:r>
      <w:r>
        <w:rPr>
          <w:spacing w:val="-3"/>
          <w:sz w:val="21"/>
        </w:rPr>
        <w:t> </w:t>
      </w:r>
      <w:r>
        <w:rPr>
          <w:sz w:val="21"/>
        </w:rPr>
        <w:t>in</w:t>
      </w:r>
      <w:r>
        <w:rPr>
          <w:spacing w:val="-3"/>
          <w:sz w:val="21"/>
        </w:rPr>
        <w:t> </w:t>
      </w:r>
      <w:r>
        <w:rPr>
          <w:sz w:val="21"/>
        </w:rPr>
        <w:t>crafting</w:t>
      </w:r>
      <w:r>
        <w:rPr>
          <w:spacing w:val="-3"/>
          <w:sz w:val="21"/>
        </w:rPr>
        <w:t> </w:t>
      </w:r>
      <w:r>
        <w:rPr>
          <w:sz w:val="21"/>
        </w:rPr>
        <w:t>policies,</w:t>
      </w:r>
      <w:r>
        <w:rPr>
          <w:spacing w:val="-2"/>
          <w:sz w:val="21"/>
        </w:rPr>
        <w:t> </w:t>
      </w:r>
      <w:r>
        <w:rPr>
          <w:sz w:val="21"/>
        </w:rPr>
        <w:t>especially</w:t>
      </w:r>
      <w:r>
        <w:rPr>
          <w:spacing w:val="-3"/>
          <w:sz w:val="21"/>
        </w:rPr>
        <w:t> </w:t>
      </w:r>
      <w:r>
        <w:rPr>
          <w:sz w:val="21"/>
        </w:rPr>
        <w:t>those</w:t>
      </w:r>
      <w:r>
        <w:rPr>
          <w:spacing w:val="-3"/>
          <w:sz w:val="21"/>
        </w:rPr>
        <w:t> </w:t>
      </w:r>
      <w:r>
        <w:rPr>
          <w:sz w:val="21"/>
        </w:rPr>
        <w:t>related</w:t>
      </w:r>
      <w:r>
        <w:rPr>
          <w:spacing w:val="-3"/>
          <w:sz w:val="21"/>
        </w:rPr>
        <w:t> </w:t>
      </w:r>
      <w:r>
        <w:rPr>
          <w:sz w:val="21"/>
        </w:rPr>
        <w:t>to</w:t>
      </w:r>
      <w:r>
        <w:rPr>
          <w:spacing w:val="-5"/>
          <w:sz w:val="21"/>
        </w:rPr>
        <w:t> </w:t>
      </w:r>
      <w:r>
        <w:rPr>
          <w:sz w:val="21"/>
        </w:rPr>
        <w:t>juvenile</w:t>
      </w:r>
      <w:r>
        <w:rPr>
          <w:spacing w:val="-3"/>
          <w:sz w:val="21"/>
        </w:rPr>
        <w:t> </w:t>
      </w:r>
      <w:r>
        <w:rPr>
          <w:sz w:val="21"/>
        </w:rPr>
        <w:t>legal</w:t>
      </w:r>
      <w:r>
        <w:rPr>
          <w:spacing w:val="-3"/>
          <w:sz w:val="21"/>
        </w:rPr>
        <w:t> </w:t>
      </w:r>
      <w:r>
        <w:rPr>
          <w:sz w:val="21"/>
        </w:rPr>
        <w:t>reform,</w:t>
      </w:r>
      <w:r>
        <w:rPr>
          <w:spacing w:val="-2"/>
          <w:sz w:val="21"/>
        </w:rPr>
        <w:t> </w:t>
      </w:r>
      <w:r>
        <w:rPr>
          <w:sz w:val="21"/>
        </w:rPr>
        <w:t>is</w:t>
      </w:r>
      <w:r>
        <w:rPr>
          <w:spacing w:val="-3"/>
          <w:sz w:val="21"/>
        </w:rPr>
        <w:t> </w:t>
      </w:r>
      <w:r>
        <w:rPr>
          <w:sz w:val="21"/>
        </w:rPr>
        <w:t>crucial</w:t>
      </w:r>
      <w:r>
        <w:rPr>
          <w:spacing w:val="-3"/>
          <w:sz w:val="21"/>
        </w:rPr>
        <w:t> </w:t>
      </w:r>
      <w:r>
        <w:rPr>
          <w:sz w:val="21"/>
        </w:rPr>
        <w:t>because</w:t>
      </w:r>
      <w:r>
        <w:rPr>
          <w:spacing w:val="-3"/>
          <w:sz w:val="21"/>
        </w:rPr>
        <w:t> </w:t>
      </w:r>
      <w:r>
        <w:rPr>
          <w:sz w:val="21"/>
        </w:rPr>
        <w:t>they are often the most directly affected by these policies.</w:t>
      </w:r>
      <w:hyperlink w:history="true" w:anchor="_bookmark529">
        <w:r>
          <w:rPr>
            <w:sz w:val="21"/>
            <w:vertAlign w:val="superscript"/>
          </w:rPr>
          <w:t>213</w:t>
        </w:r>
      </w:hyperlink>
      <w:r>
        <w:rPr>
          <w:spacing w:val="-2"/>
          <w:sz w:val="21"/>
          <w:vertAlign w:val="baseline"/>
        </w:rPr>
        <w:t> </w:t>
      </w:r>
      <w:r>
        <w:rPr>
          <w:sz w:val="21"/>
          <w:vertAlign w:val="baseline"/>
        </w:rPr>
        <w:t>Young people bring invaluable assets to reform efforts,</w:t>
      </w:r>
      <w:r>
        <w:rPr>
          <w:spacing w:val="-9"/>
          <w:sz w:val="21"/>
          <w:vertAlign w:val="baseline"/>
        </w:rPr>
        <w:t> </w:t>
      </w:r>
      <w:r>
        <w:rPr>
          <w:sz w:val="21"/>
          <w:vertAlign w:val="baseline"/>
        </w:rPr>
        <w:t>such</w:t>
      </w:r>
      <w:r>
        <w:rPr>
          <w:spacing w:val="-9"/>
          <w:sz w:val="21"/>
          <w:vertAlign w:val="baseline"/>
        </w:rPr>
        <w:t> </w:t>
      </w:r>
      <w:r>
        <w:rPr>
          <w:sz w:val="21"/>
          <w:vertAlign w:val="baseline"/>
        </w:rPr>
        <w:t>as</w:t>
      </w:r>
      <w:r>
        <w:rPr>
          <w:spacing w:val="-9"/>
          <w:sz w:val="21"/>
          <w:vertAlign w:val="baseline"/>
        </w:rPr>
        <w:t> </w:t>
      </w:r>
      <w:r>
        <w:rPr>
          <w:sz w:val="21"/>
          <w:vertAlign w:val="baseline"/>
        </w:rPr>
        <w:t>unique</w:t>
      </w:r>
      <w:r>
        <w:rPr>
          <w:spacing w:val="-9"/>
          <w:sz w:val="21"/>
          <w:vertAlign w:val="baseline"/>
        </w:rPr>
        <w:t> </w:t>
      </w:r>
      <w:r>
        <w:rPr>
          <w:sz w:val="21"/>
          <w:vertAlign w:val="baseline"/>
        </w:rPr>
        <w:t>perspectives</w:t>
      </w:r>
      <w:r>
        <w:rPr>
          <w:spacing w:val="-9"/>
          <w:sz w:val="21"/>
          <w:vertAlign w:val="baseline"/>
        </w:rPr>
        <w:t> </w:t>
      </w:r>
      <w:r>
        <w:rPr>
          <w:sz w:val="21"/>
          <w:vertAlign w:val="baseline"/>
        </w:rPr>
        <w:t>derived</w:t>
      </w:r>
      <w:r>
        <w:rPr>
          <w:spacing w:val="-9"/>
          <w:sz w:val="21"/>
          <w:vertAlign w:val="baseline"/>
        </w:rPr>
        <w:t> </w:t>
      </w:r>
      <w:r>
        <w:rPr>
          <w:sz w:val="21"/>
          <w:vertAlign w:val="baseline"/>
        </w:rPr>
        <w:t>from</w:t>
      </w:r>
      <w:r>
        <w:rPr>
          <w:spacing w:val="-9"/>
          <w:sz w:val="21"/>
          <w:vertAlign w:val="baseline"/>
        </w:rPr>
        <w:t> </w:t>
      </w:r>
      <w:r>
        <w:rPr>
          <w:sz w:val="21"/>
          <w:vertAlign w:val="baseline"/>
        </w:rPr>
        <w:t>personal</w:t>
      </w:r>
      <w:r>
        <w:rPr>
          <w:spacing w:val="-9"/>
          <w:sz w:val="21"/>
          <w:vertAlign w:val="baseline"/>
        </w:rPr>
        <w:t> </w:t>
      </w:r>
      <w:r>
        <w:rPr>
          <w:sz w:val="21"/>
          <w:vertAlign w:val="baseline"/>
        </w:rPr>
        <w:t>experience,</w:t>
      </w:r>
      <w:r>
        <w:rPr>
          <w:spacing w:val="-9"/>
          <w:sz w:val="21"/>
          <w:vertAlign w:val="baseline"/>
        </w:rPr>
        <w:t> </w:t>
      </w:r>
      <w:r>
        <w:rPr>
          <w:sz w:val="21"/>
          <w:vertAlign w:val="baseline"/>
        </w:rPr>
        <w:t>passion,</w:t>
      </w:r>
      <w:r>
        <w:rPr>
          <w:spacing w:val="-9"/>
          <w:sz w:val="21"/>
          <w:vertAlign w:val="baseline"/>
        </w:rPr>
        <w:t> </w:t>
      </w:r>
      <w:r>
        <w:rPr>
          <w:sz w:val="21"/>
          <w:vertAlign w:val="baseline"/>
        </w:rPr>
        <w:t>and</w:t>
      </w:r>
      <w:r>
        <w:rPr>
          <w:spacing w:val="-9"/>
          <w:sz w:val="21"/>
          <w:vertAlign w:val="baseline"/>
        </w:rPr>
        <w:t> </w:t>
      </w:r>
      <w:r>
        <w:rPr>
          <w:sz w:val="21"/>
          <w:vertAlign w:val="baseline"/>
        </w:rPr>
        <w:t>creativity.</w:t>
      </w:r>
      <w:r>
        <w:rPr>
          <w:spacing w:val="-9"/>
          <w:sz w:val="21"/>
          <w:vertAlign w:val="baseline"/>
        </w:rPr>
        <w:t> </w:t>
      </w:r>
      <w:r>
        <w:rPr>
          <w:sz w:val="21"/>
          <w:vertAlign w:val="baseline"/>
        </w:rPr>
        <w:t>When</w:t>
      </w:r>
      <w:r>
        <w:rPr>
          <w:spacing w:val="-9"/>
          <w:sz w:val="21"/>
          <w:vertAlign w:val="baseline"/>
        </w:rPr>
        <w:t> </w:t>
      </w:r>
      <w:r>
        <w:rPr>
          <w:sz w:val="21"/>
          <w:vertAlign w:val="baseline"/>
        </w:rPr>
        <w:t>youth are involved, they not only contribute to the development of more effective and relevant policies but</w:t>
      </w:r>
      <w:r>
        <w:rPr>
          <w:spacing w:val="-1"/>
          <w:sz w:val="21"/>
          <w:vertAlign w:val="baseline"/>
        </w:rPr>
        <w:t> </w:t>
      </w:r>
      <w:r>
        <w:rPr>
          <w:sz w:val="21"/>
          <w:vertAlign w:val="baseline"/>
        </w:rPr>
        <w:t>also gain personal growth opportunities that help them develop into responsible, active members of their communities. The engagement of youth in policymaking helps break stereotypes and compels a broader audience</w:t>
      </w:r>
      <w:r>
        <w:rPr>
          <w:spacing w:val="-7"/>
          <w:sz w:val="21"/>
          <w:vertAlign w:val="baseline"/>
        </w:rPr>
        <w:t> </w:t>
      </w:r>
      <w:r>
        <w:rPr>
          <w:sz w:val="21"/>
          <w:vertAlign w:val="baseline"/>
        </w:rPr>
        <w:t>to</w:t>
      </w:r>
      <w:r>
        <w:rPr>
          <w:spacing w:val="-7"/>
          <w:sz w:val="21"/>
          <w:vertAlign w:val="baseline"/>
        </w:rPr>
        <w:t> </w:t>
      </w:r>
      <w:r>
        <w:rPr>
          <w:sz w:val="21"/>
          <w:vertAlign w:val="baseline"/>
        </w:rPr>
        <w:t>confront</w:t>
      </w:r>
      <w:r>
        <w:rPr>
          <w:spacing w:val="-6"/>
          <w:sz w:val="21"/>
          <w:vertAlign w:val="baseline"/>
        </w:rPr>
        <w:t> </w:t>
      </w:r>
      <w:r>
        <w:rPr>
          <w:sz w:val="21"/>
          <w:vertAlign w:val="baseline"/>
        </w:rPr>
        <w:t>the</w:t>
      </w:r>
      <w:r>
        <w:rPr>
          <w:spacing w:val="-7"/>
          <w:sz w:val="21"/>
          <w:vertAlign w:val="baseline"/>
        </w:rPr>
        <w:t> </w:t>
      </w:r>
      <w:r>
        <w:rPr>
          <w:sz w:val="21"/>
          <w:vertAlign w:val="baseline"/>
        </w:rPr>
        <w:t>realities</w:t>
      </w:r>
      <w:r>
        <w:rPr>
          <w:spacing w:val="-7"/>
          <w:sz w:val="21"/>
          <w:vertAlign w:val="baseline"/>
        </w:rPr>
        <w:t> </w:t>
      </w:r>
      <w:r>
        <w:rPr>
          <w:sz w:val="21"/>
          <w:vertAlign w:val="baseline"/>
        </w:rPr>
        <w:t>of</w:t>
      </w:r>
      <w:r>
        <w:rPr>
          <w:spacing w:val="-7"/>
          <w:sz w:val="21"/>
          <w:vertAlign w:val="baseline"/>
        </w:rPr>
        <w:t> </w:t>
      </w:r>
      <w:r>
        <w:rPr>
          <w:sz w:val="21"/>
          <w:vertAlign w:val="baseline"/>
        </w:rPr>
        <w:t>the</w:t>
      </w:r>
      <w:r>
        <w:rPr>
          <w:spacing w:val="-7"/>
          <w:sz w:val="21"/>
          <w:vertAlign w:val="baseline"/>
        </w:rPr>
        <w:t> </w:t>
      </w:r>
      <w:r>
        <w:rPr>
          <w:sz w:val="21"/>
          <w:vertAlign w:val="baseline"/>
        </w:rPr>
        <w:t>juvenile</w:t>
      </w:r>
      <w:r>
        <w:rPr>
          <w:spacing w:val="-7"/>
          <w:sz w:val="21"/>
          <w:vertAlign w:val="baseline"/>
        </w:rPr>
        <w:t> </w:t>
      </w:r>
      <w:r>
        <w:rPr>
          <w:sz w:val="21"/>
          <w:vertAlign w:val="baseline"/>
        </w:rPr>
        <w:t>justice</w:t>
      </w:r>
      <w:r>
        <w:rPr>
          <w:spacing w:val="-7"/>
          <w:sz w:val="21"/>
          <w:vertAlign w:val="baseline"/>
        </w:rPr>
        <w:t> </w:t>
      </w:r>
      <w:r>
        <w:rPr>
          <w:sz w:val="21"/>
          <w:vertAlign w:val="baseline"/>
        </w:rPr>
        <w:t>system</w:t>
      </w:r>
      <w:r>
        <w:rPr>
          <w:spacing w:val="-6"/>
          <w:sz w:val="21"/>
          <w:vertAlign w:val="baseline"/>
        </w:rPr>
        <w:t> </w:t>
      </w:r>
      <w:r>
        <w:rPr>
          <w:sz w:val="21"/>
          <w:vertAlign w:val="baseline"/>
        </w:rPr>
        <w:t>and</w:t>
      </w:r>
      <w:r>
        <w:rPr>
          <w:spacing w:val="-7"/>
          <w:sz w:val="21"/>
          <w:vertAlign w:val="baseline"/>
        </w:rPr>
        <w:t> </w:t>
      </w:r>
      <w:r>
        <w:rPr>
          <w:sz w:val="21"/>
          <w:vertAlign w:val="baseline"/>
        </w:rPr>
        <w:t>its</w:t>
      </w:r>
      <w:r>
        <w:rPr>
          <w:spacing w:val="-7"/>
          <w:sz w:val="21"/>
          <w:vertAlign w:val="baseline"/>
        </w:rPr>
        <w:t> </w:t>
      </w:r>
      <w:r>
        <w:rPr>
          <w:sz w:val="21"/>
          <w:vertAlign w:val="baseline"/>
        </w:rPr>
        <w:t>impact</w:t>
      </w:r>
      <w:r>
        <w:rPr>
          <w:spacing w:val="-7"/>
          <w:sz w:val="21"/>
          <w:vertAlign w:val="baseline"/>
        </w:rPr>
        <w:t> </w:t>
      </w:r>
      <w:r>
        <w:rPr>
          <w:sz w:val="21"/>
          <w:vertAlign w:val="baseline"/>
        </w:rPr>
        <w:t>on</w:t>
      </w:r>
      <w:r>
        <w:rPr>
          <w:spacing w:val="-7"/>
          <w:sz w:val="21"/>
          <w:vertAlign w:val="baseline"/>
        </w:rPr>
        <w:t> </w:t>
      </w:r>
      <w:r>
        <w:rPr>
          <w:sz w:val="21"/>
          <w:vertAlign w:val="baseline"/>
        </w:rPr>
        <w:t>real</w:t>
      </w:r>
      <w:r>
        <w:rPr>
          <w:spacing w:val="-7"/>
          <w:sz w:val="21"/>
          <w:vertAlign w:val="baseline"/>
        </w:rPr>
        <w:t> </w:t>
      </w:r>
      <w:r>
        <w:rPr>
          <w:sz w:val="21"/>
          <w:vertAlign w:val="baseline"/>
        </w:rPr>
        <w:t>lives.</w:t>
      </w:r>
      <w:r>
        <w:rPr>
          <w:spacing w:val="-7"/>
          <w:sz w:val="21"/>
          <w:vertAlign w:val="baseline"/>
        </w:rPr>
        <w:t> </w:t>
      </w:r>
      <w:r>
        <w:rPr>
          <w:sz w:val="21"/>
          <w:vertAlign w:val="baseline"/>
        </w:rPr>
        <w:t>Providing</w:t>
      </w:r>
      <w:r>
        <w:rPr>
          <w:spacing w:val="-7"/>
          <w:sz w:val="21"/>
          <w:vertAlign w:val="baseline"/>
        </w:rPr>
        <w:t> </w:t>
      </w:r>
      <w:r>
        <w:rPr>
          <w:sz w:val="21"/>
          <w:vertAlign w:val="baseline"/>
        </w:rPr>
        <w:t>youth with platforms to advocate for change enables them to influence systemic reform meaningfully. This involvement</w:t>
      </w:r>
      <w:r>
        <w:rPr>
          <w:spacing w:val="-12"/>
          <w:sz w:val="21"/>
          <w:vertAlign w:val="baseline"/>
        </w:rPr>
        <w:t> </w:t>
      </w:r>
      <w:r>
        <w:rPr>
          <w:sz w:val="21"/>
          <w:vertAlign w:val="baseline"/>
        </w:rPr>
        <w:t>enhances</w:t>
      </w:r>
      <w:r>
        <w:rPr>
          <w:spacing w:val="-12"/>
          <w:sz w:val="21"/>
          <w:vertAlign w:val="baseline"/>
        </w:rPr>
        <w:t> </w:t>
      </w:r>
      <w:r>
        <w:rPr>
          <w:sz w:val="21"/>
          <w:vertAlign w:val="baseline"/>
        </w:rPr>
        <w:t>their</w:t>
      </w:r>
      <w:r>
        <w:rPr>
          <w:spacing w:val="-12"/>
          <w:sz w:val="21"/>
          <w:vertAlign w:val="baseline"/>
        </w:rPr>
        <w:t> </w:t>
      </w:r>
      <w:r>
        <w:rPr>
          <w:sz w:val="21"/>
          <w:vertAlign w:val="baseline"/>
        </w:rPr>
        <w:t>self-efficacy</w:t>
      </w:r>
      <w:r>
        <w:rPr>
          <w:spacing w:val="-12"/>
          <w:sz w:val="21"/>
          <w:vertAlign w:val="baseline"/>
        </w:rPr>
        <w:t> </w:t>
      </w:r>
      <w:r>
        <w:rPr>
          <w:sz w:val="21"/>
          <w:vertAlign w:val="baseline"/>
        </w:rPr>
        <w:t>and</w:t>
      </w:r>
      <w:r>
        <w:rPr>
          <w:spacing w:val="-12"/>
          <w:sz w:val="21"/>
          <w:vertAlign w:val="baseline"/>
        </w:rPr>
        <w:t> </w:t>
      </w:r>
      <w:r>
        <w:rPr>
          <w:sz w:val="21"/>
          <w:vertAlign w:val="baseline"/>
        </w:rPr>
        <w:t>connectedness</w:t>
      </w:r>
      <w:r>
        <w:rPr>
          <w:spacing w:val="-12"/>
          <w:sz w:val="21"/>
          <w:vertAlign w:val="baseline"/>
        </w:rPr>
        <w:t> </w:t>
      </w:r>
      <w:r>
        <w:rPr>
          <w:sz w:val="21"/>
          <w:vertAlign w:val="baseline"/>
        </w:rPr>
        <w:t>to</w:t>
      </w:r>
      <w:r>
        <w:rPr>
          <w:spacing w:val="-12"/>
          <w:sz w:val="21"/>
          <w:vertAlign w:val="baseline"/>
        </w:rPr>
        <w:t> </w:t>
      </w:r>
      <w:r>
        <w:rPr>
          <w:sz w:val="21"/>
          <w:vertAlign w:val="baseline"/>
        </w:rPr>
        <w:t>their</w:t>
      </w:r>
      <w:r>
        <w:rPr>
          <w:spacing w:val="-11"/>
          <w:sz w:val="21"/>
          <w:vertAlign w:val="baseline"/>
        </w:rPr>
        <w:t> </w:t>
      </w:r>
      <w:r>
        <w:rPr>
          <w:sz w:val="21"/>
          <w:vertAlign w:val="baseline"/>
        </w:rPr>
        <w:t>communities,</w:t>
      </w:r>
      <w:r>
        <w:rPr>
          <w:spacing w:val="-12"/>
          <w:sz w:val="21"/>
          <w:vertAlign w:val="baseline"/>
        </w:rPr>
        <w:t> </w:t>
      </w:r>
      <w:r>
        <w:rPr>
          <w:sz w:val="21"/>
          <w:vertAlign w:val="baseline"/>
        </w:rPr>
        <w:t>offering</w:t>
      </w:r>
      <w:r>
        <w:rPr>
          <w:spacing w:val="-12"/>
          <w:sz w:val="21"/>
          <w:vertAlign w:val="baseline"/>
        </w:rPr>
        <w:t> </w:t>
      </w:r>
      <w:r>
        <w:rPr>
          <w:sz w:val="21"/>
          <w:vertAlign w:val="baseline"/>
        </w:rPr>
        <w:t>them</w:t>
      </w:r>
      <w:r>
        <w:rPr>
          <w:spacing w:val="-11"/>
          <w:sz w:val="21"/>
          <w:vertAlign w:val="baseline"/>
        </w:rPr>
        <w:t> </w:t>
      </w:r>
      <w:r>
        <w:rPr>
          <w:sz w:val="21"/>
          <w:vertAlign w:val="baseline"/>
        </w:rPr>
        <w:t>significant leadership and advocacy experiences that foster their development into capable adults.</w:t>
      </w:r>
      <w:hyperlink w:history="true" w:anchor="_bookmark530">
        <w:r>
          <w:rPr>
            <w:sz w:val="21"/>
            <w:vertAlign w:val="superscript"/>
          </w:rPr>
          <w:t>214</w:t>
        </w:r>
      </w:hyperlink>
      <w:r>
        <w:rPr>
          <w:spacing w:val="-1"/>
          <w:sz w:val="21"/>
          <w:vertAlign w:val="baseline"/>
        </w:rPr>
        <w:t> </w:t>
      </w:r>
      <w:r>
        <w:rPr>
          <w:sz w:val="21"/>
          <w:vertAlign w:val="baseline"/>
        </w:rPr>
        <w:t>To the extent possible, organizations that rely on youth with lived experience should offer them the option to include their advocacy or research contributions for the organization on any future employment documents, including resumes, and support them with recommendations for additional future opportunities.</w:t>
      </w:r>
    </w:p>
    <w:p>
      <w:pPr>
        <w:spacing w:line="276" w:lineRule="auto" w:before="241"/>
        <w:ind w:left="464" w:right="238" w:firstLine="0"/>
        <w:jc w:val="both"/>
        <w:rPr>
          <w:sz w:val="21"/>
        </w:rPr>
      </w:pPr>
      <w:r>
        <w:rPr>
          <w:sz w:val="21"/>
        </w:rPr>
        <w:t>Moreover, youth involvement in policy reform aligns with the principles of youth development, which advocate for young people to feel connected to and responsible for their community's well-being. By engaging youth, not only are the policies improved, but the youth themselves benefit from the empowerment</w:t>
      </w:r>
      <w:r>
        <w:rPr>
          <w:spacing w:val="-1"/>
          <w:sz w:val="21"/>
        </w:rPr>
        <w:t> </w:t>
      </w:r>
      <w:r>
        <w:rPr>
          <w:sz w:val="21"/>
        </w:rPr>
        <w:t>and</w:t>
      </w:r>
      <w:r>
        <w:rPr>
          <w:spacing w:val="-3"/>
          <w:sz w:val="21"/>
        </w:rPr>
        <w:t> </w:t>
      </w:r>
      <w:r>
        <w:rPr>
          <w:sz w:val="21"/>
        </w:rPr>
        <w:t>skills</w:t>
      </w:r>
      <w:r>
        <w:rPr>
          <w:spacing w:val="-2"/>
          <w:sz w:val="21"/>
        </w:rPr>
        <w:t> </w:t>
      </w:r>
      <w:r>
        <w:rPr>
          <w:sz w:val="21"/>
        </w:rPr>
        <w:t>they</w:t>
      </w:r>
      <w:r>
        <w:rPr>
          <w:spacing w:val="-2"/>
          <w:sz w:val="21"/>
        </w:rPr>
        <w:t> </w:t>
      </w:r>
      <w:r>
        <w:rPr>
          <w:sz w:val="21"/>
        </w:rPr>
        <w:t>gain</w:t>
      </w:r>
      <w:r>
        <w:rPr>
          <w:spacing w:val="-2"/>
          <w:sz w:val="21"/>
        </w:rPr>
        <w:t> </w:t>
      </w:r>
      <w:r>
        <w:rPr>
          <w:sz w:val="21"/>
        </w:rPr>
        <w:t>through</w:t>
      </w:r>
      <w:r>
        <w:rPr>
          <w:spacing w:val="-2"/>
          <w:sz w:val="21"/>
        </w:rPr>
        <w:t> </w:t>
      </w:r>
      <w:r>
        <w:rPr>
          <w:sz w:val="21"/>
        </w:rPr>
        <w:t>active</w:t>
      </w:r>
      <w:r>
        <w:rPr>
          <w:spacing w:val="-2"/>
          <w:sz w:val="21"/>
        </w:rPr>
        <w:t> </w:t>
      </w:r>
      <w:r>
        <w:rPr>
          <w:sz w:val="21"/>
        </w:rPr>
        <w:t>participation.</w:t>
      </w:r>
      <w:r>
        <w:rPr>
          <w:spacing w:val="-2"/>
          <w:sz w:val="21"/>
        </w:rPr>
        <w:t> </w:t>
      </w:r>
      <w:r>
        <w:rPr>
          <w:sz w:val="21"/>
        </w:rPr>
        <w:t>This</w:t>
      </w:r>
      <w:r>
        <w:rPr>
          <w:spacing w:val="-2"/>
          <w:sz w:val="21"/>
        </w:rPr>
        <w:t> </w:t>
      </w:r>
      <w:r>
        <w:rPr>
          <w:sz w:val="21"/>
        </w:rPr>
        <w:t>approach</w:t>
      </w:r>
      <w:r>
        <w:rPr>
          <w:spacing w:val="-2"/>
          <w:sz w:val="21"/>
        </w:rPr>
        <w:t> </w:t>
      </w:r>
      <w:r>
        <w:rPr>
          <w:sz w:val="21"/>
        </w:rPr>
        <w:t>challenges</w:t>
      </w:r>
      <w:r>
        <w:rPr>
          <w:spacing w:val="-2"/>
          <w:sz w:val="21"/>
        </w:rPr>
        <w:t> </w:t>
      </w:r>
      <w:r>
        <w:rPr>
          <w:sz w:val="21"/>
        </w:rPr>
        <w:t>traditional</w:t>
      </w:r>
      <w:r>
        <w:rPr>
          <w:spacing w:val="-2"/>
          <w:sz w:val="21"/>
        </w:rPr>
        <w:t> </w:t>
      </w:r>
      <w:r>
        <w:rPr>
          <w:sz w:val="21"/>
        </w:rPr>
        <w:t>views of system-involved youth, recognizing them as valuable contributors rather than just offenders. And data shows</w:t>
      </w:r>
      <w:r>
        <w:rPr>
          <w:spacing w:val="-8"/>
          <w:sz w:val="21"/>
        </w:rPr>
        <w:t> </w:t>
      </w:r>
      <w:r>
        <w:rPr>
          <w:sz w:val="21"/>
        </w:rPr>
        <w:t>that</w:t>
      </w:r>
      <w:r>
        <w:rPr>
          <w:spacing w:val="-7"/>
          <w:sz w:val="21"/>
        </w:rPr>
        <w:t> </w:t>
      </w:r>
      <w:r>
        <w:rPr>
          <w:sz w:val="21"/>
        </w:rPr>
        <w:t>programs</w:t>
      </w:r>
      <w:r>
        <w:rPr>
          <w:spacing w:val="-8"/>
          <w:sz w:val="21"/>
        </w:rPr>
        <w:t> </w:t>
      </w:r>
      <w:r>
        <w:rPr>
          <w:sz w:val="21"/>
        </w:rPr>
        <w:t>integrating</w:t>
      </w:r>
      <w:r>
        <w:rPr>
          <w:spacing w:val="-8"/>
          <w:sz w:val="21"/>
        </w:rPr>
        <w:t> </w:t>
      </w:r>
      <w:r>
        <w:rPr>
          <w:sz w:val="21"/>
        </w:rPr>
        <w:t>lived</w:t>
      </w:r>
      <w:r>
        <w:rPr>
          <w:spacing w:val="-8"/>
          <w:sz w:val="21"/>
        </w:rPr>
        <w:t> </w:t>
      </w:r>
      <w:r>
        <w:rPr>
          <w:sz w:val="21"/>
        </w:rPr>
        <w:t>experience</w:t>
      </w:r>
      <w:r>
        <w:rPr>
          <w:spacing w:val="-8"/>
          <w:sz w:val="21"/>
        </w:rPr>
        <w:t> </w:t>
      </w:r>
      <w:r>
        <w:rPr>
          <w:sz w:val="21"/>
        </w:rPr>
        <w:t>not</w:t>
      </w:r>
      <w:r>
        <w:rPr>
          <w:spacing w:val="-7"/>
          <w:sz w:val="21"/>
        </w:rPr>
        <w:t> </w:t>
      </w:r>
      <w:r>
        <w:rPr>
          <w:sz w:val="21"/>
        </w:rPr>
        <w:t>only</w:t>
      </w:r>
      <w:r>
        <w:rPr>
          <w:spacing w:val="-8"/>
          <w:sz w:val="21"/>
        </w:rPr>
        <w:t> </w:t>
      </w:r>
      <w:r>
        <w:rPr>
          <w:sz w:val="21"/>
        </w:rPr>
        <w:t>result</w:t>
      </w:r>
      <w:r>
        <w:rPr>
          <w:spacing w:val="-7"/>
          <w:sz w:val="21"/>
        </w:rPr>
        <w:t> </w:t>
      </w:r>
      <w:r>
        <w:rPr>
          <w:sz w:val="21"/>
        </w:rPr>
        <w:t>in</w:t>
      </w:r>
      <w:r>
        <w:rPr>
          <w:spacing w:val="-8"/>
          <w:sz w:val="21"/>
        </w:rPr>
        <w:t> </w:t>
      </w:r>
      <w:r>
        <w:rPr>
          <w:sz w:val="21"/>
        </w:rPr>
        <w:t>better</w:t>
      </w:r>
      <w:r>
        <w:rPr>
          <w:spacing w:val="-8"/>
          <w:sz w:val="21"/>
        </w:rPr>
        <w:t> </w:t>
      </w:r>
      <w:r>
        <w:rPr>
          <w:sz w:val="21"/>
        </w:rPr>
        <w:t>outcomes</w:t>
      </w:r>
      <w:r>
        <w:rPr>
          <w:spacing w:val="-8"/>
          <w:sz w:val="21"/>
        </w:rPr>
        <w:t> </w:t>
      </w:r>
      <w:r>
        <w:rPr>
          <w:sz w:val="21"/>
        </w:rPr>
        <w:t>but</w:t>
      </w:r>
      <w:r>
        <w:rPr>
          <w:spacing w:val="-7"/>
          <w:sz w:val="21"/>
        </w:rPr>
        <w:t> </w:t>
      </w:r>
      <w:r>
        <w:rPr>
          <w:sz w:val="21"/>
        </w:rPr>
        <w:t>also</w:t>
      </w:r>
      <w:r>
        <w:rPr>
          <w:spacing w:val="-8"/>
          <w:sz w:val="21"/>
        </w:rPr>
        <w:t> </w:t>
      </w:r>
      <w:r>
        <w:rPr>
          <w:sz w:val="21"/>
        </w:rPr>
        <w:t>foster</w:t>
      </w:r>
      <w:r>
        <w:rPr>
          <w:spacing w:val="-8"/>
          <w:sz w:val="21"/>
        </w:rPr>
        <w:t> </w:t>
      </w:r>
      <w:r>
        <w:rPr>
          <w:sz w:val="21"/>
        </w:rPr>
        <w:t>greater community trust and connectedness.</w:t>
      </w:r>
      <w:r>
        <w:rPr>
          <w:spacing w:val="-12"/>
          <w:sz w:val="21"/>
        </w:rPr>
        <w:t> </w:t>
      </w:r>
      <w:hyperlink w:history="true" w:anchor="_bookmark531">
        <w:r>
          <w:rPr>
            <w:sz w:val="21"/>
            <w:vertAlign w:val="superscript"/>
          </w:rPr>
          <w:t>215</w:t>
        </w:r>
      </w:hyperlink>
      <w:r>
        <w:rPr>
          <w:sz w:val="21"/>
          <w:vertAlign w:val="baseline"/>
        </w:rPr>
        <w:t> Youth engagement in policymaking is not just beneficial but essential for creating just effective, and empathetic juvenile and criminal legal policies and systems.</w:t>
      </w:r>
    </w:p>
    <w:p>
      <w:pPr>
        <w:pStyle w:val="BodyText"/>
        <w:spacing w:before="142"/>
        <w:rPr>
          <w:sz w:val="21"/>
        </w:rPr>
      </w:pPr>
    </w:p>
    <w:p>
      <w:pPr>
        <w:pStyle w:val="Heading8"/>
        <w:jc w:val="both"/>
      </w:pPr>
      <w:r>
        <w:rPr/>
        <mc:AlternateContent>
          <mc:Choice Requires="wps">
            <w:drawing>
              <wp:anchor distT="0" distB="0" distL="0" distR="0" allowOverlap="1" layoutInCell="1" locked="0" behindDoc="1" simplePos="0" relativeHeight="487664128">
                <wp:simplePos x="0" y="0"/>
                <wp:positionH relativeFrom="page">
                  <wp:posOffset>986789</wp:posOffset>
                </wp:positionH>
                <wp:positionV relativeFrom="paragraph">
                  <wp:posOffset>292072</wp:posOffset>
                </wp:positionV>
                <wp:extent cx="5799455" cy="6350"/>
                <wp:effectExtent l="0" t="0" r="0" b="0"/>
                <wp:wrapTopAndBottom/>
                <wp:docPr id="401" name="Graphic 401"/>
                <wp:cNvGraphicFramePr>
                  <a:graphicFrameLocks/>
                </wp:cNvGraphicFramePr>
                <a:graphic>
                  <a:graphicData uri="http://schemas.microsoft.com/office/word/2010/wordprocessingShape">
                    <wps:wsp>
                      <wps:cNvPr id="401" name="Graphic 401"/>
                      <wps:cNvSpPr/>
                      <wps:spPr>
                        <a:xfrm>
                          <a:off x="0" y="0"/>
                          <a:ext cx="5799455" cy="6350"/>
                        </a:xfrm>
                        <a:custGeom>
                          <a:avLst/>
                          <a:gdLst/>
                          <a:ahLst/>
                          <a:cxnLst/>
                          <a:rect l="l" t="t" r="r" b="b"/>
                          <a:pathLst>
                            <a:path w="5799455" h="6350">
                              <a:moveTo>
                                <a:pt x="5798832" y="0"/>
                              </a:moveTo>
                              <a:lnTo>
                                <a:pt x="0" y="0"/>
                              </a:lnTo>
                              <a:lnTo>
                                <a:pt x="0" y="6096"/>
                              </a:lnTo>
                              <a:lnTo>
                                <a:pt x="5798832" y="6096"/>
                              </a:lnTo>
                              <a:lnTo>
                                <a:pt x="5798832" y="0"/>
                              </a:lnTo>
                              <a:close/>
                            </a:path>
                          </a:pathLst>
                        </a:custGeom>
                        <a:solidFill>
                          <a:srgbClr val="4F81BC"/>
                        </a:solidFill>
                      </wps:spPr>
                      <wps:bodyPr wrap="square" lIns="0" tIns="0" rIns="0" bIns="0" rtlCol="0">
                        <a:prstTxWarp prst="textNoShape">
                          <a:avLst/>
                        </a:prstTxWarp>
                        <a:noAutofit/>
                      </wps:bodyPr>
                    </wps:wsp>
                  </a:graphicData>
                </a:graphic>
              </wp:anchor>
            </w:drawing>
          </mc:Choice>
          <mc:Fallback>
            <w:pict>
              <v:rect style="position:absolute;margin-left:77.699997pt;margin-top:22.997841pt;width:456.601pt;height:.48pt;mso-position-horizontal-relative:page;mso-position-vertical-relative:paragraph;z-index:-15652352;mso-wrap-distance-left:0;mso-wrap-distance-right:0" id="docshape319" filled="true" fillcolor="#4f81bc" stroked="false">
                <v:fill type="solid"/>
                <w10:wrap type="topAndBottom"/>
              </v:rect>
            </w:pict>
          </mc:Fallback>
        </mc:AlternateContent>
      </w:r>
      <w:bookmarkStart w:name="Acknowledgments &amp; Citations" w:id="768"/>
      <w:bookmarkEnd w:id="768"/>
      <w:r>
        <w:rPr/>
      </w:r>
      <w:r>
        <w:rPr>
          <w:color w:val="365F91"/>
        </w:rPr>
        <w:t>Acknowledgments</w:t>
      </w:r>
      <w:r>
        <w:rPr>
          <w:color w:val="365F91"/>
          <w:spacing w:val="-4"/>
        </w:rPr>
        <w:t> </w:t>
      </w:r>
      <w:r>
        <w:rPr>
          <w:color w:val="365F91"/>
        </w:rPr>
        <w:t>&amp;</w:t>
      </w:r>
      <w:r>
        <w:rPr>
          <w:color w:val="365F91"/>
          <w:spacing w:val="-3"/>
        </w:rPr>
        <w:t> </w:t>
      </w:r>
      <w:r>
        <w:rPr>
          <w:color w:val="365F91"/>
          <w:spacing w:val="-2"/>
        </w:rPr>
        <w:t>Citations</w:t>
      </w:r>
    </w:p>
    <w:p>
      <w:pPr>
        <w:spacing w:before="241"/>
        <w:ind w:left="464" w:right="0" w:firstLine="0"/>
        <w:jc w:val="left"/>
        <w:rPr>
          <w:i/>
          <w:sz w:val="21"/>
        </w:rPr>
      </w:pPr>
      <w:r>
        <w:rPr>
          <w:i/>
          <w:sz w:val="21"/>
        </w:rPr>
        <w:t>Acknowledgments:</w:t>
      </w:r>
      <w:r>
        <w:rPr>
          <w:i/>
          <w:spacing w:val="-6"/>
          <w:sz w:val="21"/>
        </w:rPr>
        <w:t> </w:t>
      </w:r>
      <w:r>
        <w:rPr>
          <w:i/>
          <w:sz w:val="21"/>
        </w:rPr>
        <w:t>Kimberly</w:t>
      </w:r>
      <w:r>
        <w:rPr>
          <w:i/>
          <w:spacing w:val="-4"/>
          <w:sz w:val="21"/>
        </w:rPr>
        <w:t> </w:t>
      </w:r>
      <w:r>
        <w:rPr>
          <w:i/>
          <w:sz w:val="21"/>
        </w:rPr>
        <w:t>Rhoten,</w:t>
      </w:r>
      <w:r>
        <w:rPr>
          <w:i/>
          <w:spacing w:val="-3"/>
          <w:sz w:val="21"/>
        </w:rPr>
        <w:t> </w:t>
      </w:r>
      <w:r>
        <w:rPr>
          <w:i/>
          <w:sz w:val="21"/>
        </w:rPr>
        <w:t>lead</w:t>
      </w:r>
      <w:r>
        <w:rPr>
          <w:i/>
          <w:spacing w:val="-4"/>
          <w:sz w:val="21"/>
        </w:rPr>
        <w:t> </w:t>
      </w:r>
      <w:r>
        <w:rPr>
          <w:i/>
          <w:sz w:val="21"/>
        </w:rPr>
        <w:t>research</w:t>
      </w:r>
      <w:r>
        <w:rPr>
          <w:i/>
          <w:spacing w:val="-4"/>
          <w:sz w:val="21"/>
        </w:rPr>
        <w:t> </w:t>
      </w:r>
      <w:r>
        <w:rPr>
          <w:i/>
          <w:sz w:val="21"/>
        </w:rPr>
        <w:t>and</w:t>
      </w:r>
      <w:r>
        <w:rPr>
          <w:i/>
          <w:spacing w:val="-4"/>
          <w:sz w:val="21"/>
        </w:rPr>
        <w:t> </w:t>
      </w:r>
      <w:r>
        <w:rPr>
          <w:i/>
          <w:spacing w:val="-2"/>
          <w:sz w:val="21"/>
        </w:rPr>
        <w:t>author</w:t>
      </w:r>
    </w:p>
    <w:p>
      <w:pPr>
        <w:pStyle w:val="BodyText"/>
        <w:rPr>
          <w:i/>
          <w:sz w:val="21"/>
        </w:rPr>
      </w:pPr>
    </w:p>
    <w:p>
      <w:pPr>
        <w:pStyle w:val="BodyText"/>
        <w:spacing w:before="12"/>
        <w:rPr>
          <w:i/>
          <w:sz w:val="21"/>
        </w:rPr>
      </w:pPr>
    </w:p>
    <w:p>
      <w:pPr>
        <w:spacing w:before="0"/>
        <w:ind w:left="320" w:right="2111" w:firstLine="0"/>
        <w:jc w:val="left"/>
        <w:rPr>
          <w:sz w:val="18"/>
        </w:rPr>
      </w:pPr>
      <w:r>
        <w:rPr>
          <w:sz w:val="18"/>
          <w:vertAlign w:val="superscript"/>
        </w:rPr>
        <w:t>1</w:t>
      </w:r>
      <w:r>
        <w:rPr>
          <w:spacing w:val="-3"/>
          <w:sz w:val="18"/>
          <w:vertAlign w:val="baseline"/>
        </w:rPr>
        <w:t> </w:t>
      </w:r>
      <w:r>
        <w:rPr>
          <w:sz w:val="18"/>
          <w:vertAlign w:val="baseline"/>
        </w:rPr>
        <w:t>Vera</w:t>
      </w:r>
      <w:r>
        <w:rPr>
          <w:spacing w:val="-3"/>
          <w:sz w:val="18"/>
          <w:vertAlign w:val="baseline"/>
        </w:rPr>
        <w:t> </w:t>
      </w:r>
      <w:r>
        <w:rPr>
          <w:sz w:val="18"/>
          <w:vertAlign w:val="baseline"/>
        </w:rPr>
        <w:t>Institute</w:t>
      </w:r>
      <w:r>
        <w:rPr>
          <w:spacing w:val="-3"/>
          <w:sz w:val="18"/>
          <w:vertAlign w:val="baseline"/>
        </w:rPr>
        <w:t> </w:t>
      </w:r>
      <w:r>
        <w:rPr>
          <w:sz w:val="18"/>
          <w:vertAlign w:val="baseline"/>
        </w:rPr>
        <w:t>of</w:t>
      </w:r>
      <w:r>
        <w:rPr>
          <w:spacing w:val="-3"/>
          <w:sz w:val="18"/>
          <w:vertAlign w:val="baseline"/>
        </w:rPr>
        <w:t> </w:t>
      </w:r>
      <w:r>
        <w:rPr>
          <w:sz w:val="18"/>
          <w:vertAlign w:val="baseline"/>
        </w:rPr>
        <w:t>Justice.</w:t>
      </w:r>
      <w:r>
        <w:rPr>
          <w:spacing w:val="-3"/>
          <w:sz w:val="18"/>
          <w:vertAlign w:val="baseline"/>
        </w:rPr>
        <w:t> </w:t>
      </w:r>
      <w:r>
        <w:rPr>
          <w:sz w:val="18"/>
          <w:vertAlign w:val="baseline"/>
        </w:rPr>
        <w:t>2021.</w:t>
      </w:r>
      <w:r>
        <w:rPr>
          <w:spacing w:val="-3"/>
          <w:sz w:val="18"/>
          <w:vertAlign w:val="baseline"/>
        </w:rPr>
        <w:t> </w:t>
      </w:r>
      <w:r>
        <w:rPr>
          <w:sz w:val="18"/>
          <w:vertAlign w:val="baseline"/>
        </w:rPr>
        <w:t>“Why</w:t>
      </w:r>
      <w:r>
        <w:rPr>
          <w:spacing w:val="-3"/>
          <w:sz w:val="18"/>
          <w:vertAlign w:val="baseline"/>
        </w:rPr>
        <w:t> </w:t>
      </w:r>
      <w:r>
        <w:rPr>
          <w:sz w:val="18"/>
          <w:vertAlign w:val="baseline"/>
        </w:rPr>
        <w:t>We</w:t>
      </w:r>
      <w:r>
        <w:rPr>
          <w:spacing w:val="-3"/>
          <w:sz w:val="18"/>
          <w:vertAlign w:val="baseline"/>
        </w:rPr>
        <w:t> </w:t>
      </w:r>
      <w:r>
        <w:rPr>
          <w:sz w:val="18"/>
          <w:vertAlign w:val="baseline"/>
        </w:rPr>
        <w:t>Say,</w:t>
      </w:r>
      <w:r>
        <w:rPr>
          <w:spacing w:val="-3"/>
          <w:sz w:val="18"/>
          <w:vertAlign w:val="baseline"/>
        </w:rPr>
        <w:t> </w:t>
      </w:r>
      <w:r>
        <w:rPr>
          <w:sz w:val="18"/>
          <w:vertAlign w:val="baseline"/>
        </w:rPr>
        <w:t>‘Criminal</w:t>
      </w:r>
      <w:r>
        <w:rPr>
          <w:spacing w:val="-3"/>
          <w:sz w:val="18"/>
          <w:vertAlign w:val="baseline"/>
        </w:rPr>
        <w:t> </w:t>
      </w:r>
      <w:r>
        <w:rPr>
          <w:sz w:val="18"/>
          <w:vertAlign w:val="baseline"/>
        </w:rPr>
        <w:t>Legal</w:t>
      </w:r>
      <w:r>
        <w:rPr>
          <w:spacing w:val="-3"/>
          <w:sz w:val="18"/>
          <w:vertAlign w:val="baseline"/>
        </w:rPr>
        <w:t> </w:t>
      </w:r>
      <w:r>
        <w:rPr>
          <w:sz w:val="18"/>
          <w:vertAlign w:val="baseline"/>
        </w:rPr>
        <w:t>System,</w:t>
      </w:r>
      <w:r>
        <w:rPr>
          <w:spacing w:val="-3"/>
          <w:sz w:val="18"/>
          <w:vertAlign w:val="baseline"/>
        </w:rPr>
        <w:t> </w:t>
      </w:r>
      <w:r>
        <w:rPr>
          <w:sz w:val="18"/>
          <w:vertAlign w:val="baseline"/>
        </w:rPr>
        <w:t>Not</w:t>
      </w:r>
      <w:r>
        <w:rPr>
          <w:spacing w:val="-3"/>
          <w:sz w:val="18"/>
          <w:vertAlign w:val="baseline"/>
        </w:rPr>
        <w:t> </w:t>
      </w:r>
      <w:r>
        <w:rPr>
          <w:sz w:val="18"/>
          <w:vertAlign w:val="baseline"/>
        </w:rPr>
        <w:t>‘Criminal</w:t>
      </w:r>
      <w:r>
        <w:rPr>
          <w:spacing w:val="-4"/>
          <w:sz w:val="18"/>
          <w:vertAlign w:val="baseline"/>
        </w:rPr>
        <w:t> </w:t>
      </w:r>
      <w:r>
        <w:rPr>
          <w:sz w:val="18"/>
          <w:vertAlign w:val="baseline"/>
        </w:rPr>
        <w:t>Justice</w:t>
      </w:r>
      <w:r>
        <w:rPr>
          <w:spacing w:val="-3"/>
          <w:sz w:val="18"/>
          <w:vertAlign w:val="baseline"/>
        </w:rPr>
        <w:t> </w:t>
      </w:r>
      <w:r>
        <w:rPr>
          <w:sz w:val="18"/>
          <w:vertAlign w:val="baseline"/>
        </w:rPr>
        <w:t>System.” </w:t>
      </w:r>
      <w:hyperlink r:id="rId476">
        <w:r>
          <w:rPr>
            <w:spacing w:val="-2"/>
            <w:sz w:val="18"/>
            <w:u w:val="single"/>
            <w:vertAlign w:val="baseline"/>
          </w:rPr>
          <w:t>https://www.vera.org/news/why-we-say-criminal-legal-system-not-criminal-justice-system</w:t>
        </w:r>
        <w:r>
          <w:rPr>
            <w:spacing w:val="-2"/>
            <w:sz w:val="18"/>
            <w:u w:val="none"/>
            <w:vertAlign w:val="baseline"/>
          </w:rPr>
          <w:t>.</w:t>
        </w:r>
      </w:hyperlink>
    </w:p>
    <w:p>
      <w:pPr>
        <w:spacing w:before="0"/>
        <w:ind w:left="320" w:right="481" w:firstLine="0"/>
        <w:jc w:val="left"/>
        <w:rPr>
          <w:sz w:val="18"/>
        </w:rPr>
      </w:pPr>
      <w:r>
        <w:rPr>
          <w:sz w:val="18"/>
          <w:vertAlign w:val="superscript"/>
        </w:rPr>
        <w:t>2</w:t>
      </w:r>
      <w:r>
        <w:rPr>
          <w:spacing w:val="-2"/>
          <w:sz w:val="18"/>
          <w:vertAlign w:val="baseline"/>
        </w:rPr>
        <w:t> </w:t>
      </w:r>
      <w:r>
        <w:rPr>
          <w:sz w:val="18"/>
          <w:vertAlign w:val="baseline"/>
        </w:rPr>
        <w:t>Vera</w:t>
      </w:r>
      <w:r>
        <w:rPr>
          <w:spacing w:val="-2"/>
          <w:sz w:val="18"/>
          <w:vertAlign w:val="baseline"/>
        </w:rPr>
        <w:t> </w:t>
      </w:r>
      <w:r>
        <w:rPr>
          <w:sz w:val="18"/>
          <w:vertAlign w:val="baseline"/>
        </w:rPr>
        <w:t>Institute</w:t>
      </w:r>
      <w:r>
        <w:rPr>
          <w:spacing w:val="-2"/>
          <w:sz w:val="18"/>
          <w:vertAlign w:val="baseline"/>
        </w:rPr>
        <w:t> </w:t>
      </w:r>
      <w:r>
        <w:rPr>
          <w:sz w:val="18"/>
          <w:vertAlign w:val="baseline"/>
        </w:rPr>
        <w:t>of</w:t>
      </w:r>
      <w:r>
        <w:rPr>
          <w:spacing w:val="-2"/>
          <w:sz w:val="18"/>
          <w:vertAlign w:val="baseline"/>
        </w:rPr>
        <w:t> </w:t>
      </w:r>
      <w:r>
        <w:rPr>
          <w:sz w:val="18"/>
          <w:vertAlign w:val="baseline"/>
        </w:rPr>
        <w:t>Justice.</w:t>
      </w:r>
      <w:r>
        <w:rPr>
          <w:spacing w:val="-2"/>
          <w:sz w:val="18"/>
          <w:vertAlign w:val="baseline"/>
        </w:rPr>
        <w:t> </w:t>
      </w:r>
      <w:r>
        <w:rPr>
          <w:sz w:val="18"/>
          <w:vertAlign w:val="baseline"/>
        </w:rPr>
        <w:t>2018.</w:t>
      </w:r>
      <w:r>
        <w:rPr>
          <w:spacing w:val="-2"/>
          <w:sz w:val="18"/>
          <w:vertAlign w:val="baseline"/>
        </w:rPr>
        <w:t> </w:t>
      </w:r>
      <w:r>
        <w:rPr>
          <w:sz w:val="18"/>
          <w:vertAlign w:val="baseline"/>
        </w:rPr>
        <w:t>"An</w:t>
      </w:r>
      <w:r>
        <w:rPr>
          <w:spacing w:val="-2"/>
          <w:sz w:val="18"/>
          <w:vertAlign w:val="baseline"/>
        </w:rPr>
        <w:t> </w:t>
      </w:r>
      <w:r>
        <w:rPr>
          <w:sz w:val="18"/>
          <w:vertAlign w:val="baseline"/>
        </w:rPr>
        <w:t>Unjust</w:t>
      </w:r>
      <w:r>
        <w:rPr>
          <w:spacing w:val="-3"/>
          <w:sz w:val="18"/>
          <w:vertAlign w:val="baseline"/>
        </w:rPr>
        <w:t> </w:t>
      </w:r>
      <w:r>
        <w:rPr>
          <w:sz w:val="18"/>
          <w:vertAlign w:val="baseline"/>
        </w:rPr>
        <w:t>Burden:</w:t>
      </w:r>
      <w:r>
        <w:rPr>
          <w:spacing w:val="-2"/>
          <w:sz w:val="18"/>
          <w:vertAlign w:val="baseline"/>
        </w:rPr>
        <w:t> </w:t>
      </w:r>
      <w:r>
        <w:rPr>
          <w:sz w:val="18"/>
          <w:vertAlign w:val="baseline"/>
        </w:rPr>
        <w:t>The</w:t>
      </w:r>
      <w:r>
        <w:rPr>
          <w:spacing w:val="-2"/>
          <w:sz w:val="18"/>
          <w:vertAlign w:val="baseline"/>
        </w:rPr>
        <w:t> </w:t>
      </w:r>
      <w:r>
        <w:rPr>
          <w:sz w:val="18"/>
          <w:vertAlign w:val="baseline"/>
        </w:rPr>
        <w:t>Disparate</w:t>
      </w:r>
      <w:r>
        <w:rPr>
          <w:spacing w:val="-3"/>
          <w:sz w:val="18"/>
          <w:vertAlign w:val="baseline"/>
        </w:rPr>
        <w:t> </w:t>
      </w:r>
      <w:r>
        <w:rPr>
          <w:sz w:val="18"/>
          <w:vertAlign w:val="baseline"/>
        </w:rPr>
        <w:t>Treatment</w:t>
      </w:r>
      <w:r>
        <w:rPr>
          <w:spacing w:val="-3"/>
          <w:sz w:val="18"/>
          <w:vertAlign w:val="baseline"/>
        </w:rPr>
        <w:t> </w:t>
      </w:r>
      <w:r>
        <w:rPr>
          <w:sz w:val="18"/>
          <w:vertAlign w:val="baseline"/>
        </w:rPr>
        <w:t>of</w:t>
      </w:r>
      <w:r>
        <w:rPr>
          <w:spacing w:val="-2"/>
          <w:sz w:val="18"/>
          <w:vertAlign w:val="baseline"/>
        </w:rPr>
        <w:t> </w:t>
      </w:r>
      <w:r>
        <w:rPr>
          <w:sz w:val="18"/>
          <w:vertAlign w:val="baseline"/>
        </w:rPr>
        <w:t>Black</w:t>
      </w:r>
      <w:r>
        <w:rPr>
          <w:spacing w:val="-3"/>
          <w:sz w:val="18"/>
          <w:vertAlign w:val="baseline"/>
        </w:rPr>
        <w:t> </w:t>
      </w:r>
      <w:r>
        <w:rPr>
          <w:sz w:val="18"/>
          <w:vertAlign w:val="baseline"/>
        </w:rPr>
        <w:t>Americans</w:t>
      </w:r>
      <w:r>
        <w:rPr>
          <w:spacing w:val="-2"/>
          <w:sz w:val="18"/>
          <w:vertAlign w:val="baseline"/>
        </w:rPr>
        <w:t> </w:t>
      </w:r>
      <w:r>
        <w:rPr>
          <w:sz w:val="18"/>
          <w:vertAlign w:val="baseline"/>
        </w:rPr>
        <w:t>in</w:t>
      </w:r>
      <w:r>
        <w:rPr>
          <w:spacing w:val="-2"/>
          <w:sz w:val="18"/>
          <w:vertAlign w:val="baseline"/>
        </w:rPr>
        <w:t> </w:t>
      </w:r>
      <w:r>
        <w:rPr>
          <w:sz w:val="18"/>
          <w:vertAlign w:val="baseline"/>
        </w:rPr>
        <w:t>the</w:t>
      </w:r>
      <w:r>
        <w:rPr>
          <w:spacing w:val="-2"/>
          <w:sz w:val="18"/>
          <w:vertAlign w:val="baseline"/>
        </w:rPr>
        <w:t> </w:t>
      </w:r>
      <w:r>
        <w:rPr>
          <w:sz w:val="18"/>
          <w:vertAlign w:val="baseline"/>
        </w:rPr>
        <w:t>Criminal</w:t>
      </w:r>
      <w:r>
        <w:rPr>
          <w:spacing w:val="-3"/>
          <w:sz w:val="18"/>
          <w:vertAlign w:val="baseline"/>
        </w:rPr>
        <w:t> </w:t>
      </w:r>
      <w:r>
        <w:rPr>
          <w:sz w:val="18"/>
          <w:vertAlign w:val="baseline"/>
        </w:rPr>
        <w:t>Justice System."</w:t>
      </w:r>
      <w:r>
        <w:rPr>
          <w:spacing w:val="-2"/>
          <w:sz w:val="18"/>
          <w:vertAlign w:val="baseline"/>
        </w:rPr>
        <w:t> </w:t>
      </w:r>
      <w:hyperlink r:id="rId477">
        <w:r>
          <w:rPr>
            <w:sz w:val="18"/>
            <w:u w:val="single"/>
            <w:vertAlign w:val="baseline"/>
          </w:rPr>
          <w:t>https://www.vera.org/downloads/publications/for-the-record-unjust-burden-racial-disparities.pdf</w:t>
        </w:r>
        <w:r>
          <w:rPr>
            <w:sz w:val="18"/>
            <w:u w:val="none"/>
            <w:vertAlign w:val="baseline"/>
          </w:rPr>
          <w:t>.</w:t>
        </w:r>
      </w:hyperlink>
    </w:p>
    <w:p>
      <w:pPr>
        <w:spacing w:before="0"/>
        <w:ind w:left="320" w:right="481" w:firstLine="0"/>
        <w:jc w:val="left"/>
        <w:rPr>
          <w:sz w:val="18"/>
        </w:rPr>
      </w:pPr>
      <w:r>
        <w:rPr>
          <w:sz w:val="18"/>
          <w:vertAlign w:val="superscript"/>
        </w:rPr>
        <w:t>3</w:t>
      </w:r>
      <w:r>
        <w:rPr>
          <w:spacing w:val="-2"/>
          <w:sz w:val="18"/>
          <w:vertAlign w:val="baseline"/>
        </w:rPr>
        <w:t> </w:t>
      </w:r>
      <w:r>
        <w:rPr>
          <w:sz w:val="18"/>
          <w:vertAlign w:val="baseline"/>
        </w:rPr>
        <w:t>Foster,</w:t>
      </w:r>
      <w:r>
        <w:rPr>
          <w:spacing w:val="-3"/>
          <w:sz w:val="18"/>
          <w:vertAlign w:val="baseline"/>
        </w:rPr>
        <w:t> </w:t>
      </w:r>
      <w:r>
        <w:rPr>
          <w:sz w:val="18"/>
          <w:vertAlign w:val="baseline"/>
        </w:rPr>
        <w:t>Lisa.</w:t>
      </w:r>
      <w:r>
        <w:rPr>
          <w:spacing w:val="-2"/>
          <w:sz w:val="18"/>
          <w:vertAlign w:val="baseline"/>
        </w:rPr>
        <w:t> </w:t>
      </w:r>
      <w:r>
        <w:rPr>
          <w:sz w:val="18"/>
          <w:vertAlign w:val="baseline"/>
        </w:rPr>
        <w:t>2020.</w:t>
      </w:r>
      <w:r>
        <w:rPr>
          <w:spacing w:val="-2"/>
          <w:sz w:val="18"/>
          <w:vertAlign w:val="baseline"/>
        </w:rPr>
        <w:t> </w:t>
      </w:r>
      <w:r>
        <w:rPr>
          <w:sz w:val="18"/>
          <w:vertAlign w:val="baseline"/>
        </w:rPr>
        <w:t>"The</w:t>
      </w:r>
      <w:r>
        <w:rPr>
          <w:spacing w:val="-2"/>
          <w:sz w:val="18"/>
          <w:vertAlign w:val="baseline"/>
        </w:rPr>
        <w:t> </w:t>
      </w:r>
      <w:r>
        <w:rPr>
          <w:sz w:val="18"/>
          <w:vertAlign w:val="baseline"/>
        </w:rPr>
        <w:t>Price</w:t>
      </w:r>
      <w:r>
        <w:rPr>
          <w:spacing w:val="-2"/>
          <w:sz w:val="18"/>
          <w:vertAlign w:val="baseline"/>
        </w:rPr>
        <w:t> </w:t>
      </w:r>
      <w:r>
        <w:rPr>
          <w:sz w:val="18"/>
          <w:vertAlign w:val="baseline"/>
        </w:rPr>
        <w:t>of</w:t>
      </w:r>
      <w:r>
        <w:rPr>
          <w:spacing w:val="-2"/>
          <w:sz w:val="18"/>
          <w:vertAlign w:val="baseline"/>
        </w:rPr>
        <w:t> </w:t>
      </w:r>
      <w:r>
        <w:rPr>
          <w:sz w:val="18"/>
          <w:vertAlign w:val="baseline"/>
        </w:rPr>
        <w:t>Justice:</w:t>
      </w:r>
      <w:r>
        <w:rPr>
          <w:spacing w:val="-2"/>
          <w:sz w:val="18"/>
          <w:vertAlign w:val="baseline"/>
        </w:rPr>
        <w:t> </w:t>
      </w:r>
      <w:r>
        <w:rPr>
          <w:sz w:val="18"/>
          <w:vertAlign w:val="baseline"/>
        </w:rPr>
        <w:t>Fines,</w:t>
      </w:r>
      <w:r>
        <w:rPr>
          <w:spacing w:val="-3"/>
          <w:sz w:val="18"/>
          <w:vertAlign w:val="baseline"/>
        </w:rPr>
        <w:t> </w:t>
      </w:r>
      <w:r>
        <w:rPr>
          <w:sz w:val="18"/>
          <w:vertAlign w:val="baseline"/>
        </w:rPr>
        <w:t>Fees</w:t>
      </w:r>
      <w:r>
        <w:rPr>
          <w:spacing w:val="-2"/>
          <w:sz w:val="18"/>
          <w:vertAlign w:val="baseline"/>
        </w:rPr>
        <w:t> </w:t>
      </w:r>
      <w:r>
        <w:rPr>
          <w:sz w:val="18"/>
          <w:vertAlign w:val="baseline"/>
        </w:rPr>
        <w:t>and</w:t>
      </w:r>
      <w:r>
        <w:rPr>
          <w:spacing w:val="-2"/>
          <w:sz w:val="18"/>
          <w:vertAlign w:val="baseline"/>
        </w:rPr>
        <w:t> </w:t>
      </w:r>
      <w:r>
        <w:rPr>
          <w:sz w:val="18"/>
          <w:vertAlign w:val="baseline"/>
        </w:rPr>
        <w:t>the</w:t>
      </w:r>
      <w:r>
        <w:rPr>
          <w:spacing w:val="-2"/>
          <w:sz w:val="18"/>
          <w:vertAlign w:val="baseline"/>
        </w:rPr>
        <w:t> </w:t>
      </w:r>
      <w:r>
        <w:rPr>
          <w:sz w:val="18"/>
          <w:vertAlign w:val="baseline"/>
        </w:rPr>
        <w:t>Criminalization</w:t>
      </w:r>
      <w:r>
        <w:rPr>
          <w:spacing w:val="-2"/>
          <w:sz w:val="18"/>
          <w:vertAlign w:val="baseline"/>
        </w:rPr>
        <w:t> </w:t>
      </w:r>
      <w:r>
        <w:rPr>
          <w:sz w:val="18"/>
          <w:vertAlign w:val="baseline"/>
        </w:rPr>
        <w:t>of</w:t>
      </w:r>
      <w:r>
        <w:rPr>
          <w:spacing w:val="-2"/>
          <w:sz w:val="18"/>
          <w:vertAlign w:val="baseline"/>
        </w:rPr>
        <w:t> </w:t>
      </w:r>
      <w:r>
        <w:rPr>
          <w:sz w:val="18"/>
          <w:vertAlign w:val="baseline"/>
        </w:rPr>
        <w:t>Poverty</w:t>
      </w:r>
      <w:r>
        <w:rPr>
          <w:spacing w:val="-2"/>
          <w:sz w:val="18"/>
          <w:vertAlign w:val="baseline"/>
        </w:rPr>
        <w:t> </w:t>
      </w:r>
      <w:r>
        <w:rPr>
          <w:sz w:val="18"/>
          <w:vertAlign w:val="baseline"/>
        </w:rPr>
        <w:t>in</w:t>
      </w:r>
      <w:r>
        <w:rPr>
          <w:spacing w:val="-2"/>
          <w:sz w:val="18"/>
          <w:vertAlign w:val="baseline"/>
        </w:rPr>
        <w:t> </w:t>
      </w:r>
      <w:r>
        <w:rPr>
          <w:sz w:val="18"/>
          <w:vertAlign w:val="baseline"/>
        </w:rPr>
        <w:t>the</w:t>
      </w:r>
      <w:r>
        <w:rPr>
          <w:spacing w:val="-2"/>
          <w:sz w:val="18"/>
          <w:vertAlign w:val="baseline"/>
        </w:rPr>
        <w:t> </w:t>
      </w:r>
      <w:r>
        <w:rPr>
          <w:sz w:val="18"/>
          <w:vertAlign w:val="baseline"/>
        </w:rPr>
        <w:t>United</w:t>
      </w:r>
      <w:r>
        <w:rPr>
          <w:spacing w:val="-2"/>
          <w:sz w:val="18"/>
          <w:vertAlign w:val="baseline"/>
        </w:rPr>
        <w:t> </w:t>
      </w:r>
      <w:r>
        <w:rPr>
          <w:sz w:val="18"/>
          <w:vertAlign w:val="baseline"/>
        </w:rPr>
        <w:t>States."</w:t>
      </w:r>
      <w:r>
        <w:rPr>
          <w:spacing w:val="-2"/>
          <w:sz w:val="18"/>
          <w:vertAlign w:val="baseline"/>
        </w:rPr>
        <w:t> </w:t>
      </w:r>
      <w:r>
        <w:rPr>
          <w:sz w:val="18"/>
          <w:vertAlign w:val="baseline"/>
        </w:rPr>
        <w:t>University</w:t>
      </w:r>
      <w:r>
        <w:rPr>
          <w:spacing w:val="-2"/>
          <w:sz w:val="18"/>
          <w:vertAlign w:val="baseline"/>
        </w:rPr>
        <w:t> </w:t>
      </w:r>
      <w:r>
        <w:rPr>
          <w:sz w:val="18"/>
          <w:vertAlign w:val="baseline"/>
        </w:rPr>
        <w:t>of Miami Race and Social Justice Law Review. https://repository.law.miami.edu/cgi/viewcontent.cgi?article=1121&amp;context=umrsjlr</w:t>
      </w:r>
      <w:r>
        <w:rPr>
          <w:spacing w:val="-2"/>
          <w:sz w:val="18"/>
          <w:vertAlign w:val="baseline"/>
        </w:rPr>
        <w:t> </w:t>
      </w:r>
      <w:r>
        <w:rPr>
          <w:sz w:val="18"/>
          <w:vertAlign w:val="baseline"/>
        </w:rPr>
        <w:t>.</w:t>
      </w:r>
    </w:p>
    <w:p>
      <w:pPr>
        <w:spacing w:before="0"/>
        <w:ind w:left="320" w:right="0" w:firstLine="0"/>
        <w:jc w:val="left"/>
        <w:rPr>
          <w:sz w:val="18"/>
        </w:rPr>
      </w:pPr>
      <w:r>
        <w:rPr>
          <w:sz w:val="18"/>
          <w:vertAlign w:val="superscript"/>
        </w:rPr>
        <w:t>4</w:t>
      </w:r>
      <w:r>
        <w:rPr>
          <w:spacing w:val="-2"/>
          <w:sz w:val="18"/>
          <w:vertAlign w:val="baseline"/>
        </w:rPr>
        <w:t> </w:t>
      </w:r>
      <w:r>
        <w:rPr>
          <w:sz w:val="18"/>
          <w:vertAlign w:val="baseline"/>
        </w:rPr>
        <w:t>Vallas,</w:t>
      </w:r>
      <w:r>
        <w:rPr>
          <w:spacing w:val="-3"/>
          <w:sz w:val="18"/>
          <w:vertAlign w:val="baseline"/>
        </w:rPr>
        <w:t> </w:t>
      </w:r>
      <w:r>
        <w:rPr>
          <w:sz w:val="18"/>
          <w:vertAlign w:val="baseline"/>
        </w:rPr>
        <w:t>Rebecca,</w:t>
      </w:r>
      <w:r>
        <w:rPr>
          <w:spacing w:val="-2"/>
          <w:sz w:val="18"/>
          <w:vertAlign w:val="baseline"/>
        </w:rPr>
        <w:t> </w:t>
      </w:r>
      <w:r>
        <w:rPr>
          <w:sz w:val="18"/>
          <w:vertAlign w:val="baseline"/>
        </w:rPr>
        <w:t>and</w:t>
      </w:r>
      <w:r>
        <w:rPr>
          <w:spacing w:val="-2"/>
          <w:sz w:val="18"/>
          <w:vertAlign w:val="baseline"/>
        </w:rPr>
        <w:t> </w:t>
      </w:r>
      <w:r>
        <w:rPr>
          <w:sz w:val="18"/>
          <w:vertAlign w:val="baseline"/>
        </w:rPr>
        <w:t>Sharon</w:t>
      </w:r>
      <w:r>
        <w:rPr>
          <w:spacing w:val="-2"/>
          <w:sz w:val="18"/>
          <w:vertAlign w:val="baseline"/>
        </w:rPr>
        <w:t> </w:t>
      </w:r>
      <w:r>
        <w:rPr>
          <w:sz w:val="18"/>
          <w:vertAlign w:val="baseline"/>
        </w:rPr>
        <w:t>Dietrich.</w:t>
      </w:r>
      <w:r>
        <w:rPr>
          <w:spacing w:val="-2"/>
          <w:sz w:val="18"/>
          <w:vertAlign w:val="baseline"/>
        </w:rPr>
        <w:t> </w:t>
      </w:r>
      <w:r>
        <w:rPr>
          <w:sz w:val="18"/>
          <w:vertAlign w:val="baseline"/>
        </w:rPr>
        <w:t>"One</w:t>
      </w:r>
      <w:r>
        <w:rPr>
          <w:spacing w:val="-2"/>
          <w:sz w:val="18"/>
          <w:vertAlign w:val="baseline"/>
        </w:rPr>
        <w:t> </w:t>
      </w:r>
      <w:r>
        <w:rPr>
          <w:sz w:val="18"/>
          <w:vertAlign w:val="baseline"/>
        </w:rPr>
        <w:t>Strike</w:t>
      </w:r>
      <w:r>
        <w:rPr>
          <w:spacing w:val="-2"/>
          <w:sz w:val="18"/>
          <w:vertAlign w:val="baseline"/>
        </w:rPr>
        <w:t> </w:t>
      </w:r>
      <w:r>
        <w:rPr>
          <w:sz w:val="18"/>
          <w:vertAlign w:val="baseline"/>
        </w:rPr>
        <w:t>and</w:t>
      </w:r>
      <w:r>
        <w:rPr>
          <w:spacing w:val="-2"/>
          <w:sz w:val="18"/>
          <w:vertAlign w:val="baseline"/>
        </w:rPr>
        <w:t> </w:t>
      </w:r>
      <w:r>
        <w:rPr>
          <w:sz w:val="18"/>
          <w:vertAlign w:val="baseline"/>
        </w:rPr>
        <w:t>You’re</w:t>
      </w:r>
      <w:r>
        <w:rPr>
          <w:spacing w:val="-2"/>
          <w:sz w:val="18"/>
          <w:vertAlign w:val="baseline"/>
        </w:rPr>
        <w:t> </w:t>
      </w:r>
      <w:r>
        <w:rPr>
          <w:sz w:val="18"/>
          <w:vertAlign w:val="baseline"/>
        </w:rPr>
        <w:t>Out:</w:t>
      </w:r>
      <w:r>
        <w:rPr>
          <w:spacing w:val="-2"/>
          <w:sz w:val="18"/>
          <w:vertAlign w:val="baseline"/>
        </w:rPr>
        <w:t> </w:t>
      </w:r>
      <w:r>
        <w:rPr>
          <w:sz w:val="18"/>
          <w:vertAlign w:val="baseline"/>
        </w:rPr>
        <w:t>How</w:t>
      </w:r>
      <w:r>
        <w:rPr>
          <w:spacing w:val="-3"/>
          <w:sz w:val="18"/>
          <w:vertAlign w:val="baseline"/>
        </w:rPr>
        <w:t> </w:t>
      </w:r>
      <w:r>
        <w:rPr>
          <w:sz w:val="18"/>
          <w:vertAlign w:val="baseline"/>
        </w:rPr>
        <w:t>We</w:t>
      </w:r>
      <w:r>
        <w:rPr>
          <w:spacing w:val="-2"/>
          <w:sz w:val="18"/>
          <w:vertAlign w:val="baseline"/>
        </w:rPr>
        <w:t> </w:t>
      </w:r>
      <w:r>
        <w:rPr>
          <w:sz w:val="18"/>
          <w:vertAlign w:val="baseline"/>
        </w:rPr>
        <w:t>Can</w:t>
      </w:r>
      <w:r>
        <w:rPr>
          <w:spacing w:val="-2"/>
          <w:sz w:val="18"/>
          <w:vertAlign w:val="baseline"/>
        </w:rPr>
        <w:t> </w:t>
      </w:r>
      <w:r>
        <w:rPr>
          <w:sz w:val="18"/>
          <w:vertAlign w:val="baseline"/>
        </w:rPr>
        <w:t>Eliminate</w:t>
      </w:r>
      <w:r>
        <w:rPr>
          <w:spacing w:val="-2"/>
          <w:sz w:val="18"/>
          <w:vertAlign w:val="baseline"/>
        </w:rPr>
        <w:t> </w:t>
      </w:r>
      <w:r>
        <w:rPr>
          <w:sz w:val="18"/>
          <w:vertAlign w:val="baseline"/>
        </w:rPr>
        <w:t>Barriers</w:t>
      </w:r>
      <w:r>
        <w:rPr>
          <w:spacing w:val="-2"/>
          <w:sz w:val="18"/>
          <w:vertAlign w:val="baseline"/>
        </w:rPr>
        <w:t> </w:t>
      </w:r>
      <w:r>
        <w:rPr>
          <w:sz w:val="18"/>
          <w:vertAlign w:val="baseline"/>
        </w:rPr>
        <w:t>to</w:t>
      </w:r>
      <w:r>
        <w:rPr>
          <w:spacing w:val="-2"/>
          <w:sz w:val="18"/>
          <w:vertAlign w:val="baseline"/>
        </w:rPr>
        <w:t> </w:t>
      </w:r>
      <w:r>
        <w:rPr>
          <w:sz w:val="18"/>
          <w:vertAlign w:val="baseline"/>
        </w:rPr>
        <w:t>Economic</w:t>
      </w:r>
      <w:r>
        <w:rPr>
          <w:spacing w:val="-3"/>
          <w:sz w:val="18"/>
          <w:vertAlign w:val="baseline"/>
        </w:rPr>
        <w:t> </w:t>
      </w:r>
      <w:r>
        <w:rPr>
          <w:sz w:val="18"/>
          <w:vertAlign w:val="baseline"/>
        </w:rPr>
        <w:t>Security</w:t>
      </w:r>
      <w:r>
        <w:rPr>
          <w:spacing w:val="-2"/>
          <w:sz w:val="18"/>
          <w:vertAlign w:val="baseline"/>
        </w:rPr>
        <w:t> </w:t>
      </w:r>
      <w:r>
        <w:rPr>
          <w:sz w:val="18"/>
          <w:vertAlign w:val="baseline"/>
        </w:rPr>
        <w:t>and Mobility for People with Juvenile Records." Center for American Progress, 2014.</w:t>
      </w:r>
    </w:p>
    <w:p>
      <w:pPr>
        <w:spacing w:before="0"/>
        <w:ind w:left="320" w:right="481" w:firstLine="0"/>
        <w:jc w:val="left"/>
        <w:rPr>
          <w:sz w:val="18"/>
        </w:rPr>
      </w:pPr>
      <w:r>
        <w:rPr>
          <w:sz w:val="18"/>
          <w:vertAlign w:val="superscript"/>
        </w:rPr>
        <w:t>5</w:t>
      </w:r>
      <w:r>
        <w:rPr>
          <w:spacing w:val="-4"/>
          <w:sz w:val="18"/>
          <w:vertAlign w:val="baseline"/>
        </w:rPr>
        <w:t> </w:t>
      </w:r>
      <w:r>
        <w:rPr>
          <w:sz w:val="18"/>
          <w:vertAlign w:val="baseline"/>
        </w:rPr>
        <w:t>Lambda</w:t>
      </w:r>
      <w:r>
        <w:rPr>
          <w:spacing w:val="-4"/>
          <w:sz w:val="18"/>
          <w:vertAlign w:val="baseline"/>
        </w:rPr>
        <w:t> </w:t>
      </w:r>
      <w:r>
        <w:rPr>
          <w:sz w:val="18"/>
          <w:vertAlign w:val="baseline"/>
        </w:rPr>
        <w:t>Legal.</w:t>
      </w:r>
      <w:r>
        <w:rPr>
          <w:spacing w:val="-4"/>
          <w:sz w:val="18"/>
          <w:vertAlign w:val="baseline"/>
        </w:rPr>
        <w:t> </w:t>
      </w:r>
      <w:r>
        <w:rPr>
          <w:sz w:val="18"/>
          <w:vertAlign w:val="baseline"/>
        </w:rPr>
        <w:t>2016.</w:t>
      </w:r>
      <w:r>
        <w:rPr>
          <w:spacing w:val="-4"/>
          <w:sz w:val="18"/>
          <w:vertAlign w:val="baseline"/>
        </w:rPr>
        <w:t> </w:t>
      </w:r>
      <w:r>
        <w:rPr>
          <w:sz w:val="18"/>
          <w:vertAlign w:val="baseline"/>
        </w:rPr>
        <w:t>“Protected</w:t>
      </w:r>
      <w:r>
        <w:rPr>
          <w:spacing w:val="-5"/>
          <w:sz w:val="18"/>
          <w:vertAlign w:val="baseline"/>
        </w:rPr>
        <w:t> </w:t>
      </w:r>
      <w:r>
        <w:rPr>
          <w:sz w:val="18"/>
          <w:vertAlign w:val="baseline"/>
        </w:rPr>
        <w:t>and</w:t>
      </w:r>
      <w:r>
        <w:rPr>
          <w:spacing w:val="-4"/>
          <w:sz w:val="18"/>
          <w:vertAlign w:val="baseline"/>
        </w:rPr>
        <w:t> </w:t>
      </w:r>
      <w:r>
        <w:rPr>
          <w:sz w:val="18"/>
          <w:vertAlign w:val="baseline"/>
        </w:rPr>
        <w:t>Served?</w:t>
      </w:r>
      <w:r>
        <w:rPr>
          <w:spacing w:val="-4"/>
          <w:sz w:val="18"/>
          <w:vertAlign w:val="baseline"/>
        </w:rPr>
        <w:t> </w:t>
      </w:r>
      <w:r>
        <w:rPr>
          <w:sz w:val="18"/>
          <w:vertAlign w:val="baseline"/>
        </w:rPr>
        <w:t>School</w:t>
      </w:r>
      <w:r>
        <w:rPr>
          <w:spacing w:val="-5"/>
          <w:sz w:val="18"/>
          <w:vertAlign w:val="baseline"/>
        </w:rPr>
        <w:t> </w:t>
      </w:r>
      <w:r>
        <w:rPr>
          <w:sz w:val="18"/>
          <w:vertAlign w:val="baseline"/>
        </w:rPr>
        <w:t>Security,</w:t>
      </w:r>
      <w:r>
        <w:rPr>
          <w:spacing w:val="-5"/>
          <w:sz w:val="18"/>
          <w:vertAlign w:val="baseline"/>
        </w:rPr>
        <w:t> </w:t>
      </w:r>
      <w:r>
        <w:rPr>
          <w:sz w:val="18"/>
          <w:vertAlign w:val="baseline"/>
        </w:rPr>
        <w:t>Policing</w:t>
      </w:r>
      <w:r>
        <w:rPr>
          <w:spacing w:val="-4"/>
          <w:sz w:val="18"/>
          <w:vertAlign w:val="baseline"/>
        </w:rPr>
        <w:t> </w:t>
      </w:r>
      <w:r>
        <w:rPr>
          <w:sz w:val="18"/>
          <w:vertAlign w:val="baseline"/>
        </w:rPr>
        <w:t>and</w:t>
      </w:r>
      <w:r>
        <w:rPr>
          <w:spacing w:val="-4"/>
          <w:sz w:val="18"/>
          <w:vertAlign w:val="baseline"/>
        </w:rPr>
        <w:t> </w:t>
      </w:r>
      <w:r>
        <w:rPr>
          <w:sz w:val="18"/>
          <w:vertAlign w:val="baseline"/>
        </w:rPr>
        <w:t>Discipline,” </w:t>
      </w:r>
      <w:r>
        <w:rPr>
          <w:spacing w:val="-2"/>
          <w:sz w:val="18"/>
          <w:vertAlign w:val="baseline"/>
        </w:rPr>
        <w:t>https:</w:t>
      </w:r>
      <w:hyperlink r:id="rId478">
        <w:r>
          <w:rPr>
            <w:spacing w:val="-2"/>
            <w:sz w:val="18"/>
            <w:vertAlign w:val="baseline"/>
          </w:rPr>
          <w:t>//www.lambdalegal.org/node/30521.</w:t>
        </w:r>
      </w:hyperlink>
    </w:p>
    <w:p>
      <w:pPr>
        <w:spacing w:before="0"/>
        <w:ind w:left="320" w:right="0" w:firstLine="0"/>
        <w:jc w:val="left"/>
        <w:rPr>
          <w:sz w:val="18"/>
        </w:rPr>
      </w:pPr>
      <w:r>
        <w:rPr>
          <w:sz w:val="18"/>
          <w:vertAlign w:val="superscript"/>
        </w:rPr>
        <w:t>6</w:t>
      </w:r>
      <w:r>
        <w:rPr>
          <w:spacing w:val="-2"/>
          <w:sz w:val="18"/>
          <w:vertAlign w:val="baseline"/>
        </w:rPr>
        <w:t> </w:t>
      </w:r>
      <w:r>
        <w:rPr>
          <w:sz w:val="18"/>
          <w:vertAlign w:val="baseline"/>
        </w:rPr>
        <w:t>Center</w:t>
      </w:r>
      <w:r>
        <w:rPr>
          <w:spacing w:val="-3"/>
          <w:sz w:val="18"/>
          <w:vertAlign w:val="baseline"/>
        </w:rPr>
        <w:t> </w:t>
      </w:r>
      <w:r>
        <w:rPr>
          <w:sz w:val="18"/>
          <w:vertAlign w:val="baseline"/>
        </w:rPr>
        <w:t>for</w:t>
      </w:r>
      <w:r>
        <w:rPr>
          <w:spacing w:val="-3"/>
          <w:sz w:val="18"/>
          <w:vertAlign w:val="baseline"/>
        </w:rPr>
        <w:t> </w:t>
      </w:r>
      <w:r>
        <w:rPr>
          <w:sz w:val="18"/>
          <w:vertAlign w:val="baseline"/>
        </w:rPr>
        <w:t>American</w:t>
      </w:r>
      <w:r>
        <w:rPr>
          <w:spacing w:val="-2"/>
          <w:sz w:val="18"/>
          <w:vertAlign w:val="baseline"/>
        </w:rPr>
        <w:t> </w:t>
      </w:r>
      <w:r>
        <w:rPr>
          <w:sz w:val="18"/>
          <w:vertAlign w:val="baseline"/>
        </w:rPr>
        <w:t>Progress,</w:t>
      </w:r>
      <w:r>
        <w:rPr>
          <w:spacing w:val="-3"/>
          <w:sz w:val="18"/>
          <w:vertAlign w:val="baseline"/>
        </w:rPr>
        <w:t> </w:t>
      </w:r>
      <w:r>
        <w:rPr>
          <w:sz w:val="18"/>
          <w:vertAlign w:val="baseline"/>
        </w:rPr>
        <w:t>MAP,</w:t>
      </w:r>
      <w:r>
        <w:rPr>
          <w:spacing w:val="-3"/>
          <w:sz w:val="18"/>
          <w:vertAlign w:val="baseline"/>
        </w:rPr>
        <w:t> </w:t>
      </w:r>
      <w:r>
        <w:rPr>
          <w:sz w:val="18"/>
          <w:vertAlign w:val="baseline"/>
        </w:rPr>
        <w:t>and</w:t>
      </w:r>
      <w:r>
        <w:rPr>
          <w:spacing w:val="-2"/>
          <w:sz w:val="18"/>
          <w:vertAlign w:val="baseline"/>
        </w:rPr>
        <w:t> </w:t>
      </w:r>
      <w:r>
        <w:rPr>
          <w:sz w:val="18"/>
          <w:vertAlign w:val="baseline"/>
        </w:rPr>
        <w:t>Youth</w:t>
      </w:r>
      <w:r>
        <w:rPr>
          <w:spacing w:val="-2"/>
          <w:sz w:val="18"/>
          <w:vertAlign w:val="baseline"/>
        </w:rPr>
        <w:t> </w:t>
      </w:r>
      <w:r>
        <w:rPr>
          <w:sz w:val="18"/>
          <w:vertAlign w:val="baseline"/>
        </w:rPr>
        <w:t>First.</w:t>
      </w:r>
      <w:r>
        <w:rPr>
          <w:spacing w:val="-2"/>
          <w:sz w:val="18"/>
          <w:vertAlign w:val="baseline"/>
        </w:rPr>
        <w:t> </w:t>
      </w:r>
      <w:r>
        <w:rPr>
          <w:sz w:val="18"/>
          <w:vertAlign w:val="baseline"/>
        </w:rPr>
        <w:t>2017.</w:t>
      </w:r>
      <w:r>
        <w:rPr>
          <w:spacing w:val="-2"/>
          <w:sz w:val="18"/>
          <w:vertAlign w:val="baseline"/>
        </w:rPr>
        <w:t> </w:t>
      </w:r>
      <w:r>
        <w:rPr>
          <w:sz w:val="18"/>
          <w:vertAlign w:val="baseline"/>
        </w:rPr>
        <w:t>"Unjust:</w:t>
      </w:r>
      <w:r>
        <w:rPr>
          <w:spacing w:val="-2"/>
          <w:sz w:val="18"/>
          <w:vertAlign w:val="baseline"/>
        </w:rPr>
        <w:t> </w:t>
      </w:r>
      <w:r>
        <w:rPr>
          <w:sz w:val="18"/>
          <w:vertAlign w:val="baseline"/>
        </w:rPr>
        <w:t>LGBTQ</w:t>
      </w:r>
      <w:r>
        <w:rPr>
          <w:spacing w:val="-2"/>
          <w:sz w:val="18"/>
          <w:vertAlign w:val="baseline"/>
        </w:rPr>
        <w:t> </w:t>
      </w:r>
      <w:r>
        <w:rPr>
          <w:sz w:val="18"/>
          <w:vertAlign w:val="baseline"/>
        </w:rPr>
        <w:t>Youth</w:t>
      </w:r>
      <w:r>
        <w:rPr>
          <w:spacing w:val="-2"/>
          <w:sz w:val="18"/>
          <w:vertAlign w:val="baseline"/>
        </w:rPr>
        <w:t> </w:t>
      </w:r>
      <w:r>
        <w:rPr>
          <w:sz w:val="18"/>
          <w:vertAlign w:val="baseline"/>
        </w:rPr>
        <w:t>Incarcerated</w:t>
      </w:r>
      <w:r>
        <w:rPr>
          <w:spacing w:val="-2"/>
          <w:sz w:val="18"/>
          <w:vertAlign w:val="baseline"/>
        </w:rPr>
        <w:t> </w:t>
      </w:r>
      <w:r>
        <w:rPr>
          <w:sz w:val="18"/>
          <w:vertAlign w:val="baseline"/>
        </w:rPr>
        <w:t>in</w:t>
      </w:r>
      <w:r>
        <w:rPr>
          <w:spacing w:val="-2"/>
          <w:sz w:val="18"/>
          <w:vertAlign w:val="baseline"/>
        </w:rPr>
        <w:t> </w:t>
      </w:r>
      <w:r>
        <w:rPr>
          <w:sz w:val="18"/>
          <w:vertAlign w:val="baseline"/>
        </w:rPr>
        <w:t>the</w:t>
      </w:r>
      <w:r>
        <w:rPr>
          <w:spacing w:val="-2"/>
          <w:sz w:val="18"/>
          <w:vertAlign w:val="baseline"/>
        </w:rPr>
        <w:t> </w:t>
      </w:r>
      <w:r>
        <w:rPr>
          <w:sz w:val="18"/>
          <w:vertAlign w:val="baseline"/>
        </w:rPr>
        <w:t>Juvenile</w:t>
      </w:r>
      <w:r>
        <w:rPr>
          <w:spacing w:val="-2"/>
          <w:sz w:val="18"/>
          <w:vertAlign w:val="baseline"/>
        </w:rPr>
        <w:t> </w:t>
      </w:r>
      <w:r>
        <w:rPr>
          <w:sz w:val="18"/>
          <w:vertAlign w:val="baseline"/>
        </w:rPr>
        <w:t>Justice</w:t>
      </w:r>
      <w:r>
        <w:rPr>
          <w:spacing w:val="-2"/>
          <w:sz w:val="18"/>
          <w:vertAlign w:val="baseline"/>
        </w:rPr>
        <w:t> </w:t>
      </w:r>
      <w:r>
        <w:rPr>
          <w:sz w:val="18"/>
          <w:vertAlign w:val="baseline"/>
        </w:rPr>
        <w:t>System." Last modified, June 2017. </w:t>
      </w:r>
      <w:hyperlink r:id="rId479">
        <w:r>
          <w:rPr>
            <w:sz w:val="18"/>
            <w:u w:val="single"/>
            <w:vertAlign w:val="baseline"/>
          </w:rPr>
          <w:t>https://www.lgbtmap.org/file/lgbtq-incarcerated-youth.pdf</w:t>
        </w:r>
        <w:r>
          <w:rPr>
            <w:sz w:val="18"/>
            <w:u w:val="none"/>
            <w:vertAlign w:val="baseline"/>
          </w:rPr>
          <w:t>.</w:t>
        </w:r>
      </w:hyperlink>
    </w:p>
    <w:p>
      <w:pPr>
        <w:spacing w:before="0"/>
        <w:ind w:left="320" w:right="184" w:firstLine="0"/>
        <w:jc w:val="both"/>
        <w:rPr>
          <w:sz w:val="18"/>
        </w:rPr>
      </w:pPr>
      <w:r>
        <w:rPr>
          <w:sz w:val="18"/>
          <w:vertAlign w:val="superscript"/>
        </w:rPr>
        <w:t>7</w:t>
      </w:r>
      <w:r>
        <w:rPr>
          <w:spacing w:val="-2"/>
          <w:sz w:val="18"/>
          <w:vertAlign w:val="baseline"/>
        </w:rPr>
        <w:t> </w:t>
      </w:r>
      <w:r>
        <w:rPr>
          <w:sz w:val="18"/>
          <w:vertAlign w:val="baseline"/>
        </w:rPr>
        <w:t>Gower,</w:t>
      </w:r>
      <w:r>
        <w:rPr>
          <w:spacing w:val="-3"/>
          <w:sz w:val="18"/>
          <w:vertAlign w:val="baseline"/>
        </w:rPr>
        <w:t> </w:t>
      </w:r>
      <w:r>
        <w:rPr>
          <w:sz w:val="18"/>
          <w:vertAlign w:val="baseline"/>
        </w:rPr>
        <w:t>Amy</w:t>
      </w:r>
      <w:r>
        <w:rPr>
          <w:spacing w:val="-2"/>
          <w:sz w:val="18"/>
          <w:vertAlign w:val="baseline"/>
        </w:rPr>
        <w:t> </w:t>
      </w:r>
      <w:r>
        <w:rPr>
          <w:sz w:val="18"/>
          <w:vertAlign w:val="baseline"/>
        </w:rPr>
        <w:t>L.,</w:t>
      </w:r>
      <w:r>
        <w:rPr>
          <w:spacing w:val="-3"/>
          <w:sz w:val="18"/>
          <w:vertAlign w:val="baseline"/>
        </w:rPr>
        <w:t> </w:t>
      </w:r>
      <w:r>
        <w:rPr>
          <w:sz w:val="18"/>
          <w:vertAlign w:val="baseline"/>
        </w:rPr>
        <w:t>Rider,</w:t>
      </w:r>
      <w:r>
        <w:rPr>
          <w:spacing w:val="-3"/>
          <w:sz w:val="18"/>
          <w:vertAlign w:val="baseline"/>
        </w:rPr>
        <w:t> </w:t>
      </w:r>
      <w:r>
        <w:rPr>
          <w:sz w:val="18"/>
          <w:vertAlign w:val="baseline"/>
        </w:rPr>
        <w:t>G.</w:t>
      </w:r>
      <w:r>
        <w:rPr>
          <w:spacing w:val="-2"/>
          <w:sz w:val="18"/>
          <w:vertAlign w:val="baseline"/>
        </w:rPr>
        <w:t> </w:t>
      </w:r>
      <w:r>
        <w:rPr>
          <w:sz w:val="18"/>
          <w:vertAlign w:val="baseline"/>
        </w:rPr>
        <w:t>Nic,</w:t>
      </w:r>
      <w:r>
        <w:rPr>
          <w:spacing w:val="-2"/>
          <w:sz w:val="18"/>
          <w:vertAlign w:val="baseline"/>
        </w:rPr>
        <w:t> </w:t>
      </w:r>
      <w:r>
        <w:rPr>
          <w:sz w:val="18"/>
          <w:vertAlign w:val="baseline"/>
        </w:rPr>
        <w:t>McMorris,</w:t>
      </w:r>
      <w:r>
        <w:rPr>
          <w:spacing w:val="-3"/>
          <w:sz w:val="18"/>
          <w:vertAlign w:val="baseline"/>
        </w:rPr>
        <w:t> </w:t>
      </w:r>
      <w:r>
        <w:rPr>
          <w:sz w:val="18"/>
          <w:vertAlign w:val="baseline"/>
        </w:rPr>
        <w:t>Barbara</w:t>
      </w:r>
      <w:r>
        <w:rPr>
          <w:spacing w:val="-1"/>
          <w:sz w:val="18"/>
          <w:vertAlign w:val="baseline"/>
        </w:rPr>
        <w:t> </w:t>
      </w:r>
      <w:r>
        <w:rPr>
          <w:sz w:val="18"/>
          <w:vertAlign w:val="baseline"/>
        </w:rPr>
        <w:t>J.</w:t>
      </w:r>
      <w:r>
        <w:rPr>
          <w:spacing w:val="-2"/>
          <w:sz w:val="18"/>
          <w:vertAlign w:val="baseline"/>
        </w:rPr>
        <w:t> </w:t>
      </w:r>
      <w:r>
        <w:rPr>
          <w:sz w:val="18"/>
          <w:vertAlign w:val="baseline"/>
        </w:rPr>
        <w:t>and</w:t>
      </w:r>
      <w:r>
        <w:rPr>
          <w:spacing w:val="-2"/>
          <w:sz w:val="18"/>
          <w:vertAlign w:val="baseline"/>
        </w:rPr>
        <w:t> </w:t>
      </w:r>
      <w:r>
        <w:rPr>
          <w:sz w:val="18"/>
          <w:vertAlign w:val="baseline"/>
        </w:rPr>
        <w:t>Eisenberg,</w:t>
      </w:r>
      <w:r>
        <w:rPr>
          <w:spacing w:val="-4"/>
          <w:sz w:val="18"/>
          <w:vertAlign w:val="baseline"/>
        </w:rPr>
        <w:t> </w:t>
      </w:r>
      <w:r>
        <w:rPr>
          <w:sz w:val="18"/>
          <w:vertAlign w:val="baseline"/>
        </w:rPr>
        <w:t>Marla</w:t>
      </w:r>
      <w:r>
        <w:rPr>
          <w:spacing w:val="-2"/>
          <w:sz w:val="18"/>
          <w:vertAlign w:val="baseline"/>
        </w:rPr>
        <w:t> </w:t>
      </w:r>
      <w:r>
        <w:rPr>
          <w:sz w:val="18"/>
          <w:vertAlign w:val="baseline"/>
        </w:rPr>
        <w:t>E.</w:t>
      </w:r>
      <w:r>
        <w:rPr>
          <w:spacing w:val="-2"/>
          <w:sz w:val="18"/>
          <w:vertAlign w:val="baseline"/>
        </w:rPr>
        <w:t> </w:t>
      </w:r>
      <w:r>
        <w:rPr>
          <w:sz w:val="18"/>
          <w:vertAlign w:val="baseline"/>
        </w:rPr>
        <w:t>2018,</w:t>
      </w:r>
      <w:r>
        <w:rPr>
          <w:spacing w:val="-3"/>
          <w:sz w:val="18"/>
          <w:vertAlign w:val="baseline"/>
        </w:rPr>
        <w:t> </w:t>
      </w:r>
      <w:r>
        <w:rPr>
          <w:sz w:val="18"/>
          <w:vertAlign w:val="baseline"/>
        </w:rPr>
        <w:t>"Bullying</w:t>
      </w:r>
      <w:r>
        <w:rPr>
          <w:spacing w:val="-2"/>
          <w:sz w:val="18"/>
          <w:vertAlign w:val="baseline"/>
        </w:rPr>
        <w:t> </w:t>
      </w:r>
      <w:r>
        <w:rPr>
          <w:sz w:val="18"/>
          <w:vertAlign w:val="baseline"/>
        </w:rPr>
        <w:t>Victimization</w:t>
      </w:r>
      <w:r>
        <w:rPr>
          <w:spacing w:val="-2"/>
          <w:sz w:val="18"/>
          <w:vertAlign w:val="baseline"/>
        </w:rPr>
        <w:t> </w:t>
      </w:r>
      <w:r>
        <w:rPr>
          <w:sz w:val="18"/>
          <w:vertAlign w:val="baseline"/>
        </w:rPr>
        <w:t>among</w:t>
      </w:r>
      <w:r>
        <w:rPr>
          <w:spacing w:val="-2"/>
          <w:sz w:val="18"/>
          <w:vertAlign w:val="baseline"/>
        </w:rPr>
        <w:t> </w:t>
      </w:r>
      <w:r>
        <w:rPr>
          <w:sz w:val="18"/>
          <w:vertAlign w:val="baseline"/>
        </w:rPr>
        <w:t>LGBTQ</w:t>
      </w:r>
      <w:r>
        <w:rPr>
          <w:spacing w:val="-2"/>
          <w:sz w:val="18"/>
          <w:vertAlign w:val="baseline"/>
        </w:rPr>
        <w:t> </w:t>
      </w:r>
      <w:r>
        <w:rPr>
          <w:sz w:val="18"/>
          <w:vertAlign w:val="baseline"/>
        </w:rPr>
        <w:t>Youth: Current</w:t>
      </w:r>
      <w:r>
        <w:rPr>
          <w:spacing w:val="-4"/>
          <w:sz w:val="18"/>
          <w:vertAlign w:val="baseline"/>
        </w:rPr>
        <w:t> </w:t>
      </w:r>
      <w:r>
        <w:rPr>
          <w:sz w:val="18"/>
          <w:vertAlign w:val="baseline"/>
        </w:rPr>
        <w:t>and</w:t>
      </w:r>
      <w:r>
        <w:rPr>
          <w:spacing w:val="-3"/>
          <w:sz w:val="18"/>
          <w:vertAlign w:val="baseline"/>
        </w:rPr>
        <w:t> </w:t>
      </w:r>
      <w:r>
        <w:rPr>
          <w:sz w:val="18"/>
          <w:vertAlign w:val="baseline"/>
        </w:rPr>
        <w:t>Future</w:t>
      </w:r>
      <w:r>
        <w:rPr>
          <w:spacing w:val="-3"/>
          <w:sz w:val="18"/>
          <w:vertAlign w:val="baseline"/>
        </w:rPr>
        <w:t> </w:t>
      </w:r>
      <w:r>
        <w:rPr>
          <w:sz w:val="18"/>
          <w:vertAlign w:val="baseline"/>
        </w:rPr>
        <w:t>Directions."</w:t>
      </w:r>
      <w:r>
        <w:rPr>
          <w:spacing w:val="-3"/>
          <w:sz w:val="18"/>
          <w:vertAlign w:val="baseline"/>
        </w:rPr>
        <w:t> </w:t>
      </w:r>
      <w:r>
        <w:rPr>
          <w:i/>
          <w:sz w:val="18"/>
          <w:vertAlign w:val="baseline"/>
        </w:rPr>
        <w:t>Curr</w:t>
      </w:r>
      <w:r>
        <w:rPr>
          <w:i/>
          <w:spacing w:val="-4"/>
          <w:sz w:val="18"/>
          <w:vertAlign w:val="baseline"/>
        </w:rPr>
        <w:t> </w:t>
      </w:r>
      <w:r>
        <w:rPr>
          <w:i/>
          <w:sz w:val="18"/>
          <w:vertAlign w:val="baseline"/>
        </w:rPr>
        <w:t>Sex</w:t>
      </w:r>
      <w:r>
        <w:rPr>
          <w:i/>
          <w:spacing w:val="-3"/>
          <w:sz w:val="18"/>
          <w:vertAlign w:val="baseline"/>
        </w:rPr>
        <w:t> </w:t>
      </w:r>
      <w:r>
        <w:rPr>
          <w:i/>
          <w:sz w:val="18"/>
          <w:vertAlign w:val="baseline"/>
        </w:rPr>
        <w:t>Health</w:t>
      </w:r>
      <w:r>
        <w:rPr>
          <w:i/>
          <w:spacing w:val="-3"/>
          <w:sz w:val="18"/>
          <w:vertAlign w:val="baseline"/>
        </w:rPr>
        <w:t> </w:t>
      </w:r>
      <w:r>
        <w:rPr>
          <w:i/>
          <w:sz w:val="18"/>
          <w:vertAlign w:val="baseline"/>
        </w:rPr>
        <w:t>Rep</w:t>
      </w:r>
      <w:r>
        <w:rPr>
          <w:i/>
          <w:spacing w:val="-4"/>
          <w:sz w:val="18"/>
          <w:vertAlign w:val="baseline"/>
        </w:rPr>
        <w:t> </w:t>
      </w:r>
      <w:r>
        <w:rPr>
          <w:sz w:val="18"/>
          <w:vertAlign w:val="baseline"/>
        </w:rPr>
        <w:t>10,</w:t>
      </w:r>
      <w:r>
        <w:rPr>
          <w:spacing w:val="-4"/>
          <w:sz w:val="18"/>
          <w:vertAlign w:val="baseline"/>
        </w:rPr>
        <w:t> </w:t>
      </w:r>
      <w:r>
        <w:rPr>
          <w:sz w:val="18"/>
          <w:vertAlign w:val="baseline"/>
        </w:rPr>
        <w:t>no.</w:t>
      </w:r>
      <w:r>
        <w:rPr>
          <w:spacing w:val="-3"/>
          <w:sz w:val="18"/>
          <w:vertAlign w:val="baseline"/>
        </w:rPr>
        <w:t> </w:t>
      </w:r>
      <w:r>
        <w:rPr>
          <w:sz w:val="18"/>
          <w:vertAlign w:val="baseline"/>
        </w:rPr>
        <w:t>4</w:t>
      </w:r>
      <w:r>
        <w:rPr>
          <w:spacing w:val="-3"/>
          <w:sz w:val="18"/>
          <w:vertAlign w:val="baseline"/>
        </w:rPr>
        <w:t> </w:t>
      </w:r>
      <w:r>
        <w:rPr>
          <w:sz w:val="18"/>
          <w:vertAlign w:val="baseline"/>
        </w:rPr>
        <w:t>(December</w:t>
      </w:r>
      <w:r>
        <w:rPr>
          <w:spacing w:val="-4"/>
          <w:sz w:val="18"/>
          <w:vertAlign w:val="baseline"/>
        </w:rPr>
        <w:t> </w:t>
      </w:r>
      <w:r>
        <w:rPr>
          <w:sz w:val="18"/>
          <w:vertAlign w:val="baseline"/>
        </w:rPr>
        <w:t>2018):</w:t>
      </w:r>
      <w:r>
        <w:rPr>
          <w:spacing w:val="-5"/>
          <w:sz w:val="18"/>
          <w:vertAlign w:val="baseline"/>
        </w:rPr>
        <w:t> </w:t>
      </w:r>
      <w:r>
        <w:rPr>
          <w:sz w:val="18"/>
          <w:vertAlign w:val="baseline"/>
        </w:rPr>
        <w:t>246-254.</w:t>
      </w:r>
      <w:r>
        <w:rPr>
          <w:spacing w:val="-3"/>
          <w:sz w:val="18"/>
          <w:vertAlign w:val="baseline"/>
        </w:rPr>
        <w:t> </w:t>
      </w:r>
      <w:r>
        <w:rPr>
          <w:sz w:val="18"/>
          <w:vertAlign w:val="baseline"/>
        </w:rPr>
        <w:t>https://doi.org/10.1007/s11930-018- 0169-y. Published online August 30, 2018.</w:t>
      </w:r>
    </w:p>
    <w:p>
      <w:pPr>
        <w:spacing w:after="0"/>
        <w:jc w:val="both"/>
        <w:rPr>
          <w:sz w:val="18"/>
        </w:rPr>
        <w:sectPr>
          <w:pgSz w:w="12240" w:h="15840"/>
          <w:pgMar w:header="763" w:footer="1041" w:top="1360" w:bottom="1240" w:left="1120" w:right="1340"/>
        </w:sectPr>
      </w:pPr>
    </w:p>
    <w:p>
      <w:pPr>
        <w:pStyle w:val="BodyText"/>
        <w:spacing w:before="90"/>
        <w:rPr>
          <w:sz w:val="18"/>
        </w:rPr>
      </w:pPr>
    </w:p>
    <w:p>
      <w:pPr>
        <w:spacing w:before="1"/>
        <w:ind w:left="320" w:right="480" w:firstLine="0"/>
        <w:jc w:val="left"/>
        <w:rPr>
          <w:sz w:val="18"/>
        </w:rPr>
      </w:pPr>
      <w:r>
        <w:rPr>
          <w:sz w:val="18"/>
          <w:vertAlign w:val="superscript"/>
        </w:rPr>
        <w:t>8</w:t>
      </w:r>
      <w:r>
        <w:rPr>
          <w:spacing w:val="-2"/>
          <w:sz w:val="18"/>
          <w:vertAlign w:val="baseline"/>
        </w:rPr>
        <w:t> </w:t>
      </w:r>
      <w:r>
        <w:rPr>
          <w:sz w:val="18"/>
          <w:vertAlign w:val="baseline"/>
        </w:rPr>
        <w:t>Conron,</w:t>
      </w:r>
      <w:r>
        <w:rPr>
          <w:spacing w:val="-3"/>
          <w:sz w:val="18"/>
          <w:vertAlign w:val="baseline"/>
        </w:rPr>
        <w:t> </w:t>
      </w:r>
      <w:r>
        <w:rPr>
          <w:sz w:val="18"/>
          <w:vertAlign w:val="baseline"/>
        </w:rPr>
        <w:t>Keith</w:t>
      </w:r>
      <w:r>
        <w:rPr>
          <w:spacing w:val="-2"/>
          <w:sz w:val="18"/>
          <w:vertAlign w:val="baseline"/>
        </w:rPr>
        <w:t> </w:t>
      </w:r>
      <w:r>
        <w:rPr>
          <w:sz w:val="18"/>
          <w:vertAlign w:val="baseline"/>
        </w:rPr>
        <w:t>J.</w:t>
      </w:r>
      <w:r>
        <w:rPr>
          <w:spacing w:val="37"/>
          <w:sz w:val="18"/>
          <w:vertAlign w:val="baseline"/>
        </w:rPr>
        <w:t> </w:t>
      </w:r>
      <w:r>
        <w:rPr>
          <w:sz w:val="18"/>
          <w:vertAlign w:val="baseline"/>
        </w:rPr>
        <w:t>and</w:t>
      </w:r>
      <w:r>
        <w:rPr>
          <w:spacing w:val="-2"/>
          <w:sz w:val="18"/>
          <w:vertAlign w:val="baseline"/>
        </w:rPr>
        <w:t> </w:t>
      </w:r>
      <w:r>
        <w:rPr>
          <w:sz w:val="18"/>
          <w:vertAlign w:val="baseline"/>
        </w:rPr>
        <w:t>Wilson,</w:t>
      </w:r>
      <w:r>
        <w:rPr>
          <w:spacing w:val="-3"/>
          <w:sz w:val="18"/>
          <w:vertAlign w:val="baseline"/>
        </w:rPr>
        <w:t> </w:t>
      </w:r>
      <w:r>
        <w:rPr>
          <w:sz w:val="18"/>
          <w:vertAlign w:val="baseline"/>
        </w:rPr>
        <w:t>Bianca</w:t>
      </w:r>
      <w:r>
        <w:rPr>
          <w:spacing w:val="-2"/>
          <w:sz w:val="18"/>
          <w:vertAlign w:val="baseline"/>
        </w:rPr>
        <w:t> </w:t>
      </w:r>
      <w:r>
        <w:rPr>
          <w:sz w:val="18"/>
          <w:vertAlign w:val="baseline"/>
        </w:rPr>
        <w:t>D.M</w:t>
      </w:r>
      <w:r>
        <w:rPr>
          <w:spacing w:val="-3"/>
          <w:sz w:val="18"/>
          <w:vertAlign w:val="baseline"/>
        </w:rPr>
        <w:t> </w:t>
      </w:r>
      <w:r>
        <w:rPr>
          <w:sz w:val="18"/>
          <w:vertAlign w:val="baseline"/>
        </w:rPr>
        <w:t>.</w:t>
      </w:r>
      <w:r>
        <w:rPr>
          <w:spacing w:val="-2"/>
          <w:sz w:val="18"/>
          <w:vertAlign w:val="baseline"/>
        </w:rPr>
        <w:t> </w:t>
      </w:r>
      <w:r>
        <w:rPr>
          <w:sz w:val="18"/>
          <w:vertAlign w:val="baseline"/>
        </w:rPr>
        <w:t>2019.</w:t>
      </w:r>
      <w:r>
        <w:rPr>
          <w:spacing w:val="-2"/>
          <w:sz w:val="18"/>
          <w:vertAlign w:val="baseline"/>
        </w:rPr>
        <w:t> </w:t>
      </w:r>
      <w:r>
        <w:rPr>
          <w:sz w:val="18"/>
          <w:vertAlign w:val="baseline"/>
        </w:rPr>
        <w:t>LGBTQ</w:t>
      </w:r>
      <w:r>
        <w:rPr>
          <w:spacing w:val="-2"/>
          <w:sz w:val="18"/>
          <w:vertAlign w:val="baseline"/>
        </w:rPr>
        <w:t> </w:t>
      </w:r>
      <w:r>
        <w:rPr>
          <w:sz w:val="18"/>
          <w:vertAlign w:val="baseline"/>
        </w:rPr>
        <w:t>Youth</w:t>
      </w:r>
      <w:r>
        <w:rPr>
          <w:spacing w:val="-2"/>
          <w:sz w:val="18"/>
          <w:vertAlign w:val="baseline"/>
        </w:rPr>
        <w:t> </w:t>
      </w:r>
      <w:r>
        <w:rPr>
          <w:sz w:val="18"/>
          <w:vertAlign w:val="baseline"/>
        </w:rPr>
        <w:t>of</w:t>
      </w:r>
      <w:r>
        <w:rPr>
          <w:spacing w:val="-3"/>
          <w:sz w:val="18"/>
          <w:vertAlign w:val="baseline"/>
        </w:rPr>
        <w:t> </w:t>
      </w:r>
      <w:r>
        <w:rPr>
          <w:sz w:val="18"/>
          <w:vertAlign w:val="baseline"/>
        </w:rPr>
        <w:t>Color</w:t>
      </w:r>
      <w:r>
        <w:rPr>
          <w:spacing w:val="-3"/>
          <w:sz w:val="18"/>
          <w:vertAlign w:val="baseline"/>
        </w:rPr>
        <w:t> </w:t>
      </w:r>
      <w:r>
        <w:rPr>
          <w:sz w:val="18"/>
          <w:vertAlign w:val="baseline"/>
        </w:rPr>
        <w:t>Impacted</w:t>
      </w:r>
      <w:r>
        <w:rPr>
          <w:spacing w:val="-2"/>
          <w:sz w:val="18"/>
          <w:vertAlign w:val="baseline"/>
        </w:rPr>
        <w:t> </w:t>
      </w:r>
      <w:r>
        <w:rPr>
          <w:sz w:val="18"/>
          <w:vertAlign w:val="baseline"/>
        </w:rPr>
        <w:t>by</w:t>
      </w:r>
      <w:r>
        <w:rPr>
          <w:spacing w:val="-2"/>
          <w:sz w:val="18"/>
          <w:vertAlign w:val="baseline"/>
        </w:rPr>
        <w:t> </w:t>
      </w:r>
      <w:r>
        <w:rPr>
          <w:sz w:val="18"/>
          <w:vertAlign w:val="baseline"/>
        </w:rPr>
        <w:t>the</w:t>
      </w:r>
      <w:r>
        <w:rPr>
          <w:spacing w:val="-2"/>
          <w:sz w:val="18"/>
          <w:vertAlign w:val="baseline"/>
        </w:rPr>
        <w:t> </w:t>
      </w:r>
      <w:r>
        <w:rPr>
          <w:sz w:val="18"/>
          <w:vertAlign w:val="baseline"/>
        </w:rPr>
        <w:t>Child</w:t>
      </w:r>
      <w:r>
        <w:rPr>
          <w:spacing w:val="-2"/>
          <w:sz w:val="18"/>
          <w:vertAlign w:val="baseline"/>
        </w:rPr>
        <w:t> </w:t>
      </w:r>
      <w:r>
        <w:rPr>
          <w:sz w:val="18"/>
          <w:vertAlign w:val="baseline"/>
        </w:rPr>
        <w:t>Welfare</w:t>
      </w:r>
      <w:r>
        <w:rPr>
          <w:spacing w:val="-2"/>
          <w:sz w:val="18"/>
          <w:vertAlign w:val="baseline"/>
        </w:rPr>
        <w:t> </w:t>
      </w:r>
      <w:r>
        <w:rPr>
          <w:sz w:val="18"/>
          <w:vertAlign w:val="baseline"/>
        </w:rPr>
        <w:t>and</w:t>
      </w:r>
      <w:r>
        <w:rPr>
          <w:spacing w:val="-2"/>
          <w:sz w:val="18"/>
          <w:vertAlign w:val="baseline"/>
        </w:rPr>
        <w:t> </w:t>
      </w:r>
      <w:r>
        <w:rPr>
          <w:sz w:val="18"/>
          <w:vertAlign w:val="baseline"/>
        </w:rPr>
        <w:t>Juvenile</w:t>
      </w:r>
      <w:r>
        <w:rPr>
          <w:spacing w:val="-2"/>
          <w:sz w:val="18"/>
          <w:vertAlign w:val="baseline"/>
        </w:rPr>
        <w:t> </w:t>
      </w:r>
      <w:r>
        <w:rPr>
          <w:sz w:val="18"/>
          <w:vertAlign w:val="baseline"/>
        </w:rPr>
        <w:t>Justice Systems (Los Angeles: Williams Institute at the UCLA School of Law, 2019), https://williamsinstitute.law.ucla.edu/wp- </w:t>
      </w:r>
      <w:r>
        <w:rPr>
          <w:spacing w:val="-2"/>
          <w:sz w:val="18"/>
          <w:vertAlign w:val="baseline"/>
        </w:rPr>
        <w:t>content/uploads/LGBTQYOC-Social-Services-Jul-2019.pdf.</w:t>
      </w:r>
    </w:p>
    <w:p>
      <w:pPr>
        <w:spacing w:before="0"/>
        <w:ind w:left="320" w:right="228" w:firstLine="0"/>
        <w:jc w:val="left"/>
        <w:rPr>
          <w:sz w:val="18"/>
        </w:rPr>
      </w:pPr>
      <w:r>
        <w:rPr>
          <w:sz w:val="18"/>
          <w:vertAlign w:val="superscript"/>
        </w:rPr>
        <w:t>9</w:t>
      </w:r>
      <w:r>
        <w:rPr>
          <w:spacing w:val="-2"/>
          <w:sz w:val="18"/>
          <w:vertAlign w:val="baseline"/>
        </w:rPr>
        <w:t> </w:t>
      </w:r>
      <w:r>
        <w:rPr>
          <w:sz w:val="18"/>
          <w:vertAlign w:val="baseline"/>
        </w:rPr>
        <w:t>Vallas,</w:t>
      </w:r>
      <w:r>
        <w:rPr>
          <w:spacing w:val="-3"/>
          <w:sz w:val="18"/>
          <w:vertAlign w:val="baseline"/>
        </w:rPr>
        <w:t> </w:t>
      </w:r>
      <w:r>
        <w:rPr>
          <w:sz w:val="18"/>
          <w:vertAlign w:val="baseline"/>
        </w:rPr>
        <w:t>Rebecca</w:t>
      </w:r>
      <w:r>
        <w:rPr>
          <w:spacing w:val="-1"/>
          <w:sz w:val="18"/>
          <w:vertAlign w:val="baseline"/>
        </w:rPr>
        <w:t> </w:t>
      </w:r>
      <w:r>
        <w:rPr>
          <w:sz w:val="18"/>
          <w:vertAlign w:val="baseline"/>
        </w:rPr>
        <w:t>and</w:t>
      </w:r>
      <w:r>
        <w:rPr>
          <w:spacing w:val="-2"/>
          <w:sz w:val="18"/>
          <w:vertAlign w:val="baseline"/>
        </w:rPr>
        <w:t> </w:t>
      </w:r>
      <w:r>
        <w:rPr>
          <w:sz w:val="18"/>
          <w:vertAlign w:val="baseline"/>
        </w:rPr>
        <w:t>Dietrich,</w:t>
      </w:r>
      <w:r>
        <w:rPr>
          <w:spacing w:val="-3"/>
          <w:sz w:val="18"/>
          <w:vertAlign w:val="baseline"/>
        </w:rPr>
        <w:t> </w:t>
      </w:r>
      <w:r>
        <w:rPr>
          <w:sz w:val="18"/>
          <w:vertAlign w:val="baseline"/>
        </w:rPr>
        <w:t>Sharon.</w:t>
      </w:r>
      <w:r>
        <w:rPr>
          <w:spacing w:val="-2"/>
          <w:sz w:val="18"/>
          <w:vertAlign w:val="baseline"/>
        </w:rPr>
        <w:t> </w:t>
      </w:r>
      <w:r>
        <w:rPr>
          <w:sz w:val="18"/>
          <w:vertAlign w:val="baseline"/>
        </w:rPr>
        <w:t>2018.</w:t>
      </w:r>
      <w:r>
        <w:rPr>
          <w:spacing w:val="-2"/>
          <w:sz w:val="18"/>
          <w:vertAlign w:val="baseline"/>
        </w:rPr>
        <w:t> </w:t>
      </w:r>
      <w:r>
        <w:rPr>
          <w:sz w:val="18"/>
          <w:vertAlign w:val="baseline"/>
        </w:rPr>
        <w:t>“One</w:t>
      </w:r>
      <w:r>
        <w:rPr>
          <w:spacing w:val="-2"/>
          <w:sz w:val="18"/>
          <w:vertAlign w:val="baseline"/>
        </w:rPr>
        <w:t> </w:t>
      </w:r>
      <w:r>
        <w:rPr>
          <w:sz w:val="18"/>
          <w:vertAlign w:val="baseline"/>
        </w:rPr>
        <w:t>Strike</w:t>
      </w:r>
      <w:r>
        <w:rPr>
          <w:spacing w:val="-2"/>
          <w:sz w:val="18"/>
          <w:vertAlign w:val="baseline"/>
        </w:rPr>
        <w:t> </w:t>
      </w:r>
      <w:r>
        <w:rPr>
          <w:sz w:val="18"/>
          <w:vertAlign w:val="baseline"/>
        </w:rPr>
        <w:t>and</w:t>
      </w:r>
      <w:r>
        <w:rPr>
          <w:spacing w:val="-2"/>
          <w:sz w:val="18"/>
          <w:vertAlign w:val="baseline"/>
        </w:rPr>
        <w:t> </w:t>
      </w:r>
      <w:r>
        <w:rPr>
          <w:sz w:val="18"/>
          <w:vertAlign w:val="baseline"/>
        </w:rPr>
        <w:t>You’re</w:t>
      </w:r>
      <w:r>
        <w:rPr>
          <w:spacing w:val="-2"/>
          <w:sz w:val="18"/>
          <w:vertAlign w:val="baseline"/>
        </w:rPr>
        <w:t> </w:t>
      </w:r>
      <w:r>
        <w:rPr>
          <w:sz w:val="18"/>
          <w:vertAlign w:val="baseline"/>
        </w:rPr>
        <w:t>Out:</w:t>
      </w:r>
      <w:r>
        <w:rPr>
          <w:spacing w:val="-2"/>
          <w:sz w:val="18"/>
          <w:vertAlign w:val="baseline"/>
        </w:rPr>
        <w:t> </w:t>
      </w:r>
      <w:r>
        <w:rPr>
          <w:sz w:val="18"/>
          <w:vertAlign w:val="baseline"/>
        </w:rPr>
        <w:t>How</w:t>
      </w:r>
      <w:r>
        <w:rPr>
          <w:spacing w:val="-3"/>
          <w:sz w:val="18"/>
          <w:vertAlign w:val="baseline"/>
        </w:rPr>
        <w:t> </w:t>
      </w:r>
      <w:r>
        <w:rPr>
          <w:sz w:val="18"/>
          <w:vertAlign w:val="baseline"/>
        </w:rPr>
        <w:t>We</w:t>
      </w:r>
      <w:r>
        <w:rPr>
          <w:spacing w:val="-1"/>
          <w:sz w:val="18"/>
          <w:vertAlign w:val="baseline"/>
        </w:rPr>
        <w:t> </w:t>
      </w:r>
      <w:r>
        <w:rPr>
          <w:sz w:val="18"/>
          <w:vertAlign w:val="baseline"/>
        </w:rPr>
        <w:t>Can</w:t>
      </w:r>
      <w:r>
        <w:rPr>
          <w:spacing w:val="-2"/>
          <w:sz w:val="18"/>
          <w:vertAlign w:val="baseline"/>
        </w:rPr>
        <w:t> </w:t>
      </w:r>
      <w:r>
        <w:rPr>
          <w:sz w:val="18"/>
          <w:vertAlign w:val="baseline"/>
        </w:rPr>
        <w:t>Eliminate</w:t>
      </w:r>
      <w:r>
        <w:rPr>
          <w:spacing w:val="-2"/>
          <w:sz w:val="18"/>
          <w:vertAlign w:val="baseline"/>
        </w:rPr>
        <w:t> </w:t>
      </w:r>
      <w:r>
        <w:rPr>
          <w:sz w:val="18"/>
          <w:vertAlign w:val="baseline"/>
        </w:rPr>
        <w:t>Barriers</w:t>
      </w:r>
      <w:r>
        <w:rPr>
          <w:spacing w:val="-2"/>
          <w:sz w:val="18"/>
          <w:vertAlign w:val="baseline"/>
        </w:rPr>
        <w:t> </w:t>
      </w:r>
      <w:r>
        <w:rPr>
          <w:sz w:val="18"/>
          <w:vertAlign w:val="baseline"/>
        </w:rPr>
        <w:t>to</w:t>
      </w:r>
      <w:r>
        <w:rPr>
          <w:spacing w:val="-2"/>
          <w:sz w:val="18"/>
          <w:vertAlign w:val="baseline"/>
        </w:rPr>
        <w:t> </w:t>
      </w:r>
      <w:r>
        <w:rPr>
          <w:sz w:val="18"/>
          <w:vertAlign w:val="baseline"/>
        </w:rPr>
        <w:t>Economic</w:t>
      </w:r>
      <w:r>
        <w:rPr>
          <w:spacing w:val="-3"/>
          <w:sz w:val="18"/>
          <w:vertAlign w:val="baseline"/>
        </w:rPr>
        <w:t> </w:t>
      </w:r>
      <w:r>
        <w:rPr>
          <w:sz w:val="18"/>
          <w:vertAlign w:val="baseline"/>
        </w:rPr>
        <w:t>Security and Mobility for People with Juvenile Records, Center for American Progress, December 2, 2014,</w:t>
      </w:r>
    </w:p>
    <w:p>
      <w:pPr>
        <w:spacing w:before="0"/>
        <w:ind w:left="320" w:right="410" w:firstLine="0"/>
        <w:jc w:val="both"/>
        <w:rPr>
          <w:sz w:val="18"/>
        </w:rPr>
      </w:pPr>
      <w:r>
        <w:rPr>
          <w:sz w:val="18"/>
          <w:vertAlign w:val="superscript"/>
        </w:rPr>
        <w:t>10</w:t>
      </w:r>
      <w:r>
        <w:rPr>
          <w:spacing w:val="-2"/>
          <w:sz w:val="18"/>
          <w:vertAlign w:val="baseline"/>
        </w:rPr>
        <w:t> </w:t>
      </w:r>
      <w:r>
        <w:rPr>
          <w:sz w:val="18"/>
          <w:vertAlign w:val="baseline"/>
        </w:rPr>
        <w:t>Burns</w:t>
      </w:r>
      <w:r>
        <w:rPr>
          <w:spacing w:val="-2"/>
          <w:sz w:val="18"/>
          <w:vertAlign w:val="baseline"/>
        </w:rPr>
        <w:t> </w:t>
      </w:r>
      <w:r>
        <w:rPr>
          <w:sz w:val="18"/>
          <w:vertAlign w:val="baseline"/>
        </w:rPr>
        <w:t>Institute.</w:t>
      </w:r>
      <w:r>
        <w:rPr>
          <w:spacing w:val="-2"/>
          <w:sz w:val="18"/>
          <w:vertAlign w:val="baseline"/>
        </w:rPr>
        <w:t> </w:t>
      </w:r>
      <w:r>
        <w:rPr>
          <w:sz w:val="18"/>
          <w:vertAlign w:val="baseline"/>
        </w:rPr>
        <w:t>2020.</w:t>
      </w:r>
      <w:r>
        <w:rPr>
          <w:spacing w:val="-2"/>
          <w:sz w:val="18"/>
          <w:vertAlign w:val="baseline"/>
        </w:rPr>
        <w:t> </w:t>
      </w:r>
      <w:r>
        <w:rPr>
          <w:sz w:val="18"/>
          <w:vertAlign w:val="baseline"/>
        </w:rPr>
        <w:t>Stemming</w:t>
      </w:r>
      <w:r>
        <w:rPr>
          <w:spacing w:val="-3"/>
          <w:sz w:val="18"/>
          <w:vertAlign w:val="baseline"/>
        </w:rPr>
        <w:t> </w:t>
      </w:r>
      <w:r>
        <w:rPr>
          <w:sz w:val="18"/>
          <w:vertAlign w:val="baseline"/>
        </w:rPr>
        <w:t>the</w:t>
      </w:r>
      <w:r>
        <w:rPr>
          <w:spacing w:val="-2"/>
          <w:sz w:val="18"/>
          <w:vertAlign w:val="baseline"/>
        </w:rPr>
        <w:t> </w:t>
      </w:r>
      <w:r>
        <w:rPr>
          <w:sz w:val="18"/>
          <w:vertAlign w:val="baseline"/>
        </w:rPr>
        <w:t>Rising</w:t>
      </w:r>
      <w:r>
        <w:rPr>
          <w:spacing w:val="-2"/>
          <w:sz w:val="18"/>
          <w:vertAlign w:val="baseline"/>
        </w:rPr>
        <w:t> </w:t>
      </w:r>
      <w:r>
        <w:rPr>
          <w:sz w:val="18"/>
          <w:vertAlign w:val="baseline"/>
        </w:rPr>
        <w:t>Tide:</w:t>
      </w:r>
      <w:r>
        <w:rPr>
          <w:spacing w:val="-2"/>
          <w:sz w:val="18"/>
          <w:vertAlign w:val="baseline"/>
        </w:rPr>
        <w:t> </w:t>
      </w:r>
      <w:r>
        <w:rPr>
          <w:sz w:val="18"/>
          <w:vertAlign w:val="baseline"/>
        </w:rPr>
        <w:t>Racial</w:t>
      </w:r>
      <w:r>
        <w:rPr>
          <w:spacing w:val="-2"/>
          <w:sz w:val="18"/>
          <w:vertAlign w:val="baseline"/>
        </w:rPr>
        <w:t> </w:t>
      </w:r>
      <w:r>
        <w:rPr>
          <w:sz w:val="18"/>
          <w:vertAlign w:val="baseline"/>
        </w:rPr>
        <w:t>&amp;</w:t>
      </w:r>
      <w:r>
        <w:rPr>
          <w:spacing w:val="-3"/>
          <w:sz w:val="18"/>
          <w:vertAlign w:val="baseline"/>
        </w:rPr>
        <w:t> </w:t>
      </w:r>
      <w:r>
        <w:rPr>
          <w:sz w:val="18"/>
          <w:vertAlign w:val="baseline"/>
        </w:rPr>
        <w:t>Ethnic</w:t>
      </w:r>
      <w:r>
        <w:rPr>
          <w:spacing w:val="-2"/>
          <w:sz w:val="18"/>
          <w:vertAlign w:val="baseline"/>
        </w:rPr>
        <w:t> </w:t>
      </w:r>
      <w:r>
        <w:rPr>
          <w:sz w:val="18"/>
          <w:vertAlign w:val="baseline"/>
        </w:rPr>
        <w:t>Disparities</w:t>
      </w:r>
      <w:r>
        <w:rPr>
          <w:spacing w:val="-2"/>
          <w:sz w:val="18"/>
          <w:vertAlign w:val="baseline"/>
        </w:rPr>
        <w:t> </w:t>
      </w:r>
      <w:r>
        <w:rPr>
          <w:sz w:val="18"/>
          <w:vertAlign w:val="baseline"/>
        </w:rPr>
        <w:t>in</w:t>
      </w:r>
      <w:r>
        <w:rPr>
          <w:spacing w:val="-2"/>
          <w:sz w:val="18"/>
          <w:vertAlign w:val="baseline"/>
        </w:rPr>
        <w:t> </w:t>
      </w:r>
      <w:r>
        <w:rPr>
          <w:sz w:val="18"/>
          <w:vertAlign w:val="baseline"/>
        </w:rPr>
        <w:t>Youth</w:t>
      </w:r>
      <w:r>
        <w:rPr>
          <w:spacing w:val="-2"/>
          <w:sz w:val="18"/>
          <w:vertAlign w:val="baseline"/>
        </w:rPr>
        <w:t> </w:t>
      </w:r>
      <w:r>
        <w:rPr>
          <w:sz w:val="18"/>
          <w:vertAlign w:val="baseline"/>
        </w:rPr>
        <w:t>Incarceration</w:t>
      </w:r>
      <w:r>
        <w:rPr>
          <w:spacing w:val="-2"/>
          <w:sz w:val="18"/>
          <w:vertAlign w:val="baseline"/>
        </w:rPr>
        <w:t> </w:t>
      </w:r>
      <w:r>
        <w:rPr>
          <w:sz w:val="18"/>
          <w:vertAlign w:val="baseline"/>
        </w:rPr>
        <w:t>&amp;</w:t>
      </w:r>
      <w:r>
        <w:rPr>
          <w:spacing w:val="-3"/>
          <w:sz w:val="18"/>
          <w:vertAlign w:val="baseline"/>
        </w:rPr>
        <w:t> </w:t>
      </w:r>
      <w:r>
        <w:rPr>
          <w:sz w:val="18"/>
          <w:vertAlign w:val="baseline"/>
        </w:rPr>
        <w:t>Strategies</w:t>
      </w:r>
      <w:r>
        <w:rPr>
          <w:spacing w:val="-2"/>
          <w:sz w:val="18"/>
          <w:vertAlign w:val="baseline"/>
        </w:rPr>
        <w:t> </w:t>
      </w:r>
      <w:r>
        <w:rPr>
          <w:sz w:val="18"/>
          <w:vertAlign w:val="baseline"/>
        </w:rPr>
        <w:t>for</w:t>
      </w:r>
      <w:r>
        <w:rPr>
          <w:spacing w:val="-3"/>
          <w:sz w:val="18"/>
          <w:vertAlign w:val="baseline"/>
        </w:rPr>
        <w:t> </w:t>
      </w:r>
      <w:r>
        <w:rPr>
          <w:sz w:val="18"/>
          <w:vertAlign w:val="baseline"/>
        </w:rPr>
        <w:t>Change (Oakland: The W. Haywood Burns Institute,</w:t>
      </w:r>
      <w:r>
        <w:rPr>
          <w:spacing w:val="-1"/>
          <w:sz w:val="18"/>
          <w:vertAlign w:val="baseline"/>
        </w:rPr>
        <w:t> </w:t>
      </w:r>
      <w:r>
        <w:rPr>
          <w:sz w:val="18"/>
          <w:vertAlign w:val="baseline"/>
        </w:rPr>
        <w:t>2020),</w:t>
      </w:r>
      <w:r>
        <w:rPr>
          <w:spacing w:val="-1"/>
          <w:sz w:val="18"/>
          <w:vertAlign w:val="baseline"/>
        </w:rPr>
        <w:t> </w:t>
      </w:r>
      <w:r>
        <w:rPr>
          <w:sz w:val="18"/>
          <w:vertAlign w:val="baseline"/>
        </w:rPr>
        <w:t>https://burnsinstitute.org/wp-content/uploads/2020/09/Stemming-the- </w:t>
      </w:r>
      <w:r>
        <w:rPr>
          <w:spacing w:val="-2"/>
          <w:sz w:val="18"/>
          <w:vertAlign w:val="baseline"/>
        </w:rPr>
        <w:t>Rising-Tide-_compressed.pdf.</w:t>
      </w:r>
    </w:p>
    <w:p>
      <w:pPr>
        <w:spacing w:before="0"/>
        <w:ind w:left="320" w:right="460" w:firstLine="0"/>
        <w:jc w:val="left"/>
        <w:rPr>
          <w:sz w:val="18"/>
        </w:rPr>
      </w:pPr>
      <w:r>
        <w:rPr>
          <w:sz w:val="18"/>
          <w:vertAlign w:val="superscript"/>
        </w:rPr>
        <w:t>11</w:t>
      </w:r>
      <w:r>
        <w:rPr>
          <w:spacing w:val="-2"/>
          <w:sz w:val="18"/>
          <w:vertAlign w:val="baseline"/>
        </w:rPr>
        <w:t> </w:t>
      </w:r>
      <w:r>
        <w:rPr>
          <w:sz w:val="18"/>
          <w:vertAlign w:val="baseline"/>
        </w:rPr>
        <w:t>Conron,</w:t>
      </w:r>
      <w:r>
        <w:rPr>
          <w:spacing w:val="-3"/>
          <w:sz w:val="18"/>
          <w:vertAlign w:val="baseline"/>
        </w:rPr>
        <w:t> </w:t>
      </w:r>
      <w:r>
        <w:rPr>
          <w:sz w:val="18"/>
          <w:vertAlign w:val="baseline"/>
        </w:rPr>
        <w:t>Keith</w:t>
      </w:r>
      <w:r>
        <w:rPr>
          <w:spacing w:val="-2"/>
          <w:sz w:val="18"/>
          <w:vertAlign w:val="baseline"/>
        </w:rPr>
        <w:t> </w:t>
      </w:r>
      <w:r>
        <w:rPr>
          <w:sz w:val="18"/>
          <w:vertAlign w:val="baseline"/>
        </w:rPr>
        <w:t>J.</w:t>
      </w:r>
      <w:r>
        <w:rPr>
          <w:spacing w:val="37"/>
          <w:sz w:val="18"/>
          <w:vertAlign w:val="baseline"/>
        </w:rPr>
        <w:t> </w:t>
      </w:r>
      <w:r>
        <w:rPr>
          <w:sz w:val="18"/>
          <w:vertAlign w:val="baseline"/>
        </w:rPr>
        <w:t>and</w:t>
      </w:r>
      <w:r>
        <w:rPr>
          <w:spacing w:val="-2"/>
          <w:sz w:val="18"/>
          <w:vertAlign w:val="baseline"/>
        </w:rPr>
        <w:t> </w:t>
      </w:r>
      <w:r>
        <w:rPr>
          <w:sz w:val="18"/>
          <w:vertAlign w:val="baseline"/>
        </w:rPr>
        <w:t>Wilson,</w:t>
      </w:r>
      <w:r>
        <w:rPr>
          <w:spacing w:val="-3"/>
          <w:sz w:val="18"/>
          <w:vertAlign w:val="baseline"/>
        </w:rPr>
        <w:t> </w:t>
      </w:r>
      <w:r>
        <w:rPr>
          <w:sz w:val="18"/>
          <w:vertAlign w:val="baseline"/>
        </w:rPr>
        <w:t>Bianca</w:t>
      </w:r>
      <w:r>
        <w:rPr>
          <w:spacing w:val="-2"/>
          <w:sz w:val="18"/>
          <w:vertAlign w:val="baseline"/>
        </w:rPr>
        <w:t> </w:t>
      </w:r>
      <w:r>
        <w:rPr>
          <w:sz w:val="18"/>
          <w:vertAlign w:val="baseline"/>
        </w:rPr>
        <w:t>D.M.</w:t>
      </w:r>
      <w:r>
        <w:rPr>
          <w:spacing w:val="-2"/>
          <w:sz w:val="18"/>
          <w:vertAlign w:val="baseline"/>
        </w:rPr>
        <w:t> </w:t>
      </w:r>
      <w:r>
        <w:rPr>
          <w:sz w:val="18"/>
          <w:vertAlign w:val="baseline"/>
        </w:rPr>
        <w:t>2019.</w:t>
      </w:r>
      <w:r>
        <w:rPr>
          <w:spacing w:val="-2"/>
          <w:sz w:val="18"/>
          <w:vertAlign w:val="baseline"/>
        </w:rPr>
        <w:t> </w:t>
      </w:r>
      <w:r>
        <w:rPr>
          <w:sz w:val="18"/>
          <w:vertAlign w:val="baseline"/>
        </w:rPr>
        <w:t>LGBTQ</w:t>
      </w:r>
      <w:r>
        <w:rPr>
          <w:spacing w:val="-2"/>
          <w:sz w:val="18"/>
          <w:vertAlign w:val="baseline"/>
        </w:rPr>
        <w:t> </w:t>
      </w:r>
      <w:r>
        <w:rPr>
          <w:sz w:val="18"/>
          <w:vertAlign w:val="baseline"/>
        </w:rPr>
        <w:t>Youth</w:t>
      </w:r>
      <w:r>
        <w:rPr>
          <w:spacing w:val="-2"/>
          <w:sz w:val="18"/>
          <w:vertAlign w:val="baseline"/>
        </w:rPr>
        <w:t> </w:t>
      </w:r>
      <w:r>
        <w:rPr>
          <w:sz w:val="18"/>
          <w:vertAlign w:val="baseline"/>
        </w:rPr>
        <w:t>of</w:t>
      </w:r>
      <w:r>
        <w:rPr>
          <w:spacing w:val="-2"/>
          <w:sz w:val="18"/>
          <w:vertAlign w:val="baseline"/>
        </w:rPr>
        <w:t> </w:t>
      </w:r>
      <w:r>
        <w:rPr>
          <w:sz w:val="18"/>
          <w:vertAlign w:val="baseline"/>
        </w:rPr>
        <w:t>Color</w:t>
      </w:r>
      <w:r>
        <w:rPr>
          <w:spacing w:val="-3"/>
          <w:sz w:val="18"/>
          <w:vertAlign w:val="baseline"/>
        </w:rPr>
        <w:t> </w:t>
      </w:r>
      <w:r>
        <w:rPr>
          <w:sz w:val="18"/>
          <w:vertAlign w:val="baseline"/>
        </w:rPr>
        <w:t>Impacted</w:t>
      </w:r>
      <w:r>
        <w:rPr>
          <w:spacing w:val="-2"/>
          <w:sz w:val="18"/>
          <w:vertAlign w:val="baseline"/>
        </w:rPr>
        <w:t> </w:t>
      </w:r>
      <w:r>
        <w:rPr>
          <w:sz w:val="18"/>
          <w:vertAlign w:val="baseline"/>
        </w:rPr>
        <w:t>by</w:t>
      </w:r>
      <w:r>
        <w:rPr>
          <w:spacing w:val="-2"/>
          <w:sz w:val="18"/>
          <w:vertAlign w:val="baseline"/>
        </w:rPr>
        <w:t> </w:t>
      </w:r>
      <w:r>
        <w:rPr>
          <w:sz w:val="18"/>
          <w:vertAlign w:val="baseline"/>
        </w:rPr>
        <w:t>the</w:t>
      </w:r>
      <w:r>
        <w:rPr>
          <w:spacing w:val="-2"/>
          <w:sz w:val="18"/>
          <w:vertAlign w:val="baseline"/>
        </w:rPr>
        <w:t> </w:t>
      </w:r>
      <w:r>
        <w:rPr>
          <w:sz w:val="18"/>
          <w:vertAlign w:val="baseline"/>
        </w:rPr>
        <w:t>Child</w:t>
      </w:r>
      <w:r>
        <w:rPr>
          <w:spacing w:val="-2"/>
          <w:sz w:val="18"/>
          <w:vertAlign w:val="baseline"/>
        </w:rPr>
        <w:t> </w:t>
      </w:r>
      <w:r>
        <w:rPr>
          <w:sz w:val="18"/>
          <w:vertAlign w:val="baseline"/>
        </w:rPr>
        <w:t>Welfare</w:t>
      </w:r>
      <w:r>
        <w:rPr>
          <w:spacing w:val="-2"/>
          <w:sz w:val="18"/>
          <w:vertAlign w:val="baseline"/>
        </w:rPr>
        <w:t> </w:t>
      </w:r>
      <w:r>
        <w:rPr>
          <w:sz w:val="18"/>
          <w:vertAlign w:val="baseline"/>
        </w:rPr>
        <w:t>and</w:t>
      </w:r>
      <w:r>
        <w:rPr>
          <w:spacing w:val="-2"/>
          <w:sz w:val="18"/>
          <w:vertAlign w:val="baseline"/>
        </w:rPr>
        <w:t> </w:t>
      </w:r>
      <w:r>
        <w:rPr>
          <w:sz w:val="18"/>
          <w:vertAlign w:val="baseline"/>
        </w:rPr>
        <w:t>Juvenile</w:t>
      </w:r>
      <w:r>
        <w:rPr>
          <w:spacing w:val="-3"/>
          <w:sz w:val="18"/>
          <w:vertAlign w:val="baseline"/>
        </w:rPr>
        <w:t> </w:t>
      </w:r>
      <w:r>
        <w:rPr>
          <w:sz w:val="18"/>
          <w:vertAlign w:val="baseline"/>
        </w:rPr>
        <w:t>Justice Systems (Los Angeles: Williams Institute at the UCLA School of Law, 2019), https://williamsinstitute.law.ucla.edu/wp- </w:t>
      </w:r>
      <w:r>
        <w:rPr>
          <w:spacing w:val="-2"/>
          <w:sz w:val="18"/>
          <w:vertAlign w:val="baseline"/>
        </w:rPr>
        <w:t>content/uploads/LGBTQYOC-Social-Services-Jul-2019.pdf.</w:t>
      </w:r>
    </w:p>
    <w:p>
      <w:pPr>
        <w:spacing w:before="0"/>
        <w:ind w:left="320" w:right="481" w:firstLine="0"/>
        <w:jc w:val="left"/>
        <w:rPr>
          <w:sz w:val="18"/>
        </w:rPr>
      </w:pPr>
      <w:r>
        <w:rPr>
          <w:sz w:val="18"/>
          <w:vertAlign w:val="superscript"/>
        </w:rPr>
        <w:t>12</w:t>
      </w:r>
      <w:r>
        <w:rPr>
          <w:spacing w:val="-2"/>
          <w:sz w:val="18"/>
          <w:vertAlign w:val="baseline"/>
        </w:rPr>
        <w:t> </w:t>
      </w:r>
      <w:r>
        <w:rPr>
          <w:sz w:val="18"/>
          <w:vertAlign w:val="baseline"/>
        </w:rPr>
        <w:t>Center</w:t>
      </w:r>
      <w:r>
        <w:rPr>
          <w:spacing w:val="-3"/>
          <w:sz w:val="18"/>
          <w:vertAlign w:val="baseline"/>
        </w:rPr>
        <w:t> </w:t>
      </w:r>
      <w:r>
        <w:rPr>
          <w:sz w:val="18"/>
          <w:vertAlign w:val="baseline"/>
        </w:rPr>
        <w:t>for</w:t>
      </w:r>
      <w:r>
        <w:rPr>
          <w:spacing w:val="-3"/>
          <w:sz w:val="18"/>
          <w:vertAlign w:val="baseline"/>
        </w:rPr>
        <w:t> </w:t>
      </w:r>
      <w:r>
        <w:rPr>
          <w:sz w:val="18"/>
          <w:vertAlign w:val="baseline"/>
        </w:rPr>
        <w:t>American</w:t>
      </w:r>
      <w:r>
        <w:rPr>
          <w:spacing w:val="-2"/>
          <w:sz w:val="18"/>
          <w:vertAlign w:val="baseline"/>
        </w:rPr>
        <w:t> </w:t>
      </w:r>
      <w:r>
        <w:rPr>
          <w:sz w:val="18"/>
          <w:vertAlign w:val="baseline"/>
        </w:rPr>
        <w:t>Progress,</w:t>
      </w:r>
      <w:r>
        <w:rPr>
          <w:spacing w:val="-3"/>
          <w:sz w:val="18"/>
          <w:vertAlign w:val="baseline"/>
        </w:rPr>
        <w:t> </w:t>
      </w:r>
      <w:r>
        <w:rPr>
          <w:sz w:val="18"/>
          <w:vertAlign w:val="baseline"/>
        </w:rPr>
        <w:t>MAP,</w:t>
      </w:r>
      <w:r>
        <w:rPr>
          <w:spacing w:val="-3"/>
          <w:sz w:val="18"/>
          <w:vertAlign w:val="baseline"/>
        </w:rPr>
        <w:t> </w:t>
      </w:r>
      <w:r>
        <w:rPr>
          <w:sz w:val="18"/>
          <w:vertAlign w:val="baseline"/>
        </w:rPr>
        <w:t>and</w:t>
      </w:r>
      <w:r>
        <w:rPr>
          <w:spacing w:val="-2"/>
          <w:sz w:val="18"/>
          <w:vertAlign w:val="baseline"/>
        </w:rPr>
        <w:t> </w:t>
      </w:r>
      <w:r>
        <w:rPr>
          <w:sz w:val="18"/>
          <w:vertAlign w:val="baseline"/>
        </w:rPr>
        <w:t>Youth</w:t>
      </w:r>
      <w:r>
        <w:rPr>
          <w:spacing w:val="-2"/>
          <w:sz w:val="18"/>
          <w:vertAlign w:val="baseline"/>
        </w:rPr>
        <w:t> </w:t>
      </w:r>
      <w:r>
        <w:rPr>
          <w:sz w:val="18"/>
          <w:vertAlign w:val="baseline"/>
        </w:rPr>
        <w:t>First.</w:t>
      </w:r>
      <w:r>
        <w:rPr>
          <w:spacing w:val="-2"/>
          <w:sz w:val="18"/>
          <w:vertAlign w:val="baseline"/>
        </w:rPr>
        <w:t> </w:t>
      </w:r>
      <w:r>
        <w:rPr>
          <w:sz w:val="18"/>
          <w:vertAlign w:val="baseline"/>
        </w:rPr>
        <w:t>2017.</w:t>
      </w:r>
      <w:r>
        <w:rPr>
          <w:spacing w:val="-2"/>
          <w:sz w:val="18"/>
          <w:vertAlign w:val="baseline"/>
        </w:rPr>
        <w:t> </w:t>
      </w:r>
      <w:r>
        <w:rPr>
          <w:sz w:val="18"/>
          <w:vertAlign w:val="baseline"/>
        </w:rPr>
        <w:t>"Unjust:</w:t>
      </w:r>
      <w:r>
        <w:rPr>
          <w:spacing w:val="-2"/>
          <w:sz w:val="18"/>
          <w:vertAlign w:val="baseline"/>
        </w:rPr>
        <w:t> </w:t>
      </w:r>
      <w:r>
        <w:rPr>
          <w:sz w:val="18"/>
          <w:vertAlign w:val="baseline"/>
        </w:rPr>
        <w:t>LGBTQ</w:t>
      </w:r>
      <w:r>
        <w:rPr>
          <w:spacing w:val="-2"/>
          <w:sz w:val="18"/>
          <w:vertAlign w:val="baseline"/>
        </w:rPr>
        <w:t> </w:t>
      </w:r>
      <w:r>
        <w:rPr>
          <w:sz w:val="18"/>
          <w:vertAlign w:val="baseline"/>
        </w:rPr>
        <w:t>Youth</w:t>
      </w:r>
      <w:r>
        <w:rPr>
          <w:spacing w:val="-2"/>
          <w:sz w:val="18"/>
          <w:vertAlign w:val="baseline"/>
        </w:rPr>
        <w:t> </w:t>
      </w:r>
      <w:r>
        <w:rPr>
          <w:sz w:val="18"/>
          <w:vertAlign w:val="baseline"/>
        </w:rPr>
        <w:t>Incarcerated</w:t>
      </w:r>
      <w:r>
        <w:rPr>
          <w:spacing w:val="-2"/>
          <w:sz w:val="18"/>
          <w:vertAlign w:val="baseline"/>
        </w:rPr>
        <w:t> </w:t>
      </w:r>
      <w:r>
        <w:rPr>
          <w:sz w:val="18"/>
          <w:vertAlign w:val="baseline"/>
        </w:rPr>
        <w:t>in</w:t>
      </w:r>
      <w:r>
        <w:rPr>
          <w:spacing w:val="-2"/>
          <w:sz w:val="18"/>
          <w:vertAlign w:val="baseline"/>
        </w:rPr>
        <w:t> </w:t>
      </w:r>
      <w:r>
        <w:rPr>
          <w:sz w:val="18"/>
          <w:vertAlign w:val="baseline"/>
        </w:rPr>
        <w:t>the</w:t>
      </w:r>
      <w:r>
        <w:rPr>
          <w:spacing w:val="-2"/>
          <w:sz w:val="18"/>
          <w:vertAlign w:val="baseline"/>
        </w:rPr>
        <w:t> </w:t>
      </w:r>
      <w:r>
        <w:rPr>
          <w:sz w:val="18"/>
          <w:vertAlign w:val="baseline"/>
        </w:rPr>
        <w:t>Juvenile</w:t>
      </w:r>
      <w:r>
        <w:rPr>
          <w:spacing w:val="-2"/>
          <w:sz w:val="18"/>
          <w:vertAlign w:val="baseline"/>
        </w:rPr>
        <w:t> </w:t>
      </w:r>
      <w:r>
        <w:rPr>
          <w:sz w:val="18"/>
          <w:vertAlign w:val="baseline"/>
        </w:rPr>
        <w:t>Justice System." June 2017. </w:t>
      </w:r>
      <w:hyperlink r:id="rId479">
        <w:r>
          <w:rPr>
            <w:sz w:val="18"/>
            <w:u w:val="single"/>
            <w:vertAlign w:val="baseline"/>
          </w:rPr>
          <w:t>https://www.lgbtmap.org/file/lgbtq-incarcerated-youth.pdf</w:t>
        </w:r>
        <w:r>
          <w:rPr>
            <w:sz w:val="18"/>
            <w:u w:val="none"/>
            <w:vertAlign w:val="baseline"/>
          </w:rPr>
          <w:t>.</w:t>
        </w:r>
      </w:hyperlink>
    </w:p>
    <w:p>
      <w:pPr>
        <w:spacing w:before="0"/>
        <w:ind w:left="320" w:right="0" w:firstLine="0"/>
        <w:jc w:val="left"/>
        <w:rPr>
          <w:sz w:val="18"/>
        </w:rPr>
      </w:pPr>
      <w:r>
        <w:rPr>
          <w:sz w:val="18"/>
          <w:vertAlign w:val="superscript"/>
        </w:rPr>
        <w:t>13</w:t>
      </w:r>
      <w:r>
        <w:rPr>
          <w:spacing w:val="-2"/>
          <w:sz w:val="18"/>
          <w:vertAlign w:val="baseline"/>
        </w:rPr>
        <w:t> </w:t>
      </w:r>
      <w:r>
        <w:rPr>
          <w:sz w:val="18"/>
          <w:vertAlign w:val="baseline"/>
        </w:rPr>
        <w:t>Prison</w:t>
      </w:r>
      <w:r>
        <w:rPr>
          <w:spacing w:val="-2"/>
          <w:sz w:val="18"/>
          <w:vertAlign w:val="baseline"/>
        </w:rPr>
        <w:t> </w:t>
      </w:r>
      <w:r>
        <w:rPr>
          <w:sz w:val="18"/>
          <w:vertAlign w:val="baseline"/>
        </w:rPr>
        <w:t>Policy</w:t>
      </w:r>
      <w:r>
        <w:rPr>
          <w:spacing w:val="-2"/>
          <w:sz w:val="18"/>
          <w:vertAlign w:val="baseline"/>
        </w:rPr>
        <w:t> </w:t>
      </w:r>
      <w:r>
        <w:rPr>
          <w:sz w:val="18"/>
          <w:vertAlign w:val="baseline"/>
        </w:rPr>
        <w:t>Initiative.</w:t>
      </w:r>
      <w:r>
        <w:rPr>
          <w:spacing w:val="-2"/>
          <w:sz w:val="18"/>
          <w:vertAlign w:val="baseline"/>
        </w:rPr>
        <w:t> </w:t>
      </w:r>
      <w:r>
        <w:rPr>
          <w:sz w:val="18"/>
          <w:vertAlign w:val="baseline"/>
        </w:rPr>
        <w:t>2021.</w:t>
      </w:r>
      <w:r>
        <w:rPr>
          <w:spacing w:val="-2"/>
          <w:sz w:val="18"/>
          <w:vertAlign w:val="baseline"/>
        </w:rPr>
        <w:t> </w:t>
      </w:r>
      <w:r>
        <w:rPr>
          <w:sz w:val="18"/>
          <w:vertAlign w:val="baseline"/>
        </w:rPr>
        <w:t>“Visualizing</w:t>
      </w:r>
      <w:r>
        <w:rPr>
          <w:spacing w:val="-2"/>
          <w:sz w:val="18"/>
          <w:vertAlign w:val="baseline"/>
        </w:rPr>
        <w:t> </w:t>
      </w:r>
      <w:r>
        <w:rPr>
          <w:sz w:val="18"/>
          <w:vertAlign w:val="baseline"/>
        </w:rPr>
        <w:t>the</w:t>
      </w:r>
      <w:r>
        <w:rPr>
          <w:spacing w:val="-2"/>
          <w:sz w:val="18"/>
          <w:vertAlign w:val="baseline"/>
        </w:rPr>
        <w:t> </w:t>
      </w:r>
      <w:r>
        <w:rPr>
          <w:sz w:val="18"/>
          <w:vertAlign w:val="baseline"/>
        </w:rPr>
        <w:t>Unequal</w:t>
      </w:r>
      <w:r>
        <w:rPr>
          <w:spacing w:val="-3"/>
          <w:sz w:val="18"/>
          <w:vertAlign w:val="baseline"/>
        </w:rPr>
        <w:t> </w:t>
      </w:r>
      <w:r>
        <w:rPr>
          <w:sz w:val="18"/>
          <w:vertAlign w:val="baseline"/>
        </w:rPr>
        <w:t>Treatment</w:t>
      </w:r>
      <w:r>
        <w:rPr>
          <w:spacing w:val="-4"/>
          <w:sz w:val="18"/>
          <w:vertAlign w:val="baseline"/>
        </w:rPr>
        <w:t> </w:t>
      </w:r>
      <w:r>
        <w:rPr>
          <w:sz w:val="18"/>
          <w:vertAlign w:val="baseline"/>
        </w:rPr>
        <w:t>of</w:t>
      </w:r>
      <w:r>
        <w:rPr>
          <w:spacing w:val="-2"/>
          <w:sz w:val="18"/>
          <w:vertAlign w:val="baseline"/>
        </w:rPr>
        <w:t> </w:t>
      </w:r>
      <w:r>
        <w:rPr>
          <w:sz w:val="18"/>
          <w:vertAlign w:val="baseline"/>
        </w:rPr>
        <w:t>LGBTQ</w:t>
      </w:r>
      <w:r>
        <w:rPr>
          <w:spacing w:val="-4"/>
          <w:sz w:val="18"/>
          <w:vertAlign w:val="baseline"/>
        </w:rPr>
        <w:t> </w:t>
      </w:r>
      <w:r>
        <w:rPr>
          <w:sz w:val="18"/>
          <w:vertAlign w:val="baseline"/>
        </w:rPr>
        <w:t>People</w:t>
      </w:r>
      <w:r>
        <w:rPr>
          <w:spacing w:val="-2"/>
          <w:sz w:val="18"/>
          <w:vertAlign w:val="baseline"/>
        </w:rPr>
        <w:t> </w:t>
      </w:r>
      <w:r>
        <w:rPr>
          <w:sz w:val="18"/>
          <w:vertAlign w:val="baseline"/>
        </w:rPr>
        <w:t>in</w:t>
      </w:r>
      <w:r>
        <w:rPr>
          <w:spacing w:val="-2"/>
          <w:sz w:val="18"/>
          <w:vertAlign w:val="baseline"/>
        </w:rPr>
        <w:t> </w:t>
      </w:r>
      <w:r>
        <w:rPr>
          <w:sz w:val="18"/>
          <w:vertAlign w:val="baseline"/>
        </w:rPr>
        <w:t>the</w:t>
      </w:r>
      <w:r>
        <w:rPr>
          <w:spacing w:val="-2"/>
          <w:sz w:val="18"/>
          <w:vertAlign w:val="baseline"/>
        </w:rPr>
        <w:t> </w:t>
      </w:r>
      <w:r>
        <w:rPr>
          <w:sz w:val="18"/>
          <w:vertAlign w:val="baseline"/>
        </w:rPr>
        <w:t>Criminal</w:t>
      </w:r>
      <w:r>
        <w:rPr>
          <w:spacing w:val="-3"/>
          <w:sz w:val="18"/>
          <w:vertAlign w:val="baseline"/>
        </w:rPr>
        <w:t> </w:t>
      </w:r>
      <w:r>
        <w:rPr>
          <w:sz w:val="18"/>
          <w:vertAlign w:val="baseline"/>
        </w:rPr>
        <w:t>Justice</w:t>
      </w:r>
      <w:r>
        <w:rPr>
          <w:spacing w:val="-2"/>
          <w:sz w:val="18"/>
          <w:vertAlign w:val="baseline"/>
        </w:rPr>
        <w:t> </w:t>
      </w:r>
      <w:r>
        <w:rPr>
          <w:sz w:val="18"/>
          <w:vertAlign w:val="baseline"/>
        </w:rPr>
        <w:t>System”.</w:t>
      </w:r>
      <w:r>
        <w:rPr>
          <w:spacing w:val="-3"/>
          <w:sz w:val="18"/>
          <w:vertAlign w:val="baseline"/>
        </w:rPr>
        <w:t> </w:t>
      </w:r>
      <w:r>
        <w:rPr>
          <w:sz w:val="18"/>
          <w:vertAlign w:val="baseline"/>
        </w:rPr>
        <w:t>2021. </w:t>
      </w:r>
      <w:hyperlink r:id="rId480">
        <w:r>
          <w:rPr>
            <w:spacing w:val="-2"/>
            <w:sz w:val="18"/>
            <w:u w:val="single"/>
            <w:vertAlign w:val="baseline"/>
          </w:rPr>
          <w:t>https://www.prisonpolicy.org/blog/2021/03/02/lgbtq/</w:t>
        </w:r>
      </w:hyperlink>
    </w:p>
    <w:p>
      <w:pPr>
        <w:spacing w:line="219" w:lineRule="exact" w:before="0"/>
        <w:ind w:left="320" w:right="0" w:firstLine="0"/>
        <w:jc w:val="left"/>
        <w:rPr>
          <w:i/>
          <w:sz w:val="18"/>
        </w:rPr>
      </w:pPr>
      <w:r>
        <w:rPr>
          <w:sz w:val="18"/>
          <w:vertAlign w:val="superscript"/>
        </w:rPr>
        <w:t>14</w:t>
      </w:r>
      <w:r>
        <w:rPr>
          <w:sz w:val="18"/>
          <w:vertAlign w:val="baseline"/>
        </w:rPr>
        <w:t> </w:t>
      </w:r>
      <w:r>
        <w:rPr>
          <w:i/>
          <w:spacing w:val="-5"/>
          <w:sz w:val="18"/>
          <w:vertAlign w:val="baseline"/>
        </w:rPr>
        <w:t>Id.</w:t>
      </w:r>
    </w:p>
    <w:p>
      <w:pPr>
        <w:spacing w:before="0"/>
        <w:ind w:left="320" w:right="228" w:firstLine="0"/>
        <w:jc w:val="left"/>
        <w:rPr>
          <w:sz w:val="18"/>
        </w:rPr>
      </w:pPr>
      <w:r>
        <w:rPr>
          <w:sz w:val="18"/>
          <w:vertAlign w:val="superscript"/>
        </w:rPr>
        <w:t>15</w:t>
      </w:r>
      <w:r>
        <w:rPr>
          <w:spacing w:val="-2"/>
          <w:sz w:val="18"/>
          <w:vertAlign w:val="baseline"/>
        </w:rPr>
        <w:t> </w:t>
      </w:r>
      <w:r>
        <w:rPr>
          <w:sz w:val="18"/>
          <w:vertAlign w:val="baseline"/>
        </w:rPr>
        <w:t>Vallas,</w:t>
      </w:r>
      <w:r>
        <w:rPr>
          <w:spacing w:val="-3"/>
          <w:sz w:val="18"/>
          <w:vertAlign w:val="baseline"/>
        </w:rPr>
        <w:t> </w:t>
      </w:r>
      <w:r>
        <w:rPr>
          <w:sz w:val="18"/>
          <w:vertAlign w:val="baseline"/>
        </w:rPr>
        <w:t>R.,</w:t>
      </w:r>
      <w:r>
        <w:rPr>
          <w:spacing w:val="-2"/>
          <w:sz w:val="18"/>
          <w:vertAlign w:val="baseline"/>
        </w:rPr>
        <w:t> </w:t>
      </w:r>
      <w:r>
        <w:rPr>
          <w:sz w:val="18"/>
          <w:vertAlign w:val="baseline"/>
        </w:rPr>
        <w:t>&amp;</w:t>
      </w:r>
      <w:r>
        <w:rPr>
          <w:spacing w:val="-3"/>
          <w:sz w:val="18"/>
          <w:vertAlign w:val="baseline"/>
        </w:rPr>
        <w:t> </w:t>
      </w:r>
      <w:r>
        <w:rPr>
          <w:sz w:val="18"/>
          <w:vertAlign w:val="baseline"/>
        </w:rPr>
        <w:t>Dietrich,</w:t>
      </w:r>
      <w:r>
        <w:rPr>
          <w:spacing w:val="-3"/>
          <w:sz w:val="18"/>
          <w:vertAlign w:val="baseline"/>
        </w:rPr>
        <w:t> </w:t>
      </w:r>
      <w:r>
        <w:rPr>
          <w:sz w:val="18"/>
          <w:vertAlign w:val="baseline"/>
        </w:rPr>
        <w:t>S.</w:t>
      </w:r>
      <w:r>
        <w:rPr>
          <w:spacing w:val="-2"/>
          <w:sz w:val="18"/>
          <w:vertAlign w:val="baseline"/>
        </w:rPr>
        <w:t> </w:t>
      </w:r>
      <w:r>
        <w:rPr>
          <w:sz w:val="18"/>
          <w:vertAlign w:val="baseline"/>
        </w:rPr>
        <w:t>2014.</w:t>
      </w:r>
      <w:r>
        <w:rPr>
          <w:spacing w:val="-2"/>
          <w:sz w:val="18"/>
          <w:vertAlign w:val="baseline"/>
        </w:rPr>
        <w:t> </w:t>
      </w:r>
      <w:r>
        <w:rPr>
          <w:sz w:val="18"/>
          <w:vertAlign w:val="baseline"/>
        </w:rPr>
        <w:t>One</w:t>
      </w:r>
      <w:r>
        <w:rPr>
          <w:spacing w:val="-2"/>
          <w:sz w:val="18"/>
          <w:vertAlign w:val="baseline"/>
        </w:rPr>
        <w:t> </w:t>
      </w:r>
      <w:r>
        <w:rPr>
          <w:sz w:val="18"/>
          <w:vertAlign w:val="baseline"/>
        </w:rPr>
        <w:t>Strike</w:t>
      </w:r>
      <w:r>
        <w:rPr>
          <w:spacing w:val="-2"/>
          <w:sz w:val="18"/>
          <w:vertAlign w:val="baseline"/>
        </w:rPr>
        <w:t> </w:t>
      </w:r>
      <w:r>
        <w:rPr>
          <w:sz w:val="18"/>
          <w:vertAlign w:val="baseline"/>
        </w:rPr>
        <w:t>and</w:t>
      </w:r>
      <w:r>
        <w:rPr>
          <w:spacing w:val="-2"/>
          <w:sz w:val="18"/>
          <w:vertAlign w:val="baseline"/>
        </w:rPr>
        <w:t> </w:t>
      </w:r>
      <w:r>
        <w:rPr>
          <w:sz w:val="18"/>
          <w:vertAlign w:val="baseline"/>
        </w:rPr>
        <w:t>You’re</w:t>
      </w:r>
      <w:r>
        <w:rPr>
          <w:spacing w:val="-2"/>
          <w:sz w:val="18"/>
          <w:vertAlign w:val="baseline"/>
        </w:rPr>
        <w:t> </w:t>
      </w:r>
      <w:r>
        <w:rPr>
          <w:sz w:val="18"/>
          <w:vertAlign w:val="baseline"/>
        </w:rPr>
        <w:t>Out:</w:t>
      </w:r>
      <w:r>
        <w:rPr>
          <w:spacing w:val="-2"/>
          <w:sz w:val="18"/>
          <w:vertAlign w:val="baseline"/>
        </w:rPr>
        <w:t> </w:t>
      </w:r>
      <w:r>
        <w:rPr>
          <w:sz w:val="18"/>
          <w:vertAlign w:val="baseline"/>
        </w:rPr>
        <w:t>How</w:t>
      </w:r>
      <w:r>
        <w:rPr>
          <w:spacing w:val="-1"/>
          <w:sz w:val="18"/>
          <w:vertAlign w:val="baseline"/>
        </w:rPr>
        <w:t> </w:t>
      </w:r>
      <w:r>
        <w:rPr>
          <w:sz w:val="18"/>
          <w:vertAlign w:val="baseline"/>
        </w:rPr>
        <w:t>We</w:t>
      </w:r>
      <w:r>
        <w:rPr>
          <w:spacing w:val="-2"/>
          <w:sz w:val="18"/>
          <w:vertAlign w:val="baseline"/>
        </w:rPr>
        <w:t> </w:t>
      </w:r>
      <w:r>
        <w:rPr>
          <w:sz w:val="18"/>
          <w:vertAlign w:val="baseline"/>
        </w:rPr>
        <w:t>Can</w:t>
      </w:r>
      <w:r>
        <w:rPr>
          <w:spacing w:val="-2"/>
          <w:sz w:val="18"/>
          <w:vertAlign w:val="baseline"/>
        </w:rPr>
        <w:t> </w:t>
      </w:r>
      <w:r>
        <w:rPr>
          <w:sz w:val="18"/>
          <w:vertAlign w:val="baseline"/>
        </w:rPr>
        <w:t>Eliminate</w:t>
      </w:r>
      <w:r>
        <w:rPr>
          <w:spacing w:val="-2"/>
          <w:sz w:val="18"/>
          <w:vertAlign w:val="baseline"/>
        </w:rPr>
        <w:t> </w:t>
      </w:r>
      <w:r>
        <w:rPr>
          <w:sz w:val="18"/>
          <w:vertAlign w:val="baseline"/>
        </w:rPr>
        <w:t>Barriers</w:t>
      </w:r>
      <w:r>
        <w:rPr>
          <w:spacing w:val="-2"/>
          <w:sz w:val="18"/>
          <w:vertAlign w:val="baseline"/>
        </w:rPr>
        <w:t> </w:t>
      </w:r>
      <w:r>
        <w:rPr>
          <w:sz w:val="18"/>
          <w:vertAlign w:val="baseline"/>
        </w:rPr>
        <w:t>to</w:t>
      </w:r>
      <w:r>
        <w:rPr>
          <w:spacing w:val="-2"/>
          <w:sz w:val="18"/>
          <w:vertAlign w:val="baseline"/>
        </w:rPr>
        <w:t> </w:t>
      </w:r>
      <w:r>
        <w:rPr>
          <w:sz w:val="18"/>
          <w:vertAlign w:val="baseline"/>
        </w:rPr>
        <w:t>Economic</w:t>
      </w:r>
      <w:r>
        <w:rPr>
          <w:spacing w:val="-3"/>
          <w:sz w:val="18"/>
          <w:vertAlign w:val="baseline"/>
        </w:rPr>
        <w:t> </w:t>
      </w:r>
      <w:r>
        <w:rPr>
          <w:sz w:val="18"/>
          <w:vertAlign w:val="baseline"/>
        </w:rPr>
        <w:t>Security</w:t>
      </w:r>
      <w:r>
        <w:rPr>
          <w:spacing w:val="-2"/>
          <w:sz w:val="18"/>
          <w:vertAlign w:val="baseline"/>
        </w:rPr>
        <w:t> </w:t>
      </w:r>
      <w:r>
        <w:rPr>
          <w:sz w:val="18"/>
          <w:vertAlign w:val="baseline"/>
        </w:rPr>
        <w:t>and</w:t>
      </w:r>
      <w:r>
        <w:rPr>
          <w:spacing w:val="-2"/>
          <w:sz w:val="18"/>
          <w:vertAlign w:val="baseline"/>
        </w:rPr>
        <w:t> </w:t>
      </w:r>
      <w:r>
        <w:rPr>
          <w:sz w:val="18"/>
          <w:vertAlign w:val="baseline"/>
        </w:rPr>
        <w:t>Mobility for People with Juvenile Records. </w:t>
      </w:r>
      <w:r>
        <w:rPr>
          <w:i/>
          <w:sz w:val="18"/>
          <w:vertAlign w:val="baseline"/>
        </w:rPr>
        <w:t>Center for American Progress</w:t>
      </w:r>
      <w:r>
        <w:rPr>
          <w:sz w:val="18"/>
          <w:vertAlign w:val="baseline"/>
        </w:rPr>
        <w:t>.</w:t>
      </w:r>
    </w:p>
    <w:p>
      <w:pPr>
        <w:spacing w:before="0"/>
        <w:ind w:left="320" w:right="175" w:firstLine="0"/>
        <w:jc w:val="left"/>
        <w:rPr>
          <w:sz w:val="18"/>
        </w:rPr>
      </w:pPr>
      <w:r>
        <w:rPr>
          <w:sz w:val="18"/>
          <w:vertAlign w:val="superscript"/>
        </w:rPr>
        <w:t>16</w:t>
      </w:r>
      <w:r>
        <w:rPr>
          <w:sz w:val="18"/>
          <w:vertAlign w:val="baseline"/>
        </w:rPr>
        <w:t> Massachusetts Department of Youth Services. 2024. "Gender, Race, and LGBTQ+ Outcomes for the DYS 2018 Cohort." Accessed April 13, 2024. </w:t>
      </w:r>
      <w:hyperlink r:id="rId481">
        <w:r>
          <w:rPr>
            <w:sz w:val="18"/>
            <w:u w:val="single"/>
            <w:vertAlign w:val="baseline"/>
          </w:rPr>
          <w:t>https://www.mass.gov/doc/dys-recidivism-report-</w:t>
        </w:r>
      </w:hyperlink>
      <w:r>
        <w:rPr>
          <w:sz w:val="18"/>
          <w:u w:val="none"/>
          <w:vertAlign w:val="baseline"/>
        </w:rPr>
        <w:t> </w:t>
      </w:r>
      <w:hyperlink r:id="rId481">
        <w:r>
          <w:rPr>
            <w:spacing w:val="-2"/>
            <w:sz w:val="18"/>
            <w:u w:val="single"/>
            <w:vertAlign w:val="baseline"/>
          </w:rPr>
          <w:t>2023/download#:~:text=Gender%2C%20Race%2C%20and%20LGBTQ%2B%20Outcomes%20for%20the%20DYS%202018%20Co</w:t>
        </w:r>
      </w:hyperlink>
      <w:r>
        <w:rPr>
          <w:sz w:val="18"/>
          <w:u w:val="none"/>
          <w:vertAlign w:val="baseline"/>
        </w:rPr>
        <w:t> </w:t>
      </w:r>
      <w:hyperlink r:id="rId481">
        <w:r>
          <w:rPr>
            <w:spacing w:val="-2"/>
            <w:sz w:val="18"/>
            <w:u w:val="single"/>
            <w:vertAlign w:val="baseline"/>
          </w:rPr>
          <w:t>hort,-</w:t>
        </w:r>
      </w:hyperlink>
      <w:r>
        <w:rPr>
          <w:sz w:val="18"/>
          <w:u w:val="none"/>
          <w:vertAlign w:val="baseline"/>
        </w:rPr>
        <w:t> </w:t>
      </w:r>
      <w:hyperlink r:id="rId481">
        <w:r>
          <w:rPr>
            <w:spacing w:val="-2"/>
            <w:sz w:val="18"/>
            <w:u w:val="single"/>
            <w:vertAlign w:val="baseline"/>
          </w:rPr>
          <w:t>As%20observed%20historically&amp;text=The%20overall%20recidivism%20rate%20is,female%20accounting%20for%20only%202.3</w:t>
        </w:r>
      </w:hyperlink>
    </w:p>
    <w:p>
      <w:pPr>
        <w:spacing w:before="1"/>
        <w:ind w:left="320" w:right="0" w:firstLine="0"/>
        <w:jc w:val="left"/>
        <w:rPr>
          <w:sz w:val="18"/>
        </w:rPr>
      </w:pPr>
      <w:hyperlink r:id="rId481">
        <w:r>
          <w:rPr>
            <w:spacing w:val="-4"/>
            <w:sz w:val="18"/>
            <w:u w:val="single"/>
          </w:rPr>
          <w:t>%25</w:t>
        </w:r>
        <w:r>
          <w:rPr>
            <w:spacing w:val="-4"/>
            <w:sz w:val="18"/>
            <w:u w:val="none"/>
          </w:rPr>
          <w:t>.</w:t>
        </w:r>
      </w:hyperlink>
    </w:p>
    <w:p>
      <w:pPr>
        <w:spacing w:before="0"/>
        <w:ind w:left="419" w:right="224" w:firstLine="0"/>
        <w:jc w:val="left"/>
        <w:rPr>
          <w:sz w:val="18"/>
        </w:rPr>
      </w:pPr>
      <w:r>
        <w:rPr>
          <w:sz w:val="18"/>
          <w:vertAlign w:val="superscript"/>
        </w:rPr>
        <w:t>17</w:t>
      </w:r>
      <w:r>
        <w:rPr>
          <w:sz w:val="18"/>
          <w:vertAlign w:val="baseline"/>
        </w:rPr>
        <w:t> Lyndon, Jason, et al. 2015. “Coming out of Concrete Closets: A Report on Black &amp; Pink’s National LGBTQ Prisoner Survey” (Omaha:</w:t>
      </w:r>
      <w:r>
        <w:rPr>
          <w:spacing w:val="-6"/>
          <w:sz w:val="18"/>
          <w:vertAlign w:val="baseline"/>
        </w:rPr>
        <w:t> </w:t>
      </w:r>
      <w:r>
        <w:rPr>
          <w:sz w:val="18"/>
          <w:vertAlign w:val="baseline"/>
        </w:rPr>
        <w:t>Black</w:t>
      </w:r>
      <w:r>
        <w:rPr>
          <w:spacing w:val="-7"/>
          <w:sz w:val="18"/>
          <w:vertAlign w:val="baseline"/>
        </w:rPr>
        <w:t> </w:t>
      </w:r>
      <w:r>
        <w:rPr>
          <w:sz w:val="18"/>
          <w:vertAlign w:val="baseline"/>
        </w:rPr>
        <w:t>and</w:t>
      </w:r>
      <w:r>
        <w:rPr>
          <w:spacing w:val="-6"/>
          <w:sz w:val="18"/>
          <w:vertAlign w:val="baseline"/>
        </w:rPr>
        <w:t> </w:t>
      </w:r>
      <w:r>
        <w:rPr>
          <w:sz w:val="18"/>
          <w:vertAlign w:val="baseline"/>
        </w:rPr>
        <w:t>Pink,</w:t>
      </w:r>
      <w:r>
        <w:rPr>
          <w:spacing w:val="-7"/>
          <w:sz w:val="18"/>
          <w:vertAlign w:val="baseline"/>
        </w:rPr>
        <w:t> </w:t>
      </w:r>
      <w:r>
        <w:rPr>
          <w:sz w:val="18"/>
          <w:vertAlign w:val="baseline"/>
        </w:rPr>
        <w:t>2015),</w:t>
      </w:r>
      <w:r>
        <w:rPr>
          <w:spacing w:val="-7"/>
          <w:sz w:val="18"/>
          <w:vertAlign w:val="baseline"/>
        </w:rPr>
        <w:t> </w:t>
      </w:r>
      <w:hyperlink r:id="rId482">
        <w:r>
          <w:rPr>
            <w:sz w:val="18"/>
            <w:vertAlign w:val="baseline"/>
          </w:rPr>
          <w:t>http://www.blackandpink.org/wp-content/upLoads/Coming-Out-of-Concrete-</w:t>
        </w:r>
      </w:hyperlink>
      <w:r>
        <w:rPr>
          <w:spacing w:val="-6"/>
          <w:sz w:val="18"/>
          <w:vertAlign w:val="baseline"/>
        </w:rPr>
        <w:t> </w:t>
      </w:r>
      <w:r>
        <w:rPr>
          <w:sz w:val="18"/>
          <w:vertAlign w:val="baseline"/>
        </w:rPr>
        <w:t>Closets.-Black- </w:t>
      </w:r>
      <w:r>
        <w:rPr>
          <w:spacing w:val="-2"/>
          <w:sz w:val="18"/>
          <w:vertAlign w:val="baseline"/>
        </w:rPr>
        <w:t>and-Pink.-October-21-2015.pdf.</w:t>
      </w:r>
    </w:p>
    <w:p>
      <w:pPr>
        <w:spacing w:before="0"/>
        <w:ind w:left="319" w:right="0" w:firstLine="0"/>
        <w:jc w:val="left"/>
        <w:rPr>
          <w:sz w:val="18"/>
        </w:rPr>
      </w:pPr>
      <w:r>
        <w:rPr>
          <w:sz w:val="18"/>
          <w:vertAlign w:val="superscript"/>
        </w:rPr>
        <w:t>18</w:t>
      </w:r>
      <w:r>
        <w:rPr>
          <w:spacing w:val="-3"/>
          <w:sz w:val="18"/>
          <w:vertAlign w:val="baseline"/>
        </w:rPr>
        <w:t> </w:t>
      </w:r>
      <w:r>
        <w:rPr>
          <w:sz w:val="18"/>
          <w:vertAlign w:val="baseline"/>
        </w:rPr>
        <w:t>Robinson,</w:t>
      </w:r>
      <w:r>
        <w:rPr>
          <w:spacing w:val="-4"/>
          <w:sz w:val="18"/>
          <w:vertAlign w:val="baseline"/>
        </w:rPr>
        <w:t> </w:t>
      </w:r>
      <w:r>
        <w:rPr>
          <w:sz w:val="18"/>
          <w:vertAlign w:val="baseline"/>
        </w:rPr>
        <w:t>Brandon</w:t>
      </w:r>
      <w:r>
        <w:rPr>
          <w:spacing w:val="-3"/>
          <w:sz w:val="18"/>
          <w:vertAlign w:val="baseline"/>
        </w:rPr>
        <w:t> </w:t>
      </w:r>
      <w:r>
        <w:rPr>
          <w:sz w:val="18"/>
          <w:vertAlign w:val="baseline"/>
        </w:rPr>
        <w:t>Andrew.</w:t>
      </w:r>
      <w:r>
        <w:rPr>
          <w:spacing w:val="-3"/>
          <w:sz w:val="18"/>
          <w:vertAlign w:val="baseline"/>
        </w:rPr>
        <w:t> </w:t>
      </w:r>
      <w:r>
        <w:rPr>
          <w:sz w:val="18"/>
          <w:vertAlign w:val="baseline"/>
        </w:rPr>
        <w:t>2020.</w:t>
      </w:r>
      <w:r>
        <w:rPr>
          <w:spacing w:val="-3"/>
          <w:sz w:val="18"/>
          <w:vertAlign w:val="baseline"/>
        </w:rPr>
        <w:t> </w:t>
      </w:r>
      <w:r>
        <w:rPr>
          <w:sz w:val="18"/>
          <w:vertAlign w:val="baseline"/>
        </w:rPr>
        <w:t>“The</w:t>
      </w:r>
      <w:r>
        <w:rPr>
          <w:spacing w:val="-3"/>
          <w:sz w:val="18"/>
          <w:vertAlign w:val="baseline"/>
        </w:rPr>
        <w:t> </w:t>
      </w:r>
      <w:r>
        <w:rPr>
          <w:sz w:val="18"/>
          <w:vertAlign w:val="baseline"/>
        </w:rPr>
        <w:t>Lavender</w:t>
      </w:r>
      <w:r>
        <w:rPr>
          <w:spacing w:val="-4"/>
          <w:sz w:val="18"/>
          <w:vertAlign w:val="baseline"/>
        </w:rPr>
        <w:t> </w:t>
      </w:r>
      <w:r>
        <w:rPr>
          <w:sz w:val="18"/>
          <w:vertAlign w:val="baseline"/>
        </w:rPr>
        <w:t>Scare</w:t>
      </w:r>
      <w:r>
        <w:rPr>
          <w:spacing w:val="-3"/>
          <w:sz w:val="18"/>
          <w:vertAlign w:val="baseline"/>
        </w:rPr>
        <w:t> </w:t>
      </w:r>
      <w:r>
        <w:rPr>
          <w:sz w:val="18"/>
          <w:vertAlign w:val="baseline"/>
        </w:rPr>
        <w:t>in</w:t>
      </w:r>
      <w:r>
        <w:rPr>
          <w:spacing w:val="-3"/>
          <w:sz w:val="18"/>
          <w:vertAlign w:val="baseline"/>
        </w:rPr>
        <w:t> </w:t>
      </w:r>
      <w:r>
        <w:rPr>
          <w:sz w:val="18"/>
          <w:vertAlign w:val="baseline"/>
        </w:rPr>
        <w:t>Homonormative</w:t>
      </w:r>
      <w:r>
        <w:rPr>
          <w:spacing w:val="-3"/>
          <w:sz w:val="18"/>
          <w:vertAlign w:val="baseline"/>
        </w:rPr>
        <w:t> </w:t>
      </w:r>
      <w:r>
        <w:rPr>
          <w:sz w:val="18"/>
          <w:vertAlign w:val="baseline"/>
        </w:rPr>
        <w:t>Times:</w:t>
      </w:r>
      <w:r>
        <w:rPr>
          <w:spacing w:val="-3"/>
          <w:sz w:val="18"/>
          <w:vertAlign w:val="baseline"/>
        </w:rPr>
        <w:t> </w:t>
      </w:r>
      <w:r>
        <w:rPr>
          <w:sz w:val="18"/>
          <w:vertAlign w:val="baseline"/>
        </w:rPr>
        <w:t>Policing,</w:t>
      </w:r>
      <w:r>
        <w:rPr>
          <w:spacing w:val="-4"/>
          <w:sz w:val="18"/>
          <w:vertAlign w:val="baseline"/>
        </w:rPr>
        <w:t> </w:t>
      </w:r>
      <w:r>
        <w:rPr>
          <w:sz w:val="18"/>
          <w:vertAlign w:val="baseline"/>
        </w:rPr>
        <w:t>Hyper-incarceration,</w:t>
      </w:r>
      <w:r>
        <w:rPr>
          <w:spacing w:val="-3"/>
          <w:sz w:val="18"/>
          <w:vertAlign w:val="baseline"/>
        </w:rPr>
        <w:t> </w:t>
      </w:r>
      <w:r>
        <w:rPr>
          <w:sz w:val="18"/>
          <w:vertAlign w:val="baseline"/>
        </w:rPr>
        <w:t>and</w:t>
      </w:r>
      <w:r>
        <w:rPr>
          <w:spacing w:val="-3"/>
          <w:sz w:val="18"/>
          <w:vertAlign w:val="baseline"/>
        </w:rPr>
        <w:t> </w:t>
      </w:r>
      <w:r>
        <w:rPr>
          <w:sz w:val="18"/>
          <w:vertAlign w:val="baseline"/>
        </w:rPr>
        <w:t>LGBTQ Youth Homelessness,” </w:t>
      </w:r>
      <w:r>
        <w:rPr>
          <w:i/>
          <w:sz w:val="18"/>
          <w:vertAlign w:val="baseline"/>
        </w:rPr>
        <w:t>Gender &amp; Society </w:t>
      </w:r>
      <w:r>
        <w:rPr>
          <w:sz w:val="18"/>
          <w:vertAlign w:val="baseline"/>
        </w:rPr>
        <w:t>34(2), 2020, https://journals.sagepub.com/doi/full/10.1177/0891243220906172.</w:t>
      </w:r>
    </w:p>
    <w:p>
      <w:pPr>
        <w:spacing w:before="0"/>
        <w:ind w:left="319" w:right="329" w:firstLine="0"/>
        <w:jc w:val="left"/>
        <w:rPr>
          <w:sz w:val="18"/>
        </w:rPr>
      </w:pPr>
      <w:r>
        <w:rPr>
          <w:sz w:val="18"/>
          <w:vertAlign w:val="superscript"/>
        </w:rPr>
        <w:t>19</w:t>
      </w:r>
      <w:r>
        <w:rPr>
          <w:sz w:val="18"/>
          <w:vertAlign w:val="baseline"/>
        </w:rPr>
        <w:t> Steinberg, L. 2015. </w:t>
      </w:r>
      <w:r>
        <w:rPr>
          <w:i/>
          <w:sz w:val="18"/>
          <w:vertAlign w:val="baseline"/>
        </w:rPr>
        <w:t>Age of Opportunity: Lessons from the New Science of Adolescence</w:t>
      </w:r>
      <w:r>
        <w:rPr>
          <w:sz w:val="18"/>
          <w:vertAlign w:val="baseline"/>
        </w:rPr>
        <w:t>. New York: An Eamon Dolan Book. </w:t>
      </w:r>
      <w:r>
        <w:rPr>
          <w:sz w:val="18"/>
          <w:vertAlign w:val="superscript"/>
        </w:rPr>
        <w:t>20</w:t>
      </w:r>
      <w:r>
        <w:rPr>
          <w:sz w:val="18"/>
          <w:vertAlign w:val="baseline"/>
        </w:rPr>
        <w:t>Badgett,</w:t>
      </w:r>
      <w:r>
        <w:rPr>
          <w:spacing w:val="36"/>
          <w:sz w:val="18"/>
          <w:vertAlign w:val="baseline"/>
        </w:rPr>
        <w:t> </w:t>
      </w:r>
      <w:r>
        <w:rPr>
          <w:sz w:val="18"/>
          <w:vertAlign w:val="baseline"/>
        </w:rPr>
        <w:t>M.V.</w:t>
      </w:r>
      <w:r>
        <w:rPr>
          <w:spacing w:val="-2"/>
          <w:sz w:val="18"/>
          <w:vertAlign w:val="baseline"/>
        </w:rPr>
        <w:t> </w:t>
      </w:r>
      <w:r>
        <w:rPr>
          <w:sz w:val="18"/>
          <w:vertAlign w:val="baseline"/>
        </w:rPr>
        <w:t>Lee</w:t>
      </w:r>
      <w:r>
        <w:rPr>
          <w:spacing w:val="-2"/>
          <w:sz w:val="18"/>
          <w:vertAlign w:val="baseline"/>
        </w:rPr>
        <w:t> </w:t>
      </w:r>
      <w:r>
        <w:rPr>
          <w:sz w:val="18"/>
          <w:vertAlign w:val="baseline"/>
        </w:rPr>
        <w:t>,</w:t>
      </w:r>
      <w:r>
        <w:rPr>
          <w:spacing w:val="-3"/>
          <w:sz w:val="18"/>
          <w:vertAlign w:val="baseline"/>
        </w:rPr>
        <w:t> </w:t>
      </w:r>
      <w:r>
        <w:rPr>
          <w:sz w:val="18"/>
          <w:vertAlign w:val="baseline"/>
        </w:rPr>
        <w:t>Soon</w:t>
      </w:r>
      <w:r>
        <w:rPr>
          <w:spacing w:val="-2"/>
          <w:sz w:val="18"/>
          <w:vertAlign w:val="baseline"/>
        </w:rPr>
        <w:t> </w:t>
      </w:r>
      <w:r>
        <w:rPr>
          <w:sz w:val="18"/>
          <w:vertAlign w:val="baseline"/>
        </w:rPr>
        <w:t>Kyu</w:t>
      </w:r>
      <w:r>
        <w:rPr>
          <w:spacing w:val="-2"/>
          <w:sz w:val="18"/>
          <w:vertAlign w:val="baseline"/>
        </w:rPr>
        <w:t> </w:t>
      </w:r>
      <w:r>
        <w:rPr>
          <w:sz w:val="18"/>
          <w:vertAlign w:val="baseline"/>
        </w:rPr>
        <w:t>Choi,</w:t>
      </w:r>
      <w:r>
        <w:rPr>
          <w:spacing w:val="-3"/>
          <w:sz w:val="18"/>
          <w:vertAlign w:val="baseline"/>
        </w:rPr>
        <w:t> </w:t>
      </w:r>
      <w:r>
        <w:rPr>
          <w:sz w:val="18"/>
          <w:vertAlign w:val="baseline"/>
        </w:rPr>
        <w:t>and</w:t>
      </w:r>
      <w:r>
        <w:rPr>
          <w:spacing w:val="-2"/>
          <w:sz w:val="18"/>
          <w:vertAlign w:val="baseline"/>
        </w:rPr>
        <w:t> </w:t>
      </w:r>
      <w:r>
        <w:rPr>
          <w:sz w:val="18"/>
          <w:vertAlign w:val="baseline"/>
        </w:rPr>
        <w:t>Bianca</w:t>
      </w:r>
      <w:r>
        <w:rPr>
          <w:spacing w:val="-2"/>
          <w:sz w:val="18"/>
          <w:vertAlign w:val="baseline"/>
        </w:rPr>
        <w:t> </w:t>
      </w:r>
      <w:r>
        <w:rPr>
          <w:sz w:val="18"/>
          <w:vertAlign w:val="baseline"/>
        </w:rPr>
        <w:t>D.M.</w:t>
      </w:r>
      <w:r>
        <w:rPr>
          <w:spacing w:val="-2"/>
          <w:sz w:val="18"/>
          <w:vertAlign w:val="baseline"/>
        </w:rPr>
        <w:t> </w:t>
      </w:r>
      <w:r>
        <w:rPr>
          <w:sz w:val="18"/>
          <w:vertAlign w:val="baseline"/>
        </w:rPr>
        <w:t>Wilson.</w:t>
      </w:r>
      <w:r>
        <w:rPr>
          <w:spacing w:val="-2"/>
          <w:sz w:val="18"/>
          <w:vertAlign w:val="baseline"/>
        </w:rPr>
        <w:t> </w:t>
      </w:r>
      <w:r>
        <w:rPr>
          <w:sz w:val="18"/>
          <w:vertAlign w:val="baseline"/>
        </w:rPr>
        <w:t>2019.</w:t>
      </w:r>
      <w:r>
        <w:rPr>
          <w:spacing w:val="-2"/>
          <w:sz w:val="18"/>
          <w:vertAlign w:val="baseline"/>
        </w:rPr>
        <w:t> </w:t>
      </w:r>
      <w:r>
        <w:rPr>
          <w:i/>
          <w:sz w:val="18"/>
          <w:vertAlign w:val="baseline"/>
        </w:rPr>
        <w:t>LGBT</w:t>
      </w:r>
      <w:r>
        <w:rPr>
          <w:i/>
          <w:spacing w:val="-2"/>
          <w:sz w:val="18"/>
          <w:vertAlign w:val="baseline"/>
        </w:rPr>
        <w:t> </w:t>
      </w:r>
      <w:r>
        <w:rPr>
          <w:i/>
          <w:sz w:val="18"/>
          <w:vertAlign w:val="baseline"/>
        </w:rPr>
        <w:t>Poverty</w:t>
      </w:r>
      <w:r>
        <w:rPr>
          <w:i/>
          <w:spacing w:val="-2"/>
          <w:sz w:val="18"/>
          <w:vertAlign w:val="baseline"/>
        </w:rPr>
        <w:t> </w:t>
      </w:r>
      <w:r>
        <w:rPr>
          <w:i/>
          <w:sz w:val="18"/>
          <w:vertAlign w:val="baseline"/>
        </w:rPr>
        <w:t>in</w:t>
      </w:r>
      <w:r>
        <w:rPr>
          <w:i/>
          <w:spacing w:val="-3"/>
          <w:sz w:val="18"/>
          <w:vertAlign w:val="baseline"/>
        </w:rPr>
        <w:t> </w:t>
      </w:r>
      <w:r>
        <w:rPr>
          <w:i/>
          <w:sz w:val="18"/>
          <w:vertAlign w:val="baseline"/>
        </w:rPr>
        <w:t>the</w:t>
      </w:r>
      <w:r>
        <w:rPr>
          <w:i/>
          <w:spacing w:val="-2"/>
          <w:sz w:val="18"/>
          <w:vertAlign w:val="baseline"/>
        </w:rPr>
        <w:t> </w:t>
      </w:r>
      <w:r>
        <w:rPr>
          <w:i/>
          <w:sz w:val="18"/>
          <w:vertAlign w:val="baseline"/>
        </w:rPr>
        <w:t>United</w:t>
      </w:r>
      <w:r>
        <w:rPr>
          <w:i/>
          <w:spacing w:val="-3"/>
          <w:sz w:val="18"/>
          <w:vertAlign w:val="baseline"/>
        </w:rPr>
        <w:t> </w:t>
      </w:r>
      <w:r>
        <w:rPr>
          <w:i/>
          <w:sz w:val="18"/>
          <w:vertAlign w:val="baseline"/>
        </w:rPr>
        <w:t>States:</w:t>
      </w:r>
      <w:r>
        <w:rPr>
          <w:i/>
          <w:spacing w:val="-2"/>
          <w:sz w:val="18"/>
          <w:vertAlign w:val="baseline"/>
        </w:rPr>
        <w:t> </w:t>
      </w:r>
      <w:r>
        <w:rPr>
          <w:i/>
          <w:sz w:val="18"/>
          <w:vertAlign w:val="baseline"/>
        </w:rPr>
        <w:t>A</w:t>
      </w:r>
      <w:r>
        <w:rPr>
          <w:i/>
          <w:spacing w:val="-2"/>
          <w:sz w:val="18"/>
          <w:vertAlign w:val="baseline"/>
        </w:rPr>
        <w:t> </w:t>
      </w:r>
      <w:r>
        <w:rPr>
          <w:i/>
          <w:sz w:val="18"/>
          <w:vertAlign w:val="baseline"/>
        </w:rPr>
        <w:t>Study</w:t>
      </w:r>
      <w:r>
        <w:rPr>
          <w:i/>
          <w:spacing w:val="-2"/>
          <w:sz w:val="18"/>
          <w:vertAlign w:val="baseline"/>
        </w:rPr>
        <w:t> </w:t>
      </w:r>
      <w:r>
        <w:rPr>
          <w:i/>
          <w:sz w:val="18"/>
          <w:vertAlign w:val="baseline"/>
        </w:rPr>
        <w:t>of</w:t>
      </w:r>
      <w:r>
        <w:rPr>
          <w:i/>
          <w:spacing w:val="-3"/>
          <w:sz w:val="18"/>
          <w:vertAlign w:val="baseline"/>
        </w:rPr>
        <w:t> </w:t>
      </w:r>
      <w:r>
        <w:rPr>
          <w:i/>
          <w:sz w:val="18"/>
          <w:vertAlign w:val="baseline"/>
        </w:rPr>
        <w:t>Differences</w:t>
      </w:r>
      <w:r>
        <w:rPr>
          <w:i/>
          <w:sz w:val="18"/>
          <w:vertAlign w:val="baseline"/>
        </w:rPr>
        <w:t> between Sexual Orientation and Gender Identify Groups </w:t>
      </w:r>
      <w:r>
        <w:rPr>
          <w:sz w:val="18"/>
          <w:vertAlign w:val="baseline"/>
        </w:rPr>
        <w:t>(Los Angeles: Williams Institute at UCLA School of Law, 2019), </w:t>
      </w:r>
      <w:r>
        <w:rPr>
          <w:spacing w:val="-2"/>
          <w:sz w:val="18"/>
          <w:vertAlign w:val="baseline"/>
        </w:rPr>
        <w:t>https://williamsinstitute.law.ucla.edu/wp-content/uploads/National-LGBT-Poverty-Oct-2019.pdf.</w:t>
      </w:r>
    </w:p>
    <w:p>
      <w:pPr>
        <w:spacing w:before="0"/>
        <w:ind w:left="419" w:right="1625" w:hanging="100"/>
        <w:jc w:val="left"/>
        <w:rPr>
          <w:sz w:val="18"/>
        </w:rPr>
      </w:pPr>
      <w:r>
        <w:rPr>
          <w:sz w:val="18"/>
          <w:vertAlign w:val="superscript"/>
        </w:rPr>
        <w:t>21</w:t>
      </w:r>
      <w:r>
        <w:rPr>
          <w:spacing w:val="-3"/>
          <w:sz w:val="18"/>
          <w:vertAlign w:val="baseline"/>
        </w:rPr>
        <w:t> </w:t>
      </w:r>
      <w:r>
        <w:rPr>
          <w:sz w:val="18"/>
          <w:vertAlign w:val="baseline"/>
        </w:rPr>
        <w:t>National</w:t>
      </w:r>
      <w:r>
        <w:rPr>
          <w:spacing w:val="-4"/>
          <w:sz w:val="18"/>
          <w:vertAlign w:val="baseline"/>
        </w:rPr>
        <w:t> </w:t>
      </w:r>
      <w:r>
        <w:rPr>
          <w:sz w:val="18"/>
          <w:vertAlign w:val="baseline"/>
        </w:rPr>
        <w:t>Center</w:t>
      </w:r>
      <w:r>
        <w:rPr>
          <w:spacing w:val="-4"/>
          <w:sz w:val="18"/>
          <w:vertAlign w:val="baseline"/>
        </w:rPr>
        <w:t> </w:t>
      </w:r>
      <w:r>
        <w:rPr>
          <w:sz w:val="18"/>
          <w:vertAlign w:val="baseline"/>
        </w:rPr>
        <w:t>for</w:t>
      </w:r>
      <w:r>
        <w:rPr>
          <w:spacing w:val="-4"/>
          <w:sz w:val="18"/>
          <w:vertAlign w:val="baseline"/>
        </w:rPr>
        <w:t> </w:t>
      </w:r>
      <w:r>
        <w:rPr>
          <w:sz w:val="18"/>
          <w:vertAlign w:val="baseline"/>
        </w:rPr>
        <w:t>Lesbian</w:t>
      </w:r>
      <w:r>
        <w:rPr>
          <w:spacing w:val="-3"/>
          <w:sz w:val="18"/>
          <w:vertAlign w:val="baseline"/>
        </w:rPr>
        <w:t> </w:t>
      </w:r>
      <w:r>
        <w:rPr>
          <w:sz w:val="18"/>
          <w:vertAlign w:val="baseline"/>
        </w:rPr>
        <w:t>Rights.</w:t>
      </w:r>
      <w:r>
        <w:rPr>
          <w:spacing w:val="-3"/>
          <w:sz w:val="18"/>
          <w:vertAlign w:val="baseline"/>
        </w:rPr>
        <w:t> </w:t>
      </w:r>
      <w:r>
        <w:rPr>
          <w:sz w:val="18"/>
          <w:vertAlign w:val="baseline"/>
        </w:rPr>
        <w:t>2021.</w:t>
      </w:r>
      <w:r>
        <w:rPr>
          <w:spacing w:val="-3"/>
          <w:sz w:val="18"/>
          <w:vertAlign w:val="baseline"/>
        </w:rPr>
        <w:t> </w:t>
      </w:r>
      <w:r>
        <w:rPr>
          <w:sz w:val="18"/>
          <w:vertAlign w:val="baseline"/>
        </w:rPr>
        <w:t>“Criminalization</w:t>
      </w:r>
      <w:r>
        <w:rPr>
          <w:spacing w:val="-3"/>
          <w:sz w:val="18"/>
          <w:vertAlign w:val="baseline"/>
        </w:rPr>
        <w:t> </w:t>
      </w:r>
      <w:r>
        <w:rPr>
          <w:sz w:val="18"/>
          <w:vertAlign w:val="baseline"/>
        </w:rPr>
        <w:t>&amp;</w:t>
      </w:r>
      <w:r>
        <w:rPr>
          <w:spacing w:val="-4"/>
          <w:sz w:val="18"/>
          <w:vertAlign w:val="baseline"/>
        </w:rPr>
        <w:t> </w:t>
      </w:r>
      <w:r>
        <w:rPr>
          <w:sz w:val="18"/>
          <w:vertAlign w:val="baseline"/>
        </w:rPr>
        <w:t>Incarceration,”,</w:t>
      </w:r>
      <w:r>
        <w:rPr>
          <w:spacing w:val="-4"/>
          <w:sz w:val="18"/>
          <w:vertAlign w:val="baseline"/>
        </w:rPr>
        <w:t> </w:t>
      </w:r>
      <w:r>
        <w:rPr>
          <w:sz w:val="18"/>
          <w:vertAlign w:val="baseline"/>
        </w:rPr>
        <w:t>Last</w:t>
      </w:r>
      <w:r>
        <w:rPr>
          <w:spacing w:val="-2"/>
          <w:sz w:val="18"/>
          <w:vertAlign w:val="baseline"/>
        </w:rPr>
        <w:t> </w:t>
      </w:r>
      <w:r>
        <w:rPr>
          <w:sz w:val="18"/>
          <w:vertAlign w:val="baseline"/>
        </w:rPr>
        <w:t>accessed</w:t>
      </w:r>
      <w:r>
        <w:rPr>
          <w:spacing w:val="-3"/>
          <w:sz w:val="18"/>
          <w:vertAlign w:val="baseline"/>
        </w:rPr>
        <w:t> </w:t>
      </w:r>
      <w:r>
        <w:rPr>
          <w:sz w:val="18"/>
          <w:vertAlign w:val="baseline"/>
        </w:rPr>
        <w:t>April</w:t>
      </w:r>
      <w:r>
        <w:rPr>
          <w:spacing w:val="-4"/>
          <w:sz w:val="18"/>
          <w:vertAlign w:val="baseline"/>
        </w:rPr>
        <w:t> </w:t>
      </w:r>
      <w:r>
        <w:rPr>
          <w:sz w:val="18"/>
          <w:vertAlign w:val="baseline"/>
        </w:rPr>
        <w:t>28,</w:t>
      </w:r>
      <w:r>
        <w:rPr>
          <w:spacing w:val="-4"/>
          <w:sz w:val="18"/>
          <w:vertAlign w:val="baseline"/>
        </w:rPr>
        <w:t> </w:t>
      </w:r>
      <w:r>
        <w:rPr>
          <w:sz w:val="18"/>
          <w:vertAlign w:val="baseline"/>
        </w:rPr>
        <w:t>2024, </w:t>
      </w:r>
      <w:r>
        <w:rPr>
          <w:spacing w:val="-2"/>
          <w:sz w:val="18"/>
          <w:vertAlign w:val="baseline"/>
        </w:rPr>
        <w:t>https:/</w:t>
      </w:r>
      <w:hyperlink r:id="rId483">
        <w:r>
          <w:rPr>
            <w:spacing w:val="-2"/>
            <w:sz w:val="18"/>
            <w:vertAlign w:val="baseline"/>
          </w:rPr>
          <w:t>/w</w:t>
        </w:r>
      </w:hyperlink>
      <w:r>
        <w:rPr>
          <w:spacing w:val="-2"/>
          <w:sz w:val="18"/>
          <w:vertAlign w:val="baseline"/>
        </w:rPr>
        <w:t>w</w:t>
      </w:r>
      <w:hyperlink r:id="rId483">
        <w:r>
          <w:rPr>
            <w:spacing w:val="-2"/>
            <w:sz w:val="18"/>
            <w:vertAlign w:val="baseline"/>
          </w:rPr>
          <w:t>w.nclrights.org/our-work/racial-economic-justice/criminalization-incarceration.</w:t>
        </w:r>
      </w:hyperlink>
    </w:p>
    <w:p>
      <w:pPr>
        <w:spacing w:before="0"/>
        <w:ind w:left="320" w:right="159" w:hanging="1"/>
        <w:jc w:val="left"/>
        <w:rPr>
          <w:sz w:val="18"/>
        </w:rPr>
      </w:pPr>
      <w:r>
        <w:rPr>
          <w:sz w:val="18"/>
          <w:vertAlign w:val="superscript"/>
        </w:rPr>
        <w:t>22</w:t>
      </w:r>
      <w:r>
        <w:rPr>
          <w:spacing w:val="-2"/>
          <w:sz w:val="18"/>
          <w:vertAlign w:val="baseline"/>
        </w:rPr>
        <w:t> </w:t>
      </w:r>
      <w:r>
        <w:rPr>
          <w:sz w:val="18"/>
          <w:vertAlign w:val="baseline"/>
        </w:rPr>
        <w:t>Peiffer,</w:t>
      </w:r>
      <w:r>
        <w:rPr>
          <w:spacing w:val="-3"/>
          <w:sz w:val="18"/>
          <w:vertAlign w:val="baseline"/>
        </w:rPr>
        <w:t> </w:t>
      </w:r>
      <w:r>
        <w:rPr>
          <w:sz w:val="18"/>
          <w:vertAlign w:val="baseline"/>
        </w:rPr>
        <w:t>Emily.</w:t>
      </w:r>
      <w:r>
        <w:rPr>
          <w:spacing w:val="-2"/>
          <w:sz w:val="18"/>
          <w:vertAlign w:val="baseline"/>
        </w:rPr>
        <w:t> </w:t>
      </w:r>
      <w:r>
        <w:rPr>
          <w:sz w:val="18"/>
          <w:vertAlign w:val="baseline"/>
        </w:rPr>
        <w:t>2020.</w:t>
      </w:r>
      <w:r>
        <w:rPr>
          <w:spacing w:val="-2"/>
          <w:sz w:val="18"/>
          <w:vertAlign w:val="baseline"/>
        </w:rPr>
        <w:t> </w:t>
      </w:r>
      <w:r>
        <w:rPr>
          <w:sz w:val="18"/>
          <w:vertAlign w:val="baseline"/>
        </w:rPr>
        <w:t>“Five</w:t>
      </w:r>
      <w:r>
        <w:rPr>
          <w:spacing w:val="-2"/>
          <w:sz w:val="18"/>
          <w:vertAlign w:val="baseline"/>
        </w:rPr>
        <w:t> </w:t>
      </w:r>
      <w:r>
        <w:rPr>
          <w:sz w:val="18"/>
          <w:vertAlign w:val="baseline"/>
        </w:rPr>
        <w:t>Charts</w:t>
      </w:r>
      <w:r>
        <w:rPr>
          <w:spacing w:val="-2"/>
          <w:sz w:val="18"/>
          <w:vertAlign w:val="baseline"/>
        </w:rPr>
        <w:t> </w:t>
      </w:r>
      <w:r>
        <w:rPr>
          <w:sz w:val="18"/>
          <w:vertAlign w:val="baseline"/>
        </w:rPr>
        <w:t>that</w:t>
      </w:r>
      <w:r>
        <w:rPr>
          <w:spacing w:val="-3"/>
          <w:sz w:val="18"/>
          <w:vertAlign w:val="baseline"/>
        </w:rPr>
        <w:t> </w:t>
      </w:r>
      <w:r>
        <w:rPr>
          <w:sz w:val="18"/>
          <w:vertAlign w:val="baseline"/>
        </w:rPr>
        <w:t>Explain</w:t>
      </w:r>
      <w:r>
        <w:rPr>
          <w:spacing w:val="-2"/>
          <w:sz w:val="18"/>
          <w:vertAlign w:val="baseline"/>
        </w:rPr>
        <w:t> </w:t>
      </w:r>
      <w:r>
        <w:rPr>
          <w:sz w:val="18"/>
          <w:vertAlign w:val="baseline"/>
        </w:rPr>
        <w:t>the</w:t>
      </w:r>
      <w:r>
        <w:rPr>
          <w:spacing w:val="-2"/>
          <w:sz w:val="18"/>
          <w:vertAlign w:val="baseline"/>
        </w:rPr>
        <w:t> </w:t>
      </w:r>
      <w:r>
        <w:rPr>
          <w:sz w:val="18"/>
          <w:vertAlign w:val="baseline"/>
        </w:rPr>
        <w:t>Homelessness-Jail</w:t>
      </w:r>
      <w:r>
        <w:rPr>
          <w:spacing w:val="-3"/>
          <w:sz w:val="18"/>
          <w:vertAlign w:val="baseline"/>
        </w:rPr>
        <w:t> </w:t>
      </w:r>
      <w:r>
        <w:rPr>
          <w:sz w:val="18"/>
          <w:vertAlign w:val="baseline"/>
        </w:rPr>
        <w:t>Cycle-</w:t>
      </w:r>
      <w:r>
        <w:rPr>
          <w:spacing w:val="-2"/>
          <w:sz w:val="18"/>
          <w:vertAlign w:val="baseline"/>
        </w:rPr>
        <w:t> </w:t>
      </w:r>
      <w:r>
        <w:rPr>
          <w:sz w:val="18"/>
          <w:vertAlign w:val="baseline"/>
        </w:rPr>
        <w:t>and</w:t>
      </w:r>
      <w:r>
        <w:rPr>
          <w:spacing w:val="-2"/>
          <w:sz w:val="18"/>
          <w:vertAlign w:val="baseline"/>
        </w:rPr>
        <w:t> </w:t>
      </w:r>
      <w:r>
        <w:rPr>
          <w:sz w:val="18"/>
          <w:vertAlign w:val="baseline"/>
        </w:rPr>
        <w:t>How</w:t>
      </w:r>
      <w:r>
        <w:rPr>
          <w:spacing w:val="-3"/>
          <w:sz w:val="18"/>
          <w:vertAlign w:val="baseline"/>
        </w:rPr>
        <w:t> </w:t>
      </w:r>
      <w:r>
        <w:rPr>
          <w:sz w:val="18"/>
          <w:vertAlign w:val="baseline"/>
        </w:rPr>
        <w:t>to</w:t>
      </w:r>
      <w:r>
        <w:rPr>
          <w:spacing w:val="-2"/>
          <w:sz w:val="18"/>
          <w:vertAlign w:val="baseline"/>
        </w:rPr>
        <w:t> </w:t>
      </w:r>
      <w:r>
        <w:rPr>
          <w:sz w:val="18"/>
          <w:vertAlign w:val="baseline"/>
        </w:rPr>
        <w:t>Break</w:t>
      </w:r>
      <w:r>
        <w:rPr>
          <w:spacing w:val="-3"/>
          <w:sz w:val="18"/>
          <w:vertAlign w:val="baseline"/>
        </w:rPr>
        <w:t> </w:t>
      </w:r>
      <w:r>
        <w:rPr>
          <w:sz w:val="18"/>
          <w:vertAlign w:val="baseline"/>
        </w:rPr>
        <w:t>It,”</w:t>
      </w:r>
      <w:r>
        <w:rPr>
          <w:spacing w:val="-2"/>
          <w:sz w:val="18"/>
          <w:vertAlign w:val="baseline"/>
        </w:rPr>
        <w:t> </w:t>
      </w:r>
      <w:r>
        <w:rPr>
          <w:sz w:val="18"/>
          <w:vertAlign w:val="baseline"/>
        </w:rPr>
        <w:t>Urban,</w:t>
      </w:r>
      <w:r>
        <w:rPr>
          <w:spacing w:val="-3"/>
          <w:sz w:val="18"/>
          <w:vertAlign w:val="baseline"/>
        </w:rPr>
        <w:t> </w:t>
      </w:r>
      <w:r>
        <w:rPr>
          <w:sz w:val="18"/>
          <w:vertAlign w:val="baseline"/>
        </w:rPr>
        <w:t>September</w:t>
      </w:r>
      <w:r>
        <w:rPr>
          <w:spacing w:val="-3"/>
          <w:sz w:val="18"/>
          <w:vertAlign w:val="baseline"/>
        </w:rPr>
        <w:t> </w:t>
      </w:r>
      <w:r>
        <w:rPr>
          <w:sz w:val="18"/>
          <w:vertAlign w:val="baseline"/>
        </w:rPr>
        <w:t>16,</w:t>
      </w:r>
      <w:r>
        <w:rPr>
          <w:spacing w:val="-3"/>
          <w:sz w:val="18"/>
          <w:vertAlign w:val="baseline"/>
        </w:rPr>
        <w:t> </w:t>
      </w:r>
      <w:r>
        <w:rPr>
          <w:sz w:val="18"/>
          <w:vertAlign w:val="baseline"/>
        </w:rPr>
        <w:t>2020, </w:t>
      </w:r>
      <w:r>
        <w:rPr>
          <w:spacing w:val="-2"/>
          <w:sz w:val="18"/>
          <w:vertAlign w:val="baseline"/>
        </w:rPr>
        <w:t>https://</w:t>
      </w:r>
      <w:hyperlink r:id="rId484">
        <w:r>
          <w:rPr>
            <w:spacing w:val="-2"/>
            <w:sz w:val="18"/>
            <w:vertAlign w:val="baseline"/>
          </w:rPr>
          <w:t>www.urban.org/features/five-charts-explain-homelessness-jail-cycle-and-how-break-it.</w:t>
        </w:r>
      </w:hyperlink>
    </w:p>
    <w:p>
      <w:pPr>
        <w:spacing w:before="0"/>
        <w:ind w:left="320" w:right="633" w:firstLine="0"/>
        <w:jc w:val="left"/>
        <w:rPr>
          <w:sz w:val="18"/>
        </w:rPr>
      </w:pPr>
      <w:r>
        <w:rPr>
          <w:sz w:val="18"/>
          <w:vertAlign w:val="superscript"/>
        </w:rPr>
        <w:t>23</w:t>
      </w:r>
      <w:r>
        <w:rPr>
          <w:spacing w:val="-2"/>
          <w:sz w:val="18"/>
          <w:vertAlign w:val="baseline"/>
        </w:rPr>
        <w:t> </w:t>
      </w:r>
      <w:r>
        <w:rPr>
          <w:sz w:val="18"/>
          <w:vertAlign w:val="baseline"/>
        </w:rPr>
        <w:t>Massachusetts</w:t>
      </w:r>
      <w:r>
        <w:rPr>
          <w:spacing w:val="-3"/>
          <w:sz w:val="18"/>
          <w:vertAlign w:val="baseline"/>
        </w:rPr>
        <w:t> </w:t>
      </w:r>
      <w:r>
        <w:rPr>
          <w:sz w:val="18"/>
          <w:vertAlign w:val="baseline"/>
        </w:rPr>
        <w:t>Department</w:t>
      </w:r>
      <w:r>
        <w:rPr>
          <w:spacing w:val="-3"/>
          <w:sz w:val="18"/>
          <w:vertAlign w:val="baseline"/>
        </w:rPr>
        <w:t> </w:t>
      </w:r>
      <w:r>
        <w:rPr>
          <w:sz w:val="18"/>
          <w:vertAlign w:val="baseline"/>
        </w:rPr>
        <w:t>of</w:t>
      </w:r>
      <w:r>
        <w:rPr>
          <w:spacing w:val="-3"/>
          <w:sz w:val="18"/>
          <w:vertAlign w:val="baseline"/>
        </w:rPr>
        <w:t> </w:t>
      </w:r>
      <w:r>
        <w:rPr>
          <w:sz w:val="18"/>
          <w:vertAlign w:val="baseline"/>
        </w:rPr>
        <w:t>Health</w:t>
      </w:r>
      <w:r>
        <w:rPr>
          <w:spacing w:val="-2"/>
          <w:sz w:val="18"/>
          <w:vertAlign w:val="baseline"/>
        </w:rPr>
        <w:t> </w:t>
      </w:r>
      <w:r>
        <w:rPr>
          <w:sz w:val="18"/>
          <w:vertAlign w:val="baseline"/>
        </w:rPr>
        <w:t>and</w:t>
      </w:r>
      <w:r>
        <w:rPr>
          <w:spacing w:val="-2"/>
          <w:sz w:val="18"/>
          <w:vertAlign w:val="baseline"/>
        </w:rPr>
        <w:t> </w:t>
      </w:r>
      <w:r>
        <w:rPr>
          <w:sz w:val="18"/>
          <w:vertAlign w:val="baseline"/>
        </w:rPr>
        <w:t>Human</w:t>
      </w:r>
      <w:r>
        <w:rPr>
          <w:spacing w:val="-2"/>
          <w:sz w:val="18"/>
          <w:vertAlign w:val="baseline"/>
        </w:rPr>
        <w:t> </w:t>
      </w:r>
      <w:r>
        <w:rPr>
          <w:sz w:val="18"/>
          <w:vertAlign w:val="baseline"/>
        </w:rPr>
        <w:t>Services,</w:t>
      </w:r>
      <w:r>
        <w:rPr>
          <w:spacing w:val="-3"/>
          <w:sz w:val="18"/>
          <w:vertAlign w:val="baseline"/>
        </w:rPr>
        <w:t> </w:t>
      </w:r>
      <w:r>
        <w:rPr>
          <w:sz w:val="18"/>
          <w:vertAlign w:val="baseline"/>
        </w:rPr>
        <w:t>2022.</w:t>
      </w:r>
      <w:r>
        <w:rPr>
          <w:spacing w:val="-2"/>
          <w:sz w:val="18"/>
          <w:vertAlign w:val="baseline"/>
        </w:rPr>
        <w:t> </w:t>
      </w:r>
      <w:r>
        <w:rPr>
          <w:sz w:val="18"/>
          <w:vertAlign w:val="baseline"/>
        </w:rPr>
        <w:t>“2022</w:t>
      </w:r>
      <w:r>
        <w:rPr>
          <w:spacing w:val="-2"/>
          <w:sz w:val="18"/>
          <w:vertAlign w:val="baseline"/>
        </w:rPr>
        <w:t> </w:t>
      </w:r>
      <w:r>
        <w:rPr>
          <w:sz w:val="18"/>
          <w:vertAlign w:val="baseline"/>
        </w:rPr>
        <w:t>Youth</w:t>
      </w:r>
      <w:r>
        <w:rPr>
          <w:spacing w:val="-2"/>
          <w:sz w:val="18"/>
          <w:vertAlign w:val="baseline"/>
        </w:rPr>
        <w:t> </w:t>
      </w:r>
      <w:r>
        <w:rPr>
          <w:sz w:val="18"/>
          <w:vertAlign w:val="baseline"/>
        </w:rPr>
        <w:t>Count</w:t>
      </w:r>
      <w:r>
        <w:rPr>
          <w:spacing w:val="-3"/>
          <w:sz w:val="18"/>
          <w:vertAlign w:val="baseline"/>
        </w:rPr>
        <w:t> </w:t>
      </w:r>
      <w:r>
        <w:rPr>
          <w:sz w:val="18"/>
          <w:vertAlign w:val="baseline"/>
        </w:rPr>
        <w:t>Report.”</w:t>
      </w:r>
      <w:r>
        <w:rPr>
          <w:spacing w:val="-2"/>
          <w:sz w:val="18"/>
          <w:vertAlign w:val="baseline"/>
        </w:rPr>
        <w:t> </w:t>
      </w:r>
      <w:r>
        <w:rPr>
          <w:sz w:val="18"/>
          <w:vertAlign w:val="baseline"/>
        </w:rPr>
        <w:t>Accessed</w:t>
      </w:r>
      <w:r>
        <w:rPr>
          <w:spacing w:val="-2"/>
          <w:sz w:val="18"/>
          <w:vertAlign w:val="baseline"/>
        </w:rPr>
        <w:t> </w:t>
      </w:r>
      <w:r>
        <w:rPr>
          <w:sz w:val="18"/>
          <w:vertAlign w:val="baseline"/>
        </w:rPr>
        <w:t>April</w:t>
      </w:r>
      <w:r>
        <w:rPr>
          <w:spacing w:val="-3"/>
          <w:sz w:val="18"/>
          <w:vertAlign w:val="baseline"/>
        </w:rPr>
        <w:t> </w:t>
      </w:r>
      <w:r>
        <w:rPr>
          <w:sz w:val="18"/>
          <w:vertAlign w:val="baseline"/>
        </w:rPr>
        <w:t>13,</w:t>
      </w:r>
      <w:r>
        <w:rPr>
          <w:spacing w:val="-2"/>
          <w:sz w:val="18"/>
          <w:vertAlign w:val="baseline"/>
        </w:rPr>
        <w:t> </w:t>
      </w:r>
      <w:r>
        <w:rPr>
          <w:sz w:val="18"/>
          <w:vertAlign w:val="baseline"/>
        </w:rPr>
        <w:t>2024. </w:t>
      </w:r>
      <w:hyperlink r:id="rId485">
        <w:r>
          <w:rPr>
            <w:spacing w:val="-2"/>
            <w:sz w:val="18"/>
            <w:u w:val="single"/>
            <w:vertAlign w:val="baseline"/>
          </w:rPr>
          <w:t>https://www.mass.gov/doc/2022-youth-count-report/download</w:t>
        </w:r>
      </w:hyperlink>
    </w:p>
    <w:p>
      <w:pPr>
        <w:spacing w:line="219" w:lineRule="exact" w:before="0"/>
        <w:ind w:left="320" w:right="0" w:firstLine="0"/>
        <w:jc w:val="left"/>
        <w:rPr>
          <w:i/>
          <w:sz w:val="18"/>
        </w:rPr>
      </w:pPr>
      <w:r>
        <w:rPr>
          <w:sz w:val="18"/>
          <w:vertAlign w:val="superscript"/>
        </w:rPr>
        <w:t>24</w:t>
      </w:r>
      <w:r>
        <w:rPr>
          <w:spacing w:val="40"/>
          <w:sz w:val="18"/>
          <w:vertAlign w:val="baseline"/>
        </w:rPr>
        <w:t> </w:t>
      </w:r>
      <w:r>
        <w:rPr>
          <w:i/>
          <w:spacing w:val="-5"/>
          <w:sz w:val="18"/>
          <w:vertAlign w:val="baseline"/>
        </w:rPr>
        <w:t>Id.</w:t>
      </w:r>
    </w:p>
    <w:p>
      <w:pPr>
        <w:spacing w:before="0"/>
        <w:ind w:left="320" w:right="2342" w:firstLine="0"/>
        <w:jc w:val="left"/>
        <w:rPr>
          <w:sz w:val="18"/>
        </w:rPr>
      </w:pPr>
      <w:r>
        <w:rPr>
          <w:sz w:val="18"/>
          <w:vertAlign w:val="superscript"/>
        </w:rPr>
        <w:t>25</w:t>
      </w:r>
      <w:r>
        <w:rPr>
          <w:spacing w:val="-5"/>
          <w:sz w:val="18"/>
          <w:vertAlign w:val="baseline"/>
        </w:rPr>
        <w:t> </w:t>
      </w:r>
      <w:r>
        <w:rPr>
          <w:sz w:val="18"/>
          <w:vertAlign w:val="baseline"/>
        </w:rPr>
        <w:t>The</w:t>
      </w:r>
      <w:r>
        <w:rPr>
          <w:spacing w:val="-5"/>
          <w:sz w:val="18"/>
          <w:vertAlign w:val="baseline"/>
        </w:rPr>
        <w:t> </w:t>
      </w:r>
      <w:r>
        <w:rPr>
          <w:sz w:val="18"/>
          <w:vertAlign w:val="baseline"/>
        </w:rPr>
        <w:t>Trevor</w:t>
      </w:r>
      <w:r>
        <w:rPr>
          <w:spacing w:val="-6"/>
          <w:sz w:val="18"/>
          <w:vertAlign w:val="baseline"/>
        </w:rPr>
        <w:t> </w:t>
      </w:r>
      <w:r>
        <w:rPr>
          <w:sz w:val="18"/>
          <w:vertAlign w:val="baseline"/>
        </w:rPr>
        <w:t>Project.</w:t>
      </w:r>
      <w:r>
        <w:rPr>
          <w:spacing w:val="-5"/>
          <w:sz w:val="18"/>
          <w:vertAlign w:val="baseline"/>
        </w:rPr>
        <w:t> </w:t>
      </w:r>
      <w:r>
        <w:rPr>
          <w:sz w:val="18"/>
          <w:vertAlign w:val="baseline"/>
        </w:rPr>
        <w:t>2021.</w:t>
      </w:r>
      <w:r>
        <w:rPr>
          <w:spacing w:val="-5"/>
          <w:sz w:val="18"/>
          <w:vertAlign w:val="baseline"/>
        </w:rPr>
        <w:t> </w:t>
      </w:r>
      <w:r>
        <w:rPr>
          <w:sz w:val="18"/>
          <w:vertAlign w:val="baseline"/>
        </w:rPr>
        <w:t>"Homelessness</w:t>
      </w:r>
      <w:r>
        <w:rPr>
          <w:spacing w:val="-5"/>
          <w:sz w:val="18"/>
          <w:vertAlign w:val="baseline"/>
        </w:rPr>
        <w:t> </w:t>
      </w:r>
      <w:r>
        <w:rPr>
          <w:sz w:val="18"/>
          <w:vertAlign w:val="baseline"/>
        </w:rPr>
        <w:t>Report."</w:t>
      </w:r>
      <w:r>
        <w:rPr>
          <w:spacing w:val="-5"/>
          <w:sz w:val="18"/>
          <w:vertAlign w:val="baseline"/>
        </w:rPr>
        <w:t> </w:t>
      </w:r>
      <w:r>
        <w:rPr>
          <w:sz w:val="18"/>
          <w:vertAlign w:val="baseline"/>
        </w:rPr>
        <w:t>2021</w:t>
      </w:r>
      <w:r>
        <w:rPr>
          <w:spacing w:val="-5"/>
          <w:sz w:val="18"/>
          <w:vertAlign w:val="baseline"/>
        </w:rPr>
        <w:t> </w:t>
      </w:r>
      <w:hyperlink r:id="rId486">
        <w:r>
          <w:rPr>
            <w:sz w:val="18"/>
            <w:u w:val="single"/>
            <w:vertAlign w:val="baseline"/>
          </w:rPr>
          <w:t>https://www.thetrevorproject.org/wp-</w:t>
        </w:r>
      </w:hyperlink>
      <w:r>
        <w:rPr>
          <w:sz w:val="18"/>
          <w:u w:val="none"/>
          <w:vertAlign w:val="baseline"/>
        </w:rPr>
        <w:t> </w:t>
      </w:r>
      <w:hyperlink r:id="rId486">
        <w:r>
          <w:rPr>
            <w:spacing w:val="-2"/>
            <w:sz w:val="18"/>
            <w:u w:val="single"/>
            <w:vertAlign w:val="baseline"/>
          </w:rPr>
          <w:t>content/uploads/2022/02/Trevor-Project-Homelessness-Report.pdf</w:t>
        </w:r>
        <w:r>
          <w:rPr>
            <w:spacing w:val="-2"/>
            <w:sz w:val="18"/>
            <w:u w:val="none"/>
            <w:vertAlign w:val="baseline"/>
          </w:rPr>
          <w:t>.</w:t>
        </w:r>
      </w:hyperlink>
    </w:p>
    <w:p>
      <w:pPr>
        <w:spacing w:before="0"/>
        <w:ind w:left="320" w:right="0" w:firstLine="0"/>
        <w:jc w:val="left"/>
        <w:rPr>
          <w:i/>
          <w:sz w:val="18"/>
        </w:rPr>
      </w:pPr>
      <w:r>
        <w:rPr>
          <w:sz w:val="18"/>
          <w:vertAlign w:val="superscript"/>
        </w:rPr>
        <w:t>26</w:t>
      </w:r>
      <w:r>
        <w:rPr>
          <w:sz w:val="18"/>
          <w:vertAlign w:val="baseline"/>
        </w:rPr>
        <w:t> </w:t>
      </w:r>
      <w:r>
        <w:rPr>
          <w:i/>
          <w:spacing w:val="-5"/>
          <w:sz w:val="18"/>
          <w:vertAlign w:val="baseline"/>
        </w:rPr>
        <w:t>Id.</w:t>
      </w:r>
    </w:p>
    <w:p>
      <w:pPr>
        <w:spacing w:before="0"/>
        <w:ind w:left="320" w:right="0" w:firstLine="0"/>
        <w:jc w:val="left"/>
        <w:rPr>
          <w:i/>
          <w:sz w:val="18"/>
        </w:rPr>
      </w:pPr>
      <w:r>
        <w:rPr>
          <w:sz w:val="18"/>
          <w:vertAlign w:val="superscript"/>
        </w:rPr>
        <w:t>27</w:t>
      </w:r>
      <w:r>
        <w:rPr>
          <w:sz w:val="18"/>
          <w:vertAlign w:val="baseline"/>
        </w:rPr>
        <w:t> </w:t>
      </w:r>
      <w:r>
        <w:rPr>
          <w:i/>
          <w:spacing w:val="-5"/>
          <w:sz w:val="18"/>
          <w:vertAlign w:val="baseline"/>
        </w:rPr>
        <w:t>Id.</w:t>
      </w:r>
    </w:p>
    <w:p>
      <w:pPr>
        <w:spacing w:before="0"/>
        <w:ind w:left="320" w:right="481" w:firstLine="0"/>
        <w:jc w:val="left"/>
        <w:rPr>
          <w:sz w:val="18"/>
        </w:rPr>
      </w:pPr>
      <w:r>
        <w:rPr>
          <w:sz w:val="18"/>
          <w:vertAlign w:val="superscript"/>
        </w:rPr>
        <w:t>28</w:t>
      </w:r>
      <w:r>
        <w:rPr>
          <w:spacing w:val="-4"/>
          <w:sz w:val="18"/>
          <w:vertAlign w:val="baseline"/>
        </w:rPr>
        <w:t> </w:t>
      </w:r>
      <w:r>
        <w:rPr>
          <w:sz w:val="18"/>
          <w:vertAlign w:val="baseline"/>
        </w:rPr>
        <w:t>"Youth.gov.</w:t>
      </w:r>
      <w:r>
        <w:rPr>
          <w:spacing w:val="-4"/>
          <w:sz w:val="18"/>
          <w:vertAlign w:val="baseline"/>
        </w:rPr>
        <w:t> </w:t>
      </w:r>
      <w:r>
        <w:rPr>
          <w:sz w:val="18"/>
          <w:vertAlign w:val="baseline"/>
        </w:rPr>
        <w:t>'LGBTQ</w:t>
      </w:r>
      <w:r>
        <w:rPr>
          <w:spacing w:val="-4"/>
          <w:sz w:val="18"/>
          <w:vertAlign w:val="baseline"/>
        </w:rPr>
        <w:t> </w:t>
      </w:r>
      <w:r>
        <w:rPr>
          <w:sz w:val="18"/>
          <w:vertAlign w:val="baseline"/>
        </w:rPr>
        <w:t>Youth</w:t>
      </w:r>
      <w:r>
        <w:rPr>
          <w:spacing w:val="-4"/>
          <w:sz w:val="18"/>
          <w:vertAlign w:val="baseline"/>
        </w:rPr>
        <w:t> </w:t>
      </w:r>
      <w:r>
        <w:rPr>
          <w:sz w:val="18"/>
          <w:vertAlign w:val="baseline"/>
        </w:rPr>
        <w:t>Homelessness.'</w:t>
      </w:r>
      <w:r>
        <w:rPr>
          <w:spacing w:val="-6"/>
          <w:sz w:val="18"/>
          <w:vertAlign w:val="baseline"/>
        </w:rPr>
        <w:t> </w:t>
      </w:r>
      <w:r>
        <w:rPr>
          <w:sz w:val="18"/>
          <w:vertAlign w:val="baseline"/>
        </w:rPr>
        <w:t>Accessed</w:t>
      </w:r>
      <w:r>
        <w:rPr>
          <w:spacing w:val="-5"/>
          <w:sz w:val="18"/>
          <w:vertAlign w:val="baseline"/>
        </w:rPr>
        <w:t> </w:t>
      </w:r>
      <w:r>
        <w:rPr>
          <w:sz w:val="18"/>
          <w:vertAlign w:val="baseline"/>
        </w:rPr>
        <w:t>April</w:t>
      </w:r>
      <w:r>
        <w:rPr>
          <w:spacing w:val="-5"/>
          <w:sz w:val="18"/>
          <w:vertAlign w:val="baseline"/>
        </w:rPr>
        <w:t> </w:t>
      </w:r>
      <w:r>
        <w:rPr>
          <w:sz w:val="18"/>
          <w:vertAlign w:val="baseline"/>
        </w:rPr>
        <w:t>13,</w:t>
      </w:r>
      <w:r>
        <w:rPr>
          <w:spacing w:val="-5"/>
          <w:sz w:val="18"/>
          <w:vertAlign w:val="baseline"/>
        </w:rPr>
        <w:t> </w:t>
      </w:r>
      <w:r>
        <w:rPr>
          <w:sz w:val="18"/>
          <w:vertAlign w:val="baseline"/>
        </w:rPr>
        <w:t>2024.</w:t>
      </w:r>
      <w:r>
        <w:rPr>
          <w:spacing w:val="-4"/>
          <w:sz w:val="18"/>
          <w:vertAlign w:val="baseline"/>
        </w:rPr>
        <w:t> </w:t>
      </w:r>
      <w:hyperlink r:id="rId487">
        <w:r>
          <w:rPr>
            <w:sz w:val="18"/>
            <w:u w:val="single"/>
            <w:vertAlign w:val="baseline"/>
          </w:rPr>
          <w:t>https://youth.gov/youth-topics/lgbtq-</w:t>
        </w:r>
      </w:hyperlink>
      <w:r>
        <w:rPr>
          <w:sz w:val="18"/>
          <w:u w:val="none"/>
          <w:vertAlign w:val="baseline"/>
        </w:rPr>
        <w:t> </w:t>
      </w:r>
      <w:hyperlink r:id="rId487">
        <w:r>
          <w:rPr>
            <w:spacing w:val="-2"/>
            <w:sz w:val="18"/>
            <w:u w:val="single"/>
            <w:vertAlign w:val="baseline"/>
          </w:rPr>
          <w:t>youth/homelessness</w:t>
        </w:r>
      </w:hyperlink>
      <w:r>
        <w:rPr>
          <w:spacing w:val="-2"/>
          <w:sz w:val="18"/>
          <w:u w:val="none"/>
          <w:vertAlign w:val="baseline"/>
        </w:rPr>
        <w:t>."</w:t>
      </w:r>
    </w:p>
    <w:p>
      <w:pPr>
        <w:spacing w:before="0"/>
        <w:ind w:left="320" w:right="271" w:firstLine="0"/>
        <w:jc w:val="left"/>
        <w:rPr>
          <w:sz w:val="18"/>
        </w:rPr>
      </w:pPr>
      <w:r>
        <w:rPr>
          <w:sz w:val="18"/>
          <w:vertAlign w:val="superscript"/>
        </w:rPr>
        <w:t>29</w:t>
      </w:r>
      <w:r>
        <w:rPr>
          <w:sz w:val="18"/>
          <w:vertAlign w:val="baseline"/>
        </w:rPr>
        <w:t> The Trevor Project. "2022 National Survey on LGBTQ Youth Mental Health by State." Accessed April 13, 2024. </w:t>
      </w:r>
      <w:hyperlink r:id="rId488">
        <w:r>
          <w:rPr>
            <w:spacing w:val="-2"/>
            <w:sz w:val="18"/>
            <w:u w:val="single"/>
            <w:vertAlign w:val="baseline"/>
          </w:rPr>
          <w:t>https://www.thetrevorproject.org/wp-content/uploads/2022/12/The-Trevor-Project-2022-National-Survey-on-LGBTQ-Youth-</w:t>
        </w:r>
      </w:hyperlink>
      <w:r>
        <w:rPr>
          <w:sz w:val="18"/>
          <w:u w:val="none"/>
          <w:vertAlign w:val="baseline"/>
        </w:rPr>
        <w:t> </w:t>
      </w:r>
      <w:hyperlink r:id="rId488">
        <w:r>
          <w:rPr>
            <w:spacing w:val="-2"/>
            <w:sz w:val="18"/>
            <w:u w:val="single"/>
            <w:vertAlign w:val="baseline"/>
          </w:rPr>
          <w:t>Mental-Health-by-State.pdf</w:t>
        </w:r>
        <w:r>
          <w:rPr>
            <w:spacing w:val="-2"/>
            <w:sz w:val="18"/>
            <w:u w:val="none"/>
            <w:vertAlign w:val="baseline"/>
          </w:rPr>
          <w:t>.</w:t>
        </w:r>
      </w:hyperlink>
    </w:p>
    <w:p>
      <w:pPr>
        <w:spacing w:before="0"/>
        <w:ind w:left="320" w:right="481" w:firstLine="0"/>
        <w:jc w:val="left"/>
        <w:rPr>
          <w:sz w:val="18"/>
        </w:rPr>
      </w:pPr>
      <w:r>
        <w:rPr>
          <w:sz w:val="18"/>
          <w:vertAlign w:val="superscript"/>
        </w:rPr>
        <w:t>30</w:t>
      </w:r>
      <w:r>
        <w:rPr>
          <w:spacing w:val="-2"/>
          <w:sz w:val="18"/>
          <w:vertAlign w:val="baseline"/>
        </w:rPr>
        <w:t> </w:t>
      </w:r>
      <w:r>
        <w:rPr>
          <w:sz w:val="18"/>
          <w:vertAlign w:val="baseline"/>
        </w:rPr>
        <w:t>Center</w:t>
      </w:r>
      <w:r>
        <w:rPr>
          <w:spacing w:val="-3"/>
          <w:sz w:val="18"/>
          <w:vertAlign w:val="baseline"/>
        </w:rPr>
        <w:t> </w:t>
      </w:r>
      <w:r>
        <w:rPr>
          <w:sz w:val="18"/>
          <w:vertAlign w:val="baseline"/>
        </w:rPr>
        <w:t>for</w:t>
      </w:r>
      <w:r>
        <w:rPr>
          <w:spacing w:val="-3"/>
          <w:sz w:val="18"/>
          <w:vertAlign w:val="baseline"/>
        </w:rPr>
        <w:t> </w:t>
      </w:r>
      <w:r>
        <w:rPr>
          <w:sz w:val="18"/>
          <w:vertAlign w:val="baseline"/>
        </w:rPr>
        <w:t>American</w:t>
      </w:r>
      <w:r>
        <w:rPr>
          <w:spacing w:val="-2"/>
          <w:sz w:val="18"/>
          <w:vertAlign w:val="baseline"/>
        </w:rPr>
        <w:t> </w:t>
      </w:r>
      <w:r>
        <w:rPr>
          <w:sz w:val="18"/>
          <w:vertAlign w:val="baseline"/>
        </w:rPr>
        <w:t>Progress,</w:t>
      </w:r>
      <w:r>
        <w:rPr>
          <w:spacing w:val="-3"/>
          <w:sz w:val="18"/>
          <w:vertAlign w:val="baseline"/>
        </w:rPr>
        <w:t> </w:t>
      </w:r>
      <w:r>
        <w:rPr>
          <w:sz w:val="18"/>
          <w:vertAlign w:val="baseline"/>
        </w:rPr>
        <w:t>MAP,</w:t>
      </w:r>
      <w:r>
        <w:rPr>
          <w:spacing w:val="-3"/>
          <w:sz w:val="18"/>
          <w:vertAlign w:val="baseline"/>
        </w:rPr>
        <w:t> </w:t>
      </w:r>
      <w:r>
        <w:rPr>
          <w:sz w:val="18"/>
          <w:vertAlign w:val="baseline"/>
        </w:rPr>
        <w:t>and</w:t>
      </w:r>
      <w:r>
        <w:rPr>
          <w:spacing w:val="-2"/>
          <w:sz w:val="18"/>
          <w:vertAlign w:val="baseline"/>
        </w:rPr>
        <w:t> </w:t>
      </w:r>
      <w:r>
        <w:rPr>
          <w:sz w:val="18"/>
          <w:vertAlign w:val="baseline"/>
        </w:rPr>
        <w:t>Youth</w:t>
      </w:r>
      <w:r>
        <w:rPr>
          <w:spacing w:val="-2"/>
          <w:sz w:val="18"/>
          <w:vertAlign w:val="baseline"/>
        </w:rPr>
        <w:t> </w:t>
      </w:r>
      <w:r>
        <w:rPr>
          <w:sz w:val="18"/>
          <w:vertAlign w:val="baseline"/>
        </w:rPr>
        <w:t>First.</w:t>
      </w:r>
      <w:r>
        <w:rPr>
          <w:spacing w:val="-2"/>
          <w:sz w:val="18"/>
          <w:vertAlign w:val="baseline"/>
        </w:rPr>
        <w:t> </w:t>
      </w:r>
      <w:r>
        <w:rPr>
          <w:sz w:val="18"/>
          <w:vertAlign w:val="baseline"/>
        </w:rPr>
        <w:t>2017.</w:t>
      </w:r>
      <w:r>
        <w:rPr>
          <w:spacing w:val="-2"/>
          <w:sz w:val="18"/>
          <w:vertAlign w:val="baseline"/>
        </w:rPr>
        <w:t> </w:t>
      </w:r>
      <w:r>
        <w:rPr>
          <w:sz w:val="18"/>
          <w:vertAlign w:val="baseline"/>
        </w:rPr>
        <w:t>“Unjust:</w:t>
      </w:r>
      <w:r>
        <w:rPr>
          <w:spacing w:val="-2"/>
          <w:sz w:val="18"/>
          <w:vertAlign w:val="baseline"/>
        </w:rPr>
        <w:t> </w:t>
      </w:r>
      <w:r>
        <w:rPr>
          <w:sz w:val="18"/>
          <w:vertAlign w:val="baseline"/>
        </w:rPr>
        <w:t>LGBTQ</w:t>
      </w:r>
      <w:r>
        <w:rPr>
          <w:spacing w:val="-2"/>
          <w:sz w:val="18"/>
          <w:vertAlign w:val="baseline"/>
        </w:rPr>
        <w:t> </w:t>
      </w:r>
      <w:r>
        <w:rPr>
          <w:sz w:val="18"/>
          <w:vertAlign w:val="baseline"/>
        </w:rPr>
        <w:t>Youth</w:t>
      </w:r>
      <w:r>
        <w:rPr>
          <w:spacing w:val="-2"/>
          <w:sz w:val="18"/>
          <w:vertAlign w:val="baseline"/>
        </w:rPr>
        <w:t> </w:t>
      </w:r>
      <w:r>
        <w:rPr>
          <w:sz w:val="18"/>
          <w:vertAlign w:val="baseline"/>
        </w:rPr>
        <w:t>Incarcerated</w:t>
      </w:r>
      <w:r>
        <w:rPr>
          <w:spacing w:val="-2"/>
          <w:sz w:val="18"/>
          <w:vertAlign w:val="baseline"/>
        </w:rPr>
        <w:t> </w:t>
      </w:r>
      <w:r>
        <w:rPr>
          <w:sz w:val="18"/>
          <w:vertAlign w:val="baseline"/>
        </w:rPr>
        <w:t>in</w:t>
      </w:r>
      <w:r>
        <w:rPr>
          <w:spacing w:val="-2"/>
          <w:sz w:val="18"/>
          <w:vertAlign w:val="baseline"/>
        </w:rPr>
        <w:t> </w:t>
      </w:r>
      <w:r>
        <w:rPr>
          <w:sz w:val="18"/>
          <w:vertAlign w:val="baseline"/>
        </w:rPr>
        <w:t>the</w:t>
      </w:r>
      <w:r>
        <w:rPr>
          <w:spacing w:val="-2"/>
          <w:sz w:val="18"/>
          <w:vertAlign w:val="baseline"/>
        </w:rPr>
        <w:t> </w:t>
      </w:r>
      <w:r>
        <w:rPr>
          <w:sz w:val="18"/>
          <w:vertAlign w:val="baseline"/>
        </w:rPr>
        <w:t>Juvenile</w:t>
      </w:r>
      <w:r>
        <w:rPr>
          <w:spacing w:val="-2"/>
          <w:sz w:val="18"/>
          <w:vertAlign w:val="baseline"/>
        </w:rPr>
        <w:t> </w:t>
      </w:r>
      <w:r>
        <w:rPr>
          <w:sz w:val="18"/>
          <w:vertAlign w:val="baseline"/>
        </w:rPr>
        <w:t>Justice System.” June 2017. </w:t>
      </w:r>
      <w:hyperlink r:id="rId479">
        <w:r>
          <w:rPr>
            <w:sz w:val="18"/>
            <w:u w:val="single"/>
            <w:vertAlign w:val="baseline"/>
          </w:rPr>
          <w:t>https://www.lgbtmap.org/file/lgbtq-incarcerated-youth.pdf</w:t>
        </w:r>
        <w:r>
          <w:rPr>
            <w:sz w:val="18"/>
            <w:u w:val="none"/>
            <w:vertAlign w:val="baseline"/>
          </w:rPr>
          <w:t>.</w:t>
        </w:r>
      </w:hyperlink>
      <w:r>
        <w:rPr>
          <w:sz w:val="18"/>
          <w:u w:val="none"/>
          <w:vertAlign w:val="baseline"/>
        </w:rPr>
        <w:t>"</w:t>
      </w:r>
    </w:p>
    <w:p>
      <w:pPr>
        <w:spacing w:before="0"/>
        <w:ind w:left="320" w:right="0" w:firstLine="0"/>
        <w:jc w:val="left"/>
        <w:rPr>
          <w:i/>
          <w:sz w:val="18"/>
        </w:rPr>
      </w:pPr>
      <w:r>
        <w:rPr>
          <w:sz w:val="18"/>
          <w:vertAlign w:val="superscript"/>
        </w:rPr>
        <w:t>31</w:t>
      </w:r>
      <w:r>
        <w:rPr>
          <w:spacing w:val="40"/>
          <w:sz w:val="18"/>
          <w:vertAlign w:val="baseline"/>
        </w:rPr>
        <w:t> </w:t>
      </w:r>
      <w:r>
        <w:rPr>
          <w:i/>
          <w:spacing w:val="-5"/>
          <w:sz w:val="18"/>
          <w:vertAlign w:val="baseline"/>
        </w:rPr>
        <w:t>Id.</w:t>
      </w:r>
    </w:p>
    <w:p>
      <w:pPr>
        <w:spacing w:before="0"/>
        <w:ind w:left="320" w:right="0" w:firstLine="0"/>
        <w:jc w:val="left"/>
        <w:rPr>
          <w:i/>
          <w:sz w:val="18"/>
        </w:rPr>
      </w:pPr>
      <w:r>
        <w:rPr>
          <w:sz w:val="18"/>
          <w:vertAlign w:val="superscript"/>
        </w:rPr>
        <w:t>32</w:t>
      </w:r>
      <w:r>
        <w:rPr>
          <w:sz w:val="18"/>
          <w:vertAlign w:val="baseline"/>
        </w:rPr>
        <w:t> </w:t>
      </w:r>
      <w:r>
        <w:rPr>
          <w:i/>
          <w:spacing w:val="-5"/>
          <w:sz w:val="18"/>
          <w:vertAlign w:val="baseline"/>
        </w:rPr>
        <w:t>Id.</w:t>
      </w:r>
    </w:p>
    <w:p>
      <w:pPr>
        <w:spacing w:before="0"/>
        <w:ind w:left="320" w:right="964" w:firstLine="0"/>
        <w:jc w:val="left"/>
        <w:rPr>
          <w:sz w:val="18"/>
        </w:rPr>
      </w:pPr>
      <w:r>
        <w:rPr>
          <w:sz w:val="18"/>
          <w:vertAlign w:val="superscript"/>
        </w:rPr>
        <w:t>33</w:t>
      </w:r>
      <w:r>
        <w:rPr>
          <w:spacing w:val="-3"/>
          <w:sz w:val="18"/>
          <w:vertAlign w:val="baseline"/>
        </w:rPr>
        <w:t> </w:t>
      </w:r>
      <w:r>
        <w:rPr>
          <w:sz w:val="18"/>
          <w:vertAlign w:val="baseline"/>
        </w:rPr>
        <w:t>Center</w:t>
      </w:r>
      <w:r>
        <w:rPr>
          <w:spacing w:val="-4"/>
          <w:sz w:val="18"/>
          <w:vertAlign w:val="baseline"/>
        </w:rPr>
        <w:t> </w:t>
      </w:r>
      <w:r>
        <w:rPr>
          <w:sz w:val="18"/>
          <w:vertAlign w:val="baseline"/>
        </w:rPr>
        <w:t>for</w:t>
      </w:r>
      <w:r>
        <w:rPr>
          <w:spacing w:val="-4"/>
          <w:sz w:val="18"/>
          <w:vertAlign w:val="baseline"/>
        </w:rPr>
        <w:t> </w:t>
      </w:r>
      <w:r>
        <w:rPr>
          <w:sz w:val="18"/>
          <w:vertAlign w:val="baseline"/>
        </w:rPr>
        <w:t>Immigration</w:t>
      </w:r>
      <w:r>
        <w:rPr>
          <w:spacing w:val="-3"/>
          <w:sz w:val="18"/>
          <w:vertAlign w:val="baseline"/>
        </w:rPr>
        <w:t> </w:t>
      </w:r>
      <w:r>
        <w:rPr>
          <w:sz w:val="18"/>
          <w:vertAlign w:val="baseline"/>
        </w:rPr>
        <w:t>Assistance.</w:t>
      </w:r>
      <w:r>
        <w:rPr>
          <w:spacing w:val="-3"/>
          <w:sz w:val="18"/>
          <w:vertAlign w:val="baseline"/>
        </w:rPr>
        <w:t> </w:t>
      </w:r>
      <w:r>
        <w:rPr>
          <w:sz w:val="18"/>
          <w:vertAlign w:val="baseline"/>
        </w:rPr>
        <w:t>2024.</w:t>
      </w:r>
      <w:r>
        <w:rPr>
          <w:spacing w:val="-3"/>
          <w:sz w:val="18"/>
          <w:vertAlign w:val="baseline"/>
        </w:rPr>
        <w:t> </w:t>
      </w:r>
      <w:r>
        <w:rPr>
          <w:sz w:val="18"/>
          <w:vertAlign w:val="baseline"/>
        </w:rPr>
        <w:t>“ICE</w:t>
      </w:r>
      <w:r>
        <w:rPr>
          <w:spacing w:val="-4"/>
          <w:sz w:val="18"/>
          <w:vertAlign w:val="baseline"/>
        </w:rPr>
        <w:t> </w:t>
      </w:r>
      <w:r>
        <w:rPr>
          <w:sz w:val="18"/>
          <w:vertAlign w:val="baseline"/>
        </w:rPr>
        <w:t>Detention</w:t>
      </w:r>
      <w:r>
        <w:rPr>
          <w:spacing w:val="-3"/>
          <w:sz w:val="18"/>
          <w:vertAlign w:val="baseline"/>
        </w:rPr>
        <w:t> </w:t>
      </w:r>
      <w:r>
        <w:rPr>
          <w:sz w:val="18"/>
          <w:vertAlign w:val="baseline"/>
        </w:rPr>
        <w:t>Facilities</w:t>
      </w:r>
      <w:r>
        <w:rPr>
          <w:spacing w:val="-3"/>
          <w:sz w:val="18"/>
          <w:vertAlign w:val="baseline"/>
        </w:rPr>
        <w:t> </w:t>
      </w:r>
      <w:r>
        <w:rPr>
          <w:sz w:val="18"/>
          <w:vertAlign w:val="baseline"/>
        </w:rPr>
        <w:t>in</w:t>
      </w:r>
      <w:r>
        <w:rPr>
          <w:spacing w:val="-3"/>
          <w:sz w:val="18"/>
          <w:vertAlign w:val="baseline"/>
        </w:rPr>
        <w:t> </w:t>
      </w:r>
      <w:r>
        <w:rPr>
          <w:sz w:val="18"/>
          <w:vertAlign w:val="baseline"/>
        </w:rPr>
        <w:t>Massachusetts.”</w:t>
      </w:r>
      <w:r>
        <w:rPr>
          <w:spacing w:val="-3"/>
          <w:sz w:val="18"/>
          <w:vertAlign w:val="baseline"/>
        </w:rPr>
        <w:t> </w:t>
      </w:r>
      <w:r>
        <w:rPr>
          <w:sz w:val="18"/>
          <w:vertAlign w:val="baseline"/>
        </w:rPr>
        <w:t>Last</w:t>
      </w:r>
      <w:r>
        <w:rPr>
          <w:spacing w:val="-4"/>
          <w:sz w:val="18"/>
          <w:vertAlign w:val="baseline"/>
        </w:rPr>
        <w:t> </w:t>
      </w:r>
      <w:r>
        <w:rPr>
          <w:sz w:val="18"/>
          <w:vertAlign w:val="baseline"/>
        </w:rPr>
        <w:t>accessed</w:t>
      </w:r>
      <w:r>
        <w:rPr>
          <w:spacing w:val="-3"/>
          <w:sz w:val="18"/>
          <w:vertAlign w:val="baseline"/>
        </w:rPr>
        <w:t> </w:t>
      </w:r>
      <w:r>
        <w:rPr>
          <w:sz w:val="18"/>
          <w:vertAlign w:val="baseline"/>
        </w:rPr>
        <w:t>April</w:t>
      </w:r>
      <w:r>
        <w:rPr>
          <w:spacing w:val="-4"/>
          <w:sz w:val="18"/>
          <w:vertAlign w:val="baseline"/>
        </w:rPr>
        <w:t> </w:t>
      </w:r>
      <w:r>
        <w:rPr>
          <w:sz w:val="18"/>
          <w:vertAlign w:val="baseline"/>
        </w:rPr>
        <w:t>13,</w:t>
      </w:r>
      <w:r>
        <w:rPr>
          <w:spacing w:val="-4"/>
          <w:sz w:val="18"/>
          <w:vertAlign w:val="baseline"/>
        </w:rPr>
        <w:t> </w:t>
      </w:r>
      <w:r>
        <w:rPr>
          <w:sz w:val="18"/>
          <w:vertAlign w:val="baseline"/>
        </w:rPr>
        <w:t>2024. </w:t>
      </w:r>
      <w:hyperlink r:id="rId489">
        <w:r>
          <w:rPr>
            <w:spacing w:val="-2"/>
            <w:sz w:val="18"/>
            <w:u w:val="single"/>
            <w:vertAlign w:val="baseline"/>
          </w:rPr>
          <w:t>https://www.cfiaus.com/ice-detention-facilities/massachusetts/</w:t>
        </w:r>
        <w:r>
          <w:rPr>
            <w:spacing w:val="-2"/>
            <w:sz w:val="18"/>
            <w:u w:val="none"/>
            <w:vertAlign w:val="baseline"/>
          </w:rPr>
          <w:t>.</w:t>
        </w:r>
      </w:hyperlink>
      <w:r>
        <w:rPr>
          <w:spacing w:val="-2"/>
          <w:sz w:val="18"/>
          <w:u w:val="none"/>
          <w:vertAlign w:val="baseline"/>
        </w:rPr>
        <w:t>"</w:t>
      </w:r>
    </w:p>
    <w:p>
      <w:pPr>
        <w:spacing w:after="0"/>
        <w:jc w:val="left"/>
        <w:rPr>
          <w:sz w:val="18"/>
        </w:rPr>
        <w:sectPr>
          <w:pgSz w:w="12240" w:h="15840"/>
          <w:pgMar w:header="763" w:footer="1041" w:top="1360" w:bottom="1240" w:left="1120" w:right="1340"/>
        </w:sectPr>
      </w:pPr>
    </w:p>
    <w:p>
      <w:pPr>
        <w:pStyle w:val="BodyText"/>
        <w:spacing w:before="90"/>
        <w:rPr>
          <w:sz w:val="18"/>
        </w:rPr>
      </w:pPr>
    </w:p>
    <w:p>
      <w:pPr>
        <w:spacing w:before="1"/>
        <w:ind w:left="320" w:right="0" w:firstLine="0"/>
        <w:jc w:val="left"/>
        <w:rPr>
          <w:sz w:val="18"/>
        </w:rPr>
      </w:pPr>
      <w:r>
        <w:rPr>
          <w:sz w:val="18"/>
          <w:vertAlign w:val="superscript"/>
        </w:rPr>
        <w:t>34</w:t>
      </w:r>
      <w:r>
        <w:rPr>
          <w:spacing w:val="-2"/>
          <w:sz w:val="18"/>
          <w:vertAlign w:val="baseline"/>
        </w:rPr>
        <w:t> </w:t>
      </w:r>
      <w:r>
        <w:rPr>
          <w:sz w:val="18"/>
          <w:vertAlign w:val="baseline"/>
        </w:rPr>
        <w:t>Lue,</w:t>
      </w:r>
      <w:r>
        <w:rPr>
          <w:spacing w:val="-3"/>
          <w:sz w:val="18"/>
          <w:vertAlign w:val="baseline"/>
        </w:rPr>
        <w:t> </w:t>
      </w:r>
      <w:r>
        <w:rPr>
          <w:sz w:val="18"/>
          <w:vertAlign w:val="baseline"/>
        </w:rPr>
        <w:t>Nicole,</w:t>
      </w:r>
      <w:r>
        <w:rPr>
          <w:spacing w:val="-3"/>
          <w:sz w:val="18"/>
          <w:vertAlign w:val="baseline"/>
        </w:rPr>
        <w:t> </w:t>
      </w:r>
      <w:r>
        <w:rPr>
          <w:sz w:val="18"/>
          <w:vertAlign w:val="baseline"/>
        </w:rPr>
        <w:t>Joseph</w:t>
      </w:r>
      <w:r>
        <w:rPr>
          <w:spacing w:val="-2"/>
          <w:sz w:val="18"/>
          <w:vertAlign w:val="baseline"/>
        </w:rPr>
        <w:t> </w:t>
      </w:r>
      <w:r>
        <w:rPr>
          <w:sz w:val="18"/>
          <w:vertAlign w:val="baseline"/>
        </w:rPr>
        <w:t>Nwadiuko,</w:t>
      </w:r>
      <w:r>
        <w:rPr>
          <w:spacing w:val="-3"/>
          <w:sz w:val="18"/>
          <w:vertAlign w:val="baseline"/>
        </w:rPr>
        <w:t> </w:t>
      </w:r>
      <w:r>
        <w:rPr>
          <w:sz w:val="18"/>
          <w:vertAlign w:val="baseline"/>
        </w:rPr>
        <w:t>Parveen</w:t>
      </w:r>
      <w:r>
        <w:rPr>
          <w:spacing w:val="-2"/>
          <w:sz w:val="18"/>
          <w:vertAlign w:val="baseline"/>
        </w:rPr>
        <w:t> </w:t>
      </w:r>
      <w:r>
        <w:rPr>
          <w:sz w:val="18"/>
          <w:vertAlign w:val="baseline"/>
        </w:rPr>
        <w:t>Parmar,</w:t>
      </w:r>
      <w:r>
        <w:rPr>
          <w:spacing w:val="-4"/>
          <w:sz w:val="18"/>
          <w:vertAlign w:val="baseline"/>
        </w:rPr>
        <w:t> </w:t>
      </w:r>
      <w:r>
        <w:rPr>
          <w:sz w:val="18"/>
          <w:vertAlign w:val="baseline"/>
        </w:rPr>
        <w:t>and</w:t>
      </w:r>
      <w:r>
        <w:rPr>
          <w:spacing w:val="-2"/>
          <w:sz w:val="18"/>
          <w:vertAlign w:val="baseline"/>
        </w:rPr>
        <w:t> </w:t>
      </w:r>
      <w:r>
        <w:rPr>
          <w:sz w:val="18"/>
          <w:vertAlign w:val="baseline"/>
        </w:rPr>
        <w:t>Amy</w:t>
      </w:r>
      <w:r>
        <w:rPr>
          <w:spacing w:val="-2"/>
          <w:sz w:val="18"/>
          <w:vertAlign w:val="baseline"/>
        </w:rPr>
        <w:t> </w:t>
      </w:r>
      <w:r>
        <w:rPr>
          <w:sz w:val="18"/>
          <w:vertAlign w:val="baseline"/>
        </w:rPr>
        <w:t>Zeidan.</w:t>
      </w:r>
      <w:r>
        <w:rPr>
          <w:spacing w:val="-2"/>
          <w:sz w:val="18"/>
          <w:vertAlign w:val="baseline"/>
        </w:rPr>
        <w:t> </w:t>
      </w:r>
      <w:r>
        <w:rPr>
          <w:sz w:val="18"/>
          <w:vertAlign w:val="baseline"/>
        </w:rPr>
        <w:t>2023.</w:t>
      </w:r>
      <w:r>
        <w:rPr>
          <w:spacing w:val="-2"/>
          <w:sz w:val="18"/>
          <w:vertAlign w:val="baseline"/>
        </w:rPr>
        <w:t> </w:t>
      </w:r>
      <w:r>
        <w:rPr>
          <w:sz w:val="18"/>
          <w:vertAlign w:val="baseline"/>
        </w:rPr>
        <w:t>“Trends</w:t>
      </w:r>
      <w:r>
        <w:rPr>
          <w:spacing w:val="-2"/>
          <w:sz w:val="18"/>
          <w:vertAlign w:val="baseline"/>
        </w:rPr>
        <w:t> </w:t>
      </w:r>
      <w:r>
        <w:rPr>
          <w:sz w:val="18"/>
          <w:vertAlign w:val="baseline"/>
        </w:rPr>
        <w:t>in</w:t>
      </w:r>
      <w:r>
        <w:rPr>
          <w:spacing w:val="-2"/>
          <w:sz w:val="18"/>
          <w:vertAlign w:val="baseline"/>
        </w:rPr>
        <w:t> </w:t>
      </w:r>
      <w:r>
        <w:rPr>
          <w:sz w:val="18"/>
          <w:vertAlign w:val="baseline"/>
        </w:rPr>
        <w:t>Sexual</w:t>
      </w:r>
      <w:r>
        <w:rPr>
          <w:spacing w:val="-3"/>
          <w:sz w:val="18"/>
          <w:vertAlign w:val="baseline"/>
        </w:rPr>
        <w:t> </w:t>
      </w:r>
      <w:r>
        <w:rPr>
          <w:sz w:val="18"/>
          <w:vertAlign w:val="baseline"/>
        </w:rPr>
        <w:t>Assault</w:t>
      </w:r>
      <w:r>
        <w:rPr>
          <w:spacing w:val="-3"/>
          <w:sz w:val="18"/>
          <w:vertAlign w:val="baseline"/>
        </w:rPr>
        <w:t> </w:t>
      </w:r>
      <w:r>
        <w:rPr>
          <w:sz w:val="18"/>
          <w:vertAlign w:val="baseline"/>
        </w:rPr>
        <w:t>Against</w:t>
      </w:r>
      <w:r>
        <w:rPr>
          <w:spacing w:val="-3"/>
          <w:sz w:val="18"/>
          <w:vertAlign w:val="baseline"/>
        </w:rPr>
        <w:t> </w:t>
      </w:r>
      <w:r>
        <w:rPr>
          <w:sz w:val="18"/>
          <w:vertAlign w:val="baseline"/>
        </w:rPr>
        <w:t>Detainees</w:t>
      </w:r>
      <w:r>
        <w:rPr>
          <w:spacing w:val="-2"/>
          <w:sz w:val="18"/>
          <w:vertAlign w:val="baseline"/>
        </w:rPr>
        <w:t> </w:t>
      </w:r>
      <w:r>
        <w:rPr>
          <w:sz w:val="18"/>
          <w:vertAlign w:val="baseline"/>
        </w:rPr>
        <w:t>in</w:t>
      </w:r>
      <w:r>
        <w:rPr>
          <w:spacing w:val="-2"/>
          <w:sz w:val="18"/>
          <w:vertAlign w:val="baseline"/>
        </w:rPr>
        <w:t> </w:t>
      </w:r>
      <w:r>
        <w:rPr>
          <w:sz w:val="18"/>
          <w:vertAlign w:val="baseline"/>
        </w:rPr>
        <w:t>US Immigration Detention Centers, 2018-2022”, </w:t>
      </w:r>
      <w:r>
        <w:rPr>
          <w:i/>
          <w:sz w:val="18"/>
          <w:vertAlign w:val="baseline"/>
        </w:rPr>
        <w:t>Journal of the American Medical Association</w:t>
      </w:r>
      <w:r>
        <w:rPr>
          <w:sz w:val="18"/>
          <w:vertAlign w:val="baseline"/>
        </w:rPr>
        <w:t>, 2023.</w:t>
      </w:r>
    </w:p>
    <w:p>
      <w:pPr>
        <w:spacing w:before="0"/>
        <w:ind w:left="320" w:right="0" w:firstLine="0"/>
        <w:jc w:val="left"/>
        <w:rPr>
          <w:sz w:val="18"/>
        </w:rPr>
      </w:pPr>
      <w:r>
        <w:rPr>
          <w:sz w:val="18"/>
          <w:vertAlign w:val="superscript"/>
        </w:rPr>
        <w:t>35</w:t>
      </w:r>
      <w:r>
        <w:rPr>
          <w:spacing w:val="-2"/>
          <w:sz w:val="18"/>
          <w:vertAlign w:val="baseline"/>
        </w:rPr>
        <w:t> </w:t>
      </w:r>
      <w:r>
        <w:rPr>
          <w:sz w:val="18"/>
          <w:vertAlign w:val="baseline"/>
        </w:rPr>
        <w:t>Castro,</w:t>
      </w:r>
      <w:r>
        <w:rPr>
          <w:spacing w:val="-3"/>
          <w:sz w:val="18"/>
          <w:vertAlign w:val="baseline"/>
        </w:rPr>
        <w:t> </w:t>
      </w:r>
      <w:r>
        <w:rPr>
          <w:sz w:val="18"/>
          <w:vertAlign w:val="baseline"/>
        </w:rPr>
        <w:t>Vanessa</w:t>
      </w:r>
      <w:r>
        <w:rPr>
          <w:spacing w:val="-3"/>
          <w:sz w:val="18"/>
          <w:vertAlign w:val="baseline"/>
        </w:rPr>
        <w:t> </w:t>
      </w:r>
      <w:r>
        <w:rPr>
          <w:sz w:val="18"/>
          <w:vertAlign w:val="baseline"/>
        </w:rPr>
        <w:t>A.,</w:t>
      </w:r>
      <w:r>
        <w:rPr>
          <w:spacing w:val="-3"/>
          <w:sz w:val="18"/>
          <w:vertAlign w:val="baseline"/>
        </w:rPr>
        <w:t> </w:t>
      </w:r>
      <w:r>
        <w:rPr>
          <w:sz w:val="18"/>
          <w:vertAlign w:val="baseline"/>
        </w:rPr>
        <w:t>Wesley</w:t>
      </w:r>
      <w:r>
        <w:rPr>
          <w:spacing w:val="-2"/>
          <w:sz w:val="18"/>
          <w:vertAlign w:val="baseline"/>
        </w:rPr>
        <w:t> </w:t>
      </w:r>
      <w:r>
        <w:rPr>
          <w:sz w:val="18"/>
          <w:vertAlign w:val="baseline"/>
        </w:rPr>
        <w:t>M.</w:t>
      </w:r>
      <w:r>
        <w:rPr>
          <w:spacing w:val="-2"/>
          <w:sz w:val="18"/>
          <w:vertAlign w:val="baseline"/>
        </w:rPr>
        <w:t> </w:t>
      </w:r>
      <w:r>
        <w:rPr>
          <w:sz w:val="18"/>
          <w:vertAlign w:val="baseline"/>
        </w:rPr>
        <w:t>King,</w:t>
      </w:r>
      <w:r>
        <w:rPr>
          <w:spacing w:val="-3"/>
          <w:sz w:val="18"/>
          <w:vertAlign w:val="baseline"/>
        </w:rPr>
        <w:t> </w:t>
      </w:r>
      <w:r>
        <w:rPr>
          <w:sz w:val="18"/>
          <w:vertAlign w:val="baseline"/>
        </w:rPr>
        <w:t>Laima</w:t>
      </w:r>
      <w:r>
        <w:rPr>
          <w:spacing w:val="-2"/>
          <w:sz w:val="18"/>
          <w:vertAlign w:val="baseline"/>
        </w:rPr>
        <w:t> </w:t>
      </w:r>
      <w:r>
        <w:rPr>
          <w:sz w:val="18"/>
          <w:vertAlign w:val="baseline"/>
        </w:rPr>
        <w:t>Augustaitis,</w:t>
      </w:r>
      <w:r>
        <w:rPr>
          <w:spacing w:val="-3"/>
          <w:sz w:val="18"/>
          <w:vertAlign w:val="baseline"/>
        </w:rPr>
        <w:t> </w:t>
      </w:r>
      <w:r>
        <w:rPr>
          <w:sz w:val="18"/>
          <w:vertAlign w:val="baseline"/>
        </w:rPr>
        <w:t>Kate</w:t>
      </w:r>
      <w:r>
        <w:rPr>
          <w:spacing w:val="-2"/>
          <w:sz w:val="18"/>
          <w:vertAlign w:val="baseline"/>
        </w:rPr>
        <w:t> </w:t>
      </w:r>
      <w:r>
        <w:rPr>
          <w:sz w:val="18"/>
          <w:vertAlign w:val="baseline"/>
        </w:rPr>
        <w:t>Saylor,</w:t>
      </w:r>
      <w:r>
        <w:rPr>
          <w:spacing w:val="-3"/>
          <w:sz w:val="18"/>
          <w:vertAlign w:val="baseline"/>
        </w:rPr>
        <w:t> </w:t>
      </w:r>
      <w:r>
        <w:rPr>
          <w:sz w:val="18"/>
          <w:vertAlign w:val="baseline"/>
        </w:rPr>
        <w:t>and</w:t>
      </w:r>
      <w:r>
        <w:rPr>
          <w:spacing w:val="-2"/>
          <w:sz w:val="18"/>
          <w:vertAlign w:val="baseline"/>
        </w:rPr>
        <w:t> </w:t>
      </w:r>
      <w:r>
        <w:rPr>
          <w:sz w:val="18"/>
          <w:vertAlign w:val="baseline"/>
        </w:rPr>
        <w:t>Kristi</w:t>
      </w:r>
      <w:r>
        <w:rPr>
          <w:spacing w:val="-3"/>
          <w:sz w:val="18"/>
          <w:vertAlign w:val="baseline"/>
        </w:rPr>
        <w:t> </w:t>
      </w:r>
      <w:r>
        <w:rPr>
          <w:sz w:val="18"/>
          <w:vertAlign w:val="baseline"/>
        </w:rPr>
        <w:t>E.</w:t>
      </w:r>
      <w:r>
        <w:rPr>
          <w:spacing w:val="-2"/>
          <w:sz w:val="18"/>
          <w:vertAlign w:val="baseline"/>
        </w:rPr>
        <w:t> </w:t>
      </w:r>
      <w:r>
        <w:rPr>
          <w:sz w:val="18"/>
          <w:vertAlign w:val="baseline"/>
        </w:rPr>
        <w:t>Gamarel.</w:t>
      </w:r>
      <w:r>
        <w:rPr>
          <w:spacing w:val="-2"/>
          <w:sz w:val="18"/>
          <w:vertAlign w:val="baseline"/>
        </w:rPr>
        <w:t> </w:t>
      </w:r>
      <w:r>
        <w:rPr>
          <w:sz w:val="18"/>
          <w:vertAlign w:val="baseline"/>
        </w:rPr>
        <w:t>2022."A</w:t>
      </w:r>
      <w:r>
        <w:rPr>
          <w:spacing w:val="-3"/>
          <w:sz w:val="18"/>
          <w:vertAlign w:val="baseline"/>
        </w:rPr>
        <w:t> </w:t>
      </w:r>
      <w:r>
        <w:rPr>
          <w:sz w:val="18"/>
          <w:vertAlign w:val="baseline"/>
        </w:rPr>
        <w:t>Scoping</w:t>
      </w:r>
      <w:r>
        <w:rPr>
          <w:spacing w:val="-2"/>
          <w:sz w:val="18"/>
          <w:vertAlign w:val="baseline"/>
        </w:rPr>
        <w:t> </w:t>
      </w:r>
      <w:r>
        <w:rPr>
          <w:sz w:val="18"/>
          <w:vertAlign w:val="baseline"/>
        </w:rPr>
        <w:t>Review</w:t>
      </w:r>
      <w:r>
        <w:rPr>
          <w:spacing w:val="-3"/>
          <w:sz w:val="18"/>
          <w:vertAlign w:val="baseline"/>
        </w:rPr>
        <w:t> </w:t>
      </w:r>
      <w:r>
        <w:rPr>
          <w:sz w:val="18"/>
          <w:vertAlign w:val="baseline"/>
        </w:rPr>
        <w:t>of</w:t>
      </w:r>
      <w:r>
        <w:rPr>
          <w:spacing w:val="-2"/>
          <w:sz w:val="18"/>
          <w:vertAlign w:val="baseline"/>
        </w:rPr>
        <w:t> </w:t>
      </w:r>
      <w:r>
        <w:rPr>
          <w:sz w:val="18"/>
          <w:vertAlign w:val="baseline"/>
        </w:rPr>
        <w:t>Health Outcomes</w:t>
      </w:r>
      <w:r>
        <w:rPr>
          <w:spacing w:val="-6"/>
          <w:sz w:val="18"/>
          <w:vertAlign w:val="baseline"/>
        </w:rPr>
        <w:t> </w:t>
      </w:r>
      <w:r>
        <w:rPr>
          <w:sz w:val="18"/>
          <w:vertAlign w:val="baseline"/>
        </w:rPr>
        <w:t>Among</w:t>
      </w:r>
      <w:r>
        <w:rPr>
          <w:spacing w:val="-3"/>
          <w:sz w:val="18"/>
          <w:vertAlign w:val="baseline"/>
        </w:rPr>
        <w:t> </w:t>
      </w:r>
      <w:r>
        <w:rPr>
          <w:sz w:val="18"/>
          <w:vertAlign w:val="baseline"/>
        </w:rPr>
        <w:t>Transgender</w:t>
      </w:r>
      <w:r>
        <w:rPr>
          <w:spacing w:val="-5"/>
          <w:sz w:val="18"/>
          <w:vertAlign w:val="baseline"/>
        </w:rPr>
        <w:t> </w:t>
      </w:r>
      <w:r>
        <w:rPr>
          <w:sz w:val="18"/>
          <w:vertAlign w:val="baseline"/>
        </w:rPr>
        <w:t>Migrants."</w:t>
      </w:r>
      <w:r>
        <w:rPr>
          <w:spacing w:val="-3"/>
          <w:sz w:val="18"/>
          <w:vertAlign w:val="baseline"/>
        </w:rPr>
        <w:t> </w:t>
      </w:r>
      <w:r>
        <w:rPr>
          <w:i/>
          <w:sz w:val="18"/>
          <w:vertAlign w:val="baseline"/>
        </w:rPr>
        <w:t>Transgender</w:t>
      </w:r>
      <w:r>
        <w:rPr>
          <w:i/>
          <w:spacing w:val="-4"/>
          <w:sz w:val="18"/>
          <w:vertAlign w:val="baseline"/>
        </w:rPr>
        <w:t> </w:t>
      </w:r>
      <w:r>
        <w:rPr>
          <w:i/>
          <w:sz w:val="18"/>
          <w:vertAlign w:val="baseline"/>
        </w:rPr>
        <w:t>Health</w:t>
      </w:r>
      <w:r>
        <w:rPr>
          <w:i/>
          <w:spacing w:val="-3"/>
          <w:sz w:val="18"/>
          <w:vertAlign w:val="baseline"/>
        </w:rPr>
        <w:t> </w:t>
      </w:r>
      <w:r>
        <w:rPr>
          <w:sz w:val="18"/>
          <w:vertAlign w:val="baseline"/>
        </w:rPr>
        <w:t>7,</w:t>
      </w:r>
      <w:r>
        <w:rPr>
          <w:spacing w:val="-3"/>
          <w:sz w:val="18"/>
          <w:vertAlign w:val="baseline"/>
        </w:rPr>
        <w:t> </w:t>
      </w:r>
      <w:r>
        <w:rPr>
          <w:sz w:val="18"/>
          <w:vertAlign w:val="baseline"/>
        </w:rPr>
        <w:t>no.</w:t>
      </w:r>
      <w:r>
        <w:rPr>
          <w:spacing w:val="-4"/>
          <w:sz w:val="18"/>
          <w:vertAlign w:val="baseline"/>
        </w:rPr>
        <w:t> </w:t>
      </w:r>
      <w:r>
        <w:rPr>
          <w:sz w:val="18"/>
          <w:vertAlign w:val="baseline"/>
        </w:rPr>
        <w:t>5</w:t>
      </w:r>
      <w:r>
        <w:rPr>
          <w:spacing w:val="-3"/>
          <w:sz w:val="18"/>
          <w:vertAlign w:val="baseline"/>
        </w:rPr>
        <w:t> </w:t>
      </w:r>
      <w:r>
        <w:rPr>
          <w:sz w:val="18"/>
          <w:vertAlign w:val="baseline"/>
        </w:rPr>
        <w:t>(October</w:t>
      </w:r>
      <w:r>
        <w:rPr>
          <w:spacing w:val="-4"/>
          <w:sz w:val="18"/>
          <w:vertAlign w:val="baseline"/>
        </w:rPr>
        <w:t> </w:t>
      </w:r>
      <w:r>
        <w:rPr>
          <w:sz w:val="18"/>
          <w:vertAlign w:val="baseline"/>
        </w:rPr>
        <w:t>2022):</w:t>
      </w:r>
      <w:r>
        <w:rPr>
          <w:spacing w:val="-3"/>
          <w:sz w:val="18"/>
          <w:vertAlign w:val="baseline"/>
        </w:rPr>
        <w:t> </w:t>
      </w:r>
      <w:r>
        <w:rPr>
          <w:sz w:val="18"/>
          <w:vertAlign w:val="baseline"/>
        </w:rPr>
        <w:t>385–396.</w:t>
      </w:r>
      <w:r>
        <w:rPr>
          <w:spacing w:val="-4"/>
          <w:sz w:val="18"/>
          <w:vertAlign w:val="baseline"/>
        </w:rPr>
        <w:t> </w:t>
      </w:r>
      <w:r>
        <w:rPr>
          <w:sz w:val="18"/>
          <w:vertAlign w:val="baseline"/>
        </w:rPr>
        <w:t>Published</w:t>
      </w:r>
      <w:r>
        <w:rPr>
          <w:spacing w:val="-3"/>
          <w:sz w:val="18"/>
          <w:vertAlign w:val="baseline"/>
        </w:rPr>
        <w:t> </w:t>
      </w:r>
      <w:r>
        <w:rPr>
          <w:sz w:val="18"/>
          <w:vertAlign w:val="baseline"/>
        </w:rPr>
        <w:t>online</w:t>
      </w:r>
      <w:r>
        <w:rPr>
          <w:spacing w:val="-3"/>
          <w:sz w:val="18"/>
          <w:vertAlign w:val="baseline"/>
        </w:rPr>
        <w:t> </w:t>
      </w:r>
      <w:r>
        <w:rPr>
          <w:sz w:val="18"/>
          <w:vertAlign w:val="baseline"/>
        </w:rPr>
        <w:t>October</w:t>
      </w:r>
      <w:r>
        <w:rPr>
          <w:spacing w:val="-4"/>
          <w:sz w:val="18"/>
          <w:vertAlign w:val="baseline"/>
        </w:rPr>
        <w:t> </w:t>
      </w:r>
      <w:r>
        <w:rPr>
          <w:spacing w:val="-5"/>
          <w:sz w:val="18"/>
          <w:vertAlign w:val="baseline"/>
        </w:rPr>
        <w:t>7,</w:t>
      </w:r>
    </w:p>
    <w:p>
      <w:pPr>
        <w:spacing w:before="0"/>
        <w:ind w:left="320" w:right="0" w:firstLine="0"/>
        <w:jc w:val="left"/>
        <w:rPr>
          <w:sz w:val="18"/>
        </w:rPr>
      </w:pPr>
      <w:r>
        <w:rPr>
          <w:sz w:val="18"/>
        </w:rPr>
        <w:t>2022.</w:t>
      </w:r>
      <w:r>
        <w:rPr>
          <w:spacing w:val="-8"/>
          <w:sz w:val="18"/>
        </w:rPr>
        <w:t> </w:t>
      </w:r>
      <w:r>
        <w:rPr>
          <w:sz w:val="18"/>
        </w:rPr>
        <w:t>doi:10.1089/trgh.2021.0011.</w:t>
      </w:r>
      <w:r>
        <w:rPr>
          <w:spacing w:val="-5"/>
          <w:sz w:val="18"/>
        </w:rPr>
        <w:t> </w:t>
      </w:r>
      <w:r>
        <w:rPr>
          <w:sz w:val="18"/>
        </w:rPr>
        <w:t>Accessed</w:t>
      </w:r>
      <w:r>
        <w:rPr>
          <w:spacing w:val="-6"/>
          <w:sz w:val="18"/>
        </w:rPr>
        <w:t> </w:t>
      </w:r>
      <w:r>
        <w:rPr>
          <w:sz w:val="18"/>
        </w:rPr>
        <w:t>April</w:t>
      </w:r>
      <w:r>
        <w:rPr>
          <w:spacing w:val="-6"/>
          <w:sz w:val="18"/>
        </w:rPr>
        <w:t> </w:t>
      </w:r>
      <w:r>
        <w:rPr>
          <w:sz w:val="18"/>
        </w:rPr>
        <w:t>13,</w:t>
      </w:r>
      <w:r>
        <w:rPr>
          <w:spacing w:val="-6"/>
          <w:sz w:val="18"/>
        </w:rPr>
        <w:t> </w:t>
      </w:r>
      <w:r>
        <w:rPr>
          <w:sz w:val="18"/>
        </w:rPr>
        <w:t>2024.</w:t>
      </w:r>
      <w:r>
        <w:rPr>
          <w:spacing w:val="-5"/>
          <w:sz w:val="18"/>
        </w:rPr>
        <w:t> </w:t>
      </w:r>
      <w:hyperlink r:id="rId490">
        <w:r>
          <w:rPr>
            <w:spacing w:val="-2"/>
            <w:sz w:val="18"/>
            <w:u w:val="single"/>
          </w:rPr>
          <w:t>https://www.ncbi.nlm.nih.gov/pmc/articles/PMC9829141</w:t>
        </w:r>
        <w:r>
          <w:rPr>
            <w:spacing w:val="-2"/>
            <w:sz w:val="18"/>
            <w:u w:val="none"/>
          </w:rPr>
          <w:t>.</w:t>
        </w:r>
      </w:hyperlink>
    </w:p>
    <w:p>
      <w:pPr>
        <w:spacing w:before="0"/>
        <w:ind w:left="320" w:right="228" w:firstLine="0"/>
        <w:jc w:val="left"/>
        <w:rPr>
          <w:sz w:val="18"/>
        </w:rPr>
      </w:pPr>
      <w:r>
        <w:rPr>
          <w:sz w:val="18"/>
          <w:vertAlign w:val="superscript"/>
        </w:rPr>
        <w:t>36</w:t>
      </w:r>
      <w:r>
        <w:rPr>
          <w:spacing w:val="-3"/>
          <w:sz w:val="18"/>
          <w:vertAlign w:val="baseline"/>
        </w:rPr>
        <w:t> </w:t>
      </w:r>
      <w:r>
        <w:rPr>
          <w:sz w:val="18"/>
          <w:vertAlign w:val="baseline"/>
        </w:rPr>
        <w:t>Williams</w:t>
      </w:r>
      <w:r>
        <w:rPr>
          <w:spacing w:val="-3"/>
          <w:sz w:val="18"/>
          <w:vertAlign w:val="baseline"/>
        </w:rPr>
        <w:t> </w:t>
      </w:r>
      <w:r>
        <w:rPr>
          <w:sz w:val="18"/>
          <w:vertAlign w:val="baseline"/>
        </w:rPr>
        <w:t>Institute.</w:t>
      </w:r>
      <w:r>
        <w:rPr>
          <w:spacing w:val="-3"/>
          <w:sz w:val="18"/>
          <w:vertAlign w:val="baseline"/>
        </w:rPr>
        <w:t> </w:t>
      </w:r>
      <w:r>
        <w:rPr>
          <w:sz w:val="18"/>
          <w:vertAlign w:val="baseline"/>
        </w:rPr>
        <w:t>2023.</w:t>
      </w:r>
      <w:r>
        <w:rPr>
          <w:spacing w:val="-3"/>
          <w:sz w:val="18"/>
          <w:vertAlign w:val="baseline"/>
        </w:rPr>
        <w:t> </w:t>
      </w:r>
      <w:r>
        <w:rPr>
          <w:sz w:val="18"/>
          <w:vertAlign w:val="baseline"/>
        </w:rPr>
        <w:t>“The</w:t>
      </w:r>
      <w:r>
        <w:rPr>
          <w:spacing w:val="-3"/>
          <w:sz w:val="18"/>
          <w:vertAlign w:val="baseline"/>
        </w:rPr>
        <w:t> </w:t>
      </w:r>
      <w:r>
        <w:rPr>
          <w:sz w:val="18"/>
          <w:vertAlign w:val="baseline"/>
        </w:rPr>
        <w:t>California</w:t>
      </w:r>
      <w:r>
        <w:rPr>
          <w:spacing w:val="-3"/>
          <w:sz w:val="18"/>
          <w:vertAlign w:val="baseline"/>
        </w:rPr>
        <w:t> </w:t>
      </w:r>
      <w:r>
        <w:rPr>
          <w:sz w:val="18"/>
          <w:vertAlign w:val="baseline"/>
        </w:rPr>
        <w:t>Parole</w:t>
      </w:r>
      <w:r>
        <w:rPr>
          <w:spacing w:val="-2"/>
          <w:sz w:val="18"/>
          <w:vertAlign w:val="baseline"/>
        </w:rPr>
        <w:t> </w:t>
      </w:r>
      <w:r>
        <w:rPr>
          <w:sz w:val="18"/>
          <w:vertAlign w:val="baseline"/>
        </w:rPr>
        <w:t>Board’s</w:t>
      </w:r>
      <w:r>
        <w:rPr>
          <w:spacing w:val="-3"/>
          <w:sz w:val="18"/>
          <w:vertAlign w:val="baseline"/>
        </w:rPr>
        <w:t> </w:t>
      </w:r>
      <w:r>
        <w:rPr>
          <w:sz w:val="18"/>
          <w:vertAlign w:val="baseline"/>
        </w:rPr>
        <w:t>Treatment</w:t>
      </w:r>
      <w:r>
        <w:rPr>
          <w:spacing w:val="-3"/>
          <w:sz w:val="18"/>
          <w:vertAlign w:val="baseline"/>
        </w:rPr>
        <w:t> </w:t>
      </w:r>
      <w:r>
        <w:rPr>
          <w:sz w:val="18"/>
          <w:vertAlign w:val="baseline"/>
        </w:rPr>
        <w:t>of</w:t>
      </w:r>
      <w:r>
        <w:rPr>
          <w:spacing w:val="-3"/>
          <w:sz w:val="18"/>
          <w:vertAlign w:val="baseline"/>
        </w:rPr>
        <w:t> </w:t>
      </w:r>
      <w:r>
        <w:rPr>
          <w:sz w:val="18"/>
          <w:vertAlign w:val="baseline"/>
        </w:rPr>
        <w:t>Transgender</w:t>
      </w:r>
      <w:r>
        <w:rPr>
          <w:spacing w:val="-3"/>
          <w:sz w:val="18"/>
          <w:vertAlign w:val="baseline"/>
        </w:rPr>
        <w:t> </w:t>
      </w:r>
      <w:r>
        <w:rPr>
          <w:sz w:val="18"/>
          <w:vertAlign w:val="baseline"/>
        </w:rPr>
        <w:t>Individuals”,</w:t>
      </w:r>
      <w:r>
        <w:rPr>
          <w:spacing w:val="-3"/>
          <w:sz w:val="18"/>
          <w:vertAlign w:val="baseline"/>
        </w:rPr>
        <w:t> </w:t>
      </w:r>
      <w:r>
        <w:rPr>
          <w:sz w:val="18"/>
          <w:vertAlign w:val="baseline"/>
        </w:rPr>
        <w:t>Last</w:t>
      </w:r>
      <w:r>
        <w:rPr>
          <w:spacing w:val="-3"/>
          <w:sz w:val="18"/>
          <w:vertAlign w:val="baseline"/>
        </w:rPr>
        <w:t> </w:t>
      </w:r>
      <w:r>
        <w:rPr>
          <w:sz w:val="18"/>
          <w:vertAlign w:val="baseline"/>
        </w:rPr>
        <w:t>Accessed</w:t>
      </w:r>
      <w:r>
        <w:rPr>
          <w:spacing w:val="-3"/>
          <w:sz w:val="18"/>
          <w:vertAlign w:val="baseline"/>
        </w:rPr>
        <w:t> </w:t>
      </w:r>
      <w:r>
        <w:rPr>
          <w:sz w:val="18"/>
          <w:vertAlign w:val="baseline"/>
        </w:rPr>
        <w:t>April</w:t>
      </w:r>
      <w:r>
        <w:rPr>
          <w:spacing w:val="-3"/>
          <w:sz w:val="18"/>
          <w:vertAlign w:val="baseline"/>
        </w:rPr>
        <w:t> </w:t>
      </w:r>
      <w:r>
        <w:rPr>
          <w:sz w:val="18"/>
          <w:vertAlign w:val="baseline"/>
        </w:rPr>
        <w:t>28,</w:t>
      </w:r>
      <w:r>
        <w:rPr>
          <w:spacing w:val="-3"/>
          <w:sz w:val="18"/>
          <w:vertAlign w:val="baseline"/>
        </w:rPr>
        <w:t> </w:t>
      </w:r>
      <w:r>
        <w:rPr>
          <w:sz w:val="18"/>
          <w:vertAlign w:val="baseline"/>
        </w:rPr>
        <w:t>2023. </w:t>
      </w:r>
      <w:hyperlink r:id="rId491">
        <w:r>
          <w:rPr>
            <w:spacing w:val="-2"/>
            <w:sz w:val="18"/>
            <w:u w:val="single"/>
            <w:vertAlign w:val="baseline"/>
          </w:rPr>
          <w:t>https://williamsinstitute.law.ucla.edu/wp-content/uploads/Trans-Parole-Apr-2023.pdf</w:t>
        </w:r>
      </w:hyperlink>
    </w:p>
    <w:p>
      <w:pPr>
        <w:spacing w:before="0"/>
        <w:ind w:left="320" w:right="228" w:firstLine="0"/>
        <w:jc w:val="left"/>
        <w:rPr>
          <w:sz w:val="18"/>
        </w:rPr>
      </w:pPr>
      <w:r>
        <w:rPr>
          <w:sz w:val="18"/>
          <w:vertAlign w:val="superscript"/>
        </w:rPr>
        <w:t>37</w:t>
      </w:r>
      <w:r>
        <w:rPr>
          <w:spacing w:val="-3"/>
          <w:sz w:val="18"/>
          <w:vertAlign w:val="baseline"/>
        </w:rPr>
        <w:t> </w:t>
      </w:r>
      <w:r>
        <w:rPr>
          <w:sz w:val="18"/>
          <w:vertAlign w:val="baseline"/>
        </w:rPr>
        <w:t>Zitsch,</w:t>
      </w:r>
      <w:r>
        <w:rPr>
          <w:spacing w:val="-3"/>
          <w:sz w:val="18"/>
          <w:vertAlign w:val="baseline"/>
        </w:rPr>
        <w:t> </w:t>
      </w:r>
      <w:r>
        <w:rPr>
          <w:sz w:val="18"/>
          <w:vertAlign w:val="baseline"/>
        </w:rPr>
        <w:t>Lauren.</w:t>
      </w:r>
      <w:r>
        <w:rPr>
          <w:spacing w:val="-3"/>
          <w:sz w:val="18"/>
          <w:vertAlign w:val="baseline"/>
        </w:rPr>
        <w:t> </w:t>
      </w:r>
      <w:r>
        <w:rPr>
          <w:sz w:val="18"/>
          <w:vertAlign w:val="baseline"/>
        </w:rPr>
        <w:t>2015.</w:t>
      </w:r>
      <w:r>
        <w:rPr>
          <w:spacing w:val="-3"/>
          <w:sz w:val="18"/>
          <w:vertAlign w:val="baseline"/>
        </w:rPr>
        <w:t> </w:t>
      </w:r>
      <w:r>
        <w:rPr>
          <w:sz w:val="18"/>
          <w:vertAlign w:val="baseline"/>
        </w:rPr>
        <w:t>“Where</w:t>
      </w:r>
      <w:r>
        <w:rPr>
          <w:spacing w:val="-3"/>
          <w:sz w:val="18"/>
          <w:vertAlign w:val="baseline"/>
        </w:rPr>
        <w:t> </w:t>
      </w:r>
      <w:r>
        <w:rPr>
          <w:sz w:val="18"/>
          <w:vertAlign w:val="baseline"/>
        </w:rPr>
        <w:t>the</w:t>
      </w:r>
      <w:r>
        <w:rPr>
          <w:spacing w:val="-3"/>
          <w:sz w:val="18"/>
          <w:vertAlign w:val="baseline"/>
        </w:rPr>
        <w:t> </w:t>
      </w:r>
      <w:r>
        <w:rPr>
          <w:sz w:val="18"/>
          <w:vertAlign w:val="baseline"/>
        </w:rPr>
        <w:t>American</w:t>
      </w:r>
      <w:r>
        <w:rPr>
          <w:spacing w:val="-3"/>
          <w:sz w:val="18"/>
          <w:vertAlign w:val="baseline"/>
        </w:rPr>
        <w:t> </w:t>
      </w:r>
      <w:r>
        <w:rPr>
          <w:sz w:val="18"/>
          <w:vertAlign w:val="baseline"/>
        </w:rPr>
        <w:t>Dream</w:t>
      </w:r>
      <w:r>
        <w:rPr>
          <w:spacing w:val="-3"/>
          <w:sz w:val="18"/>
          <w:vertAlign w:val="baseline"/>
        </w:rPr>
        <w:t> </w:t>
      </w:r>
      <w:r>
        <w:rPr>
          <w:sz w:val="18"/>
          <w:vertAlign w:val="baseline"/>
        </w:rPr>
        <w:t>Becomes</w:t>
      </w:r>
      <w:r>
        <w:rPr>
          <w:spacing w:val="-3"/>
          <w:sz w:val="18"/>
          <w:vertAlign w:val="baseline"/>
        </w:rPr>
        <w:t> </w:t>
      </w:r>
      <w:r>
        <w:rPr>
          <w:sz w:val="18"/>
          <w:vertAlign w:val="baseline"/>
        </w:rPr>
        <w:t>a</w:t>
      </w:r>
      <w:r>
        <w:rPr>
          <w:spacing w:val="-3"/>
          <w:sz w:val="18"/>
          <w:vertAlign w:val="baseline"/>
        </w:rPr>
        <w:t> </w:t>
      </w:r>
      <w:r>
        <w:rPr>
          <w:sz w:val="18"/>
          <w:vertAlign w:val="baseline"/>
        </w:rPr>
        <w:t>Nightmare:</w:t>
      </w:r>
      <w:r>
        <w:rPr>
          <w:spacing w:val="-3"/>
          <w:sz w:val="18"/>
          <w:vertAlign w:val="baseline"/>
        </w:rPr>
        <w:t> </w:t>
      </w:r>
      <w:r>
        <w:rPr>
          <w:sz w:val="18"/>
          <w:vertAlign w:val="baseline"/>
        </w:rPr>
        <w:t>LGBT</w:t>
      </w:r>
      <w:r>
        <w:rPr>
          <w:spacing w:val="-4"/>
          <w:sz w:val="18"/>
          <w:vertAlign w:val="baseline"/>
        </w:rPr>
        <w:t> </w:t>
      </w:r>
      <w:r>
        <w:rPr>
          <w:sz w:val="18"/>
          <w:vertAlign w:val="baseline"/>
        </w:rPr>
        <w:t>Detainees</w:t>
      </w:r>
      <w:r>
        <w:rPr>
          <w:spacing w:val="-3"/>
          <w:sz w:val="18"/>
          <w:vertAlign w:val="baseline"/>
        </w:rPr>
        <w:t> </w:t>
      </w:r>
      <w:r>
        <w:rPr>
          <w:sz w:val="18"/>
          <w:vertAlign w:val="baseline"/>
        </w:rPr>
        <w:t>in</w:t>
      </w:r>
      <w:r>
        <w:rPr>
          <w:spacing w:val="-3"/>
          <w:sz w:val="18"/>
          <w:vertAlign w:val="baseline"/>
        </w:rPr>
        <w:t> </w:t>
      </w:r>
      <w:r>
        <w:rPr>
          <w:sz w:val="18"/>
          <w:vertAlign w:val="baseline"/>
        </w:rPr>
        <w:t>Immigration</w:t>
      </w:r>
      <w:r>
        <w:rPr>
          <w:spacing w:val="-3"/>
          <w:sz w:val="18"/>
          <w:vertAlign w:val="baseline"/>
        </w:rPr>
        <w:t> </w:t>
      </w:r>
      <w:r>
        <w:rPr>
          <w:sz w:val="18"/>
          <w:vertAlign w:val="baseline"/>
        </w:rPr>
        <w:t>Facilities”,</w:t>
      </w:r>
      <w:r>
        <w:rPr>
          <w:spacing w:val="-3"/>
          <w:sz w:val="18"/>
          <w:vertAlign w:val="baseline"/>
        </w:rPr>
        <w:t> </w:t>
      </w:r>
      <w:r>
        <w:rPr>
          <w:i/>
          <w:sz w:val="18"/>
          <w:vertAlign w:val="baseline"/>
        </w:rPr>
        <w:t>William</w:t>
      </w:r>
      <w:r>
        <w:rPr>
          <w:i/>
          <w:sz w:val="18"/>
          <w:vertAlign w:val="baseline"/>
        </w:rPr>
        <w:t> and Mary Journal of Women and Law</w:t>
      </w:r>
      <w:r>
        <w:rPr>
          <w:sz w:val="18"/>
          <w:vertAlign w:val="baseline"/>
        </w:rPr>
        <w:t>. 2015. </w:t>
      </w:r>
      <w:r>
        <w:rPr>
          <w:spacing w:val="-2"/>
          <w:sz w:val="18"/>
          <w:vertAlign w:val="baseline"/>
        </w:rPr>
        <w:t>https://scholarship.law.wm.edu/cgi/viewcontent.cgi?article=1416&amp;context=wmjowl</w:t>
      </w:r>
    </w:p>
    <w:p>
      <w:pPr>
        <w:spacing w:line="219" w:lineRule="exact" w:before="0"/>
        <w:ind w:left="320" w:right="0" w:firstLine="0"/>
        <w:jc w:val="left"/>
        <w:rPr>
          <w:i/>
          <w:sz w:val="18"/>
        </w:rPr>
      </w:pPr>
      <w:r>
        <w:rPr>
          <w:sz w:val="18"/>
          <w:vertAlign w:val="superscript"/>
        </w:rPr>
        <w:t>38</w:t>
      </w:r>
      <w:r>
        <w:rPr>
          <w:sz w:val="18"/>
          <w:vertAlign w:val="baseline"/>
        </w:rPr>
        <w:t> </w:t>
      </w:r>
      <w:r>
        <w:rPr>
          <w:i/>
          <w:spacing w:val="-5"/>
          <w:sz w:val="18"/>
          <w:vertAlign w:val="baseline"/>
        </w:rPr>
        <w:t>Id.</w:t>
      </w:r>
    </w:p>
    <w:p>
      <w:pPr>
        <w:spacing w:before="0"/>
        <w:ind w:left="320" w:right="228" w:firstLine="0"/>
        <w:jc w:val="left"/>
        <w:rPr>
          <w:sz w:val="18"/>
        </w:rPr>
      </w:pPr>
      <w:r>
        <w:rPr>
          <w:sz w:val="18"/>
          <w:vertAlign w:val="superscript"/>
        </w:rPr>
        <w:t>39</w:t>
      </w:r>
      <w:r>
        <w:rPr>
          <w:spacing w:val="-2"/>
          <w:sz w:val="18"/>
          <w:vertAlign w:val="baseline"/>
        </w:rPr>
        <w:t> </w:t>
      </w:r>
      <w:r>
        <w:rPr>
          <w:sz w:val="18"/>
          <w:vertAlign w:val="baseline"/>
        </w:rPr>
        <w:t>Reiter,</w:t>
      </w:r>
      <w:r>
        <w:rPr>
          <w:spacing w:val="-3"/>
          <w:sz w:val="18"/>
          <w:vertAlign w:val="baseline"/>
        </w:rPr>
        <w:t> </w:t>
      </w:r>
      <w:r>
        <w:rPr>
          <w:sz w:val="18"/>
          <w:vertAlign w:val="baseline"/>
        </w:rPr>
        <w:t>Keramet,</w:t>
      </w:r>
      <w:r>
        <w:rPr>
          <w:spacing w:val="-3"/>
          <w:sz w:val="18"/>
          <w:vertAlign w:val="baseline"/>
        </w:rPr>
        <w:t> </w:t>
      </w:r>
      <w:r>
        <w:rPr>
          <w:sz w:val="18"/>
          <w:vertAlign w:val="baseline"/>
        </w:rPr>
        <w:t>Joseph</w:t>
      </w:r>
      <w:r>
        <w:rPr>
          <w:spacing w:val="-2"/>
          <w:sz w:val="18"/>
          <w:vertAlign w:val="baseline"/>
        </w:rPr>
        <w:t> </w:t>
      </w:r>
      <w:r>
        <w:rPr>
          <w:sz w:val="18"/>
          <w:vertAlign w:val="baseline"/>
        </w:rPr>
        <w:t>Ventura,</w:t>
      </w:r>
      <w:r>
        <w:rPr>
          <w:spacing w:val="-3"/>
          <w:sz w:val="18"/>
          <w:vertAlign w:val="baseline"/>
        </w:rPr>
        <w:t> </w:t>
      </w:r>
      <w:r>
        <w:rPr>
          <w:sz w:val="18"/>
          <w:vertAlign w:val="baseline"/>
        </w:rPr>
        <w:t>David</w:t>
      </w:r>
      <w:r>
        <w:rPr>
          <w:spacing w:val="-2"/>
          <w:sz w:val="18"/>
          <w:vertAlign w:val="baseline"/>
        </w:rPr>
        <w:t> </w:t>
      </w:r>
      <w:r>
        <w:rPr>
          <w:sz w:val="18"/>
          <w:vertAlign w:val="baseline"/>
        </w:rPr>
        <w:t>Lovell,</w:t>
      </w:r>
      <w:r>
        <w:rPr>
          <w:spacing w:val="-3"/>
          <w:sz w:val="18"/>
          <w:vertAlign w:val="baseline"/>
        </w:rPr>
        <w:t> </w:t>
      </w:r>
      <w:r>
        <w:rPr>
          <w:sz w:val="18"/>
          <w:vertAlign w:val="baseline"/>
        </w:rPr>
        <w:t>Dallas</w:t>
      </w:r>
      <w:r>
        <w:rPr>
          <w:spacing w:val="-2"/>
          <w:sz w:val="18"/>
          <w:vertAlign w:val="baseline"/>
        </w:rPr>
        <w:t> </w:t>
      </w:r>
      <w:r>
        <w:rPr>
          <w:sz w:val="18"/>
          <w:vertAlign w:val="baseline"/>
        </w:rPr>
        <w:t>Augustine,</w:t>
      </w:r>
      <w:r>
        <w:rPr>
          <w:spacing w:val="-4"/>
          <w:sz w:val="18"/>
          <w:vertAlign w:val="baseline"/>
        </w:rPr>
        <w:t> </w:t>
      </w:r>
      <w:r>
        <w:rPr>
          <w:sz w:val="18"/>
          <w:vertAlign w:val="baseline"/>
        </w:rPr>
        <w:t>Melissa</w:t>
      </w:r>
      <w:r>
        <w:rPr>
          <w:spacing w:val="-2"/>
          <w:sz w:val="18"/>
          <w:vertAlign w:val="baseline"/>
        </w:rPr>
        <w:t> </w:t>
      </w:r>
      <w:r>
        <w:rPr>
          <w:sz w:val="18"/>
          <w:vertAlign w:val="baseline"/>
        </w:rPr>
        <w:t>Barragan,</w:t>
      </w:r>
      <w:r>
        <w:rPr>
          <w:spacing w:val="-3"/>
          <w:sz w:val="18"/>
          <w:vertAlign w:val="baseline"/>
        </w:rPr>
        <w:t> </w:t>
      </w:r>
      <w:r>
        <w:rPr>
          <w:sz w:val="18"/>
          <w:vertAlign w:val="baseline"/>
        </w:rPr>
        <w:t>Thomas</w:t>
      </w:r>
      <w:r>
        <w:rPr>
          <w:spacing w:val="-2"/>
          <w:sz w:val="18"/>
          <w:vertAlign w:val="baseline"/>
        </w:rPr>
        <w:t> </w:t>
      </w:r>
      <w:r>
        <w:rPr>
          <w:sz w:val="18"/>
          <w:vertAlign w:val="baseline"/>
        </w:rPr>
        <w:t>Blair,</w:t>
      </w:r>
      <w:r>
        <w:rPr>
          <w:spacing w:val="-3"/>
          <w:sz w:val="18"/>
          <w:vertAlign w:val="baseline"/>
        </w:rPr>
        <w:t> </w:t>
      </w:r>
      <w:r>
        <w:rPr>
          <w:sz w:val="18"/>
          <w:vertAlign w:val="baseline"/>
        </w:rPr>
        <w:t>Kelsie</w:t>
      </w:r>
      <w:r>
        <w:rPr>
          <w:spacing w:val="-2"/>
          <w:sz w:val="18"/>
          <w:vertAlign w:val="baseline"/>
        </w:rPr>
        <w:t> </w:t>
      </w:r>
      <w:r>
        <w:rPr>
          <w:sz w:val="18"/>
          <w:vertAlign w:val="baseline"/>
        </w:rPr>
        <w:t>Chesnut,</w:t>
      </w:r>
      <w:r>
        <w:rPr>
          <w:spacing w:val="-3"/>
          <w:sz w:val="18"/>
          <w:vertAlign w:val="baseline"/>
        </w:rPr>
        <w:t> </w:t>
      </w:r>
      <w:r>
        <w:rPr>
          <w:sz w:val="18"/>
          <w:vertAlign w:val="baseline"/>
        </w:rPr>
        <w:t>et</w:t>
      </w:r>
      <w:r>
        <w:rPr>
          <w:spacing w:val="-3"/>
          <w:sz w:val="18"/>
          <w:vertAlign w:val="baseline"/>
        </w:rPr>
        <w:t> </w:t>
      </w:r>
      <w:r>
        <w:rPr>
          <w:sz w:val="18"/>
          <w:vertAlign w:val="baseline"/>
        </w:rPr>
        <w:t>al.</w:t>
      </w:r>
      <w:r>
        <w:rPr>
          <w:spacing w:val="-2"/>
          <w:sz w:val="18"/>
          <w:vertAlign w:val="baseline"/>
        </w:rPr>
        <w:t> </w:t>
      </w:r>
      <w:r>
        <w:rPr>
          <w:sz w:val="18"/>
          <w:vertAlign w:val="baseline"/>
        </w:rPr>
        <w:t>2020. "Psychological Distress in Solitary Confinement: Symptoms, Severity, and Prevalence in the United States, 2017–2018." </w:t>
      </w:r>
      <w:r>
        <w:rPr>
          <w:i/>
          <w:sz w:val="18"/>
          <w:vertAlign w:val="baseline"/>
        </w:rPr>
        <w:t>American Journal of Public Health </w:t>
      </w:r>
      <w:r>
        <w:rPr>
          <w:sz w:val="18"/>
          <w:vertAlign w:val="baseline"/>
        </w:rPr>
        <w:t>110, suppl. 1 (January 2020): S56–S62. https://doi.org/10.2105/AJPH.2019.305375.</w:t>
      </w:r>
    </w:p>
    <w:p>
      <w:pPr>
        <w:spacing w:before="1"/>
        <w:ind w:left="320" w:right="224" w:firstLine="0"/>
        <w:jc w:val="left"/>
        <w:rPr>
          <w:sz w:val="18"/>
        </w:rPr>
      </w:pPr>
      <w:r>
        <w:rPr>
          <w:sz w:val="18"/>
          <w:vertAlign w:val="superscript"/>
        </w:rPr>
        <w:t>40</w:t>
      </w:r>
      <w:r>
        <w:rPr>
          <w:sz w:val="18"/>
          <w:vertAlign w:val="baseline"/>
        </w:rPr>
        <w:t> Partnership to End Addiction. 2024. "Why LGBTQ+ Youth Are at Increased Risk for Substance Abuse Use &amp; How You Can Help”.</w:t>
      </w:r>
      <w:r>
        <w:rPr>
          <w:spacing w:val="-4"/>
          <w:sz w:val="18"/>
          <w:vertAlign w:val="baseline"/>
        </w:rPr>
        <w:t> </w:t>
      </w:r>
      <w:r>
        <w:rPr>
          <w:i/>
          <w:sz w:val="18"/>
          <w:vertAlign w:val="baseline"/>
        </w:rPr>
        <w:t>Partnership</w:t>
      </w:r>
      <w:r>
        <w:rPr>
          <w:i/>
          <w:spacing w:val="-5"/>
          <w:sz w:val="18"/>
          <w:vertAlign w:val="baseline"/>
        </w:rPr>
        <w:t> </w:t>
      </w:r>
      <w:r>
        <w:rPr>
          <w:i/>
          <w:sz w:val="18"/>
          <w:vertAlign w:val="baseline"/>
        </w:rPr>
        <w:t>to</w:t>
      </w:r>
      <w:r>
        <w:rPr>
          <w:i/>
          <w:spacing w:val="-4"/>
          <w:sz w:val="18"/>
          <w:vertAlign w:val="baseline"/>
        </w:rPr>
        <w:t> </w:t>
      </w:r>
      <w:r>
        <w:rPr>
          <w:i/>
          <w:sz w:val="18"/>
          <w:vertAlign w:val="baseline"/>
        </w:rPr>
        <w:t>End</w:t>
      </w:r>
      <w:r>
        <w:rPr>
          <w:i/>
          <w:spacing w:val="-5"/>
          <w:sz w:val="18"/>
          <w:vertAlign w:val="baseline"/>
        </w:rPr>
        <w:t> </w:t>
      </w:r>
      <w:r>
        <w:rPr>
          <w:i/>
          <w:sz w:val="18"/>
          <w:vertAlign w:val="baseline"/>
        </w:rPr>
        <w:t>Addiction</w:t>
      </w:r>
      <w:r>
        <w:rPr>
          <w:sz w:val="18"/>
          <w:vertAlign w:val="baseline"/>
        </w:rPr>
        <w:t>.</w:t>
      </w:r>
      <w:r>
        <w:rPr>
          <w:spacing w:val="-4"/>
          <w:sz w:val="18"/>
          <w:vertAlign w:val="baseline"/>
        </w:rPr>
        <w:t> </w:t>
      </w:r>
      <w:r>
        <w:rPr>
          <w:sz w:val="18"/>
          <w:vertAlign w:val="baseline"/>
        </w:rPr>
        <w:t>Accessed</w:t>
      </w:r>
      <w:r>
        <w:rPr>
          <w:spacing w:val="-4"/>
          <w:sz w:val="18"/>
          <w:vertAlign w:val="baseline"/>
        </w:rPr>
        <w:t> </w:t>
      </w:r>
      <w:r>
        <w:rPr>
          <w:sz w:val="18"/>
          <w:vertAlign w:val="baseline"/>
        </w:rPr>
        <w:t>April</w:t>
      </w:r>
      <w:r>
        <w:rPr>
          <w:spacing w:val="-5"/>
          <w:sz w:val="18"/>
          <w:vertAlign w:val="baseline"/>
        </w:rPr>
        <w:t> </w:t>
      </w:r>
      <w:r>
        <w:rPr>
          <w:sz w:val="18"/>
          <w:vertAlign w:val="baseline"/>
        </w:rPr>
        <w:t>14,</w:t>
      </w:r>
      <w:r>
        <w:rPr>
          <w:spacing w:val="-5"/>
          <w:sz w:val="18"/>
          <w:vertAlign w:val="baseline"/>
        </w:rPr>
        <w:t> </w:t>
      </w:r>
      <w:r>
        <w:rPr>
          <w:sz w:val="18"/>
          <w:vertAlign w:val="baseline"/>
        </w:rPr>
        <w:t>2024.</w:t>
      </w:r>
      <w:r>
        <w:rPr>
          <w:spacing w:val="-4"/>
          <w:sz w:val="18"/>
          <w:vertAlign w:val="baseline"/>
        </w:rPr>
        <w:t> </w:t>
      </w:r>
      <w:hyperlink r:id="rId492">
        <w:r>
          <w:rPr>
            <w:sz w:val="18"/>
            <w:u w:val="single"/>
            <w:vertAlign w:val="baseline"/>
          </w:rPr>
          <w:t>https://drugfree.org/article/reducing-substance-use-risk-among-</w:t>
        </w:r>
      </w:hyperlink>
      <w:r>
        <w:rPr>
          <w:sz w:val="18"/>
          <w:u w:val="none"/>
          <w:vertAlign w:val="baseline"/>
        </w:rPr>
        <w:t> </w:t>
      </w:r>
      <w:hyperlink r:id="rId492">
        <w:r>
          <w:rPr>
            <w:spacing w:val="-2"/>
            <w:sz w:val="18"/>
            <w:u w:val="single"/>
            <w:vertAlign w:val="baseline"/>
          </w:rPr>
          <w:t>lgbtq-youth/</w:t>
        </w:r>
        <w:r>
          <w:rPr>
            <w:spacing w:val="-2"/>
            <w:sz w:val="18"/>
            <w:u w:val="none"/>
            <w:vertAlign w:val="baseline"/>
          </w:rPr>
          <w:t>.</w:t>
        </w:r>
      </w:hyperlink>
    </w:p>
    <w:p>
      <w:pPr>
        <w:spacing w:line="219" w:lineRule="exact" w:before="0"/>
        <w:ind w:left="320" w:right="0" w:firstLine="0"/>
        <w:jc w:val="left"/>
        <w:rPr>
          <w:i/>
          <w:sz w:val="18"/>
        </w:rPr>
      </w:pPr>
      <w:r>
        <w:rPr>
          <w:sz w:val="18"/>
          <w:vertAlign w:val="superscript"/>
        </w:rPr>
        <w:t>41</w:t>
      </w:r>
      <w:r>
        <w:rPr>
          <w:sz w:val="18"/>
          <w:vertAlign w:val="baseline"/>
        </w:rPr>
        <w:t> </w:t>
      </w:r>
      <w:r>
        <w:rPr>
          <w:i/>
          <w:spacing w:val="-5"/>
          <w:sz w:val="18"/>
          <w:vertAlign w:val="baseline"/>
        </w:rPr>
        <w:t>Id.</w:t>
      </w:r>
    </w:p>
    <w:p>
      <w:pPr>
        <w:spacing w:before="0"/>
        <w:ind w:left="320" w:right="0" w:firstLine="0"/>
        <w:jc w:val="left"/>
        <w:rPr>
          <w:sz w:val="18"/>
        </w:rPr>
      </w:pPr>
      <w:r>
        <w:rPr>
          <w:sz w:val="18"/>
          <w:vertAlign w:val="superscript"/>
        </w:rPr>
        <w:t>42</w:t>
      </w:r>
      <w:r>
        <w:rPr>
          <w:spacing w:val="-2"/>
          <w:sz w:val="18"/>
          <w:vertAlign w:val="baseline"/>
        </w:rPr>
        <w:t> </w:t>
      </w:r>
      <w:r>
        <w:rPr>
          <w:sz w:val="18"/>
          <w:vertAlign w:val="baseline"/>
        </w:rPr>
        <w:t>Duncan,</w:t>
      </w:r>
      <w:r>
        <w:rPr>
          <w:spacing w:val="-3"/>
          <w:sz w:val="18"/>
          <w:vertAlign w:val="baseline"/>
        </w:rPr>
        <w:t> </w:t>
      </w:r>
      <w:r>
        <w:rPr>
          <w:sz w:val="18"/>
          <w:vertAlign w:val="baseline"/>
        </w:rPr>
        <w:t>Dustin</w:t>
      </w:r>
      <w:r>
        <w:rPr>
          <w:spacing w:val="-2"/>
          <w:sz w:val="18"/>
          <w:vertAlign w:val="baseline"/>
        </w:rPr>
        <w:t> </w:t>
      </w:r>
      <w:r>
        <w:rPr>
          <w:sz w:val="18"/>
          <w:vertAlign w:val="baseline"/>
        </w:rPr>
        <w:t>T.,</w:t>
      </w:r>
      <w:r>
        <w:rPr>
          <w:spacing w:val="-3"/>
          <w:sz w:val="18"/>
          <w:vertAlign w:val="baseline"/>
        </w:rPr>
        <w:t> </w:t>
      </w:r>
      <w:r>
        <w:rPr>
          <w:sz w:val="18"/>
          <w:vertAlign w:val="baseline"/>
        </w:rPr>
        <w:t>Mark</w:t>
      </w:r>
      <w:r>
        <w:rPr>
          <w:spacing w:val="-3"/>
          <w:sz w:val="18"/>
          <w:vertAlign w:val="baseline"/>
        </w:rPr>
        <w:t> </w:t>
      </w:r>
      <w:r>
        <w:rPr>
          <w:sz w:val="18"/>
          <w:vertAlign w:val="baseline"/>
        </w:rPr>
        <w:t>L.</w:t>
      </w:r>
      <w:r>
        <w:rPr>
          <w:spacing w:val="-2"/>
          <w:sz w:val="18"/>
          <w:vertAlign w:val="baseline"/>
        </w:rPr>
        <w:t> </w:t>
      </w:r>
      <w:r>
        <w:rPr>
          <w:sz w:val="18"/>
          <w:vertAlign w:val="baseline"/>
        </w:rPr>
        <w:t>Hatzenbuehler,</w:t>
      </w:r>
      <w:r>
        <w:rPr>
          <w:spacing w:val="-3"/>
          <w:sz w:val="18"/>
          <w:vertAlign w:val="baseline"/>
        </w:rPr>
        <w:t> </w:t>
      </w:r>
      <w:r>
        <w:rPr>
          <w:sz w:val="18"/>
          <w:vertAlign w:val="baseline"/>
        </w:rPr>
        <w:t>and</w:t>
      </w:r>
      <w:r>
        <w:rPr>
          <w:spacing w:val="-2"/>
          <w:sz w:val="18"/>
          <w:vertAlign w:val="baseline"/>
        </w:rPr>
        <w:t> </w:t>
      </w:r>
      <w:r>
        <w:rPr>
          <w:sz w:val="18"/>
          <w:vertAlign w:val="baseline"/>
        </w:rPr>
        <w:t>Renee</w:t>
      </w:r>
      <w:r>
        <w:rPr>
          <w:spacing w:val="-2"/>
          <w:sz w:val="18"/>
          <w:vertAlign w:val="baseline"/>
        </w:rPr>
        <w:t> </w:t>
      </w:r>
      <w:r>
        <w:rPr>
          <w:sz w:val="18"/>
          <w:vertAlign w:val="baseline"/>
        </w:rPr>
        <w:t>M.</w:t>
      </w:r>
      <w:r>
        <w:rPr>
          <w:spacing w:val="-3"/>
          <w:sz w:val="18"/>
          <w:vertAlign w:val="baseline"/>
        </w:rPr>
        <w:t> </w:t>
      </w:r>
      <w:r>
        <w:rPr>
          <w:sz w:val="18"/>
          <w:vertAlign w:val="baseline"/>
        </w:rPr>
        <w:t>Johnson.</w:t>
      </w:r>
      <w:r>
        <w:rPr>
          <w:spacing w:val="-2"/>
          <w:sz w:val="18"/>
          <w:vertAlign w:val="baseline"/>
        </w:rPr>
        <w:t> </w:t>
      </w:r>
      <w:r>
        <w:rPr>
          <w:sz w:val="18"/>
          <w:vertAlign w:val="baseline"/>
        </w:rPr>
        <w:t>2014.</w:t>
      </w:r>
      <w:r>
        <w:rPr>
          <w:spacing w:val="-2"/>
          <w:sz w:val="18"/>
          <w:vertAlign w:val="baseline"/>
        </w:rPr>
        <w:t> </w:t>
      </w:r>
      <w:r>
        <w:rPr>
          <w:sz w:val="18"/>
          <w:vertAlign w:val="baseline"/>
        </w:rPr>
        <w:t>"Neighborhood-level</w:t>
      </w:r>
      <w:r>
        <w:rPr>
          <w:spacing w:val="-3"/>
          <w:sz w:val="18"/>
          <w:vertAlign w:val="baseline"/>
        </w:rPr>
        <w:t> </w:t>
      </w:r>
      <w:r>
        <w:rPr>
          <w:sz w:val="18"/>
          <w:vertAlign w:val="baseline"/>
        </w:rPr>
        <w:t>LGBT</w:t>
      </w:r>
      <w:r>
        <w:rPr>
          <w:spacing w:val="-2"/>
          <w:sz w:val="18"/>
          <w:vertAlign w:val="baseline"/>
        </w:rPr>
        <w:t> </w:t>
      </w:r>
      <w:r>
        <w:rPr>
          <w:sz w:val="18"/>
          <w:vertAlign w:val="baseline"/>
        </w:rPr>
        <w:t>Hate</w:t>
      </w:r>
      <w:r>
        <w:rPr>
          <w:spacing w:val="-2"/>
          <w:sz w:val="18"/>
          <w:vertAlign w:val="baseline"/>
        </w:rPr>
        <w:t> </w:t>
      </w:r>
      <w:r>
        <w:rPr>
          <w:sz w:val="18"/>
          <w:vertAlign w:val="baseline"/>
        </w:rPr>
        <w:t>Crimes</w:t>
      </w:r>
      <w:r>
        <w:rPr>
          <w:spacing w:val="-3"/>
          <w:sz w:val="18"/>
          <w:vertAlign w:val="baseline"/>
        </w:rPr>
        <w:t> </w:t>
      </w:r>
      <w:r>
        <w:rPr>
          <w:sz w:val="18"/>
          <w:vertAlign w:val="baseline"/>
        </w:rPr>
        <w:t>and</w:t>
      </w:r>
      <w:r>
        <w:rPr>
          <w:spacing w:val="-2"/>
          <w:sz w:val="18"/>
          <w:vertAlign w:val="baseline"/>
        </w:rPr>
        <w:t> </w:t>
      </w:r>
      <w:r>
        <w:rPr>
          <w:sz w:val="18"/>
          <w:vertAlign w:val="baseline"/>
        </w:rPr>
        <w:t>Current Illicit Drug Use Among Sexual Minority Youth." </w:t>
      </w:r>
      <w:r>
        <w:rPr>
          <w:i/>
          <w:sz w:val="18"/>
          <w:vertAlign w:val="baseline"/>
        </w:rPr>
        <w:t>Drug and Alcohol Dependence </w:t>
      </w:r>
      <w:r>
        <w:rPr>
          <w:sz w:val="18"/>
          <w:vertAlign w:val="baseline"/>
        </w:rPr>
        <w:t>135 (February 1, 2014): 65-70. Published online November 13, 2013. doi:10.1016/j.drugalcdep.2013.11.001. </w:t>
      </w:r>
      <w:hyperlink r:id="rId493">
        <w:r>
          <w:rPr>
            <w:sz w:val="18"/>
            <w:u w:val="single"/>
            <w:vertAlign w:val="baseline"/>
          </w:rPr>
          <w:t>https://www.ncbi.nlm.nih.gov/pmc/articles/PMC3919662</w:t>
        </w:r>
        <w:r>
          <w:rPr>
            <w:sz w:val="18"/>
            <w:u w:val="none"/>
            <w:vertAlign w:val="baseline"/>
          </w:rPr>
          <w:t>.</w:t>
        </w:r>
      </w:hyperlink>
    </w:p>
    <w:p>
      <w:pPr>
        <w:spacing w:before="0"/>
        <w:ind w:left="320" w:right="481" w:firstLine="0"/>
        <w:jc w:val="left"/>
        <w:rPr>
          <w:sz w:val="18"/>
        </w:rPr>
      </w:pPr>
      <w:r>
        <w:rPr>
          <w:sz w:val="18"/>
          <w:vertAlign w:val="superscript"/>
        </w:rPr>
        <w:t>43</w:t>
      </w:r>
      <w:r>
        <w:rPr>
          <w:spacing w:val="-2"/>
          <w:sz w:val="18"/>
          <w:vertAlign w:val="baseline"/>
        </w:rPr>
        <w:t> </w:t>
      </w:r>
      <w:r>
        <w:rPr>
          <w:sz w:val="18"/>
          <w:vertAlign w:val="baseline"/>
        </w:rPr>
        <w:t>Mereish,</w:t>
      </w:r>
      <w:r>
        <w:rPr>
          <w:spacing w:val="-3"/>
          <w:sz w:val="18"/>
          <w:vertAlign w:val="baseline"/>
        </w:rPr>
        <w:t> </w:t>
      </w:r>
      <w:r>
        <w:rPr>
          <w:sz w:val="18"/>
          <w:vertAlign w:val="baseline"/>
        </w:rPr>
        <w:t>Ethan</w:t>
      </w:r>
      <w:r>
        <w:rPr>
          <w:spacing w:val="-2"/>
          <w:sz w:val="18"/>
          <w:vertAlign w:val="baseline"/>
        </w:rPr>
        <w:t> </w:t>
      </w:r>
      <w:r>
        <w:rPr>
          <w:sz w:val="18"/>
          <w:vertAlign w:val="baseline"/>
        </w:rPr>
        <w:t>H.</w:t>
      </w:r>
      <w:r>
        <w:rPr>
          <w:spacing w:val="-2"/>
          <w:sz w:val="18"/>
          <w:vertAlign w:val="baseline"/>
        </w:rPr>
        <w:t> </w:t>
      </w:r>
      <w:r>
        <w:rPr>
          <w:sz w:val="18"/>
          <w:vertAlign w:val="baseline"/>
        </w:rPr>
        <w:t>2019.</w:t>
      </w:r>
      <w:r>
        <w:rPr>
          <w:spacing w:val="-2"/>
          <w:sz w:val="18"/>
          <w:vertAlign w:val="baseline"/>
        </w:rPr>
        <w:t> </w:t>
      </w:r>
      <w:r>
        <w:rPr>
          <w:sz w:val="18"/>
          <w:vertAlign w:val="baseline"/>
        </w:rPr>
        <w:t>."Substance</w:t>
      </w:r>
      <w:r>
        <w:rPr>
          <w:spacing w:val="-2"/>
          <w:sz w:val="18"/>
          <w:vertAlign w:val="baseline"/>
        </w:rPr>
        <w:t> </w:t>
      </w:r>
      <w:r>
        <w:rPr>
          <w:sz w:val="18"/>
          <w:vertAlign w:val="baseline"/>
        </w:rPr>
        <w:t>Use</w:t>
      </w:r>
      <w:r>
        <w:rPr>
          <w:spacing w:val="-2"/>
          <w:sz w:val="18"/>
          <w:vertAlign w:val="baseline"/>
        </w:rPr>
        <w:t> </w:t>
      </w:r>
      <w:r>
        <w:rPr>
          <w:sz w:val="18"/>
          <w:vertAlign w:val="baseline"/>
        </w:rPr>
        <w:t>and</w:t>
      </w:r>
      <w:r>
        <w:rPr>
          <w:spacing w:val="-3"/>
          <w:sz w:val="18"/>
          <w:vertAlign w:val="baseline"/>
        </w:rPr>
        <w:t> </w:t>
      </w:r>
      <w:r>
        <w:rPr>
          <w:sz w:val="18"/>
          <w:vertAlign w:val="baseline"/>
        </w:rPr>
        <w:t>Misuse</w:t>
      </w:r>
      <w:r>
        <w:rPr>
          <w:spacing w:val="-3"/>
          <w:sz w:val="18"/>
          <w:vertAlign w:val="baseline"/>
        </w:rPr>
        <w:t> </w:t>
      </w:r>
      <w:r>
        <w:rPr>
          <w:sz w:val="18"/>
          <w:vertAlign w:val="baseline"/>
        </w:rPr>
        <w:t>Among</w:t>
      </w:r>
      <w:r>
        <w:rPr>
          <w:spacing w:val="-2"/>
          <w:sz w:val="18"/>
          <w:vertAlign w:val="baseline"/>
        </w:rPr>
        <w:t> </w:t>
      </w:r>
      <w:r>
        <w:rPr>
          <w:sz w:val="18"/>
          <w:vertAlign w:val="baseline"/>
        </w:rPr>
        <w:t>Sexual</w:t>
      </w:r>
      <w:r>
        <w:rPr>
          <w:spacing w:val="-3"/>
          <w:sz w:val="18"/>
          <w:vertAlign w:val="baseline"/>
        </w:rPr>
        <w:t> </w:t>
      </w:r>
      <w:r>
        <w:rPr>
          <w:sz w:val="18"/>
          <w:vertAlign w:val="baseline"/>
        </w:rPr>
        <w:t>and</w:t>
      </w:r>
      <w:r>
        <w:rPr>
          <w:spacing w:val="-2"/>
          <w:sz w:val="18"/>
          <w:vertAlign w:val="baseline"/>
        </w:rPr>
        <w:t> </w:t>
      </w:r>
      <w:r>
        <w:rPr>
          <w:sz w:val="18"/>
          <w:vertAlign w:val="baseline"/>
        </w:rPr>
        <w:t>Gender</w:t>
      </w:r>
      <w:r>
        <w:rPr>
          <w:spacing w:val="-4"/>
          <w:sz w:val="18"/>
          <w:vertAlign w:val="baseline"/>
        </w:rPr>
        <w:t> </w:t>
      </w:r>
      <w:r>
        <w:rPr>
          <w:sz w:val="18"/>
          <w:vertAlign w:val="baseline"/>
        </w:rPr>
        <w:t>Minority</w:t>
      </w:r>
      <w:r>
        <w:rPr>
          <w:spacing w:val="-2"/>
          <w:sz w:val="18"/>
          <w:vertAlign w:val="baseline"/>
        </w:rPr>
        <w:t> </w:t>
      </w:r>
      <w:r>
        <w:rPr>
          <w:sz w:val="18"/>
          <w:vertAlign w:val="baseline"/>
        </w:rPr>
        <w:t>Youth."</w:t>
      </w:r>
      <w:r>
        <w:rPr>
          <w:spacing w:val="-2"/>
          <w:sz w:val="18"/>
          <w:vertAlign w:val="baseline"/>
        </w:rPr>
        <w:t> </w:t>
      </w:r>
      <w:r>
        <w:rPr>
          <w:i/>
          <w:sz w:val="18"/>
          <w:vertAlign w:val="baseline"/>
        </w:rPr>
        <w:t>Current</w:t>
      </w:r>
      <w:r>
        <w:rPr>
          <w:i/>
          <w:spacing w:val="-3"/>
          <w:sz w:val="18"/>
          <w:vertAlign w:val="baseline"/>
        </w:rPr>
        <w:t> </w:t>
      </w:r>
      <w:r>
        <w:rPr>
          <w:i/>
          <w:sz w:val="18"/>
          <w:vertAlign w:val="baseline"/>
        </w:rPr>
        <w:t>Opinion</w:t>
      </w:r>
      <w:r>
        <w:rPr>
          <w:i/>
          <w:spacing w:val="-1"/>
          <w:sz w:val="18"/>
          <w:vertAlign w:val="baseline"/>
        </w:rPr>
        <w:t> </w:t>
      </w:r>
      <w:r>
        <w:rPr>
          <w:i/>
          <w:sz w:val="18"/>
          <w:vertAlign w:val="baseline"/>
        </w:rPr>
        <w:t>in</w:t>
      </w:r>
      <w:r>
        <w:rPr>
          <w:i/>
          <w:sz w:val="18"/>
          <w:vertAlign w:val="baseline"/>
        </w:rPr>
        <w:t> Psychology </w:t>
      </w:r>
      <w:r>
        <w:rPr>
          <w:sz w:val="18"/>
          <w:vertAlign w:val="baseline"/>
        </w:rPr>
        <w:t>30 (December 2019): 123-127. Published online May 18, 2019. doi:10.1016/j.copsyc.2019.05.002. </w:t>
      </w:r>
      <w:hyperlink r:id="rId494">
        <w:r>
          <w:rPr>
            <w:spacing w:val="-2"/>
            <w:sz w:val="18"/>
            <w:u w:val="single"/>
            <w:vertAlign w:val="baseline"/>
          </w:rPr>
          <w:t>https://www.ncbi.nlm.nih.gov/pmc/articles/PMC6859198</w:t>
        </w:r>
        <w:r>
          <w:rPr>
            <w:spacing w:val="-2"/>
            <w:sz w:val="18"/>
            <w:u w:val="none"/>
            <w:vertAlign w:val="baseline"/>
          </w:rPr>
          <w:t>.</w:t>
        </w:r>
      </w:hyperlink>
    </w:p>
    <w:p>
      <w:pPr>
        <w:spacing w:before="0"/>
        <w:ind w:left="320" w:right="1735" w:firstLine="0"/>
        <w:jc w:val="left"/>
        <w:rPr>
          <w:sz w:val="18"/>
        </w:rPr>
      </w:pPr>
      <w:r>
        <w:rPr>
          <w:sz w:val="18"/>
          <w:vertAlign w:val="superscript"/>
        </w:rPr>
        <w:t>44</w:t>
      </w:r>
      <w:r>
        <w:rPr>
          <w:spacing w:val="-3"/>
          <w:sz w:val="18"/>
          <w:vertAlign w:val="baseline"/>
        </w:rPr>
        <w:t> </w:t>
      </w:r>
      <w:r>
        <w:rPr>
          <w:sz w:val="18"/>
          <w:vertAlign w:val="baseline"/>
        </w:rPr>
        <w:t>"Juvenile</w:t>
      </w:r>
      <w:r>
        <w:rPr>
          <w:spacing w:val="-3"/>
          <w:sz w:val="18"/>
          <w:vertAlign w:val="baseline"/>
        </w:rPr>
        <w:t> </w:t>
      </w:r>
      <w:r>
        <w:rPr>
          <w:sz w:val="18"/>
          <w:vertAlign w:val="baseline"/>
        </w:rPr>
        <w:t>Crime</w:t>
      </w:r>
      <w:r>
        <w:rPr>
          <w:spacing w:val="-4"/>
          <w:sz w:val="18"/>
          <w:vertAlign w:val="baseline"/>
        </w:rPr>
        <w:t> </w:t>
      </w:r>
      <w:r>
        <w:rPr>
          <w:sz w:val="18"/>
          <w:vertAlign w:val="baseline"/>
        </w:rPr>
        <w:t>and</w:t>
      </w:r>
      <w:r>
        <w:rPr>
          <w:spacing w:val="-3"/>
          <w:sz w:val="18"/>
          <w:vertAlign w:val="baseline"/>
        </w:rPr>
        <w:t> </w:t>
      </w:r>
      <w:r>
        <w:rPr>
          <w:sz w:val="18"/>
          <w:vertAlign w:val="baseline"/>
        </w:rPr>
        <w:t>Substance</w:t>
      </w:r>
      <w:r>
        <w:rPr>
          <w:spacing w:val="-3"/>
          <w:sz w:val="18"/>
          <w:vertAlign w:val="baseline"/>
        </w:rPr>
        <w:t> </w:t>
      </w:r>
      <w:r>
        <w:rPr>
          <w:sz w:val="18"/>
          <w:vertAlign w:val="baseline"/>
        </w:rPr>
        <w:t>Abuse."</w:t>
      </w:r>
      <w:r>
        <w:rPr>
          <w:spacing w:val="-3"/>
          <w:sz w:val="18"/>
          <w:vertAlign w:val="baseline"/>
        </w:rPr>
        <w:t> </w:t>
      </w:r>
      <w:r>
        <w:rPr>
          <w:i/>
          <w:sz w:val="18"/>
          <w:vertAlign w:val="baseline"/>
        </w:rPr>
        <w:t>Los</w:t>
      </w:r>
      <w:r>
        <w:rPr>
          <w:i/>
          <w:spacing w:val="-4"/>
          <w:sz w:val="18"/>
          <w:vertAlign w:val="baseline"/>
        </w:rPr>
        <w:t> </w:t>
      </w:r>
      <w:r>
        <w:rPr>
          <w:i/>
          <w:sz w:val="18"/>
          <w:vertAlign w:val="baseline"/>
        </w:rPr>
        <w:t>Angeles</w:t>
      </w:r>
      <w:r>
        <w:rPr>
          <w:i/>
          <w:spacing w:val="-4"/>
          <w:sz w:val="18"/>
          <w:vertAlign w:val="baseline"/>
        </w:rPr>
        <w:t> </w:t>
      </w:r>
      <w:r>
        <w:rPr>
          <w:i/>
          <w:sz w:val="18"/>
          <w:vertAlign w:val="baseline"/>
        </w:rPr>
        <w:t>Criminal</w:t>
      </w:r>
      <w:r>
        <w:rPr>
          <w:i/>
          <w:spacing w:val="-4"/>
          <w:sz w:val="18"/>
          <w:vertAlign w:val="baseline"/>
        </w:rPr>
        <w:t> </w:t>
      </w:r>
      <w:r>
        <w:rPr>
          <w:i/>
          <w:sz w:val="18"/>
          <w:vertAlign w:val="baseline"/>
        </w:rPr>
        <w:t>Defense</w:t>
      </w:r>
      <w:r>
        <w:rPr>
          <w:i/>
          <w:spacing w:val="-3"/>
          <w:sz w:val="18"/>
          <w:vertAlign w:val="baseline"/>
        </w:rPr>
        <w:t> </w:t>
      </w:r>
      <w:r>
        <w:rPr>
          <w:i/>
          <w:sz w:val="18"/>
          <w:vertAlign w:val="baseline"/>
        </w:rPr>
        <w:t>Attorney</w:t>
      </w:r>
      <w:r>
        <w:rPr>
          <w:sz w:val="18"/>
          <w:vertAlign w:val="baseline"/>
        </w:rPr>
        <w:t>.</w:t>
      </w:r>
      <w:r>
        <w:rPr>
          <w:spacing w:val="-3"/>
          <w:sz w:val="18"/>
          <w:vertAlign w:val="baseline"/>
        </w:rPr>
        <w:t> </w:t>
      </w:r>
      <w:r>
        <w:rPr>
          <w:sz w:val="18"/>
          <w:vertAlign w:val="baseline"/>
        </w:rPr>
        <w:t>Accessed</w:t>
      </w:r>
      <w:r>
        <w:rPr>
          <w:spacing w:val="-3"/>
          <w:sz w:val="18"/>
          <w:vertAlign w:val="baseline"/>
        </w:rPr>
        <w:t> </w:t>
      </w:r>
      <w:r>
        <w:rPr>
          <w:sz w:val="18"/>
          <w:vertAlign w:val="baseline"/>
        </w:rPr>
        <w:t>April</w:t>
      </w:r>
      <w:r>
        <w:rPr>
          <w:spacing w:val="-4"/>
          <w:sz w:val="18"/>
          <w:vertAlign w:val="baseline"/>
        </w:rPr>
        <w:t> </w:t>
      </w:r>
      <w:r>
        <w:rPr>
          <w:sz w:val="18"/>
          <w:vertAlign w:val="baseline"/>
        </w:rPr>
        <w:t>14,</w:t>
      </w:r>
      <w:r>
        <w:rPr>
          <w:spacing w:val="-3"/>
          <w:sz w:val="18"/>
          <w:vertAlign w:val="baseline"/>
        </w:rPr>
        <w:t> </w:t>
      </w:r>
      <w:r>
        <w:rPr>
          <w:sz w:val="18"/>
          <w:vertAlign w:val="baseline"/>
        </w:rPr>
        <w:t>2024. </w:t>
      </w:r>
      <w:hyperlink r:id="rId495">
        <w:r>
          <w:rPr>
            <w:spacing w:val="-2"/>
            <w:sz w:val="18"/>
            <w:u w:val="single"/>
            <w:vertAlign w:val="baseline"/>
          </w:rPr>
          <w:t>https://childsafety.losangelescriminallawyer.pro/juvenile-crime-and-substance-abuse.html</w:t>
        </w:r>
        <w:r>
          <w:rPr>
            <w:spacing w:val="-2"/>
            <w:sz w:val="18"/>
            <w:u w:val="none"/>
            <w:vertAlign w:val="baseline"/>
          </w:rPr>
          <w:t>.</w:t>
        </w:r>
      </w:hyperlink>
    </w:p>
    <w:p>
      <w:pPr>
        <w:spacing w:before="0"/>
        <w:ind w:left="320" w:right="0" w:firstLine="0"/>
        <w:jc w:val="left"/>
        <w:rPr>
          <w:sz w:val="18"/>
        </w:rPr>
      </w:pPr>
      <w:r>
        <w:rPr>
          <w:sz w:val="18"/>
          <w:vertAlign w:val="superscript"/>
        </w:rPr>
        <w:t>45</w:t>
      </w:r>
      <w:r>
        <w:rPr>
          <w:spacing w:val="-2"/>
          <w:sz w:val="18"/>
          <w:vertAlign w:val="baseline"/>
        </w:rPr>
        <w:t> </w:t>
      </w:r>
      <w:r>
        <w:rPr>
          <w:i/>
          <w:sz w:val="18"/>
          <w:vertAlign w:val="baseline"/>
        </w:rPr>
        <w:t>Office</w:t>
      </w:r>
      <w:r>
        <w:rPr>
          <w:i/>
          <w:spacing w:val="-2"/>
          <w:sz w:val="18"/>
          <w:vertAlign w:val="baseline"/>
        </w:rPr>
        <w:t> </w:t>
      </w:r>
      <w:r>
        <w:rPr>
          <w:i/>
          <w:sz w:val="18"/>
          <w:vertAlign w:val="baseline"/>
        </w:rPr>
        <w:t>of</w:t>
      </w:r>
      <w:r>
        <w:rPr>
          <w:i/>
          <w:spacing w:val="-2"/>
          <w:sz w:val="18"/>
          <w:vertAlign w:val="baseline"/>
        </w:rPr>
        <w:t> </w:t>
      </w:r>
      <w:r>
        <w:rPr>
          <w:i/>
          <w:sz w:val="18"/>
          <w:vertAlign w:val="baseline"/>
        </w:rPr>
        <w:t>Juvenile</w:t>
      </w:r>
      <w:r>
        <w:rPr>
          <w:i/>
          <w:spacing w:val="-2"/>
          <w:sz w:val="18"/>
          <w:vertAlign w:val="baseline"/>
        </w:rPr>
        <w:t> </w:t>
      </w:r>
      <w:r>
        <w:rPr>
          <w:i/>
          <w:sz w:val="18"/>
          <w:vertAlign w:val="baseline"/>
        </w:rPr>
        <w:t>Justice</w:t>
      </w:r>
      <w:r>
        <w:rPr>
          <w:i/>
          <w:spacing w:val="-2"/>
          <w:sz w:val="18"/>
          <w:vertAlign w:val="baseline"/>
        </w:rPr>
        <w:t> </w:t>
      </w:r>
      <w:r>
        <w:rPr>
          <w:i/>
          <w:sz w:val="18"/>
          <w:vertAlign w:val="baseline"/>
        </w:rPr>
        <w:t>and</w:t>
      </w:r>
      <w:r>
        <w:rPr>
          <w:i/>
          <w:spacing w:val="-3"/>
          <w:sz w:val="18"/>
          <w:vertAlign w:val="baseline"/>
        </w:rPr>
        <w:t> </w:t>
      </w:r>
      <w:r>
        <w:rPr>
          <w:i/>
          <w:sz w:val="18"/>
          <w:vertAlign w:val="baseline"/>
        </w:rPr>
        <w:t>Delinquency</w:t>
      </w:r>
      <w:r>
        <w:rPr>
          <w:i/>
          <w:spacing w:val="-2"/>
          <w:sz w:val="18"/>
          <w:vertAlign w:val="baseline"/>
        </w:rPr>
        <w:t> </w:t>
      </w:r>
      <w:r>
        <w:rPr>
          <w:i/>
          <w:sz w:val="18"/>
          <w:vertAlign w:val="baseline"/>
        </w:rPr>
        <w:t>Prevention</w:t>
      </w:r>
      <w:r>
        <w:rPr>
          <w:sz w:val="18"/>
          <w:vertAlign w:val="baseline"/>
        </w:rPr>
        <w:t>,</w:t>
      </w:r>
      <w:r>
        <w:rPr>
          <w:spacing w:val="-3"/>
          <w:sz w:val="18"/>
          <w:vertAlign w:val="baseline"/>
        </w:rPr>
        <w:t> </w:t>
      </w:r>
      <w:r>
        <w:rPr>
          <w:sz w:val="18"/>
          <w:vertAlign w:val="baseline"/>
        </w:rPr>
        <w:t>U.S.</w:t>
      </w:r>
      <w:r>
        <w:rPr>
          <w:spacing w:val="-2"/>
          <w:sz w:val="18"/>
          <w:vertAlign w:val="baseline"/>
        </w:rPr>
        <w:t> </w:t>
      </w:r>
      <w:r>
        <w:rPr>
          <w:sz w:val="18"/>
          <w:vertAlign w:val="baseline"/>
        </w:rPr>
        <w:t>Department</w:t>
      </w:r>
      <w:r>
        <w:rPr>
          <w:spacing w:val="-3"/>
          <w:sz w:val="18"/>
          <w:vertAlign w:val="baseline"/>
        </w:rPr>
        <w:t> </w:t>
      </w:r>
      <w:r>
        <w:rPr>
          <w:sz w:val="18"/>
          <w:vertAlign w:val="baseline"/>
        </w:rPr>
        <w:t>of</w:t>
      </w:r>
      <w:r>
        <w:rPr>
          <w:spacing w:val="-2"/>
          <w:sz w:val="18"/>
          <w:vertAlign w:val="baseline"/>
        </w:rPr>
        <w:t> </w:t>
      </w:r>
      <w:r>
        <w:rPr>
          <w:sz w:val="18"/>
          <w:vertAlign w:val="baseline"/>
        </w:rPr>
        <w:t>Justice.</w:t>
      </w:r>
      <w:r>
        <w:rPr>
          <w:spacing w:val="-2"/>
          <w:sz w:val="18"/>
          <w:vertAlign w:val="baseline"/>
        </w:rPr>
        <w:t> </w:t>
      </w:r>
      <w:r>
        <w:rPr>
          <w:sz w:val="18"/>
          <w:vertAlign w:val="baseline"/>
        </w:rPr>
        <w:t>2024.</w:t>
      </w:r>
      <w:r>
        <w:rPr>
          <w:spacing w:val="-2"/>
          <w:sz w:val="18"/>
          <w:vertAlign w:val="baseline"/>
        </w:rPr>
        <w:t> </w:t>
      </w:r>
      <w:r>
        <w:rPr>
          <w:sz w:val="18"/>
          <w:vertAlign w:val="baseline"/>
        </w:rPr>
        <w:t>"FAQs</w:t>
      </w:r>
      <w:r>
        <w:rPr>
          <w:spacing w:val="-2"/>
          <w:sz w:val="18"/>
          <w:vertAlign w:val="baseline"/>
        </w:rPr>
        <w:t> </w:t>
      </w:r>
      <w:r>
        <w:rPr>
          <w:sz w:val="18"/>
          <w:vertAlign w:val="baseline"/>
        </w:rPr>
        <w:t>About</w:t>
      </w:r>
      <w:r>
        <w:rPr>
          <w:spacing w:val="-3"/>
          <w:sz w:val="18"/>
          <w:vertAlign w:val="baseline"/>
        </w:rPr>
        <w:t> </w:t>
      </w:r>
      <w:r>
        <w:rPr>
          <w:sz w:val="18"/>
          <w:vertAlign w:val="baseline"/>
        </w:rPr>
        <w:t>Crime:</w:t>
      </w:r>
      <w:r>
        <w:rPr>
          <w:spacing w:val="-2"/>
          <w:sz w:val="18"/>
          <w:vertAlign w:val="baseline"/>
        </w:rPr>
        <w:t> </w:t>
      </w:r>
      <w:r>
        <w:rPr>
          <w:sz w:val="18"/>
          <w:vertAlign w:val="baseline"/>
        </w:rPr>
        <w:t>Juvenile</w:t>
      </w:r>
      <w:r>
        <w:rPr>
          <w:spacing w:val="-2"/>
          <w:sz w:val="18"/>
          <w:vertAlign w:val="baseline"/>
        </w:rPr>
        <w:t> </w:t>
      </w:r>
      <w:r>
        <w:rPr>
          <w:sz w:val="18"/>
          <w:vertAlign w:val="baseline"/>
        </w:rPr>
        <w:t>Crime." Accessed April 14, 2024. </w:t>
      </w:r>
      <w:hyperlink r:id="rId496">
        <w:r>
          <w:rPr>
            <w:sz w:val="18"/>
            <w:u w:val="single"/>
            <w:vertAlign w:val="baseline"/>
          </w:rPr>
          <w:t>https://ojjdp.ojp.gov/statistical-briefing-book/crime/faqs/qa05101</w:t>
        </w:r>
        <w:r>
          <w:rPr>
            <w:sz w:val="18"/>
            <w:u w:val="none"/>
            <w:vertAlign w:val="baseline"/>
          </w:rPr>
          <w:t>.</w:t>
        </w:r>
      </w:hyperlink>
    </w:p>
    <w:p>
      <w:pPr>
        <w:spacing w:line="219" w:lineRule="exact" w:before="0"/>
        <w:ind w:left="320" w:right="0" w:firstLine="0"/>
        <w:jc w:val="left"/>
        <w:rPr>
          <w:sz w:val="18"/>
        </w:rPr>
      </w:pPr>
      <w:r>
        <w:rPr>
          <w:sz w:val="18"/>
          <w:vertAlign w:val="superscript"/>
        </w:rPr>
        <w:t>46</w:t>
      </w:r>
      <w:r>
        <w:rPr>
          <w:spacing w:val="-6"/>
          <w:sz w:val="18"/>
          <w:vertAlign w:val="baseline"/>
        </w:rPr>
        <w:t> </w:t>
      </w:r>
      <w:r>
        <w:rPr>
          <w:sz w:val="18"/>
          <w:vertAlign w:val="baseline"/>
        </w:rPr>
        <w:t>"Quarter</w:t>
      </w:r>
      <w:r>
        <w:rPr>
          <w:spacing w:val="-5"/>
          <w:sz w:val="18"/>
          <w:vertAlign w:val="baseline"/>
        </w:rPr>
        <w:t> </w:t>
      </w:r>
      <w:r>
        <w:rPr>
          <w:sz w:val="18"/>
          <w:vertAlign w:val="baseline"/>
        </w:rPr>
        <w:t>1</w:t>
      </w:r>
      <w:r>
        <w:rPr>
          <w:spacing w:val="-4"/>
          <w:sz w:val="18"/>
          <w:vertAlign w:val="baseline"/>
        </w:rPr>
        <w:t> </w:t>
      </w:r>
      <w:r>
        <w:rPr>
          <w:sz w:val="18"/>
          <w:vertAlign w:val="baseline"/>
        </w:rPr>
        <w:t>Report."</w:t>
      </w:r>
      <w:r>
        <w:rPr>
          <w:spacing w:val="-4"/>
          <w:sz w:val="18"/>
          <w:vertAlign w:val="baseline"/>
        </w:rPr>
        <w:t> </w:t>
      </w:r>
      <w:r>
        <w:rPr>
          <w:i/>
          <w:sz w:val="18"/>
          <w:vertAlign w:val="baseline"/>
        </w:rPr>
        <w:t>Mass.gov</w:t>
      </w:r>
      <w:r>
        <w:rPr>
          <w:sz w:val="18"/>
          <w:vertAlign w:val="baseline"/>
        </w:rPr>
        <w:t>.</w:t>
      </w:r>
      <w:r>
        <w:rPr>
          <w:spacing w:val="-4"/>
          <w:sz w:val="18"/>
          <w:vertAlign w:val="baseline"/>
        </w:rPr>
        <w:t> </w:t>
      </w:r>
      <w:r>
        <w:rPr>
          <w:sz w:val="18"/>
          <w:vertAlign w:val="baseline"/>
        </w:rPr>
        <w:t>Accessed</w:t>
      </w:r>
      <w:r>
        <w:rPr>
          <w:spacing w:val="-4"/>
          <w:sz w:val="18"/>
          <w:vertAlign w:val="baseline"/>
        </w:rPr>
        <w:t> </w:t>
      </w:r>
      <w:r>
        <w:rPr>
          <w:sz w:val="18"/>
          <w:vertAlign w:val="baseline"/>
        </w:rPr>
        <w:t>April</w:t>
      </w:r>
      <w:r>
        <w:rPr>
          <w:spacing w:val="-5"/>
          <w:sz w:val="18"/>
          <w:vertAlign w:val="baseline"/>
        </w:rPr>
        <w:t> </w:t>
      </w:r>
      <w:r>
        <w:rPr>
          <w:sz w:val="18"/>
          <w:vertAlign w:val="baseline"/>
        </w:rPr>
        <w:t>14,</w:t>
      </w:r>
      <w:r>
        <w:rPr>
          <w:spacing w:val="-5"/>
          <w:sz w:val="18"/>
          <w:vertAlign w:val="baseline"/>
        </w:rPr>
        <w:t> </w:t>
      </w:r>
      <w:r>
        <w:rPr>
          <w:sz w:val="18"/>
          <w:vertAlign w:val="baseline"/>
        </w:rPr>
        <w:t>2024.</w:t>
      </w:r>
      <w:r>
        <w:rPr>
          <w:spacing w:val="-4"/>
          <w:sz w:val="18"/>
          <w:vertAlign w:val="baseline"/>
        </w:rPr>
        <w:t> </w:t>
      </w:r>
      <w:hyperlink r:id="rId497">
        <w:r>
          <w:rPr>
            <w:sz w:val="18"/>
            <w:u w:val="single"/>
            <w:vertAlign w:val="baseline"/>
          </w:rPr>
          <w:t>https://www.mass.gov/doc/quarter-1-</w:t>
        </w:r>
        <w:r>
          <w:rPr>
            <w:spacing w:val="-2"/>
            <w:sz w:val="18"/>
            <w:u w:val="single"/>
            <w:vertAlign w:val="baseline"/>
          </w:rPr>
          <w:t>0/download</w:t>
        </w:r>
        <w:r>
          <w:rPr>
            <w:spacing w:val="-2"/>
            <w:sz w:val="18"/>
            <w:u w:val="none"/>
            <w:vertAlign w:val="baseline"/>
          </w:rPr>
          <w:t>.</w:t>
        </w:r>
      </w:hyperlink>
    </w:p>
    <w:p>
      <w:pPr>
        <w:spacing w:before="0"/>
        <w:ind w:left="320" w:right="104" w:firstLine="0"/>
        <w:jc w:val="left"/>
        <w:rPr>
          <w:sz w:val="18"/>
        </w:rPr>
      </w:pPr>
      <w:r>
        <w:rPr>
          <w:sz w:val="18"/>
          <w:vertAlign w:val="superscript"/>
        </w:rPr>
        <w:t>47</w:t>
      </w:r>
      <w:r>
        <w:rPr>
          <w:sz w:val="18"/>
          <w:vertAlign w:val="baseline"/>
        </w:rPr>
        <w:t> Perez, Jaxzia. 2023. “The Foster Care-to-Prison Pipeline: a road to incarceration” </w:t>
      </w:r>
      <w:r>
        <w:rPr>
          <w:i/>
          <w:sz w:val="18"/>
          <w:vertAlign w:val="baseline"/>
        </w:rPr>
        <w:t>American University Washington College of</w:t>
      </w:r>
      <w:r>
        <w:rPr>
          <w:i/>
          <w:sz w:val="18"/>
          <w:vertAlign w:val="baseline"/>
        </w:rPr>
        <w:t> Law: The Criminal Law Practitioner</w:t>
      </w:r>
      <w:r>
        <w:rPr>
          <w:sz w:val="18"/>
          <w:vertAlign w:val="baseline"/>
        </w:rPr>
        <w:t>. February 24, 2023. </w:t>
      </w:r>
      <w:hyperlink r:id="rId498">
        <w:r>
          <w:rPr>
            <w:sz w:val="18"/>
            <w:u w:val="single"/>
            <w:vertAlign w:val="baseline"/>
          </w:rPr>
          <w:t>https://www.crimlawpractitioner.org/post/the-foster-care-to-prison-</w:t>
        </w:r>
      </w:hyperlink>
      <w:r>
        <w:rPr>
          <w:sz w:val="18"/>
          <w:u w:val="none"/>
          <w:vertAlign w:val="baseline"/>
        </w:rPr>
        <w:t> </w:t>
      </w:r>
      <w:hyperlink r:id="rId498">
        <w:r>
          <w:rPr>
            <w:spacing w:val="-2"/>
            <w:sz w:val="18"/>
            <w:u w:val="single"/>
            <w:vertAlign w:val="baseline"/>
          </w:rPr>
          <w:t>pipeline-a-road-to-</w:t>
        </w:r>
      </w:hyperlink>
      <w:r>
        <w:rPr>
          <w:sz w:val="18"/>
          <w:u w:val="none"/>
          <w:vertAlign w:val="baseline"/>
        </w:rPr>
        <w:t> </w:t>
      </w:r>
      <w:hyperlink r:id="rId498">
        <w:r>
          <w:rPr>
            <w:spacing w:val="-2"/>
            <w:sz w:val="18"/>
            <w:u w:val="single"/>
            <w:vertAlign w:val="baseline"/>
          </w:rPr>
          <w:t>incarceration#:~:text=The%20foster%20care%2Dto%2Dprison%20pipeline%20refers%20to%20the%20funneling,through%20arr</w:t>
        </w:r>
      </w:hyperlink>
      <w:r>
        <w:rPr>
          <w:sz w:val="18"/>
          <w:u w:val="none"/>
          <w:vertAlign w:val="baseline"/>
        </w:rPr>
        <w:t> </w:t>
      </w:r>
      <w:hyperlink r:id="rId498">
        <w:r>
          <w:rPr>
            <w:spacing w:val="-2"/>
            <w:sz w:val="18"/>
            <w:u w:val="single"/>
            <w:vertAlign w:val="baseline"/>
          </w:rPr>
          <w:t>est%2C%20conviction%20or%20detention</w:t>
        </w:r>
        <w:r>
          <w:rPr>
            <w:spacing w:val="-2"/>
            <w:sz w:val="18"/>
            <w:u w:val="none"/>
            <w:vertAlign w:val="baseline"/>
          </w:rPr>
          <w:t>.</w:t>
        </w:r>
      </w:hyperlink>
    </w:p>
    <w:p>
      <w:pPr>
        <w:spacing w:before="0"/>
        <w:ind w:left="320" w:right="0" w:firstLine="0"/>
        <w:jc w:val="left"/>
        <w:rPr>
          <w:sz w:val="18"/>
        </w:rPr>
      </w:pPr>
      <w:r>
        <w:rPr>
          <w:sz w:val="18"/>
          <w:vertAlign w:val="superscript"/>
        </w:rPr>
        <w:t>48</w:t>
      </w:r>
      <w:r>
        <w:rPr>
          <w:sz w:val="18"/>
          <w:vertAlign w:val="baseline"/>
        </w:rPr>
        <w:t> Perez, J. 2023. “The foster care-to-prison pipeline: A road to incarceration”. </w:t>
      </w:r>
      <w:r>
        <w:rPr>
          <w:i/>
          <w:sz w:val="18"/>
          <w:vertAlign w:val="baseline"/>
        </w:rPr>
        <w:t>American University Washington College, The</w:t>
      </w:r>
      <w:r>
        <w:rPr>
          <w:i/>
          <w:sz w:val="18"/>
          <w:vertAlign w:val="baseline"/>
        </w:rPr>
        <w:t> Criminal</w:t>
      </w:r>
      <w:r>
        <w:rPr>
          <w:i/>
          <w:spacing w:val="-11"/>
          <w:sz w:val="18"/>
          <w:vertAlign w:val="baseline"/>
        </w:rPr>
        <w:t> </w:t>
      </w:r>
      <w:r>
        <w:rPr>
          <w:i/>
          <w:sz w:val="18"/>
          <w:vertAlign w:val="baseline"/>
        </w:rPr>
        <w:t>Law</w:t>
      </w:r>
      <w:r>
        <w:rPr>
          <w:i/>
          <w:spacing w:val="-10"/>
          <w:sz w:val="18"/>
          <w:vertAlign w:val="baseline"/>
        </w:rPr>
        <w:t> </w:t>
      </w:r>
      <w:r>
        <w:rPr>
          <w:i/>
          <w:sz w:val="18"/>
          <w:vertAlign w:val="baseline"/>
        </w:rPr>
        <w:t>Practitioner</w:t>
      </w:r>
      <w:r>
        <w:rPr>
          <w:sz w:val="18"/>
          <w:vertAlign w:val="baseline"/>
        </w:rPr>
        <w:t>.</w:t>
      </w:r>
      <w:r>
        <w:rPr>
          <w:spacing w:val="-10"/>
          <w:sz w:val="18"/>
          <w:vertAlign w:val="baseline"/>
        </w:rPr>
        <w:t> </w:t>
      </w:r>
      <w:hyperlink r:id="rId499">
        <w:r>
          <w:rPr>
            <w:sz w:val="18"/>
            <w:u w:val="single"/>
            <w:vertAlign w:val="baseline"/>
          </w:rPr>
          <w:t>https://www.crimlawpractitioner.org/post/the-foster-care-to-prison-pipeline-a-road-to-incarceration</w:t>
        </w:r>
      </w:hyperlink>
    </w:p>
    <w:p>
      <w:pPr>
        <w:spacing w:line="219" w:lineRule="exact" w:before="0"/>
        <w:ind w:left="320" w:right="0" w:firstLine="0"/>
        <w:jc w:val="left"/>
        <w:rPr>
          <w:i/>
          <w:sz w:val="18"/>
        </w:rPr>
      </w:pPr>
      <w:r>
        <w:rPr>
          <w:sz w:val="18"/>
          <w:vertAlign w:val="superscript"/>
        </w:rPr>
        <w:t>49</w:t>
      </w:r>
      <w:r>
        <w:rPr>
          <w:sz w:val="18"/>
          <w:vertAlign w:val="baseline"/>
        </w:rPr>
        <w:t> </w:t>
      </w:r>
      <w:r>
        <w:rPr>
          <w:i/>
          <w:spacing w:val="-5"/>
          <w:sz w:val="18"/>
          <w:vertAlign w:val="baseline"/>
        </w:rPr>
        <w:t>Id.</w:t>
      </w:r>
    </w:p>
    <w:p>
      <w:pPr>
        <w:spacing w:before="0"/>
        <w:ind w:left="320" w:right="338" w:firstLine="0"/>
        <w:jc w:val="both"/>
        <w:rPr>
          <w:sz w:val="18"/>
        </w:rPr>
      </w:pPr>
      <w:r>
        <w:rPr>
          <w:sz w:val="18"/>
          <w:vertAlign w:val="superscript"/>
        </w:rPr>
        <w:t>50</w:t>
      </w:r>
      <w:r>
        <w:rPr>
          <w:spacing w:val="-2"/>
          <w:sz w:val="18"/>
          <w:vertAlign w:val="baseline"/>
        </w:rPr>
        <w:t> </w:t>
      </w:r>
      <w:r>
        <w:rPr>
          <w:sz w:val="18"/>
          <w:vertAlign w:val="baseline"/>
        </w:rPr>
        <w:t>Irvine,</w:t>
      </w:r>
      <w:r>
        <w:rPr>
          <w:spacing w:val="-3"/>
          <w:sz w:val="18"/>
          <w:vertAlign w:val="baseline"/>
        </w:rPr>
        <w:t> </w:t>
      </w:r>
      <w:r>
        <w:rPr>
          <w:sz w:val="18"/>
          <w:vertAlign w:val="baseline"/>
        </w:rPr>
        <w:t>A.</w:t>
      </w:r>
      <w:r>
        <w:rPr>
          <w:spacing w:val="-2"/>
          <w:sz w:val="18"/>
          <w:vertAlign w:val="baseline"/>
        </w:rPr>
        <w:t> </w:t>
      </w:r>
      <w:r>
        <w:rPr>
          <w:sz w:val="18"/>
          <w:vertAlign w:val="baseline"/>
        </w:rPr>
        <w:t>&amp;</w:t>
      </w:r>
      <w:r>
        <w:rPr>
          <w:spacing w:val="-3"/>
          <w:sz w:val="18"/>
          <w:vertAlign w:val="baseline"/>
        </w:rPr>
        <w:t> </w:t>
      </w:r>
      <w:r>
        <w:rPr>
          <w:sz w:val="18"/>
          <w:vertAlign w:val="baseline"/>
        </w:rPr>
        <w:t>Canfield,</w:t>
      </w:r>
      <w:r>
        <w:rPr>
          <w:spacing w:val="-3"/>
          <w:sz w:val="18"/>
          <w:vertAlign w:val="baseline"/>
        </w:rPr>
        <w:t> </w:t>
      </w:r>
      <w:r>
        <w:rPr>
          <w:sz w:val="18"/>
          <w:vertAlign w:val="baseline"/>
        </w:rPr>
        <w:t>A.</w:t>
      </w:r>
      <w:r>
        <w:rPr>
          <w:spacing w:val="-2"/>
          <w:sz w:val="18"/>
          <w:vertAlign w:val="baseline"/>
        </w:rPr>
        <w:t> </w:t>
      </w:r>
      <w:r>
        <w:rPr>
          <w:sz w:val="18"/>
          <w:vertAlign w:val="baseline"/>
        </w:rPr>
        <w:t>2016.</w:t>
      </w:r>
      <w:r>
        <w:rPr>
          <w:spacing w:val="-2"/>
          <w:sz w:val="18"/>
          <w:vertAlign w:val="baseline"/>
        </w:rPr>
        <w:t> </w:t>
      </w:r>
      <w:r>
        <w:rPr>
          <w:sz w:val="18"/>
          <w:vertAlign w:val="baseline"/>
        </w:rPr>
        <w:t>“The</w:t>
      </w:r>
      <w:r>
        <w:rPr>
          <w:spacing w:val="-2"/>
          <w:sz w:val="18"/>
          <w:vertAlign w:val="baseline"/>
        </w:rPr>
        <w:t> </w:t>
      </w:r>
      <w:r>
        <w:rPr>
          <w:sz w:val="18"/>
          <w:vertAlign w:val="baseline"/>
        </w:rPr>
        <w:t>Overrepresentation</w:t>
      </w:r>
      <w:r>
        <w:rPr>
          <w:spacing w:val="-2"/>
          <w:sz w:val="18"/>
          <w:vertAlign w:val="baseline"/>
        </w:rPr>
        <w:t> </w:t>
      </w:r>
      <w:r>
        <w:rPr>
          <w:sz w:val="18"/>
          <w:vertAlign w:val="baseline"/>
        </w:rPr>
        <w:t>of</w:t>
      </w:r>
      <w:r>
        <w:rPr>
          <w:spacing w:val="-2"/>
          <w:sz w:val="18"/>
          <w:vertAlign w:val="baseline"/>
        </w:rPr>
        <w:t> </w:t>
      </w:r>
      <w:r>
        <w:rPr>
          <w:sz w:val="18"/>
          <w:vertAlign w:val="baseline"/>
        </w:rPr>
        <w:t>Lesbian,</w:t>
      </w:r>
      <w:r>
        <w:rPr>
          <w:spacing w:val="-3"/>
          <w:sz w:val="18"/>
          <w:vertAlign w:val="baseline"/>
        </w:rPr>
        <w:t> </w:t>
      </w:r>
      <w:r>
        <w:rPr>
          <w:sz w:val="18"/>
          <w:vertAlign w:val="baseline"/>
        </w:rPr>
        <w:t>Gay,</w:t>
      </w:r>
      <w:r>
        <w:rPr>
          <w:spacing w:val="-3"/>
          <w:sz w:val="18"/>
          <w:vertAlign w:val="baseline"/>
        </w:rPr>
        <w:t> </w:t>
      </w:r>
      <w:r>
        <w:rPr>
          <w:sz w:val="18"/>
          <w:vertAlign w:val="baseline"/>
        </w:rPr>
        <w:t>Bisexual,</w:t>
      </w:r>
      <w:r>
        <w:rPr>
          <w:spacing w:val="-3"/>
          <w:sz w:val="18"/>
          <w:vertAlign w:val="baseline"/>
        </w:rPr>
        <w:t> </w:t>
      </w:r>
      <w:r>
        <w:rPr>
          <w:sz w:val="18"/>
          <w:vertAlign w:val="baseline"/>
        </w:rPr>
        <w:t>Questioning,</w:t>
      </w:r>
      <w:r>
        <w:rPr>
          <w:spacing w:val="-3"/>
          <w:sz w:val="18"/>
          <w:vertAlign w:val="baseline"/>
        </w:rPr>
        <w:t> </w:t>
      </w:r>
      <w:r>
        <w:rPr>
          <w:sz w:val="18"/>
          <w:vertAlign w:val="baseline"/>
        </w:rPr>
        <w:t>Gender</w:t>
      </w:r>
      <w:r>
        <w:rPr>
          <w:spacing w:val="-3"/>
          <w:sz w:val="18"/>
          <w:vertAlign w:val="baseline"/>
        </w:rPr>
        <w:t> </w:t>
      </w:r>
      <w:r>
        <w:rPr>
          <w:sz w:val="18"/>
          <w:vertAlign w:val="baseline"/>
        </w:rPr>
        <w:t>Nonconforming</w:t>
      </w:r>
      <w:r>
        <w:rPr>
          <w:spacing w:val="-2"/>
          <w:sz w:val="18"/>
          <w:vertAlign w:val="baseline"/>
        </w:rPr>
        <w:t> </w:t>
      </w:r>
      <w:r>
        <w:rPr>
          <w:sz w:val="18"/>
          <w:vertAlign w:val="baseline"/>
        </w:rPr>
        <w:t>and Transgender Youth Within the Child Welfare to Juvenile Justice Crossover Population”. </w:t>
      </w:r>
      <w:r>
        <w:rPr>
          <w:i/>
          <w:sz w:val="18"/>
          <w:vertAlign w:val="baseline"/>
        </w:rPr>
        <w:t>Journal of Gender, Social Policy &amp; the</w:t>
      </w:r>
      <w:r>
        <w:rPr>
          <w:i/>
          <w:sz w:val="18"/>
          <w:vertAlign w:val="baseline"/>
        </w:rPr>
        <w:t> Law</w:t>
      </w:r>
      <w:r>
        <w:rPr>
          <w:sz w:val="18"/>
          <w:vertAlign w:val="baseline"/>
        </w:rPr>
        <w:t>, 24(2), 243-261. https://digitalcommons.wcl.american.edu/cgi/viewcontent.cgi?article=1679&amp;context=jgspl.</w:t>
      </w:r>
    </w:p>
    <w:p>
      <w:pPr>
        <w:spacing w:line="219" w:lineRule="exact" w:before="0"/>
        <w:ind w:left="320" w:right="0" w:firstLine="0"/>
        <w:jc w:val="both"/>
        <w:rPr>
          <w:i/>
          <w:sz w:val="18"/>
        </w:rPr>
      </w:pPr>
      <w:r>
        <w:rPr>
          <w:sz w:val="18"/>
          <w:vertAlign w:val="superscript"/>
        </w:rPr>
        <w:t>51</w:t>
      </w:r>
      <w:r>
        <w:rPr>
          <w:sz w:val="18"/>
          <w:vertAlign w:val="baseline"/>
        </w:rPr>
        <w:t> </w:t>
      </w:r>
      <w:r>
        <w:rPr>
          <w:i/>
          <w:spacing w:val="-5"/>
          <w:sz w:val="18"/>
          <w:vertAlign w:val="baseline"/>
        </w:rPr>
        <w:t>Id.</w:t>
      </w:r>
    </w:p>
    <w:p>
      <w:pPr>
        <w:spacing w:before="0"/>
        <w:ind w:left="320" w:right="503" w:firstLine="0"/>
        <w:jc w:val="left"/>
        <w:rPr>
          <w:sz w:val="18"/>
        </w:rPr>
      </w:pPr>
      <w:r>
        <w:rPr>
          <w:sz w:val="18"/>
          <w:vertAlign w:val="superscript"/>
        </w:rPr>
        <w:t>52</w:t>
      </w:r>
      <w:r>
        <w:rPr>
          <w:spacing w:val="-2"/>
          <w:sz w:val="18"/>
          <w:vertAlign w:val="baseline"/>
        </w:rPr>
        <w:t> </w:t>
      </w:r>
      <w:r>
        <w:rPr>
          <w:sz w:val="18"/>
          <w:vertAlign w:val="baseline"/>
        </w:rPr>
        <w:t>Massachusetts</w:t>
      </w:r>
      <w:r>
        <w:rPr>
          <w:spacing w:val="-3"/>
          <w:sz w:val="18"/>
          <w:vertAlign w:val="baseline"/>
        </w:rPr>
        <w:t> </w:t>
      </w:r>
      <w:r>
        <w:rPr>
          <w:sz w:val="18"/>
          <w:vertAlign w:val="baseline"/>
        </w:rPr>
        <w:t>Commission</w:t>
      </w:r>
      <w:r>
        <w:rPr>
          <w:spacing w:val="-2"/>
          <w:sz w:val="18"/>
          <w:vertAlign w:val="baseline"/>
        </w:rPr>
        <w:t> </w:t>
      </w:r>
      <w:r>
        <w:rPr>
          <w:sz w:val="18"/>
          <w:vertAlign w:val="baseline"/>
        </w:rPr>
        <w:t>on</w:t>
      </w:r>
      <w:r>
        <w:rPr>
          <w:spacing w:val="-2"/>
          <w:sz w:val="18"/>
          <w:vertAlign w:val="baseline"/>
        </w:rPr>
        <w:t> </w:t>
      </w:r>
      <w:r>
        <w:rPr>
          <w:sz w:val="18"/>
          <w:vertAlign w:val="baseline"/>
        </w:rPr>
        <w:t>Lesbian,</w:t>
      </w:r>
      <w:r>
        <w:rPr>
          <w:spacing w:val="-3"/>
          <w:sz w:val="18"/>
          <w:vertAlign w:val="baseline"/>
        </w:rPr>
        <w:t> </w:t>
      </w:r>
      <w:r>
        <w:rPr>
          <w:sz w:val="18"/>
          <w:vertAlign w:val="baseline"/>
        </w:rPr>
        <w:t>Gay,</w:t>
      </w:r>
      <w:r>
        <w:rPr>
          <w:spacing w:val="-3"/>
          <w:sz w:val="18"/>
          <w:vertAlign w:val="baseline"/>
        </w:rPr>
        <w:t> </w:t>
      </w:r>
      <w:r>
        <w:rPr>
          <w:sz w:val="18"/>
          <w:vertAlign w:val="baseline"/>
        </w:rPr>
        <w:t>Bisexual,</w:t>
      </w:r>
      <w:r>
        <w:rPr>
          <w:spacing w:val="-3"/>
          <w:sz w:val="18"/>
          <w:vertAlign w:val="baseline"/>
        </w:rPr>
        <w:t> </w:t>
      </w:r>
      <w:r>
        <w:rPr>
          <w:sz w:val="18"/>
          <w:vertAlign w:val="baseline"/>
        </w:rPr>
        <w:t>Transgender,</w:t>
      </w:r>
      <w:r>
        <w:rPr>
          <w:spacing w:val="-3"/>
          <w:sz w:val="18"/>
          <w:vertAlign w:val="baseline"/>
        </w:rPr>
        <w:t> </w:t>
      </w:r>
      <w:r>
        <w:rPr>
          <w:sz w:val="18"/>
          <w:vertAlign w:val="baseline"/>
        </w:rPr>
        <w:t>Queer,</w:t>
      </w:r>
      <w:r>
        <w:rPr>
          <w:spacing w:val="-3"/>
          <w:sz w:val="18"/>
          <w:vertAlign w:val="baseline"/>
        </w:rPr>
        <w:t> </w:t>
      </w:r>
      <w:r>
        <w:rPr>
          <w:sz w:val="18"/>
          <w:vertAlign w:val="baseline"/>
        </w:rPr>
        <w:t>and</w:t>
      </w:r>
      <w:r>
        <w:rPr>
          <w:spacing w:val="-3"/>
          <w:sz w:val="18"/>
          <w:vertAlign w:val="baseline"/>
        </w:rPr>
        <w:t> </w:t>
      </w:r>
      <w:r>
        <w:rPr>
          <w:sz w:val="18"/>
          <w:vertAlign w:val="baseline"/>
        </w:rPr>
        <w:t>Questioning</w:t>
      </w:r>
      <w:r>
        <w:rPr>
          <w:spacing w:val="-2"/>
          <w:sz w:val="18"/>
          <w:vertAlign w:val="baseline"/>
        </w:rPr>
        <w:t> </w:t>
      </w:r>
      <w:r>
        <w:rPr>
          <w:sz w:val="18"/>
          <w:vertAlign w:val="baseline"/>
        </w:rPr>
        <w:t>Youth,</w:t>
      </w:r>
      <w:r>
        <w:rPr>
          <w:spacing w:val="-3"/>
          <w:sz w:val="18"/>
          <w:vertAlign w:val="baseline"/>
        </w:rPr>
        <w:t> </w:t>
      </w:r>
      <w:r>
        <w:rPr>
          <w:sz w:val="18"/>
          <w:vertAlign w:val="baseline"/>
        </w:rPr>
        <w:t>“LGBTQ</w:t>
      </w:r>
      <w:r>
        <w:rPr>
          <w:spacing w:val="-2"/>
          <w:sz w:val="18"/>
          <w:vertAlign w:val="baseline"/>
        </w:rPr>
        <w:t> </w:t>
      </w:r>
      <w:r>
        <w:rPr>
          <w:sz w:val="18"/>
          <w:vertAlign w:val="baseline"/>
        </w:rPr>
        <w:t>Youth</w:t>
      </w:r>
      <w:r>
        <w:rPr>
          <w:spacing w:val="-2"/>
          <w:sz w:val="18"/>
          <w:vertAlign w:val="baseline"/>
        </w:rPr>
        <w:t> </w:t>
      </w:r>
      <w:r>
        <w:rPr>
          <w:sz w:val="18"/>
          <w:vertAlign w:val="baseline"/>
        </w:rPr>
        <w:t>in</w:t>
      </w:r>
      <w:r>
        <w:rPr>
          <w:spacing w:val="-2"/>
          <w:sz w:val="18"/>
          <w:vertAlign w:val="baseline"/>
        </w:rPr>
        <w:t> </w:t>
      </w:r>
      <w:r>
        <w:rPr>
          <w:sz w:val="18"/>
          <w:vertAlign w:val="baseline"/>
        </w:rPr>
        <w:t>the Massachusetts Child Welfare System A Report on Pervasive Threats to Safety, Wellbeing, and Permanency” 2021. </w:t>
      </w:r>
      <w:r>
        <w:rPr>
          <w:spacing w:val="-2"/>
          <w:sz w:val="18"/>
          <w:vertAlign w:val="baseline"/>
        </w:rPr>
        <w:t>https:</w:t>
      </w:r>
      <w:hyperlink r:id="rId284">
        <w:r>
          <w:rPr>
            <w:spacing w:val="-2"/>
            <w:sz w:val="18"/>
            <w:vertAlign w:val="baseline"/>
          </w:rPr>
          <w:t>//www.mass.gov/doc/commission-report-on-dcf/download</w:t>
        </w:r>
      </w:hyperlink>
    </w:p>
    <w:p>
      <w:pPr>
        <w:spacing w:before="1"/>
        <w:ind w:left="320" w:right="0" w:firstLine="0"/>
        <w:jc w:val="left"/>
        <w:rPr>
          <w:i/>
          <w:sz w:val="18"/>
        </w:rPr>
      </w:pPr>
      <w:r>
        <w:rPr>
          <w:sz w:val="18"/>
          <w:vertAlign w:val="superscript"/>
        </w:rPr>
        <w:t>53</w:t>
      </w:r>
      <w:r>
        <w:rPr>
          <w:sz w:val="18"/>
          <w:vertAlign w:val="baseline"/>
        </w:rPr>
        <w:t> </w:t>
      </w:r>
      <w:r>
        <w:rPr>
          <w:i/>
          <w:spacing w:val="-5"/>
          <w:sz w:val="18"/>
          <w:vertAlign w:val="baseline"/>
        </w:rPr>
        <w:t>Id.</w:t>
      </w:r>
    </w:p>
    <w:p>
      <w:pPr>
        <w:spacing w:before="0"/>
        <w:ind w:left="320" w:right="0" w:firstLine="0"/>
        <w:jc w:val="left"/>
        <w:rPr>
          <w:i/>
          <w:sz w:val="18"/>
        </w:rPr>
      </w:pPr>
      <w:r>
        <w:rPr>
          <w:sz w:val="18"/>
          <w:vertAlign w:val="superscript"/>
        </w:rPr>
        <w:t>54</w:t>
      </w:r>
      <w:r>
        <w:rPr>
          <w:sz w:val="18"/>
          <w:vertAlign w:val="baseline"/>
        </w:rPr>
        <w:t> </w:t>
      </w:r>
      <w:r>
        <w:rPr>
          <w:i/>
          <w:spacing w:val="-5"/>
          <w:sz w:val="18"/>
          <w:vertAlign w:val="baseline"/>
        </w:rPr>
        <w:t>Id.</w:t>
      </w:r>
    </w:p>
    <w:p>
      <w:pPr>
        <w:spacing w:before="0"/>
        <w:ind w:left="320" w:right="0" w:firstLine="0"/>
        <w:jc w:val="left"/>
        <w:rPr>
          <w:i/>
          <w:sz w:val="18"/>
        </w:rPr>
      </w:pPr>
      <w:r>
        <w:rPr>
          <w:sz w:val="18"/>
          <w:vertAlign w:val="superscript"/>
        </w:rPr>
        <w:t>55</w:t>
      </w:r>
      <w:r>
        <w:rPr>
          <w:sz w:val="18"/>
          <w:vertAlign w:val="baseline"/>
        </w:rPr>
        <w:t> </w:t>
      </w:r>
      <w:r>
        <w:rPr>
          <w:i/>
          <w:spacing w:val="-5"/>
          <w:sz w:val="18"/>
          <w:vertAlign w:val="baseline"/>
        </w:rPr>
        <w:t>Id.</w:t>
      </w:r>
    </w:p>
    <w:p>
      <w:pPr>
        <w:spacing w:before="0"/>
        <w:ind w:left="320" w:right="0" w:firstLine="0"/>
        <w:jc w:val="left"/>
        <w:rPr>
          <w:i/>
          <w:sz w:val="18"/>
        </w:rPr>
      </w:pPr>
      <w:r>
        <w:rPr>
          <w:sz w:val="18"/>
          <w:vertAlign w:val="superscript"/>
        </w:rPr>
        <w:t>56</w:t>
      </w:r>
      <w:r>
        <w:rPr>
          <w:sz w:val="18"/>
          <w:vertAlign w:val="baseline"/>
        </w:rPr>
        <w:t> </w:t>
      </w:r>
      <w:r>
        <w:rPr>
          <w:i/>
          <w:spacing w:val="-5"/>
          <w:sz w:val="18"/>
          <w:vertAlign w:val="baseline"/>
        </w:rPr>
        <w:t>Id.</w:t>
      </w:r>
    </w:p>
    <w:p>
      <w:pPr>
        <w:spacing w:before="0"/>
        <w:ind w:left="320" w:right="220" w:firstLine="0"/>
        <w:jc w:val="left"/>
        <w:rPr>
          <w:sz w:val="18"/>
        </w:rPr>
      </w:pPr>
      <w:r>
        <w:rPr>
          <w:sz w:val="18"/>
          <w:vertAlign w:val="superscript"/>
        </w:rPr>
        <w:t>57</w:t>
      </w:r>
      <w:r>
        <w:rPr>
          <w:sz w:val="18"/>
          <w:vertAlign w:val="baseline"/>
        </w:rPr>
        <w:t> The Trevor Project. 2021. “The Trevor Project Research Brief: LGBTQ Youth with a History of Foster Care”. May 2021. </w:t>
      </w:r>
      <w:r>
        <w:rPr>
          <w:spacing w:val="-2"/>
          <w:sz w:val="18"/>
          <w:vertAlign w:val="baseline"/>
        </w:rPr>
        <w:t>https://</w:t>
      </w:r>
      <w:hyperlink r:id="rId500">
        <w:r>
          <w:rPr>
            <w:spacing w:val="-2"/>
            <w:sz w:val="18"/>
            <w:vertAlign w:val="baseline"/>
          </w:rPr>
          <w:t>www.thetrevorproject.org/wp-content/uploads/2021/07/LGBTQ-Youth-with-a-History-of-Foster-Care_-May-2021.pdf.</w:t>
        </w:r>
      </w:hyperlink>
      <w:r>
        <w:rPr>
          <w:spacing w:val="40"/>
          <w:sz w:val="18"/>
          <w:vertAlign w:val="baseline"/>
        </w:rPr>
        <w:t>  </w:t>
      </w:r>
      <w:r>
        <w:rPr>
          <w:sz w:val="18"/>
          <w:vertAlign w:val="superscript"/>
        </w:rPr>
        <w:t>58</w:t>
      </w:r>
      <w:r>
        <w:rPr>
          <w:sz w:val="18"/>
          <w:vertAlign w:val="baseline"/>
        </w:rPr>
        <w:t> Massachusetts Commission on Lesbian, Gay, Bisexual, Transgender, Queer, and Questioning Youth. 2021. “LGBTQ Youth in the Massachusetts Child Welfare System A Report on Pervasive Threats to Safety, Wellbeing, and Permanency” 2021. </w:t>
      </w:r>
      <w:r>
        <w:rPr>
          <w:spacing w:val="-2"/>
          <w:sz w:val="18"/>
          <w:vertAlign w:val="baseline"/>
        </w:rPr>
        <w:t>https:</w:t>
      </w:r>
      <w:hyperlink r:id="rId284">
        <w:r>
          <w:rPr>
            <w:spacing w:val="-2"/>
            <w:sz w:val="18"/>
            <w:vertAlign w:val="baseline"/>
          </w:rPr>
          <w:t>//www.mass.gov/doc/commission-report-on-dcf/download.</w:t>
        </w:r>
      </w:hyperlink>
    </w:p>
    <w:p>
      <w:pPr>
        <w:spacing w:before="0"/>
        <w:ind w:left="320" w:right="1079" w:firstLine="0"/>
        <w:jc w:val="left"/>
        <w:rPr>
          <w:sz w:val="18"/>
        </w:rPr>
      </w:pPr>
      <w:r>
        <w:rPr>
          <w:sz w:val="18"/>
          <w:vertAlign w:val="superscript"/>
        </w:rPr>
        <w:t>59</w:t>
      </w:r>
      <w:r>
        <w:rPr>
          <w:spacing w:val="-3"/>
          <w:sz w:val="18"/>
          <w:vertAlign w:val="baseline"/>
        </w:rPr>
        <w:t> </w:t>
      </w:r>
      <w:r>
        <w:rPr>
          <w:sz w:val="18"/>
          <w:vertAlign w:val="baseline"/>
        </w:rPr>
        <w:t>Human</w:t>
      </w:r>
      <w:r>
        <w:rPr>
          <w:spacing w:val="-3"/>
          <w:sz w:val="18"/>
          <w:vertAlign w:val="baseline"/>
        </w:rPr>
        <w:t> </w:t>
      </w:r>
      <w:r>
        <w:rPr>
          <w:sz w:val="18"/>
          <w:vertAlign w:val="baseline"/>
        </w:rPr>
        <w:t>Rights</w:t>
      </w:r>
      <w:r>
        <w:rPr>
          <w:spacing w:val="-3"/>
          <w:sz w:val="18"/>
          <w:vertAlign w:val="baseline"/>
        </w:rPr>
        <w:t> </w:t>
      </w:r>
      <w:r>
        <w:rPr>
          <w:sz w:val="18"/>
          <w:vertAlign w:val="baseline"/>
        </w:rPr>
        <w:t>Campaign.</w:t>
      </w:r>
      <w:r>
        <w:rPr>
          <w:spacing w:val="-3"/>
          <w:sz w:val="18"/>
          <w:vertAlign w:val="baseline"/>
        </w:rPr>
        <w:t> </w:t>
      </w:r>
      <w:r>
        <w:rPr>
          <w:sz w:val="18"/>
          <w:vertAlign w:val="baseline"/>
        </w:rPr>
        <w:t>2024.</w:t>
      </w:r>
      <w:r>
        <w:rPr>
          <w:spacing w:val="-4"/>
          <w:sz w:val="18"/>
          <w:vertAlign w:val="baseline"/>
        </w:rPr>
        <w:t> </w:t>
      </w:r>
      <w:r>
        <w:rPr>
          <w:sz w:val="18"/>
          <w:vertAlign w:val="baseline"/>
        </w:rPr>
        <w:t>“LGBTQ</w:t>
      </w:r>
      <w:r>
        <w:rPr>
          <w:spacing w:val="-3"/>
          <w:sz w:val="18"/>
          <w:vertAlign w:val="baseline"/>
        </w:rPr>
        <w:t> </w:t>
      </w:r>
      <w:r>
        <w:rPr>
          <w:sz w:val="18"/>
          <w:vertAlign w:val="baseline"/>
        </w:rPr>
        <w:t>Youth</w:t>
      </w:r>
      <w:r>
        <w:rPr>
          <w:spacing w:val="-3"/>
          <w:sz w:val="18"/>
          <w:vertAlign w:val="baseline"/>
        </w:rPr>
        <w:t> </w:t>
      </w:r>
      <w:r>
        <w:rPr>
          <w:sz w:val="18"/>
          <w:vertAlign w:val="baseline"/>
        </w:rPr>
        <w:t>in</w:t>
      </w:r>
      <w:r>
        <w:rPr>
          <w:spacing w:val="-4"/>
          <w:sz w:val="18"/>
          <w:vertAlign w:val="baseline"/>
        </w:rPr>
        <w:t> </w:t>
      </w:r>
      <w:r>
        <w:rPr>
          <w:sz w:val="18"/>
          <w:vertAlign w:val="baseline"/>
        </w:rPr>
        <w:t>the</w:t>
      </w:r>
      <w:r>
        <w:rPr>
          <w:spacing w:val="-3"/>
          <w:sz w:val="18"/>
          <w:vertAlign w:val="baseline"/>
        </w:rPr>
        <w:t> </w:t>
      </w:r>
      <w:r>
        <w:rPr>
          <w:sz w:val="18"/>
          <w:vertAlign w:val="baseline"/>
        </w:rPr>
        <w:t>Foster</w:t>
      </w:r>
      <w:r>
        <w:rPr>
          <w:spacing w:val="-4"/>
          <w:sz w:val="18"/>
          <w:vertAlign w:val="baseline"/>
        </w:rPr>
        <w:t> </w:t>
      </w:r>
      <w:r>
        <w:rPr>
          <w:sz w:val="18"/>
          <w:vertAlign w:val="baseline"/>
        </w:rPr>
        <w:t>Care</w:t>
      </w:r>
      <w:r>
        <w:rPr>
          <w:spacing w:val="-4"/>
          <w:sz w:val="18"/>
          <w:vertAlign w:val="baseline"/>
        </w:rPr>
        <w:t> </w:t>
      </w:r>
      <w:r>
        <w:rPr>
          <w:sz w:val="18"/>
          <w:vertAlign w:val="baseline"/>
        </w:rPr>
        <w:t>System”,</w:t>
      </w:r>
      <w:r>
        <w:rPr>
          <w:spacing w:val="-4"/>
          <w:sz w:val="18"/>
          <w:vertAlign w:val="baseline"/>
        </w:rPr>
        <w:t> </w:t>
      </w:r>
      <w:hyperlink r:id="rId501">
        <w:r>
          <w:rPr>
            <w:sz w:val="18"/>
            <w:u w:val="single"/>
            <w:vertAlign w:val="baseline"/>
          </w:rPr>
          <w:t>https://hrc-prod-requests.s3-us-west-</w:t>
        </w:r>
      </w:hyperlink>
      <w:r>
        <w:rPr>
          <w:sz w:val="18"/>
          <w:u w:val="none"/>
          <w:vertAlign w:val="baseline"/>
        </w:rPr>
        <w:t> </w:t>
      </w:r>
      <w:hyperlink r:id="rId501">
        <w:r>
          <w:rPr>
            <w:sz w:val="18"/>
            <w:u w:val="single"/>
            <w:vertAlign w:val="baseline"/>
          </w:rPr>
          <w:t>2.amazonaws.com/files/assets/resources/HRC-YouthFosterCare-IssueBrief-FINAL.pdf</w:t>
        </w:r>
      </w:hyperlink>
      <w:r>
        <w:rPr>
          <w:spacing w:val="27"/>
          <w:sz w:val="18"/>
          <w:u w:val="none"/>
          <w:vertAlign w:val="baseline"/>
        </w:rPr>
        <w:t> </w:t>
      </w:r>
      <w:r>
        <w:rPr>
          <w:sz w:val="18"/>
          <w:u w:val="none"/>
          <w:vertAlign w:val="baseline"/>
        </w:rPr>
        <w:t>last</w:t>
      </w:r>
      <w:r>
        <w:rPr>
          <w:spacing w:val="-7"/>
          <w:sz w:val="18"/>
          <w:u w:val="none"/>
          <w:vertAlign w:val="baseline"/>
        </w:rPr>
        <w:t> </w:t>
      </w:r>
      <w:r>
        <w:rPr>
          <w:sz w:val="18"/>
          <w:u w:val="none"/>
          <w:vertAlign w:val="baseline"/>
        </w:rPr>
        <w:t>Accessed</w:t>
      </w:r>
      <w:r>
        <w:rPr>
          <w:spacing w:val="-7"/>
          <w:sz w:val="18"/>
          <w:u w:val="none"/>
          <w:vertAlign w:val="baseline"/>
        </w:rPr>
        <w:t> </w:t>
      </w:r>
      <w:r>
        <w:rPr>
          <w:sz w:val="18"/>
          <w:u w:val="none"/>
          <w:vertAlign w:val="baseline"/>
        </w:rPr>
        <w:t>April</w:t>
      </w:r>
      <w:r>
        <w:rPr>
          <w:spacing w:val="-7"/>
          <w:sz w:val="18"/>
          <w:u w:val="none"/>
          <w:vertAlign w:val="baseline"/>
        </w:rPr>
        <w:t> </w:t>
      </w:r>
      <w:r>
        <w:rPr>
          <w:sz w:val="18"/>
          <w:u w:val="none"/>
          <w:vertAlign w:val="baseline"/>
        </w:rPr>
        <w:t>28,</w:t>
      </w:r>
      <w:r>
        <w:rPr>
          <w:spacing w:val="-8"/>
          <w:sz w:val="18"/>
          <w:u w:val="none"/>
          <w:vertAlign w:val="baseline"/>
        </w:rPr>
        <w:t> </w:t>
      </w:r>
      <w:r>
        <w:rPr>
          <w:spacing w:val="-2"/>
          <w:sz w:val="18"/>
          <w:u w:val="none"/>
          <w:vertAlign w:val="baseline"/>
        </w:rPr>
        <w:t>2024.</w:t>
      </w:r>
    </w:p>
    <w:p>
      <w:pPr>
        <w:spacing w:after="0"/>
        <w:jc w:val="left"/>
        <w:rPr>
          <w:sz w:val="18"/>
        </w:rPr>
        <w:sectPr>
          <w:pgSz w:w="12240" w:h="15840"/>
          <w:pgMar w:header="763" w:footer="1041" w:top="1360" w:bottom="1240" w:left="1120" w:right="1340"/>
        </w:sectPr>
      </w:pPr>
    </w:p>
    <w:p>
      <w:pPr>
        <w:pStyle w:val="BodyText"/>
        <w:spacing w:before="90"/>
        <w:rPr>
          <w:sz w:val="18"/>
        </w:rPr>
      </w:pPr>
    </w:p>
    <w:p>
      <w:pPr>
        <w:spacing w:before="1"/>
        <w:ind w:left="320" w:right="1461" w:firstLine="0"/>
        <w:jc w:val="left"/>
        <w:rPr>
          <w:sz w:val="18"/>
        </w:rPr>
      </w:pPr>
      <w:r>
        <w:rPr>
          <w:sz w:val="18"/>
          <w:vertAlign w:val="superscript"/>
        </w:rPr>
        <w:t>60</w:t>
      </w:r>
      <w:r>
        <w:rPr>
          <w:spacing w:val="-2"/>
          <w:sz w:val="18"/>
          <w:vertAlign w:val="baseline"/>
        </w:rPr>
        <w:t> </w:t>
      </w:r>
      <w:r>
        <w:rPr>
          <w:sz w:val="18"/>
          <w:vertAlign w:val="baseline"/>
        </w:rPr>
        <w:t>"State</w:t>
      </w:r>
      <w:r>
        <w:rPr>
          <w:spacing w:val="-2"/>
          <w:sz w:val="18"/>
          <w:vertAlign w:val="baseline"/>
        </w:rPr>
        <w:t> </w:t>
      </w:r>
      <w:r>
        <w:rPr>
          <w:sz w:val="18"/>
          <w:vertAlign w:val="baseline"/>
        </w:rPr>
        <w:t>of</w:t>
      </w:r>
      <w:r>
        <w:rPr>
          <w:spacing w:val="-2"/>
          <w:sz w:val="18"/>
          <w:vertAlign w:val="baseline"/>
        </w:rPr>
        <w:t> </w:t>
      </w:r>
      <w:r>
        <w:rPr>
          <w:sz w:val="18"/>
          <w:vertAlign w:val="baseline"/>
        </w:rPr>
        <w:t>Emergency</w:t>
      </w:r>
      <w:r>
        <w:rPr>
          <w:spacing w:val="-2"/>
          <w:sz w:val="18"/>
          <w:vertAlign w:val="baseline"/>
        </w:rPr>
        <w:t> </w:t>
      </w:r>
      <w:r>
        <w:rPr>
          <w:sz w:val="18"/>
          <w:vertAlign w:val="baseline"/>
        </w:rPr>
        <w:t>for</w:t>
      </w:r>
      <w:r>
        <w:rPr>
          <w:spacing w:val="-3"/>
          <w:sz w:val="18"/>
          <w:vertAlign w:val="baseline"/>
        </w:rPr>
        <w:t> </w:t>
      </w:r>
      <w:r>
        <w:rPr>
          <w:sz w:val="18"/>
          <w:vertAlign w:val="baseline"/>
        </w:rPr>
        <w:t>LGBTQ</w:t>
      </w:r>
      <w:r>
        <w:rPr>
          <w:spacing w:val="-3"/>
          <w:sz w:val="18"/>
          <w:vertAlign w:val="baseline"/>
        </w:rPr>
        <w:t> </w:t>
      </w:r>
      <w:r>
        <w:rPr>
          <w:sz w:val="18"/>
          <w:vertAlign w:val="baseline"/>
        </w:rPr>
        <w:t>Youth</w:t>
      </w:r>
      <w:r>
        <w:rPr>
          <w:spacing w:val="-2"/>
          <w:sz w:val="18"/>
          <w:vertAlign w:val="baseline"/>
        </w:rPr>
        <w:t> </w:t>
      </w:r>
      <w:r>
        <w:rPr>
          <w:sz w:val="18"/>
          <w:vertAlign w:val="baseline"/>
        </w:rPr>
        <w:t>in</w:t>
      </w:r>
      <w:r>
        <w:rPr>
          <w:spacing w:val="-2"/>
          <w:sz w:val="18"/>
          <w:vertAlign w:val="baseline"/>
        </w:rPr>
        <w:t> </w:t>
      </w:r>
      <w:r>
        <w:rPr>
          <w:sz w:val="18"/>
          <w:vertAlign w:val="baseline"/>
        </w:rPr>
        <w:t>the</w:t>
      </w:r>
      <w:r>
        <w:rPr>
          <w:spacing w:val="-2"/>
          <w:sz w:val="18"/>
          <w:vertAlign w:val="baseline"/>
        </w:rPr>
        <w:t> </w:t>
      </w:r>
      <w:r>
        <w:rPr>
          <w:sz w:val="18"/>
          <w:vertAlign w:val="baseline"/>
        </w:rPr>
        <w:t>MA</w:t>
      </w:r>
      <w:r>
        <w:rPr>
          <w:spacing w:val="-2"/>
          <w:sz w:val="18"/>
          <w:vertAlign w:val="baseline"/>
        </w:rPr>
        <w:t> </w:t>
      </w:r>
      <w:r>
        <w:rPr>
          <w:sz w:val="18"/>
          <w:vertAlign w:val="baseline"/>
        </w:rPr>
        <w:t>Child</w:t>
      </w:r>
      <w:r>
        <w:rPr>
          <w:spacing w:val="-2"/>
          <w:sz w:val="18"/>
          <w:vertAlign w:val="baseline"/>
        </w:rPr>
        <w:t> </w:t>
      </w:r>
      <w:r>
        <w:rPr>
          <w:sz w:val="18"/>
          <w:vertAlign w:val="baseline"/>
        </w:rPr>
        <w:t>Welfare</w:t>
      </w:r>
      <w:r>
        <w:rPr>
          <w:spacing w:val="-2"/>
          <w:sz w:val="18"/>
          <w:vertAlign w:val="baseline"/>
        </w:rPr>
        <w:t> </w:t>
      </w:r>
      <w:r>
        <w:rPr>
          <w:sz w:val="18"/>
          <w:vertAlign w:val="baseline"/>
        </w:rPr>
        <w:t>System."</w:t>
      </w:r>
      <w:r>
        <w:rPr>
          <w:spacing w:val="-2"/>
          <w:sz w:val="18"/>
          <w:vertAlign w:val="baseline"/>
        </w:rPr>
        <w:t> </w:t>
      </w:r>
      <w:r>
        <w:rPr>
          <w:i/>
          <w:sz w:val="18"/>
          <w:vertAlign w:val="baseline"/>
        </w:rPr>
        <w:t>Mass.gov</w:t>
      </w:r>
      <w:r>
        <w:rPr>
          <w:sz w:val="18"/>
          <w:vertAlign w:val="baseline"/>
        </w:rPr>
        <w:t>.</w:t>
      </w:r>
      <w:r>
        <w:rPr>
          <w:spacing w:val="-2"/>
          <w:sz w:val="18"/>
          <w:vertAlign w:val="baseline"/>
        </w:rPr>
        <w:t> </w:t>
      </w:r>
      <w:r>
        <w:rPr>
          <w:sz w:val="18"/>
          <w:vertAlign w:val="baseline"/>
        </w:rPr>
        <w:t>Accessed</w:t>
      </w:r>
      <w:r>
        <w:rPr>
          <w:spacing w:val="-3"/>
          <w:sz w:val="18"/>
          <w:vertAlign w:val="baseline"/>
        </w:rPr>
        <w:t> </w:t>
      </w:r>
      <w:r>
        <w:rPr>
          <w:sz w:val="18"/>
          <w:vertAlign w:val="baseline"/>
        </w:rPr>
        <w:t>April</w:t>
      </w:r>
      <w:r>
        <w:rPr>
          <w:spacing w:val="-3"/>
          <w:sz w:val="18"/>
          <w:vertAlign w:val="baseline"/>
        </w:rPr>
        <w:t> </w:t>
      </w:r>
      <w:r>
        <w:rPr>
          <w:sz w:val="18"/>
          <w:vertAlign w:val="baseline"/>
        </w:rPr>
        <w:t>14,</w:t>
      </w:r>
      <w:r>
        <w:rPr>
          <w:spacing w:val="-3"/>
          <w:sz w:val="18"/>
          <w:vertAlign w:val="baseline"/>
        </w:rPr>
        <w:t> </w:t>
      </w:r>
      <w:r>
        <w:rPr>
          <w:sz w:val="18"/>
          <w:vertAlign w:val="baseline"/>
        </w:rPr>
        <w:t>2024. </w:t>
      </w:r>
      <w:hyperlink r:id="rId502">
        <w:r>
          <w:rPr>
            <w:spacing w:val="-2"/>
            <w:sz w:val="18"/>
            <w:u w:val="single"/>
            <w:vertAlign w:val="baseline"/>
          </w:rPr>
          <w:t>https://www.mass.gov/news/state-of-emergency-for-lgbtq-youth-in-the-ma-child-welfare-system</w:t>
        </w:r>
        <w:r>
          <w:rPr>
            <w:spacing w:val="-2"/>
            <w:sz w:val="18"/>
            <w:u w:val="none"/>
            <w:vertAlign w:val="baseline"/>
          </w:rPr>
          <w:t>.</w:t>
        </w:r>
      </w:hyperlink>
    </w:p>
    <w:p>
      <w:pPr>
        <w:spacing w:before="0"/>
        <w:ind w:left="320" w:right="0" w:firstLine="0"/>
        <w:jc w:val="left"/>
        <w:rPr>
          <w:sz w:val="18"/>
        </w:rPr>
      </w:pPr>
      <w:r>
        <w:rPr>
          <w:sz w:val="18"/>
          <w:vertAlign w:val="superscript"/>
        </w:rPr>
        <w:t>61</w:t>
      </w:r>
      <w:r>
        <w:rPr>
          <w:spacing w:val="-2"/>
          <w:sz w:val="18"/>
          <w:vertAlign w:val="baseline"/>
        </w:rPr>
        <w:t> </w:t>
      </w:r>
      <w:r>
        <w:rPr>
          <w:sz w:val="18"/>
          <w:vertAlign w:val="baseline"/>
        </w:rPr>
        <w:t>Ryan,</w:t>
      </w:r>
      <w:r>
        <w:rPr>
          <w:spacing w:val="-3"/>
          <w:sz w:val="18"/>
          <w:vertAlign w:val="baseline"/>
        </w:rPr>
        <w:t> </w:t>
      </w:r>
      <w:r>
        <w:rPr>
          <w:sz w:val="18"/>
          <w:vertAlign w:val="baseline"/>
        </w:rPr>
        <w:t>C.</w:t>
      </w:r>
      <w:r>
        <w:rPr>
          <w:spacing w:val="-2"/>
          <w:sz w:val="18"/>
          <w:vertAlign w:val="baseline"/>
        </w:rPr>
        <w:t> </w:t>
      </w:r>
      <w:r>
        <w:rPr>
          <w:sz w:val="18"/>
          <w:vertAlign w:val="baseline"/>
        </w:rPr>
        <w:t>2014.</w:t>
      </w:r>
      <w:r>
        <w:rPr>
          <w:spacing w:val="-2"/>
          <w:sz w:val="18"/>
          <w:vertAlign w:val="baseline"/>
        </w:rPr>
        <w:t> </w:t>
      </w:r>
      <w:r>
        <w:rPr>
          <w:sz w:val="18"/>
          <w:vertAlign w:val="baseline"/>
        </w:rPr>
        <w:t>“Generating</w:t>
      </w:r>
      <w:r>
        <w:rPr>
          <w:spacing w:val="-2"/>
          <w:sz w:val="18"/>
          <w:vertAlign w:val="baseline"/>
        </w:rPr>
        <w:t> </w:t>
      </w:r>
      <w:r>
        <w:rPr>
          <w:sz w:val="18"/>
          <w:vertAlign w:val="baseline"/>
        </w:rPr>
        <w:t>a</w:t>
      </w:r>
      <w:r>
        <w:rPr>
          <w:spacing w:val="-2"/>
          <w:sz w:val="18"/>
          <w:vertAlign w:val="baseline"/>
        </w:rPr>
        <w:t> </w:t>
      </w:r>
      <w:r>
        <w:rPr>
          <w:sz w:val="18"/>
          <w:vertAlign w:val="baseline"/>
        </w:rPr>
        <w:t>Revolution</w:t>
      </w:r>
      <w:r>
        <w:rPr>
          <w:spacing w:val="-2"/>
          <w:sz w:val="18"/>
          <w:vertAlign w:val="baseline"/>
        </w:rPr>
        <w:t> </w:t>
      </w:r>
      <w:r>
        <w:rPr>
          <w:sz w:val="18"/>
          <w:vertAlign w:val="baseline"/>
        </w:rPr>
        <w:t>in</w:t>
      </w:r>
      <w:r>
        <w:rPr>
          <w:spacing w:val="-2"/>
          <w:sz w:val="18"/>
          <w:vertAlign w:val="baseline"/>
        </w:rPr>
        <w:t> </w:t>
      </w:r>
      <w:r>
        <w:rPr>
          <w:sz w:val="18"/>
          <w:vertAlign w:val="baseline"/>
        </w:rPr>
        <w:t>Prevention,</w:t>
      </w:r>
      <w:r>
        <w:rPr>
          <w:spacing w:val="-3"/>
          <w:sz w:val="18"/>
          <w:vertAlign w:val="baseline"/>
        </w:rPr>
        <w:t> </w:t>
      </w:r>
      <w:r>
        <w:rPr>
          <w:sz w:val="18"/>
          <w:vertAlign w:val="baseline"/>
        </w:rPr>
        <w:t>Wellness</w:t>
      </w:r>
      <w:r>
        <w:rPr>
          <w:spacing w:val="-2"/>
          <w:sz w:val="18"/>
          <w:vertAlign w:val="baseline"/>
        </w:rPr>
        <w:t> </w:t>
      </w:r>
      <w:r>
        <w:rPr>
          <w:sz w:val="18"/>
          <w:vertAlign w:val="baseline"/>
        </w:rPr>
        <w:t>&amp;</w:t>
      </w:r>
      <w:r>
        <w:rPr>
          <w:spacing w:val="-3"/>
          <w:sz w:val="18"/>
          <w:vertAlign w:val="baseline"/>
        </w:rPr>
        <w:t> </w:t>
      </w:r>
      <w:r>
        <w:rPr>
          <w:sz w:val="18"/>
          <w:vertAlign w:val="baseline"/>
        </w:rPr>
        <w:t>Care</w:t>
      </w:r>
      <w:r>
        <w:rPr>
          <w:spacing w:val="-2"/>
          <w:sz w:val="18"/>
          <w:vertAlign w:val="baseline"/>
        </w:rPr>
        <w:t> </w:t>
      </w:r>
      <w:r>
        <w:rPr>
          <w:sz w:val="18"/>
          <w:vertAlign w:val="baseline"/>
        </w:rPr>
        <w:t>for</w:t>
      </w:r>
      <w:r>
        <w:rPr>
          <w:spacing w:val="-3"/>
          <w:sz w:val="18"/>
          <w:vertAlign w:val="baseline"/>
        </w:rPr>
        <w:t> </w:t>
      </w:r>
      <w:r>
        <w:rPr>
          <w:sz w:val="18"/>
          <w:vertAlign w:val="baseline"/>
        </w:rPr>
        <w:t>LGBT</w:t>
      </w:r>
      <w:r>
        <w:rPr>
          <w:spacing w:val="-4"/>
          <w:sz w:val="18"/>
          <w:vertAlign w:val="baseline"/>
        </w:rPr>
        <w:t> </w:t>
      </w:r>
      <w:r>
        <w:rPr>
          <w:sz w:val="18"/>
          <w:vertAlign w:val="baseline"/>
        </w:rPr>
        <w:t>Children</w:t>
      </w:r>
      <w:r>
        <w:rPr>
          <w:spacing w:val="-2"/>
          <w:sz w:val="18"/>
          <w:vertAlign w:val="baseline"/>
        </w:rPr>
        <w:t> </w:t>
      </w:r>
      <w:r>
        <w:rPr>
          <w:sz w:val="18"/>
          <w:vertAlign w:val="baseline"/>
        </w:rPr>
        <w:t>&amp;</w:t>
      </w:r>
      <w:r>
        <w:rPr>
          <w:spacing w:val="-3"/>
          <w:sz w:val="18"/>
          <w:vertAlign w:val="baseline"/>
        </w:rPr>
        <w:t> </w:t>
      </w:r>
      <w:r>
        <w:rPr>
          <w:sz w:val="18"/>
          <w:vertAlign w:val="baseline"/>
        </w:rPr>
        <w:t>Youth”.</w:t>
      </w:r>
      <w:r>
        <w:rPr>
          <w:spacing w:val="-2"/>
          <w:sz w:val="18"/>
          <w:vertAlign w:val="baseline"/>
        </w:rPr>
        <w:t> </w:t>
      </w:r>
      <w:r>
        <w:rPr>
          <w:i/>
          <w:sz w:val="18"/>
          <w:vertAlign w:val="baseline"/>
        </w:rPr>
        <w:t>Temple</w:t>
      </w:r>
      <w:r>
        <w:rPr>
          <w:i/>
          <w:spacing w:val="-3"/>
          <w:sz w:val="18"/>
          <w:vertAlign w:val="baseline"/>
        </w:rPr>
        <w:t> </w:t>
      </w:r>
      <w:r>
        <w:rPr>
          <w:i/>
          <w:sz w:val="18"/>
          <w:vertAlign w:val="baseline"/>
        </w:rPr>
        <w:t>Political</w:t>
      </w:r>
      <w:r>
        <w:rPr>
          <w:i/>
          <w:spacing w:val="-3"/>
          <w:sz w:val="18"/>
          <w:vertAlign w:val="baseline"/>
        </w:rPr>
        <w:t> </w:t>
      </w:r>
      <w:r>
        <w:rPr>
          <w:i/>
          <w:sz w:val="18"/>
          <w:vertAlign w:val="baseline"/>
        </w:rPr>
        <w:t>&amp;</w:t>
      </w:r>
      <w:r>
        <w:rPr>
          <w:i/>
          <w:spacing w:val="-3"/>
          <w:sz w:val="18"/>
          <w:vertAlign w:val="baseline"/>
        </w:rPr>
        <w:t> </w:t>
      </w:r>
      <w:r>
        <w:rPr>
          <w:i/>
          <w:sz w:val="18"/>
          <w:vertAlign w:val="baseline"/>
        </w:rPr>
        <w:t>Civil</w:t>
      </w:r>
      <w:r>
        <w:rPr>
          <w:i/>
          <w:sz w:val="18"/>
          <w:vertAlign w:val="baseline"/>
        </w:rPr>
        <w:t> Rights Law Review</w:t>
      </w:r>
      <w:r>
        <w:rPr>
          <w:sz w:val="18"/>
          <w:vertAlign w:val="baseline"/>
        </w:rPr>
        <w:t>, 23(2), 331-344.</w:t>
      </w:r>
    </w:p>
    <w:p>
      <w:pPr>
        <w:spacing w:before="0"/>
        <w:ind w:left="320" w:right="389" w:hanging="1"/>
        <w:jc w:val="left"/>
        <w:rPr>
          <w:sz w:val="18"/>
        </w:rPr>
      </w:pPr>
      <w:r>
        <w:rPr>
          <w:sz w:val="18"/>
          <w:vertAlign w:val="superscript"/>
        </w:rPr>
        <w:t>62</w:t>
      </w:r>
      <w:r>
        <w:rPr>
          <w:sz w:val="18"/>
          <w:vertAlign w:val="baseline"/>
        </w:rPr>
        <w:t> Hunt, Jerome &amp; Aisha Moodie-Mills, 2012. “Unfair Criminalization of Gay and Transgender Youth: An Overview of the Experiences</w:t>
      </w:r>
      <w:r>
        <w:rPr>
          <w:spacing w:val="-4"/>
          <w:sz w:val="18"/>
          <w:vertAlign w:val="baseline"/>
        </w:rPr>
        <w:t> </w:t>
      </w:r>
      <w:r>
        <w:rPr>
          <w:sz w:val="18"/>
          <w:vertAlign w:val="baseline"/>
        </w:rPr>
        <w:t>of</w:t>
      </w:r>
      <w:r>
        <w:rPr>
          <w:spacing w:val="-4"/>
          <w:sz w:val="18"/>
          <w:vertAlign w:val="baseline"/>
        </w:rPr>
        <w:t> </w:t>
      </w:r>
      <w:r>
        <w:rPr>
          <w:sz w:val="18"/>
          <w:vertAlign w:val="baseline"/>
        </w:rPr>
        <w:t>LGBT</w:t>
      </w:r>
      <w:r>
        <w:rPr>
          <w:spacing w:val="-4"/>
          <w:sz w:val="18"/>
          <w:vertAlign w:val="baseline"/>
        </w:rPr>
        <w:t> </w:t>
      </w:r>
      <w:r>
        <w:rPr>
          <w:sz w:val="18"/>
          <w:vertAlign w:val="baseline"/>
        </w:rPr>
        <w:t>Youth</w:t>
      </w:r>
      <w:r>
        <w:rPr>
          <w:spacing w:val="-4"/>
          <w:sz w:val="18"/>
          <w:vertAlign w:val="baseline"/>
        </w:rPr>
        <w:t> </w:t>
      </w:r>
      <w:r>
        <w:rPr>
          <w:sz w:val="18"/>
          <w:vertAlign w:val="baseline"/>
        </w:rPr>
        <w:t>in</w:t>
      </w:r>
      <w:r>
        <w:rPr>
          <w:spacing w:val="-4"/>
          <w:sz w:val="18"/>
          <w:vertAlign w:val="baseline"/>
        </w:rPr>
        <w:t> </w:t>
      </w:r>
      <w:r>
        <w:rPr>
          <w:sz w:val="18"/>
          <w:vertAlign w:val="baseline"/>
        </w:rPr>
        <w:t>the</w:t>
      </w:r>
      <w:r>
        <w:rPr>
          <w:spacing w:val="-4"/>
          <w:sz w:val="18"/>
          <w:vertAlign w:val="baseline"/>
        </w:rPr>
        <w:t> </w:t>
      </w:r>
      <w:r>
        <w:rPr>
          <w:sz w:val="18"/>
          <w:vertAlign w:val="baseline"/>
        </w:rPr>
        <w:t>Juvenile</w:t>
      </w:r>
      <w:r>
        <w:rPr>
          <w:spacing w:val="-4"/>
          <w:sz w:val="18"/>
          <w:vertAlign w:val="baseline"/>
        </w:rPr>
        <w:t> </w:t>
      </w:r>
      <w:r>
        <w:rPr>
          <w:sz w:val="18"/>
          <w:vertAlign w:val="baseline"/>
        </w:rPr>
        <w:t>Justice</w:t>
      </w:r>
      <w:r>
        <w:rPr>
          <w:spacing w:val="-4"/>
          <w:sz w:val="18"/>
          <w:vertAlign w:val="baseline"/>
        </w:rPr>
        <w:t> </w:t>
      </w:r>
      <w:r>
        <w:rPr>
          <w:sz w:val="18"/>
          <w:vertAlign w:val="baseline"/>
        </w:rPr>
        <w:t>System”.</w:t>
      </w:r>
      <w:r>
        <w:rPr>
          <w:spacing w:val="-4"/>
          <w:sz w:val="18"/>
          <w:vertAlign w:val="baseline"/>
        </w:rPr>
        <w:t> </w:t>
      </w:r>
      <w:r>
        <w:rPr>
          <w:sz w:val="18"/>
          <w:vertAlign w:val="baseline"/>
        </w:rPr>
        <w:t>2012.</w:t>
      </w:r>
      <w:r>
        <w:rPr>
          <w:spacing w:val="-4"/>
          <w:sz w:val="18"/>
          <w:vertAlign w:val="baseline"/>
        </w:rPr>
        <w:t> </w:t>
      </w:r>
      <w:r>
        <w:rPr>
          <w:sz w:val="18"/>
          <w:vertAlign w:val="baseline"/>
        </w:rPr>
        <w:t>https:</w:t>
      </w:r>
      <w:hyperlink r:id="rId503">
        <w:r>
          <w:rPr>
            <w:sz w:val="18"/>
            <w:vertAlign w:val="baseline"/>
          </w:rPr>
          <w:t>//www.ojp.gov/ncjrs/virtual-library/abstracts/unfair-</w:t>
        </w:r>
      </w:hyperlink>
      <w:r>
        <w:rPr>
          <w:sz w:val="18"/>
          <w:vertAlign w:val="baseline"/>
        </w:rPr>
        <w:t> </w:t>
      </w:r>
      <w:r>
        <w:rPr>
          <w:spacing w:val="-2"/>
          <w:sz w:val="18"/>
          <w:vertAlign w:val="baseline"/>
        </w:rPr>
        <w:t>criminalization-gay-and-transgender-youth-overview</w:t>
      </w:r>
    </w:p>
    <w:p>
      <w:pPr>
        <w:spacing w:line="219" w:lineRule="exact" w:before="0"/>
        <w:ind w:left="320" w:right="0" w:firstLine="0"/>
        <w:jc w:val="left"/>
        <w:rPr>
          <w:i/>
          <w:sz w:val="18"/>
        </w:rPr>
      </w:pPr>
      <w:r>
        <w:rPr>
          <w:sz w:val="18"/>
          <w:vertAlign w:val="superscript"/>
        </w:rPr>
        <w:t>63</w:t>
      </w:r>
      <w:r>
        <w:rPr>
          <w:sz w:val="18"/>
          <w:vertAlign w:val="baseline"/>
        </w:rPr>
        <w:t> </w:t>
      </w:r>
      <w:r>
        <w:rPr>
          <w:i/>
          <w:spacing w:val="-5"/>
          <w:sz w:val="18"/>
          <w:vertAlign w:val="baseline"/>
        </w:rPr>
        <w:t>Id.</w:t>
      </w:r>
    </w:p>
    <w:p>
      <w:pPr>
        <w:spacing w:before="0"/>
        <w:ind w:left="320" w:right="0" w:firstLine="0"/>
        <w:jc w:val="left"/>
        <w:rPr>
          <w:i/>
          <w:sz w:val="18"/>
        </w:rPr>
      </w:pPr>
      <w:r>
        <w:rPr>
          <w:sz w:val="18"/>
          <w:vertAlign w:val="superscript"/>
        </w:rPr>
        <w:t>64</w:t>
      </w:r>
      <w:r>
        <w:rPr>
          <w:spacing w:val="-4"/>
          <w:sz w:val="18"/>
          <w:vertAlign w:val="baseline"/>
        </w:rPr>
        <w:t> </w:t>
      </w:r>
      <w:r>
        <w:rPr>
          <w:sz w:val="18"/>
          <w:vertAlign w:val="baseline"/>
        </w:rPr>
        <w:t>Baams,</w:t>
      </w:r>
      <w:r>
        <w:rPr>
          <w:spacing w:val="-3"/>
          <w:sz w:val="18"/>
          <w:vertAlign w:val="baseline"/>
        </w:rPr>
        <w:t> </w:t>
      </w:r>
      <w:r>
        <w:rPr>
          <w:sz w:val="18"/>
          <w:vertAlign w:val="baseline"/>
        </w:rPr>
        <w:t>Laura</w:t>
      </w:r>
      <w:r>
        <w:rPr>
          <w:spacing w:val="-3"/>
          <w:sz w:val="18"/>
          <w:vertAlign w:val="baseline"/>
        </w:rPr>
        <w:t> </w:t>
      </w:r>
      <w:r>
        <w:rPr>
          <w:sz w:val="18"/>
          <w:vertAlign w:val="baseline"/>
        </w:rPr>
        <w:t>Bianca</w:t>
      </w:r>
      <w:r>
        <w:rPr>
          <w:spacing w:val="-2"/>
          <w:sz w:val="18"/>
          <w:vertAlign w:val="baseline"/>
        </w:rPr>
        <w:t> </w:t>
      </w:r>
      <w:r>
        <w:rPr>
          <w:sz w:val="18"/>
          <w:vertAlign w:val="baseline"/>
        </w:rPr>
        <w:t>D.</w:t>
      </w:r>
      <w:r>
        <w:rPr>
          <w:spacing w:val="-2"/>
          <w:sz w:val="18"/>
          <w:vertAlign w:val="baseline"/>
        </w:rPr>
        <w:t> </w:t>
      </w:r>
      <w:r>
        <w:rPr>
          <w:sz w:val="18"/>
          <w:vertAlign w:val="baseline"/>
        </w:rPr>
        <w:t>Wilson,</w:t>
      </w:r>
      <w:r>
        <w:rPr>
          <w:spacing w:val="-2"/>
          <w:sz w:val="18"/>
          <w:vertAlign w:val="baseline"/>
        </w:rPr>
        <w:t> </w:t>
      </w:r>
      <w:r>
        <w:rPr>
          <w:sz w:val="18"/>
          <w:vertAlign w:val="baseline"/>
        </w:rPr>
        <w:t>and</w:t>
      </w:r>
      <w:r>
        <w:rPr>
          <w:spacing w:val="-1"/>
          <w:sz w:val="18"/>
          <w:vertAlign w:val="baseline"/>
        </w:rPr>
        <w:t> </w:t>
      </w:r>
      <w:r>
        <w:rPr>
          <w:sz w:val="18"/>
          <w:vertAlign w:val="baseline"/>
        </w:rPr>
        <w:t>Stephen</w:t>
      </w:r>
      <w:r>
        <w:rPr>
          <w:spacing w:val="-2"/>
          <w:sz w:val="18"/>
          <w:vertAlign w:val="baseline"/>
        </w:rPr>
        <w:t> </w:t>
      </w:r>
      <w:r>
        <w:rPr>
          <w:sz w:val="18"/>
          <w:vertAlign w:val="baseline"/>
        </w:rPr>
        <w:t>T</w:t>
      </w:r>
      <w:r>
        <w:rPr>
          <w:spacing w:val="-2"/>
          <w:sz w:val="18"/>
          <w:vertAlign w:val="baseline"/>
        </w:rPr>
        <w:t> </w:t>
      </w:r>
      <w:r>
        <w:rPr>
          <w:sz w:val="18"/>
          <w:vertAlign w:val="baseline"/>
        </w:rPr>
        <w:t>Russell,</w:t>
      </w:r>
      <w:r>
        <w:rPr>
          <w:spacing w:val="-3"/>
          <w:sz w:val="18"/>
          <w:vertAlign w:val="baseline"/>
        </w:rPr>
        <w:t> </w:t>
      </w:r>
      <w:r>
        <w:rPr>
          <w:sz w:val="18"/>
          <w:vertAlign w:val="baseline"/>
        </w:rPr>
        <w:t>2019.</w:t>
      </w:r>
      <w:r>
        <w:rPr>
          <w:spacing w:val="-2"/>
          <w:sz w:val="18"/>
          <w:vertAlign w:val="baseline"/>
        </w:rPr>
        <w:t> </w:t>
      </w:r>
      <w:r>
        <w:rPr>
          <w:sz w:val="18"/>
          <w:vertAlign w:val="baseline"/>
        </w:rPr>
        <w:t>“LGBTQ</w:t>
      </w:r>
      <w:r>
        <w:rPr>
          <w:spacing w:val="-2"/>
          <w:sz w:val="18"/>
          <w:vertAlign w:val="baseline"/>
        </w:rPr>
        <w:t> </w:t>
      </w:r>
      <w:r>
        <w:rPr>
          <w:sz w:val="18"/>
          <w:vertAlign w:val="baseline"/>
        </w:rPr>
        <w:t>Youth</w:t>
      </w:r>
      <w:r>
        <w:rPr>
          <w:spacing w:val="-2"/>
          <w:sz w:val="18"/>
          <w:vertAlign w:val="baseline"/>
        </w:rPr>
        <w:t> </w:t>
      </w:r>
      <w:r>
        <w:rPr>
          <w:sz w:val="18"/>
          <w:vertAlign w:val="baseline"/>
        </w:rPr>
        <w:t>in</w:t>
      </w:r>
      <w:r>
        <w:rPr>
          <w:spacing w:val="-1"/>
          <w:sz w:val="18"/>
          <w:vertAlign w:val="baseline"/>
        </w:rPr>
        <w:t> </w:t>
      </w:r>
      <w:r>
        <w:rPr>
          <w:sz w:val="18"/>
          <w:vertAlign w:val="baseline"/>
        </w:rPr>
        <w:t>Unstable</w:t>
      </w:r>
      <w:r>
        <w:rPr>
          <w:spacing w:val="-2"/>
          <w:sz w:val="18"/>
          <w:vertAlign w:val="baseline"/>
        </w:rPr>
        <w:t> </w:t>
      </w:r>
      <w:r>
        <w:rPr>
          <w:sz w:val="18"/>
          <w:vertAlign w:val="baseline"/>
        </w:rPr>
        <w:t>housing</w:t>
      </w:r>
      <w:r>
        <w:rPr>
          <w:spacing w:val="-3"/>
          <w:sz w:val="18"/>
          <w:vertAlign w:val="baseline"/>
        </w:rPr>
        <w:t> </w:t>
      </w:r>
      <w:r>
        <w:rPr>
          <w:sz w:val="18"/>
          <w:vertAlign w:val="baseline"/>
        </w:rPr>
        <w:t>and</w:t>
      </w:r>
      <w:r>
        <w:rPr>
          <w:spacing w:val="-2"/>
          <w:sz w:val="18"/>
          <w:vertAlign w:val="baseline"/>
        </w:rPr>
        <w:t> </w:t>
      </w:r>
      <w:r>
        <w:rPr>
          <w:sz w:val="18"/>
          <w:vertAlign w:val="baseline"/>
        </w:rPr>
        <w:t>Foster</w:t>
      </w:r>
      <w:r>
        <w:rPr>
          <w:spacing w:val="-3"/>
          <w:sz w:val="18"/>
          <w:vertAlign w:val="baseline"/>
        </w:rPr>
        <w:t> </w:t>
      </w:r>
      <w:r>
        <w:rPr>
          <w:sz w:val="18"/>
          <w:vertAlign w:val="baseline"/>
        </w:rPr>
        <w:t>Care”,</w:t>
      </w:r>
      <w:r>
        <w:rPr>
          <w:spacing w:val="-4"/>
          <w:sz w:val="18"/>
          <w:vertAlign w:val="baseline"/>
        </w:rPr>
        <w:t> </w:t>
      </w:r>
      <w:r>
        <w:rPr>
          <w:i/>
          <w:spacing w:val="-2"/>
          <w:sz w:val="18"/>
          <w:vertAlign w:val="baseline"/>
        </w:rPr>
        <w:t>Pediatrics.</w:t>
      </w:r>
    </w:p>
    <w:p>
      <w:pPr>
        <w:spacing w:before="0"/>
        <w:ind w:left="320" w:right="0" w:firstLine="0"/>
        <w:jc w:val="left"/>
        <w:rPr>
          <w:sz w:val="18"/>
        </w:rPr>
      </w:pPr>
      <w:r>
        <w:rPr>
          <w:spacing w:val="-2"/>
          <w:sz w:val="18"/>
        </w:rPr>
        <w:t>https://pubmed.ncbi.nlm.nih.gov/30745432/</w:t>
      </w:r>
    </w:p>
    <w:p>
      <w:pPr>
        <w:spacing w:before="0"/>
        <w:ind w:left="320" w:right="0" w:firstLine="0"/>
        <w:jc w:val="left"/>
        <w:rPr>
          <w:sz w:val="18"/>
        </w:rPr>
      </w:pPr>
      <w:r>
        <w:rPr>
          <w:sz w:val="18"/>
          <w:vertAlign w:val="superscript"/>
        </w:rPr>
        <w:t>65</w:t>
      </w:r>
      <w:r>
        <w:rPr>
          <w:spacing w:val="-3"/>
          <w:sz w:val="18"/>
          <w:vertAlign w:val="baseline"/>
        </w:rPr>
        <w:t> </w:t>
      </w:r>
      <w:r>
        <w:rPr>
          <w:sz w:val="18"/>
          <w:vertAlign w:val="baseline"/>
        </w:rPr>
        <w:t>Gay</w:t>
      </w:r>
      <w:r>
        <w:rPr>
          <w:spacing w:val="-3"/>
          <w:sz w:val="18"/>
          <w:vertAlign w:val="baseline"/>
        </w:rPr>
        <w:t> </w:t>
      </w:r>
      <w:r>
        <w:rPr>
          <w:sz w:val="18"/>
          <w:vertAlign w:val="baseline"/>
        </w:rPr>
        <w:t>and</w:t>
      </w:r>
      <w:r>
        <w:rPr>
          <w:spacing w:val="-3"/>
          <w:sz w:val="18"/>
          <w:vertAlign w:val="baseline"/>
        </w:rPr>
        <w:t> </w:t>
      </w:r>
      <w:r>
        <w:rPr>
          <w:sz w:val="18"/>
          <w:vertAlign w:val="baseline"/>
        </w:rPr>
        <w:t>Lesbian</w:t>
      </w:r>
      <w:r>
        <w:rPr>
          <w:spacing w:val="-3"/>
          <w:sz w:val="18"/>
          <w:vertAlign w:val="baseline"/>
        </w:rPr>
        <w:t> </w:t>
      </w:r>
      <w:r>
        <w:rPr>
          <w:sz w:val="18"/>
          <w:vertAlign w:val="baseline"/>
        </w:rPr>
        <w:t>Independent</w:t>
      </w:r>
      <w:r>
        <w:rPr>
          <w:spacing w:val="-3"/>
          <w:sz w:val="18"/>
          <w:vertAlign w:val="baseline"/>
        </w:rPr>
        <w:t> </w:t>
      </w:r>
      <w:r>
        <w:rPr>
          <w:sz w:val="18"/>
          <w:vertAlign w:val="baseline"/>
        </w:rPr>
        <w:t>School</w:t>
      </w:r>
      <w:r>
        <w:rPr>
          <w:spacing w:val="-3"/>
          <w:sz w:val="18"/>
          <w:vertAlign w:val="baseline"/>
        </w:rPr>
        <w:t> </w:t>
      </w:r>
      <w:r>
        <w:rPr>
          <w:sz w:val="18"/>
          <w:vertAlign w:val="baseline"/>
        </w:rPr>
        <w:t>Teachers</w:t>
      </w:r>
      <w:r>
        <w:rPr>
          <w:spacing w:val="-3"/>
          <w:sz w:val="18"/>
          <w:vertAlign w:val="baseline"/>
        </w:rPr>
        <w:t> </w:t>
      </w:r>
      <w:r>
        <w:rPr>
          <w:sz w:val="18"/>
          <w:vertAlign w:val="baseline"/>
        </w:rPr>
        <w:t>Network.</w:t>
      </w:r>
      <w:r>
        <w:rPr>
          <w:spacing w:val="-3"/>
          <w:sz w:val="18"/>
          <w:vertAlign w:val="baseline"/>
        </w:rPr>
        <w:t> </w:t>
      </w:r>
      <w:r>
        <w:rPr>
          <w:sz w:val="18"/>
          <w:vertAlign w:val="baseline"/>
        </w:rPr>
        <w:t>2021.</w:t>
      </w:r>
      <w:r>
        <w:rPr>
          <w:spacing w:val="-3"/>
          <w:sz w:val="18"/>
          <w:vertAlign w:val="baseline"/>
        </w:rPr>
        <w:t> </w:t>
      </w:r>
      <w:r>
        <w:rPr>
          <w:sz w:val="18"/>
          <w:vertAlign w:val="baseline"/>
        </w:rPr>
        <w:t>“School</w:t>
      </w:r>
      <w:r>
        <w:rPr>
          <w:spacing w:val="-3"/>
          <w:sz w:val="18"/>
          <w:vertAlign w:val="baseline"/>
        </w:rPr>
        <w:t> </w:t>
      </w:r>
      <w:r>
        <w:rPr>
          <w:sz w:val="18"/>
          <w:vertAlign w:val="baseline"/>
        </w:rPr>
        <w:t>Climate</w:t>
      </w:r>
      <w:r>
        <w:rPr>
          <w:spacing w:val="-2"/>
          <w:sz w:val="18"/>
          <w:vertAlign w:val="baseline"/>
        </w:rPr>
        <w:t> </w:t>
      </w:r>
      <w:r>
        <w:rPr>
          <w:sz w:val="18"/>
          <w:vertAlign w:val="baseline"/>
        </w:rPr>
        <w:t>for</w:t>
      </w:r>
      <w:r>
        <w:rPr>
          <w:spacing w:val="-3"/>
          <w:sz w:val="18"/>
          <w:vertAlign w:val="baseline"/>
        </w:rPr>
        <w:t> </w:t>
      </w:r>
      <w:r>
        <w:rPr>
          <w:sz w:val="18"/>
          <w:vertAlign w:val="baseline"/>
        </w:rPr>
        <w:t>LGBTQ</w:t>
      </w:r>
      <w:r>
        <w:rPr>
          <w:spacing w:val="-3"/>
          <w:sz w:val="18"/>
          <w:vertAlign w:val="baseline"/>
        </w:rPr>
        <w:t> </w:t>
      </w:r>
      <w:r>
        <w:rPr>
          <w:sz w:val="18"/>
          <w:vertAlign w:val="baseline"/>
        </w:rPr>
        <w:t>Students</w:t>
      </w:r>
      <w:r>
        <w:rPr>
          <w:spacing w:val="-3"/>
          <w:sz w:val="18"/>
          <w:vertAlign w:val="baseline"/>
        </w:rPr>
        <w:t> </w:t>
      </w:r>
      <w:r>
        <w:rPr>
          <w:sz w:val="18"/>
          <w:vertAlign w:val="baseline"/>
        </w:rPr>
        <w:t>in</w:t>
      </w:r>
      <w:r>
        <w:rPr>
          <w:spacing w:val="-3"/>
          <w:sz w:val="18"/>
          <w:vertAlign w:val="baseline"/>
        </w:rPr>
        <w:t> </w:t>
      </w:r>
      <w:r>
        <w:rPr>
          <w:sz w:val="18"/>
          <w:vertAlign w:val="baseline"/>
        </w:rPr>
        <w:t>Massachusetts”</w:t>
      </w:r>
      <w:r>
        <w:rPr>
          <w:spacing w:val="-3"/>
          <w:sz w:val="18"/>
          <w:vertAlign w:val="baseline"/>
        </w:rPr>
        <w:t> </w:t>
      </w:r>
      <w:r>
        <w:rPr>
          <w:sz w:val="18"/>
          <w:vertAlign w:val="baseline"/>
        </w:rPr>
        <w:t>(New York: GLSEN, 2021),</w:t>
      </w:r>
    </w:p>
    <w:p>
      <w:pPr>
        <w:spacing w:line="219" w:lineRule="exact" w:before="0"/>
        <w:ind w:left="320" w:right="0" w:firstLine="0"/>
        <w:jc w:val="left"/>
        <w:rPr>
          <w:sz w:val="18"/>
        </w:rPr>
      </w:pPr>
      <w:r>
        <w:rPr>
          <w:spacing w:val="-2"/>
          <w:sz w:val="18"/>
        </w:rPr>
        <w:t>https://maps.glsen.org/wp-content/uploads/2023/02/GLSEN_2021_NSCS_State_Snapshots_MA.pdf.</w:t>
      </w:r>
    </w:p>
    <w:p>
      <w:pPr>
        <w:spacing w:before="1"/>
        <w:ind w:left="320" w:right="0" w:firstLine="0"/>
        <w:jc w:val="left"/>
        <w:rPr>
          <w:i/>
          <w:sz w:val="18"/>
        </w:rPr>
      </w:pPr>
      <w:r>
        <w:rPr>
          <w:sz w:val="18"/>
          <w:vertAlign w:val="superscript"/>
        </w:rPr>
        <w:t>66</w:t>
      </w:r>
      <w:r>
        <w:rPr>
          <w:sz w:val="18"/>
          <w:vertAlign w:val="baseline"/>
        </w:rPr>
        <w:t> </w:t>
      </w:r>
      <w:r>
        <w:rPr>
          <w:i/>
          <w:spacing w:val="-5"/>
          <w:sz w:val="18"/>
          <w:vertAlign w:val="baseline"/>
        </w:rPr>
        <w:t>Id.</w:t>
      </w:r>
    </w:p>
    <w:p>
      <w:pPr>
        <w:spacing w:before="0"/>
        <w:ind w:left="320" w:right="0" w:firstLine="0"/>
        <w:jc w:val="left"/>
        <w:rPr>
          <w:i/>
          <w:sz w:val="18"/>
        </w:rPr>
      </w:pPr>
      <w:r>
        <w:rPr>
          <w:sz w:val="18"/>
          <w:vertAlign w:val="superscript"/>
        </w:rPr>
        <w:t>67</w:t>
      </w:r>
      <w:r>
        <w:rPr>
          <w:sz w:val="18"/>
          <w:vertAlign w:val="baseline"/>
        </w:rPr>
        <w:t> </w:t>
      </w:r>
      <w:r>
        <w:rPr>
          <w:i/>
          <w:spacing w:val="-5"/>
          <w:sz w:val="18"/>
          <w:vertAlign w:val="baseline"/>
        </w:rPr>
        <w:t>Id.</w:t>
      </w:r>
    </w:p>
    <w:p>
      <w:pPr>
        <w:spacing w:before="0"/>
        <w:ind w:left="320" w:right="0" w:firstLine="0"/>
        <w:jc w:val="left"/>
        <w:rPr>
          <w:i/>
          <w:sz w:val="18"/>
        </w:rPr>
      </w:pPr>
      <w:r>
        <w:rPr>
          <w:sz w:val="18"/>
          <w:vertAlign w:val="superscript"/>
        </w:rPr>
        <w:t>68</w:t>
      </w:r>
      <w:r>
        <w:rPr>
          <w:sz w:val="18"/>
          <w:vertAlign w:val="baseline"/>
        </w:rPr>
        <w:t> </w:t>
      </w:r>
      <w:r>
        <w:rPr>
          <w:i/>
          <w:spacing w:val="-5"/>
          <w:sz w:val="18"/>
          <w:vertAlign w:val="baseline"/>
        </w:rPr>
        <w:t>Id.</w:t>
      </w:r>
    </w:p>
    <w:p>
      <w:pPr>
        <w:spacing w:before="0"/>
        <w:ind w:left="320" w:right="0" w:firstLine="0"/>
        <w:jc w:val="left"/>
        <w:rPr>
          <w:i/>
          <w:sz w:val="18"/>
        </w:rPr>
      </w:pPr>
      <w:r>
        <w:rPr>
          <w:sz w:val="18"/>
          <w:vertAlign w:val="superscript"/>
        </w:rPr>
        <w:t>69</w:t>
      </w:r>
      <w:r>
        <w:rPr>
          <w:sz w:val="18"/>
          <w:vertAlign w:val="baseline"/>
        </w:rPr>
        <w:t> </w:t>
      </w:r>
      <w:r>
        <w:rPr>
          <w:i/>
          <w:spacing w:val="-5"/>
          <w:sz w:val="18"/>
          <w:vertAlign w:val="baseline"/>
        </w:rPr>
        <w:t>Id.</w:t>
      </w:r>
    </w:p>
    <w:p>
      <w:pPr>
        <w:spacing w:before="0"/>
        <w:ind w:left="320" w:right="0" w:firstLine="0"/>
        <w:jc w:val="left"/>
        <w:rPr>
          <w:i/>
          <w:sz w:val="18"/>
        </w:rPr>
      </w:pPr>
      <w:r>
        <w:rPr>
          <w:sz w:val="18"/>
          <w:vertAlign w:val="superscript"/>
        </w:rPr>
        <w:t>70</w:t>
      </w:r>
      <w:r>
        <w:rPr>
          <w:sz w:val="18"/>
          <w:vertAlign w:val="baseline"/>
        </w:rPr>
        <w:t> </w:t>
      </w:r>
      <w:r>
        <w:rPr>
          <w:i/>
          <w:spacing w:val="-5"/>
          <w:sz w:val="18"/>
          <w:vertAlign w:val="baseline"/>
        </w:rPr>
        <w:t>Id.</w:t>
      </w:r>
    </w:p>
    <w:p>
      <w:pPr>
        <w:spacing w:before="0"/>
        <w:ind w:left="320" w:right="271" w:firstLine="0"/>
        <w:jc w:val="left"/>
        <w:rPr>
          <w:sz w:val="18"/>
        </w:rPr>
      </w:pPr>
      <w:r>
        <w:rPr>
          <w:sz w:val="18"/>
          <w:vertAlign w:val="superscript"/>
        </w:rPr>
        <w:t>71</w:t>
      </w:r>
      <w:r>
        <w:rPr>
          <w:sz w:val="18"/>
          <w:vertAlign w:val="baseline"/>
        </w:rPr>
        <w:t> The Trevor Project. 2023. “2022 National Survey on LGBTQ Youth Mental Health by State.” </w:t>
      </w:r>
      <w:r>
        <w:rPr>
          <w:spacing w:val="-2"/>
          <w:sz w:val="18"/>
          <w:vertAlign w:val="baseline"/>
        </w:rPr>
        <w:t>https://</w:t>
      </w:r>
      <w:hyperlink r:id="rId504">
        <w:r>
          <w:rPr>
            <w:spacing w:val="-2"/>
            <w:sz w:val="18"/>
            <w:vertAlign w:val="baseline"/>
          </w:rPr>
          <w:t>www.thetrevorproject.org/wp-content/uploads/2022/12/The-Trevor-Project-2022-National-Survey-on-LGBTQ-Youth-</w:t>
        </w:r>
      </w:hyperlink>
      <w:r>
        <w:rPr>
          <w:sz w:val="18"/>
          <w:vertAlign w:val="baseline"/>
        </w:rPr>
        <w:t> </w:t>
      </w:r>
      <w:r>
        <w:rPr>
          <w:spacing w:val="-2"/>
          <w:sz w:val="18"/>
          <w:vertAlign w:val="baseline"/>
        </w:rPr>
        <w:t>Mental-Health-by-State.pdf</w:t>
      </w:r>
    </w:p>
    <w:p>
      <w:pPr>
        <w:spacing w:line="219" w:lineRule="exact" w:before="0"/>
        <w:ind w:left="320" w:right="0" w:firstLine="0"/>
        <w:jc w:val="left"/>
        <w:rPr>
          <w:i/>
          <w:sz w:val="18"/>
        </w:rPr>
      </w:pPr>
      <w:r>
        <w:rPr>
          <w:sz w:val="18"/>
          <w:vertAlign w:val="superscript"/>
        </w:rPr>
        <w:t>72</w:t>
      </w:r>
      <w:r>
        <w:rPr>
          <w:sz w:val="18"/>
          <w:vertAlign w:val="baseline"/>
        </w:rPr>
        <w:t> </w:t>
      </w:r>
      <w:r>
        <w:rPr>
          <w:i/>
          <w:spacing w:val="-5"/>
          <w:sz w:val="18"/>
          <w:vertAlign w:val="baseline"/>
        </w:rPr>
        <w:t>Id.</w:t>
      </w:r>
    </w:p>
    <w:p>
      <w:pPr>
        <w:spacing w:before="0"/>
        <w:ind w:left="320" w:right="0" w:firstLine="0"/>
        <w:jc w:val="left"/>
        <w:rPr>
          <w:sz w:val="18"/>
        </w:rPr>
      </w:pPr>
      <w:r>
        <w:rPr>
          <w:sz w:val="18"/>
          <w:vertAlign w:val="superscript"/>
        </w:rPr>
        <w:t>73</w:t>
      </w:r>
      <w:r>
        <w:rPr>
          <w:spacing w:val="-2"/>
          <w:sz w:val="18"/>
          <w:vertAlign w:val="baseline"/>
        </w:rPr>
        <w:t> </w:t>
      </w:r>
      <w:r>
        <w:rPr>
          <w:sz w:val="18"/>
          <w:vertAlign w:val="baseline"/>
        </w:rPr>
        <w:t>Gay</w:t>
      </w:r>
      <w:r>
        <w:rPr>
          <w:spacing w:val="-2"/>
          <w:sz w:val="18"/>
          <w:vertAlign w:val="baseline"/>
        </w:rPr>
        <w:t> </w:t>
      </w:r>
      <w:r>
        <w:rPr>
          <w:sz w:val="18"/>
          <w:vertAlign w:val="baseline"/>
        </w:rPr>
        <w:t>and</w:t>
      </w:r>
      <w:r>
        <w:rPr>
          <w:spacing w:val="-2"/>
          <w:sz w:val="18"/>
          <w:vertAlign w:val="baseline"/>
        </w:rPr>
        <w:t> </w:t>
      </w:r>
      <w:r>
        <w:rPr>
          <w:sz w:val="18"/>
          <w:vertAlign w:val="baseline"/>
        </w:rPr>
        <w:t>Lesbian</w:t>
      </w:r>
      <w:r>
        <w:rPr>
          <w:spacing w:val="-2"/>
          <w:sz w:val="18"/>
          <w:vertAlign w:val="baseline"/>
        </w:rPr>
        <w:t> </w:t>
      </w:r>
      <w:r>
        <w:rPr>
          <w:sz w:val="18"/>
          <w:vertAlign w:val="baseline"/>
        </w:rPr>
        <w:t>School</w:t>
      </w:r>
      <w:r>
        <w:rPr>
          <w:spacing w:val="-3"/>
          <w:sz w:val="18"/>
          <w:vertAlign w:val="baseline"/>
        </w:rPr>
        <w:t> </w:t>
      </w:r>
      <w:r>
        <w:rPr>
          <w:sz w:val="18"/>
          <w:vertAlign w:val="baseline"/>
        </w:rPr>
        <w:t>Educators</w:t>
      </w:r>
      <w:r>
        <w:rPr>
          <w:spacing w:val="-2"/>
          <w:sz w:val="18"/>
          <w:vertAlign w:val="baseline"/>
        </w:rPr>
        <w:t> </w:t>
      </w:r>
      <w:r>
        <w:rPr>
          <w:sz w:val="18"/>
          <w:vertAlign w:val="baseline"/>
        </w:rPr>
        <w:t>Network,</w:t>
      </w:r>
      <w:r>
        <w:rPr>
          <w:spacing w:val="-3"/>
          <w:sz w:val="18"/>
          <w:vertAlign w:val="baseline"/>
        </w:rPr>
        <w:t> </w:t>
      </w:r>
      <w:r>
        <w:rPr>
          <w:sz w:val="18"/>
          <w:vertAlign w:val="baseline"/>
        </w:rPr>
        <w:t>2023.</w:t>
      </w:r>
      <w:r>
        <w:rPr>
          <w:spacing w:val="-2"/>
          <w:sz w:val="18"/>
          <w:vertAlign w:val="baseline"/>
        </w:rPr>
        <w:t> </w:t>
      </w:r>
      <w:r>
        <w:rPr>
          <w:sz w:val="18"/>
          <w:vertAlign w:val="baseline"/>
        </w:rPr>
        <w:t>School</w:t>
      </w:r>
      <w:r>
        <w:rPr>
          <w:spacing w:val="-3"/>
          <w:sz w:val="18"/>
          <w:vertAlign w:val="baseline"/>
        </w:rPr>
        <w:t> </w:t>
      </w:r>
      <w:r>
        <w:rPr>
          <w:sz w:val="18"/>
          <w:vertAlign w:val="baseline"/>
        </w:rPr>
        <w:t>Climate</w:t>
      </w:r>
      <w:r>
        <w:rPr>
          <w:spacing w:val="-2"/>
          <w:sz w:val="18"/>
          <w:vertAlign w:val="baseline"/>
        </w:rPr>
        <w:t> </w:t>
      </w:r>
      <w:r>
        <w:rPr>
          <w:sz w:val="18"/>
          <w:vertAlign w:val="baseline"/>
        </w:rPr>
        <w:t>for</w:t>
      </w:r>
      <w:r>
        <w:rPr>
          <w:spacing w:val="-3"/>
          <w:sz w:val="18"/>
          <w:vertAlign w:val="baseline"/>
        </w:rPr>
        <w:t> </w:t>
      </w:r>
      <w:r>
        <w:rPr>
          <w:sz w:val="18"/>
          <w:vertAlign w:val="baseline"/>
        </w:rPr>
        <w:t>LGBTQ</w:t>
      </w:r>
      <w:r>
        <w:rPr>
          <w:spacing w:val="-2"/>
          <w:sz w:val="18"/>
          <w:vertAlign w:val="baseline"/>
        </w:rPr>
        <w:t> </w:t>
      </w:r>
      <w:r>
        <w:rPr>
          <w:sz w:val="18"/>
          <w:vertAlign w:val="baseline"/>
        </w:rPr>
        <w:t>Students</w:t>
      </w:r>
      <w:r>
        <w:rPr>
          <w:spacing w:val="-2"/>
          <w:sz w:val="18"/>
          <w:vertAlign w:val="baseline"/>
        </w:rPr>
        <w:t> </w:t>
      </w:r>
      <w:r>
        <w:rPr>
          <w:sz w:val="18"/>
          <w:vertAlign w:val="baseline"/>
        </w:rPr>
        <w:t>in</w:t>
      </w:r>
      <w:r>
        <w:rPr>
          <w:spacing w:val="-2"/>
          <w:sz w:val="18"/>
          <w:vertAlign w:val="baseline"/>
        </w:rPr>
        <w:t> </w:t>
      </w:r>
      <w:r>
        <w:rPr>
          <w:sz w:val="18"/>
          <w:vertAlign w:val="baseline"/>
        </w:rPr>
        <w:t>Massachusetts</w:t>
      </w:r>
      <w:r>
        <w:rPr>
          <w:spacing w:val="-3"/>
          <w:sz w:val="18"/>
          <w:vertAlign w:val="baseline"/>
        </w:rPr>
        <w:t> </w:t>
      </w:r>
      <w:r>
        <w:rPr>
          <w:sz w:val="18"/>
          <w:vertAlign w:val="baseline"/>
        </w:rPr>
        <w:t>(New</w:t>
      </w:r>
      <w:r>
        <w:rPr>
          <w:spacing w:val="-3"/>
          <w:sz w:val="18"/>
          <w:vertAlign w:val="baseline"/>
        </w:rPr>
        <w:t> </w:t>
      </w:r>
      <w:r>
        <w:rPr>
          <w:sz w:val="18"/>
          <w:vertAlign w:val="baseline"/>
        </w:rPr>
        <w:t>York:</w:t>
      </w:r>
      <w:r>
        <w:rPr>
          <w:spacing w:val="-2"/>
          <w:sz w:val="18"/>
          <w:vertAlign w:val="baseline"/>
        </w:rPr>
        <w:t> </w:t>
      </w:r>
      <w:r>
        <w:rPr>
          <w:sz w:val="18"/>
          <w:vertAlign w:val="baseline"/>
        </w:rPr>
        <w:t>GLSEN, </w:t>
      </w:r>
      <w:r>
        <w:rPr>
          <w:spacing w:val="-2"/>
          <w:sz w:val="18"/>
          <w:vertAlign w:val="baseline"/>
        </w:rPr>
        <w:t>2021),</w:t>
      </w:r>
    </w:p>
    <w:p>
      <w:pPr>
        <w:spacing w:before="0"/>
        <w:ind w:left="320" w:right="0" w:firstLine="0"/>
        <w:jc w:val="left"/>
        <w:rPr>
          <w:sz w:val="18"/>
        </w:rPr>
      </w:pPr>
      <w:r>
        <w:rPr>
          <w:spacing w:val="-2"/>
          <w:sz w:val="18"/>
        </w:rPr>
        <w:t>https://maps.glsen.org/wp-content/uploads/2023/02/GLSEN_2021_NSCS_State_Snapshots_MA.pdf.</w:t>
      </w:r>
    </w:p>
    <w:p>
      <w:pPr>
        <w:spacing w:before="0"/>
        <w:ind w:left="320" w:right="329" w:firstLine="0"/>
        <w:jc w:val="left"/>
        <w:rPr>
          <w:sz w:val="18"/>
        </w:rPr>
      </w:pPr>
      <w:r>
        <w:rPr>
          <w:sz w:val="18"/>
          <w:vertAlign w:val="superscript"/>
        </w:rPr>
        <w:t>74</w:t>
      </w:r>
      <w:r>
        <w:rPr>
          <w:sz w:val="18"/>
          <w:vertAlign w:val="baseline"/>
        </w:rPr>
        <w:t> Palmer, Neal A.</w:t>
      </w:r>
      <w:r>
        <w:rPr>
          <w:spacing w:val="40"/>
          <w:sz w:val="18"/>
          <w:vertAlign w:val="baseline"/>
        </w:rPr>
        <w:t> </w:t>
      </w:r>
      <w:r>
        <w:rPr>
          <w:sz w:val="18"/>
          <w:vertAlign w:val="baseline"/>
        </w:rPr>
        <w:t>and Emily A. Greytak. 2017. “LGBTQ Student Victimization and Its Relationship to School Discipline and Justice</w:t>
      </w:r>
      <w:r>
        <w:rPr>
          <w:spacing w:val="-5"/>
          <w:sz w:val="18"/>
          <w:vertAlign w:val="baseline"/>
        </w:rPr>
        <w:t> </w:t>
      </w:r>
      <w:r>
        <w:rPr>
          <w:sz w:val="18"/>
          <w:vertAlign w:val="baseline"/>
        </w:rPr>
        <w:t>System</w:t>
      </w:r>
      <w:r>
        <w:rPr>
          <w:spacing w:val="-6"/>
          <w:sz w:val="18"/>
          <w:vertAlign w:val="baseline"/>
        </w:rPr>
        <w:t> </w:t>
      </w:r>
      <w:r>
        <w:rPr>
          <w:sz w:val="18"/>
          <w:vertAlign w:val="baseline"/>
        </w:rPr>
        <w:t>Involvement”.</w:t>
      </w:r>
      <w:r>
        <w:rPr>
          <w:spacing w:val="-6"/>
          <w:sz w:val="18"/>
          <w:vertAlign w:val="baseline"/>
        </w:rPr>
        <w:t> </w:t>
      </w:r>
      <w:r>
        <w:rPr>
          <w:i/>
          <w:sz w:val="18"/>
          <w:vertAlign w:val="baseline"/>
        </w:rPr>
        <w:t>Criminal</w:t>
      </w:r>
      <w:r>
        <w:rPr>
          <w:i/>
          <w:spacing w:val="-6"/>
          <w:sz w:val="18"/>
          <w:vertAlign w:val="baseline"/>
        </w:rPr>
        <w:t> </w:t>
      </w:r>
      <w:r>
        <w:rPr>
          <w:i/>
          <w:sz w:val="18"/>
          <w:vertAlign w:val="baseline"/>
        </w:rPr>
        <w:t>Justice</w:t>
      </w:r>
      <w:r>
        <w:rPr>
          <w:i/>
          <w:spacing w:val="-5"/>
          <w:sz w:val="18"/>
          <w:vertAlign w:val="baseline"/>
        </w:rPr>
        <w:t> </w:t>
      </w:r>
      <w:r>
        <w:rPr>
          <w:i/>
          <w:sz w:val="18"/>
          <w:vertAlign w:val="baseline"/>
        </w:rPr>
        <w:t>Review</w:t>
      </w:r>
      <w:r>
        <w:rPr>
          <w:sz w:val="18"/>
          <w:vertAlign w:val="baseline"/>
        </w:rPr>
        <w:t>.</w:t>
      </w:r>
      <w:r>
        <w:rPr>
          <w:spacing w:val="-6"/>
          <w:sz w:val="18"/>
          <w:vertAlign w:val="baseline"/>
        </w:rPr>
        <w:t> </w:t>
      </w:r>
      <w:r>
        <w:rPr>
          <w:sz w:val="18"/>
          <w:vertAlign w:val="baseline"/>
        </w:rPr>
        <w:t>2017.</w:t>
      </w:r>
      <w:r>
        <w:rPr>
          <w:spacing w:val="-5"/>
          <w:sz w:val="18"/>
          <w:vertAlign w:val="baseline"/>
        </w:rPr>
        <w:t> </w:t>
      </w:r>
      <w:r>
        <w:rPr>
          <w:sz w:val="18"/>
          <w:vertAlign w:val="baseline"/>
        </w:rPr>
        <w:t>https://journals.sagepub.com/doi/10.1177/0734016817704698 </w:t>
      </w:r>
      <w:r>
        <w:rPr>
          <w:sz w:val="18"/>
          <w:vertAlign w:val="superscript"/>
        </w:rPr>
        <w:t>75</w:t>
      </w:r>
      <w:r>
        <w:rPr>
          <w:sz w:val="18"/>
          <w:vertAlign w:val="baseline"/>
        </w:rPr>
        <w:t> Herman, James, S.E., ,</w:t>
      </w:r>
      <w:r>
        <w:rPr>
          <w:spacing w:val="40"/>
          <w:sz w:val="18"/>
          <w:vertAlign w:val="baseline"/>
        </w:rPr>
        <w:t> </w:t>
      </w:r>
      <w:r>
        <w:rPr>
          <w:sz w:val="18"/>
          <w:vertAlign w:val="baseline"/>
        </w:rPr>
        <w:t>J.L., Durso, L.E., &amp; Heng-Lehtinen, R. 2024. “Early Insights: A Report of the 2022 U.S. Transgender Survey”. National Center for Transgender Equality, Washington, DC.</w:t>
      </w:r>
    </w:p>
    <w:p>
      <w:pPr>
        <w:spacing w:line="219" w:lineRule="exact" w:before="0"/>
        <w:ind w:left="320" w:right="0" w:firstLine="0"/>
        <w:jc w:val="left"/>
        <w:rPr>
          <w:i/>
          <w:sz w:val="18"/>
        </w:rPr>
      </w:pPr>
      <w:r>
        <w:rPr>
          <w:sz w:val="18"/>
          <w:vertAlign w:val="superscript"/>
        </w:rPr>
        <w:t>76</w:t>
      </w:r>
      <w:r>
        <w:rPr>
          <w:sz w:val="18"/>
          <w:vertAlign w:val="baseline"/>
        </w:rPr>
        <w:t> </w:t>
      </w:r>
      <w:r>
        <w:rPr>
          <w:i/>
          <w:spacing w:val="-5"/>
          <w:sz w:val="18"/>
          <w:vertAlign w:val="baseline"/>
        </w:rPr>
        <w:t>Id.</w:t>
      </w:r>
    </w:p>
    <w:p>
      <w:pPr>
        <w:spacing w:before="0"/>
        <w:ind w:left="320" w:right="405" w:hanging="1"/>
        <w:jc w:val="left"/>
        <w:rPr>
          <w:sz w:val="18"/>
        </w:rPr>
      </w:pPr>
      <w:r>
        <w:rPr>
          <w:sz w:val="18"/>
          <w:vertAlign w:val="superscript"/>
        </w:rPr>
        <w:t>77</w:t>
      </w:r>
      <w:r>
        <w:rPr>
          <w:spacing w:val="-3"/>
          <w:sz w:val="18"/>
          <w:vertAlign w:val="baseline"/>
        </w:rPr>
        <w:t> </w:t>
      </w:r>
      <w:r>
        <w:rPr>
          <w:sz w:val="18"/>
          <w:vertAlign w:val="baseline"/>
        </w:rPr>
        <w:t>Nance,</w:t>
      </w:r>
      <w:r>
        <w:rPr>
          <w:spacing w:val="-3"/>
          <w:sz w:val="18"/>
          <w:vertAlign w:val="baseline"/>
        </w:rPr>
        <w:t> </w:t>
      </w:r>
      <w:r>
        <w:rPr>
          <w:sz w:val="18"/>
          <w:vertAlign w:val="baseline"/>
        </w:rPr>
        <w:t>J.P.</w:t>
      </w:r>
      <w:r>
        <w:rPr>
          <w:spacing w:val="-3"/>
          <w:sz w:val="18"/>
          <w:vertAlign w:val="baseline"/>
        </w:rPr>
        <w:t> </w:t>
      </w:r>
      <w:r>
        <w:rPr>
          <w:sz w:val="18"/>
          <w:vertAlign w:val="baseline"/>
        </w:rPr>
        <w:t>2016.</w:t>
      </w:r>
      <w:r>
        <w:rPr>
          <w:spacing w:val="-3"/>
          <w:sz w:val="18"/>
          <w:vertAlign w:val="baseline"/>
        </w:rPr>
        <w:t> </w:t>
      </w:r>
      <w:r>
        <w:rPr>
          <w:sz w:val="18"/>
          <w:vertAlign w:val="baseline"/>
        </w:rPr>
        <w:t>“Students,</w:t>
      </w:r>
      <w:r>
        <w:rPr>
          <w:spacing w:val="-3"/>
          <w:sz w:val="18"/>
          <w:vertAlign w:val="baseline"/>
        </w:rPr>
        <w:t> </w:t>
      </w:r>
      <w:r>
        <w:rPr>
          <w:sz w:val="18"/>
          <w:vertAlign w:val="baseline"/>
        </w:rPr>
        <w:t>Police,</w:t>
      </w:r>
      <w:r>
        <w:rPr>
          <w:spacing w:val="-3"/>
          <w:sz w:val="18"/>
          <w:vertAlign w:val="baseline"/>
        </w:rPr>
        <w:t> </w:t>
      </w:r>
      <w:r>
        <w:rPr>
          <w:sz w:val="18"/>
          <w:vertAlign w:val="baseline"/>
        </w:rPr>
        <w:t>and</w:t>
      </w:r>
      <w:r>
        <w:rPr>
          <w:spacing w:val="-3"/>
          <w:sz w:val="18"/>
          <w:vertAlign w:val="baseline"/>
        </w:rPr>
        <w:t> </w:t>
      </w:r>
      <w:r>
        <w:rPr>
          <w:sz w:val="18"/>
          <w:vertAlign w:val="baseline"/>
        </w:rPr>
        <w:t>the</w:t>
      </w:r>
      <w:r>
        <w:rPr>
          <w:spacing w:val="-3"/>
          <w:sz w:val="18"/>
          <w:vertAlign w:val="baseline"/>
        </w:rPr>
        <w:t> </w:t>
      </w:r>
      <w:r>
        <w:rPr>
          <w:sz w:val="18"/>
          <w:vertAlign w:val="baseline"/>
        </w:rPr>
        <w:t>School-to-Prison</w:t>
      </w:r>
      <w:r>
        <w:rPr>
          <w:spacing w:val="-3"/>
          <w:sz w:val="18"/>
          <w:vertAlign w:val="baseline"/>
        </w:rPr>
        <w:t> </w:t>
      </w:r>
      <w:r>
        <w:rPr>
          <w:sz w:val="18"/>
          <w:vertAlign w:val="baseline"/>
        </w:rPr>
        <w:t>Pipeline”.</w:t>
      </w:r>
      <w:r>
        <w:rPr>
          <w:spacing w:val="-3"/>
          <w:sz w:val="18"/>
          <w:vertAlign w:val="baseline"/>
        </w:rPr>
        <w:t> </w:t>
      </w:r>
      <w:r>
        <w:rPr>
          <w:i/>
          <w:sz w:val="18"/>
          <w:vertAlign w:val="baseline"/>
        </w:rPr>
        <w:t>Washington</w:t>
      </w:r>
      <w:r>
        <w:rPr>
          <w:i/>
          <w:spacing w:val="-3"/>
          <w:sz w:val="18"/>
          <w:vertAlign w:val="baseline"/>
        </w:rPr>
        <w:t> </w:t>
      </w:r>
      <w:r>
        <w:rPr>
          <w:i/>
          <w:sz w:val="18"/>
          <w:vertAlign w:val="baseline"/>
        </w:rPr>
        <w:t>University</w:t>
      </w:r>
      <w:r>
        <w:rPr>
          <w:i/>
          <w:spacing w:val="-3"/>
          <w:sz w:val="18"/>
          <w:vertAlign w:val="baseline"/>
        </w:rPr>
        <w:t> </w:t>
      </w:r>
      <w:r>
        <w:rPr>
          <w:i/>
          <w:sz w:val="18"/>
          <w:vertAlign w:val="baseline"/>
        </w:rPr>
        <w:t>Law</w:t>
      </w:r>
      <w:r>
        <w:rPr>
          <w:i/>
          <w:spacing w:val="-3"/>
          <w:sz w:val="18"/>
          <w:vertAlign w:val="baseline"/>
        </w:rPr>
        <w:t> </w:t>
      </w:r>
      <w:r>
        <w:rPr>
          <w:i/>
          <w:sz w:val="18"/>
          <w:vertAlign w:val="baseline"/>
        </w:rPr>
        <w:t>Review</w:t>
      </w:r>
      <w:r>
        <w:rPr>
          <w:sz w:val="18"/>
          <w:vertAlign w:val="baseline"/>
        </w:rPr>
        <w:t>,</w:t>
      </w:r>
      <w:r>
        <w:rPr>
          <w:spacing w:val="-3"/>
          <w:sz w:val="18"/>
          <w:vertAlign w:val="baseline"/>
        </w:rPr>
        <w:t> </w:t>
      </w:r>
      <w:r>
        <w:rPr>
          <w:sz w:val="18"/>
          <w:vertAlign w:val="baseline"/>
        </w:rPr>
        <w:t>968,</w:t>
      </w:r>
      <w:r>
        <w:rPr>
          <w:spacing w:val="-3"/>
          <w:sz w:val="18"/>
          <w:vertAlign w:val="baseline"/>
        </w:rPr>
        <w:t> </w:t>
      </w:r>
      <w:r>
        <w:rPr>
          <w:sz w:val="18"/>
          <w:vertAlign w:val="baseline"/>
        </w:rPr>
        <w:t>available at</w:t>
      </w:r>
      <w:r>
        <w:rPr>
          <w:spacing w:val="-2"/>
          <w:sz w:val="18"/>
          <w:vertAlign w:val="baseline"/>
        </w:rPr>
        <w:t> </w:t>
      </w:r>
      <w:hyperlink r:id="rId505">
        <w:r>
          <w:rPr>
            <w:sz w:val="18"/>
            <w:u w:val="single"/>
            <w:vertAlign w:val="baseline"/>
          </w:rPr>
          <w:t>https://papers.ssrn.com/sol3/papers.cfm?abstract_id=2577333</w:t>
        </w:r>
        <w:r>
          <w:rPr>
            <w:sz w:val="18"/>
            <w:u w:val="none"/>
            <w:vertAlign w:val="baseline"/>
          </w:rPr>
          <w:t>.</w:t>
        </w:r>
      </w:hyperlink>
    </w:p>
    <w:p>
      <w:pPr>
        <w:spacing w:before="1"/>
        <w:ind w:left="320" w:right="570" w:firstLine="0"/>
        <w:jc w:val="left"/>
        <w:rPr>
          <w:sz w:val="18"/>
        </w:rPr>
      </w:pPr>
      <w:r>
        <w:rPr>
          <w:sz w:val="18"/>
          <w:vertAlign w:val="superscript"/>
        </w:rPr>
        <w:t>78</w:t>
      </w:r>
      <w:r>
        <w:rPr>
          <w:spacing w:val="-3"/>
          <w:sz w:val="18"/>
          <w:vertAlign w:val="baseline"/>
        </w:rPr>
        <w:t> </w:t>
      </w:r>
      <w:r>
        <w:rPr>
          <w:sz w:val="18"/>
          <w:vertAlign w:val="baseline"/>
        </w:rPr>
        <w:t>American</w:t>
      </w:r>
      <w:r>
        <w:rPr>
          <w:spacing w:val="-3"/>
          <w:sz w:val="18"/>
          <w:vertAlign w:val="baseline"/>
        </w:rPr>
        <w:t> </w:t>
      </w:r>
      <w:r>
        <w:rPr>
          <w:sz w:val="18"/>
          <w:vertAlign w:val="baseline"/>
        </w:rPr>
        <w:t>Civil</w:t>
      </w:r>
      <w:r>
        <w:rPr>
          <w:spacing w:val="-4"/>
          <w:sz w:val="18"/>
          <w:vertAlign w:val="baseline"/>
        </w:rPr>
        <w:t> </w:t>
      </w:r>
      <w:r>
        <w:rPr>
          <w:sz w:val="18"/>
          <w:vertAlign w:val="baseline"/>
        </w:rPr>
        <w:t>Liberties</w:t>
      </w:r>
      <w:r>
        <w:rPr>
          <w:spacing w:val="-3"/>
          <w:sz w:val="18"/>
          <w:vertAlign w:val="baseline"/>
        </w:rPr>
        <w:t> </w:t>
      </w:r>
      <w:r>
        <w:rPr>
          <w:sz w:val="18"/>
          <w:vertAlign w:val="baseline"/>
        </w:rPr>
        <w:t>Union,</w:t>
      </w:r>
      <w:r>
        <w:rPr>
          <w:spacing w:val="-4"/>
          <w:sz w:val="18"/>
          <w:vertAlign w:val="baseline"/>
        </w:rPr>
        <w:t> </w:t>
      </w:r>
      <w:r>
        <w:rPr>
          <w:sz w:val="18"/>
          <w:vertAlign w:val="baseline"/>
        </w:rPr>
        <w:t>2008.</w:t>
      </w:r>
      <w:r>
        <w:rPr>
          <w:spacing w:val="-3"/>
          <w:sz w:val="18"/>
          <w:vertAlign w:val="baseline"/>
        </w:rPr>
        <w:t> </w:t>
      </w:r>
      <w:r>
        <w:rPr>
          <w:sz w:val="18"/>
          <w:vertAlign w:val="baseline"/>
        </w:rPr>
        <w:t>“What</w:t>
      </w:r>
      <w:r>
        <w:rPr>
          <w:spacing w:val="-4"/>
          <w:sz w:val="18"/>
          <w:vertAlign w:val="baseline"/>
        </w:rPr>
        <w:t> </w:t>
      </w:r>
      <w:r>
        <w:rPr>
          <w:sz w:val="18"/>
          <w:vertAlign w:val="baseline"/>
        </w:rPr>
        <w:t>is</w:t>
      </w:r>
      <w:r>
        <w:rPr>
          <w:spacing w:val="-3"/>
          <w:sz w:val="18"/>
          <w:vertAlign w:val="baseline"/>
        </w:rPr>
        <w:t> </w:t>
      </w:r>
      <w:r>
        <w:rPr>
          <w:sz w:val="18"/>
          <w:vertAlign w:val="baseline"/>
        </w:rPr>
        <w:t>the</w:t>
      </w:r>
      <w:r>
        <w:rPr>
          <w:spacing w:val="-3"/>
          <w:sz w:val="18"/>
          <w:vertAlign w:val="baseline"/>
        </w:rPr>
        <w:t> </w:t>
      </w:r>
      <w:r>
        <w:rPr>
          <w:sz w:val="18"/>
          <w:vertAlign w:val="baseline"/>
        </w:rPr>
        <w:t>School-to-Prison</w:t>
      </w:r>
      <w:r>
        <w:rPr>
          <w:spacing w:val="-3"/>
          <w:sz w:val="18"/>
          <w:vertAlign w:val="baseline"/>
        </w:rPr>
        <w:t> </w:t>
      </w:r>
      <w:r>
        <w:rPr>
          <w:sz w:val="18"/>
          <w:vertAlign w:val="baseline"/>
        </w:rPr>
        <w:t>Pipeline?”,</w:t>
      </w:r>
      <w:r>
        <w:rPr>
          <w:spacing w:val="-4"/>
          <w:sz w:val="18"/>
          <w:vertAlign w:val="baseline"/>
        </w:rPr>
        <w:t> </w:t>
      </w:r>
      <w:hyperlink r:id="rId506">
        <w:r>
          <w:rPr>
            <w:sz w:val="18"/>
            <w:u w:val="single"/>
            <w:vertAlign w:val="baseline"/>
          </w:rPr>
          <w:t>https://www.aclu.org/documents/what-</w:t>
        </w:r>
      </w:hyperlink>
      <w:r>
        <w:rPr>
          <w:sz w:val="18"/>
          <w:u w:val="none"/>
          <w:vertAlign w:val="baseline"/>
        </w:rPr>
        <w:t> </w:t>
      </w:r>
      <w:hyperlink r:id="rId506">
        <w:r>
          <w:rPr>
            <w:spacing w:val="-2"/>
            <w:sz w:val="18"/>
            <w:u w:val="single"/>
            <w:vertAlign w:val="baseline"/>
          </w:rPr>
          <w:t>school-prison-pipeline</w:t>
        </w:r>
        <w:r>
          <w:rPr>
            <w:spacing w:val="-2"/>
            <w:sz w:val="18"/>
            <w:u w:val="none"/>
            <w:vertAlign w:val="baseline"/>
          </w:rPr>
          <w:t>.</w:t>
        </w:r>
      </w:hyperlink>
    </w:p>
    <w:p>
      <w:pPr>
        <w:spacing w:before="0"/>
        <w:ind w:left="320" w:right="392" w:firstLine="0"/>
        <w:jc w:val="left"/>
        <w:rPr>
          <w:sz w:val="18"/>
        </w:rPr>
      </w:pPr>
      <w:r>
        <w:rPr>
          <w:sz w:val="18"/>
          <w:vertAlign w:val="superscript"/>
        </w:rPr>
        <w:t>79</w:t>
      </w:r>
      <w:r>
        <w:rPr>
          <w:sz w:val="18"/>
          <w:vertAlign w:val="baseline"/>
        </w:rPr>
        <w:t> Snapp, Shannon D. , Jennifer M Hoenig and Stephen T. Russell. 2014. “Messy, Butch, and Queer: LGBTQ Youth and the School-to-Prison</w:t>
      </w:r>
      <w:r>
        <w:rPr>
          <w:spacing w:val="-4"/>
          <w:sz w:val="18"/>
          <w:vertAlign w:val="baseline"/>
        </w:rPr>
        <w:t> </w:t>
      </w:r>
      <w:r>
        <w:rPr>
          <w:sz w:val="18"/>
          <w:vertAlign w:val="baseline"/>
        </w:rPr>
        <w:t>Pipeline”,</w:t>
      </w:r>
      <w:r>
        <w:rPr>
          <w:spacing w:val="-6"/>
          <w:sz w:val="18"/>
          <w:vertAlign w:val="baseline"/>
        </w:rPr>
        <w:t> </w:t>
      </w:r>
      <w:r>
        <w:rPr>
          <w:i/>
          <w:sz w:val="18"/>
          <w:vertAlign w:val="baseline"/>
        </w:rPr>
        <w:t>Journal</w:t>
      </w:r>
      <w:r>
        <w:rPr>
          <w:i/>
          <w:spacing w:val="-6"/>
          <w:sz w:val="18"/>
          <w:vertAlign w:val="baseline"/>
        </w:rPr>
        <w:t> </w:t>
      </w:r>
      <w:r>
        <w:rPr>
          <w:i/>
          <w:sz w:val="18"/>
          <w:vertAlign w:val="baseline"/>
        </w:rPr>
        <w:t>of</w:t>
      </w:r>
      <w:r>
        <w:rPr>
          <w:i/>
          <w:spacing w:val="-5"/>
          <w:sz w:val="18"/>
          <w:vertAlign w:val="baseline"/>
        </w:rPr>
        <w:t> </w:t>
      </w:r>
      <w:r>
        <w:rPr>
          <w:i/>
          <w:sz w:val="18"/>
          <w:vertAlign w:val="baseline"/>
        </w:rPr>
        <w:t>Adolescent</w:t>
      </w:r>
      <w:r>
        <w:rPr>
          <w:i/>
          <w:spacing w:val="-4"/>
          <w:sz w:val="18"/>
          <w:vertAlign w:val="baseline"/>
        </w:rPr>
        <w:t> </w:t>
      </w:r>
      <w:r>
        <w:rPr>
          <w:i/>
          <w:sz w:val="18"/>
          <w:vertAlign w:val="baseline"/>
        </w:rPr>
        <w:t>Research</w:t>
      </w:r>
      <w:r>
        <w:rPr>
          <w:sz w:val="18"/>
          <w:vertAlign w:val="baseline"/>
        </w:rPr>
        <w:t>.</w:t>
      </w:r>
      <w:r>
        <w:rPr>
          <w:spacing w:val="-5"/>
          <w:sz w:val="18"/>
          <w:vertAlign w:val="baseline"/>
        </w:rPr>
        <w:t> </w:t>
      </w:r>
      <w:hyperlink r:id="rId507">
        <w:r>
          <w:rPr>
            <w:sz w:val="18"/>
            <w:u w:val="single"/>
            <w:vertAlign w:val="baseline"/>
          </w:rPr>
          <w:t>https://journals.sagepub.com/doi/10.1177/0743558414557625</w:t>
        </w:r>
        <w:r>
          <w:rPr>
            <w:sz w:val="18"/>
            <w:u w:val="none"/>
            <w:vertAlign w:val="baseline"/>
          </w:rPr>
          <w:t>.</w:t>
        </w:r>
      </w:hyperlink>
      <w:r>
        <w:rPr>
          <w:sz w:val="18"/>
          <w:u w:val="none"/>
          <w:vertAlign w:val="baseline"/>
        </w:rPr>
        <w:t> </w:t>
      </w:r>
      <w:r>
        <w:rPr>
          <w:sz w:val="18"/>
          <w:u w:val="none"/>
          <w:vertAlign w:val="superscript"/>
        </w:rPr>
        <w:t>80</w:t>
      </w:r>
      <w:r>
        <w:rPr>
          <w:sz w:val="18"/>
          <w:u w:val="none"/>
          <w:vertAlign w:val="baseline"/>
        </w:rPr>
        <w:t> Global Network of Sex Work Projects, 2021. “Conflation of Sex Work and Trafficking”. </w:t>
      </w:r>
      <w:r>
        <w:rPr>
          <w:spacing w:val="-2"/>
          <w:sz w:val="18"/>
          <w:u w:val="none"/>
          <w:vertAlign w:val="baseline"/>
        </w:rPr>
        <w:t>https:</w:t>
      </w:r>
      <w:hyperlink r:id="rId508">
        <w:r>
          <w:rPr>
            <w:spacing w:val="-2"/>
            <w:sz w:val="18"/>
            <w:u w:val="none"/>
            <w:vertAlign w:val="baseline"/>
          </w:rPr>
          <w:t>//www.nswp.org/sites/default/files/nswp_written_statement_-_hlm_on_trafficking_in_persons_november_2021.pdf</w:t>
        </w:r>
      </w:hyperlink>
      <w:r>
        <w:rPr>
          <w:spacing w:val="40"/>
          <w:sz w:val="18"/>
          <w:u w:val="none"/>
          <w:vertAlign w:val="baseline"/>
        </w:rPr>
        <w:t>  </w:t>
      </w:r>
      <w:r>
        <w:rPr>
          <w:sz w:val="18"/>
          <w:u w:val="none"/>
          <w:vertAlign w:val="superscript"/>
        </w:rPr>
        <w:t>81</w:t>
      </w:r>
      <w:r>
        <w:rPr>
          <w:sz w:val="18"/>
          <w:u w:val="none"/>
          <w:vertAlign w:val="baseline"/>
        </w:rPr>
        <w:t> Massachusetts Senate Bill 2551, “An Act Relative to Archaic Law”, </w:t>
      </w:r>
      <w:hyperlink r:id="rId509">
        <w:r>
          <w:rPr>
            <w:sz w:val="18"/>
            <w:u w:val="single"/>
            <w:vertAlign w:val="baseline"/>
          </w:rPr>
          <w:t>https://malegislature.gov/Bills/193/S2551</w:t>
        </w:r>
      </w:hyperlink>
      <w:r>
        <w:rPr>
          <w:sz w:val="18"/>
          <w:u w:val="none"/>
          <w:vertAlign w:val="baseline"/>
        </w:rPr>
        <w:t> ; George</w:t>
      </w:r>
    </w:p>
    <w:p>
      <w:pPr>
        <w:spacing w:before="0"/>
        <w:ind w:left="320" w:right="120" w:firstLine="0"/>
        <w:jc w:val="left"/>
        <w:rPr>
          <w:sz w:val="18"/>
        </w:rPr>
      </w:pPr>
      <w:r>
        <w:rPr>
          <w:sz w:val="18"/>
        </w:rPr>
        <w:t>Painter,</w:t>
      </w:r>
      <w:r>
        <w:rPr>
          <w:spacing w:val="-3"/>
          <w:sz w:val="18"/>
        </w:rPr>
        <w:t> </w:t>
      </w:r>
      <w:r>
        <w:rPr>
          <w:sz w:val="18"/>
        </w:rPr>
        <w:t>“The</w:t>
      </w:r>
      <w:r>
        <w:rPr>
          <w:spacing w:val="-2"/>
          <w:sz w:val="18"/>
        </w:rPr>
        <w:t> </w:t>
      </w:r>
      <w:r>
        <w:rPr>
          <w:sz w:val="18"/>
        </w:rPr>
        <w:t>Sensibilities</w:t>
      </w:r>
      <w:r>
        <w:rPr>
          <w:spacing w:val="-2"/>
          <w:sz w:val="18"/>
        </w:rPr>
        <w:t> </w:t>
      </w:r>
      <w:r>
        <w:rPr>
          <w:sz w:val="18"/>
        </w:rPr>
        <w:t>of</w:t>
      </w:r>
      <w:r>
        <w:rPr>
          <w:spacing w:val="-2"/>
          <w:sz w:val="18"/>
        </w:rPr>
        <w:t> </w:t>
      </w:r>
      <w:r>
        <w:rPr>
          <w:sz w:val="18"/>
        </w:rPr>
        <w:t>Our</w:t>
      </w:r>
      <w:r>
        <w:rPr>
          <w:spacing w:val="-3"/>
          <w:sz w:val="18"/>
        </w:rPr>
        <w:t> </w:t>
      </w:r>
      <w:r>
        <w:rPr>
          <w:sz w:val="18"/>
        </w:rPr>
        <w:t>Forefathers:</w:t>
      </w:r>
      <w:r>
        <w:rPr>
          <w:spacing w:val="-2"/>
          <w:sz w:val="18"/>
        </w:rPr>
        <w:t> </w:t>
      </w:r>
      <w:r>
        <w:rPr>
          <w:sz w:val="18"/>
        </w:rPr>
        <w:t>The</w:t>
      </w:r>
      <w:r>
        <w:rPr>
          <w:spacing w:val="-2"/>
          <w:sz w:val="18"/>
        </w:rPr>
        <w:t> </w:t>
      </w:r>
      <w:r>
        <w:rPr>
          <w:sz w:val="18"/>
        </w:rPr>
        <w:t>History</w:t>
      </w:r>
      <w:r>
        <w:rPr>
          <w:spacing w:val="-2"/>
          <w:sz w:val="18"/>
        </w:rPr>
        <w:t> </w:t>
      </w:r>
      <w:r>
        <w:rPr>
          <w:sz w:val="18"/>
        </w:rPr>
        <w:t>of</w:t>
      </w:r>
      <w:r>
        <w:rPr>
          <w:spacing w:val="-2"/>
          <w:sz w:val="18"/>
        </w:rPr>
        <w:t> </w:t>
      </w:r>
      <w:r>
        <w:rPr>
          <w:sz w:val="18"/>
        </w:rPr>
        <w:t>Sodomy</w:t>
      </w:r>
      <w:r>
        <w:rPr>
          <w:spacing w:val="-2"/>
          <w:sz w:val="18"/>
        </w:rPr>
        <w:t> </w:t>
      </w:r>
      <w:r>
        <w:rPr>
          <w:sz w:val="18"/>
        </w:rPr>
        <w:t>Laws</w:t>
      </w:r>
      <w:r>
        <w:rPr>
          <w:spacing w:val="-2"/>
          <w:sz w:val="18"/>
        </w:rPr>
        <w:t> </w:t>
      </w:r>
      <w:r>
        <w:rPr>
          <w:sz w:val="18"/>
        </w:rPr>
        <w:t>in</w:t>
      </w:r>
      <w:r>
        <w:rPr>
          <w:spacing w:val="-2"/>
          <w:sz w:val="18"/>
        </w:rPr>
        <w:t> </w:t>
      </w:r>
      <w:r>
        <w:rPr>
          <w:sz w:val="18"/>
        </w:rPr>
        <w:t>the</w:t>
      </w:r>
      <w:r>
        <w:rPr>
          <w:spacing w:val="-3"/>
          <w:sz w:val="18"/>
        </w:rPr>
        <w:t> </w:t>
      </w:r>
      <w:r>
        <w:rPr>
          <w:sz w:val="18"/>
        </w:rPr>
        <w:t>United</w:t>
      </w:r>
      <w:r>
        <w:rPr>
          <w:spacing w:val="-2"/>
          <w:sz w:val="18"/>
        </w:rPr>
        <w:t> </w:t>
      </w:r>
      <w:r>
        <w:rPr>
          <w:sz w:val="18"/>
        </w:rPr>
        <w:t>States</w:t>
      </w:r>
      <w:r>
        <w:rPr>
          <w:spacing w:val="-2"/>
          <w:sz w:val="18"/>
        </w:rPr>
        <w:t> </w:t>
      </w:r>
      <w:r>
        <w:rPr>
          <w:sz w:val="18"/>
        </w:rPr>
        <w:t>–</w:t>
      </w:r>
      <w:r>
        <w:rPr>
          <w:spacing w:val="-4"/>
          <w:sz w:val="18"/>
        </w:rPr>
        <w:t> </w:t>
      </w:r>
      <w:r>
        <w:rPr>
          <w:sz w:val="18"/>
        </w:rPr>
        <w:t>Massachusetts,”</w:t>
      </w:r>
      <w:r>
        <w:rPr>
          <w:spacing w:val="-3"/>
          <w:sz w:val="18"/>
        </w:rPr>
        <w:t> </w:t>
      </w:r>
      <w:r>
        <w:rPr>
          <w:sz w:val="18"/>
        </w:rPr>
        <w:t>accessed</w:t>
      </w:r>
      <w:r>
        <w:rPr>
          <w:spacing w:val="-2"/>
          <w:sz w:val="18"/>
        </w:rPr>
        <w:t> </w:t>
      </w:r>
      <w:r>
        <w:rPr>
          <w:sz w:val="18"/>
        </w:rPr>
        <w:t>June 6, 2021, </w:t>
      </w:r>
      <w:hyperlink r:id="rId510">
        <w:r>
          <w:rPr>
            <w:sz w:val="18"/>
          </w:rPr>
          <w:t>http://www.glapn.org/sodomylaws/sensibilities/massachusetts.htm.</w:t>
        </w:r>
      </w:hyperlink>
    </w:p>
    <w:p>
      <w:pPr>
        <w:spacing w:line="219" w:lineRule="exact" w:before="0"/>
        <w:ind w:left="320" w:right="0" w:firstLine="0"/>
        <w:jc w:val="left"/>
        <w:rPr>
          <w:i/>
          <w:sz w:val="18"/>
        </w:rPr>
      </w:pPr>
      <w:r>
        <w:rPr>
          <w:sz w:val="18"/>
          <w:vertAlign w:val="superscript"/>
        </w:rPr>
        <w:t>82</w:t>
      </w:r>
      <w:r>
        <w:rPr>
          <w:sz w:val="18"/>
          <w:vertAlign w:val="baseline"/>
        </w:rPr>
        <w:t> </w:t>
      </w:r>
      <w:r>
        <w:rPr>
          <w:i/>
          <w:spacing w:val="-5"/>
          <w:sz w:val="18"/>
          <w:vertAlign w:val="baseline"/>
        </w:rPr>
        <w:t>Id.</w:t>
      </w:r>
    </w:p>
    <w:p>
      <w:pPr>
        <w:spacing w:before="0"/>
        <w:ind w:left="320" w:right="0" w:firstLine="0"/>
        <w:jc w:val="left"/>
        <w:rPr>
          <w:i/>
          <w:sz w:val="18"/>
        </w:rPr>
      </w:pPr>
      <w:r>
        <w:rPr>
          <w:sz w:val="18"/>
          <w:vertAlign w:val="superscript"/>
        </w:rPr>
        <w:t>83</w:t>
      </w:r>
      <w:r>
        <w:rPr>
          <w:sz w:val="18"/>
          <w:vertAlign w:val="baseline"/>
        </w:rPr>
        <w:t> </w:t>
      </w:r>
      <w:r>
        <w:rPr>
          <w:i/>
          <w:spacing w:val="-5"/>
          <w:sz w:val="18"/>
          <w:vertAlign w:val="baseline"/>
        </w:rPr>
        <w:t>Id.</w:t>
      </w:r>
    </w:p>
    <w:p>
      <w:pPr>
        <w:spacing w:before="0"/>
        <w:ind w:left="320" w:right="0" w:firstLine="0"/>
        <w:jc w:val="left"/>
        <w:rPr>
          <w:sz w:val="18"/>
        </w:rPr>
      </w:pPr>
      <w:r>
        <w:rPr>
          <w:sz w:val="18"/>
          <w:vertAlign w:val="superscript"/>
        </w:rPr>
        <w:t>84</w:t>
      </w:r>
      <w:r>
        <w:rPr>
          <w:spacing w:val="-2"/>
          <w:sz w:val="18"/>
          <w:vertAlign w:val="baseline"/>
        </w:rPr>
        <w:t> </w:t>
      </w:r>
      <w:r>
        <w:rPr>
          <w:sz w:val="18"/>
          <w:vertAlign w:val="baseline"/>
        </w:rPr>
        <w:t>Lampe,</w:t>
      </w:r>
      <w:r>
        <w:rPr>
          <w:spacing w:val="-3"/>
          <w:sz w:val="18"/>
          <w:vertAlign w:val="baseline"/>
        </w:rPr>
        <w:t> </w:t>
      </w:r>
      <w:r>
        <w:rPr>
          <w:sz w:val="18"/>
          <w:vertAlign w:val="baseline"/>
        </w:rPr>
        <w:t>Joanna.</w:t>
      </w:r>
      <w:r>
        <w:rPr>
          <w:spacing w:val="-5"/>
          <w:sz w:val="18"/>
          <w:vertAlign w:val="baseline"/>
        </w:rPr>
        <w:t> </w:t>
      </w:r>
      <w:r>
        <w:rPr>
          <w:sz w:val="18"/>
          <w:vertAlign w:val="baseline"/>
        </w:rPr>
        <w:t>2013.</w:t>
      </w:r>
      <w:r>
        <w:rPr>
          <w:spacing w:val="-2"/>
          <w:sz w:val="18"/>
          <w:vertAlign w:val="baseline"/>
        </w:rPr>
        <w:t> </w:t>
      </w:r>
      <w:r>
        <w:rPr>
          <w:sz w:val="18"/>
          <w:vertAlign w:val="baseline"/>
        </w:rPr>
        <w:t>“A</w:t>
      </w:r>
      <w:r>
        <w:rPr>
          <w:spacing w:val="-2"/>
          <w:sz w:val="18"/>
          <w:vertAlign w:val="baseline"/>
        </w:rPr>
        <w:t> </w:t>
      </w:r>
      <w:r>
        <w:rPr>
          <w:sz w:val="18"/>
          <w:vertAlign w:val="baseline"/>
        </w:rPr>
        <w:t>Victimless</w:t>
      </w:r>
      <w:r>
        <w:rPr>
          <w:spacing w:val="-2"/>
          <w:sz w:val="18"/>
          <w:vertAlign w:val="baseline"/>
        </w:rPr>
        <w:t> </w:t>
      </w:r>
      <w:r>
        <w:rPr>
          <w:sz w:val="18"/>
          <w:vertAlign w:val="baseline"/>
        </w:rPr>
        <w:t>Sex</w:t>
      </w:r>
      <w:r>
        <w:rPr>
          <w:spacing w:val="-2"/>
          <w:sz w:val="18"/>
          <w:vertAlign w:val="baseline"/>
        </w:rPr>
        <w:t> </w:t>
      </w:r>
      <w:r>
        <w:rPr>
          <w:sz w:val="18"/>
          <w:vertAlign w:val="baseline"/>
        </w:rPr>
        <w:t>Crime:</w:t>
      </w:r>
      <w:r>
        <w:rPr>
          <w:spacing w:val="-2"/>
          <w:sz w:val="18"/>
          <w:vertAlign w:val="baseline"/>
        </w:rPr>
        <w:t> </w:t>
      </w:r>
      <w:r>
        <w:rPr>
          <w:sz w:val="18"/>
          <w:vertAlign w:val="baseline"/>
        </w:rPr>
        <w:t>The</w:t>
      </w:r>
      <w:r>
        <w:rPr>
          <w:spacing w:val="-2"/>
          <w:sz w:val="18"/>
          <w:vertAlign w:val="baseline"/>
        </w:rPr>
        <w:t> </w:t>
      </w:r>
      <w:r>
        <w:rPr>
          <w:sz w:val="18"/>
          <w:vertAlign w:val="baseline"/>
        </w:rPr>
        <w:t>Case</w:t>
      </w:r>
      <w:r>
        <w:rPr>
          <w:spacing w:val="-2"/>
          <w:sz w:val="18"/>
          <w:vertAlign w:val="baseline"/>
        </w:rPr>
        <w:t> </w:t>
      </w:r>
      <w:r>
        <w:rPr>
          <w:sz w:val="18"/>
          <w:vertAlign w:val="baseline"/>
        </w:rPr>
        <w:t>for</w:t>
      </w:r>
      <w:r>
        <w:rPr>
          <w:spacing w:val="-3"/>
          <w:sz w:val="18"/>
          <w:vertAlign w:val="baseline"/>
        </w:rPr>
        <w:t> </w:t>
      </w:r>
      <w:r>
        <w:rPr>
          <w:sz w:val="18"/>
          <w:vertAlign w:val="baseline"/>
        </w:rPr>
        <w:t>Decriminalizing</w:t>
      </w:r>
      <w:r>
        <w:rPr>
          <w:spacing w:val="-2"/>
          <w:sz w:val="18"/>
          <w:vertAlign w:val="baseline"/>
        </w:rPr>
        <w:t> </w:t>
      </w:r>
      <w:r>
        <w:rPr>
          <w:sz w:val="18"/>
          <w:vertAlign w:val="baseline"/>
        </w:rPr>
        <w:t>Consensual</w:t>
      </w:r>
      <w:r>
        <w:rPr>
          <w:spacing w:val="-3"/>
          <w:sz w:val="18"/>
          <w:vertAlign w:val="baseline"/>
        </w:rPr>
        <w:t> </w:t>
      </w:r>
      <w:r>
        <w:rPr>
          <w:sz w:val="18"/>
          <w:vertAlign w:val="baseline"/>
        </w:rPr>
        <w:t>Teen</w:t>
      </w:r>
      <w:r>
        <w:rPr>
          <w:spacing w:val="-2"/>
          <w:sz w:val="18"/>
          <w:vertAlign w:val="baseline"/>
        </w:rPr>
        <w:t> </w:t>
      </w:r>
      <w:r>
        <w:rPr>
          <w:sz w:val="18"/>
          <w:vertAlign w:val="baseline"/>
        </w:rPr>
        <w:t>Sexting,”</w:t>
      </w:r>
      <w:r>
        <w:rPr>
          <w:spacing w:val="-2"/>
          <w:sz w:val="18"/>
          <w:vertAlign w:val="baseline"/>
        </w:rPr>
        <w:t> </w:t>
      </w:r>
      <w:r>
        <w:rPr>
          <w:sz w:val="18"/>
          <w:vertAlign w:val="baseline"/>
        </w:rPr>
        <w:t>University</w:t>
      </w:r>
      <w:r>
        <w:rPr>
          <w:spacing w:val="-2"/>
          <w:sz w:val="18"/>
          <w:vertAlign w:val="baseline"/>
        </w:rPr>
        <w:t> </w:t>
      </w:r>
      <w:r>
        <w:rPr>
          <w:sz w:val="18"/>
          <w:vertAlign w:val="baseline"/>
        </w:rPr>
        <w:t>of</w:t>
      </w:r>
      <w:r>
        <w:rPr>
          <w:spacing w:val="-2"/>
          <w:sz w:val="18"/>
          <w:vertAlign w:val="baseline"/>
        </w:rPr>
        <w:t> </w:t>
      </w:r>
      <w:r>
        <w:rPr>
          <w:sz w:val="18"/>
          <w:vertAlign w:val="baseline"/>
        </w:rPr>
        <w:t>Michigan Journal of Law Reform, no. 46.2 (2013): 703, https://doi.org/10.36646/mjlr.46.2.victimless.</w:t>
      </w:r>
    </w:p>
    <w:p>
      <w:pPr>
        <w:spacing w:before="0"/>
        <w:ind w:left="320" w:right="120" w:hanging="1"/>
        <w:jc w:val="left"/>
        <w:rPr>
          <w:sz w:val="18"/>
        </w:rPr>
      </w:pPr>
      <w:r>
        <w:rPr>
          <w:sz w:val="18"/>
          <w:vertAlign w:val="superscript"/>
        </w:rPr>
        <w:t>85</w:t>
      </w:r>
      <w:r>
        <w:rPr>
          <w:spacing w:val="-2"/>
          <w:sz w:val="18"/>
          <w:vertAlign w:val="baseline"/>
        </w:rPr>
        <w:t> </w:t>
      </w:r>
      <w:r>
        <w:rPr>
          <w:sz w:val="18"/>
          <w:vertAlign w:val="baseline"/>
        </w:rPr>
        <w:t>Salerno,</w:t>
      </w:r>
      <w:r>
        <w:rPr>
          <w:spacing w:val="-3"/>
          <w:sz w:val="18"/>
          <w:vertAlign w:val="baseline"/>
        </w:rPr>
        <w:t> </w:t>
      </w:r>
      <w:r>
        <w:rPr>
          <w:sz w:val="18"/>
          <w:vertAlign w:val="baseline"/>
        </w:rPr>
        <w:t>Jessica</w:t>
      </w:r>
      <w:r>
        <w:rPr>
          <w:spacing w:val="-2"/>
          <w:sz w:val="18"/>
          <w:vertAlign w:val="baseline"/>
        </w:rPr>
        <w:t> </w:t>
      </w:r>
      <w:r>
        <w:rPr>
          <w:sz w:val="18"/>
          <w:vertAlign w:val="baseline"/>
        </w:rPr>
        <w:t>M.</w:t>
      </w:r>
      <w:r>
        <w:rPr>
          <w:spacing w:val="-2"/>
          <w:sz w:val="18"/>
          <w:vertAlign w:val="baseline"/>
        </w:rPr>
        <w:t> </w:t>
      </w:r>
      <w:r>
        <w:rPr>
          <w:sz w:val="18"/>
          <w:vertAlign w:val="baseline"/>
        </w:rPr>
        <w:t>,</w:t>
      </w:r>
      <w:r>
        <w:rPr>
          <w:spacing w:val="-3"/>
          <w:sz w:val="18"/>
          <w:vertAlign w:val="baseline"/>
        </w:rPr>
        <w:t> </w:t>
      </w:r>
      <w:r>
        <w:rPr>
          <w:sz w:val="18"/>
          <w:vertAlign w:val="baseline"/>
        </w:rPr>
        <w:t>Mary</w:t>
      </w:r>
      <w:r>
        <w:rPr>
          <w:spacing w:val="-2"/>
          <w:sz w:val="18"/>
          <w:vertAlign w:val="baseline"/>
        </w:rPr>
        <w:t> </w:t>
      </w:r>
      <w:r>
        <w:rPr>
          <w:sz w:val="18"/>
          <w:vertAlign w:val="baseline"/>
        </w:rPr>
        <w:t>C.</w:t>
      </w:r>
      <w:r>
        <w:rPr>
          <w:spacing w:val="-2"/>
          <w:sz w:val="18"/>
          <w:vertAlign w:val="baseline"/>
        </w:rPr>
        <w:t> </w:t>
      </w:r>
      <w:r>
        <w:rPr>
          <w:sz w:val="18"/>
          <w:vertAlign w:val="baseline"/>
        </w:rPr>
        <w:t>Murphy,</w:t>
      </w:r>
      <w:r>
        <w:rPr>
          <w:spacing w:val="-3"/>
          <w:sz w:val="18"/>
          <w:vertAlign w:val="baseline"/>
        </w:rPr>
        <w:t> </w:t>
      </w:r>
      <w:r>
        <w:rPr>
          <w:sz w:val="18"/>
          <w:vertAlign w:val="baseline"/>
        </w:rPr>
        <w:t>and</w:t>
      </w:r>
      <w:r>
        <w:rPr>
          <w:spacing w:val="-2"/>
          <w:sz w:val="18"/>
          <w:vertAlign w:val="baseline"/>
        </w:rPr>
        <w:t> </w:t>
      </w:r>
      <w:r>
        <w:rPr>
          <w:sz w:val="18"/>
          <w:vertAlign w:val="baseline"/>
        </w:rPr>
        <w:t>Bette</w:t>
      </w:r>
      <w:r>
        <w:rPr>
          <w:spacing w:val="-3"/>
          <w:sz w:val="18"/>
          <w:vertAlign w:val="baseline"/>
        </w:rPr>
        <w:t> </w:t>
      </w:r>
      <w:r>
        <w:rPr>
          <w:sz w:val="18"/>
          <w:vertAlign w:val="baseline"/>
        </w:rPr>
        <w:t>L</w:t>
      </w:r>
      <w:r>
        <w:rPr>
          <w:spacing w:val="-2"/>
          <w:sz w:val="18"/>
          <w:vertAlign w:val="baseline"/>
        </w:rPr>
        <w:t> </w:t>
      </w:r>
      <w:r>
        <w:rPr>
          <w:sz w:val="18"/>
          <w:vertAlign w:val="baseline"/>
        </w:rPr>
        <w:t>Bottoms.</w:t>
      </w:r>
      <w:r>
        <w:rPr>
          <w:spacing w:val="-2"/>
          <w:sz w:val="18"/>
          <w:vertAlign w:val="baseline"/>
        </w:rPr>
        <w:t> </w:t>
      </w:r>
      <w:r>
        <w:rPr>
          <w:sz w:val="18"/>
          <w:vertAlign w:val="baseline"/>
        </w:rPr>
        <w:t>2014.</w:t>
      </w:r>
      <w:r>
        <w:rPr>
          <w:spacing w:val="-2"/>
          <w:sz w:val="18"/>
          <w:vertAlign w:val="baseline"/>
        </w:rPr>
        <w:t> </w:t>
      </w:r>
      <w:r>
        <w:rPr>
          <w:sz w:val="18"/>
          <w:vertAlign w:val="baseline"/>
        </w:rPr>
        <w:t>“Give</w:t>
      </w:r>
      <w:r>
        <w:rPr>
          <w:spacing w:val="-2"/>
          <w:sz w:val="18"/>
          <w:vertAlign w:val="baseline"/>
        </w:rPr>
        <w:t> </w:t>
      </w:r>
      <w:r>
        <w:rPr>
          <w:sz w:val="18"/>
          <w:vertAlign w:val="baseline"/>
        </w:rPr>
        <w:t>the</w:t>
      </w:r>
      <w:r>
        <w:rPr>
          <w:spacing w:val="-3"/>
          <w:sz w:val="18"/>
          <w:vertAlign w:val="baseline"/>
        </w:rPr>
        <w:t> </w:t>
      </w:r>
      <w:r>
        <w:rPr>
          <w:sz w:val="18"/>
          <w:vertAlign w:val="baseline"/>
        </w:rPr>
        <w:t>Kid</w:t>
      </w:r>
      <w:r>
        <w:rPr>
          <w:spacing w:val="-2"/>
          <w:sz w:val="18"/>
          <w:vertAlign w:val="baseline"/>
        </w:rPr>
        <w:t> </w:t>
      </w:r>
      <w:r>
        <w:rPr>
          <w:sz w:val="18"/>
          <w:vertAlign w:val="baseline"/>
        </w:rPr>
        <w:t>a</w:t>
      </w:r>
      <w:r>
        <w:rPr>
          <w:spacing w:val="-3"/>
          <w:sz w:val="18"/>
          <w:vertAlign w:val="baseline"/>
        </w:rPr>
        <w:t> </w:t>
      </w:r>
      <w:r>
        <w:rPr>
          <w:sz w:val="18"/>
          <w:vertAlign w:val="baseline"/>
        </w:rPr>
        <w:t>Break—but</w:t>
      </w:r>
      <w:r>
        <w:rPr>
          <w:spacing w:val="-3"/>
          <w:sz w:val="18"/>
          <w:vertAlign w:val="baseline"/>
        </w:rPr>
        <w:t> </w:t>
      </w:r>
      <w:r>
        <w:rPr>
          <w:sz w:val="18"/>
          <w:vertAlign w:val="baseline"/>
        </w:rPr>
        <w:t>Only</w:t>
      </w:r>
      <w:r>
        <w:rPr>
          <w:spacing w:val="-2"/>
          <w:sz w:val="18"/>
          <w:vertAlign w:val="baseline"/>
        </w:rPr>
        <w:t> </w:t>
      </w:r>
      <w:r>
        <w:rPr>
          <w:sz w:val="18"/>
          <w:vertAlign w:val="baseline"/>
        </w:rPr>
        <w:t>If</w:t>
      </w:r>
      <w:r>
        <w:rPr>
          <w:spacing w:val="-2"/>
          <w:sz w:val="18"/>
          <w:vertAlign w:val="baseline"/>
        </w:rPr>
        <w:t> </w:t>
      </w:r>
      <w:r>
        <w:rPr>
          <w:sz w:val="18"/>
          <w:vertAlign w:val="baseline"/>
        </w:rPr>
        <w:t>He’s</w:t>
      </w:r>
      <w:r>
        <w:rPr>
          <w:spacing w:val="-2"/>
          <w:sz w:val="18"/>
          <w:vertAlign w:val="baseline"/>
        </w:rPr>
        <w:t> </w:t>
      </w:r>
      <w:r>
        <w:rPr>
          <w:sz w:val="18"/>
          <w:vertAlign w:val="baseline"/>
        </w:rPr>
        <w:t>Straight:</w:t>
      </w:r>
      <w:r>
        <w:rPr>
          <w:spacing w:val="-2"/>
          <w:sz w:val="18"/>
          <w:vertAlign w:val="baseline"/>
        </w:rPr>
        <w:t> </w:t>
      </w:r>
      <w:r>
        <w:rPr>
          <w:sz w:val="18"/>
          <w:vertAlign w:val="baseline"/>
        </w:rPr>
        <w:t>Retributive Motives Drive Biases Against Gay Youth in Ambiguous Punishment Contexts,” Psychology, Public Policy, and Law 20, no. 4 (2014): 398–410, https://psycnet.apa.org/record/2014-26578-001</w:t>
      </w:r>
    </w:p>
    <w:p>
      <w:pPr>
        <w:spacing w:line="219" w:lineRule="exact" w:before="0"/>
        <w:ind w:left="320" w:right="0" w:firstLine="0"/>
        <w:jc w:val="left"/>
        <w:rPr>
          <w:i/>
          <w:sz w:val="18"/>
        </w:rPr>
      </w:pPr>
      <w:r>
        <w:rPr>
          <w:sz w:val="18"/>
          <w:vertAlign w:val="superscript"/>
        </w:rPr>
        <w:t>86</w:t>
      </w:r>
      <w:r>
        <w:rPr>
          <w:sz w:val="18"/>
          <w:vertAlign w:val="baseline"/>
        </w:rPr>
        <w:t> </w:t>
      </w:r>
      <w:r>
        <w:rPr>
          <w:i/>
          <w:spacing w:val="-5"/>
          <w:sz w:val="18"/>
          <w:vertAlign w:val="baseline"/>
        </w:rPr>
        <w:t>Id.</w:t>
      </w:r>
    </w:p>
    <w:p>
      <w:pPr>
        <w:spacing w:before="0"/>
        <w:ind w:left="320" w:right="0" w:firstLine="0"/>
        <w:jc w:val="left"/>
        <w:rPr>
          <w:sz w:val="18"/>
        </w:rPr>
      </w:pPr>
      <w:r>
        <w:rPr>
          <w:sz w:val="18"/>
          <w:vertAlign w:val="superscript"/>
        </w:rPr>
        <w:t>87</w:t>
      </w:r>
      <w:r>
        <w:rPr>
          <w:spacing w:val="-2"/>
          <w:sz w:val="18"/>
          <w:vertAlign w:val="baseline"/>
        </w:rPr>
        <w:t> </w:t>
      </w:r>
      <w:r>
        <w:rPr>
          <w:sz w:val="18"/>
          <w:vertAlign w:val="baseline"/>
        </w:rPr>
        <w:t>MASS.</w:t>
      </w:r>
      <w:r>
        <w:rPr>
          <w:spacing w:val="-2"/>
          <w:sz w:val="18"/>
          <w:vertAlign w:val="baseline"/>
        </w:rPr>
        <w:t> </w:t>
      </w:r>
      <w:r>
        <w:rPr>
          <w:sz w:val="18"/>
          <w:vertAlign w:val="baseline"/>
        </w:rPr>
        <w:t>GEN.</w:t>
      </w:r>
      <w:r>
        <w:rPr>
          <w:spacing w:val="-2"/>
          <w:sz w:val="18"/>
          <w:vertAlign w:val="baseline"/>
        </w:rPr>
        <w:t> </w:t>
      </w:r>
      <w:r>
        <w:rPr>
          <w:sz w:val="18"/>
          <w:vertAlign w:val="baseline"/>
        </w:rPr>
        <w:t>LAWS</w:t>
      </w:r>
      <w:r>
        <w:rPr>
          <w:spacing w:val="-2"/>
          <w:sz w:val="18"/>
          <w:vertAlign w:val="baseline"/>
        </w:rPr>
        <w:t> </w:t>
      </w:r>
      <w:r>
        <w:rPr>
          <w:sz w:val="18"/>
          <w:vertAlign w:val="baseline"/>
        </w:rPr>
        <w:t>ch.</w:t>
      </w:r>
      <w:r>
        <w:rPr>
          <w:spacing w:val="-2"/>
          <w:sz w:val="18"/>
          <w:vertAlign w:val="baseline"/>
        </w:rPr>
        <w:t> </w:t>
      </w:r>
      <w:r>
        <w:rPr>
          <w:sz w:val="18"/>
          <w:vertAlign w:val="baseline"/>
        </w:rPr>
        <w:t>265,</w:t>
      </w:r>
      <w:r>
        <w:rPr>
          <w:spacing w:val="-3"/>
          <w:sz w:val="18"/>
          <w:vertAlign w:val="baseline"/>
        </w:rPr>
        <w:t> </w:t>
      </w:r>
      <w:r>
        <w:rPr>
          <w:sz w:val="18"/>
          <w:vertAlign w:val="baseline"/>
        </w:rPr>
        <w:t>§</w:t>
      </w:r>
      <w:r>
        <w:rPr>
          <w:spacing w:val="-2"/>
          <w:sz w:val="18"/>
          <w:vertAlign w:val="baseline"/>
        </w:rPr>
        <w:t> </w:t>
      </w:r>
      <w:r>
        <w:rPr>
          <w:sz w:val="18"/>
          <w:vertAlign w:val="baseline"/>
        </w:rPr>
        <w:t>22B(f)</w:t>
      </w:r>
      <w:r>
        <w:rPr>
          <w:spacing w:val="-2"/>
          <w:sz w:val="18"/>
          <w:vertAlign w:val="baseline"/>
        </w:rPr>
        <w:t> </w:t>
      </w:r>
      <w:r>
        <w:rPr>
          <w:sz w:val="18"/>
          <w:vertAlign w:val="baseline"/>
        </w:rPr>
        <w:t>(2016),</w:t>
      </w:r>
      <w:r>
        <w:rPr>
          <w:spacing w:val="-3"/>
          <w:sz w:val="18"/>
          <w:vertAlign w:val="baseline"/>
        </w:rPr>
        <w:t> </w:t>
      </w:r>
      <w:r>
        <w:rPr>
          <w:sz w:val="18"/>
          <w:vertAlign w:val="baseline"/>
        </w:rPr>
        <w:t>as</w:t>
      </w:r>
      <w:r>
        <w:rPr>
          <w:spacing w:val="-2"/>
          <w:sz w:val="18"/>
          <w:vertAlign w:val="baseline"/>
        </w:rPr>
        <w:t> </w:t>
      </w:r>
      <w:r>
        <w:rPr>
          <w:sz w:val="18"/>
          <w:vertAlign w:val="baseline"/>
        </w:rPr>
        <w:t>interpreted</w:t>
      </w:r>
      <w:r>
        <w:rPr>
          <w:spacing w:val="-2"/>
          <w:sz w:val="18"/>
          <w:vertAlign w:val="baseline"/>
        </w:rPr>
        <w:t> </w:t>
      </w:r>
      <w:r>
        <w:rPr>
          <w:sz w:val="18"/>
          <w:vertAlign w:val="baseline"/>
        </w:rPr>
        <w:t>by:</w:t>
      </w:r>
      <w:r>
        <w:rPr>
          <w:spacing w:val="-2"/>
          <w:sz w:val="18"/>
          <w:vertAlign w:val="baseline"/>
        </w:rPr>
        <w:t> </w:t>
      </w:r>
      <w:r>
        <w:rPr>
          <w:sz w:val="18"/>
          <w:vertAlign w:val="baseline"/>
        </w:rPr>
        <w:t>HIV</w:t>
      </w:r>
      <w:r>
        <w:rPr>
          <w:spacing w:val="-2"/>
          <w:sz w:val="18"/>
          <w:vertAlign w:val="baseline"/>
        </w:rPr>
        <w:t> </w:t>
      </w:r>
      <w:r>
        <w:rPr>
          <w:sz w:val="18"/>
          <w:vertAlign w:val="baseline"/>
        </w:rPr>
        <w:t>Criminalization</w:t>
      </w:r>
      <w:r>
        <w:rPr>
          <w:spacing w:val="-2"/>
          <w:sz w:val="18"/>
          <w:vertAlign w:val="baseline"/>
        </w:rPr>
        <w:t> </w:t>
      </w:r>
      <w:r>
        <w:rPr>
          <w:sz w:val="18"/>
          <w:vertAlign w:val="baseline"/>
        </w:rPr>
        <w:t>in</w:t>
      </w:r>
      <w:r>
        <w:rPr>
          <w:spacing w:val="-2"/>
          <w:sz w:val="18"/>
          <w:vertAlign w:val="baseline"/>
        </w:rPr>
        <w:t> </w:t>
      </w:r>
      <w:r>
        <w:rPr>
          <w:sz w:val="18"/>
          <w:vertAlign w:val="baseline"/>
        </w:rPr>
        <w:t>the</w:t>
      </w:r>
      <w:r>
        <w:rPr>
          <w:spacing w:val="-2"/>
          <w:sz w:val="18"/>
          <w:vertAlign w:val="baseline"/>
        </w:rPr>
        <w:t> </w:t>
      </w:r>
      <w:r>
        <w:rPr>
          <w:sz w:val="18"/>
          <w:vertAlign w:val="baseline"/>
        </w:rPr>
        <w:t>United</w:t>
      </w:r>
      <w:r>
        <w:rPr>
          <w:spacing w:val="-2"/>
          <w:sz w:val="18"/>
          <w:vertAlign w:val="baseline"/>
        </w:rPr>
        <w:t> </w:t>
      </w:r>
      <w:r>
        <w:rPr>
          <w:sz w:val="18"/>
          <w:vertAlign w:val="baseline"/>
        </w:rPr>
        <w:t>States:</w:t>
      </w:r>
      <w:r>
        <w:rPr>
          <w:spacing w:val="-2"/>
          <w:sz w:val="18"/>
          <w:vertAlign w:val="baseline"/>
        </w:rPr>
        <w:t> </w:t>
      </w:r>
      <w:r>
        <w:rPr>
          <w:sz w:val="18"/>
          <w:vertAlign w:val="baseline"/>
        </w:rPr>
        <w:t>A</w:t>
      </w:r>
      <w:r>
        <w:rPr>
          <w:spacing w:val="-2"/>
          <w:sz w:val="18"/>
          <w:vertAlign w:val="baseline"/>
        </w:rPr>
        <w:t> </w:t>
      </w:r>
      <w:r>
        <w:rPr>
          <w:sz w:val="18"/>
          <w:vertAlign w:val="baseline"/>
        </w:rPr>
        <w:t>Sourcebook</w:t>
      </w:r>
      <w:r>
        <w:rPr>
          <w:spacing w:val="-3"/>
          <w:sz w:val="18"/>
          <w:vertAlign w:val="baseline"/>
        </w:rPr>
        <w:t> </w:t>
      </w:r>
      <w:r>
        <w:rPr>
          <w:sz w:val="18"/>
          <w:vertAlign w:val="baseline"/>
        </w:rPr>
        <w:t>on</w:t>
      </w:r>
      <w:r>
        <w:rPr>
          <w:spacing w:val="-2"/>
          <w:sz w:val="18"/>
          <w:vertAlign w:val="baseline"/>
        </w:rPr>
        <w:t> </w:t>
      </w:r>
      <w:r>
        <w:rPr>
          <w:sz w:val="18"/>
          <w:vertAlign w:val="baseline"/>
        </w:rPr>
        <w:t>State and Federal HIV Criminal Law and Practice – Massachusetts. (2017). New York, NY: The Center for HIV Law and Policy.</w:t>
      </w:r>
    </w:p>
    <w:p>
      <w:pPr>
        <w:spacing w:before="1"/>
        <w:ind w:left="320" w:right="0" w:firstLine="0"/>
        <w:jc w:val="left"/>
        <w:rPr>
          <w:sz w:val="18"/>
        </w:rPr>
      </w:pPr>
      <w:r>
        <w:rPr>
          <w:sz w:val="18"/>
          <w:vertAlign w:val="superscript"/>
        </w:rPr>
        <w:t>88</w:t>
      </w:r>
      <w:r>
        <w:rPr>
          <w:sz w:val="18"/>
          <w:vertAlign w:val="baseline"/>
        </w:rPr>
        <w:t> Mallory, Christy , Amira Hasenbush, and Brad Sears. 2015. Williams Institute. “Discrimination and Harassment by Law Enforcement</w:t>
      </w:r>
      <w:r>
        <w:rPr>
          <w:spacing w:val="-6"/>
          <w:sz w:val="18"/>
          <w:vertAlign w:val="baseline"/>
        </w:rPr>
        <w:t> </w:t>
      </w:r>
      <w:r>
        <w:rPr>
          <w:sz w:val="18"/>
          <w:vertAlign w:val="baseline"/>
        </w:rPr>
        <w:t>Officers</w:t>
      </w:r>
      <w:r>
        <w:rPr>
          <w:spacing w:val="-5"/>
          <w:sz w:val="18"/>
          <w:vertAlign w:val="baseline"/>
        </w:rPr>
        <w:t> </w:t>
      </w:r>
      <w:r>
        <w:rPr>
          <w:sz w:val="18"/>
          <w:vertAlign w:val="baseline"/>
        </w:rPr>
        <w:t>in</w:t>
      </w:r>
      <w:r>
        <w:rPr>
          <w:spacing w:val="-5"/>
          <w:sz w:val="18"/>
          <w:vertAlign w:val="baseline"/>
        </w:rPr>
        <w:t> </w:t>
      </w:r>
      <w:r>
        <w:rPr>
          <w:sz w:val="18"/>
          <w:vertAlign w:val="baseline"/>
        </w:rPr>
        <w:t>the</w:t>
      </w:r>
      <w:r>
        <w:rPr>
          <w:spacing w:val="-5"/>
          <w:sz w:val="18"/>
          <w:vertAlign w:val="baseline"/>
        </w:rPr>
        <w:t> </w:t>
      </w:r>
      <w:r>
        <w:rPr>
          <w:sz w:val="18"/>
          <w:vertAlign w:val="baseline"/>
        </w:rPr>
        <w:t>LGBT</w:t>
      </w:r>
      <w:r>
        <w:rPr>
          <w:spacing w:val="-7"/>
          <w:sz w:val="18"/>
          <w:vertAlign w:val="baseline"/>
        </w:rPr>
        <w:t> </w:t>
      </w:r>
      <w:r>
        <w:rPr>
          <w:sz w:val="18"/>
          <w:vertAlign w:val="baseline"/>
        </w:rPr>
        <w:t>Community,“</w:t>
      </w:r>
      <w:r>
        <w:rPr>
          <w:spacing w:val="-5"/>
          <w:sz w:val="18"/>
          <w:vertAlign w:val="baseline"/>
        </w:rPr>
        <w:t> </w:t>
      </w:r>
      <w:r>
        <w:rPr>
          <w:sz w:val="18"/>
          <w:vertAlign w:val="baseline"/>
        </w:rPr>
        <w:t>March</w:t>
      </w:r>
      <w:r>
        <w:rPr>
          <w:spacing w:val="-5"/>
          <w:sz w:val="18"/>
          <w:vertAlign w:val="baseline"/>
        </w:rPr>
        <w:t> </w:t>
      </w:r>
      <w:r>
        <w:rPr>
          <w:sz w:val="18"/>
          <w:vertAlign w:val="baseline"/>
        </w:rPr>
        <w:t>2015,</w:t>
      </w:r>
      <w:r>
        <w:rPr>
          <w:spacing w:val="-6"/>
          <w:sz w:val="18"/>
          <w:vertAlign w:val="baseline"/>
        </w:rPr>
        <w:t> </w:t>
      </w:r>
      <w:r>
        <w:rPr>
          <w:sz w:val="18"/>
          <w:vertAlign w:val="baseline"/>
        </w:rPr>
        <w:t>https://williamsinstitute.law.ucla.edu/publications/lgbt-discrim- </w:t>
      </w:r>
      <w:r>
        <w:rPr>
          <w:spacing w:val="-2"/>
          <w:sz w:val="18"/>
          <w:vertAlign w:val="baseline"/>
        </w:rPr>
        <w:t>lawenforcement</w:t>
      </w:r>
    </w:p>
    <w:p>
      <w:pPr>
        <w:spacing w:after="0"/>
        <w:jc w:val="left"/>
        <w:rPr>
          <w:sz w:val="18"/>
        </w:rPr>
        <w:sectPr>
          <w:pgSz w:w="12240" w:h="15840"/>
          <w:pgMar w:header="763" w:footer="1041" w:top="1360" w:bottom="1240" w:left="1120" w:right="1340"/>
        </w:sectPr>
      </w:pPr>
    </w:p>
    <w:p>
      <w:pPr>
        <w:pStyle w:val="BodyText"/>
        <w:spacing w:before="90"/>
        <w:rPr>
          <w:sz w:val="18"/>
        </w:rPr>
      </w:pPr>
    </w:p>
    <w:p>
      <w:pPr>
        <w:spacing w:before="1"/>
        <w:ind w:left="320" w:right="131" w:firstLine="0"/>
        <w:jc w:val="left"/>
        <w:rPr>
          <w:sz w:val="18"/>
        </w:rPr>
      </w:pPr>
      <w:r>
        <w:rPr>
          <w:sz w:val="18"/>
          <w:vertAlign w:val="superscript"/>
        </w:rPr>
        <w:t>89</w:t>
      </w:r>
      <w:r>
        <w:rPr>
          <w:spacing w:val="-2"/>
          <w:sz w:val="18"/>
          <w:vertAlign w:val="baseline"/>
        </w:rPr>
        <w:t> </w:t>
      </w:r>
      <w:r>
        <w:rPr>
          <w:sz w:val="18"/>
          <w:vertAlign w:val="baseline"/>
        </w:rPr>
        <w:t>Waters,</w:t>
      </w:r>
      <w:r>
        <w:rPr>
          <w:spacing w:val="-3"/>
          <w:sz w:val="18"/>
          <w:vertAlign w:val="baseline"/>
        </w:rPr>
        <w:t> </w:t>
      </w:r>
      <w:r>
        <w:rPr>
          <w:sz w:val="18"/>
          <w:vertAlign w:val="baseline"/>
        </w:rPr>
        <w:t>Emily.</w:t>
      </w:r>
      <w:r>
        <w:rPr>
          <w:spacing w:val="-1"/>
          <w:sz w:val="18"/>
          <w:vertAlign w:val="baseline"/>
        </w:rPr>
        <w:t> </w:t>
      </w:r>
      <w:r>
        <w:rPr>
          <w:sz w:val="18"/>
          <w:vertAlign w:val="baseline"/>
        </w:rPr>
        <w:t>2017.</w:t>
      </w:r>
      <w:r>
        <w:rPr>
          <w:spacing w:val="-2"/>
          <w:sz w:val="18"/>
          <w:vertAlign w:val="baseline"/>
        </w:rPr>
        <w:t> </w:t>
      </w:r>
      <w:r>
        <w:rPr>
          <w:sz w:val="18"/>
          <w:vertAlign w:val="baseline"/>
        </w:rPr>
        <w:t>Lesbian,</w:t>
      </w:r>
      <w:r>
        <w:rPr>
          <w:spacing w:val="-3"/>
          <w:sz w:val="18"/>
          <w:vertAlign w:val="baseline"/>
        </w:rPr>
        <w:t> </w:t>
      </w:r>
      <w:r>
        <w:rPr>
          <w:sz w:val="18"/>
          <w:vertAlign w:val="baseline"/>
        </w:rPr>
        <w:t>Gay,</w:t>
      </w:r>
      <w:r>
        <w:rPr>
          <w:spacing w:val="-3"/>
          <w:sz w:val="18"/>
          <w:vertAlign w:val="baseline"/>
        </w:rPr>
        <w:t> </w:t>
      </w:r>
      <w:r>
        <w:rPr>
          <w:sz w:val="18"/>
          <w:vertAlign w:val="baseline"/>
        </w:rPr>
        <w:t>Bisexual,</w:t>
      </w:r>
      <w:r>
        <w:rPr>
          <w:spacing w:val="-3"/>
          <w:sz w:val="18"/>
          <w:vertAlign w:val="baseline"/>
        </w:rPr>
        <w:t> </w:t>
      </w:r>
      <w:r>
        <w:rPr>
          <w:sz w:val="18"/>
          <w:vertAlign w:val="baseline"/>
        </w:rPr>
        <w:t>Transgender,</w:t>
      </w:r>
      <w:r>
        <w:rPr>
          <w:spacing w:val="-3"/>
          <w:sz w:val="18"/>
          <w:vertAlign w:val="baseline"/>
        </w:rPr>
        <w:t> </w:t>
      </w:r>
      <w:r>
        <w:rPr>
          <w:sz w:val="18"/>
          <w:vertAlign w:val="baseline"/>
        </w:rPr>
        <w:t>Queer,</w:t>
      </w:r>
      <w:r>
        <w:rPr>
          <w:spacing w:val="-3"/>
          <w:sz w:val="18"/>
          <w:vertAlign w:val="baseline"/>
        </w:rPr>
        <w:t> </w:t>
      </w:r>
      <w:r>
        <w:rPr>
          <w:sz w:val="18"/>
          <w:vertAlign w:val="baseline"/>
        </w:rPr>
        <w:t>and</w:t>
      </w:r>
      <w:r>
        <w:rPr>
          <w:spacing w:val="-2"/>
          <w:sz w:val="18"/>
          <w:vertAlign w:val="baseline"/>
        </w:rPr>
        <w:t> </w:t>
      </w:r>
      <w:r>
        <w:rPr>
          <w:sz w:val="18"/>
          <w:vertAlign w:val="baseline"/>
        </w:rPr>
        <w:t>HIV-Affected</w:t>
      </w:r>
      <w:r>
        <w:rPr>
          <w:spacing w:val="-2"/>
          <w:sz w:val="18"/>
          <w:vertAlign w:val="baseline"/>
        </w:rPr>
        <w:t> </w:t>
      </w:r>
      <w:r>
        <w:rPr>
          <w:sz w:val="18"/>
          <w:vertAlign w:val="baseline"/>
        </w:rPr>
        <w:t>Hate</w:t>
      </w:r>
      <w:r>
        <w:rPr>
          <w:spacing w:val="-2"/>
          <w:sz w:val="18"/>
          <w:vertAlign w:val="baseline"/>
        </w:rPr>
        <w:t> </w:t>
      </w:r>
      <w:r>
        <w:rPr>
          <w:sz w:val="18"/>
          <w:vertAlign w:val="baseline"/>
        </w:rPr>
        <w:t>Violence</w:t>
      </w:r>
      <w:r>
        <w:rPr>
          <w:spacing w:val="-2"/>
          <w:sz w:val="18"/>
          <w:vertAlign w:val="baseline"/>
        </w:rPr>
        <w:t> </w:t>
      </w:r>
      <w:r>
        <w:rPr>
          <w:sz w:val="18"/>
          <w:vertAlign w:val="baseline"/>
        </w:rPr>
        <w:t>in</w:t>
      </w:r>
      <w:r>
        <w:rPr>
          <w:spacing w:val="-2"/>
          <w:sz w:val="18"/>
          <w:vertAlign w:val="baseline"/>
        </w:rPr>
        <w:t> </w:t>
      </w:r>
      <w:r>
        <w:rPr>
          <w:sz w:val="18"/>
          <w:vertAlign w:val="baseline"/>
        </w:rPr>
        <w:t>2016</w:t>
      </w:r>
      <w:r>
        <w:rPr>
          <w:spacing w:val="-2"/>
          <w:sz w:val="18"/>
          <w:vertAlign w:val="baseline"/>
        </w:rPr>
        <w:t> </w:t>
      </w:r>
      <w:r>
        <w:rPr>
          <w:sz w:val="18"/>
          <w:vertAlign w:val="baseline"/>
        </w:rPr>
        <w:t>(New</w:t>
      </w:r>
      <w:r>
        <w:rPr>
          <w:spacing w:val="-4"/>
          <w:sz w:val="18"/>
          <w:vertAlign w:val="baseline"/>
        </w:rPr>
        <w:t> </w:t>
      </w:r>
      <w:r>
        <w:rPr>
          <w:sz w:val="18"/>
          <w:vertAlign w:val="baseline"/>
        </w:rPr>
        <w:t>York:</w:t>
      </w:r>
      <w:r>
        <w:rPr>
          <w:spacing w:val="-2"/>
          <w:sz w:val="18"/>
          <w:vertAlign w:val="baseline"/>
        </w:rPr>
        <w:t> </w:t>
      </w:r>
      <w:r>
        <w:rPr>
          <w:sz w:val="18"/>
          <w:vertAlign w:val="baseline"/>
        </w:rPr>
        <w:t>National Coalition of Anti-Violence Programs, 2017),</w:t>
      </w:r>
      <w:r>
        <w:rPr>
          <w:spacing w:val="80"/>
          <w:w w:val="150"/>
          <w:sz w:val="18"/>
          <w:vertAlign w:val="baseline"/>
        </w:rPr>
        <w:t> </w:t>
      </w:r>
      <w:hyperlink r:id="rId511">
        <w:r>
          <w:rPr>
            <w:spacing w:val="-2"/>
            <w:sz w:val="18"/>
            <w:vertAlign w:val="baseline"/>
          </w:rPr>
          <w:t>http://avp.org/wpcontent/uploads/2017/06/NCAVP_2016HateViolence_REPORT.pdf.</w:t>
        </w:r>
      </w:hyperlink>
    </w:p>
    <w:p>
      <w:pPr>
        <w:spacing w:line="219" w:lineRule="exact" w:before="0"/>
        <w:ind w:left="320" w:right="0" w:firstLine="0"/>
        <w:jc w:val="left"/>
        <w:rPr>
          <w:i/>
          <w:sz w:val="18"/>
        </w:rPr>
      </w:pPr>
      <w:r>
        <w:rPr>
          <w:sz w:val="18"/>
          <w:vertAlign w:val="superscript"/>
        </w:rPr>
        <w:t>90</w:t>
      </w:r>
      <w:r>
        <w:rPr>
          <w:sz w:val="18"/>
          <w:vertAlign w:val="baseline"/>
        </w:rPr>
        <w:t> </w:t>
      </w:r>
      <w:r>
        <w:rPr>
          <w:i/>
          <w:spacing w:val="-5"/>
          <w:sz w:val="18"/>
          <w:vertAlign w:val="baseline"/>
        </w:rPr>
        <w:t>Id.</w:t>
      </w:r>
    </w:p>
    <w:p>
      <w:pPr>
        <w:spacing w:before="1"/>
        <w:ind w:left="320" w:right="454" w:firstLine="0"/>
        <w:jc w:val="left"/>
        <w:rPr>
          <w:sz w:val="18"/>
        </w:rPr>
      </w:pPr>
      <w:r>
        <w:rPr>
          <w:sz w:val="18"/>
          <w:vertAlign w:val="superscript"/>
        </w:rPr>
        <w:t>91</w:t>
      </w:r>
      <w:r>
        <w:rPr>
          <w:spacing w:val="-2"/>
          <w:sz w:val="18"/>
          <w:vertAlign w:val="baseline"/>
        </w:rPr>
        <w:t> </w:t>
      </w:r>
      <w:r>
        <w:rPr>
          <w:sz w:val="18"/>
          <w:vertAlign w:val="baseline"/>
        </w:rPr>
        <w:t>Palmer,</w:t>
      </w:r>
      <w:r>
        <w:rPr>
          <w:spacing w:val="-3"/>
          <w:sz w:val="18"/>
          <w:vertAlign w:val="baseline"/>
        </w:rPr>
        <w:t> </w:t>
      </w:r>
      <w:r>
        <w:rPr>
          <w:sz w:val="18"/>
          <w:vertAlign w:val="baseline"/>
        </w:rPr>
        <w:t>Neal</w:t>
      </w:r>
      <w:r>
        <w:rPr>
          <w:spacing w:val="-3"/>
          <w:sz w:val="18"/>
          <w:vertAlign w:val="baseline"/>
        </w:rPr>
        <w:t> </w:t>
      </w:r>
      <w:r>
        <w:rPr>
          <w:sz w:val="18"/>
          <w:vertAlign w:val="baseline"/>
        </w:rPr>
        <w:t>A.</w:t>
      </w:r>
      <w:r>
        <w:rPr>
          <w:spacing w:val="35"/>
          <w:sz w:val="18"/>
          <w:vertAlign w:val="baseline"/>
        </w:rPr>
        <w:t> </w:t>
      </w:r>
      <w:r>
        <w:rPr>
          <w:sz w:val="18"/>
          <w:vertAlign w:val="baseline"/>
        </w:rPr>
        <w:t>and</w:t>
      </w:r>
      <w:r>
        <w:rPr>
          <w:spacing w:val="-2"/>
          <w:sz w:val="18"/>
          <w:vertAlign w:val="baseline"/>
        </w:rPr>
        <w:t> </w:t>
      </w:r>
      <w:r>
        <w:rPr>
          <w:sz w:val="18"/>
          <w:vertAlign w:val="baseline"/>
        </w:rPr>
        <w:t>Besiki</w:t>
      </w:r>
      <w:r>
        <w:rPr>
          <w:spacing w:val="-3"/>
          <w:sz w:val="18"/>
          <w:vertAlign w:val="baseline"/>
        </w:rPr>
        <w:t> </w:t>
      </w:r>
      <w:r>
        <w:rPr>
          <w:sz w:val="18"/>
          <w:vertAlign w:val="baseline"/>
        </w:rPr>
        <w:t>Luka</w:t>
      </w:r>
      <w:r>
        <w:rPr>
          <w:spacing w:val="-2"/>
          <w:sz w:val="18"/>
          <w:vertAlign w:val="baseline"/>
        </w:rPr>
        <w:t> </w:t>
      </w:r>
      <w:r>
        <w:rPr>
          <w:sz w:val="18"/>
          <w:vertAlign w:val="baseline"/>
        </w:rPr>
        <w:t>Kutateladaze.</w:t>
      </w:r>
      <w:r>
        <w:rPr>
          <w:spacing w:val="-2"/>
          <w:sz w:val="18"/>
          <w:vertAlign w:val="baseline"/>
        </w:rPr>
        <w:t> </w:t>
      </w:r>
      <w:r>
        <w:rPr>
          <w:sz w:val="18"/>
          <w:vertAlign w:val="baseline"/>
        </w:rPr>
        <w:t>2022.</w:t>
      </w:r>
      <w:r>
        <w:rPr>
          <w:spacing w:val="-2"/>
          <w:sz w:val="18"/>
          <w:vertAlign w:val="baseline"/>
        </w:rPr>
        <w:t> </w:t>
      </w:r>
      <w:r>
        <w:rPr>
          <w:i/>
          <w:sz w:val="18"/>
          <w:vertAlign w:val="baseline"/>
        </w:rPr>
        <w:t>What</w:t>
      </w:r>
      <w:r>
        <w:rPr>
          <w:i/>
          <w:spacing w:val="-3"/>
          <w:sz w:val="18"/>
          <w:vertAlign w:val="baseline"/>
        </w:rPr>
        <w:t> </w:t>
      </w:r>
      <w:r>
        <w:rPr>
          <w:i/>
          <w:sz w:val="18"/>
          <w:vertAlign w:val="baseline"/>
        </w:rPr>
        <w:t>Prosecutors</w:t>
      </w:r>
      <w:r>
        <w:rPr>
          <w:i/>
          <w:spacing w:val="-3"/>
          <w:sz w:val="18"/>
          <w:vertAlign w:val="baseline"/>
        </w:rPr>
        <w:t> </w:t>
      </w:r>
      <w:r>
        <w:rPr>
          <w:i/>
          <w:sz w:val="18"/>
          <w:vertAlign w:val="baseline"/>
        </w:rPr>
        <w:t>and</w:t>
      </w:r>
      <w:r>
        <w:rPr>
          <w:i/>
          <w:spacing w:val="-1"/>
          <w:sz w:val="18"/>
          <w:vertAlign w:val="baseline"/>
        </w:rPr>
        <w:t> </w:t>
      </w:r>
      <w:r>
        <w:rPr>
          <w:i/>
          <w:sz w:val="18"/>
          <w:vertAlign w:val="baseline"/>
        </w:rPr>
        <w:t>the</w:t>
      </w:r>
      <w:r>
        <w:rPr>
          <w:i/>
          <w:spacing w:val="-2"/>
          <w:sz w:val="18"/>
          <w:vertAlign w:val="baseline"/>
        </w:rPr>
        <w:t> </w:t>
      </w:r>
      <w:r>
        <w:rPr>
          <w:i/>
          <w:sz w:val="18"/>
          <w:vertAlign w:val="baseline"/>
        </w:rPr>
        <w:t>Police</w:t>
      </w:r>
      <w:r>
        <w:rPr>
          <w:i/>
          <w:spacing w:val="-2"/>
          <w:sz w:val="18"/>
          <w:vertAlign w:val="baseline"/>
        </w:rPr>
        <w:t> </w:t>
      </w:r>
      <w:r>
        <w:rPr>
          <w:i/>
          <w:sz w:val="18"/>
          <w:vertAlign w:val="baseline"/>
        </w:rPr>
        <w:t>Should</w:t>
      </w:r>
      <w:r>
        <w:rPr>
          <w:i/>
          <w:spacing w:val="-1"/>
          <w:sz w:val="18"/>
          <w:vertAlign w:val="baseline"/>
        </w:rPr>
        <w:t> </w:t>
      </w:r>
      <w:r>
        <w:rPr>
          <w:i/>
          <w:sz w:val="18"/>
          <w:vertAlign w:val="baseline"/>
        </w:rPr>
        <w:t>Do</w:t>
      </w:r>
      <w:r>
        <w:rPr>
          <w:i/>
          <w:spacing w:val="-2"/>
          <w:sz w:val="18"/>
          <w:vertAlign w:val="baseline"/>
        </w:rPr>
        <w:t> </w:t>
      </w:r>
      <w:r>
        <w:rPr>
          <w:i/>
          <w:sz w:val="18"/>
          <w:vertAlign w:val="baseline"/>
        </w:rPr>
        <w:t>About</w:t>
      </w:r>
      <w:r>
        <w:rPr>
          <w:i/>
          <w:spacing w:val="-3"/>
          <w:sz w:val="18"/>
          <w:vertAlign w:val="baseline"/>
        </w:rPr>
        <w:t> </w:t>
      </w:r>
      <w:r>
        <w:rPr>
          <w:i/>
          <w:sz w:val="18"/>
          <w:vertAlign w:val="baseline"/>
        </w:rPr>
        <w:t>Underreporting</w:t>
      </w:r>
      <w:r>
        <w:rPr>
          <w:i/>
          <w:spacing w:val="-3"/>
          <w:sz w:val="18"/>
          <w:vertAlign w:val="baseline"/>
        </w:rPr>
        <w:t> </w:t>
      </w:r>
      <w:r>
        <w:rPr>
          <w:i/>
          <w:sz w:val="18"/>
          <w:vertAlign w:val="baseline"/>
        </w:rPr>
        <w:t>of</w:t>
      </w:r>
      <w:r>
        <w:rPr>
          <w:i/>
          <w:sz w:val="18"/>
          <w:vertAlign w:val="baseline"/>
        </w:rPr>
        <w:t> Anti-LGBTQ Hate Crime</w:t>
      </w:r>
      <w:r>
        <w:rPr>
          <w:sz w:val="18"/>
          <w:vertAlign w:val="baseline"/>
        </w:rPr>
        <w:t>, Sexuality Research and Social Policy, 2022. </w:t>
      </w:r>
      <w:hyperlink r:id="rId512">
        <w:r>
          <w:rPr>
            <w:sz w:val="18"/>
            <w:u w:val="single"/>
            <w:vertAlign w:val="baseline"/>
          </w:rPr>
          <w:t>https://link.springer.com/article/10.1007/s13178-021-</w:t>
        </w:r>
      </w:hyperlink>
      <w:r>
        <w:rPr>
          <w:sz w:val="18"/>
          <w:u w:val="none"/>
          <w:vertAlign w:val="baseline"/>
        </w:rPr>
        <w:t> </w:t>
      </w:r>
      <w:hyperlink r:id="rId512">
        <w:r>
          <w:rPr>
            <w:spacing w:val="-2"/>
            <w:sz w:val="18"/>
            <w:u w:val="single"/>
            <w:vertAlign w:val="baseline"/>
          </w:rPr>
          <w:t>00596-5</w:t>
        </w:r>
      </w:hyperlink>
    </w:p>
    <w:p>
      <w:pPr>
        <w:spacing w:line="219" w:lineRule="exact" w:before="0"/>
        <w:ind w:left="320" w:right="0" w:firstLine="0"/>
        <w:jc w:val="left"/>
        <w:rPr>
          <w:i/>
          <w:sz w:val="18"/>
        </w:rPr>
      </w:pPr>
      <w:r>
        <w:rPr>
          <w:sz w:val="18"/>
          <w:vertAlign w:val="superscript"/>
        </w:rPr>
        <w:t>92</w:t>
      </w:r>
      <w:r>
        <w:rPr>
          <w:sz w:val="18"/>
          <w:vertAlign w:val="baseline"/>
        </w:rPr>
        <w:t> </w:t>
      </w:r>
      <w:r>
        <w:rPr>
          <w:i/>
          <w:spacing w:val="-5"/>
          <w:sz w:val="18"/>
          <w:vertAlign w:val="baseline"/>
        </w:rPr>
        <w:t>Id.</w:t>
      </w:r>
    </w:p>
    <w:p>
      <w:pPr>
        <w:spacing w:before="0"/>
        <w:ind w:left="320" w:right="228" w:firstLine="0"/>
        <w:jc w:val="left"/>
        <w:rPr>
          <w:sz w:val="18"/>
        </w:rPr>
      </w:pPr>
      <w:r>
        <w:rPr>
          <w:sz w:val="18"/>
          <w:vertAlign w:val="superscript"/>
        </w:rPr>
        <w:t>93</w:t>
      </w:r>
      <w:r>
        <w:rPr>
          <w:spacing w:val="-2"/>
          <w:sz w:val="18"/>
          <w:vertAlign w:val="baseline"/>
        </w:rPr>
        <w:t> </w:t>
      </w:r>
      <w:r>
        <w:rPr>
          <w:sz w:val="18"/>
          <w:vertAlign w:val="baseline"/>
        </w:rPr>
        <w:t>Center</w:t>
      </w:r>
      <w:r>
        <w:rPr>
          <w:spacing w:val="-3"/>
          <w:sz w:val="18"/>
          <w:vertAlign w:val="baseline"/>
        </w:rPr>
        <w:t> </w:t>
      </w:r>
      <w:r>
        <w:rPr>
          <w:sz w:val="18"/>
          <w:vertAlign w:val="baseline"/>
        </w:rPr>
        <w:t>for</w:t>
      </w:r>
      <w:r>
        <w:rPr>
          <w:spacing w:val="-3"/>
          <w:sz w:val="18"/>
          <w:vertAlign w:val="baseline"/>
        </w:rPr>
        <w:t> </w:t>
      </w:r>
      <w:r>
        <w:rPr>
          <w:sz w:val="18"/>
          <w:vertAlign w:val="baseline"/>
        </w:rPr>
        <w:t>American</w:t>
      </w:r>
      <w:r>
        <w:rPr>
          <w:spacing w:val="-2"/>
          <w:sz w:val="18"/>
          <w:vertAlign w:val="baseline"/>
        </w:rPr>
        <w:t> </w:t>
      </w:r>
      <w:r>
        <w:rPr>
          <w:sz w:val="18"/>
          <w:vertAlign w:val="baseline"/>
        </w:rPr>
        <w:t>Progress</w:t>
      </w:r>
      <w:r>
        <w:rPr>
          <w:spacing w:val="-2"/>
          <w:sz w:val="18"/>
          <w:vertAlign w:val="baseline"/>
        </w:rPr>
        <w:t> </w:t>
      </w:r>
      <w:r>
        <w:rPr>
          <w:sz w:val="18"/>
          <w:vertAlign w:val="baseline"/>
        </w:rPr>
        <w:t>and</w:t>
      </w:r>
      <w:r>
        <w:rPr>
          <w:spacing w:val="-2"/>
          <w:sz w:val="18"/>
          <w:vertAlign w:val="baseline"/>
        </w:rPr>
        <w:t> </w:t>
      </w:r>
      <w:r>
        <w:rPr>
          <w:sz w:val="18"/>
          <w:vertAlign w:val="baseline"/>
        </w:rPr>
        <w:t>Movement</w:t>
      </w:r>
      <w:r>
        <w:rPr>
          <w:spacing w:val="-3"/>
          <w:sz w:val="18"/>
          <w:vertAlign w:val="baseline"/>
        </w:rPr>
        <w:t> </w:t>
      </w:r>
      <w:r>
        <w:rPr>
          <w:sz w:val="18"/>
          <w:vertAlign w:val="baseline"/>
        </w:rPr>
        <w:t>Advancement</w:t>
      </w:r>
      <w:r>
        <w:rPr>
          <w:spacing w:val="-4"/>
          <w:sz w:val="18"/>
          <w:vertAlign w:val="baseline"/>
        </w:rPr>
        <w:t> </w:t>
      </w:r>
      <w:r>
        <w:rPr>
          <w:sz w:val="18"/>
          <w:vertAlign w:val="baseline"/>
        </w:rPr>
        <w:t>Project.</w:t>
      </w:r>
      <w:r>
        <w:rPr>
          <w:spacing w:val="-2"/>
          <w:sz w:val="18"/>
          <w:vertAlign w:val="baseline"/>
        </w:rPr>
        <w:t> </w:t>
      </w:r>
      <w:r>
        <w:rPr>
          <w:sz w:val="18"/>
          <w:vertAlign w:val="baseline"/>
        </w:rPr>
        <w:t>2016.</w:t>
      </w:r>
      <w:r>
        <w:rPr>
          <w:spacing w:val="-2"/>
          <w:sz w:val="18"/>
          <w:vertAlign w:val="baseline"/>
        </w:rPr>
        <w:t> </w:t>
      </w:r>
      <w:r>
        <w:rPr>
          <w:sz w:val="18"/>
          <w:vertAlign w:val="baseline"/>
        </w:rPr>
        <w:t>“Unjust:</w:t>
      </w:r>
      <w:r>
        <w:rPr>
          <w:spacing w:val="-2"/>
          <w:sz w:val="18"/>
          <w:vertAlign w:val="baseline"/>
        </w:rPr>
        <w:t> </w:t>
      </w:r>
      <w:r>
        <w:rPr>
          <w:sz w:val="18"/>
          <w:vertAlign w:val="baseline"/>
        </w:rPr>
        <w:t>How</w:t>
      </w:r>
      <w:r>
        <w:rPr>
          <w:spacing w:val="-3"/>
          <w:sz w:val="18"/>
          <w:vertAlign w:val="baseline"/>
        </w:rPr>
        <w:t> </w:t>
      </w:r>
      <w:r>
        <w:rPr>
          <w:sz w:val="18"/>
          <w:vertAlign w:val="baseline"/>
        </w:rPr>
        <w:t>the</w:t>
      </w:r>
      <w:r>
        <w:rPr>
          <w:spacing w:val="-2"/>
          <w:sz w:val="18"/>
          <w:vertAlign w:val="baseline"/>
        </w:rPr>
        <w:t> </w:t>
      </w:r>
      <w:r>
        <w:rPr>
          <w:sz w:val="18"/>
          <w:vertAlign w:val="baseline"/>
        </w:rPr>
        <w:t>Broken</w:t>
      </w:r>
      <w:r>
        <w:rPr>
          <w:spacing w:val="-2"/>
          <w:sz w:val="18"/>
          <w:vertAlign w:val="baseline"/>
        </w:rPr>
        <w:t> </w:t>
      </w:r>
      <w:r>
        <w:rPr>
          <w:sz w:val="18"/>
          <w:vertAlign w:val="baseline"/>
        </w:rPr>
        <w:t>Juvenile</w:t>
      </w:r>
      <w:r>
        <w:rPr>
          <w:spacing w:val="-2"/>
          <w:sz w:val="18"/>
          <w:vertAlign w:val="baseline"/>
        </w:rPr>
        <w:t> </w:t>
      </w:r>
      <w:r>
        <w:rPr>
          <w:sz w:val="18"/>
          <w:vertAlign w:val="baseline"/>
        </w:rPr>
        <w:t>and</w:t>
      </w:r>
      <w:r>
        <w:rPr>
          <w:spacing w:val="-3"/>
          <w:sz w:val="18"/>
          <w:vertAlign w:val="baseline"/>
        </w:rPr>
        <w:t> </w:t>
      </w:r>
      <w:r>
        <w:rPr>
          <w:sz w:val="18"/>
          <w:vertAlign w:val="baseline"/>
        </w:rPr>
        <w:t>Criminal Justice Systems Fail LGBTQ Youth”, 2016. https:</w:t>
      </w:r>
      <w:hyperlink r:id="rId513">
        <w:r>
          <w:rPr>
            <w:sz w:val="18"/>
            <w:vertAlign w:val="baseline"/>
          </w:rPr>
          <w:t>//www.lgbtmap.org/file/lgbt-criminal-justice-youth.pdf</w:t>
        </w:r>
      </w:hyperlink>
    </w:p>
    <w:p>
      <w:pPr>
        <w:spacing w:before="0"/>
        <w:ind w:left="320" w:right="216" w:firstLine="0"/>
        <w:jc w:val="left"/>
        <w:rPr>
          <w:sz w:val="18"/>
        </w:rPr>
      </w:pPr>
      <w:r>
        <w:rPr>
          <w:sz w:val="18"/>
          <w:vertAlign w:val="superscript"/>
        </w:rPr>
        <w:t>94</w:t>
      </w:r>
      <w:r>
        <w:rPr>
          <w:spacing w:val="-2"/>
          <w:sz w:val="18"/>
          <w:vertAlign w:val="baseline"/>
        </w:rPr>
        <w:t> </w:t>
      </w:r>
      <w:r>
        <w:rPr>
          <w:sz w:val="18"/>
          <w:vertAlign w:val="baseline"/>
        </w:rPr>
        <w:t>Conron,</w:t>
      </w:r>
      <w:r>
        <w:rPr>
          <w:spacing w:val="-3"/>
          <w:sz w:val="18"/>
          <w:vertAlign w:val="baseline"/>
        </w:rPr>
        <w:t> </w:t>
      </w:r>
      <w:r>
        <w:rPr>
          <w:sz w:val="18"/>
          <w:vertAlign w:val="baseline"/>
        </w:rPr>
        <w:t>Keith</w:t>
      </w:r>
      <w:r>
        <w:rPr>
          <w:spacing w:val="-2"/>
          <w:sz w:val="18"/>
          <w:vertAlign w:val="baseline"/>
        </w:rPr>
        <w:t> </w:t>
      </w:r>
      <w:r>
        <w:rPr>
          <w:sz w:val="18"/>
          <w:vertAlign w:val="baseline"/>
        </w:rPr>
        <w:t>J.</w:t>
      </w:r>
      <w:r>
        <w:rPr>
          <w:spacing w:val="-2"/>
          <w:sz w:val="18"/>
          <w:vertAlign w:val="baseline"/>
        </w:rPr>
        <w:t> </w:t>
      </w:r>
      <w:r>
        <w:rPr>
          <w:sz w:val="18"/>
          <w:vertAlign w:val="baseline"/>
        </w:rPr>
        <w:t>and</w:t>
      </w:r>
      <w:r>
        <w:rPr>
          <w:spacing w:val="-2"/>
          <w:sz w:val="18"/>
          <w:vertAlign w:val="baseline"/>
        </w:rPr>
        <w:t> </w:t>
      </w:r>
      <w:r>
        <w:rPr>
          <w:sz w:val="18"/>
          <w:vertAlign w:val="baseline"/>
        </w:rPr>
        <w:t>Bianca</w:t>
      </w:r>
      <w:r>
        <w:rPr>
          <w:spacing w:val="-2"/>
          <w:sz w:val="18"/>
          <w:vertAlign w:val="baseline"/>
        </w:rPr>
        <w:t> </w:t>
      </w:r>
      <w:r>
        <w:rPr>
          <w:sz w:val="18"/>
          <w:vertAlign w:val="baseline"/>
        </w:rPr>
        <w:t>D.M.</w:t>
      </w:r>
      <w:r>
        <w:rPr>
          <w:spacing w:val="-3"/>
          <w:sz w:val="18"/>
          <w:vertAlign w:val="baseline"/>
        </w:rPr>
        <w:t> </w:t>
      </w:r>
      <w:r>
        <w:rPr>
          <w:sz w:val="18"/>
          <w:vertAlign w:val="baseline"/>
        </w:rPr>
        <w:t>Wilson.</w:t>
      </w:r>
      <w:r>
        <w:rPr>
          <w:spacing w:val="-2"/>
          <w:sz w:val="18"/>
          <w:vertAlign w:val="baseline"/>
        </w:rPr>
        <w:t> </w:t>
      </w:r>
      <w:r>
        <w:rPr>
          <w:sz w:val="18"/>
          <w:vertAlign w:val="baseline"/>
        </w:rPr>
        <w:t>2019.</w:t>
      </w:r>
      <w:r>
        <w:rPr>
          <w:spacing w:val="-2"/>
          <w:sz w:val="18"/>
          <w:vertAlign w:val="baseline"/>
        </w:rPr>
        <w:t> </w:t>
      </w:r>
      <w:r>
        <w:rPr>
          <w:sz w:val="18"/>
          <w:vertAlign w:val="baseline"/>
        </w:rPr>
        <w:t>Williams</w:t>
      </w:r>
      <w:r>
        <w:rPr>
          <w:spacing w:val="-2"/>
          <w:sz w:val="18"/>
          <w:vertAlign w:val="baseline"/>
        </w:rPr>
        <w:t> </w:t>
      </w:r>
      <w:r>
        <w:rPr>
          <w:sz w:val="18"/>
          <w:vertAlign w:val="baseline"/>
        </w:rPr>
        <w:t>Institute.</w:t>
      </w:r>
      <w:r>
        <w:rPr>
          <w:spacing w:val="-2"/>
          <w:sz w:val="18"/>
          <w:vertAlign w:val="baseline"/>
        </w:rPr>
        <w:t> </w:t>
      </w:r>
      <w:r>
        <w:rPr>
          <w:sz w:val="18"/>
          <w:vertAlign w:val="baseline"/>
        </w:rPr>
        <w:t>“LGBTQ</w:t>
      </w:r>
      <w:r>
        <w:rPr>
          <w:spacing w:val="-2"/>
          <w:sz w:val="18"/>
          <w:vertAlign w:val="baseline"/>
        </w:rPr>
        <w:t> </w:t>
      </w:r>
      <w:r>
        <w:rPr>
          <w:sz w:val="18"/>
          <w:vertAlign w:val="baseline"/>
        </w:rPr>
        <w:t>Youth</w:t>
      </w:r>
      <w:r>
        <w:rPr>
          <w:spacing w:val="-3"/>
          <w:sz w:val="18"/>
          <w:vertAlign w:val="baseline"/>
        </w:rPr>
        <w:t> </w:t>
      </w:r>
      <w:r>
        <w:rPr>
          <w:sz w:val="18"/>
          <w:vertAlign w:val="baseline"/>
        </w:rPr>
        <w:t>of</w:t>
      </w:r>
      <w:r>
        <w:rPr>
          <w:spacing w:val="-2"/>
          <w:sz w:val="18"/>
          <w:vertAlign w:val="baseline"/>
        </w:rPr>
        <w:t> </w:t>
      </w:r>
      <w:r>
        <w:rPr>
          <w:sz w:val="18"/>
          <w:vertAlign w:val="baseline"/>
        </w:rPr>
        <w:t>Color</w:t>
      </w:r>
      <w:r>
        <w:rPr>
          <w:spacing w:val="-3"/>
          <w:sz w:val="18"/>
          <w:vertAlign w:val="baseline"/>
        </w:rPr>
        <w:t> </w:t>
      </w:r>
      <w:r>
        <w:rPr>
          <w:sz w:val="18"/>
          <w:vertAlign w:val="baseline"/>
        </w:rPr>
        <w:t>Impacted</w:t>
      </w:r>
      <w:r>
        <w:rPr>
          <w:spacing w:val="-2"/>
          <w:sz w:val="18"/>
          <w:vertAlign w:val="baseline"/>
        </w:rPr>
        <w:t> </w:t>
      </w:r>
      <w:r>
        <w:rPr>
          <w:sz w:val="18"/>
          <w:vertAlign w:val="baseline"/>
        </w:rPr>
        <w:t>by</w:t>
      </w:r>
      <w:r>
        <w:rPr>
          <w:spacing w:val="-2"/>
          <w:sz w:val="18"/>
          <w:vertAlign w:val="baseline"/>
        </w:rPr>
        <w:t> </w:t>
      </w:r>
      <w:r>
        <w:rPr>
          <w:sz w:val="18"/>
          <w:vertAlign w:val="baseline"/>
        </w:rPr>
        <w:t>the</w:t>
      </w:r>
      <w:r>
        <w:rPr>
          <w:spacing w:val="-2"/>
          <w:sz w:val="18"/>
          <w:vertAlign w:val="baseline"/>
        </w:rPr>
        <w:t> </w:t>
      </w:r>
      <w:r>
        <w:rPr>
          <w:sz w:val="18"/>
          <w:vertAlign w:val="baseline"/>
        </w:rPr>
        <w:t>Child</w:t>
      </w:r>
      <w:r>
        <w:rPr>
          <w:spacing w:val="-2"/>
          <w:sz w:val="18"/>
          <w:vertAlign w:val="baseline"/>
        </w:rPr>
        <w:t> </w:t>
      </w:r>
      <w:r>
        <w:rPr>
          <w:sz w:val="18"/>
          <w:vertAlign w:val="baseline"/>
        </w:rPr>
        <w:t>Welfare</w:t>
      </w:r>
      <w:r>
        <w:rPr>
          <w:spacing w:val="-2"/>
          <w:sz w:val="18"/>
          <w:vertAlign w:val="baseline"/>
        </w:rPr>
        <w:t> </w:t>
      </w:r>
      <w:r>
        <w:rPr>
          <w:sz w:val="18"/>
          <w:vertAlign w:val="baseline"/>
        </w:rPr>
        <w:t>and Juvenile Justice Systems” (Los Angeles: Williams Institute at the UCLA School of Law, 2019), </w:t>
      </w:r>
      <w:r>
        <w:rPr>
          <w:spacing w:val="-2"/>
          <w:sz w:val="18"/>
          <w:vertAlign w:val="baseline"/>
        </w:rPr>
        <w:t>https://williamsinstitute.law.ucla.edu/wp-content/uploads/LGBTQ-YOC-Social-Services-Jul-2019.pdf</w:t>
      </w:r>
    </w:p>
    <w:p>
      <w:pPr>
        <w:spacing w:before="0"/>
        <w:ind w:left="320" w:right="228" w:firstLine="0"/>
        <w:jc w:val="left"/>
        <w:rPr>
          <w:sz w:val="18"/>
        </w:rPr>
      </w:pPr>
      <w:r>
        <w:rPr>
          <w:sz w:val="18"/>
          <w:vertAlign w:val="superscript"/>
        </w:rPr>
        <w:t>95</w:t>
      </w:r>
      <w:r>
        <w:rPr>
          <w:spacing w:val="-2"/>
          <w:sz w:val="18"/>
          <w:vertAlign w:val="baseline"/>
        </w:rPr>
        <w:t> </w:t>
      </w:r>
      <w:r>
        <w:rPr>
          <w:sz w:val="18"/>
          <w:vertAlign w:val="baseline"/>
        </w:rPr>
        <w:t>Wilson,</w:t>
      </w:r>
      <w:r>
        <w:rPr>
          <w:spacing w:val="-3"/>
          <w:sz w:val="18"/>
          <w:vertAlign w:val="baseline"/>
        </w:rPr>
        <w:t> </w:t>
      </w:r>
      <w:r>
        <w:rPr>
          <w:sz w:val="18"/>
          <w:vertAlign w:val="baseline"/>
        </w:rPr>
        <w:t>Bianca</w:t>
      </w:r>
      <w:r>
        <w:rPr>
          <w:spacing w:val="-1"/>
          <w:sz w:val="18"/>
          <w:vertAlign w:val="baseline"/>
        </w:rPr>
        <w:t> </w:t>
      </w:r>
      <w:r>
        <w:rPr>
          <w:sz w:val="18"/>
          <w:vertAlign w:val="baseline"/>
        </w:rPr>
        <w:t>D.M.,</w:t>
      </w:r>
      <w:r>
        <w:rPr>
          <w:spacing w:val="-3"/>
          <w:sz w:val="18"/>
          <w:vertAlign w:val="baseline"/>
        </w:rPr>
        <w:t> </w:t>
      </w:r>
      <w:r>
        <w:rPr>
          <w:sz w:val="18"/>
          <w:vertAlign w:val="baseline"/>
        </w:rPr>
        <w:t>Sid</w:t>
      </w:r>
      <w:r>
        <w:rPr>
          <w:spacing w:val="-2"/>
          <w:sz w:val="18"/>
          <w:vertAlign w:val="baseline"/>
        </w:rPr>
        <w:t> </w:t>
      </w:r>
      <w:r>
        <w:rPr>
          <w:sz w:val="18"/>
          <w:vertAlign w:val="baseline"/>
        </w:rPr>
        <w:t>P.</w:t>
      </w:r>
      <w:r>
        <w:rPr>
          <w:spacing w:val="-2"/>
          <w:sz w:val="18"/>
          <w:vertAlign w:val="baseline"/>
        </w:rPr>
        <w:t> </w:t>
      </w:r>
      <w:r>
        <w:rPr>
          <w:sz w:val="18"/>
          <w:vertAlign w:val="baseline"/>
        </w:rPr>
        <w:t>Jordan,</w:t>
      </w:r>
      <w:r>
        <w:rPr>
          <w:spacing w:val="-3"/>
          <w:sz w:val="18"/>
          <w:vertAlign w:val="baseline"/>
        </w:rPr>
        <w:t> </w:t>
      </w:r>
      <w:r>
        <w:rPr>
          <w:sz w:val="18"/>
          <w:vertAlign w:val="baseline"/>
        </w:rPr>
        <w:t>Ilan</w:t>
      </w:r>
      <w:r>
        <w:rPr>
          <w:spacing w:val="-2"/>
          <w:sz w:val="18"/>
          <w:vertAlign w:val="baseline"/>
        </w:rPr>
        <w:t> </w:t>
      </w:r>
      <w:r>
        <w:rPr>
          <w:sz w:val="18"/>
          <w:vertAlign w:val="baseline"/>
        </w:rPr>
        <w:t>H.</w:t>
      </w:r>
      <w:r>
        <w:rPr>
          <w:spacing w:val="-2"/>
          <w:sz w:val="18"/>
          <w:vertAlign w:val="baseline"/>
        </w:rPr>
        <w:t> </w:t>
      </w:r>
      <w:r>
        <w:rPr>
          <w:sz w:val="18"/>
          <w:vertAlign w:val="baseline"/>
        </w:rPr>
        <w:t>Meyer,</w:t>
      </w:r>
      <w:r>
        <w:rPr>
          <w:spacing w:val="-3"/>
          <w:sz w:val="18"/>
          <w:vertAlign w:val="baseline"/>
        </w:rPr>
        <w:t> </w:t>
      </w:r>
      <w:r>
        <w:rPr>
          <w:sz w:val="18"/>
          <w:vertAlign w:val="baseline"/>
        </w:rPr>
        <w:t>Andrew</w:t>
      </w:r>
      <w:r>
        <w:rPr>
          <w:spacing w:val="-3"/>
          <w:sz w:val="18"/>
          <w:vertAlign w:val="baseline"/>
        </w:rPr>
        <w:t> </w:t>
      </w:r>
      <w:r>
        <w:rPr>
          <w:sz w:val="18"/>
          <w:vertAlign w:val="baseline"/>
        </w:rPr>
        <w:t>Flores,</w:t>
      </w:r>
      <w:r>
        <w:rPr>
          <w:spacing w:val="-3"/>
          <w:sz w:val="18"/>
          <w:vertAlign w:val="baseline"/>
        </w:rPr>
        <w:t> </w:t>
      </w:r>
      <w:r>
        <w:rPr>
          <w:sz w:val="18"/>
          <w:vertAlign w:val="baseline"/>
        </w:rPr>
        <w:t>Lara</w:t>
      </w:r>
      <w:r>
        <w:rPr>
          <w:spacing w:val="-2"/>
          <w:sz w:val="18"/>
          <w:vertAlign w:val="baseline"/>
        </w:rPr>
        <w:t> </w:t>
      </w:r>
      <w:r>
        <w:rPr>
          <w:sz w:val="18"/>
          <w:vertAlign w:val="baseline"/>
        </w:rPr>
        <w:t>Stemple,</w:t>
      </w:r>
      <w:r>
        <w:rPr>
          <w:spacing w:val="-3"/>
          <w:sz w:val="18"/>
          <w:vertAlign w:val="baseline"/>
        </w:rPr>
        <w:t> </w:t>
      </w:r>
      <w:r>
        <w:rPr>
          <w:sz w:val="18"/>
          <w:vertAlign w:val="baseline"/>
        </w:rPr>
        <w:t>and</w:t>
      </w:r>
      <w:r>
        <w:rPr>
          <w:spacing w:val="-2"/>
          <w:sz w:val="18"/>
          <w:vertAlign w:val="baseline"/>
        </w:rPr>
        <w:t> </w:t>
      </w:r>
      <w:r>
        <w:rPr>
          <w:sz w:val="18"/>
          <w:vertAlign w:val="baseline"/>
        </w:rPr>
        <w:t>Jody</w:t>
      </w:r>
      <w:r>
        <w:rPr>
          <w:spacing w:val="-2"/>
          <w:sz w:val="18"/>
          <w:vertAlign w:val="baseline"/>
        </w:rPr>
        <w:t> </w:t>
      </w:r>
      <w:r>
        <w:rPr>
          <w:sz w:val="18"/>
          <w:vertAlign w:val="baseline"/>
        </w:rPr>
        <w:t>Herman.</w:t>
      </w:r>
      <w:r>
        <w:rPr>
          <w:spacing w:val="-2"/>
          <w:sz w:val="18"/>
          <w:vertAlign w:val="baseline"/>
        </w:rPr>
        <w:t> </w:t>
      </w:r>
      <w:r>
        <w:rPr>
          <w:sz w:val="18"/>
          <w:vertAlign w:val="baseline"/>
        </w:rPr>
        <w:t>2017.</w:t>
      </w:r>
      <w:r>
        <w:rPr>
          <w:spacing w:val="-2"/>
          <w:sz w:val="18"/>
          <w:vertAlign w:val="baseline"/>
        </w:rPr>
        <w:t> </w:t>
      </w:r>
      <w:r>
        <w:rPr>
          <w:sz w:val="18"/>
          <w:vertAlign w:val="baseline"/>
        </w:rPr>
        <w:t>"Disproportionality and Disparities among Sexual Minority Youth in Custody." </w:t>
      </w:r>
      <w:r>
        <w:rPr>
          <w:i/>
          <w:sz w:val="18"/>
          <w:vertAlign w:val="baseline"/>
        </w:rPr>
        <w:t>Journal of Youth and Adolescence </w:t>
      </w:r>
      <w:r>
        <w:rPr>
          <w:sz w:val="18"/>
          <w:vertAlign w:val="baseline"/>
        </w:rPr>
        <w:t>46, no. 7 (July 2017): 1547-1561. Published online January 16, 2017. doi:10.1007/s10964-017-0632-5</w:t>
      </w:r>
    </w:p>
    <w:p>
      <w:pPr>
        <w:spacing w:before="0"/>
        <w:ind w:left="320" w:right="318" w:firstLine="0"/>
        <w:jc w:val="left"/>
        <w:rPr>
          <w:sz w:val="18"/>
        </w:rPr>
      </w:pPr>
      <w:r>
        <w:rPr>
          <w:sz w:val="18"/>
          <w:vertAlign w:val="superscript"/>
        </w:rPr>
        <w:t>96</w:t>
      </w:r>
      <w:r>
        <w:rPr>
          <w:spacing w:val="-2"/>
          <w:sz w:val="18"/>
          <w:vertAlign w:val="baseline"/>
        </w:rPr>
        <w:t> </w:t>
      </w:r>
      <w:r>
        <w:rPr>
          <w:sz w:val="18"/>
          <w:vertAlign w:val="baseline"/>
        </w:rPr>
        <w:t>Silver,</w:t>
      </w:r>
      <w:r>
        <w:rPr>
          <w:spacing w:val="-3"/>
          <w:sz w:val="18"/>
          <w:vertAlign w:val="baseline"/>
        </w:rPr>
        <w:t> </w:t>
      </w:r>
      <w:r>
        <w:rPr>
          <w:sz w:val="18"/>
          <w:vertAlign w:val="baseline"/>
        </w:rPr>
        <w:t>Ian</w:t>
      </w:r>
      <w:r>
        <w:rPr>
          <w:spacing w:val="-2"/>
          <w:sz w:val="18"/>
          <w:vertAlign w:val="baseline"/>
        </w:rPr>
        <w:t> </w:t>
      </w:r>
      <w:r>
        <w:rPr>
          <w:sz w:val="18"/>
          <w:vertAlign w:val="baseline"/>
        </w:rPr>
        <w:t>A.</w:t>
      </w:r>
      <w:r>
        <w:rPr>
          <w:spacing w:val="-2"/>
          <w:sz w:val="18"/>
          <w:vertAlign w:val="baseline"/>
        </w:rPr>
        <w:t> </w:t>
      </w:r>
      <w:r>
        <w:rPr>
          <w:sz w:val="18"/>
          <w:vertAlign w:val="baseline"/>
        </w:rPr>
        <w:t>,</w:t>
      </w:r>
      <w:r>
        <w:rPr>
          <w:spacing w:val="-3"/>
          <w:sz w:val="18"/>
          <w:vertAlign w:val="baseline"/>
        </w:rPr>
        <w:t> </w:t>
      </w:r>
      <w:r>
        <w:rPr>
          <w:sz w:val="18"/>
          <w:vertAlign w:val="baseline"/>
        </w:rPr>
        <w:t>Daniel</w:t>
      </w:r>
      <w:r>
        <w:rPr>
          <w:spacing w:val="-3"/>
          <w:sz w:val="18"/>
          <w:vertAlign w:val="baseline"/>
        </w:rPr>
        <w:t> </w:t>
      </w:r>
      <w:r>
        <w:rPr>
          <w:sz w:val="18"/>
          <w:vertAlign w:val="baseline"/>
        </w:rPr>
        <w:t>C.</w:t>
      </w:r>
      <w:r>
        <w:rPr>
          <w:spacing w:val="-2"/>
          <w:sz w:val="18"/>
          <w:vertAlign w:val="baseline"/>
        </w:rPr>
        <w:t> </w:t>
      </w:r>
      <w:r>
        <w:rPr>
          <w:sz w:val="18"/>
          <w:vertAlign w:val="baseline"/>
        </w:rPr>
        <w:t>Semenza,</w:t>
      </w:r>
      <w:r>
        <w:rPr>
          <w:spacing w:val="-3"/>
          <w:sz w:val="18"/>
          <w:vertAlign w:val="baseline"/>
        </w:rPr>
        <w:t> </w:t>
      </w:r>
      <w:r>
        <w:rPr>
          <w:sz w:val="18"/>
          <w:vertAlign w:val="baseline"/>
        </w:rPr>
        <w:t>and</w:t>
      </w:r>
      <w:r>
        <w:rPr>
          <w:spacing w:val="-2"/>
          <w:sz w:val="18"/>
          <w:vertAlign w:val="baseline"/>
        </w:rPr>
        <w:t> </w:t>
      </w:r>
      <w:r>
        <w:rPr>
          <w:sz w:val="18"/>
          <w:vertAlign w:val="baseline"/>
        </w:rPr>
        <w:t>Joseph</w:t>
      </w:r>
      <w:r>
        <w:rPr>
          <w:spacing w:val="-2"/>
          <w:sz w:val="18"/>
          <w:vertAlign w:val="baseline"/>
        </w:rPr>
        <w:t> </w:t>
      </w:r>
      <w:r>
        <w:rPr>
          <w:sz w:val="18"/>
          <w:vertAlign w:val="baseline"/>
        </w:rPr>
        <w:t>L.</w:t>
      </w:r>
      <w:r>
        <w:rPr>
          <w:spacing w:val="-3"/>
          <w:sz w:val="18"/>
          <w:vertAlign w:val="baseline"/>
        </w:rPr>
        <w:t> </w:t>
      </w:r>
      <w:r>
        <w:rPr>
          <w:sz w:val="18"/>
          <w:vertAlign w:val="baseline"/>
        </w:rPr>
        <w:t>Nedelec.</w:t>
      </w:r>
      <w:r>
        <w:rPr>
          <w:spacing w:val="-2"/>
          <w:sz w:val="18"/>
          <w:vertAlign w:val="baseline"/>
        </w:rPr>
        <w:t> </w:t>
      </w:r>
      <w:r>
        <w:rPr>
          <w:sz w:val="18"/>
          <w:vertAlign w:val="baseline"/>
        </w:rPr>
        <w:t>2023.</w:t>
      </w:r>
      <w:r>
        <w:rPr>
          <w:spacing w:val="-2"/>
          <w:sz w:val="18"/>
          <w:vertAlign w:val="baseline"/>
        </w:rPr>
        <w:t> </w:t>
      </w:r>
      <w:r>
        <w:rPr>
          <w:sz w:val="18"/>
          <w:vertAlign w:val="baseline"/>
        </w:rPr>
        <w:t>Incarceration</w:t>
      </w:r>
      <w:r>
        <w:rPr>
          <w:spacing w:val="-2"/>
          <w:sz w:val="18"/>
          <w:vertAlign w:val="baseline"/>
        </w:rPr>
        <w:t> </w:t>
      </w:r>
      <w:r>
        <w:rPr>
          <w:sz w:val="18"/>
          <w:vertAlign w:val="baseline"/>
        </w:rPr>
        <w:t>of</w:t>
      </w:r>
      <w:r>
        <w:rPr>
          <w:spacing w:val="-1"/>
          <w:sz w:val="18"/>
          <w:vertAlign w:val="baseline"/>
        </w:rPr>
        <w:t> </w:t>
      </w:r>
      <w:r>
        <w:rPr>
          <w:sz w:val="18"/>
          <w:vertAlign w:val="baseline"/>
        </w:rPr>
        <w:t>Youths</w:t>
      </w:r>
      <w:r>
        <w:rPr>
          <w:spacing w:val="-2"/>
          <w:sz w:val="18"/>
          <w:vertAlign w:val="baseline"/>
        </w:rPr>
        <w:t> </w:t>
      </w:r>
      <w:r>
        <w:rPr>
          <w:sz w:val="18"/>
          <w:vertAlign w:val="baseline"/>
        </w:rPr>
        <w:t>in</w:t>
      </w:r>
      <w:r>
        <w:rPr>
          <w:spacing w:val="-2"/>
          <w:sz w:val="18"/>
          <w:vertAlign w:val="baseline"/>
        </w:rPr>
        <w:t> </w:t>
      </w:r>
      <w:r>
        <w:rPr>
          <w:sz w:val="18"/>
          <w:vertAlign w:val="baseline"/>
        </w:rPr>
        <w:t>an</w:t>
      </w:r>
      <w:r>
        <w:rPr>
          <w:spacing w:val="-2"/>
          <w:sz w:val="18"/>
          <w:vertAlign w:val="baseline"/>
        </w:rPr>
        <w:t> </w:t>
      </w:r>
      <w:r>
        <w:rPr>
          <w:sz w:val="18"/>
          <w:vertAlign w:val="baseline"/>
        </w:rPr>
        <w:t>Adult</w:t>
      </w:r>
      <w:r>
        <w:rPr>
          <w:spacing w:val="-3"/>
          <w:sz w:val="18"/>
          <w:vertAlign w:val="baseline"/>
        </w:rPr>
        <w:t> </w:t>
      </w:r>
      <w:r>
        <w:rPr>
          <w:sz w:val="18"/>
          <w:vertAlign w:val="baseline"/>
        </w:rPr>
        <w:t>Correctional</w:t>
      </w:r>
      <w:r>
        <w:rPr>
          <w:spacing w:val="-2"/>
          <w:sz w:val="18"/>
          <w:vertAlign w:val="baseline"/>
        </w:rPr>
        <w:t> </w:t>
      </w:r>
      <w:r>
        <w:rPr>
          <w:sz w:val="18"/>
          <w:vertAlign w:val="baseline"/>
        </w:rPr>
        <w:t>Facility</w:t>
      </w:r>
      <w:r>
        <w:rPr>
          <w:spacing w:val="-2"/>
          <w:sz w:val="18"/>
          <w:vertAlign w:val="baseline"/>
        </w:rPr>
        <w:t> </w:t>
      </w:r>
      <w:r>
        <w:rPr>
          <w:sz w:val="18"/>
          <w:vertAlign w:val="baseline"/>
        </w:rPr>
        <w:t>and Risk of Premature Death, </w:t>
      </w:r>
      <w:r>
        <w:rPr>
          <w:i/>
          <w:sz w:val="18"/>
          <w:vertAlign w:val="baseline"/>
        </w:rPr>
        <w:t>Journal of the American Medical Association</w:t>
      </w:r>
      <w:r>
        <w:rPr>
          <w:sz w:val="18"/>
          <w:vertAlign w:val="baseline"/>
        </w:rPr>
        <w:t>. </w:t>
      </w:r>
      <w:r>
        <w:rPr>
          <w:spacing w:val="-2"/>
          <w:sz w:val="18"/>
          <w:vertAlign w:val="baseline"/>
        </w:rPr>
        <w:t>https://jamanetwork.com/journals/jamanetworkopen/fullarticle/2806838</w:t>
      </w:r>
    </w:p>
    <w:p>
      <w:pPr>
        <w:spacing w:before="0"/>
        <w:ind w:left="320" w:right="519" w:firstLine="0"/>
        <w:jc w:val="left"/>
        <w:rPr>
          <w:sz w:val="18"/>
        </w:rPr>
      </w:pPr>
      <w:r>
        <w:rPr>
          <w:sz w:val="18"/>
          <w:vertAlign w:val="superscript"/>
        </w:rPr>
        <w:t>97</w:t>
      </w:r>
      <w:r>
        <w:rPr>
          <w:spacing w:val="-3"/>
          <w:sz w:val="18"/>
          <w:vertAlign w:val="baseline"/>
        </w:rPr>
        <w:t> </w:t>
      </w:r>
      <w:r>
        <w:rPr>
          <w:sz w:val="18"/>
          <w:vertAlign w:val="baseline"/>
        </w:rPr>
        <w:t>Juvenile</w:t>
      </w:r>
      <w:r>
        <w:rPr>
          <w:spacing w:val="-3"/>
          <w:sz w:val="18"/>
          <w:vertAlign w:val="baseline"/>
        </w:rPr>
        <w:t> </w:t>
      </w:r>
      <w:r>
        <w:rPr>
          <w:sz w:val="18"/>
          <w:vertAlign w:val="baseline"/>
        </w:rPr>
        <w:t>Justice</w:t>
      </w:r>
      <w:r>
        <w:rPr>
          <w:spacing w:val="-3"/>
          <w:sz w:val="18"/>
          <w:vertAlign w:val="baseline"/>
        </w:rPr>
        <w:t> </w:t>
      </w:r>
      <w:r>
        <w:rPr>
          <w:sz w:val="18"/>
          <w:vertAlign w:val="baseline"/>
        </w:rPr>
        <w:t>Policy</w:t>
      </w:r>
      <w:r>
        <w:rPr>
          <w:spacing w:val="-3"/>
          <w:sz w:val="18"/>
          <w:vertAlign w:val="baseline"/>
        </w:rPr>
        <w:t> </w:t>
      </w:r>
      <w:r>
        <w:rPr>
          <w:sz w:val="18"/>
          <w:vertAlign w:val="baseline"/>
        </w:rPr>
        <w:t>and</w:t>
      </w:r>
      <w:r>
        <w:rPr>
          <w:spacing w:val="-3"/>
          <w:sz w:val="18"/>
          <w:vertAlign w:val="baseline"/>
        </w:rPr>
        <w:t> </w:t>
      </w:r>
      <w:r>
        <w:rPr>
          <w:sz w:val="18"/>
          <w:vertAlign w:val="baseline"/>
        </w:rPr>
        <w:t>Data</w:t>
      </w:r>
      <w:r>
        <w:rPr>
          <w:spacing w:val="-3"/>
          <w:sz w:val="18"/>
          <w:vertAlign w:val="baseline"/>
        </w:rPr>
        <w:t> </w:t>
      </w:r>
      <w:r>
        <w:rPr>
          <w:sz w:val="18"/>
          <w:vertAlign w:val="baseline"/>
        </w:rPr>
        <w:t>Board.</w:t>
      </w:r>
      <w:r>
        <w:rPr>
          <w:spacing w:val="-3"/>
          <w:sz w:val="18"/>
          <w:vertAlign w:val="baseline"/>
        </w:rPr>
        <w:t> </w:t>
      </w:r>
      <w:r>
        <w:rPr>
          <w:sz w:val="18"/>
          <w:vertAlign w:val="baseline"/>
        </w:rPr>
        <w:t>2024.</w:t>
      </w:r>
      <w:r>
        <w:rPr>
          <w:spacing w:val="-3"/>
          <w:sz w:val="18"/>
          <w:vertAlign w:val="baseline"/>
        </w:rPr>
        <w:t> </w:t>
      </w:r>
      <w:r>
        <w:rPr>
          <w:sz w:val="18"/>
          <w:vertAlign w:val="baseline"/>
        </w:rPr>
        <w:t>“Massachusetts</w:t>
      </w:r>
      <w:r>
        <w:rPr>
          <w:spacing w:val="-3"/>
          <w:sz w:val="18"/>
          <w:vertAlign w:val="baseline"/>
        </w:rPr>
        <w:t> </w:t>
      </w:r>
      <w:r>
        <w:rPr>
          <w:sz w:val="18"/>
          <w:vertAlign w:val="baseline"/>
        </w:rPr>
        <w:t>Juvenile</w:t>
      </w:r>
      <w:r>
        <w:rPr>
          <w:spacing w:val="-3"/>
          <w:sz w:val="18"/>
          <w:vertAlign w:val="baseline"/>
        </w:rPr>
        <w:t> </w:t>
      </w:r>
      <w:r>
        <w:rPr>
          <w:sz w:val="18"/>
          <w:vertAlign w:val="baseline"/>
        </w:rPr>
        <w:t>Justice</w:t>
      </w:r>
      <w:r>
        <w:rPr>
          <w:spacing w:val="-3"/>
          <w:sz w:val="18"/>
          <w:vertAlign w:val="baseline"/>
        </w:rPr>
        <w:t> </w:t>
      </w:r>
      <w:r>
        <w:rPr>
          <w:sz w:val="18"/>
          <w:vertAlign w:val="baseline"/>
        </w:rPr>
        <w:t>System:</w:t>
      </w:r>
      <w:r>
        <w:rPr>
          <w:spacing w:val="-3"/>
          <w:sz w:val="18"/>
          <w:vertAlign w:val="baseline"/>
        </w:rPr>
        <w:t> </w:t>
      </w:r>
      <w:r>
        <w:rPr>
          <w:sz w:val="18"/>
          <w:vertAlign w:val="baseline"/>
        </w:rPr>
        <w:t>2023</w:t>
      </w:r>
      <w:r>
        <w:rPr>
          <w:spacing w:val="-3"/>
          <w:sz w:val="18"/>
          <w:vertAlign w:val="baseline"/>
        </w:rPr>
        <w:t> </w:t>
      </w:r>
      <w:r>
        <w:rPr>
          <w:sz w:val="18"/>
          <w:vertAlign w:val="baseline"/>
        </w:rPr>
        <w:t>JJPAD</w:t>
      </w:r>
      <w:r>
        <w:rPr>
          <w:spacing w:val="-4"/>
          <w:sz w:val="18"/>
          <w:vertAlign w:val="baseline"/>
        </w:rPr>
        <w:t> </w:t>
      </w:r>
      <w:r>
        <w:rPr>
          <w:sz w:val="18"/>
          <w:vertAlign w:val="baseline"/>
        </w:rPr>
        <w:t>Annual</w:t>
      </w:r>
      <w:r>
        <w:rPr>
          <w:spacing w:val="-4"/>
          <w:sz w:val="18"/>
          <w:vertAlign w:val="baseline"/>
        </w:rPr>
        <w:t> </w:t>
      </w:r>
      <w:r>
        <w:rPr>
          <w:sz w:val="18"/>
          <w:vertAlign w:val="baseline"/>
        </w:rPr>
        <w:t>Report”,</w:t>
      </w:r>
      <w:r>
        <w:rPr>
          <w:spacing w:val="-4"/>
          <w:sz w:val="18"/>
          <w:vertAlign w:val="baseline"/>
        </w:rPr>
        <w:t> </w:t>
      </w:r>
      <w:r>
        <w:rPr>
          <w:sz w:val="18"/>
          <w:vertAlign w:val="baseline"/>
        </w:rPr>
        <w:t>2024. </w:t>
      </w:r>
      <w:hyperlink r:id="rId514">
        <w:r>
          <w:rPr>
            <w:spacing w:val="-2"/>
            <w:sz w:val="18"/>
            <w:u w:val="single"/>
            <w:vertAlign w:val="baseline"/>
          </w:rPr>
          <w:t>https://www.mass.gov/doc/jjpad-2023-annual-report/download</w:t>
        </w:r>
      </w:hyperlink>
    </w:p>
    <w:p>
      <w:pPr>
        <w:spacing w:line="153" w:lineRule="auto" w:before="35"/>
        <w:ind w:left="320" w:right="0" w:firstLine="0"/>
        <w:jc w:val="left"/>
        <w:rPr>
          <w:i/>
          <w:sz w:val="18"/>
        </w:rPr>
      </w:pPr>
      <w:r>
        <w:rPr>
          <w:sz w:val="12"/>
        </w:rPr>
        <w:t>98</w:t>
      </w:r>
      <w:r>
        <w:rPr>
          <w:spacing w:val="13"/>
          <w:sz w:val="12"/>
        </w:rPr>
        <w:t> </w:t>
      </w:r>
      <w:r>
        <w:rPr>
          <w:i/>
          <w:spacing w:val="-5"/>
          <w:position w:val="-5"/>
          <w:sz w:val="18"/>
        </w:rPr>
        <w:t>Id</w:t>
      </w:r>
    </w:p>
    <w:p>
      <w:pPr>
        <w:spacing w:before="38"/>
        <w:ind w:left="320" w:right="0" w:firstLine="0"/>
        <w:jc w:val="left"/>
        <w:rPr>
          <w:i/>
          <w:sz w:val="18"/>
        </w:rPr>
      </w:pPr>
      <w:r>
        <w:rPr>
          <w:sz w:val="18"/>
          <w:vertAlign w:val="superscript"/>
        </w:rPr>
        <w:t>99</w:t>
      </w:r>
      <w:r>
        <w:rPr>
          <w:sz w:val="18"/>
          <w:vertAlign w:val="baseline"/>
        </w:rPr>
        <w:t> </w:t>
      </w:r>
      <w:r>
        <w:rPr>
          <w:i/>
          <w:spacing w:val="-5"/>
          <w:sz w:val="18"/>
          <w:vertAlign w:val="baseline"/>
        </w:rPr>
        <w:t>Id.</w:t>
      </w:r>
    </w:p>
    <w:p>
      <w:pPr>
        <w:spacing w:before="1"/>
        <w:ind w:left="320" w:right="457" w:firstLine="0"/>
        <w:jc w:val="left"/>
        <w:rPr>
          <w:sz w:val="18"/>
        </w:rPr>
      </w:pPr>
      <w:r>
        <w:rPr>
          <w:sz w:val="18"/>
          <w:vertAlign w:val="superscript"/>
        </w:rPr>
        <w:t>100</w:t>
      </w:r>
      <w:r>
        <w:rPr>
          <w:spacing w:val="-3"/>
          <w:sz w:val="18"/>
          <w:vertAlign w:val="baseline"/>
        </w:rPr>
        <w:t> </w:t>
      </w:r>
      <w:r>
        <w:rPr>
          <w:sz w:val="18"/>
          <w:vertAlign w:val="baseline"/>
        </w:rPr>
        <w:t>Juvenile</w:t>
      </w:r>
      <w:r>
        <w:rPr>
          <w:spacing w:val="-3"/>
          <w:sz w:val="18"/>
          <w:vertAlign w:val="baseline"/>
        </w:rPr>
        <w:t> </w:t>
      </w:r>
      <w:r>
        <w:rPr>
          <w:sz w:val="18"/>
          <w:vertAlign w:val="baseline"/>
        </w:rPr>
        <w:t>Justice</w:t>
      </w:r>
      <w:r>
        <w:rPr>
          <w:spacing w:val="-3"/>
          <w:sz w:val="18"/>
          <w:vertAlign w:val="baseline"/>
        </w:rPr>
        <w:t> </w:t>
      </w:r>
      <w:r>
        <w:rPr>
          <w:sz w:val="18"/>
          <w:vertAlign w:val="baseline"/>
        </w:rPr>
        <w:t>Policy</w:t>
      </w:r>
      <w:r>
        <w:rPr>
          <w:spacing w:val="-3"/>
          <w:sz w:val="18"/>
          <w:vertAlign w:val="baseline"/>
        </w:rPr>
        <w:t> </w:t>
      </w:r>
      <w:r>
        <w:rPr>
          <w:sz w:val="18"/>
          <w:vertAlign w:val="baseline"/>
        </w:rPr>
        <w:t>and</w:t>
      </w:r>
      <w:r>
        <w:rPr>
          <w:spacing w:val="-3"/>
          <w:sz w:val="18"/>
          <w:vertAlign w:val="baseline"/>
        </w:rPr>
        <w:t> </w:t>
      </w:r>
      <w:r>
        <w:rPr>
          <w:sz w:val="18"/>
          <w:vertAlign w:val="baseline"/>
        </w:rPr>
        <w:t>Data</w:t>
      </w:r>
      <w:r>
        <w:rPr>
          <w:spacing w:val="-3"/>
          <w:sz w:val="18"/>
          <w:vertAlign w:val="baseline"/>
        </w:rPr>
        <w:t> </w:t>
      </w:r>
      <w:r>
        <w:rPr>
          <w:sz w:val="18"/>
          <w:vertAlign w:val="baseline"/>
        </w:rPr>
        <w:t>Board.</w:t>
      </w:r>
      <w:r>
        <w:rPr>
          <w:spacing w:val="-3"/>
          <w:sz w:val="18"/>
          <w:vertAlign w:val="baseline"/>
        </w:rPr>
        <w:t> </w:t>
      </w:r>
      <w:r>
        <w:rPr>
          <w:sz w:val="18"/>
          <w:vertAlign w:val="baseline"/>
        </w:rPr>
        <w:t>2024.</w:t>
      </w:r>
      <w:r>
        <w:rPr>
          <w:spacing w:val="-3"/>
          <w:sz w:val="18"/>
          <w:vertAlign w:val="baseline"/>
        </w:rPr>
        <w:t> </w:t>
      </w:r>
      <w:r>
        <w:rPr>
          <w:sz w:val="18"/>
          <w:vertAlign w:val="baseline"/>
        </w:rPr>
        <w:t>“Massachusetts</w:t>
      </w:r>
      <w:r>
        <w:rPr>
          <w:spacing w:val="-3"/>
          <w:sz w:val="18"/>
          <w:vertAlign w:val="baseline"/>
        </w:rPr>
        <w:t> </w:t>
      </w:r>
      <w:r>
        <w:rPr>
          <w:sz w:val="18"/>
          <w:vertAlign w:val="baseline"/>
        </w:rPr>
        <w:t>Juvenile</w:t>
      </w:r>
      <w:r>
        <w:rPr>
          <w:spacing w:val="-3"/>
          <w:sz w:val="18"/>
          <w:vertAlign w:val="baseline"/>
        </w:rPr>
        <w:t> </w:t>
      </w:r>
      <w:r>
        <w:rPr>
          <w:sz w:val="18"/>
          <w:vertAlign w:val="baseline"/>
        </w:rPr>
        <w:t>Justice</w:t>
      </w:r>
      <w:r>
        <w:rPr>
          <w:spacing w:val="-3"/>
          <w:sz w:val="18"/>
          <w:vertAlign w:val="baseline"/>
        </w:rPr>
        <w:t> </w:t>
      </w:r>
      <w:r>
        <w:rPr>
          <w:sz w:val="18"/>
          <w:vertAlign w:val="baseline"/>
        </w:rPr>
        <w:t>System:</w:t>
      </w:r>
      <w:r>
        <w:rPr>
          <w:spacing w:val="-3"/>
          <w:sz w:val="18"/>
          <w:vertAlign w:val="baseline"/>
        </w:rPr>
        <w:t> </w:t>
      </w:r>
      <w:r>
        <w:rPr>
          <w:sz w:val="18"/>
          <w:vertAlign w:val="baseline"/>
        </w:rPr>
        <w:t>2023</w:t>
      </w:r>
      <w:r>
        <w:rPr>
          <w:spacing w:val="-3"/>
          <w:sz w:val="18"/>
          <w:vertAlign w:val="baseline"/>
        </w:rPr>
        <w:t> </w:t>
      </w:r>
      <w:r>
        <w:rPr>
          <w:sz w:val="18"/>
          <w:vertAlign w:val="baseline"/>
        </w:rPr>
        <w:t>JJPAD</w:t>
      </w:r>
      <w:r>
        <w:rPr>
          <w:spacing w:val="-4"/>
          <w:sz w:val="18"/>
          <w:vertAlign w:val="baseline"/>
        </w:rPr>
        <w:t> </w:t>
      </w:r>
      <w:r>
        <w:rPr>
          <w:sz w:val="18"/>
          <w:vertAlign w:val="baseline"/>
        </w:rPr>
        <w:t>Annual</w:t>
      </w:r>
      <w:r>
        <w:rPr>
          <w:spacing w:val="-4"/>
          <w:sz w:val="18"/>
          <w:vertAlign w:val="baseline"/>
        </w:rPr>
        <w:t> </w:t>
      </w:r>
      <w:r>
        <w:rPr>
          <w:sz w:val="18"/>
          <w:vertAlign w:val="baseline"/>
        </w:rPr>
        <w:t>Report”,</w:t>
      </w:r>
      <w:r>
        <w:rPr>
          <w:spacing w:val="-4"/>
          <w:sz w:val="18"/>
          <w:vertAlign w:val="baseline"/>
        </w:rPr>
        <w:t> </w:t>
      </w:r>
      <w:r>
        <w:rPr>
          <w:sz w:val="18"/>
          <w:vertAlign w:val="baseline"/>
        </w:rPr>
        <w:t>2024. </w:t>
      </w:r>
      <w:hyperlink r:id="rId514">
        <w:r>
          <w:rPr>
            <w:spacing w:val="-2"/>
            <w:sz w:val="18"/>
            <w:u w:val="single"/>
            <w:vertAlign w:val="baseline"/>
          </w:rPr>
          <w:t>https://www.mass.gov/doc/jjpad-2023-annual-report/download</w:t>
        </w:r>
      </w:hyperlink>
    </w:p>
    <w:p>
      <w:pPr>
        <w:spacing w:before="0"/>
        <w:ind w:left="320" w:right="402" w:firstLine="0"/>
        <w:jc w:val="left"/>
        <w:rPr>
          <w:sz w:val="18"/>
        </w:rPr>
      </w:pPr>
      <w:r>
        <w:rPr>
          <w:sz w:val="18"/>
          <w:vertAlign w:val="superscript"/>
        </w:rPr>
        <w:t>101</w:t>
      </w:r>
      <w:r>
        <w:rPr>
          <w:spacing w:val="-2"/>
          <w:sz w:val="18"/>
          <w:vertAlign w:val="baseline"/>
        </w:rPr>
        <w:t> </w:t>
      </w:r>
      <w:r>
        <w:rPr>
          <w:sz w:val="18"/>
          <w:vertAlign w:val="baseline"/>
        </w:rPr>
        <w:t>Brockmann,</w:t>
      </w:r>
      <w:r>
        <w:rPr>
          <w:spacing w:val="-3"/>
          <w:sz w:val="18"/>
          <w:vertAlign w:val="baseline"/>
        </w:rPr>
        <w:t> </w:t>
      </w:r>
      <w:r>
        <w:rPr>
          <w:sz w:val="18"/>
          <w:vertAlign w:val="baseline"/>
        </w:rPr>
        <w:t>Brad</w:t>
      </w:r>
      <w:r>
        <w:rPr>
          <w:spacing w:val="-2"/>
          <w:sz w:val="18"/>
          <w:vertAlign w:val="baseline"/>
        </w:rPr>
        <w:t> </w:t>
      </w:r>
      <w:r>
        <w:rPr>
          <w:sz w:val="18"/>
          <w:vertAlign w:val="baseline"/>
        </w:rPr>
        <w:t>et</w:t>
      </w:r>
      <w:r>
        <w:rPr>
          <w:spacing w:val="-3"/>
          <w:sz w:val="18"/>
          <w:vertAlign w:val="baseline"/>
        </w:rPr>
        <w:t> </w:t>
      </w:r>
      <w:r>
        <w:rPr>
          <w:sz w:val="18"/>
          <w:vertAlign w:val="baseline"/>
        </w:rPr>
        <w:t>al.</w:t>
      </w:r>
      <w:r>
        <w:rPr>
          <w:spacing w:val="-2"/>
          <w:sz w:val="18"/>
          <w:vertAlign w:val="baseline"/>
        </w:rPr>
        <w:t> </w:t>
      </w:r>
      <w:r>
        <w:rPr>
          <w:sz w:val="18"/>
          <w:vertAlign w:val="baseline"/>
        </w:rPr>
        <w:t>2019.</w:t>
      </w:r>
      <w:r>
        <w:rPr>
          <w:spacing w:val="-2"/>
          <w:sz w:val="18"/>
          <w:vertAlign w:val="baseline"/>
        </w:rPr>
        <w:t> </w:t>
      </w:r>
      <w:r>
        <w:rPr>
          <w:sz w:val="18"/>
          <w:vertAlign w:val="baseline"/>
        </w:rPr>
        <w:t>“Emerging</w:t>
      </w:r>
      <w:r>
        <w:rPr>
          <w:spacing w:val="-2"/>
          <w:sz w:val="18"/>
          <w:vertAlign w:val="baseline"/>
        </w:rPr>
        <w:t> </w:t>
      </w:r>
      <w:r>
        <w:rPr>
          <w:sz w:val="18"/>
          <w:vertAlign w:val="baseline"/>
        </w:rPr>
        <w:t>Best</w:t>
      </w:r>
      <w:r>
        <w:rPr>
          <w:spacing w:val="-3"/>
          <w:sz w:val="18"/>
          <w:vertAlign w:val="baseline"/>
        </w:rPr>
        <w:t> </w:t>
      </w:r>
      <w:r>
        <w:rPr>
          <w:sz w:val="18"/>
          <w:vertAlign w:val="baseline"/>
        </w:rPr>
        <w:t>Practices</w:t>
      </w:r>
      <w:r>
        <w:rPr>
          <w:spacing w:val="-2"/>
          <w:sz w:val="18"/>
          <w:vertAlign w:val="baseline"/>
        </w:rPr>
        <w:t> </w:t>
      </w:r>
      <w:r>
        <w:rPr>
          <w:sz w:val="18"/>
          <w:vertAlign w:val="baseline"/>
        </w:rPr>
        <w:t>for</w:t>
      </w:r>
      <w:r>
        <w:rPr>
          <w:spacing w:val="-3"/>
          <w:sz w:val="18"/>
          <w:vertAlign w:val="baseline"/>
        </w:rPr>
        <w:t> </w:t>
      </w:r>
      <w:r>
        <w:rPr>
          <w:sz w:val="18"/>
          <w:vertAlign w:val="baseline"/>
        </w:rPr>
        <w:t>the</w:t>
      </w:r>
      <w:r>
        <w:rPr>
          <w:spacing w:val="-2"/>
          <w:sz w:val="18"/>
          <w:vertAlign w:val="baseline"/>
        </w:rPr>
        <w:t> </w:t>
      </w:r>
      <w:r>
        <w:rPr>
          <w:sz w:val="18"/>
          <w:vertAlign w:val="baseline"/>
        </w:rPr>
        <w:t>Management</w:t>
      </w:r>
      <w:r>
        <w:rPr>
          <w:spacing w:val="-3"/>
          <w:sz w:val="18"/>
          <w:vertAlign w:val="baseline"/>
        </w:rPr>
        <w:t> </w:t>
      </w:r>
      <w:r>
        <w:rPr>
          <w:sz w:val="18"/>
          <w:vertAlign w:val="baseline"/>
        </w:rPr>
        <w:t>and</w:t>
      </w:r>
      <w:r>
        <w:rPr>
          <w:spacing w:val="-2"/>
          <w:sz w:val="18"/>
          <w:vertAlign w:val="baseline"/>
        </w:rPr>
        <w:t> </w:t>
      </w:r>
      <w:r>
        <w:rPr>
          <w:sz w:val="18"/>
          <w:vertAlign w:val="baseline"/>
        </w:rPr>
        <w:t>Treatment</w:t>
      </w:r>
      <w:r>
        <w:rPr>
          <w:spacing w:val="-3"/>
          <w:sz w:val="18"/>
          <w:vertAlign w:val="baseline"/>
        </w:rPr>
        <w:t> </w:t>
      </w:r>
      <w:r>
        <w:rPr>
          <w:sz w:val="18"/>
          <w:vertAlign w:val="baseline"/>
        </w:rPr>
        <w:t>of</w:t>
      </w:r>
      <w:r>
        <w:rPr>
          <w:spacing w:val="-2"/>
          <w:sz w:val="18"/>
          <w:vertAlign w:val="baseline"/>
        </w:rPr>
        <w:t> </w:t>
      </w:r>
      <w:r>
        <w:rPr>
          <w:sz w:val="18"/>
          <w:vertAlign w:val="baseline"/>
        </w:rPr>
        <w:t>Incarcerated</w:t>
      </w:r>
      <w:r>
        <w:rPr>
          <w:spacing w:val="-2"/>
          <w:sz w:val="18"/>
          <w:vertAlign w:val="baseline"/>
        </w:rPr>
        <w:t> </w:t>
      </w:r>
      <w:r>
        <w:rPr>
          <w:sz w:val="18"/>
          <w:vertAlign w:val="baseline"/>
        </w:rPr>
        <w:t>Lesbian,</w:t>
      </w:r>
      <w:r>
        <w:rPr>
          <w:spacing w:val="-3"/>
          <w:sz w:val="18"/>
          <w:vertAlign w:val="baseline"/>
        </w:rPr>
        <w:t> </w:t>
      </w:r>
      <w:r>
        <w:rPr>
          <w:sz w:val="18"/>
          <w:vertAlign w:val="baseline"/>
        </w:rPr>
        <w:t>Gay, Bisexual, Transgender, and Intersex (LGBTI) Individuals”. (Boston: The Fenway Institute, 2019), tps://fenwayhealth.org/wp- </w:t>
      </w:r>
      <w:r>
        <w:rPr>
          <w:spacing w:val="-2"/>
          <w:sz w:val="18"/>
          <w:vertAlign w:val="baseline"/>
        </w:rPr>
        <w:t>content/uploads/TFIP-33_Best-Practices-for-LGBTI-Incarcerated-People-Brief_web.pdf.</w:t>
      </w:r>
    </w:p>
    <w:p>
      <w:pPr>
        <w:spacing w:line="153" w:lineRule="auto" w:before="36"/>
        <w:ind w:left="320" w:right="0" w:firstLine="0"/>
        <w:jc w:val="left"/>
        <w:rPr>
          <w:i/>
          <w:sz w:val="18"/>
        </w:rPr>
      </w:pPr>
      <w:r>
        <w:rPr>
          <w:sz w:val="12"/>
        </w:rPr>
        <w:t>102</w:t>
      </w:r>
      <w:r>
        <w:rPr>
          <w:spacing w:val="13"/>
          <w:sz w:val="12"/>
        </w:rPr>
        <w:t> </w:t>
      </w:r>
      <w:r>
        <w:rPr>
          <w:i/>
          <w:spacing w:val="-5"/>
          <w:position w:val="-5"/>
          <w:sz w:val="18"/>
        </w:rPr>
        <w:t>Id.</w:t>
      </w:r>
    </w:p>
    <w:p>
      <w:pPr>
        <w:spacing w:before="38"/>
        <w:ind w:left="320" w:right="1049" w:firstLine="0"/>
        <w:jc w:val="left"/>
        <w:rPr>
          <w:sz w:val="18"/>
        </w:rPr>
      </w:pPr>
      <w:r>
        <w:rPr>
          <w:sz w:val="18"/>
          <w:vertAlign w:val="superscript"/>
        </w:rPr>
        <w:t>103</w:t>
      </w:r>
      <w:r>
        <w:rPr>
          <w:spacing w:val="-3"/>
          <w:sz w:val="18"/>
          <w:vertAlign w:val="baseline"/>
        </w:rPr>
        <w:t> </w:t>
      </w:r>
      <w:r>
        <w:rPr>
          <w:sz w:val="18"/>
          <w:vertAlign w:val="baseline"/>
        </w:rPr>
        <w:t>Bureau</w:t>
      </w:r>
      <w:r>
        <w:rPr>
          <w:spacing w:val="-3"/>
          <w:sz w:val="18"/>
          <w:vertAlign w:val="baseline"/>
        </w:rPr>
        <w:t> </w:t>
      </w:r>
      <w:r>
        <w:rPr>
          <w:sz w:val="18"/>
          <w:vertAlign w:val="baseline"/>
        </w:rPr>
        <w:t>of</w:t>
      </w:r>
      <w:r>
        <w:rPr>
          <w:spacing w:val="-4"/>
          <w:sz w:val="18"/>
          <w:vertAlign w:val="baseline"/>
        </w:rPr>
        <w:t> </w:t>
      </w:r>
      <w:r>
        <w:rPr>
          <w:sz w:val="18"/>
          <w:vertAlign w:val="baseline"/>
        </w:rPr>
        <w:t>Justice</w:t>
      </w:r>
      <w:r>
        <w:rPr>
          <w:spacing w:val="-3"/>
          <w:sz w:val="18"/>
          <w:vertAlign w:val="baseline"/>
        </w:rPr>
        <w:t> </w:t>
      </w:r>
      <w:r>
        <w:rPr>
          <w:sz w:val="18"/>
          <w:vertAlign w:val="baseline"/>
        </w:rPr>
        <w:t>Statistics.</w:t>
      </w:r>
      <w:r>
        <w:rPr>
          <w:spacing w:val="-3"/>
          <w:sz w:val="18"/>
          <w:vertAlign w:val="baseline"/>
        </w:rPr>
        <w:t> </w:t>
      </w:r>
      <w:r>
        <w:rPr>
          <w:sz w:val="18"/>
          <w:vertAlign w:val="baseline"/>
        </w:rPr>
        <w:t>2022.</w:t>
      </w:r>
      <w:r>
        <w:rPr>
          <w:spacing w:val="-3"/>
          <w:sz w:val="18"/>
          <w:vertAlign w:val="baseline"/>
        </w:rPr>
        <w:t> </w:t>
      </w:r>
      <w:r>
        <w:rPr>
          <w:sz w:val="18"/>
          <w:vertAlign w:val="baseline"/>
        </w:rPr>
        <w:t>“Violent</w:t>
      </w:r>
      <w:r>
        <w:rPr>
          <w:spacing w:val="-4"/>
          <w:sz w:val="18"/>
          <w:vertAlign w:val="baseline"/>
        </w:rPr>
        <w:t> </w:t>
      </w:r>
      <w:r>
        <w:rPr>
          <w:sz w:val="18"/>
          <w:vertAlign w:val="baseline"/>
        </w:rPr>
        <w:t>Victimization</w:t>
      </w:r>
      <w:r>
        <w:rPr>
          <w:spacing w:val="-3"/>
          <w:sz w:val="18"/>
          <w:vertAlign w:val="baseline"/>
        </w:rPr>
        <w:t> </w:t>
      </w:r>
      <w:r>
        <w:rPr>
          <w:sz w:val="18"/>
          <w:vertAlign w:val="baseline"/>
        </w:rPr>
        <w:t>by</w:t>
      </w:r>
      <w:r>
        <w:rPr>
          <w:spacing w:val="-3"/>
          <w:sz w:val="18"/>
          <w:vertAlign w:val="baseline"/>
        </w:rPr>
        <w:t> </w:t>
      </w:r>
      <w:r>
        <w:rPr>
          <w:sz w:val="18"/>
          <w:vertAlign w:val="baseline"/>
        </w:rPr>
        <w:t>Sexual</w:t>
      </w:r>
      <w:r>
        <w:rPr>
          <w:spacing w:val="-4"/>
          <w:sz w:val="18"/>
          <w:vertAlign w:val="baseline"/>
        </w:rPr>
        <w:t> </w:t>
      </w:r>
      <w:r>
        <w:rPr>
          <w:sz w:val="18"/>
          <w:vertAlign w:val="baseline"/>
        </w:rPr>
        <w:t>Orientation</w:t>
      </w:r>
      <w:r>
        <w:rPr>
          <w:spacing w:val="-2"/>
          <w:sz w:val="18"/>
          <w:vertAlign w:val="baseline"/>
        </w:rPr>
        <w:t> </w:t>
      </w:r>
      <w:r>
        <w:rPr>
          <w:sz w:val="18"/>
          <w:vertAlign w:val="baseline"/>
        </w:rPr>
        <w:t>and</w:t>
      </w:r>
      <w:r>
        <w:rPr>
          <w:spacing w:val="-3"/>
          <w:sz w:val="18"/>
          <w:vertAlign w:val="baseline"/>
        </w:rPr>
        <w:t> </w:t>
      </w:r>
      <w:r>
        <w:rPr>
          <w:sz w:val="18"/>
          <w:vertAlign w:val="baseline"/>
        </w:rPr>
        <w:t>Gender</w:t>
      </w:r>
      <w:r>
        <w:rPr>
          <w:spacing w:val="-4"/>
          <w:sz w:val="18"/>
          <w:vertAlign w:val="baseline"/>
        </w:rPr>
        <w:t> </w:t>
      </w:r>
      <w:r>
        <w:rPr>
          <w:sz w:val="18"/>
          <w:vertAlign w:val="baseline"/>
        </w:rPr>
        <w:t>Identity,</w:t>
      </w:r>
      <w:r>
        <w:rPr>
          <w:spacing w:val="-4"/>
          <w:sz w:val="18"/>
          <w:vertAlign w:val="baseline"/>
        </w:rPr>
        <w:t> </w:t>
      </w:r>
      <w:r>
        <w:rPr>
          <w:sz w:val="18"/>
          <w:vertAlign w:val="baseline"/>
        </w:rPr>
        <w:t>2017-2020”. </w:t>
      </w:r>
      <w:r>
        <w:rPr>
          <w:spacing w:val="-2"/>
          <w:sz w:val="18"/>
          <w:vertAlign w:val="baseline"/>
        </w:rPr>
        <w:t>https://bjs.ojp.gov/library/publications/violent-victimization-sexual-orientation-and-gender-identity-2017-2020</w:t>
      </w:r>
    </w:p>
    <w:p>
      <w:pPr>
        <w:spacing w:before="0"/>
        <w:ind w:left="320" w:right="1686" w:firstLine="0"/>
        <w:jc w:val="left"/>
        <w:rPr>
          <w:sz w:val="18"/>
        </w:rPr>
      </w:pPr>
      <w:r>
        <w:rPr>
          <w:sz w:val="18"/>
          <w:vertAlign w:val="superscript"/>
        </w:rPr>
        <w:t>104</w:t>
      </w:r>
      <w:r>
        <w:rPr>
          <w:sz w:val="18"/>
          <w:vertAlign w:val="baseline"/>
        </w:rPr>
        <w:t> Black and Pink. 2015. “Coming Out of Concrete Closets”. https:/</w:t>
      </w:r>
      <w:hyperlink r:id="rId515">
        <w:r>
          <w:rPr>
            <w:sz w:val="18"/>
            <w:vertAlign w:val="baseline"/>
          </w:rPr>
          <w:t>/www.blackandpink.org/wp-</w:t>
        </w:r>
      </w:hyperlink>
      <w:r>
        <w:rPr>
          <w:sz w:val="18"/>
          <w:vertAlign w:val="baseline"/>
        </w:rPr>
        <w:t> </w:t>
      </w:r>
      <w:r>
        <w:rPr>
          <w:spacing w:val="-2"/>
          <w:sz w:val="18"/>
          <w:vertAlign w:val="baseline"/>
        </w:rPr>
        <w:t>content/uploads/2020/03/Coming-Out-of-Concrete-Closets-incorcporated-Executive-summary102115.pdf</w:t>
      </w:r>
    </w:p>
    <w:p>
      <w:pPr>
        <w:spacing w:before="0"/>
        <w:ind w:left="320" w:right="0" w:firstLine="0"/>
        <w:jc w:val="left"/>
        <w:rPr>
          <w:sz w:val="18"/>
        </w:rPr>
      </w:pPr>
      <w:r>
        <w:rPr>
          <w:sz w:val="18"/>
          <w:vertAlign w:val="superscript"/>
        </w:rPr>
        <w:t>105</w:t>
      </w:r>
      <w:r>
        <w:rPr>
          <w:spacing w:val="-5"/>
          <w:sz w:val="18"/>
          <w:vertAlign w:val="baseline"/>
        </w:rPr>
        <w:t> </w:t>
      </w:r>
      <w:r>
        <w:rPr>
          <w:sz w:val="18"/>
          <w:vertAlign w:val="baseline"/>
        </w:rPr>
        <w:t>Massachusetts</w:t>
      </w:r>
      <w:r>
        <w:rPr>
          <w:spacing w:val="-3"/>
          <w:sz w:val="18"/>
          <w:vertAlign w:val="baseline"/>
        </w:rPr>
        <w:t> </w:t>
      </w:r>
      <w:r>
        <w:rPr>
          <w:sz w:val="18"/>
          <w:vertAlign w:val="baseline"/>
        </w:rPr>
        <w:t>Department</w:t>
      </w:r>
      <w:r>
        <w:rPr>
          <w:spacing w:val="-3"/>
          <w:sz w:val="18"/>
          <w:vertAlign w:val="baseline"/>
        </w:rPr>
        <w:t> </w:t>
      </w:r>
      <w:r>
        <w:rPr>
          <w:sz w:val="18"/>
          <w:vertAlign w:val="baseline"/>
        </w:rPr>
        <w:t>of</w:t>
      </w:r>
      <w:r>
        <w:rPr>
          <w:spacing w:val="-3"/>
          <w:sz w:val="18"/>
          <w:vertAlign w:val="baseline"/>
        </w:rPr>
        <w:t> </w:t>
      </w:r>
      <w:r>
        <w:rPr>
          <w:sz w:val="18"/>
          <w:vertAlign w:val="baseline"/>
        </w:rPr>
        <w:t>Youth</w:t>
      </w:r>
      <w:r>
        <w:rPr>
          <w:spacing w:val="-2"/>
          <w:sz w:val="18"/>
          <w:vertAlign w:val="baseline"/>
        </w:rPr>
        <w:t> </w:t>
      </w:r>
      <w:r>
        <w:rPr>
          <w:sz w:val="18"/>
          <w:vertAlign w:val="baseline"/>
        </w:rPr>
        <w:t>Services,</w:t>
      </w:r>
      <w:r>
        <w:rPr>
          <w:spacing w:val="-3"/>
          <w:sz w:val="18"/>
          <w:vertAlign w:val="baseline"/>
        </w:rPr>
        <w:t> </w:t>
      </w:r>
      <w:r>
        <w:rPr>
          <w:sz w:val="18"/>
          <w:vertAlign w:val="baseline"/>
        </w:rPr>
        <w:t>Briefing</w:t>
      </w:r>
      <w:r>
        <w:rPr>
          <w:spacing w:val="-3"/>
          <w:sz w:val="18"/>
          <w:vertAlign w:val="baseline"/>
        </w:rPr>
        <w:t> </w:t>
      </w:r>
      <w:r>
        <w:rPr>
          <w:sz w:val="18"/>
          <w:vertAlign w:val="baseline"/>
        </w:rPr>
        <w:t>Fact</w:t>
      </w:r>
      <w:r>
        <w:rPr>
          <w:spacing w:val="-3"/>
          <w:sz w:val="18"/>
          <w:vertAlign w:val="baseline"/>
        </w:rPr>
        <w:t> </w:t>
      </w:r>
      <w:r>
        <w:rPr>
          <w:sz w:val="18"/>
          <w:vertAlign w:val="baseline"/>
        </w:rPr>
        <w:t>Sheet,</w:t>
      </w:r>
      <w:r>
        <w:rPr>
          <w:spacing w:val="-3"/>
          <w:sz w:val="18"/>
          <w:vertAlign w:val="baseline"/>
        </w:rPr>
        <w:t> </w:t>
      </w:r>
      <w:r>
        <w:rPr>
          <w:sz w:val="18"/>
          <w:vertAlign w:val="baseline"/>
        </w:rPr>
        <w:t>April</w:t>
      </w:r>
      <w:r>
        <w:rPr>
          <w:spacing w:val="-3"/>
          <w:sz w:val="18"/>
          <w:vertAlign w:val="baseline"/>
        </w:rPr>
        <w:t> </w:t>
      </w:r>
      <w:r>
        <w:rPr>
          <w:spacing w:val="-2"/>
          <w:sz w:val="18"/>
          <w:vertAlign w:val="baseline"/>
        </w:rPr>
        <w:t>2022.</w:t>
      </w:r>
    </w:p>
    <w:p>
      <w:pPr>
        <w:spacing w:before="0"/>
        <w:ind w:left="320" w:right="1891" w:firstLine="0"/>
        <w:jc w:val="left"/>
        <w:rPr>
          <w:sz w:val="18"/>
        </w:rPr>
      </w:pPr>
      <w:r>
        <w:rPr>
          <w:sz w:val="18"/>
          <w:vertAlign w:val="superscript"/>
        </w:rPr>
        <w:t>106</w:t>
      </w:r>
      <w:r>
        <w:rPr>
          <w:sz w:val="18"/>
          <w:vertAlign w:val="baseline"/>
        </w:rPr>
        <w:t> The Sentencing Project. 2022. “Incarcerated LGBTQ+ Adults and Youth. 2022”. </w:t>
      </w:r>
      <w:r>
        <w:rPr>
          <w:spacing w:val="-2"/>
          <w:sz w:val="18"/>
          <w:vertAlign w:val="baseline"/>
        </w:rPr>
        <w:t>https:</w:t>
      </w:r>
      <w:hyperlink r:id="rId516">
        <w:r>
          <w:rPr>
            <w:spacing w:val="-2"/>
            <w:sz w:val="18"/>
            <w:vertAlign w:val="baseline"/>
          </w:rPr>
          <w:t>//www.sentencingproject.org/app/uploads/2022/10/Incarcerated-LGBTQ-Youth-and-Adults.pdf</w:t>
        </w:r>
      </w:hyperlink>
      <w:r>
        <w:rPr>
          <w:spacing w:val="40"/>
          <w:sz w:val="18"/>
          <w:vertAlign w:val="baseline"/>
        </w:rPr>
        <w:t>  </w:t>
      </w:r>
      <w:r>
        <w:rPr>
          <w:sz w:val="18"/>
          <w:vertAlign w:val="superscript"/>
        </w:rPr>
        <w:t>107</w:t>
      </w:r>
      <w:r>
        <w:rPr>
          <w:sz w:val="18"/>
          <w:vertAlign w:val="baseline"/>
        </w:rPr>
        <w:t> Children’s Defense Fund, Letter Against Adolescent Offender Solitary Confinement, </w:t>
      </w:r>
      <w:r>
        <w:rPr>
          <w:spacing w:val="-2"/>
          <w:sz w:val="18"/>
          <w:vertAlign w:val="baseline"/>
        </w:rPr>
        <w:t>https://</w:t>
      </w:r>
      <w:hyperlink r:id="rId517">
        <w:r>
          <w:rPr>
            <w:spacing w:val="-2"/>
            <w:sz w:val="18"/>
            <w:vertAlign w:val="baseline"/>
          </w:rPr>
          <w:t>www.childrensdefense.org/resources/letter-against-adolescent-offender-solitary-confinement/</w:t>
        </w:r>
      </w:hyperlink>
    </w:p>
    <w:p>
      <w:pPr>
        <w:spacing w:before="0"/>
        <w:ind w:left="320" w:right="0" w:firstLine="0"/>
        <w:jc w:val="left"/>
        <w:rPr>
          <w:sz w:val="18"/>
        </w:rPr>
      </w:pPr>
      <w:r>
        <w:rPr>
          <w:sz w:val="18"/>
          <w:vertAlign w:val="superscript"/>
        </w:rPr>
        <w:t>108</w:t>
      </w:r>
      <w:r>
        <w:rPr>
          <w:spacing w:val="-3"/>
          <w:sz w:val="18"/>
          <w:vertAlign w:val="baseline"/>
        </w:rPr>
        <w:t> </w:t>
      </w:r>
      <w:r>
        <w:rPr>
          <w:sz w:val="18"/>
          <w:vertAlign w:val="baseline"/>
        </w:rPr>
        <w:t>American</w:t>
      </w:r>
      <w:r>
        <w:rPr>
          <w:spacing w:val="-3"/>
          <w:sz w:val="18"/>
          <w:vertAlign w:val="baseline"/>
        </w:rPr>
        <w:t> </w:t>
      </w:r>
      <w:r>
        <w:rPr>
          <w:sz w:val="18"/>
          <w:vertAlign w:val="baseline"/>
        </w:rPr>
        <w:t>Psychological</w:t>
      </w:r>
      <w:r>
        <w:rPr>
          <w:spacing w:val="-3"/>
          <w:sz w:val="18"/>
          <w:vertAlign w:val="baseline"/>
        </w:rPr>
        <w:t> </w:t>
      </w:r>
      <w:r>
        <w:rPr>
          <w:sz w:val="18"/>
          <w:vertAlign w:val="baseline"/>
        </w:rPr>
        <w:t>Association.</w:t>
      </w:r>
      <w:r>
        <w:rPr>
          <w:spacing w:val="-3"/>
          <w:sz w:val="18"/>
          <w:vertAlign w:val="baseline"/>
        </w:rPr>
        <w:t> </w:t>
      </w:r>
      <w:r>
        <w:rPr>
          <w:sz w:val="18"/>
          <w:vertAlign w:val="baseline"/>
        </w:rPr>
        <w:t>2024.</w:t>
      </w:r>
      <w:r>
        <w:rPr>
          <w:spacing w:val="-3"/>
          <w:sz w:val="18"/>
          <w:vertAlign w:val="baseline"/>
        </w:rPr>
        <w:t> </w:t>
      </w:r>
      <w:r>
        <w:rPr>
          <w:sz w:val="18"/>
          <w:vertAlign w:val="baseline"/>
        </w:rPr>
        <w:t>“APA</w:t>
      </w:r>
      <w:r>
        <w:rPr>
          <w:spacing w:val="-3"/>
          <w:sz w:val="18"/>
          <w:vertAlign w:val="baseline"/>
        </w:rPr>
        <w:t> </w:t>
      </w:r>
      <w:r>
        <w:rPr>
          <w:sz w:val="18"/>
          <w:vertAlign w:val="baseline"/>
        </w:rPr>
        <w:t>Calls</w:t>
      </w:r>
      <w:r>
        <w:rPr>
          <w:spacing w:val="-3"/>
          <w:sz w:val="18"/>
          <w:vertAlign w:val="baseline"/>
        </w:rPr>
        <w:t> </w:t>
      </w:r>
      <w:r>
        <w:rPr>
          <w:sz w:val="18"/>
          <w:vertAlign w:val="baseline"/>
        </w:rPr>
        <w:t>for</w:t>
      </w:r>
      <w:r>
        <w:rPr>
          <w:spacing w:val="-3"/>
          <w:sz w:val="18"/>
          <w:vertAlign w:val="baseline"/>
        </w:rPr>
        <w:t> </w:t>
      </w:r>
      <w:r>
        <w:rPr>
          <w:sz w:val="18"/>
          <w:vertAlign w:val="baseline"/>
        </w:rPr>
        <w:t>Prohibiting</w:t>
      </w:r>
      <w:r>
        <w:rPr>
          <w:spacing w:val="-3"/>
          <w:sz w:val="18"/>
          <w:vertAlign w:val="baseline"/>
        </w:rPr>
        <w:t> </w:t>
      </w:r>
      <w:r>
        <w:rPr>
          <w:sz w:val="18"/>
          <w:vertAlign w:val="baseline"/>
        </w:rPr>
        <w:t>Punitive</w:t>
      </w:r>
      <w:r>
        <w:rPr>
          <w:spacing w:val="-3"/>
          <w:sz w:val="18"/>
          <w:vertAlign w:val="baseline"/>
        </w:rPr>
        <w:t> </w:t>
      </w:r>
      <w:r>
        <w:rPr>
          <w:sz w:val="18"/>
          <w:vertAlign w:val="baseline"/>
        </w:rPr>
        <w:t>Isolation</w:t>
      </w:r>
      <w:r>
        <w:rPr>
          <w:spacing w:val="-3"/>
          <w:sz w:val="18"/>
          <w:vertAlign w:val="baseline"/>
        </w:rPr>
        <w:t> </w:t>
      </w:r>
      <w:r>
        <w:rPr>
          <w:sz w:val="18"/>
          <w:vertAlign w:val="baseline"/>
        </w:rPr>
        <w:t>of</w:t>
      </w:r>
      <w:r>
        <w:rPr>
          <w:spacing w:val="-3"/>
          <w:sz w:val="18"/>
          <w:vertAlign w:val="baseline"/>
        </w:rPr>
        <w:t> </w:t>
      </w:r>
      <w:r>
        <w:rPr>
          <w:sz w:val="18"/>
          <w:vertAlign w:val="baseline"/>
        </w:rPr>
        <w:t>Youths</w:t>
      </w:r>
      <w:r>
        <w:rPr>
          <w:spacing w:val="-3"/>
          <w:sz w:val="18"/>
          <w:vertAlign w:val="baseline"/>
        </w:rPr>
        <w:t> </w:t>
      </w:r>
      <w:r>
        <w:rPr>
          <w:sz w:val="18"/>
          <w:vertAlign w:val="baseline"/>
        </w:rPr>
        <w:t>in</w:t>
      </w:r>
      <w:r>
        <w:rPr>
          <w:spacing w:val="-3"/>
          <w:sz w:val="18"/>
          <w:vertAlign w:val="baseline"/>
        </w:rPr>
        <w:t> </w:t>
      </w:r>
      <w:r>
        <w:rPr>
          <w:sz w:val="18"/>
          <w:vertAlign w:val="baseline"/>
        </w:rPr>
        <w:t>Juvenile</w:t>
      </w:r>
      <w:r>
        <w:rPr>
          <w:spacing w:val="-3"/>
          <w:sz w:val="18"/>
          <w:vertAlign w:val="baseline"/>
        </w:rPr>
        <w:t> </w:t>
      </w:r>
      <w:r>
        <w:rPr>
          <w:sz w:val="18"/>
          <w:vertAlign w:val="baseline"/>
        </w:rPr>
        <w:t>Justice</w:t>
      </w:r>
      <w:r>
        <w:rPr>
          <w:spacing w:val="-3"/>
          <w:sz w:val="18"/>
          <w:vertAlign w:val="baseline"/>
        </w:rPr>
        <w:t> </w:t>
      </w:r>
      <w:r>
        <w:rPr>
          <w:sz w:val="18"/>
          <w:vertAlign w:val="baseline"/>
        </w:rPr>
        <w:t>Settings”, March 6, 2024.</w:t>
      </w:r>
      <w:r>
        <w:rPr>
          <w:spacing w:val="40"/>
          <w:sz w:val="18"/>
          <w:vertAlign w:val="baseline"/>
        </w:rPr>
        <w:t> </w:t>
      </w:r>
      <w:r>
        <w:rPr>
          <w:sz w:val="18"/>
          <w:vertAlign w:val="baseline"/>
        </w:rPr>
        <w:t>https://</w:t>
      </w:r>
      <w:hyperlink r:id="rId518">
        <w:r>
          <w:rPr>
            <w:sz w:val="18"/>
            <w:vertAlign w:val="baseline"/>
          </w:rPr>
          <w:t>www.apa.org/news/press/releases/2024/03/punitive-isolation-juvenile-justice</w:t>
        </w:r>
      </w:hyperlink>
    </w:p>
    <w:p>
      <w:pPr>
        <w:spacing w:line="153" w:lineRule="auto" w:before="35"/>
        <w:ind w:left="320" w:right="0" w:firstLine="0"/>
        <w:jc w:val="left"/>
        <w:rPr>
          <w:i/>
          <w:sz w:val="18"/>
        </w:rPr>
      </w:pPr>
      <w:r>
        <w:rPr>
          <w:sz w:val="12"/>
        </w:rPr>
        <w:t>109</w:t>
      </w:r>
      <w:r>
        <w:rPr>
          <w:spacing w:val="13"/>
          <w:sz w:val="12"/>
        </w:rPr>
        <w:t> </w:t>
      </w:r>
      <w:r>
        <w:rPr>
          <w:i/>
          <w:spacing w:val="-5"/>
          <w:position w:val="-5"/>
          <w:sz w:val="18"/>
        </w:rPr>
        <w:t>Id.</w:t>
      </w:r>
    </w:p>
    <w:p>
      <w:pPr>
        <w:spacing w:line="158" w:lineRule="auto" w:before="72"/>
        <w:ind w:left="320" w:right="0" w:firstLine="0"/>
        <w:jc w:val="left"/>
        <w:rPr>
          <w:i/>
          <w:sz w:val="18"/>
        </w:rPr>
      </w:pPr>
      <w:r>
        <w:rPr>
          <w:sz w:val="12"/>
        </w:rPr>
        <w:t>110</w:t>
      </w:r>
      <w:r>
        <w:rPr>
          <w:spacing w:val="13"/>
          <w:sz w:val="12"/>
        </w:rPr>
        <w:t> </w:t>
      </w:r>
      <w:r>
        <w:rPr>
          <w:i/>
          <w:spacing w:val="-5"/>
          <w:position w:val="-5"/>
          <w:sz w:val="18"/>
        </w:rPr>
        <w:t>Id.</w:t>
      </w:r>
    </w:p>
    <w:p>
      <w:pPr>
        <w:spacing w:before="34"/>
        <w:ind w:left="320" w:right="0" w:firstLine="0"/>
        <w:jc w:val="left"/>
        <w:rPr>
          <w:i/>
          <w:sz w:val="18"/>
        </w:rPr>
      </w:pPr>
      <w:r>
        <w:rPr>
          <w:sz w:val="12"/>
        </w:rPr>
        <w:t>111</w:t>
      </w:r>
      <w:r>
        <w:rPr>
          <w:spacing w:val="13"/>
          <w:sz w:val="12"/>
        </w:rPr>
        <w:t> </w:t>
      </w:r>
      <w:r>
        <w:rPr>
          <w:i/>
          <w:spacing w:val="-5"/>
          <w:position w:val="-5"/>
          <w:sz w:val="18"/>
        </w:rPr>
        <w:t>Id.</w:t>
      </w:r>
    </w:p>
    <w:p>
      <w:pPr>
        <w:spacing w:before="0"/>
        <w:ind w:left="320" w:right="0" w:hanging="1"/>
        <w:jc w:val="left"/>
        <w:rPr>
          <w:sz w:val="18"/>
        </w:rPr>
      </w:pPr>
      <w:r>
        <w:rPr>
          <w:sz w:val="18"/>
          <w:vertAlign w:val="superscript"/>
        </w:rPr>
        <w:t>112</w:t>
      </w:r>
      <w:r>
        <w:rPr>
          <w:spacing w:val="-2"/>
          <w:sz w:val="18"/>
          <w:vertAlign w:val="baseline"/>
        </w:rPr>
        <w:t> </w:t>
      </w:r>
      <w:r>
        <w:rPr>
          <w:sz w:val="18"/>
          <w:vertAlign w:val="baseline"/>
        </w:rPr>
        <w:t>Hanssens,</w:t>
      </w:r>
      <w:r>
        <w:rPr>
          <w:spacing w:val="-3"/>
          <w:sz w:val="18"/>
          <w:vertAlign w:val="baseline"/>
        </w:rPr>
        <w:t> </w:t>
      </w:r>
      <w:r>
        <w:rPr>
          <w:sz w:val="18"/>
          <w:vertAlign w:val="baseline"/>
        </w:rPr>
        <w:t>Catherine</w:t>
      </w:r>
      <w:r>
        <w:rPr>
          <w:spacing w:val="-2"/>
          <w:sz w:val="18"/>
          <w:vertAlign w:val="baseline"/>
        </w:rPr>
        <w:t> </w:t>
      </w:r>
      <w:r>
        <w:rPr>
          <w:sz w:val="18"/>
          <w:vertAlign w:val="baseline"/>
        </w:rPr>
        <w:t>and</w:t>
      </w:r>
      <w:r>
        <w:rPr>
          <w:spacing w:val="-2"/>
          <w:sz w:val="18"/>
          <w:vertAlign w:val="baseline"/>
        </w:rPr>
        <w:t> </w:t>
      </w:r>
      <w:r>
        <w:rPr>
          <w:sz w:val="18"/>
          <w:vertAlign w:val="baseline"/>
        </w:rPr>
        <w:t>Rene</w:t>
      </w:r>
      <w:r>
        <w:rPr>
          <w:spacing w:val="-4"/>
          <w:sz w:val="18"/>
          <w:vertAlign w:val="baseline"/>
        </w:rPr>
        <w:t> </w:t>
      </w:r>
      <w:r>
        <w:rPr>
          <w:sz w:val="18"/>
          <w:vertAlign w:val="baseline"/>
        </w:rPr>
        <w:t>Bennett-Carlson.</w:t>
      </w:r>
      <w:r>
        <w:rPr>
          <w:spacing w:val="-2"/>
          <w:sz w:val="18"/>
          <w:vertAlign w:val="baseline"/>
        </w:rPr>
        <w:t> </w:t>
      </w:r>
      <w:r>
        <w:rPr>
          <w:sz w:val="18"/>
          <w:vertAlign w:val="baseline"/>
        </w:rPr>
        <w:t>2010.</w:t>
      </w:r>
      <w:r>
        <w:rPr>
          <w:spacing w:val="-2"/>
          <w:sz w:val="18"/>
          <w:vertAlign w:val="baseline"/>
        </w:rPr>
        <w:t> </w:t>
      </w:r>
      <w:r>
        <w:rPr>
          <w:sz w:val="18"/>
          <w:vertAlign w:val="baseline"/>
        </w:rPr>
        <w:t>“Juvenile</w:t>
      </w:r>
      <w:r>
        <w:rPr>
          <w:spacing w:val="-2"/>
          <w:sz w:val="18"/>
          <w:vertAlign w:val="baseline"/>
        </w:rPr>
        <w:t> </w:t>
      </w:r>
      <w:r>
        <w:rPr>
          <w:sz w:val="18"/>
          <w:vertAlign w:val="baseline"/>
        </w:rPr>
        <w:t>Injustice:</w:t>
      </w:r>
      <w:r>
        <w:rPr>
          <w:spacing w:val="-2"/>
          <w:sz w:val="18"/>
          <w:vertAlign w:val="baseline"/>
        </w:rPr>
        <w:t> </w:t>
      </w:r>
      <w:r>
        <w:rPr>
          <w:sz w:val="18"/>
          <w:vertAlign w:val="baseline"/>
        </w:rPr>
        <w:t>The</w:t>
      </w:r>
      <w:r>
        <w:rPr>
          <w:spacing w:val="-2"/>
          <w:sz w:val="18"/>
          <w:vertAlign w:val="baseline"/>
        </w:rPr>
        <w:t> </w:t>
      </w:r>
      <w:r>
        <w:rPr>
          <w:sz w:val="18"/>
          <w:vertAlign w:val="baseline"/>
        </w:rPr>
        <w:t>Unfulfilled</w:t>
      </w:r>
      <w:r>
        <w:rPr>
          <w:spacing w:val="-2"/>
          <w:sz w:val="18"/>
          <w:vertAlign w:val="baseline"/>
        </w:rPr>
        <w:t> </w:t>
      </w:r>
      <w:r>
        <w:rPr>
          <w:sz w:val="18"/>
          <w:vertAlign w:val="baseline"/>
        </w:rPr>
        <w:t>Rights</w:t>
      </w:r>
      <w:r>
        <w:rPr>
          <w:spacing w:val="-2"/>
          <w:sz w:val="18"/>
          <w:vertAlign w:val="baseline"/>
        </w:rPr>
        <w:t> </w:t>
      </w:r>
      <w:r>
        <w:rPr>
          <w:sz w:val="18"/>
          <w:vertAlign w:val="baseline"/>
        </w:rPr>
        <w:t>of</w:t>
      </w:r>
      <w:r>
        <w:rPr>
          <w:spacing w:val="-2"/>
          <w:sz w:val="18"/>
          <w:vertAlign w:val="baseline"/>
        </w:rPr>
        <w:t> </w:t>
      </w:r>
      <w:r>
        <w:rPr>
          <w:sz w:val="18"/>
          <w:vertAlign w:val="baseline"/>
        </w:rPr>
        <w:t>Youth</w:t>
      </w:r>
      <w:r>
        <w:rPr>
          <w:spacing w:val="-2"/>
          <w:sz w:val="18"/>
          <w:vertAlign w:val="baseline"/>
        </w:rPr>
        <w:t> </w:t>
      </w:r>
      <w:r>
        <w:rPr>
          <w:sz w:val="18"/>
          <w:vertAlign w:val="baseline"/>
        </w:rPr>
        <w:t>in</w:t>
      </w:r>
      <w:r>
        <w:rPr>
          <w:spacing w:val="-2"/>
          <w:sz w:val="18"/>
          <w:vertAlign w:val="baseline"/>
        </w:rPr>
        <w:t> </w:t>
      </w:r>
      <w:r>
        <w:rPr>
          <w:sz w:val="18"/>
          <w:vertAlign w:val="baseline"/>
        </w:rPr>
        <w:t>State</w:t>
      </w:r>
      <w:r>
        <w:rPr>
          <w:spacing w:val="-2"/>
          <w:sz w:val="18"/>
          <w:vertAlign w:val="baseline"/>
        </w:rPr>
        <w:t> </w:t>
      </w:r>
      <w:r>
        <w:rPr>
          <w:sz w:val="18"/>
          <w:vertAlign w:val="baseline"/>
        </w:rPr>
        <w:t>Custody</w:t>
      </w:r>
      <w:r>
        <w:rPr>
          <w:spacing w:val="-2"/>
          <w:sz w:val="18"/>
          <w:vertAlign w:val="baseline"/>
        </w:rPr>
        <w:t> </w:t>
      </w:r>
      <w:r>
        <w:rPr>
          <w:sz w:val="18"/>
          <w:vertAlign w:val="baseline"/>
        </w:rPr>
        <w:t>to Comprehensive Sexual Health Care” (New York: The Center for HIV Law and Policy, 2010), </w:t>
      </w:r>
      <w:r>
        <w:rPr>
          <w:spacing w:val="-2"/>
          <w:sz w:val="18"/>
          <w:vertAlign w:val="baseline"/>
        </w:rPr>
        <w:t>https:</w:t>
      </w:r>
      <w:hyperlink r:id="rId519">
        <w:r>
          <w:rPr>
            <w:spacing w:val="-2"/>
            <w:sz w:val="18"/>
            <w:vertAlign w:val="baseline"/>
          </w:rPr>
          <w:t>//www.hivlawandpolicy.org/sites/default/files/TS%20LRM%20Dec.%202010.pdf</w:t>
        </w:r>
      </w:hyperlink>
    </w:p>
    <w:p>
      <w:pPr>
        <w:spacing w:before="0"/>
        <w:ind w:left="320" w:right="104" w:firstLine="0"/>
        <w:jc w:val="left"/>
        <w:rPr>
          <w:sz w:val="18"/>
        </w:rPr>
      </w:pPr>
      <w:r>
        <w:rPr>
          <w:sz w:val="18"/>
          <w:vertAlign w:val="superscript"/>
        </w:rPr>
        <w:t>113</w:t>
      </w:r>
      <w:r>
        <w:rPr>
          <w:spacing w:val="-2"/>
          <w:sz w:val="18"/>
          <w:vertAlign w:val="baseline"/>
        </w:rPr>
        <w:t> </w:t>
      </w:r>
      <w:r>
        <w:rPr>
          <w:sz w:val="18"/>
          <w:vertAlign w:val="baseline"/>
        </w:rPr>
        <w:t>Pan,</w:t>
      </w:r>
      <w:r>
        <w:rPr>
          <w:spacing w:val="-3"/>
          <w:sz w:val="18"/>
          <w:vertAlign w:val="baseline"/>
        </w:rPr>
        <w:t> </w:t>
      </w:r>
      <w:r>
        <w:rPr>
          <w:sz w:val="18"/>
          <w:vertAlign w:val="baseline"/>
        </w:rPr>
        <w:t>Yue</w:t>
      </w:r>
      <w:r>
        <w:rPr>
          <w:spacing w:val="-3"/>
          <w:sz w:val="18"/>
          <w:vertAlign w:val="baseline"/>
        </w:rPr>
        <w:t> </w:t>
      </w:r>
      <w:r>
        <w:rPr>
          <w:sz w:val="18"/>
          <w:vertAlign w:val="baseline"/>
        </w:rPr>
        <w:t>et</w:t>
      </w:r>
      <w:r>
        <w:rPr>
          <w:spacing w:val="-3"/>
          <w:sz w:val="18"/>
          <w:vertAlign w:val="baseline"/>
        </w:rPr>
        <w:t> </w:t>
      </w:r>
      <w:r>
        <w:rPr>
          <w:sz w:val="18"/>
          <w:vertAlign w:val="baseline"/>
        </w:rPr>
        <w:t>al.</w:t>
      </w:r>
      <w:r>
        <w:rPr>
          <w:spacing w:val="-2"/>
          <w:sz w:val="18"/>
          <w:vertAlign w:val="baseline"/>
        </w:rPr>
        <w:t> </w:t>
      </w:r>
      <w:r>
        <w:rPr>
          <w:sz w:val="18"/>
          <w:vertAlign w:val="baseline"/>
        </w:rPr>
        <w:t>2020.</w:t>
      </w:r>
      <w:r>
        <w:rPr>
          <w:spacing w:val="-2"/>
          <w:sz w:val="18"/>
          <w:vertAlign w:val="baseline"/>
        </w:rPr>
        <w:t> </w:t>
      </w:r>
      <w:r>
        <w:rPr>
          <w:sz w:val="18"/>
          <w:vertAlign w:val="baseline"/>
        </w:rPr>
        <w:t>“The</w:t>
      </w:r>
      <w:r>
        <w:rPr>
          <w:spacing w:val="-2"/>
          <w:sz w:val="18"/>
          <w:vertAlign w:val="baseline"/>
        </w:rPr>
        <w:t> </w:t>
      </w:r>
      <w:r>
        <w:rPr>
          <w:sz w:val="18"/>
          <w:vertAlign w:val="baseline"/>
        </w:rPr>
        <w:t>Relationship</w:t>
      </w:r>
      <w:r>
        <w:rPr>
          <w:spacing w:val="-2"/>
          <w:sz w:val="18"/>
          <w:vertAlign w:val="baseline"/>
        </w:rPr>
        <w:t> </w:t>
      </w:r>
      <w:r>
        <w:rPr>
          <w:sz w:val="18"/>
          <w:vertAlign w:val="baseline"/>
        </w:rPr>
        <w:t>Between</w:t>
      </w:r>
      <w:r>
        <w:rPr>
          <w:spacing w:val="-3"/>
          <w:sz w:val="18"/>
          <w:vertAlign w:val="baseline"/>
        </w:rPr>
        <w:t> </w:t>
      </w:r>
      <w:r>
        <w:rPr>
          <w:sz w:val="18"/>
          <w:vertAlign w:val="baseline"/>
        </w:rPr>
        <w:t>Housing</w:t>
      </w:r>
      <w:r>
        <w:rPr>
          <w:spacing w:val="-2"/>
          <w:sz w:val="18"/>
          <w:vertAlign w:val="baseline"/>
        </w:rPr>
        <w:t> </w:t>
      </w:r>
      <w:r>
        <w:rPr>
          <w:sz w:val="18"/>
          <w:vertAlign w:val="baseline"/>
        </w:rPr>
        <w:t>Status</w:t>
      </w:r>
      <w:r>
        <w:rPr>
          <w:spacing w:val="-2"/>
          <w:sz w:val="18"/>
          <w:vertAlign w:val="baseline"/>
        </w:rPr>
        <w:t> </w:t>
      </w:r>
      <w:r>
        <w:rPr>
          <w:sz w:val="18"/>
          <w:vertAlign w:val="baseline"/>
        </w:rPr>
        <w:t>and</w:t>
      </w:r>
      <w:r>
        <w:rPr>
          <w:spacing w:val="-2"/>
          <w:sz w:val="18"/>
          <w:vertAlign w:val="baseline"/>
        </w:rPr>
        <w:t> </w:t>
      </w:r>
      <w:r>
        <w:rPr>
          <w:sz w:val="18"/>
          <w:vertAlign w:val="baseline"/>
        </w:rPr>
        <w:t>Substance</w:t>
      </w:r>
      <w:r>
        <w:rPr>
          <w:spacing w:val="-2"/>
          <w:sz w:val="18"/>
          <w:vertAlign w:val="baseline"/>
        </w:rPr>
        <w:t> </w:t>
      </w:r>
      <w:r>
        <w:rPr>
          <w:sz w:val="18"/>
          <w:vertAlign w:val="baseline"/>
        </w:rPr>
        <w:t>Use</w:t>
      </w:r>
      <w:r>
        <w:rPr>
          <w:spacing w:val="-2"/>
          <w:sz w:val="18"/>
          <w:vertAlign w:val="baseline"/>
        </w:rPr>
        <w:t> </w:t>
      </w:r>
      <w:r>
        <w:rPr>
          <w:sz w:val="18"/>
          <w:vertAlign w:val="baseline"/>
        </w:rPr>
        <w:t>and</w:t>
      </w:r>
      <w:r>
        <w:rPr>
          <w:spacing w:val="-2"/>
          <w:sz w:val="18"/>
          <w:vertAlign w:val="baseline"/>
        </w:rPr>
        <w:t> </w:t>
      </w:r>
      <w:r>
        <w:rPr>
          <w:sz w:val="18"/>
          <w:vertAlign w:val="baseline"/>
        </w:rPr>
        <w:t>Sexual</w:t>
      </w:r>
      <w:r>
        <w:rPr>
          <w:spacing w:val="-3"/>
          <w:sz w:val="18"/>
          <w:vertAlign w:val="baseline"/>
        </w:rPr>
        <w:t> </w:t>
      </w:r>
      <w:r>
        <w:rPr>
          <w:sz w:val="18"/>
          <w:vertAlign w:val="baseline"/>
        </w:rPr>
        <w:t>Risk</w:t>
      </w:r>
      <w:r>
        <w:rPr>
          <w:spacing w:val="-3"/>
          <w:sz w:val="18"/>
          <w:vertAlign w:val="baseline"/>
        </w:rPr>
        <w:t> </w:t>
      </w:r>
      <w:r>
        <w:rPr>
          <w:sz w:val="18"/>
          <w:vertAlign w:val="baseline"/>
        </w:rPr>
        <w:t>Behaviors</w:t>
      </w:r>
      <w:r>
        <w:rPr>
          <w:spacing w:val="-2"/>
          <w:sz w:val="18"/>
          <w:vertAlign w:val="baseline"/>
        </w:rPr>
        <w:t> </w:t>
      </w:r>
      <w:r>
        <w:rPr>
          <w:sz w:val="18"/>
          <w:vertAlign w:val="baseline"/>
        </w:rPr>
        <w:t>Among</w:t>
      </w:r>
      <w:r>
        <w:rPr>
          <w:spacing w:val="-2"/>
          <w:sz w:val="18"/>
          <w:vertAlign w:val="baseline"/>
        </w:rPr>
        <w:t> </w:t>
      </w:r>
      <w:r>
        <w:rPr>
          <w:sz w:val="18"/>
          <w:vertAlign w:val="baseline"/>
        </w:rPr>
        <w:t>People Currently Seeking or Receiving Services in Substance Use Disorder Treatment Programs</w:t>
      </w:r>
      <w:r>
        <w:rPr>
          <w:i/>
          <w:sz w:val="18"/>
          <w:vertAlign w:val="baseline"/>
        </w:rPr>
        <w:t>”, Journal Primary Prevention</w:t>
      </w:r>
      <w:r>
        <w:rPr>
          <w:sz w:val="18"/>
          <w:vertAlign w:val="baseline"/>
        </w:rPr>
        <w:t>. </w:t>
      </w:r>
      <w:hyperlink r:id="rId520">
        <w:r>
          <w:rPr>
            <w:spacing w:val="-2"/>
            <w:sz w:val="18"/>
            <w:u w:val="single"/>
            <w:vertAlign w:val="baseline"/>
          </w:rPr>
          <w:t>https://www.ncbi.nlm.nih.gov/pmc/articles/PMC7384551/#:~:text=Recent%20studies%20have%20consistently%20shown,(Aid</w:t>
        </w:r>
      </w:hyperlink>
      <w:r>
        <w:rPr>
          <w:sz w:val="18"/>
          <w:u w:val="none"/>
          <w:vertAlign w:val="baseline"/>
        </w:rPr>
        <w:t> </w:t>
      </w:r>
      <w:hyperlink r:id="rId520">
        <w:r>
          <w:rPr>
            <w:sz w:val="18"/>
            <w:u w:val="single"/>
            <w:vertAlign w:val="baseline"/>
          </w:rPr>
          <w:t>ala%2C%20Cross%2C%20Stall%2C</w:t>
        </w:r>
      </w:hyperlink>
      <w:r>
        <w:rPr>
          <w:spacing w:val="-2"/>
          <w:sz w:val="18"/>
          <w:u w:val="none"/>
          <w:vertAlign w:val="baseline"/>
        </w:rPr>
        <w:t> </w:t>
      </w:r>
      <w:r>
        <w:rPr>
          <w:sz w:val="18"/>
          <w:u w:val="none"/>
          <w:vertAlign w:val="baseline"/>
        </w:rPr>
        <w:t>;</w:t>
      </w:r>
    </w:p>
    <w:p>
      <w:pPr>
        <w:spacing w:before="0"/>
        <w:ind w:left="320" w:right="0" w:firstLine="0"/>
        <w:jc w:val="left"/>
        <w:rPr>
          <w:sz w:val="18"/>
        </w:rPr>
      </w:pPr>
      <w:r>
        <w:rPr>
          <w:sz w:val="18"/>
          <w:vertAlign w:val="superscript"/>
        </w:rPr>
        <w:t>114</w:t>
      </w:r>
      <w:r>
        <w:rPr>
          <w:spacing w:val="-2"/>
          <w:sz w:val="18"/>
          <w:vertAlign w:val="baseline"/>
        </w:rPr>
        <w:t> </w:t>
      </w:r>
      <w:r>
        <w:rPr>
          <w:sz w:val="18"/>
          <w:vertAlign w:val="baseline"/>
        </w:rPr>
        <w:t>Weber,</w:t>
      </w:r>
      <w:r>
        <w:rPr>
          <w:spacing w:val="-3"/>
          <w:sz w:val="18"/>
          <w:vertAlign w:val="baseline"/>
        </w:rPr>
        <w:t> </w:t>
      </w:r>
      <w:r>
        <w:rPr>
          <w:sz w:val="18"/>
          <w:vertAlign w:val="baseline"/>
        </w:rPr>
        <w:t>F.</w:t>
      </w:r>
      <w:r>
        <w:rPr>
          <w:spacing w:val="-2"/>
          <w:sz w:val="18"/>
          <w:vertAlign w:val="baseline"/>
        </w:rPr>
        <w:t> </w:t>
      </w:r>
      <w:r>
        <w:rPr>
          <w:sz w:val="18"/>
          <w:vertAlign w:val="baseline"/>
        </w:rPr>
        <w:t>Thomas,</w:t>
      </w:r>
      <w:r>
        <w:rPr>
          <w:spacing w:val="-3"/>
          <w:sz w:val="18"/>
          <w:vertAlign w:val="baseline"/>
        </w:rPr>
        <w:t> </w:t>
      </w:r>
      <w:r>
        <w:rPr>
          <w:sz w:val="18"/>
          <w:vertAlign w:val="baseline"/>
        </w:rPr>
        <w:t>Dianne</w:t>
      </w:r>
      <w:r>
        <w:rPr>
          <w:spacing w:val="-2"/>
          <w:sz w:val="18"/>
          <w:vertAlign w:val="baseline"/>
        </w:rPr>
        <w:t> </w:t>
      </w:r>
      <w:r>
        <w:rPr>
          <w:sz w:val="18"/>
          <w:vertAlign w:val="baseline"/>
        </w:rPr>
        <w:t>S.</w:t>
      </w:r>
      <w:r>
        <w:rPr>
          <w:spacing w:val="-2"/>
          <w:sz w:val="18"/>
          <w:vertAlign w:val="baseline"/>
        </w:rPr>
        <w:t> </w:t>
      </w:r>
      <w:r>
        <w:rPr>
          <w:sz w:val="18"/>
          <w:vertAlign w:val="baseline"/>
        </w:rPr>
        <w:t>Elfenbein,</w:t>
      </w:r>
      <w:r>
        <w:rPr>
          <w:spacing w:val="-3"/>
          <w:sz w:val="18"/>
          <w:vertAlign w:val="baseline"/>
        </w:rPr>
        <w:t> </w:t>
      </w:r>
      <w:r>
        <w:rPr>
          <w:sz w:val="18"/>
          <w:vertAlign w:val="baseline"/>
        </w:rPr>
        <w:t>Nancy</w:t>
      </w:r>
      <w:r>
        <w:rPr>
          <w:spacing w:val="-2"/>
          <w:sz w:val="18"/>
          <w:vertAlign w:val="baseline"/>
        </w:rPr>
        <w:t> </w:t>
      </w:r>
      <w:r>
        <w:rPr>
          <w:sz w:val="18"/>
          <w:vertAlign w:val="baseline"/>
        </w:rPr>
        <w:t>L.</w:t>
      </w:r>
      <w:r>
        <w:rPr>
          <w:spacing w:val="-3"/>
          <w:sz w:val="18"/>
          <w:vertAlign w:val="baseline"/>
        </w:rPr>
        <w:t> </w:t>
      </w:r>
      <w:r>
        <w:rPr>
          <w:sz w:val="18"/>
          <w:vertAlign w:val="baseline"/>
        </w:rPr>
        <w:t>Richards,</w:t>
      </w:r>
      <w:r>
        <w:rPr>
          <w:spacing w:val="-3"/>
          <w:sz w:val="18"/>
          <w:vertAlign w:val="baseline"/>
        </w:rPr>
        <w:t> </w:t>
      </w:r>
      <w:r>
        <w:rPr>
          <w:sz w:val="18"/>
          <w:vertAlign w:val="baseline"/>
        </w:rPr>
        <w:t>Arlene</w:t>
      </w:r>
      <w:r>
        <w:rPr>
          <w:spacing w:val="-2"/>
          <w:sz w:val="18"/>
          <w:vertAlign w:val="baseline"/>
        </w:rPr>
        <w:t> </w:t>
      </w:r>
      <w:r>
        <w:rPr>
          <w:sz w:val="18"/>
          <w:vertAlign w:val="baseline"/>
        </w:rPr>
        <w:t>B.</w:t>
      </w:r>
      <w:r>
        <w:rPr>
          <w:spacing w:val="-2"/>
          <w:sz w:val="18"/>
          <w:vertAlign w:val="baseline"/>
        </w:rPr>
        <w:t> </w:t>
      </w:r>
      <w:r>
        <w:rPr>
          <w:sz w:val="18"/>
          <w:vertAlign w:val="baseline"/>
        </w:rPr>
        <w:t>Davis,</w:t>
      </w:r>
      <w:r>
        <w:rPr>
          <w:spacing w:val="-3"/>
          <w:sz w:val="18"/>
          <w:vertAlign w:val="baseline"/>
        </w:rPr>
        <w:t> </w:t>
      </w:r>
      <w:r>
        <w:rPr>
          <w:sz w:val="18"/>
          <w:vertAlign w:val="baseline"/>
        </w:rPr>
        <w:t>and</w:t>
      </w:r>
      <w:r>
        <w:rPr>
          <w:spacing w:val="-4"/>
          <w:sz w:val="18"/>
          <w:vertAlign w:val="baseline"/>
        </w:rPr>
        <w:t> </w:t>
      </w:r>
      <w:r>
        <w:rPr>
          <w:sz w:val="18"/>
          <w:vertAlign w:val="baseline"/>
        </w:rPr>
        <w:t>Julia</w:t>
      </w:r>
      <w:r>
        <w:rPr>
          <w:spacing w:val="-2"/>
          <w:sz w:val="18"/>
          <w:vertAlign w:val="baseline"/>
        </w:rPr>
        <w:t> </w:t>
      </w:r>
      <w:r>
        <w:rPr>
          <w:sz w:val="18"/>
          <w:vertAlign w:val="baseline"/>
        </w:rPr>
        <w:t>Thomas.</w:t>
      </w:r>
      <w:r>
        <w:rPr>
          <w:spacing w:val="-2"/>
          <w:sz w:val="18"/>
          <w:vertAlign w:val="baseline"/>
        </w:rPr>
        <w:t> </w:t>
      </w:r>
      <w:r>
        <w:rPr>
          <w:sz w:val="18"/>
          <w:vertAlign w:val="baseline"/>
        </w:rPr>
        <w:t>1989.</w:t>
      </w:r>
      <w:r>
        <w:rPr>
          <w:spacing w:val="-2"/>
          <w:sz w:val="18"/>
          <w:vertAlign w:val="baseline"/>
        </w:rPr>
        <w:t> </w:t>
      </w:r>
      <w:r>
        <w:rPr>
          <w:sz w:val="18"/>
          <w:vertAlign w:val="baseline"/>
        </w:rPr>
        <w:t>"Early</w:t>
      </w:r>
      <w:r>
        <w:rPr>
          <w:spacing w:val="-2"/>
          <w:sz w:val="18"/>
          <w:vertAlign w:val="baseline"/>
        </w:rPr>
        <w:t> </w:t>
      </w:r>
      <w:r>
        <w:rPr>
          <w:sz w:val="18"/>
          <w:vertAlign w:val="baseline"/>
        </w:rPr>
        <w:t>sexual</w:t>
      </w:r>
      <w:r>
        <w:rPr>
          <w:spacing w:val="-3"/>
          <w:sz w:val="18"/>
          <w:vertAlign w:val="baseline"/>
        </w:rPr>
        <w:t> </w:t>
      </w:r>
      <w:r>
        <w:rPr>
          <w:sz w:val="18"/>
          <w:vertAlign w:val="baseline"/>
        </w:rPr>
        <w:t>activity</w:t>
      </w:r>
      <w:r>
        <w:rPr>
          <w:spacing w:val="-2"/>
          <w:sz w:val="18"/>
          <w:vertAlign w:val="baseline"/>
        </w:rPr>
        <w:t> </w:t>
      </w:r>
      <w:r>
        <w:rPr>
          <w:sz w:val="18"/>
          <w:vertAlign w:val="baseline"/>
        </w:rPr>
        <w:t>of delinquent adolescents." </w:t>
      </w:r>
      <w:r>
        <w:rPr>
          <w:i/>
          <w:sz w:val="18"/>
          <w:vertAlign w:val="baseline"/>
        </w:rPr>
        <w:t>Journal of Adolescent Health Care </w:t>
      </w:r>
      <w:r>
        <w:rPr>
          <w:sz w:val="18"/>
          <w:vertAlign w:val="baseline"/>
        </w:rPr>
        <w:t>10, no. 5: 398-403.</w:t>
      </w:r>
    </w:p>
    <w:p>
      <w:pPr>
        <w:spacing w:before="0"/>
        <w:ind w:left="320" w:right="481" w:firstLine="0"/>
        <w:jc w:val="left"/>
        <w:rPr>
          <w:sz w:val="18"/>
        </w:rPr>
      </w:pPr>
      <w:r>
        <w:rPr>
          <w:sz w:val="18"/>
          <w:vertAlign w:val="superscript"/>
        </w:rPr>
        <w:t>115</w:t>
      </w:r>
      <w:r>
        <w:rPr>
          <w:sz w:val="18"/>
          <w:vertAlign w:val="baseline"/>
        </w:rPr>
        <w:t> Widom, Rebecca; Hammett, Theodore M. 1996. </w:t>
      </w:r>
      <w:r>
        <w:rPr>
          <w:i/>
          <w:sz w:val="18"/>
          <w:vertAlign w:val="baseline"/>
        </w:rPr>
        <w:t>HIV/AIDs and STDS in Juvenile Facilities,</w:t>
      </w:r>
      <w:r>
        <w:rPr>
          <w:i/>
          <w:sz w:val="18"/>
          <w:vertAlign w:val="baseline"/>
        </w:rPr>
        <w:t> </w:t>
      </w:r>
      <w:hyperlink r:id="rId521">
        <w:r>
          <w:rPr>
            <w:sz w:val="18"/>
            <w:u w:val="single"/>
            <w:vertAlign w:val="baseline"/>
          </w:rPr>
          <w:t>https://www.ojp.gov/pdffiles/hivjuve.pdf</w:t>
        </w:r>
        <w:r>
          <w:rPr>
            <w:sz w:val="18"/>
            <w:u w:val="none"/>
            <w:vertAlign w:val="baseline"/>
          </w:rPr>
          <w:t>;</w:t>
        </w:r>
      </w:hyperlink>
      <w:r>
        <w:rPr>
          <w:spacing w:val="-3"/>
          <w:sz w:val="18"/>
          <w:u w:val="none"/>
          <w:vertAlign w:val="baseline"/>
        </w:rPr>
        <w:t> </w:t>
      </w:r>
      <w:r>
        <w:rPr>
          <w:sz w:val="18"/>
          <w:u w:val="none"/>
          <w:vertAlign w:val="baseline"/>
        </w:rPr>
        <w:t>Stokes,</w:t>
      </w:r>
      <w:r>
        <w:rPr>
          <w:spacing w:val="-4"/>
          <w:sz w:val="18"/>
          <w:u w:val="none"/>
          <w:vertAlign w:val="baseline"/>
        </w:rPr>
        <w:t> </w:t>
      </w:r>
      <w:r>
        <w:rPr>
          <w:sz w:val="18"/>
          <w:u w:val="none"/>
          <w:vertAlign w:val="baseline"/>
        </w:rPr>
        <w:t>Marquita</w:t>
      </w:r>
      <w:r>
        <w:rPr>
          <w:spacing w:val="-3"/>
          <w:sz w:val="18"/>
          <w:u w:val="none"/>
          <w:vertAlign w:val="baseline"/>
        </w:rPr>
        <w:t> </w:t>
      </w:r>
      <w:r>
        <w:rPr>
          <w:sz w:val="18"/>
          <w:u w:val="none"/>
          <w:vertAlign w:val="baseline"/>
        </w:rPr>
        <w:t>L.</w:t>
      </w:r>
      <w:r>
        <w:rPr>
          <w:spacing w:val="-3"/>
          <w:sz w:val="18"/>
          <w:u w:val="none"/>
          <w:vertAlign w:val="baseline"/>
        </w:rPr>
        <w:t> </w:t>
      </w:r>
      <w:r>
        <w:rPr>
          <w:sz w:val="18"/>
          <w:u w:val="none"/>
          <w:vertAlign w:val="baseline"/>
        </w:rPr>
        <w:t>et</w:t>
      </w:r>
      <w:r>
        <w:rPr>
          <w:spacing w:val="-4"/>
          <w:sz w:val="18"/>
          <w:u w:val="none"/>
          <w:vertAlign w:val="baseline"/>
        </w:rPr>
        <w:t> </w:t>
      </w:r>
      <w:r>
        <w:rPr>
          <w:sz w:val="18"/>
          <w:u w:val="none"/>
          <w:vertAlign w:val="baseline"/>
        </w:rPr>
        <w:t>al.,</w:t>
      </w:r>
      <w:r>
        <w:rPr>
          <w:spacing w:val="-4"/>
          <w:sz w:val="18"/>
          <w:u w:val="none"/>
          <w:vertAlign w:val="baseline"/>
        </w:rPr>
        <w:t> </w:t>
      </w:r>
      <w:r>
        <w:rPr>
          <w:sz w:val="18"/>
          <w:u w:val="none"/>
          <w:vertAlign w:val="baseline"/>
        </w:rPr>
        <w:t>2023.</w:t>
      </w:r>
      <w:r>
        <w:rPr>
          <w:spacing w:val="-3"/>
          <w:sz w:val="18"/>
          <w:u w:val="none"/>
          <w:vertAlign w:val="baseline"/>
        </w:rPr>
        <w:t> </w:t>
      </w:r>
      <w:r>
        <w:rPr>
          <w:sz w:val="18"/>
          <w:u w:val="none"/>
          <w:vertAlign w:val="baseline"/>
        </w:rPr>
        <w:t>Substance</w:t>
      </w:r>
      <w:r>
        <w:rPr>
          <w:spacing w:val="-3"/>
          <w:sz w:val="18"/>
          <w:u w:val="none"/>
          <w:vertAlign w:val="baseline"/>
        </w:rPr>
        <w:t> </w:t>
      </w:r>
      <w:r>
        <w:rPr>
          <w:sz w:val="18"/>
          <w:u w:val="none"/>
          <w:vertAlign w:val="baseline"/>
        </w:rPr>
        <w:t>Abuse</w:t>
      </w:r>
      <w:r>
        <w:rPr>
          <w:spacing w:val="-3"/>
          <w:sz w:val="18"/>
          <w:u w:val="none"/>
          <w:vertAlign w:val="baseline"/>
        </w:rPr>
        <w:t> </w:t>
      </w:r>
      <w:r>
        <w:rPr>
          <w:sz w:val="18"/>
          <w:u w:val="none"/>
          <w:vertAlign w:val="baseline"/>
        </w:rPr>
        <w:t>Disorders</w:t>
      </w:r>
      <w:r>
        <w:rPr>
          <w:spacing w:val="-3"/>
          <w:sz w:val="18"/>
          <w:u w:val="none"/>
          <w:vertAlign w:val="baseline"/>
        </w:rPr>
        <w:t> </w:t>
      </w:r>
      <w:r>
        <w:rPr>
          <w:sz w:val="18"/>
          <w:u w:val="none"/>
          <w:vertAlign w:val="baseline"/>
        </w:rPr>
        <w:t>and</w:t>
      </w:r>
      <w:r>
        <w:rPr>
          <w:spacing w:val="-3"/>
          <w:sz w:val="18"/>
          <w:u w:val="none"/>
          <w:vertAlign w:val="baseline"/>
        </w:rPr>
        <w:t> </w:t>
      </w:r>
      <w:r>
        <w:rPr>
          <w:sz w:val="18"/>
          <w:u w:val="none"/>
          <w:vertAlign w:val="baseline"/>
        </w:rPr>
        <w:t>HIV/AIDs</w:t>
      </w:r>
      <w:r>
        <w:rPr>
          <w:spacing w:val="-3"/>
          <w:sz w:val="18"/>
          <w:u w:val="none"/>
          <w:vertAlign w:val="baseline"/>
        </w:rPr>
        <w:t> </w:t>
      </w:r>
      <w:r>
        <w:rPr>
          <w:sz w:val="18"/>
          <w:u w:val="none"/>
          <w:vertAlign w:val="baseline"/>
        </w:rPr>
        <w:t>Risk Behaviors in Youth After Juvenile Detention: A 16-Year Longitudinal Study, </w:t>
      </w:r>
      <w:r>
        <w:rPr>
          <w:i/>
          <w:sz w:val="18"/>
          <w:u w:val="none"/>
          <w:vertAlign w:val="baseline"/>
        </w:rPr>
        <w:t>Journal of Adolescent Health</w:t>
      </w:r>
      <w:r>
        <w:rPr>
          <w:sz w:val="18"/>
          <w:u w:val="none"/>
          <w:vertAlign w:val="baseline"/>
        </w:rPr>
        <w:t>. </w:t>
      </w:r>
      <w:r>
        <w:rPr>
          <w:spacing w:val="-2"/>
          <w:sz w:val="18"/>
          <w:u w:val="none"/>
          <w:vertAlign w:val="baseline"/>
        </w:rPr>
        <w:t>https://</w:t>
      </w:r>
      <w:hyperlink r:id="rId522">
        <w:r>
          <w:rPr>
            <w:spacing w:val="-2"/>
            <w:sz w:val="18"/>
            <w:u w:val="none"/>
            <w:vertAlign w:val="baseline"/>
          </w:rPr>
          <w:t>www.sciencedirect.com/science/article/abs/pii/S1054139X23002744</w:t>
        </w:r>
      </w:hyperlink>
    </w:p>
    <w:p>
      <w:pPr>
        <w:spacing w:after="0"/>
        <w:jc w:val="left"/>
        <w:rPr>
          <w:sz w:val="18"/>
        </w:rPr>
        <w:sectPr>
          <w:pgSz w:w="12240" w:h="15840"/>
          <w:pgMar w:header="763" w:footer="1041" w:top="1360" w:bottom="1240" w:left="1120" w:right="1340"/>
        </w:sectPr>
      </w:pPr>
    </w:p>
    <w:p>
      <w:pPr>
        <w:pStyle w:val="BodyText"/>
        <w:spacing w:before="90"/>
        <w:rPr>
          <w:sz w:val="18"/>
        </w:rPr>
      </w:pPr>
    </w:p>
    <w:p>
      <w:pPr>
        <w:spacing w:before="1"/>
        <w:ind w:left="320" w:right="0" w:firstLine="0"/>
        <w:jc w:val="left"/>
        <w:rPr>
          <w:sz w:val="18"/>
        </w:rPr>
      </w:pPr>
      <w:r>
        <w:rPr>
          <w:sz w:val="18"/>
          <w:vertAlign w:val="superscript"/>
        </w:rPr>
        <w:t>116</w:t>
      </w:r>
      <w:r>
        <w:rPr>
          <w:spacing w:val="-2"/>
          <w:sz w:val="18"/>
          <w:vertAlign w:val="baseline"/>
        </w:rPr>
        <w:t> </w:t>
      </w:r>
      <w:r>
        <w:rPr>
          <w:sz w:val="18"/>
          <w:vertAlign w:val="baseline"/>
        </w:rPr>
        <w:t>Watson,</w:t>
      </w:r>
      <w:r>
        <w:rPr>
          <w:spacing w:val="-3"/>
          <w:sz w:val="18"/>
          <w:vertAlign w:val="baseline"/>
        </w:rPr>
        <w:t> </w:t>
      </w:r>
      <w:r>
        <w:rPr>
          <w:sz w:val="18"/>
          <w:vertAlign w:val="baseline"/>
        </w:rPr>
        <w:t>Jennifer,</w:t>
      </w:r>
      <w:r>
        <w:rPr>
          <w:spacing w:val="-3"/>
          <w:sz w:val="18"/>
          <w:vertAlign w:val="baseline"/>
        </w:rPr>
        <w:t> </w:t>
      </w:r>
      <w:r>
        <w:rPr>
          <w:sz w:val="18"/>
          <w:vertAlign w:val="baseline"/>
        </w:rPr>
        <w:t>Bryce,</w:t>
      </w:r>
      <w:r>
        <w:rPr>
          <w:spacing w:val="-3"/>
          <w:sz w:val="18"/>
          <w:vertAlign w:val="baseline"/>
        </w:rPr>
        <w:t> </w:t>
      </w:r>
      <w:r>
        <w:rPr>
          <w:sz w:val="18"/>
          <w:vertAlign w:val="baseline"/>
        </w:rPr>
        <w:t>India</w:t>
      </w:r>
      <w:r>
        <w:rPr>
          <w:spacing w:val="-2"/>
          <w:sz w:val="18"/>
          <w:vertAlign w:val="baseline"/>
        </w:rPr>
        <w:t> </w:t>
      </w:r>
      <w:r>
        <w:rPr>
          <w:sz w:val="18"/>
          <w:vertAlign w:val="baseline"/>
        </w:rPr>
        <w:t>and</w:t>
      </w:r>
      <w:r>
        <w:rPr>
          <w:spacing w:val="-2"/>
          <w:sz w:val="18"/>
          <w:vertAlign w:val="baseline"/>
        </w:rPr>
        <w:t> </w:t>
      </w:r>
      <w:r>
        <w:rPr>
          <w:sz w:val="18"/>
          <w:vertAlign w:val="baseline"/>
        </w:rPr>
        <w:t>Bromdal,</w:t>
      </w:r>
      <w:r>
        <w:rPr>
          <w:spacing w:val="-3"/>
          <w:sz w:val="18"/>
          <w:vertAlign w:val="baseline"/>
        </w:rPr>
        <w:t> </w:t>
      </w:r>
      <w:r>
        <w:rPr>
          <w:sz w:val="18"/>
          <w:vertAlign w:val="baseline"/>
        </w:rPr>
        <w:t>Annette.</w:t>
      </w:r>
      <w:r>
        <w:rPr>
          <w:spacing w:val="-2"/>
          <w:sz w:val="18"/>
          <w:vertAlign w:val="baseline"/>
        </w:rPr>
        <w:t> </w:t>
      </w:r>
      <w:r>
        <w:rPr>
          <w:sz w:val="18"/>
          <w:vertAlign w:val="baseline"/>
        </w:rPr>
        <w:t>2023.</w:t>
      </w:r>
      <w:r>
        <w:rPr>
          <w:spacing w:val="-2"/>
          <w:sz w:val="18"/>
          <w:vertAlign w:val="baseline"/>
        </w:rPr>
        <w:t> </w:t>
      </w:r>
      <w:r>
        <w:rPr>
          <w:sz w:val="18"/>
          <w:vertAlign w:val="baseline"/>
        </w:rPr>
        <w:t>“Transgender</w:t>
      </w:r>
      <w:r>
        <w:rPr>
          <w:spacing w:val="-3"/>
          <w:sz w:val="18"/>
          <w:vertAlign w:val="baseline"/>
        </w:rPr>
        <w:t> </w:t>
      </w:r>
      <w:r>
        <w:rPr>
          <w:sz w:val="18"/>
          <w:vertAlign w:val="baseline"/>
        </w:rPr>
        <w:t>Youth,</w:t>
      </w:r>
      <w:r>
        <w:rPr>
          <w:spacing w:val="-3"/>
          <w:sz w:val="18"/>
          <w:vertAlign w:val="baseline"/>
        </w:rPr>
        <w:t> </w:t>
      </w:r>
      <w:r>
        <w:rPr>
          <w:sz w:val="18"/>
          <w:vertAlign w:val="baseline"/>
        </w:rPr>
        <w:t>Challenges,</w:t>
      </w:r>
      <w:r>
        <w:rPr>
          <w:spacing w:val="-3"/>
          <w:sz w:val="18"/>
          <w:vertAlign w:val="baseline"/>
        </w:rPr>
        <w:t> </w:t>
      </w:r>
      <w:r>
        <w:rPr>
          <w:sz w:val="18"/>
          <w:vertAlign w:val="baseline"/>
        </w:rPr>
        <w:t>Responses,</w:t>
      </w:r>
      <w:r>
        <w:rPr>
          <w:spacing w:val="-3"/>
          <w:sz w:val="18"/>
          <w:vertAlign w:val="baseline"/>
        </w:rPr>
        <w:t> </w:t>
      </w:r>
      <w:r>
        <w:rPr>
          <w:sz w:val="18"/>
          <w:vertAlign w:val="baseline"/>
        </w:rPr>
        <w:t>and</w:t>
      </w:r>
      <w:r>
        <w:rPr>
          <w:spacing w:val="-3"/>
          <w:sz w:val="18"/>
          <w:vertAlign w:val="baseline"/>
        </w:rPr>
        <w:t> </w:t>
      </w:r>
      <w:r>
        <w:rPr>
          <w:sz w:val="18"/>
          <w:vertAlign w:val="baseline"/>
        </w:rPr>
        <w:t>the</w:t>
      </w:r>
      <w:r>
        <w:rPr>
          <w:spacing w:val="-2"/>
          <w:sz w:val="18"/>
          <w:vertAlign w:val="baseline"/>
        </w:rPr>
        <w:t> </w:t>
      </w:r>
      <w:r>
        <w:rPr>
          <w:sz w:val="18"/>
          <w:vertAlign w:val="baseline"/>
        </w:rPr>
        <w:t>Juvenile Justice System: A Systemic Review of an Emerging Literature”. </w:t>
      </w:r>
      <w:r>
        <w:rPr>
          <w:i/>
          <w:sz w:val="18"/>
          <w:vertAlign w:val="baseline"/>
        </w:rPr>
        <w:t>Youth Justice</w:t>
      </w:r>
      <w:r>
        <w:rPr>
          <w:sz w:val="18"/>
          <w:vertAlign w:val="baseline"/>
        </w:rPr>
        <w:t>. </w:t>
      </w:r>
      <w:r>
        <w:rPr>
          <w:spacing w:val="-2"/>
          <w:sz w:val="18"/>
          <w:vertAlign w:val="baseline"/>
        </w:rPr>
        <w:t>https://journals.sagepub.com/doi/10.1177/14732254231167344</w:t>
      </w:r>
    </w:p>
    <w:p>
      <w:pPr>
        <w:spacing w:line="219" w:lineRule="exact" w:before="0"/>
        <w:ind w:left="320" w:right="0" w:firstLine="0"/>
        <w:jc w:val="left"/>
        <w:rPr>
          <w:sz w:val="18"/>
        </w:rPr>
      </w:pPr>
      <w:r>
        <w:rPr>
          <w:sz w:val="18"/>
          <w:vertAlign w:val="superscript"/>
        </w:rPr>
        <w:t>117</w:t>
      </w:r>
      <w:r>
        <w:rPr>
          <w:spacing w:val="-5"/>
          <w:sz w:val="18"/>
          <w:vertAlign w:val="baseline"/>
        </w:rPr>
        <w:t> </w:t>
      </w:r>
      <w:r>
        <w:rPr>
          <w:sz w:val="18"/>
          <w:vertAlign w:val="baseline"/>
        </w:rPr>
        <w:t>American</w:t>
      </w:r>
      <w:r>
        <w:rPr>
          <w:spacing w:val="-3"/>
          <w:sz w:val="18"/>
          <w:vertAlign w:val="baseline"/>
        </w:rPr>
        <w:t> </w:t>
      </w:r>
      <w:r>
        <w:rPr>
          <w:sz w:val="18"/>
          <w:vertAlign w:val="baseline"/>
        </w:rPr>
        <w:t>Bar</w:t>
      </w:r>
      <w:r>
        <w:rPr>
          <w:spacing w:val="-4"/>
          <w:sz w:val="18"/>
          <w:vertAlign w:val="baseline"/>
        </w:rPr>
        <w:t> </w:t>
      </w:r>
      <w:r>
        <w:rPr>
          <w:sz w:val="18"/>
          <w:vertAlign w:val="baseline"/>
        </w:rPr>
        <w:t>Association.</w:t>
      </w:r>
      <w:r>
        <w:rPr>
          <w:spacing w:val="-3"/>
          <w:sz w:val="18"/>
          <w:vertAlign w:val="baseline"/>
        </w:rPr>
        <w:t> </w:t>
      </w:r>
      <w:r>
        <w:rPr>
          <w:sz w:val="18"/>
          <w:vertAlign w:val="baseline"/>
        </w:rPr>
        <w:t>2018.</w:t>
      </w:r>
      <w:r>
        <w:rPr>
          <w:spacing w:val="-3"/>
          <w:sz w:val="18"/>
          <w:vertAlign w:val="baseline"/>
        </w:rPr>
        <w:t> </w:t>
      </w:r>
      <w:r>
        <w:rPr>
          <w:sz w:val="18"/>
          <w:vertAlign w:val="baseline"/>
        </w:rPr>
        <w:t>“Collateral</w:t>
      </w:r>
      <w:r>
        <w:rPr>
          <w:spacing w:val="-4"/>
          <w:sz w:val="18"/>
          <w:vertAlign w:val="baseline"/>
        </w:rPr>
        <w:t> </w:t>
      </w:r>
      <w:r>
        <w:rPr>
          <w:sz w:val="18"/>
          <w:vertAlign w:val="baseline"/>
        </w:rPr>
        <w:t>consequences</w:t>
      </w:r>
      <w:r>
        <w:rPr>
          <w:spacing w:val="-3"/>
          <w:sz w:val="18"/>
          <w:vertAlign w:val="baseline"/>
        </w:rPr>
        <w:t> </w:t>
      </w:r>
      <w:r>
        <w:rPr>
          <w:sz w:val="18"/>
          <w:vertAlign w:val="baseline"/>
        </w:rPr>
        <w:t>of</w:t>
      </w:r>
      <w:r>
        <w:rPr>
          <w:spacing w:val="-3"/>
          <w:sz w:val="18"/>
          <w:vertAlign w:val="baseline"/>
        </w:rPr>
        <w:t> </w:t>
      </w:r>
      <w:r>
        <w:rPr>
          <w:sz w:val="18"/>
          <w:vertAlign w:val="baseline"/>
        </w:rPr>
        <w:t>Criminal</w:t>
      </w:r>
      <w:r>
        <w:rPr>
          <w:spacing w:val="-4"/>
          <w:sz w:val="18"/>
          <w:vertAlign w:val="baseline"/>
        </w:rPr>
        <w:t> </w:t>
      </w:r>
      <w:r>
        <w:rPr>
          <w:sz w:val="18"/>
          <w:vertAlign w:val="baseline"/>
        </w:rPr>
        <w:t>Convictions:</w:t>
      </w:r>
      <w:r>
        <w:rPr>
          <w:spacing w:val="-3"/>
          <w:sz w:val="18"/>
          <w:vertAlign w:val="baseline"/>
        </w:rPr>
        <w:t> </w:t>
      </w:r>
      <w:r>
        <w:rPr>
          <w:sz w:val="18"/>
          <w:vertAlign w:val="baseline"/>
        </w:rPr>
        <w:t>judicial</w:t>
      </w:r>
      <w:r>
        <w:rPr>
          <w:spacing w:val="-4"/>
          <w:sz w:val="18"/>
          <w:vertAlign w:val="baseline"/>
        </w:rPr>
        <w:t> </w:t>
      </w:r>
      <w:r>
        <w:rPr>
          <w:sz w:val="18"/>
          <w:vertAlign w:val="baseline"/>
        </w:rPr>
        <w:t>bench</w:t>
      </w:r>
      <w:r>
        <w:rPr>
          <w:spacing w:val="-2"/>
          <w:sz w:val="18"/>
          <w:vertAlign w:val="baseline"/>
        </w:rPr>
        <w:t> book”.</w:t>
      </w:r>
    </w:p>
    <w:p>
      <w:pPr>
        <w:spacing w:before="1"/>
        <w:ind w:left="320" w:right="0" w:firstLine="0"/>
        <w:jc w:val="left"/>
        <w:rPr>
          <w:i/>
          <w:sz w:val="18"/>
        </w:rPr>
      </w:pPr>
      <w:r>
        <w:rPr>
          <w:i/>
          <w:spacing w:val="-2"/>
          <w:sz w:val="18"/>
        </w:rPr>
        <w:t>https:/</w:t>
      </w:r>
      <w:hyperlink r:id="rId523">
        <w:r>
          <w:rPr>
            <w:i/>
            <w:spacing w:val="-2"/>
            <w:sz w:val="18"/>
          </w:rPr>
          <w:t>/www.ojp.gov/pdffiles1/nij/grants/251583.pdf</w:t>
        </w:r>
      </w:hyperlink>
      <w:r>
        <w:rPr>
          <w:i/>
          <w:spacing w:val="69"/>
          <w:sz w:val="18"/>
        </w:rPr>
        <w:t> </w:t>
      </w:r>
      <w:r>
        <w:rPr>
          <w:i/>
          <w:spacing w:val="-10"/>
          <w:sz w:val="18"/>
        </w:rPr>
        <w:t>.</w:t>
      </w:r>
    </w:p>
    <w:p>
      <w:pPr>
        <w:spacing w:before="0"/>
        <w:ind w:left="320" w:right="1827" w:firstLine="0"/>
        <w:jc w:val="left"/>
        <w:rPr>
          <w:sz w:val="18"/>
        </w:rPr>
      </w:pPr>
      <w:r>
        <w:rPr>
          <w:sz w:val="18"/>
          <w:vertAlign w:val="superscript"/>
        </w:rPr>
        <w:t>118</w:t>
      </w:r>
      <w:r>
        <w:rPr>
          <w:sz w:val="18"/>
          <w:vertAlign w:val="baseline"/>
        </w:rPr>
        <w:t> National Juvenile Defender Center, 2018. “Conquering Collateral Consequences”. </w:t>
      </w:r>
      <w:r>
        <w:rPr>
          <w:spacing w:val="-2"/>
          <w:sz w:val="18"/>
          <w:vertAlign w:val="baseline"/>
        </w:rPr>
        <w:t>https://ojjdp.ojp.gov/library/publications/juvenile-defenders-guide-conquering-collateral-consequences</w:t>
      </w:r>
    </w:p>
    <w:p>
      <w:pPr>
        <w:spacing w:line="153" w:lineRule="auto" w:before="35"/>
        <w:ind w:left="320" w:right="0" w:firstLine="0"/>
        <w:jc w:val="left"/>
        <w:rPr>
          <w:i/>
          <w:sz w:val="18"/>
        </w:rPr>
      </w:pPr>
      <w:r>
        <w:rPr>
          <w:sz w:val="12"/>
        </w:rPr>
        <w:t>119</w:t>
      </w:r>
      <w:r>
        <w:rPr>
          <w:spacing w:val="13"/>
          <w:sz w:val="12"/>
        </w:rPr>
        <w:t> </w:t>
      </w:r>
      <w:r>
        <w:rPr>
          <w:i/>
          <w:spacing w:val="-5"/>
          <w:position w:val="-5"/>
          <w:sz w:val="18"/>
        </w:rPr>
        <w:t>Id.</w:t>
      </w:r>
    </w:p>
    <w:p>
      <w:pPr>
        <w:spacing w:before="38"/>
        <w:ind w:left="320" w:right="1099" w:firstLine="0"/>
        <w:jc w:val="left"/>
        <w:rPr>
          <w:sz w:val="18"/>
        </w:rPr>
      </w:pPr>
      <w:r>
        <w:rPr>
          <w:sz w:val="18"/>
          <w:vertAlign w:val="superscript"/>
        </w:rPr>
        <w:t>120</w:t>
      </w:r>
      <w:r>
        <w:rPr>
          <w:sz w:val="18"/>
          <w:vertAlign w:val="baseline"/>
        </w:rPr>
        <w:t> Clean Slate. 2023. “A Criminal Record Should Not Mean a Lifetime of Blocked Opportunities”. </w:t>
      </w:r>
      <w:r>
        <w:rPr>
          <w:spacing w:val="-2"/>
          <w:sz w:val="18"/>
          <w:vertAlign w:val="baseline"/>
        </w:rPr>
        <w:t>https://</w:t>
      </w:r>
      <w:hyperlink r:id="rId524">
        <w:r>
          <w:rPr>
            <w:spacing w:val="-2"/>
            <w:sz w:val="18"/>
            <w:vertAlign w:val="baseline"/>
          </w:rPr>
          <w:t>www.publichealthwm.org/application/files/1617/0204/8768/Clean-Slate-Fact-Sheet_REVISED-12-7-23.pdf</w:t>
        </w:r>
      </w:hyperlink>
      <w:r>
        <w:rPr>
          <w:spacing w:val="40"/>
          <w:sz w:val="18"/>
          <w:vertAlign w:val="baseline"/>
        </w:rPr>
        <w:t> </w:t>
      </w:r>
      <w:r>
        <w:rPr>
          <w:sz w:val="18"/>
          <w:vertAlign w:val="superscript"/>
        </w:rPr>
        <w:t>121</w:t>
      </w:r>
      <w:r>
        <w:rPr>
          <w:sz w:val="18"/>
          <w:vertAlign w:val="baseline"/>
        </w:rPr>
        <w:t> National Institute of Justice. 2022. “Expungement: Criminal Records as Reentry Barriers”. </w:t>
      </w:r>
      <w:r>
        <w:rPr>
          <w:spacing w:val="-2"/>
          <w:sz w:val="18"/>
          <w:vertAlign w:val="baseline"/>
        </w:rPr>
        <w:t>https://nij.ojp.gov/topics/articles/expungement-criminal-records-reentry-barriers</w:t>
      </w:r>
    </w:p>
    <w:p>
      <w:pPr>
        <w:spacing w:before="0"/>
        <w:ind w:left="320" w:right="1099" w:firstLine="0"/>
        <w:jc w:val="left"/>
        <w:rPr>
          <w:sz w:val="18"/>
        </w:rPr>
      </w:pPr>
      <w:r>
        <w:rPr>
          <w:sz w:val="18"/>
          <w:vertAlign w:val="superscript"/>
        </w:rPr>
        <w:t>122</w:t>
      </w:r>
      <w:r>
        <w:rPr>
          <w:sz w:val="18"/>
          <w:vertAlign w:val="baseline"/>
        </w:rPr>
        <w:t> Clean Slate. 2023. “A Criminal Record Should Not Mean a Lifetime of Blocked Opportunities”. </w:t>
      </w:r>
      <w:r>
        <w:rPr>
          <w:spacing w:val="-2"/>
          <w:sz w:val="18"/>
          <w:vertAlign w:val="baseline"/>
        </w:rPr>
        <w:t>https://</w:t>
      </w:r>
      <w:hyperlink r:id="rId524">
        <w:r>
          <w:rPr>
            <w:spacing w:val="-2"/>
            <w:sz w:val="18"/>
            <w:vertAlign w:val="baseline"/>
          </w:rPr>
          <w:t>www.publichealthwm.org/application/files/1617/0204/8768/Clean-Slate-Fact-Sheet_REVISED-12-7-23.pdf</w:t>
        </w:r>
      </w:hyperlink>
      <w:r>
        <w:rPr>
          <w:spacing w:val="40"/>
          <w:sz w:val="18"/>
          <w:vertAlign w:val="baseline"/>
        </w:rPr>
        <w:t> </w:t>
      </w:r>
      <w:r>
        <w:rPr>
          <w:sz w:val="18"/>
          <w:vertAlign w:val="superscript"/>
        </w:rPr>
        <w:t>123</w:t>
      </w:r>
      <w:r>
        <w:rPr>
          <w:sz w:val="18"/>
          <w:vertAlign w:val="baseline"/>
        </w:rPr>
        <w:t> Massachusetts Senate Bill 979, An Act Providing Easier and Greater Access to Record Sealing, 2023,</w:t>
      </w:r>
    </w:p>
    <w:p>
      <w:pPr>
        <w:spacing w:before="1"/>
        <w:ind w:left="320" w:right="0" w:firstLine="0"/>
        <w:jc w:val="left"/>
        <w:rPr>
          <w:sz w:val="18"/>
        </w:rPr>
      </w:pPr>
      <w:r>
        <w:rPr>
          <w:sz w:val="18"/>
        </w:rPr>
        <w:t>https://malegislature.gov/Bills/193/H979;</w:t>
      </w:r>
      <w:r>
        <w:rPr>
          <w:spacing w:val="-3"/>
          <w:sz w:val="18"/>
        </w:rPr>
        <w:t> </w:t>
      </w:r>
      <w:r>
        <w:rPr>
          <w:sz w:val="18"/>
        </w:rPr>
        <w:t>Senate</w:t>
      </w:r>
      <w:r>
        <w:rPr>
          <w:spacing w:val="-3"/>
          <w:sz w:val="18"/>
        </w:rPr>
        <w:t> </w:t>
      </w:r>
      <w:r>
        <w:rPr>
          <w:sz w:val="18"/>
        </w:rPr>
        <w:t>Bill</w:t>
      </w:r>
      <w:r>
        <w:rPr>
          <w:spacing w:val="-4"/>
          <w:sz w:val="18"/>
        </w:rPr>
        <w:t> </w:t>
      </w:r>
      <w:r>
        <w:rPr>
          <w:sz w:val="18"/>
        </w:rPr>
        <w:t>998,</w:t>
      </w:r>
      <w:r>
        <w:rPr>
          <w:spacing w:val="-4"/>
          <w:sz w:val="18"/>
        </w:rPr>
        <w:t> </w:t>
      </w:r>
      <w:r>
        <w:rPr>
          <w:sz w:val="18"/>
        </w:rPr>
        <w:t>An</w:t>
      </w:r>
      <w:r>
        <w:rPr>
          <w:spacing w:val="-3"/>
          <w:sz w:val="18"/>
        </w:rPr>
        <w:t> </w:t>
      </w:r>
      <w:r>
        <w:rPr>
          <w:sz w:val="18"/>
        </w:rPr>
        <w:t>Act</w:t>
      </w:r>
      <w:r>
        <w:rPr>
          <w:spacing w:val="-4"/>
          <w:sz w:val="18"/>
        </w:rPr>
        <w:t> </w:t>
      </w:r>
      <w:r>
        <w:rPr>
          <w:sz w:val="18"/>
        </w:rPr>
        <w:t>to</w:t>
      </w:r>
      <w:r>
        <w:rPr>
          <w:spacing w:val="-3"/>
          <w:sz w:val="18"/>
        </w:rPr>
        <w:t> </w:t>
      </w:r>
      <w:r>
        <w:rPr>
          <w:sz w:val="18"/>
        </w:rPr>
        <w:t>Remove</w:t>
      </w:r>
      <w:r>
        <w:rPr>
          <w:spacing w:val="-3"/>
          <w:sz w:val="18"/>
        </w:rPr>
        <w:t> </w:t>
      </w:r>
      <w:r>
        <w:rPr>
          <w:sz w:val="18"/>
        </w:rPr>
        <w:t>Collateral</w:t>
      </w:r>
      <w:r>
        <w:rPr>
          <w:spacing w:val="-4"/>
          <w:sz w:val="18"/>
        </w:rPr>
        <w:t> </w:t>
      </w:r>
      <w:r>
        <w:rPr>
          <w:sz w:val="18"/>
        </w:rPr>
        <w:t>Consequences</w:t>
      </w:r>
      <w:r>
        <w:rPr>
          <w:spacing w:val="-3"/>
          <w:sz w:val="18"/>
        </w:rPr>
        <w:t> </w:t>
      </w:r>
      <w:r>
        <w:rPr>
          <w:sz w:val="18"/>
        </w:rPr>
        <w:t>and</w:t>
      </w:r>
      <w:r>
        <w:rPr>
          <w:spacing w:val="-4"/>
          <w:sz w:val="18"/>
        </w:rPr>
        <w:t> </w:t>
      </w:r>
      <w:r>
        <w:rPr>
          <w:sz w:val="18"/>
        </w:rPr>
        <w:t>Protect</w:t>
      </w:r>
      <w:r>
        <w:rPr>
          <w:spacing w:val="-4"/>
          <w:sz w:val="18"/>
        </w:rPr>
        <w:t> </w:t>
      </w:r>
      <w:r>
        <w:rPr>
          <w:sz w:val="18"/>
        </w:rPr>
        <w:t>the Presumption of Innocence, 2023 https://malegislature.gov/Bills/193/S998</w:t>
      </w:r>
    </w:p>
    <w:p>
      <w:pPr>
        <w:spacing w:before="0"/>
        <w:ind w:left="320" w:right="1099" w:firstLine="0"/>
        <w:jc w:val="left"/>
        <w:rPr>
          <w:sz w:val="18"/>
        </w:rPr>
      </w:pPr>
      <w:r>
        <w:rPr>
          <w:sz w:val="18"/>
          <w:vertAlign w:val="superscript"/>
        </w:rPr>
        <w:t>124</w:t>
      </w:r>
      <w:r>
        <w:rPr>
          <w:sz w:val="18"/>
          <w:vertAlign w:val="baseline"/>
        </w:rPr>
        <w:t> Clean Slate. 2023. “A Criminal Record Should Not Mean a Lifetime of Blocked Opportunities”. </w:t>
      </w:r>
      <w:r>
        <w:rPr>
          <w:spacing w:val="-2"/>
          <w:sz w:val="18"/>
          <w:vertAlign w:val="baseline"/>
        </w:rPr>
        <w:t>https://</w:t>
      </w:r>
      <w:hyperlink r:id="rId524">
        <w:r>
          <w:rPr>
            <w:spacing w:val="-2"/>
            <w:sz w:val="18"/>
            <w:vertAlign w:val="baseline"/>
          </w:rPr>
          <w:t>www.publichealthwm.org/application/files/1617/0204/8768/Clean-Slate-Fact-Sheet_REVISED-12-7-23.pdf</w:t>
        </w:r>
      </w:hyperlink>
    </w:p>
    <w:p>
      <w:pPr>
        <w:spacing w:before="0"/>
        <w:ind w:left="320" w:right="0" w:firstLine="0"/>
        <w:jc w:val="left"/>
        <w:rPr>
          <w:sz w:val="18"/>
        </w:rPr>
      </w:pPr>
      <w:r>
        <w:rPr>
          <w:sz w:val="18"/>
          <w:vertAlign w:val="superscript"/>
        </w:rPr>
        <w:t>125</w:t>
      </w:r>
      <w:r>
        <w:rPr>
          <w:spacing w:val="-3"/>
          <w:sz w:val="18"/>
          <w:vertAlign w:val="baseline"/>
        </w:rPr>
        <w:t> </w:t>
      </w:r>
      <w:r>
        <w:rPr>
          <w:sz w:val="18"/>
          <w:vertAlign w:val="baseline"/>
        </w:rPr>
        <w:t>General</w:t>
      </w:r>
      <w:r>
        <w:rPr>
          <w:spacing w:val="-4"/>
          <w:sz w:val="18"/>
          <w:vertAlign w:val="baseline"/>
        </w:rPr>
        <w:t> </w:t>
      </w:r>
      <w:r>
        <w:rPr>
          <w:sz w:val="18"/>
          <w:vertAlign w:val="baseline"/>
        </w:rPr>
        <w:t>Court</w:t>
      </w:r>
      <w:r>
        <w:rPr>
          <w:spacing w:val="-4"/>
          <w:sz w:val="18"/>
          <w:vertAlign w:val="baseline"/>
        </w:rPr>
        <w:t> </w:t>
      </w:r>
      <w:r>
        <w:rPr>
          <w:sz w:val="18"/>
          <w:vertAlign w:val="baseline"/>
        </w:rPr>
        <w:t>of</w:t>
      </w:r>
      <w:r>
        <w:rPr>
          <w:spacing w:val="-3"/>
          <w:sz w:val="18"/>
          <w:vertAlign w:val="baseline"/>
        </w:rPr>
        <w:t> </w:t>
      </w:r>
      <w:r>
        <w:rPr>
          <w:sz w:val="18"/>
          <w:vertAlign w:val="baseline"/>
        </w:rPr>
        <w:t>the</w:t>
      </w:r>
      <w:r>
        <w:rPr>
          <w:spacing w:val="-3"/>
          <w:sz w:val="18"/>
          <w:vertAlign w:val="baseline"/>
        </w:rPr>
        <w:t> </w:t>
      </w:r>
      <w:r>
        <w:rPr>
          <w:sz w:val="18"/>
          <w:vertAlign w:val="baseline"/>
        </w:rPr>
        <w:t>Commonwealth</w:t>
      </w:r>
      <w:r>
        <w:rPr>
          <w:spacing w:val="-3"/>
          <w:sz w:val="18"/>
          <w:vertAlign w:val="baseline"/>
        </w:rPr>
        <w:t> </w:t>
      </w:r>
      <w:r>
        <w:rPr>
          <w:sz w:val="18"/>
          <w:vertAlign w:val="baseline"/>
        </w:rPr>
        <w:t>of</w:t>
      </w:r>
      <w:r>
        <w:rPr>
          <w:spacing w:val="-3"/>
          <w:sz w:val="18"/>
          <w:vertAlign w:val="baseline"/>
        </w:rPr>
        <w:t> </w:t>
      </w:r>
      <w:r>
        <w:rPr>
          <w:sz w:val="18"/>
          <w:vertAlign w:val="baseline"/>
        </w:rPr>
        <w:t>Massachusetts.</w:t>
      </w:r>
      <w:r>
        <w:rPr>
          <w:spacing w:val="-3"/>
          <w:sz w:val="18"/>
          <w:vertAlign w:val="baseline"/>
        </w:rPr>
        <w:t> </w:t>
      </w:r>
      <w:r>
        <w:rPr>
          <w:sz w:val="18"/>
          <w:vertAlign w:val="baseline"/>
        </w:rPr>
        <w:t>"An</w:t>
      </w:r>
      <w:r>
        <w:rPr>
          <w:spacing w:val="-4"/>
          <w:sz w:val="18"/>
          <w:vertAlign w:val="baseline"/>
        </w:rPr>
        <w:t> </w:t>
      </w:r>
      <w:r>
        <w:rPr>
          <w:sz w:val="18"/>
          <w:vertAlign w:val="baseline"/>
        </w:rPr>
        <w:t>Act</w:t>
      </w:r>
      <w:r>
        <w:rPr>
          <w:spacing w:val="-4"/>
          <w:sz w:val="18"/>
          <w:vertAlign w:val="baseline"/>
        </w:rPr>
        <w:t> </w:t>
      </w:r>
      <w:r>
        <w:rPr>
          <w:sz w:val="18"/>
          <w:vertAlign w:val="baseline"/>
        </w:rPr>
        <w:t>Relative</w:t>
      </w:r>
      <w:r>
        <w:rPr>
          <w:spacing w:val="-3"/>
          <w:sz w:val="18"/>
          <w:vertAlign w:val="baseline"/>
        </w:rPr>
        <w:t> </w:t>
      </w:r>
      <w:r>
        <w:rPr>
          <w:sz w:val="18"/>
          <w:vertAlign w:val="baseline"/>
        </w:rPr>
        <w:t>to</w:t>
      </w:r>
      <w:r>
        <w:rPr>
          <w:spacing w:val="-3"/>
          <w:sz w:val="18"/>
          <w:vertAlign w:val="baseline"/>
        </w:rPr>
        <w:t> </w:t>
      </w:r>
      <w:r>
        <w:rPr>
          <w:sz w:val="18"/>
          <w:vertAlign w:val="baseline"/>
        </w:rPr>
        <w:t>Criminal</w:t>
      </w:r>
      <w:r>
        <w:rPr>
          <w:spacing w:val="-4"/>
          <w:sz w:val="18"/>
          <w:vertAlign w:val="baseline"/>
        </w:rPr>
        <w:t> </w:t>
      </w:r>
      <w:r>
        <w:rPr>
          <w:sz w:val="18"/>
          <w:vertAlign w:val="baseline"/>
        </w:rPr>
        <w:t>Justice</w:t>
      </w:r>
      <w:r>
        <w:rPr>
          <w:spacing w:val="-3"/>
          <w:sz w:val="18"/>
          <w:vertAlign w:val="baseline"/>
        </w:rPr>
        <w:t> </w:t>
      </w:r>
      <w:r>
        <w:rPr>
          <w:sz w:val="18"/>
          <w:vertAlign w:val="baseline"/>
        </w:rPr>
        <w:t>Reform."</w:t>
      </w:r>
      <w:r>
        <w:rPr>
          <w:spacing w:val="-3"/>
          <w:sz w:val="18"/>
          <w:vertAlign w:val="baseline"/>
        </w:rPr>
        <w:t> </w:t>
      </w:r>
      <w:r>
        <w:rPr>
          <w:sz w:val="18"/>
          <w:vertAlign w:val="baseline"/>
        </w:rPr>
        <w:t>Retrieved</w:t>
      </w:r>
      <w:r>
        <w:rPr>
          <w:spacing w:val="-3"/>
          <w:sz w:val="18"/>
          <w:vertAlign w:val="baseline"/>
        </w:rPr>
        <w:t> </w:t>
      </w:r>
      <w:r>
        <w:rPr>
          <w:sz w:val="18"/>
          <w:vertAlign w:val="baseline"/>
        </w:rPr>
        <w:t>from </w:t>
      </w:r>
      <w:hyperlink r:id="rId525">
        <w:r>
          <w:rPr>
            <w:color w:val="0000FF"/>
            <w:spacing w:val="-2"/>
            <w:sz w:val="18"/>
            <w:u w:val="single" w:color="0000FF"/>
            <w:vertAlign w:val="baseline"/>
          </w:rPr>
          <w:t>https://malegislature.gov/Bills/190/S2371</w:t>
        </w:r>
        <w:r>
          <w:rPr>
            <w:spacing w:val="-2"/>
            <w:sz w:val="18"/>
            <w:u w:val="none"/>
            <w:vertAlign w:val="baseline"/>
          </w:rPr>
          <w:t>.</w:t>
        </w:r>
      </w:hyperlink>
    </w:p>
    <w:p>
      <w:pPr>
        <w:spacing w:before="0"/>
        <w:ind w:left="320" w:right="0" w:firstLine="0"/>
        <w:jc w:val="left"/>
        <w:rPr>
          <w:sz w:val="18"/>
        </w:rPr>
      </w:pPr>
      <w:r>
        <w:rPr>
          <w:sz w:val="18"/>
          <w:vertAlign w:val="superscript"/>
        </w:rPr>
        <w:t>126</w:t>
      </w:r>
      <w:r>
        <w:rPr>
          <w:sz w:val="18"/>
          <w:vertAlign w:val="baseline"/>
        </w:rPr>
        <w:t> Massachusetts Coalition for Juvenile Justice. 2018. “Summary of Juvenile Justice Provisions in An Act Relative to Criminal Justice Reform”, </w:t>
      </w:r>
      <w:r>
        <w:rPr>
          <w:spacing w:val="-2"/>
          <w:sz w:val="18"/>
          <w:vertAlign w:val="baseline"/>
        </w:rPr>
        <w:t>https://static1.squarespace.com/static/58ea378e414fb5fae5ba06c7/t/5c114512562fa7b2353f0ae8/1544635668333/SUMMAR</w:t>
      </w:r>
      <w:r>
        <w:rPr>
          <w:sz w:val="18"/>
          <w:vertAlign w:val="baseline"/>
        </w:rPr>
        <w:t> </w:t>
      </w:r>
      <w:r>
        <w:rPr>
          <w:spacing w:val="-2"/>
          <w:sz w:val="18"/>
          <w:vertAlign w:val="baseline"/>
        </w:rPr>
        <w:t>Y+of+JJ+Provisions+in+CJ+Reform+Law+updated+10.17.18.pdf</w:t>
      </w:r>
    </w:p>
    <w:p>
      <w:pPr>
        <w:spacing w:line="156" w:lineRule="auto" w:before="36"/>
        <w:ind w:left="320" w:right="0" w:firstLine="0"/>
        <w:jc w:val="left"/>
        <w:rPr>
          <w:i/>
          <w:sz w:val="18"/>
        </w:rPr>
      </w:pPr>
      <w:r>
        <w:rPr>
          <w:sz w:val="12"/>
        </w:rPr>
        <w:t>127</w:t>
      </w:r>
      <w:r>
        <w:rPr>
          <w:spacing w:val="13"/>
          <w:sz w:val="12"/>
        </w:rPr>
        <w:t> </w:t>
      </w:r>
      <w:r>
        <w:rPr>
          <w:i/>
          <w:spacing w:val="-5"/>
          <w:position w:val="-5"/>
          <w:sz w:val="18"/>
        </w:rPr>
        <w:t>Id.</w:t>
      </w:r>
    </w:p>
    <w:p>
      <w:pPr>
        <w:spacing w:line="158" w:lineRule="auto" w:before="71"/>
        <w:ind w:left="320" w:right="0" w:firstLine="0"/>
        <w:jc w:val="left"/>
        <w:rPr>
          <w:i/>
          <w:sz w:val="18"/>
        </w:rPr>
      </w:pPr>
      <w:r>
        <w:rPr>
          <w:sz w:val="12"/>
        </w:rPr>
        <w:t>128</w:t>
      </w:r>
      <w:r>
        <w:rPr>
          <w:spacing w:val="13"/>
          <w:sz w:val="12"/>
        </w:rPr>
        <w:t> </w:t>
      </w:r>
      <w:r>
        <w:rPr>
          <w:i/>
          <w:spacing w:val="-5"/>
          <w:position w:val="-5"/>
          <w:sz w:val="18"/>
        </w:rPr>
        <w:t>Id.</w:t>
      </w:r>
    </w:p>
    <w:p>
      <w:pPr>
        <w:spacing w:before="33"/>
        <w:ind w:left="320" w:right="0" w:firstLine="0"/>
        <w:jc w:val="left"/>
        <w:rPr>
          <w:i/>
          <w:sz w:val="18"/>
        </w:rPr>
      </w:pPr>
      <w:r>
        <w:rPr>
          <w:sz w:val="12"/>
        </w:rPr>
        <w:t>129</w:t>
      </w:r>
      <w:r>
        <w:rPr>
          <w:spacing w:val="13"/>
          <w:sz w:val="12"/>
        </w:rPr>
        <w:t> </w:t>
      </w:r>
      <w:r>
        <w:rPr>
          <w:i/>
          <w:spacing w:val="-5"/>
          <w:position w:val="-5"/>
          <w:sz w:val="18"/>
        </w:rPr>
        <w:t>Id.</w:t>
      </w:r>
    </w:p>
    <w:p>
      <w:pPr>
        <w:spacing w:before="0"/>
        <w:ind w:left="320" w:right="799" w:firstLine="0"/>
        <w:jc w:val="left"/>
        <w:rPr>
          <w:sz w:val="18"/>
        </w:rPr>
      </w:pPr>
      <w:r>
        <w:rPr>
          <w:sz w:val="18"/>
          <w:vertAlign w:val="superscript"/>
        </w:rPr>
        <w:t>130</w:t>
      </w:r>
      <w:r>
        <w:rPr>
          <w:spacing w:val="-2"/>
          <w:sz w:val="18"/>
          <w:vertAlign w:val="baseline"/>
        </w:rPr>
        <w:t> </w:t>
      </w:r>
      <w:r>
        <w:rPr>
          <w:sz w:val="18"/>
          <w:vertAlign w:val="baseline"/>
        </w:rPr>
        <w:t>Juvenile</w:t>
      </w:r>
      <w:r>
        <w:rPr>
          <w:spacing w:val="-2"/>
          <w:sz w:val="18"/>
          <w:vertAlign w:val="baseline"/>
        </w:rPr>
        <w:t> </w:t>
      </w:r>
      <w:r>
        <w:rPr>
          <w:sz w:val="18"/>
          <w:vertAlign w:val="baseline"/>
        </w:rPr>
        <w:t>Justice</w:t>
      </w:r>
      <w:r>
        <w:rPr>
          <w:spacing w:val="-2"/>
          <w:sz w:val="18"/>
          <w:vertAlign w:val="baseline"/>
        </w:rPr>
        <w:t> </w:t>
      </w:r>
      <w:r>
        <w:rPr>
          <w:sz w:val="18"/>
          <w:vertAlign w:val="baseline"/>
        </w:rPr>
        <w:t>and</w:t>
      </w:r>
      <w:r>
        <w:rPr>
          <w:spacing w:val="-2"/>
          <w:sz w:val="18"/>
          <w:vertAlign w:val="baseline"/>
        </w:rPr>
        <w:t> </w:t>
      </w:r>
      <w:r>
        <w:rPr>
          <w:sz w:val="18"/>
          <w:vertAlign w:val="baseline"/>
        </w:rPr>
        <w:t>Policy</w:t>
      </w:r>
      <w:r>
        <w:rPr>
          <w:spacing w:val="-2"/>
          <w:sz w:val="18"/>
          <w:vertAlign w:val="baseline"/>
        </w:rPr>
        <w:t> </w:t>
      </w:r>
      <w:r>
        <w:rPr>
          <w:sz w:val="18"/>
          <w:vertAlign w:val="baseline"/>
        </w:rPr>
        <w:t>Data</w:t>
      </w:r>
      <w:r>
        <w:rPr>
          <w:spacing w:val="-2"/>
          <w:sz w:val="18"/>
          <w:vertAlign w:val="baseline"/>
        </w:rPr>
        <w:t> </w:t>
      </w:r>
      <w:r>
        <w:rPr>
          <w:sz w:val="18"/>
          <w:vertAlign w:val="baseline"/>
        </w:rPr>
        <w:t>Board.</w:t>
      </w:r>
      <w:r>
        <w:rPr>
          <w:spacing w:val="-2"/>
          <w:sz w:val="18"/>
          <w:vertAlign w:val="baseline"/>
        </w:rPr>
        <w:t> </w:t>
      </w:r>
      <w:r>
        <w:rPr>
          <w:sz w:val="18"/>
          <w:vertAlign w:val="baseline"/>
        </w:rPr>
        <w:t>2024.</w:t>
      </w:r>
      <w:r>
        <w:rPr>
          <w:spacing w:val="-2"/>
          <w:sz w:val="18"/>
          <w:vertAlign w:val="baseline"/>
        </w:rPr>
        <w:t> </w:t>
      </w:r>
      <w:r>
        <w:rPr>
          <w:sz w:val="18"/>
          <w:vertAlign w:val="baseline"/>
        </w:rPr>
        <w:t>“A</w:t>
      </w:r>
      <w:r>
        <w:rPr>
          <w:spacing w:val="-3"/>
          <w:sz w:val="18"/>
          <w:vertAlign w:val="baseline"/>
        </w:rPr>
        <w:t> </w:t>
      </w:r>
      <w:r>
        <w:rPr>
          <w:sz w:val="18"/>
          <w:vertAlign w:val="baseline"/>
        </w:rPr>
        <w:t>Report</w:t>
      </w:r>
      <w:r>
        <w:rPr>
          <w:spacing w:val="-3"/>
          <w:sz w:val="18"/>
          <w:vertAlign w:val="baseline"/>
        </w:rPr>
        <w:t> </w:t>
      </w:r>
      <w:r>
        <w:rPr>
          <w:sz w:val="18"/>
          <w:vertAlign w:val="baseline"/>
        </w:rPr>
        <w:t>of</w:t>
      </w:r>
      <w:r>
        <w:rPr>
          <w:spacing w:val="-2"/>
          <w:sz w:val="18"/>
          <w:vertAlign w:val="baseline"/>
        </w:rPr>
        <w:t> </w:t>
      </w:r>
      <w:r>
        <w:rPr>
          <w:sz w:val="18"/>
          <w:vertAlign w:val="baseline"/>
        </w:rPr>
        <w:t>the</w:t>
      </w:r>
      <w:r>
        <w:rPr>
          <w:spacing w:val="-2"/>
          <w:sz w:val="18"/>
          <w:vertAlign w:val="baseline"/>
        </w:rPr>
        <w:t> </w:t>
      </w:r>
      <w:r>
        <w:rPr>
          <w:sz w:val="18"/>
          <w:vertAlign w:val="baseline"/>
        </w:rPr>
        <w:t>Juvenile</w:t>
      </w:r>
      <w:r>
        <w:rPr>
          <w:spacing w:val="-2"/>
          <w:sz w:val="18"/>
          <w:vertAlign w:val="baseline"/>
        </w:rPr>
        <w:t> </w:t>
      </w:r>
      <w:r>
        <w:rPr>
          <w:sz w:val="18"/>
          <w:vertAlign w:val="baseline"/>
        </w:rPr>
        <w:t>Justice</w:t>
      </w:r>
      <w:r>
        <w:rPr>
          <w:spacing w:val="-2"/>
          <w:sz w:val="18"/>
          <w:vertAlign w:val="baseline"/>
        </w:rPr>
        <w:t> </w:t>
      </w:r>
      <w:r>
        <w:rPr>
          <w:sz w:val="18"/>
          <w:vertAlign w:val="baseline"/>
        </w:rPr>
        <w:t>and</w:t>
      </w:r>
      <w:r>
        <w:rPr>
          <w:spacing w:val="-2"/>
          <w:sz w:val="18"/>
          <w:vertAlign w:val="baseline"/>
        </w:rPr>
        <w:t> </w:t>
      </w:r>
      <w:r>
        <w:rPr>
          <w:sz w:val="18"/>
          <w:vertAlign w:val="baseline"/>
        </w:rPr>
        <w:t>Policy</w:t>
      </w:r>
      <w:r>
        <w:rPr>
          <w:spacing w:val="-2"/>
          <w:sz w:val="18"/>
          <w:vertAlign w:val="baseline"/>
        </w:rPr>
        <w:t> </w:t>
      </w:r>
      <w:r>
        <w:rPr>
          <w:sz w:val="18"/>
          <w:vertAlign w:val="baseline"/>
        </w:rPr>
        <w:t>Data</w:t>
      </w:r>
      <w:r>
        <w:rPr>
          <w:spacing w:val="-2"/>
          <w:sz w:val="18"/>
          <w:vertAlign w:val="baseline"/>
        </w:rPr>
        <w:t> </w:t>
      </w:r>
      <w:r>
        <w:rPr>
          <w:sz w:val="18"/>
          <w:vertAlign w:val="baseline"/>
        </w:rPr>
        <w:t>Board</w:t>
      </w:r>
      <w:r>
        <w:rPr>
          <w:spacing w:val="-2"/>
          <w:sz w:val="18"/>
          <w:vertAlign w:val="baseline"/>
        </w:rPr>
        <w:t> </w:t>
      </w:r>
      <w:r>
        <w:rPr>
          <w:sz w:val="18"/>
          <w:vertAlign w:val="baseline"/>
        </w:rPr>
        <w:t>January</w:t>
      </w:r>
      <w:r>
        <w:rPr>
          <w:spacing w:val="-2"/>
          <w:sz w:val="18"/>
          <w:vertAlign w:val="baseline"/>
        </w:rPr>
        <w:t> </w:t>
      </w:r>
      <w:r>
        <w:rPr>
          <w:sz w:val="18"/>
          <w:vertAlign w:val="baseline"/>
        </w:rPr>
        <w:t>2024”, </w:t>
      </w:r>
      <w:r>
        <w:rPr>
          <w:spacing w:val="-2"/>
          <w:sz w:val="18"/>
          <w:vertAlign w:val="baseline"/>
        </w:rPr>
        <w:t>https:</w:t>
      </w:r>
      <w:hyperlink r:id="rId526">
        <w:r>
          <w:rPr>
            <w:spacing w:val="-2"/>
            <w:sz w:val="18"/>
            <w:vertAlign w:val="baseline"/>
          </w:rPr>
          <w:t>//www.mass.gov/doc/jjpad-2023-annual-report/download</w:t>
        </w:r>
      </w:hyperlink>
    </w:p>
    <w:p>
      <w:pPr>
        <w:spacing w:before="0"/>
        <w:ind w:left="320" w:right="398" w:firstLine="0"/>
        <w:jc w:val="left"/>
        <w:rPr>
          <w:sz w:val="18"/>
        </w:rPr>
      </w:pPr>
      <w:r>
        <w:rPr>
          <w:sz w:val="18"/>
          <w:vertAlign w:val="superscript"/>
        </w:rPr>
        <w:t>131</w:t>
      </w:r>
      <w:r>
        <w:rPr>
          <w:spacing w:val="-2"/>
          <w:sz w:val="18"/>
          <w:vertAlign w:val="baseline"/>
        </w:rPr>
        <w:t> </w:t>
      </w:r>
      <w:r>
        <w:rPr>
          <w:sz w:val="18"/>
          <w:vertAlign w:val="baseline"/>
        </w:rPr>
        <w:t>Brown,</w:t>
      </w:r>
      <w:r>
        <w:rPr>
          <w:spacing w:val="-3"/>
          <w:sz w:val="18"/>
          <w:vertAlign w:val="baseline"/>
        </w:rPr>
        <w:t> </w:t>
      </w:r>
      <w:r>
        <w:rPr>
          <w:sz w:val="18"/>
          <w:vertAlign w:val="baseline"/>
        </w:rPr>
        <w:t>Steve,</w:t>
      </w:r>
      <w:r>
        <w:rPr>
          <w:spacing w:val="-3"/>
          <w:sz w:val="18"/>
          <w:vertAlign w:val="baseline"/>
        </w:rPr>
        <w:t> </w:t>
      </w:r>
      <w:r>
        <w:rPr>
          <w:sz w:val="18"/>
          <w:vertAlign w:val="baseline"/>
        </w:rPr>
        <w:t>and</w:t>
      </w:r>
      <w:r>
        <w:rPr>
          <w:spacing w:val="-2"/>
          <w:sz w:val="18"/>
          <w:vertAlign w:val="baseline"/>
        </w:rPr>
        <w:t> </w:t>
      </w:r>
      <w:r>
        <w:rPr>
          <w:sz w:val="18"/>
          <w:vertAlign w:val="baseline"/>
        </w:rPr>
        <w:t>Ally</w:t>
      </w:r>
      <w:r>
        <w:rPr>
          <w:spacing w:val="-2"/>
          <w:sz w:val="18"/>
          <w:vertAlign w:val="baseline"/>
        </w:rPr>
        <w:t> </w:t>
      </w:r>
      <w:r>
        <w:rPr>
          <w:sz w:val="18"/>
          <w:vertAlign w:val="baseline"/>
        </w:rPr>
        <w:t>Jarmanning.</w:t>
      </w:r>
      <w:r>
        <w:rPr>
          <w:spacing w:val="-2"/>
          <w:sz w:val="18"/>
          <w:vertAlign w:val="baseline"/>
        </w:rPr>
        <w:t> </w:t>
      </w:r>
      <w:r>
        <w:rPr>
          <w:sz w:val="18"/>
          <w:vertAlign w:val="baseline"/>
        </w:rPr>
        <w:t>2021.</w:t>
      </w:r>
      <w:r>
        <w:rPr>
          <w:spacing w:val="-2"/>
          <w:sz w:val="18"/>
          <w:vertAlign w:val="baseline"/>
        </w:rPr>
        <w:t> </w:t>
      </w:r>
      <w:r>
        <w:rPr>
          <w:sz w:val="18"/>
          <w:vertAlign w:val="baseline"/>
        </w:rPr>
        <w:t>“Here’s</w:t>
      </w:r>
      <w:r>
        <w:rPr>
          <w:spacing w:val="-2"/>
          <w:sz w:val="18"/>
          <w:vertAlign w:val="baseline"/>
        </w:rPr>
        <w:t> </w:t>
      </w:r>
      <w:r>
        <w:rPr>
          <w:sz w:val="18"/>
          <w:vertAlign w:val="baseline"/>
        </w:rPr>
        <w:t>What’s</w:t>
      </w:r>
      <w:r>
        <w:rPr>
          <w:spacing w:val="-2"/>
          <w:sz w:val="18"/>
          <w:vertAlign w:val="baseline"/>
        </w:rPr>
        <w:t> </w:t>
      </w:r>
      <w:r>
        <w:rPr>
          <w:sz w:val="18"/>
          <w:vertAlign w:val="baseline"/>
        </w:rPr>
        <w:t>In</w:t>
      </w:r>
      <w:r>
        <w:rPr>
          <w:spacing w:val="-2"/>
          <w:sz w:val="18"/>
          <w:vertAlign w:val="baseline"/>
        </w:rPr>
        <w:t> </w:t>
      </w:r>
      <w:r>
        <w:rPr>
          <w:sz w:val="18"/>
          <w:vertAlign w:val="baseline"/>
        </w:rPr>
        <w:t>the</w:t>
      </w:r>
      <w:r>
        <w:rPr>
          <w:spacing w:val="-3"/>
          <w:sz w:val="18"/>
          <w:vertAlign w:val="baseline"/>
        </w:rPr>
        <w:t> </w:t>
      </w:r>
      <w:r>
        <w:rPr>
          <w:sz w:val="18"/>
          <w:vertAlign w:val="baseline"/>
        </w:rPr>
        <w:t>Massachusetts</w:t>
      </w:r>
      <w:r>
        <w:rPr>
          <w:spacing w:val="-3"/>
          <w:sz w:val="18"/>
          <w:vertAlign w:val="baseline"/>
        </w:rPr>
        <w:t> </w:t>
      </w:r>
      <w:r>
        <w:rPr>
          <w:sz w:val="18"/>
          <w:vertAlign w:val="baseline"/>
        </w:rPr>
        <w:t>Police</w:t>
      </w:r>
      <w:r>
        <w:rPr>
          <w:spacing w:val="-2"/>
          <w:sz w:val="18"/>
          <w:vertAlign w:val="baseline"/>
        </w:rPr>
        <w:t> </w:t>
      </w:r>
      <w:r>
        <w:rPr>
          <w:sz w:val="18"/>
          <w:vertAlign w:val="baseline"/>
        </w:rPr>
        <w:t>Reform</w:t>
      </w:r>
      <w:r>
        <w:rPr>
          <w:spacing w:val="-2"/>
          <w:sz w:val="18"/>
          <w:vertAlign w:val="baseline"/>
        </w:rPr>
        <w:t> </w:t>
      </w:r>
      <w:r>
        <w:rPr>
          <w:sz w:val="18"/>
          <w:vertAlign w:val="baseline"/>
        </w:rPr>
        <w:t>Law,”</w:t>
      </w:r>
      <w:r>
        <w:rPr>
          <w:spacing w:val="-2"/>
          <w:sz w:val="18"/>
          <w:vertAlign w:val="baseline"/>
        </w:rPr>
        <w:t> </w:t>
      </w:r>
      <w:r>
        <w:rPr>
          <w:sz w:val="18"/>
          <w:vertAlign w:val="baseline"/>
        </w:rPr>
        <w:t>WBUR,</w:t>
      </w:r>
      <w:r>
        <w:rPr>
          <w:spacing w:val="-3"/>
          <w:sz w:val="18"/>
          <w:vertAlign w:val="baseline"/>
        </w:rPr>
        <w:t> </w:t>
      </w:r>
      <w:r>
        <w:rPr>
          <w:sz w:val="18"/>
          <w:vertAlign w:val="baseline"/>
        </w:rPr>
        <w:t>April</w:t>
      </w:r>
      <w:r>
        <w:rPr>
          <w:spacing w:val="-2"/>
          <w:sz w:val="18"/>
          <w:vertAlign w:val="baseline"/>
        </w:rPr>
        <w:t> </w:t>
      </w:r>
      <w:r>
        <w:rPr>
          <w:sz w:val="18"/>
          <w:vertAlign w:val="baseline"/>
        </w:rPr>
        <w:t>7,</w:t>
      </w:r>
      <w:r>
        <w:rPr>
          <w:spacing w:val="-3"/>
          <w:sz w:val="18"/>
          <w:vertAlign w:val="baseline"/>
        </w:rPr>
        <w:t> </w:t>
      </w:r>
      <w:r>
        <w:rPr>
          <w:sz w:val="18"/>
          <w:vertAlign w:val="baseline"/>
        </w:rPr>
        <w:t>2021, </w:t>
      </w:r>
      <w:r>
        <w:rPr>
          <w:spacing w:val="-2"/>
          <w:sz w:val="18"/>
          <w:vertAlign w:val="baseline"/>
        </w:rPr>
        <w:t>https://</w:t>
      </w:r>
      <w:hyperlink r:id="rId527">
        <w:r>
          <w:rPr>
            <w:spacing w:val="-2"/>
            <w:sz w:val="18"/>
            <w:vertAlign w:val="baseline"/>
          </w:rPr>
          <w:t>www.wbur.org/news/2020/12/01/massachusetts-police-reform-legislation-explainer.</w:t>
        </w:r>
      </w:hyperlink>
    </w:p>
    <w:p>
      <w:pPr>
        <w:spacing w:line="156" w:lineRule="auto" w:before="36"/>
        <w:ind w:left="320" w:right="0" w:firstLine="0"/>
        <w:jc w:val="left"/>
        <w:rPr>
          <w:i/>
          <w:sz w:val="18"/>
        </w:rPr>
      </w:pPr>
      <w:r>
        <w:rPr>
          <w:sz w:val="12"/>
        </w:rPr>
        <w:t>132</w:t>
      </w:r>
      <w:r>
        <w:rPr>
          <w:spacing w:val="13"/>
          <w:sz w:val="12"/>
        </w:rPr>
        <w:t> </w:t>
      </w:r>
      <w:r>
        <w:rPr>
          <w:i/>
          <w:spacing w:val="-5"/>
          <w:position w:val="-5"/>
          <w:sz w:val="18"/>
        </w:rPr>
        <w:t>Id.</w:t>
      </w:r>
    </w:p>
    <w:p>
      <w:pPr>
        <w:spacing w:before="36"/>
        <w:ind w:left="320" w:right="481" w:firstLine="0"/>
        <w:jc w:val="left"/>
        <w:rPr>
          <w:sz w:val="18"/>
        </w:rPr>
      </w:pPr>
      <w:r>
        <w:rPr>
          <w:sz w:val="18"/>
          <w:vertAlign w:val="superscript"/>
        </w:rPr>
        <w:t>133</w:t>
      </w:r>
      <w:r>
        <w:rPr>
          <w:spacing w:val="-4"/>
          <w:sz w:val="18"/>
          <w:vertAlign w:val="baseline"/>
        </w:rPr>
        <w:t> </w:t>
      </w:r>
      <w:r>
        <w:rPr>
          <w:sz w:val="18"/>
          <w:vertAlign w:val="baseline"/>
        </w:rPr>
        <w:t>Massachusetts</w:t>
      </w:r>
      <w:r>
        <w:rPr>
          <w:spacing w:val="-5"/>
          <w:sz w:val="18"/>
          <w:vertAlign w:val="baseline"/>
        </w:rPr>
        <w:t> </w:t>
      </w:r>
      <w:r>
        <w:rPr>
          <w:sz w:val="18"/>
          <w:vertAlign w:val="baseline"/>
        </w:rPr>
        <w:t>Juvenile</w:t>
      </w:r>
      <w:r>
        <w:rPr>
          <w:spacing w:val="-4"/>
          <w:sz w:val="18"/>
          <w:vertAlign w:val="baseline"/>
        </w:rPr>
        <w:t> </w:t>
      </w:r>
      <w:r>
        <w:rPr>
          <w:sz w:val="18"/>
          <w:vertAlign w:val="baseline"/>
        </w:rPr>
        <w:t>Justice</w:t>
      </w:r>
      <w:r>
        <w:rPr>
          <w:spacing w:val="-4"/>
          <w:sz w:val="18"/>
          <w:vertAlign w:val="baseline"/>
        </w:rPr>
        <w:t> </w:t>
      </w:r>
      <w:r>
        <w:rPr>
          <w:sz w:val="18"/>
          <w:vertAlign w:val="baseline"/>
        </w:rPr>
        <w:t>Advisory</w:t>
      </w:r>
      <w:r>
        <w:rPr>
          <w:spacing w:val="-4"/>
          <w:sz w:val="18"/>
          <w:vertAlign w:val="baseline"/>
        </w:rPr>
        <w:t> </w:t>
      </w:r>
      <w:r>
        <w:rPr>
          <w:sz w:val="18"/>
          <w:vertAlign w:val="baseline"/>
        </w:rPr>
        <w:t>Committee.</w:t>
      </w:r>
      <w:r>
        <w:rPr>
          <w:spacing w:val="-4"/>
          <w:sz w:val="18"/>
          <w:vertAlign w:val="baseline"/>
        </w:rPr>
        <w:t> </w:t>
      </w:r>
      <w:r>
        <w:rPr>
          <w:sz w:val="18"/>
          <w:vertAlign w:val="baseline"/>
        </w:rPr>
        <w:t>2014.</w:t>
      </w:r>
      <w:r>
        <w:rPr>
          <w:spacing w:val="-4"/>
          <w:sz w:val="18"/>
          <w:vertAlign w:val="baseline"/>
        </w:rPr>
        <w:t> </w:t>
      </w:r>
      <w:r>
        <w:rPr>
          <w:sz w:val="18"/>
          <w:vertAlign w:val="baseline"/>
        </w:rPr>
        <w:t>“Massachusetts</w:t>
      </w:r>
      <w:r>
        <w:rPr>
          <w:spacing w:val="-4"/>
          <w:sz w:val="18"/>
          <w:vertAlign w:val="baseline"/>
        </w:rPr>
        <w:t> </w:t>
      </w:r>
      <w:r>
        <w:rPr>
          <w:sz w:val="18"/>
          <w:vertAlign w:val="baseline"/>
        </w:rPr>
        <w:t>Juvenile</w:t>
      </w:r>
      <w:r>
        <w:rPr>
          <w:spacing w:val="-4"/>
          <w:sz w:val="18"/>
          <w:vertAlign w:val="baseline"/>
        </w:rPr>
        <w:t> </w:t>
      </w:r>
      <w:r>
        <w:rPr>
          <w:sz w:val="18"/>
          <w:vertAlign w:val="baseline"/>
        </w:rPr>
        <w:t>Justice</w:t>
      </w:r>
      <w:r>
        <w:rPr>
          <w:spacing w:val="-4"/>
          <w:sz w:val="18"/>
          <w:vertAlign w:val="baseline"/>
        </w:rPr>
        <w:t> </w:t>
      </w:r>
      <w:r>
        <w:rPr>
          <w:sz w:val="18"/>
          <w:vertAlign w:val="baseline"/>
        </w:rPr>
        <w:t>Advisory</w:t>
      </w:r>
      <w:r>
        <w:rPr>
          <w:spacing w:val="-4"/>
          <w:sz w:val="18"/>
          <w:vertAlign w:val="baseline"/>
        </w:rPr>
        <w:t> </w:t>
      </w:r>
      <w:r>
        <w:rPr>
          <w:sz w:val="18"/>
          <w:vertAlign w:val="baseline"/>
        </w:rPr>
        <w:t>Committee</w:t>
      </w:r>
      <w:r>
        <w:rPr>
          <w:spacing w:val="-4"/>
          <w:sz w:val="18"/>
          <w:vertAlign w:val="baseline"/>
        </w:rPr>
        <w:t> </w:t>
      </w:r>
      <w:r>
        <w:rPr>
          <w:sz w:val="18"/>
          <w:vertAlign w:val="baseline"/>
        </w:rPr>
        <w:t>Annual Report to the Governor and State Legislature”. https:</w:t>
      </w:r>
      <w:hyperlink r:id="rId528">
        <w:r>
          <w:rPr>
            <w:sz w:val="18"/>
            <w:vertAlign w:val="baseline"/>
          </w:rPr>
          <w:t>//www.mass.gov/doc/2014-jjac-annual-report/download</w:t>
        </w:r>
      </w:hyperlink>
    </w:p>
    <w:p>
      <w:pPr>
        <w:spacing w:before="0"/>
        <w:ind w:left="320" w:right="907" w:firstLine="0"/>
        <w:jc w:val="left"/>
        <w:rPr>
          <w:sz w:val="18"/>
        </w:rPr>
      </w:pPr>
      <w:r>
        <w:rPr>
          <w:sz w:val="18"/>
          <w:vertAlign w:val="superscript"/>
        </w:rPr>
        <w:t>134</w:t>
      </w:r>
      <w:r>
        <w:rPr>
          <w:spacing w:val="-3"/>
          <w:sz w:val="18"/>
          <w:vertAlign w:val="baseline"/>
        </w:rPr>
        <w:t> </w:t>
      </w:r>
      <w:r>
        <w:rPr>
          <w:sz w:val="18"/>
          <w:vertAlign w:val="baseline"/>
        </w:rPr>
        <w:t>Juvenile</w:t>
      </w:r>
      <w:r>
        <w:rPr>
          <w:spacing w:val="-3"/>
          <w:sz w:val="18"/>
          <w:vertAlign w:val="baseline"/>
        </w:rPr>
        <w:t> </w:t>
      </w:r>
      <w:r>
        <w:rPr>
          <w:sz w:val="18"/>
          <w:vertAlign w:val="baseline"/>
        </w:rPr>
        <w:t>Justice</w:t>
      </w:r>
      <w:r>
        <w:rPr>
          <w:spacing w:val="-3"/>
          <w:sz w:val="18"/>
          <w:vertAlign w:val="baseline"/>
        </w:rPr>
        <w:t> </w:t>
      </w:r>
      <w:r>
        <w:rPr>
          <w:sz w:val="18"/>
          <w:vertAlign w:val="baseline"/>
        </w:rPr>
        <w:t>Policy</w:t>
      </w:r>
      <w:r>
        <w:rPr>
          <w:spacing w:val="-3"/>
          <w:sz w:val="18"/>
          <w:vertAlign w:val="baseline"/>
        </w:rPr>
        <w:t> </w:t>
      </w:r>
      <w:r>
        <w:rPr>
          <w:sz w:val="18"/>
          <w:vertAlign w:val="baseline"/>
        </w:rPr>
        <w:t>and</w:t>
      </w:r>
      <w:r>
        <w:rPr>
          <w:spacing w:val="-3"/>
          <w:sz w:val="18"/>
          <w:vertAlign w:val="baseline"/>
        </w:rPr>
        <w:t> </w:t>
      </w:r>
      <w:r>
        <w:rPr>
          <w:sz w:val="18"/>
          <w:vertAlign w:val="baseline"/>
        </w:rPr>
        <w:t>Data</w:t>
      </w:r>
      <w:r>
        <w:rPr>
          <w:spacing w:val="-3"/>
          <w:sz w:val="18"/>
          <w:vertAlign w:val="baseline"/>
        </w:rPr>
        <w:t> </w:t>
      </w:r>
      <w:r>
        <w:rPr>
          <w:sz w:val="18"/>
          <w:vertAlign w:val="baseline"/>
        </w:rPr>
        <w:t>Board.</w:t>
      </w:r>
      <w:r>
        <w:rPr>
          <w:spacing w:val="-3"/>
          <w:sz w:val="18"/>
          <w:vertAlign w:val="baseline"/>
        </w:rPr>
        <w:t> </w:t>
      </w:r>
      <w:r>
        <w:rPr>
          <w:sz w:val="18"/>
          <w:vertAlign w:val="baseline"/>
        </w:rPr>
        <w:t>2023.</w:t>
      </w:r>
      <w:r>
        <w:rPr>
          <w:spacing w:val="-3"/>
          <w:sz w:val="18"/>
          <w:vertAlign w:val="baseline"/>
        </w:rPr>
        <w:t> </w:t>
      </w:r>
      <w:r>
        <w:rPr>
          <w:sz w:val="18"/>
          <w:vertAlign w:val="baseline"/>
        </w:rPr>
        <w:t>“Massachusetts</w:t>
      </w:r>
      <w:r>
        <w:rPr>
          <w:spacing w:val="-3"/>
          <w:sz w:val="18"/>
          <w:vertAlign w:val="baseline"/>
        </w:rPr>
        <w:t> </w:t>
      </w:r>
      <w:r>
        <w:rPr>
          <w:sz w:val="18"/>
          <w:vertAlign w:val="baseline"/>
        </w:rPr>
        <w:t>Juvenile</w:t>
      </w:r>
      <w:r>
        <w:rPr>
          <w:spacing w:val="-3"/>
          <w:sz w:val="18"/>
          <w:vertAlign w:val="baseline"/>
        </w:rPr>
        <w:t> </w:t>
      </w:r>
      <w:r>
        <w:rPr>
          <w:sz w:val="18"/>
          <w:vertAlign w:val="baseline"/>
        </w:rPr>
        <w:t>Justice</w:t>
      </w:r>
      <w:r>
        <w:rPr>
          <w:spacing w:val="-3"/>
          <w:sz w:val="18"/>
          <w:vertAlign w:val="baseline"/>
        </w:rPr>
        <w:t> </w:t>
      </w:r>
      <w:r>
        <w:rPr>
          <w:sz w:val="18"/>
          <w:vertAlign w:val="baseline"/>
        </w:rPr>
        <w:t>System:</w:t>
      </w:r>
      <w:r>
        <w:rPr>
          <w:spacing w:val="-3"/>
          <w:sz w:val="18"/>
          <w:vertAlign w:val="baseline"/>
        </w:rPr>
        <w:t> </w:t>
      </w:r>
      <w:r>
        <w:rPr>
          <w:sz w:val="18"/>
          <w:vertAlign w:val="baseline"/>
        </w:rPr>
        <w:t>2022</w:t>
      </w:r>
      <w:r>
        <w:rPr>
          <w:spacing w:val="-3"/>
          <w:sz w:val="18"/>
          <w:vertAlign w:val="baseline"/>
        </w:rPr>
        <w:t> </w:t>
      </w:r>
      <w:r>
        <w:rPr>
          <w:sz w:val="18"/>
          <w:vertAlign w:val="baseline"/>
        </w:rPr>
        <w:t>JJPAD</w:t>
      </w:r>
      <w:r>
        <w:rPr>
          <w:spacing w:val="-4"/>
          <w:sz w:val="18"/>
          <w:vertAlign w:val="baseline"/>
        </w:rPr>
        <w:t> </w:t>
      </w:r>
      <w:r>
        <w:rPr>
          <w:sz w:val="18"/>
          <w:vertAlign w:val="baseline"/>
        </w:rPr>
        <w:t>Annual</w:t>
      </w:r>
      <w:r>
        <w:rPr>
          <w:spacing w:val="-4"/>
          <w:sz w:val="18"/>
          <w:vertAlign w:val="baseline"/>
        </w:rPr>
        <w:t> </w:t>
      </w:r>
      <w:r>
        <w:rPr>
          <w:sz w:val="18"/>
          <w:vertAlign w:val="baseline"/>
        </w:rPr>
        <w:t>Report”. </w:t>
      </w:r>
      <w:hyperlink r:id="rId529">
        <w:r>
          <w:rPr>
            <w:spacing w:val="-2"/>
            <w:sz w:val="18"/>
            <w:u w:val="single"/>
            <w:vertAlign w:val="baseline"/>
          </w:rPr>
          <w:t>https://www.mass.gov/doc/jjpad-2022-annual-report/download</w:t>
        </w:r>
        <w:r>
          <w:rPr>
            <w:spacing w:val="-2"/>
            <w:sz w:val="18"/>
            <w:u w:val="none"/>
            <w:vertAlign w:val="baseline"/>
          </w:rPr>
          <w:t>.</w:t>
        </w:r>
      </w:hyperlink>
    </w:p>
    <w:p>
      <w:pPr>
        <w:spacing w:before="0"/>
        <w:ind w:left="320" w:right="907" w:firstLine="0"/>
        <w:jc w:val="left"/>
        <w:rPr>
          <w:sz w:val="18"/>
        </w:rPr>
      </w:pPr>
      <w:r>
        <w:rPr>
          <w:sz w:val="18"/>
          <w:vertAlign w:val="superscript"/>
        </w:rPr>
        <w:t>135</w:t>
      </w:r>
      <w:r>
        <w:rPr>
          <w:spacing w:val="-3"/>
          <w:sz w:val="18"/>
          <w:vertAlign w:val="baseline"/>
        </w:rPr>
        <w:t> </w:t>
      </w:r>
      <w:r>
        <w:rPr>
          <w:sz w:val="18"/>
          <w:vertAlign w:val="baseline"/>
        </w:rPr>
        <w:t>Juvenile</w:t>
      </w:r>
      <w:r>
        <w:rPr>
          <w:spacing w:val="-3"/>
          <w:sz w:val="18"/>
          <w:vertAlign w:val="baseline"/>
        </w:rPr>
        <w:t> </w:t>
      </w:r>
      <w:r>
        <w:rPr>
          <w:sz w:val="18"/>
          <w:vertAlign w:val="baseline"/>
        </w:rPr>
        <w:t>Justice</w:t>
      </w:r>
      <w:r>
        <w:rPr>
          <w:spacing w:val="-3"/>
          <w:sz w:val="18"/>
          <w:vertAlign w:val="baseline"/>
        </w:rPr>
        <w:t> </w:t>
      </w:r>
      <w:r>
        <w:rPr>
          <w:sz w:val="18"/>
          <w:vertAlign w:val="baseline"/>
        </w:rPr>
        <w:t>Policy</w:t>
      </w:r>
      <w:r>
        <w:rPr>
          <w:spacing w:val="-3"/>
          <w:sz w:val="18"/>
          <w:vertAlign w:val="baseline"/>
        </w:rPr>
        <w:t> </w:t>
      </w:r>
      <w:r>
        <w:rPr>
          <w:sz w:val="18"/>
          <w:vertAlign w:val="baseline"/>
        </w:rPr>
        <w:t>and</w:t>
      </w:r>
      <w:r>
        <w:rPr>
          <w:spacing w:val="-3"/>
          <w:sz w:val="18"/>
          <w:vertAlign w:val="baseline"/>
        </w:rPr>
        <w:t> </w:t>
      </w:r>
      <w:r>
        <w:rPr>
          <w:sz w:val="18"/>
          <w:vertAlign w:val="baseline"/>
        </w:rPr>
        <w:t>Data</w:t>
      </w:r>
      <w:r>
        <w:rPr>
          <w:spacing w:val="-3"/>
          <w:sz w:val="18"/>
          <w:vertAlign w:val="baseline"/>
        </w:rPr>
        <w:t> </w:t>
      </w:r>
      <w:r>
        <w:rPr>
          <w:sz w:val="18"/>
          <w:vertAlign w:val="baseline"/>
        </w:rPr>
        <w:t>Board.</w:t>
      </w:r>
      <w:r>
        <w:rPr>
          <w:spacing w:val="-3"/>
          <w:sz w:val="18"/>
          <w:vertAlign w:val="baseline"/>
        </w:rPr>
        <w:t> </w:t>
      </w:r>
      <w:r>
        <w:rPr>
          <w:sz w:val="18"/>
          <w:vertAlign w:val="baseline"/>
        </w:rPr>
        <w:t>2024.</w:t>
      </w:r>
      <w:r>
        <w:rPr>
          <w:spacing w:val="-3"/>
          <w:sz w:val="18"/>
          <w:vertAlign w:val="baseline"/>
        </w:rPr>
        <w:t> </w:t>
      </w:r>
      <w:r>
        <w:rPr>
          <w:sz w:val="18"/>
          <w:vertAlign w:val="baseline"/>
        </w:rPr>
        <w:t>“Massachusetts</w:t>
      </w:r>
      <w:r>
        <w:rPr>
          <w:spacing w:val="-3"/>
          <w:sz w:val="18"/>
          <w:vertAlign w:val="baseline"/>
        </w:rPr>
        <w:t> </w:t>
      </w:r>
      <w:r>
        <w:rPr>
          <w:sz w:val="18"/>
          <w:vertAlign w:val="baseline"/>
        </w:rPr>
        <w:t>Juvenile</w:t>
      </w:r>
      <w:r>
        <w:rPr>
          <w:spacing w:val="-3"/>
          <w:sz w:val="18"/>
          <w:vertAlign w:val="baseline"/>
        </w:rPr>
        <w:t> </w:t>
      </w:r>
      <w:r>
        <w:rPr>
          <w:sz w:val="18"/>
          <w:vertAlign w:val="baseline"/>
        </w:rPr>
        <w:t>Justice</w:t>
      </w:r>
      <w:r>
        <w:rPr>
          <w:spacing w:val="-3"/>
          <w:sz w:val="18"/>
          <w:vertAlign w:val="baseline"/>
        </w:rPr>
        <w:t> </w:t>
      </w:r>
      <w:r>
        <w:rPr>
          <w:sz w:val="18"/>
          <w:vertAlign w:val="baseline"/>
        </w:rPr>
        <w:t>System:</w:t>
      </w:r>
      <w:r>
        <w:rPr>
          <w:spacing w:val="-3"/>
          <w:sz w:val="18"/>
          <w:vertAlign w:val="baseline"/>
        </w:rPr>
        <w:t> </w:t>
      </w:r>
      <w:r>
        <w:rPr>
          <w:sz w:val="18"/>
          <w:vertAlign w:val="baseline"/>
        </w:rPr>
        <w:t>2023</w:t>
      </w:r>
      <w:r>
        <w:rPr>
          <w:spacing w:val="-3"/>
          <w:sz w:val="18"/>
          <w:vertAlign w:val="baseline"/>
        </w:rPr>
        <w:t> </w:t>
      </w:r>
      <w:r>
        <w:rPr>
          <w:sz w:val="18"/>
          <w:vertAlign w:val="baseline"/>
        </w:rPr>
        <w:t>JJPAD</w:t>
      </w:r>
      <w:r>
        <w:rPr>
          <w:spacing w:val="-4"/>
          <w:sz w:val="18"/>
          <w:vertAlign w:val="baseline"/>
        </w:rPr>
        <w:t> </w:t>
      </w:r>
      <w:r>
        <w:rPr>
          <w:sz w:val="18"/>
          <w:vertAlign w:val="baseline"/>
        </w:rPr>
        <w:t>Annual</w:t>
      </w:r>
      <w:r>
        <w:rPr>
          <w:spacing w:val="-4"/>
          <w:sz w:val="18"/>
          <w:vertAlign w:val="baseline"/>
        </w:rPr>
        <w:t> </w:t>
      </w:r>
      <w:r>
        <w:rPr>
          <w:sz w:val="18"/>
          <w:vertAlign w:val="baseline"/>
        </w:rPr>
        <w:t>Report”. </w:t>
      </w:r>
      <w:r>
        <w:rPr>
          <w:spacing w:val="-2"/>
          <w:sz w:val="18"/>
          <w:vertAlign w:val="baseline"/>
        </w:rPr>
        <w:t>https:</w:t>
      </w:r>
      <w:hyperlink r:id="rId526">
        <w:r>
          <w:rPr>
            <w:spacing w:val="-2"/>
            <w:sz w:val="18"/>
            <w:vertAlign w:val="baseline"/>
          </w:rPr>
          <w:t>//www.mass.gov/doc/jjpad-2023-annual-report/download</w:t>
        </w:r>
      </w:hyperlink>
    </w:p>
    <w:p>
      <w:pPr>
        <w:spacing w:before="0"/>
        <w:ind w:left="320" w:right="0" w:firstLine="0"/>
        <w:jc w:val="left"/>
        <w:rPr>
          <w:sz w:val="18"/>
        </w:rPr>
      </w:pPr>
      <w:r>
        <w:rPr>
          <w:sz w:val="18"/>
          <w:vertAlign w:val="superscript"/>
        </w:rPr>
        <w:t>136</w:t>
      </w:r>
      <w:r>
        <w:rPr>
          <w:spacing w:val="-2"/>
          <w:sz w:val="18"/>
          <w:vertAlign w:val="baseline"/>
        </w:rPr>
        <w:t> </w:t>
      </w:r>
      <w:r>
        <w:rPr>
          <w:sz w:val="18"/>
          <w:vertAlign w:val="baseline"/>
        </w:rPr>
        <w:t>Citizens</w:t>
      </w:r>
      <w:r>
        <w:rPr>
          <w:spacing w:val="-2"/>
          <w:sz w:val="18"/>
          <w:vertAlign w:val="baseline"/>
        </w:rPr>
        <w:t> </w:t>
      </w:r>
      <w:r>
        <w:rPr>
          <w:sz w:val="18"/>
          <w:vertAlign w:val="baseline"/>
        </w:rPr>
        <w:t>for</w:t>
      </w:r>
      <w:r>
        <w:rPr>
          <w:spacing w:val="-3"/>
          <w:sz w:val="18"/>
          <w:vertAlign w:val="baseline"/>
        </w:rPr>
        <w:t> </w:t>
      </w:r>
      <w:r>
        <w:rPr>
          <w:sz w:val="18"/>
          <w:vertAlign w:val="baseline"/>
        </w:rPr>
        <w:t>Juvenile</w:t>
      </w:r>
      <w:r>
        <w:rPr>
          <w:spacing w:val="-2"/>
          <w:sz w:val="18"/>
          <w:vertAlign w:val="baseline"/>
        </w:rPr>
        <w:t> </w:t>
      </w:r>
      <w:r>
        <w:rPr>
          <w:sz w:val="18"/>
          <w:vertAlign w:val="baseline"/>
        </w:rPr>
        <w:t>Justice.</w:t>
      </w:r>
      <w:r>
        <w:rPr>
          <w:spacing w:val="-2"/>
          <w:sz w:val="18"/>
          <w:vertAlign w:val="baseline"/>
        </w:rPr>
        <w:t> </w:t>
      </w:r>
      <w:r>
        <w:rPr>
          <w:sz w:val="18"/>
          <w:vertAlign w:val="baseline"/>
        </w:rPr>
        <w:t>2023.</w:t>
      </w:r>
      <w:r>
        <w:rPr>
          <w:spacing w:val="-2"/>
          <w:sz w:val="18"/>
          <w:vertAlign w:val="baseline"/>
        </w:rPr>
        <w:t> </w:t>
      </w:r>
      <w:r>
        <w:rPr>
          <w:sz w:val="18"/>
          <w:vertAlign w:val="baseline"/>
        </w:rPr>
        <w:t>“Justice</w:t>
      </w:r>
      <w:r>
        <w:rPr>
          <w:spacing w:val="-2"/>
          <w:sz w:val="18"/>
          <w:vertAlign w:val="baseline"/>
        </w:rPr>
        <w:t> </w:t>
      </w:r>
      <w:r>
        <w:rPr>
          <w:sz w:val="18"/>
          <w:vertAlign w:val="baseline"/>
        </w:rPr>
        <w:t>by</w:t>
      </w:r>
      <w:r>
        <w:rPr>
          <w:spacing w:val="-2"/>
          <w:sz w:val="18"/>
          <w:vertAlign w:val="baseline"/>
        </w:rPr>
        <w:t> </w:t>
      </w:r>
      <w:r>
        <w:rPr>
          <w:sz w:val="18"/>
          <w:vertAlign w:val="baseline"/>
        </w:rPr>
        <w:t>Geograph:</w:t>
      </w:r>
      <w:r>
        <w:rPr>
          <w:spacing w:val="-2"/>
          <w:sz w:val="18"/>
          <w:vertAlign w:val="baseline"/>
        </w:rPr>
        <w:t> </w:t>
      </w:r>
      <w:r>
        <w:rPr>
          <w:sz w:val="18"/>
          <w:vertAlign w:val="baseline"/>
        </w:rPr>
        <w:t>differential</w:t>
      </w:r>
      <w:r>
        <w:rPr>
          <w:spacing w:val="-3"/>
          <w:sz w:val="18"/>
          <w:vertAlign w:val="baseline"/>
        </w:rPr>
        <w:t> </w:t>
      </w:r>
      <w:r>
        <w:rPr>
          <w:sz w:val="18"/>
          <w:vertAlign w:val="baseline"/>
        </w:rPr>
        <w:t>treatment</w:t>
      </w:r>
      <w:r>
        <w:rPr>
          <w:spacing w:val="-3"/>
          <w:sz w:val="18"/>
          <w:vertAlign w:val="baseline"/>
        </w:rPr>
        <w:t> </w:t>
      </w:r>
      <w:r>
        <w:rPr>
          <w:sz w:val="18"/>
          <w:vertAlign w:val="baseline"/>
        </w:rPr>
        <w:t>of</w:t>
      </w:r>
      <w:r>
        <w:rPr>
          <w:spacing w:val="-2"/>
          <w:sz w:val="18"/>
          <w:vertAlign w:val="baseline"/>
        </w:rPr>
        <w:t> </w:t>
      </w:r>
      <w:r>
        <w:rPr>
          <w:sz w:val="18"/>
          <w:vertAlign w:val="baseline"/>
        </w:rPr>
        <w:t>youth</w:t>
      </w:r>
      <w:r>
        <w:rPr>
          <w:spacing w:val="-2"/>
          <w:sz w:val="18"/>
          <w:vertAlign w:val="baseline"/>
        </w:rPr>
        <w:t> </w:t>
      </w:r>
      <w:r>
        <w:rPr>
          <w:sz w:val="18"/>
          <w:vertAlign w:val="baseline"/>
        </w:rPr>
        <w:t>by</w:t>
      </w:r>
      <w:r>
        <w:rPr>
          <w:spacing w:val="-2"/>
          <w:sz w:val="18"/>
          <w:vertAlign w:val="baseline"/>
        </w:rPr>
        <w:t> </w:t>
      </w:r>
      <w:r>
        <w:rPr>
          <w:sz w:val="18"/>
          <w:vertAlign w:val="baseline"/>
        </w:rPr>
        <w:t>locality</w:t>
      </w:r>
      <w:r>
        <w:rPr>
          <w:spacing w:val="-2"/>
          <w:sz w:val="18"/>
          <w:vertAlign w:val="baseline"/>
        </w:rPr>
        <w:t> </w:t>
      </w:r>
      <w:r>
        <w:rPr>
          <w:sz w:val="18"/>
          <w:vertAlign w:val="baseline"/>
        </w:rPr>
        <w:t>at</w:t>
      </w:r>
      <w:r>
        <w:rPr>
          <w:spacing w:val="-3"/>
          <w:sz w:val="18"/>
          <w:vertAlign w:val="baseline"/>
        </w:rPr>
        <w:t> </w:t>
      </w:r>
      <w:r>
        <w:rPr>
          <w:sz w:val="18"/>
          <w:vertAlign w:val="baseline"/>
        </w:rPr>
        <w:t>juvenile</w:t>
      </w:r>
      <w:r>
        <w:rPr>
          <w:spacing w:val="-2"/>
          <w:sz w:val="18"/>
          <w:vertAlign w:val="baseline"/>
        </w:rPr>
        <w:t> </w:t>
      </w:r>
      <w:r>
        <w:rPr>
          <w:sz w:val="18"/>
          <w:vertAlign w:val="baseline"/>
        </w:rPr>
        <w:t>legal</w:t>
      </w:r>
      <w:r>
        <w:rPr>
          <w:spacing w:val="-3"/>
          <w:sz w:val="18"/>
          <w:vertAlign w:val="baseline"/>
        </w:rPr>
        <w:t> </w:t>
      </w:r>
      <w:r>
        <w:rPr>
          <w:sz w:val="18"/>
          <w:vertAlign w:val="baseline"/>
        </w:rPr>
        <w:t>decision points”. April 2023.</w:t>
      </w:r>
      <w:r>
        <w:rPr>
          <w:spacing w:val="40"/>
          <w:sz w:val="18"/>
          <w:vertAlign w:val="baseline"/>
        </w:rPr>
        <w:t> </w:t>
      </w:r>
      <w:r>
        <w:rPr>
          <w:sz w:val="18"/>
          <w:vertAlign w:val="baseline"/>
        </w:rPr>
        <w:t>https:</w:t>
      </w:r>
      <w:hyperlink r:id="rId530">
        <w:r>
          <w:rPr>
            <w:sz w:val="18"/>
            <w:vertAlign w:val="baseline"/>
          </w:rPr>
          <w:t>//www.cfjj.org/justice-by-geography</w:t>
        </w:r>
      </w:hyperlink>
    </w:p>
    <w:p>
      <w:pPr>
        <w:spacing w:before="0"/>
        <w:ind w:left="320" w:right="120" w:firstLine="0"/>
        <w:jc w:val="left"/>
        <w:rPr>
          <w:sz w:val="18"/>
        </w:rPr>
      </w:pPr>
      <w:r>
        <w:rPr>
          <w:sz w:val="18"/>
          <w:vertAlign w:val="superscript"/>
        </w:rPr>
        <w:t>137</w:t>
      </w:r>
      <w:r>
        <w:rPr>
          <w:sz w:val="18"/>
          <w:vertAlign w:val="baseline"/>
        </w:rPr>
        <w:t> Mass Live. 2024. “Mass. Saw Increase in Juvenile Justice Involvement in 2023, Report Shows”, Jan 10, 2024, </w:t>
      </w:r>
      <w:r>
        <w:rPr>
          <w:spacing w:val="-2"/>
          <w:sz w:val="18"/>
          <w:vertAlign w:val="baseline"/>
        </w:rPr>
        <w:t>https://</w:t>
      </w:r>
      <w:hyperlink r:id="rId531">
        <w:r>
          <w:rPr>
            <w:spacing w:val="-2"/>
            <w:sz w:val="18"/>
            <w:vertAlign w:val="baseline"/>
          </w:rPr>
          <w:t>www.masslive.com/news/2024/01/mass-saw-increase-in-juvenile-justice-involvement-in-2023-report-</w:t>
        </w:r>
      </w:hyperlink>
      <w:r>
        <w:rPr>
          <w:sz w:val="18"/>
          <w:vertAlign w:val="baseline"/>
        </w:rPr>
        <w:t> </w:t>
      </w:r>
      <w:r>
        <w:rPr>
          <w:spacing w:val="-2"/>
          <w:sz w:val="18"/>
          <w:vertAlign w:val="baseline"/>
        </w:rPr>
        <w:t>shows.html#:~:text=Between%202022%20and%202023%2C%20there,pretrial%20supervision%2C%20probation%20and%20det</w:t>
      </w:r>
      <w:r>
        <w:rPr>
          <w:sz w:val="18"/>
          <w:vertAlign w:val="baseline"/>
        </w:rPr>
        <w:t> </w:t>
      </w:r>
      <w:r>
        <w:rPr>
          <w:spacing w:val="-2"/>
          <w:sz w:val="18"/>
          <w:vertAlign w:val="baseline"/>
        </w:rPr>
        <w:t>ention.</w:t>
      </w:r>
    </w:p>
    <w:p>
      <w:pPr>
        <w:spacing w:line="156" w:lineRule="auto" w:before="36"/>
        <w:ind w:left="320" w:right="0" w:firstLine="0"/>
        <w:jc w:val="left"/>
        <w:rPr>
          <w:i/>
          <w:sz w:val="18"/>
        </w:rPr>
      </w:pPr>
      <w:r>
        <w:rPr>
          <w:sz w:val="12"/>
        </w:rPr>
        <w:t>138</w:t>
      </w:r>
      <w:r>
        <w:rPr>
          <w:spacing w:val="13"/>
          <w:sz w:val="12"/>
        </w:rPr>
        <w:t> </w:t>
      </w:r>
      <w:r>
        <w:rPr>
          <w:i/>
          <w:spacing w:val="-5"/>
          <w:position w:val="-5"/>
          <w:sz w:val="18"/>
        </w:rPr>
        <w:t>Id.</w:t>
      </w:r>
    </w:p>
    <w:p>
      <w:pPr>
        <w:spacing w:before="38"/>
        <w:ind w:left="320" w:right="907" w:firstLine="0"/>
        <w:jc w:val="left"/>
        <w:rPr>
          <w:sz w:val="18"/>
        </w:rPr>
      </w:pPr>
      <w:r>
        <w:rPr>
          <w:sz w:val="18"/>
          <w:vertAlign w:val="superscript"/>
        </w:rPr>
        <w:t>139</w:t>
      </w:r>
      <w:r>
        <w:rPr>
          <w:spacing w:val="-3"/>
          <w:sz w:val="18"/>
          <w:vertAlign w:val="baseline"/>
        </w:rPr>
        <w:t> </w:t>
      </w:r>
      <w:r>
        <w:rPr>
          <w:sz w:val="18"/>
          <w:vertAlign w:val="baseline"/>
        </w:rPr>
        <w:t>Juvenile</w:t>
      </w:r>
      <w:r>
        <w:rPr>
          <w:spacing w:val="-3"/>
          <w:sz w:val="18"/>
          <w:vertAlign w:val="baseline"/>
        </w:rPr>
        <w:t> </w:t>
      </w:r>
      <w:r>
        <w:rPr>
          <w:sz w:val="18"/>
          <w:vertAlign w:val="baseline"/>
        </w:rPr>
        <w:t>Justice</w:t>
      </w:r>
      <w:r>
        <w:rPr>
          <w:spacing w:val="-3"/>
          <w:sz w:val="18"/>
          <w:vertAlign w:val="baseline"/>
        </w:rPr>
        <w:t> </w:t>
      </w:r>
      <w:r>
        <w:rPr>
          <w:sz w:val="18"/>
          <w:vertAlign w:val="baseline"/>
        </w:rPr>
        <w:t>Policy</w:t>
      </w:r>
      <w:r>
        <w:rPr>
          <w:spacing w:val="-3"/>
          <w:sz w:val="18"/>
          <w:vertAlign w:val="baseline"/>
        </w:rPr>
        <w:t> </w:t>
      </w:r>
      <w:r>
        <w:rPr>
          <w:sz w:val="18"/>
          <w:vertAlign w:val="baseline"/>
        </w:rPr>
        <w:t>and</w:t>
      </w:r>
      <w:r>
        <w:rPr>
          <w:spacing w:val="-3"/>
          <w:sz w:val="18"/>
          <w:vertAlign w:val="baseline"/>
        </w:rPr>
        <w:t> </w:t>
      </w:r>
      <w:r>
        <w:rPr>
          <w:sz w:val="18"/>
          <w:vertAlign w:val="baseline"/>
        </w:rPr>
        <w:t>Data</w:t>
      </w:r>
      <w:r>
        <w:rPr>
          <w:spacing w:val="-3"/>
          <w:sz w:val="18"/>
          <w:vertAlign w:val="baseline"/>
        </w:rPr>
        <w:t> </w:t>
      </w:r>
      <w:r>
        <w:rPr>
          <w:sz w:val="18"/>
          <w:vertAlign w:val="baseline"/>
        </w:rPr>
        <w:t>Board.</w:t>
      </w:r>
      <w:r>
        <w:rPr>
          <w:spacing w:val="-3"/>
          <w:sz w:val="18"/>
          <w:vertAlign w:val="baseline"/>
        </w:rPr>
        <w:t> </w:t>
      </w:r>
      <w:r>
        <w:rPr>
          <w:sz w:val="18"/>
          <w:vertAlign w:val="baseline"/>
        </w:rPr>
        <w:t>2024.</w:t>
      </w:r>
      <w:r>
        <w:rPr>
          <w:spacing w:val="-3"/>
          <w:sz w:val="18"/>
          <w:vertAlign w:val="baseline"/>
        </w:rPr>
        <w:t> </w:t>
      </w:r>
      <w:r>
        <w:rPr>
          <w:sz w:val="18"/>
          <w:vertAlign w:val="baseline"/>
        </w:rPr>
        <w:t>“Massachusetts</w:t>
      </w:r>
      <w:r>
        <w:rPr>
          <w:spacing w:val="-3"/>
          <w:sz w:val="18"/>
          <w:vertAlign w:val="baseline"/>
        </w:rPr>
        <w:t> </w:t>
      </w:r>
      <w:r>
        <w:rPr>
          <w:sz w:val="18"/>
          <w:vertAlign w:val="baseline"/>
        </w:rPr>
        <w:t>Juvenile</w:t>
      </w:r>
      <w:r>
        <w:rPr>
          <w:spacing w:val="-3"/>
          <w:sz w:val="18"/>
          <w:vertAlign w:val="baseline"/>
        </w:rPr>
        <w:t> </w:t>
      </w:r>
      <w:r>
        <w:rPr>
          <w:sz w:val="18"/>
          <w:vertAlign w:val="baseline"/>
        </w:rPr>
        <w:t>Justice</w:t>
      </w:r>
      <w:r>
        <w:rPr>
          <w:spacing w:val="-3"/>
          <w:sz w:val="18"/>
          <w:vertAlign w:val="baseline"/>
        </w:rPr>
        <w:t> </w:t>
      </w:r>
      <w:r>
        <w:rPr>
          <w:sz w:val="18"/>
          <w:vertAlign w:val="baseline"/>
        </w:rPr>
        <w:t>System:</w:t>
      </w:r>
      <w:r>
        <w:rPr>
          <w:spacing w:val="-3"/>
          <w:sz w:val="18"/>
          <w:vertAlign w:val="baseline"/>
        </w:rPr>
        <w:t> </w:t>
      </w:r>
      <w:r>
        <w:rPr>
          <w:sz w:val="18"/>
          <w:vertAlign w:val="baseline"/>
        </w:rPr>
        <w:t>2023</w:t>
      </w:r>
      <w:r>
        <w:rPr>
          <w:spacing w:val="-3"/>
          <w:sz w:val="18"/>
          <w:vertAlign w:val="baseline"/>
        </w:rPr>
        <w:t> </w:t>
      </w:r>
      <w:r>
        <w:rPr>
          <w:sz w:val="18"/>
          <w:vertAlign w:val="baseline"/>
        </w:rPr>
        <w:t>JJPAD</w:t>
      </w:r>
      <w:r>
        <w:rPr>
          <w:spacing w:val="-4"/>
          <w:sz w:val="18"/>
          <w:vertAlign w:val="baseline"/>
        </w:rPr>
        <w:t> </w:t>
      </w:r>
      <w:r>
        <w:rPr>
          <w:sz w:val="18"/>
          <w:vertAlign w:val="baseline"/>
        </w:rPr>
        <w:t>Annual</w:t>
      </w:r>
      <w:r>
        <w:rPr>
          <w:spacing w:val="-4"/>
          <w:sz w:val="18"/>
          <w:vertAlign w:val="baseline"/>
        </w:rPr>
        <w:t> </w:t>
      </w:r>
      <w:r>
        <w:rPr>
          <w:sz w:val="18"/>
          <w:vertAlign w:val="baseline"/>
        </w:rPr>
        <w:t>Report”. </w:t>
      </w:r>
      <w:r>
        <w:rPr>
          <w:spacing w:val="-2"/>
          <w:sz w:val="18"/>
          <w:vertAlign w:val="baseline"/>
        </w:rPr>
        <w:t>https:</w:t>
      </w:r>
      <w:hyperlink r:id="rId526">
        <w:r>
          <w:rPr>
            <w:spacing w:val="-2"/>
            <w:sz w:val="18"/>
            <w:vertAlign w:val="baseline"/>
          </w:rPr>
          <w:t>//www.mass.gov/doc/jjpad-2023-annual-report/download</w:t>
        </w:r>
      </w:hyperlink>
    </w:p>
    <w:p>
      <w:pPr>
        <w:spacing w:line="153" w:lineRule="auto" w:before="36"/>
        <w:ind w:left="320" w:right="0" w:firstLine="0"/>
        <w:jc w:val="left"/>
        <w:rPr>
          <w:i/>
          <w:sz w:val="18"/>
        </w:rPr>
      </w:pPr>
      <w:r>
        <w:rPr>
          <w:sz w:val="12"/>
        </w:rPr>
        <w:t>140</w:t>
      </w:r>
      <w:r>
        <w:rPr>
          <w:spacing w:val="13"/>
          <w:sz w:val="12"/>
        </w:rPr>
        <w:t> </w:t>
      </w:r>
      <w:r>
        <w:rPr>
          <w:i/>
          <w:spacing w:val="-5"/>
          <w:position w:val="-5"/>
          <w:sz w:val="18"/>
        </w:rPr>
        <w:t>Id.</w:t>
      </w:r>
    </w:p>
    <w:p>
      <w:pPr>
        <w:spacing w:line="158" w:lineRule="auto" w:before="71"/>
        <w:ind w:left="320" w:right="0" w:firstLine="0"/>
        <w:jc w:val="left"/>
        <w:rPr>
          <w:i/>
          <w:sz w:val="18"/>
        </w:rPr>
      </w:pPr>
      <w:r>
        <w:rPr>
          <w:sz w:val="12"/>
        </w:rPr>
        <w:t>141</w:t>
      </w:r>
      <w:r>
        <w:rPr>
          <w:spacing w:val="13"/>
          <w:sz w:val="12"/>
        </w:rPr>
        <w:t> </w:t>
      </w:r>
      <w:r>
        <w:rPr>
          <w:i/>
          <w:spacing w:val="-5"/>
          <w:position w:val="-5"/>
          <w:sz w:val="18"/>
        </w:rPr>
        <w:t>Id.</w:t>
      </w:r>
    </w:p>
    <w:p>
      <w:pPr>
        <w:spacing w:before="33"/>
        <w:ind w:left="320" w:right="0" w:firstLine="0"/>
        <w:jc w:val="left"/>
        <w:rPr>
          <w:i/>
          <w:sz w:val="18"/>
        </w:rPr>
      </w:pPr>
      <w:r>
        <w:rPr>
          <w:sz w:val="12"/>
        </w:rPr>
        <w:t>142</w:t>
      </w:r>
      <w:r>
        <w:rPr>
          <w:spacing w:val="13"/>
          <w:sz w:val="12"/>
        </w:rPr>
        <w:t> </w:t>
      </w:r>
      <w:r>
        <w:rPr>
          <w:i/>
          <w:spacing w:val="-5"/>
          <w:position w:val="-5"/>
          <w:sz w:val="18"/>
        </w:rPr>
        <w:t>Id.</w:t>
      </w:r>
    </w:p>
    <w:p>
      <w:pPr>
        <w:spacing w:before="1"/>
        <w:ind w:left="320" w:right="152" w:firstLine="0"/>
        <w:jc w:val="left"/>
        <w:rPr>
          <w:sz w:val="18"/>
        </w:rPr>
      </w:pPr>
      <w:r>
        <w:rPr>
          <w:sz w:val="18"/>
          <w:vertAlign w:val="superscript"/>
        </w:rPr>
        <w:t>143</w:t>
      </w:r>
      <w:r>
        <w:rPr>
          <w:spacing w:val="-3"/>
          <w:sz w:val="18"/>
          <w:vertAlign w:val="baseline"/>
        </w:rPr>
        <w:t> </w:t>
      </w:r>
      <w:r>
        <w:rPr>
          <w:sz w:val="18"/>
          <w:vertAlign w:val="baseline"/>
        </w:rPr>
        <w:t>Juvenile</w:t>
      </w:r>
      <w:r>
        <w:rPr>
          <w:spacing w:val="-3"/>
          <w:sz w:val="18"/>
          <w:vertAlign w:val="baseline"/>
        </w:rPr>
        <w:t> </w:t>
      </w:r>
      <w:r>
        <w:rPr>
          <w:sz w:val="18"/>
          <w:vertAlign w:val="baseline"/>
        </w:rPr>
        <w:t>Detention</w:t>
      </w:r>
      <w:r>
        <w:rPr>
          <w:spacing w:val="-3"/>
          <w:sz w:val="18"/>
          <w:vertAlign w:val="baseline"/>
        </w:rPr>
        <w:t> </w:t>
      </w:r>
      <w:r>
        <w:rPr>
          <w:sz w:val="18"/>
          <w:vertAlign w:val="baseline"/>
        </w:rPr>
        <w:t>Alternatives</w:t>
      </w:r>
      <w:r>
        <w:rPr>
          <w:spacing w:val="-3"/>
          <w:sz w:val="18"/>
          <w:vertAlign w:val="baseline"/>
        </w:rPr>
        <w:t> </w:t>
      </w:r>
      <w:r>
        <w:rPr>
          <w:sz w:val="18"/>
          <w:vertAlign w:val="baseline"/>
        </w:rPr>
        <w:t>Initiative</w:t>
      </w:r>
      <w:r>
        <w:rPr>
          <w:spacing w:val="-3"/>
          <w:sz w:val="18"/>
          <w:vertAlign w:val="baseline"/>
        </w:rPr>
        <w:t> </w:t>
      </w:r>
      <w:r>
        <w:rPr>
          <w:sz w:val="18"/>
          <w:vertAlign w:val="baseline"/>
        </w:rPr>
        <w:t>(JDAI).</w:t>
      </w:r>
      <w:r>
        <w:rPr>
          <w:spacing w:val="-4"/>
          <w:sz w:val="18"/>
          <w:vertAlign w:val="baseline"/>
        </w:rPr>
        <w:t> </w:t>
      </w:r>
      <w:r>
        <w:rPr>
          <w:sz w:val="18"/>
          <w:vertAlign w:val="baseline"/>
        </w:rPr>
        <w:t>2024.</w:t>
      </w:r>
      <w:r>
        <w:rPr>
          <w:spacing w:val="-3"/>
          <w:sz w:val="18"/>
          <w:vertAlign w:val="baseline"/>
        </w:rPr>
        <w:t> </w:t>
      </w:r>
      <w:r>
        <w:rPr>
          <w:sz w:val="18"/>
          <w:vertAlign w:val="baseline"/>
        </w:rPr>
        <w:t>“Measuring</w:t>
      </w:r>
      <w:r>
        <w:rPr>
          <w:spacing w:val="-3"/>
          <w:sz w:val="18"/>
          <w:vertAlign w:val="baseline"/>
        </w:rPr>
        <w:t> </w:t>
      </w:r>
      <w:r>
        <w:rPr>
          <w:sz w:val="18"/>
          <w:vertAlign w:val="baseline"/>
        </w:rPr>
        <w:t>Equity</w:t>
      </w:r>
      <w:r>
        <w:rPr>
          <w:spacing w:val="-3"/>
          <w:sz w:val="18"/>
          <w:vertAlign w:val="baseline"/>
        </w:rPr>
        <w:t> </w:t>
      </w:r>
      <w:r>
        <w:rPr>
          <w:sz w:val="18"/>
          <w:vertAlign w:val="baseline"/>
        </w:rPr>
        <w:t>in</w:t>
      </w:r>
      <w:r>
        <w:rPr>
          <w:spacing w:val="-3"/>
          <w:sz w:val="18"/>
          <w:vertAlign w:val="baseline"/>
        </w:rPr>
        <w:t> </w:t>
      </w:r>
      <w:r>
        <w:rPr>
          <w:sz w:val="18"/>
          <w:vertAlign w:val="baseline"/>
        </w:rPr>
        <w:t>Juvenile</w:t>
      </w:r>
      <w:r>
        <w:rPr>
          <w:spacing w:val="-3"/>
          <w:sz w:val="18"/>
          <w:vertAlign w:val="baseline"/>
        </w:rPr>
        <w:t> </w:t>
      </w:r>
      <w:r>
        <w:rPr>
          <w:sz w:val="18"/>
          <w:vertAlign w:val="baseline"/>
        </w:rPr>
        <w:t>Detentions”,</w:t>
      </w:r>
      <w:r>
        <w:rPr>
          <w:spacing w:val="-4"/>
          <w:sz w:val="18"/>
          <w:vertAlign w:val="baseline"/>
        </w:rPr>
        <w:t> </w:t>
      </w:r>
      <w:r>
        <w:rPr>
          <w:sz w:val="18"/>
          <w:vertAlign w:val="baseline"/>
        </w:rPr>
        <w:t>Retrieved</w:t>
      </w:r>
      <w:r>
        <w:rPr>
          <w:spacing w:val="-3"/>
          <w:sz w:val="18"/>
          <w:vertAlign w:val="baseline"/>
        </w:rPr>
        <w:t> </w:t>
      </w:r>
      <w:r>
        <w:rPr>
          <w:sz w:val="18"/>
          <w:vertAlign w:val="baseline"/>
        </w:rPr>
        <w:t>March</w:t>
      </w:r>
      <w:r>
        <w:rPr>
          <w:spacing w:val="-3"/>
          <w:sz w:val="18"/>
          <w:vertAlign w:val="baseline"/>
        </w:rPr>
        <w:t> </w:t>
      </w:r>
      <w:r>
        <w:rPr>
          <w:sz w:val="18"/>
          <w:vertAlign w:val="baseline"/>
        </w:rPr>
        <w:t>14,</w:t>
      </w:r>
      <w:r>
        <w:rPr>
          <w:spacing w:val="-4"/>
          <w:sz w:val="18"/>
          <w:vertAlign w:val="baseline"/>
        </w:rPr>
        <w:t> </w:t>
      </w:r>
      <w:r>
        <w:rPr>
          <w:sz w:val="18"/>
          <w:vertAlign w:val="baseline"/>
        </w:rPr>
        <w:t>2024. </w:t>
      </w:r>
      <w:hyperlink r:id="rId532">
        <w:r>
          <w:rPr>
            <w:spacing w:val="-2"/>
            <w:sz w:val="18"/>
            <w:u w:val="single"/>
            <w:vertAlign w:val="baseline"/>
          </w:rPr>
          <w:t>https://www.mass.gov/info-details/measuring-equity-in-juvenile-detentions#equity-in-the-juvenile-justice-system-</w:t>
        </w:r>
      </w:hyperlink>
    </w:p>
    <w:p>
      <w:pPr>
        <w:spacing w:line="153" w:lineRule="auto" w:before="36"/>
        <w:ind w:left="320" w:right="0" w:firstLine="0"/>
        <w:jc w:val="left"/>
        <w:rPr>
          <w:i/>
          <w:sz w:val="18"/>
        </w:rPr>
      </w:pPr>
      <w:r>
        <w:rPr>
          <w:sz w:val="12"/>
        </w:rPr>
        <w:t>144</w:t>
      </w:r>
      <w:r>
        <w:rPr>
          <w:spacing w:val="13"/>
          <w:sz w:val="12"/>
        </w:rPr>
        <w:t> </w:t>
      </w:r>
      <w:r>
        <w:rPr>
          <w:i/>
          <w:spacing w:val="-5"/>
          <w:position w:val="-5"/>
          <w:sz w:val="18"/>
        </w:rPr>
        <w:t>Id.</w:t>
      </w:r>
    </w:p>
    <w:p>
      <w:pPr>
        <w:spacing w:before="38"/>
        <w:ind w:left="320" w:right="907" w:firstLine="0"/>
        <w:jc w:val="left"/>
        <w:rPr>
          <w:i/>
          <w:sz w:val="18"/>
        </w:rPr>
      </w:pPr>
      <w:r>
        <w:rPr>
          <w:sz w:val="18"/>
          <w:vertAlign w:val="superscript"/>
        </w:rPr>
        <w:t>145</w:t>
      </w:r>
      <w:r>
        <w:rPr>
          <w:spacing w:val="-3"/>
          <w:sz w:val="18"/>
          <w:vertAlign w:val="baseline"/>
        </w:rPr>
        <w:t> </w:t>
      </w:r>
      <w:r>
        <w:rPr>
          <w:sz w:val="18"/>
          <w:vertAlign w:val="baseline"/>
        </w:rPr>
        <w:t>Juvenile</w:t>
      </w:r>
      <w:r>
        <w:rPr>
          <w:spacing w:val="-3"/>
          <w:sz w:val="18"/>
          <w:vertAlign w:val="baseline"/>
        </w:rPr>
        <w:t> </w:t>
      </w:r>
      <w:r>
        <w:rPr>
          <w:sz w:val="18"/>
          <w:vertAlign w:val="baseline"/>
        </w:rPr>
        <w:t>Justice</w:t>
      </w:r>
      <w:r>
        <w:rPr>
          <w:spacing w:val="-3"/>
          <w:sz w:val="18"/>
          <w:vertAlign w:val="baseline"/>
        </w:rPr>
        <w:t> </w:t>
      </w:r>
      <w:r>
        <w:rPr>
          <w:sz w:val="18"/>
          <w:vertAlign w:val="baseline"/>
        </w:rPr>
        <w:t>Policy</w:t>
      </w:r>
      <w:r>
        <w:rPr>
          <w:spacing w:val="-3"/>
          <w:sz w:val="18"/>
          <w:vertAlign w:val="baseline"/>
        </w:rPr>
        <w:t> </w:t>
      </w:r>
      <w:r>
        <w:rPr>
          <w:sz w:val="18"/>
          <w:vertAlign w:val="baseline"/>
        </w:rPr>
        <w:t>and</w:t>
      </w:r>
      <w:r>
        <w:rPr>
          <w:spacing w:val="-3"/>
          <w:sz w:val="18"/>
          <w:vertAlign w:val="baseline"/>
        </w:rPr>
        <w:t> </w:t>
      </w:r>
      <w:r>
        <w:rPr>
          <w:sz w:val="18"/>
          <w:vertAlign w:val="baseline"/>
        </w:rPr>
        <w:t>Data</w:t>
      </w:r>
      <w:r>
        <w:rPr>
          <w:spacing w:val="-3"/>
          <w:sz w:val="18"/>
          <w:vertAlign w:val="baseline"/>
        </w:rPr>
        <w:t> </w:t>
      </w:r>
      <w:r>
        <w:rPr>
          <w:sz w:val="18"/>
          <w:vertAlign w:val="baseline"/>
        </w:rPr>
        <w:t>Board.</w:t>
      </w:r>
      <w:r>
        <w:rPr>
          <w:spacing w:val="-3"/>
          <w:sz w:val="18"/>
          <w:vertAlign w:val="baseline"/>
        </w:rPr>
        <w:t> </w:t>
      </w:r>
      <w:r>
        <w:rPr>
          <w:sz w:val="18"/>
          <w:vertAlign w:val="baseline"/>
        </w:rPr>
        <w:t>2023.</w:t>
      </w:r>
      <w:r>
        <w:rPr>
          <w:spacing w:val="-3"/>
          <w:sz w:val="18"/>
          <w:vertAlign w:val="baseline"/>
        </w:rPr>
        <w:t> </w:t>
      </w:r>
      <w:r>
        <w:rPr>
          <w:sz w:val="18"/>
          <w:vertAlign w:val="baseline"/>
        </w:rPr>
        <w:t>“Massachusetts</w:t>
      </w:r>
      <w:r>
        <w:rPr>
          <w:spacing w:val="-3"/>
          <w:sz w:val="18"/>
          <w:vertAlign w:val="baseline"/>
        </w:rPr>
        <w:t> </w:t>
      </w:r>
      <w:r>
        <w:rPr>
          <w:sz w:val="18"/>
          <w:vertAlign w:val="baseline"/>
        </w:rPr>
        <w:t>Juvenile</w:t>
      </w:r>
      <w:r>
        <w:rPr>
          <w:spacing w:val="-3"/>
          <w:sz w:val="18"/>
          <w:vertAlign w:val="baseline"/>
        </w:rPr>
        <w:t> </w:t>
      </w:r>
      <w:r>
        <w:rPr>
          <w:sz w:val="18"/>
          <w:vertAlign w:val="baseline"/>
        </w:rPr>
        <w:t>Justice</w:t>
      </w:r>
      <w:r>
        <w:rPr>
          <w:spacing w:val="-3"/>
          <w:sz w:val="18"/>
          <w:vertAlign w:val="baseline"/>
        </w:rPr>
        <w:t> </w:t>
      </w:r>
      <w:r>
        <w:rPr>
          <w:sz w:val="18"/>
          <w:vertAlign w:val="baseline"/>
        </w:rPr>
        <w:t>System:</w:t>
      </w:r>
      <w:r>
        <w:rPr>
          <w:spacing w:val="-3"/>
          <w:sz w:val="18"/>
          <w:vertAlign w:val="baseline"/>
        </w:rPr>
        <w:t> </w:t>
      </w:r>
      <w:r>
        <w:rPr>
          <w:sz w:val="18"/>
          <w:vertAlign w:val="baseline"/>
        </w:rPr>
        <w:t>2022</w:t>
      </w:r>
      <w:r>
        <w:rPr>
          <w:spacing w:val="-3"/>
          <w:sz w:val="18"/>
          <w:vertAlign w:val="baseline"/>
        </w:rPr>
        <w:t> </w:t>
      </w:r>
      <w:r>
        <w:rPr>
          <w:sz w:val="18"/>
          <w:vertAlign w:val="baseline"/>
        </w:rPr>
        <w:t>JJPAD</w:t>
      </w:r>
      <w:r>
        <w:rPr>
          <w:spacing w:val="-4"/>
          <w:sz w:val="18"/>
          <w:vertAlign w:val="baseline"/>
        </w:rPr>
        <w:t> </w:t>
      </w:r>
      <w:r>
        <w:rPr>
          <w:sz w:val="18"/>
          <w:vertAlign w:val="baseline"/>
        </w:rPr>
        <w:t>Annual</w:t>
      </w:r>
      <w:r>
        <w:rPr>
          <w:spacing w:val="-4"/>
          <w:sz w:val="18"/>
          <w:vertAlign w:val="baseline"/>
        </w:rPr>
        <w:t> </w:t>
      </w:r>
      <w:r>
        <w:rPr>
          <w:sz w:val="18"/>
          <w:vertAlign w:val="baseline"/>
        </w:rPr>
        <w:t>Report”. </w:t>
      </w:r>
      <w:hyperlink r:id="rId529">
        <w:r>
          <w:rPr>
            <w:sz w:val="18"/>
            <w:u w:val="single"/>
            <w:vertAlign w:val="baseline"/>
          </w:rPr>
          <w:t>https://www.mass.gov/doc/jjpad-2022-annual-report/download</w:t>
        </w:r>
        <w:r>
          <w:rPr>
            <w:sz w:val="18"/>
            <w:u w:val="none"/>
            <w:vertAlign w:val="baseline"/>
          </w:rPr>
          <w:t>;</w:t>
        </w:r>
      </w:hyperlink>
      <w:r>
        <w:rPr>
          <w:spacing w:val="-2"/>
          <w:sz w:val="18"/>
          <w:u w:val="none"/>
          <w:vertAlign w:val="baseline"/>
        </w:rPr>
        <w:t> </w:t>
      </w:r>
      <w:r>
        <w:rPr>
          <w:i/>
          <w:sz w:val="18"/>
          <w:u w:val="none"/>
          <w:vertAlign w:val="baseline"/>
        </w:rPr>
        <w:t>Id.</w:t>
      </w:r>
    </w:p>
    <w:p>
      <w:pPr>
        <w:spacing w:after="0"/>
        <w:jc w:val="left"/>
        <w:rPr>
          <w:sz w:val="18"/>
        </w:rPr>
        <w:sectPr>
          <w:pgSz w:w="12240" w:h="15840"/>
          <w:pgMar w:header="763" w:footer="1041" w:top="1360" w:bottom="1240" w:left="1120" w:right="1340"/>
        </w:sectPr>
      </w:pPr>
    </w:p>
    <w:p>
      <w:pPr>
        <w:pStyle w:val="BodyText"/>
        <w:spacing w:before="90"/>
        <w:rPr>
          <w:i/>
          <w:sz w:val="18"/>
        </w:rPr>
      </w:pPr>
    </w:p>
    <w:p>
      <w:pPr>
        <w:spacing w:before="1"/>
        <w:ind w:left="320" w:right="2722" w:firstLine="0"/>
        <w:jc w:val="left"/>
        <w:rPr>
          <w:sz w:val="18"/>
        </w:rPr>
      </w:pPr>
      <w:r>
        <w:rPr>
          <w:sz w:val="18"/>
          <w:vertAlign w:val="superscript"/>
        </w:rPr>
        <w:t>146</w:t>
      </w:r>
      <w:r>
        <w:rPr>
          <w:spacing w:val="-3"/>
          <w:sz w:val="18"/>
          <w:vertAlign w:val="baseline"/>
        </w:rPr>
        <w:t> </w:t>
      </w:r>
      <w:r>
        <w:rPr>
          <w:sz w:val="18"/>
          <w:vertAlign w:val="baseline"/>
        </w:rPr>
        <w:t>Department</w:t>
      </w:r>
      <w:r>
        <w:rPr>
          <w:spacing w:val="-4"/>
          <w:sz w:val="18"/>
          <w:vertAlign w:val="baseline"/>
        </w:rPr>
        <w:t> </w:t>
      </w:r>
      <w:r>
        <w:rPr>
          <w:sz w:val="18"/>
          <w:vertAlign w:val="baseline"/>
        </w:rPr>
        <w:t>of</w:t>
      </w:r>
      <w:r>
        <w:rPr>
          <w:spacing w:val="-4"/>
          <w:sz w:val="18"/>
          <w:vertAlign w:val="baseline"/>
        </w:rPr>
        <w:t> </w:t>
      </w:r>
      <w:r>
        <w:rPr>
          <w:sz w:val="18"/>
          <w:vertAlign w:val="baseline"/>
        </w:rPr>
        <w:t>Children</w:t>
      </w:r>
      <w:r>
        <w:rPr>
          <w:spacing w:val="-3"/>
          <w:sz w:val="18"/>
          <w:vertAlign w:val="baseline"/>
        </w:rPr>
        <w:t> </w:t>
      </w:r>
      <w:r>
        <w:rPr>
          <w:sz w:val="18"/>
          <w:vertAlign w:val="baseline"/>
        </w:rPr>
        <w:t>and</w:t>
      </w:r>
      <w:r>
        <w:rPr>
          <w:spacing w:val="-3"/>
          <w:sz w:val="18"/>
          <w:vertAlign w:val="baseline"/>
        </w:rPr>
        <w:t> </w:t>
      </w:r>
      <w:r>
        <w:rPr>
          <w:sz w:val="18"/>
          <w:vertAlign w:val="baseline"/>
        </w:rPr>
        <w:t>Families,</w:t>
      </w:r>
      <w:r>
        <w:rPr>
          <w:spacing w:val="-4"/>
          <w:sz w:val="18"/>
          <w:vertAlign w:val="baseline"/>
        </w:rPr>
        <w:t> </w:t>
      </w:r>
      <w:r>
        <w:rPr>
          <w:sz w:val="18"/>
          <w:vertAlign w:val="baseline"/>
        </w:rPr>
        <w:t>LGBTQIA+</w:t>
      </w:r>
      <w:r>
        <w:rPr>
          <w:spacing w:val="-3"/>
          <w:sz w:val="18"/>
          <w:vertAlign w:val="baseline"/>
        </w:rPr>
        <w:t> </w:t>
      </w:r>
      <w:r>
        <w:rPr>
          <w:sz w:val="18"/>
          <w:vertAlign w:val="baseline"/>
        </w:rPr>
        <w:t>Nondiscrimination</w:t>
      </w:r>
      <w:r>
        <w:rPr>
          <w:spacing w:val="-3"/>
          <w:sz w:val="18"/>
          <w:vertAlign w:val="baseline"/>
        </w:rPr>
        <w:t> </w:t>
      </w:r>
      <w:r>
        <w:rPr>
          <w:sz w:val="18"/>
          <w:vertAlign w:val="baseline"/>
        </w:rPr>
        <w:t>Policy,</w:t>
      </w:r>
      <w:r>
        <w:rPr>
          <w:spacing w:val="-4"/>
          <w:sz w:val="18"/>
          <w:vertAlign w:val="baseline"/>
        </w:rPr>
        <w:t> </w:t>
      </w:r>
      <w:r>
        <w:rPr>
          <w:sz w:val="18"/>
          <w:vertAlign w:val="baseline"/>
        </w:rPr>
        <w:t>June</w:t>
      </w:r>
      <w:r>
        <w:rPr>
          <w:spacing w:val="-3"/>
          <w:sz w:val="18"/>
          <w:vertAlign w:val="baseline"/>
        </w:rPr>
        <w:t> </w:t>
      </w:r>
      <w:r>
        <w:rPr>
          <w:sz w:val="18"/>
          <w:vertAlign w:val="baseline"/>
        </w:rPr>
        <w:t>30,</w:t>
      </w:r>
      <w:r>
        <w:rPr>
          <w:spacing w:val="-4"/>
          <w:sz w:val="18"/>
          <w:vertAlign w:val="baseline"/>
        </w:rPr>
        <w:t> </w:t>
      </w:r>
      <w:r>
        <w:rPr>
          <w:sz w:val="18"/>
          <w:vertAlign w:val="baseline"/>
        </w:rPr>
        <w:t>2022, </w:t>
      </w:r>
      <w:hyperlink r:id="rId533">
        <w:r>
          <w:rPr>
            <w:spacing w:val="-2"/>
            <w:sz w:val="18"/>
            <w:u w:val="single"/>
            <w:vertAlign w:val="baseline"/>
          </w:rPr>
          <w:t>https://www.mass.gov/doc/lgbtqia-nondiscrimination-policy/download</w:t>
        </w:r>
        <w:r>
          <w:rPr>
            <w:spacing w:val="-2"/>
            <w:sz w:val="18"/>
            <w:u w:val="none"/>
            <w:vertAlign w:val="baseline"/>
          </w:rPr>
          <w:t>.</w:t>
        </w:r>
      </w:hyperlink>
    </w:p>
    <w:p>
      <w:pPr>
        <w:spacing w:line="153" w:lineRule="auto" w:before="36"/>
        <w:ind w:left="320" w:right="0" w:firstLine="0"/>
        <w:jc w:val="left"/>
        <w:rPr>
          <w:i/>
          <w:sz w:val="18"/>
        </w:rPr>
      </w:pPr>
      <w:r>
        <w:rPr>
          <w:sz w:val="12"/>
        </w:rPr>
        <w:t>147</w:t>
      </w:r>
      <w:r>
        <w:rPr>
          <w:spacing w:val="13"/>
          <w:sz w:val="12"/>
        </w:rPr>
        <w:t> </w:t>
      </w:r>
      <w:r>
        <w:rPr>
          <w:i/>
          <w:spacing w:val="-5"/>
          <w:position w:val="-5"/>
          <w:sz w:val="18"/>
        </w:rPr>
        <w:t>Id.</w:t>
      </w:r>
    </w:p>
    <w:p>
      <w:pPr>
        <w:spacing w:line="158" w:lineRule="auto" w:before="71"/>
        <w:ind w:left="320" w:right="0" w:firstLine="0"/>
        <w:jc w:val="left"/>
        <w:rPr>
          <w:i/>
          <w:sz w:val="18"/>
        </w:rPr>
      </w:pPr>
      <w:r>
        <w:rPr>
          <w:sz w:val="12"/>
        </w:rPr>
        <w:t>148</w:t>
      </w:r>
      <w:r>
        <w:rPr>
          <w:spacing w:val="13"/>
          <w:sz w:val="12"/>
        </w:rPr>
        <w:t> </w:t>
      </w:r>
      <w:r>
        <w:rPr>
          <w:i/>
          <w:spacing w:val="-5"/>
          <w:position w:val="-5"/>
          <w:sz w:val="18"/>
        </w:rPr>
        <w:t>Id.</w:t>
      </w:r>
    </w:p>
    <w:p>
      <w:pPr>
        <w:spacing w:line="158" w:lineRule="auto" w:before="71"/>
        <w:ind w:left="320" w:right="0" w:firstLine="0"/>
        <w:jc w:val="left"/>
        <w:rPr>
          <w:i/>
          <w:sz w:val="18"/>
        </w:rPr>
      </w:pPr>
      <w:r>
        <w:rPr>
          <w:sz w:val="12"/>
        </w:rPr>
        <w:t>149</w:t>
      </w:r>
      <w:r>
        <w:rPr>
          <w:spacing w:val="13"/>
          <w:sz w:val="12"/>
        </w:rPr>
        <w:t> </w:t>
      </w:r>
      <w:r>
        <w:rPr>
          <w:i/>
          <w:spacing w:val="-5"/>
          <w:position w:val="-5"/>
          <w:sz w:val="18"/>
        </w:rPr>
        <w:t>Id.</w:t>
      </w:r>
    </w:p>
    <w:p>
      <w:pPr>
        <w:spacing w:before="33"/>
        <w:ind w:left="320" w:right="0" w:firstLine="0"/>
        <w:jc w:val="left"/>
        <w:rPr>
          <w:i/>
          <w:sz w:val="18"/>
        </w:rPr>
      </w:pPr>
      <w:r>
        <w:rPr>
          <w:sz w:val="12"/>
        </w:rPr>
        <w:t>150</w:t>
      </w:r>
      <w:r>
        <w:rPr>
          <w:spacing w:val="13"/>
          <w:sz w:val="12"/>
        </w:rPr>
        <w:t> </w:t>
      </w:r>
      <w:r>
        <w:rPr>
          <w:i/>
          <w:spacing w:val="-5"/>
          <w:position w:val="-5"/>
          <w:sz w:val="18"/>
        </w:rPr>
        <w:t>Id.</w:t>
      </w:r>
    </w:p>
    <w:p>
      <w:pPr>
        <w:spacing w:before="0"/>
        <w:ind w:left="320" w:right="812" w:firstLine="0"/>
        <w:jc w:val="left"/>
        <w:rPr>
          <w:sz w:val="18"/>
        </w:rPr>
      </w:pPr>
      <w:r>
        <w:rPr>
          <w:sz w:val="18"/>
          <w:vertAlign w:val="superscript"/>
        </w:rPr>
        <w:t>151</w:t>
      </w:r>
      <w:r>
        <w:rPr>
          <w:spacing w:val="-2"/>
          <w:sz w:val="18"/>
          <w:vertAlign w:val="baseline"/>
        </w:rPr>
        <w:t> </w:t>
      </w:r>
      <w:r>
        <w:rPr>
          <w:sz w:val="18"/>
          <w:vertAlign w:val="baseline"/>
        </w:rPr>
        <w:t>Massachusetts</w:t>
      </w:r>
      <w:r>
        <w:rPr>
          <w:spacing w:val="-3"/>
          <w:sz w:val="18"/>
          <w:vertAlign w:val="baseline"/>
        </w:rPr>
        <w:t> </w:t>
      </w:r>
      <w:r>
        <w:rPr>
          <w:sz w:val="18"/>
          <w:vertAlign w:val="baseline"/>
        </w:rPr>
        <w:t>Department</w:t>
      </w:r>
      <w:r>
        <w:rPr>
          <w:spacing w:val="-3"/>
          <w:sz w:val="18"/>
          <w:vertAlign w:val="baseline"/>
        </w:rPr>
        <w:t> </w:t>
      </w:r>
      <w:r>
        <w:rPr>
          <w:sz w:val="18"/>
          <w:vertAlign w:val="baseline"/>
        </w:rPr>
        <w:t>of</w:t>
      </w:r>
      <w:r>
        <w:rPr>
          <w:spacing w:val="-2"/>
          <w:sz w:val="18"/>
          <w:vertAlign w:val="baseline"/>
        </w:rPr>
        <w:t> </w:t>
      </w:r>
      <w:r>
        <w:rPr>
          <w:sz w:val="18"/>
          <w:vertAlign w:val="baseline"/>
        </w:rPr>
        <w:t>Children</w:t>
      </w:r>
      <w:r>
        <w:rPr>
          <w:spacing w:val="-2"/>
          <w:sz w:val="18"/>
          <w:vertAlign w:val="baseline"/>
        </w:rPr>
        <w:t> </w:t>
      </w:r>
      <w:r>
        <w:rPr>
          <w:sz w:val="18"/>
          <w:vertAlign w:val="baseline"/>
        </w:rPr>
        <w:t>and</w:t>
      </w:r>
      <w:r>
        <w:rPr>
          <w:spacing w:val="-2"/>
          <w:sz w:val="18"/>
          <w:vertAlign w:val="baseline"/>
        </w:rPr>
        <w:t> </w:t>
      </w:r>
      <w:r>
        <w:rPr>
          <w:sz w:val="18"/>
          <w:vertAlign w:val="baseline"/>
        </w:rPr>
        <w:t>Families,</w:t>
      </w:r>
      <w:r>
        <w:rPr>
          <w:spacing w:val="-3"/>
          <w:sz w:val="18"/>
          <w:vertAlign w:val="baseline"/>
        </w:rPr>
        <w:t> </w:t>
      </w:r>
      <w:r>
        <w:rPr>
          <w:sz w:val="18"/>
          <w:vertAlign w:val="baseline"/>
        </w:rPr>
        <w:t>Annual</w:t>
      </w:r>
      <w:r>
        <w:rPr>
          <w:spacing w:val="-3"/>
          <w:sz w:val="18"/>
          <w:vertAlign w:val="baseline"/>
        </w:rPr>
        <w:t> </w:t>
      </w:r>
      <w:r>
        <w:rPr>
          <w:sz w:val="18"/>
          <w:vertAlign w:val="baseline"/>
        </w:rPr>
        <w:t>Progress</w:t>
      </w:r>
      <w:r>
        <w:rPr>
          <w:spacing w:val="-2"/>
          <w:sz w:val="18"/>
          <w:vertAlign w:val="baseline"/>
        </w:rPr>
        <w:t> </w:t>
      </w:r>
      <w:r>
        <w:rPr>
          <w:sz w:val="18"/>
          <w:vertAlign w:val="baseline"/>
        </w:rPr>
        <w:t>and</w:t>
      </w:r>
      <w:r>
        <w:rPr>
          <w:spacing w:val="-2"/>
          <w:sz w:val="18"/>
          <w:vertAlign w:val="baseline"/>
        </w:rPr>
        <w:t> </w:t>
      </w:r>
      <w:r>
        <w:rPr>
          <w:sz w:val="18"/>
          <w:vertAlign w:val="baseline"/>
        </w:rPr>
        <w:t>Services</w:t>
      </w:r>
      <w:r>
        <w:rPr>
          <w:spacing w:val="-2"/>
          <w:sz w:val="18"/>
          <w:vertAlign w:val="baseline"/>
        </w:rPr>
        <w:t> </w:t>
      </w:r>
      <w:r>
        <w:rPr>
          <w:sz w:val="18"/>
          <w:vertAlign w:val="baseline"/>
        </w:rPr>
        <w:t>Report,</w:t>
      </w:r>
      <w:r>
        <w:rPr>
          <w:spacing w:val="-3"/>
          <w:sz w:val="18"/>
          <w:vertAlign w:val="baseline"/>
        </w:rPr>
        <w:t> </w:t>
      </w:r>
      <w:r>
        <w:rPr>
          <w:sz w:val="18"/>
          <w:vertAlign w:val="baseline"/>
        </w:rPr>
        <w:t>FFY2024,</w:t>
      </w:r>
      <w:r>
        <w:rPr>
          <w:spacing w:val="-3"/>
          <w:sz w:val="18"/>
          <w:vertAlign w:val="baseline"/>
        </w:rPr>
        <w:t> </w:t>
      </w:r>
      <w:r>
        <w:rPr>
          <w:sz w:val="18"/>
          <w:vertAlign w:val="baseline"/>
        </w:rPr>
        <w:t>June</w:t>
      </w:r>
      <w:r>
        <w:rPr>
          <w:spacing w:val="-2"/>
          <w:sz w:val="18"/>
          <w:vertAlign w:val="baseline"/>
        </w:rPr>
        <w:t> </w:t>
      </w:r>
      <w:r>
        <w:rPr>
          <w:sz w:val="18"/>
          <w:vertAlign w:val="baseline"/>
        </w:rPr>
        <w:t>30,</w:t>
      </w:r>
      <w:r>
        <w:rPr>
          <w:spacing w:val="-3"/>
          <w:sz w:val="18"/>
          <w:vertAlign w:val="baseline"/>
        </w:rPr>
        <w:t> </w:t>
      </w:r>
      <w:r>
        <w:rPr>
          <w:sz w:val="18"/>
          <w:vertAlign w:val="baseline"/>
        </w:rPr>
        <w:t>2023, </w:t>
      </w:r>
      <w:hyperlink r:id="rId534">
        <w:r>
          <w:rPr>
            <w:spacing w:val="-2"/>
            <w:sz w:val="18"/>
            <w:u w:val="single"/>
            <w:vertAlign w:val="baseline"/>
          </w:rPr>
          <w:t>https://www.mass.gov/doc/fy24-annual-progress-services-report/download</w:t>
        </w:r>
      </w:hyperlink>
    </w:p>
    <w:p>
      <w:pPr>
        <w:spacing w:before="0"/>
        <w:ind w:left="320" w:right="195" w:firstLine="0"/>
        <w:jc w:val="both"/>
        <w:rPr>
          <w:sz w:val="18"/>
        </w:rPr>
      </w:pPr>
      <w:r>
        <w:rPr>
          <w:sz w:val="18"/>
          <w:vertAlign w:val="superscript"/>
        </w:rPr>
        <w:t>152</w:t>
      </w:r>
      <w:r>
        <w:rPr>
          <w:spacing w:val="-2"/>
          <w:sz w:val="18"/>
          <w:vertAlign w:val="baseline"/>
        </w:rPr>
        <w:t> </w:t>
      </w:r>
      <w:r>
        <w:rPr>
          <w:sz w:val="18"/>
          <w:vertAlign w:val="baseline"/>
        </w:rPr>
        <w:t>Office</w:t>
      </w:r>
      <w:r>
        <w:rPr>
          <w:spacing w:val="-2"/>
          <w:sz w:val="18"/>
          <w:vertAlign w:val="baseline"/>
        </w:rPr>
        <w:t> </w:t>
      </w:r>
      <w:r>
        <w:rPr>
          <w:sz w:val="18"/>
          <w:vertAlign w:val="baseline"/>
        </w:rPr>
        <w:t>of</w:t>
      </w:r>
      <w:r>
        <w:rPr>
          <w:spacing w:val="-2"/>
          <w:sz w:val="18"/>
          <w:vertAlign w:val="baseline"/>
        </w:rPr>
        <w:t> </w:t>
      </w:r>
      <w:r>
        <w:rPr>
          <w:sz w:val="18"/>
          <w:vertAlign w:val="baseline"/>
        </w:rPr>
        <w:t>Juvenile</w:t>
      </w:r>
      <w:r>
        <w:rPr>
          <w:spacing w:val="-2"/>
          <w:sz w:val="18"/>
          <w:vertAlign w:val="baseline"/>
        </w:rPr>
        <w:t> </w:t>
      </w:r>
      <w:r>
        <w:rPr>
          <w:sz w:val="18"/>
          <w:vertAlign w:val="baseline"/>
        </w:rPr>
        <w:t>Justice</w:t>
      </w:r>
      <w:r>
        <w:rPr>
          <w:spacing w:val="-2"/>
          <w:sz w:val="18"/>
          <w:vertAlign w:val="baseline"/>
        </w:rPr>
        <w:t> </w:t>
      </w:r>
      <w:r>
        <w:rPr>
          <w:sz w:val="18"/>
          <w:vertAlign w:val="baseline"/>
        </w:rPr>
        <w:t>and</w:t>
      </w:r>
      <w:r>
        <w:rPr>
          <w:spacing w:val="-2"/>
          <w:sz w:val="18"/>
          <w:vertAlign w:val="baseline"/>
        </w:rPr>
        <w:t> </w:t>
      </w:r>
      <w:r>
        <w:rPr>
          <w:sz w:val="18"/>
          <w:vertAlign w:val="baseline"/>
        </w:rPr>
        <w:t>Delinquency</w:t>
      </w:r>
      <w:r>
        <w:rPr>
          <w:spacing w:val="-2"/>
          <w:sz w:val="18"/>
          <w:vertAlign w:val="baseline"/>
        </w:rPr>
        <w:t> </w:t>
      </w:r>
      <w:r>
        <w:rPr>
          <w:sz w:val="18"/>
          <w:vertAlign w:val="baseline"/>
        </w:rPr>
        <w:t>Prevention,</w:t>
      </w:r>
      <w:r>
        <w:rPr>
          <w:spacing w:val="-3"/>
          <w:sz w:val="18"/>
          <w:vertAlign w:val="baseline"/>
        </w:rPr>
        <w:t> </w:t>
      </w:r>
      <w:r>
        <w:rPr>
          <w:sz w:val="18"/>
          <w:vertAlign w:val="baseline"/>
        </w:rPr>
        <w:t>2021.</w:t>
      </w:r>
      <w:r>
        <w:rPr>
          <w:spacing w:val="-2"/>
          <w:sz w:val="18"/>
          <w:vertAlign w:val="baseline"/>
        </w:rPr>
        <w:t> </w:t>
      </w:r>
      <w:r>
        <w:rPr>
          <w:sz w:val="18"/>
          <w:vertAlign w:val="baseline"/>
        </w:rPr>
        <w:t>“Massachusetts</w:t>
      </w:r>
      <w:r>
        <w:rPr>
          <w:spacing w:val="-3"/>
          <w:sz w:val="18"/>
          <w:vertAlign w:val="baseline"/>
        </w:rPr>
        <w:t> </w:t>
      </w:r>
      <w:r>
        <w:rPr>
          <w:sz w:val="18"/>
          <w:vertAlign w:val="baseline"/>
        </w:rPr>
        <w:t>PATH</w:t>
      </w:r>
      <w:r>
        <w:rPr>
          <w:spacing w:val="-3"/>
          <w:sz w:val="18"/>
          <w:vertAlign w:val="baseline"/>
        </w:rPr>
        <w:t> </w:t>
      </w:r>
      <w:r>
        <w:rPr>
          <w:sz w:val="18"/>
          <w:vertAlign w:val="baseline"/>
        </w:rPr>
        <w:t>Court:</w:t>
      </w:r>
      <w:r>
        <w:rPr>
          <w:spacing w:val="-2"/>
          <w:sz w:val="18"/>
          <w:vertAlign w:val="baseline"/>
        </w:rPr>
        <w:t> </w:t>
      </w:r>
      <w:r>
        <w:rPr>
          <w:sz w:val="18"/>
          <w:vertAlign w:val="baseline"/>
        </w:rPr>
        <w:t>Prevention</w:t>
      </w:r>
      <w:r>
        <w:rPr>
          <w:spacing w:val="-2"/>
          <w:sz w:val="18"/>
          <w:vertAlign w:val="baseline"/>
        </w:rPr>
        <w:t> </w:t>
      </w:r>
      <w:r>
        <w:rPr>
          <w:sz w:val="18"/>
          <w:vertAlign w:val="baseline"/>
        </w:rPr>
        <w:t>and</w:t>
      </w:r>
      <w:r>
        <w:rPr>
          <w:spacing w:val="-2"/>
          <w:sz w:val="18"/>
          <w:vertAlign w:val="baseline"/>
        </w:rPr>
        <w:t> </w:t>
      </w:r>
      <w:r>
        <w:rPr>
          <w:sz w:val="18"/>
          <w:vertAlign w:val="baseline"/>
        </w:rPr>
        <w:t>Treatment</w:t>
      </w:r>
      <w:r>
        <w:rPr>
          <w:spacing w:val="-3"/>
          <w:sz w:val="18"/>
          <w:vertAlign w:val="baseline"/>
        </w:rPr>
        <w:t> </w:t>
      </w:r>
      <w:r>
        <w:rPr>
          <w:sz w:val="18"/>
          <w:vertAlign w:val="baseline"/>
        </w:rPr>
        <w:t>for</w:t>
      </w:r>
      <w:r>
        <w:rPr>
          <w:spacing w:val="-3"/>
          <w:sz w:val="18"/>
          <w:vertAlign w:val="baseline"/>
        </w:rPr>
        <w:t> </w:t>
      </w:r>
      <w:r>
        <w:rPr>
          <w:sz w:val="18"/>
          <w:vertAlign w:val="baseline"/>
        </w:rPr>
        <w:t>the Health</w:t>
      </w:r>
      <w:r>
        <w:rPr>
          <w:spacing w:val="-4"/>
          <w:sz w:val="18"/>
          <w:vertAlign w:val="baseline"/>
        </w:rPr>
        <w:t> </w:t>
      </w:r>
      <w:r>
        <w:rPr>
          <w:sz w:val="18"/>
          <w:vertAlign w:val="baseline"/>
        </w:rPr>
        <w:t>and</w:t>
      </w:r>
      <w:r>
        <w:rPr>
          <w:spacing w:val="-4"/>
          <w:sz w:val="18"/>
          <w:vertAlign w:val="baseline"/>
        </w:rPr>
        <w:t> </w:t>
      </w:r>
      <w:r>
        <w:rPr>
          <w:sz w:val="18"/>
          <w:vertAlign w:val="baseline"/>
        </w:rPr>
        <w:t>Stability</w:t>
      </w:r>
      <w:r>
        <w:rPr>
          <w:spacing w:val="-4"/>
          <w:sz w:val="18"/>
          <w:vertAlign w:val="baseline"/>
        </w:rPr>
        <w:t> </w:t>
      </w:r>
      <w:r>
        <w:rPr>
          <w:sz w:val="18"/>
          <w:vertAlign w:val="baseline"/>
        </w:rPr>
        <w:t>of</w:t>
      </w:r>
      <w:r>
        <w:rPr>
          <w:spacing w:val="-4"/>
          <w:sz w:val="18"/>
          <w:vertAlign w:val="baseline"/>
        </w:rPr>
        <w:t> </w:t>
      </w:r>
      <w:r>
        <w:rPr>
          <w:sz w:val="18"/>
          <w:vertAlign w:val="baseline"/>
        </w:rPr>
        <w:t>Children</w:t>
      </w:r>
      <w:r>
        <w:rPr>
          <w:spacing w:val="-4"/>
          <w:sz w:val="18"/>
          <w:vertAlign w:val="baseline"/>
        </w:rPr>
        <w:t> </w:t>
      </w:r>
      <w:r>
        <w:rPr>
          <w:sz w:val="18"/>
          <w:vertAlign w:val="baseline"/>
        </w:rPr>
        <w:t>and</w:t>
      </w:r>
      <w:r>
        <w:rPr>
          <w:spacing w:val="-4"/>
          <w:sz w:val="18"/>
          <w:vertAlign w:val="baseline"/>
        </w:rPr>
        <w:t> </w:t>
      </w:r>
      <w:r>
        <w:rPr>
          <w:sz w:val="18"/>
          <w:vertAlign w:val="baseline"/>
        </w:rPr>
        <w:t>Families”,</w:t>
      </w:r>
      <w:r>
        <w:rPr>
          <w:spacing w:val="-5"/>
          <w:sz w:val="18"/>
          <w:vertAlign w:val="baseline"/>
        </w:rPr>
        <w:t> </w:t>
      </w:r>
      <w:r>
        <w:rPr>
          <w:sz w:val="18"/>
          <w:vertAlign w:val="baseline"/>
        </w:rPr>
        <w:t>December</w:t>
      </w:r>
      <w:r>
        <w:rPr>
          <w:spacing w:val="-5"/>
          <w:sz w:val="18"/>
          <w:vertAlign w:val="baseline"/>
        </w:rPr>
        <w:t> </w:t>
      </w:r>
      <w:r>
        <w:rPr>
          <w:sz w:val="18"/>
          <w:vertAlign w:val="baseline"/>
        </w:rPr>
        <w:t>16,</w:t>
      </w:r>
      <w:r>
        <w:rPr>
          <w:spacing w:val="-5"/>
          <w:sz w:val="18"/>
          <w:vertAlign w:val="baseline"/>
        </w:rPr>
        <w:t> </w:t>
      </w:r>
      <w:r>
        <w:rPr>
          <w:sz w:val="18"/>
          <w:vertAlign w:val="baseline"/>
        </w:rPr>
        <w:t>2021,</w:t>
      </w:r>
      <w:r>
        <w:rPr>
          <w:spacing w:val="-5"/>
          <w:sz w:val="18"/>
          <w:vertAlign w:val="baseline"/>
        </w:rPr>
        <w:t> </w:t>
      </w:r>
      <w:r>
        <w:rPr>
          <w:sz w:val="18"/>
          <w:vertAlign w:val="baseline"/>
        </w:rPr>
        <w:t>https://ojjdp.ojp.gov/funding/awards/15pjdp-21-gk-04497- </w:t>
      </w:r>
      <w:r>
        <w:rPr>
          <w:spacing w:val="-2"/>
          <w:sz w:val="18"/>
          <w:vertAlign w:val="baseline"/>
        </w:rPr>
        <w:t>dgct.</w:t>
      </w:r>
    </w:p>
    <w:p>
      <w:pPr>
        <w:spacing w:line="153" w:lineRule="auto" w:before="35"/>
        <w:ind w:left="320" w:right="0" w:firstLine="0"/>
        <w:jc w:val="both"/>
        <w:rPr>
          <w:i/>
          <w:sz w:val="18"/>
        </w:rPr>
      </w:pPr>
      <w:r>
        <w:rPr>
          <w:sz w:val="12"/>
        </w:rPr>
        <w:t>153</w:t>
      </w:r>
      <w:r>
        <w:rPr>
          <w:spacing w:val="13"/>
          <w:sz w:val="12"/>
        </w:rPr>
        <w:t> </w:t>
      </w:r>
      <w:r>
        <w:rPr>
          <w:i/>
          <w:spacing w:val="-5"/>
          <w:position w:val="-5"/>
          <w:sz w:val="18"/>
        </w:rPr>
        <w:t>Id.</w:t>
      </w:r>
    </w:p>
    <w:p>
      <w:pPr>
        <w:spacing w:before="38"/>
        <w:ind w:left="320" w:right="0" w:firstLine="0"/>
        <w:jc w:val="left"/>
        <w:rPr>
          <w:sz w:val="18"/>
        </w:rPr>
      </w:pPr>
      <w:r>
        <w:rPr>
          <w:sz w:val="18"/>
          <w:vertAlign w:val="superscript"/>
        </w:rPr>
        <w:t>154</w:t>
      </w:r>
      <w:r>
        <w:rPr>
          <w:spacing w:val="-3"/>
          <w:sz w:val="18"/>
          <w:vertAlign w:val="baseline"/>
        </w:rPr>
        <w:t> </w:t>
      </w:r>
      <w:r>
        <w:rPr>
          <w:sz w:val="18"/>
          <w:vertAlign w:val="baseline"/>
        </w:rPr>
        <w:t>Massachusetts</w:t>
      </w:r>
      <w:r>
        <w:rPr>
          <w:spacing w:val="-4"/>
          <w:sz w:val="18"/>
          <w:vertAlign w:val="baseline"/>
        </w:rPr>
        <w:t> </w:t>
      </w:r>
      <w:r>
        <w:rPr>
          <w:sz w:val="18"/>
          <w:vertAlign w:val="baseline"/>
        </w:rPr>
        <w:t>Department</w:t>
      </w:r>
      <w:r>
        <w:rPr>
          <w:spacing w:val="-4"/>
          <w:sz w:val="18"/>
          <w:vertAlign w:val="baseline"/>
        </w:rPr>
        <w:t> </w:t>
      </w:r>
      <w:r>
        <w:rPr>
          <w:sz w:val="18"/>
          <w:vertAlign w:val="baseline"/>
        </w:rPr>
        <w:t>of</w:t>
      </w:r>
      <w:r>
        <w:rPr>
          <w:spacing w:val="-3"/>
          <w:sz w:val="18"/>
          <w:vertAlign w:val="baseline"/>
        </w:rPr>
        <w:t> </w:t>
      </w:r>
      <w:r>
        <w:rPr>
          <w:sz w:val="18"/>
          <w:vertAlign w:val="baseline"/>
        </w:rPr>
        <w:t>Correction.</w:t>
      </w:r>
      <w:r>
        <w:rPr>
          <w:spacing w:val="-3"/>
          <w:sz w:val="18"/>
          <w:vertAlign w:val="baseline"/>
        </w:rPr>
        <w:t> </w:t>
      </w:r>
      <w:r>
        <w:rPr>
          <w:sz w:val="18"/>
          <w:vertAlign w:val="baseline"/>
        </w:rPr>
        <w:t>2023.</w:t>
      </w:r>
      <w:r>
        <w:rPr>
          <w:spacing w:val="-3"/>
          <w:sz w:val="18"/>
          <w:vertAlign w:val="baseline"/>
        </w:rPr>
        <w:t> </w:t>
      </w:r>
      <w:r>
        <w:rPr>
          <w:sz w:val="18"/>
          <w:vertAlign w:val="baseline"/>
        </w:rPr>
        <w:t>“Massachusetts</w:t>
      </w:r>
      <w:r>
        <w:rPr>
          <w:spacing w:val="-4"/>
          <w:sz w:val="18"/>
          <w:vertAlign w:val="baseline"/>
        </w:rPr>
        <w:t> </w:t>
      </w:r>
      <w:r>
        <w:rPr>
          <w:sz w:val="18"/>
          <w:vertAlign w:val="baseline"/>
        </w:rPr>
        <w:t>Department</w:t>
      </w:r>
      <w:r>
        <w:rPr>
          <w:spacing w:val="-4"/>
          <w:sz w:val="18"/>
          <w:vertAlign w:val="baseline"/>
        </w:rPr>
        <w:t> </w:t>
      </w:r>
      <w:r>
        <w:rPr>
          <w:sz w:val="18"/>
          <w:vertAlign w:val="baseline"/>
        </w:rPr>
        <w:t>of</w:t>
      </w:r>
      <w:r>
        <w:rPr>
          <w:spacing w:val="-3"/>
          <w:sz w:val="18"/>
          <w:vertAlign w:val="baseline"/>
        </w:rPr>
        <w:t> </w:t>
      </w:r>
      <w:r>
        <w:rPr>
          <w:sz w:val="18"/>
          <w:vertAlign w:val="baseline"/>
        </w:rPr>
        <w:t>Correction</w:t>
      </w:r>
      <w:r>
        <w:rPr>
          <w:spacing w:val="-3"/>
          <w:sz w:val="18"/>
          <w:vertAlign w:val="baseline"/>
        </w:rPr>
        <w:t> </w:t>
      </w:r>
      <w:r>
        <w:rPr>
          <w:sz w:val="18"/>
          <w:vertAlign w:val="baseline"/>
        </w:rPr>
        <w:t>Implements</w:t>
      </w:r>
      <w:r>
        <w:rPr>
          <w:spacing w:val="-3"/>
          <w:sz w:val="18"/>
          <w:vertAlign w:val="baseline"/>
        </w:rPr>
        <w:t> </w:t>
      </w:r>
      <w:r>
        <w:rPr>
          <w:sz w:val="18"/>
          <w:vertAlign w:val="baseline"/>
        </w:rPr>
        <w:t>No</w:t>
      </w:r>
      <w:r>
        <w:rPr>
          <w:spacing w:val="-3"/>
          <w:sz w:val="18"/>
          <w:vertAlign w:val="baseline"/>
        </w:rPr>
        <w:t> </w:t>
      </w:r>
      <w:r>
        <w:rPr>
          <w:sz w:val="18"/>
          <w:vertAlign w:val="baseline"/>
        </w:rPr>
        <w:t>Cost</w:t>
      </w:r>
      <w:r>
        <w:rPr>
          <w:spacing w:val="-4"/>
          <w:sz w:val="18"/>
          <w:vertAlign w:val="baseline"/>
        </w:rPr>
        <w:t> </w:t>
      </w:r>
      <w:r>
        <w:rPr>
          <w:sz w:val="18"/>
          <w:vertAlign w:val="baseline"/>
        </w:rPr>
        <w:t>Calls”, December 1, 2023, https:</w:t>
      </w:r>
      <w:hyperlink r:id="rId535">
        <w:r>
          <w:rPr>
            <w:sz w:val="18"/>
            <w:vertAlign w:val="baseline"/>
          </w:rPr>
          <w:t>//www.mass.gov/news/massachusetts-department-of-correction-implements-no-cost-calls.</w:t>
        </w:r>
      </w:hyperlink>
    </w:p>
    <w:p>
      <w:pPr>
        <w:spacing w:line="156" w:lineRule="auto" w:before="36"/>
        <w:ind w:left="320" w:right="0" w:firstLine="0"/>
        <w:jc w:val="left"/>
        <w:rPr>
          <w:i/>
          <w:sz w:val="18"/>
        </w:rPr>
      </w:pPr>
      <w:r>
        <w:rPr>
          <w:sz w:val="12"/>
        </w:rPr>
        <w:t>155</w:t>
      </w:r>
      <w:r>
        <w:rPr>
          <w:spacing w:val="13"/>
          <w:sz w:val="12"/>
        </w:rPr>
        <w:t> </w:t>
      </w:r>
      <w:r>
        <w:rPr>
          <w:i/>
          <w:spacing w:val="-5"/>
          <w:position w:val="-5"/>
          <w:sz w:val="18"/>
        </w:rPr>
        <w:t>Id.</w:t>
      </w:r>
    </w:p>
    <w:p>
      <w:pPr>
        <w:spacing w:line="158" w:lineRule="auto" w:before="70"/>
        <w:ind w:left="320" w:right="0" w:firstLine="0"/>
        <w:jc w:val="left"/>
        <w:rPr>
          <w:i/>
          <w:sz w:val="18"/>
        </w:rPr>
      </w:pPr>
      <w:r>
        <w:rPr>
          <w:sz w:val="12"/>
        </w:rPr>
        <w:t>156</w:t>
      </w:r>
      <w:r>
        <w:rPr>
          <w:spacing w:val="13"/>
          <w:sz w:val="12"/>
        </w:rPr>
        <w:t> </w:t>
      </w:r>
      <w:r>
        <w:rPr>
          <w:i/>
          <w:spacing w:val="-5"/>
          <w:position w:val="-5"/>
          <w:sz w:val="18"/>
        </w:rPr>
        <w:t>Id.</w:t>
      </w:r>
    </w:p>
    <w:p>
      <w:pPr>
        <w:spacing w:line="158" w:lineRule="auto" w:before="70"/>
        <w:ind w:left="320" w:right="0" w:firstLine="0"/>
        <w:jc w:val="left"/>
        <w:rPr>
          <w:i/>
          <w:sz w:val="18"/>
        </w:rPr>
      </w:pPr>
      <w:r>
        <w:rPr>
          <w:sz w:val="12"/>
        </w:rPr>
        <w:t>157</w:t>
      </w:r>
      <w:r>
        <w:rPr>
          <w:spacing w:val="13"/>
          <w:sz w:val="12"/>
        </w:rPr>
        <w:t> </w:t>
      </w:r>
      <w:r>
        <w:rPr>
          <w:i/>
          <w:spacing w:val="-5"/>
          <w:position w:val="-5"/>
          <w:sz w:val="18"/>
        </w:rPr>
        <w:t>Id.</w:t>
      </w:r>
    </w:p>
    <w:p>
      <w:pPr>
        <w:spacing w:before="33"/>
        <w:ind w:left="320" w:right="0" w:firstLine="0"/>
        <w:jc w:val="left"/>
        <w:rPr>
          <w:i/>
          <w:sz w:val="18"/>
        </w:rPr>
      </w:pPr>
      <w:r>
        <w:rPr>
          <w:sz w:val="12"/>
        </w:rPr>
        <w:t>158</w:t>
      </w:r>
      <w:r>
        <w:rPr>
          <w:spacing w:val="13"/>
          <w:sz w:val="12"/>
        </w:rPr>
        <w:t> </w:t>
      </w:r>
      <w:r>
        <w:rPr>
          <w:i/>
          <w:spacing w:val="-5"/>
          <w:position w:val="-5"/>
          <w:sz w:val="18"/>
        </w:rPr>
        <w:t>Id.</w:t>
      </w:r>
    </w:p>
    <w:p>
      <w:pPr>
        <w:spacing w:before="0"/>
        <w:ind w:left="320" w:right="402" w:firstLine="0"/>
        <w:jc w:val="left"/>
        <w:rPr>
          <w:sz w:val="18"/>
        </w:rPr>
      </w:pPr>
      <w:r>
        <w:rPr>
          <w:sz w:val="18"/>
          <w:vertAlign w:val="superscript"/>
        </w:rPr>
        <w:t>159</w:t>
      </w:r>
      <w:r>
        <w:rPr>
          <w:spacing w:val="-2"/>
          <w:sz w:val="18"/>
          <w:vertAlign w:val="baseline"/>
        </w:rPr>
        <w:t> </w:t>
      </w:r>
      <w:r>
        <w:rPr>
          <w:sz w:val="18"/>
          <w:vertAlign w:val="baseline"/>
        </w:rPr>
        <w:t>Sarah</w:t>
      </w:r>
      <w:r>
        <w:rPr>
          <w:spacing w:val="-2"/>
          <w:sz w:val="18"/>
          <w:vertAlign w:val="baseline"/>
        </w:rPr>
        <w:t> </w:t>
      </w:r>
      <w:r>
        <w:rPr>
          <w:sz w:val="18"/>
          <w:vertAlign w:val="baseline"/>
        </w:rPr>
        <w:t>Betancourt,</w:t>
      </w:r>
      <w:r>
        <w:rPr>
          <w:spacing w:val="-3"/>
          <w:sz w:val="18"/>
          <w:vertAlign w:val="baseline"/>
        </w:rPr>
        <w:t> </w:t>
      </w:r>
      <w:r>
        <w:rPr>
          <w:sz w:val="18"/>
          <w:vertAlign w:val="baseline"/>
        </w:rPr>
        <w:t>WGBH,</w:t>
      </w:r>
      <w:r>
        <w:rPr>
          <w:spacing w:val="-3"/>
          <w:sz w:val="18"/>
          <w:vertAlign w:val="baseline"/>
        </w:rPr>
        <w:t> </w:t>
      </w:r>
      <w:r>
        <w:rPr>
          <w:sz w:val="18"/>
          <w:vertAlign w:val="baseline"/>
        </w:rPr>
        <w:t>“Massachusetts</w:t>
      </w:r>
      <w:r>
        <w:rPr>
          <w:spacing w:val="-3"/>
          <w:sz w:val="18"/>
          <w:vertAlign w:val="baseline"/>
        </w:rPr>
        <w:t> </w:t>
      </w:r>
      <w:r>
        <w:rPr>
          <w:sz w:val="18"/>
          <w:vertAlign w:val="baseline"/>
        </w:rPr>
        <w:t>Becomes</w:t>
      </w:r>
      <w:r>
        <w:rPr>
          <w:spacing w:val="-2"/>
          <w:sz w:val="18"/>
          <w:vertAlign w:val="baseline"/>
        </w:rPr>
        <w:t> </w:t>
      </w:r>
      <w:r>
        <w:rPr>
          <w:sz w:val="18"/>
          <w:vertAlign w:val="baseline"/>
        </w:rPr>
        <w:t>Fifth</w:t>
      </w:r>
      <w:r>
        <w:rPr>
          <w:spacing w:val="-2"/>
          <w:sz w:val="18"/>
          <w:vertAlign w:val="baseline"/>
        </w:rPr>
        <w:t> </w:t>
      </w:r>
      <w:r>
        <w:rPr>
          <w:sz w:val="18"/>
          <w:vertAlign w:val="baseline"/>
        </w:rPr>
        <w:t>State</w:t>
      </w:r>
      <w:r>
        <w:rPr>
          <w:spacing w:val="-2"/>
          <w:sz w:val="18"/>
          <w:vertAlign w:val="baseline"/>
        </w:rPr>
        <w:t> </w:t>
      </w:r>
      <w:r>
        <w:rPr>
          <w:sz w:val="18"/>
          <w:vertAlign w:val="baseline"/>
        </w:rPr>
        <w:t>in</w:t>
      </w:r>
      <w:r>
        <w:rPr>
          <w:spacing w:val="-2"/>
          <w:sz w:val="18"/>
          <w:vertAlign w:val="baseline"/>
        </w:rPr>
        <w:t> </w:t>
      </w:r>
      <w:r>
        <w:rPr>
          <w:sz w:val="18"/>
          <w:vertAlign w:val="baseline"/>
        </w:rPr>
        <w:t>Nation</w:t>
      </w:r>
      <w:r>
        <w:rPr>
          <w:spacing w:val="-2"/>
          <w:sz w:val="18"/>
          <w:vertAlign w:val="baseline"/>
        </w:rPr>
        <w:t> </w:t>
      </w:r>
      <w:r>
        <w:rPr>
          <w:sz w:val="18"/>
          <w:vertAlign w:val="baseline"/>
        </w:rPr>
        <w:t>to</w:t>
      </w:r>
      <w:r>
        <w:rPr>
          <w:spacing w:val="-2"/>
          <w:sz w:val="18"/>
          <w:vertAlign w:val="baseline"/>
        </w:rPr>
        <w:t> </w:t>
      </w:r>
      <w:r>
        <w:rPr>
          <w:sz w:val="18"/>
          <w:vertAlign w:val="baseline"/>
        </w:rPr>
        <w:t>Make</w:t>
      </w:r>
      <w:r>
        <w:rPr>
          <w:spacing w:val="-2"/>
          <w:sz w:val="18"/>
          <w:vertAlign w:val="baseline"/>
        </w:rPr>
        <w:t> </w:t>
      </w:r>
      <w:r>
        <w:rPr>
          <w:sz w:val="18"/>
          <w:vertAlign w:val="baseline"/>
        </w:rPr>
        <w:t>Prison</w:t>
      </w:r>
      <w:r>
        <w:rPr>
          <w:spacing w:val="-2"/>
          <w:sz w:val="18"/>
          <w:vertAlign w:val="baseline"/>
        </w:rPr>
        <w:t> </w:t>
      </w:r>
      <w:r>
        <w:rPr>
          <w:sz w:val="18"/>
          <w:vertAlign w:val="baseline"/>
        </w:rPr>
        <w:t>Calls</w:t>
      </w:r>
      <w:r>
        <w:rPr>
          <w:spacing w:val="-2"/>
          <w:sz w:val="18"/>
          <w:vertAlign w:val="baseline"/>
        </w:rPr>
        <w:t> </w:t>
      </w:r>
      <w:r>
        <w:rPr>
          <w:sz w:val="18"/>
          <w:vertAlign w:val="baseline"/>
        </w:rPr>
        <w:t>Free”,</w:t>
      </w:r>
      <w:r>
        <w:rPr>
          <w:spacing w:val="-3"/>
          <w:sz w:val="18"/>
          <w:vertAlign w:val="baseline"/>
        </w:rPr>
        <w:t> </w:t>
      </w:r>
      <w:r>
        <w:rPr>
          <w:sz w:val="18"/>
          <w:vertAlign w:val="baseline"/>
        </w:rPr>
        <w:t>November</w:t>
      </w:r>
      <w:r>
        <w:rPr>
          <w:spacing w:val="-4"/>
          <w:sz w:val="18"/>
          <w:vertAlign w:val="baseline"/>
        </w:rPr>
        <w:t> </w:t>
      </w:r>
      <w:r>
        <w:rPr>
          <w:sz w:val="18"/>
          <w:vertAlign w:val="baseline"/>
        </w:rPr>
        <w:t>20,</w:t>
      </w:r>
      <w:r>
        <w:rPr>
          <w:spacing w:val="-3"/>
          <w:sz w:val="18"/>
          <w:vertAlign w:val="baseline"/>
        </w:rPr>
        <w:t> </w:t>
      </w:r>
      <w:r>
        <w:rPr>
          <w:sz w:val="18"/>
          <w:vertAlign w:val="baseline"/>
        </w:rPr>
        <w:t>2023, </w:t>
      </w:r>
      <w:r>
        <w:rPr>
          <w:spacing w:val="-2"/>
          <w:sz w:val="18"/>
          <w:vertAlign w:val="baseline"/>
        </w:rPr>
        <w:t>https://</w:t>
      </w:r>
      <w:hyperlink r:id="rId536">
        <w:r>
          <w:rPr>
            <w:spacing w:val="-2"/>
            <w:sz w:val="18"/>
            <w:vertAlign w:val="baseline"/>
          </w:rPr>
          <w:t>www.wgbh.org/news/local/2023-11-17/massachusetts-becomes-fifth-state-in-nation-to-make-prison-calls-free.</w:t>
        </w:r>
      </w:hyperlink>
    </w:p>
    <w:p>
      <w:pPr>
        <w:spacing w:line="219" w:lineRule="exact" w:before="0"/>
        <w:ind w:left="320" w:right="0" w:firstLine="0"/>
        <w:jc w:val="left"/>
        <w:rPr>
          <w:sz w:val="18"/>
        </w:rPr>
      </w:pPr>
      <w:r>
        <w:rPr>
          <w:sz w:val="18"/>
          <w:vertAlign w:val="superscript"/>
        </w:rPr>
        <w:t>160</w:t>
      </w:r>
      <w:r>
        <w:rPr>
          <w:spacing w:val="-5"/>
          <w:sz w:val="18"/>
          <w:vertAlign w:val="baseline"/>
        </w:rPr>
        <w:t> </w:t>
      </w:r>
      <w:r>
        <w:rPr>
          <w:i/>
          <w:sz w:val="18"/>
          <w:vertAlign w:val="baseline"/>
        </w:rPr>
        <w:t>Commonwealth</w:t>
      </w:r>
      <w:r>
        <w:rPr>
          <w:i/>
          <w:spacing w:val="-2"/>
          <w:sz w:val="18"/>
          <w:vertAlign w:val="baseline"/>
        </w:rPr>
        <w:t> </w:t>
      </w:r>
      <w:r>
        <w:rPr>
          <w:i/>
          <w:sz w:val="18"/>
          <w:vertAlign w:val="baseline"/>
        </w:rPr>
        <w:t>v.</w:t>
      </w:r>
      <w:r>
        <w:rPr>
          <w:i/>
          <w:spacing w:val="-2"/>
          <w:sz w:val="18"/>
          <w:vertAlign w:val="baseline"/>
        </w:rPr>
        <w:t> </w:t>
      </w:r>
      <w:r>
        <w:rPr>
          <w:i/>
          <w:sz w:val="18"/>
          <w:vertAlign w:val="baseline"/>
        </w:rPr>
        <w:t>Mattis</w:t>
      </w:r>
      <w:r>
        <w:rPr>
          <w:sz w:val="18"/>
          <w:vertAlign w:val="baseline"/>
        </w:rPr>
        <w:t>,</w:t>
      </w:r>
      <w:r>
        <w:rPr>
          <w:spacing w:val="-3"/>
          <w:sz w:val="18"/>
          <w:vertAlign w:val="baseline"/>
        </w:rPr>
        <w:t> </w:t>
      </w:r>
      <w:r>
        <w:rPr>
          <w:sz w:val="18"/>
          <w:vertAlign w:val="baseline"/>
        </w:rPr>
        <w:t>493</w:t>
      </w:r>
      <w:r>
        <w:rPr>
          <w:spacing w:val="-1"/>
          <w:sz w:val="18"/>
          <w:vertAlign w:val="baseline"/>
        </w:rPr>
        <w:t> </w:t>
      </w:r>
      <w:r>
        <w:rPr>
          <w:sz w:val="18"/>
          <w:vertAlign w:val="baseline"/>
        </w:rPr>
        <w:t>Mass.</w:t>
      </w:r>
      <w:r>
        <w:rPr>
          <w:spacing w:val="-3"/>
          <w:sz w:val="18"/>
          <w:vertAlign w:val="baseline"/>
        </w:rPr>
        <w:t> </w:t>
      </w:r>
      <w:r>
        <w:rPr>
          <w:sz w:val="18"/>
          <w:vertAlign w:val="baseline"/>
        </w:rPr>
        <w:t>216,</w:t>
      </w:r>
      <w:r>
        <w:rPr>
          <w:spacing w:val="-3"/>
          <w:sz w:val="18"/>
          <w:vertAlign w:val="baseline"/>
        </w:rPr>
        <w:t> </w:t>
      </w:r>
      <w:r>
        <w:rPr>
          <w:sz w:val="18"/>
          <w:vertAlign w:val="baseline"/>
        </w:rPr>
        <w:t>224</w:t>
      </w:r>
      <w:r>
        <w:rPr>
          <w:spacing w:val="-2"/>
          <w:sz w:val="18"/>
          <w:vertAlign w:val="baseline"/>
        </w:rPr>
        <w:t> </w:t>
      </w:r>
      <w:r>
        <w:rPr>
          <w:sz w:val="18"/>
          <w:vertAlign w:val="baseline"/>
        </w:rPr>
        <w:t>N.E.3d</w:t>
      </w:r>
      <w:r>
        <w:rPr>
          <w:spacing w:val="-2"/>
          <w:sz w:val="18"/>
          <w:vertAlign w:val="baseline"/>
        </w:rPr>
        <w:t> </w:t>
      </w:r>
      <w:r>
        <w:rPr>
          <w:sz w:val="18"/>
          <w:vertAlign w:val="baseline"/>
        </w:rPr>
        <w:t>410,</w:t>
      </w:r>
      <w:r>
        <w:rPr>
          <w:spacing w:val="-3"/>
          <w:sz w:val="18"/>
          <w:vertAlign w:val="baseline"/>
        </w:rPr>
        <w:t> </w:t>
      </w:r>
      <w:r>
        <w:rPr>
          <w:sz w:val="18"/>
          <w:vertAlign w:val="baseline"/>
        </w:rPr>
        <w:t>2024</w:t>
      </w:r>
      <w:r>
        <w:rPr>
          <w:spacing w:val="-2"/>
          <w:sz w:val="18"/>
          <w:vertAlign w:val="baseline"/>
        </w:rPr>
        <w:t> </w:t>
      </w:r>
      <w:r>
        <w:rPr>
          <w:sz w:val="18"/>
          <w:vertAlign w:val="baseline"/>
        </w:rPr>
        <w:t>Mass.</w:t>
      </w:r>
      <w:r>
        <w:rPr>
          <w:spacing w:val="-3"/>
          <w:sz w:val="18"/>
          <w:vertAlign w:val="baseline"/>
        </w:rPr>
        <w:t> </w:t>
      </w:r>
      <w:r>
        <w:rPr>
          <w:sz w:val="18"/>
          <w:vertAlign w:val="baseline"/>
        </w:rPr>
        <w:t>LEXIS</w:t>
      </w:r>
      <w:r>
        <w:rPr>
          <w:spacing w:val="-2"/>
          <w:sz w:val="18"/>
          <w:vertAlign w:val="baseline"/>
        </w:rPr>
        <w:t> </w:t>
      </w:r>
      <w:r>
        <w:rPr>
          <w:sz w:val="18"/>
          <w:vertAlign w:val="baseline"/>
        </w:rPr>
        <w:t>8</w:t>
      </w:r>
      <w:r>
        <w:rPr>
          <w:spacing w:val="-4"/>
          <w:sz w:val="18"/>
          <w:vertAlign w:val="baseline"/>
        </w:rPr>
        <w:t> </w:t>
      </w:r>
      <w:r>
        <w:rPr>
          <w:sz w:val="18"/>
          <w:vertAlign w:val="baseline"/>
        </w:rPr>
        <w:t>(Supreme</w:t>
      </w:r>
      <w:r>
        <w:rPr>
          <w:spacing w:val="-2"/>
          <w:sz w:val="18"/>
          <w:vertAlign w:val="baseline"/>
        </w:rPr>
        <w:t> </w:t>
      </w:r>
      <w:r>
        <w:rPr>
          <w:sz w:val="18"/>
          <w:vertAlign w:val="baseline"/>
        </w:rPr>
        <w:t>Judicial</w:t>
      </w:r>
      <w:r>
        <w:rPr>
          <w:spacing w:val="-3"/>
          <w:sz w:val="18"/>
          <w:vertAlign w:val="baseline"/>
        </w:rPr>
        <w:t> </w:t>
      </w:r>
      <w:r>
        <w:rPr>
          <w:sz w:val="18"/>
          <w:vertAlign w:val="baseline"/>
        </w:rPr>
        <w:t>Court</w:t>
      </w:r>
      <w:r>
        <w:rPr>
          <w:spacing w:val="-3"/>
          <w:sz w:val="18"/>
          <w:vertAlign w:val="baseline"/>
        </w:rPr>
        <w:t> </w:t>
      </w:r>
      <w:r>
        <w:rPr>
          <w:sz w:val="18"/>
          <w:vertAlign w:val="baseline"/>
        </w:rPr>
        <w:t>of</w:t>
      </w:r>
      <w:r>
        <w:rPr>
          <w:spacing w:val="-2"/>
          <w:sz w:val="18"/>
          <w:vertAlign w:val="baseline"/>
        </w:rPr>
        <w:t> Massachusetts</w:t>
      </w:r>
    </w:p>
    <w:p>
      <w:pPr>
        <w:spacing w:line="218" w:lineRule="exact" w:before="0"/>
        <w:ind w:left="320" w:right="0" w:firstLine="0"/>
        <w:jc w:val="left"/>
        <w:rPr>
          <w:sz w:val="18"/>
        </w:rPr>
      </w:pPr>
      <w:r>
        <w:rPr>
          <w:sz w:val="18"/>
        </w:rPr>
        <w:t>January</w:t>
      </w:r>
      <w:r>
        <w:rPr>
          <w:spacing w:val="-3"/>
          <w:sz w:val="18"/>
        </w:rPr>
        <w:t> </w:t>
      </w:r>
      <w:r>
        <w:rPr>
          <w:sz w:val="18"/>
        </w:rPr>
        <w:t>11,</w:t>
      </w:r>
      <w:r>
        <w:rPr>
          <w:spacing w:val="-3"/>
          <w:sz w:val="18"/>
        </w:rPr>
        <w:t> </w:t>
      </w:r>
      <w:r>
        <w:rPr>
          <w:sz w:val="18"/>
        </w:rPr>
        <w:t>2024,</w:t>
      </w:r>
      <w:r>
        <w:rPr>
          <w:spacing w:val="-3"/>
          <w:sz w:val="18"/>
        </w:rPr>
        <w:t> </w:t>
      </w:r>
      <w:r>
        <w:rPr>
          <w:spacing w:val="-2"/>
          <w:sz w:val="18"/>
        </w:rPr>
        <w:t>Decided).</w:t>
      </w:r>
    </w:p>
    <w:p>
      <w:pPr>
        <w:spacing w:line="156" w:lineRule="auto" w:before="36"/>
        <w:ind w:left="320" w:right="0" w:firstLine="0"/>
        <w:jc w:val="left"/>
        <w:rPr>
          <w:i/>
          <w:sz w:val="18"/>
        </w:rPr>
      </w:pPr>
      <w:r>
        <w:rPr>
          <w:sz w:val="12"/>
        </w:rPr>
        <w:t>161</w:t>
      </w:r>
      <w:r>
        <w:rPr>
          <w:spacing w:val="13"/>
          <w:sz w:val="12"/>
        </w:rPr>
        <w:t> </w:t>
      </w:r>
      <w:r>
        <w:rPr>
          <w:i/>
          <w:spacing w:val="-5"/>
          <w:position w:val="-5"/>
          <w:sz w:val="18"/>
        </w:rPr>
        <w:t>Id.</w:t>
      </w:r>
    </w:p>
    <w:p>
      <w:pPr>
        <w:spacing w:before="35"/>
        <w:ind w:left="320" w:right="0" w:firstLine="0"/>
        <w:jc w:val="left"/>
        <w:rPr>
          <w:i/>
          <w:sz w:val="18"/>
        </w:rPr>
      </w:pPr>
      <w:r>
        <w:rPr>
          <w:sz w:val="12"/>
        </w:rPr>
        <w:t>162</w:t>
      </w:r>
      <w:r>
        <w:rPr>
          <w:spacing w:val="13"/>
          <w:sz w:val="12"/>
        </w:rPr>
        <w:t> </w:t>
      </w:r>
      <w:r>
        <w:rPr>
          <w:i/>
          <w:spacing w:val="-5"/>
          <w:position w:val="-5"/>
          <w:sz w:val="18"/>
        </w:rPr>
        <w:t>Id.</w:t>
      </w:r>
    </w:p>
    <w:p>
      <w:pPr>
        <w:spacing w:before="0"/>
        <w:ind w:left="320" w:right="111" w:firstLine="0"/>
        <w:jc w:val="left"/>
        <w:rPr>
          <w:sz w:val="18"/>
        </w:rPr>
      </w:pPr>
      <w:r>
        <w:rPr>
          <w:sz w:val="18"/>
          <w:vertAlign w:val="superscript"/>
        </w:rPr>
        <w:t>163</w:t>
      </w:r>
      <w:r>
        <w:rPr>
          <w:spacing w:val="-2"/>
          <w:sz w:val="18"/>
          <w:vertAlign w:val="baseline"/>
        </w:rPr>
        <w:t> </w:t>
      </w:r>
      <w:r>
        <w:rPr>
          <w:sz w:val="18"/>
          <w:vertAlign w:val="baseline"/>
        </w:rPr>
        <w:t>Deborah</w:t>
      </w:r>
      <w:r>
        <w:rPr>
          <w:spacing w:val="-2"/>
          <w:sz w:val="18"/>
          <w:vertAlign w:val="baseline"/>
        </w:rPr>
        <w:t> </w:t>
      </w:r>
      <w:r>
        <w:rPr>
          <w:sz w:val="18"/>
          <w:vertAlign w:val="baseline"/>
        </w:rPr>
        <w:t>Becker.</w:t>
      </w:r>
      <w:r>
        <w:rPr>
          <w:spacing w:val="-2"/>
          <w:sz w:val="18"/>
          <w:vertAlign w:val="baseline"/>
        </w:rPr>
        <w:t> </w:t>
      </w:r>
      <w:r>
        <w:rPr>
          <w:sz w:val="18"/>
          <w:vertAlign w:val="baseline"/>
        </w:rPr>
        <w:t>2024.</w:t>
      </w:r>
      <w:r>
        <w:rPr>
          <w:spacing w:val="-2"/>
          <w:sz w:val="18"/>
          <w:vertAlign w:val="baseline"/>
        </w:rPr>
        <w:t> </w:t>
      </w:r>
      <w:r>
        <w:rPr>
          <w:sz w:val="18"/>
          <w:vertAlign w:val="baseline"/>
        </w:rPr>
        <w:t>WBUR,</w:t>
      </w:r>
      <w:r>
        <w:rPr>
          <w:spacing w:val="-3"/>
          <w:sz w:val="18"/>
          <w:vertAlign w:val="baseline"/>
        </w:rPr>
        <w:t> </w:t>
      </w:r>
      <w:r>
        <w:rPr>
          <w:sz w:val="18"/>
          <w:vertAlign w:val="baseline"/>
        </w:rPr>
        <w:t>“Adults</w:t>
      </w:r>
      <w:r>
        <w:rPr>
          <w:spacing w:val="-2"/>
          <w:sz w:val="18"/>
          <w:vertAlign w:val="baseline"/>
        </w:rPr>
        <w:t> </w:t>
      </w:r>
      <w:r>
        <w:rPr>
          <w:sz w:val="18"/>
          <w:vertAlign w:val="baseline"/>
        </w:rPr>
        <w:t>Younger</w:t>
      </w:r>
      <w:r>
        <w:rPr>
          <w:spacing w:val="-4"/>
          <w:sz w:val="18"/>
          <w:vertAlign w:val="baseline"/>
        </w:rPr>
        <w:t> </w:t>
      </w:r>
      <w:r>
        <w:rPr>
          <w:sz w:val="18"/>
          <w:vertAlign w:val="baseline"/>
        </w:rPr>
        <w:t>Than</w:t>
      </w:r>
      <w:r>
        <w:rPr>
          <w:spacing w:val="-2"/>
          <w:sz w:val="18"/>
          <w:vertAlign w:val="baseline"/>
        </w:rPr>
        <w:t> </w:t>
      </w:r>
      <w:r>
        <w:rPr>
          <w:sz w:val="18"/>
          <w:vertAlign w:val="baseline"/>
        </w:rPr>
        <w:t>21</w:t>
      </w:r>
      <w:r>
        <w:rPr>
          <w:spacing w:val="-2"/>
          <w:sz w:val="18"/>
          <w:vertAlign w:val="baseline"/>
        </w:rPr>
        <w:t> </w:t>
      </w:r>
      <w:r>
        <w:rPr>
          <w:sz w:val="18"/>
          <w:vertAlign w:val="baseline"/>
        </w:rPr>
        <w:t>Cannot</w:t>
      </w:r>
      <w:r>
        <w:rPr>
          <w:spacing w:val="-4"/>
          <w:sz w:val="18"/>
          <w:vertAlign w:val="baseline"/>
        </w:rPr>
        <w:t> </w:t>
      </w:r>
      <w:r>
        <w:rPr>
          <w:sz w:val="18"/>
          <w:vertAlign w:val="baseline"/>
        </w:rPr>
        <w:t>be</w:t>
      </w:r>
      <w:r>
        <w:rPr>
          <w:spacing w:val="-2"/>
          <w:sz w:val="18"/>
          <w:vertAlign w:val="baseline"/>
        </w:rPr>
        <w:t> </w:t>
      </w:r>
      <w:r>
        <w:rPr>
          <w:sz w:val="18"/>
          <w:vertAlign w:val="baseline"/>
        </w:rPr>
        <w:t>Sentenced</w:t>
      </w:r>
      <w:r>
        <w:rPr>
          <w:spacing w:val="-2"/>
          <w:sz w:val="18"/>
          <w:vertAlign w:val="baseline"/>
        </w:rPr>
        <w:t> </w:t>
      </w:r>
      <w:r>
        <w:rPr>
          <w:sz w:val="18"/>
          <w:vertAlign w:val="baseline"/>
        </w:rPr>
        <w:t>to</w:t>
      </w:r>
      <w:r>
        <w:rPr>
          <w:spacing w:val="-4"/>
          <w:sz w:val="18"/>
          <w:vertAlign w:val="baseline"/>
        </w:rPr>
        <w:t> </w:t>
      </w:r>
      <w:r>
        <w:rPr>
          <w:sz w:val="18"/>
          <w:vertAlign w:val="baseline"/>
        </w:rPr>
        <w:t>Life</w:t>
      </w:r>
      <w:r>
        <w:rPr>
          <w:spacing w:val="-2"/>
          <w:sz w:val="18"/>
          <w:vertAlign w:val="baseline"/>
        </w:rPr>
        <w:t> </w:t>
      </w:r>
      <w:r>
        <w:rPr>
          <w:sz w:val="18"/>
          <w:vertAlign w:val="baseline"/>
        </w:rPr>
        <w:t>Without</w:t>
      </w:r>
      <w:r>
        <w:rPr>
          <w:spacing w:val="-3"/>
          <w:sz w:val="18"/>
          <w:vertAlign w:val="baseline"/>
        </w:rPr>
        <w:t> </w:t>
      </w:r>
      <w:r>
        <w:rPr>
          <w:sz w:val="18"/>
          <w:vertAlign w:val="baseline"/>
        </w:rPr>
        <w:t>Parole,</w:t>
      </w:r>
      <w:r>
        <w:rPr>
          <w:spacing w:val="-3"/>
          <w:sz w:val="18"/>
          <w:vertAlign w:val="baseline"/>
        </w:rPr>
        <w:t> </w:t>
      </w:r>
      <w:r>
        <w:rPr>
          <w:sz w:val="18"/>
          <w:vertAlign w:val="baseline"/>
        </w:rPr>
        <w:t>Mass.</w:t>
      </w:r>
      <w:r>
        <w:rPr>
          <w:spacing w:val="-2"/>
          <w:sz w:val="18"/>
          <w:vertAlign w:val="baseline"/>
        </w:rPr>
        <w:t> </w:t>
      </w:r>
      <w:r>
        <w:rPr>
          <w:sz w:val="18"/>
          <w:vertAlign w:val="baseline"/>
        </w:rPr>
        <w:t>Supreme</w:t>
      </w:r>
      <w:r>
        <w:rPr>
          <w:spacing w:val="-2"/>
          <w:sz w:val="18"/>
          <w:vertAlign w:val="baseline"/>
        </w:rPr>
        <w:t> </w:t>
      </w:r>
      <w:r>
        <w:rPr>
          <w:sz w:val="18"/>
          <w:vertAlign w:val="baseline"/>
        </w:rPr>
        <w:t>Judicial Court Rules”, Updated January 11, 2024, https://</w:t>
      </w:r>
      <w:hyperlink r:id="rId537">
        <w:r>
          <w:rPr>
            <w:sz w:val="18"/>
            <w:vertAlign w:val="baseline"/>
          </w:rPr>
          <w:t>www.wbur.org/news/2024/01/11/life-without-parole-sentencing-young-</w:t>
        </w:r>
      </w:hyperlink>
      <w:r>
        <w:rPr>
          <w:sz w:val="18"/>
          <w:vertAlign w:val="baseline"/>
        </w:rPr>
        <w:t> </w:t>
      </w:r>
      <w:r>
        <w:rPr>
          <w:spacing w:val="-2"/>
          <w:sz w:val="18"/>
          <w:vertAlign w:val="baseline"/>
        </w:rPr>
        <w:t>adults-massachusetts-sjc-landmark-ruling.</w:t>
      </w:r>
    </w:p>
    <w:p>
      <w:pPr>
        <w:spacing w:line="219" w:lineRule="exact" w:before="0"/>
        <w:ind w:left="320" w:right="0" w:firstLine="0"/>
        <w:jc w:val="left"/>
        <w:rPr>
          <w:sz w:val="18"/>
        </w:rPr>
      </w:pPr>
      <w:r>
        <w:rPr>
          <w:sz w:val="18"/>
          <w:vertAlign w:val="superscript"/>
        </w:rPr>
        <w:t>164</w:t>
      </w:r>
      <w:r>
        <w:rPr>
          <w:spacing w:val="-5"/>
          <w:sz w:val="18"/>
          <w:vertAlign w:val="baseline"/>
        </w:rPr>
        <w:t> </w:t>
      </w:r>
      <w:r>
        <w:rPr>
          <w:i/>
          <w:sz w:val="18"/>
          <w:vertAlign w:val="baseline"/>
        </w:rPr>
        <w:t>Commonwealth</w:t>
      </w:r>
      <w:r>
        <w:rPr>
          <w:i/>
          <w:spacing w:val="-2"/>
          <w:sz w:val="18"/>
          <w:vertAlign w:val="baseline"/>
        </w:rPr>
        <w:t> </w:t>
      </w:r>
      <w:r>
        <w:rPr>
          <w:i/>
          <w:sz w:val="18"/>
          <w:vertAlign w:val="baseline"/>
        </w:rPr>
        <w:t>v.</w:t>
      </w:r>
      <w:r>
        <w:rPr>
          <w:i/>
          <w:spacing w:val="-2"/>
          <w:sz w:val="18"/>
          <w:vertAlign w:val="baseline"/>
        </w:rPr>
        <w:t> </w:t>
      </w:r>
      <w:r>
        <w:rPr>
          <w:i/>
          <w:sz w:val="18"/>
          <w:vertAlign w:val="baseline"/>
        </w:rPr>
        <w:t>Mattis</w:t>
      </w:r>
      <w:r>
        <w:rPr>
          <w:sz w:val="18"/>
          <w:vertAlign w:val="baseline"/>
        </w:rPr>
        <w:t>,</w:t>
      </w:r>
      <w:r>
        <w:rPr>
          <w:spacing w:val="-3"/>
          <w:sz w:val="18"/>
          <w:vertAlign w:val="baseline"/>
        </w:rPr>
        <w:t> </w:t>
      </w:r>
      <w:r>
        <w:rPr>
          <w:sz w:val="18"/>
          <w:vertAlign w:val="baseline"/>
        </w:rPr>
        <w:t>493</w:t>
      </w:r>
      <w:r>
        <w:rPr>
          <w:spacing w:val="-1"/>
          <w:sz w:val="18"/>
          <w:vertAlign w:val="baseline"/>
        </w:rPr>
        <w:t> </w:t>
      </w:r>
      <w:r>
        <w:rPr>
          <w:sz w:val="18"/>
          <w:vertAlign w:val="baseline"/>
        </w:rPr>
        <w:t>Mass.</w:t>
      </w:r>
      <w:r>
        <w:rPr>
          <w:spacing w:val="-3"/>
          <w:sz w:val="18"/>
          <w:vertAlign w:val="baseline"/>
        </w:rPr>
        <w:t> </w:t>
      </w:r>
      <w:r>
        <w:rPr>
          <w:sz w:val="18"/>
          <w:vertAlign w:val="baseline"/>
        </w:rPr>
        <w:t>216,</w:t>
      </w:r>
      <w:r>
        <w:rPr>
          <w:spacing w:val="-3"/>
          <w:sz w:val="18"/>
          <w:vertAlign w:val="baseline"/>
        </w:rPr>
        <w:t> </w:t>
      </w:r>
      <w:r>
        <w:rPr>
          <w:sz w:val="18"/>
          <w:vertAlign w:val="baseline"/>
        </w:rPr>
        <w:t>224</w:t>
      </w:r>
      <w:r>
        <w:rPr>
          <w:spacing w:val="-2"/>
          <w:sz w:val="18"/>
          <w:vertAlign w:val="baseline"/>
        </w:rPr>
        <w:t> </w:t>
      </w:r>
      <w:r>
        <w:rPr>
          <w:sz w:val="18"/>
          <w:vertAlign w:val="baseline"/>
        </w:rPr>
        <w:t>N.E.3d</w:t>
      </w:r>
      <w:r>
        <w:rPr>
          <w:spacing w:val="-2"/>
          <w:sz w:val="18"/>
          <w:vertAlign w:val="baseline"/>
        </w:rPr>
        <w:t> </w:t>
      </w:r>
      <w:r>
        <w:rPr>
          <w:sz w:val="18"/>
          <w:vertAlign w:val="baseline"/>
        </w:rPr>
        <w:t>410,</w:t>
      </w:r>
      <w:r>
        <w:rPr>
          <w:spacing w:val="-3"/>
          <w:sz w:val="18"/>
          <w:vertAlign w:val="baseline"/>
        </w:rPr>
        <w:t> </w:t>
      </w:r>
      <w:r>
        <w:rPr>
          <w:sz w:val="18"/>
          <w:vertAlign w:val="baseline"/>
        </w:rPr>
        <w:t>2024</w:t>
      </w:r>
      <w:r>
        <w:rPr>
          <w:spacing w:val="-2"/>
          <w:sz w:val="18"/>
          <w:vertAlign w:val="baseline"/>
        </w:rPr>
        <w:t> </w:t>
      </w:r>
      <w:r>
        <w:rPr>
          <w:sz w:val="18"/>
          <w:vertAlign w:val="baseline"/>
        </w:rPr>
        <w:t>Mass.</w:t>
      </w:r>
      <w:r>
        <w:rPr>
          <w:spacing w:val="-3"/>
          <w:sz w:val="18"/>
          <w:vertAlign w:val="baseline"/>
        </w:rPr>
        <w:t> </w:t>
      </w:r>
      <w:r>
        <w:rPr>
          <w:sz w:val="18"/>
          <w:vertAlign w:val="baseline"/>
        </w:rPr>
        <w:t>LEXIS</w:t>
      </w:r>
      <w:r>
        <w:rPr>
          <w:spacing w:val="-2"/>
          <w:sz w:val="18"/>
          <w:vertAlign w:val="baseline"/>
        </w:rPr>
        <w:t> </w:t>
      </w:r>
      <w:r>
        <w:rPr>
          <w:sz w:val="18"/>
          <w:vertAlign w:val="baseline"/>
        </w:rPr>
        <w:t>8</w:t>
      </w:r>
      <w:r>
        <w:rPr>
          <w:spacing w:val="-4"/>
          <w:sz w:val="18"/>
          <w:vertAlign w:val="baseline"/>
        </w:rPr>
        <w:t> </w:t>
      </w:r>
      <w:r>
        <w:rPr>
          <w:sz w:val="18"/>
          <w:vertAlign w:val="baseline"/>
        </w:rPr>
        <w:t>(Supreme</w:t>
      </w:r>
      <w:r>
        <w:rPr>
          <w:spacing w:val="-2"/>
          <w:sz w:val="18"/>
          <w:vertAlign w:val="baseline"/>
        </w:rPr>
        <w:t> </w:t>
      </w:r>
      <w:r>
        <w:rPr>
          <w:sz w:val="18"/>
          <w:vertAlign w:val="baseline"/>
        </w:rPr>
        <w:t>Judicial</w:t>
      </w:r>
      <w:r>
        <w:rPr>
          <w:spacing w:val="-3"/>
          <w:sz w:val="18"/>
          <w:vertAlign w:val="baseline"/>
        </w:rPr>
        <w:t> </w:t>
      </w:r>
      <w:r>
        <w:rPr>
          <w:sz w:val="18"/>
          <w:vertAlign w:val="baseline"/>
        </w:rPr>
        <w:t>Court</w:t>
      </w:r>
      <w:r>
        <w:rPr>
          <w:spacing w:val="-3"/>
          <w:sz w:val="18"/>
          <w:vertAlign w:val="baseline"/>
        </w:rPr>
        <w:t> </w:t>
      </w:r>
      <w:r>
        <w:rPr>
          <w:sz w:val="18"/>
          <w:vertAlign w:val="baseline"/>
        </w:rPr>
        <w:t>of</w:t>
      </w:r>
      <w:r>
        <w:rPr>
          <w:spacing w:val="-2"/>
          <w:sz w:val="18"/>
          <w:vertAlign w:val="baseline"/>
        </w:rPr>
        <w:t> Massachusetts</w:t>
      </w:r>
    </w:p>
    <w:p>
      <w:pPr>
        <w:spacing w:line="218" w:lineRule="exact" w:before="0"/>
        <w:ind w:left="320" w:right="0" w:firstLine="0"/>
        <w:jc w:val="left"/>
        <w:rPr>
          <w:sz w:val="18"/>
        </w:rPr>
      </w:pPr>
      <w:r>
        <w:rPr>
          <w:sz w:val="18"/>
        </w:rPr>
        <w:t>January</w:t>
      </w:r>
      <w:r>
        <w:rPr>
          <w:spacing w:val="-3"/>
          <w:sz w:val="18"/>
        </w:rPr>
        <w:t> </w:t>
      </w:r>
      <w:r>
        <w:rPr>
          <w:sz w:val="18"/>
        </w:rPr>
        <w:t>11,</w:t>
      </w:r>
      <w:r>
        <w:rPr>
          <w:spacing w:val="-3"/>
          <w:sz w:val="18"/>
        </w:rPr>
        <w:t> </w:t>
      </w:r>
      <w:r>
        <w:rPr>
          <w:sz w:val="18"/>
        </w:rPr>
        <w:t>2024,</w:t>
      </w:r>
      <w:r>
        <w:rPr>
          <w:spacing w:val="-3"/>
          <w:sz w:val="18"/>
        </w:rPr>
        <w:t> </w:t>
      </w:r>
      <w:r>
        <w:rPr>
          <w:spacing w:val="-2"/>
          <w:sz w:val="18"/>
        </w:rPr>
        <w:t>Decided).</w:t>
      </w:r>
    </w:p>
    <w:p>
      <w:pPr>
        <w:spacing w:line="156" w:lineRule="auto" w:before="36"/>
        <w:ind w:left="320" w:right="0" w:firstLine="0"/>
        <w:jc w:val="left"/>
        <w:rPr>
          <w:i/>
          <w:sz w:val="18"/>
        </w:rPr>
      </w:pPr>
      <w:r>
        <w:rPr>
          <w:sz w:val="12"/>
        </w:rPr>
        <w:t>165</w:t>
      </w:r>
      <w:r>
        <w:rPr>
          <w:spacing w:val="13"/>
          <w:sz w:val="12"/>
        </w:rPr>
        <w:t> </w:t>
      </w:r>
      <w:r>
        <w:rPr>
          <w:i/>
          <w:spacing w:val="-5"/>
          <w:position w:val="-5"/>
          <w:sz w:val="18"/>
        </w:rPr>
        <w:t>Id.</w:t>
      </w:r>
    </w:p>
    <w:p>
      <w:pPr>
        <w:spacing w:before="37"/>
        <w:ind w:left="320" w:right="296" w:firstLine="0"/>
        <w:jc w:val="left"/>
        <w:rPr>
          <w:sz w:val="18"/>
        </w:rPr>
      </w:pPr>
      <w:r>
        <w:rPr>
          <w:sz w:val="18"/>
          <w:vertAlign w:val="superscript"/>
        </w:rPr>
        <w:t>166</w:t>
      </w:r>
      <w:r>
        <w:rPr>
          <w:sz w:val="18"/>
          <w:vertAlign w:val="baseline"/>
        </w:rPr>
        <w:t> Massachusetts Office of Grants and Research, Executive Office of Public Safety and Research. 2024. “Healey-Driscoll Administration Awards Nearly $6.5 Million in Grants to Reduce Recidivism Among Young Adults”, February 8, 2024, </w:t>
      </w:r>
      <w:r>
        <w:rPr>
          <w:spacing w:val="-2"/>
          <w:sz w:val="18"/>
          <w:vertAlign w:val="baseline"/>
        </w:rPr>
        <w:t>https:</w:t>
      </w:r>
      <w:hyperlink r:id="rId538">
        <w:r>
          <w:rPr>
            <w:spacing w:val="-2"/>
            <w:sz w:val="18"/>
            <w:vertAlign w:val="baseline"/>
          </w:rPr>
          <w:t>//www.mass.gov/news/healey-driscoll-administration-awards-nearly-65-million-in-grants-to-reduce-recidivism-among-</w:t>
        </w:r>
      </w:hyperlink>
      <w:r>
        <w:rPr>
          <w:sz w:val="18"/>
          <w:vertAlign w:val="baseline"/>
        </w:rPr>
        <w:t> </w:t>
      </w:r>
      <w:r>
        <w:rPr>
          <w:spacing w:val="-2"/>
          <w:sz w:val="18"/>
          <w:vertAlign w:val="baseline"/>
        </w:rPr>
        <w:t>young-adults.</w:t>
      </w:r>
    </w:p>
    <w:p>
      <w:pPr>
        <w:spacing w:line="156" w:lineRule="auto" w:before="37"/>
        <w:ind w:left="320" w:right="0" w:firstLine="0"/>
        <w:jc w:val="left"/>
        <w:rPr>
          <w:i/>
          <w:sz w:val="18"/>
        </w:rPr>
      </w:pPr>
      <w:r>
        <w:rPr>
          <w:sz w:val="12"/>
        </w:rPr>
        <w:t>167</w:t>
      </w:r>
      <w:r>
        <w:rPr>
          <w:spacing w:val="13"/>
          <w:sz w:val="12"/>
        </w:rPr>
        <w:t> </w:t>
      </w:r>
      <w:r>
        <w:rPr>
          <w:i/>
          <w:spacing w:val="-5"/>
          <w:position w:val="-5"/>
          <w:sz w:val="18"/>
        </w:rPr>
        <w:t>Id.</w:t>
      </w:r>
    </w:p>
    <w:p>
      <w:pPr>
        <w:spacing w:line="158" w:lineRule="auto" w:before="71"/>
        <w:ind w:left="320" w:right="0" w:firstLine="0"/>
        <w:jc w:val="left"/>
        <w:rPr>
          <w:i/>
          <w:sz w:val="18"/>
        </w:rPr>
      </w:pPr>
      <w:r>
        <w:rPr>
          <w:sz w:val="12"/>
        </w:rPr>
        <w:t>168</w:t>
      </w:r>
      <w:r>
        <w:rPr>
          <w:spacing w:val="13"/>
          <w:sz w:val="12"/>
        </w:rPr>
        <w:t> </w:t>
      </w:r>
      <w:r>
        <w:rPr>
          <w:i/>
          <w:spacing w:val="-5"/>
          <w:position w:val="-5"/>
          <w:sz w:val="18"/>
        </w:rPr>
        <w:t>Id.</w:t>
      </w:r>
    </w:p>
    <w:p>
      <w:pPr>
        <w:spacing w:before="33"/>
        <w:ind w:left="320" w:right="0" w:firstLine="0"/>
        <w:jc w:val="both"/>
        <w:rPr>
          <w:i/>
          <w:sz w:val="18"/>
        </w:rPr>
      </w:pPr>
      <w:r>
        <w:rPr>
          <w:sz w:val="12"/>
        </w:rPr>
        <w:t>169</w:t>
      </w:r>
      <w:r>
        <w:rPr>
          <w:spacing w:val="13"/>
          <w:sz w:val="12"/>
        </w:rPr>
        <w:t> </w:t>
      </w:r>
      <w:r>
        <w:rPr>
          <w:i/>
          <w:spacing w:val="-5"/>
          <w:position w:val="-5"/>
          <w:sz w:val="18"/>
        </w:rPr>
        <w:t>Id.</w:t>
      </w:r>
    </w:p>
    <w:p>
      <w:pPr>
        <w:spacing w:before="0"/>
        <w:ind w:left="320" w:right="225" w:hanging="1"/>
        <w:jc w:val="both"/>
        <w:rPr>
          <w:sz w:val="18"/>
        </w:rPr>
      </w:pPr>
      <w:r>
        <w:rPr>
          <w:sz w:val="18"/>
          <w:vertAlign w:val="superscript"/>
        </w:rPr>
        <w:t>170</w:t>
      </w:r>
      <w:r>
        <w:rPr>
          <w:spacing w:val="-2"/>
          <w:sz w:val="18"/>
          <w:vertAlign w:val="baseline"/>
        </w:rPr>
        <w:t> </w:t>
      </w:r>
      <w:r>
        <w:rPr>
          <w:sz w:val="18"/>
          <w:vertAlign w:val="baseline"/>
        </w:rPr>
        <w:t>Governor</w:t>
      </w:r>
      <w:r>
        <w:rPr>
          <w:spacing w:val="-3"/>
          <w:sz w:val="18"/>
          <w:vertAlign w:val="baseline"/>
        </w:rPr>
        <w:t> </w:t>
      </w:r>
      <w:r>
        <w:rPr>
          <w:sz w:val="18"/>
          <w:vertAlign w:val="baseline"/>
        </w:rPr>
        <w:t>Maura</w:t>
      </w:r>
      <w:r>
        <w:rPr>
          <w:spacing w:val="-2"/>
          <w:sz w:val="18"/>
          <w:vertAlign w:val="baseline"/>
        </w:rPr>
        <w:t> </w:t>
      </w:r>
      <w:r>
        <w:rPr>
          <w:sz w:val="18"/>
          <w:vertAlign w:val="baseline"/>
        </w:rPr>
        <w:t>Healey</w:t>
      </w:r>
      <w:r>
        <w:rPr>
          <w:spacing w:val="-2"/>
          <w:sz w:val="18"/>
          <w:vertAlign w:val="baseline"/>
        </w:rPr>
        <w:t> </w:t>
      </w:r>
      <w:r>
        <w:rPr>
          <w:sz w:val="18"/>
          <w:vertAlign w:val="baseline"/>
        </w:rPr>
        <w:t>and</w:t>
      </w:r>
      <w:r>
        <w:rPr>
          <w:spacing w:val="-2"/>
          <w:sz w:val="18"/>
          <w:vertAlign w:val="baseline"/>
        </w:rPr>
        <w:t> </w:t>
      </w:r>
      <w:r>
        <w:rPr>
          <w:sz w:val="18"/>
          <w:vertAlign w:val="baseline"/>
        </w:rPr>
        <w:t>Lt.</w:t>
      </w:r>
      <w:r>
        <w:rPr>
          <w:spacing w:val="-3"/>
          <w:sz w:val="18"/>
          <w:vertAlign w:val="baseline"/>
        </w:rPr>
        <w:t> </w:t>
      </w:r>
      <w:r>
        <w:rPr>
          <w:sz w:val="18"/>
          <w:vertAlign w:val="baseline"/>
        </w:rPr>
        <w:t>Governor</w:t>
      </w:r>
      <w:r>
        <w:rPr>
          <w:spacing w:val="-3"/>
          <w:sz w:val="18"/>
          <w:vertAlign w:val="baseline"/>
        </w:rPr>
        <w:t> </w:t>
      </w:r>
      <w:r>
        <w:rPr>
          <w:sz w:val="18"/>
          <w:vertAlign w:val="baseline"/>
        </w:rPr>
        <w:t>Kim</w:t>
      </w:r>
      <w:r>
        <w:rPr>
          <w:spacing w:val="-2"/>
          <w:sz w:val="18"/>
          <w:vertAlign w:val="baseline"/>
        </w:rPr>
        <w:t> </w:t>
      </w:r>
      <w:r>
        <w:rPr>
          <w:sz w:val="18"/>
          <w:vertAlign w:val="baseline"/>
        </w:rPr>
        <w:t>Driscoll.</w:t>
      </w:r>
      <w:r>
        <w:rPr>
          <w:spacing w:val="-2"/>
          <w:sz w:val="18"/>
          <w:vertAlign w:val="baseline"/>
        </w:rPr>
        <w:t> </w:t>
      </w:r>
      <w:r>
        <w:rPr>
          <w:sz w:val="18"/>
          <w:vertAlign w:val="baseline"/>
        </w:rPr>
        <w:t>2024.</w:t>
      </w:r>
      <w:r>
        <w:rPr>
          <w:spacing w:val="-2"/>
          <w:sz w:val="18"/>
          <w:vertAlign w:val="baseline"/>
        </w:rPr>
        <w:t> </w:t>
      </w:r>
      <w:r>
        <w:rPr>
          <w:sz w:val="18"/>
          <w:vertAlign w:val="baseline"/>
        </w:rPr>
        <w:t>“Governor</w:t>
      </w:r>
      <w:r>
        <w:rPr>
          <w:spacing w:val="-3"/>
          <w:sz w:val="18"/>
          <w:vertAlign w:val="baseline"/>
        </w:rPr>
        <w:t> </w:t>
      </w:r>
      <w:r>
        <w:rPr>
          <w:sz w:val="18"/>
          <w:vertAlign w:val="baseline"/>
        </w:rPr>
        <w:t>Healey</w:t>
      </w:r>
      <w:r>
        <w:rPr>
          <w:spacing w:val="-2"/>
          <w:sz w:val="18"/>
          <w:vertAlign w:val="baseline"/>
        </w:rPr>
        <w:t> </w:t>
      </w:r>
      <w:r>
        <w:rPr>
          <w:sz w:val="18"/>
          <w:vertAlign w:val="baseline"/>
        </w:rPr>
        <w:t>Announces</w:t>
      </w:r>
      <w:r>
        <w:rPr>
          <w:spacing w:val="-2"/>
          <w:sz w:val="18"/>
          <w:vertAlign w:val="baseline"/>
        </w:rPr>
        <w:t> </w:t>
      </w:r>
      <w:r>
        <w:rPr>
          <w:sz w:val="18"/>
          <w:vertAlign w:val="baseline"/>
        </w:rPr>
        <w:t>Nation-Leading</w:t>
      </w:r>
      <w:r>
        <w:rPr>
          <w:spacing w:val="-2"/>
          <w:sz w:val="18"/>
          <w:vertAlign w:val="baseline"/>
        </w:rPr>
        <w:t> </w:t>
      </w:r>
      <w:r>
        <w:rPr>
          <w:sz w:val="18"/>
          <w:vertAlign w:val="baseline"/>
        </w:rPr>
        <w:t>Effort</w:t>
      </w:r>
      <w:r>
        <w:rPr>
          <w:spacing w:val="-4"/>
          <w:sz w:val="18"/>
          <w:vertAlign w:val="baseline"/>
        </w:rPr>
        <w:t> </w:t>
      </w:r>
      <w:r>
        <w:rPr>
          <w:sz w:val="18"/>
          <w:vertAlign w:val="baseline"/>
        </w:rPr>
        <w:t>to</w:t>
      </w:r>
      <w:r>
        <w:rPr>
          <w:spacing w:val="-2"/>
          <w:sz w:val="18"/>
          <w:vertAlign w:val="baseline"/>
        </w:rPr>
        <w:t> </w:t>
      </w:r>
      <w:r>
        <w:rPr>
          <w:sz w:val="18"/>
          <w:vertAlign w:val="baseline"/>
        </w:rPr>
        <w:t>Pardon Marijuana</w:t>
      </w:r>
      <w:r>
        <w:rPr>
          <w:spacing w:val="-5"/>
          <w:sz w:val="18"/>
          <w:vertAlign w:val="baseline"/>
        </w:rPr>
        <w:t> </w:t>
      </w:r>
      <w:r>
        <w:rPr>
          <w:sz w:val="18"/>
          <w:vertAlign w:val="baseline"/>
        </w:rPr>
        <w:t>Possession</w:t>
      </w:r>
      <w:r>
        <w:rPr>
          <w:spacing w:val="-5"/>
          <w:sz w:val="18"/>
          <w:vertAlign w:val="baseline"/>
        </w:rPr>
        <w:t> </w:t>
      </w:r>
      <w:r>
        <w:rPr>
          <w:sz w:val="18"/>
          <w:vertAlign w:val="baseline"/>
        </w:rPr>
        <w:t>Misdemeanor</w:t>
      </w:r>
      <w:r>
        <w:rPr>
          <w:spacing w:val="-6"/>
          <w:sz w:val="18"/>
          <w:vertAlign w:val="baseline"/>
        </w:rPr>
        <w:t> </w:t>
      </w:r>
      <w:r>
        <w:rPr>
          <w:sz w:val="18"/>
          <w:vertAlign w:val="baseline"/>
        </w:rPr>
        <w:t>Convictions”,</w:t>
      </w:r>
      <w:r>
        <w:rPr>
          <w:spacing w:val="-6"/>
          <w:sz w:val="18"/>
          <w:vertAlign w:val="baseline"/>
        </w:rPr>
        <w:t> </w:t>
      </w:r>
      <w:r>
        <w:rPr>
          <w:sz w:val="18"/>
          <w:vertAlign w:val="baseline"/>
        </w:rPr>
        <w:t>March</w:t>
      </w:r>
      <w:r>
        <w:rPr>
          <w:spacing w:val="-5"/>
          <w:sz w:val="18"/>
          <w:vertAlign w:val="baseline"/>
        </w:rPr>
        <w:t> </w:t>
      </w:r>
      <w:r>
        <w:rPr>
          <w:sz w:val="18"/>
          <w:vertAlign w:val="baseline"/>
        </w:rPr>
        <w:t>13,</w:t>
      </w:r>
      <w:r>
        <w:rPr>
          <w:spacing w:val="-6"/>
          <w:sz w:val="18"/>
          <w:vertAlign w:val="baseline"/>
        </w:rPr>
        <w:t> </w:t>
      </w:r>
      <w:r>
        <w:rPr>
          <w:sz w:val="18"/>
          <w:vertAlign w:val="baseline"/>
        </w:rPr>
        <w:t>2024,</w:t>
      </w:r>
      <w:r>
        <w:rPr>
          <w:spacing w:val="-6"/>
          <w:sz w:val="18"/>
          <w:vertAlign w:val="baseline"/>
        </w:rPr>
        <w:t> </w:t>
      </w:r>
      <w:r>
        <w:rPr>
          <w:sz w:val="18"/>
          <w:vertAlign w:val="baseline"/>
        </w:rPr>
        <w:t>https:</w:t>
      </w:r>
      <w:hyperlink r:id="rId539">
        <w:r>
          <w:rPr>
            <w:sz w:val="18"/>
            <w:vertAlign w:val="baseline"/>
          </w:rPr>
          <w:t>//www.mass.gov/news/governor-healey-announces-</w:t>
        </w:r>
      </w:hyperlink>
      <w:r>
        <w:rPr>
          <w:sz w:val="18"/>
          <w:vertAlign w:val="baseline"/>
        </w:rPr>
        <w:t> </w:t>
      </w:r>
      <w:r>
        <w:rPr>
          <w:spacing w:val="-2"/>
          <w:sz w:val="18"/>
          <w:vertAlign w:val="baseline"/>
        </w:rPr>
        <w:t>nation-leading-effort-to-pardon-marijuana-possession-misdemeanor-convictions.</w:t>
      </w:r>
    </w:p>
    <w:p>
      <w:pPr>
        <w:spacing w:before="0"/>
        <w:ind w:left="320" w:right="1239" w:firstLine="0"/>
        <w:jc w:val="both"/>
        <w:rPr>
          <w:sz w:val="18"/>
        </w:rPr>
      </w:pPr>
      <w:r>
        <w:rPr>
          <w:sz w:val="18"/>
          <w:vertAlign w:val="superscript"/>
        </w:rPr>
        <w:t>171</w:t>
      </w:r>
      <w:r>
        <w:rPr>
          <w:spacing w:val="-2"/>
          <w:sz w:val="18"/>
          <w:vertAlign w:val="baseline"/>
        </w:rPr>
        <w:t> </w:t>
      </w:r>
      <w:r>
        <w:rPr>
          <w:sz w:val="18"/>
          <w:vertAlign w:val="baseline"/>
        </w:rPr>
        <w:t>Doran,</w:t>
      </w:r>
      <w:r>
        <w:rPr>
          <w:spacing w:val="-3"/>
          <w:sz w:val="18"/>
          <w:vertAlign w:val="baseline"/>
        </w:rPr>
        <w:t> </w:t>
      </w:r>
      <w:r>
        <w:rPr>
          <w:sz w:val="18"/>
          <w:vertAlign w:val="baseline"/>
        </w:rPr>
        <w:t>Sam.</w:t>
      </w:r>
      <w:r>
        <w:rPr>
          <w:spacing w:val="-2"/>
          <w:sz w:val="18"/>
          <w:vertAlign w:val="baseline"/>
        </w:rPr>
        <w:t> </w:t>
      </w:r>
      <w:r>
        <w:rPr>
          <w:sz w:val="18"/>
          <w:vertAlign w:val="baseline"/>
        </w:rPr>
        <w:t>WBUR.</w:t>
      </w:r>
      <w:r>
        <w:rPr>
          <w:spacing w:val="-2"/>
          <w:sz w:val="18"/>
          <w:vertAlign w:val="baseline"/>
        </w:rPr>
        <w:t> </w:t>
      </w:r>
      <w:r>
        <w:rPr>
          <w:sz w:val="18"/>
          <w:vertAlign w:val="baseline"/>
        </w:rPr>
        <w:t>2024.</w:t>
      </w:r>
      <w:r>
        <w:rPr>
          <w:spacing w:val="-2"/>
          <w:sz w:val="18"/>
          <w:vertAlign w:val="baseline"/>
        </w:rPr>
        <w:t> </w:t>
      </w:r>
      <w:r>
        <w:rPr>
          <w:sz w:val="18"/>
          <w:vertAlign w:val="baseline"/>
        </w:rPr>
        <w:t>“Council</w:t>
      </w:r>
      <w:r>
        <w:rPr>
          <w:spacing w:val="-3"/>
          <w:sz w:val="18"/>
          <w:vertAlign w:val="baseline"/>
        </w:rPr>
        <w:t> </w:t>
      </w:r>
      <w:r>
        <w:rPr>
          <w:sz w:val="18"/>
          <w:vertAlign w:val="baseline"/>
        </w:rPr>
        <w:t>Approves</w:t>
      </w:r>
      <w:r>
        <w:rPr>
          <w:spacing w:val="-2"/>
          <w:sz w:val="18"/>
          <w:vertAlign w:val="baseline"/>
        </w:rPr>
        <w:t> </w:t>
      </w:r>
      <w:r>
        <w:rPr>
          <w:sz w:val="18"/>
          <w:vertAlign w:val="baseline"/>
        </w:rPr>
        <w:t>Blanket</w:t>
      </w:r>
      <w:r>
        <w:rPr>
          <w:spacing w:val="-3"/>
          <w:sz w:val="18"/>
          <w:vertAlign w:val="baseline"/>
        </w:rPr>
        <w:t> </w:t>
      </w:r>
      <w:r>
        <w:rPr>
          <w:sz w:val="18"/>
          <w:vertAlign w:val="baseline"/>
        </w:rPr>
        <w:t>Pardon</w:t>
      </w:r>
      <w:r>
        <w:rPr>
          <w:spacing w:val="-2"/>
          <w:sz w:val="18"/>
          <w:vertAlign w:val="baseline"/>
        </w:rPr>
        <w:t> </w:t>
      </w:r>
      <w:r>
        <w:rPr>
          <w:sz w:val="18"/>
          <w:vertAlign w:val="baseline"/>
        </w:rPr>
        <w:t>for</w:t>
      </w:r>
      <w:r>
        <w:rPr>
          <w:spacing w:val="-3"/>
          <w:sz w:val="18"/>
          <w:vertAlign w:val="baseline"/>
        </w:rPr>
        <w:t> </w:t>
      </w:r>
      <w:r>
        <w:rPr>
          <w:sz w:val="18"/>
          <w:vertAlign w:val="baseline"/>
        </w:rPr>
        <w:t>Cannabis</w:t>
      </w:r>
      <w:r>
        <w:rPr>
          <w:spacing w:val="-2"/>
          <w:sz w:val="18"/>
          <w:vertAlign w:val="baseline"/>
        </w:rPr>
        <w:t> </w:t>
      </w:r>
      <w:r>
        <w:rPr>
          <w:sz w:val="18"/>
          <w:vertAlign w:val="baseline"/>
        </w:rPr>
        <w:t>Possession</w:t>
      </w:r>
      <w:r>
        <w:rPr>
          <w:spacing w:val="-2"/>
          <w:sz w:val="18"/>
          <w:vertAlign w:val="baseline"/>
        </w:rPr>
        <w:t> </w:t>
      </w:r>
      <w:r>
        <w:rPr>
          <w:sz w:val="18"/>
          <w:vertAlign w:val="baseline"/>
        </w:rPr>
        <w:t>Charges”,</w:t>
      </w:r>
      <w:r>
        <w:rPr>
          <w:spacing w:val="-4"/>
          <w:sz w:val="18"/>
          <w:vertAlign w:val="baseline"/>
        </w:rPr>
        <w:t> </w:t>
      </w:r>
      <w:r>
        <w:rPr>
          <w:sz w:val="18"/>
          <w:vertAlign w:val="baseline"/>
        </w:rPr>
        <w:t>April</w:t>
      </w:r>
      <w:r>
        <w:rPr>
          <w:spacing w:val="-3"/>
          <w:sz w:val="18"/>
          <w:vertAlign w:val="baseline"/>
        </w:rPr>
        <w:t> </w:t>
      </w:r>
      <w:r>
        <w:rPr>
          <w:sz w:val="18"/>
          <w:vertAlign w:val="baseline"/>
        </w:rPr>
        <w:t>3,</w:t>
      </w:r>
      <w:r>
        <w:rPr>
          <w:spacing w:val="-3"/>
          <w:sz w:val="18"/>
          <w:vertAlign w:val="baseline"/>
        </w:rPr>
        <w:t> </w:t>
      </w:r>
      <w:r>
        <w:rPr>
          <w:sz w:val="18"/>
          <w:vertAlign w:val="baseline"/>
        </w:rPr>
        <w:t>2024, </w:t>
      </w:r>
      <w:hyperlink r:id="rId540">
        <w:r>
          <w:rPr>
            <w:spacing w:val="-2"/>
            <w:sz w:val="18"/>
            <w:u w:val="single"/>
            <w:vertAlign w:val="baseline"/>
          </w:rPr>
          <w:t>https://www.wbur.org/news/2024/04/03/council-approves-blanket-pardon-for-cannabis-possession-charges</w:t>
        </w:r>
        <w:r>
          <w:rPr>
            <w:spacing w:val="-2"/>
            <w:sz w:val="18"/>
            <w:u w:val="none"/>
            <w:vertAlign w:val="baseline"/>
          </w:rPr>
          <w:t>.</w:t>
        </w:r>
      </w:hyperlink>
    </w:p>
    <w:p>
      <w:pPr>
        <w:spacing w:before="1"/>
        <w:ind w:left="320" w:right="225" w:hanging="1"/>
        <w:jc w:val="both"/>
        <w:rPr>
          <w:sz w:val="18"/>
        </w:rPr>
      </w:pPr>
      <w:r>
        <w:rPr>
          <w:sz w:val="18"/>
          <w:vertAlign w:val="superscript"/>
        </w:rPr>
        <w:t>172</w:t>
      </w:r>
      <w:r>
        <w:rPr>
          <w:spacing w:val="-2"/>
          <w:sz w:val="18"/>
          <w:vertAlign w:val="baseline"/>
        </w:rPr>
        <w:t> </w:t>
      </w:r>
      <w:r>
        <w:rPr>
          <w:sz w:val="18"/>
          <w:vertAlign w:val="baseline"/>
        </w:rPr>
        <w:t>Governor</w:t>
      </w:r>
      <w:r>
        <w:rPr>
          <w:spacing w:val="-3"/>
          <w:sz w:val="18"/>
          <w:vertAlign w:val="baseline"/>
        </w:rPr>
        <w:t> </w:t>
      </w:r>
      <w:r>
        <w:rPr>
          <w:sz w:val="18"/>
          <w:vertAlign w:val="baseline"/>
        </w:rPr>
        <w:t>Maura</w:t>
      </w:r>
      <w:r>
        <w:rPr>
          <w:spacing w:val="-2"/>
          <w:sz w:val="18"/>
          <w:vertAlign w:val="baseline"/>
        </w:rPr>
        <w:t> </w:t>
      </w:r>
      <w:r>
        <w:rPr>
          <w:sz w:val="18"/>
          <w:vertAlign w:val="baseline"/>
        </w:rPr>
        <w:t>Healey</w:t>
      </w:r>
      <w:r>
        <w:rPr>
          <w:spacing w:val="-2"/>
          <w:sz w:val="18"/>
          <w:vertAlign w:val="baseline"/>
        </w:rPr>
        <w:t> </w:t>
      </w:r>
      <w:r>
        <w:rPr>
          <w:sz w:val="18"/>
          <w:vertAlign w:val="baseline"/>
        </w:rPr>
        <w:t>and</w:t>
      </w:r>
      <w:r>
        <w:rPr>
          <w:spacing w:val="-2"/>
          <w:sz w:val="18"/>
          <w:vertAlign w:val="baseline"/>
        </w:rPr>
        <w:t> </w:t>
      </w:r>
      <w:r>
        <w:rPr>
          <w:sz w:val="18"/>
          <w:vertAlign w:val="baseline"/>
        </w:rPr>
        <w:t>Lt.</w:t>
      </w:r>
      <w:r>
        <w:rPr>
          <w:spacing w:val="-3"/>
          <w:sz w:val="18"/>
          <w:vertAlign w:val="baseline"/>
        </w:rPr>
        <w:t> </w:t>
      </w:r>
      <w:r>
        <w:rPr>
          <w:sz w:val="18"/>
          <w:vertAlign w:val="baseline"/>
        </w:rPr>
        <w:t>Governor</w:t>
      </w:r>
      <w:r>
        <w:rPr>
          <w:spacing w:val="-3"/>
          <w:sz w:val="18"/>
          <w:vertAlign w:val="baseline"/>
        </w:rPr>
        <w:t> </w:t>
      </w:r>
      <w:r>
        <w:rPr>
          <w:sz w:val="18"/>
          <w:vertAlign w:val="baseline"/>
        </w:rPr>
        <w:t>Kim</w:t>
      </w:r>
      <w:r>
        <w:rPr>
          <w:spacing w:val="-2"/>
          <w:sz w:val="18"/>
          <w:vertAlign w:val="baseline"/>
        </w:rPr>
        <w:t> </w:t>
      </w:r>
      <w:r>
        <w:rPr>
          <w:sz w:val="18"/>
          <w:vertAlign w:val="baseline"/>
        </w:rPr>
        <w:t>Driscoll.</w:t>
      </w:r>
      <w:r>
        <w:rPr>
          <w:spacing w:val="-2"/>
          <w:sz w:val="18"/>
          <w:vertAlign w:val="baseline"/>
        </w:rPr>
        <w:t> </w:t>
      </w:r>
      <w:r>
        <w:rPr>
          <w:sz w:val="18"/>
          <w:vertAlign w:val="baseline"/>
        </w:rPr>
        <w:t>2024.</w:t>
      </w:r>
      <w:r>
        <w:rPr>
          <w:spacing w:val="-2"/>
          <w:sz w:val="18"/>
          <w:vertAlign w:val="baseline"/>
        </w:rPr>
        <w:t> </w:t>
      </w:r>
      <w:r>
        <w:rPr>
          <w:sz w:val="18"/>
          <w:vertAlign w:val="baseline"/>
        </w:rPr>
        <w:t>“Governor</w:t>
      </w:r>
      <w:r>
        <w:rPr>
          <w:spacing w:val="-3"/>
          <w:sz w:val="18"/>
          <w:vertAlign w:val="baseline"/>
        </w:rPr>
        <w:t> </w:t>
      </w:r>
      <w:r>
        <w:rPr>
          <w:sz w:val="18"/>
          <w:vertAlign w:val="baseline"/>
        </w:rPr>
        <w:t>Healey</w:t>
      </w:r>
      <w:r>
        <w:rPr>
          <w:spacing w:val="-2"/>
          <w:sz w:val="18"/>
          <w:vertAlign w:val="baseline"/>
        </w:rPr>
        <w:t> </w:t>
      </w:r>
      <w:r>
        <w:rPr>
          <w:sz w:val="18"/>
          <w:vertAlign w:val="baseline"/>
        </w:rPr>
        <w:t>Announces</w:t>
      </w:r>
      <w:r>
        <w:rPr>
          <w:spacing w:val="-2"/>
          <w:sz w:val="18"/>
          <w:vertAlign w:val="baseline"/>
        </w:rPr>
        <w:t> </w:t>
      </w:r>
      <w:r>
        <w:rPr>
          <w:sz w:val="18"/>
          <w:vertAlign w:val="baseline"/>
        </w:rPr>
        <w:t>Nation-Leading</w:t>
      </w:r>
      <w:r>
        <w:rPr>
          <w:spacing w:val="-2"/>
          <w:sz w:val="18"/>
          <w:vertAlign w:val="baseline"/>
        </w:rPr>
        <w:t> </w:t>
      </w:r>
      <w:r>
        <w:rPr>
          <w:sz w:val="18"/>
          <w:vertAlign w:val="baseline"/>
        </w:rPr>
        <w:t>Effort</w:t>
      </w:r>
      <w:r>
        <w:rPr>
          <w:spacing w:val="-4"/>
          <w:sz w:val="18"/>
          <w:vertAlign w:val="baseline"/>
        </w:rPr>
        <w:t> </w:t>
      </w:r>
      <w:r>
        <w:rPr>
          <w:sz w:val="18"/>
          <w:vertAlign w:val="baseline"/>
        </w:rPr>
        <w:t>to</w:t>
      </w:r>
      <w:r>
        <w:rPr>
          <w:spacing w:val="-2"/>
          <w:sz w:val="18"/>
          <w:vertAlign w:val="baseline"/>
        </w:rPr>
        <w:t> </w:t>
      </w:r>
      <w:r>
        <w:rPr>
          <w:sz w:val="18"/>
          <w:vertAlign w:val="baseline"/>
        </w:rPr>
        <w:t>Pardon Marijuana</w:t>
      </w:r>
      <w:r>
        <w:rPr>
          <w:spacing w:val="-5"/>
          <w:sz w:val="18"/>
          <w:vertAlign w:val="baseline"/>
        </w:rPr>
        <w:t> </w:t>
      </w:r>
      <w:r>
        <w:rPr>
          <w:sz w:val="18"/>
          <w:vertAlign w:val="baseline"/>
        </w:rPr>
        <w:t>Possession</w:t>
      </w:r>
      <w:r>
        <w:rPr>
          <w:spacing w:val="-5"/>
          <w:sz w:val="18"/>
          <w:vertAlign w:val="baseline"/>
        </w:rPr>
        <w:t> </w:t>
      </w:r>
      <w:r>
        <w:rPr>
          <w:sz w:val="18"/>
          <w:vertAlign w:val="baseline"/>
        </w:rPr>
        <w:t>Misdemeanor</w:t>
      </w:r>
      <w:r>
        <w:rPr>
          <w:spacing w:val="-6"/>
          <w:sz w:val="18"/>
          <w:vertAlign w:val="baseline"/>
        </w:rPr>
        <w:t> </w:t>
      </w:r>
      <w:r>
        <w:rPr>
          <w:sz w:val="18"/>
          <w:vertAlign w:val="baseline"/>
        </w:rPr>
        <w:t>Convictions”,</w:t>
      </w:r>
      <w:r>
        <w:rPr>
          <w:spacing w:val="-6"/>
          <w:sz w:val="18"/>
          <w:vertAlign w:val="baseline"/>
        </w:rPr>
        <w:t> </w:t>
      </w:r>
      <w:r>
        <w:rPr>
          <w:sz w:val="18"/>
          <w:vertAlign w:val="baseline"/>
        </w:rPr>
        <w:t>March</w:t>
      </w:r>
      <w:r>
        <w:rPr>
          <w:spacing w:val="-5"/>
          <w:sz w:val="18"/>
          <w:vertAlign w:val="baseline"/>
        </w:rPr>
        <w:t> </w:t>
      </w:r>
      <w:r>
        <w:rPr>
          <w:sz w:val="18"/>
          <w:vertAlign w:val="baseline"/>
        </w:rPr>
        <w:t>13,</w:t>
      </w:r>
      <w:r>
        <w:rPr>
          <w:spacing w:val="-6"/>
          <w:sz w:val="18"/>
          <w:vertAlign w:val="baseline"/>
        </w:rPr>
        <w:t> </w:t>
      </w:r>
      <w:r>
        <w:rPr>
          <w:sz w:val="18"/>
          <w:vertAlign w:val="baseline"/>
        </w:rPr>
        <w:t>2024,</w:t>
      </w:r>
      <w:r>
        <w:rPr>
          <w:spacing w:val="-6"/>
          <w:sz w:val="18"/>
          <w:vertAlign w:val="baseline"/>
        </w:rPr>
        <w:t> </w:t>
      </w:r>
      <w:r>
        <w:rPr>
          <w:sz w:val="18"/>
          <w:vertAlign w:val="baseline"/>
        </w:rPr>
        <w:t>https:</w:t>
      </w:r>
      <w:hyperlink r:id="rId539">
        <w:r>
          <w:rPr>
            <w:sz w:val="18"/>
            <w:vertAlign w:val="baseline"/>
          </w:rPr>
          <w:t>//www.mass.gov/news/governor-healey-announces-</w:t>
        </w:r>
      </w:hyperlink>
      <w:r>
        <w:rPr>
          <w:sz w:val="18"/>
          <w:vertAlign w:val="baseline"/>
        </w:rPr>
        <w:t> </w:t>
      </w:r>
      <w:r>
        <w:rPr>
          <w:spacing w:val="-2"/>
          <w:sz w:val="18"/>
          <w:vertAlign w:val="baseline"/>
        </w:rPr>
        <w:t>nation-leading-effort-to-pardon-marijuana-possession-misdemeanor-convictions.</w:t>
      </w:r>
    </w:p>
    <w:p>
      <w:pPr>
        <w:spacing w:line="153" w:lineRule="auto" w:before="35"/>
        <w:ind w:left="320" w:right="0" w:firstLine="0"/>
        <w:jc w:val="both"/>
        <w:rPr>
          <w:i/>
          <w:sz w:val="18"/>
        </w:rPr>
      </w:pPr>
      <w:r>
        <w:rPr>
          <w:sz w:val="12"/>
        </w:rPr>
        <w:t>173</w:t>
      </w:r>
      <w:r>
        <w:rPr>
          <w:spacing w:val="13"/>
          <w:sz w:val="12"/>
        </w:rPr>
        <w:t> </w:t>
      </w:r>
      <w:r>
        <w:rPr>
          <w:i/>
          <w:spacing w:val="-5"/>
          <w:position w:val="-5"/>
          <w:sz w:val="18"/>
        </w:rPr>
        <w:t>Id.</w:t>
      </w:r>
    </w:p>
    <w:p>
      <w:pPr>
        <w:spacing w:before="35"/>
        <w:ind w:left="320" w:right="0" w:firstLine="0"/>
        <w:jc w:val="both"/>
        <w:rPr>
          <w:i/>
          <w:sz w:val="18"/>
        </w:rPr>
      </w:pPr>
      <w:r>
        <w:rPr>
          <w:sz w:val="12"/>
        </w:rPr>
        <w:t>174</w:t>
      </w:r>
      <w:r>
        <w:rPr>
          <w:spacing w:val="13"/>
          <w:sz w:val="12"/>
        </w:rPr>
        <w:t> </w:t>
      </w:r>
      <w:r>
        <w:rPr>
          <w:i/>
          <w:spacing w:val="-5"/>
          <w:position w:val="-5"/>
          <w:sz w:val="18"/>
        </w:rPr>
        <w:t>Id.</w:t>
      </w:r>
    </w:p>
    <w:p>
      <w:pPr>
        <w:spacing w:before="0"/>
        <w:ind w:left="320" w:right="177" w:firstLine="0"/>
        <w:jc w:val="both"/>
        <w:rPr>
          <w:sz w:val="18"/>
        </w:rPr>
      </w:pPr>
      <w:r>
        <w:rPr>
          <w:sz w:val="18"/>
          <w:vertAlign w:val="superscript"/>
        </w:rPr>
        <w:t>175</w:t>
      </w:r>
      <w:r>
        <w:rPr>
          <w:spacing w:val="-2"/>
          <w:sz w:val="18"/>
          <w:vertAlign w:val="baseline"/>
        </w:rPr>
        <w:t> </w:t>
      </w:r>
      <w:r>
        <w:rPr>
          <w:sz w:val="18"/>
          <w:vertAlign w:val="baseline"/>
        </w:rPr>
        <w:t>The</w:t>
      </w:r>
      <w:r>
        <w:rPr>
          <w:spacing w:val="-2"/>
          <w:sz w:val="18"/>
          <w:vertAlign w:val="baseline"/>
        </w:rPr>
        <w:t> </w:t>
      </w:r>
      <w:r>
        <w:rPr>
          <w:sz w:val="18"/>
          <w:vertAlign w:val="baseline"/>
        </w:rPr>
        <w:t>Sentencing</w:t>
      </w:r>
      <w:r>
        <w:rPr>
          <w:spacing w:val="-2"/>
          <w:sz w:val="18"/>
          <w:vertAlign w:val="baseline"/>
        </w:rPr>
        <w:t> </w:t>
      </w:r>
      <w:r>
        <w:rPr>
          <w:sz w:val="18"/>
          <w:vertAlign w:val="baseline"/>
        </w:rPr>
        <w:t>Project:</w:t>
      </w:r>
      <w:r>
        <w:rPr>
          <w:spacing w:val="-2"/>
          <w:sz w:val="18"/>
          <w:vertAlign w:val="baseline"/>
        </w:rPr>
        <w:t> </w:t>
      </w:r>
      <w:r>
        <w:rPr>
          <w:sz w:val="18"/>
          <w:vertAlign w:val="baseline"/>
        </w:rPr>
        <w:t>Research</w:t>
      </w:r>
      <w:r>
        <w:rPr>
          <w:spacing w:val="-2"/>
          <w:sz w:val="18"/>
          <w:vertAlign w:val="baseline"/>
        </w:rPr>
        <w:t> </w:t>
      </w:r>
      <w:r>
        <w:rPr>
          <w:sz w:val="18"/>
          <w:vertAlign w:val="baseline"/>
        </w:rPr>
        <w:t>and</w:t>
      </w:r>
      <w:r>
        <w:rPr>
          <w:spacing w:val="-2"/>
          <w:sz w:val="18"/>
          <w:vertAlign w:val="baseline"/>
        </w:rPr>
        <w:t> </w:t>
      </w:r>
      <w:r>
        <w:rPr>
          <w:sz w:val="18"/>
          <w:vertAlign w:val="baseline"/>
        </w:rPr>
        <w:t>Advocacy</w:t>
      </w:r>
      <w:r>
        <w:rPr>
          <w:spacing w:val="-2"/>
          <w:sz w:val="18"/>
          <w:vertAlign w:val="baseline"/>
        </w:rPr>
        <w:t> </w:t>
      </w:r>
      <w:r>
        <w:rPr>
          <w:sz w:val="18"/>
          <w:vertAlign w:val="baseline"/>
        </w:rPr>
        <w:t>for</w:t>
      </w:r>
      <w:r>
        <w:rPr>
          <w:spacing w:val="-3"/>
          <w:sz w:val="18"/>
          <w:vertAlign w:val="baseline"/>
        </w:rPr>
        <w:t> </w:t>
      </w:r>
      <w:r>
        <w:rPr>
          <w:sz w:val="18"/>
          <w:vertAlign w:val="baseline"/>
        </w:rPr>
        <w:t>Reform.</w:t>
      </w:r>
      <w:r>
        <w:rPr>
          <w:spacing w:val="-2"/>
          <w:sz w:val="18"/>
          <w:vertAlign w:val="baseline"/>
        </w:rPr>
        <w:t> </w:t>
      </w:r>
      <w:r>
        <w:rPr>
          <w:sz w:val="18"/>
          <w:vertAlign w:val="baseline"/>
        </w:rPr>
        <w:t>2022.</w:t>
      </w:r>
      <w:r>
        <w:rPr>
          <w:spacing w:val="-2"/>
          <w:sz w:val="18"/>
          <w:vertAlign w:val="baseline"/>
        </w:rPr>
        <w:t> </w:t>
      </w:r>
      <w:r>
        <w:rPr>
          <w:sz w:val="18"/>
          <w:vertAlign w:val="baseline"/>
        </w:rPr>
        <w:t>“Why</w:t>
      </w:r>
      <w:r>
        <w:rPr>
          <w:spacing w:val="-2"/>
          <w:sz w:val="18"/>
          <w:vertAlign w:val="baseline"/>
        </w:rPr>
        <w:t> </w:t>
      </w:r>
      <w:r>
        <w:rPr>
          <w:sz w:val="18"/>
          <w:vertAlign w:val="baseline"/>
        </w:rPr>
        <w:t>Youth</w:t>
      </w:r>
      <w:r>
        <w:rPr>
          <w:spacing w:val="-2"/>
          <w:sz w:val="18"/>
          <w:vertAlign w:val="baseline"/>
        </w:rPr>
        <w:t> </w:t>
      </w:r>
      <w:r>
        <w:rPr>
          <w:sz w:val="18"/>
          <w:vertAlign w:val="baseline"/>
        </w:rPr>
        <w:t>Incarceration</w:t>
      </w:r>
      <w:r>
        <w:rPr>
          <w:spacing w:val="-2"/>
          <w:sz w:val="18"/>
          <w:vertAlign w:val="baseline"/>
        </w:rPr>
        <w:t> </w:t>
      </w:r>
      <w:r>
        <w:rPr>
          <w:sz w:val="18"/>
          <w:vertAlign w:val="baseline"/>
        </w:rPr>
        <w:t>Fails:</w:t>
      </w:r>
      <w:r>
        <w:rPr>
          <w:spacing w:val="-2"/>
          <w:sz w:val="18"/>
          <w:vertAlign w:val="baseline"/>
        </w:rPr>
        <w:t> </w:t>
      </w:r>
      <w:r>
        <w:rPr>
          <w:sz w:val="18"/>
          <w:vertAlign w:val="baseline"/>
        </w:rPr>
        <w:t>an</w:t>
      </w:r>
      <w:r>
        <w:rPr>
          <w:spacing w:val="-2"/>
          <w:sz w:val="18"/>
          <w:vertAlign w:val="baseline"/>
        </w:rPr>
        <w:t> </w:t>
      </w:r>
      <w:r>
        <w:rPr>
          <w:sz w:val="18"/>
          <w:vertAlign w:val="baseline"/>
        </w:rPr>
        <w:t>updated</w:t>
      </w:r>
      <w:r>
        <w:rPr>
          <w:spacing w:val="-2"/>
          <w:sz w:val="18"/>
          <w:vertAlign w:val="baseline"/>
        </w:rPr>
        <w:t> </w:t>
      </w:r>
      <w:r>
        <w:rPr>
          <w:sz w:val="18"/>
          <w:vertAlign w:val="baseline"/>
        </w:rPr>
        <w:t>review</w:t>
      </w:r>
      <w:r>
        <w:rPr>
          <w:spacing w:val="-3"/>
          <w:sz w:val="18"/>
          <w:vertAlign w:val="baseline"/>
        </w:rPr>
        <w:t> </w:t>
      </w:r>
      <w:r>
        <w:rPr>
          <w:sz w:val="18"/>
          <w:vertAlign w:val="baseline"/>
        </w:rPr>
        <w:t>of</w:t>
      </w:r>
      <w:r>
        <w:rPr>
          <w:spacing w:val="-2"/>
          <w:sz w:val="18"/>
          <w:vertAlign w:val="baseline"/>
        </w:rPr>
        <w:t> </w:t>
      </w:r>
      <w:r>
        <w:rPr>
          <w:sz w:val="18"/>
          <w:vertAlign w:val="baseline"/>
        </w:rPr>
        <w:t>the evidence”.</w:t>
      </w:r>
      <w:r>
        <w:rPr>
          <w:spacing w:val="-2"/>
          <w:sz w:val="18"/>
          <w:vertAlign w:val="baseline"/>
        </w:rPr>
        <w:t> </w:t>
      </w:r>
      <w:hyperlink r:id="rId541">
        <w:r>
          <w:rPr>
            <w:sz w:val="18"/>
            <w:u w:val="single"/>
            <w:vertAlign w:val="baseline"/>
          </w:rPr>
          <w:t>https://www.sentencingproject.org/app/uploads/2023/03/Why-Youth-Incarceration-Fails.pdf</w:t>
        </w:r>
      </w:hyperlink>
    </w:p>
    <w:p>
      <w:pPr>
        <w:spacing w:line="153" w:lineRule="auto" w:before="36"/>
        <w:ind w:left="320" w:right="0" w:firstLine="0"/>
        <w:jc w:val="both"/>
        <w:rPr>
          <w:i/>
          <w:sz w:val="18"/>
        </w:rPr>
      </w:pPr>
      <w:r>
        <w:rPr>
          <w:sz w:val="12"/>
        </w:rPr>
        <w:t>176</w:t>
      </w:r>
      <w:r>
        <w:rPr>
          <w:spacing w:val="13"/>
          <w:sz w:val="12"/>
        </w:rPr>
        <w:t> </w:t>
      </w:r>
      <w:r>
        <w:rPr>
          <w:i/>
          <w:spacing w:val="-5"/>
          <w:position w:val="-5"/>
          <w:sz w:val="18"/>
        </w:rPr>
        <w:t>Id.</w:t>
      </w:r>
    </w:p>
    <w:p>
      <w:pPr>
        <w:spacing w:before="38"/>
        <w:ind w:left="320" w:right="110" w:firstLine="0"/>
        <w:jc w:val="left"/>
        <w:rPr>
          <w:sz w:val="18"/>
        </w:rPr>
      </w:pPr>
      <w:r>
        <w:rPr>
          <w:sz w:val="18"/>
          <w:vertAlign w:val="superscript"/>
        </w:rPr>
        <w:t>177</w:t>
      </w:r>
      <w:r>
        <w:rPr>
          <w:sz w:val="18"/>
          <w:vertAlign w:val="baseline"/>
        </w:rPr>
        <w:t> Office of Juvenile Justice and Delinquency Prevention. 2024. “Diversion Programs Offer Treatment While Keeping Youth Out of</w:t>
      </w:r>
      <w:r>
        <w:rPr>
          <w:spacing w:val="-9"/>
          <w:sz w:val="18"/>
          <w:vertAlign w:val="baseline"/>
        </w:rPr>
        <w:t> </w:t>
      </w:r>
      <w:r>
        <w:rPr>
          <w:sz w:val="18"/>
          <w:vertAlign w:val="baseline"/>
        </w:rPr>
        <w:t>the</w:t>
      </w:r>
      <w:r>
        <w:rPr>
          <w:spacing w:val="-9"/>
          <w:sz w:val="18"/>
          <w:vertAlign w:val="baseline"/>
        </w:rPr>
        <w:t> </w:t>
      </w:r>
      <w:r>
        <w:rPr>
          <w:sz w:val="18"/>
          <w:vertAlign w:val="baseline"/>
        </w:rPr>
        <w:t>Justice</w:t>
      </w:r>
      <w:r>
        <w:rPr>
          <w:spacing w:val="-9"/>
          <w:sz w:val="18"/>
          <w:vertAlign w:val="baseline"/>
        </w:rPr>
        <w:t> </w:t>
      </w:r>
      <w:r>
        <w:rPr>
          <w:sz w:val="18"/>
          <w:vertAlign w:val="baseline"/>
        </w:rPr>
        <w:t>System”,</w:t>
      </w:r>
      <w:r>
        <w:rPr>
          <w:spacing w:val="-10"/>
          <w:sz w:val="18"/>
          <w:vertAlign w:val="baseline"/>
        </w:rPr>
        <w:t> </w:t>
      </w:r>
      <w:r>
        <w:rPr>
          <w:sz w:val="18"/>
          <w:vertAlign w:val="baseline"/>
        </w:rPr>
        <w:t>https://ojjdp.ojp.gov/newsletter/ojjdp-news-glance-february-2024/diversion-programs-offer-treatment- </w:t>
      </w:r>
      <w:r>
        <w:rPr>
          <w:spacing w:val="-2"/>
          <w:sz w:val="18"/>
          <w:vertAlign w:val="baseline"/>
        </w:rPr>
        <w:t>while-keeping-youth-out-justice-system.</w:t>
      </w:r>
    </w:p>
    <w:p>
      <w:pPr>
        <w:spacing w:before="1"/>
        <w:ind w:left="320" w:right="0" w:firstLine="0"/>
        <w:jc w:val="left"/>
        <w:rPr>
          <w:sz w:val="18"/>
        </w:rPr>
      </w:pPr>
      <w:r>
        <w:rPr>
          <w:sz w:val="18"/>
          <w:vertAlign w:val="superscript"/>
        </w:rPr>
        <w:t>178</w:t>
      </w:r>
      <w:r>
        <w:rPr>
          <w:spacing w:val="-4"/>
          <w:sz w:val="18"/>
          <w:vertAlign w:val="baseline"/>
        </w:rPr>
        <w:t> </w:t>
      </w:r>
      <w:r>
        <w:rPr>
          <w:sz w:val="18"/>
          <w:vertAlign w:val="baseline"/>
        </w:rPr>
        <w:t>JDAI</w:t>
      </w:r>
      <w:r>
        <w:rPr>
          <w:spacing w:val="-4"/>
          <w:sz w:val="18"/>
          <w:vertAlign w:val="baseline"/>
        </w:rPr>
        <w:t> </w:t>
      </w:r>
      <w:r>
        <w:rPr>
          <w:sz w:val="18"/>
          <w:vertAlign w:val="baseline"/>
        </w:rPr>
        <w:t>Diversion,</w:t>
      </w:r>
      <w:r>
        <w:rPr>
          <w:spacing w:val="-5"/>
          <w:sz w:val="18"/>
          <w:vertAlign w:val="baseline"/>
        </w:rPr>
        <w:t> </w:t>
      </w:r>
      <w:r>
        <w:rPr>
          <w:sz w:val="18"/>
          <w:vertAlign w:val="baseline"/>
        </w:rPr>
        <w:t>2024.</w:t>
      </w:r>
      <w:r>
        <w:rPr>
          <w:spacing w:val="-4"/>
          <w:sz w:val="18"/>
          <w:vertAlign w:val="baseline"/>
        </w:rPr>
        <w:t> </w:t>
      </w:r>
      <w:r>
        <w:rPr>
          <w:sz w:val="18"/>
          <w:vertAlign w:val="baseline"/>
        </w:rPr>
        <w:t>“Massachusetts</w:t>
      </w:r>
      <w:r>
        <w:rPr>
          <w:spacing w:val="-4"/>
          <w:sz w:val="18"/>
          <w:vertAlign w:val="baseline"/>
        </w:rPr>
        <w:t> </w:t>
      </w:r>
      <w:r>
        <w:rPr>
          <w:sz w:val="18"/>
          <w:vertAlign w:val="baseline"/>
        </w:rPr>
        <w:t>Youth</w:t>
      </w:r>
      <w:r>
        <w:rPr>
          <w:spacing w:val="-4"/>
          <w:sz w:val="18"/>
          <w:vertAlign w:val="baseline"/>
        </w:rPr>
        <w:t> </w:t>
      </w:r>
      <w:r>
        <w:rPr>
          <w:sz w:val="18"/>
          <w:vertAlign w:val="baseline"/>
        </w:rPr>
        <w:t>Diversion</w:t>
      </w:r>
      <w:r>
        <w:rPr>
          <w:spacing w:val="-4"/>
          <w:sz w:val="18"/>
          <w:vertAlign w:val="baseline"/>
        </w:rPr>
        <w:t> </w:t>
      </w:r>
      <w:r>
        <w:rPr>
          <w:sz w:val="18"/>
          <w:vertAlign w:val="baseline"/>
        </w:rPr>
        <w:t>Learning</w:t>
      </w:r>
      <w:r>
        <w:rPr>
          <w:spacing w:val="-5"/>
          <w:sz w:val="18"/>
          <w:vertAlign w:val="baseline"/>
        </w:rPr>
        <w:t> </w:t>
      </w:r>
      <w:r>
        <w:rPr>
          <w:sz w:val="18"/>
          <w:vertAlign w:val="baseline"/>
        </w:rPr>
        <w:t>Lab”,</w:t>
      </w:r>
      <w:r>
        <w:rPr>
          <w:spacing w:val="-5"/>
          <w:sz w:val="18"/>
          <w:vertAlign w:val="baseline"/>
        </w:rPr>
        <w:t> </w:t>
      </w:r>
      <w:hyperlink r:id="rId542">
        <w:r>
          <w:rPr>
            <w:color w:val="0000FF"/>
            <w:sz w:val="18"/>
            <w:u w:val="single" w:color="0000FF"/>
            <w:vertAlign w:val="baseline"/>
          </w:rPr>
          <w:t>https://www.mass.gov/info-details/jdai-diversion</w:t>
        </w:r>
        <w:r>
          <w:rPr>
            <w:sz w:val="18"/>
            <w:u w:val="none"/>
            <w:vertAlign w:val="baseline"/>
          </w:rPr>
          <w:t>,</w:t>
        </w:r>
      </w:hyperlink>
      <w:r>
        <w:rPr>
          <w:sz w:val="18"/>
          <w:u w:val="none"/>
          <w:vertAlign w:val="baseline"/>
        </w:rPr>
        <w:t> Accessed April 17, 2024.</w:t>
      </w:r>
    </w:p>
    <w:p>
      <w:pPr>
        <w:spacing w:line="153" w:lineRule="auto" w:before="35"/>
        <w:ind w:left="320" w:right="0" w:firstLine="0"/>
        <w:jc w:val="left"/>
        <w:rPr>
          <w:i/>
          <w:sz w:val="18"/>
        </w:rPr>
      </w:pPr>
      <w:r>
        <w:rPr>
          <w:sz w:val="12"/>
        </w:rPr>
        <w:t>179</w:t>
      </w:r>
      <w:r>
        <w:rPr>
          <w:spacing w:val="13"/>
          <w:sz w:val="12"/>
        </w:rPr>
        <w:t> </w:t>
      </w:r>
      <w:r>
        <w:rPr>
          <w:i/>
          <w:spacing w:val="-5"/>
          <w:position w:val="-5"/>
          <w:sz w:val="18"/>
        </w:rPr>
        <w:t>Id.</w:t>
      </w:r>
    </w:p>
    <w:p>
      <w:pPr>
        <w:spacing w:after="0" w:line="153" w:lineRule="auto"/>
        <w:jc w:val="left"/>
        <w:rPr>
          <w:sz w:val="18"/>
        </w:rPr>
        <w:sectPr>
          <w:pgSz w:w="12240" w:h="15840"/>
          <w:pgMar w:header="763" w:footer="1041" w:top="1360" w:bottom="1240" w:left="1120" w:right="1340"/>
        </w:sectPr>
      </w:pPr>
    </w:p>
    <w:p>
      <w:pPr>
        <w:pStyle w:val="BodyText"/>
        <w:rPr>
          <w:i/>
          <w:sz w:val="12"/>
        </w:rPr>
      </w:pPr>
    </w:p>
    <w:p>
      <w:pPr>
        <w:pStyle w:val="BodyText"/>
        <w:spacing w:before="51"/>
        <w:rPr>
          <w:i/>
          <w:sz w:val="12"/>
        </w:rPr>
      </w:pPr>
    </w:p>
    <w:p>
      <w:pPr>
        <w:spacing w:line="158" w:lineRule="auto" w:before="0"/>
        <w:ind w:left="320" w:right="0" w:firstLine="0"/>
        <w:jc w:val="left"/>
        <w:rPr>
          <w:i/>
          <w:sz w:val="18"/>
        </w:rPr>
      </w:pPr>
      <w:r>
        <w:rPr>
          <w:sz w:val="12"/>
        </w:rPr>
        <w:t>180</w:t>
      </w:r>
      <w:r>
        <w:rPr>
          <w:spacing w:val="13"/>
          <w:sz w:val="12"/>
        </w:rPr>
        <w:t> </w:t>
      </w:r>
      <w:r>
        <w:rPr>
          <w:i/>
          <w:spacing w:val="-5"/>
          <w:position w:val="-5"/>
          <w:sz w:val="18"/>
        </w:rPr>
        <w:t>Id.</w:t>
      </w:r>
    </w:p>
    <w:p>
      <w:pPr>
        <w:spacing w:line="158" w:lineRule="auto" w:before="70"/>
        <w:ind w:left="320" w:right="0" w:firstLine="0"/>
        <w:jc w:val="left"/>
        <w:rPr>
          <w:i/>
          <w:sz w:val="18"/>
        </w:rPr>
      </w:pPr>
      <w:r>
        <w:rPr>
          <w:sz w:val="12"/>
        </w:rPr>
        <w:t>181</w:t>
      </w:r>
      <w:r>
        <w:rPr>
          <w:spacing w:val="13"/>
          <w:sz w:val="12"/>
        </w:rPr>
        <w:t> </w:t>
      </w:r>
      <w:r>
        <w:rPr>
          <w:i/>
          <w:spacing w:val="-5"/>
          <w:position w:val="-5"/>
          <w:sz w:val="18"/>
        </w:rPr>
        <w:t>Id.</w:t>
      </w:r>
    </w:p>
    <w:p>
      <w:pPr>
        <w:spacing w:line="158" w:lineRule="auto" w:before="69"/>
        <w:ind w:left="320" w:right="0" w:firstLine="0"/>
        <w:jc w:val="left"/>
        <w:rPr>
          <w:i/>
          <w:sz w:val="18"/>
        </w:rPr>
      </w:pPr>
      <w:r>
        <w:rPr>
          <w:sz w:val="12"/>
        </w:rPr>
        <w:t>182</w:t>
      </w:r>
      <w:r>
        <w:rPr>
          <w:spacing w:val="13"/>
          <w:sz w:val="12"/>
        </w:rPr>
        <w:t> </w:t>
      </w:r>
      <w:r>
        <w:rPr>
          <w:i/>
          <w:spacing w:val="-5"/>
          <w:position w:val="-5"/>
          <w:sz w:val="18"/>
        </w:rPr>
        <w:t>Id.</w:t>
      </w:r>
    </w:p>
    <w:p>
      <w:pPr>
        <w:spacing w:line="158" w:lineRule="auto" w:before="70"/>
        <w:ind w:left="320" w:right="0" w:firstLine="0"/>
        <w:jc w:val="left"/>
        <w:rPr>
          <w:i/>
          <w:sz w:val="18"/>
        </w:rPr>
      </w:pPr>
      <w:r>
        <w:rPr>
          <w:sz w:val="12"/>
        </w:rPr>
        <w:t>183</w:t>
      </w:r>
      <w:r>
        <w:rPr>
          <w:spacing w:val="13"/>
          <w:sz w:val="12"/>
        </w:rPr>
        <w:t> </w:t>
      </w:r>
      <w:r>
        <w:rPr>
          <w:i/>
          <w:spacing w:val="-5"/>
          <w:position w:val="-5"/>
          <w:sz w:val="18"/>
        </w:rPr>
        <w:t>Id.</w:t>
      </w:r>
    </w:p>
    <w:p>
      <w:pPr>
        <w:spacing w:before="34"/>
        <w:ind w:left="320" w:right="0" w:firstLine="0"/>
        <w:jc w:val="left"/>
        <w:rPr>
          <w:i/>
          <w:sz w:val="18"/>
        </w:rPr>
      </w:pPr>
      <w:r>
        <w:rPr>
          <w:sz w:val="12"/>
        </w:rPr>
        <w:t>184</w:t>
      </w:r>
      <w:r>
        <w:rPr>
          <w:spacing w:val="13"/>
          <w:sz w:val="12"/>
        </w:rPr>
        <w:t> </w:t>
      </w:r>
      <w:r>
        <w:rPr>
          <w:i/>
          <w:spacing w:val="-5"/>
          <w:position w:val="-5"/>
          <w:sz w:val="18"/>
        </w:rPr>
        <w:t>Id.</w:t>
      </w:r>
    </w:p>
    <w:p>
      <w:pPr>
        <w:spacing w:before="0"/>
        <w:ind w:left="320" w:right="129" w:firstLine="0"/>
        <w:jc w:val="left"/>
        <w:rPr>
          <w:sz w:val="18"/>
        </w:rPr>
      </w:pPr>
      <w:r>
        <w:rPr>
          <w:sz w:val="18"/>
          <w:vertAlign w:val="superscript"/>
        </w:rPr>
        <w:t>185</w:t>
      </w:r>
      <w:r>
        <w:rPr>
          <w:spacing w:val="-2"/>
          <w:sz w:val="18"/>
          <w:vertAlign w:val="baseline"/>
        </w:rPr>
        <w:t> </w:t>
      </w:r>
      <w:r>
        <w:rPr>
          <w:sz w:val="18"/>
          <w:vertAlign w:val="baseline"/>
        </w:rPr>
        <w:t>Massachusetts</w:t>
      </w:r>
      <w:r>
        <w:rPr>
          <w:spacing w:val="-3"/>
          <w:sz w:val="18"/>
          <w:vertAlign w:val="baseline"/>
        </w:rPr>
        <w:t> </w:t>
      </w:r>
      <w:r>
        <w:rPr>
          <w:sz w:val="18"/>
          <w:vertAlign w:val="baseline"/>
        </w:rPr>
        <w:t>Office</w:t>
      </w:r>
      <w:r>
        <w:rPr>
          <w:spacing w:val="-2"/>
          <w:sz w:val="18"/>
          <w:vertAlign w:val="baseline"/>
        </w:rPr>
        <w:t> </w:t>
      </w:r>
      <w:r>
        <w:rPr>
          <w:sz w:val="18"/>
          <w:vertAlign w:val="baseline"/>
        </w:rPr>
        <w:t>of</w:t>
      </w:r>
      <w:r>
        <w:rPr>
          <w:spacing w:val="-2"/>
          <w:sz w:val="18"/>
          <w:vertAlign w:val="baseline"/>
        </w:rPr>
        <w:t> </w:t>
      </w:r>
      <w:r>
        <w:rPr>
          <w:sz w:val="18"/>
          <w:vertAlign w:val="baseline"/>
        </w:rPr>
        <w:t>the</w:t>
      </w:r>
      <w:r>
        <w:rPr>
          <w:spacing w:val="-2"/>
          <w:sz w:val="18"/>
          <w:vertAlign w:val="baseline"/>
        </w:rPr>
        <w:t> </w:t>
      </w:r>
      <w:r>
        <w:rPr>
          <w:sz w:val="18"/>
          <w:vertAlign w:val="baseline"/>
        </w:rPr>
        <w:t>Child</w:t>
      </w:r>
      <w:r>
        <w:rPr>
          <w:spacing w:val="-2"/>
          <w:sz w:val="18"/>
          <w:vertAlign w:val="baseline"/>
        </w:rPr>
        <w:t> </w:t>
      </w:r>
      <w:r>
        <w:rPr>
          <w:sz w:val="18"/>
          <w:vertAlign w:val="baseline"/>
        </w:rPr>
        <w:t>Advocate.</w:t>
      </w:r>
      <w:r>
        <w:rPr>
          <w:spacing w:val="-2"/>
          <w:sz w:val="18"/>
          <w:vertAlign w:val="baseline"/>
        </w:rPr>
        <w:t> </w:t>
      </w:r>
      <w:r>
        <w:rPr>
          <w:sz w:val="18"/>
          <w:vertAlign w:val="baseline"/>
        </w:rPr>
        <w:t>2023.</w:t>
      </w:r>
      <w:r>
        <w:rPr>
          <w:spacing w:val="-2"/>
          <w:sz w:val="18"/>
          <w:vertAlign w:val="baseline"/>
        </w:rPr>
        <w:t> </w:t>
      </w:r>
      <w:r>
        <w:rPr>
          <w:sz w:val="18"/>
          <w:vertAlign w:val="baseline"/>
        </w:rPr>
        <w:t>“The</w:t>
      </w:r>
      <w:r>
        <w:rPr>
          <w:spacing w:val="-2"/>
          <w:sz w:val="18"/>
          <w:vertAlign w:val="baseline"/>
        </w:rPr>
        <w:t> </w:t>
      </w:r>
      <w:r>
        <w:rPr>
          <w:sz w:val="18"/>
          <w:vertAlign w:val="baseline"/>
        </w:rPr>
        <w:t>Massachusetts</w:t>
      </w:r>
      <w:r>
        <w:rPr>
          <w:spacing w:val="-2"/>
          <w:sz w:val="18"/>
          <w:vertAlign w:val="baseline"/>
        </w:rPr>
        <w:t> </w:t>
      </w:r>
      <w:r>
        <w:rPr>
          <w:sz w:val="18"/>
          <w:vertAlign w:val="baseline"/>
        </w:rPr>
        <w:t>Youth</w:t>
      </w:r>
      <w:r>
        <w:rPr>
          <w:spacing w:val="-2"/>
          <w:sz w:val="18"/>
          <w:vertAlign w:val="baseline"/>
        </w:rPr>
        <w:t> </w:t>
      </w:r>
      <w:r>
        <w:rPr>
          <w:sz w:val="18"/>
          <w:vertAlign w:val="baseline"/>
        </w:rPr>
        <w:t>Diversion</w:t>
      </w:r>
      <w:r>
        <w:rPr>
          <w:spacing w:val="-2"/>
          <w:sz w:val="18"/>
          <w:vertAlign w:val="baseline"/>
        </w:rPr>
        <w:t> </w:t>
      </w:r>
      <w:r>
        <w:rPr>
          <w:sz w:val="18"/>
          <w:vertAlign w:val="baseline"/>
        </w:rPr>
        <w:t>Program:</w:t>
      </w:r>
      <w:r>
        <w:rPr>
          <w:spacing w:val="-4"/>
          <w:sz w:val="18"/>
          <w:vertAlign w:val="baseline"/>
        </w:rPr>
        <w:t> </w:t>
      </w:r>
      <w:r>
        <w:rPr>
          <w:sz w:val="18"/>
          <w:vertAlign w:val="baseline"/>
        </w:rPr>
        <w:t>Impact</w:t>
      </w:r>
      <w:r>
        <w:rPr>
          <w:spacing w:val="-3"/>
          <w:sz w:val="18"/>
          <w:vertAlign w:val="baseline"/>
        </w:rPr>
        <w:t> </w:t>
      </w:r>
      <w:r>
        <w:rPr>
          <w:sz w:val="18"/>
          <w:vertAlign w:val="baseline"/>
        </w:rPr>
        <w:t>Report:</w:t>
      </w:r>
      <w:r>
        <w:rPr>
          <w:spacing w:val="-2"/>
          <w:sz w:val="18"/>
          <w:vertAlign w:val="baseline"/>
        </w:rPr>
        <w:t> </w:t>
      </w:r>
      <w:r>
        <w:rPr>
          <w:sz w:val="18"/>
          <w:vertAlign w:val="baseline"/>
        </w:rPr>
        <w:t>year</w:t>
      </w:r>
      <w:r>
        <w:rPr>
          <w:spacing w:val="-3"/>
          <w:sz w:val="18"/>
          <w:vertAlign w:val="baseline"/>
        </w:rPr>
        <w:t> </w:t>
      </w:r>
      <w:r>
        <w:rPr>
          <w:sz w:val="18"/>
          <w:vertAlign w:val="baseline"/>
        </w:rPr>
        <w:t>one</w:t>
      </w:r>
      <w:r>
        <w:rPr>
          <w:spacing w:val="-2"/>
          <w:sz w:val="18"/>
          <w:vertAlign w:val="baseline"/>
        </w:rPr>
        <w:t> </w:t>
      </w:r>
      <w:r>
        <w:rPr>
          <w:sz w:val="18"/>
          <w:vertAlign w:val="baseline"/>
        </w:rPr>
        <w:t>of implementation (January-December 2022</w:t>
      </w:r>
      <w:r>
        <w:rPr>
          <w:i/>
          <w:sz w:val="18"/>
          <w:vertAlign w:val="baseline"/>
        </w:rPr>
        <w:t>)</w:t>
      </w:r>
      <w:r>
        <w:rPr>
          <w:sz w:val="18"/>
          <w:vertAlign w:val="baseline"/>
        </w:rPr>
        <w:t>”, October 2023, </w:t>
      </w:r>
      <w:hyperlink r:id="rId543">
        <w:r>
          <w:rPr>
            <w:sz w:val="18"/>
            <w:u w:val="single"/>
            <w:vertAlign w:val="baseline"/>
          </w:rPr>
          <w:t>https://www.mass.gov/doc/oca-report-on-the-massachusetts-</w:t>
        </w:r>
      </w:hyperlink>
      <w:r>
        <w:rPr>
          <w:sz w:val="18"/>
          <w:u w:val="none"/>
          <w:vertAlign w:val="baseline"/>
        </w:rPr>
        <w:t> </w:t>
      </w:r>
      <w:hyperlink r:id="rId543">
        <w:r>
          <w:rPr>
            <w:spacing w:val="-2"/>
            <w:sz w:val="18"/>
            <w:u w:val="single"/>
            <w:vertAlign w:val="baseline"/>
          </w:rPr>
          <w:t>youth-diversion-program/download</w:t>
        </w:r>
        <w:r>
          <w:rPr>
            <w:spacing w:val="-2"/>
            <w:sz w:val="18"/>
            <w:u w:val="none"/>
            <w:vertAlign w:val="baseline"/>
          </w:rPr>
          <w:t>.</w:t>
        </w:r>
      </w:hyperlink>
    </w:p>
    <w:p>
      <w:pPr>
        <w:spacing w:line="153" w:lineRule="auto" w:before="35"/>
        <w:ind w:left="320" w:right="0" w:firstLine="0"/>
        <w:jc w:val="left"/>
        <w:rPr>
          <w:i/>
          <w:sz w:val="18"/>
        </w:rPr>
      </w:pPr>
      <w:r>
        <w:rPr>
          <w:sz w:val="12"/>
        </w:rPr>
        <w:t>186</w:t>
      </w:r>
      <w:r>
        <w:rPr>
          <w:spacing w:val="13"/>
          <w:sz w:val="12"/>
        </w:rPr>
        <w:t> </w:t>
      </w:r>
      <w:r>
        <w:rPr>
          <w:i/>
          <w:spacing w:val="-5"/>
          <w:position w:val="-5"/>
          <w:sz w:val="18"/>
        </w:rPr>
        <w:t>Id.</w:t>
      </w:r>
    </w:p>
    <w:p>
      <w:pPr>
        <w:spacing w:line="158" w:lineRule="auto" w:before="72"/>
        <w:ind w:left="320" w:right="0" w:firstLine="0"/>
        <w:jc w:val="left"/>
        <w:rPr>
          <w:i/>
          <w:sz w:val="18"/>
        </w:rPr>
      </w:pPr>
      <w:r>
        <w:rPr>
          <w:sz w:val="12"/>
        </w:rPr>
        <w:t>187</w:t>
      </w:r>
      <w:r>
        <w:rPr>
          <w:spacing w:val="13"/>
          <w:sz w:val="12"/>
        </w:rPr>
        <w:t> </w:t>
      </w:r>
      <w:r>
        <w:rPr>
          <w:i/>
          <w:spacing w:val="-5"/>
          <w:position w:val="-5"/>
          <w:sz w:val="18"/>
        </w:rPr>
        <w:t>Id.</w:t>
      </w:r>
    </w:p>
    <w:p>
      <w:pPr>
        <w:spacing w:line="158" w:lineRule="auto" w:before="70"/>
        <w:ind w:left="320" w:right="0" w:firstLine="0"/>
        <w:jc w:val="left"/>
        <w:rPr>
          <w:i/>
          <w:sz w:val="18"/>
        </w:rPr>
      </w:pPr>
      <w:r>
        <w:rPr>
          <w:sz w:val="12"/>
        </w:rPr>
        <w:t>188</w:t>
      </w:r>
      <w:r>
        <w:rPr>
          <w:spacing w:val="13"/>
          <w:sz w:val="12"/>
        </w:rPr>
        <w:t> </w:t>
      </w:r>
      <w:r>
        <w:rPr>
          <w:i/>
          <w:spacing w:val="-5"/>
          <w:position w:val="-5"/>
          <w:sz w:val="18"/>
        </w:rPr>
        <w:t>Id.</w:t>
      </w:r>
    </w:p>
    <w:p>
      <w:pPr>
        <w:spacing w:line="158" w:lineRule="auto" w:before="69"/>
        <w:ind w:left="320" w:right="0" w:firstLine="0"/>
        <w:jc w:val="left"/>
        <w:rPr>
          <w:i/>
          <w:sz w:val="18"/>
        </w:rPr>
      </w:pPr>
      <w:r>
        <w:rPr>
          <w:sz w:val="12"/>
        </w:rPr>
        <w:t>189</w:t>
      </w:r>
      <w:r>
        <w:rPr>
          <w:spacing w:val="13"/>
          <w:sz w:val="12"/>
        </w:rPr>
        <w:t> </w:t>
      </w:r>
      <w:r>
        <w:rPr>
          <w:i/>
          <w:spacing w:val="-5"/>
          <w:position w:val="-5"/>
          <w:sz w:val="18"/>
        </w:rPr>
        <w:t>Id.</w:t>
      </w:r>
    </w:p>
    <w:p>
      <w:pPr>
        <w:spacing w:before="33"/>
        <w:ind w:left="320" w:right="0" w:firstLine="0"/>
        <w:jc w:val="left"/>
        <w:rPr>
          <w:i/>
          <w:sz w:val="18"/>
        </w:rPr>
      </w:pPr>
      <w:r>
        <w:rPr>
          <w:sz w:val="12"/>
        </w:rPr>
        <w:t>190</w:t>
      </w:r>
      <w:r>
        <w:rPr>
          <w:spacing w:val="13"/>
          <w:sz w:val="12"/>
        </w:rPr>
        <w:t> </w:t>
      </w:r>
      <w:r>
        <w:rPr>
          <w:i/>
          <w:spacing w:val="-5"/>
          <w:position w:val="-5"/>
          <w:sz w:val="18"/>
        </w:rPr>
        <w:t>Id.</w:t>
      </w:r>
    </w:p>
    <w:p>
      <w:pPr>
        <w:spacing w:before="1"/>
        <w:ind w:left="320" w:right="1273" w:firstLine="0"/>
        <w:jc w:val="left"/>
        <w:rPr>
          <w:sz w:val="18"/>
        </w:rPr>
      </w:pPr>
      <w:r>
        <w:rPr>
          <w:sz w:val="18"/>
          <w:vertAlign w:val="superscript"/>
        </w:rPr>
        <w:t>191</w:t>
      </w:r>
      <w:r>
        <w:rPr>
          <w:spacing w:val="-3"/>
          <w:sz w:val="18"/>
          <w:vertAlign w:val="baseline"/>
        </w:rPr>
        <w:t> </w:t>
      </w:r>
      <w:r>
        <w:rPr>
          <w:sz w:val="18"/>
          <w:vertAlign w:val="baseline"/>
        </w:rPr>
        <w:t>Executive</w:t>
      </w:r>
      <w:r>
        <w:rPr>
          <w:spacing w:val="-3"/>
          <w:sz w:val="18"/>
          <w:vertAlign w:val="baseline"/>
        </w:rPr>
        <w:t> </w:t>
      </w:r>
      <w:r>
        <w:rPr>
          <w:sz w:val="18"/>
          <w:vertAlign w:val="baseline"/>
        </w:rPr>
        <w:t>Office</w:t>
      </w:r>
      <w:r>
        <w:rPr>
          <w:spacing w:val="-3"/>
          <w:sz w:val="18"/>
          <w:vertAlign w:val="baseline"/>
        </w:rPr>
        <w:t> </w:t>
      </w:r>
      <w:r>
        <w:rPr>
          <w:sz w:val="18"/>
          <w:vertAlign w:val="baseline"/>
        </w:rPr>
        <w:t>of</w:t>
      </w:r>
      <w:r>
        <w:rPr>
          <w:spacing w:val="-3"/>
          <w:sz w:val="18"/>
          <w:vertAlign w:val="baseline"/>
        </w:rPr>
        <w:t> </w:t>
      </w:r>
      <w:r>
        <w:rPr>
          <w:sz w:val="18"/>
          <w:vertAlign w:val="baseline"/>
        </w:rPr>
        <w:t>Public</w:t>
      </w:r>
      <w:r>
        <w:rPr>
          <w:spacing w:val="-3"/>
          <w:sz w:val="18"/>
          <w:vertAlign w:val="baseline"/>
        </w:rPr>
        <w:t> </w:t>
      </w:r>
      <w:r>
        <w:rPr>
          <w:sz w:val="18"/>
          <w:vertAlign w:val="baseline"/>
        </w:rPr>
        <w:t>Safety</w:t>
      </w:r>
      <w:r>
        <w:rPr>
          <w:spacing w:val="-3"/>
          <w:sz w:val="18"/>
          <w:vertAlign w:val="baseline"/>
        </w:rPr>
        <w:t> </w:t>
      </w:r>
      <w:r>
        <w:rPr>
          <w:sz w:val="18"/>
          <w:vertAlign w:val="baseline"/>
        </w:rPr>
        <w:t>and</w:t>
      </w:r>
      <w:r>
        <w:rPr>
          <w:spacing w:val="-3"/>
          <w:sz w:val="18"/>
          <w:vertAlign w:val="baseline"/>
        </w:rPr>
        <w:t> </w:t>
      </w:r>
      <w:r>
        <w:rPr>
          <w:sz w:val="18"/>
          <w:vertAlign w:val="baseline"/>
        </w:rPr>
        <w:t>Security.</w:t>
      </w:r>
      <w:r>
        <w:rPr>
          <w:spacing w:val="-3"/>
          <w:sz w:val="18"/>
          <w:vertAlign w:val="baseline"/>
        </w:rPr>
        <w:t> </w:t>
      </w:r>
      <w:r>
        <w:rPr>
          <w:sz w:val="18"/>
          <w:vertAlign w:val="baseline"/>
        </w:rPr>
        <w:t>2024.</w:t>
      </w:r>
      <w:r>
        <w:rPr>
          <w:spacing w:val="-3"/>
          <w:sz w:val="18"/>
          <w:vertAlign w:val="baseline"/>
        </w:rPr>
        <w:t> </w:t>
      </w:r>
      <w:r>
        <w:rPr>
          <w:sz w:val="18"/>
          <w:vertAlign w:val="baseline"/>
        </w:rPr>
        <w:t>“Credible</w:t>
      </w:r>
      <w:r>
        <w:rPr>
          <w:spacing w:val="-3"/>
          <w:sz w:val="18"/>
          <w:vertAlign w:val="baseline"/>
        </w:rPr>
        <w:t> </w:t>
      </w:r>
      <w:r>
        <w:rPr>
          <w:sz w:val="18"/>
          <w:vertAlign w:val="baseline"/>
        </w:rPr>
        <w:t>Messenger</w:t>
      </w:r>
      <w:r>
        <w:rPr>
          <w:spacing w:val="-4"/>
          <w:sz w:val="18"/>
          <w:vertAlign w:val="baseline"/>
        </w:rPr>
        <w:t> </w:t>
      </w:r>
      <w:r>
        <w:rPr>
          <w:sz w:val="18"/>
          <w:vertAlign w:val="baseline"/>
        </w:rPr>
        <w:t>Program”,</w:t>
      </w:r>
      <w:r>
        <w:rPr>
          <w:spacing w:val="-3"/>
          <w:sz w:val="18"/>
          <w:vertAlign w:val="baseline"/>
        </w:rPr>
        <w:t> </w:t>
      </w:r>
      <w:r>
        <w:rPr>
          <w:sz w:val="18"/>
          <w:vertAlign w:val="baseline"/>
        </w:rPr>
        <w:t>Accessed</w:t>
      </w:r>
      <w:r>
        <w:rPr>
          <w:spacing w:val="-3"/>
          <w:sz w:val="18"/>
          <w:vertAlign w:val="baseline"/>
        </w:rPr>
        <w:t> </w:t>
      </w:r>
      <w:r>
        <w:rPr>
          <w:sz w:val="18"/>
          <w:vertAlign w:val="baseline"/>
        </w:rPr>
        <w:t>April</w:t>
      </w:r>
      <w:r>
        <w:rPr>
          <w:spacing w:val="-3"/>
          <w:sz w:val="18"/>
          <w:vertAlign w:val="baseline"/>
        </w:rPr>
        <w:t> </w:t>
      </w:r>
      <w:r>
        <w:rPr>
          <w:sz w:val="18"/>
          <w:vertAlign w:val="baseline"/>
        </w:rPr>
        <w:t>17,</w:t>
      </w:r>
      <w:r>
        <w:rPr>
          <w:spacing w:val="-3"/>
          <w:sz w:val="18"/>
          <w:vertAlign w:val="baseline"/>
        </w:rPr>
        <w:t> </w:t>
      </w:r>
      <w:r>
        <w:rPr>
          <w:sz w:val="18"/>
          <w:vertAlign w:val="baseline"/>
        </w:rPr>
        <w:t>2024, </w:t>
      </w:r>
      <w:hyperlink r:id="rId544">
        <w:r>
          <w:rPr>
            <w:spacing w:val="-2"/>
            <w:sz w:val="18"/>
            <w:u w:val="single"/>
            <w:vertAlign w:val="baseline"/>
          </w:rPr>
          <w:t>https://www.mass.gov/info-details/credible-messenger-program</w:t>
        </w:r>
        <w:r>
          <w:rPr>
            <w:spacing w:val="-2"/>
            <w:sz w:val="18"/>
            <w:u w:val="none"/>
            <w:vertAlign w:val="baseline"/>
          </w:rPr>
          <w:t>.</w:t>
        </w:r>
      </w:hyperlink>
    </w:p>
    <w:p>
      <w:pPr>
        <w:spacing w:line="153" w:lineRule="auto" w:before="36"/>
        <w:ind w:left="320" w:right="0" w:firstLine="0"/>
        <w:jc w:val="left"/>
        <w:rPr>
          <w:i/>
          <w:sz w:val="18"/>
        </w:rPr>
      </w:pPr>
      <w:r>
        <w:rPr>
          <w:sz w:val="12"/>
        </w:rPr>
        <w:t>192</w:t>
      </w:r>
      <w:r>
        <w:rPr>
          <w:spacing w:val="13"/>
          <w:sz w:val="12"/>
        </w:rPr>
        <w:t> </w:t>
      </w:r>
      <w:r>
        <w:rPr>
          <w:i/>
          <w:spacing w:val="-5"/>
          <w:position w:val="-5"/>
          <w:sz w:val="18"/>
        </w:rPr>
        <w:t>Id.</w:t>
      </w:r>
    </w:p>
    <w:p>
      <w:pPr>
        <w:spacing w:before="38"/>
        <w:ind w:left="320" w:right="1087" w:firstLine="0"/>
        <w:jc w:val="left"/>
        <w:rPr>
          <w:sz w:val="18"/>
        </w:rPr>
      </w:pPr>
      <w:r>
        <w:rPr>
          <w:sz w:val="18"/>
          <w:vertAlign w:val="superscript"/>
        </w:rPr>
        <w:t>193</w:t>
      </w:r>
      <w:r>
        <w:rPr>
          <w:spacing w:val="-3"/>
          <w:sz w:val="18"/>
          <w:vertAlign w:val="baseline"/>
        </w:rPr>
        <w:t> </w:t>
      </w:r>
      <w:r>
        <w:rPr>
          <w:sz w:val="18"/>
          <w:vertAlign w:val="baseline"/>
        </w:rPr>
        <w:t>National</w:t>
      </w:r>
      <w:r>
        <w:rPr>
          <w:spacing w:val="-4"/>
          <w:sz w:val="18"/>
          <w:vertAlign w:val="baseline"/>
        </w:rPr>
        <w:t> </w:t>
      </w:r>
      <w:r>
        <w:rPr>
          <w:sz w:val="18"/>
          <w:vertAlign w:val="baseline"/>
        </w:rPr>
        <w:t>Institute</w:t>
      </w:r>
      <w:r>
        <w:rPr>
          <w:spacing w:val="-3"/>
          <w:sz w:val="18"/>
          <w:vertAlign w:val="baseline"/>
        </w:rPr>
        <w:t> </w:t>
      </w:r>
      <w:r>
        <w:rPr>
          <w:sz w:val="18"/>
          <w:vertAlign w:val="baseline"/>
        </w:rPr>
        <w:t>of</w:t>
      </w:r>
      <w:r>
        <w:rPr>
          <w:spacing w:val="-3"/>
          <w:sz w:val="18"/>
          <w:vertAlign w:val="baseline"/>
        </w:rPr>
        <w:t> </w:t>
      </w:r>
      <w:r>
        <w:rPr>
          <w:sz w:val="18"/>
          <w:vertAlign w:val="baseline"/>
        </w:rPr>
        <w:t>Justice.</w:t>
      </w:r>
      <w:r>
        <w:rPr>
          <w:spacing w:val="-3"/>
          <w:sz w:val="18"/>
          <w:vertAlign w:val="baseline"/>
        </w:rPr>
        <w:t> </w:t>
      </w:r>
      <w:r>
        <w:rPr>
          <w:sz w:val="18"/>
          <w:vertAlign w:val="baseline"/>
        </w:rPr>
        <w:t>2010.</w:t>
      </w:r>
      <w:r>
        <w:rPr>
          <w:spacing w:val="-3"/>
          <w:sz w:val="18"/>
          <w:vertAlign w:val="baseline"/>
        </w:rPr>
        <w:t> </w:t>
      </w:r>
      <w:r>
        <w:rPr>
          <w:sz w:val="18"/>
          <w:vertAlign w:val="baseline"/>
        </w:rPr>
        <w:t>“Preventing</w:t>
      </w:r>
      <w:r>
        <w:rPr>
          <w:spacing w:val="-4"/>
          <w:sz w:val="18"/>
          <w:vertAlign w:val="baseline"/>
        </w:rPr>
        <w:t> </w:t>
      </w:r>
      <w:r>
        <w:rPr>
          <w:sz w:val="18"/>
          <w:vertAlign w:val="baseline"/>
        </w:rPr>
        <w:t>Future</w:t>
      </w:r>
      <w:r>
        <w:rPr>
          <w:spacing w:val="-3"/>
          <w:sz w:val="18"/>
          <w:vertAlign w:val="baseline"/>
        </w:rPr>
        <w:t> </w:t>
      </w:r>
      <w:r>
        <w:rPr>
          <w:sz w:val="18"/>
          <w:vertAlign w:val="baseline"/>
        </w:rPr>
        <w:t>Crime</w:t>
      </w:r>
      <w:r>
        <w:rPr>
          <w:spacing w:val="-3"/>
          <w:sz w:val="18"/>
          <w:vertAlign w:val="baseline"/>
        </w:rPr>
        <w:t> </w:t>
      </w:r>
      <w:r>
        <w:rPr>
          <w:sz w:val="18"/>
          <w:vertAlign w:val="baseline"/>
        </w:rPr>
        <w:t>with</w:t>
      </w:r>
      <w:r>
        <w:rPr>
          <w:spacing w:val="-3"/>
          <w:sz w:val="18"/>
          <w:vertAlign w:val="baseline"/>
        </w:rPr>
        <w:t> </w:t>
      </w:r>
      <w:r>
        <w:rPr>
          <w:sz w:val="18"/>
          <w:vertAlign w:val="baseline"/>
        </w:rPr>
        <w:t>Cognitive</w:t>
      </w:r>
      <w:r>
        <w:rPr>
          <w:spacing w:val="-3"/>
          <w:sz w:val="18"/>
          <w:vertAlign w:val="baseline"/>
        </w:rPr>
        <w:t> </w:t>
      </w:r>
      <w:r>
        <w:rPr>
          <w:sz w:val="18"/>
          <w:vertAlign w:val="baseline"/>
        </w:rPr>
        <w:t>Behavioral</w:t>
      </w:r>
      <w:r>
        <w:rPr>
          <w:spacing w:val="-4"/>
          <w:sz w:val="18"/>
          <w:vertAlign w:val="baseline"/>
        </w:rPr>
        <w:t> </w:t>
      </w:r>
      <w:r>
        <w:rPr>
          <w:sz w:val="18"/>
          <w:vertAlign w:val="baseline"/>
        </w:rPr>
        <w:t>Therapy”,</w:t>
      </w:r>
      <w:r>
        <w:rPr>
          <w:spacing w:val="-4"/>
          <w:sz w:val="18"/>
          <w:vertAlign w:val="baseline"/>
        </w:rPr>
        <w:t> </w:t>
      </w:r>
      <w:r>
        <w:rPr>
          <w:sz w:val="18"/>
          <w:vertAlign w:val="baseline"/>
        </w:rPr>
        <w:t>May</w:t>
      </w:r>
      <w:r>
        <w:rPr>
          <w:spacing w:val="-3"/>
          <w:sz w:val="18"/>
          <w:vertAlign w:val="baseline"/>
        </w:rPr>
        <w:t> </w:t>
      </w:r>
      <w:r>
        <w:rPr>
          <w:sz w:val="18"/>
          <w:vertAlign w:val="baseline"/>
        </w:rPr>
        <w:t>28,</w:t>
      </w:r>
      <w:r>
        <w:rPr>
          <w:spacing w:val="-4"/>
          <w:sz w:val="18"/>
          <w:vertAlign w:val="baseline"/>
        </w:rPr>
        <w:t> </w:t>
      </w:r>
      <w:r>
        <w:rPr>
          <w:sz w:val="18"/>
          <w:vertAlign w:val="baseline"/>
        </w:rPr>
        <w:t>2010, </w:t>
      </w:r>
      <w:r>
        <w:rPr>
          <w:spacing w:val="-2"/>
          <w:sz w:val="18"/>
          <w:vertAlign w:val="baseline"/>
        </w:rPr>
        <w:t>https://nij.ojp.gov/topics/articles/preventing-future-crime-cognitive-behavioral-therapy.</w:t>
      </w:r>
    </w:p>
    <w:p>
      <w:pPr>
        <w:spacing w:before="0"/>
        <w:ind w:left="320" w:right="677" w:firstLine="0"/>
        <w:jc w:val="left"/>
        <w:rPr>
          <w:sz w:val="18"/>
        </w:rPr>
      </w:pPr>
      <w:r>
        <w:rPr>
          <w:sz w:val="18"/>
          <w:vertAlign w:val="superscript"/>
        </w:rPr>
        <w:t>194</w:t>
      </w:r>
      <w:r>
        <w:rPr>
          <w:spacing w:val="-3"/>
          <w:sz w:val="18"/>
          <w:vertAlign w:val="baseline"/>
        </w:rPr>
        <w:t> </w:t>
      </w:r>
      <w:r>
        <w:rPr>
          <w:sz w:val="18"/>
          <w:vertAlign w:val="baseline"/>
        </w:rPr>
        <w:t>National</w:t>
      </w:r>
      <w:r>
        <w:rPr>
          <w:spacing w:val="-4"/>
          <w:sz w:val="18"/>
          <w:vertAlign w:val="baseline"/>
        </w:rPr>
        <w:t> </w:t>
      </w:r>
      <w:r>
        <w:rPr>
          <w:sz w:val="18"/>
          <w:vertAlign w:val="baseline"/>
        </w:rPr>
        <w:t>Institute</w:t>
      </w:r>
      <w:r>
        <w:rPr>
          <w:spacing w:val="-3"/>
          <w:sz w:val="18"/>
          <w:vertAlign w:val="baseline"/>
        </w:rPr>
        <w:t> </w:t>
      </w:r>
      <w:r>
        <w:rPr>
          <w:sz w:val="18"/>
          <w:vertAlign w:val="baseline"/>
        </w:rPr>
        <w:t>of</w:t>
      </w:r>
      <w:r>
        <w:rPr>
          <w:spacing w:val="-3"/>
          <w:sz w:val="18"/>
          <w:vertAlign w:val="baseline"/>
        </w:rPr>
        <w:t> </w:t>
      </w:r>
      <w:r>
        <w:rPr>
          <w:sz w:val="18"/>
          <w:vertAlign w:val="baseline"/>
        </w:rPr>
        <w:t>Justice.</w:t>
      </w:r>
      <w:r>
        <w:rPr>
          <w:spacing w:val="-3"/>
          <w:sz w:val="18"/>
          <w:vertAlign w:val="baseline"/>
        </w:rPr>
        <w:t> </w:t>
      </w:r>
      <w:r>
        <w:rPr>
          <w:sz w:val="18"/>
          <w:vertAlign w:val="baseline"/>
        </w:rPr>
        <w:t>2012.</w:t>
      </w:r>
      <w:r>
        <w:rPr>
          <w:spacing w:val="-3"/>
          <w:sz w:val="18"/>
          <w:vertAlign w:val="baseline"/>
        </w:rPr>
        <w:t> </w:t>
      </w:r>
      <w:r>
        <w:rPr>
          <w:sz w:val="18"/>
          <w:vertAlign w:val="baseline"/>
        </w:rPr>
        <w:t>“Program</w:t>
      </w:r>
      <w:r>
        <w:rPr>
          <w:spacing w:val="-4"/>
          <w:sz w:val="18"/>
          <w:vertAlign w:val="baseline"/>
        </w:rPr>
        <w:t> </w:t>
      </w:r>
      <w:r>
        <w:rPr>
          <w:sz w:val="18"/>
          <w:vertAlign w:val="baseline"/>
        </w:rPr>
        <w:t>Profile:</w:t>
      </w:r>
      <w:r>
        <w:rPr>
          <w:spacing w:val="-3"/>
          <w:sz w:val="18"/>
          <w:vertAlign w:val="baseline"/>
        </w:rPr>
        <w:t> </w:t>
      </w:r>
      <w:r>
        <w:rPr>
          <w:sz w:val="18"/>
          <w:vertAlign w:val="baseline"/>
        </w:rPr>
        <w:t>Multidimensional</w:t>
      </w:r>
      <w:r>
        <w:rPr>
          <w:spacing w:val="-4"/>
          <w:sz w:val="18"/>
          <w:vertAlign w:val="baseline"/>
        </w:rPr>
        <w:t> </w:t>
      </w:r>
      <w:r>
        <w:rPr>
          <w:sz w:val="18"/>
          <w:vertAlign w:val="baseline"/>
        </w:rPr>
        <w:t>Family</w:t>
      </w:r>
      <w:r>
        <w:rPr>
          <w:spacing w:val="-3"/>
          <w:sz w:val="18"/>
          <w:vertAlign w:val="baseline"/>
        </w:rPr>
        <w:t> </w:t>
      </w:r>
      <w:r>
        <w:rPr>
          <w:sz w:val="18"/>
          <w:vertAlign w:val="baseline"/>
        </w:rPr>
        <w:t>Therapy</w:t>
      </w:r>
      <w:r>
        <w:rPr>
          <w:spacing w:val="-3"/>
          <w:sz w:val="18"/>
          <w:vertAlign w:val="baseline"/>
        </w:rPr>
        <w:t> </w:t>
      </w:r>
      <w:r>
        <w:rPr>
          <w:sz w:val="18"/>
          <w:vertAlign w:val="baseline"/>
        </w:rPr>
        <w:t>(MDFT)”,</w:t>
      </w:r>
      <w:r>
        <w:rPr>
          <w:spacing w:val="-4"/>
          <w:sz w:val="18"/>
          <w:vertAlign w:val="baseline"/>
        </w:rPr>
        <w:t> </w:t>
      </w:r>
      <w:r>
        <w:rPr>
          <w:sz w:val="18"/>
          <w:vertAlign w:val="baseline"/>
        </w:rPr>
        <w:t>September</w:t>
      </w:r>
      <w:r>
        <w:rPr>
          <w:spacing w:val="-4"/>
          <w:sz w:val="18"/>
          <w:vertAlign w:val="baseline"/>
        </w:rPr>
        <w:t> </w:t>
      </w:r>
      <w:r>
        <w:rPr>
          <w:sz w:val="18"/>
          <w:vertAlign w:val="baseline"/>
        </w:rPr>
        <w:t>21,</w:t>
      </w:r>
      <w:r>
        <w:rPr>
          <w:spacing w:val="-4"/>
          <w:sz w:val="18"/>
          <w:vertAlign w:val="baseline"/>
        </w:rPr>
        <w:t> </w:t>
      </w:r>
      <w:r>
        <w:rPr>
          <w:sz w:val="18"/>
          <w:vertAlign w:val="baseline"/>
        </w:rPr>
        <w:t>2012, </w:t>
      </w:r>
      <w:r>
        <w:rPr>
          <w:spacing w:val="-2"/>
          <w:sz w:val="18"/>
          <w:vertAlign w:val="baseline"/>
        </w:rPr>
        <w:t>https://crimesolutions.ojp.gov/ratedprograms/267#1-0.</w:t>
      </w:r>
    </w:p>
    <w:p>
      <w:pPr>
        <w:spacing w:line="153" w:lineRule="auto" w:before="35"/>
        <w:ind w:left="320" w:right="0" w:firstLine="0"/>
        <w:jc w:val="left"/>
        <w:rPr>
          <w:i/>
          <w:sz w:val="18"/>
        </w:rPr>
      </w:pPr>
      <w:r>
        <w:rPr>
          <w:sz w:val="12"/>
        </w:rPr>
        <w:t>195</w:t>
      </w:r>
      <w:r>
        <w:rPr>
          <w:spacing w:val="13"/>
          <w:sz w:val="12"/>
        </w:rPr>
        <w:t> </w:t>
      </w:r>
      <w:r>
        <w:rPr>
          <w:i/>
          <w:spacing w:val="-5"/>
          <w:position w:val="-5"/>
          <w:sz w:val="18"/>
        </w:rPr>
        <w:t>Id.</w:t>
      </w:r>
    </w:p>
    <w:p>
      <w:pPr>
        <w:spacing w:before="38"/>
        <w:ind w:left="320" w:right="470" w:firstLine="0"/>
        <w:jc w:val="left"/>
        <w:rPr>
          <w:sz w:val="18"/>
        </w:rPr>
      </w:pPr>
      <w:r>
        <w:rPr>
          <w:sz w:val="18"/>
          <w:vertAlign w:val="superscript"/>
        </w:rPr>
        <w:t>196</w:t>
      </w:r>
      <w:r>
        <w:rPr>
          <w:spacing w:val="-2"/>
          <w:sz w:val="18"/>
          <w:vertAlign w:val="baseline"/>
        </w:rPr>
        <w:t> </w:t>
      </w:r>
      <w:r>
        <w:rPr>
          <w:sz w:val="18"/>
          <w:vertAlign w:val="baseline"/>
        </w:rPr>
        <w:t>Office</w:t>
      </w:r>
      <w:r>
        <w:rPr>
          <w:spacing w:val="-2"/>
          <w:sz w:val="18"/>
          <w:vertAlign w:val="baseline"/>
        </w:rPr>
        <w:t> </w:t>
      </w:r>
      <w:r>
        <w:rPr>
          <w:sz w:val="18"/>
          <w:vertAlign w:val="baseline"/>
        </w:rPr>
        <w:t>of</w:t>
      </w:r>
      <w:r>
        <w:rPr>
          <w:spacing w:val="-2"/>
          <w:sz w:val="18"/>
          <w:vertAlign w:val="baseline"/>
        </w:rPr>
        <w:t> </w:t>
      </w:r>
      <w:r>
        <w:rPr>
          <w:sz w:val="18"/>
          <w:vertAlign w:val="baseline"/>
        </w:rPr>
        <w:t>Juvenile</w:t>
      </w:r>
      <w:r>
        <w:rPr>
          <w:spacing w:val="-2"/>
          <w:sz w:val="18"/>
          <w:vertAlign w:val="baseline"/>
        </w:rPr>
        <w:t> </w:t>
      </w:r>
      <w:r>
        <w:rPr>
          <w:sz w:val="18"/>
          <w:vertAlign w:val="baseline"/>
        </w:rPr>
        <w:t>Justice</w:t>
      </w:r>
      <w:r>
        <w:rPr>
          <w:spacing w:val="-2"/>
          <w:sz w:val="18"/>
          <w:vertAlign w:val="baseline"/>
        </w:rPr>
        <w:t> </w:t>
      </w:r>
      <w:r>
        <w:rPr>
          <w:sz w:val="18"/>
          <w:vertAlign w:val="baseline"/>
        </w:rPr>
        <w:t>and</w:t>
      </w:r>
      <w:r>
        <w:rPr>
          <w:spacing w:val="-2"/>
          <w:sz w:val="18"/>
          <w:vertAlign w:val="baseline"/>
        </w:rPr>
        <w:t> </w:t>
      </w:r>
      <w:r>
        <w:rPr>
          <w:sz w:val="18"/>
          <w:vertAlign w:val="baseline"/>
        </w:rPr>
        <w:t>Delinquency</w:t>
      </w:r>
      <w:r>
        <w:rPr>
          <w:spacing w:val="-2"/>
          <w:sz w:val="18"/>
          <w:vertAlign w:val="baseline"/>
        </w:rPr>
        <w:t> </w:t>
      </w:r>
      <w:r>
        <w:rPr>
          <w:sz w:val="18"/>
          <w:vertAlign w:val="baseline"/>
        </w:rPr>
        <w:t>Prevention.</w:t>
      </w:r>
      <w:r>
        <w:rPr>
          <w:spacing w:val="-2"/>
          <w:sz w:val="18"/>
          <w:vertAlign w:val="baseline"/>
        </w:rPr>
        <w:t> </w:t>
      </w:r>
      <w:r>
        <w:rPr>
          <w:sz w:val="18"/>
          <w:vertAlign w:val="baseline"/>
        </w:rPr>
        <w:t>2024.</w:t>
      </w:r>
      <w:r>
        <w:rPr>
          <w:spacing w:val="-2"/>
          <w:sz w:val="18"/>
          <w:vertAlign w:val="baseline"/>
        </w:rPr>
        <w:t> </w:t>
      </w:r>
      <w:r>
        <w:rPr>
          <w:sz w:val="18"/>
          <w:vertAlign w:val="baseline"/>
        </w:rPr>
        <w:t>“Restorative</w:t>
      </w:r>
      <w:r>
        <w:rPr>
          <w:spacing w:val="-2"/>
          <w:sz w:val="18"/>
          <w:vertAlign w:val="baseline"/>
        </w:rPr>
        <w:t> </w:t>
      </w:r>
      <w:r>
        <w:rPr>
          <w:sz w:val="18"/>
          <w:vertAlign w:val="baseline"/>
        </w:rPr>
        <w:t>Justice</w:t>
      </w:r>
      <w:r>
        <w:rPr>
          <w:spacing w:val="-2"/>
          <w:sz w:val="18"/>
          <w:vertAlign w:val="baseline"/>
        </w:rPr>
        <w:t> </w:t>
      </w:r>
      <w:r>
        <w:rPr>
          <w:sz w:val="18"/>
          <w:vertAlign w:val="baseline"/>
        </w:rPr>
        <w:t>for</w:t>
      </w:r>
      <w:r>
        <w:rPr>
          <w:spacing w:val="-3"/>
          <w:sz w:val="18"/>
          <w:vertAlign w:val="baseline"/>
        </w:rPr>
        <w:t> </w:t>
      </w:r>
      <w:r>
        <w:rPr>
          <w:sz w:val="18"/>
          <w:vertAlign w:val="baseline"/>
        </w:rPr>
        <w:t>Juveniles”,</w:t>
      </w:r>
      <w:r>
        <w:rPr>
          <w:spacing w:val="-3"/>
          <w:sz w:val="18"/>
          <w:vertAlign w:val="baseline"/>
        </w:rPr>
        <w:t> </w:t>
      </w:r>
      <w:r>
        <w:rPr>
          <w:sz w:val="18"/>
          <w:vertAlign w:val="baseline"/>
        </w:rPr>
        <w:t>Accessed</w:t>
      </w:r>
      <w:r>
        <w:rPr>
          <w:spacing w:val="-2"/>
          <w:sz w:val="18"/>
          <w:vertAlign w:val="baseline"/>
        </w:rPr>
        <w:t> </w:t>
      </w:r>
      <w:r>
        <w:rPr>
          <w:sz w:val="18"/>
          <w:vertAlign w:val="baseline"/>
        </w:rPr>
        <w:t>April</w:t>
      </w:r>
      <w:r>
        <w:rPr>
          <w:spacing w:val="-3"/>
          <w:sz w:val="18"/>
          <w:vertAlign w:val="baseline"/>
        </w:rPr>
        <w:t> </w:t>
      </w:r>
      <w:r>
        <w:rPr>
          <w:sz w:val="18"/>
          <w:vertAlign w:val="baseline"/>
        </w:rPr>
        <w:t>17,</w:t>
      </w:r>
      <w:r>
        <w:rPr>
          <w:spacing w:val="-2"/>
          <w:sz w:val="18"/>
          <w:vertAlign w:val="baseline"/>
        </w:rPr>
        <w:t> </w:t>
      </w:r>
      <w:r>
        <w:rPr>
          <w:sz w:val="18"/>
          <w:vertAlign w:val="baseline"/>
        </w:rPr>
        <w:t>2024, </w:t>
      </w:r>
      <w:r>
        <w:rPr>
          <w:spacing w:val="-2"/>
          <w:sz w:val="18"/>
          <w:vertAlign w:val="baseline"/>
        </w:rPr>
        <w:t>https://ojjdp.ojp.gov/model-programs-guide/literature-reviews/restorative-justice-for-juveniles#2-0.</w:t>
      </w:r>
    </w:p>
    <w:p>
      <w:pPr>
        <w:spacing w:before="1"/>
        <w:ind w:left="320" w:right="514" w:hanging="1"/>
        <w:jc w:val="left"/>
        <w:rPr>
          <w:sz w:val="18"/>
        </w:rPr>
      </w:pPr>
      <w:r>
        <w:rPr>
          <w:sz w:val="18"/>
          <w:vertAlign w:val="superscript"/>
        </w:rPr>
        <w:t>197</w:t>
      </w:r>
      <w:r>
        <w:rPr>
          <w:spacing w:val="-4"/>
          <w:sz w:val="18"/>
          <w:vertAlign w:val="baseline"/>
        </w:rPr>
        <w:t> </w:t>
      </w:r>
      <w:r>
        <w:rPr>
          <w:sz w:val="18"/>
          <w:vertAlign w:val="baseline"/>
        </w:rPr>
        <w:t>Umass</w:t>
      </w:r>
      <w:r>
        <w:rPr>
          <w:spacing w:val="-4"/>
          <w:sz w:val="18"/>
          <w:vertAlign w:val="baseline"/>
        </w:rPr>
        <w:t> </w:t>
      </w:r>
      <w:r>
        <w:rPr>
          <w:sz w:val="18"/>
          <w:vertAlign w:val="baseline"/>
        </w:rPr>
        <w:t>Boston,</w:t>
      </w:r>
      <w:r>
        <w:rPr>
          <w:spacing w:val="-5"/>
          <w:sz w:val="18"/>
          <w:vertAlign w:val="baseline"/>
        </w:rPr>
        <w:t> </w:t>
      </w:r>
      <w:r>
        <w:rPr>
          <w:sz w:val="18"/>
          <w:vertAlign w:val="baseline"/>
        </w:rPr>
        <w:t>Restorative</w:t>
      </w:r>
      <w:r>
        <w:rPr>
          <w:spacing w:val="-4"/>
          <w:sz w:val="18"/>
          <w:vertAlign w:val="baseline"/>
        </w:rPr>
        <w:t> </w:t>
      </w:r>
      <w:r>
        <w:rPr>
          <w:sz w:val="18"/>
          <w:vertAlign w:val="baseline"/>
        </w:rPr>
        <w:t>Justice</w:t>
      </w:r>
      <w:r>
        <w:rPr>
          <w:spacing w:val="-4"/>
          <w:sz w:val="18"/>
          <w:vertAlign w:val="baseline"/>
        </w:rPr>
        <w:t> </w:t>
      </w:r>
      <w:r>
        <w:rPr>
          <w:sz w:val="18"/>
          <w:vertAlign w:val="baseline"/>
        </w:rPr>
        <w:t>Project,</w:t>
      </w:r>
      <w:r>
        <w:rPr>
          <w:spacing w:val="-5"/>
          <w:sz w:val="18"/>
          <w:vertAlign w:val="baseline"/>
        </w:rPr>
        <w:t> </w:t>
      </w:r>
      <w:r>
        <w:rPr>
          <w:sz w:val="18"/>
          <w:vertAlign w:val="baseline"/>
        </w:rPr>
        <w:t>Accessed</w:t>
      </w:r>
      <w:r>
        <w:rPr>
          <w:spacing w:val="-4"/>
          <w:sz w:val="18"/>
          <w:vertAlign w:val="baseline"/>
        </w:rPr>
        <w:t> </w:t>
      </w:r>
      <w:r>
        <w:rPr>
          <w:sz w:val="18"/>
          <w:vertAlign w:val="baseline"/>
        </w:rPr>
        <w:t>April</w:t>
      </w:r>
      <w:r>
        <w:rPr>
          <w:spacing w:val="-5"/>
          <w:sz w:val="18"/>
          <w:vertAlign w:val="baseline"/>
        </w:rPr>
        <w:t> </w:t>
      </w:r>
      <w:r>
        <w:rPr>
          <w:sz w:val="18"/>
          <w:vertAlign w:val="baseline"/>
        </w:rPr>
        <w:t>17,</w:t>
      </w:r>
      <w:r>
        <w:rPr>
          <w:spacing w:val="-5"/>
          <w:sz w:val="18"/>
          <w:vertAlign w:val="baseline"/>
        </w:rPr>
        <w:t> </w:t>
      </w:r>
      <w:r>
        <w:rPr>
          <w:sz w:val="18"/>
          <w:vertAlign w:val="baseline"/>
        </w:rPr>
        <w:t>2024,</w:t>
      </w:r>
      <w:r>
        <w:rPr>
          <w:spacing w:val="-5"/>
          <w:sz w:val="18"/>
          <w:vertAlign w:val="baseline"/>
        </w:rPr>
        <w:t> </w:t>
      </w:r>
      <w:r>
        <w:rPr>
          <w:sz w:val="18"/>
          <w:vertAlign w:val="baseline"/>
        </w:rPr>
        <w:t>https:</w:t>
      </w:r>
      <w:hyperlink r:id="rId545">
        <w:r>
          <w:rPr>
            <w:sz w:val="18"/>
            <w:vertAlign w:val="baseline"/>
          </w:rPr>
          <w:t>//www.umb.edu/cpdd/key-areas/law-justice-</w:t>
        </w:r>
      </w:hyperlink>
      <w:r>
        <w:rPr>
          <w:sz w:val="18"/>
          <w:vertAlign w:val="baseline"/>
        </w:rPr>
        <w:t> </w:t>
      </w:r>
      <w:r>
        <w:rPr>
          <w:spacing w:val="-2"/>
          <w:sz w:val="18"/>
          <w:vertAlign w:val="baseline"/>
        </w:rPr>
        <w:t>reform/restorative-justice-project/#d.en.63570</w:t>
      </w:r>
    </w:p>
    <w:p>
      <w:pPr>
        <w:spacing w:before="0"/>
        <w:ind w:left="320" w:right="1975" w:firstLine="0"/>
        <w:jc w:val="left"/>
        <w:rPr>
          <w:sz w:val="18"/>
        </w:rPr>
      </w:pPr>
      <w:r>
        <w:rPr>
          <w:sz w:val="18"/>
          <w:vertAlign w:val="superscript"/>
        </w:rPr>
        <w:t>198</w:t>
      </w:r>
      <w:r>
        <w:rPr>
          <w:spacing w:val="-3"/>
          <w:sz w:val="18"/>
          <w:vertAlign w:val="baseline"/>
        </w:rPr>
        <w:t> </w:t>
      </w:r>
      <w:r>
        <w:rPr>
          <w:sz w:val="18"/>
          <w:vertAlign w:val="baseline"/>
        </w:rPr>
        <w:t>Suffolk</w:t>
      </w:r>
      <w:r>
        <w:rPr>
          <w:spacing w:val="-4"/>
          <w:sz w:val="18"/>
          <w:vertAlign w:val="baseline"/>
        </w:rPr>
        <w:t> </w:t>
      </w:r>
      <w:r>
        <w:rPr>
          <w:sz w:val="18"/>
          <w:vertAlign w:val="baseline"/>
        </w:rPr>
        <w:t>County</w:t>
      </w:r>
      <w:r>
        <w:rPr>
          <w:spacing w:val="-3"/>
          <w:sz w:val="18"/>
          <w:vertAlign w:val="baseline"/>
        </w:rPr>
        <w:t> </w:t>
      </w:r>
      <w:r>
        <w:rPr>
          <w:sz w:val="18"/>
          <w:vertAlign w:val="baseline"/>
        </w:rPr>
        <w:t>District</w:t>
      </w:r>
      <w:r>
        <w:rPr>
          <w:spacing w:val="-4"/>
          <w:sz w:val="18"/>
          <w:vertAlign w:val="baseline"/>
        </w:rPr>
        <w:t> </w:t>
      </w:r>
      <w:r>
        <w:rPr>
          <w:sz w:val="18"/>
          <w:vertAlign w:val="baseline"/>
        </w:rPr>
        <w:t>Attorney.</w:t>
      </w:r>
      <w:r>
        <w:rPr>
          <w:spacing w:val="-3"/>
          <w:sz w:val="18"/>
          <w:vertAlign w:val="baseline"/>
        </w:rPr>
        <w:t> </w:t>
      </w:r>
      <w:r>
        <w:rPr>
          <w:sz w:val="18"/>
          <w:vertAlign w:val="baseline"/>
        </w:rPr>
        <w:t>2024.</w:t>
      </w:r>
      <w:r>
        <w:rPr>
          <w:spacing w:val="-3"/>
          <w:sz w:val="18"/>
          <w:vertAlign w:val="baseline"/>
        </w:rPr>
        <w:t> </w:t>
      </w:r>
      <w:r>
        <w:rPr>
          <w:sz w:val="18"/>
          <w:vertAlign w:val="baseline"/>
        </w:rPr>
        <w:t>“The</w:t>
      </w:r>
      <w:r>
        <w:rPr>
          <w:spacing w:val="-3"/>
          <w:sz w:val="18"/>
          <w:vertAlign w:val="baseline"/>
        </w:rPr>
        <w:t> </w:t>
      </w:r>
      <w:r>
        <w:rPr>
          <w:sz w:val="18"/>
          <w:vertAlign w:val="baseline"/>
        </w:rPr>
        <w:t>Juvenile</w:t>
      </w:r>
      <w:r>
        <w:rPr>
          <w:spacing w:val="-3"/>
          <w:sz w:val="18"/>
          <w:vertAlign w:val="baseline"/>
        </w:rPr>
        <w:t> </w:t>
      </w:r>
      <w:r>
        <w:rPr>
          <w:sz w:val="18"/>
          <w:vertAlign w:val="baseline"/>
        </w:rPr>
        <w:t>Resolution</w:t>
      </w:r>
      <w:r>
        <w:rPr>
          <w:spacing w:val="-3"/>
          <w:sz w:val="18"/>
          <w:vertAlign w:val="baseline"/>
        </w:rPr>
        <w:t> </w:t>
      </w:r>
      <w:r>
        <w:rPr>
          <w:sz w:val="18"/>
          <w:vertAlign w:val="baseline"/>
        </w:rPr>
        <w:t>Program”,</w:t>
      </w:r>
      <w:r>
        <w:rPr>
          <w:spacing w:val="-4"/>
          <w:sz w:val="18"/>
          <w:vertAlign w:val="baseline"/>
        </w:rPr>
        <w:t> </w:t>
      </w:r>
      <w:r>
        <w:rPr>
          <w:sz w:val="18"/>
          <w:vertAlign w:val="baseline"/>
        </w:rPr>
        <w:t>Accessed</w:t>
      </w:r>
      <w:r>
        <w:rPr>
          <w:spacing w:val="-3"/>
          <w:sz w:val="18"/>
          <w:vertAlign w:val="baseline"/>
        </w:rPr>
        <w:t> </w:t>
      </w:r>
      <w:r>
        <w:rPr>
          <w:sz w:val="18"/>
          <w:vertAlign w:val="baseline"/>
        </w:rPr>
        <w:t>April</w:t>
      </w:r>
      <w:r>
        <w:rPr>
          <w:spacing w:val="-4"/>
          <w:sz w:val="18"/>
          <w:vertAlign w:val="baseline"/>
        </w:rPr>
        <w:t> </w:t>
      </w:r>
      <w:r>
        <w:rPr>
          <w:sz w:val="18"/>
          <w:vertAlign w:val="baseline"/>
        </w:rPr>
        <w:t>17,</w:t>
      </w:r>
      <w:r>
        <w:rPr>
          <w:spacing w:val="-4"/>
          <w:sz w:val="18"/>
          <w:vertAlign w:val="baseline"/>
        </w:rPr>
        <w:t> </w:t>
      </w:r>
      <w:r>
        <w:rPr>
          <w:sz w:val="18"/>
          <w:vertAlign w:val="baseline"/>
        </w:rPr>
        <w:t>2024, </w:t>
      </w:r>
      <w:r>
        <w:rPr>
          <w:spacing w:val="-2"/>
          <w:sz w:val="18"/>
          <w:vertAlign w:val="baseline"/>
        </w:rPr>
        <w:t>https://archive.suffolkdistrictattorney.com/the-juvenile-alternative-resolution-program/</w:t>
      </w:r>
    </w:p>
    <w:p>
      <w:pPr>
        <w:spacing w:line="153" w:lineRule="auto" w:before="36"/>
        <w:ind w:left="320" w:right="0" w:firstLine="0"/>
        <w:jc w:val="left"/>
        <w:rPr>
          <w:i/>
          <w:sz w:val="18"/>
        </w:rPr>
      </w:pPr>
      <w:r>
        <w:rPr>
          <w:sz w:val="12"/>
        </w:rPr>
        <w:t>199</w:t>
      </w:r>
      <w:r>
        <w:rPr>
          <w:spacing w:val="13"/>
          <w:sz w:val="12"/>
        </w:rPr>
        <w:t> </w:t>
      </w:r>
      <w:r>
        <w:rPr>
          <w:i/>
          <w:spacing w:val="-5"/>
          <w:position w:val="-5"/>
          <w:sz w:val="18"/>
        </w:rPr>
        <w:t>Id.</w:t>
      </w:r>
    </w:p>
    <w:p>
      <w:pPr>
        <w:spacing w:before="37"/>
        <w:ind w:left="320" w:right="514" w:hanging="1"/>
        <w:jc w:val="left"/>
        <w:rPr>
          <w:sz w:val="18"/>
        </w:rPr>
      </w:pPr>
      <w:r>
        <w:rPr>
          <w:sz w:val="18"/>
          <w:vertAlign w:val="superscript"/>
        </w:rPr>
        <w:t>200</w:t>
      </w:r>
      <w:r>
        <w:rPr>
          <w:spacing w:val="-4"/>
          <w:sz w:val="18"/>
          <w:vertAlign w:val="baseline"/>
        </w:rPr>
        <w:t> </w:t>
      </w:r>
      <w:r>
        <w:rPr>
          <w:sz w:val="18"/>
          <w:vertAlign w:val="baseline"/>
        </w:rPr>
        <w:t>Umass</w:t>
      </w:r>
      <w:r>
        <w:rPr>
          <w:spacing w:val="-4"/>
          <w:sz w:val="18"/>
          <w:vertAlign w:val="baseline"/>
        </w:rPr>
        <w:t> </w:t>
      </w:r>
      <w:r>
        <w:rPr>
          <w:sz w:val="18"/>
          <w:vertAlign w:val="baseline"/>
        </w:rPr>
        <w:t>Boston,</w:t>
      </w:r>
      <w:r>
        <w:rPr>
          <w:spacing w:val="-5"/>
          <w:sz w:val="18"/>
          <w:vertAlign w:val="baseline"/>
        </w:rPr>
        <w:t> </w:t>
      </w:r>
      <w:r>
        <w:rPr>
          <w:sz w:val="18"/>
          <w:vertAlign w:val="baseline"/>
        </w:rPr>
        <w:t>Restorative</w:t>
      </w:r>
      <w:r>
        <w:rPr>
          <w:spacing w:val="-4"/>
          <w:sz w:val="18"/>
          <w:vertAlign w:val="baseline"/>
        </w:rPr>
        <w:t> </w:t>
      </w:r>
      <w:r>
        <w:rPr>
          <w:sz w:val="18"/>
          <w:vertAlign w:val="baseline"/>
        </w:rPr>
        <w:t>Justice</w:t>
      </w:r>
      <w:r>
        <w:rPr>
          <w:spacing w:val="-4"/>
          <w:sz w:val="18"/>
          <w:vertAlign w:val="baseline"/>
        </w:rPr>
        <w:t> </w:t>
      </w:r>
      <w:r>
        <w:rPr>
          <w:sz w:val="18"/>
          <w:vertAlign w:val="baseline"/>
        </w:rPr>
        <w:t>Project,</w:t>
      </w:r>
      <w:r>
        <w:rPr>
          <w:spacing w:val="-5"/>
          <w:sz w:val="18"/>
          <w:vertAlign w:val="baseline"/>
        </w:rPr>
        <w:t> </w:t>
      </w:r>
      <w:r>
        <w:rPr>
          <w:sz w:val="18"/>
          <w:vertAlign w:val="baseline"/>
        </w:rPr>
        <w:t>Accessed</w:t>
      </w:r>
      <w:r>
        <w:rPr>
          <w:spacing w:val="-4"/>
          <w:sz w:val="18"/>
          <w:vertAlign w:val="baseline"/>
        </w:rPr>
        <w:t> </w:t>
      </w:r>
      <w:r>
        <w:rPr>
          <w:sz w:val="18"/>
          <w:vertAlign w:val="baseline"/>
        </w:rPr>
        <w:t>April</w:t>
      </w:r>
      <w:r>
        <w:rPr>
          <w:spacing w:val="-5"/>
          <w:sz w:val="18"/>
          <w:vertAlign w:val="baseline"/>
        </w:rPr>
        <w:t> </w:t>
      </w:r>
      <w:r>
        <w:rPr>
          <w:sz w:val="18"/>
          <w:vertAlign w:val="baseline"/>
        </w:rPr>
        <w:t>17,</w:t>
      </w:r>
      <w:r>
        <w:rPr>
          <w:spacing w:val="-5"/>
          <w:sz w:val="18"/>
          <w:vertAlign w:val="baseline"/>
        </w:rPr>
        <w:t> </w:t>
      </w:r>
      <w:r>
        <w:rPr>
          <w:sz w:val="18"/>
          <w:vertAlign w:val="baseline"/>
        </w:rPr>
        <w:t>2024,</w:t>
      </w:r>
      <w:r>
        <w:rPr>
          <w:spacing w:val="-5"/>
          <w:sz w:val="18"/>
          <w:vertAlign w:val="baseline"/>
        </w:rPr>
        <w:t> </w:t>
      </w:r>
      <w:r>
        <w:rPr>
          <w:sz w:val="18"/>
          <w:vertAlign w:val="baseline"/>
        </w:rPr>
        <w:t>https:</w:t>
      </w:r>
      <w:hyperlink r:id="rId545">
        <w:r>
          <w:rPr>
            <w:sz w:val="18"/>
            <w:vertAlign w:val="baseline"/>
          </w:rPr>
          <w:t>//www.umb.edu/cpdd/key-areas/law-justice-</w:t>
        </w:r>
      </w:hyperlink>
      <w:r>
        <w:rPr>
          <w:sz w:val="18"/>
          <w:vertAlign w:val="baseline"/>
        </w:rPr>
        <w:t> </w:t>
      </w:r>
      <w:r>
        <w:rPr>
          <w:spacing w:val="-2"/>
          <w:sz w:val="18"/>
          <w:vertAlign w:val="baseline"/>
        </w:rPr>
        <w:t>reform/restorative-justice-project/#d.en.63570</w:t>
      </w:r>
    </w:p>
    <w:p>
      <w:pPr>
        <w:spacing w:line="153" w:lineRule="auto" w:before="36"/>
        <w:ind w:left="320" w:right="0" w:firstLine="0"/>
        <w:jc w:val="left"/>
        <w:rPr>
          <w:i/>
          <w:sz w:val="18"/>
        </w:rPr>
      </w:pPr>
      <w:r>
        <w:rPr>
          <w:sz w:val="12"/>
        </w:rPr>
        <w:t>201</w:t>
      </w:r>
      <w:r>
        <w:rPr>
          <w:spacing w:val="13"/>
          <w:sz w:val="12"/>
        </w:rPr>
        <w:t> </w:t>
      </w:r>
      <w:r>
        <w:rPr>
          <w:i/>
          <w:spacing w:val="-5"/>
          <w:position w:val="-5"/>
          <w:sz w:val="18"/>
        </w:rPr>
        <w:t>Id.</w:t>
      </w:r>
    </w:p>
    <w:p>
      <w:pPr>
        <w:spacing w:before="35"/>
        <w:ind w:left="320" w:right="0" w:firstLine="0"/>
        <w:jc w:val="left"/>
        <w:rPr>
          <w:i/>
          <w:sz w:val="18"/>
        </w:rPr>
      </w:pPr>
      <w:r>
        <w:rPr>
          <w:sz w:val="12"/>
        </w:rPr>
        <w:t>202</w:t>
      </w:r>
      <w:r>
        <w:rPr>
          <w:spacing w:val="13"/>
          <w:sz w:val="12"/>
        </w:rPr>
        <w:t> </w:t>
      </w:r>
      <w:r>
        <w:rPr>
          <w:i/>
          <w:spacing w:val="-5"/>
          <w:position w:val="-5"/>
          <w:sz w:val="18"/>
        </w:rPr>
        <w:t>Id.</w:t>
      </w:r>
    </w:p>
    <w:p>
      <w:pPr>
        <w:spacing w:before="1"/>
        <w:ind w:left="320" w:right="0" w:hanging="1"/>
        <w:jc w:val="left"/>
        <w:rPr>
          <w:sz w:val="18"/>
        </w:rPr>
      </w:pPr>
      <w:r>
        <w:rPr>
          <w:sz w:val="18"/>
          <w:vertAlign w:val="superscript"/>
        </w:rPr>
        <w:t>203</w:t>
      </w:r>
      <w:r>
        <w:rPr>
          <w:spacing w:val="-2"/>
          <w:sz w:val="18"/>
          <w:vertAlign w:val="baseline"/>
        </w:rPr>
        <w:t> </w:t>
      </w:r>
      <w:r>
        <w:rPr>
          <w:sz w:val="18"/>
          <w:vertAlign w:val="baseline"/>
        </w:rPr>
        <w:t>Boston</w:t>
      </w:r>
      <w:r>
        <w:rPr>
          <w:spacing w:val="-2"/>
          <w:sz w:val="18"/>
          <w:vertAlign w:val="baseline"/>
        </w:rPr>
        <w:t> </w:t>
      </w:r>
      <w:r>
        <w:rPr>
          <w:sz w:val="18"/>
          <w:vertAlign w:val="baseline"/>
        </w:rPr>
        <w:t>Bar</w:t>
      </w:r>
      <w:r>
        <w:rPr>
          <w:spacing w:val="-3"/>
          <w:sz w:val="18"/>
          <w:vertAlign w:val="baseline"/>
        </w:rPr>
        <w:t> </w:t>
      </w:r>
      <w:r>
        <w:rPr>
          <w:sz w:val="18"/>
          <w:vertAlign w:val="baseline"/>
        </w:rPr>
        <w:t>Journal.</w:t>
      </w:r>
      <w:r>
        <w:rPr>
          <w:spacing w:val="-2"/>
          <w:sz w:val="18"/>
          <w:vertAlign w:val="baseline"/>
        </w:rPr>
        <w:t> </w:t>
      </w:r>
      <w:r>
        <w:rPr>
          <w:sz w:val="18"/>
          <w:vertAlign w:val="baseline"/>
        </w:rPr>
        <w:t>2018.</w:t>
      </w:r>
      <w:r>
        <w:rPr>
          <w:spacing w:val="-2"/>
          <w:sz w:val="18"/>
          <w:vertAlign w:val="baseline"/>
        </w:rPr>
        <w:t> </w:t>
      </w:r>
      <w:r>
        <w:rPr>
          <w:sz w:val="18"/>
          <w:vertAlign w:val="baseline"/>
        </w:rPr>
        <w:t>“Successful</w:t>
      </w:r>
      <w:r>
        <w:rPr>
          <w:spacing w:val="-3"/>
          <w:sz w:val="18"/>
          <w:vertAlign w:val="baseline"/>
        </w:rPr>
        <w:t> </w:t>
      </w:r>
      <w:r>
        <w:rPr>
          <w:sz w:val="18"/>
          <w:vertAlign w:val="baseline"/>
        </w:rPr>
        <w:t>Alternatives:</w:t>
      </w:r>
      <w:r>
        <w:rPr>
          <w:spacing w:val="-2"/>
          <w:sz w:val="18"/>
          <w:vertAlign w:val="baseline"/>
        </w:rPr>
        <w:t> </w:t>
      </w:r>
      <w:r>
        <w:rPr>
          <w:sz w:val="18"/>
          <w:vertAlign w:val="baseline"/>
        </w:rPr>
        <w:t>Juvenile</w:t>
      </w:r>
      <w:r>
        <w:rPr>
          <w:spacing w:val="-2"/>
          <w:sz w:val="18"/>
          <w:vertAlign w:val="baseline"/>
        </w:rPr>
        <w:t> </w:t>
      </w:r>
      <w:r>
        <w:rPr>
          <w:sz w:val="18"/>
          <w:vertAlign w:val="baseline"/>
        </w:rPr>
        <w:t>Diversion</w:t>
      </w:r>
      <w:r>
        <w:rPr>
          <w:spacing w:val="-2"/>
          <w:sz w:val="18"/>
          <w:vertAlign w:val="baseline"/>
        </w:rPr>
        <w:t> </w:t>
      </w:r>
      <w:r>
        <w:rPr>
          <w:sz w:val="18"/>
          <w:vertAlign w:val="baseline"/>
        </w:rPr>
        <w:t>and</w:t>
      </w:r>
      <w:r>
        <w:rPr>
          <w:spacing w:val="-2"/>
          <w:sz w:val="18"/>
          <w:vertAlign w:val="baseline"/>
        </w:rPr>
        <w:t> </w:t>
      </w:r>
      <w:r>
        <w:rPr>
          <w:sz w:val="18"/>
          <w:vertAlign w:val="baseline"/>
        </w:rPr>
        <w:t>Restorative</w:t>
      </w:r>
      <w:r>
        <w:rPr>
          <w:spacing w:val="-2"/>
          <w:sz w:val="18"/>
          <w:vertAlign w:val="baseline"/>
        </w:rPr>
        <w:t> </w:t>
      </w:r>
      <w:r>
        <w:rPr>
          <w:sz w:val="18"/>
          <w:vertAlign w:val="baseline"/>
        </w:rPr>
        <w:t>Justice</w:t>
      </w:r>
      <w:r>
        <w:rPr>
          <w:spacing w:val="-2"/>
          <w:sz w:val="18"/>
          <w:vertAlign w:val="baseline"/>
        </w:rPr>
        <w:t> </w:t>
      </w:r>
      <w:r>
        <w:rPr>
          <w:sz w:val="18"/>
          <w:vertAlign w:val="baseline"/>
        </w:rPr>
        <w:t>in</w:t>
      </w:r>
      <w:r>
        <w:rPr>
          <w:spacing w:val="-2"/>
          <w:sz w:val="18"/>
          <w:vertAlign w:val="baseline"/>
        </w:rPr>
        <w:t> </w:t>
      </w:r>
      <w:r>
        <w:rPr>
          <w:sz w:val="18"/>
          <w:vertAlign w:val="baseline"/>
        </w:rPr>
        <w:t>Suffolk</w:t>
      </w:r>
      <w:r>
        <w:rPr>
          <w:spacing w:val="-3"/>
          <w:sz w:val="18"/>
          <w:vertAlign w:val="baseline"/>
        </w:rPr>
        <w:t> </w:t>
      </w:r>
      <w:r>
        <w:rPr>
          <w:sz w:val="18"/>
          <w:vertAlign w:val="baseline"/>
        </w:rPr>
        <w:t>County”,</w:t>
      </w:r>
      <w:r>
        <w:rPr>
          <w:spacing w:val="-3"/>
          <w:sz w:val="18"/>
          <w:vertAlign w:val="baseline"/>
        </w:rPr>
        <w:t> </w:t>
      </w:r>
      <w:r>
        <w:rPr>
          <w:sz w:val="18"/>
          <w:vertAlign w:val="baseline"/>
        </w:rPr>
        <w:t>October</w:t>
      </w:r>
      <w:r>
        <w:rPr>
          <w:spacing w:val="-3"/>
          <w:sz w:val="18"/>
          <w:vertAlign w:val="baseline"/>
        </w:rPr>
        <w:t> </w:t>
      </w:r>
      <w:r>
        <w:rPr>
          <w:sz w:val="18"/>
          <w:vertAlign w:val="baseline"/>
        </w:rPr>
        <w:t>4, 2018,</w:t>
      </w:r>
      <w:r>
        <w:rPr>
          <w:spacing w:val="-2"/>
          <w:sz w:val="18"/>
          <w:vertAlign w:val="baseline"/>
        </w:rPr>
        <w:t> </w:t>
      </w:r>
      <w:r>
        <w:rPr>
          <w:sz w:val="18"/>
          <w:vertAlign w:val="baseline"/>
        </w:rPr>
        <w:t>https://bostonbar.org/journal/successful-alternatives-juvenile-diversion-and-restorative-justice-in-suffolk-county/</w:t>
      </w:r>
    </w:p>
    <w:p>
      <w:pPr>
        <w:spacing w:line="153" w:lineRule="auto" w:before="36"/>
        <w:ind w:left="320" w:right="0" w:firstLine="0"/>
        <w:jc w:val="left"/>
        <w:rPr>
          <w:i/>
          <w:sz w:val="18"/>
        </w:rPr>
      </w:pPr>
      <w:r>
        <w:rPr>
          <w:sz w:val="12"/>
        </w:rPr>
        <w:t>204</w:t>
      </w:r>
      <w:r>
        <w:rPr>
          <w:spacing w:val="13"/>
          <w:sz w:val="12"/>
        </w:rPr>
        <w:t> </w:t>
      </w:r>
      <w:r>
        <w:rPr>
          <w:i/>
          <w:spacing w:val="-5"/>
          <w:position w:val="-5"/>
          <w:sz w:val="18"/>
        </w:rPr>
        <w:t>Id.</w:t>
      </w:r>
    </w:p>
    <w:p>
      <w:pPr>
        <w:spacing w:before="35"/>
        <w:ind w:left="320" w:right="0" w:firstLine="0"/>
        <w:jc w:val="left"/>
        <w:rPr>
          <w:i/>
          <w:sz w:val="18"/>
        </w:rPr>
      </w:pPr>
      <w:r>
        <w:rPr>
          <w:sz w:val="12"/>
        </w:rPr>
        <w:t>205</w:t>
      </w:r>
      <w:r>
        <w:rPr>
          <w:spacing w:val="13"/>
          <w:sz w:val="12"/>
        </w:rPr>
        <w:t> </w:t>
      </w:r>
      <w:r>
        <w:rPr>
          <w:i/>
          <w:spacing w:val="-5"/>
          <w:position w:val="-5"/>
          <w:sz w:val="18"/>
        </w:rPr>
        <w:t>Id.</w:t>
      </w:r>
    </w:p>
    <w:p>
      <w:pPr>
        <w:spacing w:before="0"/>
        <w:ind w:left="320" w:right="220" w:firstLine="0"/>
        <w:jc w:val="left"/>
        <w:rPr>
          <w:sz w:val="18"/>
        </w:rPr>
      </w:pPr>
      <w:r>
        <w:rPr>
          <w:sz w:val="18"/>
          <w:vertAlign w:val="superscript"/>
        </w:rPr>
        <w:t>206</w:t>
      </w:r>
      <w:r>
        <w:rPr>
          <w:spacing w:val="-2"/>
          <w:sz w:val="18"/>
          <w:vertAlign w:val="baseline"/>
        </w:rPr>
        <w:t> </w:t>
      </w:r>
      <w:r>
        <w:rPr>
          <w:sz w:val="18"/>
          <w:vertAlign w:val="baseline"/>
        </w:rPr>
        <w:t>Harvel,</w:t>
      </w:r>
      <w:r>
        <w:rPr>
          <w:spacing w:val="-3"/>
          <w:sz w:val="18"/>
          <w:vertAlign w:val="baseline"/>
        </w:rPr>
        <w:t> </w:t>
      </w:r>
      <w:r>
        <w:rPr>
          <w:sz w:val="18"/>
          <w:vertAlign w:val="baseline"/>
        </w:rPr>
        <w:t>Samantha</w:t>
      </w:r>
      <w:r>
        <w:rPr>
          <w:spacing w:val="-2"/>
          <w:sz w:val="18"/>
          <w:vertAlign w:val="baseline"/>
        </w:rPr>
        <w:t> </w:t>
      </w:r>
      <w:r>
        <w:rPr>
          <w:sz w:val="18"/>
          <w:vertAlign w:val="baseline"/>
        </w:rPr>
        <w:t>et</w:t>
      </w:r>
      <w:r>
        <w:rPr>
          <w:spacing w:val="-3"/>
          <w:sz w:val="18"/>
          <w:vertAlign w:val="baseline"/>
        </w:rPr>
        <w:t> </w:t>
      </w:r>
      <w:r>
        <w:rPr>
          <w:sz w:val="18"/>
          <w:vertAlign w:val="baseline"/>
        </w:rPr>
        <w:t>al.</w:t>
      </w:r>
      <w:r>
        <w:rPr>
          <w:spacing w:val="-2"/>
          <w:sz w:val="18"/>
          <w:vertAlign w:val="baseline"/>
        </w:rPr>
        <w:t> </w:t>
      </w:r>
      <w:r>
        <w:rPr>
          <w:sz w:val="18"/>
          <w:vertAlign w:val="baseline"/>
        </w:rPr>
        <w:t>2019.</w:t>
      </w:r>
      <w:r>
        <w:rPr>
          <w:spacing w:val="-2"/>
          <w:sz w:val="18"/>
          <w:vertAlign w:val="baseline"/>
        </w:rPr>
        <w:t> </w:t>
      </w:r>
      <w:r>
        <w:rPr>
          <w:sz w:val="18"/>
          <w:vertAlign w:val="baseline"/>
        </w:rPr>
        <w:t>“Promoting</w:t>
      </w:r>
      <w:r>
        <w:rPr>
          <w:spacing w:val="-2"/>
          <w:sz w:val="18"/>
          <w:vertAlign w:val="baseline"/>
        </w:rPr>
        <w:t> </w:t>
      </w:r>
      <w:r>
        <w:rPr>
          <w:sz w:val="18"/>
          <w:vertAlign w:val="baseline"/>
        </w:rPr>
        <w:t>a</w:t>
      </w:r>
      <w:r>
        <w:rPr>
          <w:spacing w:val="-2"/>
          <w:sz w:val="18"/>
          <w:vertAlign w:val="baseline"/>
        </w:rPr>
        <w:t> </w:t>
      </w:r>
      <w:r>
        <w:rPr>
          <w:sz w:val="18"/>
          <w:vertAlign w:val="baseline"/>
        </w:rPr>
        <w:t>New</w:t>
      </w:r>
      <w:r>
        <w:rPr>
          <w:spacing w:val="-3"/>
          <w:sz w:val="18"/>
          <w:vertAlign w:val="baseline"/>
        </w:rPr>
        <w:t> </w:t>
      </w:r>
      <w:r>
        <w:rPr>
          <w:sz w:val="18"/>
          <w:vertAlign w:val="baseline"/>
        </w:rPr>
        <w:t>Direction</w:t>
      </w:r>
      <w:r>
        <w:rPr>
          <w:spacing w:val="-2"/>
          <w:sz w:val="18"/>
          <w:vertAlign w:val="baseline"/>
        </w:rPr>
        <w:t> </w:t>
      </w:r>
      <w:r>
        <w:rPr>
          <w:sz w:val="18"/>
          <w:vertAlign w:val="baseline"/>
        </w:rPr>
        <w:t>for</w:t>
      </w:r>
      <w:r>
        <w:rPr>
          <w:spacing w:val="-3"/>
          <w:sz w:val="18"/>
          <w:vertAlign w:val="baseline"/>
        </w:rPr>
        <w:t> </w:t>
      </w:r>
      <w:r>
        <w:rPr>
          <w:sz w:val="18"/>
          <w:vertAlign w:val="baseline"/>
        </w:rPr>
        <w:t>Youth</w:t>
      </w:r>
      <w:r>
        <w:rPr>
          <w:spacing w:val="-2"/>
          <w:sz w:val="18"/>
          <w:vertAlign w:val="baseline"/>
        </w:rPr>
        <w:t> </w:t>
      </w:r>
      <w:r>
        <w:rPr>
          <w:sz w:val="18"/>
          <w:vertAlign w:val="baseline"/>
        </w:rPr>
        <w:t>Justice</w:t>
      </w:r>
      <w:r>
        <w:rPr>
          <w:i/>
          <w:sz w:val="18"/>
          <w:vertAlign w:val="baseline"/>
        </w:rPr>
        <w:t>”,</w:t>
      </w:r>
      <w:r>
        <w:rPr>
          <w:i/>
          <w:spacing w:val="-3"/>
          <w:sz w:val="18"/>
          <w:vertAlign w:val="baseline"/>
        </w:rPr>
        <w:t> </w:t>
      </w:r>
      <w:r>
        <w:rPr>
          <w:i/>
          <w:sz w:val="18"/>
          <w:vertAlign w:val="baseline"/>
        </w:rPr>
        <w:t>Research</w:t>
      </w:r>
      <w:r>
        <w:rPr>
          <w:i/>
          <w:spacing w:val="-3"/>
          <w:sz w:val="18"/>
          <w:vertAlign w:val="baseline"/>
        </w:rPr>
        <w:t> </w:t>
      </w:r>
      <w:r>
        <w:rPr>
          <w:i/>
          <w:sz w:val="18"/>
          <w:vertAlign w:val="baseline"/>
        </w:rPr>
        <w:t>Report</w:t>
      </w:r>
      <w:r>
        <w:rPr>
          <w:i/>
          <w:spacing w:val="-3"/>
          <w:sz w:val="18"/>
          <w:vertAlign w:val="baseline"/>
        </w:rPr>
        <w:t> </w:t>
      </w:r>
      <w:r>
        <w:rPr>
          <w:i/>
          <w:sz w:val="18"/>
          <w:vertAlign w:val="baseline"/>
        </w:rPr>
        <w:t>Urban</w:t>
      </w:r>
      <w:r>
        <w:rPr>
          <w:i/>
          <w:spacing w:val="-3"/>
          <w:sz w:val="18"/>
          <w:vertAlign w:val="baseline"/>
        </w:rPr>
        <w:t> </w:t>
      </w:r>
      <w:r>
        <w:rPr>
          <w:i/>
          <w:sz w:val="18"/>
          <w:vertAlign w:val="baseline"/>
        </w:rPr>
        <w:t>Institute</w:t>
      </w:r>
      <w:r>
        <w:rPr>
          <w:sz w:val="18"/>
          <w:vertAlign w:val="baseline"/>
        </w:rPr>
        <w:t>,</w:t>
      </w:r>
      <w:r>
        <w:rPr>
          <w:spacing w:val="-3"/>
          <w:sz w:val="18"/>
          <w:vertAlign w:val="baseline"/>
        </w:rPr>
        <w:t> </w:t>
      </w:r>
      <w:r>
        <w:rPr>
          <w:sz w:val="18"/>
          <w:vertAlign w:val="baseline"/>
        </w:rPr>
        <w:t>March</w:t>
      </w:r>
      <w:r>
        <w:rPr>
          <w:spacing w:val="-2"/>
          <w:sz w:val="18"/>
          <w:vertAlign w:val="baseline"/>
        </w:rPr>
        <w:t> </w:t>
      </w:r>
      <w:r>
        <w:rPr>
          <w:sz w:val="18"/>
          <w:vertAlign w:val="baseline"/>
        </w:rPr>
        <w:t>2019, </w:t>
      </w:r>
      <w:r>
        <w:rPr>
          <w:spacing w:val="-2"/>
          <w:sz w:val="18"/>
          <w:vertAlign w:val="baseline"/>
        </w:rPr>
        <w:t>https:</w:t>
      </w:r>
      <w:hyperlink r:id="rId546">
        <w:r>
          <w:rPr>
            <w:spacing w:val="-2"/>
            <w:sz w:val="18"/>
            <w:vertAlign w:val="baseline"/>
          </w:rPr>
          <w:t>//www.urban.org/sites/default/files/publication/100013/innovative_strategies_for_investing_in_youth_justice_0.pdf</w:t>
        </w:r>
      </w:hyperlink>
      <w:r>
        <w:rPr>
          <w:spacing w:val="80"/>
          <w:sz w:val="18"/>
          <w:vertAlign w:val="baseline"/>
        </w:rPr>
        <w:t>   </w:t>
      </w:r>
      <w:r>
        <w:rPr>
          <w:sz w:val="18"/>
          <w:vertAlign w:val="superscript"/>
        </w:rPr>
        <w:t>207</w:t>
      </w:r>
      <w:r>
        <w:rPr>
          <w:sz w:val="18"/>
          <w:vertAlign w:val="baseline"/>
        </w:rPr>
        <w:t> Juvenile Justice Policy and Data Board. 2022. “Racial and Ethnic Disparities at the Front Door</w:t>
      </w:r>
      <w:r>
        <w:rPr>
          <w:spacing w:val="40"/>
          <w:sz w:val="18"/>
          <w:vertAlign w:val="baseline"/>
        </w:rPr>
        <w:t> </w:t>
      </w:r>
      <w:r>
        <w:rPr>
          <w:sz w:val="18"/>
          <w:vertAlign w:val="baseline"/>
        </w:rPr>
        <w:t>of Massachusetts’ Juvenile Justice System”, November 2022, </w:t>
      </w:r>
      <w:hyperlink r:id="rId547">
        <w:r>
          <w:rPr>
            <w:sz w:val="18"/>
            <w:u w:val="single"/>
            <w:vertAlign w:val="baseline"/>
          </w:rPr>
          <w:t>https://www.mass.gov/doc/racial-ethnic-disparities-at-the-front-door-of-massachusetts-</w:t>
        </w:r>
      </w:hyperlink>
      <w:r>
        <w:rPr>
          <w:sz w:val="18"/>
          <w:u w:val="none"/>
          <w:vertAlign w:val="baseline"/>
        </w:rPr>
        <w:t> </w:t>
      </w:r>
      <w:hyperlink r:id="rId547">
        <w:r>
          <w:rPr>
            <w:spacing w:val="-2"/>
            <w:sz w:val="18"/>
            <w:u w:val="single"/>
            <w:vertAlign w:val="baseline"/>
          </w:rPr>
          <w:t>juvenile-justice-system-understanding-the-factors-leading-to-overrepresentation-of-black-and-latino-youth-entering-the-</w:t>
        </w:r>
      </w:hyperlink>
      <w:r>
        <w:rPr>
          <w:sz w:val="18"/>
          <w:u w:val="none"/>
          <w:vertAlign w:val="baseline"/>
        </w:rPr>
        <w:t> </w:t>
      </w:r>
      <w:hyperlink r:id="rId547">
        <w:r>
          <w:rPr>
            <w:spacing w:val="-2"/>
            <w:sz w:val="18"/>
            <w:u w:val="single"/>
            <w:vertAlign w:val="baseline"/>
          </w:rPr>
          <w:t>system/download</w:t>
        </w:r>
      </w:hyperlink>
    </w:p>
    <w:p>
      <w:pPr>
        <w:spacing w:before="0"/>
        <w:ind w:left="320" w:right="481" w:firstLine="0"/>
        <w:jc w:val="left"/>
        <w:rPr>
          <w:sz w:val="18"/>
        </w:rPr>
      </w:pPr>
      <w:r>
        <w:rPr>
          <w:sz w:val="18"/>
          <w:vertAlign w:val="superscript"/>
        </w:rPr>
        <w:t>208</w:t>
      </w:r>
      <w:r>
        <w:rPr>
          <w:spacing w:val="-2"/>
          <w:sz w:val="18"/>
          <w:vertAlign w:val="baseline"/>
        </w:rPr>
        <w:t> </w:t>
      </w:r>
      <w:r>
        <w:rPr>
          <w:sz w:val="18"/>
          <w:vertAlign w:val="baseline"/>
        </w:rPr>
        <w:t>Johanna</w:t>
      </w:r>
      <w:r>
        <w:rPr>
          <w:spacing w:val="-2"/>
          <w:sz w:val="18"/>
          <w:vertAlign w:val="baseline"/>
        </w:rPr>
        <w:t> </w:t>
      </w:r>
      <w:r>
        <w:rPr>
          <w:sz w:val="18"/>
          <w:vertAlign w:val="baseline"/>
        </w:rPr>
        <w:t>Folk</w:t>
      </w:r>
      <w:r>
        <w:rPr>
          <w:spacing w:val="-3"/>
          <w:sz w:val="18"/>
          <w:vertAlign w:val="baseline"/>
        </w:rPr>
        <w:t> </w:t>
      </w:r>
      <w:r>
        <w:rPr>
          <w:sz w:val="18"/>
          <w:vertAlign w:val="baseline"/>
        </w:rPr>
        <w:t>et</w:t>
      </w:r>
      <w:r>
        <w:rPr>
          <w:spacing w:val="-4"/>
          <w:sz w:val="18"/>
          <w:vertAlign w:val="baseline"/>
        </w:rPr>
        <w:t> </w:t>
      </w:r>
      <w:r>
        <w:rPr>
          <w:sz w:val="18"/>
          <w:vertAlign w:val="baseline"/>
        </w:rPr>
        <w:t>al.</w:t>
      </w:r>
      <w:r>
        <w:rPr>
          <w:spacing w:val="-2"/>
          <w:sz w:val="18"/>
          <w:vertAlign w:val="baseline"/>
        </w:rPr>
        <w:t> </w:t>
      </w:r>
      <w:r>
        <w:rPr>
          <w:sz w:val="18"/>
          <w:vertAlign w:val="baseline"/>
        </w:rPr>
        <w:t>2017.</w:t>
      </w:r>
      <w:r>
        <w:rPr>
          <w:spacing w:val="-2"/>
          <w:sz w:val="18"/>
          <w:vertAlign w:val="baseline"/>
        </w:rPr>
        <w:t> </w:t>
      </w:r>
      <w:r>
        <w:rPr>
          <w:sz w:val="18"/>
          <w:vertAlign w:val="baseline"/>
        </w:rPr>
        <w:t>“Connectedness</w:t>
      </w:r>
      <w:r>
        <w:rPr>
          <w:spacing w:val="-2"/>
          <w:sz w:val="18"/>
          <w:vertAlign w:val="baseline"/>
        </w:rPr>
        <w:t> </w:t>
      </w:r>
      <w:r>
        <w:rPr>
          <w:sz w:val="18"/>
          <w:vertAlign w:val="baseline"/>
        </w:rPr>
        <w:t>to</w:t>
      </w:r>
      <w:r>
        <w:rPr>
          <w:spacing w:val="-2"/>
          <w:sz w:val="18"/>
          <w:vertAlign w:val="baseline"/>
        </w:rPr>
        <w:t> </w:t>
      </w:r>
      <w:r>
        <w:rPr>
          <w:sz w:val="18"/>
          <w:vertAlign w:val="baseline"/>
        </w:rPr>
        <w:t>the</w:t>
      </w:r>
      <w:r>
        <w:rPr>
          <w:spacing w:val="-3"/>
          <w:sz w:val="18"/>
          <w:vertAlign w:val="baseline"/>
        </w:rPr>
        <w:t> </w:t>
      </w:r>
      <w:r>
        <w:rPr>
          <w:sz w:val="18"/>
          <w:vertAlign w:val="baseline"/>
        </w:rPr>
        <w:t>Criminal</w:t>
      </w:r>
      <w:r>
        <w:rPr>
          <w:spacing w:val="-3"/>
          <w:sz w:val="18"/>
          <w:vertAlign w:val="baseline"/>
        </w:rPr>
        <w:t> </w:t>
      </w:r>
      <w:r>
        <w:rPr>
          <w:sz w:val="18"/>
          <w:vertAlign w:val="baseline"/>
        </w:rPr>
        <w:t>Community</w:t>
      </w:r>
      <w:r>
        <w:rPr>
          <w:spacing w:val="-2"/>
          <w:sz w:val="18"/>
          <w:vertAlign w:val="baseline"/>
        </w:rPr>
        <w:t> </w:t>
      </w:r>
      <w:r>
        <w:rPr>
          <w:sz w:val="18"/>
          <w:vertAlign w:val="baseline"/>
        </w:rPr>
        <w:t>and</w:t>
      </w:r>
      <w:r>
        <w:rPr>
          <w:spacing w:val="-2"/>
          <w:sz w:val="18"/>
          <w:vertAlign w:val="baseline"/>
        </w:rPr>
        <w:t> </w:t>
      </w:r>
      <w:r>
        <w:rPr>
          <w:sz w:val="18"/>
          <w:vertAlign w:val="baseline"/>
        </w:rPr>
        <w:t>the</w:t>
      </w:r>
      <w:r>
        <w:rPr>
          <w:spacing w:val="-2"/>
          <w:sz w:val="18"/>
          <w:vertAlign w:val="baseline"/>
        </w:rPr>
        <w:t> </w:t>
      </w:r>
      <w:r>
        <w:rPr>
          <w:sz w:val="18"/>
          <w:vertAlign w:val="baseline"/>
        </w:rPr>
        <w:t>Community</w:t>
      </w:r>
      <w:r>
        <w:rPr>
          <w:spacing w:val="-2"/>
          <w:sz w:val="18"/>
          <w:vertAlign w:val="baseline"/>
        </w:rPr>
        <w:t> </w:t>
      </w:r>
      <w:r>
        <w:rPr>
          <w:sz w:val="18"/>
          <w:vertAlign w:val="baseline"/>
        </w:rPr>
        <w:t>at</w:t>
      </w:r>
      <w:r>
        <w:rPr>
          <w:spacing w:val="-3"/>
          <w:sz w:val="18"/>
          <w:vertAlign w:val="baseline"/>
        </w:rPr>
        <w:t> </w:t>
      </w:r>
      <w:r>
        <w:rPr>
          <w:sz w:val="18"/>
          <w:vertAlign w:val="baseline"/>
        </w:rPr>
        <w:t>Large</w:t>
      </w:r>
      <w:r>
        <w:rPr>
          <w:spacing w:val="-2"/>
          <w:sz w:val="18"/>
          <w:vertAlign w:val="baseline"/>
        </w:rPr>
        <w:t> </w:t>
      </w:r>
      <w:r>
        <w:rPr>
          <w:sz w:val="18"/>
          <w:vertAlign w:val="baseline"/>
        </w:rPr>
        <w:t>Predicts</w:t>
      </w:r>
      <w:r>
        <w:rPr>
          <w:spacing w:val="-2"/>
          <w:sz w:val="18"/>
          <w:vertAlign w:val="baseline"/>
        </w:rPr>
        <w:t> </w:t>
      </w:r>
      <w:r>
        <w:rPr>
          <w:sz w:val="18"/>
          <w:vertAlign w:val="baseline"/>
        </w:rPr>
        <w:t>1-year</w:t>
      </w:r>
      <w:r>
        <w:rPr>
          <w:spacing w:val="-4"/>
          <w:sz w:val="18"/>
          <w:vertAlign w:val="baseline"/>
        </w:rPr>
        <w:t> </w:t>
      </w:r>
      <w:r>
        <w:rPr>
          <w:sz w:val="18"/>
          <w:vertAlign w:val="baseline"/>
        </w:rPr>
        <w:t>post- release Outcomes Among Felony Offenders”, </w:t>
      </w:r>
      <w:r>
        <w:rPr>
          <w:i/>
          <w:sz w:val="18"/>
          <w:vertAlign w:val="baseline"/>
        </w:rPr>
        <w:t>European Journal of Social Psychology,</w:t>
      </w:r>
      <w:r>
        <w:rPr>
          <w:i/>
          <w:sz w:val="18"/>
          <w:vertAlign w:val="baseline"/>
        </w:rPr>
        <w:t> </w:t>
      </w:r>
      <w:hyperlink r:id="rId548">
        <w:r>
          <w:rPr>
            <w:spacing w:val="-2"/>
            <w:sz w:val="18"/>
            <w:u w:val="single"/>
            <w:vertAlign w:val="baseline"/>
          </w:rPr>
          <w:t>https://www.ncbi.nlm.nih.gov/pmc/articles/PMC4978434/</w:t>
        </w:r>
        <w:r>
          <w:rPr>
            <w:spacing w:val="-2"/>
            <w:sz w:val="18"/>
            <w:u w:val="none"/>
            <w:vertAlign w:val="baseline"/>
          </w:rPr>
          <w:t>.</w:t>
        </w:r>
      </w:hyperlink>
    </w:p>
    <w:p>
      <w:pPr>
        <w:spacing w:before="0"/>
        <w:ind w:left="320" w:right="318" w:firstLine="0"/>
        <w:jc w:val="left"/>
        <w:rPr>
          <w:sz w:val="18"/>
        </w:rPr>
      </w:pPr>
      <w:r>
        <w:rPr>
          <w:sz w:val="18"/>
          <w:vertAlign w:val="superscript"/>
        </w:rPr>
        <w:t>209</w:t>
      </w:r>
      <w:r>
        <w:rPr>
          <w:spacing w:val="-2"/>
          <w:sz w:val="18"/>
          <w:vertAlign w:val="baseline"/>
        </w:rPr>
        <w:t> </w:t>
      </w:r>
      <w:r>
        <w:rPr>
          <w:sz w:val="18"/>
          <w:vertAlign w:val="baseline"/>
        </w:rPr>
        <w:t>National</w:t>
      </w:r>
      <w:r>
        <w:rPr>
          <w:spacing w:val="-3"/>
          <w:sz w:val="18"/>
          <w:vertAlign w:val="baseline"/>
        </w:rPr>
        <w:t> </w:t>
      </w:r>
      <w:r>
        <w:rPr>
          <w:sz w:val="18"/>
          <w:vertAlign w:val="baseline"/>
        </w:rPr>
        <w:t>Council</w:t>
      </w:r>
      <w:r>
        <w:rPr>
          <w:spacing w:val="-3"/>
          <w:sz w:val="18"/>
          <w:vertAlign w:val="baseline"/>
        </w:rPr>
        <w:t> </w:t>
      </w:r>
      <w:r>
        <w:rPr>
          <w:sz w:val="18"/>
          <w:vertAlign w:val="baseline"/>
        </w:rPr>
        <w:t>of</w:t>
      </w:r>
      <w:r>
        <w:rPr>
          <w:spacing w:val="-2"/>
          <w:sz w:val="18"/>
          <w:vertAlign w:val="baseline"/>
        </w:rPr>
        <w:t> </w:t>
      </w:r>
      <w:r>
        <w:rPr>
          <w:sz w:val="18"/>
          <w:vertAlign w:val="baseline"/>
        </w:rPr>
        <w:t>Juvenile</w:t>
      </w:r>
      <w:r>
        <w:rPr>
          <w:spacing w:val="-2"/>
          <w:sz w:val="18"/>
          <w:vertAlign w:val="baseline"/>
        </w:rPr>
        <w:t> </w:t>
      </w:r>
      <w:r>
        <w:rPr>
          <w:sz w:val="18"/>
          <w:vertAlign w:val="baseline"/>
        </w:rPr>
        <w:t>and</w:t>
      </w:r>
      <w:r>
        <w:rPr>
          <w:spacing w:val="-3"/>
          <w:sz w:val="18"/>
          <w:vertAlign w:val="baseline"/>
        </w:rPr>
        <w:t> </w:t>
      </w:r>
      <w:r>
        <w:rPr>
          <w:sz w:val="18"/>
          <w:vertAlign w:val="baseline"/>
        </w:rPr>
        <w:t>Family</w:t>
      </w:r>
      <w:r>
        <w:rPr>
          <w:spacing w:val="-2"/>
          <w:sz w:val="18"/>
          <w:vertAlign w:val="baseline"/>
        </w:rPr>
        <w:t> </w:t>
      </w:r>
      <w:r>
        <w:rPr>
          <w:sz w:val="18"/>
          <w:vertAlign w:val="baseline"/>
        </w:rPr>
        <w:t>Court</w:t>
      </w:r>
      <w:r>
        <w:rPr>
          <w:spacing w:val="-3"/>
          <w:sz w:val="18"/>
          <w:vertAlign w:val="baseline"/>
        </w:rPr>
        <w:t> </w:t>
      </w:r>
      <w:r>
        <w:rPr>
          <w:sz w:val="18"/>
          <w:vertAlign w:val="baseline"/>
        </w:rPr>
        <w:t>Judges,</w:t>
      </w:r>
      <w:r>
        <w:rPr>
          <w:spacing w:val="-3"/>
          <w:sz w:val="18"/>
          <w:vertAlign w:val="baseline"/>
        </w:rPr>
        <w:t> </w:t>
      </w:r>
      <w:r>
        <w:rPr>
          <w:sz w:val="18"/>
          <w:vertAlign w:val="baseline"/>
        </w:rPr>
        <w:t>Strategies</w:t>
      </w:r>
      <w:r>
        <w:rPr>
          <w:spacing w:val="-3"/>
          <w:sz w:val="18"/>
          <w:vertAlign w:val="baseline"/>
        </w:rPr>
        <w:t> </w:t>
      </w:r>
      <w:r>
        <w:rPr>
          <w:sz w:val="18"/>
          <w:vertAlign w:val="baseline"/>
        </w:rPr>
        <w:t>for</w:t>
      </w:r>
      <w:r>
        <w:rPr>
          <w:spacing w:val="-3"/>
          <w:sz w:val="18"/>
          <w:vertAlign w:val="baseline"/>
        </w:rPr>
        <w:t> </w:t>
      </w:r>
      <w:r>
        <w:rPr>
          <w:sz w:val="18"/>
          <w:vertAlign w:val="baseline"/>
        </w:rPr>
        <w:t>Engaging</w:t>
      </w:r>
      <w:r>
        <w:rPr>
          <w:spacing w:val="-2"/>
          <w:sz w:val="18"/>
          <w:vertAlign w:val="baseline"/>
        </w:rPr>
        <w:t> </w:t>
      </w:r>
      <w:r>
        <w:rPr>
          <w:sz w:val="18"/>
          <w:vertAlign w:val="baseline"/>
        </w:rPr>
        <w:t>Youth</w:t>
      </w:r>
      <w:r>
        <w:rPr>
          <w:spacing w:val="-2"/>
          <w:sz w:val="18"/>
          <w:vertAlign w:val="baseline"/>
        </w:rPr>
        <w:t> </w:t>
      </w:r>
      <w:r>
        <w:rPr>
          <w:sz w:val="18"/>
          <w:vertAlign w:val="baseline"/>
        </w:rPr>
        <w:t>and</w:t>
      </w:r>
      <w:r>
        <w:rPr>
          <w:spacing w:val="-2"/>
          <w:sz w:val="18"/>
          <w:vertAlign w:val="baseline"/>
        </w:rPr>
        <w:t> </w:t>
      </w:r>
      <w:r>
        <w:rPr>
          <w:sz w:val="18"/>
          <w:vertAlign w:val="baseline"/>
        </w:rPr>
        <w:t>Families</w:t>
      </w:r>
      <w:r>
        <w:rPr>
          <w:spacing w:val="-3"/>
          <w:sz w:val="18"/>
          <w:vertAlign w:val="baseline"/>
        </w:rPr>
        <w:t> </w:t>
      </w:r>
      <w:r>
        <w:rPr>
          <w:sz w:val="18"/>
          <w:vertAlign w:val="baseline"/>
        </w:rPr>
        <w:t>with</w:t>
      </w:r>
      <w:r>
        <w:rPr>
          <w:spacing w:val="-2"/>
          <w:sz w:val="18"/>
          <w:vertAlign w:val="baseline"/>
        </w:rPr>
        <w:t> </w:t>
      </w:r>
      <w:r>
        <w:rPr>
          <w:sz w:val="18"/>
          <w:vertAlign w:val="baseline"/>
        </w:rPr>
        <w:t>Lived</w:t>
      </w:r>
      <w:r>
        <w:rPr>
          <w:spacing w:val="-2"/>
          <w:sz w:val="18"/>
          <w:vertAlign w:val="baseline"/>
        </w:rPr>
        <w:t> </w:t>
      </w:r>
      <w:r>
        <w:rPr>
          <w:sz w:val="18"/>
          <w:vertAlign w:val="baseline"/>
        </w:rPr>
        <w:t>Experiences, 2020,</w:t>
      </w:r>
      <w:r>
        <w:rPr>
          <w:spacing w:val="-2"/>
          <w:sz w:val="18"/>
          <w:vertAlign w:val="baseline"/>
        </w:rPr>
        <w:t> </w:t>
      </w:r>
      <w:hyperlink r:id="rId549">
        <w:r>
          <w:rPr>
            <w:sz w:val="18"/>
            <w:u w:val="single"/>
            <w:vertAlign w:val="baseline"/>
          </w:rPr>
          <w:t>https://www.ncjfcj.org/wp-content/uploads/2020/09/NCJFCJ_Strategies_for_Engaging_PWLE_Final.pdf</w:t>
        </w:r>
      </w:hyperlink>
    </w:p>
    <w:p>
      <w:pPr>
        <w:spacing w:line="153" w:lineRule="auto" w:before="36"/>
        <w:ind w:left="320" w:right="0" w:firstLine="0"/>
        <w:jc w:val="left"/>
        <w:rPr>
          <w:i/>
          <w:sz w:val="18"/>
        </w:rPr>
      </w:pPr>
      <w:r>
        <w:rPr>
          <w:sz w:val="12"/>
        </w:rPr>
        <w:t>210</w:t>
      </w:r>
      <w:r>
        <w:rPr>
          <w:spacing w:val="13"/>
          <w:sz w:val="12"/>
        </w:rPr>
        <w:t> </w:t>
      </w:r>
      <w:r>
        <w:rPr>
          <w:i/>
          <w:spacing w:val="-5"/>
          <w:position w:val="-5"/>
          <w:sz w:val="18"/>
        </w:rPr>
        <w:t>Id.</w:t>
      </w:r>
    </w:p>
    <w:p>
      <w:pPr>
        <w:spacing w:before="35"/>
        <w:ind w:left="320" w:right="0" w:firstLine="0"/>
        <w:jc w:val="left"/>
        <w:rPr>
          <w:i/>
          <w:sz w:val="18"/>
        </w:rPr>
      </w:pPr>
      <w:r>
        <w:rPr>
          <w:sz w:val="12"/>
        </w:rPr>
        <w:t>211</w:t>
      </w:r>
      <w:r>
        <w:rPr>
          <w:spacing w:val="13"/>
          <w:sz w:val="12"/>
        </w:rPr>
        <w:t> </w:t>
      </w:r>
      <w:r>
        <w:rPr>
          <w:i/>
          <w:spacing w:val="-5"/>
          <w:position w:val="-5"/>
          <w:sz w:val="18"/>
        </w:rPr>
        <w:t>Id.</w:t>
      </w:r>
    </w:p>
    <w:p>
      <w:pPr>
        <w:spacing w:before="0"/>
        <w:ind w:left="320" w:right="746" w:firstLine="0"/>
        <w:jc w:val="left"/>
        <w:rPr>
          <w:sz w:val="18"/>
        </w:rPr>
      </w:pPr>
      <w:r>
        <w:rPr>
          <w:sz w:val="18"/>
          <w:vertAlign w:val="superscript"/>
        </w:rPr>
        <w:t>212</w:t>
      </w:r>
      <w:r>
        <w:rPr>
          <w:spacing w:val="-3"/>
          <w:sz w:val="18"/>
          <w:vertAlign w:val="baseline"/>
        </w:rPr>
        <w:t> </w:t>
      </w:r>
      <w:r>
        <w:rPr>
          <w:sz w:val="18"/>
          <w:vertAlign w:val="baseline"/>
        </w:rPr>
        <w:t>National</w:t>
      </w:r>
      <w:r>
        <w:rPr>
          <w:spacing w:val="-3"/>
          <w:sz w:val="18"/>
          <w:vertAlign w:val="baseline"/>
        </w:rPr>
        <w:t> </w:t>
      </w:r>
      <w:r>
        <w:rPr>
          <w:sz w:val="18"/>
          <w:vertAlign w:val="baseline"/>
        </w:rPr>
        <w:t>Center</w:t>
      </w:r>
      <w:r>
        <w:rPr>
          <w:spacing w:val="-3"/>
          <w:sz w:val="18"/>
          <w:vertAlign w:val="baseline"/>
        </w:rPr>
        <w:t> </w:t>
      </w:r>
      <w:r>
        <w:rPr>
          <w:sz w:val="18"/>
          <w:vertAlign w:val="baseline"/>
        </w:rPr>
        <w:t>on</w:t>
      </w:r>
      <w:r>
        <w:rPr>
          <w:spacing w:val="-3"/>
          <w:sz w:val="18"/>
          <w:vertAlign w:val="baseline"/>
        </w:rPr>
        <w:t> </w:t>
      </w:r>
      <w:r>
        <w:rPr>
          <w:sz w:val="18"/>
          <w:vertAlign w:val="baseline"/>
        </w:rPr>
        <w:t>Substance</w:t>
      </w:r>
      <w:r>
        <w:rPr>
          <w:spacing w:val="-3"/>
          <w:sz w:val="18"/>
          <w:vertAlign w:val="baseline"/>
        </w:rPr>
        <w:t> </w:t>
      </w:r>
      <w:r>
        <w:rPr>
          <w:sz w:val="18"/>
          <w:vertAlign w:val="baseline"/>
        </w:rPr>
        <w:t>Abuse</w:t>
      </w:r>
      <w:r>
        <w:rPr>
          <w:spacing w:val="-3"/>
          <w:sz w:val="18"/>
          <w:vertAlign w:val="baseline"/>
        </w:rPr>
        <w:t> </w:t>
      </w:r>
      <w:r>
        <w:rPr>
          <w:sz w:val="18"/>
          <w:vertAlign w:val="baseline"/>
        </w:rPr>
        <w:t>and</w:t>
      </w:r>
      <w:r>
        <w:rPr>
          <w:spacing w:val="-3"/>
          <w:sz w:val="18"/>
          <w:vertAlign w:val="baseline"/>
        </w:rPr>
        <w:t> </w:t>
      </w:r>
      <w:r>
        <w:rPr>
          <w:sz w:val="18"/>
          <w:vertAlign w:val="baseline"/>
        </w:rPr>
        <w:t>Child</w:t>
      </w:r>
      <w:r>
        <w:rPr>
          <w:spacing w:val="-3"/>
          <w:sz w:val="18"/>
          <w:vertAlign w:val="baseline"/>
        </w:rPr>
        <w:t> </w:t>
      </w:r>
      <w:r>
        <w:rPr>
          <w:sz w:val="18"/>
          <w:vertAlign w:val="baseline"/>
        </w:rPr>
        <w:t>Welfare.</w:t>
      </w:r>
      <w:r>
        <w:rPr>
          <w:spacing w:val="-3"/>
          <w:sz w:val="18"/>
          <w:vertAlign w:val="baseline"/>
        </w:rPr>
        <w:t> </w:t>
      </w:r>
      <w:r>
        <w:rPr>
          <w:sz w:val="18"/>
          <w:vertAlign w:val="baseline"/>
        </w:rPr>
        <w:t>2022.</w:t>
      </w:r>
      <w:r>
        <w:rPr>
          <w:spacing w:val="-3"/>
          <w:sz w:val="18"/>
          <w:vertAlign w:val="baseline"/>
        </w:rPr>
        <w:t> </w:t>
      </w:r>
      <w:r>
        <w:rPr>
          <w:sz w:val="18"/>
          <w:vertAlign w:val="baseline"/>
        </w:rPr>
        <w:t>“Engaging</w:t>
      </w:r>
      <w:r>
        <w:rPr>
          <w:spacing w:val="-3"/>
          <w:sz w:val="18"/>
          <w:vertAlign w:val="baseline"/>
        </w:rPr>
        <w:t> </w:t>
      </w:r>
      <w:r>
        <w:rPr>
          <w:sz w:val="18"/>
          <w:vertAlign w:val="baseline"/>
        </w:rPr>
        <w:t>Parents</w:t>
      </w:r>
      <w:r>
        <w:rPr>
          <w:spacing w:val="-3"/>
          <w:sz w:val="18"/>
          <w:vertAlign w:val="baseline"/>
        </w:rPr>
        <w:t> </w:t>
      </w:r>
      <w:r>
        <w:rPr>
          <w:sz w:val="18"/>
          <w:vertAlign w:val="baseline"/>
        </w:rPr>
        <w:t>and</w:t>
      </w:r>
      <w:r>
        <w:rPr>
          <w:spacing w:val="-3"/>
          <w:sz w:val="18"/>
          <w:vertAlign w:val="baseline"/>
        </w:rPr>
        <w:t> </w:t>
      </w:r>
      <w:r>
        <w:rPr>
          <w:sz w:val="18"/>
          <w:vertAlign w:val="baseline"/>
        </w:rPr>
        <w:t>Youths</w:t>
      </w:r>
      <w:r>
        <w:rPr>
          <w:spacing w:val="-3"/>
          <w:sz w:val="18"/>
          <w:vertAlign w:val="baseline"/>
        </w:rPr>
        <w:t> </w:t>
      </w:r>
      <w:r>
        <w:rPr>
          <w:sz w:val="18"/>
          <w:vertAlign w:val="baseline"/>
        </w:rPr>
        <w:t>With</w:t>
      </w:r>
      <w:r>
        <w:rPr>
          <w:spacing w:val="-3"/>
          <w:sz w:val="18"/>
          <w:vertAlign w:val="baseline"/>
        </w:rPr>
        <w:t> </w:t>
      </w:r>
      <w:r>
        <w:rPr>
          <w:sz w:val="18"/>
          <w:vertAlign w:val="baseline"/>
        </w:rPr>
        <w:t>Lived</w:t>
      </w:r>
      <w:r>
        <w:rPr>
          <w:spacing w:val="-3"/>
          <w:sz w:val="18"/>
          <w:vertAlign w:val="baseline"/>
        </w:rPr>
        <w:t> </w:t>
      </w:r>
      <w:r>
        <w:rPr>
          <w:sz w:val="18"/>
          <w:vertAlign w:val="baseline"/>
        </w:rPr>
        <w:t>Experience” </w:t>
      </w:r>
      <w:r>
        <w:rPr>
          <w:spacing w:val="-2"/>
          <w:sz w:val="18"/>
          <w:vertAlign w:val="baseline"/>
        </w:rPr>
        <w:t>https://ncsacw.acf.hhs.gov/files/live-experience.pdf.</w:t>
      </w:r>
    </w:p>
    <w:p>
      <w:pPr>
        <w:spacing w:before="1"/>
        <w:ind w:left="320" w:right="0" w:firstLine="0"/>
        <w:jc w:val="left"/>
        <w:rPr>
          <w:sz w:val="18"/>
        </w:rPr>
      </w:pPr>
      <w:r>
        <w:rPr>
          <w:sz w:val="18"/>
          <w:vertAlign w:val="superscript"/>
        </w:rPr>
        <w:t>213</w:t>
      </w:r>
      <w:r>
        <w:rPr>
          <w:spacing w:val="-3"/>
          <w:sz w:val="18"/>
          <w:vertAlign w:val="baseline"/>
        </w:rPr>
        <w:t> </w:t>
      </w:r>
      <w:r>
        <w:rPr>
          <w:sz w:val="18"/>
          <w:vertAlign w:val="baseline"/>
        </w:rPr>
        <w:t>National</w:t>
      </w:r>
      <w:r>
        <w:rPr>
          <w:spacing w:val="-4"/>
          <w:sz w:val="18"/>
          <w:vertAlign w:val="baseline"/>
        </w:rPr>
        <w:t> </w:t>
      </w:r>
      <w:r>
        <w:rPr>
          <w:sz w:val="18"/>
          <w:vertAlign w:val="baseline"/>
        </w:rPr>
        <w:t>Collaboration</w:t>
      </w:r>
      <w:r>
        <w:rPr>
          <w:spacing w:val="-3"/>
          <w:sz w:val="18"/>
          <w:vertAlign w:val="baseline"/>
        </w:rPr>
        <w:t> </w:t>
      </w:r>
      <w:r>
        <w:rPr>
          <w:sz w:val="18"/>
          <w:vertAlign w:val="baseline"/>
        </w:rPr>
        <w:t>for</w:t>
      </w:r>
      <w:r>
        <w:rPr>
          <w:spacing w:val="-4"/>
          <w:sz w:val="18"/>
          <w:vertAlign w:val="baseline"/>
        </w:rPr>
        <w:t> </w:t>
      </w:r>
      <w:r>
        <w:rPr>
          <w:sz w:val="18"/>
          <w:vertAlign w:val="baseline"/>
        </w:rPr>
        <w:t>Youth</w:t>
      </w:r>
      <w:r>
        <w:rPr>
          <w:spacing w:val="-3"/>
          <w:sz w:val="18"/>
          <w:vertAlign w:val="baseline"/>
        </w:rPr>
        <w:t> </w:t>
      </w:r>
      <w:r>
        <w:rPr>
          <w:sz w:val="18"/>
          <w:vertAlign w:val="baseline"/>
        </w:rPr>
        <w:t>and</w:t>
      </w:r>
      <w:r>
        <w:rPr>
          <w:spacing w:val="-3"/>
          <w:sz w:val="18"/>
          <w:vertAlign w:val="baseline"/>
        </w:rPr>
        <w:t> </w:t>
      </w:r>
      <w:r>
        <w:rPr>
          <w:sz w:val="18"/>
          <w:vertAlign w:val="baseline"/>
        </w:rPr>
        <w:t>National</w:t>
      </w:r>
      <w:r>
        <w:rPr>
          <w:spacing w:val="-4"/>
          <w:sz w:val="18"/>
          <w:vertAlign w:val="baseline"/>
        </w:rPr>
        <w:t> </w:t>
      </w:r>
      <w:r>
        <w:rPr>
          <w:sz w:val="18"/>
          <w:vertAlign w:val="baseline"/>
        </w:rPr>
        <w:t>Juvenile</w:t>
      </w:r>
      <w:r>
        <w:rPr>
          <w:spacing w:val="-3"/>
          <w:sz w:val="18"/>
          <w:vertAlign w:val="baseline"/>
        </w:rPr>
        <w:t> </w:t>
      </w:r>
      <w:r>
        <w:rPr>
          <w:sz w:val="18"/>
          <w:vertAlign w:val="baseline"/>
        </w:rPr>
        <w:t>Justice</w:t>
      </w:r>
      <w:r>
        <w:rPr>
          <w:spacing w:val="-3"/>
          <w:sz w:val="18"/>
          <w:vertAlign w:val="baseline"/>
        </w:rPr>
        <w:t> </w:t>
      </w:r>
      <w:r>
        <w:rPr>
          <w:sz w:val="18"/>
          <w:vertAlign w:val="baseline"/>
        </w:rPr>
        <w:t>Network.</w:t>
      </w:r>
      <w:r>
        <w:rPr>
          <w:spacing w:val="-3"/>
          <w:sz w:val="18"/>
          <w:vertAlign w:val="baseline"/>
        </w:rPr>
        <w:t> </w:t>
      </w:r>
      <w:r>
        <w:rPr>
          <w:sz w:val="18"/>
          <w:vertAlign w:val="baseline"/>
        </w:rPr>
        <w:t>2007.</w:t>
      </w:r>
      <w:r>
        <w:rPr>
          <w:spacing w:val="-3"/>
          <w:sz w:val="18"/>
          <w:vertAlign w:val="baseline"/>
        </w:rPr>
        <w:t> </w:t>
      </w:r>
      <w:r>
        <w:rPr>
          <w:sz w:val="18"/>
          <w:vertAlign w:val="baseline"/>
        </w:rPr>
        <w:t>“Engaging</w:t>
      </w:r>
      <w:r>
        <w:rPr>
          <w:spacing w:val="-3"/>
          <w:sz w:val="18"/>
          <w:vertAlign w:val="baseline"/>
        </w:rPr>
        <w:t> </w:t>
      </w:r>
      <w:r>
        <w:rPr>
          <w:sz w:val="18"/>
          <w:vertAlign w:val="baseline"/>
        </w:rPr>
        <w:t>Young</w:t>
      </w:r>
      <w:r>
        <w:rPr>
          <w:spacing w:val="-4"/>
          <w:sz w:val="18"/>
          <w:vertAlign w:val="baseline"/>
        </w:rPr>
        <w:t> </w:t>
      </w:r>
      <w:r>
        <w:rPr>
          <w:sz w:val="18"/>
          <w:vertAlign w:val="baseline"/>
        </w:rPr>
        <w:t>People</w:t>
      </w:r>
      <w:r>
        <w:rPr>
          <w:spacing w:val="-3"/>
          <w:sz w:val="18"/>
          <w:vertAlign w:val="baseline"/>
        </w:rPr>
        <w:t> </w:t>
      </w:r>
      <w:r>
        <w:rPr>
          <w:sz w:val="18"/>
          <w:vertAlign w:val="baseline"/>
        </w:rPr>
        <w:t>in</w:t>
      </w:r>
      <w:r>
        <w:rPr>
          <w:spacing w:val="-3"/>
          <w:sz w:val="18"/>
          <w:vertAlign w:val="baseline"/>
        </w:rPr>
        <w:t> </w:t>
      </w:r>
      <w:r>
        <w:rPr>
          <w:sz w:val="18"/>
          <w:vertAlign w:val="baseline"/>
        </w:rPr>
        <w:t>Juvenile</w:t>
      </w:r>
      <w:r>
        <w:rPr>
          <w:spacing w:val="-3"/>
          <w:sz w:val="18"/>
          <w:vertAlign w:val="baseline"/>
        </w:rPr>
        <w:t> </w:t>
      </w:r>
      <w:r>
        <w:rPr>
          <w:sz w:val="18"/>
          <w:vertAlign w:val="baseline"/>
        </w:rPr>
        <w:t>Justice Reform”, </w:t>
      </w:r>
      <w:r>
        <w:rPr>
          <w:i/>
          <w:sz w:val="18"/>
          <w:vertAlign w:val="baseline"/>
        </w:rPr>
        <w:t>Policy Brief</w:t>
      </w:r>
      <w:r>
        <w:rPr>
          <w:sz w:val="18"/>
          <w:vertAlign w:val="baseline"/>
        </w:rPr>
        <w:t>, May 2007, https:</w:t>
      </w:r>
      <w:hyperlink r:id="rId550">
        <w:r>
          <w:rPr>
            <w:sz w:val="18"/>
            <w:vertAlign w:val="baseline"/>
          </w:rPr>
          <w:t>//www.njjn.org/uploads/digital-library/resource_497.pdf.</w:t>
        </w:r>
      </w:hyperlink>
    </w:p>
    <w:p>
      <w:pPr>
        <w:spacing w:line="153" w:lineRule="auto" w:before="35"/>
        <w:ind w:left="320" w:right="0" w:firstLine="0"/>
        <w:jc w:val="left"/>
        <w:rPr>
          <w:i/>
          <w:sz w:val="18"/>
        </w:rPr>
      </w:pPr>
      <w:r>
        <w:rPr>
          <w:sz w:val="12"/>
        </w:rPr>
        <w:t>214</w:t>
      </w:r>
      <w:r>
        <w:rPr>
          <w:spacing w:val="13"/>
          <w:sz w:val="12"/>
        </w:rPr>
        <w:t> </w:t>
      </w:r>
      <w:r>
        <w:rPr>
          <w:i/>
          <w:spacing w:val="-5"/>
          <w:position w:val="-5"/>
          <w:sz w:val="18"/>
        </w:rPr>
        <w:t>Id.</w:t>
      </w:r>
    </w:p>
    <w:p>
      <w:pPr>
        <w:spacing w:before="38"/>
        <w:ind w:left="320" w:right="2275" w:firstLine="0"/>
        <w:jc w:val="left"/>
        <w:rPr>
          <w:sz w:val="18"/>
        </w:rPr>
      </w:pPr>
      <w:r>
        <w:rPr>
          <w:sz w:val="18"/>
          <w:vertAlign w:val="superscript"/>
        </w:rPr>
        <w:t>215</w:t>
      </w:r>
      <w:r>
        <w:rPr>
          <w:sz w:val="18"/>
          <w:vertAlign w:val="baseline"/>
        </w:rPr>
        <w:t> Alliance for Children’s Rights. 2022. “Engaging Lived Experience in Public Policy Discussions” </w:t>
      </w:r>
      <w:r>
        <w:rPr>
          <w:spacing w:val="-2"/>
          <w:sz w:val="18"/>
          <w:vertAlign w:val="baseline"/>
        </w:rPr>
        <w:t>https://allianceforchildrensrights.org/wp-content/uploads/Engaging-Lived-Experience-Report.pdf.</w:t>
      </w:r>
    </w:p>
    <w:p>
      <w:pPr>
        <w:spacing w:after="0"/>
        <w:jc w:val="left"/>
        <w:rPr>
          <w:sz w:val="18"/>
        </w:rPr>
        <w:sectPr>
          <w:pgSz w:w="12240" w:h="15840"/>
          <w:pgMar w:header="763" w:footer="1041" w:top="1360" w:bottom="1240" w:left="1120" w:right="1340"/>
        </w:sectPr>
      </w:pPr>
    </w:p>
    <w:p>
      <w:pPr>
        <w:pStyle w:val="BodyText"/>
        <w:rPr>
          <w:sz w:val="34"/>
        </w:rPr>
      </w:pPr>
    </w:p>
    <w:p>
      <w:pPr>
        <w:pStyle w:val="BodyText"/>
        <w:spacing w:before="243"/>
        <w:rPr>
          <w:sz w:val="34"/>
        </w:rPr>
      </w:pPr>
    </w:p>
    <w:p>
      <w:pPr>
        <w:spacing w:line="400" w:lineRule="exact" w:before="1"/>
        <w:ind w:left="674" w:right="0" w:firstLine="0"/>
        <w:jc w:val="left"/>
        <w:rPr>
          <w:sz w:val="34"/>
        </w:rPr>
      </w:pPr>
      <w:bookmarkStart w:name="Flyer Template for Reports Gianna, Theo " w:id="769"/>
      <w:bookmarkEnd w:id="769"/>
      <w:r>
        <w:rPr/>
      </w:r>
      <w:r>
        <w:rPr>
          <w:color w:val="FFFFFF"/>
          <w:w w:val="120"/>
          <w:sz w:val="34"/>
        </w:rPr>
        <w:t>COMMISSION</w:t>
      </w:r>
      <w:r>
        <w:rPr>
          <w:color w:val="FFFFFF"/>
          <w:spacing w:val="17"/>
          <w:w w:val="120"/>
          <w:sz w:val="34"/>
        </w:rPr>
        <w:t> </w:t>
      </w:r>
      <w:r>
        <w:rPr>
          <w:color w:val="FFFFFF"/>
          <w:w w:val="120"/>
          <w:sz w:val="34"/>
        </w:rPr>
        <w:t>ON</w:t>
      </w:r>
      <w:r>
        <w:rPr>
          <w:color w:val="FFFFFF"/>
          <w:spacing w:val="17"/>
          <w:w w:val="120"/>
          <w:sz w:val="34"/>
        </w:rPr>
        <w:t> </w:t>
      </w:r>
      <w:r>
        <w:rPr>
          <w:color w:val="FFFFFF"/>
          <w:w w:val="120"/>
          <w:sz w:val="34"/>
        </w:rPr>
        <w:t>LGBTQ</w:t>
      </w:r>
      <w:r>
        <w:rPr>
          <w:color w:val="FFFFFF"/>
          <w:spacing w:val="17"/>
          <w:w w:val="120"/>
          <w:sz w:val="34"/>
        </w:rPr>
        <w:t> </w:t>
      </w:r>
      <w:r>
        <w:rPr>
          <w:color w:val="FFFFFF"/>
          <w:spacing w:val="-2"/>
          <w:w w:val="120"/>
          <w:sz w:val="34"/>
        </w:rPr>
        <w:t>YOUTH</w:t>
      </w:r>
    </w:p>
    <w:p>
      <w:pPr>
        <w:pStyle w:val="Heading5"/>
        <w:spacing w:line="213" w:lineRule="auto"/>
        <w:ind w:left="674" w:right="2390"/>
      </w:pPr>
      <w:r>
        <w:rPr>
          <w:color w:val="FFFFFF"/>
          <w:spacing w:val="-2"/>
          <w:w w:val="90"/>
        </w:rPr>
        <w:t>ADVANCING </w:t>
      </w:r>
      <w:r>
        <w:rPr>
          <w:color w:val="FFFFFF"/>
          <w:spacing w:val="-26"/>
        </w:rPr>
        <w:t>JUSTICE</w:t>
      </w:r>
    </w:p>
    <w:p>
      <w:pPr>
        <w:pStyle w:val="BodyText"/>
        <w:rPr>
          <w:rFonts w:ascii="Verdana"/>
          <w:b/>
          <w:sz w:val="20"/>
        </w:rPr>
      </w:pPr>
    </w:p>
    <w:p>
      <w:pPr>
        <w:pStyle w:val="BodyText"/>
        <w:rPr>
          <w:rFonts w:ascii="Verdana"/>
          <w:b/>
          <w:sz w:val="20"/>
        </w:rPr>
      </w:pPr>
    </w:p>
    <w:p>
      <w:pPr>
        <w:pStyle w:val="BodyText"/>
        <w:rPr>
          <w:rFonts w:ascii="Verdana"/>
          <w:b/>
          <w:sz w:val="20"/>
        </w:rPr>
      </w:pPr>
    </w:p>
    <w:p>
      <w:pPr>
        <w:pStyle w:val="BodyText"/>
        <w:rPr>
          <w:rFonts w:ascii="Verdana"/>
          <w:b/>
          <w:sz w:val="20"/>
        </w:rPr>
      </w:pPr>
    </w:p>
    <w:p>
      <w:pPr>
        <w:pStyle w:val="BodyText"/>
        <w:rPr>
          <w:rFonts w:ascii="Verdana"/>
          <w:b/>
          <w:sz w:val="20"/>
        </w:rPr>
      </w:pPr>
    </w:p>
    <w:p>
      <w:pPr>
        <w:pStyle w:val="BodyText"/>
        <w:spacing w:before="47"/>
        <w:rPr>
          <w:rFonts w:ascii="Verdana"/>
          <w:b/>
          <w:sz w:val="20"/>
        </w:rPr>
      </w:pPr>
    </w:p>
    <w:p>
      <w:pPr>
        <w:spacing w:after="0"/>
        <w:rPr>
          <w:rFonts w:ascii="Verdana"/>
          <w:sz w:val="20"/>
        </w:rPr>
        <w:sectPr>
          <w:headerReference w:type="default" r:id="rId551"/>
          <w:footerReference w:type="default" r:id="rId552"/>
          <w:pgSz w:w="12240" w:h="15840"/>
          <w:pgMar w:header="0" w:footer="0" w:top="0" w:bottom="280" w:left="920" w:right="380"/>
        </w:sectPr>
      </w:pPr>
    </w:p>
    <w:p>
      <w:pPr>
        <w:pStyle w:val="Heading9"/>
        <w:rPr>
          <w:i/>
        </w:rPr>
      </w:pPr>
      <w:r>
        <w:rPr>
          <w:i/>
          <w:spacing w:val="11"/>
          <w:w w:val="125"/>
        </w:rPr>
        <w:t>ABOUT</w:t>
      </w:r>
    </w:p>
    <w:p>
      <w:pPr>
        <w:spacing w:line="261" w:lineRule="auto" w:before="198"/>
        <w:ind w:left="323" w:right="38" w:firstLine="0"/>
        <w:jc w:val="both"/>
        <w:rPr>
          <w:rFonts w:ascii="Georgia"/>
          <w:sz w:val="23"/>
        </w:rPr>
      </w:pPr>
      <w:r>
        <w:rPr>
          <w:rFonts w:ascii="Georgia"/>
          <w:sz w:val="23"/>
        </w:rPr>
        <w:t>Harassment, bullying, and violence often lead to LGBTQ youth coping through criminalized compensatory</w:t>
      </w:r>
      <w:r>
        <w:rPr>
          <w:rFonts w:ascii="Georgia"/>
          <w:spacing w:val="40"/>
          <w:sz w:val="23"/>
        </w:rPr>
        <w:t> </w:t>
      </w:r>
      <w:r>
        <w:rPr>
          <w:rFonts w:ascii="Georgia"/>
          <w:sz w:val="23"/>
        </w:rPr>
        <w:t>behaviors,</w:t>
      </w:r>
      <w:r>
        <w:rPr>
          <w:rFonts w:ascii="Georgia"/>
          <w:spacing w:val="40"/>
          <w:sz w:val="23"/>
        </w:rPr>
        <w:t> </w:t>
      </w:r>
      <w:r>
        <w:rPr>
          <w:rFonts w:ascii="Georgia"/>
          <w:sz w:val="23"/>
        </w:rPr>
        <w:t>and</w:t>
      </w:r>
      <w:r>
        <w:rPr>
          <w:rFonts w:ascii="Georgia"/>
          <w:spacing w:val="40"/>
          <w:sz w:val="23"/>
        </w:rPr>
        <w:t> </w:t>
      </w:r>
      <w:r>
        <w:rPr>
          <w:rFonts w:ascii="Georgia"/>
          <w:sz w:val="23"/>
        </w:rPr>
        <w:t>survival</w:t>
      </w:r>
      <w:r>
        <w:rPr>
          <w:rFonts w:ascii="Georgia"/>
          <w:spacing w:val="40"/>
          <w:sz w:val="23"/>
        </w:rPr>
        <w:t> </w:t>
      </w:r>
      <w:r>
        <w:rPr>
          <w:rFonts w:ascii="Georgia"/>
          <w:sz w:val="23"/>
        </w:rPr>
        <w:t>economies - such as sex work and the selling of drugs. Police are also more likely to disproportionately target LGBTQ youth, particularly youth of color and those</w:t>
      </w:r>
      <w:r>
        <w:rPr>
          <w:rFonts w:ascii="Georgia"/>
          <w:spacing w:val="80"/>
          <w:sz w:val="23"/>
        </w:rPr>
        <w:t> </w:t>
      </w:r>
      <w:r>
        <w:rPr>
          <w:rFonts w:ascii="Georgia"/>
          <w:sz w:val="23"/>
        </w:rPr>
        <w:t>experiencing homelessness.</w:t>
      </w:r>
    </w:p>
    <w:p>
      <w:pPr>
        <w:pStyle w:val="BodyText"/>
        <w:spacing w:before="24"/>
        <w:rPr>
          <w:rFonts w:ascii="Georgia"/>
          <w:sz w:val="23"/>
        </w:rPr>
      </w:pPr>
    </w:p>
    <w:p>
      <w:pPr>
        <w:spacing w:line="261" w:lineRule="auto" w:before="1"/>
        <w:ind w:left="323" w:right="38" w:firstLine="0"/>
        <w:jc w:val="both"/>
        <w:rPr>
          <w:rFonts w:ascii="Georgia"/>
          <w:sz w:val="23"/>
        </w:rPr>
      </w:pPr>
      <w:r>
        <w:rPr>
          <w:rFonts w:ascii="Georgia"/>
          <w:sz w:val="23"/>
        </w:rPr>
        <w:t>Traumatic experiences such as interactions with the criminal justice system can have lifelong repercussions, particularly when they occur during adolescence, a critical period of brain </w:t>
      </w:r>
      <w:r>
        <w:rPr>
          <w:rFonts w:ascii="Georgia"/>
          <w:spacing w:val="-2"/>
          <w:sz w:val="23"/>
        </w:rPr>
        <w:t>development.</w:t>
      </w:r>
    </w:p>
    <w:p>
      <w:pPr>
        <w:spacing w:before="406"/>
        <w:ind w:left="0" w:right="215" w:firstLine="0"/>
        <w:jc w:val="center"/>
        <w:rPr>
          <w:rFonts w:ascii="Verdana"/>
          <w:b/>
          <w:sz w:val="77"/>
        </w:rPr>
      </w:pPr>
      <w:r>
        <w:rPr/>
        <w:br w:type="column"/>
      </w:r>
      <w:r>
        <w:rPr>
          <w:rFonts w:ascii="Verdana"/>
          <w:b/>
          <w:emboss/>
          <w:color w:val="001389"/>
          <w:spacing w:val="20"/>
          <w:w w:val="85"/>
          <w:sz w:val="77"/>
        </w:rPr>
        <w:t>84%</w:t>
      </w:r>
    </w:p>
    <w:p>
      <w:pPr>
        <w:pStyle w:val="BodyText"/>
        <w:spacing w:line="266" w:lineRule="auto" w:before="66"/>
        <w:ind w:left="1013" w:right="194" w:hanging="267"/>
        <w:rPr>
          <w:rFonts w:ascii="Georgia"/>
        </w:rPr>
      </w:pPr>
      <w:r>
        <w:rPr>
          <w:rFonts w:ascii="Georgia"/>
          <w:spacing w:val="-2"/>
          <w:w w:val="105"/>
        </w:rPr>
        <w:t>Of</w:t>
      </w:r>
      <w:r>
        <w:rPr>
          <w:rFonts w:ascii="Georgia"/>
          <w:spacing w:val="-9"/>
          <w:w w:val="105"/>
        </w:rPr>
        <w:t> </w:t>
      </w:r>
      <w:r>
        <w:rPr>
          <w:rFonts w:ascii="Georgia"/>
          <w:spacing w:val="-2"/>
          <w:w w:val="105"/>
        </w:rPr>
        <w:t>youth</w:t>
      </w:r>
      <w:r>
        <w:rPr>
          <w:rFonts w:ascii="Georgia"/>
          <w:spacing w:val="-9"/>
          <w:w w:val="105"/>
        </w:rPr>
        <w:t> </w:t>
      </w:r>
      <w:r>
        <w:rPr>
          <w:rFonts w:ascii="Georgia"/>
          <w:spacing w:val="-2"/>
          <w:w w:val="105"/>
        </w:rPr>
        <w:t>in</w:t>
      </w:r>
      <w:r>
        <w:rPr>
          <w:rFonts w:ascii="Georgia"/>
          <w:spacing w:val="-9"/>
          <w:w w:val="105"/>
        </w:rPr>
        <w:t> </w:t>
      </w:r>
      <w:r>
        <w:rPr>
          <w:rFonts w:ascii="Georgia"/>
          <w:spacing w:val="-2"/>
          <w:w w:val="105"/>
        </w:rPr>
        <w:t>the</w:t>
      </w:r>
      <w:r>
        <w:rPr>
          <w:rFonts w:ascii="Georgia"/>
          <w:spacing w:val="-9"/>
          <w:w w:val="105"/>
        </w:rPr>
        <w:t> </w:t>
      </w:r>
      <w:r>
        <w:rPr>
          <w:rFonts w:ascii="Georgia"/>
          <w:spacing w:val="-2"/>
          <w:w w:val="105"/>
        </w:rPr>
        <w:t>Massachusetts</w:t>
      </w:r>
      <w:r>
        <w:rPr>
          <w:rFonts w:ascii="Georgia"/>
          <w:spacing w:val="-9"/>
          <w:w w:val="105"/>
        </w:rPr>
        <w:t> </w:t>
      </w:r>
      <w:r>
        <w:rPr>
          <w:rFonts w:ascii="Georgia"/>
          <w:spacing w:val="-2"/>
          <w:w w:val="105"/>
        </w:rPr>
        <w:t>juvenile </w:t>
      </w:r>
      <w:r>
        <w:rPr>
          <w:rFonts w:ascii="Georgia"/>
          <w:w w:val="105"/>
        </w:rPr>
        <w:t>justice system are youth of color.</w:t>
      </w:r>
    </w:p>
    <w:p>
      <w:pPr>
        <w:pStyle w:val="BodyText"/>
        <w:rPr>
          <w:rFonts w:ascii="Georgia"/>
        </w:rPr>
      </w:pPr>
    </w:p>
    <w:p>
      <w:pPr>
        <w:pStyle w:val="BodyText"/>
        <w:spacing w:before="15"/>
        <w:rPr>
          <w:rFonts w:ascii="Georgia"/>
        </w:rPr>
      </w:pPr>
    </w:p>
    <w:p>
      <w:pPr>
        <w:pStyle w:val="Heading3"/>
        <w:spacing w:before="1"/>
        <w:ind w:left="1437"/>
      </w:pPr>
      <w:r>
        <w:rPr>
          <w:emboss/>
          <w:color w:val="001389"/>
          <w:w w:val="85"/>
        </w:rPr>
        <w:t>9</w:t>
      </w:r>
      <w:r>
        <w:rPr>
          <w:shadow w:val="0"/>
          <w:color w:val="001389"/>
          <w:spacing w:val="5"/>
          <w:w w:val="85"/>
        </w:rPr>
        <w:t> </w:t>
      </w:r>
      <w:r>
        <w:rPr>
          <w:emboss/>
          <w:color w:val="001389"/>
          <w:spacing w:val="18"/>
          <w:w w:val="85"/>
        </w:rPr>
        <w:t>IN</w:t>
      </w:r>
      <w:r>
        <w:rPr>
          <w:shadow w:val="0"/>
          <w:color w:val="001389"/>
          <w:spacing w:val="5"/>
          <w:w w:val="85"/>
        </w:rPr>
        <w:t> </w:t>
      </w:r>
      <w:r>
        <w:rPr>
          <w:emboss/>
          <w:color w:val="001389"/>
          <w:spacing w:val="13"/>
          <w:w w:val="85"/>
        </w:rPr>
        <w:t>10</w:t>
      </w:r>
    </w:p>
    <w:p>
      <w:pPr>
        <w:pStyle w:val="BodyText"/>
        <w:spacing w:line="266" w:lineRule="auto" w:before="219"/>
        <w:ind w:left="492" w:right="707" w:hanging="1"/>
        <w:jc w:val="center"/>
        <w:rPr>
          <w:rFonts w:ascii="Georgia"/>
        </w:rPr>
      </w:pPr>
      <w:r>
        <w:rPr>
          <w:rFonts w:ascii="Georgia"/>
          <w:w w:val="105"/>
        </w:rPr>
        <w:t>LGBTQ students who experienced </w:t>
      </w:r>
      <w:r>
        <w:rPr>
          <w:rFonts w:ascii="Georgia"/>
        </w:rPr>
        <w:t>harassment in Massachusetts high </w:t>
      </w:r>
      <w:r>
        <w:rPr>
          <w:rFonts w:ascii="Georgia"/>
        </w:rPr>
        <w:t>schools </w:t>
      </w:r>
      <w:r>
        <w:rPr>
          <w:rFonts w:ascii="Georgia"/>
          <w:w w:val="105"/>
        </w:rPr>
        <w:t>did</w:t>
      </w:r>
      <w:r>
        <w:rPr>
          <w:rFonts w:ascii="Georgia"/>
          <w:spacing w:val="-9"/>
          <w:w w:val="105"/>
        </w:rPr>
        <w:t> </w:t>
      </w:r>
      <w:r>
        <w:rPr>
          <w:rFonts w:ascii="Georgia"/>
          <w:w w:val="105"/>
        </w:rPr>
        <w:t>not</w:t>
      </w:r>
      <w:r>
        <w:rPr>
          <w:rFonts w:ascii="Georgia"/>
          <w:spacing w:val="-9"/>
          <w:w w:val="105"/>
        </w:rPr>
        <w:t> </w:t>
      </w:r>
      <w:r>
        <w:rPr>
          <w:rFonts w:ascii="Georgia"/>
          <w:w w:val="105"/>
        </w:rPr>
        <w:t>report</w:t>
      </w:r>
      <w:r>
        <w:rPr>
          <w:rFonts w:ascii="Georgia"/>
          <w:spacing w:val="-9"/>
          <w:w w:val="105"/>
        </w:rPr>
        <w:t> </w:t>
      </w:r>
      <w:r>
        <w:rPr>
          <w:rFonts w:ascii="Georgia"/>
          <w:w w:val="105"/>
        </w:rPr>
        <w:t>the</w:t>
      </w:r>
      <w:r>
        <w:rPr>
          <w:rFonts w:ascii="Georgia"/>
          <w:spacing w:val="-9"/>
          <w:w w:val="105"/>
        </w:rPr>
        <w:t> </w:t>
      </w:r>
      <w:r>
        <w:rPr>
          <w:rFonts w:ascii="Georgia"/>
          <w:w w:val="105"/>
        </w:rPr>
        <w:t>incident</w:t>
      </w:r>
      <w:r>
        <w:rPr>
          <w:rFonts w:ascii="Georgia"/>
          <w:spacing w:val="-9"/>
          <w:w w:val="105"/>
        </w:rPr>
        <w:t> </w:t>
      </w:r>
      <w:r>
        <w:rPr>
          <w:rFonts w:ascii="Georgia"/>
          <w:w w:val="105"/>
        </w:rPr>
        <w:t>to</w:t>
      </w:r>
      <w:r>
        <w:rPr>
          <w:rFonts w:ascii="Georgia"/>
          <w:spacing w:val="-9"/>
          <w:w w:val="105"/>
        </w:rPr>
        <w:t> </w:t>
      </w:r>
      <w:r>
        <w:rPr>
          <w:rFonts w:ascii="Georgia"/>
          <w:w w:val="105"/>
        </w:rPr>
        <w:t>school</w:t>
      </w:r>
      <w:r>
        <w:rPr>
          <w:rFonts w:ascii="Georgia"/>
          <w:spacing w:val="-9"/>
          <w:w w:val="105"/>
        </w:rPr>
        <w:t> </w:t>
      </w:r>
      <w:r>
        <w:rPr>
          <w:rFonts w:ascii="Georgia"/>
          <w:w w:val="105"/>
        </w:rPr>
        <w:t>staff.</w:t>
      </w:r>
    </w:p>
    <w:p>
      <w:pPr>
        <w:pStyle w:val="BodyText"/>
        <w:spacing w:before="166"/>
        <w:rPr>
          <w:rFonts w:ascii="Georgia"/>
        </w:rPr>
      </w:pPr>
    </w:p>
    <w:p>
      <w:pPr>
        <w:pStyle w:val="Heading3"/>
        <w:ind w:right="215"/>
        <w:jc w:val="center"/>
      </w:pPr>
      <w:r>
        <w:rPr/>
        <mc:AlternateContent>
          <mc:Choice Requires="wps">
            <w:drawing>
              <wp:anchor distT="0" distB="0" distL="0" distR="0" allowOverlap="1" layoutInCell="1" locked="0" behindDoc="1" simplePos="0" relativeHeight="482628096">
                <wp:simplePos x="0" y="0"/>
                <wp:positionH relativeFrom="page">
                  <wp:posOffset>655211</wp:posOffset>
                </wp:positionH>
                <wp:positionV relativeFrom="paragraph">
                  <wp:posOffset>194922</wp:posOffset>
                </wp:positionV>
                <wp:extent cx="3475990" cy="1703070"/>
                <wp:effectExtent l="0" t="0" r="0" b="0"/>
                <wp:wrapNone/>
                <wp:docPr id="402" name="Group 402"/>
                <wp:cNvGraphicFramePr>
                  <a:graphicFrameLocks/>
                </wp:cNvGraphicFramePr>
                <a:graphic>
                  <a:graphicData uri="http://schemas.microsoft.com/office/word/2010/wordprocessingGroup">
                    <wpg:wgp>
                      <wpg:cNvPr id="402" name="Group 402"/>
                      <wpg:cNvGrpSpPr/>
                      <wpg:grpSpPr>
                        <a:xfrm>
                          <a:off x="0" y="0"/>
                          <a:ext cx="3475990" cy="1703070"/>
                          <a:chExt cx="3475990" cy="1703070"/>
                        </a:xfrm>
                      </wpg:grpSpPr>
                      <wps:wsp>
                        <wps:cNvPr id="403" name="Graphic 403"/>
                        <wps:cNvSpPr/>
                        <wps:spPr>
                          <a:xfrm>
                            <a:off x="0" y="0"/>
                            <a:ext cx="3475990" cy="1703070"/>
                          </a:xfrm>
                          <a:custGeom>
                            <a:avLst/>
                            <a:gdLst/>
                            <a:ahLst/>
                            <a:cxnLst/>
                            <a:rect l="l" t="t" r="r" b="b"/>
                            <a:pathLst>
                              <a:path w="3475990" h="1703070">
                                <a:moveTo>
                                  <a:pt x="3113778" y="1702556"/>
                                </a:moveTo>
                                <a:lnTo>
                                  <a:pt x="361949" y="1702556"/>
                                </a:lnTo>
                                <a:lnTo>
                                  <a:pt x="312835" y="1699252"/>
                                </a:lnTo>
                                <a:lnTo>
                                  <a:pt x="265729" y="1689627"/>
                                </a:lnTo>
                                <a:lnTo>
                                  <a:pt x="221062" y="1674112"/>
                                </a:lnTo>
                                <a:lnTo>
                                  <a:pt x="179266" y="1653139"/>
                                </a:lnTo>
                                <a:lnTo>
                                  <a:pt x="140773" y="1627139"/>
                                </a:lnTo>
                                <a:lnTo>
                                  <a:pt x="106012" y="1596543"/>
                                </a:lnTo>
                                <a:lnTo>
                                  <a:pt x="75416" y="1561783"/>
                                </a:lnTo>
                                <a:lnTo>
                                  <a:pt x="49416" y="1523289"/>
                                </a:lnTo>
                                <a:lnTo>
                                  <a:pt x="28443" y="1481493"/>
                                </a:lnTo>
                                <a:lnTo>
                                  <a:pt x="12929" y="1436827"/>
                                </a:lnTo>
                                <a:lnTo>
                                  <a:pt x="3304" y="1389721"/>
                                </a:lnTo>
                                <a:lnTo>
                                  <a:pt x="0" y="1340606"/>
                                </a:lnTo>
                                <a:lnTo>
                                  <a:pt x="0" y="361949"/>
                                </a:lnTo>
                                <a:lnTo>
                                  <a:pt x="3304" y="312835"/>
                                </a:lnTo>
                                <a:lnTo>
                                  <a:pt x="12929" y="265729"/>
                                </a:lnTo>
                                <a:lnTo>
                                  <a:pt x="28443" y="221062"/>
                                </a:lnTo>
                                <a:lnTo>
                                  <a:pt x="49416" y="179266"/>
                                </a:lnTo>
                                <a:lnTo>
                                  <a:pt x="75416" y="140773"/>
                                </a:lnTo>
                                <a:lnTo>
                                  <a:pt x="106012" y="106012"/>
                                </a:lnTo>
                                <a:lnTo>
                                  <a:pt x="140773" y="75416"/>
                                </a:lnTo>
                                <a:lnTo>
                                  <a:pt x="179266" y="49416"/>
                                </a:lnTo>
                                <a:lnTo>
                                  <a:pt x="221062" y="28443"/>
                                </a:lnTo>
                                <a:lnTo>
                                  <a:pt x="265729" y="12929"/>
                                </a:lnTo>
                                <a:lnTo>
                                  <a:pt x="312835" y="3304"/>
                                </a:lnTo>
                                <a:lnTo>
                                  <a:pt x="361949" y="0"/>
                                </a:lnTo>
                                <a:lnTo>
                                  <a:pt x="3113778" y="0"/>
                                </a:lnTo>
                                <a:lnTo>
                                  <a:pt x="3162893" y="3304"/>
                                </a:lnTo>
                                <a:lnTo>
                                  <a:pt x="3209999" y="12929"/>
                                </a:lnTo>
                                <a:lnTo>
                                  <a:pt x="3254665" y="28443"/>
                                </a:lnTo>
                                <a:lnTo>
                                  <a:pt x="3296461" y="49416"/>
                                </a:lnTo>
                                <a:lnTo>
                                  <a:pt x="3334955" y="75416"/>
                                </a:lnTo>
                                <a:lnTo>
                                  <a:pt x="3369715" y="106012"/>
                                </a:lnTo>
                                <a:lnTo>
                                  <a:pt x="3400311" y="140773"/>
                                </a:lnTo>
                                <a:lnTo>
                                  <a:pt x="3426311" y="179266"/>
                                </a:lnTo>
                                <a:lnTo>
                                  <a:pt x="3447284" y="221062"/>
                                </a:lnTo>
                                <a:lnTo>
                                  <a:pt x="3462799" y="265729"/>
                                </a:lnTo>
                                <a:lnTo>
                                  <a:pt x="3472424" y="312835"/>
                                </a:lnTo>
                                <a:lnTo>
                                  <a:pt x="3475728" y="361949"/>
                                </a:lnTo>
                                <a:lnTo>
                                  <a:pt x="3475728" y="1340606"/>
                                </a:lnTo>
                                <a:lnTo>
                                  <a:pt x="3472424" y="1389721"/>
                                </a:lnTo>
                                <a:lnTo>
                                  <a:pt x="3462799" y="1436827"/>
                                </a:lnTo>
                                <a:lnTo>
                                  <a:pt x="3447284" y="1481493"/>
                                </a:lnTo>
                                <a:lnTo>
                                  <a:pt x="3426311" y="1523289"/>
                                </a:lnTo>
                                <a:lnTo>
                                  <a:pt x="3400311" y="1561783"/>
                                </a:lnTo>
                                <a:lnTo>
                                  <a:pt x="3369715" y="1596543"/>
                                </a:lnTo>
                                <a:lnTo>
                                  <a:pt x="3334955" y="1627139"/>
                                </a:lnTo>
                                <a:lnTo>
                                  <a:pt x="3296461" y="1653139"/>
                                </a:lnTo>
                                <a:lnTo>
                                  <a:pt x="3254665" y="1674112"/>
                                </a:lnTo>
                                <a:lnTo>
                                  <a:pt x="3209999" y="1689627"/>
                                </a:lnTo>
                                <a:lnTo>
                                  <a:pt x="3162893" y="1699252"/>
                                </a:lnTo>
                                <a:lnTo>
                                  <a:pt x="3113778" y="1702556"/>
                                </a:lnTo>
                                <a:close/>
                              </a:path>
                            </a:pathLst>
                          </a:custGeom>
                          <a:solidFill>
                            <a:srgbClr val="C4E8E4">
                              <a:alpha val="55999"/>
                            </a:srgbClr>
                          </a:solidFill>
                        </wps:spPr>
                        <wps:bodyPr wrap="square" lIns="0" tIns="0" rIns="0" bIns="0" rtlCol="0">
                          <a:prstTxWarp prst="textNoShape">
                            <a:avLst/>
                          </a:prstTxWarp>
                          <a:noAutofit/>
                        </wps:bodyPr>
                      </wps:wsp>
                      <wps:wsp>
                        <wps:cNvPr id="404" name="Graphic 404"/>
                        <wps:cNvSpPr/>
                        <wps:spPr>
                          <a:xfrm>
                            <a:off x="224200" y="406265"/>
                            <a:ext cx="485140" cy="485140"/>
                          </a:xfrm>
                          <a:custGeom>
                            <a:avLst/>
                            <a:gdLst/>
                            <a:ahLst/>
                            <a:cxnLst/>
                            <a:rect l="l" t="t" r="r" b="b"/>
                            <a:pathLst>
                              <a:path w="485140" h="485140">
                                <a:moveTo>
                                  <a:pt x="458533" y="235191"/>
                                </a:moveTo>
                                <a:lnTo>
                                  <a:pt x="452996" y="193141"/>
                                </a:lnTo>
                                <a:lnTo>
                                  <a:pt x="439356" y="152984"/>
                                </a:lnTo>
                                <a:lnTo>
                                  <a:pt x="418147" y="116255"/>
                                </a:lnTo>
                                <a:lnTo>
                                  <a:pt x="390194" y="84366"/>
                                </a:lnTo>
                                <a:lnTo>
                                  <a:pt x="356539" y="58547"/>
                                </a:lnTo>
                                <a:lnTo>
                                  <a:pt x="318503" y="39789"/>
                                </a:lnTo>
                                <a:lnTo>
                                  <a:pt x="277533" y="28816"/>
                                </a:lnTo>
                                <a:lnTo>
                                  <a:pt x="249377" y="26035"/>
                                </a:lnTo>
                                <a:lnTo>
                                  <a:pt x="235216" y="26035"/>
                                </a:lnTo>
                                <a:lnTo>
                                  <a:pt x="193167" y="31572"/>
                                </a:lnTo>
                                <a:lnTo>
                                  <a:pt x="153009" y="45212"/>
                                </a:lnTo>
                                <a:lnTo>
                                  <a:pt x="116281" y="66421"/>
                                </a:lnTo>
                                <a:lnTo>
                                  <a:pt x="84391" y="94386"/>
                                </a:lnTo>
                                <a:lnTo>
                                  <a:pt x="58572" y="128028"/>
                                </a:lnTo>
                                <a:lnTo>
                                  <a:pt x="39814" y="166065"/>
                                </a:lnTo>
                                <a:lnTo>
                                  <a:pt x="28841" y="207035"/>
                                </a:lnTo>
                                <a:lnTo>
                                  <a:pt x="26073" y="235191"/>
                                </a:lnTo>
                                <a:lnTo>
                                  <a:pt x="26073" y="249351"/>
                                </a:lnTo>
                                <a:lnTo>
                                  <a:pt x="31597" y="291401"/>
                                </a:lnTo>
                                <a:lnTo>
                                  <a:pt x="45237" y="331558"/>
                                </a:lnTo>
                                <a:lnTo>
                                  <a:pt x="66446" y="368287"/>
                                </a:lnTo>
                                <a:lnTo>
                                  <a:pt x="94411" y="400177"/>
                                </a:lnTo>
                                <a:lnTo>
                                  <a:pt x="128054" y="425996"/>
                                </a:lnTo>
                                <a:lnTo>
                                  <a:pt x="166090" y="444754"/>
                                </a:lnTo>
                                <a:lnTo>
                                  <a:pt x="207060" y="455726"/>
                                </a:lnTo>
                                <a:lnTo>
                                  <a:pt x="235216" y="458508"/>
                                </a:lnTo>
                                <a:lnTo>
                                  <a:pt x="249377" y="458508"/>
                                </a:lnTo>
                                <a:lnTo>
                                  <a:pt x="291426" y="452970"/>
                                </a:lnTo>
                                <a:lnTo>
                                  <a:pt x="331584" y="439331"/>
                                </a:lnTo>
                                <a:lnTo>
                                  <a:pt x="368312" y="418122"/>
                                </a:lnTo>
                                <a:lnTo>
                                  <a:pt x="400202" y="390156"/>
                                </a:lnTo>
                                <a:lnTo>
                                  <a:pt x="426021" y="356514"/>
                                </a:lnTo>
                                <a:lnTo>
                                  <a:pt x="444779" y="318477"/>
                                </a:lnTo>
                                <a:lnTo>
                                  <a:pt x="455752" y="277507"/>
                                </a:lnTo>
                                <a:lnTo>
                                  <a:pt x="458533" y="249351"/>
                                </a:lnTo>
                                <a:lnTo>
                                  <a:pt x="458533" y="242277"/>
                                </a:lnTo>
                                <a:lnTo>
                                  <a:pt x="458533" y="235191"/>
                                </a:lnTo>
                                <a:close/>
                              </a:path>
                              <a:path w="485140" h="485140">
                                <a:moveTo>
                                  <a:pt x="484581" y="242277"/>
                                </a:moveTo>
                                <a:lnTo>
                                  <a:pt x="479653" y="193509"/>
                                </a:lnTo>
                                <a:lnTo>
                                  <a:pt x="467969" y="155981"/>
                                </a:lnTo>
                                <a:lnTo>
                                  <a:pt x="467969" y="242277"/>
                                </a:lnTo>
                                <a:lnTo>
                                  <a:pt x="463384" y="287705"/>
                                </a:lnTo>
                                <a:lnTo>
                                  <a:pt x="450215" y="330047"/>
                                </a:lnTo>
                                <a:lnTo>
                                  <a:pt x="429374" y="368376"/>
                                </a:lnTo>
                                <a:lnTo>
                                  <a:pt x="401802" y="401789"/>
                                </a:lnTo>
                                <a:lnTo>
                                  <a:pt x="368388" y="429361"/>
                                </a:lnTo>
                                <a:lnTo>
                                  <a:pt x="330047" y="450202"/>
                                </a:lnTo>
                                <a:lnTo>
                                  <a:pt x="287705" y="463359"/>
                                </a:lnTo>
                                <a:lnTo>
                                  <a:pt x="242277" y="467956"/>
                                </a:lnTo>
                                <a:lnTo>
                                  <a:pt x="196862" y="463359"/>
                                </a:lnTo>
                                <a:lnTo>
                                  <a:pt x="154520" y="450202"/>
                                </a:lnTo>
                                <a:lnTo>
                                  <a:pt x="116192" y="429361"/>
                                </a:lnTo>
                                <a:lnTo>
                                  <a:pt x="82778" y="401789"/>
                                </a:lnTo>
                                <a:lnTo>
                                  <a:pt x="55206" y="368376"/>
                                </a:lnTo>
                                <a:lnTo>
                                  <a:pt x="34366" y="330047"/>
                                </a:lnTo>
                                <a:lnTo>
                                  <a:pt x="21196" y="287705"/>
                                </a:lnTo>
                                <a:lnTo>
                                  <a:pt x="16598" y="242277"/>
                                </a:lnTo>
                                <a:lnTo>
                                  <a:pt x="21196" y="196850"/>
                                </a:lnTo>
                                <a:lnTo>
                                  <a:pt x="34366" y="154520"/>
                                </a:lnTo>
                                <a:lnTo>
                                  <a:pt x="55206" y="116192"/>
                                </a:lnTo>
                                <a:lnTo>
                                  <a:pt x="82778" y="82778"/>
                                </a:lnTo>
                                <a:lnTo>
                                  <a:pt x="116192" y="55194"/>
                                </a:lnTo>
                                <a:lnTo>
                                  <a:pt x="154520" y="34366"/>
                                </a:lnTo>
                                <a:lnTo>
                                  <a:pt x="196862" y="21196"/>
                                </a:lnTo>
                                <a:lnTo>
                                  <a:pt x="242277" y="16598"/>
                                </a:lnTo>
                                <a:lnTo>
                                  <a:pt x="287705" y="21196"/>
                                </a:lnTo>
                                <a:lnTo>
                                  <a:pt x="330047" y="34366"/>
                                </a:lnTo>
                                <a:lnTo>
                                  <a:pt x="368388" y="55194"/>
                                </a:lnTo>
                                <a:lnTo>
                                  <a:pt x="401802" y="82778"/>
                                </a:lnTo>
                                <a:lnTo>
                                  <a:pt x="429387" y="116192"/>
                                </a:lnTo>
                                <a:lnTo>
                                  <a:pt x="450215" y="154520"/>
                                </a:lnTo>
                                <a:lnTo>
                                  <a:pt x="463384" y="196850"/>
                                </a:lnTo>
                                <a:lnTo>
                                  <a:pt x="467969" y="242277"/>
                                </a:lnTo>
                                <a:lnTo>
                                  <a:pt x="467969" y="155981"/>
                                </a:lnTo>
                                <a:lnTo>
                                  <a:pt x="443141" y="106908"/>
                                </a:lnTo>
                                <a:lnTo>
                                  <a:pt x="413537" y="71031"/>
                                </a:lnTo>
                                <a:lnTo>
                                  <a:pt x="377659" y="41427"/>
                                </a:lnTo>
                                <a:lnTo>
                                  <a:pt x="336499" y="19062"/>
                                </a:lnTo>
                                <a:lnTo>
                                  <a:pt x="291045" y="4927"/>
                                </a:lnTo>
                                <a:lnTo>
                                  <a:pt x="242277" y="0"/>
                                </a:lnTo>
                                <a:lnTo>
                                  <a:pt x="193509" y="4927"/>
                                </a:lnTo>
                                <a:lnTo>
                                  <a:pt x="148056" y="19062"/>
                                </a:lnTo>
                                <a:lnTo>
                                  <a:pt x="106908" y="41427"/>
                                </a:lnTo>
                                <a:lnTo>
                                  <a:pt x="71031" y="71031"/>
                                </a:lnTo>
                                <a:lnTo>
                                  <a:pt x="41427" y="106908"/>
                                </a:lnTo>
                                <a:lnTo>
                                  <a:pt x="19062" y="148056"/>
                                </a:lnTo>
                                <a:lnTo>
                                  <a:pt x="4927" y="193509"/>
                                </a:lnTo>
                                <a:lnTo>
                                  <a:pt x="0" y="242277"/>
                                </a:lnTo>
                                <a:lnTo>
                                  <a:pt x="4927" y="291045"/>
                                </a:lnTo>
                                <a:lnTo>
                                  <a:pt x="19062" y="336499"/>
                                </a:lnTo>
                                <a:lnTo>
                                  <a:pt x="41427" y="377647"/>
                                </a:lnTo>
                                <a:lnTo>
                                  <a:pt x="71031" y="413524"/>
                                </a:lnTo>
                                <a:lnTo>
                                  <a:pt x="106908" y="443128"/>
                                </a:lnTo>
                                <a:lnTo>
                                  <a:pt x="148056" y="465493"/>
                                </a:lnTo>
                                <a:lnTo>
                                  <a:pt x="193509" y="479628"/>
                                </a:lnTo>
                                <a:lnTo>
                                  <a:pt x="242277" y="484568"/>
                                </a:lnTo>
                                <a:lnTo>
                                  <a:pt x="291058" y="479628"/>
                                </a:lnTo>
                                <a:lnTo>
                                  <a:pt x="328599" y="467956"/>
                                </a:lnTo>
                                <a:lnTo>
                                  <a:pt x="377659" y="443128"/>
                                </a:lnTo>
                                <a:lnTo>
                                  <a:pt x="413537" y="413524"/>
                                </a:lnTo>
                                <a:lnTo>
                                  <a:pt x="443141" y="377647"/>
                                </a:lnTo>
                                <a:lnTo>
                                  <a:pt x="465505" y="336499"/>
                                </a:lnTo>
                                <a:lnTo>
                                  <a:pt x="479653" y="291045"/>
                                </a:lnTo>
                                <a:lnTo>
                                  <a:pt x="484581" y="242277"/>
                                </a:lnTo>
                                <a:close/>
                              </a:path>
                            </a:pathLst>
                          </a:custGeom>
                          <a:solidFill>
                            <a:srgbClr val="D9D9D9"/>
                          </a:solidFill>
                        </wps:spPr>
                        <wps:bodyPr wrap="square" lIns="0" tIns="0" rIns="0" bIns="0" rtlCol="0">
                          <a:prstTxWarp prst="textNoShape">
                            <a:avLst/>
                          </a:prstTxWarp>
                          <a:noAutofit/>
                        </wps:bodyPr>
                      </wps:wsp>
                      <wps:wsp>
                        <wps:cNvPr id="405" name="Graphic 405"/>
                        <wps:cNvSpPr/>
                        <wps:spPr>
                          <a:xfrm>
                            <a:off x="381906" y="503485"/>
                            <a:ext cx="179705" cy="287020"/>
                          </a:xfrm>
                          <a:custGeom>
                            <a:avLst/>
                            <a:gdLst/>
                            <a:ahLst/>
                            <a:cxnLst/>
                            <a:rect l="l" t="t" r="r" b="b"/>
                            <a:pathLst>
                              <a:path w="179705" h="287020">
                                <a:moveTo>
                                  <a:pt x="179170" y="287009"/>
                                </a:moveTo>
                                <a:lnTo>
                                  <a:pt x="3469" y="286457"/>
                                </a:lnTo>
                                <a:lnTo>
                                  <a:pt x="3711" y="214278"/>
                                </a:lnTo>
                                <a:lnTo>
                                  <a:pt x="26157" y="214346"/>
                                </a:lnTo>
                                <a:lnTo>
                                  <a:pt x="31250" y="212199"/>
                                </a:lnTo>
                                <a:lnTo>
                                  <a:pt x="37899" y="203496"/>
                                </a:lnTo>
                                <a:lnTo>
                                  <a:pt x="39566" y="198810"/>
                                </a:lnTo>
                                <a:lnTo>
                                  <a:pt x="39886" y="100149"/>
                                </a:lnTo>
                                <a:lnTo>
                                  <a:pt x="0" y="100018"/>
                                </a:lnTo>
                                <a:lnTo>
                                  <a:pt x="174" y="35805"/>
                                </a:lnTo>
                                <a:lnTo>
                                  <a:pt x="40976" y="25993"/>
                                </a:lnTo>
                                <a:lnTo>
                                  <a:pt x="54210" y="0"/>
                                </a:lnTo>
                                <a:lnTo>
                                  <a:pt x="144309" y="310"/>
                                </a:lnTo>
                                <a:lnTo>
                                  <a:pt x="143659" y="202391"/>
                                </a:lnTo>
                                <a:lnTo>
                                  <a:pt x="179446" y="214816"/>
                                </a:lnTo>
                                <a:lnTo>
                                  <a:pt x="179170" y="287009"/>
                                </a:lnTo>
                                <a:close/>
                              </a:path>
                            </a:pathLst>
                          </a:custGeom>
                          <a:solidFill>
                            <a:srgbClr val="FFFFFF"/>
                          </a:solidFill>
                        </wps:spPr>
                        <wps:bodyPr wrap="square" lIns="0" tIns="0" rIns="0" bIns="0" rtlCol="0">
                          <a:prstTxWarp prst="textNoShape">
                            <a:avLst/>
                          </a:prstTxWarp>
                          <a:noAutofit/>
                        </wps:bodyPr>
                      </wps:wsp>
                      <wps:wsp>
                        <wps:cNvPr id="406" name="Graphic 406"/>
                        <wps:cNvSpPr/>
                        <wps:spPr>
                          <a:xfrm>
                            <a:off x="225736" y="1067046"/>
                            <a:ext cx="483234" cy="483234"/>
                          </a:xfrm>
                          <a:custGeom>
                            <a:avLst/>
                            <a:gdLst/>
                            <a:ahLst/>
                            <a:cxnLst/>
                            <a:rect l="l" t="t" r="r" b="b"/>
                            <a:pathLst>
                              <a:path w="483234" h="483234">
                                <a:moveTo>
                                  <a:pt x="457123" y="234480"/>
                                </a:moveTo>
                                <a:lnTo>
                                  <a:pt x="451612" y="192557"/>
                                </a:lnTo>
                                <a:lnTo>
                                  <a:pt x="438023" y="152514"/>
                                </a:lnTo>
                                <a:lnTo>
                                  <a:pt x="416877" y="115900"/>
                                </a:lnTo>
                                <a:lnTo>
                                  <a:pt x="389001" y="84112"/>
                                </a:lnTo>
                                <a:lnTo>
                                  <a:pt x="355460" y="58369"/>
                                </a:lnTo>
                                <a:lnTo>
                                  <a:pt x="317538" y="39674"/>
                                </a:lnTo>
                                <a:lnTo>
                                  <a:pt x="276694" y="28727"/>
                                </a:lnTo>
                                <a:lnTo>
                                  <a:pt x="248627" y="25971"/>
                                </a:lnTo>
                                <a:lnTo>
                                  <a:pt x="234505" y="25971"/>
                                </a:lnTo>
                                <a:lnTo>
                                  <a:pt x="192582" y="31483"/>
                                </a:lnTo>
                                <a:lnTo>
                                  <a:pt x="152539" y="45072"/>
                                </a:lnTo>
                                <a:lnTo>
                                  <a:pt x="115925" y="66217"/>
                                </a:lnTo>
                                <a:lnTo>
                                  <a:pt x="84137" y="94094"/>
                                </a:lnTo>
                                <a:lnTo>
                                  <a:pt x="58407" y="127647"/>
                                </a:lnTo>
                                <a:lnTo>
                                  <a:pt x="39700" y="165557"/>
                                </a:lnTo>
                                <a:lnTo>
                                  <a:pt x="28765" y="206400"/>
                                </a:lnTo>
                                <a:lnTo>
                                  <a:pt x="25996" y="234480"/>
                                </a:lnTo>
                                <a:lnTo>
                                  <a:pt x="25996" y="248589"/>
                                </a:lnTo>
                                <a:lnTo>
                                  <a:pt x="31508" y="290512"/>
                                </a:lnTo>
                                <a:lnTo>
                                  <a:pt x="45110" y="330555"/>
                                </a:lnTo>
                                <a:lnTo>
                                  <a:pt x="66243" y="367169"/>
                                </a:lnTo>
                                <a:lnTo>
                                  <a:pt x="94119" y="398957"/>
                                </a:lnTo>
                                <a:lnTo>
                                  <a:pt x="127673" y="424700"/>
                                </a:lnTo>
                                <a:lnTo>
                                  <a:pt x="165595" y="443395"/>
                                </a:lnTo>
                                <a:lnTo>
                                  <a:pt x="206425" y="454342"/>
                                </a:lnTo>
                                <a:lnTo>
                                  <a:pt x="234505" y="457098"/>
                                </a:lnTo>
                                <a:lnTo>
                                  <a:pt x="248627" y="457098"/>
                                </a:lnTo>
                                <a:lnTo>
                                  <a:pt x="290537" y="451586"/>
                                </a:lnTo>
                                <a:lnTo>
                                  <a:pt x="330581" y="437984"/>
                                </a:lnTo>
                                <a:lnTo>
                                  <a:pt x="367195" y="416852"/>
                                </a:lnTo>
                                <a:lnTo>
                                  <a:pt x="398983" y="388975"/>
                                </a:lnTo>
                                <a:lnTo>
                                  <a:pt x="424726" y="355422"/>
                                </a:lnTo>
                                <a:lnTo>
                                  <a:pt x="443420" y="317500"/>
                                </a:lnTo>
                                <a:lnTo>
                                  <a:pt x="454367" y="276669"/>
                                </a:lnTo>
                                <a:lnTo>
                                  <a:pt x="457123" y="248589"/>
                                </a:lnTo>
                                <a:lnTo>
                                  <a:pt x="457123" y="241528"/>
                                </a:lnTo>
                                <a:lnTo>
                                  <a:pt x="457123" y="234480"/>
                                </a:lnTo>
                                <a:close/>
                              </a:path>
                              <a:path w="483234" h="483234">
                                <a:moveTo>
                                  <a:pt x="483095" y="241541"/>
                                </a:moveTo>
                                <a:lnTo>
                                  <a:pt x="478180" y="192925"/>
                                </a:lnTo>
                                <a:lnTo>
                                  <a:pt x="466547" y="155536"/>
                                </a:lnTo>
                                <a:lnTo>
                                  <a:pt x="466547" y="241541"/>
                                </a:lnTo>
                                <a:lnTo>
                                  <a:pt x="461962" y="286829"/>
                                </a:lnTo>
                                <a:lnTo>
                                  <a:pt x="448830" y="329031"/>
                                </a:lnTo>
                                <a:lnTo>
                                  <a:pt x="428066" y="367245"/>
                                </a:lnTo>
                                <a:lnTo>
                                  <a:pt x="400570" y="400558"/>
                                </a:lnTo>
                                <a:lnTo>
                                  <a:pt x="367258" y="428053"/>
                                </a:lnTo>
                                <a:lnTo>
                                  <a:pt x="329044" y="448818"/>
                                </a:lnTo>
                                <a:lnTo>
                                  <a:pt x="286829" y="461949"/>
                                </a:lnTo>
                                <a:lnTo>
                                  <a:pt x="241541" y="466521"/>
                                </a:lnTo>
                                <a:lnTo>
                                  <a:pt x="196265" y="461949"/>
                                </a:lnTo>
                                <a:lnTo>
                                  <a:pt x="154063" y="448818"/>
                                </a:lnTo>
                                <a:lnTo>
                                  <a:pt x="115849" y="428053"/>
                                </a:lnTo>
                                <a:lnTo>
                                  <a:pt x="82537" y="400558"/>
                                </a:lnTo>
                                <a:lnTo>
                                  <a:pt x="55041" y="367258"/>
                                </a:lnTo>
                                <a:lnTo>
                                  <a:pt x="34264" y="329044"/>
                                </a:lnTo>
                                <a:lnTo>
                                  <a:pt x="21145" y="286829"/>
                                </a:lnTo>
                                <a:lnTo>
                                  <a:pt x="16560" y="241541"/>
                                </a:lnTo>
                                <a:lnTo>
                                  <a:pt x="21145" y="196253"/>
                                </a:lnTo>
                                <a:lnTo>
                                  <a:pt x="34264" y="154051"/>
                                </a:lnTo>
                                <a:lnTo>
                                  <a:pt x="55041" y="115836"/>
                                </a:lnTo>
                                <a:lnTo>
                                  <a:pt x="82537" y="82524"/>
                                </a:lnTo>
                                <a:lnTo>
                                  <a:pt x="115849" y="55029"/>
                                </a:lnTo>
                                <a:lnTo>
                                  <a:pt x="154063" y="34264"/>
                                </a:lnTo>
                                <a:lnTo>
                                  <a:pt x="196265" y="21132"/>
                                </a:lnTo>
                                <a:lnTo>
                                  <a:pt x="241541" y="16560"/>
                                </a:lnTo>
                                <a:lnTo>
                                  <a:pt x="286829" y="21132"/>
                                </a:lnTo>
                                <a:lnTo>
                                  <a:pt x="329044" y="34264"/>
                                </a:lnTo>
                                <a:lnTo>
                                  <a:pt x="367258" y="55029"/>
                                </a:lnTo>
                                <a:lnTo>
                                  <a:pt x="400570" y="82524"/>
                                </a:lnTo>
                                <a:lnTo>
                                  <a:pt x="428078" y="115836"/>
                                </a:lnTo>
                                <a:lnTo>
                                  <a:pt x="448843" y="154051"/>
                                </a:lnTo>
                                <a:lnTo>
                                  <a:pt x="461975" y="196253"/>
                                </a:lnTo>
                                <a:lnTo>
                                  <a:pt x="466547" y="241541"/>
                                </a:lnTo>
                                <a:lnTo>
                                  <a:pt x="466547" y="155536"/>
                                </a:lnTo>
                                <a:lnTo>
                                  <a:pt x="441794" y="106578"/>
                                </a:lnTo>
                                <a:lnTo>
                                  <a:pt x="412267" y="70827"/>
                                </a:lnTo>
                                <a:lnTo>
                                  <a:pt x="376504" y="41313"/>
                                </a:lnTo>
                                <a:lnTo>
                                  <a:pt x="335483" y="19011"/>
                                </a:lnTo>
                                <a:lnTo>
                                  <a:pt x="327583" y="16560"/>
                                </a:lnTo>
                                <a:lnTo>
                                  <a:pt x="290169" y="4914"/>
                                </a:lnTo>
                                <a:lnTo>
                                  <a:pt x="241541" y="0"/>
                                </a:lnTo>
                                <a:lnTo>
                                  <a:pt x="192925" y="4914"/>
                                </a:lnTo>
                                <a:lnTo>
                                  <a:pt x="147612" y="19011"/>
                                </a:lnTo>
                                <a:lnTo>
                                  <a:pt x="106591" y="41313"/>
                                </a:lnTo>
                                <a:lnTo>
                                  <a:pt x="70827" y="70827"/>
                                </a:lnTo>
                                <a:lnTo>
                                  <a:pt x="41313" y="106578"/>
                                </a:lnTo>
                                <a:lnTo>
                                  <a:pt x="19011" y="147612"/>
                                </a:lnTo>
                                <a:lnTo>
                                  <a:pt x="4914" y="192925"/>
                                </a:lnTo>
                                <a:lnTo>
                                  <a:pt x="0" y="241541"/>
                                </a:lnTo>
                                <a:lnTo>
                                  <a:pt x="4914" y="290156"/>
                                </a:lnTo>
                                <a:lnTo>
                                  <a:pt x="19011" y="335470"/>
                                </a:lnTo>
                                <a:lnTo>
                                  <a:pt x="41313" y="376504"/>
                                </a:lnTo>
                                <a:lnTo>
                                  <a:pt x="70827" y="412254"/>
                                </a:lnTo>
                                <a:lnTo>
                                  <a:pt x="106591" y="441782"/>
                                </a:lnTo>
                                <a:lnTo>
                                  <a:pt x="147612" y="464070"/>
                                </a:lnTo>
                                <a:lnTo>
                                  <a:pt x="192925" y="478167"/>
                                </a:lnTo>
                                <a:lnTo>
                                  <a:pt x="241541" y="483082"/>
                                </a:lnTo>
                                <a:lnTo>
                                  <a:pt x="290169" y="478167"/>
                                </a:lnTo>
                                <a:lnTo>
                                  <a:pt x="327596" y="466521"/>
                                </a:lnTo>
                                <a:lnTo>
                                  <a:pt x="335483" y="464070"/>
                                </a:lnTo>
                                <a:lnTo>
                                  <a:pt x="376516" y="441782"/>
                                </a:lnTo>
                                <a:lnTo>
                                  <a:pt x="412280" y="412254"/>
                                </a:lnTo>
                                <a:lnTo>
                                  <a:pt x="441794" y="376504"/>
                                </a:lnTo>
                                <a:lnTo>
                                  <a:pt x="464083" y="335470"/>
                                </a:lnTo>
                                <a:lnTo>
                                  <a:pt x="478180" y="290156"/>
                                </a:lnTo>
                                <a:lnTo>
                                  <a:pt x="483095" y="241541"/>
                                </a:lnTo>
                                <a:close/>
                              </a:path>
                            </a:pathLst>
                          </a:custGeom>
                          <a:solidFill>
                            <a:srgbClr val="001389"/>
                          </a:solidFill>
                        </wps:spPr>
                        <wps:bodyPr wrap="square" lIns="0" tIns="0" rIns="0" bIns="0" rtlCol="0">
                          <a:prstTxWarp prst="textNoShape">
                            <a:avLst/>
                          </a:prstTxWarp>
                          <a:noAutofit/>
                        </wps:bodyPr>
                      </wps:wsp>
                      <wps:wsp>
                        <wps:cNvPr id="407" name="Graphic 407"/>
                        <wps:cNvSpPr/>
                        <wps:spPr>
                          <a:xfrm>
                            <a:off x="338613" y="1152187"/>
                            <a:ext cx="267335" cy="294005"/>
                          </a:xfrm>
                          <a:custGeom>
                            <a:avLst/>
                            <a:gdLst/>
                            <a:ahLst/>
                            <a:cxnLst/>
                            <a:rect l="l" t="t" r="r" b="b"/>
                            <a:pathLst>
                              <a:path w="267335" h="294005">
                                <a:moveTo>
                                  <a:pt x="176122" y="293678"/>
                                </a:moveTo>
                                <a:lnTo>
                                  <a:pt x="133164" y="287588"/>
                                </a:lnTo>
                                <a:lnTo>
                                  <a:pt x="87546" y="275751"/>
                                </a:lnTo>
                                <a:lnTo>
                                  <a:pt x="80203" y="274698"/>
                                </a:lnTo>
                                <a:lnTo>
                                  <a:pt x="45367" y="289374"/>
                                </a:lnTo>
                                <a:lnTo>
                                  <a:pt x="927" y="289215"/>
                                </a:lnTo>
                                <a:lnTo>
                                  <a:pt x="4721" y="249991"/>
                                </a:lnTo>
                                <a:lnTo>
                                  <a:pt x="19836" y="210119"/>
                                </a:lnTo>
                                <a:lnTo>
                                  <a:pt x="49700" y="174822"/>
                                </a:lnTo>
                                <a:lnTo>
                                  <a:pt x="85147" y="150881"/>
                                </a:lnTo>
                                <a:lnTo>
                                  <a:pt x="113019" y="136385"/>
                                </a:lnTo>
                                <a:lnTo>
                                  <a:pt x="119384" y="132940"/>
                                </a:lnTo>
                                <a:lnTo>
                                  <a:pt x="152595" y="104870"/>
                                </a:lnTo>
                                <a:lnTo>
                                  <a:pt x="154827" y="90657"/>
                                </a:lnTo>
                                <a:lnTo>
                                  <a:pt x="154021" y="82660"/>
                                </a:lnTo>
                                <a:lnTo>
                                  <a:pt x="118715" y="57303"/>
                                </a:lnTo>
                                <a:lnTo>
                                  <a:pt x="100947" y="56705"/>
                                </a:lnTo>
                                <a:lnTo>
                                  <a:pt x="93053" y="57338"/>
                                </a:lnTo>
                                <a:lnTo>
                                  <a:pt x="79073" y="59894"/>
                                </a:lnTo>
                                <a:lnTo>
                                  <a:pt x="72411" y="62126"/>
                                </a:lnTo>
                                <a:lnTo>
                                  <a:pt x="66058" y="65343"/>
                                </a:lnTo>
                                <a:lnTo>
                                  <a:pt x="73947" y="67686"/>
                                </a:lnTo>
                                <a:lnTo>
                                  <a:pt x="80783" y="71474"/>
                                </a:lnTo>
                                <a:lnTo>
                                  <a:pt x="94184" y="108459"/>
                                </a:lnTo>
                                <a:lnTo>
                                  <a:pt x="63082" y="134213"/>
                                </a:lnTo>
                                <a:lnTo>
                                  <a:pt x="20806" y="127624"/>
                                </a:lnTo>
                                <a:lnTo>
                                  <a:pt x="0" y="93479"/>
                                </a:lnTo>
                                <a:lnTo>
                                  <a:pt x="33" y="84150"/>
                                </a:lnTo>
                                <a:lnTo>
                                  <a:pt x="15492" y="42553"/>
                                </a:lnTo>
                                <a:lnTo>
                                  <a:pt x="47257" y="17932"/>
                                </a:lnTo>
                                <a:lnTo>
                                  <a:pt x="93628" y="3303"/>
                                </a:lnTo>
                                <a:lnTo>
                                  <a:pt x="135716" y="0"/>
                                </a:lnTo>
                                <a:lnTo>
                                  <a:pt x="151151" y="476"/>
                                </a:lnTo>
                                <a:lnTo>
                                  <a:pt x="191750" y="6966"/>
                                </a:lnTo>
                                <a:lnTo>
                                  <a:pt x="232427" y="25831"/>
                                </a:lnTo>
                                <a:lnTo>
                                  <a:pt x="260802" y="61713"/>
                                </a:lnTo>
                                <a:lnTo>
                                  <a:pt x="265403" y="87527"/>
                                </a:lnTo>
                                <a:lnTo>
                                  <a:pt x="264937" y="97941"/>
                                </a:lnTo>
                                <a:lnTo>
                                  <a:pt x="250046" y="137042"/>
                                </a:lnTo>
                                <a:lnTo>
                                  <a:pt x="219362" y="160073"/>
                                </a:lnTo>
                                <a:lnTo>
                                  <a:pt x="179170" y="173967"/>
                                </a:lnTo>
                                <a:lnTo>
                                  <a:pt x="144643" y="183069"/>
                                </a:lnTo>
                                <a:lnTo>
                                  <a:pt x="136010" y="185468"/>
                                </a:lnTo>
                                <a:lnTo>
                                  <a:pt x="96372" y="202091"/>
                                </a:lnTo>
                                <a:lnTo>
                                  <a:pt x="66343" y="229839"/>
                                </a:lnTo>
                                <a:lnTo>
                                  <a:pt x="62208" y="237407"/>
                                </a:lnTo>
                                <a:lnTo>
                                  <a:pt x="65478" y="238601"/>
                                </a:lnTo>
                                <a:lnTo>
                                  <a:pt x="68082" y="235369"/>
                                </a:lnTo>
                                <a:lnTo>
                                  <a:pt x="71527" y="231847"/>
                                </a:lnTo>
                                <a:lnTo>
                                  <a:pt x="116435" y="206895"/>
                                </a:lnTo>
                                <a:lnTo>
                                  <a:pt x="124068" y="205784"/>
                                </a:lnTo>
                                <a:lnTo>
                                  <a:pt x="140750" y="205847"/>
                                </a:lnTo>
                                <a:lnTo>
                                  <a:pt x="147866" y="206315"/>
                                </a:lnTo>
                                <a:lnTo>
                                  <a:pt x="159503" y="208170"/>
                                </a:lnTo>
                                <a:lnTo>
                                  <a:pt x="164808" y="209093"/>
                                </a:lnTo>
                                <a:lnTo>
                                  <a:pt x="187407" y="213895"/>
                                </a:lnTo>
                                <a:lnTo>
                                  <a:pt x="192112" y="214349"/>
                                </a:lnTo>
                                <a:lnTo>
                                  <a:pt x="228794" y="195856"/>
                                </a:lnTo>
                                <a:lnTo>
                                  <a:pt x="228828" y="184214"/>
                                </a:lnTo>
                                <a:lnTo>
                                  <a:pt x="267041" y="184354"/>
                                </a:lnTo>
                                <a:lnTo>
                                  <a:pt x="262982" y="231342"/>
                                </a:lnTo>
                                <a:lnTo>
                                  <a:pt x="246422" y="270004"/>
                                </a:lnTo>
                                <a:lnTo>
                                  <a:pt x="211818" y="290669"/>
                                </a:lnTo>
                                <a:lnTo>
                                  <a:pt x="185481" y="293509"/>
                                </a:lnTo>
                                <a:lnTo>
                                  <a:pt x="176122" y="293678"/>
                                </a:lnTo>
                                <a:close/>
                              </a:path>
                            </a:pathLst>
                          </a:custGeom>
                          <a:solidFill>
                            <a:srgbClr val="FFFFFF"/>
                          </a:solidFill>
                        </wps:spPr>
                        <wps:bodyPr wrap="square" lIns="0" tIns="0" rIns="0" bIns="0" rtlCol="0">
                          <a:prstTxWarp prst="textNoShape">
                            <a:avLst/>
                          </a:prstTxWarp>
                          <a:noAutofit/>
                        </wps:bodyPr>
                      </wps:wsp>
                      <wps:wsp>
                        <wps:cNvPr id="408" name="Textbox 408"/>
                        <wps:cNvSpPr txBox="1"/>
                        <wps:spPr>
                          <a:xfrm>
                            <a:off x="121801" y="82469"/>
                            <a:ext cx="3239135" cy="810895"/>
                          </a:xfrm>
                          <a:prstGeom prst="rect">
                            <a:avLst/>
                          </a:prstGeom>
                        </wps:spPr>
                        <wps:txbx>
                          <w:txbxContent>
                            <w:p>
                              <w:pPr>
                                <w:spacing w:before="26"/>
                                <w:ind w:left="20" w:right="0" w:firstLine="0"/>
                                <w:jc w:val="left"/>
                                <w:rPr>
                                  <w:b/>
                                  <w:i/>
                                  <w:sz w:val="34"/>
                                </w:rPr>
                              </w:pPr>
                              <w:r>
                                <w:rPr>
                                  <w:b/>
                                  <w:i/>
                                  <w:spacing w:val="13"/>
                                  <w:w w:val="125"/>
                                  <w:sz w:val="34"/>
                                </w:rPr>
                                <w:t>RECOMMENDATIONS</w:t>
                              </w:r>
                            </w:p>
                            <w:p>
                              <w:pPr>
                                <w:spacing w:line="276" w:lineRule="auto" w:before="129"/>
                                <w:ind w:left="1046" w:right="0" w:firstLine="0"/>
                                <w:jc w:val="left"/>
                                <w:rPr>
                                  <w:rFonts w:ascii="Georgia"/>
                                  <w:sz w:val="18"/>
                                </w:rPr>
                              </w:pPr>
                              <w:r>
                                <w:rPr>
                                  <w:rFonts w:ascii="Georgia"/>
                                  <w:w w:val="105"/>
                                  <w:sz w:val="18"/>
                                </w:rPr>
                                <w:t>Increase SOGI data collection to identify and reduce</w:t>
                              </w:r>
                              <w:r>
                                <w:rPr>
                                  <w:rFonts w:ascii="Georgia"/>
                                  <w:spacing w:val="-9"/>
                                  <w:w w:val="105"/>
                                  <w:sz w:val="18"/>
                                </w:rPr>
                                <w:t> </w:t>
                              </w:r>
                              <w:r>
                                <w:rPr>
                                  <w:rFonts w:ascii="Georgia"/>
                                  <w:w w:val="105"/>
                                  <w:sz w:val="18"/>
                                </w:rPr>
                                <w:t>disparities</w:t>
                              </w:r>
                              <w:r>
                                <w:rPr>
                                  <w:rFonts w:ascii="Georgia"/>
                                  <w:spacing w:val="-9"/>
                                  <w:w w:val="105"/>
                                  <w:sz w:val="18"/>
                                </w:rPr>
                                <w:t> </w:t>
                              </w:r>
                              <w:r>
                                <w:rPr>
                                  <w:rFonts w:ascii="Georgia"/>
                                  <w:w w:val="105"/>
                                  <w:sz w:val="18"/>
                                </w:rPr>
                                <w:t>throughout</w:t>
                              </w:r>
                              <w:r>
                                <w:rPr>
                                  <w:rFonts w:ascii="Georgia"/>
                                  <w:spacing w:val="-9"/>
                                  <w:w w:val="105"/>
                                  <w:sz w:val="18"/>
                                </w:rPr>
                                <w:t> </w:t>
                              </w:r>
                              <w:r>
                                <w:rPr>
                                  <w:rFonts w:ascii="Georgia"/>
                                  <w:w w:val="105"/>
                                  <w:sz w:val="18"/>
                                </w:rPr>
                                <w:t>the</w:t>
                              </w:r>
                              <w:r>
                                <w:rPr>
                                  <w:rFonts w:ascii="Georgia"/>
                                  <w:spacing w:val="-9"/>
                                  <w:w w:val="105"/>
                                  <w:sz w:val="18"/>
                                </w:rPr>
                                <w:t> </w:t>
                              </w:r>
                              <w:r>
                                <w:rPr>
                                  <w:rFonts w:ascii="Georgia"/>
                                  <w:w w:val="105"/>
                                  <w:sz w:val="18"/>
                                </w:rPr>
                                <w:t>criminal</w:t>
                              </w:r>
                              <w:r>
                                <w:rPr>
                                  <w:rFonts w:ascii="Georgia"/>
                                  <w:spacing w:val="-9"/>
                                  <w:w w:val="105"/>
                                  <w:sz w:val="18"/>
                                </w:rPr>
                                <w:t> </w:t>
                              </w:r>
                              <w:r>
                                <w:rPr>
                                  <w:rFonts w:ascii="Georgia"/>
                                  <w:w w:val="105"/>
                                  <w:sz w:val="18"/>
                                </w:rPr>
                                <w:t>legal </w:t>
                              </w:r>
                              <w:r>
                                <w:rPr>
                                  <w:rFonts w:ascii="Georgia"/>
                                  <w:spacing w:val="-2"/>
                                  <w:w w:val="105"/>
                                  <w:sz w:val="18"/>
                                </w:rPr>
                                <w:t>systems.</w:t>
                              </w:r>
                            </w:p>
                          </w:txbxContent>
                        </wps:txbx>
                        <wps:bodyPr wrap="square" lIns="0" tIns="0" rIns="0" bIns="0" rtlCol="0">
                          <a:noAutofit/>
                        </wps:bodyPr>
                      </wps:wsp>
                      <wps:wsp>
                        <wps:cNvPr id="409" name="Textbox 409"/>
                        <wps:cNvSpPr txBox="1"/>
                        <wps:spPr>
                          <a:xfrm>
                            <a:off x="773370" y="1153918"/>
                            <a:ext cx="2400300" cy="299085"/>
                          </a:xfrm>
                          <a:prstGeom prst="rect">
                            <a:avLst/>
                          </a:prstGeom>
                        </wps:spPr>
                        <wps:txbx>
                          <w:txbxContent>
                            <w:p>
                              <w:pPr>
                                <w:spacing w:line="264" w:lineRule="auto" w:before="18"/>
                                <w:ind w:left="20" w:right="38" w:firstLine="0"/>
                                <w:jc w:val="left"/>
                                <w:rPr>
                                  <w:rFonts w:ascii="Georgia"/>
                                  <w:sz w:val="18"/>
                                </w:rPr>
                              </w:pPr>
                              <w:r>
                                <w:rPr>
                                  <w:rFonts w:ascii="Georgia"/>
                                  <w:sz w:val="18"/>
                                </w:rPr>
                                <w:t>Raise the age of the juvenile system to </w:t>
                              </w:r>
                              <w:r>
                                <w:rPr>
                                  <w:rFonts w:ascii="Georgia"/>
                                  <w:sz w:val="18"/>
                                </w:rPr>
                                <w:t>include 18-to</w:t>
                              </w:r>
                              <w:r>
                                <w:rPr>
                                  <w:rFonts w:ascii="Georgia"/>
                                  <w:spacing w:val="-5"/>
                                  <w:sz w:val="18"/>
                                </w:rPr>
                                <w:t> </w:t>
                              </w:r>
                              <w:r>
                                <w:rPr>
                                  <w:rFonts w:ascii="Georgia"/>
                                  <w:sz w:val="18"/>
                                </w:rPr>
                                <w:t>20-year-olds.</w:t>
                              </w:r>
                            </w:p>
                          </w:txbxContent>
                        </wps:txbx>
                        <wps:bodyPr wrap="square" lIns="0" tIns="0" rIns="0" bIns="0" rtlCol="0">
                          <a:noAutofit/>
                        </wps:bodyPr>
                      </wps:wsp>
                    </wpg:wgp>
                  </a:graphicData>
                </a:graphic>
              </wp:anchor>
            </w:drawing>
          </mc:Choice>
          <mc:Fallback>
            <w:pict>
              <v:group style="position:absolute;margin-left:51.591457pt;margin-top:15.348212pt;width:273.7pt;height:134.1pt;mso-position-horizontal-relative:page;mso-position-vertical-relative:paragraph;z-index:-20688384" id="docshapegroup320" coordorigin="1032,307" coordsize="5474,2682">
                <v:shape style="position:absolute;left:1031;top:306;width:5474;height:2682" id="docshape321" coordorigin="1032,307" coordsize="5474,2682" path="m5935,2988l1602,2988,1524,2983,1450,2968,1380,2943,1314,2910,1254,2869,1199,2821,1151,2766,1110,2706,1077,2640,1052,2570,1037,2496,1032,2418,1032,877,1037,800,1052,725,1077,655,1110,589,1151,529,1199,474,1254,426,1314,385,1380,352,1450,327,1524,312,1602,307,5935,307,6013,312,6087,327,6157,352,6223,385,6284,426,6338,474,6387,529,6428,589,6461,655,6485,725,6500,800,6505,877,6505,2418,6500,2496,6485,2570,6461,2640,6428,2706,6387,2766,6338,2821,6284,2869,6223,2910,6157,2943,6087,2968,6013,2983,5935,2988xe" filled="true" fillcolor="#c4e8e4" stroked="false">
                  <v:path arrowok="t"/>
                  <v:fill opacity="36700f" type="solid"/>
                </v:shape>
                <v:shape style="position:absolute;left:1384;top:946;width:764;height:764" id="docshape322" coordorigin="1385,947" coordsize="764,764" path="m2107,1317l2106,1306,2104,1284,2103,1273,2098,1251,2096,1240,2089,1219,2085,1208,2077,1188,2072,1178,2062,1158,2056,1148,2043,1130,2037,1121,2023,1104,2015,1095,1999,1080,1991,1072,1974,1058,1965,1051,1946,1039,1937,1033,1917,1023,1907,1018,1886,1009,1876,1006,1855,999,1844,996,1822,992,1811,990,1789,988,1778,988,1755,988,1744,988,1722,990,1711,992,1689,996,1678,999,1657,1006,1646,1009,1626,1018,1616,1023,1596,1033,1587,1039,1568,1051,1559,1058,1542,1072,1534,1080,1518,1095,1510,1104,1496,1121,1490,1130,1477,1148,1471,1158,1461,1178,1456,1188,1448,1208,1444,1219,1437,1240,1435,1251,1430,1273,1429,1284,1427,1306,1426,1317,1426,1339,1427,1351,1429,1373,1430,1384,1435,1406,1437,1416,1444,1438,1448,1448,1456,1469,1461,1479,1471,1499,1477,1508,1490,1527,1496,1536,1510,1553,1518,1561,1534,1577,1542,1584,1559,1599,1568,1605,1587,1618,1596,1623,1616,1634,1626,1639,1646,1647,1657,1651,1678,1657,1689,1660,1711,1664,1722,1666,1744,1668,1755,1669,1778,1669,1789,1668,1811,1666,1822,1664,1844,1660,1855,1657,1876,1651,1886,1647,1907,1639,1917,1634,1937,1623,1946,1618,1965,1605,1974,1599,1991,1584,1999,1577,2015,1561,2023,1553,2037,1536,2043,1527,2056,1508,2062,1499,2072,1479,2077,1469,2085,1448,2089,1438,2096,1416,2098,1406,2103,1384,2104,1373,2106,1351,2107,1339,2107,1328,2107,1317xm2148,1328l2140,1251,2122,1192,2122,1328,2115,1400,2094,1467,2061,1527,2018,1579,1965,1623,1905,1656,1838,1676,1766,1684,1695,1676,1628,1656,1568,1623,1515,1579,1472,1527,1439,1467,1418,1400,1411,1328,1418,1257,1439,1190,1472,1130,1515,1077,1568,1034,1628,1001,1695,980,1766,973,1838,980,1905,1001,1965,1034,2018,1077,2061,1130,2094,1190,2115,1257,2122,1328,2122,1192,2118,1180,2083,1115,2036,1059,1980,1012,1915,977,1902,973,1843,955,1766,947,1690,955,1618,977,1553,1012,1497,1059,1450,1115,1415,1180,1393,1251,1385,1328,1393,1405,1415,1477,1450,1541,1497,1598,1553,1645,1618,1680,1690,1702,1766,1710,1843,1702,1902,1684,1915,1680,1980,1645,2036,1598,2083,1541,2118,1477,2140,1405,2148,1328xe" filled="true" fillcolor="#d9d9d9" stroked="false">
                  <v:path arrowok="t"/>
                  <v:fill type="solid"/>
                </v:shape>
                <v:shape style="position:absolute;left:1633;top:1099;width:283;height:452" id="docshape323" coordorigin="1633,1100" coordsize="283,452" path="m1915,1552l1639,1551,1639,1437,1674,1437,1682,1434,1693,1420,1696,1413,1696,1258,1633,1257,1634,1156,1698,1141,1719,1100,1861,1100,1859,1419,1916,1438,1915,1552xe" filled="true" fillcolor="#ffffff" stroked="false">
                  <v:path arrowok="t"/>
                  <v:fill type="solid"/>
                </v:shape>
                <v:shape style="position:absolute;left:1387;top:1987;width:761;height:761" id="docshape324" coordorigin="1387,1987" coordsize="761,761" path="m2107,2357l2107,2346,2104,2323,2103,2312,2099,2291,2096,2280,2089,2259,2086,2248,2077,2228,2072,2217,2062,2198,2056,2188,2044,2170,2037,2161,2023,2144,2016,2136,2000,2120,1992,2112,1975,2098,1966,2092,1947,2079,1938,2074,1918,2063,1908,2058,1887,2050,1877,2046,1856,2040,1845,2037,1823,2033,1812,2031,1790,2029,1779,2028,1757,2028,1746,2029,1723,2031,1712,2033,1691,2037,1680,2040,1659,2046,1648,2050,1628,2058,1618,2063,1598,2074,1588,2079,1570,2092,1561,2098,1544,2112,1536,2120,1520,2136,1512,2144,1498,2161,1492,2170,1479,2188,1474,2198,1463,2217,1458,2228,1450,2248,1446,2259,1440,2280,1437,2291,1433,2312,1431,2323,1429,2346,1428,2357,1428,2379,1429,2390,1431,2412,1433,2423,1437,2445,1440,2456,1446,2477,1450,2487,1458,2508,1463,2518,1474,2538,1479,2547,1492,2566,1498,2574,1512,2592,1520,2600,1536,2616,1544,2623,1561,2637,1570,2644,1588,2656,1598,2662,1618,2672,1628,2677,1648,2686,1659,2689,1680,2696,1691,2699,1712,2703,1723,2704,1746,2707,1757,2707,1779,2707,1790,2707,1812,2704,1823,2703,1845,2699,1856,2696,1877,2689,1887,2686,1908,2677,1918,2672,1938,2662,1947,2656,1966,2644,1975,2637,1992,2623,2000,2616,2016,2600,2023,2592,2037,2574,2044,2566,2056,2547,2062,2538,2072,2518,2077,2508,2086,2487,2089,2477,2096,2456,2099,2445,2103,2423,2104,2412,2107,2390,2107,2379,2107,2368,2107,2357xm2148,2368l2140,2291,2122,2232,2122,2368,2115,2439,2094,2506,2061,2566,2018,2618,1966,2661,1906,2694,1839,2715,1768,2722,1696,2715,1630,2694,1570,2661,1517,2618,1474,2566,1441,2506,1421,2439,1413,2368,1421,2296,1441,2230,1474,2170,1517,2117,1570,2074,1630,2041,1696,2021,1768,2013,1839,2021,1906,2041,1966,2074,2018,2117,2061,2170,2094,2230,2115,2296,2122,2368,2122,2232,2118,2220,2083,2155,2037,2099,1980,2052,1916,2017,1903,2013,1844,1995,1768,1987,1691,1995,1620,2017,1555,2052,1499,2099,1452,2155,1417,2220,1395,2291,1387,2368,1395,2444,1417,2516,1452,2580,1499,2637,1555,2683,1620,2718,1691,2740,1768,2748,1844,2740,1903,2722,1916,2718,1980,2683,2037,2637,2083,2580,2118,2516,2140,2444,2148,2368xe" filled="true" fillcolor="#001389" stroked="false">
                  <v:path arrowok="t"/>
                  <v:fill type="solid"/>
                </v:shape>
                <v:shape style="position:absolute;left:1565;top:2121;width:421;height:463" id="docshape325" coordorigin="1565,2121" coordsize="421,463" path="m1842,2584l1775,2574,1703,2556,1691,2554,1637,2577,1567,2577,1573,2515,1596,2452,1643,2397,1699,2359,1743,2336,1753,2331,1805,2287,1809,2264,1808,2252,1752,2212,1724,2211,1712,2212,1690,2216,1679,2219,1669,2224,1682,2228,1692,2234,1713,2292,1664,2333,1598,2322,1565,2269,1565,2254,1589,2188,1639,2150,1713,2127,1779,2121,1803,2122,1867,2132,1931,2162,1976,2219,1983,2259,1982,2276,1959,2337,1911,2374,1847,2395,1793,2410,1779,2414,1717,2440,1670,2483,1663,2495,1668,2497,1672,2492,1678,2487,1748,2447,1760,2446,1787,2446,1798,2446,1816,2449,1825,2451,1860,2458,1868,2459,1925,2430,1925,2412,1986,2412,1979,2486,1953,2547,1899,2579,1857,2584,1842,2584xe" filled="true" fillcolor="#ffffff" stroked="false">
                  <v:path arrowok="t"/>
                  <v:fill type="solid"/>
                </v:shape>
                <v:shape style="position:absolute;left:1223;top:436;width:5101;height:1277" type="#_x0000_t202" id="docshape326" filled="false" stroked="false">
                  <v:textbox inset="0,0,0,0">
                    <w:txbxContent>
                      <w:p>
                        <w:pPr>
                          <w:spacing w:before="26"/>
                          <w:ind w:left="20" w:right="0" w:firstLine="0"/>
                          <w:jc w:val="left"/>
                          <w:rPr>
                            <w:b/>
                            <w:i/>
                            <w:sz w:val="34"/>
                          </w:rPr>
                        </w:pPr>
                        <w:r>
                          <w:rPr>
                            <w:b/>
                            <w:i/>
                            <w:spacing w:val="13"/>
                            <w:w w:val="125"/>
                            <w:sz w:val="34"/>
                          </w:rPr>
                          <w:t>RECOMMENDATIONS</w:t>
                        </w:r>
                      </w:p>
                      <w:p>
                        <w:pPr>
                          <w:spacing w:line="276" w:lineRule="auto" w:before="129"/>
                          <w:ind w:left="1046" w:right="0" w:firstLine="0"/>
                          <w:jc w:val="left"/>
                          <w:rPr>
                            <w:rFonts w:ascii="Georgia"/>
                            <w:sz w:val="18"/>
                          </w:rPr>
                        </w:pPr>
                        <w:r>
                          <w:rPr>
                            <w:rFonts w:ascii="Georgia"/>
                            <w:w w:val="105"/>
                            <w:sz w:val="18"/>
                          </w:rPr>
                          <w:t>Increase SOGI data collection to identify and reduce</w:t>
                        </w:r>
                        <w:r>
                          <w:rPr>
                            <w:rFonts w:ascii="Georgia"/>
                            <w:spacing w:val="-9"/>
                            <w:w w:val="105"/>
                            <w:sz w:val="18"/>
                          </w:rPr>
                          <w:t> </w:t>
                        </w:r>
                        <w:r>
                          <w:rPr>
                            <w:rFonts w:ascii="Georgia"/>
                            <w:w w:val="105"/>
                            <w:sz w:val="18"/>
                          </w:rPr>
                          <w:t>disparities</w:t>
                        </w:r>
                        <w:r>
                          <w:rPr>
                            <w:rFonts w:ascii="Georgia"/>
                            <w:spacing w:val="-9"/>
                            <w:w w:val="105"/>
                            <w:sz w:val="18"/>
                          </w:rPr>
                          <w:t> </w:t>
                        </w:r>
                        <w:r>
                          <w:rPr>
                            <w:rFonts w:ascii="Georgia"/>
                            <w:w w:val="105"/>
                            <w:sz w:val="18"/>
                          </w:rPr>
                          <w:t>throughout</w:t>
                        </w:r>
                        <w:r>
                          <w:rPr>
                            <w:rFonts w:ascii="Georgia"/>
                            <w:spacing w:val="-9"/>
                            <w:w w:val="105"/>
                            <w:sz w:val="18"/>
                          </w:rPr>
                          <w:t> </w:t>
                        </w:r>
                        <w:r>
                          <w:rPr>
                            <w:rFonts w:ascii="Georgia"/>
                            <w:w w:val="105"/>
                            <w:sz w:val="18"/>
                          </w:rPr>
                          <w:t>the</w:t>
                        </w:r>
                        <w:r>
                          <w:rPr>
                            <w:rFonts w:ascii="Georgia"/>
                            <w:spacing w:val="-9"/>
                            <w:w w:val="105"/>
                            <w:sz w:val="18"/>
                          </w:rPr>
                          <w:t> </w:t>
                        </w:r>
                        <w:r>
                          <w:rPr>
                            <w:rFonts w:ascii="Georgia"/>
                            <w:w w:val="105"/>
                            <w:sz w:val="18"/>
                          </w:rPr>
                          <w:t>criminal</w:t>
                        </w:r>
                        <w:r>
                          <w:rPr>
                            <w:rFonts w:ascii="Georgia"/>
                            <w:spacing w:val="-9"/>
                            <w:w w:val="105"/>
                            <w:sz w:val="18"/>
                          </w:rPr>
                          <w:t> </w:t>
                        </w:r>
                        <w:r>
                          <w:rPr>
                            <w:rFonts w:ascii="Georgia"/>
                            <w:w w:val="105"/>
                            <w:sz w:val="18"/>
                          </w:rPr>
                          <w:t>legal </w:t>
                        </w:r>
                        <w:r>
                          <w:rPr>
                            <w:rFonts w:ascii="Georgia"/>
                            <w:spacing w:val="-2"/>
                            <w:w w:val="105"/>
                            <w:sz w:val="18"/>
                          </w:rPr>
                          <w:t>systems.</w:t>
                        </w:r>
                      </w:p>
                    </w:txbxContent>
                  </v:textbox>
                  <w10:wrap type="none"/>
                </v:shape>
                <v:shape style="position:absolute;left:2249;top:2124;width:3780;height:471" type="#_x0000_t202" id="docshape327" filled="false" stroked="false">
                  <v:textbox inset="0,0,0,0">
                    <w:txbxContent>
                      <w:p>
                        <w:pPr>
                          <w:spacing w:line="264" w:lineRule="auto" w:before="18"/>
                          <w:ind w:left="20" w:right="38" w:firstLine="0"/>
                          <w:jc w:val="left"/>
                          <w:rPr>
                            <w:rFonts w:ascii="Georgia"/>
                            <w:sz w:val="18"/>
                          </w:rPr>
                        </w:pPr>
                        <w:r>
                          <w:rPr>
                            <w:rFonts w:ascii="Georgia"/>
                            <w:sz w:val="18"/>
                          </w:rPr>
                          <w:t>Raise the age of the juvenile system to </w:t>
                        </w:r>
                        <w:r>
                          <w:rPr>
                            <w:rFonts w:ascii="Georgia"/>
                            <w:sz w:val="18"/>
                          </w:rPr>
                          <w:t>include 18-to</w:t>
                        </w:r>
                        <w:r>
                          <w:rPr>
                            <w:rFonts w:ascii="Georgia"/>
                            <w:spacing w:val="-5"/>
                            <w:sz w:val="18"/>
                          </w:rPr>
                          <w:t> </w:t>
                        </w:r>
                        <w:r>
                          <w:rPr>
                            <w:rFonts w:ascii="Georgia"/>
                            <w:sz w:val="18"/>
                          </w:rPr>
                          <w:t>20-year-olds.</w:t>
                        </w:r>
                      </w:p>
                    </w:txbxContent>
                  </v:textbox>
                  <w10:wrap type="none"/>
                </v:shape>
                <w10:wrap type="none"/>
              </v:group>
            </w:pict>
          </mc:Fallback>
        </mc:AlternateContent>
      </w:r>
      <w:r>
        <w:rPr>
          <w:emboss/>
          <w:color w:val="001389"/>
          <w:spacing w:val="19"/>
          <w:w w:val="80"/>
        </w:rPr>
        <w:t>79%</w:t>
      </w:r>
    </w:p>
    <w:p>
      <w:pPr>
        <w:pStyle w:val="BodyText"/>
        <w:spacing w:line="266" w:lineRule="auto" w:before="83"/>
        <w:ind w:left="291" w:right="583"/>
        <w:jc w:val="center"/>
        <w:rPr>
          <w:rFonts w:ascii="Georgia"/>
        </w:rPr>
      </w:pPr>
      <w:r>
        <w:rPr>
          <w:rFonts w:ascii="Georgia"/>
        </w:rPr>
        <w:t>of QTBIPOC middle and high school </w:t>
      </w:r>
      <w:r>
        <w:rPr>
          <w:rFonts w:ascii="Georgia"/>
        </w:rPr>
        <w:t>students </w:t>
      </w:r>
      <w:r>
        <w:rPr>
          <w:rFonts w:ascii="Georgia"/>
          <w:w w:val="105"/>
        </w:rPr>
        <w:t>across the nation interacted with the police at some point</w:t>
      </w:r>
    </w:p>
    <w:p>
      <w:pPr>
        <w:spacing w:after="0" w:line="266" w:lineRule="auto"/>
        <w:jc w:val="center"/>
        <w:rPr>
          <w:rFonts w:ascii="Georgia"/>
        </w:rPr>
        <w:sectPr>
          <w:type w:val="continuous"/>
          <w:pgSz w:w="12240" w:h="15840"/>
          <w:pgMar w:header="0" w:footer="0" w:top="1420" w:bottom="280" w:left="920" w:right="380"/>
          <w:cols w:num="2" w:equalWidth="0">
            <w:col w:w="5433" w:space="94"/>
            <w:col w:w="5413"/>
          </w:cols>
        </w:sectPr>
      </w:pPr>
    </w:p>
    <w:p>
      <w:pPr>
        <w:pStyle w:val="BodyText"/>
        <w:spacing w:before="182"/>
        <w:rPr>
          <w:rFonts w:ascii="Georgia"/>
          <w:sz w:val="20"/>
        </w:rPr>
      </w:pPr>
      <w:r>
        <w:rPr/>
        <mc:AlternateContent>
          <mc:Choice Requires="wps">
            <w:drawing>
              <wp:anchor distT="0" distB="0" distL="0" distR="0" allowOverlap="1" layoutInCell="1" locked="0" behindDoc="1" simplePos="0" relativeHeight="482627584">
                <wp:simplePos x="0" y="0"/>
                <wp:positionH relativeFrom="page">
                  <wp:posOffset>0</wp:posOffset>
                </wp:positionH>
                <wp:positionV relativeFrom="page">
                  <wp:posOffset>0</wp:posOffset>
                </wp:positionV>
                <wp:extent cx="7772400" cy="6044565"/>
                <wp:effectExtent l="0" t="0" r="0" b="0"/>
                <wp:wrapNone/>
                <wp:docPr id="410" name="Group 410"/>
                <wp:cNvGraphicFramePr>
                  <a:graphicFrameLocks/>
                </wp:cNvGraphicFramePr>
                <a:graphic>
                  <a:graphicData uri="http://schemas.microsoft.com/office/word/2010/wordprocessingGroup">
                    <wpg:wgp>
                      <wpg:cNvPr id="410" name="Group 410"/>
                      <wpg:cNvGrpSpPr/>
                      <wpg:grpSpPr>
                        <a:xfrm>
                          <a:off x="0" y="0"/>
                          <a:ext cx="7772400" cy="6044565"/>
                          <a:chExt cx="7772400" cy="6044565"/>
                        </a:xfrm>
                      </wpg:grpSpPr>
                      <pic:pic>
                        <pic:nvPicPr>
                          <pic:cNvPr id="411" name="Image 411"/>
                          <pic:cNvPicPr/>
                        </pic:nvPicPr>
                        <pic:blipFill>
                          <a:blip r:embed="rId553" cstate="print"/>
                          <a:stretch>
                            <a:fillRect/>
                          </a:stretch>
                        </pic:blipFill>
                        <pic:spPr>
                          <a:xfrm>
                            <a:off x="0" y="0"/>
                            <a:ext cx="7772400" cy="3174744"/>
                          </a:xfrm>
                          <a:prstGeom prst="rect">
                            <a:avLst/>
                          </a:prstGeom>
                        </pic:spPr>
                      </pic:pic>
                      <pic:pic>
                        <pic:nvPicPr>
                          <pic:cNvPr id="412" name="Image 412"/>
                          <pic:cNvPicPr/>
                        </pic:nvPicPr>
                        <pic:blipFill>
                          <a:blip r:embed="rId98" cstate="print"/>
                          <a:stretch>
                            <a:fillRect/>
                          </a:stretch>
                        </pic:blipFill>
                        <pic:spPr>
                          <a:xfrm>
                            <a:off x="4978374" y="735421"/>
                            <a:ext cx="1480888" cy="1480632"/>
                          </a:xfrm>
                          <a:prstGeom prst="rect">
                            <a:avLst/>
                          </a:prstGeom>
                        </pic:spPr>
                      </pic:pic>
                      <wps:wsp>
                        <wps:cNvPr id="413" name="Graphic 413"/>
                        <wps:cNvSpPr/>
                        <wps:spPr>
                          <a:xfrm>
                            <a:off x="4964629" y="721667"/>
                            <a:ext cx="1508125" cy="1508125"/>
                          </a:xfrm>
                          <a:custGeom>
                            <a:avLst/>
                            <a:gdLst/>
                            <a:ahLst/>
                            <a:cxnLst/>
                            <a:rect l="l" t="t" r="r" b="b"/>
                            <a:pathLst>
                              <a:path w="1508125" h="1508125">
                                <a:moveTo>
                                  <a:pt x="754061" y="1508119"/>
                                </a:moveTo>
                                <a:lnTo>
                                  <a:pt x="706443" y="1506633"/>
                                </a:lnTo>
                                <a:lnTo>
                                  <a:pt x="659603" y="1502233"/>
                                </a:lnTo>
                                <a:lnTo>
                                  <a:pt x="613628" y="1495009"/>
                                </a:lnTo>
                                <a:lnTo>
                                  <a:pt x="568609" y="1485050"/>
                                </a:lnTo>
                                <a:lnTo>
                                  <a:pt x="524634" y="1472444"/>
                                </a:lnTo>
                                <a:lnTo>
                                  <a:pt x="481792" y="1457281"/>
                                </a:lnTo>
                                <a:lnTo>
                                  <a:pt x="440173" y="1439650"/>
                                </a:lnTo>
                                <a:lnTo>
                                  <a:pt x="399864" y="1419640"/>
                                </a:lnTo>
                                <a:lnTo>
                                  <a:pt x="360956" y="1397339"/>
                                </a:lnTo>
                                <a:lnTo>
                                  <a:pt x="323537" y="1372837"/>
                                </a:lnTo>
                                <a:lnTo>
                                  <a:pt x="287696" y="1346223"/>
                                </a:lnTo>
                                <a:lnTo>
                                  <a:pt x="253523" y="1317586"/>
                                </a:lnTo>
                                <a:lnTo>
                                  <a:pt x="221106" y="1287014"/>
                                </a:lnTo>
                                <a:lnTo>
                                  <a:pt x="190534" y="1254598"/>
                                </a:lnTo>
                                <a:lnTo>
                                  <a:pt x="161896" y="1220425"/>
                                </a:lnTo>
                                <a:lnTo>
                                  <a:pt x="135282" y="1184585"/>
                                </a:lnTo>
                                <a:lnTo>
                                  <a:pt x="110780" y="1147166"/>
                                </a:lnTo>
                                <a:lnTo>
                                  <a:pt x="88479" y="1108259"/>
                                </a:lnTo>
                                <a:lnTo>
                                  <a:pt x="68468" y="1067951"/>
                                </a:lnTo>
                                <a:lnTo>
                                  <a:pt x="50770" y="1026142"/>
                                </a:lnTo>
                                <a:lnTo>
                                  <a:pt x="35669" y="983473"/>
                                </a:lnTo>
                                <a:lnTo>
                                  <a:pt x="23075" y="939517"/>
                                </a:lnTo>
                                <a:lnTo>
                                  <a:pt x="13118" y="894499"/>
                                </a:lnTo>
                                <a:lnTo>
                                  <a:pt x="5894" y="848526"/>
                                </a:lnTo>
                                <a:lnTo>
                                  <a:pt x="1491" y="801686"/>
                                </a:lnTo>
                                <a:lnTo>
                                  <a:pt x="0" y="754070"/>
                                </a:lnTo>
                                <a:lnTo>
                                  <a:pt x="1494" y="706368"/>
                                </a:lnTo>
                                <a:lnTo>
                                  <a:pt x="5906" y="659480"/>
                                </a:lnTo>
                                <a:lnTo>
                                  <a:pt x="13140" y="613502"/>
                                </a:lnTo>
                                <a:lnTo>
                                  <a:pt x="23094" y="568530"/>
                                </a:lnTo>
                                <a:lnTo>
                                  <a:pt x="35676" y="524643"/>
                                </a:lnTo>
                                <a:lnTo>
                                  <a:pt x="50851" y="481801"/>
                                </a:lnTo>
                                <a:lnTo>
                                  <a:pt x="68470" y="440181"/>
                                </a:lnTo>
                                <a:lnTo>
                                  <a:pt x="88480" y="399872"/>
                                </a:lnTo>
                                <a:lnTo>
                                  <a:pt x="110781" y="360964"/>
                                </a:lnTo>
                                <a:lnTo>
                                  <a:pt x="135284" y="323544"/>
                                </a:lnTo>
                                <a:lnTo>
                                  <a:pt x="161898" y="287703"/>
                                </a:lnTo>
                                <a:lnTo>
                                  <a:pt x="190536" y="253529"/>
                                </a:lnTo>
                                <a:lnTo>
                                  <a:pt x="221108" y="221111"/>
                                </a:lnTo>
                                <a:lnTo>
                                  <a:pt x="253526" y="190539"/>
                                </a:lnTo>
                                <a:lnTo>
                                  <a:pt x="287699" y="161901"/>
                                </a:lnTo>
                                <a:lnTo>
                                  <a:pt x="323540" y="135286"/>
                                </a:lnTo>
                                <a:lnTo>
                                  <a:pt x="360959" y="110783"/>
                                </a:lnTo>
                                <a:lnTo>
                                  <a:pt x="399867" y="88482"/>
                                </a:lnTo>
                                <a:lnTo>
                                  <a:pt x="440175" y="68471"/>
                                </a:lnTo>
                                <a:lnTo>
                                  <a:pt x="481795" y="50839"/>
                                </a:lnTo>
                                <a:lnTo>
                                  <a:pt x="524636" y="35676"/>
                                </a:lnTo>
                                <a:lnTo>
                                  <a:pt x="568611" y="23070"/>
                                </a:lnTo>
                                <a:lnTo>
                                  <a:pt x="613630" y="13110"/>
                                </a:lnTo>
                                <a:lnTo>
                                  <a:pt x="659604" y="5886"/>
                                </a:lnTo>
                                <a:lnTo>
                                  <a:pt x="706444" y="1486"/>
                                </a:lnTo>
                                <a:lnTo>
                                  <a:pt x="754061" y="0"/>
                                </a:lnTo>
                                <a:lnTo>
                                  <a:pt x="801678" y="1486"/>
                                </a:lnTo>
                                <a:lnTo>
                                  <a:pt x="848519" y="5886"/>
                                </a:lnTo>
                                <a:lnTo>
                                  <a:pt x="894494" y="13110"/>
                                </a:lnTo>
                                <a:lnTo>
                                  <a:pt x="939513" y="23070"/>
                                </a:lnTo>
                                <a:lnTo>
                                  <a:pt x="954942" y="27493"/>
                                </a:lnTo>
                                <a:lnTo>
                                  <a:pt x="754061" y="27493"/>
                                </a:lnTo>
                                <a:lnTo>
                                  <a:pt x="706360" y="29041"/>
                                </a:lnTo>
                                <a:lnTo>
                                  <a:pt x="659472" y="33622"/>
                                </a:lnTo>
                                <a:lnTo>
                                  <a:pt x="613495" y="41139"/>
                                </a:lnTo>
                                <a:lnTo>
                                  <a:pt x="568524" y="51496"/>
                                </a:lnTo>
                                <a:lnTo>
                                  <a:pt x="524656" y="64596"/>
                                </a:lnTo>
                                <a:lnTo>
                                  <a:pt x="481987" y="80342"/>
                                </a:lnTo>
                                <a:lnTo>
                                  <a:pt x="440615" y="98639"/>
                                </a:lnTo>
                                <a:lnTo>
                                  <a:pt x="400634" y="119389"/>
                                </a:lnTo>
                                <a:lnTo>
                                  <a:pt x="362143" y="142496"/>
                                </a:lnTo>
                                <a:lnTo>
                                  <a:pt x="325237" y="167865"/>
                                </a:lnTo>
                                <a:lnTo>
                                  <a:pt x="290013" y="195397"/>
                                </a:lnTo>
                                <a:lnTo>
                                  <a:pt x="256567" y="224997"/>
                                </a:lnTo>
                                <a:lnTo>
                                  <a:pt x="224996" y="256569"/>
                                </a:lnTo>
                                <a:lnTo>
                                  <a:pt x="195396" y="290015"/>
                                </a:lnTo>
                                <a:lnTo>
                                  <a:pt x="167863" y="325240"/>
                                </a:lnTo>
                                <a:lnTo>
                                  <a:pt x="142496" y="362147"/>
                                </a:lnTo>
                                <a:lnTo>
                                  <a:pt x="119388" y="400639"/>
                                </a:lnTo>
                                <a:lnTo>
                                  <a:pt x="98638" y="440619"/>
                                </a:lnTo>
                                <a:lnTo>
                                  <a:pt x="80342" y="481993"/>
                                </a:lnTo>
                                <a:lnTo>
                                  <a:pt x="64597" y="524662"/>
                                </a:lnTo>
                                <a:lnTo>
                                  <a:pt x="51475" y="568619"/>
                                </a:lnTo>
                                <a:lnTo>
                                  <a:pt x="41117" y="613638"/>
                                </a:lnTo>
                                <a:lnTo>
                                  <a:pt x="33609" y="659613"/>
                                </a:lnTo>
                                <a:lnTo>
                                  <a:pt x="29039" y="706453"/>
                                </a:lnTo>
                                <a:lnTo>
                                  <a:pt x="27493" y="754070"/>
                                </a:lnTo>
                                <a:lnTo>
                                  <a:pt x="29047" y="801771"/>
                                </a:lnTo>
                                <a:lnTo>
                                  <a:pt x="33631" y="848659"/>
                                </a:lnTo>
                                <a:lnTo>
                                  <a:pt x="41148" y="894637"/>
                                </a:lnTo>
                                <a:lnTo>
                                  <a:pt x="51502" y="939608"/>
                                </a:lnTo>
                                <a:lnTo>
                                  <a:pt x="64602" y="983492"/>
                                </a:lnTo>
                                <a:lnTo>
                                  <a:pt x="80341" y="1026142"/>
                                </a:lnTo>
                                <a:lnTo>
                                  <a:pt x="98638" y="1067517"/>
                                </a:lnTo>
                                <a:lnTo>
                                  <a:pt x="119388" y="1107497"/>
                                </a:lnTo>
                                <a:lnTo>
                                  <a:pt x="142496" y="1145988"/>
                                </a:lnTo>
                                <a:lnTo>
                                  <a:pt x="167864" y="1182894"/>
                                </a:lnTo>
                                <a:lnTo>
                                  <a:pt x="195396" y="1218118"/>
                                </a:lnTo>
                                <a:lnTo>
                                  <a:pt x="224996" y="1251564"/>
                                </a:lnTo>
                                <a:lnTo>
                                  <a:pt x="256567" y="1283135"/>
                                </a:lnTo>
                                <a:lnTo>
                                  <a:pt x="290013" y="1312734"/>
                                </a:lnTo>
                                <a:lnTo>
                                  <a:pt x="325237" y="1340266"/>
                                </a:lnTo>
                                <a:lnTo>
                                  <a:pt x="362143" y="1365634"/>
                                </a:lnTo>
                                <a:lnTo>
                                  <a:pt x="400635" y="1388741"/>
                                </a:lnTo>
                                <a:lnTo>
                                  <a:pt x="440615" y="1409491"/>
                                </a:lnTo>
                                <a:lnTo>
                                  <a:pt x="481988" y="1427787"/>
                                </a:lnTo>
                                <a:lnTo>
                                  <a:pt x="524656" y="1443533"/>
                                </a:lnTo>
                                <a:lnTo>
                                  <a:pt x="568524" y="1456632"/>
                                </a:lnTo>
                                <a:lnTo>
                                  <a:pt x="613495" y="1466989"/>
                                </a:lnTo>
                                <a:lnTo>
                                  <a:pt x="659473" y="1474506"/>
                                </a:lnTo>
                                <a:lnTo>
                                  <a:pt x="706361" y="1479087"/>
                                </a:lnTo>
                                <a:lnTo>
                                  <a:pt x="754061" y="1480635"/>
                                </a:lnTo>
                                <a:lnTo>
                                  <a:pt x="954914" y="1480635"/>
                                </a:lnTo>
                                <a:lnTo>
                                  <a:pt x="939512" y="1485050"/>
                                </a:lnTo>
                                <a:lnTo>
                                  <a:pt x="894493" y="1495009"/>
                                </a:lnTo>
                                <a:lnTo>
                                  <a:pt x="848519" y="1502233"/>
                                </a:lnTo>
                                <a:lnTo>
                                  <a:pt x="801678" y="1506633"/>
                                </a:lnTo>
                                <a:lnTo>
                                  <a:pt x="754061" y="1508119"/>
                                </a:lnTo>
                                <a:close/>
                              </a:path>
                              <a:path w="1508125" h="1508125">
                                <a:moveTo>
                                  <a:pt x="954914" y="1480635"/>
                                </a:moveTo>
                                <a:lnTo>
                                  <a:pt x="754061" y="1480635"/>
                                </a:lnTo>
                                <a:lnTo>
                                  <a:pt x="801761" y="1479087"/>
                                </a:lnTo>
                                <a:lnTo>
                                  <a:pt x="848648" y="1474506"/>
                                </a:lnTo>
                                <a:lnTo>
                                  <a:pt x="894626" y="1466989"/>
                                </a:lnTo>
                                <a:lnTo>
                                  <a:pt x="939597" y="1456632"/>
                                </a:lnTo>
                                <a:lnTo>
                                  <a:pt x="983465" y="1443532"/>
                                </a:lnTo>
                                <a:lnTo>
                                  <a:pt x="1026134" y="1427786"/>
                                </a:lnTo>
                                <a:lnTo>
                                  <a:pt x="1067507" y="1409490"/>
                                </a:lnTo>
                                <a:lnTo>
                                  <a:pt x="1107487" y="1388740"/>
                                </a:lnTo>
                                <a:lnTo>
                                  <a:pt x="1145979" y="1365633"/>
                                </a:lnTo>
                                <a:lnTo>
                                  <a:pt x="1182885" y="1340265"/>
                                </a:lnTo>
                                <a:lnTo>
                                  <a:pt x="1218110" y="1312732"/>
                                </a:lnTo>
                                <a:lnTo>
                                  <a:pt x="1251556" y="1283133"/>
                                </a:lnTo>
                                <a:lnTo>
                                  <a:pt x="1283128" y="1251562"/>
                                </a:lnTo>
                                <a:lnTo>
                                  <a:pt x="1312728" y="1218116"/>
                                </a:lnTo>
                                <a:lnTo>
                                  <a:pt x="1340261" y="1182892"/>
                                </a:lnTo>
                                <a:lnTo>
                                  <a:pt x="1365629" y="1145986"/>
                                </a:lnTo>
                                <a:lnTo>
                                  <a:pt x="1388737" y="1107494"/>
                                </a:lnTo>
                                <a:lnTo>
                                  <a:pt x="1409488" y="1067514"/>
                                </a:lnTo>
                                <a:lnTo>
                                  <a:pt x="1427785" y="1026142"/>
                                </a:lnTo>
                                <a:lnTo>
                                  <a:pt x="1443530" y="983473"/>
                                </a:lnTo>
                                <a:lnTo>
                                  <a:pt x="1456652" y="939517"/>
                                </a:lnTo>
                                <a:lnTo>
                                  <a:pt x="1467010" y="894499"/>
                                </a:lnTo>
                                <a:lnTo>
                                  <a:pt x="1474518" y="848526"/>
                                </a:lnTo>
                                <a:lnTo>
                                  <a:pt x="1479089" y="801686"/>
                                </a:lnTo>
                                <a:lnTo>
                                  <a:pt x="1480635" y="754070"/>
                                </a:lnTo>
                                <a:lnTo>
                                  <a:pt x="1479081" y="706368"/>
                                </a:lnTo>
                                <a:lnTo>
                                  <a:pt x="1474497" y="659480"/>
                                </a:lnTo>
                                <a:lnTo>
                                  <a:pt x="1466979" y="613502"/>
                                </a:lnTo>
                                <a:lnTo>
                                  <a:pt x="1456625" y="568530"/>
                                </a:lnTo>
                                <a:lnTo>
                                  <a:pt x="1443524" y="524643"/>
                                </a:lnTo>
                                <a:lnTo>
                                  <a:pt x="1427785" y="481993"/>
                                </a:lnTo>
                                <a:lnTo>
                                  <a:pt x="1409488" y="440619"/>
                                </a:lnTo>
                                <a:lnTo>
                                  <a:pt x="1388737" y="400639"/>
                                </a:lnTo>
                                <a:lnTo>
                                  <a:pt x="1365630" y="362147"/>
                                </a:lnTo>
                                <a:lnTo>
                                  <a:pt x="1340261" y="325240"/>
                                </a:lnTo>
                                <a:lnTo>
                                  <a:pt x="1312729" y="290015"/>
                                </a:lnTo>
                                <a:lnTo>
                                  <a:pt x="1283128" y="256569"/>
                                </a:lnTo>
                                <a:lnTo>
                                  <a:pt x="1251557" y="224997"/>
                                </a:lnTo>
                                <a:lnTo>
                                  <a:pt x="1218110" y="195397"/>
                                </a:lnTo>
                                <a:lnTo>
                                  <a:pt x="1182886" y="167865"/>
                                </a:lnTo>
                                <a:lnTo>
                                  <a:pt x="1145979" y="142496"/>
                                </a:lnTo>
                                <a:lnTo>
                                  <a:pt x="1107487" y="119389"/>
                                </a:lnTo>
                                <a:lnTo>
                                  <a:pt x="1067507" y="98639"/>
                                </a:lnTo>
                                <a:lnTo>
                                  <a:pt x="1026134" y="80342"/>
                                </a:lnTo>
                                <a:lnTo>
                                  <a:pt x="983465" y="64596"/>
                                </a:lnTo>
                                <a:lnTo>
                                  <a:pt x="939597" y="51496"/>
                                </a:lnTo>
                                <a:lnTo>
                                  <a:pt x="894626" y="41139"/>
                                </a:lnTo>
                                <a:lnTo>
                                  <a:pt x="848649" y="33622"/>
                                </a:lnTo>
                                <a:lnTo>
                                  <a:pt x="801762" y="29041"/>
                                </a:lnTo>
                                <a:lnTo>
                                  <a:pt x="754061" y="27493"/>
                                </a:lnTo>
                                <a:lnTo>
                                  <a:pt x="954942" y="27493"/>
                                </a:lnTo>
                                <a:lnTo>
                                  <a:pt x="1026330" y="50839"/>
                                </a:lnTo>
                                <a:lnTo>
                                  <a:pt x="1067949" y="68471"/>
                                </a:lnTo>
                                <a:lnTo>
                                  <a:pt x="1108258" y="88482"/>
                                </a:lnTo>
                                <a:lnTo>
                                  <a:pt x="1147166" y="110784"/>
                                </a:lnTo>
                                <a:lnTo>
                                  <a:pt x="1184585" y="135287"/>
                                </a:lnTo>
                                <a:lnTo>
                                  <a:pt x="1220425" y="161902"/>
                                </a:lnTo>
                                <a:lnTo>
                                  <a:pt x="1254599" y="190540"/>
                                </a:lnTo>
                                <a:lnTo>
                                  <a:pt x="1287016" y="221113"/>
                                </a:lnTo>
                                <a:lnTo>
                                  <a:pt x="1317588" y="253530"/>
                                </a:lnTo>
                                <a:lnTo>
                                  <a:pt x="1346225" y="287704"/>
                                </a:lnTo>
                                <a:lnTo>
                                  <a:pt x="1372840" y="323546"/>
                                </a:lnTo>
                                <a:lnTo>
                                  <a:pt x="1397342" y="360965"/>
                                </a:lnTo>
                                <a:lnTo>
                                  <a:pt x="1419643" y="399874"/>
                                </a:lnTo>
                                <a:lnTo>
                                  <a:pt x="1439653" y="440182"/>
                                </a:lnTo>
                                <a:lnTo>
                                  <a:pt x="1457352" y="481993"/>
                                </a:lnTo>
                                <a:lnTo>
                                  <a:pt x="1472452" y="524662"/>
                                </a:lnTo>
                                <a:lnTo>
                                  <a:pt x="1485047" y="568619"/>
                                </a:lnTo>
                                <a:lnTo>
                                  <a:pt x="1495003" y="613638"/>
                                </a:lnTo>
                                <a:lnTo>
                                  <a:pt x="1502228" y="659613"/>
                                </a:lnTo>
                                <a:lnTo>
                                  <a:pt x="1506630" y="706453"/>
                                </a:lnTo>
                                <a:lnTo>
                                  <a:pt x="1508122" y="754070"/>
                                </a:lnTo>
                                <a:lnTo>
                                  <a:pt x="1506628" y="801771"/>
                                </a:lnTo>
                                <a:lnTo>
                                  <a:pt x="1502215" y="848659"/>
                                </a:lnTo>
                                <a:lnTo>
                                  <a:pt x="1494982" y="894637"/>
                                </a:lnTo>
                                <a:lnTo>
                                  <a:pt x="1485027" y="939608"/>
                                </a:lnTo>
                                <a:lnTo>
                                  <a:pt x="1472446" y="983492"/>
                                </a:lnTo>
                                <a:lnTo>
                                  <a:pt x="1457271" y="1026333"/>
                                </a:lnTo>
                                <a:lnTo>
                                  <a:pt x="1439652" y="1067952"/>
                                </a:lnTo>
                                <a:lnTo>
                                  <a:pt x="1419642" y="1108260"/>
                                </a:lnTo>
                                <a:lnTo>
                                  <a:pt x="1397341" y="1147168"/>
                                </a:lnTo>
                                <a:lnTo>
                                  <a:pt x="1372839" y="1184586"/>
                                </a:lnTo>
                                <a:lnTo>
                                  <a:pt x="1346224" y="1220426"/>
                                </a:lnTo>
                                <a:lnTo>
                                  <a:pt x="1317587" y="1254599"/>
                                </a:lnTo>
                                <a:lnTo>
                                  <a:pt x="1287015" y="1287016"/>
                                </a:lnTo>
                                <a:lnTo>
                                  <a:pt x="1254598" y="1317587"/>
                                </a:lnTo>
                                <a:lnTo>
                                  <a:pt x="1220424" y="1346224"/>
                                </a:lnTo>
                                <a:lnTo>
                                  <a:pt x="1184584" y="1372838"/>
                                </a:lnTo>
                                <a:lnTo>
                                  <a:pt x="1147165" y="1397340"/>
                                </a:lnTo>
                                <a:lnTo>
                                  <a:pt x="1108257" y="1419641"/>
                                </a:lnTo>
                                <a:lnTo>
                                  <a:pt x="1067948" y="1439651"/>
                                </a:lnTo>
                                <a:lnTo>
                                  <a:pt x="1026329" y="1457282"/>
                                </a:lnTo>
                                <a:lnTo>
                                  <a:pt x="983487" y="1472445"/>
                                </a:lnTo>
                                <a:lnTo>
                                  <a:pt x="954914" y="1480635"/>
                                </a:lnTo>
                                <a:close/>
                              </a:path>
                            </a:pathLst>
                          </a:custGeom>
                          <a:solidFill>
                            <a:srgbClr val="FFFFFF"/>
                          </a:solidFill>
                        </wps:spPr>
                        <wps:bodyPr wrap="square" lIns="0" tIns="0" rIns="0" bIns="0" rtlCol="0">
                          <a:prstTxWarp prst="textNoShape">
                            <a:avLst/>
                          </a:prstTxWarp>
                          <a:noAutofit/>
                        </wps:bodyPr>
                      </wps:wsp>
                      <wps:wsp>
                        <wps:cNvPr id="414" name="Graphic 414"/>
                        <wps:cNvSpPr/>
                        <wps:spPr>
                          <a:xfrm>
                            <a:off x="655211" y="2933569"/>
                            <a:ext cx="3475354" cy="3110865"/>
                          </a:xfrm>
                          <a:custGeom>
                            <a:avLst/>
                            <a:gdLst/>
                            <a:ahLst/>
                            <a:cxnLst/>
                            <a:rect l="l" t="t" r="r" b="b"/>
                            <a:pathLst>
                              <a:path w="3475354" h="3110865">
                                <a:moveTo>
                                  <a:pt x="3113780" y="3110681"/>
                                </a:moveTo>
                                <a:lnTo>
                                  <a:pt x="361948" y="3110681"/>
                                </a:lnTo>
                                <a:lnTo>
                                  <a:pt x="312835" y="3107377"/>
                                </a:lnTo>
                                <a:lnTo>
                                  <a:pt x="265729" y="3097752"/>
                                </a:lnTo>
                                <a:lnTo>
                                  <a:pt x="221062" y="3082237"/>
                                </a:lnTo>
                                <a:lnTo>
                                  <a:pt x="179266" y="3061264"/>
                                </a:lnTo>
                                <a:lnTo>
                                  <a:pt x="140773" y="3035264"/>
                                </a:lnTo>
                                <a:lnTo>
                                  <a:pt x="106012" y="3004668"/>
                                </a:lnTo>
                                <a:lnTo>
                                  <a:pt x="75416" y="2969908"/>
                                </a:lnTo>
                                <a:lnTo>
                                  <a:pt x="49416" y="2931414"/>
                                </a:lnTo>
                                <a:lnTo>
                                  <a:pt x="28443" y="2889618"/>
                                </a:lnTo>
                                <a:lnTo>
                                  <a:pt x="12929" y="2844951"/>
                                </a:lnTo>
                                <a:lnTo>
                                  <a:pt x="3304" y="2797845"/>
                                </a:lnTo>
                                <a:lnTo>
                                  <a:pt x="0" y="2748731"/>
                                </a:lnTo>
                                <a:lnTo>
                                  <a:pt x="0" y="361950"/>
                                </a:lnTo>
                                <a:lnTo>
                                  <a:pt x="3304" y="312835"/>
                                </a:lnTo>
                                <a:lnTo>
                                  <a:pt x="12929" y="265729"/>
                                </a:lnTo>
                                <a:lnTo>
                                  <a:pt x="28443" y="221062"/>
                                </a:lnTo>
                                <a:lnTo>
                                  <a:pt x="49416" y="179266"/>
                                </a:lnTo>
                                <a:lnTo>
                                  <a:pt x="75416" y="140773"/>
                                </a:lnTo>
                                <a:lnTo>
                                  <a:pt x="106012" y="106012"/>
                                </a:lnTo>
                                <a:lnTo>
                                  <a:pt x="140773" y="75416"/>
                                </a:lnTo>
                                <a:lnTo>
                                  <a:pt x="179266" y="49416"/>
                                </a:lnTo>
                                <a:lnTo>
                                  <a:pt x="221062" y="28443"/>
                                </a:lnTo>
                                <a:lnTo>
                                  <a:pt x="265729" y="12929"/>
                                </a:lnTo>
                                <a:lnTo>
                                  <a:pt x="312835" y="3304"/>
                                </a:lnTo>
                                <a:lnTo>
                                  <a:pt x="361950" y="0"/>
                                </a:lnTo>
                                <a:lnTo>
                                  <a:pt x="3113779" y="0"/>
                                </a:lnTo>
                                <a:lnTo>
                                  <a:pt x="3162893" y="3304"/>
                                </a:lnTo>
                                <a:lnTo>
                                  <a:pt x="3209999" y="12929"/>
                                </a:lnTo>
                                <a:lnTo>
                                  <a:pt x="3254666" y="28443"/>
                                </a:lnTo>
                                <a:lnTo>
                                  <a:pt x="3296462" y="49416"/>
                                </a:lnTo>
                                <a:lnTo>
                                  <a:pt x="3334955" y="75416"/>
                                </a:lnTo>
                                <a:lnTo>
                                  <a:pt x="3369716" y="106012"/>
                                </a:lnTo>
                                <a:lnTo>
                                  <a:pt x="3400312" y="140773"/>
                                </a:lnTo>
                                <a:lnTo>
                                  <a:pt x="3426312" y="179266"/>
                                </a:lnTo>
                                <a:lnTo>
                                  <a:pt x="3447285" y="221062"/>
                                </a:lnTo>
                                <a:lnTo>
                                  <a:pt x="3462799" y="265729"/>
                                </a:lnTo>
                                <a:lnTo>
                                  <a:pt x="3472424" y="312835"/>
                                </a:lnTo>
                                <a:lnTo>
                                  <a:pt x="3475214" y="354294"/>
                                </a:lnTo>
                                <a:lnTo>
                                  <a:pt x="3475214" y="2756386"/>
                                </a:lnTo>
                                <a:lnTo>
                                  <a:pt x="3472424" y="2797845"/>
                                </a:lnTo>
                                <a:lnTo>
                                  <a:pt x="3462799" y="2844951"/>
                                </a:lnTo>
                                <a:lnTo>
                                  <a:pt x="3447285" y="2889618"/>
                                </a:lnTo>
                                <a:lnTo>
                                  <a:pt x="3426312" y="2931414"/>
                                </a:lnTo>
                                <a:lnTo>
                                  <a:pt x="3400312" y="2969908"/>
                                </a:lnTo>
                                <a:lnTo>
                                  <a:pt x="3369716" y="3004668"/>
                                </a:lnTo>
                                <a:lnTo>
                                  <a:pt x="3334955" y="3035264"/>
                                </a:lnTo>
                                <a:lnTo>
                                  <a:pt x="3296462" y="3061264"/>
                                </a:lnTo>
                                <a:lnTo>
                                  <a:pt x="3254666" y="3082237"/>
                                </a:lnTo>
                                <a:lnTo>
                                  <a:pt x="3209999" y="3097752"/>
                                </a:lnTo>
                                <a:lnTo>
                                  <a:pt x="3162893" y="3107377"/>
                                </a:lnTo>
                                <a:lnTo>
                                  <a:pt x="3113780" y="3110681"/>
                                </a:lnTo>
                                <a:close/>
                              </a:path>
                            </a:pathLst>
                          </a:custGeom>
                          <a:solidFill>
                            <a:srgbClr val="C4E8E4">
                              <a:alpha val="55999"/>
                            </a:srgbClr>
                          </a:solidFill>
                        </wps:spPr>
                        <wps:bodyPr wrap="square" lIns="0" tIns="0" rIns="0" bIns="0" rtlCol="0">
                          <a:prstTxWarp prst="textNoShape">
                            <a:avLst/>
                          </a:prstTxWarp>
                          <a:noAutofit/>
                        </wps:bodyPr>
                      </wps:wsp>
                      <pic:pic>
                        <pic:nvPicPr>
                          <pic:cNvPr id="415" name="Image 415"/>
                          <pic:cNvPicPr/>
                        </pic:nvPicPr>
                        <pic:blipFill>
                          <a:blip r:embed="rId554" cstate="print"/>
                          <a:stretch>
                            <a:fillRect/>
                          </a:stretch>
                        </pic:blipFill>
                        <pic:spPr>
                          <a:xfrm>
                            <a:off x="4221364" y="2584124"/>
                            <a:ext cx="974118" cy="1170239"/>
                          </a:xfrm>
                          <a:prstGeom prst="rect">
                            <a:avLst/>
                          </a:prstGeom>
                        </pic:spPr>
                      </pic:pic>
                      <wps:wsp>
                        <wps:cNvPr id="416" name="Graphic 416"/>
                        <wps:cNvSpPr/>
                        <wps:spPr>
                          <a:xfrm>
                            <a:off x="4356887" y="4390915"/>
                            <a:ext cx="2773680" cy="1270"/>
                          </a:xfrm>
                          <a:custGeom>
                            <a:avLst/>
                            <a:gdLst/>
                            <a:ahLst/>
                            <a:cxnLst/>
                            <a:rect l="l" t="t" r="r" b="b"/>
                            <a:pathLst>
                              <a:path w="2773680" h="0">
                                <a:moveTo>
                                  <a:pt x="0" y="0"/>
                                </a:moveTo>
                                <a:lnTo>
                                  <a:pt x="2773600" y="0"/>
                                </a:lnTo>
                              </a:path>
                            </a:pathLst>
                          </a:custGeom>
                          <a:ln w="28574">
                            <a:solidFill>
                              <a:srgbClr val="001389"/>
                            </a:solidFill>
                            <a:prstDash val="sysDash"/>
                          </a:ln>
                        </wps:spPr>
                        <wps:bodyPr wrap="square" lIns="0" tIns="0" rIns="0" bIns="0" rtlCol="0">
                          <a:prstTxWarp prst="textNoShape">
                            <a:avLst/>
                          </a:prstTxWarp>
                          <a:noAutofit/>
                        </wps:bodyPr>
                      </wps:wsp>
                      <wps:wsp>
                        <wps:cNvPr id="417" name="Graphic 417"/>
                        <wps:cNvSpPr/>
                        <wps:spPr>
                          <a:xfrm>
                            <a:off x="4356887" y="6026641"/>
                            <a:ext cx="2773680" cy="1270"/>
                          </a:xfrm>
                          <a:custGeom>
                            <a:avLst/>
                            <a:gdLst/>
                            <a:ahLst/>
                            <a:cxnLst/>
                            <a:rect l="l" t="t" r="r" b="b"/>
                            <a:pathLst>
                              <a:path w="2773680" h="0">
                                <a:moveTo>
                                  <a:pt x="0" y="0"/>
                                </a:moveTo>
                                <a:lnTo>
                                  <a:pt x="2773600" y="0"/>
                                </a:lnTo>
                              </a:path>
                            </a:pathLst>
                          </a:custGeom>
                          <a:ln w="28574">
                            <a:solidFill>
                              <a:srgbClr val="001389"/>
                            </a:solidFill>
                            <a:prstDash val="sysDash"/>
                          </a:ln>
                        </wps:spPr>
                        <wps:bodyPr wrap="square" lIns="0" tIns="0" rIns="0" bIns="0" rtlCol="0">
                          <a:prstTxWarp prst="textNoShape">
                            <a:avLst/>
                          </a:prstTxWarp>
                          <a:noAutofit/>
                        </wps:bodyPr>
                      </wps:wsp>
                    </wpg:wgp>
                  </a:graphicData>
                </a:graphic>
              </wp:anchor>
            </w:drawing>
          </mc:Choice>
          <mc:Fallback>
            <w:pict>
              <v:group style="position:absolute;margin-left:-.000006pt;margin-top:-.00003pt;width:612pt;height:475.95pt;mso-position-horizontal-relative:page;mso-position-vertical-relative:page;z-index:-20688896" id="docshapegroup328" coordorigin="0,0" coordsize="12240,9519">
                <v:shape style="position:absolute;left:0;top:0;width:12240;height:5000" type="#_x0000_t75" id="docshape329" stroked="false">
                  <v:imagedata r:id="rId553" o:title=""/>
                </v:shape>
                <v:shape style="position:absolute;left:7839;top:1158;width:2333;height:2332" type="#_x0000_t75" id="docshape330" stroked="false">
                  <v:imagedata r:id="rId98" o:title=""/>
                </v:shape>
                <v:shape style="position:absolute;left:7818;top:1136;width:2375;height:2375" id="docshape331" coordorigin="7818,1136" coordsize="2375,2375" path="m9006,3511l8931,3509,8857,3502,8785,3491,8714,3475,8645,3455,8577,3431,8511,3404,8448,3372,8387,3337,8328,3298,8271,3257,8218,3211,8167,3163,8118,3112,8073,3058,8031,3002,7993,2943,7958,2882,7926,2818,7898,2752,7874,2685,7855,2616,7839,2545,7828,2473,7821,2399,7818,2324,7821,2249,7828,2175,7839,2103,7855,2032,7874,1963,7898,1895,7926,1830,7958,1766,7993,1705,8031,1646,8073,1590,8118,1536,8167,1485,8218,1437,8271,1391,8328,1350,8387,1311,8448,1276,8512,1244,8577,1217,8645,1193,8714,1173,8785,1157,8857,1146,8931,1139,9006,1136,9081,1139,9155,1146,9227,1157,9298,1173,9322,1180,9006,1180,8931,1182,8857,1189,8784,1201,8714,1218,8645,1238,8577,1263,8512,1292,8449,1324,8389,1361,8330,1401,8275,1444,8222,1491,8173,1541,8126,1593,8083,1649,8043,1707,8006,1767,7974,1830,7945,1896,7920,1963,7899,2032,7883,2103,7871,2175,7864,2249,7862,2324,7864,2399,7871,2473,7883,2545,7899,2616,7920,2685,7945,2752,7974,2818,8006,2881,8043,2941,8083,2999,8126,3055,8173,3107,8222,3157,8275,3204,8330,3247,8389,3287,8449,3323,8512,3356,8577,3385,8645,3410,8714,3430,8784,3447,8857,3459,8931,3466,9006,3468,9322,3468,9298,3475,9227,3491,9155,3502,9081,3509,9006,3511xm9322,3468l9006,3468,9081,3466,9155,3459,9227,3447,9298,3430,9367,3410,9434,3385,9499,3356,9562,3323,9623,3287,9681,3247,9737,3204,9789,3157,9839,3107,9886,3055,9929,2999,9969,2941,10005,2881,10038,2818,10067,2752,10092,2685,10112,2616,10129,2545,10140,2473,10148,2399,10150,2324,10148,2249,10140,2175,10129,2103,10112,2032,10092,1963,10067,1896,10038,1830,10005,1767,9969,1707,9929,1649,9886,1593,9839,1541,9789,1491,9737,1444,9681,1401,9623,1361,9562,1324,9499,1292,9434,1263,9367,1238,9298,1218,9227,1201,9155,1189,9081,1182,9006,1180,9322,1180,9367,1193,9435,1217,9500,1244,9564,1276,9625,1311,9684,1350,9740,1391,9794,1437,9845,1485,9893,1536,9938,1590,9980,1646,10019,1705,10054,1766,10085,1830,10113,1896,10137,1963,10157,2032,10173,2103,10184,2175,10191,2249,10193,2324,10191,2399,10184,2473,10173,2545,10157,2616,10137,2685,10113,2753,10085,2818,10054,2882,10019,2943,9980,3002,9938,3058,9893,3112,9845,3163,9794,3211,9740,3257,9684,3298,9625,3337,9564,3372,9500,3404,9435,3431,9367,3455,9322,3468xe" filled="true" fillcolor="#ffffff" stroked="false">
                  <v:path arrowok="t"/>
                  <v:fill type="solid"/>
                </v:shape>
                <v:shape style="position:absolute;left:1031;top:4619;width:5473;height:4899" id="docshape332" coordorigin="1032,4620" coordsize="5473,4899" path="m5935,9519l1602,9519,1524,9513,1450,9498,1380,9474,1314,9441,1254,9400,1199,9352,1151,9297,1110,9236,1077,9170,1052,9100,1037,9026,1032,8949,1032,5190,1037,5112,1052,5038,1077,4968,1110,4902,1151,4841,1199,4787,1254,4739,1314,4698,1380,4665,1450,4640,1524,4625,1602,4620,5935,4620,6013,4625,6087,4640,6157,4665,6223,4698,6284,4739,6338,4787,6387,4841,6428,4902,6461,4968,6485,5038,6500,5112,6505,5178,6505,8961,6500,9026,6485,9100,6461,9170,6428,9236,6387,9297,6338,9352,6284,9400,6223,9441,6157,9474,6087,9498,6013,9513,5935,9519xe" filled="true" fillcolor="#c4e8e4" stroked="false">
                  <v:path arrowok="t"/>
                  <v:fill opacity="36700f" type="solid"/>
                </v:shape>
                <v:shape style="position:absolute;left:6647;top:4069;width:1535;height:1843" type="#_x0000_t75" id="docshape333" stroked="false">
                  <v:imagedata r:id="rId554" o:title=""/>
                </v:shape>
                <v:line style="position:absolute" from="6861,6915" to="11229,6915" stroked="true" strokeweight="2.25pt" strokecolor="#001389">
                  <v:stroke dashstyle="shortdash"/>
                </v:line>
                <v:line style="position:absolute" from="6861,9491" to="11229,9491" stroked="true" strokeweight="2.25pt" strokecolor="#001389">
                  <v:stroke dashstyle="shortdash"/>
                </v:line>
                <w10:wrap type="none"/>
              </v:group>
            </w:pict>
          </mc:Fallback>
        </mc:AlternateContent>
      </w:r>
    </w:p>
    <w:p>
      <w:pPr>
        <w:tabs>
          <w:tab w:pos="6066" w:val="left" w:leader="none"/>
        </w:tabs>
        <w:spacing w:line="240" w:lineRule="auto"/>
        <w:ind w:left="111" w:right="0" w:firstLine="0"/>
        <w:rPr>
          <w:rFonts w:ascii="Georgia"/>
          <w:sz w:val="20"/>
        </w:rPr>
      </w:pPr>
      <w:r>
        <w:rPr>
          <w:rFonts w:ascii="Georgia"/>
          <w:position w:val="65"/>
          <w:sz w:val="20"/>
        </w:rPr>
        <mc:AlternateContent>
          <mc:Choice Requires="wps">
            <w:drawing>
              <wp:inline distT="0" distB="0" distL="0" distR="0">
                <wp:extent cx="3475354" cy="1085215"/>
                <wp:effectExtent l="0" t="0" r="0" b="634"/>
                <wp:docPr id="418" name="Group 418"/>
                <wp:cNvGraphicFramePr>
                  <a:graphicFrameLocks/>
                </wp:cNvGraphicFramePr>
                <a:graphic>
                  <a:graphicData uri="http://schemas.microsoft.com/office/word/2010/wordprocessingGroup">
                    <wpg:wgp>
                      <wpg:cNvPr id="418" name="Group 418"/>
                      <wpg:cNvGrpSpPr/>
                      <wpg:grpSpPr>
                        <a:xfrm>
                          <a:off x="0" y="0"/>
                          <a:ext cx="3475354" cy="1085215"/>
                          <a:chExt cx="3475354" cy="1085215"/>
                        </a:xfrm>
                      </wpg:grpSpPr>
                      <wps:wsp>
                        <wps:cNvPr id="419" name="Graphic 419"/>
                        <wps:cNvSpPr/>
                        <wps:spPr>
                          <a:xfrm>
                            <a:off x="0" y="0"/>
                            <a:ext cx="3475354" cy="1085215"/>
                          </a:xfrm>
                          <a:custGeom>
                            <a:avLst/>
                            <a:gdLst/>
                            <a:ahLst/>
                            <a:cxnLst/>
                            <a:rect l="l" t="t" r="r" b="b"/>
                            <a:pathLst>
                              <a:path w="3475354" h="1085215">
                                <a:moveTo>
                                  <a:pt x="3113778" y="1084970"/>
                                </a:moveTo>
                                <a:lnTo>
                                  <a:pt x="361950" y="1084970"/>
                                </a:lnTo>
                                <a:lnTo>
                                  <a:pt x="312835" y="1081666"/>
                                </a:lnTo>
                                <a:lnTo>
                                  <a:pt x="265729" y="1072041"/>
                                </a:lnTo>
                                <a:lnTo>
                                  <a:pt x="221062" y="1056526"/>
                                </a:lnTo>
                                <a:lnTo>
                                  <a:pt x="179266" y="1035553"/>
                                </a:lnTo>
                                <a:lnTo>
                                  <a:pt x="140773" y="1009553"/>
                                </a:lnTo>
                                <a:lnTo>
                                  <a:pt x="106012" y="978957"/>
                                </a:lnTo>
                                <a:lnTo>
                                  <a:pt x="75416" y="944197"/>
                                </a:lnTo>
                                <a:lnTo>
                                  <a:pt x="49416" y="905703"/>
                                </a:lnTo>
                                <a:lnTo>
                                  <a:pt x="28443" y="863907"/>
                                </a:lnTo>
                                <a:lnTo>
                                  <a:pt x="12929" y="819240"/>
                                </a:lnTo>
                                <a:lnTo>
                                  <a:pt x="3304" y="772134"/>
                                </a:lnTo>
                                <a:lnTo>
                                  <a:pt x="0" y="723020"/>
                                </a:lnTo>
                                <a:lnTo>
                                  <a:pt x="0" y="361949"/>
                                </a:lnTo>
                                <a:lnTo>
                                  <a:pt x="3304" y="312835"/>
                                </a:lnTo>
                                <a:lnTo>
                                  <a:pt x="12929" y="265729"/>
                                </a:lnTo>
                                <a:lnTo>
                                  <a:pt x="28443" y="221062"/>
                                </a:lnTo>
                                <a:lnTo>
                                  <a:pt x="49416" y="179266"/>
                                </a:lnTo>
                                <a:lnTo>
                                  <a:pt x="75416" y="140773"/>
                                </a:lnTo>
                                <a:lnTo>
                                  <a:pt x="106012" y="106012"/>
                                </a:lnTo>
                                <a:lnTo>
                                  <a:pt x="140773" y="75416"/>
                                </a:lnTo>
                                <a:lnTo>
                                  <a:pt x="179266" y="49416"/>
                                </a:lnTo>
                                <a:lnTo>
                                  <a:pt x="221062" y="28443"/>
                                </a:lnTo>
                                <a:lnTo>
                                  <a:pt x="265729" y="12929"/>
                                </a:lnTo>
                                <a:lnTo>
                                  <a:pt x="312835" y="3304"/>
                                </a:lnTo>
                                <a:lnTo>
                                  <a:pt x="361950" y="0"/>
                                </a:lnTo>
                                <a:lnTo>
                                  <a:pt x="3113778" y="0"/>
                                </a:lnTo>
                                <a:lnTo>
                                  <a:pt x="3162893" y="3304"/>
                                </a:lnTo>
                                <a:lnTo>
                                  <a:pt x="3209999" y="12929"/>
                                </a:lnTo>
                                <a:lnTo>
                                  <a:pt x="3254666" y="28443"/>
                                </a:lnTo>
                                <a:lnTo>
                                  <a:pt x="3296461" y="49416"/>
                                </a:lnTo>
                                <a:lnTo>
                                  <a:pt x="3334955" y="75416"/>
                                </a:lnTo>
                                <a:lnTo>
                                  <a:pt x="3369716" y="106012"/>
                                </a:lnTo>
                                <a:lnTo>
                                  <a:pt x="3400311" y="140773"/>
                                </a:lnTo>
                                <a:lnTo>
                                  <a:pt x="3426312" y="179266"/>
                                </a:lnTo>
                                <a:lnTo>
                                  <a:pt x="3447285" y="221062"/>
                                </a:lnTo>
                                <a:lnTo>
                                  <a:pt x="3462799" y="265729"/>
                                </a:lnTo>
                                <a:lnTo>
                                  <a:pt x="3472424" y="312835"/>
                                </a:lnTo>
                                <a:lnTo>
                                  <a:pt x="3475295" y="355504"/>
                                </a:lnTo>
                                <a:lnTo>
                                  <a:pt x="3475295" y="729465"/>
                                </a:lnTo>
                                <a:lnTo>
                                  <a:pt x="3472424" y="772134"/>
                                </a:lnTo>
                                <a:lnTo>
                                  <a:pt x="3462799" y="819240"/>
                                </a:lnTo>
                                <a:lnTo>
                                  <a:pt x="3447285" y="863907"/>
                                </a:lnTo>
                                <a:lnTo>
                                  <a:pt x="3426312" y="905703"/>
                                </a:lnTo>
                                <a:lnTo>
                                  <a:pt x="3400311" y="944197"/>
                                </a:lnTo>
                                <a:lnTo>
                                  <a:pt x="3369716" y="978957"/>
                                </a:lnTo>
                                <a:lnTo>
                                  <a:pt x="3334955" y="1009553"/>
                                </a:lnTo>
                                <a:lnTo>
                                  <a:pt x="3296461" y="1035553"/>
                                </a:lnTo>
                                <a:lnTo>
                                  <a:pt x="3254666" y="1056526"/>
                                </a:lnTo>
                                <a:lnTo>
                                  <a:pt x="3209999" y="1072041"/>
                                </a:lnTo>
                                <a:lnTo>
                                  <a:pt x="3162893" y="1081666"/>
                                </a:lnTo>
                                <a:lnTo>
                                  <a:pt x="3113778" y="1084970"/>
                                </a:lnTo>
                                <a:close/>
                              </a:path>
                            </a:pathLst>
                          </a:custGeom>
                          <a:solidFill>
                            <a:srgbClr val="C4E8E4">
                              <a:alpha val="55999"/>
                            </a:srgbClr>
                          </a:solidFill>
                        </wps:spPr>
                        <wps:bodyPr wrap="square" lIns="0" tIns="0" rIns="0" bIns="0" rtlCol="0">
                          <a:prstTxWarp prst="textNoShape">
                            <a:avLst/>
                          </a:prstTxWarp>
                          <a:noAutofit/>
                        </wps:bodyPr>
                      </wps:wsp>
                      <wps:wsp>
                        <wps:cNvPr id="420" name="Textbox 420"/>
                        <wps:cNvSpPr txBox="1"/>
                        <wps:spPr>
                          <a:xfrm>
                            <a:off x="0" y="0"/>
                            <a:ext cx="3475354" cy="1085215"/>
                          </a:xfrm>
                          <a:prstGeom prst="rect">
                            <a:avLst/>
                          </a:prstGeom>
                        </wps:spPr>
                        <wps:txbx>
                          <w:txbxContent>
                            <w:p>
                              <w:pPr>
                                <w:spacing w:before="136"/>
                                <w:ind w:left="211" w:right="0" w:firstLine="0"/>
                                <w:jc w:val="left"/>
                                <w:rPr>
                                  <w:b/>
                                  <w:i/>
                                  <w:sz w:val="34"/>
                                </w:rPr>
                              </w:pPr>
                              <w:r>
                                <w:rPr>
                                  <w:b/>
                                  <w:i/>
                                  <w:spacing w:val="11"/>
                                  <w:w w:val="130"/>
                                  <w:sz w:val="34"/>
                                </w:rPr>
                                <w:t>LEGISLATION</w:t>
                              </w:r>
                            </w:p>
                            <w:p>
                              <w:pPr>
                                <w:spacing w:before="122"/>
                                <w:ind w:left="211" w:right="0" w:firstLine="0"/>
                                <w:jc w:val="left"/>
                                <w:rPr>
                                  <w:rFonts w:ascii="Georgia"/>
                                  <w:sz w:val="20"/>
                                </w:rPr>
                              </w:pPr>
                              <w:r>
                                <w:rPr>
                                  <w:rFonts w:ascii="Georgia"/>
                                  <w:w w:val="90"/>
                                  <w:sz w:val="20"/>
                                </w:rPr>
                                <w:t>S.1499/H.2357:</w:t>
                              </w:r>
                              <w:r>
                                <w:rPr>
                                  <w:rFonts w:ascii="Georgia"/>
                                  <w:spacing w:val="17"/>
                                  <w:sz w:val="20"/>
                                </w:rPr>
                                <w:t> </w:t>
                              </w:r>
                              <w:r>
                                <w:rPr>
                                  <w:rFonts w:ascii="Georgia"/>
                                  <w:w w:val="90"/>
                                  <w:sz w:val="20"/>
                                </w:rPr>
                                <w:t>RIGHTS</w:t>
                              </w:r>
                              <w:r>
                                <w:rPr>
                                  <w:rFonts w:ascii="Georgia"/>
                                  <w:spacing w:val="17"/>
                                  <w:sz w:val="20"/>
                                </w:rPr>
                                <w:t> </w:t>
                              </w:r>
                              <w:r>
                                <w:rPr>
                                  <w:rFonts w:ascii="Georgia"/>
                                  <w:spacing w:val="-5"/>
                                  <w:w w:val="90"/>
                                  <w:sz w:val="20"/>
                                </w:rPr>
                                <w:t>Act</w:t>
                              </w:r>
                            </w:p>
                            <w:p>
                              <w:pPr>
                                <w:spacing w:line="278" w:lineRule="auto" w:before="37"/>
                                <w:ind w:left="211" w:right="0" w:firstLine="0"/>
                                <w:jc w:val="left"/>
                                <w:rPr>
                                  <w:rFonts w:ascii="Georgia"/>
                                  <w:sz w:val="20"/>
                                </w:rPr>
                              </w:pPr>
                              <w:r>
                                <w:rPr>
                                  <w:rFonts w:ascii="Georgia"/>
                                  <w:spacing w:val="-2"/>
                                  <w:sz w:val="20"/>
                                </w:rPr>
                                <w:t>S.931/H.1802:</w:t>
                              </w:r>
                              <w:r>
                                <w:rPr>
                                  <w:rFonts w:ascii="Georgia"/>
                                  <w:spacing w:val="-5"/>
                                  <w:sz w:val="20"/>
                                </w:rPr>
                                <w:t> </w:t>
                              </w:r>
                              <w:r>
                                <w:rPr>
                                  <w:rFonts w:ascii="Georgia"/>
                                  <w:spacing w:val="-2"/>
                                  <w:sz w:val="20"/>
                                </w:rPr>
                                <w:t>Juvenile</w:t>
                              </w:r>
                              <w:r>
                                <w:rPr>
                                  <w:rFonts w:ascii="Georgia"/>
                                  <w:spacing w:val="-5"/>
                                  <w:sz w:val="20"/>
                                </w:rPr>
                                <w:t> </w:t>
                              </w:r>
                              <w:r>
                                <w:rPr>
                                  <w:rFonts w:ascii="Georgia"/>
                                  <w:spacing w:val="-2"/>
                                  <w:sz w:val="20"/>
                                </w:rPr>
                                <w:t>Justice</w:t>
                              </w:r>
                              <w:r>
                                <w:rPr>
                                  <w:rFonts w:ascii="Georgia"/>
                                  <w:spacing w:val="-5"/>
                                  <w:sz w:val="20"/>
                                </w:rPr>
                                <w:t> </w:t>
                              </w:r>
                              <w:r>
                                <w:rPr>
                                  <w:rFonts w:ascii="Georgia"/>
                                  <w:spacing w:val="-2"/>
                                  <w:sz w:val="20"/>
                                </w:rPr>
                                <w:t>Data</w:t>
                              </w:r>
                              <w:r>
                                <w:rPr>
                                  <w:rFonts w:ascii="Georgia"/>
                                  <w:spacing w:val="-5"/>
                                  <w:sz w:val="20"/>
                                </w:rPr>
                                <w:t> </w:t>
                              </w:r>
                              <w:r>
                                <w:rPr>
                                  <w:rFonts w:ascii="Georgia"/>
                                  <w:spacing w:val="-2"/>
                                  <w:sz w:val="20"/>
                                </w:rPr>
                                <w:t>Collection </w:t>
                              </w:r>
                              <w:r>
                                <w:rPr>
                                  <w:rFonts w:ascii="Georgia"/>
                                  <w:sz w:val="20"/>
                                </w:rPr>
                                <w:t>S.942/H.1710: Raise the Age</w:t>
                              </w:r>
                            </w:p>
                          </w:txbxContent>
                        </wps:txbx>
                        <wps:bodyPr wrap="square" lIns="0" tIns="0" rIns="0" bIns="0" rtlCol="0">
                          <a:noAutofit/>
                        </wps:bodyPr>
                      </wps:wsp>
                    </wpg:wgp>
                  </a:graphicData>
                </a:graphic>
              </wp:inline>
            </w:drawing>
          </mc:Choice>
          <mc:Fallback>
            <w:pict>
              <v:group style="width:273.650pt;height:85.45pt;mso-position-horizontal-relative:char;mso-position-vertical-relative:line" id="docshapegroup334" coordorigin="0,0" coordsize="5473,1709">
                <v:shape style="position:absolute;left:0;top:0;width:5473;height:1709" id="docshape335" coordorigin="0,0" coordsize="5473,1709" path="m4904,1709l570,1709,493,1703,418,1688,348,1664,282,1631,222,1590,167,1542,119,1487,78,1426,45,1360,20,1290,5,1216,0,1139,0,570,5,493,20,418,45,348,78,282,119,222,167,167,222,119,282,78,348,45,418,20,493,5,570,0,4904,0,4981,5,5055,20,5125,45,5191,78,5252,119,5307,167,5355,222,5396,282,5429,348,5453,418,5468,493,5473,560,5473,1149,5468,1216,5453,1290,5429,1360,5396,1426,5355,1487,5307,1542,5252,1590,5191,1631,5125,1664,5055,1688,4981,1703,4904,1709xe" filled="true" fillcolor="#c4e8e4" stroked="false">
                  <v:path arrowok="t"/>
                  <v:fill opacity="36700f" type="solid"/>
                </v:shape>
                <v:shape style="position:absolute;left:0;top:0;width:5473;height:1709" type="#_x0000_t202" id="docshape336" filled="false" stroked="false">
                  <v:textbox inset="0,0,0,0">
                    <w:txbxContent>
                      <w:p>
                        <w:pPr>
                          <w:spacing w:before="136"/>
                          <w:ind w:left="211" w:right="0" w:firstLine="0"/>
                          <w:jc w:val="left"/>
                          <w:rPr>
                            <w:b/>
                            <w:i/>
                            <w:sz w:val="34"/>
                          </w:rPr>
                        </w:pPr>
                        <w:r>
                          <w:rPr>
                            <w:b/>
                            <w:i/>
                            <w:spacing w:val="11"/>
                            <w:w w:val="130"/>
                            <w:sz w:val="34"/>
                          </w:rPr>
                          <w:t>LEGISLATION</w:t>
                        </w:r>
                      </w:p>
                      <w:p>
                        <w:pPr>
                          <w:spacing w:before="122"/>
                          <w:ind w:left="211" w:right="0" w:firstLine="0"/>
                          <w:jc w:val="left"/>
                          <w:rPr>
                            <w:rFonts w:ascii="Georgia"/>
                            <w:sz w:val="20"/>
                          </w:rPr>
                        </w:pPr>
                        <w:r>
                          <w:rPr>
                            <w:rFonts w:ascii="Georgia"/>
                            <w:w w:val="90"/>
                            <w:sz w:val="20"/>
                          </w:rPr>
                          <w:t>S.1499/H.2357:</w:t>
                        </w:r>
                        <w:r>
                          <w:rPr>
                            <w:rFonts w:ascii="Georgia"/>
                            <w:spacing w:val="17"/>
                            <w:sz w:val="20"/>
                          </w:rPr>
                          <w:t> </w:t>
                        </w:r>
                        <w:r>
                          <w:rPr>
                            <w:rFonts w:ascii="Georgia"/>
                            <w:w w:val="90"/>
                            <w:sz w:val="20"/>
                          </w:rPr>
                          <w:t>RIGHTS</w:t>
                        </w:r>
                        <w:r>
                          <w:rPr>
                            <w:rFonts w:ascii="Georgia"/>
                            <w:spacing w:val="17"/>
                            <w:sz w:val="20"/>
                          </w:rPr>
                          <w:t> </w:t>
                        </w:r>
                        <w:r>
                          <w:rPr>
                            <w:rFonts w:ascii="Georgia"/>
                            <w:spacing w:val="-5"/>
                            <w:w w:val="90"/>
                            <w:sz w:val="20"/>
                          </w:rPr>
                          <w:t>Act</w:t>
                        </w:r>
                      </w:p>
                      <w:p>
                        <w:pPr>
                          <w:spacing w:line="278" w:lineRule="auto" w:before="37"/>
                          <w:ind w:left="211" w:right="0" w:firstLine="0"/>
                          <w:jc w:val="left"/>
                          <w:rPr>
                            <w:rFonts w:ascii="Georgia"/>
                            <w:sz w:val="20"/>
                          </w:rPr>
                        </w:pPr>
                        <w:r>
                          <w:rPr>
                            <w:rFonts w:ascii="Georgia"/>
                            <w:spacing w:val="-2"/>
                            <w:sz w:val="20"/>
                          </w:rPr>
                          <w:t>S.931/H.1802:</w:t>
                        </w:r>
                        <w:r>
                          <w:rPr>
                            <w:rFonts w:ascii="Georgia"/>
                            <w:spacing w:val="-5"/>
                            <w:sz w:val="20"/>
                          </w:rPr>
                          <w:t> </w:t>
                        </w:r>
                        <w:r>
                          <w:rPr>
                            <w:rFonts w:ascii="Georgia"/>
                            <w:spacing w:val="-2"/>
                            <w:sz w:val="20"/>
                          </w:rPr>
                          <w:t>Juvenile</w:t>
                        </w:r>
                        <w:r>
                          <w:rPr>
                            <w:rFonts w:ascii="Georgia"/>
                            <w:spacing w:val="-5"/>
                            <w:sz w:val="20"/>
                          </w:rPr>
                          <w:t> </w:t>
                        </w:r>
                        <w:r>
                          <w:rPr>
                            <w:rFonts w:ascii="Georgia"/>
                            <w:spacing w:val="-2"/>
                            <w:sz w:val="20"/>
                          </w:rPr>
                          <w:t>Justice</w:t>
                        </w:r>
                        <w:r>
                          <w:rPr>
                            <w:rFonts w:ascii="Georgia"/>
                            <w:spacing w:val="-5"/>
                            <w:sz w:val="20"/>
                          </w:rPr>
                          <w:t> </w:t>
                        </w:r>
                        <w:r>
                          <w:rPr>
                            <w:rFonts w:ascii="Georgia"/>
                            <w:spacing w:val="-2"/>
                            <w:sz w:val="20"/>
                          </w:rPr>
                          <w:t>Data</w:t>
                        </w:r>
                        <w:r>
                          <w:rPr>
                            <w:rFonts w:ascii="Georgia"/>
                            <w:spacing w:val="-5"/>
                            <w:sz w:val="20"/>
                          </w:rPr>
                          <w:t> </w:t>
                        </w:r>
                        <w:r>
                          <w:rPr>
                            <w:rFonts w:ascii="Georgia"/>
                            <w:spacing w:val="-2"/>
                            <w:sz w:val="20"/>
                          </w:rPr>
                          <w:t>Collection </w:t>
                        </w:r>
                        <w:r>
                          <w:rPr>
                            <w:rFonts w:ascii="Georgia"/>
                            <w:sz w:val="20"/>
                          </w:rPr>
                          <w:t>S.942/H.1710: Raise the Age</w:t>
                        </w:r>
                      </w:p>
                    </w:txbxContent>
                  </v:textbox>
                  <w10:wrap type="none"/>
                </v:shape>
              </v:group>
            </w:pict>
          </mc:Fallback>
        </mc:AlternateContent>
      </w:r>
      <w:r>
        <w:rPr>
          <w:rFonts w:ascii="Georgia"/>
          <w:position w:val="65"/>
          <w:sz w:val="20"/>
        </w:rPr>
      </w:r>
      <w:r>
        <w:rPr>
          <w:rFonts w:ascii="Georgia"/>
          <w:position w:val="65"/>
          <w:sz w:val="20"/>
        </w:rPr>
        <w:tab/>
      </w:r>
      <w:r>
        <w:rPr>
          <w:rFonts w:ascii="Georgia"/>
          <w:sz w:val="20"/>
        </w:rPr>
        <w:drawing>
          <wp:inline distT="0" distB="0" distL="0" distR="0">
            <wp:extent cx="2966214" cy="2174938"/>
            <wp:effectExtent l="0" t="0" r="0" b="0"/>
            <wp:docPr id="421" name="Image 421"/>
            <wp:cNvGraphicFramePr>
              <a:graphicFrameLocks/>
            </wp:cNvGraphicFramePr>
            <a:graphic>
              <a:graphicData uri="http://schemas.openxmlformats.org/drawingml/2006/picture">
                <pic:pic>
                  <pic:nvPicPr>
                    <pic:cNvPr id="421" name="Image 421"/>
                    <pic:cNvPicPr/>
                  </pic:nvPicPr>
                  <pic:blipFill>
                    <a:blip r:embed="rId555" cstate="print"/>
                    <a:stretch>
                      <a:fillRect/>
                    </a:stretch>
                  </pic:blipFill>
                  <pic:spPr>
                    <a:xfrm>
                      <a:off x="0" y="0"/>
                      <a:ext cx="2966214" cy="2174938"/>
                    </a:xfrm>
                    <a:prstGeom prst="rect">
                      <a:avLst/>
                    </a:prstGeom>
                  </pic:spPr>
                </pic:pic>
              </a:graphicData>
            </a:graphic>
          </wp:inline>
        </w:drawing>
      </w:r>
      <w:r>
        <w:rPr>
          <w:rFonts w:ascii="Georgia"/>
          <w:sz w:val="20"/>
        </w:rPr>
      </w:r>
    </w:p>
    <w:p>
      <w:pPr>
        <w:spacing w:after="0" w:line="240" w:lineRule="auto"/>
        <w:rPr>
          <w:rFonts w:ascii="Georgia"/>
          <w:sz w:val="20"/>
        </w:rPr>
        <w:sectPr>
          <w:type w:val="continuous"/>
          <w:pgSz w:w="12240" w:h="15840"/>
          <w:pgMar w:header="0" w:footer="0" w:top="1420" w:bottom="280" w:left="920" w:right="380"/>
        </w:sectPr>
      </w:pPr>
    </w:p>
    <w:p>
      <w:pPr>
        <w:pStyle w:val="Heading8"/>
        <w:spacing w:before="69"/>
        <w:ind w:left="463"/>
      </w:pPr>
      <w:r>
        <w:rPr/>
        <mc:AlternateContent>
          <mc:Choice Requires="wps">
            <w:drawing>
              <wp:anchor distT="0" distB="0" distL="0" distR="0" allowOverlap="1" layoutInCell="1" locked="0" behindDoc="1" simplePos="0" relativeHeight="487666176">
                <wp:simplePos x="0" y="0"/>
                <wp:positionH relativeFrom="page">
                  <wp:posOffset>889000</wp:posOffset>
                </wp:positionH>
                <wp:positionV relativeFrom="paragraph">
                  <wp:posOffset>335788</wp:posOffset>
                </wp:positionV>
                <wp:extent cx="6350" cy="12700"/>
                <wp:effectExtent l="0" t="0" r="0" b="0"/>
                <wp:wrapTopAndBottom/>
                <wp:docPr id="425" name="Graphic 425"/>
                <wp:cNvGraphicFramePr>
                  <a:graphicFrameLocks/>
                </wp:cNvGraphicFramePr>
                <a:graphic>
                  <a:graphicData uri="http://schemas.microsoft.com/office/word/2010/wordprocessingShape">
                    <wps:wsp>
                      <wps:cNvPr id="425" name="Graphic 425"/>
                      <wps:cNvSpPr/>
                      <wps:spPr>
                        <a:xfrm>
                          <a:off x="0" y="0"/>
                          <a:ext cx="6350" cy="12700"/>
                        </a:xfrm>
                        <a:custGeom>
                          <a:avLst/>
                          <a:gdLst/>
                          <a:ahLst/>
                          <a:cxnLst/>
                          <a:rect l="l" t="t" r="r" b="b"/>
                          <a:pathLst>
                            <a:path w="6350" h="12700">
                              <a:moveTo>
                                <a:pt x="6337" y="0"/>
                              </a:moveTo>
                              <a:lnTo>
                                <a:pt x="0" y="0"/>
                              </a:lnTo>
                              <a:lnTo>
                                <a:pt x="0" y="12192"/>
                              </a:lnTo>
                              <a:lnTo>
                                <a:pt x="6337" y="12192"/>
                              </a:lnTo>
                              <a:lnTo>
                                <a:pt x="6337" y="0"/>
                              </a:lnTo>
                              <a:close/>
                            </a:path>
                          </a:pathLst>
                        </a:custGeom>
                        <a:solidFill>
                          <a:srgbClr val="0F6DC5"/>
                        </a:solidFill>
                      </wps:spPr>
                      <wps:bodyPr wrap="square" lIns="0" tIns="0" rIns="0" bIns="0" rtlCol="0">
                        <a:prstTxWarp prst="textNoShape">
                          <a:avLst/>
                        </a:prstTxWarp>
                        <a:noAutofit/>
                      </wps:bodyPr>
                    </wps:wsp>
                  </a:graphicData>
                </a:graphic>
              </wp:anchor>
            </w:drawing>
          </mc:Choice>
          <mc:Fallback>
            <w:pict>
              <v:rect style="position:absolute;margin-left:70pt;margin-top:26.440001pt;width:.499pt;height:.96pt;mso-position-horizontal-relative:page;mso-position-vertical-relative:paragraph;z-index:-15650304;mso-wrap-distance-left:0;mso-wrap-distance-right:0" id="docshape340" filled="true" fillcolor="#0f6dc5" stroked="false">
                <v:fill type="solid"/>
                <w10:wrap type="topAndBottom"/>
              </v:rect>
            </w:pict>
          </mc:Fallback>
        </mc:AlternateContent>
      </w:r>
      <w:r>
        <w:rPr/>
        <mc:AlternateContent>
          <mc:Choice Requires="wps">
            <w:drawing>
              <wp:anchor distT="0" distB="0" distL="0" distR="0" allowOverlap="1" layoutInCell="1" locked="0" behindDoc="1" simplePos="0" relativeHeight="487666688">
                <wp:simplePos x="0" y="0"/>
                <wp:positionH relativeFrom="page">
                  <wp:posOffset>889000</wp:posOffset>
                </wp:positionH>
                <wp:positionV relativeFrom="paragraph">
                  <wp:posOffset>538632</wp:posOffset>
                </wp:positionV>
                <wp:extent cx="6350" cy="12700"/>
                <wp:effectExtent l="0" t="0" r="0" b="0"/>
                <wp:wrapTopAndBottom/>
                <wp:docPr id="426" name="Graphic 426"/>
                <wp:cNvGraphicFramePr>
                  <a:graphicFrameLocks/>
                </wp:cNvGraphicFramePr>
                <a:graphic>
                  <a:graphicData uri="http://schemas.microsoft.com/office/word/2010/wordprocessingShape">
                    <wps:wsp>
                      <wps:cNvPr id="426" name="Graphic 426"/>
                      <wps:cNvSpPr/>
                      <wps:spPr>
                        <a:xfrm>
                          <a:off x="0" y="0"/>
                          <a:ext cx="6350" cy="12700"/>
                        </a:xfrm>
                        <a:custGeom>
                          <a:avLst/>
                          <a:gdLst/>
                          <a:ahLst/>
                          <a:cxnLst/>
                          <a:rect l="l" t="t" r="r" b="b"/>
                          <a:pathLst>
                            <a:path w="6350" h="12700">
                              <a:moveTo>
                                <a:pt x="6337" y="0"/>
                              </a:moveTo>
                              <a:lnTo>
                                <a:pt x="0" y="0"/>
                              </a:lnTo>
                              <a:lnTo>
                                <a:pt x="0" y="12217"/>
                              </a:lnTo>
                              <a:lnTo>
                                <a:pt x="6337" y="12217"/>
                              </a:lnTo>
                              <a:lnTo>
                                <a:pt x="6337" y="0"/>
                              </a:lnTo>
                              <a:close/>
                            </a:path>
                          </a:pathLst>
                        </a:custGeom>
                        <a:solidFill>
                          <a:srgbClr val="0F6DC5"/>
                        </a:solidFill>
                      </wps:spPr>
                      <wps:bodyPr wrap="square" lIns="0" tIns="0" rIns="0" bIns="0" rtlCol="0">
                        <a:prstTxWarp prst="textNoShape">
                          <a:avLst/>
                        </a:prstTxWarp>
                        <a:noAutofit/>
                      </wps:bodyPr>
                    </wps:wsp>
                  </a:graphicData>
                </a:graphic>
              </wp:anchor>
            </w:drawing>
          </mc:Choice>
          <mc:Fallback>
            <w:pict>
              <v:rect style="position:absolute;margin-left:70pt;margin-top:42.411999pt;width:.499pt;height:.962pt;mso-position-horizontal-relative:page;mso-position-vertical-relative:paragraph;z-index:-15649792;mso-wrap-distance-left:0;mso-wrap-distance-right:0" id="docshape341" filled="true" fillcolor="#0f6dc5" stroked="false">
                <v:fill type="solid"/>
                <w10:wrap type="topAndBottom"/>
              </v:rect>
            </w:pict>
          </mc:Fallback>
        </mc:AlternateContent>
      </w:r>
      <w:bookmarkStart w:name="FY 2025 - ISP - Final.pdf" w:id="770"/>
      <w:bookmarkEnd w:id="770"/>
      <w:r>
        <w:rPr/>
      </w:r>
      <w:bookmarkStart w:name="_bookmark532" w:id="771"/>
      <w:bookmarkEnd w:id="771"/>
      <w:r>
        <w:rPr/>
      </w:r>
      <w:hyperlink w:history="true" w:anchor="_bookmark3">
        <w:r>
          <w:rPr>
            <w:color w:val="365F91"/>
            <w:spacing w:val="-8"/>
          </w:rPr>
          <w:t>Expanding</w:t>
        </w:r>
        <w:r>
          <w:rPr>
            <w:color w:val="365F91"/>
            <w:spacing w:val="-23"/>
          </w:rPr>
          <w:t> </w:t>
        </w:r>
        <w:r>
          <w:rPr>
            <w:color w:val="365F91"/>
            <w:spacing w:val="-8"/>
          </w:rPr>
          <w:t>Inclusive</w:t>
        </w:r>
        <w:r>
          <w:rPr>
            <w:color w:val="365F91"/>
            <w:spacing w:val="-21"/>
          </w:rPr>
          <w:t> </w:t>
        </w:r>
        <w:r>
          <w:rPr>
            <w:color w:val="365F91"/>
            <w:spacing w:val="-8"/>
          </w:rPr>
          <w:t>Service</w:t>
        </w:r>
        <w:r>
          <w:rPr>
            <w:color w:val="365F91"/>
            <w:spacing w:val="-21"/>
          </w:rPr>
          <w:t> </w:t>
        </w:r>
        <w:r>
          <w:rPr>
            <w:color w:val="365F91"/>
            <w:spacing w:val="-8"/>
          </w:rPr>
          <w:t>Provision</w:t>
        </w:r>
        <w:r>
          <w:rPr>
            <w:color w:val="365F91"/>
            <w:spacing w:val="-20"/>
          </w:rPr>
          <w:t> </w:t>
        </w:r>
        <w:r>
          <w:rPr>
            <w:color w:val="365F91"/>
            <w:spacing w:val="-8"/>
          </w:rPr>
          <w:t>for</w:t>
        </w:r>
        <w:r>
          <w:rPr>
            <w:color w:val="365F91"/>
            <w:spacing w:val="-20"/>
          </w:rPr>
          <w:t> </w:t>
        </w:r>
        <w:r>
          <w:rPr>
            <w:color w:val="365F91"/>
            <w:spacing w:val="-8"/>
          </w:rPr>
          <w:t>Foreign-Born</w:t>
        </w:r>
        <w:r>
          <w:rPr>
            <w:color w:val="365F91"/>
            <w:spacing w:val="-20"/>
          </w:rPr>
          <w:t> </w:t>
        </w:r>
        <w:r>
          <w:rPr>
            <w:color w:val="365F91"/>
            <w:spacing w:val="-8"/>
          </w:rPr>
          <w:t>LGBTQ</w:t>
        </w:r>
        <w:r>
          <w:rPr>
            <w:color w:val="365F91"/>
            <w:spacing w:val="-19"/>
          </w:rPr>
          <w:t> </w:t>
        </w:r>
        <w:r>
          <w:rPr>
            <w:color w:val="365F91"/>
            <w:spacing w:val="-8"/>
          </w:rPr>
          <w:t>Youth</w:t>
        </w:r>
      </w:hyperlink>
    </w:p>
    <w:p>
      <w:pPr>
        <w:pStyle w:val="BodyText"/>
        <w:spacing w:before="32"/>
        <w:rPr>
          <w:sz w:val="20"/>
        </w:rPr>
      </w:pPr>
    </w:p>
    <w:p>
      <w:pPr>
        <w:spacing w:before="1" w:after="19"/>
        <w:ind w:left="463" w:right="0" w:firstLine="0"/>
        <w:jc w:val="left"/>
        <w:rPr>
          <w:sz w:val="28"/>
        </w:rPr>
      </w:pPr>
      <w:bookmarkStart w:name="Introduction" w:id="772"/>
      <w:bookmarkEnd w:id="772"/>
      <w:r>
        <w:rPr/>
      </w:r>
      <w:r>
        <w:rPr>
          <w:color w:val="365F91"/>
          <w:spacing w:val="-2"/>
          <w:sz w:val="28"/>
        </w:rPr>
        <w:t>Introduction</w:t>
      </w:r>
    </w:p>
    <w:p>
      <w:pPr>
        <w:pStyle w:val="BodyText"/>
        <w:spacing w:line="20" w:lineRule="exact"/>
        <w:ind w:left="433"/>
        <w:rPr>
          <w:sz w:val="2"/>
        </w:rPr>
      </w:pPr>
      <w:r>
        <w:rPr>
          <w:sz w:val="2"/>
        </w:rPr>
        <mc:AlternateContent>
          <mc:Choice Requires="wps">
            <w:drawing>
              <wp:inline distT="0" distB="0" distL="0" distR="0">
                <wp:extent cx="5976620" cy="6350"/>
                <wp:effectExtent l="0" t="0" r="0" b="0"/>
                <wp:docPr id="427" name="Group 427"/>
                <wp:cNvGraphicFramePr>
                  <a:graphicFrameLocks/>
                </wp:cNvGraphicFramePr>
                <a:graphic>
                  <a:graphicData uri="http://schemas.microsoft.com/office/word/2010/wordprocessingGroup">
                    <wpg:wgp>
                      <wpg:cNvPr id="427" name="Group 427"/>
                      <wpg:cNvGrpSpPr/>
                      <wpg:grpSpPr>
                        <a:xfrm>
                          <a:off x="0" y="0"/>
                          <a:ext cx="5976620" cy="6350"/>
                          <a:chExt cx="5976620" cy="6350"/>
                        </a:xfrm>
                      </wpg:grpSpPr>
                      <wps:wsp>
                        <wps:cNvPr id="428" name="Graphic 428"/>
                        <wps:cNvSpPr/>
                        <wps:spPr>
                          <a:xfrm>
                            <a:off x="0" y="0"/>
                            <a:ext cx="5976620" cy="6350"/>
                          </a:xfrm>
                          <a:custGeom>
                            <a:avLst/>
                            <a:gdLst/>
                            <a:ahLst/>
                            <a:cxnLst/>
                            <a:rect l="l" t="t" r="r" b="b"/>
                            <a:pathLst>
                              <a:path w="5976620" h="6350">
                                <a:moveTo>
                                  <a:pt x="5976366" y="0"/>
                                </a:moveTo>
                                <a:lnTo>
                                  <a:pt x="0" y="0"/>
                                </a:lnTo>
                                <a:lnTo>
                                  <a:pt x="0" y="6108"/>
                                </a:lnTo>
                                <a:lnTo>
                                  <a:pt x="5976366" y="6108"/>
                                </a:lnTo>
                                <a:lnTo>
                                  <a:pt x="5976366" y="0"/>
                                </a:lnTo>
                                <a:close/>
                              </a:path>
                            </a:pathLst>
                          </a:custGeom>
                          <a:solidFill>
                            <a:srgbClr val="4F81BC"/>
                          </a:solidFill>
                        </wps:spPr>
                        <wps:bodyPr wrap="square" lIns="0" tIns="0" rIns="0" bIns="0" rtlCol="0">
                          <a:prstTxWarp prst="textNoShape">
                            <a:avLst/>
                          </a:prstTxWarp>
                          <a:noAutofit/>
                        </wps:bodyPr>
                      </wps:wsp>
                    </wpg:wgp>
                  </a:graphicData>
                </a:graphic>
              </wp:inline>
            </w:drawing>
          </mc:Choice>
          <mc:Fallback>
            <w:pict>
              <v:group style="width:470.6pt;height:.5pt;mso-position-horizontal-relative:char;mso-position-vertical-relative:line" id="docshapegroup342" coordorigin="0,0" coordsize="9412,10">
                <v:rect style="position:absolute;left:0;top:0;width:9412;height:10" id="docshape343" filled="true" fillcolor="#4f81bc" stroked="false">
                  <v:fill type="solid"/>
                </v:rect>
              </v:group>
            </w:pict>
          </mc:Fallback>
        </mc:AlternateContent>
      </w:r>
      <w:r>
        <w:rPr>
          <w:sz w:val="2"/>
        </w:rPr>
      </w:r>
    </w:p>
    <w:p>
      <w:pPr>
        <w:spacing w:line="264" w:lineRule="auto" w:before="231"/>
        <w:ind w:left="463" w:right="271" w:firstLine="0"/>
        <w:jc w:val="left"/>
        <w:rPr>
          <w:i/>
          <w:sz w:val="22"/>
        </w:rPr>
      </w:pPr>
      <w:bookmarkStart w:name="(first published in FY 2024 Annual Recom" w:id="773"/>
      <w:bookmarkEnd w:id="773"/>
      <w:r>
        <w:rPr/>
      </w:r>
      <w:r>
        <w:rPr>
          <w:i/>
          <w:sz w:val="22"/>
        </w:rPr>
        <w:t>(first</w:t>
      </w:r>
      <w:r>
        <w:rPr>
          <w:i/>
          <w:spacing w:val="-4"/>
          <w:sz w:val="22"/>
        </w:rPr>
        <w:t> </w:t>
      </w:r>
      <w:r>
        <w:rPr>
          <w:i/>
          <w:sz w:val="22"/>
        </w:rPr>
        <w:t>published</w:t>
      </w:r>
      <w:r>
        <w:rPr>
          <w:i/>
          <w:spacing w:val="-4"/>
          <w:sz w:val="22"/>
        </w:rPr>
        <w:t> </w:t>
      </w:r>
      <w:r>
        <w:rPr>
          <w:i/>
          <w:sz w:val="22"/>
        </w:rPr>
        <w:t>in</w:t>
      </w:r>
      <w:r>
        <w:rPr>
          <w:i/>
          <w:spacing w:val="-3"/>
          <w:sz w:val="22"/>
        </w:rPr>
        <w:t> </w:t>
      </w:r>
      <w:r>
        <w:rPr>
          <w:i/>
          <w:sz w:val="22"/>
        </w:rPr>
        <w:t>FY</w:t>
      </w:r>
      <w:r>
        <w:rPr>
          <w:i/>
          <w:spacing w:val="-4"/>
          <w:sz w:val="22"/>
        </w:rPr>
        <w:t> </w:t>
      </w:r>
      <w:r>
        <w:rPr>
          <w:i/>
          <w:sz w:val="22"/>
        </w:rPr>
        <w:t>2024</w:t>
      </w:r>
      <w:r>
        <w:rPr>
          <w:i/>
          <w:spacing w:val="-1"/>
          <w:sz w:val="22"/>
        </w:rPr>
        <w:t> </w:t>
      </w:r>
      <w:r>
        <w:rPr>
          <w:i/>
          <w:sz w:val="22"/>
        </w:rPr>
        <w:t>Annual</w:t>
      </w:r>
      <w:r>
        <w:rPr>
          <w:i/>
          <w:spacing w:val="-3"/>
          <w:sz w:val="22"/>
        </w:rPr>
        <w:t> </w:t>
      </w:r>
      <w:r>
        <w:rPr>
          <w:i/>
          <w:sz w:val="22"/>
        </w:rPr>
        <w:t>Recommendations</w:t>
      </w:r>
      <w:r>
        <w:rPr>
          <w:i/>
          <w:spacing w:val="-4"/>
          <w:sz w:val="22"/>
        </w:rPr>
        <w:t> </w:t>
      </w:r>
      <w:r>
        <w:rPr>
          <w:i/>
          <w:sz w:val="22"/>
        </w:rPr>
        <w:t>Report,</w:t>
      </w:r>
      <w:r>
        <w:rPr>
          <w:i/>
          <w:spacing w:val="-2"/>
          <w:sz w:val="22"/>
        </w:rPr>
        <w:t> </w:t>
      </w:r>
      <w:r>
        <w:rPr>
          <w:i/>
          <w:sz w:val="22"/>
        </w:rPr>
        <w:t>minor</w:t>
      </w:r>
      <w:r>
        <w:rPr>
          <w:i/>
          <w:spacing w:val="-4"/>
          <w:sz w:val="22"/>
        </w:rPr>
        <w:t> </w:t>
      </w:r>
      <w:r>
        <w:rPr>
          <w:i/>
          <w:sz w:val="22"/>
        </w:rPr>
        <w:t>updates</w:t>
      </w:r>
      <w:r>
        <w:rPr>
          <w:i/>
          <w:spacing w:val="-4"/>
          <w:sz w:val="22"/>
        </w:rPr>
        <w:t> </w:t>
      </w:r>
      <w:r>
        <w:rPr>
          <w:i/>
          <w:sz w:val="22"/>
        </w:rPr>
        <w:t>made</w:t>
      </w:r>
      <w:r>
        <w:rPr>
          <w:i/>
          <w:spacing w:val="-3"/>
          <w:sz w:val="22"/>
        </w:rPr>
        <w:t> </w:t>
      </w:r>
      <w:r>
        <w:rPr>
          <w:i/>
          <w:sz w:val="22"/>
        </w:rPr>
        <w:t>to</w:t>
      </w:r>
      <w:r>
        <w:rPr>
          <w:i/>
          <w:spacing w:val="-3"/>
          <w:sz w:val="22"/>
        </w:rPr>
        <w:t> </w:t>
      </w:r>
      <w:r>
        <w:rPr>
          <w:i/>
          <w:sz w:val="22"/>
        </w:rPr>
        <w:t>bring</w:t>
      </w:r>
      <w:r>
        <w:rPr>
          <w:i/>
          <w:spacing w:val="-3"/>
          <w:sz w:val="22"/>
        </w:rPr>
        <w:t> </w:t>
      </w:r>
      <w:r>
        <w:rPr>
          <w:i/>
          <w:sz w:val="22"/>
        </w:rPr>
        <w:t>current</w:t>
      </w:r>
      <w:r>
        <w:rPr>
          <w:i/>
          <w:spacing w:val="-3"/>
          <w:sz w:val="22"/>
        </w:rPr>
        <w:t> </w:t>
      </w:r>
      <w:r>
        <w:rPr>
          <w:i/>
          <w:sz w:val="22"/>
        </w:rPr>
        <w:t>to</w:t>
      </w:r>
      <w:r>
        <w:rPr>
          <w:i/>
          <w:spacing w:val="-3"/>
          <w:sz w:val="22"/>
        </w:rPr>
        <w:t> </w:t>
      </w:r>
      <w:r>
        <w:rPr>
          <w:i/>
          <w:sz w:val="22"/>
        </w:rPr>
        <w:t>FY</w:t>
      </w:r>
      <w:r>
        <w:rPr>
          <w:i/>
          <w:sz w:val="22"/>
        </w:rPr>
        <w:t> </w:t>
      </w:r>
      <w:r>
        <w:rPr>
          <w:i/>
          <w:spacing w:val="-2"/>
          <w:sz w:val="22"/>
        </w:rPr>
        <w:t>2025)</w:t>
      </w:r>
    </w:p>
    <w:p>
      <w:pPr>
        <w:pStyle w:val="BodyText"/>
        <w:spacing w:line="276" w:lineRule="auto" w:before="241"/>
        <w:ind w:left="463" w:right="263"/>
        <w:jc w:val="both"/>
      </w:pPr>
      <w:r>
        <w:rPr/>
        <w:t>In FY 2024, the Commission published a first-of-its-kind dedicated section on research and recommendations to improve policies, services, and programs for LGBTQ foreign-born Massachusetts residents,</w:t>
      </w:r>
      <w:r>
        <w:rPr>
          <w:spacing w:val="-13"/>
        </w:rPr>
        <w:t> </w:t>
      </w:r>
      <w:r>
        <w:rPr/>
        <w:t>including</w:t>
      </w:r>
      <w:r>
        <w:rPr>
          <w:spacing w:val="-12"/>
        </w:rPr>
        <w:t> </w:t>
      </w:r>
      <w:r>
        <w:rPr/>
        <w:t>first-generation,</w:t>
      </w:r>
      <w:r>
        <w:rPr>
          <w:spacing w:val="-13"/>
        </w:rPr>
        <w:t> </w:t>
      </w:r>
      <w:r>
        <w:rPr/>
        <w:t>undocumented,</w:t>
      </w:r>
      <w:r>
        <w:rPr>
          <w:spacing w:val="-12"/>
        </w:rPr>
        <w:t> </w:t>
      </w:r>
      <w:r>
        <w:rPr/>
        <w:t>asylee,</w:t>
      </w:r>
      <w:r>
        <w:rPr>
          <w:spacing w:val="-13"/>
        </w:rPr>
        <w:t> </w:t>
      </w:r>
      <w:r>
        <w:rPr/>
        <w:t>and</w:t>
      </w:r>
      <w:r>
        <w:rPr>
          <w:spacing w:val="-12"/>
        </w:rPr>
        <w:t> </w:t>
      </w:r>
      <w:r>
        <w:rPr/>
        <w:t>refugee</w:t>
      </w:r>
      <w:r>
        <w:rPr>
          <w:spacing w:val="-13"/>
        </w:rPr>
        <w:t> </w:t>
      </w:r>
      <w:r>
        <w:rPr/>
        <w:t>youth.</w:t>
      </w:r>
      <w:r>
        <w:rPr>
          <w:spacing w:val="-12"/>
        </w:rPr>
        <w:t> </w:t>
      </w:r>
      <w:r>
        <w:rPr/>
        <w:t>The</w:t>
      </w:r>
      <w:r>
        <w:rPr>
          <w:spacing w:val="-12"/>
        </w:rPr>
        <w:t> </w:t>
      </w:r>
      <w:r>
        <w:rPr/>
        <w:t>Commission</w:t>
      </w:r>
      <w:r>
        <w:rPr>
          <w:spacing w:val="-13"/>
        </w:rPr>
        <w:t> </w:t>
      </w:r>
      <w:r>
        <w:rPr/>
        <w:t>uses</w:t>
      </w:r>
      <w:r>
        <w:rPr>
          <w:spacing w:val="-12"/>
        </w:rPr>
        <w:t> </w:t>
      </w:r>
      <w:r>
        <w:rPr/>
        <w:t>the term</w:t>
      </w:r>
      <w:r>
        <w:rPr>
          <w:spacing w:val="-12"/>
        </w:rPr>
        <w:t> </w:t>
      </w:r>
      <w:r>
        <w:rPr/>
        <w:t>‘foreign-born’</w:t>
      </w:r>
      <w:r>
        <w:rPr>
          <w:spacing w:val="-11"/>
        </w:rPr>
        <w:t> </w:t>
      </w:r>
      <w:r>
        <w:rPr/>
        <w:t>throughout</w:t>
      </w:r>
      <w:r>
        <w:rPr>
          <w:spacing w:val="-12"/>
        </w:rPr>
        <w:t> </w:t>
      </w:r>
      <w:r>
        <w:rPr/>
        <w:t>this</w:t>
      </w:r>
      <w:r>
        <w:rPr>
          <w:spacing w:val="-11"/>
        </w:rPr>
        <w:t> </w:t>
      </w:r>
      <w:r>
        <w:rPr/>
        <w:t>report</w:t>
      </w:r>
      <w:r>
        <w:rPr>
          <w:spacing w:val="-12"/>
        </w:rPr>
        <w:t> </w:t>
      </w:r>
      <w:r>
        <w:rPr/>
        <w:t>to</w:t>
      </w:r>
      <w:r>
        <w:rPr>
          <w:spacing w:val="-11"/>
        </w:rPr>
        <w:t> </w:t>
      </w:r>
      <w:r>
        <w:rPr/>
        <w:t>encompass</w:t>
      </w:r>
      <w:r>
        <w:rPr>
          <w:spacing w:val="-11"/>
        </w:rPr>
        <w:t> </w:t>
      </w:r>
      <w:r>
        <w:rPr/>
        <w:t>the</w:t>
      </w:r>
      <w:r>
        <w:rPr>
          <w:spacing w:val="-11"/>
        </w:rPr>
        <w:t> </w:t>
      </w:r>
      <w:r>
        <w:rPr/>
        <w:t>experiences</w:t>
      </w:r>
      <w:r>
        <w:rPr>
          <w:spacing w:val="-9"/>
        </w:rPr>
        <w:t> </w:t>
      </w:r>
      <w:r>
        <w:rPr/>
        <w:t>of</w:t>
      </w:r>
      <w:r>
        <w:rPr>
          <w:spacing w:val="-11"/>
        </w:rPr>
        <w:t> </w:t>
      </w:r>
      <w:r>
        <w:rPr/>
        <w:t>those</w:t>
      </w:r>
      <w:r>
        <w:rPr>
          <w:spacing w:val="-11"/>
        </w:rPr>
        <w:t> </w:t>
      </w:r>
      <w:r>
        <w:rPr/>
        <w:t>who</w:t>
      </w:r>
      <w:r>
        <w:rPr>
          <w:spacing w:val="-11"/>
        </w:rPr>
        <w:t> </w:t>
      </w:r>
      <w:r>
        <w:rPr/>
        <w:t>are</w:t>
      </w:r>
      <w:r>
        <w:rPr>
          <w:spacing w:val="-11"/>
        </w:rPr>
        <w:t> </w:t>
      </w:r>
      <w:r>
        <w:rPr/>
        <w:t>legal</w:t>
      </w:r>
      <w:r>
        <w:rPr>
          <w:spacing w:val="-11"/>
        </w:rPr>
        <w:t> </w:t>
      </w:r>
      <w:r>
        <w:rPr/>
        <w:t>residents and undocumented residents, as well as those who may have only temporarily migrated to the state. As detailed throughout this section, there are many reasons that LGBTQ individuals and families may immigrate to the U.S., including to escape persecution, violence, and discrimination in their country of origin.</w:t>
      </w:r>
      <w:r>
        <w:rPr>
          <w:spacing w:val="-13"/>
        </w:rPr>
        <w:t> </w:t>
      </w:r>
      <w:r>
        <w:rPr/>
        <w:t>While</w:t>
      </w:r>
      <w:r>
        <w:rPr>
          <w:spacing w:val="-12"/>
        </w:rPr>
        <w:t> </w:t>
      </w:r>
      <w:r>
        <w:rPr/>
        <w:t>Massachusetts</w:t>
      </w:r>
      <w:r>
        <w:rPr>
          <w:spacing w:val="-13"/>
        </w:rPr>
        <w:t> </w:t>
      </w:r>
      <w:r>
        <w:rPr/>
        <w:t>has</w:t>
      </w:r>
      <w:r>
        <w:rPr>
          <w:spacing w:val="-12"/>
        </w:rPr>
        <w:t> </w:t>
      </w:r>
      <w:r>
        <w:rPr/>
        <w:t>made</w:t>
      </w:r>
      <w:r>
        <w:rPr>
          <w:spacing w:val="-13"/>
        </w:rPr>
        <w:t> </w:t>
      </w:r>
      <w:r>
        <w:rPr/>
        <w:t>great</w:t>
      </w:r>
      <w:r>
        <w:rPr>
          <w:spacing w:val="-12"/>
        </w:rPr>
        <w:t> </w:t>
      </w:r>
      <w:r>
        <w:rPr/>
        <w:t>strides</w:t>
      </w:r>
      <w:r>
        <w:rPr>
          <w:spacing w:val="-13"/>
        </w:rPr>
        <w:t> </w:t>
      </w:r>
      <w:r>
        <w:rPr/>
        <w:t>in</w:t>
      </w:r>
      <w:r>
        <w:rPr>
          <w:spacing w:val="-12"/>
        </w:rPr>
        <w:t> </w:t>
      </w:r>
      <w:r>
        <w:rPr/>
        <w:t>recent</w:t>
      </w:r>
      <w:r>
        <w:rPr>
          <w:spacing w:val="-12"/>
        </w:rPr>
        <w:t> </w:t>
      </w:r>
      <w:r>
        <w:rPr/>
        <w:t>years</w:t>
      </w:r>
      <w:r>
        <w:rPr>
          <w:spacing w:val="-13"/>
        </w:rPr>
        <w:t> </w:t>
      </w:r>
      <w:r>
        <w:rPr/>
        <w:t>towards</w:t>
      </w:r>
      <w:r>
        <w:rPr>
          <w:spacing w:val="-12"/>
        </w:rPr>
        <w:t> </w:t>
      </w:r>
      <w:r>
        <w:rPr/>
        <w:t>improving</w:t>
      </w:r>
      <w:r>
        <w:rPr>
          <w:spacing w:val="-13"/>
        </w:rPr>
        <w:t> </w:t>
      </w:r>
      <w:r>
        <w:rPr/>
        <w:t>its</w:t>
      </w:r>
      <w:r>
        <w:rPr>
          <w:spacing w:val="-12"/>
        </w:rPr>
        <w:t> </w:t>
      </w:r>
      <w:r>
        <w:rPr/>
        <w:t>service</w:t>
      </w:r>
      <w:r>
        <w:rPr>
          <w:spacing w:val="-13"/>
        </w:rPr>
        <w:t> </w:t>
      </w:r>
      <w:r>
        <w:rPr/>
        <w:t>provision for</w:t>
      </w:r>
      <w:r>
        <w:rPr>
          <w:spacing w:val="24"/>
        </w:rPr>
        <w:t> </w:t>
      </w:r>
      <w:r>
        <w:rPr/>
        <w:t>these</w:t>
      </w:r>
      <w:r>
        <w:rPr>
          <w:spacing w:val="25"/>
        </w:rPr>
        <w:t> </w:t>
      </w:r>
      <w:r>
        <w:rPr/>
        <w:t>communities,</w:t>
      </w:r>
      <w:r>
        <w:rPr>
          <w:spacing w:val="24"/>
        </w:rPr>
        <w:t> </w:t>
      </w:r>
      <w:r>
        <w:rPr/>
        <w:t>further</w:t>
      </w:r>
      <w:r>
        <w:rPr>
          <w:spacing w:val="25"/>
        </w:rPr>
        <w:t> </w:t>
      </w:r>
      <w:r>
        <w:rPr/>
        <w:t>steps</w:t>
      </w:r>
      <w:r>
        <w:rPr>
          <w:spacing w:val="26"/>
        </w:rPr>
        <w:t> </w:t>
      </w:r>
      <w:r>
        <w:rPr/>
        <w:t>should</w:t>
      </w:r>
      <w:r>
        <w:rPr>
          <w:spacing w:val="24"/>
        </w:rPr>
        <w:t> </w:t>
      </w:r>
      <w:r>
        <w:rPr/>
        <w:t>still</w:t>
      </w:r>
      <w:r>
        <w:rPr>
          <w:spacing w:val="25"/>
        </w:rPr>
        <w:t> </w:t>
      </w:r>
      <w:r>
        <w:rPr/>
        <w:t>be</w:t>
      </w:r>
      <w:r>
        <w:rPr>
          <w:spacing w:val="24"/>
        </w:rPr>
        <w:t> </w:t>
      </w:r>
      <w:r>
        <w:rPr/>
        <w:t>taken</w:t>
      </w:r>
      <w:r>
        <w:rPr>
          <w:spacing w:val="25"/>
        </w:rPr>
        <w:t> </w:t>
      </w:r>
      <w:r>
        <w:rPr/>
        <w:t>to</w:t>
      </w:r>
      <w:r>
        <w:rPr>
          <w:spacing w:val="25"/>
        </w:rPr>
        <w:t> </w:t>
      </w:r>
      <w:r>
        <w:rPr/>
        <w:t>ensure</w:t>
      </w:r>
      <w:r>
        <w:rPr>
          <w:spacing w:val="24"/>
        </w:rPr>
        <w:t> </w:t>
      </w:r>
      <w:r>
        <w:rPr/>
        <w:t>that</w:t>
      </w:r>
      <w:r>
        <w:rPr>
          <w:spacing w:val="24"/>
        </w:rPr>
        <w:t> </w:t>
      </w:r>
      <w:r>
        <w:rPr/>
        <w:t>all</w:t>
      </w:r>
      <w:r>
        <w:rPr>
          <w:spacing w:val="24"/>
        </w:rPr>
        <w:t> </w:t>
      </w:r>
      <w:r>
        <w:rPr/>
        <w:t>LGBTQ</w:t>
      </w:r>
      <w:r>
        <w:rPr>
          <w:spacing w:val="24"/>
        </w:rPr>
        <w:t> </w:t>
      </w:r>
      <w:r>
        <w:rPr/>
        <w:t>youth</w:t>
      </w:r>
      <w:r>
        <w:rPr>
          <w:spacing w:val="24"/>
        </w:rPr>
        <w:t> </w:t>
      </w:r>
      <w:r>
        <w:rPr/>
        <w:t>can</w:t>
      </w:r>
      <w:r>
        <w:rPr>
          <w:spacing w:val="25"/>
        </w:rPr>
        <w:t> </w:t>
      </w:r>
      <w:r>
        <w:rPr/>
        <w:t>thrive.</w:t>
      </w:r>
    </w:p>
    <w:p>
      <w:pPr>
        <w:pStyle w:val="BodyText"/>
      </w:pPr>
    </w:p>
    <w:p>
      <w:pPr>
        <w:pStyle w:val="BodyText"/>
        <w:spacing w:before="10"/>
      </w:pPr>
    </w:p>
    <w:p>
      <w:pPr>
        <w:spacing w:before="0"/>
        <w:ind w:left="463" w:right="0" w:firstLine="0"/>
        <w:jc w:val="both"/>
        <w:rPr>
          <w:sz w:val="28"/>
        </w:rPr>
      </w:pPr>
      <w:r>
        <w:rPr/>
        <mc:AlternateContent>
          <mc:Choice Requires="wps">
            <w:drawing>
              <wp:anchor distT="0" distB="0" distL="0" distR="0" allowOverlap="1" layoutInCell="1" locked="0" behindDoc="1" simplePos="0" relativeHeight="487667712">
                <wp:simplePos x="0" y="0"/>
                <wp:positionH relativeFrom="page">
                  <wp:posOffset>897636</wp:posOffset>
                </wp:positionH>
                <wp:positionV relativeFrom="paragraph">
                  <wp:posOffset>229710</wp:posOffset>
                </wp:positionV>
                <wp:extent cx="5976620" cy="6350"/>
                <wp:effectExtent l="0" t="0" r="0" b="0"/>
                <wp:wrapTopAndBottom/>
                <wp:docPr id="429" name="Graphic 429"/>
                <wp:cNvGraphicFramePr>
                  <a:graphicFrameLocks/>
                </wp:cNvGraphicFramePr>
                <a:graphic>
                  <a:graphicData uri="http://schemas.microsoft.com/office/word/2010/wordprocessingShape">
                    <wps:wsp>
                      <wps:cNvPr id="429" name="Graphic 429"/>
                      <wps:cNvSpPr/>
                      <wps:spPr>
                        <a:xfrm>
                          <a:off x="0" y="0"/>
                          <a:ext cx="5976620" cy="6350"/>
                        </a:xfrm>
                        <a:custGeom>
                          <a:avLst/>
                          <a:gdLst/>
                          <a:ahLst/>
                          <a:cxnLst/>
                          <a:rect l="l" t="t" r="r" b="b"/>
                          <a:pathLst>
                            <a:path w="5976620" h="6350">
                              <a:moveTo>
                                <a:pt x="5976366" y="0"/>
                              </a:moveTo>
                              <a:lnTo>
                                <a:pt x="0" y="0"/>
                              </a:lnTo>
                              <a:lnTo>
                                <a:pt x="0" y="6096"/>
                              </a:lnTo>
                              <a:lnTo>
                                <a:pt x="5976366" y="6096"/>
                              </a:lnTo>
                              <a:lnTo>
                                <a:pt x="5976366" y="0"/>
                              </a:lnTo>
                              <a:close/>
                            </a:path>
                          </a:pathLst>
                        </a:custGeom>
                        <a:solidFill>
                          <a:srgbClr val="4F81BC"/>
                        </a:solidFill>
                      </wps:spPr>
                      <wps:bodyPr wrap="square" lIns="0" tIns="0" rIns="0" bIns="0" rtlCol="0">
                        <a:prstTxWarp prst="textNoShape">
                          <a:avLst/>
                        </a:prstTxWarp>
                        <a:noAutofit/>
                      </wps:bodyPr>
                    </wps:wsp>
                  </a:graphicData>
                </a:graphic>
              </wp:anchor>
            </w:drawing>
          </mc:Choice>
          <mc:Fallback>
            <w:pict>
              <v:rect style="position:absolute;margin-left:70.680pt;margin-top:18.087465pt;width:470.58pt;height:.48pt;mso-position-horizontal-relative:page;mso-position-vertical-relative:paragraph;z-index:-15648768;mso-wrap-distance-left:0;mso-wrap-distance-right:0" id="docshape344" filled="true" fillcolor="#4f81bc" stroked="false">
                <v:fill type="solid"/>
                <w10:wrap type="topAndBottom"/>
              </v:rect>
            </w:pict>
          </mc:Fallback>
        </mc:AlternateContent>
      </w:r>
      <w:r>
        <w:rPr/>
        <mc:AlternateContent>
          <mc:Choice Requires="wps">
            <w:drawing>
              <wp:anchor distT="0" distB="0" distL="0" distR="0" allowOverlap="1" layoutInCell="1" locked="0" behindDoc="1" simplePos="0" relativeHeight="487668224">
                <wp:simplePos x="0" y="0"/>
                <wp:positionH relativeFrom="page">
                  <wp:posOffset>889000</wp:posOffset>
                </wp:positionH>
                <wp:positionV relativeFrom="paragraph">
                  <wp:posOffset>292728</wp:posOffset>
                </wp:positionV>
                <wp:extent cx="6350" cy="12700"/>
                <wp:effectExtent l="0" t="0" r="0" b="0"/>
                <wp:wrapTopAndBottom/>
                <wp:docPr id="430" name="Graphic 430"/>
                <wp:cNvGraphicFramePr>
                  <a:graphicFrameLocks/>
                </wp:cNvGraphicFramePr>
                <a:graphic>
                  <a:graphicData uri="http://schemas.microsoft.com/office/word/2010/wordprocessingShape">
                    <wps:wsp>
                      <wps:cNvPr id="430" name="Graphic 430"/>
                      <wps:cNvSpPr/>
                      <wps:spPr>
                        <a:xfrm>
                          <a:off x="0" y="0"/>
                          <a:ext cx="6350" cy="12700"/>
                        </a:xfrm>
                        <a:custGeom>
                          <a:avLst/>
                          <a:gdLst/>
                          <a:ahLst/>
                          <a:cxnLst/>
                          <a:rect l="l" t="t" r="r" b="b"/>
                          <a:pathLst>
                            <a:path w="6350" h="12700">
                              <a:moveTo>
                                <a:pt x="6337" y="0"/>
                              </a:moveTo>
                              <a:lnTo>
                                <a:pt x="0" y="0"/>
                              </a:lnTo>
                              <a:lnTo>
                                <a:pt x="0" y="12217"/>
                              </a:lnTo>
                              <a:lnTo>
                                <a:pt x="6337" y="12217"/>
                              </a:lnTo>
                              <a:lnTo>
                                <a:pt x="6337" y="0"/>
                              </a:lnTo>
                              <a:close/>
                            </a:path>
                          </a:pathLst>
                        </a:custGeom>
                        <a:solidFill>
                          <a:srgbClr val="0F6DC5"/>
                        </a:solidFill>
                      </wps:spPr>
                      <wps:bodyPr wrap="square" lIns="0" tIns="0" rIns="0" bIns="0" rtlCol="0">
                        <a:prstTxWarp prst="textNoShape">
                          <a:avLst/>
                        </a:prstTxWarp>
                        <a:noAutofit/>
                      </wps:bodyPr>
                    </wps:wsp>
                  </a:graphicData>
                </a:graphic>
              </wp:anchor>
            </w:drawing>
          </mc:Choice>
          <mc:Fallback>
            <w:pict>
              <v:rect style="position:absolute;margin-left:70pt;margin-top:23.049465pt;width:.499pt;height:.962pt;mso-position-horizontal-relative:page;mso-position-vertical-relative:paragraph;z-index:-15648256;mso-wrap-distance-left:0;mso-wrap-distance-right:0" id="docshape345" filled="true" fillcolor="#0f6dc5" stroked="false">
                <v:fill type="solid"/>
                <w10:wrap type="topAndBottom"/>
              </v:rect>
            </w:pict>
          </mc:Fallback>
        </mc:AlternateContent>
      </w:r>
      <w:bookmarkStart w:name="FY 2025 Recommendations to the Governor " w:id="774"/>
      <w:bookmarkEnd w:id="774"/>
      <w:r>
        <w:rPr/>
      </w:r>
      <w:r>
        <w:rPr>
          <w:color w:val="365F91"/>
          <w:sz w:val="28"/>
        </w:rPr>
        <w:t>FY</w:t>
      </w:r>
      <w:r>
        <w:rPr>
          <w:color w:val="365F91"/>
          <w:spacing w:val="-11"/>
          <w:sz w:val="28"/>
        </w:rPr>
        <w:t> </w:t>
      </w:r>
      <w:r>
        <w:rPr>
          <w:color w:val="365F91"/>
          <w:sz w:val="28"/>
        </w:rPr>
        <w:t>2025</w:t>
      </w:r>
      <w:r>
        <w:rPr>
          <w:color w:val="365F91"/>
          <w:spacing w:val="-10"/>
          <w:sz w:val="28"/>
        </w:rPr>
        <w:t> </w:t>
      </w:r>
      <w:r>
        <w:rPr>
          <w:color w:val="365F91"/>
          <w:sz w:val="28"/>
        </w:rPr>
        <w:t>Recommendations</w:t>
      </w:r>
      <w:r>
        <w:rPr>
          <w:color w:val="365F91"/>
          <w:spacing w:val="-10"/>
          <w:sz w:val="28"/>
        </w:rPr>
        <w:t> </w:t>
      </w:r>
      <w:r>
        <w:rPr>
          <w:color w:val="365F91"/>
          <w:sz w:val="28"/>
        </w:rPr>
        <w:t>to</w:t>
      </w:r>
      <w:r>
        <w:rPr>
          <w:color w:val="365F91"/>
          <w:spacing w:val="-9"/>
          <w:sz w:val="28"/>
        </w:rPr>
        <w:t> </w:t>
      </w:r>
      <w:r>
        <w:rPr>
          <w:color w:val="365F91"/>
          <w:sz w:val="28"/>
        </w:rPr>
        <w:t>the</w:t>
      </w:r>
      <w:r>
        <w:rPr>
          <w:color w:val="365F91"/>
          <w:spacing w:val="-10"/>
          <w:sz w:val="28"/>
        </w:rPr>
        <w:t> </w:t>
      </w:r>
      <w:r>
        <w:rPr>
          <w:color w:val="365F91"/>
          <w:sz w:val="28"/>
        </w:rPr>
        <w:t>Governor</w:t>
      </w:r>
      <w:r>
        <w:rPr>
          <w:color w:val="365F91"/>
          <w:spacing w:val="-11"/>
          <w:sz w:val="28"/>
        </w:rPr>
        <w:t> </w:t>
      </w:r>
      <w:r>
        <w:rPr>
          <w:color w:val="365F91"/>
          <w:sz w:val="28"/>
        </w:rPr>
        <w:t>on</w:t>
      </w:r>
      <w:r>
        <w:rPr>
          <w:color w:val="365F91"/>
          <w:spacing w:val="-11"/>
          <w:sz w:val="28"/>
        </w:rPr>
        <w:t> </w:t>
      </w:r>
      <w:r>
        <w:rPr>
          <w:color w:val="365F91"/>
          <w:sz w:val="28"/>
        </w:rPr>
        <w:t>Foreign-Born</w:t>
      </w:r>
      <w:r>
        <w:rPr>
          <w:color w:val="365F91"/>
          <w:spacing w:val="-10"/>
          <w:sz w:val="28"/>
        </w:rPr>
        <w:t> </w:t>
      </w:r>
      <w:r>
        <w:rPr>
          <w:color w:val="365F91"/>
          <w:sz w:val="28"/>
        </w:rPr>
        <w:t>LGBTQ</w:t>
      </w:r>
      <w:r>
        <w:rPr>
          <w:color w:val="365F91"/>
          <w:spacing w:val="-10"/>
          <w:sz w:val="28"/>
        </w:rPr>
        <w:t> </w:t>
      </w:r>
      <w:r>
        <w:rPr>
          <w:color w:val="365F91"/>
          <w:spacing w:val="-2"/>
          <w:sz w:val="28"/>
        </w:rPr>
        <w:t>Youth</w:t>
      </w:r>
    </w:p>
    <w:p>
      <w:pPr>
        <w:pStyle w:val="BodyText"/>
        <w:spacing w:before="4"/>
        <w:rPr>
          <w:sz w:val="5"/>
        </w:rPr>
      </w:pPr>
    </w:p>
    <w:p>
      <w:pPr>
        <w:numPr>
          <w:ilvl w:val="0"/>
          <w:numId w:val="27"/>
        </w:numPr>
        <w:tabs>
          <w:tab w:pos="460" w:val="left" w:leader="none"/>
          <w:tab w:pos="463" w:val="left" w:leader="none"/>
        </w:tabs>
        <w:spacing w:line="276" w:lineRule="auto" w:before="133"/>
        <w:ind w:left="463" w:right="263" w:hanging="361"/>
        <w:jc w:val="left"/>
        <w:rPr>
          <w:b/>
          <w:sz w:val="22"/>
        </w:rPr>
      </w:pPr>
      <w:bookmarkStart w:name="1. Improve the availability of multiling" w:id="775"/>
      <w:bookmarkEnd w:id="775"/>
      <w:r>
        <w:rPr>
          <w:b/>
          <w:sz w:val="22"/>
        </w:rPr>
        <w:t>Im</w:t>
      </w:r>
      <w:r>
        <w:rPr>
          <w:b/>
          <w:sz w:val="22"/>
        </w:rPr>
        <w:t>prove</w:t>
      </w:r>
      <w:r>
        <w:rPr>
          <w:b/>
          <w:spacing w:val="40"/>
          <w:sz w:val="22"/>
        </w:rPr>
        <w:t> </w:t>
      </w:r>
      <w:r>
        <w:rPr>
          <w:b/>
          <w:sz w:val="22"/>
        </w:rPr>
        <w:t>the</w:t>
      </w:r>
      <w:r>
        <w:rPr>
          <w:b/>
          <w:spacing w:val="40"/>
          <w:sz w:val="22"/>
        </w:rPr>
        <w:t> </w:t>
      </w:r>
      <w:r>
        <w:rPr>
          <w:b/>
          <w:sz w:val="22"/>
        </w:rPr>
        <w:t>availability</w:t>
      </w:r>
      <w:r>
        <w:rPr>
          <w:b/>
          <w:spacing w:val="40"/>
          <w:sz w:val="22"/>
        </w:rPr>
        <w:t> </w:t>
      </w:r>
      <w:r>
        <w:rPr>
          <w:b/>
          <w:sz w:val="22"/>
        </w:rPr>
        <w:t>of</w:t>
      </w:r>
      <w:r>
        <w:rPr>
          <w:b/>
          <w:spacing w:val="40"/>
          <w:sz w:val="22"/>
        </w:rPr>
        <w:t> </w:t>
      </w:r>
      <w:r>
        <w:rPr>
          <w:b/>
          <w:sz w:val="22"/>
        </w:rPr>
        <w:t>multilingual,</w:t>
      </w:r>
      <w:r>
        <w:rPr>
          <w:b/>
          <w:spacing w:val="40"/>
          <w:sz w:val="22"/>
        </w:rPr>
        <w:t> </w:t>
      </w:r>
      <w:r>
        <w:rPr>
          <w:b/>
          <w:sz w:val="22"/>
        </w:rPr>
        <w:t>LGBTQ-affirming</w:t>
      </w:r>
      <w:r>
        <w:rPr>
          <w:b/>
          <w:spacing w:val="40"/>
          <w:sz w:val="22"/>
        </w:rPr>
        <w:t> </w:t>
      </w:r>
      <w:r>
        <w:rPr>
          <w:b/>
          <w:sz w:val="22"/>
        </w:rPr>
        <w:t>services</w:t>
      </w:r>
      <w:r>
        <w:rPr>
          <w:b/>
          <w:spacing w:val="40"/>
          <w:sz w:val="22"/>
        </w:rPr>
        <w:t> </w:t>
      </w:r>
      <w:r>
        <w:rPr>
          <w:b/>
          <w:sz w:val="22"/>
        </w:rPr>
        <w:t>for</w:t>
      </w:r>
      <w:r>
        <w:rPr>
          <w:b/>
          <w:spacing w:val="40"/>
          <w:sz w:val="22"/>
        </w:rPr>
        <w:t> </w:t>
      </w:r>
      <w:r>
        <w:rPr>
          <w:b/>
          <w:sz w:val="22"/>
        </w:rPr>
        <w:t>foreign-born</w:t>
      </w:r>
      <w:r>
        <w:rPr>
          <w:b/>
          <w:spacing w:val="40"/>
          <w:sz w:val="22"/>
        </w:rPr>
        <w:t> </w:t>
      </w:r>
      <w:r>
        <w:rPr>
          <w:b/>
          <w:sz w:val="22"/>
        </w:rPr>
        <w:t>residents,</w:t>
      </w:r>
      <w:r>
        <w:rPr>
          <w:b/>
          <w:spacing w:val="40"/>
          <w:sz w:val="22"/>
        </w:rPr>
        <w:t> </w:t>
      </w:r>
      <w:r>
        <w:rPr>
          <w:b/>
          <w:sz w:val="22"/>
        </w:rPr>
        <w:t>and increase funding for existing programs.</w:t>
      </w:r>
    </w:p>
    <w:p>
      <w:pPr>
        <w:pStyle w:val="BodyText"/>
        <w:spacing w:line="276" w:lineRule="auto" w:before="240"/>
        <w:ind w:left="463" w:right="259"/>
        <w:jc w:val="both"/>
      </w:pPr>
      <w:r>
        <w:rPr/>
        <w:t>The Commission recommends that the state increase and improve its current service provision for immigrants, refugees, and asylees who are LGBTQ. As explored below, while very little state-specific research and data exists, there remains a great need for affirming services, particularly in the areas of mental health care and housing support. It is clear that organizations currently working to serve LGBTQ immigrant, refugee, and asylee populations have limited capacity and funding to meet the demand for their services. For example, the LGBT Asylum Task Force, based in Worcester, is one of very few LGBTQ- specific</w:t>
      </w:r>
      <w:r>
        <w:rPr>
          <w:spacing w:val="-7"/>
        </w:rPr>
        <w:t> </w:t>
      </w:r>
      <w:r>
        <w:rPr/>
        <w:t>asylum</w:t>
      </w:r>
      <w:r>
        <w:rPr>
          <w:spacing w:val="-8"/>
        </w:rPr>
        <w:t> </w:t>
      </w:r>
      <w:r>
        <w:rPr/>
        <w:t>seeker</w:t>
      </w:r>
      <w:r>
        <w:rPr>
          <w:spacing w:val="-8"/>
        </w:rPr>
        <w:t> </w:t>
      </w:r>
      <w:r>
        <w:rPr/>
        <w:t>support</w:t>
      </w:r>
      <w:r>
        <w:rPr>
          <w:spacing w:val="-8"/>
        </w:rPr>
        <w:t> </w:t>
      </w:r>
      <w:r>
        <w:rPr/>
        <w:t>programs</w:t>
      </w:r>
      <w:r>
        <w:rPr>
          <w:spacing w:val="-7"/>
        </w:rPr>
        <w:t> </w:t>
      </w:r>
      <w:r>
        <w:rPr/>
        <w:t>in</w:t>
      </w:r>
      <w:r>
        <w:rPr>
          <w:spacing w:val="-7"/>
        </w:rPr>
        <w:t> </w:t>
      </w:r>
      <w:r>
        <w:rPr/>
        <w:t>the</w:t>
      </w:r>
      <w:r>
        <w:rPr>
          <w:spacing w:val="-7"/>
        </w:rPr>
        <w:t> </w:t>
      </w:r>
      <w:r>
        <w:rPr/>
        <w:t>whole</w:t>
      </w:r>
      <w:r>
        <w:rPr>
          <w:spacing w:val="-8"/>
        </w:rPr>
        <w:t> </w:t>
      </w:r>
      <w:r>
        <w:rPr/>
        <w:t>of</w:t>
      </w:r>
      <w:r>
        <w:rPr>
          <w:spacing w:val="-8"/>
        </w:rPr>
        <w:t> </w:t>
      </w:r>
      <w:r>
        <w:rPr/>
        <w:t>the</w:t>
      </w:r>
      <w:r>
        <w:rPr>
          <w:spacing w:val="-7"/>
        </w:rPr>
        <w:t> </w:t>
      </w:r>
      <w:r>
        <w:rPr/>
        <w:t>United</w:t>
      </w:r>
      <w:r>
        <w:rPr>
          <w:spacing w:val="-8"/>
        </w:rPr>
        <w:t> </w:t>
      </w:r>
      <w:r>
        <w:rPr/>
        <w:t>States,</w:t>
      </w:r>
      <w:r>
        <w:rPr>
          <w:spacing w:val="-7"/>
        </w:rPr>
        <w:t> </w:t>
      </w:r>
      <w:r>
        <w:rPr/>
        <w:t>and</w:t>
      </w:r>
      <w:r>
        <w:rPr>
          <w:spacing w:val="-6"/>
        </w:rPr>
        <w:t> </w:t>
      </w:r>
      <w:r>
        <w:rPr/>
        <w:t>provides</w:t>
      </w:r>
      <w:r>
        <w:rPr>
          <w:spacing w:val="-7"/>
        </w:rPr>
        <w:t> </w:t>
      </w:r>
      <w:r>
        <w:rPr/>
        <w:t>long-term</w:t>
      </w:r>
      <w:r>
        <w:rPr>
          <w:spacing w:val="-7"/>
        </w:rPr>
        <w:t> </w:t>
      </w:r>
      <w:r>
        <w:rPr/>
        <w:t>rental assistance to asylum seekers who by law cannot work for at least 180 days after entering the U.S.</w:t>
      </w:r>
    </w:p>
    <w:p>
      <w:pPr>
        <w:pStyle w:val="BodyText"/>
        <w:spacing w:line="276" w:lineRule="auto" w:before="240"/>
        <w:ind w:left="463" w:right="264"/>
        <w:jc w:val="both"/>
      </w:pPr>
      <w:r>
        <w:rPr/>
        <w:t>Furthermore,</w:t>
      </w:r>
      <w:r>
        <w:rPr>
          <w:spacing w:val="-6"/>
        </w:rPr>
        <w:t> </w:t>
      </w:r>
      <w:r>
        <w:rPr/>
        <w:t>the</w:t>
      </w:r>
      <w:r>
        <w:rPr>
          <w:spacing w:val="-6"/>
        </w:rPr>
        <w:t> </w:t>
      </w:r>
      <w:r>
        <w:rPr/>
        <w:t>Commission</w:t>
      </w:r>
      <w:r>
        <w:rPr>
          <w:spacing w:val="-6"/>
        </w:rPr>
        <w:t> </w:t>
      </w:r>
      <w:r>
        <w:rPr/>
        <w:t>recommends</w:t>
      </w:r>
      <w:r>
        <w:rPr>
          <w:spacing w:val="-6"/>
        </w:rPr>
        <w:t> </w:t>
      </w:r>
      <w:r>
        <w:rPr/>
        <w:t>that</w:t>
      </w:r>
      <w:r>
        <w:rPr>
          <w:spacing w:val="-5"/>
        </w:rPr>
        <w:t> </w:t>
      </w:r>
      <w:r>
        <w:rPr/>
        <w:t>state</w:t>
      </w:r>
      <w:r>
        <w:rPr>
          <w:spacing w:val="-6"/>
        </w:rPr>
        <w:t> </w:t>
      </w:r>
      <w:r>
        <w:rPr/>
        <w:t>agencies,</w:t>
      </w:r>
      <w:r>
        <w:rPr>
          <w:spacing w:val="-5"/>
        </w:rPr>
        <w:t> </w:t>
      </w:r>
      <w:r>
        <w:rPr/>
        <w:t>nonprofit</w:t>
      </w:r>
      <w:r>
        <w:rPr>
          <w:spacing w:val="-6"/>
        </w:rPr>
        <w:t> </w:t>
      </w:r>
      <w:r>
        <w:rPr/>
        <w:t>organizations,</w:t>
      </w:r>
      <w:r>
        <w:rPr>
          <w:spacing w:val="-6"/>
        </w:rPr>
        <w:t> </w:t>
      </w:r>
      <w:r>
        <w:rPr/>
        <w:t>and</w:t>
      </w:r>
      <w:r>
        <w:rPr>
          <w:spacing w:val="-5"/>
        </w:rPr>
        <w:t> </w:t>
      </w:r>
      <w:r>
        <w:rPr/>
        <w:t>community programs</w:t>
      </w:r>
      <w:r>
        <w:rPr>
          <w:spacing w:val="-5"/>
        </w:rPr>
        <w:t> </w:t>
      </w:r>
      <w:r>
        <w:rPr/>
        <w:t>examine</w:t>
      </w:r>
      <w:r>
        <w:rPr>
          <w:spacing w:val="-4"/>
        </w:rPr>
        <w:t> </w:t>
      </w:r>
      <w:r>
        <w:rPr/>
        <w:t>their</w:t>
      </w:r>
      <w:r>
        <w:rPr>
          <w:spacing w:val="-5"/>
        </w:rPr>
        <w:t> </w:t>
      </w:r>
      <w:r>
        <w:rPr/>
        <w:t>outreach</w:t>
      </w:r>
      <w:r>
        <w:rPr>
          <w:spacing w:val="-4"/>
        </w:rPr>
        <w:t> </w:t>
      </w:r>
      <w:r>
        <w:rPr/>
        <w:t>and</w:t>
      </w:r>
      <w:r>
        <w:rPr>
          <w:spacing w:val="-4"/>
        </w:rPr>
        <w:t> </w:t>
      </w:r>
      <w:r>
        <w:rPr/>
        <w:t>accessibility</w:t>
      </w:r>
      <w:r>
        <w:rPr>
          <w:spacing w:val="-4"/>
        </w:rPr>
        <w:t> </w:t>
      </w:r>
      <w:r>
        <w:rPr/>
        <w:t>for</w:t>
      </w:r>
      <w:r>
        <w:rPr>
          <w:spacing w:val="-4"/>
        </w:rPr>
        <w:t> </w:t>
      </w:r>
      <w:r>
        <w:rPr/>
        <w:t>LGBTQ</w:t>
      </w:r>
      <w:r>
        <w:rPr>
          <w:spacing w:val="-4"/>
        </w:rPr>
        <w:t> </w:t>
      </w:r>
      <w:r>
        <w:rPr/>
        <w:t>residents</w:t>
      </w:r>
      <w:r>
        <w:rPr>
          <w:spacing w:val="-5"/>
        </w:rPr>
        <w:t> </w:t>
      </w:r>
      <w:r>
        <w:rPr/>
        <w:t>who</w:t>
      </w:r>
      <w:r>
        <w:rPr>
          <w:spacing w:val="-3"/>
        </w:rPr>
        <w:t> </w:t>
      </w:r>
      <w:r>
        <w:rPr/>
        <w:t>may</w:t>
      </w:r>
      <w:r>
        <w:rPr>
          <w:spacing w:val="-3"/>
        </w:rPr>
        <w:t> </w:t>
      </w:r>
      <w:r>
        <w:rPr/>
        <w:t>not</w:t>
      </w:r>
      <w:r>
        <w:rPr>
          <w:spacing w:val="-5"/>
        </w:rPr>
        <w:t> </w:t>
      </w:r>
      <w:r>
        <w:rPr/>
        <w:t>be</w:t>
      </w:r>
      <w:r>
        <w:rPr>
          <w:spacing w:val="-5"/>
        </w:rPr>
        <w:t> </w:t>
      </w:r>
      <w:r>
        <w:rPr/>
        <w:t>fluent</w:t>
      </w:r>
      <w:r>
        <w:rPr>
          <w:spacing w:val="-3"/>
        </w:rPr>
        <w:t> </w:t>
      </w:r>
      <w:r>
        <w:rPr/>
        <w:t>in</w:t>
      </w:r>
      <w:r>
        <w:rPr>
          <w:spacing w:val="-4"/>
        </w:rPr>
        <w:t> </w:t>
      </w:r>
      <w:r>
        <w:rPr/>
        <w:t>English. The Commission supports </w:t>
      </w:r>
      <w:r>
        <w:rPr>
          <w:i/>
        </w:rPr>
        <w:t>An Act Relative to Language Access and Inclusion</w:t>
      </w:r>
      <w:r>
        <w:rPr/>
        <w:t>, (</w:t>
      </w:r>
      <w:hyperlink r:id="rId558">
        <w:r>
          <w:rPr>
            <w:color w:val="1153CC"/>
            <w:u w:val="single" w:color="1153CC"/>
          </w:rPr>
          <w:t>S.1990</w:t>
        </w:r>
      </w:hyperlink>
      <w:r>
        <w:rPr>
          <w:u w:val="none"/>
        </w:rPr>
        <w:t>/</w:t>
      </w:r>
      <w:hyperlink r:id="rId559">
        <w:r>
          <w:rPr>
            <w:color w:val="1153CC"/>
            <w:u w:val="single" w:color="1153CC"/>
          </w:rPr>
          <w:t>H.3084</w:t>
        </w:r>
      </w:hyperlink>
      <w:r>
        <w:rPr>
          <w:u w:val="none"/>
        </w:rPr>
        <w:t>), which would</w:t>
      </w:r>
      <w:r>
        <w:rPr>
          <w:spacing w:val="-13"/>
          <w:u w:val="none"/>
        </w:rPr>
        <w:t> </w:t>
      </w:r>
      <w:r>
        <w:rPr>
          <w:u w:val="none"/>
        </w:rPr>
        <w:t>require</w:t>
      </w:r>
      <w:r>
        <w:rPr>
          <w:spacing w:val="-12"/>
          <w:u w:val="none"/>
        </w:rPr>
        <w:t> </w:t>
      </w:r>
      <w:r>
        <w:rPr>
          <w:u w:val="none"/>
        </w:rPr>
        <w:t>state</w:t>
      </w:r>
      <w:r>
        <w:rPr>
          <w:spacing w:val="-13"/>
          <w:u w:val="none"/>
        </w:rPr>
        <w:t> </w:t>
      </w:r>
      <w:r>
        <w:rPr>
          <w:u w:val="none"/>
        </w:rPr>
        <w:t>agencies</w:t>
      </w:r>
      <w:r>
        <w:rPr>
          <w:spacing w:val="-11"/>
          <w:u w:val="none"/>
        </w:rPr>
        <w:t> </w:t>
      </w:r>
      <w:r>
        <w:rPr>
          <w:u w:val="none"/>
        </w:rPr>
        <w:t>to</w:t>
      </w:r>
      <w:r>
        <w:rPr>
          <w:spacing w:val="-12"/>
          <w:u w:val="none"/>
        </w:rPr>
        <w:t> </w:t>
      </w:r>
      <w:r>
        <w:rPr>
          <w:u w:val="none"/>
        </w:rPr>
        <w:t>provide</w:t>
      </w:r>
      <w:r>
        <w:rPr>
          <w:spacing w:val="-11"/>
          <w:u w:val="none"/>
        </w:rPr>
        <w:t> </w:t>
      </w:r>
      <w:r>
        <w:rPr>
          <w:u w:val="none"/>
        </w:rPr>
        <w:t>public</w:t>
      </w:r>
      <w:r>
        <w:rPr>
          <w:spacing w:val="-13"/>
          <w:u w:val="none"/>
        </w:rPr>
        <w:t> </w:t>
      </w:r>
      <w:r>
        <w:rPr>
          <w:u w:val="none"/>
        </w:rPr>
        <w:t>materials</w:t>
      </w:r>
      <w:r>
        <w:rPr>
          <w:spacing w:val="-11"/>
          <w:u w:val="none"/>
        </w:rPr>
        <w:t> </w:t>
      </w:r>
      <w:r>
        <w:rPr>
          <w:u w:val="none"/>
        </w:rPr>
        <w:t>and</w:t>
      </w:r>
      <w:r>
        <w:rPr>
          <w:spacing w:val="-13"/>
          <w:u w:val="none"/>
        </w:rPr>
        <w:t> </w:t>
      </w:r>
      <w:r>
        <w:rPr>
          <w:u w:val="none"/>
        </w:rPr>
        <w:t>information</w:t>
      </w:r>
      <w:r>
        <w:rPr>
          <w:spacing w:val="-12"/>
          <w:u w:val="none"/>
        </w:rPr>
        <w:t> </w:t>
      </w:r>
      <w:r>
        <w:rPr>
          <w:u w:val="none"/>
        </w:rPr>
        <w:t>in</w:t>
      </w:r>
      <w:r>
        <w:rPr>
          <w:spacing w:val="-11"/>
          <w:u w:val="none"/>
        </w:rPr>
        <w:t> </w:t>
      </w:r>
      <w:r>
        <w:rPr>
          <w:u w:val="none"/>
        </w:rPr>
        <w:t>the</w:t>
      </w:r>
      <w:r>
        <w:rPr>
          <w:spacing w:val="-11"/>
          <w:u w:val="none"/>
        </w:rPr>
        <w:t> </w:t>
      </w:r>
      <w:r>
        <w:rPr>
          <w:u w:val="none"/>
        </w:rPr>
        <w:t>primary</w:t>
      </w:r>
      <w:r>
        <w:rPr>
          <w:spacing w:val="-12"/>
          <w:u w:val="none"/>
        </w:rPr>
        <w:t> </w:t>
      </w:r>
      <w:r>
        <w:rPr>
          <w:u w:val="none"/>
        </w:rPr>
        <w:t>languages</w:t>
      </w:r>
      <w:r>
        <w:rPr>
          <w:spacing w:val="-12"/>
          <w:u w:val="none"/>
        </w:rPr>
        <w:t> </w:t>
      </w:r>
      <w:r>
        <w:rPr>
          <w:u w:val="none"/>
        </w:rPr>
        <w:t>spoken by Massachusetts residents aside from English. Additionally, to avoid unnecessary obstacles, service providers should ensure that forms are clear to non-native English speakers, and that ID or citizenship information is not required to access services not dependent on immigration status. Organizations can also improve accessibility by hiring and appropriately compensating bilingual staff, providing materials and</w:t>
      </w:r>
      <w:r>
        <w:rPr>
          <w:spacing w:val="-1"/>
          <w:u w:val="none"/>
        </w:rPr>
        <w:t> </w:t>
      </w:r>
      <w:r>
        <w:rPr>
          <w:u w:val="none"/>
        </w:rPr>
        <w:t>signs in multiple</w:t>
      </w:r>
      <w:r>
        <w:rPr>
          <w:spacing w:val="-1"/>
          <w:u w:val="none"/>
        </w:rPr>
        <w:t> </w:t>
      </w:r>
      <w:r>
        <w:rPr>
          <w:u w:val="none"/>
        </w:rPr>
        <w:t>languages, and</w:t>
      </w:r>
      <w:r>
        <w:rPr>
          <w:spacing w:val="-1"/>
          <w:u w:val="none"/>
        </w:rPr>
        <w:t> </w:t>
      </w:r>
      <w:r>
        <w:rPr>
          <w:u w:val="none"/>
        </w:rPr>
        <w:t>fostering</w:t>
      </w:r>
      <w:r>
        <w:rPr>
          <w:spacing w:val="-1"/>
          <w:u w:val="none"/>
        </w:rPr>
        <w:t> </w:t>
      </w:r>
      <w:r>
        <w:rPr>
          <w:u w:val="none"/>
        </w:rPr>
        <w:t>relationships with interpreting services to improve</w:t>
      </w:r>
      <w:r>
        <w:rPr>
          <w:spacing w:val="-1"/>
          <w:u w:val="none"/>
        </w:rPr>
        <w:t> </w:t>
      </w:r>
      <w:r>
        <w:rPr>
          <w:u w:val="none"/>
        </w:rPr>
        <w:t>service provision for non-English-speaking clients.</w:t>
      </w:r>
    </w:p>
    <w:p>
      <w:pPr>
        <w:spacing w:after="0" w:line="276" w:lineRule="auto"/>
        <w:jc w:val="both"/>
        <w:sectPr>
          <w:headerReference w:type="default" r:id="rId556"/>
          <w:footerReference w:type="default" r:id="rId557"/>
          <w:pgSz w:w="12240" w:h="15840"/>
          <w:pgMar w:header="805" w:footer="1208" w:top="1080" w:bottom="1400" w:left="980" w:right="1180"/>
          <w:pgNumType w:start="194"/>
        </w:sectPr>
      </w:pPr>
    </w:p>
    <w:p>
      <w:pPr>
        <w:numPr>
          <w:ilvl w:val="0"/>
          <w:numId w:val="27"/>
        </w:numPr>
        <w:tabs>
          <w:tab w:pos="461" w:val="left" w:leader="none"/>
        </w:tabs>
        <w:spacing w:before="69"/>
        <w:ind w:left="461" w:right="0" w:hanging="358"/>
        <w:jc w:val="left"/>
        <w:rPr>
          <w:b/>
          <w:sz w:val="22"/>
        </w:rPr>
      </w:pPr>
      <w:bookmarkStart w:name="2. Establish an LGBTQ Immigrant &amp; Refuge" w:id="776"/>
      <w:bookmarkEnd w:id="776"/>
      <w:r>
        <w:rPr>
          <w:b/>
          <w:sz w:val="22"/>
        </w:rPr>
        <w:t>E</w:t>
      </w:r>
      <w:r>
        <w:rPr>
          <w:b/>
          <w:sz w:val="22"/>
        </w:rPr>
        <w:t>stablish</w:t>
      </w:r>
      <w:r>
        <w:rPr>
          <w:b/>
          <w:spacing w:val="-8"/>
          <w:sz w:val="22"/>
        </w:rPr>
        <w:t> </w:t>
      </w:r>
      <w:r>
        <w:rPr>
          <w:b/>
          <w:sz w:val="22"/>
        </w:rPr>
        <w:t>an</w:t>
      </w:r>
      <w:r>
        <w:rPr>
          <w:b/>
          <w:spacing w:val="-7"/>
          <w:sz w:val="22"/>
        </w:rPr>
        <w:t> </w:t>
      </w:r>
      <w:r>
        <w:rPr>
          <w:b/>
          <w:sz w:val="22"/>
        </w:rPr>
        <w:t>LGBTQ</w:t>
      </w:r>
      <w:r>
        <w:rPr>
          <w:b/>
          <w:spacing w:val="-7"/>
          <w:sz w:val="22"/>
        </w:rPr>
        <w:t> </w:t>
      </w:r>
      <w:r>
        <w:rPr>
          <w:b/>
          <w:sz w:val="22"/>
        </w:rPr>
        <w:t>Immigrant</w:t>
      </w:r>
      <w:r>
        <w:rPr>
          <w:b/>
          <w:spacing w:val="-9"/>
          <w:sz w:val="22"/>
        </w:rPr>
        <w:t> </w:t>
      </w:r>
      <w:r>
        <w:rPr>
          <w:b/>
          <w:sz w:val="22"/>
        </w:rPr>
        <w:t>&amp;</w:t>
      </w:r>
      <w:r>
        <w:rPr>
          <w:b/>
          <w:spacing w:val="-7"/>
          <w:sz w:val="22"/>
        </w:rPr>
        <w:t> </w:t>
      </w:r>
      <w:r>
        <w:rPr>
          <w:b/>
          <w:sz w:val="22"/>
        </w:rPr>
        <w:t>Refugee</w:t>
      </w:r>
      <w:r>
        <w:rPr>
          <w:b/>
          <w:spacing w:val="-8"/>
          <w:sz w:val="22"/>
        </w:rPr>
        <w:t> </w:t>
      </w:r>
      <w:r>
        <w:rPr>
          <w:b/>
          <w:sz w:val="22"/>
        </w:rPr>
        <w:t>Task</w:t>
      </w:r>
      <w:r>
        <w:rPr>
          <w:b/>
          <w:spacing w:val="-7"/>
          <w:sz w:val="22"/>
        </w:rPr>
        <w:t> </w:t>
      </w:r>
      <w:r>
        <w:rPr>
          <w:b/>
          <w:spacing w:val="-2"/>
          <w:sz w:val="22"/>
        </w:rPr>
        <w:t>Force.</w:t>
      </w:r>
    </w:p>
    <w:p>
      <w:pPr>
        <w:pStyle w:val="BodyText"/>
        <w:spacing w:before="12"/>
        <w:rPr>
          <w:b/>
        </w:rPr>
      </w:pPr>
    </w:p>
    <w:p>
      <w:pPr>
        <w:pStyle w:val="BodyText"/>
        <w:spacing w:line="276" w:lineRule="auto"/>
        <w:ind w:left="463" w:right="260"/>
        <w:jc w:val="both"/>
      </w:pPr>
      <w:r>
        <w:rPr/>
        <w:t>The</w:t>
      </w:r>
      <w:r>
        <w:rPr>
          <w:spacing w:val="-13"/>
        </w:rPr>
        <w:t> </w:t>
      </w:r>
      <w:r>
        <w:rPr/>
        <w:t>Commission</w:t>
      </w:r>
      <w:r>
        <w:rPr>
          <w:spacing w:val="-12"/>
        </w:rPr>
        <w:t> </w:t>
      </w:r>
      <w:r>
        <w:rPr/>
        <w:t>recommends</w:t>
      </w:r>
      <w:r>
        <w:rPr>
          <w:spacing w:val="-13"/>
        </w:rPr>
        <w:t> </w:t>
      </w:r>
      <w:r>
        <w:rPr/>
        <w:t>that</w:t>
      </w:r>
      <w:r>
        <w:rPr>
          <w:spacing w:val="-12"/>
        </w:rPr>
        <w:t> </w:t>
      </w:r>
      <w:r>
        <w:rPr/>
        <w:t>Massachusetts</w:t>
      </w:r>
      <w:r>
        <w:rPr>
          <w:spacing w:val="-11"/>
        </w:rPr>
        <w:t> </w:t>
      </w:r>
      <w:r>
        <w:rPr/>
        <w:t>explore</w:t>
      </w:r>
      <w:r>
        <w:rPr>
          <w:spacing w:val="-13"/>
        </w:rPr>
        <w:t> </w:t>
      </w:r>
      <w:r>
        <w:rPr/>
        <w:t>the</w:t>
      </w:r>
      <w:r>
        <w:rPr>
          <w:spacing w:val="-12"/>
        </w:rPr>
        <w:t> </w:t>
      </w:r>
      <w:r>
        <w:rPr/>
        <w:t>creation</w:t>
      </w:r>
      <w:r>
        <w:rPr>
          <w:spacing w:val="-13"/>
        </w:rPr>
        <w:t> </w:t>
      </w:r>
      <w:r>
        <w:rPr/>
        <w:t>of</w:t>
      </w:r>
      <w:r>
        <w:rPr>
          <w:spacing w:val="-12"/>
        </w:rPr>
        <w:t> </w:t>
      </w:r>
      <w:r>
        <w:rPr/>
        <w:t>an</w:t>
      </w:r>
      <w:r>
        <w:rPr>
          <w:spacing w:val="-12"/>
        </w:rPr>
        <w:t> </w:t>
      </w:r>
      <w:r>
        <w:rPr/>
        <w:t>LGBTQ</w:t>
      </w:r>
      <w:r>
        <w:rPr>
          <w:spacing w:val="-13"/>
        </w:rPr>
        <w:t> </w:t>
      </w:r>
      <w:r>
        <w:rPr/>
        <w:t>Immigrant</w:t>
      </w:r>
      <w:r>
        <w:rPr>
          <w:spacing w:val="-12"/>
        </w:rPr>
        <w:t> </w:t>
      </w:r>
      <w:r>
        <w:rPr/>
        <w:t>&amp;</w:t>
      </w:r>
      <w:r>
        <w:rPr>
          <w:spacing w:val="-10"/>
        </w:rPr>
        <w:t> </w:t>
      </w:r>
      <w:r>
        <w:rPr/>
        <w:t>Refugee Task Force composed of LGBTQ refugees, families, first-generation youth, and advocates to inform services at the state and local levels. As demonstrated for three decades by the Commission, having a dedicated</w:t>
      </w:r>
      <w:r>
        <w:rPr>
          <w:spacing w:val="-8"/>
        </w:rPr>
        <w:t> </w:t>
      </w:r>
      <w:r>
        <w:rPr/>
        <w:t>voice</w:t>
      </w:r>
      <w:r>
        <w:rPr>
          <w:spacing w:val="-9"/>
        </w:rPr>
        <w:t> </w:t>
      </w:r>
      <w:r>
        <w:rPr/>
        <w:t>at</w:t>
      </w:r>
      <w:r>
        <w:rPr>
          <w:spacing w:val="-8"/>
        </w:rPr>
        <w:t> </w:t>
      </w:r>
      <w:r>
        <w:rPr/>
        <w:t>the</w:t>
      </w:r>
      <w:r>
        <w:rPr>
          <w:spacing w:val="-8"/>
        </w:rPr>
        <w:t> </w:t>
      </w:r>
      <w:r>
        <w:rPr/>
        <w:t>state</w:t>
      </w:r>
      <w:r>
        <w:rPr>
          <w:spacing w:val="-9"/>
        </w:rPr>
        <w:t> </w:t>
      </w:r>
      <w:r>
        <w:rPr/>
        <w:t>level</w:t>
      </w:r>
      <w:r>
        <w:rPr>
          <w:spacing w:val="-8"/>
        </w:rPr>
        <w:t> </w:t>
      </w:r>
      <w:r>
        <w:rPr/>
        <w:t>to</w:t>
      </w:r>
      <w:r>
        <w:rPr>
          <w:spacing w:val="-7"/>
        </w:rPr>
        <w:t> </w:t>
      </w:r>
      <w:r>
        <w:rPr/>
        <w:t>oversee</w:t>
      </w:r>
      <w:r>
        <w:rPr>
          <w:spacing w:val="-9"/>
        </w:rPr>
        <w:t> </w:t>
      </w:r>
      <w:r>
        <w:rPr/>
        <w:t>policy</w:t>
      </w:r>
      <w:r>
        <w:rPr>
          <w:spacing w:val="-8"/>
        </w:rPr>
        <w:t> </w:t>
      </w:r>
      <w:r>
        <w:rPr/>
        <w:t>development</w:t>
      </w:r>
      <w:r>
        <w:rPr>
          <w:spacing w:val="-8"/>
        </w:rPr>
        <w:t> </w:t>
      </w:r>
      <w:r>
        <w:rPr/>
        <w:t>and</w:t>
      </w:r>
      <w:r>
        <w:rPr>
          <w:spacing w:val="-9"/>
        </w:rPr>
        <w:t> </w:t>
      </w:r>
      <w:r>
        <w:rPr/>
        <w:t>service</w:t>
      </w:r>
      <w:r>
        <w:rPr>
          <w:spacing w:val="-8"/>
        </w:rPr>
        <w:t> </w:t>
      </w:r>
      <w:r>
        <w:rPr/>
        <w:t>improvement</w:t>
      </w:r>
      <w:r>
        <w:rPr>
          <w:spacing w:val="-8"/>
        </w:rPr>
        <w:t> </w:t>
      </w:r>
      <w:r>
        <w:rPr/>
        <w:t>is</w:t>
      </w:r>
      <w:r>
        <w:rPr>
          <w:spacing w:val="-7"/>
        </w:rPr>
        <w:t> </w:t>
      </w:r>
      <w:r>
        <w:rPr/>
        <w:t>essential.</w:t>
      </w:r>
      <w:r>
        <w:rPr>
          <w:spacing w:val="-8"/>
        </w:rPr>
        <w:t> </w:t>
      </w:r>
      <w:r>
        <w:rPr/>
        <w:t>By establishing a specific task force, those who are often left without a voice in Massachusetts decision- making are able to influence effective change.</w:t>
      </w:r>
    </w:p>
    <w:p>
      <w:pPr>
        <w:numPr>
          <w:ilvl w:val="0"/>
          <w:numId w:val="27"/>
        </w:numPr>
        <w:tabs>
          <w:tab w:pos="461" w:val="left" w:leader="none"/>
        </w:tabs>
        <w:spacing w:before="240"/>
        <w:ind w:left="461" w:right="0" w:hanging="358"/>
        <w:jc w:val="left"/>
        <w:rPr>
          <w:b/>
          <w:sz w:val="22"/>
        </w:rPr>
      </w:pPr>
      <w:bookmarkStart w:name="3. Address the concerning lack of SOGIE " w:id="777"/>
      <w:bookmarkEnd w:id="777"/>
      <w:r>
        <w:rPr>
          <w:b/>
          <w:sz w:val="22"/>
        </w:rPr>
        <w:t>A</w:t>
      </w:r>
      <w:r>
        <w:rPr>
          <w:b/>
          <w:sz w:val="22"/>
        </w:rPr>
        <w:t>ddress</w:t>
      </w:r>
      <w:r>
        <w:rPr>
          <w:b/>
          <w:spacing w:val="-7"/>
          <w:sz w:val="22"/>
        </w:rPr>
        <w:t> </w:t>
      </w:r>
      <w:r>
        <w:rPr>
          <w:b/>
          <w:sz w:val="22"/>
        </w:rPr>
        <w:t>the</w:t>
      </w:r>
      <w:r>
        <w:rPr>
          <w:b/>
          <w:spacing w:val="-5"/>
          <w:sz w:val="22"/>
        </w:rPr>
        <w:t> </w:t>
      </w:r>
      <w:r>
        <w:rPr>
          <w:b/>
          <w:sz w:val="22"/>
        </w:rPr>
        <w:t>concerning</w:t>
      </w:r>
      <w:r>
        <w:rPr>
          <w:b/>
          <w:spacing w:val="-8"/>
          <w:sz w:val="22"/>
        </w:rPr>
        <w:t> </w:t>
      </w:r>
      <w:r>
        <w:rPr>
          <w:b/>
          <w:sz w:val="22"/>
        </w:rPr>
        <w:t>lack</w:t>
      </w:r>
      <w:r>
        <w:rPr>
          <w:b/>
          <w:spacing w:val="-7"/>
          <w:sz w:val="22"/>
        </w:rPr>
        <w:t> </w:t>
      </w:r>
      <w:r>
        <w:rPr>
          <w:b/>
          <w:sz w:val="22"/>
        </w:rPr>
        <w:t>of</w:t>
      </w:r>
      <w:r>
        <w:rPr>
          <w:b/>
          <w:spacing w:val="-7"/>
          <w:sz w:val="22"/>
        </w:rPr>
        <w:t> </w:t>
      </w:r>
      <w:r>
        <w:rPr>
          <w:b/>
          <w:sz w:val="22"/>
        </w:rPr>
        <w:t>SOGIE</w:t>
      </w:r>
      <w:r>
        <w:rPr>
          <w:b/>
          <w:spacing w:val="-7"/>
          <w:sz w:val="22"/>
        </w:rPr>
        <w:t> </w:t>
      </w:r>
      <w:r>
        <w:rPr>
          <w:b/>
          <w:sz w:val="22"/>
        </w:rPr>
        <w:t>data</w:t>
      </w:r>
      <w:r>
        <w:rPr>
          <w:b/>
          <w:spacing w:val="-7"/>
          <w:sz w:val="22"/>
        </w:rPr>
        <w:t> </w:t>
      </w:r>
      <w:r>
        <w:rPr>
          <w:b/>
          <w:sz w:val="22"/>
        </w:rPr>
        <w:t>collection</w:t>
      </w:r>
      <w:r>
        <w:rPr>
          <w:b/>
          <w:spacing w:val="-7"/>
          <w:sz w:val="22"/>
        </w:rPr>
        <w:t> </w:t>
      </w:r>
      <w:r>
        <w:rPr>
          <w:b/>
          <w:sz w:val="22"/>
        </w:rPr>
        <w:t>at</w:t>
      </w:r>
      <w:r>
        <w:rPr>
          <w:b/>
          <w:spacing w:val="-7"/>
          <w:sz w:val="22"/>
        </w:rPr>
        <w:t> </w:t>
      </w:r>
      <w:r>
        <w:rPr>
          <w:b/>
          <w:sz w:val="22"/>
        </w:rPr>
        <w:t>the</w:t>
      </w:r>
      <w:r>
        <w:rPr>
          <w:b/>
          <w:spacing w:val="-7"/>
          <w:sz w:val="22"/>
        </w:rPr>
        <w:t> </w:t>
      </w:r>
      <w:r>
        <w:rPr>
          <w:b/>
          <w:sz w:val="22"/>
        </w:rPr>
        <w:t>state</w:t>
      </w:r>
      <w:r>
        <w:rPr>
          <w:b/>
          <w:spacing w:val="-6"/>
          <w:sz w:val="22"/>
        </w:rPr>
        <w:t> </w:t>
      </w:r>
      <w:r>
        <w:rPr>
          <w:b/>
          <w:spacing w:val="-2"/>
          <w:sz w:val="22"/>
        </w:rPr>
        <w:t>level.</w:t>
      </w:r>
    </w:p>
    <w:p>
      <w:pPr>
        <w:pStyle w:val="BodyText"/>
        <w:spacing w:before="11"/>
        <w:rPr>
          <w:b/>
        </w:rPr>
      </w:pPr>
    </w:p>
    <w:p>
      <w:pPr>
        <w:pStyle w:val="BodyText"/>
        <w:spacing w:line="276" w:lineRule="auto"/>
        <w:ind w:left="463" w:right="262"/>
        <w:jc w:val="both"/>
      </w:pPr>
      <w:r>
        <w:rPr/>
        <w:t>As the Commission works to better understand the experiences of foreign-born LGBTQ youth in Massachusetts, the staggering lack of available data and research at the local, state, and national levels presents</w:t>
      </w:r>
      <w:r>
        <w:rPr>
          <w:spacing w:val="-2"/>
        </w:rPr>
        <w:t> </w:t>
      </w:r>
      <w:r>
        <w:rPr/>
        <w:t>a</w:t>
      </w:r>
      <w:r>
        <w:rPr>
          <w:spacing w:val="-3"/>
        </w:rPr>
        <w:t> </w:t>
      </w:r>
      <w:r>
        <w:rPr/>
        <w:t>significant</w:t>
      </w:r>
      <w:r>
        <w:rPr>
          <w:spacing w:val="-2"/>
        </w:rPr>
        <w:t> </w:t>
      </w:r>
      <w:r>
        <w:rPr/>
        <w:t>barrier.</w:t>
      </w:r>
      <w:r>
        <w:rPr>
          <w:spacing w:val="-3"/>
        </w:rPr>
        <w:t> </w:t>
      </w:r>
      <w:r>
        <w:rPr/>
        <w:t>The</w:t>
      </w:r>
      <w:r>
        <w:rPr>
          <w:spacing w:val="-3"/>
        </w:rPr>
        <w:t> </w:t>
      </w:r>
      <w:r>
        <w:rPr/>
        <w:t>Commission</w:t>
      </w:r>
      <w:r>
        <w:rPr>
          <w:spacing w:val="-3"/>
        </w:rPr>
        <w:t> </w:t>
      </w:r>
      <w:r>
        <w:rPr/>
        <w:t>strongly</w:t>
      </w:r>
      <w:r>
        <w:rPr>
          <w:spacing w:val="-3"/>
        </w:rPr>
        <w:t> </w:t>
      </w:r>
      <w:r>
        <w:rPr/>
        <w:t>recommends</w:t>
      </w:r>
      <w:r>
        <w:rPr>
          <w:spacing w:val="-2"/>
        </w:rPr>
        <w:t> </w:t>
      </w:r>
      <w:r>
        <w:rPr/>
        <w:t>that</w:t>
      </w:r>
      <w:r>
        <w:rPr>
          <w:spacing w:val="-3"/>
        </w:rPr>
        <w:t> </w:t>
      </w:r>
      <w:r>
        <w:rPr/>
        <w:t>all</w:t>
      </w:r>
      <w:r>
        <w:rPr>
          <w:spacing w:val="-2"/>
        </w:rPr>
        <w:t> </w:t>
      </w:r>
      <w:r>
        <w:rPr/>
        <w:t>state</w:t>
      </w:r>
      <w:r>
        <w:rPr>
          <w:spacing w:val="-3"/>
        </w:rPr>
        <w:t> </w:t>
      </w:r>
      <w:r>
        <w:rPr/>
        <w:t>agencies</w:t>
      </w:r>
      <w:r>
        <w:rPr>
          <w:spacing w:val="-1"/>
        </w:rPr>
        <w:t> </w:t>
      </w:r>
      <w:r>
        <w:rPr/>
        <w:t>explore</w:t>
      </w:r>
      <w:r>
        <w:rPr>
          <w:spacing w:val="-3"/>
        </w:rPr>
        <w:t> </w:t>
      </w:r>
      <w:r>
        <w:rPr/>
        <w:t>ways to</w:t>
      </w:r>
      <w:r>
        <w:rPr>
          <w:spacing w:val="-11"/>
        </w:rPr>
        <w:t> </w:t>
      </w:r>
      <w:r>
        <w:rPr/>
        <w:t>increase</w:t>
      </w:r>
      <w:r>
        <w:rPr>
          <w:spacing w:val="-11"/>
        </w:rPr>
        <w:t> </w:t>
      </w:r>
      <w:r>
        <w:rPr/>
        <w:t>their</w:t>
      </w:r>
      <w:r>
        <w:rPr>
          <w:spacing w:val="-11"/>
        </w:rPr>
        <w:t> </w:t>
      </w:r>
      <w:r>
        <w:rPr/>
        <w:t>data</w:t>
      </w:r>
      <w:r>
        <w:rPr>
          <w:spacing w:val="-10"/>
        </w:rPr>
        <w:t> </w:t>
      </w:r>
      <w:r>
        <w:rPr/>
        <w:t>collection</w:t>
      </w:r>
      <w:r>
        <w:rPr>
          <w:spacing w:val="-11"/>
        </w:rPr>
        <w:t> </w:t>
      </w:r>
      <w:r>
        <w:rPr/>
        <w:t>and</w:t>
      </w:r>
      <w:r>
        <w:rPr>
          <w:spacing w:val="-11"/>
        </w:rPr>
        <w:t> </w:t>
      </w:r>
      <w:r>
        <w:rPr/>
        <w:t>outreach</w:t>
      </w:r>
      <w:r>
        <w:rPr>
          <w:spacing w:val="-11"/>
        </w:rPr>
        <w:t> </w:t>
      </w:r>
      <w:r>
        <w:rPr/>
        <w:t>efforts</w:t>
      </w:r>
      <w:r>
        <w:rPr>
          <w:spacing w:val="-10"/>
        </w:rPr>
        <w:t> </w:t>
      </w:r>
      <w:r>
        <w:rPr/>
        <w:t>to</w:t>
      </w:r>
      <w:r>
        <w:rPr>
          <w:spacing w:val="-11"/>
        </w:rPr>
        <w:t> </w:t>
      </w:r>
      <w:r>
        <w:rPr/>
        <w:t>better</w:t>
      </w:r>
      <w:r>
        <w:rPr>
          <w:spacing w:val="-10"/>
        </w:rPr>
        <w:t> </w:t>
      </w:r>
      <w:r>
        <w:rPr/>
        <w:t>capture</w:t>
      </w:r>
      <w:r>
        <w:rPr>
          <w:spacing w:val="-11"/>
        </w:rPr>
        <w:t> </w:t>
      </w:r>
      <w:r>
        <w:rPr/>
        <w:t>the</w:t>
      </w:r>
      <w:r>
        <w:rPr>
          <w:spacing w:val="-11"/>
        </w:rPr>
        <w:t> </w:t>
      </w:r>
      <w:r>
        <w:rPr/>
        <w:t>experiences</w:t>
      </w:r>
      <w:r>
        <w:rPr>
          <w:spacing w:val="-11"/>
        </w:rPr>
        <w:t> </w:t>
      </w:r>
      <w:r>
        <w:rPr/>
        <w:t>of</w:t>
      </w:r>
      <w:r>
        <w:rPr>
          <w:spacing w:val="-11"/>
        </w:rPr>
        <w:t> </w:t>
      </w:r>
      <w:r>
        <w:rPr/>
        <w:t>all</w:t>
      </w:r>
      <w:r>
        <w:rPr>
          <w:spacing w:val="-10"/>
        </w:rPr>
        <w:t> </w:t>
      </w:r>
      <w:r>
        <w:rPr/>
        <w:t>LGBTQ</w:t>
      </w:r>
      <w:r>
        <w:rPr>
          <w:spacing w:val="-12"/>
        </w:rPr>
        <w:t> </w:t>
      </w:r>
      <w:r>
        <w:rPr/>
        <w:t>youth across the state.</w:t>
      </w:r>
    </w:p>
    <w:p>
      <w:pPr>
        <w:numPr>
          <w:ilvl w:val="0"/>
          <w:numId w:val="27"/>
        </w:numPr>
        <w:tabs>
          <w:tab w:pos="461" w:val="left" w:leader="none"/>
        </w:tabs>
        <w:spacing w:before="240"/>
        <w:ind w:left="461" w:right="0" w:hanging="358"/>
        <w:jc w:val="left"/>
        <w:rPr>
          <w:b/>
          <w:sz w:val="22"/>
        </w:rPr>
      </w:pPr>
      <w:bookmarkStart w:name="4. Protect and support undocumented yout" w:id="778"/>
      <w:bookmarkEnd w:id="778"/>
      <w:r>
        <w:rPr>
          <w:b/>
          <w:sz w:val="22"/>
        </w:rPr>
        <w:t>P</w:t>
      </w:r>
      <w:r>
        <w:rPr>
          <w:b/>
          <w:sz w:val="22"/>
        </w:rPr>
        <w:t>rotect</w:t>
      </w:r>
      <w:r>
        <w:rPr>
          <w:b/>
          <w:spacing w:val="-12"/>
          <w:sz w:val="22"/>
        </w:rPr>
        <w:t> </w:t>
      </w:r>
      <w:r>
        <w:rPr>
          <w:b/>
          <w:sz w:val="22"/>
        </w:rPr>
        <w:t>and</w:t>
      </w:r>
      <w:r>
        <w:rPr>
          <w:b/>
          <w:spacing w:val="-11"/>
          <w:sz w:val="22"/>
        </w:rPr>
        <w:t> </w:t>
      </w:r>
      <w:r>
        <w:rPr>
          <w:b/>
          <w:sz w:val="22"/>
        </w:rPr>
        <w:t>support</w:t>
      </w:r>
      <w:r>
        <w:rPr>
          <w:b/>
          <w:spacing w:val="-11"/>
          <w:sz w:val="22"/>
        </w:rPr>
        <w:t> </w:t>
      </w:r>
      <w:r>
        <w:rPr>
          <w:b/>
          <w:sz w:val="22"/>
        </w:rPr>
        <w:t>undocumented</w:t>
      </w:r>
      <w:r>
        <w:rPr>
          <w:b/>
          <w:spacing w:val="-11"/>
          <w:sz w:val="22"/>
        </w:rPr>
        <w:t> </w:t>
      </w:r>
      <w:r>
        <w:rPr>
          <w:b/>
          <w:spacing w:val="-2"/>
          <w:sz w:val="22"/>
        </w:rPr>
        <w:t>youth.</w:t>
      </w:r>
    </w:p>
    <w:p>
      <w:pPr>
        <w:pStyle w:val="BodyText"/>
        <w:spacing w:before="11"/>
        <w:rPr>
          <w:b/>
        </w:rPr>
      </w:pPr>
    </w:p>
    <w:p>
      <w:pPr>
        <w:pStyle w:val="BodyText"/>
        <w:spacing w:line="276" w:lineRule="auto"/>
        <w:ind w:left="463" w:right="264"/>
        <w:jc w:val="both"/>
      </w:pPr>
      <w:r>
        <w:rPr/>
        <w:t>Increasingly, undocumented communities are being targeted across the country by federal, state, and local governments. The Commission recommends that Massachusetts continue to explore ways to increase protections and services for undocumented youth in the Commonwealth. Over the last few years, the state has taken numerous steps that work to address and improve the experiences of undocumented</w:t>
      </w:r>
      <w:r>
        <w:rPr>
          <w:spacing w:val="-13"/>
        </w:rPr>
        <w:t> </w:t>
      </w:r>
      <w:r>
        <w:rPr/>
        <w:t>youth.</w:t>
      </w:r>
      <w:r>
        <w:rPr>
          <w:spacing w:val="-10"/>
        </w:rPr>
        <w:t> </w:t>
      </w:r>
      <w:r>
        <w:rPr/>
        <w:t>Most</w:t>
      </w:r>
      <w:r>
        <w:rPr>
          <w:spacing w:val="-13"/>
        </w:rPr>
        <w:t> </w:t>
      </w:r>
      <w:r>
        <w:rPr/>
        <w:t>recently</w:t>
      </w:r>
      <w:r>
        <w:rPr>
          <w:spacing w:val="-10"/>
        </w:rPr>
        <w:t> </w:t>
      </w:r>
      <w:r>
        <w:rPr/>
        <w:t>in</w:t>
      </w:r>
      <w:r>
        <w:rPr>
          <w:spacing w:val="-11"/>
        </w:rPr>
        <w:t> </w:t>
      </w:r>
      <w:r>
        <w:rPr/>
        <w:t>January</w:t>
      </w:r>
      <w:r>
        <w:rPr>
          <w:spacing w:val="-12"/>
        </w:rPr>
        <w:t> </w:t>
      </w:r>
      <w:r>
        <w:rPr/>
        <w:t>of</w:t>
      </w:r>
      <w:r>
        <w:rPr>
          <w:spacing w:val="-11"/>
        </w:rPr>
        <w:t> </w:t>
      </w:r>
      <w:r>
        <w:rPr/>
        <w:t>2023,</w:t>
      </w:r>
      <w:r>
        <w:rPr>
          <w:spacing w:val="-12"/>
        </w:rPr>
        <w:t> </w:t>
      </w:r>
      <w:r>
        <w:rPr/>
        <w:t>Barnstable</w:t>
      </w:r>
      <w:r>
        <w:rPr>
          <w:spacing w:val="-13"/>
        </w:rPr>
        <w:t> </w:t>
      </w:r>
      <w:r>
        <w:rPr/>
        <w:t>County</w:t>
      </w:r>
      <w:r>
        <w:rPr>
          <w:spacing w:val="-10"/>
        </w:rPr>
        <w:t> </w:t>
      </w:r>
      <w:r>
        <w:rPr/>
        <w:t>Sheriff’s</w:t>
      </w:r>
      <w:r>
        <w:rPr>
          <w:spacing w:val="-12"/>
        </w:rPr>
        <w:t> </w:t>
      </w:r>
      <w:r>
        <w:rPr/>
        <w:t>Office,</w:t>
      </w:r>
      <w:r>
        <w:rPr>
          <w:spacing w:val="-10"/>
        </w:rPr>
        <w:t> </w:t>
      </w:r>
      <w:r>
        <w:rPr/>
        <w:t>which</w:t>
      </w:r>
      <w:r>
        <w:rPr>
          <w:spacing w:val="-11"/>
        </w:rPr>
        <w:t> </w:t>
      </w:r>
      <w:r>
        <w:rPr/>
        <w:t>was</w:t>
      </w:r>
      <w:r>
        <w:rPr>
          <w:spacing w:val="-11"/>
        </w:rPr>
        <w:t> </w:t>
      </w:r>
      <w:r>
        <w:rPr/>
        <w:t>the last sheriff’s office in New England to have a formal agreement with the U.S. Immigration and Customs Enforcement (ICE), ended the agreement that empowered Massachusetts sheriffs’ offices to detain, interrogate,</w:t>
      </w:r>
      <w:r>
        <w:rPr>
          <w:spacing w:val="-4"/>
        </w:rPr>
        <w:t> </w:t>
      </w:r>
      <w:r>
        <w:rPr/>
        <w:t>and</w:t>
      </w:r>
      <w:r>
        <w:rPr>
          <w:spacing w:val="-4"/>
        </w:rPr>
        <w:t> </w:t>
      </w:r>
      <w:r>
        <w:rPr/>
        <w:t>transport</w:t>
      </w:r>
      <w:r>
        <w:rPr>
          <w:spacing w:val="-3"/>
        </w:rPr>
        <w:t> </w:t>
      </w:r>
      <w:r>
        <w:rPr/>
        <w:t>residents</w:t>
      </w:r>
      <w:r>
        <w:rPr>
          <w:spacing w:val="-4"/>
        </w:rPr>
        <w:t> </w:t>
      </w:r>
      <w:r>
        <w:rPr/>
        <w:t>suspected</w:t>
      </w:r>
      <w:r>
        <w:rPr>
          <w:spacing w:val="-4"/>
        </w:rPr>
        <w:t> </w:t>
      </w:r>
      <w:r>
        <w:rPr/>
        <w:t>of</w:t>
      </w:r>
      <w:r>
        <w:rPr>
          <w:spacing w:val="-3"/>
        </w:rPr>
        <w:t> </w:t>
      </w:r>
      <w:r>
        <w:rPr/>
        <w:t>being</w:t>
      </w:r>
      <w:r>
        <w:rPr>
          <w:spacing w:val="-4"/>
        </w:rPr>
        <w:t> </w:t>
      </w:r>
      <w:r>
        <w:rPr/>
        <w:t>undocumented</w:t>
      </w:r>
      <w:r>
        <w:rPr>
          <w:spacing w:val="-3"/>
        </w:rPr>
        <w:t> </w:t>
      </w:r>
      <w:r>
        <w:rPr/>
        <w:t>immigrants</w:t>
      </w:r>
      <w:hyperlink w:history="true" w:anchor="_bookmark533">
        <w:r>
          <w:rPr/>
          <w:t>.</w:t>
        </w:r>
        <w:r>
          <w:rPr>
            <w:vertAlign w:val="superscript"/>
          </w:rPr>
          <w:t>1</w:t>
        </w:r>
      </w:hyperlink>
      <w:r>
        <w:rPr>
          <w:spacing w:val="-4"/>
          <w:vertAlign w:val="baseline"/>
        </w:rPr>
        <w:t> </w:t>
      </w:r>
      <w:r>
        <w:rPr>
          <w:vertAlign w:val="baseline"/>
        </w:rPr>
        <w:t>In</w:t>
      </w:r>
      <w:r>
        <w:rPr>
          <w:spacing w:val="-3"/>
          <w:vertAlign w:val="baseline"/>
        </w:rPr>
        <w:t> </w:t>
      </w:r>
      <w:r>
        <w:rPr>
          <w:vertAlign w:val="baseline"/>
        </w:rPr>
        <w:t>the</w:t>
      </w:r>
      <w:r>
        <w:rPr>
          <w:spacing w:val="-3"/>
          <w:vertAlign w:val="baseline"/>
        </w:rPr>
        <w:t> </w:t>
      </w:r>
      <w:r>
        <w:rPr>
          <w:vertAlign w:val="baseline"/>
        </w:rPr>
        <w:t>same</w:t>
      </w:r>
      <w:r>
        <w:rPr>
          <w:spacing w:val="-3"/>
          <w:vertAlign w:val="baseline"/>
        </w:rPr>
        <w:t> </w:t>
      </w:r>
      <w:r>
        <w:rPr>
          <w:vertAlign w:val="baseline"/>
        </w:rPr>
        <w:t>month, in Boston, Boston Police Department (BPD) reported that it had ignored all 12 federal requests to detain suspected undocumented immigrants, and noted that zero residents were detained by BPD in 2022.</w:t>
      </w:r>
      <w:hyperlink w:history="true" w:anchor="_bookmark533">
        <w:r>
          <w:rPr>
            <w:vertAlign w:val="superscript"/>
          </w:rPr>
          <w:t>2</w:t>
        </w:r>
      </w:hyperlink>
    </w:p>
    <w:p>
      <w:pPr>
        <w:spacing w:line="276" w:lineRule="auto" w:before="241"/>
        <w:ind w:left="463" w:right="262" w:firstLine="0"/>
        <w:jc w:val="both"/>
        <w:rPr>
          <w:sz w:val="22"/>
        </w:rPr>
      </w:pPr>
      <w:r>
        <w:rPr>
          <w:sz w:val="22"/>
        </w:rPr>
        <w:t>To further extend protections and support to undocumented youth, the Commission recommends that the legislature pass </w:t>
      </w:r>
      <w:r>
        <w:rPr>
          <w:i/>
          <w:sz w:val="22"/>
        </w:rPr>
        <w:t>An Act to Protect the Civil Rights and Safety of all Massachusetts Residents </w:t>
      </w:r>
      <w:r>
        <w:rPr>
          <w:sz w:val="22"/>
        </w:rPr>
        <w:t>(</w:t>
      </w:r>
      <w:hyperlink r:id="rId560">
        <w:r>
          <w:rPr>
            <w:color w:val="1153CC"/>
            <w:sz w:val="22"/>
            <w:u w:val="single" w:color="1153CC"/>
          </w:rPr>
          <w:t>S.</w:t>
        </w:r>
      </w:hyperlink>
      <w:r>
        <w:rPr>
          <w:color w:val="1153CC"/>
          <w:sz w:val="22"/>
          <w:u w:val="none"/>
        </w:rPr>
        <w:t> </w:t>
      </w:r>
      <w:hyperlink r:id="rId560">
        <w:r>
          <w:rPr>
            <w:color w:val="1153CC"/>
            <w:sz w:val="22"/>
            <w:u w:val="single" w:color="1153CC"/>
          </w:rPr>
          <w:t>1510</w:t>
        </w:r>
      </w:hyperlink>
      <w:r>
        <w:rPr>
          <w:sz w:val="22"/>
          <w:u w:val="none"/>
        </w:rPr>
        <w:t>/</w:t>
      </w:r>
      <w:hyperlink r:id="rId561">
        <w:r>
          <w:rPr>
            <w:color w:val="1153CC"/>
            <w:sz w:val="22"/>
            <w:u w:val="single" w:color="1153CC"/>
          </w:rPr>
          <w:t>H.2288</w:t>
        </w:r>
      </w:hyperlink>
      <w:r>
        <w:rPr>
          <w:sz w:val="22"/>
          <w:u w:val="none"/>
        </w:rPr>
        <w:t>),</w:t>
      </w:r>
      <w:r>
        <w:rPr>
          <w:spacing w:val="-3"/>
          <w:sz w:val="22"/>
          <w:u w:val="none"/>
        </w:rPr>
        <w:t> </w:t>
      </w:r>
      <w:r>
        <w:rPr>
          <w:sz w:val="22"/>
          <w:u w:val="none"/>
        </w:rPr>
        <w:t>also</w:t>
      </w:r>
      <w:r>
        <w:rPr>
          <w:spacing w:val="-2"/>
          <w:sz w:val="22"/>
          <w:u w:val="none"/>
        </w:rPr>
        <w:t> </w:t>
      </w:r>
      <w:r>
        <w:rPr>
          <w:sz w:val="22"/>
          <w:u w:val="none"/>
        </w:rPr>
        <w:t>known</w:t>
      </w:r>
      <w:r>
        <w:rPr>
          <w:spacing w:val="-3"/>
          <w:sz w:val="22"/>
          <w:u w:val="none"/>
        </w:rPr>
        <w:t> </w:t>
      </w:r>
      <w:r>
        <w:rPr>
          <w:sz w:val="22"/>
          <w:u w:val="none"/>
        </w:rPr>
        <w:t>as</w:t>
      </w:r>
      <w:r>
        <w:rPr>
          <w:spacing w:val="-3"/>
          <w:sz w:val="22"/>
          <w:u w:val="none"/>
        </w:rPr>
        <w:t> </w:t>
      </w:r>
      <w:r>
        <w:rPr>
          <w:sz w:val="22"/>
          <w:u w:val="none"/>
        </w:rPr>
        <w:t>the</w:t>
      </w:r>
      <w:r>
        <w:rPr>
          <w:spacing w:val="-3"/>
          <w:sz w:val="22"/>
          <w:u w:val="none"/>
        </w:rPr>
        <w:t> </w:t>
      </w:r>
      <w:r>
        <w:rPr>
          <w:sz w:val="22"/>
          <w:u w:val="none"/>
        </w:rPr>
        <w:t>Safe</w:t>
      </w:r>
      <w:r>
        <w:rPr>
          <w:spacing w:val="-2"/>
          <w:sz w:val="22"/>
          <w:u w:val="none"/>
        </w:rPr>
        <w:t> </w:t>
      </w:r>
      <w:r>
        <w:rPr>
          <w:sz w:val="22"/>
          <w:u w:val="none"/>
        </w:rPr>
        <w:t>Communities</w:t>
      </w:r>
      <w:r>
        <w:rPr>
          <w:spacing w:val="-1"/>
          <w:sz w:val="22"/>
          <w:u w:val="none"/>
        </w:rPr>
        <w:t> </w:t>
      </w:r>
      <w:r>
        <w:rPr>
          <w:sz w:val="22"/>
          <w:u w:val="none"/>
        </w:rPr>
        <w:t>Act,</w:t>
      </w:r>
      <w:r>
        <w:rPr>
          <w:spacing w:val="-3"/>
          <w:sz w:val="22"/>
          <w:u w:val="none"/>
        </w:rPr>
        <w:t> </w:t>
      </w:r>
      <w:r>
        <w:rPr>
          <w:sz w:val="22"/>
          <w:u w:val="none"/>
        </w:rPr>
        <w:t>which</w:t>
      </w:r>
      <w:r>
        <w:rPr>
          <w:spacing w:val="-3"/>
          <w:sz w:val="22"/>
          <w:u w:val="none"/>
        </w:rPr>
        <w:t> </w:t>
      </w:r>
      <w:r>
        <w:rPr>
          <w:sz w:val="22"/>
          <w:u w:val="none"/>
        </w:rPr>
        <w:t>would</w:t>
      </w:r>
      <w:r>
        <w:rPr>
          <w:spacing w:val="-3"/>
          <w:sz w:val="22"/>
          <w:u w:val="none"/>
        </w:rPr>
        <w:t> </w:t>
      </w:r>
      <w:r>
        <w:rPr>
          <w:sz w:val="22"/>
          <w:u w:val="none"/>
        </w:rPr>
        <w:t>increase</w:t>
      </w:r>
      <w:r>
        <w:rPr>
          <w:spacing w:val="-2"/>
          <w:sz w:val="22"/>
          <w:u w:val="none"/>
        </w:rPr>
        <w:t> </w:t>
      </w:r>
      <w:r>
        <w:rPr>
          <w:sz w:val="22"/>
          <w:u w:val="none"/>
        </w:rPr>
        <w:t>access</w:t>
      </w:r>
      <w:r>
        <w:rPr>
          <w:spacing w:val="-3"/>
          <w:sz w:val="22"/>
          <w:u w:val="none"/>
        </w:rPr>
        <w:t> </w:t>
      </w:r>
      <w:r>
        <w:rPr>
          <w:sz w:val="22"/>
          <w:u w:val="none"/>
        </w:rPr>
        <w:t>to</w:t>
      </w:r>
      <w:r>
        <w:rPr>
          <w:spacing w:val="-1"/>
          <w:sz w:val="22"/>
          <w:u w:val="none"/>
        </w:rPr>
        <w:t> </w:t>
      </w:r>
      <w:r>
        <w:rPr>
          <w:sz w:val="22"/>
          <w:u w:val="none"/>
        </w:rPr>
        <w:t>court</w:t>
      </w:r>
      <w:r>
        <w:rPr>
          <w:spacing w:val="-3"/>
          <w:sz w:val="22"/>
          <w:u w:val="none"/>
        </w:rPr>
        <w:t> </w:t>
      </w:r>
      <w:r>
        <w:rPr>
          <w:sz w:val="22"/>
          <w:u w:val="none"/>
        </w:rPr>
        <w:t>and</w:t>
      </w:r>
      <w:r>
        <w:rPr>
          <w:spacing w:val="-3"/>
          <w:sz w:val="22"/>
          <w:u w:val="none"/>
        </w:rPr>
        <w:t> </w:t>
      </w:r>
      <w:r>
        <w:rPr>
          <w:sz w:val="22"/>
          <w:u w:val="none"/>
        </w:rPr>
        <w:t>police protection for undocumented youth by ending local and state involvement in civil immigration enforcement.</w:t>
      </w:r>
      <w:r>
        <w:rPr>
          <w:spacing w:val="-2"/>
          <w:sz w:val="22"/>
          <w:u w:val="none"/>
        </w:rPr>
        <w:t> </w:t>
      </w:r>
      <w:r>
        <w:rPr>
          <w:sz w:val="22"/>
          <w:u w:val="none"/>
        </w:rPr>
        <w:t>The</w:t>
      </w:r>
      <w:r>
        <w:rPr>
          <w:spacing w:val="-2"/>
          <w:sz w:val="22"/>
          <w:u w:val="none"/>
        </w:rPr>
        <w:t> </w:t>
      </w:r>
      <w:r>
        <w:rPr>
          <w:sz w:val="22"/>
          <w:u w:val="none"/>
        </w:rPr>
        <w:t>Commission</w:t>
      </w:r>
      <w:r>
        <w:rPr>
          <w:spacing w:val="-3"/>
          <w:sz w:val="22"/>
          <w:u w:val="none"/>
        </w:rPr>
        <w:t> </w:t>
      </w:r>
      <w:r>
        <w:rPr>
          <w:sz w:val="22"/>
          <w:u w:val="none"/>
        </w:rPr>
        <w:t>further</w:t>
      </w:r>
      <w:r>
        <w:rPr>
          <w:spacing w:val="-1"/>
          <w:sz w:val="22"/>
          <w:u w:val="none"/>
        </w:rPr>
        <w:t> </w:t>
      </w:r>
      <w:r>
        <w:rPr>
          <w:sz w:val="22"/>
          <w:u w:val="none"/>
        </w:rPr>
        <w:t>supports</w:t>
      </w:r>
      <w:r>
        <w:rPr>
          <w:spacing w:val="-2"/>
          <w:sz w:val="22"/>
          <w:u w:val="none"/>
        </w:rPr>
        <w:t> </w:t>
      </w:r>
      <w:r>
        <w:rPr>
          <w:sz w:val="22"/>
          <w:u w:val="none"/>
        </w:rPr>
        <w:t>the</w:t>
      </w:r>
      <w:r>
        <w:rPr>
          <w:spacing w:val="-2"/>
          <w:sz w:val="22"/>
          <w:u w:val="none"/>
        </w:rPr>
        <w:t> </w:t>
      </w:r>
      <w:r>
        <w:rPr>
          <w:sz w:val="22"/>
          <w:u w:val="none"/>
        </w:rPr>
        <w:t>Tuition</w:t>
      </w:r>
      <w:r>
        <w:rPr>
          <w:spacing w:val="-2"/>
          <w:sz w:val="22"/>
          <w:u w:val="none"/>
        </w:rPr>
        <w:t> </w:t>
      </w:r>
      <w:r>
        <w:rPr>
          <w:sz w:val="22"/>
          <w:u w:val="none"/>
        </w:rPr>
        <w:t>Equity</w:t>
      </w:r>
      <w:r>
        <w:rPr>
          <w:spacing w:val="-1"/>
          <w:sz w:val="22"/>
          <w:u w:val="none"/>
        </w:rPr>
        <w:t> </w:t>
      </w:r>
      <w:r>
        <w:rPr>
          <w:sz w:val="22"/>
          <w:u w:val="none"/>
        </w:rPr>
        <w:t>Act,</w:t>
      </w:r>
      <w:r>
        <w:rPr>
          <w:spacing w:val="-3"/>
          <w:sz w:val="22"/>
          <w:u w:val="none"/>
        </w:rPr>
        <w:t> </w:t>
      </w:r>
      <w:r>
        <w:rPr>
          <w:i/>
          <w:sz w:val="22"/>
          <w:u w:val="none"/>
        </w:rPr>
        <w:t>An</w:t>
      </w:r>
      <w:r>
        <w:rPr>
          <w:i/>
          <w:spacing w:val="-3"/>
          <w:sz w:val="22"/>
          <w:u w:val="none"/>
        </w:rPr>
        <w:t> </w:t>
      </w:r>
      <w:r>
        <w:rPr>
          <w:i/>
          <w:sz w:val="22"/>
          <w:u w:val="none"/>
        </w:rPr>
        <w:t>Act</w:t>
      </w:r>
      <w:r>
        <w:rPr>
          <w:i/>
          <w:spacing w:val="-3"/>
          <w:sz w:val="22"/>
          <w:u w:val="none"/>
        </w:rPr>
        <w:t> </w:t>
      </w:r>
      <w:r>
        <w:rPr>
          <w:i/>
          <w:sz w:val="22"/>
          <w:u w:val="none"/>
        </w:rPr>
        <w:t>Providing</w:t>
      </w:r>
      <w:r>
        <w:rPr>
          <w:i/>
          <w:spacing w:val="-3"/>
          <w:sz w:val="22"/>
          <w:u w:val="none"/>
        </w:rPr>
        <w:t> </w:t>
      </w:r>
      <w:r>
        <w:rPr>
          <w:i/>
          <w:sz w:val="22"/>
          <w:u w:val="none"/>
        </w:rPr>
        <w:t>Access</w:t>
      </w:r>
      <w:r>
        <w:rPr>
          <w:i/>
          <w:spacing w:val="-3"/>
          <w:sz w:val="22"/>
          <w:u w:val="none"/>
        </w:rPr>
        <w:t> </w:t>
      </w:r>
      <w:r>
        <w:rPr>
          <w:i/>
          <w:sz w:val="22"/>
          <w:u w:val="none"/>
        </w:rPr>
        <w:t>to</w:t>
      </w:r>
      <w:r>
        <w:rPr>
          <w:i/>
          <w:spacing w:val="-2"/>
          <w:sz w:val="22"/>
          <w:u w:val="none"/>
        </w:rPr>
        <w:t> </w:t>
      </w:r>
      <w:r>
        <w:rPr>
          <w:i/>
          <w:sz w:val="22"/>
          <w:u w:val="none"/>
        </w:rPr>
        <w:t>Higher</w:t>
      </w:r>
      <w:r>
        <w:rPr>
          <w:i/>
          <w:sz w:val="22"/>
          <w:u w:val="none"/>
        </w:rPr>
        <w:t> Education for High School Graduates in the Commonwealth </w:t>
      </w:r>
      <w:r>
        <w:rPr>
          <w:sz w:val="22"/>
          <w:u w:val="none"/>
        </w:rPr>
        <w:t>(</w:t>
      </w:r>
      <w:hyperlink r:id="rId562">
        <w:r>
          <w:rPr>
            <w:color w:val="1153CC"/>
            <w:sz w:val="22"/>
            <w:u w:val="single" w:color="1153CC"/>
          </w:rPr>
          <w:t>S. 817</w:t>
        </w:r>
      </w:hyperlink>
      <w:r>
        <w:rPr>
          <w:sz w:val="22"/>
          <w:u w:val="none"/>
        </w:rPr>
        <w:t>/</w:t>
      </w:r>
      <w:hyperlink r:id="rId563">
        <w:r>
          <w:rPr>
            <w:color w:val="1153CC"/>
            <w:sz w:val="22"/>
            <w:u w:val="single" w:color="1153CC"/>
          </w:rPr>
          <w:t>H.1281</w:t>
        </w:r>
      </w:hyperlink>
      <w:r>
        <w:rPr>
          <w:sz w:val="22"/>
          <w:u w:val="none"/>
        </w:rPr>
        <w:t>) to increase access to state financial aid and in-state tuition for undocumented youth who graduated from a Massachusetts high school,</w:t>
      </w:r>
      <w:r>
        <w:rPr>
          <w:spacing w:val="-13"/>
          <w:sz w:val="22"/>
          <w:u w:val="none"/>
        </w:rPr>
        <w:t> </w:t>
      </w:r>
      <w:r>
        <w:rPr>
          <w:sz w:val="22"/>
          <w:u w:val="none"/>
        </w:rPr>
        <w:t>and</w:t>
      </w:r>
      <w:r>
        <w:rPr>
          <w:spacing w:val="-12"/>
          <w:sz w:val="22"/>
          <w:u w:val="none"/>
        </w:rPr>
        <w:t> </w:t>
      </w:r>
      <w:r>
        <w:rPr>
          <w:i/>
          <w:sz w:val="22"/>
          <w:u w:val="none"/>
        </w:rPr>
        <w:t>An</w:t>
      </w:r>
      <w:r>
        <w:rPr>
          <w:i/>
          <w:spacing w:val="-13"/>
          <w:sz w:val="22"/>
          <w:u w:val="none"/>
        </w:rPr>
        <w:t> </w:t>
      </w:r>
      <w:r>
        <w:rPr>
          <w:i/>
          <w:sz w:val="22"/>
          <w:u w:val="none"/>
        </w:rPr>
        <w:t>Act</w:t>
      </w:r>
      <w:r>
        <w:rPr>
          <w:i/>
          <w:spacing w:val="-12"/>
          <w:sz w:val="22"/>
          <w:u w:val="none"/>
        </w:rPr>
        <w:t> </w:t>
      </w:r>
      <w:r>
        <w:rPr>
          <w:i/>
          <w:sz w:val="22"/>
          <w:u w:val="none"/>
        </w:rPr>
        <w:t>to</w:t>
      </w:r>
      <w:r>
        <w:rPr>
          <w:i/>
          <w:spacing w:val="-13"/>
          <w:sz w:val="22"/>
          <w:u w:val="none"/>
        </w:rPr>
        <w:t> </w:t>
      </w:r>
      <w:r>
        <w:rPr>
          <w:i/>
          <w:sz w:val="22"/>
          <w:u w:val="none"/>
        </w:rPr>
        <w:t>Ensure</w:t>
      </w:r>
      <w:r>
        <w:rPr>
          <w:i/>
          <w:spacing w:val="-12"/>
          <w:sz w:val="22"/>
          <w:u w:val="none"/>
        </w:rPr>
        <w:t> </w:t>
      </w:r>
      <w:r>
        <w:rPr>
          <w:i/>
          <w:sz w:val="22"/>
          <w:u w:val="none"/>
        </w:rPr>
        <w:t>Equitable</w:t>
      </w:r>
      <w:r>
        <w:rPr>
          <w:i/>
          <w:spacing w:val="-13"/>
          <w:sz w:val="22"/>
          <w:u w:val="none"/>
        </w:rPr>
        <w:t> </w:t>
      </w:r>
      <w:r>
        <w:rPr>
          <w:i/>
          <w:sz w:val="22"/>
          <w:u w:val="none"/>
        </w:rPr>
        <w:t>Health</w:t>
      </w:r>
      <w:r>
        <w:rPr>
          <w:i/>
          <w:spacing w:val="-12"/>
          <w:sz w:val="22"/>
          <w:u w:val="none"/>
        </w:rPr>
        <w:t> </w:t>
      </w:r>
      <w:r>
        <w:rPr>
          <w:i/>
          <w:sz w:val="22"/>
          <w:u w:val="none"/>
        </w:rPr>
        <w:t>Coverage</w:t>
      </w:r>
      <w:r>
        <w:rPr>
          <w:i/>
          <w:spacing w:val="-12"/>
          <w:sz w:val="22"/>
          <w:u w:val="none"/>
        </w:rPr>
        <w:t> </w:t>
      </w:r>
      <w:r>
        <w:rPr>
          <w:i/>
          <w:sz w:val="22"/>
          <w:u w:val="none"/>
        </w:rPr>
        <w:t>for</w:t>
      </w:r>
      <w:r>
        <w:rPr>
          <w:i/>
          <w:spacing w:val="-13"/>
          <w:sz w:val="22"/>
          <w:u w:val="none"/>
        </w:rPr>
        <w:t> </w:t>
      </w:r>
      <w:r>
        <w:rPr>
          <w:i/>
          <w:sz w:val="22"/>
          <w:u w:val="none"/>
        </w:rPr>
        <w:t>Children</w:t>
      </w:r>
      <w:r>
        <w:rPr>
          <w:sz w:val="22"/>
          <w:u w:val="none"/>
        </w:rPr>
        <w:t>,</w:t>
      </w:r>
      <w:r>
        <w:rPr>
          <w:spacing w:val="-12"/>
          <w:sz w:val="22"/>
          <w:u w:val="none"/>
        </w:rPr>
        <w:t> </w:t>
      </w:r>
      <w:r>
        <w:rPr>
          <w:sz w:val="22"/>
          <w:u w:val="none"/>
        </w:rPr>
        <w:t>(</w:t>
      </w:r>
      <w:hyperlink r:id="rId564">
        <w:r>
          <w:rPr>
            <w:color w:val="1153CC"/>
            <w:sz w:val="22"/>
            <w:u w:val="single" w:color="1153CC"/>
          </w:rPr>
          <w:t>S.740</w:t>
        </w:r>
      </w:hyperlink>
      <w:r>
        <w:rPr>
          <w:sz w:val="22"/>
          <w:u w:val="none"/>
        </w:rPr>
        <w:t>/</w:t>
      </w:r>
      <w:hyperlink r:id="rId565">
        <w:r>
          <w:rPr>
            <w:color w:val="1153CC"/>
            <w:sz w:val="22"/>
            <w:u w:val="single" w:color="1153CC"/>
          </w:rPr>
          <w:t>H.1237</w:t>
        </w:r>
      </w:hyperlink>
      <w:r>
        <w:rPr>
          <w:sz w:val="22"/>
          <w:u w:val="none"/>
        </w:rPr>
        <w:t>)</w:t>
      </w:r>
      <w:r>
        <w:rPr>
          <w:spacing w:val="-13"/>
          <w:sz w:val="22"/>
          <w:u w:val="none"/>
        </w:rPr>
        <w:t> </w:t>
      </w:r>
      <w:r>
        <w:rPr>
          <w:sz w:val="22"/>
          <w:u w:val="none"/>
        </w:rPr>
        <w:t>which</w:t>
      </w:r>
      <w:r>
        <w:rPr>
          <w:spacing w:val="-12"/>
          <w:sz w:val="22"/>
          <w:u w:val="none"/>
        </w:rPr>
        <w:t> </w:t>
      </w:r>
      <w:r>
        <w:rPr>
          <w:sz w:val="22"/>
          <w:u w:val="none"/>
        </w:rPr>
        <w:t>would</w:t>
      </w:r>
      <w:r>
        <w:rPr>
          <w:spacing w:val="-13"/>
          <w:sz w:val="22"/>
          <w:u w:val="none"/>
        </w:rPr>
        <w:t> </w:t>
      </w:r>
      <w:r>
        <w:rPr>
          <w:sz w:val="22"/>
          <w:u w:val="none"/>
        </w:rPr>
        <w:t>broaden youth eligibility for MassHealth coverage.</w:t>
      </w:r>
    </w:p>
    <w:p>
      <w:pPr>
        <w:spacing w:before="239"/>
        <w:ind w:left="463" w:right="0" w:firstLine="0"/>
        <w:jc w:val="both"/>
        <w:rPr>
          <w:sz w:val="28"/>
        </w:rPr>
      </w:pPr>
      <w:r>
        <w:rPr/>
        <mc:AlternateContent>
          <mc:Choice Requires="wps">
            <w:drawing>
              <wp:anchor distT="0" distB="0" distL="0" distR="0" allowOverlap="1" layoutInCell="1" locked="0" behindDoc="1" simplePos="0" relativeHeight="487668736">
                <wp:simplePos x="0" y="0"/>
                <wp:positionH relativeFrom="page">
                  <wp:posOffset>889000</wp:posOffset>
                </wp:positionH>
                <wp:positionV relativeFrom="paragraph">
                  <wp:posOffset>381466</wp:posOffset>
                </wp:positionV>
                <wp:extent cx="5985510" cy="37465"/>
                <wp:effectExtent l="0" t="0" r="0" b="0"/>
                <wp:wrapTopAndBottom/>
                <wp:docPr id="431" name="Group 431"/>
                <wp:cNvGraphicFramePr>
                  <a:graphicFrameLocks/>
                </wp:cNvGraphicFramePr>
                <a:graphic>
                  <a:graphicData uri="http://schemas.microsoft.com/office/word/2010/wordprocessingGroup">
                    <wpg:wgp>
                      <wpg:cNvPr id="431" name="Group 431"/>
                      <wpg:cNvGrpSpPr/>
                      <wpg:grpSpPr>
                        <a:xfrm>
                          <a:off x="0" y="0"/>
                          <a:ext cx="5985510" cy="37465"/>
                          <a:chExt cx="5985510" cy="37465"/>
                        </a:xfrm>
                      </wpg:grpSpPr>
                      <wps:wsp>
                        <wps:cNvPr id="432" name="Graphic 432"/>
                        <wps:cNvSpPr/>
                        <wps:spPr>
                          <a:xfrm>
                            <a:off x="8636" y="0"/>
                            <a:ext cx="5976620" cy="6350"/>
                          </a:xfrm>
                          <a:custGeom>
                            <a:avLst/>
                            <a:gdLst/>
                            <a:ahLst/>
                            <a:cxnLst/>
                            <a:rect l="l" t="t" r="r" b="b"/>
                            <a:pathLst>
                              <a:path w="5976620" h="6350">
                                <a:moveTo>
                                  <a:pt x="5976366" y="0"/>
                                </a:moveTo>
                                <a:lnTo>
                                  <a:pt x="0" y="0"/>
                                </a:lnTo>
                                <a:lnTo>
                                  <a:pt x="0" y="6096"/>
                                </a:lnTo>
                                <a:lnTo>
                                  <a:pt x="5976366" y="6096"/>
                                </a:lnTo>
                                <a:lnTo>
                                  <a:pt x="5976366" y="0"/>
                                </a:lnTo>
                                <a:close/>
                              </a:path>
                            </a:pathLst>
                          </a:custGeom>
                          <a:solidFill>
                            <a:srgbClr val="4F81BC"/>
                          </a:solidFill>
                        </wps:spPr>
                        <wps:bodyPr wrap="square" lIns="0" tIns="0" rIns="0" bIns="0" rtlCol="0">
                          <a:prstTxWarp prst="textNoShape">
                            <a:avLst/>
                          </a:prstTxWarp>
                          <a:noAutofit/>
                        </wps:bodyPr>
                      </wps:wsp>
                      <wps:wsp>
                        <wps:cNvPr id="433" name="Graphic 433"/>
                        <wps:cNvSpPr/>
                        <wps:spPr>
                          <a:xfrm>
                            <a:off x="0" y="24917"/>
                            <a:ext cx="6350" cy="12700"/>
                          </a:xfrm>
                          <a:custGeom>
                            <a:avLst/>
                            <a:gdLst/>
                            <a:ahLst/>
                            <a:cxnLst/>
                            <a:rect l="l" t="t" r="r" b="b"/>
                            <a:pathLst>
                              <a:path w="6350" h="12700">
                                <a:moveTo>
                                  <a:pt x="6337" y="0"/>
                                </a:moveTo>
                                <a:lnTo>
                                  <a:pt x="0" y="0"/>
                                </a:lnTo>
                                <a:lnTo>
                                  <a:pt x="0" y="12204"/>
                                </a:lnTo>
                                <a:lnTo>
                                  <a:pt x="6337" y="12204"/>
                                </a:lnTo>
                                <a:lnTo>
                                  <a:pt x="6337" y="0"/>
                                </a:lnTo>
                                <a:close/>
                              </a:path>
                            </a:pathLst>
                          </a:custGeom>
                          <a:solidFill>
                            <a:srgbClr val="0F6DC5"/>
                          </a:solidFill>
                        </wps:spPr>
                        <wps:bodyPr wrap="square" lIns="0" tIns="0" rIns="0" bIns="0" rtlCol="0">
                          <a:prstTxWarp prst="textNoShape">
                            <a:avLst/>
                          </a:prstTxWarp>
                          <a:noAutofit/>
                        </wps:bodyPr>
                      </wps:wsp>
                    </wpg:wgp>
                  </a:graphicData>
                </a:graphic>
              </wp:anchor>
            </w:drawing>
          </mc:Choice>
          <mc:Fallback>
            <w:pict>
              <v:group style="position:absolute;margin-left:70pt;margin-top:30.036758pt;width:471.3pt;height:2.95pt;mso-position-horizontal-relative:page;mso-position-vertical-relative:paragraph;z-index:-15647744;mso-wrap-distance-left:0;mso-wrap-distance-right:0" id="docshapegroup346" coordorigin="1400,601" coordsize="9426,59">
                <v:rect style="position:absolute;left:1413;top:600;width:9412;height:10" id="docshape347" filled="true" fillcolor="#4f81bc" stroked="false">
                  <v:fill type="solid"/>
                </v:rect>
                <v:rect style="position:absolute;left:1400;top:639;width:10;height:20" id="docshape348" filled="true" fillcolor="#0f6dc5" stroked="false">
                  <v:fill type="solid"/>
                </v:rect>
                <w10:wrap type="topAndBottom"/>
              </v:group>
            </w:pict>
          </mc:Fallback>
        </mc:AlternateContent>
      </w:r>
      <w:bookmarkStart w:name="National &amp; State Immigration Context" w:id="779"/>
      <w:bookmarkEnd w:id="779"/>
      <w:r>
        <w:rPr/>
      </w:r>
      <w:r>
        <w:rPr>
          <w:color w:val="365F91"/>
          <w:sz w:val="28"/>
        </w:rPr>
        <w:t>National</w:t>
      </w:r>
      <w:r>
        <w:rPr>
          <w:color w:val="365F91"/>
          <w:spacing w:val="-10"/>
          <w:sz w:val="28"/>
        </w:rPr>
        <w:t> </w:t>
      </w:r>
      <w:r>
        <w:rPr>
          <w:color w:val="365F91"/>
          <w:sz w:val="28"/>
        </w:rPr>
        <w:t>&amp;</w:t>
      </w:r>
      <w:r>
        <w:rPr>
          <w:color w:val="365F91"/>
          <w:spacing w:val="-10"/>
          <w:sz w:val="28"/>
        </w:rPr>
        <w:t> </w:t>
      </w:r>
      <w:r>
        <w:rPr>
          <w:color w:val="365F91"/>
          <w:sz w:val="28"/>
        </w:rPr>
        <w:t>State</w:t>
      </w:r>
      <w:r>
        <w:rPr>
          <w:color w:val="365F91"/>
          <w:spacing w:val="-9"/>
          <w:sz w:val="28"/>
        </w:rPr>
        <w:t> </w:t>
      </w:r>
      <w:r>
        <w:rPr>
          <w:color w:val="365F91"/>
          <w:sz w:val="28"/>
        </w:rPr>
        <w:t>Immigration</w:t>
      </w:r>
      <w:r>
        <w:rPr>
          <w:color w:val="365F91"/>
          <w:spacing w:val="-11"/>
          <w:sz w:val="28"/>
        </w:rPr>
        <w:t> </w:t>
      </w:r>
      <w:r>
        <w:rPr>
          <w:color w:val="365F91"/>
          <w:spacing w:val="-2"/>
          <w:sz w:val="28"/>
        </w:rPr>
        <w:t>Context</w:t>
      </w:r>
    </w:p>
    <w:p>
      <w:pPr>
        <w:pStyle w:val="BodyText"/>
        <w:spacing w:line="276" w:lineRule="auto" w:before="193"/>
        <w:ind w:left="463"/>
      </w:pPr>
      <w:r>
        <w:rPr/>
        <w:t>Individuals</w:t>
      </w:r>
      <w:r>
        <w:rPr>
          <w:spacing w:val="-5"/>
        </w:rPr>
        <w:t> </w:t>
      </w:r>
      <w:r>
        <w:rPr/>
        <w:t>choose</w:t>
      </w:r>
      <w:r>
        <w:rPr>
          <w:spacing w:val="-7"/>
        </w:rPr>
        <w:t> </w:t>
      </w:r>
      <w:r>
        <w:rPr/>
        <w:t>to</w:t>
      </w:r>
      <w:r>
        <w:rPr>
          <w:spacing w:val="-6"/>
        </w:rPr>
        <w:t> </w:t>
      </w:r>
      <w:r>
        <w:rPr/>
        <w:t>immigrate</w:t>
      </w:r>
      <w:r>
        <w:rPr>
          <w:spacing w:val="-7"/>
        </w:rPr>
        <w:t> </w:t>
      </w:r>
      <w:r>
        <w:rPr/>
        <w:t>or</w:t>
      </w:r>
      <w:r>
        <w:rPr>
          <w:spacing w:val="-6"/>
        </w:rPr>
        <w:t> </w:t>
      </w:r>
      <w:r>
        <w:rPr/>
        <w:t>seek</w:t>
      </w:r>
      <w:r>
        <w:rPr>
          <w:spacing w:val="-4"/>
        </w:rPr>
        <w:t> </w:t>
      </w:r>
      <w:r>
        <w:rPr/>
        <w:t>asylum</w:t>
      </w:r>
      <w:r>
        <w:rPr>
          <w:spacing w:val="-7"/>
        </w:rPr>
        <w:t> </w:t>
      </w:r>
      <w:r>
        <w:rPr/>
        <w:t>in</w:t>
      </w:r>
      <w:r>
        <w:rPr>
          <w:spacing w:val="-6"/>
        </w:rPr>
        <w:t> </w:t>
      </w:r>
      <w:r>
        <w:rPr/>
        <w:t>the</w:t>
      </w:r>
      <w:r>
        <w:rPr>
          <w:spacing w:val="-5"/>
        </w:rPr>
        <w:t> </w:t>
      </w:r>
      <w:r>
        <w:rPr/>
        <w:t>United</w:t>
      </w:r>
      <w:r>
        <w:rPr>
          <w:spacing w:val="-6"/>
        </w:rPr>
        <w:t> </w:t>
      </w:r>
      <w:r>
        <w:rPr/>
        <w:t>States</w:t>
      </w:r>
      <w:r>
        <w:rPr>
          <w:spacing w:val="-6"/>
        </w:rPr>
        <w:t> </w:t>
      </w:r>
      <w:r>
        <w:rPr/>
        <w:t>for</w:t>
      </w:r>
      <w:r>
        <w:rPr>
          <w:spacing w:val="-6"/>
        </w:rPr>
        <w:t> </w:t>
      </w:r>
      <w:r>
        <w:rPr/>
        <w:t>a</w:t>
      </w:r>
      <w:r>
        <w:rPr>
          <w:spacing w:val="-6"/>
        </w:rPr>
        <w:t> </w:t>
      </w:r>
      <w:r>
        <w:rPr/>
        <w:t>variety</w:t>
      </w:r>
      <w:r>
        <w:rPr>
          <w:spacing w:val="-6"/>
        </w:rPr>
        <w:t> </w:t>
      </w:r>
      <w:r>
        <w:rPr/>
        <w:t>of</w:t>
      </w:r>
      <w:r>
        <w:rPr>
          <w:spacing w:val="-6"/>
        </w:rPr>
        <w:t> </w:t>
      </w:r>
      <w:r>
        <w:rPr/>
        <w:t>reasons,</w:t>
      </w:r>
      <w:r>
        <w:rPr>
          <w:spacing w:val="-6"/>
        </w:rPr>
        <w:t> </w:t>
      </w:r>
      <w:r>
        <w:rPr/>
        <w:t>such</w:t>
      </w:r>
      <w:r>
        <w:rPr>
          <w:spacing w:val="-6"/>
        </w:rPr>
        <w:t> </w:t>
      </w:r>
      <w:r>
        <w:rPr/>
        <w:t>as</w:t>
      </w:r>
      <w:r>
        <w:rPr>
          <w:spacing w:val="-6"/>
        </w:rPr>
        <w:t> </w:t>
      </w:r>
      <w:r>
        <w:rPr/>
        <w:t>work opportunities,</w:t>
      </w:r>
      <w:r>
        <w:rPr>
          <w:spacing w:val="60"/>
        </w:rPr>
        <w:t> </w:t>
      </w:r>
      <w:r>
        <w:rPr/>
        <w:t>access</w:t>
      </w:r>
      <w:r>
        <w:rPr>
          <w:spacing w:val="60"/>
        </w:rPr>
        <w:t> </w:t>
      </w:r>
      <w:r>
        <w:rPr/>
        <w:t>to</w:t>
      </w:r>
      <w:r>
        <w:rPr>
          <w:spacing w:val="62"/>
        </w:rPr>
        <w:t> </w:t>
      </w:r>
      <w:r>
        <w:rPr/>
        <w:t>education</w:t>
      </w:r>
      <w:r>
        <w:rPr>
          <w:spacing w:val="60"/>
        </w:rPr>
        <w:t> </w:t>
      </w:r>
      <w:r>
        <w:rPr/>
        <w:t>and</w:t>
      </w:r>
      <w:r>
        <w:rPr>
          <w:spacing w:val="60"/>
        </w:rPr>
        <w:t> </w:t>
      </w:r>
      <w:r>
        <w:rPr/>
        <w:t>medical</w:t>
      </w:r>
      <w:r>
        <w:rPr>
          <w:spacing w:val="61"/>
        </w:rPr>
        <w:t> </w:t>
      </w:r>
      <w:r>
        <w:rPr/>
        <w:t>services,</w:t>
      </w:r>
      <w:r>
        <w:rPr>
          <w:spacing w:val="60"/>
        </w:rPr>
        <w:t> </w:t>
      </w:r>
      <w:r>
        <w:rPr/>
        <w:t>and</w:t>
      </w:r>
      <w:r>
        <w:rPr>
          <w:spacing w:val="61"/>
        </w:rPr>
        <w:t> </w:t>
      </w:r>
      <w:r>
        <w:rPr/>
        <w:t>other</w:t>
      </w:r>
      <w:r>
        <w:rPr>
          <w:spacing w:val="61"/>
        </w:rPr>
        <w:t> </w:t>
      </w:r>
      <w:r>
        <w:rPr/>
        <w:t>conditions</w:t>
      </w:r>
      <w:r>
        <w:rPr>
          <w:spacing w:val="60"/>
        </w:rPr>
        <w:t> </w:t>
      </w:r>
      <w:r>
        <w:rPr/>
        <w:t>that</w:t>
      </w:r>
      <w:r>
        <w:rPr>
          <w:spacing w:val="61"/>
        </w:rPr>
        <w:t> </w:t>
      </w:r>
      <w:r>
        <w:rPr/>
        <w:t>influence</w:t>
      </w:r>
      <w:r>
        <w:rPr>
          <w:spacing w:val="60"/>
        </w:rPr>
        <w:t> </w:t>
      </w:r>
      <w:r>
        <w:rPr>
          <w:spacing w:val="-5"/>
        </w:rPr>
        <w:t>an</w:t>
      </w:r>
    </w:p>
    <w:p>
      <w:pPr>
        <w:spacing w:after="0" w:line="276" w:lineRule="auto"/>
        <w:sectPr>
          <w:pgSz w:w="12240" w:h="15840"/>
          <w:pgMar w:header="805" w:footer="1208" w:top="1080" w:bottom="1460" w:left="980" w:right="1180"/>
        </w:sectPr>
      </w:pPr>
    </w:p>
    <w:p>
      <w:pPr>
        <w:pStyle w:val="BodyText"/>
        <w:spacing w:line="276" w:lineRule="auto" w:before="69"/>
        <w:ind w:left="463" w:right="262"/>
        <w:jc w:val="both"/>
      </w:pPr>
      <w:r>
        <w:rPr/>
        <w:t>individual’s quality of life. </w:t>
      </w:r>
      <w:hyperlink w:history="true" w:anchor="_bookmark533">
        <w:r>
          <w:rPr>
            <w:vertAlign w:val="superscript"/>
          </w:rPr>
          <w:t>3</w:t>
        </w:r>
      </w:hyperlink>
      <w:r>
        <w:rPr>
          <w:vertAlign w:val="baseline"/>
        </w:rPr>
        <w:t> LGBTQ individuals often migrate to the U.S. to escape persecution and oppression</w:t>
      </w:r>
      <w:r>
        <w:rPr>
          <w:spacing w:val="-3"/>
          <w:vertAlign w:val="baseline"/>
        </w:rPr>
        <w:t> </w:t>
      </w:r>
      <w:r>
        <w:rPr>
          <w:vertAlign w:val="baseline"/>
        </w:rPr>
        <w:t>due</w:t>
      </w:r>
      <w:r>
        <w:rPr>
          <w:spacing w:val="-2"/>
          <w:vertAlign w:val="baseline"/>
        </w:rPr>
        <w:t> </w:t>
      </w:r>
      <w:r>
        <w:rPr>
          <w:vertAlign w:val="baseline"/>
        </w:rPr>
        <w:t>to</w:t>
      </w:r>
      <w:r>
        <w:rPr>
          <w:spacing w:val="-2"/>
          <w:vertAlign w:val="baseline"/>
        </w:rPr>
        <w:t> </w:t>
      </w:r>
      <w:r>
        <w:rPr>
          <w:vertAlign w:val="baseline"/>
        </w:rPr>
        <w:t>their</w:t>
      </w:r>
      <w:r>
        <w:rPr>
          <w:spacing w:val="-2"/>
          <w:vertAlign w:val="baseline"/>
        </w:rPr>
        <w:t> </w:t>
      </w:r>
      <w:r>
        <w:rPr>
          <w:vertAlign w:val="baseline"/>
        </w:rPr>
        <w:t>sexual</w:t>
      </w:r>
      <w:r>
        <w:rPr>
          <w:spacing w:val="-3"/>
          <w:vertAlign w:val="baseline"/>
        </w:rPr>
        <w:t> </w:t>
      </w:r>
      <w:r>
        <w:rPr>
          <w:vertAlign w:val="baseline"/>
        </w:rPr>
        <w:t>orientation</w:t>
      </w:r>
      <w:r>
        <w:rPr>
          <w:spacing w:val="-3"/>
          <w:vertAlign w:val="baseline"/>
        </w:rPr>
        <w:t> </w:t>
      </w:r>
      <w:r>
        <w:rPr>
          <w:vertAlign w:val="baseline"/>
        </w:rPr>
        <w:t>or</w:t>
      </w:r>
      <w:r>
        <w:rPr>
          <w:spacing w:val="-2"/>
          <w:vertAlign w:val="baseline"/>
        </w:rPr>
        <w:t> </w:t>
      </w:r>
      <w:r>
        <w:rPr>
          <w:vertAlign w:val="baseline"/>
        </w:rPr>
        <w:t>gender</w:t>
      </w:r>
      <w:r>
        <w:rPr>
          <w:spacing w:val="-1"/>
          <w:vertAlign w:val="baseline"/>
        </w:rPr>
        <w:t> </w:t>
      </w:r>
      <w:r>
        <w:rPr>
          <w:vertAlign w:val="baseline"/>
        </w:rPr>
        <w:t>identity.</w:t>
      </w:r>
      <w:r>
        <w:rPr>
          <w:spacing w:val="-2"/>
          <w:vertAlign w:val="baseline"/>
        </w:rPr>
        <w:t> </w:t>
      </w:r>
      <w:r>
        <w:rPr>
          <w:vertAlign w:val="baseline"/>
        </w:rPr>
        <w:t>According</w:t>
      </w:r>
      <w:r>
        <w:rPr>
          <w:spacing w:val="-3"/>
          <w:vertAlign w:val="baseline"/>
        </w:rPr>
        <w:t> </w:t>
      </w:r>
      <w:r>
        <w:rPr>
          <w:vertAlign w:val="baseline"/>
        </w:rPr>
        <w:t>to</w:t>
      </w:r>
      <w:r>
        <w:rPr>
          <w:spacing w:val="-2"/>
          <w:vertAlign w:val="baseline"/>
        </w:rPr>
        <w:t> </w:t>
      </w:r>
      <w:r>
        <w:rPr>
          <w:vertAlign w:val="baseline"/>
        </w:rPr>
        <w:t>Human</w:t>
      </w:r>
      <w:r>
        <w:rPr>
          <w:spacing w:val="-2"/>
          <w:vertAlign w:val="baseline"/>
        </w:rPr>
        <w:t> </w:t>
      </w:r>
      <w:r>
        <w:rPr>
          <w:vertAlign w:val="baseline"/>
        </w:rPr>
        <w:t>Rights</w:t>
      </w:r>
      <w:r>
        <w:rPr>
          <w:spacing w:val="-3"/>
          <w:vertAlign w:val="baseline"/>
        </w:rPr>
        <w:t> </w:t>
      </w:r>
      <w:r>
        <w:rPr>
          <w:vertAlign w:val="baseline"/>
        </w:rPr>
        <w:t>Watch,</w:t>
      </w:r>
      <w:r>
        <w:rPr>
          <w:spacing w:val="-2"/>
          <w:vertAlign w:val="baseline"/>
        </w:rPr>
        <w:t> </w:t>
      </w:r>
      <w:r>
        <w:rPr>
          <w:vertAlign w:val="baseline"/>
        </w:rPr>
        <w:t>at</w:t>
      </w:r>
      <w:r>
        <w:rPr>
          <w:spacing w:val="-2"/>
          <w:vertAlign w:val="baseline"/>
        </w:rPr>
        <w:t> </w:t>
      </w:r>
      <w:r>
        <w:rPr>
          <w:vertAlign w:val="baseline"/>
        </w:rPr>
        <w:t>least sixty-seven countries have national laws criminalizing same-sex relations between consenting adults</w:t>
      </w:r>
      <w:hyperlink w:history="true" w:anchor="_bookmark533">
        <w:r>
          <w:rPr>
            <w:vertAlign w:val="baseline"/>
          </w:rPr>
          <w:t>.</w:t>
        </w:r>
        <w:r>
          <w:rPr>
            <w:vertAlign w:val="superscript"/>
          </w:rPr>
          <w:t>4</w:t>
        </w:r>
      </w:hyperlink>
      <w:r>
        <w:rPr>
          <w:vertAlign w:val="baseline"/>
        </w:rPr>
        <w:t> In addition, at least nine countries have national laws criminalizing forms of gender expression that target transgender and gender-nonconforming people.</w:t>
      </w:r>
      <w:hyperlink w:history="true" w:anchor="_bookmark534">
        <w:r>
          <w:rPr>
            <w:vertAlign w:val="superscript"/>
          </w:rPr>
          <w:t>5</w:t>
        </w:r>
      </w:hyperlink>
    </w:p>
    <w:p>
      <w:pPr>
        <w:pStyle w:val="BodyText"/>
        <w:spacing w:line="276" w:lineRule="auto" w:before="240"/>
        <w:ind w:left="5533" w:right="261"/>
        <w:jc w:val="both"/>
      </w:pPr>
      <w:r>
        <w:rPr/>
        <w:drawing>
          <wp:anchor distT="0" distB="0" distL="0" distR="0" allowOverlap="1" layoutInCell="1" locked="0" behindDoc="0" simplePos="0" relativeHeight="15810048">
            <wp:simplePos x="0" y="0"/>
            <wp:positionH relativeFrom="page">
              <wp:posOffset>825500</wp:posOffset>
            </wp:positionH>
            <wp:positionV relativeFrom="paragraph">
              <wp:posOffset>309112</wp:posOffset>
            </wp:positionV>
            <wp:extent cx="3218179" cy="3199891"/>
            <wp:effectExtent l="0" t="0" r="0" b="0"/>
            <wp:wrapNone/>
            <wp:docPr id="434" name="Image 434"/>
            <wp:cNvGraphicFramePr>
              <a:graphicFrameLocks/>
            </wp:cNvGraphicFramePr>
            <a:graphic>
              <a:graphicData uri="http://schemas.openxmlformats.org/drawingml/2006/picture">
                <pic:pic>
                  <pic:nvPicPr>
                    <pic:cNvPr id="434" name="Image 434"/>
                    <pic:cNvPicPr/>
                  </pic:nvPicPr>
                  <pic:blipFill>
                    <a:blip r:embed="rId566" cstate="print"/>
                    <a:stretch>
                      <a:fillRect/>
                    </a:stretch>
                  </pic:blipFill>
                  <pic:spPr>
                    <a:xfrm>
                      <a:off x="0" y="0"/>
                      <a:ext cx="3218179" cy="3199891"/>
                    </a:xfrm>
                    <a:prstGeom prst="rect">
                      <a:avLst/>
                    </a:prstGeom>
                  </pic:spPr>
                </pic:pic>
              </a:graphicData>
            </a:graphic>
          </wp:anchor>
        </w:drawing>
      </w:r>
      <w:r>
        <w:rPr/>
        <w:t>However, despite these reasons, the United States for decades has continued to establish and</w:t>
      </w:r>
      <w:r>
        <w:rPr>
          <w:spacing w:val="-11"/>
        </w:rPr>
        <w:t> </w:t>
      </w:r>
      <w:r>
        <w:rPr/>
        <w:t>exacerbate</w:t>
      </w:r>
      <w:r>
        <w:rPr>
          <w:spacing w:val="-11"/>
        </w:rPr>
        <w:t> </w:t>
      </w:r>
      <w:r>
        <w:rPr/>
        <w:t>barriers</w:t>
      </w:r>
      <w:r>
        <w:rPr>
          <w:spacing w:val="-10"/>
        </w:rPr>
        <w:t> </w:t>
      </w:r>
      <w:r>
        <w:rPr/>
        <w:t>to</w:t>
      </w:r>
      <w:r>
        <w:rPr>
          <w:spacing w:val="-9"/>
        </w:rPr>
        <w:t> </w:t>
      </w:r>
      <w:r>
        <w:rPr/>
        <w:t>prevent</w:t>
      </w:r>
      <w:r>
        <w:rPr>
          <w:spacing w:val="-11"/>
        </w:rPr>
        <w:t> </w:t>
      </w:r>
      <w:r>
        <w:rPr/>
        <w:t>foreign-born LGBTQ individuals from fully finding integration and</w:t>
      </w:r>
      <w:r>
        <w:rPr>
          <w:spacing w:val="-3"/>
        </w:rPr>
        <w:t> </w:t>
      </w:r>
      <w:r>
        <w:rPr/>
        <w:t>affirming</w:t>
      </w:r>
      <w:r>
        <w:rPr>
          <w:spacing w:val="-1"/>
        </w:rPr>
        <w:t> </w:t>
      </w:r>
      <w:r>
        <w:rPr/>
        <w:t>spaces</w:t>
      </w:r>
      <w:r>
        <w:rPr>
          <w:spacing w:val="-2"/>
        </w:rPr>
        <w:t> </w:t>
      </w:r>
      <w:r>
        <w:rPr/>
        <w:t>across</w:t>
      </w:r>
      <w:r>
        <w:rPr>
          <w:spacing w:val="-2"/>
        </w:rPr>
        <w:t> </w:t>
      </w:r>
      <w:r>
        <w:rPr/>
        <w:t>the</w:t>
      </w:r>
      <w:r>
        <w:rPr>
          <w:spacing w:val="-3"/>
        </w:rPr>
        <w:t> </w:t>
      </w:r>
      <w:r>
        <w:rPr/>
        <w:t>nation.</w:t>
      </w:r>
      <w:r>
        <w:rPr>
          <w:spacing w:val="-2"/>
        </w:rPr>
        <w:t> </w:t>
      </w:r>
      <w:r>
        <w:rPr/>
        <w:t>In</w:t>
      </w:r>
      <w:r>
        <w:rPr>
          <w:spacing w:val="-3"/>
        </w:rPr>
        <w:t> </w:t>
      </w:r>
      <w:r>
        <w:rPr/>
        <w:t>1917, federal</w:t>
      </w:r>
      <w:r>
        <w:rPr>
          <w:spacing w:val="-13"/>
        </w:rPr>
        <w:t> </w:t>
      </w:r>
      <w:r>
        <w:rPr/>
        <w:t>law</w:t>
      </w:r>
      <w:r>
        <w:rPr>
          <w:spacing w:val="-12"/>
        </w:rPr>
        <w:t> </w:t>
      </w:r>
      <w:r>
        <w:rPr/>
        <w:t>restricted</w:t>
      </w:r>
      <w:r>
        <w:rPr>
          <w:spacing w:val="-13"/>
        </w:rPr>
        <w:t> </w:t>
      </w:r>
      <w:r>
        <w:rPr/>
        <w:t>immigration</w:t>
      </w:r>
      <w:r>
        <w:rPr>
          <w:spacing w:val="-12"/>
        </w:rPr>
        <w:t> </w:t>
      </w:r>
      <w:r>
        <w:rPr/>
        <w:t>by</w:t>
      </w:r>
      <w:r>
        <w:rPr>
          <w:spacing w:val="-13"/>
        </w:rPr>
        <w:t> </w:t>
      </w:r>
      <w:r>
        <w:rPr/>
        <w:t>individuals who showed signs of what Congress called “constitutional psychopathic inferiority.”</w:t>
      </w:r>
      <w:hyperlink w:history="true" w:anchor="_bookmark534">
        <w:r>
          <w:rPr>
            <w:vertAlign w:val="superscript"/>
          </w:rPr>
          <w:t>6</w:t>
        </w:r>
      </w:hyperlink>
      <w:r>
        <w:rPr>
          <w:vertAlign w:val="baseline"/>
        </w:rPr>
        <w:t> This law prevented LGBTQ people from immigrating to the United States, even when they faced persecution</w:t>
      </w:r>
      <w:r>
        <w:rPr>
          <w:spacing w:val="-13"/>
          <w:vertAlign w:val="baseline"/>
        </w:rPr>
        <w:t> </w:t>
      </w:r>
      <w:r>
        <w:rPr>
          <w:vertAlign w:val="baseline"/>
        </w:rPr>
        <w:t>in</w:t>
      </w:r>
      <w:r>
        <w:rPr>
          <w:spacing w:val="-12"/>
          <w:vertAlign w:val="baseline"/>
        </w:rPr>
        <w:t> </w:t>
      </w:r>
      <w:r>
        <w:rPr>
          <w:vertAlign w:val="baseline"/>
        </w:rPr>
        <w:t>their</w:t>
      </w:r>
      <w:r>
        <w:rPr>
          <w:spacing w:val="-13"/>
          <w:vertAlign w:val="baseline"/>
        </w:rPr>
        <w:t> </w:t>
      </w:r>
      <w:r>
        <w:rPr>
          <w:vertAlign w:val="baseline"/>
        </w:rPr>
        <w:t>home</w:t>
      </w:r>
      <w:r>
        <w:rPr>
          <w:spacing w:val="-12"/>
          <w:vertAlign w:val="baseline"/>
        </w:rPr>
        <w:t> </w:t>
      </w:r>
      <w:r>
        <w:rPr>
          <w:vertAlign w:val="baseline"/>
        </w:rPr>
        <w:t>country.</w:t>
      </w:r>
      <w:r>
        <w:rPr>
          <w:spacing w:val="-13"/>
          <w:vertAlign w:val="baseline"/>
        </w:rPr>
        <w:t> </w:t>
      </w:r>
      <w:r>
        <w:rPr>
          <w:vertAlign w:val="baseline"/>
        </w:rPr>
        <w:t>Similarly,</w:t>
      </w:r>
      <w:r>
        <w:rPr>
          <w:spacing w:val="-12"/>
          <w:vertAlign w:val="baseline"/>
        </w:rPr>
        <w:t> </w:t>
      </w:r>
      <w:r>
        <w:rPr>
          <w:vertAlign w:val="baseline"/>
        </w:rPr>
        <w:t>the 1952 Immigration and Nationality Act (INA) created new restrictions on admissibility for LGBTQ people.</w:t>
      </w:r>
      <w:hyperlink w:history="true" w:anchor="_bookmark535">
        <w:r>
          <w:rPr>
            <w:vertAlign w:val="superscript"/>
          </w:rPr>
          <w:t>7</w:t>
        </w:r>
      </w:hyperlink>
      <w:r>
        <w:rPr>
          <w:vertAlign w:val="baseline"/>
        </w:rPr>
        <w:t> The INA replaced the exclusion for immigrants possessing a “psychopathic personality”</w:t>
      </w:r>
      <w:r>
        <w:rPr>
          <w:spacing w:val="-1"/>
          <w:vertAlign w:val="baseline"/>
        </w:rPr>
        <w:t> </w:t>
      </w:r>
      <w:r>
        <w:rPr>
          <w:vertAlign w:val="baseline"/>
        </w:rPr>
        <w:t>with</w:t>
      </w:r>
      <w:r>
        <w:rPr>
          <w:spacing w:val="-1"/>
          <w:vertAlign w:val="baseline"/>
        </w:rPr>
        <w:t> </w:t>
      </w:r>
      <w:r>
        <w:rPr>
          <w:vertAlign w:val="baseline"/>
        </w:rPr>
        <w:t>a</w:t>
      </w:r>
      <w:r>
        <w:rPr>
          <w:spacing w:val="-1"/>
          <w:vertAlign w:val="baseline"/>
        </w:rPr>
        <w:t> </w:t>
      </w:r>
      <w:r>
        <w:rPr>
          <w:vertAlign w:val="baseline"/>
        </w:rPr>
        <w:t>ban</w:t>
      </w:r>
      <w:r>
        <w:rPr>
          <w:spacing w:val="-1"/>
          <w:vertAlign w:val="baseline"/>
        </w:rPr>
        <w:t> </w:t>
      </w:r>
      <w:r>
        <w:rPr>
          <w:vertAlign w:val="baseline"/>
        </w:rPr>
        <w:t>on</w:t>
      </w:r>
      <w:r>
        <w:rPr>
          <w:spacing w:val="-1"/>
          <w:vertAlign w:val="baseline"/>
        </w:rPr>
        <w:t> </w:t>
      </w:r>
      <w:r>
        <w:rPr>
          <w:vertAlign w:val="baseline"/>
        </w:rPr>
        <w:t>“sexual</w:t>
      </w:r>
      <w:r>
        <w:rPr>
          <w:spacing w:val="-1"/>
          <w:vertAlign w:val="baseline"/>
        </w:rPr>
        <w:t> </w:t>
      </w:r>
      <w:r>
        <w:rPr>
          <w:vertAlign w:val="baseline"/>
        </w:rPr>
        <w:t>deviation,”</w:t>
      </w:r>
      <w:r>
        <w:rPr>
          <w:spacing w:val="-1"/>
          <w:vertAlign w:val="baseline"/>
        </w:rPr>
        <w:t> </w:t>
      </w:r>
      <w:r>
        <w:rPr>
          <w:vertAlign w:val="baseline"/>
        </w:rPr>
        <w:t>a catch-all</w:t>
      </w:r>
      <w:r>
        <w:rPr>
          <w:spacing w:val="-13"/>
          <w:vertAlign w:val="baseline"/>
        </w:rPr>
        <w:t> </w:t>
      </w:r>
      <w:r>
        <w:rPr>
          <w:vertAlign w:val="baseline"/>
        </w:rPr>
        <w:t>to</w:t>
      </w:r>
      <w:r>
        <w:rPr>
          <w:spacing w:val="-12"/>
          <w:vertAlign w:val="baseline"/>
        </w:rPr>
        <w:t> </w:t>
      </w:r>
      <w:r>
        <w:rPr>
          <w:vertAlign w:val="baseline"/>
        </w:rPr>
        <w:t>exclude</w:t>
      </w:r>
      <w:r>
        <w:rPr>
          <w:spacing w:val="-13"/>
          <w:vertAlign w:val="baseline"/>
        </w:rPr>
        <w:t> </w:t>
      </w:r>
      <w:r>
        <w:rPr>
          <w:vertAlign w:val="baseline"/>
        </w:rPr>
        <w:t>LGBTQ</w:t>
      </w:r>
      <w:r>
        <w:rPr>
          <w:spacing w:val="-12"/>
          <w:vertAlign w:val="baseline"/>
        </w:rPr>
        <w:t> </w:t>
      </w:r>
      <w:r>
        <w:rPr>
          <w:vertAlign w:val="baseline"/>
        </w:rPr>
        <w:t>people</w:t>
      </w:r>
      <w:r>
        <w:rPr>
          <w:spacing w:val="-13"/>
          <w:vertAlign w:val="baseline"/>
        </w:rPr>
        <w:t> </w:t>
      </w:r>
      <w:r>
        <w:rPr>
          <w:vertAlign w:val="baseline"/>
        </w:rPr>
        <w:t>from</w:t>
      </w:r>
      <w:r>
        <w:rPr>
          <w:spacing w:val="-12"/>
          <w:vertAlign w:val="baseline"/>
        </w:rPr>
        <w:t> </w:t>
      </w:r>
      <w:r>
        <w:rPr>
          <w:vertAlign w:val="baseline"/>
        </w:rPr>
        <w:t>entering the United States.</w:t>
      </w:r>
    </w:p>
    <w:p>
      <w:pPr>
        <w:pStyle w:val="BodyText"/>
        <w:spacing w:line="276" w:lineRule="auto" w:before="240"/>
        <w:ind w:left="463" w:right="261"/>
        <w:jc w:val="both"/>
      </w:pPr>
      <w:r>
        <w:rPr/>
        <w:t>Although</w:t>
      </w:r>
      <w:r>
        <w:rPr>
          <w:spacing w:val="-5"/>
        </w:rPr>
        <w:t> </w:t>
      </w:r>
      <w:r>
        <w:rPr/>
        <w:t>the</w:t>
      </w:r>
      <w:r>
        <w:rPr>
          <w:spacing w:val="-4"/>
        </w:rPr>
        <w:t> </w:t>
      </w:r>
      <w:r>
        <w:rPr/>
        <w:t>American</w:t>
      </w:r>
      <w:r>
        <w:rPr>
          <w:spacing w:val="-5"/>
        </w:rPr>
        <w:t> </w:t>
      </w:r>
      <w:r>
        <w:rPr/>
        <w:t>Psychiatric</w:t>
      </w:r>
      <w:r>
        <w:rPr>
          <w:spacing w:val="-7"/>
        </w:rPr>
        <w:t> </w:t>
      </w:r>
      <w:r>
        <w:rPr/>
        <w:t>Association</w:t>
      </w:r>
      <w:r>
        <w:rPr>
          <w:spacing w:val="-7"/>
        </w:rPr>
        <w:t> </w:t>
      </w:r>
      <w:r>
        <w:rPr/>
        <w:t>removed</w:t>
      </w:r>
      <w:r>
        <w:rPr>
          <w:spacing w:val="-7"/>
        </w:rPr>
        <w:t> </w:t>
      </w:r>
      <w:r>
        <w:rPr/>
        <w:t>homosexuality</w:t>
      </w:r>
      <w:r>
        <w:rPr>
          <w:spacing w:val="-6"/>
        </w:rPr>
        <w:t> </w:t>
      </w:r>
      <w:r>
        <w:rPr/>
        <w:t>from</w:t>
      </w:r>
      <w:r>
        <w:rPr>
          <w:spacing w:val="-5"/>
        </w:rPr>
        <w:t> </w:t>
      </w:r>
      <w:r>
        <w:rPr/>
        <w:t>its</w:t>
      </w:r>
      <w:r>
        <w:rPr>
          <w:spacing w:val="-6"/>
        </w:rPr>
        <w:t> </w:t>
      </w:r>
      <w:r>
        <w:rPr/>
        <w:t>list</w:t>
      </w:r>
      <w:r>
        <w:rPr>
          <w:spacing w:val="-7"/>
        </w:rPr>
        <w:t> </w:t>
      </w:r>
      <w:r>
        <w:rPr/>
        <w:t>of</w:t>
      </w:r>
      <w:r>
        <w:rPr>
          <w:spacing w:val="-6"/>
        </w:rPr>
        <w:t> </w:t>
      </w:r>
      <w:r>
        <w:rPr/>
        <w:t>medical</w:t>
      </w:r>
      <w:r>
        <w:rPr>
          <w:spacing w:val="-6"/>
        </w:rPr>
        <w:t> </w:t>
      </w:r>
      <w:r>
        <w:rPr/>
        <w:t>conditions in 1973, the INA entry restriction remained in place until “sexual deviation” was removed by the Immigration</w:t>
      </w:r>
      <w:r>
        <w:rPr>
          <w:spacing w:val="-10"/>
        </w:rPr>
        <w:t> </w:t>
      </w:r>
      <w:r>
        <w:rPr/>
        <w:t>Act</w:t>
      </w:r>
      <w:r>
        <w:rPr>
          <w:spacing w:val="-11"/>
        </w:rPr>
        <w:t> </w:t>
      </w:r>
      <w:r>
        <w:rPr/>
        <w:t>of</w:t>
      </w:r>
      <w:r>
        <w:rPr>
          <w:spacing w:val="-10"/>
        </w:rPr>
        <w:t> </w:t>
      </w:r>
      <w:r>
        <w:rPr/>
        <w:t>1990.</w:t>
      </w:r>
      <w:hyperlink w:history="true" w:anchor="_bookmark535">
        <w:r>
          <w:rPr>
            <w:vertAlign w:val="superscript"/>
          </w:rPr>
          <w:t>8</w:t>
        </w:r>
      </w:hyperlink>
      <w:r>
        <w:rPr>
          <w:spacing w:val="-9"/>
          <w:vertAlign w:val="baseline"/>
        </w:rPr>
        <w:t> </w:t>
      </w:r>
      <w:r>
        <w:rPr>
          <w:vertAlign w:val="baseline"/>
        </w:rPr>
        <w:t>Despite</w:t>
      </w:r>
      <w:r>
        <w:rPr>
          <w:spacing w:val="-10"/>
          <w:vertAlign w:val="baseline"/>
        </w:rPr>
        <w:t> </w:t>
      </w:r>
      <w:r>
        <w:rPr>
          <w:vertAlign w:val="baseline"/>
        </w:rPr>
        <w:t>this</w:t>
      </w:r>
      <w:r>
        <w:rPr>
          <w:spacing w:val="-11"/>
          <w:vertAlign w:val="baseline"/>
        </w:rPr>
        <w:t> </w:t>
      </w:r>
      <w:r>
        <w:rPr>
          <w:vertAlign w:val="baseline"/>
        </w:rPr>
        <w:t>reform,</w:t>
      </w:r>
      <w:r>
        <w:rPr>
          <w:spacing w:val="-10"/>
          <w:vertAlign w:val="baseline"/>
        </w:rPr>
        <w:t> </w:t>
      </w:r>
      <w:r>
        <w:rPr>
          <w:vertAlign w:val="baseline"/>
        </w:rPr>
        <w:t>many</w:t>
      </w:r>
      <w:r>
        <w:rPr>
          <w:spacing w:val="-10"/>
          <w:vertAlign w:val="baseline"/>
        </w:rPr>
        <w:t> </w:t>
      </w:r>
      <w:r>
        <w:rPr>
          <w:vertAlign w:val="baseline"/>
        </w:rPr>
        <w:t>LGBTQ</w:t>
      </w:r>
      <w:r>
        <w:rPr>
          <w:spacing w:val="-10"/>
          <w:vertAlign w:val="baseline"/>
        </w:rPr>
        <w:t> </w:t>
      </w:r>
      <w:r>
        <w:rPr>
          <w:vertAlign w:val="baseline"/>
        </w:rPr>
        <w:t>immigrants</w:t>
      </w:r>
      <w:r>
        <w:rPr>
          <w:spacing w:val="-11"/>
          <w:vertAlign w:val="baseline"/>
        </w:rPr>
        <w:t> </w:t>
      </w:r>
      <w:r>
        <w:rPr>
          <w:vertAlign w:val="baseline"/>
        </w:rPr>
        <w:t>were</w:t>
      </w:r>
      <w:r>
        <w:rPr>
          <w:spacing w:val="-10"/>
          <w:vertAlign w:val="baseline"/>
        </w:rPr>
        <w:t> </w:t>
      </w:r>
      <w:r>
        <w:rPr>
          <w:vertAlign w:val="baseline"/>
        </w:rPr>
        <w:t>still</w:t>
      </w:r>
      <w:r>
        <w:rPr>
          <w:spacing w:val="-11"/>
          <w:vertAlign w:val="baseline"/>
        </w:rPr>
        <w:t> </w:t>
      </w:r>
      <w:r>
        <w:rPr>
          <w:vertAlign w:val="baseline"/>
        </w:rPr>
        <w:t>denied</w:t>
      </w:r>
      <w:r>
        <w:rPr>
          <w:spacing w:val="-10"/>
          <w:vertAlign w:val="baseline"/>
        </w:rPr>
        <w:t> </w:t>
      </w:r>
      <w:r>
        <w:rPr>
          <w:vertAlign w:val="baseline"/>
        </w:rPr>
        <w:t>admission</w:t>
      </w:r>
      <w:r>
        <w:rPr>
          <w:spacing w:val="-11"/>
          <w:vertAlign w:val="baseline"/>
        </w:rPr>
        <w:t> </w:t>
      </w:r>
      <w:r>
        <w:rPr>
          <w:vertAlign w:val="baseline"/>
        </w:rPr>
        <w:t>to</w:t>
      </w:r>
      <w:r>
        <w:rPr>
          <w:spacing w:val="-10"/>
          <w:vertAlign w:val="baseline"/>
        </w:rPr>
        <w:t> </w:t>
      </w:r>
      <w:r>
        <w:rPr>
          <w:vertAlign w:val="baseline"/>
        </w:rPr>
        <w:t>the United</w:t>
      </w:r>
      <w:r>
        <w:rPr>
          <w:spacing w:val="-3"/>
          <w:vertAlign w:val="baseline"/>
        </w:rPr>
        <w:t> </w:t>
      </w:r>
      <w:r>
        <w:rPr>
          <w:vertAlign w:val="baseline"/>
        </w:rPr>
        <w:t>States,</w:t>
      </w:r>
      <w:r>
        <w:rPr>
          <w:spacing w:val="-4"/>
          <w:vertAlign w:val="baseline"/>
        </w:rPr>
        <w:t> </w:t>
      </w:r>
      <w:r>
        <w:rPr>
          <w:vertAlign w:val="baseline"/>
        </w:rPr>
        <w:t>since</w:t>
      </w:r>
      <w:r>
        <w:rPr>
          <w:spacing w:val="-3"/>
          <w:vertAlign w:val="baseline"/>
        </w:rPr>
        <w:t> </w:t>
      </w:r>
      <w:r>
        <w:rPr>
          <w:vertAlign w:val="baseline"/>
        </w:rPr>
        <w:t>the</w:t>
      </w:r>
      <w:r>
        <w:rPr>
          <w:spacing w:val="-3"/>
          <w:vertAlign w:val="baseline"/>
        </w:rPr>
        <w:t> </w:t>
      </w:r>
      <w:r>
        <w:rPr>
          <w:vertAlign w:val="baseline"/>
        </w:rPr>
        <w:t>ban</w:t>
      </w:r>
      <w:r>
        <w:rPr>
          <w:spacing w:val="-4"/>
          <w:vertAlign w:val="baseline"/>
        </w:rPr>
        <w:t> </w:t>
      </w:r>
      <w:r>
        <w:rPr>
          <w:vertAlign w:val="baseline"/>
        </w:rPr>
        <w:t>on</w:t>
      </w:r>
      <w:r>
        <w:rPr>
          <w:spacing w:val="-3"/>
          <w:vertAlign w:val="baseline"/>
        </w:rPr>
        <w:t> </w:t>
      </w:r>
      <w:r>
        <w:rPr>
          <w:vertAlign w:val="baseline"/>
        </w:rPr>
        <w:t>people</w:t>
      </w:r>
      <w:r>
        <w:rPr>
          <w:spacing w:val="-3"/>
          <w:vertAlign w:val="baseline"/>
        </w:rPr>
        <w:t> </w:t>
      </w:r>
      <w:r>
        <w:rPr>
          <w:vertAlign w:val="baseline"/>
        </w:rPr>
        <w:t>with</w:t>
      </w:r>
      <w:r>
        <w:rPr>
          <w:spacing w:val="-3"/>
          <w:vertAlign w:val="baseline"/>
        </w:rPr>
        <w:t> </w:t>
      </w:r>
      <w:r>
        <w:rPr>
          <w:vertAlign w:val="baseline"/>
        </w:rPr>
        <w:t>HIV</w:t>
      </w:r>
      <w:r>
        <w:rPr>
          <w:spacing w:val="-3"/>
          <w:vertAlign w:val="baseline"/>
        </w:rPr>
        <w:t> </w:t>
      </w:r>
      <w:r>
        <w:rPr>
          <w:vertAlign w:val="baseline"/>
        </w:rPr>
        <w:t>entering</w:t>
      </w:r>
      <w:r>
        <w:rPr>
          <w:spacing w:val="-3"/>
          <w:vertAlign w:val="baseline"/>
        </w:rPr>
        <w:t> </w:t>
      </w:r>
      <w:r>
        <w:rPr>
          <w:vertAlign w:val="baseline"/>
        </w:rPr>
        <w:t>the</w:t>
      </w:r>
      <w:r>
        <w:rPr>
          <w:spacing w:val="-2"/>
          <w:vertAlign w:val="baseline"/>
        </w:rPr>
        <w:t> </w:t>
      </w:r>
      <w:r>
        <w:rPr>
          <w:vertAlign w:val="baseline"/>
        </w:rPr>
        <w:t>country</w:t>
      </w:r>
      <w:r>
        <w:rPr>
          <w:spacing w:val="-4"/>
          <w:vertAlign w:val="baseline"/>
        </w:rPr>
        <w:t> </w:t>
      </w:r>
      <w:r>
        <w:rPr>
          <w:vertAlign w:val="baseline"/>
        </w:rPr>
        <w:t>was</w:t>
      </w:r>
      <w:r>
        <w:rPr>
          <w:spacing w:val="-3"/>
          <w:vertAlign w:val="baseline"/>
        </w:rPr>
        <w:t> </w:t>
      </w:r>
      <w:r>
        <w:rPr>
          <w:vertAlign w:val="baseline"/>
        </w:rPr>
        <w:t>not</w:t>
      </w:r>
      <w:r>
        <w:rPr>
          <w:spacing w:val="-3"/>
          <w:vertAlign w:val="baseline"/>
        </w:rPr>
        <w:t> </w:t>
      </w:r>
      <w:r>
        <w:rPr>
          <w:vertAlign w:val="baseline"/>
        </w:rPr>
        <w:t>lifted</w:t>
      </w:r>
      <w:r>
        <w:rPr>
          <w:spacing w:val="-3"/>
          <w:vertAlign w:val="baseline"/>
        </w:rPr>
        <w:t> </w:t>
      </w:r>
      <w:r>
        <w:rPr>
          <w:vertAlign w:val="baseline"/>
        </w:rPr>
        <w:t>until</w:t>
      </w:r>
      <w:r>
        <w:rPr>
          <w:spacing w:val="-3"/>
          <w:vertAlign w:val="baseline"/>
        </w:rPr>
        <w:t> </w:t>
      </w:r>
      <w:r>
        <w:rPr>
          <w:vertAlign w:val="baseline"/>
        </w:rPr>
        <w:t>2010</w:t>
      </w:r>
      <w:hyperlink w:history="true" w:anchor="_bookmark535">
        <w:r>
          <w:rPr>
            <w:vertAlign w:val="baseline"/>
          </w:rPr>
          <w:t>.</w:t>
        </w:r>
        <w:r>
          <w:rPr>
            <w:vertAlign w:val="superscript"/>
          </w:rPr>
          <w:t>9</w:t>
        </w:r>
      </w:hyperlink>
      <w:r>
        <w:rPr>
          <w:spacing w:val="-4"/>
          <w:vertAlign w:val="baseline"/>
        </w:rPr>
        <w:t> </w:t>
      </w:r>
      <w:r>
        <w:rPr>
          <w:vertAlign w:val="baseline"/>
        </w:rPr>
        <w:t>Similarly, although the United States recognized persecution on the basis of sexual orientation as grounds for asylum in 1994, Congress passed the Defense of Marriage Act (DOMA) in 1996, which openly discriminated against same-sex married couples by denying them access to marriage-based federal benefits, including the ability to sponsor a spouse for a green card</w:t>
      </w:r>
      <w:hyperlink w:history="true" w:anchor="_bookmark535">
        <w:r>
          <w:rPr>
            <w:vertAlign w:val="baseline"/>
          </w:rPr>
          <w:t>.</w:t>
        </w:r>
        <w:r>
          <w:rPr>
            <w:vertAlign w:val="superscript"/>
          </w:rPr>
          <w:t>10</w:t>
        </w:r>
      </w:hyperlink>
      <w:r>
        <w:rPr>
          <w:vertAlign w:val="baseline"/>
        </w:rPr>
        <w:t> It was not until 2013, when the Supreme</w:t>
      </w:r>
      <w:r>
        <w:rPr>
          <w:spacing w:val="-5"/>
          <w:vertAlign w:val="baseline"/>
        </w:rPr>
        <w:t> </w:t>
      </w:r>
      <w:r>
        <w:rPr>
          <w:vertAlign w:val="baseline"/>
        </w:rPr>
        <w:t>Court</w:t>
      </w:r>
      <w:r>
        <w:rPr>
          <w:spacing w:val="-5"/>
          <w:vertAlign w:val="baseline"/>
        </w:rPr>
        <w:t> </w:t>
      </w:r>
      <w:r>
        <w:rPr>
          <w:vertAlign w:val="baseline"/>
        </w:rPr>
        <w:t>found</w:t>
      </w:r>
      <w:r>
        <w:rPr>
          <w:spacing w:val="-4"/>
          <w:vertAlign w:val="baseline"/>
        </w:rPr>
        <w:t> </w:t>
      </w:r>
      <w:r>
        <w:rPr>
          <w:vertAlign w:val="baseline"/>
        </w:rPr>
        <w:t>Section</w:t>
      </w:r>
      <w:r>
        <w:rPr>
          <w:spacing w:val="-5"/>
          <w:vertAlign w:val="baseline"/>
        </w:rPr>
        <w:t> </w:t>
      </w:r>
      <w:r>
        <w:rPr>
          <w:vertAlign w:val="baseline"/>
        </w:rPr>
        <w:t>3</w:t>
      </w:r>
      <w:r>
        <w:rPr>
          <w:spacing w:val="-5"/>
          <w:vertAlign w:val="baseline"/>
        </w:rPr>
        <w:t> </w:t>
      </w:r>
      <w:r>
        <w:rPr>
          <w:vertAlign w:val="baseline"/>
        </w:rPr>
        <w:t>of</w:t>
      </w:r>
      <w:r>
        <w:rPr>
          <w:spacing w:val="-5"/>
          <w:vertAlign w:val="baseline"/>
        </w:rPr>
        <w:t> </w:t>
      </w:r>
      <w:r>
        <w:rPr>
          <w:vertAlign w:val="baseline"/>
        </w:rPr>
        <w:t>DOMA</w:t>
      </w:r>
      <w:r>
        <w:rPr>
          <w:spacing w:val="-5"/>
          <w:vertAlign w:val="baseline"/>
        </w:rPr>
        <w:t> </w:t>
      </w:r>
      <w:r>
        <w:rPr>
          <w:vertAlign w:val="baseline"/>
        </w:rPr>
        <w:t>unconstitutional,</w:t>
      </w:r>
      <w:r>
        <w:rPr>
          <w:spacing w:val="-5"/>
          <w:vertAlign w:val="baseline"/>
        </w:rPr>
        <w:t> </w:t>
      </w:r>
      <w:r>
        <w:rPr>
          <w:vertAlign w:val="baseline"/>
        </w:rPr>
        <w:t>that</w:t>
      </w:r>
      <w:r>
        <w:rPr>
          <w:spacing w:val="-5"/>
          <w:vertAlign w:val="baseline"/>
        </w:rPr>
        <w:t> </w:t>
      </w:r>
      <w:r>
        <w:rPr>
          <w:vertAlign w:val="baseline"/>
        </w:rPr>
        <w:t>same-sex</w:t>
      </w:r>
      <w:r>
        <w:rPr>
          <w:spacing w:val="-4"/>
          <w:vertAlign w:val="baseline"/>
        </w:rPr>
        <w:t> </w:t>
      </w:r>
      <w:r>
        <w:rPr>
          <w:vertAlign w:val="baseline"/>
        </w:rPr>
        <w:t>couples</w:t>
      </w:r>
      <w:r>
        <w:rPr>
          <w:spacing w:val="-5"/>
          <w:vertAlign w:val="baseline"/>
        </w:rPr>
        <w:t> </w:t>
      </w:r>
      <w:r>
        <w:rPr>
          <w:vertAlign w:val="baseline"/>
        </w:rPr>
        <w:t>could</w:t>
      </w:r>
      <w:r>
        <w:rPr>
          <w:spacing w:val="-4"/>
          <w:vertAlign w:val="baseline"/>
        </w:rPr>
        <w:t> </w:t>
      </w:r>
      <w:r>
        <w:rPr>
          <w:vertAlign w:val="baseline"/>
        </w:rPr>
        <w:t>petition</w:t>
      </w:r>
      <w:r>
        <w:rPr>
          <w:spacing w:val="-5"/>
          <w:vertAlign w:val="baseline"/>
        </w:rPr>
        <w:t> </w:t>
      </w:r>
      <w:r>
        <w:rPr>
          <w:vertAlign w:val="baseline"/>
        </w:rPr>
        <w:t>for</w:t>
      </w:r>
      <w:r>
        <w:rPr>
          <w:spacing w:val="-5"/>
          <w:vertAlign w:val="baseline"/>
        </w:rPr>
        <w:t> </w:t>
      </w:r>
      <w:r>
        <w:rPr>
          <w:vertAlign w:val="baseline"/>
        </w:rPr>
        <w:t>their partners and family members. Although these events demonstrate a stride toward greater freedom and equality,</w:t>
      </w:r>
      <w:r>
        <w:rPr>
          <w:spacing w:val="-13"/>
          <w:vertAlign w:val="baseline"/>
        </w:rPr>
        <w:t> </w:t>
      </w:r>
      <w:r>
        <w:rPr>
          <w:vertAlign w:val="baseline"/>
        </w:rPr>
        <w:t>LGBTQ</w:t>
      </w:r>
      <w:r>
        <w:rPr>
          <w:spacing w:val="-12"/>
          <w:vertAlign w:val="baseline"/>
        </w:rPr>
        <w:t> </w:t>
      </w:r>
      <w:r>
        <w:rPr>
          <w:vertAlign w:val="baseline"/>
        </w:rPr>
        <w:t>foreign-born</w:t>
      </w:r>
      <w:r>
        <w:rPr>
          <w:spacing w:val="-13"/>
          <w:vertAlign w:val="baseline"/>
        </w:rPr>
        <w:t> </w:t>
      </w:r>
      <w:r>
        <w:rPr>
          <w:vertAlign w:val="baseline"/>
        </w:rPr>
        <w:t>undocumented</w:t>
      </w:r>
      <w:r>
        <w:rPr>
          <w:spacing w:val="-12"/>
          <w:vertAlign w:val="baseline"/>
        </w:rPr>
        <w:t> </w:t>
      </w:r>
      <w:r>
        <w:rPr>
          <w:vertAlign w:val="baseline"/>
        </w:rPr>
        <w:t>and</w:t>
      </w:r>
      <w:r>
        <w:rPr>
          <w:spacing w:val="-13"/>
          <w:vertAlign w:val="baseline"/>
        </w:rPr>
        <w:t> </w:t>
      </w:r>
      <w:r>
        <w:rPr>
          <w:vertAlign w:val="baseline"/>
        </w:rPr>
        <w:t>documented</w:t>
      </w:r>
      <w:r>
        <w:rPr>
          <w:spacing w:val="-12"/>
          <w:vertAlign w:val="baseline"/>
        </w:rPr>
        <w:t> </w:t>
      </w:r>
      <w:r>
        <w:rPr>
          <w:vertAlign w:val="baseline"/>
        </w:rPr>
        <w:t>people</w:t>
      </w:r>
      <w:r>
        <w:rPr>
          <w:spacing w:val="-13"/>
          <w:vertAlign w:val="baseline"/>
        </w:rPr>
        <w:t> </w:t>
      </w:r>
      <w:r>
        <w:rPr>
          <w:vertAlign w:val="baseline"/>
        </w:rPr>
        <w:t>continue</w:t>
      </w:r>
      <w:r>
        <w:rPr>
          <w:spacing w:val="-12"/>
          <w:vertAlign w:val="baseline"/>
        </w:rPr>
        <w:t> </w:t>
      </w:r>
      <w:r>
        <w:rPr>
          <w:vertAlign w:val="baseline"/>
        </w:rPr>
        <w:t>to</w:t>
      </w:r>
      <w:r>
        <w:rPr>
          <w:spacing w:val="-12"/>
          <w:vertAlign w:val="baseline"/>
        </w:rPr>
        <w:t> </w:t>
      </w:r>
      <w:r>
        <w:rPr>
          <w:vertAlign w:val="baseline"/>
        </w:rPr>
        <w:t>face</w:t>
      </w:r>
      <w:r>
        <w:rPr>
          <w:spacing w:val="-13"/>
          <w:vertAlign w:val="baseline"/>
        </w:rPr>
        <w:t> </w:t>
      </w:r>
      <w:r>
        <w:rPr>
          <w:vertAlign w:val="baseline"/>
        </w:rPr>
        <w:t>barriers</w:t>
      </w:r>
      <w:r>
        <w:rPr>
          <w:spacing w:val="-12"/>
          <w:vertAlign w:val="baseline"/>
        </w:rPr>
        <w:t> </w:t>
      </w:r>
      <w:r>
        <w:rPr>
          <w:vertAlign w:val="baseline"/>
        </w:rPr>
        <w:t>to</w:t>
      </w:r>
      <w:r>
        <w:rPr>
          <w:spacing w:val="-13"/>
          <w:vertAlign w:val="baseline"/>
        </w:rPr>
        <w:t> </w:t>
      </w:r>
      <w:r>
        <w:rPr>
          <w:vertAlign w:val="baseline"/>
        </w:rPr>
        <w:t>success in the United States.</w:t>
      </w:r>
    </w:p>
    <w:p>
      <w:pPr>
        <w:pStyle w:val="BodyText"/>
        <w:spacing w:line="276" w:lineRule="auto" w:before="240"/>
        <w:ind w:left="463" w:right="261"/>
        <w:jc w:val="both"/>
      </w:pPr>
      <w:r>
        <w:rPr/>
        <w:t>Although</w:t>
      </w:r>
      <w:r>
        <w:rPr>
          <w:spacing w:val="-2"/>
        </w:rPr>
        <w:t> </w:t>
      </w:r>
      <w:r>
        <w:rPr/>
        <w:t>roughly</w:t>
      </w:r>
      <w:r>
        <w:rPr>
          <w:spacing w:val="-3"/>
        </w:rPr>
        <w:t> </w:t>
      </w:r>
      <w:r>
        <w:rPr/>
        <w:t>1</w:t>
      </w:r>
      <w:r>
        <w:rPr>
          <w:spacing w:val="-3"/>
        </w:rPr>
        <w:t> </w:t>
      </w:r>
      <w:r>
        <w:rPr/>
        <w:t>in</w:t>
      </w:r>
      <w:r>
        <w:rPr>
          <w:spacing w:val="-2"/>
        </w:rPr>
        <w:t> </w:t>
      </w:r>
      <w:r>
        <w:rPr/>
        <w:t>6</w:t>
      </w:r>
      <w:r>
        <w:rPr>
          <w:spacing w:val="-3"/>
        </w:rPr>
        <w:t> </w:t>
      </w:r>
      <w:r>
        <w:rPr/>
        <w:t>of</w:t>
      </w:r>
      <w:r>
        <w:rPr>
          <w:spacing w:val="-2"/>
        </w:rPr>
        <w:t> </w:t>
      </w:r>
      <w:r>
        <w:rPr/>
        <w:t>Massachusetts</w:t>
      </w:r>
      <w:r>
        <w:rPr>
          <w:spacing w:val="-3"/>
        </w:rPr>
        <w:t> </w:t>
      </w:r>
      <w:r>
        <w:rPr/>
        <w:t>residents</w:t>
      </w:r>
      <w:r>
        <w:rPr>
          <w:spacing w:val="-3"/>
        </w:rPr>
        <w:t> </w:t>
      </w:r>
      <w:r>
        <w:rPr/>
        <w:t>are</w:t>
      </w:r>
      <w:r>
        <w:rPr>
          <w:spacing w:val="-3"/>
        </w:rPr>
        <w:t> </w:t>
      </w:r>
      <w:r>
        <w:rPr/>
        <w:t>foreign-born</w:t>
      </w:r>
      <w:r>
        <w:rPr>
          <w:spacing w:val="-3"/>
        </w:rPr>
        <w:t> </w:t>
      </w:r>
      <w:r>
        <w:rPr/>
        <w:t>(almost</w:t>
      </w:r>
      <w:r>
        <w:rPr>
          <w:spacing w:val="-3"/>
        </w:rPr>
        <w:t> </w:t>
      </w:r>
      <w:r>
        <w:rPr/>
        <w:t>1.2</w:t>
      </w:r>
      <w:r>
        <w:rPr>
          <w:spacing w:val="-3"/>
        </w:rPr>
        <w:t> </w:t>
      </w:r>
      <w:r>
        <w:rPr/>
        <w:t>million</w:t>
      </w:r>
      <w:r>
        <w:rPr>
          <w:spacing w:val="-3"/>
        </w:rPr>
        <w:t> </w:t>
      </w:r>
      <w:r>
        <w:rPr/>
        <w:t>people,</w:t>
      </w:r>
      <w:r>
        <w:rPr>
          <w:spacing w:val="-3"/>
        </w:rPr>
        <w:t> </w:t>
      </w:r>
      <w:r>
        <w:rPr/>
        <w:t>or</w:t>
      </w:r>
      <w:r>
        <w:rPr>
          <w:spacing w:val="-3"/>
        </w:rPr>
        <w:t> </w:t>
      </w:r>
      <w:r>
        <w:rPr/>
        <w:t>16.9% of</w:t>
      </w:r>
      <w:r>
        <w:rPr>
          <w:spacing w:val="-2"/>
        </w:rPr>
        <w:t> </w:t>
      </w:r>
      <w:r>
        <w:rPr/>
        <w:t>the</w:t>
      </w:r>
      <w:r>
        <w:rPr>
          <w:spacing w:val="-2"/>
        </w:rPr>
        <w:t> </w:t>
      </w:r>
      <w:r>
        <w:rPr/>
        <w:t>population)</w:t>
      </w:r>
      <w:r>
        <w:rPr>
          <w:spacing w:val="-1"/>
        </w:rPr>
        <w:t> </w:t>
      </w:r>
      <w:r>
        <w:rPr/>
        <w:t>and</w:t>
      </w:r>
      <w:r>
        <w:rPr>
          <w:spacing w:val="-2"/>
        </w:rPr>
        <w:t> </w:t>
      </w:r>
      <w:r>
        <w:rPr/>
        <w:t>another</w:t>
      </w:r>
      <w:r>
        <w:rPr>
          <w:spacing w:val="-2"/>
        </w:rPr>
        <w:t> </w:t>
      </w:r>
      <w:r>
        <w:rPr/>
        <w:t>1</w:t>
      </w:r>
      <w:r>
        <w:rPr>
          <w:spacing w:val="-2"/>
        </w:rPr>
        <w:t> </w:t>
      </w:r>
      <w:r>
        <w:rPr/>
        <w:t>in</w:t>
      </w:r>
      <w:r>
        <w:rPr>
          <w:spacing w:val="-2"/>
        </w:rPr>
        <w:t> </w:t>
      </w:r>
      <w:r>
        <w:rPr/>
        <w:t>7</w:t>
      </w:r>
      <w:r>
        <w:rPr>
          <w:spacing w:val="-2"/>
        </w:rPr>
        <w:t> </w:t>
      </w:r>
      <w:r>
        <w:rPr/>
        <w:t>are</w:t>
      </w:r>
      <w:r>
        <w:rPr>
          <w:spacing w:val="-2"/>
        </w:rPr>
        <w:t> </w:t>
      </w:r>
      <w:r>
        <w:rPr/>
        <w:t>U.S.-born</w:t>
      </w:r>
      <w:r>
        <w:rPr>
          <w:spacing w:val="-2"/>
        </w:rPr>
        <w:t> </w:t>
      </w:r>
      <w:r>
        <w:rPr/>
        <w:t>with</w:t>
      </w:r>
      <w:r>
        <w:rPr>
          <w:spacing w:val="-2"/>
        </w:rPr>
        <w:t> </w:t>
      </w:r>
      <w:r>
        <w:rPr/>
        <w:t>at</w:t>
      </w:r>
      <w:r>
        <w:rPr>
          <w:spacing w:val="-2"/>
        </w:rPr>
        <w:t> </w:t>
      </w:r>
      <w:r>
        <w:rPr/>
        <w:t>least</w:t>
      </w:r>
      <w:r>
        <w:rPr>
          <w:spacing w:val="-2"/>
        </w:rPr>
        <w:t> </w:t>
      </w:r>
      <w:r>
        <w:rPr/>
        <w:t>one</w:t>
      </w:r>
      <w:r>
        <w:rPr>
          <w:spacing w:val="-2"/>
        </w:rPr>
        <w:t> </w:t>
      </w:r>
      <w:r>
        <w:rPr/>
        <w:t>foreign-born</w:t>
      </w:r>
      <w:r>
        <w:rPr>
          <w:spacing w:val="-2"/>
        </w:rPr>
        <w:t> </w:t>
      </w:r>
      <w:r>
        <w:rPr/>
        <w:t>parent,</w:t>
      </w:r>
      <w:r>
        <w:rPr>
          <w:spacing w:val="-1"/>
        </w:rPr>
        <w:t> </w:t>
      </w:r>
      <w:r>
        <w:rPr/>
        <w:t>Massachusetts has</w:t>
      </w:r>
      <w:r>
        <w:rPr>
          <w:spacing w:val="-11"/>
        </w:rPr>
        <w:t> </w:t>
      </w:r>
      <w:r>
        <w:rPr/>
        <w:t>a</w:t>
      </w:r>
      <w:r>
        <w:rPr>
          <w:spacing w:val="-11"/>
        </w:rPr>
        <w:t> </w:t>
      </w:r>
      <w:r>
        <w:rPr/>
        <w:t>mixed</w:t>
      </w:r>
      <w:r>
        <w:rPr>
          <w:spacing w:val="-10"/>
        </w:rPr>
        <w:t> </w:t>
      </w:r>
      <w:r>
        <w:rPr/>
        <w:t>history</w:t>
      </w:r>
      <w:r>
        <w:rPr>
          <w:spacing w:val="-11"/>
        </w:rPr>
        <w:t> </w:t>
      </w:r>
      <w:r>
        <w:rPr/>
        <w:t>with</w:t>
      </w:r>
      <w:r>
        <w:rPr>
          <w:spacing w:val="-11"/>
        </w:rPr>
        <w:t> </w:t>
      </w:r>
      <w:r>
        <w:rPr/>
        <w:t>policy</w:t>
      </w:r>
      <w:r>
        <w:rPr>
          <w:spacing w:val="-11"/>
        </w:rPr>
        <w:t> </w:t>
      </w:r>
      <w:r>
        <w:rPr/>
        <w:t>development</w:t>
      </w:r>
      <w:r>
        <w:rPr>
          <w:spacing w:val="-12"/>
        </w:rPr>
        <w:t> </w:t>
      </w:r>
      <w:r>
        <w:rPr/>
        <w:t>to</w:t>
      </w:r>
      <w:r>
        <w:rPr>
          <w:spacing w:val="-11"/>
        </w:rPr>
        <w:t> </w:t>
      </w:r>
      <w:r>
        <w:rPr/>
        <w:t>benefit</w:t>
      </w:r>
      <w:r>
        <w:rPr>
          <w:spacing w:val="-10"/>
        </w:rPr>
        <w:t> </w:t>
      </w:r>
      <w:r>
        <w:rPr/>
        <w:t>foreign-born</w:t>
      </w:r>
      <w:r>
        <w:rPr>
          <w:spacing w:val="-10"/>
        </w:rPr>
        <w:t> </w:t>
      </w:r>
      <w:r>
        <w:rPr/>
        <w:t>residents.</w:t>
      </w:r>
      <w:r>
        <w:rPr>
          <w:spacing w:val="-11"/>
        </w:rPr>
        <w:t> </w:t>
      </w:r>
      <w:hyperlink w:history="true" w:anchor="_bookmark536">
        <w:r>
          <w:rPr>
            <w:vertAlign w:val="superscript"/>
          </w:rPr>
          <w:t>11</w:t>
        </w:r>
      </w:hyperlink>
      <w:r>
        <w:rPr>
          <w:spacing w:val="-10"/>
          <w:vertAlign w:val="baseline"/>
        </w:rPr>
        <w:t> </w:t>
      </w:r>
      <w:r>
        <w:rPr>
          <w:vertAlign w:val="baseline"/>
        </w:rPr>
        <w:t>The</w:t>
      </w:r>
      <w:r>
        <w:rPr>
          <w:spacing w:val="-11"/>
          <w:vertAlign w:val="baseline"/>
        </w:rPr>
        <w:t> </w:t>
      </w:r>
      <w:r>
        <w:rPr>
          <w:vertAlign w:val="baseline"/>
        </w:rPr>
        <w:t>historian</w:t>
      </w:r>
      <w:r>
        <w:rPr>
          <w:spacing w:val="-11"/>
          <w:vertAlign w:val="baseline"/>
        </w:rPr>
        <w:t> </w:t>
      </w:r>
      <w:r>
        <w:rPr>
          <w:vertAlign w:val="baseline"/>
        </w:rPr>
        <w:t>Russ</w:t>
      </w:r>
      <w:r>
        <w:rPr>
          <w:spacing w:val="-11"/>
          <w:vertAlign w:val="baseline"/>
        </w:rPr>
        <w:t> </w:t>
      </w:r>
      <w:r>
        <w:rPr>
          <w:vertAlign w:val="baseline"/>
        </w:rPr>
        <w:t>Lopez tells the story of Villa Victoria as representing how LGBTQ+ immigrants resisted policy development in Boston.</w:t>
      </w:r>
      <w:r>
        <w:rPr>
          <w:spacing w:val="17"/>
          <w:vertAlign w:val="baseline"/>
        </w:rPr>
        <w:t> </w:t>
      </w:r>
      <w:r>
        <w:rPr>
          <w:vertAlign w:val="baseline"/>
        </w:rPr>
        <w:t>Beginning</w:t>
      </w:r>
      <w:r>
        <w:rPr>
          <w:spacing w:val="19"/>
          <w:vertAlign w:val="baseline"/>
        </w:rPr>
        <w:t> </w:t>
      </w:r>
      <w:r>
        <w:rPr>
          <w:vertAlign w:val="baseline"/>
        </w:rPr>
        <w:t>in</w:t>
      </w:r>
      <w:r>
        <w:rPr>
          <w:spacing w:val="18"/>
          <w:vertAlign w:val="baseline"/>
        </w:rPr>
        <w:t> </w:t>
      </w:r>
      <w:r>
        <w:rPr>
          <w:vertAlign w:val="baseline"/>
        </w:rPr>
        <w:t>the</w:t>
      </w:r>
      <w:r>
        <w:rPr>
          <w:spacing w:val="19"/>
          <w:vertAlign w:val="baseline"/>
        </w:rPr>
        <w:t> </w:t>
      </w:r>
      <w:r>
        <w:rPr>
          <w:vertAlign w:val="baseline"/>
        </w:rPr>
        <w:t>1950s,</w:t>
      </w:r>
      <w:r>
        <w:rPr>
          <w:spacing w:val="18"/>
          <w:vertAlign w:val="baseline"/>
        </w:rPr>
        <w:t> </w:t>
      </w:r>
      <w:r>
        <w:rPr>
          <w:vertAlign w:val="baseline"/>
        </w:rPr>
        <w:t>Latino</w:t>
      </w:r>
      <w:r>
        <w:rPr>
          <w:spacing w:val="18"/>
          <w:vertAlign w:val="baseline"/>
        </w:rPr>
        <w:t> </w:t>
      </w:r>
      <w:r>
        <w:rPr>
          <w:vertAlign w:val="baseline"/>
        </w:rPr>
        <w:t>immigrants</w:t>
      </w:r>
      <w:r>
        <w:rPr>
          <w:spacing w:val="19"/>
          <w:vertAlign w:val="baseline"/>
        </w:rPr>
        <w:t> </w:t>
      </w:r>
      <w:r>
        <w:rPr>
          <w:vertAlign w:val="baseline"/>
        </w:rPr>
        <w:t>began</w:t>
      </w:r>
      <w:r>
        <w:rPr>
          <w:spacing w:val="19"/>
          <w:vertAlign w:val="baseline"/>
        </w:rPr>
        <w:t> </w:t>
      </w:r>
      <w:r>
        <w:rPr>
          <w:vertAlign w:val="baseline"/>
        </w:rPr>
        <w:t>to</w:t>
      </w:r>
      <w:r>
        <w:rPr>
          <w:spacing w:val="18"/>
          <w:vertAlign w:val="baseline"/>
        </w:rPr>
        <w:t> </w:t>
      </w:r>
      <w:r>
        <w:rPr>
          <w:vertAlign w:val="baseline"/>
        </w:rPr>
        <w:t>populate</w:t>
      </w:r>
      <w:r>
        <w:rPr>
          <w:spacing w:val="19"/>
          <w:vertAlign w:val="baseline"/>
        </w:rPr>
        <w:t> </w:t>
      </w:r>
      <w:r>
        <w:rPr>
          <w:vertAlign w:val="baseline"/>
        </w:rPr>
        <w:t>the</w:t>
      </w:r>
      <w:r>
        <w:rPr>
          <w:spacing w:val="17"/>
          <w:vertAlign w:val="baseline"/>
        </w:rPr>
        <w:t> </w:t>
      </w:r>
      <w:r>
        <w:rPr>
          <w:vertAlign w:val="baseline"/>
        </w:rPr>
        <w:t>south</w:t>
      </w:r>
      <w:r>
        <w:rPr>
          <w:spacing w:val="19"/>
          <w:vertAlign w:val="baseline"/>
        </w:rPr>
        <w:t> </w:t>
      </w:r>
      <w:r>
        <w:rPr>
          <w:vertAlign w:val="baseline"/>
        </w:rPr>
        <w:t>end,</w:t>
      </w:r>
      <w:r>
        <w:rPr>
          <w:spacing w:val="19"/>
          <w:vertAlign w:val="baseline"/>
        </w:rPr>
        <w:t> </w:t>
      </w:r>
      <w:r>
        <w:rPr>
          <w:vertAlign w:val="baseline"/>
        </w:rPr>
        <w:t>a</w:t>
      </w:r>
      <w:r>
        <w:rPr>
          <w:spacing w:val="18"/>
          <w:vertAlign w:val="baseline"/>
        </w:rPr>
        <w:t> </w:t>
      </w:r>
      <w:r>
        <w:rPr>
          <w:vertAlign w:val="baseline"/>
        </w:rPr>
        <w:t>predominantly</w:t>
      </w:r>
    </w:p>
    <w:p>
      <w:pPr>
        <w:spacing w:after="0" w:line="276" w:lineRule="auto"/>
        <w:jc w:val="both"/>
        <w:sectPr>
          <w:pgSz w:w="12240" w:h="15840"/>
          <w:pgMar w:header="805" w:footer="1208" w:top="1080" w:bottom="1460" w:left="980" w:right="1180"/>
        </w:sectPr>
      </w:pPr>
    </w:p>
    <w:p>
      <w:pPr>
        <w:pStyle w:val="BodyText"/>
        <w:spacing w:line="276" w:lineRule="auto" w:before="69"/>
        <w:ind w:left="463" w:right="260"/>
        <w:jc w:val="both"/>
      </w:pPr>
      <w:r>
        <w:rPr/>
        <w:t>queer</w:t>
      </w:r>
      <w:r>
        <w:rPr>
          <w:spacing w:val="-3"/>
        </w:rPr>
        <w:t> </w:t>
      </w:r>
      <w:r>
        <w:rPr/>
        <w:t>neighborhood</w:t>
      </w:r>
      <w:r>
        <w:rPr>
          <w:spacing w:val="-4"/>
        </w:rPr>
        <w:t> </w:t>
      </w:r>
      <w:r>
        <w:rPr/>
        <w:t>at</w:t>
      </w:r>
      <w:r>
        <w:rPr>
          <w:spacing w:val="-4"/>
        </w:rPr>
        <w:t> </w:t>
      </w:r>
      <w:r>
        <w:rPr/>
        <w:t>the</w:t>
      </w:r>
      <w:r>
        <w:rPr>
          <w:spacing w:val="-4"/>
        </w:rPr>
        <w:t> </w:t>
      </w:r>
      <w:r>
        <w:rPr/>
        <w:t>time.</w:t>
      </w:r>
      <w:r>
        <w:rPr>
          <w:spacing w:val="-3"/>
        </w:rPr>
        <w:t> </w:t>
      </w:r>
      <w:r>
        <w:rPr/>
        <w:t>The</w:t>
      </w:r>
      <w:r>
        <w:rPr>
          <w:spacing w:val="-3"/>
        </w:rPr>
        <w:t> </w:t>
      </w:r>
      <w:r>
        <w:rPr/>
        <w:t>Boston</w:t>
      </w:r>
      <w:r>
        <w:rPr>
          <w:spacing w:val="-4"/>
        </w:rPr>
        <w:t> </w:t>
      </w:r>
      <w:r>
        <w:rPr/>
        <w:t>Redevelopment</w:t>
      </w:r>
      <w:r>
        <w:rPr>
          <w:spacing w:val="-3"/>
        </w:rPr>
        <w:t> </w:t>
      </w:r>
      <w:r>
        <w:rPr/>
        <w:t>Authority</w:t>
      </w:r>
      <w:r>
        <w:rPr>
          <w:spacing w:val="-4"/>
        </w:rPr>
        <w:t> </w:t>
      </w:r>
      <w:r>
        <w:rPr/>
        <w:t>planned</w:t>
      </w:r>
      <w:r>
        <w:rPr>
          <w:spacing w:val="-4"/>
        </w:rPr>
        <w:t> </w:t>
      </w:r>
      <w:r>
        <w:rPr/>
        <w:t>urban</w:t>
      </w:r>
      <w:r>
        <w:rPr>
          <w:spacing w:val="-3"/>
        </w:rPr>
        <w:t> </w:t>
      </w:r>
      <w:r>
        <w:rPr/>
        <w:t>developments</w:t>
      </w:r>
      <w:r>
        <w:rPr>
          <w:spacing w:val="-4"/>
        </w:rPr>
        <w:t> </w:t>
      </w:r>
      <w:r>
        <w:rPr/>
        <w:t>for the neighborhood, which residents feared would create a higher cost of living. Residents created their own planning process, creating low-income housing now known as Villa Victoria.</w:t>
      </w:r>
      <w:r>
        <w:rPr>
          <w:vertAlign w:val="superscript"/>
        </w:rPr>
        <w:t>12</w:t>
      </w:r>
    </w:p>
    <w:p>
      <w:pPr>
        <w:pStyle w:val="BodyText"/>
        <w:spacing w:line="276" w:lineRule="auto" w:before="239"/>
        <w:ind w:left="463" w:right="261"/>
        <w:jc w:val="both"/>
      </w:pPr>
      <w:r>
        <w:rPr/>
        <w:t>However, as noted above, in recent years, Massachusetts has taken several strides forward to better support foreign-born individuals, families and communities, but has continued to see controversial challenges</w:t>
      </w:r>
      <w:r>
        <w:rPr>
          <w:spacing w:val="-13"/>
        </w:rPr>
        <w:t> </w:t>
      </w:r>
      <w:r>
        <w:rPr/>
        <w:t>to</w:t>
      </w:r>
      <w:r>
        <w:rPr>
          <w:spacing w:val="-12"/>
        </w:rPr>
        <w:t> </w:t>
      </w:r>
      <w:r>
        <w:rPr/>
        <w:t>these</w:t>
      </w:r>
      <w:r>
        <w:rPr>
          <w:spacing w:val="-13"/>
        </w:rPr>
        <w:t> </w:t>
      </w:r>
      <w:r>
        <w:rPr/>
        <w:t>efforts.</w:t>
      </w:r>
      <w:r>
        <w:rPr>
          <w:spacing w:val="-12"/>
        </w:rPr>
        <w:t> </w:t>
      </w:r>
      <w:r>
        <w:rPr/>
        <w:t>For</w:t>
      </w:r>
      <w:r>
        <w:rPr>
          <w:spacing w:val="-13"/>
        </w:rPr>
        <w:t> </w:t>
      </w:r>
      <w:r>
        <w:rPr/>
        <w:t>example,</w:t>
      </w:r>
      <w:r>
        <w:rPr>
          <w:spacing w:val="-12"/>
        </w:rPr>
        <w:t> </w:t>
      </w:r>
      <w:r>
        <w:rPr/>
        <w:t>though</w:t>
      </w:r>
      <w:r>
        <w:rPr>
          <w:spacing w:val="-13"/>
        </w:rPr>
        <w:t> </w:t>
      </w:r>
      <w:r>
        <w:rPr/>
        <w:t>vetoed</w:t>
      </w:r>
      <w:r>
        <w:rPr>
          <w:spacing w:val="-12"/>
        </w:rPr>
        <w:t> </w:t>
      </w:r>
      <w:r>
        <w:rPr/>
        <w:t>by</w:t>
      </w:r>
      <w:r>
        <w:rPr>
          <w:spacing w:val="-12"/>
        </w:rPr>
        <w:t> </w:t>
      </w:r>
      <w:r>
        <w:rPr/>
        <w:t>former</w:t>
      </w:r>
      <w:r>
        <w:rPr>
          <w:spacing w:val="-13"/>
        </w:rPr>
        <w:t> </w:t>
      </w:r>
      <w:r>
        <w:rPr/>
        <w:t>Governor</w:t>
      </w:r>
      <w:r>
        <w:rPr>
          <w:spacing w:val="-12"/>
        </w:rPr>
        <w:t> </w:t>
      </w:r>
      <w:r>
        <w:rPr/>
        <w:t>Baker</w:t>
      </w:r>
      <w:r>
        <w:rPr>
          <w:spacing w:val="-13"/>
        </w:rPr>
        <w:t> </w:t>
      </w:r>
      <w:r>
        <w:rPr/>
        <w:t>in</w:t>
      </w:r>
      <w:r>
        <w:rPr>
          <w:spacing w:val="-12"/>
        </w:rPr>
        <w:t> </w:t>
      </w:r>
      <w:r>
        <w:rPr/>
        <w:t>the</w:t>
      </w:r>
      <w:r>
        <w:rPr>
          <w:spacing w:val="-13"/>
        </w:rPr>
        <w:t> </w:t>
      </w:r>
      <w:r>
        <w:rPr/>
        <w:t>summer</w:t>
      </w:r>
      <w:r>
        <w:rPr>
          <w:spacing w:val="-12"/>
        </w:rPr>
        <w:t> </w:t>
      </w:r>
      <w:r>
        <w:rPr/>
        <w:t>of</w:t>
      </w:r>
      <w:r>
        <w:rPr>
          <w:spacing w:val="-12"/>
        </w:rPr>
        <w:t> </w:t>
      </w:r>
      <w:r>
        <w:rPr/>
        <w:t>2022, Massachusetts lawmakers passed a bill to allow undocumented residents to obtain driver’s licenses through the Registry of Motor Vehicles (RMV) which the Commission had supported for several years. Shortly</w:t>
      </w:r>
      <w:r>
        <w:rPr>
          <w:spacing w:val="-12"/>
        </w:rPr>
        <w:t> </w:t>
      </w:r>
      <w:r>
        <w:rPr/>
        <w:t>after,</w:t>
      </w:r>
      <w:r>
        <w:rPr>
          <w:spacing w:val="-11"/>
        </w:rPr>
        <w:t> </w:t>
      </w:r>
      <w:r>
        <w:rPr/>
        <w:t>a</w:t>
      </w:r>
      <w:r>
        <w:rPr>
          <w:spacing w:val="-12"/>
        </w:rPr>
        <w:t> </w:t>
      </w:r>
      <w:r>
        <w:rPr/>
        <w:t>push</w:t>
      </w:r>
      <w:r>
        <w:rPr>
          <w:spacing w:val="-10"/>
        </w:rPr>
        <w:t> </w:t>
      </w:r>
      <w:r>
        <w:rPr/>
        <w:t>to</w:t>
      </w:r>
      <w:r>
        <w:rPr>
          <w:spacing w:val="-12"/>
        </w:rPr>
        <w:t> </w:t>
      </w:r>
      <w:r>
        <w:rPr/>
        <w:t>overturn</w:t>
      </w:r>
      <w:r>
        <w:rPr>
          <w:spacing w:val="-12"/>
        </w:rPr>
        <w:t> </w:t>
      </w:r>
      <w:r>
        <w:rPr/>
        <w:t>the</w:t>
      </w:r>
      <w:r>
        <w:rPr>
          <w:spacing w:val="-12"/>
        </w:rPr>
        <w:t> </w:t>
      </w:r>
      <w:r>
        <w:rPr/>
        <w:t>new</w:t>
      </w:r>
      <w:r>
        <w:rPr>
          <w:spacing w:val="-11"/>
        </w:rPr>
        <w:t> </w:t>
      </w:r>
      <w:r>
        <w:rPr/>
        <w:t>law</w:t>
      </w:r>
      <w:r>
        <w:rPr>
          <w:spacing w:val="-11"/>
        </w:rPr>
        <w:t> </w:t>
      </w:r>
      <w:r>
        <w:rPr/>
        <w:t>appeared</w:t>
      </w:r>
      <w:r>
        <w:rPr>
          <w:spacing w:val="-13"/>
        </w:rPr>
        <w:t> </w:t>
      </w:r>
      <w:r>
        <w:rPr/>
        <w:t>on</w:t>
      </w:r>
      <w:r>
        <w:rPr>
          <w:spacing w:val="-11"/>
        </w:rPr>
        <w:t> </w:t>
      </w:r>
      <w:r>
        <w:rPr/>
        <w:t>the</w:t>
      </w:r>
      <w:r>
        <w:rPr>
          <w:spacing w:val="-12"/>
        </w:rPr>
        <w:t> </w:t>
      </w:r>
      <w:r>
        <w:rPr/>
        <w:t>midterm</w:t>
      </w:r>
      <w:r>
        <w:rPr>
          <w:spacing w:val="-12"/>
        </w:rPr>
        <w:t> </w:t>
      </w:r>
      <w:r>
        <w:rPr/>
        <w:t>ballot</w:t>
      </w:r>
      <w:r>
        <w:rPr>
          <w:spacing w:val="-12"/>
        </w:rPr>
        <w:t> </w:t>
      </w:r>
      <w:r>
        <w:rPr/>
        <w:t>as</w:t>
      </w:r>
      <w:r>
        <w:rPr>
          <w:spacing w:val="-11"/>
        </w:rPr>
        <w:t> </w:t>
      </w:r>
      <w:r>
        <w:rPr/>
        <w:t>Question</w:t>
      </w:r>
      <w:r>
        <w:rPr>
          <w:spacing w:val="-12"/>
        </w:rPr>
        <w:t> </w:t>
      </w:r>
      <w:r>
        <w:rPr/>
        <w:t>4,</w:t>
      </w:r>
      <w:r>
        <w:rPr>
          <w:spacing w:val="-12"/>
        </w:rPr>
        <w:t> </w:t>
      </w:r>
      <w:r>
        <w:rPr/>
        <w:t>which</w:t>
      </w:r>
      <w:r>
        <w:rPr>
          <w:spacing w:val="-12"/>
        </w:rPr>
        <w:t> </w:t>
      </w:r>
      <w:r>
        <w:rPr/>
        <w:t>passed by slim margins: about 54% of voters supported the measure and 46% did not</w:t>
      </w:r>
      <w:hyperlink w:history="true" w:anchor="_bookmark536">
        <w:r>
          <w:rPr/>
          <w:t>.</w:t>
        </w:r>
        <w:r>
          <w:rPr>
            <w:vertAlign w:val="superscript"/>
          </w:rPr>
          <w:t>12</w:t>
        </w:r>
      </w:hyperlink>
      <w:r>
        <w:rPr>
          <w:vertAlign w:val="baseline"/>
        </w:rPr>
        <w:t>The Commission would also</w:t>
      </w:r>
      <w:r>
        <w:rPr>
          <w:spacing w:val="-6"/>
          <w:vertAlign w:val="baseline"/>
        </w:rPr>
        <w:t> </w:t>
      </w:r>
      <w:r>
        <w:rPr>
          <w:vertAlign w:val="baseline"/>
        </w:rPr>
        <w:t>like</w:t>
      </w:r>
      <w:r>
        <w:rPr>
          <w:spacing w:val="-7"/>
          <w:vertAlign w:val="baseline"/>
        </w:rPr>
        <w:t> </w:t>
      </w:r>
      <w:r>
        <w:rPr>
          <w:vertAlign w:val="baseline"/>
        </w:rPr>
        <w:t>to</w:t>
      </w:r>
      <w:r>
        <w:rPr>
          <w:spacing w:val="-6"/>
          <w:vertAlign w:val="baseline"/>
        </w:rPr>
        <w:t> </w:t>
      </w:r>
      <w:r>
        <w:rPr>
          <w:vertAlign w:val="baseline"/>
        </w:rPr>
        <w:t>note</w:t>
      </w:r>
      <w:r>
        <w:rPr>
          <w:spacing w:val="-7"/>
          <w:vertAlign w:val="baseline"/>
        </w:rPr>
        <w:t> </w:t>
      </w:r>
      <w:r>
        <w:rPr>
          <w:vertAlign w:val="baseline"/>
        </w:rPr>
        <w:t>that</w:t>
      </w:r>
      <w:r>
        <w:rPr>
          <w:spacing w:val="-7"/>
          <w:vertAlign w:val="baseline"/>
        </w:rPr>
        <w:t> </w:t>
      </w:r>
      <w:r>
        <w:rPr>
          <w:vertAlign w:val="baseline"/>
        </w:rPr>
        <w:t>research</w:t>
      </w:r>
      <w:r>
        <w:rPr>
          <w:spacing w:val="-7"/>
          <w:vertAlign w:val="baseline"/>
        </w:rPr>
        <w:t> </w:t>
      </w:r>
      <w:r>
        <w:rPr>
          <w:vertAlign w:val="baseline"/>
        </w:rPr>
        <w:t>on</w:t>
      </w:r>
      <w:r>
        <w:rPr>
          <w:spacing w:val="-7"/>
          <w:vertAlign w:val="baseline"/>
        </w:rPr>
        <w:t> </w:t>
      </w:r>
      <w:r>
        <w:rPr>
          <w:vertAlign w:val="baseline"/>
        </w:rPr>
        <w:t>LGBTQ</w:t>
      </w:r>
      <w:r>
        <w:rPr>
          <w:spacing w:val="-6"/>
          <w:vertAlign w:val="baseline"/>
        </w:rPr>
        <w:t> </w:t>
      </w:r>
      <w:r>
        <w:rPr>
          <w:vertAlign w:val="baseline"/>
        </w:rPr>
        <w:t>migrants</w:t>
      </w:r>
      <w:r>
        <w:rPr>
          <w:spacing w:val="-6"/>
          <w:vertAlign w:val="baseline"/>
        </w:rPr>
        <w:t> </w:t>
      </w:r>
      <w:r>
        <w:rPr>
          <w:vertAlign w:val="baseline"/>
        </w:rPr>
        <w:t>predominantly</w:t>
      </w:r>
      <w:r>
        <w:rPr>
          <w:spacing w:val="-5"/>
          <w:vertAlign w:val="baseline"/>
        </w:rPr>
        <w:t> </w:t>
      </w:r>
      <w:r>
        <w:rPr>
          <w:vertAlign w:val="baseline"/>
        </w:rPr>
        <w:t>focuses</w:t>
      </w:r>
      <w:r>
        <w:rPr>
          <w:spacing w:val="-6"/>
          <w:vertAlign w:val="baseline"/>
        </w:rPr>
        <w:t> </w:t>
      </w:r>
      <w:r>
        <w:rPr>
          <w:vertAlign w:val="baseline"/>
        </w:rPr>
        <w:t>on</w:t>
      </w:r>
      <w:r>
        <w:rPr>
          <w:spacing w:val="-7"/>
          <w:vertAlign w:val="baseline"/>
        </w:rPr>
        <w:t> </w:t>
      </w:r>
      <w:r>
        <w:rPr>
          <w:vertAlign w:val="baseline"/>
        </w:rPr>
        <w:t>the</w:t>
      </w:r>
      <w:r>
        <w:rPr>
          <w:spacing w:val="-5"/>
          <w:vertAlign w:val="baseline"/>
        </w:rPr>
        <w:t> </w:t>
      </w:r>
      <w:r>
        <w:rPr>
          <w:vertAlign w:val="baseline"/>
        </w:rPr>
        <w:t>level</w:t>
      </w:r>
      <w:r>
        <w:rPr>
          <w:spacing w:val="-7"/>
          <w:vertAlign w:val="baseline"/>
        </w:rPr>
        <w:t> </w:t>
      </w:r>
      <w:r>
        <w:rPr>
          <w:vertAlign w:val="baseline"/>
        </w:rPr>
        <w:t>of</w:t>
      </w:r>
      <w:r>
        <w:rPr>
          <w:spacing w:val="-6"/>
          <w:vertAlign w:val="baseline"/>
        </w:rPr>
        <w:t> </w:t>
      </w:r>
      <w:r>
        <w:rPr>
          <w:vertAlign w:val="baseline"/>
        </w:rPr>
        <w:t>national</w:t>
      </w:r>
      <w:r>
        <w:rPr>
          <w:spacing w:val="-7"/>
          <w:vertAlign w:val="baseline"/>
        </w:rPr>
        <w:t> </w:t>
      </w:r>
      <w:r>
        <w:rPr>
          <w:vertAlign w:val="baseline"/>
        </w:rPr>
        <w:t>policy.</w:t>
      </w:r>
      <w:r>
        <w:rPr>
          <w:vertAlign w:val="superscript"/>
        </w:rPr>
        <w:t>13</w:t>
      </w:r>
      <w:r>
        <w:rPr>
          <w:vertAlign w:val="baseline"/>
        </w:rPr>
        <w:t> Such a focus does not mean that states do not have a mixed history of working against or benefiting LGBTQ+ migrants, but rather this focus reflects the need for more scholarship to specifically study the lived experiences and histories of LGBTQ+ migrants within Massachusetts.</w:t>
      </w:r>
    </w:p>
    <w:p>
      <w:pPr>
        <w:pStyle w:val="BodyText"/>
      </w:pPr>
    </w:p>
    <w:p>
      <w:pPr>
        <w:pStyle w:val="BodyText"/>
        <w:spacing w:before="62"/>
      </w:pPr>
    </w:p>
    <w:p>
      <w:pPr>
        <w:spacing w:before="1"/>
        <w:ind w:left="463" w:right="0" w:firstLine="0"/>
        <w:jc w:val="both"/>
        <w:rPr>
          <w:sz w:val="28"/>
        </w:rPr>
      </w:pPr>
      <w:r>
        <w:rPr/>
        <mc:AlternateContent>
          <mc:Choice Requires="wps">
            <w:drawing>
              <wp:anchor distT="0" distB="0" distL="0" distR="0" allowOverlap="1" layoutInCell="1" locked="0" behindDoc="1" simplePos="0" relativeHeight="487669760">
                <wp:simplePos x="0" y="0"/>
                <wp:positionH relativeFrom="page">
                  <wp:posOffset>897636</wp:posOffset>
                </wp:positionH>
                <wp:positionV relativeFrom="paragraph">
                  <wp:posOffset>230098</wp:posOffset>
                </wp:positionV>
                <wp:extent cx="5976620" cy="6350"/>
                <wp:effectExtent l="0" t="0" r="0" b="0"/>
                <wp:wrapTopAndBottom/>
                <wp:docPr id="435" name="Graphic 435"/>
                <wp:cNvGraphicFramePr>
                  <a:graphicFrameLocks/>
                </wp:cNvGraphicFramePr>
                <a:graphic>
                  <a:graphicData uri="http://schemas.microsoft.com/office/word/2010/wordprocessingShape">
                    <wps:wsp>
                      <wps:cNvPr id="435" name="Graphic 435"/>
                      <wps:cNvSpPr/>
                      <wps:spPr>
                        <a:xfrm>
                          <a:off x="0" y="0"/>
                          <a:ext cx="5976620" cy="6350"/>
                        </a:xfrm>
                        <a:custGeom>
                          <a:avLst/>
                          <a:gdLst/>
                          <a:ahLst/>
                          <a:cxnLst/>
                          <a:rect l="l" t="t" r="r" b="b"/>
                          <a:pathLst>
                            <a:path w="5976620" h="6350">
                              <a:moveTo>
                                <a:pt x="5976366" y="0"/>
                              </a:moveTo>
                              <a:lnTo>
                                <a:pt x="0" y="0"/>
                              </a:lnTo>
                              <a:lnTo>
                                <a:pt x="0" y="6096"/>
                              </a:lnTo>
                              <a:lnTo>
                                <a:pt x="5976366" y="6096"/>
                              </a:lnTo>
                              <a:lnTo>
                                <a:pt x="5976366" y="0"/>
                              </a:lnTo>
                              <a:close/>
                            </a:path>
                          </a:pathLst>
                        </a:custGeom>
                        <a:solidFill>
                          <a:srgbClr val="4F81BC"/>
                        </a:solidFill>
                      </wps:spPr>
                      <wps:bodyPr wrap="square" lIns="0" tIns="0" rIns="0" bIns="0" rtlCol="0">
                        <a:prstTxWarp prst="textNoShape">
                          <a:avLst/>
                        </a:prstTxWarp>
                        <a:noAutofit/>
                      </wps:bodyPr>
                    </wps:wsp>
                  </a:graphicData>
                </a:graphic>
              </wp:anchor>
            </w:drawing>
          </mc:Choice>
          <mc:Fallback>
            <w:pict>
              <v:rect style="position:absolute;margin-left:70.680pt;margin-top:18.118008pt;width:470.58pt;height:.48pt;mso-position-horizontal-relative:page;mso-position-vertical-relative:paragraph;z-index:-15646720;mso-wrap-distance-left:0;mso-wrap-distance-right:0" id="docshape349" filled="true" fillcolor="#4f81bc" stroked="false">
                <v:fill type="solid"/>
                <w10:wrap type="topAndBottom"/>
              </v:rect>
            </w:pict>
          </mc:Fallback>
        </mc:AlternateContent>
      </w:r>
      <w:bookmarkStart w:name="Research: Understanding Policy and Resou" w:id="780"/>
      <w:bookmarkEnd w:id="780"/>
      <w:r>
        <w:rPr/>
      </w:r>
      <w:r>
        <w:rPr>
          <w:color w:val="365F91"/>
          <w:sz w:val="28"/>
        </w:rPr>
        <w:t>Research:</w:t>
      </w:r>
      <w:r>
        <w:rPr>
          <w:color w:val="365F91"/>
          <w:spacing w:val="-12"/>
          <w:sz w:val="28"/>
        </w:rPr>
        <w:t> </w:t>
      </w:r>
      <w:r>
        <w:rPr>
          <w:color w:val="365F91"/>
          <w:sz w:val="28"/>
        </w:rPr>
        <w:t>Understanding</w:t>
      </w:r>
      <w:r>
        <w:rPr>
          <w:color w:val="365F91"/>
          <w:spacing w:val="-13"/>
          <w:sz w:val="28"/>
        </w:rPr>
        <w:t> </w:t>
      </w:r>
      <w:r>
        <w:rPr>
          <w:color w:val="365F91"/>
          <w:sz w:val="28"/>
        </w:rPr>
        <w:t>Policy</w:t>
      </w:r>
      <w:r>
        <w:rPr>
          <w:color w:val="365F91"/>
          <w:spacing w:val="-13"/>
          <w:sz w:val="28"/>
        </w:rPr>
        <w:t> </w:t>
      </w:r>
      <w:r>
        <w:rPr>
          <w:color w:val="365F91"/>
          <w:sz w:val="28"/>
        </w:rPr>
        <w:t>and</w:t>
      </w:r>
      <w:r>
        <w:rPr>
          <w:color w:val="365F91"/>
          <w:spacing w:val="-13"/>
          <w:sz w:val="28"/>
        </w:rPr>
        <w:t> </w:t>
      </w:r>
      <w:r>
        <w:rPr>
          <w:color w:val="365F91"/>
          <w:sz w:val="28"/>
        </w:rPr>
        <w:t>Resource</w:t>
      </w:r>
      <w:r>
        <w:rPr>
          <w:color w:val="365F91"/>
          <w:spacing w:val="-13"/>
          <w:sz w:val="28"/>
        </w:rPr>
        <w:t> </w:t>
      </w:r>
      <w:r>
        <w:rPr>
          <w:color w:val="365F91"/>
          <w:spacing w:val="-2"/>
          <w:sz w:val="28"/>
        </w:rPr>
        <w:t>Needs</w:t>
      </w:r>
    </w:p>
    <w:p>
      <w:pPr>
        <w:spacing w:before="240"/>
        <w:ind w:left="463" w:right="0" w:firstLine="0"/>
        <w:jc w:val="both"/>
        <w:rPr>
          <w:sz w:val="24"/>
        </w:rPr>
      </w:pPr>
      <w:bookmarkStart w:name="Data Overview and Limitations" w:id="781"/>
      <w:bookmarkEnd w:id="781"/>
      <w:r>
        <w:rPr/>
      </w:r>
      <w:r>
        <w:rPr>
          <w:color w:val="365F91"/>
          <w:sz w:val="24"/>
        </w:rPr>
        <w:t>Data</w:t>
      </w:r>
      <w:r>
        <w:rPr>
          <w:color w:val="365F91"/>
          <w:spacing w:val="-3"/>
          <w:sz w:val="24"/>
        </w:rPr>
        <w:t> </w:t>
      </w:r>
      <w:r>
        <w:rPr>
          <w:color w:val="365F91"/>
          <w:sz w:val="24"/>
        </w:rPr>
        <w:t>Overview</w:t>
      </w:r>
      <w:r>
        <w:rPr>
          <w:color w:val="365F91"/>
          <w:spacing w:val="-2"/>
          <w:sz w:val="24"/>
        </w:rPr>
        <w:t> </w:t>
      </w:r>
      <w:r>
        <w:rPr>
          <w:color w:val="365F91"/>
          <w:sz w:val="24"/>
        </w:rPr>
        <w:t>and</w:t>
      </w:r>
      <w:r>
        <w:rPr>
          <w:color w:val="365F91"/>
          <w:spacing w:val="-2"/>
          <w:sz w:val="24"/>
        </w:rPr>
        <w:t> Limitations</w:t>
      </w:r>
    </w:p>
    <w:p>
      <w:pPr>
        <w:pStyle w:val="BodyText"/>
        <w:spacing w:line="276" w:lineRule="auto" w:before="241"/>
        <w:ind w:left="463" w:right="262"/>
        <w:jc w:val="both"/>
      </w:pPr>
      <w:r>
        <w:rPr/>
        <w:t>In the United States, little information is available about the number or characteristics of LGBTQ immigrants.</w:t>
      </w:r>
      <w:r>
        <w:rPr>
          <w:spacing w:val="14"/>
        </w:rPr>
        <w:t> </w:t>
      </w:r>
      <w:r>
        <w:rPr/>
        <w:t>Using</w:t>
      </w:r>
      <w:r>
        <w:rPr>
          <w:spacing w:val="13"/>
        </w:rPr>
        <w:t> </w:t>
      </w:r>
      <w:r>
        <w:rPr/>
        <w:t>data</w:t>
      </w:r>
      <w:r>
        <w:rPr>
          <w:spacing w:val="13"/>
        </w:rPr>
        <w:t> </w:t>
      </w:r>
      <w:r>
        <w:rPr/>
        <w:t>from</w:t>
      </w:r>
      <w:r>
        <w:rPr>
          <w:spacing w:val="13"/>
        </w:rPr>
        <w:t> </w:t>
      </w:r>
      <w:r>
        <w:rPr/>
        <w:t>the</w:t>
      </w:r>
      <w:r>
        <w:rPr>
          <w:spacing w:val="13"/>
        </w:rPr>
        <w:t> </w:t>
      </w:r>
      <w:r>
        <w:rPr/>
        <w:t>Pew</w:t>
      </w:r>
      <w:r>
        <w:rPr>
          <w:spacing w:val="15"/>
        </w:rPr>
        <w:t> </w:t>
      </w:r>
      <w:r>
        <w:rPr/>
        <w:t>Research</w:t>
      </w:r>
      <w:r>
        <w:rPr>
          <w:spacing w:val="13"/>
        </w:rPr>
        <w:t> </w:t>
      </w:r>
      <w:r>
        <w:rPr/>
        <w:t>Center,</w:t>
      </w:r>
      <w:r>
        <w:rPr>
          <w:spacing w:val="13"/>
        </w:rPr>
        <w:t> </w:t>
      </w:r>
      <w:r>
        <w:rPr/>
        <w:t>the</w:t>
      </w:r>
      <w:r>
        <w:rPr>
          <w:spacing w:val="14"/>
        </w:rPr>
        <w:t> </w:t>
      </w:r>
      <w:r>
        <w:rPr/>
        <w:t>2017</w:t>
      </w:r>
      <w:r>
        <w:rPr>
          <w:spacing w:val="13"/>
        </w:rPr>
        <w:t> </w:t>
      </w:r>
      <w:r>
        <w:rPr/>
        <w:t>Gallup</w:t>
      </w:r>
      <w:r>
        <w:rPr>
          <w:spacing w:val="14"/>
        </w:rPr>
        <w:t> </w:t>
      </w:r>
      <w:r>
        <w:rPr/>
        <w:t>Daily</w:t>
      </w:r>
      <w:r>
        <w:rPr>
          <w:spacing w:val="13"/>
        </w:rPr>
        <w:t> </w:t>
      </w:r>
      <w:r>
        <w:rPr/>
        <w:t>Tracking</w:t>
      </w:r>
      <w:r>
        <w:rPr>
          <w:spacing w:val="13"/>
        </w:rPr>
        <w:t> </w:t>
      </w:r>
      <w:r>
        <w:rPr/>
        <w:t>Survey,</w:t>
      </w:r>
      <w:r>
        <w:rPr>
          <w:spacing w:val="13"/>
        </w:rPr>
        <w:t> </w:t>
      </w:r>
      <w:r>
        <w:rPr/>
        <w:t>and</w:t>
      </w:r>
      <w:r>
        <w:rPr>
          <w:spacing w:val="13"/>
        </w:rPr>
        <w:t> </w:t>
      </w:r>
      <w:r>
        <w:rPr/>
        <w:t>the</w:t>
      </w:r>
    </w:p>
    <w:p>
      <w:pPr>
        <w:pStyle w:val="BodyText"/>
        <w:spacing w:line="276" w:lineRule="auto" w:before="1"/>
        <w:ind w:left="463" w:right="262"/>
        <w:jc w:val="both"/>
      </w:pPr>
      <w:r>
        <w:rPr/>
        <w:t>U.S.</w:t>
      </w:r>
      <w:r>
        <w:rPr>
          <w:spacing w:val="-13"/>
        </w:rPr>
        <w:t> </w:t>
      </w:r>
      <w:r>
        <w:rPr/>
        <w:t>Census</w:t>
      </w:r>
      <w:r>
        <w:rPr>
          <w:spacing w:val="-12"/>
        </w:rPr>
        <w:t> </w:t>
      </w:r>
      <w:r>
        <w:rPr/>
        <w:t>Bureau’s</w:t>
      </w:r>
      <w:r>
        <w:rPr>
          <w:spacing w:val="-13"/>
        </w:rPr>
        <w:t> </w:t>
      </w:r>
      <w:r>
        <w:rPr/>
        <w:t>American</w:t>
      </w:r>
      <w:r>
        <w:rPr>
          <w:spacing w:val="-12"/>
        </w:rPr>
        <w:t> </w:t>
      </w:r>
      <w:r>
        <w:rPr/>
        <w:t>Community</w:t>
      </w:r>
      <w:r>
        <w:rPr>
          <w:spacing w:val="-12"/>
        </w:rPr>
        <w:t> </w:t>
      </w:r>
      <w:r>
        <w:rPr/>
        <w:t>Survey,</w:t>
      </w:r>
      <w:r>
        <w:rPr>
          <w:spacing w:val="-11"/>
        </w:rPr>
        <w:t> </w:t>
      </w:r>
      <w:r>
        <w:rPr/>
        <w:t>UCLA’s</w:t>
      </w:r>
      <w:r>
        <w:rPr>
          <w:spacing w:val="-13"/>
        </w:rPr>
        <w:t> </w:t>
      </w:r>
      <w:r>
        <w:rPr/>
        <w:t>School</w:t>
      </w:r>
      <w:r>
        <w:rPr>
          <w:spacing w:val="-12"/>
        </w:rPr>
        <w:t> </w:t>
      </w:r>
      <w:r>
        <w:rPr/>
        <w:t>of</w:t>
      </w:r>
      <w:r>
        <w:rPr>
          <w:spacing w:val="-13"/>
        </w:rPr>
        <w:t> </w:t>
      </w:r>
      <w:r>
        <w:rPr/>
        <w:t>Law</w:t>
      </w:r>
      <w:r>
        <w:rPr>
          <w:spacing w:val="-11"/>
        </w:rPr>
        <w:t> </w:t>
      </w:r>
      <w:r>
        <w:rPr/>
        <w:t>Williams</w:t>
      </w:r>
      <w:r>
        <w:rPr>
          <w:spacing w:val="-12"/>
        </w:rPr>
        <w:t> </w:t>
      </w:r>
      <w:r>
        <w:rPr/>
        <w:t>Institute</w:t>
      </w:r>
      <w:r>
        <w:rPr>
          <w:spacing w:val="-12"/>
        </w:rPr>
        <w:t> </w:t>
      </w:r>
      <w:r>
        <w:rPr/>
        <w:t>estimates</w:t>
      </w:r>
      <w:r>
        <w:rPr>
          <w:spacing w:val="-12"/>
        </w:rPr>
        <w:t> </w:t>
      </w:r>
      <w:r>
        <w:rPr/>
        <w:t>that there are approximately 1,274,500 LGBT foreign-born adults in the U.S., including 289,700 (22.7%) who are undocumented and 984,800 (77.3%) who are documented</w:t>
      </w:r>
      <w:hyperlink w:history="true" w:anchor="_bookmark536">
        <w:r>
          <w:rPr/>
          <w:t>.</w:t>
        </w:r>
        <w:r>
          <w:rPr>
            <w:vertAlign w:val="superscript"/>
          </w:rPr>
          <w:t>13</w:t>
        </w:r>
      </w:hyperlink>
      <w:r>
        <w:rPr>
          <w:vertAlign w:val="baseline"/>
        </w:rPr>
        <w:t> Their report found the following: relative</w:t>
      </w:r>
      <w:r>
        <w:rPr>
          <w:spacing w:val="40"/>
          <w:vertAlign w:val="baseline"/>
        </w:rPr>
        <w:t> </w:t>
      </w:r>
      <w:r>
        <w:rPr>
          <w:vertAlign w:val="baseline"/>
        </w:rPr>
        <w:t>to</w:t>
      </w:r>
      <w:r>
        <w:rPr>
          <w:spacing w:val="40"/>
          <w:vertAlign w:val="baseline"/>
        </w:rPr>
        <w:t> </w:t>
      </w:r>
      <w:r>
        <w:rPr>
          <w:vertAlign w:val="baseline"/>
        </w:rPr>
        <w:t>all</w:t>
      </w:r>
      <w:r>
        <w:rPr>
          <w:spacing w:val="40"/>
          <w:vertAlign w:val="baseline"/>
        </w:rPr>
        <w:t> </w:t>
      </w:r>
      <w:r>
        <w:rPr>
          <w:vertAlign w:val="baseline"/>
        </w:rPr>
        <w:t>undocumented immigrants, LGBT undocumented immigrants are more often male, between the ages of 18 and 29, and Latino/a; the same holds true for LGBTQ documented immigrants.</w:t>
      </w:r>
    </w:p>
    <w:p>
      <w:pPr>
        <w:pStyle w:val="BodyText"/>
        <w:spacing w:line="276" w:lineRule="auto" w:before="240"/>
        <w:ind w:left="463" w:right="262"/>
        <w:jc w:val="both"/>
      </w:pPr>
      <w:r>
        <w:rPr/>
        <w:t>Similarly, using data from The Trevor Project’s 2020 National Survey on LGBTQ Youth Mental Health</w:t>
      </w:r>
      <w:hyperlink w:history="true" w:anchor="_bookmark536">
        <w:r>
          <w:rPr/>
          <w:t>,</w:t>
        </w:r>
        <w:r>
          <w:rPr>
            <w:vertAlign w:val="superscript"/>
          </w:rPr>
          <w:t>14</w:t>
        </w:r>
      </w:hyperlink>
      <w:r>
        <w:rPr>
          <w:vertAlign w:val="baseline"/>
        </w:rPr>
        <w:t> researchers</w:t>
      </w:r>
      <w:r>
        <w:rPr>
          <w:spacing w:val="-7"/>
          <w:vertAlign w:val="baseline"/>
        </w:rPr>
        <w:t> </w:t>
      </w:r>
      <w:r>
        <w:rPr>
          <w:vertAlign w:val="baseline"/>
        </w:rPr>
        <w:t>found</w:t>
      </w:r>
      <w:r>
        <w:rPr>
          <w:spacing w:val="-8"/>
          <w:vertAlign w:val="baseline"/>
        </w:rPr>
        <w:t> </w:t>
      </w:r>
      <w:r>
        <w:rPr>
          <w:vertAlign w:val="baseline"/>
        </w:rPr>
        <w:t>that</w:t>
      </w:r>
      <w:r>
        <w:rPr>
          <w:spacing w:val="-7"/>
          <w:vertAlign w:val="baseline"/>
        </w:rPr>
        <w:t> </w:t>
      </w:r>
      <w:r>
        <w:rPr>
          <w:vertAlign w:val="baseline"/>
        </w:rPr>
        <w:t>nearly</w:t>
      </w:r>
      <w:r>
        <w:rPr>
          <w:spacing w:val="-8"/>
          <w:vertAlign w:val="baseline"/>
        </w:rPr>
        <w:t> </w:t>
      </w:r>
      <w:r>
        <w:rPr>
          <w:vertAlign w:val="baseline"/>
        </w:rPr>
        <w:t>1</w:t>
      </w:r>
      <w:r>
        <w:rPr>
          <w:spacing w:val="-8"/>
          <w:vertAlign w:val="baseline"/>
        </w:rPr>
        <w:t> </w:t>
      </w:r>
      <w:r>
        <w:rPr>
          <w:vertAlign w:val="baseline"/>
        </w:rPr>
        <w:t>out</w:t>
      </w:r>
      <w:r>
        <w:rPr>
          <w:spacing w:val="-8"/>
          <w:vertAlign w:val="baseline"/>
        </w:rPr>
        <w:t> </w:t>
      </w:r>
      <w:r>
        <w:rPr>
          <w:vertAlign w:val="baseline"/>
        </w:rPr>
        <w:t>of</w:t>
      </w:r>
      <w:r>
        <w:rPr>
          <w:spacing w:val="-8"/>
          <w:vertAlign w:val="baseline"/>
        </w:rPr>
        <w:t> </w:t>
      </w:r>
      <w:r>
        <w:rPr>
          <w:vertAlign w:val="baseline"/>
        </w:rPr>
        <w:t>4</w:t>
      </w:r>
      <w:r>
        <w:rPr>
          <w:spacing w:val="-6"/>
          <w:vertAlign w:val="baseline"/>
        </w:rPr>
        <w:t> </w:t>
      </w:r>
      <w:r>
        <w:rPr>
          <w:vertAlign w:val="baseline"/>
        </w:rPr>
        <w:t>LGBTQ</w:t>
      </w:r>
      <w:r>
        <w:rPr>
          <w:spacing w:val="-7"/>
          <w:vertAlign w:val="baseline"/>
        </w:rPr>
        <w:t> </w:t>
      </w:r>
      <w:r>
        <w:rPr>
          <w:vertAlign w:val="baseline"/>
        </w:rPr>
        <w:t>youth</w:t>
      </w:r>
      <w:r>
        <w:rPr>
          <w:spacing w:val="-7"/>
          <w:vertAlign w:val="baseline"/>
        </w:rPr>
        <w:t> </w:t>
      </w:r>
      <w:r>
        <w:rPr>
          <w:vertAlign w:val="baseline"/>
        </w:rPr>
        <w:t>(24%)</w:t>
      </w:r>
      <w:r>
        <w:rPr>
          <w:spacing w:val="-7"/>
          <w:vertAlign w:val="baseline"/>
        </w:rPr>
        <w:t> </w:t>
      </w:r>
      <w:r>
        <w:rPr>
          <w:vertAlign w:val="baseline"/>
        </w:rPr>
        <w:t>in</w:t>
      </w:r>
      <w:r>
        <w:rPr>
          <w:spacing w:val="-8"/>
          <w:vertAlign w:val="baseline"/>
        </w:rPr>
        <w:t> </w:t>
      </w:r>
      <w:r>
        <w:rPr>
          <w:vertAlign w:val="baseline"/>
        </w:rPr>
        <w:t>their</w:t>
      </w:r>
      <w:r>
        <w:rPr>
          <w:spacing w:val="-8"/>
          <w:vertAlign w:val="baseline"/>
        </w:rPr>
        <w:t> </w:t>
      </w:r>
      <w:r>
        <w:rPr>
          <w:vertAlign w:val="baseline"/>
        </w:rPr>
        <w:t>sample</w:t>
      </w:r>
      <w:r>
        <w:rPr>
          <w:spacing w:val="-8"/>
          <w:vertAlign w:val="baseline"/>
        </w:rPr>
        <w:t> </w:t>
      </w:r>
      <w:r>
        <w:rPr>
          <w:vertAlign w:val="baseline"/>
        </w:rPr>
        <w:t>indicated</w:t>
      </w:r>
      <w:r>
        <w:rPr>
          <w:spacing w:val="-7"/>
          <w:vertAlign w:val="baseline"/>
        </w:rPr>
        <w:t> </w:t>
      </w:r>
      <w:r>
        <w:rPr>
          <w:vertAlign w:val="baseline"/>
        </w:rPr>
        <w:t>that</w:t>
      </w:r>
      <w:r>
        <w:rPr>
          <w:spacing w:val="-8"/>
          <w:vertAlign w:val="baseline"/>
        </w:rPr>
        <w:t> </w:t>
      </w:r>
      <w:r>
        <w:rPr>
          <w:vertAlign w:val="baseline"/>
        </w:rPr>
        <w:t>they</w:t>
      </w:r>
      <w:r>
        <w:rPr>
          <w:spacing w:val="-8"/>
          <w:vertAlign w:val="baseline"/>
        </w:rPr>
        <w:t> </w:t>
      </w:r>
      <w:r>
        <w:rPr>
          <w:vertAlign w:val="baseline"/>
        </w:rPr>
        <w:t>are</w:t>
      </w:r>
      <w:r>
        <w:rPr>
          <w:spacing w:val="-8"/>
          <w:vertAlign w:val="baseline"/>
        </w:rPr>
        <w:t> </w:t>
      </w:r>
      <w:r>
        <w:rPr>
          <w:vertAlign w:val="baseline"/>
        </w:rPr>
        <w:t>a</w:t>
      </w:r>
      <w:r>
        <w:rPr>
          <w:spacing w:val="-7"/>
          <w:vertAlign w:val="baseline"/>
        </w:rPr>
        <w:t> </w:t>
      </w:r>
      <w:r>
        <w:rPr>
          <w:vertAlign w:val="baseline"/>
        </w:rPr>
        <w:t>first- generation youth. However, more research needs to be done to capture the national and state number and characteristics of first-generation LGBTQ youth, and their experiences in state systems.</w:t>
      </w:r>
    </w:p>
    <w:p>
      <w:pPr>
        <w:spacing w:after="0" w:line="276" w:lineRule="auto"/>
        <w:jc w:val="both"/>
        <w:sectPr>
          <w:pgSz w:w="12240" w:h="15840"/>
          <w:pgMar w:header="805" w:footer="1208" w:top="1080" w:bottom="1460" w:left="980" w:right="1180"/>
        </w:sectPr>
      </w:pPr>
    </w:p>
    <w:p>
      <w:pPr>
        <w:pStyle w:val="BodyText"/>
        <w:spacing w:line="276" w:lineRule="auto" w:before="69"/>
        <w:ind w:left="319" w:right="263"/>
        <w:jc w:val="both"/>
      </w:pPr>
      <w:r>
        <w:rPr/>
        <w:t>Representative information about LGBTQ foreign-born youth specifically is largely missing for the U.S. population</w:t>
      </w:r>
      <w:r>
        <w:rPr>
          <w:spacing w:val="-1"/>
        </w:rPr>
        <w:t> </w:t>
      </w:r>
      <w:r>
        <w:rPr/>
        <w:t>because</w:t>
      </w:r>
      <w:r>
        <w:rPr>
          <w:spacing w:val="-2"/>
        </w:rPr>
        <w:t> </w:t>
      </w:r>
      <w:r>
        <w:rPr/>
        <w:t>large</w:t>
      </w:r>
      <w:r>
        <w:rPr>
          <w:spacing w:val="-1"/>
        </w:rPr>
        <w:t> </w:t>
      </w:r>
      <w:r>
        <w:rPr/>
        <w:t>surveys</w:t>
      </w:r>
      <w:r>
        <w:rPr>
          <w:spacing w:val="-1"/>
        </w:rPr>
        <w:t> </w:t>
      </w:r>
      <w:r>
        <w:rPr/>
        <w:t>conducted</w:t>
      </w:r>
      <w:r>
        <w:rPr>
          <w:spacing w:val="-1"/>
        </w:rPr>
        <w:t> </w:t>
      </w:r>
      <w:r>
        <w:rPr/>
        <w:t>by the U.S.</w:t>
      </w:r>
      <w:r>
        <w:rPr>
          <w:spacing w:val="-1"/>
        </w:rPr>
        <w:t> </w:t>
      </w:r>
      <w:r>
        <w:rPr/>
        <w:t>Census Bureau,</w:t>
      </w:r>
      <w:r>
        <w:rPr>
          <w:spacing w:val="-1"/>
        </w:rPr>
        <w:t> </w:t>
      </w:r>
      <w:r>
        <w:rPr/>
        <w:t>such</w:t>
      </w:r>
      <w:r>
        <w:rPr>
          <w:spacing w:val="-2"/>
        </w:rPr>
        <w:t> </w:t>
      </w:r>
      <w:r>
        <w:rPr/>
        <w:t>as</w:t>
      </w:r>
      <w:r>
        <w:rPr>
          <w:spacing w:val="-1"/>
        </w:rPr>
        <w:t> </w:t>
      </w:r>
      <w:r>
        <w:rPr/>
        <w:t>the American</w:t>
      </w:r>
      <w:r>
        <w:rPr>
          <w:spacing w:val="-2"/>
        </w:rPr>
        <w:t> </w:t>
      </w:r>
      <w:r>
        <w:rPr/>
        <w:t>Community</w:t>
      </w:r>
    </w:p>
    <w:p>
      <w:pPr>
        <w:pStyle w:val="BodyText"/>
        <w:spacing w:line="276" w:lineRule="auto"/>
        <w:ind w:left="4970" w:right="260"/>
        <w:jc w:val="both"/>
      </w:pPr>
      <w:r>
        <w:rPr/>
        <w:drawing>
          <wp:anchor distT="0" distB="0" distL="0" distR="0" allowOverlap="1" layoutInCell="1" locked="0" behindDoc="0" simplePos="0" relativeHeight="15811072">
            <wp:simplePos x="0" y="0"/>
            <wp:positionH relativeFrom="page">
              <wp:posOffset>825500</wp:posOffset>
            </wp:positionH>
            <wp:positionV relativeFrom="paragraph">
              <wp:posOffset>202002</wp:posOffset>
            </wp:positionV>
            <wp:extent cx="2861550" cy="2093588"/>
            <wp:effectExtent l="0" t="0" r="0" b="0"/>
            <wp:wrapNone/>
            <wp:docPr id="436" name="Image 436" descr="A green square with black text  Description automatically generated "/>
            <wp:cNvGraphicFramePr>
              <a:graphicFrameLocks/>
            </wp:cNvGraphicFramePr>
            <a:graphic>
              <a:graphicData uri="http://schemas.openxmlformats.org/drawingml/2006/picture">
                <pic:pic>
                  <pic:nvPicPr>
                    <pic:cNvPr id="436" name="Image 436" descr="A green square with black text  Description automatically generated "/>
                    <pic:cNvPicPr/>
                  </pic:nvPicPr>
                  <pic:blipFill>
                    <a:blip r:embed="rId567" cstate="print"/>
                    <a:stretch>
                      <a:fillRect/>
                    </a:stretch>
                  </pic:blipFill>
                  <pic:spPr>
                    <a:xfrm>
                      <a:off x="0" y="0"/>
                      <a:ext cx="2861550" cy="2093588"/>
                    </a:xfrm>
                    <a:prstGeom prst="rect">
                      <a:avLst/>
                    </a:prstGeom>
                  </pic:spPr>
                </pic:pic>
              </a:graphicData>
            </a:graphic>
          </wp:anchor>
        </w:drawing>
      </w:r>
      <w:r>
        <w:rPr/>
        <w:t>Survey and Current Population Survey, do not collect data about sexual orientation and gender identity or expression</w:t>
      </w:r>
      <w:r>
        <w:rPr>
          <w:spacing w:val="-9"/>
        </w:rPr>
        <w:t> </w:t>
      </w:r>
      <w:r>
        <w:rPr/>
        <w:t>(SOGIE).</w:t>
      </w:r>
      <w:r>
        <w:rPr>
          <w:spacing w:val="-8"/>
        </w:rPr>
        <w:t> </w:t>
      </w:r>
      <w:hyperlink w:history="true" w:anchor="_bookmark536">
        <w:r>
          <w:rPr>
            <w:vertAlign w:val="superscript"/>
          </w:rPr>
          <w:t>15</w:t>
        </w:r>
      </w:hyperlink>
      <w:r>
        <w:rPr>
          <w:spacing w:val="-9"/>
          <w:vertAlign w:val="baseline"/>
        </w:rPr>
        <w:t> </w:t>
      </w:r>
      <w:r>
        <w:rPr>
          <w:vertAlign w:val="baseline"/>
        </w:rPr>
        <w:t>Additionally,</w:t>
      </w:r>
      <w:r>
        <w:rPr>
          <w:spacing w:val="-8"/>
          <w:vertAlign w:val="baseline"/>
        </w:rPr>
        <w:t> </w:t>
      </w:r>
      <w:r>
        <w:rPr>
          <w:vertAlign w:val="baseline"/>
        </w:rPr>
        <w:t>neither</w:t>
      </w:r>
      <w:r>
        <w:rPr>
          <w:spacing w:val="-8"/>
          <w:vertAlign w:val="baseline"/>
        </w:rPr>
        <w:t> </w:t>
      </w:r>
      <w:r>
        <w:rPr>
          <w:vertAlign w:val="baseline"/>
        </w:rPr>
        <w:t>federal</w:t>
      </w:r>
      <w:r>
        <w:rPr>
          <w:spacing w:val="-7"/>
          <w:vertAlign w:val="baseline"/>
        </w:rPr>
        <w:t> </w:t>
      </w:r>
      <w:r>
        <w:rPr>
          <w:vertAlign w:val="baseline"/>
        </w:rPr>
        <w:t>nor state agencies collect SOGIE data in its immigration programs, making data on this population scarce.</w:t>
      </w:r>
      <w:hyperlink w:history="true" w:anchor="_bookmark536">
        <w:r>
          <w:rPr>
            <w:vertAlign w:val="superscript"/>
          </w:rPr>
          <w:t>16</w:t>
        </w:r>
      </w:hyperlink>
      <w:r>
        <w:rPr>
          <w:vertAlign w:val="baseline"/>
        </w:rPr>
        <w:t> Beyond</w:t>
      </w:r>
      <w:r>
        <w:rPr>
          <w:spacing w:val="-3"/>
          <w:vertAlign w:val="baseline"/>
        </w:rPr>
        <w:t> </w:t>
      </w:r>
      <w:r>
        <w:rPr>
          <w:vertAlign w:val="baseline"/>
        </w:rPr>
        <w:t>the</w:t>
      </w:r>
      <w:r>
        <w:rPr>
          <w:spacing w:val="-2"/>
          <w:vertAlign w:val="baseline"/>
        </w:rPr>
        <w:t> </w:t>
      </w:r>
      <w:r>
        <w:rPr>
          <w:vertAlign w:val="baseline"/>
        </w:rPr>
        <w:t>given</w:t>
      </w:r>
      <w:r>
        <w:rPr>
          <w:spacing w:val="-3"/>
          <w:vertAlign w:val="baseline"/>
        </w:rPr>
        <w:t> </w:t>
      </w:r>
      <w:r>
        <w:rPr>
          <w:vertAlign w:val="baseline"/>
        </w:rPr>
        <w:t>estimates</w:t>
      </w:r>
      <w:r>
        <w:rPr>
          <w:spacing w:val="-2"/>
          <w:vertAlign w:val="baseline"/>
        </w:rPr>
        <w:t> </w:t>
      </w:r>
      <w:r>
        <w:rPr>
          <w:vertAlign w:val="baseline"/>
        </w:rPr>
        <w:t>in</w:t>
      </w:r>
      <w:r>
        <w:rPr>
          <w:spacing w:val="-3"/>
          <w:vertAlign w:val="baseline"/>
        </w:rPr>
        <w:t> </w:t>
      </w:r>
      <w:r>
        <w:rPr>
          <w:vertAlign w:val="baseline"/>
        </w:rPr>
        <w:t>this</w:t>
      </w:r>
      <w:r>
        <w:rPr>
          <w:spacing w:val="-2"/>
          <w:vertAlign w:val="baseline"/>
        </w:rPr>
        <w:t> </w:t>
      </w:r>
      <w:r>
        <w:rPr>
          <w:vertAlign w:val="baseline"/>
        </w:rPr>
        <w:t>report,</w:t>
      </w:r>
      <w:r>
        <w:rPr>
          <w:spacing w:val="-2"/>
          <w:vertAlign w:val="baseline"/>
        </w:rPr>
        <w:t> </w:t>
      </w:r>
      <w:r>
        <w:rPr>
          <w:vertAlign w:val="baseline"/>
        </w:rPr>
        <w:t>not</w:t>
      </w:r>
      <w:r>
        <w:rPr>
          <w:spacing w:val="-3"/>
          <w:vertAlign w:val="baseline"/>
        </w:rPr>
        <w:t> </w:t>
      </w:r>
      <w:r>
        <w:rPr>
          <w:vertAlign w:val="baseline"/>
        </w:rPr>
        <w:t>much</w:t>
      </w:r>
      <w:r>
        <w:rPr>
          <w:spacing w:val="-3"/>
          <w:vertAlign w:val="baseline"/>
        </w:rPr>
        <w:t> </w:t>
      </w:r>
      <w:r>
        <w:rPr>
          <w:vertAlign w:val="baseline"/>
        </w:rPr>
        <w:t>is reported about the number of or specific experiences of foreign-born LGBTQ youth in Massachusetts; all of the data presented in this report stems from national research, as there is little to no accessible state-level data available on foreign-born LGBTQ youth in </w:t>
      </w:r>
      <w:r>
        <w:rPr>
          <w:spacing w:val="-2"/>
          <w:vertAlign w:val="baseline"/>
        </w:rPr>
        <w:t>Massachusetts.</w:t>
      </w:r>
    </w:p>
    <w:p>
      <w:pPr>
        <w:pStyle w:val="BodyText"/>
        <w:spacing w:line="276" w:lineRule="auto" w:before="239"/>
        <w:ind w:left="463" w:right="261"/>
        <w:jc w:val="both"/>
      </w:pPr>
      <w:r>
        <w:rPr/>
        <w:t>Additionally, in research, scholars of immigration and sexuality have suggested a profound heteronormativity in immigration scholarship and a clear assumption of LGBTQ people possessing citizenship in their country of residence</w:t>
      </w:r>
      <w:hyperlink w:history="true" w:anchor="_bookmark537">
        <w:r>
          <w:rPr/>
          <w:t>.</w:t>
        </w:r>
        <w:r>
          <w:rPr>
            <w:vertAlign w:val="superscript"/>
          </w:rPr>
          <w:t>17</w:t>
        </w:r>
      </w:hyperlink>
      <w:r>
        <w:rPr>
          <w:vertAlign w:val="baseline"/>
        </w:rPr>
        <w:t> These blind spots in both kinds of scholarship lead to the erasure of the lives, experiences, and needs of those who are LGBTQ and not a citizen of the country where they reside.</w:t>
      </w:r>
    </w:p>
    <w:p>
      <w:pPr>
        <w:spacing w:before="240"/>
        <w:ind w:left="463" w:right="0" w:firstLine="0"/>
        <w:jc w:val="both"/>
        <w:rPr>
          <w:sz w:val="28"/>
        </w:rPr>
      </w:pPr>
      <w:bookmarkStart w:name="Note on Intersectionality" w:id="782"/>
      <w:bookmarkEnd w:id="782"/>
      <w:r>
        <w:rPr/>
      </w:r>
      <w:r>
        <w:rPr>
          <w:color w:val="365F91"/>
          <w:sz w:val="28"/>
        </w:rPr>
        <w:t>Note</w:t>
      </w:r>
      <w:r>
        <w:rPr>
          <w:color w:val="365F91"/>
          <w:spacing w:val="-5"/>
          <w:sz w:val="28"/>
        </w:rPr>
        <w:t> </w:t>
      </w:r>
      <w:r>
        <w:rPr>
          <w:color w:val="365F91"/>
          <w:sz w:val="28"/>
        </w:rPr>
        <w:t>on</w:t>
      </w:r>
      <w:r>
        <w:rPr>
          <w:color w:val="365F91"/>
          <w:spacing w:val="-6"/>
          <w:sz w:val="28"/>
        </w:rPr>
        <w:t> </w:t>
      </w:r>
      <w:r>
        <w:rPr>
          <w:color w:val="365F91"/>
          <w:spacing w:val="-2"/>
          <w:sz w:val="28"/>
        </w:rPr>
        <w:t>Intersectionality</w:t>
      </w:r>
    </w:p>
    <w:p>
      <w:pPr>
        <w:pStyle w:val="BodyText"/>
        <w:spacing w:line="276" w:lineRule="auto" w:before="241"/>
        <w:ind w:left="463" w:right="261"/>
        <w:jc w:val="both"/>
      </w:pPr>
      <w:r>
        <w:rPr/>
        <w:t>For</w:t>
      </w:r>
      <w:r>
        <w:rPr>
          <w:spacing w:val="-9"/>
        </w:rPr>
        <w:t> </w:t>
      </w:r>
      <w:r>
        <w:rPr/>
        <w:t>every</w:t>
      </w:r>
      <w:r>
        <w:rPr>
          <w:spacing w:val="-9"/>
        </w:rPr>
        <w:t> </w:t>
      </w:r>
      <w:r>
        <w:rPr/>
        <w:t>LGBTQ</w:t>
      </w:r>
      <w:r>
        <w:rPr>
          <w:spacing w:val="-9"/>
        </w:rPr>
        <w:t> </w:t>
      </w:r>
      <w:r>
        <w:rPr/>
        <w:t>person,</w:t>
      </w:r>
      <w:r>
        <w:rPr>
          <w:spacing w:val="-9"/>
        </w:rPr>
        <w:t> </w:t>
      </w:r>
      <w:r>
        <w:rPr/>
        <w:t>“coming</w:t>
      </w:r>
      <w:r>
        <w:rPr>
          <w:spacing w:val="-9"/>
        </w:rPr>
        <w:t> </w:t>
      </w:r>
      <w:r>
        <w:rPr/>
        <w:t>out”</w:t>
      </w:r>
      <w:r>
        <w:rPr>
          <w:spacing w:val="-8"/>
        </w:rPr>
        <w:t> </w:t>
      </w:r>
      <w:r>
        <w:rPr/>
        <w:t>is</w:t>
      </w:r>
      <w:r>
        <w:rPr>
          <w:spacing w:val="-7"/>
        </w:rPr>
        <w:t> </w:t>
      </w:r>
      <w:r>
        <w:rPr/>
        <w:t>a</w:t>
      </w:r>
      <w:r>
        <w:rPr>
          <w:spacing w:val="-9"/>
        </w:rPr>
        <w:t> </w:t>
      </w:r>
      <w:r>
        <w:rPr/>
        <w:t>process</w:t>
      </w:r>
      <w:r>
        <w:rPr>
          <w:spacing w:val="-8"/>
        </w:rPr>
        <w:t> </w:t>
      </w:r>
      <w:r>
        <w:rPr/>
        <w:t>that</w:t>
      </w:r>
      <w:r>
        <w:rPr>
          <w:spacing w:val="-9"/>
        </w:rPr>
        <w:t> </w:t>
      </w:r>
      <w:r>
        <w:rPr/>
        <w:t>continues</w:t>
      </w:r>
      <w:r>
        <w:rPr>
          <w:spacing w:val="-8"/>
        </w:rPr>
        <w:t> </w:t>
      </w:r>
      <w:r>
        <w:rPr/>
        <w:t>throughout</w:t>
      </w:r>
      <w:r>
        <w:rPr>
          <w:spacing w:val="-9"/>
        </w:rPr>
        <w:t> </w:t>
      </w:r>
      <w:r>
        <w:rPr/>
        <w:t>life.</w:t>
      </w:r>
      <w:hyperlink w:history="true" w:anchor="_bookmark537">
        <w:r>
          <w:rPr>
            <w:vertAlign w:val="superscript"/>
          </w:rPr>
          <w:t>18</w:t>
        </w:r>
      </w:hyperlink>
      <w:r>
        <w:rPr>
          <w:spacing w:val="-9"/>
          <w:vertAlign w:val="baseline"/>
        </w:rPr>
        <w:t> </w:t>
      </w:r>
      <w:r>
        <w:rPr>
          <w:vertAlign w:val="baseline"/>
        </w:rPr>
        <w:t>Identifying</w:t>
      </w:r>
      <w:r>
        <w:rPr>
          <w:spacing w:val="-8"/>
          <w:vertAlign w:val="baseline"/>
        </w:rPr>
        <w:t> </w:t>
      </w:r>
      <w:r>
        <w:rPr>
          <w:vertAlign w:val="baseline"/>
        </w:rPr>
        <w:t>within</w:t>
      </w:r>
      <w:r>
        <w:rPr>
          <w:spacing w:val="-8"/>
          <w:vertAlign w:val="baseline"/>
        </w:rPr>
        <w:t> </w:t>
      </w:r>
      <w:r>
        <w:rPr>
          <w:vertAlign w:val="baseline"/>
        </w:rPr>
        <w:t>the LGBTQ</w:t>
      </w:r>
      <w:r>
        <w:rPr>
          <w:spacing w:val="-7"/>
          <w:vertAlign w:val="baseline"/>
        </w:rPr>
        <w:t> </w:t>
      </w:r>
      <w:r>
        <w:rPr>
          <w:vertAlign w:val="baseline"/>
        </w:rPr>
        <w:t>community</w:t>
      </w:r>
      <w:r>
        <w:rPr>
          <w:spacing w:val="-7"/>
          <w:vertAlign w:val="baseline"/>
        </w:rPr>
        <w:t> </w:t>
      </w:r>
      <w:r>
        <w:rPr>
          <w:vertAlign w:val="baseline"/>
        </w:rPr>
        <w:t>has</w:t>
      </w:r>
      <w:r>
        <w:rPr>
          <w:spacing w:val="-7"/>
          <w:vertAlign w:val="baseline"/>
        </w:rPr>
        <w:t> </w:t>
      </w:r>
      <w:r>
        <w:rPr>
          <w:vertAlign w:val="baseline"/>
        </w:rPr>
        <w:t>its</w:t>
      </w:r>
      <w:r>
        <w:rPr>
          <w:spacing w:val="-7"/>
          <w:vertAlign w:val="baseline"/>
        </w:rPr>
        <w:t> </w:t>
      </w:r>
      <w:r>
        <w:rPr>
          <w:vertAlign w:val="baseline"/>
        </w:rPr>
        <w:t>coming</w:t>
      </w:r>
      <w:r>
        <w:rPr>
          <w:spacing w:val="-8"/>
          <w:vertAlign w:val="baseline"/>
        </w:rPr>
        <w:t> </w:t>
      </w:r>
      <w:r>
        <w:rPr>
          <w:vertAlign w:val="baseline"/>
        </w:rPr>
        <w:t>out</w:t>
      </w:r>
      <w:r>
        <w:rPr>
          <w:spacing w:val="-8"/>
          <w:vertAlign w:val="baseline"/>
        </w:rPr>
        <w:t> </w:t>
      </w:r>
      <w:r>
        <w:rPr>
          <w:vertAlign w:val="baseline"/>
        </w:rPr>
        <w:t>process,</w:t>
      </w:r>
      <w:r>
        <w:rPr>
          <w:spacing w:val="-8"/>
          <w:vertAlign w:val="baseline"/>
        </w:rPr>
        <w:t> </w:t>
      </w:r>
      <w:r>
        <w:rPr>
          <w:vertAlign w:val="baseline"/>
        </w:rPr>
        <w:t>which</w:t>
      </w:r>
      <w:r>
        <w:rPr>
          <w:spacing w:val="-7"/>
          <w:vertAlign w:val="baseline"/>
        </w:rPr>
        <w:t> </w:t>
      </w:r>
      <w:r>
        <w:rPr>
          <w:vertAlign w:val="baseline"/>
        </w:rPr>
        <w:t>can</w:t>
      </w:r>
      <w:r>
        <w:rPr>
          <w:spacing w:val="-8"/>
          <w:vertAlign w:val="baseline"/>
        </w:rPr>
        <w:t> </w:t>
      </w:r>
      <w:r>
        <w:rPr>
          <w:vertAlign w:val="baseline"/>
        </w:rPr>
        <w:t>include</w:t>
      </w:r>
      <w:r>
        <w:rPr>
          <w:spacing w:val="-6"/>
          <w:vertAlign w:val="baseline"/>
        </w:rPr>
        <w:t> </w:t>
      </w:r>
      <w:r>
        <w:rPr>
          <w:vertAlign w:val="baseline"/>
        </w:rPr>
        <w:t>challenges</w:t>
      </w:r>
      <w:r>
        <w:rPr>
          <w:spacing w:val="-7"/>
          <w:vertAlign w:val="baseline"/>
        </w:rPr>
        <w:t> </w:t>
      </w:r>
      <w:r>
        <w:rPr>
          <w:vertAlign w:val="baseline"/>
        </w:rPr>
        <w:t>around</w:t>
      </w:r>
      <w:r>
        <w:rPr>
          <w:spacing w:val="-8"/>
          <w:vertAlign w:val="baseline"/>
        </w:rPr>
        <w:t> </w:t>
      </w:r>
      <w:r>
        <w:rPr>
          <w:vertAlign w:val="baseline"/>
        </w:rPr>
        <w:t>personal</w:t>
      </w:r>
      <w:r>
        <w:rPr>
          <w:spacing w:val="-6"/>
          <w:vertAlign w:val="baseline"/>
        </w:rPr>
        <w:t> </w:t>
      </w:r>
      <w:r>
        <w:rPr>
          <w:vertAlign w:val="baseline"/>
        </w:rPr>
        <w:t>acceptance, family acceptance, and societal stigmas. Similarly, being part of a family with undocumented or mixed immigration status also comes with unique struggles, including navigating various government systems and institutions, and forcing LGBTQ youth to make difficult choices between their well-being and that of their</w:t>
      </w:r>
      <w:r>
        <w:rPr>
          <w:spacing w:val="-7"/>
          <w:vertAlign w:val="baseline"/>
        </w:rPr>
        <w:t> </w:t>
      </w:r>
      <w:r>
        <w:rPr>
          <w:vertAlign w:val="baseline"/>
        </w:rPr>
        <w:t>family.</w:t>
      </w:r>
      <w:r>
        <w:rPr>
          <w:spacing w:val="-7"/>
          <w:vertAlign w:val="baseline"/>
        </w:rPr>
        <w:t> </w:t>
      </w:r>
      <w:r>
        <w:rPr>
          <w:vertAlign w:val="baseline"/>
        </w:rPr>
        <w:t>Additionally,</w:t>
      </w:r>
      <w:r>
        <w:rPr>
          <w:spacing w:val="-6"/>
          <w:vertAlign w:val="baseline"/>
        </w:rPr>
        <w:t> </w:t>
      </w:r>
      <w:r>
        <w:rPr>
          <w:vertAlign w:val="baseline"/>
        </w:rPr>
        <w:t>due</w:t>
      </w:r>
      <w:r>
        <w:rPr>
          <w:spacing w:val="-8"/>
          <w:vertAlign w:val="baseline"/>
        </w:rPr>
        <w:t> </w:t>
      </w:r>
      <w:r>
        <w:rPr>
          <w:vertAlign w:val="baseline"/>
        </w:rPr>
        <w:t>to</w:t>
      </w:r>
      <w:r>
        <w:rPr>
          <w:spacing w:val="-7"/>
          <w:vertAlign w:val="baseline"/>
        </w:rPr>
        <w:t> </w:t>
      </w:r>
      <w:r>
        <w:rPr>
          <w:vertAlign w:val="baseline"/>
        </w:rPr>
        <w:t>multiple</w:t>
      </w:r>
      <w:r>
        <w:rPr>
          <w:spacing w:val="-9"/>
          <w:vertAlign w:val="baseline"/>
        </w:rPr>
        <w:t> </w:t>
      </w:r>
      <w:r>
        <w:rPr>
          <w:vertAlign w:val="baseline"/>
        </w:rPr>
        <w:t>intersecting</w:t>
      </w:r>
      <w:r>
        <w:rPr>
          <w:spacing w:val="-9"/>
          <w:vertAlign w:val="baseline"/>
        </w:rPr>
        <w:t> </w:t>
      </w:r>
      <w:r>
        <w:rPr>
          <w:vertAlign w:val="baseline"/>
        </w:rPr>
        <w:t>factors</w:t>
      </w:r>
      <w:r>
        <w:rPr>
          <w:spacing w:val="-8"/>
          <w:vertAlign w:val="baseline"/>
        </w:rPr>
        <w:t> </w:t>
      </w:r>
      <w:r>
        <w:rPr>
          <w:vertAlign w:val="baseline"/>
        </w:rPr>
        <w:t>including</w:t>
      </w:r>
      <w:r>
        <w:rPr>
          <w:spacing w:val="-8"/>
          <w:vertAlign w:val="baseline"/>
        </w:rPr>
        <w:t> </w:t>
      </w:r>
      <w:r>
        <w:rPr>
          <w:vertAlign w:val="baseline"/>
        </w:rPr>
        <w:t>race,</w:t>
      </w:r>
      <w:r>
        <w:rPr>
          <w:spacing w:val="-7"/>
          <w:vertAlign w:val="baseline"/>
        </w:rPr>
        <w:t> </w:t>
      </w:r>
      <w:r>
        <w:rPr>
          <w:vertAlign w:val="baseline"/>
        </w:rPr>
        <w:t>ethnicity,</w:t>
      </w:r>
      <w:r>
        <w:rPr>
          <w:spacing w:val="-8"/>
          <w:vertAlign w:val="baseline"/>
        </w:rPr>
        <w:t> </w:t>
      </w:r>
      <w:r>
        <w:rPr>
          <w:vertAlign w:val="baseline"/>
        </w:rPr>
        <w:t>sexual</w:t>
      </w:r>
      <w:r>
        <w:rPr>
          <w:spacing w:val="-9"/>
          <w:vertAlign w:val="baseline"/>
        </w:rPr>
        <w:t> </w:t>
      </w:r>
      <w:r>
        <w:rPr>
          <w:vertAlign w:val="baseline"/>
        </w:rPr>
        <w:t>orientation, gender identity, and disability, foreign-born LGBTQ youth can often face compounded stigma and discrimination that contributes to a lack of access to health care, housing, economic security, legal services, and education.</w:t>
      </w:r>
    </w:p>
    <w:p>
      <w:pPr>
        <w:spacing w:before="239"/>
        <w:ind w:left="463" w:right="0" w:firstLine="0"/>
        <w:jc w:val="both"/>
        <w:rPr>
          <w:sz w:val="28"/>
        </w:rPr>
      </w:pPr>
      <w:bookmarkStart w:name="Mental Health" w:id="783"/>
      <w:bookmarkEnd w:id="783"/>
      <w:r>
        <w:rPr/>
      </w:r>
      <w:r>
        <w:rPr>
          <w:color w:val="365F91"/>
          <w:sz w:val="28"/>
        </w:rPr>
        <w:t>Mental</w:t>
      </w:r>
      <w:r>
        <w:rPr>
          <w:color w:val="365F91"/>
          <w:spacing w:val="-12"/>
          <w:sz w:val="28"/>
        </w:rPr>
        <w:t> </w:t>
      </w:r>
      <w:r>
        <w:rPr>
          <w:color w:val="365F91"/>
          <w:spacing w:val="-2"/>
          <w:sz w:val="28"/>
        </w:rPr>
        <w:t>Health</w:t>
      </w:r>
    </w:p>
    <w:p>
      <w:pPr>
        <w:pStyle w:val="BodyText"/>
        <w:spacing w:line="276" w:lineRule="auto" w:before="241"/>
        <w:ind w:left="463" w:right="259"/>
        <w:jc w:val="both"/>
      </w:pPr>
      <w:r>
        <w:rPr/>
        <w:t>As discussed in the mental health section of this annual report</w:t>
      </w:r>
      <w:r>
        <w:rPr>
          <w:i/>
        </w:rPr>
        <w:t>, </w:t>
      </w:r>
      <w:r>
        <w:rPr/>
        <w:t>studies continue to suggest that LGBTQ youth face significant disparities in suicide risk compared to their straight and cisgender peers.</w:t>
      </w:r>
      <w:r>
        <w:rPr>
          <w:vertAlign w:val="superscript"/>
        </w:rPr>
        <w:t>19</w:t>
      </w:r>
      <w:r>
        <w:rPr>
          <w:vertAlign w:val="baseline"/>
        </w:rPr>
        <w:t> LGBTQ youth are not inherently prone to suicide risk because of their sexual orientation or gender identity, but rather, they are placed at higher risk because of societal the discrimination, stigmatization, and violence stemming</w:t>
      </w:r>
      <w:r>
        <w:rPr>
          <w:spacing w:val="-12"/>
          <w:vertAlign w:val="baseline"/>
        </w:rPr>
        <w:t> </w:t>
      </w:r>
      <w:r>
        <w:rPr>
          <w:vertAlign w:val="baseline"/>
        </w:rPr>
        <w:t>from</w:t>
      </w:r>
      <w:r>
        <w:rPr>
          <w:spacing w:val="-13"/>
          <w:vertAlign w:val="baseline"/>
        </w:rPr>
        <w:t> </w:t>
      </w:r>
      <w:r>
        <w:rPr>
          <w:vertAlign w:val="baseline"/>
        </w:rPr>
        <w:t>racism,</w:t>
      </w:r>
      <w:r>
        <w:rPr>
          <w:spacing w:val="-11"/>
          <w:vertAlign w:val="baseline"/>
        </w:rPr>
        <w:t> </w:t>
      </w:r>
      <w:r>
        <w:rPr>
          <w:vertAlign w:val="baseline"/>
        </w:rPr>
        <w:t>homophobia,</w:t>
      </w:r>
      <w:r>
        <w:rPr>
          <w:spacing w:val="-12"/>
          <w:vertAlign w:val="baseline"/>
        </w:rPr>
        <w:t> </w:t>
      </w:r>
      <w:r>
        <w:rPr>
          <w:vertAlign w:val="baseline"/>
        </w:rPr>
        <w:t>and</w:t>
      </w:r>
      <w:r>
        <w:rPr>
          <w:spacing w:val="-13"/>
          <w:vertAlign w:val="baseline"/>
        </w:rPr>
        <w:t> </w:t>
      </w:r>
      <w:r>
        <w:rPr>
          <w:vertAlign w:val="baseline"/>
        </w:rPr>
        <w:t>transphobia.</w:t>
      </w:r>
      <w:r>
        <w:rPr>
          <w:spacing w:val="-12"/>
          <w:vertAlign w:val="baseline"/>
        </w:rPr>
        <w:t> </w:t>
      </w:r>
      <w:r>
        <w:rPr>
          <w:vertAlign w:val="baseline"/>
        </w:rPr>
        <w:t>LGBTQ</w:t>
      </w:r>
      <w:r>
        <w:rPr>
          <w:spacing w:val="-13"/>
          <w:vertAlign w:val="baseline"/>
        </w:rPr>
        <w:t> </w:t>
      </w:r>
      <w:r>
        <w:rPr>
          <w:vertAlign w:val="baseline"/>
        </w:rPr>
        <w:t>youth</w:t>
      </w:r>
      <w:r>
        <w:rPr>
          <w:spacing w:val="-12"/>
          <w:vertAlign w:val="baseline"/>
        </w:rPr>
        <w:t> </w:t>
      </w:r>
      <w:r>
        <w:rPr>
          <w:vertAlign w:val="baseline"/>
        </w:rPr>
        <w:t>living</w:t>
      </w:r>
      <w:r>
        <w:rPr>
          <w:spacing w:val="-12"/>
          <w:vertAlign w:val="baseline"/>
        </w:rPr>
        <w:t> </w:t>
      </w:r>
      <w:r>
        <w:rPr>
          <w:vertAlign w:val="baseline"/>
        </w:rPr>
        <w:t>in</w:t>
      </w:r>
      <w:r>
        <w:rPr>
          <w:spacing w:val="-12"/>
          <w:vertAlign w:val="baseline"/>
        </w:rPr>
        <w:t> </w:t>
      </w:r>
      <w:r>
        <w:rPr>
          <w:vertAlign w:val="baseline"/>
        </w:rPr>
        <w:t>the</w:t>
      </w:r>
      <w:r>
        <w:rPr>
          <w:spacing w:val="-13"/>
          <w:vertAlign w:val="baseline"/>
        </w:rPr>
        <w:t> </w:t>
      </w:r>
      <w:r>
        <w:rPr>
          <w:vertAlign w:val="baseline"/>
        </w:rPr>
        <w:t>U.S.</w:t>
      </w:r>
      <w:r>
        <w:rPr>
          <w:spacing w:val="-11"/>
          <w:vertAlign w:val="baseline"/>
        </w:rPr>
        <w:t> </w:t>
      </w:r>
      <w:r>
        <w:rPr>
          <w:vertAlign w:val="baseline"/>
        </w:rPr>
        <w:t>represent</w:t>
      </w:r>
      <w:r>
        <w:rPr>
          <w:spacing w:val="-13"/>
          <w:vertAlign w:val="baseline"/>
        </w:rPr>
        <w:t> </w:t>
      </w:r>
      <w:r>
        <w:rPr>
          <w:vertAlign w:val="baseline"/>
        </w:rPr>
        <w:t>a</w:t>
      </w:r>
      <w:r>
        <w:rPr>
          <w:spacing w:val="-10"/>
          <w:vertAlign w:val="baseline"/>
        </w:rPr>
        <w:t> </w:t>
      </w:r>
      <w:r>
        <w:rPr>
          <w:vertAlign w:val="baseline"/>
        </w:rPr>
        <w:t>diversity of experiences, including youth who are foreign-born. Studies have shown, however, that foreign-born individuals often experience considerable stressors such as discrimination, acculturation stress, and immigration</w:t>
      </w:r>
      <w:r>
        <w:rPr>
          <w:spacing w:val="-2"/>
          <w:vertAlign w:val="baseline"/>
        </w:rPr>
        <w:t> </w:t>
      </w:r>
      <w:r>
        <w:rPr>
          <w:vertAlign w:val="baseline"/>
        </w:rPr>
        <w:t>concerns</w:t>
      </w:r>
      <w:r>
        <w:rPr>
          <w:spacing w:val="-1"/>
          <w:vertAlign w:val="baseline"/>
        </w:rPr>
        <w:t> </w:t>
      </w:r>
      <w:r>
        <w:rPr>
          <w:vertAlign w:val="baseline"/>
        </w:rPr>
        <w:t>that</w:t>
      </w:r>
      <w:r>
        <w:rPr>
          <w:spacing w:val="-2"/>
          <w:vertAlign w:val="baseline"/>
        </w:rPr>
        <w:t> </w:t>
      </w:r>
      <w:r>
        <w:rPr>
          <w:vertAlign w:val="baseline"/>
        </w:rPr>
        <w:t>lead</w:t>
      </w:r>
      <w:r>
        <w:rPr>
          <w:spacing w:val="-2"/>
          <w:vertAlign w:val="baseline"/>
        </w:rPr>
        <w:t> </w:t>
      </w:r>
      <w:r>
        <w:rPr>
          <w:vertAlign w:val="baseline"/>
        </w:rPr>
        <w:t>to</w:t>
      </w:r>
      <w:r>
        <w:rPr>
          <w:spacing w:val="-2"/>
          <w:vertAlign w:val="baseline"/>
        </w:rPr>
        <w:t> </w:t>
      </w:r>
      <w:r>
        <w:rPr>
          <w:vertAlign w:val="baseline"/>
        </w:rPr>
        <w:t>poor</w:t>
      </w:r>
      <w:r>
        <w:rPr>
          <w:spacing w:val="-1"/>
          <w:vertAlign w:val="baseline"/>
        </w:rPr>
        <w:t> </w:t>
      </w:r>
      <w:r>
        <w:rPr>
          <w:vertAlign w:val="baseline"/>
        </w:rPr>
        <w:t>health</w:t>
      </w:r>
      <w:r>
        <w:rPr>
          <w:spacing w:val="-2"/>
          <w:vertAlign w:val="baseline"/>
        </w:rPr>
        <w:t> </w:t>
      </w:r>
      <w:r>
        <w:rPr>
          <w:vertAlign w:val="baseline"/>
        </w:rPr>
        <w:t>outcomes.</w:t>
      </w:r>
      <w:r>
        <w:rPr>
          <w:vertAlign w:val="superscript"/>
        </w:rPr>
        <w:t>20</w:t>
      </w:r>
      <w:r>
        <w:rPr>
          <w:spacing w:val="-2"/>
          <w:vertAlign w:val="baseline"/>
        </w:rPr>
        <w:t> </w:t>
      </w:r>
      <w:r>
        <w:rPr>
          <w:vertAlign w:val="baseline"/>
        </w:rPr>
        <w:t>Acculturative</w:t>
      </w:r>
      <w:r>
        <w:rPr>
          <w:spacing w:val="-3"/>
          <w:vertAlign w:val="baseline"/>
        </w:rPr>
        <w:t> </w:t>
      </w:r>
      <w:r>
        <w:rPr>
          <w:vertAlign w:val="baseline"/>
        </w:rPr>
        <w:t>stress</w:t>
      </w:r>
      <w:r>
        <w:rPr>
          <w:spacing w:val="-1"/>
          <w:vertAlign w:val="baseline"/>
        </w:rPr>
        <w:t> </w:t>
      </w:r>
      <w:r>
        <w:rPr>
          <w:vertAlign w:val="baseline"/>
        </w:rPr>
        <w:t>is</w:t>
      </w:r>
      <w:r>
        <w:rPr>
          <w:spacing w:val="-3"/>
          <w:vertAlign w:val="baseline"/>
        </w:rPr>
        <w:t> </w:t>
      </w:r>
      <w:r>
        <w:rPr>
          <w:vertAlign w:val="baseline"/>
        </w:rPr>
        <w:t>the</w:t>
      </w:r>
      <w:r>
        <w:rPr>
          <w:spacing w:val="-2"/>
          <w:vertAlign w:val="baseline"/>
        </w:rPr>
        <w:t> </w:t>
      </w:r>
      <w:r>
        <w:rPr>
          <w:vertAlign w:val="baseline"/>
        </w:rPr>
        <w:t>psychosocial</w:t>
      </w:r>
      <w:r>
        <w:rPr>
          <w:spacing w:val="-3"/>
          <w:vertAlign w:val="baseline"/>
        </w:rPr>
        <w:t> </w:t>
      </w:r>
      <w:r>
        <w:rPr>
          <w:vertAlign w:val="baseline"/>
        </w:rPr>
        <w:t>strain</w:t>
      </w:r>
    </w:p>
    <w:p>
      <w:pPr>
        <w:spacing w:after="0" w:line="276" w:lineRule="auto"/>
        <w:jc w:val="both"/>
        <w:sectPr>
          <w:pgSz w:w="12240" w:h="15840"/>
          <w:pgMar w:header="805" w:footer="1208" w:top="1080" w:bottom="1460" w:left="980" w:right="1180"/>
        </w:sectPr>
      </w:pPr>
    </w:p>
    <w:p>
      <w:pPr>
        <w:pStyle w:val="BodyText"/>
        <w:spacing w:line="276" w:lineRule="auto" w:before="69"/>
        <w:ind w:left="463" w:right="260"/>
        <w:jc w:val="both"/>
      </w:pPr>
      <w:r>
        <w:rPr/>
        <w:t>experienced</w:t>
      </w:r>
      <w:r>
        <w:rPr>
          <w:spacing w:val="-1"/>
        </w:rPr>
        <w:t> </w:t>
      </w:r>
      <w:r>
        <w:rPr/>
        <w:t>by</w:t>
      </w:r>
      <w:r>
        <w:rPr>
          <w:spacing w:val="-1"/>
        </w:rPr>
        <w:t> </w:t>
      </w:r>
      <w:r>
        <w:rPr/>
        <w:t>immigrants</w:t>
      </w:r>
      <w:r>
        <w:rPr>
          <w:spacing w:val="-1"/>
        </w:rPr>
        <w:t> </w:t>
      </w:r>
      <w:r>
        <w:rPr/>
        <w:t>in</w:t>
      </w:r>
      <w:r>
        <w:rPr>
          <w:spacing w:val="-2"/>
        </w:rPr>
        <w:t> </w:t>
      </w:r>
      <w:r>
        <w:rPr/>
        <w:t>response</w:t>
      </w:r>
      <w:r>
        <w:rPr>
          <w:spacing w:val="-1"/>
        </w:rPr>
        <w:t> </w:t>
      </w:r>
      <w:r>
        <w:rPr/>
        <w:t>to</w:t>
      </w:r>
      <w:r>
        <w:rPr>
          <w:spacing w:val="-1"/>
        </w:rPr>
        <w:t> </w:t>
      </w:r>
      <w:r>
        <w:rPr/>
        <w:t>challenges encountered</w:t>
      </w:r>
      <w:r>
        <w:rPr>
          <w:spacing w:val="-1"/>
        </w:rPr>
        <w:t> </w:t>
      </w:r>
      <w:r>
        <w:rPr/>
        <w:t>while</w:t>
      </w:r>
      <w:r>
        <w:rPr>
          <w:spacing w:val="-2"/>
        </w:rPr>
        <w:t> </w:t>
      </w:r>
      <w:r>
        <w:rPr/>
        <w:t>adapting</w:t>
      </w:r>
      <w:r>
        <w:rPr>
          <w:spacing w:val="-2"/>
        </w:rPr>
        <w:t> </w:t>
      </w:r>
      <w:r>
        <w:rPr/>
        <w:t>to cultural differences in</w:t>
      </w:r>
      <w:r>
        <w:rPr>
          <w:spacing w:val="-13"/>
        </w:rPr>
        <w:t> </w:t>
      </w:r>
      <w:r>
        <w:rPr/>
        <w:t>a</w:t>
      </w:r>
      <w:r>
        <w:rPr>
          <w:spacing w:val="-12"/>
        </w:rPr>
        <w:t> </w:t>
      </w:r>
      <w:r>
        <w:rPr/>
        <w:t>new</w:t>
      </w:r>
      <w:r>
        <w:rPr>
          <w:spacing w:val="-13"/>
        </w:rPr>
        <w:t> </w:t>
      </w:r>
      <w:r>
        <w:rPr/>
        <w:t>country.</w:t>
      </w:r>
      <w:r>
        <w:rPr>
          <w:spacing w:val="-12"/>
        </w:rPr>
        <w:t> </w:t>
      </w:r>
      <w:r>
        <w:rPr/>
        <w:t>These</w:t>
      </w:r>
      <w:r>
        <w:rPr>
          <w:spacing w:val="-13"/>
        </w:rPr>
        <w:t> </w:t>
      </w:r>
      <w:r>
        <w:rPr/>
        <w:t>stressors</w:t>
      </w:r>
      <w:r>
        <w:rPr>
          <w:spacing w:val="-12"/>
        </w:rPr>
        <w:t> </w:t>
      </w:r>
      <w:r>
        <w:rPr/>
        <w:t>result</w:t>
      </w:r>
      <w:r>
        <w:rPr>
          <w:spacing w:val="-13"/>
        </w:rPr>
        <w:t> </w:t>
      </w:r>
      <w:r>
        <w:rPr/>
        <w:t>from</w:t>
      </w:r>
      <w:r>
        <w:rPr>
          <w:spacing w:val="-12"/>
        </w:rPr>
        <w:t> </w:t>
      </w:r>
      <w:r>
        <w:rPr/>
        <w:t>circumstances</w:t>
      </w:r>
      <w:r>
        <w:rPr>
          <w:spacing w:val="-12"/>
        </w:rPr>
        <w:t> </w:t>
      </w:r>
      <w:r>
        <w:rPr/>
        <w:t>such</w:t>
      </w:r>
      <w:r>
        <w:rPr>
          <w:spacing w:val="-13"/>
        </w:rPr>
        <w:t> </w:t>
      </w:r>
      <w:r>
        <w:rPr/>
        <w:t>as</w:t>
      </w:r>
      <w:r>
        <w:rPr>
          <w:spacing w:val="-12"/>
        </w:rPr>
        <w:t> </w:t>
      </w:r>
      <w:r>
        <w:rPr/>
        <w:t>immigration</w:t>
      </w:r>
      <w:r>
        <w:rPr>
          <w:spacing w:val="-13"/>
        </w:rPr>
        <w:t> </w:t>
      </w:r>
      <w:r>
        <w:rPr/>
        <w:t>status,</w:t>
      </w:r>
      <w:r>
        <w:rPr>
          <w:spacing w:val="-12"/>
        </w:rPr>
        <w:t> </w:t>
      </w:r>
      <w:r>
        <w:rPr/>
        <w:t>language</w:t>
      </w:r>
      <w:r>
        <w:rPr>
          <w:spacing w:val="-13"/>
        </w:rPr>
        <w:t> </w:t>
      </w:r>
      <w:r>
        <w:rPr/>
        <w:t>barriers, economic deficiencies, disruption in family cohesion, and discrimination.</w:t>
      </w:r>
      <w:r>
        <w:rPr>
          <w:color w:val="1154CC"/>
          <w:u w:val="single" w:color="1154CC"/>
          <w:vertAlign w:val="superscript"/>
        </w:rPr>
        <w:t>21</w:t>
      </w:r>
      <w:r>
        <w:rPr>
          <w:color w:val="1154CC"/>
          <w:u w:val="none"/>
          <w:vertAlign w:val="baseline"/>
        </w:rPr>
        <w:t> </w:t>
      </w:r>
      <w:r>
        <w:rPr>
          <w:u w:val="none"/>
          <w:vertAlign w:val="baseline"/>
        </w:rPr>
        <w:t>Although the process of immigrating to a new country and acculturating to an unfamiliar set of cultural beliefs and societal practices</w:t>
      </w:r>
      <w:r>
        <w:rPr>
          <w:spacing w:val="-7"/>
          <w:u w:val="none"/>
          <w:vertAlign w:val="baseline"/>
        </w:rPr>
        <w:t> </w:t>
      </w:r>
      <w:r>
        <w:rPr>
          <w:u w:val="none"/>
          <w:vertAlign w:val="baseline"/>
        </w:rPr>
        <w:t>presents</w:t>
      </w:r>
      <w:r>
        <w:rPr>
          <w:spacing w:val="-6"/>
          <w:u w:val="none"/>
          <w:vertAlign w:val="baseline"/>
        </w:rPr>
        <w:t> </w:t>
      </w:r>
      <w:r>
        <w:rPr>
          <w:u w:val="none"/>
          <w:vertAlign w:val="baseline"/>
        </w:rPr>
        <w:t>challenges</w:t>
      </w:r>
      <w:r>
        <w:rPr>
          <w:spacing w:val="-7"/>
          <w:u w:val="none"/>
          <w:vertAlign w:val="baseline"/>
        </w:rPr>
        <w:t> </w:t>
      </w:r>
      <w:r>
        <w:rPr>
          <w:u w:val="none"/>
          <w:vertAlign w:val="baseline"/>
        </w:rPr>
        <w:t>for</w:t>
      </w:r>
      <w:r>
        <w:rPr>
          <w:spacing w:val="-7"/>
          <w:u w:val="none"/>
          <w:vertAlign w:val="baseline"/>
        </w:rPr>
        <w:t> </w:t>
      </w:r>
      <w:r>
        <w:rPr>
          <w:u w:val="none"/>
          <w:vertAlign w:val="baseline"/>
        </w:rPr>
        <w:t>immigrants</w:t>
      </w:r>
      <w:r>
        <w:rPr>
          <w:spacing w:val="-7"/>
          <w:u w:val="none"/>
          <w:vertAlign w:val="baseline"/>
        </w:rPr>
        <w:t> </w:t>
      </w:r>
      <w:r>
        <w:rPr>
          <w:u w:val="none"/>
          <w:vertAlign w:val="baseline"/>
        </w:rPr>
        <w:t>regardless</w:t>
      </w:r>
      <w:r>
        <w:rPr>
          <w:spacing w:val="-7"/>
          <w:u w:val="none"/>
          <w:vertAlign w:val="baseline"/>
        </w:rPr>
        <w:t> </w:t>
      </w:r>
      <w:r>
        <w:rPr>
          <w:u w:val="none"/>
          <w:vertAlign w:val="baseline"/>
        </w:rPr>
        <w:t>of</w:t>
      </w:r>
      <w:r>
        <w:rPr>
          <w:spacing w:val="-7"/>
          <w:u w:val="none"/>
          <w:vertAlign w:val="baseline"/>
        </w:rPr>
        <w:t> </w:t>
      </w:r>
      <w:r>
        <w:rPr>
          <w:u w:val="none"/>
          <w:vertAlign w:val="baseline"/>
        </w:rPr>
        <w:t>gender</w:t>
      </w:r>
      <w:r>
        <w:rPr>
          <w:spacing w:val="-6"/>
          <w:u w:val="none"/>
          <w:vertAlign w:val="baseline"/>
        </w:rPr>
        <w:t> </w:t>
      </w:r>
      <w:r>
        <w:rPr>
          <w:u w:val="none"/>
          <w:vertAlign w:val="baseline"/>
        </w:rPr>
        <w:t>identity</w:t>
      </w:r>
      <w:r>
        <w:rPr>
          <w:spacing w:val="-6"/>
          <w:u w:val="none"/>
          <w:vertAlign w:val="baseline"/>
        </w:rPr>
        <w:t> </w:t>
      </w:r>
      <w:r>
        <w:rPr>
          <w:u w:val="none"/>
          <w:vertAlign w:val="baseline"/>
        </w:rPr>
        <w:t>or</w:t>
      </w:r>
      <w:r>
        <w:rPr>
          <w:spacing w:val="-7"/>
          <w:u w:val="none"/>
          <w:vertAlign w:val="baseline"/>
        </w:rPr>
        <w:t> </w:t>
      </w:r>
      <w:r>
        <w:rPr>
          <w:u w:val="none"/>
          <w:vertAlign w:val="baseline"/>
        </w:rPr>
        <w:t>sexual</w:t>
      </w:r>
      <w:r>
        <w:rPr>
          <w:spacing w:val="-8"/>
          <w:u w:val="none"/>
          <w:vertAlign w:val="baseline"/>
        </w:rPr>
        <w:t> </w:t>
      </w:r>
      <w:r>
        <w:rPr>
          <w:u w:val="none"/>
          <w:vertAlign w:val="baseline"/>
        </w:rPr>
        <w:t>orientation,</w:t>
      </w:r>
      <w:r>
        <w:rPr>
          <w:spacing w:val="-7"/>
          <w:u w:val="none"/>
          <w:vertAlign w:val="baseline"/>
        </w:rPr>
        <w:t> </w:t>
      </w:r>
      <w:r>
        <w:rPr>
          <w:u w:val="none"/>
          <w:vertAlign w:val="baseline"/>
        </w:rPr>
        <w:t>research has shown that LGBTQ youth face unique challenges in this process. At the intra-individual level, some difficulties</w:t>
      </w:r>
      <w:r>
        <w:rPr>
          <w:spacing w:val="-7"/>
          <w:u w:val="none"/>
          <w:vertAlign w:val="baseline"/>
        </w:rPr>
        <w:t> </w:t>
      </w:r>
      <w:r>
        <w:rPr>
          <w:u w:val="none"/>
          <w:vertAlign w:val="baseline"/>
        </w:rPr>
        <w:t>LGBTQ</w:t>
      </w:r>
      <w:r>
        <w:rPr>
          <w:spacing w:val="-8"/>
          <w:u w:val="none"/>
          <w:vertAlign w:val="baseline"/>
        </w:rPr>
        <w:t> </w:t>
      </w:r>
      <w:r>
        <w:rPr>
          <w:u w:val="none"/>
          <w:vertAlign w:val="baseline"/>
        </w:rPr>
        <w:t>immigrants</w:t>
      </w:r>
      <w:r>
        <w:rPr>
          <w:spacing w:val="-7"/>
          <w:u w:val="none"/>
          <w:vertAlign w:val="baseline"/>
        </w:rPr>
        <w:t> </w:t>
      </w:r>
      <w:r>
        <w:rPr>
          <w:u w:val="none"/>
          <w:vertAlign w:val="baseline"/>
        </w:rPr>
        <w:t>may</w:t>
      </w:r>
      <w:r>
        <w:rPr>
          <w:spacing w:val="-6"/>
          <w:u w:val="none"/>
          <w:vertAlign w:val="baseline"/>
        </w:rPr>
        <w:t> </w:t>
      </w:r>
      <w:r>
        <w:rPr>
          <w:u w:val="none"/>
          <w:vertAlign w:val="baseline"/>
        </w:rPr>
        <w:t>face</w:t>
      </w:r>
      <w:r>
        <w:rPr>
          <w:spacing w:val="-6"/>
          <w:u w:val="none"/>
          <w:vertAlign w:val="baseline"/>
        </w:rPr>
        <w:t> </w:t>
      </w:r>
      <w:r>
        <w:rPr>
          <w:u w:val="none"/>
          <w:vertAlign w:val="baseline"/>
        </w:rPr>
        <w:t>include</w:t>
      </w:r>
      <w:r>
        <w:rPr>
          <w:spacing w:val="-8"/>
          <w:u w:val="none"/>
          <w:vertAlign w:val="baseline"/>
        </w:rPr>
        <w:t> </w:t>
      </w:r>
      <w:r>
        <w:rPr>
          <w:u w:val="none"/>
          <w:vertAlign w:val="baseline"/>
        </w:rPr>
        <w:t>racism-related</w:t>
      </w:r>
      <w:r>
        <w:rPr>
          <w:spacing w:val="-8"/>
          <w:u w:val="none"/>
          <w:vertAlign w:val="baseline"/>
        </w:rPr>
        <w:t> </w:t>
      </w:r>
      <w:r>
        <w:rPr>
          <w:u w:val="none"/>
          <w:vertAlign w:val="baseline"/>
        </w:rPr>
        <w:t>stress</w:t>
      </w:r>
      <w:r>
        <w:rPr>
          <w:spacing w:val="-7"/>
          <w:u w:val="none"/>
          <w:vertAlign w:val="baseline"/>
        </w:rPr>
        <w:t> </w:t>
      </w:r>
      <w:r>
        <w:rPr>
          <w:u w:val="none"/>
          <w:vertAlign w:val="baseline"/>
        </w:rPr>
        <w:t>and</w:t>
      </w:r>
      <w:r>
        <w:rPr>
          <w:spacing w:val="-8"/>
          <w:u w:val="none"/>
          <w:vertAlign w:val="baseline"/>
        </w:rPr>
        <w:t> </w:t>
      </w:r>
      <w:r>
        <w:rPr>
          <w:u w:val="none"/>
          <w:vertAlign w:val="baseline"/>
        </w:rPr>
        <w:t>anxiety,</w:t>
      </w:r>
      <w:r>
        <w:rPr>
          <w:spacing w:val="-7"/>
          <w:u w:val="none"/>
          <w:vertAlign w:val="baseline"/>
        </w:rPr>
        <w:t> </w:t>
      </w:r>
      <w:r>
        <w:rPr>
          <w:u w:val="none"/>
          <w:vertAlign w:val="baseline"/>
        </w:rPr>
        <w:t>chronic</w:t>
      </w:r>
      <w:r>
        <w:rPr>
          <w:spacing w:val="-7"/>
          <w:u w:val="none"/>
          <w:vertAlign w:val="baseline"/>
        </w:rPr>
        <w:t> </w:t>
      </w:r>
      <w:r>
        <w:rPr>
          <w:u w:val="none"/>
          <w:vertAlign w:val="baseline"/>
        </w:rPr>
        <w:t>expectations</w:t>
      </w:r>
      <w:r>
        <w:rPr>
          <w:spacing w:val="-7"/>
          <w:u w:val="none"/>
          <w:vertAlign w:val="baseline"/>
        </w:rPr>
        <w:t> </w:t>
      </w:r>
      <w:r>
        <w:rPr>
          <w:u w:val="none"/>
          <w:vertAlign w:val="baseline"/>
        </w:rPr>
        <w:t>of being negatively stereotyped by others, and being hyper-vigilant to potential threats related to their sexual identity</w:t>
      </w:r>
      <w:hyperlink w:history="true" w:anchor="_bookmark538">
        <w:r>
          <w:rPr>
            <w:u w:val="none"/>
            <w:vertAlign w:val="baseline"/>
          </w:rPr>
          <w:t>.</w:t>
        </w:r>
        <w:r>
          <w:rPr>
            <w:color w:val="1154CC"/>
            <w:u w:val="single" w:color="1154CC"/>
            <w:vertAlign w:val="superscript"/>
          </w:rPr>
          <w:t>22</w:t>
        </w:r>
      </w:hyperlink>
      <w:r>
        <w:rPr>
          <w:color w:val="1154CC"/>
          <w:u w:val="none"/>
          <w:vertAlign w:val="baseline"/>
        </w:rPr>
        <w:t> </w:t>
      </w:r>
      <w:r>
        <w:rPr>
          <w:u w:val="none"/>
          <w:vertAlign w:val="baseline"/>
        </w:rPr>
        <w:t>At the interpersonal or intergroup level, conflicts between cultural values or pressures and personal beliefs may also present challenges for LGBTQ immigrants.</w:t>
      </w:r>
    </w:p>
    <w:p>
      <w:pPr>
        <w:pStyle w:val="BodyText"/>
        <w:spacing w:line="276" w:lineRule="auto" w:before="240"/>
        <w:ind w:left="463" w:right="4559"/>
        <w:jc w:val="both"/>
      </w:pPr>
      <w:r>
        <w:rPr/>
        <w:drawing>
          <wp:anchor distT="0" distB="0" distL="0" distR="0" allowOverlap="1" layoutInCell="1" locked="0" behindDoc="0" simplePos="0" relativeHeight="15811584">
            <wp:simplePos x="0" y="0"/>
            <wp:positionH relativeFrom="page">
              <wp:posOffset>4217047</wp:posOffset>
            </wp:positionH>
            <wp:positionV relativeFrom="paragraph">
              <wp:posOffset>163694</wp:posOffset>
            </wp:positionV>
            <wp:extent cx="2733596" cy="2322191"/>
            <wp:effectExtent l="0" t="0" r="0" b="0"/>
            <wp:wrapNone/>
            <wp:docPr id="437" name="Image 437"/>
            <wp:cNvGraphicFramePr>
              <a:graphicFrameLocks/>
            </wp:cNvGraphicFramePr>
            <a:graphic>
              <a:graphicData uri="http://schemas.openxmlformats.org/drawingml/2006/picture">
                <pic:pic>
                  <pic:nvPicPr>
                    <pic:cNvPr id="437" name="Image 437"/>
                    <pic:cNvPicPr/>
                  </pic:nvPicPr>
                  <pic:blipFill>
                    <a:blip r:embed="rId568" cstate="print"/>
                    <a:stretch>
                      <a:fillRect/>
                    </a:stretch>
                  </pic:blipFill>
                  <pic:spPr>
                    <a:xfrm>
                      <a:off x="0" y="0"/>
                      <a:ext cx="2733596" cy="2322191"/>
                    </a:xfrm>
                    <a:prstGeom prst="rect">
                      <a:avLst/>
                    </a:prstGeom>
                  </pic:spPr>
                </pic:pic>
              </a:graphicData>
            </a:graphic>
          </wp:anchor>
        </w:drawing>
      </w:r>
      <w:r>
        <w:rPr/>
        <w:t>For example, traditional gender role expectations and norms of masculinity and femininity are particularly stringent within Latino communities. For gender non- conforming gay Latinos, the cultural value of “machismo”,</w:t>
      </w:r>
      <w:r>
        <w:rPr>
          <w:spacing w:val="-13"/>
        </w:rPr>
        <w:t> </w:t>
      </w:r>
      <w:r>
        <w:rPr/>
        <w:t>a</w:t>
      </w:r>
      <w:r>
        <w:rPr>
          <w:spacing w:val="-12"/>
        </w:rPr>
        <w:t> </w:t>
      </w:r>
      <w:r>
        <w:rPr/>
        <w:t>strict</w:t>
      </w:r>
      <w:r>
        <w:rPr>
          <w:spacing w:val="-13"/>
        </w:rPr>
        <w:t> </w:t>
      </w:r>
      <w:r>
        <w:rPr/>
        <w:t>and</w:t>
      </w:r>
      <w:r>
        <w:rPr>
          <w:spacing w:val="-12"/>
        </w:rPr>
        <w:t> </w:t>
      </w:r>
      <w:r>
        <w:rPr/>
        <w:t>idealized</w:t>
      </w:r>
      <w:r>
        <w:rPr>
          <w:spacing w:val="-13"/>
        </w:rPr>
        <w:t> </w:t>
      </w:r>
      <w:r>
        <w:rPr/>
        <w:t>form</w:t>
      </w:r>
      <w:r>
        <w:rPr>
          <w:spacing w:val="-12"/>
        </w:rPr>
        <w:t> </w:t>
      </w:r>
      <w:r>
        <w:rPr/>
        <w:t>of</w:t>
      </w:r>
      <w:r>
        <w:rPr>
          <w:spacing w:val="-13"/>
        </w:rPr>
        <w:t> </w:t>
      </w:r>
      <w:r>
        <w:rPr/>
        <w:t>masculinity</w:t>
      </w:r>
      <w:r>
        <w:rPr>
          <w:spacing w:val="-12"/>
        </w:rPr>
        <w:t> </w:t>
      </w:r>
      <w:r>
        <w:rPr/>
        <w:t>for men, may be a source of conflict and challenge</w:t>
      </w:r>
      <w:hyperlink w:history="true" w:anchor="_bookmark538">
        <w:r>
          <w:rPr/>
          <w:t>.</w:t>
        </w:r>
        <w:r>
          <w:rPr>
            <w:color w:val="1154CC"/>
            <w:u w:val="single" w:color="1154CC"/>
            <w:vertAlign w:val="superscript"/>
          </w:rPr>
          <w:t>23</w:t>
        </w:r>
      </w:hyperlink>
      <w:r>
        <w:rPr>
          <w:color w:val="1154CC"/>
          <w:u w:val="none"/>
          <w:vertAlign w:val="baseline"/>
        </w:rPr>
        <w:t> </w:t>
      </w:r>
      <w:r>
        <w:rPr>
          <w:u w:val="none"/>
          <w:vertAlign w:val="baseline"/>
        </w:rPr>
        <w:t>Additionally, because of the varying values, norms, and expectations of their various communities, LGBTQ immigrants may encounter difficulties with different social groups and communities. For example, LGBTQ foreign-born individuals are often not welcomed or accepted in many ethnic communities, and may then be discouraged</w:t>
      </w:r>
      <w:r>
        <w:rPr>
          <w:spacing w:val="67"/>
          <w:u w:val="none"/>
          <w:vertAlign w:val="baseline"/>
        </w:rPr>
        <w:t> </w:t>
      </w:r>
      <w:r>
        <w:rPr>
          <w:u w:val="none"/>
          <w:vertAlign w:val="baseline"/>
        </w:rPr>
        <w:t>from</w:t>
      </w:r>
      <w:r>
        <w:rPr>
          <w:spacing w:val="65"/>
          <w:u w:val="none"/>
          <w:vertAlign w:val="baseline"/>
        </w:rPr>
        <w:t> </w:t>
      </w:r>
      <w:r>
        <w:rPr>
          <w:u w:val="none"/>
          <w:vertAlign w:val="baseline"/>
        </w:rPr>
        <w:t>accessing</w:t>
      </w:r>
      <w:r>
        <w:rPr>
          <w:spacing w:val="65"/>
          <w:u w:val="none"/>
          <w:vertAlign w:val="baseline"/>
        </w:rPr>
        <w:t> </w:t>
      </w:r>
      <w:r>
        <w:rPr>
          <w:u w:val="none"/>
          <w:vertAlign w:val="baseline"/>
        </w:rPr>
        <w:t>sources</w:t>
      </w:r>
      <w:r>
        <w:rPr>
          <w:spacing w:val="68"/>
          <w:u w:val="none"/>
          <w:vertAlign w:val="baseline"/>
        </w:rPr>
        <w:t> </w:t>
      </w:r>
      <w:r>
        <w:rPr>
          <w:u w:val="none"/>
          <w:vertAlign w:val="baseline"/>
        </w:rPr>
        <w:t>of</w:t>
      </w:r>
      <w:r>
        <w:rPr>
          <w:spacing w:val="65"/>
          <w:u w:val="none"/>
          <w:vertAlign w:val="baseline"/>
        </w:rPr>
        <w:t> </w:t>
      </w:r>
      <w:r>
        <w:rPr>
          <w:u w:val="none"/>
          <w:vertAlign w:val="baseline"/>
        </w:rPr>
        <w:t>support</w:t>
      </w:r>
      <w:r>
        <w:rPr>
          <w:spacing w:val="66"/>
          <w:u w:val="none"/>
          <w:vertAlign w:val="baseline"/>
        </w:rPr>
        <w:t> </w:t>
      </w:r>
      <w:r>
        <w:rPr>
          <w:spacing w:val="-4"/>
          <w:u w:val="none"/>
          <w:vertAlign w:val="baseline"/>
        </w:rPr>
        <w:t>that</w:t>
      </w:r>
    </w:p>
    <w:p>
      <w:pPr>
        <w:pStyle w:val="BodyText"/>
        <w:spacing w:line="276" w:lineRule="auto"/>
        <w:ind w:left="463" w:right="264"/>
        <w:jc w:val="both"/>
      </w:pPr>
      <w:r>
        <w:rPr/>
        <w:t>might typically be utilized either in their ethnic community (e.g., family members) or in the LGBTQ community (e.g., support services and organizations) due to overt hostility or the perception of being </w:t>
      </w:r>
      <w:r>
        <w:rPr>
          <w:spacing w:val="-2"/>
        </w:rPr>
        <w:t>unwelcome.</w:t>
      </w:r>
      <w:hyperlink w:history="true" w:anchor="_bookmark538">
        <w:r>
          <w:rPr>
            <w:color w:val="1154CC"/>
            <w:spacing w:val="-2"/>
            <w:u w:val="single" w:color="1154CC"/>
            <w:vertAlign w:val="superscript"/>
          </w:rPr>
          <w:t>24</w:t>
        </w:r>
      </w:hyperlink>
    </w:p>
    <w:p>
      <w:pPr>
        <w:pStyle w:val="BodyText"/>
        <w:spacing w:line="276" w:lineRule="auto" w:before="240"/>
        <w:ind w:left="463" w:right="261"/>
        <w:jc w:val="both"/>
      </w:pPr>
      <w:r>
        <w:rPr/>
        <w:t>In the Trevor Project’s recent 2021 research brief “LGBTQ Youth from Immigrant Families,” researchers attempted to examine mental health at the intersection of these two identities;</w:t>
      </w:r>
      <w:hyperlink w:history="true" w:anchor="_bookmark538">
        <w:r>
          <w:rPr>
            <w:vertAlign w:val="superscript"/>
          </w:rPr>
          <w:t>25</w:t>
        </w:r>
      </w:hyperlink>
      <w:r>
        <w:rPr>
          <w:vertAlign w:val="baseline"/>
        </w:rPr>
        <w:t> it was found that first- generation</w:t>
      </w:r>
      <w:r>
        <w:rPr>
          <w:spacing w:val="-13"/>
          <w:vertAlign w:val="baseline"/>
        </w:rPr>
        <w:t> </w:t>
      </w:r>
      <w:r>
        <w:rPr>
          <w:vertAlign w:val="baseline"/>
        </w:rPr>
        <w:t>LGBTQ</w:t>
      </w:r>
      <w:r>
        <w:rPr>
          <w:spacing w:val="-12"/>
          <w:vertAlign w:val="baseline"/>
        </w:rPr>
        <w:t> </w:t>
      </w:r>
      <w:r>
        <w:rPr>
          <w:vertAlign w:val="baseline"/>
        </w:rPr>
        <w:t>youth</w:t>
      </w:r>
      <w:r>
        <w:rPr>
          <w:spacing w:val="-13"/>
          <w:vertAlign w:val="baseline"/>
        </w:rPr>
        <w:t> </w:t>
      </w:r>
      <w:r>
        <w:rPr>
          <w:vertAlign w:val="baseline"/>
        </w:rPr>
        <w:t>actually</w:t>
      </w:r>
      <w:r>
        <w:rPr>
          <w:spacing w:val="-12"/>
          <w:vertAlign w:val="baseline"/>
        </w:rPr>
        <w:t> </w:t>
      </w:r>
      <w:r>
        <w:rPr>
          <w:vertAlign w:val="baseline"/>
        </w:rPr>
        <w:t>reported</w:t>
      </w:r>
      <w:r>
        <w:rPr>
          <w:spacing w:val="-13"/>
          <w:vertAlign w:val="baseline"/>
        </w:rPr>
        <w:t> </w:t>
      </w:r>
      <w:r>
        <w:rPr>
          <w:vertAlign w:val="baseline"/>
        </w:rPr>
        <w:t>slightly</w:t>
      </w:r>
      <w:r>
        <w:rPr>
          <w:spacing w:val="-12"/>
          <w:vertAlign w:val="baseline"/>
        </w:rPr>
        <w:t> </w:t>
      </w:r>
      <w:r>
        <w:rPr>
          <w:vertAlign w:val="baseline"/>
        </w:rPr>
        <w:t>lower</w:t>
      </w:r>
      <w:r>
        <w:rPr>
          <w:spacing w:val="-13"/>
          <w:vertAlign w:val="baseline"/>
        </w:rPr>
        <w:t> </w:t>
      </w:r>
      <w:r>
        <w:rPr>
          <w:vertAlign w:val="baseline"/>
        </w:rPr>
        <w:t>rates</w:t>
      </w:r>
      <w:r>
        <w:rPr>
          <w:spacing w:val="-12"/>
          <w:vertAlign w:val="baseline"/>
        </w:rPr>
        <w:t> </w:t>
      </w:r>
      <w:r>
        <w:rPr>
          <w:vertAlign w:val="baseline"/>
        </w:rPr>
        <w:t>of</w:t>
      </w:r>
      <w:r>
        <w:rPr>
          <w:spacing w:val="-12"/>
          <w:vertAlign w:val="baseline"/>
        </w:rPr>
        <w:t> </w:t>
      </w:r>
      <w:r>
        <w:rPr>
          <w:vertAlign w:val="baseline"/>
        </w:rPr>
        <w:t>anxiety,</w:t>
      </w:r>
      <w:r>
        <w:rPr>
          <w:spacing w:val="-13"/>
          <w:vertAlign w:val="baseline"/>
        </w:rPr>
        <w:t> </w:t>
      </w:r>
      <w:r>
        <w:rPr>
          <w:vertAlign w:val="baseline"/>
        </w:rPr>
        <w:t>depression,</w:t>
      </w:r>
      <w:r>
        <w:rPr>
          <w:spacing w:val="-12"/>
          <w:vertAlign w:val="baseline"/>
        </w:rPr>
        <w:t> </w:t>
      </w:r>
      <w:r>
        <w:rPr>
          <w:vertAlign w:val="baseline"/>
        </w:rPr>
        <w:t>and</w:t>
      </w:r>
      <w:r>
        <w:rPr>
          <w:spacing w:val="-13"/>
          <w:vertAlign w:val="baseline"/>
        </w:rPr>
        <w:t> </w:t>
      </w:r>
      <w:r>
        <w:rPr>
          <w:vertAlign w:val="baseline"/>
        </w:rPr>
        <w:t>suicidal</w:t>
      </w:r>
      <w:r>
        <w:rPr>
          <w:spacing w:val="-12"/>
          <w:vertAlign w:val="baseline"/>
        </w:rPr>
        <w:t> </w:t>
      </w:r>
      <w:r>
        <w:rPr>
          <w:vertAlign w:val="baseline"/>
        </w:rPr>
        <w:t>ideation compared to LGBTQ youth whose parents were born in the U.S. However, researchers discovered that suicide</w:t>
      </w:r>
      <w:r>
        <w:rPr>
          <w:spacing w:val="-8"/>
          <w:vertAlign w:val="baseline"/>
        </w:rPr>
        <w:t> </w:t>
      </w:r>
      <w:r>
        <w:rPr>
          <w:vertAlign w:val="baseline"/>
        </w:rPr>
        <w:t>risk</w:t>
      </w:r>
      <w:r>
        <w:rPr>
          <w:spacing w:val="-9"/>
          <w:vertAlign w:val="baseline"/>
        </w:rPr>
        <w:t> </w:t>
      </w:r>
      <w:r>
        <w:rPr>
          <w:vertAlign w:val="baseline"/>
        </w:rPr>
        <w:t>among</w:t>
      </w:r>
      <w:r>
        <w:rPr>
          <w:spacing w:val="-9"/>
          <w:vertAlign w:val="baseline"/>
        </w:rPr>
        <w:t> </w:t>
      </w:r>
      <w:r>
        <w:rPr>
          <w:vertAlign w:val="baseline"/>
        </w:rPr>
        <w:t>first-generation</w:t>
      </w:r>
      <w:r>
        <w:rPr>
          <w:spacing w:val="-9"/>
          <w:vertAlign w:val="baseline"/>
        </w:rPr>
        <w:t> </w:t>
      </w:r>
      <w:r>
        <w:rPr>
          <w:vertAlign w:val="baseline"/>
        </w:rPr>
        <w:t>LGBTQ</w:t>
      </w:r>
      <w:r>
        <w:rPr>
          <w:spacing w:val="-9"/>
          <w:vertAlign w:val="baseline"/>
        </w:rPr>
        <w:t> </w:t>
      </w:r>
      <w:r>
        <w:rPr>
          <w:vertAlign w:val="baseline"/>
        </w:rPr>
        <w:t>youth</w:t>
      </w:r>
      <w:r>
        <w:rPr>
          <w:spacing w:val="-9"/>
          <w:vertAlign w:val="baseline"/>
        </w:rPr>
        <w:t> </w:t>
      </w:r>
      <w:r>
        <w:rPr>
          <w:vertAlign w:val="baseline"/>
        </w:rPr>
        <w:t>was</w:t>
      </w:r>
      <w:r>
        <w:rPr>
          <w:spacing w:val="-7"/>
          <w:vertAlign w:val="baseline"/>
        </w:rPr>
        <w:t> </w:t>
      </w:r>
      <w:r>
        <w:rPr>
          <w:vertAlign w:val="baseline"/>
        </w:rPr>
        <w:t>more</w:t>
      </w:r>
      <w:r>
        <w:rPr>
          <w:spacing w:val="-9"/>
          <w:vertAlign w:val="baseline"/>
        </w:rPr>
        <w:t> </w:t>
      </w:r>
      <w:r>
        <w:rPr>
          <w:vertAlign w:val="baseline"/>
        </w:rPr>
        <w:t>associated</w:t>
      </w:r>
      <w:r>
        <w:rPr>
          <w:spacing w:val="-9"/>
          <w:vertAlign w:val="baseline"/>
        </w:rPr>
        <w:t> </w:t>
      </w:r>
      <w:r>
        <w:rPr>
          <w:vertAlign w:val="baseline"/>
        </w:rPr>
        <w:t>with</w:t>
      </w:r>
      <w:r>
        <w:rPr>
          <w:spacing w:val="-8"/>
          <w:vertAlign w:val="baseline"/>
        </w:rPr>
        <w:t> </w:t>
      </w:r>
      <w:r>
        <w:rPr>
          <w:vertAlign w:val="baseline"/>
        </w:rPr>
        <w:t>worrying</w:t>
      </w:r>
      <w:r>
        <w:rPr>
          <w:spacing w:val="-9"/>
          <w:vertAlign w:val="baseline"/>
        </w:rPr>
        <w:t> </w:t>
      </w:r>
      <w:r>
        <w:rPr>
          <w:vertAlign w:val="baseline"/>
        </w:rPr>
        <w:t>about</w:t>
      </w:r>
      <w:r>
        <w:rPr>
          <w:spacing w:val="-9"/>
          <w:vertAlign w:val="baseline"/>
        </w:rPr>
        <w:t> </w:t>
      </w:r>
      <w:r>
        <w:rPr>
          <w:vertAlign w:val="baseline"/>
        </w:rPr>
        <w:t>themselves</w:t>
      </w:r>
      <w:r>
        <w:rPr>
          <w:spacing w:val="-8"/>
          <w:vertAlign w:val="baseline"/>
        </w:rPr>
        <w:t> </w:t>
      </w:r>
      <w:r>
        <w:rPr>
          <w:vertAlign w:val="baseline"/>
        </w:rPr>
        <w:t>or a family member being deported due to immigration policies. Roughly 30% of first-generation LGBTQ youth worried “sometimes” or “a lot” about immigration-related detainment or detention compared to 5%</w:t>
      </w:r>
      <w:r>
        <w:rPr>
          <w:spacing w:val="-2"/>
          <w:vertAlign w:val="baseline"/>
        </w:rPr>
        <w:t> </w:t>
      </w:r>
      <w:r>
        <w:rPr>
          <w:vertAlign w:val="baseline"/>
        </w:rPr>
        <w:t>of</w:t>
      </w:r>
      <w:r>
        <w:rPr>
          <w:spacing w:val="-2"/>
          <w:vertAlign w:val="baseline"/>
        </w:rPr>
        <w:t> </w:t>
      </w:r>
      <w:r>
        <w:rPr>
          <w:vertAlign w:val="baseline"/>
        </w:rPr>
        <w:t>LGBTQ youth</w:t>
      </w:r>
      <w:r>
        <w:rPr>
          <w:spacing w:val="-1"/>
          <w:vertAlign w:val="baseline"/>
        </w:rPr>
        <w:t> </w:t>
      </w:r>
      <w:r>
        <w:rPr>
          <w:vertAlign w:val="baseline"/>
        </w:rPr>
        <w:t>whose</w:t>
      </w:r>
      <w:r>
        <w:rPr>
          <w:spacing w:val="-1"/>
          <w:vertAlign w:val="baseline"/>
        </w:rPr>
        <w:t> </w:t>
      </w:r>
      <w:r>
        <w:rPr>
          <w:vertAlign w:val="baseline"/>
        </w:rPr>
        <w:t>parents were</w:t>
      </w:r>
      <w:r>
        <w:rPr>
          <w:spacing w:val="-1"/>
          <w:vertAlign w:val="baseline"/>
        </w:rPr>
        <w:t> </w:t>
      </w:r>
      <w:r>
        <w:rPr>
          <w:vertAlign w:val="baseline"/>
        </w:rPr>
        <w:t>born</w:t>
      </w:r>
      <w:r>
        <w:rPr>
          <w:spacing w:val="-1"/>
          <w:vertAlign w:val="baseline"/>
        </w:rPr>
        <w:t> </w:t>
      </w:r>
      <w:r>
        <w:rPr>
          <w:vertAlign w:val="baseline"/>
        </w:rPr>
        <w:t>in</w:t>
      </w:r>
      <w:r>
        <w:rPr>
          <w:spacing w:val="-1"/>
          <w:vertAlign w:val="baseline"/>
        </w:rPr>
        <w:t> </w:t>
      </w:r>
      <w:r>
        <w:rPr>
          <w:vertAlign w:val="baseline"/>
        </w:rPr>
        <w:t>the U.S.</w:t>
      </w:r>
      <w:r>
        <w:rPr>
          <w:spacing w:val="-1"/>
          <w:vertAlign w:val="baseline"/>
        </w:rPr>
        <w:t> </w:t>
      </w:r>
      <w:r>
        <w:rPr>
          <w:vertAlign w:val="baseline"/>
        </w:rPr>
        <w:t>Immigration</w:t>
      </w:r>
      <w:r>
        <w:rPr>
          <w:spacing w:val="-2"/>
          <w:vertAlign w:val="baseline"/>
        </w:rPr>
        <w:t> </w:t>
      </w:r>
      <w:r>
        <w:rPr>
          <w:vertAlign w:val="baseline"/>
        </w:rPr>
        <w:t>fears</w:t>
      </w:r>
      <w:r>
        <w:rPr>
          <w:spacing w:val="-1"/>
          <w:vertAlign w:val="baseline"/>
        </w:rPr>
        <w:t> </w:t>
      </w:r>
      <w:r>
        <w:rPr>
          <w:vertAlign w:val="baseline"/>
        </w:rPr>
        <w:t>were</w:t>
      </w:r>
      <w:r>
        <w:rPr>
          <w:spacing w:val="-2"/>
          <w:vertAlign w:val="baseline"/>
        </w:rPr>
        <w:t> </w:t>
      </w:r>
      <w:r>
        <w:rPr>
          <w:vertAlign w:val="baseline"/>
        </w:rPr>
        <w:t>reported</w:t>
      </w:r>
      <w:r>
        <w:rPr>
          <w:spacing w:val="-1"/>
          <w:vertAlign w:val="baseline"/>
        </w:rPr>
        <w:t> </w:t>
      </w:r>
      <w:r>
        <w:rPr>
          <w:vertAlign w:val="baseline"/>
        </w:rPr>
        <w:t>most</w:t>
      </w:r>
      <w:r>
        <w:rPr>
          <w:spacing w:val="-2"/>
          <w:vertAlign w:val="baseline"/>
        </w:rPr>
        <w:t> </w:t>
      </w:r>
      <w:r>
        <w:rPr>
          <w:vertAlign w:val="baseline"/>
        </w:rPr>
        <w:t>often</w:t>
      </w:r>
      <w:r>
        <w:rPr>
          <w:spacing w:val="-1"/>
          <w:vertAlign w:val="baseline"/>
        </w:rPr>
        <w:t> </w:t>
      </w:r>
      <w:r>
        <w:rPr>
          <w:vertAlign w:val="baseline"/>
        </w:rPr>
        <w:t>by first-generation Latinx LGBTQ youth, followed by first-generation LGBTQ youth who are more than one </w:t>
      </w:r>
      <w:r>
        <w:rPr>
          <w:spacing w:val="-2"/>
          <w:vertAlign w:val="baseline"/>
        </w:rPr>
        <w:t>race/ethnicity.</w:t>
      </w:r>
    </w:p>
    <w:p>
      <w:pPr>
        <w:pStyle w:val="BodyText"/>
        <w:spacing w:line="276" w:lineRule="auto" w:before="239"/>
        <w:ind w:left="463" w:right="263"/>
        <w:jc w:val="both"/>
      </w:pPr>
      <w:r>
        <w:rPr/>
        <w:t>Overall,</w:t>
      </w:r>
      <w:r>
        <w:rPr>
          <w:spacing w:val="-7"/>
        </w:rPr>
        <w:t> </w:t>
      </w:r>
      <w:r>
        <w:rPr/>
        <w:t>first-generation</w:t>
      </w:r>
      <w:r>
        <w:rPr>
          <w:spacing w:val="-7"/>
        </w:rPr>
        <w:t> </w:t>
      </w:r>
      <w:r>
        <w:rPr/>
        <w:t>LGBTQ</w:t>
      </w:r>
      <w:r>
        <w:rPr>
          <w:spacing w:val="-7"/>
        </w:rPr>
        <w:t> </w:t>
      </w:r>
      <w:r>
        <w:rPr/>
        <w:t>youth</w:t>
      </w:r>
      <w:r>
        <w:rPr>
          <w:spacing w:val="-7"/>
        </w:rPr>
        <w:t> </w:t>
      </w:r>
      <w:r>
        <w:rPr/>
        <w:t>who</w:t>
      </w:r>
      <w:r>
        <w:rPr>
          <w:spacing w:val="-7"/>
        </w:rPr>
        <w:t> </w:t>
      </w:r>
      <w:r>
        <w:rPr/>
        <w:t>reported</w:t>
      </w:r>
      <w:r>
        <w:rPr>
          <w:spacing w:val="-8"/>
        </w:rPr>
        <w:t> </w:t>
      </w:r>
      <w:r>
        <w:rPr/>
        <w:t>being</w:t>
      </w:r>
      <w:r>
        <w:rPr>
          <w:spacing w:val="-7"/>
        </w:rPr>
        <w:t> </w:t>
      </w:r>
      <w:r>
        <w:rPr/>
        <w:t>worried</w:t>
      </w:r>
      <w:r>
        <w:rPr>
          <w:spacing w:val="-8"/>
        </w:rPr>
        <w:t> </w:t>
      </w:r>
      <w:r>
        <w:rPr/>
        <w:t>about</w:t>
      </w:r>
      <w:r>
        <w:rPr>
          <w:spacing w:val="-7"/>
        </w:rPr>
        <w:t> </w:t>
      </w:r>
      <w:r>
        <w:rPr/>
        <w:t>themselves</w:t>
      </w:r>
      <w:r>
        <w:rPr>
          <w:spacing w:val="-7"/>
        </w:rPr>
        <w:t> </w:t>
      </w:r>
      <w:r>
        <w:rPr/>
        <w:t>or</w:t>
      </w:r>
      <w:r>
        <w:rPr>
          <w:spacing w:val="-7"/>
        </w:rPr>
        <w:t> </w:t>
      </w:r>
      <w:r>
        <w:rPr/>
        <w:t>a</w:t>
      </w:r>
      <w:r>
        <w:rPr>
          <w:spacing w:val="-6"/>
        </w:rPr>
        <w:t> </w:t>
      </w:r>
      <w:r>
        <w:rPr/>
        <w:t>family</w:t>
      </w:r>
      <w:r>
        <w:rPr>
          <w:spacing w:val="-6"/>
        </w:rPr>
        <w:t> </w:t>
      </w:r>
      <w:r>
        <w:rPr/>
        <w:t>member being deported had 63% greater odds of reporting a suicide attempt in the past year. Additionally, discrimination based on actual or perceived immigration status was reported by nearly 1 in 10 of first-</w:t>
      </w:r>
    </w:p>
    <w:p>
      <w:pPr>
        <w:spacing w:after="0" w:line="276" w:lineRule="auto"/>
        <w:jc w:val="both"/>
        <w:sectPr>
          <w:pgSz w:w="12240" w:h="15840"/>
          <w:pgMar w:header="805" w:footer="1208" w:top="1080" w:bottom="1460" w:left="980" w:right="1180"/>
        </w:sectPr>
      </w:pPr>
    </w:p>
    <w:p>
      <w:pPr>
        <w:pStyle w:val="BodyText"/>
        <w:spacing w:line="276" w:lineRule="auto" w:before="69"/>
        <w:ind w:left="463" w:right="262"/>
        <w:jc w:val="both"/>
      </w:pPr>
      <w:r>
        <w:rPr/>
        <w:t>generation LGBTQ youth compared to 2% of LGBTQ youth whose parents were born in the U.S. First- generation</w:t>
      </w:r>
      <w:r>
        <w:rPr>
          <w:spacing w:val="-3"/>
        </w:rPr>
        <w:t> </w:t>
      </w:r>
      <w:r>
        <w:rPr/>
        <w:t>LGBTQ</w:t>
      </w:r>
      <w:r>
        <w:rPr>
          <w:spacing w:val="-3"/>
        </w:rPr>
        <w:t> </w:t>
      </w:r>
      <w:r>
        <w:rPr/>
        <w:t>youth</w:t>
      </w:r>
      <w:r>
        <w:rPr>
          <w:spacing w:val="-2"/>
        </w:rPr>
        <w:t> </w:t>
      </w:r>
      <w:r>
        <w:rPr/>
        <w:t>who</w:t>
      </w:r>
      <w:r>
        <w:rPr>
          <w:spacing w:val="-2"/>
        </w:rPr>
        <w:t> </w:t>
      </w:r>
      <w:r>
        <w:rPr/>
        <w:t>faced</w:t>
      </w:r>
      <w:r>
        <w:rPr>
          <w:spacing w:val="-3"/>
        </w:rPr>
        <w:t> </w:t>
      </w:r>
      <w:r>
        <w:rPr/>
        <w:t>discrimination</w:t>
      </w:r>
      <w:r>
        <w:rPr>
          <w:spacing w:val="-2"/>
        </w:rPr>
        <w:t> </w:t>
      </w:r>
      <w:r>
        <w:rPr/>
        <w:t>based</w:t>
      </w:r>
      <w:r>
        <w:rPr>
          <w:spacing w:val="-3"/>
        </w:rPr>
        <w:t> </w:t>
      </w:r>
      <w:r>
        <w:rPr/>
        <w:t>on</w:t>
      </w:r>
      <w:r>
        <w:rPr>
          <w:spacing w:val="-3"/>
        </w:rPr>
        <w:t> </w:t>
      </w:r>
      <w:r>
        <w:rPr/>
        <w:t>their</w:t>
      </w:r>
      <w:r>
        <w:rPr>
          <w:spacing w:val="-3"/>
        </w:rPr>
        <w:t> </w:t>
      </w:r>
      <w:r>
        <w:rPr/>
        <w:t>actual</w:t>
      </w:r>
      <w:r>
        <w:rPr>
          <w:spacing w:val="-3"/>
        </w:rPr>
        <w:t> </w:t>
      </w:r>
      <w:r>
        <w:rPr/>
        <w:t>or</w:t>
      </w:r>
      <w:r>
        <w:rPr>
          <w:spacing w:val="-3"/>
        </w:rPr>
        <w:t> </w:t>
      </w:r>
      <w:r>
        <w:rPr/>
        <w:t>perceived</w:t>
      </w:r>
      <w:r>
        <w:rPr>
          <w:spacing w:val="-3"/>
        </w:rPr>
        <w:t> </w:t>
      </w:r>
      <w:r>
        <w:rPr/>
        <w:t>immigration</w:t>
      </w:r>
      <w:r>
        <w:rPr>
          <w:spacing w:val="-3"/>
        </w:rPr>
        <w:t> </w:t>
      </w:r>
      <w:r>
        <w:rPr/>
        <w:t>status had more than 2.5 times greater odds of attempting suicide compared to first-generation LGBTQ youth who did not.</w:t>
      </w:r>
    </w:p>
    <w:p>
      <w:pPr>
        <w:pStyle w:val="BodyText"/>
        <w:spacing w:line="276" w:lineRule="auto" w:before="240"/>
        <w:ind w:left="463" w:right="264"/>
        <w:jc w:val="both"/>
      </w:pPr>
      <w:r>
        <w:rPr/>
        <w:t>The</w:t>
      </w:r>
      <w:r>
        <w:rPr>
          <w:spacing w:val="-3"/>
        </w:rPr>
        <w:t> </w:t>
      </w:r>
      <w:r>
        <w:rPr/>
        <w:t>Trevor</w:t>
      </w:r>
      <w:r>
        <w:rPr>
          <w:spacing w:val="-3"/>
        </w:rPr>
        <w:t> </w:t>
      </w:r>
      <w:r>
        <w:rPr/>
        <w:t>Project</w:t>
      </w:r>
      <w:r>
        <w:rPr>
          <w:spacing w:val="-3"/>
        </w:rPr>
        <w:t> </w:t>
      </w:r>
      <w:r>
        <w:rPr/>
        <w:t>study</w:t>
      </w:r>
      <w:r>
        <w:rPr>
          <w:spacing w:val="-3"/>
        </w:rPr>
        <w:t> </w:t>
      </w:r>
      <w:r>
        <w:rPr/>
        <w:t>demonstrates</w:t>
      </w:r>
      <w:r>
        <w:rPr>
          <w:spacing w:val="-1"/>
        </w:rPr>
        <w:t> </w:t>
      </w:r>
      <w:r>
        <w:rPr/>
        <w:t>the</w:t>
      </w:r>
      <w:r>
        <w:rPr>
          <w:spacing w:val="-3"/>
        </w:rPr>
        <w:t> </w:t>
      </w:r>
      <w:r>
        <w:rPr/>
        <w:t>impact</w:t>
      </w:r>
      <w:r>
        <w:rPr>
          <w:spacing w:val="-3"/>
        </w:rPr>
        <w:t> </w:t>
      </w:r>
      <w:r>
        <w:rPr/>
        <w:t>that</w:t>
      </w:r>
      <w:r>
        <w:rPr>
          <w:spacing w:val="-3"/>
        </w:rPr>
        <w:t> </w:t>
      </w:r>
      <w:r>
        <w:rPr/>
        <w:t>a</w:t>
      </w:r>
      <w:r>
        <w:rPr>
          <w:spacing w:val="-3"/>
        </w:rPr>
        <w:t> </w:t>
      </w:r>
      <w:r>
        <w:rPr/>
        <w:t>young</w:t>
      </w:r>
      <w:r>
        <w:rPr>
          <w:spacing w:val="-3"/>
        </w:rPr>
        <w:t> </w:t>
      </w:r>
      <w:r>
        <w:rPr/>
        <w:t>person’s</w:t>
      </w:r>
      <w:r>
        <w:rPr>
          <w:spacing w:val="-2"/>
        </w:rPr>
        <w:t> </w:t>
      </w:r>
      <w:r>
        <w:rPr/>
        <w:t>immigration</w:t>
      </w:r>
      <w:r>
        <w:rPr>
          <w:spacing w:val="-3"/>
        </w:rPr>
        <w:t> </w:t>
      </w:r>
      <w:r>
        <w:rPr/>
        <w:t>status</w:t>
      </w:r>
      <w:r>
        <w:rPr>
          <w:spacing w:val="-2"/>
        </w:rPr>
        <w:t> </w:t>
      </w:r>
      <w:r>
        <w:rPr/>
        <w:t>can</w:t>
      </w:r>
      <w:r>
        <w:rPr>
          <w:spacing w:val="-3"/>
        </w:rPr>
        <w:t> </w:t>
      </w:r>
      <w:r>
        <w:rPr/>
        <w:t>have</w:t>
      </w:r>
      <w:r>
        <w:rPr>
          <w:spacing w:val="-3"/>
        </w:rPr>
        <w:t> </w:t>
      </w:r>
      <w:r>
        <w:rPr/>
        <w:t>on their mental health, or the immigration status of close family members. As previous research demonstrates, feeling unsure about access to education, health care, and the</w:t>
      </w:r>
    </w:p>
    <w:p>
      <w:pPr>
        <w:pStyle w:val="BodyText"/>
        <w:spacing w:line="278" w:lineRule="auto" w:before="240"/>
        <w:ind w:left="463" w:right="260"/>
        <w:jc w:val="both"/>
      </w:pPr>
      <w:r>
        <w:rPr/>
        <w:t>possibility of deportation can cause a great deal of stress and anxiety that can affect a young person’s sense of belonging and well-being.</w:t>
      </w:r>
      <w:hyperlink w:history="true" w:anchor="_bookmark538">
        <w:r>
          <w:rPr>
            <w:vertAlign w:val="superscript"/>
          </w:rPr>
          <w:t>26</w:t>
        </w:r>
      </w:hyperlink>
      <w:r>
        <w:rPr>
          <w:vertAlign w:val="baseline"/>
        </w:rPr>
        <w:t> This also leads LGBTQ youth to avoid interaction with police and potentially with immigration officials like I.C.E. by avoiding activities such as seeking mental health, or even</w:t>
      </w:r>
      <w:r>
        <w:rPr>
          <w:spacing w:val="-10"/>
          <w:vertAlign w:val="baseline"/>
        </w:rPr>
        <w:t> </w:t>
      </w:r>
      <w:r>
        <w:rPr>
          <w:vertAlign w:val="baseline"/>
        </w:rPr>
        <w:t>reporting</w:t>
      </w:r>
      <w:r>
        <w:rPr>
          <w:spacing w:val="-10"/>
          <w:vertAlign w:val="baseline"/>
        </w:rPr>
        <w:t> </w:t>
      </w:r>
      <w:r>
        <w:rPr>
          <w:vertAlign w:val="baseline"/>
        </w:rPr>
        <w:t>discrimination</w:t>
      </w:r>
      <w:r>
        <w:rPr>
          <w:spacing w:val="-10"/>
          <w:vertAlign w:val="baseline"/>
        </w:rPr>
        <w:t> </w:t>
      </w:r>
      <w:r>
        <w:rPr>
          <w:vertAlign w:val="baseline"/>
        </w:rPr>
        <w:t>or</w:t>
      </w:r>
      <w:r>
        <w:rPr>
          <w:spacing w:val="-10"/>
          <w:vertAlign w:val="baseline"/>
        </w:rPr>
        <w:t> </w:t>
      </w:r>
      <w:r>
        <w:rPr>
          <w:vertAlign w:val="baseline"/>
        </w:rPr>
        <w:t>violence,</w:t>
      </w:r>
      <w:r>
        <w:rPr>
          <w:spacing w:val="-10"/>
          <w:vertAlign w:val="baseline"/>
        </w:rPr>
        <w:t> </w:t>
      </w:r>
      <w:r>
        <w:rPr>
          <w:vertAlign w:val="baseline"/>
        </w:rPr>
        <w:t>as</w:t>
      </w:r>
      <w:r>
        <w:rPr>
          <w:spacing w:val="-10"/>
          <w:vertAlign w:val="baseline"/>
        </w:rPr>
        <w:t> </w:t>
      </w:r>
      <w:r>
        <w:rPr>
          <w:vertAlign w:val="baseline"/>
        </w:rPr>
        <w:t>they</w:t>
      </w:r>
      <w:r>
        <w:rPr>
          <w:spacing w:val="-9"/>
          <w:vertAlign w:val="baseline"/>
        </w:rPr>
        <w:t> </w:t>
      </w:r>
      <w:r>
        <w:rPr>
          <w:vertAlign w:val="baseline"/>
        </w:rPr>
        <w:t>may</w:t>
      </w:r>
      <w:r>
        <w:rPr>
          <w:spacing w:val="-10"/>
          <w:vertAlign w:val="baseline"/>
        </w:rPr>
        <w:t> </w:t>
      </w:r>
      <w:r>
        <w:rPr>
          <w:vertAlign w:val="baseline"/>
        </w:rPr>
        <w:t>potentially</w:t>
      </w:r>
      <w:r>
        <w:rPr>
          <w:spacing w:val="-9"/>
          <w:vertAlign w:val="baseline"/>
        </w:rPr>
        <w:t> </w:t>
      </w:r>
      <w:r>
        <w:rPr>
          <w:vertAlign w:val="baseline"/>
        </w:rPr>
        <w:t>have</w:t>
      </w:r>
      <w:r>
        <w:rPr>
          <w:spacing w:val="-10"/>
          <w:vertAlign w:val="baseline"/>
        </w:rPr>
        <w:t> </w:t>
      </w:r>
      <w:r>
        <w:rPr>
          <w:vertAlign w:val="baseline"/>
        </w:rPr>
        <w:t>to</w:t>
      </w:r>
      <w:r>
        <w:rPr>
          <w:spacing w:val="-10"/>
          <w:vertAlign w:val="baseline"/>
        </w:rPr>
        <w:t> </w:t>
      </w:r>
      <w:r>
        <w:rPr>
          <w:vertAlign w:val="baseline"/>
        </w:rPr>
        <w:t>reveal</w:t>
      </w:r>
      <w:r>
        <w:rPr>
          <w:spacing w:val="-10"/>
          <w:vertAlign w:val="baseline"/>
        </w:rPr>
        <w:t> </w:t>
      </w:r>
      <w:r>
        <w:rPr>
          <w:vertAlign w:val="baseline"/>
        </w:rPr>
        <w:t>their</w:t>
      </w:r>
      <w:r>
        <w:rPr>
          <w:spacing w:val="-10"/>
          <w:vertAlign w:val="baseline"/>
        </w:rPr>
        <w:t> </w:t>
      </w:r>
      <w:r>
        <w:rPr>
          <w:vertAlign w:val="baseline"/>
        </w:rPr>
        <w:t>immigration</w:t>
      </w:r>
      <w:r>
        <w:rPr>
          <w:spacing w:val="-10"/>
          <w:vertAlign w:val="baseline"/>
        </w:rPr>
        <w:t> </w:t>
      </w:r>
      <w:r>
        <w:rPr>
          <w:vertAlign w:val="baseline"/>
        </w:rPr>
        <w:t>status. This constant self-monitoring and reluctance to seek mental health care to stay under the radar from police</w:t>
      </w:r>
      <w:r>
        <w:rPr>
          <w:spacing w:val="-13"/>
          <w:vertAlign w:val="baseline"/>
        </w:rPr>
        <w:t> </w:t>
      </w:r>
      <w:r>
        <w:rPr>
          <w:vertAlign w:val="baseline"/>
        </w:rPr>
        <w:t>and</w:t>
      </w:r>
      <w:r>
        <w:rPr>
          <w:spacing w:val="-12"/>
          <w:vertAlign w:val="baseline"/>
        </w:rPr>
        <w:t> </w:t>
      </w:r>
      <w:r>
        <w:rPr>
          <w:vertAlign w:val="baseline"/>
        </w:rPr>
        <w:t>immigration</w:t>
      </w:r>
      <w:r>
        <w:rPr>
          <w:spacing w:val="-13"/>
          <w:vertAlign w:val="baseline"/>
        </w:rPr>
        <w:t> </w:t>
      </w:r>
      <w:r>
        <w:rPr>
          <w:vertAlign w:val="baseline"/>
        </w:rPr>
        <w:t>officials,</w:t>
      </w:r>
      <w:r>
        <w:rPr>
          <w:spacing w:val="-11"/>
          <w:vertAlign w:val="baseline"/>
        </w:rPr>
        <w:t> </w:t>
      </w:r>
      <w:r>
        <w:rPr>
          <w:vertAlign w:val="baseline"/>
        </w:rPr>
        <w:t>can</w:t>
      </w:r>
      <w:r>
        <w:rPr>
          <w:spacing w:val="-13"/>
          <w:vertAlign w:val="baseline"/>
        </w:rPr>
        <w:t> </w:t>
      </w:r>
      <w:r>
        <w:rPr>
          <w:vertAlign w:val="baseline"/>
        </w:rPr>
        <w:t>increase</w:t>
      </w:r>
      <w:r>
        <w:rPr>
          <w:spacing w:val="-12"/>
          <w:vertAlign w:val="baseline"/>
        </w:rPr>
        <w:t> </w:t>
      </w:r>
      <w:r>
        <w:rPr>
          <w:vertAlign w:val="baseline"/>
        </w:rPr>
        <w:t>stress</w:t>
      </w:r>
      <w:r>
        <w:rPr>
          <w:spacing w:val="-12"/>
          <w:vertAlign w:val="baseline"/>
        </w:rPr>
        <w:t> </w:t>
      </w:r>
      <w:r>
        <w:rPr>
          <w:vertAlign w:val="baseline"/>
        </w:rPr>
        <w:t>and</w:t>
      </w:r>
      <w:r>
        <w:rPr>
          <w:spacing w:val="-13"/>
          <w:vertAlign w:val="baseline"/>
        </w:rPr>
        <w:t> </w:t>
      </w:r>
      <w:r>
        <w:rPr>
          <w:vertAlign w:val="baseline"/>
        </w:rPr>
        <w:t>anxiety,</w:t>
      </w:r>
      <w:r>
        <w:rPr>
          <w:spacing w:val="-11"/>
          <w:vertAlign w:val="baseline"/>
        </w:rPr>
        <w:t> </w:t>
      </w:r>
      <w:r>
        <w:rPr>
          <w:vertAlign w:val="baseline"/>
        </w:rPr>
        <w:t>and</w:t>
      </w:r>
      <w:r>
        <w:rPr>
          <w:spacing w:val="-13"/>
          <w:vertAlign w:val="baseline"/>
        </w:rPr>
        <w:t> </w:t>
      </w:r>
      <w:r>
        <w:rPr>
          <w:vertAlign w:val="baseline"/>
        </w:rPr>
        <w:t>act</w:t>
      </w:r>
      <w:r>
        <w:rPr>
          <w:spacing w:val="-12"/>
          <w:vertAlign w:val="baseline"/>
        </w:rPr>
        <w:t> </w:t>
      </w:r>
      <w:r>
        <w:rPr>
          <w:vertAlign w:val="baseline"/>
        </w:rPr>
        <w:t>as</w:t>
      </w:r>
      <w:r>
        <w:rPr>
          <w:spacing w:val="-12"/>
          <w:vertAlign w:val="baseline"/>
        </w:rPr>
        <w:t> </w:t>
      </w:r>
      <w:r>
        <w:rPr>
          <w:vertAlign w:val="baseline"/>
        </w:rPr>
        <w:t>a</w:t>
      </w:r>
      <w:r>
        <w:rPr>
          <w:spacing w:val="-12"/>
          <w:vertAlign w:val="baseline"/>
        </w:rPr>
        <w:t> </w:t>
      </w:r>
      <w:r>
        <w:rPr>
          <w:vertAlign w:val="baseline"/>
        </w:rPr>
        <w:t>barrier</w:t>
      </w:r>
      <w:r>
        <w:rPr>
          <w:spacing w:val="-12"/>
          <w:vertAlign w:val="baseline"/>
        </w:rPr>
        <w:t> </w:t>
      </w:r>
      <w:r>
        <w:rPr>
          <w:vertAlign w:val="baseline"/>
        </w:rPr>
        <w:t>to</w:t>
      </w:r>
      <w:r>
        <w:rPr>
          <w:spacing w:val="-11"/>
          <w:vertAlign w:val="baseline"/>
        </w:rPr>
        <w:t> </w:t>
      </w:r>
      <w:r>
        <w:rPr>
          <w:vertAlign w:val="baseline"/>
        </w:rPr>
        <w:t>mental</w:t>
      </w:r>
      <w:r>
        <w:rPr>
          <w:spacing w:val="-13"/>
          <w:vertAlign w:val="baseline"/>
        </w:rPr>
        <w:t> </w:t>
      </w:r>
      <w:r>
        <w:rPr>
          <w:vertAlign w:val="baseline"/>
        </w:rPr>
        <w:t>health</w:t>
      </w:r>
      <w:r>
        <w:rPr>
          <w:spacing w:val="-11"/>
          <w:vertAlign w:val="baseline"/>
        </w:rPr>
        <w:t> </w:t>
      </w:r>
      <w:r>
        <w:rPr>
          <w:vertAlign w:val="baseline"/>
        </w:rPr>
        <w:t>care. As discussed in the New England-based MIRA Coalition’s 2021 Annual Report, some foreign-born individuals hesitate to reach out even to local nonprofit organizations for resources, for fear of being </w:t>
      </w:r>
      <w:r>
        <w:rPr>
          <w:spacing w:val="-2"/>
          <w:vertAlign w:val="baseline"/>
        </w:rPr>
        <w:t>turned</w:t>
      </w:r>
      <w:r>
        <w:rPr>
          <w:spacing w:val="-3"/>
          <w:vertAlign w:val="baseline"/>
        </w:rPr>
        <w:t> </w:t>
      </w:r>
      <w:r>
        <w:rPr>
          <w:spacing w:val="-2"/>
          <w:vertAlign w:val="baseline"/>
        </w:rPr>
        <w:t>over</w:t>
      </w:r>
      <w:r>
        <w:rPr>
          <w:spacing w:val="-4"/>
          <w:vertAlign w:val="baseline"/>
        </w:rPr>
        <w:t> </w:t>
      </w:r>
      <w:r>
        <w:rPr>
          <w:spacing w:val="-2"/>
          <w:vertAlign w:val="baseline"/>
        </w:rPr>
        <w:t>to</w:t>
      </w:r>
      <w:r>
        <w:rPr>
          <w:spacing w:val="-4"/>
          <w:vertAlign w:val="baseline"/>
        </w:rPr>
        <w:t> </w:t>
      </w:r>
      <w:r>
        <w:rPr>
          <w:spacing w:val="-2"/>
          <w:vertAlign w:val="baseline"/>
        </w:rPr>
        <w:t>ICE,</w:t>
      </w:r>
      <w:r>
        <w:rPr>
          <w:spacing w:val="-4"/>
          <w:vertAlign w:val="baseline"/>
        </w:rPr>
        <w:t> </w:t>
      </w:r>
      <w:r>
        <w:rPr>
          <w:spacing w:val="-2"/>
          <w:vertAlign w:val="baseline"/>
        </w:rPr>
        <w:t>highlighting</w:t>
      </w:r>
      <w:r>
        <w:rPr>
          <w:spacing w:val="-3"/>
          <w:vertAlign w:val="baseline"/>
        </w:rPr>
        <w:t> </w:t>
      </w:r>
      <w:r>
        <w:rPr>
          <w:spacing w:val="-2"/>
          <w:vertAlign w:val="baseline"/>
        </w:rPr>
        <w:t>the</w:t>
      </w:r>
      <w:r>
        <w:rPr>
          <w:spacing w:val="-4"/>
          <w:vertAlign w:val="baseline"/>
        </w:rPr>
        <w:t> </w:t>
      </w:r>
      <w:r>
        <w:rPr>
          <w:spacing w:val="-2"/>
          <w:vertAlign w:val="baseline"/>
        </w:rPr>
        <w:t>critical</w:t>
      </w:r>
      <w:r>
        <w:rPr>
          <w:spacing w:val="-4"/>
          <w:vertAlign w:val="baseline"/>
        </w:rPr>
        <w:t> </w:t>
      </w:r>
      <w:r>
        <w:rPr>
          <w:spacing w:val="-2"/>
          <w:vertAlign w:val="baseline"/>
        </w:rPr>
        <w:t>need</w:t>
      </w:r>
      <w:r>
        <w:rPr>
          <w:spacing w:val="-4"/>
          <w:vertAlign w:val="baseline"/>
        </w:rPr>
        <w:t> </w:t>
      </w:r>
      <w:r>
        <w:rPr>
          <w:spacing w:val="-2"/>
          <w:vertAlign w:val="baseline"/>
        </w:rPr>
        <w:t>of</w:t>
      </w:r>
      <w:r>
        <w:rPr>
          <w:spacing w:val="-4"/>
          <w:vertAlign w:val="baseline"/>
        </w:rPr>
        <w:t> </w:t>
      </w:r>
      <w:r>
        <w:rPr>
          <w:spacing w:val="-2"/>
          <w:vertAlign w:val="baseline"/>
        </w:rPr>
        <w:t>local</w:t>
      </w:r>
      <w:r>
        <w:rPr>
          <w:spacing w:val="-4"/>
          <w:vertAlign w:val="baseline"/>
        </w:rPr>
        <w:t> </w:t>
      </w:r>
      <w:r>
        <w:rPr>
          <w:spacing w:val="-2"/>
          <w:vertAlign w:val="baseline"/>
        </w:rPr>
        <w:t>and</w:t>
      </w:r>
      <w:r>
        <w:rPr>
          <w:spacing w:val="-4"/>
          <w:vertAlign w:val="baseline"/>
        </w:rPr>
        <w:t> </w:t>
      </w:r>
      <w:r>
        <w:rPr>
          <w:spacing w:val="-2"/>
          <w:vertAlign w:val="baseline"/>
        </w:rPr>
        <w:t>state</w:t>
      </w:r>
      <w:r>
        <w:rPr>
          <w:spacing w:val="-3"/>
          <w:vertAlign w:val="baseline"/>
        </w:rPr>
        <w:t> </w:t>
      </w:r>
      <w:r>
        <w:rPr>
          <w:spacing w:val="-2"/>
          <w:vertAlign w:val="baseline"/>
        </w:rPr>
        <w:t>agencies to</w:t>
      </w:r>
      <w:r>
        <w:rPr>
          <w:spacing w:val="-4"/>
          <w:vertAlign w:val="baseline"/>
        </w:rPr>
        <w:t> </w:t>
      </w:r>
      <w:r>
        <w:rPr>
          <w:spacing w:val="-2"/>
          <w:vertAlign w:val="baseline"/>
        </w:rPr>
        <w:t>be</w:t>
      </w:r>
      <w:r>
        <w:rPr>
          <w:spacing w:val="-4"/>
          <w:vertAlign w:val="baseline"/>
        </w:rPr>
        <w:t> </w:t>
      </w:r>
      <w:r>
        <w:rPr>
          <w:spacing w:val="-2"/>
          <w:vertAlign w:val="baseline"/>
        </w:rPr>
        <w:t>intentional</w:t>
      </w:r>
      <w:r>
        <w:rPr>
          <w:spacing w:val="-3"/>
          <w:vertAlign w:val="baseline"/>
        </w:rPr>
        <w:t> </w:t>
      </w:r>
      <w:r>
        <w:rPr>
          <w:spacing w:val="-2"/>
          <w:vertAlign w:val="baseline"/>
        </w:rPr>
        <w:t>about</w:t>
      </w:r>
      <w:r>
        <w:rPr>
          <w:spacing w:val="-4"/>
          <w:vertAlign w:val="baseline"/>
        </w:rPr>
        <w:t> </w:t>
      </w:r>
      <w:r>
        <w:rPr>
          <w:spacing w:val="-2"/>
          <w:vertAlign w:val="baseline"/>
        </w:rPr>
        <w:t>building </w:t>
      </w:r>
      <w:r>
        <w:rPr>
          <w:vertAlign w:val="baseline"/>
        </w:rPr>
        <w:t>outreach and trust with foreign-born individuals or families with mixed-resident status.</w:t>
      </w:r>
      <w:hyperlink w:history="true" w:anchor="_bookmark538">
        <w:r>
          <w:rPr>
            <w:vertAlign w:val="superscript"/>
          </w:rPr>
          <w:t>27</w:t>
        </w:r>
      </w:hyperlink>
      <w:r>
        <w:rPr>
          <w:vertAlign w:val="baseline"/>
        </w:rPr>
        <w:t> Additionally, when discussing intersectionality, ethnic identity in addition to immigration status should be noted. Researchers</w:t>
      </w:r>
      <w:r>
        <w:rPr>
          <w:spacing w:val="-7"/>
          <w:vertAlign w:val="baseline"/>
        </w:rPr>
        <w:t> </w:t>
      </w:r>
      <w:r>
        <w:rPr>
          <w:vertAlign w:val="baseline"/>
        </w:rPr>
        <w:t>have</w:t>
      </w:r>
      <w:r>
        <w:rPr>
          <w:spacing w:val="-10"/>
          <w:vertAlign w:val="baseline"/>
        </w:rPr>
        <w:t> </w:t>
      </w:r>
      <w:r>
        <w:rPr>
          <w:vertAlign w:val="baseline"/>
        </w:rPr>
        <w:t>found</w:t>
      </w:r>
      <w:r>
        <w:rPr>
          <w:spacing w:val="-9"/>
          <w:vertAlign w:val="baseline"/>
        </w:rPr>
        <w:t> </w:t>
      </w:r>
      <w:r>
        <w:rPr>
          <w:vertAlign w:val="baseline"/>
        </w:rPr>
        <w:t>that</w:t>
      </w:r>
      <w:r>
        <w:rPr>
          <w:spacing w:val="-10"/>
          <w:vertAlign w:val="baseline"/>
        </w:rPr>
        <w:t> </w:t>
      </w:r>
      <w:r>
        <w:rPr>
          <w:vertAlign w:val="baseline"/>
        </w:rPr>
        <w:t>immigrants</w:t>
      </w:r>
      <w:r>
        <w:rPr>
          <w:spacing w:val="-9"/>
          <w:vertAlign w:val="baseline"/>
        </w:rPr>
        <w:t> </w:t>
      </w:r>
      <w:r>
        <w:rPr>
          <w:vertAlign w:val="baseline"/>
        </w:rPr>
        <w:t>with</w:t>
      </w:r>
      <w:r>
        <w:rPr>
          <w:spacing w:val="-9"/>
          <w:vertAlign w:val="baseline"/>
        </w:rPr>
        <w:t> </w:t>
      </w:r>
      <w:r>
        <w:rPr>
          <w:vertAlign w:val="baseline"/>
        </w:rPr>
        <w:t>higher</w:t>
      </w:r>
      <w:r>
        <w:rPr>
          <w:spacing w:val="-9"/>
          <w:vertAlign w:val="baseline"/>
        </w:rPr>
        <w:t> </w:t>
      </w:r>
      <w:r>
        <w:rPr>
          <w:vertAlign w:val="baseline"/>
        </w:rPr>
        <w:t>levels</w:t>
      </w:r>
      <w:r>
        <w:rPr>
          <w:spacing w:val="-8"/>
          <w:vertAlign w:val="baseline"/>
        </w:rPr>
        <w:t> </w:t>
      </w:r>
      <w:r>
        <w:rPr>
          <w:vertAlign w:val="baseline"/>
        </w:rPr>
        <w:t>of</w:t>
      </w:r>
      <w:r>
        <w:rPr>
          <w:spacing w:val="-10"/>
          <w:vertAlign w:val="baseline"/>
        </w:rPr>
        <w:t> </w:t>
      </w:r>
      <w:r>
        <w:rPr>
          <w:vertAlign w:val="baseline"/>
        </w:rPr>
        <w:t>residential</w:t>
      </w:r>
      <w:r>
        <w:rPr>
          <w:spacing w:val="-9"/>
          <w:vertAlign w:val="baseline"/>
        </w:rPr>
        <w:t> </w:t>
      </w:r>
      <w:r>
        <w:rPr>
          <w:vertAlign w:val="baseline"/>
        </w:rPr>
        <w:t>segregation</w:t>
      </w:r>
      <w:r>
        <w:rPr>
          <w:spacing w:val="-10"/>
          <w:vertAlign w:val="baseline"/>
        </w:rPr>
        <w:t> </w:t>
      </w:r>
      <w:r>
        <w:rPr>
          <w:vertAlign w:val="baseline"/>
        </w:rPr>
        <w:t>such</w:t>
      </w:r>
      <w:r>
        <w:rPr>
          <w:spacing w:val="-9"/>
          <w:vertAlign w:val="baseline"/>
        </w:rPr>
        <w:t> </w:t>
      </w:r>
      <w:r>
        <w:rPr>
          <w:vertAlign w:val="baseline"/>
        </w:rPr>
        <w:t>as</w:t>
      </w:r>
      <w:r>
        <w:rPr>
          <w:spacing w:val="-9"/>
          <w:vertAlign w:val="baseline"/>
        </w:rPr>
        <w:t> </w:t>
      </w:r>
      <w:r>
        <w:rPr>
          <w:vertAlign w:val="baseline"/>
        </w:rPr>
        <w:t>Salvadorian, Dominican, and Indian immigrants, have greater access to non-profit resources. However, less socially segregated immigrants such as Italian, Portuguese, and Vietnamese do not have as much access that specifically focuses on the needs of their ethnic identity.</w:t>
      </w:r>
      <w:r>
        <w:rPr>
          <w:vertAlign w:val="superscript"/>
        </w:rPr>
        <w:t>28</w:t>
      </w:r>
    </w:p>
    <w:p>
      <w:pPr>
        <w:pStyle w:val="BodyText"/>
        <w:spacing w:line="276" w:lineRule="auto" w:before="233"/>
        <w:ind w:left="463" w:right="263"/>
        <w:jc w:val="both"/>
      </w:pPr>
      <w:r>
        <w:rPr/>
        <w:t>As</w:t>
      </w:r>
      <w:r>
        <w:rPr>
          <w:spacing w:val="-11"/>
        </w:rPr>
        <w:t> </w:t>
      </w:r>
      <w:r>
        <w:rPr/>
        <w:t>noted</w:t>
      </w:r>
      <w:r>
        <w:rPr>
          <w:spacing w:val="-10"/>
        </w:rPr>
        <w:t> </w:t>
      </w:r>
      <w:r>
        <w:rPr/>
        <w:t>above,</w:t>
      </w:r>
      <w:r>
        <w:rPr>
          <w:spacing w:val="-11"/>
        </w:rPr>
        <w:t> </w:t>
      </w:r>
      <w:r>
        <w:rPr/>
        <w:t>some</w:t>
      </w:r>
      <w:r>
        <w:rPr>
          <w:spacing w:val="-10"/>
        </w:rPr>
        <w:t> </w:t>
      </w:r>
      <w:r>
        <w:rPr/>
        <w:t>cities</w:t>
      </w:r>
      <w:r>
        <w:rPr>
          <w:spacing w:val="-11"/>
        </w:rPr>
        <w:t> </w:t>
      </w:r>
      <w:r>
        <w:rPr/>
        <w:t>in</w:t>
      </w:r>
      <w:r>
        <w:rPr>
          <w:spacing w:val="-11"/>
        </w:rPr>
        <w:t> </w:t>
      </w:r>
      <w:r>
        <w:rPr/>
        <w:t>Massachusetts,</w:t>
      </w:r>
      <w:r>
        <w:rPr>
          <w:spacing w:val="-11"/>
        </w:rPr>
        <w:t> </w:t>
      </w:r>
      <w:r>
        <w:rPr/>
        <w:t>such</w:t>
      </w:r>
      <w:r>
        <w:rPr>
          <w:spacing w:val="-10"/>
        </w:rPr>
        <w:t> </w:t>
      </w:r>
      <w:r>
        <w:rPr/>
        <w:t>as</w:t>
      </w:r>
      <w:r>
        <w:rPr>
          <w:spacing w:val="-11"/>
        </w:rPr>
        <w:t> </w:t>
      </w:r>
      <w:r>
        <w:rPr/>
        <w:t>Boston,</w:t>
      </w:r>
      <w:r>
        <w:rPr>
          <w:spacing w:val="-11"/>
        </w:rPr>
        <w:t> </w:t>
      </w:r>
      <w:r>
        <w:rPr/>
        <w:t>have</w:t>
      </w:r>
      <w:r>
        <w:rPr>
          <w:spacing w:val="-11"/>
        </w:rPr>
        <w:t> </w:t>
      </w:r>
      <w:r>
        <w:rPr/>
        <w:t>passed</w:t>
      </w:r>
      <w:r>
        <w:rPr>
          <w:spacing w:val="-10"/>
        </w:rPr>
        <w:t> </w:t>
      </w:r>
      <w:r>
        <w:rPr/>
        <w:t>legislation</w:t>
      </w:r>
      <w:r>
        <w:rPr>
          <w:spacing w:val="-12"/>
        </w:rPr>
        <w:t> </w:t>
      </w:r>
      <w:r>
        <w:rPr/>
        <w:t>that</w:t>
      </w:r>
      <w:r>
        <w:rPr>
          <w:spacing w:val="-11"/>
        </w:rPr>
        <w:t> </w:t>
      </w:r>
      <w:r>
        <w:rPr/>
        <w:t>bars</w:t>
      </w:r>
      <w:r>
        <w:rPr>
          <w:spacing w:val="-11"/>
        </w:rPr>
        <w:t> </w:t>
      </w:r>
      <w:r>
        <w:rPr/>
        <w:t>city</w:t>
      </w:r>
      <w:r>
        <w:rPr>
          <w:spacing w:val="-10"/>
        </w:rPr>
        <w:t> </w:t>
      </w:r>
      <w:r>
        <w:rPr/>
        <w:t>police from</w:t>
      </w:r>
      <w:r>
        <w:rPr>
          <w:spacing w:val="-5"/>
        </w:rPr>
        <w:t> </w:t>
      </w:r>
      <w:r>
        <w:rPr/>
        <w:t>cooperating</w:t>
      </w:r>
      <w:r>
        <w:rPr>
          <w:spacing w:val="-4"/>
        </w:rPr>
        <w:t> </w:t>
      </w:r>
      <w:r>
        <w:rPr/>
        <w:t>in</w:t>
      </w:r>
      <w:r>
        <w:rPr>
          <w:spacing w:val="-4"/>
        </w:rPr>
        <w:t> </w:t>
      </w:r>
      <w:r>
        <w:rPr/>
        <w:t>most</w:t>
      </w:r>
      <w:r>
        <w:rPr>
          <w:spacing w:val="-5"/>
        </w:rPr>
        <w:t> </w:t>
      </w:r>
      <w:r>
        <w:rPr/>
        <w:t>cases</w:t>
      </w:r>
      <w:r>
        <w:rPr>
          <w:spacing w:val="-5"/>
        </w:rPr>
        <w:t> </w:t>
      </w:r>
      <w:r>
        <w:rPr/>
        <w:t>with</w:t>
      </w:r>
      <w:r>
        <w:rPr>
          <w:spacing w:val="-5"/>
        </w:rPr>
        <w:t> </w:t>
      </w:r>
      <w:r>
        <w:rPr/>
        <w:t>federal</w:t>
      </w:r>
      <w:r>
        <w:rPr>
          <w:spacing w:val="-5"/>
        </w:rPr>
        <w:t> </w:t>
      </w:r>
      <w:r>
        <w:rPr/>
        <w:t>immigration</w:t>
      </w:r>
      <w:r>
        <w:rPr>
          <w:spacing w:val="-5"/>
        </w:rPr>
        <w:t> </w:t>
      </w:r>
      <w:r>
        <w:rPr/>
        <w:t>authorities</w:t>
      </w:r>
      <w:r>
        <w:rPr>
          <w:spacing w:val="-5"/>
        </w:rPr>
        <w:t> </w:t>
      </w:r>
      <w:r>
        <w:rPr/>
        <w:t>to</w:t>
      </w:r>
      <w:r>
        <w:rPr>
          <w:spacing w:val="-5"/>
        </w:rPr>
        <w:t> </w:t>
      </w:r>
      <w:r>
        <w:rPr/>
        <w:t>detain</w:t>
      </w:r>
      <w:r>
        <w:rPr>
          <w:spacing w:val="-5"/>
        </w:rPr>
        <w:t> </w:t>
      </w:r>
      <w:r>
        <w:rPr/>
        <w:t>immigrants</w:t>
      </w:r>
      <w:r>
        <w:rPr>
          <w:spacing w:val="-5"/>
        </w:rPr>
        <w:t> </w:t>
      </w:r>
      <w:r>
        <w:rPr/>
        <w:t>who</w:t>
      </w:r>
      <w:r>
        <w:rPr>
          <w:spacing w:val="-5"/>
        </w:rPr>
        <w:t> </w:t>
      </w:r>
      <w:r>
        <w:rPr/>
        <w:t>are</w:t>
      </w:r>
      <w:r>
        <w:rPr>
          <w:spacing w:val="-5"/>
        </w:rPr>
        <w:t> </w:t>
      </w:r>
      <w:r>
        <w:rPr/>
        <w:t>in</w:t>
      </w:r>
      <w:r>
        <w:rPr>
          <w:spacing w:val="-4"/>
        </w:rPr>
        <w:t> </w:t>
      </w:r>
      <w:r>
        <w:rPr/>
        <w:t>the country illegally, and have also ended agreements through county sheriff’s offices with ICE. These measures allow Massachusetts to make progress at creating a space</w:t>
      </w:r>
      <w:r>
        <w:rPr>
          <w:spacing w:val="-1"/>
        </w:rPr>
        <w:t> </w:t>
      </w:r>
      <w:r>
        <w:rPr/>
        <w:t>where foreign-born undocumented residents can live without fear of being deported</w:t>
      </w:r>
      <w:hyperlink w:history="true" w:anchor="_bookmark539">
        <w:r>
          <w:rPr/>
          <w:t>.</w:t>
        </w:r>
        <w:r>
          <w:rPr>
            <w:vertAlign w:val="superscript"/>
          </w:rPr>
          <w:t>28</w:t>
        </w:r>
      </w:hyperlink>
    </w:p>
    <w:p>
      <w:pPr>
        <w:spacing w:before="239"/>
        <w:ind w:left="463" w:right="0" w:firstLine="0"/>
        <w:jc w:val="both"/>
        <w:rPr>
          <w:sz w:val="28"/>
        </w:rPr>
      </w:pPr>
      <w:bookmarkStart w:name="Criminal Justice Involvement" w:id="784"/>
      <w:bookmarkEnd w:id="784"/>
      <w:r>
        <w:rPr/>
      </w:r>
      <w:r>
        <w:rPr>
          <w:color w:val="365F91"/>
          <w:sz w:val="28"/>
        </w:rPr>
        <w:t>Criminal</w:t>
      </w:r>
      <w:r>
        <w:rPr>
          <w:color w:val="365F91"/>
          <w:spacing w:val="-13"/>
          <w:sz w:val="28"/>
        </w:rPr>
        <w:t> </w:t>
      </w:r>
      <w:r>
        <w:rPr>
          <w:color w:val="365F91"/>
          <w:sz w:val="28"/>
        </w:rPr>
        <w:t>Justice</w:t>
      </w:r>
      <w:r>
        <w:rPr>
          <w:color w:val="365F91"/>
          <w:spacing w:val="-13"/>
          <w:sz w:val="28"/>
        </w:rPr>
        <w:t> </w:t>
      </w:r>
      <w:r>
        <w:rPr>
          <w:color w:val="365F91"/>
          <w:spacing w:val="-2"/>
          <w:sz w:val="28"/>
        </w:rPr>
        <w:t>Involvement</w:t>
      </w:r>
    </w:p>
    <w:p>
      <w:pPr>
        <w:pStyle w:val="BodyText"/>
        <w:spacing w:line="276" w:lineRule="auto" w:before="241"/>
        <w:ind w:left="463" w:right="259"/>
        <w:jc w:val="both"/>
      </w:pPr>
      <w:r>
        <w:rPr/>
        <w:t>As noted in the criminal justice section of this annual report, research has shown that LGBTQ people are more</w:t>
      </w:r>
      <w:r>
        <w:rPr>
          <w:spacing w:val="-7"/>
        </w:rPr>
        <w:t> </w:t>
      </w:r>
      <w:r>
        <w:rPr/>
        <w:t>likely</w:t>
      </w:r>
      <w:r>
        <w:rPr>
          <w:spacing w:val="-5"/>
        </w:rPr>
        <w:t> </w:t>
      </w:r>
      <w:r>
        <w:rPr/>
        <w:t>to</w:t>
      </w:r>
      <w:r>
        <w:rPr>
          <w:spacing w:val="-5"/>
        </w:rPr>
        <w:t> </w:t>
      </w:r>
      <w:r>
        <w:rPr/>
        <w:t>interact</w:t>
      </w:r>
      <w:r>
        <w:rPr>
          <w:spacing w:val="-6"/>
        </w:rPr>
        <w:t> </w:t>
      </w:r>
      <w:r>
        <w:rPr/>
        <w:t>with</w:t>
      </w:r>
      <w:r>
        <w:rPr>
          <w:spacing w:val="-5"/>
        </w:rPr>
        <w:t> </w:t>
      </w:r>
      <w:r>
        <w:rPr/>
        <w:t>law</w:t>
      </w:r>
      <w:r>
        <w:rPr>
          <w:spacing w:val="-5"/>
        </w:rPr>
        <w:t> </w:t>
      </w:r>
      <w:r>
        <w:rPr/>
        <w:t>enforcement</w:t>
      </w:r>
      <w:r>
        <w:rPr>
          <w:spacing w:val="-6"/>
        </w:rPr>
        <w:t> </w:t>
      </w:r>
      <w:r>
        <w:rPr/>
        <w:t>due</w:t>
      </w:r>
      <w:r>
        <w:rPr>
          <w:spacing w:val="-5"/>
        </w:rPr>
        <w:t> </w:t>
      </w:r>
      <w:r>
        <w:rPr/>
        <w:t>to</w:t>
      </w:r>
      <w:r>
        <w:rPr>
          <w:spacing w:val="-3"/>
        </w:rPr>
        <w:t> </w:t>
      </w:r>
      <w:r>
        <w:rPr/>
        <w:t>discrimination,</w:t>
      </w:r>
      <w:r>
        <w:rPr>
          <w:spacing w:val="-6"/>
        </w:rPr>
        <w:t> </w:t>
      </w:r>
      <w:r>
        <w:rPr/>
        <w:t>over-policing,</w:t>
      </w:r>
      <w:r>
        <w:rPr>
          <w:spacing w:val="-6"/>
        </w:rPr>
        <w:t> </w:t>
      </w:r>
      <w:r>
        <w:rPr/>
        <w:t>and</w:t>
      </w:r>
      <w:r>
        <w:rPr>
          <w:spacing w:val="-7"/>
        </w:rPr>
        <w:t> </w:t>
      </w:r>
      <w:r>
        <w:rPr/>
        <w:t>violence.</w:t>
      </w:r>
      <w:r>
        <w:rPr>
          <w:spacing w:val="-5"/>
        </w:rPr>
        <w:t> </w:t>
      </w:r>
      <w:r>
        <w:rPr/>
        <w:t>Although 4.1%</w:t>
      </w:r>
      <w:r>
        <w:rPr>
          <w:spacing w:val="-2"/>
        </w:rPr>
        <w:t> </w:t>
      </w:r>
      <w:r>
        <w:rPr/>
        <w:t>of</w:t>
      </w:r>
      <w:r>
        <w:rPr>
          <w:spacing w:val="-2"/>
        </w:rPr>
        <w:t> </w:t>
      </w:r>
      <w:r>
        <w:rPr/>
        <w:t>adults</w:t>
      </w:r>
      <w:r>
        <w:rPr>
          <w:spacing w:val="-1"/>
        </w:rPr>
        <w:t> </w:t>
      </w:r>
      <w:r>
        <w:rPr/>
        <w:t>in</w:t>
      </w:r>
      <w:r>
        <w:rPr>
          <w:spacing w:val="-1"/>
        </w:rPr>
        <w:t> </w:t>
      </w:r>
      <w:r>
        <w:rPr/>
        <w:t>the</w:t>
      </w:r>
      <w:r>
        <w:rPr>
          <w:spacing w:val="-1"/>
        </w:rPr>
        <w:t> </w:t>
      </w:r>
      <w:r>
        <w:rPr/>
        <w:t>U.S.</w:t>
      </w:r>
      <w:r>
        <w:rPr>
          <w:spacing w:val="-1"/>
        </w:rPr>
        <w:t> </w:t>
      </w:r>
      <w:r>
        <w:rPr/>
        <w:t>identify as LGBTQ,</w:t>
      </w:r>
      <w:r>
        <w:rPr>
          <w:spacing w:val="-2"/>
        </w:rPr>
        <w:t> </w:t>
      </w:r>
      <w:r>
        <w:rPr/>
        <w:t>they</w:t>
      </w:r>
      <w:r>
        <w:rPr>
          <w:spacing w:val="-1"/>
        </w:rPr>
        <w:t> </w:t>
      </w:r>
      <w:r>
        <w:rPr/>
        <w:t>are</w:t>
      </w:r>
      <w:r>
        <w:rPr>
          <w:spacing w:val="-1"/>
        </w:rPr>
        <w:t> </w:t>
      </w:r>
      <w:r>
        <w:rPr/>
        <w:t>three</w:t>
      </w:r>
      <w:r>
        <w:rPr>
          <w:spacing w:val="-1"/>
        </w:rPr>
        <w:t> </w:t>
      </w:r>
      <w:r>
        <w:rPr/>
        <w:t>times more</w:t>
      </w:r>
      <w:r>
        <w:rPr>
          <w:spacing w:val="-2"/>
        </w:rPr>
        <w:t> </w:t>
      </w:r>
      <w:r>
        <w:rPr/>
        <w:t>likely</w:t>
      </w:r>
      <w:r>
        <w:rPr>
          <w:spacing w:val="-1"/>
        </w:rPr>
        <w:t> </w:t>
      </w:r>
      <w:r>
        <w:rPr/>
        <w:t>to</w:t>
      </w:r>
      <w:r>
        <w:rPr>
          <w:spacing w:val="-1"/>
        </w:rPr>
        <w:t> </w:t>
      </w:r>
      <w:r>
        <w:rPr/>
        <w:t>be</w:t>
      </w:r>
      <w:r>
        <w:rPr>
          <w:spacing w:val="-1"/>
        </w:rPr>
        <w:t> </w:t>
      </w:r>
      <w:r>
        <w:rPr/>
        <w:t>incarcerated</w:t>
      </w:r>
      <w:r>
        <w:rPr>
          <w:spacing w:val="-1"/>
        </w:rPr>
        <w:t> </w:t>
      </w:r>
      <w:r>
        <w:rPr/>
        <w:t>than the general population</w:t>
      </w:r>
      <w:hyperlink w:history="true" w:anchor="_bookmark539">
        <w:r>
          <w:rPr/>
          <w:t>.</w:t>
        </w:r>
        <w:r>
          <w:rPr>
            <w:vertAlign w:val="superscript"/>
          </w:rPr>
          <w:t>29</w:t>
        </w:r>
      </w:hyperlink>
      <w:r>
        <w:rPr>
          <w:vertAlign w:val="baseline"/>
        </w:rPr>
        <w:t> A large contributing factor to the high incarceration rate of LGBTQ people is the discrimination they face in many aspects of life, including housing and employment discrimination</w:t>
      </w:r>
      <w:hyperlink w:history="true" w:anchor="_bookmark539">
        <w:r>
          <w:rPr>
            <w:vertAlign w:val="baseline"/>
          </w:rPr>
          <w:t>.</w:t>
        </w:r>
        <w:r>
          <w:rPr>
            <w:vertAlign w:val="superscript"/>
          </w:rPr>
          <w:t>30</w:t>
        </w:r>
      </w:hyperlink>
      <w:r>
        <w:rPr>
          <w:vertAlign w:val="baseline"/>
        </w:rPr>
        <w:t> Without</w:t>
      </w:r>
      <w:r>
        <w:rPr>
          <w:spacing w:val="-4"/>
          <w:vertAlign w:val="baseline"/>
        </w:rPr>
        <w:t> </w:t>
      </w:r>
      <w:r>
        <w:rPr>
          <w:vertAlign w:val="baseline"/>
        </w:rPr>
        <w:t>protections</w:t>
      </w:r>
      <w:r>
        <w:rPr>
          <w:spacing w:val="-5"/>
          <w:vertAlign w:val="baseline"/>
        </w:rPr>
        <w:t> </w:t>
      </w:r>
      <w:r>
        <w:rPr>
          <w:vertAlign w:val="baseline"/>
        </w:rPr>
        <w:t>for</w:t>
      </w:r>
      <w:r>
        <w:rPr>
          <w:spacing w:val="-5"/>
          <w:vertAlign w:val="baseline"/>
        </w:rPr>
        <w:t> </w:t>
      </w:r>
      <w:r>
        <w:rPr>
          <w:vertAlign w:val="baseline"/>
        </w:rPr>
        <w:t>basic</w:t>
      </w:r>
      <w:r>
        <w:rPr>
          <w:spacing w:val="-6"/>
          <w:vertAlign w:val="baseline"/>
        </w:rPr>
        <w:t> </w:t>
      </w:r>
      <w:r>
        <w:rPr>
          <w:vertAlign w:val="baseline"/>
        </w:rPr>
        <w:t>necessities,</w:t>
      </w:r>
      <w:r>
        <w:rPr>
          <w:spacing w:val="-5"/>
          <w:vertAlign w:val="baseline"/>
        </w:rPr>
        <w:t> </w:t>
      </w:r>
      <w:r>
        <w:rPr>
          <w:vertAlign w:val="baseline"/>
        </w:rPr>
        <w:t>such</w:t>
      </w:r>
      <w:r>
        <w:rPr>
          <w:spacing w:val="-5"/>
          <w:vertAlign w:val="baseline"/>
        </w:rPr>
        <w:t> </w:t>
      </w:r>
      <w:r>
        <w:rPr>
          <w:vertAlign w:val="baseline"/>
        </w:rPr>
        <w:t>as</w:t>
      </w:r>
      <w:r>
        <w:rPr>
          <w:spacing w:val="-5"/>
          <w:vertAlign w:val="baseline"/>
        </w:rPr>
        <w:t> </w:t>
      </w:r>
      <w:r>
        <w:rPr>
          <w:vertAlign w:val="baseline"/>
        </w:rPr>
        <w:t>employment</w:t>
      </w:r>
      <w:r>
        <w:rPr>
          <w:spacing w:val="-5"/>
          <w:vertAlign w:val="baseline"/>
        </w:rPr>
        <w:t> </w:t>
      </w:r>
      <w:r>
        <w:rPr>
          <w:vertAlign w:val="baseline"/>
        </w:rPr>
        <w:t>and</w:t>
      </w:r>
      <w:r>
        <w:rPr>
          <w:spacing w:val="-5"/>
          <w:vertAlign w:val="baseline"/>
        </w:rPr>
        <w:t> </w:t>
      </w:r>
      <w:r>
        <w:rPr>
          <w:vertAlign w:val="baseline"/>
        </w:rPr>
        <w:t>safe</w:t>
      </w:r>
      <w:r>
        <w:rPr>
          <w:spacing w:val="-5"/>
          <w:vertAlign w:val="baseline"/>
        </w:rPr>
        <w:t> </w:t>
      </w:r>
      <w:r>
        <w:rPr>
          <w:vertAlign w:val="baseline"/>
        </w:rPr>
        <w:t>shelter,</w:t>
      </w:r>
      <w:r>
        <w:rPr>
          <w:spacing w:val="-5"/>
          <w:vertAlign w:val="baseline"/>
        </w:rPr>
        <w:t> </w:t>
      </w:r>
      <w:r>
        <w:rPr>
          <w:vertAlign w:val="baseline"/>
        </w:rPr>
        <w:t>LGBTQ</w:t>
      </w:r>
      <w:r>
        <w:rPr>
          <w:spacing w:val="-5"/>
          <w:vertAlign w:val="baseline"/>
        </w:rPr>
        <w:t> </w:t>
      </w:r>
      <w:r>
        <w:rPr>
          <w:vertAlign w:val="baseline"/>
        </w:rPr>
        <w:t>people</w:t>
      </w:r>
      <w:r>
        <w:rPr>
          <w:spacing w:val="-5"/>
          <w:vertAlign w:val="baseline"/>
        </w:rPr>
        <w:t> </w:t>
      </w:r>
      <w:r>
        <w:rPr>
          <w:vertAlign w:val="baseline"/>
        </w:rPr>
        <w:t>are</w:t>
      </w:r>
      <w:r>
        <w:rPr>
          <w:spacing w:val="-5"/>
          <w:vertAlign w:val="baseline"/>
        </w:rPr>
        <w:t> </w:t>
      </w:r>
      <w:r>
        <w:rPr>
          <w:vertAlign w:val="baseline"/>
        </w:rPr>
        <w:t>at</w:t>
      </w:r>
      <w:r>
        <w:rPr>
          <w:spacing w:val="-5"/>
          <w:vertAlign w:val="baseline"/>
        </w:rPr>
        <w:t> </w:t>
      </w:r>
      <w:r>
        <w:rPr>
          <w:vertAlign w:val="baseline"/>
        </w:rPr>
        <w:t>risk of</w:t>
      </w:r>
      <w:r>
        <w:rPr>
          <w:spacing w:val="-10"/>
          <w:vertAlign w:val="baseline"/>
        </w:rPr>
        <w:t> </w:t>
      </w:r>
      <w:r>
        <w:rPr>
          <w:vertAlign w:val="baseline"/>
        </w:rPr>
        <w:t>being</w:t>
      </w:r>
      <w:r>
        <w:rPr>
          <w:spacing w:val="-10"/>
          <w:vertAlign w:val="baseline"/>
        </w:rPr>
        <w:t> </w:t>
      </w:r>
      <w:r>
        <w:rPr>
          <w:vertAlign w:val="baseline"/>
        </w:rPr>
        <w:t>homeless</w:t>
      </w:r>
      <w:r>
        <w:rPr>
          <w:spacing w:val="-10"/>
          <w:vertAlign w:val="baseline"/>
        </w:rPr>
        <w:t> </w:t>
      </w:r>
      <w:r>
        <w:rPr>
          <w:vertAlign w:val="baseline"/>
        </w:rPr>
        <w:t>or</w:t>
      </w:r>
      <w:r>
        <w:rPr>
          <w:spacing w:val="-10"/>
          <w:vertAlign w:val="baseline"/>
        </w:rPr>
        <w:t> </w:t>
      </w:r>
      <w:r>
        <w:rPr>
          <w:vertAlign w:val="baseline"/>
        </w:rPr>
        <w:t>being</w:t>
      </w:r>
      <w:r>
        <w:rPr>
          <w:spacing w:val="-9"/>
          <w:vertAlign w:val="baseline"/>
        </w:rPr>
        <w:t> </w:t>
      </w:r>
      <w:r>
        <w:rPr>
          <w:vertAlign w:val="baseline"/>
        </w:rPr>
        <w:t>forced</w:t>
      </w:r>
      <w:r>
        <w:rPr>
          <w:spacing w:val="-10"/>
          <w:vertAlign w:val="baseline"/>
        </w:rPr>
        <w:t> </w:t>
      </w:r>
      <w:r>
        <w:rPr>
          <w:vertAlign w:val="baseline"/>
        </w:rPr>
        <w:t>to</w:t>
      </w:r>
      <w:r>
        <w:rPr>
          <w:spacing w:val="-10"/>
          <w:vertAlign w:val="baseline"/>
        </w:rPr>
        <w:t> </w:t>
      </w:r>
      <w:r>
        <w:rPr>
          <w:vertAlign w:val="baseline"/>
        </w:rPr>
        <w:t>rely</w:t>
      </w:r>
      <w:r>
        <w:rPr>
          <w:spacing w:val="-10"/>
          <w:vertAlign w:val="baseline"/>
        </w:rPr>
        <w:t> </w:t>
      </w:r>
      <w:r>
        <w:rPr>
          <w:vertAlign w:val="baseline"/>
        </w:rPr>
        <w:t>on</w:t>
      </w:r>
      <w:r>
        <w:rPr>
          <w:spacing w:val="-10"/>
          <w:vertAlign w:val="baseline"/>
        </w:rPr>
        <w:t> </w:t>
      </w:r>
      <w:r>
        <w:rPr>
          <w:vertAlign w:val="baseline"/>
        </w:rPr>
        <w:t>survival</w:t>
      </w:r>
      <w:r>
        <w:rPr>
          <w:spacing w:val="-11"/>
          <w:vertAlign w:val="baseline"/>
        </w:rPr>
        <w:t> </w:t>
      </w:r>
      <w:r>
        <w:rPr>
          <w:vertAlign w:val="baseline"/>
        </w:rPr>
        <w:t>economies,</w:t>
      </w:r>
      <w:r>
        <w:rPr>
          <w:spacing w:val="-10"/>
          <w:vertAlign w:val="baseline"/>
        </w:rPr>
        <w:t> </w:t>
      </w:r>
      <w:r>
        <w:rPr>
          <w:vertAlign w:val="baseline"/>
        </w:rPr>
        <w:t>such</w:t>
      </w:r>
      <w:r>
        <w:rPr>
          <w:spacing w:val="-10"/>
          <w:vertAlign w:val="baseline"/>
        </w:rPr>
        <w:t> </w:t>
      </w:r>
      <w:r>
        <w:rPr>
          <w:vertAlign w:val="baseline"/>
        </w:rPr>
        <w:t>as</w:t>
      </w:r>
      <w:r>
        <w:rPr>
          <w:spacing w:val="-10"/>
          <w:vertAlign w:val="baseline"/>
        </w:rPr>
        <w:t> </w:t>
      </w:r>
      <w:r>
        <w:rPr>
          <w:vertAlign w:val="baseline"/>
        </w:rPr>
        <w:t>sex</w:t>
      </w:r>
      <w:r>
        <w:rPr>
          <w:spacing w:val="-11"/>
          <w:vertAlign w:val="baseline"/>
        </w:rPr>
        <w:t> </w:t>
      </w:r>
      <w:r>
        <w:rPr>
          <w:vertAlign w:val="baseline"/>
        </w:rPr>
        <w:t>work.</w:t>
      </w:r>
      <w:hyperlink w:history="true" w:anchor="_bookmark539">
        <w:r>
          <w:rPr>
            <w:vertAlign w:val="superscript"/>
          </w:rPr>
          <w:t>31</w:t>
        </w:r>
      </w:hyperlink>
      <w:r>
        <w:rPr>
          <w:spacing w:val="-11"/>
          <w:vertAlign w:val="baseline"/>
        </w:rPr>
        <w:t> </w:t>
      </w:r>
      <w:r>
        <w:rPr>
          <w:vertAlign w:val="baseline"/>
        </w:rPr>
        <w:t>A</w:t>
      </w:r>
      <w:r>
        <w:rPr>
          <w:spacing w:val="-10"/>
          <w:vertAlign w:val="baseline"/>
        </w:rPr>
        <w:t> </w:t>
      </w:r>
      <w:r>
        <w:rPr>
          <w:vertAlign w:val="baseline"/>
        </w:rPr>
        <w:t>2022</w:t>
      </w:r>
      <w:r>
        <w:rPr>
          <w:spacing w:val="-10"/>
          <w:vertAlign w:val="baseline"/>
        </w:rPr>
        <w:t> </w:t>
      </w:r>
      <w:r>
        <w:rPr>
          <w:vertAlign w:val="baseline"/>
        </w:rPr>
        <w:t>national</w:t>
      </w:r>
      <w:r>
        <w:rPr>
          <w:spacing w:val="-10"/>
          <w:vertAlign w:val="baseline"/>
        </w:rPr>
        <w:t> </w:t>
      </w:r>
      <w:r>
        <w:rPr>
          <w:vertAlign w:val="baseline"/>
        </w:rPr>
        <w:t>study by Lambda Legal found that 57% of LGBTQ people surveyed reported face-to-face contact with police within the past five years; of those individuals, 45% reported that police engaged in misconduct (false accusations, verbal assault, or sexual harassment)</w:t>
      </w:r>
      <w:hyperlink w:history="true" w:anchor="_bookmark540">
        <w:r>
          <w:rPr>
            <w:vertAlign w:val="baseline"/>
          </w:rPr>
          <w:t>.</w:t>
        </w:r>
        <w:r>
          <w:rPr>
            <w:vertAlign w:val="superscript"/>
          </w:rPr>
          <w:t>32</w:t>
        </w:r>
      </w:hyperlink>
    </w:p>
    <w:p>
      <w:pPr>
        <w:spacing w:after="0" w:line="276" w:lineRule="auto"/>
        <w:jc w:val="both"/>
        <w:sectPr>
          <w:pgSz w:w="12240" w:h="15840"/>
          <w:pgMar w:header="805" w:footer="1208" w:top="1080" w:bottom="1460" w:left="980" w:right="1180"/>
        </w:sectPr>
      </w:pPr>
    </w:p>
    <w:p>
      <w:pPr>
        <w:pStyle w:val="BodyText"/>
        <w:spacing w:line="276" w:lineRule="auto" w:before="69"/>
        <w:ind w:left="463" w:right="261"/>
        <w:jc w:val="both"/>
      </w:pPr>
      <w:r>
        <w:rPr/>
        <w:t>Another factor contributing to the increased interaction between LGBTQ people and law enforcement is the</w:t>
      </w:r>
      <w:r>
        <w:rPr>
          <w:spacing w:val="-5"/>
        </w:rPr>
        <w:t> </w:t>
      </w:r>
      <w:r>
        <w:rPr/>
        <w:t>high</w:t>
      </w:r>
      <w:r>
        <w:rPr>
          <w:spacing w:val="-5"/>
        </w:rPr>
        <w:t> </w:t>
      </w:r>
      <w:r>
        <w:rPr/>
        <w:t>rate</w:t>
      </w:r>
      <w:r>
        <w:rPr>
          <w:spacing w:val="-4"/>
        </w:rPr>
        <w:t> </w:t>
      </w:r>
      <w:r>
        <w:rPr/>
        <w:t>of</w:t>
      </w:r>
      <w:r>
        <w:rPr>
          <w:spacing w:val="-5"/>
        </w:rPr>
        <w:t> </w:t>
      </w:r>
      <w:r>
        <w:rPr/>
        <w:t>violence</w:t>
      </w:r>
      <w:r>
        <w:rPr>
          <w:spacing w:val="-5"/>
        </w:rPr>
        <w:t> </w:t>
      </w:r>
      <w:r>
        <w:rPr/>
        <w:t>they</w:t>
      </w:r>
      <w:r>
        <w:rPr>
          <w:spacing w:val="-5"/>
        </w:rPr>
        <w:t> </w:t>
      </w:r>
      <w:r>
        <w:rPr/>
        <w:t>face.</w:t>
      </w:r>
      <w:r>
        <w:rPr>
          <w:spacing w:val="-5"/>
        </w:rPr>
        <w:t> </w:t>
      </w:r>
      <w:r>
        <w:rPr/>
        <w:t>According</w:t>
      </w:r>
      <w:r>
        <w:rPr>
          <w:spacing w:val="-5"/>
        </w:rPr>
        <w:t> </w:t>
      </w:r>
      <w:r>
        <w:rPr/>
        <w:t>to</w:t>
      </w:r>
      <w:r>
        <w:rPr>
          <w:spacing w:val="-5"/>
        </w:rPr>
        <w:t> </w:t>
      </w:r>
      <w:r>
        <w:rPr/>
        <w:t>the</w:t>
      </w:r>
      <w:r>
        <w:rPr>
          <w:spacing w:val="-5"/>
        </w:rPr>
        <w:t> </w:t>
      </w:r>
      <w:r>
        <w:rPr/>
        <w:t>2021</w:t>
      </w:r>
      <w:r>
        <w:rPr>
          <w:spacing w:val="-5"/>
        </w:rPr>
        <w:t> </w:t>
      </w:r>
      <w:r>
        <w:rPr/>
        <w:t>Massachusetts</w:t>
      </w:r>
      <w:r>
        <w:rPr>
          <w:spacing w:val="-5"/>
        </w:rPr>
        <w:t> </w:t>
      </w:r>
      <w:r>
        <w:rPr/>
        <w:t>Hate</w:t>
      </w:r>
      <w:r>
        <w:rPr>
          <w:spacing w:val="-5"/>
        </w:rPr>
        <w:t> </w:t>
      </w:r>
      <w:r>
        <w:rPr/>
        <w:t>Crime</w:t>
      </w:r>
      <w:r>
        <w:rPr>
          <w:spacing w:val="-5"/>
        </w:rPr>
        <w:t> </w:t>
      </w:r>
      <w:r>
        <w:rPr/>
        <w:t>Report,</w:t>
      </w:r>
      <w:r>
        <w:rPr>
          <w:spacing w:val="-4"/>
        </w:rPr>
        <w:t> </w:t>
      </w:r>
      <w:r>
        <w:rPr/>
        <w:t>the</w:t>
      </w:r>
      <w:r>
        <w:rPr>
          <w:spacing w:val="-5"/>
        </w:rPr>
        <w:t> </w:t>
      </w:r>
      <w:r>
        <w:rPr/>
        <w:t>number of hate crime incidents reported by police in Massachusetts rose 4% from 2020 to 2021. The increase, from 386 to 403 incidents, is part of a broader trend in the state that has seen hate crimes increasing every year since 2018. The data reveals that some groups have seen an increase in the number of hate crimes targeted toward them: anti-LGBTQ violent attacks rose from 61 incidents to 74, or 14.3% to </w:t>
      </w:r>
      <w:r>
        <w:rPr>
          <w:spacing w:val="-2"/>
        </w:rPr>
        <w:t>18.6%.</w:t>
      </w:r>
      <w:hyperlink w:history="true" w:anchor="_bookmark540">
        <w:r>
          <w:rPr>
            <w:spacing w:val="-2"/>
            <w:vertAlign w:val="superscript"/>
          </w:rPr>
          <w:t>33</w:t>
        </w:r>
      </w:hyperlink>
    </w:p>
    <w:p>
      <w:pPr>
        <w:pStyle w:val="BodyText"/>
        <w:spacing w:line="276" w:lineRule="auto" w:before="240"/>
        <w:ind w:left="463" w:right="261"/>
        <w:jc w:val="both"/>
      </w:pPr>
      <w:r>
        <w:rPr/>
        <w:t>The increased police contacts and violence faced by LGBTQ people are compounded by immigration status.</w:t>
      </w:r>
      <w:r>
        <w:rPr>
          <w:spacing w:val="-13"/>
        </w:rPr>
        <w:t> </w:t>
      </w:r>
      <w:r>
        <w:rPr/>
        <w:t>As</w:t>
      </w:r>
      <w:r>
        <w:rPr>
          <w:spacing w:val="-12"/>
        </w:rPr>
        <w:t> </w:t>
      </w:r>
      <w:r>
        <w:rPr/>
        <w:t>Legal</w:t>
      </w:r>
      <w:r>
        <w:rPr>
          <w:spacing w:val="-12"/>
        </w:rPr>
        <w:t> </w:t>
      </w:r>
      <w:r>
        <w:rPr/>
        <w:t>Services</w:t>
      </w:r>
      <w:r>
        <w:rPr>
          <w:spacing w:val="-12"/>
        </w:rPr>
        <w:t> </w:t>
      </w:r>
      <w:r>
        <w:rPr/>
        <w:t>NYC</w:t>
      </w:r>
      <w:r>
        <w:rPr>
          <w:spacing w:val="-12"/>
        </w:rPr>
        <w:t> </w:t>
      </w:r>
      <w:r>
        <w:rPr/>
        <w:t>states,</w:t>
      </w:r>
      <w:r>
        <w:rPr>
          <w:spacing w:val="-12"/>
        </w:rPr>
        <w:t> </w:t>
      </w:r>
      <w:r>
        <w:rPr/>
        <w:t>“homophobia</w:t>
      </w:r>
      <w:r>
        <w:rPr>
          <w:spacing w:val="-12"/>
        </w:rPr>
        <w:t> </w:t>
      </w:r>
      <w:r>
        <w:rPr/>
        <w:t>and</w:t>
      </w:r>
      <w:r>
        <w:rPr>
          <w:spacing w:val="-13"/>
        </w:rPr>
        <w:t> </w:t>
      </w:r>
      <w:r>
        <w:rPr/>
        <w:t>transphobia,</w:t>
      </w:r>
      <w:r>
        <w:rPr>
          <w:spacing w:val="-12"/>
        </w:rPr>
        <w:t> </w:t>
      </w:r>
      <w:r>
        <w:rPr/>
        <w:t>combined</w:t>
      </w:r>
      <w:r>
        <w:rPr>
          <w:spacing w:val="-11"/>
        </w:rPr>
        <w:t> </w:t>
      </w:r>
      <w:r>
        <w:rPr/>
        <w:t>with</w:t>
      </w:r>
      <w:r>
        <w:rPr>
          <w:spacing w:val="-13"/>
        </w:rPr>
        <w:t> </w:t>
      </w:r>
      <w:r>
        <w:rPr/>
        <w:t>being</w:t>
      </w:r>
      <w:r>
        <w:rPr>
          <w:spacing w:val="-12"/>
        </w:rPr>
        <w:t> </w:t>
      </w:r>
      <w:r>
        <w:rPr/>
        <w:t>undocumented, puts LGBTQ people at greater risks of police contact.” </w:t>
      </w:r>
      <w:hyperlink w:history="true" w:anchor="_bookmark541">
        <w:r>
          <w:rPr>
            <w:vertAlign w:val="superscript"/>
          </w:rPr>
          <w:t>34</w:t>
        </w:r>
      </w:hyperlink>
      <w:r>
        <w:rPr>
          <w:vertAlign w:val="baseline"/>
        </w:rPr>
        <w:t> For instance, according to the 2015 U.S. Transgender Survey, the rate of reported incidents of hate violence against LGBTQ undocumented immigrants is rising, from 6% of LGBTQ survivors of hate violence in 2014 to 17% in 2015.</w:t>
      </w:r>
      <w:hyperlink w:history="true" w:anchor="_bookmark541">
        <w:r>
          <w:rPr>
            <w:vertAlign w:val="superscript"/>
          </w:rPr>
          <w:t>35</w:t>
        </w:r>
      </w:hyperlink>
      <w:r>
        <w:rPr>
          <w:vertAlign w:val="baseline"/>
        </w:rPr>
        <w:t> Additionally, nearly 1 in</w:t>
      </w:r>
      <w:r>
        <w:rPr>
          <w:spacing w:val="-1"/>
          <w:vertAlign w:val="baseline"/>
        </w:rPr>
        <w:t> </w:t>
      </w:r>
      <w:r>
        <w:rPr>
          <w:vertAlign w:val="baseline"/>
        </w:rPr>
        <w:t>4 transgender unauthorized immigrants reported being</w:t>
      </w:r>
      <w:r>
        <w:rPr>
          <w:spacing w:val="-1"/>
          <w:vertAlign w:val="baseline"/>
        </w:rPr>
        <w:t> </w:t>
      </w:r>
      <w:r>
        <w:rPr>
          <w:vertAlign w:val="baseline"/>
        </w:rPr>
        <w:t>physically attacked</w:t>
      </w:r>
      <w:r>
        <w:rPr>
          <w:spacing w:val="-1"/>
          <w:vertAlign w:val="baseline"/>
        </w:rPr>
        <w:t> </w:t>
      </w:r>
      <w:r>
        <w:rPr>
          <w:vertAlign w:val="baseline"/>
        </w:rPr>
        <w:t>in</w:t>
      </w:r>
      <w:r>
        <w:rPr>
          <w:spacing w:val="-1"/>
          <w:vertAlign w:val="baseline"/>
        </w:rPr>
        <w:t> </w:t>
      </w:r>
      <w:r>
        <w:rPr>
          <w:vertAlign w:val="baseline"/>
        </w:rPr>
        <w:t>the</w:t>
      </w:r>
      <w:r>
        <w:rPr>
          <w:spacing w:val="-1"/>
          <w:vertAlign w:val="baseline"/>
        </w:rPr>
        <w:t> </w:t>
      </w:r>
      <w:r>
        <w:rPr>
          <w:vertAlign w:val="baseline"/>
        </w:rPr>
        <w:t>past</w:t>
      </w:r>
      <w:r>
        <w:rPr>
          <w:spacing w:val="-1"/>
          <w:vertAlign w:val="baseline"/>
        </w:rPr>
        <w:t> </w:t>
      </w:r>
      <w:r>
        <w:rPr>
          <w:vertAlign w:val="baseline"/>
        </w:rPr>
        <w:t>year.</w:t>
      </w:r>
      <w:hyperlink w:history="true" w:anchor="_bookmark541">
        <w:r>
          <w:rPr>
            <w:vertAlign w:val="superscript"/>
          </w:rPr>
          <w:t>36</w:t>
        </w:r>
      </w:hyperlink>
      <w:r>
        <w:rPr>
          <w:vertAlign w:val="baseline"/>
        </w:rPr>
        <w:t> Undoubtedly, these rates of discrimination and violence have likely increased since this survey was conducted, as anti-immigrant rhetoric and misinformation significantly increased across the nation after </w:t>
      </w:r>
      <w:r>
        <w:rPr>
          <w:spacing w:val="-2"/>
          <w:vertAlign w:val="baseline"/>
        </w:rPr>
        <w:t>2016.</w:t>
      </w:r>
      <w:hyperlink w:history="true" w:anchor="_bookmark541">
        <w:r>
          <w:rPr>
            <w:spacing w:val="-2"/>
            <w:vertAlign w:val="superscript"/>
          </w:rPr>
          <w:t>37</w:t>
        </w:r>
      </w:hyperlink>
    </w:p>
    <w:p>
      <w:pPr>
        <w:pStyle w:val="BodyText"/>
        <w:spacing w:line="276" w:lineRule="auto" w:before="240"/>
        <w:ind w:left="463" w:right="261"/>
        <w:jc w:val="both"/>
      </w:pPr>
      <w:r>
        <w:rPr/>
        <w:t>One likely explanation for these high rates of violence is the compounded discrimination that LGBTQ foreign-born individuals face living at the intersection of multiple marginalized communities. When law enforcement is working with immigration enforcement, LGBTQ immigrants are reluctant to look to law enforcement for assistance, placing them at an even greater risk of violence and health disparities.</w:t>
      </w:r>
    </w:p>
    <w:p>
      <w:pPr>
        <w:spacing w:before="240"/>
        <w:ind w:left="463" w:right="0" w:firstLine="0"/>
        <w:jc w:val="both"/>
        <w:rPr>
          <w:sz w:val="28"/>
        </w:rPr>
      </w:pPr>
      <w:bookmarkStart w:name="Barriers to Accessing Services" w:id="785"/>
      <w:bookmarkEnd w:id="785"/>
      <w:r>
        <w:rPr/>
      </w:r>
      <w:r>
        <w:rPr>
          <w:color w:val="365F91"/>
          <w:sz w:val="28"/>
        </w:rPr>
        <w:t>Barriers</w:t>
      </w:r>
      <w:r>
        <w:rPr>
          <w:color w:val="365F91"/>
          <w:spacing w:val="-10"/>
          <w:sz w:val="28"/>
        </w:rPr>
        <w:t> </w:t>
      </w:r>
      <w:r>
        <w:rPr>
          <w:color w:val="365F91"/>
          <w:sz w:val="28"/>
        </w:rPr>
        <w:t>to</w:t>
      </w:r>
      <w:r>
        <w:rPr>
          <w:color w:val="365F91"/>
          <w:spacing w:val="-9"/>
          <w:sz w:val="28"/>
        </w:rPr>
        <w:t> </w:t>
      </w:r>
      <w:r>
        <w:rPr>
          <w:color w:val="365F91"/>
          <w:sz w:val="28"/>
        </w:rPr>
        <w:t>Accessing</w:t>
      </w:r>
      <w:r>
        <w:rPr>
          <w:color w:val="365F91"/>
          <w:spacing w:val="-11"/>
          <w:sz w:val="28"/>
        </w:rPr>
        <w:t> </w:t>
      </w:r>
      <w:r>
        <w:rPr>
          <w:color w:val="365F91"/>
          <w:spacing w:val="-2"/>
          <w:sz w:val="28"/>
        </w:rPr>
        <w:t>Services</w:t>
      </w:r>
    </w:p>
    <w:p>
      <w:pPr>
        <w:pStyle w:val="BodyText"/>
        <w:spacing w:line="276" w:lineRule="auto" w:before="239"/>
        <w:ind w:left="463" w:right="261"/>
        <w:jc w:val="both"/>
      </w:pPr>
      <w:r>
        <w:rPr/>
        <w:t>As noted above, many LGBTQ foreign-born youth can face significant barriers to accessing affirming services for housing, healthcare, and legal, education, and employment services. The following research section</w:t>
      </w:r>
      <w:r>
        <w:rPr>
          <w:spacing w:val="-10"/>
        </w:rPr>
        <w:t> </w:t>
      </w:r>
      <w:r>
        <w:rPr/>
        <w:t>includes</w:t>
      </w:r>
      <w:r>
        <w:rPr>
          <w:spacing w:val="-11"/>
        </w:rPr>
        <w:t> </w:t>
      </w:r>
      <w:r>
        <w:rPr/>
        <w:t>information</w:t>
      </w:r>
      <w:r>
        <w:rPr>
          <w:spacing w:val="-11"/>
        </w:rPr>
        <w:t> </w:t>
      </w:r>
      <w:r>
        <w:rPr/>
        <w:t>stemming</w:t>
      </w:r>
      <w:r>
        <w:rPr>
          <w:spacing w:val="-11"/>
        </w:rPr>
        <w:t> </w:t>
      </w:r>
      <w:r>
        <w:rPr/>
        <w:t>from</w:t>
      </w:r>
      <w:r>
        <w:rPr>
          <w:spacing w:val="-11"/>
        </w:rPr>
        <w:t> </w:t>
      </w:r>
      <w:r>
        <w:rPr/>
        <w:t>two</w:t>
      </w:r>
      <w:r>
        <w:rPr>
          <w:spacing w:val="-9"/>
        </w:rPr>
        <w:t> </w:t>
      </w:r>
      <w:r>
        <w:rPr/>
        <w:t>major</w:t>
      </w:r>
      <w:r>
        <w:rPr>
          <w:spacing w:val="-11"/>
        </w:rPr>
        <w:t> </w:t>
      </w:r>
      <w:r>
        <w:rPr/>
        <w:t>studies</w:t>
      </w:r>
      <w:r>
        <w:rPr>
          <w:spacing w:val="-10"/>
        </w:rPr>
        <w:t> </w:t>
      </w:r>
      <w:r>
        <w:rPr/>
        <w:t>centering</w:t>
      </w:r>
      <w:r>
        <w:rPr>
          <w:spacing w:val="-11"/>
        </w:rPr>
        <w:t> </w:t>
      </w:r>
      <w:r>
        <w:rPr/>
        <w:t>LGBTQ</w:t>
      </w:r>
      <w:r>
        <w:rPr>
          <w:spacing w:val="-11"/>
        </w:rPr>
        <w:t> </w:t>
      </w:r>
      <w:r>
        <w:rPr/>
        <w:t>immigrant</w:t>
      </w:r>
      <w:r>
        <w:rPr>
          <w:spacing w:val="-10"/>
        </w:rPr>
        <w:t> </w:t>
      </w:r>
      <w:r>
        <w:rPr/>
        <w:t>communities: a 2017 report from the Center for American Progress on “Serving LGBTQ Immigrants and Building Welcoming Communities,” detailing services available to LGBTQ immigrants in six major U.S. cities - Chicago, New York, Miami, Houston, Los Angeles, and Washington, D.C</w:t>
      </w:r>
      <w:hyperlink w:history="true" w:anchor="_bookmark541">
        <w:r>
          <w:rPr>
            <w:vertAlign w:val="superscript"/>
          </w:rPr>
          <w:t>38</w:t>
        </w:r>
      </w:hyperlink>
      <w:r>
        <w:rPr>
          <w:vertAlign w:val="baseline"/>
        </w:rPr>
        <w:t> and a 2011 article detailing findings from a needs assessment conducted in Southern Arizona from LGBTQ foreign-born individuals, as</w:t>
      </w:r>
      <w:r>
        <w:rPr>
          <w:spacing w:val="-13"/>
          <w:vertAlign w:val="baseline"/>
        </w:rPr>
        <w:t> </w:t>
      </w:r>
      <w:r>
        <w:rPr>
          <w:vertAlign w:val="baseline"/>
        </w:rPr>
        <w:t>well</w:t>
      </w:r>
      <w:r>
        <w:rPr>
          <w:spacing w:val="-12"/>
          <w:vertAlign w:val="baseline"/>
        </w:rPr>
        <w:t> </w:t>
      </w:r>
      <w:r>
        <w:rPr>
          <w:vertAlign w:val="baseline"/>
        </w:rPr>
        <w:t>as</w:t>
      </w:r>
      <w:r>
        <w:rPr>
          <w:spacing w:val="-13"/>
          <w:vertAlign w:val="baseline"/>
        </w:rPr>
        <w:t> </w:t>
      </w:r>
      <w:r>
        <w:rPr>
          <w:vertAlign w:val="baseline"/>
        </w:rPr>
        <w:t>service</w:t>
      </w:r>
      <w:r>
        <w:rPr>
          <w:spacing w:val="-12"/>
          <w:vertAlign w:val="baseline"/>
        </w:rPr>
        <w:t> </w:t>
      </w:r>
      <w:r>
        <w:rPr>
          <w:vertAlign w:val="baseline"/>
        </w:rPr>
        <w:t>providers</w:t>
      </w:r>
      <w:hyperlink w:history="true" w:anchor="_bookmark541">
        <w:r>
          <w:rPr>
            <w:vertAlign w:val="baseline"/>
          </w:rPr>
          <w:t>.</w:t>
        </w:r>
        <w:r>
          <w:rPr>
            <w:color w:val="1F1F22"/>
            <w:vertAlign w:val="superscript"/>
          </w:rPr>
          <w:t>39</w:t>
        </w:r>
      </w:hyperlink>
      <w:r>
        <w:rPr>
          <w:color w:val="1F1F22"/>
          <w:spacing w:val="-13"/>
          <w:vertAlign w:val="baseline"/>
        </w:rPr>
        <w:t> </w:t>
      </w:r>
      <w:r>
        <w:rPr>
          <w:color w:val="1F1F22"/>
          <w:vertAlign w:val="baseline"/>
        </w:rPr>
        <w:t>Both</w:t>
      </w:r>
      <w:r>
        <w:rPr>
          <w:color w:val="1F1F22"/>
          <w:spacing w:val="-12"/>
          <w:vertAlign w:val="baseline"/>
        </w:rPr>
        <w:t> </w:t>
      </w:r>
      <w:r>
        <w:rPr>
          <w:color w:val="1F1F22"/>
          <w:vertAlign w:val="baseline"/>
        </w:rPr>
        <w:t>studies</w:t>
      </w:r>
      <w:r>
        <w:rPr>
          <w:color w:val="1F1F22"/>
          <w:spacing w:val="-12"/>
          <w:vertAlign w:val="baseline"/>
        </w:rPr>
        <w:t> </w:t>
      </w:r>
      <w:r>
        <w:rPr>
          <w:color w:val="1F1F22"/>
          <w:vertAlign w:val="baseline"/>
        </w:rPr>
        <w:t>provide</w:t>
      </w:r>
      <w:r>
        <w:rPr>
          <w:color w:val="1F1F22"/>
          <w:spacing w:val="-13"/>
          <w:vertAlign w:val="baseline"/>
        </w:rPr>
        <w:t> </w:t>
      </w:r>
      <w:r>
        <w:rPr>
          <w:color w:val="1F1F22"/>
          <w:vertAlign w:val="baseline"/>
        </w:rPr>
        <w:t>a</w:t>
      </w:r>
      <w:r>
        <w:rPr>
          <w:color w:val="1F1F22"/>
          <w:spacing w:val="-10"/>
          <w:vertAlign w:val="baseline"/>
        </w:rPr>
        <w:t> </w:t>
      </w:r>
      <w:r>
        <w:rPr>
          <w:color w:val="1F1F22"/>
          <w:vertAlign w:val="baseline"/>
        </w:rPr>
        <w:t>starting</w:t>
      </w:r>
      <w:r>
        <w:rPr>
          <w:color w:val="1F1F22"/>
          <w:spacing w:val="-12"/>
          <w:vertAlign w:val="baseline"/>
        </w:rPr>
        <w:t> </w:t>
      </w:r>
      <w:r>
        <w:rPr>
          <w:color w:val="1F1F22"/>
          <w:vertAlign w:val="baseline"/>
        </w:rPr>
        <w:t>point</w:t>
      </w:r>
      <w:r>
        <w:rPr>
          <w:color w:val="1F1F22"/>
          <w:spacing w:val="-12"/>
          <w:vertAlign w:val="baseline"/>
        </w:rPr>
        <w:t> </w:t>
      </w:r>
      <w:r>
        <w:rPr>
          <w:color w:val="1F1F22"/>
          <w:vertAlign w:val="baseline"/>
        </w:rPr>
        <w:t>for</w:t>
      </w:r>
      <w:r>
        <w:rPr>
          <w:color w:val="1F1F22"/>
          <w:spacing w:val="-12"/>
          <w:vertAlign w:val="baseline"/>
        </w:rPr>
        <w:t> </w:t>
      </w:r>
      <w:r>
        <w:rPr>
          <w:color w:val="1F1F22"/>
          <w:vertAlign w:val="baseline"/>
        </w:rPr>
        <w:t>other</w:t>
      </w:r>
      <w:r>
        <w:rPr>
          <w:color w:val="1F1F22"/>
          <w:spacing w:val="-12"/>
          <w:vertAlign w:val="baseline"/>
        </w:rPr>
        <w:t> </w:t>
      </w:r>
      <w:r>
        <w:rPr>
          <w:color w:val="1F1F22"/>
          <w:vertAlign w:val="baseline"/>
        </w:rPr>
        <w:t>scholars</w:t>
      </w:r>
      <w:r>
        <w:rPr>
          <w:color w:val="1F1F22"/>
          <w:spacing w:val="-12"/>
          <w:vertAlign w:val="baseline"/>
        </w:rPr>
        <w:t> </w:t>
      </w:r>
      <w:r>
        <w:rPr>
          <w:color w:val="1F1F22"/>
          <w:vertAlign w:val="baseline"/>
        </w:rPr>
        <w:t>and</w:t>
      </w:r>
      <w:r>
        <w:rPr>
          <w:color w:val="1F1F22"/>
          <w:spacing w:val="-13"/>
          <w:vertAlign w:val="baseline"/>
        </w:rPr>
        <w:t> </w:t>
      </w:r>
      <w:r>
        <w:rPr>
          <w:color w:val="1F1F22"/>
          <w:vertAlign w:val="baseline"/>
        </w:rPr>
        <w:t>service</w:t>
      </w:r>
      <w:r>
        <w:rPr>
          <w:color w:val="1F1F22"/>
          <w:spacing w:val="-12"/>
          <w:vertAlign w:val="baseline"/>
        </w:rPr>
        <w:t> </w:t>
      </w:r>
      <w:r>
        <w:rPr>
          <w:color w:val="1F1F22"/>
          <w:vertAlign w:val="baseline"/>
        </w:rPr>
        <w:t>providers elsewhere</w:t>
      </w:r>
      <w:r>
        <w:rPr>
          <w:color w:val="1F1F22"/>
          <w:spacing w:val="-5"/>
          <w:vertAlign w:val="baseline"/>
        </w:rPr>
        <w:t> </w:t>
      </w:r>
      <w:r>
        <w:rPr>
          <w:color w:val="1F1F22"/>
          <w:vertAlign w:val="baseline"/>
        </w:rPr>
        <w:t>who</w:t>
      </w:r>
      <w:r>
        <w:rPr>
          <w:color w:val="1F1F22"/>
          <w:spacing w:val="-6"/>
          <w:vertAlign w:val="baseline"/>
        </w:rPr>
        <w:t> </w:t>
      </w:r>
      <w:r>
        <w:rPr>
          <w:color w:val="1F1F22"/>
          <w:vertAlign w:val="baseline"/>
        </w:rPr>
        <w:t>are</w:t>
      </w:r>
      <w:r>
        <w:rPr>
          <w:color w:val="1F1F22"/>
          <w:spacing w:val="-7"/>
          <w:vertAlign w:val="baseline"/>
        </w:rPr>
        <w:t> </w:t>
      </w:r>
      <w:r>
        <w:rPr>
          <w:color w:val="1F1F22"/>
          <w:vertAlign w:val="baseline"/>
        </w:rPr>
        <w:t>invested</w:t>
      </w:r>
      <w:r>
        <w:rPr>
          <w:color w:val="1F1F22"/>
          <w:spacing w:val="-7"/>
          <w:vertAlign w:val="baseline"/>
        </w:rPr>
        <w:t> </w:t>
      </w:r>
      <w:r>
        <w:rPr>
          <w:color w:val="1F1F22"/>
          <w:vertAlign w:val="baseline"/>
        </w:rPr>
        <w:t>in</w:t>
      </w:r>
      <w:r>
        <w:rPr>
          <w:color w:val="1F1F22"/>
          <w:spacing w:val="-6"/>
          <w:vertAlign w:val="baseline"/>
        </w:rPr>
        <w:t> </w:t>
      </w:r>
      <w:r>
        <w:rPr>
          <w:color w:val="1F1F22"/>
          <w:vertAlign w:val="baseline"/>
        </w:rPr>
        <w:t>these</w:t>
      </w:r>
      <w:r>
        <w:rPr>
          <w:color w:val="1F1F22"/>
          <w:spacing w:val="-5"/>
          <w:vertAlign w:val="baseline"/>
        </w:rPr>
        <w:t> </w:t>
      </w:r>
      <w:r>
        <w:rPr>
          <w:color w:val="1F1F22"/>
          <w:vertAlign w:val="baseline"/>
        </w:rPr>
        <w:t>communities</w:t>
      </w:r>
      <w:r>
        <w:rPr>
          <w:color w:val="1F1F22"/>
          <w:spacing w:val="-6"/>
          <w:vertAlign w:val="baseline"/>
        </w:rPr>
        <w:t> </w:t>
      </w:r>
      <w:r>
        <w:rPr>
          <w:color w:val="1F1F22"/>
          <w:vertAlign w:val="baseline"/>
        </w:rPr>
        <w:t>and</w:t>
      </w:r>
      <w:r>
        <w:rPr>
          <w:color w:val="1F1F22"/>
          <w:spacing w:val="-7"/>
          <w:vertAlign w:val="baseline"/>
        </w:rPr>
        <w:t> </w:t>
      </w:r>
      <w:r>
        <w:rPr>
          <w:color w:val="1F1F22"/>
          <w:vertAlign w:val="baseline"/>
        </w:rPr>
        <w:t>issues</w:t>
      </w:r>
      <w:r>
        <w:rPr>
          <w:color w:val="1F1F22"/>
          <w:spacing w:val="-5"/>
          <w:vertAlign w:val="baseline"/>
        </w:rPr>
        <w:t> </w:t>
      </w:r>
      <w:r>
        <w:rPr>
          <w:color w:val="1F1F22"/>
          <w:vertAlign w:val="baseline"/>
        </w:rPr>
        <w:t>in</w:t>
      </w:r>
      <w:r>
        <w:rPr>
          <w:color w:val="1F1F22"/>
          <w:spacing w:val="-6"/>
          <w:vertAlign w:val="baseline"/>
        </w:rPr>
        <w:t> </w:t>
      </w:r>
      <w:r>
        <w:rPr>
          <w:color w:val="1F1F22"/>
          <w:vertAlign w:val="baseline"/>
        </w:rPr>
        <w:t>their</w:t>
      </w:r>
      <w:r>
        <w:rPr>
          <w:color w:val="1F1F22"/>
          <w:spacing w:val="-6"/>
          <w:vertAlign w:val="baseline"/>
        </w:rPr>
        <w:t> </w:t>
      </w:r>
      <w:r>
        <w:rPr>
          <w:color w:val="1F1F22"/>
          <w:vertAlign w:val="baseline"/>
        </w:rPr>
        <w:t>own</w:t>
      </w:r>
      <w:r>
        <w:rPr>
          <w:color w:val="1F1F22"/>
          <w:spacing w:val="-4"/>
          <w:vertAlign w:val="baseline"/>
        </w:rPr>
        <w:t> </w:t>
      </w:r>
      <w:r>
        <w:rPr>
          <w:color w:val="1F1F22"/>
          <w:vertAlign w:val="baseline"/>
        </w:rPr>
        <w:t>cities</w:t>
      </w:r>
      <w:r>
        <w:rPr>
          <w:color w:val="1F1F22"/>
          <w:spacing w:val="-6"/>
          <w:vertAlign w:val="baseline"/>
        </w:rPr>
        <w:t> </w:t>
      </w:r>
      <w:r>
        <w:rPr>
          <w:color w:val="1F1F22"/>
          <w:vertAlign w:val="baseline"/>
        </w:rPr>
        <w:t>and</w:t>
      </w:r>
      <w:r>
        <w:rPr>
          <w:color w:val="1F1F22"/>
          <w:spacing w:val="-6"/>
          <w:vertAlign w:val="baseline"/>
        </w:rPr>
        <w:t> </w:t>
      </w:r>
      <w:r>
        <w:rPr>
          <w:color w:val="1F1F22"/>
          <w:vertAlign w:val="baseline"/>
        </w:rPr>
        <w:t>towns.</w:t>
      </w:r>
      <w:r>
        <w:rPr>
          <w:color w:val="1F1F22"/>
          <w:spacing w:val="-4"/>
          <w:vertAlign w:val="baseline"/>
        </w:rPr>
        <w:t> </w:t>
      </w:r>
      <w:r>
        <w:rPr>
          <w:color w:val="1F1F22"/>
          <w:vertAlign w:val="baseline"/>
        </w:rPr>
        <w:t>However,</w:t>
      </w:r>
      <w:r>
        <w:rPr>
          <w:color w:val="1F1F22"/>
          <w:spacing w:val="-6"/>
          <w:vertAlign w:val="baseline"/>
        </w:rPr>
        <w:t> </w:t>
      </w:r>
      <w:r>
        <w:rPr>
          <w:color w:val="1F1F22"/>
          <w:vertAlign w:val="baseline"/>
        </w:rPr>
        <w:t>it</w:t>
      </w:r>
      <w:r>
        <w:rPr>
          <w:color w:val="1F1F22"/>
          <w:spacing w:val="-6"/>
          <w:vertAlign w:val="baseline"/>
        </w:rPr>
        <w:t> </w:t>
      </w:r>
      <w:r>
        <w:rPr>
          <w:color w:val="1F1F22"/>
          <w:vertAlign w:val="baseline"/>
        </w:rPr>
        <w:t>is important to note the age of both reports, with one being more than ten years old; given the limited nature of more recent and inclusive studies, the Commission strongly recommends that Massachusetts conduct a needs assessment for LGBTQ foreign-born residents in the next few years.</w:t>
      </w:r>
    </w:p>
    <w:p>
      <w:pPr>
        <w:pStyle w:val="BodyText"/>
        <w:spacing w:line="276" w:lineRule="auto" w:before="241"/>
        <w:ind w:left="463" w:right="261"/>
        <w:jc w:val="both"/>
      </w:pPr>
      <w:r>
        <w:rPr/>
        <w:t>The first, and sometimes most prevalent, barrier to many LGBTQ foreign-born youth participating in services is often language access. In fact, roughly 1.2 million foreign-born Massachusetts residents have limited</w:t>
      </w:r>
      <w:r>
        <w:rPr>
          <w:spacing w:val="-8"/>
        </w:rPr>
        <w:t> </w:t>
      </w:r>
      <w:r>
        <w:rPr/>
        <w:t>English</w:t>
      </w:r>
      <w:r>
        <w:rPr>
          <w:spacing w:val="-8"/>
        </w:rPr>
        <w:t> </w:t>
      </w:r>
      <w:r>
        <w:rPr/>
        <w:t>proficiency</w:t>
      </w:r>
      <w:r>
        <w:rPr>
          <w:spacing w:val="-7"/>
        </w:rPr>
        <w:t> </w:t>
      </w:r>
      <w:r>
        <w:rPr/>
        <w:t>(LEP).</w:t>
      </w:r>
      <w:r>
        <w:rPr>
          <w:vertAlign w:val="superscript"/>
        </w:rPr>
        <w:t>40</w:t>
      </w:r>
      <w:r>
        <w:rPr>
          <w:spacing w:val="-8"/>
          <w:vertAlign w:val="baseline"/>
        </w:rPr>
        <w:t> </w:t>
      </w:r>
      <w:r>
        <w:rPr>
          <w:vertAlign w:val="baseline"/>
        </w:rPr>
        <w:t>Alarmingly,</w:t>
      </w:r>
      <w:r>
        <w:rPr>
          <w:spacing w:val="-7"/>
          <w:vertAlign w:val="baseline"/>
        </w:rPr>
        <w:t> </w:t>
      </w:r>
      <w:r>
        <w:rPr>
          <w:vertAlign w:val="baseline"/>
        </w:rPr>
        <w:t>research</w:t>
      </w:r>
      <w:r>
        <w:rPr>
          <w:spacing w:val="-8"/>
          <w:vertAlign w:val="baseline"/>
        </w:rPr>
        <w:t> </w:t>
      </w:r>
      <w:r>
        <w:rPr>
          <w:vertAlign w:val="baseline"/>
        </w:rPr>
        <w:t>has</w:t>
      </w:r>
      <w:r>
        <w:rPr>
          <w:spacing w:val="-7"/>
          <w:vertAlign w:val="baseline"/>
        </w:rPr>
        <w:t> </w:t>
      </w:r>
      <w:r>
        <w:rPr>
          <w:vertAlign w:val="baseline"/>
        </w:rPr>
        <w:t>shown</w:t>
      </w:r>
      <w:r>
        <w:rPr>
          <w:spacing w:val="-8"/>
          <w:vertAlign w:val="baseline"/>
        </w:rPr>
        <w:t> </w:t>
      </w:r>
      <w:r>
        <w:rPr>
          <w:vertAlign w:val="baseline"/>
        </w:rPr>
        <w:t>that</w:t>
      </w:r>
      <w:r>
        <w:rPr>
          <w:spacing w:val="-8"/>
          <w:vertAlign w:val="baseline"/>
        </w:rPr>
        <w:t> </w:t>
      </w:r>
      <w:r>
        <w:rPr>
          <w:vertAlign w:val="baseline"/>
        </w:rPr>
        <w:t>people</w:t>
      </w:r>
      <w:r>
        <w:rPr>
          <w:spacing w:val="-8"/>
          <w:vertAlign w:val="baseline"/>
        </w:rPr>
        <w:t> </w:t>
      </w:r>
      <w:r>
        <w:rPr>
          <w:vertAlign w:val="baseline"/>
        </w:rPr>
        <w:t>with</w:t>
      </w:r>
      <w:r>
        <w:rPr>
          <w:spacing w:val="-8"/>
          <w:vertAlign w:val="baseline"/>
        </w:rPr>
        <w:t> </w:t>
      </w:r>
      <w:r>
        <w:rPr>
          <w:vertAlign w:val="baseline"/>
        </w:rPr>
        <w:t>LEP</w:t>
      </w:r>
      <w:r>
        <w:rPr>
          <w:spacing w:val="-7"/>
          <w:vertAlign w:val="baseline"/>
        </w:rPr>
        <w:t> </w:t>
      </w:r>
      <w:r>
        <w:rPr>
          <w:vertAlign w:val="baseline"/>
        </w:rPr>
        <w:t>are</w:t>
      </w:r>
      <w:r>
        <w:rPr>
          <w:spacing w:val="-8"/>
          <w:vertAlign w:val="baseline"/>
        </w:rPr>
        <w:t> </w:t>
      </w:r>
      <w:r>
        <w:rPr>
          <w:vertAlign w:val="baseline"/>
        </w:rPr>
        <w:t>more</w:t>
      </w:r>
      <w:r>
        <w:rPr>
          <w:spacing w:val="-8"/>
          <w:vertAlign w:val="baseline"/>
        </w:rPr>
        <w:t> </w:t>
      </w:r>
      <w:r>
        <w:rPr>
          <w:vertAlign w:val="baseline"/>
        </w:rPr>
        <w:t>likely</w:t>
      </w:r>
      <w:r>
        <w:rPr>
          <w:spacing w:val="-6"/>
          <w:vertAlign w:val="baseline"/>
        </w:rPr>
        <w:t> </w:t>
      </w:r>
      <w:r>
        <w:rPr>
          <w:vertAlign w:val="baseline"/>
        </w:rPr>
        <w:t>to live in poverty, making access to basic services critical.</w:t>
      </w:r>
      <w:r>
        <w:rPr>
          <w:vertAlign w:val="superscript"/>
        </w:rPr>
        <w:t>41</w:t>
      </w:r>
      <w:r>
        <w:rPr>
          <w:vertAlign w:val="baseline"/>
        </w:rPr>
        <w:t> Yet without language access resources, it is difficult</w:t>
      </w:r>
      <w:r>
        <w:rPr>
          <w:spacing w:val="22"/>
          <w:vertAlign w:val="baseline"/>
        </w:rPr>
        <w:t> </w:t>
      </w:r>
      <w:r>
        <w:rPr>
          <w:vertAlign w:val="baseline"/>
        </w:rPr>
        <w:t>for</w:t>
      </w:r>
      <w:r>
        <w:rPr>
          <w:spacing w:val="22"/>
          <w:vertAlign w:val="baseline"/>
        </w:rPr>
        <w:t> </w:t>
      </w:r>
      <w:r>
        <w:rPr>
          <w:vertAlign w:val="baseline"/>
        </w:rPr>
        <w:t>these</w:t>
      </w:r>
      <w:r>
        <w:rPr>
          <w:spacing w:val="22"/>
          <w:vertAlign w:val="baseline"/>
        </w:rPr>
        <w:t> </w:t>
      </w:r>
      <w:r>
        <w:rPr>
          <w:vertAlign w:val="baseline"/>
        </w:rPr>
        <w:t>individuals</w:t>
      </w:r>
      <w:r>
        <w:rPr>
          <w:spacing w:val="22"/>
          <w:vertAlign w:val="baseline"/>
        </w:rPr>
        <w:t> </w:t>
      </w:r>
      <w:r>
        <w:rPr>
          <w:vertAlign w:val="baseline"/>
        </w:rPr>
        <w:t>to</w:t>
      </w:r>
      <w:r>
        <w:rPr>
          <w:spacing w:val="22"/>
          <w:vertAlign w:val="baseline"/>
        </w:rPr>
        <w:t> </w:t>
      </w:r>
      <w:r>
        <w:rPr>
          <w:vertAlign w:val="baseline"/>
        </w:rPr>
        <w:t>locate</w:t>
      </w:r>
      <w:r>
        <w:rPr>
          <w:spacing w:val="23"/>
          <w:vertAlign w:val="baseline"/>
        </w:rPr>
        <w:t> </w:t>
      </w:r>
      <w:r>
        <w:rPr>
          <w:vertAlign w:val="baseline"/>
        </w:rPr>
        <w:t>and</w:t>
      </w:r>
      <w:r>
        <w:rPr>
          <w:spacing w:val="22"/>
          <w:vertAlign w:val="baseline"/>
        </w:rPr>
        <w:t> </w:t>
      </w:r>
      <w:r>
        <w:rPr>
          <w:vertAlign w:val="baseline"/>
        </w:rPr>
        <w:t>use</w:t>
      </w:r>
      <w:r>
        <w:rPr>
          <w:spacing w:val="22"/>
          <w:vertAlign w:val="baseline"/>
        </w:rPr>
        <w:t> </w:t>
      </w:r>
      <w:r>
        <w:rPr>
          <w:vertAlign w:val="baseline"/>
        </w:rPr>
        <w:t>services.</w:t>
      </w:r>
      <w:r>
        <w:rPr>
          <w:spacing w:val="22"/>
          <w:vertAlign w:val="baseline"/>
        </w:rPr>
        <w:t> </w:t>
      </w:r>
      <w:r>
        <w:rPr>
          <w:vertAlign w:val="baseline"/>
        </w:rPr>
        <w:t>Similarly,</w:t>
      </w:r>
      <w:r>
        <w:rPr>
          <w:spacing w:val="22"/>
          <w:vertAlign w:val="baseline"/>
        </w:rPr>
        <w:t> </w:t>
      </w:r>
      <w:r>
        <w:rPr>
          <w:vertAlign w:val="baseline"/>
        </w:rPr>
        <w:t>LEP</w:t>
      </w:r>
      <w:r>
        <w:rPr>
          <w:spacing w:val="22"/>
          <w:vertAlign w:val="baseline"/>
        </w:rPr>
        <w:t> </w:t>
      </w:r>
      <w:r>
        <w:rPr>
          <w:vertAlign w:val="baseline"/>
        </w:rPr>
        <w:t>has</w:t>
      </w:r>
      <w:r>
        <w:rPr>
          <w:spacing w:val="22"/>
          <w:vertAlign w:val="baseline"/>
        </w:rPr>
        <w:t> </w:t>
      </w:r>
      <w:r>
        <w:rPr>
          <w:vertAlign w:val="baseline"/>
        </w:rPr>
        <w:t>been</w:t>
      </w:r>
      <w:r>
        <w:rPr>
          <w:spacing w:val="22"/>
          <w:vertAlign w:val="baseline"/>
        </w:rPr>
        <w:t> </w:t>
      </w:r>
      <w:r>
        <w:rPr>
          <w:vertAlign w:val="baseline"/>
        </w:rPr>
        <w:t>linked</w:t>
      </w:r>
      <w:r>
        <w:rPr>
          <w:spacing w:val="23"/>
          <w:vertAlign w:val="baseline"/>
        </w:rPr>
        <w:t> </w:t>
      </w:r>
      <w:r>
        <w:rPr>
          <w:vertAlign w:val="baseline"/>
        </w:rPr>
        <w:t>to</w:t>
      </w:r>
      <w:r>
        <w:rPr>
          <w:spacing w:val="23"/>
          <w:vertAlign w:val="baseline"/>
        </w:rPr>
        <w:t> </w:t>
      </w:r>
      <w:r>
        <w:rPr>
          <w:vertAlign w:val="baseline"/>
        </w:rPr>
        <w:t>poor</w:t>
      </w:r>
      <w:r>
        <w:rPr>
          <w:spacing w:val="22"/>
          <w:vertAlign w:val="baseline"/>
        </w:rPr>
        <w:t> </w:t>
      </w:r>
      <w:r>
        <w:rPr>
          <w:vertAlign w:val="baseline"/>
        </w:rPr>
        <w:t>health</w:t>
      </w:r>
    </w:p>
    <w:p>
      <w:pPr>
        <w:spacing w:after="0" w:line="276" w:lineRule="auto"/>
        <w:jc w:val="both"/>
        <w:sectPr>
          <w:pgSz w:w="12240" w:h="15840"/>
          <w:pgMar w:header="805" w:footer="1208" w:top="1080" w:bottom="1460" w:left="980" w:right="1180"/>
        </w:sectPr>
      </w:pPr>
    </w:p>
    <w:p>
      <w:pPr>
        <w:pStyle w:val="BodyText"/>
        <w:spacing w:line="276" w:lineRule="auto" w:before="69"/>
        <w:ind w:left="463" w:right="261"/>
        <w:jc w:val="both"/>
      </w:pPr>
      <w:r>
        <w:rPr/>
        <w:t>outcomes; on a practical level, not speaking English proficiently and needing interpretation services are two</w:t>
      </w:r>
      <w:r>
        <w:rPr>
          <w:spacing w:val="-6"/>
        </w:rPr>
        <w:t> </w:t>
      </w:r>
      <w:r>
        <w:rPr/>
        <w:t>major</w:t>
      </w:r>
      <w:r>
        <w:rPr>
          <w:spacing w:val="-5"/>
        </w:rPr>
        <w:t> </w:t>
      </w:r>
      <w:r>
        <w:rPr/>
        <w:t>barriers</w:t>
      </w:r>
      <w:r>
        <w:rPr>
          <w:spacing w:val="-6"/>
        </w:rPr>
        <w:t> </w:t>
      </w:r>
      <w:r>
        <w:rPr/>
        <w:t>to</w:t>
      </w:r>
      <w:r>
        <w:rPr>
          <w:spacing w:val="-6"/>
        </w:rPr>
        <w:t> </w:t>
      </w:r>
      <w:r>
        <w:rPr/>
        <w:t>accessing</w:t>
      </w:r>
      <w:r>
        <w:rPr>
          <w:spacing w:val="-7"/>
        </w:rPr>
        <w:t> </w:t>
      </w:r>
      <w:r>
        <w:rPr/>
        <w:t>and</w:t>
      </w:r>
      <w:r>
        <w:rPr>
          <w:spacing w:val="-6"/>
        </w:rPr>
        <w:t> </w:t>
      </w:r>
      <w:r>
        <w:rPr/>
        <w:t>remaining</w:t>
      </w:r>
      <w:r>
        <w:rPr>
          <w:spacing w:val="-6"/>
        </w:rPr>
        <w:t> </w:t>
      </w:r>
      <w:r>
        <w:rPr/>
        <w:t>in</w:t>
      </w:r>
      <w:r>
        <w:rPr>
          <w:spacing w:val="-6"/>
        </w:rPr>
        <w:t> </w:t>
      </w:r>
      <w:r>
        <w:rPr/>
        <w:t>health</w:t>
      </w:r>
      <w:r>
        <w:rPr>
          <w:spacing w:val="-6"/>
        </w:rPr>
        <w:t> </w:t>
      </w:r>
      <w:r>
        <w:rPr/>
        <w:t>care</w:t>
      </w:r>
      <w:r>
        <w:rPr>
          <w:spacing w:val="-5"/>
        </w:rPr>
        <w:t> </w:t>
      </w:r>
      <w:r>
        <w:rPr/>
        <w:t>services,</w:t>
      </w:r>
      <w:r>
        <w:rPr>
          <w:spacing w:val="-6"/>
        </w:rPr>
        <w:t> </w:t>
      </w:r>
      <w:r>
        <w:rPr/>
        <w:t>including</w:t>
      </w:r>
      <w:r>
        <w:rPr>
          <w:spacing w:val="-6"/>
        </w:rPr>
        <w:t> </w:t>
      </w:r>
      <w:r>
        <w:rPr/>
        <w:t>mental</w:t>
      </w:r>
      <w:r>
        <w:rPr>
          <w:spacing w:val="-5"/>
        </w:rPr>
        <w:t> </w:t>
      </w:r>
      <w:r>
        <w:rPr/>
        <w:t>health</w:t>
      </w:r>
      <w:r>
        <w:rPr>
          <w:spacing w:val="-6"/>
        </w:rPr>
        <w:t> </w:t>
      </w:r>
      <w:r>
        <w:rPr/>
        <w:t>care.</w:t>
      </w:r>
      <w:r>
        <w:rPr>
          <w:vertAlign w:val="superscript"/>
        </w:rPr>
        <w:t>42</w:t>
      </w:r>
      <w:r>
        <w:rPr>
          <w:spacing w:val="-6"/>
          <w:vertAlign w:val="baseline"/>
        </w:rPr>
        <w:t> </w:t>
      </w:r>
      <w:r>
        <w:rPr>
          <w:vertAlign w:val="baseline"/>
        </w:rPr>
        <w:t>The inability to communicate in the dominant language of care space influences health outcomes by producing social isolation, insecurity, lack of access to relevant information, and difficulty establishing social relationships, which in turn impacts self-esteem and position within the family and other social </w:t>
      </w:r>
      <w:r>
        <w:rPr>
          <w:spacing w:val="-2"/>
          <w:vertAlign w:val="baseline"/>
        </w:rPr>
        <w:t>systems.</w:t>
      </w:r>
    </w:p>
    <w:p>
      <w:pPr>
        <w:spacing w:before="240"/>
        <w:ind w:left="463" w:right="0" w:firstLine="0"/>
        <w:jc w:val="left"/>
        <w:rPr>
          <w:sz w:val="28"/>
        </w:rPr>
      </w:pPr>
      <w:bookmarkStart w:name="Housing" w:id="786"/>
      <w:bookmarkEnd w:id="786"/>
      <w:r>
        <w:rPr/>
      </w:r>
      <w:r>
        <w:rPr>
          <w:color w:val="365F91"/>
          <w:spacing w:val="-2"/>
          <w:sz w:val="28"/>
        </w:rPr>
        <w:t>Housing</w:t>
      </w:r>
    </w:p>
    <w:p>
      <w:pPr>
        <w:pStyle w:val="BodyText"/>
        <w:spacing w:line="276" w:lineRule="auto" w:before="240"/>
        <w:ind w:left="463" w:right="261"/>
        <w:jc w:val="both"/>
      </w:pPr>
      <w:r>
        <w:rPr/>
        <w:t>As</w:t>
      </w:r>
      <w:r>
        <w:rPr>
          <w:spacing w:val="-7"/>
        </w:rPr>
        <w:t> </w:t>
      </w:r>
      <w:r>
        <w:rPr/>
        <w:t>noted</w:t>
      </w:r>
      <w:r>
        <w:rPr>
          <w:spacing w:val="-7"/>
        </w:rPr>
        <w:t> </w:t>
      </w:r>
      <w:r>
        <w:rPr/>
        <w:t>in</w:t>
      </w:r>
      <w:r>
        <w:rPr>
          <w:spacing w:val="-7"/>
        </w:rPr>
        <w:t> </w:t>
      </w:r>
      <w:r>
        <w:rPr/>
        <w:t>the</w:t>
      </w:r>
      <w:r>
        <w:rPr>
          <w:spacing w:val="-8"/>
        </w:rPr>
        <w:t> </w:t>
      </w:r>
      <w:r>
        <w:rPr/>
        <w:t>section</w:t>
      </w:r>
      <w:r>
        <w:rPr>
          <w:spacing w:val="-7"/>
        </w:rPr>
        <w:t> </w:t>
      </w:r>
      <w:r>
        <w:rPr/>
        <w:t>of</w:t>
      </w:r>
      <w:r>
        <w:rPr>
          <w:spacing w:val="-6"/>
        </w:rPr>
        <w:t> </w:t>
      </w:r>
      <w:r>
        <w:rPr/>
        <w:t>this</w:t>
      </w:r>
      <w:r>
        <w:rPr>
          <w:spacing w:val="-7"/>
        </w:rPr>
        <w:t> </w:t>
      </w:r>
      <w:r>
        <w:rPr/>
        <w:t>annual</w:t>
      </w:r>
      <w:r>
        <w:rPr>
          <w:spacing w:val="-8"/>
        </w:rPr>
        <w:t> </w:t>
      </w:r>
      <w:r>
        <w:rPr/>
        <w:t>report</w:t>
      </w:r>
      <w:r>
        <w:rPr>
          <w:spacing w:val="-8"/>
        </w:rPr>
        <w:t> </w:t>
      </w:r>
      <w:r>
        <w:rPr/>
        <w:t>on</w:t>
      </w:r>
      <w:r>
        <w:rPr>
          <w:spacing w:val="-8"/>
        </w:rPr>
        <w:t> </w:t>
      </w:r>
      <w:r>
        <w:rPr/>
        <w:t>youth</w:t>
      </w:r>
      <w:r>
        <w:rPr>
          <w:spacing w:val="-7"/>
        </w:rPr>
        <w:t> </w:t>
      </w:r>
      <w:r>
        <w:rPr/>
        <w:t>experiencing</w:t>
      </w:r>
      <w:r>
        <w:rPr>
          <w:spacing w:val="-7"/>
        </w:rPr>
        <w:t> </w:t>
      </w:r>
      <w:r>
        <w:rPr/>
        <w:t>homelessness,</w:t>
      </w:r>
      <w:r>
        <w:rPr>
          <w:spacing w:val="-7"/>
        </w:rPr>
        <w:t> </w:t>
      </w:r>
      <w:r>
        <w:rPr/>
        <w:t>research</w:t>
      </w:r>
      <w:r>
        <w:rPr>
          <w:spacing w:val="-8"/>
        </w:rPr>
        <w:t> </w:t>
      </w:r>
      <w:r>
        <w:rPr/>
        <w:t>indicates</w:t>
      </w:r>
      <w:r>
        <w:rPr>
          <w:spacing w:val="-6"/>
        </w:rPr>
        <w:t> </w:t>
      </w:r>
      <w:r>
        <w:rPr/>
        <w:t>that LGBTQ</w:t>
      </w:r>
      <w:r>
        <w:rPr>
          <w:spacing w:val="-13"/>
        </w:rPr>
        <w:t> </w:t>
      </w:r>
      <w:r>
        <w:rPr/>
        <w:t>people</w:t>
      </w:r>
      <w:r>
        <w:rPr>
          <w:spacing w:val="-12"/>
        </w:rPr>
        <w:t> </w:t>
      </w:r>
      <w:r>
        <w:rPr/>
        <w:t>are</w:t>
      </w:r>
      <w:r>
        <w:rPr>
          <w:spacing w:val="-13"/>
        </w:rPr>
        <w:t> </w:t>
      </w:r>
      <w:r>
        <w:rPr/>
        <w:t>disproportionately</w:t>
      </w:r>
      <w:r>
        <w:rPr>
          <w:spacing w:val="-12"/>
        </w:rPr>
        <w:t> </w:t>
      </w:r>
      <w:r>
        <w:rPr/>
        <w:t>impacted</w:t>
      </w:r>
      <w:r>
        <w:rPr>
          <w:spacing w:val="-13"/>
        </w:rPr>
        <w:t> </w:t>
      </w:r>
      <w:r>
        <w:rPr/>
        <w:t>by</w:t>
      </w:r>
      <w:r>
        <w:rPr>
          <w:spacing w:val="-12"/>
        </w:rPr>
        <w:t> </w:t>
      </w:r>
      <w:r>
        <w:rPr/>
        <w:t>homelessness,</w:t>
      </w:r>
      <w:r>
        <w:rPr>
          <w:spacing w:val="-13"/>
        </w:rPr>
        <w:t> </w:t>
      </w:r>
      <w:r>
        <w:rPr/>
        <w:t>and</w:t>
      </w:r>
      <w:r>
        <w:rPr>
          <w:spacing w:val="-12"/>
        </w:rPr>
        <w:t> </w:t>
      </w:r>
      <w:r>
        <w:rPr/>
        <w:t>LGBTQ</w:t>
      </w:r>
      <w:r>
        <w:rPr>
          <w:spacing w:val="-12"/>
        </w:rPr>
        <w:t> </w:t>
      </w:r>
      <w:r>
        <w:rPr/>
        <w:t>foreign-born</w:t>
      </w:r>
      <w:r>
        <w:rPr>
          <w:spacing w:val="-13"/>
        </w:rPr>
        <w:t> </w:t>
      </w:r>
      <w:r>
        <w:rPr/>
        <w:t>youth</w:t>
      </w:r>
      <w:r>
        <w:rPr>
          <w:spacing w:val="-12"/>
        </w:rPr>
        <w:t> </w:t>
      </w:r>
      <w:r>
        <w:rPr/>
        <w:t>are</w:t>
      </w:r>
      <w:r>
        <w:rPr>
          <w:spacing w:val="-13"/>
        </w:rPr>
        <w:t> </w:t>
      </w:r>
      <w:r>
        <w:rPr/>
        <w:t>more likely to face challenges to gaining access to housing services. In the 2011 </w:t>
      </w:r>
      <w:r>
        <w:rPr>
          <w:color w:val="1F1F22"/>
        </w:rPr>
        <w:t>Chávez study, </w:t>
      </w:r>
      <w:r>
        <w:rPr/>
        <w:t>undocumented non-citizens were more than twice as likely to report experiencing homelessness, to be physically assaulted in a place of public accommodation, and to be evicted because of their gender identity. Additionally, </w:t>
      </w:r>
      <w:r>
        <w:rPr>
          <w:color w:val="1F1F22"/>
        </w:rPr>
        <w:t>many participants had or knew someone who had, at various points, been thrown out of </w:t>
      </w:r>
      <w:r>
        <w:rPr>
          <w:color w:val="1F1F22"/>
          <w:spacing w:val="-2"/>
        </w:rPr>
        <w:t>their homes because of their sexuality or gender identity. Unfortunately, more recent research attempting </w:t>
      </w:r>
      <w:r>
        <w:rPr>
          <w:color w:val="1F1F22"/>
        </w:rPr>
        <w:t>to understand experiences of LGBTQ undocumented individuals experiencing homelessness does not currently exist. Most of these individuals turned to other family members or friends as opposed to any service agencies or providers; other than through friends, most participants had no information about where</w:t>
      </w:r>
      <w:r>
        <w:rPr>
          <w:color w:val="1F1F22"/>
          <w:spacing w:val="-10"/>
        </w:rPr>
        <w:t> </w:t>
      </w:r>
      <w:r>
        <w:rPr>
          <w:color w:val="1F1F22"/>
        </w:rPr>
        <w:t>to</w:t>
      </w:r>
      <w:r>
        <w:rPr>
          <w:color w:val="1F1F22"/>
          <w:spacing w:val="-11"/>
        </w:rPr>
        <w:t> </w:t>
      </w:r>
      <w:r>
        <w:rPr>
          <w:color w:val="1F1F22"/>
        </w:rPr>
        <w:t>seek</w:t>
      </w:r>
      <w:r>
        <w:rPr>
          <w:color w:val="1F1F22"/>
          <w:spacing w:val="-12"/>
        </w:rPr>
        <w:t> </w:t>
      </w:r>
      <w:r>
        <w:rPr>
          <w:color w:val="1F1F22"/>
        </w:rPr>
        <w:t>help</w:t>
      </w:r>
      <w:r>
        <w:rPr>
          <w:color w:val="1F1F22"/>
          <w:spacing w:val="-10"/>
        </w:rPr>
        <w:t> </w:t>
      </w:r>
      <w:r>
        <w:rPr>
          <w:color w:val="1F1F22"/>
        </w:rPr>
        <w:t>if</w:t>
      </w:r>
      <w:r>
        <w:rPr>
          <w:color w:val="1F1F22"/>
          <w:spacing w:val="-10"/>
        </w:rPr>
        <w:t> </w:t>
      </w:r>
      <w:r>
        <w:rPr>
          <w:color w:val="1F1F22"/>
        </w:rPr>
        <w:t>they</w:t>
      </w:r>
      <w:r>
        <w:rPr>
          <w:color w:val="1F1F22"/>
          <w:spacing w:val="-9"/>
        </w:rPr>
        <w:t> </w:t>
      </w:r>
      <w:r>
        <w:rPr>
          <w:color w:val="1F1F22"/>
        </w:rPr>
        <w:t>found</w:t>
      </w:r>
      <w:r>
        <w:rPr>
          <w:color w:val="1F1F22"/>
          <w:spacing w:val="-10"/>
        </w:rPr>
        <w:t> </w:t>
      </w:r>
      <w:r>
        <w:rPr>
          <w:color w:val="1F1F22"/>
        </w:rPr>
        <w:t>themselves</w:t>
      </w:r>
      <w:r>
        <w:rPr>
          <w:color w:val="1F1F22"/>
          <w:spacing w:val="-11"/>
        </w:rPr>
        <w:t> </w:t>
      </w:r>
      <w:r>
        <w:rPr>
          <w:color w:val="1F1F22"/>
        </w:rPr>
        <w:t>without</w:t>
      </w:r>
      <w:r>
        <w:rPr>
          <w:color w:val="1F1F22"/>
          <w:spacing w:val="-11"/>
        </w:rPr>
        <w:t> </w:t>
      </w:r>
      <w:r>
        <w:rPr>
          <w:color w:val="1F1F22"/>
        </w:rPr>
        <w:t>housing.</w:t>
      </w:r>
      <w:r>
        <w:rPr>
          <w:color w:val="1F1F22"/>
          <w:spacing w:val="-10"/>
        </w:rPr>
        <w:t> </w:t>
      </w:r>
      <w:r>
        <w:rPr>
          <w:color w:val="1F1F22"/>
        </w:rPr>
        <w:t>This</w:t>
      </w:r>
      <w:r>
        <w:rPr>
          <w:color w:val="1F1F22"/>
          <w:spacing w:val="-10"/>
        </w:rPr>
        <w:t> </w:t>
      </w:r>
      <w:r>
        <w:rPr>
          <w:color w:val="1F1F22"/>
        </w:rPr>
        <w:t>problem</w:t>
      </w:r>
      <w:r>
        <w:rPr>
          <w:color w:val="1F1F22"/>
          <w:spacing w:val="-10"/>
        </w:rPr>
        <w:t> </w:t>
      </w:r>
      <w:r>
        <w:rPr>
          <w:color w:val="1F1F22"/>
        </w:rPr>
        <w:t>can</w:t>
      </w:r>
      <w:r>
        <w:rPr>
          <w:color w:val="1F1F22"/>
          <w:spacing w:val="-9"/>
        </w:rPr>
        <w:t> </w:t>
      </w:r>
      <w:r>
        <w:rPr>
          <w:color w:val="1F1F22"/>
        </w:rPr>
        <w:t>be</w:t>
      </w:r>
      <w:r>
        <w:rPr>
          <w:color w:val="1F1F22"/>
          <w:spacing w:val="-10"/>
        </w:rPr>
        <w:t> </w:t>
      </w:r>
      <w:r>
        <w:rPr>
          <w:color w:val="1F1F22"/>
        </w:rPr>
        <w:t>compounded</w:t>
      </w:r>
      <w:r>
        <w:rPr>
          <w:color w:val="1F1F22"/>
          <w:spacing w:val="-10"/>
        </w:rPr>
        <w:t> </w:t>
      </w:r>
      <w:r>
        <w:rPr>
          <w:color w:val="1F1F22"/>
        </w:rPr>
        <w:t>for</w:t>
      </w:r>
      <w:r>
        <w:rPr>
          <w:color w:val="1F1F22"/>
          <w:spacing w:val="-11"/>
        </w:rPr>
        <w:t> </w:t>
      </w:r>
      <w:r>
        <w:rPr>
          <w:color w:val="1F1F22"/>
        </w:rPr>
        <w:t>those with limited English language skills or knowledge of U.S. culture.</w:t>
      </w:r>
      <w:r>
        <w:rPr>
          <w:vertAlign w:val="superscript"/>
        </w:rPr>
        <w:t>43</w:t>
      </w:r>
    </w:p>
    <w:p>
      <w:pPr>
        <w:pStyle w:val="BodyText"/>
        <w:spacing w:line="276" w:lineRule="auto" w:before="240"/>
        <w:ind w:left="463" w:right="263"/>
        <w:jc w:val="both"/>
      </w:pPr>
      <w:r>
        <w:rPr/>
        <w:t>In Massachusetts, 30% of respondents in the 2022 Youth Count identified as LGBTQ, 60.2% identified as BIPOC, and 8% were born outside of the U.S. </w:t>
      </w:r>
      <w:r>
        <w:rPr>
          <w:vertAlign w:val="superscript"/>
        </w:rPr>
        <w:t>44</w:t>
      </w:r>
      <w:r>
        <w:rPr>
          <w:vertAlign w:val="baseline"/>
        </w:rPr>
        <w:t> However, the 2022 Youth Count did not include a breakdown of youth born outside of the U.S. But, the 2021 Youth Count survey did include a brief breakdown</w:t>
      </w:r>
      <w:r>
        <w:rPr>
          <w:spacing w:val="-8"/>
          <w:vertAlign w:val="baseline"/>
        </w:rPr>
        <w:t> </w:t>
      </w:r>
      <w:r>
        <w:rPr>
          <w:vertAlign w:val="baseline"/>
        </w:rPr>
        <w:t>on</w:t>
      </w:r>
      <w:r>
        <w:rPr>
          <w:spacing w:val="-8"/>
          <w:vertAlign w:val="baseline"/>
        </w:rPr>
        <w:t> </w:t>
      </w:r>
      <w:r>
        <w:rPr>
          <w:vertAlign w:val="baseline"/>
        </w:rPr>
        <w:t>the</w:t>
      </w:r>
      <w:r>
        <w:rPr>
          <w:spacing w:val="-7"/>
          <w:vertAlign w:val="baseline"/>
        </w:rPr>
        <w:t> </w:t>
      </w:r>
      <w:r>
        <w:rPr>
          <w:vertAlign w:val="baseline"/>
        </w:rPr>
        <w:t>challenges</w:t>
      </w:r>
      <w:r>
        <w:rPr>
          <w:spacing w:val="-7"/>
          <w:vertAlign w:val="baseline"/>
        </w:rPr>
        <w:t> </w:t>
      </w:r>
      <w:r>
        <w:rPr>
          <w:vertAlign w:val="baseline"/>
        </w:rPr>
        <w:t>faced</w:t>
      </w:r>
      <w:r>
        <w:rPr>
          <w:spacing w:val="-7"/>
          <w:vertAlign w:val="baseline"/>
        </w:rPr>
        <w:t> </w:t>
      </w:r>
      <w:r>
        <w:rPr>
          <w:vertAlign w:val="baseline"/>
        </w:rPr>
        <w:t>by</w:t>
      </w:r>
      <w:r>
        <w:rPr>
          <w:spacing w:val="-6"/>
          <w:vertAlign w:val="baseline"/>
        </w:rPr>
        <w:t> </w:t>
      </w:r>
      <w:r>
        <w:rPr>
          <w:vertAlign w:val="baseline"/>
        </w:rPr>
        <w:t>youth</w:t>
      </w:r>
      <w:r>
        <w:rPr>
          <w:spacing w:val="-8"/>
          <w:vertAlign w:val="baseline"/>
        </w:rPr>
        <w:t> </w:t>
      </w:r>
      <w:r>
        <w:rPr>
          <w:vertAlign w:val="baseline"/>
        </w:rPr>
        <w:t>born</w:t>
      </w:r>
      <w:r>
        <w:rPr>
          <w:spacing w:val="-7"/>
          <w:vertAlign w:val="baseline"/>
        </w:rPr>
        <w:t> </w:t>
      </w:r>
      <w:r>
        <w:rPr>
          <w:vertAlign w:val="baseline"/>
        </w:rPr>
        <w:t>outside</w:t>
      </w:r>
      <w:r>
        <w:rPr>
          <w:spacing w:val="-8"/>
          <w:vertAlign w:val="baseline"/>
        </w:rPr>
        <w:t> </w:t>
      </w:r>
      <w:r>
        <w:rPr>
          <w:vertAlign w:val="baseline"/>
        </w:rPr>
        <w:t>of</w:t>
      </w:r>
      <w:r>
        <w:rPr>
          <w:spacing w:val="-7"/>
          <w:vertAlign w:val="baseline"/>
        </w:rPr>
        <w:t> </w:t>
      </w:r>
      <w:r>
        <w:rPr>
          <w:vertAlign w:val="baseline"/>
        </w:rPr>
        <w:t>the</w:t>
      </w:r>
      <w:r>
        <w:rPr>
          <w:spacing w:val="-7"/>
          <w:vertAlign w:val="baseline"/>
        </w:rPr>
        <w:t> </w:t>
      </w:r>
      <w:r>
        <w:rPr>
          <w:vertAlign w:val="baseline"/>
        </w:rPr>
        <w:t>U.S.</w:t>
      </w:r>
      <w:r>
        <w:rPr>
          <w:spacing w:val="-7"/>
          <w:vertAlign w:val="baseline"/>
        </w:rPr>
        <w:t> </w:t>
      </w:r>
      <w:r>
        <w:rPr>
          <w:vertAlign w:val="baseline"/>
        </w:rPr>
        <w:t>in</w:t>
      </w:r>
      <w:r>
        <w:rPr>
          <w:spacing w:val="-7"/>
          <w:vertAlign w:val="baseline"/>
        </w:rPr>
        <w:t> </w:t>
      </w:r>
      <w:r>
        <w:rPr>
          <w:vertAlign w:val="baseline"/>
        </w:rPr>
        <w:t>accessing</w:t>
      </w:r>
      <w:r>
        <w:rPr>
          <w:spacing w:val="-8"/>
          <w:vertAlign w:val="baseline"/>
        </w:rPr>
        <w:t> </w:t>
      </w:r>
      <w:r>
        <w:rPr>
          <w:vertAlign w:val="baseline"/>
        </w:rPr>
        <w:t>housing</w:t>
      </w:r>
      <w:r>
        <w:rPr>
          <w:spacing w:val="-8"/>
          <w:vertAlign w:val="baseline"/>
        </w:rPr>
        <w:t> </w:t>
      </w:r>
      <w:r>
        <w:rPr>
          <w:vertAlign w:val="baseline"/>
        </w:rPr>
        <w:t>services</w:t>
      </w:r>
      <w:r>
        <w:rPr>
          <w:spacing w:val="-7"/>
          <w:vertAlign w:val="baseline"/>
        </w:rPr>
        <w:t> </w:t>
      </w:r>
      <w:r>
        <w:rPr>
          <w:vertAlign w:val="baseline"/>
        </w:rPr>
        <w:t>during the COVID pandemic, with 55% of youth struggling to afford food, 45% to find a place to sleep, and 40% could not access public places (like parks).</w:t>
      </w:r>
      <w:r>
        <w:rPr>
          <w:vertAlign w:val="superscript"/>
        </w:rPr>
        <w:t>45</w:t>
      </w:r>
    </w:p>
    <w:p>
      <w:pPr>
        <w:pStyle w:val="BodyText"/>
        <w:spacing w:line="276" w:lineRule="auto" w:before="240"/>
        <w:ind w:left="463" w:right="260"/>
        <w:jc w:val="both"/>
      </w:pPr>
      <w:r>
        <w:rPr/>
        <w:t>As mentioned in the homelessness section of this annual report, the Commission recommends that the Massachusetts legislature pass </w:t>
      </w:r>
      <w:r>
        <w:rPr>
          <w:i/>
        </w:rPr>
        <w:t>An Act Providing Upstream Homelessness Prevention Assistance to</w:t>
      </w:r>
      <w:r>
        <w:rPr>
          <w:i/>
        </w:rPr>
        <w:t> Families, Youth, and Adults </w:t>
      </w:r>
      <w:r>
        <w:rPr/>
        <w:t>(</w:t>
      </w:r>
      <w:hyperlink r:id="rId569">
        <w:r>
          <w:rPr>
            <w:color w:val="1153CC"/>
            <w:u w:val="single" w:color="1153CC"/>
          </w:rPr>
          <w:t>S.856</w:t>
        </w:r>
      </w:hyperlink>
      <w:r>
        <w:rPr>
          <w:u w:val="none"/>
        </w:rPr>
        <w:t>/</w:t>
      </w:r>
      <w:hyperlink r:id="rId570">
        <w:r>
          <w:rPr>
            <w:color w:val="1153CC"/>
            <w:u w:val="single" w:color="1153CC"/>
          </w:rPr>
          <w:t>H.1312</w:t>
        </w:r>
      </w:hyperlink>
      <w:r>
        <w:rPr>
          <w:u w:val="none"/>
        </w:rPr>
        <w:t>), to protect all low-income state residents, which includes LGBTQ foreign-born youth, from eviction or foreclosure by codifying and streamlining access to DHCD’s homelessness</w:t>
      </w:r>
      <w:r>
        <w:rPr>
          <w:spacing w:val="-5"/>
          <w:u w:val="none"/>
        </w:rPr>
        <w:t> </w:t>
      </w:r>
      <w:r>
        <w:rPr>
          <w:u w:val="none"/>
        </w:rPr>
        <w:t>prevention</w:t>
      </w:r>
      <w:r>
        <w:rPr>
          <w:spacing w:val="-3"/>
          <w:u w:val="none"/>
        </w:rPr>
        <w:t> </w:t>
      </w:r>
      <w:r>
        <w:rPr>
          <w:u w:val="none"/>
        </w:rPr>
        <w:t>program,</w:t>
      </w:r>
      <w:r>
        <w:rPr>
          <w:spacing w:val="-4"/>
          <w:u w:val="none"/>
        </w:rPr>
        <w:t> </w:t>
      </w:r>
      <w:r>
        <w:rPr>
          <w:u w:val="none"/>
        </w:rPr>
        <w:t>Residential</w:t>
      </w:r>
      <w:r>
        <w:rPr>
          <w:spacing w:val="-4"/>
          <w:u w:val="none"/>
        </w:rPr>
        <w:t> </w:t>
      </w:r>
      <w:r>
        <w:rPr>
          <w:u w:val="none"/>
        </w:rPr>
        <w:t>Assistance</w:t>
      </w:r>
      <w:r>
        <w:rPr>
          <w:spacing w:val="-4"/>
          <w:u w:val="none"/>
        </w:rPr>
        <w:t> </w:t>
      </w:r>
      <w:r>
        <w:rPr>
          <w:u w:val="none"/>
        </w:rPr>
        <w:t>for</w:t>
      </w:r>
      <w:r>
        <w:rPr>
          <w:spacing w:val="-4"/>
          <w:u w:val="none"/>
        </w:rPr>
        <w:t> </w:t>
      </w:r>
      <w:r>
        <w:rPr>
          <w:u w:val="none"/>
        </w:rPr>
        <w:t>Families</w:t>
      </w:r>
      <w:r>
        <w:rPr>
          <w:spacing w:val="-3"/>
          <w:u w:val="none"/>
        </w:rPr>
        <w:t> </w:t>
      </w:r>
      <w:r>
        <w:rPr>
          <w:u w:val="none"/>
        </w:rPr>
        <w:t>in</w:t>
      </w:r>
      <w:r>
        <w:rPr>
          <w:spacing w:val="-4"/>
          <w:u w:val="none"/>
        </w:rPr>
        <w:t> </w:t>
      </w:r>
      <w:r>
        <w:rPr>
          <w:u w:val="none"/>
        </w:rPr>
        <w:t>Transition</w:t>
      </w:r>
      <w:r>
        <w:rPr>
          <w:spacing w:val="-5"/>
          <w:u w:val="none"/>
        </w:rPr>
        <w:t> </w:t>
      </w:r>
      <w:r>
        <w:rPr>
          <w:u w:val="none"/>
        </w:rPr>
        <w:t>(RAFT),</w:t>
      </w:r>
      <w:r>
        <w:rPr>
          <w:spacing w:val="-5"/>
          <w:u w:val="none"/>
        </w:rPr>
        <w:t> </w:t>
      </w:r>
      <w:r>
        <w:rPr>
          <w:u w:val="none"/>
        </w:rPr>
        <w:t>and</w:t>
      </w:r>
      <w:r>
        <w:rPr>
          <w:spacing w:val="-4"/>
          <w:u w:val="none"/>
        </w:rPr>
        <w:t> </w:t>
      </w:r>
      <w:r>
        <w:rPr>
          <w:u w:val="none"/>
        </w:rPr>
        <w:t>restoring critical COVID-era protections.</w:t>
      </w:r>
      <w:r>
        <w:rPr>
          <w:u w:val="none"/>
          <w:vertAlign w:val="superscript"/>
        </w:rPr>
        <w:t>4</w:t>
      </w:r>
    </w:p>
    <w:p>
      <w:pPr>
        <w:spacing w:before="239"/>
        <w:ind w:left="463" w:right="0" w:firstLine="0"/>
        <w:jc w:val="left"/>
        <w:rPr>
          <w:sz w:val="28"/>
        </w:rPr>
      </w:pPr>
      <w:bookmarkStart w:name="Healthcare" w:id="787"/>
      <w:bookmarkEnd w:id="787"/>
      <w:r>
        <w:rPr/>
      </w:r>
      <w:r>
        <w:rPr>
          <w:color w:val="365F91"/>
          <w:spacing w:val="-2"/>
          <w:sz w:val="28"/>
        </w:rPr>
        <w:t>Healthcare</w:t>
      </w:r>
    </w:p>
    <w:p>
      <w:pPr>
        <w:pStyle w:val="BodyText"/>
        <w:spacing w:line="276" w:lineRule="auto" w:before="241"/>
        <w:ind w:left="463" w:right="260"/>
        <w:jc w:val="both"/>
      </w:pPr>
      <w:r>
        <w:rPr/>
        <w:t>As highlighted in the various health sections of this annual report, LGBTQ youth often receive a lower quality of</w:t>
      </w:r>
      <w:r>
        <w:rPr>
          <w:spacing w:val="-1"/>
        </w:rPr>
        <w:t> </w:t>
      </w:r>
      <w:r>
        <w:rPr/>
        <w:t>care</w:t>
      </w:r>
      <w:r>
        <w:rPr>
          <w:spacing w:val="-2"/>
        </w:rPr>
        <w:t> </w:t>
      </w:r>
      <w:r>
        <w:rPr/>
        <w:t>than</w:t>
      </w:r>
      <w:r>
        <w:rPr>
          <w:spacing w:val="-1"/>
        </w:rPr>
        <w:t> </w:t>
      </w:r>
      <w:r>
        <w:rPr/>
        <w:t>their cisgender, heterosexual</w:t>
      </w:r>
      <w:r>
        <w:rPr>
          <w:spacing w:val="-2"/>
        </w:rPr>
        <w:t> </w:t>
      </w:r>
      <w:r>
        <w:rPr/>
        <w:t>peers,</w:t>
      </w:r>
      <w:r>
        <w:rPr>
          <w:spacing w:val="-1"/>
        </w:rPr>
        <w:t> </w:t>
      </w:r>
      <w:r>
        <w:rPr/>
        <w:t>particularly</w:t>
      </w:r>
      <w:r>
        <w:rPr>
          <w:spacing w:val="-1"/>
        </w:rPr>
        <w:t> </w:t>
      </w:r>
      <w:r>
        <w:rPr/>
        <w:t>as</w:t>
      </w:r>
      <w:r>
        <w:rPr>
          <w:spacing w:val="-1"/>
        </w:rPr>
        <w:t> </w:t>
      </w:r>
      <w:r>
        <w:rPr/>
        <w:t>many medical</w:t>
      </w:r>
      <w:r>
        <w:rPr>
          <w:spacing w:val="-2"/>
        </w:rPr>
        <w:t> </w:t>
      </w:r>
      <w:r>
        <w:rPr/>
        <w:t>providers</w:t>
      </w:r>
      <w:r>
        <w:rPr>
          <w:spacing w:val="-1"/>
        </w:rPr>
        <w:t> </w:t>
      </w:r>
      <w:r>
        <w:rPr/>
        <w:t>display a lack</w:t>
      </w:r>
      <w:r>
        <w:rPr>
          <w:spacing w:val="-4"/>
        </w:rPr>
        <w:t> </w:t>
      </w:r>
      <w:r>
        <w:rPr/>
        <w:t>of</w:t>
      </w:r>
      <w:r>
        <w:rPr>
          <w:spacing w:val="-3"/>
        </w:rPr>
        <w:t> </w:t>
      </w:r>
      <w:r>
        <w:rPr/>
        <w:t>sensitivity</w:t>
      </w:r>
      <w:r>
        <w:rPr>
          <w:spacing w:val="-4"/>
        </w:rPr>
        <w:t> </w:t>
      </w:r>
      <w:r>
        <w:rPr/>
        <w:t>to</w:t>
      </w:r>
      <w:r>
        <w:rPr>
          <w:spacing w:val="-2"/>
        </w:rPr>
        <w:t> </w:t>
      </w:r>
      <w:r>
        <w:rPr/>
        <w:t>the</w:t>
      </w:r>
      <w:r>
        <w:rPr>
          <w:spacing w:val="-3"/>
        </w:rPr>
        <w:t> </w:t>
      </w:r>
      <w:r>
        <w:rPr/>
        <w:t>unique</w:t>
      </w:r>
      <w:r>
        <w:rPr>
          <w:spacing w:val="-3"/>
        </w:rPr>
        <w:t> </w:t>
      </w:r>
      <w:r>
        <w:rPr/>
        <w:t>health</w:t>
      </w:r>
      <w:r>
        <w:rPr>
          <w:spacing w:val="-3"/>
        </w:rPr>
        <w:t> </w:t>
      </w:r>
      <w:r>
        <w:rPr/>
        <w:t>care</w:t>
      </w:r>
      <w:r>
        <w:rPr>
          <w:spacing w:val="-4"/>
        </w:rPr>
        <w:t> </w:t>
      </w:r>
      <w:r>
        <w:rPr/>
        <w:t>needs</w:t>
      </w:r>
      <w:r>
        <w:rPr>
          <w:spacing w:val="-4"/>
        </w:rPr>
        <w:t> </w:t>
      </w:r>
      <w:r>
        <w:rPr/>
        <w:t>of</w:t>
      </w:r>
      <w:r>
        <w:rPr>
          <w:spacing w:val="-3"/>
        </w:rPr>
        <w:t> </w:t>
      </w:r>
      <w:r>
        <w:rPr/>
        <w:t>LGBTQ</w:t>
      </w:r>
      <w:r>
        <w:rPr>
          <w:spacing w:val="-3"/>
        </w:rPr>
        <w:t> </w:t>
      </w:r>
      <w:r>
        <w:rPr/>
        <w:t>communities.</w:t>
      </w:r>
      <w:r>
        <w:rPr>
          <w:spacing w:val="-3"/>
        </w:rPr>
        <w:t> </w:t>
      </w:r>
      <w:r>
        <w:rPr/>
        <w:t>However,</w:t>
      </w:r>
      <w:r>
        <w:rPr>
          <w:spacing w:val="-4"/>
        </w:rPr>
        <w:t> </w:t>
      </w:r>
      <w:r>
        <w:rPr/>
        <w:t>the</w:t>
      </w:r>
      <w:r>
        <w:rPr>
          <w:spacing w:val="-3"/>
        </w:rPr>
        <w:t> </w:t>
      </w:r>
      <w:r>
        <w:rPr/>
        <w:t>problem</w:t>
      </w:r>
      <w:r>
        <w:rPr>
          <w:spacing w:val="-4"/>
        </w:rPr>
        <w:t> </w:t>
      </w:r>
      <w:r>
        <w:rPr/>
        <w:t>is</w:t>
      </w:r>
      <w:r>
        <w:rPr>
          <w:spacing w:val="-3"/>
        </w:rPr>
        <w:t> </w:t>
      </w:r>
      <w:r>
        <w:rPr/>
        <w:t>often even more severe for undocumented youth, as undocumented individuals are barred from accessing federally</w:t>
      </w:r>
      <w:r>
        <w:rPr>
          <w:spacing w:val="-1"/>
        </w:rPr>
        <w:t> </w:t>
      </w:r>
      <w:r>
        <w:rPr/>
        <w:t>funded</w:t>
      </w:r>
      <w:r>
        <w:rPr>
          <w:spacing w:val="-2"/>
        </w:rPr>
        <w:t> </w:t>
      </w:r>
      <w:r>
        <w:rPr/>
        <w:t>insurance</w:t>
      </w:r>
      <w:r>
        <w:rPr>
          <w:spacing w:val="-2"/>
        </w:rPr>
        <w:t> </w:t>
      </w:r>
      <w:r>
        <w:rPr/>
        <w:t>plans,</w:t>
      </w:r>
      <w:r>
        <w:rPr>
          <w:spacing w:val="-1"/>
        </w:rPr>
        <w:t> </w:t>
      </w:r>
      <w:r>
        <w:rPr/>
        <w:t>and</w:t>
      </w:r>
      <w:r>
        <w:rPr>
          <w:spacing w:val="-1"/>
        </w:rPr>
        <w:t> </w:t>
      </w:r>
      <w:r>
        <w:rPr/>
        <w:t>even</w:t>
      </w:r>
      <w:r>
        <w:rPr>
          <w:spacing w:val="-2"/>
        </w:rPr>
        <w:t> </w:t>
      </w:r>
      <w:r>
        <w:rPr/>
        <w:t>purchasing</w:t>
      </w:r>
      <w:r>
        <w:rPr>
          <w:spacing w:val="-2"/>
        </w:rPr>
        <w:t> </w:t>
      </w:r>
      <w:r>
        <w:rPr/>
        <w:t>insurance in</w:t>
      </w:r>
      <w:r>
        <w:rPr>
          <w:spacing w:val="-2"/>
        </w:rPr>
        <w:t> </w:t>
      </w:r>
      <w:r>
        <w:rPr/>
        <w:t>state</w:t>
      </w:r>
      <w:r>
        <w:rPr>
          <w:spacing w:val="-1"/>
        </w:rPr>
        <w:t> </w:t>
      </w:r>
      <w:r>
        <w:rPr/>
        <w:t>exchanges.</w:t>
      </w:r>
      <w:r>
        <w:rPr>
          <w:vertAlign w:val="superscript"/>
        </w:rPr>
        <w:t>47</w:t>
      </w:r>
      <w:r>
        <w:rPr>
          <w:spacing w:val="-2"/>
          <w:vertAlign w:val="baseline"/>
        </w:rPr>
        <w:t> </w:t>
      </w:r>
      <w:r>
        <w:rPr>
          <w:vertAlign w:val="baseline"/>
        </w:rPr>
        <w:t>In</w:t>
      </w:r>
      <w:r>
        <w:rPr>
          <w:spacing w:val="-2"/>
          <w:vertAlign w:val="baseline"/>
        </w:rPr>
        <w:t> </w:t>
      </w:r>
      <w:r>
        <w:rPr>
          <w:vertAlign w:val="baseline"/>
        </w:rPr>
        <w:t>Massachusetts, MassHealth</w:t>
      </w:r>
      <w:r>
        <w:rPr>
          <w:spacing w:val="-1"/>
          <w:vertAlign w:val="baseline"/>
        </w:rPr>
        <w:t> </w:t>
      </w:r>
      <w:r>
        <w:rPr>
          <w:vertAlign w:val="baseline"/>
        </w:rPr>
        <w:t>does offer some</w:t>
      </w:r>
      <w:r>
        <w:rPr>
          <w:spacing w:val="-1"/>
          <w:vertAlign w:val="baseline"/>
        </w:rPr>
        <w:t> </w:t>
      </w:r>
      <w:r>
        <w:rPr>
          <w:vertAlign w:val="baseline"/>
        </w:rPr>
        <w:t>healthcare</w:t>
      </w:r>
      <w:r>
        <w:rPr>
          <w:spacing w:val="-1"/>
          <w:vertAlign w:val="baseline"/>
        </w:rPr>
        <w:t> </w:t>
      </w:r>
      <w:r>
        <w:rPr>
          <w:vertAlign w:val="baseline"/>
        </w:rPr>
        <w:t>coverage options for undocumented communities, but</w:t>
      </w:r>
      <w:r>
        <w:rPr>
          <w:spacing w:val="-1"/>
          <w:vertAlign w:val="baseline"/>
        </w:rPr>
        <w:t> </w:t>
      </w:r>
      <w:r>
        <w:rPr>
          <w:vertAlign w:val="baseline"/>
        </w:rPr>
        <w:t>access is</w:t>
      </w:r>
    </w:p>
    <w:p>
      <w:pPr>
        <w:spacing w:after="0" w:line="276" w:lineRule="auto"/>
        <w:jc w:val="both"/>
        <w:sectPr>
          <w:pgSz w:w="12240" w:h="15840"/>
          <w:pgMar w:header="805" w:footer="1208" w:top="1080" w:bottom="1400" w:left="980" w:right="1180"/>
        </w:sectPr>
      </w:pPr>
    </w:p>
    <w:p>
      <w:pPr>
        <w:pStyle w:val="BodyText"/>
        <w:spacing w:line="276" w:lineRule="auto" w:before="69"/>
        <w:ind w:left="463" w:right="264" w:hanging="1"/>
        <w:jc w:val="both"/>
      </w:pPr>
      <w:r>
        <w:rPr/>
        <w:t>mostly</w:t>
      </w:r>
      <w:r>
        <w:rPr>
          <w:spacing w:val="-3"/>
        </w:rPr>
        <w:t> </w:t>
      </w:r>
      <w:r>
        <w:rPr/>
        <w:t>limited</w:t>
      </w:r>
      <w:r>
        <w:rPr>
          <w:spacing w:val="-3"/>
        </w:rPr>
        <w:t> </w:t>
      </w:r>
      <w:r>
        <w:rPr/>
        <w:t>to</w:t>
      </w:r>
      <w:r>
        <w:rPr>
          <w:spacing w:val="-1"/>
        </w:rPr>
        <w:t> </w:t>
      </w:r>
      <w:r>
        <w:rPr/>
        <w:t>emergency</w:t>
      </w:r>
      <w:r>
        <w:rPr>
          <w:spacing w:val="-3"/>
        </w:rPr>
        <w:t> </w:t>
      </w:r>
      <w:r>
        <w:rPr/>
        <w:t>services</w:t>
      </w:r>
      <w:r>
        <w:rPr>
          <w:spacing w:val="-3"/>
        </w:rPr>
        <w:t> </w:t>
      </w:r>
      <w:r>
        <w:rPr/>
        <w:t>rather</w:t>
      </w:r>
      <w:r>
        <w:rPr>
          <w:spacing w:val="-2"/>
        </w:rPr>
        <w:t> </w:t>
      </w:r>
      <w:r>
        <w:rPr/>
        <w:t>than</w:t>
      </w:r>
      <w:r>
        <w:rPr>
          <w:spacing w:val="-2"/>
        </w:rPr>
        <w:t> </w:t>
      </w:r>
      <w:r>
        <w:rPr/>
        <w:t>preventative</w:t>
      </w:r>
      <w:r>
        <w:rPr>
          <w:spacing w:val="-2"/>
        </w:rPr>
        <w:t> </w:t>
      </w:r>
      <w:r>
        <w:rPr/>
        <w:t>care.</w:t>
      </w:r>
      <w:r>
        <w:rPr>
          <w:vertAlign w:val="superscript"/>
        </w:rPr>
        <w:t>48</w:t>
      </w:r>
      <w:r>
        <w:rPr>
          <w:spacing w:val="-2"/>
          <w:vertAlign w:val="baseline"/>
        </w:rPr>
        <w:t> </w:t>
      </w:r>
      <w:r>
        <w:rPr>
          <w:vertAlign w:val="baseline"/>
        </w:rPr>
        <w:t>Nationally,</w:t>
      </w:r>
      <w:r>
        <w:rPr>
          <w:spacing w:val="-3"/>
          <w:vertAlign w:val="baseline"/>
        </w:rPr>
        <w:t> </w:t>
      </w:r>
      <w:r>
        <w:rPr>
          <w:vertAlign w:val="baseline"/>
        </w:rPr>
        <w:t>as</w:t>
      </w:r>
      <w:r>
        <w:rPr>
          <w:spacing w:val="-3"/>
          <w:vertAlign w:val="baseline"/>
        </w:rPr>
        <w:t> </w:t>
      </w:r>
      <w:r>
        <w:rPr>
          <w:vertAlign w:val="baseline"/>
        </w:rPr>
        <w:t>of</w:t>
      </w:r>
      <w:r>
        <w:rPr>
          <w:spacing w:val="-3"/>
          <w:vertAlign w:val="baseline"/>
        </w:rPr>
        <w:t> </w:t>
      </w:r>
      <w:r>
        <w:rPr>
          <w:vertAlign w:val="baseline"/>
        </w:rPr>
        <w:t>2021,</w:t>
      </w:r>
      <w:r>
        <w:rPr>
          <w:spacing w:val="-3"/>
          <w:vertAlign w:val="baseline"/>
        </w:rPr>
        <w:t> </w:t>
      </w:r>
      <w:r>
        <w:rPr>
          <w:vertAlign w:val="baseline"/>
        </w:rPr>
        <w:t>roughly</w:t>
      </w:r>
      <w:r>
        <w:rPr>
          <w:spacing w:val="-2"/>
          <w:vertAlign w:val="baseline"/>
        </w:rPr>
        <w:t> </w:t>
      </w:r>
      <w:r>
        <w:rPr>
          <w:vertAlign w:val="baseline"/>
        </w:rPr>
        <w:t>1</w:t>
      </w:r>
      <w:r>
        <w:rPr>
          <w:spacing w:val="-3"/>
          <w:vertAlign w:val="baseline"/>
        </w:rPr>
        <w:t> </w:t>
      </w:r>
      <w:r>
        <w:rPr>
          <w:vertAlign w:val="baseline"/>
        </w:rPr>
        <w:t>in 4</w:t>
      </w:r>
      <w:r>
        <w:rPr>
          <w:spacing w:val="-10"/>
          <w:vertAlign w:val="baseline"/>
        </w:rPr>
        <w:t> </w:t>
      </w:r>
      <w:r>
        <w:rPr>
          <w:vertAlign w:val="baseline"/>
        </w:rPr>
        <w:t>lawfully</w:t>
      </w:r>
      <w:r>
        <w:rPr>
          <w:spacing w:val="-9"/>
          <w:vertAlign w:val="baseline"/>
        </w:rPr>
        <w:t> </w:t>
      </w:r>
      <w:r>
        <w:rPr>
          <w:vertAlign w:val="baseline"/>
        </w:rPr>
        <w:t>present</w:t>
      </w:r>
      <w:r>
        <w:rPr>
          <w:spacing w:val="-10"/>
          <w:vertAlign w:val="baseline"/>
        </w:rPr>
        <w:t> </w:t>
      </w:r>
      <w:r>
        <w:rPr>
          <w:vertAlign w:val="baseline"/>
        </w:rPr>
        <w:t>immigrants,</w:t>
      </w:r>
      <w:r>
        <w:rPr>
          <w:spacing w:val="-10"/>
          <w:vertAlign w:val="baseline"/>
        </w:rPr>
        <w:t> </w:t>
      </w:r>
      <w:r>
        <w:rPr>
          <w:vertAlign w:val="baseline"/>
        </w:rPr>
        <w:t>and</w:t>
      </w:r>
      <w:r>
        <w:rPr>
          <w:spacing w:val="-9"/>
          <w:vertAlign w:val="baseline"/>
        </w:rPr>
        <w:t> </w:t>
      </w:r>
      <w:r>
        <w:rPr>
          <w:vertAlign w:val="baseline"/>
        </w:rPr>
        <w:t>nearly</w:t>
      </w:r>
      <w:r>
        <w:rPr>
          <w:spacing w:val="-10"/>
          <w:vertAlign w:val="baseline"/>
        </w:rPr>
        <w:t> </w:t>
      </w:r>
      <w:r>
        <w:rPr>
          <w:vertAlign w:val="baseline"/>
        </w:rPr>
        <w:t>1</w:t>
      </w:r>
      <w:r>
        <w:rPr>
          <w:spacing w:val="-10"/>
          <w:vertAlign w:val="baseline"/>
        </w:rPr>
        <w:t> </w:t>
      </w:r>
      <w:r>
        <w:rPr>
          <w:vertAlign w:val="baseline"/>
        </w:rPr>
        <w:t>in</w:t>
      </w:r>
      <w:r>
        <w:rPr>
          <w:spacing w:val="-10"/>
          <w:vertAlign w:val="baseline"/>
        </w:rPr>
        <w:t> </w:t>
      </w:r>
      <w:r>
        <w:rPr>
          <w:vertAlign w:val="baseline"/>
        </w:rPr>
        <w:t>2</w:t>
      </w:r>
      <w:r>
        <w:rPr>
          <w:spacing w:val="-8"/>
          <w:vertAlign w:val="baseline"/>
        </w:rPr>
        <w:t> </w:t>
      </w:r>
      <w:r>
        <w:rPr>
          <w:vertAlign w:val="baseline"/>
        </w:rPr>
        <w:t>undocumented</w:t>
      </w:r>
      <w:r>
        <w:rPr>
          <w:spacing w:val="-9"/>
          <w:vertAlign w:val="baseline"/>
        </w:rPr>
        <w:t> </w:t>
      </w:r>
      <w:r>
        <w:rPr>
          <w:vertAlign w:val="baseline"/>
        </w:rPr>
        <w:t>immigrants</w:t>
      </w:r>
      <w:r>
        <w:rPr>
          <w:spacing w:val="-8"/>
          <w:vertAlign w:val="baseline"/>
        </w:rPr>
        <w:t> </w:t>
      </w:r>
      <w:r>
        <w:rPr>
          <w:vertAlign w:val="baseline"/>
        </w:rPr>
        <w:t>were</w:t>
      </w:r>
      <w:r>
        <w:rPr>
          <w:spacing w:val="-10"/>
          <w:vertAlign w:val="baseline"/>
        </w:rPr>
        <w:t> </w:t>
      </w:r>
      <w:r>
        <w:rPr>
          <w:vertAlign w:val="baseline"/>
        </w:rPr>
        <w:t>uninsured,</w:t>
      </w:r>
      <w:r>
        <w:rPr>
          <w:spacing w:val="-7"/>
          <w:vertAlign w:val="baseline"/>
        </w:rPr>
        <w:t> </w:t>
      </w:r>
      <w:r>
        <w:rPr>
          <w:vertAlign w:val="baseline"/>
        </w:rPr>
        <w:t>compared</w:t>
      </w:r>
      <w:r>
        <w:rPr>
          <w:spacing w:val="-9"/>
          <w:vertAlign w:val="baseline"/>
        </w:rPr>
        <w:t> </w:t>
      </w:r>
      <w:r>
        <w:rPr>
          <w:vertAlign w:val="baseline"/>
        </w:rPr>
        <w:t>to 8% of non-elderly U.S.-born citizens.</w:t>
      </w:r>
      <w:r>
        <w:rPr>
          <w:vertAlign w:val="superscript"/>
        </w:rPr>
        <w:t>49</w:t>
      </w:r>
    </w:p>
    <w:p>
      <w:pPr>
        <w:pStyle w:val="BodyText"/>
        <w:spacing w:line="276" w:lineRule="auto" w:before="239"/>
        <w:ind w:left="4438" w:right="260"/>
        <w:jc w:val="both"/>
      </w:pPr>
      <w:r>
        <w:rPr/>
        <w:drawing>
          <wp:anchor distT="0" distB="0" distL="0" distR="0" allowOverlap="1" layoutInCell="1" locked="0" behindDoc="0" simplePos="0" relativeHeight="15812096">
            <wp:simplePos x="0" y="0"/>
            <wp:positionH relativeFrom="page">
              <wp:posOffset>825500</wp:posOffset>
            </wp:positionH>
            <wp:positionV relativeFrom="paragraph">
              <wp:posOffset>168141</wp:posOffset>
            </wp:positionV>
            <wp:extent cx="2523350" cy="2459352"/>
            <wp:effectExtent l="0" t="0" r="0" b="0"/>
            <wp:wrapNone/>
            <wp:docPr id="438" name="Image 438"/>
            <wp:cNvGraphicFramePr>
              <a:graphicFrameLocks/>
            </wp:cNvGraphicFramePr>
            <a:graphic>
              <a:graphicData uri="http://schemas.openxmlformats.org/drawingml/2006/picture">
                <pic:pic>
                  <pic:nvPicPr>
                    <pic:cNvPr id="438" name="Image 438"/>
                    <pic:cNvPicPr/>
                  </pic:nvPicPr>
                  <pic:blipFill>
                    <a:blip r:embed="rId571" cstate="print"/>
                    <a:stretch>
                      <a:fillRect/>
                    </a:stretch>
                  </pic:blipFill>
                  <pic:spPr>
                    <a:xfrm>
                      <a:off x="0" y="0"/>
                      <a:ext cx="2523350" cy="2459352"/>
                    </a:xfrm>
                    <a:prstGeom prst="rect">
                      <a:avLst/>
                    </a:prstGeom>
                  </pic:spPr>
                </pic:pic>
              </a:graphicData>
            </a:graphic>
          </wp:anchor>
        </w:drawing>
      </w:r>
      <w:r>
        <w:rPr/>
        <w:t>Between a lack of insurance, fear of discrimination and violence, and fear of being reported to immigration authorities, many LGBTQ undocumented youth go without adequate health and gender-affirming care. Furthermore, foreign-born</w:t>
      </w:r>
      <w:r>
        <w:rPr>
          <w:spacing w:val="-13"/>
        </w:rPr>
        <w:t> </w:t>
      </w:r>
      <w:r>
        <w:rPr/>
        <w:t>communities</w:t>
      </w:r>
      <w:r>
        <w:rPr>
          <w:spacing w:val="-12"/>
        </w:rPr>
        <w:t> </w:t>
      </w:r>
      <w:r>
        <w:rPr/>
        <w:t>also</w:t>
      </w:r>
      <w:r>
        <w:rPr>
          <w:spacing w:val="-13"/>
        </w:rPr>
        <w:t> </w:t>
      </w:r>
      <w:r>
        <w:rPr/>
        <w:t>struggle</w:t>
      </w:r>
      <w:r>
        <w:rPr>
          <w:spacing w:val="-12"/>
        </w:rPr>
        <w:t> </w:t>
      </w:r>
      <w:r>
        <w:rPr/>
        <w:t>to</w:t>
      </w:r>
      <w:r>
        <w:rPr>
          <w:spacing w:val="-13"/>
        </w:rPr>
        <w:t> </w:t>
      </w:r>
      <w:r>
        <w:rPr/>
        <w:t>access</w:t>
      </w:r>
      <w:r>
        <w:rPr>
          <w:spacing w:val="-12"/>
        </w:rPr>
        <w:t> </w:t>
      </w:r>
      <w:r>
        <w:rPr/>
        <w:t>care</w:t>
      </w:r>
      <w:r>
        <w:rPr>
          <w:spacing w:val="-13"/>
        </w:rPr>
        <w:t> </w:t>
      </w:r>
      <w:r>
        <w:rPr/>
        <w:t>due</w:t>
      </w:r>
      <w:r>
        <w:rPr>
          <w:spacing w:val="-12"/>
        </w:rPr>
        <w:t> </w:t>
      </w:r>
      <w:r>
        <w:rPr/>
        <w:t>to factors such as cultural misunderstanding and insensitivity, and a lack of translated health-related information held by and supplied to these diverse communities. Many immigrants</w:t>
      </w:r>
      <w:r>
        <w:rPr>
          <w:spacing w:val="-7"/>
        </w:rPr>
        <w:t> </w:t>
      </w:r>
      <w:r>
        <w:rPr/>
        <w:t>either</w:t>
      </w:r>
      <w:r>
        <w:rPr>
          <w:spacing w:val="-7"/>
        </w:rPr>
        <w:t> </w:t>
      </w:r>
      <w:r>
        <w:rPr/>
        <w:t>do</w:t>
      </w:r>
      <w:r>
        <w:rPr>
          <w:spacing w:val="-7"/>
        </w:rPr>
        <w:t> </w:t>
      </w:r>
      <w:r>
        <w:rPr/>
        <w:t>not</w:t>
      </w:r>
      <w:r>
        <w:rPr>
          <w:spacing w:val="-8"/>
        </w:rPr>
        <w:t> </w:t>
      </w:r>
      <w:r>
        <w:rPr/>
        <w:t>seek</w:t>
      </w:r>
      <w:r>
        <w:rPr>
          <w:spacing w:val="-8"/>
        </w:rPr>
        <w:t> </w:t>
      </w:r>
      <w:r>
        <w:rPr/>
        <w:t>healthcare</w:t>
      </w:r>
      <w:r>
        <w:rPr>
          <w:spacing w:val="-8"/>
        </w:rPr>
        <w:t> </w:t>
      </w:r>
      <w:r>
        <w:rPr/>
        <w:t>or</w:t>
      </w:r>
      <w:r>
        <w:rPr>
          <w:spacing w:val="-7"/>
        </w:rPr>
        <w:t> </w:t>
      </w:r>
      <w:r>
        <w:rPr/>
        <w:t>find</w:t>
      </w:r>
      <w:r>
        <w:rPr>
          <w:spacing w:val="-8"/>
        </w:rPr>
        <w:t> </w:t>
      </w:r>
      <w:r>
        <w:rPr/>
        <w:t>themselves subject to cultural insensitivity because services are not linguistically appropriate or fail to align with the immigrant group’s cultural values.</w:t>
      </w:r>
      <w:r>
        <w:rPr>
          <w:vertAlign w:val="superscript"/>
        </w:rPr>
        <w:t>50</w:t>
      </w:r>
    </w:p>
    <w:p>
      <w:pPr>
        <w:pStyle w:val="BodyText"/>
        <w:spacing w:line="276" w:lineRule="auto" w:before="241"/>
        <w:ind w:left="463" w:right="261" w:firstLine="3974"/>
        <w:jc w:val="both"/>
      </w:pPr>
      <w:r>
        <w:rPr/>
        <w:t>Legally, ICE recognizes health care centers as “sensitive locations”</w:t>
      </w:r>
      <w:r>
        <w:rPr>
          <w:spacing w:val="-12"/>
        </w:rPr>
        <w:t> </w:t>
      </w:r>
      <w:r>
        <w:rPr/>
        <w:t>and</w:t>
      </w:r>
      <w:r>
        <w:rPr>
          <w:spacing w:val="-13"/>
        </w:rPr>
        <w:t> </w:t>
      </w:r>
      <w:r>
        <w:rPr/>
        <w:t>cannot</w:t>
      </w:r>
      <w:r>
        <w:rPr>
          <w:spacing w:val="-11"/>
        </w:rPr>
        <w:t> </w:t>
      </w:r>
      <w:r>
        <w:rPr/>
        <w:t>detain</w:t>
      </w:r>
      <w:r>
        <w:rPr>
          <w:spacing w:val="-13"/>
        </w:rPr>
        <w:t> </w:t>
      </w:r>
      <w:r>
        <w:rPr/>
        <w:t>Massachusetts</w:t>
      </w:r>
      <w:r>
        <w:rPr>
          <w:spacing w:val="-11"/>
        </w:rPr>
        <w:t> </w:t>
      </w:r>
      <w:r>
        <w:rPr/>
        <w:t>residents</w:t>
      </w:r>
      <w:r>
        <w:rPr>
          <w:spacing w:val="-11"/>
        </w:rPr>
        <w:t> </w:t>
      </w:r>
      <w:r>
        <w:rPr/>
        <w:t>at</w:t>
      </w:r>
      <w:r>
        <w:rPr>
          <w:spacing w:val="-13"/>
        </w:rPr>
        <w:t> </w:t>
      </w:r>
      <w:r>
        <w:rPr/>
        <w:t>a</w:t>
      </w:r>
      <w:r>
        <w:rPr>
          <w:spacing w:val="-11"/>
        </w:rPr>
        <w:t> </w:t>
      </w:r>
      <w:r>
        <w:rPr/>
        <w:t>hospital,</w:t>
      </w:r>
      <w:r>
        <w:rPr>
          <w:spacing w:val="-12"/>
        </w:rPr>
        <w:t> </w:t>
      </w:r>
      <w:r>
        <w:rPr/>
        <w:t>doctor’s</w:t>
      </w:r>
      <w:r>
        <w:rPr>
          <w:spacing w:val="-12"/>
        </w:rPr>
        <w:t> </w:t>
      </w:r>
      <w:r>
        <w:rPr/>
        <w:t>office,</w:t>
      </w:r>
      <w:r>
        <w:rPr>
          <w:spacing w:val="-12"/>
        </w:rPr>
        <w:t> </w:t>
      </w:r>
      <w:r>
        <w:rPr/>
        <w:t>health</w:t>
      </w:r>
      <w:r>
        <w:rPr>
          <w:spacing w:val="-11"/>
        </w:rPr>
        <w:t> </w:t>
      </w:r>
      <w:r>
        <w:rPr/>
        <w:t>clinic,</w:t>
      </w:r>
      <w:r>
        <w:rPr>
          <w:spacing w:val="-12"/>
        </w:rPr>
        <w:t> </w:t>
      </w:r>
      <w:r>
        <w:rPr/>
        <w:t>or</w:t>
      </w:r>
      <w:r>
        <w:rPr>
          <w:spacing w:val="-12"/>
        </w:rPr>
        <w:t> </w:t>
      </w:r>
      <w:r>
        <w:rPr/>
        <w:t>urgent care</w:t>
      </w:r>
      <w:r>
        <w:rPr>
          <w:spacing w:val="-9"/>
        </w:rPr>
        <w:t> </w:t>
      </w:r>
      <w:r>
        <w:rPr/>
        <w:t>center,</w:t>
      </w:r>
      <w:r>
        <w:rPr>
          <w:spacing w:val="-8"/>
        </w:rPr>
        <w:t> </w:t>
      </w:r>
      <w:r>
        <w:rPr/>
        <w:t>unless</w:t>
      </w:r>
      <w:r>
        <w:rPr>
          <w:spacing w:val="-8"/>
        </w:rPr>
        <w:t> </w:t>
      </w:r>
      <w:r>
        <w:rPr/>
        <w:t>there</w:t>
      </w:r>
      <w:r>
        <w:rPr>
          <w:spacing w:val="-9"/>
        </w:rPr>
        <w:t> </w:t>
      </w:r>
      <w:r>
        <w:rPr/>
        <w:t>are</w:t>
      </w:r>
      <w:r>
        <w:rPr>
          <w:spacing w:val="-9"/>
        </w:rPr>
        <w:t> </w:t>
      </w:r>
      <w:r>
        <w:rPr/>
        <w:t>special</w:t>
      </w:r>
      <w:r>
        <w:rPr>
          <w:spacing w:val="-8"/>
        </w:rPr>
        <w:t> </w:t>
      </w:r>
      <w:r>
        <w:rPr/>
        <w:t>circumstances</w:t>
      </w:r>
      <w:r>
        <w:rPr>
          <w:spacing w:val="-8"/>
        </w:rPr>
        <w:t> </w:t>
      </w:r>
      <w:r>
        <w:rPr/>
        <w:t>or</w:t>
      </w:r>
      <w:r>
        <w:rPr>
          <w:spacing w:val="-9"/>
        </w:rPr>
        <w:t> </w:t>
      </w:r>
      <w:r>
        <w:rPr/>
        <w:t>with</w:t>
      </w:r>
      <w:r>
        <w:rPr>
          <w:spacing w:val="-8"/>
        </w:rPr>
        <w:t> </w:t>
      </w:r>
      <w:r>
        <w:rPr/>
        <w:t>prior</w:t>
      </w:r>
      <w:r>
        <w:rPr>
          <w:spacing w:val="-9"/>
        </w:rPr>
        <w:t> </w:t>
      </w:r>
      <w:r>
        <w:rPr/>
        <w:t>approval.</w:t>
      </w:r>
      <w:r>
        <w:rPr>
          <w:spacing w:val="-9"/>
        </w:rPr>
        <w:t> </w:t>
      </w:r>
      <w:r>
        <w:rPr/>
        <w:t>Furthermore,</w:t>
      </w:r>
      <w:r>
        <w:rPr>
          <w:spacing w:val="-8"/>
        </w:rPr>
        <w:t> </w:t>
      </w:r>
      <w:r>
        <w:rPr/>
        <w:t>federal</w:t>
      </w:r>
      <w:r>
        <w:rPr>
          <w:spacing w:val="-9"/>
        </w:rPr>
        <w:t> </w:t>
      </w:r>
      <w:r>
        <w:rPr/>
        <w:t>and</w:t>
      </w:r>
      <w:r>
        <w:rPr>
          <w:spacing w:val="-9"/>
        </w:rPr>
        <w:t> </w:t>
      </w:r>
      <w:r>
        <w:rPr/>
        <w:t>state privacy laws protect health information held by health care providers, and providers should only collect what information is medically relevant and needed for treatment. </w:t>
      </w:r>
      <w:r>
        <w:rPr>
          <w:vertAlign w:val="superscript"/>
        </w:rPr>
        <w:t>51</w:t>
      </w:r>
      <w:r>
        <w:rPr>
          <w:vertAlign w:val="baseline"/>
        </w:rPr>
        <w:t> However, many foreign-born communities continue to express concerns around fear of cultural insensitivity and being detained by immigration officials when seeking health care.</w:t>
      </w:r>
    </w:p>
    <w:p>
      <w:pPr>
        <w:pStyle w:val="BodyText"/>
        <w:spacing w:line="276" w:lineRule="auto" w:before="239"/>
        <w:ind w:left="463" w:right="260"/>
        <w:jc w:val="both"/>
      </w:pPr>
      <w:bookmarkStart w:name="_bookmark533" w:id="788"/>
      <w:bookmarkEnd w:id="788"/>
      <w:r>
        <w:rPr/>
      </w:r>
      <w:r>
        <w:rPr>
          <w:color w:val="1F1F22"/>
        </w:rPr>
        <w:t>In the 2017 report from the Center for American Progress, twelve of the thirty-two organizations interviewed</w:t>
      </w:r>
      <w:r>
        <w:rPr>
          <w:color w:val="1F1F22"/>
          <w:spacing w:val="-2"/>
        </w:rPr>
        <w:t> </w:t>
      </w:r>
      <w:r>
        <w:rPr>
          <w:color w:val="1F1F22"/>
        </w:rPr>
        <w:t>provided</w:t>
      </w:r>
      <w:r>
        <w:rPr>
          <w:color w:val="1F1F22"/>
          <w:spacing w:val="-2"/>
        </w:rPr>
        <w:t> </w:t>
      </w:r>
      <w:r>
        <w:rPr>
          <w:color w:val="1F1F22"/>
        </w:rPr>
        <w:t>health</w:t>
      </w:r>
      <w:r>
        <w:rPr>
          <w:color w:val="1F1F22"/>
          <w:spacing w:val="-2"/>
        </w:rPr>
        <w:t> </w:t>
      </w:r>
      <w:r>
        <w:rPr>
          <w:color w:val="1F1F22"/>
        </w:rPr>
        <w:t>care</w:t>
      </w:r>
      <w:r>
        <w:rPr>
          <w:color w:val="1F1F22"/>
          <w:spacing w:val="-2"/>
        </w:rPr>
        <w:t> </w:t>
      </w:r>
      <w:r>
        <w:rPr>
          <w:color w:val="1F1F22"/>
        </w:rPr>
        <w:t>services</w:t>
      </w:r>
      <w:r>
        <w:rPr>
          <w:color w:val="1F1F22"/>
          <w:spacing w:val="-2"/>
        </w:rPr>
        <w:t> </w:t>
      </w:r>
      <w:r>
        <w:rPr>
          <w:color w:val="1F1F22"/>
        </w:rPr>
        <w:t>for</w:t>
      </w:r>
      <w:r>
        <w:rPr>
          <w:color w:val="1F1F22"/>
          <w:spacing w:val="-1"/>
        </w:rPr>
        <w:t> </w:t>
      </w:r>
      <w:r>
        <w:rPr>
          <w:color w:val="1F1F22"/>
        </w:rPr>
        <w:t>undocumented</w:t>
      </w:r>
      <w:r>
        <w:rPr>
          <w:color w:val="1F1F22"/>
          <w:spacing w:val="-2"/>
        </w:rPr>
        <w:t> </w:t>
      </w:r>
      <w:r>
        <w:rPr>
          <w:color w:val="1F1F22"/>
        </w:rPr>
        <w:t>individuals,</w:t>
      </w:r>
      <w:r>
        <w:rPr>
          <w:color w:val="1F1F22"/>
          <w:spacing w:val="-3"/>
        </w:rPr>
        <w:t> </w:t>
      </w:r>
      <w:r>
        <w:rPr>
          <w:color w:val="1F1F22"/>
        </w:rPr>
        <w:t>with</w:t>
      </w:r>
      <w:r>
        <w:rPr>
          <w:color w:val="1F1F22"/>
          <w:spacing w:val="-1"/>
        </w:rPr>
        <w:t> </w:t>
      </w:r>
      <w:r>
        <w:rPr>
          <w:color w:val="1F1F22"/>
        </w:rPr>
        <w:t>the</w:t>
      </w:r>
      <w:r>
        <w:rPr>
          <w:color w:val="1F1F22"/>
          <w:spacing w:val="-2"/>
        </w:rPr>
        <w:t> </w:t>
      </w:r>
      <w:r>
        <w:rPr>
          <w:color w:val="1F1F22"/>
        </w:rPr>
        <w:t>most</w:t>
      </w:r>
      <w:r>
        <w:rPr>
          <w:color w:val="1F1F22"/>
          <w:spacing w:val="-2"/>
        </w:rPr>
        <w:t> </w:t>
      </w:r>
      <w:r>
        <w:rPr>
          <w:color w:val="1F1F22"/>
        </w:rPr>
        <w:t>common</w:t>
      </w:r>
      <w:r>
        <w:rPr>
          <w:color w:val="1F1F22"/>
          <w:spacing w:val="-2"/>
        </w:rPr>
        <w:t> </w:t>
      </w:r>
      <w:r>
        <w:rPr>
          <w:color w:val="1F1F22"/>
        </w:rPr>
        <w:t>service provided</w:t>
      </w:r>
      <w:r>
        <w:rPr>
          <w:color w:val="1F1F22"/>
          <w:spacing w:val="-8"/>
        </w:rPr>
        <w:t> </w:t>
      </w:r>
      <w:r>
        <w:rPr>
          <w:color w:val="1F1F22"/>
        </w:rPr>
        <w:t>being</w:t>
      </w:r>
      <w:r>
        <w:rPr>
          <w:color w:val="1F1F22"/>
          <w:spacing w:val="-8"/>
        </w:rPr>
        <w:t> </w:t>
      </w:r>
      <w:r>
        <w:rPr>
          <w:color w:val="1F1F22"/>
        </w:rPr>
        <w:t>HIV/AIDS</w:t>
      </w:r>
      <w:r>
        <w:rPr>
          <w:color w:val="1F1F22"/>
          <w:spacing w:val="-7"/>
        </w:rPr>
        <w:t> </w:t>
      </w:r>
      <w:r>
        <w:rPr>
          <w:color w:val="1F1F22"/>
        </w:rPr>
        <w:t>prevention</w:t>
      </w:r>
      <w:r>
        <w:rPr>
          <w:color w:val="1F1F22"/>
          <w:spacing w:val="-8"/>
        </w:rPr>
        <w:t> </w:t>
      </w:r>
      <w:r>
        <w:rPr>
          <w:color w:val="1F1F22"/>
        </w:rPr>
        <w:t>and</w:t>
      </w:r>
      <w:r>
        <w:rPr>
          <w:color w:val="1F1F22"/>
          <w:spacing w:val="-8"/>
        </w:rPr>
        <w:t> </w:t>
      </w:r>
      <w:r>
        <w:rPr>
          <w:color w:val="1F1F22"/>
        </w:rPr>
        <w:t>treatment.</w:t>
      </w:r>
      <w:r>
        <w:rPr>
          <w:color w:val="1F1F22"/>
          <w:spacing w:val="-8"/>
        </w:rPr>
        <w:t> </w:t>
      </w:r>
      <w:r>
        <w:rPr>
          <w:color w:val="1F1F22"/>
        </w:rPr>
        <w:t>The</w:t>
      </w:r>
      <w:r>
        <w:rPr>
          <w:color w:val="1F1F22"/>
          <w:spacing w:val="-8"/>
        </w:rPr>
        <w:t> </w:t>
      </w:r>
      <w:r>
        <w:rPr>
          <w:color w:val="1F1F22"/>
        </w:rPr>
        <w:t>range</w:t>
      </w:r>
      <w:r>
        <w:rPr>
          <w:color w:val="1F1F22"/>
          <w:spacing w:val="-9"/>
        </w:rPr>
        <w:t> </w:t>
      </w:r>
      <w:r>
        <w:rPr>
          <w:color w:val="1F1F22"/>
        </w:rPr>
        <w:t>of</w:t>
      </w:r>
      <w:r>
        <w:rPr>
          <w:color w:val="1F1F22"/>
          <w:spacing w:val="-8"/>
        </w:rPr>
        <w:t> </w:t>
      </w:r>
      <w:r>
        <w:rPr>
          <w:color w:val="1F1F22"/>
        </w:rPr>
        <w:t>health</w:t>
      </w:r>
      <w:r>
        <w:rPr>
          <w:color w:val="1F1F22"/>
          <w:spacing w:val="-8"/>
        </w:rPr>
        <w:t> </w:t>
      </w:r>
      <w:r>
        <w:rPr>
          <w:color w:val="1F1F22"/>
        </w:rPr>
        <w:t>care</w:t>
      </w:r>
      <w:r>
        <w:rPr>
          <w:color w:val="1F1F22"/>
          <w:spacing w:val="-8"/>
        </w:rPr>
        <w:t> </w:t>
      </w:r>
      <w:r>
        <w:rPr>
          <w:color w:val="1F1F22"/>
        </w:rPr>
        <w:t>services</w:t>
      </w:r>
      <w:r>
        <w:rPr>
          <w:color w:val="1F1F22"/>
          <w:spacing w:val="-8"/>
        </w:rPr>
        <w:t> </w:t>
      </w:r>
      <w:r>
        <w:rPr>
          <w:color w:val="1F1F22"/>
        </w:rPr>
        <w:t>offered</w:t>
      </w:r>
      <w:r>
        <w:rPr>
          <w:color w:val="1F1F22"/>
          <w:spacing w:val="-8"/>
        </w:rPr>
        <w:t> </w:t>
      </w:r>
      <w:r>
        <w:rPr>
          <w:color w:val="1F1F22"/>
        </w:rPr>
        <w:t>by</w:t>
      </w:r>
      <w:r>
        <w:rPr>
          <w:color w:val="1F1F22"/>
          <w:spacing w:val="-8"/>
        </w:rPr>
        <w:t> </w:t>
      </w:r>
      <w:r>
        <w:rPr>
          <w:color w:val="1F1F22"/>
        </w:rPr>
        <w:t>these</w:t>
      </w:r>
      <w:r>
        <w:rPr>
          <w:color w:val="1F1F22"/>
          <w:spacing w:val="-8"/>
        </w:rPr>
        <w:t> </w:t>
      </w:r>
      <w:r>
        <w:rPr>
          <w:color w:val="1F1F22"/>
        </w:rPr>
        <w:t>12 organizations</w:t>
      </w:r>
      <w:r>
        <w:rPr>
          <w:color w:val="1F1F22"/>
          <w:spacing w:val="-5"/>
        </w:rPr>
        <w:t> </w:t>
      </w:r>
      <w:r>
        <w:rPr>
          <w:color w:val="1F1F22"/>
        </w:rPr>
        <w:t>included</w:t>
      </w:r>
      <w:r>
        <w:rPr>
          <w:color w:val="1F1F22"/>
          <w:spacing w:val="-4"/>
        </w:rPr>
        <w:t> </w:t>
      </w:r>
      <w:r>
        <w:rPr>
          <w:color w:val="1F1F22"/>
        </w:rPr>
        <w:t>mental</w:t>
      </w:r>
      <w:r>
        <w:rPr>
          <w:color w:val="1F1F22"/>
          <w:spacing w:val="-5"/>
        </w:rPr>
        <w:t> </w:t>
      </w:r>
      <w:r>
        <w:rPr>
          <w:color w:val="1F1F22"/>
        </w:rPr>
        <w:t>health</w:t>
      </w:r>
      <w:r>
        <w:rPr>
          <w:color w:val="1F1F22"/>
          <w:spacing w:val="-4"/>
        </w:rPr>
        <w:t> </w:t>
      </w:r>
      <w:r>
        <w:rPr>
          <w:color w:val="1F1F22"/>
        </w:rPr>
        <w:t>care,</w:t>
      </w:r>
      <w:r>
        <w:rPr>
          <w:color w:val="1F1F22"/>
          <w:spacing w:val="-5"/>
        </w:rPr>
        <w:t> </w:t>
      </w:r>
      <w:r>
        <w:rPr>
          <w:color w:val="1F1F22"/>
        </w:rPr>
        <w:t>treatment</w:t>
      </w:r>
      <w:r>
        <w:rPr>
          <w:color w:val="1F1F22"/>
          <w:spacing w:val="-4"/>
        </w:rPr>
        <w:t> </w:t>
      </w:r>
      <w:r>
        <w:rPr>
          <w:color w:val="1F1F22"/>
        </w:rPr>
        <w:t>for</w:t>
      </w:r>
      <w:r>
        <w:rPr>
          <w:color w:val="1F1F22"/>
          <w:spacing w:val="-5"/>
        </w:rPr>
        <w:t> </w:t>
      </w:r>
      <w:r>
        <w:rPr>
          <w:color w:val="1F1F22"/>
        </w:rPr>
        <w:t>substance</w:t>
      </w:r>
      <w:r>
        <w:rPr>
          <w:color w:val="1F1F22"/>
          <w:spacing w:val="-5"/>
        </w:rPr>
        <w:t> </w:t>
      </w:r>
      <w:r>
        <w:rPr>
          <w:color w:val="1F1F22"/>
        </w:rPr>
        <w:t>and</w:t>
      </w:r>
      <w:r>
        <w:rPr>
          <w:color w:val="1F1F22"/>
          <w:spacing w:val="-5"/>
        </w:rPr>
        <w:t> </w:t>
      </w:r>
      <w:r>
        <w:rPr>
          <w:color w:val="1F1F22"/>
        </w:rPr>
        <w:t>drug</w:t>
      </w:r>
      <w:r>
        <w:rPr>
          <w:color w:val="1F1F22"/>
          <w:spacing w:val="-5"/>
        </w:rPr>
        <w:t> </w:t>
      </w:r>
      <w:r>
        <w:rPr>
          <w:color w:val="1F1F22"/>
        </w:rPr>
        <w:t>abuse,</w:t>
      </w:r>
      <w:r>
        <w:rPr>
          <w:color w:val="1F1F22"/>
          <w:spacing w:val="-5"/>
        </w:rPr>
        <w:t> </w:t>
      </w:r>
      <w:r>
        <w:rPr>
          <w:color w:val="1F1F22"/>
        </w:rPr>
        <w:t>medical</w:t>
      </w:r>
      <w:r>
        <w:rPr>
          <w:color w:val="1F1F22"/>
          <w:spacing w:val="-4"/>
        </w:rPr>
        <w:t> </w:t>
      </w:r>
      <w:r>
        <w:rPr>
          <w:color w:val="1F1F22"/>
        </w:rPr>
        <w:t>care,</w:t>
      </w:r>
      <w:r>
        <w:rPr>
          <w:color w:val="1F1F22"/>
          <w:spacing w:val="-5"/>
        </w:rPr>
        <w:t> </w:t>
      </w:r>
      <w:r>
        <w:rPr>
          <w:color w:val="1F1F22"/>
        </w:rPr>
        <w:t>health education,</w:t>
      </w:r>
      <w:r>
        <w:rPr>
          <w:color w:val="1F1F22"/>
          <w:spacing w:val="-11"/>
        </w:rPr>
        <w:t> </w:t>
      </w:r>
      <w:r>
        <w:rPr>
          <w:color w:val="1F1F22"/>
        </w:rPr>
        <w:t>and</w:t>
      </w:r>
      <w:r>
        <w:rPr>
          <w:color w:val="1F1F22"/>
          <w:spacing w:val="-11"/>
        </w:rPr>
        <w:t> </w:t>
      </w:r>
      <w:r>
        <w:rPr>
          <w:color w:val="1F1F22"/>
        </w:rPr>
        <w:t>prevention</w:t>
      </w:r>
      <w:r>
        <w:rPr>
          <w:color w:val="1F1F22"/>
          <w:spacing w:val="-10"/>
        </w:rPr>
        <w:t> </w:t>
      </w:r>
      <w:r>
        <w:rPr>
          <w:color w:val="1F1F22"/>
        </w:rPr>
        <w:t>and</w:t>
      </w:r>
      <w:r>
        <w:rPr>
          <w:color w:val="1F1F22"/>
          <w:spacing w:val="-11"/>
        </w:rPr>
        <w:t> </w:t>
      </w:r>
      <w:r>
        <w:rPr>
          <w:color w:val="1F1F22"/>
        </w:rPr>
        <w:t>testing</w:t>
      </w:r>
      <w:r>
        <w:rPr>
          <w:color w:val="1F1F22"/>
          <w:spacing w:val="-11"/>
        </w:rPr>
        <w:t> </w:t>
      </w:r>
      <w:r>
        <w:rPr>
          <w:color w:val="1F1F22"/>
        </w:rPr>
        <w:t>for</w:t>
      </w:r>
      <w:r>
        <w:rPr>
          <w:color w:val="1F1F22"/>
          <w:spacing w:val="-11"/>
        </w:rPr>
        <w:t> </w:t>
      </w:r>
      <w:r>
        <w:rPr>
          <w:color w:val="1F1F22"/>
        </w:rPr>
        <w:t>HIV/AIDS</w:t>
      </w:r>
      <w:r>
        <w:rPr>
          <w:color w:val="1F1F22"/>
          <w:spacing w:val="-11"/>
        </w:rPr>
        <w:t> </w:t>
      </w:r>
      <w:r>
        <w:rPr>
          <w:color w:val="1F1F22"/>
        </w:rPr>
        <w:t>and</w:t>
      </w:r>
      <w:r>
        <w:rPr>
          <w:color w:val="1F1F22"/>
          <w:spacing w:val="-11"/>
        </w:rPr>
        <w:t> </w:t>
      </w:r>
      <w:r>
        <w:rPr>
          <w:color w:val="1F1F22"/>
        </w:rPr>
        <w:t>other</w:t>
      </w:r>
      <w:r>
        <w:rPr>
          <w:color w:val="1F1F22"/>
          <w:spacing w:val="-11"/>
        </w:rPr>
        <w:t> </w:t>
      </w:r>
      <w:r>
        <w:rPr>
          <w:color w:val="1F1F22"/>
        </w:rPr>
        <w:t>sexually</w:t>
      </w:r>
      <w:r>
        <w:rPr>
          <w:color w:val="1F1F22"/>
          <w:spacing w:val="-11"/>
        </w:rPr>
        <w:t> </w:t>
      </w:r>
      <w:r>
        <w:rPr>
          <w:color w:val="1F1F22"/>
        </w:rPr>
        <w:t>transmitted</w:t>
      </w:r>
      <w:r>
        <w:rPr>
          <w:color w:val="1F1F22"/>
          <w:spacing w:val="-11"/>
        </w:rPr>
        <w:t> </w:t>
      </w:r>
      <w:r>
        <w:rPr>
          <w:color w:val="1F1F22"/>
        </w:rPr>
        <w:t>infections.</w:t>
      </w:r>
      <w:r>
        <w:rPr>
          <w:color w:val="1F1F22"/>
          <w:spacing w:val="-10"/>
        </w:rPr>
        <w:t> </w:t>
      </w:r>
      <w:r>
        <w:rPr>
          <w:color w:val="1F1F22"/>
        </w:rPr>
        <w:t>One</w:t>
      </w:r>
      <w:r>
        <w:rPr>
          <w:color w:val="1F1F22"/>
          <w:spacing w:val="-11"/>
        </w:rPr>
        <w:t> </w:t>
      </w:r>
      <w:r>
        <w:rPr>
          <w:color w:val="1F1F22"/>
        </w:rPr>
        <w:t>LGBTQ community organization in Houston made a specific accommodation by amending its policies so that interpreters</w:t>
      </w:r>
      <w:r>
        <w:rPr>
          <w:color w:val="1F1F22"/>
          <w:spacing w:val="-5"/>
        </w:rPr>
        <w:t> </w:t>
      </w:r>
      <w:r>
        <w:rPr>
          <w:color w:val="1F1F22"/>
        </w:rPr>
        <w:t>could</w:t>
      </w:r>
      <w:r>
        <w:rPr>
          <w:color w:val="1F1F22"/>
          <w:spacing w:val="-7"/>
        </w:rPr>
        <w:t> </w:t>
      </w:r>
      <w:r>
        <w:rPr>
          <w:color w:val="1F1F22"/>
        </w:rPr>
        <w:t>join</w:t>
      </w:r>
      <w:r>
        <w:rPr>
          <w:color w:val="1F1F22"/>
          <w:spacing w:val="-6"/>
        </w:rPr>
        <w:t> </w:t>
      </w:r>
      <w:r>
        <w:rPr>
          <w:color w:val="1F1F22"/>
        </w:rPr>
        <w:t>clients</w:t>
      </w:r>
      <w:r>
        <w:rPr>
          <w:color w:val="1F1F22"/>
          <w:spacing w:val="-6"/>
        </w:rPr>
        <w:t> </w:t>
      </w:r>
      <w:r>
        <w:rPr>
          <w:color w:val="1F1F22"/>
        </w:rPr>
        <w:t>in</w:t>
      </w:r>
      <w:r>
        <w:rPr>
          <w:color w:val="1F1F22"/>
          <w:spacing w:val="-6"/>
        </w:rPr>
        <w:t> </w:t>
      </w:r>
      <w:r>
        <w:rPr>
          <w:color w:val="1F1F22"/>
        </w:rPr>
        <w:t>therapy</w:t>
      </w:r>
      <w:r>
        <w:rPr>
          <w:color w:val="1F1F22"/>
          <w:spacing w:val="-6"/>
        </w:rPr>
        <w:t> </w:t>
      </w:r>
      <w:r>
        <w:rPr>
          <w:color w:val="1F1F22"/>
        </w:rPr>
        <w:t>sessions,</w:t>
      </w:r>
      <w:r>
        <w:rPr>
          <w:color w:val="1F1F22"/>
          <w:spacing w:val="-6"/>
        </w:rPr>
        <w:t> </w:t>
      </w:r>
      <w:r>
        <w:rPr>
          <w:color w:val="1F1F22"/>
        </w:rPr>
        <w:t>therefore</w:t>
      </w:r>
      <w:r>
        <w:rPr>
          <w:color w:val="1F1F22"/>
          <w:spacing w:val="-7"/>
        </w:rPr>
        <w:t> </w:t>
      </w:r>
      <w:r>
        <w:rPr>
          <w:color w:val="1F1F22"/>
        </w:rPr>
        <w:t>ensuring</w:t>
      </w:r>
      <w:r>
        <w:rPr>
          <w:color w:val="1F1F22"/>
          <w:spacing w:val="-6"/>
        </w:rPr>
        <w:t> </w:t>
      </w:r>
      <w:r>
        <w:rPr>
          <w:color w:val="1F1F22"/>
        </w:rPr>
        <w:t>that</w:t>
      </w:r>
      <w:r>
        <w:rPr>
          <w:color w:val="1F1F22"/>
          <w:spacing w:val="-6"/>
        </w:rPr>
        <w:t> </w:t>
      </w:r>
      <w:r>
        <w:rPr>
          <w:color w:val="1F1F22"/>
        </w:rPr>
        <w:t>its</w:t>
      </w:r>
      <w:r>
        <w:rPr>
          <w:color w:val="1F1F22"/>
          <w:spacing w:val="-5"/>
        </w:rPr>
        <w:t> </w:t>
      </w:r>
      <w:r>
        <w:rPr>
          <w:color w:val="1F1F22"/>
        </w:rPr>
        <w:t>mental</w:t>
      </w:r>
      <w:r>
        <w:rPr>
          <w:color w:val="1F1F22"/>
          <w:spacing w:val="-5"/>
        </w:rPr>
        <w:t> </w:t>
      </w:r>
      <w:r>
        <w:rPr>
          <w:color w:val="1F1F22"/>
        </w:rPr>
        <w:t>health</w:t>
      </w:r>
      <w:r>
        <w:rPr>
          <w:color w:val="1F1F22"/>
          <w:spacing w:val="-6"/>
        </w:rPr>
        <w:t> </w:t>
      </w:r>
      <w:r>
        <w:rPr>
          <w:color w:val="1F1F22"/>
        </w:rPr>
        <w:t>services</w:t>
      </w:r>
      <w:r>
        <w:rPr>
          <w:color w:val="1F1F22"/>
          <w:spacing w:val="-6"/>
        </w:rPr>
        <w:t> </w:t>
      </w:r>
      <w:r>
        <w:rPr>
          <w:color w:val="1F1F22"/>
        </w:rPr>
        <w:t>were accessible</w:t>
      </w:r>
      <w:r>
        <w:rPr>
          <w:color w:val="1F1F22"/>
          <w:spacing w:val="-6"/>
        </w:rPr>
        <w:t> </w:t>
      </w:r>
      <w:r>
        <w:rPr>
          <w:color w:val="1F1F22"/>
        </w:rPr>
        <w:t>to</w:t>
      </w:r>
      <w:r>
        <w:rPr>
          <w:color w:val="1F1F22"/>
          <w:spacing w:val="-5"/>
        </w:rPr>
        <w:t> </w:t>
      </w:r>
      <w:r>
        <w:rPr>
          <w:color w:val="1F1F22"/>
        </w:rPr>
        <w:t>immigrants</w:t>
      </w:r>
      <w:r>
        <w:rPr>
          <w:color w:val="1F1F22"/>
          <w:spacing w:val="-7"/>
        </w:rPr>
        <w:t> </w:t>
      </w:r>
      <w:r>
        <w:rPr>
          <w:color w:val="1F1F22"/>
        </w:rPr>
        <w:t>with</w:t>
      </w:r>
      <w:r>
        <w:rPr>
          <w:color w:val="1F1F22"/>
          <w:spacing w:val="-7"/>
        </w:rPr>
        <w:t> </w:t>
      </w:r>
      <w:r>
        <w:rPr>
          <w:color w:val="1F1F22"/>
        </w:rPr>
        <w:t>limited</w:t>
      </w:r>
      <w:r>
        <w:rPr>
          <w:color w:val="1F1F22"/>
          <w:spacing w:val="-5"/>
        </w:rPr>
        <w:t> </w:t>
      </w:r>
      <w:r>
        <w:rPr>
          <w:color w:val="1F1F22"/>
        </w:rPr>
        <w:t>English</w:t>
      </w:r>
      <w:r>
        <w:rPr>
          <w:color w:val="1F1F22"/>
          <w:spacing w:val="-8"/>
        </w:rPr>
        <w:t> </w:t>
      </w:r>
      <w:r>
        <w:rPr>
          <w:color w:val="1F1F22"/>
        </w:rPr>
        <w:t>language</w:t>
      </w:r>
      <w:r>
        <w:rPr>
          <w:color w:val="1F1F22"/>
          <w:spacing w:val="-8"/>
        </w:rPr>
        <w:t> </w:t>
      </w:r>
      <w:r>
        <w:rPr>
          <w:color w:val="1F1F22"/>
        </w:rPr>
        <w:t>proficiency.</w:t>
      </w:r>
      <w:r>
        <w:rPr>
          <w:color w:val="1F1F22"/>
          <w:spacing w:val="-7"/>
        </w:rPr>
        <w:t> </w:t>
      </w:r>
      <w:r>
        <w:rPr>
          <w:color w:val="1F1F22"/>
        </w:rPr>
        <w:t>Providers</w:t>
      </w:r>
      <w:r>
        <w:rPr>
          <w:color w:val="1F1F22"/>
          <w:spacing w:val="-7"/>
        </w:rPr>
        <w:t> </w:t>
      </w:r>
      <w:r>
        <w:rPr>
          <w:color w:val="1F1F22"/>
        </w:rPr>
        <w:t>indicated</w:t>
      </w:r>
      <w:r>
        <w:rPr>
          <w:color w:val="1F1F22"/>
          <w:spacing w:val="-5"/>
        </w:rPr>
        <w:t> </w:t>
      </w:r>
      <w:r>
        <w:rPr>
          <w:color w:val="1F1F22"/>
        </w:rPr>
        <w:t>the</w:t>
      </w:r>
      <w:r>
        <w:rPr>
          <w:color w:val="1F1F22"/>
          <w:spacing w:val="-6"/>
        </w:rPr>
        <w:t> </w:t>
      </w:r>
      <w:r>
        <w:rPr>
          <w:color w:val="1F1F22"/>
        </w:rPr>
        <w:t>importance</w:t>
      </w:r>
      <w:r>
        <w:rPr>
          <w:color w:val="1F1F22"/>
          <w:spacing w:val="-6"/>
        </w:rPr>
        <w:t> </w:t>
      </w:r>
      <w:r>
        <w:rPr>
          <w:color w:val="1F1F22"/>
        </w:rPr>
        <w:t>of understanding</w:t>
      </w:r>
      <w:r>
        <w:rPr>
          <w:color w:val="1F1F22"/>
          <w:spacing w:val="-13"/>
        </w:rPr>
        <w:t> </w:t>
      </w:r>
      <w:r>
        <w:rPr>
          <w:color w:val="1F1F22"/>
        </w:rPr>
        <w:t>the</w:t>
      </w:r>
      <w:r>
        <w:rPr>
          <w:color w:val="1F1F22"/>
          <w:spacing w:val="-12"/>
        </w:rPr>
        <w:t> </w:t>
      </w:r>
      <w:r>
        <w:rPr>
          <w:color w:val="1F1F22"/>
        </w:rPr>
        <w:t>particular</w:t>
      </w:r>
      <w:r>
        <w:rPr>
          <w:color w:val="1F1F22"/>
          <w:spacing w:val="-13"/>
        </w:rPr>
        <w:t> </w:t>
      </w:r>
      <w:r>
        <w:rPr>
          <w:color w:val="1F1F22"/>
        </w:rPr>
        <w:t>challenges</w:t>
      </w:r>
      <w:r>
        <w:rPr>
          <w:color w:val="1F1F22"/>
          <w:spacing w:val="-12"/>
        </w:rPr>
        <w:t> </w:t>
      </w:r>
      <w:r>
        <w:rPr>
          <w:color w:val="1F1F22"/>
        </w:rPr>
        <w:t>faced</w:t>
      </w:r>
      <w:r>
        <w:rPr>
          <w:color w:val="1F1F22"/>
          <w:spacing w:val="-13"/>
        </w:rPr>
        <w:t> </w:t>
      </w:r>
      <w:r>
        <w:rPr>
          <w:color w:val="1F1F22"/>
        </w:rPr>
        <w:t>by</w:t>
      </w:r>
      <w:r>
        <w:rPr>
          <w:color w:val="1F1F22"/>
          <w:spacing w:val="-12"/>
        </w:rPr>
        <w:t> </w:t>
      </w:r>
      <w:r>
        <w:rPr>
          <w:color w:val="1F1F22"/>
        </w:rPr>
        <w:t>LGBTQ</w:t>
      </w:r>
      <w:r>
        <w:rPr>
          <w:color w:val="1F1F22"/>
          <w:spacing w:val="-13"/>
        </w:rPr>
        <w:t> </w:t>
      </w:r>
      <w:r>
        <w:rPr>
          <w:color w:val="1F1F22"/>
        </w:rPr>
        <w:t>immigrants</w:t>
      </w:r>
      <w:r>
        <w:rPr>
          <w:color w:val="1F1F22"/>
          <w:spacing w:val="-12"/>
        </w:rPr>
        <w:t> </w:t>
      </w:r>
      <w:r>
        <w:rPr>
          <w:color w:val="1F1F22"/>
        </w:rPr>
        <w:t>in</w:t>
      </w:r>
      <w:r>
        <w:rPr>
          <w:color w:val="1F1F22"/>
          <w:spacing w:val="-12"/>
        </w:rPr>
        <w:t> </w:t>
      </w:r>
      <w:r>
        <w:rPr>
          <w:color w:val="1F1F22"/>
        </w:rPr>
        <w:t>relation</w:t>
      </w:r>
      <w:r>
        <w:rPr>
          <w:color w:val="1F1F22"/>
          <w:spacing w:val="-13"/>
        </w:rPr>
        <w:t> </w:t>
      </w:r>
      <w:r>
        <w:rPr>
          <w:color w:val="1F1F22"/>
        </w:rPr>
        <w:t>to</w:t>
      </w:r>
      <w:r>
        <w:rPr>
          <w:color w:val="1F1F22"/>
          <w:spacing w:val="-12"/>
        </w:rPr>
        <w:t> </w:t>
      </w:r>
      <w:r>
        <w:rPr>
          <w:color w:val="1F1F22"/>
        </w:rPr>
        <w:t>their</w:t>
      </w:r>
      <w:r>
        <w:rPr>
          <w:color w:val="1F1F22"/>
          <w:spacing w:val="-13"/>
        </w:rPr>
        <w:t> </w:t>
      </w:r>
      <w:r>
        <w:rPr>
          <w:color w:val="1F1F22"/>
        </w:rPr>
        <w:t>mental</w:t>
      </w:r>
      <w:r>
        <w:rPr>
          <w:color w:val="1F1F22"/>
          <w:spacing w:val="-12"/>
        </w:rPr>
        <w:t> </w:t>
      </w:r>
      <w:r>
        <w:rPr>
          <w:color w:val="1F1F22"/>
        </w:rPr>
        <w:t>health</w:t>
      </w:r>
      <w:r>
        <w:rPr>
          <w:color w:val="1F1F22"/>
          <w:spacing w:val="-13"/>
        </w:rPr>
        <w:t> </w:t>
      </w:r>
      <w:r>
        <w:rPr>
          <w:color w:val="1F1F22"/>
        </w:rPr>
        <w:t>such as trauma, substance and drug abuse, domestic violence, sexual abuse, hate crimes, coming out, and being transgender.</w:t>
      </w:r>
      <w:r>
        <w:rPr>
          <w:color w:val="1F1F22"/>
          <w:vertAlign w:val="superscript"/>
        </w:rPr>
        <w:t>52</w:t>
      </w:r>
    </w:p>
    <w:p>
      <w:pPr>
        <w:spacing w:before="240"/>
        <w:ind w:left="463" w:right="0" w:firstLine="0"/>
        <w:jc w:val="both"/>
        <w:rPr>
          <w:sz w:val="28"/>
        </w:rPr>
      </w:pPr>
      <w:bookmarkStart w:name="Legal &amp; Employment Services" w:id="789"/>
      <w:bookmarkEnd w:id="789"/>
      <w:r>
        <w:rPr/>
      </w:r>
      <w:bookmarkStart w:name="_bookmark534" w:id="790"/>
      <w:bookmarkEnd w:id="790"/>
      <w:r>
        <w:rPr/>
      </w:r>
      <w:r>
        <w:rPr>
          <w:color w:val="365F91"/>
          <w:sz w:val="28"/>
        </w:rPr>
        <w:t>Legal</w:t>
      </w:r>
      <w:r>
        <w:rPr>
          <w:color w:val="365F91"/>
          <w:spacing w:val="-10"/>
          <w:sz w:val="28"/>
        </w:rPr>
        <w:t> </w:t>
      </w:r>
      <w:r>
        <w:rPr>
          <w:color w:val="365F91"/>
          <w:sz w:val="28"/>
        </w:rPr>
        <w:t>&amp;</w:t>
      </w:r>
      <w:r>
        <w:rPr>
          <w:color w:val="365F91"/>
          <w:spacing w:val="-9"/>
          <w:sz w:val="28"/>
        </w:rPr>
        <w:t> </w:t>
      </w:r>
      <w:r>
        <w:rPr>
          <w:color w:val="365F91"/>
          <w:sz w:val="28"/>
        </w:rPr>
        <w:t>Employment</w:t>
      </w:r>
      <w:r>
        <w:rPr>
          <w:color w:val="365F91"/>
          <w:spacing w:val="-9"/>
          <w:sz w:val="28"/>
        </w:rPr>
        <w:t> </w:t>
      </w:r>
      <w:r>
        <w:rPr>
          <w:color w:val="365F91"/>
          <w:spacing w:val="-2"/>
          <w:sz w:val="28"/>
        </w:rPr>
        <w:t>Services</w:t>
      </w:r>
    </w:p>
    <w:p>
      <w:pPr>
        <w:pStyle w:val="BodyText"/>
        <w:spacing w:line="276" w:lineRule="auto" w:before="241"/>
        <w:ind w:left="463" w:right="260"/>
        <w:jc w:val="both"/>
      </w:pPr>
      <w:bookmarkStart w:name="_bookmark535" w:id="791"/>
      <w:bookmarkEnd w:id="791"/>
      <w:r>
        <w:rPr/>
      </w:r>
      <w:r>
        <w:rPr/>
        <w:t>Research demonstrates that, whether they are seeking asylum or involved in other sorts of legal action, immigrants</w:t>
      </w:r>
      <w:r>
        <w:rPr>
          <w:spacing w:val="-11"/>
        </w:rPr>
        <w:t> </w:t>
      </w:r>
      <w:r>
        <w:rPr/>
        <w:t>represented</w:t>
      </w:r>
      <w:r>
        <w:rPr>
          <w:spacing w:val="-11"/>
        </w:rPr>
        <w:t> </w:t>
      </w:r>
      <w:r>
        <w:rPr/>
        <w:t>by</w:t>
      </w:r>
      <w:r>
        <w:rPr>
          <w:spacing w:val="-11"/>
        </w:rPr>
        <w:t> </w:t>
      </w:r>
      <w:r>
        <w:rPr/>
        <w:t>legal</w:t>
      </w:r>
      <w:r>
        <w:rPr>
          <w:spacing w:val="-11"/>
        </w:rPr>
        <w:t> </w:t>
      </w:r>
      <w:r>
        <w:rPr/>
        <w:t>counsel</w:t>
      </w:r>
      <w:r>
        <w:rPr>
          <w:spacing w:val="-11"/>
        </w:rPr>
        <w:t> </w:t>
      </w:r>
      <w:r>
        <w:rPr/>
        <w:t>are</w:t>
      </w:r>
      <w:r>
        <w:rPr>
          <w:spacing w:val="-11"/>
        </w:rPr>
        <w:t> </w:t>
      </w:r>
      <w:r>
        <w:rPr/>
        <w:t>more</w:t>
      </w:r>
      <w:r>
        <w:rPr>
          <w:spacing w:val="-11"/>
        </w:rPr>
        <w:t> </w:t>
      </w:r>
      <w:r>
        <w:rPr/>
        <w:t>likely</w:t>
      </w:r>
      <w:r>
        <w:rPr>
          <w:spacing w:val="-11"/>
        </w:rPr>
        <w:t> </w:t>
      </w:r>
      <w:r>
        <w:rPr/>
        <w:t>to</w:t>
      </w:r>
      <w:r>
        <w:rPr>
          <w:spacing w:val="-11"/>
        </w:rPr>
        <w:t> </w:t>
      </w:r>
      <w:r>
        <w:rPr/>
        <w:t>win</w:t>
      </w:r>
      <w:r>
        <w:rPr>
          <w:spacing w:val="-11"/>
        </w:rPr>
        <w:t> </w:t>
      </w:r>
      <w:r>
        <w:rPr/>
        <w:t>their</w:t>
      </w:r>
      <w:r>
        <w:rPr>
          <w:spacing w:val="-11"/>
        </w:rPr>
        <w:t> </w:t>
      </w:r>
      <w:r>
        <w:rPr/>
        <w:t>cases</w:t>
      </w:r>
      <w:r>
        <w:rPr>
          <w:spacing w:val="-11"/>
        </w:rPr>
        <w:t> </w:t>
      </w:r>
      <w:r>
        <w:rPr/>
        <w:t>in</w:t>
      </w:r>
      <w:r>
        <w:rPr>
          <w:spacing w:val="-11"/>
        </w:rPr>
        <w:t> </w:t>
      </w:r>
      <w:r>
        <w:rPr/>
        <w:t>court.</w:t>
      </w:r>
      <w:r>
        <w:rPr>
          <w:spacing w:val="-12"/>
        </w:rPr>
        <w:t> </w:t>
      </w:r>
      <w:r>
        <w:rPr/>
        <w:t>More</w:t>
      </w:r>
      <w:r>
        <w:rPr>
          <w:spacing w:val="-11"/>
        </w:rPr>
        <w:t> </w:t>
      </w:r>
      <w:r>
        <w:rPr/>
        <w:t>specifically,</w:t>
      </w:r>
      <w:r>
        <w:rPr>
          <w:spacing w:val="-11"/>
        </w:rPr>
        <w:t> </w:t>
      </w:r>
      <w:r>
        <w:rPr/>
        <w:t>they are nearly six times more likely to prevail in court than immigrants lacking representation.</w:t>
      </w:r>
      <w:r>
        <w:rPr>
          <w:vertAlign w:val="superscript"/>
        </w:rPr>
        <w:t>53</w:t>
      </w:r>
      <w:r>
        <w:rPr>
          <w:vertAlign w:val="baseline"/>
        </w:rPr>
        <w:t> Immigrants</w:t>
      </w:r>
    </w:p>
    <w:p>
      <w:pPr>
        <w:spacing w:after="0" w:line="276" w:lineRule="auto"/>
        <w:jc w:val="both"/>
        <w:sectPr>
          <w:pgSz w:w="12240" w:h="15840"/>
          <w:pgMar w:header="805" w:footer="1208" w:top="1080" w:bottom="1460" w:left="980" w:right="1180"/>
        </w:sectPr>
      </w:pPr>
    </w:p>
    <w:p>
      <w:pPr>
        <w:pStyle w:val="BodyText"/>
        <w:spacing w:line="276" w:lineRule="auto" w:before="69"/>
        <w:ind w:left="463" w:right="260"/>
        <w:jc w:val="both"/>
      </w:pPr>
      <w:r>
        <w:rPr/>
        <w:t>in Massachusetts are six times more likely to win a deportation case if they have legal representation; 62% win their cases when they have representation compared with 10% when they do not.</w:t>
      </w:r>
      <w:r>
        <w:rPr>
          <w:vertAlign w:val="superscript"/>
        </w:rPr>
        <w:t>54</w:t>
      </w:r>
    </w:p>
    <w:p>
      <w:pPr>
        <w:pStyle w:val="BodyText"/>
        <w:spacing w:line="276" w:lineRule="auto" w:before="240"/>
        <w:ind w:left="463" w:right="262"/>
        <w:jc w:val="both"/>
      </w:pPr>
      <w:bookmarkStart w:name="_bookmark536" w:id="792"/>
      <w:bookmarkEnd w:id="792"/>
      <w:r>
        <w:rPr/>
      </w:r>
      <w:r>
        <w:rPr/>
        <w:t>Many</w:t>
      </w:r>
      <w:r>
        <w:rPr>
          <w:spacing w:val="-5"/>
        </w:rPr>
        <w:t> </w:t>
      </w:r>
      <w:r>
        <w:rPr/>
        <w:t>immigration</w:t>
      </w:r>
      <w:r>
        <w:rPr>
          <w:spacing w:val="-5"/>
        </w:rPr>
        <w:t> </w:t>
      </w:r>
      <w:r>
        <w:rPr/>
        <w:t>organizations</w:t>
      </w:r>
      <w:r>
        <w:rPr>
          <w:spacing w:val="-5"/>
        </w:rPr>
        <w:t> </w:t>
      </w:r>
      <w:r>
        <w:rPr/>
        <w:t>in</w:t>
      </w:r>
      <w:r>
        <w:rPr>
          <w:spacing w:val="-5"/>
        </w:rPr>
        <w:t> </w:t>
      </w:r>
      <w:r>
        <w:rPr/>
        <w:t>the</w:t>
      </w:r>
      <w:r>
        <w:rPr>
          <w:spacing w:val="-3"/>
        </w:rPr>
        <w:t> </w:t>
      </w:r>
      <w:r>
        <w:rPr/>
        <w:t>New</w:t>
      </w:r>
      <w:r>
        <w:rPr>
          <w:spacing w:val="-5"/>
        </w:rPr>
        <w:t> </w:t>
      </w:r>
      <w:r>
        <w:rPr/>
        <w:t>England</w:t>
      </w:r>
      <w:r>
        <w:rPr>
          <w:spacing w:val="-4"/>
        </w:rPr>
        <w:t> </w:t>
      </w:r>
      <w:r>
        <w:rPr/>
        <w:t>area</w:t>
      </w:r>
      <w:r>
        <w:rPr>
          <w:spacing w:val="-5"/>
        </w:rPr>
        <w:t> </w:t>
      </w:r>
      <w:r>
        <w:rPr/>
        <w:t>offer</w:t>
      </w:r>
      <w:r>
        <w:rPr>
          <w:spacing w:val="-5"/>
        </w:rPr>
        <w:t> </w:t>
      </w:r>
      <w:r>
        <w:rPr/>
        <w:t>a</w:t>
      </w:r>
      <w:r>
        <w:rPr>
          <w:spacing w:val="-5"/>
        </w:rPr>
        <w:t> </w:t>
      </w:r>
      <w:r>
        <w:rPr/>
        <w:t>variety</w:t>
      </w:r>
      <w:r>
        <w:rPr>
          <w:spacing w:val="-5"/>
        </w:rPr>
        <w:t> </w:t>
      </w:r>
      <w:r>
        <w:rPr/>
        <w:t>of</w:t>
      </w:r>
      <w:r>
        <w:rPr>
          <w:spacing w:val="-5"/>
        </w:rPr>
        <w:t> </w:t>
      </w:r>
      <w:r>
        <w:rPr/>
        <w:t>legal</w:t>
      </w:r>
      <w:r>
        <w:rPr>
          <w:spacing w:val="-4"/>
        </w:rPr>
        <w:t> </w:t>
      </w:r>
      <w:r>
        <w:rPr/>
        <w:t>services,</w:t>
      </w:r>
      <w:r>
        <w:rPr>
          <w:spacing w:val="-5"/>
        </w:rPr>
        <w:t> </w:t>
      </w:r>
      <w:r>
        <w:rPr/>
        <w:t>including</w:t>
      </w:r>
      <w:r>
        <w:rPr>
          <w:spacing w:val="-5"/>
        </w:rPr>
        <w:t> </w:t>
      </w:r>
      <w:r>
        <w:rPr/>
        <w:t>DACA and naturalization applications, family-based immigration, visas for victims of certain crimes, detention representation, and work permit renewals.</w:t>
      </w:r>
      <w:r>
        <w:rPr>
          <w:vertAlign w:val="superscript"/>
        </w:rPr>
        <w:t>55</w:t>
      </w:r>
      <w:r>
        <w:rPr>
          <w:vertAlign w:val="baseline"/>
        </w:rPr>
        <w:t> However, it is essential that legal resources also advertise LGBTQ-specific</w:t>
      </w:r>
      <w:r>
        <w:rPr>
          <w:spacing w:val="-5"/>
          <w:vertAlign w:val="baseline"/>
        </w:rPr>
        <w:t> </w:t>
      </w:r>
      <w:r>
        <w:rPr>
          <w:vertAlign w:val="baseline"/>
        </w:rPr>
        <w:t>legal</w:t>
      </w:r>
      <w:r>
        <w:rPr>
          <w:spacing w:val="-5"/>
          <w:vertAlign w:val="baseline"/>
        </w:rPr>
        <w:t> </w:t>
      </w:r>
      <w:r>
        <w:rPr>
          <w:vertAlign w:val="baseline"/>
        </w:rPr>
        <w:t>resources,</w:t>
      </w:r>
      <w:r>
        <w:rPr>
          <w:spacing w:val="-5"/>
          <w:vertAlign w:val="baseline"/>
        </w:rPr>
        <w:t> </w:t>
      </w:r>
      <w:r>
        <w:rPr>
          <w:vertAlign w:val="baseline"/>
        </w:rPr>
        <w:t>as</w:t>
      </w:r>
      <w:r>
        <w:rPr>
          <w:spacing w:val="-5"/>
          <w:vertAlign w:val="baseline"/>
        </w:rPr>
        <w:t> </w:t>
      </w:r>
      <w:r>
        <w:rPr>
          <w:vertAlign w:val="baseline"/>
        </w:rPr>
        <w:t>LGBTQ</w:t>
      </w:r>
      <w:r>
        <w:rPr>
          <w:spacing w:val="-5"/>
          <w:vertAlign w:val="baseline"/>
        </w:rPr>
        <w:t> </w:t>
      </w:r>
      <w:r>
        <w:rPr>
          <w:vertAlign w:val="baseline"/>
        </w:rPr>
        <w:t>immigrants</w:t>
      </w:r>
      <w:r>
        <w:rPr>
          <w:spacing w:val="-5"/>
          <w:vertAlign w:val="baseline"/>
        </w:rPr>
        <w:t> </w:t>
      </w:r>
      <w:r>
        <w:rPr>
          <w:vertAlign w:val="baseline"/>
        </w:rPr>
        <w:t>often</w:t>
      </w:r>
      <w:r>
        <w:rPr>
          <w:spacing w:val="-4"/>
          <w:vertAlign w:val="baseline"/>
        </w:rPr>
        <w:t> </w:t>
      </w:r>
      <w:r>
        <w:rPr>
          <w:vertAlign w:val="baseline"/>
        </w:rPr>
        <w:t>lack</w:t>
      </w:r>
      <w:r>
        <w:rPr>
          <w:spacing w:val="-4"/>
          <w:vertAlign w:val="baseline"/>
        </w:rPr>
        <w:t> </w:t>
      </w:r>
      <w:r>
        <w:rPr>
          <w:vertAlign w:val="baseline"/>
        </w:rPr>
        <w:t>access</w:t>
      </w:r>
      <w:r>
        <w:rPr>
          <w:spacing w:val="-5"/>
          <w:vertAlign w:val="baseline"/>
        </w:rPr>
        <w:t> </w:t>
      </w:r>
      <w:r>
        <w:rPr>
          <w:vertAlign w:val="baseline"/>
        </w:rPr>
        <w:t>to</w:t>
      </w:r>
      <w:r>
        <w:rPr>
          <w:spacing w:val="-3"/>
          <w:vertAlign w:val="baseline"/>
        </w:rPr>
        <w:t> </w:t>
      </w:r>
      <w:r>
        <w:rPr>
          <w:vertAlign w:val="baseline"/>
        </w:rPr>
        <w:t>counsel,</w:t>
      </w:r>
      <w:r>
        <w:rPr>
          <w:spacing w:val="-5"/>
          <w:vertAlign w:val="baseline"/>
        </w:rPr>
        <w:t> </w:t>
      </w:r>
      <w:r>
        <w:rPr>
          <w:vertAlign w:val="baseline"/>
        </w:rPr>
        <w:t>as</w:t>
      </w:r>
      <w:r>
        <w:rPr>
          <w:spacing w:val="-5"/>
          <w:vertAlign w:val="baseline"/>
        </w:rPr>
        <w:t> </w:t>
      </w:r>
      <w:r>
        <w:rPr>
          <w:vertAlign w:val="baseline"/>
        </w:rPr>
        <w:t>well</w:t>
      </w:r>
      <w:r>
        <w:rPr>
          <w:spacing w:val="-5"/>
          <w:vertAlign w:val="baseline"/>
        </w:rPr>
        <w:t> </w:t>
      </w:r>
      <w:r>
        <w:rPr>
          <w:vertAlign w:val="baseline"/>
        </w:rPr>
        <w:t>as</w:t>
      </w:r>
      <w:r>
        <w:rPr>
          <w:spacing w:val="-5"/>
          <w:vertAlign w:val="baseline"/>
        </w:rPr>
        <w:t> </w:t>
      </w:r>
      <w:r>
        <w:rPr>
          <w:vertAlign w:val="baseline"/>
        </w:rPr>
        <w:t>immigration assistance, to protect themselves against discrimination and bias in areas of housing, employment, and family recognition.</w:t>
      </w:r>
    </w:p>
    <w:p>
      <w:pPr>
        <w:pStyle w:val="BodyText"/>
        <w:spacing w:line="276" w:lineRule="auto" w:before="240"/>
        <w:ind w:left="463" w:right="262"/>
        <w:jc w:val="both"/>
      </w:pPr>
      <w:bookmarkStart w:name="_bookmark537" w:id="793"/>
      <w:bookmarkEnd w:id="793"/>
      <w:r>
        <w:rPr/>
      </w:r>
      <w:r>
        <w:rPr/>
        <w:t>Furthermore,</w:t>
      </w:r>
      <w:r>
        <w:rPr>
          <w:spacing w:val="-5"/>
        </w:rPr>
        <w:t> </w:t>
      </w:r>
      <w:r>
        <w:rPr/>
        <w:t>there</w:t>
      </w:r>
      <w:r>
        <w:rPr>
          <w:spacing w:val="-5"/>
        </w:rPr>
        <w:t> </w:t>
      </w:r>
      <w:r>
        <w:rPr/>
        <w:t>are</w:t>
      </w:r>
      <w:r>
        <w:rPr>
          <w:spacing w:val="-4"/>
        </w:rPr>
        <w:t> </w:t>
      </w:r>
      <w:r>
        <w:rPr/>
        <w:t>a</w:t>
      </w:r>
      <w:r>
        <w:rPr>
          <w:spacing w:val="-4"/>
        </w:rPr>
        <w:t> </w:t>
      </w:r>
      <w:r>
        <w:rPr/>
        <w:t>number</w:t>
      </w:r>
      <w:r>
        <w:rPr>
          <w:spacing w:val="-4"/>
        </w:rPr>
        <w:t> </w:t>
      </w:r>
      <w:r>
        <w:rPr/>
        <w:t>of</w:t>
      </w:r>
      <w:r>
        <w:rPr>
          <w:spacing w:val="-4"/>
        </w:rPr>
        <w:t> </w:t>
      </w:r>
      <w:r>
        <w:rPr/>
        <w:t>barriers</w:t>
      </w:r>
      <w:r>
        <w:rPr>
          <w:spacing w:val="-5"/>
        </w:rPr>
        <w:t> </w:t>
      </w:r>
      <w:r>
        <w:rPr/>
        <w:t>that</w:t>
      </w:r>
      <w:r>
        <w:rPr>
          <w:spacing w:val="-4"/>
        </w:rPr>
        <w:t> </w:t>
      </w:r>
      <w:r>
        <w:rPr/>
        <w:t>LGBTQ</w:t>
      </w:r>
      <w:r>
        <w:rPr>
          <w:spacing w:val="-5"/>
        </w:rPr>
        <w:t> </w:t>
      </w:r>
      <w:r>
        <w:rPr/>
        <w:t>foreign-born</w:t>
      </w:r>
      <w:r>
        <w:rPr>
          <w:spacing w:val="-5"/>
        </w:rPr>
        <w:t> </w:t>
      </w:r>
      <w:r>
        <w:rPr/>
        <w:t>youth</w:t>
      </w:r>
      <w:r>
        <w:rPr>
          <w:spacing w:val="-4"/>
        </w:rPr>
        <w:t> </w:t>
      </w:r>
      <w:r>
        <w:rPr/>
        <w:t>encounter</w:t>
      </w:r>
      <w:r>
        <w:rPr>
          <w:spacing w:val="-4"/>
        </w:rPr>
        <w:t> </w:t>
      </w:r>
      <w:r>
        <w:rPr/>
        <w:t>when</w:t>
      </w:r>
      <w:r>
        <w:rPr>
          <w:spacing w:val="-5"/>
        </w:rPr>
        <w:t> </w:t>
      </w:r>
      <w:r>
        <w:rPr/>
        <w:t>attempting to find employment which might include unfamiliarity with the U.S. job market; legal barriers, such as asylum</w:t>
      </w:r>
      <w:r>
        <w:rPr>
          <w:spacing w:val="-7"/>
        </w:rPr>
        <w:t> </w:t>
      </w:r>
      <w:r>
        <w:rPr/>
        <w:t>seekers</w:t>
      </w:r>
      <w:r>
        <w:rPr>
          <w:spacing w:val="-6"/>
        </w:rPr>
        <w:t> </w:t>
      </w:r>
      <w:r>
        <w:rPr/>
        <w:t>not</w:t>
      </w:r>
      <w:r>
        <w:rPr>
          <w:spacing w:val="-7"/>
        </w:rPr>
        <w:t> </w:t>
      </w:r>
      <w:r>
        <w:rPr/>
        <w:t>being</w:t>
      </w:r>
      <w:r>
        <w:rPr>
          <w:spacing w:val="-7"/>
        </w:rPr>
        <w:t> </w:t>
      </w:r>
      <w:r>
        <w:rPr/>
        <w:t>able</w:t>
      </w:r>
      <w:r>
        <w:rPr>
          <w:spacing w:val="-7"/>
        </w:rPr>
        <w:t> </w:t>
      </w:r>
      <w:r>
        <w:rPr/>
        <w:t>to</w:t>
      </w:r>
      <w:r>
        <w:rPr>
          <w:spacing w:val="-6"/>
        </w:rPr>
        <w:t> </w:t>
      </w:r>
      <w:r>
        <w:rPr/>
        <w:t>work</w:t>
      </w:r>
      <w:r>
        <w:rPr>
          <w:spacing w:val="-7"/>
        </w:rPr>
        <w:t> </w:t>
      </w:r>
      <w:r>
        <w:rPr/>
        <w:t>for</w:t>
      </w:r>
      <w:r>
        <w:rPr>
          <w:spacing w:val="-6"/>
        </w:rPr>
        <w:t> </w:t>
      </w:r>
      <w:r>
        <w:rPr/>
        <w:t>at</w:t>
      </w:r>
      <w:r>
        <w:rPr>
          <w:spacing w:val="-7"/>
        </w:rPr>
        <w:t> </w:t>
      </w:r>
      <w:r>
        <w:rPr/>
        <w:t>least</w:t>
      </w:r>
      <w:r>
        <w:rPr>
          <w:spacing w:val="-7"/>
        </w:rPr>
        <w:t> </w:t>
      </w:r>
      <w:r>
        <w:rPr/>
        <w:t>180</w:t>
      </w:r>
      <w:r>
        <w:rPr>
          <w:spacing w:val="-6"/>
        </w:rPr>
        <w:t> </w:t>
      </w:r>
      <w:r>
        <w:rPr/>
        <w:t>days</w:t>
      </w:r>
      <w:r>
        <w:rPr>
          <w:spacing w:val="-6"/>
        </w:rPr>
        <w:t> </w:t>
      </w:r>
      <w:r>
        <w:rPr/>
        <w:t>after</w:t>
      </w:r>
      <w:r>
        <w:rPr>
          <w:spacing w:val="-6"/>
        </w:rPr>
        <w:t> </w:t>
      </w:r>
      <w:r>
        <w:rPr/>
        <w:t>arrival;</w:t>
      </w:r>
      <w:r>
        <w:rPr>
          <w:spacing w:val="-6"/>
        </w:rPr>
        <w:t> </w:t>
      </w:r>
      <w:r>
        <w:rPr/>
        <w:t>lack</w:t>
      </w:r>
      <w:r>
        <w:rPr>
          <w:spacing w:val="-7"/>
        </w:rPr>
        <w:t> </w:t>
      </w:r>
      <w:r>
        <w:rPr/>
        <w:t>of</w:t>
      </w:r>
      <w:r>
        <w:rPr>
          <w:spacing w:val="-5"/>
        </w:rPr>
        <w:t> </w:t>
      </w:r>
      <w:r>
        <w:rPr/>
        <w:t>appropriate</w:t>
      </w:r>
      <w:r>
        <w:rPr>
          <w:spacing w:val="-7"/>
        </w:rPr>
        <w:t> </w:t>
      </w:r>
      <w:r>
        <w:rPr/>
        <w:t>identification or</w:t>
      </w:r>
      <w:r>
        <w:rPr>
          <w:spacing w:val="-3"/>
        </w:rPr>
        <w:t> </w:t>
      </w:r>
      <w:r>
        <w:rPr/>
        <w:t>legal</w:t>
      </w:r>
      <w:r>
        <w:rPr>
          <w:spacing w:val="-2"/>
        </w:rPr>
        <w:t> </w:t>
      </w:r>
      <w:r>
        <w:rPr/>
        <w:t>documents;</w:t>
      </w:r>
      <w:r>
        <w:rPr>
          <w:spacing w:val="-2"/>
        </w:rPr>
        <w:t> </w:t>
      </w:r>
      <w:r>
        <w:rPr/>
        <w:t>lack</w:t>
      </w:r>
      <w:r>
        <w:rPr>
          <w:spacing w:val="-3"/>
        </w:rPr>
        <w:t> </w:t>
      </w:r>
      <w:r>
        <w:rPr/>
        <w:t>of</w:t>
      </w:r>
      <w:r>
        <w:rPr>
          <w:spacing w:val="-3"/>
        </w:rPr>
        <w:t> </w:t>
      </w:r>
      <w:r>
        <w:rPr/>
        <w:t>stable</w:t>
      </w:r>
      <w:r>
        <w:rPr>
          <w:spacing w:val="-2"/>
        </w:rPr>
        <w:t> </w:t>
      </w:r>
      <w:r>
        <w:rPr/>
        <w:t>housing</w:t>
      </w:r>
      <w:r>
        <w:rPr>
          <w:spacing w:val="-3"/>
        </w:rPr>
        <w:t> </w:t>
      </w:r>
      <w:r>
        <w:rPr/>
        <w:t>or</w:t>
      </w:r>
      <w:r>
        <w:rPr>
          <w:spacing w:val="-2"/>
        </w:rPr>
        <w:t> </w:t>
      </w:r>
      <w:r>
        <w:rPr/>
        <w:t>financial</w:t>
      </w:r>
      <w:r>
        <w:rPr>
          <w:spacing w:val="-3"/>
        </w:rPr>
        <w:t> </w:t>
      </w:r>
      <w:r>
        <w:rPr/>
        <w:t>security;</w:t>
      </w:r>
      <w:r>
        <w:rPr>
          <w:spacing w:val="-2"/>
        </w:rPr>
        <w:t> </w:t>
      </w:r>
      <w:r>
        <w:rPr/>
        <w:t>skills</w:t>
      </w:r>
      <w:r>
        <w:rPr>
          <w:spacing w:val="-3"/>
        </w:rPr>
        <w:t> </w:t>
      </w:r>
      <w:r>
        <w:rPr/>
        <w:t>or</w:t>
      </w:r>
      <w:r>
        <w:rPr>
          <w:spacing w:val="-3"/>
        </w:rPr>
        <w:t> </w:t>
      </w:r>
      <w:r>
        <w:rPr/>
        <w:t>certifications</w:t>
      </w:r>
      <w:r>
        <w:rPr>
          <w:spacing w:val="-3"/>
        </w:rPr>
        <w:t> </w:t>
      </w:r>
      <w:r>
        <w:rPr/>
        <w:t>that</w:t>
      </w:r>
      <w:r>
        <w:rPr>
          <w:spacing w:val="-1"/>
        </w:rPr>
        <w:t> </w:t>
      </w:r>
      <w:r>
        <w:rPr/>
        <w:t>do</w:t>
      </w:r>
      <w:r>
        <w:rPr>
          <w:spacing w:val="-1"/>
        </w:rPr>
        <w:t> </w:t>
      </w:r>
      <w:r>
        <w:rPr/>
        <w:t>not</w:t>
      </w:r>
      <w:r>
        <w:rPr>
          <w:spacing w:val="-2"/>
        </w:rPr>
        <w:t> </w:t>
      </w:r>
      <w:r>
        <w:rPr/>
        <w:t>transfer between countries; and language barriers. Consequently, when foreign-born youth do manage to find work, they are often exploited by their employers and have few avenues for recourse, or choose not to report the exploitation for fear of being detained and/or deported.</w:t>
      </w:r>
      <w:r>
        <w:rPr>
          <w:vertAlign w:val="superscript"/>
        </w:rPr>
        <w:t>56</w:t>
      </w:r>
      <w:r>
        <w:rPr>
          <w:vertAlign w:val="baseline"/>
        </w:rPr>
        <w:t> The Commission recommends that when agencies, such as MassHire, provide job readiness and placement services they identify LGBTQ- friendly workplaces, and also ensure that LGBTQ foreign-born youth understand their legal rights and resources for reporting exploitation, assault, or discrimination.</w:t>
      </w:r>
    </w:p>
    <w:p>
      <w:pPr>
        <w:pStyle w:val="BodyText"/>
        <w:spacing w:line="276" w:lineRule="auto" w:before="240"/>
        <w:ind w:left="463" w:right="260"/>
        <w:jc w:val="both"/>
      </w:pPr>
      <w:bookmarkStart w:name="_bookmark538" w:id="794"/>
      <w:bookmarkEnd w:id="794"/>
      <w:r>
        <w:rPr/>
      </w:r>
      <w:r>
        <w:rPr/>
        <w:t>Many foreign-born individuals may have limited educational opportunities in their country of origin, particularly</w:t>
      </w:r>
      <w:r>
        <w:rPr>
          <w:spacing w:val="-3"/>
        </w:rPr>
        <w:t> </w:t>
      </w:r>
      <w:r>
        <w:rPr/>
        <w:t>for</w:t>
      </w:r>
      <w:r>
        <w:rPr>
          <w:spacing w:val="-4"/>
        </w:rPr>
        <w:t> </w:t>
      </w:r>
      <w:r>
        <w:rPr/>
        <w:t>those</w:t>
      </w:r>
      <w:r>
        <w:rPr>
          <w:spacing w:val="-3"/>
        </w:rPr>
        <w:t> </w:t>
      </w:r>
      <w:r>
        <w:rPr/>
        <w:t>coming</w:t>
      </w:r>
      <w:r>
        <w:rPr>
          <w:spacing w:val="-4"/>
        </w:rPr>
        <w:t> </w:t>
      </w:r>
      <w:r>
        <w:rPr/>
        <w:t>from</w:t>
      </w:r>
      <w:r>
        <w:rPr>
          <w:spacing w:val="-3"/>
        </w:rPr>
        <w:t> </w:t>
      </w:r>
      <w:r>
        <w:rPr/>
        <w:t>countries</w:t>
      </w:r>
      <w:r>
        <w:rPr>
          <w:spacing w:val="-4"/>
        </w:rPr>
        <w:t> </w:t>
      </w:r>
      <w:r>
        <w:rPr/>
        <w:t>at</w:t>
      </w:r>
      <w:r>
        <w:rPr>
          <w:spacing w:val="-3"/>
        </w:rPr>
        <w:t> </w:t>
      </w:r>
      <w:r>
        <w:rPr/>
        <w:t>war.</w:t>
      </w:r>
      <w:r>
        <w:rPr>
          <w:spacing w:val="-3"/>
        </w:rPr>
        <w:t> </w:t>
      </w:r>
      <w:r>
        <w:rPr/>
        <w:t>As</w:t>
      </w:r>
      <w:r>
        <w:rPr>
          <w:spacing w:val="-4"/>
        </w:rPr>
        <w:t> </w:t>
      </w:r>
      <w:r>
        <w:rPr/>
        <w:t>mentioned</w:t>
      </w:r>
      <w:r>
        <w:rPr>
          <w:spacing w:val="-4"/>
        </w:rPr>
        <w:t> </w:t>
      </w:r>
      <w:r>
        <w:rPr/>
        <w:t>above,</w:t>
      </w:r>
      <w:r>
        <w:rPr>
          <w:spacing w:val="-4"/>
        </w:rPr>
        <w:t> </w:t>
      </w:r>
      <w:r>
        <w:rPr/>
        <w:t>even</w:t>
      </w:r>
      <w:r>
        <w:rPr>
          <w:spacing w:val="-4"/>
        </w:rPr>
        <w:t> </w:t>
      </w:r>
      <w:r>
        <w:rPr/>
        <w:t>those</w:t>
      </w:r>
      <w:r>
        <w:rPr>
          <w:spacing w:val="-4"/>
        </w:rPr>
        <w:t> </w:t>
      </w:r>
      <w:r>
        <w:rPr/>
        <w:t>who</w:t>
      </w:r>
      <w:r>
        <w:rPr>
          <w:spacing w:val="-2"/>
        </w:rPr>
        <w:t> </w:t>
      </w:r>
      <w:r>
        <w:rPr/>
        <w:t>have</w:t>
      </w:r>
      <w:r>
        <w:rPr>
          <w:spacing w:val="-4"/>
        </w:rPr>
        <w:t> </w:t>
      </w:r>
      <w:r>
        <w:rPr/>
        <w:t>achieved educational</w:t>
      </w:r>
      <w:r>
        <w:rPr>
          <w:spacing w:val="-2"/>
        </w:rPr>
        <w:t> </w:t>
      </w:r>
      <w:r>
        <w:rPr/>
        <w:t>degrees</w:t>
      </w:r>
      <w:r>
        <w:rPr>
          <w:spacing w:val="-3"/>
        </w:rPr>
        <w:t> </w:t>
      </w:r>
      <w:r>
        <w:rPr/>
        <w:t>or</w:t>
      </w:r>
      <w:r>
        <w:rPr>
          <w:spacing w:val="-2"/>
        </w:rPr>
        <w:t> </w:t>
      </w:r>
      <w:r>
        <w:rPr/>
        <w:t>certification</w:t>
      </w:r>
      <w:r>
        <w:rPr>
          <w:spacing w:val="-2"/>
        </w:rPr>
        <w:t> </w:t>
      </w:r>
      <w:r>
        <w:rPr/>
        <w:t>may</w:t>
      </w:r>
      <w:r>
        <w:rPr>
          <w:spacing w:val="-3"/>
        </w:rPr>
        <w:t> </w:t>
      </w:r>
      <w:r>
        <w:rPr/>
        <w:t>have</w:t>
      </w:r>
      <w:r>
        <w:rPr>
          <w:spacing w:val="-2"/>
        </w:rPr>
        <w:t> </w:t>
      </w:r>
      <w:r>
        <w:rPr/>
        <w:t>difficulty</w:t>
      </w:r>
      <w:r>
        <w:rPr>
          <w:spacing w:val="-3"/>
        </w:rPr>
        <w:t> </w:t>
      </w:r>
      <w:r>
        <w:rPr/>
        <w:t>transferring</w:t>
      </w:r>
      <w:r>
        <w:rPr>
          <w:spacing w:val="-2"/>
        </w:rPr>
        <w:t> </w:t>
      </w:r>
      <w:r>
        <w:rPr/>
        <w:t>the</w:t>
      </w:r>
      <w:r>
        <w:rPr>
          <w:spacing w:val="-2"/>
        </w:rPr>
        <w:t> </w:t>
      </w:r>
      <w:r>
        <w:rPr/>
        <w:t>credentials</w:t>
      </w:r>
      <w:r>
        <w:rPr>
          <w:spacing w:val="-3"/>
        </w:rPr>
        <w:t> </w:t>
      </w:r>
      <w:r>
        <w:rPr/>
        <w:t>from</w:t>
      </w:r>
      <w:r>
        <w:rPr>
          <w:spacing w:val="-2"/>
        </w:rPr>
        <w:t> </w:t>
      </w:r>
      <w:r>
        <w:rPr/>
        <w:t>their</w:t>
      </w:r>
      <w:r>
        <w:rPr>
          <w:spacing w:val="-2"/>
        </w:rPr>
        <w:t> </w:t>
      </w:r>
      <w:r>
        <w:rPr/>
        <w:t>country</w:t>
      </w:r>
      <w:r>
        <w:rPr>
          <w:spacing w:val="-2"/>
        </w:rPr>
        <w:t> </w:t>
      </w:r>
      <w:r>
        <w:rPr/>
        <w:t>of origin</w:t>
      </w:r>
      <w:r>
        <w:rPr>
          <w:spacing w:val="-12"/>
        </w:rPr>
        <w:t> </w:t>
      </w:r>
      <w:r>
        <w:rPr/>
        <w:t>to</w:t>
      </w:r>
      <w:r>
        <w:rPr>
          <w:spacing w:val="-12"/>
        </w:rPr>
        <w:t> </w:t>
      </w:r>
      <w:r>
        <w:rPr/>
        <w:t>the</w:t>
      </w:r>
      <w:r>
        <w:rPr>
          <w:spacing w:val="-11"/>
        </w:rPr>
        <w:t> </w:t>
      </w:r>
      <w:r>
        <w:rPr/>
        <w:t>U.S.</w:t>
      </w:r>
      <w:r>
        <w:rPr>
          <w:vertAlign w:val="superscript"/>
        </w:rPr>
        <w:t>57</w:t>
      </w:r>
      <w:r>
        <w:rPr>
          <w:spacing w:val="-12"/>
          <w:vertAlign w:val="baseline"/>
        </w:rPr>
        <w:t> </w:t>
      </w:r>
      <w:r>
        <w:rPr>
          <w:vertAlign w:val="baseline"/>
        </w:rPr>
        <w:t>Transferring</w:t>
      </w:r>
      <w:r>
        <w:rPr>
          <w:spacing w:val="-12"/>
          <w:vertAlign w:val="baseline"/>
        </w:rPr>
        <w:t> </w:t>
      </w:r>
      <w:r>
        <w:rPr>
          <w:vertAlign w:val="baseline"/>
        </w:rPr>
        <w:t>degrees,</w:t>
      </w:r>
      <w:r>
        <w:rPr>
          <w:spacing w:val="-12"/>
          <w:vertAlign w:val="baseline"/>
        </w:rPr>
        <w:t> </w:t>
      </w:r>
      <w:r>
        <w:rPr>
          <w:vertAlign w:val="baseline"/>
        </w:rPr>
        <w:t>like</w:t>
      </w:r>
      <w:r>
        <w:rPr>
          <w:spacing w:val="-12"/>
          <w:vertAlign w:val="baseline"/>
        </w:rPr>
        <w:t> </w:t>
      </w:r>
      <w:r>
        <w:rPr>
          <w:vertAlign w:val="baseline"/>
        </w:rPr>
        <w:t>licenses</w:t>
      </w:r>
      <w:r>
        <w:rPr>
          <w:spacing w:val="-11"/>
          <w:vertAlign w:val="baseline"/>
        </w:rPr>
        <w:t> </w:t>
      </w:r>
      <w:r>
        <w:rPr>
          <w:vertAlign w:val="baseline"/>
        </w:rPr>
        <w:t>and</w:t>
      </w:r>
      <w:r>
        <w:rPr>
          <w:spacing w:val="-12"/>
          <w:vertAlign w:val="baseline"/>
        </w:rPr>
        <w:t> </w:t>
      </w:r>
      <w:r>
        <w:rPr>
          <w:vertAlign w:val="baseline"/>
        </w:rPr>
        <w:t>certificates,</w:t>
      </w:r>
      <w:r>
        <w:rPr>
          <w:spacing w:val="-12"/>
          <w:vertAlign w:val="baseline"/>
        </w:rPr>
        <w:t> </w:t>
      </w:r>
      <w:r>
        <w:rPr>
          <w:vertAlign w:val="baseline"/>
        </w:rPr>
        <w:t>is</w:t>
      </w:r>
      <w:r>
        <w:rPr>
          <w:spacing w:val="-12"/>
          <w:vertAlign w:val="baseline"/>
        </w:rPr>
        <w:t> </w:t>
      </w:r>
      <w:r>
        <w:rPr>
          <w:vertAlign w:val="baseline"/>
        </w:rPr>
        <w:t>often</w:t>
      </w:r>
      <w:r>
        <w:rPr>
          <w:spacing w:val="-12"/>
          <w:vertAlign w:val="baseline"/>
        </w:rPr>
        <w:t> </w:t>
      </w:r>
      <w:r>
        <w:rPr>
          <w:vertAlign w:val="baseline"/>
        </w:rPr>
        <w:t>expensive</w:t>
      </w:r>
      <w:r>
        <w:rPr>
          <w:spacing w:val="-12"/>
          <w:vertAlign w:val="baseline"/>
        </w:rPr>
        <w:t> </w:t>
      </w:r>
      <w:r>
        <w:rPr>
          <w:vertAlign w:val="baseline"/>
        </w:rPr>
        <w:t>and</w:t>
      </w:r>
      <w:r>
        <w:rPr>
          <w:spacing w:val="-11"/>
          <w:vertAlign w:val="baseline"/>
        </w:rPr>
        <w:t> </w:t>
      </w:r>
      <w:r>
        <w:rPr>
          <w:vertAlign w:val="baseline"/>
        </w:rPr>
        <w:t>complex,</w:t>
      </w:r>
      <w:r>
        <w:rPr>
          <w:spacing w:val="-12"/>
          <w:vertAlign w:val="baseline"/>
        </w:rPr>
        <w:t> </w:t>
      </w:r>
      <w:r>
        <w:rPr>
          <w:vertAlign w:val="baseline"/>
        </w:rPr>
        <w:t>and is</w:t>
      </w:r>
      <w:r>
        <w:rPr>
          <w:spacing w:val="-8"/>
          <w:vertAlign w:val="baseline"/>
        </w:rPr>
        <w:t> </w:t>
      </w:r>
      <w:r>
        <w:rPr>
          <w:vertAlign w:val="baseline"/>
        </w:rPr>
        <w:t>one</w:t>
      </w:r>
      <w:r>
        <w:rPr>
          <w:spacing w:val="-9"/>
          <w:vertAlign w:val="baseline"/>
        </w:rPr>
        <w:t> </w:t>
      </w:r>
      <w:r>
        <w:rPr>
          <w:vertAlign w:val="baseline"/>
        </w:rPr>
        <w:t>of</w:t>
      </w:r>
      <w:r>
        <w:rPr>
          <w:spacing w:val="-9"/>
          <w:vertAlign w:val="baseline"/>
        </w:rPr>
        <w:t> </w:t>
      </w:r>
      <w:r>
        <w:rPr>
          <w:vertAlign w:val="baseline"/>
        </w:rPr>
        <w:t>the</w:t>
      </w:r>
      <w:r>
        <w:rPr>
          <w:spacing w:val="-8"/>
          <w:vertAlign w:val="baseline"/>
        </w:rPr>
        <w:t> </w:t>
      </w:r>
      <w:r>
        <w:rPr>
          <w:vertAlign w:val="baseline"/>
        </w:rPr>
        <w:t>most</w:t>
      </w:r>
      <w:r>
        <w:rPr>
          <w:spacing w:val="-9"/>
          <w:vertAlign w:val="baseline"/>
        </w:rPr>
        <w:t> </w:t>
      </w:r>
      <w:r>
        <w:rPr>
          <w:vertAlign w:val="baseline"/>
        </w:rPr>
        <w:t>time-consuming</w:t>
      </w:r>
      <w:r>
        <w:rPr>
          <w:spacing w:val="-8"/>
          <w:vertAlign w:val="baseline"/>
        </w:rPr>
        <w:t> </w:t>
      </w:r>
      <w:r>
        <w:rPr>
          <w:vertAlign w:val="baseline"/>
        </w:rPr>
        <w:t>parts</w:t>
      </w:r>
      <w:r>
        <w:rPr>
          <w:spacing w:val="-9"/>
          <w:vertAlign w:val="baseline"/>
        </w:rPr>
        <w:t> </w:t>
      </w:r>
      <w:r>
        <w:rPr>
          <w:vertAlign w:val="baseline"/>
        </w:rPr>
        <w:t>of</w:t>
      </w:r>
      <w:r>
        <w:rPr>
          <w:spacing w:val="-9"/>
          <w:vertAlign w:val="baseline"/>
        </w:rPr>
        <w:t> </w:t>
      </w:r>
      <w:r>
        <w:rPr>
          <w:vertAlign w:val="baseline"/>
        </w:rPr>
        <w:t>an</w:t>
      </w:r>
      <w:r>
        <w:rPr>
          <w:spacing w:val="-9"/>
          <w:vertAlign w:val="baseline"/>
        </w:rPr>
        <w:t> </w:t>
      </w:r>
      <w:r>
        <w:rPr>
          <w:vertAlign w:val="baseline"/>
        </w:rPr>
        <w:t>immigrant’s</w:t>
      </w:r>
      <w:r>
        <w:rPr>
          <w:spacing w:val="-9"/>
          <w:vertAlign w:val="baseline"/>
        </w:rPr>
        <w:t> </w:t>
      </w:r>
      <w:r>
        <w:rPr>
          <w:vertAlign w:val="baseline"/>
        </w:rPr>
        <w:t>career</w:t>
      </w:r>
      <w:r>
        <w:rPr>
          <w:spacing w:val="-8"/>
          <w:vertAlign w:val="baseline"/>
        </w:rPr>
        <w:t> </w:t>
      </w:r>
      <w:r>
        <w:rPr>
          <w:vertAlign w:val="baseline"/>
        </w:rPr>
        <w:t>process,</w:t>
      </w:r>
      <w:r>
        <w:rPr>
          <w:spacing w:val="-9"/>
          <w:vertAlign w:val="baseline"/>
        </w:rPr>
        <w:t> </w:t>
      </w:r>
      <w:r>
        <w:rPr>
          <w:vertAlign w:val="baseline"/>
        </w:rPr>
        <w:t>and</w:t>
      </w:r>
      <w:r>
        <w:rPr>
          <w:spacing w:val="-8"/>
          <w:vertAlign w:val="baseline"/>
        </w:rPr>
        <w:t> </w:t>
      </w:r>
      <w:r>
        <w:rPr>
          <w:vertAlign w:val="baseline"/>
        </w:rPr>
        <w:t>can</w:t>
      </w:r>
      <w:r>
        <w:rPr>
          <w:spacing w:val="-9"/>
          <w:vertAlign w:val="baseline"/>
        </w:rPr>
        <w:t> </w:t>
      </w:r>
      <w:r>
        <w:rPr>
          <w:vertAlign w:val="baseline"/>
        </w:rPr>
        <w:t>take</w:t>
      </w:r>
      <w:r>
        <w:rPr>
          <w:spacing w:val="-9"/>
          <w:vertAlign w:val="baseline"/>
        </w:rPr>
        <w:t> </w:t>
      </w:r>
      <w:r>
        <w:rPr>
          <w:vertAlign w:val="baseline"/>
        </w:rPr>
        <w:t>as</w:t>
      </w:r>
      <w:r>
        <w:rPr>
          <w:spacing w:val="-9"/>
          <w:vertAlign w:val="baseline"/>
        </w:rPr>
        <w:t> </w:t>
      </w:r>
      <w:r>
        <w:rPr>
          <w:vertAlign w:val="baseline"/>
        </w:rPr>
        <w:t>little</w:t>
      </w:r>
      <w:r>
        <w:rPr>
          <w:spacing w:val="-9"/>
          <w:vertAlign w:val="baseline"/>
        </w:rPr>
        <w:t> </w:t>
      </w:r>
      <w:r>
        <w:rPr>
          <w:vertAlign w:val="baseline"/>
        </w:rPr>
        <w:t>as</w:t>
      </w:r>
      <w:r>
        <w:rPr>
          <w:spacing w:val="-9"/>
          <w:vertAlign w:val="baseline"/>
        </w:rPr>
        <w:t> </w:t>
      </w:r>
      <w:r>
        <w:rPr>
          <w:vertAlign w:val="baseline"/>
        </w:rPr>
        <w:t>several weeks or as long as several months to complete - or may not happen at all. For those who lack access to their</w:t>
      </w:r>
      <w:r>
        <w:rPr>
          <w:spacing w:val="-6"/>
          <w:vertAlign w:val="baseline"/>
        </w:rPr>
        <w:t> </w:t>
      </w:r>
      <w:r>
        <w:rPr>
          <w:vertAlign w:val="baseline"/>
        </w:rPr>
        <w:t>transcripts</w:t>
      </w:r>
      <w:r>
        <w:rPr>
          <w:spacing w:val="-7"/>
          <w:vertAlign w:val="baseline"/>
        </w:rPr>
        <w:t> </w:t>
      </w:r>
      <w:r>
        <w:rPr>
          <w:vertAlign w:val="baseline"/>
        </w:rPr>
        <w:t>of</w:t>
      </w:r>
      <w:r>
        <w:rPr>
          <w:spacing w:val="-8"/>
          <w:vertAlign w:val="baseline"/>
        </w:rPr>
        <w:t> </w:t>
      </w:r>
      <w:r>
        <w:rPr>
          <w:vertAlign w:val="baseline"/>
        </w:rPr>
        <w:t>documentation,</w:t>
      </w:r>
      <w:r>
        <w:rPr>
          <w:spacing w:val="-6"/>
          <w:vertAlign w:val="baseline"/>
        </w:rPr>
        <w:t> </w:t>
      </w:r>
      <w:r>
        <w:rPr>
          <w:vertAlign w:val="baseline"/>
        </w:rPr>
        <w:t>it</w:t>
      </w:r>
      <w:r>
        <w:rPr>
          <w:spacing w:val="-7"/>
          <w:vertAlign w:val="baseline"/>
        </w:rPr>
        <w:t> </w:t>
      </w:r>
      <w:r>
        <w:rPr>
          <w:vertAlign w:val="baseline"/>
        </w:rPr>
        <w:t>can</w:t>
      </w:r>
      <w:r>
        <w:rPr>
          <w:spacing w:val="-8"/>
          <w:vertAlign w:val="baseline"/>
        </w:rPr>
        <w:t> </w:t>
      </w:r>
      <w:r>
        <w:rPr>
          <w:vertAlign w:val="baseline"/>
        </w:rPr>
        <w:t>be</w:t>
      </w:r>
      <w:r>
        <w:rPr>
          <w:spacing w:val="-7"/>
          <w:vertAlign w:val="baseline"/>
        </w:rPr>
        <w:t> </w:t>
      </w:r>
      <w:r>
        <w:rPr>
          <w:vertAlign w:val="baseline"/>
        </w:rPr>
        <w:t>almost</w:t>
      </w:r>
      <w:r>
        <w:rPr>
          <w:spacing w:val="-7"/>
          <w:vertAlign w:val="baseline"/>
        </w:rPr>
        <w:t> </w:t>
      </w:r>
      <w:r>
        <w:rPr>
          <w:vertAlign w:val="baseline"/>
        </w:rPr>
        <w:t>impossible</w:t>
      </w:r>
      <w:r>
        <w:rPr>
          <w:spacing w:val="-8"/>
          <w:vertAlign w:val="baseline"/>
        </w:rPr>
        <w:t> </w:t>
      </w:r>
      <w:r>
        <w:rPr>
          <w:vertAlign w:val="baseline"/>
        </w:rPr>
        <w:t>to</w:t>
      </w:r>
      <w:r>
        <w:rPr>
          <w:spacing w:val="-6"/>
          <w:vertAlign w:val="baseline"/>
        </w:rPr>
        <w:t> </w:t>
      </w:r>
      <w:r>
        <w:rPr>
          <w:vertAlign w:val="baseline"/>
        </w:rPr>
        <w:t>transfer</w:t>
      </w:r>
      <w:r>
        <w:rPr>
          <w:spacing w:val="-8"/>
          <w:vertAlign w:val="baseline"/>
        </w:rPr>
        <w:t> </w:t>
      </w:r>
      <w:r>
        <w:rPr>
          <w:vertAlign w:val="baseline"/>
        </w:rPr>
        <w:t>credentials</w:t>
      </w:r>
      <w:r>
        <w:rPr>
          <w:spacing w:val="-6"/>
          <w:vertAlign w:val="baseline"/>
        </w:rPr>
        <w:t> </w:t>
      </w:r>
      <w:r>
        <w:rPr>
          <w:vertAlign w:val="baseline"/>
        </w:rPr>
        <w:t>to</w:t>
      </w:r>
      <w:r>
        <w:rPr>
          <w:spacing w:val="-7"/>
          <w:vertAlign w:val="baseline"/>
        </w:rPr>
        <w:t> </w:t>
      </w:r>
      <w:r>
        <w:rPr>
          <w:vertAlign w:val="baseline"/>
        </w:rPr>
        <w:t>the</w:t>
      </w:r>
      <w:r>
        <w:rPr>
          <w:spacing w:val="-7"/>
          <w:vertAlign w:val="baseline"/>
        </w:rPr>
        <w:t> </w:t>
      </w:r>
      <w:r>
        <w:rPr>
          <w:vertAlign w:val="baseline"/>
        </w:rPr>
        <w:t>U.S.,</w:t>
      </w:r>
      <w:r>
        <w:rPr>
          <w:spacing w:val="-6"/>
          <w:vertAlign w:val="baseline"/>
        </w:rPr>
        <w:t> </w:t>
      </w:r>
      <w:r>
        <w:rPr>
          <w:vertAlign w:val="baseline"/>
        </w:rPr>
        <w:t>with</w:t>
      </w:r>
      <w:r>
        <w:rPr>
          <w:spacing w:val="-8"/>
          <w:vertAlign w:val="baseline"/>
        </w:rPr>
        <w:t> </w:t>
      </w:r>
      <w:r>
        <w:rPr>
          <w:vertAlign w:val="baseline"/>
        </w:rPr>
        <w:t>no federal standards or regulations to assist them.</w:t>
      </w:r>
    </w:p>
    <w:p>
      <w:pPr>
        <w:pStyle w:val="BodyText"/>
        <w:spacing w:line="276" w:lineRule="auto" w:before="240"/>
        <w:ind w:left="463" w:right="262"/>
        <w:jc w:val="both"/>
      </w:pPr>
      <w:bookmarkStart w:name="_bookmark539" w:id="795"/>
      <w:bookmarkEnd w:id="795"/>
      <w:r>
        <w:rPr/>
      </w:r>
      <w:r>
        <w:rPr/>
        <w:t>Additionally,</w:t>
      </w:r>
      <w:r>
        <w:rPr>
          <w:spacing w:val="-7"/>
        </w:rPr>
        <w:t> </w:t>
      </w:r>
      <w:r>
        <w:rPr/>
        <w:t>some</w:t>
      </w:r>
      <w:r>
        <w:rPr>
          <w:spacing w:val="-10"/>
        </w:rPr>
        <w:t> </w:t>
      </w:r>
      <w:r>
        <w:rPr/>
        <w:t>foreign-born</w:t>
      </w:r>
      <w:r>
        <w:rPr>
          <w:spacing w:val="-10"/>
        </w:rPr>
        <w:t> </w:t>
      </w:r>
      <w:r>
        <w:rPr/>
        <w:t>individuals</w:t>
      </w:r>
      <w:r>
        <w:rPr>
          <w:spacing w:val="-9"/>
        </w:rPr>
        <w:t> </w:t>
      </w:r>
      <w:r>
        <w:rPr/>
        <w:t>may</w:t>
      </w:r>
      <w:r>
        <w:rPr>
          <w:spacing w:val="-9"/>
        </w:rPr>
        <w:t> </w:t>
      </w:r>
      <w:r>
        <w:rPr/>
        <w:t>have</w:t>
      </w:r>
      <w:r>
        <w:rPr>
          <w:spacing w:val="-10"/>
        </w:rPr>
        <w:t> </w:t>
      </w:r>
      <w:r>
        <w:rPr/>
        <w:t>to</w:t>
      </w:r>
      <w:r>
        <w:rPr>
          <w:spacing w:val="-8"/>
        </w:rPr>
        <w:t> </w:t>
      </w:r>
      <w:r>
        <w:rPr/>
        <w:t>retake</w:t>
      </w:r>
      <w:r>
        <w:rPr>
          <w:spacing w:val="-10"/>
        </w:rPr>
        <w:t> </w:t>
      </w:r>
      <w:r>
        <w:rPr/>
        <w:t>licensing</w:t>
      </w:r>
      <w:r>
        <w:rPr>
          <w:spacing w:val="-9"/>
        </w:rPr>
        <w:t> </w:t>
      </w:r>
      <w:r>
        <w:rPr/>
        <w:t>exams,</w:t>
      </w:r>
      <w:r>
        <w:rPr>
          <w:spacing w:val="-10"/>
        </w:rPr>
        <w:t> </w:t>
      </w:r>
      <w:r>
        <w:rPr/>
        <w:t>degree</w:t>
      </w:r>
      <w:r>
        <w:rPr>
          <w:spacing w:val="-9"/>
        </w:rPr>
        <w:t> </w:t>
      </w:r>
      <w:r>
        <w:rPr/>
        <w:t>programs,</w:t>
      </w:r>
      <w:r>
        <w:rPr>
          <w:spacing w:val="-10"/>
        </w:rPr>
        <w:t> </w:t>
      </w:r>
      <w:r>
        <w:rPr/>
        <w:t>and/or training. One study found that 25% of immigrants with foreign degrees are underemployed or unemployed,</w:t>
      </w:r>
      <w:r>
        <w:rPr>
          <w:spacing w:val="-8"/>
        </w:rPr>
        <w:t> </w:t>
      </w:r>
      <w:r>
        <w:rPr/>
        <w:t>compared</w:t>
      </w:r>
      <w:r>
        <w:rPr>
          <w:spacing w:val="-9"/>
        </w:rPr>
        <w:t> </w:t>
      </w:r>
      <w:r>
        <w:rPr/>
        <w:t>to</w:t>
      </w:r>
      <w:r>
        <w:rPr>
          <w:spacing w:val="-8"/>
        </w:rPr>
        <w:t> </w:t>
      </w:r>
      <w:r>
        <w:rPr/>
        <w:t>17%</w:t>
      </w:r>
      <w:r>
        <w:rPr>
          <w:spacing w:val="-10"/>
        </w:rPr>
        <w:t> </w:t>
      </w:r>
      <w:r>
        <w:rPr/>
        <w:t>of</w:t>
      </w:r>
      <w:r>
        <w:rPr>
          <w:spacing w:val="-10"/>
        </w:rPr>
        <w:t> </w:t>
      </w:r>
      <w:r>
        <w:rPr/>
        <w:t>those</w:t>
      </w:r>
      <w:r>
        <w:rPr>
          <w:spacing w:val="-9"/>
        </w:rPr>
        <w:t> </w:t>
      </w:r>
      <w:r>
        <w:rPr/>
        <w:t>born</w:t>
      </w:r>
      <w:r>
        <w:rPr>
          <w:spacing w:val="-10"/>
        </w:rPr>
        <w:t> </w:t>
      </w:r>
      <w:r>
        <w:rPr/>
        <w:t>in</w:t>
      </w:r>
      <w:r>
        <w:rPr>
          <w:spacing w:val="-9"/>
        </w:rPr>
        <w:t> </w:t>
      </w:r>
      <w:r>
        <w:rPr/>
        <w:t>the</w:t>
      </w:r>
      <w:r>
        <w:rPr>
          <w:spacing w:val="-8"/>
        </w:rPr>
        <w:t> </w:t>
      </w:r>
      <w:r>
        <w:rPr/>
        <w:t>U.S.</w:t>
      </w:r>
      <w:r>
        <w:rPr>
          <w:spacing w:val="-10"/>
        </w:rPr>
        <w:t> </w:t>
      </w:r>
      <w:r>
        <w:rPr/>
        <w:t>with</w:t>
      </w:r>
      <w:r>
        <w:rPr>
          <w:spacing w:val="-9"/>
        </w:rPr>
        <w:t> </w:t>
      </w:r>
      <w:r>
        <w:rPr/>
        <w:t>degrees.</w:t>
      </w:r>
      <w:r>
        <w:rPr>
          <w:vertAlign w:val="superscript"/>
        </w:rPr>
        <w:t>58</w:t>
      </w:r>
      <w:r>
        <w:rPr>
          <w:spacing w:val="-10"/>
          <w:vertAlign w:val="baseline"/>
        </w:rPr>
        <w:t> </w:t>
      </w:r>
      <w:r>
        <w:rPr>
          <w:vertAlign w:val="baseline"/>
        </w:rPr>
        <w:t>This</w:t>
      </w:r>
      <w:r>
        <w:rPr>
          <w:spacing w:val="-9"/>
          <w:vertAlign w:val="baseline"/>
        </w:rPr>
        <w:t> </w:t>
      </w:r>
      <w:r>
        <w:rPr>
          <w:vertAlign w:val="baseline"/>
        </w:rPr>
        <w:t>problem</w:t>
      </w:r>
      <w:r>
        <w:rPr>
          <w:spacing w:val="-9"/>
          <w:vertAlign w:val="baseline"/>
        </w:rPr>
        <w:t> </w:t>
      </w:r>
      <w:r>
        <w:rPr>
          <w:vertAlign w:val="baseline"/>
        </w:rPr>
        <w:t>is</w:t>
      </w:r>
      <w:r>
        <w:rPr>
          <w:spacing w:val="-9"/>
          <w:vertAlign w:val="baseline"/>
        </w:rPr>
        <w:t> </w:t>
      </w:r>
      <w:r>
        <w:rPr>
          <w:vertAlign w:val="baseline"/>
        </w:rPr>
        <w:t>particularly</w:t>
      </w:r>
      <w:r>
        <w:rPr>
          <w:spacing w:val="-10"/>
          <w:vertAlign w:val="baseline"/>
        </w:rPr>
        <w:t> </w:t>
      </w:r>
      <w:r>
        <w:rPr>
          <w:vertAlign w:val="baseline"/>
        </w:rPr>
        <w:t>acute in</w:t>
      </w:r>
      <w:r>
        <w:rPr>
          <w:spacing w:val="-13"/>
          <w:vertAlign w:val="baseline"/>
        </w:rPr>
        <w:t> </w:t>
      </w:r>
      <w:r>
        <w:rPr>
          <w:vertAlign w:val="baseline"/>
        </w:rPr>
        <w:t>health</w:t>
      </w:r>
      <w:r>
        <w:rPr>
          <w:spacing w:val="-12"/>
          <w:vertAlign w:val="baseline"/>
        </w:rPr>
        <w:t> </w:t>
      </w:r>
      <w:r>
        <w:rPr>
          <w:vertAlign w:val="baseline"/>
        </w:rPr>
        <w:t>care,</w:t>
      </w:r>
      <w:r>
        <w:rPr>
          <w:spacing w:val="-13"/>
          <w:vertAlign w:val="baseline"/>
        </w:rPr>
        <w:t> </w:t>
      </w:r>
      <w:r>
        <w:rPr>
          <w:vertAlign w:val="baseline"/>
        </w:rPr>
        <w:t>where</w:t>
      </w:r>
      <w:r>
        <w:rPr>
          <w:spacing w:val="-12"/>
          <w:vertAlign w:val="baseline"/>
        </w:rPr>
        <w:t> </w:t>
      </w:r>
      <w:r>
        <w:rPr>
          <w:vertAlign w:val="baseline"/>
        </w:rPr>
        <w:t>more</w:t>
      </w:r>
      <w:r>
        <w:rPr>
          <w:spacing w:val="-13"/>
          <w:vertAlign w:val="baseline"/>
        </w:rPr>
        <w:t> </w:t>
      </w:r>
      <w:r>
        <w:rPr>
          <w:vertAlign w:val="baseline"/>
        </w:rPr>
        <w:t>than</w:t>
      </w:r>
      <w:r>
        <w:rPr>
          <w:spacing w:val="-12"/>
          <w:vertAlign w:val="baseline"/>
        </w:rPr>
        <w:t> </w:t>
      </w:r>
      <w:r>
        <w:rPr>
          <w:vertAlign w:val="baseline"/>
        </w:rPr>
        <w:t>20%</w:t>
      </w:r>
      <w:r>
        <w:rPr>
          <w:spacing w:val="-13"/>
          <w:vertAlign w:val="baseline"/>
        </w:rPr>
        <w:t> </w:t>
      </w:r>
      <w:r>
        <w:rPr>
          <w:vertAlign w:val="baseline"/>
        </w:rPr>
        <w:t>of</w:t>
      </w:r>
      <w:r>
        <w:rPr>
          <w:spacing w:val="-12"/>
          <w:vertAlign w:val="baseline"/>
        </w:rPr>
        <w:t> </w:t>
      </w:r>
      <w:r>
        <w:rPr>
          <w:vertAlign w:val="baseline"/>
        </w:rPr>
        <w:t>immigrants</w:t>
      </w:r>
      <w:r>
        <w:rPr>
          <w:spacing w:val="-12"/>
          <w:vertAlign w:val="baseline"/>
        </w:rPr>
        <w:t> </w:t>
      </w:r>
      <w:r>
        <w:rPr>
          <w:vertAlign w:val="baseline"/>
        </w:rPr>
        <w:t>with</w:t>
      </w:r>
      <w:r>
        <w:rPr>
          <w:spacing w:val="-13"/>
          <w:vertAlign w:val="baseline"/>
        </w:rPr>
        <w:t> </w:t>
      </w:r>
      <w:r>
        <w:rPr>
          <w:vertAlign w:val="baseline"/>
        </w:rPr>
        <w:t>foreign</w:t>
      </w:r>
      <w:r>
        <w:rPr>
          <w:spacing w:val="-12"/>
          <w:vertAlign w:val="baseline"/>
        </w:rPr>
        <w:t> </w:t>
      </w:r>
      <w:r>
        <w:rPr>
          <w:vertAlign w:val="baseline"/>
        </w:rPr>
        <w:t>medical</w:t>
      </w:r>
      <w:r>
        <w:rPr>
          <w:spacing w:val="-13"/>
          <w:vertAlign w:val="baseline"/>
        </w:rPr>
        <w:t> </w:t>
      </w:r>
      <w:r>
        <w:rPr>
          <w:vertAlign w:val="baseline"/>
        </w:rPr>
        <w:t>credentials</w:t>
      </w:r>
      <w:r>
        <w:rPr>
          <w:spacing w:val="-12"/>
          <w:vertAlign w:val="baseline"/>
        </w:rPr>
        <w:t> </w:t>
      </w:r>
      <w:r>
        <w:rPr>
          <w:vertAlign w:val="baseline"/>
        </w:rPr>
        <w:t>are</w:t>
      </w:r>
      <w:r>
        <w:rPr>
          <w:spacing w:val="-13"/>
          <w:vertAlign w:val="baseline"/>
        </w:rPr>
        <w:t> </w:t>
      </w:r>
      <w:r>
        <w:rPr>
          <w:vertAlign w:val="baseline"/>
        </w:rPr>
        <w:t>unable</w:t>
      </w:r>
      <w:r>
        <w:rPr>
          <w:spacing w:val="-12"/>
          <w:vertAlign w:val="baseline"/>
        </w:rPr>
        <w:t> </w:t>
      </w:r>
      <w:r>
        <w:rPr>
          <w:vertAlign w:val="baseline"/>
        </w:rPr>
        <w:t>to</w:t>
      </w:r>
      <w:r>
        <w:rPr>
          <w:spacing w:val="-12"/>
          <w:vertAlign w:val="baseline"/>
        </w:rPr>
        <w:t> </w:t>
      </w:r>
      <w:r>
        <w:rPr>
          <w:vertAlign w:val="baseline"/>
        </w:rPr>
        <w:t>practice in</w:t>
      </w:r>
      <w:r>
        <w:rPr>
          <w:spacing w:val="-12"/>
          <w:vertAlign w:val="baseline"/>
        </w:rPr>
        <w:t> </w:t>
      </w:r>
      <w:r>
        <w:rPr>
          <w:vertAlign w:val="baseline"/>
        </w:rPr>
        <w:t>Massachusetts</w:t>
      </w:r>
      <w:r>
        <w:rPr>
          <w:spacing w:val="-12"/>
          <w:vertAlign w:val="baseline"/>
        </w:rPr>
        <w:t> </w:t>
      </w:r>
      <w:r>
        <w:rPr>
          <w:vertAlign w:val="baseline"/>
        </w:rPr>
        <w:t>due</w:t>
      </w:r>
      <w:r>
        <w:rPr>
          <w:spacing w:val="-11"/>
          <w:vertAlign w:val="baseline"/>
        </w:rPr>
        <w:t> </w:t>
      </w:r>
      <w:r>
        <w:rPr>
          <w:vertAlign w:val="baseline"/>
        </w:rPr>
        <w:t>to</w:t>
      </w:r>
      <w:r>
        <w:rPr>
          <w:spacing w:val="-12"/>
          <w:vertAlign w:val="baseline"/>
        </w:rPr>
        <w:t> </w:t>
      </w:r>
      <w:r>
        <w:rPr>
          <w:vertAlign w:val="baseline"/>
        </w:rPr>
        <w:t>“costly</w:t>
      </w:r>
      <w:r>
        <w:rPr>
          <w:spacing w:val="-12"/>
          <w:vertAlign w:val="baseline"/>
        </w:rPr>
        <w:t> </w:t>
      </w:r>
      <w:r>
        <w:rPr>
          <w:vertAlign w:val="baseline"/>
        </w:rPr>
        <w:t>licensing</w:t>
      </w:r>
      <w:r>
        <w:rPr>
          <w:spacing w:val="-13"/>
          <w:vertAlign w:val="baseline"/>
        </w:rPr>
        <w:t> </w:t>
      </w:r>
      <w:r>
        <w:rPr>
          <w:vertAlign w:val="baseline"/>
        </w:rPr>
        <w:t>requirements,</w:t>
      </w:r>
      <w:r>
        <w:rPr>
          <w:spacing w:val="-11"/>
          <w:vertAlign w:val="baseline"/>
        </w:rPr>
        <w:t> </w:t>
      </w:r>
      <w:r>
        <w:rPr>
          <w:vertAlign w:val="baseline"/>
        </w:rPr>
        <w:t>language</w:t>
      </w:r>
      <w:r>
        <w:rPr>
          <w:spacing w:val="-11"/>
          <w:vertAlign w:val="baseline"/>
        </w:rPr>
        <w:t> </w:t>
      </w:r>
      <w:r>
        <w:rPr>
          <w:vertAlign w:val="baseline"/>
        </w:rPr>
        <w:t>barriers,</w:t>
      </w:r>
      <w:r>
        <w:rPr>
          <w:spacing w:val="-12"/>
          <w:vertAlign w:val="baseline"/>
        </w:rPr>
        <w:t> </w:t>
      </w:r>
      <w:r>
        <w:rPr>
          <w:vertAlign w:val="baseline"/>
        </w:rPr>
        <w:t>lack</w:t>
      </w:r>
      <w:r>
        <w:rPr>
          <w:spacing w:val="-13"/>
          <w:vertAlign w:val="baseline"/>
        </w:rPr>
        <w:t> </w:t>
      </w:r>
      <w:r>
        <w:rPr>
          <w:vertAlign w:val="baseline"/>
        </w:rPr>
        <w:t>of</w:t>
      </w:r>
      <w:r>
        <w:rPr>
          <w:spacing w:val="-11"/>
          <w:vertAlign w:val="baseline"/>
        </w:rPr>
        <w:t> </w:t>
      </w:r>
      <w:r>
        <w:rPr>
          <w:vertAlign w:val="baseline"/>
        </w:rPr>
        <w:t>targeted</w:t>
      </w:r>
      <w:r>
        <w:rPr>
          <w:spacing w:val="-11"/>
          <w:vertAlign w:val="baseline"/>
        </w:rPr>
        <w:t> </w:t>
      </w:r>
      <w:r>
        <w:rPr>
          <w:vertAlign w:val="baseline"/>
        </w:rPr>
        <w:t>career</w:t>
      </w:r>
      <w:r>
        <w:rPr>
          <w:spacing w:val="-12"/>
          <w:vertAlign w:val="baseline"/>
        </w:rPr>
        <w:t> </w:t>
      </w:r>
      <w:r>
        <w:rPr>
          <w:vertAlign w:val="baseline"/>
        </w:rPr>
        <w:t>services and other factors.” </w:t>
      </w:r>
      <w:r>
        <w:rPr>
          <w:vertAlign w:val="superscript"/>
        </w:rPr>
        <w:t>59</w:t>
      </w:r>
      <w:r>
        <w:rPr>
          <w:vertAlign w:val="baseline"/>
        </w:rPr>
        <w:t> Helping these practitioners gain accreditation in Massachusetts through comprehensive</w:t>
      </w:r>
      <w:r>
        <w:rPr>
          <w:spacing w:val="-11"/>
          <w:vertAlign w:val="baseline"/>
        </w:rPr>
        <w:t> </w:t>
      </w:r>
      <w:r>
        <w:rPr>
          <w:vertAlign w:val="baseline"/>
        </w:rPr>
        <w:t>training</w:t>
      </w:r>
      <w:r>
        <w:rPr>
          <w:spacing w:val="-11"/>
          <w:vertAlign w:val="baseline"/>
        </w:rPr>
        <w:t> </w:t>
      </w:r>
      <w:r>
        <w:rPr>
          <w:vertAlign w:val="baseline"/>
        </w:rPr>
        <w:t>and</w:t>
      </w:r>
      <w:r>
        <w:rPr>
          <w:spacing w:val="-11"/>
          <w:vertAlign w:val="baseline"/>
        </w:rPr>
        <w:t> </w:t>
      </w:r>
      <w:r>
        <w:rPr>
          <w:vertAlign w:val="baseline"/>
        </w:rPr>
        <w:t>language</w:t>
      </w:r>
      <w:r>
        <w:rPr>
          <w:spacing w:val="-10"/>
          <w:vertAlign w:val="baseline"/>
        </w:rPr>
        <w:t> </w:t>
      </w:r>
      <w:r>
        <w:rPr>
          <w:vertAlign w:val="baseline"/>
        </w:rPr>
        <w:t>programs,</w:t>
      </w:r>
      <w:r>
        <w:rPr>
          <w:spacing w:val="-11"/>
          <w:vertAlign w:val="baseline"/>
        </w:rPr>
        <w:t> </w:t>
      </w:r>
      <w:r>
        <w:rPr>
          <w:vertAlign w:val="baseline"/>
        </w:rPr>
        <w:t>or</w:t>
      </w:r>
      <w:r>
        <w:rPr>
          <w:spacing w:val="-11"/>
          <w:vertAlign w:val="baseline"/>
        </w:rPr>
        <w:t> </w:t>
      </w:r>
      <w:r>
        <w:rPr>
          <w:vertAlign w:val="baseline"/>
        </w:rPr>
        <w:t>by</w:t>
      </w:r>
      <w:r>
        <w:rPr>
          <w:spacing w:val="-11"/>
          <w:vertAlign w:val="baseline"/>
        </w:rPr>
        <w:t> </w:t>
      </w:r>
      <w:r>
        <w:rPr>
          <w:vertAlign w:val="baseline"/>
        </w:rPr>
        <w:t>modifying</w:t>
      </w:r>
      <w:r>
        <w:rPr>
          <w:spacing w:val="-11"/>
          <w:vertAlign w:val="baseline"/>
        </w:rPr>
        <w:t> </w:t>
      </w:r>
      <w:r>
        <w:rPr>
          <w:vertAlign w:val="baseline"/>
        </w:rPr>
        <w:t>license</w:t>
      </w:r>
      <w:r>
        <w:rPr>
          <w:spacing w:val="-11"/>
          <w:vertAlign w:val="baseline"/>
        </w:rPr>
        <w:t> </w:t>
      </w:r>
      <w:r>
        <w:rPr>
          <w:vertAlign w:val="baseline"/>
        </w:rPr>
        <w:t>requirements,</w:t>
      </w:r>
      <w:r>
        <w:rPr>
          <w:spacing w:val="-11"/>
          <w:vertAlign w:val="baseline"/>
        </w:rPr>
        <w:t> </w:t>
      </w:r>
      <w:r>
        <w:rPr>
          <w:vertAlign w:val="baseline"/>
        </w:rPr>
        <w:t>would</w:t>
      </w:r>
      <w:r>
        <w:rPr>
          <w:spacing w:val="-10"/>
          <w:vertAlign w:val="baseline"/>
        </w:rPr>
        <w:t> </w:t>
      </w:r>
      <w:r>
        <w:rPr>
          <w:vertAlign w:val="baseline"/>
        </w:rPr>
        <w:t>ensure</w:t>
      </w:r>
      <w:r>
        <w:rPr>
          <w:spacing w:val="-10"/>
          <w:vertAlign w:val="baseline"/>
        </w:rPr>
        <w:t> </w:t>
      </w:r>
      <w:r>
        <w:rPr>
          <w:vertAlign w:val="baseline"/>
        </w:rPr>
        <w:t>that the Commonwealth avoids underutilizing an important, readily available talent resource.</w:t>
      </w:r>
    </w:p>
    <w:p>
      <w:pPr>
        <w:spacing w:after="0" w:line="276" w:lineRule="auto"/>
        <w:jc w:val="both"/>
        <w:sectPr>
          <w:pgSz w:w="12240" w:h="15840"/>
          <w:pgMar w:header="805" w:footer="1208" w:top="1080" w:bottom="1460" w:left="980" w:right="1180"/>
        </w:sectPr>
      </w:pPr>
    </w:p>
    <w:p>
      <w:pPr>
        <w:spacing w:before="68"/>
        <w:ind w:left="463" w:right="0" w:firstLine="0"/>
        <w:jc w:val="both"/>
        <w:rPr>
          <w:sz w:val="28"/>
        </w:rPr>
      </w:pPr>
      <w:bookmarkStart w:name="Education Access &amp; DACA" w:id="796"/>
      <w:bookmarkEnd w:id="796"/>
      <w:r>
        <w:rPr/>
      </w:r>
      <w:bookmarkStart w:name="_bookmark540" w:id="797"/>
      <w:bookmarkEnd w:id="797"/>
      <w:r>
        <w:rPr/>
      </w:r>
      <w:r>
        <w:rPr>
          <w:color w:val="365F91"/>
          <w:sz w:val="28"/>
        </w:rPr>
        <w:t>Education</w:t>
      </w:r>
      <w:r>
        <w:rPr>
          <w:color w:val="365F91"/>
          <w:spacing w:val="-8"/>
          <w:sz w:val="28"/>
        </w:rPr>
        <w:t> </w:t>
      </w:r>
      <w:r>
        <w:rPr>
          <w:color w:val="365F91"/>
          <w:sz w:val="28"/>
        </w:rPr>
        <w:t>Access</w:t>
      </w:r>
      <w:r>
        <w:rPr>
          <w:color w:val="365F91"/>
          <w:spacing w:val="-8"/>
          <w:sz w:val="28"/>
        </w:rPr>
        <w:t> </w:t>
      </w:r>
      <w:r>
        <w:rPr>
          <w:color w:val="365F91"/>
          <w:sz w:val="28"/>
        </w:rPr>
        <w:t>&amp;</w:t>
      </w:r>
      <w:r>
        <w:rPr>
          <w:color w:val="365F91"/>
          <w:spacing w:val="-8"/>
          <w:sz w:val="28"/>
        </w:rPr>
        <w:t> </w:t>
      </w:r>
      <w:r>
        <w:rPr>
          <w:color w:val="365F91"/>
          <w:spacing w:val="-4"/>
          <w:sz w:val="28"/>
        </w:rPr>
        <w:t>DACA</w:t>
      </w:r>
    </w:p>
    <w:p>
      <w:pPr>
        <w:pStyle w:val="BodyText"/>
        <w:spacing w:line="276" w:lineRule="auto" w:before="241"/>
        <w:ind w:left="463" w:right="262"/>
        <w:jc w:val="both"/>
      </w:pPr>
      <w:r>
        <w:rPr/>
        <w:drawing>
          <wp:anchor distT="0" distB="0" distL="0" distR="0" allowOverlap="1" layoutInCell="1" locked="0" behindDoc="1" simplePos="0" relativeHeight="482634240">
            <wp:simplePos x="0" y="0"/>
            <wp:positionH relativeFrom="page">
              <wp:posOffset>2768600</wp:posOffset>
            </wp:positionH>
            <wp:positionV relativeFrom="paragraph">
              <wp:posOffset>830447</wp:posOffset>
            </wp:positionV>
            <wp:extent cx="4178299" cy="4004584"/>
            <wp:effectExtent l="0" t="0" r="0" b="0"/>
            <wp:wrapNone/>
            <wp:docPr id="439" name="Image 439" descr="A diagram of a group of circles with text  Description automatically generated "/>
            <wp:cNvGraphicFramePr>
              <a:graphicFrameLocks/>
            </wp:cNvGraphicFramePr>
            <a:graphic>
              <a:graphicData uri="http://schemas.openxmlformats.org/drawingml/2006/picture">
                <pic:pic>
                  <pic:nvPicPr>
                    <pic:cNvPr id="439" name="Image 439" descr="A diagram of a group of circles with text  Description automatically generated "/>
                    <pic:cNvPicPr/>
                  </pic:nvPicPr>
                  <pic:blipFill>
                    <a:blip r:embed="rId572" cstate="print"/>
                    <a:stretch>
                      <a:fillRect/>
                    </a:stretch>
                  </pic:blipFill>
                  <pic:spPr>
                    <a:xfrm>
                      <a:off x="0" y="0"/>
                      <a:ext cx="4178299" cy="4004584"/>
                    </a:xfrm>
                    <a:prstGeom prst="rect">
                      <a:avLst/>
                    </a:prstGeom>
                  </pic:spPr>
                </pic:pic>
              </a:graphicData>
            </a:graphic>
          </wp:anchor>
        </w:drawing>
      </w:r>
      <w:r>
        <w:rPr/>
        <w:t>The Deferred Action for Childhood Arrivals (DACA) program provides temporary protection from </w:t>
      </w:r>
      <w:bookmarkStart w:name="_bookmark541" w:id="798"/>
      <w:bookmarkEnd w:id="798"/>
      <w:r>
        <w:rPr/>
        <w:t>dep</w:t>
      </w:r>
      <w:r>
        <w:rPr/>
        <w:t>ortation for Dreamers, the term used to refer to people who would have been protected by the yet- to-pass federal “Dream Act” which would protect undocumented youth who migrated to the U.S. as children but may be vulnerable</w:t>
      </w:r>
    </w:p>
    <w:p>
      <w:pPr>
        <w:pStyle w:val="BodyText"/>
        <w:spacing w:line="276" w:lineRule="auto"/>
        <w:ind w:left="463" w:right="6842"/>
        <w:jc w:val="both"/>
      </w:pPr>
      <w:r>
        <w:rPr/>
        <w:t>to deportation. </w:t>
      </w:r>
      <w:r>
        <w:rPr>
          <w:vertAlign w:val="superscript"/>
        </w:rPr>
        <w:t>60</w:t>
      </w:r>
      <w:r>
        <w:rPr>
          <w:vertAlign w:val="baseline"/>
        </w:rPr>
        <w:t> Since the program was established in 2012, DACA recipients have been able to pursue higher education, participate fully in the labor force, purchase homes and cars, and support their families. For DACA recipients who identify as </w:t>
      </w:r>
      <w:r>
        <w:rPr>
          <w:spacing w:val="-2"/>
          <w:vertAlign w:val="baseline"/>
        </w:rPr>
        <w:t>LGBTQ,</w:t>
      </w:r>
      <w:r>
        <w:rPr>
          <w:spacing w:val="-8"/>
          <w:vertAlign w:val="baseline"/>
        </w:rPr>
        <w:t> </w:t>
      </w:r>
      <w:r>
        <w:rPr>
          <w:spacing w:val="-2"/>
          <w:vertAlign w:val="baseline"/>
        </w:rPr>
        <w:t>the</w:t>
      </w:r>
      <w:r>
        <w:rPr>
          <w:spacing w:val="-9"/>
          <w:vertAlign w:val="baseline"/>
        </w:rPr>
        <w:t> </w:t>
      </w:r>
      <w:r>
        <w:rPr>
          <w:spacing w:val="-2"/>
          <w:vertAlign w:val="baseline"/>
        </w:rPr>
        <w:t>program</w:t>
      </w:r>
      <w:r>
        <w:rPr>
          <w:spacing w:val="-10"/>
          <w:vertAlign w:val="baseline"/>
        </w:rPr>
        <w:t> </w:t>
      </w:r>
      <w:r>
        <w:rPr>
          <w:spacing w:val="-2"/>
          <w:vertAlign w:val="baseline"/>
        </w:rPr>
        <w:t>has</w:t>
      </w:r>
      <w:r>
        <w:rPr>
          <w:spacing w:val="-9"/>
          <w:vertAlign w:val="baseline"/>
        </w:rPr>
        <w:t> </w:t>
      </w:r>
      <w:r>
        <w:rPr>
          <w:spacing w:val="-2"/>
          <w:vertAlign w:val="baseline"/>
        </w:rPr>
        <w:t>meant even</w:t>
      </w:r>
      <w:r>
        <w:rPr>
          <w:spacing w:val="-9"/>
          <w:vertAlign w:val="baseline"/>
        </w:rPr>
        <w:t> </w:t>
      </w:r>
      <w:r>
        <w:rPr>
          <w:spacing w:val="-2"/>
          <w:vertAlign w:val="baseline"/>
        </w:rPr>
        <w:t>more:</w:t>
      </w:r>
      <w:r>
        <w:rPr>
          <w:spacing w:val="-9"/>
          <w:vertAlign w:val="baseline"/>
        </w:rPr>
        <w:t> </w:t>
      </w:r>
      <w:r>
        <w:rPr>
          <w:spacing w:val="-2"/>
          <w:vertAlign w:val="baseline"/>
        </w:rPr>
        <w:t>it</w:t>
      </w:r>
      <w:r>
        <w:rPr>
          <w:spacing w:val="-8"/>
          <w:vertAlign w:val="baseline"/>
        </w:rPr>
        <w:t> </w:t>
      </w:r>
      <w:r>
        <w:rPr>
          <w:spacing w:val="-2"/>
          <w:vertAlign w:val="baseline"/>
        </w:rPr>
        <w:t>has</w:t>
      </w:r>
      <w:r>
        <w:rPr>
          <w:spacing w:val="-11"/>
          <w:vertAlign w:val="baseline"/>
        </w:rPr>
        <w:t> </w:t>
      </w:r>
      <w:r>
        <w:rPr>
          <w:spacing w:val="-2"/>
          <w:vertAlign w:val="baseline"/>
        </w:rPr>
        <w:t>allowed</w:t>
      </w:r>
      <w:r>
        <w:rPr>
          <w:spacing w:val="-9"/>
          <w:vertAlign w:val="baseline"/>
        </w:rPr>
        <w:t> </w:t>
      </w:r>
      <w:r>
        <w:rPr>
          <w:spacing w:val="-2"/>
          <w:vertAlign w:val="baseline"/>
        </w:rPr>
        <w:t>them </w:t>
      </w:r>
      <w:r>
        <w:rPr>
          <w:vertAlign w:val="baseline"/>
        </w:rPr>
        <w:t>to openly be themselves, free from the daily fear </w:t>
      </w:r>
      <w:r>
        <w:rPr>
          <w:vertAlign w:val="baseline"/>
        </w:rPr>
        <w:t>of </w:t>
      </w:r>
      <w:r>
        <w:rPr>
          <w:spacing w:val="-2"/>
          <w:vertAlign w:val="baseline"/>
        </w:rPr>
        <w:t>deportation.</w:t>
      </w:r>
    </w:p>
    <w:p>
      <w:pPr>
        <w:pStyle w:val="BodyText"/>
        <w:spacing w:line="276" w:lineRule="auto" w:before="240"/>
        <w:ind w:left="463" w:right="6841"/>
        <w:jc w:val="both"/>
      </w:pPr>
      <w:r>
        <w:rPr/>
        <w:t>The Williams Institute estimated in 2020 that around 36,000 LGBTQ people may be enrolled in the DACA program;</w:t>
      </w:r>
      <w:r>
        <w:rPr>
          <w:vertAlign w:val="superscript"/>
        </w:rPr>
        <w:t>61</w:t>
      </w:r>
      <w:r>
        <w:rPr>
          <w:vertAlign w:val="baseline"/>
        </w:rPr>
        <w:t> and a previous 2017</w:t>
      </w:r>
      <w:r>
        <w:rPr>
          <w:spacing w:val="61"/>
          <w:w w:val="150"/>
          <w:vertAlign w:val="baseline"/>
        </w:rPr>
        <w:t>  </w:t>
      </w:r>
      <w:r>
        <w:rPr>
          <w:vertAlign w:val="baseline"/>
        </w:rPr>
        <w:t>survey</w:t>
      </w:r>
      <w:r>
        <w:rPr>
          <w:spacing w:val="62"/>
          <w:w w:val="150"/>
          <w:vertAlign w:val="baseline"/>
        </w:rPr>
        <w:t>  </w:t>
      </w:r>
      <w:r>
        <w:rPr>
          <w:vertAlign w:val="baseline"/>
        </w:rPr>
        <w:t>found</w:t>
      </w:r>
      <w:r>
        <w:rPr>
          <w:spacing w:val="62"/>
          <w:w w:val="150"/>
          <w:vertAlign w:val="baseline"/>
        </w:rPr>
        <w:t>  </w:t>
      </w:r>
      <w:r>
        <w:rPr>
          <w:spacing w:val="-4"/>
          <w:vertAlign w:val="baseline"/>
        </w:rPr>
        <w:t>that</w:t>
      </w:r>
    </w:p>
    <w:p>
      <w:pPr>
        <w:pStyle w:val="BodyText"/>
        <w:spacing w:line="276" w:lineRule="auto"/>
        <w:ind w:left="463" w:right="263"/>
        <w:jc w:val="both"/>
      </w:pPr>
      <w:r>
        <w:rPr/>
        <w:t>approximately 10% of DACA recipients identified as LGBTQ. </w:t>
      </w:r>
      <w:r>
        <w:rPr>
          <w:vertAlign w:val="superscript"/>
        </w:rPr>
        <w:t>62</w:t>
      </w:r>
      <w:r>
        <w:rPr>
          <w:vertAlign w:val="baseline"/>
        </w:rPr>
        <w:t> DACA has helped LGBTQ young people improve</w:t>
      </w:r>
      <w:r>
        <w:rPr>
          <w:spacing w:val="-13"/>
          <w:vertAlign w:val="baseline"/>
        </w:rPr>
        <w:t> </w:t>
      </w:r>
      <w:r>
        <w:rPr>
          <w:vertAlign w:val="baseline"/>
        </w:rPr>
        <w:t>their</w:t>
      </w:r>
      <w:r>
        <w:rPr>
          <w:spacing w:val="-12"/>
          <w:vertAlign w:val="baseline"/>
        </w:rPr>
        <w:t> </w:t>
      </w:r>
      <w:r>
        <w:rPr>
          <w:vertAlign w:val="baseline"/>
        </w:rPr>
        <w:t>economic</w:t>
      </w:r>
      <w:r>
        <w:rPr>
          <w:spacing w:val="-12"/>
          <w:vertAlign w:val="baseline"/>
        </w:rPr>
        <w:t> </w:t>
      </w:r>
      <w:r>
        <w:rPr>
          <w:vertAlign w:val="baseline"/>
        </w:rPr>
        <w:t>security</w:t>
      </w:r>
      <w:r>
        <w:rPr>
          <w:spacing w:val="-11"/>
          <w:vertAlign w:val="baseline"/>
        </w:rPr>
        <w:t> </w:t>
      </w:r>
      <w:r>
        <w:rPr>
          <w:vertAlign w:val="baseline"/>
        </w:rPr>
        <w:t>and</w:t>
      </w:r>
      <w:r>
        <w:rPr>
          <w:spacing w:val="-11"/>
          <w:vertAlign w:val="baseline"/>
        </w:rPr>
        <w:t> </w:t>
      </w:r>
      <w:r>
        <w:rPr>
          <w:vertAlign w:val="baseline"/>
        </w:rPr>
        <w:t>meet</w:t>
      </w:r>
      <w:r>
        <w:rPr>
          <w:spacing w:val="-12"/>
          <w:vertAlign w:val="baseline"/>
        </w:rPr>
        <w:t> </w:t>
      </w:r>
      <w:r>
        <w:rPr>
          <w:vertAlign w:val="baseline"/>
        </w:rPr>
        <w:t>their</w:t>
      </w:r>
      <w:r>
        <w:rPr>
          <w:spacing w:val="-11"/>
          <w:vertAlign w:val="baseline"/>
        </w:rPr>
        <w:t> </w:t>
      </w:r>
      <w:r>
        <w:rPr>
          <w:vertAlign w:val="baseline"/>
        </w:rPr>
        <w:t>education</w:t>
      </w:r>
      <w:r>
        <w:rPr>
          <w:spacing w:val="-13"/>
          <w:vertAlign w:val="baseline"/>
        </w:rPr>
        <w:t> </w:t>
      </w:r>
      <w:r>
        <w:rPr>
          <w:vertAlign w:val="baseline"/>
        </w:rPr>
        <w:t>goals.</w:t>
      </w:r>
      <w:r>
        <w:rPr>
          <w:spacing w:val="-12"/>
          <w:vertAlign w:val="baseline"/>
        </w:rPr>
        <w:t> </w:t>
      </w:r>
      <w:r>
        <w:rPr>
          <w:vertAlign w:val="baseline"/>
        </w:rPr>
        <w:t>According</w:t>
      </w:r>
      <w:r>
        <w:rPr>
          <w:spacing w:val="-12"/>
          <w:vertAlign w:val="baseline"/>
        </w:rPr>
        <w:t> </w:t>
      </w:r>
      <w:r>
        <w:rPr>
          <w:vertAlign w:val="baseline"/>
        </w:rPr>
        <w:t>to</w:t>
      </w:r>
      <w:r>
        <w:rPr>
          <w:spacing w:val="-11"/>
          <w:vertAlign w:val="baseline"/>
        </w:rPr>
        <w:t> </w:t>
      </w:r>
      <w:r>
        <w:rPr>
          <w:vertAlign w:val="baseline"/>
        </w:rPr>
        <w:t>the</w:t>
      </w:r>
      <w:r>
        <w:rPr>
          <w:spacing w:val="-13"/>
          <w:vertAlign w:val="baseline"/>
        </w:rPr>
        <w:t> </w:t>
      </w:r>
      <w:r>
        <w:rPr>
          <w:vertAlign w:val="baseline"/>
        </w:rPr>
        <w:t>survey,</w:t>
      </w:r>
      <w:r>
        <w:rPr>
          <w:spacing w:val="-12"/>
          <w:vertAlign w:val="baseline"/>
        </w:rPr>
        <w:t> </w:t>
      </w:r>
      <w:r>
        <w:rPr>
          <w:vertAlign w:val="baseline"/>
        </w:rPr>
        <w:t>76.4%</w:t>
      </w:r>
      <w:r>
        <w:rPr>
          <w:spacing w:val="-12"/>
          <w:vertAlign w:val="baseline"/>
        </w:rPr>
        <w:t> </w:t>
      </w:r>
      <w:r>
        <w:rPr>
          <w:vertAlign w:val="baseline"/>
        </w:rPr>
        <w:t>of</w:t>
      </w:r>
      <w:r>
        <w:rPr>
          <w:spacing w:val="-13"/>
          <w:vertAlign w:val="baseline"/>
        </w:rPr>
        <w:t> </w:t>
      </w:r>
      <w:r>
        <w:rPr>
          <w:vertAlign w:val="baseline"/>
        </w:rPr>
        <w:t>LGBTQ respondents</w:t>
      </w:r>
      <w:r>
        <w:rPr>
          <w:spacing w:val="-1"/>
          <w:vertAlign w:val="baseline"/>
        </w:rPr>
        <w:t> </w:t>
      </w:r>
      <w:r>
        <w:rPr>
          <w:vertAlign w:val="baseline"/>
        </w:rPr>
        <w:t>reported</w:t>
      </w:r>
      <w:r>
        <w:rPr>
          <w:spacing w:val="-3"/>
          <w:vertAlign w:val="baseline"/>
        </w:rPr>
        <w:t> </w:t>
      </w:r>
      <w:r>
        <w:rPr>
          <w:vertAlign w:val="baseline"/>
        </w:rPr>
        <w:t>that,</w:t>
      </w:r>
      <w:r>
        <w:rPr>
          <w:spacing w:val="-4"/>
          <w:vertAlign w:val="baseline"/>
        </w:rPr>
        <w:t> </w:t>
      </w:r>
      <w:r>
        <w:rPr>
          <w:vertAlign w:val="baseline"/>
        </w:rPr>
        <w:t>with</w:t>
      </w:r>
      <w:r>
        <w:rPr>
          <w:spacing w:val="-3"/>
          <w:vertAlign w:val="baseline"/>
        </w:rPr>
        <w:t> </w:t>
      </w:r>
      <w:r>
        <w:rPr>
          <w:vertAlign w:val="baseline"/>
        </w:rPr>
        <w:t>DACA,</w:t>
      </w:r>
      <w:r>
        <w:rPr>
          <w:spacing w:val="-4"/>
          <w:vertAlign w:val="baseline"/>
        </w:rPr>
        <w:t> </w:t>
      </w:r>
      <w:r>
        <w:rPr>
          <w:vertAlign w:val="baseline"/>
        </w:rPr>
        <w:t>they</w:t>
      </w:r>
      <w:r>
        <w:rPr>
          <w:spacing w:val="-3"/>
          <w:vertAlign w:val="baseline"/>
        </w:rPr>
        <w:t> </w:t>
      </w:r>
      <w:r>
        <w:rPr>
          <w:vertAlign w:val="baseline"/>
        </w:rPr>
        <w:t>have</w:t>
      </w:r>
      <w:r>
        <w:rPr>
          <w:spacing w:val="-4"/>
          <w:vertAlign w:val="baseline"/>
        </w:rPr>
        <w:t> </w:t>
      </w:r>
      <w:r>
        <w:rPr>
          <w:vertAlign w:val="baseline"/>
        </w:rPr>
        <w:t>been</w:t>
      </w:r>
      <w:r>
        <w:rPr>
          <w:spacing w:val="-4"/>
          <w:vertAlign w:val="baseline"/>
        </w:rPr>
        <w:t> </w:t>
      </w:r>
      <w:r>
        <w:rPr>
          <w:vertAlign w:val="baseline"/>
        </w:rPr>
        <w:t>able</w:t>
      </w:r>
      <w:r>
        <w:rPr>
          <w:spacing w:val="-3"/>
          <w:vertAlign w:val="baseline"/>
        </w:rPr>
        <w:t> </w:t>
      </w:r>
      <w:r>
        <w:rPr>
          <w:vertAlign w:val="baseline"/>
        </w:rPr>
        <w:t>to</w:t>
      </w:r>
      <w:r>
        <w:rPr>
          <w:spacing w:val="-2"/>
          <w:vertAlign w:val="baseline"/>
        </w:rPr>
        <w:t> </w:t>
      </w:r>
      <w:r>
        <w:rPr>
          <w:vertAlign w:val="baseline"/>
        </w:rPr>
        <w:t>earn</w:t>
      </w:r>
      <w:r>
        <w:rPr>
          <w:spacing w:val="-4"/>
          <w:vertAlign w:val="baseline"/>
        </w:rPr>
        <w:t> </w:t>
      </w:r>
      <w:r>
        <w:rPr>
          <w:vertAlign w:val="baseline"/>
        </w:rPr>
        <w:t>more</w:t>
      </w:r>
      <w:r>
        <w:rPr>
          <w:spacing w:val="-3"/>
          <w:vertAlign w:val="baseline"/>
        </w:rPr>
        <w:t> </w:t>
      </w:r>
      <w:r>
        <w:rPr>
          <w:vertAlign w:val="baseline"/>
        </w:rPr>
        <w:t>money</w:t>
      </w:r>
      <w:r>
        <w:rPr>
          <w:spacing w:val="-4"/>
          <w:vertAlign w:val="baseline"/>
        </w:rPr>
        <w:t> </w:t>
      </w:r>
      <w:r>
        <w:rPr>
          <w:vertAlign w:val="baseline"/>
        </w:rPr>
        <w:t>and</w:t>
      </w:r>
      <w:r>
        <w:rPr>
          <w:spacing w:val="-3"/>
          <w:vertAlign w:val="baseline"/>
        </w:rPr>
        <w:t> </w:t>
      </w:r>
      <w:r>
        <w:rPr>
          <w:vertAlign w:val="baseline"/>
        </w:rPr>
        <w:t>become</w:t>
      </w:r>
      <w:r>
        <w:rPr>
          <w:spacing w:val="-4"/>
          <w:vertAlign w:val="baseline"/>
        </w:rPr>
        <w:t> </w:t>
      </w:r>
      <w:r>
        <w:rPr>
          <w:vertAlign w:val="baseline"/>
        </w:rPr>
        <w:t>financially independent.</w:t>
      </w:r>
      <w:r>
        <w:rPr>
          <w:vertAlign w:val="superscript"/>
        </w:rPr>
        <w:t>63</w:t>
      </w:r>
      <w:r>
        <w:rPr>
          <w:spacing w:val="-9"/>
          <w:vertAlign w:val="baseline"/>
        </w:rPr>
        <w:t> </w:t>
      </w:r>
      <w:r>
        <w:rPr>
          <w:vertAlign w:val="baseline"/>
        </w:rPr>
        <w:t>In</w:t>
      </w:r>
      <w:r>
        <w:rPr>
          <w:spacing w:val="-9"/>
          <w:vertAlign w:val="baseline"/>
        </w:rPr>
        <w:t> </w:t>
      </w:r>
      <w:r>
        <w:rPr>
          <w:vertAlign w:val="baseline"/>
        </w:rPr>
        <w:t>addition,</w:t>
      </w:r>
      <w:r>
        <w:rPr>
          <w:spacing w:val="-7"/>
          <w:vertAlign w:val="baseline"/>
        </w:rPr>
        <w:t> </w:t>
      </w:r>
      <w:r>
        <w:rPr>
          <w:vertAlign w:val="baseline"/>
        </w:rPr>
        <w:t>94.5%</w:t>
      </w:r>
      <w:r>
        <w:rPr>
          <w:spacing w:val="-9"/>
          <w:vertAlign w:val="baseline"/>
        </w:rPr>
        <w:t> </w:t>
      </w:r>
      <w:r>
        <w:rPr>
          <w:vertAlign w:val="baseline"/>
        </w:rPr>
        <w:t>of</w:t>
      </w:r>
      <w:r>
        <w:rPr>
          <w:spacing w:val="-9"/>
          <w:vertAlign w:val="baseline"/>
        </w:rPr>
        <w:t> </w:t>
      </w:r>
      <w:r>
        <w:rPr>
          <w:vertAlign w:val="baseline"/>
        </w:rPr>
        <w:t>LGBTQ</w:t>
      </w:r>
      <w:r>
        <w:rPr>
          <w:spacing w:val="-9"/>
          <w:vertAlign w:val="baseline"/>
        </w:rPr>
        <w:t> </w:t>
      </w:r>
      <w:r>
        <w:rPr>
          <w:vertAlign w:val="baseline"/>
        </w:rPr>
        <w:t>survey</w:t>
      </w:r>
      <w:r>
        <w:rPr>
          <w:spacing w:val="-9"/>
          <w:vertAlign w:val="baseline"/>
        </w:rPr>
        <w:t> </w:t>
      </w:r>
      <w:r>
        <w:rPr>
          <w:vertAlign w:val="baseline"/>
        </w:rPr>
        <w:t>respondents</w:t>
      </w:r>
      <w:r>
        <w:rPr>
          <w:spacing w:val="-8"/>
          <w:vertAlign w:val="baseline"/>
        </w:rPr>
        <w:t> </w:t>
      </w:r>
      <w:r>
        <w:rPr>
          <w:vertAlign w:val="baseline"/>
        </w:rPr>
        <w:t>were</w:t>
      </w:r>
      <w:r>
        <w:rPr>
          <w:spacing w:val="-9"/>
          <w:vertAlign w:val="baseline"/>
        </w:rPr>
        <w:t> </w:t>
      </w:r>
      <w:r>
        <w:rPr>
          <w:vertAlign w:val="baseline"/>
        </w:rPr>
        <w:t>currently</w:t>
      </w:r>
      <w:r>
        <w:rPr>
          <w:spacing w:val="-7"/>
          <w:vertAlign w:val="baseline"/>
        </w:rPr>
        <w:t> </w:t>
      </w:r>
      <w:r>
        <w:rPr>
          <w:vertAlign w:val="baseline"/>
        </w:rPr>
        <w:t>employed</w:t>
      </w:r>
      <w:r>
        <w:rPr>
          <w:spacing w:val="-8"/>
          <w:vertAlign w:val="baseline"/>
        </w:rPr>
        <w:t> </w:t>
      </w:r>
      <w:r>
        <w:rPr>
          <w:vertAlign w:val="baseline"/>
        </w:rPr>
        <w:t>compared</w:t>
      </w:r>
      <w:r>
        <w:rPr>
          <w:spacing w:val="-9"/>
          <w:vertAlign w:val="baseline"/>
        </w:rPr>
        <w:t> </w:t>
      </w:r>
      <w:r>
        <w:rPr>
          <w:vertAlign w:val="baseline"/>
        </w:rPr>
        <w:t>with 55.8% who were employed before they received DACA. Not only were more LGBTQ individuals able to obtain employment with DACA, but they also obtained higher-paying jobs with benefits. Average hourly wages rose 73.7%, and 63.4% of LGBTQ respondents had jobs with health insurance or other benefits since receiving DACA. Among those currently in school, 92.8% said that with DACA they could pursue educational opportunities they previously could not, and 49.2% were currently enrolled in school with 77.6% pursuing a bachelor’s degree or higher.</w:t>
      </w:r>
    </w:p>
    <w:p>
      <w:pPr>
        <w:pStyle w:val="BodyText"/>
        <w:spacing w:line="276" w:lineRule="auto" w:before="240"/>
        <w:ind w:left="463" w:right="262"/>
        <w:jc w:val="both"/>
      </w:pPr>
      <w:r>
        <w:rPr/>
        <w:t>In recent years, the fate of DACA has been uncertain, receiving scrutiny from courts and government attempts to terminate the program. The Trump administration ended the program in 2017, a decision overturned</w:t>
      </w:r>
      <w:r>
        <w:rPr>
          <w:spacing w:val="-4"/>
        </w:rPr>
        <w:t> </w:t>
      </w:r>
      <w:r>
        <w:rPr/>
        <w:t>by</w:t>
      </w:r>
      <w:r>
        <w:rPr>
          <w:spacing w:val="-4"/>
        </w:rPr>
        <w:t> </w:t>
      </w:r>
      <w:r>
        <w:rPr/>
        <w:t>the</w:t>
      </w:r>
      <w:r>
        <w:rPr>
          <w:spacing w:val="-4"/>
        </w:rPr>
        <w:t> </w:t>
      </w:r>
      <w:r>
        <w:rPr/>
        <w:t>U.S.</w:t>
      </w:r>
      <w:r>
        <w:rPr>
          <w:spacing w:val="-4"/>
        </w:rPr>
        <w:t> </w:t>
      </w:r>
      <w:r>
        <w:rPr/>
        <w:t>Supreme</w:t>
      </w:r>
      <w:r>
        <w:rPr>
          <w:spacing w:val="-4"/>
        </w:rPr>
        <w:t> </w:t>
      </w:r>
      <w:r>
        <w:rPr/>
        <w:t>Court</w:t>
      </w:r>
      <w:r>
        <w:rPr>
          <w:spacing w:val="-4"/>
        </w:rPr>
        <w:t> </w:t>
      </w:r>
      <w:r>
        <w:rPr/>
        <w:t>in</w:t>
      </w:r>
      <w:r>
        <w:rPr>
          <w:spacing w:val="-4"/>
        </w:rPr>
        <w:t> </w:t>
      </w:r>
      <w:r>
        <w:rPr/>
        <w:t>June</w:t>
      </w:r>
      <w:r>
        <w:rPr>
          <w:spacing w:val="-4"/>
        </w:rPr>
        <w:t> </w:t>
      </w:r>
      <w:r>
        <w:rPr/>
        <w:t>2022.</w:t>
      </w:r>
      <w:r>
        <w:rPr>
          <w:vertAlign w:val="superscript"/>
        </w:rPr>
        <w:t>64</w:t>
      </w:r>
      <w:r>
        <w:rPr>
          <w:spacing w:val="-5"/>
          <w:vertAlign w:val="baseline"/>
        </w:rPr>
        <w:t> </w:t>
      </w:r>
      <w:r>
        <w:rPr>
          <w:vertAlign w:val="baseline"/>
        </w:rPr>
        <w:t>As</w:t>
      </w:r>
      <w:r>
        <w:rPr>
          <w:spacing w:val="-4"/>
          <w:vertAlign w:val="baseline"/>
        </w:rPr>
        <w:t> </w:t>
      </w:r>
      <w:r>
        <w:rPr>
          <w:vertAlign w:val="baseline"/>
        </w:rPr>
        <w:t>of</w:t>
      </w:r>
      <w:r>
        <w:rPr>
          <w:spacing w:val="-4"/>
          <w:vertAlign w:val="baseline"/>
        </w:rPr>
        <w:t> </w:t>
      </w:r>
      <w:r>
        <w:rPr>
          <w:vertAlign w:val="baseline"/>
        </w:rPr>
        <w:t>today,</w:t>
      </w:r>
      <w:r>
        <w:rPr>
          <w:spacing w:val="-5"/>
          <w:vertAlign w:val="baseline"/>
        </w:rPr>
        <w:t> </w:t>
      </w:r>
      <w:r>
        <w:rPr>
          <w:vertAlign w:val="baseline"/>
        </w:rPr>
        <w:t>Dreamers</w:t>
      </w:r>
      <w:r>
        <w:rPr>
          <w:spacing w:val="-4"/>
          <w:vertAlign w:val="baseline"/>
        </w:rPr>
        <w:t> </w:t>
      </w:r>
      <w:r>
        <w:rPr>
          <w:vertAlign w:val="baseline"/>
        </w:rPr>
        <w:t>are</w:t>
      </w:r>
      <w:r>
        <w:rPr>
          <w:spacing w:val="-4"/>
          <w:vertAlign w:val="baseline"/>
        </w:rPr>
        <w:t> </w:t>
      </w:r>
      <w:r>
        <w:rPr>
          <w:vertAlign w:val="baseline"/>
        </w:rPr>
        <w:t>still</w:t>
      </w:r>
      <w:r>
        <w:rPr>
          <w:spacing w:val="-4"/>
          <w:vertAlign w:val="baseline"/>
        </w:rPr>
        <w:t> </w:t>
      </w:r>
      <w:r>
        <w:rPr>
          <w:vertAlign w:val="baseline"/>
        </w:rPr>
        <w:t>waiting</w:t>
      </w:r>
      <w:r>
        <w:rPr>
          <w:spacing w:val="-4"/>
          <w:vertAlign w:val="baseline"/>
        </w:rPr>
        <w:t> </w:t>
      </w:r>
      <w:r>
        <w:rPr>
          <w:vertAlign w:val="baseline"/>
        </w:rPr>
        <w:t>on</w:t>
      </w:r>
      <w:r>
        <w:rPr>
          <w:spacing w:val="-4"/>
          <w:vertAlign w:val="baseline"/>
        </w:rPr>
        <w:t> </w:t>
      </w:r>
      <w:r>
        <w:rPr>
          <w:vertAlign w:val="baseline"/>
        </w:rPr>
        <w:t>Congress to pass legislation that provides them with the permanent protection they need and deserve. If LGBTQ DACA</w:t>
      </w:r>
      <w:r>
        <w:rPr>
          <w:spacing w:val="-4"/>
          <w:vertAlign w:val="baseline"/>
        </w:rPr>
        <w:t> </w:t>
      </w:r>
      <w:r>
        <w:rPr>
          <w:vertAlign w:val="baseline"/>
        </w:rPr>
        <w:t>recipients</w:t>
      </w:r>
      <w:r>
        <w:rPr>
          <w:spacing w:val="-4"/>
          <w:vertAlign w:val="baseline"/>
        </w:rPr>
        <w:t> </w:t>
      </w:r>
      <w:r>
        <w:rPr>
          <w:vertAlign w:val="baseline"/>
        </w:rPr>
        <w:t>lose</w:t>
      </w:r>
      <w:r>
        <w:rPr>
          <w:spacing w:val="-3"/>
          <w:vertAlign w:val="baseline"/>
        </w:rPr>
        <w:t> </w:t>
      </w:r>
      <w:r>
        <w:rPr>
          <w:vertAlign w:val="baseline"/>
        </w:rPr>
        <w:t>their</w:t>
      </w:r>
      <w:r>
        <w:rPr>
          <w:spacing w:val="-3"/>
          <w:vertAlign w:val="baseline"/>
        </w:rPr>
        <w:t> </w:t>
      </w:r>
      <w:r>
        <w:rPr>
          <w:vertAlign w:val="baseline"/>
        </w:rPr>
        <w:t>protected</w:t>
      </w:r>
      <w:r>
        <w:rPr>
          <w:spacing w:val="-3"/>
          <w:vertAlign w:val="baseline"/>
        </w:rPr>
        <w:t> </w:t>
      </w:r>
      <w:r>
        <w:rPr>
          <w:vertAlign w:val="baseline"/>
        </w:rPr>
        <w:t>status,</w:t>
      </w:r>
      <w:r>
        <w:rPr>
          <w:spacing w:val="-4"/>
          <w:vertAlign w:val="baseline"/>
        </w:rPr>
        <w:t> </w:t>
      </w:r>
      <w:r>
        <w:rPr>
          <w:vertAlign w:val="baseline"/>
        </w:rPr>
        <w:t>not</w:t>
      </w:r>
      <w:r>
        <w:rPr>
          <w:spacing w:val="-3"/>
          <w:vertAlign w:val="baseline"/>
        </w:rPr>
        <w:t> </w:t>
      </w:r>
      <w:r>
        <w:rPr>
          <w:vertAlign w:val="baseline"/>
        </w:rPr>
        <w:t>only</w:t>
      </w:r>
      <w:r>
        <w:rPr>
          <w:spacing w:val="-2"/>
          <w:vertAlign w:val="baseline"/>
        </w:rPr>
        <w:t> </w:t>
      </w:r>
      <w:r>
        <w:rPr>
          <w:vertAlign w:val="baseline"/>
        </w:rPr>
        <w:t>will</w:t>
      </w:r>
      <w:r>
        <w:rPr>
          <w:spacing w:val="-4"/>
          <w:vertAlign w:val="baseline"/>
        </w:rPr>
        <w:t> </w:t>
      </w:r>
      <w:r>
        <w:rPr>
          <w:vertAlign w:val="baseline"/>
        </w:rPr>
        <w:t>they</w:t>
      </w:r>
      <w:r>
        <w:rPr>
          <w:spacing w:val="-3"/>
          <w:vertAlign w:val="baseline"/>
        </w:rPr>
        <w:t> </w:t>
      </w:r>
      <w:r>
        <w:rPr>
          <w:vertAlign w:val="baseline"/>
        </w:rPr>
        <w:t>no</w:t>
      </w:r>
      <w:r>
        <w:rPr>
          <w:spacing w:val="-4"/>
          <w:vertAlign w:val="baseline"/>
        </w:rPr>
        <w:t> </w:t>
      </w:r>
      <w:r>
        <w:rPr>
          <w:vertAlign w:val="baseline"/>
        </w:rPr>
        <w:t>longer</w:t>
      </w:r>
      <w:r>
        <w:rPr>
          <w:spacing w:val="-4"/>
          <w:vertAlign w:val="baseline"/>
        </w:rPr>
        <w:t> </w:t>
      </w:r>
      <w:r>
        <w:rPr>
          <w:vertAlign w:val="baseline"/>
        </w:rPr>
        <w:t>be</w:t>
      </w:r>
      <w:r>
        <w:rPr>
          <w:spacing w:val="-4"/>
          <w:vertAlign w:val="baseline"/>
        </w:rPr>
        <w:t> </w:t>
      </w:r>
      <w:r>
        <w:rPr>
          <w:vertAlign w:val="baseline"/>
        </w:rPr>
        <w:t>able</w:t>
      </w:r>
      <w:r>
        <w:rPr>
          <w:spacing w:val="-3"/>
          <w:vertAlign w:val="baseline"/>
        </w:rPr>
        <w:t> </w:t>
      </w:r>
      <w:r>
        <w:rPr>
          <w:vertAlign w:val="baseline"/>
        </w:rPr>
        <w:t>to</w:t>
      </w:r>
      <w:r>
        <w:rPr>
          <w:spacing w:val="-2"/>
          <w:vertAlign w:val="baseline"/>
        </w:rPr>
        <w:t> </w:t>
      </w:r>
      <w:r>
        <w:rPr>
          <w:vertAlign w:val="baseline"/>
        </w:rPr>
        <w:t>work</w:t>
      </w:r>
      <w:r>
        <w:rPr>
          <w:spacing w:val="-4"/>
          <w:vertAlign w:val="baseline"/>
        </w:rPr>
        <w:t> </w:t>
      </w:r>
      <w:r>
        <w:rPr>
          <w:vertAlign w:val="baseline"/>
        </w:rPr>
        <w:t>and</w:t>
      </w:r>
      <w:r>
        <w:rPr>
          <w:spacing w:val="-3"/>
          <w:vertAlign w:val="baseline"/>
        </w:rPr>
        <w:t> </w:t>
      </w:r>
      <w:r>
        <w:rPr>
          <w:vertAlign w:val="baseline"/>
        </w:rPr>
        <w:t>thrive</w:t>
      </w:r>
      <w:r>
        <w:rPr>
          <w:spacing w:val="-4"/>
          <w:vertAlign w:val="baseline"/>
        </w:rPr>
        <w:t> </w:t>
      </w:r>
      <w:r>
        <w:rPr>
          <w:vertAlign w:val="baseline"/>
        </w:rPr>
        <w:t>in</w:t>
      </w:r>
      <w:r>
        <w:rPr>
          <w:spacing w:val="-3"/>
          <w:vertAlign w:val="baseline"/>
        </w:rPr>
        <w:t> </w:t>
      </w:r>
      <w:r>
        <w:rPr>
          <w:vertAlign w:val="baseline"/>
        </w:rPr>
        <w:t>the</w:t>
      </w:r>
    </w:p>
    <w:p>
      <w:pPr>
        <w:spacing w:after="0" w:line="276" w:lineRule="auto"/>
        <w:jc w:val="both"/>
        <w:sectPr>
          <w:pgSz w:w="12240" w:h="15840"/>
          <w:pgMar w:header="805" w:footer="1208" w:top="1080" w:bottom="1460" w:left="980" w:right="1180"/>
        </w:sectPr>
      </w:pPr>
    </w:p>
    <w:p>
      <w:pPr>
        <w:pStyle w:val="BodyText"/>
        <w:spacing w:line="276" w:lineRule="auto" w:before="69"/>
        <w:ind w:left="463" w:right="263"/>
        <w:jc w:val="both"/>
      </w:pPr>
      <w:r>
        <w:rPr/>
        <w:t>U.S., but they will also face deportation to countries they may not have set foot in since childhood and where their lives could be in danger. Before being deported, LGBTQ immigrants would likely spend time in a detention facility, an environment where horrific abuse is well-documented.</w:t>
      </w:r>
    </w:p>
    <w:p>
      <w:pPr>
        <w:pStyle w:val="BodyText"/>
        <w:spacing w:line="276" w:lineRule="auto" w:before="239"/>
        <w:ind w:left="463" w:right="261"/>
        <w:jc w:val="both"/>
      </w:pPr>
      <w:r>
        <w:rPr/>
        <w:t>Currently,</w:t>
      </w:r>
      <w:r>
        <w:rPr>
          <w:spacing w:val="-2"/>
        </w:rPr>
        <w:t> </w:t>
      </w:r>
      <w:r>
        <w:rPr/>
        <w:t>Massachusetts</w:t>
      </w:r>
      <w:r>
        <w:rPr>
          <w:spacing w:val="-1"/>
        </w:rPr>
        <w:t> </w:t>
      </w:r>
      <w:r>
        <w:rPr/>
        <w:t>only</w:t>
      </w:r>
      <w:r>
        <w:rPr>
          <w:spacing w:val="-3"/>
        </w:rPr>
        <w:t> </w:t>
      </w:r>
      <w:r>
        <w:rPr/>
        <w:t>allows</w:t>
      </w:r>
      <w:r>
        <w:rPr>
          <w:spacing w:val="-2"/>
        </w:rPr>
        <w:t> </w:t>
      </w:r>
      <w:r>
        <w:rPr/>
        <w:t>students</w:t>
      </w:r>
      <w:r>
        <w:rPr>
          <w:spacing w:val="-2"/>
        </w:rPr>
        <w:t> </w:t>
      </w:r>
      <w:r>
        <w:rPr/>
        <w:t>holding</w:t>
      </w:r>
      <w:r>
        <w:rPr>
          <w:spacing w:val="-3"/>
        </w:rPr>
        <w:t> </w:t>
      </w:r>
      <w:r>
        <w:rPr/>
        <w:t>some</w:t>
      </w:r>
      <w:r>
        <w:rPr>
          <w:spacing w:val="-2"/>
        </w:rPr>
        <w:t> </w:t>
      </w:r>
      <w:r>
        <w:rPr/>
        <w:t>form</w:t>
      </w:r>
      <w:r>
        <w:rPr>
          <w:spacing w:val="-3"/>
        </w:rPr>
        <w:t> </w:t>
      </w:r>
      <w:r>
        <w:rPr/>
        <w:t>of</w:t>
      </w:r>
      <w:r>
        <w:rPr>
          <w:spacing w:val="-3"/>
        </w:rPr>
        <w:t> </w:t>
      </w:r>
      <w:r>
        <w:rPr/>
        <w:t>federal</w:t>
      </w:r>
      <w:r>
        <w:rPr>
          <w:spacing w:val="-2"/>
        </w:rPr>
        <w:t> </w:t>
      </w:r>
      <w:r>
        <w:rPr/>
        <w:t>documentation</w:t>
      </w:r>
      <w:r>
        <w:rPr>
          <w:spacing w:val="-3"/>
        </w:rPr>
        <w:t> </w:t>
      </w:r>
      <w:r>
        <w:rPr/>
        <w:t>(e.g.,</w:t>
      </w:r>
      <w:r>
        <w:rPr>
          <w:spacing w:val="-3"/>
        </w:rPr>
        <w:t> </w:t>
      </w:r>
      <w:r>
        <w:rPr/>
        <w:t>DACA) to pay in-state</w:t>
      </w:r>
      <w:r>
        <w:rPr>
          <w:spacing w:val="-1"/>
        </w:rPr>
        <w:t> </w:t>
      </w:r>
      <w:r>
        <w:rPr/>
        <w:t>tuition, even</w:t>
      </w:r>
      <w:r>
        <w:rPr>
          <w:spacing w:val="-1"/>
        </w:rPr>
        <w:t> </w:t>
      </w:r>
      <w:r>
        <w:rPr/>
        <w:t>as many other states allow all</w:t>
      </w:r>
      <w:r>
        <w:rPr>
          <w:spacing w:val="-1"/>
        </w:rPr>
        <w:t> </w:t>
      </w:r>
      <w:r>
        <w:rPr/>
        <w:t>status and</w:t>
      </w:r>
      <w:r>
        <w:rPr>
          <w:spacing w:val="-1"/>
        </w:rPr>
        <w:t> </w:t>
      </w:r>
      <w:r>
        <w:rPr/>
        <w:t>non-status holding</w:t>
      </w:r>
      <w:r>
        <w:rPr>
          <w:spacing w:val="-1"/>
        </w:rPr>
        <w:t> </w:t>
      </w:r>
      <w:r>
        <w:rPr/>
        <w:t>students to pay in-state prices.</w:t>
      </w:r>
      <w:r>
        <w:rPr>
          <w:vertAlign w:val="superscript"/>
        </w:rPr>
        <w:t>65</w:t>
      </w:r>
      <w:r>
        <w:rPr>
          <w:vertAlign w:val="baseline"/>
        </w:rPr>
        <w:t> Some states further allow these students access to financial aid, though this is less common. These policies can yield real benefits for students because in-state tuition is often significantly cheaper. Extending in-state tuition benefits to all immigrants regardless of status is one way to ensure that all young people who grew up in Massachusetts can continue their studies, allowing youth not covered by DACA to attend public colleges and universities.</w:t>
      </w:r>
    </w:p>
    <w:p>
      <w:pPr>
        <w:pStyle w:val="BodyText"/>
        <w:spacing w:line="264" w:lineRule="auto" w:before="241"/>
        <w:ind w:left="463" w:right="260"/>
        <w:jc w:val="both"/>
      </w:pPr>
      <w:r>
        <w:rPr/>
        <w:t>While</w:t>
      </w:r>
      <w:r>
        <w:rPr>
          <w:spacing w:val="-3"/>
        </w:rPr>
        <w:t> </w:t>
      </w:r>
      <w:r>
        <w:rPr/>
        <w:t>next</w:t>
      </w:r>
      <w:r>
        <w:rPr>
          <w:spacing w:val="-3"/>
        </w:rPr>
        <w:t> </w:t>
      </w:r>
      <w:r>
        <w:rPr/>
        <w:t>to</w:t>
      </w:r>
      <w:r>
        <w:rPr>
          <w:spacing w:val="-4"/>
        </w:rPr>
        <w:t> </w:t>
      </w:r>
      <w:r>
        <w:rPr/>
        <w:t>no</w:t>
      </w:r>
      <w:r>
        <w:rPr>
          <w:spacing w:val="-4"/>
        </w:rPr>
        <w:t> </w:t>
      </w:r>
      <w:r>
        <w:rPr/>
        <w:t>data</w:t>
      </w:r>
      <w:r>
        <w:rPr>
          <w:spacing w:val="-4"/>
        </w:rPr>
        <w:t> </w:t>
      </w:r>
      <w:r>
        <w:rPr/>
        <w:t>focuses</w:t>
      </w:r>
      <w:r>
        <w:rPr>
          <w:spacing w:val="-4"/>
        </w:rPr>
        <w:t> </w:t>
      </w:r>
      <w:r>
        <w:rPr/>
        <w:t>on</w:t>
      </w:r>
      <w:r>
        <w:rPr>
          <w:spacing w:val="-4"/>
        </w:rPr>
        <w:t> </w:t>
      </w:r>
      <w:r>
        <w:rPr/>
        <w:t>undocumented</w:t>
      </w:r>
      <w:r>
        <w:rPr>
          <w:spacing w:val="-3"/>
        </w:rPr>
        <w:t> </w:t>
      </w:r>
      <w:r>
        <w:rPr/>
        <w:t>youth’s</w:t>
      </w:r>
      <w:r>
        <w:rPr>
          <w:spacing w:val="-4"/>
        </w:rPr>
        <w:t> </w:t>
      </w:r>
      <w:r>
        <w:rPr/>
        <w:t>access</w:t>
      </w:r>
      <w:r>
        <w:rPr>
          <w:spacing w:val="-4"/>
        </w:rPr>
        <w:t> </w:t>
      </w:r>
      <w:r>
        <w:rPr/>
        <w:t>to</w:t>
      </w:r>
      <w:r>
        <w:rPr>
          <w:spacing w:val="-2"/>
        </w:rPr>
        <w:t> </w:t>
      </w:r>
      <w:r>
        <w:rPr/>
        <w:t>K-12</w:t>
      </w:r>
      <w:r>
        <w:rPr>
          <w:spacing w:val="-4"/>
        </w:rPr>
        <w:t> </w:t>
      </w:r>
      <w:r>
        <w:rPr/>
        <w:t>education</w:t>
      </w:r>
      <w:r>
        <w:rPr>
          <w:spacing w:val="-4"/>
        </w:rPr>
        <w:t> </w:t>
      </w:r>
      <w:r>
        <w:rPr/>
        <w:t>in</w:t>
      </w:r>
      <w:r>
        <w:rPr>
          <w:spacing w:val="-4"/>
        </w:rPr>
        <w:t> </w:t>
      </w:r>
      <w:r>
        <w:rPr/>
        <w:t>Massachusetts,</w:t>
      </w:r>
      <w:r>
        <w:rPr>
          <w:spacing w:val="-4"/>
        </w:rPr>
        <w:t> </w:t>
      </w:r>
      <w:r>
        <w:rPr/>
        <w:t>one study</w:t>
      </w:r>
      <w:r>
        <w:rPr>
          <w:spacing w:val="-10"/>
        </w:rPr>
        <w:t> </w:t>
      </w:r>
      <w:r>
        <w:rPr/>
        <w:t>outlines</w:t>
      </w:r>
      <w:r>
        <w:rPr>
          <w:spacing w:val="-10"/>
        </w:rPr>
        <w:t> </w:t>
      </w:r>
      <w:r>
        <w:rPr/>
        <w:t>three</w:t>
      </w:r>
      <w:r>
        <w:rPr>
          <w:spacing w:val="-9"/>
        </w:rPr>
        <w:t> </w:t>
      </w:r>
      <w:r>
        <w:rPr/>
        <w:t>reasons</w:t>
      </w:r>
      <w:r>
        <w:rPr>
          <w:spacing w:val="-10"/>
        </w:rPr>
        <w:t> </w:t>
      </w:r>
      <w:r>
        <w:rPr/>
        <w:t>why</w:t>
      </w:r>
      <w:r>
        <w:rPr>
          <w:spacing w:val="-9"/>
        </w:rPr>
        <w:t> </w:t>
      </w:r>
      <w:r>
        <w:rPr/>
        <w:t>undocumented</w:t>
      </w:r>
      <w:r>
        <w:rPr>
          <w:spacing w:val="-9"/>
        </w:rPr>
        <w:t> </w:t>
      </w:r>
      <w:r>
        <w:rPr/>
        <w:t>Latino</w:t>
      </w:r>
      <w:r>
        <w:rPr>
          <w:spacing w:val="-10"/>
        </w:rPr>
        <w:t> </w:t>
      </w:r>
      <w:r>
        <w:rPr/>
        <w:t>youth</w:t>
      </w:r>
      <w:r>
        <w:rPr>
          <w:spacing w:val="-9"/>
        </w:rPr>
        <w:t> </w:t>
      </w:r>
      <w:r>
        <w:rPr/>
        <w:t>delay</w:t>
      </w:r>
      <w:r>
        <w:rPr>
          <w:spacing w:val="-10"/>
        </w:rPr>
        <w:t> </w:t>
      </w:r>
      <w:r>
        <w:rPr/>
        <w:t>high</w:t>
      </w:r>
      <w:r>
        <w:rPr>
          <w:spacing w:val="-10"/>
        </w:rPr>
        <w:t> </w:t>
      </w:r>
      <w:r>
        <w:rPr/>
        <w:t>school</w:t>
      </w:r>
      <w:r>
        <w:rPr>
          <w:spacing w:val="-9"/>
        </w:rPr>
        <w:t> </w:t>
      </w:r>
      <w:r>
        <w:rPr/>
        <w:t>enrollment</w:t>
      </w:r>
      <w:r>
        <w:rPr>
          <w:spacing w:val="-11"/>
        </w:rPr>
        <w:t> </w:t>
      </w:r>
      <w:r>
        <w:rPr/>
        <w:t>in</w:t>
      </w:r>
      <w:r>
        <w:rPr>
          <w:spacing w:val="-9"/>
        </w:rPr>
        <w:t> </w:t>
      </w:r>
      <w:r>
        <w:rPr/>
        <w:t>the</w:t>
      </w:r>
      <w:r>
        <w:rPr>
          <w:spacing w:val="-10"/>
        </w:rPr>
        <w:t> </w:t>
      </w:r>
      <w:r>
        <w:rPr/>
        <w:t>state.</w:t>
      </w:r>
      <w:r>
        <w:rPr>
          <w:vertAlign w:val="superscript"/>
        </w:rPr>
        <w:t>66</w:t>
      </w:r>
      <w:r>
        <w:rPr>
          <w:vertAlign w:val="baseline"/>
        </w:rPr>
        <w:t> Whereas</w:t>
      </w:r>
      <w:r>
        <w:rPr>
          <w:spacing w:val="-6"/>
          <w:vertAlign w:val="baseline"/>
        </w:rPr>
        <w:t> </w:t>
      </w:r>
      <w:r>
        <w:rPr>
          <w:vertAlign w:val="baseline"/>
        </w:rPr>
        <w:t>the</w:t>
      </w:r>
      <w:r>
        <w:rPr>
          <w:spacing w:val="-5"/>
          <w:vertAlign w:val="baseline"/>
        </w:rPr>
        <w:t> </w:t>
      </w:r>
      <w:r>
        <w:rPr>
          <w:vertAlign w:val="baseline"/>
        </w:rPr>
        <w:t>case</w:t>
      </w:r>
      <w:r>
        <w:rPr>
          <w:spacing w:val="-7"/>
          <w:vertAlign w:val="baseline"/>
        </w:rPr>
        <w:t> </w:t>
      </w:r>
      <w:r>
        <w:rPr>
          <w:i/>
          <w:vertAlign w:val="baseline"/>
        </w:rPr>
        <w:t>Plyler</w:t>
      </w:r>
      <w:r>
        <w:rPr>
          <w:i/>
          <w:spacing w:val="-6"/>
          <w:vertAlign w:val="baseline"/>
        </w:rPr>
        <w:t> </w:t>
      </w:r>
      <w:r>
        <w:rPr>
          <w:i/>
          <w:vertAlign w:val="baseline"/>
        </w:rPr>
        <w:t>v.</w:t>
      </w:r>
      <w:r>
        <w:rPr>
          <w:i/>
          <w:spacing w:val="-4"/>
          <w:vertAlign w:val="baseline"/>
        </w:rPr>
        <w:t> </w:t>
      </w:r>
      <w:r>
        <w:rPr>
          <w:i/>
          <w:vertAlign w:val="baseline"/>
        </w:rPr>
        <w:t>Doe</w:t>
      </w:r>
      <w:r>
        <w:rPr>
          <w:i/>
          <w:spacing w:val="-7"/>
          <w:vertAlign w:val="baseline"/>
        </w:rPr>
        <w:t> </w:t>
      </w:r>
      <w:r>
        <w:rPr>
          <w:vertAlign w:val="baseline"/>
        </w:rPr>
        <w:t>guarantees</w:t>
      </w:r>
      <w:r>
        <w:rPr>
          <w:spacing w:val="-6"/>
          <w:vertAlign w:val="baseline"/>
        </w:rPr>
        <w:t> </w:t>
      </w:r>
      <w:r>
        <w:rPr>
          <w:vertAlign w:val="baseline"/>
        </w:rPr>
        <w:t>undocumented</w:t>
      </w:r>
      <w:r>
        <w:rPr>
          <w:spacing w:val="-5"/>
          <w:vertAlign w:val="baseline"/>
        </w:rPr>
        <w:t> </w:t>
      </w:r>
      <w:r>
        <w:rPr>
          <w:vertAlign w:val="baseline"/>
        </w:rPr>
        <w:t>children</w:t>
      </w:r>
      <w:r>
        <w:rPr>
          <w:spacing w:val="-5"/>
          <w:vertAlign w:val="baseline"/>
        </w:rPr>
        <w:t> </w:t>
      </w:r>
      <w:r>
        <w:rPr>
          <w:vertAlign w:val="baseline"/>
        </w:rPr>
        <w:t>the</w:t>
      </w:r>
      <w:r>
        <w:rPr>
          <w:spacing w:val="-5"/>
          <w:vertAlign w:val="baseline"/>
        </w:rPr>
        <w:t> </w:t>
      </w:r>
      <w:r>
        <w:rPr>
          <w:vertAlign w:val="baseline"/>
        </w:rPr>
        <w:t>right</w:t>
      </w:r>
      <w:r>
        <w:rPr>
          <w:spacing w:val="-6"/>
          <w:vertAlign w:val="baseline"/>
        </w:rPr>
        <w:t> </w:t>
      </w:r>
      <w:r>
        <w:rPr>
          <w:vertAlign w:val="baseline"/>
        </w:rPr>
        <w:t>to</w:t>
      </w:r>
      <w:r>
        <w:rPr>
          <w:spacing w:val="-6"/>
          <w:vertAlign w:val="baseline"/>
        </w:rPr>
        <w:t> </w:t>
      </w:r>
      <w:r>
        <w:rPr>
          <w:vertAlign w:val="baseline"/>
        </w:rPr>
        <w:t>K-12</w:t>
      </w:r>
      <w:r>
        <w:rPr>
          <w:spacing w:val="-6"/>
          <w:vertAlign w:val="baseline"/>
        </w:rPr>
        <w:t> </w:t>
      </w:r>
      <w:r>
        <w:rPr>
          <w:vertAlign w:val="baseline"/>
        </w:rPr>
        <w:t>education,</w:t>
      </w:r>
      <w:r>
        <w:rPr>
          <w:spacing w:val="-6"/>
          <w:vertAlign w:val="baseline"/>
        </w:rPr>
        <w:t> </w:t>
      </w:r>
      <w:r>
        <w:rPr>
          <w:vertAlign w:val="baseline"/>
        </w:rPr>
        <w:t>the</w:t>
      </w:r>
      <w:r>
        <w:rPr>
          <w:spacing w:val="-5"/>
          <w:vertAlign w:val="baseline"/>
        </w:rPr>
        <w:t> </w:t>
      </w:r>
      <w:r>
        <w:rPr>
          <w:vertAlign w:val="baseline"/>
        </w:rPr>
        <w:t>study argues that the lived experiences of undocumented youth suggest that their immigration status still prevents them</w:t>
      </w:r>
      <w:r>
        <w:rPr>
          <w:spacing w:val="-1"/>
          <w:vertAlign w:val="baseline"/>
        </w:rPr>
        <w:t> </w:t>
      </w:r>
      <w:r>
        <w:rPr>
          <w:vertAlign w:val="baseline"/>
        </w:rPr>
        <w:t>from receiving</w:t>
      </w:r>
      <w:r>
        <w:rPr>
          <w:spacing w:val="-1"/>
          <w:vertAlign w:val="baseline"/>
        </w:rPr>
        <w:t> </w:t>
      </w:r>
      <w:r>
        <w:rPr>
          <w:vertAlign w:val="baseline"/>
        </w:rPr>
        <w:t>an education. Undocumented youth</w:t>
      </w:r>
      <w:r>
        <w:rPr>
          <w:spacing w:val="-1"/>
          <w:vertAlign w:val="baseline"/>
        </w:rPr>
        <w:t> </w:t>
      </w:r>
      <w:r>
        <w:rPr>
          <w:vertAlign w:val="baseline"/>
        </w:rPr>
        <w:t>often evade</w:t>
      </w:r>
      <w:r>
        <w:rPr>
          <w:spacing w:val="-1"/>
          <w:vertAlign w:val="baseline"/>
        </w:rPr>
        <w:t> </w:t>
      </w:r>
      <w:r>
        <w:rPr>
          <w:vertAlign w:val="baseline"/>
        </w:rPr>
        <w:t>school enrollment</w:t>
      </w:r>
      <w:r>
        <w:rPr>
          <w:spacing w:val="-1"/>
          <w:vertAlign w:val="baseline"/>
        </w:rPr>
        <w:t> </w:t>
      </w:r>
      <w:r>
        <w:rPr>
          <w:vertAlign w:val="baseline"/>
        </w:rPr>
        <w:t>out of fear</w:t>
      </w:r>
      <w:r>
        <w:rPr>
          <w:spacing w:val="-3"/>
          <w:vertAlign w:val="baseline"/>
        </w:rPr>
        <w:t> </w:t>
      </w:r>
      <w:r>
        <w:rPr>
          <w:vertAlign w:val="baseline"/>
        </w:rPr>
        <w:t>of</w:t>
      </w:r>
      <w:r>
        <w:rPr>
          <w:spacing w:val="-3"/>
          <w:vertAlign w:val="baseline"/>
        </w:rPr>
        <w:t> </w:t>
      </w:r>
      <w:r>
        <w:rPr>
          <w:vertAlign w:val="baseline"/>
        </w:rPr>
        <w:t>deportation,</w:t>
      </w:r>
      <w:r>
        <w:rPr>
          <w:spacing w:val="-3"/>
          <w:vertAlign w:val="baseline"/>
        </w:rPr>
        <w:t> </w:t>
      </w:r>
      <w:r>
        <w:rPr>
          <w:vertAlign w:val="baseline"/>
        </w:rPr>
        <w:t>misinformation</w:t>
      </w:r>
      <w:r>
        <w:rPr>
          <w:spacing w:val="-3"/>
          <w:vertAlign w:val="baseline"/>
        </w:rPr>
        <w:t> </w:t>
      </w:r>
      <w:r>
        <w:rPr>
          <w:vertAlign w:val="baseline"/>
        </w:rPr>
        <w:t>about</w:t>
      </w:r>
      <w:r>
        <w:rPr>
          <w:spacing w:val="-3"/>
          <w:vertAlign w:val="baseline"/>
        </w:rPr>
        <w:t> </w:t>
      </w:r>
      <w:r>
        <w:rPr>
          <w:vertAlign w:val="baseline"/>
        </w:rPr>
        <w:t>their</w:t>
      </w:r>
      <w:r>
        <w:rPr>
          <w:spacing w:val="-2"/>
          <w:vertAlign w:val="baseline"/>
        </w:rPr>
        <w:t> </w:t>
      </w:r>
      <w:r>
        <w:rPr>
          <w:vertAlign w:val="baseline"/>
        </w:rPr>
        <w:t>educational</w:t>
      </w:r>
      <w:r>
        <w:rPr>
          <w:spacing w:val="-3"/>
          <w:vertAlign w:val="baseline"/>
        </w:rPr>
        <w:t> </w:t>
      </w:r>
      <w:r>
        <w:rPr>
          <w:vertAlign w:val="baseline"/>
        </w:rPr>
        <w:t>rights,</w:t>
      </w:r>
      <w:r>
        <w:rPr>
          <w:spacing w:val="-3"/>
          <w:vertAlign w:val="baseline"/>
        </w:rPr>
        <w:t> </w:t>
      </w:r>
      <w:r>
        <w:rPr>
          <w:vertAlign w:val="baseline"/>
        </w:rPr>
        <w:t>and</w:t>
      </w:r>
      <w:r>
        <w:rPr>
          <w:spacing w:val="-2"/>
          <w:vertAlign w:val="baseline"/>
        </w:rPr>
        <w:t> </w:t>
      </w:r>
      <w:r>
        <w:rPr>
          <w:vertAlign w:val="baseline"/>
        </w:rPr>
        <w:t>the</w:t>
      </w:r>
      <w:r>
        <w:rPr>
          <w:spacing w:val="-3"/>
          <w:vertAlign w:val="baseline"/>
        </w:rPr>
        <w:t> </w:t>
      </w:r>
      <w:r>
        <w:rPr>
          <w:vertAlign w:val="baseline"/>
        </w:rPr>
        <w:t>labor</w:t>
      </w:r>
      <w:r>
        <w:rPr>
          <w:spacing w:val="-3"/>
          <w:vertAlign w:val="baseline"/>
        </w:rPr>
        <w:t> </w:t>
      </w:r>
      <w:r>
        <w:rPr>
          <w:vertAlign w:val="baseline"/>
        </w:rPr>
        <w:t>market.</w:t>
      </w:r>
      <w:r>
        <w:rPr>
          <w:spacing w:val="-3"/>
          <w:vertAlign w:val="baseline"/>
        </w:rPr>
        <w:t> </w:t>
      </w:r>
      <w:r>
        <w:rPr>
          <w:vertAlign w:val="baseline"/>
        </w:rPr>
        <w:t>The</w:t>
      </w:r>
      <w:r>
        <w:rPr>
          <w:spacing w:val="-2"/>
          <w:vertAlign w:val="baseline"/>
        </w:rPr>
        <w:t> </w:t>
      </w:r>
      <w:r>
        <w:rPr>
          <w:vertAlign w:val="baseline"/>
        </w:rPr>
        <w:t>study</w:t>
      </w:r>
      <w:r>
        <w:rPr>
          <w:spacing w:val="-3"/>
          <w:vertAlign w:val="baseline"/>
        </w:rPr>
        <w:t> </w:t>
      </w:r>
      <w:r>
        <w:rPr>
          <w:vertAlign w:val="baseline"/>
        </w:rPr>
        <w:t>finds work as the most important factor in determining the lives of Latino youth which often means they prioritize it over their education.</w:t>
      </w:r>
    </w:p>
    <w:p>
      <w:pPr>
        <w:pStyle w:val="BodyText"/>
        <w:spacing w:line="264" w:lineRule="auto" w:before="239"/>
        <w:ind w:left="463" w:right="262"/>
        <w:jc w:val="both"/>
      </w:pPr>
      <w:r>
        <w:rPr/>
        <w:t>Additionally, the study emphasizes the misinformation surrounding undocumented youth’s ability to attend high school. While undocumented youth may be legally allowed to attend high school, no policy ensures</w:t>
      </w:r>
      <w:r>
        <w:rPr>
          <w:spacing w:val="-6"/>
        </w:rPr>
        <w:t> </w:t>
      </w:r>
      <w:r>
        <w:rPr/>
        <w:t>they</w:t>
      </w:r>
      <w:r>
        <w:rPr>
          <w:spacing w:val="-4"/>
        </w:rPr>
        <w:t> </w:t>
      </w:r>
      <w:r>
        <w:rPr/>
        <w:t>have</w:t>
      </w:r>
      <w:r>
        <w:rPr>
          <w:spacing w:val="-7"/>
        </w:rPr>
        <w:t> </w:t>
      </w:r>
      <w:r>
        <w:rPr/>
        <w:t>access</w:t>
      </w:r>
      <w:r>
        <w:rPr>
          <w:spacing w:val="-6"/>
        </w:rPr>
        <w:t> </w:t>
      </w:r>
      <w:r>
        <w:rPr/>
        <w:t>to</w:t>
      </w:r>
      <w:r>
        <w:rPr>
          <w:spacing w:val="-6"/>
        </w:rPr>
        <w:t> </w:t>
      </w:r>
      <w:r>
        <w:rPr/>
        <w:t>the</w:t>
      </w:r>
      <w:r>
        <w:rPr>
          <w:spacing w:val="-7"/>
        </w:rPr>
        <w:t> </w:t>
      </w:r>
      <w:r>
        <w:rPr/>
        <w:t>information</w:t>
      </w:r>
      <w:r>
        <w:rPr>
          <w:spacing w:val="-7"/>
        </w:rPr>
        <w:t> </w:t>
      </w:r>
      <w:r>
        <w:rPr/>
        <w:t>that</w:t>
      </w:r>
      <w:r>
        <w:rPr>
          <w:spacing w:val="-7"/>
        </w:rPr>
        <w:t> </w:t>
      </w:r>
      <w:r>
        <w:rPr/>
        <w:t>they</w:t>
      </w:r>
      <w:r>
        <w:rPr>
          <w:spacing w:val="-5"/>
        </w:rPr>
        <w:t> </w:t>
      </w:r>
      <w:r>
        <w:rPr/>
        <w:t>can</w:t>
      </w:r>
      <w:r>
        <w:rPr>
          <w:spacing w:val="-6"/>
        </w:rPr>
        <w:t> </w:t>
      </w:r>
      <w:r>
        <w:rPr/>
        <w:t>legally</w:t>
      </w:r>
      <w:r>
        <w:rPr>
          <w:spacing w:val="-6"/>
        </w:rPr>
        <w:t> </w:t>
      </w:r>
      <w:r>
        <w:rPr/>
        <w:t>attend</w:t>
      </w:r>
      <w:r>
        <w:rPr>
          <w:spacing w:val="-5"/>
        </w:rPr>
        <w:t> </w:t>
      </w:r>
      <w:r>
        <w:rPr/>
        <w:t>high</w:t>
      </w:r>
      <w:r>
        <w:rPr>
          <w:spacing w:val="-5"/>
        </w:rPr>
        <w:t> </w:t>
      </w:r>
      <w:r>
        <w:rPr/>
        <w:t>school.</w:t>
      </w:r>
      <w:r>
        <w:rPr>
          <w:spacing w:val="-7"/>
        </w:rPr>
        <w:t> </w:t>
      </w:r>
      <w:r>
        <w:rPr/>
        <w:t>For</w:t>
      </w:r>
      <w:r>
        <w:rPr>
          <w:spacing w:val="-6"/>
        </w:rPr>
        <w:t> </w:t>
      </w:r>
      <w:r>
        <w:rPr/>
        <w:t>example,</w:t>
      </w:r>
      <w:r>
        <w:rPr>
          <w:spacing w:val="-6"/>
        </w:rPr>
        <w:t> </w:t>
      </w:r>
      <w:r>
        <w:rPr/>
        <w:t>school administrators would sometimes deny enrollment to undocumented youth because they were unaware that proof of citizenship is not a legal prerequisite for enrollment. School personnel would often ask for social security numbers for enrollment as well.</w:t>
      </w:r>
    </w:p>
    <w:p>
      <w:pPr>
        <w:spacing w:before="240"/>
        <w:ind w:left="463" w:right="0" w:firstLine="0"/>
        <w:jc w:val="left"/>
        <w:rPr>
          <w:sz w:val="28"/>
        </w:rPr>
      </w:pPr>
      <w:r>
        <w:rPr/>
        <mc:AlternateContent>
          <mc:Choice Requires="wps">
            <w:drawing>
              <wp:anchor distT="0" distB="0" distL="0" distR="0" allowOverlap="1" layoutInCell="1" locked="0" behindDoc="1" simplePos="0" relativeHeight="487672320">
                <wp:simplePos x="0" y="0"/>
                <wp:positionH relativeFrom="page">
                  <wp:posOffset>897636</wp:posOffset>
                </wp:positionH>
                <wp:positionV relativeFrom="paragraph">
                  <wp:posOffset>381939</wp:posOffset>
                </wp:positionV>
                <wp:extent cx="5976620" cy="6350"/>
                <wp:effectExtent l="0" t="0" r="0" b="0"/>
                <wp:wrapTopAndBottom/>
                <wp:docPr id="440" name="Graphic 440"/>
                <wp:cNvGraphicFramePr>
                  <a:graphicFrameLocks/>
                </wp:cNvGraphicFramePr>
                <a:graphic>
                  <a:graphicData uri="http://schemas.microsoft.com/office/word/2010/wordprocessingShape">
                    <wps:wsp>
                      <wps:cNvPr id="440" name="Graphic 440"/>
                      <wps:cNvSpPr/>
                      <wps:spPr>
                        <a:xfrm>
                          <a:off x="0" y="0"/>
                          <a:ext cx="5976620" cy="6350"/>
                        </a:xfrm>
                        <a:custGeom>
                          <a:avLst/>
                          <a:gdLst/>
                          <a:ahLst/>
                          <a:cxnLst/>
                          <a:rect l="l" t="t" r="r" b="b"/>
                          <a:pathLst>
                            <a:path w="5976620" h="6350">
                              <a:moveTo>
                                <a:pt x="5976366" y="0"/>
                              </a:moveTo>
                              <a:lnTo>
                                <a:pt x="0" y="0"/>
                              </a:lnTo>
                              <a:lnTo>
                                <a:pt x="0" y="6096"/>
                              </a:lnTo>
                              <a:lnTo>
                                <a:pt x="5976366" y="6096"/>
                              </a:lnTo>
                              <a:lnTo>
                                <a:pt x="5976366" y="0"/>
                              </a:lnTo>
                              <a:close/>
                            </a:path>
                          </a:pathLst>
                        </a:custGeom>
                        <a:solidFill>
                          <a:srgbClr val="4F81BC"/>
                        </a:solidFill>
                      </wps:spPr>
                      <wps:bodyPr wrap="square" lIns="0" tIns="0" rIns="0" bIns="0" rtlCol="0">
                        <a:prstTxWarp prst="textNoShape">
                          <a:avLst/>
                        </a:prstTxWarp>
                        <a:noAutofit/>
                      </wps:bodyPr>
                    </wps:wsp>
                  </a:graphicData>
                </a:graphic>
              </wp:anchor>
            </w:drawing>
          </mc:Choice>
          <mc:Fallback>
            <w:pict>
              <v:rect style="position:absolute;margin-left:70.680pt;margin-top:30.073946pt;width:470.58pt;height:.48pt;mso-position-horizontal-relative:page;mso-position-vertical-relative:paragraph;z-index:-15644160;mso-wrap-distance-left:0;mso-wrap-distance-right:0" id="docshape350" filled="true" fillcolor="#4f81bc" stroked="false">
                <v:fill type="solid"/>
                <w10:wrap type="topAndBottom"/>
              </v:rect>
            </w:pict>
          </mc:Fallback>
        </mc:AlternateContent>
      </w:r>
      <w:bookmarkStart w:name="Resources" w:id="799"/>
      <w:bookmarkEnd w:id="799"/>
      <w:r>
        <w:rPr/>
      </w:r>
      <w:r>
        <w:rPr>
          <w:color w:val="365F91"/>
          <w:spacing w:val="-2"/>
          <w:sz w:val="28"/>
        </w:rPr>
        <w:t>Resources</w:t>
      </w:r>
    </w:p>
    <w:p>
      <w:pPr>
        <w:pStyle w:val="BodyText"/>
        <w:spacing w:line="276" w:lineRule="auto" w:before="241"/>
        <w:ind w:left="463" w:right="262"/>
        <w:jc w:val="both"/>
      </w:pPr>
      <w:r>
        <w:rPr/>
        <w:t>The</w:t>
      </w:r>
      <w:r>
        <w:rPr>
          <w:spacing w:val="-3"/>
        </w:rPr>
        <w:t> </w:t>
      </w:r>
      <w:r>
        <w:rPr/>
        <w:t>above</w:t>
      </w:r>
      <w:r>
        <w:rPr>
          <w:spacing w:val="-4"/>
        </w:rPr>
        <w:t> </w:t>
      </w:r>
      <w:r>
        <w:rPr/>
        <w:t>information</w:t>
      </w:r>
      <w:r>
        <w:rPr>
          <w:spacing w:val="-4"/>
        </w:rPr>
        <w:t> </w:t>
      </w:r>
      <w:r>
        <w:rPr/>
        <w:t>provides</w:t>
      </w:r>
      <w:r>
        <w:rPr>
          <w:spacing w:val="-4"/>
        </w:rPr>
        <w:t> </w:t>
      </w:r>
      <w:r>
        <w:rPr/>
        <w:t>numerous</w:t>
      </w:r>
      <w:r>
        <w:rPr>
          <w:spacing w:val="-4"/>
        </w:rPr>
        <w:t> </w:t>
      </w:r>
      <w:r>
        <w:rPr/>
        <w:t>questions</w:t>
      </w:r>
      <w:r>
        <w:rPr>
          <w:spacing w:val="-2"/>
        </w:rPr>
        <w:t> </w:t>
      </w:r>
      <w:r>
        <w:rPr/>
        <w:t>around</w:t>
      </w:r>
      <w:r>
        <w:rPr>
          <w:spacing w:val="-3"/>
        </w:rPr>
        <w:t> </w:t>
      </w:r>
      <w:r>
        <w:rPr/>
        <w:t>the</w:t>
      </w:r>
      <w:r>
        <w:rPr>
          <w:spacing w:val="-3"/>
        </w:rPr>
        <w:t> </w:t>
      </w:r>
      <w:r>
        <w:rPr/>
        <w:t>reality</w:t>
      </w:r>
      <w:r>
        <w:rPr>
          <w:spacing w:val="-4"/>
        </w:rPr>
        <w:t> </w:t>
      </w:r>
      <w:r>
        <w:rPr/>
        <w:t>of</w:t>
      </w:r>
      <w:r>
        <w:rPr>
          <w:spacing w:val="-3"/>
        </w:rPr>
        <w:t> </w:t>
      </w:r>
      <w:r>
        <w:rPr/>
        <w:t>the</w:t>
      </w:r>
      <w:r>
        <w:rPr>
          <w:spacing w:val="-2"/>
        </w:rPr>
        <w:t> </w:t>
      </w:r>
      <w:r>
        <w:rPr/>
        <w:t>day-to-day</w:t>
      </w:r>
      <w:r>
        <w:rPr>
          <w:spacing w:val="-3"/>
        </w:rPr>
        <w:t> </w:t>
      </w:r>
      <w:r>
        <w:rPr/>
        <w:t>experiences</w:t>
      </w:r>
      <w:r>
        <w:rPr>
          <w:spacing w:val="-4"/>
        </w:rPr>
        <w:t> </w:t>
      </w:r>
      <w:r>
        <w:rPr/>
        <w:t>of LGBTQ foreign-born youth in Massachusetts. The Commission hopes that this new section in its annual report</w:t>
      </w:r>
      <w:r>
        <w:rPr>
          <w:spacing w:val="-13"/>
        </w:rPr>
        <w:t> </w:t>
      </w:r>
      <w:r>
        <w:rPr/>
        <w:t>encourages</w:t>
      </w:r>
      <w:r>
        <w:rPr>
          <w:spacing w:val="-11"/>
        </w:rPr>
        <w:t> </w:t>
      </w:r>
      <w:r>
        <w:rPr/>
        <w:t>policymakers</w:t>
      </w:r>
      <w:r>
        <w:rPr>
          <w:spacing w:val="-12"/>
        </w:rPr>
        <w:t> </w:t>
      </w:r>
      <w:r>
        <w:rPr/>
        <w:t>and</w:t>
      </w:r>
      <w:r>
        <w:rPr>
          <w:spacing w:val="-11"/>
        </w:rPr>
        <w:t> </w:t>
      </w:r>
      <w:r>
        <w:rPr/>
        <w:t>advocates</w:t>
      </w:r>
      <w:r>
        <w:rPr>
          <w:spacing w:val="-12"/>
        </w:rPr>
        <w:t> </w:t>
      </w:r>
      <w:r>
        <w:rPr/>
        <w:t>to</w:t>
      </w:r>
      <w:r>
        <w:rPr>
          <w:spacing w:val="-11"/>
        </w:rPr>
        <w:t> </w:t>
      </w:r>
      <w:r>
        <w:rPr/>
        <w:t>better</w:t>
      </w:r>
      <w:r>
        <w:rPr>
          <w:spacing w:val="-11"/>
        </w:rPr>
        <w:t> </w:t>
      </w:r>
      <w:r>
        <w:rPr/>
        <w:t>understand</w:t>
      </w:r>
      <w:r>
        <w:rPr>
          <w:spacing w:val="-13"/>
        </w:rPr>
        <w:t> </w:t>
      </w:r>
      <w:r>
        <w:rPr/>
        <w:t>the</w:t>
      </w:r>
      <w:r>
        <w:rPr>
          <w:spacing w:val="-10"/>
        </w:rPr>
        <w:t> </w:t>
      </w:r>
      <w:r>
        <w:rPr/>
        <w:t>intersecting</w:t>
      </w:r>
      <w:r>
        <w:rPr>
          <w:spacing w:val="-11"/>
        </w:rPr>
        <w:t> </w:t>
      </w:r>
      <w:r>
        <w:rPr/>
        <w:t>identities</w:t>
      </w:r>
      <w:r>
        <w:rPr>
          <w:spacing w:val="-11"/>
        </w:rPr>
        <w:t> </w:t>
      </w:r>
      <w:r>
        <w:rPr/>
        <w:t>that</w:t>
      </w:r>
      <w:r>
        <w:rPr>
          <w:spacing w:val="-12"/>
        </w:rPr>
        <w:t> </w:t>
      </w:r>
      <w:r>
        <w:rPr/>
        <w:t>many LGBTQ youth in Massachusetts face. Below is a list of programs and services available to LGBTQ foreign- born youth in Massachusetts.</w:t>
      </w:r>
    </w:p>
    <w:p>
      <w:pPr>
        <w:pStyle w:val="BodyText"/>
        <w:spacing w:before="240"/>
        <w:ind w:left="751"/>
      </w:pPr>
      <w:hyperlink r:id="rId573">
        <w:r>
          <w:rPr>
            <w:color w:val="1153CC"/>
            <w:u w:val="single" w:color="1153CC"/>
          </w:rPr>
          <w:t>The</w:t>
        </w:r>
        <w:r>
          <w:rPr>
            <w:color w:val="1153CC"/>
            <w:spacing w:val="-10"/>
            <w:u w:val="single" w:color="1153CC"/>
          </w:rPr>
          <w:t> </w:t>
        </w:r>
        <w:r>
          <w:rPr>
            <w:color w:val="1153CC"/>
            <w:u w:val="single" w:color="1153CC"/>
          </w:rPr>
          <w:t>Office</w:t>
        </w:r>
        <w:r>
          <w:rPr>
            <w:color w:val="1153CC"/>
            <w:spacing w:val="-7"/>
            <w:u w:val="single" w:color="1153CC"/>
          </w:rPr>
          <w:t> </w:t>
        </w:r>
        <w:r>
          <w:rPr>
            <w:color w:val="1153CC"/>
            <w:u w:val="single" w:color="1153CC"/>
          </w:rPr>
          <w:t>for</w:t>
        </w:r>
        <w:r>
          <w:rPr>
            <w:color w:val="1153CC"/>
            <w:spacing w:val="-8"/>
            <w:u w:val="single" w:color="1153CC"/>
          </w:rPr>
          <w:t> </w:t>
        </w:r>
        <w:r>
          <w:rPr>
            <w:color w:val="1153CC"/>
            <w:u w:val="single" w:color="1153CC"/>
          </w:rPr>
          <w:t>Refugees</w:t>
        </w:r>
        <w:r>
          <w:rPr>
            <w:color w:val="1153CC"/>
            <w:spacing w:val="-8"/>
            <w:u w:val="single" w:color="1153CC"/>
          </w:rPr>
          <w:t> </w:t>
        </w:r>
        <w:r>
          <w:rPr>
            <w:color w:val="1153CC"/>
            <w:u w:val="single" w:color="1153CC"/>
          </w:rPr>
          <w:t>and</w:t>
        </w:r>
        <w:r>
          <w:rPr>
            <w:color w:val="1153CC"/>
            <w:spacing w:val="-8"/>
            <w:u w:val="single" w:color="1153CC"/>
          </w:rPr>
          <w:t> </w:t>
        </w:r>
        <w:r>
          <w:rPr>
            <w:color w:val="1153CC"/>
            <w:u w:val="single" w:color="1153CC"/>
          </w:rPr>
          <w:t>Immigrants</w:t>
        </w:r>
        <w:r>
          <w:rPr>
            <w:color w:val="1153CC"/>
            <w:spacing w:val="-8"/>
            <w:u w:val="single" w:color="1153CC"/>
          </w:rPr>
          <w:t> </w:t>
        </w:r>
        <w:r>
          <w:rPr>
            <w:color w:val="1153CC"/>
            <w:spacing w:val="-2"/>
            <w:u w:val="single" w:color="1153CC"/>
          </w:rPr>
          <w:t>(ORI)</w:t>
        </w:r>
      </w:hyperlink>
    </w:p>
    <w:p>
      <w:pPr>
        <w:pStyle w:val="BodyText"/>
        <w:spacing w:before="129"/>
      </w:pPr>
    </w:p>
    <w:p>
      <w:pPr>
        <w:pStyle w:val="BodyText"/>
        <w:spacing w:line="276" w:lineRule="auto" w:before="1"/>
        <w:ind w:left="751" w:right="549"/>
        <w:jc w:val="both"/>
      </w:pPr>
      <w:r>
        <w:rPr/>
        <w:t>The ORI supports services that meet the cultural and linguistic needs of refugees and immigrants through a network of service providers in Massachusetts. There are, however, no programs specifically tailored for LGBTQ communities, nor does ORI collect any data or information on the LGBTQ populations it serves.</w:t>
      </w:r>
    </w:p>
    <w:p>
      <w:pPr>
        <w:pStyle w:val="BodyText"/>
        <w:spacing w:before="240"/>
        <w:ind w:left="751"/>
        <w:jc w:val="both"/>
      </w:pPr>
      <w:hyperlink r:id="rId574">
        <w:r>
          <w:rPr>
            <w:color w:val="1153CC"/>
            <w:u w:val="single" w:color="1153CC"/>
          </w:rPr>
          <w:t>De</w:t>
        </w:r>
        <w:r>
          <w:rPr>
            <w:color w:val="1153CC"/>
            <w:spacing w:val="-4"/>
            <w:u w:val="single" w:color="1153CC"/>
          </w:rPr>
          <w:t> Novo</w:t>
        </w:r>
      </w:hyperlink>
    </w:p>
    <w:p>
      <w:pPr>
        <w:spacing w:after="0"/>
        <w:jc w:val="both"/>
        <w:sectPr>
          <w:pgSz w:w="12240" w:h="15840"/>
          <w:pgMar w:header="805" w:footer="1208" w:top="1080" w:bottom="1460" w:left="980" w:right="1180"/>
        </w:sectPr>
      </w:pPr>
    </w:p>
    <w:p>
      <w:pPr>
        <w:pStyle w:val="BodyText"/>
        <w:spacing w:line="276" w:lineRule="auto" w:before="69"/>
        <w:ind w:left="751" w:right="551"/>
        <w:jc w:val="both"/>
      </w:pPr>
      <w:r>
        <w:rPr/>
        <w:t>Provides</w:t>
      </w:r>
      <w:r>
        <w:rPr>
          <w:spacing w:val="-2"/>
        </w:rPr>
        <w:t> </w:t>
      </w:r>
      <w:r>
        <w:rPr/>
        <w:t>high-quality,</w:t>
      </w:r>
      <w:r>
        <w:rPr>
          <w:spacing w:val="-1"/>
        </w:rPr>
        <w:t> </w:t>
      </w:r>
      <w:r>
        <w:rPr/>
        <w:t>free legal</w:t>
      </w:r>
      <w:r>
        <w:rPr>
          <w:spacing w:val="-3"/>
        </w:rPr>
        <w:t> </w:t>
      </w:r>
      <w:r>
        <w:rPr/>
        <w:t>assistance</w:t>
      </w:r>
      <w:r>
        <w:rPr>
          <w:spacing w:val="-2"/>
        </w:rPr>
        <w:t> </w:t>
      </w:r>
      <w:r>
        <w:rPr/>
        <w:t>to</w:t>
      </w:r>
      <w:r>
        <w:rPr>
          <w:spacing w:val="-2"/>
        </w:rPr>
        <w:t> </w:t>
      </w:r>
      <w:r>
        <w:rPr/>
        <w:t>low-income</w:t>
      </w:r>
      <w:r>
        <w:rPr>
          <w:spacing w:val="-3"/>
        </w:rPr>
        <w:t> </w:t>
      </w:r>
      <w:r>
        <w:rPr/>
        <w:t>immigrants</w:t>
      </w:r>
      <w:r>
        <w:rPr>
          <w:spacing w:val="-2"/>
        </w:rPr>
        <w:t> </w:t>
      </w:r>
      <w:r>
        <w:rPr/>
        <w:t>and</w:t>
      </w:r>
      <w:r>
        <w:rPr>
          <w:spacing w:val="-3"/>
        </w:rPr>
        <w:t> </w:t>
      </w:r>
      <w:r>
        <w:rPr/>
        <w:t>asylum</w:t>
      </w:r>
      <w:r>
        <w:rPr>
          <w:spacing w:val="-3"/>
        </w:rPr>
        <w:t> </w:t>
      </w:r>
      <w:r>
        <w:rPr/>
        <w:t>seekers</w:t>
      </w:r>
      <w:r>
        <w:rPr>
          <w:spacing w:val="-2"/>
        </w:rPr>
        <w:t> </w:t>
      </w:r>
      <w:r>
        <w:rPr/>
        <w:t>who</w:t>
      </w:r>
      <w:r>
        <w:rPr>
          <w:spacing w:val="-2"/>
        </w:rPr>
        <w:t> </w:t>
      </w:r>
      <w:r>
        <w:rPr/>
        <w:t>are </w:t>
      </w:r>
      <w:r>
        <w:rPr>
          <w:spacing w:val="-2"/>
        </w:rPr>
        <w:t>living</w:t>
      </w:r>
      <w:r>
        <w:rPr>
          <w:spacing w:val="-5"/>
        </w:rPr>
        <w:t> </w:t>
      </w:r>
      <w:r>
        <w:rPr>
          <w:spacing w:val="-2"/>
        </w:rPr>
        <w:t>in</w:t>
      </w:r>
      <w:r>
        <w:rPr>
          <w:spacing w:val="-4"/>
        </w:rPr>
        <w:t> </w:t>
      </w:r>
      <w:r>
        <w:rPr>
          <w:spacing w:val="-2"/>
        </w:rPr>
        <w:t>MA.</w:t>
      </w:r>
      <w:r>
        <w:rPr>
          <w:spacing w:val="-4"/>
        </w:rPr>
        <w:t> </w:t>
      </w:r>
      <w:r>
        <w:rPr>
          <w:spacing w:val="-2"/>
        </w:rPr>
        <w:t>They</w:t>
      </w:r>
      <w:r>
        <w:rPr>
          <w:spacing w:val="-5"/>
        </w:rPr>
        <w:t> </w:t>
      </w:r>
      <w:r>
        <w:rPr>
          <w:spacing w:val="-2"/>
        </w:rPr>
        <w:t>assist</w:t>
      </w:r>
      <w:r>
        <w:rPr>
          <w:spacing w:val="-5"/>
        </w:rPr>
        <w:t> </w:t>
      </w:r>
      <w:r>
        <w:rPr>
          <w:spacing w:val="-2"/>
        </w:rPr>
        <w:t>with</w:t>
      </w:r>
      <w:r>
        <w:rPr>
          <w:spacing w:val="-5"/>
        </w:rPr>
        <w:t> </w:t>
      </w:r>
      <w:r>
        <w:rPr>
          <w:spacing w:val="-2"/>
        </w:rPr>
        <w:t>asylum</w:t>
      </w:r>
      <w:r>
        <w:rPr>
          <w:spacing w:val="-4"/>
        </w:rPr>
        <w:t> </w:t>
      </w:r>
      <w:r>
        <w:rPr>
          <w:spacing w:val="-2"/>
        </w:rPr>
        <w:t>cases,</w:t>
      </w:r>
      <w:r>
        <w:rPr>
          <w:spacing w:val="-5"/>
        </w:rPr>
        <w:t> </w:t>
      </w:r>
      <w:r>
        <w:rPr>
          <w:spacing w:val="-2"/>
        </w:rPr>
        <w:t>which</w:t>
      </w:r>
      <w:r>
        <w:rPr>
          <w:spacing w:val="-4"/>
        </w:rPr>
        <w:t> </w:t>
      </w:r>
      <w:r>
        <w:rPr>
          <w:spacing w:val="-2"/>
        </w:rPr>
        <w:t>deal</w:t>
      </w:r>
      <w:r>
        <w:rPr>
          <w:spacing w:val="-4"/>
        </w:rPr>
        <w:t> </w:t>
      </w:r>
      <w:r>
        <w:rPr>
          <w:spacing w:val="-2"/>
        </w:rPr>
        <w:t>with</w:t>
      </w:r>
      <w:r>
        <w:rPr>
          <w:spacing w:val="-5"/>
        </w:rPr>
        <w:t> </w:t>
      </w:r>
      <w:r>
        <w:rPr>
          <w:spacing w:val="-2"/>
        </w:rPr>
        <w:t>immigrants</w:t>
      </w:r>
      <w:r>
        <w:rPr>
          <w:spacing w:val="-5"/>
        </w:rPr>
        <w:t> </w:t>
      </w:r>
      <w:r>
        <w:rPr>
          <w:spacing w:val="-2"/>
        </w:rPr>
        <w:t>who</w:t>
      </w:r>
      <w:r>
        <w:rPr>
          <w:spacing w:val="-5"/>
        </w:rPr>
        <w:t> </w:t>
      </w:r>
      <w:r>
        <w:rPr>
          <w:spacing w:val="-2"/>
        </w:rPr>
        <w:t>flee</w:t>
      </w:r>
      <w:r>
        <w:rPr>
          <w:spacing w:val="-4"/>
        </w:rPr>
        <w:t> </w:t>
      </w:r>
      <w:r>
        <w:rPr>
          <w:spacing w:val="-2"/>
        </w:rPr>
        <w:t>their</w:t>
      </w:r>
      <w:r>
        <w:rPr>
          <w:spacing w:val="-5"/>
        </w:rPr>
        <w:t> </w:t>
      </w:r>
      <w:r>
        <w:rPr>
          <w:spacing w:val="-2"/>
        </w:rPr>
        <w:t>home</w:t>
      </w:r>
      <w:r>
        <w:rPr>
          <w:spacing w:val="-4"/>
        </w:rPr>
        <w:t> </w:t>
      </w:r>
      <w:r>
        <w:rPr>
          <w:spacing w:val="-2"/>
        </w:rPr>
        <w:t>country </w:t>
      </w:r>
      <w:r>
        <w:rPr/>
        <w:t>because of past persecution or fear of persecution because of race, religion, gender, nationality, social</w:t>
      </w:r>
      <w:r>
        <w:rPr>
          <w:spacing w:val="-2"/>
        </w:rPr>
        <w:t> </w:t>
      </w:r>
      <w:r>
        <w:rPr/>
        <w:t>group,</w:t>
      </w:r>
      <w:r>
        <w:rPr>
          <w:spacing w:val="-1"/>
        </w:rPr>
        <w:t> </w:t>
      </w:r>
      <w:r>
        <w:rPr/>
        <w:t>or</w:t>
      </w:r>
      <w:r>
        <w:rPr>
          <w:spacing w:val="-1"/>
        </w:rPr>
        <w:t> </w:t>
      </w:r>
      <w:r>
        <w:rPr/>
        <w:t>political</w:t>
      </w:r>
      <w:r>
        <w:rPr>
          <w:spacing w:val="-2"/>
        </w:rPr>
        <w:t> </w:t>
      </w:r>
      <w:r>
        <w:rPr/>
        <w:t>views.</w:t>
      </w:r>
      <w:r>
        <w:rPr>
          <w:spacing w:val="-2"/>
        </w:rPr>
        <w:t> </w:t>
      </w:r>
      <w:r>
        <w:rPr/>
        <w:t>De</w:t>
      </w:r>
      <w:r>
        <w:rPr>
          <w:spacing w:val="-2"/>
        </w:rPr>
        <w:t> </w:t>
      </w:r>
      <w:r>
        <w:rPr/>
        <w:t>Novo</w:t>
      </w:r>
      <w:r>
        <w:rPr>
          <w:spacing w:val="-1"/>
        </w:rPr>
        <w:t> </w:t>
      </w:r>
      <w:r>
        <w:rPr/>
        <w:t>also</w:t>
      </w:r>
      <w:r>
        <w:rPr>
          <w:spacing w:val="-1"/>
        </w:rPr>
        <w:t> </w:t>
      </w:r>
      <w:r>
        <w:rPr/>
        <w:t>assists</w:t>
      </w:r>
      <w:r>
        <w:rPr>
          <w:spacing w:val="-2"/>
        </w:rPr>
        <w:t> </w:t>
      </w:r>
      <w:r>
        <w:rPr/>
        <w:t>torture</w:t>
      </w:r>
      <w:r>
        <w:rPr>
          <w:spacing w:val="-2"/>
        </w:rPr>
        <w:t> </w:t>
      </w:r>
      <w:r>
        <w:rPr/>
        <w:t>survivors,</w:t>
      </w:r>
      <w:r>
        <w:rPr>
          <w:spacing w:val="-1"/>
        </w:rPr>
        <w:t> </w:t>
      </w:r>
      <w:r>
        <w:rPr/>
        <w:t>victims</w:t>
      </w:r>
      <w:r>
        <w:rPr>
          <w:spacing w:val="-1"/>
        </w:rPr>
        <w:t> </w:t>
      </w:r>
      <w:r>
        <w:rPr/>
        <w:t>of</w:t>
      </w:r>
      <w:r>
        <w:rPr>
          <w:spacing w:val="-1"/>
        </w:rPr>
        <w:t> </w:t>
      </w:r>
      <w:r>
        <w:rPr/>
        <w:t>LGBTQ</w:t>
      </w:r>
      <w:r>
        <w:rPr>
          <w:spacing w:val="-2"/>
        </w:rPr>
        <w:t> </w:t>
      </w:r>
      <w:r>
        <w:rPr/>
        <w:t>or</w:t>
      </w:r>
      <w:r>
        <w:rPr>
          <w:spacing w:val="-1"/>
        </w:rPr>
        <w:t> </w:t>
      </w:r>
      <w:r>
        <w:rPr/>
        <w:t>gender- based violence, and unaccompanied minors, among other special vulnerable populations.</w:t>
      </w:r>
    </w:p>
    <w:p>
      <w:pPr>
        <w:pStyle w:val="BodyText"/>
        <w:spacing w:before="240"/>
        <w:ind w:left="751"/>
        <w:jc w:val="both"/>
      </w:pPr>
      <w:hyperlink r:id="rId575">
        <w:r>
          <w:rPr>
            <w:color w:val="1153CC"/>
            <w:u w:val="single" w:color="1153CC"/>
          </w:rPr>
          <w:t>The</w:t>
        </w:r>
        <w:r>
          <w:rPr>
            <w:color w:val="1153CC"/>
            <w:spacing w:val="-9"/>
            <w:u w:val="single" w:color="1153CC"/>
          </w:rPr>
          <w:t> </w:t>
        </w:r>
        <w:r>
          <w:rPr>
            <w:color w:val="1153CC"/>
            <w:u w:val="single" w:color="1153CC"/>
          </w:rPr>
          <w:t>Department</w:t>
        </w:r>
        <w:r>
          <w:rPr>
            <w:color w:val="1153CC"/>
            <w:spacing w:val="-9"/>
            <w:u w:val="single" w:color="1153CC"/>
          </w:rPr>
          <w:t> </w:t>
        </w:r>
        <w:r>
          <w:rPr>
            <w:color w:val="1153CC"/>
            <w:u w:val="single" w:color="1153CC"/>
          </w:rPr>
          <w:t>of</w:t>
        </w:r>
        <w:r>
          <w:rPr>
            <w:color w:val="1153CC"/>
            <w:spacing w:val="-8"/>
            <w:u w:val="single" w:color="1153CC"/>
          </w:rPr>
          <w:t> </w:t>
        </w:r>
        <w:r>
          <w:rPr>
            <w:color w:val="1153CC"/>
            <w:u w:val="single" w:color="1153CC"/>
          </w:rPr>
          <w:t>Mental</w:t>
        </w:r>
        <w:r>
          <w:rPr>
            <w:color w:val="1153CC"/>
            <w:spacing w:val="-8"/>
            <w:u w:val="single" w:color="1153CC"/>
          </w:rPr>
          <w:t> </w:t>
        </w:r>
        <w:r>
          <w:rPr>
            <w:color w:val="1153CC"/>
            <w:u w:val="single" w:color="1153CC"/>
          </w:rPr>
          <w:t>Health</w:t>
        </w:r>
        <w:r>
          <w:rPr>
            <w:color w:val="1153CC"/>
            <w:spacing w:val="-8"/>
            <w:u w:val="single" w:color="1153CC"/>
          </w:rPr>
          <w:t> </w:t>
        </w:r>
        <w:r>
          <w:rPr>
            <w:color w:val="1153CC"/>
            <w:u w:val="single" w:color="1153CC"/>
          </w:rPr>
          <w:t>-</w:t>
        </w:r>
        <w:r>
          <w:rPr>
            <w:color w:val="1153CC"/>
            <w:spacing w:val="-6"/>
            <w:u w:val="single" w:color="1153CC"/>
          </w:rPr>
          <w:t> </w:t>
        </w:r>
        <w:r>
          <w:rPr>
            <w:color w:val="1153CC"/>
            <w:u w:val="single" w:color="1153CC"/>
          </w:rPr>
          <w:t>Multicultural</w:t>
        </w:r>
        <w:r>
          <w:rPr>
            <w:color w:val="1153CC"/>
            <w:spacing w:val="-9"/>
            <w:u w:val="single" w:color="1153CC"/>
          </w:rPr>
          <w:t> </w:t>
        </w:r>
        <w:r>
          <w:rPr>
            <w:color w:val="1153CC"/>
            <w:u w:val="single" w:color="1153CC"/>
          </w:rPr>
          <w:t>Mental</w:t>
        </w:r>
        <w:r>
          <w:rPr>
            <w:color w:val="1153CC"/>
            <w:spacing w:val="-9"/>
            <w:u w:val="single" w:color="1153CC"/>
          </w:rPr>
          <w:t> </w:t>
        </w:r>
        <w:r>
          <w:rPr>
            <w:color w:val="1153CC"/>
            <w:u w:val="single" w:color="1153CC"/>
          </w:rPr>
          <w:t>Health</w:t>
        </w:r>
        <w:r>
          <w:rPr>
            <w:color w:val="1153CC"/>
            <w:spacing w:val="-7"/>
            <w:u w:val="single" w:color="1153CC"/>
          </w:rPr>
          <w:t> </w:t>
        </w:r>
        <w:r>
          <w:rPr>
            <w:color w:val="1153CC"/>
            <w:u w:val="single" w:color="1153CC"/>
          </w:rPr>
          <w:t>Resource</w:t>
        </w:r>
        <w:r>
          <w:rPr>
            <w:color w:val="1153CC"/>
            <w:spacing w:val="-9"/>
            <w:u w:val="single" w:color="1153CC"/>
          </w:rPr>
          <w:t> </w:t>
        </w:r>
        <w:r>
          <w:rPr>
            <w:color w:val="1153CC"/>
            <w:spacing w:val="-2"/>
            <w:u w:val="single" w:color="1153CC"/>
          </w:rPr>
          <w:t>Directory</w:t>
        </w:r>
      </w:hyperlink>
    </w:p>
    <w:p>
      <w:pPr>
        <w:pStyle w:val="BodyText"/>
        <w:spacing w:line="276" w:lineRule="auto" w:before="266"/>
        <w:ind w:left="751" w:right="550"/>
        <w:jc w:val="both"/>
      </w:pPr>
      <w:r>
        <w:rPr/>
        <w:t>This</w:t>
      </w:r>
      <w:r>
        <w:rPr>
          <w:spacing w:val="-1"/>
        </w:rPr>
        <w:t> </w:t>
      </w:r>
      <w:r>
        <w:rPr/>
        <w:t>Directory</w:t>
      </w:r>
      <w:r>
        <w:rPr>
          <w:spacing w:val="-1"/>
        </w:rPr>
        <w:t> </w:t>
      </w:r>
      <w:r>
        <w:rPr/>
        <w:t>contains</w:t>
      </w:r>
      <w:r>
        <w:rPr>
          <w:spacing w:val="-1"/>
        </w:rPr>
        <w:t> </w:t>
      </w:r>
      <w:r>
        <w:rPr/>
        <w:t>information</w:t>
      </w:r>
      <w:r>
        <w:rPr>
          <w:spacing w:val="-2"/>
        </w:rPr>
        <w:t> </w:t>
      </w:r>
      <w:r>
        <w:rPr/>
        <w:t>about</w:t>
      </w:r>
      <w:r>
        <w:rPr>
          <w:spacing w:val="-2"/>
        </w:rPr>
        <w:t> </w:t>
      </w:r>
      <w:r>
        <w:rPr/>
        <w:t>organizations</w:t>
      </w:r>
      <w:r>
        <w:rPr>
          <w:spacing w:val="-1"/>
        </w:rPr>
        <w:t> </w:t>
      </w:r>
      <w:r>
        <w:rPr/>
        <w:t>in</w:t>
      </w:r>
      <w:r>
        <w:rPr>
          <w:spacing w:val="-2"/>
        </w:rPr>
        <w:t> </w:t>
      </w:r>
      <w:r>
        <w:rPr/>
        <w:t>Massachusetts that offer</w:t>
      </w:r>
      <w:r>
        <w:rPr>
          <w:spacing w:val="-1"/>
        </w:rPr>
        <w:t> </w:t>
      </w:r>
      <w:r>
        <w:rPr/>
        <w:t>culturally</w:t>
      </w:r>
      <w:r>
        <w:rPr>
          <w:spacing w:val="-1"/>
        </w:rPr>
        <w:t> </w:t>
      </w:r>
      <w:r>
        <w:rPr/>
        <w:t>and linguistically appropriate services for communities of color, the LGBTQ community, the Deaf and hard of hearing community, immigrants, and refugees. Although this Directory contains information about a variety of organizations in MA that offer culturally and linguistically appropriate services for both immigrants and the LGBTQ community, there are no organizations that offer services for LGBTQ immigrant youth specifically.</w:t>
      </w:r>
    </w:p>
    <w:p>
      <w:pPr>
        <w:pStyle w:val="BodyText"/>
        <w:spacing w:before="241"/>
        <w:ind w:left="751"/>
        <w:jc w:val="both"/>
      </w:pPr>
      <w:hyperlink r:id="rId576">
        <w:r>
          <w:rPr>
            <w:color w:val="1153CC"/>
            <w:u w:val="single" w:color="1153CC"/>
          </w:rPr>
          <w:t>LGBT</w:t>
        </w:r>
        <w:r>
          <w:rPr>
            <w:color w:val="1153CC"/>
            <w:spacing w:val="-7"/>
            <w:u w:val="single" w:color="1153CC"/>
          </w:rPr>
          <w:t> </w:t>
        </w:r>
        <w:r>
          <w:rPr>
            <w:color w:val="1153CC"/>
            <w:u w:val="single" w:color="1153CC"/>
          </w:rPr>
          <w:t>Asylum</w:t>
        </w:r>
        <w:r>
          <w:rPr>
            <w:color w:val="1153CC"/>
            <w:spacing w:val="-5"/>
            <w:u w:val="single" w:color="1153CC"/>
          </w:rPr>
          <w:t> </w:t>
        </w:r>
        <w:r>
          <w:rPr>
            <w:color w:val="1153CC"/>
            <w:u w:val="single" w:color="1153CC"/>
          </w:rPr>
          <w:t>Task</w:t>
        </w:r>
        <w:r>
          <w:rPr>
            <w:color w:val="1153CC"/>
            <w:spacing w:val="-7"/>
            <w:u w:val="single" w:color="1153CC"/>
          </w:rPr>
          <w:t> </w:t>
        </w:r>
        <w:r>
          <w:rPr>
            <w:color w:val="1153CC"/>
            <w:spacing w:val="-4"/>
            <w:u w:val="single" w:color="1153CC"/>
          </w:rPr>
          <w:t>Force</w:t>
        </w:r>
      </w:hyperlink>
    </w:p>
    <w:p>
      <w:pPr>
        <w:pStyle w:val="BodyText"/>
        <w:spacing w:line="276" w:lineRule="auto" w:before="267"/>
        <w:ind w:left="751" w:right="549"/>
        <w:jc w:val="both"/>
      </w:pPr>
      <w:r>
        <w:rPr/>
        <w:t>Provides shared housing for LGBTQ asylum seekers in Worcester, Massachusetts. If funds are available, they provide a small monthly stipend to pay for food, transportation, and other basic expenses. Housing and stipend support continues until asylum seekers receive their work permits (EAD).</w:t>
      </w:r>
      <w:r>
        <w:rPr>
          <w:spacing w:val="-3"/>
        </w:rPr>
        <w:t> </w:t>
      </w:r>
      <w:r>
        <w:rPr/>
        <w:t>They</w:t>
      </w:r>
      <w:r>
        <w:rPr>
          <w:spacing w:val="-3"/>
        </w:rPr>
        <w:t> </w:t>
      </w:r>
      <w:r>
        <w:rPr/>
        <w:t>also</w:t>
      </w:r>
      <w:r>
        <w:rPr>
          <w:spacing w:val="-2"/>
        </w:rPr>
        <w:t> </w:t>
      </w:r>
      <w:r>
        <w:rPr/>
        <w:t>provide</w:t>
      </w:r>
      <w:r>
        <w:rPr>
          <w:spacing w:val="-3"/>
        </w:rPr>
        <w:t> </w:t>
      </w:r>
      <w:r>
        <w:rPr/>
        <w:t>a</w:t>
      </w:r>
      <w:r>
        <w:rPr>
          <w:spacing w:val="-3"/>
        </w:rPr>
        <w:t> </w:t>
      </w:r>
      <w:r>
        <w:rPr/>
        <w:t>list</w:t>
      </w:r>
      <w:r>
        <w:rPr>
          <w:spacing w:val="-3"/>
        </w:rPr>
        <w:t> </w:t>
      </w:r>
      <w:r>
        <w:rPr/>
        <w:t>of</w:t>
      </w:r>
      <w:r>
        <w:rPr>
          <w:spacing w:val="-3"/>
        </w:rPr>
        <w:t> </w:t>
      </w:r>
      <w:r>
        <w:rPr/>
        <w:t>pro</w:t>
      </w:r>
      <w:r>
        <w:rPr>
          <w:spacing w:val="-2"/>
        </w:rPr>
        <w:t> </w:t>
      </w:r>
      <w:r>
        <w:rPr/>
        <w:t>bono</w:t>
      </w:r>
      <w:r>
        <w:rPr>
          <w:spacing w:val="-2"/>
        </w:rPr>
        <w:t> </w:t>
      </w:r>
      <w:r>
        <w:rPr/>
        <w:t>immigration</w:t>
      </w:r>
      <w:r>
        <w:rPr>
          <w:spacing w:val="-3"/>
        </w:rPr>
        <w:t> </w:t>
      </w:r>
      <w:r>
        <w:rPr/>
        <w:t>lawyers</w:t>
      </w:r>
      <w:r>
        <w:rPr>
          <w:spacing w:val="-3"/>
        </w:rPr>
        <w:t> </w:t>
      </w:r>
      <w:r>
        <w:rPr/>
        <w:t>that</w:t>
      </w:r>
      <w:r>
        <w:rPr>
          <w:spacing w:val="-3"/>
        </w:rPr>
        <w:t> </w:t>
      </w:r>
      <w:r>
        <w:rPr/>
        <w:t>might</w:t>
      </w:r>
      <w:r>
        <w:rPr>
          <w:spacing w:val="-2"/>
        </w:rPr>
        <w:t> </w:t>
      </w:r>
      <w:r>
        <w:rPr/>
        <w:t>be</w:t>
      </w:r>
      <w:r>
        <w:rPr>
          <w:spacing w:val="-3"/>
        </w:rPr>
        <w:t> </w:t>
      </w:r>
      <w:r>
        <w:rPr/>
        <w:t>able</w:t>
      </w:r>
      <w:r>
        <w:rPr>
          <w:spacing w:val="-3"/>
        </w:rPr>
        <w:t> </w:t>
      </w:r>
      <w:r>
        <w:rPr/>
        <w:t>to</w:t>
      </w:r>
      <w:r>
        <w:rPr>
          <w:spacing w:val="-2"/>
        </w:rPr>
        <w:t> </w:t>
      </w:r>
      <w:r>
        <w:rPr/>
        <w:t>assist</w:t>
      </w:r>
      <w:r>
        <w:rPr>
          <w:spacing w:val="-3"/>
        </w:rPr>
        <w:t> </w:t>
      </w:r>
      <w:r>
        <w:rPr/>
        <w:t>asylum seekers</w:t>
      </w:r>
      <w:r>
        <w:rPr>
          <w:spacing w:val="-1"/>
        </w:rPr>
        <w:t> </w:t>
      </w:r>
      <w:r>
        <w:rPr/>
        <w:t>with the application</w:t>
      </w:r>
      <w:r>
        <w:rPr>
          <w:spacing w:val="-1"/>
        </w:rPr>
        <w:t> </w:t>
      </w:r>
      <w:r>
        <w:rPr/>
        <w:t>process.</w:t>
      </w:r>
      <w:r>
        <w:rPr>
          <w:spacing w:val="-1"/>
        </w:rPr>
        <w:t> </w:t>
      </w:r>
      <w:r>
        <w:rPr/>
        <w:t>Additionally, they</w:t>
      </w:r>
      <w:r>
        <w:rPr>
          <w:spacing w:val="-1"/>
        </w:rPr>
        <w:t> </w:t>
      </w:r>
      <w:r>
        <w:rPr/>
        <w:t>help</w:t>
      </w:r>
      <w:r>
        <w:rPr>
          <w:spacing w:val="-1"/>
        </w:rPr>
        <w:t> </w:t>
      </w:r>
      <w:r>
        <w:rPr/>
        <w:t>asylum</w:t>
      </w:r>
      <w:r>
        <w:rPr>
          <w:spacing w:val="-1"/>
        </w:rPr>
        <w:t> </w:t>
      </w:r>
      <w:r>
        <w:rPr/>
        <w:t>seekers to get</w:t>
      </w:r>
      <w:r>
        <w:rPr>
          <w:spacing w:val="-1"/>
        </w:rPr>
        <w:t> </w:t>
      </w:r>
      <w:r>
        <w:rPr/>
        <w:t>connected</w:t>
      </w:r>
      <w:r>
        <w:rPr>
          <w:spacing w:val="-1"/>
        </w:rPr>
        <w:t> </w:t>
      </w:r>
      <w:r>
        <w:rPr/>
        <w:t>to a doctor and therapist at the local health center.</w:t>
      </w:r>
    </w:p>
    <w:p>
      <w:pPr>
        <w:pStyle w:val="BodyText"/>
        <w:spacing w:before="240"/>
        <w:ind w:left="751"/>
        <w:jc w:val="both"/>
      </w:pPr>
      <w:hyperlink r:id="rId577">
        <w:r>
          <w:rPr>
            <w:color w:val="1153CC"/>
            <w:u w:val="single" w:color="1153CC"/>
          </w:rPr>
          <w:t>Greater</w:t>
        </w:r>
        <w:r>
          <w:rPr>
            <w:color w:val="1153CC"/>
            <w:spacing w:val="-8"/>
            <w:u w:val="single" w:color="1153CC"/>
          </w:rPr>
          <w:t> </w:t>
        </w:r>
        <w:r>
          <w:rPr>
            <w:color w:val="1153CC"/>
            <w:u w:val="single" w:color="1153CC"/>
          </w:rPr>
          <w:t>Boston</w:t>
        </w:r>
        <w:r>
          <w:rPr>
            <w:color w:val="1153CC"/>
            <w:spacing w:val="-8"/>
            <w:u w:val="single" w:color="1153CC"/>
          </w:rPr>
          <w:t> </w:t>
        </w:r>
        <w:r>
          <w:rPr>
            <w:color w:val="1153CC"/>
            <w:u w:val="single" w:color="1153CC"/>
          </w:rPr>
          <w:t>Immigrant</w:t>
        </w:r>
        <w:r>
          <w:rPr>
            <w:color w:val="1153CC"/>
            <w:spacing w:val="-8"/>
            <w:u w:val="single" w:color="1153CC"/>
          </w:rPr>
          <w:t> </w:t>
        </w:r>
        <w:r>
          <w:rPr>
            <w:color w:val="1153CC"/>
            <w:u w:val="single" w:color="1153CC"/>
          </w:rPr>
          <w:t>Defense</w:t>
        </w:r>
        <w:r>
          <w:rPr>
            <w:color w:val="1153CC"/>
            <w:spacing w:val="-7"/>
            <w:u w:val="single" w:color="1153CC"/>
          </w:rPr>
          <w:t> </w:t>
        </w:r>
        <w:r>
          <w:rPr>
            <w:color w:val="1153CC"/>
            <w:u w:val="single" w:color="1153CC"/>
          </w:rPr>
          <w:t>Fund</w:t>
        </w:r>
      </w:hyperlink>
      <w:r>
        <w:rPr>
          <w:color w:val="1153CC"/>
          <w:spacing w:val="-7"/>
          <w:u w:val="none"/>
        </w:rPr>
        <w:t> </w:t>
      </w:r>
      <w:r>
        <w:rPr>
          <w:u w:val="none"/>
        </w:rPr>
        <w:t>&amp;</w:t>
      </w:r>
      <w:r>
        <w:rPr>
          <w:spacing w:val="-8"/>
          <w:u w:val="none"/>
        </w:rPr>
        <w:t> </w:t>
      </w:r>
      <w:hyperlink r:id="rId578">
        <w:r>
          <w:rPr>
            <w:color w:val="1153CC"/>
            <w:u w:val="single" w:color="1153CC"/>
          </w:rPr>
          <w:t>United</w:t>
        </w:r>
        <w:r>
          <w:rPr>
            <w:color w:val="1153CC"/>
            <w:spacing w:val="-7"/>
            <w:u w:val="single" w:color="1153CC"/>
          </w:rPr>
          <w:t> </w:t>
        </w:r>
        <w:r>
          <w:rPr>
            <w:color w:val="1153CC"/>
            <w:u w:val="single" w:color="1153CC"/>
          </w:rPr>
          <w:t>Legal</w:t>
        </w:r>
        <w:r>
          <w:rPr>
            <w:color w:val="1153CC"/>
            <w:spacing w:val="-8"/>
            <w:u w:val="single" w:color="1153CC"/>
          </w:rPr>
          <w:t> </w:t>
        </w:r>
        <w:r>
          <w:rPr>
            <w:color w:val="1153CC"/>
            <w:u w:val="single" w:color="1153CC"/>
          </w:rPr>
          <w:t>Defense</w:t>
        </w:r>
        <w:r>
          <w:rPr>
            <w:color w:val="1153CC"/>
            <w:spacing w:val="-8"/>
            <w:u w:val="single" w:color="1153CC"/>
          </w:rPr>
          <w:t> </w:t>
        </w:r>
        <w:r>
          <w:rPr>
            <w:color w:val="1153CC"/>
            <w:u w:val="single" w:color="1153CC"/>
          </w:rPr>
          <w:t>Fund</w:t>
        </w:r>
        <w:r>
          <w:rPr>
            <w:color w:val="1153CC"/>
            <w:spacing w:val="-8"/>
            <w:u w:val="single" w:color="1153CC"/>
          </w:rPr>
          <w:t> </w:t>
        </w:r>
        <w:r>
          <w:rPr>
            <w:color w:val="1153CC"/>
            <w:u w:val="single" w:color="1153CC"/>
          </w:rPr>
          <w:t>for</w:t>
        </w:r>
        <w:r>
          <w:rPr>
            <w:color w:val="1153CC"/>
            <w:spacing w:val="-7"/>
            <w:u w:val="single" w:color="1153CC"/>
          </w:rPr>
          <w:t> </w:t>
        </w:r>
        <w:r>
          <w:rPr>
            <w:color w:val="1153CC"/>
            <w:spacing w:val="-2"/>
            <w:u w:val="single" w:color="1153CC"/>
          </w:rPr>
          <w:t>Immigrants</w:t>
        </w:r>
      </w:hyperlink>
    </w:p>
    <w:p>
      <w:pPr>
        <w:pStyle w:val="BodyText"/>
        <w:spacing w:line="276" w:lineRule="auto" w:before="267"/>
        <w:ind w:left="751" w:right="549"/>
        <w:jc w:val="both"/>
      </w:pPr>
      <w:r>
        <w:rPr/>
        <w:t>Both Funds support local organizations that provide representation to individuals in deportation proceedings who are otherwise unable to afford it. In addition to legal representation, both these Funds support nonprofits running legal education programs for immigrants such as “know your rights” trainings to prevent detention and deportation, and help immigrants navigate application processes.</w:t>
      </w:r>
      <w:r>
        <w:rPr>
          <w:spacing w:val="-1"/>
        </w:rPr>
        <w:t> </w:t>
      </w:r>
      <w:r>
        <w:rPr/>
        <w:t>In the case of the United Legal</w:t>
      </w:r>
      <w:r>
        <w:rPr>
          <w:spacing w:val="-1"/>
        </w:rPr>
        <w:t> </w:t>
      </w:r>
      <w:r>
        <w:rPr/>
        <w:t>Defense Fund, this support</w:t>
      </w:r>
      <w:r>
        <w:rPr>
          <w:spacing w:val="-1"/>
        </w:rPr>
        <w:t> </w:t>
      </w:r>
      <w:r>
        <w:rPr/>
        <w:t>extends to covering court or other fees.</w:t>
      </w:r>
    </w:p>
    <w:p>
      <w:pPr>
        <w:pStyle w:val="BodyText"/>
      </w:pPr>
    </w:p>
    <w:p>
      <w:pPr>
        <w:pStyle w:val="BodyText"/>
        <w:spacing w:before="223"/>
      </w:pPr>
    </w:p>
    <w:p>
      <w:pPr>
        <w:spacing w:before="0"/>
        <w:ind w:left="463" w:right="0" w:firstLine="0"/>
        <w:jc w:val="left"/>
        <w:rPr>
          <w:sz w:val="28"/>
        </w:rPr>
      </w:pPr>
      <w:r>
        <w:rPr/>
        <mc:AlternateContent>
          <mc:Choice Requires="wps">
            <w:drawing>
              <wp:anchor distT="0" distB="0" distL="0" distR="0" allowOverlap="1" layoutInCell="1" locked="0" behindDoc="1" simplePos="0" relativeHeight="487672832">
                <wp:simplePos x="0" y="0"/>
                <wp:positionH relativeFrom="page">
                  <wp:posOffset>897636</wp:posOffset>
                </wp:positionH>
                <wp:positionV relativeFrom="paragraph">
                  <wp:posOffset>229955</wp:posOffset>
                </wp:positionV>
                <wp:extent cx="5976620" cy="6350"/>
                <wp:effectExtent l="0" t="0" r="0" b="0"/>
                <wp:wrapTopAndBottom/>
                <wp:docPr id="441" name="Graphic 441"/>
                <wp:cNvGraphicFramePr>
                  <a:graphicFrameLocks/>
                </wp:cNvGraphicFramePr>
                <a:graphic>
                  <a:graphicData uri="http://schemas.microsoft.com/office/word/2010/wordprocessingShape">
                    <wps:wsp>
                      <wps:cNvPr id="441" name="Graphic 441"/>
                      <wps:cNvSpPr/>
                      <wps:spPr>
                        <a:xfrm>
                          <a:off x="0" y="0"/>
                          <a:ext cx="5976620" cy="6350"/>
                        </a:xfrm>
                        <a:custGeom>
                          <a:avLst/>
                          <a:gdLst/>
                          <a:ahLst/>
                          <a:cxnLst/>
                          <a:rect l="l" t="t" r="r" b="b"/>
                          <a:pathLst>
                            <a:path w="5976620" h="6350">
                              <a:moveTo>
                                <a:pt x="5976366" y="0"/>
                              </a:moveTo>
                              <a:lnTo>
                                <a:pt x="0" y="0"/>
                              </a:lnTo>
                              <a:lnTo>
                                <a:pt x="0" y="6108"/>
                              </a:lnTo>
                              <a:lnTo>
                                <a:pt x="5976366" y="6108"/>
                              </a:lnTo>
                              <a:lnTo>
                                <a:pt x="5976366" y="0"/>
                              </a:lnTo>
                              <a:close/>
                            </a:path>
                          </a:pathLst>
                        </a:custGeom>
                        <a:solidFill>
                          <a:srgbClr val="4F81BC"/>
                        </a:solidFill>
                      </wps:spPr>
                      <wps:bodyPr wrap="square" lIns="0" tIns="0" rIns="0" bIns="0" rtlCol="0">
                        <a:prstTxWarp prst="textNoShape">
                          <a:avLst/>
                        </a:prstTxWarp>
                        <a:noAutofit/>
                      </wps:bodyPr>
                    </wps:wsp>
                  </a:graphicData>
                </a:graphic>
              </wp:anchor>
            </w:drawing>
          </mc:Choice>
          <mc:Fallback>
            <w:pict>
              <v:rect style="position:absolute;margin-left:70.680pt;margin-top:18.106754pt;width:470.58pt;height:.481pt;mso-position-horizontal-relative:page;mso-position-vertical-relative:paragraph;z-index:-15643648;mso-wrap-distance-left:0;mso-wrap-distance-right:0" id="docshape351" filled="true" fillcolor="#4f81bc" stroked="false">
                <v:fill type="solid"/>
                <w10:wrap type="topAndBottom"/>
              </v:rect>
            </w:pict>
          </mc:Fallback>
        </mc:AlternateContent>
      </w:r>
      <w:bookmarkStart w:name="Acknowledgments &amp; Citations" w:id="800"/>
      <w:bookmarkEnd w:id="800"/>
      <w:r>
        <w:rPr/>
      </w:r>
      <w:r>
        <w:rPr>
          <w:color w:val="365F91"/>
          <w:sz w:val="28"/>
        </w:rPr>
        <w:t>Acknowledgments</w:t>
      </w:r>
      <w:r>
        <w:rPr>
          <w:color w:val="365F91"/>
          <w:spacing w:val="-15"/>
          <w:sz w:val="28"/>
        </w:rPr>
        <w:t> </w:t>
      </w:r>
      <w:r>
        <w:rPr>
          <w:color w:val="365F91"/>
          <w:sz w:val="28"/>
        </w:rPr>
        <w:t>&amp;</w:t>
      </w:r>
      <w:r>
        <w:rPr>
          <w:color w:val="365F91"/>
          <w:spacing w:val="-14"/>
          <w:sz w:val="28"/>
        </w:rPr>
        <w:t> </w:t>
      </w:r>
      <w:r>
        <w:rPr>
          <w:color w:val="365F91"/>
          <w:spacing w:val="-2"/>
          <w:sz w:val="28"/>
        </w:rPr>
        <w:t>Citations</w:t>
      </w:r>
    </w:p>
    <w:p>
      <w:pPr>
        <w:spacing w:before="241"/>
        <w:ind w:left="463" w:right="366" w:firstLine="0"/>
        <w:jc w:val="left"/>
        <w:rPr>
          <w:i/>
          <w:sz w:val="22"/>
        </w:rPr>
      </w:pPr>
      <w:r>
        <w:rPr>
          <w:i/>
          <w:sz w:val="22"/>
        </w:rPr>
        <w:t>Acknowledgments:</w:t>
      </w:r>
      <w:r>
        <w:rPr>
          <w:i/>
          <w:spacing w:val="-5"/>
          <w:sz w:val="22"/>
        </w:rPr>
        <w:t> </w:t>
      </w:r>
      <w:r>
        <w:rPr>
          <w:i/>
          <w:sz w:val="22"/>
        </w:rPr>
        <w:t>Karina</w:t>
      </w:r>
      <w:r>
        <w:rPr>
          <w:i/>
          <w:spacing w:val="-5"/>
          <w:sz w:val="22"/>
        </w:rPr>
        <w:t> </w:t>
      </w:r>
      <w:r>
        <w:rPr>
          <w:i/>
          <w:sz w:val="22"/>
        </w:rPr>
        <w:t>Zeferino,</w:t>
      </w:r>
      <w:r>
        <w:rPr>
          <w:i/>
          <w:spacing w:val="-5"/>
          <w:sz w:val="22"/>
        </w:rPr>
        <w:t> </w:t>
      </w:r>
      <w:r>
        <w:rPr>
          <w:i/>
          <w:sz w:val="22"/>
        </w:rPr>
        <w:t>lead</w:t>
      </w:r>
      <w:r>
        <w:rPr>
          <w:i/>
          <w:spacing w:val="-5"/>
          <w:sz w:val="22"/>
        </w:rPr>
        <w:t> </w:t>
      </w:r>
      <w:r>
        <w:rPr>
          <w:i/>
          <w:sz w:val="22"/>
        </w:rPr>
        <w:t>researcher</w:t>
      </w:r>
      <w:r>
        <w:rPr>
          <w:i/>
          <w:spacing w:val="-3"/>
          <w:sz w:val="22"/>
        </w:rPr>
        <w:t> </w:t>
      </w:r>
      <w:r>
        <w:rPr>
          <w:i/>
          <w:sz w:val="22"/>
        </w:rPr>
        <w:t>and</w:t>
      </w:r>
      <w:r>
        <w:rPr>
          <w:i/>
          <w:spacing w:val="-4"/>
          <w:sz w:val="22"/>
        </w:rPr>
        <w:t> </w:t>
      </w:r>
      <w:r>
        <w:rPr>
          <w:i/>
          <w:sz w:val="22"/>
        </w:rPr>
        <w:t>author</w:t>
      </w:r>
      <w:r>
        <w:rPr>
          <w:i/>
          <w:spacing w:val="-5"/>
          <w:sz w:val="22"/>
        </w:rPr>
        <w:t> </w:t>
      </w:r>
      <w:r>
        <w:rPr>
          <w:i/>
          <w:sz w:val="22"/>
        </w:rPr>
        <w:t>(2023),</w:t>
      </w:r>
      <w:r>
        <w:rPr>
          <w:i/>
          <w:spacing w:val="-5"/>
          <w:sz w:val="22"/>
        </w:rPr>
        <w:t> </w:t>
      </w:r>
      <w:r>
        <w:rPr>
          <w:i/>
          <w:sz w:val="22"/>
        </w:rPr>
        <w:t>Xóchitl</w:t>
      </w:r>
      <w:r>
        <w:rPr>
          <w:i/>
          <w:spacing w:val="-4"/>
          <w:sz w:val="22"/>
        </w:rPr>
        <w:t> </w:t>
      </w:r>
      <w:r>
        <w:rPr>
          <w:i/>
          <w:sz w:val="22"/>
        </w:rPr>
        <w:t>Aguirre,</w:t>
      </w:r>
      <w:r>
        <w:rPr>
          <w:i/>
          <w:spacing w:val="-3"/>
          <w:sz w:val="22"/>
        </w:rPr>
        <w:t> </w:t>
      </w:r>
      <w:r>
        <w:rPr>
          <w:i/>
          <w:sz w:val="22"/>
        </w:rPr>
        <w:t>secondary</w:t>
      </w:r>
      <w:r>
        <w:rPr>
          <w:i/>
          <w:sz w:val="22"/>
        </w:rPr>
        <w:t> researcher and editor (2024)</w:t>
      </w:r>
    </w:p>
    <w:p>
      <w:pPr>
        <w:pStyle w:val="BodyText"/>
        <w:spacing w:before="171"/>
        <w:rPr>
          <w:i/>
        </w:rPr>
      </w:pPr>
    </w:p>
    <w:p>
      <w:pPr>
        <w:spacing w:before="0"/>
        <w:ind w:left="463" w:right="1066" w:hanging="1"/>
        <w:jc w:val="left"/>
        <w:rPr>
          <w:sz w:val="18"/>
        </w:rPr>
      </w:pPr>
      <w:r>
        <w:rPr>
          <w:sz w:val="18"/>
          <w:vertAlign w:val="superscript"/>
        </w:rPr>
        <w:t>1</w:t>
      </w:r>
      <w:r>
        <w:rPr>
          <w:spacing w:val="-6"/>
          <w:sz w:val="18"/>
          <w:vertAlign w:val="baseline"/>
        </w:rPr>
        <w:t> </w:t>
      </w:r>
      <w:r>
        <w:rPr>
          <w:sz w:val="18"/>
          <w:vertAlign w:val="baseline"/>
        </w:rPr>
        <w:t>Associated Press, “Massachusetts Sheriff Ends Enforcement Agreement with ICE,” January 5, 2023, </w:t>
      </w:r>
      <w:r>
        <w:rPr>
          <w:spacing w:val="-2"/>
          <w:sz w:val="18"/>
          <w:vertAlign w:val="baseline"/>
        </w:rPr>
        <w:t>https://</w:t>
      </w:r>
      <w:hyperlink r:id="rId579">
        <w:r>
          <w:rPr>
            <w:spacing w:val="-2"/>
            <w:sz w:val="18"/>
            <w:vertAlign w:val="baseline"/>
          </w:rPr>
          <w:t>www.wgbh.org/news/local-news/2023/01/05/massachusetts-sheriff-ends-enforcement-agreement-with-ice.</w:t>
        </w:r>
      </w:hyperlink>
    </w:p>
    <w:p>
      <w:pPr>
        <w:spacing w:before="0"/>
        <w:ind w:left="463" w:right="366" w:firstLine="0"/>
        <w:jc w:val="left"/>
        <w:rPr>
          <w:sz w:val="18"/>
        </w:rPr>
      </w:pPr>
      <w:r>
        <w:rPr>
          <w:sz w:val="18"/>
          <w:vertAlign w:val="superscript"/>
        </w:rPr>
        <w:t>2</w:t>
      </w:r>
      <w:r>
        <w:rPr>
          <w:spacing w:val="-9"/>
          <w:sz w:val="18"/>
          <w:vertAlign w:val="baseline"/>
        </w:rPr>
        <w:t> </w:t>
      </w:r>
      <w:r>
        <w:rPr>
          <w:sz w:val="18"/>
          <w:vertAlign w:val="baseline"/>
        </w:rPr>
        <w:t>Sean Philip Cotter, “Boston Police Say They Received, Ignored 12 ICE Immigration Detainer Requests,” January 9, 2023, </w:t>
      </w:r>
      <w:r>
        <w:rPr>
          <w:spacing w:val="-2"/>
          <w:sz w:val="18"/>
          <w:vertAlign w:val="baseline"/>
        </w:rPr>
        <w:t>https://</w:t>
      </w:r>
      <w:hyperlink r:id="rId580">
        <w:r>
          <w:rPr>
            <w:spacing w:val="-2"/>
            <w:sz w:val="18"/>
            <w:vertAlign w:val="baseline"/>
          </w:rPr>
          <w:t>www.bostonherald.com/2023/01/09/boston-police-say-they-received-ignored-12-ice-immigration-detainer-requests/.</w:t>
        </w:r>
      </w:hyperlink>
      <w:r>
        <w:rPr>
          <w:spacing w:val="80"/>
          <w:sz w:val="18"/>
          <w:vertAlign w:val="baseline"/>
        </w:rPr>
        <w:t>  </w:t>
      </w:r>
      <w:r>
        <w:rPr>
          <w:sz w:val="18"/>
          <w:vertAlign w:val="superscript"/>
        </w:rPr>
        <w:t>3</w:t>
      </w:r>
      <w:r>
        <w:rPr>
          <w:spacing w:val="-8"/>
          <w:sz w:val="18"/>
          <w:vertAlign w:val="baseline"/>
        </w:rPr>
        <w:t> </w:t>
      </w:r>
      <w:r>
        <w:rPr>
          <w:sz w:val="18"/>
          <w:vertAlign w:val="baseline"/>
        </w:rPr>
        <w:t>Adi Daniels, “Why Do People Immigrate? - The Different Causes of Immigration,” </w:t>
      </w:r>
      <w:r>
        <w:rPr>
          <w:i/>
          <w:sz w:val="18"/>
          <w:vertAlign w:val="baseline"/>
        </w:rPr>
        <w:t>LIRS </w:t>
      </w:r>
      <w:r>
        <w:rPr>
          <w:sz w:val="18"/>
          <w:vertAlign w:val="baseline"/>
        </w:rPr>
        <w:t>(blog), July 15, 2021, </w:t>
      </w:r>
      <w:r>
        <w:rPr>
          <w:spacing w:val="-2"/>
          <w:sz w:val="18"/>
          <w:vertAlign w:val="baseline"/>
        </w:rPr>
        <w:t>https://</w:t>
      </w:r>
      <w:hyperlink r:id="rId581">
        <w:r>
          <w:rPr>
            <w:spacing w:val="-2"/>
            <w:sz w:val="18"/>
            <w:vertAlign w:val="baseline"/>
          </w:rPr>
          <w:t>www.lirs.org/causes-of-immigration/.</w:t>
        </w:r>
      </w:hyperlink>
    </w:p>
    <w:p>
      <w:pPr>
        <w:spacing w:after="0"/>
        <w:jc w:val="left"/>
        <w:rPr>
          <w:sz w:val="18"/>
        </w:rPr>
        <w:sectPr>
          <w:pgSz w:w="12240" w:h="15840"/>
          <w:pgMar w:header="805" w:footer="1208" w:top="1080" w:bottom="1460" w:left="980" w:right="1180"/>
        </w:sectPr>
      </w:pPr>
    </w:p>
    <w:p>
      <w:pPr>
        <w:spacing w:before="68"/>
        <w:ind w:left="463" w:right="271" w:hanging="1"/>
        <w:jc w:val="left"/>
        <w:rPr>
          <w:sz w:val="18"/>
        </w:rPr>
      </w:pPr>
      <w:r>
        <w:rPr>
          <w:sz w:val="18"/>
          <w:vertAlign w:val="superscript"/>
        </w:rPr>
        <w:t>4</w:t>
      </w:r>
      <w:r>
        <w:rPr>
          <w:spacing w:val="-13"/>
          <w:sz w:val="18"/>
          <w:vertAlign w:val="baseline"/>
        </w:rPr>
        <w:t> </w:t>
      </w:r>
      <w:r>
        <w:rPr>
          <w:sz w:val="18"/>
          <w:vertAlign w:val="baseline"/>
        </w:rPr>
        <w:t>“#OUTLAWED:</w:t>
      </w:r>
      <w:r>
        <w:rPr>
          <w:spacing w:val="-5"/>
          <w:sz w:val="18"/>
          <w:vertAlign w:val="baseline"/>
        </w:rPr>
        <w:t> </w:t>
      </w:r>
      <w:r>
        <w:rPr>
          <w:sz w:val="18"/>
          <w:vertAlign w:val="baseline"/>
        </w:rPr>
        <w:t>‘The</w:t>
      </w:r>
      <w:r>
        <w:rPr>
          <w:spacing w:val="-3"/>
          <w:sz w:val="18"/>
          <w:vertAlign w:val="baseline"/>
        </w:rPr>
        <w:t> </w:t>
      </w:r>
      <w:r>
        <w:rPr>
          <w:sz w:val="18"/>
          <w:vertAlign w:val="baseline"/>
        </w:rPr>
        <w:t>Love</w:t>
      </w:r>
      <w:r>
        <w:rPr>
          <w:spacing w:val="-3"/>
          <w:sz w:val="18"/>
          <w:vertAlign w:val="baseline"/>
        </w:rPr>
        <w:t> </w:t>
      </w:r>
      <w:r>
        <w:rPr>
          <w:sz w:val="18"/>
          <w:vertAlign w:val="baseline"/>
        </w:rPr>
        <w:t>That</w:t>
      </w:r>
      <w:r>
        <w:rPr>
          <w:spacing w:val="-4"/>
          <w:sz w:val="18"/>
          <w:vertAlign w:val="baseline"/>
        </w:rPr>
        <w:t> </w:t>
      </w:r>
      <w:r>
        <w:rPr>
          <w:sz w:val="18"/>
          <w:vertAlign w:val="baseline"/>
        </w:rPr>
        <w:t>Dare</w:t>
      </w:r>
      <w:r>
        <w:rPr>
          <w:spacing w:val="-3"/>
          <w:sz w:val="18"/>
          <w:vertAlign w:val="baseline"/>
        </w:rPr>
        <w:t> </w:t>
      </w:r>
      <w:r>
        <w:rPr>
          <w:sz w:val="18"/>
          <w:vertAlign w:val="baseline"/>
        </w:rPr>
        <w:t>Not</w:t>
      </w:r>
      <w:r>
        <w:rPr>
          <w:spacing w:val="-4"/>
          <w:sz w:val="18"/>
          <w:vertAlign w:val="baseline"/>
        </w:rPr>
        <w:t> </w:t>
      </w:r>
      <w:r>
        <w:rPr>
          <w:sz w:val="18"/>
          <w:vertAlign w:val="baseline"/>
        </w:rPr>
        <w:t>Speak</w:t>
      </w:r>
      <w:r>
        <w:rPr>
          <w:spacing w:val="-4"/>
          <w:sz w:val="18"/>
          <w:vertAlign w:val="baseline"/>
        </w:rPr>
        <w:t> </w:t>
      </w:r>
      <w:r>
        <w:rPr>
          <w:sz w:val="18"/>
          <w:vertAlign w:val="baseline"/>
        </w:rPr>
        <w:t>Its</w:t>
      </w:r>
      <w:r>
        <w:rPr>
          <w:spacing w:val="-3"/>
          <w:sz w:val="18"/>
          <w:vertAlign w:val="baseline"/>
        </w:rPr>
        <w:t> </w:t>
      </w:r>
      <w:r>
        <w:rPr>
          <w:sz w:val="18"/>
          <w:vertAlign w:val="baseline"/>
        </w:rPr>
        <w:t>Name,’”</w:t>
      </w:r>
      <w:r>
        <w:rPr>
          <w:spacing w:val="-3"/>
          <w:sz w:val="18"/>
          <w:vertAlign w:val="baseline"/>
        </w:rPr>
        <w:t> </w:t>
      </w:r>
      <w:r>
        <w:rPr>
          <w:sz w:val="18"/>
          <w:vertAlign w:val="baseline"/>
        </w:rPr>
        <w:t>accessed</w:t>
      </w:r>
      <w:r>
        <w:rPr>
          <w:spacing w:val="-3"/>
          <w:sz w:val="18"/>
          <w:vertAlign w:val="baseline"/>
        </w:rPr>
        <w:t> </w:t>
      </w:r>
      <w:r>
        <w:rPr>
          <w:sz w:val="18"/>
          <w:vertAlign w:val="baseline"/>
        </w:rPr>
        <w:t>April</w:t>
      </w:r>
      <w:r>
        <w:rPr>
          <w:spacing w:val="-4"/>
          <w:sz w:val="18"/>
          <w:vertAlign w:val="baseline"/>
        </w:rPr>
        <w:t> </w:t>
      </w:r>
      <w:r>
        <w:rPr>
          <w:sz w:val="18"/>
          <w:vertAlign w:val="baseline"/>
        </w:rPr>
        <w:t>3,</w:t>
      </w:r>
      <w:r>
        <w:rPr>
          <w:spacing w:val="-4"/>
          <w:sz w:val="18"/>
          <w:vertAlign w:val="baseline"/>
        </w:rPr>
        <w:t> </w:t>
      </w:r>
      <w:r>
        <w:rPr>
          <w:sz w:val="18"/>
          <w:vertAlign w:val="baseline"/>
        </w:rPr>
        <w:t>2023, </w:t>
      </w:r>
      <w:r>
        <w:rPr>
          <w:spacing w:val="-2"/>
          <w:sz w:val="18"/>
          <w:vertAlign w:val="baseline"/>
        </w:rPr>
        <w:t>https://features.hrw.org/features/features/lgbt_laws.</w:t>
      </w:r>
    </w:p>
    <w:p>
      <w:pPr>
        <w:spacing w:before="1"/>
        <w:ind w:left="463" w:right="0" w:firstLine="0"/>
        <w:jc w:val="left"/>
        <w:rPr>
          <w:sz w:val="18"/>
        </w:rPr>
      </w:pPr>
      <w:r>
        <w:rPr>
          <w:sz w:val="18"/>
          <w:vertAlign w:val="superscript"/>
        </w:rPr>
        <w:t>5</w:t>
      </w:r>
      <w:r>
        <w:rPr>
          <w:spacing w:val="-13"/>
          <w:sz w:val="18"/>
          <w:vertAlign w:val="baseline"/>
        </w:rPr>
        <w:t> </w:t>
      </w:r>
      <w:r>
        <w:rPr>
          <w:spacing w:val="-2"/>
          <w:sz w:val="18"/>
          <w:vertAlign w:val="baseline"/>
        </w:rPr>
        <w:t>“#OUTLAWED.”</w:t>
      </w:r>
    </w:p>
    <w:p>
      <w:pPr>
        <w:spacing w:before="0"/>
        <w:ind w:left="463" w:right="2983" w:hanging="1"/>
        <w:jc w:val="left"/>
        <w:rPr>
          <w:sz w:val="18"/>
        </w:rPr>
      </w:pPr>
      <w:r>
        <w:rPr>
          <w:sz w:val="18"/>
          <w:vertAlign w:val="superscript"/>
        </w:rPr>
        <w:t>6</w:t>
      </w:r>
      <w:r>
        <w:rPr>
          <w:spacing w:val="-13"/>
          <w:sz w:val="18"/>
          <w:vertAlign w:val="baseline"/>
        </w:rPr>
        <w:t> </w:t>
      </w:r>
      <w:r>
        <w:rPr>
          <w:sz w:val="18"/>
          <w:vertAlign w:val="baseline"/>
        </w:rPr>
        <w:t>Hasalyn</w:t>
      </w:r>
      <w:r>
        <w:rPr>
          <w:spacing w:val="-5"/>
          <w:sz w:val="18"/>
          <w:vertAlign w:val="baseline"/>
        </w:rPr>
        <w:t> </w:t>
      </w:r>
      <w:r>
        <w:rPr>
          <w:sz w:val="18"/>
          <w:vertAlign w:val="baseline"/>
        </w:rPr>
        <w:t>Modine,</w:t>
      </w:r>
      <w:r>
        <w:rPr>
          <w:spacing w:val="-4"/>
          <w:sz w:val="18"/>
          <w:vertAlign w:val="baseline"/>
        </w:rPr>
        <w:t> </w:t>
      </w:r>
      <w:r>
        <w:rPr>
          <w:sz w:val="18"/>
          <w:vertAlign w:val="baseline"/>
        </w:rPr>
        <w:t>“A</w:t>
      </w:r>
      <w:r>
        <w:rPr>
          <w:spacing w:val="-3"/>
          <w:sz w:val="18"/>
          <w:vertAlign w:val="baseline"/>
        </w:rPr>
        <w:t> </w:t>
      </w:r>
      <w:r>
        <w:rPr>
          <w:sz w:val="18"/>
          <w:vertAlign w:val="baseline"/>
        </w:rPr>
        <w:t>Short</w:t>
      </w:r>
      <w:r>
        <w:rPr>
          <w:spacing w:val="-4"/>
          <w:sz w:val="18"/>
          <w:vertAlign w:val="baseline"/>
        </w:rPr>
        <w:t> </w:t>
      </w:r>
      <w:r>
        <w:rPr>
          <w:sz w:val="18"/>
          <w:vertAlign w:val="baseline"/>
        </w:rPr>
        <w:t>History</w:t>
      </w:r>
      <w:r>
        <w:rPr>
          <w:spacing w:val="-3"/>
          <w:sz w:val="18"/>
          <w:vertAlign w:val="baseline"/>
        </w:rPr>
        <w:t> </w:t>
      </w:r>
      <w:r>
        <w:rPr>
          <w:sz w:val="18"/>
          <w:vertAlign w:val="baseline"/>
        </w:rPr>
        <w:t>of</w:t>
      </w:r>
      <w:r>
        <w:rPr>
          <w:spacing w:val="-3"/>
          <w:sz w:val="18"/>
          <w:vertAlign w:val="baseline"/>
        </w:rPr>
        <w:t> </w:t>
      </w:r>
      <w:r>
        <w:rPr>
          <w:sz w:val="18"/>
          <w:vertAlign w:val="baseline"/>
        </w:rPr>
        <w:t>LGBTQ</w:t>
      </w:r>
      <w:r>
        <w:rPr>
          <w:spacing w:val="-3"/>
          <w:sz w:val="18"/>
          <w:vertAlign w:val="baseline"/>
        </w:rPr>
        <w:t> </w:t>
      </w:r>
      <w:r>
        <w:rPr>
          <w:sz w:val="18"/>
          <w:vertAlign w:val="baseline"/>
        </w:rPr>
        <w:t>Immigration</w:t>
      </w:r>
      <w:r>
        <w:rPr>
          <w:spacing w:val="-3"/>
          <w:sz w:val="18"/>
          <w:vertAlign w:val="baseline"/>
        </w:rPr>
        <w:t> </w:t>
      </w:r>
      <w:r>
        <w:rPr>
          <w:sz w:val="18"/>
          <w:vertAlign w:val="baseline"/>
        </w:rPr>
        <w:t>Policy,”</w:t>
      </w:r>
      <w:r>
        <w:rPr>
          <w:spacing w:val="-3"/>
          <w:sz w:val="18"/>
          <w:vertAlign w:val="baseline"/>
        </w:rPr>
        <w:t> </w:t>
      </w:r>
      <w:r>
        <w:rPr>
          <w:sz w:val="18"/>
          <w:vertAlign w:val="baseline"/>
        </w:rPr>
        <w:t>Boundless,</w:t>
      </w:r>
      <w:r>
        <w:rPr>
          <w:spacing w:val="-4"/>
          <w:sz w:val="18"/>
          <w:vertAlign w:val="baseline"/>
        </w:rPr>
        <w:t> </w:t>
      </w:r>
      <w:r>
        <w:rPr>
          <w:sz w:val="18"/>
          <w:vertAlign w:val="baseline"/>
        </w:rPr>
        <w:t>June</w:t>
      </w:r>
      <w:r>
        <w:rPr>
          <w:spacing w:val="-3"/>
          <w:sz w:val="18"/>
          <w:vertAlign w:val="baseline"/>
        </w:rPr>
        <w:t> </w:t>
      </w:r>
      <w:r>
        <w:rPr>
          <w:sz w:val="18"/>
          <w:vertAlign w:val="baseline"/>
        </w:rPr>
        <w:t>6,</w:t>
      </w:r>
      <w:r>
        <w:rPr>
          <w:spacing w:val="-4"/>
          <w:sz w:val="18"/>
          <w:vertAlign w:val="baseline"/>
        </w:rPr>
        <w:t> </w:t>
      </w:r>
      <w:r>
        <w:rPr>
          <w:sz w:val="18"/>
          <w:vertAlign w:val="baseline"/>
        </w:rPr>
        <w:t>2022, </w:t>
      </w:r>
      <w:r>
        <w:rPr>
          <w:spacing w:val="-2"/>
          <w:sz w:val="18"/>
          <w:vertAlign w:val="baseline"/>
        </w:rPr>
        <w:t>https://</w:t>
      </w:r>
      <w:hyperlink r:id="rId582">
        <w:r>
          <w:rPr>
            <w:spacing w:val="-2"/>
            <w:sz w:val="18"/>
            <w:vertAlign w:val="baseline"/>
          </w:rPr>
          <w:t>www.boundless.com/blog/a-short-history-lgbtq-immigration-policy/.</w:t>
        </w:r>
      </w:hyperlink>
    </w:p>
    <w:p>
      <w:pPr>
        <w:spacing w:before="0"/>
        <w:ind w:left="463" w:right="731" w:hanging="1"/>
        <w:jc w:val="left"/>
        <w:rPr>
          <w:sz w:val="18"/>
        </w:rPr>
      </w:pPr>
      <w:r>
        <w:rPr>
          <w:sz w:val="18"/>
          <w:vertAlign w:val="superscript"/>
        </w:rPr>
        <w:t>7</w:t>
      </w:r>
      <w:r>
        <w:rPr>
          <w:spacing w:val="-13"/>
          <w:sz w:val="18"/>
          <w:vertAlign w:val="baseline"/>
        </w:rPr>
        <w:t> </w:t>
      </w:r>
      <w:r>
        <w:rPr>
          <w:sz w:val="18"/>
          <w:vertAlign w:val="baseline"/>
        </w:rPr>
        <w:t>Sharita</w:t>
      </w:r>
      <w:r>
        <w:rPr>
          <w:spacing w:val="-1"/>
          <w:sz w:val="18"/>
          <w:vertAlign w:val="baseline"/>
        </w:rPr>
        <w:t> </w:t>
      </w:r>
      <w:r>
        <w:rPr>
          <w:sz w:val="18"/>
          <w:vertAlign w:val="baseline"/>
        </w:rPr>
        <w:t>Gruberg,</w:t>
      </w:r>
      <w:r>
        <w:rPr>
          <w:spacing w:val="-2"/>
          <w:sz w:val="18"/>
          <w:vertAlign w:val="baseline"/>
        </w:rPr>
        <w:t> </w:t>
      </w:r>
      <w:r>
        <w:rPr>
          <w:sz w:val="18"/>
          <w:vertAlign w:val="baseline"/>
        </w:rPr>
        <w:t>“On</w:t>
      </w:r>
      <w:r>
        <w:rPr>
          <w:spacing w:val="-1"/>
          <w:sz w:val="18"/>
          <w:vertAlign w:val="baseline"/>
        </w:rPr>
        <w:t> </w:t>
      </w:r>
      <w:r>
        <w:rPr>
          <w:sz w:val="18"/>
          <w:vertAlign w:val="baseline"/>
        </w:rPr>
        <w:t>the</w:t>
      </w:r>
      <w:r>
        <w:rPr>
          <w:spacing w:val="-1"/>
          <w:sz w:val="18"/>
          <w:vertAlign w:val="baseline"/>
        </w:rPr>
        <w:t> </w:t>
      </w:r>
      <w:r>
        <w:rPr>
          <w:sz w:val="18"/>
          <w:vertAlign w:val="baseline"/>
        </w:rPr>
        <w:t>50th</w:t>
      </w:r>
      <w:r>
        <w:rPr>
          <w:spacing w:val="-2"/>
          <w:sz w:val="18"/>
          <w:vertAlign w:val="baseline"/>
        </w:rPr>
        <w:t> </w:t>
      </w:r>
      <w:r>
        <w:rPr>
          <w:sz w:val="18"/>
          <w:vertAlign w:val="baseline"/>
        </w:rPr>
        <w:t>Anniversary</w:t>
      </w:r>
      <w:r>
        <w:rPr>
          <w:spacing w:val="-1"/>
          <w:sz w:val="18"/>
          <w:vertAlign w:val="baseline"/>
        </w:rPr>
        <w:t> </w:t>
      </w:r>
      <w:r>
        <w:rPr>
          <w:sz w:val="18"/>
          <w:vertAlign w:val="baseline"/>
        </w:rPr>
        <w:t>of</w:t>
      </w:r>
      <w:r>
        <w:rPr>
          <w:spacing w:val="-1"/>
          <w:sz w:val="18"/>
          <w:vertAlign w:val="baseline"/>
        </w:rPr>
        <w:t> </w:t>
      </w:r>
      <w:r>
        <w:rPr>
          <w:sz w:val="18"/>
          <w:vertAlign w:val="baseline"/>
        </w:rPr>
        <w:t>the</w:t>
      </w:r>
      <w:r>
        <w:rPr>
          <w:spacing w:val="-1"/>
          <w:sz w:val="18"/>
          <w:vertAlign w:val="baseline"/>
        </w:rPr>
        <w:t> </w:t>
      </w:r>
      <w:r>
        <w:rPr>
          <w:sz w:val="18"/>
          <w:vertAlign w:val="baseline"/>
        </w:rPr>
        <w:t>Immigration</w:t>
      </w:r>
      <w:r>
        <w:rPr>
          <w:spacing w:val="-2"/>
          <w:sz w:val="18"/>
          <w:vertAlign w:val="baseline"/>
        </w:rPr>
        <w:t> </w:t>
      </w:r>
      <w:r>
        <w:rPr>
          <w:sz w:val="18"/>
          <w:vertAlign w:val="baseline"/>
        </w:rPr>
        <w:t>and</w:t>
      </w:r>
      <w:r>
        <w:rPr>
          <w:spacing w:val="-1"/>
          <w:sz w:val="18"/>
          <w:vertAlign w:val="baseline"/>
        </w:rPr>
        <w:t> </w:t>
      </w:r>
      <w:r>
        <w:rPr>
          <w:sz w:val="18"/>
          <w:vertAlign w:val="baseline"/>
        </w:rPr>
        <w:t>Nationality</w:t>
      </w:r>
      <w:r>
        <w:rPr>
          <w:spacing w:val="-1"/>
          <w:sz w:val="18"/>
          <w:vertAlign w:val="baseline"/>
        </w:rPr>
        <w:t> </w:t>
      </w:r>
      <w:r>
        <w:rPr>
          <w:sz w:val="18"/>
          <w:vertAlign w:val="baseline"/>
        </w:rPr>
        <w:t>Act,</w:t>
      </w:r>
      <w:r>
        <w:rPr>
          <w:spacing w:val="-2"/>
          <w:sz w:val="18"/>
          <w:vertAlign w:val="baseline"/>
        </w:rPr>
        <w:t> </w:t>
      </w:r>
      <w:r>
        <w:rPr>
          <w:sz w:val="18"/>
          <w:vertAlign w:val="baseline"/>
        </w:rPr>
        <w:t>Changes</w:t>
      </w:r>
      <w:r>
        <w:rPr>
          <w:spacing w:val="-1"/>
          <w:sz w:val="18"/>
          <w:vertAlign w:val="baseline"/>
        </w:rPr>
        <w:t> </w:t>
      </w:r>
      <w:r>
        <w:rPr>
          <w:sz w:val="18"/>
          <w:vertAlign w:val="baseline"/>
        </w:rPr>
        <w:t>Are</w:t>
      </w:r>
      <w:r>
        <w:rPr>
          <w:spacing w:val="-1"/>
          <w:sz w:val="18"/>
          <w:vertAlign w:val="baseline"/>
        </w:rPr>
        <w:t> </w:t>
      </w:r>
      <w:r>
        <w:rPr>
          <w:sz w:val="18"/>
          <w:vertAlign w:val="baseline"/>
        </w:rPr>
        <w:t>Needed</w:t>
      </w:r>
      <w:r>
        <w:rPr>
          <w:spacing w:val="-1"/>
          <w:sz w:val="18"/>
          <w:vertAlign w:val="baseline"/>
        </w:rPr>
        <w:t> </w:t>
      </w:r>
      <w:r>
        <w:rPr>
          <w:sz w:val="18"/>
          <w:vertAlign w:val="baseline"/>
        </w:rPr>
        <w:t>to</w:t>
      </w:r>
      <w:r>
        <w:rPr>
          <w:spacing w:val="-1"/>
          <w:sz w:val="18"/>
          <w:vertAlign w:val="baseline"/>
        </w:rPr>
        <w:t> </w:t>
      </w:r>
      <w:r>
        <w:rPr>
          <w:sz w:val="18"/>
          <w:vertAlign w:val="baseline"/>
        </w:rPr>
        <w:t>Protect</w:t>
      </w:r>
      <w:r>
        <w:rPr>
          <w:spacing w:val="-2"/>
          <w:sz w:val="18"/>
          <w:vertAlign w:val="baseline"/>
        </w:rPr>
        <w:t> </w:t>
      </w:r>
      <w:r>
        <w:rPr>
          <w:sz w:val="18"/>
          <w:vertAlign w:val="baseline"/>
        </w:rPr>
        <w:t>LGBT Immigrants - Center for American Progress,” Center for American Progress, March 23, 2015, </w:t>
      </w:r>
      <w:r>
        <w:rPr>
          <w:spacing w:val="-2"/>
          <w:sz w:val="18"/>
          <w:vertAlign w:val="baseline"/>
        </w:rPr>
        <w:t>https://</w:t>
      </w:r>
      <w:hyperlink r:id="rId583">
        <w:r>
          <w:rPr>
            <w:spacing w:val="-2"/>
            <w:sz w:val="18"/>
            <w:vertAlign w:val="baseline"/>
          </w:rPr>
          <w:t>www.americanprogress.org/article/on-the-50th-anniversary-of-the-immigration-and-nationality-act-changes-are-</w:t>
        </w:r>
      </w:hyperlink>
      <w:r>
        <w:rPr>
          <w:sz w:val="18"/>
          <w:vertAlign w:val="baseline"/>
        </w:rPr>
        <w:t> </w:t>
      </w:r>
      <w:r>
        <w:rPr>
          <w:spacing w:val="-2"/>
          <w:sz w:val="18"/>
          <w:vertAlign w:val="baseline"/>
        </w:rPr>
        <w:t>needed-to-protect-lgbt-immigrants/.</w:t>
      </w:r>
    </w:p>
    <w:p>
      <w:pPr>
        <w:spacing w:line="219" w:lineRule="exact" w:before="0"/>
        <w:ind w:left="463" w:right="0" w:firstLine="0"/>
        <w:jc w:val="left"/>
        <w:rPr>
          <w:sz w:val="18"/>
        </w:rPr>
      </w:pPr>
      <w:r>
        <w:rPr>
          <w:sz w:val="18"/>
          <w:vertAlign w:val="superscript"/>
        </w:rPr>
        <w:t>8</w:t>
      </w:r>
      <w:r>
        <w:rPr>
          <w:spacing w:val="-13"/>
          <w:sz w:val="18"/>
          <w:vertAlign w:val="baseline"/>
        </w:rPr>
        <w:t> </w:t>
      </w:r>
      <w:r>
        <w:rPr>
          <w:spacing w:val="-2"/>
          <w:sz w:val="18"/>
          <w:vertAlign w:val="baseline"/>
        </w:rPr>
        <w:t>Gruberg.</w:t>
      </w:r>
    </w:p>
    <w:p>
      <w:pPr>
        <w:spacing w:before="0"/>
        <w:ind w:left="463" w:right="1538" w:hanging="1"/>
        <w:jc w:val="left"/>
        <w:rPr>
          <w:sz w:val="18"/>
        </w:rPr>
      </w:pPr>
      <w:r>
        <w:rPr>
          <w:sz w:val="18"/>
          <w:vertAlign w:val="superscript"/>
        </w:rPr>
        <w:t>9</w:t>
      </w:r>
      <w:r>
        <w:rPr>
          <w:spacing w:val="-13"/>
          <w:sz w:val="18"/>
          <w:vertAlign w:val="baseline"/>
        </w:rPr>
        <w:t> </w:t>
      </w:r>
      <w:r>
        <w:rPr>
          <w:sz w:val="18"/>
          <w:vertAlign w:val="baseline"/>
        </w:rPr>
        <w:t>Devin</w:t>
      </w:r>
      <w:r>
        <w:rPr>
          <w:spacing w:val="-4"/>
          <w:sz w:val="18"/>
          <w:vertAlign w:val="baseline"/>
        </w:rPr>
        <w:t> </w:t>
      </w:r>
      <w:r>
        <w:rPr>
          <w:sz w:val="18"/>
          <w:vertAlign w:val="baseline"/>
        </w:rPr>
        <w:t>Dwyer,</w:t>
      </w:r>
      <w:r>
        <w:rPr>
          <w:spacing w:val="-3"/>
          <w:sz w:val="18"/>
          <w:vertAlign w:val="baseline"/>
        </w:rPr>
        <w:t> </w:t>
      </w:r>
      <w:r>
        <w:rPr>
          <w:sz w:val="18"/>
          <w:vertAlign w:val="baseline"/>
        </w:rPr>
        <w:t>“U.S.</w:t>
      </w:r>
      <w:r>
        <w:rPr>
          <w:spacing w:val="-2"/>
          <w:sz w:val="18"/>
          <w:vertAlign w:val="baseline"/>
        </w:rPr>
        <w:t> </w:t>
      </w:r>
      <w:r>
        <w:rPr>
          <w:sz w:val="18"/>
          <w:vertAlign w:val="baseline"/>
        </w:rPr>
        <w:t>Ban</w:t>
      </w:r>
      <w:r>
        <w:rPr>
          <w:spacing w:val="-2"/>
          <w:sz w:val="18"/>
          <w:vertAlign w:val="baseline"/>
        </w:rPr>
        <w:t> </w:t>
      </w:r>
      <w:r>
        <w:rPr>
          <w:sz w:val="18"/>
          <w:vertAlign w:val="baseline"/>
        </w:rPr>
        <w:t>on</w:t>
      </w:r>
      <w:r>
        <w:rPr>
          <w:spacing w:val="-2"/>
          <w:sz w:val="18"/>
          <w:vertAlign w:val="baseline"/>
        </w:rPr>
        <w:t> </w:t>
      </w:r>
      <w:r>
        <w:rPr>
          <w:sz w:val="18"/>
          <w:vertAlign w:val="baseline"/>
        </w:rPr>
        <w:t>HIV-Positive</w:t>
      </w:r>
      <w:r>
        <w:rPr>
          <w:spacing w:val="-2"/>
          <w:sz w:val="18"/>
          <w:vertAlign w:val="baseline"/>
        </w:rPr>
        <w:t> </w:t>
      </w:r>
      <w:r>
        <w:rPr>
          <w:sz w:val="18"/>
          <w:vertAlign w:val="baseline"/>
        </w:rPr>
        <w:t>Visitors,</w:t>
      </w:r>
      <w:r>
        <w:rPr>
          <w:spacing w:val="-2"/>
          <w:sz w:val="18"/>
          <w:vertAlign w:val="baseline"/>
        </w:rPr>
        <w:t> </w:t>
      </w:r>
      <w:r>
        <w:rPr>
          <w:sz w:val="18"/>
          <w:vertAlign w:val="baseline"/>
        </w:rPr>
        <w:t>Immigrants</w:t>
      </w:r>
      <w:r>
        <w:rPr>
          <w:spacing w:val="-2"/>
          <w:sz w:val="18"/>
          <w:vertAlign w:val="baseline"/>
        </w:rPr>
        <w:t> </w:t>
      </w:r>
      <w:r>
        <w:rPr>
          <w:sz w:val="18"/>
          <w:vertAlign w:val="baseline"/>
        </w:rPr>
        <w:t>Expires</w:t>
      </w:r>
      <w:r>
        <w:rPr>
          <w:spacing w:val="-2"/>
          <w:sz w:val="18"/>
          <w:vertAlign w:val="baseline"/>
        </w:rPr>
        <w:t> </w:t>
      </w:r>
      <w:r>
        <w:rPr>
          <w:sz w:val="18"/>
          <w:vertAlign w:val="baseline"/>
        </w:rPr>
        <w:t>-</w:t>
      </w:r>
      <w:r>
        <w:rPr>
          <w:spacing w:val="-2"/>
          <w:sz w:val="18"/>
          <w:vertAlign w:val="baseline"/>
        </w:rPr>
        <w:t> </w:t>
      </w:r>
      <w:r>
        <w:rPr>
          <w:sz w:val="18"/>
          <w:vertAlign w:val="baseline"/>
        </w:rPr>
        <w:t>ABC</w:t>
      </w:r>
      <w:r>
        <w:rPr>
          <w:spacing w:val="-4"/>
          <w:sz w:val="18"/>
          <w:vertAlign w:val="baseline"/>
        </w:rPr>
        <w:t> </w:t>
      </w:r>
      <w:r>
        <w:rPr>
          <w:sz w:val="18"/>
          <w:vertAlign w:val="baseline"/>
        </w:rPr>
        <w:t>News,”</w:t>
      </w:r>
      <w:r>
        <w:rPr>
          <w:spacing w:val="-3"/>
          <w:sz w:val="18"/>
          <w:vertAlign w:val="baseline"/>
        </w:rPr>
        <w:t> </w:t>
      </w:r>
      <w:r>
        <w:rPr>
          <w:sz w:val="18"/>
          <w:vertAlign w:val="baseline"/>
        </w:rPr>
        <w:t>ABC</w:t>
      </w:r>
      <w:r>
        <w:rPr>
          <w:spacing w:val="-2"/>
          <w:sz w:val="18"/>
          <w:vertAlign w:val="baseline"/>
        </w:rPr>
        <w:t> </w:t>
      </w:r>
      <w:r>
        <w:rPr>
          <w:sz w:val="18"/>
          <w:vertAlign w:val="baseline"/>
        </w:rPr>
        <w:t>News,</w:t>
      </w:r>
      <w:r>
        <w:rPr>
          <w:spacing w:val="-3"/>
          <w:sz w:val="18"/>
          <w:vertAlign w:val="baseline"/>
        </w:rPr>
        <w:t> </w:t>
      </w:r>
      <w:r>
        <w:rPr>
          <w:sz w:val="18"/>
          <w:vertAlign w:val="baseline"/>
        </w:rPr>
        <w:t>January</w:t>
      </w:r>
      <w:r>
        <w:rPr>
          <w:spacing w:val="-2"/>
          <w:sz w:val="18"/>
          <w:vertAlign w:val="baseline"/>
        </w:rPr>
        <w:t> </w:t>
      </w:r>
      <w:r>
        <w:rPr>
          <w:sz w:val="18"/>
          <w:vertAlign w:val="baseline"/>
        </w:rPr>
        <w:t>5,</w:t>
      </w:r>
      <w:r>
        <w:rPr>
          <w:spacing w:val="-3"/>
          <w:sz w:val="18"/>
          <w:vertAlign w:val="baseline"/>
        </w:rPr>
        <w:t> </w:t>
      </w:r>
      <w:r>
        <w:rPr>
          <w:sz w:val="18"/>
          <w:vertAlign w:val="baseline"/>
        </w:rPr>
        <w:t>2010, </w:t>
      </w:r>
      <w:r>
        <w:rPr>
          <w:spacing w:val="-2"/>
          <w:sz w:val="18"/>
          <w:vertAlign w:val="baseline"/>
        </w:rPr>
        <w:t>https://abcnews.go.com/Politics/united-states-ends-22-year-hiv-travel-ban/story?id=9482817.</w:t>
      </w:r>
    </w:p>
    <w:p>
      <w:pPr>
        <w:spacing w:before="1"/>
        <w:ind w:left="463" w:right="271" w:hanging="1"/>
        <w:jc w:val="left"/>
        <w:rPr>
          <w:sz w:val="18"/>
        </w:rPr>
      </w:pPr>
      <w:r>
        <w:rPr>
          <w:sz w:val="18"/>
          <w:vertAlign w:val="superscript"/>
        </w:rPr>
        <w:t>10</w:t>
      </w:r>
      <w:r>
        <w:rPr>
          <w:spacing w:val="-13"/>
          <w:sz w:val="18"/>
          <w:vertAlign w:val="baseline"/>
        </w:rPr>
        <w:t> </w:t>
      </w:r>
      <w:r>
        <w:rPr>
          <w:sz w:val="18"/>
          <w:vertAlign w:val="baseline"/>
        </w:rPr>
        <w:t>Gruberg,</w:t>
      </w:r>
      <w:r>
        <w:rPr>
          <w:spacing w:val="-4"/>
          <w:sz w:val="18"/>
          <w:vertAlign w:val="baseline"/>
        </w:rPr>
        <w:t> </w:t>
      </w:r>
      <w:r>
        <w:rPr>
          <w:sz w:val="18"/>
          <w:vertAlign w:val="baseline"/>
        </w:rPr>
        <w:t>“On</w:t>
      </w:r>
      <w:r>
        <w:rPr>
          <w:spacing w:val="-2"/>
          <w:sz w:val="18"/>
          <w:vertAlign w:val="baseline"/>
        </w:rPr>
        <w:t> </w:t>
      </w:r>
      <w:r>
        <w:rPr>
          <w:sz w:val="18"/>
          <w:vertAlign w:val="baseline"/>
        </w:rPr>
        <w:t>the</w:t>
      </w:r>
      <w:r>
        <w:rPr>
          <w:spacing w:val="-2"/>
          <w:sz w:val="18"/>
          <w:vertAlign w:val="baseline"/>
        </w:rPr>
        <w:t> </w:t>
      </w:r>
      <w:r>
        <w:rPr>
          <w:sz w:val="18"/>
          <w:vertAlign w:val="baseline"/>
        </w:rPr>
        <w:t>50th</w:t>
      </w:r>
      <w:r>
        <w:rPr>
          <w:spacing w:val="-2"/>
          <w:sz w:val="18"/>
          <w:vertAlign w:val="baseline"/>
        </w:rPr>
        <w:t> </w:t>
      </w:r>
      <w:r>
        <w:rPr>
          <w:sz w:val="18"/>
          <w:vertAlign w:val="baseline"/>
        </w:rPr>
        <w:t>Anniversary</w:t>
      </w:r>
      <w:r>
        <w:rPr>
          <w:spacing w:val="-2"/>
          <w:sz w:val="18"/>
          <w:vertAlign w:val="baseline"/>
        </w:rPr>
        <w:t> </w:t>
      </w:r>
      <w:r>
        <w:rPr>
          <w:sz w:val="18"/>
          <w:vertAlign w:val="baseline"/>
        </w:rPr>
        <w:t>of</w:t>
      </w:r>
      <w:r>
        <w:rPr>
          <w:spacing w:val="-2"/>
          <w:sz w:val="18"/>
          <w:vertAlign w:val="baseline"/>
        </w:rPr>
        <w:t> </w:t>
      </w:r>
      <w:r>
        <w:rPr>
          <w:sz w:val="18"/>
          <w:vertAlign w:val="baseline"/>
        </w:rPr>
        <w:t>the</w:t>
      </w:r>
      <w:r>
        <w:rPr>
          <w:spacing w:val="-2"/>
          <w:sz w:val="18"/>
          <w:vertAlign w:val="baseline"/>
        </w:rPr>
        <w:t> </w:t>
      </w:r>
      <w:r>
        <w:rPr>
          <w:sz w:val="18"/>
          <w:vertAlign w:val="baseline"/>
        </w:rPr>
        <w:t>Immigration</w:t>
      </w:r>
      <w:r>
        <w:rPr>
          <w:spacing w:val="-2"/>
          <w:sz w:val="18"/>
          <w:vertAlign w:val="baseline"/>
        </w:rPr>
        <w:t> </w:t>
      </w:r>
      <w:r>
        <w:rPr>
          <w:sz w:val="18"/>
          <w:vertAlign w:val="baseline"/>
        </w:rPr>
        <w:t>and</w:t>
      </w:r>
      <w:r>
        <w:rPr>
          <w:spacing w:val="-2"/>
          <w:sz w:val="18"/>
          <w:vertAlign w:val="baseline"/>
        </w:rPr>
        <w:t> </w:t>
      </w:r>
      <w:r>
        <w:rPr>
          <w:sz w:val="18"/>
          <w:vertAlign w:val="baseline"/>
        </w:rPr>
        <w:t>Nationality</w:t>
      </w:r>
      <w:r>
        <w:rPr>
          <w:spacing w:val="-2"/>
          <w:sz w:val="18"/>
          <w:vertAlign w:val="baseline"/>
        </w:rPr>
        <w:t> </w:t>
      </w:r>
      <w:r>
        <w:rPr>
          <w:sz w:val="18"/>
          <w:vertAlign w:val="baseline"/>
        </w:rPr>
        <w:t>Act,</w:t>
      </w:r>
      <w:r>
        <w:rPr>
          <w:spacing w:val="-3"/>
          <w:sz w:val="18"/>
          <w:vertAlign w:val="baseline"/>
        </w:rPr>
        <w:t> </w:t>
      </w:r>
      <w:r>
        <w:rPr>
          <w:sz w:val="18"/>
          <w:vertAlign w:val="baseline"/>
        </w:rPr>
        <w:t>Changes</w:t>
      </w:r>
      <w:r>
        <w:rPr>
          <w:spacing w:val="-3"/>
          <w:sz w:val="18"/>
          <w:vertAlign w:val="baseline"/>
        </w:rPr>
        <w:t> </w:t>
      </w:r>
      <w:r>
        <w:rPr>
          <w:sz w:val="18"/>
          <w:vertAlign w:val="baseline"/>
        </w:rPr>
        <w:t>Are</w:t>
      </w:r>
      <w:r>
        <w:rPr>
          <w:spacing w:val="-2"/>
          <w:sz w:val="18"/>
          <w:vertAlign w:val="baseline"/>
        </w:rPr>
        <w:t> </w:t>
      </w:r>
      <w:r>
        <w:rPr>
          <w:sz w:val="18"/>
          <w:vertAlign w:val="baseline"/>
        </w:rPr>
        <w:t>Needed</w:t>
      </w:r>
      <w:r>
        <w:rPr>
          <w:spacing w:val="-2"/>
          <w:sz w:val="18"/>
          <w:vertAlign w:val="baseline"/>
        </w:rPr>
        <w:t> </w:t>
      </w:r>
      <w:r>
        <w:rPr>
          <w:sz w:val="18"/>
          <w:vertAlign w:val="baseline"/>
        </w:rPr>
        <w:t>to</w:t>
      </w:r>
      <w:r>
        <w:rPr>
          <w:spacing w:val="-2"/>
          <w:sz w:val="18"/>
          <w:vertAlign w:val="baseline"/>
        </w:rPr>
        <w:t> </w:t>
      </w:r>
      <w:r>
        <w:rPr>
          <w:sz w:val="18"/>
          <w:vertAlign w:val="baseline"/>
        </w:rPr>
        <w:t>Protect</w:t>
      </w:r>
      <w:r>
        <w:rPr>
          <w:spacing w:val="-3"/>
          <w:sz w:val="18"/>
          <w:vertAlign w:val="baseline"/>
        </w:rPr>
        <w:t> </w:t>
      </w:r>
      <w:r>
        <w:rPr>
          <w:sz w:val="18"/>
          <w:vertAlign w:val="baseline"/>
        </w:rPr>
        <w:t>LGBT</w:t>
      </w:r>
      <w:r>
        <w:rPr>
          <w:spacing w:val="-2"/>
          <w:sz w:val="18"/>
          <w:vertAlign w:val="baseline"/>
        </w:rPr>
        <w:t> </w:t>
      </w:r>
      <w:r>
        <w:rPr>
          <w:sz w:val="18"/>
          <w:vertAlign w:val="baseline"/>
        </w:rPr>
        <w:t>Immigrants</w:t>
      </w:r>
      <w:r>
        <w:rPr>
          <w:spacing w:val="-2"/>
          <w:sz w:val="18"/>
          <w:vertAlign w:val="baseline"/>
        </w:rPr>
        <w:t> </w:t>
      </w:r>
      <w:r>
        <w:rPr>
          <w:sz w:val="18"/>
          <w:vertAlign w:val="baseline"/>
        </w:rPr>
        <w:t>- Center for American Progress.”</w:t>
      </w:r>
    </w:p>
    <w:p>
      <w:pPr>
        <w:spacing w:before="0"/>
        <w:ind w:left="463" w:right="366" w:hanging="1"/>
        <w:jc w:val="left"/>
        <w:rPr>
          <w:sz w:val="18"/>
        </w:rPr>
      </w:pPr>
      <w:r>
        <w:rPr>
          <w:sz w:val="18"/>
          <w:vertAlign w:val="superscript"/>
        </w:rPr>
        <w:t>11</w:t>
      </w:r>
      <w:r>
        <w:rPr>
          <w:spacing w:val="-13"/>
          <w:sz w:val="18"/>
          <w:vertAlign w:val="baseline"/>
        </w:rPr>
        <w:t> </w:t>
      </w:r>
      <w:r>
        <w:rPr>
          <w:sz w:val="18"/>
          <w:vertAlign w:val="baseline"/>
        </w:rPr>
        <w:t>MIRA</w:t>
      </w:r>
      <w:r>
        <w:rPr>
          <w:spacing w:val="-8"/>
          <w:sz w:val="18"/>
          <w:vertAlign w:val="baseline"/>
        </w:rPr>
        <w:t> </w:t>
      </w:r>
      <w:r>
        <w:rPr>
          <w:sz w:val="18"/>
          <w:vertAlign w:val="baseline"/>
        </w:rPr>
        <w:t>Coalition,</w:t>
      </w:r>
      <w:r>
        <w:rPr>
          <w:spacing w:val="-6"/>
          <w:sz w:val="18"/>
          <w:vertAlign w:val="baseline"/>
        </w:rPr>
        <w:t> </w:t>
      </w:r>
      <w:r>
        <w:rPr>
          <w:sz w:val="18"/>
          <w:vertAlign w:val="baseline"/>
        </w:rPr>
        <w:t>“Immigrants</w:t>
      </w:r>
      <w:r>
        <w:rPr>
          <w:spacing w:val="-6"/>
          <w:sz w:val="18"/>
          <w:vertAlign w:val="baseline"/>
        </w:rPr>
        <w:t> </w:t>
      </w:r>
      <w:r>
        <w:rPr>
          <w:sz w:val="18"/>
          <w:vertAlign w:val="baseline"/>
        </w:rPr>
        <w:t>Are</w:t>
      </w:r>
      <w:r>
        <w:rPr>
          <w:spacing w:val="-5"/>
          <w:sz w:val="18"/>
          <w:vertAlign w:val="baseline"/>
        </w:rPr>
        <w:t> </w:t>
      </w:r>
      <w:r>
        <w:rPr>
          <w:sz w:val="18"/>
          <w:vertAlign w:val="baseline"/>
        </w:rPr>
        <w:t>Our</w:t>
      </w:r>
      <w:r>
        <w:rPr>
          <w:spacing w:val="-6"/>
          <w:sz w:val="18"/>
          <w:vertAlign w:val="baseline"/>
        </w:rPr>
        <w:t> </w:t>
      </w:r>
      <w:r>
        <w:rPr>
          <w:sz w:val="18"/>
          <w:vertAlign w:val="baseline"/>
        </w:rPr>
        <w:t>Commonwealth,”</w:t>
      </w:r>
      <w:r>
        <w:rPr>
          <w:spacing w:val="-5"/>
          <w:sz w:val="18"/>
          <w:vertAlign w:val="baseline"/>
        </w:rPr>
        <w:t> </w:t>
      </w:r>
      <w:r>
        <w:rPr>
          <w:sz w:val="18"/>
          <w:vertAlign w:val="baseline"/>
        </w:rPr>
        <w:t>2019,</w:t>
      </w:r>
      <w:r>
        <w:rPr>
          <w:spacing w:val="-5"/>
          <w:sz w:val="18"/>
          <w:vertAlign w:val="baseline"/>
        </w:rPr>
        <w:t> </w:t>
      </w:r>
      <w:r>
        <w:rPr>
          <w:sz w:val="18"/>
          <w:vertAlign w:val="baseline"/>
        </w:rPr>
        <w:t>https://miracoalition.org/wp-content/uploads/2020/01/Mass- </w:t>
      </w:r>
      <w:r>
        <w:rPr>
          <w:spacing w:val="-2"/>
          <w:sz w:val="18"/>
          <w:vertAlign w:val="baseline"/>
        </w:rPr>
        <w:t>Immigrant-Facts-Jan2019.pdf.</w:t>
      </w:r>
    </w:p>
    <w:p>
      <w:pPr>
        <w:spacing w:before="0"/>
        <w:ind w:left="463" w:right="366" w:firstLine="0"/>
        <w:jc w:val="left"/>
        <w:rPr>
          <w:sz w:val="18"/>
        </w:rPr>
      </w:pPr>
      <w:r>
        <w:rPr>
          <w:sz w:val="18"/>
          <w:vertAlign w:val="superscript"/>
        </w:rPr>
        <w:t>12</w:t>
      </w:r>
      <w:r>
        <w:rPr>
          <w:spacing w:val="-2"/>
          <w:sz w:val="18"/>
          <w:vertAlign w:val="baseline"/>
        </w:rPr>
        <w:t> </w:t>
      </w:r>
      <w:r>
        <w:rPr>
          <w:sz w:val="18"/>
          <w:vertAlign w:val="baseline"/>
        </w:rPr>
        <w:t>Russ</w:t>
      </w:r>
      <w:r>
        <w:rPr>
          <w:spacing w:val="-2"/>
          <w:sz w:val="18"/>
          <w:vertAlign w:val="baseline"/>
        </w:rPr>
        <w:t> </w:t>
      </w:r>
      <w:r>
        <w:rPr>
          <w:sz w:val="18"/>
          <w:vertAlign w:val="baseline"/>
        </w:rPr>
        <w:t>Lopez,</w:t>
      </w:r>
      <w:r>
        <w:rPr>
          <w:spacing w:val="-3"/>
          <w:sz w:val="18"/>
          <w:vertAlign w:val="baseline"/>
        </w:rPr>
        <w:t> </w:t>
      </w:r>
      <w:r>
        <w:rPr>
          <w:i/>
          <w:sz w:val="18"/>
          <w:vertAlign w:val="baseline"/>
        </w:rPr>
        <w:t>The</w:t>
      </w:r>
      <w:r>
        <w:rPr>
          <w:i/>
          <w:spacing w:val="-2"/>
          <w:sz w:val="18"/>
          <w:vertAlign w:val="baseline"/>
        </w:rPr>
        <w:t> </w:t>
      </w:r>
      <w:r>
        <w:rPr>
          <w:i/>
          <w:sz w:val="18"/>
          <w:vertAlign w:val="baseline"/>
        </w:rPr>
        <w:t>Hub</w:t>
      </w:r>
      <w:r>
        <w:rPr>
          <w:i/>
          <w:spacing w:val="-3"/>
          <w:sz w:val="18"/>
          <w:vertAlign w:val="baseline"/>
        </w:rPr>
        <w:t> </w:t>
      </w:r>
      <w:r>
        <w:rPr>
          <w:i/>
          <w:sz w:val="18"/>
          <w:vertAlign w:val="baseline"/>
        </w:rPr>
        <w:t>of</w:t>
      </w:r>
      <w:r>
        <w:rPr>
          <w:i/>
          <w:spacing w:val="-2"/>
          <w:sz w:val="18"/>
          <w:vertAlign w:val="baseline"/>
        </w:rPr>
        <w:t> </w:t>
      </w:r>
      <w:r>
        <w:rPr>
          <w:i/>
          <w:sz w:val="18"/>
          <w:vertAlign w:val="baseline"/>
        </w:rPr>
        <w:t>the</w:t>
      </w:r>
      <w:r>
        <w:rPr>
          <w:i/>
          <w:spacing w:val="-2"/>
          <w:sz w:val="18"/>
          <w:vertAlign w:val="baseline"/>
        </w:rPr>
        <w:t> </w:t>
      </w:r>
      <w:r>
        <w:rPr>
          <w:i/>
          <w:sz w:val="18"/>
          <w:vertAlign w:val="baseline"/>
        </w:rPr>
        <w:t>Gay</w:t>
      </w:r>
      <w:r>
        <w:rPr>
          <w:i/>
          <w:spacing w:val="-2"/>
          <w:sz w:val="18"/>
          <w:vertAlign w:val="baseline"/>
        </w:rPr>
        <w:t> </w:t>
      </w:r>
      <w:r>
        <w:rPr>
          <w:i/>
          <w:sz w:val="18"/>
          <w:vertAlign w:val="baseline"/>
        </w:rPr>
        <w:t>Universe:</w:t>
      </w:r>
      <w:r>
        <w:rPr>
          <w:i/>
          <w:spacing w:val="-2"/>
          <w:sz w:val="18"/>
          <w:vertAlign w:val="baseline"/>
        </w:rPr>
        <w:t> </w:t>
      </w:r>
      <w:r>
        <w:rPr>
          <w:i/>
          <w:sz w:val="18"/>
          <w:vertAlign w:val="baseline"/>
        </w:rPr>
        <w:t>An</w:t>
      </w:r>
      <w:r>
        <w:rPr>
          <w:i/>
          <w:spacing w:val="-3"/>
          <w:sz w:val="18"/>
          <w:vertAlign w:val="baseline"/>
        </w:rPr>
        <w:t> </w:t>
      </w:r>
      <w:r>
        <w:rPr>
          <w:i/>
          <w:sz w:val="18"/>
          <w:vertAlign w:val="baseline"/>
        </w:rPr>
        <w:t>LGBTQ</w:t>
      </w:r>
      <w:r>
        <w:rPr>
          <w:i/>
          <w:spacing w:val="-2"/>
          <w:sz w:val="18"/>
          <w:vertAlign w:val="baseline"/>
        </w:rPr>
        <w:t> </w:t>
      </w:r>
      <w:r>
        <w:rPr>
          <w:i/>
          <w:sz w:val="18"/>
          <w:vertAlign w:val="baseline"/>
        </w:rPr>
        <w:t>History</w:t>
      </w:r>
      <w:r>
        <w:rPr>
          <w:i/>
          <w:spacing w:val="-2"/>
          <w:sz w:val="18"/>
          <w:vertAlign w:val="baseline"/>
        </w:rPr>
        <w:t> </w:t>
      </w:r>
      <w:r>
        <w:rPr>
          <w:i/>
          <w:sz w:val="18"/>
          <w:vertAlign w:val="baseline"/>
        </w:rPr>
        <w:t>of</w:t>
      </w:r>
      <w:r>
        <w:rPr>
          <w:i/>
          <w:spacing w:val="-2"/>
          <w:sz w:val="18"/>
          <w:vertAlign w:val="baseline"/>
        </w:rPr>
        <w:t> </w:t>
      </w:r>
      <w:r>
        <w:rPr>
          <w:i/>
          <w:sz w:val="18"/>
          <w:vertAlign w:val="baseline"/>
        </w:rPr>
        <w:t>Boston,</w:t>
      </w:r>
      <w:r>
        <w:rPr>
          <w:i/>
          <w:spacing w:val="-3"/>
          <w:sz w:val="18"/>
          <w:vertAlign w:val="baseline"/>
        </w:rPr>
        <w:t> </w:t>
      </w:r>
      <w:r>
        <w:rPr>
          <w:i/>
          <w:sz w:val="18"/>
          <w:vertAlign w:val="baseline"/>
        </w:rPr>
        <w:t>Provincetown,</w:t>
      </w:r>
      <w:r>
        <w:rPr>
          <w:i/>
          <w:spacing w:val="-3"/>
          <w:sz w:val="18"/>
          <w:vertAlign w:val="baseline"/>
        </w:rPr>
        <w:t> </w:t>
      </w:r>
      <w:r>
        <w:rPr>
          <w:i/>
          <w:sz w:val="18"/>
          <w:vertAlign w:val="baseline"/>
        </w:rPr>
        <w:t>and</w:t>
      </w:r>
      <w:r>
        <w:rPr>
          <w:i/>
          <w:spacing w:val="-3"/>
          <w:sz w:val="18"/>
          <w:vertAlign w:val="baseline"/>
        </w:rPr>
        <w:t> </w:t>
      </w:r>
      <w:r>
        <w:rPr>
          <w:i/>
          <w:sz w:val="18"/>
          <w:vertAlign w:val="baseline"/>
        </w:rPr>
        <w:t>Beyond</w:t>
      </w:r>
      <w:r>
        <w:rPr>
          <w:sz w:val="18"/>
          <w:vertAlign w:val="baseline"/>
        </w:rPr>
        <w:t>,</w:t>
      </w:r>
      <w:r>
        <w:rPr>
          <w:spacing w:val="-3"/>
          <w:sz w:val="18"/>
          <w:vertAlign w:val="baseline"/>
        </w:rPr>
        <w:t> </w:t>
      </w:r>
      <w:r>
        <w:rPr>
          <w:sz w:val="18"/>
          <w:vertAlign w:val="baseline"/>
        </w:rPr>
        <w:t>Shawmut</w:t>
      </w:r>
      <w:r>
        <w:rPr>
          <w:spacing w:val="-3"/>
          <w:sz w:val="18"/>
          <w:vertAlign w:val="baseline"/>
        </w:rPr>
        <w:t> </w:t>
      </w:r>
      <w:r>
        <w:rPr>
          <w:sz w:val="18"/>
          <w:vertAlign w:val="baseline"/>
        </w:rPr>
        <w:t>Peninsula</w:t>
      </w:r>
      <w:r>
        <w:rPr>
          <w:spacing w:val="-2"/>
          <w:sz w:val="18"/>
          <w:vertAlign w:val="baseline"/>
        </w:rPr>
        <w:t> </w:t>
      </w:r>
      <w:r>
        <w:rPr>
          <w:sz w:val="18"/>
          <w:vertAlign w:val="baseline"/>
        </w:rPr>
        <w:t>Press, </w:t>
      </w:r>
      <w:r>
        <w:rPr>
          <w:spacing w:val="-2"/>
          <w:sz w:val="18"/>
          <w:vertAlign w:val="baseline"/>
        </w:rPr>
        <w:t>2019.</w:t>
      </w:r>
    </w:p>
    <w:p>
      <w:pPr>
        <w:spacing w:before="0"/>
        <w:ind w:left="463" w:right="1209" w:firstLine="0"/>
        <w:jc w:val="left"/>
        <w:rPr>
          <w:sz w:val="18"/>
        </w:rPr>
      </w:pPr>
      <w:r>
        <w:rPr>
          <w:sz w:val="18"/>
          <w:vertAlign w:val="superscript"/>
        </w:rPr>
        <w:t>12</w:t>
      </w:r>
      <w:r>
        <w:rPr>
          <w:spacing w:val="-13"/>
          <w:sz w:val="18"/>
          <w:vertAlign w:val="baseline"/>
        </w:rPr>
        <w:t> </w:t>
      </w:r>
      <w:r>
        <w:rPr>
          <w:sz w:val="18"/>
          <w:vertAlign w:val="baseline"/>
        </w:rPr>
        <w:t>“2022</w:t>
      </w:r>
      <w:r>
        <w:rPr>
          <w:spacing w:val="-7"/>
          <w:sz w:val="18"/>
          <w:vertAlign w:val="baseline"/>
        </w:rPr>
        <w:t> </w:t>
      </w:r>
      <w:r>
        <w:rPr>
          <w:sz w:val="18"/>
          <w:vertAlign w:val="baseline"/>
        </w:rPr>
        <w:t>Election</w:t>
      </w:r>
      <w:r>
        <w:rPr>
          <w:spacing w:val="-4"/>
          <w:sz w:val="18"/>
          <w:vertAlign w:val="baseline"/>
        </w:rPr>
        <w:t> </w:t>
      </w:r>
      <w:r>
        <w:rPr>
          <w:sz w:val="18"/>
          <w:vertAlign w:val="baseline"/>
        </w:rPr>
        <w:t>Results</w:t>
      </w:r>
      <w:r>
        <w:rPr>
          <w:spacing w:val="-4"/>
          <w:sz w:val="18"/>
          <w:vertAlign w:val="baseline"/>
        </w:rPr>
        <w:t> </w:t>
      </w:r>
      <w:r>
        <w:rPr>
          <w:sz w:val="18"/>
          <w:vertAlign w:val="baseline"/>
        </w:rPr>
        <w:t>Live,”</w:t>
      </w:r>
      <w:r>
        <w:rPr>
          <w:spacing w:val="-4"/>
          <w:sz w:val="18"/>
          <w:vertAlign w:val="baseline"/>
        </w:rPr>
        <w:t> </w:t>
      </w:r>
      <w:r>
        <w:rPr>
          <w:sz w:val="18"/>
          <w:vertAlign w:val="baseline"/>
        </w:rPr>
        <w:t>NPR,</w:t>
      </w:r>
      <w:r>
        <w:rPr>
          <w:spacing w:val="-5"/>
          <w:sz w:val="18"/>
          <w:vertAlign w:val="baseline"/>
        </w:rPr>
        <w:t> </w:t>
      </w:r>
      <w:r>
        <w:rPr>
          <w:sz w:val="18"/>
          <w:vertAlign w:val="baseline"/>
        </w:rPr>
        <w:t>accessed</w:t>
      </w:r>
      <w:r>
        <w:rPr>
          <w:spacing w:val="-4"/>
          <w:sz w:val="18"/>
          <w:vertAlign w:val="baseline"/>
        </w:rPr>
        <w:t> </w:t>
      </w:r>
      <w:r>
        <w:rPr>
          <w:sz w:val="18"/>
          <w:vertAlign w:val="baseline"/>
        </w:rPr>
        <w:t>April</w:t>
      </w:r>
      <w:r>
        <w:rPr>
          <w:spacing w:val="-5"/>
          <w:sz w:val="18"/>
          <w:vertAlign w:val="baseline"/>
        </w:rPr>
        <w:t> </w:t>
      </w:r>
      <w:r>
        <w:rPr>
          <w:sz w:val="18"/>
          <w:vertAlign w:val="baseline"/>
        </w:rPr>
        <w:t>24,</w:t>
      </w:r>
      <w:r>
        <w:rPr>
          <w:spacing w:val="-5"/>
          <w:sz w:val="18"/>
          <w:vertAlign w:val="baseline"/>
        </w:rPr>
        <w:t> </w:t>
      </w:r>
      <w:r>
        <w:rPr>
          <w:sz w:val="18"/>
          <w:vertAlign w:val="baseline"/>
        </w:rPr>
        <w:t>2023,</w:t>
      </w:r>
      <w:r>
        <w:rPr>
          <w:spacing w:val="-5"/>
          <w:sz w:val="18"/>
          <w:vertAlign w:val="baseline"/>
        </w:rPr>
        <w:t> </w:t>
      </w:r>
      <w:hyperlink r:id="rId584">
        <w:r>
          <w:rPr>
            <w:color w:val="1154CC"/>
            <w:sz w:val="18"/>
            <w:u w:val="single" w:color="1154CC"/>
            <w:vertAlign w:val="baseline"/>
          </w:rPr>
          <w:t>https://apps.npr.org/election-results-live-2022/</w:t>
        </w:r>
        <w:r>
          <w:rPr>
            <w:sz w:val="18"/>
            <w:u w:val="none"/>
            <w:vertAlign w:val="baseline"/>
          </w:rPr>
          <w:t>.</w:t>
        </w:r>
      </w:hyperlink>
      <w:r>
        <w:rPr>
          <w:sz w:val="18"/>
          <w:u w:val="none"/>
          <w:vertAlign w:val="baseline"/>
        </w:rPr>
        <w:t> Kritika Agarwal, “Queer Migrations: A Perspectives Quick Study,” Perspectives on History, March 1, 2016,</w:t>
      </w:r>
    </w:p>
    <w:p>
      <w:pPr>
        <w:spacing w:before="0"/>
        <w:ind w:left="463" w:right="377" w:hanging="1"/>
        <w:jc w:val="left"/>
        <w:rPr>
          <w:sz w:val="18"/>
        </w:rPr>
      </w:pPr>
      <w:r>
        <w:rPr>
          <w:spacing w:val="-2"/>
          <w:sz w:val="18"/>
        </w:rPr>
        <w:t>https:</w:t>
      </w:r>
      <w:hyperlink r:id="rId585">
        <w:r>
          <w:rPr>
            <w:spacing w:val="-2"/>
            <w:sz w:val="18"/>
          </w:rPr>
          <w:t>//www.historians.org/research-and-publications/perspectives-on-history/march-2016/queer-migrations-a-perspectives-</w:t>
        </w:r>
      </w:hyperlink>
      <w:r>
        <w:rPr>
          <w:sz w:val="18"/>
        </w:rPr>
        <w:t> </w:t>
      </w:r>
      <w:r>
        <w:rPr>
          <w:spacing w:val="-2"/>
          <w:sz w:val="18"/>
        </w:rPr>
        <w:t>quick-study.</w:t>
      </w:r>
    </w:p>
    <w:p>
      <w:pPr>
        <w:spacing w:before="0"/>
        <w:ind w:left="463" w:right="700" w:hanging="1"/>
        <w:jc w:val="left"/>
        <w:rPr>
          <w:sz w:val="18"/>
        </w:rPr>
      </w:pPr>
      <w:r>
        <w:rPr>
          <w:sz w:val="18"/>
          <w:vertAlign w:val="superscript"/>
        </w:rPr>
        <w:t>13</w:t>
      </w:r>
      <w:r>
        <w:rPr>
          <w:spacing w:val="-13"/>
          <w:sz w:val="18"/>
          <w:vertAlign w:val="baseline"/>
        </w:rPr>
        <w:t> </w:t>
      </w:r>
      <w:r>
        <w:rPr>
          <w:sz w:val="18"/>
          <w:vertAlign w:val="baseline"/>
        </w:rPr>
        <w:t>Shoshana</w:t>
      </w:r>
      <w:r>
        <w:rPr>
          <w:spacing w:val="-5"/>
          <w:sz w:val="18"/>
          <w:vertAlign w:val="baseline"/>
        </w:rPr>
        <w:t> </w:t>
      </w:r>
      <w:r>
        <w:rPr>
          <w:sz w:val="18"/>
          <w:vertAlign w:val="baseline"/>
        </w:rPr>
        <w:t>Goldberg</w:t>
      </w:r>
      <w:r>
        <w:rPr>
          <w:spacing w:val="-2"/>
          <w:sz w:val="18"/>
          <w:vertAlign w:val="baseline"/>
        </w:rPr>
        <w:t> </w:t>
      </w:r>
      <w:r>
        <w:rPr>
          <w:sz w:val="18"/>
          <w:vertAlign w:val="baseline"/>
        </w:rPr>
        <w:t>and</w:t>
      </w:r>
      <w:r>
        <w:rPr>
          <w:spacing w:val="-3"/>
          <w:sz w:val="18"/>
          <w:vertAlign w:val="baseline"/>
        </w:rPr>
        <w:t> </w:t>
      </w:r>
      <w:r>
        <w:rPr>
          <w:sz w:val="18"/>
          <w:vertAlign w:val="baseline"/>
        </w:rPr>
        <w:t>Kerith</w:t>
      </w:r>
      <w:r>
        <w:rPr>
          <w:spacing w:val="-2"/>
          <w:sz w:val="18"/>
          <w:vertAlign w:val="baseline"/>
        </w:rPr>
        <w:t> </w:t>
      </w:r>
      <w:r>
        <w:rPr>
          <w:sz w:val="18"/>
          <w:vertAlign w:val="baseline"/>
        </w:rPr>
        <w:t>Conron,</w:t>
      </w:r>
      <w:r>
        <w:rPr>
          <w:spacing w:val="-3"/>
          <w:sz w:val="18"/>
          <w:vertAlign w:val="baseline"/>
        </w:rPr>
        <w:t> </w:t>
      </w:r>
      <w:r>
        <w:rPr>
          <w:sz w:val="18"/>
          <w:vertAlign w:val="baseline"/>
        </w:rPr>
        <w:t>“LGBT</w:t>
      </w:r>
      <w:r>
        <w:rPr>
          <w:spacing w:val="-4"/>
          <w:sz w:val="18"/>
          <w:vertAlign w:val="baseline"/>
        </w:rPr>
        <w:t> </w:t>
      </w:r>
      <w:r>
        <w:rPr>
          <w:sz w:val="18"/>
          <w:vertAlign w:val="baseline"/>
        </w:rPr>
        <w:t>Adult</w:t>
      </w:r>
      <w:r>
        <w:rPr>
          <w:spacing w:val="-3"/>
          <w:sz w:val="18"/>
          <w:vertAlign w:val="baseline"/>
        </w:rPr>
        <w:t> </w:t>
      </w:r>
      <w:r>
        <w:rPr>
          <w:sz w:val="18"/>
          <w:vertAlign w:val="baseline"/>
        </w:rPr>
        <w:t>Immigrants</w:t>
      </w:r>
      <w:r>
        <w:rPr>
          <w:spacing w:val="-2"/>
          <w:sz w:val="18"/>
          <w:vertAlign w:val="baseline"/>
        </w:rPr>
        <w:t> </w:t>
      </w:r>
      <w:r>
        <w:rPr>
          <w:sz w:val="18"/>
          <w:vertAlign w:val="baseline"/>
        </w:rPr>
        <w:t>in</w:t>
      </w:r>
      <w:r>
        <w:rPr>
          <w:spacing w:val="-2"/>
          <w:sz w:val="18"/>
          <w:vertAlign w:val="baseline"/>
        </w:rPr>
        <w:t> </w:t>
      </w:r>
      <w:r>
        <w:rPr>
          <w:sz w:val="18"/>
          <w:vertAlign w:val="baseline"/>
        </w:rPr>
        <w:t>the</w:t>
      </w:r>
      <w:r>
        <w:rPr>
          <w:spacing w:val="-2"/>
          <w:sz w:val="18"/>
          <w:vertAlign w:val="baseline"/>
        </w:rPr>
        <w:t> </w:t>
      </w:r>
      <w:r>
        <w:rPr>
          <w:sz w:val="18"/>
          <w:vertAlign w:val="baseline"/>
        </w:rPr>
        <w:t>United</w:t>
      </w:r>
      <w:r>
        <w:rPr>
          <w:spacing w:val="-2"/>
          <w:sz w:val="18"/>
          <w:vertAlign w:val="baseline"/>
        </w:rPr>
        <w:t> </w:t>
      </w:r>
      <w:r>
        <w:rPr>
          <w:sz w:val="18"/>
          <w:vertAlign w:val="baseline"/>
        </w:rPr>
        <w:t>States,”</w:t>
      </w:r>
      <w:r>
        <w:rPr>
          <w:spacing w:val="-2"/>
          <w:sz w:val="18"/>
          <w:vertAlign w:val="baseline"/>
        </w:rPr>
        <w:t> </w:t>
      </w:r>
      <w:r>
        <w:rPr>
          <w:sz w:val="18"/>
          <w:vertAlign w:val="baseline"/>
        </w:rPr>
        <w:t>Williams</w:t>
      </w:r>
      <w:r>
        <w:rPr>
          <w:spacing w:val="-2"/>
          <w:sz w:val="18"/>
          <w:vertAlign w:val="baseline"/>
        </w:rPr>
        <w:t> </w:t>
      </w:r>
      <w:r>
        <w:rPr>
          <w:sz w:val="18"/>
          <w:vertAlign w:val="baseline"/>
        </w:rPr>
        <w:t>Institute,</w:t>
      </w:r>
      <w:r>
        <w:rPr>
          <w:spacing w:val="-3"/>
          <w:sz w:val="18"/>
          <w:vertAlign w:val="baseline"/>
        </w:rPr>
        <w:t> </w:t>
      </w:r>
      <w:r>
        <w:rPr>
          <w:sz w:val="18"/>
          <w:vertAlign w:val="baseline"/>
        </w:rPr>
        <w:t>February</w:t>
      </w:r>
      <w:r>
        <w:rPr>
          <w:spacing w:val="-2"/>
          <w:sz w:val="18"/>
          <w:vertAlign w:val="baseline"/>
        </w:rPr>
        <w:t> </w:t>
      </w:r>
      <w:r>
        <w:rPr>
          <w:sz w:val="18"/>
          <w:vertAlign w:val="baseline"/>
        </w:rPr>
        <w:t>2021, </w:t>
      </w:r>
      <w:r>
        <w:rPr>
          <w:spacing w:val="-2"/>
          <w:sz w:val="18"/>
          <w:vertAlign w:val="baseline"/>
        </w:rPr>
        <w:t>https://williamsinstitute.law.ucla.edu/publications/lgbt-immigrants-in-the-us/.</w:t>
      </w:r>
    </w:p>
    <w:p>
      <w:pPr>
        <w:spacing w:line="219" w:lineRule="exact" w:before="0"/>
        <w:ind w:left="463" w:right="0" w:firstLine="0"/>
        <w:jc w:val="left"/>
        <w:rPr>
          <w:sz w:val="18"/>
        </w:rPr>
      </w:pPr>
      <w:r>
        <w:rPr>
          <w:sz w:val="18"/>
          <w:vertAlign w:val="superscript"/>
        </w:rPr>
        <w:t>14</w:t>
      </w:r>
      <w:r>
        <w:rPr>
          <w:spacing w:val="-15"/>
          <w:sz w:val="18"/>
          <w:vertAlign w:val="baseline"/>
        </w:rPr>
        <w:t> </w:t>
      </w:r>
      <w:r>
        <w:rPr>
          <w:sz w:val="18"/>
          <w:vertAlign w:val="baseline"/>
        </w:rPr>
        <w:t>“The</w:t>
      </w:r>
      <w:r>
        <w:rPr>
          <w:spacing w:val="-8"/>
          <w:sz w:val="18"/>
          <w:vertAlign w:val="baseline"/>
        </w:rPr>
        <w:t> </w:t>
      </w:r>
      <w:r>
        <w:rPr>
          <w:sz w:val="18"/>
          <w:vertAlign w:val="baseline"/>
        </w:rPr>
        <w:t>Trevor</w:t>
      </w:r>
      <w:r>
        <w:rPr>
          <w:spacing w:val="-5"/>
          <w:sz w:val="18"/>
          <w:vertAlign w:val="baseline"/>
        </w:rPr>
        <w:t> </w:t>
      </w:r>
      <w:r>
        <w:rPr>
          <w:sz w:val="18"/>
          <w:vertAlign w:val="baseline"/>
        </w:rPr>
        <w:t>Project</w:t>
      </w:r>
      <w:r>
        <w:rPr>
          <w:spacing w:val="-5"/>
          <w:sz w:val="18"/>
          <w:vertAlign w:val="baseline"/>
        </w:rPr>
        <w:t> </w:t>
      </w:r>
      <w:r>
        <w:rPr>
          <w:sz w:val="18"/>
          <w:vertAlign w:val="baseline"/>
        </w:rPr>
        <w:t>National</w:t>
      </w:r>
      <w:r>
        <w:rPr>
          <w:spacing w:val="-5"/>
          <w:sz w:val="18"/>
          <w:vertAlign w:val="baseline"/>
        </w:rPr>
        <w:t> </w:t>
      </w:r>
      <w:r>
        <w:rPr>
          <w:sz w:val="18"/>
          <w:vertAlign w:val="baseline"/>
        </w:rPr>
        <w:t>Survey</w:t>
      </w:r>
      <w:r>
        <w:rPr>
          <w:spacing w:val="-4"/>
          <w:sz w:val="18"/>
          <w:vertAlign w:val="baseline"/>
        </w:rPr>
        <w:t> </w:t>
      </w:r>
      <w:r>
        <w:rPr>
          <w:sz w:val="18"/>
          <w:vertAlign w:val="baseline"/>
        </w:rPr>
        <w:t>2020,”</w:t>
      </w:r>
      <w:r>
        <w:rPr>
          <w:spacing w:val="-4"/>
          <w:sz w:val="18"/>
          <w:vertAlign w:val="baseline"/>
        </w:rPr>
        <w:t> </w:t>
      </w:r>
      <w:r>
        <w:rPr>
          <w:sz w:val="18"/>
          <w:vertAlign w:val="baseline"/>
        </w:rPr>
        <w:t>accessed</w:t>
      </w:r>
      <w:r>
        <w:rPr>
          <w:spacing w:val="-4"/>
          <w:sz w:val="18"/>
          <w:vertAlign w:val="baseline"/>
        </w:rPr>
        <w:t> </w:t>
      </w:r>
      <w:r>
        <w:rPr>
          <w:sz w:val="18"/>
          <w:vertAlign w:val="baseline"/>
        </w:rPr>
        <w:t>April</w:t>
      </w:r>
      <w:r>
        <w:rPr>
          <w:spacing w:val="-5"/>
          <w:sz w:val="18"/>
          <w:vertAlign w:val="baseline"/>
        </w:rPr>
        <w:t> </w:t>
      </w:r>
      <w:r>
        <w:rPr>
          <w:sz w:val="18"/>
          <w:vertAlign w:val="baseline"/>
        </w:rPr>
        <w:t>3,</w:t>
      </w:r>
      <w:r>
        <w:rPr>
          <w:spacing w:val="-5"/>
          <w:sz w:val="18"/>
          <w:vertAlign w:val="baseline"/>
        </w:rPr>
        <w:t> </w:t>
      </w:r>
      <w:r>
        <w:rPr>
          <w:sz w:val="18"/>
          <w:vertAlign w:val="baseline"/>
        </w:rPr>
        <w:t>2023,</w:t>
      </w:r>
      <w:r>
        <w:rPr>
          <w:spacing w:val="-5"/>
          <w:sz w:val="18"/>
          <w:vertAlign w:val="baseline"/>
        </w:rPr>
        <w:t> </w:t>
      </w:r>
      <w:r>
        <w:rPr>
          <w:sz w:val="18"/>
          <w:vertAlign w:val="baseline"/>
        </w:rPr>
        <w:t>https://</w:t>
      </w:r>
      <w:hyperlink r:id="rId586">
        <w:r>
          <w:rPr>
            <w:sz w:val="18"/>
            <w:vertAlign w:val="baseline"/>
          </w:rPr>
          <w:t>www.thetrevorproject.org/survey-</w:t>
        </w:r>
        <w:r>
          <w:rPr>
            <w:spacing w:val="-2"/>
            <w:sz w:val="18"/>
            <w:vertAlign w:val="baseline"/>
          </w:rPr>
          <w:t>2020/.</w:t>
        </w:r>
      </w:hyperlink>
    </w:p>
    <w:p>
      <w:pPr>
        <w:spacing w:before="0"/>
        <w:ind w:left="463" w:right="0" w:firstLine="0"/>
        <w:jc w:val="both"/>
        <w:rPr>
          <w:sz w:val="18"/>
        </w:rPr>
      </w:pPr>
      <w:r>
        <w:rPr>
          <w:sz w:val="18"/>
          <w:vertAlign w:val="superscript"/>
        </w:rPr>
        <w:t>15</w:t>
      </w:r>
      <w:r>
        <w:rPr>
          <w:spacing w:val="-15"/>
          <w:sz w:val="18"/>
          <w:vertAlign w:val="baseline"/>
        </w:rPr>
        <w:t> </w:t>
      </w:r>
      <w:r>
        <w:rPr>
          <w:sz w:val="18"/>
          <w:vertAlign w:val="baseline"/>
        </w:rPr>
        <w:t>Goldberg</w:t>
      </w:r>
      <w:r>
        <w:rPr>
          <w:spacing w:val="-4"/>
          <w:sz w:val="18"/>
          <w:vertAlign w:val="baseline"/>
        </w:rPr>
        <w:t> </w:t>
      </w:r>
      <w:r>
        <w:rPr>
          <w:sz w:val="18"/>
          <w:vertAlign w:val="baseline"/>
        </w:rPr>
        <w:t>and</w:t>
      </w:r>
      <w:r>
        <w:rPr>
          <w:spacing w:val="-2"/>
          <w:sz w:val="18"/>
          <w:vertAlign w:val="baseline"/>
        </w:rPr>
        <w:t> </w:t>
      </w:r>
      <w:r>
        <w:rPr>
          <w:sz w:val="18"/>
          <w:vertAlign w:val="baseline"/>
        </w:rPr>
        <w:t>Conron,</w:t>
      </w:r>
      <w:r>
        <w:rPr>
          <w:spacing w:val="-3"/>
          <w:sz w:val="18"/>
          <w:vertAlign w:val="baseline"/>
        </w:rPr>
        <w:t> </w:t>
      </w:r>
      <w:r>
        <w:rPr>
          <w:sz w:val="18"/>
          <w:vertAlign w:val="baseline"/>
        </w:rPr>
        <w:t>“LGBT</w:t>
      </w:r>
      <w:r>
        <w:rPr>
          <w:spacing w:val="-2"/>
          <w:sz w:val="18"/>
          <w:vertAlign w:val="baseline"/>
        </w:rPr>
        <w:t> </w:t>
      </w:r>
      <w:r>
        <w:rPr>
          <w:sz w:val="18"/>
          <w:vertAlign w:val="baseline"/>
        </w:rPr>
        <w:t>Adult</w:t>
      </w:r>
      <w:r>
        <w:rPr>
          <w:spacing w:val="-3"/>
          <w:sz w:val="18"/>
          <w:vertAlign w:val="baseline"/>
        </w:rPr>
        <w:t> </w:t>
      </w:r>
      <w:r>
        <w:rPr>
          <w:sz w:val="18"/>
          <w:vertAlign w:val="baseline"/>
        </w:rPr>
        <w:t>Immigrants</w:t>
      </w:r>
      <w:r>
        <w:rPr>
          <w:spacing w:val="-3"/>
          <w:sz w:val="18"/>
          <w:vertAlign w:val="baseline"/>
        </w:rPr>
        <w:t> </w:t>
      </w:r>
      <w:r>
        <w:rPr>
          <w:sz w:val="18"/>
          <w:vertAlign w:val="baseline"/>
        </w:rPr>
        <w:t>in</w:t>
      </w:r>
      <w:r>
        <w:rPr>
          <w:spacing w:val="-2"/>
          <w:sz w:val="18"/>
          <w:vertAlign w:val="baseline"/>
        </w:rPr>
        <w:t> </w:t>
      </w:r>
      <w:r>
        <w:rPr>
          <w:sz w:val="18"/>
          <w:vertAlign w:val="baseline"/>
        </w:rPr>
        <w:t>the</w:t>
      </w:r>
      <w:r>
        <w:rPr>
          <w:spacing w:val="-2"/>
          <w:sz w:val="18"/>
          <w:vertAlign w:val="baseline"/>
        </w:rPr>
        <w:t> </w:t>
      </w:r>
      <w:r>
        <w:rPr>
          <w:sz w:val="18"/>
          <w:vertAlign w:val="baseline"/>
        </w:rPr>
        <w:t>United</w:t>
      </w:r>
      <w:r>
        <w:rPr>
          <w:spacing w:val="-1"/>
          <w:sz w:val="18"/>
          <w:vertAlign w:val="baseline"/>
        </w:rPr>
        <w:t> </w:t>
      </w:r>
      <w:r>
        <w:rPr>
          <w:spacing w:val="-2"/>
          <w:sz w:val="18"/>
          <w:vertAlign w:val="baseline"/>
        </w:rPr>
        <w:t>States.”</w:t>
      </w:r>
    </w:p>
    <w:p>
      <w:pPr>
        <w:spacing w:before="0"/>
        <w:ind w:left="463" w:right="519" w:hanging="1"/>
        <w:jc w:val="both"/>
        <w:rPr>
          <w:sz w:val="18"/>
        </w:rPr>
      </w:pPr>
      <w:r>
        <w:rPr>
          <w:sz w:val="18"/>
          <w:vertAlign w:val="superscript"/>
        </w:rPr>
        <w:t>16</w:t>
      </w:r>
      <w:r>
        <w:rPr>
          <w:spacing w:val="-11"/>
          <w:sz w:val="18"/>
          <w:vertAlign w:val="baseline"/>
        </w:rPr>
        <w:t> </w:t>
      </w:r>
      <w:r>
        <w:rPr>
          <w:sz w:val="18"/>
          <w:vertAlign w:val="baseline"/>
        </w:rPr>
        <w:t>Sharita</w:t>
      </w:r>
      <w:r>
        <w:rPr>
          <w:spacing w:val="-3"/>
          <w:sz w:val="18"/>
          <w:vertAlign w:val="baseline"/>
        </w:rPr>
        <w:t> </w:t>
      </w:r>
      <w:r>
        <w:rPr>
          <w:sz w:val="18"/>
          <w:vertAlign w:val="baseline"/>
        </w:rPr>
        <w:t>Gruberg,</w:t>
      </w:r>
      <w:r>
        <w:rPr>
          <w:spacing w:val="-2"/>
          <w:sz w:val="18"/>
          <w:vertAlign w:val="baseline"/>
        </w:rPr>
        <w:t> </w:t>
      </w:r>
      <w:r>
        <w:rPr>
          <w:sz w:val="18"/>
          <w:vertAlign w:val="baseline"/>
        </w:rPr>
        <w:t>Caitlin</w:t>
      </w:r>
      <w:r>
        <w:rPr>
          <w:spacing w:val="-1"/>
          <w:sz w:val="18"/>
          <w:vertAlign w:val="baseline"/>
        </w:rPr>
        <w:t> </w:t>
      </w:r>
      <w:r>
        <w:rPr>
          <w:sz w:val="18"/>
          <w:vertAlign w:val="baseline"/>
        </w:rPr>
        <w:t>Rooney,</w:t>
      </w:r>
      <w:r>
        <w:rPr>
          <w:spacing w:val="-2"/>
          <w:sz w:val="18"/>
          <w:vertAlign w:val="baseline"/>
        </w:rPr>
        <w:t> </w:t>
      </w:r>
      <w:r>
        <w:rPr>
          <w:sz w:val="18"/>
          <w:vertAlign w:val="baseline"/>
        </w:rPr>
        <w:t>and</w:t>
      </w:r>
      <w:r>
        <w:rPr>
          <w:spacing w:val="-1"/>
          <w:sz w:val="18"/>
          <w:vertAlign w:val="baseline"/>
        </w:rPr>
        <w:t> </w:t>
      </w:r>
      <w:r>
        <w:rPr>
          <w:sz w:val="18"/>
          <w:vertAlign w:val="baseline"/>
        </w:rPr>
        <w:t>Ashe</w:t>
      </w:r>
      <w:r>
        <w:rPr>
          <w:spacing w:val="-1"/>
          <w:sz w:val="18"/>
          <w:vertAlign w:val="baseline"/>
        </w:rPr>
        <w:t> </w:t>
      </w:r>
      <w:r>
        <w:rPr>
          <w:sz w:val="18"/>
          <w:vertAlign w:val="baseline"/>
        </w:rPr>
        <w:t>McGovern,</w:t>
      </w:r>
      <w:r>
        <w:rPr>
          <w:spacing w:val="-2"/>
          <w:sz w:val="18"/>
          <w:vertAlign w:val="baseline"/>
        </w:rPr>
        <w:t> </w:t>
      </w:r>
      <w:r>
        <w:rPr>
          <w:sz w:val="18"/>
          <w:vertAlign w:val="baseline"/>
        </w:rPr>
        <w:t>“Serving</w:t>
      </w:r>
      <w:r>
        <w:rPr>
          <w:spacing w:val="-2"/>
          <w:sz w:val="18"/>
          <w:vertAlign w:val="baseline"/>
        </w:rPr>
        <w:t> </w:t>
      </w:r>
      <w:r>
        <w:rPr>
          <w:sz w:val="18"/>
          <w:vertAlign w:val="baseline"/>
        </w:rPr>
        <w:t>LGBTQ</w:t>
      </w:r>
      <w:r>
        <w:rPr>
          <w:spacing w:val="-1"/>
          <w:sz w:val="18"/>
          <w:vertAlign w:val="baseline"/>
        </w:rPr>
        <w:t> </w:t>
      </w:r>
      <w:r>
        <w:rPr>
          <w:sz w:val="18"/>
          <w:vertAlign w:val="baseline"/>
        </w:rPr>
        <w:t>Immigrants</w:t>
      </w:r>
      <w:r>
        <w:rPr>
          <w:spacing w:val="-1"/>
          <w:sz w:val="18"/>
          <w:vertAlign w:val="baseline"/>
        </w:rPr>
        <w:t> </w:t>
      </w:r>
      <w:r>
        <w:rPr>
          <w:sz w:val="18"/>
          <w:vertAlign w:val="baseline"/>
        </w:rPr>
        <w:t>and</w:t>
      </w:r>
      <w:r>
        <w:rPr>
          <w:spacing w:val="-1"/>
          <w:sz w:val="18"/>
          <w:vertAlign w:val="baseline"/>
        </w:rPr>
        <w:t> </w:t>
      </w:r>
      <w:r>
        <w:rPr>
          <w:sz w:val="18"/>
          <w:vertAlign w:val="baseline"/>
        </w:rPr>
        <w:t>Building</w:t>
      </w:r>
      <w:r>
        <w:rPr>
          <w:spacing w:val="-1"/>
          <w:sz w:val="18"/>
          <w:vertAlign w:val="baseline"/>
        </w:rPr>
        <w:t> </w:t>
      </w:r>
      <w:r>
        <w:rPr>
          <w:sz w:val="18"/>
          <w:vertAlign w:val="baseline"/>
        </w:rPr>
        <w:t>Welcoming</w:t>
      </w:r>
      <w:r>
        <w:rPr>
          <w:spacing w:val="-1"/>
          <w:sz w:val="18"/>
          <w:vertAlign w:val="baseline"/>
        </w:rPr>
        <w:t> </w:t>
      </w:r>
      <w:r>
        <w:rPr>
          <w:sz w:val="18"/>
          <w:vertAlign w:val="baseline"/>
        </w:rPr>
        <w:t>Communities,” </w:t>
      </w:r>
      <w:r>
        <w:rPr>
          <w:i/>
          <w:sz w:val="18"/>
          <w:vertAlign w:val="baseline"/>
        </w:rPr>
        <w:t>Center</w:t>
      </w:r>
      <w:r>
        <w:rPr>
          <w:i/>
          <w:spacing w:val="-5"/>
          <w:sz w:val="18"/>
          <w:vertAlign w:val="baseline"/>
        </w:rPr>
        <w:t> </w:t>
      </w:r>
      <w:r>
        <w:rPr>
          <w:i/>
          <w:sz w:val="18"/>
          <w:vertAlign w:val="baseline"/>
        </w:rPr>
        <w:t>for</w:t>
      </w:r>
      <w:r>
        <w:rPr>
          <w:i/>
          <w:spacing w:val="-5"/>
          <w:sz w:val="18"/>
          <w:vertAlign w:val="baseline"/>
        </w:rPr>
        <w:t> </w:t>
      </w:r>
      <w:r>
        <w:rPr>
          <w:i/>
          <w:sz w:val="18"/>
          <w:vertAlign w:val="baseline"/>
        </w:rPr>
        <w:t>American</w:t>
      </w:r>
      <w:r>
        <w:rPr>
          <w:i/>
          <w:spacing w:val="-5"/>
          <w:sz w:val="18"/>
          <w:vertAlign w:val="baseline"/>
        </w:rPr>
        <w:t> </w:t>
      </w:r>
      <w:r>
        <w:rPr>
          <w:i/>
          <w:sz w:val="18"/>
          <w:vertAlign w:val="baseline"/>
        </w:rPr>
        <w:t>Progress</w:t>
      </w:r>
      <w:r>
        <w:rPr>
          <w:i/>
          <w:spacing w:val="-5"/>
          <w:sz w:val="18"/>
          <w:vertAlign w:val="baseline"/>
        </w:rPr>
        <w:t> </w:t>
      </w:r>
      <w:r>
        <w:rPr>
          <w:sz w:val="18"/>
          <w:vertAlign w:val="baseline"/>
        </w:rPr>
        <w:t>(blog),</w:t>
      </w:r>
      <w:r>
        <w:rPr>
          <w:spacing w:val="-5"/>
          <w:sz w:val="18"/>
          <w:vertAlign w:val="baseline"/>
        </w:rPr>
        <w:t> </w:t>
      </w:r>
      <w:r>
        <w:rPr>
          <w:sz w:val="18"/>
          <w:vertAlign w:val="baseline"/>
        </w:rPr>
        <w:t>January</w:t>
      </w:r>
      <w:r>
        <w:rPr>
          <w:spacing w:val="-5"/>
          <w:sz w:val="18"/>
          <w:vertAlign w:val="baseline"/>
        </w:rPr>
        <w:t> </w:t>
      </w:r>
      <w:r>
        <w:rPr>
          <w:sz w:val="18"/>
          <w:vertAlign w:val="baseline"/>
        </w:rPr>
        <w:t>24,</w:t>
      </w:r>
      <w:r>
        <w:rPr>
          <w:spacing w:val="-6"/>
          <w:sz w:val="18"/>
          <w:vertAlign w:val="baseline"/>
        </w:rPr>
        <w:t> </w:t>
      </w:r>
      <w:r>
        <w:rPr>
          <w:sz w:val="18"/>
          <w:vertAlign w:val="baseline"/>
        </w:rPr>
        <w:t>2018,</w:t>
      </w:r>
      <w:r>
        <w:rPr>
          <w:spacing w:val="-5"/>
          <w:sz w:val="18"/>
          <w:vertAlign w:val="baseline"/>
        </w:rPr>
        <w:t> </w:t>
      </w:r>
      <w:r>
        <w:rPr>
          <w:sz w:val="18"/>
          <w:vertAlign w:val="baseline"/>
        </w:rPr>
        <w:t>https://</w:t>
      </w:r>
      <w:hyperlink r:id="rId587">
        <w:r>
          <w:rPr>
            <w:sz w:val="18"/>
            <w:vertAlign w:val="baseline"/>
          </w:rPr>
          <w:t>www.americanprogress.org/article/serving-lgbtq-immigrants-</w:t>
        </w:r>
      </w:hyperlink>
      <w:r>
        <w:rPr>
          <w:sz w:val="18"/>
          <w:vertAlign w:val="baseline"/>
        </w:rPr>
        <w:t> </w:t>
      </w:r>
      <w:r>
        <w:rPr>
          <w:spacing w:val="-2"/>
          <w:sz w:val="18"/>
          <w:vertAlign w:val="baseline"/>
        </w:rPr>
        <w:t>building-welcoming-communities/.</w:t>
      </w:r>
    </w:p>
    <w:p>
      <w:pPr>
        <w:spacing w:line="219" w:lineRule="exact" w:before="0"/>
        <w:ind w:left="463" w:right="0" w:firstLine="0"/>
        <w:jc w:val="left"/>
        <w:rPr>
          <w:i/>
          <w:sz w:val="18"/>
        </w:rPr>
      </w:pPr>
      <w:r>
        <w:rPr>
          <w:sz w:val="18"/>
          <w:vertAlign w:val="superscript"/>
        </w:rPr>
        <w:t>17</w:t>
      </w:r>
      <w:r>
        <w:rPr>
          <w:spacing w:val="-15"/>
          <w:sz w:val="18"/>
          <w:vertAlign w:val="baseline"/>
        </w:rPr>
        <w:t> </w:t>
      </w:r>
      <w:r>
        <w:rPr>
          <w:sz w:val="18"/>
          <w:vertAlign w:val="baseline"/>
        </w:rPr>
        <w:t>Karma</w:t>
      </w:r>
      <w:r>
        <w:rPr>
          <w:spacing w:val="-4"/>
          <w:sz w:val="18"/>
          <w:vertAlign w:val="baseline"/>
        </w:rPr>
        <w:t> </w:t>
      </w:r>
      <w:r>
        <w:rPr>
          <w:sz w:val="18"/>
          <w:vertAlign w:val="baseline"/>
        </w:rPr>
        <w:t>R.</w:t>
      </w:r>
      <w:r>
        <w:rPr>
          <w:spacing w:val="-3"/>
          <w:sz w:val="18"/>
          <w:vertAlign w:val="baseline"/>
        </w:rPr>
        <w:t> </w:t>
      </w:r>
      <w:r>
        <w:rPr>
          <w:sz w:val="18"/>
          <w:vertAlign w:val="baseline"/>
        </w:rPr>
        <w:t>Chavez,</w:t>
      </w:r>
      <w:r>
        <w:rPr>
          <w:spacing w:val="-3"/>
          <w:sz w:val="18"/>
          <w:vertAlign w:val="baseline"/>
        </w:rPr>
        <w:t> </w:t>
      </w:r>
      <w:r>
        <w:rPr>
          <w:sz w:val="18"/>
          <w:vertAlign w:val="baseline"/>
        </w:rPr>
        <w:t>“Identifying</w:t>
      </w:r>
      <w:r>
        <w:rPr>
          <w:spacing w:val="-2"/>
          <w:sz w:val="18"/>
          <w:vertAlign w:val="baseline"/>
        </w:rPr>
        <w:t> </w:t>
      </w:r>
      <w:r>
        <w:rPr>
          <w:sz w:val="18"/>
          <w:vertAlign w:val="baseline"/>
        </w:rPr>
        <w:t>the</w:t>
      </w:r>
      <w:r>
        <w:rPr>
          <w:spacing w:val="-2"/>
          <w:sz w:val="18"/>
          <w:vertAlign w:val="baseline"/>
        </w:rPr>
        <w:t> </w:t>
      </w:r>
      <w:r>
        <w:rPr>
          <w:sz w:val="18"/>
          <w:vertAlign w:val="baseline"/>
        </w:rPr>
        <w:t>Needs</w:t>
      </w:r>
      <w:r>
        <w:rPr>
          <w:spacing w:val="-3"/>
          <w:sz w:val="18"/>
          <w:vertAlign w:val="baseline"/>
        </w:rPr>
        <w:t> </w:t>
      </w:r>
      <w:r>
        <w:rPr>
          <w:sz w:val="18"/>
          <w:vertAlign w:val="baseline"/>
        </w:rPr>
        <w:t>of</w:t>
      </w:r>
      <w:r>
        <w:rPr>
          <w:spacing w:val="-2"/>
          <w:sz w:val="18"/>
          <w:vertAlign w:val="baseline"/>
        </w:rPr>
        <w:t> </w:t>
      </w:r>
      <w:r>
        <w:rPr>
          <w:sz w:val="18"/>
          <w:vertAlign w:val="baseline"/>
        </w:rPr>
        <w:t>LGBTQ</w:t>
      </w:r>
      <w:r>
        <w:rPr>
          <w:spacing w:val="-2"/>
          <w:sz w:val="18"/>
          <w:vertAlign w:val="baseline"/>
        </w:rPr>
        <w:t> </w:t>
      </w:r>
      <w:r>
        <w:rPr>
          <w:sz w:val="18"/>
          <w:vertAlign w:val="baseline"/>
        </w:rPr>
        <w:t>Immigrants</w:t>
      </w:r>
      <w:r>
        <w:rPr>
          <w:spacing w:val="-3"/>
          <w:sz w:val="18"/>
          <w:vertAlign w:val="baseline"/>
        </w:rPr>
        <w:t> </w:t>
      </w:r>
      <w:r>
        <w:rPr>
          <w:sz w:val="18"/>
          <w:vertAlign w:val="baseline"/>
        </w:rPr>
        <w:t>and</w:t>
      </w:r>
      <w:r>
        <w:rPr>
          <w:spacing w:val="-2"/>
          <w:sz w:val="18"/>
          <w:vertAlign w:val="baseline"/>
        </w:rPr>
        <w:t> </w:t>
      </w:r>
      <w:r>
        <w:rPr>
          <w:sz w:val="18"/>
          <w:vertAlign w:val="baseline"/>
        </w:rPr>
        <w:t>Refugees</w:t>
      </w:r>
      <w:r>
        <w:rPr>
          <w:spacing w:val="-2"/>
          <w:sz w:val="18"/>
          <w:vertAlign w:val="baseline"/>
        </w:rPr>
        <w:t> </w:t>
      </w:r>
      <w:r>
        <w:rPr>
          <w:sz w:val="18"/>
          <w:vertAlign w:val="baseline"/>
        </w:rPr>
        <w:t>in</w:t>
      </w:r>
      <w:r>
        <w:rPr>
          <w:spacing w:val="-2"/>
          <w:sz w:val="18"/>
          <w:vertAlign w:val="baseline"/>
        </w:rPr>
        <w:t> </w:t>
      </w:r>
      <w:r>
        <w:rPr>
          <w:sz w:val="18"/>
          <w:vertAlign w:val="baseline"/>
        </w:rPr>
        <w:t>Southern</w:t>
      </w:r>
      <w:r>
        <w:rPr>
          <w:spacing w:val="-3"/>
          <w:sz w:val="18"/>
          <w:vertAlign w:val="baseline"/>
        </w:rPr>
        <w:t> </w:t>
      </w:r>
      <w:r>
        <w:rPr>
          <w:sz w:val="18"/>
          <w:vertAlign w:val="baseline"/>
        </w:rPr>
        <w:t>Arizona,”</w:t>
      </w:r>
      <w:r>
        <w:rPr>
          <w:spacing w:val="-2"/>
          <w:sz w:val="18"/>
          <w:vertAlign w:val="baseline"/>
        </w:rPr>
        <w:t> </w:t>
      </w:r>
      <w:r>
        <w:rPr>
          <w:i/>
          <w:sz w:val="18"/>
          <w:vertAlign w:val="baseline"/>
        </w:rPr>
        <w:t>Journal</w:t>
      </w:r>
      <w:r>
        <w:rPr>
          <w:i/>
          <w:spacing w:val="-3"/>
          <w:sz w:val="18"/>
          <w:vertAlign w:val="baseline"/>
        </w:rPr>
        <w:t> </w:t>
      </w:r>
      <w:r>
        <w:rPr>
          <w:i/>
          <w:sz w:val="18"/>
          <w:vertAlign w:val="baseline"/>
        </w:rPr>
        <w:t>of</w:t>
      </w:r>
      <w:r>
        <w:rPr>
          <w:i/>
          <w:spacing w:val="-2"/>
          <w:sz w:val="18"/>
          <w:vertAlign w:val="baseline"/>
        </w:rPr>
        <w:t> Homosexuality</w:t>
      </w:r>
    </w:p>
    <w:p>
      <w:pPr>
        <w:spacing w:before="0"/>
        <w:ind w:left="463" w:right="0" w:firstLine="0"/>
        <w:jc w:val="left"/>
        <w:rPr>
          <w:sz w:val="18"/>
        </w:rPr>
      </w:pPr>
      <w:r>
        <w:rPr>
          <w:sz w:val="18"/>
        </w:rPr>
        <w:t>58,</w:t>
      </w:r>
      <w:r>
        <w:rPr>
          <w:spacing w:val="-3"/>
          <w:sz w:val="18"/>
        </w:rPr>
        <w:t> </w:t>
      </w:r>
      <w:r>
        <w:rPr>
          <w:sz w:val="18"/>
        </w:rPr>
        <w:t>no.</w:t>
      </w:r>
      <w:r>
        <w:rPr>
          <w:spacing w:val="-1"/>
          <w:sz w:val="18"/>
        </w:rPr>
        <w:t> </w:t>
      </w:r>
      <w:r>
        <w:rPr>
          <w:sz w:val="18"/>
        </w:rPr>
        <w:t>2</w:t>
      </w:r>
      <w:r>
        <w:rPr>
          <w:spacing w:val="-1"/>
          <w:sz w:val="18"/>
        </w:rPr>
        <w:t> </w:t>
      </w:r>
      <w:r>
        <w:rPr>
          <w:sz w:val="18"/>
        </w:rPr>
        <w:t>(2011):</w:t>
      </w:r>
      <w:r>
        <w:rPr>
          <w:spacing w:val="-3"/>
          <w:sz w:val="18"/>
        </w:rPr>
        <w:t> </w:t>
      </w:r>
      <w:r>
        <w:rPr>
          <w:sz w:val="18"/>
        </w:rPr>
        <w:t>189–218,</w:t>
      </w:r>
      <w:r>
        <w:rPr>
          <w:spacing w:val="-2"/>
          <w:sz w:val="18"/>
        </w:rPr>
        <w:t> https://doi.org/10.1080/00918369.2011.540175.</w:t>
      </w:r>
    </w:p>
    <w:p>
      <w:pPr>
        <w:spacing w:before="1"/>
        <w:ind w:left="463" w:right="316" w:hanging="1"/>
        <w:jc w:val="left"/>
        <w:rPr>
          <w:sz w:val="18"/>
        </w:rPr>
      </w:pPr>
      <w:r>
        <w:rPr>
          <w:sz w:val="18"/>
          <w:vertAlign w:val="superscript"/>
        </w:rPr>
        <w:t>18</w:t>
      </w:r>
      <w:r>
        <w:rPr>
          <w:spacing w:val="-8"/>
          <w:sz w:val="18"/>
          <w:vertAlign w:val="baseline"/>
        </w:rPr>
        <w:t> </w:t>
      </w:r>
      <w:r>
        <w:rPr>
          <w:sz w:val="18"/>
          <w:vertAlign w:val="baseline"/>
        </w:rPr>
        <w:t>“Latinx LGBTQ+ Immigrant Youth / Jovenes Inmigrantes Latinx LGBTQ+ Provider Fact Sheet,” Each Mind Matters Resource Center,</w:t>
      </w:r>
      <w:r>
        <w:rPr>
          <w:spacing w:val="-8"/>
          <w:sz w:val="18"/>
          <w:vertAlign w:val="baseline"/>
        </w:rPr>
        <w:t> </w:t>
      </w:r>
      <w:r>
        <w:rPr>
          <w:sz w:val="18"/>
          <w:vertAlign w:val="baseline"/>
        </w:rPr>
        <w:t>accessed</w:t>
      </w:r>
      <w:r>
        <w:rPr>
          <w:spacing w:val="-7"/>
          <w:sz w:val="18"/>
          <w:vertAlign w:val="baseline"/>
        </w:rPr>
        <w:t> </w:t>
      </w:r>
      <w:r>
        <w:rPr>
          <w:sz w:val="18"/>
          <w:vertAlign w:val="baseline"/>
        </w:rPr>
        <w:t>April</w:t>
      </w:r>
      <w:r>
        <w:rPr>
          <w:spacing w:val="-8"/>
          <w:sz w:val="18"/>
          <w:vertAlign w:val="baseline"/>
        </w:rPr>
        <w:t> </w:t>
      </w:r>
      <w:r>
        <w:rPr>
          <w:sz w:val="18"/>
          <w:vertAlign w:val="baseline"/>
        </w:rPr>
        <w:t>24,</w:t>
      </w:r>
      <w:r>
        <w:rPr>
          <w:spacing w:val="-8"/>
          <w:sz w:val="18"/>
          <w:vertAlign w:val="baseline"/>
        </w:rPr>
        <w:t> </w:t>
      </w:r>
      <w:r>
        <w:rPr>
          <w:sz w:val="18"/>
          <w:vertAlign w:val="baseline"/>
        </w:rPr>
        <w:t>2023,</w:t>
      </w:r>
      <w:r>
        <w:rPr>
          <w:spacing w:val="-7"/>
          <w:sz w:val="18"/>
          <w:vertAlign w:val="baseline"/>
        </w:rPr>
        <w:t> </w:t>
      </w:r>
      <w:r>
        <w:rPr>
          <w:sz w:val="18"/>
          <w:vertAlign w:val="baseline"/>
        </w:rPr>
        <w:t>https://emmresourcecenter.org/resources/latinx-lgbtq-immigrant-youth-jovenes-inmigrantes- </w:t>
      </w:r>
      <w:r>
        <w:rPr>
          <w:spacing w:val="-2"/>
          <w:sz w:val="18"/>
          <w:vertAlign w:val="baseline"/>
        </w:rPr>
        <w:t>latinx-lgbtq-provider-fact-sheet.</w:t>
      </w:r>
    </w:p>
    <w:p>
      <w:pPr>
        <w:spacing w:before="0"/>
        <w:ind w:left="463" w:right="64" w:hanging="1"/>
        <w:jc w:val="left"/>
        <w:rPr>
          <w:sz w:val="18"/>
        </w:rPr>
      </w:pPr>
      <w:r>
        <w:rPr>
          <w:sz w:val="18"/>
          <w:vertAlign w:val="superscript"/>
        </w:rPr>
        <w:t>19</w:t>
      </w:r>
      <w:r>
        <w:rPr>
          <w:spacing w:val="-9"/>
          <w:sz w:val="18"/>
          <w:vertAlign w:val="baseline"/>
        </w:rPr>
        <w:t> </w:t>
      </w:r>
      <w:r>
        <w:rPr>
          <w:sz w:val="18"/>
          <w:vertAlign w:val="baseline"/>
        </w:rPr>
        <w:t>Michelle M. Johns et al., “Transgender Identity and Experiences of Violence Victimization, Substance Use, Suicide Risk, and Sexual</w:t>
      </w:r>
      <w:r>
        <w:rPr>
          <w:spacing w:val="-3"/>
          <w:sz w:val="18"/>
          <w:vertAlign w:val="baseline"/>
        </w:rPr>
        <w:t> </w:t>
      </w:r>
      <w:r>
        <w:rPr>
          <w:sz w:val="18"/>
          <w:vertAlign w:val="baseline"/>
        </w:rPr>
        <w:t>Risk</w:t>
      </w:r>
      <w:r>
        <w:rPr>
          <w:spacing w:val="-3"/>
          <w:sz w:val="18"/>
          <w:vertAlign w:val="baseline"/>
        </w:rPr>
        <w:t> </w:t>
      </w:r>
      <w:r>
        <w:rPr>
          <w:sz w:val="18"/>
          <w:vertAlign w:val="baseline"/>
        </w:rPr>
        <w:t>Behaviors</w:t>
      </w:r>
      <w:r>
        <w:rPr>
          <w:spacing w:val="-2"/>
          <w:sz w:val="18"/>
          <w:vertAlign w:val="baseline"/>
        </w:rPr>
        <w:t> </w:t>
      </w:r>
      <w:r>
        <w:rPr>
          <w:sz w:val="18"/>
          <w:vertAlign w:val="baseline"/>
        </w:rPr>
        <w:t>Among</w:t>
      </w:r>
      <w:r>
        <w:rPr>
          <w:spacing w:val="-2"/>
          <w:sz w:val="18"/>
          <w:vertAlign w:val="baseline"/>
        </w:rPr>
        <w:t> </w:t>
      </w:r>
      <w:r>
        <w:rPr>
          <w:sz w:val="18"/>
          <w:vertAlign w:val="baseline"/>
        </w:rPr>
        <w:t>High</w:t>
      </w:r>
      <w:r>
        <w:rPr>
          <w:spacing w:val="-2"/>
          <w:sz w:val="18"/>
          <w:vertAlign w:val="baseline"/>
        </w:rPr>
        <w:t> </w:t>
      </w:r>
      <w:r>
        <w:rPr>
          <w:sz w:val="18"/>
          <w:vertAlign w:val="baseline"/>
        </w:rPr>
        <w:t>School</w:t>
      </w:r>
      <w:r>
        <w:rPr>
          <w:spacing w:val="-3"/>
          <w:sz w:val="18"/>
          <w:vertAlign w:val="baseline"/>
        </w:rPr>
        <w:t> </w:t>
      </w:r>
      <w:r>
        <w:rPr>
          <w:sz w:val="18"/>
          <w:vertAlign w:val="baseline"/>
        </w:rPr>
        <w:t>Students</w:t>
      </w:r>
      <w:r>
        <w:rPr>
          <w:spacing w:val="-2"/>
          <w:sz w:val="18"/>
          <w:vertAlign w:val="baseline"/>
        </w:rPr>
        <w:t> </w:t>
      </w:r>
      <w:r>
        <w:rPr>
          <w:sz w:val="18"/>
          <w:vertAlign w:val="baseline"/>
        </w:rPr>
        <w:t>—</w:t>
      </w:r>
      <w:r>
        <w:rPr>
          <w:spacing w:val="-2"/>
          <w:sz w:val="18"/>
          <w:vertAlign w:val="baseline"/>
        </w:rPr>
        <w:t> </w:t>
      </w:r>
      <w:r>
        <w:rPr>
          <w:sz w:val="18"/>
          <w:vertAlign w:val="baseline"/>
        </w:rPr>
        <w:t>19</w:t>
      </w:r>
      <w:r>
        <w:rPr>
          <w:spacing w:val="-2"/>
          <w:sz w:val="18"/>
          <w:vertAlign w:val="baseline"/>
        </w:rPr>
        <w:t> </w:t>
      </w:r>
      <w:r>
        <w:rPr>
          <w:sz w:val="18"/>
          <w:vertAlign w:val="baseline"/>
        </w:rPr>
        <w:t>States</w:t>
      </w:r>
      <w:r>
        <w:rPr>
          <w:spacing w:val="-2"/>
          <w:sz w:val="18"/>
          <w:vertAlign w:val="baseline"/>
        </w:rPr>
        <w:t> </w:t>
      </w:r>
      <w:r>
        <w:rPr>
          <w:sz w:val="18"/>
          <w:vertAlign w:val="baseline"/>
        </w:rPr>
        <w:t>and</w:t>
      </w:r>
      <w:r>
        <w:rPr>
          <w:spacing w:val="-2"/>
          <w:sz w:val="18"/>
          <w:vertAlign w:val="baseline"/>
        </w:rPr>
        <w:t> </w:t>
      </w:r>
      <w:r>
        <w:rPr>
          <w:sz w:val="18"/>
          <w:vertAlign w:val="baseline"/>
        </w:rPr>
        <w:t>Large</w:t>
      </w:r>
      <w:r>
        <w:rPr>
          <w:spacing w:val="-2"/>
          <w:sz w:val="18"/>
          <w:vertAlign w:val="baseline"/>
        </w:rPr>
        <w:t> </w:t>
      </w:r>
      <w:r>
        <w:rPr>
          <w:sz w:val="18"/>
          <w:vertAlign w:val="baseline"/>
        </w:rPr>
        <w:t>Urban</w:t>
      </w:r>
      <w:r>
        <w:rPr>
          <w:spacing w:val="-3"/>
          <w:sz w:val="18"/>
          <w:vertAlign w:val="baseline"/>
        </w:rPr>
        <w:t> </w:t>
      </w:r>
      <w:r>
        <w:rPr>
          <w:sz w:val="18"/>
          <w:vertAlign w:val="baseline"/>
        </w:rPr>
        <w:t>School</w:t>
      </w:r>
      <w:r>
        <w:rPr>
          <w:spacing w:val="-3"/>
          <w:sz w:val="18"/>
          <w:vertAlign w:val="baseline"/>
        </w:rPr>
        <w:t> </w:t>
      </w:r>
      <w:r>
        <w:rPr>
          <w:sz w:val="18"/>
          <w:vertAlign w:val="baseline"/>
        </w:rPr>
        <w:t>Districts,</w:t>
      </w:r>
      <w:r>
        <w:rPr>
          <w:spacing w:val="-2"/>
          <w:sz w:val="18"/>
          <w:vertAlign w:val="baseline"/>
        </w:rPr>
        <w:t> </w:t>
      </w:r>
      <w:r>
        <w:rPr>
          <w:sz w:val="18"/>
          <w:vertAlign w:val="baseline"/>
        </w:rPr>
        <w:t>2017,”</w:t>
      </w:r>
      <w:r>
        <w:rPr>
          <w:spacing w:val="-2"/>
          <w:sz w:val="18"/>
          <w:vertAlign w:val="baseline"/>
        </w:rPr>
        <w:t> </w:t>
      </w:r>
      <w:r>
        <w:rPr>
          <w:i/>
          <w:sz w:val="18"/>
          <w:vertAlign w:val="baseline"/>
        </w:rPr>
        <w:t>MMWR.</w:t>
      </w:r>
      <w:r>
        <w:rPr>
          <w:i/>
          <w:spacing w:val="-2"/>
          <w:sz w:val="18"/>
          <w:vertAlign w:val="baseline"/>
        </w:rPr>
        <w:t> </w:t>
      </w:r>
      <w:r>
        <w:rPr>
          <w:i/>
          <w:sz w:val="18"/>
          <w:vertAlign w:val="baseline"/>
        </w:rPr>
        <w:t>Morbidity</w:t>
      </w:r>
      <w:r>
        <w:rPr>
          <w:i/>
          <w:spacing w:val="-2"/>
          <w:sz w:val="18"/>
          <w:vertAlign w:val="baseline"/>
        </w:rPr>
        <w:t> </w:t>
      </w:r>
      <w:r>
        <w:rPr>
          <w:i/>
          <w:sz w:val="18"/>
          <w:vertAlign w:val="baseline"/>
        </w:rPr>
        <w:t>and</w:t>
      </w:r>
      <w:r>
        <w:rPr>
          <w:i/>
          <w:sz w:val="18"/>
          <w:vertAlign w:val="baseline"/>
        </w:rPr>
        <w:t> Mortality Weekly Report </w:t>
      </w:r>
      <w:r>
        <w:rPr>
          <w:sz w:val="18"/>
          <w:vertAlign w:val="baseline"/>
        </w:rPr>
        <w:t>68 (2019), https://doi.org/10.15585/mmwr.mm6803a3.</w:t>
      </w:r>
    </w:p>
    <w:p>
      <w:pPr>
        <w:spacing w:before="0"/>
        <w:ind w:left="463" w:right="271" w:hanging="1"/>
        <w:jc w:val="left"/>
        <w:rPr>
          <w:sz w:val="18"/>
        </w:rPr>
      </w:pPr>
      <w:r>
        <w:rPr>
          <w:sz w:val="18"/>
          <w:vertAlign w:val="superscript"/>
        </w:rPr>
        <w:t>20</w:t>
      </w:r>
      <w:r>
        <w:rPr>
          <w:spacing w:val="-13"/>
          <w:sz w:val="18"/>
          <w:vertAlign w:val="baseline"/>
        </w:rPr>
        <w:t> </w:t>
      </w:r>
      <w:r>
        <w:rPr>
          <w:sz w:val="18"/>
          <w:vertAlign w:val="baseline"/>
        </w:rPr>
        <w:t>Margarita</w:t>
      </w:r>
      <w:r>
        <w:rPr>
          <w:spacing w:val="-4"/>
          <w:sz w:val="18"/>
          <w:vertAlign w:val="baseline"/>
        </w:rPr>
        <w:t> </w:t>
      </w:r>
      <w:r>
        <w:rPr>
          <w:sz w:val="18"/>
          <w:vertAlign w:val="baseline"/>
        </w:rPr>
        <w:t>Alegría,</w:t>
      </w:r>
      <w:r>
        <w:rPr>
          <w:spacing w:val="-4"/>
          <w:sz w:val="18"/>
          <w:vertAlign w:val="baseline"/>
        </w:rPr>
        <w:t> </w:t>
      </w:r>
      <w:r>
        <w:rPr>
          <w:sz w:val="18"/>
          <w:vertAlign w:val="baseline"/>
        </w:rPr>
        <w:t>Kiara</w:t>
      </w:r>
      <w:r>
        <w:rPr>
          <w:spacing w:val="-3"/>
          <w:sz w:val="18"/>
          <w:vertAlign w:val="baseline"/>
        </w:rPr>
        <w:t> </w:t>
      </w:r>
      <w:r>
        <w:rPr>
          <w:sz w:val="18"/>
          <w:vertAlign w:val="baseline"/>
        </w:rPr>
        <w:t>Álvarez,</w:t>
      </w:r>
      <w:r>
        <w:rPr>
          <w:spacing w:val="-4"/>
          <w:sz w:val="18"/>
          <w:vertAlign w:val="baseline"/>
        </w:rPr>
        <w:t> </w:t>
      </w:r>
      <w:r>
        <w:rPr>
          <w:sz w:val="18"/>
          <w:vertAlign w:val="baseline"/>
        </w:rPr>
        <w:t>and</w:t>
      </w:r>
      <w:r>
        <w:rPr>
          <w:spacing w:val="-3"/>
          <w:sz w:val="18"/>
          <w:vertAlign w:val="baseline"/>
        </w:rPr>
        <w:t> </w:t>
      </w:r>
      <w:r>
        <w:rPr>
          <w:sz w:val="18"/>
          <w:vertAlign w:val="baseline"/>
        </w:rPr>
        <w:t>Karissa</w:t>
      </w:r>
      <w:r>
        <w:rPr>
          <w:spacing w:val="-3"/>
          <w:sz w:val="18"/>
          <w:vertAlign w:val="baseline"/>
        </w:rPr>
        <w:t> </w:t>
      </w:r>
      <w:r>
        <w:rPr>
          <w:sz w:val="18"/>
          <w:vertAlign w:val="baseline"/>
        </w:rPr>
        <w:t>DiMarzio,</w:t>
      </w:r>
      <w:r>
        <w:rPr>
          <w:spacing w:val="-4"/>
          <w:sz w:val="18"/>
          <w:vertAlign w:val="baseline"/>
        </w:rPr>
        <w:t> </w:t>
      </w:r>
      <w:r>
        <w:rPr>
          <w:sz w:val="18"/>
          <w:vertAlign w:val="baseline"/>
        </w:rPr>
        <w:t>“Immigration</w:t>
      </w:r>
      <w:r>
        <w:rPr>
          <w:spacing w:val="-3"/>
          <w:sz w:val="18"/>
          <w:vertAlign w:val="baseline"/>
        </w:rPr>
        <w:t> </w:t>
      </w:r>
      <w:r>
        <w:rPr>
          <w:sz w:val="18"/>
          <w:vertAlign w:val="baseline"/>
        </w:rPr>
        <w:t>and</w:t>
      </w:r>
      <w:r>
        <w:rPr>
          <w:spacing w:val="-3"/>
          <w:sz w:val="18"/>
          <w:vertAlign w:val="baseline"/>
        </w:rPr>
        <w:t> </w:t>
      </w:r>
      <w:r>
        <w:rPr>
          <w:sz w:val="18"/>
          <w:vertAlign w:val="baseline"/>
        </w:rPr>
        <w:t>Mental</w:t>
      </w:r>
      <w:r>
        <w:rPr>
          <w:spacing w:val="-4"/>
          <w:sz w:val="18"/>
          <w:vertAlign w:val="baseline"/>
        </w:rPr>
        <w:t> </w:t>
      </w:r>
      <w:r>
        <w:rPr>
          <w:sz w:val="18"/>
          <w:vertAlign w:val="baseline"/>
        </w:rPr>
        <w:t>Health,”</w:t>
      </w:r>
      <w:r>
        <w:rPr>
          <w:spacing w:val="-3"/>
          <w:sz w:val="18"/>
          <w:vertAlign w:val="baseline"/>
        </w:rPr>
        <w:t> </w:t>
      </w:r>
      <w:r>
        <w:rPr>
          <w:i/>
          <w:sz w:val="18"/>
          <w:vertAlign w:val="baseline"/>
        </w:rPr>
        <w:t>Current</w:t>
      </w:r>
      <w:r>
        <w:rPr>
          <w:i/>
          <w:spacing w:val="-4"/>
          <w:sz w:val="18"/>
          <w:vertAlign w:val="baseline"/>
        </w:rPr>
        <w:t> </w:t>
      </w:r>
      <w:r>
        <w:rPr>
          <w:i/>
          <w:sz w:val="18"/>
          <w:vertAlign w:val="baseline"/>
        </w:rPr>
        <w:t>Epidemiology</w:t>
      </w:r>
      <w:r>
        <w:rPr>
          <w:i/>
          <w:spacing w:val="-2"/>
          <w:sz w:val="18"/>
          <w:vertAlign w:val="baseline"/>
        </w:rPr>
        <w:t> </w:t>
      </w:r>
      <w:r>
        <w:rPr>
          <w:i/>
          <w:sz w:val="18"/>
          <w:vertAlign w:val="baseline"/>
        </w:rPr>
        <w:t>Reports</w:t>
      </w:r>
      <w:r>
        <w:rPr>
          <w:i/>
          <w:spacing w:val="-4"/>
          <w:sz w:val="18"/>
          <w:vertAlign w:val="baseline"/>
        </w:rPr>
        <w:t> </w:t>
      </w:r>
      <w:r>
        <w:rPr>
          <w:sz w:val="18"/>
          <w:vertAlign w:val="baseline"/>
        </w:rPr>
        <w:t>4,</w:t>
      </w:r>
      <w:r>
        <w:rPr>
          <w:spacing w:val="-4"/>
          <w:sz w:val="18"/>
          <w:vertAlign w:val="baseline"/>
        </w:rPr>
        <w:t> </w:t>
      </w:r>
      <w:r>
        <w:rPr>
          <w:sz w:val="18"/>
          <w:vertAlign w:val="baseline"/>
        </w:rPr>
        <w:t>no. 2 (June 2017): 145, https://doi.org/10.1007/s40471-017-0111-2.</w:t>
      </w:r>
    </w:p>
    <w:p>
      <w:pPr>
        <w:spacing w:before="0"/>
        <w:ind w:left="463" w:right="378" w:firstLine="0"/>
        <w:jc w:val="left"/>
        <w:rPr>
          <w:sz w:val="18"/>
        </w:rPr>
      </w:pPr>
      <w:r>
        <w:rPr>
          <w:sz w:val="18"/>
          <w:vertAlign w:val="superscript"/>
        </w:rPr>
        <w:t>21</w:t>
      </w:r>
      <w:r>
        <w:rPr>
          <w:spacing w:val="-8"/>
          <w:sz w:val="18"/>
          <w:vertAlign w:val="baseline"/>
        </w:rPr>
        <w:t> </w:t>
      </w:r>
      <w:r>
        <w:rPr>
          <w:sz w:val="18"/>
          <w:vertAlign w:val="baseline"/>
        </w:rPr>
        <w:t>Consuelo Arbona et al., “Acculturative Stress Among Documented and Undocumented Latino Immigrants in the United States,”</w:t>
      </w:r>
      <w:r>
        <w:rPr>
          <w:spacing w:val="-3"/>
          <w:sz w:val="18"/>
          <w:vertAlign w:val="baseline"/>
        </w:rPr>
        <w:t> </w:t>
      </w:r>
      <w:r>
        <w:rPr>
          <w:i/>
          <w:sz w:val="18"/>
          <w:vertAlign w:val="baseline"/>
        </w:rPr>
        <w:t>Hispanic</w:t>
      </w:r>
      <w:r>
        <w:rPr>
          <w:i/>
          <w:spacing w:val="-3"/>
          <w:sz w:val="18"/>
          <w:vertAlign w:val="baseline"/>
        </w:rPr>
        <w:t> </w:t>
      </w:r>
      <w:r>
        <w:rPr>
          <w:i/>
          <w:sz w:val="18"/>
          <w:vertAlign w:val="baseline"/>
        </w:rPr>
        <w:t>Journal</w:t>
      </w:r>
      <w:r>
        <w:rPr>
          <w:i/>
          <w:spacing w:val="-4"/>
          <w:sz w:val="18"/>
          <w:vertAlign w:val="baseline"/>
        </w:rPr>
        <w:t> </w:t>
      </w:r>
      <w:r>
        <w:rPr>
          <w:i/>
          <w:sz w:val="18"/>
          <w:vertAlign w:val="baseline"/>
        </w:rPr>
        <w:t>of</w:t>
      </w:r>
      <w:r>
        <w:rPr>
          <w:i/>
          <w:spacing w:val="-3"/>
          <w:sz w:val="18"/>
          <w:vertAlign w:val="baseline"/>
        </w:rPr>
        <w:t> </w:t>
      </w:r>
      <w:r>
        <w:rPr>
          <w:i/>
          <w:sz w:val="18"/>
          <w:vertAlign w:val="baseline"/>
        </w:rPr>
        <w:t>Behavioral</w:t>
      </w:r>
      <w:r>
        <w:rPr>
          <w:i/>
          <w:spacing w:val="-4"/>
          <w:sz w:val="18"/>
          <w:vertAlign w:val="baseline"/>
        </w:rPr>
        <w:t> </w:t>
      </w:r>
      <w:r>
        <w:rPr>
          <w:i/>
          <w:sz w:val="18"/>
          <w:vertAlign w:val="baseline"/>
        </w:rPr>
        <w:t>Sciences</w:t>
      </w:r>
      <w:r>
        <w:rPr>
          <w:i/>
          <w:spacing w:val="-4"/>
          <w:sz w:val="18"/>
          <w:vertAlign w:val="baseline"/>
        </w:rPr>
        <w:t> </w:t>
      </w:r>
      <w:r>
        <w:rPr>
          <w:sz w:val="18"/>
          <w:vertAlign w:val="baseline"/>
        </w:rPr>
        <w:t>32,</w:t>
      </w:r>
      <w:r>
        <w:rPr>
          <w:spacing w:val="-4"/>
          <w:sz w:val="18"/>
          <w:vertAlign w:val="baseline"/>
        </w:rPr>
        <w:t> </w:t>
      </w:r>
      <w:r>
        <w:rPr>
          <w:sz w:val="18"/>
          <w:vertAlign w:val="baseline"/>
        </w:rPr>
        <w:t>no.</w:t>
      </w:r>
      <w:r>
        <w:rPr>
          <w:spacing w:val="-3"/>
          <w:sz w:val="18"/>
          <w:vertAlign w:val="baseline"/>
        </w:rPr>
        <w:t> </w:t>
      </w:r>
      <w:r>
        <w:rPr>
          <w:sz w:val="18"/>
          <w:vertAlign w:val="baseline"/>
        </w:rPr>
        <w:t>3</w:t>
      </w:r>
      <w:r>
        <w:rPr>
          <w:spacing w:val="-3"/>
          <w:sz w:val="18"/>
          <w:vertAlign w:val="baseline"/>
        </w:rPr>
        <w:t> </w:t>
      </w:r>
      <w:r>
        <w:rPr>
          <w:sz w:val="18"/>
          <w:vertAlign w:val="baseline"/>
        </w:rPr>
        <w:t>(August</w:t>
      </w:r>
      <w:r>
        <w:rPr>
          <w:spacing w:val="-5"/>
          <w:sz w:val="18"/>
          <w:vertAlign w:val="baseline"/>
        </w:rPr>
        <w:t> </w:t>
      </w:r>
      <w:r>
        <w:rPr>
          <w:sz w:val="18"/>
          <w:vertAlign w:val="baseline"/>
        </w:rPr>
        <w:t>2010):</w:t>
      </w:r>
      <w:r>
        <w:rPr>
          <w:spacing w:val="-3"/>
          <w:sz w:val="18"/>
          <w:vertAlign w:val="baseline"/>
        </w:rPr>
        <w:t> </w:t>
      </w:r>
      <w:r>
        <w:rPr>
          <w:sz w:val="18"/>
          <w:vertAlign w:val="baseline"/>
        </w:rPr>
        <w:t>362–84,</w:t>
      </w:r>
      <w:r>
        <w:rPr>
          <w:spacing w:val="-4"/>
          <w:sz w:val="18"/>
          <w:vertAlign w:val="baseline"/>
        </w:rPr>
        <w:t> </w:t>
      </w:r>
      <w:r>
        <w:rPr>
          <w:sz w:val="18"/>
          <w:vertAlign w:val="baseline"/>
        </w:rPr>
        <w:t>https://doi.org/10.1177/0739986310373210. </w:t>
      </w:r>
      <w:r>
        <w:rPr>
          <w:sz w:val="18"/>
          <w:vertAlign w:val="superscript"/>
        </w:rPr>
        <w:t>22</w:t>
      </w:r>
      <w:r>
        <w:rPr>
          <w:spacing w:val="-13"/>
          <w:sz w:val="18"/>
          <w:vertAlign w:val="baseline"/>
        </w:rPr>
        <w:t> </w:t>
      </w:r>
      <w:r>
        <w:rPr>
          <w:sz w:val="18"/>
          <w:vertAlign w:val="baseline"/>
        </w:rPr>
        <w:t>Nicole N. Gray,</w:t>
      </w:r>
      <w:r>
        <w:rPr>
          <w:spacing w:val="-1"/>
          <w:sz w:val="18"/>
          <w:vertAlign w:val="baseline"/>
        </w:rPr>
        <w:t> </w:t>
      </w:r>
      <w:r>
        <w:rPr>
          <w:sz w:val="18"/>
          <w:vertAlign w:val="baseline"/>
        </w:rPr>
        <w:t>David M. Mendelsohn,</w:t>
      </w:r>
      <w:r>
        <w:rPr>
          <w:spacing w:val="-1"/>
          <w:sz w:val="18"/>
          <w:vertAlign w:val="baseline"/>
        </w:rPr>
        <w:t> </w:t>
      </w:r>
      <w:r>
        <w:rPr>
          <w:sz w:val="18"/>
          <w:vertAlign w:val="baseline"/>
        </w:rPr>
        <w:t>and Allen M. Omoto,</w:t>
      </w:r>
      <w:r>
        <w:rPr>
          <w:spacing w:val="-1"/>
          <w:sz w:val="18"/>
          <w:vertAlign w:val="baseline"/>
        </w:rPr>
        <w:t> </w:t>
      </w:r>
      <w:r>
        <w:rPr>
          <w:sz w:val="18"/>
          <w:vertAlign w:val="baseline"/>
        </w:rPr>
        <w:t>“Community Connectedness,</w:t>
      </w:r>
      <w:r>
        <w:rPr>
          <w:spacing w:val="-1"/>
          <w:sz w:val="18"/>
          <w:vertAlign w:val="baseline"/>
        </w:rPr>
        <w:t> </w:t>
      </w:r>
      <w:r>
        <w:rPr>
          <w:sz w:val="18"/>
          <w:vertAlign w:val="baseline"/>
        </w:rPr>
        <w:t>Challenges,</w:t>
      </w:r>
      <w:r>
        <w:rPr>
          <w:spacing w:val="-1"/>
          <w:sz w:val="18"/>
          <w:vertAlign w:val="baseline"/>
        </w:rPr>
        <w:t> </w:t>
      </w:r>
      <w:r>
        <w:rPr>
          <w:sz w:val="18"/>
          <w:vertAlign w:val="baseline"/>
        </w:rPr>
        <w:t>and Resilience Among Gay Latino Immigrants,” </w:t>
      </w:r>
      <w:r>
        <w:rPr>
          <w:i/>
          <w:sz w:val="18"/>
          <w:vertAlign w:val="baseline"/>
        </w:rPr>
        <w:t>American Journal of Community Psychology </w:t>
      </w:r>
      <w:r>
        <w:rPr>
          <w:sz w:val="18"/>
          <w:vertAlign w:val="baseline"/>
        </w:rPr>
        <w:t>55, no. 0 (March 2015): 202, </w:t>
      </w:r>
      <w:r>
        <w:rPr>
          <w:spacing w:val="-2"/>
          <w:sz w:val="18"/>
          <w:vertAlign w:val="baseline"/>
        </w:rPr>
        <w:t>https://doi.org/10.1007/s10464-014-9697-4.</w:t>
      </w:r>
    </w:p>
    <w:p>
      <w:pPr>
        <w:spacing w:before="0"/>
        <w:ind w:left="463" w:right="271" w:hanging="1"/>
        <w:jc w:val="left"/>
        <w:rPr>
          <w:sz w:val="18"/>
        </w:rPr>
      </w:pPr>
      <w:r>
        <w:rPr>
          <w:sz w:val="18"/>
          <w:vertAlign w:val="superscript"/>
        </w:rPr>
        <w:t>23</w:t>
      </w:r>
      <w:r>
        <w:rPr>
          <w:spacing w:val="-13"/>
          <w:sz w:val="18"/>
          <w:vertAlign w:val="baseline"/>
        </w:rPr>
        <w:t> </w:t>
      </w:r>
      <w:r>
        <w:rPr>
          <w:sz w:val="18"/>
          <w:vertAlign w:val="baseline"/>
        </w:rPr>
        <w:t>Fernando</w:t>
      </w:r>
      <w:r>
        <w:rPr>
          <w:spacing w:val="-4"/>
          <w:sz w:val="18"/>
          <w:vertAlign w:val="baseline"/>
        </w:rPr>
        <w:t> </w:t>
      </w:r>
      <w:r>
        <w:rPr>
          <w:sz w:val="18"/>
          <w:vertAlign w:val="baseline"/>
        </w:rPr>
        <w:t>Estrada</w:t>
      </w:r>
      <w:r>
        <w:rPr>
          <w:spacing w:val="-2"/>
          <w:sz w:val="18"/>
          <w:vertAlign w:val="baseline"/>
        </w:rPr>
        <w:t> </w:t>
      </w:r>
      <w:r>
        <w:rPr>
          <w:sz w:val="18"/>
          <w:vertAlign w:val="baseline"/>
        </w:rPr>
        <w:t>et</w:t>
      </w:r>
      <w:r>
        <w:rPr>
          <w:spacing w:val="-3"/>
          <w:sz w:val="18"/>
          <w:vertAlign w:val="baseline"/>
        </w:rPr>
        <w:t> </w:t>
      </w:r>
      <w:r>
        <w:rPr>
          <w:sz w:val="18"/>
          <w:vertAlign w:val="baseline"/>
        </w:rPr>
        <w:t>al.,</w:t>
      </w:r>
      <w:r>
        <w:rPr>
          <w:spacing w:val="-3"/>
          <w:sz w:val="18"/>
          <w:vertAlign w:val="baseline"/>
        </w:rPr>
        <w:t> </w:t>
      </w:r>
      <w:r>
        <w:rPr>
          <w:sz w:val="18"/>
          <w:vertAlign w:val="baseline"/>
        </w:rPr>
        <w:t>“Machismo</w:t>
      </w:r>
      <w:r>
        <w:rPr>
          <w:spacing w:val="-2"/>
          <w:sz w:val="18"/>
          <w:vertAlign w:val="baseline"/>
        </w:rPr>
        <w:t> </w:t>
      </w:r>
      <w:r>
        <w:rPr>
          <w:sz w:val="18"/>
          <w:vertAlign w:val="baseline"/>
        </w:rPr>
        <w:t>and</w:t>
      </w:r>
      <w:r>
        <w:rPr>
          <w:spacing w:val="-2"/>
          <w:sz w:val="18"/>
          <w:vertAlign w:val="baseline"/>
        </w:rPr>
        <w:t> </w:t>
      </w:r>
      <w:r>
        <w:rPr>
          <w:sz w:val="18"/>
          <w:vertAlign w:val="baseline"/>
        </w:rPr>
        <w:t>Mexican</w:t>
      </w:r>
      <w:r>
        <w:rPr>
          <w:spacing w:val="-2"/>
          <w:sz w:val="18"/>
          <w:vertAlign w:val="baseline"/>
        </w:rPr>
        <w:t> </w:t>
      </w:r>
      <w:r>
        <w:rPr>
          <w:sz w:val="18"/>
          <w:vertAlign w:val="baseline"/>
        </w:rPr>
        <w:t>American</w:t>
      </w:r>
      <w:r>
        <w:rPr>
          <w:spacing w:val="-2"/>
          <w:sz w:val="18"/>
          <w:vertAlign w:val="baseline"/>
        </w:rPr>
        <w:t> </w:t>
      </w:r>
      <w:r>
        <w:rPr>
          <w:sz w:val="18"/>
          <w:vertAlign w:val="baseline"/>
        </w:rPr>
        <w:t>Men:</w:t>
      </w:r>
      <w:r>
        <w:rPr>
          <w:spacing w:val="-2"/>
          <w:sz w:val="18"/>
          <w:vertAlign w:val="baseline"/>
        </w:rPr>
        <w:t> </w:t>
      </w:r>
      <w:r>
        <w:rPr>
          <w:sz w:val="18"/>
          <w:vertAlign w:val="baseline"/>
        </w:rPr>
        <w:t>An</w:t>
      </w:r>
      <w:r>
        <w:rPr>
          <w:spacing w:val="-2"/>
          <w:sz w:val="18"/>
          <w:vertAlign w:val="baseline"/>
        </w:rPr>
        <w:t> </w:t>
      </w:r>
      <w:r>
        <w:rPr>
          <w:sz w:val="18"/>
          <w:vertAlign w:val="baseline"/>
        </w:rPr>
        <w:t>Empirical</w:t>
      </w:r>
      <w:r>
        <w:rPr>
          <w:spacing w:val="-2"/>
          <w:sz w:val="18"/>
          <w:vertAlign w:val="baseline"/>
        </w:rPr>
        <w:t> </w:t>
      </w:r>
      <w:r>
        <w:rPr>
          <w:sz w:val="18"/>
          <w:vertAlign w:val="baseline"/>
        </w:rPr>
        <w:t>Understanding</w:t>
      </w:r>
      <w:r>
        <w:rPr>
          <w:spacing w:val="-3"/>
          <w:sz w:val="18"/>
          <w:vertAlign w:val="baseline"/>
        </w:rPr>
        <w:t> </w:t>
      </w:r>
      <w:r>
        <w:rPr>
          <w:sz w:val="18"/>
          <w:vertAlign w:val="baseline"/>
        </w:rPr>
        <w:t>Using</w:t>
      </w:r>
      <w:r>
        <w:rPr>
          <w:spacing w:val="-2"/>
          <w:sz w:val="18"/>
          <w:vertAlign w:val="baseline"/>
        </w:rPr>
        <w:t> </w:t>
      </w:r>
      <w:r>
        <w:rPr>
          <w:sz w:val="18"/>
          <w:vertAlign w:val="baseline"/>
        </w:rPr>
        <w:t>a</w:t>
      </w:r>
      <w:r>
        <w:rPr>
          <w:spacing w:val="-2"/>
          <w:sz w:val="18"/>
          <w:vertAlign w:val="baseline"/>
        </w:rPr>
        <w:t> </w:t>
      </w:r>
      <w:r>
        <w:rPr>
          <w:sz w:val="18"/>
          <w:vertAlign w:val="baseline"/>
        </w:rPr>
        <w:t>Gay</w:t>
      </w:r>
      <w:r>
        <w:rPr>
          <w:spacing w:val="-2"/>
          <w:sz w:val="18"/>
          <w:vertAlign w:val="baseline"/>
        </w:rPr>
        <w:t> </w:t>
      </w:r>
      <w:r>
        <w:rPr>
          <w:sz w:val="18"/>
          <w:vertAlign w:val="baseline"/>
        </w:rPr>
        <w:t>Sample,”</w:t>
      </w:r>
      <w:r>
        <w:rPr>
          <w:spacing w:val="-2"/>
          <w:sz w:val="18"/>
          <w:vertAlign w:val="baseline"/>
        </w:rPr>
        <w:t> </w:t>
      </w:r>
      <w:r>
        <w:rPr>
          <w:i/>
          <w:sz w:val="18"/>
          <w:vertAlign w:val="baseline"/>
        </w:rPr>
        <w:t>Journal</w:t>
      </w:r>
      <w:r>
        <w:rPr>
          <w:i/>
          <w:spacing w:val="-3"/>
          <w:sz w:val="18"/>
          <w:vertAlign w:val="baseline"/>
        </w:rPr>
        <w:t> </w:t>
      </w:r>
      <w:r>
        <w:rPr>
          <w:i/>
          <w:sz w:val="18"/>
          <w:vertAlign w:val="baseline"/>
        </w:rPr>
        <w:t>of</w:t>
      </w:r>
      <w:r>
        <w:rPr>
          <w:i/>
          <w:sz w:val="18"/>
          <w:vertAlign w:val="baseline"/>
        </w:rPr>
        <w:t> Counseling Psychology </w:t>
      </w:r>
      <w:r>
        <w:rPr>
          <w:sz w:val="18"/>
          <w:vertAlign w:val="baseline"/>
        </w:rPr>
        <w:t>58, no. 3 (July 2011): 358–67, https://doi.org/10.1037/a0023122.</w:t>
      </w:r>
    </w:p>
    <w:p>
      <w:pPr>
        <w:spacing w:line="219" w:lineRule="exact" w:before="0"/>
        <w:ind w:left="463" w:right="0" w:firstLine="0"/>
        <w:jc w:val="left"/>
        <w:rPr>
          <w:sz w:val="18"/>
        </w:rPr>
      </w:pPr>
      <w:r>
        <w:rPr>
          <w:sz w:val="18"/>
          <w:vertAlign w:val="superscript"/>
        </w:rPr>
        <w:t>24</w:t>
      </w:r>
      <w:r>
        <w:rPr>
          <w:spacing w:val="-15"/>
          <w:sz w:val="18"/>
          <w:vertAlign w:val="baseline"/>
        </w:rPr>
        <w:t> </w:t>
      </w:r>
      <w:r>
        <w:rPr>
          <w:sz w:val="18"/>
          <w:vertAlign w:val="baseline"/>
        </w:rPr>
        <w:t>The</w:t>
      </w:r>
      <w:r>
        <w:rPr>
          <w:spacing w:val="-5"/>
          <w:sz w:val="18"/>
          <w:vertAlign w:val="baseline"/>
        </w:rPr>
        <w:t> </w:t>
      </w:r>
      <w:r>
        <w:rPr>
          <w:sz w:val="18"/>
          <w:vertAlign w:val="baseline"/>
        </w:rPr>
        <w:t>APA</w:t>
      </w:r>
      <w:r>
        <w:rPr>
          <w:spacing w:val="-2"/>
          <w:sz w:val="18"/>
          <w:vertAlign w:val="baseline"/>
        </w:rPr>
        <w:t> </w:t>
      </w:r>
      <w:r>
        <w:rPr>
          <w:sz w:val="18"/>
          <w:vertAlign w:val="baseline"/>
        </w:rPr>
        <w:t>Presidential</w:t>
      </w:r>
      <w:r>
        <w:rPr>
          <w:spacing w:val="-4"/>
          <w:sz w:val="18"/>
          <w:vertAlign w:val="baseline"/>
        </w:rPr>
        <w:t> </w:t>
      </w:r>
      <w:r>
        <w:rPr>
          <w:sz w:val="18"/>
          <w:vertAlign w:val="baseline"/>
        </w:rPr>
        <w:t>Task</w:t>
      </w:r>
      <w:r>
        <w:rPr>
          <w:spacing w:val="-3"/>
          <w:sz w:val="18"/>
          <w:vertAlign w:val="baseline"/>
        </w:rPr>
        <w:t> </w:t>
      </w:r>
      <w:r>
        <w:rPr>
          <w:sz w:val="18"/>
          <w:vertAlign w:val="baseline"/>
        </w:rPr>
        <w:t>Force</w:t>
      </w:r>
      <w:r>
        <w:rPr>
          <w:spacing w:val="-2"/>
          <w:sz w:val="18"/>
          <w:vertAlign w:val="baseline"/>
        </w:rPr>
        <w:t> </w:t>
      </w:r>
      <w:r>
        <w:rPr>
          <w:sz w:val="18"/>
          <w:vertAlign w:val="baseline"/>
        </w:rPr>
        <w:t>on</w:t>
      </w:r>
      <w:r>
        <w:rPr>
          <w:spacing w:val="-3"/>
          <w:sz w:val="18"/>
          <w:vertAlign w:val="baseline"/>
        </w:rPr>
        <w:t> </w:t>
      </w:r>
      <w:r>
        <w:rPr>
          <w:sz w:val="18"/>
          <w:vertAlign w:val="baseline"/>
        </w:rPr>
        <w:t>Immigration.</w:t>
      </w:r>
      <w:r>
        <w:rPr>
          <w:spacing w:val="-2"/>
          <w:sz w:val="18"/>
          <w:vertAlign w:val="baseline"/>
        </w:rPr>
        <w:t> </w:t>
      </w:r>
      <w:r>
        <w:rPr>
          <w:sz w:val="18"/>
          <w:vertAlign w:val="baseline"/>
        </w:rPr>
        <w:t>(2013).</w:t>
      </w:r>
      <w:r>
        <w:rPr>
          <w:spacing w:val="-4"/>
          <w:sz w:val="18"/>
          <w:vertAlign w:val="baseline"/>
        </w:rPr>
        <w:t> </w:t>
      </w:r>
      <w:r>
        <w:rPr>
          <w:sz w:val="18"/>
          <w:vertAlign w:val="baseline"/>
        </w:rPr>
        <w:t>Crossroads:</w:t>
      </w:r>
      <w:r>
        <w:rPr>
          <w:spacing w:val="-2"/>
          <w:sz w:val="18"/>
          <w:vertAlign w:val="baseline"/>
        </w:rPr>
        <w:t> </w:t>
      </w:r>
      <w:r>
        <w:rPr>
          <w:sz w:val="18"/>
          <w:vertAlign w:val="baseline"/>
        </w:rPr>
        <w:t>The</w:t>
      </w:r>
      <w:r>
        <w:rPr>
          <w:spacing w:val="-3"/>
          <w:sz w:val="18"/>
          <w:vertAlign w:val="baseline"/>
        </w:rPr>
        <w:t> </w:t>
      </w:r>
      <w:r>
        <w:rPr>
          <w:sz w:val="18"/>
          <w:vertAlign w:val="baseline"/>
        </w:rPr>
        <w:t>psychology</w:t>
      </w:r>
      <w:r>
        <w:rPr>
          <w:spacing w:val="-2"/>
          <w:sz w:val="18"/>
          <w:vertAlign w:val="baseline"/>
        </w:rPr>
        <w:t> </w:t>
      </w:r>
      <w:r>
        <w:rPr>
          <w:sz w:val="18"/>
          <w:vertAlign w:val="baseline"/>
        </w:rPr>
        <w:t>of</w:t>
      </w:r>
      <w:r>
        <w:rPr>
          <w:spacing w:val="-3"/>
          <w:sz w:val="18"/>
          <w:vertAlign w:val="baseline"/>
        </w:rPr>
        <w:t> </w:t>
      </w:r>
      <w:r>
        <w:rPr>
          <w:sz w:val="18"/>
          <w:vertAlign w:val="baseline"/>
        </w:rPr>
        <w:t>immigration</w:t>
      </w:r>
      <w:r>
        <w:rPr>
          <w:spacing w:val="-2"/>
          <w:sz w:val="18"/>
          <w:vertAlign w:val="baseline"/>
        </w:rPr>
        <w:t> </w:t>
      </w:r>
      <w:r>
        <w:rPr>
          <w:sz w:val="18"/>
          <w:vertAlign w:val="baseline"/>
        </w:rPr>
        <w:t>in</w:t>
      </w:r>
      <w:r>
        <w:rPr>
          <w:spacing w:val="-3"/>
          <w:sz w:val="18"/>
          <w:vertAlign w:val="baseline"/>
        </w:rPr>
        <w:t> </w:t>
      </w:r>
      <w:r>
        <w:rPr>
          <w:sz w:val="18"/>
          <w:vertAlign w:val="baseline"/>
        </w:rPr>
        <w:t>the</w:t>
      </w:r>
      <w:r>
        <w:rPr>
          <w:spacing w:val="-2"/>
          <w:sz w:val="18"/>
          <w:vertAlign w:val="baseline"/>
        </w:rPr>
        <w:t> </w:t>
      </w:r>
      <w:r>
        <w:rPr>
          <w:sz w:val="18"/>
          <w:vertAlign w:val="baseline"/>
        </w:rPr>
        <w:t>new</w:t>
      </w:r>
      <w:r>
        <w:rPr>
          <w:spacing w:val="-3"/>
          <w:sz w:val="18"/>
          <w:vertAlign w:val="baseline"/>
        </w:rPr>
        <w:t> </w:t>
      </w:r>
      <w:r>
        <w:rPr>
          <w:spacing w:val="-2"/>
          <w:sz w:val="18"/>
          <w:vertAlign w:val="baseline"/>
        </w:rPr>
        <w:t>century.</w:t>
      </w:r>
    </w:p>
    <w:p>
      <w:pPr>
        <w:spacing w:before="0"/>
        <w:ind w:left="463" w:right="0" w:firstLine="0"/>
        <w:jc w:val="left"/>
        <w:rPr>
          <w:sz w:val="18"/>
        </w:rPr>
      </w:pPr>
      <w:r>
        <w:rPr>
          <w:i/>
          <w:sz w:val="18"/>
        </w:rPr>
        <w:t>Journal</w:t>
      </w:r>
      <w:r>
        <w:rPr>
          <w:i/>
          <w:spacing w:val="-6"/>
          <w:sz w:val="18"/>
        </w:rPr>
        <w:t> </w:t>
      </w:r>
      <w:r>
        <w:rPr>
          <w:i/>
          <w:sz w:val="18"/>
        </w:rPr>
        <w:t>of</w:t>
      </w:r>
      <w:r>
        <w:rPr>
          <w:i/>
          <w:spacing w:val="-3"/>
          <w:sz w:val="18"/>
        </w:rPr>
        <w:t> </w:t>
      </w:r>
      <w:r>
        <w:rPr>
          <w:i/>
          <w:sz w:val="18"/>
        </w:rPr>
        <w:t>Latina/o</w:t>
      </w:r>
      <w:r>
        <w:rPr>
          <w:i/>
          <w:spacing w:val="-4"/>
          <w:sz w:val="18"/>
        </w:rPr>
        <w:t> </w:t>
      </w:r>
      <w:r>
        <w:rPr>
          <w:i/>
          <w:sz w:val="18"/>
        </w:rPr>
        <w:t>Psychology,</w:t>
      </w:r>
      <w:r>
        <w:rPr>
          <w:i/>
          <w:spacing w:val="-3"/>
          <w:sz w:val="18"/>
        </w:rPr>
        <w:t> </w:t>
      </w:r>
      <w:r>
        <w:rPr>
          <w:i/>
          <w:sz w:val="18"/>
        </w:rPr>
        <w:t>1</w:t>
      </w:r>
      <w:r>
        <w:rPr>
          <w:sz w:val="18"/>
        </w:rPr>
        <w:t>(3),</w:t>
      </w:r>
      <w:r>
        <w:rPr>
          <w:spacing w:val="-4"/>
          <w:sz w:val="18"/>
        </w:rPr>
        <w:t> </w:t>
      </w:r>
      <w:r>
        <w:rPr>
          <w:sz w:val="18"/>
        </w:rPr>
        <w:t>133–148.</w:t>
      </w:r>
      <w:r>
        <w:rPr>
          <w:spacing w:val="-3"/>
          <w:sz w:val="18"/>
        </w:rPr>
        <w:t> </w:t>
      </w:r>
      <w:hyperlink r:id="rId588">
        <w:r>
          <w:rPr>
            <w:color w:val="0000FF"/>
            <w:spacing w:val="-2"/>
            <w:sz w:val="18"/>
            <w:u w:val="single" w:color="0000FF"/>
          </w:rPr>
          <w:t>https://doi.org/10.1037/lat0000001</w:t>
        </w:r>
      </w:hyperlink>
    </w:p>
    <w:p>
      <w:pPr>
        <w:spacing w:before="0"/>
        <w:ind w:left="463" w:right="2905" w:hanging="1"/>
        <w:jc w:val="left"/>
        <w:rPr>
          <w:sz w:val="18"/>
        </w:rPr>
      </w:pPr>
      <w:r>
        <w:rPr>
          <w:sz w:val="18"/>
          <w:vertAlign w:val="superscript"/>
        </w:rPr>
        <w:t>25</w:t>
      </w:r>
      <w:r>
        <w:rPr>
          <w:spacing w:val="-6"/>
          <w:sz w:val="18"/>
          <w:vertAlign w:val="baseline"/>
        </w:rPr>
        <w:t> </w:t>
      </w:r>
      <w:r>
        <w:rPr>
          <w:sz w:val="18"/>
          <w:vertAlign w:val="baseline"/>
        </w:rPr>
        <w:t>“LGBTQ Youth from Immigrant Families,” </w:t>
      </w:r>
      <w:r>
        <w:rPr>
          <w:i/>
          <w:sz w:val="18"/>
          <w:vertAlign w:val="baseline"/>
        </w:rPr>
        <w:t>The Trevor Project </w:t>
      </w:r>
      <w:r>
        <w:rPr>
          <w:sz w:val="18"/>
          <w:vertAlign w:val="baseline"/>
        </w:rPr>
        <w:t>(blog), April 30, 2021, </w:t>
      </w:r>
      <w:r>
        <w:rPr>
          <w:spacing w:val="-2"/>
          <w:sz w:val="18"/>
          <w:vertAlign w:val="baseline"/>
        </w:rPr>
        <w:t>https://</w:t>
      </w:r>
      <w:hyperlink r:id="rId589">
        <w:r>
          <w:rPr>
            <w:spacing w:val="-2"/>
            <w:sz w:val="18"/>
            <w:vertAlign w:val="baseline"/>
          </w:rPr>
          <w:t>www.thetrevorproject.org/research-briefs/lgbtq-youth-from-immigrant-families-2/.</w:t>
        </w:r>
      </w:hyperlink>
    </w:p>
    <w:p>
      <w:pPr>
        <w:spacing w:before="0"/>
        <w:ind w:left="463" w:right="0" w:firstLine="0"/>
        <w:jc w:val="left"/>
        <w:rPr>
          <w:sz w:val="18"/>
        </w:rPr>
      </w:pPr>
      <w:r>
        <w:rPr>
          <w:sz w:val="18"/>
          <w:vertAlign w:val="superscript"/>
        </w:rPr>
        <w:t>26</w:t>
      </w:r>
      <w:r>
        <w:rPr>
          <w:spacing w:val="-15"/>
          <w:sz w:val="18"/>
          <w:vertAlign w:val="baseline"/>
        </w:rPr>
        <w:t> </w:t>
      </w:r>
      <w:r>
        <w:rPr>
          <w:sz w:val="18"/>
          <w:vertAlign w:val="baseline"/>
        </w:rPr>
        <w:t>“Latinx</w:t>
      </w:r>
      <w:r>
        <w:rPr>
          <w:spacing w:val="-5"/>
          <w:sz w:val="18"/>
          <w:vertAlign w:val="baseline"/>
        </w:rPr>
        <w:t> </w:t>
      </w:r>
      <w:r>
        <w:rPr>
          <w:sz w:val="18"/>
          <w:vertAlign w:val="baseline"/>
        </w:rPr>
        <w:t>LGBTQ+</w:t>
      </w:r>
      <w:r>
        <w:rPr>
          <w:spacing w:val="-2"/>
          <w:sz w:val="18"/>
          <w:vertAlign w:val="baseline"/>
        </w:rPr>
        <w:t> </w:t>
      </w:r>
      <w:r>
        <w:rPr>
          <w:sz w:val="18"/>
          <w:vertAlign w:val="baseline"/>
        </w:rPr>
        <w:t>Immigrant</w:t>
      </w:r>
      <w:r>
        <w:rPr>
          <w:spacing w:val="-4"/>
          <w:sz w:val="18"/>
          <w:vertAlign w:val="baseline"/>
        </w:rPr>
        <w:t> </w:t>
      </w:r>
      <w:r>
        <w:rPr>
          <w:sz w:val="18"/>
          <w:vertAlign w:val="baseline"/>
        </w:rPr>
        <w:t>Youth</w:t>
      </w:r>
      <w:r>
        <w:rPr>
          <w:spacing w:val="-2"/>
          <w:sz w:val="18"/>
          <w:vertAlign w:val="baseline"/>
        </w:rPr>
        <w:t> </w:t>
      </w:r>
      <w:r>
        <w:rPr>
          <w:sz w:val="18"/>
          <w:vertAlign w:val="baseline"/>
        </w:rPr>
        <w:t>/</w:t>
      </w:r>
      <w:r>
        <w:rPr>
          <w:spacing w:val="-3"/>
          <w:sz w:val="18"/>
          <w:vertAlign w:val="baseline"/>
        </w:rPr>
        <w:t> </w:t>
      </w:r>
      <w:r>
        <w:rPr>
          <w:sz w:val="18"/>
          <w:vertAlign w:val="baseline"/>
        </w:rPr>
        <w:t>Jovenes</w:t>
      </w:r>
      <w:r>
        <w:rPr>
          <w:spacing w:val="-2"/>
          <w:sz w:val="18"/>
          <w:vertAlign w:val="baseline"/>
        </w:rPr>
        <w:t> </w:t>
      </w:r>
      <w:r>
        <w:rPr>
          <w:sz w:val="18"/>
          <w:vertAlign w:val="baseline"/>
        </w:rPr>
        <w:t>Inmigrantes</w:t>
      </w:r>
      <w:r>
        <w:rPr>
          <w:spacing w:val="-3"/>
          <w:sz w:val="18"/>
          <w:vertAlign w:val="baseline"/>
        </w:rPr>
        <w:t> </w:t>
      </w:r>
      <w:r>
        <w:rPr>
          <w:sz w:val="18"/>
          <w:vertAlign w:val="baseline"/>
        </w:rPr>
        <w:t>Latinx</w:t>
      </w:r>
      <w:r>
        <w:rPr>
          <w:spacing w:val="-2"/>
          <w:sz w:val="18"/>
          <w:vertAlign w:val="baseline"/>
        </w:rPr>
        <w:t> </w:t>
      </w:r>
      <w:r>
        <w:rPr>
          <w:sz w:val="18"/>
          <w:vertAlign w:val="baseline"/>
        </w:rPr>
        <w:t>LGBTQ+</w:t>
      </w:r>
      <w:r>
        <w:rPr>
          <w:spacing w:val="-4"/>
          <w:sz w:val="18"/>
          <w:vertAlign w:val="baseline"/>
        </w:rPr>
        <w:t> </w:t>
      </w:r>
      <w:r>
        <w:rPr>
          <w:sz w:val="18"/>
          <w:vertAlign w:val="baseline"/>
        </w:rPr>
        <w:t>Provider</w:t>
      </w:r>
      <w:r>
        <w:rPr>
          <w:spacing w:val="-3"/>
          <w:sz w:val="18"/>
          <w:vertAlign w:val="baseline"/>
        </w:rPr>
        <w:t> </w:t>
      </w:r>
      <w:r>
        <w:rPr>
          <w:sz w:val="18"/>
          <w:vertAlign w:val="baseline"/>
        </w:rPr>
        <w:t>Fact</w:t>
      </w:r>
      <w:r>
        <w:rPr>
          <w:spacing w:val="-3"/>
          <w:sz w:val="18"/>
          <w:vertAlign w:val="baseline"/>
        </w:rPr>
        <w:t> </w:t>
      </w:r>
      <w:r>
        <w:rPr>
          <w:spacing w:val="-2"/>
          <w:sz w:val="18"/>
          <w:vertAlign w:val="baseline"/>
        </w:rPr>
        <w:t>Sheet.”</w:t>
      </w:r>
    </w:p>
    <w:p>
      <w:pPr>
        <w:spacing w:before="0"/>
        <w:ind w:left="463" w:right="0" w:hanging="1"/>
        <w:jc w:val="left"/>
        <w:rPr>
          <w:sz w:val="18"/>
        </w:rPr>
      </w:pPr>
      <w:r>
        <w:rPr>
          <w:sz w:val="18"/>
          <w:vertAlign w:val="superscript"/>
        </w:rPr>
        <w:t>27</w:t>
      </w:r>
      <w:r>
        <w:rPr>
          <w:spacing w:val="-13"/>
          <w:sz w:val="18"/>
          <w:vertAlign w:val="baseline"/>
        </w:rPr>
        <w:t> </w:t>
      </w:r>
      <w:r>
        <w:rPr>
          <w:sz w:val="18"/>
          <w:vertAlign w:val="baseline"/>
        </w:rPr>
        <w:t>MIRA</w:t>
      </w:r>
      <w:r>
        <w:rPr>
          <w:spacing w:val="-7"/>
          <w:sz w:val="18"/>
          <w:vertAlign w:val="baseline"/>
        </w:rPr>
        <w:t> </w:t>
      </w:r>
      <w:r>
        <w:rPr>
          <w:sz w:val="18"/>
          <w:vertAlign w:val="baseline"/>
        </w:rPr>
        <w:t>Coalition,</w:t>
      </w:r>
      <w:r>
        <w:rPr>
          <w:spacing w:val="-5"/>
          <w:sz w:val="18"/>
          <w:vertAlign w:val="baseline"/>
        </w:rPr>
        <w:t> </w:t>
      </w:r>
      <w:r>
        <w:rPr>
          <w:sz w:val="18"/>
          <w:vertAlign w:val="baseline"/>
        </w:rPr>
        <w:t>“2021</w:t>
      </w:r>
      <w:r>
        <w:rPr>
          <w:spacing w:val="-4"/>
          <w:sz w:val="18"/>
          <w:vertAlign w:val="baseline"/>
        </w:rPr>
        <w:t> </w:t>
      </w:r>
      <w:r>
        <w:rPr>
          <w:sz w:val="18"/>
          <w:vertAlign w:val="baseline"/>
        </w:rPr>
        <w:t>MIRA</w:t>
      </w:r>
      <w:r>
        <w:rPr>
          <w:spacing w:val="-4"/>
          <w:sz w:val="18"/>
          <w:vertAlign w:val="baseline"/>
        </w:rPr>
        <w:t> </w:t>
      </w:r>
      <w:r>
        <w:rPr>
          <w:sz w:val="18"/>
          <w:vertAlign w:val="baseline"/>
        </w:rPr>
        <w:t>Coalition</w:t>
      </w:r>
      <w:r>
        <w:rPr>
          <w:spacing w:val="-4"/>
          <w:sz w:val="18"/>
          <w:vertAlign w:val="baseline"/>
        </w:rPr>
        <w:t> </w:t>
      </w:r>
      <w:r>
        <w:rPr>
          <w:sz w:val="18"/>
          <w:vertAlign w:val="baseline"/>
        </w:rPr>
        <w:t>Annual</w:t>
      </w:r>
      <w:r>
        <w:rPr>
          <w:spacing w:val="-5"/>
          <w:sz w:val="18"/>
          <w:vertAlign w:val="baseline"/>
        </w:rPr>
        <w:t> </w:t>
      </w:r>
      <w:r>
        <w:rPr>
          <w:sz w:val="18"/>
          <w:vertAlign w:val="baseline"/>
        </w:rPr>
        <w:t>Report,”</w:t>
      </w:r>
      <w:r>
        <w:rPr>
          <w:spacing w:val="-4"/>
          <w:sz w:val="18"/>
          <w:vertAlign w:val="baseline"/>
        </w:rPr>
        <w:t> </w:t>
      </w:r>
      <w:r>
        <w:rPr>
          <w:sz w:val="18"/>
          <w:vertAlign w:val="baseline"/>
        </w:rPr>
        <w:t>2021,</w:t>
      </w:r>
      <w:r>
        <w:rPr>
          <w:spacing w:val="-5"/>
          <w:sz w:val="18"/>
          <w:vertAlign w:val="baseline"/>
        </w:rPr>
        <w:t> </w:t>
      </w:r>
      <w:r>
        <w:rPr>
          <w:sz w:val="18"/>
          <w:vertAlign w:val="baseline"/>
        </w:rPr>
        <w:t>https://miracoalition.org/wp- </w:t>
      </w:r>
      <w:r>
        <w:rPr>
          <w:spacing w:val="-2"/>
          <w:sz w:val="18"/>
          <w:vertAlign w:val="baseline"/>
        </w:rPr>
        <w:t>content/uploads/2022/09/MIRAAnnualReport2021Final.pdf.</w:t>
      </w:r>
    </w:p>
    <w:p>
      <w:pPr>
        <w:spacing w:before="0"/>
        <w:ind w:left="463" w:right="377" w:hanging="1"/>
        <w:jc w:val="left"/>
        <w:rPr>
          <w:sz w:val="18"/>
        </w:rPr>
      </w:pPr>
      <w:r>
        <w:rPr>
          <w:sz w:val="18"/>
          <w:vertAlign w:val="superscript"/>
        </w:rPr>
        <w:t>28</w:t>
      </w:r>
      <w:r>
        <w:rPr>
          <w:spacing w:val="-14"/>
          <w:sz w:val="18"/>
          <w:vertAlign w:val="baseline"/>
        </w:rPr>
        <w:t> </w:t>
      </w:r>
      <w:r>
        <w:rPr>
          <w:sz w:val="18"/>
          <w:vertAlign w:val="baseline"/>
        </w:rPr>
        <w:t>Pascale</w:t>
      </w:r>
      <w:r>
        <w:rPr>
          <w:spacing w:val="-5"/>
          <w:sz w:val="18"/>
          <w:vertAlign w:val="baseline"/>
        </w:rPr>
        <w:t> </w:t>
      </w:r>
      <w:r>
        <w:rPr>
          <w:sz w:val="18"/>
          <w:vertAlign w:val="baseline"/>
        </w:rPr>
        <w:t>Joassart-Marcelli,</w:t>
      </w:r>
      <w:r>
        <w:rPr>
          <w:spacing w:val="-4"/>
          <w:sz w:val="18"/>
          <w:vertAlign w:val="baseline"/>
        </w:rPr>
        <w:t> </w:t>
      </w:r>
      <w:r>
        <w:rPr>
          <w:sz w:val="18"/>
          <w:vertAlign w:val="baseline"/>
        </w:rPr>
        <w:t>“Ethnic</w:t>
      </w:r>
      <w:r>
        <w:rPr>
          <w:spacing w:val="-4"/>
          <w:sz w:val="18"/>
          <w:vertAlign w:val="baseline"/>
        </w:rPr>
        <w:t> </w:t>
      </w:r>
      <w:r>
        <w:rPr>
          <w:sz w:val="18"/>
          <w:vertAlign w:val="baseline"/>
        </w:rPr>
        <w:t>Concentration</w:t>
      </w:r>
      <w:r>
        <w:rPr>
          <w:spacing w:val="-3"/>
          <w:sz w:val="18"/>
          <w:vertAlign w:val="baseline"/>
        </w:rPr>
        <w:t> </w:t>
      </w:r>
      <w:r>
        <w:rPr>
          <w:sz w:val="18"/>
          <w:vertAlign w:val="baseline"/>
        </w:rPr>
        <w:t>and</w:t>
      </w:r>
      <w:r>
        <w:rPr>
          <w:spacing w:val="-3"/>
          <w:sz w:val="18"/>
          <w:vertAlign w:val="baseline"/>
        </w:rPr>
        <w:t> </w:t>
      </w:r>
      <w:r>
        <w:rPr>
          <w:sz w:val="18"/>
          <w:vertAlign w:val="baseline"/>
        </w:rPr>
        <w:t>Nonprofit</w:t>
      </w:r>
      <w:r>
        <w:rPr>
          <w:spacing w:val="-5"/>
          <w:sz w:val="18"/>
          <w:vertAlign w:val="baseline"/>
        </w:rPr>
        <w:t> </w:t>
      </w:r>
      <w:r>
        <w:rPr>
          <w:sz w:val="18"/>
          <w:vertAlign w:val="baseline"/>
        </w:rPr>
        <w:t>Organizations:</w:t>
      </w:r>
      <w:r>
        <w:rPr>
          <w:spacing w:val="-3"/>
          <w:sz w:val="18"/>
          <w:vertAlign w:val="baseline"/>
        </w:rPr>
        <w:t> </w:t>
      </w:r>
      <w:r>
        <w:rPr>
          <w:sz w:val="18"/>
          <w:vertAlign w:val="baseline"/>
        </w:rPr>
        <w:t>The</w:t>
      </w:r>
      <w:r>
        <w:rPr>
          <w:spacing w:val="-3"/>
          <w:sz w:val="18"/>
          <w:vertAlign w:val="baseline"/>
        </w:rPr>
        <w:t> </w:t>
      </w:r>
      <w:r>
        <w:rPr>
          <w:sz w:val="18"/>
          <w:vertAlign w:val="baseline"/>
        </w:rPr>
        <w:t>Political</w:t>
      </w:r>
      <w:r>
        <w:rPr>
          <w:spacing w:val="-4"/>
          <w:sz w:val="18"/>
          <w:vertAlign w:val="baseline"/>
        </w:rPr>
        <w:t> </w:t>
      </w:r>
      <w:r>
        <w:rPr>
          <w:sz w:val="18"/>
          <w:vertAlign w:val="baseline"/>
        </w:rPr>
        <w:t>and</w:t>
      </w:r>
      <w:r>
        <w:rPr>
          <w:spacing w:val="-3"/>
          <w:sz w:val="18"/>
          <w:vertAlign w:val="baseline"/>
        </w:rPr>
        <w:t> </w:t>
      </w:r>
      <w:r>
        <w:rPr>
          <w:sz w:val="18"/>
          <w:vertAlign w:val="baseline"/>
        </w:rPr>
        <w:t>Urban</w:t>
      </w:r>
      <w:r>
        <w:rPr>
          <w:spacing w:val="-3"/>
          <w:sz w:val="18"/>
          <w:vertAlign w:val="baseline"/>
        </w:rPr>
        <w:t> </w:t>
      </w:r>
      <w:r>
        <w:rPr>
          <w:sz w:val="18"/>
          <w:vertAlign w:val="baseline"/>
        </w:rPr>
        <w:t>Geography</w:t>
      </w:r>
      <w:r>
        <w:rPr>
          <w:spacing w:val="-3"/>
          <w:sz w:val="18"/>
          <w:vertAlign w:val="baseline"/>
        </w:rPr>
        <w:t> </w:t>
      </w:r>
      <w:r>
        <w:rPr>
          <w:sz w:val="18"/>
          <w:vertAlign w:val="baseline"/>
        </w:rPr>
        <w:t>of Immigrant Services in Boston, Massachusetts” International Migration Review, Vol. 47, no. 3 (Fall 2013): 730-772, </w:t>
      </w:r>
      <w:hyperlink r:id="rId590">
        <w:r>
          <w:rPr>
            <w:color w:val="1154CC"/>
            <w:spacing w:val="-2"/>
            <w:sz w:val="18"/>
            <w:u w:val="single" w:color="1154CC"/>
            <w:vertAlign w:val="baseline"/>
          </w:rPr>
          <w:t>https://doi.org/10.1111/imre.12041</w:t>
        </w:r>
        <w:r>
          <w:rPr>
            <w:spacing w:val="-2"/>
            <w:sz w:val="18"/>
            <w:u w:val="none"/>
            <w:vertAlign w:val="baseline"/>
          </w:rPr>
          <w:t>.</w:t>
        </w:r>
      </w:hyperlink>
    </w:p>
    <w:p>
      <w:pPr>
        <w:spacing w:before="0"/>
        <w:ind w:left="463" w:right="271" w:hanging="1"/>
        <w:jc w:val="left"/>
        <w:rPr>
          <w:sz w:val="18"/>
        </w:rPr>
      </w:pPr>
      <w:r>
        <w:rPr>
          <w:sz w:val="18"/>
          <w:vertAlign w:val="superscript"/>
        </w:rPr>
        <w:t>28</w:t>
      </w:r>
      <w:r>
        <w:rPr>
          <w:spacing w:val="-13"/>
          <w:sz w:val="18"/>
          <w:vertAlign w:val="baseline"/>
        </w:rPr>
        <w:t> </w:t>
      </w:r>
      <w:r>
        <w:rPr>
          <w:sz w:val="18"/>
          <w:vertAlign w:val="baseline"/>
        </w:rPr>
        <w:t>Sarah</w:t>
      </w:r>
      <w:r>
        <w:rPr>
          <w:spacing w:val="-4"/>
          <w:sz w:val="18"/>
          <w:vertAlign w:val="baseline"/>
        </w:rPr>
        <w:t> </w:t>
      </w:r>
      <w:r>
        <w:rPr>
          <w:sz w:val="18"/>
          <w:vertAlign w:val="baseline"/>
        </w:rPr>
        <w:t>Betancourt,</w:t>
      </w:r>
      <w:r>
        <w:rPr>
          <w:spacing w:val="-3"/>
          <w:sz w:val="18"/>
          <w:vertAlign w:val="baseline"/>
        </w:rPr>
        <w:t> </w:t>
      </w:r>
      <w:r>
        <w:rPr>
          <w:sz w:val="18"/>
          <w:vertAlign w:val="baseline"/>
        </w:rPr>
        <w:t>“Walsh,</w:t>
      </w:r>
      <w:r>
        <w:rPr>
          <w:spacing w:val="-3"/>
          <w:sz w:val="18"/>
          <w:vertAlign w:val="baseline"/>
        </w:rPr>
        <w:t> </w:t>
      </w:r>
      <w:r>
        <w:rPr>
          <w:sz w:val="18"/>
          <w:vertAlign w:val="baseline"/>
        </w:rPr>
        <w:t>Zakim</w:t>
      </w:r>
      <w:r>
        <w:rPr>
          <w:spacing w:val="-2"/>
          <w:sz w:val="18"/>
          <w:vertAlign w:val="baseline"/>
        </w:rPr>
        <w:t> </w:t>
      </w:r>
      <w:r>
        <w:rPr>
          <w:sz w:val="18"/>
          <w:vertAlign w:val="baseline"/>
        </w:rPr>
        <w:t>Submit</w:t>
      </w:r>
      <w:r>
        <w:rPr>
          <w:spacing w:val="-3"/>
          <w:sz w:val="18"/>
          <w:vertAlign w:val="baseline"/>
        </w:rPr>
        <w:t> </w:t>
      </w:r>
      <w:r>
        <w:rPr>
          <w:sz w:val="18"/>
          <w:vertAlign w:val="baseline"/>
        </w:rPr>
        <w:t>Changes</w:t>
      </w:r>
      <w:r>
        <w:rPr>
          <w:spacing w:val="-2"/>
          <w:sz w:val="18"/>
          <w:vertAlign w:val="baseline"/>
        </w:rPr>
        <w:t> </w:t>
      </w:r>
      <w:r>
        <w:rPr>
          <w:sz w:val="18"/>
          <w:vertAlign w:val="baseline"/>
        </w:rPr>
        <w:t>to</w:t>
      </w:r>
      <w:r>
        <w:rPr>
          <w:spacing w:val="-2"/>
          <w:sz w:val="18"/>
          <w:vertAlign w:val="baseline"/>
        </w:rPr>
        <w:t> </w:t>
      </w:r>
      <w:r>
        <w:rPr>
          <w:sz w:val="18"/>
          <w:vertAlign w:val="baseline"/>
        </w:rPr>
        <w:t>Immigrant</w:t>
      </w:r>
      <w:r>
        <w:rPr>
          <w:spacing w:val="-4"/>
          <w:sz w:val="18"/>
          <w:vertAlign w:val="baseline"/>
        </w:rPr>
        <w:t> </w:t>
      </w:r>
      <w:r>
        <w:rPr>
          <w:sz w:val="18"/>
          <w:vertAlign w:val="baseline"/>
        </w:rPr>
        <w:t>Trust</w:t>
      </w:r>
      <w:r>
        <w:rPr>
          <w:spacing w:val="-3"/>
          <w:sz w:val="18"/>
          <w:vertAlign w:val="baseline"/>
        </w:rPr>
        <w:t> </w:t>
      </w:r>
      <w:r>
        <w:rPr>
          <w:sz w:val="18"/>
          <w:vertAlign w:val="baseline"/>
        </w:rPr>
        <w:t>Act,”</w:t>
      </w:r>
      <w:r>
        <w:rPr>
          <w:spacing w:val="-2"/>
          <w:sz w:val="18"/>
          <w:vertAlign w:val="baseline"/>
        </w:rPr>
        <w:t> </w:t>
      </w:r>
      <w:r>
        <w:rPr>
          <w:i/>
          <w:sz w:val="18"/>
          <w:vertAlign w:val="baseline"/>
        </w:rPr>
        <w:t>CommonWealth</w:t>
      </w:r>
      <w:r>
        <w:rPr>
          <w:i/>
          <w:spacing w:val="-3"/>
          <w:sz w:val="18"/>
          <w:vertAlign w:val="baseline"/>
        </w:rPr>
        <w:t> </w:t>
      </w:r>
      <w:r>
        <w:rPr>
          <w:i/>
          <w:sz w:val="18"/>
          <w:vertAlign w:val="baseline"/>
        </w:rPr>
        <w:t>Magazine</w:t>
      </w:r>
      <w:r>
        <w:rPr>
          <w:i/>
          <w:spacing w:val="-2"/>
          <w:sz w:val="18"/>
          <w:vertAlign w:val="baseline"/>
        </w:rPr>
        <w:t> </w:t>
      </w:r>
      <w:r>
        <w:rPr>
          <w:sz w:val="18"/>
          <w:vertAlign w:val="baseline"/>
        </w:rPr>
        <w:t>(blog),</w:t>
      </w:r>
      <w:r>
        <w:rPr>
          <w:spacing w:val="-3"/>
          <w:sz w:val="18"/>
          <w:vertAlign w:val="baseline"/>
        </w:rPr>
        <w:t> </w:t>
      </w:r>
      <w:r>
        <w:rPr>
          <w:sz w:val="18"/>
          <w:vertAlign w:val="baseline"/>
        </w:rPr>
        <w:t>December</w:t>
      </w:r>
      <w:r>
        <w:rPr>
          <w:spacing w:val="-3"/>
          <w:sz w:val="18"/>
          <w:vertAlign w:val="baseline"/>
        </w:rPr>
        <w:t> </w:t>
      </w:r>
      <w:r>
        <w:rPr>
          <w:sz w:val="18"/>
          <w:vertAlign w:val="baseline"/>
        </w:rPr>
        <w:t>9, 2019,</w:t>
      </w:r>
      <w:r>
        <w:rPr>
          <w:spacing w:val="-2"/>
          <w:sz w:val="18"/>
          <w:vertAlign w:val="baseline"/>
        </w:rPr>
        <w:t> </w:t>
      </w:r>
      <w:r>
        <w:rPr>
          <w:sz w:val="18"/>
          <w:vertAlign w:val="baseline"/>
        </w:rPr>
        <w:t>https://commonwealthmagazine.org/immigration/walsh-zakim-submit-changes-to-immigrant-trust-act/.</w:t>
      </w:r>
    </w:p>
    <w:p>
      <w:pPr>
        <w:spacing w:before="0"/>
        <w:ind w:left="463" w:right="271" w:hanging="1"/>
        <w:jc w:val="left"/>
        <w:rPr>
          <w:sz w:val="18"/>
        </w:rPr>
      </w:pPr>
      <w:r>
        <w:rPr>
          <w:sz w:val="18"/>
          <w:vertAlign w:val="superscript"/>
        </w:rPr>
        <w:t>29</w:t>
      </w:r>
      <w:r>
        <w:rPr>
          <w:spacing w:val="-13"/>
          <w:sz w:val="18"/>
          <w:vertAlign w:val="baseline"/>
        </w:rPr>
        <w:t> </w:t>
      </w:r>
      <w:r>
        <w:rPr>
          <w:sz w:val="18"/>
          <w:vertAlign w:val="baseline"/>
        </w:rPr>
        <w:t>Ilan</w:t>
      </w:r>
      <w:r>
        <w:rPr>
          <w:spacing w:val="-3"/>
          <w:sz w:val="18"/>
          <w:vertAlign w:val="baseline"/>
        </w:rPr>
        <w:t> </w:t>
      </w:r>
      <w:r>
        <w:rPr>
          <w:sz w:val="18"/>
          <w:vertAlign w:val="baseline"/>
        </w:rPr>
        <w:t>H.</w:t>
      </w:r>
      <w:r>
        <w:rPr>
          <w:spacing w:val="-2"/>
          <w:sz w:val="18"/>
          <w:vertAlign w:val="baseline"/>
        </w:rPr>
        <w:t> </w:t>
      </w:r>
      <w:r>
        <w:rPr>
          <w:sz w:val="18"/>
          <w:vertAlign w:val="baseline"/>
        </w:rPr>
        <w:t>Meyer</w:t>
      </w:r>
      <w:r>
        <w:rPr>
          <w:spacing w:val="-3"/>
          <w:sz w:val="18"/>
          <w:vertAlign w:val="baseline"/>
        </w:rPr>
        <w:t> </w:t>
      </w:r>
      <w:r>
        <w:rPr>
          <w:sz w:val="18"/>
          <w:vertAlign w:val="baseline"/>
        </w:rPr>
        <w:t>et</w:t>
      </w:r>
      <w:r>
        <w:rPr>
          <w:spacing w:val="-3"/>
          <w:sz w:val="18"/>
          <w:vertAlign w:val="baseline"/>
        </w:rPr>
        <w:t> </w:t>
      </w:r>
      <w:r>
        <w:rPr>
          <w:sz w:val="18"/>
          <w:vertAlign w:val="baseline"/>
        </w:rPr>
        <w:t>al.,</w:t>
      </w:r>
      <w:r>
        <w:rPr>
          <w:spacing w:val="-3"/>
          <w:sz w:val="18"/>
          <w:vertAlign w:val="baseline"/>
        </w:rPr>
        <w:t> </w:t>
      </w:r>
      <w:r>
        <w:rPr>
          <w:sz w:val="18"/>
          <w:vertAlign w:val="baseline"/>
        </w:rPr>
        <w:t>“Incarceration</w:t>
      </w:r>
      <w:r>
        <w:rPr>
          <w:spacing w:val="-2"/>
          <w:sz w:val="18"/>
          <w:vertAlign w:val="baseline"/>
        </w:rPr>
        <w:t> </w:t>
      </w:r>
      <w:r>
        <w:rPr>
          <w:sz w:val="18"/>
          <w:vertAlign w:val="baseline"/>
        </w:rPr>
        <w:t>Rates</w:t>
      </w:r>
      <w:r>
        <w:rPr>
          <w:spacing w:val="-2"/>
          <w:sz w:val="18"/>
          <w:vertAlign w:val="baseline"/>
        </w:rPr>
        <w:t> </w:t>
      </w:r>
      <w:r>
        <w:rPr>
          <w:sz w:val="18"/>
          <w:vertAlign w:val="baseline"/>
        </w:rPr>
        <w:t>and</w:t>
      </w:r>
      <w:r>
        <w:rPr>
          <w:spacing w:val="-2"/>
          <w:sz w:val="18"/>
          <w:vertAlign w:val="baseline"/>
        </w:rPr>
        <w:t> </w:t>
      </w:r>
      <w:r>
        <w:rPr>
          <w:sz w:val="18"/>
          <w:vertAlign w:val="baseline"/>
        </w:rPr>
        <w:t>Traits</w:t>
      </w:r>
      <w:r>
        <w:rPr>
          <w:spacing w:val="-2"/>
          <w:sz w:val="18"/>
          <w:vertAlign w:val="baseline"/>
        </w:rPr>
        <w:t> </w:t>
      </w:r>
      <w:r>
        <w:rPr>
          <w:sz w:val="18"/>
          <w:vertAlign w:val="baseline"/>
        </w:rPr>
        <w:t>of</w:t>
      </w:r>
      <w:r>
        <w:rPr>
          <w:spacing w:val="-2"/>
          <w:sz w:val="18"/>
          <w:vertAlign w:val="baseline"/>
        </w:rPr>
        <w:t> </w:t>
      </w:r>
      <w:r>
        <w:rPr>
          <w:sz w:val="18"/>
          <w:vertAlign w:val="baseline"/>
        </w:rPr>
        <w:t>Sexual</w:t>
      </w:r>
      <w:r>
        <w:rPr>
          <w:spacing w:val="-3"/>
          <w:sz w:val="18"/>
          <w:vertAlign w:val="baseline"/>
        </w:rPr>
        <w:t> </w:t>
      </w:r>
      <w:r>
        <w:rPr>
          <w:sz w:val="18"/>
          <w:vertAlign w:val="baseline"/>
        </w:rPr>
        <w:t>Minorities</w:t>
      </w:r>
      <w:r>
        <w:rPr>
          <w:spacing w:val="-2"/>
          <w:sz w:val="18"/>
          <w:vertAlign w:val="baseline"/>
        </w:rPr>
        <w:t> </w:t>
      </w:r>
      <w:r>
        <w:rPr>
          <w:sz w:val="18"/>
          <w:vertAlign w:val="baseline"/>
        </w:rPr>
        <w:t>in</w:t>
      </w:r>
      <w:r>
        <w:rPr>
          <w:spacing w:val="-2"/>
          <w:sz w:val="18"/>
          <w:vertAlign w:val="baseline"/>
        </w:rPr>
        <w:t> </w:t>
      </w:r>
      <w:r>
        <w:rPr>
          <w:sz w:val="18"/>
          <w:vertAlign w:val="baseline"/>
        </w:rPr>
        <w:t>the</w:t>
      </w:r>
      <w:r>
        <w:rPr>
          <w:spacing w:val="-2"/>
          <w:sz w:val="18"/>
          <w:vertAlign w:val="baseline"/>
        </w:rPr>
        <w:t> </w:t>
      </w:r>
      <w:r>
        <w:rPr>
          <w:sz w:val="18"/>
          <w:vertAlign w:val="baseline"/>
        </w:rPr>
        <w:t>United</w:t>
      </w:r>
      <w:r>
        <w:rPr>
          <w:spacing w:val="-2"/>
          <w:sz w:val="18"/>
          <w:vertAlign w:val="baseline"/>
        </w:rPr>
        <w:t> </w:t>
      </w:r>
      <w:r>
        <w:rPr>
          <w:sz w:val="18"/>
          <w:vertAlign w:val="baseline"/>
        </w:rPr>
        <w:t>States:</w:t>
      </w:r>
      <w:r>
        <w:rPr>
          <w:spacing w:val="-2"/>
          <w:sz w:val="18"/>
          <w:vertAlign w:val="baseline"/>
        </w:rPr>
        <w:t> </w:t>
      </w:r>
      <w:r>
        <w:rPr>
          <w:sz w:val="18"/>
          <w:vertAlign w:val="baseline"/>
        </w:rPr>
        <w:t>National</w:t>
      </w:r>
      <w:r>
        <w:rPr>
          <w:spacing w:val="-3"/>
          <w:sz w:val="18"/>
          <w:vertAlign w:val="baseline"/>
        </w:rPr>
        <w:t> </w:t>
      </w:r>
      <w:r>
        <w:rPr>
          <w:sz w:val="18"/>
          <w:vertAlign w:val="baseline"/>
        </w:rPr>
        <w:t>Inmate</w:t>
      </w:r>
      <w:r>
        <w:rPr>
          <w:spacing w:val="-2"/>
          <w:sz w:val="18"/>
          <w:vertAlign w:val="baseline"/>
        </w:rPr>
        <w:t> </w:t>
      </w:r>
      <w:r>
        <w:rPr>
          <w:sz w:val="18"/>
          <w:vertAlign w:val="baseline"/>
        </w:rPr>
        <w:t>Survey,</w:t>
      </w:r>
      <w:r>
        <w:rPr>
          <w:spacing w:val="-3"/>
          <w:sz w:val="18"/>
          <w:vertAlign w:val="baseline"/>
        </w:rPr>
        <w:t> </w:t>
      </w:r>
      <w:r>
        <w:rPr>
          <w:sz w:val="18"/>
          <w:vertAlign w:val="baseline"/>
        </w:rPr>
        <w:t>2011- 2012,” </w:t>
      </w:r>
      <w:r>
        <w:rPr>
          <w:i/>
          <w:sz w:val="18"/>
          <w:vertAlign w:val="baseline"/>
        </w:rPr>
        <w:t>American Journal of Public Health </w:t>
      </w:r>
      <w:r>
        <w:rPr>
          <w:sz w:val="18"/>
          <w:vertAlign w:val="baseline"/>
        </w:rPr>
        <w:t>107, no. 2 (February 2017): 267–73, https://doi.org/10.2105/AJPH.2016.303576;</w:t>
      </w:r>
    </w:p>
    <w:p>
      <w:pPr>
        <w:spacing w:after="0"/>
        <w:jc w:val="left"/>
        <w:rPr>
          <w:sz w:val="18"/>
        </w:rPr>
        <w:sectPr>
          <w:pgSz w:w="12240" w:h="15840"/>
          <w:pgMar w:header="805" w:footer="1208" w:top="1080" w:bottom="1420" w:left="980" w:right="1180"/>
        </w:sectPr>
      </w:pPr>
    </w:p>
    <w:p>
      <w:pPr>
        <w:spacing w:before="68"/>
        <w:ind w:left="463" w:right="3135" w:firstLine="0"/>
        <w:jc w:val="left"/>
        <w:rPr>
          <w:sz w:val="18"/>
        </w:rPr>
      </w:pPr>
      <w:r>
        <w:rPr>
          <w:sz w:val="18"/>
        </w:rPr>
        <w:t>Gallup</w:t>
      </w:r>
      <w:r>
        <w:rPr>
          <w:spacing w:val="-3"/>
          <w:sz w:val="18"/>
        </w:rPr>
        <w:t> </w:t>
      </w:r>
      <w:r>
        <w:rPr>
          <w:sz w:val="18"/>
        </w:rPr>
        <w:t>Inc,</w:t>
      </w:r>
      <w:r>
        <w:rPr>
          <w:spacing w:val="-4"/>
          <w:sz w:val="18"/>
        </w:rPr>
        <w:t> </w:t>
      </w:r>
      <w:r>
        <w:rPr>
          <w:sz w:val="18"/>
        </w:rPr>
        <w:t>“LGBT</w:t>
      </w:r>
      <w:r>
        <w:rPr>
          <w:spacing w:val="-3"/>
          <w:sz w:val="18"/>
        </w:rPr>
        <w:t> </w:t>
      </w:r>
      <w:r>
        <w:rPr>
          <w:sz w:val="18"/>
        </w:rPr>
        <w:t>Identification</w:t>
      </w:r>
      <w:r>
        <w:rPr>
          <w:spacing w:val="-3"/>
          <w:sz w:val="18"/>
        </w:rPr>
        <w:t> </w:t>
      </w:r>
      <w:r>
        <w:rPr>
          <w:sz w:val="18"/>
        </w:rPr>
        <w:t>in</w:t>
      </w:r>
      <w:r>
        <w:rPr>
          <w:spacing w:val="-3"/>
          <w:sz w:val="18"/>
        </w:rPr>
        <w:t> </w:t>
      </w:r>
      <w:r>
        <w:rPr>
          <w:sz w:val="18"/>
        </w:rPr>
        <w:t>U.S.</w:t>
      </w:r>
      <w:r>
        <w:rPr>
          <w:spacing w:val="-3"/>
          <w:sz w:val="18"/>
        </w:rPr>
        <w:t> </w:t>
      </w:r>
      <w:r>
        <w:rPr>
          <w:sz w:val="18"/>
        </w:rPr>
        <w:t>Ticks</w:t>
      </w:r>
      <w:r>
        <w:rPr>
          <w:spacing w:val="-3"/>
          <w:sz w:val="18"/>
        </w:rPr>
        <w:t> </w:t>
      </w:r>
      <w:r>
        <w:rPr>
          <w:sz w:val="18"/>
        </w:rPr>
        <w:t>Up</w:t>
      </w:r>
      <w:r>
        <w:rPr>
          <w:spacing w:val="-3"/>
          <w:sz w:val="18"/>
        </w:rPr>
        <w:t> </w:t>
      </w:r>
      <w:r>
        <w:rPr>
          <w:sz w:val="18"/>
        </w:rPr>
        <w:t>to</w:t>
      </w:r>
      <w:r>
        <w:rPr>
          <w:spacing w:val="-3"/>
          <w:sz w:val="18"/>
        </w:rPr>
        <w:t> </w:t>
      </w:r>
      <w:r>
        <w:rPr>
          <w:sz w:val="18"/>
        </w:rPr>
        <w:t>7.1%,”</w:t>
      </w:r>
      <w:r>
        <w:rPr>
          <w:spacing w:val="-3"/>
          <w:sz w:val="18"/>
        </w:rPr>
        <w:t> </w:t>
      </w:r>
      <w:r>
        <w:rPr>
          <w:sz w:val="18"/>
        </w:rPr>
        <w:t>Gallup.com,</w:t>
      </w:r>
      <w:r>
        <w:rPr>
          <w:spacing w:val="-4"/>
          <w:sz w:val="18"/>
        </w:rPr>
        <w:t> </w:t>
      </w:r>
      <w:r>
        <w:rPr>
          <w:sz w:val="18"/>
        </w:rPr>
        <w:t>February</w:t>
      </w:r>
      <w:r>
        <w:rPr>
          <w:spacing w:val="-3"/>
          <w:sz w:val="18"/>
        </w:rPr>
        <w:t> </w:t>
      </w:r>
      <w:r>
        <w:rPr>
          <w:sz w:val="18"/>
        </w:rPr>
        <w:t>17,</w:t>
      </w:r>
      <w:r>
        <w:rPr>
          <w:spacing w:val="-4"/>
          <w:sz w:val="18"/>
        </w:rPr>
        <w:t> </w:t>
      </w:r>
      <w:r>
        <w:rPr>
          <w:sz w:val="18"/>
        </w:rPr>
        <w:t>2022, </w:t>
      </w:r>
      <w:r>
        <w:rPr>
          <w:spacing w:val="-2"/>
          <w:sz w:val="18"/>
        </w:rPr>
        <w:t>https://news.gallup.com/poll/389792/lgbt-identification-ticks-up.aspx.</w:t>
      </w:r>
    </w:p>
    <w:p>
      <w:pPr>
        <w:spacing w:before="1"/>
        <w:ind w:left="463" w:right="341" w:hanging="1"/>
        <w:jc w:val="left"/>
        <w:rPr>
          <w:sz w:val="18"/>
        </w:rPr>
      </w:pPr>
      <w:r>
        <w:rPr>
          <w:sz w:val="18"/>
          <w:vertAlign w:val="superscript"/>
        </w:rPr>
        <w:t>30</w:t>
      </w:r>
      <w:r>
        <w:rPr>
          <w:spacing w:val="-13"/>
          <w:sz w:val="18"/>
          <w:vertAlign w:val="baseline"/>
        </w:rPr>
        <w:t> </w:t>
      </w:r>
      <w:r>
        <w:rPr>
          <w:sz w:val="18"/>
          <w:vertAlign w:val="baseline"/>
        </w:rPr>
        <w:t>Sarah</w:t>
      </w:r>
      <w:r>
        <w:rPr>
          <w:spacing w:val="-3"/>
          <w:sz w:val="18"/>
          <w:vertAlign w:val="baseline"/>
        </w:rPr>
        <w:t> </w:t>
      </w:r>
      <w:r>
        <w:rPr>
          <w:sz w:val="18"/>
          <w:vertAlign w:val="baseline"/>
        </w:rPr>
        <w:t>McBride,</w:t>
      </w:r>
      <w:r>
        <w:rPr>
          <w:spacing w:val="-3"/>
          <w:sz w:val="18"/>
          <w:vertAlign w:val="baseline"/>
        </w:rPr>
        <w:t> </w:t>
      </w:r>
      <w:r>
        <w:rPr>
          <w:sz w:val="18"/>
          <w:vertAlign w:val="baseline"/>
        </w:rPr>
        <w:t>Laura</w:t>
      </w:r>
      <w:r>
        <w:rPr>
          <w:spacing w:val="-2"/>
          <w:sz w:val="18"/>
          <w:vertAlign w:val="baseline"/>
        </w:rPr>
        <w:t> </w:t>
      </w:r>
      <w:r>
        <w:rPr>
          <w:sz w:val="18"/>
          <w:vertAlign w:val="baseline"/>
        </w:rPr>
        <w:t>Durso,</w:t>
      </w:r>
      <w:r>
        <w:rPr>
          <w:spacing w:val="-3"/>
          <w:sz w:val="18"/>
          <w:vertAlign w:val="baseline"/>
        </w:rPr>
        <w:t> </w:t>
      </w:r>
      <w:r>
        <w:rPr>
          <w:sz w:val="18"/>
          <w:vertAlign w:val="baseline"/>
        </w:rPr>
        <w:t>and</w:t>
      </w:r>
      <w:r>
        <w:rPr>
          <w:spacing w:val="-2"/>
          <w:sz w:val="18"/>
          <w:vertAlign w:val="baseline"/>
        </w:rPr>
        <w:t> </w:t>
      </w:r>
      <w:r>
        <w:rPr>
          <w:sz w:val="18"/>
          <w:vertAlign w:val="baseline"/>
        </w:rPr>
        <w:t>Hannah</w:t>
      </w:r>
      <w:r>
        <w:rPr>
          <w:spacing w:val="-2"/>
          <w:sz w:val="18"/>
          <w:vertAlign w:val="baseline"/>
        </w:rPr>
        <w:t> </w:t>
      </w:r>
      <w:r>
        <w:rPr>
          <w:sz w:val="18"/>
          <w:vertAlign w:val="baseline"/>
        </w:rPr>
        <w:t>Hussey,</w:t>
      </w:r>
      <w:r>
        <w:rPr>
          <w:spacing w:val="-3"/>
          <w:sz w:val="18"/>
          <w:vertAlign w:val="baseline"/>
        </w:rPr>
        <w:t> </w:t>
      </w:r>
      <w:r>
        <w:rPr>
          <w:sz w:val="18"/>
          <w:vertAlign w:val="baseline"/>
        </w:rPr>
        <w:t>“We</w:t>
      </w:r>
      <w:r>
        <w:rPr>
          <w:spacing w:val="-2"/>
          <w:sz w:val="18"/>
          <w:vertAlign w:val="baseline"/>
        </w:rPr>
        <w:t> </w:t>
      </w:r>
      <w:r>
        <w:rPr>
          <w:sz w:val="18"/>
          <w:vertAlign w:val="baseline"/>
        </w:rPr>
        <w:t>the</w:t>
      </w:r>
      <w:r>
        <w:rPr>
          <w:spacing w:val="-2"/>
          <w:sz w:val="18"/>
          <w:vertAlign w:val="baseline"/>
        </w:rPr>
        <w:t> </w:t>
      </w:r>
      <w:r>
        <w:rPr>
          <w:sz w:val="18"/>
          <w:vertAlign w:val="baseline"/>
        </w:rPr>
        <w:t>People,”</w:t>
      </w:r>
      <w:r>
        <w:rPr>
          <w:spacing w:val="-2"/>
          <w:sz w:val="18"/>
          <w:vertAlign w:val="baseline"/>
        </w:rPr>
        <w:t> </w:t>
      </w:r>
      <w:r>
        <w:rPr>
          <w:i/>
          <w:sz w:val="18"/>
          <w:vertAlign w:val="baseline"/>
        </w:rPr>
        <w:t>Center</w:t>
      </w:r>
      <w:r>
        <w:rPr>
          <w:i/>
          <w:spacing w:val="-3"/>
          <w:sz w:val="18"/>
          <w:vertAlign w:val="baseline"/>
        </w:rPr>
        <w:t> </w:t>
      </w:r>
      <w:r>
        <w:rPr>
          <w:i/>
          <w:sz w:val="18"/>
          <w:vertAlign w:val="baseline"/>
        </w:rPr>
        <w:t>for</w:t>
      </w:r>
      <w:r>
        <w:rPr>
          <w:i/>
          <w:spacing w:val="-3"/>
          <w:sz w:val="18"/>
          <w:vertAlign w:val="baseline"/>
        </w:rPr>
        <w:t> </w:t>
      </w:r>
      <w:r>
        <w:rPr>
          <w:i/>
          <w:sz w:val="18"/>
          <w:vertAlign w:val="baseline"/>
        </w:rPr>
        <w:t>American</w:t>
      </w:r>
      <w:r>
        <w:rPr>
          <w:i/>
          <w:spacing w:val="-2"/>
          <w:sz w:val="18"/>
          <w:vertAlign w:val="baseline"/>
        </w:rPr>
        <w:t> </w:t>
      </w:r>
      <w:r>
        <w:rPr>
          <w:i/>
          <w:sz w:val="18"/>
          <w:vertAlign w:val="baseline"/>
        </w:rPr>
        <w:t>Progress</w:t>
      </w:r>
      <w:r>
        <w:rPr>
          <w:i/>
          <w:spacing w:val="-3"/>
          <w:sz w:val="18"/>
          <w:vertAlign w:val="baseline"/>
        </w:rPr>
        <w:t> </w:t>
      </w:r>
      <w:r>
        <w:rPr>
          <w:sz w:val="18"/>
          <w:vertAlign w:val="baseline"/>
        </w:rPr>
        <w:t>(blog),</w:t>
      </w:r>
      <w:r>
        <w:rPr>
          <w:spacing w:val="-3"/>
          <w:sz w:val="18"/>
          <w:vertAlign w:val="baseline"/>
        </w:rPr>
        <w:t> </w:t>
      </w:r>
      <w:r>
        <w:rPr>
          <w:sz w:val="18"/>
          <w:vertAlign w:val="baseline"/>
        </w:rPr>
        <w:t>December</w:t>
      </w:r>
      <w:r>
        <w:rPr>
          <w:spacing w:val="-3"/>
          <w:sz w:val="18"/>
          <w:vertAlign w:val="baseline"/>
        </w:rPr>
        <w:t> </w:t>
      </w:r>
      <w:r>
        <w:rPr>
          <w:sz w:val="18"/>
          <w:vertAlign w:val="baseline"/>
        </w:rPr>
        <w:t>10,</w:t>
      </w:r>
      <w:r>
        <w:rPr>
          <w:spacing w:val="-3"/>
          <w:sz w:val="18"/>
          <w:vertAlign w:val="baseline"/>
        </w:rPr>
        <w:t> </w:t>
      </w:r>
      <w:r>
        <w:rPr>
          <w:sz w:val="18"/>
          <w:vertAlign w:val="baseline"/>
        </w:rPr>
        <w:t>2014, </w:t>
      </w:r>
      <w:r>
        <w:rPr>
          <w:spacing w:val="-2"/>
          <w:sz w:val="18"/>
          <w:vertAlign w:val="baseline"/>
        </w:rPr>
        <w:t>https://</w:t>
      </w:r>
      <w:hyperlink r:id="rId591">
        <w:r>
          <w:rPr>
            <w:spacing w:val="-2"/>
            <w:sz w:val="18"/>
            <w:vertAlign w:val="baseline"/>
          </w:rPr>
          <w:t>www.americanprogress.org/article/we-the-people-2/.</w:t>
        </w:r>
      </w:hyperlink>
    </w:p>
    <w:p>
      <w:pPr>
        <w:spacing w:before="0"/>
        <w:ind w:left="463" w:right="312" w:hanging="1"/>
        <w:jc w:val="left"/>
        <w:rPr>
          <w:sz w:val="18"/>
        </w:rPr>
      </w:pPr>
      <w:r>
        <w:rPr>
          <w:sz w:val="18"/>
          <w:vertAlign w:val="superscript"/>
        </w:rPr>
        <w:t>31</w:t>
      </w:r>
      <w:r>
        <w:rPr>
          <w:spacing w:val="-7"/>
          <w:sz w:val="18"/>
          <w:vertAlign w:val="baseline"/>
        </w:rPr>
        <w:t> </w:t>
      </w:r>
      <w:r>
        <w:rPr>
          <w:sz w:val="18"/>
          <w:vertAlign w:val="baseline"/>
        </w:rPr>
        <w:t>Movement Advancement Project and Center for American Progress, “Movement Advancement Project | Unjust: How the Broken</w:t>
      </w:r>
      <w:r>
        <w:rPr>
          <w:spacing w:val="-4"/>
          <w:sz w:val="18"/>
          <w:vertAlign w:val="baseline"/>
        </w:rPr>
        <w:t> </w:t>
      </w:r>
      <w:r>
        <w:rPr>
          <w:sz w:val="18"/>
          <w:vertAlign w:val="baseline"/>
        </w:rPr>
        <w:t>Criminal</w:t>
      </w:r>
      <w:r>
        <w:rPr>
          <w:spacing w:val="-5"/>
          <w:sz w:val="18"/>
          <w:vertAlign w:val="baseline"/>
        </w:rPr>
        <w:t> </w:t>
      </w:r>
      <w:r>
        <w:rPr>
          <w:sz w:val="18"/>
          <w:vertAlign w:val="baseline"/>
        </w:rPr>
        <w:t>Justice</w:t>
      </w:r>
      <w:r>
        <w:rPr>
          <w:spacing w:val="-4"/>
          <w:sz w:val="18"/>
          <w:vertAlign w:val="baseline"/>
        </w:rPr>
        <w:t> </w:t>
      </w:r>
      <w:r>
        <w:rPr>
          <w:sz w:val="18"/>
          <w:vertAlign w:val="baseline"/>
        </w:rPr>
        <w:t>System</w:t>
      </w:r>
      <w:r>
        <w:rPr>
          <w:spacing w:val="-4"/>
          <w:sz w:val="18"/>
          <w:vertAlign w:val="baseline"/>
        </w:rPr>
        <w:t> </w:t>
      </w:r>
      <w:r>
        <w:rPr>
          <w:sz w:val="18"/>
          <w:vertAlign w:val="baseline"/>
        </w:rPr>
        <w:t>Fails</w:t>
      </w:r>
      <w:r>
        <w:rPr>
          <w:spacing w:val="-4"/>
          <w:sz w:val="18"/>
          <w:vertAlign w:val="baseline"/>
        </w:rPr>
        <w:t> </w:t>
      </w:r>
      <w:r>
        <w:rPr>
          <w:sz w:val="18"/>
          <w:vertAlign w:val="baseline"/>
        </w:rPr>
        <w:t>LGBT</w:t>
      </w:r>
      <w:r>
        <w:rPr>
          <w:spacing w:val="-4"/>
          <w:sz w:val="18"/>
          <w:vertAlign w:val="baseline"/>
        </w:rPr>
        <w:t> </w:t>
      </w:r>
      <w:r>
        <w:rPr>
          <w:sz w:val="18"/>
          <w:vertAlign w:val="baseline"/>
        </w:rPr>
        <w:t>People</w:t>
      </w:r>
      <w:r>
        <w:rPr>
          <w:spacing w:val="-5"/>
          <w:sz w:val="18"/>
          <w:vertAlign w:val="baseline"/>
        </w:rPr>
        <w:t> </w:t>
      </w:r>
      <w:r>
        <w:rPr>
          <w:sz w:val="18"/>
          <w:vertAlign w:val="baseline"/>
        </w:rPr>
        <w:t>of</w:t>
      </w:r>
      <w:r>
        <w:rPr>
          <w:spacing w:val="-4"/>
          <w:sz w:val="18"/>
          <w:vertAlign w:val="baseline"/>
        </w:rPr>
        <w:t> </w:t>
      </w:r>
      <w:r>
        <w:rPr>
          <w:sz w:val="18"/>
          <w:vertAlign w:val="baseline"/>
        </w:rPr>
        <w:t>Color,”</w:t>
      </w:r>
      <w:r>
        <w:rPr>
          <w:spacing w:val="-4"/>
          <w:sz w:val="18"/>
          <w:vertAlign w:val="baseline"/>
        </w:rPr>
        <w:t> </w:t>
      </w:r>
      <w:r>
        <w:rPr>
          <w:sz w:val="18"/>
          <w:vertAlign w:val="baseline"/>
        </w:rPr>
        <w:t>2016,</w:t>
      </w:r>
      <w:r>
        <w:rPr>
          <w:spacing w:val="-4"/>
          <w:sz w:val="18"/>
          <w:vertAlign w:val="baseline"/>
        </w:rPr>
        <w:t> </w:t>
      </w:r>
      <w:r>
        <w:rPr>
          <w:sz w:val="18"/>
          <w:vertAlign w:val="baseline"/>
        </w:rPr>
        <w:t>https://</w:t>
      </w:r>
      <w:hyperlink r:id="rId592">
        <w:r>
          <w:rPr>
            <w:sz w:val="18"/>
            <w:vertAlign w:val="baseline"/>
          </w:rPr>
          <w:t>www.lgbtmap.org/policy-and-issue-analysis/criminal-</w:t>
        </w:r>
      </w:hyperlink>
      <w:r>
        <w:rPr>
          <w:sz w:val="18"/>
          <w:vertAlign w:val="baseline"/>
        </w:rPr>
        <w:t> </w:t>
      </w:r>
      <w:r>
        <w:rPr>
          <w:spacing w:val="-2"/>
          <w:sz w:val="18"/>
          <w:vertAlign w:val="baseline"/>
        </w:rPr>
        <w:t>justice-poc.</w:t>
      </w:r>
    </w:p>
    <w:p>
      <w:pPr>
        <w:spacing w:before="0"/>
        <w:ind w:left="463" w:right="271" w:hanging="1"/>
        <w:jc w:val="left"/>
        <w:rPr>
          <w:sz w:val="18"/>
        </w:rPr>
      </w:pPr>
      <w:r>
        <w:rPr>
          <w:sz w:val="18"/>
          <w:vertAlign w:val="superscript"/>
        </w:rPr>
        <w:t>32</w:t>
      </w:r>
      <w:r>
        <w:rPr>
          <w:spacing w:val="-13"/>
          <w:sz w:val="18"/>
          <w:vertAlign w:val="baseline"/>
        </w:rPr>
        <w:t> </w:t>
      </w:r>
      <w:r>
        <w:rPr>
          <w:sz w:val="18"/>
          <w:vertAlign w:val="baseline"/>
        </w:rPr>
        <w:t>Lambda</w:t>
      </w:r>
      <w:r>
        <w:rPr>
          <w:spacing w:val="-3"/>
          <w:sz w:val="18"/>
          <w:vertAlign w:val="baseline"/>
        </w:rPr>
        <w:t> </w:t>
      </w:r>
      <w:r>
        <w:rPr>
          <w:sz w:val="18"/>
          <w:vertAlign w:val="baseline"/>
        </w:rPr>
        <w:t>Legal</w:t>
      </w:r>
      <w:r>
        <w:rPr>
          <w:spacing w:val="-3"/>
          <w:sz w:val="18"/>
          <w:vertAlign w:val="baseline"/>
        </w:rPr>
        <w:t> </w:t>
      </w:r>
      <w:r>
        <w:rPr>
          <w:sz w:val="18"/>
          <w:vertAlign w:val="baseline"/>
        </w:rPr>
        <w:t>and</w:t>
      </w:r>
      <w:r>
        <w:rPr>
          <w:spacing w:val="-2"/>
          <w:sz w:val="18"/>
          <w:vertAlign w:val="baseline"/>
        </w:rPr>
        <w:t> </w:t>
      </w:r>
      <w:r>
        <w:rPr>
          <w:sz w:val="18"/>
          <w:vertAlign w:val="baseline"/>
        </w:rPr>
        <w:t>Black</w:t>
      </w:r>
      <w:r>
        <w:rPr>
          <w:spacing w:val="-3"/>
          <w:sz w:val="18"/>
          <w:vertAlign w:val="baseline"/>
        </w:rPr>
        <w:t> </w:t>
      </w:r>
      <w:r>
        <w:rPr>
          <w:sz w:val="18"/>
          <w:vertAlign w:val="baseline"/>
        </w:rPr>
        <w:t>&amp;</w:t>
      </w:r>
      <w:r>
        <w:rPr>
          <w:spacing w:val="-3"/>
          <w:sz w:val="18"/>
          <w:vertAlign w:val="baseline"/>
        </w:rPr>
        <w:t> </w:t>
      </w:r>
      <w:r>
        <w:rPr>
          <w:sz w:val="18"/>
          <w:vertAlign w:val="baseline"/>
        </w:rPr>
        <w:t>Pink</w:t>
      </w:r>
      <w:r>
        <w:rPr>
          <w:spacing w:val="-3"/>
          <w:sz w:val="18"/>
          <w:vertAlign w:val="baseline"/>
        </w:rPr>
        <w:t> </w:t>
      </w:r>
      <w:r>
        <w:rPr>
          <w:sz w:val="18"/>
          <w:vertAlign w:val="baseline"/>
        </w:rPr>
        <w:t>National,</w:t>
      </w:r>
      <w:r>
        <w:rPr>
          <w:spacing w:val="-3"/>
          <w:sz w:val="18"/>
          <w:vertAlign w:val="baseline"/>
        </w:rPr>
        <w:t> </w:t>
      </w:r>
      <w:r>
        <w:rPr>
          <w:sz w:val="18"/>
          <w:vertAlign w:val="baseline"/>
        </w:rPr>
        <w:t>“Projected</w:t>
      </w:r>
      <w:r>
        <w:rPr>
          <w:spacing w:val="-2"/>
          <w:sz w:val="18"/>
          <w:vertAlign w:val="baseline"/>
        </w:rPr>
        <w:t> </w:t>
      </w:r>
      <w:r>
        <w:rPr>
          <w:sz w:val="18"/>
          <w:vertAlign w:val="baseline"/>
        </w:rPr>
        <w:t>&amp;</w:t>
      </w:r>
      <w:r>
        <w:rPr>
          <w:spacing w:val="-3"/>
          <w:sz w:val="18"/>
          <w:vertAlign w:val="baseline"/>
        </w:rPr>
        <w:t> </w:t>
      </w:r>
      <w:r>
        <w:rPr>
          <w:sz w:val="18"/>
          <w:vertAlign w:val="baseline"/>
        </w:rPr>
        <w:t>Served?</w:t>
      </w:r>
      <w:r>
        <w:rPr>
          <w:spacing w:val="-3"/>
          <w:sz w:val="18"/>
          <w:vertAlign w:val="baseline"/>
        </w:rPr>
        <w:t> </w:t>
      </w:r>
      <w:r>
        <w:rPr>
          <w:sz w:val="18"/>
          <w:vertAlign w:val="baseline"/>
        </w:rPr>
        <w:t>2022</w:t>
      </w:r>
      <w:r>
        <w:rPr>
          <w:spacing w:val="-2"/>
          <w:sz w:val="18"/>
          <w:vertAlign w:val="baseline"/>
        </w:rPr>
        <w:t> </w:t>
      </w:r>
      <w:r>
        <w:rPr>
          <w:sz w:val="18"/>
          <w:vertAlign w:val="baseline"/>
        </w:rPr>
        <w:t>Annual</w:t>
      </w:r>
      <w:r>
        <w:rPr>
          <w:spacing w:val="-3"/>
          <w:sz w:val="18"/>
          <w:vertAlign w:val="baseline"/>
        </w:rPr>
        <w:t> </w:t>
      </w:r>
      <w:r>
        <w:rPr>
          <w:sz w:val="18"/>
          <w:vertAlign w:val="baseline"/>
        </w:rPr>
        <w:t>Report:</w:t>
      </w:r>
      <w:r>
        <w:rPr>
          <w:spacing w:val="-2"/>
          <w:sz w:val="18"/>
          <w:vertAlign w:val="baseline"/>
        </w:rPr>
        <w:t> </w:t>
      </w:r>
      <w:r>
        <w:rPr>
          <w:sz w:val="18"/>
          <w:vertAlign w:val="baseline"/>
        </w:rPr>
        <w:t>Executive</w:t>
      </w:r>
      <w:r>
        <w:rPr>
          <w:spacing w:val="-2"/>
          <w:sz w:val="18"/>
          <w:vertAlign w:val="baseline"/>
        </w:rPr>
        <w:t> </w:t>
      </w:r>
      <w:r>
        <w:rPr>
          <w:sz w:val="18"/>
          <w:vertAlign w:val="baseline"/>
        </w:rPr>
        <w:t>Summary,”</w:t>
      </w:r>
      <w:r>
        <w:rPr>
          <w:spacing w:val="-2"/>
          <w:sz w:val="18"/>
          <w:vertAlign w:val="baseline"/>
        </w:rPr>
        <w:t> </w:t>
      </w:r>
      <w:r>
        <w:rPr>
          <w:sz w:val="18"/>
          <w:vertAlign w:val="baseline"/>
        </w:rPr>
        <w:t>Protected</w:t>
      </w:r>
      <w:r>
        <w:rPr>
          <w:spacing w:val="-2"/>
          <w:sz w:val="18"/>
          <w:vertAlign w:val="baseline"/>
        </w:rPr>
        <w:t> </w:t>
      </w:r>
      <w:r>
        <w:rPr>
          <w:sz w:val="18"/>
          <w:vertAlign w:val="baseline"/>
        </w:rPr>
        <w:t>&amp; Served?, accessed April 24, 2023, https://</w:t>
      </w:r>
      <w:hyperlink r:id="rId593">
        <w:r>
          <w:rPr>
            <w:sz w:val="18"/>
            <w:vertAlign w:val="baseline"/>
          </w:rPr>
          <w:t>www.protectedandserved.org/2022-report-executive-summary.</w:t>
        </w:r>
      </w:hyperlink>
    </w:p>
    <w:p>
      <w:pPr>
        <w:spacing w:before="0"/>
        <w:ind w:left="463" w:right="1875" w:hanging="1"/>
        <w:jc w:val="left"/>
        <w:rPr>
          <w:sz w:val="18"/>
        </w:rPr>
      </w:pPr>
      <w:r>
        <w:rPr>
          <w:sz w:val="18"/>
          <w:vertAlign w:val="superscript"/>
        </w:rPr>
        <w:t>33</w:t>
      </w:r>
      <w:r>
        <w:rPr>
          <w:spacing w:val="-13"/>
          <w:sz w:val="18"/>
          <w:vertAlign w:val="baseline"/>
        </w:rPr>
        <w:t> </w:t>
      </w:r>
      <w:r>
        <w:rPr>
          <w:sz w:val="18"/>
          <w:vertAlign w:val="baseline"/>
        </w:rPr>
        <w:t>Massachusetts</w:t>
      </w:r>
      <w:r>
        <w:rPr>
          <w:spacing w:val="-5"/>
          <w:sz w:val="18"/>
          <w:vertAlign w:val="baseline"/>
        </w:rPr>
        <w:t> </w:t>
      </w:r>
      <w:r>
        <w:rPr>
          <w:sz w:val="18"/>
          <w:vertAlign w:val="baseline"/>
        </w:rPr>
        <w:t>Executive</w:t>
      </w:r>
      <w:r>
        <w:rPr>
          <w:spacing w:val="-3"/>
          <w:sz w:val="18"/>
          <w:vertAlign w:val="baseline"/>
        </w:rPr>
        <w:t> </w:t>
      </w:r>
      <w:r>
        <w:rPr>
          <w:sz w:val="18"/>
          <w:vertAlign w:val="baseline"/>
        </w:rPr>
        <w:t>Office</w:t>
      </w:r>
      <w:r>
        <w:rPr>
          <w:spacing w:val="-3"/>
          <w:sz w:val="18"/>
          <w:vertAlign w:val="baseline"/>
        </w:rPr>
        <w:t> </w:t>
      </w:r>
      <w:r>
        <w:rPr>
          <w:sz w:val="18"/>
          <w:vertAlign w:val="baseline"/>
        </w:rPr>
        <w:t>of</w:t>
      </w:r>
      <w:r>
        <w:rPr>
          <w:spacing w:val="-3"/>
          <w:sz w:val="18"/>
          <w:vertAlign w:val="baseline"/>
        </w:rPr>
        <w:t> </w:t>
      </w:r>
      <w:r>
        <w:rPr>
          <w:sz w:val="18"/>
          <w:vertAlign w:val="baseline"/>
        </w:rPr>
        <w:t>Public</w:t>
      </w:r>
      <w:r>
        <w:rPr>
          <w:spacing w:val="-4"/>
          <w:sz w:val="18"/>
          <w:vertAlign w:val="baseline"/>
        </w:rPr>
        <w:t> </w:t>
      </w:r>
      <w:r>
        <w:rPr>
          <w:sz w:val="18"/>
          <w:vertAlign w:val="baseline"/>
        </w:rPr>
        <w:t>Safety</w:t>
      </w:r>
      <w:r>
        <w:rPr>
          <w:spacing w:val="-3"/>
          <w:sz w:val="18"/>
          <w:vertAlign w:val="baseline"/>
        </w:rPr>
        <w:t> </w:t>
      </w:r>
      <w:r>
        <w:rPr>
          <w:sz w:val="18"/>
          <w:vertAlign w:val="baseline"/>
        </w:rPr>
        <w:t>&amp;</w:t>
      </w:r>
      <w:r>
        <w:rPr>
          <w:spacing w:val="-4"/>
          <w:sz w:val="18"/>
          <w:vertAlign w:val="baseline"/>
        </w:rPr>
        <w:t> </w:t>
      </w:r>
      <w:r>
        <w:rPr>
          <w:sz w:val="18"/>
          <w:vertAlign w:val="baseline"/>
        </w:rPr>
        <w:t>Security,</w:t>
      </w:r>
      <w:r>
        <w:rPr>
          <w:spacing w:val="-4"/>
          <w:sz w:val="18"/>
          <w:vertAlign w:val="baseline"/>
        </w:rPr>
        <w:t> </w:t>
      </w:r>
      <w:r>
        <w:rPr>
          <w:sz w:val="18"/>
          <w:vertAlign w:val="baseline"/>
        </w:rPr>
        <w:t>“Hate</w:t>
      </w:r>
      <w:r>
        <w:rPr>
          <w:spacing w:val="-3"/>
          <w:sz w:val="18"/>
          <w:vertAlign w:val="baseline"/>
        </w:rPr>
        <w:t> </w:t>
      </w:r>
      <w:r>
        <w:rPr>
          <w:sz w:val="18"/>
          <w:vertAlign w:val="baseline"/>
        </w:rPr>
        <w:t>Crimes</w:t>
      </w:r>
      <w:r>
        <w:rPr>
          <w:spacing w:val="-3"/>
          <w:sz w:val="18"/>
          <w:vertAlign w:val="baseline"/>
        </w:rPr>
        <w:t> </w:t>
      </w:r>
      <w:r>
        <w:rPr>
          <w:sz w:val="18"/>
          <w:vertAlign w:val="baseline"/>
        </w:rPr>
        <w:t>in</w:t>
      </w:r>
      <w:r>
        <w:rPr>
          <w:spacing w:val="-3"/>
          <w:sz w:val="18"/>
          <w:vertAlign w:val="baseline"/>
        </w:rPr>
        <w:t> </w:t>
      </w:r>
      <w:r>
        <w:rPr>
          <w:sz w:val="18"/>
          <w:vertAlign w:val="baseline"/>
        </w:rPr>
        <w:t>Massachusetts</w:t>
      </w:r>
      <w:r>
        <w:rPr>
          <w:spacing w:val="-3"/>
          <w:sz w:val="18"/>
          <w:vertAlign w:val="baseline"/>
        </w:rPr>
        <w:t> </w:t>
      </w:r>
      <w:r>
        <w:rPr>
          <w:sz w:val="18"/>
          <w:vertAlign w:val="baseline"/>
        </w:rPr>
        <w:t>2021,”</w:t>
      </w:r>
      <w:r>
        <w:rPr>
          <w:spacing w:val="-3"/>
          <w:sz w:val="18"/>
          <w:vertAlign w:val="baseline"/>
        </w:rPr>
        <w:t> </w:t>
      </w:r>
      <w:r>
        <w:rPr>
          <w:sz w:val="18"/>
          <w:vertAlign w:val="baseline"/>
        </w:rPr>
        <w:t>2022, </w:t>
      </w:r>
      <w:hyperlink r:id="rId594">
        <w:r>
          <w:rPr>
            <w:color w:val="1153CC"/>
            <w:spacing w:val="-2"/>
            <w:sz w:val="18"/>
            <w:u w:val="single" w:color="1153CC"/>
            <w:vertAlign w:val="baseline"/>
          </w:rPr>
          <w:t>https://www.mass.gov/doc/2021-massachusetts-hate-crime-report/download</w:t>
        </w:r>
      </w:hyperlink>
    </w:p>
    <w:p>
      <w:pPr>
        <w:spacing w:before="0"/>
        <w:ind w:left="463" w:right="530" w:hanging="1"/>
        <w:jc w:val="left"/>
        <w:rPr>
          <w:sz w:val="18"/>
        </w:rPr>
      </w:pPr>
      <w:r>
        <w:rPr>
          <w:sz w:val="18"/>
          <w:vertAlign w:val="superscript"/>
        </w:rPr>
        <w:t>34</w:t>
      </w:r>
      <w:r>
        <w:rPr>
          <w:spacing w:val="-13"/>
          <w:sz w:val="18"/>
          <w:vertAlign w:val="baseline"/>
        </w:rPr>
        <w:t> </w:t>
      </w:r>
      <w:r>
        <w:rPr>
          <w:sz w:val="18"/>
          <w:vertAlign w:val="baseline"/>
        </w:rPr>
        <w:t>Sharita</w:t>
      </w:r>
      <w:r>
        <w:rPr>
          <w:spacing w:val="-4"/>
          <w:sz w:val="18"/>
          <w:vertAlign w:val="baseline"/>
        </w:rPr>
        <w:t> </w:t>
      </w:r>
      <w:r>
        <w:rPr>
          <w:sz w:val="18"/>
          <w:vertAlign w:val="baseline"/>
        </w:rPr>
        <w:t>Gruberg,</w:t>
      </w:r>
      <w:r>
        <w:rPr>
          <w:spacing w:val="-3"/>
          <w:sz w:val="18"/>
          <w:vertAlign w:val="baseline"/>
        </w:rPr>
        <w:t> </w:t>
      </w:r>
      <w:r>
        <w:rPr>
          <w:sz w:val="18"/>
          <w:vertAlign w:val="baseline"/>
        </w:rPr>
        <w:t>“How</w:t>
      </w:r>
      <w:r>
        <w:rPr>
          <w:spacing w:val="-3"/>
          <w:sz w:val="18"/>
          <w:vertAlign w:val="baseline"/>
        </w:rPr>
        <w:t> </w:t>
      </w:r>
      <w:r>
        <w:rPr>
          <w:sz w:val="18"/>
          <w:vertAlign w:val="baseline"/>
        </w:rPr>
        <w:t>Police</w:t>
      </w:r>
      <w:r>
        <w:rPr>
          <w:spacing w:val="-2"/>
          <w:sz w:val="18"/>
          <w:vertAlign w:val="baseline"/>
        </w:rPr>
        <w:t> </w:t>
      </w:r>
      <w:r>
        <w:rPr>
          <w:sz w:val="18"/>
          <w:vertAlign w:val="baseline"/>
        </w:rPr>
        <w:t>Entanglement</w:t>
      </w:r>
      <w:r>
        <w:rPr>
          <w:spacing w:val="-3"/>
          <w:sz w:val="18"/>
          <w:vertAlign w:val="baseline"/>
        </w:rPr>
        <w:t> </w:t>
      </w:r>
      <w:r>
        <w:rPr>
          <w:sz w:val="18"/>
          <w:vertAlign w:val="baseline"/>
        </w:rPr>
        <w:t>with</w:t>
      </w:r>
      <w:r>
        <w:rPr>
          <w:spacing w:val="-2"/>
          <w:sz w:val="18"/>
          <w:vertAlign w:val="baseline"/>
        </w:rPr>
        <w:t> </w:t>
      </w:r>
      <w:r>
        <w:rPr>
          <w:sz w:val="18"/>
          <w:vertAlign w:val="baseline"/>
        </w:rPr>
        <w:t>Immigration</w:t>
      </w:r>
      <w:r>
        <w:rPr>
          <w:spacing w:val="-2"/>
          <w:sz w:val="18"/>
          <w:vertAlign w:val="baseline"/>
        </w:rPr>
        <w:t> </w:t>
      </w:r>
      <w:r>
        <w:rPr>
          <w:sz w:val="18"/>
          <w:vertAlign w:val="baseline"/>
        </w:rPr>
        <w:t>Enforcement</w:t>
      </w:r>
      <w:r>
        <w:rPr>
          <w:spacing w:val="-3"/>
          <w:sz w:val="18"/>
          <w:vertAlign w:val="baseline"/>
        </w:rPr>
        <w:t> </w:t>
      </w:r>
      <w:r>
        <w:rPr>
          <w:sz w:val="18"/>
          <w:vertAlign w:val="baseline"/>
        </w:rPr>
        <w:t>Puts</w:t>
      </w:r>
      <w:r>
        <w:rPr>
          <w:spacing w:val="-3"/>
          <w:sz w:val="18"/>
          <w:vertAlign w:val="baseline"/>
        </w:rPr>
        <w:t> </w:t>
      </w:r>
      <w:r>
        <w:rPr>
          <w:sz w:val="18"/>
          <w:vertAlign w:val="baseline"/>
        </w:rPr>
        <w:t>LGBTQ</w:t>
      </w:r>
      <w:r>
        <w:rPr>
          <w:spacing w:val="-2"/>
          <w:sz w:val="18"/>
          <w:vertAlign w:val="baseline"/>
        </w:rPr>
        <w:t> </w:t>
      </w:r>
      <w:r>
        <w:rPr>
          <w:sz w:val="18"/>
          <w:vertAlign w:val="baseline"/>
        </w:rPr>
        <w:t>Lives</w:t>
      </w:r>
      <w:r>
        <w:rPr>
          <w:spacing w:val="-3"/>
          <w:sz w:val="18"/>
          <w:vertAlign w:val="baseline"/>
        </w:rPr>
        <w:t> </w:t>
      </w:r>
      <w:r>
        <w:rPr>
          <w:sz w:val="18"/>
          <w:vertAlign w:val="baseline"/>
        </w:rPr>
        <w:t>at</w:t>
      </w:r>
      <w:r>
        <w:rPr>
          <w:spacing w:val="-3"/>
          <w:sz w:val="18"/>
          <w:vertAlign w:val="baseline"/>
        </w:rPr>
        <w:t> </w:t>
      </w:r>
      <w:r>
        <w:rPr>
          <w:sz w:val="18"/>
          <w:vertAlign w:val="baseline"/>
        </w:rPr>
        <w:t>Risk,”</w:t>
      </w:r>
      <w:r>
        <w:rPr>
          <w:spacing w:val="-2"/>
          <w:sz w:val="18"/>
          <w:vertAlign w:val="baseline"/>
        </w:rPr>
        <w:t> </w:t>
      </w:r>
      <w:r>
        <w:rPr>
          <w:i/>
          <w:sz w:val="18"/>
          <w:vertAlign w:val="baseline"/>
        </w:rPr>
        <w:t>Center</w:t>
      </w:r>
      <w:r>
        <w:rPr>
          <w:i/>
          <w:spacing w:val="-3"/>
          <w:sz w:val="18"/>
          <w:vertAlign w:val="baseline"/>
        </w:rPr>
        <w:t> </w:t>
      </w:r>
      <w:r>
        <w:rPr>
          <w:i/>
          <w:sz w:val="18"/>
          <w:vertAlign w:val="baseline"/>
        </w:rPr>
        <w:t>for</w:t>
      </w:r>
      <w:r>
        <w:rPr>
          <w:i/>
          <w:spacing w:val="-2"/>
          <w:sz w:val="18"/>
          <w:vertAlign w:val="baseline"/>
        </w:rPr>
        <w:t> </w:t>
      </w:r>
      <w:r>
        <w:rPr>
          <w:i/>
          <w:sz w:val="18"/>
          <w:vertAlign w:val="baseline"/>
        </w:rPr>
        <w:t>American</w:t>
      </w:r>
      <w:r>
        <w:rPr>
          <w:i/>
          <w:sz w:val="18"/>
          <w:vertAlign w:val="baseline"/>
        </w:rPr>
        <w:t> Progress </w:t>
      </w:r>
      <w:r>
        <w:rPr>
          <w:sz w:val="18"/>
          <w:vertAlign w:val="baseline"/>
        </w:rPr>
        <w:t>(blog), April 12, 2017, https://</w:t>
      </w:r>
      <w:hyperlink r:id="rId595">
        <w:r>
          <w:rPr>
            <w:sz w:val="18"/>
            <w:vertAlign w:val="baseline"/>
          </w:rPr>
          <w:t>www.americanprogress.org/article/police-entanglement-immigration-enforcement-</w:t>
        </w:r>
      </w:hyperlink>
      <w:r>
        <w:rPr>
          <w:sz w:val="18"/>
          <w:vertAlign w:val="baseline"/>
        </w:rPr>
        <w:t> </w:t>
      </w:r>
      <w:r>
        <w:rPr>
          <w:spacing w:val="-2"/>
          <w:sz w:val="18"/>
          <w:vertAlign w:val="baseline"/>
        </w:rPr>
        <w:t>puts-lgbtq-lives-risk/.</w:t>
      </w:r>
    </w:p>
    <w:p>
      <w:pPr>
        <w:spacing w:before="0"/>
        <w:ind w:left="463" w:right="655" w:hanging="1"/>
        <w:jc w:val="both"/>
        <w:rPr>
          <w:sz w:val="18"/>
        </w:rPr>
      </w:pPr>
      <w:r>
        <w:rPr>
          <w:sz w:val="18"/>
          <w:vertAlign w:val="superscript"/>
        </w:rPr>
        <w:t>35</w:t>
      </w:r>
      <w:r>
        <w:rPr>
          <w:spacing w:val="-11"/>
          <w:sz w:val="18"/>
          <w:vertAlign w:val="baseline"/>
        </w:rPr>
        <w:t> </w:t>
      </w:r>
      <w:r>
        <w:rPr>
          <w:sz w:val="18"/>
          <w:vertAlign w:val="baseline"/>
        </w:rPr>
        <w:t>S. E. James et</w:t>
      </w:r>
      <w:r>
        <w:rPr>
          <w:spacing w:val="-1"/>
          <w:sz w:val="18"/>
          <w:vertAlign w:val="baseline"/>
        </w:rPr>
        <w:t> </w:t>
      </w:r>
      <w:r>
        <w:rPr>
          <w:sz w:val="18"/>
          <w:vertAlign w:val="baseline"/>
        </w:rPr>
        <w:t>al., “The Report of the 2015 U.S. Transgender Survey” (Washington, D.C.: National Center for Transgender Equality</w:t>
      </w:r>
      <w:r>
        <w:rPr>
          <w:spacing w:val="-4"/>
          <w:sz w:val="18"/>
          <w:vertAlign w:val="baseline"/>
        </w:rPr>
        <w:t> </w:t>
      </w:r>
      <w:r>
        <w:rPr>
          <w:sz w:val="18"/>
          <w:vertAlign w:val="baseline"/>
        </w:rPr>
        <w:t>and</w:t>
      </w:r>
      <w:r>
        <w:rPr>
          <w:spacing w:val="-4"/>
          <w:sz w:val="18"/>
          <w:vertAlign w:val="baseline"/>
        </w:rPr>
        <w:t> </w:t>
      </w:r>
      <w:r>
        <w:rPr>
          <w:sz w:val="18"/>
          <w:vertAlign w:val="baseline"/>
        </w:rPr>
        <w:t>National</w:t>
      </w:r>
      <w:r>
        <w:rPr>
          <w:spacing w:val="-5"/>
          <w:sz w:val="18"/>
          <w:vertAlign w:val="baseline"/>
        </w:rPr>
        <w:t> </w:t>
      </w:r>
      <w:r>
        <w:rPr>
          <w:sz w:val="18"/>
          <w:vertAlign w:val="baseline"/>
        </w:rPr>
        <w:t>Gay</w:t>
      </w:r>
      <w:r>
        <w:rPr>
          <w:spacing w:val="-4"/>
          <w:sz w:val="18"/>
          <w:vertAlign w:val="baseline"/>
        </w:rPr>
        <w:t> </w:t>
      </w:r>
      <w:r>
        <w:rPr>
          <w:sz w:val="18"/>
          <w:vertAlign w:val="baseline"/>
        </w:rPr>
        <w:t>and</w:t>
      </w:r>
      <w:r>
        <w:rPr>
          <w:spacing w:val="-4"/>
          <w:sz w:val="18"/>
          <w:vertAlign w:val="baseline"/>
        </w:rPr>
        <w:t> </w:t>
      </w:r>
      <w:r>
        <w:rPr>
          <w:sz w:val="18"/>
          <w:vertAlign w:val="baseline"/>
        </w:rPr>
        <w:t>Lesbian</w:t>
      </w:r>
      <w:r>
        <w:rPr>
          <w:spacing w:val="-4"/>
          <w:sz w:val="18"/>
          <w:vertAlign w:val="baseline"/>
        </w:rPr>
        <w:t> </w:t>
      </w:r>
      <w:r>
        <w:rPr>
          <w:sz w:val="18"/>
          <w:vertAlign w:val="baseline"/>
        </w:rPr>
        <w:t>Task</w:t>
      </w:r>
      <w:r>
        <w:rPr>
          <w:spacing w:val="-5"/>
          <w:sz w:val="18"/>
          <w:vertAlign w:val="baseline"/>
        </w:rPr>
        <w:t> </w:t>
      </w:r>
      <w:r>
        <w:rPr>
          <w:sz w:val="18"/>
          <w:vertAlign w:val="baseline"/>
        </w:rPr>
        <w:t>Force,</w:t>
      </w:r>
      <w:r>
        <w:rPr>
          <w:spacing w:val="-5"/>
          <w:sz w:val="18"/>
          <w:vertAlign w:val="baseline"/>
        </w:rPr>
        <w:t> </w:t>
      </w:r>
      <w:r>
        <w:rPr>
          <w:sz w:val="18"/>
          <w:vertAlign w:val="baseline"/>
        </w:rPr>
        <w:t>2016),</w:t>
      </w:r>
      <w:r>
        <w:rPr>
          <w:spacing w:val="-5"/>
          <w:sz w:val="18"/>
          <w:vertAlign w:val="baseline"/>
        </w:rPr>
        <w:t> </w:t>
      </w:r>
      <w:r>
        <w:rPr>
          <w:sz w:val="18"/>
          <w:vertAlign w:val="baseline"/>
        </w:rPr>
        <w:t>https://transequality.org/sites/default/files/docs/usts/USTS-Full- </w:t>
      </w:r>
      <w:r>
        <w:rPr>
          <w:spacing w:val="-2"/>
          <w:sz w:val="18"/>
          <w:vertAlign w:val="baseline"/>
        </w:rPr>
        <w:t>Report-Dec17.pdf.</w:t>
      </w:r>
    </w:p>
    <w:p>
      <w:pPr>
        <w:spacing w:line="219" w:lineRule="exact" w:before="0"/>
        <w:ind w:left="463" w:right="0" w:firstLine="0"/>
        <w:jc w:val="both"/>
        <w:rPr>
          <w:sz w:val="18"/>
        </w:rPr>
      </w:pPr>
      <w:r>
        <w:rPr>
          <w:sz w:val="18"/>
          <w:vertAlign w:val="superscript"/>
        </w:rPr>
        <w:t>36</w:t>
      </w:r>
      <w:r>
        <w:rPr>
          <w:spacing w:val="-13"/>
          <w:sz w:val="18"/>
          <w:vertAlign w:val="baseline"/>
        </w:rPr>
        <w:t> </w:t>
      </w:r>
      <w:r>
        <w:rPr>
          <w:sz w:val="18"/>
          <w:vertAlign w:val="baseline"/>
        </w:rPr>
        <w:t>James</w:t>
      </w:r>
      <w:r>
        <w:rPr>
          <w:spacing w:val="-3"/>
          <w:sz w:val="18"/>
          <w:vertAlign w:val="baseline"/>
        </w:rPr>
        <w:t> </w:t>
      </w:r>
      <w:r>
        <w:rPr>
          <w:sz w:val="18"/>
          <w:vertAlign w:val="baseline"/>
        </w:rPr>
        <w:t>et</w:t>
      </w:r>
      <w:r>
        <w:rPr>
          <w:spacing w:val="-1"/>
          <w:sz w:val="18"/>
          <w:vertAlign w:val="baseline"/>
        </w:rPr>
        <w:t> </w:t>
      </w:r>
      <w:r>
        <w:rPr>
          <w:spacing w:val="-5"/>
          <w:sz w:val="18"/>
          <w:vertAlign w:val="baseline"/>
        </w:rPr>
        <w:t>al.</w:t>
      </w:r>
    </w:p>
    <w:p>
      <w:pPr>
        <w:spacing w:before="0"/>
        <w:ind w:left="463" w:right="0" w:firstLine="0"/>
        <w:jc w:val="left"/>
        <w:rPr>
          <w:sz w:val="18"/>
        </w:rPr>
      </w:pPr>
      <w:r>
        <w:rPr>
          <w:sz w:val="18"/>
          <w:vertAlign w:val="superscript"/>
        </w:rPr>
        <w:t>37</w:t>
      </w:r>
      <w:r>
        <w:rPr>
          <w:spacing w:val="-15"/>
          <w:sz w:val="18"/>
          <w:vertAlign w:val="baseline"/>
        </w:rPr>
        <w:t> </w:t>
      </w:r>
      <w:r>
        <w:rPr>
          <w:sz w:val="18"/>
          <w:vertAlign w:val="baseline"/>
        </w:rPr>
        <w:t>Gruberg,</w:t>
      </w:r>
      <w:r>
        <w:rPr>
          <w:spacing w:val="-6"/>
          <w:sz w:val="18"/>
          <w:vertAlign w:val="baseline"/>
        </w:rPr>
        <w:t> </w:t>
      </w:r>
      <w:r>
        <w:rPr>
          <w:sz w:val="18"/>
          <w:vertAlign w:val="baseline"/>
        </w:rPr>
        <w:t>“How</w:t>
      </w:r>
      <w:r>
        <w:rPr>
          <w:spacing w:val="-4"/>
          <w:sz w:val="18"/>
          <w:vertAlign w:val="baseline"/>
        </w:rPr>
        <w:t> </w:t>
      </w:r>
      <w:r>
        <w:rPr>
          <w:sz w:val="18"/>
          <w:vertAlign w:val="baseline"/>
        </w:rPr>
        <w:t>Police</w:t>
      </w:r>
      <w:r>
        <w:rPr>
          <w:spacing w:val="-2"/>
          <w:sz w:val="18"/>
          <w:vertAlign w:val="baseline"/>
        </w:rPr>
        <w:t> </w:t>
      </w:r>
      <w:r>
        <w:rPr>
          <w:sz w:val="18"/>
          <w:vertAlign w:val="baseline"/>
        </w:rPr>
        <w:t>Entanglement</w:t>
      </w:r>
      <w:r>
        <w:rPr>
          <w:spacing w:val="-4"/>
          <w:sz w:val="18"/>
          <w:vertAlign w:val="baseline"/>
        </w:rPr>
        <w:t> </w:t>
      </w:r>
      <w:r>
        <w:rPr>
          <w:sz w:val="18"/>
          <w:vertAlign w:val="baseline"/>
        </w:rPr>
        <w:t>with</w:t>
      </w:r>
      <w:r>
        <w:rPr>
          <w:spacing w:val="-3"/>
          <w:sz w:val="18"/>
          <w:vertAlign w:val="baseline"/>
        </w:rPr>
        <w:t> </w:t>
      </w:r>
      <w:r>
        <w:rPr>
          <w:sz w:val="18"/>
          <w:vertAlign w:val="baseline"/>
        </w:rPr>
        <w:t>Immigration</w:t>
      </w:r>
      <w:r>
        <w:rPr>
          <w:spacing w:val="-2"/>
          <w:sz w:val="18"/>
          <w:vertAlign w:val="baseline"/>
        </w:rPr>
        <w:t> </w:t>
      </w:r>
      <w:r>
        <w:rPr>
          <w:sz w:val="18"/>
          <w:vertAlign w:val="baseline"/>
        </w:rPr>
        <w:t>Enforcement</w:t>
      </w:r>
      <w:r>
        <w:rPr>
          <w:spacing w:val="-4"/>
          <w:sz w:val="18"/>
          <w:vertAlign w:val="baseline"/>
        </w:rPr>
        <w:t> </w:t>
      </w:r>
      <w:r>
        <w:rPr>
          <w:sz w:val="18"/>
          <w:vertAlign w:val="baseline"/>
        </w:rPr>
        <w:t>Puts</w:t>
      </w:r>
      <w:r>
        <w:rPr>
          <w:spacing w:val="-3"/>
          <w:sz w:val="18"/>
          <w:vertAlign w:val="baseline"/>
        </w:rPr>
        <w:t> </w:t>
      </w:r>
      <w:r>
        <w:rPr>
          <w:sz w:val="18"/>
          <w:vertAlign w:val="baseline"/>
        </w:rPr>
        <w:t>LGBTQ</w:t>
      </w:r>
      <w:r>
        <w:rPr>
          <w:spacing w:val="-2"/>
          <w:sz w:val="18"/>
          <w:vertAlign w:val="baseline"/>
        </w:rPr>
        <w:t> </w:t>
      </w:r>
      <w:r>
        <w:rPr>
          <w:sz w:val="18"/>
          <w:vertAlign w:val="baseline"/>
        </w:rPr>
        <w:t>Lives</w:t>
      </w:r>
      <w:r>
        <w:rPr>
          <w:spacing w:val="-3"/>
          <w:sz w:val="18"/>
          <w:vertAlign w:val="baseline"/>
        </w:rPr>
        <w:t> </w:t>
      </w:r>
      <w:r>
        <w:rPr>
          <w:sz w:val="18"/>
          <w:vertAlign w:val="baseline"/>
        </w:rPr>
        <w:t>at</w:t>
      </w:r>
      <w:r>
        <w:rPr>
          <w:spacing w:val="-3"/>
          <w:sz w:val="18"/>
          <w:vertAlign w:val="baseline"/>
        </w:rPr>
        <w:t> </w:t>
      </w:r>
      <w:r>
        <w:rPr>
          <w:spacing w:val="-2"/>
          <w:sz w:val="18"/>
          <w:vertAlign w:val="baseline"/>
        </w:rPr>
        <w:t>Risk.”</w:t>
      </w:r>
    </w:p>
    <w:p>
      <w:pPr>
        <w:spacing w:before="0"/>
        <w:ind w:left="463" w:right="0" w:firstLine="0"/>
        <w:jc w:val="left"/>
        <w:rPr>
          <w:sz w:val="18"/>
        </w:rPr>
      </w:pPr>
      <w:r>
        <w:rPr>
          <w:sz w:val="18"/>
          <w:vertAlign w:val="superscript"/>
        </w:rPr>
        <w:t>38</w:t>
      </w:r>
      <w:r>
        <w:rPr>
          <w:spacing w:val="-15"/>
          <w:sz w:val="18"/>
          <w:vertAlign w:val="baseline"/>
        </w:rPr>
        <w:t> </w:t>
      </w:r>
      <w:r>
        <w:rPr>
          <w:sz w:val="18"/>
          <w:vertAlign w:val="baseline"/>
        </w:rPr>
        <w:t>Gruberg,</w:t>
      </w:r>
      <w:r>
        <w:rPr>
          <w:spacing w:val="-6"/>
          <w:sz w:val="18"/>
          <w:vertAlign w:val="baseline"/>
        </w:rPr>
        <w:t> </w:t>
      </w:r>
      <w:r>
        <w:rPr>
          <w:sz w:val="18"/>
          <w:vertAlign w:val="baseline"/>
        </w:rPr>
        <w:t>Rooney,</w:t>
      </w:r>
      <w:r>
        <w:rPr>
          <w:spacing w:val="-4"/>
          <w:sz w:val="18"/>
          <w:vertAlign w:val="baseline"/>
        </w:rPr>
        <w:t> </w:t>
      </w:r>
      <w:r>
        <w:rPr>
          <w:sz w:val="18"/>
          <w:vertAlign w:val="baseline"/>
        </w:rPr>
        <w:t>and</w:t>
      </w:r>
      <w:r>
        <w:rPr>
          <w:spacing w:val="-2"/>
          <w:sz w:val="18"/>
          <w:vertAlign w:val="baseline"/>
        </w:rPr>
        <w:t> </w:t>
      </w:r>
      <w:r>
        <w:rPr>
          <w:sz w:val="18"/>
          <w:vertAlign w:val="baseline"/>
        </w:rPr>
        <w:t>McGovern,</w:t>
      </w:r>
      <w:r>
        <w:rPr>
          <w:spacing w:val="-4"/>
          <w:sz w:val="18"/>
          <w:vertAlign w:val="baseline"/>
        </w:rPr>
        <w:t> </w:t>
      </w:r>
      <w:r>
        <w:rPr>
          <w:sz w:val="18"/>
          <w:vertAlign w:val="baseline"/>
        </w:rPr>
        <w:t>“Serving</w:t>
      </w:r>
      <w:r>
        <w:rPr>
          <w:spacing w:val="-3"/>
          <w:sz w:val="18"/>
          <w:vertAlign w:val="baseline"/>
        </w:rPr>
        <w:t> </w:t>
      </w:r>
      <w:r>
        <w:rPr>
          <w:sz w:val="18"/>
          <w:vertAlign w:val="baseline"/>
        </w:rPr>
        <w:t>LGBTQ</w:t>
      </w:r>
      <w:r>
        <w:rPr>
          <w:spacing w:val="-3"/>
          <w:sz w:val="18"/>
          <w:vertAlign w:val="baseline"/>
        </w:rPr>
        <w:t> </w:t>
      </w:r>
      <w:r>
        <w:rPr>
          <w:sz w:val="18"/>
          <w:vertAlign w:val="baseline"/>
        </w:rPr>
        <w:t>Immigrants</w:t>
      </w:r>
      <w:r>
        <w:rPr>
          <w:spacing w:val="-2"/>
          <w:sz w:val="18"/>
          <w:vertAlign w:val="baseline"/>
        </w:rPr>
        <w:t> </w:t>
      </w:r>
      <w:r>
        <w:rPr>
          <w:sz w:val="18"/>
          <w:vertAlign w:val="baseline"/>
        </w:rPr>
        <w:t>and</w:t>
      </w:r>
      <w:r>
        <w:rPr>
          <w:spacing w:val="-3"/>
          <w:sz w:val="18"/>
          <w:vertAlign w:val="baseline"/>
        </w:rPr>
        <w:t> </w:t>
      </w:r>
      <w:r>
        <w:rPr>
          <w:sz w:val="18"/>
          <w:vertAlign w:val="baseline"/>
        </w:rPr>
        <w:t>Building</w:t>
      </w:r>
      <w:r>
        <w:rPr>
          <w:spacing w:val="-3"/>
          <w:sz w:val="18"/>
          <w:vertAlign w:val="baseline"/>
        </w:rPr>
        <w:t> </w:t>
      </w:r>
      <w:r>
        <w:rPr>
          <w:sz w:val="18"/>
          <w:vertAlign w:val="baseline"/>
        </w:rPr>
        <w:t>Welcoming</w:t>
      </w:r>
      <w:r>
        <w:rPr>
          <w:spacing w:val="-2"/>
          <w:sz w:val="18"/>
          <w:vertAlign w:val="baseline"/>
        </w:rPr>
        <w:t> Communities.”</w:t>
      </w:r>
    </w:p>
    <w:p>
      <w:pPr>
        <w:spacing w:before="0"/>
        <w:ind w:left="463" w:right="0" w:firstLine="0"/>
        <w:jc w:val="left"/>
        <w:rPr>
          <w:sz w:val="18"/>
        </w:rPr>
      </w:pPr>
      <w:r>
        <w:rPr>
          <w:sz w:val="18"/>
          <w:vertAlign w:val="superscript"/>
        </w:rPr>
        <w:t>39</w:t>
      </w:r>
      <w:r>
        <w:rPr>
          <w:spacing w:val="-15"/>
          <w:sz w:val="18"/>
          <w:vertAlign w:val="baseline"/>
        </w:rPr>
        <w:t> </w:t>
      </w:r>
      <w:r>
        <w:rPr>
          <w:sz w:val="18"/>
          <w:vertAlign w:val="baseline"/>
        </w:rPr>
        <w:t>Chavez,</w:t>
      </w:r>
      <w:r>
        <w:rPr>
          <w:spacing w:val="-5"/>
          <w:sz w:val="18"/>
          <w:vertAlign w:val="baseline"/>
        </w:rPr>
        <w:t> </w:t>
      </w:r>
      <w:r>
        <w:rPr>
          <w:sz w:val="18"/>
          <w:vertAlign w:val="baseline"/>
        </w:rPr>
        <w:t>“Identifying</w:t>
      </w:r>
      <w:r>
        <w:rPr>
          <w:spacing w:val="-2"/>
          <w:sz w:val="18"/>
          <w:vertAlign w:val="baseline"/>
        </w:rPr>
        <w:t> </w:t>
      </w:r>
      <w:r>
        <w:rPr>
          <w:sz w:val="18"/>
          <w:vertAlign w:val="baseline"/>
        </w:rPr>
        <w:t>the</w:t>
      </w:r>
      <w:r>
        <w:rPr>
          <w:spacing w:val="-2"/>
          <w:sz w:val="18"/>
          <w:vertAlign w:val="baseline"/>
        </w:rPr>
        <w:t> </w:t>
      </w:r>
      <w:r>
        <w:rPr>
          <w:sz w:val="18"/>
          <w:vertAlign w:val="baseline"/>
        </w:rPr>
        <w:t>Needs</w:t>
      </w:r>
      <w:r>
        <w:rPr>
          <w:spacing w:val="-3"/>
          <w:sz w:val="18"/>
          <w:vertAlign w:val="baseline"/>
        </w:rPr>
        <w:t> </w:t>
      </w:r>
      <w:r>
        <w:rPr>
          <w:sz w:val="18"/>
          <w:vertAlign w:val="baseline"/>
        </w:rPr>
        <w:t>of</w:t>
      </w:r>
      <w:r>
        <w:rPr>
          <w:spacing w:val="-3"/>
          <w:sz w:val="18"/>
          <w:vertAlign w:val="baseline"/>
        </w:rPr>
        <w:t> </w:t>
      </w:r>
      <w:r>
        <w:rPr>
          <w:sz w:val="18"/>
          <w:vertAlign w:val="baseline"/>
        </w:rPr>
        <w:t>LGBTQ</w:t>
      </w:r>
      <w:r>
        <w:rPr>
          <w:spacing w:val="-2"/>
          <w:sz w:val="18"/>
          <w:vertAlign w:val="baseline"/>
        </w:rPr>
        <w:t> </w:t>
      </w:r>
      <w:r>
        <w:rPr>
          <w:sz w:val="18"/>
          <w:vertAlign w:val="baseline"/>
        </w:rPr>
        <w:t>Immigrants</w:t>
      </w:r>
      <w:r>
        <w:rPr>
          <w:spacing w:val="-2"/>
          <w:sz w:val="18"/>
          <w:vertAlign w:val="baseline"/>
        </w:rPr>
        <w:t> </w:t>
      </w:r>
      <w:r>
        <w:rPr>
          <w:sz w:val="18"/>
          <w:vertAlign w:val="baseline"/>
        </w:rPr>
        <w:t>and</w:t>
      </w:r>
      <w:r>
        <w:rPr>
          <w:spacing w:val="-2"/>
          <w:sz w:val="18"/>
          <w:vertAlign w:val="baseline"/>
        </w:rPr>
        <w:t> </w:t>
      </w:r>
      <w:r>
        <w:rPr>
          <w:sz w:val="18"/>
          <w:vertAlign w:val="baseline"/>
        </w:rPr>
        <w:t>Refugees</w:t>
      </w:r>
      <w:r>
        <w:rPr>
          <w:spacing w:val="-2"/>
          <w:sz w:val="18"/>
          <w:vertAlign w:val="baseline"/>
        </w:rPr>
        <w:t> </w:t>
      </w:r>
      <w:r>
        <w:rPr>
          <w:sz w:val="18"/>
          <w:vertAlign w:val="baseline"/>
        </w:rPr>
        <w:t>in</w:t>
      </w:r>
      <w:r>
        <w:rPr>
          <w:spacing w:val="-2"/>
          <w:sz w:val="18"/>
          <w:vertAlign w:val="baseline"/>
        </w:rPr>
        <w:t> </w:t>
      </w:r>
      <w:r>
        <w:rPr>
          <w:sz w:val="18"/>
          <w:vertAlign w:val="baseline"/>
        </w:rPr>
        <w:t>Southern</w:t>
      </w:r>
      <w:r>
        <w:rPr>
          <w:spacing w:val="-3"/>
          <w:sz w:val="18"/>
          <w:vertAlign w:val="baseline"/>
        </w:rPr>
        <w:t> </w:t>
      </w:r>
      <w:r>
        <w:rPr>
          <w:spacing w:val="-2"/>
          <w:sz w:val="18"/>
          <w:vertAlign w:val="baseline"/>
        </w:rPr>
        <w:t>Arizona.”</w:t>
      </w:r>
    </w:p>
    <w:p>
      <w:pPr>
        <w:spacing w:before="1"/>
        <w:ind w:left="463" w:right="271" w:hanging="1"/>
        <w:jc w:val="left"/>
        <w:rPr>
          <w:sz w:val="18"/>
        </w:rPr>
      </w:pPr>
      <w:r>
        <w:rPr>
          <w:sz w:val="18"/>
          <w:vertAlign w:val="superscript"/>
        </w:rPr>
        <w:t>40</w:t>
      </w:r>
      <w:r>
        <w:rPr>
          <w:spacing w:val="-13"/>
          <w:sz w:val="18"/>
          <w:vertAlign w:val="baseline"/>
        </w:rPr>
        <w:t> </w:t>
      </w:r>
      <w:r>
        <w:rPr>
          <w:sz w:val="18"/>
          <w:vertAlign w:val="baseline"/>
        </w:rPr>
        <w:t>Simon</w:t>
      </w:r>
      <w:r>
        <w:rPr>
          <w:spacing w:val="-4"/>
          <w:sz w:val="18"/>
          <w:vertAlign w:val="baseline"/>
        </w:rPr>
        <w:t> </w:t>
      </w:r>
      <w:r>
        <w:rPr>
          <w:sz w:val="18"/>
          <w:vertAlign w:val="baseline"/>
        </w:rPr>
        <w:t>Rios,</w:t>
      </w:r>
      <w:r>
        <w:rPr>
          <w:spacing w:val="-3"/>
          <w:sz w:val="18"/>
          <w:vertAlign w:val="baseline"/>
        </w:rPr>
        <w:t> </w:t>
      </w:r>
      <w:r>
        <w:rPr>
          <w:sz w:val="18"/>
          <w:vertAlign w:val="baseline"/>
        </w:rPr>
        <w:t>“For</w:t>
      </w:r>
      <w:r>
        <w:rPr>
          <w:spacing w:val="-3"/>
          <w:sz w:val="18"/>
          <w:vertAlign w:val="baseline"/>
        </w:rPr>
        <w:t> </w:t>
      </w:r>
      <w:r>
        <w:rPr>
          <w:sz w:val="18"/>
          <w:vertAlign w:val="baseline"/>
        </w:rPr>
        <w:t>Non-English</w:t>
      </w:r>
      <w:r>
        <w:rPr>
          <w:spacing w:val="-2"/>
          <w:sz w:val="18"/>
          <w:vertAlign w:val="baseline"/>
        </w:rPr>
        <w:t> </w:t>
      </w:r>
      <w:r>
        <w:rPr>
          <w:sz w:val="18"/>
          <w:vertAlign w:val="baseline"/>
        </w:rPr>
        <w:t>Speakers,</w:t>
      </w:r>
      <w:r>
        <w:rPr>
          <w:spacing w:val="-3"/>
          <w:sz w:val="18"/>
          <w:vertAlign w:val="baseline"/>
        </w:rPr>
        <w:t> </w:t>
      </w:r>
      <w:r>
        <w:rPr>
          <w:sz w:val="18"/>
          <w:vertAlign w:val="baseline"/>
        </w:rPr>
        <w:t>Difficult</w:t>
      </w:r>
      <w:r>
        <w:rPr>
          <w:spacing w:val="-3"/>
          <w:sz w:val="18"/>
          <w:vertAlign w:val="baseline"/>
        </w:rPr>
        <w:t> </w:t>
      </w:r>
      <w:r>
        <w:rPr>
          <w:sz w:val="18"/>
          <w:vertAlign w:val="baseline"/>
        </w:rPr>
        <w:t>Language</w:t>
      </w:r>
      <w:r>
        <w:rPr>
          <w:spacing w:val="-2"/>
          <w:sz w:val="18"/>
          <w:vertAlign w:val="baseline"/>
        </w:rPr>
        <w:t> </w:t>
      </w:r>
      <w:r>
        <w:rPr>
          <w:sz w:val="18"/>
          <w:vertAlign w:val="baseline"/>
        </w:rPr>
        <w:t>Barriers</w:t>
      </w:r>
      <w:r>
        <w:rPr>
          <w:spacing w:val="-2"/>
          <w:sz w:val="18"/>
          <w:vertAlign w:val="baseline"/>
        </w:rPr>
        <w:t> </w:t>
      </w:r>
      <w:r>
        <w:rPr>
          <w:sz w:val="18"/>
          <w:vertAlign w:val="baseline"/>
        </w:rPr>
        <w:t>Become</w:t>
      </w:r>
      <w:r>
        <w:rPr>
          <w:spacing w:val="-2"/>
          <w:sz w:val="18"/>
          <w:vertAlign w:val="baseline"/>
        </w:rPr>
        <w:t> </w:t>
      </w:r>
      <w:r>
        <w:rPr>
          <w:sz w:val="18"/>
          <w:vertAlign w:val="baseline"/>
        </w:rPr>
        <w:t>Dire</w:t>
      </w:r>
      <w:r>
        <w:rPr>
          <w:spacing w:val="-3"/>
          <w:sz w:val="18"/>
          <w:vertAlign w:val="baseline"/>
        </w:rPr>
        <w:t> </w:t>
      </w:r>
      <w:r>
        <w:rPr>
          <w:sz w:val="18"/>
          <w:vertAlign w:val="baseline"/>
        </w:rPr>
        <w:t>Amid</w:t>
      </w:r>
      <w:r>
        <w:rPr>
          <w:spacing w:val="-2"/>
          <w:sz w:val="18"/>
          <w:vertAlign w:val="baseline"/>
        </w:rPr>
        <w:t> </w:t>
      </w:r>
      <w:r>
        <w:rPr>
          <w:sz w:val="18"/>
          <w:vertAlign w:val="baseline"/>
        </w:rPr>
        <w:t>Outbreak,”</w:t>
      </w:r>
      <w:r>
        <w:rPr>
          <w:spacing w:val="-2"/>
          <w:sz w:val="18"/>
          <w:vertAlign w:val="baseline"/>
        </w:rPr>
        <w:t> </w:t>
      </w:r>
      <w:r>
        <w:rPr>
          <w:sz w:val="18"/>
          <w:vertAlign w:val="baseline"/>
        </w:rPr>
        <w:t>WBUR,</w:t>
      </w:r>
      <w:r>
        <w:rPr>
          <w:spacing w:val="-3"/>
          <w:sz w:val="18"/>
          <w:vertAlign w:val="baseline"/>
        </w:rPr>
        <w:t> </w:t>
      </w:r>
      <w:r>
        <w:rPr>
          <w:sz w:val="18"/>
          <w:vertAlign w:val="baseline"/>
        </w:rPr>
        <w:t>accessed</w:t>
      </w:r>
      <w:r>
        <w:rPr>
          <w:spacing w:val="-2"/>
          <w:sz w:val="18"/>
          <w:vertAlign w:val="baseline"/>
        </w:rPr>
        <w:t> </w:t>
      </w:r>
      <w:r>
        <w:rPr>
          <w:sz w:val="18"/>
          <w:vertAlign w:val="baseline"/>
        </w:rPr>
        <w:t>April</w:t>
      </w:r>
      <w:r>
        <w:rPr>
          <w:spacing w:val="-3"/>
          <w:sz w:val="18"/>
          <w:vertAlign w:val="baseline"/>
        </w:rPr>
        <w:t> </w:t>
      </w:r>
      <w:r>
        <w:rPr>
          <w:sz w:val="18"/>
          <w:vertAlign w:val="baseline"/>
        </w:rPr>
        <w:t>24, 2023,</w:t>
      </w:r>
      <w:r>
        <w:rPr>
          <w:spacing w:val="-2"/>
          <w:sz w:val="18"/>
          <w:vertAlign w:val="baseline"/>
        </w:rPr>
        <w:t> </w:t>
      </w:r>
      <w:r>
        <w:rPr>
          <w:sz w:val="18"/>
          <w:vertAlign w:val="baseline"/>
        </w:rPr>
        <w:t>https://</w:t>
      </w:r>
      <w:hyperlink r:id="rId596">
        <w:r>
          <w:rPr>
            <w:sz w:val="18"/>
            <w:vertAlign w:val="baseline"/>
          </w:rPr>
          <w:t>www.wbur.org/news/2020/04/07/coronavirus-translation-problems.</w:t>
        </w:r>
      </w:hyperlink>
    </w:p>
    <w:p>
      <w:pPr>
        <w:spacing w:line="219" w:lineRule="exact" w:before="0"/>
        <w:ind w:left="463" w:right="0" w:firstLine="0"/>
        <w:jc w:val="left"/>
        <w:rPr>
          <w:sz w:val="18"/>
        </w:rPr>
      </w:pPr>
      <w:r>
        <w:rPr>
          <w:sz w:val="18"/>
          <w:vertAlign w:val="superscript"/>
        </w:rPr>
        <w:t>41</w:t>
      </w:r>
      <w:r>
        <w:rPr>
          <w:spacing w:val="-13"/>
          <w:sz w:val="18"/>
          <w:vertAlign w:val="baseline"/>
        </w:rPr>
        <w:t> </w:t>
      </w:r>
      <w:r>
        <w:rPr>
          <w:spacing w:val="-2"/>
          <w:sz w:val="18"/>
          <w:vertAlign w:val="baseline"/>
        </w:rPr>
        <w:t>Rios.</w:t>
      </w:r>
    </w:p>
    <w:p>
      <w:pPr>
        <w:spacing w:before="0"/>
        <w:ind w:left="463" w:right="905" w:firstLine="0"/>
        <w:jc w:val="left"/>
        <w:rPr>
          <w:sz w:val="18"/>
        </w:rPr>
      </w:pPr>
      <w:r>
        <w:rPr>
          <w:sz w:val="18"/>
          <w:vertAlign w:val="superscript"/>
        </w:rPr>
        <w:t>42</w:t>
      </w:r>
      <w:r>
        <w:rPr>
          <w:spacing w:val="-13"/>
          <w:sz w:val="18"/>
          <w:vertAlign w:val="baseline"/>
        </w:rPr>
        <w:t> </w:t>
      </w:r>
      <w:r>
        <w:rPr>
          <w:sz w:val="18"/>
          <w:vertAlign w:val="baseline"/>
        </w:rPr>
        <w:t>Jason</w:t>
      </w:r>
      <w:r>
        <w:rPr>
          <w:spacing w:val="-5"/>
          <w:sz w:val="18"/>
          <w:vertAlign w:val="baseline"/>
        </w:rPr>
        <w:t> </w:t>
      </w:r>
      <w:r>
        <w:rPr>
          <w:sz w:val="18"/>
          <w:vertAlign w:val="baseline"/>
        </w:rPr>
        <w:t>Espinoza</w:t>
      </w:r>
      <w:r>
        <w:rPr>
          <w:spacing w:val="-3"/>
          <w:sz w:val="18"/>
          <w:vertAlign w:val="baseline"/>
        </w:rPr>
        <w:t> </w:t>
      </w:r>
      <w:r>
        <w:rPr>
          <w:sz w:val="18"/>
          <w:vertAlign w:val="baseline"/>
        </w:rPr>
        <w:t>and</w:t>
      </w:r>
      <w:r>
        <w:rPr>
          <w:spacing w:val="-3"/>
          <w:sz w:val="18"/>
          <w:vertAlign w:val="baseline"/>
        </w:rPr>
        <w:t> </w:t>
      </w:r>
      <w:r>
        <w:rPr>
          <w:sz w:val="18"/>
          <w:vertAlign w:val="baseline"/>
        </w:rPr>
        <w:t>Sabrina</w:t>
      </w:r>
      <w:r>
        <w:rPr>
          <w:spacing w:val="-3"/>
          <w:sz w:val="18"/>
          <w:vertAlign w:val="baseline"/>
        </w:rPr>
        <w:t> </w:t>
      </w:r>
      <w:r>
        <w:rPr>
          <w:sz w:val="18"/>
          <w:vertAlign w:val="baseline"/>
        </w:rPr>
        <w:t>Derrington,</w:t>
      </w:r>
      <w:r>
        <w:rPr>
          <w:spacing w:val="-4"/>
          <w:sz w:val="18"/>
          <w:vertAlign w:val="baseline"/>
        </w:rPr>
        <w:t> </w:t>
      </w:r>
      <w:r>
        <w:rPr>
          <w:sz w:val="18"/>
          <w:vertAlign w:val="baseline"/>
        </w:rPr>
        <w:t>“How</w:t>
      </w:r>
      <w:r>
        <w:rPr>
          <w:spacing w:val="-2"/>
          <w:sz w:val="18"/>
          <w:vertAlign w:val="baseline"/>
        </w:rPr>
        <w:t> </w:t>
      </w:r>
      <w:r>
        <w:rPr>
          <w:sz w:val="18"/>
          <w:vertAlign w:val="baseline"/>
        </w:rPr>
        <w:t>Should</w:t>
      </w:r>
      <w:r>
        <w:rPr>
          <w:spacing w:val="-3"/>
          <w:sz w:val="18"/>
          <w:vertAlign w:val="baseline"/>
        </w:rPr>
        <w:t> </w:t>
      </w:r>
      <w:r>
        <w:rPr>
          <w:sz w:val="18"/>
          <w:vertAlign w:val="baseline"/>
        </w:rPr>
        <w:t>Clinicians</w:t>
      </w:r>
      <w:r>
        <w:rPr>
          <w:spacing w:val="-3"/>
          <w:sz w:val="18"/>
          <w:vertAlign w:val="baseline"/>
        </w:rPr>
        <w:t> </w:t>
      </w:r>
      <w:r>
        <w:rPr>
          <w:sz w:val="18"/>
          <w:vertAlign w:val="baseline"/>
        </w:rPr>
        <w:t>Respond</w:t>
      </w:r>
      <w:r>
        <w:rPr>
          <w:spacing w:val="-3"/>
          <w:sz w:val="18"/>
          <w:vertAlign w:val="baseline"/>
        </w:rPr>
        <w:t> </w:t>
      </w:r>
      <w:r>
        <w:rPr>
          <w:sz w:val="18"/>
          <w:vertAlign w:val="baseline"/>
        </w:rPr>
        <w:t>to</w:t>
      </w:r>
      <w:r>
        <w:rPr>
          <w:spacing w:val="-3"/>
          <w:sz w:val="18"/>
          <w:vertAlign w:val="baseline"/>
        </w:rPr>
        <w:t> </w:t>
      </w:r>
      <w:r>
        <w:rPr>
          <w:sz w:val="18"/>
          <w:vertAlign w:val="baseline"/>
        </w:rPr>
        <w:t>Language</w:t>
      </w:r>
      <w:r>
        <w:rPr>
          <w:spacing w:val="-3"/>
          <w:sz w:val="18"/>
          <w:vertAlign w:val="baseline"/>
        </w:rPr>
        <w:t> </w:t>
      </w:r>
      <w:r>
        <w:rPr>
          <w:sz w:val="18"/>
          <w:vertAlign w:val="baseline"/>
        </w:rPr>
        <w:t>Barriers</w:t>
      </w:r>
      <w:r>
        <w:rPr>
          <w:spacing w:val="-3"/>
          <w:sz w:val="18"/>
          <w:vertAlign w:val="baseline"/>
        </w:rPr>
        <w:t> </w:t>
      </w:r>
      <w:r>
        <w:rPr>
          <w:sz w:val="18"/>
          <w:vertAlign w:val="baseline"/>
        </w:rPr>
        <w:t>That</w:t>
      </w:r>
      <w:r>
        <w:rPr>
          <w:spacing w:val="-4"/>
          <w:sz w:val="18"/>
          <w:vertAlign w:val="baseline"/>
        </w:rPr>
        <w:t> </w:t>
      </w:r>
      <w:r>
        <w:rPr>
          <w:sz w:val="18"/>
          <w:vertAlign w:val="baseline"/>
        </w:rPr>
        <w:t>Exacerbate</w:t>
      </w:r>
      <w:r>
        <w:rPr>
          <w:spacing w:val="-3"/>
          <w:sz w:val="18"/>
          <w:vertAlign w:val="baseline"/>
        </w:rPr>
        <w:t> </w:t>
      </w:r>
      <w:r>
        <w:rPr>
          <w:sz w:val="18"/>
          <w:vertAlign w:val="baseline"/>
        </w:rPr>
        <w:t>Health Inequity?,” </w:t>
      </w:r>
      <w:r>
        <w:rPr>
          <w:i/>
          <w:sz w:val="18"/>
          <w:vertAlign w:val="baseline"/>
        </w:rPr>
        <w:t>AMA Journal of Ethics </w:t>
      </w:r>
      <w:r>
        <w:rPr>
          <w:sz w:val="18"/>
          <w:vertAlign w:val="baseline"/>
        </w:rPr>
        <w:t>23, no. 2 (February 1, 2021): 109–16, https://doi.org/10.1001/amajethics.2021.109.</w:t>
      </w:r>
      <w:r>
        <w:rPr>
          <w:sz w:val="18"/>
          <w:vertAlign w:val="baseline"/>
        </w:rPr>
        <w:t> </w:t>
      </w:r>
      <w:r>
        <w:rPr>
          <w:sz w:val="18"/>
          <w:vertAlign w:val="superscript"/>
        </w:rPr>
        <w:t>43</w:t>
      </w:r>
      <w:r>
        <w:rPr>
          <w:sz w:val="18"/>
          <w:vertAlign w:val="baseline"/>
        </w:rPr>
        <w:t> Espinoza and Derrington.</w:t>
      </w:r>
    </w:p>
    <w:p>
      <w:pPr>
        <w:spacing w:line="219" w:lineRule="exact" w:before="0"/>
        <w:ind w:left="463" w:right="0" w:firstLine="0"/>
        <w:jc w:val="left"/>
        <w:rPr>
          <w:sz w:val="18"/>
        </w:rPr>
      </w:pPr>
      <w:r>
        <w:rPr>
          <w:sz w:val="18"/>
          <w:vertAlign w:val="superscript"/>
        </w:rPr>
        <w:t>45</w:t>
      </w:r>
      <w:r>
        <w:rPr>
          <w:spacing w:val="-15"/>
          <w:sz w:val="18"/>
          <w:vertAlign w:val="baseline"/>
        </w:rPr>
        <w:t> </w:t>
      </w:r>
      <w:r>
        <w:rPr>
          <w:sz w:val="18"/>
          <w:vertAlign w:val="baseline"/>
        </w:rPr>
        <w:t>Laurie</w:t>
      </w:r>
      <w:r>
        <w:rPr>
          <w:spacing w:val="-10"/>
          <w:sz w:val="18"/>
          <w:vertAlign w:val="baseline"/>
        </w:rPr>
        <w:t> </w:t>
      </w:r>
      <w:r>
        <w:rPr>
          <w:sz w:val="18"/>
          <w:vertAlign w:val="baseline"/>
        </w:rPr>
        <w:t>Ross,</w:t>
      </w:r>
      <w:r>
        <w:rPr>
          <w:spacing w:val="-7"/>
          <w:sz w:val="18"/>
          <w:vertAlign w:val="baseline"/>
        </w:rPr>
        <w:t> </w:t>
      </w:r>
      <w:r>
        <w:rPr>
          <w:sz w:val="18"/>
          <w:vertAlign w:val="baseline"/>
        </w:rPr>
        <w:t>“Massachusetts</w:t>
      </w:r>
      <w:r>
        <w:rPr>
          <w:spacing w:val="-6"/>
          <w:sz w:val="18"/>
          <w:vertAlign w:val="baseline"/>
        </w:rPr>
        <w:t> </w:t>
      </w:r>
      <w:r>
        <w:rPr>
          <w:sz w:val="18"/>
          <w:vertAlign w:val="baseline"/>
        </w:rPr>
        <w:t>2021</w:t>
      </w:r>
      <w:r>
        <w:rPr>
          <w:spacing w:val="-5"/>
          <w:sz w:val="18"/>
          <w:vertAlign w:val="baseline"/>
        </w:rPr>
        <w:t> </w:t>
      </w:r>
      <w:r>
        <w:rPr>
          <w:sz w:val="18"/>
          <w:vertAlign w:val="baseline"/>
        </w:rPr>
        <w:t>Youth</w:t>
      </w:r>
      <w:r>
        <w:rPr>
          <w:spacing w:val="-6"/>
          <w:sz w:val="18"/>
          <w:vertAlign w:val="baseline"/>
        </w:rPr>
        <w:t> </w:t>
      </w:r>
      <w:r>
        <w:rPr>
          <w:sz w:val="18"/>
          <w:vertAlign w:val="baseline"/>
        </w:rPr>
        <w:t>Count,”</w:t>
      </w:r>
      <w:r>
        <w:rPr>
          <w:spacing w:val="-6"/>
          <w:sz w:val="18"/>
          <w:vertAlign w:val="baseline"/>
        </w:rPr>
        <w:t> </w:t>
      </w:r>
      <w:r>
        <w:rPr>
          <w:sz w:val="18"/>
          <w:vertAlign w:val="baseline"/>
        </w:rPr>
        <w:t>2021,</w:t>
      </w:r>
      <w:r>
        <w:rPr>
          <w:spacing w:val="-6"/>
          <w:sz w:val="18"/>
          <w:vertAlign w:val="baseline"/>
        </w:rPr>
        <w:t> </w:t>
      </w:r>
      <w:r>
        <w:rPr>
          <w:sz w:val="18"/>
          <w:vertAlign w:val="baseline"/>
        </w:rPr>
        <w:t>https://</w:t>
      </w:r>
      <w:hyperlink r:id="rId597">
        <w:r>
          <w:rPr>
            <w:sz w:val="18"/>
            <w:vertAlign w:val="baseline"/>
          </w:rPr>
          <w:t>www.mass.gov/doc/2021-youth-count-</w:t>
        </w:r>
        <w:r>
          <w:rPr>
            <w:spacing w:val="-2"/>
            <w:sz w:val="18"/>
            <w:vertAlign w:val="baseline"/>
          </w:rPr>
          <w:t>report/download.</w:t>
        </w:r>
      </w:hyperlink>
    </w:p>
    <w:p>
      <w:pPr>
        <w:spacing w:before="0"/>
        <w:ind w:left="463" w:right="271" w:hanging="1"/>
        <w:jc w:val="left"/>
        <w:rPr>
          <w:sz w:val="18"/>
        </w:rPr>
      </w:pPr>
      <w:r>
        <w:rPr>
          <w:sz w:val="18"/>
          <w:vertAlign w:val="superscript"/>
        </w:rPr>
        <w:t>46</w:t>
      </w:r>
      <w:r>
        <w:rPr>
          <w:spacing w:val="-13"/>
          <w:sz w:val="18"/>
          <w:vertAlign w:val="baseline"/>
        </w:rPr>
        <w:t> </w:t>
      </w:r>
      <w:r>
        <w:rPr>
          <w:sz w:val="18"/>
          <w:vertAlign w:val="baseline"/>
        </w:rPr>
        <w:t>Senate</w:t>
      </w:r>
      <w:r>
        <w:rPr>
          <w:spacing w:val="-4"/>
          <w:sz w:val="18"/>
          <w:vertAlign w:val="baseline"/>
        </w:rPr>
        <w:t> </w:t>
      </w:r>
      <w:r>
        <w:rPr>
          <w:sz w:val="18"/>
          <w:vertAlign w:val="baseline"/>
        </w:rPr>
        <w:t>and</w:t>
      </w:r>
      <w:r>
        <w:rPr>
          <w:spacing w:val="-3"/>
          <w:sz w:val="18"/>
          <w:vertAlign w:val="baseline"/>
        </w:rPr>
        <w:t> </w:t>
      </w:r>
      <w:r>
        <w:rPr>
          <w:sz w:val="18"/>
          <w:vertAlign w:val="baseline"/>
        </w:rPr>
        <w:t>House</w:t>
      </w:r>
      <w:r>
        <w:rPr>
          <w:spacing w:val="-3"/>
          <w:sz w:val="18"/>
          <w:vertAlign w:val="baseline"/>
        </w:rPr>
        <w:t> </w:t>
      </w:r>
      <w:r>
        <w:rPr>
          <w:sz w:val="18"/>
          <w:vertAlign w:val="baseline"/>
        </w:rPr>
        <w:t>of</w:t>
      </w:r>
      <w:r>
        <w:rPr>
          <w:spacing w:val="-3"/>
          <w:sz w:val="18"/>
          <w:vertAlign w:val="baseline"/>
        </w:rPr>
        <w:t> </w:t>
      </w:r>
      <w:r>
        <w:rPr>
          <w:sz w:val="18"/>
          <w:vertAlign w:val="baseline"/>
        </w:rPr>
        <w:t>Representative</w:t>
      </w:r>
      <w:r>
        <w:rPr>
          <w:spacing w:val="-3"/>
          <w:sz w:val="18"/>
          <w:vertAlign w:val="baseline"/>
        </w:rPr>
        <w:t> </w:t>
      </w:r>
      <w:r>
        <w:rPr>
          <w:sz w:val="18"/>
          <w:vertAlign w:val="baseline"/>
        </w:rPr>
        <w:t>of</w:t>
      </w:r>
      <w:r>
        <w:rPr>
          <w:spacing w:val="-3"/>
          <w:sz w:val="18"/>
          <w:vertAlign w:val="baseline"/>
        </w:rPr>
        <w:t> </w:t>
      </w:r>
      <w:r>
        <w:rPr>
          <w:sz w:val="18"/>
          <w:vertAlign w:val="baseline"/>
        </w:rPr>
        <w:t>the</w:t>
      </w:r>
      <w:r>
        <w:rPr>
          <w:spacing w:val="-3"/>
          <w:sz w:val="18"/>
          <w:vertAlign w:val="baseline"/>
        </w:rPr>
        <w:t> </w:t>
      </w:r>
      <w:r>
        <w:rPr>
          <w:sz w:val="18"/>
          <w:vertAlign w:val="baseline"/>
        </w:rPr>
        <w:t>Commonwealth</w:t>
      </w:r>
      <w:r>
        <w:rPr>
          <w:spacing w:val="-3"/>
          <w:sz w:val="18"/>
          <w:vertAlign w:val="baseline"/>
        </w:rPr>
        <w:t> </w:t>
      </w:r>
      <w:r>
        <w:rPr>
          <w:sz w:val="18"/>
          <w:vertAlign w:val="baseline"/>
        </w:rPr>
        <w:t>of</w:t>
      </w:r>
      <w:r>
        <w:rPr>
          <w:spacing w:val="-4"/>
          <w:sz w:val="18"/>
          <w:vertAlign w:val="baseline"/>
        </w:rPr>
        <w:t> </w:t>
      </w:r>
      <w:r>
        <w:rPr>
          <w:sz w:val="18"/>
          <w:vertAlign w:val="baseline"/>
        </w:rPr>
        <w:t>Massachusetts,</w:t>
      </w:r>
      <w:r>
        <w:rPr>
          <w:spacing w:val="-5"/>
          <w:sz w:val="18"/>
          <w:vertAlign w:val="baseline"/>
        </w:rPr>
        <w:t> </w:t>
      </w:r>
      <w:r>
        <w:rPr>
          <w:i/>
          <w:sz w:val="18"/>
          <w:vertAlign w:val="baseline"/>
        </w:rPr>
        <w:t>An</w:t>
      </w:r>
      <w:r>
        <w:rPr>
          <w:i/>
          <w:spacing w:val="-4"/>
          <w:sz w:val="18"/>
          <w:vertAlign w:val="baseline"/>
        </w:rPr>
        <w:t> </w:t>
      </w:r>
      <w:r>
        <w:rPr>
          <w:i/>
          <w:sz w:val="18"/>
          <w:vertAlign w:val="baseline"/>
        </w:rPr>
        <w:t>Act</w:t>
      </w:r>
      <w:r>
        <w:rPr>
          <w:i/>
          <w:spacing w:val="-4"/>
          <w:sz w:val="18"/>
          <w:vertAlign w:val="baseline"/>
        </w:rPr>
        <w:t> </w:t>
      </w:r>
      <w:r>
        <w:rPr>
          <w:i/>
          <w:sz w:val="18"/>
          <w:vertAlign w:val="baseline"/>
        </w:rPr>
        <w:t>providing</w:t>
      </w:r>
      <w:r>
        <w:rPr>
          <w:i/>
          <w:spacing w:val="-2"/>
          <w:sz w:val="18"/>
          <w:vertAlign w:val="baseline"/>
        </w:rPr>
        <w:t> </w:t>
      </w:r>
      <w:r>
        <w:rPr>
          <w:i/>
          <w:sz w:val="18"/>
          <w:vertAlign w:val="baseline"/>
        </w:rPr>
        <w:t>upstream</w:t>
      </w:r>
      <w:r>
        <w:rPr>
          <w:i/>
          <w:spacing w:val="-3"/>
          <w:sz w:val="18"/>
          <w:vertAlign w:val="baseline"/>
        </w:rPr>
        <w:t> </w:t>
      </w:r>
      <w:r>
        <w:rPr>
          <w:i/>
          <w:sz w:val="18"/>
          <w:vertAlign w:val="baseline"/>
        </w:rPr>
        <w:t>homelessness</w:t>
      </w:r>
      <w:r>
        <w:rPr>
          <w:i/>
          <w:sz w:val="18"/>
          <w:vertAlign w:val="baseline"/>
        </w:rPr>
        <w:t> prevention assistance to families, youth, and adults</w:t>
      </w:r>
      <w:r>
        <w:rPr>
          <w:sz w:val="18"/>
          <w:vertAlign w:val="baseline"/>
        </w:rPr>
        <w:t>, SD. 1169, https://malegislature.gov/Bills/193/SD1169</w:t>
      </w:r>
    </w:p>
    <w:p>
      <w:pPr>
        <w:spacing w:before="0"/>
        <w:ind w:left="463" w:right="271" w:hanging="1"/>
        <w:jc w:val="left"/>
        <w:rPr>
          <w:sz w:val="18"/>
        </w:rPr>
      </w:pPr>
      <w:r>
        <w:rPr>
          <w:sz w:val="18"/>
          <w:vertAlign w:val="superscript"/>
        </w:rPr>
        <w:t>47</w:t>
      </w:r>
      <w:r>
        <w:rPr>
          <w:spacing w:val="-13"/>
          <w:sz w:val="18"/>
          <w:vertAlign w:val="baseline"/>
        </w:rPr>
        <w:t> </w:t>
      </w:r>
      <w:r>
        <w:rPr>
          <w:sz w:val="18"/>
          <w:vertAlign w:val="baseline"/>
        </w:rPr>
        <w:t>National</w:t>
      </w:r>
      <w:r>
        <w:rPr>
          <w:spacing w:val="-4"/>
          <w:sz w:val="18"/>
          <w:vertAlign w:val="baseline"/>
        </w:rPr>
        <w:t> </w:t>
      </w:r>
      <w:r>
        <w:rPr>
          <w:sz w:val="18"/>
          <w:vertAlign w:val="baseline"/>
        </w:rPr>
        <w:t>Immigration</w:t>
      </w:r>
      <w:r>
        <w:rPr>
          <w:spacing w:val="-2"/>
          <w:sz w:val="18"/>
          <w:vertAlign w:val="baseline"/>
        </w:rPr>
        <w:t> </w:t>
      </w:r>
      <w:r>
        <w:rPr>
          <w:sz w:val="18"/>
          <w:vertAlign w:val="baseline"/>
        </w:rPr>
        <w:t>Law</w:t>
      </w:r>
      <w:r>
        <w:rPr>
          <w:spacing w:val="-3"/>
          <w:sz w:val="18"/>
          <w:vertAlign w:val="baseline"/>
        </w:rPr>
        <w:t> </w:t>
      </w:r>
      <w:r>
        <w:rPr>
          <w:sz w:val="18"/>
          <w:vertAlign w:val="baseline"/>
        </w:rPr>
        <w:t>Center,</w:t>
      </w:r>
      <w:r>
        <w:rPr>
          <w:spacing w:val="-3"/>
          <w:sz w:val="18"/>
          <w:vertAlign w:val="baseline"/>
        </w:rPr>
        <w:t> </w:t>
      </w:r>
      <w:r>
        <w:rPr>
          <w:sz w:val="18"/>
          <w:vertAlign w:val="baseline"/>
        </w:rPr>
        <w:t>“A</w:t>
      </w:r>
      <w:r>
        <w:rPr>
          <w:spacing w:val="-2"/>
          <w:sz w:val="18"/>
          <w:vertAlign w:val="baseline"/>
        </w:rPr>
        <w:t> </w:t>
      </w:r>
      <w:r>
        <w:rPr>
          <w:sz w:val="18"/>
          <w:vertAlign w:val="baseline"/>
        </w:rPr>
        <w:t>Quick</w:t>
      </w:r>
      <w:r>
        <w:rPr>
          <w:spacing w:val="-3"/>
          <w:sz w:val="18"/>
          <w:vertAlign w:val="baseline"/>
        </w:rPr>
        <w:t> </w:t>
      </w:r>
      <w:r>
        <w:rPr>
          <w:sz w:val="18"/>
          <w:vertAlign w:val="baseline"/>
        </w:rPr>
        <w:t>Guide</w:t>
      </w:r>
      <w:r>
        <w:rPr>
          <w:spacing w:val="-2"/>
          <w:sz w:val="18"/>
          <w:vertAlign w:val="baseline"/>
        </w:rPr>
        <w:t> </w:t>
      </w:r>
      <w:r>
        <w:rPr>
          <w:sz w:val="18"/>
          <w:vertAlign w:val="baseline"/>
        </w:rPr>
        <w:t>to</w:t>
      </w:r>
      <w:r>
        <w:rPr>
          <w:spacing w:val="-2"/>
          <w:sz w:val="18"/>
          <w:vertAlign w:val="baseline"/>
        </w:rPr>
        <w:t> </w:t>
      </w:r>
      <w:r>
        <w:rPr>
          <w:sz w:val="18"/>
          <w:vertAlign w:val="baseline"/>
        </w:rPr>
        <w:t>Immigrant</w:t>
      </w:r>
      <w:r>
        <w:rPr>
          <w:spacing w:val="-4"/>
          <w:sz w:val="18"/>
          <w:vertAlign w:val="baseline"/>
        </w:rPr>
        <w:t> </w:t>
      </w:r>
      <w:r>
        <w:rPr>
          <w:sz w:val="18"/>
          <w:vertAlign w:val="baseline"/>
        </w:rPr>
        <w:t>Eligibility</w:t>
      </w:r>
      <w:r>
        <w:rPr>
          <w:spacing w:val="-2"/>
          <w:sz w:val="18"/>
          <w:vertAlign w:val="baseline"/>
        </w:rPr>
        <w:t> </w:t>
      </w:r>
      <w:r>
        <w:rPr>
          <w:sz w:val="18"/>
          <w:vertAlign w:val="baseline"/>
        </w:rPr>
        <w:t>for</w:t>
      </w:r>
      <w:r>
        <w:rPr>
          <w:spacing w:val="-3"/>
          <w:sz w:val="18"/>
          <w:vertAlign w:val="baseline"/>
        </w:rPr>
        <w:t> </w:t>
      </w:r>
      <w:r>
        <w:rPr>
          <w:sz w:val="18"/>
          <w:vertAlign w:val="baseline"/>
        </w:rPr>
        <w:t>ACA</w:t>
      </w:r>
      <w:r>
        <w:rPr>
          <w:spacing w:val="-2"/>
          <w:sz w:val="18"/>
          <w:vertAlign w:val="baseline"/>
        </w:rPr>
        <w:t> </w:t>
      </w:r>
      <w:r>
        <w:rPr>
          <w:sz w:val="18"/>
          <w:vertAlign w:val="baseline"/>
        </w:rPr>
        <w:t>and</w:t>
      </w:r>
      <w:r>
        <w:rPr>
          <w:spacing w:val="-2"/>
          <w:sz w:val="18"/>
          <w:vertAlign w:val="baseline"/>
        </w:rPr>
        <w:t> </w:t>
      </w:r>
      <w:r>
        <w:rPr>
          <w:sz w:val="18"/>
          <w:vertAlign w:val="baseline"/>
        </w:rPr>
        <w:t>Key</w:t>
      </w:r>
      <w:r>
        <w:rPr>
          <w:spacing w:val="-3"/>
          <w:sz w:val="18"/>
          <w:vertAlign w:val="baseline"/>
        </w:rPr>
        <w:t> </w:t>
      </w:r>
      <w:r>
        <w:rPr>
          <w:sz w:val="18"/>
          <w:vertAlign w:val="baseline"/>
        </w:rPr>
        <w:t>Federal</w:t>
      </w:r>
      <w:r>
        <w:rPr>
          <w:spacing w:val="-3"/>
          <w:sz w:val="18"/>
          <w:vertAlign w:val="baseline"/>
        </w:rPr>
        <w:t> </w:t>
      </w:r>
      <w:r>
        <w:rPr>
          <w:sz w:val="18"/>
          <w:vertAlign w:val="baseline"/>
        </w:rPr>
        <w:t>Means-Tested</w:t>
      </w:r>
      <w:r>
        <w:rPr>
          <w:spacing w:val="-3"/>
          <w:sz w:val="18"/>
          <w:vertAlign w:val="baseline"/>
        </w:rPr>
        <w:t> </w:t>
      </w:r>
      <w:r>
        <w:rPr>
          <w:sz w:val="18"/>
          <w:vertAlign w:val="baseline"/>
        </w:rPr>
        <w:t>Programs,” April 2018, https://</w:t>
      </w:r>
      <w:hyperlink r:id="rId598">
        <w:r>
          <w:rPr>
            <w:sz w:val="18"/>
            <w:vertAlign w:val="baseline"/>
          </w:rPr>
          <w:t>www.nilc.org/issues/economic-support/quick-guide-aca-means-tested-programs/.</w:t>
        </w:r>
      </w:hyperlink>
    </w:p>
    <w:p>
      <w:pPr>
        <w:spacing w:before="0"/>
        <w:ind w:left="463" w:right="370" w:hanging="1"/>
        <w:jc w:val="left"/>
        <w:rPr>
          <w:sz w:val="18"/>
        </w:rPr>
      </w:pPr>
      <w:r>
        <w:rPr>
          <w:sz w:val="18"/>
          <w:vertAlign w:val="superscript"/>
        </w:rPr>
        <w:t>48</w:t>
      </w:r>
      <w:r>
        <w:rPr>
          <w:spacing w:val="-8"/>
          <w:sz w:val="18"/>
          <w:vertAlign w:val="baseline"/>
        </w:rPr>
        <w:t> </w:t>
      </w:r>
      <w:r>
        <w:rPr>
          <w:sz w:val="18"/>
          <w:vertAlign w:val="baseline"/>
        </w:rPr>
        <w:t>“Information for Immigrant Patients and Their Health Care Providers on Immigration Enforcement | Mass.Gov,” accessed April</w:t>
      </w:r>
      <w:r>
        <w:rPr>
          <w:spacing w:val="-11"/>
          <w:sz w:val="18"/>
          <w:vertAlign w:val="baseline"/>
        </w:rPr>
        <w:t> </w:t>
      </w:r>
      <w:r>
        <w:rPr>
          <w:sz w:val="18"/>
          <w:vertAlign w:val="baseline"/>
        </w:rPr>
        <w:t>24,</w:t>
      </w:r>
      <w:r>
        <w:rPr>
          <w:spacing w:val="-10"/>
          <w:sz w:val="18"/>
          <w:vertAlign w:val="baseline"/>
        </w:rPr>
        <w:t> </w:t>
      </w:r>
      <w:r>
        <w:rPr>
          <w:sz w:val="18"/>
          <w:vertAlign w:val="baseline"/>
        </w:rPr>
        <w:t>2023,</w:t>
      </w:r>
      <w:r>
        <w:rPr>
          <w:spacing w:val="-10"/>
          <w:sz w:val="18"/>
          <w:vertAlign w:val="baseline"/>
        </w:rPr>
        <w:t> </w:t>
      </w:r>
      <w:r>
        <w:rPr>
          <w:sz w:val="18"/>
          <w:vertAlign w:val="baseline"/>
        </w:rPr>
        <w:t>https://</w:t>
      </w:r>
      <w:hyperlink r:id="rId599">
        <w:r>
          <w:rPr>
            <w:sz w:val="18"/>
            <w:vertAlign w:val="baseline"/>
          </w:rPr>
          <w:t>www.mass.gov/service-details/information-for-immigrant-patients-and-their-health-care-providers-on-</w:t>
        </w:r>
      </w:hyperlink>
      <w:r>
        <w:rPr>
          <w:sz w:val="18"/>
          <w:vertAlign w:val="baseline"/>
        </w:rPr>
        <w:t> </w:t>
      </w:r>
      <w:r>
        <w:rPr>
          <w:spacing w:val="-2"/>
          <w:sz w:val="18"/>
          <w:vertAlign w:val="baseline"/>
        </w:rPr>
        <w:t>immigration-enforcement.</w:t>
      </w:r>
    </w:p>
    <w:p>
      <w:pPr>
        <w:spacing w:before="0"/>
        <w:ind w:left="463" w:right="749" w:hanging="1"/>
        <w:jc w:val="left"/>
        <w:rPr>
          <w:sz w:val="18"/>
        </w:rPr>
      </w:pPr>
      <w:r>
        <w:rPr>
          <w:sz w:val="18"/>
          <w:vertAlign w:val="superscript"/>
        </w:rPr>
        <w:t>49</w:t>
      </w:r>
      <w:r>
        <w:rPr>
          <w:spacing w:val="-13"/>
          <w:sz w:val="18"/>
          <w:vertAlign w:val="baseline"/>
        </w:rPr>
        <w:t> </w:t>
      </w:r>
      <w:r>
        <w:rPr>
          <w:sz w:val="18"/>
          <w:vertAlign w:val="baseline"/>
        </w:rPr>
        <w:t>KFF,</w:t>
      </w:r>
      <w:r>
        <w:rPr>
          <w:spacing w:val="-6"/>
          <w:sz w:val="18"/>
          <w:vertAlign w:val="baseline"/>
        </w:rPr>
        <w:t> </w:t>
      </w:r>
      <w:r>
        <w:rPr>
          <w:sz w:val="18"/>
          <w:vertAlign w:val="baseline"/>
        </w:rPr>
        <w:t>“Health</w:t>
      </w:r>
      <w:r>
        <w:rPr>
          <w:spacing w:val="-3"/>
          <w:sz w:val="18"/>
          <w:vertAlign w:val="baseline"/>
        </w:rPr>
        <w:t> </w:t>
      </w:r>
      <w:r>
        <w:rPr>
          <w:sz w:val="18"/>
          <w:vertAlign w:val="baseline"/>
        </w:rPr>
        <w:t>Coverage</w:t>
      </w:r>
      <w:r>
        <w:rPr>
          <w:spacing w:val="-3"/>
          <w:sz w:val="18"/>
          <w:vertAlign w:val="baseline"/>
        </w:rPr>
        <w:t> </w:t>
      </w:r>
      <w:r>
        <w:rPr>
          <w:sz w:val="18"/>
          <w:vertAlign w:val="baseline"/>
        </w:rPr>
        <w:t>and</w:t>
      </w:r>
      <w:r>
        <w:rPr>
          <w:spacing w:val="-3"/>
          <w:sz w:val="18"/>
          <w:vertAlign w:val="baseline"/>
        </w:rPr>
        <w:t> </w:t>
      </w:r>
      <w:r>
        <w:rPr>
          <w:sz w:val="18"/>
          <w:vertAlign w:val="baseline"/>
        </w:rPr>
        <w:t>Care</w:t>
      </w:r>
      <w:r>
        <w:rPr>
          <w:spacing w:val="-3"/>
          <w:sz w:val="18"/>
          <w:vertAlign w:val="baseline"/>
        </w:rPr>
        <w:t> </w:t>
      </w:r>
      <w:r>
        <w:rPr>
          <w:sz w:val="18"/>
          <w:vertAlign w:val="baseline"/>
        </w:rPr>
        <w:t>of</w:t>
      </w:r>
      <w:r>
        <w:rPr>
          <w:spacing w:val="-3"/>
          <w:sz w:val="18"/>
          <w:vertAlign w:val="baseline"/>
        </w:rPr>
        <w:t> </w:t>
      </w:r>
      <w:r>
        <w:rPr>
          <w:sz w:val="18"/>
          <w:vertAlign w:val="baseline"/>
        </w:rPr>
        <w:t>Immigrants,”</w:t>
      </w:r>
      <w:r>
        <w:rPr>
          <w:spacing w:val="-3"/>
          <w:sz w:val="18"/>
          <w:vertAlign w:val="baseline"/>
        </w:rPr>
        <w:t> </w:t>
      </w:r>
      <w:r>
        <w:rPr>
          <w:i/>
          <w:sz w:val="18"/>
          <w:vertAlign w:val="baseline"/>
        </w:rPr>
        <w:t>KFF</w:t>
      </w:r>
      <w:r>
        <w:rPr>
          <w:i/>
          <w:spacing w:val="-4"/>
          <w:sz w:val="18"/>
          <w:vertAlign w:val="baseline"/>
        </w:rPr>
        <w:t> </w:t>
      </w:r>
      <w:r>
        <w:rPr>
          <w:sz w:val="18"/>
          <w:vertAlign w:val="baseline"/>
        </w:rPr>
        <w:t>(blog),</w:t>
      </w:r>
      <w:r>
        <w:rPr>
          <w:spacing w:val="-4"/>
          <w:sz w:val="18"/>
          <w:vertAlign w:val="baseline"/>
        </w:rPr>
        <w:t> </w:t>
      </w:r>
      <w:r>
        <w:rPr>
          <w:sz w:val="18"/>
          <w:vertAlign w:val="baseline"/>
        </w:rPr>
        <w:t>December</w:t>
      </w:r>
      <w:r>
        <w:rPr>
          <w:spacing w:val="-4"/>
          <w:sz w:val="18"/>
          <w:vertAlign w:val="baseline"/>
        </w:rPr>
        <w:t> </w:t>
      </w:r>
      <w:r>
        <w:rPr>
          <w:sz w:val="18"/>
          <w:vertAlign w:val="baseline"/>
        </w:rPr>
        <w:t>20,</w:t>
      </w:r>
      <w:r>
        <w:rPr>
          <w:spacing w:val="-4"/>
          <w:sz w:val="18"/>
          <w:vertAlign w:val="baseline"/>
        </w:rPr>
        <w:t> </w:t>
      </w:r>
      <w:r>
        <w:rPr>
          <w:sz w:val="18"/>
          <w:vertAlign w:val="baseline"/>
        </w:rPr>
        <w:t>2022,</w:t>
      </w:r>
      <w:r>
        <w:rPr>
          <w:spacing w:val="-4"/>
          <w:sz w:val="18"/>
          <w:vertAlign w:val="baseline"/>
        </w:rPr>
        <w:t> </w:t>
      </w:r>
      <w:r>
        <w:rPr>
          <w:sz w:val="18"/>
          <w:vertAlign w:val="baseline"/>
        </w:rPr>
        <w:t>https://</w:t>
      </w:r>
      <w:hyperlink r:id="rId600">
        <w:r>
          <w:rPr>
            <w:sz w:val="18"/>
            <w:vertAlign w:val="baseline"/>
          </w:rPr>
          <w:t>www.kff.org/racial-equity-and-</w:t>
        </w:r>
      </w:hyperlink>
      <w:r>
        <w:rPr>
          <w:sz w:val="18"/>
          <w:vertAlign w:val="baseline"/>
        </w:rPr>
        <w:t> </w:t>
      </w:r>
      <w:r>
        <w:rPr>
          <w:spacing w:val="-2"/>
          <w:sz w:val="18"/>
          <w:vertAlign w:val="baseline"/>
        </w:rPr>
        <w:t>health-policy/fact-sheet/health-coverage-and-care-of-immigrants/.</w:t>
      </w:r>
    </w:p>
    <w:p>
      <w:pPr>
        <w:spacing w:line="219" w:lineRule="exact" w:before="0"/>
        <w:ind w:left="463" w:right="0" w:firstLine="0"/>
        <w:jc w:val="left"/>
        <w:rPr>
          <w:sz w:val="18"/>
        </w:rPr>
      </w:pPr>
      <w:r>
        <w:rPr>
          <w:sz w:val="18"/>
          <w:vertAlign w:val="superscript"/>
        </w:rPr>
        <w:t>50</w:t>
      </w:r>
      <w:r>
        <w:rPr>
          <w:spacing w:val="-15"/>
          <w:sz w:val="18"/>
          <w:vertAlign w:val="baseline"/>
        </w:rPr>
        <w:t> </w:t>
      </w:r>
      <w:r>
        <w:rPr>
          <w:sz w:val="18"/>
          <w:vertAlign w:val="baseline"/>
        </w:rPr>
        <w:t>Chavez,</w:t>
      </w:r>
      <w:r>
        <w:rPr>
          <w:spacing w:val="-5"/>
          <w:sz w:val="18"/>
          <w:vertAlign w:val="baseline"/>
        </w:rPr>
        <w:t> </w:t>
      </w:r>
      <w:r>
        <w:rPr>
          <w:sz w:val="18"/>
          <w:vertAlign w:val="baseline"/>
        </w:rPr>
        <w:t>“Identifying</w:t>
      </w:r>
      <w:r>
        <w:rPr>
          <w:spacing w:val="-2"/>
          <w:sz w:val="18"/>
          <w:vertAlign w:val="baseline"/>
        </w:rPr>
        <w:t> </w:t>
      </w:r>
      <w:r>
        <w:rPr>
          <w:sz w:val="18"/>
          <w:vertAlign w:val="baseline"/>
        </w:rPr>
        <w:t>the</w:t>
      </w:r>
      <w:r>
        <w:rPr>
          <w:spacing w:val="-2"/>
          <w:sz w:val="18"/>
          <w:vertAlign w:val="baseline"/>
        </w:rPr>
        <w:t> </w:t>
      </w:r>
      <w:r>
        <w:rPr>
          <w:sz w:val="18"/>
          <w:vertAlign w:val="baseline"/>
        </w:rPr>
        <w:t>Needs</w:t>
      </w:r>
      <w:r>
        <w:rPr>
          <w:spacing w:val="-3"/>
          <w:sz w:val="18"/>
          <w:vertAlign w:val="baseline"/>
        </w:rPr>
        <w:t> </w:t>
      </w:r>
      <w:r>
        <w:rPr>
          <w:sz w:val="18"/>
          <w:vertAlign w:val="baseline"/>
        </w:rPr>
        <w:t>of</w:t>
      </w:r>
      <w:r>
        <w:rPr>
          <w:spacing w:val="-3"/>
          <w:sz w:val="18"/>
          <w:vertAlign w:val="baseline"/>
        </w:rPr>
        <w:t> </w:t>
      </w:r>
      <w:r>
        <w:rPr>
          <w:sz w:val="18"/>
          <w:vertAlign w:val="baseline"/>
        </w:rPr>
        <w:t>LGBTQ</w:t>
      </w:r>
      <w:r>
        <w:rPr>
          <w:spacing w:val="-2"/>
          <w:sz w:val="18"/>
          <w:vertAlign w:val="baseline"/>
        </w:rPr>
        <w:t> </w:t>
      </w:r>
      <w:r>
        <w:rPr>
          <w:sz w:val="18"/>
          <w:vertAlign w:val="baseline"/>
        </w:rPr>
        <w:t>Immigrants</w:t>
      </w:r>
      <w:r>
        <w:rPr>
          <w:spacing w:val="-2"/>
          <w:sz w:val="18"/>
          <w:vertAlign w:val="baseline"/>
        </w:rPr>
        <w:t> </w:t>
      </w:r>
      <w:r>
        <w:rPr>
          <w:sz w:val="18"/>
          <w:vertAlign w:val="baseline"/>
        </w:rPr>
        <w:t>and</w:t>
      </w:r>
      <w:r>
        <w:rPr>
          <w:spacing w:val="-2"/>
          <w:sz w:val="18"/>
          <w:vertAlign w:val="baseline"/>
        </w:rPr>
        <w:t> </w:t>
      </w:r>
      <w:r>
        <w:rPr>
          <w:sz w:val="18"/>
          <w:vertAlign w:val="baseline"/>
        </w:rPr>
        <w:t>Refugees</w:t>
      </w:r>
      <w:r>
        <w:rPr>
          <w:spacing w:val="-2"/>
          <w:sz w:val="18"/>
          <w:vertAlign w:val="baseline"/>
        </w:rPr>
        <w:t> </w:t>
      </w:r>
      <w:r>
        <w:rPr>
          <w:sz w:val="18"/>
          <w:vertAlign w:val="baseline"/>
        </w:rPr>
        <w:t>in</w:t>
      </w:r>
      <w:r>
        <w:rPr>
          <w:spacing w:val="-2"/>
          <w:sz w:val="18"/>
          <w:vertAlign w:val="baseline"/>
        </w:rPr>
        <w:t> </w:t>
      </w:r>
      <w:r>
        <w:rPr>
          <w:sz w:val="18"/>
          <w:vertAlign w:val="baseline"/>
        </w:rPr>
        <w:t>Southern</w:t>
      </w:r>
      <w:r>
        <w:rPr>
          <w:spacing w:val="-3"/>
          <w:sz w:val="18"/>
          <w:vertAlign w:val="baseline"/>
        </w:rPr>
        <w:t> </w:t>
      </w:r>
      <w:r>
        <w:rPr>
          <w:spacing w:val="-2"/>
          <w:sz w:val="18"/>
          <w:vertAlign w:val="baseline"/>
        </w:rPr>
        <w:t>Arizona.”</w:t>
      </w:r>
    </w:p>
    <w:p>
      <w:pPr>
        <w:spacing w:before="0"/>
        <w:ind w:left="463" w:right="0" w:firstLine="0"/>
        <w:jc w:val="left"/>
        <w:rPr>
          <w:sz w:val="18"/>
        </w:rPr>
      </w:pPr>
      <w:r>
        <w:rPr>
          <w:sz w:val="18"/>
          <w:vertAlign w:val="superscript"/>
        </w:rPr>
        <w:t>51</w:t>
      </w:r>
      <w:r>
        <w:rPr>
          <w:spacing w:val="-15"/>
          <w:sz w:val="18"/>
          <w:vertAlign w:val="baseline"/>
        </w:rPr>
        <w:t> </w:t>
      </w:r>
      <w:r>
        <w:rPr>
          <w:sz w:val="18"/>
          <w:vertAlign w:val="baseline"/>
        </w:rPr>
        <w:t>“Information</w:t>
      </w:r>
      <w:r>
        <w:rPr>
          <w:spacing w:val="-5"/>
          <w:sz w:val="18"/>
          <w:vertAlign w:val="baseline"/>
        </w:rPr>
        <w:t> </w:t>
      </w:r>
      <w:r>
        <w:rPr>
          <w:sz w:val="18"/>
          <w:vertAlign w:val="baseline"/>
        </w:rPr>
        <w:t>for</w:t>
      </w:r>
      <w:r>
        <w:rPr>
          <w:spacing w:val="-3"/>
          <w:sz w:val="18"/>
          <w:vertAlign w:val="baseline"/>
        </w:rPr>
        <w:t> </w:t>
      </w:r>
      <w:r>
        <w:rPr>
          <w:sz w:val="18"/>
          <w:vertAlign w:val="baseline"/>
        </w:rPr>
        <w:t>Immigrant</w:t>
      </w:r>
      <w:r>
        <w:rPr>
          <w:spacing w:val="-4"/>
          <w:sz w:val="18"/>
          <w:vertAlign w:val="baseline"/>
        </w:rPr>
        <w:t> </w:t>
      </w:r>
      <w:r>
        <w:rPr>
          <w:sz w:val="18"/>
          <w:vertAlign w:val="baseline"/>
        </w:rPr>
        <w:t>Patients</w:t>
      </w:r>
      <w:r>
        <w:rPr>
          <w:spacing w:val="-2"/>
          <w:sz w:val="18"/>
          <w:vertAlign w:val="baseline"/>
        </w:rPr>
        <w:t> </w:t>
      </w:r>
      <w:r>
        <w:rPr>
          <w:sz w:val="18"/>
          <w:vertAlign w:val="baseline"/>
        </w:rPr>
        <w:t>and</w:t>
      </w:r>
      <w:r>
        <w:rPr>
          <w:spacing w:val="-3"/>
          <w:sz w:val="18"/>
          <w:vertAlign w:val="baseline"/>
        </w:rPr>
        <w:t> </w:t>
      </w:r>
      <w:r>
        <w:rPr>
          <w:sz w:val="18"/>
          <w:vertAlign w:val="baseline"/>
        </w:rPr>
        <w:t>Their</w:t>
      </w:r>
      <w:r>
        <w:rPr>
          <w:spacing w:val="-4"/>
          <w:sz w:val="18"/>
          <w:vertAlign w:val="baseline"/>
        </w:rPr>
        <w:t> </w:t>
      </w:r>
      <w:r>
        <w:rPr>
          <w:sz w:val="18"/>
          <w:vertAlign w:val="baseline"/>
        </w:rPr>
        <w:t>Health</w:t>
      </w:r>
      <w:r>
        <w:rPr>
          <w:spacing w:val="-3"/>
          <w:sz w:val="18"/>
          <w:vertAlign w:val="baseline"/>
        </w:rPr>
        <w:t> </w:t>
      </w:r>
      <w:r>
        <w:rPr>
          <w:sz w:val="18"/>
          <w:vertAlign w:val="baseline"/>
        </w:rPr>
        <w:t>Care</w:t>
      </w:r>
      <w:r>
        <w:rPr>
          <w:spacing w:val="-3"/>
          <w:sz w:val="18"/>
          <w:vertAlign w:val="baseline"/>
        </w:rPr>
        <w:t> </w:t>
      </w:r>
      <w:r>
        <w:rPr>
          <w:sz w:val="18"/>
          <w:vertAlign w:val="baseline"/>
        </w:rPr>
        <w:t>Providers</w:t>
      </w:r>
      <w:r>
        <w:rPr>
          <w:spacing w:val="-2"/>
          <w:sz w:val="18"/>
          <w:vertAlign w:val="baseline"/>
        </w:rPr>
        <w:t> </w:t>
      </w:r>
      <w:r>
        <w:rPr>
          <w:sz w:val="18"/>
          <w:vertAlign w:val="baseline"/>
        </w:rPr>
        <w:t>on</w:t>
      </w:r>
      <w:r>
        <w:rPr>
          <w:spacing w:val="-3"/>
          <w:sz w:val="18"/>
          <w:vertAlign w:val="baseline"/>
        </w:rPr>
        <w:t> </w:t>
      </w:r>
      <w:r>
        <w:rPr>
          <w:sz w:val="18"/>
          <w:vertAlign w:val="baseline"/>
        </w:rPr>
        <w:t>Immigration</w:t>
      </w:r>
      <w:r>
        <w:rPr>
          <w:spacing w:val="-2"/>
          <w:sz w:val="18"/>
          <w:vertAlign w:val="baseline"/>
        </w:rPr>
        <w:t> </w:t>
      </w:r>
      <w:r>
        <w:rPr>
          <w:sz w:val="18"/>
          <w:vertAlign w:val="baseline"/>
        </w:rPr>
        <w:t>Enforcement</w:t>
      </w:r>
      <w:r>
        <w:rPr>
          <w:spacing w:val="-4"/>
          <w:sz w:val="18"/>
          <w:vertAlign w:val="baseline"/>
        </w:rPr>
        <w:t> </w:t>
      </w:r>
      <w:r>
        <w:rPr>
          <w:sz w:val="18"/>
          <w:vertAlign w:val="baseline"/>
        </w:rPr>
        <w:t>|</w:t>
      </w:r>
      <w:r>
        <w:rPr>
          <w:spacing w:val="-2"/>
          <w:sz w:val="18"/>
          <w:vertAlign w:val="baseline"/>
        </w:rPr>
        <w:t> Mass.Gov.”</w:t>
      </w:r>
    </w:p>
    <w:p>
      <w:pPr>
        <w:spacing w:before="0"/>
        <w:ind w:left="463" w:right="0" w:firstLine="0"/>
        <w:jc w:val="left"/>
        <w:rPr>
          <w:sz w:val="18"/>
        </w:rPr>
      </w:pPr>
      <w:r>
        <w:rPr>
          <w:sz w:val="18"/>
          <w:vertAlign w:val="superscript"/>
        </w:rPr>
        <w:t>52</w:t>
      </w:r>
      <w:r>
        <w:rPr>
          <w:spacing w:val="-15"/>
          <w:sz w:val="18"/>
          <w:vertAlign w:val="baseline"/>
        </w:rPr>
        <w:t> </w:t>
      </w:r>
      <w:r>
        <w:rPr>
          <w:sz w:val="18"/>
          <w:vertAlign w:val="baseline"/>
        </w:rPr>
        <w:t>Gruberg,</w:t>
      </w:r>
      <w:r>
        <w:rPr>
          <w:spacing w:val="-6"/>
          <w:sz w:val="18"/>
          <w:vertAlign w:val="baseline"/>
        </w:rPr>
        <w:t> </w:t>
      </w:r>
      <w:r>
        <w:rPr>
          <w:sz w:val="18"/>
          <w:vertAlign w:val="baseline"/>
        </w:rPr>
        <w:t>Rooney,</w:t>
      </w:r>
      <w:r>
        <w:rPr>
          <w:spacing w:val="-4"/>
          <w:sz w:val="18"/>
          <w:vertAlign w:val="baseline"/>
        </w:rPr>
        <w:t> </w:t>
      </w:r>
      <w:r>
        <w:rPr>
          <w:sz w:val="18"/>
          <w:vertAlign w:val="baseline"/>
        </w:rPr>
        <w:t>and</w:t>
      </w:r>
      <w:r>
        <w:rPr>
          <w:spacing w:val="-2"/>
          <w:sz w:val="18"/>
          <w:vertAlign w:val="baseline"/>
        </w:rPr>
        <w:t> </w:t>
      </w:r>
      <w:r>
        <w:rPr>
          <w:sz w:val="18"/>
          <w:vertAlign w:val="baseline"/>
        </w:rPr>
        <w:t>McGovern,</w:t>
      </w:r>
      <w:r>
        <w:rPr>
          <w:spacing w:val="-4"/>
          <w:sz w:val="18"/>
          <w:vertAlign w:val="baseline"/>
        </w:rPr>
        <w:t> </w:t>
      </w:r>
      <w:r>
        <w:rPr>
          <w:sz w:val="18"/>
          <w:vertAlign w:val="baseline"/>
        </w:rPr>
        <w:t>“Serving</w:t>
      </w:r>
      <w:r>
        <w:rPr>
          <w:spacing w:val="-3"/>
          <w:sz w:val="18"/>
          <w:vertAlign w:val="baseline"/>
        </w:rPr>
        <w:t> </w:t>
      </w:r>
      <w:r>
        <w:rPr>
          <w:sz w:val="18"/>
          <w:vertAlign w:val="baseline"/>
        </w:rPr>
        <w:t>LGBTQ</w:t>
      </w:r>
      <w:r>
        <w:rPr>
          <w:spacing w:val="-3"/>
          <w:sz w:val="18"/>
          <w:vertAlign w:val="baseline"/>
        </w:rPr>
        <w:t> </w:t>
      </w:r>
      <w:r>
        <w:rPr>
          <w:sz w:val="18"/>
          <w:vertAlign w:val="baseline"/>
        </w:rPr>
        <w:t>Immigrants</w:t>
      </w:r>
      <w:r>
        <w:rPr>
          <w:spacing w:val="-2"/>
          <w:sz w:val="18"/>
          <w:vertAlign w:val="baseline"/>
        </w:rPr>
        <w:t> </w:t>
      </w:r>
      <w:r>
        <w:rPr>
          <w:sz w:val="18"/>
          <w:vertAlign w:val="baseline"/>
        </w:rPr>
        <w:t>and</w:t>
      </w:r>
      <w:r>
        <w:rPr>
          <w:spacing w:val="-3"/>
          <w:sz w:val="18"/>
          <w:vertAlign w:val="baseline"/>
        </w:rPr>
        <w:t> </w:t>
      </w:r>
      <w:r>
        <w:rPr>
          <w:sz w:val="18"/>
          <w:vertAlign w:val="baseline"/>
        </w:rPr>
        <w:t>Building</w:t>
      </w:r>
      <w:r>
        <w:rPr>
          <w:spacing w:val="-3"/>
          <w:sz w:val="18"/>
          <w:vertAlign w:val="baseline"/>
        </w:rPr>
        <w:t> </w:t>
      </w:r>
      <w:r>
        <w:rPr>
          <w:sz w:val="18"/>
          <w:vertAlign w:val="baseline"/>
        </w:rPr>
        <w:t>Welcoming</w:t>
      </w:r>
      <w:r>
        <w:rPr>
          <w:spacing w:val="-2"/>
          <w:sz w:val="18"/>
          <w:vertAlign w:val="baseline"/>
        </w:rPr>
        <w:t> Communities.”</w:t>
      </w:r>
    </w:p>
    <w:p>
      <w:pPr>
        <w:spacing w:before="1"/>
        <w:ind w:left="463" w:right="366" w:firstLine="0"/>
        <w:jc w:val="left"/>
        <w:rPr>
          <w:sz w:val="18"/>
        </w:rPr>
      </w:pPr>
      <w:r>
        <w:rPr>
          <w:sz w:val="18"/>
          <w:vertAlign w:val="superscript"/>
        </w:rPr>
        <w:t>53</w:t>
      </w:r>
      <w:r>
        <w:rPr>
          <w:spacing w:val="-14"/>
          <w:sz w:val="18"/>
          <w:vertAlign w:val="baseline"/>
        </w:rPr>
        <w:t> </w:t>
      </w:r>
      <w:r>
        <w:rPr>
          <w:sz w:val="18"/>
          <w:vertAlign w:val="baseline"/>
        </w:rPr>
        <w:t>Peter</w:t>
      </w:r>
      <w:r>
        <w:rPr>
          <w:spacing w:val="-5"/>
          <w:sz w:val="18"/>
          <w:vertAlign w:val="baseline"/>
        </w:rPr>
        <w:t> </w:t>
      </w:r>
      <w:r>
        <w:rPr>
          <w:sz w:val="18"/>
          <w:vertAlign w:val="baseline"/>
        </w:rPr>
        <w:t>Markowitz</w:t>
      </w:r>
      <w:r>
        <w:rPr>
          <w:spacing w:val="-3"/>
          <w:sz w:val="18"/>
          <w:vertAlign w:val="baseline"/>
        </w:rPr>
        <w:t> </w:t>
      </w:r>
      <w:r>
        <w:rPr>
          <w:sz w:val="18"/>
          <w:vertAlign w:val="baseline"/>
        </w:rPr>
        <w:t>et</w:t>
      </w:r>
      <w:r>
        <w:rPr>
          <w:spacing w:val="-3"/>
          <w:sz w:val="18"/>
          <w:vertAlign w:val="baseline"/>
        </w:rPr>
        <w:t> </w:t>
      </w:r>
      <w:r>
        <w:rPr>
          <w:sz w:val="18"/>
          <w:vertAlign w:val="baseline"/>
        </w:rPr>
        <w:t>al.,</w:t>
      </w:r>
      <w:r>
        <w:rPr>
          <w:spacing w:val="-3"/>
          <w:sz w:val="18"/>
          <w:vertAlign w:val="baseline"/>
        </w:rPr>
        <w:t> </w:t>
      </w:r>
      <w:r>
        <w:rPr>
          <w:sz w:val="18"/>
          <w:vertAlign w:val="baseline"/>
        </w:rPr>
        <w:t>“Accessing</w:t>
      </w:r>
      <w:r>
        <w:rPr>
          <w:spacing w:val="-2"/>
          <w:sz w:val="18"/>
          <w:vertAlign w:val="baseline"/>
        </w:rPr>
        <w:t> </w:t>
      </w:r>
      <w:r>
        <w:rPr>
          <w:sz w:val="18"/>
          <w:vertAlign w:val="baseline"/>
        </w:rPr>
        <w:t>Justice:</w:t>
      </w:r>
      <w:r>
        <w:rPr>
          <w:spacing w:val="-2"/>
          <w:sz w:val="18"/>
          <w:vertAlign w:val="baseline"/>
        </w:rPr>
        <w:t> </w:t>
      </w:r>
      <w:r>
        <w:rPr>
          <w:sz w:val="18"/>
          <w:vertAlign w:val="baseline"/>
        </w:rPr>
        <w:t>The</w:t>
      </w:r>
      <w:r>
        <w:rPr>
          <w:spacing w:val="-3"/>
          <w:sz w:val="18"/>
          <w:vertAlign w:val="baseline"/>
        </w:rPr>
        <w:t> </w:t>
      </w:r>
      <w:r>
        <w:rPr>
          <w:sz w:val="18"/>
          <w:vertAlign w:val="baseline"/>
        </w:rPr>
        <w:t>Available</w:t>
      </w:r>
      <w:r>
        <w:rPr>
          <w:spacing w:val="-2"/>
          <w:sz w:val="18"/>
          <w:vertAlign w:val="baseline"/>
        </w:rPr>
        <w:t> </w:t>
      </w:r>
      <w:r>
        <w:rPr>
          <w:sz w:val="18"/>
          <w:vertAlign w:val="baseline"/>
        </w:rPr>
        <w:t>and</w:t>
      </w:r>
      <w:r>
        <w:rPr>
          <w:spacing w:val="-2"/>
          <w:sz w:val="18"/>
          <w:vertAlign w:val="baseline"/>
        </w:rPr>
        <w:t> </w:t>
      </w:r>
      <w:r>
        <w:rPr>
          <w:sz w:val="18"/>
          <w:vertAlign w:val="baseline"/>
        </w:rPr>
        <w:t>Adequacy</w:t>
      </w:r>
      <w:r>
        <w:rPr>
          <w:spacing w:val="-2"/>
          <w:sz w:val="18"/>
          <w:vertAlign w:val="baseline"/>
        </w:rPr>
        <w:t> </w:t>
      </w:r>
      <w:r>
        <w:rPr>
          <w:sz w:val="18"/>
          <w:vertAlign w:val="baseline"/>
        </w:rPr>
        <w:t>of</w:t>
      </w:r>
      <w:r>
        <w:rPr>
          <w:spacing w:val="-2"/>
          <w:sz w:val="18"/>
          <w:vertAlign w:val="baseline"/>
        </w:rPr>
        <w:t> </w:t>
      </w:r>
      <w:r>
        <w:rPr>
          <w:sz w:val="18"/>
          <w:vertAlign w:val="baseline"/>
        </w:rPr>
        <w:t>Counsel</w:t>
      </w:r>
      <w:r>
        <w:rPr>
          <w:spacing w:val="-3"/>
          <w:sz w:val="18"/>
          <w:vertAlign w:val="baseline"/>
        </w:rPr>
        <w:t> </w:t>
      </w:r>
      <w:r>
        <w:rPr>
          <w:sz w:val="18"/>
          <w:vertAlign w:val="baseline"/>
        </w:rPr>
        <w:t>in</w:t>
      </w:r>
      <w:r>
        <w:rPr>
          <w:spacing w:val="-2"/>
          <w:sz w:val="18"/>
          <w:vertAlign w:val="baseline"/>
        </w:rPr>
        <w:t> </w:t>
      </w:r>
      <w:r>
        <w:rPr>
          <w:sz w:val="18"/>
          <w:vertAlign w:val="baseline"/>
        </w:rPr>
        <w:t>Removal</w:t>
      </w:r>
      <w:r>
        <w:rPr>
          <w:spacing w:val="-3"/>
          <w:sz w:val="18"/>
          <w:vertAlign w:val="baseline"/>
        </w:rPr>
        <w:t> </w:t>
      </w:r>
      <w:r>
        <w:rPr>
          <w:sz w:val="18"/>
          <w:vertAlign w:val="baseline"/>
        </w:rPr>
        <w:t>Proceedings,”</w:t>
      </w:r>
      <w:r>
        <w:rPr>
          <w:spacing w:val="-2"/>
          <w:sz w:val="18"/>
          <w:vertAlign w:val="baseline"/>
        </w:rPr>
        <w:t> </w:t>
      </w:r>
      <w:r>
        <w:rPr>
          <w:i/>
          <w:sz w:val="18"/>
          <w:vertAlign w:val="baseline"/>
        </w:rPr>
        <w:t>Cardozo</w:t>
      </w:r>
      <w:r>
        <w:rPr>
          <w:i/>
          <w:spacing w:val="-2"/>
          <w:sz w:val="18"/>
          <w:vertAlign w:val="baseline"/>
        </w:rPr>
        <w:t> </w:t>
      </w:r>
      <w:r>
        <w:rPr>
          <w:i/>
          <w:sz w:val="18"/>
          <w:vertAlign w:val="baseline"/>
        </w:rPr>
        <w:t>Law</w:t>
      </w:r>
      <w:r>
        <w:rPr>
          <w:i/>
          <w:sz w:val="18"/>
          <w:vertAlign w:val="baseline"/>
        </w:rPr>
        <w:t> Review </w:t>
      </w:r>
      <w:r>
        <w:rPr>
          <w:sz w:val="18"/>
          <w:vertAlign w:val="baseline"/>
        </w:rPr>
        <w:t>33 (December 1, 2011): 357.</w:t>
      </w:r>
    </w:p>
    <w:p>
      <w:pPr>
        <w:spacing w:before="0"/>
        <w:ind w:left="463" w:right="1787" w:hanging="1"/>
        <w:jc w:val="left"/>
        <w:rPr>
          <w:sz w:val="18"/>
        </w:rPr>
      </w:pPr>
      <w:r>
        <w:rPr>
          <w:sz w:val="18"/>
          <w:vertAlign w:val="superscript"/>
        </w:rPr>
        <w:t>54</w:t>
      </w:r>
      <w:r>
        <w:rPr>
          <w:spacing w:val="-13"/>
          <w:sz w:val="18"/>
          <w:vertAlign w:val="baseline"/>
        </w:rPr>
        <w:t> </w:t>
      </w:r>
      <w:r>
        <w:rPr>
          <w:sz w:val="18"/>
          <w:vertAlign w:val="baseline"/>
        </w:rPr>
        <w:t>Trevor</w:t>
      </w:r>
      <w:r>
        <w:rPr>
          <w:spacing w:val="-5"/>
          <w:sz w:val="18"/>
          <w:vertAlign w:val="baseline"/>
        </w:rPr>
        <w:t> </w:t>
      </w:r>
      <w:r>
        <w:rPr>
          <w:sz w:val="18"/>
          <w:vertAlign w:val="baseline"/>
        </w:rPr>
        <w:t>Mattos,</w:t>
      </w:r>
      <w:r>
        <w:rPr>
          <w:spacing w:val="-4"/>
          <w:sz w:val="18"/>
          <w:vertAlign w:val="baseline"/>
        </w:rPr>
        <w:t> </w:t>
      </w:r>
      <w:r>
        <w:rPr>
          <w:sz w:val="18"/>
          <w:vertAlign w:val="baseline"/>
        </w:rPr>
        <w:t>Andre</w:t>
      </w:r>
      <w:r>
        <w:rPr>
          <w:spacing w:val="-3"/>
          <w:sz w:val="18"/>
          <w:vertAlign w:val="baseline"/>
        </w:rPr>
        <w:t> </w:t>
      </w:r>
      <w:r>
        <w:rPr>
          <w:sz w:val="18"/>
          <w:vertAlign w:val="baseline"/>
        </w:rPr>
        <w:t>Lima,</w:t>
      </w:r>
      <w:r>
        <w:rPr>
          <w:spacing w:val="-4"/>
          <w:sz w:val="18"/>
          <w:vertAlign w:val="baseline"/>
        </w:rPr>
        <w:t> </w:t>
      </w:r>
      <w:r>
        <w:rPr>
          <w:sz w:val="18"/>
          <w:vertAlign w:val="baseline"/>
        </w:rPr>
        <w:t>and</w:t>
      </w:r>
      <w:r>
        <w:rPr>
          <w:spacing w:val="-3"/>
          <w:sz w:val="18"/>
          <w:vertAlign w:val="baseline"/>
        </w:rPr>
        <w:t> </w:t>
      </w:r>
      <w:r>
        <w:rPr>
          <w:sz w:val="18"/>
          <w:vertAlign w:val="baseline"/>
        </w:rPr>
        <w:t>Peter</w:t>
      </w:r>
      <w:r>
        <w:rPr>
          <w:spacing w:val="-4"/>
          <w:sz w:val="18"/>
          <w:vertAlign w:val="baseline"/>
        </w:rPr>
        <w:t> </w:t>
      </w:r>
      <w:r>
        <w:rPr>
          <w:sz w:val="18"/>
          <w:vertAlign w:val="baseline"/>
        </w:rPr>
        <w:t>Ciurczak,</w:t>
      </w:r>
      <w:r>
        <w:rPr>
          <w:spacing w:val="-3"/>
          <w:sz w:val="18"/>
          <w:vertAlign w:val="baseline"/>
        </w:rPr>
        <w:t> </w:t>
      </w:r>
      <w:r>
        <w:rPr>
          <w:sz w:val="18"/>
          <w:vertAlign w:val="baseline"/>
        </w:rPr>
        <w:t>“Growing</w:t>
      </w:r>
      <w:r>
        <w:rPr>
          <w:spacing w:val="-3"/>
          <w:sz w:val="18"/>
          <w:vertAlign w:val="baseline"/>
        </w:rPr>
        <w:t> </w:t>
      </w:r>
      <w:r>
        <w:rPr>
          <w:sz w:val="18"/>
          <w:vertAlign w:val="baseline"/>
        </w:rPr>
        <w:t>Wave</w:t>
      </w:r>
      <w:r>
        <w:rPr>
          <w:spacing w:val="-4"/>
          <w:sz w:val="18"/>
          <w:vertAlign w:val="baseline"/>
        </w:rPr>
        <w:t> </w:t>
      </w:r>
      <w:r>
        <w:rPr>
          <w:sz w:val="18"/>
          <w:vertAlign w:val="baseline"/>
        </w:rPr>
        <w:t>of</w:t>
      </w:r>
      <w:r>
        <w:rPr>
          <w:spacing w:val="-3"/>
          <w:sz w:val="18"/>
          <w:vertAlign w:val="baseline"/>
        </w:rPr>
        <w:t> </w:t>
      </w:r>
      <w:r>
        <w:rPr>
          <w:sz w:val="18"/>
          <w:vertAlign w:val="baseline"/>
        </w:rPr>
        <w:t>Restrictions,”</w:t>
      </w:r>
      <w:r>
        <w:rPr>
          <w:spacing w:val="-3"/>
          <w:sz w:val="18"/>
          <w:vertAlign w:val="baseline"/>
        </w:rPr>
        <w:t> </w:t>
      </w:r>
      <w:r>
        <w:rPr>
          <w:sz w:val="18"/>
          <w:vertAlign w:val="baseline"/>
        </w:rPr>
        <w:t>Boston</w:t>
      </w:r>
      <w:r>
        <w:rPr>
          <w:spacing w:val="-3"/>
          <w:sz w:val="18"/>
          <w:vertAlign w:val="baseline"/>
        </w:rPr>
        <w:t> </w:t>
      </w:r>
      <w:r>
        <w:rPr>
          <w:sz w:val="18"/>
          <w:vertAlign w:val="baseline"/>
        </w:rPr>
        <w:t>Indicators,</w:t>
      </w:r>
      <w:r>
        <w:rPr>
          <w:spacing w:val="-4"/>
          <w:sz w:val="18"/>
          <w:vertAlign w:val="baseline"/>
        </w:rPr>
        <w:t> </w:t>
      </w:r>
      <w:r>
        <w:rPr>
          <w:sz w:val="18"/>
          <w:vertAlign w:val="baseline"/>
        </w:rPr>
        <w:t>2019, </w:t>
      </w:r>
      <w:r>
        <w:rPr>
          <w:spacing w:val="-2"/>
          <w:sz w:val="18"/>
          <w:vertAlign w:val="baseline"/>
        </w:rPr>
        <w:t>https://</w:t>
      </w:r>
      <w:hyperlink r:id="rId601">
        <w:r>
          <w:rPr>
            <w:spacing w:val="-2"/>
            <w:sz w:val="18"/>
            <w:vertAlign w:val="baseline"/>
          </w:rPr>
          <w:t>www.bostonindicators.org/reports/report-website-pages/growing-wave-of-restrictions.</w:t>
        </w:r>
      </w:hyperlink>
    </w:p>
    <w:p>
      <w:pPr>
        <w:spacing w:line="219" w:lineRule="exact" w:before="0"/>
        <w:ind w:left="463" w:right="0" w:firstLine="0"/>
        <w:jc w:val="left"/>
        <w:rPr>
          <w:sz w:val="18"/>
        </w:rPr>
      </w:pPr>
      <w:r>
        <w:rPr>
          <w:sz w:val="18"/>
          <w:vertAlign w:val="superscript"/>
        </w:rPr>
        <w:t>55</w:t>
      </w:r>
      <w:r>
        <w:rPr>
          <w:spacing w:val="-15"/>
          <w:sz w:val="18"/>
          <w:vertAlign w:val="baseline"/>
        </w:rPr>
        <w:t> </w:t>
      </w:r>
      <w:r>
        <w:rPr>
          <w:sz w:val="18"/>
          <w:vertAlign w:val="baseline"/>
        </w:rPr>
        <w:t>“Legal</w:t>
      </w:r>
      <w:r>
        <w:rPr>
          <w:spacing w:val="-9"/>
          <w:sz w:val="18"/>
          <w:vertAlign w:val="baseline"/>
        </w:rPr>
        <w:t> </w:t>
      </w:r>
      <w:r>
        <w:rPr>
          <w:sz w:val="18"/>
          <w:vertAlign w:val="baseline"/>
        </w:rPr>
        <w:t>Services,”</w:t>
      </w:r>
      <w:r>
        <w:rPr>
          <w:spacing w:val="-5"/>
          <w:sz w:val="18"/>
          <w:vertAlign w:val="baseline"/>
        </w:rPr>
        <w:t> </w:t>
      </w:r>
      <w:r>
        <w:rPr>
          <w:i/>
          <w:sz w:val="18"/>
          <w:vertAlign w:val="baseline"/>
        </w:rPr>
        <w:t>MIRA</w:t>
      </w:r>
      <w:r>
        <w:rPr>
          <w:i/>
          <w:spacing w:val="-4"/>
          <w:sz w:val="18"/>
          <w:vertAlign w:val="baseline"/>
        </w:rPr>
        <w:t> </w:t>
      </w:r>
      <w:r>
        <w:rPr>
          <w:i/>
          <w:sz w:val="18"/>
          <w:vertAlign w:val="baseline"/>
        </w:rPr>
        <w:t>Coalition</w:t>
      </w:r>
      <w:r>
        <w:rPr>
          <w:i/>
          <w:spacing w:val="-5"/>
          <w:sz w:val="18"/>
          <w:vertAlign w:val="baseline"/>
        </w:rPr>
        <w:t> </w:t>
      </w:r>
      <w:r>
        <w:rPr>
          <w:sz w:val="18"/>
          <w:vertAlign w:val="baseline"/>
        </w:rPr>
        <w:t>(blog),</w:t>
      </w:r>
      <w:r>
        <w:rPr>
          <w:spacing w:val="-5"/>
          <w:sz w:val="18"/>
          <w:vertAlign w:val="baseline"/>
        </w:rPr>
        <w:t> </w:t>
      </w:r>
      <w:r>
        <w:rPr>
          <w:sz w:val="18"/>
          <w:vertAlign w:val="baseline"/>
        </w:rPr>
        <w:t>accessed</w:t>
      </w:r>
      <w:r>
        <w:rPr>
          <w:spacing w:val="-5"/>
          <w:sz w:val="18"/>
          <w:vertAlign w:val="baseline"/>
        </w:rPr>
        <w:t> </w:t>
      </w:r>
      <w:r>
        <w:rPr>
          <w:sz w:val="18"/>
          <w:vertAlign w:val="baseline"/>
        </w:rPr>
        <w:t>April</w:t>
      </w:r>
      <w:r>
        <w:rPr>
          <w:spacing w:val="-6"/>
          <w:sz w:val="18"/>
          <w:vertAlign w:val="baseline"/>
        </w:rPr>
        <w:t> </w:t>
      </w:r>
      <w:r>
        <w:rPr>
          <w:sz w:val="18"/>
          <w:vertAlign w:val="baseline"/>
        </w:rPr>
        <w:t>24,</w:t>
      </w:r>
      <w:r>
        <w:rPr>
          <w:spacing w:val="-5"/>
          <w:sz w:val="18"/>
          <w:vertAlign w:val="baseline"/>
        </w:rPr>
        <w:t> </w:t>
      </w:r>
      <w:r>
        <w:rPr>
          <w:sz w:val="18"/>
          <w:vertAlign w:val="baseline"/>
        </w:rPr>
        <w:t>2023,</w:t>
      </w:r>
      <w:r>
        <w:rPr>
          <w:spacing w:val="-5"/>
          <w:sz w:val="18"/>
          <w:vertAlign w:val="baseline"/>
        </w:rPr>
        <w:t> </w:t>
      </w:r>
      <w:r>
        <w:rPr>
          <w:sz w:val="18"/>
          <w:vertAlign w:val="baseline"/>
        </w:rPr>
        <w:t>https://miracoalition.org/resources/legal-</w:t>
      </w:r>
      <w:r>
        <w:rPr>
          <w:spacing w:val="-2"/>
          <w:sz w:val="18"/>
          <w:vertAlign w:val="baseline"/>
        </w:rPr>
        <w:t>services/.</w:t>
      </w:r>
    </w:p>
    <w:p>
      <w:pPr>
        <w:spacing w:before="0"/>
        <w:ind w:left="463" w:right="392" w:hanging="1"/>
        <w:jc w:val="left"/>
        <w:rPr>
          <w:sz w:val="18"/>
        </w:rPr>
      </w:pPr>
      <w:r>
        <w:rPr>
          <w:sz w:val="18"/>
          <w:vertAlign w:val="superscript"/>
        </w:rPr>
        <w:t>56</w:t>
      </w:r>
      <w:r>
        <w:rPr>
          <w:spacing w:val="-13"/>
          <w:sz w:val="18"/>
          <w:vertAlign w:val="baseline"/>
        </w:rPr>
        <w:t> </w:t>
      </w:r>
      <w:r>
        <w:rPr>
          <w:sz w:val="18"/>
          <w:vertAlign w:val="baseline"/>
        </w:rPr>
        <w:t>Josselyn</w:t>
      </w:r>
      <w:r>
        <w:rPr>
          <w:spacing w:val="-6"/>
          <w:sz w:val="18"/>
          <w:vertAlign w:val="baseline"/>
        </w:rPr>
        <w:t> </w:t>
      </w:r>
      <w:r>
        <w:rPr>
          <w:sz w:val="18"/>
          <w:vertAlign w:val="baseline"/>
        </w:rPr>
        <w:t>Andrea</w:t>
      </w:r>
      <w:r>
        <w:rPr>
          <w:spacing w:val="-4"/>
          <w:sz w:val="18"/>
          <w:vertAlign w:val="baseline"/>
        </w:rPr>
        <w:t> </w:t>
      </w:r>
      <w:r>
        <w:rPr>
          <w:sz w:val="18"/>
          <w:vertAlign w:val="baseline"/>
        </w:rPr>
        <w:t>Garcia</w:t>
      </w:r>
      <w:r>
        <w:rPr>
          <w:spacing w:val="-4"/>
          <w:sz w:val="18"/>
          <w:vertAlign w:val="baseline"/>
        </w:rPr>
        <w:t> </w:t>
      </w:r>
      <w:r>
        <w:rPr>
          <w:sz w:val="18"/>
          <w:vertAlign w:val="baseline"/>
        </w:rPr>
        <w:t>Quijano,</w:t>
      </w:r>
      <w:r>
        <w:rPr>
          <w:spacing w:val="-4"/>
          <w:sz w:val="18"/>
          <w:vertAlign w:val="baseline"/>
        </w:rPr>
        <w:t> </w:t>
      </w:r>
      <w:r>
        <w:rPr>
          <w:sz w:val="18"/>
          <w:vertAlign w:val="baseline"/>
        </w:rPr>
        <w:t>“Workplace</w:t>
      </w:r>
      <w:r>
        <w:rPr>
          <w:spacing w:val="-4"/>
          <w:sz w:val="18"/>
          <w:vertAlign w:val="baseline"/>
        </w:rPr>
        <w:t> </w:t>
      </w:r>
      <w:r>
        <w:rPr>
          <w:sz w:val="18"/>
          <w:vertAlign w:val="baseline"/>
        </w:rPr>
        <w:t>Discrimination</w:t>
      </w:r>
      <w:r>
        <w:rPr>
          <w:spacing w:val="-4"/>
          <w:sz w:val="18"/>
          <w:vertAlign w:val="baseline"/>
        </w:rPr>
        <w:t> </w:t>
      </w:r>
      <w:r>
        <w:rPr>
          <w:sz w:val="18"/>
          <w:vertAlign w:val="baseline"/>
        </w:rPr>
        <w:t>and</w:t>
      </w:r>
      <w:r>
        <w:rPr>
          <w:spacing w:val="-4"/>
          <w:sz w:val="18"/>
          <w:vertAlign w:val="baseline"/>
        </w:rPr>
        <w:t> </w:t>
      </w:r>
      <w:r>
        <w:rPr>
          <w:sz w:val="18"/>
          <w:vertAlign w:val="baseline"/>
        </w:rPr>
        <w:t>Undocumented</w:t>
      </w:r>
      <w:r>
        <w:rPr>
          <w:spacing w:val="-4"/>
          <w:sz w:val="18"/>
          <w:vertAlign w:val="baseline"/>
        </w:rPr>
        <w:t> </w:t>
      </w:r>
      <w:r>
        <w:rPr>
          <w:sz w:val="18"/>
          <w:vertAlign w:val="baseline"/>
        </w:rPr>
        <w:t>First-Generation</w:t>
      </w:r>
      <w:r>
        <w:rPr>
          <w:spacing w:val="-4"/>
          <w:sz w:val="18"/>
          <w:vertAlign w:val="baseline"/>
        </w:rPr>
        <w:t> </w:t>
      </w:r>
      <w:r>
        <w:rPr>
          <w:sz w:val="18"/>
          <w:vertAlign w:val="baseline"/>
        </w:rPr>
        <w:t>Latinx</w:t>
      </w:r>
      <w:r>
        <w:rPr>
          <w:spacing w:val="-4"/>
          <w:sz w:val="18"/>
          <w:vertAlign w:val="baseline"/>
        </w:rPr>
        <w:t> </w:t>
      </w:r>
      <w:r>
        <w:rPr>
          <w:sz w:val="18"/>
          <w:vertAlign w:val="baseline"/>
        </w:rPr>
        <w:t>Immigrants,”</w:t>
      </w:r>
      <w:r>
        <w:rPr>
          <w:spacing w:val="-4"/>
          <w:sz w:val="18"/>
          <w:vertAlign w:val="baseline"/>
        </w:rPr>
        <w:t> </w:t>
      </w:r>
      <w:r>
        <w:rPr>
          <w:sz w:val="18"/>
          <w:vertAlign w:val="baseline"/>
        </w:rPr>
        <w:t>Crown Family School of Social Work, Policy, and Practice, accessed April 24, 2023, https://crownschool.uchicago.edu/student- </w:t>
      </w:r>
      <w:r>
        <w:rPr>
          <w:spacing w:val="-2"/>
          <w:sz w:val="18"/>
          <w:vertAlign w:val="baseline"/>
        </w:rPr>
        <w:t>life/advocates-forum/workplace-discrimination-and-undocumented-first-generation-latinx.</w:t>
      </w:r>
    </w:p>
    <w:p>
      <w:pPr>
        <w:spacing w:before="0"/>
        <w:ind w:left="463" w:right="1513" w:hanging="1"/>
        <w:jc w:val="left"/>
        <w:rPr>
          <w:sz w:val="18"/>
        </w:rPr>
      </w:pPr>
      <w:r>
        <w:rPr>
          <w:sz w:val="18"/>
          <w:vertAlign w:val="superscript"/>
        </w:rPr>
        <w:t>57</w:t>
      </w:r>
      <w:r>
        <w:rPr>
          <w:spacing w:val="-8"/>
          <w:sz w:val="18"/>
          <w:vertAlign w:val="baseline"/>
        </w:rPr>
        <w:t> </w:t>
      </w:r>
      <w:r>
        <w:rPr>
          <w:sz w:val="18"/>
          <w:vertAlign w:val="baseline"/>
        </w:rPr>
        <w:t>Cassie Arnita, “Barriers to Career Advancement Among Skilled Immigrants in the US,” Ballard Brief, 2022, </w:t>
      </w:r>
      <w:r>
        <w:rPr>
          <w:spacing w:val="-2"/>
          <w:sz w:val="18"/>
          <w:vertAlign w:val="baseline"/>
        </w:rPr>
        <w:t>https://ballardbrief.byu.edu/issue-briefs/barriers-to-career-advancement-among-skilled-immigrants-in-the-us.</w:t>
      </w:r>
    </w:p>
    <w:p>
      <w:pPr>
        <w:spacing w:before="0"/>
        <w:ind w:left="463" w:right="345" w:firstLine="0"/>
        <w:jc w:val="left"/>
        <w:rPr>
          <w:sz w:val="18"/>
        </w:rPr>
      </w:pPr>
      <w:r>
        <w:rPr>
          <w:sz w:val="18"/>
          <w:vertAlign w:val="superscript"/>
        </w:rPr>
        <w:t>58</w:t>
      </w:r>
      <w:r>
        <w:rPr>
          <w:spacing w:val="-9"/>
          <w:sz w:val="18"/>
          <w:vertAlign w:val="baseline"/>
        </w:rPr>
        <w:t> </w:t>
      </w:r>
      <w:r>
        <w:rPr>
          <w:sz w:val="18"/>
          <w:vertAlign w:val="baseline"/>
        </w:rPr>
        <w:t>James D. Bachmeier, Jeanne Batalova, and Michael Fix, “Untapped Talent: The Costs of Brain Waste among Highly Skilled Immigrants in the United States,” migrationpolicy.org, December 2, 2016,</w:t>
      </w:r>
      <w:r>
        <w:rPr>
          <w:spacing w:val="40"/>
          <w:sz w:val="18"/>
          <w:vertAlign w:val="baseline"/>
        </w:rPr>
        <w:t> </w:t>
      </w:r>
      <w:r>
        <w:rPr>
          <w:spacing w:val="-2"/>
          <w:sz w:val="18"/>
          <w:vertAlign w:val="baseline"/>
        </w:rPr>
        <w:t>https://</w:t>
      </w:r>
      <w:hyperlink r:id="rId602">
        <w:r>
          <w:rPr>
            <w:spacing w:val="-2"/>
            <w:sz w:val="18"/>
            <w:vertAlign w:val="baseline"/>
          </w:rPr>
          <w:t>www.migrationpolicy.org/research/untapped-talent-costs-brain-waste-among-highly-skilled-immigrants-united-states.</w:t>
        </w:r>
      </w:hyperlink>
    </w:p>
    <w:p>
      <w:pPr>
        <w:spacing w:line="219" w:lineRule="exact" w:before="0"/>
        <w:ind w:left="463" w:right="0" w:firstLine="0"/>
        <w:jc w:val="left"/>
        <w:rPr>
          <w:sz w:val="18"/>
        </w:rPr>
      </w:pPr>
      <w:r>
        <w:rPr>
          <w:sz w:val="18"/>
          <w:vertAlign w:val="superscript"/>
        </w:rPr>
        <w:t>59</w:t>
      </w:r>
      <w:r>
        <w:rPr>
          <w:spacing w:val="-13"/>
          <w:sz w:val="18"/>
          <w:vertAlign w:val="baseline"/>
        </w:rPr>
        <w:t> </w:t>
      </w:r>
      <w:r>
        <w:rPr>
          <w:sz w:val="18"/>
          <w:vertAlign w:val="baseline"/>
        </w:rPr>
        <w:t>Mattos,</w:t>
      </w:r>
      <w:r>
        <w:rPr>
          <w:spacing w:val="-5"/>
          <w:sz w:val="18"/>
          <w:vertAlign w:val="baseline"/>
        </w:rPr>
        <w:t> </w:t>
      </w:r>
      <w:r>
        <w:rPr>
          <w:sz w:val="18"/>
          <w:vertAlign w:val="baseline"/>
        </w:rPr>
        <w:t>Lima,</w:t>
      </w:r>
      <w:r>
        <w:rPr>
          <w:spacing w:val="-3"/>
          <w:sz w:val="18"/>
          <w:vertAlign w:val="baseline"/>
        </w:rPr>
        <w:t> </w:t>
      </w:r>
      <w:r>
        <w:rPr>
          <w:sz w:val="18"/>
          <w:vertAlign w:val="baseline"/>
        </w:rPr>
        <w:t>and</w:t>
      </w:r>
      <w:r>
        <w:rPr>
          <w:spacing w:val="-3"/>
          <w:sz w:val="18"/>
          <w:vertAlign w:val="baseline"/>
        </w:rPr>
        <w:t> </w:t>
      </w:r>
      <w:r>
        <w:rPr>
          <w:sz w:val="18"/>
          <w:vertAlign w:val="baseline"/>
        </w:rPr>
        <w:t>Ciurczak,</w:t>
      </w:r>
      <w:r>
        <w:rPr>
          <w:spacing w:val="-3"/>
          <w:sz w:val="18"/>
          <w:vertAlign w:val="baseline"/>
        </w:rPr>
        <w:t> </w:t>
      </w:r>
      <w:r>
        <w:rPr>
          <w:sz w:val="18"/>
          <w:vertAlign w:val="baseline"/>
        </w:rPr>
        <w:t>“Growing</w:t>
      </w:r>
      <w:r>
        <w:rPr>
          <w:spacing w:val="-2"/>
          <w:sz w:val="18"/>
          <w:vertAlign w:val="baseline"/>
        </w:rPr>
        <w:t> </w:t>
      </w:r>
      <w:r>
        <w:rPr>
          <w:sz w:val="18"/>
          <w:vertAlign w:val="baseline"/>
        </w:rPr>
        <w:t>Wave</w:t>
      </w:r>
      <w:r>
        <w:rPr>
          <w:spacing w:val="-2"/>
          <w:sz w:val="18"/>
          <w:vertAlign w:val="baseline"/>
        </w:rPr>
        <w:t> </w:t>
      </w:r>
      <w:r>
        <w:rPr>
          <w:sz w:val="18"/>
          <w:vertAlign w:val="baseline"/>
        </w:rPr>
        <w:t>of</w:t>
      </w:r>
      <w:r>
        <w:rPr>
          <w:spacing w:val="-2"/>
          <w:sz w:val="18"/>
          <w:vertAlign w:val="baseline"/>
        </w:rPr>
        <w:t> Restrictions.”</w:t>
      </w:r>
    </w:p>
    <w:p>
      <w:pPr>
        <w:spacing w:before="0"/>
        <w:ind w:left="463" w:right="901" w:hanging="1"/>
        <w:jc w:val="left"/>
        <w:rPr>
          <w:sz w:val="18"/>
        </w:rPr>
      </w:pPr>
      <w:r>
        <w:rPr>
          <w:sz w:val="18"/>
          <w:vertAlign w:val="superscript"/>
        </w:rPr>
        <w:t>60</w:t>
      </w:r>
      <w:r>
        <w:rPr>
          <w:spacing w:val="-13"/>
          <w:sz w:val="18"/>
          <w:vertAlign w:val="baseline"/>
        </w:rPr>
        <w:t> </w:t>
      </w:r>
      <w:r>
        <w:rPr>
          <w:sz w:val="18"/>
          <w:vertAlign w:val="baseline"/>
        </w:rPr>
        <w:t>Sharita</w:t>
      </w:r>
      <w:r>
        <w:rPr>
          <w:spacing w:val="-3"/>
          <w:sz w:val="18"/>
          <w:vertAlign w:val="baseline"/>
        </w:rPr>
        <w:t> </w:t>
      </w:r>
      <w:r>
        <w:rPr>
          <w:sz w:val="18"/>
          <w:vertAlign w:val="baseline"/>
        </w:rPr>
        <w:t>Gruberg,</w:t>
      </w:r>
      <w:r>
        <w:rPr>
          <w:spacing w:val="-3"/>
          <w:sz w:val="18"/>
          <w:vertAlign w:val="baseline"/>
        </w:rPr>
        <w:t> </w:t>
      </w:r>
      <w:r>
        <w:rPr>
          <w:sz w:val="18"/>
          <w:vertAlign w:val="baseline"/>
        </w:rPr>
        <w:t>“What</w:t>
      </w:r>
      <w:r>
        <w:rPr>
          <w:spacing w:val="-3"/>
          <w:sz w:val="18"/>
          <w:vertAlign w:val="baseline"/>
        </w:rPr>
        <w:t> </w:t>
      </w:r>
      <w:r>
        <w:rPr>
          <w:sz w:val="18"/>
          <w:vertAlign w:val="baseline"/>
        </w:rPr>
        <w:t>Ending</w:t>
      </w:r>
      <w:r>
        <w:rPr>
          <w:spacing w:val="-2"/>
          <w:sz w:val="18"/>
          <w:vertAlign w:val="baseline"/>
        </w:rPr>
        <w:t> </w:t>
      </w:r>
      <w:r>
        <w:rPr>
          <w:sz w:val="18"/>
          <w:vertAlign w:val="baseline"/>
        </w:rPr>
        <w:t>DACA</w:t>
      </w:r>
      <w:r>
        <w:rPr>
          <w:spacing w:val="-2"/>
          <w:sz w:val="18"/>
          <w:vertAlign w:val="baseline"/>
        </w:rPr>
        <w:t> </w:t>
      </w:r>
      <w:r>
        <w:rPr>
          <w:sz w:val="18"/>
          <w:vertAlign w:val="baseline"/>
        </w:rPr>
        <w:t>Means</w:t>
      </w:r>
      <w:r>
        <w:rPr>
          <w:spacing w:val="-2"/>
          <w:sz w:val="18"/>
          <w:vertAlign w:val="baseline"/>
        </w:rPr>
        <w:t> </w:t>
      </w:r>
      <w:r>
        <w:rPr>
          <w:sz w:val="18"/>
          <w:vertAlign w:val="baseline"/>
        </w:rPr>
        <w:t>for</w:t>
      </w:r>
      <w:r>
        <w:rPr>
          <w:spacing w:val="-4"/>
          <w:sz w:val="18"/>
          <w:vertAlign w:val="baseline"/>
        </w:rPr>
        <w:t> </w:t>
      </w:r>
      <w:r>
        <w:rPr>
          <w:sz w:val="18"/>
          <w:vertAlign w:val="baseline"/>
        </w:rPr>
        <w:t>LGBTQ</w:t>
      </w:r>
      <w:r>
        <w:rPr>
          <w:spacing w:val="-2"/>
          <w:sz w:val="18"/>
          <w:vertAlign w:val="baseline"/>
        </w:rPr>
        <w:t> </w:t>
      </w:r>
      <w:r>
        <w:rPr>
          <w:sz w:val="18"/>
          <w:vertAlign w:val="baseline"/>
        </w:rPr>
        <w:t>Dreamers</w:t>
      </w:r>
      <w:r>
        <w:rPr>
          <w:spacing w:val="-2"/>
          <w:sz w:val="18"/>
          <w:vertAlign w:val="baseline"/>
        </w:rPr>
        <w:t> </w:t>
      </w:r>
      <w:r>
        <w:rPr>
          <w:sz w:val="18"/>
          <w:vertAlign w:val="baseline"/>
        </w:rPr>
        <w:t>-</w:t>
      </w:r>
      <w:r>
        <w:rPr>
          <w:spacing w:val="-3"/>
          <w:sz w:val="18"/>
          <w:vertAlign w:val="baseline"/>
        </w:rPr>
        <w:t> </w:t>
      </w:r>
      <w:r>
        <w:rPr>
          <w:sz w:val="18"/>
          <w:vertAlign w:val="baseline"/>
        </w:rPr>
        <w:t>Center</w:t>
      </w:r>
      <w:r>
        <w:rPr>
          <w:spacing w:val="-3"/>
          <w:sz w:val="18"/>
          <w:vertAlign w:val="baseline"/>
        </w:rPr>
        <w:t> </w:t>
      </w:r>
      <w:r>
        <w:rPr>
          <w:sz w:val="18"/>
          <w:vertAlign w:val="baseline"/>
        </w:rPr>
        <w:t>for</w:t>
      </w:r>
      <w:r>
        <w:rPr>
          <w:spacing w:val="-3"/>
          <w:sz w:val="18"/>
          <w:vertAlign w:val="baseline"/>
        </w:rPr>
        <w:t> </w:t>
      </w:r>
      <w:r>
        <w:rPr>
          <w:sz w:val="18"/>
          <w:vertAlign w:val="baseline"/>
        </w:rPr>
        <w:t>American</w:t>
      </w:r>
      <w:r>
        <w:rPr>
          <w:spacing w:val="-2"/>
          <w:sz w:val="18"/>
          <w:vertAlign w:val="baseline"/>
        </w:rPr>
        <w:t> </w:t>
      </w:r>
      <w:r>
        <w:rPr>
          <w:sz w:val="18"/>
          <w:vertAlign w:val="baseline"/>
        </w:rPr>
        <w:t>Progress,”</w:t>
      </w:r>
      <w:r>
        <w:rPr>
          <w:spacing w:val="-2"/>
          <w:sz w:val="18"/>
          <w:vertAlign w:val="baseline"/>
        </w:rPr>
        <w:t> </w:t>
      </w:r>
      <w:r>
        <w:rPr>
          <w:sz w:val="18"/>
          <w:vertAlign w:val="baseline"/>
        </w:rPr>
        <w:t>October</w:t>
      </w:r>
      <w:r>
        <w:rPr>
          <w:spacing w:val="-3"/>
          <w:sz w:val="18"/>
          <w:vertAlign w:val="baseline"/>
        </w:rPr>
        <w:t> </w:t>
      </w:r>
      <w:r>
        <w:rPr>
          <w:sz w:val="18"/>
          <w:vertAlign w:val="baseline"/>
        </w:rPr>
        <w:t>11,</w:t>
      </w:r>
      <w:r>
        <w:rPr>
          <w:spacing w:val="-2"/>
          <w:sz w:val="18"/>
          <w:vertAlign w:val="baseline"/>
        </w:rPr>
        <w:t> </w:t>
      </w:r>
      <w:r>
        <w:rPr>
          <w:sz w:val="18"/>
          <w:vertAlign w:val="baseline"/>
        </w:rPr>
        <w:t>2017, </w:t>
      </w:r>
      <w:r>
        <w:rPr>
          <w:spacing w:val="-2"/>
          <w:sz w:val="18"/>
          <w:vertAlign w:val="baseline"/>
        </w:rPr>
        <w:t>https://</w:t>
      </w:r>
      <w:hyperlink r:id="rId603">
        <w:r>
          <w:rPr>
            <w:spacing w:val="-2"/>
            <w:sz w:val="18"/>
            <w:vertAlign w:val="baseline"/>
          </w:rPr>
          <w:t>www.americanprogress.org/article/ending-daca-means-lgbtq-dreamers/.</w:t>
        </w:r>
      </w:hyperlink>
    </w:p>
    <w:p>
      <w:pPr>
        <w:spacing w:before="0"/>
        <w:ind w:left="463" w:right="0" w:hanging="1"/>
        <w:jc w:val="left"/>
        <w:rPr>
          <w:sz w:val="18"/>
        </w:rPr>
      </w:pPr>
      <w:r>
        <w:rPr>
          <w:sz w:val="18"/>
          <w:vertAlign w:val="superscript"/>
        </w:rPr>
        <w:t>61</w:t>
      </w:r>
      <w:r>
        <w:rPr>
          <w:spacing w:val="-13"/>
          <w:sz w:val="18"/>
          <w:vertAlign w:val="baseline"/>
        </w:rPr>
        <w:t> </w:t>
      </w:r>
      <w:r>
        <w:rPr>
          <w:sz w:val="18"/>
          <w:vertAlign w:val="baseline"/>
        </w:rPr>
        <w:t>Kerith</w:t>
      </w:r>
      <w:r>
        <w:rPr>
          <w:spacing w:val="-3"/>
          <w:sz w:val="18"/>
          <w:vertAlign w:val="baseline"/>
        </w:rPr>
        <w:t> </w:t>
      </w:r>
      <w:r>
        <w:rPr>
          <w:sz w:val="18"/>
          <w:vertAlign w:val="baseline"/>
        </w:rPr>
        <w:t>Conron,</w:t>
      </w:r>
      <w:r>
        <w:rPr>
          <w:spacing w:val="-3"/>
          <w:sz w:val="18"/>
          <w:vertAlign w:val="baseline"/>
        </w:rPr>
        <w:t> </w:t>
      </w:r>
      <w:r>
        <w:rPr>
          <w:sz w:val="18"/>
          <w:vertAlign w:val="baseline"/>
        </w:rPr>
        <w:t>Winston</w:t>
      </w:r>
      <w:r>
        <w:rPr>
          <w:spacing w:val="-2"/>
          <w:sz w:val="18"/>
          <w:vertAlign w:val="baseline"/>
        </w:rPr>
        <w:t> </w:t>
      </w:r>
      <w:r>
        <w:rPr>
          <w:sz w:val="18"/>
          <w:vertAlign w:val="baseline"/>
        </w:rPr>
        <w:t>Luhur,</w:t>
      </w:r>
      <w:r>
        <w:rPr>
          <w:spacing w:val="-3"/>
          <w:sz w:val="18"/>
          <w:vertAlign w:val="baseline"/>
        </w:rPr>
        <w:t> </w:t>
      </w:r>
      <w:r>
        <w:rPr>
          <w:sz w:val="18"/>
          <w:vertAlign w:val="baseline"/>
        </w:rPr>
        <w:t>and</w:t>
      </w:r>
      <w:r>
        <w:rPr>
          <w:spacing w:val="-2"/>
          <w:sz w:val="18"/>
          <w:vertAlign w:val="baseline"/>
        </w:rPr>
        <w:t> </w:t>
      </w:r>
      <w:r>
        <w:rPr>
          <w:sz w:val="18"/>
          <w:vertAlign w:val="baseline"/>
        </w:rPr>
        <w:t>Taylor</w:t>
      </w:r>
      <w:r>
        <w:rPr>
          <w:spacing w:val="-3"/>
          <w:sz w:val="18"/>
          <w:vertAlign w:val="baseline"/>
        </w:rPr>
        <w:t> </w:t>
      </w:r>
      <w:r>
        <w:rPr>
          <w:sz w:val="18"/>
          <w:vertAlign w:val="baseline"/>
        </w:rPr>
        <w:t>N.T.</w:t>
      </w:r>
      <w:r>
        <w:rPr>
          <w:spacing w:val="-3"/>
          <w:sz w:val="18"/>
          <w:vertAlign w:val="baseline"/>
        </w:rPr>
        <w:t> </w:t>
      </w:r>
      <w:r>
        <w:rPr>
          <w:sz w:val="18"/>
          <w:vertAlign w:val="baseline"/>
        </w:rPr>
        <w:t>Brown,</w:t>
      </w:r>
      <w:r>
        <w:rPr>
          <w:spacing w:val="-3"/>
          <w:sz w:val="18"/>
          <w:vertAlign w:val="baseline"/>
        </w:rPr>
        <w:t> </w:t>
      </w:r>
      <w:r>
        <w:rPr>
          <w:sz w:val="18"/>
          <w:vertAlign w:val="baseline"/>
        </w:rPr>
        <w:t>“LGBT</w:t>
      </w:r>
      <w:r>
        <w:rPr>
          <w:spacing w:val="-2"/>
          <w:sz w:val="18"/>
          <w:vertAlign w:val="baseline"/>
        </w:rPr>
        <w:t> </w:t>
      </w:r>
      <w:r>
        <w:rPr>
          <w:sz w:val="18"/>
          <w:vertAlign w:val="baseline"/>
        </w:rPr>
        <w:t>‘Dreamers’</w:t>
      </w:r>
      <w:r>
        <w:rPr>
          <w:spacing w:val="-3"/>
          <w:sz w:val="18"/>
          <w:vertAlign w:val="baseline"/>
        </w:rPr>
        <w:t> </w:t>
      </w:r>
      <w:r>
        <w:rPr>
          <w:sz w:val="18"/>
          <w:vertAlign w:val="baseline"/>
        </w:rPr>
        <w:t>and</w:t>
      </w:r>
      <w:r>
        <w:rPr>
          <w:spacing w:val="-2"/>
          <w:sz w:val="18"/>
          <w:vertAlign w:val="baseline"/>
        </w:rPr>
        <w:t> </w:t>
      </w:r>
      <w:r>
        <w:rPr>
          <w:sz w:val="18"/>
          <w:vertAlign w:val="baseline"/>
        </w:rPr>
        <w:t>Deferred</w:t>
      </w:r>
      <w:r>
        <w:rPr>
          <w:spacing w:val="-2"/>
          <w:sz w:val="18"/>
          <w:vertAlign w:val="baseline"/>
        </w:rPr>
        <w:t> </w:t>
      </w:r>
      <w:r>
        <w:rPr>
          <w:sz w:val="18"/>
          <w:vertAlign w:val="baseline"/>
        </w:rPr>
        <w:t>Action</w:t>
      </w:r>
      <w:r>
        <w:rPr>
          <w:spacing w:val="-2"/>
          <w:sz w:val="18"/>
          <w:vertAlign w:val="baseline"/>
        </w:rPr>
        <w:t> </w:t>
      </w:r>
      <w:r>
        <w:rPr>
          <w:sz w:val="18"/>
          <w:vertAlign w:val="baseline"/>
        </w:rPr>
        <w:t>for</w:t>
      </w:r>
      <w:r>
        <w:rPr>
          <w:spacing w:val="-3"/>
          <w:sz w:val="18"/>
          <w:vertAlign w:val="baseline"/>
        </w:rPr>
        <w:t> </w:t>
      </w:r>
      <w:r>
        <w:rPr>
          <w:sz w:val="18"/>
          <w:vertAlign w:val="baseline"/>
        </w:rPr>
        <w:t>Childhood</w:t>
      </w:r>
      <w:r>
        <w:rPr>
          <w:spacing w:val="-2"/>
          <w:sz w:val="18"/>
          <w:vertAlign w:val="baseline"/>
        </w:rPr>
        <w:t> </w:t>
      </w:r>
      <w:r>
        <w:rPr>
          <w:sz w:val="18"/>
          <w:vertAlign w:val="baseline"/>
        </w:rPr>
        <w:t>Arrivals</w:t>
      </w:r>
      <w:r>
        <w:rPr>
          <w:spacing w:val="-2"/>
          <w:sz w:val="18"/>
          <w:vertAlign w:val="baseline"/>
        </w:rPr>
        <w:t> </w:t>
      </w:r>
      <w:r>
        <w:rPr>
          <w:sz w:val="18"/>
          <w:vertAlign w:val="baseline"/>
        </w:rPr>
        <w:t>(DACA),” Williams Institute, June 2020, https://williamsinstitute.law.ucla.edu/publications/lgbt-dreamers-daca/.</w:t>
      </w:r>
    </w:p>
    <w:p>
      <w:pPr>
        <w:spacing w:after="0"/>
        <w:jc w:val="left"/>
        <w:rPr>
          <w:sz w:val="18"/>
        </w:rPr>
        <w:sectPr>
          <w:pgSz w:w="12240" w:h="15840"/>
          <w:pgMar w:header="805" w:footer="1208" w:top="1080" w:bottom="1460" w:left="980" w:right="1180"/>
        </w:sectPr>
      </w:pPr>
    </w:p>
    <w:p>
      <w:pPr>
        <w:spacing w:before="68"/>
        <w:ind w:left="463" w:right="733" w:hanging="1"/>
        <w:jc w:val="left"/>
        <w:rPr>
          <w:sz w:val="18"/>
        </w:rPr>
      </w:pPr>
      <w:r>
        <w:rPr>
          <w:sz w:val="18"/>
          <w:vertAlign w:val="superscript"/>
        </w:rPr>
        <w:t>62</w:t>
      </w:r>
      <w:r>
        <w:rPr>
          <w:spacing w:val="-11"/>
          <w:sz w:val="18"/>
          <w:vertAlign w:val="baseline"/>
        </w:rPr>
        <w:t> </w:t>
      </w:r>
      <w:r>
        <w:rPr>
          <w:sz w:val="18"/>
          <w:vertAlign w:val="baseline"/>
        </w:rPr>
        <w:t>Tom K. Wong, Greisa Martinez Rosas, and Adam Luna, “DACA Recipients’ Economic and Educational Gains Continue to Grow,”</w:t>
      </w:r>
      <w:r>
        <w:rPr>
          <w:spacing w:val="-4"/>
          <w:sz w:val="18"/>
          <w:vertAlign w:val="baseline"/>
        </w:rPr>
        <w:t> </w:t>
      </w:r>
      <w:r>
        <w:rPr>
          <w:i/>
          <w:sz w:val="18"/>
          <w:vertAlign w:val="baseline"/>
        </w:rPr>
        <w:t>Center</w:t>
      </w:r>
      <w:r>
        <w:rPr>
          <w:i/>
          <w:spacing w:val="-5"/>
          <w:sz w:val="18"/>
          <w:vertAlign w:val="baseline"/>
        </w:rPr>
        <w:t> </w:t>
      </w:r>
      <w:r>
        <w:rPr>
          <w:i/>
          <w:sz w:val="18"/>
          <w:vertAlign w:val="baseline"/>
        </w:rPr>
        <w:t>for</w:t>
      </w:r>
      <w:r>
        <w:rPr>
          <w:i/>
          <w:spacing w:val="-5"/>
          <w:sz w:val="18"/>
          <w:vertAlign w:val="baseline"/>
        </w:rPr>
        <w:t> </w:t>
      </w:r>
      <w:r>
        <w:rPr>
          <w:i/>
          <w:sz w:val="18"/>
          <w:vertAlign w:val="baseline"/>
        </w:rPr>
        <w:t>American</w:t>
      </w:r>
      <w:r>
        <w:rPr>
          <w:i/>
          <w:spacing w:val="-4"/>
          <w:sz w:val="18"/>
          <w:vertAlign w:val="baseline"/>
        </w:rPr>
        <w:t> </w:t>
      </w:r>
      <w:r>
        <w:rPr>
          <w:i/>
          <w:sz w:val="18"/>
          <w:vertAlign w:val="baseline"/>
        </w:rPr>
        <w:t>Progress</w:t>
      </w:r>
      <w:r>
        <w:rPr>
          <w:i/>
          <w:spacing w:val="-5"/>
          <w:sz w:val="18"/>
          <w:vertAlign w:val="baseline"/>
        </w:rPr>
        <w:t> </w:t>
      </w:r>
      <w:r>
        <w:rPr>
          <w:sz w:val="18"/>
          <w:vertAlign w:val="baseline"/>
        </w:rPr>
        <w:t>(blog),</w:t>
      </w:r>
      <w:r>
        <w:rPr>
          <w:spacing w:val="-5"/>
          <w:sz w:val="18"/>
          <w:vertAlign w:val="baseline"/>
        </w:rPr>
        <w:t> </w:t>
      </w:r>
      <w:r>
        <w:rPr>
          <w:sz w:val="18"/>
          <w:vertAlign w:val="baseline"/>
        </w:rPr>
        <w:t>August</w:t>
      </w:r>
      <w:r>
        <w:rPr>
          <w:spacing w:val="-5"/>
          <w:sz w:val="18"/>
          <w:vertAlign w:val="baseline"/>
        </w:rPr>
        <w:t> </w:t>
      </w:r>
      <w:r>
        <w:rPr>
          <w:sz w:val="18"/>
          <w:vertAlign w:val="baseline"/>
        </w:rPr>
        <w:t>28,</w:t>
      </w:r>
      <w:r>
        <w:rPr>
          <w:spacing w:val="-5"/>
          <w:sz w:val="18"/>
          <w:vertAlign w:val="baseline"/>
        </w:rPr>
        <w:t> </w:t>
      </w:r>
      <w:r>
        <w:rPr>
          <w:sz w:val="18"/>
          <w:vertAlign w:val="baseline"/>
        </w:rPr>
        <w:t>2017,</w:t>
      </w:r>
      <w:r>
        <w:rPr>
          <w:spacing w:val="-5"/>
          <w:sz w:val="18"/>
          <w:vertAlign w:val="baseline"/>
        </w:rPr>
        <w:t> </w:t>
      </w:r>
      <w:r>
        <w:rPr>
          <w:sz w:val="18"/>
          <w:vertAlign w:val="baseline"/>
        </w:rPr>
        <w:t>https://</w:t>
      </w:r>
      <w:hyperlink r:id="rId604">
        <w:r>
          <w:rPr>
            <w:sz w:val="18"/>
            <w:vertAlign w:val="baseline"/>
          </w:rPr>
          <w:t>www.americanprogress.org/article/daca-recipients-</w:t>
        </w:r>
      </w:hyperlink>
      <w:r>
        <w:rPr>
          <w:sz w:val="18"/>
          <w:vertAlign w:val="baseline"/>
        </w:rPr>
        <w:t> </w:t>
      </w:r>
      <w:r>
        <w:rPr>
          <w:spacing w:val="-2"/>
          <w:sz w:val="18"/>
          <w:vertAlign w:val="baseline"/>
        </w:rPr>
        <w:t>economic-educational-gains-continue-grow/.</w:t>
      </w:r>
    </w:p>
    <w:p>
      <w:pPr>
        <w:spacing w:before="1"/>
        <w:ind w:left="463" w:right="0" w:firstLine="0"/>
        <w:jc w:val="left"/>
        <w:rPr>
          <w:sz w:val="18"/>
        </w:rPr>
      </w:pPr>
      <w:r>
        <w:rPr>
          <w:sz w:val="18"/>
          <w:vertAlign w:val="superscript"/>
        </w:rPr>
        <w:t>63</w:t>
      </w:r>
      <w:r>
        <w:rPr>
          <w:spacing w:val="-15"/>
          <w:sz w:val="18"/>
          <w:vertAlign w:val="baseline"/>
        </w:rPr>
        <w:t> </w:t>
      </w:r>
      <w:r>
        <w:rPr>
          <w:sz w:val="18"/>
          <w:vertAlign w:val="baseline"/>
        </w:rPr>
        <w:t>Wong,</w:t>
      </w:r>
      <w:r>
        <w:rPr>
          <w:spacing w:val="-3"/>
          <w:sz w:val="18"/>
          <w:vertAlign w:val="baseline"/>
        </w:rPr>
        <w:t> </w:t>
      </w:r>
      <w:r>
        <w:rPr>
          <w:sz w:val="18"/>
          <w:vertAlign w:val="baseline"/>
        </w:rPr>
        <w:t>Rosas,</w:t>
      </w:r>
      <w:r>
        <w:rPr>
          <w:spacing w:val="-3"/>
          <w:sz w:val="18"/>
          <w:vertAlign w:val="baseline"/>
        </w:rPr>
        <w:t> </w:t>
      </w:r>
      <w:r>
        <w:rPr>
          <w:sz w:val="18"/>
          <w:vertAlign w:val="baseline"/>
        </w:rPr>
        <w:t>and</w:t>
      </w:r>
      <w:r>
        <w:rPr>
          <w:spacing w:val="-1"/>
          <w:sz w:val="18"/>
          <w:vertAlign w:val="baseline"/>
        </w:rPr>
        <w:t> </w:t>
      </w:r>
      <w:r>
        <w:rPr>
          <w:spacing w:val="-2"/>
          <w:sz w:val="18"/>
          <w:vertAlign w:val="baseline"/>
        </w:rPr>
        <w:t>Luna.</w:t>
      </w:r>
    </w:p>
    <w:p>
      <w:pPr>
        <w:spacing w:before="0"/>
        <w:ind w:left="463" w:right="323" w:hanging="1"/>
        <w:jc w:val="left"/>
        <w:rPr>
          <w:sz w:val="18"/>
        </w:rPr>
      </w:pPr>
      <w:r>
        <w:rPr>
          <w:sz w:val="18"/>
          <w:vertAlign w:val="superscript"/>
        </w:rPr>
        <w:t>64</w:t>
      </w:r>
      <w:r>
        <w:rPr>
          <w:spacing w:val="-13"/>
          <w:sz w:val="18"/>
          <w:vertAlign w:val="baseline"/>
        </w:rPr>
        <w:t> </w:t>
      </w:r>
      <w:r>
        <w:rPr>
          <w:sz w:val="18"/>
          <w:vertAlign w:val="baseline"/>
        </w:rPr>
        <w:t>Asumi</w:t>
      </w:r>
      <w:r>
        <w:rPr>
          <w:spacing w:val="-4"/>
          <w:sz w:val="18"/>
          <w:vertAlign w:val="baseline"/>
        </w:rPr>
        <w:t> </w:t>
      </w:r>
      <w:r>
        <w:rPr>
          <w:sz w:val="18"/>
          <w:vertAlign w:val="baseline"/>
        </w:rPr>
        <w:t>Shuda,</w:t>
      </w:r>
      <w:r>
        <w:rPr>
          <w:spacing w:val="-4"/>
          <w:sz w:val="18"/>
          <w:vertAlign w:val="baseline"/>
        </w:rPr>
        <w:t> </w:t>
      </w:r>
      <w:r>
        <w:rPr>
          <w:sz w:val="18"/>
          <w:vertAlign w:val="baseline"/>
        </w:rPr>
        <w:t>“New</w:t>
      </w:r>
      <w:r>
        <w:rPr>
          <w:spacing w:val="-3"/>
          <w:sz w:val="18"/>
          <w:vertAlign w:val="baseline"/>
        </w:rPr>
        <w:t> </w:t>
      </w:r>
      <w:r>
        <w:rPr>
          <w:sz w:val="18"/>
          <w:vertAlign w:val="baseline"/>
        </w:rPr>
        <w:t>Department</w:t>
      </w:r>
      <w:r>
        <w:rPr>
          <w:spacing w:val="-3"/>
          <w:sz w:val="18"/>
          <w:vertAlign w:val="baseline"/>
        </w:rPr>
        <w:t> </w:t>
      </w:r>
      <w:r>
        <w:rPr>
          <w:sz w:val="18"/>
          <w:vertAlign w:val="baseline"/>
        </w:rPr>
        <w:t>of</w:t>
      </w:r>
      <w:r>
        <w:rPr>
          <w:spacing w:val="-2"/>
          <w:sz w:val="18"/>
          <w:vertAlign w:val="baseline"/>
        </w:rPr>
        <w:t> </w:t>
      </w:r>
      <w:r>
        <w:rPr>
          <w:sz w:val="18"/>
          <w:vertAlign w:val="baseline"/>
        </w:rPr>
        <w:t>Homeland</w:t>
      </w:r>
      <w:r>
        <w:rPr>
          <w:spacing w:val="-2"/>
          <w:sz w:val="18"/>
          <w:vertAlign w:val="baseline"/>
        </w:rPr>
        <w:t> </w:t>
      </w:r>
      <w:r>
        <w:rPr>
          <w:sz w:val="18"/>
          <w:vertAlign w:val="baseline"/>
        </w:rPr>
        <w:t>Security</w:t>
      </w:r>
      <w:r>
        <w:rPr>
          <w:spacing w:val="-2"/>
          <w:sz w:val="18"/>
          <w:vertAlign w:val="baseline"/>
        </w:rPr>
        <w:t> </w:t>
      </w:r>
      <w:r>
        <w:rPr>
          <w:sz w:val="18"/>
          <w:vertAlign w:val="baseline"/>
        </w:rPr>
        <w:t>Rule</w:t>
      </w:r>
      <w:r>
        <w:rPr>
          <w:spacing w:val="-2"/>
          <w:sz w:val="18"/>
          <w:vertAlign w:val="baseline"/>
        </w:rPr>
        <w:t> </w:t>
      </w:r>
      <w:r>
        <w:rPr>
          <w:sz w:val="18"/>
          <w:vertAlign w:val="baseline"/>
        </w:rPr>
        <w:t>Aims</w:t>
      </w:r>
      <w:r>
        <w:rPr>
          <w:spacing w:val="-2"/>
          <w:sz w:val="18"/>
          <w:vertAlign w:val="baseline"/>
        </w:rPr>
        <w:t> </w:t>
      </w:r>
      <w:r>
        <w:rPr>
          <w:sz w:val="18"/>
          <w:vertAlign w:val="baseline"/>
        </w:rPr>
        <w:t>to</w:t>
      </w:r>
      <w:r>
        <w:rPr>
          <w:spacing w:val="-2"/>
          <w:sz w:val="18"/>
          <w:vertAlign w:val="baseline"/>
        </w:rPr>
        <w:t> </w:t>
      </w:r>
      <w:r>
        <w:rPr>
          <w:sz w:val="18"/>
          <w:vertAlign w:val="baseline"/>
        </w:rPr>
        <w:t>Preserve</w:t>
      </w:r>
      <w:r>
        <w:rPr>
          <w:spacing w:val="-3"/>
          <w:sz w:val="18"/>
          <w:vertAlign w:val="baseline"/>
        </w:rPr>
        <w:t> </w:t>
      </w:r>
      <w:r>
        <w:rPr>
          <w:sz w:val="18"/>
          <w:vertAlign w:val="baseline"/>
        </w:rPr>
        <w:t>Deferred</w:t>
      </w:r>
      <w:r>
        <w:rPr>
          <w:spacing w:val="-2"/>
          <w:sz w:val="18"/>
          <w:vertAlign w:val="baseline"/>
        </w:rPr>
        <w:t> </w:t>
      </w:r>
      <w:r>
        <w:rPr>
          <w:sz w:val="18"/>
          <w:vertAlign w:val="baseline"/>
        </w:rPr>
        <w:t>Action</w:t>
      </w:r>
      <w:r>
        <w:rPr>
          <w:spacing w:val="-2"/>
          <w:sz w:val="18"/>
          <w:vertAlign w:val="baseline"/>
        </w:rPr>
        <w:t> </w:t>
      </w:r>
      <w:r>
        <w:rPr>
          <w:sz w:val="18"/>
          <w:vertAlign w:val="baseline"/>
        </w:rPr>
        <w:t>for</w:t>
      </w:r>
      <w:r>
        <w:rPr>
          <w:spacing w:val="-3"/>
          <w:sz w:val="18"/>
          <w:vertAlign w:val="baseline"/>
        </w:rPr>
        <w:t> </w:t>
      </w:r>
      <w:r>
        <w:rPr>
          <w:sz w:val="18"/>
          <w:vertAlign w:val="baseline"/>
        </w:rPr>
        <w:t>Childhood</w:t>
      </w:r>
      <w:r>
        <w:rPr>
          <w:spacing w:val="-2"/>
          <w:sz w:val="18"/>
          <w:vertAlign w:val="baseline"/>
        </w:rPr>
        <w:t> </w:t>
      </w:r>
      <w:r>
        <w:rPr>
          <w:sz w:val="18"/>
          <w:vertAlign w:val="baseline"/>
        </w:rPr>
        <w:t>Arrivals</w:t>
      </w:r>
      <w:r>
        <w:rPr>
          <w:spacing w:val="-2"/>
          <w:sz w:val="18"/>
          <w:vertAlign w:val="baseline"/>
        </w:rPr>
        <w:t> </w:t>
      </w:r>
      <w:r>
        <w:rPr>
          <w:sz w:val="18"/>
          <w:vertAlign w:val="baseline"/>
        </w:rPr>
        <w:t>Program amid Court Scrutiny | The Daily Nexus,” November 12, 2022, https://dailynexus.com/2022-11-12/new-department-of- </w:t>
      </w:r>
      <w:r>
        <w:rPr>
          <w:spacing w:val="-2"/>
          <w:sz w:val="18"/>
          <w:vertAlign w:val="baseline"/>
        </w:rPr>
        <w:t>homeland-security-rule-aims-to-preserve-deferred-action-for-childhood-arrivals-program-amid-court-scrutiny/.</w:t>
      </w:r>
    </w:p>
    <w:p>
      <w:pPr>
        <w:spacing w:line="219" w:lineRule="exact" w:before="0"/>
        <w:ind w:left="463" w:right="0" w:firstLine="0"/>
        <w:jc w:val="left"/>
        <w:rPr>
          <w:sz w:val="18"/>
        </w:rPr>
      </w:pPr>
      <w:r>
        <w:rPr>
          <w:sz w:val="18"/>
          <w:vertAlign w:val="superscript"/>
        </w:rPr>
        <w:t>65</w:t>
      </w:r>
      <w:r>
        <w:rPr>
          <w:spacing w:val="-13"/>
          <w:sz w:val="18"/>
          <w:vertAlign w:val="baseline"/>
        </w:rPr>
        <w:t> </w:t>
      </w:r>
      <w:r>
        <w:rPr>
          <w:sz w:val="18"/>
          <w:vertAlign w:val="baseline"/>
        </w:rPr>
        <w:t>Mattos,</w:t>
      </w:r>
      <w:r>
        <w:rPr>
          <w:spacing w:val="-5"/>
          <w:sz w:val="18"/>
          <w:vertAlign w:val="baseline"/>
        </w:rPr>
        <w:t> </w:t>
      </w:r>
      <w:r>
        <w:rPr>
          <w:sz w:val="18"/>
          <w:vertAlign w:val="baseline"/>
        </w:rPr>
        <w:t>Lima,</w:t>
      </w:r>
      <w:r>
        <w:rPr>
          <w:spacing w:val="-3"/>
          <w:sz w:val="18"/>
          <w:vertAlign w:val="baseline"/>
        </w:rPr>
        <w:t> </w:t>
      </w:r>
      <w:r>
        <w:rPr>
          <w:sz w:val="18"/>
          <w:vertAlign w:val="baseline"/>
        </w:rPr>
        <w:t>and</w:t>
      </w:r>
      <w:r>
        <w:rPr>
          <w:spacing w:val="-3"/>
          <w:sz w:val="18"/>
          <w:vertAlign w:val="baseline"/>
        </w:rPr>
        <w:t> </w:t>
      </w:r>
      <w:r>
        <w:rPr>
          <w:sz w:val="18"/>
          <w:vertAlign w:val="baseline"/>
        </w:rPr>
        <w:t>Ciurczak,</w:t>
      </w:r>
      <w:r>
        <w:rPr>
          <w:spacing w:val="-3"/>
          <w:sz w:val="18"/>
          <w:vertAlign w:val="baseline"/>
        </w:rPr>
        <w:t> </w:t>
      </w:r>
      <w:r>
        <w:rPr>
          <w:sz w:val="18"/>
          <w:vertAlign w:val="baseline"/>
        </w:rPr>
        <w:t>“Growing</w:t>
      </w:r>
      <w:r>
        <w:rPr>
          <w:spacing w:val="-2"/>
          <w:sz w:val="18"/>
          <w:vertAlign w:val="baseline"/>
        </w:rPr>
        <w:t> </w:t>
      </w:r>
      <w:r>
        <w:rPr>
          <w:sz w:val="18"/>
          <w:vertAlign w:val="baseline"/>
        </w:rPr>
        <w:t>Wave</w:t>
      </w:r>
      <w:r>
        <w:rPr>
          <w:spacing w:val="-2"/>
          <w:sz w:val="18"/>
          <w:vertAlign w:val="baseline"/>
        </w:rPr>
        <w:t> </w:t>
      </w:r>
      <w:r>
        <w:rPr>
          <w:sz w:val="18"/>
          <w:vertAlign w:val="baseline"/>
        </w:rPr>
        <w:t>of</w:t>
      </w:r>
      <w:r>
        <w:rPr>
          <w:spacing w:val="-2"/>
          <w:sz w:val="18"/>
          <w:vertAlign w:val="baseline"/>
        </w:rPr>
        <w:t> Restrictions.</w:t>
      </w:r>
    </w:p>
    <w:p>
      <w:pPr>
        <w:spacing w:before="0"/>
        <w:ind w:left="463" w:right="0" w:firstLine="0"/>
        <w:jc w:val="left"/>
        <w:rPr>
          <w:sz w:val="18"/>
        </w:rPr>
      </w:pPr>
      <w:r>
        <w:rPr>
          <w:sz w:val="18"/>
          <w:vertAlign w:val="superscript"/>
        </w:rPr>
        <w:t>66</w:t>
      </w:r>
      <w:r>
        <w:rPr>
          <w:spacing w:val="-15"/>
          <w:sz w:val="18"/>
          <w:vertAlign w:val="baseline"/>
        </w:rPr>
        <w:t> </w:t>
      </w:r>
      <w:r>
        <w:rPr>
          <w:sz w:val="18"/>
          <w:vertAlign w:val="baseline"/>
        </w:rPr>
        <w:t>Julián</w:t>
      </w:r>
      <w:r>
        <w:rPr>
          <w:spacing w:val="-5"/>
          <w:sz w:val="18"/>
          <w:vertAlign w:val="baseline"/>
        </w:rPr>
        <w:t> </w:t>
      </w:r>
      <w:r>
        <w:rPr>
          <w:sz w:val="18"/>
          <w:vertAlign w:val="baseline"/>
        </w:rPr>
        <w:t>Jeffries,</w:t>
      </w:r>
      <w:r>
        <w:rPr>
          <w:spacing w:val="-4"/>
          <w:sz w:val="18"/>
          <w:vertAlign w:val="baseline"/>
        </w:rPr>
        <w:t> </w:t>
      </w:r>
      <w:r>
        <w:rPr>
          <w:sz w:val="18"/>
          <w:vertAlign w:val="baseline"/>
        </w:rPr>
        <w:t>“The</w:t>
      </w:r>
      <w:r>
        <w:rPr>
          <w:spacing w:val="-3"/>
          <w:sz w:val="18"/>
          <w:vertAlign w:val="baseline"/>
        </w:rPr>
        <w:t> </w:t>
      </w:r>
      <w:r>
        <w:rPr>
          <w:sz w:val="18"/>
          <w:vertAlign w:val="baseline"/>
        </w:rPr>
        <w:t>Production</w:t>
      </w:r>
      <w:r>
        <w:rPr>
          <w:spacing w:val="-2"/>
          <w:sz w:val="18"/>
          <w:vertAlign w:val="baseline"/>
        </w:rPr>
        <w:t> </w:t>
      </w:r>
      <w:r>
        <w:rPr>
          <w:sz w:val="18"/>
          <w:vertAlign w:val="baseline"/>
        </w:rPr>
        <w:t>of</w:t>
      </w:r>
      <w:r>
        <w:rPr>
          <w:spacing w:val="-3"/>
          <w:sz w:val="18"/>
          <w:vertAlign w:val="baseline"/>
        </w:rPr>
        <w:t> </w:t>
      </w:r>
      <w:r>
        <w:rPr>
          <w:sz w:val="18"/>
          <w:vertAlign w:val="baseline"/>
        </w:rPr>
        <w:t>‘illegal’</w:t>
      </w:r>
      <w:r>
        <w:rPr>
          <w:spacing w:val="-3"/>
          <w:sz w:val="18"/>
          <w:vertAlign w:val="baseline"/>
        </w:rPr>
        <w:t> </w:t>
      </w:r>
      <w:r>
        <w:rPr>
          <w:sz w:val="18"/>
          <w:vertAlign w:val="baseline"/>
        </w:rPr>
        <w:t>subjects</w:t>
      </w:r>
      <w:r>
        <w:rPr>
          <w:spacing w:val="-3"/>
          <w:sz w:val="18"/>
          <w:vertAlign w:val="baseline"/>
        </w:rPr>
        <w:t> </w:t>
      </w:r>
      <w:r>
        <w:rPr>
          <w:sz w:val="18"/>
          <w:vertAlign w:val="baseline"/>
        </w:rPr>
        <w:t>in</w:t>
      </w:r>
      <w:r>
        <w:rPr>
          <w:spacing w:val="-2"/>
          <w:sz w:val="18"/>
          <w:vertAlign w:val="baseline"/>
        </w:rPr>
        <w:t> </w:t>
      </w:r>
      <w:r>
        <w:rPr>
          <w:sz w:val="18"/>
          <w:vertAlign w:val="baseline"/>
        </w:rPr>
        <w:t>Massachusetts</w:t>
      </w:r>
      <w:r>
        <w:rPr>
          <w:spacing w:val="-3"/>
          <w:sz w:val="18"/>
          <w:vertAlign w:val="baseline"/>
        </w:rPr>
        <w:t> </w:t>
      </w:r>
      <w:r>
        <w:rPr>
          <w:sz w:val="18"/>
          <w:vertAlign w:val="baseline"/>
        </w:rPr>
        <w:t>and</w:t>
      </w:r>
      <w:r>
        <w:rPr>
          <w:spacing w:val="-2"/>
          <w:sz w:val="18"/>
          <w:vertAlign w:val="baseline"/>
        </w:rPr>
        <w:t> </w:t>
      </w:r>
      <w:r>
        <w:rPr>
          <w:sz w:val="18"/>
          <w:vertAlign w:val="baseline"/>
        </w:rPr>
        <w:t>high</w:t>
      </w:r>
      <w:r>
        <w:rPr>
          <w:spacing w:val="-4"/>
          <w:sz w:val="18"/>
          <w:vertAlign w:val="baseline"/>
        </w:rPr>
        <w:t> </w:t>
      </w:r>
      <w:r>
        <w:rPr>
          <w:sz w:val="18"/>
          <w:vertAlign w:val="baseline"/>
        </w:rPr>
        <w:t>school</w:t>
      </w:r>
      <w:r>
        <w:rPr>
          <w:spacing w:val="-3"/>
          <w:sz w:val="18"/>
          <w:vertAlign w:val="baseline"/>
        </w:rPr>
        <w:t> </w:t>
      </w:r>
      <w:r>
        <w:rPr>
          <w:sz w:val="18"/>
          <w:vertAlign w:val="baseline"/>
        </w:rPr>
        <w:t>enrollment</w:t>
      </w:r>
      <w:r>
        <w:rPr>
          <w:spacing w:val="-4"/>
          <w:sz w:val="18"/>
          <w:vertAlign w:val="baseline"/>
        </w:rPr>
        <w:t> </w:t>
      </w:r>
      <w:r>
        <w:rPr>
          <w:sz w:val="18"/>
          <w:vertAlign w:val="baseline"/>
        </w:rPr>
        <w:t>for</w:t>
      </w:r>
      <w:r>
        <w:rPr>
          <w:spacing w:val="-3"/>
          <w:sz w:val="18"/>
          <w:vertAlign w:val="baseline"/>
        </w:rPr>
        <w:t> </w:t>
      </w:r>
      <w:r>
        <w:rPr>
          <w:sz w:val="18"/>
          <w:vertAlign w:val="baseline"/>
        </w:rPr>
        <w:t>undocumented</w:t>
      </w:r>
      <w:r>
        <w:rPr>
          <w:spacing w:val="-2"/>
          <w:sz w:val="18"/>
          <w:vertAlign w:val="baseline"/>
        </w:rPr>
        <w:t> youth.”</w:t>
      </w:r>
    </w:p>
    <w:p>
      <w:pPr>
        <w:spacing w:before="0"/>
        <w:ind w:left="463" w:right="0" w:firstLine="0"/>
        <w:jc w:val="left"/>
        <w:rPr>
          <w:sz w:val="18"/>
        </w:rPr>
      </w:pPr>
      <w:r>
        <w:rPr>
          <w:i/>
          <w:sz w:val="18"/>
        </w:rPr>
        <w:t>Latino</w:t>
      </w:r>
      <w:r>
        <w:rPr>
          <w:i/>
          <w:spacing w:val="-3"/>
          <w:sz w:val="18"/>
        </w:rPr>
        <w:t> </w:t>
      </w:r>
      <w:r>
        <w:rPr>
          <w:i/>
          <w:sz w:val="18"/>
        </w:rPr>
        <w:t>Studies</w:t>
      </w:r>
      <w:r>
        <w:rPr>
          <w:i/>
          <w:spacing w:val="-3"/>
          <w:sz w:val="18"/>
        </w:rPr>
        <w:t> </w:t>
      </w:r>
      <w:r>
        <w:rPr>
          <w:sz w:val="18"/>
        </w:rPr>
        <w:t>12,</w:t>
      </w:r>
      <w:r>
        <w:rPr>
          <w:spacing w:val="-2"/>
          <w:sz w:val="18"/>
        </w:rPr>
        <w:t> </w:t>
      </w:r>
      <w:r>
        <w:rPr>
          <w:sz w:val="18"/>
        </w:rPr>
        <w:t>no.</w:t>
      </w:r>
      <w:r>
        <w:rPr>
          <w:spacing w:val="-3"/>
          <w:sz w:val="18"/>
        </w:rPr>
        <w:t> </w:t>
      </w:r>
      <w:r>
        <w:rPr>
          <w:sz w:val="18"/>
        </w:rPr>
        <w:t>1</w:t>
      </w:r>
      <w:r>
        <w:rPr>
          <w:spacing w:val="-2"/>
          <w:sz w:val="18"/>
        </w:rPr>
        <w:t> </w:t>
      </w:r>
      <w:r>
        <w:rPr>
          <w:sz w:val="18"/>
        </w:rPr>
        <w:t>(2014):</w:t>
      </w:r>
      <w:r>
        <w:rPr>
          <w:spacing w:val="-3"/>
          <w:sz w:val="18"/>
        </w:rPr>
        <w:t> </w:t>
      </w:r>
      <w:r>
        <w:rPr>
          <w:sz w:val="18"/>
        </w:rPr>
        <w:t>65-</w:t>
      </w:r>
      <w:r>
        <w:rPr>
          <w:spacing w:val="-5"/>
          <w:sz w:val="18"/>
        </w:rPr>
        <w:t>87</w:t>
      </w:r>
    </w:p>
    <w:p>
      <w:pPr>
        <w:spacing w:after="0"/>
        <w:jc w:val="left"/>
        <w:rPr>
          <w:sz w:val="18"/>
        </w:rPr>
        <w:sectPr>
          <w:pgSz w:w="12240" w:h="15840"/>
          <w:pgMar w:header="805" w:footer="1208" w:top="1080" w:bottom="1460" w:left="980" w:right="1180"/>
        </w:sectPr>
      </w:pPr>
    </w:p>
    <w:p>
      <w:pPr>
        <w:pStyle w:val="BodyText"/>
        <w:rPr>
          <w:sz w:val="34"/>
        </w:rPr>
      </w:pPr>
    </w:p>
    <w:p>
      <w:pPr>
        <w:pStyle w:val="BodyText"/>
        <w:spacing w:before="237"/>
        <w:rPr>
          <w:sz w:val="34"/>
        </w:rPr>
      </w:pPr>
    </w:p>
    <w:p>
      <w:pPr>
        <w:spacing w:before="0"/>
        <w:ind w:left="323" w:right="0" w:firstLine="0"/>
        <w:jc w:val="left"/>
        <w:rPr>
          <w:sz w:val="34"/>
        </w:rPr>
      </w:pPr>
      <w:bookmarkStart w:name="Flyer Template for Reports Gianna, Theo " w:id="801"/>
      <w:bookmarkEnd w:id="801"/>
      <w:r>
        <w:rPr/>
      </w:r>
      <w:r>
        <w:rPr>
          <w:color w:val="5854A2"/>
          <w:w w:val="120"/>
          <w:sz w:val="34"/>
        </w:rPr>
        <w:t>COMMISSION</w:t>
      </w:r>
      <w:r>
        <w:rPr>
          <w:color w:val="5854A2"/>
          <w:spacing w:val="17"/>
          <w:w w:val="120"/>
          <w:sz w:val="34"/>
        </w:rPr>
        <w:t> </w:t>
      </w:r>
      <w:r>
        <w:rPr>
          <w:color w:val="5854A2"/>
          <w:w w:val="120"/>
          <w:sz w:val="34"/>
        </w:rPr>
        <w:t>ON</w:t>
      </w:r>
      <w:r>
        <w:rPr>
          <w:color w:val="5854A2"/>
          <w:spacing w:val="18"/>
          <w:w w:val="120"/>
          <w:sz w:val="34"/>
        </w:rPr>
        <w:t> </w:t>
      </w:r>
      <w:r>
        <w:rPr>
          <w:color w:val="5854A2"/>
          <w:w w:val="120"/>
          <w:sz w:val="34"/>
        </w:rPr>
        <w:t>LGBTQ</w:t>
      </w:r>
      <w:r>
        <w:rPr>
          <w:color w:val="5854A2"/>
          <w:spacing w:val="18"/>
          <w:w w:val="120"/>
          <w:sz w:val="34"/>
        </w:rPr>
        <w:t> </w:t>
      </w:r>
      <w:r>
        <w:rPr>
          <w:color w:val="5854A2"/>
          <w:spacing w:val="-2"/>
          <w:w w:val="120"/>
          <w:sz w:val="34"/>
        </w:rPr>
        <w:t>YOUTH</w:t>
      </w:r>
    </w:p>
    <w:p>
      <w:pPr>
        <w:spacing w:line="187" w:lineRule="auto" w:before="224"/>
        <w:ind w:left="323" w:right="3584" w:firstLine="0"/>
        <w:jc w:val="left"/>
        <w:rPr>
          <w:rFonts w:ascii="Arial Black"/>
          <w:sz w:val="45"/>
        </w:rPr>
      </w:pPr>
      <w:r>
        <w:rPr>
          <w:rFonts w:ascii="Arial Black"/>
          <w:color w:val="FFFFFF"/>
          <w:spacing w:val="-18"/>
          <w:sz w:val="45"/>
        </w:rPr>
        <w:t>INCLUSIVE</w:t>
      </w:r>
      <w:r>
        <w:rPr>
          <w:rFonts w:ascii="Arial Black"/>
          <w:color w:val="FFFFFF"/>
          <w:spacing w:val="-58"/>
          <w:sz w:val="45"/>
        </w:rPr>
        <w:t> </w:t>
      </w:r>
      <w:r>
        <w:rPr>
          <w:rFonts w:ascii="Arial Black"/>
          <w:color w:val="FFFFFF"/>
          <w:spacing w:val="-18"/>
          <w:sz w:val="45"/>
        </w:rPr>
        <w:t>SERVICE </w:t>
      </w:r>
      <w:r>
        <w:rPr>
          <w:rFonts w:ascii="Arial Black"/>
          <w:color w:val="FFFFFF"/>
          <w:spacing w:val="-14"/>
          <w:sz w:val="45"/>
        </w:rPr>
        <w:t>PROVISION</w:t>
      </w:r>
      <w:r>
        <w:rPr>
          <w:rFonts w:ascii="Arial Black"/>
          <w:color w:val="FFFFFF"/>
          <w:spacing w:val="-56"/>
          <w:sz w:val="45"/>
        </w:rPr>
        <w:t> </w:t>
      </w:r>
      <w:r>
        <w:rPr>
          <w:rFonts w:ascii="Arial Black"/>
          <w:color w:val="FFFFFF"/>
          <w:spacing w:val="-14"/>
          <w:sz w:val="45"/>
        </w:rPr>
        <w:t>FOR</w:t>
      </w:r>
      <w:r>
        <w:rPr>
          <w:rFonts w:ascii="Arial Black"/>
          <w:color w:val="FFFFFF"/>
          <w:spacing w:val="-56"/>
          <w:sz w:val="45"/>
        </w:rPr>
        <w:t> </w:t>
      </w:r>
      <w:r>
        <w:rPr>
          <w:rFonts w:ascii="Arial Black"/>
          <w:color w:val="FFFFFF"/>
          <w:spacing w:val="-14"/>
          <w:sz w:val="45"/>
        </w:rPr>
        <w:t>FOREIGN- </w:t>
      </w:r>
      <w:r>
        <w:rPr>
          <w:rFonts w:ascii="Arial Black"/>
          <w:color w:val="FFFFFF"/>
          <w:spacing w:val="-12"/>
          <w:sz w:val="45"/>
        </w:rPr>
        <w:t>BORN</w:t>
      </w:r>
      <w:r>
        <w:rPr>
          <w:rFonts w:ascii="Arial Black"/>
          <w:color w:val="FFFFFF"/>
          <w:spacing w:val="-56"/>
          <w:sz w:val="45"/>
        </w:rPr>
        <w:t> </w:t>
      </w:r>
      <w:r>
        <w:rPr>
          <w:rFonts w:ascii="Arial Black"/>
          <w:color w:val="FFFFFF"/>
          <w:spacing w:val="-12"/>
          <w:sz w:val="45"/>
        </w:rPr>
        <w:t>LGBTQ</w:t>
      </w:r>
      <w:r>
        <w:rPr>
          <w:rFonts w:ascii="Arial Black"/>
          <w:color w:val="FFFFFF"/>
          <w:spacing w:val="-56"/>
          <w:sz w:val="45"/>
        </w:rPr>
        <w:t> </w:t>
      </w:r>
      <w:r>
        <w:rPr>
          <w:rFonts w:ascii="Arial Black"/>
          <w:color w:val="FFFFFF"/>
          <w:spacing w:val="-12"/>
          <w:sz w:val="45"/>
        </w:rPr>
        <w:t>YOUTH</w:t>
      </w:r>
    </w:p>
    <w:p>
      <w:pPr>
        <w:pStyle w:val="BodyText"/>
        <w:rPr>
          <w:rFonts w:ascii="Arial Black"/>
          <w:sz w:val="20"/>
        </w:rPr>
      </w:pPr>
    </w:p>
    <w:p>
      <w:pPr>
        <w:pStyle w:val="BodyText"/>
        <w:rPr>
          <w:rFonts w:ascii="Arial Black"/>
          <w:sz w:val="20"/>
        </w:rPr>
      </w:pPr>
    </w:p>
    <w:p>
      <w:pPr>
        <w:pStyle w:val="BodyText"/>
        <w:rPr>
          <w:rFonts w:ascii="Arial Black"/>
          <w:sz w:val="20"/>
        </w:rPr>
      </w:pPr>
    </w:p>
    <w:p>
      <w:pPr>
        <w:pStyle w:val="BodyText"/>
        <w:rPr>
          <w:rFonts w:ascii="Arial Black"/>
          <w:sz w:val="20"/>
        </w:rPr>
      </w:pPr>
    </w:p>
    <w:p>
      <w:pPr>
        <w:pStyle w:val="BodyText"/>
        <w:spacing w:before="45"/>
        <w:rPr>
          <w:rFonts w:ascii="Arial Black"/>
          <w:sz w:val="20"/>
        </w:rPr>
      </w:pPr>
    </w:p>
    <w:p>
      <w:pPr>
        <w:spacing w:after="0"/>
        <w:rPr>
          <w:rFonts w:ascii="Arial Black"/>
          <w:sz w:val="20"/>
        </w:rPr>
        <w:sectPr>
          <w:headerReference w:type="default" r:id="rId605"/>
          <w:footerReference w:type="default" r:id="rId606"/>
          <w:pgSz w:w="12240" w:h="15840"/>
          <w:pgMar w:header="0" w:footer="0" w:top="0" w:bottom="280" w:left="920" w:right="340"/>
        </w:sectPr>
      </w:pPr>
    </w:p>
    <w:p>
      <w:pPr>
        <w:pStyle w:val="Heading9"/>
        <w:rPr>
          <w:i/>
        </w:rPr>
      </w:pPr>
      <w:r>
        <w:rPr>
          <w:i/>
          <w:spacing w:val="11"/>
          <w:w w:val="125"/>
        </w:rPr>
        <w:t>ABOUT</w:t>
      </w:r>
    </w:p>
    <w:p>
      <w:pPr>
        <w:tabs>
          <w:tab w:pos="2094" w:val="left" w:leader="none"/>
          <w:tab w:pos="3983" w:val="left" w:leader="none"/>
        </w:tabs>
        <w:spacing w:line="278" w:lineRule="auto" w:before="62"/>
        <w:ind w:left="323" w:right="38" w:firstLine="0"/>
        <w:jc w:val="both"/>
        <w:rPr>
          <w:rFonts w:ascii="Georgia"/>
          <w:sz w:val="24"/>
        </w:rPr>
      </w:pPr>
      <w:r>
        <w:rPr/>
        <mc:AlternateContent>
          <mc:Choice Requires="wps">
            <w:drawing>
              <wp:anchor distT="0" distB="0" distL="0" distR="0" allowOverlap="1" layoutInCell="1" locked="0" behindDoc="1" simplePos="0" relativeHeight="482637312">
                <wp:simplePos x="0" y="0"/>
                <wp:positionH relativeFrom="page">
                  <wp:posOffset>655211</wp:posOffset>
                </wp:positionH>
                <wp:positionV relativeFrom="paragraph">
                  <wp:posOffset>2393121</wp:posOffset>
                </wp:positionV>
                <wp:extent cx="3473450" cy="2377440"/>
                <wp:effectExtent l="0" t="0" r="0" b="0"/>
                <wp:wrapNone/>
                <wp:docPr id="442" name="Group 442"/>
                <wp:cNvGraphicFramePr>
                  <a:graphicFrameLocks/>
                </wp:cNvGraphicFramePr>
                <a:graphic>
                  <a:graphicData uri="http://schemas.microsoft.com/office/word/2010/wordprocessingGroup">
                    <wpg:wgp>
                      <wpg:cNvPr id="442" name="Group 442"/>
                      <wpg:cNvGrpSpPr/>
                      <wpg:grpSpPr>
                        <a:xfrm>
                          <a:off x="0" y="0"/>
                          <a:ext cx="3473450" cy="2377440"/>
                          <a:chExt cx="3473450" cy="2377440"/>
                        </a:xfrm>
                      </wpg:grpSpPr>
                      <pic:pic>
                        <pic:nvPicPr>
                          <pic:cNvPr id="443" name="Image 443"/>
                          <pic:cNvPicPr/>
                        </pic:nvPicPr>
                        <pic:blipFill>
                          <a:blip r:embed="rId607" cstate="print"/>
                          <a:stretch>
                            <a:fillRect/>
                          </a:stretch>
                        </pic:blipFill>
                        <pic:spPr>
                          <a:xfrm>
                            <a:off x="0" y="0"/>
                            <a:ext cx="3473166" cy="2377354"/>
                          </a:xfrm>
                          <a:prstGeom prst="rect">
                            <a:avLst/>
                          </a:prstGeom>
                        </pic:spPr>
                      </pic:pic>
                      <wps:wsp>
                        <wps:cNvPr id="444" name="Textbox 444"/>
                        <wps:cNvSpPr txBox="1"/>
                        <wps:spPr>
                          <a:xfrm>
                            <a:off x="0" y="0"/>
                            <a:ext cx="3473450" cy="2377440"/>
                          </a:xfrm>
                          <a:prstGeom prst="rect">
                            <a:avLst/>
                          </a:prstGeom>
                        </wps:spPr>
                        <wps:txbx>
                          <w:txbxContent>
                            <w:p>
                              <w:pPr>
                                <w:spacing w:before="215"/>
                                <w:ind w:left="280" w:right="0" w:firstLine="0"/>
                                <w:jc w:val="left"/>
                                <w:rPr>
                                  <w:b/>
                                  <w:i/>
                                  <w:sz w:val="34"/>
                                </w:rPr>
                              </w:pPr>
                              <w:r>
                                <w:rPr>
                                  <w:b/>
                                  <w:i/>
                                  <w:spacing w:val="13"/>
                                  <w:w w:val="125"/>
                                  <w:sz w:val="34"/>
                                </w:rPr>
                                <w:t>RECOMMENDATIONS</w:t>
                              </w:r>
                            </w:p>
                            <w:p>
                              <w:pPr>
                                <w:spacing w:line="276" w:lineRule="auto" w:before="44"/>
                                <w:ind w:left="903" w:right="0" w:firstLine="0"/>
                                <w:jc w:val="left"/>
                                <w:rPr>
                                  <w:rFonts w:ascii="Georgia"/>
                                  <w:sz w:val="18"/>
                                </w:rPr>
                              </w:pPr>
                              <w:r>
                                <w:rPr>
                                  <w:rFonts w:ascii="Georgia"/>
                                  <w:w w:val="105"/>
                                  <w:sz w:val="18"/>
                                </w:rPr>
                                <w:t>Improve</w:t>
                              </w:r>
                              <w:r>
                                <w:rPr>
                                  <w:rFonts w:ascii="Georgia"/>
                                  <w:spacing w:val="-3"/>
                                  <w:w w:val="105"/>
                                  <w:sz w:val="18"/>
                                </w:rPr>
                                <w:t> </w:t>
                              </w:r>
                              <w:r>
                                <w:rPr>
                                  <w:rFonts w:ascii="Georgia"/>
                                  <w:w w:val="105"/>
                                  <w:sz w:val="18"/>
                                </w:rPr>
                                <w:t>the</w:t>
                              </w:r>
                              <w:r>
                                <w:rPr>
                                  <w:rFonts w:ascii="Georgia"/>
                                  <w:spacing w:val="-3"/>
                                  <w:w w:val="105"/>
                                  <w:sz w:val="18"/>
                                </w:rPr>
                                <w:t> </w:t>
                              </w:r>
                              <w:r>
                                <w:rPr>
                                  <w:rFonts w:ascii="Georgia"/>
                                  <w:w w:val="105"/>
                                  <w:sz w:val="18"/>
                                </w:rPr>
                                <w:t>availability</w:t>
                              </w:r>
                              <w:r>
                                <w:rPr>
                                  <w:rFonts w:ascii="Georgia"/>
                                  <w:spacing w:val="-3"/>
                                  <w:w w:val="105"/>
                                  <w:sz w:val="18"/>
                                </w:rPr>
                                <w:t> </w:t>
                              </w:r>
                              <w:r>
                                <w:rPr>
                                  <w:rFonts w:ascii="Georgia"/>
                                  <w:w w:val="105"/>
                                  <w:sz w:val="18"/>
                                </w:rPr>
                                <w:t>of</w:t>
                              </w:r>
                              <w:r>
                                <w:rPr>
                                  <w:rFonts w:ascii="Georgia"/>
                                  <w:spacing w:val="-3"/>
                                  <w:w w:val="105"/>
                                  <w:sz w:val="18"/>
                                </w:rPr>
                                <w:t> </w:t>
                              </w:r>
                              <w:r>
                                <w:rPr>
                                  <w:rFonts w:ascii="Georgia"/>
                                  <w:w w:val="105"/>
                                  <w:sz w:val="18"/>
                                </w:rPr>
                                <w:t>multilingual,</w:t>
                              </w:r>
                              <w:r>
                                <w:rPr>
                                  <w:rFonts w:ascii="Georgia"/>
                                  <w:spacing w:val="-3"/>
                                  <w:w w:val="105"/>
                                  <w:sz w:val="18"/>
                                </w:rPr>
                                <w:t> </w:t>
                              </w:r>
                              <w:r>
                                <w:rPr>
                                  <w:rFonts w:ascii="Georgia"/>
                                  <w:w w:val="105"/>
                                  <w:sz w:val="18"/>
                                </w:rPr>
                                <w:t>LGBTQ- affirming</w:t>
                              </w:r>
                              <w:r>
                                <w:rPr>
                                  <w:rFonts w:ascii="Georgia"/>
                                  <w:spacing w:val="-10"/>
                                  <w:w w:val="105"/>
                                  <w:sz w:val="18"/>
                                </w:rPr>
                                <w:t> </w:t>
                              </w:r>
                              <w:r>
                                <w:rPr>
                                  <w:rFonts w:ascii="Georgia"/>
                                  <w:w w:val="105"/>
                                  <w:sz w:val="18"/>
                                </w:rPr>
                                <w:t>services</w:t>
                              </w:r>
                              <w:r>
                                <w:rPr>
                                  <w:rFonts w:ascii="Georgia"/>
                                  <w:spacing w:val="-10"/>
                                  <w:w w:val="105"/>
                                  <w:sz w:val="18"/>
                                </w:rPr>
                                <w:t> </w:t>
                              </w:r>
                              <w:r>
                                <w:rPr>
                                  <w:rFonts w:ascii="Georgia"/>
                                  <w:w w:val="105"/>
                                  <w:sz w:val="18"/>
                                </w:rPr>
                                <w:t>for</w:t>
                              </w:r>
                              <w:r>
                                <w:rPr>
                                  <w:rFonts w:ascii="Georgia"/>
                                  <w:spacing w:val="-10"/>
                                  <w:w w:val="105"/>
                                  <w:sz w:val="18"/>
                                </w:rPr>
                                <w:t> </w:t>
                              </w:r>
                              <w:r>
                                <w:rPr>
                                  <w:rFonts w:ascii="Georgia"/>
                                  <w:w w:val="105"/>
                                  <w:sz w:val="18"/>
                                </w:rPr>
                                <w:t>foreign-born</w:t>
                              </w:r>
                              <w:r>
                                <w:rPr>
                                  <w:rFonts w:ascii="Georgia"/>
                                  <w:spacing w:val="-10"/>
                                  <w:w w:val="105"/>
                                  <w:sz w:val="18"/>
                                </w:rPr>
                                <w:t> </w:t>
                              </w:r>
                              <w:r>
                                <w:rPr>
                                  <w:rFonts w:ascii="Georgia"/>
                                  <w:w w:val="105"/>
                                  <w:sz w:val="18"/>
                                </w:rPr>
                                <w:t>residents,</w:t>
                              </w:r>
                              <w:r>
                                <w:rPr>
                                  <w:rFonts w:ascii="Georgia"/>
                                  <w:spacing w:val="-10"/>
                                  <w:w w:val="105"/>
                                  <w:sz w:val="18"/>
                                </w:rPr>
                                <w:t> </w:t>
                              </w:r>
                              <w:r>
                                <w:rPr>
                                  <w:rFonts w:ascii="Georgia"/>
                                  <w:w w:val="105"/>
                                  <w:sz w:val="18"/>
                                </w:rPr>
                                <w:t>and increase funding for existing programs.</w:t>
                              </w:r>
                            </w:p>
                            <w:p>
                              <w:pPr>
                                <w:spacing w:line="240" w:lineRule="auto" w:before="22"/>
                                <w:rPr>
                                  <w:rFonts w:ascii="Georgia"/>
                                  <w:sz w:val="18"/>
                                </w:rPr>
                              </w:pPr>
                            </w:p>
                            <w:p>
                              <w:pPr>
                                <w:spacing w:before="0"/>
                                <w:ind w:left="903" w:right="0" w:firstLine="0"/>
                                <w:jc w:val="left"/>
                                <w:rPr>
                                  <w:rFonts w:ascii="Georgia"/>
                                  <w:sz w:val="18"/>
                                </w:rPr>
                              </w:pPr>
                              <w:r>
                                <w:rPr>
                                  <w:rFonts w:ascii="Georgia"/>
                                  <w:sz w:val="18"/>
                                </w:rPr>
                                <w:t>Establish</w:t>
                              </w:r>
                              <w:r>
                                <w:rPr>
                                  <w:rFonts w:ascii="Georgia"/>
                                  <w:spacing w:val="11"/>
                                  <w:sz w:val="18"/>
                                </w:rPr>
                                <w:t> </w:t>
                              </w:r>
                              <w:r>
                                <w:rPr>
                                  <w:rFonts w:ascii="Georgia"/>
                                  <w:sz w:val="18"/>
                                </w:rPr>
                                <w:t>an</w:t>
                              </w:r>
                              <w:r>
                                <w:rPr>
                                  <w:rFonts w:ascii="Georgia"/>
                                  <w:spacing w:val="11"/>
                                  <w:sz w:val="18"/>
                                </w:rPr>
                                <w:t> </w:t>
                              </w:r>
                              <w:r>
                                <w:rPr>
                                  <w:rFonts w:ascii="Georgia"/>
                                  <w:sz w:val="18"/>
                                </w:rPr>
                                <w:t>LGBTQ</w:t>
                              </w:r>
                              <w:r>
                                <w:rPr>
                                  <w:rFonts w:ascii="Georgia"/>
                                  <w:spacing w:val="12"/>
                                  <w:sz w:val="18"/>
                                </w:rPr>
                                <w:t> </w:t>
                              </w:r>
                              <w:r>
                                <w:rPr>
                                  <w:rFonts w:ascii="Georgia"/>
                                  <w:sz w:val="18"/>
                                </w:rPr>
                                <w:t>Immigrant</w:t>
                              </w:r>
                              <w:r>
                                <w:rPr>
                                  <w:rFonts w:ascii="Georgia"/>
                                  <w:spacing w:val="11"/>
                                  <w:sz w:val="18"/>
                                </w:rPr>
                                <w:t> </w:t>
                              </w:r>
                              <w:r>
                                <w:rPr>
                                  <w:rFonts w:ascii="Georgia"/>
                                  <w:sz w:val="18"/>
                                </w:rPr>
                                <w:t>&amp;</w:t>
                              </w:r>
                              <w:r>
                                <w:rPr>
                                  <w:rFonts w:ascii="Georgia"/>
                                  <w:spacing w:val="12"/>
                                  <w:sz w:val="18"/>
                                </w:rPr>
                                <w:t> </w:t>
                              </w:r>
                              <w:r>
                                <w:rPr>
                                  <w:rFonts w:ascii="Georgia"/>
                                  <w:sz w:val="18"/>
                                </w:rPr>
                                <w:t>Refugee</w:t>
                              </w:r>
                              <w:r>
                                <w:rPr>
                                  <w:rFonts w:ascii="Georgia"/>
                                  <w:spacing w:val="11"/>
                                  <w:sz w:val="18"/>
                                </w:rPr>
                                <w:t> </w:t>
                              </w:r>
                              <w:r>
                                <w:rPr>
                                  <w:rFonts w:ascii="Georgia"/>
                                  <w:sz w:val="18"/>
                                </w:rPr>
                                <w:t>Task</w:t>
                              </w:r>
                              <w:r>
                                <w:rPr>
                                  <w:rFonts w:ascii="Georgia"/>
                                  <w:spacing w:val="12"/>
                                  <w:sz w:val="18"/>
                                </w:rPr>
                                <w:t> </w:t>
                              </w:r>
                              <w:r>
                                <w:rPr>
                                  <w:rFonts w:ascii="Georgia"/>
                                  <w:spacing w:val="-2"/>
                                  <w:sz w:val="18"/>
                                </w:rPr>
                                <w:t>Force.</w:t>
                              </w:r>
                            </w:p>
                            <w:p>
                              <w:pPr>
                                <w:spacing w:line="240" w:lineRule="auto" w:before="164"/>
                                <w:rPr>
                                  <w:rFonts w:ascii="Georgia"/>
                                  <w:sz w:val="18"/>
                                </w:rPr>
                              </w:pPr>
                            </w:p>
                            <w:p>
                              <w:pPr>
                                <w:spacing w:line="276" w:lineRule="auto" w:before="0"/>
                                <w:ind w:left="875" w:right="91" w:firstLine="0"/>
                                <w:jc w:val="left"/>
                                <w:rPr>
                                  <w:rFonts w:ascii="Georgia"/>
                                  <w:sz w:val="18"/>
                                </w:rPr>
                              </w:pPr>
                              <w:r>
                                <w:rPr>
                                  <w:rFonts w:ascii="Georgia"/>
                                  <w:w w:val="105"/>
                                  <w:sz w:val="18"/>
                                </w:rPr>
                                <w:t>Address</w:t>
                              </w:r>
                              <w:r>
                                <w:rPr>
                                  <w:rFonts w:ascii="Georgia"/>
                                  <w:spacing w:val="-12"/>
                                  <w:w w:val="105"/>
                                  <w:sz w:val="18"/>
                                </w:rPr>
                                <w:t> </w:t>
                              </w:r>
                              <w:r>
                                <w:rPr>
                                  <w:rFonts w:ascii="Georgia"/>
                                  <w:w w:val="105"/>
                                  <w:sz w:val="18"/>
                                </w:rPr>
                                <w:t>the</w:t>
                              </w:r>
                              <w:r>
                                <w:rPr>
                                  <w:rFonts w:ascii="Georgia"/>
                                  <w:spacing w:val="-11"/>
                                  <w:w w:val="105"/>
                                  <w:sz w:val="18"/>
                                </w:rPr>
                                <w:t> </w:t>
                              </w:r>
                              <w:r>
                                <w:rPr>
                                  <w:rFonts w:ascii="Georgia"/>
                                  <w:w w:val="105"/>
                                  <w:sz w:val="18"/>
                                </w:rPr>
                                <w:t>concerning</w:t>
                              </w:r>
                              <w:r>
                                <w:rPr>
                                  <w:rFonts w:ascii="Georgia"/>
                                  <w:spacing w:val="-12"/>
                                  <w:w w:val="105"/>
                                  <w:sz w:val="18"/>
                                </w:rPr>
                                <w:t> </w:t>
                              </w:r>
                              <w:r>
                                <w:rPr>
                                  <w:rFonts w:ascii="Georgia"/>
                                  <w:w w:val="105"/>
                                  <w:sz w:val="18"/>
                                </w:rPr>
                                <w:t>lack</w:t>
                              </w:r>
                              <w:r>
                                <w:rPr>
                                  <w:rFonts w:ascii="Georgia"/>
                                  <w:spacing w:val="-11"/>
                                  <w:w w:val="105"/>
                                  <w:sz w:val="18"/>
                                </w:rPr>
                                <w:t> </w:t>
                              </w:r>
                              <w:r>
                                <w:rPr>
                                  <w:rFonts w:ascii="Georgia"/>
                                  <w:w w:val="105"/>
                                  <w:sz w:val="18"/>
                                </w:rPr>
                                <w:t>of</w:t>
                              </w:r>
                              <w:r>
                                <w:rPr>
                                  <w:rFonts w:ascii="Georgia"/>
                                  <w:spacing w:val="-11"/>
                                  <w:w w:val="105"/>
                                  <w:sz w:val="18"/>
                                </w:rPr>
                                <w:t> </w:t>
                              </w:r>
                              <w:r>
                                <w:rPr>
                                  <w:rFonts w:ascii="Georgia"/>
                                  <w:w w:val="105"/>
                                  <w:sz w:val="18"/>
                                </w:rPr>
                                <w:t>SOGIE</w:t>
                              </w:r>
                              <w:r>
                                <w:rPr>
                                  <w:rFonts w:ascii="Georgia"/>
                                  <w:spacing w:val="-12"/>
                                  <w:w w:val="105"/>
                                  <w:sz w:val="18"/>
                                </w:rPr>
                                <w:t> </w:t>
                              </w:r>
                              <w:r>
                                <w:rPr>
                                  <w:rFonts w:ascii="Georgia"/>
                                  <w:w w:val="105"/>
                                  <w:sz w:val="18"/>
                                </w:rPr>
                                <w:t>data</w:t>
                              </w:r>
                              <w:r>
                                <w:rPr>
                                  <w:rFonts w:ascii="Georgia"/>
                                  <w:spacing w:val="-11"/>
                                  <w:w w:val="105"/>
                                  <w:sz w:val="18"/>
                                </w:rPr>
                                <w:t> </w:t>
                              </w:r>
                              <w:r>
                                <w:rPr>
                                  <w:rFonts w:ascii="Georgia"/>
                                  <w:w w:val="105"/>
                                  <w:sz w:val="18"/>
                                </w:rPr>
                                <w:t>collection at the state level.</w:t>
                              </w:r>
                            </w:p>
                            <w:p>
                              <w:pPr>
                                <w:spacing w:line="240" w:lineRule="auto" w:before="194"/>
                                <w:rPr>
                                  <w:rFonts w:ascii="Georgia"/>
                                  <w:sz w:val="18"/>
                                </w:rPr>
                              </w:pPr>
                            </w:p>
                            <w:p>
                              <w:pPr>
                                <w:spacing w:before="0"/>
                                <w:ind w:left="875" w:right="0" w:firstLine="0"/>
                                <w:jc w:val="left"/>
                                <w:rPr>
                                  <w:rFonts w:ascii="Georgia"/>
                                  <w:sz w:val="18"/>
                                </w:rPr>
                              </w:pPr>
                              <w:r>
                                <w:rPr>
                                  <w:rFonts w:ascii="Georgia"/>
                                  <w:w w:val="105"/>
                                  <w:sz w:val="18"/>
                                </w:rPr>
                                <w:t>Protect</w:t>
                              </w:r>
                              <w:r>
                                <w:rPr>
                                  <w:rFonts w:ascii="Georgia"/>
                                  <w:spacing w:val="-11"/>
                                  <w:w w:val="105"/>
                                  <w:sz w:val="18"/>
                                </w:rPr>
                                <w:t> </w:t>
                              </w:r>
                              <w:r>
                                <w:rPr>
                                  <w:rFonts w:ascii="Georgia"/>
                                  <w:w w:val="105"/>
                                  <w:sz w:val="18"/>
                                </w:rPr>
                                <w:t>and</w:t>
                              </w:r>
                              <w:r>
                                <w:rPr>
                                  <w:rFonts w:ascii="Georgia"/>
                                  <w:spacing w:val="-10"/>
                                  <w:w w:val="105"/>
                                  <w:sz w:val="18"/>
                                </w:rPr>
                                <w:t> </w:t>
                              </w:r>
                              <w:r>
                                <w:rPr>
                                  <w:rFonts w:ascii="Georgia"/>
                                  <w:w w:val="105"/>
                                  <w:sz w:val="18"/>
                                </w:rPr>
                                <w:t>support</w:t>
                              </w:r>
                              <w:r>
                                <w:rPr>
                                  <w:rFonts w:ascii="Georgia"/>
                                  <w:spacing w:val="-10"/>
                                  <w:w w:val="105"/>
                                  <w:sz w:val="18"/>
                                </w:rPr>
                                <w:t> </w:t>
                              </w:r>
                              <w:r>
                                <w:rPr>
                                  <w:rFonts w:ascii="Georgia"/>
                                  <w:w w:val="105"/>
                                  <w:sz w:val="18"/>
                                </w:rPr>
                                <w:t>undocumented</w:t>
                              </w:r>
                              <w:r>
                                <w:rPr>
                                  <w:rFonts w:ascii="Georgia"/>
                                  <w:spacing w:val="-10"/>
                                  <w:w w:val="105"/>
                                  <w:sz w:val="18"/>
                                </w:rPr>
                                <w:t> </w:t>
                              </w:r>
                              <w:r>
                                <w:rPr>
                                  <w:rFonts w:ascii="Georgia"/>
                                  <w:spacing w:val="-2"/>
                                  <w:w w:val="105"/>
                                  <w:sz w:val="18"/>
                                </w:rPr>
                                <w:t>youth.</w:t>
                              </w:r>
                            </w:p>
                          </w:txbxContent>
                        </wps:txbx>
                        <wps:bodyPr wrap="square" lIns="0" tIns="0" rIns="0" bIns="0" rtlCol="0">
                          <a:noAutofit/>
                        </wps:bodyPr>
                      </wps:wsp>
                    </wpg:wgp>
                  </a:graphicData>
                </a:graphic>
              </wp:anchor>
            </w:drawing>
          </mc:Choice>
          <mc:Fallback>
            <w:pict>
              <v:group style="position:absolute;margin-left:51.591461pt;margin-top:188.434769pt;width:273.5pt;height:187.2pt;mso-position-horizontal-relative:page;mso-position-vertical-relative:paragraph;z-index:-20679168" id="docshapegroup352" coordorigin="1032,3769" coordsize="5470,3744">
                <v:shape style="position:absolute;left:1031;top:3768;width:5470;height:3744" type="#_x0000_t75" id="docshape353" stroked="false">
                  <v:imagedata r:id="rId607" o:title=""/>
                </v:shape>
                <v:shape style="position:absolute;left:1031;top:3768;width:5470;height:3744" type="#_x0000_t202" id="docshape354" filled="false" stroked="false">
                  <v:textbox inset="0,0,0,0">
                    <w:txbxContent>
                      <w:p>
                        <w:pPr>
                          <w:spacing w:before="215"/>
                          <w:ind w:left="280" w:right="0" w:firstLine="0"/>
                          <w:jc w:val="left"/>
                          <w:rPr>
                            <w:b/>
                            <w:i/>
                            <w:sz w:val="34"/>
                          </w:rPr>
                        </w:pPr>
                        <w:r>
                          <w:rPr>
                            <w:b/>
                            <w:i/>
                            <w:spacing w:val="13"/>
                            <w:w w:val="125"/>
                            <w:sz w:val="34"/>
                          </w:rPr>
                          <w:t>RECOMMENDATIONS</w:t>
                        </w:r>
                      </w:p>
                      <w:p>
                        <w:pPr>
                          <w:spacing w:line="276" w:lineRule="auto" w:before="44"/>
                          <w:ind w:left="903" w:right="0" w:firstLine="0"/>
                          <w:jc w:val="left"/>
                          <w:rPr>
                            <w:rFonts w:ascii="Georgia"/>
                            <w:sz w:val="18"/>
                          </w:rPr>
                        </w:pPr>
                        <w:r>
                          <w:rPr>
                            <w:rFonts w:ascii="Georgia"/>
                            <w:w w:val="105"/>
                            <w:sz w:val="18"/>
                          </w:rPr>
                          <w:t>Improve</w:t>
                        </w:r>
                        <w:r>
                          <w:rPr>
                            <w:rFonts w:ascii="Georgia"/>
                            <w:spacing w:val="-3"/>
                            <w:w w:val="105"/>
                            <w:sz w:val="18"/>
                          </w:rPr>
                          <w:t> </w:t>
                        </w:r>
                        <w:r>
                          <w:rPr>
                            <w:rFonts w:ascii="Georgia"/>
                            <w:w w:val="105"/>
                            <w:sz w:val="18"/>
                          </w:rPr>
                          <w:t>the</w:t>
                        </w:r>
                        <w:r>
                          <w:rPr>
                            <w:rFonts w:ascii="Georgia"/>
                            <w:spacing w:val="-3"/>
                            <w:w w:val="105"/>
                            <w:sz w:val="18"/>
                          </w:rPr>
                          <w:t> </w:t>
                        </w:r>
                        <w:r>
                          <w:rPr>
                            <w:rFonts w:ascii="Georgia"/>
                            <w:w w:val="105"/>
                            <w:sz w:val="18"/>
                          </w:rPr>
                          <w:t>availability</w:t>
                        </w:r>
                        <w:r>
                          <w:rPr>
                            <w:rFonts w:ascii="Georgia"/>
                            <w:spacing w:val="-3"/>
                            <w:w w:val="105"/>
                            <w:sz w:val="18"/>
                          </w:rPr>
                          <w:t> </w:t>
                        </w:r>
                        <w:r>
                          <w:rPr>
                            <w:rFonts w:ascii="Georgia"/>
                            <w:w w:val="105"/>
                            <w:sz w:val="18"/>
                          </w:rPr>
                          <w:t>of</w:t>
                        </w:r>
                        <w:r>
                          <w:rPr>
                            <w:rFonts w:ascii="Georgia"/>
                            <w:spacing w:val="-3"/>
                            <w:w w:val="105"/>
                            <w:sz w:val="18"/>
                          </w:rPr>
                          <w:t> </w:t>
                        </w:r>
                        <w:r>
                          <w:rPr>
                            <w:rFonts w:ascii="Georgia"/>
                            <w:w w:val="105"/>
                            <w:sz w:val="18"/>
                          </w:rPr>
                          <w:t>multilingual,</w:t>
                        </w:r>
                        <w:r>
                          <w:rPr>
                            <w:rFonts w:ascii="Georgia"/>
                            <w:spacing w:val="-3"/>
                            <w:w w:val="105"/>
                            <w:sz w:val="18"/>
                          </w:rPr>
                          <w:t> </w:t>
                        </w:r>
                        <w:r>
                          <w:rPr>
                            <w:rFonts w:ascii="Georgia"/>
                            <w:w w:val="105"/>
                            <w:sz w:val="18"/>
                          </w:rPr>
                          <w:t>LGBTQ- affirming</w:t>
                        </w:r>
                        <w:r>
                          <w:rPr>
                            <w:rFonts w:ascii="Georgia"/>
                            <w:spacing w:val="-10"/>
                            <w:w w:val="105"/>
                            <w:sz w:val="18"/>
                          </w:rPr>
                          <w:t> </w:t>
                        </w:r>
                        <w:r>
                          <w:rPr>
                            <w:rFonts w:ascii="Georgia"/>
                            <w:w w:val="105"/>
                            <w:sz w:val="18"/>
                          </w:rPr>
                          <w:t>services</w:t>
                        </w:r>
                        <w:r>
                          <w:rPr>
                            <w:rFonts w:ascii="Georgia"/>
                            <w:spacing w:val="-10"/>
                            <w:w w:val="105"/>
                            <w:sz w:val="18"/>
                          </w:rPr>
                          <w:t> </w:t>
                        </w:r>
                        <w:r>
                          <w:rPr>
                            <w:rFonts w:ascii="Georgia"/>
                            <w:w w:val="105"/>
                            <w:sz w:val="18"/>
                          </w:rPr>
                          <w:t>for</w:t>
                        </w:r>
                        <w:r>
                          <w:rPr>
                            <w:rFonts w:ascii="Georgia"/>
                            <w:spacing w:val="-10"/>
                            <w:w w:val="105"/>
                            <w:sz w:val="18"/>
                          </w:rPr>
                          <w:t> </w:t>
                        </w:r>
                        <w:r>
                          <w:rPr>
                            <w:rFonts w:ascii="Georgia"/>
                            <w:w w:val="105"/>
                            <w:sz w:val="18"/>
                          </w:rPr>
                          <w:t>foreign-born</w:t>
                        </w:r>
                        <w:r>
                          <w:rPr>
                            <w:rFonts w:ascii="Georgia"/>
                            <w:spacing w:val="-10"/>
                            <w:w w:val="105"/>
                            <w:sz w:val="18"/>
                          </w:rPr>
                          <w:t> </w:t>
                        </w:r>
                        <w:r>
                          <w:rPr>
                            <w:rFonts w:ascii="Georgia"/>
                            <w:w w:val="105"/>
                            <w:sz w:val="18"/>
                          </w:rPr>
                          <w:t>residents,</w:t>
                        </w:r>
                        <w:r>
                          <w:rPr>
                            <w:rFonts w:ascii="Georgia"/>
                            <w:spacing w:val="-10"/>
                            <w:w w:val="105"/>
                            <w:sz w:val="18"/>
                          </w:rPr>
                          <w:t> </w:t>
                        </w:r>
                        <w:r>
                          <w:rPr>
                            <w:rFonts w:ascii="Georgia"/>
                            <w:w w:val="105"/>
                            <w:sz w:val="18"/>
                          </w:rPr>
                          <w:t>and increase funding for existing programs.</w:t>
                        </w:r>
                      </w:p>
                      <w:p>
                        <w:pPr>
                          <w:spacing w:line="240" w:lineRule="auto" w:before="22"/>
                          <w:rPr>
                            <w:rFonts w:ascii="Georgia"/>
                            <w:sz w:val="18"/>
                          </w:rPr>
                        </w:pPr>
                      </w:p>
                      <w:p>
                        <w:pPr>
                          <w:spacing w:before="0"/>
                          <w:ind w:left="903" w:right="0" w:firstLine="0"/>
                          <w:jc w:val="left"/>
                          <w:rPr>
                            <w:rFonts w:ascii="Georgia"/>
                            <w:sz w:val="18"/>
                          </w:rPr>
                        </w:pPr>
                        <w:r>
                          <w:rPr>
                            <w:rFonts w:ascii="Georgia"/>
                            <w:sz w:val="18"/>
                          </w:rPr>
                          <w:t>Establish</w:t>
                        </w:r>
                        <w:r>
                          <w:rPr>
                            <w:rFonts w:ascii="Georgia"/>
                            <w:spacing w:val="11"/>
                            <w:sz w:val="18"/>
                          </w:rPr>
                          <w:t> </w:t>
                        </w:r>
                        <w:r>
                          <w:rPr>
                            <w:rFonts w:ascii="Georgia"/>
                            <w:sz w:val="18"/>
                          </w:rPr>
                          <w:t>an</w:t>
                        </w:r>
                        <w:r>
                          <w:rPr>
                            <w:rFonts w:ascii="Georgia"/>
                            <w:spacing w:val="11"/>
                            <w:sz w:val="18"/>
                          </w:rPr>
                          <w:t> </w:t>
                        </w:r>
                        <w:r>
                          <w:rPr>
                            <w:rFonts w:ascii="Georgia"/>
                            <w:sz w:val="18"/>
                          </w:rPr>
                          <w:t>LGBTQ</w:t>
                        </w:r>
                        <w:r>
                          <w:rPr>
                            <w:rFonts w:ascii="Georgia"/>
                            <w:spacing w:val="12"/>
                            <w:sz w:val="18"/>
                          </w:rPr>
                          <w:t> </w:t>
                        </w:r>
                        <w:r>
                          <w:rPr>
                            <w:rFonts w:ascii="Georgia"/>
                            <w:sz w:val="18"/>
                          </w:rPr>
                          <w:t>Immigrant</w:t>
                        </w:r>
                        <w:r>
                          <w:rPr>
                            <w:rFonts w:ascii="Georgia"/>
                            <w:spacing w:val="11"/>
                            <w:sz w:val="18"/>
                          </w:rPr>
                          <w:t> </w:t>
                        </w:r>
                        <w:r>
                          <w:rPr>
                            <w:rFonts w:ascii="Georgia"/>
                            <w:sz w:val="18"/>
                          </w:rPr>
                          <w:t>&amp;</w:t>
                        </w:r>
                        <w:r>
                          <w:rPr>
                            <w:rFonts w:ascii="Georgia"/>
                            <w:spacing w:val="12"/>
                            <w:sz w:val="18"/>
                          </w:rPr>
                          <w:t> </w:t>
                        </w:r>
                        <w:r>
                          <w:rPr>
                            <w:rFonts w:ascii="Georgia"/>
                            <w:sz w:val="18"/>
                          </w:rPr>
                          <w:t>Refugee</w:t>
                        </w:r>
                        <w:r>
                          <w:rPr>
                            <w:rFonts w:ascii="Georgia"/>
                            <w:spacing w:val="11"/>
                            <w:sz w:val="18"/>
                          </w:rPr>
                          <w:t> </w:t>
                        </w:r>
                        <w:r>
                          <w:rPr>
                            <w:rFonts w:ascii="Georgia"/>
                            <w:sz w:val="18"/>
                          </w:rPr>
                          <w:t>Task</w:t>
                        </w:r>
                        <w:r>
                          <w:rPr>
                            <w:rFonts w:ascii="Georgia"/>
                            <w:spacing w:val="12"/>
                            <w:sz w:val="18"/>
                          </w:rPr>
                          <w:t> </w:t>
                        </w:r>
                        <w:r>
                          <w:rPr>
                            <w:rFonts w:ascii="Georgia"/>
                            <w:spacing w:val="-2"/>
                            <w:sz w:val="18"/>
                          </w:rPr>
                          <w:t>Force.</w:t>
                        </w:r>
                      </w:p>
                      <w:p>
                        <w:pPr>
                          <w:spacing w:line="240" w:lineRule="auto" w:before="164"/>
                          <w:rPr>
                            <w:rFonts w:ascii="Georgia"/>
                            <w:sz w:val="18"/>
                          </w:rPr>
                        </w:pPr>
                      </w:p>
                      <w:p>
                        <w:pPr>
                          <w:spacing w:line="276" w:lineRule="auto" w:before="0"/>
                          <w:ind w:left="875" w:right="91" w:firstLine="0"/>
                          <w:jc w:val="left"/>
                          <w:rPr>
                            <w:rFonts w:ascii="Georgia"/>
                            <w:sz w:val="18"/>
                          </w:rPr>
                        </w:pPr>
                        <w:r>
                          <w:rPr>
                            <w:rFonts w:ascii="Georgia"/>
                            <w:w w:val="105"/>
                            <w:sz w:val="18"/>
                          </w:rPr>
                          <w:t>Address</w:t>
                        </w:r>
                        <w:r>
                          <w:rPr>
                            <w:rFonts w:ascii="Georgia"/>
                            <w:spacing w:val="-12"/>
                            <w:w w:val="105"/>
                            <w:sz w:val="18"/>
                          </w:rPr>
                          <w:t> </w:t>
                        </w:r>
                        <w:r>
                          <w:rPr>
                            <w:rFonts w:ascii="Georgia"/>
                            <w:w w:val="105"/>
                            <w:sz w:val="18"/>
                          </w:rPr>
                          <w:t>the</w:t>
                        </w:r>
                        <w:r>
                          <w:rPr>
                            <w:rFonts w:ascii="Georgia"/>
                            <w:spacing w:val="-11"/>
                            <w:w w:val="105"/>
                            <w:sz w:val="18"/>
                          </w:rPr>
                          <w:t> </w:t>
                        </w:r>
                        <w:r>
                          <w:rPr>
                            <w:rFonts w:ascii="Georgia"/>
                            <w:w w:val="105"/>
                            <w:sz w:val="18"/>
                          </w:rPr>
                          <w:t>concerning</w:t>
                        </w:r>
                        <w:r>
                          <w:rPr>
                            <w:rFonts w:ascii="Georgia"/>
                            <w:spacing w:val="-12"/>
                            <w:w w:val="105"/>
                            <w:sz w:val="18"/>
                          </w:rPr>
                          <w:t> </w:t>
                        </w:r>
                        <w:r>
                          <w:rPr>
                            <w:rFonts w:ascii="Georgia"/>
                            <w:w w:val="105"/>
                            <w:sz w:val="18"/>
                          </w:rPr>
                          <w:t>lack</w:t>
                        </w:r>
                        <w:r>
                          <w:rPr>
                            <w:rFonts w:ascii="Georgia"/>
                            <w:spacing w:val="-11"/>
                            <w:w w:val="105"/>
                            <w:sz w:val="18"/>
                          </w:rPr>
                          <w:t> </w:t>
                        </w:r>
                        <w:r>
                          <w:rPr>
                            <w:rFonts w:ascii="Georgia"/>
                            <w:w w:val="105"/>
                            <w:sz w:val="18"/>
                          </w:rPr>
                          <w:t>of</w:t>
                        </w:r>
                        <w:r>
                          <w:rPr>
                            <w:rFonts w:ascii="Georgia"/>
                            <w:spacing w:val="-11"/>
                            <w:w w:val="105"/>
                            <w:sz w:val="18"/>
                          </w:rPr>
                          <w:t> </w:t>
                        </w:r>
                        <w:r>
                          <w:rPr>
                            <w:rFonts w:ascii="Georgia"/>
                            <w:w w:val="105"/>
                            <w:sz w:val="18"/>
                          </w:rPr>
                          <w:t>SOGIE</w:t>
                        </w:r>
                        <w:r>
                          <w:rPr>
                            <w:rFonts w:ascii="Georgia"/>
                            <w:spacing w:val="-12"/>
                            <w:w w:val="105"/>
                            <w:sz w:val="18"/>
                          </w:rPr>
                          <w:t> </w:t>
                        </w:r>
                        <w:r>
                          <w:rPr>
                            <w:rFonts w:ascii="Georgia"/>
                            <w:w w:val="105"/>
                            <w:sz w:val="18"/>
                          </w:rPr>
                          <w:t>data</w:t>
                        </w:r>
                        <w:r>
                          <w:rPr>
                            <w:rFonts w:ascii="Georgia"/>
                            <w:spacing w:val="-11"/>
                            <w:w w:val="105"/>
                            <w:sz w:val="18"/>
                          </w:rPr>
                          <w:t> </w:t>
                        </w:r>
                        <w:r>
                          <w:rPr>
                            <w:rFonts w:ascii="Georgia"/>
                            <w:w w:val="105"/>
                            <w:sz w:val="18"/>
                          </w:rPr>
                          <w:t>collection at the state level.</w:t>
                        </w:r>
                      </w:p>
                      <w:p>
                        <w:pPr>
                          <w:spacing w:line="240" w:lineRule="auto" w:before="194"/>
                          <w:rPr>
                            <w:rFonts w:ascii="Georgia"/>
                            <w:sz w:val="18"/>
                          </w:rPr>
                        </w:pPr>
                      </w:p>
                      <w:p>
                        <w:pPr>
                          <w:spacing w:before="0"/>
                          <w:ind w:left="875" w:right="0" w:firstLine="0"/>
                          <w:jc w:val="left"/>
                          <w:rPr>
                            <w:rFonts w:ascii="Georgia"/>
                            <w:sz w:val="18"/>
                          </w:rPr>
                        </w:pPr>
                        <w:r>
                          <w:rPr>
                            <w:rFonts w:ascii="Georgia"/>
                            <w:w w:val="105"/>
                            <w:sz w:val="18"/>
                          </w:rPr>
                          <w:t>Protect</w:t>
                        </w:r>
                        <w:r>
                          <w:rPr>
                            <w:rFonts w:ascii="Georgia"/>
                            <w:spacing w:val="-11"/>
                            <w:w w:val="105"/>
                            <w:sz w:val="18"/>
                          </w:rPr>
                          <w:t> </w:t>
                        </w:r>
                        <w:r>
                          <w:rPr>
                            <w:rFonts w:ascii="Georgia"/>
                            <w:w w:val="105"/>
                            <w:sz w:val="18"/>
                          </w:rPr>
                          <w:t>and</w:t>
                        </w:r>
                        <w:r>
                          <w:rPr>
                            <w:rFonts w:ascii="Georgia"/>
                            <w:spacing w:val="-10"/>
                            <w:w w:val="105"/>
                            <w:sz w:val="18"/>
                          </w:rPr>
                          <w:t> </w:t>
                        </w:r>
                        <w:r>
                          <w:rPr>
                            <w:rFonts w:ascii="Georgia"/>
                            <w:w w:val="105"/>
                            <w:sz w:val="18"/>
                          </w:rPr>
                          <w:t>support</w:t>
                        </w:r>
                        <w:r>
                          <w:rPr>
                            <w:rFonts w:ascii="Georgia"/>
                            <w:spacing w:val="-10"/>
                            <w:w w:val="105"/>
                            <w:sz w:val="18"/>
                          </w:rPr>
                          <w:t> </w:t>
                        </w:r>
                        <w:r>
                          <w:rPr>
                            <w:rFonts w:ascii="Georgia"/>
                            <w:w w:val="105"/>
                            <w:sz w:val="18"/>
                          </w:rPr>
                          <w:t>undocumented</w:t>
                        </w:r>
                        <w:r>
                          <w:rPr>
                            <w:rFonts w:ascii="Georgia"/>
                            <w:spacing w:val="-10"/>
                            <w:w w:val="105"/>
                            <w:sz w:val="18"/>
                          </w:rPr>
                          <w:t> </w:t>
                        </w:r>
                        <w:r>
                          <w:rPr>
                            <w:rFonts w:ascii="Georgia"/>
                            <w:spacing w:val="-2"/>
                            <w:w w:val="105"/>
                            <w:sz w:val="18"/>
                          </w:rPr>
                          <w:t>youth.</w:t>
                        </w:r>
                      </w:p>
                    </w:txbxContent>
                  </v:textbox>
                  <w10:wrap type="none"/>
                </v:shape>
                <w10:wrap type="none"/>
              </v:group>
            </w:pict>
          </mc:Fallback>
        </mc:AlternateContent>
      </w:r>
      <w:r>
        <w:rPr>
          <w:rFonts w:ascii="Georgia"/>
          <w:w w:val="105"/>
          <w:sz w:val="24"/>
        </w:rPr>
        <w:t>For</w:t>
      </w:r>
      <w:r>
        <w:rPr>
          <w:rFonts w:ascii="Georgia"/>
          <w:w w:val="105"/>
          <w:sz w:val="24"/>
        </w:rPr>
        <w:t> LGBTQ</w:t>
      </w:r>
      <w:r>
        <w:rPr>
          <w:rFonts w:ascii="Georgia"/>
          <w:w w:val="105"/>
          <w:sz w:val="24"/>
        </w:rPr>
        <w:t> foreign-born</w:t>
      </w:r>
      <w:r>
        <w:rPr>
          <w:rFonts w:ascii="Georgia"/>
          <w:w w:val="105"/>
          <w:sz w:val="24"/>
        </w:rPr>
        <w:t> youth</w:t>
      </w:r>
      <w:r>
        <w:rPr>
          <w:rFonts w:ascii="Georgia"/>
          <w:w w:val="105"/>
          <w:sz w:val="24"/>
        </w:rPr>
        <w:t> who</w:t>
      </w:r>
      <w:r>
        <w:rPr>
          <w:rFonts w:ascii="Georgia"/>
          <w:w w:val="105"/>
          <w:sz w:val="24"/>
        </w:rPr>
        <w:t> face discrimination</w:t>
      </w:r>
      <w:r>
        <w:rPr>
          <w:rFonts w:ascii="Georgia"/>
          <w:w w:val="105"/>
          <w:sz w:val="24"/>
        </w:rPr>
        <w:t> based</w:t>
      </w:r>
      <w:r>
        <w:rPr>
          <w:rFonts w:ascii="Georgia"/>
          <w:w w:val="105"/>
          <w:sz w:val="24"/>
        </w:rPr>
        <w:t> on</w:t>
      </w:r>
      <w:r>
        <w:rPr>
          <w:rFonts w:ascii="Georgia"/>
          <w:w w:val="105"/>
          <w:sz w:val="24"/>
        </w:rPr>
        <w:t> their</w:t>
      </w:r>
      <w:r>
        <w:rPr>
          <w:rFonts w:ascii="Georgia"/>
          <w:w w:val="105"/>
          <w:sz w:val="24"/>
        </w:rPr>
        <w:t> sexual orientation</w:t>
      </w:r>
      <w:r>
        <w:rPr>
          <w:rFonts w:ascii="Georgia"/>
          <w:w w:val="105"/>
          <w:sz w:val="24"/>
        </w:rPr>
        <w:t> and</w:t>
      </w:r>
      <w:r>
        <w:rPr>
          <w:rFonts w:ascii="Georgia"/>
          <w:w w:val="105"/>
          <w:sz w:val="24"/>
        </w:rPr>
        <w:t> gender</w:t>
      </w:r>
      <w:r>
        <w:rPr>
          <w:rFonts w:ascii="Georgia"/>
          <w:w w:val="105"/>
          <w:sz w:val="24"/>
        </w:rPr>
        <w:t> identity</w:t>
      </w:r>
      <w:r>
        <w:rPr>
          <w:rFonts w:ascii="Georgia"/>
          <w:w w:val="105"/>
          <w:sz w:val="24"/>
        </w:rPr>
        <w:t> as</w:t>
      </w:r>
      <w:r>
        <w:rPr>
          <w:rFonts w:ascii="Georgia"/>
          <w:w w:val="105"/>
          <w:sz w:val="24"/>
        </w:rPr>
        <w:t> well</w:t>
      </w:r>
      <w:r>
        <w:rPr>
          <w:rFonts w:ascii="Georgia"/>
          <w:w w:val="105"/>
          <w:sz w:val="24"/>
        </w:rPr>
        <w:t> as their</w:t>
      </w:r>
      <w:r>
        <w:rPr>
          <w:rFonts w:ascii="Georgia"/>
          <w:w w:val="105"/>
          <w:sz w:val="24"/>
        </w:rPr>
        <w:t> immigration</w:t>
      </w:r>
      <w:r>
        <w:rPr>
          <w:rFonts w:ascii="Georgia"/>
          <w:w w:val="105"/>
          <w:sz w:val="24"/>
        </w:rPr>
        <w:t> status,</w:t>
      </w:r>
      <w:r>
        <w:rPr>
          <w:rFonts w:ascii="Georgia"/>
          <w:w w:val="105"/>
          <w:sz w:val="24"/>
        </w:rPr>
        <w:t> the</w:t>
      </w:r>
      <w:r>
        <w:rPr>
          <w:rFonts w:ascii="Georgia"/>
          <w:w w:val="105"/>
          <w:sz w:val="24"/>
        </w:rPr>
        <w:t> state</w:t>
      </w:r>
      <w:r>
        <w:rPr>
          <w:rFonts w:ascii="Georgia"/>
          <w:w w:val="105"/>
          <w:sz w:val="24"/>
        </w:rPr>
        <w:t> of Massachusetts</w:t>
      </w:r>
      <w:r>
        <w:rPr>
          <w:rFonts w:ascii="Georgia"/>
          <w:w w:val="105"/>
          <w:sz w:val="24"/>
        </w:rPr>
        <w:t> must</w:t>
      </w:r>
      <w:r>
        <w:rPr>
          <w:rFonts w:ascii="Georgia"/>
          <w:w w:val="105"/>
          <w:sz w:val="24"/>
        </w:rPr>
        <w:t> work</w:t>
      </w:r>
      <w:r>
        <w:rPr>
          <w:rFonts w:ascii="Georgia"/>
          <w:w w:val="105"/>
          <w:sz w:val="24"/>
        </w:rPr>
        <w:t> to</w:t>
      </w:r>
      <w:r>
        <w:rPr>
          <w:rFonts w:ascii="Georgia"/>
          <w:w w:val="105"/>
          <w:sz w:val="24"/>
        </w:rPr>
        <w:t> remove</w:t>
      </w:r>
      <w:r>
        <w:rPr>
          <w:rFonts w:ascii="Georgia"/>
          <w:w w:val="105"/>
          <w:sz w:val="24"/>
        </w:rPr>
        <w:t> these barriers</w:t>
      </w:r>
      <w:r>
        <w:rPr>
          <w:rFonts w:ascii="Georgia"/>
          <w:spacing w:val="-16"/>
          <w:w w:val="105"/>
          <w:sz w:val="24"/>
        </w:rPr>
        <w:t> </w:t>
      </w:r>
      <w:r>
        <w:rPr>
          <w:rFonts w:ascii="Georgia"/>
          <w:w w:val="105"/>
          <w:sz w:val="24"/>
        </w:rPr>
        <w:t>to</w:t>
      </w:r>
      <w:r>
        <w:rPr>
          <w:rFonts w:ascii="Georgia"/>
          <w:spacing w:val="-15"/>
          <w:w w:val="105"/>
          <w:sz w:val="24"/>
        </w:rPr>
        <w:t> </w:t>
      </w:r>
      <w:r>
        <w:rPr>
          <w:rFonts w:ascii="Georgia"/>
          <w:w w:val="105"/>
          <w:sz w:val="24"/>
        </w:rPr>
        <w:t>integration.</w:t>
      </w:r>
      <w:r>
        <w:rPr>
          <w:rFonts w:ascii="Georgia"/>
          <w:spacing w:val="-15"/>
          <w:w w:val="105"/>
          <w:sz w:val="24"/>
        </w:rPr>
        <w:t> </w:t>
      </w:r>
      <w:r>
        <w:rPr>
          <w:rFonts w:ascii="Georgia"/>
          <w:w w:val="105"/>
          <w:sz w:val="24"/>
        </w:rPr>
        <w:t>To</w:t>
      </w:r>
      <w:r>
        <w:rPr>
          <w:rFonts w:ascii="Georgia"/>
          <w:spacing w:val="-15"/>
          <w:w w:val="105"/>
          <w:sz w:val="24"/>
        </w:rPr>
        <w:t> </w:t>
      </w:r>
      <w:r>
        <w:rPr>
          <w:rFonts w:ascii="Georgia"/>
          <w:w w:val="105"/>
          <w:sz w:val="24"/>
        </w:rPr>
        <w:t>ensure</w:t>
      </w:r>
      <w:r>
        <w:rPr>
          <w:rFonts w:ascii="Georgia"/>
          <w:spacing w:val="-15"/>
          <w:w w:val="105"/>
          <w:sz w:val="24"/>
        </w:rPr>
        <w:t> </w:t>
      </w:r>
      <w:r>
        <w:rPr>
          <w:rFonts w:ascii="Georgia"/>
          <w:w w:val="105"/>
          <w:sz w:val="24"/>
        </w:rPr>
        <w:t>that</w:t>
      </w:r>
      <w:r>
        <w:rPr>
          <w:rFonts w:ascii="Georgia"/>
          <w:spacing w:val="-16"/>
          <w:w w:val="105"/>
          <w:sz w:val="24"/>
        </w:rPr>
        <w:t> </w:t>
      </w:r>
      <w:r>
        <w:rPr>
          <w:rFonts w:ascii="Georgia"/>
          <w:w w:val="105"/>
          <w:sz w:val="24"/>
        </w:rPr>
        <w:t>LGBTQ youth</w:t>
      </w:r>
      <w:r>
        <w:rPr>
          <w:rFonts w:ascii="Georgia"/>
          <w:w w:val="105"/>
          <w:sz w:val="24"/>
        </w:rPr>
        <w:t> thrive,</w:t>
      </w:r>
      <w:r>
        <w:rPr>
          <w:rFonts w:ascii="Georgia"/>
          <w:w w:val="105"/>
          <w:sz w:val="24"/>
        </w:rPr>
        <w:t> it</w:t>
      </w:r>
      <w:r>
        <w:rPr>
          <w:rFonts w:ascii="Georgia"/>
          <w:w w:val="105"/>
          <w:sz w:val="24"/>
        </w:rPr>
        <w:t> is</w:t>
      </w:r>
      <w:r>
        <w:rPr>
          <w:rFonts w:ascii="Georgia"/>
          <w:w w:val="105"/>
          <w:sz w:val="24"/>
        </w:rPr>
        <w:t> critical</w:t>
      </w:r>
      <w:r>
        <w:rPr>
          <w:rFonts w:ascii="Georgia"/>
          <w:w w:val="105"/>
          <w:sz w:val="24"/>
        </w:rPr>
        <w:t> to</w:t>
      </w:r>
      <w:r>
        <w:rPr>
          <w:rFonts w:ascii="Georgia"/>
          <w:w w:val="105"/>
          <w:sz w:val="24"/>
        </w:rPr>
        <w:t> invest</w:t>
      </w:r>
      <w:r>
        <w:rPr>
          <w:rFonts w:ascii="Georgia"/>
          <w:w w:val="105"/>
          <w:sz w:val="24"/>
        </w:rPr>
        <w:t> in </w:t>
      </w:r>
      <w:r>
        <w:rPr>
          <w:rFonts w:ascii="Georgia"/>
          <w:spacing w:val="-2"/>
          <w:w w:val="105"/>
          <w:sz w:val="24"/>
        </w:rPr>
        <w:t>culturally</w:t>
      </w:r>
      <w:r>
        <w:rPr>
          <w:rFonts w:ascii="Georgia"/>
          <w:sz w:val="24"/>
        </w:rPr>
        <w:tab/>
      </w:r>
      <w:r>
        <w:rPr>
          <w:rFonts w:ascii="Georgia"/>
          <w:spacing w:val="-2"/>
          <w:w w:val="105"/>
          <w:sz w:val="24"/>
        </w:rPr>
        <w:t>competent</w:t>
      </w:r>
      <w:r>
        <w:rPr>
          <w:rFonts w:ascii="Georgia"/>
          <w:sz w:val="24"/>
        </w:rPr>
        <w:tab/>
      </w:r>
      <w:r>
        <w:rPr>
          <w:rFonts w:ascii="Georgia"/>
          <w:spacing w:val="-2"/>
          <w:w w:val="105"/>
          <w:sz w:val="24"/>
        </w:rPr>
        <w:t>immigration </w:t>
      </w:r>
      <w:r>
        <w:rPr>
          <w:rFonts w:ascii="Georgia"/>
          <w:w w:val="105"/>
          <w:sz w:val="24"/>
        </w:rPr>
        <w:t>integration</w:t>
      </w:r>
      <w:r>
        <w:rPr>
          <w:rFonts w:ascii="Georgia"/>
          <w:w w:val="105"/>
          <w:sz w:val="24"/>
        </w:rPr>
        <w:t> resources</w:t>
      </w:r>
      <w:r>
        <w:rPr>
          <w:rFonts w:ascii="Georgia"/>
          <w:w w:val="105"/>
          <w:sz w:val="24"/>
        </w:rPr>
        <w:t> that</w:t>
      </w:r>
      <w:r>
        <w:rPr>
          <w:rFonts w:ascii="Georgia"/>
          <w:w w:val="105"/>
          <w:sz w:val="24"/>
        </w:rPr>
        <w:t> are</w:t>
      </w:r>
      <w:r>
        <w:rPr>
          <w:rFonts w:ascii="Georgia"/>
          <w:w w:val="105"/>
          <w:sz w:val="24"/>
        </w:rPr>
        <w:t> responsive</w:t>
      </w:r>
      <w:r>
        <w:rPr>
          <w:rFonts w:ascii="Georgia"/>
          <w:w w:val="105"/>
          <w:sz w:val="24"/>
        </w:rPr>
        <w:t> to the needs of diverse communities.</w:t>
      </w:r>
    </w:p>
    <w:p>
      <w:pPr>
        <w:pStyle w:val="Heading2"/>
        <w:spacing w:line="1080" w:lineRule="exact" w:before="650"/>
        <w:ind w:left="1382"/>
      </w:pPr>
      <w:r>
        <w:rPr/>
        <w:br w:type="column"/>
      </w:r>
      <w:r>
        <w:rPr>
          <w:emboss/>
          <w:color w:val="001389"/>
          <w:w w:val="85"/>
        </w:rPr>
        <w:t>1</w:t>
      </w:r>
      <w:r>
        <w:rPr>
          <w:shadow w:val="0"/>
          <w:color w:val="001389"/>
          <w:spacing w:val="-10"/>
          <w:w w:val="85"/>
        </w:rPr>
        <w:t> </w:t>
      </w:r>
      <w:r>
        <w:rPr>
          <w:emboss/>
          <w:color w:val="001389"/>
          <w:spacing w:val="19"/>
          <w:w w:val="85"/>
        </w:rPr>
        <w:t>IN</w:t>
      </w:r>
      <w:r>
        <w:rPr>
          <w:shadow w:val="0"/>
          <w:color w:val="001389"/>
          <w:spacing w:val="-9"/>
          <w:w w:val="85"/>
        </w:rPr>
        <w:t> </w:t>
      </w:r>
      <w:r>
        <w:rPr>
          <w:emboss/>
          <w:color w:val="001389"/>
          <w:spacing w:val="-10"/>
          <w:w w:val="85"/>
        </w:rPr>
        <w:t>6</w:t>
      </w:r>
    </w:p>
    <w:p>
      <w:pPr>
        <w:pStyle w:val="BodyText"/>
        <w:spacing w:line="266" w:lineRule="auto"/>
        <w:ind w:left="1832" w:right="1267" w:hanging="886"/>
        <w:rPr>
          <w:rFonts w:ascii="Georgia"/>
        </w:rPr>
      </w:pPr>
      <w:r>
        <w:rPr>
          <w:rFonts w:ascii="Georgia"/>
        </w:rPr>
        <w:t>of Massachusetts residents </w:t>
      </w:r>
      <w:r>
        <w:rPr>
          <w:rFonts w:ascii="Georgia"/>
        </w:rPr>
        <w:t>are </w:t>
      </w:r>
      <w:r>
        <w:rPr>
          <w:rFonts w:ascii="Georgia"/>
          <w:spacing w:val="-2"/>
          <w:w w:val="105"/>
        </w:rPr>
        <w:t>foreign-born</w:t>
      </w:r>
    </w:p>
    <w:p>
      <w:pPr>
        <w:pStyle w:val="BodyText"/>
        <w:spacing w:before="213"/>
        <w:rPr>
          <w:rFonts w:ascii="Georgia"/>
        </w:rPr>
      </w:pPr>
    </w:p>
    <w:p>
      <w:pPr>
        <w:pStyle w:val="Heading2"/>
        <w:ind w:left="1620"/>
      </w:pPr>
      <w:r>
        <w:rPr>
          <w:emboss/>
          <w:color w:val="001389"/>
          <w:spacing w:val="20"/>
        </w:rPr>
        <w:t>30%</w:t>
      </w:r>
    </w:p>
    <w:p>
      <w:pPr>
        <w:pStyle w:val="BodyText"/>
        <w:spacing w:line="226" w:lineRule="exact"/>
        <w:ind w:left="214" w:right="657"/>
        <w:jc w:val="center"/>
        <w:rPr>
          <w:rFonts w:ascii="Georgia"/>
        </w:rPr>
      </w:pPr>
      <w:r>
        <w:rPr>
          <w:rFonts w:ascii="Georgia"/>
        </w:rPr>
        <w:t>of</w:t>
      </w:r>
      <w:r>
        <w:rPr>
          <w:rFonts w:ascii="Georgia"/>
          <w:spacing w:val="25"/>
        </w:rPr>
        <w:t> </w:t>
      </w:r>
      <w:r>
        <w:rPr>
          <w:rFonts w:ascii="Georgia"/>
        </w:rPr>
        <w:t>first-generation</w:t>
      </w:r>
      <w:r>
        <w:rPr>
          <w:rFonts w:ascii="Georgia"/>
          <w:spacing w:val="26"/>
        </w:rPr>
        <w:t> </w:t>
      </w:r>
      <w:r>
        <w:rPr>
          <w:rFonts w:ascii="Georgia"/>
          <w:spacing w:val="-4"/>
        </w:rPr>
        <w:t>LGBTQ</w:t>
      </w:r>
    </w:p>
    <w:p>
      <w:pPr>
        <w:pStyle w:val="BodyText"/>
        <w:spacing w:line="266" w:lineRule="auto" w:before="27"/>
        <w:ind w:left="323" w:right="767"/>
        <w:jc w:val="center"/>
        <w:rPr>
          <w:rFonts w:ascii="Georgia"/>
        </w:rPr>
      </w:pPr>
      <w:r>
        <w:rPr>
          <w:rFonts w:ascii="Georgia"/>
        </w:rPr>
        <w:t>youth worry about </w:t>
      </w:r>
      <w:r>
        <w:rPr>
          <w:rFonts w:ascii="Georgia"/>
        </w:rPr>
        <w:t>deportation "sometimes" or "a lot"</w:t>
      </w:r>
    </w:p>
    <w:p>
      <w:pPr>
        <w:pStyle w:val="BodyText"/>
        <w:spacing w:before="10"/>
        <w:rPr>
          <w:rFonts w:ascii="Georgia"/>
          <w:sz w:val="12"/>
        </w:rPr>
      </w:pPr>
      <w:r>
        <w:rPr/>
        <mc:AlternateContent>
          <mc:Choice Requires="wps">
            <w:drawing>
              <wp:anchor distT="0" distB="0" distL="0" distR="0" allowOverlap="1" layoutInCell="1" locked="0" behindDoc="1" simplePos="0" relativeHeight="487673344">
                <wp:simplePos x="0" y="0"/>
                <wp:positionH relativeFrom="page">
                  <wp:posOffset>4353803</wp:posOffset>
                </wp:positionH>
                <wp:positionV relativeFrom="paragraph">
                  <wp:posOffset>108298</wp:posOffset>
                </wp:positionV>
                <wp:extent cx="2773680" cy="1270"/>
                <wp:effectExtent l="0" t="0" r="0" b="0"/>
                <wp:wrapTopAndBottom/>
                <wp:docPr id="445" name="Graphic 445"/>
                <wp:cNvGraphicFramePr>
                  <a:graphicFrameLocks/>
                </wp:cNvGraphicFramePr>
                <a:graphic>
                  <a:graphicData uri="http://schemas.microsoft.com/office/word/2010/wordprocessingShape">
                    <wps:wsp>
                      <wps:cNvPr id="445" name="Graphic 445"/>
                      <wps:cNvSpPr/>
                      <wps:spPr>
                        <a:xfrm>
                          <a:off x="0" y="0"/>
                          <a:ext cx="2773680" cy="1270"/>
                        </a:xfrm>
                        <a:custGeom>
                          <a:avLst/>
                          <a:gdLst/>
                          <a:ahLst/>
                          <a:cxnLst/>
                          <a:rect l="l" t="t" r="r" b="b"/>
                          <a:pathLst>
                            <a:path w="2773680" h="0">
                              <a:moveTo>
                                <a:pt x="0" y="0"/>
                              </a:moveTo>
                              <a:lnTo>
                                <a:pt x="2773600" y="0"/>
                              </a:lnTo>
                            </a:path>
                          </a:pathLst>
                        </a:custGeom>
                        <a:ln w="28574">
                          <a:solidFill>
                            <a:srgbClr val="001389"/>
                          </a:solidFill>
                          <a:prstDash val="sysDash"/>
                        </a:ln>
                      </wps:spPr>
                      <wps:bodyPr wrap="square" lIns="0" tIns="0" rIns="0" bIns="0" rtlCol="0">
                        <a:prstTxWarp prst="textNoShape">
                          <a:avLst/>
                        </a:prstTxWarp>
                        <a:noAutofit/>
                      </wps:bodyPr>
                    </wps:wsp>
                  </a:graphicData>
                </a:graphic>
              </wp:anchor>
            </w:drawing>
          </mc:Choice>
          <mc:Fallback>
            <w:pict>
              <v:shape style="position:absolute;margin-left:342.819153pt;margin-top:8.527435pt;width:218.4pt;height:.1pt;mso-position-horizontal-relative:page;mso-position-vertical-relative:paragraph;z-index:-15643136;mso-wrap-distance-left:0;mso-wrap-distance-right:0" id="docshape355" coordorigin="6856,171" coordsize="4368,0" path="m6856,171l11224,171e" filled="false" stroked="true" strokeweight="2.25pt" strokecolor="#001389">
                <v:path arrowok="t"/>
                <v:stroke dashstyle="shortdash"/>
                <w10:wrap type="topAndBottom"/>
              </v:shape>
            </w:pict>
          </mc:Fallback>
        </mc:AlternateContent>
      </w:r>
    </w:p>
    <w:p>
      <w:pPr>
        <w:spacing w:line="994" w:lineRule="exact" w:before="83"/>
        <w:ind w:left="1211" w:right="0" w:firstLine="0"/>
        <w:jc w:val="left"/>
        <w:rPr>
          <w:rFonts w:ascii="Arial Black"/>
          <w:sz w:val="71"/>
        </w:rPr>
      </w:pPr>
      <w:r>
        <w:rPr>
          <w:rFonts w:ascii="Arial Black"/>
          <w:emboss/>
          <w:color w:val="001389"/>
          <w:w w:val="85"/>
          <w:sz w:val="71"/>
        </w:rPr>
        <w:t>1</w:t>
      </w:r>
      <w:r>
        <w:rPr>
          <w:rFonts w:ascii="Arial Black"/>
          <w:shadow w:val="0"/>
          <w:color w:val="001389"/>
          <w:spacing w:val="-6"/>
          <w:w w:val="85"/>
          <w:sz w:val="71"/>
        </w:rPr>
        <w:t> </w:t>
      </w:r>
      <w:r>
        <w:rPr>
          <w:rFonts w:ascii="Arial Black"/>
          <w:emboss/>
          <w:color w:val="001389"/>
          <w:spacing w:val="17"/>
          <w:w w:val="85"/>
          <w:sz w:val="71"/>
        </w:rPr>
        <w:t>IN</w:t>
      </w:r>
      <w:r>
        <w:rPr>
          <w:rFonts w:ascii="Arial Black"/>
          <w:shadow w:val="0"/>
          <w:color w:val="001389"/>
          <w:spacing w:val="-5"/>
          <w:w w:val="85"/>
          <w:sz w:val="71"/>
        </w:rPr>
        <w:t> </w:t>
      </w:r>
      <w:r>
        <w:rPr>
          <w:rFonts w:ascii="Arial Black"/>
          <w:emboss/>
          <w:color w:val="001389"/>
          <w:spacing w:val="10"/>
          <w:w w:val="85"/>
          <w:sz w:val="71"/>
        </w:rPr>
        <w:t>10</w:t>
      </w:r>
    </w:p>
    <w:p>
      <w:pPr>
        <w:pStyle w:val="BodyText"/>
        <w:spacing w:line="266" w:lineRule="auto"/>
        <w:ind w:left="203" w:right="657"/>
        <w:jc w:val="center"/>
        <w:rPr>
          <w:rFonts w:ascii="Georgia"/>
        </w:rPr>
      </w:pPr>
      <w:r>
        <w:rPr>
          <w:rFonts w:ascii="Georgia"/>
        </w:rPr>
        <w:t>of first-generation LGBTQ youth </w:t>
      </w:r>
      <w:r>
        <w:rPr>
          <w:rFonts w:ascii="Georgia"/>
        </w:rPr>
        <w:t>reported </w:t>
      </w:r>
      <w:r>
        <w:rPr>
          <w:rFonts w:ascii="Georgia"/>
          <w:w w:val="105"/>
        </w:rPr>
        <w:t>experiencing discrimination based on actual or perceived immigration status</w:t>
      </w:r>
    </w:p>
    <w:p>
      <w:pPr>
        <w:spacing w:after="0" w:line="266" w:lineRule="auto"/>
        <w:jc w:val="center"/>
        <w:rPr>
          <w:rFonts w:ascii="Georgia"/>
        </w:rPr>
        <w:sectPr>
          <w:type w:val="continuous"/>
          <w:pgSz w:w="12240" w:h="15840"/>
          <w:pgMar w:header="0" w:footer="0" w:top="1420" w:bottom="280" w:left="920" w:right="340"/>
          <w:cols w:num="2" w:equalWidth="0">
            <w:col w:w="5413" w:space="302"/>
            <w:col w:w="5265"/>
          </w:cols>
        </w:sectPr>
      </w:pPr>
    </w:p>
    <w:p>
      <w:pPr>
        <w:pStyle w:val="BodyText"/>
        <w:spacing w:before="148"/>
        <w:rPr>
          <w:rFonts w:ascii="Georgia"/>
          <w:sz w:val="20"/>
        </w:rPr>
      </w:pPr>
      <w:r>
        <w:rPr/>
        <mc:AlternateContent>
          <mc:Choice Requires="wps">
            <w:drawing>
              <wp:anchor distT="0" distB="0" distL="0" distR="0" allowOverlap="1" layoutInCell="1" locked="0" behindDoc="1" simplePos="0" relativeHeight="482636800">
                <wp:simplePos x="0" y="0"/>
                <wp:positionH relativeFrom="page">
                  <wp:posOffset>0</wp:posOffset>
                </wp:positionH>
                <wp:positionV relativeFrom="page">
                  <wp:posOffset>0</wp:posOffset>
                </wp:positionV>
                <wp:extent cx="7772400" cy="5502275"/>
                <wp:effectExtent l="0" t="0" r="0" b="0"/>
                <wp:wrapNone/>
                <wp:docPr id="446" name="Group 446"/>
                <wp:cNvGraphicFramePr>
                  <a:graphicFrameLocks/>
                </wp:cNvGraphicFramePr>
                <a:graphic>
                  <a:graphicData uri="http://schemas.microsoft.com/office/word/2010/wordprocessingGroup">
                    <wpg:wgp>
                      <wpg:cNvPr id="446" name="Group 446"/>
                      <wpg:cNvGrpSpPr/>
                      <wpg:grpSpPr>
                        <a:xfrm>
                          <a:off x="0" y="0"/>
                          <a:ext cx="7772400" cy="5502275"/>
                          <a:chExt cx="7772400" cy="5502275"/>
                        </a:xfrm>
                      </wpg:grpSpPr>
                      <pic:pic>
                        <pic:nvPicPr>
                          <pic:cNvPr id="447" name="Image 447"/>
                          <pic:cNvPicPr/>
                        </pic:nvPicPr>
                        <pic:blipFill>
                          <a:blip r:embed="rId608" cstate="print"/>
                          <a:stretch>
                            <a:fillRect/>
                          </a:stretch>
                        </pic:blipFill>
                        <pic:spPr>
                          <a:xfrm>
                            <a:off x="0" y="0"/>
                            <a:ext cx="7772399" cy="3121464"/>
                          </a:xfrm>
                          <a:prstGeom prst="rect">
                            <a:avLst/>
                          </a:prstGeom>
                        </pic:spPr>
                      </pic:pic>
                      <pic:pic>
                        <pic:nvPicPr>
                          <pic:cNvPr id="448" name="Image 448"/>
                          <pic:cNvPicPr/>
                        </pic:nvPicPr>
                        <pic:blipFill>
                          <a:blip r:embed="rId98" cstate="print"/>
                          <a:stretch>
                            <a:fillRect/>
                          </a:stretch>
                        </pic:blipFill>
                        <pic:spPr>
                          <a:xfrm>
                            <a:off x="5246801" y="735421"/>
                            <a:ext cx="1480888" cy="1480632"/>
                          </a:xfrm>
                          <a:prstGeom prst="rect">
                            <a:avLst/>
                          </a:prstGeom>
                        </pic:spPr>
                      </pic:pic>
                      <wps:wsp>
                        <wps:cNvPr id="449" name="Graphic 449"/>
                        <wps:cNvSpPr/>
                        <wps:spPr>
                          <a:xfrm>
                            <a:off x="5233056" y="721667"/>
                            <a:ext cx="1508125" cy="1508125"/>
                          </a:xfrm>
                          <a:custGeom>
                            <a:avLst/>
                            <a:gdLst/>
                            <a:ahLst/>
                            <a:cxnLst/>
                            <a:rect l="l" t="t" r="r" b="b"/>
                            <a:pathLst>
                              <a:path w="1508125" h="1508125">
                                <a:moveTo>
                                  <a:pt x="754061" y="1508119"/>
                                </a:moveTo>
                                <a:lnTo>
                                  <a:pt x="706443" y="1506633"/>
                                </a:lnTo>
                                <a:lnTo>
                                  <a:pt x="659603" y="1502233"/>
                                </a:lnTo>
                                <a:lnTo>
                                  <a:pt x="613628" y="1495009"/>
                                </a:lnTo>
                                <a:lnTo>
                                  <a:pt x="568609" y="1485050"/>
                                </a:lnTo>
                                <a:lnTo>
                                  <a:pt x="524634" y="1472444"/>
                                </a:lnTo>
                                <a:lnTo>
                                  <a:pt x="481792" y="1457281"/>
                                </a:lnTo>
                                <a:lnTo>
                                  <a:pt x="440173" y="1439650"/>
                                </a:lnTo>
                                <a:lnTo>
                                  <a:pt x="399864" y="1419640"/>
                                </a:lnTo>
                                <a:lnTo>
                                  <a:pt x="360956" y="1397339"/>
                                </a:lnTo>
                                <a:lnTo>
                                  <a:pt x="323537" y="1372837"/>
                                </a:lnTo>
                                <a:lnTo>
                                  <a:pt x="287696" y="1346223"/>
                                </a:lnTo>
                                <a:lnTo>
                                  <a:pt x="253523" y="1317586"/>
                                </a:lnTo>
                                <a:lnTo>
                                  <a:pt x="221106" y="1287014"/>
                                </a:lnTo>
                                <a:lnTo>
                                  <a:pt x="190534" y="1254598"/>
                                </a:lnTo>
                                <a:lnTo>
                                  <a:pt x="161896" y="1220425"/>
                                </a:lnTo>
                                <a:lnTo>
                                  <a:pt x="135282" y="1184585"/>
                                </a:lnTo>
                                <a:lnTo>
                                  <a:pt x="110780" y="1147166"/>
                                </a:lnTo>
                                <a:lnTo>
                                  <a:pt x="88479" y="1108259"/>
                                </a:lnTo>
                                <a:lnTo>
                                  <a:pt x="68468" y="1067951"/>
                                </a:lnTo>
                                <a:lnTo>
                                  <a:pt x="50770" y="1026142"/>
                                </a:lnTo>
                                <a:lnTo>
                                  <a:pt x="35669" y="983473"/>
                                </a:lnTo>
                                <a:lnTo>
                                  <a:pt x="23075" y="939517"/>
                                </a:lnTo>
                                <a:lnTo>
                                  <a:pt x="13118" y="894499"/>
                                </a:lnTo>
                                <a:lnTo>
                                  <a:pt x="5894" y="848526"/>
                                </a:lnTo>
                                <a:lnTo>
                                  <a:pt x="1491" y="801686"/>
                                </a:lnTo>
                                <a:lnTo>
                                  <a:pt x="0" y="754070"/>
                                </a:lnTo>
                                <a:lnTo>
                                  <a:pt x="1494" y="706368"/>
                                </a:lnTo>
                                <a:lnTo>
                                  <a:pt x="5906" y="659480"/>
                                </a:lnTo>
                                <a:lnTo>
                                  <a:pt x="13140" y="613502"/>
                                </a:lnTo>
                                <a:lnTo>
                                  <a:pt x="23094" y="568530"/>
                                </a:lnTo>
                                <a:lnTo>
                                  <a:pt x="35676" y="524643"/>
                                </a:lnTo>
                                <a:lnTo>
                                  <a:pt x="50851" y="481801"/>
                                </a:lnTo>
                                <a:lnTo>
                                  <a:pt x="68470" y="440181"/>
                                </a:lnTo>
                                <a:lnTo>
                                  <a:pt x="88480" y="399872"/>
                                </a:lnTo>
                                <a:lnTo>
                                  <a:pt x="110781" y="360964"/>
                                </a:lnTo>
                                <a:lnTo>
                                  <a:pt x="135284" y="323544"/>
                                </a:lnTo>
                                <a:lnTo>
                                  <a:pt x="161898" y="287703"/>
                                </a:lnTo>
                                <a:lnTo>
                                  <a:pt x="190536" y="253529"/>
                                </a:lnTo>
                                <a:lnTo>
                                  <a:pt x="221108" y="221111"/>
                                </a:lnTo>
                                <a:lnTo>
                                  <a:pt x="253526" y="190539"/>
                                </a:lnTo>
                                <a:lnTo>
                                  <a:pt x="287699" y="161901"/>
                                </a:lnTo>
                                <a:lnTo>
                                  <a:pt x="323540" y="135286"/>
                                </a:lnTo>
                                <a:lnTo>
                                  <a:pt x="360959" y="110783"/>
                                </a:lnTo>
                                <a:lnTo>
                                  <a:pt x="399867" y="88482"/>
                                </a:lnTo>
                                <a:lnTo>
                                  <a:pt x="440175" y="68471"/>
                                </a:lnTo>
                                <a:lnTo>
                                  <a:pt x="481795" y="50839"/>
                                </a:lnTo>
                                <a:lnTo>
                                  <a:pt x="524636" y="35676"/>
                                </a:lnTo>
                                <a:lnTo>
                                  <a:pt x="568611" y="23070"/>
                                </a:lnTo>
                                <a:lnTo>
                                  <a:pt x="613630" y="13110"/>
                                </a:lnTo>
                                <a:lnTo>
                                  <a:pt x="659604" y="5886"/>
                                </a:lnTo>
                                <a:lnTo>
                                  <a:pt x="706444" y="1486"/>
                                </a:lnTo>
                                <a:lnTo>
                                  <a:pt x="754061" y="0"/>
                                </a:lnTo>
                                <a:lnTo>
                                  <a:pt x="801679" y="1486"/>
                                </a:lnTo>
                                <a:lnTo>
                                  <a:pt x="848519" y="5886"/>
                                </a:lnTo>
                                <a:lnTo>
                                  <a:pt x="894494" y="13110"/>
                                </a:lnTo>
                                <a:lnTo>
                                  <a:pt x="939513" y="23070"/>
                                </a:lnTo>
                                <a:lnTo>
                                  <a:pt x="954942" y="27493"/>
                                </a:lnTo>
                                <a:lnTo>
                                  <a:pt x="754061" y="27493"/>
                                </a:lnTo>
                                <a:lnTo>
                                  <a:pt x="706360" y="29041"/>
                                </a:lnTo>
                                <a:lnTo>
                                  <a:pt x="659473" y="33622"/>
                                </a:lnTo>
                                <a:lnTo>
                                  <a:pt x="613495" y="41139"/>
                                </a:lnTo>
                                <a:lnTo>
                                  <a:pt x="568524" y="51496"/>
                                </a:lnTo>
                                <a:lnTo>
                                  <a:pt x="524656" y="64596"/>
                                </a:lnTo>
                                <a:lnTo>
                                  <a:pt x="481987" y="80342"/>
                                </a:lnTo>
                                <a:lnTo>
                                  <a:pt x="440615" y="98639"/>
                                </a:lnTo>
                                <a:lnTo>
                                  <a:pt x="400634" y="119389"/>
                                </a:lnTo>
                                <a:lnTo>
                                  <a:pt x="362143" y="142496"/>
                                </a:lnTo>
                                <a:lnTo>
                                  <a:pt x="325237" y="167865"/>
                                </a:lnTo>
                                <a:lnTo>
                                  <a:pt x="290013" y="195397"/>
                                </a:lnTo>
                                <a:lnTo>
                                  <a:pt x="256567" y="224997"/>
                                </a:lnTo>
                                <a:lnTo>
                                  <a:pt x="224996" y="256569"/>
                                </a:lnTo>
                                <a:lnTo>
                                  <a:pt x="195396" y="290015"/>
                                </a:lnTo>
                                <a:lnTo>
                                  <a:pt x="167863" y="325240"/>
                                </a:lnTo>
                                <a:lnTo>
                                  <a:pt x="142495" y="362147"/>
                                </a:lnTo>
                                <a:lnTo>
                                  <a:pt x="119388" y="400639"/>
                                </a:lnTo>
                                <a:lnTo>
                                  <a:pt x="98638" y="440619"/>
                                </a:lnTo>
                                <a:lnTo>
                                  <a:pt x="80342" y="481993"/>
                                </a:lnTo>
                                <a:lnTo>
                                  <a:pt x="64597" y="524662"/>
                                </a:lnTo>
                                <a:lnTo>
                                  <a:pt x="51475" y="568619"/>
                                </a:lnTo>
                                <a:lnTo>
                                  <a:pt x="41117" y="613638"/>
                                </a:lnTo>
                                <a:lnTo>
                                  <a:pt x="33609" y="659613"/>
                                </a:lnTo>
                                <a:lnTo>
                                  <a:pt x="29038" y="706453"/>
                                </a:lnTo>
                                <a:lnTo>
                                  <a:pt x="27493" y="754070"/>
                                </a:lnTo>
                                <a:lnTo>
                                  <a:pt x="29047" y="801771"/>
                                </a:lnTo>
                                <a:lnTo>
                                  <a:pt x="33631" y="848659"/>
                                </a:lnTo>
                                <a:lnTo>
                                  <a:pt x="41148" y="894637"/>
                                </a:lnTo>
                                <a:lnTo>
                                  <a:pt x="51502" y="939608"/>
                                </a:lnTo>
                                <a:lnTo>
                                  <a:pt x="64602" y="983492"/>
                                </a:lnTo>
                                <a:lnTo>
                                  <a:pt x="80341" y="1026142"/>
                                </a:lnTo>
                                <a:lnTo>
                                  <a:pt x="98638" y="1067517"/>
                                </a:lnTo>
                                <a:lnTo>
                                  <a:pt x="119388" y="1107497"/>
                                </a:lnTo>
                                <a:lnTo>
                                  <a:pt x="142496" y="1145988"/>
                                </a:lnTo>
                                <a:lnTo>
                                  <a:pt x="167864" y="1182894"/>
                                </a:lnTo>
                                <a:lnTo>
                                  <a:pt x="195396" y="1218118"/>
                                </a:lnTo>
                                <a:lnTo>
                                  <a:pt x="224996" y="1251564"/>
                                </a:lnTo>
                                <a:lnTo>
                                  <a:pt x="256567" y="1283135"/>
                                </a:lnTo>
                                <a:lnTo>
                                  <a:pt x="290013" y="1312734"/>
                                </a:lnTo>
                                <a:lnTo>
                                  <a:pt x="325237" y="1340266"/>
                                </a:lnTo>
                                <a:lnTo>
                                  <a:pt x="362143" y="1365634"/>
                                </a:lnTo>
                                <a:lnTo>
                                  <a:pt x="400635" y="1388741"/>
                                </a:lnTo>
                                <a:lnTo>
                                  <a:pt x="440615" y="1409491"/>
                                </a:lnTo>
                                <a:lnTo>
                                  <a:pt x="481988" y="1427787"/>
                                </a:lnTo>
                                <a:lnTo>
                                  <a:pt x="524656" y="1443533"/>
                                </a:lnTo>
                                <a:lnTo>
                                  <a:pt x="568524" y="1456632"/>
                                </a:lnTo>
                                <a:lnTo>
                                  <a:pt x="613495" y="1466989"/>
                                </a:lnTo>
                                <a:lnTo>
                                  <a:pt x="659473" y="1474506"/>
                                </a:lnTo>
                                <a:lnTo>
                                  <a:pt x="706361" y="1479087"/>
                                </a:lnTo>
                                <a:lnTo>
                                  <a:pt x="754061" y="1480635"/>
                                </a:lnTo>
                                <a:lnTo>
                                  <a:pt x="954915" y="1480635"/>
                                </a:lnTo>
                                <a:lnTo>
                                  <a:pt x="939512" y="1485050"/>
                                </a:lnTo>
                                <a:lnTo>
                                  <a:pt x="894493" y="1495009"/>
                                </a:lnTo>
                                <a:lnTo>
                                  <a:pt x="848519" y="1502233"/>
                                </a:lnTo>
                                <a:lnTo>
                                  <a:pt x="801678" y="1506633"/>
                                </a:lnTo>
                                <a:lnTo>
                                  <a:pt x="754061" y="1508119"/>
                                </a:lnTo>
                                <a:close/>
                              </a:path>
                              <a:path w="1508125" h="1508125">
                                <a:moveTo>
                                  <a:pt x="954915" y="1480635"/>
                                </a:moveTo>
                                <a:lnTo>
                                  <a:pt x="754061" y="1480635"/>
                                </a:lnTo>
                                <a:lnTo>
                                  <a:pt x="801761" y="1479087"/>
                                </a:lnTo>
                                <a:lnTo>
                                  <a:pt x="848648" y="1474506"/>
                                </a:lnTo>
                                <a:lnTo>
                                  <a:pt x="894626" y="1466989"/>
                                </a:lnTo>
                                <a:lnTo>
                                  <a:pt x="939597" y="1456632"/>
                                </a:lnTo>
                                <a:lnTo>
                                  <a:pt x="983465" y="1443532"/>
                                </a:lnTo>
                                <a:lnTo>
                                  <a:pt x="1026134" y="1427786"/>
                                </a:lnTo>
                                <a:lnTo>
                                  <a:pt x="1067507" y="1409490"/>
                                </a:lnTo>
                                <a:lnTo>
                                  <a:pt x="1107487" y="1388740"/>
                                </a:lnTo>
                                <a:lnTo>
                                  <a:pt x="1145979" y="1365633"/>
                                </a:lnTo>
                                <a:lnTo>
                                  <a:pt x="1182886" y="1340265"/>
                                </a:lnTo>
                                <a:lnTo>
                                  <a:pt x="1218110" y="1312732"/>
                                </a:lnTo>
                                <a:lnTo>
                                  <a:pt x="1251557" y="1283133"/>
                                </a:lnTo>
                                <a:lnTo>
                                  <a:pt x="1283128" y="1251562"/>
                                </a:lnTo>
                                <a:lnTo>
                                  <a:pt x="1312729" y="1218116"/>
                                </a:lnTo>
                                <a:lnTo>
                                  <a:pt x="1340261" y="1182892"/>
                                </a:lnTo>
                                <a:lnTo>
                                  <a:pt x="1365630" y="1145986"/>
                                </a:lnTo>
                                <a:lnTo>
                                  <a:pt x="1388737" y="1107494"/>
                                </a:lnTo>
                                <a:lnTo>
                                  <a:pt x="1409488" y="1067514"/>
                                </a:lnTo>
                                <a:lnTo>
                                  <a:pt x="1427785" y="1026142"/>
                                </a:lnTo>
                                <a:lnTo>
                                  <a:pt x="1443530" y="983473"/>
                                </a:lnTo>
                                <a:lnTo>
                                  <a:pt x="1456652" y="939517"/>
                                </a:lnTo>
                                <a:lnTo>
                                  <a:pt x="1467010" y="894499"/>
                                </a:lnTo>
                                <a:lnTo>
                                  <a:pt x="1474518" y="848526"/>
                                </a:lnTo>
                                <a:lnTo>
                                  <a:pt x="1479089" y="801686"/>
                                </a:lnTo>
                                <a:lnTo>
                                  <a:pt x="1480635" y="754070"/>
                                </a:lnTo>
                                <a:lnTo>
                                  <a:pt x="1479081" y="706368"/>
                                </a:lnTo>
                                <a:lnTo>
                                  <a:pt x="1474497" y="659480"/>
                                </a:lnTo>
                                <a:lnTo>
                                  <a:pt x="1466979" y="613502"/>
                                </a:lnTo>
                                <a:lnTo>
                                  <a:pt x="1456625" y="568530"/>
                                </a:lnTo>
                                <a:lnTo>
                                  <a:pt x="1443525" y="524643"/>
                                </a:lnTo>
                                <a:lnTo>
                                  <a:pt x="1427785" y="481993"/>
                                </a:lnTo>
                                <a:lnTo>
                                  <a:pt x="1409488" y="440619"/>
                                </a:lnTo>
                                <a:lnTo>
                                  <a:pt x="1388738" y="400639"/>
                                </a:lnTo>
                                <a:lnTo>
                                  <a:pt x="1365630" y="362147"/>
                                </a:lnTo>
                                <a:lnTo>
                                  <a:pt x="1340261" y="325240"/>
                                </a:lnTo>
                                <a:lnTo>
                                  <a:pt x="1312729" y="290015"/>
                                </a:lnTo>
                                <a:lnTo>
                                  <a:pt x="1283128" y="256569"/>
                                </a:lnTo>
                                <a:lnTo>
                                  <a:pt x="1251557" y="224997"/>
                                </a:lnTo>
                                <a:lnTo>
                                  <a:pt x="1218110" y="195397"/>
                                </a:lnTo>
                                <a:lnTo>
                                  <a:pt x="1182886" y="167865"/>
                                </a:lnTo>
                                <a:lnTo>
                                  <a:pt x="1145979" y="142496"/>
                                </a:lnTo>
                                <a:lnTo>
                                  <a:pt x="1107488" y="119389"/>
                                </a:lnTo>
                                <a:lnTo>
                                  <a:pt x="1067507" y="98639"/>
                                </a:lnTo>
                                <a:lnTo>
                                  <a:pt x="1026134" y="80342"/>
                                </a:lnTo>
                                <a:lnTo>
                                  <a:pt x="983465" y="64596"/>
                                </a:lnTo>
                                <a:lnTo>
                                  <a:pt x="939597" y="51496"/>
                                </a:lnTo>
                                <a:lnTo>
                                  <a:pt x="894626" y="41139"/>
                                </a:lnTo>
                                <a:lnTo>
                                  <a:pt x="848649" y="33622"/>
                                </a:lnTo>
                                <a:lnTo>
                                  <a:pt x="801762" y="29041"/>
                                </a:lnTo>
                                <a:lnTo>
                                  <a:pt x="754061" y="27493"/>
                                </a:lnTo>
                                <a:lnTo>
                                  <a:pt x="954942" y="27493"/>
                                </a:lnTo>
                                <a:lnTo>
                                  <a:pt x="1026330" y="50839"/>
                                </a:lnTo>
                                <a:lnTo>
                                  <a:pt x="1067949" y="68471"/>
                                </a:lnTo>
                                <a:lnTo>
                                  <a:pt x="1108258" y="88482"/>
                                </a:lnTo>
                                <a:lnTo>
                                  <a:pt x="1147166" y="110784"/>
                                </a:lnTo>
                                <a:lnTo>
                                  <a:pt x="1184585" y="135287"/>
                                </a:lnTo>
                                <a:lnTo>
                                  <a:pt x="1220425" y="161902"/>
                                </a:lnTo>
                                <a:lnTo>
                                  <a:pt x="1254599" y="190540"/>
                                </a:lnTo>
                                <a:lnTo>
                                  <a:pt x="1287016" y="221113"/>
                                </a:lnTo>
                                <a:lnTo>
                                  <a:pt x="1317588" y="253530"/>
                                </a:lnTo>
                                <a:lnTo>
                                  <a:pt x="1346225" y="287704"/>
                                </a:lnTo>
                                <a:lnTo>
                                  <a:pt x="1372840" y="323546"/>
                                </a:lnTo>
                                <a:lnTo>
                                  <a:pt x="1397342" y="360965"/>
                                </a:lnTo>
                                <a:lnTo>
                                  <a:pt x="1419643" y="399874"/>
                                </a:lnTo>
                                <a:lnTo>
                                  <a:pt x="1439653" y="440182"/>
                                </a:lnTo>
                                <a:lnTo>
                                  <a:pt x="1457352" y="481993"/>
                                </a:lnTo>
                                <a:lnTo>
                                  <a:pt x="1472452" y="524662"/>
                                </a:lnTo>
                                <a:lnTo>
                                  <a:pt x="1485047" y="568619"/>
                                </a:lnTo>
                                <a:lnTo>
                                  <a:pt x="1495003" y="613638"/>
                                </a:lnTo>
                                <a:lnTo>
                                  <a:pt x="1502228" y="659613"/>
                                </a:lnTo>
                                <a:lnTo>
                                  <a:pt x="1506630" y="706453"/>
                                </a:lnTo>
                                <a:lnTo>
                                  <a:pt x="1508122" y="754070"/>
                                </a:lnTo>
                                <a:lnTo>
                                  <a:pt x="1506628" y="801771"/>
                                </a:lnTo>
                                <a:lnTo>
                                  <a:pt x="1502215" y="848659"/>
                                </a:lnTo>
                                <a:lnTo>
                                  <a:pt x="1494982" y="894637"/>
                                </a:lnTo>
                                <a:lnTo>
                                  <a:pt x="1485027" y="939608"/>
                                </a:lnTo>
                                <a:lnTo>
                                  <a:pt x="1472446" y="983492"/>
                                </a:lnTo>
                                <a:lnTo>
                                  <a:pt x="1457271" y="1026333"/>
                                </a:lnTo>
                                <a:lnTo>
                                  <a:pt x="1439653" y="1067952"/>
                                </a:lnTo>
                                <a:lnTo>
                                  <a:pt x="1419642" y="1108260"/>
                                </a:lnTo>
                                <a:lnTo>
                                  <a:pt x="1397341" y="1147168"/>
                                </a:lnTo>
                                <a:lnTo>
                                  <a:pt x="1372839" y="1184586"/>
                                </a:lnTo>
                                <a:lnTo>
                                  <a:pt x="1346224" y="1220426"/>
                                </a:lnTo>
                                <a:lnTo>
                                  <a:pt x="1317587" y="1254599"/>
                                </a:lnTo>
                                <a:lnTo>
                                  <a:pt x="1287015" y="1287016"/>
                                </a:lnTo>
                                <a:lnTo>
                                  <a:pt x="1254598" y="1317587"/>
                                </a:lnTo>
                                <a:lnTo>
                                  <a:pt x="1220424" y="1346224"/>
                                </a:lnTo>
                                <a:lnTo>
                                  <a:pt x="1184584" y="1372838"/>
                                </a:lnTo>
                                <a:lnTo>
                                  <a:pt x="1147165" y="1397340"/>
                                </a:lnTo>
                                <a:lnTo>
                                  <a:pt x="1108257" y="1419641"/>
                                </a:lnTo>
                                <a:lnTo>
                                  <a:pt x="1067948" y="1439651"/>
                                </a:lnTo>
                                <a:lnTo>
                                  <a:pt x="1026329" y="1457282"/>
                                </a:lnTo>
                                <a:lnTo>
                                  <a:pt x="983487" y="1472445"/>
                                </a:lnTo>
                                <a:lnTo>
                                  <a:pt x="954915" y="1480635"/>
                                </a:lnTo>
                                <a:close/>
                              </a:path>
                            </a:pathLst>
                          </a:custGeom>
                          <a:solidFill>
                            <a:srgbClr val="FFFFFF"/>
                          </a:solidFill>
                        </wps:spPr>
                        <wps:bodyPr wrap="square" lIns="0" tIns="0" rIns="0" bIns="0" rtlCol="0">
                          <a:prstTxWarp prst="textNoShape">
                            <a:avLst/>
                          </a:prstTxWarp>
                          <a:noAutofit/>
                        </wps:bodyPr>
                      </wps:wsp>
                      <pic:pic>
                        <pic:nvPicPr>
                          <pic:cNvPr id="450" name="Image 450"/>
                          <pic:cNvPicPr/>
                        </pic:nvPicPr>
                        <pic:blipFill>
                          <a:blip r:embed="rId609" cstate="print"/>
                          <a:stretch>
                            <a:fillRect/>
                          </a:stretch>
                        </pic:blipFill>
                        <pic:spPr>
                          <a:xfrm>
                            <a:off x="7202914" y="3012459"/>
                            <a:ext cx="75885" cy="92597"/>
                          </a:xfrm>
                          <a:prstGeom prst="rect">
                            <a:avLst/>
                          </a:prstGeom>
                        </pic:spPr>
                      </pic:pic>
                      <wps:wsp>
                        <wps:cNvPr id="451" name="Graphic 451"/>
                        <wps:cNvSpPr/>
                        <wps:spPr>
                          <a:xfrm>
                            <a:off x="6767590" y="3006313"/>
                            <a:ext cx="76200" cy="81915"/>
                          </a:xfrm>
                          <a:custGeom>
                            <a:avLst/>
                            <a:gdLst/>
                            <a:ahLst/>
                            <a:cxnLst/>
                            <a:rect l="l" t="t" r="r" b="b"/>
                            <a:pathLst>
                              <a:path w="76200" h="81915">
                                <a:moveTo>
                                  <a:pt x="35762" y="81850"/>
                                </a:moveTo>
                                <a:lnTo>
                                  <a:pt x="21169" y="77501"/>
                                </a:lnTo>
                                <a:lnTo>
                                  <a:pt x="9575" y="67803"/>
                                </a:lnTo>
                                <a:lnTo>
                                  <a:pt x="2133" y="54171"/>
                                </a:lnTo>
                                <a:lnTo>
                                  <a:pt x="0" y="38022"/>
                                </a:lnTo>
                                <a:lnTo>
                                  <a:pt x="3833" y="22324"/>
                                </a:lnTo>
                                <a:lnTo>
                                  <a:pt x="12661" y="9937"/>
                                </a:lnTo>
                                <a:lnTo>
                                  <a:pt x="25189" y="2087"/>
                                </a:lnTo>
                                <a:lnTo>
                                  <a:pt x="40123" y="0"/>
                                </a:lnTo>
                                <a:lnTo>
                                  <a:pt x="54714" y="4342"/>
                                </a:lnTo>
                                <a:lnTo>
                                  <a:pt x="66304" y="14038"/>
                                </a:lnTo>
                                <a:lnTo>
                                  <a:pt x="73742" y="27672"/>
                                </a:lnTo>
                                <a:lnTo>
                                  <a:pt x="75874" y="43828"/>
                                </a:lnTo>
                                <a:lnTo>
                                  <a:pt x="72046" y="59521"/>
                                </a:lnTo>
                                <a:lnTo>
                                  <a:pt x="63222" y="71909"/>
                                </a:lnTo>
                                <a:lnTo>
                                  <a:pt x="50695" y="79762"/>
                                </a:lnTo>
                                <a:lnTo>
                                  <a:pt x="35762" y="81850"/>
                                </a:lnTo>
                                <a:close/>
                              </a:path>
                            </a:pathLst>
                          </a:custGeom>
                          <a:solidFill>
                            <a:srgbClr val="242F33"/>
                          </a:solidFill>
                        </wps:spPr>
                        <wps:bodyPr wrap="square" lIns="0" tIns="0" rIns="0" bIns="0" rtlCol="0">
                          <a:prstTxWarp prst="textNoShape">
                            <a:avLst/>
                          </a:prstTxWarp>
                          <a:noAutofit/>
                        </wps:bodyPr>
                      </wps:wsp>
                      <wps:wsp>
                        <wps:cNvPr id="452" name="Graphic 452"/>
                        <wps:cNvSpPr/>
                        <wps:spPr>
                          <a:xfrm>
                            <a:off x="6812189" y="3019461"/>
                            <a:ext cx="31750" cy="67945"/>
                          </a:xfrm>
                          <a:custGeom>
                            <a:avLst/>
                            <a:gdLst/>
                            <a:ahLst/>
                            <a:cxnLst/>
                            <a:rect l="l" t="t" r="r" b="b"/>
                            <a:pathLst>
                              <a:path w="31750" h="67945">
                                <a:moveTo>
                                  <a:pt x="0" y="67466"/>
                                </a:moveTo>
                                <a:lnTo>
                                  <a:pt x="18720" y="32097"/>
                                </a:lnTo>
                                <a:lnTo>
                                  <a:pt x="15893" y="21316"/>
                                </a:lnTo>
                                <a:lnTo>
                                  <a:pt x="11732" y="13171"/>
                                </a:lnTo>
                                <a:lnTo>
                                  <a:pt x="8634" y="9000"/>
                                </a:lnTo>
                                <a:lnTo>
                                  <a:pt x="20641" y="0"/>
                                </a:lnTo>
                                <a:lnTo>
                                  <a:pt x="21706" y="890"/>
                                </a:lnTo>
                                <a:lnTo>
                                  <a:pt x="29143" y="14524"/>
                                </a:lnTo>
                                <a:lnTo>
                                  <a:pt x="31275" y="30680"/>
                                </a:lnTo>
                                <a:lnTo>
                                  <a:pt x="27448" y="46373"/>
                                </a:lnTo>
                                <a:lnTo>
                                  <a:pt x="18623" y="58760"/>
                                </a:lnTo>
                                <a:lnTo>
                                  <a:pt x="6097" y="66613"/>
                                </a:lnTo>
                                <a:lnTo>
                                  <a:pt x="0" y="67466"/>
                                </a:lnTo>
                                <a:close/>
                              </a:path>
                            </a:pathLst>
                          </a:custGeom>
                          <a:solidFill>
                            <a:srgbClr val="9A2F59"/>
                          </a:solidFill>
                        </wps:spPr>
                        <wps:bodyPr wrap="square" lIns="0" tIns="0" rIns="0" bIns="0" rtlCol="0">
                          <a:prstTxWarp prst="textNoShape">
                            <a:avLst/>
                          </a:prstTxWarp>
                          <a:noAutofit/>
                        </wps:bodyPr>
                      </wps:wsp>
                      <pic:pic>
                        <pic:nvPicPr>
                          <pic:cNvPr id="453" name="Image 453"/>
                          <pic:cNvPicPr/>
                        </pic:nvPicPr>
                        <pic:blipFill>
                          <a:blip r:embed="rId610" cstate="print"/>
                          <a:stretch>
                            <a:fillRect/>
                          </a:stretch>
                        </pic:blipFill>
                        <pic:spPr>
                          <a:xfrm>
                            <a:off x="7062223" y="3061602"/>
                            <a:ext cx="103158" cy="113200"/>
                          </a:xfrm>
                          <a:prstGeom prst="rect">
                            <a:avLst/>
                          </a:prstGeom>
                        </pic:spPr>
                      </pic:pic>
                      <wps:wsp>
                        <wps:cNvPr id="454" name="Graphic 454"/>
                        <wps:cNvSpPr/>
                        <wps:spPr>
                          <a:xfrm>
                            <a:off x="6661465" y="3022866"/>
                            <a:ext cx="93345" cy="97790"/>
                          </a:xfrm>
                          <a:custGeom>
                            <a:avLst/>
                            <a:gdLst/>
                            <a:ahLst/>
                            <a:cxnLst/>
                            <a:rect l="l" t="t" r="r" b="b"/>
                            <a:pathLst>
                              <a:path w="93345" h="97790">
                                <a:moveTo>
                                  <a:pt x="44075" y="97385"/>
                                </a:moveTo>
                                <a:lnTo>
                                  <a:pt x="26119" y="92168"/>
                                </a:lnTo>
                                <a:lnTo>
                                  <a:pt x="11841" y="80593"/>
                                </a:lnTo>
                                <a:lnTo>
                                  <a:pt x="2660" y="64350"/>
                                </a:lnTo>
                                <a:lnTo>
                                  <a:pt x="0" y="45128"/>
                                </a:lnTo>
                                <a:lnTo>
                                  <a:pt x="4679" y="26461"/>
                                </a:lnTo>
                                <a:lnTo>
                                  <a:pt x="15511" y="11747"/>
                                </a:lnTo>
                                <a:lnTo>
                                  <a:pt x="30904" y="2441"/>
                                </a:lnTo>
                                <a:lnTo>
                                  <a:pt x="49269" y="0"/>
                                </a:lnTo>
                                <a:lnTo>
                                  <a:pt x="67218" y="5221"/>
                                </a:lnTo>
                                <a:lnTo>
                                  <a:pt x="81493" y="16797"/>
                                </a:lnTo>
                                <a:lnTo>
                                  <a:pt x="90672" y="33041"/>
                                </a:lnTo>
                                <a:lnTo>
                                  <a:pt x="93332" y="52268"/>
                                </a:lnTo>
                                <a:lnTo>
                                  <a:pt x="88653" y="70929"/>
                                </a:lnTo>
                                <a:lnTo>
                                  <a:pt x="77823" y="85639"/>
                                </a:lnTo>
                                <a:lnTo>
                                  <a:pt x="62433" y="94943"/>
                                </a:lnTo>
                                <a:lnTo>
                                  <a:pt x="44075" y="97385"/>
                                </a:lnTo>
                                <a:close/>
                              </a:path>
                            </a:pathLst>
                          </a:custGeom>
                          <a:solidFill>
                            <a:srgbClr val="242F33"/>
                          </a:solidFill>
                        </wps:spPr>
                        <wps:bodyPr wrap="square" lIns="0" tIns="0" rIns="0" bIns="0" rtlCol="0">
                          <a:prstTxWarp prst="textNoShape">
                            <a:avLst/>
                          </a:prstTxWarp>
                          <a:noAutofit/>
                        </wps:bodyPr>
                      </wps:wsp>
                      <wps:wsp>
                        <wps:cNvPr id="455" name="Graphic 455"/>
                        <wps:cNvSpPr/>
                        <wps:spPr>
                          <a:xfrm>
                            <a:off x="6713082" y="3025215"/>
                            <a:ext cx="41275" cy="94615"/>
                          </a:xfrm>
                          <a:custGeom>
                            <a:avLst/>
                            <a:gdLst/>
                            <a:ahLst/>
                            <a:cxnLst/>
                            <a:rect l="l" t="t" r="r" b="b"/>
                            <a:pathLst>
                              <a:path w="41275" h="94615">
                                <a:moveTo>
                                  <a:pt x="0" y="94032"/>
                                </a:moveTo>
                                <a:lnTo>
                                  <a:pt x="9933" y="88565"/>
                                </a:lnTo>
                                <a:lnTo>
                                  <a:pt x="20886" y="76860"/>
                                </a:lnTo>
                                <a:lnTo>
                                  <a:pt x="27798" y="56849"/>
                                </a:lnTo>
                                <a:lnTo>
                                  <a:pt x="27115" y="40593"/>
                                </a:lnTo>
                                <a:lnTo>
                                  <a:pt x="21692" y="24344"/>
                                </a:lnTo>
                                <a:lnTo>
                                  <a:pt x="12431" y="10811"/>
                                </a:lnTo>
                                <a:lnTo>
                                  <a:pt x="232" y="2707"/>
                                </a:lnTo>
                                <a:lnTo>
                                  <a:pt x="5728" y="0"/>
                                </a:lnTo>
                                <a:lnTo>
                                  <a:pt x="15601" y="2872"/>
                                </a:lnTo>
                                <a:lnTo>
                                  <a:pt x="29876" y="14447"/>
                                </a:lnTo>
                                <a:lnTo>
                                  <a:pt x="37940" y="28718"/>
                                </a:lnTo>
                                <a:lnTo>
                                  <a:pt x="40982" y="52847"/>
                                </a:lnTo>
                                <a:lnTo>
                                  <a:pt x="39061" y="60504"/>
                                </a:lnTo>
                                <a:lnTo>
                                  <a:pt x="32740" y="74415"/>
                                </a:lnTo>
                                <a:lnTo>
                                  <a:pt x="26206" y="83290"/>
                                </a:lnTo>
                                <a:lnTo>
                                  <a:pt x="17820" y="88360"/>
                                </a:lnTo>
                                <a:lnTo>
                                  <a:pt x="548" y="93959"/>
                                </a:lnTo>
                                <a:lnTo>
                                  <a:pt x="0" y="94032"/>
                                </a:lnTo>
                                <a:close/>
                              </a:path>
                            </a:pathLst>
                          </a:custGeom>
                          <a:solidFill>
                            <a:srgbClr val="9A2F59"/>
                          </a:solidFill>
                        </wps:spPr>
                        <wps:bodyPr wrap="square" lIns="0" tIns="0" rIns="0" bIns="0" rtlCol="0">
                          <a:prstTxWarp prst="textNoShape">
                            <a:avLst/>
                          </a:prstTxWarp>
                          <a:noAutofit/>
                        </wps:bodyPr>
                      </wps:wsp>
                      <wps:wsp>
                        <wps:cNvPr id="456" name="Graphic 456"/>
                        <wps:cNvSpPr/>
                        <wps:spPr>
                          <a:xfrm>
                            <a:off x="6622351" y="2127282"/>
                            <a:ext cx="654685" cy="975360"/>
                          </a:xfrm>
                          <a:custGeom>
                            <a:avLst/>
                            <a:gdLst/>
                            <a:ahLst/>
                            <a:cxnLst/>
                            <a:rect l="l" t="t" r="r" b="b"/>
                            <a:pathLst>
                              <a:path w="654685" h="975360">
                                <a:moveTo>
                                  <a:pt x="489778" y="975165"/>
                                </a:moveTo>
                                <a:lnTo>
                                  <a:pt x="451001" y="972207"/>
                                </a:lnTo>
                                <a:lnTo>
                                  <a:pt x="399097" y="965960"/>
                                </a:lnTo>
                                <a:lnTo>
                                  <a:pt x="338448" y="957077"/>
                                </a:lnTo>
                                <a:lnTo>
                                  <a:pt x="273440" y="946212"/>
                                </a:lnTo>
                                <a:lnTo>
                                  <a:pt x="208454" y="934019"/>
                                </a:lnTo>
                                <a:lnTo>
                                  <a:pt x="147876" y="921153"/>
                                </a:lnTo>
                                <a:lnTo>
                                  <a:pt x="96087" y="908266"/>
                                </a:lnTo>
                                <a:lnTo>
                                  <a:pt x="57473" y="896013"/>
                                </a:lnTo>
                                <a:lnTo>
                                  <a:pt x="26759" y="868309"/>
                                </a:lnTo>
                                <a:lnTo>
                                  <a:pt x="12465" y="798937"/>
                                </a:lnTo>
                                <a:lnTo>
                                  <a:pt x="7570" y="749882"/>
                                </a:lnTo>
                                <a:lnTo>
                                  <a:pt x="4005" y="693633"/>
                                </a:lnTo>
                                <a:lnTo>
                                  <a:pt x="1642" y="631978"/>
                                </a:lnTo>
                                <a:lnTo>
                                  <a:pt x="349" y="566707"/>
                                </a:lnTo>
                                <a:lnTo>
                                  <a:pt x="0" y="499608"/>
                                </a:lnTo>
                                <a:lnTo>
                                  <a:pt x="463" y="432471"/>
                                </a:lnTo>
                                <a:lnTo>
                                  <a:pt x="1612" y="367084"/>
                                </a:lnTo>
                                <a:lnTo>
                                  <a:pt x="3316" y="305237"/>
                                </a:lnTo>
                                <a:lnTo>
                                  <a:pt x="5446" y="248718"/>
                                </a:lnTo>
                                <a:lnTo>
                                  <a:pt x="7874" y="199316"/>
                                </a:lnTo>
                                <a:lnTo>
                                  <a:pt x="10470" y="158820"/>
                                </a:lnTo>
                                <a:lnTo>
                                  <a:pt x="15651" y="111702"/>
                                </a:lnTo>
                                <a:lnTo>
                                  <a:pt x="66244" y="44471"/>
                                </a:lnTo>
                                <a:lnTo>
                                  <a:pt x="102752" y="16214"/>
                                </a:lnTo>
                                <a:lnTo>
                                  <a:pt x="163889" y="53"/>
                                </a:lnTo>
                                <a:lnTo>
                                  <a:pt x="206362" y="0"/>
                                </a:lnTo>
                                <a:lnTo>
                                  <a:pt x="256861" y="2454"/>
                                </a:lnTo>
                                <a:lnTo>
                                  <a:pt x="312844" y="7337"/>
                                </a:lnTo>
                                <a:lnTo>
                                  <a:pt x="371766" y="14568"/>
                                </a:lnTo>
                                <a:lnTo>
                                  <a:pt x="431083" y="24070"/>
                                </a:lnTo>
                                <a:lnTo>
                                  <a:pt x="488250" y="35761"/>
                                </a:lnTo>
                                <a:lnTo>
                                  <a:pt x="540723" y="49564"/>
                                </a:lnTo>
                                <a:lnTo>
                                  <a:pt x="585958" y="65398"/>
                                </a:lnTo>
                                <a:lnTo>
                                  <a:pt x="621410" y="83185"/>
                                </a:lnTo>
                                <a:lnTo>
                                  <a:pt x="652790" y="124298"/>
                                </a:lnTo>
                                <a:lnTo>
                                  <a:pt x="652833" y="156510"/>
                                </a:lnTo>
                                <a:lnTo>
                                  <a:pt x="653799" y="369956"/>
                                </a:lnTo>
                                <a:lnTo>
                                  <a:pt x="654027" y="433887"/>
                                </a:lnTo>
                                <a:lnTo>
                                  <a:pt x="654163" y="497816"/>
                                </a:lnTo>
                                <a:lnTo>
                                  <a:pt x="654166" y="559625"/>
                                </a:lnTo>
                                <a:lnTo>
                                  <a:pt x="653993" y="617199"/>
                                </a:lnTo>
                                <a:lnTo>
                                  <a:pt x="653602" y="668422"/>
                                </a:lnTo>
                                <a:lnTo>
                                  <a:pt x="652949" y="711179"/>
                                </a:lnTo>
                                <a:lnTo>
                                  <a:pt x="650352" y="778220"/>
                                </a:lnTo>
                                <a:lnTo>
                                  <a:pt x="646167" y="847834"/>
                                </a:lnTo>
                                <a:lnTo>
                                  <a:pt x="624602" y="915675"/>
                                </a:lnTo>
                                <a:lnTo>
                                  <a:pt x="584641" y="943408"/>
                                </a:lnTo>
                                <a:lnTo>
                                  <a:pt x="541020" y="963632"/>
                                </a:lnTo>
                                <a:lnTo>
                                  <a:pt x="511043" y="974180"/>
                                </a:lnTo>
                                <a:lnTo>
                                  <a:pt x="489778" y="975165"/>
                                </a:lnTo>
                                <a:close/>
                              </a:path>
                            </a:pathLst>
                          </a:custGeom>
                          <a:solidFill>
                            <a:srgbClr val="62ABAB"/>
                          </a:solidFill>
                        </wps:spPr>
                        <wps:bodyPr wrap="square" lIns="0" tIns="0" rIns="0" bIns="0" rtlCol="0">
                          <a:prstTxWarp prst="textNoShape">
                            <a:avLst/>
                          </a:prstTxWarp>
                          <a:noAutofit/>
                        </wps:bodyPr>
                      </wps:wsp>
                      <wps:wsp>
                        <wps:cNvPr id="457" name="Graphic 457"/>
                        <wps:cNvSpPr/>
                        <wps:spPr>
                          <a:xfrm>
                            <a:off x="6694560" y="2167137"/>
                            <a:ext cx="532765" cy="720090"/>
                          </a:xfrm>
                          <a:custGeom>
                            <a:avLst/>
                            <a:gdLst/>
                            <a:ahLst/>
                            <a:cxnLst/>
                            <a:rect l="l" t="t" r="r" b="b"/>
                            <a:pathLst>
                              <a:path w="532765" h="720090">
                                <a:moveTo>
                                  <a:pt x="0" y="0"/>
                                </a:moveTo>
                                <a:lnTo>
                                  <a:pt x="10759" y="1238"/>
                                </a:lnTo>
                                <a:lnTo>
                                  <a:pt x="39022" y="4525"/>
                                </a:lnTo>
                                <a:lnTo>
                                  <a:pt x="58866" y="6829"/>
                                </a:lnTo>
                                <a:lnTo>
                                  <a:pt x="86606" y="9796"/>
                                </a:lnTo>
                                <a:lnTo>
                                  <a:pt x="114363" y="12482"/>
                                </a:lnTo>
                                <a:lnTo>
                                  <a:pt x="142122" y="15131"/>
                                </a:lnTo>
                                <a:lnTo>
                                  <a:pt x="169869" y="17986"/>
                                </a:lnTo>
                                <a:lnTo>
                                  <a:pt x="203043" y="20798"/>
                                </a:lnTo>
                                <a:lnTo>
                                  <a:pt x="247807" y="24205"/>
                                </a:lnTo>
                                <a:lnTo>
                                  <a:pt x="299844" y="29205"/>
                                </a:lnTo>
                                <a:lnTo>
                                  <a:pt x="354842" y="36799"/>
                                </a:lnTo>
                                <a:lnTo>
                                  <a:pt x="408486" y="47987"/>
                                </a:lnTo>
                                <a:lnTo>
                                  <a:pt x="456463" y="63768"/>
                                </a:lnTo>
                                <a:lnTo>
                                  <a:pt x="494457" y="85143"/>
                                </a:lnTo>
                                <a:lnTo>
                                  <a:pt x="524407" y="137896"/>
                                </a:lnTo>
                                <a:lnTo>
                                  <a:pt x="528724" y="179318"/>
                                </a:lnTo>
                                <a:lnTo>
                                  <a:pt x="531369" y="233790"/>
                                </a:lnTo>
                                <a:lnTo>
                                  <a:pt x="532605" y="297726"/>
                                </a:lnTo>
                                <a:lnTo>
                                  <a:pt x="532694" y="367539"/>
                                </a:lnTo>
                                <a:lnTo>
                                  <a:pt x="531896" y="439643"/>
                                </a:lnTo>
                                <a:lnTo>
                                  <a:pt x="530475" y="510451"/>
                                </a:lnTo>
                                <a:lnTo>
                                  <a:pt x="528693" y="576378"/>
                                </a:lnTo>
                                <a:lnTo>
                                  <a:pt x="526811" y="633836"/>
                                </a:lnTo>
                                <a:lnTo>
                                  <a:pt x="525091" y="679240"/>
                                </a:lnTo>
                                <a:lnTo>
                                  <a:pt x="523795" y="709002"/>
                                </a:lnTo>
                                <a:lnTo>
                                  <a:pt x="523186" y="719536"/>
                                </a:lnTo>
                              </a:path>
                            </a:pathLst>
                          </a:custGeom>
                          <a:ln w="21950">
                            <a:solidFill>
                              <a:srgbClr val="242F33"/>
                            </a:solidFill>
                            <a:prstDash val="solid"/>
                          </a:ln>
                        </wps:spPr>
                        <wps:bodyPr wrap="square" lIns="0" tIns="0" rIns="0" bIns="0" rtlCol="0">
                          <a:prstTxWarp prst="textNoShape">
                            <a:avLst/>
                          </a:prstTxWarp>
                          <a:noAutofit/>
                        </wps:bodyPr>
                      </wps:wsp>
                      <wps:wsp>
                        <wps:cNvPr id="458" name="Graphic 458"/>
                        <wps:cNvSpPr/>
                        <wps:spPr>
                          <a:xfrm>
                            <a:off x="7132270" y="2261554"/>
                            <a:ext cx="134620" cy="798195"/>
                          </a:xfrm>
                          <a:custGeom>
                            <a:avLst/>
                            <a:gdLst/>
                            <a:ahLst/>
                            <a:cxnLst/>
                            <a:rect l="l" t="t" r="r" b="b"/>
                            <a:pathLst>
                              <a:path w="134620" h="798195">
                                <a:moveTo>
                                  <a:pt x="7680" y="140839"/>
                                </a:moveTo>
                                <a:lnTo>
                                  <a:pt x="8782" y="137701"/>
                                </a:lnTo>
                                <a:lnTo>
                                  <a:pt x="7117" y="147593"/>
                                </a:lnTo>
                                <a:lnTo>
                                  <a:pt x="6906" y="150988"/>
                                </a:lnTo>
                                <a:lnTo>
                                  <a:pt x="4904" y="192086"/>
                                </a:lnTo>
                                <a:lnTo>
                                  <a:pt x="3246" y="250577"/>
                                </a:lnTo>
                                <a:lnTo>
                                  <a:pt x="1474" y="322418"/>
                                </a:lnTo>
                                <a:lnTo>
                                  <a:pt x="855" y="358343"/>
                                </a:lnTo>
                                <a:lnTo>
                                  <a:pt x="859" y="406936"/>
                                </a:lnTo>
                                <a:lnTo>
                                  <a:pt x="1870" y="455790"/>
                                </a:lnTo>
                                <a:lnTo>
                                  <a:pt x="3448" y="504821"/>
                                </a:lnTo>
                                <a:lnTo>
                                  <a:pt x="5148" y="553942"/>
                                </a:lnTo>
                                <a:lnTo>
                                  <a:pt x="6529" y="603067"/>
                                </a:lnTo>
                                <a:lnTo>
                                  <a:pt x="7147" y="652110"/>
                                </a:lnTo>
                                <a:lnTo>
                                  <a:pt x="6560" y="700986"/>
                                </a:lnTo>
                                <a:lnTo>
                                  <a:pt x="4325" y="749609"/>
                                </a:lnTo>
                                <a:lnTo>
                                  <a:pt x="0" y="797893"/>
                                </a:lnTo>
                              </a:path>
                              <a:path w="134620" h="798195">
                                <a:moveTo>
                                  <a:pt x="134218" y="0"/>
                                </a:moveTo>
                                <a:lnTo>
                                  <a:pt x="103596" y="13173"/>
                                </a:lnTo>
                                <a:lnTo>
                                  <a:pt x="68979" y="35468"/>
                                </a:lnTo>
                                <a:lnTo>
                                  <a:pt x="35514" y="66330"/>
                                </a:lnTo>
                                <a:lnTo>
                                  <a:pt x="8348" y="105205"/>
                                </a:lnTo>
                              </a:path>
                            </a:pathLst>
                          </a:custGeom>
                          <a:ln w="10059">
                            <a:solidFill>
                              <a:srgbClr val="242F33"/>
                            </a:solidFill>
                            <a:prstDash val="solid"/>
                          </a:ln>
                        </wps:spPr>
                        <wps:bodyPr wrap="square" lIns="0" tIns="0" rIns="0" bIns="0" rtlCol="0">
                          <a:prstTxWarp prst="textNoShape">
                            <a:avLst/>
                          </a:prstTxWarp>
                          <a:noAutofit/>
                        </wps:bodyPr>
                      </wps:wsp>
                      <wps:wsp>
                        <wps:cNvPr id="459" name="Graphic 459"/>
                        <wps:cNvSpPr/>
                        <wps:spPr>
                          <a:xfrm>
                            <a:off x="6767727" y="2256066"/>
                            <a:ext cx="286385" cy="102235"/>
                          </a:xfrm>
                          <a:custGeom>
                            <a:avLst/>
                            <a:gdLst/>
                            <a:ahLst/>
                            <a:cxnLst/>
                            <a:rect l="l" t="t" r="r" b="b"/>
                            <a:pathLst>
                              <a:path w="286385" h="102235">
                                <a:moveTo>
                                  <a:pt x="259425" y="101913"/>
                                </a:moveTo>
                                <a:lnTo>
                                  <a:pt x="220332" y="96333"/>
                                </a:lnTo>
                                <a:lnTo>
                                  <a:pt x="133718" y="83150"/>
                                </a:lnTo>
                                <a:lnTo>
                                  <a:pt x="45584" y="67704"/>
                                </a:lnTo>
                                <a:lnTo>
                                  <a:pt x="1926" y="55334"/>
                                </a:lnTo>
                                <a:lnTo>
                                  <a:pt x="0" y="41892"/>
                                </a:lnTo>
                                <a:lnTo>
                                  <a:pt x="4626" y="24373"/>
                                </a:lnTo>
                                <a:lnTo>
                                  <a:pt x="12370" y="8651"/>
                                </a:lnTo>
                                <a:lnTo>
                                  <a:pt x="19796" y="595"/>
                                </a:lnTo>
                                <a:lnTo>
                                  <a:pt x="55049" y="0"/>
                                </a:lnTo>
                                <a:lnTo>
                                  <a:pt x="119769" y="6253"/>
                                </a:lnTo>
                                <a:lnTo>
                                  <a:pt x="193171" y="16347"/>
                                </a:lnTo>
                                <a:lnTo>
                                  <a:pt x="254472" y="27275"/>
                                </a:lnTo>
                                <a:lnTo>
                                  <a:pt x="282887" y="36030"/>
                                </a:lnTo>
                                <a:lnTo>
                                  <a:pt x="285925" y="50249"/>
                                </a:lnTo>
                                <a:lnTo>
                                  <a:pt x="282729" y="71088"/>
                                </a:lnTo>
                                <a:lnTo>
                                  <a:pt x="273746" y="90868"/>
                                </a:lnTo>
                                <a:lnTo>
                                  <a:pt x="259425" y="101913"/>
                                </a:lnTo>
                                <a:close/>
                              </a:path>
                            </a:pathLst>
                          </a:custGeom>
                          <a:solidFill>
                            <a:srgbClr val="294448"/>
                          </a:solidFill>
                        </wps:spPr>
                        <wps:bodyPr wrap="square" lIns="0" tIns="0" rIns="0" bIns="0" rtlCol="0">
                          <a:prstTxWarp prst="textNoShape">
                            <a:avLst/>
                          </a:prstTxWarp>
                          <a:noAutofit/>
                        </wps:bodyPr>
                      </wps:wsp>
                      <wps:wsp>
                        <wps:cNvPr id="460" name="Graphic 460"/>
                        <wps:cNvSpPr/>
                        <wps:spPr>
                          <a:xfrm>
                            <a:off x="6820559" y="2066526"/>
                            <a:ext cx="169545" cy="248285"/>
                          </a:xfrm>
                          <a:custGeom>
                            <a:avLst/>
                            <a:gdLst/>
                            <a:ahLst/>
                            <a:cxnLst/>
                            <a:rect l="l" t="t" r="r" b="b"/>
                            <a:pathLst>
                              <a:path w="169545" h="248285">
                                <a:moveTo>
                                  <a:pt x="169330" y="32262"/>
                                </a:moveTo>
                                <a:lnTo>
                                  <a:pt x="166398" y="247741"/>
                                </a:lnTo>
                              </a:path>
                              <a:path w="169545" h="248285">
                                <a:moveTo>
                                  <a:pt x="1389" y="0"/>
                                </a:moveTo>
                                <a:lnTo>
                                  <a:pt x="104" y="54259"/>
                                </a:lnTo>
                                <a:lnTo>
                                  <a:pt x="0" y="110674"/>
                                </a:lnTo>
                                <a:lnTo>
                                  <a:pt x="370" y="167261"/>
                                </a:lnTo>
                                <a:lnTo>
                                  <a:pt x="510" y="222034"/>
                                </a:lnTo>
                              </a:path>
                            </a:pathLst>
                          </a:custGeom>
                          <a:ln w="33831">
                            <a:solidFill>
                              <a:srgbClr val="171B1B"/>
                            </a:solidFill>
                            <a:prstDash val="solid"/>
                          </a:ln>
                        </wps:spPr>
                        <wps:bodyPr wrap="square" lIns="0" tIns="0" rIns="0" bIns="0" rtlCol="0">
                          <a:prstTxWarp prst="textNoShape">
                            <a:avLst/>
                          </a:prstTxWarp>
                          <a:noAutofit/>
                        </wps:bodyPr>
                      </wps:wsp>
                      <wps:wsp>
                        <wps:cNvPr id="461" name="Graphic 461"/>
                        <wps:cNvSpPr/>
                        <wps:spPr>
                          <a:xfrm>
                            <a:off x="6813624" y="2042333"/>
                            <a:ext cx="180340" cy="76835"/>
                          </a:xfrm>
                          <a:custGeom>
                            <a:avLst/>
                            <a:gdLst/>
                            <a:ahLst/>
                            <a:cxnLst/>
                            <a:rect l="l" t="t" r="r" b="b"/>
                            <a:pathLst>
                              <a:path w="180340" h="76835">
                                <a:moveTo>
                                  <a:pt x="1453" y="47945"/>
                                </a:moveTo>
                                <a:lnTo>
                                  <a:pt x="608" y="41915"/>
                                </a:lnTo>
                                <a:lnTo>
                                  <a:pt x="0" y="28088"/>
                                </a:lnTo>
                                <a:lnTo>
                                  <a:pt x="2522" y="12861"/>
                                </a:lnTo>
                                <a:lnTo>
                                  <a:pt x="11068" y="2630"/>
                                </a:lnTo>
                                <a:lnTo>
                                  <a:pt x="42438" y="0"/>
                                </a:lnTo>
                                <a:lnTo>
                                  <a:pt x="93363" y="3547"/>
                                </a:lnTo>
                                <a:lnTo>
                                  <a:pt x="142751" y="10859"/>
                                </a:lnTo>
                                <a:lnTo>
                                  <a:pt x="169511" y="19522"/>
                                </a:lnTo>
                                <a:lnTo>
                                  <a:pt x="177152" y="34720"/>
                                </a:lnTo>
                                <a:lnTo>
                                  <a:pt x="179729" y="53728"/>
                                </a:lnTo>
                                <a:lnTo>
                                  <a:pt x="179568" y="69962"/>
                                </a:lnTo>
                                <a:lnTo>
                                  <a:pt x="178997" y="76836"/>
                                </a:lnTo>
                              </a:path>
                            </a:pathLst>
                          </a:custGeom>
                          <a:ln w="59402">
                            <a:solidFill>
                              <a:srgbClr val="171B1B"/>
                            </a:solidFill>
                            <a:prstDash val="solid"/>
                          </a:ln>
                        </wps:spPr>
                        <wps:bodyPr wrap="square" lIns="0" tIns="0" rIns="0" bIns="0" rtlCol="0">
                          <a:prstTxWarp prst="textNoShape">
                            <a:avLst/>
                          </a:prstTxWarp>
                          <a:noAutofit/>
                        </wps:bodyPr>
                      </wps:wsp>
                      <pic:pic>
                        <pic:nvPicPr>
                          <pic:cNvPr id="462" name="Image 462"/>
                          <pic:cNvPicPr/>
                        </pic:nvPicPr>
                        <pic:blipFill>
                          <a:blip r:embed="rId611" cstate="print"/>
                          <a:stretch>
                            <a:fillRect/>
                          </a:stretch>
                        </pic:blipFill>
                        <pic:spPr>
                          <a:xfrm>
                            <a:off x="6743085" y="2557878"/>
                            <a:ext cx="68651" cy="93615"/>
                          </a:xfrm>
                          <a:prstGeom prst="rect">
                            <a:avLst/>
                          </a:prstGeom>
                        </pic:spPr>
                      </pic:pic>
                      <pic:pic>
                        <pic:nvPicPr>
                          <pic:cNvPr id="463" name="Image 463"/>
                          <pic:cNvPicPr/>
                        </pic:nvPicPr>
                        <pic:blipFill>
                          <a:blip r:embed="rId612" cstate="print"/>
                          <a:stretch>
                            <a:fillRect/>
                          </a:stretch>
                        </pic:blipFill>
                        <pic:spPr>
                          <a:xfrm>
                            <a:off x="6855084" y="2676264"/>
                            <a:ext cx="145428" cy="180043"/>
                          </a:xfrm>
                          <a:prstGeom prst="rect">
                            <a:avLst/>
                          </a:prstGeom>
                        </pic:spPr>
                      </pic:pic>
                      <wps:wsp>
                        <wps:cNvPr id="464" name="Graphic 464"/>
                        <wps:cNvSpPr/>
                        <wps:spPr>
                          <a:xfrm>
                            <a:off x="6647325" y="2196479"/>
                            <a:ext cx="610235" cy="650875"/>
                          </a:xfrm>
                          <a:custGeom>
                            <a:avLst/>
                            <a:gdLst/>
                            <a:ahLst/>
                            <a:cxnLst/>
                            <a:rect l="l" t="t" r="r" b="b"/>
                            <a:pathLst>
                              <a:path w="610235" h="650875">
                                <a:moveTo>
                                  <a:pt x="439614" y="426076"/>
                                </a:moveTo>
                                <a:lnTo>
                                  <a:pt x="439743" y="427820"/>
                                </a:lnTo>
                                <a:lnTo>
                                  <a:pt x="439755" y="428008"/>
                                </a:lnTo>
                                <a:lnTo>
                                  <a:pt x="440114" y="434932"/>
                                </a:lnTo>
                                <a:lnTo>
                                  <a:pt x="440252" y="441863"/>
                                </a:lnTo>
                                <a:lnTo>
                                  <a:pt x="440265" y="448797"/>
                                </a:lnTo>
                                <a:lnTo>
                                  <a:pt x="440248" y="455728"/>
                                </a:lnTo>
                              </a:path>
                              <a:path w="610235" h="650875">
                                <a:moveTo>
                                  <a:pt x="439825" y="480405"/>
                                </a:moveTo>
                                <a:lnTo>
                                  <a:pt x="439274" y="480674"/>
                                </a:lnTo>
                                <a:lnTo>
                                  <a:pt x="439544" y="482676"/>
                                </a:lnTo>
                                <a:lnTo>
                                  <a:pt x="439532" y="483121"/>
                                </a:lnTo>
                                <a:lnTo>
                                  <a:pt x="439443" y="492821"/>
                                </a:lnTo>
                                <a:lnTo>
                                  <a:pt x="439551" y="502530"/>
                                </a:lnTo>
                                <a:lnTo>
                                  <a:pt x="439705" y="512239"/>
                                </a:lnTo>
                                <a:lnTo>
                                  <a:pt x="439755" y="521939"/>
                                </a:lnTo>
                                <a:lnTo>
                                  <a:pt x="439373" y="554157"/>
                                </a:lnTo>
                                <a:lnTo>
                                  <a:pt x="438738" y="586371"/>
                                </a:lnTo>
                                <a:lnTo>
                                  <a:pt x="438142" y="618585"/>
                                </a:lnTo>
                                <a:lnTo>
                                  <a:pt x="437879" y="650803"/>
                                </a:lnTo>
                              </a:path>
                              <a:path w="610235" h="650875">
                                <a:moveTo>
                                  <a:pt x="541261" y="6953"/>
                                </a:moveTo>
                                <a:lnTo>
                                  <a:pt x="529254" y="1474"/>
                                </a:lnTo>
                                <a:lnTo>
                                  <a:pt x="526018" y="0"/>
                                </a:lnTo>
                              </a:path>
                              <a:path w="610235" h="650875">
                                <a:moveTo>
                                  <a:pt x="609619" y="47797"/>
                                </a:moveTo>
                                <a:lnTo>
                                  <a:pt x="602918" y="39713"/>
                                </a:lnTo>
                                <a:lnTo>
                                  <a:pt x="589103" y="29251"/>
                                </a:lnTo>
                                <a:lnTo>
                                  <a:pt x="572961" y="19548"/>
                                </a:lnTo>
                                <a:lnTo>
                                  <a:pt x="559282" y="13743"/>
                                </a:lnTo>
                              </a:path>
                              <a:path w="610235" h="650875">
                                <a:moveTo>
                                  <a:pt x="466864" y="139797"/>
                                </a:moveTo>
                                <a:lnTo>
                                  <a:pt x="465000" y="140429"/>
                                </a:lnTo>
                                <a:lnTo>
                                  <a:pt x="468916" y="136425"/>
                                </a:lnTo>
                                <a:lnTo>
                                  <a:pt x="470159" y="134892"/>
                                </a:lnTo>
                                <a:lnTo>
                                  <a:pt x="497823" y="105999"/>
                                </a:lnTo>
                                <a:lnTo>
                                  <a:pt x="506568" y="99069"/>
                                </a:lnTo>
                                <a:lnTo>
                                  <a:pt x="515899" y="92843"/>
                                </a:lnTo>
                              </a:path>
                              <a:path w="610235" h="650875">
                                <a:moveTo>
                                  <a:pt x="1102" y="97373"/>
                                </a:moveTo>
                                <a:lnTo>
                                  <a:pt x="504" y="97584"/>
                                </a:lnTo>
                                <a:lnTo>
                                  <a:pt x="773" y="100323"/>
                                </a:lnTo>
                                <a:lnTo>
                                  <a:pt x="773" y="100780"/>
                                </a:lnTo>
                                <a:lnTo>
                                  <a:pt x="652" y="110573"/>
                                </a:lnTo>
                                <a:lnTo>
                                  <a:pt x="386" y="120372"/>
                                </a:lnTo>
                                <a:lnTo>
                                  <a:pt x="120" y="130173"/>
                                </a:lnTo>
                                <a:lnTo>
                                  <a:pt x="0" y="139972"/>
                                </a:lnTo>
                              </a:path>
                            </a:pathLst>
                          </a:custGeom>
                          <a:ln w="11886">
                            <a:solidFill>
                              <a:srgbClr val="E3E7C1"/>
                            </a:solidFill>
                            <a:prstDash val="solid"/>
                          </a:ln>
                        </wps:spPr>
                        <wps:bodyPr wrap="square" lIns="0" tIns="0" rIns="0" bIns="0" rtlCol="0">
                          <a:prstTxWarp prst="textNoShape">
                            <a:avLst/>
                          </a:prstTxWarp>
                          <a:noAutofit/>
                        </wps:bodyPr>
                      </wps:wsp>
                      <pic:pic>
                        <pic:nvPicPr>
                          <pic:cNvPr id="465" name="Image 465"/>
                          <pic:cNvPicPr/>
                        </pic:nvPicPr>
                        <pic:blipFill>
                          <a:blip r:embed="rId613" cstate="print"/>
                          <a:stretch>
                            <a:fillRect/>
                          </a:stretch>
                        </pic:blipFill>
                        <pic:spPr>
                          <a:xfrm>
                            <a:off x="6648334" y="2189189"/>
                            <a:ext cx="64099" cy="70828"/>
                          </a:xfrm>
                          <a:prstGeom prst="rect">
                            <a:avLst/>
                          </a:prstGeom>
                        </pic:spPr>
                      </pic:pic>
                      <wps:wsp>
                        <wps:cNvPr id="466" name="Graphic 466"/>
                        <wps:cNvSpPr/>
                        <wps:spPr>
                          <a:xfrm>
                            <a:off x="7047437" y="2391565"/>
                            <a:ext cx="51435" cy="182245"/>
                          </a:xfrm>
                          <a:custGeom>
                            <a:avLst/>
                            <a:gdLst/>
                            <a:ahLst/>
                            <a:cxnLst/>
                            <a:rect l="l" t="t" r="r" b="b"/>
                            <a:pathLst>
                              <a:path w="51435" h="182245">
                                <a:moveTo>
                                  <a:pt x="0" y="0"/>
                                </a:moveTo>
                                <a:lnTo>
                                  <a:pt x="7970" y="1617"/>
                                </a:lnTo>
                                <a:lnTo>
                                  <a:pt x="25694" y="5739"/>
                                </a:lnTo>
                                <a:lnTo>
                                  <a:pt x="43363" y="12323"/>
                                </a:lnTo>
                                <a:lnTo>
                                  <a:pt x="51168" y="21328"/>
                                </a:lnTo>
                                <a:lnTo>
                                  <a:pt x="49359" y="68451"/>
                                </a:lnTo>
                                <a:lnTo>
                                  <a:pt x="47333" y="121125"/>
                                </a:lnTo>
                                <a:lnTo>
                                  <a:pt x="45683" y="163992"/>
                                </a:lnTo>
                                <a:lnTo>
                                  <a:pt x="45001" y="181694"/>
                                </a:lnTo>
                              </a:path>
                            </a:pathLst>
                          </a:custGeom>
                          <a:ln w="11894">
                            <a:solidFill>
                              <a:srgbClr val="E3E7C1"/>
                            </a:solidFill>
                            <a:prstDash val="solid"/>
                          </a:ln>
                        </wps:spPr>
                        <wps:bodyPr wrap="square" lIns="0" tIns="0" rIns="0" bIns="0" rtlCol="0">
                          <a:prstTxWarp prst="textNoShape">
                            <a:avLst/>
                          </a:prstTxWarp>
                          <a:noAutofit/>
                        </wps:bodyPr>
                      </wps:wsp>
                      <wps:wsp>
                        <wps:cNvPr id="467" name="Graphic 467"/>
                        <wps:cNvSpPr/>
                        <wps:spPr>
                          <a:xfrm>
                            <a:off x="6830041" y="2030436"/>
                            <a:ext cx="180340" cy="215265"/>
                          </a:xfrm>
                          <a:custGeom>
                            <a:avLst/>
                            <a:gdLst/>
                            <a:ahLst/>
                            <a:cxnLst/>
                            <a:rect l="l" t="t" r="r" b="b"/>
                            <a:pathLst>
                              <a:path w="180340" h="215265">
                                <a:moveTo>
                                  <a:pt x="1147" y="147020"/>
                                </a:moveTo>
                                <a:lnTo>
                                  <a:pt x="21" y="147605"/>
                                </a:lnTo>
                                <a:lnTo>
                                  <a:pt x="1065" y="155963"/>
                                </a:lnTo>
                                <a:lnTo>
                                  <a:pt x="1229" y="157263"/>
                                </a:lnTo>
                              </a:path>
                              <a:path w="180340" h="215265">
                                <a:moveTo>
                                  <a:pt x="1041" y="91192"/>
                                </a:moveTo>
                                <a:lnTo>
                                  <a:pt x="0" y="97837"/>
                                </a:lnTo>
                                <a:lnTo>
                                  <a:pt x="234" y="108572"/>
                                </a:lnTo>
                                <a:lnTo>
                                  <a:pt x="954" y="119792"/>
                                </a:lnTo>
                                <a:lnTo>
                                  <a:pt x="1370" y="127891"/>
                                </a:lnTo>
                              </a:path>
                              <a:path w="180340" h="215265">
                                <a:moveTo>
                                  <a:pt x="166731" y="192721"/>
                                </a:moveTo>
                                <a:lnTo>
                                  <a:pt x="167071" y="191914"/>
                                </a:lnTo>
                                <a:lnTo>
                                  <a:pt x="166778" y="194489"/>
                                </a:lnTo>
                                <a:lnTo>
                                  <a:pt x="166778" y="195367"/>
                                </a:lnTo>
                                <a:lnTo>
                                  <a:pt x="166778" y="196994"/>
                                </a:lnTo>
                                <a:lnTo>
                                  <a:pt x="166778" y="198621"/>
                                </a:lnTo>
                                <a:lnTo>
                                  <a:pt x="166778" y="200237"/>
                                </a:lnTo>
                                <a:lnTo>
                                  <a:pt x="166778" y="205130"/>
                                </a:lnTo>
                                <a:lnTo>
                                  <a:pt x="166403" y="210012"/>
                                </a:lnTo>
                                <a:lnTo>
                                  <a:pt x="166403" y="214893"/>
                                </a:lnTo>
                              </a:path>
                              <a:path w="180340" h="215265">
                                <a:moveTo>
                                  <a:pt x="168525" y="121348"/>
                                </a:moveTo>
                                <a:lnTo>
                                  <a:pt x="168548" y="120634"/>
                                </a:lnTo>
                                <a:lnTo>
                                  <a:pt x="168607" y="122764"/>
                                </a:lnTo>
                                <a:lnTo>
                                  <a:pt x="168630" y="123478"/>
                                </a:lnTo>
                                <a:lnTo>
                                  <a:pt x="168654" y="124672"/>
                                </a:lnTo>
                                <a:lnTo>
                                  <a:pt x="168642" y="125855"/>
                                </a:lnTo>
                                <a:lnTo>
                                  <a:pt x="168642" y="127049"/>
                                </a:lnTo>
                                <a:lnTo>
                                  <a:pt x="168642" y="131228"/>
                                </a:lnTo>
                                <a:lnTo>
                                  <a:pt x="168560" y="135407"/>
                                </a:lnTo>
                                <a:lnTo>
                                  <a:pt x="168501" y="139574"/>
                                </a:lnTo>
                                <a:lnTo>
                                  <a:pt x="168393" y="148791"/>
                                </a:lnTo>
                                <a:lnTo>
                                  <a:pt x="168337" y="158006"/>
                                </a:lnTo>
                                <a:lnTo>
                                  <a:pt x="168317" y="167221"/>
                                </a:lnTo>
                                <a:lnTo>
                                  <a:pt x="168314" y="176438"/>
                                </a:lnTo>
                              </a:path>
                              <a:path w="180340" h="215265">
                                <a:moveTo>
                                  <a:pt x="136714" y="1896"/>
                                </a:moveTo>
                                <a:lnTo>
                                  <a:pt x="137043" y="1943"/>
                                </a:lnTo>
                                <a:lnTo>
                                  <a:pt x="136058" y="1791"/>
                                </a:lnTo>
                                <a:lnTo>
                                  <a:pt x="135741" y="1732"/>
                                </a:lnTo>
                                <a:lnTo>
                                  <a:pt x="135038" y="1592"/>
                                </a:lnTo>
                                <a:lnTo>
                                  <a:pt x="134346" y="1416"/>
                                </a:lnTo>
                                <a:lnTo>
                                  <a:pt x="133654" y="1252"/>
                                </a:lnTo>
                                <a:lnTo>
                                  <a:pt x="131684" y="819"/>
                                </a:lnTo>
                                <a:lnTo>
                                  <a:pt x="129726" y="374"/>
                                </a:lnTo>
                                <a:lnTo>
                                  <a:pt x="127756" y="0"/>
                                </a:lnTo>
                              </a:path>
                              <a:path w="180340" h="215265">
                                <a:moveTo>
                                  <a:pt x="179898" y="34603"/>
                                </a:moveTo>
                                <a:lnTo>
                                  <a:pt x="152542" y="7707"/>
                                </a:lnTo>
                                <a:lnTo>
                                  <a:pt x="145239" y="5080"/>
                                </a:lnTo>
                              </a:path>
                            </a:pathLst>
                          </a:custGeom>
                          <a:ln w="4570">
                            <a:solidFill>
                              <a:srgbClr val="E3E7C1"/>
                            </a:solidFill>
                            <a:prstDash val="solid"/>
                          </a:ln>
                        </wps:spPr>
                        <wps:bodyPr wrap="square" lIns="0" tIns="0" rIns="0" bIns="0" rtlCol="0">
                          <a:prstTxWarp prst="textNoShape">
                            <a:avLst/>
                          </a:prstTxWarp>
                          <a:noAutofit/>
                        </wps:bodyPr>
                      </wps:wsp>
                      <wps:wsp>
                        <wps:cNvPr id="468" name="Graphic 468"/>
                        <wps:cNvSpPr/>
                        <wps:spPr>
                          <a:xfrm>
                            <a:off x="655211" y="2933569"/>
                            <a:ext cx="3471545" cy="2568575"/>
                          </a:xfrm>
                          <a:custGeom>
                            <a:avLst/>
                            <a:gdLst/>
                            <a:ahLst/>
                            <a:cxnLst/>
                            <a:rect l="l" t="t" r="r" b="b"/>
                            <a:pathLst>
                              <a:path w="3471545" h="2568575">
                                <a:moveTo>
                                  <a:pt x="3113780" y="2568150"/>
                                </a:moveTo>
                                <a:lnTo>
                                  <a:pt x="361948" y="2568150"/>
                                </a:lnTo>
                                <a:lnTo>
                                  <a:pt x="312835" y="2564846"/>
                                </a:lnTo>
                                <a:lnTo>
                                  <a:pt x="265729" y="2555221"/>
                                </a:lnTo>
                                <a:lnTo>
                                  <a:pt x="221062" y="2539706"/>
                                </a:lnTo>
                                <a:lnTo>
                                  <a:pt x="179266" y="2518733"/>
                                </a:lnTo>
                                <a:lnTo>
                                  <a:pt x="140773" y="2492733"/>
                                </a:lnTo>
                                <a:lnTo>
                                  <a:pt x="106012" y="2462138"/>
                                </a:lnTo>
                                <a:lnTo>
                                  <a:pt x="75416" y="2427377"/>
                                </a:lnTo>
                                <a:lnTo>
                                  <a:pt x="49416" y="2388883"/>
                                </a:lnTo>
                                <a:lnTo>
                                  <a:pt x="28443" y="2347087"/>
                                </a:lnTo>
                                <a:lnTo>
                                  <a:pt x="12929" y="2302421"/>
                                </a:lnTo>
                                <a:lnTo>
                                  <a:pt x="3304" y="2255315"/>
                                </a:lnTo>
                                <a:lnTo>
                                  <a:pt x="0" y="2206200"/>
                                </a:lnTo>
                                <a:lnTo>
                                  <a:pt x="0" y="361950"/>
                                </a:lnTo>
                                <a:lnTo>
                                  <a:pt x="3304" y="312835"/>
                                </a:lnTo>
                                <a:lnTo>
                                  <a:pt x="12929" y="265729"/>
                                </a:lnTo>
                                <a:lnTo>
                                  <a:pt x="28443" y="221062"/>
                                </a:lnTo>
                                <a:lnTo>
                                  <a:pt x="49416" y="179266"/>
                                </a:lnTo>
                                <a:lnTo>
                                  <a:pt x="75416" y="140773"/>
                                </a:lnTo>
                                <a:lnTo>
                                  <a:pt x="106012" y="106012"/>
                                </a:lnTo>
                                <a:lnTo>
                                  <a:pt x="140773" y="75416"/>
                                </a:lnTo>
                                <a:lnTo>
                                  <a:pt x="179266" y="49416"/>
                                </a:lnTo>
                                <a:lnTo>
                                  <a:pt x="221062" y="28443"/>
                                </a:lnTo>
                                <a:lnTo>
                                  <a:pt x="265729" y="12929"/>
                                </a:lnTo>
                                <a:lnTo>
                                  <a:pt x="312835" y="3304"/>
                                </a:lnTo>
                                <a:lnTo>
                                  <a:pt x="361950" y="0"/>
                                </a:lnTo>
                                <a:lnTo>
                                  <a:pt x="3113779" y="0"/>
                                </a:lnTo>
                                <a:lnTo>
                                  <a:pt x="3162893" y="3304"/>
                                </a:lnTo>
                                <a:lnTo>
                                  <a:pt x="3209999" y="12929"/>
                                </a:lnTo>
                                <a:lnTo>
                                  <a:pt x="3254666" y="28443"/>
                                </a:lnTo>
                                <a:lnTo>
                                  <a:pt x="3296462" y="49416"/>
                                </a:lnTo>
                                <a:lnTo>
                                  <a:pt x="3334956" y="75416"/>
                                </a:lnTo>
                                <a:lnTo>
                                  <a:pt x="3369716" y="106012"/>
                                </a:lnTo>
                                <a:lnTo>
                                  <a:pt x="3400312" y="140773"/>
                                </a:lnTo>
                                <a:lnTo>
                                  <a:pt x="3426312" y="179266"/>
                                </a:lnTo>
                                <a:lnTo>
                                  <a:pt x="3447285" y="221062"/>
                                </a:lnTo>
                                <a:lnTo>
                                  <a:pt x="3462799" y="265729"/>
                                </a:lnTo>
                                <a:lnTo>
                                  <a:pt x="3471016" y="305940"/>
                                </a:lnTo>
                                <a:lnTo>
                                  <a:pt x="3471016" y="2262210"/>
                                </a:lnTo>
                                <a:lnTo>
                                  <a:pt x="3462799" y="2302421"/>
                                </a:lnTo>
                                <a:lnTo>
                                  <a:pt x="3447285" y="2347087"/>
                                </a:lnTo>
                                <a:lnTo>
                                  <a:pt x="3426312" y="2388883"/>
                                </a:lnTo>
                                <a:lnTo>
                                  <a:pt x="3400312" y="2427377"/>
                                </a:lnTo>
                                <a:lnTo>
                                  <a:pt x="3369716" y="2462138"/>
                                </a:lnTo>
                                <a:lnTo>
                                  <a:pt x="3334956" y="2492733"/>
                                </a:lnTo>
                                <a:lnTo>
                                  <a:pt x="3296462" y="2518733"/>
                                </a:lnTo>
                                <a:lnTo>
                                  <a:pt x="3254666" y="2539706"/>
                                </a:lnTo>
                                <a:lnTo>
                                  <a:pt x="3209999" y="2555221"/>
                                </a:lnTo>
                                <a:lnTo>
                                  <a:pt x="3162893" y="2564846"/>
                                </a:lnTo>
                                <a:lnTo>
                                  <a:pt x="3113780" y="2568150"/>
                                </a:lnTo>
                                <a:close/>
                              </a:path>
                            </a:pathLst>
                          </a:custGeom>
                          <a:solidFill>
                            <a:srgbClr val="29BED0">
                              <a:alpha val="55999"/>
                            </a:srgbClr>
                          </a:solidFill>
                        </wps:spPr>
                        <wps:bodyPr wrap="square" lIns="0" tIns="0" rIns="0" bIns="0" rtlCol="0">
                          <a:prstTxWarp prst="textNoShape">
                            <a:avLst/>
                          </a:prstTxWarp>
                          <a:noAutofit/>
                        </wps:bodyPr>
                      </wps:wsp>
                      <wps:wsp>
                        <wps:cNvPr id="469" name="Graphic 469"/>
                        <wps:cNvSpPr/>
                        <wps:spPr>
                          <a:xfrm>
                            <a:off x="4356887" y="4574713"/>
                            <a:ext cx="2773680" cy="1270"/>
                          </a:xfrm>
                          <a:custGeom>
                            <a:avLst/>
                            <a:gdLst/>
                            <a:ahLst/>
                            <a:cxnLst/>
                            <a:rect l="l" t="t" r="r" b="b"/>
                            <a:pathLst>
                              <a:path w="2773680" h="0">
                                <a:moveTo>
                                  <a:pt x="0" y="0"/>
                                </a:moveTo>
                                <a:lnTo>
                                  <a:pt x="2773600" y="0"/>
                                </a:lnTo>
                              </a:path>
                            </a:pathLst>
                          </a:custGeom>
                          <a:ln w="28574">
                            <a:solidFill>
                              <a:srgbClr val="001389"/>
                            </a:solidFill>
                            <a:prstDash val="sysDash"/>
                          </a:ln>
                        </wps:spPr>
                        <wps:bodyPr wrap="square" lIns="0" tIns="0" rIns="0" bIns="0" rtlCol="0">
                          <a:prstTxWarp prst="textNoShape">
                            <a:avLst/>
                          </a:prstTxWarp>
                          <a:noAutofit/>
                        </wps:bodyPr>
                      </wps:wsp>
                    </wpg:wgp>
                  </a:graphicData>
                </a:graphic>
              </wp:anchor>
            </w:drawing>
          </mc:Choice>
          <mc:Fallback>
            <w:pict>
              <v:group style="position:absolute;margin-left:.000025pt;margin-top:-.000022pt;width:612pt;height:433.25pt;mso-position-horizontal-relative:page;mso-position-vertical-relative:page;z-index:-20679680" id="docshapegroup356" coordorigin="0,0" coordsize="12240,8665">
                <v:shape style="position:absolute;left:0;top:0;width:12240;height:4916" type="#_x0000_t75" id="docshape357" stroked="false">
                  <v:imagedata r:id="rId608" o:title=""/>
                </v:shape>
                <v:shape style="position:absolute;left:8262;top:1158;width:2333;height:2332" type="#_x0000_t75" id="docshape358" stroked="false">
                  <v:imagedata r:id="rId98" o:title=""/>
                </v:shape>
                <v:shape style="position:absolute;left:8241;top:1136;width:2375;height:2375" id="docshape359" coordorigin="8241,1136" coordsize="2375,2375" path="m9429,3511l9354,3509,9280,3502,9207,3491,9136,3475,9067,3455,9000,3431,8934,3404,8871,3372,8809,3337,8751,3298,8694,3257,8640,3211,8589,3163,8541,3112,8496,3058,8454,3002,8415,2943,8380,2882,8349,2818,8321,2752,8297,2685,8277,2616,8262,2545,8250,2473,8243,2399,8241,2324,8243,2249,8250,2175,8262,2103,8277,2032,8297,1963,8321,1895,8349,1830,8380,1766,8415,1705,8454,1646,8496,1590,8541,1536,8589,1485,8640,1437,8694,1391,8751,1350,8809,1311,8871,1276,8934,1244,9000,1217,9067,1193,9136,1173,9207,1157,9280,1146,9354,1139,9429,1136,9504,1139,9577,1146,9650,1157,9721,1173,9745,1180,9429,1180,9353,1182,9280,1189,9207,1201,9136,1218,9067,1238,9000,1263,8935,1292,8872,1324,8811,1361,8753,1401,8698,1444,8645,1491,8595,1541,8549,1593,8505,1649,8465,1707,8429,1767,8396,1830,8368,1896,8343,1963,8322,2032,8306,2103,8294,2175,8287,2249,8284,2324,8287,2399,8294,2473,8306,2545,8322,2616,8343,2685,8368,2752,8396,2818,8429,2881,8465,2941,8505,2999,8549,3055,8595,3107,8645,3157,8698,3204,8753,3247,8811,3287,8872,3323,8935,3356,9000,3385,9067,3410,9136,3430,9207,3447,9280,3459,9353,3466,9429,3468,9745,3468,9721,3475,9650,3491,9577,3502,9504,3509,9429,3511xm9745,3468l9429,3468,9504,3466,9577,3459,9650,3447,9721,3430,9790,3410,9857,3385,9922,3356,9985,3323,10046,3287,10104,3247,10159,3204,10212,3157,10262,3107,10308,3055,10352,2999,10392,2941,10428,2881,10461,2818,10490,2752,10514,2685,10535,2616,10551,2545,10563,2473,10570,2399,10573,2324,10570,2249,10563,2175,10551,2103,10535,2032,10514,1963,10490,1896,10461,1830,10428,1767,10392,1707,10352,1649,10308,1593,10262,1541,10212,1491,10159,1444,10104,1401,10046,1361,9985,1324,9922,1292,9857,1263,9790,1238,9721,1218,9650,1201,9577,1189,9504,1182,9429,1180,9745,1180,9790,1193,9857,1217,9923,1244,9986,1276,10048,1311,10107,1350,10163,1391,10217,1437,10268,1485,10316,1536,10361,1590,10403,1646,10442,1705,10477,1766,10508,1830,10536,1896,10560,1963,10580,2032,10595,2103,10607,2175,10614,2249,10616,2324,10614,2399,10607,2473,10595,2545,10580,2616,10560,2685,10536,2753,10508,2818,10477,2882,10442,2943,10403,3002,10361,3058,10316,3112,10268,3163,10217,3211,10163,3257,10107,3298,10048,3337,9986,3372,9923,3404,9857,3431,9790,3455,9745,3468xe" filled="true" fillcolor="#ffffff" stroked="false">
                  <v:path arrowok="t"/>
                  <v:fill type="solid"/>
                </v:shape>
                <v:shape style="position:absolute;left:11343;top:4744;width:120;height:146" type="#_x0000_t75" id="docshape360" stroked="false">
                  <v:imagedata r:id="rId609" o:title=""/>
                </v:shape>
                <v:shape style="position:absolute;left:10657;top:4734;width:120;height:129" id="docshape361" coordorigin="10658,4734" coordsize="120,129" path="m10714,4863l10691,4856,10673,4841,10661,4820,10658,4794,10664,4770,10678,4750,10697,4738,10721,4734,10744,4741,10762,4756,10774,4778,10777,4803,10771,4828,10757,4848,10737,4860,10714,4863xe" filled="true" fillcolor="#242f33" stroked="false">
                  <v:path arrowok="t"/>
                  <v:fill type="solid"/>
                </v:shape>
                <v:shape style="position:absolute;left:10727;top:4755;width:50;height:107" id="docshape362" coordorigin="10728,4755" coordsize="50,107" path="m10728,4861l10757,4806,10753,4789,10746,4776,10741,4769,10760,4755,10762,4756,10774,4778,10777,4803,10771,4828,10757,4848,10737,4860,10728,4861xe" filled="true" fillcolor="#9a2f59" stroked="false">
                  <v:path arrowok="t"/>
                  <v:fill type="solid"/>
                </v:shape>
                <v:shape style="position:absolute;left:11121;top:4821;width:163;height:179" type="#_x0000_t75" id="docshape363" stroked="false">
                  <v:imagedata r:id="rId610" o:title=""/>
                </v:shape>
                <v:shape style="position:absolute;left:10490;top:4760;width:147;height:154" id="docshape364" coordorigin="10490,4760" coordsize="147,154" path="m10560,4914l10532,4906,10509,4887,10495,4862,10490,4831,10498,4802,10515,4779,10539,4764,10568,4760,10596,4769,10619,4787,10633,4812,10637,4843,10630,4872,10613,4895,10589,4910,10560,4914xe" filled="true" fillcolor="#242f33" stroked="false">
                  <v:path arrowok="t"/>
                  <v:fill type="solid"/>
                </v:shape>
                <v:shape style="position:absolute;left:10571;top:4764;width:65;height:149" id="docshape365" coordorigin="10572,4764" coordsize="65,149" path="m10572,4912l10587,4904,10605,4885,10616,4854,10614,4828,10606,4802,10591,4781,10572,4768,10581,4764,10596,4769,10619,4787,10632,4809,10636,4847,10633,4859,10623,4881,10613,4895,10600,4903,10573,4912,10572,4912xe" filled="true" fillcolor="#9a2f59" stroked="false">
                  <v:path arrowok="t"/>
                  <v:fill type="solid"/>
                </v:shape>
                <v:shape style="position:absolute;left:10428;top:3350;width:1031;height:1536" id="docshape366" coordorigin="10429,3350" coordsize="1031,1536" path="m11200,4886l11139,4881,11057,4871,10962,4857,10860,4840,10757,4821,10662,4801,10580,4780,10519,4761,10471,4717,10449,4608,10441,4531,10435,4442,10431,4345,10429,4243,10429,4137,10430,4031,10431,3928,10434,3831,10437,3742,10441,3664,10445,3600,10454,3526,10533,3420,10591,3376,10687,3350,10754,3350,10833,3354,10922,3362,11014,3373,11108,3388,11198,3406,11280,3428,11352,3453,11407,3481,11457,3546,11457,3597,11459,3933,11459,4033,11459,4134,11459,4231,11459,4322,11458,4403,11457,4470,11453,4576,11446,4685,11413,4792,11350,4836,11281,4868,11234,4884,11200,4886xe" filled="true" fillcolor="#62abab" stroked="false">
                  <v:path arrowok="t"/>
                  <v:fill type="solid"/>
                </v:shape>
                <v:shape style="position:absolute;left:10542;top:3412;width:839;height:1134" id="docshape367" coordorigin="10543,3413" coordsize="839,1134" path="m10543,3413l10560,3415,10604,3420,10635,3424,10679,3428,10723,3432,10766,3437,10810,3441,10862,3446,10933,3451,11015,3459,11101,3471,11186,3488,11261,3513,11321,3547,11368,3630,11375,3695,11379,3781,11381,3882,11382,3992,11380,4105,11378,4217,11375,4320,11372,4411,11370,4482,11367,4529,11367,4546e" filled="false" stroked="true" strokeweight="1.728398pt" strokecolor="#242f33">
                  <v:path arrowok="t"/>
                  <v:stroke dashstyle="solid"/>
                </v:shape>
                <v:shape style="position:absolute;left:11231;top:3561;width:212;height:1257" id="docshape368" coordorigin="11232,3562" coordsize="212,1257" path="m11244,3783l11246,3778,11243,3794,11243,3799,11242,3809,11242,3819,11241,3828,11240,3846,11240,3864,11239,3882,11239,3900,11237,3956,11236,4013,11234,4069,11233,4126,11233,4202,11235,4279,11237,4356,11240,4434,11242,4511,11243,4588,11242,4665,11239,4742,11232,4818m11443,3562l11395,3582,11341,3617,11288,3666,11245,3727e" filled="false" stroked="true" strokeweight=".792084pt" strokecolor="#242f33">
                  <v:path arrowok="t"/>
                  <v:stroke dashstyle="solid"/>
                </v:shape>
                <v:shape style="position:absolute;left:10657;top:3552;width:451;height:161" id="docshape369" coordorigin="10658,3553" coordsize="451,161" path="m11066,3713l11005,3705,10868,3684,10730,3659,10661,3640,10658,3619,10665,3591,10677,3566,10689,3554,10745,3553,10846,3563,10962,3579,11059,3596,11103,3610,11108,3632,11103,3665,11089,3696,11066,3713xe" filled="true" fillcolor="#294448" stroked="false">
                  <v:path arrowok="t"/>
                  <v:fill type="solid"/>
                </v:shape>
                <v:shape style="position:absolute;left:10741;top:3254;width:267;height:391" id="docshape370" coordorigin="10741,3254" coordsize="267,391" path="m11008,3305l11003,3645m10743,3254l10741,3340,10741,3429,10742,3518,10742,3604e" filled="false" stroked="true" strokeweight="2.663898pt" strokecolor="#171b1b">
                  <v:path arrowok="t"/>
                  <v:stroke dashstyle="solid"/>
                </v:shape>
                <v:shape style="position:absolute;left:10730;top:3216;width:284;height:121" id="docshape371" coordorigin="10730,3216" coordsize="284,121" path="m10732,3292l10731,3282,10730,3261,10734,3237,10748,3220,10797,3216,10877,3222,10955,3233,10997,3247,11009,3271,11013,3301,11013,3326,11012,3337e" filled="false" stroked="true" strokeweight="4.677398pt" strokecolor="#171b1b">
                  <v:path arrowok="t"/>
                  <v:stroke dashstyle="solid"/>
                </v:shape>
                <v:shape style="position:absolute;left:10619;top:4028;width:109;height:148" type="#_x0000_t75" id="docshape372" stroked="false">
                  <v:imagedata r:id="rId611" o:title=""/>
                </v:shape>
                <v:shape style="position:absolute;left:10795;top:4214;width:230;height:284" type="#_x0000_t75" id="docshape373" stroked="false">
                  <v:imagedata r:id="rId612" o:title=""/>
                </v:shape>
                <v:shape style="position:absolute;left:10468;top:3459;width:961;height:1025" id="docshape374" coordorigin="10468,3459" coordsize="961,1025" path="m11161,4130l11160,4130,11161,4133,11161,4133,11161,4144,11162,4155,11162,4166,11162,4177m11161,4216l11160,4216,11160,4219,11160,4220,11160,4235,11160,4250,11161,4266,11161,4281,11160,4332,11159,4382,11158,4433,11158,4484m11321,3470l11321,3470,11302,3461,11297,3459m11428,3534l11418,3522,11396,3505,11371,3490,11349,3481m11203,3679l11201,3680,11207,3674,11209,3671,11214,3664,11220,3657,11227,3650,11239,3638,11252,3626,11266,3615,11281,3605m10470,3612l10469,3613,10469,3617,10469,3618,10469,3633,10469,3649,10468,3664,10468,3679e" filled="false" stroked="true" strokeweight=".935907pt" strokecolor="#e3e7c1">
                  <v:path arrowok="t"/>
                  <v:stroke dashstyle="solid"/>
                </v:shape>
                <v:shape style="position:absolute;left:10469;top:3447;width:101;height:112" type="#_x0000_t75" id="docshape375" stroked="false">
                  <v:imagedata r:id="rId613" o:title=""/>
                </v:shape>
                <v:shape style="position:absolute;left:11098;top:3766;width:81;height:287" id="docshape376" coordorigin="11098,3766" coordsize="81,287" path="m11098,3766l11111,3769,11139,3775,11167,3786,11179,3800,11176,3874,11173,3957,11170,4025,11169,4052e" filled="false" stroked="true" strokeweight=".93655pt" strokecolor="#e3e7c1">
                  <v:path arrowok="t"/>
                  <v:stroke dashstyle="solid"/>
                </v:shape>
                <v:shape style="position:absolute;left:10755;top:3197;width:284;height:339" id="docshape377" coordorigin="10756,3198" coordsize="284,339" path="m10758,3429l10756,3430,10758,3443,10758,3445m10758,3341l10756,3352,10756,3369,10757,3386,10758,3399m11019,3501l11019,3500,11019,3504,11019,3505,11019,3508,11019,3510,11019,3513,11019,3521,11018,3528,11018,3536m11021,3389l11021,3388,11021,3391,11022,3392,11022,3394,11022,3396,11022,3398,11022,3404,11021,3411,11021,3417,11021,3432,11021,3446,11021,3461,11021,3475m10971,3201l10972,3201,10970,3200,10970,3200,10969,3200,10968,3200,10966,3200,10963,3199,10960,3198,10957,3198m11039,3252l11040,3253,11039,3250,11039,3249,11038,3247,11037,3245,11036,3243,11034,3238,11032,3232,11028,3227,11019,3219,11008,3214,10996,3210,10985,3206e" filled="false" stroked="true" strokeweight=".35991pt" strokecolor="#e3e7c1">
                  <v:path arrowok="t"/>
                  <v:stroke dashstyle="solid"/>
                </v:shape>
                <v:shape style="position:absolute;left:1031;top:4619;width:5467;height:4045" id="docshape378" coordorigin="1032,4620" coordsize="5467,4045" path="m5935,8664l1602,8664,1524,8659,1450,8644,1380,8619,1314,8586,1254,8545,1199,8497,1151,8442,1110,8382,1077,8316,1052,8246,1037,8171,1032,8094,1032,5190,1037,5112,1052,5038,1077,4968,1110,4902,1151,4841,1199,4787,1254,4739,1314,4698,1380,4665,1450,4640,1524,4625,1602,4620,5935,4620,6013,4625,6087,4640,6157,4665,6223,4698,6284,4739,6338,4787,6387,4841,6428,4902,6461,4968,6485,5038,6498,5102,6498,8182,6485,8246,6461,8316,6428,8382,6387,8442,6338,8497,6284,8545,6223,8586,6157,8619,6087,8644,6013,8659,5935,8664xe" filled="true" fillcolor="#29bed0" stroked="false">
                  <v:path arrowok="t"/>
                  <v:fill opacity="36700f" type="solid"/>
                </v:shape>
                <v:line style="position:absolute" from="6861,7204" to="11229,7204" stroked="true" strokeweight="2.25pt" strokecolor="#001389">
                  <v:stroke dashstyle="shortdash"/>
                </v:line>
                <w10:wrap type="none"/>
              </v:group>
            </w:pict>
          </mc:Fallback>
        </mc:AlternateContent>
      </w:r>
    </w:p>
    <w:p>
      <w:pPr>
        <w:tabs>
          <w:tab w:pos="6927" w:val="left" w:leader="none"/>
        </w:tabs>
        <w:spacing w:line="240" w:lineRule="auto"/>
        <w:ind w:left="111" w:right="0" w:firstLine="0"/>
        <w:rPr>
          <w:rFonts w:ascii="Georgia"/>
          <w:sz w:val="20"/>
        </w:rPr>
      </w:pPr>
      <w:r>
        <w:rPr>
          <w:rFonts w:ascii="Georgia"/>
          <w:position w:val="76"/>
          <w:sz w:val="20"/>
        </w:rPr>
        <mc:AlternateContent>
          <mc:Choice Requires="wps">
            <w:drawing>
              <wp:inline distT="0" distB="0" distL="0" distR="0">
                <wp:extent cx="3475354" cy="1085215"/>
                <wp:effectExtent l="0" t="0" r="0" b="634"/>
                <wp:docPr id="470" name="Group 470"/>
                <wp:cNvGraphicFramePr>
                  <a:graphicFrameLocks/>
                </wp:cNvGraphicFramePr>
                <a:graphic>
                  <a:graphicData uri="http://schemas.microsoft.com/office/word/2010/wordprocessingGroup">
                    <wpg:wgp>
                      <wpg:cNvPr id="470" name="Group 470"/>
                      <wpg:cNvGrpSpPr/>
                      <wpg:grpSpPr>
                        <a:xfrm>
                          <a:off x="0" y="0"/>
                          <a:ext cx="3475354" cy="1085215"/>
                          <a:chExt cx="3475354" cy="1085215"/>
                        </a:xfrm>
                      </wpg:grpSpPr>
                      <wps:wsp>
                        <wps:cNvPr id="471" name="Graphic 471"/>
                        <wps:cNvSpPr/>
                        <wps:spPr>
                          <a:xfrm>
                            <a:off x="0" y="0"/>
                            <a:ext cx="3475354" cy="1085215"/>
                          </a:xfrm>
                          <a:custGeom>
                            <a:avLst/>
                            <a:gdLst/>
                            <a:ahLst/>
                            <a:cxnLst/>
                            <a:rect l="l" t="t" r="r" b="b"/>
                            <a:pathLst>
                              <a:path w="3475354" h="1085215">
                                <a:moveTo>
                                  <a:pt x="3113779" y="1084970"/>
                                </a:moveTo>
                                <a:lnTo>
                                  <a:pt x="361949" y="1084970"/>
                                </a:lnTo>
                                <a:lnTo>
                                  <a:pt x="312835" y="1081666"/>
                                </a:lnTo>
                                <a:lnTo>
                                  <a:pt x="265729" y="1072041"/>
                                </a:lnTo>
                                <a:lnTo>
                                  <a:pt x="221062" y="1056526"/>
                                </a:lnTo>
                                <a:lnTo>
                                  <a:pt x="179266" y="1035553"/>
                                </a:lnTo>
                                <a:lnTo>
                                  <a:pt x="140773" y="1009553"/>
                                </a:lnTo>
                                <a:lnTo>
                                  <a:pt x="106012" y="978957"/>
                                </a:lnTo>
                                <a:lnTo>
                                  <a:pt x="75416" y="944197"/>
                                </a:lnTo>
                                <a:lnTo>
                                  <a:pt x="49416" y="905703"/>
                                </a:lnTo>
                                <a:lnTo>
                                  <a:pt x="28443" y="863907"/>
                                </a:lnTo>
                                <a:lnTo>
                                  <a:pt x="12929" y="819240"/>
                                </a:lnTo>
                                <a:lnTo>
                                  <a:pt x="3304" y="772134"/>
                                </a:lnTo>
                                <a:lnTo>
                                  <a:pt x="0" y="723020"/>
                                </a:lnTo>
                                <a:lnTo>
                                  <a:pt x="0" y="361949"/>
                                </a:lnTo>
                                <a:lnTo>
                                  <a:pt x="3304" y="312835"/>
                                </a:lnTo>
                                <a:lnTo>
                                  <a:pt x="12929" y="265729"/>
                                </a:lnTo>
                                <a:lnTo>
                                  <a:pt x="28443" y="221062"/>
                                </a:lnTo>
                                <a:lnTo>
                                  <a:pt x="49416" y="179266"/>
                                </a:lnTo>
                                <a:lnTo>
                                  <a:pt x="75416" y="140773"/>
                                </a:lnTo>
                                <a:lnTo>
                                  <a:pt x="106012" y="106012"/>
                                </a:lnTo>
                                <a:lnTo>
                                  <a:pt x="140773" y="75416"/>
                                </a:lnTo>
                                <a:lnTo>
                                  <a:pt x="179266" y="49416"/>
                                </a:lnTo>
                                <a:lnTo>
                                  <a:pt x="221062" y="28443"/>
                                </a:lnTo>
                                <a:lnTo>
                                  <a:pt x="265729" y="12929"/>
                                </a:lnTo>
                                <a:lnTo>
                                  <a:pt x="312835" y="3304"/>
                                </a:lnTo>
                                <a:lnTo>
                                  <a:pt x="361950" y="0"/>
                                </a:lnTo>
                                <a:lnTo>
                                  <a:pt x="3113778" y="0"/>
                                </a:lnTo>
                                <a:lnTo>
                                  <a:pt x="3162893" y="3304"/>
                                </a:lnTo>
                                <a:lnTo>
                                  <a:pt x="3209999" y="12929"/>
                                </a:lnTo>
                                <a:lnTo>
                                  <a:pt x="3254666" y="28443"/>
                                </a:lnTo>
                                <a:lnTo>
                                  <a:pt x="3296461" y="49416"/>
                                </a:lnTo>
                                <a:lnTo>
                                  <a:pt x="3334955" y="75416"/>
                                </a:lnTo>
                                <a:lnTo>
                                  <a:pt x="3369716" y="106012"/>
                                </a:lnTo>
                                <a:lnTo>
                                  <a:pt x="3400311" y="140773"/>
                                </a:lnTo>
                                <a:lnTo>
                                  <a:pt x="3426312" y="179266"/>
                                </a:lnTo>
                                <a:lnTo>
                                  <a:pt x="3447285" y="221062"/>
                                </a:lnTo>
                                <a:lnTo>
                                  <a:pt x="3462799" y="265729"/>
                                </a:lnTo>
                                <a:lnTo>
                                  <a:pt x="3472424" y="312835"/>
                                </a:lnTo>
                                <a:lnTo>
                                  <a:pt x="3475295" y="355504"/>
                                </a:lnTo>
                                <a:lnTo>
                                  <a:pt x="3475295" y="729465"/>
                                </a:lnTo>
                                <a:lnTo>
                                  <a:pt x="3472424" y="772134"/>
                                </a:lnTo>
                                <a:lnTo>
                                  <a:pt x="3462799" y="819240"/>
                                </a:lnTo>
                                <a:lnTo>
                                  <a:pt x="3447285" y="863907"/>
                                </a:lnTo>
                                <a:lnTo>
                                  <a:pt x="3426312" y="905703"/>
                                </a:lnTo>
                                <a:lnTo>
                                  <a:pt x="3400311" y="944197"/>
                                </a:lnTo>
                                <a:lnTo>
                                  <a:pt x="3369716" y="978957"/>
                                </a:lnTo>
                                <a:lnTo>
                                  <a:pt x="3334955" y="1009553"/>
                                </a:lnTo>
                                <a:lnTo>
                                  <a:pt x="3296461" y="1035553"/>
                                </a:lnTo>
                                <a:lnTo>
                                  <a:pt x="3254666" y="1056526"/>
                                </a:lnTo>
                                <a:lnTo>
                                  <a:pt x="3209999" y="1072041"/>
                                </a:lnTo>
                                <a:lnTo>
                                  <a:pt x="3162893" y="1081666"/>
                                </a:lnTo>
                                <a:lnTo>
                                  <a:pt x="3113779" y="1084970"/>
                                </a:lnTo>
                                <a:close/>
                              </a:path>
                            </a:pathLst>
                          </a:custGeom>
                          <a:solidFill>
                            <a:srgbClr val="29BED0">
                              <a:alpha val="55999"/>
                            </a:srgbClr>
                          </a:solidFill>
                        </wps:spPr>
                        <wps:bodyPr wrap="square" lIns="0" tIns="0" rIns="0" bIns="0" rtlCol="0">
                          <a:prstTxWarp prst="textNoShape">
                            <a:avLst/>
                          </a:prstTxWarp>
                          <a:noAutofit/>
                        </wps:bodyPr>
                      </wps:wsp>
                      <wps:wsp>
                        <wps:cNvPr id="472" name="Textbox 472"/>
                        <wps:cNvSpPr txBox="1"/>
                        <wps:spPr>
                          <a:xfrm>
                            <a:off x="0" y="0"/>
                            <a:ext cx="3475354" cy="1085215"/>
                          </a:xfrm>
                          <a:prstGeom prst="rect">
                            <a:avLst/>
                          </a:prstGeom>
                        </wps:spPr>
                        <wps:txbx>
                          <w:txbxContent>
                            <w:p>
                              <w:pPr>
                                <w:spacing w:before="86"/>
                                <w:ind w:left="251" w:right="0" w:firstLine="0"/>
                                <w:jc w:val="left"/>
                                <w:rPr>
                                  <w:b/>
                                  <w:i/>
                                  <w:sz w:val="34"/>
                                </w:rPr>
                              </w:pPr>
                              <w:r>
                                <w:rPr>
                                  <w:b/>
                                  <w:i/>
                                  <w:spacing w:val="11"/>
                                  <w:w w:val="130"/>
                                  <w:sz w:val="34"/>
                                </w:rPr>
                                <w:t>LEGISLATION</w:t>
                              </w:r>
                            </w:p>
                            <w:p>
                              <w:pPr>
                                <w:spacing w:line="271" w:lineRule="auto" w:before="89"/>
                                <w:ind w:left="280" w:right="275" w:firstLine="0"/>
                                <w:jc w:val="left"/>
                                <w:rPr>
                                  <w:rFonts w:ascii="Georgia"/>
                                  <w:sz w:val="21"/>
                                </w:rPr>
                              </w:pPr>
                              <w:r>
                                <w:rPr>
                                  <w:rFonts w:ascii="Georgia"/>
                                  <w:sz w:val="21"/>
                                </w:rPr>
                                <w:t>S. 1510/H.2288: Safe Communities Act S.817/H.1281:</w:t>
                              </w:r>
                              <w:r>
                                <w:rPr>
                                  <w:rFonts w:ascii="Georgia"/>
                                  <w:spacing w:val="-7"/>
                                  <w:sz w:val="21"/>
                                </w:rPr>
                                <w:t> </w:t>
                              </w:r>
                              <w:r>
                                <w:rPr>
                                  <w:rFonts w:ascii="Georgia"/>
                                  <w:sz w:val="21"/>
                                </w:rPr>
                                <w:t>Access</w:t>
                              </w:r>
                              <w:r>
                                <w:rPr>
                                  <w:rFonts w:ascii="Georgia"/>
                                  <w:spacing w:val="-7"/>
                                  <w:sz w:val="21"/>
                                </w:rPr>
                                <w:t> </w:t>
                              </w:r>
                              <w:r>
                                <w:rPr>
                                  <w:rFonts w:ascii="Georgia"/>
                                  <w:sz w:val="21"/>
                                </w:rPr>
                                <w:t>to</w:t>
                              </w:r>
                              <w:r>
                                <w:rPr>
                                  <w:rFonts w:ascii="Georgia"/>
                                  <w:spacing w:val="-7"/>
                                  <w:sz w:val="21"/>
                                </w:rPr>
                                <w:t> </w:t>
                              </w:r>
                              <w:r>
                                <w:rPr>
                                  <w:rFonts w:ascii="Georgia"/>
                                  <w:sz w:val="21"/>
                                </w:rPr>
                                <w:t>Higher</w:t>
                              </w:r>
                              <w:r>
                                <w:rPr>
                                  <w:rFonts w:ascii="Georgia"/>
                                  <w:spacing w:val="-7"/>
                                  <w:sz w:val="21"/>
                                </w:rPr>
                                <w:t> </w:t>
                              </w:r>
                              <w:r>
                                <w:rPr>
                                  <w:rFonts w:ascii="Georgia"/>
                                  <w:sz w:val="21"/>
                                </w:rPr>
                                <w:t>Education S.740/H.1237: MassHealth coverage</w:t>
                              </w:r>
                            </w:p>
                          </w:txbxContent>
                        </wps:txbx>
                        <wps:bodyPr wrap="square" lIns="0" tIns="0" rIns="0" bIns="0" rtlCol="0">
                          <a:noAutofit/>
                        </wps:bodyPr>
                      </wps:wsp>
                    </wpg:wgp>
                  </a:graphicData>
                </a:graphic>
              </wp:inline>
            </w:drawing>
          </mc:Choice>
          <mc:Fallback>
            <w:pict>
              <v:group style="width:273.650pt;height:85.45pt;mso-position-horizontal-relative:char;mso-position-vertical-relative:line" id="docshapegroup379" coordorigin="0,0" coordsize="5473,1709">
                <v:shape style="position:absolute;left:0;top:0;width:5473;height:1709" id="docshape380" coordorigin="0,0" coordsize="5473,1709" path="m4904,1709l570,1709,493,1703,418,1688,348,1664,282,1631,222,1590,167,1542,119,1487,78,1426,45,1360,20,1290,5,1216,0,1139,0,570,5,493,20,418,45,348,78,282,119,222,167,167,222,119,282,78,348,45,418,20,493,5,570,0,4904,0,4981,5,5055,20,5125,45,5191,78,5252,119,5307,167,5355,222,5396,282,5429,348,5453,418,5468,493,5473,560,5473,1149,5468,1216,5453,1290,5429,1360,5396,1426,5355,1487,5307,1542,5252,1590,5191,1631,5125,1664,5055,1688,4981,1703,4904,1709xe" filled="true" fillcolor="#29bed0" stroked="false">
                  <v:path arrowok="t"/>
                  <v:fill opacity="36700f" type="solid"/>
                </v:shape>
                <v:shape style="position:absolute;left:0;top:0;width:5473;height:1709" type="#_x0000_t202" id="docshape381" filled="false" stroked="false">
                  <v:textbox inset="0,0,0,0">
                    <w:txbxContent>
                      <w:p>
                        <w:pPr>
                          <w:spacing w:before="86"/>
                          <w:ind w:left="251" w:right="0" w:firstLine="0"/>
                          <w:jc w:val="left"/>
                          <w:rPr>
                            <w:b/>
                            <w:i/>
                            <w:sz w:val="34"/>
                          </w:rPr>
                        </w:pPr>
                        <w:r>
                          <w:rPr>
                            <w:b/>
                            <w:i/>
                            <w:spacing w:val="11"/>
                            <w:w w:val="130"/>
                            <w:sz w:val="34"/>
                          </w:rPr>
                          <w:t>LEGISLATION</w:t>
                        </w:r>
                      </w:p>
                      <w:p>
                        <w:pPr>
                          <w:spacing w:line="271" w:lineRule="auto" w:before="89"/>
                          <w:ind w:left="280" w:right="275" w:firstLine="0"/>
                          <w:jc w:val="left"/>
                          <w:rPr>
                            <w:rFonts w:ascii="Georgia"/>
                            <w:sz w:val="21"/>
                          </w:rPr>
                        </w:pPr>
                        <w:r>
                          <w:rPr>
                            <w:rFonts w:ascii="Georgia"/>
                            <w:sz w:val="21"/>
                          </w:rPr>
                          <w:t>S. 1510/H.2288: Safe Communities Act S.817/H.1281:</w:t>
                        </w:r>
                        <w:r>
                          <w:rPr>
                            <w:rFonts w:ascii="Georgia"/>
                            <w:spacing w:val="-7"/>
                            <w:sz w:val="21"/>
                          </w:rPr>
                          <w:t> </w:t>
                        </w:r>
                        <w:r>
                          <w:rPr>
                            <w:rFonts w:ascii="Georgia"/>
                            <w:sz w:val="21"/>
                          </w:rPr>
                          <w:t>Access</w:t>
                        </w:r>
                        <w:r>
                          <w:rPr>
                            <w:rFonts w:ascii="Georgia"/>
                            <w:spacing w:val="-7"/>
                            <w:sz w:val="21"/>
                          </w:rPr>
                          <w:t> </w:t>
                        </w:r>
                        <w:r>
                          <w:rPr>
                            <w:rFonts w:ascii="Georgia"/>
                            <w:sz w:val="21"/>
                          </w:rPr>
                          <w:t>to</w:t>
                        </w:r>
                        <w:r>
                          <w:rPr>
                            <w:rFonts w:ascii="Georgia"/>
                            <w:spacing w:val="-7"/>
                            <w:sz w:val="21"/>
                          </w:rPr>
                          <w:t> </w:t>
                        </w:r>
                        <w:r>
                          <w:rPr>
                            <w:rFonts w:ascii="Georgia"/>
                            <w:sz w:val="21"/>
                          </w:rPr>
                          <w:t>Higher</w:t>
                        </w:r>
                        <w:r>
                          <w:rPr>
                            <w:rFonts w:ascii="Georgia"/>
                            <w:spacing w:val="-7"/>
                            <w:sz w:val="21"/>
                          </w:rPr>
                          <w:t> </w:t>
                        </w:r>
                        <w:r>
                          <w:rPr>
                            <w:rFonts w:ascii="Georgia"/>
                            <w:sz w:val="21"/>
                          </w:rPr>
                          <w:t>Education S.740/H.1237: MassHealth coverage</w:t>
                        </w:r>
                      </w:p>
                    </w:txbxContent>
                  </v:textbox>
                  <w10:wrap type="none"/>
                </v:shape>
              </v:group>
            </w:pict>
          </mc:Fallback>
        </mc:AlternateContent>
      </w:r>
      <w:r>
        <w:rPr>
          <w:rFonts w:ascii="Georgia"/>
          <w:position w:val="76"/>
          <w:sz w:val="20"/>
        </w:rPr>
      </w:r>
      <w:r>
        <w:rPr>
          <w:rFonts w:ascii="Georgia"/>
          <w:position w:val="76"/>
          <w:sz w:val="20"/>
        </w:rPr>
        <w:tab/>
      </w:r>
      <w:r>
        <w:rPr>
          <w:rFonts w:ascii="Georgia"/>
          <w:sz w:val="20"/>
        </w:rPr>
        <w:drawing>
          <wp:inline distT="0" distB="0" distL="0" distR="0">
            <wp:extent cx="2448980" cy="2310288"/>
            <wp:effectExtent l="0" t="0" r="0" b="0"/>
            <wp:docPr id="473" name="Image 473"/>
            <wp:cNvGraphicFramePr>
              <a:graphicFrameLocks/>
            </wp:cNvGraphicFramePr>
            <a:graphic>
              <a:graphicData uri="http://schemas.openxmlformats.org/drawingml/2006/picture">
                <pic:pic>
                  <pic:nvPicPr>
                    <pic:cNvPr id="473" name="Image 473"/>
                    <pic:cNvPicPr/>
                  </pic:nvPicPr>
                  <pic:blipFill>
                    <a:blip r:embed="rId614" cstate="print"/>
                    <a:stretch>
                      <a:fillRect/>
                    </a:stretch>
                  </pic:blipFill>
                  <pic:spPr>
                    <a:xfrm>
                      <a:off x="0" y="0"/>
                      <a:ext cx="2448980" cy="2310288"/>
                    </a:xfrm>
                    <a:prstGeom prst="rect">
                      <a:avLst/>
                    </a:prstGeom>
                  </pic:spPr>
                </pic:pic>
              </a:graphicData>
            </a:graphic>
          </wp:inline>
        </w:drawing>
      </w:r>
      <w:r>
        <w:rPr>
          <w:rFonts w:ascii="Georgia"/>
          <w:sz w:val="20"/>
        </w:rPr>
      </w:r>
    </w:p>
    <w:p>
      <w:pPr>
        <w:spacing w:after="0" w:line="240" w:lineRule="auto"/>
        <w:rPr>
          <w:rFonts w:ascii="Georgia"/>
          <w:sz w:val="20"/>
        </w:rPr>
        <w:sectPr>
          <w:type w:val="continuous"/>
          <w:pgSz w:w="12240" w:h="15840"/>
          <w:pgMar w:header="0" w:footer="0" w:top="1420" w:bottom="280" w:left="920" w:right="340"/>
        </w:sectPr>
      </w:pPr>
    </w:p>
    <w:p>
      <w:pPr>
        <w:pStyle w:val="BodyText"/>
        <w:rPr>
          <w:rFonts w:ascii="Georgia"/>
          <w:sz w:val="20"/>
        </w:rPr>
      </w:pPr>
    </w:p>
    <w:p>
      <w:pPr>
        <w:pStyle w:val="BodyText"/>
        <w:spacing w:before="52"/>
        <w:rPr>
          <w:rFonts w:ascii="Georgia"/>
          <w:sz w:val="20"/>
        </w:rPr>
      </w:pPr>
    </w:p>
    <w:p>
      <w:pPr>
        <w:pStyle w:val="BodyText"/>
        <w:spacing w:line="20" w:lineRule="exact"/>
        <w:ind w:left="280"/>
        <w:rPr>
          <w:rFonts w:ascii="Georgia"/>
          <w:sz w:val="2"/>
        </w:rPr>
      </w:pPr>
      <w:r>
        <w:rPr>
          <w:rFonts w:ascii="Georgia"/>
          <w:sz w:val="2"/>
        </w:rPr>
        <mc:AlternateContent>
          <mc:Choice Requires="wps">
            <w:drawing>
              <wp:inline distT="0" distB="0" distL="0" distR="0">
                <wp:extent cx="6350" cy="12700"/>
                <wp:effectExtent l="0" t="0" r="0" b="0"/>
                <wp:docPr id="477" name="Group 477"/>
                <wp:cNvGraphicFramePr>
                  <a:graphicFrameLocks/>
                </wp:cNvGraphicFramePr>
                <a:graphic>
                  <a:graphicData uri="http://schemas.microsoft.com/office/word/2010/wordprocessingGroup">
                    <wpg:wgp>
                      <wpg:cNvPr id="477" name="Group 477"/>
                      <wpg:cNvGrpSpPr/>
                      <wpg:grpSpPr>
                        <a:xfrm>
                          <a:off x="0" y="0"/>
                          <a:ext cx="6350" cy="12700"/>
                          <a:chExt cx="6350" cy="12700"/>
                        </a:xfrm>
                      </wpg:grpSpPr>
                      <wps:wsp>
                        <wps:cNvPr id="478" name="Graphic 478"/>
                        <wps:cNvSpPr/>
                        <wps:spPr>
                          <a:xfrm>
                            <a:off x="0" y="0"/>
                            <a:ext cx="6350" cy="12700"/>
                          </a:xfrm>
                          <a:custGeom>
                            <a:avLst/>
                            <a:gdLst/>
                            <a:ahLst/>
                            <a:cxnLst/>
                            <a:rect l="l" t="t" r="r" b="b"/>
                            <a:pathLst>
                              <a:path w="6350" h="12700">
                                <a:moveTo>
                                  <a:pt x="6337" y="0"/>
                                </a:moveTo>
                                <a:lnTo>
                                  <a:pt x="0" y="0"/>
                                </a:lnTo>
                                <a:lnTo>
                                  <a:pt x="0" y="12192"/>
                                </a:lnTo>
                                <a:lnTo>
                                  <a:pt x="6337" y="12192"/>
                                </a:lnTo>
                                <a:lnTo>
                                  <a:pt x="6337" y="0"/>
                                </a:lnTo>
                                <a:close/>
                              </a:path>
                            </a:pathLst>
                          </a:custGeom>
                          <a:solidFill>
                            <a:srgbClr val="4470C4"/>
                          </a:solidFill>
                        </wps:spPr>
                        <wps:bodyPr wrap="square" lIns="0" tIns="0" rIns="0" bIns="0" rtlCol="0">
                          <a:prstTxWarp prst="textNoShape">
                            <a:avLst/>
                          </a:prstTxWarp>
                          <a:noAutofit/>
                        </wps:bodyPr>
                      </wps:wsp>
                    </wpg:wgp>
                  </a:graphicData>
                </a:graphic>
              </wp:inline>
            </w:drawing>
          </mc:Choice>
          <mc:Fallback>
            <w:pict>
              <v:group style="width:.5pt;height:1pt;mso-position-horizontal-relative:char;mso-position-vertical-relative:line" id="docshapegroup385" coordorigin="0,0" coordsize="10,20">
                <v:rect style="position:absolute;left:0;top:0;width:10;height:20" id="docshape386" filled="true" fillcolor="#4470c4" stroked="false">
                  <v:fill type="solid"/>
                </v:rect>
              </v:group>
            </w:pict>
          </mc:Fallback>
        </mc:AlternateContent>
      </w:r>
      <w:r>
        <w:rPr>
          <w:rFonts w:ascii="Georgia"/>
          <w:sz w:val="2"/>
        </w:rPr>
      </w:r>
    </w:p>
    <w:p>
      <w:pPr>
        <w:pStyle w:val="Heading7"/>
        <w:ind w:left="323"/>
      </w:pPr>
      <w:bookmarkStart w:name="FY 2025 - Environmental Justice - Final." w:id="802"/>
      <w:bookmarkEnd w:id="802"/>
      <w:r>
        <w:rPr/>
      </w:r>
      <w:bookmarkStart w:name="_bookmark542" w:id="803"/>
      <w:bookmarkEnd w:id="803"/>
      <w:r>
        <w:rPr/>
      </w:r>
      <w:hyperlink w:history="true" w:anchor="_bookmark3">
        <w:r>
          <w:rPr>
            <w:color w:val="365F91"/>
            <w:spacing w:val="-10"/>
          </w:rPr>
          <w:t>Understanding</w:t>
        </w:r>
        <w:r>
          <w:rPr>
            <w:color w:val="365F91"/>
            <w:spacing w:val="2"/>
          </w:rPr>
          <w:t> </w:t>
        </w:r>
        <w:r>
          <w:rPr>
            <w:color w:val="365F91"/>
            <w:spacing w:val="-10"/>
          </w:rPr>
          <w:t>Environmental</w:t>
        </w:r>
        <w:r>
          <w:rPr>
            <w:color w:val="365F91"/>
            <w:spacing w:val="1"/>
          </w:rPr>
          <w:t> </w:t>
        </w:r>
        <w:r>
          <w:rPr>
            <w:color w:val="365F91"/>
            <w:spacing w:val="-10"/>
          </w:rPr>
          <w:t>Justice</w:t>
        </w:r>
      </w:hyperlink>
    </w:p>
    <w:p>
      <w:pPr>
        <w:pStyle w:val="BodyText"/>
        <w:spacing w:before="145"/>
        <w:rPr>
          <w:sz w:val="20"/>
        </w:rPr>
      </w:pPr>
      <w:r>
        <w:rPr/>
        <mc:AlternateContent>
          <mc:Choice Requires="wps">
            <w:drawing>
              <wp:anchor distT="0" distB="0" distL="0" distR="0" allowOverlap="1" layoutInCell="1" locked="0" behindDoc="1" simplePos="0" relativeHeight="487675904">
                <wp:simplePos x="0" y="0"/>
                <wp:positionH relativeFrom="page">
                  <wp:posOffset>889000</wp:posOffset>
                </wp:positionH>
                <wp:positionV relativeFrom="paragraph">
                  <wp:posOffset>262419</wp:posOffset>
                </wp:positionV>
                <wp:extent cx="6350" cy="12700"/>
                <wp:effectExtent l="0" t="0" r="0" b="0"/>
                <wp:wrapTopAndBottom/>
                <wp:docPr id="479" name="Graphic 479"/>
                <wp:cNvGraphicFramePr>
                  <a:graphicFrameLocks/>
                </wp:cNvGraphicFramePr>
                <a:graphic>
                  <a:graphicData uri="http://schemas.microsoft.com/office/word/2010/wordprocessingShape">
                    <wps:wsp>
                      <wps:cNvPr id="479" name="Graphic 479"/>
                      <wps:cNvSpPr/>
                      <wps:spPr>
                        <a:xfrm>
                          <a:off x="0" y="0"/>
                          <a:ext cx="6350" cy="12700"/>
                        </a:xfrm>
                        <a:custGeom>
                          <a:avLst/>
                          <a:gdLst/>
                          <a:ahLst/>
                          <a:cxnLst/>
                          <a:rect l="l" t="t" r="r" b="b"/>
                          <a:pathLst>
                            <a:path w="6350" h="12700">
                              <a:moveTo>
                                <a:pt x="6337" y="0"/>
                              </a:moveTo>
                              <a:lnTo>
                                <a:pt x="0" y="0"/>
                              </a:lnTo>
                              <a:lnTo>
                                <a:pt x="0" y="12192"/>
                              </a:lnTo>
                              <a:lnTo>
                                <a:pt x="6337" y="12192"/>
                              </a:lnTo>
                              <a:lnTo>
                                <a:pt x="6337" y="0"/>
                              </a:lnTo>
                              <a:close/>
                            </a:path>
                          </a:pathLst>
                        </a:custGeom>
                        <a:solidFill>
                          <a:srgbClr val="4470C4"/>
                        </a:solidFill>
                      </wps:spPr>
                      <wps:bodyPr wrap="square" lIns="0" tIns="0" rIns="0" bIns="0" rtlCol="0">
                        <a:prstTxWarp prst="textNoShape">
                          <a:avLst/>
                        </a:prstTxWarp>
                        <a:noAutofit/>
                      </wps:bodyPr>
                    </wps:wsp>
                  </a:graphicData>
                </a:graphic>
              </wp:anchor>
            </w:drawing>
          </mc:Choice>
          <mc:Fallback>
            <w:pict>
              <v:rect style="position:absolute;margin-left:70pt;margin-top:20.662937pt;width:.499pt;height:.96pt;mso-position-horizontal-relative:page;mso-position-vertical-relative:paragraph;z-index:-15640576;mso-wrap-distance-left:0;mso-wrap-distance-right:0" id="docshape387" filled="true" fillcolor="#4470c4" stroked="false">
                <v:fill type="solid"/>
                <w10:wrap type="topAndBottom"/>
              </v:rect>
            </w:pict>
          </mc:Fallback>
        </mc:AlternateContent>
      </w:r>
    </w:p>
    <w:p>
      <w:pPr>
        <w:spacing w:before="0"/>
        <w:ind w:left="323" w:right="0" w:firstLine="0"/>
        <w:jc w:val="left"/>
        <w:rPr>
          <w:sz w:val="28"/>
        </w:rPr>
      </w:pPr>
      <w:bookmarkStart w:name="Introduction" w:id="804"/>
      <w:bookmarkEnd w:id="804"/>
      <w:r>
        <w:rPr/>
      </w:r>
      <w:r>
        <w:rPr>
          <w:color w:val="365F91"/>
          <w:spacing w:val="-2"/>
          <w:sz w:val="28"/>
        </w:rPr>
        <w:t>Introduction</w:t>
      </w:r>
    </w:p>
    <w:p>
      <w:pPr>
        <w:pStyle w:val="BodyText"/>
        <w:spacing w:before="10"/>
        <w:rPr>
          <w:sz w:val="3"/>
        </w:rPr>
      </w:pPr>
      <w:r>
        <w:rPr/>
        <mc:AlternateContent>
          <mc:Choice Requires="wps">
            <w:drawing>
              <wp:anchor distT="0" distB="0" distL="0" distR="0" allowOverlap="1" layoutInCell="1" locked="0" behindDoc="1" simplePos="0" relativeHeight="487676416">
                <wp:simplePos x="0" y="0"/>
                <wp:positionH relativeFrom="page">
                  <wp:posOffset>897636</wp:posOffset>
                </wp:positionH>
                <wp:positionV relativeFrom="paragraph">
                  <wp:posOffset>45366</wp:posOffset>
                </wp:positionV>
                <wp:extent cx="5976620" cy="6350"/>
                <wp:effectExtent l="0" t="0" r="0" b="0"/>
                <wp:wrapTopAndBottom/>
                <wp:docPr id="480" name="Graphic 480"/>
                <wp:cNvGraphicFramePr>
                  <a:graphicFrameLocks/>
                </wp:cNvGraphicFramePr>
                <a:graphic>
                  <a:graphicData uri="http://schemas.microsoft.com/office/word/2010/wordprocessingShape">
                    <wps:wsp>
                      <wps:cNvPr id="480" name="Graphic 480"/>
                      <wps:cNvSpPr/>
                      <wps:spPr>
                        <a:xfrm>
                          <a:off x="0" y="0"/>
                          <a:ext cx="5976620" cy="6350"/>
                        </a:xfrm>
                        <a:custGeom>
                          <a:avLst/>
                          <a:gdLst/>
                          <a:ahLst/>
                          <a:cxnLst/>
                          <a:rect l="l" t="t" r="r" b="b"/>
                          <a:pathLst>
                            <a:path w="5976620" h="6350">
                              <a:moveTo>
                                <a:pt x="5976366" y="0"/>
                              </a:moveTo>
                              <a:lnTo>
                                <a:pt x="0" y="0"/>
                              </a:lnTo>
                              <a:lnTo>
                                <a:pt x="0" y="6108"/>
                              </a:lnTo>
                              <a:lnTo>
                                <a:pt x="5976366" y="6108"/>
                              </a:lnTo>
                              <a:lnTo>
                                <a:pt x="5976366" y="0"/>
                              </a:lnTo>
                              <a:close/>
                            </a:path>
                          </a:pathLst>
                        </a:custGeom>
                        <a:solidFill>
                          <a:srgbClr val="4F81BC"/>
                        </a:solidFill>
                      </wps:spPr>
                      <wps:bodyPr wrap="square" lIns="0" tIns="0" rIns="0" bIns="0" rtlCol="0">
                        <a:prstTxWarp prst="textNoShape">
                          <a:avLst/>
                        </a:prstTxWarp>
                        <a:noAutofit/>
                      </wps:bodyPr>
                    </wps:wsp>
                  </a:graphicData>
                </a:graphic>
              </wp:anchor>
            </w:drawing>
          </mc:Choice>
          <mc:Fallback>
            <w:pict>
              <v:rect style="position:absolute;margin-left:70.680pt;margin-top:3.572156pt;width:470.58pt;height:.481pt;mso-position-horizontal-relative:page;mso-position-vertical-relative:paragraph;z-index:-15640064;mso-wrap-distance-left:0;mso-wrap-distance-right:0" id="docshape388" filled="true" fillcolor="#4f81bc" stroked="false">
                <v:fill type="solid"/>
                <w10:wrap type="topAndBottom"/>
              </v:rect>
            </w:pict>
          </mc:Fallback>
        </mc:AlternateContent>
      </w:r>
    </w:p>
    <w:p>
      <w:pPr>
        <w:spacing w:line="276" w:lineRule="auto" w:before="241"/>
        <w:ind w:left="323" w:right="143" w:firstLine="0"/>
        <w:jc w:val="both"/>
        <w:rPr>
          <w:i/>
          <w:sz w:val="22"/>
        </w:rPr>
      </w:pPr>
      <w:bookmarkStart w:name="(first published in FY 2024 Annual Recom" w:id="805"/>
      <w:bookmarkEnd w:id="805"/>
      <w:r>
        <w:rPr/>
      </w:r>
      <w:r>
        <w:rPr>
          <w:i/>
          <w:sz w:val="22"/>
        </w:rPr>
        <w:t>(first published in FY 2024 Annual Recommendations Report, minor updates made to bring current to FY</w:t>
      </w:r>
      <w:r>
        <w:rPr>
          <w:i/>
          <w:sz w:val="22"/>
        </w:rPr>
        <w:t> </w:t>
      </w:r>
      <w:r>
        <w:rPr>
          <w:i/>
          <w:spacing w:val="-2"/>
          <w:sz w:val="22"/>
        </w:rPr>
        <w:t>2025)</w:t>
      </w:r>
    </w:p>
    <w:p>
      <w:pPr>
        <w:pStyle w:val="BodyText"/>
        <w:spacing w:line="276" w:lineRule="auto" w:before="241"/>
        <w:ind w:left="323" w:right="140"/>
        <w:jc w:val="both"/>
      </w:pPr>
      <w:r>
        <w:rPr/>
        <w:t>Research examining the environmental justice needs of LGBTQ communities is still emerging, but a growing body of evidence indicates that environmental justice is a key element of the complex web of inequities that impact the health and well-being of LGBTQ youth, particularly LGBTQ youth of color and Indigenous, immigrant, disabled, and low-income LGBTQ youth. The necessity of examining the undue environmental</w:t>
      </w:r>
      <w:r>
        <w:rPr>
          <w:spacing w:val="-2"/>
        </w:rPr>
        <w:t> </w:t>
      </w:r>
      <w:r>
        <w:rPr/>
        <w:t>burdens</w:t>
      </w:r>
      <w:r>
        <w:rPr>
          <w:spacing w:val="-1"/>
        </w:rPr>
        <w:t> </w:t>
      </w:r>
      <w:r>
        <w:rPr/>
        <w:t>placed</w:t>
      </w:r>
      <w:r>
        <w:rPr>
          <w:spacing w:val="-2"/>
        </w:rPr>
        <w:t> </w:t>
      </w:r>
      <w:r>
        <w:rPr/>
        <w:t>on</w:t>
      </w:r>
      <w:r>
        <w:rPr>
          <w:spacing w:val="-2"/>
        </w:rPr>
        <w:t> </w:t>
      </w:r>
      <w:r>
        <w:rPr/>
        <w:t>LGBTQ</w:t>
      </w:r>
      <w:r>
        <w:rPr>
          <w:spacing w:val="-2"/>
        </w:rPr>
        <w:t> </w:t>
      </w:r>
      <w:r>
        <w:rPr/>
        <w:t>youth</w:t>
      </w:r>
      <w:r>
        <w:rPr>
          <w:spacing w:val="-1"/>
        </w:rPr>
        <w:t> </w:t>
      </w:r>
      <w:r>
        <w:rPr/>
        <w:t>is</w:t>
      </w:r>
      <w:r>
        <w:rPr>
          <w:spacing w:val="-1"/>
        </w:rPr>
        <w:t> </w:t>
      </w:r>
      <w:r>
        <w:rPr/>
        <w:t>undeniable; exposure</w:t>
      </w:r>
      <w:r>
        <w:rPr>
          <w:spacing w:val="-2"/>
        </w:rPr>
        <w:t> </w:t>
      </w:r>
      <w:r>
        <w:rPr/>
        <w:t>to</w:t>
      </w:r>
      <w:r>
        <w:rPr>
          <w:spacing w:val="-1"/>
        </w:rPr>
        <w:t> </w:t>
      </w:r>
      <w:r>
        <w:rPr/>
        <w:t>environmental</w:t>
      </w:r>
      <w:r>
        <w:rPr>
          <w:spacing w:val="-2"/>
        </w:rPr>
        <w:t> </w:t>
      </w:r>
      <w:r>
        <w:rPr/>
        <w:t>stressors</w:t>
      </w:r>
      <w:r>
        <w:rPr>
          <w:spacing w:val="-1"/>
        </w:rPr>
        <w:t> </w:t>
      </w:r>
      <w:r>
        <w:rPr/>
        <w:t>such as</w:t>
      </w:r>
      <w:r>
        <w:rPr>
          <w:spacing w:val="-13"/>
        </w:rPr>
        <w:t> </w:t>
      </w:r>
      <w:r>
        <w:rPr/>
        <w:t>air</w:t>
      </w:r>
      <w:r>
        <w:rPr>
          <w:spacing w:val="-12"/>
        </w:rPr>
        <w:t> </w:t>
      </w:r>
      <w:r>
        <w:rPr/>
        <w:t>pollution</w:t>
      </w:r>
      <w:r>
        <w:rPr>
          <w:spacing w:val="-13"/>
        </w:rPr>
        <w:t> </w:t>
      </w:r>
      <w:r>
        <w:rPr/>
        <w:t>and</w:t>
      </w:r>
      <w:r>
        <w:rPr>
          <w:spacing w:val="-12"/>
        </w:rPr>
        <w:t> </w:t>
      </w:r>
      <w:r>
        <w:rPr/>
        <w:t>toxic</w:t>
      </w:r>
      <w:r>
        <w:rPr>
          <w:spacing w:val="-12"/>
        </w:rPr>
        <w:t> </w:t>
      </w:r>
      <w:r>
        <w:rPr/>
        <w:t>chemicals</w:t>
      </w:r>
      <w:r>
        <w:rPr>
          <w:spacing w:val="-11"/>
        </w:rPr>
        <w:t> </w:t>
      </w:r>
      <w:r>
        <w:rPr/>
        <w:t>exacerbates</w:t>
      </w:r>
      <w:r>
        <w:rPr>
          <w:spacing w:val="-12"/>
        </w:rPr>
        <w:t> </w:t>
      </w:r>
      <w:r>
        <w:rPr/>
        <w:t>the</w:t>
      </w:r>
      <w:r>
        <w:rPr>
          <w:spacing w:val="-12"/>
        </w:rPr>
        <w:t> </w:t>
      </w:r>
      <w:r>
        <w:rPr/>
        <w:t>health</w:t>
      </w:r>
      <w:r>
        <w:rPr>
          <w:spacing w:val="-13"/>
        </w:rPr>
        <w:t> </w:t>
      </w:r>
      <w:r>
        <w:rPr/>
        <w:t>and</w:t>
      </w:r>
      <w:r>
        <w:rPr>
          <w:spacing w:val="-12"/>
        </w:rPr>
        <w:t> </w:t>
      </w:r>
      <w:r>
        <w:rPr/>
        <w:t>economic</w:t>
      </w:r>
      <w:r>
        <w:rPr>
          <w:spacing w:val="-13"/>
        </w:rPr>
        <w:t> </w:t>
      </w:r>
      <w:r>
        <w:rPr/>
        <w:t>inequalities</w:t>
      </w:r>
      <w:r>
        <w:rPr>
          <w:spacing w:val="-12"/>
        </w:rPr>
        <w:t> </w:t>
      </w:r>
      <w:r>
        <w:rPr/>
        <w:t>LGBTQ</w:t>
      </w:r>
      <w:r>
        <w:rPr>
          <w:spacing w:val="-12"/>
        </w:rPr>
        <w:t> </w:t>
      </w:r>
      <w:r>
        <w:rPr/>
        <w:t>communities already face. Those who hold multiple marginalized identities, such as QTBIPOC youth, experience compounding effects from multiple overlapping systems of oppression.</w:t>
      </w:r>
    </w:p>
    <w:p>
      <w:pPr>
        <w:pStyle w:val="BodyText"/>
        <w:spacing w:line="276" w:lineRule="auto" w:before="239"/>
        <w:ind w:left="323" w:right="140"/>
        <w:jc w:val="both"/>
      </w:pPr>
      <w:r>
        <w:rPr/>
        <w:t>Developing a more complete picture of the burdens and injustices faced by LGBTQ youth in Massachusetts, a population which itself holds great diversity, requires bringing intersectionality to the forefront</w:t>
      </w:r>
      <w:r>
        <w:rPr>
          <w:spacing w:val="-7"/>
        </w:rPr>
        <w:t> </w:t>
      </w:r>
      <w:r>
        <w:rPr/>
        <w:t>and</w:t>
      </w:r>
      <w:r>
        <w:rPr>
          <w:spacing w:val="-5"/>
        </w:rPr>
        <w:t> </w:t>
      </w:r>
      <w:r>
        <w:rPr/>
        <w:t>understanding</w:t>
      </w:r>
      <w:r>
        <w:rPr>
          <w:spacing w:val="-7"/>
        </w:rPr>
        <w:t> </w:t>
      </w:r>
      <w:r>
        <w:rPr/>
        <w:t>the</w:t>
      </w:r>
      <w:r>
        <w:rPr>
          <w:spacing w:val="-7"/>
        </w:rPr>
        <w:t> </w:t>
      </w:r>
      <w:r>
        <w:rPr/>
        <w:t>interactions</w:t>
      </w:r>
      <w:r>
        <w:rPr>
          <w:spacing w:val="-6"/>
        </w:rPr>
        <w:t> </w:t>
      </w:r>
      <w:r>
        <w:rPr/>
        <w:t>between</w:t>
      </w:r>
      <w:r>
        <w:rPr>
          <w:spacing w:val="-7"/>
        </w:rPr>
        <w:t> </w:t>
      </w:r>
      <w:r>
        <w:rPr/>
        <w:t>the</w:t>
      </w:r>
      <w:r>
        <w:rPr>
          <w:spacing w:val="-7"/>
        </w:rPr>
        <w:t> </w:t>
      </w:r>
      <w:r>
        <w:rPr/>
        <w:t>multiple</w:t>
      </w:r>
      <w:r>
        <w:rPr>
          <w:spacing w:val="-7"/>
        </w:rPr>
        <w:t> </w:t>
      </w:r>
      <w:r>
        <w:rPr/>
        <w:t>social,</w:t>
      </w:r>
      <w:r>
        <w:rPr>
          <w:spacing w:val="-6"/>
        </w:rPr>
        <w:t> </w:t>
      </w:r>
      <w:r>
        <w:rPr/>
        <w:t>economic,</w:t>
      </w:r>
      <w:r>
        <w:rPr>
          <w:spacing w:val="-6"/>
        </w:rPr>
        <w:t> </w:t>
      </w:r>
      <w:r>
        <w:rPr/>
        <w:t>environmental,</w:t>
      </w:r>
      <w:r>
        <w:rPr>
          <w:spacing w:val="-6"/>
        </w:rPr>
        <w:t> </w:t>
      </w:r>
      <w:r>
        <w:rPr/>
        <w:t>and institutional systems that impact LGBTQ youth. As environmental justice and climate justice become increasingly high policy priorities in Massachusetts under the leadership of Governor Maura Healey, we must make sure that the needs of diverse LGBTQ communities are meaningfully incorporated into environmental and climate policymaking.</w:t>
      </w:r>
    </w:p>
    <w:p>
      <w:pPr>
        <w:pStyle w:val="BodyText"/>
        <w:spacing w:line="276" w:lineRule="auto" w:before="240"/>
        <w:ind w:left="323" w:right="142"/>
        <w:jc w:val="both"/>
      </w:pPr>
      <w:r>
        <w:rPr/>
        <w:t>In this section of the Commission’s annual report, the environmental justice needs of LGBTQ youth in Massachusetts</w:t>
      </w:r>
      <w:r>
        <w:rPr>
          <w:spacing w:val="-13"/>
        </w:rPr>
        <w:t> </w:t>
      </w:r>
      <w:r>
        <w:rPr/>
        <w:t>will</w:t>
      </w:r>
      <w:r>
        <w:rPr>
          <w:spacing w:val="-12"/>
        </w:rPr>
        <w:t> </w:t>
      </w:r>
      <w:r>
        <w:rPr/>
        <w:t>be</w:t>
      </w:r>
      <w:r>
        <w:rPr>
          <w:spacing w:val="-13"/>
        </w:rPr>
        <w:t> </w:t>
      </w:r>
      <w:r>
        <w:rPr/>
        <w:t>explored.</w:t>
      </w:r>
      <w:r>
        <w:rPr>
          <w:spacing w:val="-12"/>
        </w:rPr>
        <w:t> </w:t>
      </w:r>
      <w:r>
        <w:rPr/>
        <w:t>First,</w:t>
      </w:r>
      <w:r>
        <w:rPr>
          <w:spacing w:val="-13"/>
        </w:rPr>
        <w:t> </w:t>
      </w:r>
      <w:r>
        <w:rPr/>
        <w:t>we</w:t>
      </w:r>
      <w:r>
        <w:rPr>
          <w:spacing w:val="-12"/>
        </w:rPr>
        <w:t> </w:t>
      </w:r>
      <w:r>
        <w:rPr/>
        <w:t>will</w:t>
      </w:r>
      <w:r>
        <w:rPr>
          <w:spacing w:val="-13"/>
        </w:rPr>
        <w:t> </w:t>
      </w:r>
      <w:r>
        <w:rPr/>
        <w:t>review</w:t>
      </w:r>
      <w:r>
        <w:rPr>
          <w:spacing w:val="-12"/>
        </w:rPr>
        <w:t> </w:t>
      </w:r>
      <w:r>
        <w:rPr/>
        <w:t>what</w:t>
      </w:r>
      <w:r>
        <w:rPr>
          <w:spacing w:val="-12"/>
        </w:rPr>
        <w:t> </w:t>
      </w:r>
      <w:r>
        <w:rPr/>
        <w:t>is</w:t>
      </w:r>
      <w:r>
        <w:rPr>
          <w:spacing w:val="-13"/>
        </w:rPr>
        <w:t> </w:t>
      </w:r>
      <w:r>
        <w:rPr/>
        <w:t>meant</w:t>
      </w:r>
      <w:r>
        <w:rPr>
          <w:spacing w:val="-12"/>
        </w:rPr>
        <w:t> </w:t>
      </w:r>
      <w:r>
        <w:rPr/>
        <w:t>by</w:t>
      </w:r>
      <w:r>
        <w:rPr>
          <w:spacing w:val="-13"/>
        </w:rPr>
        <w:t> </w:t>
      </w:r>
      <w:r>
        <w:rPr/>
        <w:t>“environmental</w:t>
      </w:r>
      <w:r>
        <w:rPr>
          <w:spacing w:val="-12"/>
        </w:rPr>
        <w:t> </w:t>
      </w:r>
      <w:r>
        <w:rPr/>
        <w:t>justice”</w:t>
      </w:r>
      <w:r>
        <w:rPr>
          <w:spacing w:val="-12"/>
        </w:rPr>
        <w:t> </w:t>
      </w:r>
      <w:r>
        <w:rPr/>
        <w:t>and</w:t>
      </w:r>
      <w:r>
        <w:rPr>
          <w:spacing w:val="-12"/>
        </w:rPr>
        <w:t> </w:t>
      </w:r>
      <w:r>
        <w:rPr/>
        <w:t>discuss the importance of intersectionality in examining the needs of LGBTQ youth and understanding environmental</w:t>
      </w:r>
      <w:r>
        <w:rPr>
          <w:spacing w:val="-1"/>
        </w:rPr>
        <w:t> </w:t>
      </w:r>
      <w:r>
        <w:rPr/>
        <w:t>injustice. Next, two conceptual frameworks from public health – Cumulative Impacts and Social Determinants of Health – will be introduced to inform our understanding of how environmental exposures lead to outcomes in health and well-being. With these frameworks in mind, we will discuss certain environmental exposures which disproportionately affect LGBTQ populations, including ambient air</w:t>
      </w:r>
      <w:r>
        <w:rPr>
          <w:spacing w:val="-6"/>
        </w:rPr>
        <w:t> </w:t>
      </w:r>
      <w:r>
        <w:rPr/>
        <w:t>pollution,</w:t>
      </w:r>
      <w:r>
        <w:rPr>
          <w:spacing w:val="-5"/>
        </w:rPr>
        <w:t> </w:t>
      </w:r>
      <w:r>
        <w:rPr/>
        <w:t>secondhand</w:t>
      </w:r>
      <w:r>
        <w:rPr>
          <w:spacing w:val="-7"/>
        </w:rPr>
        <w:t> </w:t>
      </w:r>
      <w:r>
        <w:rPr/>
        <w:t>smoke,</w:t>
      </w:r>
      <w:r>
        <w:rPr>
          <w:spacing w:val="-6"/>
        </w:rPr>
        <w:t> </w:t>
      </w:r>
      <w:r>
        <w:rPr/>
        <w:t>and</w:t>
      </w:r>
      <w:r>
        <w:rPr>
          <w:spacing w:val="-5"/>
        </w:rPr>
        <w:t> </w:t>
      </w:r>
      <w:r>
        <w:rPr/>
        <w:t>toxic</w:t>
      </w:r>
      <w:r>
        <w:rPr>
          <w:spacing w:val="-6"/>
        </w:rPr>
        <w:t> </w:t>
      </w:r>
      <w:r>
        <w:rPr/>
        <w:t>chemicals</w:t>
      </w:r>
      <w:r>
        <w:rPr>
          <w:spacing w:val="-5"/>
        </w:rPr>
        <w:t> </w:t>
      </w:r>
      <w:r>
        <w:rPr/>
        <w:t>in</w:t>
      </w:r>
      <w:r>
        <w:rPr>
          <w:spacing w:val="-7"/>
        </w:rPr>
        <w:t> </w:t>
      </w:r>
      <w:r>
        <w:rPr/>
        <w:t>beauty</w:t>
      </w:r>
      <w:r>
        <w:rPr>
          <w:spacing w:val="-6"/>
        </w:rPr>
        <w:t> </w:t>
      </w:r>
      <w:r>
        <w:rPr/>
        <w:t>and</w:t>
      </w:r>
      <w:r>
        <w:rPr>
          <w:spacing w:val="-5"/>
        </w:rPr>
        <w:t> </w:t>
      </w:r>
      <w:r>
        <w:rPr/>
        <w:t>personal</w:t>
      </w:r>
      <w:r>
        <w:rPr>
          <w:spacing w:val="-6"/>
        </w:rPr>
        <w:t> </w:t>
      </w:r>
      <w:r>
        <w:rPr/>
        <w:t>care</w:t>
      </w:r>
      <w:r>
        <w:rPr>
          <w:spacing w:val="-7"/>
        </w:rPr>
        <w:t> </w:t>
      </w:r>
      <w:r>
        <w:rPr/>
        <w:t>products.</w:t>
      </w:r>
      <w:r>
        <w:rPr>
          <w:spacing w:val="-7"/>
        </w:rPr>
        <w:t> </w:t>
      </w:r>
      <w:r>
        <w:rPr/>
        <w:t>Next,</w:t>
      </w:r>
      <w:r>
        <w:rPr>
          <w:spacing w:val="-6"/>
        </w:rPr>
        <w:t> </w:t>
      </w:r>
      <w:r>
        <w:rPr/>
        <w:t>we</w:t>
      </w:r>
      <w:r>
        <w:rPr>
          <w:spacing w:val="-5"/>
        </w:rPr>
        <w:t> </w:t>
      </w:r>
      <w:r>
        <w:rPr/>
        <w:t>will investigate the links between disproportionate environmental exposures and health disparities, examining how underlying health challenges disproportionately affecting LGBTQ communities, barriers accessing health care, and other socioeconomic factors worsen the health impacts of exposure. Finally, we will discuss the disproportionate impacts of climate change on LGBTQ populations and the unique needs</w:t>
      </w:r>
      <w:r>
        <w:rPr>
          <w:spacing w:val="-8"/>
        </w:rPr>
        <w:t> </w:t>
      </w:r>
      <w:r>
        <w:rPr/>
        <w:t>of</w:t>
      </w:r>
      <w:r>
        <w:rPr>
          <w:spacing w:val="-9"/>
        </w:rPr>
        <w:t> </w:t>
      </w:r>
      <w:r>
        <w:rPr/>
        <w:t>LGBTQ</w:t>
      </w:r>
      <w:r>
        <w:rPr>
          <w:spacing w:val="-9"/>
        </w:rPr>
        <w:t> </w:t>
      </w:r>
      <w:r>
        <w:rPr/>
        <w:t>youth</w:t>
      </w:r>
      <w:r>
        <w:rPr>
          <w:spacing w:val="-9"/>
        </w:rPr>
        <w:t> </w:t>
      </w:r>
      <w:r>
        <w:rPr/>
        <w:t>related</w:t>
      </w:r>
      <w:r>
        <w:rPr>
          <w:spacing w:val="-9"/>
        </w:rPr>
        <w:t> </w:t>
      </w:r>
      <w:r>
        <w:rPr/>
        <w:t>to</w:t>
      </w:r>
      <w:r>
        <w:rPr>
          <w:spacing w:val="-7"/>
        </w:rPr>
        <w:t> </w:t>
      </w:r>
      <w:r>
        <w:rPr/>
        <w:t>climate</w:t>
      </w:r>
      <w:r>
        <w:rPr>
          <w:spacing w:val="-9"/>
        </w:rPr>
        <w:t> </w:t>
      </w:r>
      <w:r>
        <w:rPr/>
        <w:t>justice,</w:t>
      </w:r>
      <w:r>
        <w:rPr>
          <w:spacing w:val="-8"/>
        </w:rPr>
        <w:t> </w:t>
      </w:r>
      <w:r>
        <w:rPr/>
        <w:t>such</w:t>
      </w:r>
      <w:r>
        <w:rPr>
          <w:spacing w:val="-9"/>
        </w:rPr>
        <w:t> </w:t>
      </w:r>
      <w:r>
        <w:rPr/>
        <w:t>as</w:t>
      </w:r>
      <w:r>
        <w:rPr>
          <w:spacing w:val="-8"/>
        </w:rPr>
        <w:t> </w:t>
      </w:r>
      <w:r>
        <w:rPr/>
        <w:t>the</w:t>
      </w:r>
      <w:r>
        <w:rPr>
          <w:spacing w:val="-9"/>
        </w:rPr>
        <w:t> </w:t>
      </w:r>
      <w:r>
        <w:rPr/>
        <w:t>need</w:t>
      </w:r>
      <w:r>
        <w:rPr>
          <w:spacing w:val="-8"/>
        </w:rPr>
        <w:t> </w:t>
      </w:r>
      <w:r>
        <w:rPr/>
        <w:t>for</w:t>
      </w:r>
      <w:r>
        <w:rPr>
          <w:spacing w:val="-9"/>
        </w:rPr>
        <w:t> </w:t>
      </w:r>
      <w:r>
        <w:rPr/>
        <w:t>inclusive</w:t>
      </w:r>
      <w:r>
        <w:rPr>
          <w:spacing w:val="-8"/>
        </w:rPr>
        <w:t> </w:t>
      </w:r>
      <w:r>
        <w:rPr/>
        <w:t>disaster</w:t>
      </w:r>
      <w:r>
        <w:rPr>
          <w:spacing w:val="-9"/>
        </w:rPr>
        <w:t> </w:t>
      </w:r>
      <w:r>
        <w:rPr/>
        <w:t>response</w:t>
      </w:r>
      <w:r>
        <w:rPr>
          <w:spacing w:val="-9"/>
        </w:rPr>
        <w:t> </w:t>
      </w:r>
      <w:r>
        <w:rPr/>
        <w:t>systems.</w:t>
      </w:r>
    </w:p>
    <w:p>
      <w:pPr>
        <w:spacing w:after="0" w:line="276" w:lineRule="auto"/>
        <w:jc w:val="both"/>
        <w:sectPr>
          <w:headerReference w:type="default" r:id="rId615"/>
          <w:footerReference w:type="default" r:id="rId616"/>
          <w:pgSz w:w="12240" w:h="15840"/>
          <w:pgMar w:header="800" w:footer="1459" w:top="1300" w:bottom="1640" w:left="1120" w:right="1300"/>
          <w:pgNumType w:start="212"/>
        </w:sectPr>
      </w:pPr>
    </w:p>
    <w:p>
      <w:pPr>
        <w:spacing w:line="276" w:lineRule="auto" w:before="67"/>
        <w:ind w:left="323" w:right="0" w:firstLine="0"/>
        <w:jc w:val="left"/>
        <w:rPr>
          <w:sz w:val="28"/>
        </w:rPr>
      </w:pPr>
      <w:r>
        <w:rPr/>
        <mc:AlternateContent>
          <mc:Choice Requires="wps">
            <w:drawing>
              <wp:anchor distT="0" distB="0" distL="0" distR="0" allowOverlap="1" layoutInCell="1" locked="0" behindDoc="1" simplePos="0" relativeHeight="487676928">
                <wp:simplePos x="0" y="0"/>
                <wp:positionH relativeFrom="page">
                  <wp:posOffset>897636</wp:posOffset>
                </wp:positionH>
                <wp:positionV relativeFrom="paragraph">
                  <wp:posOffset>553973</wp:posOffset>
                </wp:positionV>
                <wp:extent cx="5976620" cy="6350"/>
                <wp:effectExtent l="0" t="0" r="0" b="0"/>
                <wp:wrapTopAndBottom/>
                <wp:docPr id="481" name="Graphic 481"/>
                <wp:cNvGraphicFramePr>
                  <a:graphicFrameLocks/>
                </wp:cNvGraphicFramePr>
                <a:graphic>
                  <a:graphicData uri="http://schemas.microsoft.com/office/word/2010/wordprocessingShape">
                    <wps:wsp>
                      <wps:cNvPr id="481" name="Graphic 481"/>
                      <wps:cNvSpPr/>
                      <wps:spPr>
                        <a:xfrm>
                          <a:off x="0" y="0"/>
                          <a:ext cx="5976620" cy="6350"/>
                        </a:xfrm>
                        <a:custGeom>
                          <a:avLst/>
                          <a:gdLst/>
                          <a:ahLst/>
                          <a:cxnLst/>
                          <a:rect l="l" t="t" r="r" b="b"/>
                          <a:pathLst>
                            <a:path w="5976620" h="6350">
                              <a:moveTo>
                                <a:pt x="5976366" y="0"/>
                              </a:moveTo>
                              <a:lnTo>
                                <a:pt x="0" y="0"/>
                              </a:lnTo>
                              <a:lnTo>
                                <a:pt x="0" y="6096"/>
                              </a:lnTo>
                              <a:lnTo>
                                <a:pt x="5976366" y="6096"/>
                              </a:lnTo>
                              <a:lnTo>
                                <a:pt x="5976366" y="0"/>
                              </a:lnTo>
                              <a:close/>
                            </a:path>
                          </a:pathLst>
                        </a:custGeom>
                        <a:solidFill>
                          <a:srgbClr val="4F81BC"/>
                        </a:solidFill>
                      </wps:spPr>
                      <wps:bodyPr wrap="square" lIns="0" tIns="0" rIns="0" bIns="0" rtlCol="0">
                        <a:prstTxWarp prst="textNoShape">
                          <a:avLst/>
                        </a:prstTxWarp>
                        <a:noAutofit/>
                      </wps:bodyPr>
                    </wps:wsp>
                  </a:graphicData>
                </a:graphic>
              </wp:anchor>
            </w:drawing>
          </mc:Choice>
          <mc:Fallback>
            <w:pict>
              <v:rect style="position:absolute;margin-left:70.680pt;margin-top:43.619999pt;width:470.58pt;height:.48pt;mso-position-horizontal-relative:page;mso-position-vertical-relative:paragraph;z-index:-15639552;mso-wrap-distance-left:0;mso-wrap-distance-right:0" id="docshape389" filled="true" fillcolor="#4f81bc" stroked="false">
                <v:fill type="solid"/>
                <w10:wrap type="topAndBottom"/>
              </v:rect>
            </w:pict>
          </mc:Fallback>
        </mc:AlternateContent>
      </w:r>
      <w:bookmarkStart w:name="FY2025 Recommendations to the Governor a" w:id="806"/>
      <w:bookmarkEnd w:id="806"/>
      <w:r>
        <w:rPr/>
      </w:r>
      <w:r>
        <w:rPr>
          <w:color w:val="365F91"/>
          <w:sz w:val="28"/>
        </w:rPr>
        <w:t>FY2025</w:t>
      </w:r>
      <w:r>
        <w:rPr>
          <w:color w:val="365F91"/>
          <w:spacing w:val="40"/>
          <w:sz w:val="28"/>
        </w:rPr>
        <w:t> </w:t>
      </w:r>
      <w:r>
        <w:rPr>
          <w:color w:val="365F91"/>
          <w:sz w:val="28"/>
        </w:rPr>
        <w:t>Recommendations</w:t>
      </w:r>
      <w:r>
        <w:rPr>
          <w:color w:val="365F91"/>
          <w:spacing w:val="40"/>
          <w:sz w:val="28"/>
        </w:rPr>
        <w:t> </w:t>
      </w:r>
      <w:r>
        <w:rPr>
          <w:color w:val="365F91"/>
          <w:sz w:val="28"/>
        </w:rPr>
        <w:t>to</w:t>
      </w:r>
      <w:r>
        <w:rPr>
          <w:color w:val="365F91"/>
          <w:spacing w:val="40"/>
          <w:sz w:val="28"/>
        </w:rPr>
        <w:t> </w:t>
      </w:r>
      <w:r>
        <w:rPr>
          <w:color w:val="365F91"/>
          <w:sz w:val="28"/>
        </w:rPr>
        <w:t>the</w:t>
      </w:r>
      <w:r>
        <w:rPr>
          <w:color w:val="365F91"/>
          <w:spacing w:val="40"/>
          <w:sz w:val="28"/>
        </w:rPr>
        <w:t> </w:t>
      </w:r>
      <w:r>
        <w:rPr>
          <w:color w:val="365F91"/>
          <w:sz w:val="28"/>
        </w:rPr>
        <w:t>Governor</w:t>
      </w:r>
      <w:r>
        <w:rPr>
          <w:color w:val="365F91"/>
          <w:spacing w:val="40"/>
          <w:sz w:val="28"/>
        </w:rPr>
        <w:t> </w:t>
      </w:r>
      <w:r>
        <w:rPr>
          <w:color w:val="365F91"/>
          <w:sz w:val="28"/>
        </w:rPr>
        <w:t>and</w:t>
      </w:r>
      <w:r>
        <w:rPr>
          <w:color w:val="365F91"/>
          <w:spacing w:val="40"/>
          <w:sz w:val="28"/>
        </w:rPr>
        <w:t> </w:t>
      </w:r>
      <w:r>
        <w:rPr>
          <w:color w:val="365F91"/>
          <w:sz w:val="28"/>
        </w:rPr>
        <w:t>Legislature</w:t>
      </w:r>
      <w:r>
        <w:rPr>
          <w:color w:val="365F91"/>
          <w:spacing w:val="40"/>
          <w:sz w:val="28"/>
        </w:rPr>
        <w:t> </w:t>
      </w:r>
      <w:r>
        <w:rPr>
          <w:color w:val="365F91"/>
          <w:sz w:val="28"/>
        </w:rPr>
        <w:t>on</w:t>
      </w:r>
      <w:r>
        <w:rPr>
          <w:color w:val="365F91"/>
          <w:spacing w:val="40"/>
          <w:sz w:val="28"/>
        </w:rPr>
        <w:t> </w:t>
      </w:r>
      <w:r>
        <w:rPr>
          <w:color w:val="365F91"/>
          <w:sz w:val="28"/>
        </w:rPr>
        <w:t>Environmental </w:t>
      </w:r>
      <w:r>
        <w:rPr>
          <w:color w:val="365F91"/>
          <w:spacing w:val="-2"/>
          <w:sz w:val="28"/>
        </w:rPr>
        <w:t>Justice</w:t>
      </w:r>
    </w:p>
    <w:p>
      <w:pPr>
        <w:numPr>
          <w:ilvl w:val="0"/>
          <w:numId w:val="28"/>
        </w:numPr>
        <w:tabs>
          <w:tab w:pos="551" w:val="left" w:leader="none"/>
        </w:tabs>
        <w:spacing w:line="276" w:lineRule="auto" w:before="241"/>
        <w:ind w:left="323" w:right="143" w:firstLine="0"/>
        <w:jc w:val="left"/>
        <w:rPr>
          <w:b/>
          <w:sz w:val="22"/>
        </w:rPr>
      </w:pPr>
      <w:bookmarkStart w:name="1. Expand existing policies and programs" w:id="807"/>
      <w:bookmarkEnd w:id="807"/>
      <w:r>
        <w:rPr/>
      </w:r>
      <w:r>
        <w:rPr>
          <w:b/>
          <w:sz w:val="22"/>
        </w:rPr>
        <w:t>Expand existing policies and programs addressing environmental inequities to include and address the unique impacts on LGBTQ youth across the Commonwealth.</w:t>
      </w:r>
    </w:p>
    <w:p>
      <w:pPr>
        <w:pStyle w:val="BodyText"/>
        <w:spacing w:line="276" w:lineRule="auto" w:before="241"/>
        <w:ind w:left="323" w:right="140"/>
        <w:jc w:val="both"/>
      </w:pPr>
      <w:r>
        <w:rPr/>
        <w:t>The Commission recommends that the Commonwealth examine and expand existing policies and programs working to address environmental inequities to ensure that this critical work is addressing unique</w:t>
      </w:r>
      <w:r>
        <w:rPr>
          <w:spacing w:val="-8"/>
        </w:rPr>
        <w:t> </w:t>
      </w:r>
      <w:r>
        <w:rPr/>
        <w:t>impacts</w:t>
      </w:r>
      <w:r>
        <w:rPr>
          <w:spacing w:val="-7"/>
        </w:rPr>
        <w:t> </w:t>
      </w:r>
      <w:r>
        <w:rPr/>
        <w:t>on</w:t>
      </w:r>
      <w:r>
        <w:rPr>
          <w:spacing w:val="-8"/>
        </w:rPr>
        <w:t> </w:t>
      </w:r>
      <w:r>
        <w:rPr/>
        <w:t>LGBTQ</w:t>
      </w:r>
      <w:r>
        <w:rPr>
          <w:spacing w:val="-7"/>
        </w:rPr>
        <w:t> </w:t>
      </w:r>
      <w:r>
        <w:rPr/>
        <w:t>youth,</w:t>
      </w:r>
      <w:r>
        <w:rPr>
          <w:spacing w:val="-7"/>
        </w:rPr>
        <w:t> </w:t>
      </w:r>
      <w:r>
        <w:rPr/>
        <w:t>particularly</w:t>
      </w:r>
      <w:r>
        <w:rPr>
          <w:spacing w:val="-7"/>
        </w:rPr>
        <w:t> </w:t>
      </w:r>
      <w:r>
        <w:rPr/>
        <w:t>BIPOC</w:t>
      </w:r>
      <w:r>
        <w:rPr>
          <w:spacing w:val="-7"/>
        </w:rPr>
        <w:t> </w:t>
      </w:r>
      <w:r>
        <w:rPr/>
        <w:t>youth,</w:t>
      </w:r>
      <w:r>
        <w:rPr>
          <w:spacing w:val="-7"/>
        </w:rPr>
        <w:t> </w:t>
      </w:r>
      <w:r>
        <w:rPr/>
        <w:t>youth</w:t>
      </w:r>
      <w:r>
        <w:rPr>
          <w:spacing w:val="-5"/>
        </w:rPr>
        <w:t> </w:t>
      </w:r>
      <w:r>
        <w:rPr/>
        <w:t>with</w:t>
      </w:r>
      <w:r>
        <w:rPr>
          <w:spacing w:val="-8"/>
        </w:rPr>
        <w:t> </w:t>
      </w:r>
      <w:r>
        <w:rPr/>
        <w:t>disabilities,</w:t>
      </w:r>
      <w:r>
        <w:rPr>
          <w:spacing w:val="-7"/>
        </w:rPr>
        <w:t> </w:t>
      </w:r>
      <w:r>
        <w:rPr/>
        <w:t>and</w:t>
      </w:r>
      <w:r>
        <w:rPr>
          <w:spacing w:val="-8"/>
        </w:rPr>
        <w:t> </w:t>
      </w:r>
      <w:r>
        <w:rPr/>
        <w:t>low-income</w:t>
      </w:r>
      <w:r>
        <w:rPr>
          <w:spacing w:val="-8"/>
        </w:rPr>
        <w:t> </w:t>
      </w:r>
      <w:r>
        <w:rPr/>
        <w:t>youth. In January 2023, Governor Maura Healey signed an Executive Order to establish the Office of Climate Innovation and Resilience to coordinate climate policy across state agencies and communities; the Commission urges this new office to center QTBIPOC communities in its work, and to take a broad understanding of how to tackle climate justice.</w:t>
      </w:r>
    </w:p>
    <w:p>
      <w:pPr>
        <w:numPr>
          <w:ilvl w:val="0"/>
          <w:numId w:val="28"/>
        </w:numPr>
        <w:tabs>
          <w:tab w:pos="899" w:val="left" w:leader="none"/>
        </w:tabs>
        <w:spacing w:line="276" w:lineRule="auto" w:before="239"/>
        <w:ind w:left="323" w:right="145" w:firstLine="139"/>
        <w:jc w:val="left"/>
        <w:rPr>
          <w:b/>
          <w:sz w:val="22"/>
        </w:rPr>
      </w:pPr>
      <w:bookmarkStart w:name="2. Promote QTBIPOC youth voice in enviro" w:id="808"/>
      <w:bookmarkEnd w:id="808"/>
      <w:r>
        <w:rPr/>
      </w:r>
      <w:r>
        <w:rPr>
          <w:b/>
          <w:sz w:val="22"/>
        </w:rPr>
        <w:t>Promote</w:t>
      </w:r>
      <w:r>
        <w:rPr>
          <w:b/>
          <w:spacing w:val="-13"/>
          <w:sz w:val="22"/>
        </w:rPr>
        <w:t> </w:t>
      </w:r>
      <w:r>
        <w:rPr>
          <w:b/>
          <w:sz w:val="22"/>
        </w:rPr>
        <w:t>QTBIPOC</w:t>
      </w:r>
      <w:r>
        <w:rPr>
          <w:b/>
          <w:spacing w:val="-12"/>
          <w:sz w:val="22"/>
        </w:rPr>
        <w:t> </w:t>
      </w:r>
      <w:r>
        <w:rPr>
          <w:b/>
          <w:sz w:val="22"/>
        </w:rPr>
        <w:t>youth</w:t>
      </w:r>
      <w:r>
        <w:rPr>
          <w:b/>
          <w:spacing w:val="-11"/>
          <w:sz w:val="22"/>
        </w:rPr>
        <w:t> </w:t>
      </w:r>
      <w:r>
        <w:rPr>
          <w:b/>
          <w:sz w:val="22"/>
        </w:rPr>
        <w:t>voice</w:t>
      </w:r>
      <w:r>
        <w:rPr>
          <w:b/>
          <w:spacing w:val="-13"/>
          <w:sz w:val="22"/>
        </w:rPr>
        <w:t> </w:t>
      </w:r>
      <w:r>
        <w:rPr>
          <w:b/>
          <w:sz w:val="22"/>
        </w:rPr>
        <w:t>in</w:t>
      </w:r>
      <w:r>
        <w:rPr>
          <w:b/>
          <w:spacing w:val="-11"/>
          <w:sz w:val="22"/>
        </w:rPr>
        <w:t> </w:t>
      </w:r>
      <w:r>
        <w:rPr>
          <w:b/>
          <w:sz w:val="22"/>
        </w:rPr>
        <w:t>environmental</w:t>
      </w:r>
      <w:r>
        <w:rPr>
          <w:b/>
          <w:spacing w:val="-12"/>
          <w:sz w:val="22"/>
        </w:rPr>
        <w:t> </w:t>
      </w:r>
      <w:r>
        <w:rPr>
          <w:b/>
          <w:sz w:val="22"/>
        </w:rPr>
        <w:t>justice</w:t>
      </w:r>
      <w:r>
        <w:rPr>
          <w:b/>
          <w:spacing w:val="-13"/>
          <w:sz w:val="22"/>
        </w:rPr>
        <w:t> </w:t>
      </w:r>
      <w:r>
        <w:rPr>
          <w:b/>
          <w:sz w:val="22"/>
        </w:rPr>
        <w:t>initiatives,</w:t>
      </w:r>
      <w:r>
        <w:rPr>
          <w:b/>
          <w:spacing w:val="-11"/>
          <w:sz w:val="22"/>
        </w:rPr>
        <w:t> </w:t>
      </w:r>
      <w:r>
        <w:rPr>
          <w:b/>
          <w:sz w:val="22"/>
        </w:rPr>
        <w:t>research,</w:t>
      </w:r>
      <w:r>
        <w:rPr>
          <w:b/>
          <w:spacing w:val="-12"/>
          <w:sz w:val="22"/>
        </w:rPr>
        <w:t> </w:t>
      </w:r>
      <w:r>
        <w:rPr>
          <w:b/>
          <w:sz w:val="22"/>
        </w:rPr>
        <w:t>working</w:t>
      </w:r>
      <w:r>
        <w:rPr>
          <w:b/>
          <w:spacing w:val="-13"/>
          <w:sz w:val="22"/>
        </w:rPr>
        <w:t> </w:t>
      </w:r>
      <w:r>
        <w:rPr>
          <w:b/>
          <w:sz w:val="22"/>
        </w:rPr>
        <w:t>groups,</w:t>
      </w:r>
      <w:r>
        <w:rPr>
          <w:b/>
          <w:spacing w:val="-10"/>
          <w:sz w:val="22"/>
        </w:rPr>
        <w:t> </w:t>
      </w:r>
      <w:r>
        <w:rPr>
          <w:b/>
          <w:sz w:val="22"/>
        </w:rPr>
        <w:t>and task forces.</w:t>
      </w:r>
    </w:p>
    <w:p>
      <w:pPr>
        <w:pStyle w:val="BodyText"/>
        <w:spacing w:line="276" w:lineRule="auto" w:before="240"/>
        <w:ind w:left="323" w:right="141"/>
        <w:jc w:val="both"/>
      </w:pPr>
      <w:r>
        <w:rPr/>
        <w:t>As the Commonwealth further explores its engagement in environmental and climate justice, the Commission strongly recommends that policymakers and agencies engage QTBIPOC youth in important discussions in recognition of their presence in environmental justice communities. Furthermore, the Commission advises that the state should engage LGBTQ youth in community-based participatory approaches when considering policies addressing toxic chemicals in makeup, and tobacco cessation </w:t>
      </w:r>
      <w:r>
        <w:rPr>
          <w:spacing w:val="-2"/>
        </w:rPr>
        <w:t>campaigns.</w:t>
      </w:r>
    </w:p>
    <w:p>
      <w:pPr>
        <w:numPr>
          <w:ilvl w:val="0"/>
          <w:numId w:val="28"/>
        </w:numPr>
        <w:tabs>
          <w:tab w:pos="321" w:val="left" w:leader="none"/>
        </w:tabs>
        <w:spacing w:before="240"/>
        <w:ind w:left="321" w:right="0" w:hanging="218"/>
        <w:jc w:val="left"/>
        <w:rPr>
          <w:b/>
          <w:sz w:val="22"/>
        </w:rPr>
      </w:pPr>
      <w:bookmarkStart w:name="3. Improve access to quality health care" w:id="809"/>
      <w:bookmarkEnd w:id="809"/>
      <w:r>
        <w:rPr/>
      </w:r>
      <w:r>
        <w:rPr>
          <w:b/>
          <w:sz w:val="22"/>
        </w:rPr>
        <w:t>Improve</w:t>
      </w:r>
      <w:r>
        <w:rPr>
          <w:b/>
          <w:spacing w:val="-8"/>
          <w:sz w:val="22"/>
        </w:rPr>
        <w:t> </w:t>
      </w:r>
      <w:r>
        <w:rPr>
          <w:b/>
          <w:sz w:val="22"/>
        </w:rPr>
        <w:t>access</w:t>
      </w:r>
      <w:r>
        <w:rPr>
          <w:b/>
          <w:spacing w:val="-9"/>
          <w:sz w:val="22"/>
        </w:rPr>
        <w:t> </w:t>
      </w:r>
      <w:r>
        <w:rPr>
          <w:b/>
          <w:sz w:val="22"/>
        </w:rPr>
        <w:t>to</w:t>
      </w:r>
      <w:r>
        <w:rPr>
          <w:b/>
          <w:spacing w:val="-7"/>
          <w:sz w:val="22"/>
        </w:rPr>
        <w:t> </w:t>
      </w:r>
      <w:r>
        <w:rPr>
          <w:b/>
          <w:sz w:val="22"/>
        </w:rPr>
        <w:t>quality</w:t>
      </w:r>
      <w:r>
        <w:rPr>
          <w:b/>
          <w:spacing w:val="-7"/>
          <w:sz w:val="22"/>
        </w:rPr>
        <w:t> </w:t>
      </w:r>
      <w:r>
        <w:rPr>
          <w:b/>
          <w:sz w:val="22"/>
        </w:rPr>
        <w:t>health</w:t>
      </w:r>
      <w:r>
        <w:rPr>
          <w:b/>
          <w:spacing w:val="-8"/>
          <w:sz w:val="22"/>
        </w:rPr>
        <w:t> </w:t>
      </w:r>
      <w:r>
        <w:rPr>
          <w:b/>
          <w:sz w:val="22"/>
        </w:rPr>
        <w:t>care,</w:t>
      </w:r>
      <w:r>
        <w:rPr>
          <w:b/>
          <w:spacing w:val="-7"/>
          <w:sz w:val="22"/>
        </w:rPr>
        <w:t> </w:t>
      </w:r>
      <w:r>
        <w:rPr>
          <w:b/>
          <w:sz w:val="22"/>
        </w:rPr>
        <w:t>affordable</w:t>
      </w:r>
      <w:r>
        <w:rPr>
          <w:b/>
          <w:spacing w:val="-8"/>
          <w:sz w:val="22"/>
        </w:rPr>
        <w:t> </w:t>
      </w:r>
      <w:r>
        <w:rPr>
          <w:b/>
          <w:sz w:val="22"/>
        </w:rPr>
        <w:t>housing,</w:t>
      </w:r>
      <w:r>
        <w:rPr>
          <w:b/>
          <w:spacing w:val="-8"/>
          <w:sz w:val="22"/>
        </w:rPr>
        <w:t> </w:t>
      </w:r>
      <w:r>
        <w:rPr>
          <w:b/>
          <w:sz w:val="22"/>
        </w:rPr>
        <w:t>and</w:t>
      </w:r>
      <w:r>
        <w:rPr>
          <w:b/>
          <w:spacing w:val="-7"/>
          <w:sz w:val="22"/>
        </w:rPr>
        <w:t> </w:t>
      </w:r>
      <w:r>
        <w:rPr>
          <w:b/>
          <w:sz w:val="22"/>
        </w:rPr>
        <w:t>stable</w:t>
      </w:r>
      <w:r>
        <w:rPr>
          <w:b/>
          <w:spacing w:val="-9"/>
          <w:sz w:val="22"/>
        </w:rPr>
        <w:t> </w:t>
      </w:r>
      <w:r>
        <w:rPr>
          <w:b/>
          <w:spacing w:val="-2"/>
          <w:sz w:val="22"/>
        </w:rPr>
        <w:t>income.</w:t>
      </w:r>
    </w:p>
    <w:p>
      <w:pPr>
        <w:pStyle w:val="BodyText"/>
        <w:spacing w:before="12"/>
        <w:rPr>
          <w:b/>
        </w:rPr>
      </w:pPr>
    </w:p>
    <w:p>
      <w:pPr>
        <w:pStyle w:val="BodyText"/>
        <w:spacing w:line="276" w:lineRule="auto"/>
        <w:ind w:left="323" w:right="142"/>
        <w:jc w:val="both"/>
      </w:pPr>
      <w:r>
        <w:rPr/>
        <w:t>As</w:t>
      </w:r>
      <w:r>
        <w:rPr>
          <w:spacing w:val="-6"/>
        </w:rPr>
        <w:t> </w:t>
      </w:r>
      <w:r>
        <w:rPr/>
        <w:t>detailed</w:t>
      </w:r>
      <w:r>
        <w:rPr>
          <w:spacing w:val="-5"/>
        </w:rPr>
        <w:t> </w:t>
      </w:r>
      <w:r>
        <w:rPr/>
        <w:t>throughout</w:t>
      </w:r>
      <w:r>
        <w:rPr>
          <w:spacing w:val="-7"/>
        </w:rPr>
        <w:t> </w:t>
      </w:r>
      <w:r>
        <w:rPr/>
        <w:t>the</w:t>
      </w:r>
      <w:r>
        <w:rPr>
          <w:spacing w:val="-5"/>
        </w:rPr>
        <w:t> </w:t>
      </w:r>
      <w:r>
        <w:rPr/>
        <w:t>annual</w:t>
      </w:r>
      <w:r>
        <w:rPr>
          <w:spacing w:val="-6"/>
        </w:rPr>
        <w:t> </w:t>
      </w:r>
      <w:r>
        <w:rPr/>
        <w:t>report,</w:t>
      </w:r>
      <w:r>
        <w:rPr>
          <w:spacing w:val="-6"/>
        </w:rPr>
        <w:t> </w:t>
      </w:r>
      <w:r>
        <w:rPr/>
        <w:t>LGBTQ</w:t>
      </w:r>
      <w:r>
        <w:rPr>
          <w:spacing w:val="-7"/>
        </w:rPr>
        <w:t> </w:t>
      </w:r>
      <w:r>
        <w:rPr/>
        <w:t>youth</w:t>
      </w:r>
      <w:r>
        <w:rPr>
          <w:spacing w:val="-7"/>
        </w:rPr>
        <w:t> </w:t>
      </w:r>
      <w:r>
        <w:rPr/>
        <w:t>well-being</w:t>
      </w:r>
      <w:r>
        <w:rPr>
          <w:spacing w:val="-7"/>
        </w:rPr>
        <w:t> </w:t>
      </w:r>
      <w:r>
        <w:rPr/>
        <w:t>is</w:t>
      </w:r>
      <w:r>
        <w:rPr>
          <w:spacing w:val="-6"/>
        </w:rPr>
        <w:t> </w:t>
      </w:r>
      <w:r>
        <w:rPr/>
        <w:t>affected</w:t>
      </w:r>
      <w:r>
        <w:rPr>
          <w:spacing w:val="-7"/>
        </w:rPr>
        <w:t> </w:t>
      </w:r>
      <w:r>
        <w:rPr/>
        <w:t>by</w:t>
      </w:r>
      <w:r>
        <w:rPr>
          <w:spacing w:val="-5"/>
        </w:rPr>
        <w:t> </w:t>
      </w:r>
      <w:r>
        <w:rPr/>
        <w:t>a</w:t>
      </w:r>
      <w:r>
        <w:rPr>
          <w:spacing w:val="-6"/>
        </w:rPr>
        <w:t> </w:t>
      </w:r>
      <w:r>
        <w:rPr/>
        <w:t>wide</w:t>
      </w:r>
      <w:r>
        <w:rPr>
          <w:spacing w:val="-7"/>
        </w:rPr>
        <w:t> </w:t>
      </w:r>
      <w:r>
        <w:rPr/>
        <w:t>array</w:t>
      </w:r>
      <w:r>
        <w:rPr>
          <w:spacing w:val="-6"/>
        </w:rPr>
        <w:t> </w:t>
      </w:r>
      <w:r>
        <w:rPr/>
        <w:t>of</w:t>
      </w:r>
      <w:r>
        <w:rPr>
          <w:spacing w:val="-6"/>
        </w:rPr>
        <w:t> </w:t>
      </w:r>
      <w:r>
        <w:rPr/>
        <w:t>systemic inequities. In order to best address environmental well-being for LGBTQ youth, the state must simultaneously improve access to quality health care; increase access to affordable, accessible, stable, and</w:t>
      </w:r>
      <w:r>
        <w:rPr>
          <w:spacing w:val="-1"/>
        </w:rPr>
        <w:t> </w:t>
      </w:r>
      <w:r>
        <w:rPr/>
        <w:t>safe</w:t>
      </w:r>
      <w:r>
        <w:rPr>
          <w:spacing w:val="-1"/>
        </w:rPr>
        <w:t> </w:t>
      </w:r>
      <w:r>
        <w:rPr/>
        <w:t>housing; and</w:t>
      </w:r>
      <w:r>
        <w:rPr>
          <w:spacing w:val="-1"/>
        </w:rPr>
        <w:t> </w:t>
      </w:r>
      <w:r>
        <w:rPr/>
        <w:t>address the</w:t>
      </w:r>
      <w:r>
        <w:rPr>
          <w:spacing w:val="-1"/>
        </w:rPr>
        <w:t> </w:t>
      </w:r>
      <w:r>
        <w:rPr/>
        <w:t>significant</w:t>
      </w:r>
      <w:r>
        <w:rPr>
          <w:spacing w:val="-1"/>
        </w:rPr>
        <w:t> </w:t>
      </w:r>
      <w:r>
        <w:rPr/>
        <w:t>wealth inequities disproportionately affecting BIPOC youth in Massachusetts.</w:t>
      </w:r>
    </w:p>
    <w:p>
      <w:pPr>
        <w:spacing w:before="240"/>
        <w:ind w:left="323" w:right="0" w:firstLine="0"/>
        <w:jc w:val="both"/>
        <w:rPr>
          <w:sz w:val="28"/>
        </w:rPr>
      </w:pPr>
      <w:bookmarkStart w:name="Research: Understanding Environmental Ju" w:id="810"/>
      <w:bookmarkEnd w:id="810"/>
      <w:r>
        <w:rPr/>
      </w:r>
      <w:r>
        <w:rPr>
          <w:color w:val="365F91"/>
          <w:sz w:val="28"/>
        </w:rPr>
        <w:t>Research:</w:t>
      </w:r>
      <w:r>
        <w:rPr>
          <w:color w:val="365F91"/>
          <w:spacing w:val="-13"/>
          <w:sz w:val="28"/>
        </w:rPr>
        <w:t> </w:t>
      </w:r>
      <w:r>
        <w:rPr>
          <w:color w:val="365F91"/>
          <w:sz w:val="28"/>
        </w:rPr>
        <w:t>Understanding</w:t>
      </w:r>
      <w:r>
        <w:rPr>
          <w:color w:val="365F91"/>
          <w:spacing w:val="-14"/>
          <w:sz w:val="28"/>
        </w:rPr>
        <w:t> </w:t>
      </w:r>
      <w:r>
        <w:rPr>
          <w:color w:val="365F91"/>
          <w:sz w:val="28"/>
        </w:rPr>
        <w:t>Environmental</w:t>
      </w:r>
      <w:r>
        <w:rPr>
          <w:color w:val="365F91"/>
          <w:spacing w:val="-14"/>
          <w:sz w:val="28"/>
        </w:rPr>
        <w:t> </w:t>
      </w:r>
      <w:r>
        <w:rPr>
          <w:color w:val="365F91"/>
          <w:sz w:val="28"/>
        </w:rPr>
        <w:t>Justice</w:t>
      </w:r>
      <w:r>
        <w:rPr>
          <w:color w:val="365F91"/>
          <w:spacing w:val="-14"/>
          <w:sz w:val="28"/>
        </w:rPr>
        <w:t> </w:t>
      </w:r>
      <w:r>
        <w:rPr>
          <w:color w:val="365F91"/>
          <w:sz w:val="28"/>
        </w:rPr>
        <w:t>and</w:t>
      </w:r>
      <w:r>
        <w:rPr>
          <w:color w:val="365F91"/>
          <w:spacing w:val="-14"/>
          <w:sz w:val="28"/>
        </w:rPr>
        <w:t> </w:t>
      </w:r>
      <w:r>
        <w:rPr>
          <w:color w:val="365F91"/>
          <w:sz w:val="28"/>
        </w:rPr>
        <w:t>LGBTQ</w:t>
      </w:r>
      <w:r>
        <w:rPr>
          <w:color w:val="365F91"/>
          <w:spacing w:val="-14"/>
          <w:sz w:val="28"/>
        </w:rPr>
        <w:t> </w:t>
      </w:r>
      <w:r>
        <w:rPr>
          <w:color w:val="365F91"/>
          <w:spacing w:val="-2"/>
          <w:sz w:val="28"/>
        </w:rPr>
        <w:t>Youth</w:t>
      </w:r>
    </w:p>
    <w:p>
      <w:pPr>
        <w:pStyle w:val="BodyText"/>
        <w:spacing w:before="9"/>
        <w:rPr>
          <w:sz w:val="3"/>
        </w:rPr>
      </w:pPr>
      <w:r>
        <w:rPr/>
        <mc:AlternateContent>
          <mc:Choice Requires="wps">
            <w:drawing>
              <wp:anchor distT="0" distB="0" distL="0" distR="0" allowOverlap="1" layoutInCell="1" locked="0" behindDoc="1" simplePos="0" relativeHeight="487677440">
                <wp:simplePos x="0" y="0"/>
                <wp:positionH relativeFrom="page">
                  <wp:posOffset>897636</wp:posOffset>
                </wp:positionH>
                <wp:positionV relativeFrom="paragraph">
                  <wp:posOffset>44742</wp:posOffset>
                </wp:positionV>
                <wp:extent cx="5976620" cy="6350"/>
                <wp:effectExtent l="0" t="0" r="0" b="0"/>
                <wp:wrapTopAndBottom/>
                <wp:docPr id="482" name="Graphic 482"/>
                <wp:cNvGraphicFramePr>
                  <a:graphicFrameLocks/>
                </wp:cNvGraphicFramePr>
                <a:graphic>
                  <a:graphicData uri="http://schemas.microsoft.com/office/word/2010/wordprocessingShape">
                    <wps:wsp>
                      <wps:cNvPr id="482" name="Graphic 482"/>
                      <wps:cNvSpPr/>
                      <wps:spPr>
                        <a:xfrm>
                          <a:off x="0" y="0"/>
                          <a:ext cx="5976620" cy="6350"/>
                        </a:xfrm>
                        <a:custGeom>
                          <a:avLst/>
                          <a:gdLst/>
                          <a:ahLst/>
                          <a:cxnLst/>
                          <a:rect l="l" t="t" r="r" b="b"/>
                          <a:pathLst>
                            <a:path w="5976620" h="6350">
                              <a:moveTo>
                                <a:pt x="5976366" y="0"/>
                              </a:moveTo>
                              <a:lnTo>
                                <a:pt x="0" y="0"/>
                              </a:lnTo>
                              <a:lnTo>
                                <a:pt x="0" y="6095"/>
                              </a:lnTo>
                              <a:lnTo>
                                <a:pt x="5976366" y="6095"/>
                              </a:lnTo>
                              <a:lnTo>
                                <a:pt x="5976366" y="0"/>
                              </a:lnTo>
                              <a:close/>
                            </a:path>
                          </a:pathLst>
                        </a:custGeom>
                        <a:solidFill>
                          <a:srgbClr val="4F81BC"/>
                        </a:solidFill>
                      </wps:spPr>
                      <wps:bodyPr wrap="square" lIns="0" tIns="0" rIns="0" bIns="0" rtlCol="0">
                        <a:prstTxWarp prst="textNoShape">
                          <a:avLst/>
                        </a:prstTxWarp>
                        <a:noAutofit/>
                      </wps:bodyPr>
                    </wps:wsp>
                  </a:graphicData>
                </a:graphic>
              </wp:anchor>
            </w:drawing>
          </mc:Choice>
          <mc:Fallback>
            <w:pict>
              <v:rect style="position:absolute;margin-left:70.680pt;margin-top:3.523008pt;width:470.58pt;height:.48pt;mso-position-horizontal-relative:page;mso-position-vertical-relative:paragraph;z-index:-15639040;mso-wrap-distance-left:0;mso-wrap-distance-right:0" id="docshape390" filled="true" fillcolor="#4f81bc" stroked="false">
                <v:fill type="solid"/>
                <w10:wrap type="topAndBottom"/>
              </v:rect>
            </w:pict>
          </mc:Fallback>
        </mc:AlternateContent>
      </w:r>
    </w:p>
    <w:p>
      <w:pPr>
        <w:pStyle w:val="BodyText"/>
        <w:spacing w:line="276" w:lineRule="auto" w:before="241"/>
        <w:ind w:left="323" w:right="139"/>
        <w:jc w:val="both"/>
      </w:pPr>
      <w:r>
        <w:rPr/>
        <w:t>Environmental justice describes the right of all people to be protected from environmental hazards and to enjoy the benefits of a clean, healthy environment. Historically, environmental justice organizing emerged</w:t>
      </w:r>
      <w:r>
        <w:rPr>
          <w:spacing w:val="-13"/>
        </w:rPr>
        <w:t> </w:t>
      </w:r>
      <w:r>
        <w:rPr/>
        <w:t>out</w:t>
      </w:r>
      <w:r>
        <w:rPr>
          <w:spacing w:val="-12"/>
        </w:rPr>
        <w:t> </w:t>
      </w:r>
      <w:r>
        <w:rPr/>
        <w:t>of</w:t>
      </w:r>
      <w:r>
        <w:rPr>
          <w:spacing w:val="-13"/>
        </w:rPr>
        <w:t> </w:t>
      </w:r>
      <w:r>
        <w:rPr/>
        <w:t>grassroots</w:t>
      </w:r>
      <w:r>
        <w:rPr>
          <w:spacing w:val="-12"/>
        </w:rPr>
        <w:t> </w:t>
      </w:r>
      <w:r>
        <w:rPr/>
        <w:t>activism</w:t>
      </w:r>
      <w:r>
        <w:rPr>
          <w:spacing w:val="-13"/>
        </w:rPr>
        <w:t> </w:t>
      </w:r>
      <w:r>
        <w:rPr/>
        <w:t>that</w:t>
      </w:r>
      <w:r>
        <w:rPr>
          <w:spacing w:val="-12"/>
        </w:rPr>
        <w:t> </w:t>
      </w:r>
      <w:r>
        <w:rPr/>
        <w:t>sought</w:t>
      </w:r>
      <w:r>
        <w:rPr>
          <w:spacing w:val="-13"/>
        </w:rPr>
        <w:t> </w:t>
      </w:r>
      <w:r>
        <w:rPr/>
        <w:t>to</w:t>
      </w:r>
      <w:r>
        <w:rPr>
          <w:spacing w:val="-12"/>
        </w:rPr>
        <w:t> </w:t>
      </w:r>
      <w:r>
        <w:rPr/>
        <w:t>address</w:t>
      </w:r>
      <w:r>
        <w:rPr>
          <w:spacing w:val="-12"/>
        </w:rPr>
        <w:t> </w:t>
      </w:r>
      <w:r>
        <w:rPr/>
        <w:t>the</w:t>
      </w:r>
      <w:r>
        <w:rPr>
          <w:spacing w:val="-13"/>
        </w:rPr>
        <w:t> </w:t>
      </w:r>
      <w:r>
        <w:rPr/>
        <w:t>unfair</w:t>
      </w:r>
      <w:r>
        <w:rPr>
          <w:spacing w:val="-12"/>
        </w:rPr>
        <w:t> </w:t>
      </w:r>
      <w:r>
        <w:rPr/>
        <w:t>exposure</w:t>
      </w:r>
      <w:r>
        <w:rPr>
          <w:spacing w:val="-13"/>
        </w:rPr>
        <w:t> </w:t>
      </w:r>
      <w:r>
        <w:rPr/>
        <w:t>of</w:t>
      </w:r>
      <w:r>
        <w:rPr>
          <w:spacing w:val="-12"/>
        </w:rPr>
        <w:t> </w:t>
      </w:r>
      <w:r>
        <w:rPr/>
        <w:t>poor,</w:t>
      </w:r>
      <w:r>
        <w:rPr>
          <w:spacing w:val="-13"/>
        </w:rPr>
        <w:t> </w:t>
      </w:r>
      <w:r>
        <w:rPr/>
        <w:t>Black</w:t>
      </w:r>
      <w:r>
        <w:rPr>
          <w:spacing w:val="-12"/>
        </w:rPr>
        <w:t> </w:t>
      </w:r>
      <w:r>
        <w:rPr/>
        <w:t>communities to industrial pollution and hazardous land uses through the lens of civil rights</w:t>
      </w:r>
      <w:hyperlink w:history="true" w:anchor="_bookmark543">
        <w:r>
          <w:rPr/>
          <w:t>.</w:t>
        </w:r>
        <w:r>
          <w:rPr>
            <w:vertAlign w:val="superscript"/>
          </w:rPr>
          <w:t>1</w:t>
        </w:r>
      </w:hyperlink>
      <w:r>
        <w:rPr>
          <w:vertAlign w:val="baseline"/>
        </w:rPr>
        <w:t> Environmental justice is also inextricably tied to Indigenous rights and movements for Landback.</w:t>
      </w:r>
      <w:hyperlink w:history="true" w:anchor="_bookmark543">
        <w:r>
          <w:rPr>
            <w:vertAlign w:val="superscript"/>
          </w:rPr>
          <w:t>2</w:t>
        </w:r>
      </w:hyperlink>
      <w:r>
        <w:rPr>
          <w:vertAlign w:val="baseline"/>
        </w:rPr>
        <w:t> Indigenous communities are leaders</w:t>
      </w:r>
      <w:r>
        <w:rPr>
          <w:spacing w:val="-5"/>
          <w:vertAlign w:val="baseline"/>
        </w:rPr>
        <w:t> </w:t>
      </w:r>
      <w:r>
        <w:rPr>
          <w:vertAlign w:val="baseline"/>
        </w:rPr>
        <w:t>in</w:t>
      </w:r>
      <w:r>
        <w:rPr>
          <w:spacing w:val="-4"/>
          <w:vertAlign w:val="baseline"/>
        </w:rPr>
        <w:t> </w:t>
      </w:r>
      <w:r>
        <w:rPr>
          <w:vertAlign w:val="baseline"/>
        </w:rPr>
        <w:t>fighting</w:t>
      </w:r>
      <w:r>
        <w:rPr>
          <w:spacing w:val="-4"/>
          <w:vertAlign w:val="baseline"/>
        </w:rPr>
        <w:t> </w:t>
      </w:r>
      <w:r>
        <w:rPr>
          <w:vertAlign w:val="baseline"/>
        </w:rPr>
        <w:t>fossil</w:t>
      </w:r>
      <w:r>
        <w:rPr>
          <w:spacing w:val="-5"/>
          <w:vertAlign w:val="baseline"/>
        </w:rPr>
        <w:t> </w:t>
      </w:r>
      <w:r>
        <w:rPr>
          <w:vertAlign w:val="baseline"/>
        </w:rPr>
        <w:t>fuel</w:t>
      </w:r>
      <w:r>
        <w:rPr>
          <w:spacing w:val="-5"/>
          <w:vertAlign w:val="baseline"/>
        </w:rPr>
        <w:t> </w:t>
      </w:r>
      <w:r>
        <w:rPr>
          <w:vertAlign w:val="baseline"/>
        </w:rPr>
        <w:t>expansion</w:t>
      </w:r>
      <w:r>
        <w:rPr>
          <w:spacing w:val="-4"/>
          <w:vertAlign w:val="baseline"/>
        </w:rPr>
        <w:t> </w:t>
      </w:r>
      <w:r>
        <w:rPr>
          <w:vertAlign w:val="baseline"/>
        </w:rPr>
        <w:t>and</w:t>
      </w:r>
      <w:r>
        <w:rPr>
          <w:spacing w:val="-6"/>
          <w:vertAlign w:val="baseline"/>
        </w:rPr>
        <w:t> </w:t>
      </w:r>
      <w:r>
        <w:rPr>
          <w:vertAlign w:val="baseline"/>
        </w:rPr>
        <w:t>industrial</w:t>
      </w:r>
      <w:r>
        <w:rPr>
          <w:spacing w:val="-4"/>
          <w:vertAlign w:val="baseline"/>
        </w:rPr>
        <w:t> </w:t>
      </w:r>
      <w:r>
        <w:rPr>
          <w:vertAlign w:val="baseline"/>
        </w:rPr>
        <w:t>pollution,</w:t>
      </w:r>
      <w:r>
        <w:rPr>
          <w:spacing w:val="-5"/>
          <w:vertAlign w:val="baseline"/>
        </w:rPr>
        <w:t> </w:t>
      </w:r>
      <w:r>
        <w:rPr>
          <w:vertAlign w:val="baseline"/>
        </w:rPr>
        <w:t>protecting</w:t>
      </w:r>
      <w:r>
        <w:rPr>
          <w:spacing w:val="-4"/>
          <w:vertAlign w:val="baseline"/>
        </w:rPr>
        <w:t> </w:t>
      </w:r>
      <w:r>
        <w:rPr>
          <w:vertAlign w:val="baseline"/>
        </w:rPr>
        <w:t>shared</w:t>
      </w:r>
      <w:r>
        <w:rPr>
          <w:spacing w:val="-6"/>
          <w:vertAlign w:val="baseline"/>
        </w:rPr>
        <w:t> </w:t>
      </w:r>
      <w:r>
        <w:rPr>
          <w:vertAlign w:val="baseline"/>
        </w:rPr>
        <w:t>resources</w:t>
      </w:r>
      <w:r>
        <w:rPr>
          <w:spacing w:val="-4"/>
          <w:vertAlign w:val="baseline"/>
        </w:rPr>
        <w:t> </w:t>
      </w:r>
      <w:r>
        <w:rPr>
          <w:vertAlign w:val="baseline"/>
        </w:rPr>
        <w:t>such</w:t>
      </w:r>
      <w:r>
        <w:rPr>
          <w:spacing w:val="-4"/>
          <w:vertAlign w:val="baseline"/>
        </w:rPr>
        <w:t> </w:t>
      </w:r>
      <w:r>
        <w:rPr>
          <w:vertAlign w:val="baseline"/>
        </w:rPr>
        <w:t>as</w:t>
      </w:r>
      <w:r>
        <w:rPr>
          <w:spacing w:val="-5"/>
          <w:vertAlign w:val="baseline"/>
        </w:rPr>
        <w:t> </w:t>
      </w:r>
      <w:r>
        <w:rPr>
          <w:vertAlign w:val="baseline"/>
        </w:rPr>
        <w:t>clear water,</w:t>
      </w:r>
      <w:r>
        <w:rPr>
          <w:spacing w:val="-10"/>
          <w:vertAlign w:val="baseline"/>
        </w:rPr>
        <w:t> </w:t>
      </w:r>
      <w:r>
        <w:rPr>
          <w:vertAlign w:val="baseline"/>
        </w:rPr>
        <w:t>and</w:t>
      </w:r>
      <w:r>
        <w:rPr>
          <w:spacing w:val="-9"/>
          <w:vertAlign w:val="baseline"/>
        </w:rPr>
        <w:t> </w:t>
      </w:r>
      <w:r>
        <w:rPr>
          <w:vertAlign w:val="baseline"/>
        </w:rPr>
        <w:t>stewarding</w:t>
      </w:r>
      <w:r>
        <w:rPr>
          <w:spacing w:val="-9"/>
          <w:vertAlign w:val="baseline"/>
        </w:rPr>
        <w:t> </w:t>
      </w:r>
      <w:r>
        <w:rPr>
          <w:vertAlign w:val="baseline"/>
        </w:rPr>
        <w:t>the</w:t>
      </w:r>
      <w:r>
        <w:rPr>
          <w:spacing w:val="-8"/>
          <w:vertAlign w:val="baseline"/>
        </w:rPr>
        <w:t> </w:t>
      </w:r>
      <w:r>
        <w:rPr>
          <w:vertAlign w:val="baseline"/>
        </w:rPr>
        <w:t>land</w:t>
      </w:r>
      <w:r>
        <w:rPr>
          <w:spacing w:val="-10"/>
          <w:vertAlign w:val="baseline"/>
        </w:rPr>
        <w:t> </w:t>
      </w:r>
      <w:r>
        <w:rPr>
          <w:vertAlign w:val="baseline"/>
        </w:rPr>
        <w:t>and</w:t>
      </w:r>
      <w:r>
        <w:rPr>
          <w:spacing w:val="-9"/>
          <w:vertAlign w:val="baseline"/>
        </w:rPr>
        <w:t> </w:t>
      </w:r>
      <w:r>
        <w:rPr>
          <w:vertAlign w:val="baseline"/>
        </w:rPr>
        <w:t>its</w:t>
      </w:r>
      <w:r>
        <w:rPr>
          <w:spacing w:val="-9"/>
          <w:vertAlign w:val="baseline"/>
        </w:rPr>
        <w:t> </w:t>
      </w:r>
      <w:r>
        <w:rPr>
          <w:vertAlign w:val="baseline"/>
        </w:rPr>
        <w:t>biological</w:t>
      </w:r>
      <w:r>
        <w:rPr>
          <w:spacing w:val="-10"/>
          <w:vertAlign w:val="baseline"/>
        </w:rPr>
        <w:t> </w:t>
      </w:r>
      <w:r>
        <w:rPr>
          <w:vertAlign w:val="baseline"/>
        </w:rPr>
        <w:t>diversity</w:t>
      </w:r>
      <w:r>
        <w:rPr>
          <w:spacing w:val="-10"/>
          <w:vertAlign w:val="baseline"/>
        </w:rPr>
        <w:t> </w:t>
      </w:r>
      <w:r>
        <w:rPr>
          <w:vertAlign w:val="baseline"/>
        </w:rPr>
        <w:t>in</w:t>
      </w:r>
      <w:r>
        <w:rPr>
          <w:spacing w:val="-9"/>
          <w:vertAlign w:val="baseline"/>
        </w:rPr>
        <w:t> </w:t>
      </w:r>
      <w:r>
        <w:rPr>
          <w:vertAlign w:val="baseline"/>
        </w:rPr>
        <w:t>Massachusetts,</w:t>
      </w:r>
      <w:r>
        <w:rPr>
          <w:spacing w:val="-9"/>
          <w:vertAlign w:val="baseline"/>
        </w:rPr>
        <w:t> </w:t>
      </w:r>
      <w:r>
        <w:rPr>
          <w:vertAlign w:val="baseline"/>
        </w:rPr>
        <w:t>the</w:t>
      </w:r>
      <w:r>
        <w:rPr>
          <w:spacing w:val="-8"/>
          <w:vertAlign w:val="baseline"/>
        </w:rPr>
        <w:t> </w:t>
      </w:r>
      <w:r>
        <w:rPr>
          <w:vertAlign w:val="baseline"/>
        </w:rPr>
        <w:t>United</w:t>
      </w:r>
      <w:r>
        <w:rPr>
          <w:spacing w:val="-9"/>
          <w:vertAlign w:val="baseline"/>
        </w:rPr>
        <w:t> </w:t>
      </w:r>
      <w:r>
        <w:rPr>
          <w:vertAlign w:val="baseline"/>
        </w:rPr>
        <w:t>States,</w:t>
      </w:r>
      <w:r>
        <w:rPr>
          <w:spacing w:val="-10"/>
          <w:vertAlign w:val="baseline"/>
        </w:rPr>
        <w:t> </w:t>
      </w:r>
      <w:r>
        <w:rPr>
          <w:vertAlign w:val="baseline"/>
        </w:rPr>
        <w:t>and</w:t>
      </w:r>
      <w:r>
        <w:rPr>
          <w:spacing w:val="-9"/>
          <w:vertAlign w:val="baseline"/>
        </w:rPr>
        <w:t> </w:t>
      </w:r>
      <w:r>
        <w:rPr>
          <w:vertAlign w:val="baseline"/>
        </w:rPr>
        <w:t>across the globe.</w:t>
      </w:r>
      <w:hyperlink w:history="true" w:anchor="_bookmark543">
        <w:r>
          <w:rPr>
            <w:vertAlign w:val="superscript"/>
          </w:rPr>
          <w:t>3</w:t>
        </w:r>
      </w:hyperlink>
      <w:hyperlink w:history="true" w:anchor="_bookmark544">
        <w:r>
          <w:rPr>
            <w:vertAlign w:val="superscript"/>
          </w:rPr>
          <w:t>,4</w:t>
        </w:r>
      </w:hyperlink>
      <w:r>
        <w:rPr>
          <w:vertAlign w:val="baseline"/>
        </w:rPr>
        <w:t> Restoring lands to Indigenous control is a crucial aspect of environmental justice</w:t>
      </w:r>
      <w:hyperlink w:history="true" w:anchor="_bookmark544">
        <w:r>
          <w:rPr>
            <w:vertAlign w:val="baseline"/>
          </w:rPr>
          <w:t>.</w:t>
        </w:r>
        <w:r>
          <w:rPr>
            <w:vertAlign w:val="superscript"/>
          </w:rPr>
          <w:t>5</w:t>
        </w:r>
      </w:hyperlink>
    </w:p>
    <w:p>
      <w:pPr>
        <w:spacing w:after="0" w:line="276" w:lineRule="auto"/>
        <w:jc w:val="both"/>
        <w:sectPr>
          <w:pgSz w:w="12240" w:h="15840"/>
          <w:pgMar w:header="800" w:footer="1459" w:top="1300" w:bottom="1680" w:left="1120" w:right="1300"/>
        </w:sectPr>
      </w:pPr>
    </w:p>
    <w:p>
      <w:pPr>
        <w:pStyle w:val="BodyText"/>
        <w:spacing w:line="276" w:lineRule="auto" w:before="67"/>
        <w:ind w:left="323" w:right="143"/>
        <w:jc w:val="both"/>
      </w:pPr>
      <w:bookmarkStart w:name="_bookmark543" w:id="811"/>
      <w:bookmarkEnd w:id="811"/>
      <w:r>
        <w:rPr/>
      </w:r>
      <w:r>
        <w:rPr/>
        <w:t>One of the tenets of environmental justice as defined by the Massachusetts Executive Office of Energy and Environmental Affairs (EEA) is the “equal protection and meaningful involvement of all people and communities” in the environmental policymaking process.</w:t>
      </w:r>
      <w:hyperlink w:history="true" w:anchor="_bookmark544">
        <w:r>
          <w:rPr>
            <w:vertAlign w:val="superscript"/>
          </w:rPr>
          <w:t>6</w:t>
        </w:r>
      </w:hyperlink>
      <w:r>
        <w:rPr>
          <w:vertAlign w:val="baseline"/>
        </w:rPr>
        <w:t> Environmental justice principles have been incorporated into policies and programs at the federal, state, and local level to help address the disproportionate share of environmental burdens experienced by low-income communities and communities of color and ensure a more equitable distribution of environmental assets, such as green space</w:t>
      </w:r>
      <w:hyperlink w:history="true" w:anchor="_bookmark544">
        <w:r>
          <w:rPr>
            <w:vertAlign w:val="baseline"/>
          </w:rPr>
          <w:t>.</w:t>
        </w:r>
        <w:r>
          <w:rPr>
            <w:vertAlign w:val="superscript"/>
          </w:rPr>
          <w:t>7</w:t>
        </w:r>
      </w:hyperlink>
      <w:r>
        <w:rPr>
          <w:vertAlign w:val="baseline"/>
        </w:rPr>
        <w:t> Many of these programs and policies rely on identifying “environmental justice populations” based</w:t>
      </w:r>
      <w:r>
        <w:rPr>
          <w:spacing w:val="-9"/>
          <w:vertAlign w:val="baseline"/>
        </w:rPr>
        <w:t> </w:t>
      </w:r>
      <w:r>
        <w:rPr>
          <w:vertAlign w:val="baseline"/>
        </w:rPr>
        <w:t>on</w:t>
      </w:r>
      <w:r>
        <w:rPr>
          <w:spacing w:val="-9"/>
          <w:vertAlign w:val="baseline"/>
        </w:rPr>
        <w:t> </w:t>
      </w:r>
      <w:r>
        <w:rPr>
          <w:vertAlign w:val="baseline"/>
        </w:rPr>
        <w:t>census</w:t>
      </w:r>
      <w:r>
        <w:rPr>
          <w:spacing w:val="-8"/>
          <w:vertAlign w:val="baseline"/>
        </w:rPr>
        <w:t> </w:t>
      </w:r>
      <w:r>
        <w:rPr>
          <w:vertAlign w:val="baseline"/>
        </w:rPr>
        <w:t>data</w:t>
      </w:r>
      <w:r>
        <w:rPr>
          <w:spacing w:val="-8"/>
          <w:vertAlign w:val="baseline"/>
        </w:rPr>
        <w:t> </w:t>
      </w:r>
      <w:r>
        <w:rPr>
          <w:vertAlign w:val="baseline"/>
        </w:rPr>
        <w:t>on</w:t>
      </w:r>
      <w:r>
        <w:rPr>
          <w:spacing w:val="-9"/>
          <w:vertAlign w:val="baseline"/>
        </w:rPr>
        <w:t> </w:t>
      </w:r>
      <w:r>
        <w:rPr>
          <w:vertAlign w:val="baseline"/>
        </w:rPr>
        <w:t>income,</w:t>
      </w:r>
      <w:r>
        <w:rPr>
          <w:spacing w:val="-8"/>
          <w:vertAlign w:val="baseline"/>
        </w:rPr>
        <w:t> </w:t>
      </w:r>
      <w:r>
        <w:rPr>
          <w:vertAlign w:val="baseline"/>
        </w:rPr>
        <w:t>race,</w:t>
      </w:r>
      <w:r>
        <w:rPr>
          <w:spacing w:val="-8"/>
          <w:vertAlign w:val="baseline"/>
        </w:rPr>
        <w:t> </w:t>
      </w:r>
      <w:r>
        <w:rPr>
          <w:vertAlign w:val="baseline"/>
        </w:rPr>
        <w:t>ethnicity,</w:t>
      </w:r>
      <w:r>
        <w:rPr>
          <w:spacing w:val="-8"/>
          <w:vertAlign w:val="baseline"/>
        </w:rPr>
        <w:t> </w:t>
      </w:r>
      <w:r>
        <w:rPr>
          <w:vertAlign w:val="baseline"/>
        </w:rPr>
        <w:t>and</w:t>
      </w:r>
      <w:r>
        <w:rPr>
          <w:spacing w:val="-8"/>
          <w:vertAlign w:val="baseline"/>
        </w:rPr>
        <w:t> </w:t>
      </w:r>
      <w:r>
        <w:rPr>
          <w:vertAlign w:val="baseline"/>
        </w:rPr>
        <w:t>English</w:t>
      </w:r>
      <w:r>
        <w:rPr>
          <w:spacing w:val="-9"/>
          <w:vertAlign w:val="baseline"/>
        </w:rPr>
        <w:t> </w:t>
      </w:r>
      <w:r>
        <w:rPr>
          <w:vertAlign w:val="baseline"/>
        </w:rPr>
        <w:t>language</w:t>
      </w:r>
      <w:r>
        <w:rPr>
          <w:spacing w:val="-9"/>
          <w:vertAlign w:val="baseline"/>
        </w:rPr>
        <w:t> </w:t>
      </w:r>
      <w:r>
        <w:rPr>
          <w:vertAlign w:val="baseline"/>
        </w:rPr>
        <w:t>proficiency</w:t>
      </w:r>
      <w:hyperlink w:history="true" w:anchor="_bookmark544">
        <w:r>
          <w:rPr>
            <w:vertAlign w:val="baseline"/>
          </w:rPr>
          <w:t>.</w:t>
        </w:r>
        <w:r>
          <w:rPr>
            <w:vertAlign w:val="superscript"/>
          </w:rPr>
          <w:t>8</w:t>
        </w:r>
      </w:hyperlink>
      <w:r>
        <w:rPr>
          <w:spacing w:val="-9"/>
          <w:vertAlign w:val="baseline"/>
        </w:rPr>
        <w:t> </w:t>
      </w:r>
      <w:r>
        <w:rPr>
          <w:vertAlign w:val="baseline"/>
        </w:rPr>
        <w:t>In</w:t>
      </w:r>
      <w:r>
        <w:rPr>
          <w:spacing w:val="-8"/>
          <w:vertAlign w:val="baseline"/>
        </w:rPr>
        <w:t> </w:t>
      </w:r>
      <w:r>
        <w:rPr>
          <w:vertAlign w:val="baseline"/>
        </w:rPr>
        <w:t>Massachusetts,</w:t>
      </w:r>
      <w:r>
        <w:rPr>
          <w:spacing w:val="-8"/>
          <w:vertAlign w:val="baseline"/>
        </w:rPr>
        <w:t> </w:t>
      </w:r>
      <w:r>
        <w:rPr>
          <w:vertAlign w:val="baseline"/>
        </w:rPr>
        <w:t>the EEA works to engage environmental justice populations in environmental decision-making, improve neighborhood</w:t>
      </w:r>
      <w:r>
        <w:rPr>
          <w:spacing w:val="-8"/>
          <w:vertAlign w:val="baseline"/>
        </w:rPr>
        <w:t> </w:t>
      </w:r>
      <w:r>
        <w:rPr>
          <w:vertAlign w:val="baseline"/>
        </w:rPr>
        <w:t>environmental</w:t>
      </w:r>
      <w:r>
        <w:rPr>
          <w:spacing w:val="-7"/>
          <w:vertAlign w:val="baseline"/>
        </w:rPr>
        <w:t> </w:t>
      </w:r>
      <w:r>
        <w:rPr>
          <w:vertAlign w:val="baseline"/>
        </w:rPr>
        <w:t>quality,</w:t>
      </w:r>
      <w:r>
        <w:rPr>
          <w:spacing w:val="-7"/>
          <w:vertAlign w:val="baseline"/>
        </w:rPr>
        <w:t> </w:t>
      </w:r>
      <w:r>
        <w:rPr>
          <w:vertAlign w:val="baseline"/>
        </w:rPr>
        <w:t>and</w:t>
      </w:r>
      <w:r>
        <w:rPr>
          <w:spacing w:val="-8"/>
          <w:vertAlign w:val="baseline"/>
        </w:rPr>
        <w:t> </w:t>
      </w:r>
      <w:r>
        <w:rPr>
          <w:vertAlign w:val="baseline"/>
        </w:rPr>
        <w:t>protect</w:t>
      </w:r>
      <w:r>
        <w:rPr>
          <w:spacing w:val="-7"/>
          <w:vertAlign w:val="baseline"/>
        </w:rPr>
        <w:t> </w:t>
      </w:r>
      <w:r>
        <w:rPr>
          <w:vertAlign w:val="baseline"/>
        </w:rPr>
        <w:t>communities</w:t>
      </w:r>
      <w:r>
        <w:rPr>
          <w:spacing w:val="-7"/>
          <w:vertAlign w:val="baseline"/>
        </w:rPr>
        <w:t> </w:t>
      </w:r>
      <w:r>
        <w:rPr>
          <w:vertAlign w:val="baseline"/>
        </w:rPr>
        <w:t>from</w:t>
      </w:r>
      <w:r>
        <w:rPr>
          <w:spacing w:val="-8"/>
          <w:vertAlign w:val="baseline"/>
        </w:rPr>
        <w:t> </w:t>
      </w:r>
      <w:r>
        <w:rPr>
          <w:vertAlign w:val="baseline"/>
        </w:rPr>
        <w:t>pollution</w:t>
      </w:r>
      <w:r>
        <w:rPr>
          <w:spacing w:val="-5"/>
          <w:vertAlign w:val="baseline"/>
        </w:rPr>
        <w:t> </w:t>
      </w:r>
      <w:r>
        <w:rPr>
          <w:vertAlign w:val="baseline"/>
        </w:rPr>
        <w:t>through</w:t>
      </w:r>
      <w:r>
        <w:rPr>
          <w:spacing w:val="-6"/>
          <w:vertAlign w:val="baseline"/>
        </w:rPr>
        <w:t> </w:t>
      </w:r>
      <w:r>
        <w:rPr>
          <w:vertAlign w:val="baseline"/>
        </w:rPr>
        <w:t>its</w:t>
      </w:r>
      <w:r>
        <w:rPr>
          <w:spacing w:val="-6"/>
          <w:vertAlign w:val="baseline"/>
        </w:rPr>
        <w:t> </w:t>
      </w:r>
      <w:r>
        <w:rPr>
          <w:vertAlign w:val="baseline"/>
        </w:rPr>
        <w:t>Environmental Justice Policy</w:t>
      </w:r>
      <w:hyperlink w:history="true" w:anchor="_bookmark544">
        <w:r>
          <w:rPr>
            <w:vertAlign w:val="baseline"/>
          </w:rPr>
          <w:t>.</w:t>
        </w:r>
        <w:r>
          <w:rPr>
            <w:vertAlign w:val="superscript"/>
          </w:rPr>
          <w:t>9</w:t>
        </w:r>
      </w:hyperlink>
    </w:p>
    <w:p>
      <w:pPr>
        <w:pStyle w:val="BodyText"/>
        <w:spacing w:line="276" w:lineRule="auto" w:before="240"/>
        <w:ind w:left="323" w:right="142"/>
        <w:jc w:val="both"/>
      </w:pPr>
      <w:bookmarkStart w:name="_bookmark544" w:id="812"/>
      <w:bookmarkEnd w:id="812"/>
      <w:r>
        <w:rPr/>
      </w:r>
      <w:r>
        <w:rPr/>
        <w:t>While environmental justice has traditionally focused on the disproportionate burdens faced by low- income communities of color, researchers and activists are increasingly recognizing disparities in the environment</w:t>
      </w:r>
      <w:r>
        <w:rPr>
          <w:spacing w:val="-7"/>
        </w:rPr>
        <w:t> </w:t>
      </w:r>
      <w:r>
        <w:rPr/>
        <w:t>based</w:t>
      </w:r>
      <w:r>
        <w:rPr>
          <w:spacing w:val="-8"/>
        </w:rPr>
        <w:t> </w:t>
      </w:r>
      <w:r>
        <w:rPr/>
        <w:t>on</w:t>
      </w:r>
      <w:r>
        <w:rPr>
          <w:spacing w:val="-7"/>
        </w:rPr>
        <w:t> </w:t>
      </w:r>
      <w:r>
        <w:rPr/>
        <w:t>many</w:t>
      </w:r>
      <w:r>
        <w:rPr>
          <w:spacing w:val="-8"/>
        </w:rPr>
        <w:t> </w:t>
      </w:r>
      <w:r>
        <w:rPr/>
        <w:t>axes</w:t>
      </w:r>
      <w:r>
        <w:rPr>
          <w:spacing w:val="-7"/>
        </w:rPr>
        <w:t> </w:t>
      </w:r>
      <w:r>
        <w:rPr/>
        <w:t>of</w:t>
      </w:r>
      <w:r>
        <w:rPr>
          <w:spacing w:val="-8"/>
        </w:rPr>
        <w:t> </w:t>
      </w:r>
      <w:r>
        <w:rPr/>
        <w:t>oppression,</w:t>
      </w:r>
      <w:r>
        <w:rPr>
          <w:spacing w:val="-7"/>
        </w:rPr>
        <w:t> </w:t>
      </w:r>
      <w:r>
        <w:rPr/>
        <w:t>such</w:t>
      </w:r>
      <w:r>
        <w:rPr>
          <w:spacing w:val="-8"/>
        </w:rPr>
        <w:t> </w:t>
      </w:r>
      <w:r>
        <w:rPr/>
        <w:t>as</w:t>
      </w:r>
      <w:r>
        <w:rPr>
          <w:spacing w:val="-7"/>
        </w:rPr>
        <w:t> </w:t>
      </w:r>
      <w:r>
        <w:rPr/>
        <w:t>gender,</w:t>
      </w:r>
      <w:r>
        <w:rPr>
          <w:spacing w:val="-7"/>
        </w:rPr>
        <w:t> </w:t>
      </w:r>
      <w:r>
        <w:rPr/>
        <w:t>age,</w:t>
      </w:r>
      <w:r>
        <w:rPr>
          <w:spacing w:val="-7"/>
        </w:rPr>
        <w:t> </w:t>
      </w:r>
      <w:r>
        <w:rPr/>
        <w:t>religion,</w:t>
      </w:r>
      <w:r>
        <w:rPr>
          <w:spacing w:val="-6"/>
        </w:rPr>
        <w:t> </w:t>
      </w:r>
      <w:r>
        <w:rPr/>
        <w:t>immigration</w:t>
      </w:r>
      <w:r>
        <w:rPr>
          <w:spacing w:val="-8"/>
        </w:rPr>
        <w:t> </w:t>
      </w:r>
      <w:r>
        <w:rPr/>
        <w:t>status,</w:t>
      </w:r>
      <w:r>
        <w:rPr>
          <w:spacing w:val="-7"/>
        </w:rPr>
        <w:t> </w:t>
      </w:r>
      <w:r>
        <w:rPr/>
        <w:t>ability, and</w:t>
      </w:r>
      <w:r>
        <w:rPr>
          <w:spacing w:val="-9"/>
        </w:rPr>
        <w:t> </w:t>
      </w:r>
      <w:r>
        <w:rPr/>
        <w:t>sexual</w:t>
      </w:r>
      <w:r>
        <w:rPr>
          <w:spacing w:val="-8"/>
        </w:rPr>
        <w:t> </w:t>
      </w:r>
      <w:r>
        <w:rPr/>
        <w:t>orientation</w:t>
      </w:r>
      <w:hyperlink w:history="true" w:anchor="_bookmark545">
        <w:r>
          <w:rPr/>
          <w:t>.</w:t>
        </w:r>
        <w:r>
          <w:rPr>
            <w:vertAlign w:val="superscript"/>
          </w:rPr>
          <w:t>10</w:t>
        </w:r>
      </w:hyperlink>
      <w:r>
        <w:rPr>
          <w:spacing w:val="-8"/>
          <w:vertAlign w:val="baseline"/>
        </w:rPr>
        <w:t> </w:t>
      </w:r>
      <w:r>
        <w:rPr>
          <w:vertAlign w:val="baseline"/>
        </w:rPr>
        <w:t>Intersectionality</w:t>
      </w:r>
      <w:r>
        <w:rPr>
          <w:spacing w:val="-9"/>
          <w:vertAlign w:val="baseline"/>
        </w:rPr>
        <w:t> </w:t>
      </w:r>
      <w:r>
        <w:rPr>
          <w:vertAlign w:val="baseline"/>
        </w:rPr>
        <w:t>reminds</w:t>
      </w:r>
      <w:r>
        <w:rPr>
          <w:spacing w:val="-7"/>
          <w:vertAlign w:val="baseline"/>
        </w:rPr>
        <w:t> </w:t>
      </w:r>
      <w:r>
        <w:rPr>
          <w:vertAlign w:val="baseline"/>
        </w:rPr>
        <w:t>us</w:t>
      </w:r>
      <w:r>
        <w:rPr>
          <w:spacing w:val="-6"/>
          <w:vertAlign w:val="baseline"/>
        </w:rPr>
        <w:t> </w:t>
      </w:r>
      <w:r>
        <w:rPr>
          <w:vertAlign w:val="baseline"/>
        </w:rPr>
        <w:t>that</w:t>
      </w:r>
      <w:r>
        <w:rPr>
          <w:spacing w:val="-8"/>
          <w:vertAlign w:val="baseline"/>
        </w:rPr>
        <w:t> </w:t>
      </w:r>
      <w:r>
        <w:rPr>
          <w:vertAlign w:val="baseline"/>
        </w:rPr>
        <w:t>examining</w:t>
      </w:r>
      <w:r>
        <w:rPr>
          <w:spacing w:val="-8"/>
          <w:vertAlign w:val="baseline"/>
        </w:rPr>
        <w:t> </w:t>
      </w:r>
      <w:r>
        <w:rPr>
          <w:vertAlign w:val="baseline"/>
        </w:rPr>
        <w:t>environmental</w:t>
      </w:r>
      <w:r>
        <w:rPr>
          <w:spacing w:val="-8"/>
          <w:vertAlign w:val="baseline"/>
        </w:rPr>
        <w:t> </w:t>
      </w:r>
      <w:r>
        <w:rPr>
          <w:vertAlign w:val="baseline"/>
        </w:rPr>
        <w:t>injustice</w:t>
      </w:r>
      <w:r>
        <w:rPr>
          <w:spacing w:val="-8"/>
          <w:vertAlign w:val="baseline"/>
        </w:rPr>
        <w:t> </w:t>
      </w:r>
      <w:r>
        <w:rPr>
          <w:vertAlign w:val="baseline"/>
        </w:rPr>
        <w:t>through</w:t>
      </w:r>
      <w:r>
        <w:rPr>
          <w:spacing w:val="-7"/>
          <w:vertAlign w:val="baseline"/>
        </w:rPr>
        <w:t> </w:t>
      </w:r>
      <w:r>
        <w:rPr>
          <w:vertAlign w:val="baseline"/>
        </w:rPr>
        <w:t>the lenses</w:t>
      </w:r>
      <w:r>
        <w:rPr>
          <w:spacing w:val="-4"/>
          <w:vertAlign w:val="baseline"/>
        </w:rPr>
        <w:t> </w:t>
      </w:r>
      <w:r>
        <w:rPr>
          <w:vertAlign w:val="baseline"/>
        </w:rPr>
        <w:t>of</w:t>
      </w:r>
      <w:r>
        <w:rPr>
          <w:spacing w:val="-4"/>
          <w:vertAlign w:val="baseline"/>
        </w:rPr>
        <w:t> </w:t>
      </w:r>
      <w:r>
        <w:rPr>
          <w:vertAlign w:val="baseline"/>
        </w:rPr>
        <w:t>race</w:t>
      </w:r>
      <w:r>
        <w:rPr>
          <w:spacing w:val="-3"/>
          <w:vertAlign w:val="baseline"/>
        </w:rPr>
        <w:t> </w:t>
      </w:r>
      <w:r>
        <w:rPr>
          <w:vertAlign w:val="baseline"/>
        </w:rPr>
        <w:t>and</w:t>
      </w:r>
      <w:r>
        <w:rPr>
          <w:spacing w:val="-3"/>
          <w:vertAlign w:val="baseline"/>
        </w:rPr>
        <w:t> </w:t>
      </w:r>
      <w:r>
        <w:rPr>
          <w:vertAlign w:val="baseline"/>
        </w:rPr>
        <w:t>class</w:t>
      </w:r>
      <w:r>
        <w:rPr>
          <w:spacing w:val="-4"/>
          <w:vertAlign w:val="baseline"/>
        </w:rPr>
        <w:t> </w:t>
      </w:r>
      <w:r>
        <w:rPr>
          <w:vertAlign w:val="baseline"/>
        </w:rPr>
        <w:t>alone</w:t>
      </w:r>
      <w:r>
        <w:rPr>
          <w:spacing w:val="-4"/>
          <w:vertAlign w:val="baseline"/>
        </w:rPr>
        <w:t> </w:t>
      </w:r>
      <w:r>
        <w:rPr>
          <w:vertAlign w:val="baseline"/>
        </w:rPr>
        <w:t>is</w:t>
      </w:r>
      <w:r>
        <w:rPr>
          <w:spacing w:val="-2"/>
          <w:vertAlign w:val="baseline"/>
        </w:rPr>
        <w:t> </w:t>
      </w:r>
      <w:r>
        <w:rPr>
          <w:vertAlign w:val="baseline"/>
        </w:rPr>
        <w:t>not</w:t>
      </w:r>
      <w:r>
        <w:rPr>
          <w:spacing w:val="-3"/>
          <w:vertAlign w:val="baseline"/>
        </w:rPr>
        <w:t> </w:t>
      </w:r>
      <w:r>
        <w:rPr>
          <w:vertAlign w:val="baseline"/>
        </w:rPr>
        <w:t>enough</w:t>
      </w:r>
      <w:r>
        <w:rPr>
          <w:spacing w:val="-5"/>
          <w:vertAlign w:val="baseline"/>
        </w:rPr>
        <w:t> </w:t>
      </w:r>
      <w:r>
        <w:rPr>
          <w:vertAlign w:val="baseline"/>
        </w:rPr>
        <w:t>–</w:t>
      </w:r>
      <w:r>
        <w:rPr>
          <w:spacing w:val="-3"/>
          <w:vertAlign w:val="baseline"/>
        </w:rPr>
        <w:t> </w:t>
      </w:r>
      <w:r>
        <w:rPr>
          <w:vertAlign w:val="baseline"/>
        </w:rPr>
        <w:t>we</w:t>
      </w:r>
      <w:r>
        <w:rPr>
          <w:spacing w:val="-3"/>
          <w:vertAlign w:val="baseline"/>
        </w:rPr>
        <w:t> </w:t>
      </w:r>
      <w:r>
        <w:rPr>
          <w:vertAlign w:val="baseline"/>
        </w:rPr>
        <w:t>must</w:t>
      </w:r>
      <w:r>
        <w:rPr>
          <w:spacing w:val="-5"/>
          <w:vertAlign w:val="baseline"/>
        </w:rPr>
        <w:t> </w:t>
      </w:r>
      <w:r>
        <w:rPr>
          <w:vertAlign w:val="baseline"/>
        </w:rPr>
        <w:t>consider</w:t>
      </w:r>
      <w:r>
        <w:rPr>
          <w:spacing w:val="-3"/>
          <w:vertAlign w:val="baseline"/>
        </w:rPr>
        <w:t> </w:t>
      </w:r>
      <w:r>
        <w:rPr>
          <w:vertAlign w:val="baseline"/>
        </w:rPr>
        <w:t>the</w:t>
      </w:r>
      <w:r>
        <w:rPr>
          <w:spacing w:val="-4"/>
          <w:vertAlign w:val="baseline"/>
        </w:rPr>
        <w:t> </w:t>
      </w:r>
      <w:r>
        <w:rPr>
          <w:vertAlign w:val="baseline"/>
        </w:rPr>
        <w:t>unique</w:t>
      </w:r>
      <w:r>
        <w:rPr>
          <w:spacing w:val="-3"/>
          <w:vertAlign w:val="baseline"/>
        </w:rPr>
        <w:t> </w:t>
      </w:r>
      <w:r>
        <w:rPr>
          <w:vertAlign w:val="baseline"/>
        </w:rPr>
        <w:t>environmental</w:t>
      </w:r>
      <w:r>
        <w:rPr>
          <w:spacing w:val="-3"/>
          <w:vertAlign w:val="baseline"/>
        </w:rPr>
        <w:t> </w:t>
      </w:r>
      <w:r>
        <w:rPr>
          <w:vertAlign w:val="baseline"/>
        </w:rPr>
        <w:t>injustices</w:t>
      </w:r>
      <w:r>
        <w:rPr>
          <w:spacing w:val="-3"/>
          <w:vertAlign w:val="baseline"/>
        </w:rPr>
        <w:t> </w:t>
      </w:r>
      <w:r>
        <w:rPr>
          <w:vertAlign w:val="baseline"/>
        </w:rPr>
        <w:t>that LGBTQ, Indigenous, immigrant, and disabled communities experience, and, most crucially of all, the compounding</w:t>
      </w:r>
      <w:r>
        <w:rPr>
          <w:spacing w:val="-4"/>
          <w:vertAlign w:val="baseline"/>
        </w:rPr>
        <w:t> </w:t>
      </w:r>
      <w:r>
        <w:rPr>
          <w:vertAlign w:val="baseline"/>
        </w:rPr>
        <w:t>injustices</w:t>
      </w:r>
      <w:r>
        <w:rPr>
          <w:spacing w:val="-2"/>
          <w:vertAlign w:val="baseline"/>
        </w:rPr>
        <w:t> </w:t>
      </w:r>
      <w:r>
        <w:rPr>
          <w:vertAlign w:val="baseline"/>
        </w:rPr>
        <w:t>experienced</w:t>
      </w:r>
      <w:r>
        <w:rPr>
          <w:spacing w:val="-4"/>
          <w:vertAlign w:val="baseline"/>
        </w:rPr>
        <w:t> </w:t>
      </w:r>
      <w:r>
        <w:rPr>
          <w:vertAlign w:val="baseline"/>
        </w:rPr>
        <w:t>by</w:t>
      </w:r>
      <w:r>
        <w:rPr>
          <w:spacing w:val="-4"/>
          <w:vertAlign w:val="baseline"/>
        </w:rPr>
        <w:t> </w:t>
      </w:r>
      <w:r>
        <w:rPr>
          <w:vertAlign w:val="baseline"/>
        </w:rPr>
        <w:t>people</w:t>
      </w:r>
      <w:r>
        <w:rPr>
          <w:spacing w:val="-3"/>
          <w:vertAlign w:val="baseline"/>
        </w:rPr>
        <w:t> </w:t>
      </w:r>
      <w:r>
        <w:rPr>
          <w:vertAlign w:val="baseline"/>
        </w:rPr>
        <w:t>who</w:t>
      </w:r>
      <w:r>
        <w:rPr>
          <w:spacing w:val="-2"/>
          <w:vertAlign w:val="baseline"/>
        </w:rPr>
        <w:t> </w:t>
      </w:r>
      <w:r>
        <w:rPr>
          <w:vertAlign w:val="baseline"/>
        </w:rPr>
        <w:t>hold</w:t>
      </w:r>
      <w:r>
        <w:rPr>
          <w:spacing w:val="-3"/>
          <w:vertAlign w:val="baseline"/>
        </w:rPr>
        <w:t> </w:t>
      </w:r>
      <w:r>
        <w:rPr>
          <w:vertAlign w:val="baseline"/>
        </w:rPr>
        <w:t>multiple</w:t>
      </w:r>
      <w:r>
        <w:rPr>
          <w:spacing w:val="-4"/>
          <w:vertAlign w:val="baseline"/>
        </w:rPr>
        <w:t> </w:t>
      </w:r>
      <w:r>
        <w:rPr>
          <w:vertAlign w:val="baseline"/>
        </w:rPr>
        <w:t>oppressed</w:t>
      </w:r>
      <w:r>
        <w:rPr>
          <w:spacing w:val="-3"/>
          <w:vertAlign w:val="baseline"/>
        </w:rPr>
        <w:t> </w:t>
      </w:r>
      <w:r>
        <w:rPr>
          <w:vertAlign w:val="baseline"/>
        </w:rPr>
        <w:t>identities,</w:t>
      </w:r>
      <w:r>
        <w:rPr>
          <w:spacing w:val="-4"/>
          <w:vertAlign w:val="baseline"/>
        </w:rPr>
        <w:t> </w:t>
      </w:r>
      <w:r>
        <w:rPr>
          <w:vertAlign w:val="baseline"/>
        </w:rPr>
        <w:t>such</w:t>
      </w:r>
      <w:r>
        <w:rPr>
          <w:spacing w:val="-4"/>
          <w:vertAlign w:val="baseline"/>
        </w:rPr>
        <w:t> </w:t>
      </w:r>
      <w:r>
        <w:rPr>
          <w:vertAlign w:val="baseline"/>
        </w:rPr>
        <w:t>as</w:t>
      </w:r>
      <w:r>
        <w:rPr>
          <w:spacing w:val="-4"/>
          <w:vertAlign w:val="baseline"/>
        </w:rPr>
        <w:t> </w:t>
      </w:r>
      <w:r>
        <w:rPr>
          <w:vertAlign w:val="baseline"/>
        </w:rPr>
        <w:t>QTBIPOC </w:t>
      </w:r>
      <w:r>
        <w:rPr>
          <w:spacing w:val="-2"/>
          <w:vertAlign w:val="baseline"/>
        </w:rPr>
        <w:t>youth</w:t>
      </w:r>
      <w:hyperlink w:history="true" w:anchor="_bookmark545">
        <w:r>
          <w:rPr>
            <w:spacing w:val="-2"/>
            <w:vertAlign w:val="baseline"/>
          </w:rPr>
          <w:t>.</w:t>
        </w:r>
        <w:r>
          <w:rPr>
            <w:spacing w:val="-2"/>
            <w:vertAlign w:val="superscript"/>
          </w:rPr>
          <w:t>11</w:t>
        </w:r>
      </w:hyperlink>
    </w:p>
    <w:p>
      <w:pPr>
        <w:spacing w:before="240"/>
        <w:ind w:left="323" w:right="0" w:firstLine="0"/>
        <w:jc w:val="both"/>
        <w:rPr>
          <w:sz w:val="28"/>
        </w:rPr>
      </w:pPr>
      <w:bookmarkStart w:name="Cumulative Impacts and Social Determinan" w:id="813"/>
      <w:bookmarkEnd w:id="813"/>
      <w:r>
        <w:rPr/>
      </w:r>
      <w:bookmarkStart w:name="_bookmark545" w:id="814"/>
      <w:bookmarkEnd w:id="814"/>
      <w:r>
        <w:rPr/>
      </w:r>
      <w:r>
        <w:rPr>
          <w:color w:val="365F91"/>
          <w:sz w:val="28"/>
        </w:rPr>
        <w:t>Cumulative</w:t>
      </w:r>
      <w:r>
        <w:rPr>
          <w:color w:val="365F91"/>
          <w:spacing w:val="-11"/>
          <w:sz w:val="28"/>
        </w:rPr>
        <w:t> </w:t>
      </w:r>
      <w:r>
        <w:rPr>
          <w:color w:val="365F91"/>
          <w:sz w:val="28"/>
        </w:rPr>
        <w:t>Impacts</w:t>
      </w:r>
      <w:r>
        <w:rPr>
          <w:color w:val="365F91"/>
          <w:spacing w:val="-11"/>
          <w:sz w:val="28"/>
        </w:rPr>
        <w:t> </w:t>
      </w:r>
      <w:r>
        <w:rPr>
          <w:color w:val="365F91"/>
          <w:sz w:val="28"/>
        </w:rPr>
        <w:t>and</w:t>
      </w:r>
      <w:r>
        <w:rPr>
          <w:color w:val="365F91"/>
          <w:spacing w:val="-11"/>
          <w:sz w:val="28"/>
        </w:rPr>
        <w:t> </w:t>
      </w:r>
      <w:r>
        <w:rPr>
          <w:color w:val="365F91"/>
          <w:sz w:val="28"/>
        </w:rPr>
        <w:t>Social</w:t>
      </w:r>
      <w:r>
        <w:rPr>
          <w:color w:val="365F91"/>
          <w:spacing w:val="-12"/>
          <w:sz w:val="28"/>
        </w:rPr>
        <w:t> </w:t>
      </w:r>
      <w:r>
        <w:rPr>
          <w:color w:val="365F91"/>
          <w:sz w:val="28"/>
        </w:rPr>
        <w:t>Determinants</w:t>
      </w:r>
      <w:r>
        <w:rPr>
          <w:color w:val="365F91"/>
          <w:spacing w:val="-10"/>
          <w:sz w:val="28"/>
        </w:rPr>
        <w:t> </w:t>
      </w:r>
      <w:r>
        <w:rPr>
          <w:color w:val="365F91"/>
          <w:sz w:val="28"/>
        </w:rPr>
        <w:t>of</w:t>
      </w:r>
      <w:r>
        <w:rPr>
          <w:color w:val="365F91"/>
          <w:spacing w:val="-11"/>
          <w:sz w:val="28"/>
        </w:rPr>
        <w:t> </w:t>
      </w:r>
      <w:r>
        <w:rPr>
          <w:color w:val="365F91"/>
          <w:spacing w:val="-2"/>
          <w:sz w:val="28"/>
        </w:rPr>
        <w:t>Health</w:t>
      </w:r>
    </w:p>
    <w:p>
      <w:pPr>
        <w:pStyle w:val="BodyText"/>
        <w:spacing w:line="276" w:lineRule="auto" w:before="291"/>
        <w:ind w:left="323" w:right="140"/>
        <w:jc w:val="both"/>
      </w:pPr>
      <w:bookmarkStart w:name="_bookmark546" w:id="815"/>
      <w:bookmarkEnd w:id="815"/>
      <w:r>
        <w:rPr/>
      </w:r>
      <w:r>
        <w:rPr/>
        <w:t>Before</w:t>
      </w:r>
      <w:r>
        <w:rPr>
          <w:spacing w:val="-8"/>
        </w:rPr>
        <w:t> </w:t>
      </w:r>
      <w:r>
        <w:rPr/>
        <w:t>we</w:t>
      </w:r>
      <w:r>
        <w:rPr>
          <w:spacing w:val="-8"/>
        </w:rPr>
        <w:t> </w:t>
      </w:r>
      <w:r>
        <w:rPr/>
        <w:t>explore</w:t>
      </w:r>
      <w:r>
        <w:rPr>
          <w:spacing w:val="-8"/>
        </w:rPr>
        <w:t> </w:t>
      </w:r>
      <w:r>
        <w:rPr/>
        <w:t>research</w:t>
      </w:r>
      <w:r>
        <w:rPr>
          <w:spacing w:val="-8"/>
        </w:rPr>
        <w:t> </w:t>
      </w:r>
      <w:r>
        <w:rPr/>
        <w:t>on</w:t>
      </w:r>
      <w:r>
        <w:rPr>
          <w:spacing w:val="-8"/>
        </w:rPr>
        <w:t> </w:t>
      </w:r>
      <w:r>
        <w:rPr/>
        <w:t>environmental</w:t>
      </w:r>
      <w:r>
        <w:rPr>
          <w:spacing w:val="-8"/>
        </w:rPr>
        <w:t> </w:t>
      </w:r>
      <w:r>
        <w:rPr/>
        <w:t>inequities</w:t>
      </w:r>
      <w:r>
        <w:rPr>
          <w:spacing w:val="-8"/>
        </w:rPr>
        <w:t> </w:t>
      </w:r>
      <w:r>
        <w:rPr/>
        <w:t>impacting</w:t>
      </w:r>
      <w:r>
        <w:rPr>
          <w:spacing w:val="-8"/>
        </w:rPr>
        <w:t> </w:t>
      </w:r>
      <w:r>
        <w:rPr/>
        <w:t>LGBTQ</w:t>
      </w:r>
      <w:r>
        <w:rPr>
          <w:spacing w:val="-8"/>
        </w:rPr>
        <w:t> </w:t>
      </w:r>
      <w:r>
        <w:rPr/>
        <w:t>youth,</w:t>
      </w:r>
      <w:r>
        <w:rPr>
          <w:spacing w:val="-8"/>
        </w:rPr>
        <w:t> </w:t>
      </w:r>
      <w:r>
        <w:rPr/>
        <w:t>let’s</w:t>
      </w:r>
      <w:r>
        <w:rPr>
          <w:spacing w:val="-8"/>
        </w:rPr>
        <w:t> </w:t>
      </w:r>
      <w:r>
        <w:rPr/>
        <w:t>first</w:t>
      </w:r>
      <w:r>
        <w:rPr>
          <w:spacing w:val="-8"/>
        </w:rPr>
        <w:t> </w:t>
      </w:r>
      <w:r>
        <w:rPr/>
        <w:t>consider</w:t>
      </w:r>
      <w:r>
        <w:rPr>
          <w:spacing w:val="-8"/>
        </w:rPr>
        <w:t> </w:t>
      </w:r>
      <w:r>
        <w:rPr/>
        <w:t>a</w:t>
      </w:r>
      <w:r>
        <w:rPr>
          <w:spacing w:val="-8"/>
        </w:rPr>
        <w:t> </w:t>
      </w:r>
      <w:r>
        <w:rPr/>
        <w:t>few frameworks from public health that may help us better understand the relationship between exposures to toxic chemicals in the environment and negative health impacts, particularly for communities facing multiple stressors such as LGBTQ youth. The relationship between exposure to pollution and the long- term impacts of that exposure on your health is rarely straightforward. First, there is often a time lag between the exposure and the development of a disease which makes it difficult to link the two. Furthermore, the long-term health conditions that are caused by toxic chemicals and environmental hazards</w:t>
      </w:r>
      <w:r>
        <w:rPr>
          <w:spacing w:val="-6"/>
        </w:rPr>
        <w:t> </w:t>
      </w:r>
      <w:r>
        <w:rPr/>
        <w:t>are</w:t>
      </w:r>
      <w:r>
        <w:rPr>
          <w:spacing w:val="-7"/>
        </w:rPr>
        <w:t> </w:t>
      </w:r>
      <w:r>
        <w:rPr/>
        <w:t>often</w:t>
      </w:r>
      <w:r>
        <w:rPr>
          <w:spacing w:val="-6"/>
        </w:rPr>
        <w:t> </w:t>
      </w:r>
      <w:r>
        <w:rPr/>
        <w:t>complex</w:t>
      </w:r>
      <w:r>
        <w:rPr>
          <w:spacing w:val="-6"/>
        </w:rPr>
        <w:t> </w:t>
      </w:r>
      <w:r>
        <w:rPr/>
        <w:t>and</w:t>
      </w:r>
      <w:r>
        <w:rPr>
          <w:spacing w:val="-7"/>
        </w:rPr>
        <w:t> </w:t>
      </w:r>
      <w:r>
        <w:rPr/>
        <w:t>influenced</w:t>
      </w:r>
      <w:r>
        <w:rPr>
          <w:spacing w:val="-7"/>
        </w:rPr>
        <w:t> </w:t>
      </w:r>
      <w:r>
        <w:rPr/>
        <w:t>by</w:t>
      </w:r>
      <w:r>
        <w:rPr>
          <w:spacing w:val="-5"/>
        </w:rPr>
        <w:t> </w:t>
      </w:r>
      <w:r>
        <w:rPr/>
        <w:t>many</w:t>
      </w:r>
      <w:r>
        <w:rPr>
          <w:spacing w:val="-6"/>
        </w:rPr>
        <w:t> </w:t>
      </w:r>
      <w:r>
        <w:rPr/>
        <w:t>genetic</w:t>
      </w:r>
      <w:r>
        <w:rPr>
          <w:spacing w:val="-7"/>
        </w:rPr>
        <w:t> </w:t>
      </w:r>
      <w:r>
        <w:rPr/>
        <w:t>and</w:t>
      </w:r>
      <w:r>
        <w:rPr>
          <w:spacing w:val="-5"/>
        </w:rPr>
        <w:t> </w:t>
      </w:r>
      <w:r>
        <w:rPr/>
        <w:t>environmental</w:t>
      </w:r>
      <w:r>
        <w:rPr>
          <w:spacing w:val="-5"/>
        </w:rPr>
        <w:t> </w:t>
      </w:r>
      <w:r>
        <w:rPr/>
        <w:t>risk</w:t>
      </w:r>
      <w:r>
        <w:rPr>
          <w:spacing w:val="-7"/>
        </w:rPr>
        <w:t> </w:t>
      </w:r>
      <w:r>
        <w:rPr/>
        <w:t>factors,</w:t>
      </w:r>
      <w:r>
        <w:rPr>
          <w:spacing w:val="-6"/>
        </w:rPr>
        <w:t> </w:t>
      </w:r>
      <w:r>
        <w:rPr/>
        <w:t>making</w:t>
      </w:r>
      <w:r>
        <w:rPr>
          <w:spacing w:val="-7"/>
        </w:rPr>
        <w:t> </w:t>
      </w:r>
      <w:r>
        <w:rPr/>
        <w:t>it</w:t>
      </w:r>
      <w:r>
        <w:rPr>
          <w:spacing w:val="-7"/>
        </w:rPr>
        <w:t> </w:t>
      </w:r>
      <w:r>
        <w:rPr/>
        <w:t>very difficult to prove that a specific exposure was the cause of a condition such as cancer or heart disease.</w:t>
      </w:r>
    </w:p>
    <w:p>
      <w:pPr>
        <w:pStyle w:val="BodyText"/>
        <w:spacing w:line="276" w:lineRule="auto" w:before="241"/>
        <w:ind w:left="323" w:right="143"/>
        <w:jc w:val="both"/>
      </w:pPr>
      <w:bookmarkStart w:name="_bookmark547" w:id="816"/>
      <w:bookmarkEnd w:id="816"/>
      <w:r>
        <w:rPr/>
      </w:r>
      <w:r>
        <w:rPr/>
        <w:t>To</w:t>
      </w:r>
      <w:r>
        <w:rPr>
          <w:spacing w:val="-8"/>
        </w:rPr>
        <w:t> </w:t>
      </w:r>
      <w:r>
        <w:rPr/>
        <w:t>make</w:t>
      </w:r>
      <w:r>
        <w:rPr>
          <w:spacing w:val="-8"/>
        </w:rPr>
        <w:t> </w:t>
      </w:r>
      <w:r>
        <w:rPr/>
        <w:t>matters</w:t>
      </w:r>
      <w:r>
        <w:rPr>
          <w:spacing w:val="-8"/>
        </w:rPr>
        <w:t> </w:t>
      </w:r>
      <w:r>
        <w:rPr/>
        <w:t>even</w:t>
      </w:r>
      <w:r>
        <w:rPr>
          <w:spacing w:val="-8"/>
        </w:rPr>
        <w:t> </w:t>
      </w:r>
      <w:r>
        <w:rPr/>
        <w:t>more</w:t>
      </w:r>
      <w:r>
        <w:rPr>
          <w:spacing w:val="-8"/>
        </w:rPr>
        <w:t> </w:t>
      </w:r>
      <w:r>
        <w:rPr/>
        <w:t>complicated,</w:t>
      </w:r>
      <w:r>
        <w:rPr>
          <w:spacing w:val="-8"/>
        </w:rPr>
        <w:t> </w:t>
      </w:r>
      <w:r>
        <w:rPr/>
        <w:t>most</w:t>
      </w:r>
      <w:r>
        <w:rPr>
          <w:spacing w:val="-8"/>
        </w:rPr>
        <w:t> </w:t>
      </w:r>
      <w:r>
        <w:rPr/>
        <w:t>people</w:t>
      </w:r>
      <w:r>
        <w:rPr>
          <w:spacing w:val="-8"/>
        </w:rPr>
        <w:t> </w:t>
      </w:r>
      <w:r>
        <w:rPr/>
        <w:t>are</w:t>
      </w:r>
      <w:r>
        <w:rPr>
          <w:spacing w:val="-8"/>
        </w:rPr>
        <w:t> </w:t>
      </w:r>
      <w:r>
        <w:rPr/>
        <w:t>exposed</w:t>
      </w:r>
      <w:r>
        <w:rPr>
          <w:spacing w:val="-8"/>
        </w:rPr>
        <w:t> </w:t>
      </w:r>
      <w:r>
        <w:rPr/>
        <w:t>to</w:t>
      </w:r>
      <w:r>
        <w:rPr>
          <w:spacing w:val="-7"/>
        </w:rPr>
        <w:t> </w:t>
      </w:r>
      <w:r>
        <w:rPr/>
        <w:t>many</w:t>
      </w:r>
      <w:r>
        <w:rPr>
          <w:spacing w:val="-7"/>
        </w:rPr>
        <w:t> </w:t>
      </w:r>
      <w:r>
        <w:rPr/>
        <w:t>chemicals</w:t>
      </w:r>
      <w:r>
        <w:rPr>
          <w:spacing w:val="-8"/>
        </w:rPr>
        <w:t> </w:t>
      </w:r>
      <w:r>
        <w:rPr/>
        <w:t>over</w:t>
      </w:r>
      <w:r>
        <w:rPr>
          <w:spacing w:val="-7"/>
        </w:rPr>
        <w:t> </w:t>
      </w:r>
      <w:r>
        <w:rPr/>
        <w:t>the</w:t>
      </w:r>
      <w:r>
        <w:rPr>
          <w:spacing w:val="-8"/>
        </w:rPr>
        <w:t> </w:t>
      </w:r>
      <w:r>
        <w:rPr/>
        <w:t>course</w:t>
      </w:r>
      <w:r>
        <w:rPr>
          <w:spacing w:val="-8"/>
        </w:rPr>
        <w:t> </w:t>
      </w:r>
      <w:r>
        <w:rPr/>
        <w:t>of their lifetime, and health conditions might not be caused by one specific exposure, but they may rather be</w:t>
      </w:r>
      <w:r>
        <w:rPr>
          <w:spacing w:val="-10"/>
        </w:rPr>
        <w:t> </w:t>
      </w:r>
      <w:r>
        <w:rPr/>
        <w:t>a</w:t>
      </w:r>
      <w:r>
        <w:rPr>
          <w:spacing w:val="-10"/>
        </w:rPr>
        <w:t> </w:t>
      </w:r>
      <w:r>
        <w:rPr/>
        <w:t>result</w:t>
      </w:r>
      <w:r>
        <w:rPr>
          <w:spacing w:val="-9"/>
        </w:rPr>
        <w:t> </w:t>
      </w:r>
      <w:r>
        <w:rPr/>
        <w:t>of</w:t>
      </w:r>
      <w:r>
        <w:rPr>
          <w:spacing w:val="-10"/>
        </w:rPr>
        <w:t> </w:t>
      </w:r>
      <w:r>
        <w:rPr/>
        <w:t>the</w:t>
      </w:r>
      <w:r>
        <w:rPr>
          <w:spacing w:val="-9"/>
        </w:rPr>
        <w:t> </w:t>
      </w:r>
      <w:r>
        <w:rPr/>
        <w:t>cumulative</w:t>
      </w:r>
      <w:r>
        <w:rPr>
          <w:spacing w:val="-10"/>
        </w:rPr>
        <w:t> </w:t>
      </w:r>
      <w:r>
        <w:rPr/>
        <w:t>impact</w:t>
      </w:r>
      <w:r>
        <w:rPr>
          <w:spacing w:val="-11"/>
        </w:rPr>
        <w:t> </w:t>
      </w:r>
      <w:r>
        <w:rPr/>
        <w:t>of</w:t>
      </w:r>
      <w:r>
        <w:rPr>
          <w:spacing w:val="-10"/>
        </w:rPr>
        <w:t> </w:t>
      </w:r>
      <w:r>
        <w:rPr/>
        <w:t>all</w:t>
      </w:r>
      <w:r>
        <w:rPr>
          <w:spacing w:val="-11"/>
        </w:rPr>
        <w:t> </w:t>
      </w:r>
      <w:r>
        <w:rPr/>
        <w:t>these</w:t>
      </w:r>
      <w:r>
        <w:rPr>
          <w:spacing w:val="-9"/>
        </w:rPr>
        <w:t> </w:t>
      </w:r>
      <w:r>
        <w:rPr/>
        <w:t>exposures</w:t>
      </w:r>
      <w:r>
        <w:rPr>
          <w:spacing w:val="-10"/>
        </w:rPr>
        <w:t> </w:t>
      </w:r>
      <w:r>
        <w:rPr/>
        <w:t>added</w:t>
      </w:r>
      <w:r>
        <w:rPr>
          <w:spacing w:val="-9"/>
        </w:rPr>
        <w:t> </w:t>
      </w:r>
      <w:r>
        <w:rPr/>
        <w:t>together</w:t>
      </w:r>
      <w:r>
        <w:rPr>
          <w:spacing w:val="-9"/>
        </w:rPr>
        <w:t> </w:t>
      </w:r>
      <w:r>
        <w:rPr/>
        <w:t>over</w:t>
      </w:r>
      <w:r>
        <w:rPr>
          <w:spacing w:val="-10"/>
        </w:rPr>
        <w:t> </w:t>
      </w:r>
      <w:r>
        <w:rPr/>
        <w:t>time.</w:t>
      </w:r>
      <w:r>
        <w:rPr>
          <w:spacing w:val="-11"/>
        </w:rPr>
        <w:t> </w:t>
      </w:r>
      <w:r>
        <w:rPr/>
        <w:t>There</w:t>
      </w:r>
      <w:r>
        <w:rPr>
          <w:spacing w:val="-10"/>
        </w:rPr>
        <w:t> </w:t>
      </w:r>
      <w:r>
        <w:rPr/>
        <w:t>are</w:t>
      </w:r>
      <w:r>
        <w:rPr>
          <w:spacing w:val="-10"/>
        </w:rPr>
        <w:t> </w:t>
      </w:r>
      <w:r>
        <w:rPr/>
        <w:t>also</w:t>
      </w:r>
      <w:r>
        <w:rPr>
          <w:spacing w:val="-10"/>
        </w:rPr>
        <w:t> </w:t>
      </w:r>
      <w:r>
        <w:rPr/>
        <w:t>many socioeconomic factors that play important mediating roles in determining the level of risk posed by exposure. For example, someone with stable access to food, housing, health care, and employment will likely be more resilient in the face of exposure than someone who faces barriers to accessing these resources.</w:t>
      </w:r>
      <w:r>
        <w:rPr>
          <w:spacing w:val="-9"/>
        </w:rPr>
        <w:t> </w:t>
      </w:r>
      <w:r>
        <w:rPr/>
        <w:t>So,</w:t>
      </w:r>
      <w:r>
        <w:rPr>
          <w:spacing w:val="-9"/>
        </w:rPr>
        <w:t> </w:t>
      </w:r>
      <w:r>
        <w:rPr/>
        <w:t>considering</w:t>
      </w:r>
      <w:r>
        <w:rPr>
          <w:spacing w:val="-8"/>
        </w:rPr>
        <w:t> </w:t>
      </w:r>
      <w:r>
        <w:rPr/>
        <w:t>these</w:t>
      </w:r>
      <w:r>
        <w:rPr>
          <w:spacing w:val="-8"/>
        </w:rPr>
        <w:t> </w:t>
      </w:r>
      <w:r>
        <w:rPr/>
        <w:t>complexities,</w:t>
      </w:r>
      <w:r>
        <w:rPr>
          <w:spacing w:val="-7"/>
        </w:rPr>
        <w:t> </w:t>
      </w:r>
      <w:r>
        <w:rPr/>
        <w:t>how</w:t>
      </w:r>
      <w:r>
        <w:rPr>
          <w:spacing w:val="-9"/>
        </w:rPr>
        <w:t> </w:t>
      </w:r>
      <w:r>
        <w:rPr/>
        <w:t>can</w:t>
      </w:r>
      <w:r>
        <w:rPr>
          <w:spacing w:val="-9"/>
        </w:rPr>
        <w:t> </w:t>
      </w:r>
      <w:r>
        <w:rPr/>
        <w:t>we</w:t>
      </w:r>
      <w:r>
        <w:rPr>
          <w:spacing w:val="-8"/>
        </w:rPr>
        <w:t> </w:t>
      </w:r>
      <w:r>
        <w:rPr/>
        <w:t>make</w:t>
      </w:r>
      <w:r>
        <w:rPr>
          <w:spacing w:val="-9"/>
        </w:rPr>
        <w:t> </w:t>
      </w:r>
      <w:r>
        <w:rPr/>
        <w:t>sense</w:t>
      </w:r>
      <w:r>
        <w:rPr>
          <w:spacing w:val="-9"/>
        </w:rPr>
        <w:t> </w:t>
      </w:r>
      <w:r>
        <w:rPr/>
        <w:t>of</w:t>
      </w:r>
      <w:r>
        <w:rPr>
          <w:spacing w:val="-8"/>
        </w:rPr>
        <w:t> </w:t>
      </w:r>
      <w:r>
        <w:rPr/>
        <w:t>the</w:t>
      </w:r>
      <w:r>
        <w:rPr>
          <w:spacing w:val="-8"/>
        </w:rPr>
        <w:t> </w:t>
      </w:r>
      <w:r>
        <w:rPr/>
        <w:t>impacts</w:t>
      </w:r>
      <w:r>
        <w:rPr>
          <w:spacing w:val="-8"/>
        </w:rPr>
        <w:t> </w:t>
      </w:r>
      <w:r>
        <w:rPr/>
        <w:t>of</w:t>
      </w:r>
      <w:r>
        <w:rPr>
          <w:spacing w:val="-8"/>
        </w:rPr>
        <w:t> </w:t>
      </w:r>
      <w:r>
        <w:rPr/>
        <w:t>the</w:t>
      </w:r>
      <w:r>
        <w:rPr>
          <w:spacing w:val="-9"/>
        </w:rPr>
        <w:t> </w:t>
      </w:r>
      <w:r>
        <w:rPr/>
        <w:t>environment on communities facing environmental injustice?</w:t>
      </w:r>
    </w:p>
    <w:p>
      <w:pPr>
        <w:spacing w:after="0" w:line="276" w:lineRule="auto"/>
        <w:jc w:val="both"/>
        <w:sectPr>
          <w:pgSz w:w="12240" w:h="15840"/>
          <w:pgMar w:header="800" w:footer="1459" w:top="1300" w:bottom="1700" w:left="1120" w:right="1300"/>
        </w:sectPr>
      </w:pPr>
    </w:p>
    <w:p>
      <w:pPr>
        <w:pStyle w:val="BodyText"/>
        <w:spacing w:line="276" w:lineRule="auto" w:before="67"/>
        <w:ind w:left="323" w:right="139"/>
        <w:jc w:val="both"/>
      </w:pPr>
      <w:bookmarkStart w:name="_bookmark548" w:id="817"/>
      <w:bookmarkEnd w:id="817"/>
      <w:r>
        <w:rPr/>
      </w:r>
      <w:r>
        <w:rPr/>
        <w:t>Cumulative Impacts and Social Determinants of Health are two frameworks from environmental and public</w:t>
      </w:r>
      <w:r>
        <w:rPr>
          <w:spacing w:val="-13"/>
        </w:rPr>
        <w:t> </w:t>
      </w:r>
      <w:r>
        <w:rPr/>
        <w:t>health</w:t>
      </w:r>
      <w:r>
        <w:rPr>
          <w:spacing w:val="-10"/>
        </w:rPr>
        <w:t> </w:t>
      </w:r>
      <w:r>
        <w:rPr/>
        <w:t>that</w:t>
      </w:r>
      <w:r>
        <w:rPr>
          <w:spacing w:val="-13"/>
        </w:rPr>
        <w:t> </w:t>
      </w:r>
      <w:r>
        <w:rPr/>
        <w:t>can</w:t>
      </w:r>
      <w:r>
        <w:rPr>
          <w:spacing w:val="-12"/>
        </w:rPr>
        <w:t> </w:t>
      </w:r>
      <w:r>
        <w:rPr/>
        <w:t>help</w:t>
      </w:r>
      <w:r>
        <w:rPr>
          <w:spacing w:val="-11"/>
        </w:rPr>
        <w:t> </w:t>
      </w:r>
      <w:r>
        <w:rPr/>
        <w:t>us</w:t>
      </w:r>
      <w:r>
        <w:rPr>
          <w:spacing w:val="-12"/>
        </w:rPr>
        <w:t> </w:t>
      </w:r>
      <w:r>
        <w:rPr/>
        <w:t>understand</w:t>
      </w:r>
      <w:r>
        <w:rPr>
          <w:spacing w:val="-13"/>
        </w:rPr>
        <w:t> </w:t>
      </w:r>
      <w:r>
        <w:rPr/>
        <w:t>the</w:t>
      </w:r>
      <w:r>
        <w:rPr>
          <w:spacing w:val="-12"/>
        </w:rPr>
        <w:t> </w:t>
      </w:r>
      <w:r>
        <w:rPr/>
        <w:t>relationship</w:t>
      </w:r>
      <w:r>
        <w:rPr>
          <w:spacing w:val="-12"/>
        </w:rPr>
        <w:t> </w:t>
      </w:r>
      <w:r>
        <w:rPr/>
        <w:t>between</w:t>
      </w:r>
      <w:r>
        <w:rPr>
          <w:spacing w:val="-11"/>
        </w:rPr>
        <w:t> </w:t>
      </w:r>
      <w:r>
        <w:rPr/>
        <w:t>exposure</w:t>
      </w:r>
      <w:r>
        <w:rPr>
          <w:spacing w:val="-13"/>
        </w:rPr>
        <w:t> </w:t>
      </w:r>
      <w:r>
        <w:rPr/>
        <w:t>to</w:t>
      </w:r>
      <w:r>
        <w:rPr>
          <w:spacing w:val="-10"/>
        </w:rPr>
        <w:t> </w:t>
      </w:r>
      <w:r>
        <w:rPr/>
        <w:t>pollution</w:t>
      </w:r>
      <w:r>
        <w:rPr>
          <w:spacing w:val="-13"/>
        </w:rPr>
        <w:t> </w:t>
      </w:r>
      <w:r>
        <w:rPr/>
        <w:t>and</w:t>
      </w:r>
      <w:r>
        <w:rPr>
          <w:spacing w:val="-10"/>
        </w:rPr>
        <w:t> </w:t>
      </w:r>
      <w:r>
        <w:rPr/>
        <w:t>detrimental long-term health outcomes. The Cumulative Impacts model of environmental health highlights the fact that,</w:t>
      </w:r>
      <w:r>
        <w:rPr>
          <w:spacing w:val="-1"/>
        </w:rPr>
        <w:t> </w:t>
      </w:r>
      <w:r>
        <w:rPr/>
        <w:t>in</w:t>
      </w:r>
      <w:r>
        <w:rPr>
          <w:spacing w:val="-1"/>
        </w:rPr>
        <w:t> </w:t>
      </w:r>
      <w:r>
        <w:rPr/>
        <w:t>the</w:t>
      </w:r>
      <w:r>
        <w:rPr>
          <w:spacing w:val="-2"/>
        </w:rPr>
        <w:t> </w:t>
      </w:r>
      <w:r>
        <w:rPr/>
        <w:t>real</w:t>
      </w:r>
      <w:r>
        <w:rPr>
          <w:spacing w:val="-2"/>
        </w:rPr>
        <w:t> </w:t>
      </w:r>
      <w:r>
        <w:rPr/>
        <w:t>world,</w:t>
      </w:r>
      <w:r>
        <w:rPr>
          <w:spacing w:val="-2"/>
        </w:rPr>
        <w:t> </w:t>
      </w:r>
      <w:r>
        <w:rPr/>
        <w:t>people</w:t>
      </w:r>
      <w:r>
        <w:rPr>
          <w:spacing w:val="-2"/>
        </w:rPr>
        <w:t> </w:t>
      </w:r>
      <w:r>
        <w:rPr/>
        <w:t>are</w:t>
      </w:r>
      <w:r>
        <w:rPr>
          <w:spacing w:val="-2"/>
        </w:rPr>
        <w:t> </w:t>
      </w:r>
      <w:r>
        <w:rPr/>
        <w:t>rarely</w:t>
      </w:r>
      <w:r>
        <w:rPr>
          <w:spacing w:val="-1"/>
        </w:rPr>
        <w:t> </w:t>
      </w:r>
      <w:r>
        <w:rPr/>
        <w:t>exposed</w:t>
      </w:r>
      <w:r>
        <w:rPr>
          <w:spacing w:val="-2"/>
        </w:rPr>
        <w:t> </w:t>
      </w:r>
      <w:r>
        <w:rPr/>
        <w:t>to</w:t>
      </w:r>
      <w:r>
        <w:rPr>
          <w:spacing w:val="-1"/>
        </w:rPr>
        <w:t> </w:t>
      </w:r>
      <w:r>
        <w:rPr/>
        <w:t>a single</w:t>
      </w:r>
      <w:r>
        <w:rPr>
          <w:spacing w:val="-2"/>
        </w:rPr>
        <w:t> </w:t>
      </w:r>
      <w:r>
        <w:rPr/>
        <w:t>pollutant</w:t>
      </w:r>
      <w:r>
        <w:rPr>
          <w:spacing w:val="-2"/>
        </w:rPr>
        <w:t> </w:t>
      </w:r>
      <w:r>
        <w:rPr/>
        <w:t>at</w:t>
      </w:r>
      <w:r>
        <w:rPr>
          <w:spacing w:val="-2"/>
        </w:rPr>
        <w:t> </w:t>
      </w:r>
      <w:r>
        <w:rPr/>
        <w:t>a</w:t>
      </w:r>
      <w:r>
        <w:rPr>
          <w:spacing w:val="-1"/>
        </w:rPr>
        <w:t> </w:t>
      </w:r>
      <w:r>
        <w:rPr/>
        <w:t>high</w:t>
      </w:r>
      <w:r>
        <w:rPr>
          <w:spacing w:val="-1"/>
        </w:rPr>
        <w:t> </w:t>
      </w:r>
      <w:r>
        <w:rPr/>
        <w:t>concentration,</w:t>
      </w:r>
      <w:r>
        <w:rPr>
          <w:spacing w:val="-2"/>
        </w:rPr>
        <w:t> </w:t>
      </w:r>
      <w:r>
        <w:rPr/>
        <w:t>but</w:t>
      </w:r>
      <w:r>
        <w:rPr>
          <w:spacing w:val="-2"/>
        </w:rPr>
        <w:t> </w:t>
      </w:r>
      <w:r>
        <w:rPr/>
        <w:t>rather accumulate multiple burdens of chemical exposures and non-chemical co-stressors from many different exposures over their lifespan. Non-chemical co-stressors refer to factors that can worsen the health impacts of exposure to pollution, such as access to health care, housing, and economic stability. The Cumulative Impacts approach reflects growing recognition that the health impacts of exposure to pollution must be examined in the context of socioeconomic status, preexisting health conditions, and other</w:t>
      </w:r>
      <w:r>
        <w:rPr>
          <w:spacing w:val="-8"/>
        </w:rPr>
        <w:t> </w:t>
      </w:r>
      <w:r>
        <w:rPr/>
        <w:t>environmental</w:t>
      </w:r>
      <w:r>
        <w:rPr>
          <w:spacing w:val="-8"/>
        </w:rPr>
        <w:t> </w:t>
      </w:r>
      <w:r>
        <w:rPr/>
        <w:t>stressors</w:t>
      </w:r>
      <w:r>
        <w:rPr>
          <w:spacing w:val="-7"/>
        </w:rPr>
        <w:t> </w:t>
      </w:r>
      <w:r>
        <w:rPr/>
        <w:t>such</w:t>
      </w:r>
      <w:r>
        <w:rPr>
          <w:spacing w:val="-8"/>
        </w:rPr>
        <w:t> </w:t>
      </w:r>
      <w:r>
        <w:rPr/>
        <w:t>as</w:t>
      </w:r>
      <w:r>
        <w:rPr>
          <w:spacing w:val="-7"/>
        </w:rPr>
        <w:t> </w:t>
      </w:r>
      <w:r>
        <w:rPr/>
        <w:t>extreme</w:t>
      </w:r>
      <w:r>
        <w:rPr>
          <w:spacing w:val="-7"/>
        </w:rPr>
        <w:t> </w:t>
      </w:r>
      <w:r>
        <w:rPr/>
        <w:t>temperatures</w:t>
      </w:r>
      <w:r>
        <w:rPr>
          <w:spacing w:val="-7"/>
        </w:rPr>
        <w:t> </w:t>
      </w:r>
      <w:r>
        <w:rPr/>
        <w:t>and</w:t>
      </w:r>
      <w:r>
        <w:rPr>
          <w:spacing w:val="-8"/>
        </w:rPr>
        <w:t> </w:t>
      </w:r>
      <w:r>
        <w:rPr/>
        <w:t>lack</w:t>
      </w:r>
      <w:r>
        <w:rPr>
          <w:spacing w:val="-8"/>
        </w:rPr>
        <w:t> </w:t>
      </w:r>
      <w:r>
        <w:rPr/>
        <w:t>of</w:t>
      </w:r>
      <w:r>
        <w:rPr>
          <w:spacing w:val="-8"/>
        </w:rPr>
        <w:t> </w:t>
      </w:r>
      <w:r>
        <w:rPr/>
        <w:t>access</w:t>
      </w:r>
      <w:r>
        <w:rPr>
          <w:spacing w:val="-7"/>
        </w:rPr>
        <w:t> </w:t>
      </w:r>
      <w:r>
        <w:rPr/>
        <w:t>to</w:t>
      </w:r>
      <w:r>
        <w:rPr>
          <w:spacing w:val="-7"/>
        </w:rPr>
        <w:t> </w:t>
      </w:r>
      <w:r>
        <w:rPr/>
        <w:t>green</w:t>
      </w:r>
      <w:r>
        <w:rPr>
          <w:spacing w:val="-8"/>
        </w:rPr>
        <w:t> </w:t>
      </w:r>
      <w:r>
        <w:rPr/>
        <w:t>space</w:t>
      </w:r>
      <w:r>
        <w:rPr>
          <w:spacing w:val="-8"/>
        </w:rPr>
        <w:t> </w:t>
      </w:r>
      <w:r>
        <w:rPr/>
        <w:t>which</w:t>
      </w:r>
      <w:r>
        <w:rPr>
          <w:spacing w:val="-8"/>
        </w:rPr>
        <w:t> </w:t>
      </w:r>
      <w:r>
        <w:rPr/>
        <w:t>can exacerbate the effects of exposure. </w:t>
      </w:r>
      <w:hyperlink w:history="true" w:anchor="_bookmark546">
        <w:r>
          <w:rPr>
            <w:vertAlign w:val="superscript"/>
          </w:rPr>
          <w:t>12</w:t>
        </w:r>
      </w:hyperlink>
      <w:r>
        <w:rPr>
          <w:vertAlign w:val="baseline"/>
        </w:rPr>
        <w:t> Communities experiencing a disproportionate burden of environmental health risks, often due to multiple environmental and socioeconomic stressors which act cumulatively to create persistent environmental health disparities, are sometimes referred to as “overburdened communities.”</w:t>
      </w:r>
      <w:hyperlink w:history="true" w:anchor="_bookmark546">
        <w:r>
          <w:rPr>
            <w:vertAlign w:val="superscript"/>
          </w:rPr>
          <w:t>13</w:t>
        </w:r>
      </w:hyperlink>
    </w:p>
    <w:p>
      <w:pPr>
        <w:pStyle w:val="BodyText"/>
        <w:spacing w:line="276" w:lineRule="auto" w:before="240"/>
        <w:ind w:left="323" w:right="141"/>
        <w:jc w:val="both"/>
      </w:pPr>
      <w:bookmarkStart w:name="_bookmark549" w:id="818"/>
      <w:bookmarkEnd w:id="818"/>
      <w:r>
        <w:rPr/>
      </w:r>
      <w:r>
        <w:rPr/>
        <w:t>Social</w:t>
      </w:r>
      <w:r>
        <w:rPr>
          <w:spacing w:val="-8"/>
        </w:rPr>
        <w:t> </w:t>
      </w:r>
      <w:r>
        <w:rPr/>
        <w:t>Determinants</w:t>
      </w:r>
      <w:r>
        <w:rPr>
          <w:spacing w:val="-6"/>
        </w:rPr>
        <w:t> </w:t>
      </w:r>
      <w:r>
        <w:rPr/>
        <w:t>of</w:t>
      </w:r>
      <w:r>
        <w:rPr>
          <w:spacing w:val="-7"/>
        </w:rPr>
        <w:t> </w:t>
      </w:r>
      <w:r>
        <w:rPr/>
        <w:t>Health</w:t>
      </w:r>
      <w:r>
        <w:rPr>
          <w:spacing w:val="-7"/>
        </w:rPr>
        <w:t> </w:t>
      </w:r>
      <w:r>
        <w:rPr/>
        <w:t>is</w:t>
      </w:r>
      <w:r>
        <w:rPr>
          <w:spacing w:val="-7"/>
        </w:rPr>
        <w:t> </w:t>
      </w:r>
      <w:r>
        <w:rPr/>
        <w:t>another</w:t>
      </w:r>
      <w:r>
        <w:rPr>
          <w:spacing w:val="-7"/>
        </w:rPr>
        <w:t> </w:t>
      </w:r>
      <w:r>
        <w:rPr/>
        <w:t>framework</w:t>
      </w:r>
      <w:r>
        <w:rPr>
          <w:spacing w:val="-7"/>
        </w:rPr>
        <w:t> </w:t>
      </w:r>
      <w:r>
        <w:rPr/>
        <w:t>that</w:t>
      </w:r>
      <w:r>
        <w:rPr>
          <w:spacing w:val="-7"/>
        </w:rPr>
        <w:t> </w:t>
      </w:r>
      <w:r>
        <w:rPr/>
        <w:t>describes</w:t>
      </w:r>
      <w:r>
        <w:rPr>
          <w:spacing w:val="-7"/>
        </w:rPr>
        <w:t> </w:t>
      </w:r>
      <w:r>
        <w:rPr/>
        <w:t>how</w:t>
      </w:r>
      <w:r>
        <w:rPr>
          <w:spacing w:val="-7"/>
        </w:rPr>
        <w:t> </w:t>
      </w:r>
      <w:r>
        <w:rPr/>
        <w:t>inequitable</w:t>
      </w:r>
      <w:r>
        <w:rPr>
          <w:spacing w:val="-8"/>
        </w:rPr>
        <w:t> </w:t>
      </w:r>
      <w:r>
        <w:rPr/>
        <w:t>social</w:t>
      </w:r>
      <w:r>
        <w:rPr>
          <w:spacing w:val="-6"/>
        </w:rPr>
        <w:t> </w:t>
      </w:r>
      <w:r>
        <w:rPr/>
        <w:t>systems</w:t>
      </w:r>
      <w:r>
        <w:rPr>
          <w:spacing w:val="-6"/>
        </w:rPr>
        <w:t> </w:t>
      </w:r>
      <w:r>
        <w:rPr/>
        <w:t>create conditions for health inequalities among marginalized populations</w:t>
      </w:r>
      <w:hyperlink w:history="true" w:anchor="_bookmark546">
        <w:r>
          <w:rPr/>
          <w:t>.</w:t>
        </w:r>
        <w:r>
          <w:rPr>
            <w:vertAlign w:val="superscript"/>
          </w:rPr>
          <w:t>14</w:t>
        </w:r>
      </w:hyperlink>
      <w:r>
        <w:rPr>
          <w:vertAlign w:val="baseline"/>
        </w:rPr>
        <w:t> Due to their marginalized status, residents of environmental justice communities may both bear a disproportionate burden of environmental health risk, and face additional barriers and burdens that contribute to worse health outcomes after exposure. </w:t>
      </w:r>
      <w:hyperlink w:history="true" w:anchor="_bookmark546">
        <w:r>
          <w:rPr>
            <w:vertAlign w:val="superscript"/>
          </w:rPr>
          <w:t>15</w:t>
        </w:r>
      </w:hyperlink>
      <w:r>
        <w:rPr>
          <w:vertAlign w:val="baseline"/>
        </w:rPr>
        <w:t> For example, inequitable social systems affecting LGBTQ youth impede economic stability, prevent access to health care, increase rates of homelessness, and contribute to preexisting mental and physical health burdens. These factors both increase the risk of exposure to harmful pollution and reduce the capacity to respond to environmental harm, such as by accessing necessary</w:t>
      </w:r>
      <w:r>
        <w:rPr>
          <w:spacing w:val="-5"/>
          <w:vertAlign w:val="baseline"/>
        </w:rPr>
        <w:t> </w:t>
      </w:r>
      <w:r>
        <w:rPr>
          <w:vertAlign w:val="baseline"/>
        </w:rPr>
        <w:t>health</w:t>
      </w:r>
      <w:r>
        <w:rPr>
          <w:spacing w:val="-6"/>
          <w:vertAlign w:val="baseline"/>
        </w:rPr>
        <w:t> </w:t>
      </w:r>
      <w:r>
        <w:rPr>
          <w:vertAlign w:val="baseline"/>
        </w:rPr>
        <w:t>care</w:t>
      </w:r>
      <w:hyperlink w:history="true" w:anchor="_bookmark546">
        <w:r>
          <w:rPr>
            <w:vertAlign w:val="baseline"/>
          </w:rPr>
          <w:t>.</w:t>
        </w:r>
        <w:r>
          <w:rPr>
            <w:vertAlign w:val="superscript"/>
          </w:rPr>
          <w:t>16</w:t>
        </w:r>
      </w:hyperlink>
      <w:r>
        <w:rPr>
          <w:spacing w:val="-6"/>
          <w:vertAlign w:val="baseline"/>
        </w:rPr>
        <w:t> </w:t>
      </w:r>
      <w:r>
        <w:rPr>
          <w:vertAlign w:val="baseline"/>
        </w:rPr>
        <w:t>Who</w:t>
      </w:r>
      <w:r>
        <w:rPr>
          <w:spacing w:val="-5"/>
          <w:vertAlign w:val="baseline"/>
        </w:rPr>
        <w:t> </w:t>
      </w:r>
      <w:r>
        <w:rPr>
          <w:vertAlign w:val="baseline"/>
        </w:rPr>
        <w:t>can</w:t>
      </w:r>
      <w:r>
        <w:rPr>
          <w:spacing w:val="-4"/>
          <w:vertAlign w:val="baseline"/>
        </w:rPr>
        <w:t> </w:t>
      </w:r>
      <w:r>
        <w:rPr>
          <w:vertAlign w:val="baseline"/>
        </w:rPr>
        <w:t>take</w:t>
      </w:r>
      <w:r>
        <w:rPr>
          <w:spacing w:val="-4"/>
          <w:vertAlign w:val="baseline"/>
        </w:rPr>
        <w:t> </w:t>
      </w:r>
      <w:r>
        <w:rPr>
          <w:vertAlign w:val="baseline"/>
        </w:rPr>
        <w:t>paid</w:t>
      </w:r>
      <w:r>
        <w:rPr>
          <w:spacing w:val="-6"/>
          <w:vertAlign w:val="baseline"/>
        </w:rPr>
        <w:t> </w:t>
      </w:r>
      <w:r>
        <w:rPr>
          <w:vertAlign w:val="baseline"/>
        </w:rPr>
        <w:t>time</w:t>
      </w:r>
      <w:r>
        <w:rPr>
          <w:spacing w:val="-6"/>
          <w:vertAlign w:val="baseline"/>
        </w:rPr>
        <w:t> </w:t>
      </w:r>
      <w:r>
        <w:rPr>
          <w:vertAlign w:val="baseline"/>
        </w:rPr>
        <w:t>off</w:t>
      </w:r>
      <w:r>
        <w:rPr>
          <w:spacing w:val="-4"/>
          <w:vertAlign w:val="baseline"/>
        </w:rPr>
        <w:t> </w:t>
      </w:r>
      <w:r>
        <w:rPr>
          <w:vertAlign w:val="baseline"/>
        </w:rPr>
        <w:t>work</w:t>
      </w:r>
      <w:r>
        <w:rPr>
          <w:spacing w:val="-6"/>
          <w:vertAlign w:val="baseline"/>
        </w:rPr>
        <w:t> </w:t>
      </w:r>
      <w:r>
        <w:rPr>
          <w:vertAlign w:val="baseline"/>
        </w:rPr>
        <w:t>due</w:t>
      </w:r>
      <w:r>
        <w:rPr>
          <w:spacing w:val="-4"/>
          <w:vertAlign w:val="baseline"/>
        </w:rPr>
        <w:t> </w:t>
      </w:r>
      <w:r>
        <w:rPr>
          <w:vertAlign w:val="baseline"/>
        </w:rPr>
        <w:t>to</w:t>
      </w:r>
      <w:r>
        <w:rPr>
          <w:spacing w:val="-5"/>
          <w:vertAlign w:val="baseline"/>
        </w:rPr>
        <w:t> </w:t>
      </w:r>
      <w:r>
        <w:rPr>
          <w:vertAlign w:val="baseline"/>
        </w:rPr>
        <w:t>a</w:t>
      </w:r>
      <w:r>
        <w:rPr>
          <w:spacing w:val="-4"/>
          <w:vertAlign w:val="baseline"/>
        </w:rPr>
        <w:t> </w:t>
      </w:r>
      <w:r>
        <w:rPr>
          <w:vertAlign w:val="baseline"/>
        </w:rPr>
        <w:t>medical</w:t>
      </w:r>
      <w:r>
        <w:rPr>
          <w:spacing w:val="-4"/>
          <w:vertAlign w:val="baseline"/>
        </w:rPr>
        <w:t> </w:t>
      </w:r>
      <w:r>
        <w:rPr>
          <w:vertAlign w:val="baseline"/>
        </w:rPr>
        <w:t>condition,</w:t>
      </w:r>
      <w:r>
        <w:rPr>
          <w:spacing w:val="-5"/>
          <w:vertAlign w:val="baseline"/>
        </w:rPr>
        <w:t> </w:t>
      </w:r>
      <w:r>
        <w:rPr>
          <w:vertAlign w:val="baseline"/>
        </w:rPr>
        <w:t>and</w:t>
      </w:r>
      <w:r>
        <w:rPr>
          <w:spacing w:val="-4"/>
          <w:vertAlign w:val="baseline"/>
        </w:rPr>
        <w:t> </w:t>
      </w:r>
      <w:r>
        <w:rPr>
          <w:vertAlign w:val="baseline"/>
        </w:rPr>
        <w:t>who</w:t>
      </w:r>
      <w:r>
        <w:rPr>
          <w:spacing w:val="-5"/>
          <w:vertAlign w:val="baseline"/>
        </w:rPr>
        <w:t> </w:t>
      </w:r>
      <w:r>
        <w:rPr>
          <w:vertAlign w:val="baseline"/>
        </w:rPr>
        <w:t>might</w:t>
      </w:r>
      <w:r>
        <w:rPr>
          <w:spacing w:val="-6"/>
          <w:vertAlign w:val="baseline"/>
        </w:rPr>
        <w:t> </w:t>
      </w:r>
      <w:r>
        <w:rPr>
          <w:vertAlign w:val="baseline"/>
        </w:rPr>
        <w:t>lose their</w:t>
      </w:r>
      <w:r>
        <w:rPr>
          <w:spacing w:val="-4"/>
          <w:vertAlign w:val="baseline"/>
        </w:rPr>
        <w:t> </w:t>
      </w:r>
      <w:r>
        <w:rPr>
          <w:vertAlign w:val="baseline"/>
        </w:rPr>
        <w:t>source</w:t>
      </w:r>
      <w:r>
        <w:rPr>
          <w:spacing w:val="-2"/>
          <w:vertAlign w:val="baseline"/>
        </w:rPr>
        <w:t> </w:t>
      </w:r>
      <w:r>
        <w:rPr>
          <w:vertAlign w:val="baseline"/>
        </w:rPr>
        <w:t>of</w:t>
      </w:r>
      <w:r>
        <w:rPr>
          <w:spacing w:val="-4"/>
          <w:vertAlign w:val="baseline"/>
        </w:rPr>
        <w:t> </w:t>
      </w:r>
      <w:r>
        <w:rPr>
          <w:vertAlign w:val="baseline"/>
        </w:rPr>
        <w:t>income</w:t>
      </w:r>
      <w:r>
        <w:rPr>
          <w:spacing w:val="-4"/>
          <w:vertAlign w:val="baseline"/>
        </w:rPr>
        <w:t> </w:t>
      </w:r>
      <w:r>
        <w:rPr>
          <w:vertAlign w:val="baseline"/>
        </w:rPr>
        <w:t>as</w:t>
      </w:r>
      <w:r>
        <w:rPr>
          <w:spacing w:val="-3"/>
          <w:vertAlign w:val="baseline"/>
        </w:rPr>
        <w:t> </w:t>
      </w:r>
      <w:r>
        <w:rPr>
          <w:vertAlign w:val="baseline"/>
        </w:rPr>
        <w:t>a</w:t>
      </w:r>
      <w:r>
        <w:rPr>
          <w:spacing w:val="-4"/>
          <w:vertAlign w:val="baseline"/>
        </w:rPr>
        <w:t> </w:t>
      </w:r>
      <w:r>
        <w:rPr>
          <w:vertAlign w:val="baseline"/>
        </w:rPr>
        <w:t>result?</w:t>
      </w:r>
      <w:r>
        <w:rPr>
          <w:spacing w:val="-4"/>
          <w:vertAlign w:val="baseline"/>
        </w:rPr>
        <w:t> </w:t>
      </w:r>
      <w:r>
        <w:rPr>
          <w:vertAlign w:val="baseline"/>
        </w:rPr>
        <w:t>Who</w:t>
      </w:r>
      <w:r>
        <w:rPr>
          <w:spacing w:val="-4"/>
          <w:vertAlign w:val="baseline"/>
        </w:rPr>
        <w:t> </w:t>
      </w:r>
      <w:r>
        <w:rPr>
          <w:vertAlign w:val="baseline"/>
        </w:rPr>
        <w:t>has</w:t>
      </w:r>
      <w:r>
        <w:rPr>
          <w:spacing w:val="-4"/>
          <w:vertAlign w:val="baseline"/>
        </w:rPr>
        <w:t> </w:t>
      </w:r>
      <w:r>
        <w:rPr>
          <w:vertAlign w:val="baseline"/>
        </w:rPr>
        <w:t>access</w:t>
      </w:r>
      <w:r>
        <w:rPr>
          <w:spacing w:val="-4"/>
          <w:vertAlign w:val="baseline"/>
        </w:rPr>
        <w:t> </w:t>
      </w:r>
      <w:r>
        <w:rPr>
          <w:vertAlign w:val="baseline"/>
        </w:rPr>
        <w:t>to</w:t>
      </w:r>
      <w:r>
        <w:rPr>
          <w:spacing w:val="-4"/>
          <w:vertAlign w:val="baseline"/>
        </w:rPr>
        <w:t> </w:t>
      </w:r>
      <w:r>
        <w:rPr>
          <w:vertAlign w:val="baseline"/>
        </w:rPr>
        <w:t>regular</w:t>
      </w:r>
      <w:r>
        <w:rPr>
          <w:spacing w:val="-4"/>
          <w:vertAlign w:val="baseline"/>
        </w:rPr>
        <w:t> </w:t>
      </w:r>
      <w:r>
        <w:rPr>
          <w:vertAlign w:val="baseline"/>
        </w:rPr>
        <w:t>cancer</w:t>
      </w:r>
      <w:r>
        <w:rPr>
          <w:spacing w:val="-4"/>
          <w:vertAlign w:val="baseline"/>
        </w:rPr>
        <w:t> </w:t>
      </w:r>
      <w:r>
        <w:rPr>
          <w:vertAlign w:val="baseline"/>
        </w:rPr>
        <w:t>screenings,</w:t>
      </w:r>
      <w:r>
        <w:rPr>
          <w:spacing w:val="-4"/>
          <w:vertAlign w:val="baseline"/>
        </w:rPr>
        <w:t> </w:t>
      </w:r>
      <w:r>
        <w:rPr>
          <w:vertAlign w:val="baseline"/>
        </w:rPr>
        <w:t>and</w:t>
      </w:r>
      <w:r>
        <w:rPr>
          <w:spacing w:val="-4"/>
          <w:vertAlign w:val="baseline"/>
        </w:rPr>
        <w:t> </w:t>
      </w:r>
      <w:r>
        <w:rPr>
          <w:vertAlign w:val="baseline"/>
        </w:rPr>
        <w:t>who</w:t>
      </w:r>
      <w:r>
        <w:rPr>
          <w:spacing w:val="-4"/>
          <w:vertAlign w:val="baseline"/>
        </w:rPr>
        <w:t> </w:t>
      </w:r>
      <w:r>
        <w:rPr>
          <w:vertAlign w:val="baseline"/>
        </w:rPr>
        <w:t>might</w:t>
      </w:r>
      <w:r>
        <w:rPr>
          <w:spacing w:val="-3"/>
          <w:vertAlign w:val="baseline"/>
        </w:rPr>
        <w:t> </w:t>
      </w:r>
      <w:r>
        <w:rPr>
          <w:vertAlign w:val="baseline"/>
        </w:rPr>
        <w:t>not</w:t>
      </w:r>
      <w:r>
        <w:rPr>
          <w:spacing w:val="-4"/>
          <w:vertAlign w:val="baseline"/>
        </w:rPr>
        <w:t> </w:t>
      </w:r>
      <w:r>
        <w:rPr>
          <w:vertAlign w:val="baseline"/>
        </w:rPr>
        <w:t>have regular access to a doctor, resulting in a later diagnosis? Who has greater access to green space, which has been shown to support mental and physical health? Social Determinants of Health reminds us that while it is important to examine disparities in who is exposed to pollution, exposure is only half of the story. We must also consider who experiences the conditions for health and wellbeing, and who is at greater</w:t>
      </w:r>
      <w:r>
        <w:rPr>
          <w:spacing w:val="-11"/>
          <w:vertAlign w:val="baseline"/>
        </w:rPr>
        <w:t> </w:t>
      </w:r>
      <w:r>
        <w:rPr>
          <w:vertAlign w:val="baseline"/>
        </w:rPr>
        <w:t>risk</w:t>
      </w:r>
      <w:r>
        <w:rPr>
          <w:spacing w:val="-10"/>
          <w:vertAlign w:val="baseline"/>
        </w:rPr>
        <w:t> </w:t>
      </w:r>
      <w:r>
        <w:rPr>
          <w:vertAlign w:val="baseline"/>
        </w:rPr>
        <w:t>of</w:t>
      </w:r>
      <w:r>
        <w:rPr>
          <w:spacing w:val="-11"/>
          <w:vertAlign w:val="baseline"/>
        </w:rPr>
        <w:t> </w:t>
      </w:r>
      <w:r>
        <w:rPr>
          <w:vertAlign w:val="baseline"/>
        </w:rPr>
        <w:t>harm</w:t>
      </w:r>
      <w:r>
        <w:rPr>
          <w:spacing w:val="-10"/>
          <w:vertAlign w:val="baseline"/>
        </w:rPr>
        <w:t> </w:t>
      </w:r>
      <w:r>
        <w:rPr>
          <w:vertAlign w:val="baseline"/>
        </w:rPr>
        <w:t>due</w:t>
      </w:r>
      <w:r>
        <w:rPr>
          <w:spacing w:val="-10"/>
          <w:vertAlign w:val="baseline"/>
        </w:rPr>
        <w:t> </w:t>
      </w:r>
      <w:r>
        <w:rPr>
          <w:vertAlign w:val="baseline"/>
        </w:rPr>
        <w:t>to</w:t>
      </w:r>
      <w:r>
        <w:rPr>
          <w:spacing w:val="-9"/>
          <w:vertAlign w:val="baseline"/>
        </w:rPr>
        <w:t> </w:t>
      </w:r>
      <w:r>
        <w:rPr>
          <w:vertAlign w:val="baseline"/>
        </w:rPr>
        <w:t>the</w:t>
      </w:r>
      <w:r>
        <w:rPr>
          <w:spacing w:val="-10"/>
          <w:vertAlign w:val="baseline"/>
        </w:rPr>
        <w:t> </w:t>
      </w:r>
      <w:r>
        <w:rPr>
          <w:vertAlign w:val="baseline"/>
        </w:rPr>
        <w:t>social</w:t>
      </w:r>
      <w:r>
        <w:rPr>
          <w:spacing w:val="-11"/>
          <w:vertAlign w:val="baseline"/>
        </w:rPr>
        <w:t> </w:t>
      </w:r>
      <w:r>
        <w:rPr>
          <w:vertAlign w:val="baseline"/>
        </w:rPr>
        <w:t>and</w:t>
      </w:r>
      <w:r>
        <w:rPr>
          <w:spacing w:val="-11"/>
          <w:vertAlign w:val="baseline"/>
        </w:rPr>
        <w:t> </w:t>
      </w:r>
      <w:r>
        <w:rPr>
          <w:vertAlign w:val="baseline"/>
        </w:rPr>
        <w:t>institutional</w:t>
      </w:r>
      <w:r>
        <w:rPr>
          <w:spacing w:val="-11"/>
          <w:vertAlign w:val="baseline"/>
        </w:rPr>
        <w:t> </w:t>
      </w:r>
      <w:r>
        <w:rPr>
          <w:vertAlign w:val="baseline"/>
        </w:rPr>
        <w:t>marginalization</w:t>
      </w:r>
      <w:r>
        <w:rPr>
          <w:spacing w:val="-11"/>
          <w:vertAlign w:val="baseline"/>
        </w:rPr>
        <w:t> </w:t>
      </w:r>
      <w:r>
        <w:rPr>
          <w:vertAlign w:val="baseline"/>
        </w:rPr>
        <w:t>that</w:t>
      </w:r>
      <w:r>
        <w:rPr>
          <w:spacing w:val="-12"/>
          <w:vertAlign w:val="baseline"/>
        </w:rPr>
        <w:t> </w:t>
      </w:r>
      <w:r>
        <w:rPr>
          <w:vertAlign w:val="baseline"/>
        </w:rPr>
        <w:t>accompanies</w:t>
      </w:r>
      <w:r>
        <w:rPr>
          <w:spacing w:val="-10"/>
          <w:vertAlign w:val="baseline"/>
        </w:rPr>
        <w:t> </w:t>
      </w:r>
      <w:r>
        <w:rPr>
          <w:vertAlign w:val="baseline"/>
        </w:rPr>
        <w:t>disproportionate </w:t>
      </w:r>
      <w:r>
        <w:rPr>
          <w:spacing w:val="-2"/>
          <w:vertAlign w:val="baseline"/>
        </w:rPr>
        <w:t>exposure.</w:t>
      </w:r>
    </w:p>
    <w:p>
      <w:pPr>
        <w:spacing w:before="240"/>
        <w:ind w:left="323" w:right="0" w:firstLine="0"/>
        <w:jc w:val="both"/>
        <w:rPr>
          <w:sz w:val="28"/>
        </w:rPr>
      </w:pPr>
      <w:bookmarkStart w:name="Data Limitations" w:id="819"/>
      <w:bookmarkEnd w:id="819"/>
      <w:r>
        <w:rPr/>
      </w:r>
      <w:bookmarkStart w:name="_bookmark550" w:id="820"/>
      <w:bookmarkEnd w:id="820"/>
      <w:r>
        <w:rPr/>
      </w:r>
      <w:r>
        <w:rPr>
          <w:color w:val="365F91"/>
          <w:sz w:val="28"/>
        </w:rPr>
        <w:t>Data</w:t>
      </w:r>
      <w:r>
        <w:rPr>
          <w:color w:val="365F91"/>
          <w:spacing w:val="-8"/>
          <w:sz w:val="28"/>
        </w:rPr>
        <w:t> </w:t>
      </w:r>
      <w:r>
        <w:rPr>
          <w:color w:val="365F91"/>
          <w:spacing w:val="-2"/>
          <w:sz w:val="28"/>
        </w:rPr>
        <w:t>Limitations</w:t>
      </w:r>
    </w:p>
    <w:p>
      <w:pPr>
        <w:pStyle w:val="BodyText"/>
        <w:spacing w:line="276" w:lineRule="auto" w:before="292"/>
        <w:ind w:left="323" w:right="139"/>
        <w:jc w:val="both"/>
      </w:pPr>
      <w:bookmarkStart w:name="_bookmark551" w:id="821"/>
      <w:bookmarkEnd w:id="821"/>
      <w:r>
        <w:rPr/>
      </w:r>
      <w:r>
        <w:rPr/>
        <w:t>Unfortunately, there are significant data gaps when it comes to examining the environmental justice needs of LGBTQ youth. Gender and sexuality are still not commonly considered as important factors in environmental justice research, and there are limited studies and data sources that explore the intersections of gender and sexuality with access to environmental benefits and exposure to hazards. Overall, there</w:t>
      </w:r>
      <w:r>
        <w:rPr>
          <w:spacing w:val="-1"/>
        </w:rPr>
        <w:t> </w:t>
      </w:r>
      <w:r>
        <w:rPr/>
        <w:t>is limited data on</w:t>
      </w:r>
      <w:r>
        <w:rPr>
          <w:spacing w:val="-1"/>
        </w:rPr>
        <w:t> </w:t>
      </w:r>
      <w:r>
        <w:rPr/>
        <w:t>where LGBTQ</w:t>
      </w:r>
      <w:r>
        <w:rPr>
          <w:spacing w:val="-1"/>
        </w:rPr>
        <w:t> </w:t>
      </w:r>
      <w:r>
        <w:rPr/>
        <w:t>people</w:t>
      </w:r>
      <w:r>
        <w:rPr>
          <w:spacing w:val="-1"/>
        </w:rPr>
        <w:t> </w:t>
      </w:r>
      <w:r>
        <w:rPr/>
        <w:t>live, which poses a challenge to understanding the environmental injustices faced by LGBTQ communities since much of environmental justice research depends</w:t>
      </w:r>
      <w:r>
        <w:rPr>
          <w:spacing w:val="-7"/>
        </w:rPr>
        <w:t> </w:t>
      </w:r>
      <w:r>
        <w:rPr/>
        <w:t>on</w:t>
      </w:r>
      <w:r>
        <w:rPr>
          <w:spacing w:val="-7"/>
        </w:rPr>
        <w:t> </w:t>
      </w:r>
      <w:r>
        <w:rPr/>
        <w:t>residence</w:t>
      </w:r>
      <w:r>
        <w:rPr>
          <w:spacing w:val="-7"/>
        </w:rPr>
        <w:t> </w:t>
      </w:r>
      <w:r>
        <w:rPr/>
        <w:t>data.</w:t>
      </w:r>
      <w:r>
        <w:rPr>
          <w:spacing w:val="-8"/>
        </w:rPr>
        <w:t> </w:t>
      </w:r>
      <w:r>
        <w:rPr/>
        <w:t>For</w:t>
      </w:r>
      <w:r>
        <w:rPr>
          <w:spacing w:val="-8"/>
        </w:rPr>
        <w:t> </w:t>
      </w:r>
      <w:r>
        <w:rPr/>
        <w:t>instance,</w:t>
      </w:r>
      <w:r>
        <w:rPr>
          <w:spacing w:val="-7"/>
        </w:rPr>
        <w:t> </w:t>
      </w:r>
      <w:r>
        <w:rPr/>
        <w:t>U.S.</w:t>
      </w:r>
      <w:r>
        <w:rPr>
          <w:spacing w:val="-7"/>
        </w:rPr>
        <w:t> </w:t>
      </w:r>
      <w:r>
        <w:rPr/>
        <w:t>Census</w:t>
      </w:r>
      <w:r>
        <w:rPr>
          <w:spacing w:val="-7"/>
        </w:rPr>
        <w:t> </w:t>
      </w:r>
      <w:r>
        <w:rPr/>
        <w:t>Bureau</w:t>
      </w:r>
      <w:r>
        <w:rPr>
          <w:spacing w:val="-7"/>
        </w:rPr>
        <w:t> </w:t>
      </w:r>
      <w:r>
        <w:rPr/>
        <w:t>data</w:t>
      </w:r>
      <w:r>
        <w:rPr>
          <w:spacing w:val="-6"/>
        </w:rPr>
        <w:t> </w:t>
      </w:r>
      <w:r>
        <w:rPr/>
        <w:t>is</w:t>
      </w:r>
      <w:r>
        <w:rPr>
          <w:spacing w:val="-7"/>
        </w:rPr>
        <w:t> </w:t>
      </w:r>
      <w:r>
        <w:rPr/>
        <w:t>widely</w:t>
      </w:r>
      <w:r>
        <w:rPr>
          <w:spacing w:val="-6"/>
        </w:rPr>
        <w:t> </w:t>
      </w:r>
      <w:r>
        <w:rPr/>
        <w:t>used</w:t>
      </w:r>
      <w:r>
        <w:rPr>
          <w:spacing w:val="-8"/>
        </w:rPr>
        <w:t> </w:t>
      </w:r>
      <w:r>
        <w:rPr/>
        <w:t>to</w:t>
      </w:r>
      <w:r>
        <w:rPr>
          <w:spacing w:val="-6"/>
        </w:rPr>
        <w:t> </w:t>
      </w:r>
      <w:r>
        <w:rPr/>
        <w:t>examine</w:t>
      </w:r>
      <w:r>
        <w:rPr>
          <w:spacing w:val="-5"/>
        </w:rPr>
        <w:t> </w:t>
      </w:r>
      <w:r>
        <w:rPr/>
        <w:t>disparities</w:t>
      </w:r>
      <w:r>
        <w:rPr>
          <w:spacing w:val="-7"/>
        </w:rPr>
        <w:t> </w:t>
      </w:r>
      <w:r>
        <w:rPr/>
        <w:t>in</w:t>
      </w:r>
    </w:p>
    <w:p>
      <w:pPr>
        <w:spacing w:after="0" w:line="276" w:lineRule="auto"/>
        <w:jc w:val="both"/>
        <w:sectPr>
          <w:pgSz w:w="12240" w:h="15840"/>
          <w:pgMar w:header="800" w:footer="1459" w:top="1300" w:bottom="1700" w:left="1120" w:right="1300"/>
        </w:sectPr>
      </w:pPr>
    </w:p>
    <w:p>
      <w:pPr>
        <w:pStyle w:val="BodyText"/>
        <w:spacing w:line="276" w:lineRule="auto" w:before="67"/>
        <w:ind w:left="3509" w:right="143"/>
        <w:jc w:val="both"/>
      </w:pPr>
      <w:r>
        <w:rPr/>
        <w:drawing>
          <wp:anchor distT="0" distB="0" distL="0" distR="0" allowOverlap="1" layoutInCell="1" locked="0" behindDoc="0" simplePos="0" relativeHeight="15818752">
            <wp:simplePos x="0" y="0"/>
            <wp:positionH relativeFrom="page">
              <wp:posOffset>825500</wp:posOffset>
            </wp:positionH>
            <wp:positionV relativeFrom="paragraph">
              <wp:posOffset>42672</wp:posOffset>
            </wp:positionV>
            <wp:extent cx="1997074" cy="2393949"/>
            <wp:effectExtent l="0" t="0" r="0" b="0"/>
            <wp:wrapNone/>
            <wp:docPr id="483" name="Image 483"/>
            <wp:cNvGraphicFramePr>
              <a:graphicFrameLocks/>
            </wp:cNvGraphicFramePr>
            <a:graphic>
              <a:graphicData uri="http://schemas.openxmlformats.org/drawingml/2006/picture">
                <pic:pic>
                  <pic:nvPicPr>
                    <pic:cNvPr id="483" name="Image 483"/>
                    <pic:cNvPicPr/>
                  </pic:nvPicPr>
                  <pic:blipFill>
                    <a:blip r:embed="rId617" cstate="print"/>
                    <a:stretch>
                      <a:fillRect/>
                    </a:stretch>
                  </pic:blipFill>
                  <pic:spPr>
                    <a:xfrm>
                      <a:off x="0" y="0"/>
                      <a:ext cx="1997074" cy="2393949"/>
                    </a:xfrm>
                    <a:prstGeom prst="rect">
                      <a:avLst/>
                    </a:prstGeom>
                  </pic:spPr>
                </pic:pic>
              </a:graphicData>
            </a:graphic>
          </wp:anchor>
        </w:drawing>
      </w:r>
      <w:r>
        <w:rPr/>
        <w:t>exposure to environmental hazards and access to environmental benefits and does not typically include expansive SOGIE (sexual orientation and gender identity/expression) data.</w:t>
      </w:r>
    </w:p>
    <w:p>
      <w:pPr>
        <w:pStyle w:val="BodyText"/>
        <w:spacing w:line="276" w:lineRule="auto" w:before="240"/>
        <w:ind w:left="3509" w:right="141"/>
        <w:jc w:val="both"/>
      </w:pPr>
      <w:r>
        <w:rPr/>
        <w:t>The</w:t>
      </w:r>
      <w:r>
        <w:rPr>
          <w:spacing w:val="-2"/>
        </w:rPr>
        <w:t> </w:t>
      </w:r>
      <w:r>
        <w:rPr/>
        <w:t>2020</w:t>
      </w:r>
      <w:r>
        <w:rPr>
          <w:spacing w:val="-1"/>
        </w:rPr>
        <w:t> </w:t>
      </w:r>
      <w:r>
        <w:rPr/>
        <w:t>Census</w:t>
      </w:r>
      <w:r>
        <w:rPr>
          <w:spacing w:val="-1"/>
        </w:rPr>
        <w:t> </w:t>
      </w:r>
      <w:r>
        <w:rPr/>
        <w:t>did</w:t>
      </w:r>
      <w:r>
        <w:rPr>
          <w:spacing w:val="-2"/>
        </w:rPr>
        <w:t> </w:t>
      </w:r>
      <w:r>
        <w:rPr/>
        <w:t>give</w:t>
      </w:r>
      <w:r>
        <w:rPr>
          <w:spacing w:val="-2"/>
        </w:rPr>
        <w:t> </w:t>
      </w:r>
      <w:r>
        <w:rPr/>
        <w:t>people</w:t>
      </w:r>
      <w:r>
        <w:rPr>
          <w:spacing w:val="-2"/>
        </w:rPr>
        <w:t> </w:t>
      </w:r>
      <w:r>
        <w:rPr/>
        <w:t>the</w:t>
      </w:r>
      <w:r>
        <w:rPr>
          <w:spacing w:val="-2"/>
        </w:rPr>
        <w:t> </w:t>
      </w:r>
      <w:r>
        <w:rPr/>
        <w:t>option</w:t>
      </w:r>
      <w:r>
        <w:rPr>
          <w:spacing w:val="-2"/>
        </w:rPr>
        <w:t> </w:t>
      </w:r>
      <w:r>
        <w:rPr/>
        <w:t>to</w:t>
      </w:r>
      <w:r>
        <w:rPr>
          <w:spacing w:val="-1"/>
        </w:rPr>
        <w:t> </w:t>
      </w:r>
      <w:r>
        <w:rPr/>
        <w:t>identify</w:t>
      </w:r>
      <w:r>
        <w:rPr>
          <w:spacing w:val="-1"/>
        </w:rPr>
        <w:t> </w:t>
      </w:r>
      <w:r>
        <w:rPr/>
        <w:t>a</w:t>
      </w:r>
      <w:r>
        <w:rPr>
          <w:spacing w:val="-1"/>
        </w:rPr>
        <w:t> </w:t>
      </w:r>
      <w:r>
        <w:rPr/>
        <w:t>relationship as same-sex for the first time, but this comes nowhere close to encompassing</w:t>
      </w:r>
      <w:r>
        <w:rPr>
          <w:spacing w:val="-12"/>
        </w:rPr>
        <w:t> </w:t>
      </w:r>
      <w:r>
        <w:rPr/>
        <w:t>the</w:t>
      </w:r>
      <w:r>
        <w:rPr>
          <w:spacing w:val="-12"/>
        </w:rPr>
        <w:t> </w:t>
      </w:r>
      <w:r>
        <w:rPr/>
        <w:t>diversity</w:t>
      </w:r>
      <w:r>
        <w:rPr>
          <w:spacing w:val="-12"/>
        </w:rPr>
        <w:t> </w:t>
      </w:r>
      <w:r>
        <w:rPr/>
        <w:t>of</w:t>
      </w:r>
      <w:r>
        <w:rPr>
          <w:spacing w:val="-12"/>
        </w:rPr>
        <w:t> </w:t>
      </w:r>
      <w:r>
        <w:rPr/>
        <w:t>LGBTQ</w:t>
      </w:r>
      <w:r>
        <w:rPr>
          <w:spacing w:val="-12"/>
        </w:rPr>
        <w:t> </w:t>
      </w:r>
      <w:r>
        <w:rPr/>
        <w:t>communities.</w:t>
      </w:r>
      <w:r>
        <w:rPr>
          <w:spacing w:val="-11"/>
        </w:rPr>
        <w:t> </w:t>
      </w:r>
      <w:r>
        <w:rPr/>
        <w:t>Data</w:t>
      </w:r>
      <w:r>
        <w:rPr>
          <w:spacing w:val="-12"/>
        </w:rPr>
        <w:t> </w:t>
      </w:r>
      <w:r>
        <w:rPr/>
        <w:t>on</w:t>
      </w:r>
      <w:r>
        <w:rPr>
          <w:spacing w:val="-12"/>
        </w:rPr>
        <w:t> </w:t>
      </w:r>
      <w:r>
        <w:rPr/>
        <w:t>same-sex households omits partners that don’t live together, single LGBTQ people,</w:t>
      </w:r>
      <w:r>
        <w:rPr>
          <w:spacing w:val="-1"/>
        </w:rPr>
        <w:t> </w:t>
      </w:r>
      <w:r>
        <w:rPr/>
        <w:t>most</w:t>
      </w:r>
      <w:r>
        <w:rPr>
          <w:spacing w:val="-2"/>
        </w:rPr>
        <w:t> </w:t>
      </w:r>
      <w:r>
        <w:rPr/>
        <w:t>LGBTQ</w:t>
      </w:r>
      <w:r>
        <w:rPr>
          <w:spacing w:val="-2"/>
        </w:rPr>
        <w:t> </w:t>
      </w:r>
      <w:r>
        <w:rPr/>
        <w:t>youth,</w:t>
      </w:r>
      <w:r>
        <w:rPr>
          <w:spacing w:val="-2"/>
        </w:rPr>
        <w:t> </w:t>
      </w:r>
      <w:r>
        <w:rPr/>
        <w:t>many</w:t>
      </w:r>
      <w:r>
        <w:rPr>
          <w:spacing w:val="-1"/>
        </w:rPr>
        <w:t> </w:t>
      </w:r>
      <w:r>
        <w:rPr/>
        <w:t>bisexual</w:t>
      </w:r>
      <w:r>
        <w:rPr>
          <w:spacing w:val="-3"/>
        </w:rPr>
        <w:t> </w:t>
      </w:r>
      <w:r>
        <w:rPr/>
        <w:t>and</w:t>
      </w:r>
      <w:r>
        <w:rPr>
          <w:spacing w:val="-2"/>
        </w:rPr>
        <w:t> </w:t>
      </w:r>
      <w:r>
        <w:rPr/>
        <w:t>trans people,</w:t>
      </w:r>
      <w:r>
        <w:rPr>
          <w:spacing w:val="-2"/>
        </w:rPr>
        <w:t> </w:t>
      </w:r>
      <w:r>
        <w:rPr/>
        <w:t>and</w:t>
      </w:r>
      <w:r>
        <w:rPr>
          <w:spacing w:val="-3"/>
        </w:rPr>
        <w:t> </w:t>
      </w:r>
      <w:r>
        <w:rPr/>
        <w:t>still operates within the gender binary, excluding nonbinary and intersex people</w:t>
      </w:r>
      <w:hyperlink w:history="true" w:anchor="_bookmark547">
        <w:r>
          <w:rPr/>
          <w:t>.</w:t>
        </w:r>
        <w:r>
          <w:rPr>
            <w:vertAlign w:val="superscript"/>
          </w:rPr>
          <w:t>17</w:t>
        </w:r>
      </w:hyperlink>
      <w:r>
        <w:rPr>
          <w:vertAlign w:val="baseline"/>
        </w:rPr>
        <w:t> Collecting more complete LGBTQ residence data will be crucial</w:t>
      </w:r>
      <w:r>
        <w:rPr>
          <w:spacing w:val="-1"/>
          <w:vertAlign w:val="baseline"/>
        </w:rPr>
        <w:t> </w:t>
      </w:r>
      <w:r>
        <w:rPr>
          <w:vertAlign w:val="baseline"/>
        </w:rPr>
        <w:t>for</w:t>
      </w:r>
      <w:r>
        <w:rPr>
          <w:spacing w:val="-2"/>
          <w:vertAlign w:val="baseline"/>
        </w:rPr>
        <w:t> </w:t>
      </w:r>
      <w:r>
        <w:rPr>
          <w:vertAlign w:val="baseline"/>
        </w:rPr>
        <w:t>deeper</w:t>
      </w:r>
      <w:r>
        <w:rPr>
          <w:spacing w:val="-2"/>
          <w:vertAlign w:val="baseline"/>
        </w:rPr>
        <w:t> </w:t>
      </w:r>
      <w:r>
        <w:rPr>
          <w:vertAlign w:val="baseline"/>
        </w:rPr>
        <w:t>analysis</w:t>
      </w:r>
      <w:r>
        <w:rPr>
          <w:spacing w:val="-1"/>
          <w:vertAlign w:val="baseline"/>
        </w:rPr>
        <w:t> </w:t>
      </w:r>
      <w:r>
        <w:rPr>
          <w:vertAlign w:val="baseline"/>
        </w:rPr>
        <w:t>of</w:t>
      </w:r>
      <w:r>
        <w:rPr>
          <w:spacing w:val="-2"/>
          <w:vertAlign w:val="baseline"/>
        </w:rPr>
        <w:t> </w:t>
      </w:r>
      <w:r>
        <w:rPr>
          <w:vertAlign w:val="baseline"/>
        </w:rPr>
        <w:t>environmental</w:t>
      </w:r>
      <w:r>
        <w:rPr>
          <w:spacing w:val="-1"/>
          <w:vertAlign w:val="baseline"/>
        </w:rPr>
        <w:t> </w:t>
      </w:r>
      <w:r>
        <w:rPr>
          <w:vertAlign w:val="baseline"/>
        </w:rPr>
        <w:t>disparities</w:t>
      </w:r>
      <w:r>
        <w:rPr>
          <w:spacing w:val="-2"/>
          <w:vertAlign w:val="baseline"/>
        </w:rPr>
        <w:t> </w:t>
      </w:r>
      <w:r>
        <w:rPr>
          <w:vertAlign w:val="baseline"/>
        </w:rPr>
        <w:t>facing</w:t>
      </w:r>
      <w:r>
        <w:rPr>
          <w:spacing w:val="-1"/>
          <w:vertAlign w:val="baseline"/>
        </w:rPr>
        <w:t> </w:t>
      </w:r>
      <w:r>
        <w:rPr>
          <w:vertAlign w:val="baseline"/>
        </w:rPr>
        <w:t>LGBTQ </w:t>
      </w:r>
      <w:r>
        <w:rPr>
          <w:spacing w:val="-2"/>
          <w:vertAlign w:val="baseline"/>
        </w:rPr>
        <w:t>youth.</w:t>
      </w:r>
    </w:p>
    <w:p>
      <w:pPr>
        <w:pStyle w:val="BodyText"/>
        <w:spacing w:line="276" w:lineRule="auto" w:before="240"/>
        <w:ind w:left="323" w:right="141"/>
        <w:jc w:val="both"/>
      </w:pPr>
      <w:bookmarkStart w:name="_bookmark552" w:id="822"/>
      <w:bookmarkEnd w:id="822"/>
      <w:r>
        <w:rPr/>
      </w:r>
      <w:r>
        <w:rPr/>
        <w:t>There are also numerous barriers to response when collecting data on sexuality and gender identity, particularly when surveying LGBTQ youth. LGBTQ people responding to a survey may not reveal their identity due to institutional discrimination, social stigma, or to maintain their safety. In addition, gender and</w:t>
      </w:r>
      <w:r>
        <w:rPr>
          <w:spacing w:val="-6"/>
        </w:rPr>
        <w:t> </w:t>
      </w:r>
      <w:r>
        <w:rPr/>
        <w:t>sexuality</w:t>
      </w:r>
      <w:r>
        <w:rPr>
          <w:spacing w:val="-4"/>
        </w:rPr>
        <w:t> </w:t>
      </w:r>
      <w:r>
        <w:rPr/>
        <w:t>are</w:t>
      </w:r>
      <w:r>
        <w:rPr>
          <w:spacing w:val="-6"/>
        </w:rPr>
        <w:t> </w:t>
      </w:r>
      <w:r>
        <w:rPr/>
        <w:t>fluid</w:t>
      </w:r>
      <w:r>
        <w:rPr>
          <w:spacing w:val="-4"/>
        </w:rPr>
        <w:t> </w:t>
      </w:r>
      <w:r>
        <w:rPr/>
        <w:t>and</w:t>
      </w:r>
      <w:r>
        <w:rPr>
          <w:spacing w:val="-3"/>
        </w:rPr>
        <w:t> </w:t>
      </w:r>
      <w:r>
        <w:rPr/>
        <w:t>people</w:t>
      </w:r>
      <w:r>
        <w:rPr>
          <w:spacing w:val="-4"/>
        </w:rPr>
        <w:t> </w:t>
      </w:r>
      <w:r>
        <w:rPr/>
        <w:t>may</w:t>
      </w:r>
      <w:r>
        <w:rPr>
          <w:spacing w:val="-4"/>
        </w:rPr>
        <w:t> </w:t>
      </w:r>
      <w:r>
        <w:rPr/>
        <w:t>change</w:t>
      </w:r>
      <w:r>
        <w:rPr>
          <w:spacing w:val="-4"/>
        </w:rPr>
        <w:t> </w:t>
      </w:r>
      <w:r>
        <w:rPr/>
        <w:t>how</w:t>
      </w:r>
      <w:r>
        <w:rPr>
          <w:spacing w:val="-5"/>
        </w:rPr>
        <w:t> </w:t>
      </w:r>
      <w:r>
        <w:rPr/>
        <w:t>they</w:t>
      </w:r>
      <w:r>
        <w:rPr>
          <w:spacing w:val="-5"/>
        </w:rPr>
        <w:t> </w:t>
      </w:r>
      <w:r>
        <w:rPr/>
        <w:t>identify</w:t>
      </w:r>
      <w:r>
        <w:rPr>
          <w:spacing w:val="-4"/>
        </w:rPr>
        <w:t> </w:t>
      </w:r>
      <w:r>
        <w:rPr/>
        <w:t>over</w:t>
      </w:r>
      <w:r>
        <w:rPr>
          <w:spacing w:val="-5"/>
        </w:rPr>
        <w:t> </w:t>
      </w:r>
      <w:r>
        <w:rPr/>
        <w:t>time.</w:t>
      </w:r>
      <w:r>
        <w:rPr>
          <w:spacing w:val="-4"/>
        </w:rPr>
        <w:t> </w:t>
      </w:r>
      <w:r>
        <w:rPr/>
        <w:t>The</w:t>
      </w:r>
      <w:r>
        <w:rPr>
          <w:spacing w:val="-3"/>
        </w:rPr>
        <w:t> </w:t>
      </w:r>
      <w:r>
        <w:rPr/>
        <w:t>process</w:t>
      </w:r>
      <w:r>
        <w:rPr>
          <w:spacing w:val="-5"/>
        </w:rPr>
        <w:t> </w:t>
      </w:r>
      <w:r>
        <w:rPr/>
        <w:t>of</w:t>
      </w:r>
      <w:r>
        <w:rPr>
          <w:spacing w:val="-5"/>
        </w:rPr>
        <w:t> </w:t>
      </w:r>
      <w:r>
        <w:rPr/>
        <w:t>exploring</w:t>
      </w:r>
      <w:r>
        <w:rPr>
          <w:spacing w:val="-6"/>
        </w:rPr>
        <w:t> </w:t>
      </w:r>
      <w:r>
        <w:rPr/>
        <w:t>how you relate to gender and sexuality, prefer to identify, and express yourself is a continuous, lifelong journey.</w:t>
      </w:r>
      <w:r>
        <w:rPr>
          <w:spacing w:val="-2"/>
        </w:rPr>
        <w:t> </w:t>
      </w:r>
      <w:r>
        <w:rPr/>
        <w:t>To</w:t>
      </w:r>
      <w:r>
        <w:rPr>
          <w:spacing w:val="-1"/>
        </w:rPr>
        <w:t> </w:t>
      </w:r>
      <w:r>
        <w:rPr/>
        <w:t>capture</w:t>
      </w:r>
      <w:r>
        <w:rPr>
          <w:spacing w:val="-1"/>
        </w:rPr>
        <w:t> </w:t>
      </w:r>
      <w:r>
        <w:rPr/>
        <w:t>the</w:t>
      </w:r>
      <w:r>
        <w:rPr>
          <w:spacing w:val="-1"/>
        </w:rPr>
        <w:t> </w:t>
      </w:r>
      <w:r>
        <w:rPr/>
        <w:t>complexity</w:t>
      </w:r>
      <w:r>
        <w:rPr>
          <w:spacing w:val="-1"/>
        </w:rPr>
        <w:t> </w:t>
      </w:r>
      <w:r>
        <w:rPr/>
        <w:t>of</w:t>
      </w:r>
      <w:r>
        <w:rPr>
          <w:spacing w:val="-1"/>
        </w:rPr>
        <w:t> </w:t>
      </w:r>
      <w:r>
        <w:rPr/>
        <w:t>LGBTQ</w:t>
      </w:r>
      <w:r>
        <w:rPr>
          <w:spacing w:val="-2"/>
        </w:rPr>
        <w:t> </w:t>
      </w:r>
      <w:r>
        <w:rPr/>
        <w:t>identities</w:t>
      </w:r>
      <w:r>
        <w:rPr>
          <w:spacing w:val="-1"/>
        </w:rPr>
        <w:t> </w:t>
      </w:r>
      <w:r>
        <w:rPr/>
        <w:t>and</w:t>
      </w:r>
      <w:r>
        <w:rPr>
          <w:spacing w:val="-2"/>
        </w:rPr>
        <w:t> </w:t>
      </w:r>
      <w:r>
        <w:rPr/>
        <w:t>experiences,</w:t>
      </w:r>
      <w:r>
        <w:rPr>
          <w:spacing w:val="-1"/>
        </w:rPr>
        <w:t> </w:t>
      </w:r>
      <w:r>
        <w:rPr/>
        <w:t>surveys</w:t>
      </w:r>
      <w:r>
        <w:rPr>
          <w:spacing w:val="-1"/>
        </w:rPr>
        <w:t> </w:t>
      </w:r>
      <w:r>
        <w:rPr/>
        <w:t>should</w:t>
      </w:r>
      <w:r>
        <w:rPr>
          <w:spacing w:val="-2"/>
        </w:rPr>
        <w:t> </w:t>
      </w:r>
      <w:r>
        <w:rPr/>
        <w:t>include</w:t>
      </w:r>
      <w:r>
        <w:rPr>
          <w:spacing w:val="-2"/>
        </w:rPr>
        <w:t> </w:t>
      </w:r>
      <w:r>
        <w:rPr/>
        <w:t>not</w:t>
      </w:r>
      <w:r>
        <w:rPr>
          <w:spacing w:val="-2"/>
        </w:rPr>
        <w:t> </w:t>
      </w:r>
      <w:r>
        <w:rPr/>
        <w:t>only identity but also attraction and behavior. Very few surveys currently do so. The Centers for Disease Control Youth Risk Behavior Survey provides a good example in its questions about both gender identity and sexual contacts but could also include questions about attraction to capture an even more comprehensive picture.</w:t>
      </w:r>
    </w:p>
    <w:p>
      <w:pPr>
        <w:pStyle w:val="BodyText"/>
        <w:spacing w:line="276" w:lineRule="auto" w:before="240"/>
        <w:ind w:left="323" w:right="140"/>
        <w:jc w:val="both"/>
      </w:pPr>
      <w:bookmarkStart w:name="_bookmark553" w:id="823"/>
      <w:bookmarkEnd w:id="823"/>
      <w:r>
        <w:rPr/>
      </w:r>
      <w:r>
        <w:rPr/>
        <w:t>Although more data explicitly exploring the intersections of gender and sexuality with environmental justice</w:t>
      </w:r>
      <w:r>
        <w:rPr>
          <w:spacing w:val="-13"/>
        </w:rPr>
        <w:t> </w:t>
      </w:r>
      <w:r>
        <w:rPr/>
        <w:t>is</w:t>
      </w:r>
      <w:r>
        <w:rPr>
          <w:spacing w:val="-12"/>
        </w:rPr>
        <w:t> </w:t>
      </w:r>
      <w:r>
        <w:rPr/>
        <w:t>urgently</w:t>
      </w:r>
      <w:r>
        <w:rPr>
          <w:spacing w:val="-13"/>
        </w:rPr>
        <w:t> </w:t>
      </w:r>
      <w:r>
        <w:rPr/>
        <w:t>needed,</w:t>
      </w:r>
      <w:r>
        <w:rPr>
          <w:spacing w:val="-12"/>
        </w:rPr>
        <w:t> </w:t>
      </w:r>
      <w:r>
        <w:rPr/>
        <w:t>we</w:t>
      </w:r>
      <w:r>
        <w:rPr>
          <w:spacing w:val="-13"/>
        </w:rPr>
        <w:t> </w:t>
      </w:r>
      <w:r>
        <w:rPr/>
        <w:t>can</w:t>
      </w:r>
      <w:r>
        <w:rPr>
          <w:spacing w:val="-12"/>
        </w:rPr>
        <w:t> </w:t>
      </w:r>
      <w:r>
        <w:rPr/>
        <w:t>begin</w:t>
      </w:r>
      <w:r>
        <w:rPr>
          <w:spacing w:val="-13"/>
        </w:rPr>
        <w:t> </w:t>
      </w:r>
      <w:r>
        <w:rPr/>
        <w:t>to</w:t>
      </w:r>
      <w:r>
        <w:rPr>
          <w:spacing w:val="-12"/>
        </w:rPr>
        <w:t> </w:t>
      </w:r>
      <w:r>
        <w:rPr/>
        <w:t>examine</w:t>
      </w:r>
      <w:r>
        <w:rPr>
          <w:spacing w:val="-12"/>
        </w:rPr>
        <w:t> </w:t>
      </w:r>
      <w:r>
        <w:rPr/>
        <w:t>the</w:t>
      </w:r>
      <w:r>
        <w:rPr>
          <w:spacing w:val="-13"/>
        </w:rPr>
        <w:t> </w:t>
      </w:r>
      <w:r>
        <w:rPr/>
        <w:t>environmental</w:t>
      </w:r>
      <w:r>
        <w:rPr>
          <w:spacing w:val="-12"/>
        </w:rPr>
        <w:t> </w:t>
      </w:r>
      <w:r>
        <w:rPr/>
        <w:t>justice</w:t>
      </w:r>
      <w:r>
        <w:rPr>
          <w:spacing w:val="-13"/>
        </w:rPr>
        <w:t> </w:t>
      </w:r>
      <w:r>
        <w:rPr/>
        <w:t>needs</w:t>
      </w:r>
      <w:r>
        <w:rPr>
          <w:spacing w:val="-12"/>
        </w:rPr>
        <w:t> </w:t>
      </w:r>
      <w:r>
        <w:rPr/>
        <w:t>of</w:t>
      </w:r>
      <w:r>
        <w:rPr>
          <w:spacing w:val="-13"/>
        </w:rPr>
        <w:t> </w:t>
      </w:r>
      <w:r>
        <w:rPr/>
        <w:t>LGBTQ</w:t>
      </w:r>
      <w:r>
        <w:rPr>
          <w:spacing w:val="-12"/>
        </w:rPr>
        <w:t> </w:t>
      </w:r>
      <w:r>
        <w:rPr/>
        <w:t>youth</w:t>
      </w:r>
      <w:r>
        <w:rPr>
          <w:spacing w:val="-12"/>
        </w:rPr>
        <w:t> </w:t>
      </w:r>
      <w:r>
        <w:rPr/>
        <w:t>using data</w:t>
      </w:r>
      <w:r>
        <w:rPr>
          <w:spacing w:val="-4"/>
        </w:rPr>
        <w:t> </w:t>
      </w:r>
      <w:r>
        <w:rPr/>
        <w:t>about</w:t>
      </w:r>
      <w:r>
        <w:rPr>
          <w:spacing w:val="-3"/>
        </w:rPr>
        <w:t> </w:t>
      </w:r>
      <w:r>
        <w:rPr/>
        <w:t>socioeconomic</w:t>
      </w:r>
      <w:r>
        <w:rPr>
          <w:spacing w:val="-4"/>
        </w:rPr>
        <w:t> </w:t>
      </w:r>
      <w:r>
        <w:rPr/>
        <w:t>factors</w:t>
      </w:r>
      <w:r>
        <w:rPr>
          <w:spacing w:val="-2"/>
        </w:rPr>
        <w:t> </w:t>
      </w:r>
      <w:r>
        <w:rPr/>
        <w:t>that</w:t>
      </w:r>
      <w:r>
        <w:rPr>
          <w:spacing w:val="-3"/>
        </w:rPr>
        <w:t> </w:t>
      </w:r>
      <w:r>
        <w:rPr/>
        <w:t>cause</w:t>
      </w:r>
      <w:r>
        <w:rPr>
          <w:spacing w:val="-4"/>
        </w:rPr>
        <w:t> </w:t>
      </w:r>
      <w:r>
        <w:rPr/>
        <w:t>LGBTQ</w:t>
      </w:r>
      <w:r>
        <w:rPr>
          <w:spacing w:val="-3"/>
        </w:rPr>
        <w:t> </w:t>
      </w:r>
      <w:r>
        <w:rPr/>
        <w:t>youth</w:t>
      </w:r>
      <w:r>
        <w:rPr>
          <w:spacing w:val="-3"/>
        </w:rPr>
        <w:t> </w:t>
      </w:r>
      <w:r>
        <w:rPr/>
        <w:t>to</w:t>
      </w:r>
      <w:r>
        <w:rPr>
          <w:spacing w:val="-2"/>
        </w:rPr>
        <w:t> </w:t>
      </w:r>
      <w:r>
        <w:rPr/>
        <w:t>be</w:t>
      </w:r>
      <w:r>
        <w:rPr>
          <w:spacing w:val="-2"/>
        </w:rPr>
        <w:t> </w:t>
      </w:r>
      <w:r>
        <w:rPr/>
        <w:t>disproportionately</w:t>
      </w:r>
      <w:r>
        <w:rPr>
          <w:spacing w:val="-3"/>
        </w:rPr>
        <w:t> </w:t>
      </w:r>
      <w:r>
        <w:rPr/>
        <w:t>exposed</w:t>
      </w:r>
      <w:r>
        <w:rPr>
          <w:spacing w:val="-3"/>
        </w:rPr>
        <w:t> </w:t>
      </w:r>
      <w:r>
        <w:rPr/>
        <w:t>to</w:t>
      </w:r>
      <w:r>
        <w:rPr>
          <w:spacing w:val="-3"/>
        </w:rPr>
        <w:t> </w:t>
      </w:r>
      <w:r>
        <w:rPr/>
        <w:t>pollution and social determinants of health that worsen the impacts of exposure. In addition, it is important to consider the value of multiple types of knowledge. Although data is a powerful tool, it also has many limitations and uncertainties. In the sections that follow, we will not only consider surveys and studies that</w:t>
      </w:r>
      <w:r>
        <w:rPr>
          <w:spacing w:val="-1"/>
        </w:rPr>
        <w:t> </w:t>
      </w:r>
      <w:r>
        <w:rPr/>
        <w:t>use</w:t>
      </w:r>
      <w:r>
        <w:rPr>
          <w:spacing w:val="-2"/>
        </w:rPr>
        <w:t> </w:t>
      </w:r>
      <w:r>
        <w:rPr/>
        <w:t>numerical</w:t>
      </w:r>
      <w:r>
        <w:rPr>
          <w:spacing w:val="-2"/>
        </w:rPr>
        <w:t> </w:t>
      </w:r>
      <w:r>
        <w:rPr/>
        <w:t>data to draw</w:t>
      </w:r>
      <w:r>
        <w:rPr>
          <w:spacing w:val="-2"/>
        </w:rPr>
        <w:t> </w:t>
      </w:r>
      <w:r>
        <w:rPr/>
        <w:t>conclusions,</w:t>
      </w:r>
      <w:r>
        <w:rPr>
          <w:spacing w:val="-2"/>
        </w:rPr>
        <w:t> </w:t>
      </w:r>
      <w:r>
        <w:rPr/>
        <w:t>but</w:t>
      </w:r>
      <w:r>
        <w:rPr>
          <w:spacing w:val="-2"/>
        </w:rPr>
        <w:t> </w:t>
      </w:r>
      <w:r>
        <w:rPr/>
        <w:t>also draw</w:t>
      </w:r>
      <w:r>
        <w:rPr>
          <w:spacing w:val="-2"/>
        </w:rPr>
        <w:t> </w:t>
      </w:r>
      <w:r>
        <w:rPr/>
        <w:t>on</w:t>
      </w:r>
      <w:r>
        <w:rPr>
          <w:spacing w:val="-2"/>
        </w:rPr>
        <w:t> </w:t>
      </w:r>
      <w:r>
        <w:rPr/>
        <w:t>experiential</w:t>
      </w:r>
      <w:r>
        <w:rPr>
          <w:spacing w:val="-2"/>
        </w:rPr>
        <w:t> </w:t>
      </w:r>
      <w:r>
        <w:rPr/>
        <w:t>knowledge</w:t>
      </w:r>
      <w:r>
        <w:rPr>
          <w:spacing w:val="-2"/>
        </w:rPr>
        <w:t> </w:t>
      </w:r>
      <w:r>
        <w:rPr/>
        <w:t>shared</w:t>
      </w:r>
      <w:r>
        <w:rPr>
          <w:spacing w:val="-1"/>
        </w:rPr>
        <w:t> </w:t>
      </w:r>
      <w:r>
        <w:rPr/>
        <w:t>directly</w:t>
      </w:r>
      <w:r>
        <w:rPr>
          <w:spacing w:val="-2"/>
        </w:rPr>
        <w:t> </w:t>
      </w:r>
      <w:r>
        <w:rPr/>
        <w:t>by community members.</w:t>
      </w:r>
    </w:p>
    <w:p>
      <w:pPr>
        <w:spacing w:before="240"/>
        <w:ind w:left="323" w:right="0" w:firstLine="0"/>
        <w:jc w:val="both"/>
        <w:rPr>
          <w:sz w:val="28"/>
        </w:rPr>
      </w:pPr>
      <w:bookmarkStart w:name="Exposure to Pollution and Environmental " w:id="824"/>
      <w:bookmarkEnd w:id="824"/>
      <w:r>
        <w:rPr/>
      </w:r>
      <w:r>
        <w:rPr>
          <w:color w:val="365F91"/>
          <w:sz w:val="28"/>
        </w:rPr>
        <w:t>Exposure</w:t>
      </w:r>
      <w:r>
        <w:rPr>
          <w:color w:val="365F91"/>
          <w:spacing w:val="-12"/>
          <w:sz w:val="28"/>
        </w:rPr>
        <w:t> </w:t>
      </w:r>
      <w:r>
        <w:rPr>
          <w:color w:val="365F91"/>
          <w:sz w:val="28"/>
        </w:rPr>
        <w:t>to</w:t>
      </w:r>
      <w:r>
        <w:rPr>
          <w:color w:val="365F91"/>
          <w:spacing w:val="-11"/>
          <w:sz w:val="28"/>
        </w:rPr>
        <w:t> </w:t>
      </w:r>
      <w:r>
        <w:rPr>
          <w:color w:val="365F91"/>
          <w:sz w:val="28"/>
        </w:rPr>
        <w:t>Pollution</w:t>
      </w:r>
      <w:r>
        <w:rPr>
          <w:color w:val="365F91"/>
          <w:spacing w:val="-11"/>
          <w:sz w:val="28"/>
        </w:rPr>
        <w:t> </w:t>
      </w:r>
      <w:r>
        <w:rPr>
          <w:color w:val="365F91"/>
          <w:sz w:val="28"/>
        </w:rPr>
        <w:t>and</w:t>
      </w:r>
      <w:r>
        <w:rPr>
          <w:color w:val="365F91"/>
          <w:spacing w:val="-12"/>
          <w:sz w:val="28"/>
        </w:rPr>
        <w:t> </w:t>
      </w:r>
      <w:r>
        <w:rPr>
          <w:color w:val="365F91"/>
          <w:sz w:val="28"/>
        </w:rPr>
        <w:t>Environmental</w:t>
      </w:r>
      <w:r>
        <w:rPr>
          <w:color w:val="365F91"/>
          <w:spacing w:val="-10"/>
          <w:sz w:val="28"/>
        </w:rPr>
        <w:t> </w:t>
      </w:r>
      <w:r>
        <w:rPr>
          <w:color w:val="365F91"/>
          <w:spacing w:val="-2"/>
          <w:sz w:val="28"/>
        </w:rPr>
        <w:t>Hazards</w:t>
      </w:r>
    </w:p>
    <w:p>
      <w:pPr>
        <w:pStyle w:val="BodyText"/>
        <w:spacing w:line="276" w:lineRule="auto" w:before="292"/>
        <w:ind w:left="323" w:right="142"/>
        <w:jc w:val="both"/>
      </w:pPr>
      <w:r>
        <w:rPr/>
        <w:t>Research on LGBTQ health disparities is vast but has historically left out the role of the physical environment</w:t>
      </w:r>
      <w:hyperlink w:history="true" w:anchor="_bookmark547">
        <w:r>
          <w:rPr/>
          <w:t>.</w:t>
        </w:r>
        <w:r>
          <w:rPr>
            <w:vertAlign w:val="superscript"/>
          </w:rPr>
          <w:t>18</w:t>
        </w:r>
      </w:hyperlink>
      <w:r>
        <w:rPr>
          <w:vertAlign w:val="baseline"/>
        </w:rPr>
        <w:t> However, there is mounting evidence that LGBTQ communities are disproportionately exposed to pollution and environmental hazards; it is especially important to consider the disproportionate</w:t>
      </w:r>
      <w:r>
        <w:rPr>
          <w:spacing w:val="-6"/>
          <w:vertAlign w:val="baseline"/>
        </w:rPr>
        <w:t> </w:t>
      </w:r>
      <w:r>
        <w:rPr>
          <w:vertAlign w:val="baseline"/>
        </w:rPr>
        <w:t>environmental</w:t>
      </w:r>
      <w:r>
        <w:rPr>
          <w:spacing w:val="-5"/>
          <w:vertAlign w:val="baseline"/>
        </w:rPr>
        <w:t> </w:t>
      </w:r>
      <w:r>
        <w:rPr>
          <w:vertAlign w:val="baseline"/>
        </w:rPr>
        <w:t>exposures</w:t>
      </w:r>
      <w:r>
        <w:rPr>
          <w:spacing w:val="-6"/>
          <w:vertAlign w:val="baseline"/>
        </w:rPr>
        <w:t> </w:t>
      </w:r>
      <w:r>
        <w:rPr>
          <w:vertAlign w:val="baseline"/>
        </w:rPr>
        <w:t>faced</w:t>
      </w:r>
      <w:r>
        <w:rPr>
          <w:spacing w:val="-5"/>
          <w:vertAlign w:val="baseline"/>
        </w:rPr>
        <w:t> </w:t>
      </w:r>
      <w:r>
        <w:rPr>
          <w:vertAlign w:val="baseline"/>
        </w:rPr>
        <w:t>by</w:t>
      </w:r>
      <w:r>
        <w:rPr>
          <w:spacing w:val="-5"/>
          <w:vertAlign w:val="baseline"/>
        </w:rPr>
        <w:t> </w:t>
      </w:r>
      <w:r>
        <w:rPr>
          <w:vertAlign w:val="baseline"/>
        </w:rPr>
        <w:t>LGBTQ</w:t>
      </w:r>
      <w:r>
        <w:rPr>
          <w:spacing w:val="-5"/>
          <w:vertAlign w:val="baseline"/>
        </w:rPr>
        <w:t> </w:t>
      </w:r>
      <w:r>
        <w:rPr>
          <w:vertAlign w:val="baseline"/>
        </w:rPr>
        <w:t>populations</w:t>
      </w:r>
      <w:r>
        <w:rPr>
          <w:spacing w:val="-6"/>
          <w:vertAlign w:val="baseline"/>
        </w:rPr>
        <w:t> </w:t>
      </w:r>
      <w:r>
        <w:rPr>
          <w:vertAlign w:val="baseline"/>
        </w:rPr>
        <w:t>affected</w:t>
      </w:r>
      <w:r>
        <w:rPr>
          <w:spacing w:val="-6"/>
          <w:vertAlign w:val="baseline"/>
        </w:rPr>
        <w:t> </w:t>
      </w:r>
      <w:r>
        <w:rPr>
          <w:vertAlign w:val="baseline"/>
        </w:rPr>
        <w:t>by</w:t>
      </w:r>
      <w:r>
        <w:rPr>
          <w:spacing w:val="-5"/>
          <w:vertAlign w:val="baseline"/>
        </w:rPr>
        <w:t> </w:t>
      </w:r>
      <w:r>
        <w:rPr>
          <w:vertAlign w:val="baseline"/>
        </w:rPr>
        <w:t>multiple</w:t>
      </w:r>
      <w:r>
        <w:rPr>
          <w:spacing w:val="-5"/>
          <w:vertAlign w:val="baseline"/>
        </w:rPr>
        <w:t> </w:t>
      </w:r>
      <w:r>
        <w:rPr>
          <w:vertAlign w:val="baseline"/>
        </w:rPr>
        <w:t>intersecting systems</w:t>
      </w:r>
      <w:r>
        <w:rPr>
          <w:spacing w:val="-5"/>
          <w:vertAlign w:val="baseline"/>
        </w:rPr>
        <w:t> </w:t>
      </w:r>
      <w:r>
        <w:rPr>
          <w:vertAlign w:val="baseline"/>
        </w:rPr>
        <w:t>of</w:t>
      </w:r>
      <w:r>
        <w:rPr>
          <w:spacing w:val="-5"/>
          <w:vertAlign w:val="baseline"/>
        </w:rPr>
        <w:t> </w:t>
      </w:r>
      <w:r>
        <w:rPr>
          <w:vertAlign w:val="baseline"/>
        </w:rPr>
        <w:t>oppression.</w:t>
      </w:r>
      <w:r>
        <w:rPr>
          <w:spacing w:val="-5"/>
          <w:vertAlign w:val="baseline"/>
        </w:rPr>
        <w:t> </w:t>
      </w:r>
      <w:r>
        <w:rPr>
          <w:vertAlign w:val="baseline"/>
        </w:rPr>
        <w:t>Research</w:t>
      </w:r>
      <w:r>
        <w:rPr>
          <w:spacing w:val="-5"/>
          <w:vertAlign w:val="baseline"/>
        </w:rPr>
        <w:t> </w:t>
      </w:r>
      <w:r>
        <w:rPr>
          <w:vertAlign w:val="baseline"/>
        </w:rPr>
        <w:t>and</w:t>
      </w:r>
      <w:r>
        <w:rPr>
          <w:spacing w:val="-5"/>
          <w:vertAlign w:val="baseline"/>
        </w:rPr>
        <w:t> </w:t>
      </w:r>
      <w:r>
        <w:rPr>
          <w:vertAlign w:val="baseline"/>
        </w:rPr>
        <w:t>organizing</w:t>
      </w:r>
      <w:r>
        <w:rPr>
          <w:spacing w:val="-5"/>
          <w:vertAlign w:val="baseline"/>
        </w:rPr>
        <w:t> </w:t>
      </w:r>
      <w:r>
        <w:rPr>
          <w:vertAlign w:val="baseline"/>
        </w:rPr>
        <w:t>around</w:t>
      </w:r>
      <w:r>
        <w:rPr>
          <w:spacing w:val="-5"/>
          <w:vertAlign w:val="baseline"/>
        </w:rPr>
        <w:t> </w:t>
      </w:r>
      <w:r>
        <w:rPr>
          <w:vertAlign w:val="baseline"/>
        </w:rPr>
        <w:t>disparities</w:t>
      </w:r>
      <w:r>
        <w:rPr>
          <w:spacing w:val="-4"/>
          <w:vertAlign w:val="baseline"/>
        </w:rPr>
        <w:t> </w:t>
      </w:r>
      <w:r>
        <w:rPr>
          <w:vertAlign w:val="baseline"/>
        </w:rPr>
        <w:t>in</w:t>
      </w:r>
      <w:r>
        <w:rPr>
          <w:spacing w:val="-5"/>
          <w:vertAlign w:val="baseline"/>
        </w:rPr>
        <w:t> </w:t>
      </w:r>
      <w:r>
        <w:rPr>
          <w:vertAlign w:val="baseline"/>
        </w:rPr>
        <w:t>exposures</w:t>
      </w:r>
      <w:r>
        <w:rPr>
          <w:spacing w:val="-4"/>
          <w:vertAlign w:val="baseline"/>
        </w:rPr>
        <w:t> </w:t>
      </w:r>
      <w:r>
        <w:rPr>
          <w:vertAlign w:val="baseline"/>
        </w:rPr>
        <w:t>based</w:t>
      </w:r>
      <w:r>
        <w:rPr>
          <w:spacing w:val="-5"/>
          <w:vertAlign w:val="baseline"/>
        </w:rPr>
        <w:t> </w:t>
      </w:r>
      <w:r>
        <w:rPr>
          <w:vertAlign w:val="baseline"/>
        </w:rPr>
        <w:t>on</w:t>
      </w:r>
      <w:r>
        <w:rPr>
          <w:spacing w:val="-5"/>
          <w:vertAlign w:val="baseline"/>
        </w:rPr>
        <w:t> </w:t>
      </w:r>
      <w:r>
        <w:rPr>
          <w:vertAlign w:val="baseline"/>
        </w:rPr>
        <w:t>race,</w:t>
      </w:r>
      <w:r>
        <w:rPr>
          <w:spacing w:val="-5"/>
          <w:vertAlign w:val="baseline"/>
        </w:rPr>
        <w:t> </w:t>
      </w:r>
      <w:r>
        <w:rPr>
          <w:vertAlign w:val="baseline"/>
        </w:rPr>
        <w:t>class,</w:t>
      </w:r>
      <w:r>
        <w:rPr>
          <w:spacing w:val="-5"/>
          <w:vertAlign w:val="baseline"/>
        </w:rPr>
        <w:t> </w:t>
      </w:r>
      <w:r>
        <w:rPr>
          <w:vertAlign w:val="baseline"/>
        </w:rPr>
        <w:t>and Indigeneity are</w:t>
      </w:r>
      <w:r>
        <w:rPr>
          <w:spacing w:val="-1"/>
          <w:vertAlign w:val="baseline"/>
        </w:rPr>
        <w:t> </w:t>
      </w:r>
      <w:r>
        <w:rPr>
          <w:vertAlign w:val="baseline"/>
        </w:rPr>
        <w:t>extensive</w:t>
      </w:r>
      <w:r>
        <w:rPr>
          <w:spacing w:val="-1"/>
          <w:vertAlign w:val="baseline"/>
        </w:rPr>
        <w:t> </w:t>
      </w:r>
      <w:r>
        <w:rPr>
          <w:vertAlign w:val="baseline"/>
        </w:rPr>
        <w:t>and</w:t>
      </w:r>
      <w:r>
        <w:rPr>
          <w:spacing w:val="-1"/>
          <w:vertAlign w:val="baseline"/>
        </w:rPr>
        <w:t> </w:t>
      </w:r>
      <w:r>
        <w:rPr>
          <w:vertAlign w:val="baseline"/>
        </w:rPr>
        <w:t>clearly demonstrate that</w:t>
      </w:r>
      <w:r>
        <w:rPr>
          <w:spacing w:val="-1"/>
          <w:vertAlign w:val="baseline"/>
        </w:rPr>
        <w:t> </w:t>
      </w:r>
      <w:r>
        <w:rPr>
          <w:vertAlign w:val="baseline"/>
        </w:rPr>
        <w:t>low-income</w:t>
      </w:r>
      <w:r>
        <w:rPr>
          <w:spacing w:val="-1"/>
          <w:vertAlign w:val="baseline"/>
        </w:rPr>
        <w:t> </w:t>
      </w:r>
      <w:r>
        <w:rPr>
          <w:vertAlign w:val="baseline"/>
        </w:rPr>
        <w:t>communities of color experience the</w:t>
      </w:r>
    </w:p>
    <w:p>
      <w:pPr>
        <w:spacing w:after="0" w:line="276" w:lineRule="auto"/>
        <w:jc w:val="both"/>
        <w:sectPr>
          <w:pgSz w:w="12240" w:h="15840"/>
          <w:pgMar w:header="800" w:footer="1459" w:top="1300" w:bottom="1700" w:left="1120" w:right="1300"/>
        </w:sectPr>
      </w:pPr>
    </w:p>
    <w:p>
      <w:pPr>
        <w:pStyle w:val="BodyText"/>
        <w:spacing w:line="276" w:lineRule="auto" w:before="67"/>
        <w:ind w:left="323" w:right="142"/>
        <w:jc w:val="both"/>
      </w:pPr>
      <w:r>
        <w:rPr/>
        <w:t>greatest exposure to pollution in the places they live, work, and play, as well as the consumer products they use. Black and Indigenous communities bear particularly high burdens of pollution and environmental health risk. When considering the impacts of environmental exposures on LGBTQ populations, it is crucial to highlight that QTBIPOC youth and low-income LGBTQ youth may experience multiple compounding burdens of environmental exposure.</w:t>
      </w:r>
    </w:p>
    <w:p>
      <w:pPr>
        <w:pStyle w:val="BodyText"/>
        <w:spacing w:line="276" w:lineRule="auto" w:before="240"/>
        <w:ind w:left="323" w:right="140"/>
        <w:jc w:val="both"/>
      </w:pPr>
      <w:r>
        <w:rPr/>
        <w:drawing>
          <wp:anchor distT="0" distB="0" distL="0" distR="0" allowOverlap="1" layoutInCell="1" locked="0" behindDoc="1" simplePos="0" relativeHeight="482640896">
            <wp:simplePos x="0" y="0"/>
            <wp:positionH relativeFrom="page">
              <wp:posOffset>4775835</wp:posOffset>
            </wp:positionH>
            <wp:positionV relativeFrom="paragraph">
              <wp:posOffset>807218</wp:posOffset>
            </wp:positionV>
            <wp:extent cx="2050414" cy="1927352"/>
            <wp:effectExtent l="0" t="0" r="0" b="0"/>
            <wp:wrapNone/>
            <wp:docPr id="484" name="Image 484"/>
            <wp:cNvGraphicFramePr>
              <a:graphicFrameLocks/>
            </wp:cNvGraphicFramePr>
            <a:graphic>
              <a:graphicData uri="http://schemas.openxmlformats.org/drawingml/2006/picture">
                <pic:pic>
                  <pic:nvPicPr>
                    <pic:cNvPr id="484" name="Image 484"/>
                    <pic:cNvPicPr/>
                  </pic:nvPicPr>
                  <pic:blipFill>
                    <a:blip r:embed="rId618" cstate="print"/>
                    <a:stretch>
                      <a:fillRect/>
                    </a:stretch>
                  </pic:blipFill>
                  <pic:spPr>
                    <a:xfrm>
                      <a:off x="0" y="0"/>
                      <a:ext cx="2050414" cy="1927352"/>
                    </a:xfrm>
                    <a:prstGeom prst="rect">
                      <a:avLst/>
                    </a:prstGeom>
                  </pic:spPr>
                </pic:pic>
              </a:graphicData>
            </a:graphic>
          </wp:anchor>
        </w:drawing>
      </w:r>
      <w:r>
        <w:rPr/>
        <w:t>First,</w:t>
      </w:r>
      <w:r>
        <w:rPr>
          <w:spacing w:val="-6"/>
        </w:rPr>
        <w:t> </w:t>
      </w:r>
      <w:r>
        <w:rPr/>
        <w:t>there</w:t>
      </w:r>
      <w:r>
        <w:rPr>
          <w:spacing w:val="-7"/>
        </w:rPr>
        <w:t> </w:t>
      </w:r>
      <w:r>
        <w:rPr/>
        <w:t>is</w:t>
      </w:r>
      <w:r>
        <w:rPr>
          <w:spacing w:val="-4"/>
        </w:rPr>
        <w:t> </w:t>
      </w:r>
      <w:r>
        <w:rPr/>
        <w:t>growing</w:t>
      </w:r>
      <w:r>
        <w:rPr>
          <w:spacing w:val="-7"/>
        </w:rPr>
        <w:t> </w:t>
      </w:r>
      <w:r>
        <w:rPr/>
        <w:t>evidence</w:t>
      </w:r>
      <w:r>
        <w:rPr>
          <w:spacing w:val="-5"/>
        </w:rPr>
        <w:t> </w:t>
      </w:r>
      <w:r>
        <w:rPr/>
        <w:t>that</w:t>
      </w:r>
      <w:r>
        <w:rPr>
          <w:spacing w:val="-7"/>
        </w:rPr>
        <w:t> </w:t>
      </w:r>
      <w:r>
        <w:rPr/>
        <w:t>ambient</w:t>
      </w:r>
      <w:r>
        <w:rPr>
          <w:spacing w:val="-6"/>
        </w:rPr>
        <w:t> </w:t>
      </w:r>
      <w:r>
        <w:rPr/>
        <w:t>air</w:t>
      </w:r>
      <w:r>
        <w:rPr>
          <w:spacing w:val="-5"/>
        </w:rPr>
        <w:t> </w:t>
      </w:r>
      <w:r>
        <w:rPr/>
        <w:t>pollution</w:t>
      </w:r>
      <w:r>
        <w:rPr>
          <w:spacing w:val="-5"/>
        </w:rPr>
        <w:t> </w:t>
      </w:r>
      <w:r>
        <w:rPr/>
        <w:t>disproportionally</w:t>
      </w:r>
      <w:r>
        <w:rPr>
          <w:spacing w:val="-6"/>
        </w:rPr>
        <w:t> </w:t>
      </w:r>
      <w:r>
        <w:rPr/>
        <w:t>affects</w:t>
      </w:r>
      <w:r>
        <w:rPr>
          <w:spacing w:val="-5"/>
        </w:rPr>
        <w:t> </w:t>
      </w:r>
      <w:r>
        <w:rPr/>
        <w:t>LGBTQ</w:t>
      </w:r>
      <w:r>
        <w:rPr>
          <w:spacing w:val="-7"/>
        </w:rPr>
        <w:t> </w:t>
      </w:r>
      <w:r>
        <w:rPr/>
        <w:t>youth</w:t>
      </w:r>
      <w:r>
        <w:rPr>
          <w:spacing w:val="-5"/>
        </w:rPr>
        <w:t> </w:t>
      </w:r>
      <w:r>
        <w:rPr/>
        <w:t>because of the places LGBTQ people live. Due to higher rates of poverty compared to non-LGBTQ populations, LGBTQ people may be more likely to live in neighborhoods where they will face higher exposure to air pollution.</w:t>
      </w:r>
      <w:r>
        <w:rPr>
          <w:spacing w:val="40"/>
        </w:rPr>
        <w:t> </w:t>
      </w:r>
      <w:r>
        <w:rPr/>
        <w:t>In</w:t>
      </w:r>
      <w:r>
        <w:rPr>
          <w:spacing w:val="40"/>
        </w:rPr>
        <w:t> </w:t>
      </w:r>
      <w:r>
        <w:rPr/>
        <w:t>2021,</w:t>
      </w:r>
      <w:r>
        <w:rPr>
          <w:spacing w:val="40"/>
        </w:rPr>
        <w:t> </w:t>
      </w:r>
      <w:r>
        <w:rPr/>
        <w:t>survey</w:t>
      </w:r>
      <w:r>
        <w:rPr>
          <w:spacing w:val="40"/>
        </w:rPr>
        <w:t> </w:t>
      </w:r>
      <w:r>
        <w:rPr/>
        <w:t>data</w:t>
      </w:r>
      <w:r>
        <w:rPr>
          <w:spacing w:val="40"/>
        </w:rPr>
        <w:t> </w:t>
      </w:r>
      <w:r>
        <w:rPr/>
        <w:t>from</w:t>
      </w:r>
      <w:r>
        <w:rPr>
          <w:spacing w:val="40"/>
        </w:rPr>
        <w:t> </w:t>
      </w:r>
      <w:r>
        <w:rPr/>
        <w:t>the</w:t>
      </w:r>
      <w:r>
        <w:rPr>
          <w:spacing w:val="40"/>
        </w:rPr>
        <w:t> </w:t>
      </w:r>
      <w:r>
        <w:rPr/>
        <w:t>Behavioral</w:t>
      </w:r>
      <w:r>
        <w:rPr>
          <w:spacing w:val="40"/>
        </w:rPr>
        <w:t> </w:t>
      </w:r>
      <w:r>
        <w:rPr/>
        <w:t>Risk</w:t>
      </w:r>
      <w:r>
        <w:rPr>
          <w:spacing w:val="40"/>
        </w:rPr>
        <w:t> </w:t>
      </w:r>
      <w:r>
        <w:rPr/>
        <w:t>Factor</w:t>
      </w:r>
    </w:p>
    <w:p>
      <w:pPr>
        <w:pStyle w:val="BodyText"/>
        <w:spacing w:line="276" w:lineRule="auto"/>
        <w:ind w:left="323" w:right="3596"/>
        <w:jc w:val="both"/>
      </w:pPr>
      <w:r>
        <w:rPr/>
        <w:t>Surveillance System (BRFSS) and the U.S. Census Household Pulse System (HPS) showed that 17% of LGBTQ people, 21% of trans people, and 25% of LGBTQ people of color lived in poverty in the U.S., compared to 12% of non-LGBTQ people and 20% of non- LGBTQ people of color</w:t>
      </w:r>
      <w:hyperlink w:history="true" w:anchor="_bookmark547">
        <w:r>
          <w:rPr/>
          <w:t>.</w:t>
        </w:r>
        <w:r>
          <w:rPr>
            <w:vertAlign w:val="superscript"/>
          </w:rPr>
          <w:t>19</w:t>
        </w:r>
      </w:hyperlink>
      <w:r>
        <w:rPr>
          <w:vertAlign w:val="baseline"/>
        </w:rPr>
        <w:t> The last state-level analysis of LGBTQ poverty</w:t>
      </w:r>
      <w:r>
        <w:rPr>
          <w:spacing w:val="-13"/>
          <w:vertAlign w:val="baseline"/>
        </w:rPr>
        <w:t> </w:t>
      </w:r>
      <w:r>
        <w:rPr>
          <w:vertAlign w:val="baseline"/>
        </w:rPr>
        <w:t>rates</w:t>
      </w:r>
      <w:r>
        <w:rPr>
          <w:spacing w:val="-12"/>
          <w:vertAlign w:val="baseline"/>
        </w:rPr>
        <w:t> </w:t>
      </w:r>
      <w:r>
        <w:rPr>
          <w:vertAlign w:val="baseline"/>
        </w:rPr>
        <w:t>was</w:t>
      </w:r>
      <w:r>
        <w:rPr>
          <w:spacing w:val="-13"/>
          <w:vertAlign w:val="baseline"/>
        </w:rPr>
        <w:t> </w:t>
      </w:r>
      <w:r>
        <w:rPr>
          <w:vertAlign w:val="baseline"/>
        </w:rPr>
        <w:t>completed</w:t>
      </w:r>
      <w:r>
        <w:rPr>
          <w:spacing w:val="-12"/>
          <w:vertAlign w:val="baseline"/>
        </w:rPr>
        <w:t> </w:t>
      </w:r>
      <w:r>
        <w:rPr>
          <w:vertAlign w:val="baseline"/>
        </w:rPr>
        <w:t>in</w:t>
      </w:r>
      <w:r>
        <w:rPr>
          <w:spacing w:val="-13"/>
          <w:vertAlign w:val="baseline"/>
        </w:rPr>
        <w:t> </w:t>
      </w:r>
      <w:r>
        <w:rPr>
          <w:vertAlign w:val="baseline"/>
        </w:rPr>
        <w:t>2019</w:t>
      </w:r>
      <w:r>
        <w:rPr>
          <w:spacing w:val="-12"/>
          <w:vertAlign w:val="baseline"/>
        </w:rPr>
        <w:t> </w:t>
      </w:r>
      <w:r>
        <w:rPr>
          <w:vertAlign w:val="baseline"/>
        </w:rPr>
        <w:t>using</w:t>
      </w:r>
      <w:r>
        <w:rPr>
          <w:spacing w:val="-13"/>
          <w:vertAlign w:val="baseline"/>
        </w:rPr>
        <w:t> </w:t>
      </w:r>
      <w:r>
        <w:rPr>
          <w:vertAlign w:val="baseline"/>
        </w:rPr>
        <w:t>BRFSS</w:t>
      </w:r>
      <w:r>
        <w:rPr>
          <w:spacing w:val="-12"/>
          <w:vertAlign w:val="baseline"/>
        </w:rPr>
        <w:t> </w:t>
      </w:r>
      <w:r>
        <w:rPr>
          <w:vertAlign w:val="baseline"/>
        </w:rPr>
        <w:t>survey</w:t>
      </w:r>
      <w:r>
        <w:rPr>
          <w:spacing w:val="-12"/>
          <w:vertAlign w:val="baseline"/>
        </w:rPr>
        <w:t> </w:t>
      </w:r>
      <w:r>
        <w:rPr>
          <w:vertAlign w:val="baseline"/>
        </w:rPr>
        <w:t>data</w:t>
      </w:r>
      <w:r>
        <w:rPr>
          <w:spacing w:val="-13"/>
          <w:vertAlign w:val="baseline"/>
        </w:rPr>
        <w:t> </w:t>
      </w:r>
      <w:r>
        <w:rPr>
          <w:vertAlign w:val="baseline"/>
        </w:rPr>
        <w:t>from 2015-2017.</w:t>
      </w:r>
      <w:r>
        <w:rPr>
          <w:spacing w:val="-3"/>
          <w:vertAlign w:val="baseline"/>
        </w:rPr>
        <w:t> </w:t>
      </w:r>
      <w:r>
        <w:rPr>
          <w:vertAlign w:val="baseline"/>
        </w:rPr>
        <w:t>In</w:t>
      </w:r>
      <w:r>
        <w:rPr>
          <w:spacing w:val="-3"/>
          <w:vertAlign w:val="baseline"/>
        </w:rPr>
        <w:t> </w:t>
      </w:r>
      <w:r>
        <w:rPr>
          <w:vertAlign w:val="baseline"/>
        </w:rPr>
        <w:t>this</w:t>
      </w:r>
      <w:r>
        <w:rPr>
          <w:spacing w:val="-2"/>
          <w:vertAlign w:val="baseline"/>
        </w:rPr>
        <w:t> </w:t>
      </w:r>
      <w:r>
        <w:rPr>
          <w:vertAlign w:val="baseline"/>
        </w:rPr>
        <w:t>dataset,</w:t>
      </w:r>
      <w:r>
        <w:rPr>
          <w:spacing w:val="-2"/>
          <w:vertAlign w:val="baseline"/>
        </w:rPr>
        <w:t> </w:t>
      </w:r>
      <w:r>
        <w:rPr>
          <w:vertAlign w:val="baseline"/>
        </w:rPr>
        <w:t>the</w:t>
      </w:r>
      <w:r>
        <w:rPr>
          <w:spacing w:val="-1"/>
          <w:vertAlign w:val="baseline"/>
        </w:rPr>
        <w:t> </w:t>
      </w:r>
      <w:r>
        <w:rPr>
          <w:vertAlign w:val="baseline"/>
        </w:rPr>
        <w:t>poverty</w:t>
      </w:r>
      <w:r>
        <w:rPr>
          <w:spacing w:val="-1"/>
          <w:vertAlign w:val="baseline"/>
        </w:rPr>
        <w:t> </w:t>
      </w:r>
      <w:r>
        <w:rPr>
          <w:vertAlign w:val="baseline"/>
        </w:rPr>
        <w:t>rate</w:t>
      </w:r>
      <w:r>
        <w:rPr>
          <w:spacing w:val="-3"/>
          <w:vertAlign w:val="baseline"/>
        </w:rPr>
        <w:t> </w:t>
      </w:r>
      <w:r>
        <w:rPr>
          <w:vertAlign w:val="baseline"/>
        </w:rPr>
        <w:t>was</w:t>
      </w:r>
      <w:r>
        <w:rPr>
          <w:spacing w:val="-2"/>
          <w:vertAlign w:val="baseline"/>
        </w:rPr>
        <w:t> </w:t>
      </w:r>
      <w:r>
        <w:rPr>
          <w:vertAlign w:val="baseline"/>
        </w:rPr>
        <w:t>higher</w:t>
      </w:r>
      <w:r>
        <w:rPr>
          <w:spacing w:val="-2"/>
          <w:vertAlign w:val="baseline"/>
        </w:rPr>
        <w:t> </w:t>
      </w:r>
      <w:r>
        <w:rPr>
          <w:vertAlign w:val="baseline"/>
        </w:rPr>
        <w:t>for</w:t>
      </w:r>
      <w:r>
        <w:rPr>
          <w:spacing w:val="-2"/>
          <w:vertAlign w:val="baseline"/>
        </w:rPr>
        <w:t> </w:t>
      </w:r>
      <w:r>
        <w:rPr>
          <w:vertAlign w:val="baseline"/>
        </w:rPr>
        <w:t>LGBTQ people in Massachusetts (13%) than for cis straight people (9%), LGBTQ</w:t>
      </w:r>
      <w:r>
        <w:rPr>
          <w:spacing w:val="-4"/>
          <w:vertAlign w:val="baseline"/>
        </w:rPr>
        <w:t> </w:t>
      </w:r>
      <w:r>
        <w:rPr>
          <w:vertAlign w:val="baseline"/>
        </w:rPr>
        <w:t>people</w:t>
      </w:r>
      <w:r>
        <w:rPr>
          <w:spacing w:val="-5"/>
          <w:vertAlign w:val="baseline"/>
        </w:rPr>
        <w:t> </w:t>
      </w:r>
      <w:r>
        <w:rPr>
          <w:vertAlign w:val="baseline"/>
        </w:rPr>
        <w:t>of</w:t>
      </w:r>
      <w:r>
        <w:rPr>
          <w:spacing w:val="-4"/>
          <w:vertAlign w:val="baseline"/>
        </w:rPr>
        <w:t> </w:t>
      </w:r>
      <w:r>
        <w:rPr>
          <w:vertAlign w:val="baseline"/>
        </w:rPr>
        <w:t>color</w:t>
      </w:r>
      <w:r>
        <w:rPr>
          <w:spacing w:val="-5"/>
          <w:vertAlign w:val="baseline"/>
        </w:rPr>
        <w:t> </w:t>
      </w:r>
      <w:r>
        <w:rPr>
          <w:vertAlign w:val="baseline"/>
        </w:rPr>
        <w:t>(26%)</w:t>
      </w:r>
      <w:r>
        <w:rPr>
          <w:spacing w:val="-5"/>
          <w:vertAlign w:val="baseline"/>
        </w:rPr>
        <w:t> </w:t>
      </w:r>
      <w:r>
        <w:rPr>
          <w:vertAlign w:val="baseline"/>
        </w:rPr>
        <w:t>had</w:t>
      </w:r>
      <w:r>
        <w:rPr>
          <w:spacing w:val="-4"/>
          <w:vertAlign w:val="baseline"/>
        </w:rPr>
        <w:t> </w:t>
      </w:r>
      <w:r>
        <w:rPr>
          <w:vertAlign w:val="baseline"/>
        </w:rPr>
        <w:t>a</w:t>
      </w:r>
      <w:r>
        <w:rPr>
          <w:spacing w:val="-4"/>
          <w:vertAlign w:val="baseline"/>
        </w:rPr>
        <w:t> </w:t>
      </w:r>
      <w:r>
        <w:rPr>
          <w:vertAlign w:val="baseline"/>
        </w:rPr>
        <w:t>higher</w:t>
      </w:r>
      <w:r>
        <w:rPr>
          <w:spacing w:val="-5"/>
          <w:vertAlign w:val="baseline"/>
        </w:rPr>
        <w:t> </w:t>
      </w:r>
      <w:r>
        <w:rPr>
          <w:vertAlign w:val="baseline"/>
        </w:rPr>
        <w:t>poverty</w:t>
      </w:r>
      <w:r>
        <w:rPr>
          <w:spacing w:val="-4"/>
          <w:vertAlign w:val="baseline"/>
        </w:rPr>
        <w:t> </w:t>
      </w:r>
      <w:r>
        <w:rPr>
          <w:vertAlign w:val="baseline"/>
        </w:rPr>
        <w:t>rate</w:t>
      </w:r>
      <w:r>
        <w:rPr>
          <w:spacing w:val="-4"/>
          <w:vertAlign w:val="baseline"/>
        </w:rPr>
        <w:t> </w:t>
      </w:r>
      <w:r>
        <w:rPr>
          <w:vertAlign w:val="baseline"/>
        </w:rPr>
        <w:t>than</w:t>
      </w:r>
      <w:r>
        <w:rPr>
          <w:spacing w:val="-4"/>
          <w:vertAlign w:val="baseline"/>
        </w:rPr>
        <w:t> </w:t>
      </w:r>
      <w:r>
        <w:rPr>
          <w:vertAlign w:val="baseline"/>
        </w:rPr>
        <w:t>white LGBTQ</w:t>
      </w:r>
      <w:r>
        <w:rPr>
          <w:spacing w:val="19"/>
          <w:vertAlign w:val="baseline"/>
        </w:rPr>
        <w:t> </w:t>
      </w:r>
      <w:r>
        <w:rPr>
          <w:vertAlign w:val="baseline"/>
        </w:rPr>
        <w:t>people</w:t>
      </w:r>
      <w:r>
        <w:rPr>
          <w:spacing w:val="18"/>
          <w:vertAlign w:val="baseline"/>
        </w:rPr>
        <w:t> </w:t>
      </w:r>
      <w:r>
        <w:rPr>
          <w:vertAlign w:val="baseline"/>
        </w:rPr>
        <w:t>(9%),</w:t>
      </w:r>
      <w:r>
        <w:rPr>
          <w:spacing w:val="18"/>
          <w:vertAlign w:val="baseline"/>
        </w:rPr>
        <w:t> </w:t>
      </w:r>
      <w:r>
        <w:rPr>
          <w:vertAlign w:val="baseline"/>
        </w:rPr>
        <w:t>and</w:t>
      </w:r>
      <w:r>
        <w:rPr>
          <w:spacing w:val="20"/>
          <w:vertAlign w:val="baseline"/>
        </w:rPr>
        <w:t> </w:t>
      </w:r>
      <w:r>
        <w:rPr>
          <w:vertAlign w:val="baseline"/>
        </w:rPr>
        <w:t>LGBTQ</w:t>
      </w:r>
      <w:r>
        <w:rPr>
          <w:spacing w:val="19"/>
          <w:vertAlign w:val="baseline"/>
        </w:rPr>
        <w:t> </w:t>
      </w:r>
      <w:r>
        <w:rPr>
          <w:vertAlign w:val="baseline"/>
        </w:rPr>
        <w:t>people</w:t>
      </w:r>
      <w:r>
        <w:rPr>
          <w:spacing w:val="19"/>
          <w:vertAlign w:val="baseline"/>
        </w:rPr>
        <w:t> </w:t>
      </w:r>
      <w:r>
        <w:rPr>
          <w:vertAlign w:val="baseline"/>
        </w:rPr>
        <w:t>aged</w:t>
      </w:r>
      <w:r>
        <w:rPr>
          <w:spacing w:val="18"/>
          <w:vertAlign w:val="baseline"/>
        </w:rPr>
        <w:t> </w:t>
      </w:r>
      <w:r>
        <w:rPr>
          <w:vertAlign w:val="baseline"/>
        </w:rPr>
        <w:t>18-44</w:t>
      </w:r>
      <w:r>
        <w:rPr>
          <w:spacing w:val="21"/>
          <w:vertAlign w:val="baseline"/>
        </w:rPr>
        <w:t> </w:t>
      </w:r>
      <w:r>
        <w:rPr>
          <w:vertAlign w:val="baseline"/>
        </w:rPr>
        <w:t>(16%)</w:t>
      </w:r>
      <w:r>
        <w:rPr>
          <w:spacing w:val="18"/>
          <w:vertAlign w:val="baseline"/>
        </w:rPr>
        <w:t> </w:t>
      </w:r>
      <w:r>
        <w:rPr>
          <w:vertAlign w:val="baseline"/>
        </w:rPr>
        <w:t>had</w:t>
      </w:r>
      <w:r>
        <w:rPr>
          <w:spacing w:val="18"/>
          <w:vertAlign w:val="baseline"/>
        </w:rPr>
        <w:t> </w:t>
      </w:r>
      <w:r>
        <w:rPr>
          <w:spacing w:val="-10"/>
          <w:vertAlign w:val="baseline"/>
        </w:rPr>
        <w:t>a</w:t>
      </w:r>
    </w:p>
    <w:p>
      <w:pPr>
        <w:pStyle w:val="BodyText"/>
        <w:spacing w:line="276" w:lineRule="auto" w:before="1"/>
        <w:ind w:left="323" w:right="141" w:hanging="1"/>
        <w:jc w:val="both"/>
      </w:pPr>
      <w:r>
        <w:rPr/>
        <w:t>higher poverty rate than LGBTQ people aged 45 or older (8%)</w:t>
      </w:r>
      <w:hyperlink w:history="true" w:anchor="_bookmark547">
        <w:r>
          <w:rPr/>
          <w:t>.</w:t>
        </w:r>
        <w:r>
          <w:rPr>
            <w:vertAlign w:val="superscript"/>
          </w:rPr>
          <w:t>20</w:t>
        </w:r>
      </w:hyperlink>
      <w:r>
        <w:rPr>
          <w:vertAlign w:val="baseline"/>
        </w:rPr>
        <w:t> Disparities in exposure to ambient air pollution based on race and class are well-documented in Massachusetts and across the United States, further demonstrating that low-income QTBIPOC youth in particular face particularly disproportionate burdens of air pollution. There are many reasons why low-income and communities of color often face higher</w:t>
      </w:r>
      <w:r>
        <w:rPr>
          <w:spacing w:val="-10"/>
          <w:vertAlign w:val="baseline"/>
        </w:rPr>
        <w:t> </w:t>
      </w:r>
      <w:r>
        <w:rPr>
          <w:vertAlign w:val="baseline"/>
        </w:rPr>
        <w:t>exposure</w:t>
      </w:r>
      <w:r>
        <w:rPr>
          <w:spacing w:val="-11"/>
          <w:vertAlign w:val="baseline"/>
        </w:rPr>
        <w:t> </w:t>
      </w:r>
      <w:r>
        <w:rPr>
          <w:vertAlign w:val="baseline"/>
        </w:rPr>
        <w:t>to</w:t>
      </w:r>
      <w:r>
        <w:rPr>
          <w:spacing w:val="-9"/>
          <w:vertAlign w:val="baseline"/>
        </w:rPr>
        <w:t> </w:t>
      </w:r>
      <w:r>
        <w:rPr>
          <w:vertAlign w:val="baseline"/>
        </w:rPr>
        <w:t>pollutants,</w:t>
      </w:r>
      <w:r>
        <w:rPr>
          <w:spacing w:val="-11"/>
          <w:vertAlign w:val="baseline"/>
        </w:rPr>
        <w:t> </w:t>
      </w:r>
      <w:r>
        <w:rPr>
          <w:vertAlign w:val="baseline"/>
        </w:rPr>
        <w:t>including</w:t>
      </w:r>
      <w:r>
        <w:rPr>
          <w:spacing w:val="-10"/>
          <w:vertAlign w:val="baseline"/>
        </w:rPr>
        <w:t> </w:t>
      </w:r>
      <w:r>
        <w:rPr>
          <w:vertAlign w:val="baseline"/>
        </w:rPr>
        <w:t>discriminatory</w:t>
      </w:r>
      <w:r>
        <w:rPr>
          <w:spacing w:val="-11"/>
          <w:vertAlign w:val="baseline"/>
        </w:rPr>
        <w:t> </w:t>
      </w:r>
      <w:r>
        <w:rPr>
          <w:vertAlign w:val="baseline"/>
        </w:rPr>
        <w:t>housing</w:t>
      </w:r>
      <w:r>
        <w:rPr>
          <w:spacing w:val="-10"/>
          <w:vertAlign w:val="baseline"/>
        </w:rPr>
        <w:t> </w:t>
      </w:r>
      <w:r>
        <w:rPr>
          <w:vertAlign w:val="baseline"/>
        </w:rPr>
        <w:t>policies</w:t>
      </w:r>
      <w:r>
        <w:rPr>
          <w:spacing w:val="-11"/>
          <w:vertAlign w:val="baseline"/>
        </w:rPr>
        <w:t> </w:t>
      </w:r>
      <w:r>
        <w:rPr>
          <w:vertAlign w:val="baseline"/>
        </w:rPr>
        <w:t>and</w:t>
      </w:r>
      <w:r>
        <w:rPr>
          <w:spacing w:val="-10"/>
          <w:vertAlign w:val="baseline"/>
        </w:rPr>
        <w:t> </w:t>
      </w:r>
      <w:r>
        <w:rPr>
          <w:vertAlign w:val="baseline"/>
        </w:rPr>
        <w:t>urban</w:t>
      </w:r>
      <w:r>
        <w:rPr>
          <w:spacing w:val="-11"/>
          <w:vertAlign w:val="baseline"/>
        </w:rPr>
        <w:t> </w:t>
      </w:r>
      <w:r>
        <w:rPr>
          <w:vertAlign w:val="baseline"/>
        </w:rPr>
        <w:t>planning</w:t>
      </w:r>
      <w:r>
        <w:rPr>
          <w:spacing w:val="-10"/>
          <w:vertAlign w:val="baseline"/>
        </w:rPr>
        <w:t> </w:t>
      </w:r>
      <w:r>
        <w:rPr>
          <w:vertAlign w:val="baseline"/>
        </w:rPr>
        <w:t>decisions</w:t>
      </w:r>
      <w:r>
        <w:rPr>
          <w:spacing w:val="-11"/>
          <w:vertAlign w:val="baseline"/>
        </w:rPr>
        <w:t> </w:t>
      </w:r>
      <w:r>
        <w:rPr>
          <w:vertAlign w:val="baseline"/>
        </w:rPr>
        <w:t>that disproportionately</w:t>
      </w:r>
      <w:r>
        <w:rPr>
          <w:spacing w:val="-13"/>
          <w:vertAlign w:val="baseline"/>
        </w:rPr>
        <w:t> </w:t>
      </w:r>
      <w:r>
        <w:rPr>
          <w:vertAlign w:val="baseline"/>
        </w:rPr>
        <w:t>locate</w:t>
      </w:r>
      <w:r>
        <w:rPr>
          <w:spacing w:val="-12"/>
          <w:vertAlign w:val="baseline"/>
        </w:rPr>
        <w:t> </w:t>
      </w:r>
      <w:r>
        <w:rPr>
          <w:vertAlign w:val="baseline"/>
        </w:rPr>
        <w:t>hazardous</w:t>
      </w:r>
      <w:r>
        <w:rPr>
          <w:spacing w:val="-13"/>
          <w:vertAlign w:val="baseline"/>
        </w:rPr>
        <w:t> </w:t>
      </w:r>
      <w:r>
        <w:rPr>
          <w:vertAlign w:val="baseline"/>
        </w:rPr>
        <w:t>land</w:t>
      </w:r>
      <w:r>
        <w:rPr>
          <w:spacing w:val="-12"/>
          <w:vertAlign w:val="baseline"/>
        </w:rPr>
        <w:t> </w:t>
      </w:r>
      <w:r>
        <w:rPr>
          <w:vertAlign w:val="baseline"/>
        </w:rPr>
        <w:t>uses</w:t>
      </w:r>
      <w:r>
        <w:rPr>
          <w:spacing w:val="-13"/>
          <w:vertAlign w:val="baseline"/>
        </w:rPr>
        <w:t> </w:t>
      </w:r>
      <w:r>
        <w:rPr>
          <w:vertAlign w:val="baseline"/>
        </w:rPr>
        <w:t>such</w:t>
      </w:r>
      <w:r>
        <w:rPr>
          <w:spacing w:val="-12"/>
          <w:vertAlign w:val="baseline"/>
        </w:rPr>
        <w:t> </w:t>
      </w:r>
      <w:r>
        <w:rPr>
          <w:vertAlign w:val="baseline"/>
        </w:rPr>
        <w:t>as</w:t>
      </w:r>
      <w:r>
        <w:rPr>
          <w:spacing w:val="-13"/>
          <w:vertAlign w:val="baseline"/>
        </w:rPr>
        <w:t> </w:t>
      </w:r>
      <w:r>
        <w:rPr>
          <w:vertAlign w:val="baseline"/>
        </w:rPr>
        <w:t>landfills,</w:t>
      </w:r>
      <w:r>
        <w:rPr>
          <w:spacing w:val="-12"/>
          <w:vertAlign w:val="baseline"/>
        </w:rPr>
        <w:t> </w:t>
      </w:r>
      <w:r>
        <w:rPr>
          <w:vertAlign w:val="baseline"/>
        </w:rPr>
        <w:t>power</w:t>
      </w:r>
      <w:r>
        <w:rPr>
          <w:spacing w:val="-12"/>
          <w:vertAlign w:val="baseline"/>
        </w:rPr>
        <w:t> </w:t>
      </w:r>
      <w:r>
        <w:rPr>
          <w:vertAlign w:val="baseline"/>
        </w:rPr>
        <w:t>plants,</w:t>
      </w:r>
      <w:r>
        <w:rPr>
          <w:spacing w:val="-13"/>
          <w:vertAlign w:val="baseline"/>
        </w:rPr>
        <w:t> </w:t>
      </w:r>
      <w:r>
        <w:rPr>
          <w:vertAlign w:val="baseline"/>
        </w:rPr>
        <w:t>and</w:t>
      </w:r>
      <w:r>
        <w:rPr>
          <w:spacing w:val="-12"/>
          <w:vertAlign w:val="baseline"/>
        </w:rPr>
        <w:t> </w:t>
      </w:r>
      <w:r>
        <w:rPr>
          <w:vertAlign w:val="baseline"/>
        </w:rPr>
        <w:t>major</w:t>
      </w:r>
      <w:r>
        <w:rPr>
          <w:spacing w:val="-13"/>
          <w:vertAlign w:val="baseline"/>
        </w:rPr>
        <w:t> </w:t>
      </w:r>
      <w:r>
        <w:rPr>
          <w:vertAlign w:val="baseline"/>
        </w:rPr>
        <w:t>highways</w:t>
      </w:r>
      <w:r>
        <w:rPr>
          <w:spacing w:val="-12"/>
          <w:vertAlign w:val="baseline"/>
        </w:rPr>
        <w:t> </w:t>
      </w:r>
      <w:r>
        <w:rPr>
          <w:vertAlign w:val="baseline"/>
        </w:rPr>
        <w:t>in</w:t>
      </w:r>
      <w:r>
        <w:rPr>
          <w:spacing w:val="-13"/>
          <w:vertAlign w:val="baseline"/>
        </w:rPr>
        <w:t> </w:t>
      </w:r>
      <w:r>
        <w:rPr>
          <w:vertAlign w:val="baseline"/>
        </w:rPr>
        <w:t>lower income areas and communities of color</w:t>
      </w:r>
      <w:hyperlink w:history="true" w:anchor="_bookmark547">
        <w:r>
          <w:rPr>
            <w:vertAlign w:val="baseline"/>
          </w:rPr>
          <w:t>.</w:t>
        </w:r>
        <w:r>
          <w:rPr>
            <w:vertAlign w:val="superscript"/>
          </w:rPr>
          <w:t>21,</w:t>
        </w:r>
      </w:hyperlink>
      <w:r>
        <w:rPr>
          <w:vertAlign w:val="superscript"/>
        </w:rPr>
        <w:t>22</w:t>
      </w:r>
    </w:p>
    <w:p>
      <w:pPr>
        <w:pStyle w:val="BodyText"/>
        <w:spacing w:line="276" w:lineRule="auto" w:before="239"/>
        <w:ind w:left="323" w:right="140"/>
        <w:jc w:val="both"/>
      </w:pPr>
      <w:r>
        <w:rPr/>
        <w:t>Research directly relating</w:t>
      </w:r>
      <w:r>
        <w:rPr>
          <w:spacing w:val="-1"/>
        </w:rPr>
        <w:t> </w:t>
      </w:r>
      <w:r>
        <w:rPr/>
        <w:t>air pollution to the places where</w:t>
      </w:r>
      <w:r>
        <w:rPr>
          <w:spacing w:val="-1"/>
        </w:rPr>
        <w:t> </w:t>
      </w:r>
      <w:r>
        <w:rPr/>
        <w:t>LGBTQ people</w:t>
      </w:r>
      <w:r>
        <w:rPr>
          <w:spacing w:val="-1"/>
        </w:rPr>
        <w:t> </w:t>
      </w:r>
      <w:r>
        <w:rPr/>
        <w:t>live is limited, but two studies, one</w:t>
      </w:r>
      <w:r>
        <w:rPr>
          <w:spacing w:val="-4"/>
        </w:rPr>
        <w:t> </w:t>
      </w:r>
      <w:r>
        <w:rPr/>
        <w:t>focusing</w:t>
      </w:r>
      <w:r>
        <w:rPr>
          <w:spacing w:val="-3"/>
        </w:rPr>
        <w:t> </w:t>
      </w:r>
      <w:r>
        <w:rPr/>
        <w:t>on</w:t>
      </w:r>
      <w:r>
        <w:rPr>
          <w:spacing w:val="-4"/>
        </w:rPr>
        <w:t> </w:t>
      </w:r>
      <w:r>
        <w:rPr/>
        <w:t>Houston,</w:t>
      </w:r>
      <w:r>
        <w:rPr>
          <w:spacing w:val="-4"/>
        </w:rPr>
        <w:t> </w:t>
      </w:r>
      <w:r>
        <w:rPr/>
        <w:t>Texas,</w:t>
      </w:r>
      <w:r>
        <w:rPr>
          <w:spacing w:val="-4"/>
        </w:rPr>
        <w:t> </w:t>
      </w:r>
      <w:r>
        <w:rPr/>
        <w:t>and</w:t>
      </w:r>
      <w:r>
        <w:rPr>
          <w:spacing w:val="-4"/>
        </w:rPr>
        <w:t> </w:t>
      </w:r>
      <w:r>
        <w:rPr/>
        <w:t>one</w:t>
      </w:r>
      <w:r>
        <w:rPr>
          <w:spacing w:val="-4"/>
        </w:rPr>
        <w:t> </w:t>
      </w:r>
      <w:r>
        <w:rPr/>
        <w:t>examining</w:t>
      </w:r>
      <w:r>
        <w:rPr>
          <w:spacing w:val="-3"/>
        </w:rPr>
        <w:t> </w:t>
      </w:r>
      <w:r>
        <w:rPr/>
        <w:t>trends</w:t>
      </w:r>
      <w:r>
        <w:rPr>
          <w:spacing w:val="-4"/>
        </w:rPr>
        <w:t> </w:t>
      </w:r>
      <w:r>
        <w:rPr/>
        <w:t>on</w:t>
      </w:r>
      <w:r>
        <w:rPr>
          <w:spacing w:val="-4"/>
        </w:rPr>
        <w:t> </w:t>
      </w:r>
      <w:r>
        <w:rPr/>
        <w:t>a</w:t>
      </w:r>
      <w:r>
        <w:rPr>
          <w:spacing w:val="-4"/>
        </w:rPr>
        <w:t> </w:t>
      </w:r>
      <w:r>
        <w:rPr/>
        <w:t>national</w:t>
      </w:r>
      <w:r>
        <w:rPr>
          <w:spacing w:val="-4"/>
        </w:rPr>
        <w:t> </w:t>
      </w:r>
      <w:r>
        <w:rPr/>
        <w:t>scale,</w:t>
      </w:r>
      <w:r>
        <w:rPr>
          <w:spacing w:val="-4"/>
        </w:rPr>
        <w:t> </w:t>
      </w:r>
      <w:r>
        <w:rPr/>
        <w:t>have</w:t>
      </w:r>
      <w:r>
        <w:rPr>
          <w:spacing w:val="-4"/>
        </w:rPr>
        <w:t> </w:t>
      </w:r>
      <w:r>
        <w:rPr/>
        <w:t>used</w:t>
      </w:r>
      <w:r>
        <w:rPr>
          <w:spacing w:val="-4"/>
        </w:rPr>
        <w:t> </w:t>
      </w:r>
      <w:r>
        <w:rPr/>
        <w:t>census</w:t>
      </w:r>
      <w:r>
        <w:rPr>
          <w:spacing w:val="-4"/>
        </w:rPr>
        <w:t> </w:t>
      </w:r>
      <w:r>
        <w:rPr/>
        <w:t>data</w:t>
      </w:r>
      <w:r>
        <w:rPr>
          <w:spacing w:val="-4"/>
        </w:rPr>
        <w:t> </w:t>
      </w:r>
      <w:r>
        <w:rPr/>
        <w:t>on same-sex couples to examine the relationship between same-sex enclaves and air pollution.</w:t>
      </w:r>
      <w:hyperlink w:history="true" w:anchor="_bookmark548">
        <w:r>
          <w:rPr>
            <w:vertAlign w:val="superscript"/>
          </w:rPr>
          <w:t>23</w:t>
        </w:r>
      </w:hyperlink>
      <w:hyperlink w:history="true" w:anchor="_bookmark548">
        <w:r>
          <w:rPr>
            <w:vertAlign w:val="superscript"/>
          </w:rPr>
          <w:t>,24</w:t>
        </w:r>
      </w:hyperlink>
      <w:r>
        <w:rPr>
          <w:vertAlign w:val="baseline"/>
        </w:rPr>
        <w:t> These early analyses indicate that sexual orientation, even when accounting for race, is a strong indicator of living in an area with higher levels of air pollution. Similar disparities may exist for different types of neighborhood environmental exposures such as water and soil contamination and should be studied </w:t>
      </w:r>
      <w:r>
        <w:rPr>
          <w:spacing w:val="-2"/>
          <w:vertAlign w:val="baseline"/>
        </w:rPr>
        <w:t>further.</w:t>
      </w:r>
    </w:p>
    <w:p>
      <w:pPr>
        <w:pStyle w:val="BodyText"/>
        <w:spacing w:line="276" w:lineRule="auto" w:before="240"/>
        <w:ind w:left="323" w:right="141"/>
        <w:jc w:val="both"/>
      </w:pPr>
      <w:r>
        <w:rPr/>
        <w:t>Higher rates of homelessness and housing instability among LGBTQ youth may also result in greater exposure</w:t>
      </w:r>
      <w:r>
        <w:rPr>
          <w:spacing w:val="-2"/>
        </w:rPr>
        <w:t> </w:t>
      </w:r>
      <w:r>
        <w:rPr/>
        <w:t>to</w:t>
      </w:r>
      <w:r>
        <w:rPr>
          <w:spacing w:val="-1"/>
        </w:rPr>
        <w:t> </w:t>
      </w:r>
      <w:r>
        <w:rPr/>
        <w:t>environmental</w:t>
      </w:r>
      <w:r>
        <w:rPr>
          <w:spacing w:val="-2"/>
        </w:rPr>
        <w:t> </w:t>
      </w:r>
      <w:r>
        <w:rPr/>
        <w:t>hazards.</w:t>
      </w:r>
      <w:r>
        <w:rPr>
          <w:spacing w:val="-2"/>
        </w:rPr>
        <w:t> </w:t>
      </w:r>
      <w:r>
        <w:rPr/>
        <w:t>People</w:t>
      </w:r>
      <w:r>
        <w:rPr>
          <w:spacing w:val="-2"/>
        </w:rPr>
        <w:t> </w:t>
      </w:r>
      <w:r>
        <w:rPr/>
        <w:t>experiencing</w:t>
      </w:r>
      <w:r>
        <w:rPr>
          <w:spacing w:val="-2"/>
        </w:rPr>
        <w:t> </w:t>
      </w:r>
      <w:r>
        <w:rPr/>
        <w:t>homelessness</w:t>
      </w:r>
      <w:r>
        <w:rPr>
          <w:spacing w:val="-2"/>
        </w:rPr>
        <w:t> </w:t>
      </w:r>
      <w:r>
        <w:rPr/>
        <w:t>frequently</w:t>
      </w:r>
      <w:r>
        <w:rPr>
          <w:spacing w:val="-3"/>
        </w:rPr>
        <w:t> </w:t>
      </w:r>
      <w:r>
        <w:rPr/>
        <w:t>face</w:t>
      </w:r>
      <w:r>
        <w:rPr>
          <w:spacing w:val="-2"/>
        </w:rPr>
        <w:t> </w:t>
      </w:r>
      <w:r>
        <w:rPr/>
        <w:t>high</w:t>
      </w:r>
      <w:r>
        <w:rPr>
          <w:spacing w:val="-2"/>
        </w:rPr>
        <w:t> </w:t>
      </w:r>
      <w:r>
        <w:rPr/>
        <w:t>exposure</w:t>
      </w:r>
      <w:r>
        <w:rPr>
          <w:spacing w:val="-2"/>
        </w:rPr>
        <w:t> </w:t>
      </w:r>
      <w:r>
        <w:rPr/>
        <w:t>to ambient air pollution, soil contamination, and water pollution due to living outdoors, often near major roadways and other emission sources.</w:t>
      </w:r>
      <w:hyperlink w:history="true" w:anchor="_bookmark548">
        <w:r>
          <w:rPr>
            <w:vertAlign w:val="superscript"/>
          </w:rPr>
          <w:t>25</w:t>
        </w:r>
      </w:hyperlink>
      <w:r>
        <w:rPr>
          <w:vertAlign w:val="baseline"/>
        </w:rPr>
        <w:t> Criminalization worsens exposures, as police sweeps may force </w:t>
      </w:r>
      <w:r>
        <w:rPr>
          <w:spacing w:val="-2"/>
          <w:vertAlign w:val="baseline"/>
        </w:rPr>
        <w:t>people into more environmentally hazardous areas such as freeway underpasses.</w:t>
      </w:r>
      <w:hyperlink w:history="true" w:anchor="_bookmark548">
        <w:r>
          <w:rPr>
            <w:spacing w:val="-2"/>
            <w:vertAlign w:val="superscript"/>
          </w:rPr>
          <w:t>26</w:t>
        </w:r>
      </w:hyperlink>
      <w:r>
        <w:rPr>
          <w:spacing w:val="-2"/>
          <w:vertAlign w:val="baseline"/>
        </w:rPr>
        <w:t> LGBTQ youth are more </w:t>
      </w:r>
      <w:r>
        <w:rPr>
          <w:vertAlign w:val="baseline"/>
        </w:rPr>
        <w:t>likely</w:t>
      </w:r>
      <w:r>
        <w:rPr>
          <w:spacing w:val="15"/>
          <w:vertAlign w:val="baseline"/>
        </w:rPr>
        <w:t> </w:t>
      </w:r>
      <w:r>
        <w:rPr>
          <w:vertAlign w:val="baseline"/>
        </w:rPr>
        <w:t>to</w:t>
      </w:r>
      <w:r>
        <w:rPr>
          <w:spacing w:val="16"/>
          <w:vertAlign w:val="baseline"/>
        </w:rPr>
        <w:t> </w:t>
      </w:r>
      <w:r>
        <w:rPr>
          <w:vertAlign w:val="baseline"/>
        </w:rPr>
        <w:t>experience</w:t>
      </w:r>
      <w:r>
        <w:rPr>
          <w:spacing w:val="16"/>
          <w:vertAlign w:val="baseline"/>
        </w:rPr>
        <w:t> </w:t>
      </w:r>
      <w:r>
        <w:rPr>
          <w:vertAlign w:val="baseline"/>
        </w:rPr>
        <w:t>housing</w:t>
      </w:r>
      <w:r>
        <w:rPr>
          <w:spacing w:val="15"/>
          <w:vertAlign w:val="baseline"/>
        </w:rPr>
        <w:t> </w:t>
      </w:r>
      <w:r>
        <w:rPr>
          <w:vertAlign w:val="baseline"/>
        </w:rPr>
        <w:t>instability</w:t>
      </w:r>
      <w:r>
        <w:rPr>
          <w:spacing w:val="15"/>
          <w:vertAlign w:val="baseline"/>
        </w:rPr>
        <w:t> </w:t>
      </w:r>
      <w:r>
        <w:rPr>
          <w:vertAlign w:val="baseline"/>
        </w:rPr>
        <w:t>and</w:t>
      </w:r>
      <w:r>
        <w:rPr>
          <w:spacing w:val="15"/>
          <w:vertAlign w:val="baseline"/>
        </w:rPr>
        <w:t> </w:t>
      </w:r>
      <w:r>
        <w:rPr>
          <w:vertAlign w:val="baseline"/>
        </w:rPr>
        <w:t>homelessness</w:t>
      </w:r>
      <w:r>
        <w:rPr>
          <w:spacing w:val="16"/>
          <w:vertAlign w:val="baseline"/>
        </w:rPr>
        <w:t> </w:t>
      </w:r>
      <w:r>
        <w:rPr>
          <w:vertAlign w:val="baseline"/>
        </w:rPr>
        <w:t>in</w:t>
      </w:r>
      <w:r>
        <w:rPr>
          <w:spacing w:val="15"/>
          <w:vertAlign w:val="baseline"/>
        </w:rPr>
        <w:t> </w:t>
      </w:r>
      <w:r>
        <w:rPr>
          <w:vertAlign w:val="baseline"/>
        </w:rPr>
        <w:t>Massachusetts,</w:t>
      </w:r>
      <w:r>
        <w:rPr>
          <w:spacing w:val="15"/>
          <w:vertAlign w:val="baseline"/>
        </w:rPr>
        <w:t> </w:t>
      </w:r>
      <w:r>
        <w:rPr>
          <w:vertAlign w:val="baseline"/>
        </w:rPr>
        <w:t>and</w:t>
      </w:r>
      <w:r>
        <w:rPr>
          <w:spacing w:val="15"/>
          <w:vertAlign w:val="baseline"/>
        </w:rPr>
        <w:t> </w:t>
      </w:r>
      <w:r>
        <w:rPr>
          <w:vertAlign w:val="baseline"/>
        </w:rPr>
        <w:t>thus</w:t>
      </w:r>
      <w:r>
        <w:rPr>
          <w:spacing w:val="16"/>
          <w:vertAlign w:val="baseline"/>
        </w:rPr>
        <w:t> </w:t>
      </w:r>
      <w:r>
        <w:rPr>
          <w:vertAlign w:val="baseline"/>
        </w:rPr>
        <w:t>at</w:t>
      </w:r>
      <w:r>
        <w:rPr>
          <w:spacing w:val="16"/>
          <w:vertAlign w:val="baseline"/>
        </w:rPr>
        <w:t> </w:t>
      </w:r>
      <w:r>
        <w:rPr>
          <w:vertAlign w:val="baseline"/>
        </w:rPr>
        <w:t>greater</w:t>
      </w:r>
      <w:r>
        <w:rPr>
          <w:spacing w:val="15"/>
          <w:vertAlign w:val="baseline"/>
        </w:rPr>
        <w:t> </w:t>
      </w:r>
      <w:r>
        <w:rPr>
          <w:vertAlign w:val="baseline"/>
        </w:rPr>
        <w:t>risk</w:t>
      </w:r>
      <w:r>
        <w:rPr>
          <w:spacing w:val="15"/>
          <w:vertAlign w:val="baseline"/>
        </w:rPr>
        <w:t> </w:t>
      </w:r>
      <w:r>
        <w:rPr>
          <w:vertAlign w:val="baseline"/>
        </w:rPr>
        <w:t>of</w:t>
      </w:r>
    </w:p>
    <w:p>
      <w:pPr>
        <w:spacing w:after="0" w:line="276" w:lineRule="auto"/>
        <w:jc w:val="both"/>
        <w:sectPr>
          <w:pgSz w:w="12240" w:h="15840"/>
          <w:pgMar w:header="800" w:footer="1459" w:top="1300" w:bottom="1640" w:left="1120" w:right="1300"/>
        </w:sectPr>
      </w:pPr>
    </w:p>
    <w:p>
      <w:pPr>
        <w:pStyle w:val="BodyText"/>
        <w:spacing w:line="276" w:lineRule="auto" w:before="67"/>
        <w:ind w:left="323" w:right="143"/>
        <w:jc w:val="both"/>
      </w:pPr>
      <w:r>
        <w:rPr/>
        <w:t>facing</w:t>
      </w:r>
      <w:r>
        <w:rPr>
          <w:spacing w:val="-11"/>
        </w:rPr>
        <w:t> </w:t>
      </w:r>
      <w:r>
        <w:rPr/>
        <w:t>associated</w:t>
      </w:r>
      <w:r>
        <w:rPr>
          <w:spacing w:val="-11"/>
        </w:rPr>
        <w:t> </w:t>
      </w:r>
      <w:r>
        <w:rPr/>
        <w:t>environmental</w:t>
      </w:r>
      <w:r>
        <w:rPr>
          <w:spacing w:val="-11"/>
        </w:rPr>
        <w:t> </w:t>
      </w:r>
      <w:r>
        <w:rPr/>
        <w:t>injustices.</w:t>
      </w:r>
      <w:r>
        <w:rPr>
          <w:spacing w:val="-12"/>
        </w:rPr>
        <w:t> </w:t>
      </w:r>
      <w:r>
        <w:rPr/>
        <w:t>In</w:t>
      </w:r>
      <w:r>
        <w:rPr>
          <w:spacing w:val="-11"/>
        </w:rPr>
        <w:t> </w:t>
      </w:r>
      <w:r>
        <w:rPr/>
        <w:t>a</w:t>
      </w:r>
      <w:r>
        <w:rPr>
          <w:spacing w:val="-11"/>
        </w:rPr>
        <w:t> </w:t>
      </w:r>
      <w:r>
        <w:rPr/>
        <w:t>dataset</w:t>
      </w:r>
      <w:r>
        <w:rPr>
          <w:spacing w:val="-12"/>
        </w:rPr>
        <w:t> </w:t>
      </w:r>
      <w:r>
        <w:rPr/>
        <w:t>from</w:t>
      </w:r>
      <w:r>
        <w:rPr>
          <w:spacing w:val="-11"/>
        </w:rPr>
        <w:t> </w:t>
      </w:r>
      <w:r>
        <w:rPr/>
        <w:t>the</w:t>
      </w:r>
      <w:r>
        <w:rPr>
          <w:spacing w:val="-11"/>
        </w:rPr>
        <w:t> </w:t>
      </w:r>
      <w:r>
        <w:rPr/>
        <w:t>2022</w:t>
      </w:r>
      <w:r>
        <w:rPr>
          <w:spacing w:val="-11"/>
        </w:rPr>
        <w:t> </w:t>
      </w:r>
      <w:r>
        <w:rPr/>
        <w:t>Massachusetts</w:t>
      </w:r>
      <w:r>
        <w:rPr>
          <w:spacing w:val="-11"/>
        </w:rPr>
        <w:t> </w:t>
      </w:r>
      <w:r>
        <w:rPr/>
        <w:t>Youth</w:t>
      </w:r>
      <w:r>
        <w:rPr>
          <w:spacing w:val="-10"/>
        </w:rPr>
        <w:t> </w:t>
      </w:r>
      <w:r>
        <w:rPr/>
        <w:t>Count</w:t>
      </w:r>
      <w:r>
        <w:rPr>
          <w:spacing w:val="-12"/>
        </w:rPr>
        <w:t> </w:t>
      </w:r>
      <w:r>
        <w:rPr/>
        <w:t>annual survey which seeks to learn about the needs of youth who are unstably housed or experiencing homelessness, 12% of LGBTQ youth experiencing homelessness reported being unsheltered the night before</w:t>
      </w:r>
      <w:hyperlink w:history="true" w:anchor="_bookmark548">
        <w:r>
          <w:rPr/>
          <w:t>.</w:t>
        </w:r>
        <w:r>
          <w:rPr>
            <w:vertAlign w:val="superscript"/>
          </w:rPr>
          <w:t>27</w:t>
        </w:r>
      </w:hyperlink>
      <w:r>
        <w:rPr>
          <w:vertAlign w:val="baseline"/>
        </w:rPr>
        <w:t> Working to decrease rates of homelessness and housing instability among LGBTQ youth and improve access to services is vital to reducing unjust environmental exposures faced by LGBTQ youth.</w:t>
      </w:r>
    </w:p>
    <w:p>
      <w:pPr>
        <w:pStyle w:val="BodyText"/>
        <w:spacing w:line="276" w:lineRule="auto" w:before="241"/>
        <w:ind w:left="323" w:right="141"/>
        <w:jc w:val="both"/>
      </w:pPr>
      <w:r>
        <w:rPr/>
        <w:t>Exposure</w:t>
      </w:r>
      <w:r>
        <w:rPr>
          <w:spacing w:val="-10"/>
        </w:rPr>
        <w:t> </w:t>
      </w:r>
      <w:r>
        <w:rPr/>
        <w:t>to</w:t>
      </w:r>
      <w:r>
        <w:rPr>
          <w:spacing w:val="-9"/>
        </w:rPr>
        <w:t> </w:t>
      </w:r>
      <w:r>
        <w:rPr/>
        <w:t>tobacco</w:t>
      </w:r>
      <w:r>
        <w:rPr>
          <w:spacing w:val="-9"/>
        </w:rPr>
        <w:t> </w:t>
      </w:r>
      <w:r>
        <w:rPr/>
        <w:t>smoke</w:t>
      </w:r>
      <w:r>
        <w:rPr>
          <w:spacing w:val="-10"/>
        </w:rPr>
        <w:t> </w:t>
      </w:r>
      <w:r>
        <w:rPr/>
        <w:t>is</w:t>
      </w:r>
      <w:r>
        <w:rPr>
          <w:spacing w:val="-9"/>
        </w:rPr>
        <w:t> </w:t>
      </w:r>
      <w:r>
        <w:rPr/>
        <w:t>another</w:t>
      </w:r>
      <w:r>
        <w:rPr>
          <w:spacing w:val="-10"/>
        </w:rPr>
        <w:t> </w:t>
      </w:r>
      <w:r>
        <w:rPr/>
        <w:t>environmental</w:t>
      </w:r>
      <w:r>
        <w:rPr>
          <w:spacing w:val="-9"/>
        </w:rPr>
        <w:t> </w:t>
      </w:r>
      <w:r>
        <w:rPr/>
        <w:t>justice</w:t>
      </w:r>
      <w:r>
        <w:rPr>
          <w:spacing w:val="-9"/>
        </w:rPr>
        <w:t> </w:t>
      </w:r>
      <w:r>
        <w:rPr/>
        <w:t>concern</w:t>
      </w:r>
      <w:r>
        <w:rPr>
          <w:spacing w:val="-10"/>
        </w:rPr>
        <w:t> </w:t>
      </w:r>
      <w:r>
        <w:rPr/>
        <w:t>for</w:t>
      </w:r>
      <w:r>
        <w:rPr>
          <w:spacing w:val="-10"/>
        </w:rPr>
        <w:t> </w:t>
      </w:r>
      <w:r>
        <w:rPr/>
        <w:t>LGBTQ</w:t>
      </w:r>
      <w:r>
        <w:rPr>
          <w:spacing w:val="-9"/>
        </w:rPr>
        <w:t> </w:t>
      </w:r>
      <w:r>
        <w:rPr/>
        <w:t>youth.</w:t>
      </w:r>
      <w:r>
        <w:rPr>
          <w:spacing w:val="-10"/>
        </w:rPr>
        <w:t> </w:t>
      </w:r>
      <w:r>
        <w:rPr/>
        <w:t>Numerous</w:t>
      </w:r>
      <w:r>
        <w:rPr>
          <w:spacing w:val="-9"/>
        </w:rPr>
        <w:t> </w:t>
      </w:r>
      <w:r>
        <w:rPr/>
        <w:t>studies show that LGBTQ populations are more likely to smoke cigarettes than non-LGBTQ populations</w:t>
      </w:r>
      <w:hyperlink w:history="true" w:anchor="_bookmark548">
        <w:r>
          <w:rPr/>
          <w:t>.</w:t>
        </w:r>
        <w:r>
          <w:rPr>
            <w:vertAlign w:val="superscript"/>
          </w:rPr>
          <w:t>28</w:t>
        </w:r>
      </w:hyperlink>
      <w:r>
        <w:rPr>
          <w:vertAlign w:val="baseline"/>
        </w:rPr>
        <w:t> In Massachusetts,</w:t>
      </w:r>
      <w:r>
        <w:rPr>
          <w:spacing w:val="-9"/>
          <w:vertAlign w:val="baseline"/>
        </w:rPr>
        <w:t> </w:t>
      </w:r>
      <w:r>
        <w:rPr>
          <w:vertAlign w:val="baseline"/>
        </w:rPr>
        <w:t>the</w:t>
      </w:r>
      <w:r>
        <w:rPr>
          <w:spacing w:val="-9"/>
          <w:vertAlign w:val="baseline"/>
        </w:rPr>
        <w:t> </w:t>
      </w:r>
      <w:r>
        <w:rPr>
          <w:vertAlign w:val="baseline"/>
        </w:rPr>
        <w:t>2019</w:t>
      </w:r>
      <w:r>
        <w:rPr>
          <w:spacing w:val="-9"/>
          <w:vertAlign w:val="baseline"/>
        </w:rPr>
        <w:t> </w:t>
      </w:r>
      <w:r>
        <w:rPr>
          <w:vertAlign w:val="baseline"/>
        </w:rPr>
        <w:t>Youth</w:t>
      </w:r>
      <w:r>
        <w:rPr>
          <w:spacing w:val="-9"/>
          <w:vertAlign w:val="baseline"/>
        </w:rPr>
        <w:t> </w:t>
      </w:r>
      <w:r>
        <w:rPr>
          <w:vertAlign w:val="baseline"/>
        </w:rPr>
        <w:t>Risk</w:t>
      </w:r>
      <w:r>
        <w:rPr>
          <w:spacing w:val="-9"/>
          <w:vertAlign w:val="baseline"/>
        </w:rPr>
        <w:t> </w:t>
      </w:r>
      <w:r>
        <w:rPr>
          <w:vertAlign w:val="baseline"/>
        </w:rPr>
        <w:t>Behavior</w:t>
      </w:r>
      <w:r>
        <w:rPr>
          <w:spacing w:val="-9"/>
          <w:vertAlign w:val="baseline"/>
        </w:rPr>
        <w:t> </w:t>
      </w:r>
      <w:r>
        <w:rPr>
          <w:vertAlign w:val="baseline"/>
        </w:rPr>
        <w:t>Survey</w:t>
      </w:r>
      <w:r>
        <w:rPr>
          <w:spacing w:val="-9"/>
          <w:vertAlign w:val="baseline"/>
        </w:rPr>
        <w:t> </w:t>
      </w:r>
      <w:r>
        <w:rPr>
          <w:vertAlign w:val="baseline"/>
        </w:rPr>
        <w:t>(MYRBS)</w:t>
      </w:r>
      <w:r>
        <w:rPr>
          <w:spacing w:val="-9"/>
          <w:vertAlign w:val="baseline"/>
        </w:rPr>
        <w:t> </w:t>
      </w:r>
      <w:r>
        <w:rPr>
          <w:vertAlign w:val="baseline"/>
        </w:rPr>
        <w:t>data</w:t>
      </w:r>
      <w:r>
        <w:rPr>
          <w:spacing w:val="-8"/>
          <w:vertAlign w:val="baseline"/>
        </w:rPr>
        <w:t> </w:t>
      </w:r>
      <w:r>
        <w:rPr>
          <w:vertAlign w:val="baseline"/>
        </w:rPr>
        <w:t>showed</w:t>
      </w:r>
      <w:r>
        <w:rPr>
          <w:spacing w:val="-9"/>
          <w:vertAlign w:val="baseline"/>
        </w:rPr>
        <w:t> </w:t>
      </w:r>
      <w:r>
        <w:rPr>
          <w:vertAlign w:val="baseline"/>
        </w:rPr>
        <w:t>that</w:t>
      </w:r>
      <w:r>
        <w:rPr>
          <w:spacing w:val="-8"/>
          <w:vertAlign w:val="baseline"/>
        </w:rPr>
        <w:t> </w:t>
      </w:r>
      <w:r>
        <w:rPr>
          <w:vertAlign w:val="baseline"/>
        </w:rPr>
        <w:t>LGBTQ</w:t>
      </w:r>
      <w:r>
        <w:rPr>
          <w:spacing w:val="-9"/>
          <w:vertAlign w:val="baseline"/>
        </w:rPr>
        <w:t> </w:t>
      </w:r>
      <w:r>
        <w:rPr>
          <w:vertAlign w:val="baseline"/>
        </w:rPr>
        <w:t>youth</w:t>
      </w:r>
      <w:r>
        <w:rPr>
          <w:spacing w:val="-8"/>
          <w:vertAlign w:val="baseline"/>
        </w:rPr>
        <w:t> </w:t>
      </w:r>
      <w:r>
        <w:rPr>
          <w:vertAlign w:val="baseline"/>
        </w:rPr>
        <w:t>(12%)</w:t>
      </w:r>
      <w:r>
        <w:rPr>
          <w:spacing w:val="-9"/>
          <w:vertAlign w:val="baseline"/>
        </w:rPr>
        <w:t> </w:t>
      </w:r>
      <w:r>
        <w:rPr>
          <w:vertAlign w:val="baseline"/>
        </w:rPr>
        <w:t>were more likely to smoke cigarettes than non-LGBTQ youth (5%). </w:t>
      </w:r>
      <w:hyperlink w:history="true" w:anchor="_bookmark548">
        <w:r>
          <w:rPr>
            <w:vertAlign w:val="superscript"/>
          </w:rPr>
          <w:t>29</w:t>
        </w:r>
      </w:hyperlink>
      <w:r>
        <w:rPr>
          <w:vertAlign w:val="baseline"/>
        </w:rPr>
        <w:t> Higher rates of smoking in LGBTQ communities also mean higher exposure to secondhand smoke in the places where LGBTQ people live and socialize. One study in California found that LGBTQ people were twice as likely to be exposed to secondhand</w:t>
      </w:r>
      <w:r>
        <w:rPr>
          <w:spacing w:val="-13"/>
          <w:vertAlign w:val="baseline"/>
        </w:rPr>
        <w:t> </w:t>
      </w:r>
      <w:r>
        <w:rPr>
          <w:vertAlign w:val="baseline"/>
        </w:rPr>
        <w:t>smoke</w:t>
      </w:r>
      <w:r>
        <w:rPr>
          <w:spacing w:val="-12"/>
          <w:vertAlign w:val="baseline"/>
        </w:rPr>
        <w:t> </w:t>
      </w:r>
      <w:r>
        <w:rPr>
          <w:vertAlign w:val="baseline"/>
        </w:rPr>
        <w:t>in</w:t>
      </w:r>
      <w:r>
        <w:rPr>
          <w:spacing w:val="-13"/>
          <w:vertAlign w:val="baseline"/>
        </w:rPr>
        <w:t> </w:t>
      </w:r>
      <w:r>
        <w:rPr>
          <w:vertAlign w:val="baseline"/>
        </w:rPr>
        <w:t>their</w:t>
      </w:r>
      <w:r>
        <w:rPr>
          <w:spacing w:val="-12"/>
          <w:vertAlign w:val="baseline"/>
        </w:rPr>
        <w:t> </w:t>
      </w:r>
      <w:r>
        <w:rPr>
          <w:vertAlign w:val="baseline"/>
        </w:rPr>
        <w:t>household</w:t>
      </w:r>
      <w:hyperlink w:history="true" w:anchor="_bookmark548">
        <w:r>
          <w:rPr>
            <w:vertAlign w:val="baseline"/>
          </w:rPr>
          <w:t>.</w:t>
        </w:r>
        <w:r>
          <w:rPr>
            <w:vertAlign w:val="superscript"/>
          </w:rPr>
          <w:t>30</w:t>
        </w:r>
      </w:hyperlink>
      <w:r>
        <w:rPr>
          <w:spacing w:val="-13"/>
          <w:vertAlign w:val="baseline"/>
        </w:rPr>
        <w:t> </w:t>
      </w:r>
      <w:r>
        <w:rPr>
          <w:vertAlign w:val="baseline"/>
        </w:rPr>
        <w:t>Another</w:t>
      </w:r>
      <w:r>
        <w:rPr>
          <w:spacing w:val="-12"/>
          <w:vertAlign w:val="baseline"/>
        </w:rPr>
        <w:t> </w:t>
      </w:r>
      <w:r>
        <w:rPr>
          <w:vertAlign w:val="baseline"/>
        </w:rPr>
        <w:t>study</w:t>
      </w:r>
      <w:r>
        <w:rPr>
          <w:spacing w:val="-13"/>
          <w:vertAlign w:val="baseline"/>
        </w:rPr>
        <w:t> </w:t>
      </w:r>
      <w:r>
        <w:rPr>
          <w:vertAlign w:val="baseline"/>
        </w:rPr>
        <w:t>found</w:t>
      </w:r>
      <w:r>
        <w:rPr>
          <w:spacing w:val="-12"/>
          <w:vertAlign w:val="baseline"/>
        </w:rPr>
        <w:t> </w:t>
      </w:r>
      <w:r>
        <w:rPr>
          <w:vertAlign w:val="baseline"/>
        </w:rPr>
        <w:t>that</w:t>
      </w:r>
      <w:r>
        <w:rPr>
          <w:spacing w:val="-12"/>
          <w:vertAlign w:val="baseline"/>
        </w:rPr>
        <w:t> </w:t>
      </w:r>
      <w:r>
        <w:rPr>
          <w:vertAlign w:val="baseline"/>
        </w:rPr>
        <w:t>visitors</w:t>
      </w:r>
      <w:r>
        <w:rPr>
          <w:spacing w:val="-13"/>
          <w:vertAlign w:val="baseline"/>
        </w:rPr>
        <w:t> </w:t>
      </w:r>
      <w:r>
        <w:rPr>
          <w:vertAlign w:val="baseline"/>
        </w:rPr>
        <w:t>of</w:t>
      </w:r>
      <w:r>
        <w:rPr>
          <w:spacing w:val="-12"/>
          <w:vertAlign w:val="baseline"/>
        </w:rPr>
        <w:t> </w:t>
      </w:r>
      <w:r>
        <w:rPr>
          <w:vertAlign w:val="baseline"/>
        </w:rPr>
        <w:t>LGBTQ</w:t>
      </w:r>
      <w:r>
        <w:rPr>
          <w:spacing w:val="-13"/>
          <w:vertAlign w:val="baseline"/>
        </w:rPr>
        <w:t> </w:t>
      </w:r>
      <w:r>
        <w:rPr>
          <w:vertAlign w:val="baseline"/>
        </w:rPr>
        <w:t>bars</w:t>
      </w:r>
      <w:r>
        <w:rPr>
          <w:spacing w:val="-12"/>
          <w:vertAlign w:val="baseline"/>
        </w:rPr>
        <w:t> </w:t>
      </w:r>
      <w:r>
        <w:rPr>
          <w:vertAlign w:val="baseline"/>
        </w:rPr>
        <w:t>and</w:t>
      </w:r>
      <w:r>
        <w:rPr>
          <w:spacing w:val="-13"/>
          <w:vertAlign w:val="baseline"/>
        </w:rPr>
        <w:t> </w:t>
      </w:r>
      <w:r>
        <w:rPr>
          <w:vertAlign w:val="baseline"/>
        </w:rPr>
        <w:t>venues</w:t>
      </w:r>
      <w:r>
        <w:rPr>
          <w:spacing w:val="-12"/>
          <w:vertAlign w:val="baseline"/>
        </w:rPr>
        <w:t> </w:t>
      </w:r>
      <w:r>
        <w:rPr>
          <w:vertAlign w:val="baseline"/>
        </w:rPr>
        <w:t>were 38%</w:t>
      </w:r>
      <w:r>
        <w:rPr>
          <w:spacing w:val="-7"/>
          <w:vertAlign w:val="baseline"/>
        </w:rPr>
        <w:t> </w:t>
      </w:r>
      <w:r>
        <w:rPr>
          <w:vertAlign w:val="baseline"/>
        </w:rPr>
        <w:t>more</w:t>
      </w:r>
      <w:r>
        <w:rPr>
          <w:spacing w:val="-8"/>
          <w:vertAlign w:val="baseline"/>
        </w:rPr>
        <w:t> </w:t>
      </w:r>
      <w:r>
        <w:rPr>
          <w:vertAlign w:val="baseline"/>
        </w:rPr>
        <w:t>likely</w:t>
      </w:r>
      <w:r>
        <w:rPr>
          <w:spacing w:val="-7"/>
          <w:vertAlign w:val="baseline"/>
        </w:rPr>
        <w:t> </w:t>
      </w:r>
      <w:r>
        <w:rPr>
          <w:vertAlign w:val="baseline"/>
        </w:rPr>
        <w:t>to</w:t>
      </w:r>
      <w:r>
        <w:rPr>
          <w:spacing w:val="-7"/>
          <w:vertAlign w:val="baseline"/>
        </w:rPr>
        <w:t> </w:t>
      </w:r>
      <w:r>
        <w:rPr>
          <w:vertAlign w:val="baseline"/>
        </w:rPr>
        <w:t>be</w:t>
      </w:r>
      <w:r>
        <w:rPr>
          <w:spacing w:val="-6"/>
          <w:vertAlign w:val="baseline"/>
        </w:rPr>
        <w:t> </w:t>
      </w:r>
      <w:r>
        <w:rPr>
          <w:vertAlign w:val="baseline"/>
        </w:rPr>
        <w:t>exposed</w:t>
      </w:r>
      <w:r>
        <w:rPr>
          <w:spacing w:val="-8"/>
          <w:vertAlign w:val="baseline"/>
        </w:rPr>
        <w:t> </w:t>
      </w:r>
      <w:r>
        <w:rPr>
          <w:vertAlign w:val="baseline"/>
        </w:rPr>
        <w:t>to</w:t>
      </w:r>
      <w:r>
        <w:rPr>
          <w:spacing w:val="-7"/>
          <w:vertAlign w:val="baseline"/>
        </w:rPr>
        <w:t> </w:t>
      </w:r>
      <w:r>
        <w:rPr>
          <w:vertAlign w:val="baseline"/>
        </w:rPr>
        <w:t>secondhand</w:t>
      </w:r>
      <w:r>
        <w:rPr>
          <w:spacing w:val="-7"/>
          <w:vertAlign w:val="baseline"/>
        </w:rPr>
        <w:t> </w:t>
      </w:r>
      <w:r>
        <w:rPr>
          <w:vertAlign w:val="baseline"/>
        </w:rPr>
        <w:t>smoke</w:t>
      </w:r>
      <w:r>
        <w:rPr>
          <w:spacing w:val="-8"/>
          <w:vertAlign w:val="baseline"/>
        </w:rPr>
        <w:t> </w:t>
      </w:r>
      <w:r>
        <w:rPr>
          <w:vertAlign w:val="baseline"/>
        </w:rPr>
        <w:t>than</w:t>
      </w:r>
      <w:r>
        <w:rPr>
          <w:spacing w:val="-7"/>
          <w:vertAlign w:val="baseline"/>
        </w:rPr>
        <w:t> </w:t>
      </w:r>
      <w:r>
        <w:rPr>
          <w:vertAlign w:val="baseline"/>
        </w:rPr>
        <w:t>non-LGBTQ</w:t>
      </w:r>
      <w:r>
        <w:rPr>
          <w:spacing w:val="-8"/>
          <w:vertAlign w:val="baseline"/>
        </w:rPr>
        <w:t> </w:t>
      </w:r>
      <w:r>
        <w:rPr>
          <w:vertAlign w:val="baseline"/>
        </w:rPr>
        <w:t>venues</w:t>
      </w:r>
      <w:hyperlink w:history="true" w:anchor="_bookmark548">
        <w:r>
          <w:rPr>
            <w:vertAlign w:val="baseline"/>
          </w:rPr>
          <w:t>.</w:t>
        </w:r>
        <w:r>
          <w:rPr>
            <w:vertAlign w:val="superscript"/>
          </w:rPr>
          <w:t>31</w:t>
        </w:r>
      </w:hyperlink>
      <w:r>
        <w:rPr>
          <w:spacing w:val="-8"/>
          <w:vertAlign w:val="baseline"/>
        </w:rPr>
        <w:t> </w:t>
      </w:r>
      <w:r>
        <w:rPr>
          <w:vertAlign w:val="baseline"/>
        </w:rPr>
        <w:t>Exposure</w:t>
      </w:r>
      <w:r>
        <w:rPr>
          <w:spacing w:val="-7"/>
          <w:vertAlign w:val="baseline"/>
        </w:rPr>
        <w:t> </w:t>
      </w:r>
      <w:r>
        <w:rPr>
          <w:vertAlign w:val="baseline"/>
        </w:rPr>
        <w:t>to</w:t>
      </w:r>
      <w:r>
        <w:rPr>
          <w:spacing w:val="-7"/>
          <w:vertAlign w:val="baseline"/>
        </w:rPr>
        <w:t> </w:t>
      </w:r>
      <w:r>
        <w:rPr>
          <w:vertAlign w:val="baseline"/>
        </w:rPr>
        <w:t>secondhand smoke is associated with respiratory illnesses, cancer, and heart disease</w:t>
      </w:r>
      <w:hyperlink w:history="true" w:anchor="_bookmark549">
        <w:r>
          <w:rPr>
            <w:vertAlign w:val="baseline"/>
          </w:rPr>
          <w:t>.</w:t>
        </w:r>
        <w:r>
          <w:rPr>
            <w:vertAlign w:val="superscript"/>
          </w:rPr>
          <w:t>32</w:t>
        </w:r>
      </w:hyperlink>
    </w:p>
    <w:p>
      <w:pPr>
        <w:pStyle w:val="BodyText"/>
        <w:spacing w:line="276" w:lineRule="auto" w:before="239"/>
        <w:ind w:left="323" w:right="141"/>
        <w:jc w:val="both"/>
      </w:pPr>
      <w:r>
        <w:rPr/>
        <w:t>As further evidence of disproportionate exposure, health conditions linked to air pollution and secondhand smoke have been found at disproportionate rates among LGBTQ communities, including LGBTQ</w:t>
      </w:r>
      <w:r>
        <w:rPr>
          <w:spacing w:val="-5"/>
        </w:rPr>
        <w:t> </w:t>
      </w:r>
      <w:r>
        <w:rPr/>
        <w:t>youth.</w:t>
      </w:r>
      <w:r>
        <w:rPr>
          <w:spacing w:val="-5"/>
        </w:rPr>
        <w:t> </w:t>
      </w:r>
      <w:r>
        <w:rPr/>
        <w:t>Multiple</w:t>
      </w:r>
      <w:r>
        <w:rPr>
          <w:spacing w:val="-5"/>
        </w:rPr>
        <w:t> </w:t>
      </w:r>
      <w:r>
        <w:rPr/>
        <w:t>analyses</w:t>
      </w:r>
      <w:r>
        <w:rPr>
          <w:spacing w:val="-5"/>
        </w:rPr>
        <w:t> </w:t>
      </w:r>
      <w:r>
        <w:rPr/>
        <w:t>have</w:t>
      </w:r>
      <w:r>
        <w:rPr>
          <w:spacing w:val="-5"/>
        </w:rPr>
        <w:t> </w:t>
      </w:r>
      <w:r>
        <w:rPr/>
        <w:t>found</w:t>
      </w:r>
      <w:r>
        <w:rPr>
          <w:spacing w:val="-5"/>
        </w:rPr>
        <w:t> </w:t>
      </w:r>
      <w:r>
        <w:rPr/>
        <w:t>that</w:t>
      </w:r>
      <w:r>
        <w:rPr>
          <w:spacing w:val="-5"/>
        </w:rPr>
        <w:t> </w:t>
      </w:r>
      <w:r>
        <w:rPr/>
        <w:t>asthma</w:t>
      </w:r>
      <w:r>
        <w:rPr>
          <w:spacing w:val="-5"/>
        </w:rPr>
        <w:t> </w:t>
      </w:r>
      <w:r>
        <w:rPr/>
        <w:t>and</w:t>
      </w:r>
      <w:r>
        <w:rPr>
          <w:spacing w:val="-4"/>
        </w:rPr>
        <w:t> </w:t>
      </w:r>
      <w:r>
        <w:rPr/>
        <w:t>chronic</w:t>
      </w:r>
      <w:r>
        <w:rPr>
          <w:spacing w:val="-6"/>
        </w:rPr>
        <w:t> </w:t>
      </w:r>
      <w:r>
        <w:rPr/>
        <w:t>obstructive</w:t>
      </w:r>
      <w:r>
        <w:rPr>
          <w:spacing w:val="-5"/>
        </w:rPr>
        <w:t> </w:t>
      </w:r>
      <w:r>
        <w:rPr/>
        <w:t>pulmonary</w:t>
      </w:r>
      <w:r>
        <w:rPr>
          <w:spacing w:val="-4"/>
        </w:rPr>
        <w:t> </w:t>
      </w:r>
      <w:r>
        <w:rPr/>
        <w:t>disease,</w:t>
      </w:r>
      <w:r>
        <w:rPr>
          <w:spacing w:val="-5"/>
        </w:rPr>
        <w:t> </w:t>
      </w:r>
      <w:r>
        <w:rPr/>
        <w:t>two respiratory illnesses related to environmental exposures such as air pollution and smoking, disproportionately</w:t>
      </w:r>
      <w:r>
        <w:rPr>
          <w:spacing w:val="-1"/>
        </w:rPr>
        <w:t> </w:t>
      </w:r>
      <w:r>
        <w:rPr/>
        <w:t>affect</w:t>
      </w:r>
      <w:r>
        <w:rPr>
          <w:spacing w:val="-2"/>
        </w:rPr>
        <w:t> </w:t>
      </w:r>
      <w:r>
        <w:rPr/>
        <w:t>LGBTQ</w:t>
      </w:r>
      <w:r>
        <w:rPr>
          <w:spacing w:val="-1"/>
        </w:rPr>
        <w:t> </w:t>
      </w:r>
      <w:r>
        <w:rPr/>
        <w:t>populations</w:t>
      </w:r>
      <w:hyperlink w:history="true" w:anchor="_bookmark549">
        <w:r>
          <w:rPr/>
          <w:t>.</w:t>
        </w:r>
        <w:r>
          <w:rPr>
            <w:vertAlign w:val="superscript"/>
          </w:rPr>
          <w:t>33</w:t>
        </w:r>
      </w:hyperlink>
      <w:hyperlink w:history="true" w:anchor="_bookmark549">
        <w:r>
          <w:rPr>
            <w:vertAlign w:val="superscript"/>
          </w:rPr>
          <w:t>,34</w:t>
        </w:r>
      </w:hyperlink>
      <w:r>
        <w:rPr>
          <w:spacing w:val="-2"/>
          <w:vertAlign w:val="baseline"/>
        </w:rPr>
        <w:t> </w:t>
      </w:r>
      <w:hyperlink w:history="true" w:anchor="_bookmark549">
        <w:r>
          <w:rPr>
            <w:vertAlign w:val="superscript"/>
          </w:rPr>
          <w:t>,35</w:t>
        </w:r>
      </w:hyperlink>
      <w:hyperlink w:history="true" w:anchor="_bookmark549">
        <w:r>
          <w:rPr>
            <w:vertAlign w:val="superscript"/>
          </w:rPr>
          <w:t>,36</w:t>
        </w:r>
      </w:hyperlink>
      <w:r>
        <w:rPr>
          <w:spacing w:val="-1"/>
          <w:vertAlign w:val="baseline"/>
        </w:rPr>
        <w:t> </w:t>
      </w:r>
      <w:r>
        <w:rPr>
          <w:vertAlign w:val="baseline"/>
        </w:rPr>
        <w:t>One</w:t>
      </w:r>
      <w:r>
        <w:rPr>
          <w:spacing w:val="-2"/>
          <w:vertAlign w:val="baseline"/>
        </w:rPr>
        <w:t> </w:t>
      </w:r>
      <w:r>
        <w:rPr>
          <w:vertAlign w:val="baseline"/>
        </w:rPr>
        <w:t>study based</w:t>
      </w:r>
      <w:r>
        <w:rPr>
          <w:spacing w:val="-2"/>
          <w:vertAlign w:val="baseline"/>
        </w:rPr>
        <w:t> </w:t>
      </w:r>
      <w:r>
        <w:rPr>
          <w:vertAlign w:val="baseline"/>
        </w:rPr>
        <w:t>on</w:t>
      </w:r>
      <w:r>
        <w:rPr>
          <w:spacing w:val="-2"/>
          <w:vertAlign w:val="baseline"/>
        </w:rPr>
        <w:t> </w:t>
      </w:r>
      <w:r>
        <w:rPr>
          <w:vertAlign w:val="baseline"/>
        </w:rPr>
        <w:t>national</w:t>
      </w:r>
      <w:r>
        <w:rPr>
          <w:spacing w:val="-2"/>
          <w:vertAlign w:val="baseline"/>
        </w:rPr>
        <w:t> </w:t>
      </w:r>
      <w:r>
        <w:rPr>
          <w:vertAlign w:val="baseline"/>
        </w:rPr>
        <w:t>YRBS</w:t>
      </w:r>
      <w:r>
        <w:rPr>
          <w:spacing w:val="-1"/>
          <w:vertAlign w:val="baseline"/>
        </w:rPr>
        <w:t> </w:t>
      </w:r>
      <w:r>
        <w:rPr>
          <w:vertAlign w:val="baseline"/>
        </w:rPr>
        <w:t>data found</w:t>
      </w:r>
      <w:r>
        <w:rPr>
          <w:spacing w:val="-1"/>
          <w:vertAlign w:val="baseline"/>
        </w:rPr>
        <w:t> </w:t>
      </w:r>
      <w:r>
        <w:rPr>
          <w:vertAlign w:val="baseline"/>
        </w:rPr>
        <w:t>that rates of asthma are significantly higher among LGBTQ youth (28%) compared to non-LGBTQ youth (21%)</w:t>
      </w:r>
      <w:hyperlink w:history="true" w:anchor="_bookmark549">
        <w:r>
          <w:rPr>
            <w:vertAlign w:val="baseline"/>
          </w:rPr>
          <w:t>;</w:t>
        </w:r>
        <w:r>
          <w:rPr>
            <w:vertAlign w:val="superscript"/>
          </w:rPr>
          <w:t>37</w:t>
        </w:r>
      </w:hyperlink>
      <w:r>
        <w:rPr>
          <w:spacing w:val="-7"/>
          <w:vertAlign w:val="baseline"/>
        </w:rPr>
        <w:t> </w:t>
      </w:r>
      <w:r>
        <w:rPr>
          <w:vertAlign w:val="baseline"/>
        </w:rPr>
        <w:t>YBRS</w:t>
      </w:r>
      <w:r>
        <w:rPr>
          <w:spacing w:val="-5"/>
          <w:vertAlign w:val="baseline"/>
        </w:rPr>
        <w:t> </w:t>
      </w:r>
      <w:r>
        <w:rPr>
          <w:vertAlign w:val="baseline"/>
        </w:rPr>
        <w:t>data</w:t>
      </w:r>
      <w:r>
        <w:rPr>
          <w:spacing w:val="-6"/>
          <w:vertAlign w:val="baseline"/>
        </w:rPr>
        <w:t> </w:t>
      </w:r>
      <w:r>
        <w:rPr>
          <w:vertAlign w:val="baseline"/>
        </w:rPr>
        <w:t>on</w:t>
      </w:r>
      <w:r>
        <w:rPr>
          <w:spacing w:val="-7"/>
          <w:vertAlign w:val="baseline"/>
        </w:rPr>
        <w:t> </w:t>
      </w:r>
      <w:r>
        <w:rPr>
          <w:vertAlign w:val="baseline"/>
        </w:rPr>
        <w:t>asthma</w:t>
      </w:r>
      <w:r>
        <w:rPr>
          <w:spacing w:val="-6"/>
          <w:vertAlign w:val="baseline"/>
        </w:rPr>
        <w:t> </w:t>
      </w:r>
      <w:r>
        <w:rPr>
          <w:vertAlign w:val="baseline"/>
        </w:rPr>
        <w:t>rates</w:t>
      </w:r>
      <w:r>
        <w:rPr>
          <w:spacing w:val="-6"/>
          <w:vertAlign w:val="baseline"/>
        </w:rPr>
        <w:t> </w:t>
      </w:r>
      <w:r>
        <w:rPr>
          <w:vertAlign w:val="baseline"/>
        </w:rPr>
        <w:t>among</w:t>
      </w:r>
      <w:r>
        <w:rPr>
          <w:spacing w:val="-7"/>
          <w:vertAlign w:val="baseline"/>
        </w:rPr>
        <w:t> </w:t>
      </w:r>
      <w:r>
        <w:rPr>
          <w:vertAlign w:val="baseline"/>
        </w:rPr>
        <w:t>Massachusetts</w:t>
      </w:r>
      <w:r>
        <w:rPr>
          <w:spacing w:val="-6"/>
          <w:vertAlign w:val="baseline"/>
        </w:rPr>
        <w:t> </w:t>
      </w:r>
      <w:r>
        <w:rPr>
          <w:vertAlign w:val="baseline"/>
        </w:rPr>
        <w:t>youth</w:t>
      </w:r>
      <w:r>
        <w:rPr>
          <w:spacing w:val="-5"/>
          <w:vertAlign w:val="baseline"/>
        </w:rPr>
        <w:t> </w:t>
      </w:r>
      <w:r>
        <w:rPr>
          <w:vertAlign w:val="baseline"/>
        </w:rPr>
        <w:t>is</w:t>
      </w:r>
      <w:r>
        <w:rPr>
          <w:spacing w:val="-5"/>
          <w:vertAlign w:val="baseline"/>
        </w:rPr>
        <w:t> </w:t>
      </w:r>
      <w:r>
        <w:rPr>
          <w:vertAlign w:val="baseline"/>
        </w:rPr>
        <w:t>not</w:t>
      </w:r>
      <w:r>
        <w:rPr>
          <w:spacing w:val="-7"/>
          <w:vertAlign w:val="baseline"/>
        </w:rPr>
        <w:t> </w:t>
      </w:r>
      <w:r>
        <w:rPr>
          <w:vertAlign w:val="baseline"/>
        </w:rPr>
        <w:t>currently</w:t>
      </w:r>
      <w:r>
        <w:rPr>
          <w:spacing w:val="-4"/>
          <w:vertAlign w:val="baseline"/>
        </w:rPr>
        <w:t> </w:t>
      </w:r>
      <w:r>
        <w:rPr>
          <w:vertAlign w:val="baseline"/>
        </w:rPr>
        <w:t>available</w:t>
      </w:r>
      <w:hyperlink w:history="true" w:anchor="_bookmark549">
        <w:r>
          <w:rPr>
            <w:vertAlign w:val="baseline"/>
          </w:rPr>
          <w:t>.</w:t>
        </w:r>
        <w:r>
          <w:rPr>
            <w:vertAlign w:val="superscript"/>
          </w:rPr>
          <w:t>38</w:t>
        </w:r>
      </w:hyperlink>
      <w:r>
        <w:rPr>
          <w:spacing w:val="-7"/>
          <w:vertAlign w:val="baseline"/>
        </w:rPr>
        <w:t> </w:t>
      </w:r>
      <w:r>
        <w:rPr>
          <w:vertAlign w:val="baseline"/>
        </w:rPr>
        <w:t>Studies</w:t>
      </w:r>
      <w:r>
        <w:rPr>
          <w:spacing w:val="-6"/>
          <w:vertAlign w:val="baseline"/>
        </w:rPr>
        <w:t> </w:t>
      </w:r>
      <w:r>
        <w:rPr>
          <w:vertAlign w:val="baseline"/>
        </w:rPr>
        <w:t>have also found higher rates of cardiovascular diseases linked to environmental exposures in some LGBTQ </w:t>
      </w:r>
      <w:r>
        <w:rPr>
          <w:spacing w:val="-2"/>
          <w:vertAlign w:val="baseline"/>
        </w:rPr>
        <w:t>subpopulations</w:t>
      </w:r>
      <w:hyperlink w:history="true" w:anchor="_bookmark549">
        <w:r>
          <w:rPr>
            <w:spacing w:val="-2"/>
            <w:vertAlign w:val="baseline"/>
          </w:rPr>
          <w:t>.</w:t>
        </w:r>
        <w:r>
          <w:rPr>
            <w:spacing w:val="-2"/>
            <w:vertAlign w:val="superscript"/>
          </w:rPr>
          <w:t>39</w:t>
        </w:r>
      </w:hyperlink>
    </w:p>
    <w:p>
      <w:pPr>
        <w:spacing w:before="239"/>
        <w:ind w:left="323" w:right="0" w:firstLine="0"/>
        <w:jc w:val="both"/>
        <w:rPr>
          <w:sz w:val="28"/>
        </w:rPr>
      </w:pPr>
      <w:bookmarkStart w:name="Chemical Exposures from Beauty and Perso" w:id="825"/>
      <w:bookmarkEnd w:id="825"/>
      <w:r>
        <w:rPr/>
      </w:r>
      <w:r>
        <w:rPr>
          <w:color w:val="365F91"/>
          <w:sz w:val="28"/>
        </w:rPr>
        <w:t>Chemical</w:t>
      </w:r>
      <w:r>
        <w:rPr>
          <w:color w:val="365F91"/>
          <w:spacing w:val="-10"/>
          <w:sz w:val="28"/>
        </w:rPr>
        <w:t> </w:t>
      </w:r>
      <w:r>
        <w:rPr>
          <w:color w:val="365F91"/>
          <w:sz w:val="28"/>
        </w:rPr>
        <w:t>Exposures</w:t>
      </w:r>
      <w:r>
        <w:rPr>
          <w:color w:val="365F91"/>
          <w:spacing w:val="-10"/>
          <w:sz w:val="28"/>
        </w:rPr>
        <w:t> </w:t>
      </w:r>
      <w:r>
        <w:rPr>
          <w:color w:val="365F91"/>
          <w:sz w:val="28"/>
        </w:rPr>
        <w:t>from</w:t>
      </w:r>
      <w:r>
        <w:rPr>
          <w:color w:val="365F91"/>
          <w:spacing w:val="-9"/>
          <w:sz w:val="28"/>
        </w:rPr>
        <w:t> </w:t>
      </w:r>
      <w:r>
        <w:rPr>
          <w:color w:val="365F91"/>
          <w:sz w:val="28"/>
        </w:rPr>
        <w:t>Beauty</w:t>
      </w:r>
      <w:r>
        <w:rPr>
          <w:color w:val="365F91"/>
          <w:spacing w:val="-10"/>
          <w:sz w:val="28"/>
        </w:rPr>
        <w:t> </w:t>
      </w:r>
      <w:r>
        <w:rPr>
          <w:color w:val="365F91"/>
          <w:sz w:val="28"/>
        </w:rPr>
        <w:t>and</w:t>
      </w:r>
      <w:r>
        <w:rPr>
          <w:color w:val="365F91"/>
          <w:spacing w:val="-11"/>
          <w:sz w:val="28"/>
        </w:rPr>
        <w:t> </w:t>
      </w:r>
      <w:r>
        <w:rPr>
          <w:color w:val="365F91"/>
          <w:sz w:val="28"/>
        </w:rPr>
        <w:t>Personal</w:t>
      </w:r>
      <w:r>
        <w:rPr>
          <w:color w:val="365F91"/>
          <w:spacing w:val="-10"/>
          <w:sz w:val="28"/>
        </w:rPr>
        <w:t> </w:t>
      </w:r>
      <w:r>
        <w:rPr>
          <w:color w:val="365F91"/>
          <w:sz w:val="28"/>
        </w:rPr>
        <w:t>Care</w:t>
      </w:r>
      <w:r>
        <w:rPr>
          <w:color w:val="365F91"/>
          <w:spacing w:val="-9"/>
          <w:sz w:val="28"/>
        </w:rPr>
        <w:t> </w:t>
      </w:r>
      <w:r>
        <w:rPr>
          <w:color w:val="365F91"/>
          <w:spacing w:val="-2"/>
          <w:sz w:val="28"/>
        </w:rPr>
        <w:t>Products</w:t>
      </w:r>
    </w:p>
    <w:p>
      <w:pPr>
        <w:pStyle w:val="BodyText"/>
        <w:spacing w:line="276" w:lineRule="auto" w:before="293"/>
        <w:ind w:left="323" w:right="142"/>
        <w:jc w:val="both"/>
      </w:pPr>
      <w:r>
        <w:rPr/>
        <w:t>Consumer products such as beauty and personal care products are another source of environmental chemical</w:t>
      </w:r>
      <w:r>
        <w:rPr>
          <w:spacing w:val="-6"/>
        </w:rPr>
        <w:t> </w:t>
      </w:r>
      <w:r>
        <w:rPr/>
        <w:t>exposure</w:t>
      </w:r>
      <w:r>
        <w:rPr>
          <w:spacing w:val="-8"/>
        </w:rPr>
        <w:t> </w:t>
      </w:r>
      <w:r>
        <w:rPr/>
        <w:t>that</w:t>
      </w:r>
      <w:r>
        <w:rPr>
          <w:spacing w:val="-7"/>
        </w:rPr>
        <w:t> </w:t>
      </w:r>
      <w:r>
        <w:rPr/>
        <w:t>may</w:t>
      </w:r>
      <w:r>
        <w:rPr>
          <w:spacing w:val="-7"/>
        </w:rPr>
        <w:t> </w:t>
      </w:r>
      <w:r>
        <w:rPr/>
        <w:t>disproportionately</w:t>
      </w:r>
      <w:r>
        <w:rPr>
          <w:spacing w:val="-7"/>
        </w:rPr>
        <w:t> </w:t>
      </w:r>
      <w:r>
        <w:rPr/>
        <w:t>affect</w:t>
      </w:r>
      <w:r>
        <w:rPr>
          <w:spacing w:val="-8"/>
        </w:rPr>
        <w:t> </w:t>
      </w:r>
      <w:r>
        <w:rPr/>
        <w:t>LGBTQ</w:t>
      </w:r>
      <w:r>
        <w:rPr>
          <w:spacing w:val="-7"/>
        </w:rPr>
        <w:t> </w:t>
      </w:r>
      <w:r>
        <w:rPr/>
        <w:t>and</w:t>
      </w:r>
      <w:r>
        <w:rPr>
          <w:spacing w:val="-5"/>
        </w:rPr>
        <w:t> </w:t>
      </w:r>
      <w:r>
        <w:rPr/>
        <w:t>QTBIPOC</w:t>
      </w:r>
      <w:r>
        <w:rPr>
          <w:spacing w:val="-7"/>
        </w:rPr>
        <w:t> </w:t>
      </w:r>
      <w:r>
        <w:rPr/>
        <w:t>youth.</w:t>
      </w:r>
      <w:r>
        <w:rPr>
          <w:spacing w:val="-7"/>
        </w:rPr>
        <w:t> </w:t>
      </w:r>
      <w:r>
        <w:rPr/>
        <w:t>Many</w:t>
      </w:r>
      <w:r>
        <w:rPr>
          <w:spacing w:val="-6"/>
        </w:rPr>
        <w:t> </w:t>
      </w:r>
      <w:r>
        <w:rPr/>
        <w:t>beauty</w:t>
      </w:r>
      <w:r>
        <w:rPr>
          <w:spacing w:val="-6"/>
        </w:rPr>
        <w:t> </w:t>
      </w:r>
      <w:r>
        <w:rPr/>
        <w:t>products that are used and sold widely in the United States contain toxic chemicals that can harm health, such as phthalates, parabens, formaldehyde, lead, mercury, and other compounds that are linked to endocrine disruption,</w:t>
      </w:r>
      <w:r>
        <w:rPr>
          <w:spacing w:val="-1"/>
        </w:rPr>
        <w:t> </w:t>
      </w:r>
      <w:r>
        <w:rPr/>
        <w:t>cancer,</w:t>
      </w:r>
      <w:r>
        <w:rPr>
          <w:spacing w:val="-3"/>
        </w:rPr>
        <w:t> </w:t>
      </w:r>
      <w:r>
        <w:rPr/>
        <w:t>reproductive</w:t>
      </w:r>
      <w:r>
        <w:rPr>
          <w:spacing w:val="-2"/>
        </w:rPr>
        <w:t> </w:t>
      </w:r>
      <w:r>
        <w:rPr/>
        <w:t>harm,</w:t>
      </w:r>
      <w:r>
        <w:rPr>
          <w:spacing w:val="-3"/>
        </w:rPr>
        <w:t> </w:t>
      </w:r>
      <w:r>
        <w:rPr/>
        <w:t>and</w:t>
      </w:r>
      <w:r>
        <w:rPr>
          <w:spacing w:val="-3"/>
        </w:rPr>
        <w:t> </w:t>
      </w:r>
      <w:r>
        <w:rPr/>
        <w:t>neurodevelopmental</w:t>
      </w:r>
      <w:r>
        <w:rPr>
          <w:spacing w:val="-3"/>
        </w:rPr>
        <w:t> </w:t>
      </w:r>
      <w:r>
        <w:rPr/>
        <w:t>harm</w:t>
      </w:r>
      <w:r>
        <w:rPr>
          <w:spacing w:val="-3"/>
        </w:rPr>
        <w:t> </w:t>
      </w:r>
      <w:r>
        <w:rPr/>
        <w:t>in</w:t>
      </w:r>
      <w:r>
        <w:rPr>
          <w:spacing w:val="-2"/>
        </w:rPr>
        <w:t> </w:t>
      </w:r>
      <w:r>
        <w:rPr/>
        <w:t>children</w:t>
      </w:r>
      <w:hyperlink w:history="true" w:anchor="_bookmark549">
        <w:r>
          <w:rPr/>
          <w:t>.</w:t>
        </w:r>
        <w:r>
          <w:rPr>
            <w:vertAlign w:val="superscript"/>
          </w:rPr>
          <w:t>40</w:t>
        </w:r>
      </w:hyperlink>
      <w:r>
        <w:rPr>
          <w:spacing w:val="-2"/>
          <w:vertAlign w:val="baseline"/>
        </w:rPr>
        <w:t> </w:t>
      </w:r>
      <w:r>
        <w:rPr>
          <w:vertAlign w:val="baseline"/>
        </w:rPr>
        <w:t>A</w:t>
      </w:r>
      <w:r>
        <w:rPr>
          <w:spacing w:val="-3"/>
          <w:vertAlign w:val="baseline"/>
        </w:rPr>
        <w:t> </w:t>
      </w:r>
      <w:r>
        <w:rPr>
          <w:vertAlign w:val="baseline"/>
        </w:rPr>
        <w:t>new</w:t>
      </w:r>
      <w:r>
        <w:rPr>
          <w:spacing w:val="-2"/>
          <w:vertAlign w:val="baseline"/>
        </w:rPr>
        <w:t> </w:t>
      </w:r>
      <w:r>
        <w:rPr>
          <w:vertAlign w:val="baseline"/>
        </w:rPr>
        <w:t>study</w:t>
      </w:r>
      <w:r>
        <w:rPr>
          <w:spacing w:val="-3"/>
          <w:vertAlign w:val="baseline"/>
        </w:rPr>
        <w:t> </w:t>
      </w:r>
      <w:r>
        <w:rPr>
          <w:vertAlign w:val="baseline"/>
        </w:rPr>
        <w:t>in</w:t>
      </w:r>
      <w:r>
        <w:rPr>
          <w:spacing w:val="-3"/>
          <w:vertAlign w:val="baseline"/>
        </w:rPr>
        <w:t> </w:t>
      </w:r>
      <w:r>
        <w:rPr>
          <w:vertAlign w:val="baseline"/>
        </w:rPr>
        <w:t>2021 found that over half of cosmetic products sold in the US contain PFAS, a “forever chemical” associated with serious health conditions such as cancer and pregnancy complications</w:t>
      </w:r>
      <w:hyperlink w:history="true" w:anchor="_bookmark549">
        <w:r>
          <w:rPr>
            <w:vertAlign w:val="baseline"/>
          </w:rPr>
          <w:t>.</w:t>
        </w:r>
        <w:r>
          <w:rPr>
            <w:vertAlign w:val="superscript"/>
          </w:rPr>
          <w:t>41</w:t>
        </w:r>
      </w:hyperlink>
    </w:p>
    <w:p>
      <w:pPr>
        <w:pStyle w:val="BodyText"/>
        <w:spacing w:line="276" w:lineRule="auto" w:before="240"/>
        <w:ind w:left="323" w:right="142"/>
        <w:jc w:val="both"/>
      </w:pPr>
      <w:r>
        <w:rPr/>
        <w:t>The burdens of toxic chemical exposures from beauty and personal care products are not distributed equally. Socioeconomic factors, systemic racism, and societal norms impact the type and quality of products that people use, affecting their exposure to toxic chemicals and posing risks to their health</w:t>
      </w:r>
      <w:hyperlink w:history="true" w:anchor="_bookmark549">
        <w:r>
          <w:rPr/>
          <w:t>.</w:t>
        </w:r>
        <w:r>
          <w:rPr>
            <w:vertAlign w:val="superscript"/>
          </w:rPr>
          <w:t>42</w:t>
        </w:r>
      </w:hyperlink>
      <w:r>
        <w:rPr>
          <w:vertAlign w:val="baseline"/>
        </w:rPr>
        <w:t> Although much more research is needed in this area, LGBTQ people, particularly drag communities and LGBTQ youth, may face unequal chemical burdens from beauty and personal care products. In a 2021 discussion</w:t>
      </w:r>
      <w:r>
        <w:rPr>
          <w:spacing w:val="36"/>
          <w:vertAlign w:val="baseline"/>
        </w:rPr>
        <w:t> </w:t>
      </w:r>
      <w:r>
        <w:rPr>
          <w:vertAlign w:val="baseline"/>
        </w:rPr>
        <w:t>hosted</w:t>
      </w:r>
      <w:r>
        <w:rPr>
          <w:spacing w:val="36"/>
          <w:vertAlign w:val="baseline"/>
        </w:rPr>
        <w:t> </w:t>
      </w:r>
      <w:r>
        <w:rPr>
          <w:vertAlign w:val="baseline"/>
        </w:rPr>
        <w:t>by</w:t>
      </w:r>
      <w:r>
        <w:rPr>
          <w:spacing w:val="37"/>
          <w:vertAlign w:val="baseline"/>
        </w:rPr>
        <w:t> </w:t>
      </w:r>
      <w:r>
        <w:rPr>
          <w:vertAlign w:val="baseline"/>
        </w:rPr>
        <w:t>West</w:t>
      </w:r>
      <w:r>
        <w:rPr>
          <w:spacing w:val="35"/>
          <w:vertAlign w:val="baseline"/>
        </w:rPr>
        <w:t> </w:t>
      </w:r>
      <w:r>
        <w:rPr>
          <w:vertAlign w:val="baseline"/>
        </w:rPr>
        <w:t>Harlem</w:t>
      </w:r>
      <w:r>
        <w:rPr>
          <w:spacing w:val="37"/>
          <w:vertAlign w:val="baseline"/>
        </w:rPr>
        <w:t> </w:t>
      </w:r>
      <w:r>
        <w:rPr>
          <w:vertAlign w:val="baseline"/>
        </w:rPr>
        <w:t>Environmental</w:t>
      </w:r>
      <w:r>
        <w:rPr>
          <w:spacing w:val="38"/>
          <w:vertAlign w:val="baseline"/>
        </w:rPr>
        <w:t> </w:t>
      </w:r>
      <w:r>
        <w:rPr>
          <w:vertAlign w:val="baseline"/>
        </w:rPr>
        <w:t>Action,</w:t>
      </w:r>
      <w:r>
        <w:rPr>
          <w:spacing w:val="36"/>
          <w:vertAlign w:val="baseline"/>
        </w:rPr>
        <w:t> </w:t>
      </w:r>
      <w:r>
        <w:rPr>
          <w:vertAlign w:val="baseline"/>
        </w:rPr>
        <w:t>also</w:t>
      </w:r>
      <w:r>
        <w:rPr>
          <w:spacing w:val="38"/>
          <w:vertAlign w:val="baseline"/>
        </w:rPr>
        <w:t> </w:t>
      </w:r>
      <w:r>
        <w:rPr>
          <w:vertAlign w:val="baseline"/>
        </w:rPr>
        <w:t>known</w:t>
      </w:r>
      <w:r>
        <w:rPr>
          <w:spacing w:val="36"/>
          <w:vertAlign w:val="baseline"/>
        </w:rPr>
        <w:t> </w:t>
      </w:r>
      <w:r>
        <w:rPr>
          <w:vertAlign w:val="baseline"/>
        </w:rPr>
        <w:t>as</w:t>
      </w:r>
      <w:r>
        <w:rPr>
          <w:spacing w:val="36"/>
          <w:vertAlign w:val="baseline"/>
        </w:rPr>
        <w:t> </w:t>
      </w:r>
      <w:r>
        <w:rPr>
          <w:vertAlign w:val="baseline"/>
        </w:rPr>
        <w:t>WE</w:t>
      </w:r>
      <w:r>
        <w:rPr>
          <w:spacing w:val="35"/>
          <w:vertAlign w:val="baseline"/>
        </w:rPr>
        <w:t> </w:t>
      </w:r>
      <w:r>
        <w:rPr>
          <w:vertAlign w:val="baseline"/>
        </w:rPr>
        <w:t>ACT</w:t>
      </w:r>
      <w:r>
        <w:rPr>
          <w:spacing w:val="37"/>
          <w:vertAlign w:val="baseline"/>
        </w:rPr>
        <w:t> </w:t>
      </w:r>
      <w:r>
        <w:rPr>
          <w:vertAlign w:val="baseline"/>
        </w:rPr>
        <w:t>for</w:t>
      </w:r>
      <w:r>
        <w:rPr>
          <w:spacing w:val="36"/>
          <w:vertAlign w:val="baseline"/>
        </w:rPr>
        <w:t> </w:t>
      </w:r>
      <w:r>
        <w:rPr>
          <w:vertAlign w:val="baseline"/>
        </w:rPr>
        <w:t>Environmental</w:t>
      </w:r>
    </w:p>
    <w:p>
      <w:pPr>
        <w:spacing w:after="0" w:line="276" w:lineRule="auto"/>
        <w:jc w:val="both"/>
        <w:sectPr>
          <w:pgSz w:w="12240" w:h="15840"/>
          <w:pgMar w:header="800" w:footer="1459" w:top="1300" w:bottom="1700" w:left="1120" w:right="1300"/>
        </w:sectPr>
      </w:pPr>
    </w:p>
    <w:p>
      <w:pPr>
        <w:pStyle w:val="BodyText"/>
        <w:spacing w:line="276" w:lineRule="auto" w:before="67"/>
        <w:ind w:left="323" w:right="141"/>
        <w:jc w:val="both"/>
      </w:pPr>
      <w:r>
        <w:rPr/>
        <w:t>Justice, a panel of researchers, advocates, and queer drag performers discussed the impact of toxic chemicals found in beauty and personal care products on the queer community. For example, a panelist mentioned that young people who are first starting out in drag or are exploring gender expression may use cheaper products that contain more toxic chemicals due to budget and availability constraints</w:t>
      </w:r>
      <w:hyperlink w:history="true" w:anchor="_bookmark549">
        <w:r>
          <w:rPr/>
          <w:t>.</w:t>
        </w:r>
        <w:r>
          <w:rPr>
            <w:vertAlign w:val="superscript"/>
          </w:rPr>
          <w:t>43</w:t>
        </w:r>
      </w:hyperlink>
    </w:p>
    <w:p>
      <w:pPr>
        <w:pStyle w:val="BodyText"/>
        <w:spacing w:line="276" w:lineRule="auto" w:before="240"/>
        <w:ind w:left="323" w:right="141"/>
        <w:jc w:val="both"/>
      </w:pPr>
      <w:r>
        <w:rPr/>
        <w:t>As</w:t>
      </w:r>
      <w:r>
        <w:rPr>
          <w:spacing w:val="-4"/>
        </w:rPr>
        <w:t> </w:t>
      </w:r>
      <w:r>
        <w:rPr/>
        <w:t>an</w:t>
      </w:r>
      <w:r>
        <w:rPr>
          <w:spacing w:val="-3"/>
        </w:rPr>
        <w:t> </w:t>
      </w:r>
      <w:r>
        <w:rPr/>
        <w:t>increasing</w:t>
      </w:r>
      <w:r>
        <w:rPr>
          <w:spacing w:val="-3"/>
        </w:rPr>
        <w:t> </w:t>
      </w:r>
      <w:r>
        <w:rPr/>
        <w:t>number</w:t>
      </w:r>
      <w:r>
        <w:rPr>
          <w:spacing w:val="-3"/>
        </w:rPr>
        <w:t> </w:t>
      </w:r>
      <w:r>
        <w:rPr/>
        <w:t>of</w:t>
      </w:r>
      <w:r>
        <w:rPr>
          <w:spacing w:val="-3"/>
        </w:rPr>
        <w:t> </w:t>
      </w:r>
      <w:r>
        <w:rPr/>
        <w:t>studies</w:t>
      </w:r>
      <w:r>
        <w:rPr>
          <w:spacing w:val="-2"/>
        </w:rPr>
        <w:t> </w:t>
      </w:r>
      <w:r>
        <w:rPr/>
        <w:t>reveal</w:t>
      </w:r>
      <w:r>
        <w:rPr>
          <w:spacing w:val="-4"/>
        </w:rPr>
        <w:t> </w:t>
      </w:r>
      <w:r>
        <w:rPr/>
        <w:t>the</w:t>
      </w:r>
      <w:r>
        <w:rPr>
          <w:spacing w:val="-3"/>
        </w:rPr>
        <w:t> </w:t>
      </w:r>
      <w:r>
        <w:rPr/>
        <w:t>widespread</w:t>
      </w:r>
      <w:r>
        <w:rPr>
          <w:spacing w:val="-4"/>
        </w:rPr>
        <w:t> </w:t>
      </w:r>
      <w:r>
        <w:rPr/>
        <w:t>use</w:t>
      </w:r>
      <w:r>
        <w:rPr>
          <w:spacing w:val="-3"/>
        </w:rPr>
        <w:t> </w:t>
      </w:r>
      <w:r>
        <w:rPr/>
        <w:t>of</w:t>
      </w:r>
      <w:r>
        <w:rPr>
          <w:spacing w:val="-3"/>
        </w:rPr>
        <w:t> </w:t>
      </w:r>
      <w:r>
        <w:rPr/>
        <w:t>toxic</w:t>
      </w:r>
      <w:r>
        <w:rPr>
          <w:spacing w:val="-3"/>
        </w:rPr>
        <w:t> </w:t>
      </w:r>
      <w:r>
        <w:rPr/>
        <w:t>substances</w:t>
      </w:r>
      <w:r>
        <w:rPr>
          <w:spacing w:val="-4"/>
        </w:rPr>
        <w:t> </w:t>
      </w:r>
      <w:r>
        <w:rPr/>
        <w:t>in</w:t>
      </w:r>
      <w:r>
        <w:rPr>
          <w:spacing w:val="-3"/>
        </w:rPr>
        <w:t> </w:t>
      </w:r>
      <w:r>
        <w:rPr/>
        <w:t>beauty</w:t>
      </w:r>
      <w:r>
        <w:rPr>
          <w:spacing w:val="-2"/>
        </w:rPr>
        <w:t> </w:t>
      </w:r>
      <w:r>
        <w:rPr/>
        <w:t>and</w:t>
      </w:r>
      <w:r>
        <w:rPr>
          <w:spacing w:val="-3"/>
        </w:rPr>
        <w:t> </w:t>
      </w:r>
      <w:r>
        <w:rPr/>
        <w:t>personal care products sold in the U.S., many states are taking legislative action to ban toxic ingredients in cosmetics. Action at the state level is crucial to fill gaps posed by the federal government’s limited authority to regulate the cosmetics industry. In 2023, at least 12 states including Washington, Hawaii, Illinois, Massachusetts, Michigan, Nevada, New Jersey, New York, North Carolina, Oregon, Rhode Island, Texas, and Vermont are considering policies to restrict or require disclosure of toxic chemicals in cosmetics and personal care products.</w:t>
      </w:r>
      <w:hyperlink w:history="true" w:anchor="_bookmark550">
        <w:r>
          <w:rPr>
            <w:vertAlign w:val="superscript"/>
          </w:rPr>
          <w:t>44</w:t>
        </w:r>
      </w:hyperlink>
      <w:r>
        <w:rPr>
          <w:vertAlign w:val="baseline"/>
        </w:rPr>
        <w:t> Some states have already taken significant actions to regulate the safety of personal care products. California has passed several laws that regulate cosmetics ingredients and labeling, including the California Safe Cosmetics Act in 2005, the California Toxic-Free Cosmetic</w:t>
      </w:r>
      <w:r>
        <w:rPr>
          <w:spacing w:val="-5"/>
          <w:vertAlign w:val="baseline"/>
        </w:rPr>
        <w:t> </w:t>
      </w:r>
      <w:r>
        <w:rPr>
          <w:vertAlign w:val="baseline"/>
        </w:rPr>
        <w:t>Act</w:t>
      </w:r>
      <w:r>
        <w:rPr>
          <w:spacing w:val="-5"/>
          <w:vertAlign w:val="baseline"/>
        </w:rPr>
        <w:t> </w:t>
      </w:r>
      <w:r>
        <w:rPr>
          <w:vertAlign w:val="baseline"/>
        </w:rPr>
        <w:t>in</w:t>
      </w:r>
      <w:r>
        <w:rPr>
          <w:spacing w:val="-6"/>
          <w:vertAlign w:val="baseline"/>
        </w:rPr>
        <w:t> </w:t>
      </w:r>
      <w:r>
        <w:rPr>
          <w:vertAlign w:val="baseline"/>
        </w:rPr>
        <w:t>2020,</w:t>
      </w:r>
      <w:r>
        <w:rPr>
          <w:spacing w:val="-5"/>
          <w:vertAlign w:val="baseline"/>
        </w:rPr>
        <w:t> </w:t>
      </w:r>
      <w:r>
        <w:rPr>
          <w:vertAlign w:val="baseline"/>
        </w:rPr>
        <w:t>and</w:t>
      </w:r>
      <w:r>
        <w:rPr>
          <w:spacing w:val="-3"/>
          <w:vertAlign w:val="baseline"/>
        </w:rPr>
        <w:t> </w:t>
      </w:r>
      <w:r>
        <w:rPr>
          <w:vertAlign w:val="baseline"/>
        </w:rPr>
        <w:t>a</w:t>
      </w:r>
      <w:r>
        <w:rPr>
          <w:spacing w:val="-5"/>
          <w:vertAlign w:val="baseline"/>
        </w:rPr>
        <w:t> </w:t>
      </w:r>
      <w:r>
        <w:rPr>
          <w:vertAlign w:val="baseline"/>
        </w:rPr>
        <w:t>ban</w:t>
      </w:r>
      <w:r>
        <w:rPr>
          <w:spacing w:val="-4"/>
          <w:vertAlign w:val="baseline"/>
        </w:rPr>
        <w:t> </w:t>
      </w:r>
      <w:r>
        <w:rPr>
          <w:vertAlign w:val="baseline"/>
        </w:rPr>
        <w:t>on</w:t>
      </w:r>
      <w:r>
        <w:rPr>
          <w:spacing w:val="-4"/>
          <w:vertAlign w:val="baseline"/>
        </w:rPr>
        <w:t> </w:t>
      </w:r>
      <w:r>
        <w:rPr>
          <w:vertAlign w:val="baseline"/>
        </w:rPr>
        <w:t>PFAS</w:t>
      </w:r>
      <w:r>
        <w:rPr>
          <w:spacing w:val="-6"/>
          <w:vertAlign w:val="baseline"/>
        </w:rPr>
        <w:t> </w:t>
      </w:r>
      <w:r>
        <w:rPr>
          <w:vertAlign w:val="baseline"/>
        </w:rPr>
        <w:t>in</w:t>
      </w:r>
      <w:r>
        <w:rPr>
          <w:spacing w:val="-3"/>
          <w:vertAlign w:val="baseline"/>
        </w:rPr>
        <w:t> </w:t>
      </w:r>
      <w:r>
        <w:rPr>
          <w:vertAlign w:val="baseline"/>
        </w:rPr>
        <w:t>personal</w:t>
      </w:r>
      <w:r>
        <w:rPr>
          <w:spacing w:val="-4"/>
          <w:vertAlign w:val="baseline"/>
        </w:rPr>
        <w:t> </w:t>
      </w:r>
      <w:r>
        <w:rPr>
          <w:vertAlign w:val="baseline"/>
        </w:rPr>
        <w:t>care</w:t>
      </w:r>
      <w:r>
        <w:rPr>
          <w:spacing w:val="-4"/>
          <w:vertAlign w:val="baseline"/>
        </w:rPr>
        <w:t> </w:t>
      </w:r>
      <w:r>
        <w:rPr>
          <w:vertAlign w:val="baseline"/>
        </w:rPr>
        <w:t>products</w:t>
      </w:r>
      <w:hyperlink w:history="true" w:anchor="_bookmark550">
        <w:r>
          <w:rPr>
            <w:vertAlign w:val="baseline"/>
          </w:rPr>
          <w:t>.</w:t>
        </w:r>
        <w:r>
          <w:rPr>
            <w:vertAlign w:val="superscript"/>
          </w:rPr>
          <w:t>45</w:t>
        </w:r>
      </w:hyperlink>
      <w:r>
        <w:rPr>
          <w:spacing w:val="-4"/>
          <w:vertAlign w:val="baseline"/>
        </w:rPr>
        <w:t> </w:t>
      </w:r>
      <w:r>
        <w:rPr>
          <w:vertAlign w:val="baseline"/>
        </w:rPr>
        <w:t>In</w:t>
      </w:r>
      <w:r>
        <w:rPr>
          <w:spacing w:val="-4"/>
          <w:vertAlign w:val="baseline"/>
        </w:rPr>
        <w:t> </w:t>
      </w:r>
      <w:r>
        <w:rPr>
          <w:vertAlign w:val="baseline"/>
        </w:rPr>
        <w:t>Massachusetts,</w:t>
      </w:r>
      <w:r>
        <w:rPr>
          <w:spacing w:val="-4"/>
          <w:vertAlign w:val="baseline"/>
        </w:rPr>
        <w:t> </w:t>
      </w:r>
      <w:r>
        <w:rPr>
          <w:vertAlign w:val="baseline"/>
        </w:rPr>
        <w:t>a</w:t>
      </w:r>
      <w:r>
        <w:rPr>
          <w:spacing w:val="-4"/>
          <w:vertAlign w:val="baseline"/>
        </w:rPr>
        <w:t> </w:t>
      </w:r>
      <w:r>
        <w:rPr>
          <w:vertAlign w:val="baseline"/>
        </w:rPr>
        <w:t>bill</w:t>
      </w:r>
      <w:r>
        <w:rPr>
          <w:spacing w:val="-4"/>
          <w:vertAlign w:val="baseline"/>
        </w:rPr>
        <w:t> </w:t>
      </w:r>
      <w:r>
        <w:rPr>
          <w:vertAlign w:val="baseline"/>
        </w:rPr>
        <w:t>to</w:t>
      </w:r>
      <w:r>
        <w:rPr>
          <w:spacing w:val="-4"/>
          <w:vertAlign w:val="baseline"/>
        </w:rPr>
        <w:t> </w:t>
      </w:r>
      <w:r>
        <w:rPr>
          <w:vertAlign w:val="baseline"/>
        </w:rPr>
        <w:t>ban</w:t>
      </w:r>
      <w:r>
        <w:rPr>
          <w:spacing w:val="-4"/>
          <w:vertAlign w:val="baseline"/>
        </w:rPr>
        <w:t> </w:t>
      </w:r>
      <w:r>
        <w:rPr>
          <w:vertAlign w:val="baseline"/>
        </w:rPr>
        <w:t>PFAS from consumer products, including personal care products, was filed in February 2023</w:t>
      </w:r>
      <w:hyperlink w:history="true" w:anchor="_bookmark551">
        <w:r>
          <w:rPr>
            <w:vertAlign w:val="baseline"/>
          </w:rPr>
          <w:t>.</w:t>
        </w:r>
        <w:r>
          <w:rPr>
            <w:vertAlign w:val="superscript"/>
          </w:rPr>
          <w:t>46</w:t>
        </w:r>
      </w:hyperlink>
    </w:p>
    <w:p>
      <w:pPr>
        <w:spacing w:before="239"/>
        <w:ind w:left="323" w:right="0" w:firstLine="0"/>
        <w:jc w:val="both"/>
        <w:rPr>
          <w:sz w:val="28"/>
        </w:rPr>
      </w:pPr>
      <w:bookmarkStart w:name="From Environmental Exposures to Health O" w:id="826"/>
      <w:bookmarkEnd w:id="826"/>
      <w:r>
        <w:rPr/>
      </w:r>
      <w:r>
        <w:rPr>
          <w:color w:val="365F91"/>
          <w:sz w:val="28"/>
        </w:rPr>
        <w:t>From</w:t>
      </w:r>
      <w:r>
        <w:rPr>
          <w:color w:val="365F91"/>
          <w:spacing w:val="-12"/>
          <w:sz w:val="28"/>
        </w:rPr>
        <w:t> </w:t>
      </w:r>
      <w:r>
        <w:rPr>
          <w:color w:val="365F91"/>
          <w:sz w:val="28"/>
        </w:rPr>
        <w:t>Environmental</w:t>
      </w:r>
      <w:r>
        <w:rPr>
          <w:color w:val="365F91"/>
          <w:spacing w:val="-10"/>
          <w:sz w:val="28"/>
        </w:rPr>
        <w:t> </w:t>
      </w:r>
      <w:r>
        <w:rPr>
          <w:color w:val="365F91"/>
          <w:sz w:val="28"/>
        </w:rPr>
        <w:t>Exposures</w:t>
      </w:r>
      <w:r>
        <w:rPr>
          <w:color w:val="365F91"/>
          <w:spacing w:val="-11"/>
          <w:sz w:val="28"/>
        </w:rPr>
        <w:t> </w:t>
      </w:r>
      <w:r>
        <w:rPr>
          <w:color w:val="365F91"/>
          <w:sz w:val="28"/>
        </w:rPr>
        <w:t>to</w:t>
      </w:r>
      <w:r>
        <w:rPr>
          <w:color w:val="365F91"/>
          <w:spacing w:val="-11"/>
          <w:sz w:val="28"/>
        </w:rPr>
        <w:t> </w:t>
      </w:r>
      <w:r>
        <w:rPr>
          <w:color w:val="365F91"/>
          <w:sz w:val="28"/>
        </w:rPr>
        <w:t>Health</w:t>
      </w:r>
      <w:r>
        <w:rPr>
          <w:color w:val="365F91"/>
          <w:spacing w:val="-13"/>
          <w:sz w:val="28"/>
        </w:rPr>
        <w:t> </w:t>
      </w:r>
      <w:r>
        <w:rPr>
          <w:color w:val="365F91"/>
          <w:spacing w:val="-2"/>
          <w:sz w:val="28"/>
        </w:rPr>
        <w:t>Outcomes</w:t>
      </w:r>
    </w:p>
    <w:p>
      <w:pPr>
        <w:pStyle w:val="BodyText"/>
        <w:spacing w:line="276" w:lineRule="auto" w:before="293"/>
        <w:ind w:left="323" w:right="139"/>
        <w:jc w:val="both"/>
      </w:pPr>
      <w:r>
        <w:rPr/>
        <w:t>In addition to disparities in exposure, LGBTQ communities are likely to experience more serious health impacts from those exposures due to socioeconomic inequities and preexisting conditions. In epidemiology,</w:t>
      </w:r>
      <w:r>
        <w:rPr>
          <w:spacing w:val="-7"/>
        </w:rPr>
        <w:t> </w:t>
      </w:r>
      <w:r>
        <w:rPr/>
        <w:t>effect</w:t>
      </w:r>
      <w:r>
        <w:rPr>
          <w:spacing w:val="-7"/>
        </w:rPr>
        <w:t> </w:t>
      </w:r>
      <w:r>
        <w:rPr/>
        <w:t>modification</w:t>
      </w:r>
      <w:r>
        <w:rPr>
          <w:spacing w:val="-8"/>
        </w:rPr>
        <w:t> </w:t>
      </w:r>
      <w:r>
        <w:rPr/>
        <w:t>refers</w:t>
      </w:r>
      <w:r>
        <w:rPr>
          <w:spacing w:val="-6"/>
        </w:rPr>
        <w:t> </w:t>
      </w:r>
      <w:r>
        <w:rPr/>
        <w:t>to</w:t>
      </w:r>
      <w:r>
        <w:rPr>
          <w:spacing w:val="-7"/>
        </w:rPr>
        <w:t> </w:t>
      </w:r>
      <w:r>
        <w:rPr/>
        <w:t>a</w:t>
      </w:r>
      <w:r>
        <w:rPr>
          <w:spacing w:val="-7"/>
        </w:rPr>
        <w:t> </w:t>
      </w:r>
      <w:r>
        <w:rPr/>
        <w:t>situation</w:t>
      </w:r>
      <w:r>
        <w:rPr>
          <w:spacing w:val="-7"/>
        </w:rPr>
        <w:t> </w:t>
      </w:r>
      <w:r>
        <w:rPr/>
        <w:t>where</w:t>
      </w:r>
      <w:r>
        <w:rPr>
          <w:spacing w:val="-8"/>
        </w:rPr>
        <w:t> </w:t>
      </w:r>
      <w:r>
        <w:rPr/>
        <w:t>the</w:t>
      </w:r>
      <w:r>
        <w:rPr>
          <w:spacing w:val="-7"/>
        </w:rPr>
        <w:t> </w:t>
      </w:r>
      <w:r>
        <w:rPr/>
        <w:t>impact</w:t>
      </w:r>
      <w:r>
        <w:rPr>
          <w:spacing w:val="-7"/>
        </w:rPr>
        <w:t> </w:t>
      </w:r>
      <w:r>
        <w:rPr/>
        <w:t>that</w:t>
      </w:r>
      <w:r>
        <w:rPr>
          <w:spacing w:val="-7"/>
        </w:rPr>
        <w:t> </w:t>
      </w:r>
      <w:r>
        <w:rPr/>
        <w:t>an</w:t>
      </w:r>
      <w:r>
        <w:rPr>
          <w:spacing w:val="-7"/>
        </w:rPr>
        <w:t> </w:t>
      </w:r>
      <w:r>
        <w:rPr/>
        <w:t>exposure</w:t>
      </w:r>
      <w:r>
        <w:rPr>
          <w:spacing w:val="-8"/>
        </w:rPr>
        <w:t> </w:t>
      </w:r>
      <w:r>
        <w:rPr/>
        <w:t>has</w:t>
      </w:r>
      <w:r>
        <w:rPr>
          <w:spacing w:val="-7"/>
        </w:rPr>
        <w:t> </w:t>
      </w:r>
      <w:r>
        <w:rPr/>
        <w:t>on</w:t>
      </w:r>
      <w:r>
        <w:rPr>
          <w:spacing w:val="-8"/>
        </w:rPr>
        <w:t> </w:t>
      </w:r>
      <w:r>
        <w:rPr/>
        <w:t>a</w:t>
      </w:r>
      <w:r>
        <w:rPr>
          <w:spacing w:val="-7"/>
        </w:rPr>
        <w:t> </w:t>
      </w:r>
      <w:r>
        <w:rPr/>
        <w:t>health outcome is affected by a third variable, such as access to health care or a preexisting health condition. Not</w:t>
      </w:r>
      <w:r>
        <w:rPr>
          <w:spacing w:val="-13"/>
        </w:rPr>
        <w:t> </w:t>
      </w:r>
      <w:r>
        <w:rPr/>
        <w:t>only</w:t>
      </w:r>
      <w:r>
        <w:rPr>
          <w:spacing w:val="-12"/>
        </w:rPr>
        <w:t> </w:t>
      </w:r>
      <w:r>
        <w:rPr/>
        <w:t>do</w:t>
      </w:r>
      <w:r>
        <w:rPr>
          <w:spacing w:val="-13"/>
        </w:rPr>
        <w:t> </w:t>
      </w:r>
      <w:r>
        <w:rPr/>
        <w:t>LGBTQ</w:t>
      </w:r>
      <w:r>
        <w:rPr>
          <w:spacing w:val="-12"/>
        </w:rPr>
        <w:t> </w:t>
      </w:r>
      <w:r>
        <w:rPr/>
        <w:t>populations</w:t>
      </w:r>
      <w:r>
        <w:rPr>
          <w:spacing w:val="-13"/>
        </w:rPr>
        <w:t> </w:t>
      </w:r>
      <w:r>
        <w:rPr/>
        <w:t>experience</w:t>
      </w:r>
      <w:r>
        <w:rPr>
          <w:spacing w:val="-12"/>
        </w:rPr>
        <w:t> </w:t>
      </w:r>
      <w:r>
        <w:rPr/>
        <w:t>disproportionate</w:t>
      </w:r>
      <w:r>
        <w:rPr>
          <w:spacing w:val="-13"/>
        </w:rPr>
        <w:t> </w:t>
      </w:r>
      <w:r>
        <w:rPr/>
        <w:t>exposure</w:t>
      </w:r>
      <w:r>
        <w:rPr>
          <w:spacing w:val="-12"/>
        </w:rPr>
        <w:t> </w:t>
      </w:r>
      <w:r>
        <w:rPr/>
        <w:t>to</w:t>
      </w:r>
      <w:r>
        <w:rPr>
          <w:spacing w:val="-12"/>
        </w:rPr>
        <w:t> </w:t>
      </w:r>
      <w:r>
        <w:rPr/>
        <w:t>environmental</w:t>
      </w:r>
      <w:r>
        <w:rPr>
          <w:spacing w:val="-13"/>
        </w:rPr>
        <w:t> </w:t>
      </w:r>
      <w:r>
        <w:rPr/>
        <w:t>hazards,</w:t>
      </w:r>
      <w:r>
        <w:rPr>
          <w:spacing w:val="-12"/>
        </w:rPr>
        <w:t> </w:t>
      </w:r>
      <w:r>
        <w:rPr/>
        <w:t>but</w:t>
      </w:r>
      <w:r>
        <w:rPr>
          <w:spacing w:val="-13"/>
        </w:rPr>
        <w:t> </w:t>
      </w:r>
      <w:r>
        <w:rPr/>
        <w:t>they also likely experience more</w:t>
      </w:r>
      <w:r>
        <w:rPr>
          <w:spacing w:val="-1"/>
        </w:rPr>
        <w:t> </w:t>
      </w:r>
      <w:r>
        <w:rPr/>
        <w:t>severe health</w:t>
      </w:r>
      <w:r>
        <w:rPr>
          <w:spacing w:val="-1"/>
        </w:rPr>
        <w:t> </w:t>
      </w:r>
      <w:r>
        <w:rPr/>
        <w:t>outcomes from</w:t>
      </w:r>
      <w:r>
        <w:rPr>
          <w:spacing w:val="-1"/>
        </w:rPr>
        <w:t> </w:t>
      </w:r>
      <w:r>
        <w:rPr/>
        <w:t>those exposures. Underlying health conditions disproportionately</w:t>
      </w:r>
      <w:r>
        <w:rPr>
          <w:spacing w:val="-3"/>
        </w:rPr>
        <w:t> </w:t>
      </w:r>
      <w:r>
        <w:rPr/>
        <w:t>affecting</w:t>
      </w:r>
      <w:r>
        <w:rPr>
          <w:spacing w:val="-3"/>
        </w:rPr>
        <w:t> </w:t>
      </w:r>
      <w:r>
        <w:rPr/>
        <w:t>LGBTQ</w:t>
      </w:r>
      <w:r>
        <w:rPr>
          <w:spacing w:val="-2"/>
        </w:rPr>
        <w:t> </w:t>
      </w:r>
      <w:r>
        <w:rPr/>
        <w:t>communities,</w:t>
      </w:r>
      <w:r>
        <w:rPr>
          <w:spacing w:val="-2"/>
        </w:rPr>
        <w:t> </w:t>
      </w:r>
      <w:r>
        <w:rPr/>
        <w:t>challenges</w:t>
      </w:r>
      <w:r>
        <w:rPr>
          <w:spacing w:val="-2"/>
        </w:rPr>
        <w:t> </w:t>
      </w:r>
      <w:r>
        <w:rPr/>
        <w:t>accessing</w:t>
      </w:r>
      <w:r>
        <w:rPr>
          <w:spacing w:val="-3"/>
        </w:rPr>
        <w:t> </w:t>
      </w:r>
      <w:r>
        <w:rPr/>
        <w:t>health</w:t>
      </w:r>
      <w:r>
        <w:rPr>
          <w:spacing w:val="-3"/>
        </w:rPr>
        <w:t> </w:t>
      </w:r>
      <w:r>
        <w:rPr/>
        <w:t>care,</w:t>
      </w:r>
      <w:r>
        <w:rPr>
          <w:spacing w:val="-3"/>
        </w:rPr>
        <w:t> </w:t>
      </w:r>
      <w:r>
        <w:rPr/>
        <w:t>and</w:t>
      </w:r>
      <w:r>
        <w:rPr>
          <w:spacing w:val="-3"/>
        </w:rPr>
        <w:t> </w:t>
      </w:r>
      <w:r>
        <w:rPr/>
        <w:t>stressors</w:t>
      </w:r>
      <w:r>
        <w:rPr>
          <w:spacing w:val="-2"/>
        </w:rPr>
        <w:t> </w:t>
      </w:r>
      <w:r>
        <w:rPr/>
        <w:t>such</w:t>
      </w:r>
      <w:r>
        <w:rPr>
          <w:spacing w:val="-3"/>
        </w:rPr>
        <w:t> </w:t>
      </w:r>
      <w:r>
        <w:rPr/>
        <w:t>as economic instability and housing insecurity may worsen the health impacts of exposure. </w:t>
      </w:r>
      <w:hyperlink w:history="true" w:anchor="_bookmark551">
        <w:r>
          <w:rPr>
            <w:vertAlign w:val="superscript"/>
          </w:rPr>
          <w:t>47</w:t>
        </w:r>
      </w:hyperlink>
      <w:r>
        <w:rPr>
          <w:vertAlign w:val="baseline"/>
        </w:rPr>
        <w:t> Black, Indigenous, immigrant, disabled, and low-income LGBTQ communities facing the combined burdens of heightened environmental exposures and structural racism, colonialism, ableism, and poverty are particularly</w:t>
      </w:r>
      <w:r>
        <w:rPr>
          <w:spacing w:val="-5"/>
          <w:vertAlign w:val="baseline"/>
        </w:rPr>
        <w:t> </w:t>
      </w:r>
      <w:r>
        <w:rPr>
          <w:vertAlign w:val="baseline"/>
        </w:rPr>
        <w:t>at</w:t>
      </w:r>
      <w:r>
        <w:rPr>
          <w:spacing w:val="-6"/>
          <w:vertAlign w:val="baseline"/>
        </w:rPr>
        <w:t> </w:t>
      </w:r>
      <w:r>
        <w:rPr>
          <w:vertAlign w:val="baseline"/>
        </w:rPr>
        <w:t>risk</w:t>
      </w:r>
      <w:r>
        <w:rPr>
          <w:spacing w:val="-6"/>
          <w:vertAlign w:val="baseline"/>
        </w:rPr>
        <w:t> </w:t>
      </w:r>
      <w:r>
        <w:rPr>
          <w:vertAlign w:val="baseline"/>
        </w:rPr>
        <w:t>for</w:t>
      </w:r>
      <w:r>
        <w:rPr>
          <w:spacing w:val="-5"/>
          <w:vertAlign w:val="baseline"/>
        </w:rPr>
        <w:t> </w:t>
      </w:r>
      <w:r>
        <w:rPr>
          <w:vertAlign w:val="baseline"/>
        </w:rPr>
        <w:t>health</w:t>
      </w:r>
      <w:r>
        <w:rPr>
          <w:spacing w:val="-6"/>
          <w:vertAlign w:val="baseline"/>
        </w:rPr>
        <w:t> </w:t>
      </w:r>
      <w:r>
        <w:rPr>
          <w:vertAlign w:val="baseline"/>
        </w:rPr>
        <w:t>disparities.</w:t>
      </w:r>
      <w:r>
        <w:rPr>
          <w:spacing w:val="-4"/>
          <w:vertAlign w:val="baseline"/>
        </w:rPr>
        <w:t> </w:t>
      </w:r>
      <w:r>
        <w:rPr>
          <w:vertAlign w:val="baseline"/>
        </w:rPr>
        <w:t>For</w:t>
      </w:r>
      <w:r>
        <w:rPr>
          <w:spacing w:val="-5"/>
          <w:vertAlign w:val="baseline"/>
        </w:rPr>
        <w:t> </w:t>
      </w:r>
      <w:r>
        <w:rPr>
          <w:vertAlign w:val="baseline"/>
        </w:rPr>
        <w:t>example,</w:t>
      </w:r>
      <w:r>
        <w:rPr>
          <w:spacing w:val="-5"/>
          <w:vertAlign w:val="baseline"/>
        </w:rPr>
        <w:t> </w:t>
      </w:r>
      <w:r>
        <w:rPr>
          <w:vertAlign w:val="baseline"/>
        </w:rPr>
        <w:t>research</w:t>
      </w:r>
      <w:r>
        <w:rPr>
          <w:spacing w:val="-6"/>
          <w:vertAlign w:val="baseline"/>
        </w:rPr>
        <w:t> </w:t>
      </w:r>
      <w:r>
        <w:rPr>
          <w:vertAlign w:val="baseline"/>
        </w:rPr>
        <w:t>on</w:t>
      </w:r>
      <w:r>
        <w:rPr>
          <w:spacing w:val="-6"/>
          <w:vertAlign w:val="baseline"/>
        </w:rPr>
        <w:t> </w:t>
      </w:r>
      <w:r>
        <w:rPr>
          <w:vertAlign w:val="baseline"/>
        </w:rPr>
        <w:t>the</w:t>
      </w:r>
      <w:r>
        <w:rPr>
          <w:spacing w:val="-6"/>
          <w:vertAlign w:val="baseline"/>
        </w:rPr>
        <w:t> </w:t>
      </w:r>
      <w:r>
        <w:rPr>
          <w:vertAlign w:val="baseline"/>
        </w:rPr>
        <w:t>socioeconomic</w:t>
      </w:r>
      <w:r>
        <w:rPr>
          <w:spacing w:val="-6"/>
          <w:vertAlign w:val="baseline"/>
        </w:rPr>
        <w:t> </w:t>
      </w:r>
      <w:r>
        <w:rPr>
          <w:vertAlign w:val="baseline"/>
        </w:rPr>
        <w:t>status</w:t>
      </w:r>
      <w:r>
        <w:rPr>
          <w:spacing w:val="-5"/>
          <w:vertAlign w:val="baseline"/>
        </w:rPr>
        <w:t> </w:t>
      </w:r>
      <w:r>
        <w:rPr>
          <w:vertAlign w:val="baseline"/>
        </w:rPr>
        <w:t>of</w:t>
      </w:r>
      <w:r>
        <w:rPr>
          <w:spacing w:val="-5"/>
          <w:vertAlign w:val="baseline"/>
        </w:rPr>
        <w:t> </w:t>
      </w:r>
      <w:r>
        <w:rPr>
          <w:vertAlign w:val="baseline"/>
        </w:rPr>
        <w:t>Two-Spirit and</w:t>
      </w:r>
      <w:r>
        <w:rPr>
          <w:spacing w:val="-2"/>
          <w:vertAlign w:val="baseline"/>
        </w:rPr>
        <w:t> </w:t>
      </w:r>
      <w:r>
        <w:rPr>
          <w:vertAlign w:val="baseline"/>
        </w:rPr>
        <w:t>LGBTQ</w:t>
      </w:r>
      <w:r>
        <w:rPr>
          <w:spacing w:val="-1"/>
          <w:vertAlign w:val="baseline"/>
        </w:rPr>
        <w:t> </w:t>
      </w:r>
      <w:r>
        <w:rPr>
          <w:vertAlign w:val="baseline"/>
        </w:rPr>
        <w:t>Indigenous people</w:t>
      </w:r>
      <w:r>
        <w:rPr>
          <w:spacing w:val="-2"/>
          <w:vertAlign w:val="baseline"/>
        </w:rPr>
        <w:t> </w:t>
      </w:r>
      <w:r>
        <w:rPr>
          <w:vertAlign w:val="baseline"/>
        </w:rPr>
        <w:t>has</w:t>
      </w:r>
      <w:r>
        <w:rPr>
          <w:spacing w:val="-1"/>
          <w:vertAlign w:val="baseline"/>
        </w:rPr>
        <w:t> </w:t>
      </w:r>
      <w:r>
        <w:rPr>
          <w:vertAlign w:val="baseline"/>
        </w:rPr>
        <w:t>found</w:t>
      </w:r>
      <w:r>
        <w:rPr>
          <w:spacing w:val="-1"/>
          <w:vertAlign w:val="baseline"/>
        </w:rPr>
        <w:t> </w:t>
      </w:r>
      <w:r>
        <w:rPr>
          <w:vertAlign w:val="baseline"/>
        </w:rPr>
        <w:t>that</w:t>
      </w:r>
      <w:r>
        <w:rPr>
          <w:spacing w:val="-1"/>
          <w:vertAlign w:val="baseline"/>
        </w:rPr>
        <w:t> </w:t>
      </w:r>
      <w:r>
        <w:rPr>
          <w:vertAlign w:val="baseline"/>
        </w:rPr>
        <w:t>26%</w:t>
      </w:r>
      <w:r>
        <w:rPr>
          <w:spacing w:val="-2"/>
          <w:vertAlign w:val="baseline"/>
        </w:rPr>
        <w:t> </w:t>
      </w:r>
      <w:r>
        <w:rPr>
          <w:vertAlign w:val="baseline"/>
        </w:rPr>
        <w:t>are</w:t>
      </w:r>
      <w:r>
        <w:rPr>
          <w:spacing w:val="-1"/>
          <w:vertAlign w:val="baseline"/>
        </w:rPr>
        <w:t> </w:t>
      </w:r>
      <w:r>
        <w:rPr>
          <w:vertAlign w:val="baseline"/>
        </w:rPr>
        <w:t>unemployed,</w:t>
      </w:r>
      <w:r>
        <w:rPr>
          <w:spacing w:val="-2"/>
          <w:vertAlign w:val="baseline"/>
        </w:rPr>
        <w:t> </w:t>
      </w:r>
      <w:r>
        <w:rPr>
          <w:vertAlign w:val="baseline"/>
        </w:rPr>
        <w:t>55%</w:t>
      </w:r>
      <w:r>
        <w:rPr>
          <w:spacing w:val="-2"/>
          <w:vertAlign w:val="baseline"/>
        </w:rPr>
        <w:t> </w:t>
      </w:r>
      <w:r>
        <w:rPr>
          <w:vertAlign w:val="baseline"/>
        </w:rPr>
        <w:t>experience</w:t>
      </w:r>
      <w:r>
        <w:rPr>
          <w:spacing w:val="-2"/>
          <w:vertAlign w:val="baseline"/>
        </w:rPr>
        <w:t> </w:t>
      </w:r>
      <w:r>
        <w:rPr>
          <w:vertAlign w:val="baseline"/>
        </w:rPr>
        <w:t>food</w:t>
      </w:r>
      <w:r>
        <w:rPr>
          <w:spacing w:val="-1"/>
          <w:vertAlign w:val="baseline"/>
        </w:rPr>
        <w:t> </w:t>
      </w:r>
      <w:r>
        <w:rPr>
          <w:vertAlign w:val="baseline"/>
        </w:rPr>
        <w:t>insecurity,</w:t>
      </w:r>
      <w:r>
        <w:rPr>
          <w:spacing w:val="-2"/>
          <w:vertAlign w:val="baseline"/>
        </w:rPr>
        <w:t> </w:t>
      </w:r>
      <w:r>
        <w:rPr>
          <w:vertAlign w:val="baseline"/>
        </w:rPr>
        <w:t>and 23% live in extreme poverty due to discrimination, marginalization, stigmatization, and historical </w:t>
      </w:r>
      <w:r>
        <w:rPr>
          <w:spacing w:val="-2"/>
          <w:vertAlign w:val="baseline"/>
        </w:rPr>
        <w:t>trauma</w:t>
      </w:r>
      <w:hyperlink w:history="true" w:anchor="_bookmark551">
        <w:r>
          <w:rPr>
            <w:spacing w:val="-2"/>
            <w:vertAlign w:val="baseline"/>
          </w:rPr>
          <w:t>.</w:t>
        </w:r>
        <w:r>
          <w:rPr>
            <w:spacing w:val="-2"/>
            <w:vertAlign w:val="superscript"/>
          </w:rPr>
          <w:t>48,</w:t>
        </w:r>
      </w:hyperlink>
      <w:r>
        <w:rPr>
          <w:spacing w:val="-2"/>
          <w:vertAlign w:val="superscript"/>
        </w:rPr>
        <w:t>49</w:t>
      </w:r>
    </w:p>
    <w:p>
      <w:pPr>
        <w:pStyle w:val="BodyText"/>
        <w:spacing w:line="276" w:lineRule="auto" w:before="239"/>
        <w:ind w:left="323" w:right="140"/>
        <w:jc w:val="both"/>
      </w:pPr>
      <w:r>
        <w:rPr/>
        <w:t>Preexisting</w:t>
      </w:r>
      <w:r>
        <w:rPr>
          <w:spacing w:val="-1"/>
        </w:rPr>
        <w:t> </w:t>
      </w:r>
      <w:r>
        <w:rPr/>
        <w:t>health</w:t>
      </w:r>
      <w:r>
        <w:rPr>
          <w:spacing w:val="-2"/>
        </w:rPr>
        <w:t> </w:t>
      </w:r>
      <w:r>
        <w:rPr/>
        <w:t>conditions</w:t>
      </w:r>
      <w:r>
        <w:rPr>
          <w:spacing w:val="-1"/>
        </w:rPr>
        <w:t> </w:t>
      </w:r>
      <w:r>
        <w:rPr/>
        <w:t>among</w:t>
      </w:r>
      <w:r>
        <w:rPr>
          <w:spacing w:val="-2"/>
        </w:rPr>
        <w:t> </w:t>
      </w:r>
      <w:r>
        <w:rPr/>
        <w:t>LGBTQ+</w:t>
      </w:r>
      <w:r>
        <w:rPr>
          <w:spacing w:val="-1"/>
        </w:rPr>
        <w:t> </w:t>
      </w:r>
      <w:r>
        <w:rPr/>
        <w:t>populations,</w:t>
      </w:r>
      <w:r>
        <w:rPr>
          <w:spacing w:val="-2"/>
        </w:rPr>
        <w:t> </w:t>
      </w:r>
      <w:r>
        <w:rPr/>
        <w:t>such</w:t>
      </w:r>
      <w:r>
        <w:rPr>
          <w:spacing w:val="-1"/>
        </w:rPr>
        <w:t> </w:t>
      </w:r>
      <w:r>
        <w:rPr/>
        <w:t>as</w:t>
      </w:r>
      <w:r>
        <w:rPr>
          <w:spacing w:val="-2"/>
        </w:rPr>
        <w:t> </w:t>
      </w:r>
      <w:r>
        <w:rPr/>
        <w:t>HIV,</w:t>
      </w:r>
      <w:r>
        <w:rPr>
          <w:spacing w:val="-1"/>
        </w:rPr>
        <w:t> </w:t>
      </w:r>
      <w:r>
        <w:rPr/>
        <w:t>can</w:t>
      </w:r>
      <w:r>
        <w:rPr>
          <w:spacing w:val="-1"/>
        </w:rPr>
        <w:t> </w:t>
      </w:r>
      <w:r>
        <w:rPr/>
        <w:t>worsen</w:t>
      </w:r>
      <w:r>
        <w:rPr>
          <w:spacing w:val="-2"/>
        </w:rPr>
        <w:t> </w:t>
      </w:r>
      <w:r>
        <w:rPr/>
        <w:t>the</w:t>
      </w:r>
      <w:r>
        <w:rPr>
          <w:spacing w:val="-1"/>
        </w:rPr>
        <w:t> </w:t>
      </w:r>
      <w:r>
        <w:rPr/>
        <w:t>health</w:t>
      </w:r>
      <w:r>
        <w:rPr>
          <w:spacing w:val="-2"/>
        </w:rPr>
        <w:t> </w:t>
      </w:r>
      <w:r>
        <w:rPr/>
        <w:t>impacts</w:t>
      </w:r>
      <w:r>
        <w:rPr>
          <w:spacing w:val="-1"/>
        </w:rPr>
        <w:t> </w:t>
      </w:r>
      <w:r>
        <w:rPr/>
        <w:t>of pollution. Since HIV compromises the immune system, people with HIV are particularly susceptible to negative health consequences from exposure to environmental hazards such as air pollution. Numerous studies have investigated how exposure to air pollution exacerbates HIV; air pollution can cause and worsen conditions like pneumocystis pneumonia and tuberculosis (TB). One study linked exposure to particulate</w:t>
      </w:r>
      <w:r>
        <w:rPr>
          <w:spacing w:val="-13"/>
        </w:rPr>
        <w:t> </w:t>
      </w:r>
      <w:r>
        <w:rPr/>
        <w:t>matter,</w:t>
      </w:r>
      <w:r>
        <w:rPr>
          <w:spacing w:val="-12"/>
        </w:rPr>
        <w:t> </w:t>
      </w:r>
      <w:r>
        <w:rPr/>
        <w:t>nitrogen</w:t>
      </w:r>
      <w:r>
        <w:rPr>
          <w:spacing w:val="-13"/>
        </w:rPr>
        <w:t> </w:t>
      </w:r>
      <w:r>
        <w:rPr/>
        <w:t>dioxide</w:t>
      </w:r>
      <w:r>
        <w:rPr>
          <w:spacing w:val="-12"/>
        </w:rPr>
        <w:t> </w:t>
      </w:r>
      <w:r>
        <w:rPr/>
        <w:t>and</w:t>
      </w:r>
      <w:r>
        <w:rPr>
          <w:spacing w:val="-13"/>
        </w:rPr>
        <w:t> </w:t>
      </w:r>
      <w:r>
        <w:rPr/>
        <w:t>ozone,</w:t>
      </w:r>
      <w:r>
        <w:rPr>
          <w:spacing w:val="-12"/>
        </w:rPr>
        <w:t> </w:t>
      </w:r>
      <w:r>
        <w:rPr/>
        <w:t>three</w:t>
      </w:r>
      <w:r>
        <w:rPr>
          <w:spacing w:val="-13"/>
        </w:rPr>
        <w:t> </w:t>
      </w:r>
      <w:r>
        <w:rPr/>
        <w:t>of</w:t>
      </w:r>
      <w:r>
        <w:rPr>
          <w:spacing w:val="-12"/>
        </w:rPr>
        <w:t> </w:t>
      </w:r>
      <w:r>
        <w:rPr/>
        <w:t>the</w:t>
      </w:r>
      <w:r>
        <w:rPr>
          <w:spacing w:val="-12"/>
        </w:rPr>
        <w:t> </w:t>
      </w:r>
      <w:r>
        <w:rPr/>
        <w:t>most</w:t>
      </w:r>
      <w:r>
        <w:rPr>
          <w:spacing w:val="-13"/>
        </w:rPr>
        <w:t> </w:t>
      </w:r>
      <w:r>
        <w:rPr/>
        <w:t>common</w:t>
      </w:r>
      <w:r>
        <w:rPr>
          <w:spacing w:val="-12"/>
        </w:rPr>
        <w:t> </w:t>
      </w:r>
      <w:r>
        <w:rPr/>
        <w:t>air</w:t>
      </w:r>
      <w:r>
        <w:rPr>
          <w:spacing w:val="-13"/>
        </w:rPr>
        <w:t> </w:t>
      </w:r>
      <w:r>
        <w:rPr/>
        <w:t>pollutants,</w:t>
      </w:r>
      <w:r>
        <w:rPr>
          <w:spacing w:val="-12"/>
        </w:rPr>
        <w:t> </w:t>
      </w:r>
      <w:r>
        <w:rPr/>
        <w:t>with</w:t>
      </w:r>
      <w:r>
        <w:rPr>
          <w:spacing w:val="-13"/>
        </w:rPr>
        <w:t> </w:t>
      </w:r>
      <w:r>
        <w:rPr/>
        <w:t>pneumonia hospitalization in people with HIV.</w:t>
      </w:r>
      <w:r>
        <w:rPr>
          <w:vertAlign w:val="superscript"/>
        </w:rPr>
        <w:t>50</w:t>
      </w:r>
      <w:r>
        <w:rPr>
          <w:vertAlign w:val="baseline"/>
        </w:rPr>
        <w:t> Another found positive association between carbon monoxide and</w:t>
      </w:r>
    </w:p>
    <w:p>
      <w:pPr>
        <w:spacing w:after="0" w:line="276" w:lineRule="auto"/>
        <w:jc w:val="both"/>
        <w:sectPr>
          <w:pgSz w:w="12240" w:h="15840"/>
          <w:pgMar w:header="800" w:footer="1459" w:top="1300" w:bottom="1700" w:left="1120" w:right="1300"/>
        </w:sectPr>
      </w:pPr>
    </w:p>
    <w:p>
      <w:pPr>
        <w:pStyle w:val="BodyText"/>
        <w:spacing w:line="276" w:lineRule="auto" w:before="67"/>
        <w:ind w:left="323" w:right="141"/>
        <w:jc w:val="both"/>
      </w:pPr>
      <w:r>
        <w:rPr/>
        <w:t>nitrogen dioxide exposure and contracting TB.</w:t>
      </w:r>
      <w:r>
        <w:rPr>
          <w:vertAlign w:val="superscript"/>
        </w:rPr>
        <w:t>51</w:t>
      </w:r>
      <w:r>
        <w:rPr>
          <w:vertAlign w:val="baseline"/>
        </w:rPr>
        <w:t> Studies also suggest that the combined effects of air pollution and HIV may amplify the development of cardiovascular disease.</w:t>
      </w:r>
      <w:r>
        <w:rPr>
          <w:vertAlign w:val="superscript"/>
        </w:rPr>
        <w:t>52</w:t>
      </w:r>
    </w:p>
    <w:p>
      <w:pPr>
        <w:pStyle w:val="BodyText"/>
        <w:spacing w:line="276" w:lineRule="auto" w:before="241"/>
        <w:ind w:left="323" w:right="140"/>
        <w:jc w:val="both"/>
      </w:pPr>
      <w:r>
        <w:rPr/>
        <w:t>Hazardous environmental conditions can also exacerbate the high mental health burdens that LGBTQ youth already face. The link between environmental exposures and mental health challenges is understudied, but emerging research demonstrates that exposure to air pollution, noise pollution, extreme weather, and environmental disasters can increase the risk of mental health conditions such as depression.</w:t>
      </w:r>
      <w:r>
        <w:rPr>
          <w:vertAlign w:val="superscript"/>
        </w:rPr>
        <w:t>53</w:t>
      </w:r>
      <w:hyperlink w:history="true" w:anchor="_bookmark552">
        <w:r>
          <w:rPr>
            <w:vertAlign w:val="superscript"/>
          </w:rPr>
          <w:t>,54</w:t>
        </w:r>
      </w:hyperlink>
      <w:hyperlink w:history="true" w:anchor="_bookmark552">
        <w:r>
          <w:rPr>
            <w:vertAlign w:val="superscript"/>
          </w:rPr>
          <w:t>,55</w:t>
        </w:r>
      </w:hyperlink>
      <w:r>
        <w:rPr>
          <w:vertAlign w:val="baseline"/>
        </w:rPr>
        <w:t> More research into the connection between pollution exposure and mental health is extremely important for understanding the needs LGBTQ youth, who already face heightened risks to their mental health and wellbeing.</w:t>
      </w:r>
    </w:p>
    <w:p>
      <w:pPr>
        <w:pStyle w:val="BodyText"/>
        <w:spacing w:line="276" w:lineRule="auto" w:before="239"/>
        <w:ind w:left="323" w:right="140"/>
        <w:jc w:val="both"/>
      </w:pPr>
      <w:r>
        <w:rPr/>
        <w:t>In addition to risks from preexisting conditions, LGBTQ populations may have a decreased capacity to respond</w:t>
      </w:r>
      <w:r>
        <w:rPr>
          <w:spacing w:val="-12"/>
        </w:rPr>
        <w:t> </w:t>
      </w:r>
      <w:r>
        <w:rPr/>
        <w:t>to</w:t>
      </w:r>
      <w:r>
        <w:rPr>
          <w:spacing w:val="-12"/>
        </w:rPr>
        <w:t> </w:t>
      </w:r>
      <w:r>
        <w:rPr/>
        <w:t>the</w:t>
      </w:r>
      <w:r>
        <w:rPr>
          <w:spacing w:val="-13"/>
        </w:rPr>
        <w:t> </w:t>
      </w:r>
      <w:r>
        <w:rPr/>
        <w:t>health</w:t>
      </w:r>
      <w:r>
        <w:rPr>
          <w:spacing w:val="-11"/>
        </w:rPr>
        <w:t> </w:t>
      </w:r>
      <w:r>
        <w:rPr/>
        <w:t>impacts</w:t>
      </w:r>
      <w:r>
        <w:rPr>
          <w:spacing w:val="-12"/>
        </w:rPr>
        <w:t> </w:t>
      </w:r>
      <w:r>
        <w:rPr/>
        <w:t>of</w:t>
      </w:r>
      <w:r>
        <w:rPr>
          <w:spacing w:val="-11"/>
        </w:rPr>
        <w:t> </w:t>
      </w:r>
      <w:r>
        <w:rPr/>
        <w:t>pollution</w:t>
      </w:r>
      <w:r>
        <w:rPr>
          <w:spacing w:val="-13"/>
        </w:rPr>
        <w:t> </w:t>
      </w:r>
      <w:r>
        <w:rPr/>
        <w:t>due</w:t>
      </w:r>
      <w:r>
        <w:rPr>
          <w:spacing w:val="-11"/>
        </w:rPr>
        <w:t> </w:t>
      </w:r>
      <w:r>
        <w:rPr/>
        <w:t>to</w:t>
      </w:r>
      <w:r>
        <w:rPr>
          <w:spacing w:val="-11"/>
        </w:rPr>
        <w:t> </w:t>
      </w:r>
      <w:r>
        <w:rPr/>
        <w:t>barriers</w:t>
      </w:r>
      <w:r>
        <w:rPr>
          <w:spacing w:val="-12"/>
        </w:rPr>
        <w:t> </w:t>
      </w:r>
      <w:r>
        <w:rPr/>
        <w:t>to</w:t>
      </w:r>
      <w:r>
        <w:rPr>
          <w:spacing w:val="-12"/>
        </w:rPr>
        <w:t> </w:t>
      </w:r>
      <w:r>
        <w:rPr/>
        <w:t>obtaining</w:t>
      </w:r>
      <w:r>
        <w:rPr>
          <w:spacing w:val="-12"/>
        </w:rPr>
        <w:t> </w:t>
      </w:r>
      <w:r>
        <w:rPr/>
        <w:t>medical</w:t>
      </w:r>
      <w:r>
        <w:rPr>
          <w:spacing w:val="-11"/>
        </w:rPr>
        <w:t> </w:t>
      </w:r>
      <w:r>
        <w:rPr/>
        <w:t>care</w:t>
      </w:r>
      <w:r>
        <w:rPr>
          <w:spacing w:val="-13"/>
        </w:rPr>
        <w:t> </w:t>
      </w:r>
      <w:r>
        <w:rPr/>
        <w:t>and</w:t>
      </w:r>
      <w:r>
        <w:rPr>
          <w:spacing w:val="-11"/>
        </w:rPr>
        <w:t> </w:t>
      </w:r>
      <w:r>
        <w:rPr/>
        <w:t>difficulty</w:t>
      </w:r>
      <w:r>
        <w:rPr>
          <w:spacing w:val="-12"/>
        </w:rPr>
        <w:t> </w:t>
      </w:r>
      <w:r>
        <w:rPr/>
        <w:t>avoiding hazardous</w:t>
      </w:r>
      <w:r>
        <w:rPr>
          <w:spacing w:val="-11"/>
        </w:rPr>
        <w:t> </w:t>
      </w:r>
      <w:r>
        <w:rPr/>
        <w:t>environmental</w:t>
      </w:r>
      <w:r>
        <w:rPr>
          <w:spacing w:val="-10"/>
        </w:rPr>
        <w:t> </w:t>
      </w:r>
      <w:r>
        <w:rPr/>
        <w:t>conditions.</w:t>
      </w:r>
      <w:r>
        <w:rPr>
          <w:spacing w:val="-10"/>
        </w:rPr>
        <w:t> </w:t>
      </w:r>
      <w:r>
        <w:rPr/>
        <w:t>The</w:t>
      </w:r>
      <w:r>
        <w:rPr>
          <w:spacing w:val="-11"/>
        </w:rPr>
        <w:t> </w:t>
      </w:r>
      <w:r>
        <w:rPr/>
        <w:t>challenges</w:t>
      </w:r>
      <w:r>
        <w:rPr>
          <w:spacing w:val="-11"/>
        </w:rPr>
        <w:t> </w:t>
      </w:r>
      <w:r>
        <w:rPr/>
        <w:t>LGBTQ</w:t>
      </w:r>
      <w:r>
        <w:rPr>
          <w:spacing w:val="-10"/>
        </w:rPr>
        <w:t> </w:t>
      </w:r>
      <w:r>
        <w:rPr/>
        <w:t>people</w:t>
      </w:r>
      <w:r>
        <w:rPr>
          <w:spacing w:val="-9"/>
        </w:rPr>
        <w:t> </w:t>
      </w:r>
      <w:r>
        <w:rPr/>
        <w:t>often</w:t>
      </w:r>
      <w:r>
        <w:rPr>
          <w:spacing w:val="-11"/>
        </w:rPr>
        <w:t> </w:t>
      </w:r>
      <w:r>
        <w:rPr/>
        <w:t>face</w:t>
      </w:r>
      <w:r>
        <w:rPr>
          <w:spacing w:val="-11"/>
        </w:rPr>
        <w:t> </w:t>
      </w:r>
      <w:r>
        <w:rPr/>
        <w:t>in</w:t>
      </w:r>
      <w:r>
        <w:rPr>
          <w:spacing w:val="-11"/>
        </w:rPr>
        <w:t> </w:t>
      </w:r>
      <w:r>
        <w:rPr/>
        <w:t>receiving</w:t>
      </w:r>
      <w:r>
        <w:rPr>
          <w:spacing w:val="-11"/>
        </w:rPr>
        <w:t> </w:t>
      </w:r>
      <w:r>
        <w:rPr/>
        <w:t>health</w:t>
      </w:r>
      <w:r>
        <w:rPr>
          <w:spacing w:val="-10"/>
        </w:rPr>
        <w:t> </w:t>
      </w:r>
      <w:r>
        <w:rPr/>
        <w:t>care</w:t>
      </w:r>
      <w:r>
        <w:rPr>
          <w:spacing w:val="-11"/>
        </w:rPr>
        <w:t> </w:t>
      </w:r>
      <w:r>
        <w:rPr/>
        <w:t>are well-documented.</w:t>
      </w:r>
      <w:r>
        <w:rPr>
          <w:spacing w:val="-7"/>
        </w:rPr>
        <w:t> </w:t>
      </w:r>
      <w:r>
        <w:rPr/>
        <w:t>LGBTQ</w:t>
      </w:r>
      <w:r>
        <w:rPr>
          <w:spacing w:val="-4"/>
        </w:rPr>
        <w:t> </w:t>
      </w:r>
      <w:r>
        <w:rPr/>
        <w:t>people</w:t>
      </w:r>
      <w:r>
        <w:rPr>
          <w:spacing w:val="-7"/>
        </w:rPr>
        <w:t> </w:t>
      </w:r>
      <w:r>
        <w:rPr/>
        <w:t>are</w:t>
      </w:r>
      <w:r>
        <w:rPr>
          <w:spacing w:val="-5"/>
        </w:rPr>
        <w:t> </w:t>
      </w:r>
      <w:r>
        <w:rPr/>
        <w:t>less</w:t>
      </w:r>
      <w:r>
        <w:rPr>
          <w:spacing w:val="-6"/>
        </w:rPr>
        <w:t> </w:t>
      </w:r>
      <w:r>
        <w:rPr/>
        <w:t>likely</w:t>
      </w:r>
      <w:r>
        <w:rPr>
          <w:spacing w:val="-6"/>
        </w:rPr>
        <w:t> </w:t>
      </w:r>
      <w:r>
        <w:rPr/>
        <w:t>to</w:t>
      </w:r>
      <w:r>
        <w:rPr>
          <w:spacing w:val="-5"/>
        </w:rPr>
        <w:t> </w:t>
      </w:r>
      <w:r>
        <w:rPr/>
        <w:t>seek</w:t>
      </w:r>
      <w:r>
        <w:rPr>
          <w:spacing w:val="-7"/>
        </w:rPr>
        <w:t> </w:t>
      </w:r>
      <w:r>
        <w:rPr/>
        <w:t>medical</w:t>
      </w:r>
      <w:r>
        <w:rPr>
          <w:spacing w:val="-7"/>
        </w:rPr>
        <w:t> </w:t>
      </w:r>
      <w:r>
        <w:rPr/>
        <w:t>care</w:t>
      </w:r>
      <w:r>
        <w:rPr>
          <w:spacing w:val="-7"/>
        </w:rPr>
        <w:t> </w:t>
      </w:r>
      <w:r>
        <w:rPr/>
        <w:t>until</w:t>
      </w:r>
      <w:r>
        <w:rPr>
          <w:spacing w:val="-6"/>
        </w:rPr>
        <w:t> </w:t>
      </w:r>
      <w:r>
        <w:rPr/>
        <w:t>they</w:t>
      </w:r>
      <w:r>
        <w:rPr>
          <w:spacing w:val="-4"/>
        </w:rPr>
        <w:t> </w:t>
      </w:r>
      <w:r>
        <w:rPr/>
        <w:t>have</w:t>
      </w:r>
      <w:r>
        <w:rPr>
          <w:spacing w:val="-7"/>
        </w:rPr>
        <w:t> </w:t>
      </w:r>
      <w:r>
        <w:rPr/>
        <w:t>a</w:t>
      </w:r>
      <w:r>
        <w:rPr>
          <w:spacing w:val="-6"/>
        </w:rPr>
        <w:t> </w:t>
      </w:r>
      <w:r>
        <w:rPr/>
        <w:t>serious</w:t>
      </w:r>
      <w:r>
        <w:rPr>
          <w:spacing w:val="-6"/>
        </w:rPr>
        <w:t> </w:t>
      </w:r>
      <w:r>
        <w:rPr/>
        <w:t>health</w:t>
      </w:r>
      <w:r>
        <w:rPr>
          <w:spacing w:val="-6"/>
        </w:rPr>
        <w:t> </w:t>
      </w:r>
      <w:r>
        <w:rPr/>
        <w:t>issue because</w:t>
      </w:r>
      <w:r>
        <w:rPr>
          <w:spacing w:val="-4"/>
        </w:rPr>
        <w:t> </w:t>
      </w:r>
      <w:r>
        <w:rPr/>
        <w:t>of</w:t>
      </w:r>
      <w:r>
        <w:rPr>
          <w:spacing w:val="-4"/>
        </w:rPr>
        <w:t> </w:t>
      </w:r>
      <w:r>
        <w:rPr/>
        <w:t>fear</w:t>
      </w:r>
      <w:r>
        <w:rPr>
          <w:spacing w:val="-4"/>
        </w:rPr>
        <w:t> </w:t>
      </w:r>
      <w:r>
        <w:rPr/>
        <w:t>of</w:t>
      </w:r>
      <w:r>
        <w:rPr>
          <w:spacing w:val="-4"/>
        </w:rPr>
        <w:t> </w:t>
      </w:r>
      <w:r>
        <w:rPr/>
        <w:t>discrimination</w:t>
      </w:r>
      <w:r>
        <w:rPr>
          <w:spacing w:val="-4"/>
        </w:rPr>
        <w:t> </w:t>
      </w:r>
      <w:r>
        <w:rPr/>
        <w:t>or</w:t>
      </w:r>
      <w:r>
        <w:rPr>
          <w:spacing w:val="-4"/>
        </w:rPr>
        <w:t> </w:t>
      </w:r>
      <w:r>
        <w:rPr/>
        <w:t>costs</w:t>
      </w:r>
      <w:hyperlink w:history="true" w:anchor="_bookmark552">
        <w:r>
          <w:rPr/>
          <w:t>.</w:t>
        </w:r>
        <w:r>
          <w:rPr>
            <w:vertAlign w:val="superscript"/>
          </w:rPr>
          <w:t>56</w:t>
        </w:r>
      </w:hyperlink>
      <w:r>
        <w:rPr>
          <w:spacing w:val="-4"/>
          <w:vertAlign w:val="baseline"/>
        </w:rPr>
        <w:t> </w:t>
      </w:r>
      <w:r>
        <w:rPr>
          <w:vertAlign w:val="baseline"/>
        </w:rPr>
        <w:t>One</w:t>
      </w:r>
      <w:r>
        <w:rPr>
          <w:spacing w:val="-4"/>
          <w:vertAlign w:val="baseline"/>
        </w:rPr>
        <w:t> </w:t>
      </w:r>
      <w:r>
        <w:rPr>
          <w:vertAlign w:val="baseline"/>
        </w:rPr>
        <w:t>study</w:t>
      </w:r>
      <w:r>
        <w:rPr>
          <w:spacing w:val="-4"/>
          <w:vertAlign w:val="baseline"/>
        </w:rPr>
        <w:t> </w:t>
      </w:r>
      <w:r>
        <w:rPr>
          <w:vertAlign w:val="baseline"/>
        </w:rPr>
        <w:t>found</w:t>
      </w:r>
      <w:r>
        <w:rPr>
          <w:spacing w:val="-3"/>
          <w:vertAlign w:val="baseline"/>
        </w:rPr>
        <w:t> </w:t>
      </w:r>
      <w:r>
        <w:rPr>
          <w:vertAlign w:val="baseline"/>
        </w:rPr>
        <w:t>that</w:t>
      </w:r>
      <w:r>
        <w:rPr>
          <w:spacing w:val="-3"/>
          <w:vertAlign w:val="baseline"/>
        </w:rPr>
        <w:t> </w:t>
      </w:r>
      <w:r>
        <w:rPr>
          <w:vertAlign w:val="baseline"/>
        </w:rPr>
        <w:t>more</w:t>
      </w:r>
      <w:r>
        <w:rPr>
          <w:spacing w:val="-4"/>
          <w:vertAlign w:val="baseline"/>
        </w:rPr>
        <w:t> </w:t>
      </w:r>
      <w:r>
        <w:rPr>
          <w:vertAlign w:val="baseline"/>
        </w:rPr>
        <w:t>than</w:t>
      </w:r>
      <w:r>
        <w:rPr>
          <w:spacing w:val="-3"/>
          <w:vertAlign w:val="baseline"/>
        </w:rPr>
        <w:t> </w:t>
      </w:r>
      <w:r>
        <w:rPr>
          <w:vertAlign w:val="baseline"/>
        </w:rPr>
        <w:t>1</w:t>
      </w:r>
      <w:r>
        <w:rPr>
          <w:spacing w:val="-4"/>
          <w:vertAlign w:val="baseline"/>
        </w:rPr>
        <w:t> </w:t>
      </w:r>
      <w:r>
        <w:rPr>
          <w:vertAlign w:val="baseline"/>
        </w:rPr>
        <w:t>in</w:t>
      </w:r>
      <w:r>
        <w:rPr>
          <w:spacing w:val="-4"/>
          <w:vertAlign w:val="baseline"/>
        </w:rPr>
        <w:t> </w:t>
      </w:r>
      <w:r>
        <w:rPr>
          <w:vertAlign w:val="baseline"/>
        </w:rPr>
        <w:t>6</w:t>
      </w:r>
      <w:r>
        <w:rPr>
          <w:spacing w:val="-4"/>
          <w:vertAlign w:val="baseline"/>
        </w:rPr>
        <w:t> </w:t>
      </w:r>
      <w:r>
        <w:rPr>
          <w:vertAlign w:val="baseline"/>
        </w:rPr>
        <w:t>LGBTQ</w:t>
      </w:r>
      <w:r>
        <w:rPr>
          <w:spacing w:val="-4"/>
          <w:vertAlign w:val="baseline"/>
        </w:rPr>
        <w:t> </w:t>
      </w:r>
      <w:r>
        <w:rPr>
          <w:vertAlign w:val="baseline"/>
        </w:rPr>
        <w:t>adults</w:t>
      </w:r>
      <w:r>
        <w:rPr>
          <w:spacing w:val="-4"/>
          <w:vertAlign w:val="baseline"/>
        </w:rPr>
        <w:t> </w:t>
      </w:r>
      <w:r>
        <w:rPr>
          <w:vertAlign w:val="baseline"/>
        </w:rPr>
        <w:t>avoided seeking</w:t>
      </w:r>
      <w:r>
        <w:rPr>
          <w:spacing w:val="-8"/>
          <w:vertAlign w:val="baseline"/>
        </w:rPr>
        <w:t> </w:t>
      </w:r>
      <w:r>
        <w:rPr>
          <w:vertAlign w:val="baseline"/>
        </w:rPr>
        <w:t>health</w:t>
      </w:r>
      <w:r>
        <w:rPr>
          <w:spacing w:val="-9"/>
          <w:vertAlign w:val="baseline"/>
        </w:rPr>
        <w:t> </w:t>
      </w:r>
      <w:r>
        <w:rPr>
          <w:vertAlign w:val="baseline"/>
        </w:rPr>
        <w:t>care</w:t>
      </w:r>
      <w:r>
        <w:rPr>
          <w:spacing w:val="-8"/>
          <w:vertAlign w:val="baseline"/>
        </w:rPr>
        <w:t> </w:t>
      </w:r>
      <w:r>
        <w:rPr>
          <w:vertAlign w:val="baseline"/>
        </w:rPr>
        <w:t>because</w:t>
      </w:r>
      <w:r>
        <w:rPr>
          <w:spacing w:val="-9"/>
          <w:vertAlign w:val="baseline"/>
        </w:rPr>
        <w:t> </w:t>
      </w:r>
      <w:r>
        <w:rPr>
          <w:vertAlign w:val="baseline"/>
        </w:rPr>
        <w:t>of</w:t>
      </w:r>
      <w:r>
        <w:rPr>
          <w:spacing w:val="-9"/>
          <w:vertAlign w:val="baseline"/>
        </w:rPr>
        <w:t> </w:t>
      </w:r>
      <w:r>
        <w:rPr>
          <w:vertAlign w:val="baseline"/>
        </w:rPr>
        <w:t>anticipated</w:t>
      </w:r>
      <w:r>
        <w:rPr>
          <w:spacing w:val="-9"/>
          <w:vertAlign w:val="baseline"/>
        </w:rPr>
        <w:t> </w:t>
      </w:r>
      <w:r>
        <w:rPr>
          <w:vertAlign w:val="baseline"/>
        </w:rPr>
        <w:t>discrimination.</w:t>
      </w:r>
      <w:hyperlink w:history="true" w:anchor="_bookmark552">
        <w:r>
          <w:rPr>
            <w:vertAlign w:val="superscript"/>
          </w:rPr>
          <w:t>57</w:t>
        </w:r>
      </w:hyperlink>
      <w:r>
        <w:rPr>
          <w:spacing w:val="-9"/>
          <w:vertAlign w:val="baseline"/>
        </w:rPr>
        <w:t> </w:t>
      </w:r>
      <w:r>
        <w:rPr>
          <w:vertAlign w:val="baseline"/>
        </w:rPr>
        <w:t>Another</w:t>
      </w:r>
      <w:r>
        <w:rPr>
          <w:spacing w:val="-9"/>
          <w:vertAlign w:val="baseline"/>
        </w:rPr>
        <w:t> </w:t>
      </w:r>
      <w:r>
        <w:rPr>
          <w:vertAlign w:val="baseline"/>
        </w:rPr>
        <w:t>study</w:t>
      </w:r>
      <w:r>
        <w:rPr>
          <w:spacing w:val="-7"/>
          <w:vertAlign w:val="baseline"/>
        </w:rPr>
        <w:t> </w:t>
      </w:r>
      <w:r>
        <w:rPr>
          <w:vertAlign w:val="baseline"/>
        </w:rPr>
        <w:t>on</w:t>
      </w:r>
      <w:r>
        <w:rPr>
          <w:spacing w:val="-9"/>
          <w:vertAlign w:val="baseline"/>
        </w:rPr>
        <w:t> </w:t>
      </w:r>
      <w:r>
        <w:rPr>
          <w:vertAlign w:val="baseline"/>
        </w:rPr>
        <w:t>LGBTQ</w:t>
      </w:r>
      <w:r>
        <w:rPr>
          <w:spacing w:val="-9"/>
          <w:vertAlign w:val="baseline"/>
        </w:rPr>
        <w:t> </w:t>
      </w:r>
      <w:r>
        <w:rPr>
          <w:vertAlign w:val="baseline"/>
        </w:rPr>
        <w:t>youth’s</w:t>
      </w:r>
      <w:r>
        <w:rPr>
          <w:spacing w:val="-7"/>
          <w:vertAlign w:val="baseline"/>
        </w:rPr>
        <w:t> </w:t>
      </w:r>
      <w:r>
        <w:rPr>
          <w:vertAlign w:val="baseline"/>
        </w:rPr>
        <w:t>perceptions</w:t>
      </w:r>
    </w:p>
    <w:p>
      <w:pPr>
        <w:pStyle w:val="BodyText"/>
        <w:spacing w:line="276" w:lineRule="auto"/>
        <w:ind w:left="3469" w:right="140"/>
        <w:jc w:val="both"/>
      </w:pPr>
      <w:r>
        <w:rPr/>
        <w:drawing>
          <wp:anchor distT="0" distB="0" distL="0" distR="0" allowOverlap="1" layoutInCell="1" locked="0" behindDoc="0" simplePos="0" relativeHeight="15819776">
            <wp:simplePos x="0" y="0"/>
            <wp:positionH relativeFrom="page">
              <wp:posOffset>985008</wp:posOffset>
            </wp:positionH>
            <wp:positionV relativeFrom="paragraph">
              <wp:posOffset>20220</wp:posOffset>
            </wp:positionV>
            <wp:extent cx="1740288" cy="1613995"/>
            <wp:effectExtent l="0" t="0" r="0" b="0"/>
            <wp:wrapNone/>
            <wp:docPr id="485" name="Image 485"/>
            <wp:cNvGraphicFramePr>
              <a:graphicFrameLocks/>
            </wp:cNvGraphicFramePr>
            <a:graphic>
              <a:graphicData uri="http://schemas.openxmlformats.org/drawingml/2006/picture">
                <pic:pic>
                  <pic:nvPicPr>
                    <pic:cNvPr id="485" name="Image 485"/>
                    <pic:cNvPicPr/>
                  </pic:nvPicPr>
                  <pic:blipFill>
                    <a:blip r:embed="rId619" cstate="print"/>
                    <a:stretch>
                      <a:fillRect/>
                    </a:stretch>
                  </pic:blipFill>
                  <pic:spPr>
                    <a:xfrm>
                      <a:off x="0" y="0"/>
                      <a:ext cx="1740288" cy="1613995"/>
                    </a:xfrm>
                    <a:prstGeom prst="rect">
                      <a:avLst/>
                    </a:prstGeom>
                  </pic:spPr>
                </pic:pic>
              </a:graphicData>
            </a:graphic>
          </wp:anchor>
        </w:drawing>
      </w:r>
      <w:r>
        <w:rPr/>
        <w:t>of health care revealed that most youth did not feel their health care needs were well met and expressed concerns about disrespectful behavior, poor communication, lack of confidentiality, and discrimination</w:t>
      </w:r>
      <w:hyperlink w:history="true" w:anchor="_bookmark552">
        <w:r>
          <w:rPr/>
          <w:t>.</w:t>
        </w:r>
        <w:r>
          <w:rPr>
            <w:vertAlign w:val="superscript"/>
          </w:rPr>
          <w:t>58</w:t>
        </w:r>
      </w:hyperlink>
      <w:r>
        <w:rPr>
          <w:vertAlign w:val="baseline"/>
        </w:rPr>
        <w:t> These realities place LGBTQ youth in a more vulnerable position when dealing with the health impacts of environmental exposures if they are less willing or able to access comprehensive health care. Higher rates of poverty, unemployment, and homelessness among LGBTQ youth can be additional barriers to </w:t>
      </w:r>
      <w:r>
        <w:rPr>
          <w:spacing w:val="-2"/>
          <w:vertAlign w:val="baseline"/>
        </w:rPr>
        <w:t>accessing</w:t>
      </w:r>
      <w:r>
        <w:rPr>
          <w:spacing w:val="-3"/>
          <w:vertAlign w:val="baseline"/>
        </w:rPr>
        <w:t> </w:t>
      </w:r>
      <w:r>
        <w:rPr>
          <w:spacing w:val="-2"/>
          <w:vertAlign w:val="baseline"/>
        </w:rPr>
        <w:t>adequate health</w:t>
      </w:r>
      <w:r>
        <w:rPr>
          <w:spacing w:val="-1"/>
          <w:vertAlign w:val="baseline"/>
        </w:rPr>
        <w:t> </w:t>
      </w:r>
      <w:r>
        <w:rPr>
          <w:spacing w:val="-2"/>
          <w:vertAlign w:val="baseline"/>
        </w:rPr>
        <w:t>care.</w:t>
      </w:r>
      <w:r>
        <w:rPr>
          <w:spacing w:val="-3"/>
          <w:vertAlign w:val="baseline"/>
        </w:rPr>
        <w:t> </w:t>
      </w:r>
      <w:r>
        <w:rPr>
          <w:spacing w:val="-2"/>
          <w:vertAlign w:val="baseline"/>
        </w:rPr>
        <w:t>As previously discussed,</w:t>
      </w:r>
      <w:r>
        <w:rPr>
          <w:spacing w:val="-3"/>
          <w:vertAlign w:val="baseline"/>
        </w:rPr>
        <w:t> </w:t>
      </w:r>
      <w:r>
        <w:rPr>
          <w:spacing w:val="-2"/>
          <w:vertAlign w:val="baseline"/>
        </w:rPr>
        <w:t>these factors</w:t>
      </w:r>
    </w:p>
    <w:p>
      <w:pPr>
        <w:pStyle w:val="BodyText"/>
        <w:spacing w:line="276" w:lineRule="auto"/>
        <w:ind w:left="323" w:right="146"/>
        <w:jc w:val="both"/>
      </w:pPr>
      <w:r>
        <w:rPr/>
        <w:t>may also force</w:t>
      </w:r>
      <w:r>
        <w:rPr>
          <w:spacing w:val="-1"/>
        </w:rPr>
        <w:t> </w:t>
      </w:r>
      <w:r>
        <w:rPr/>
        <w:t>LGBTQ youth to live in environmentally hazardous living situations or make it challenging for them to change hazardous conditions.</w:t>
      </w:r>
    </w:p>
    <w:p>
      <w:pPr>
        <w:pStyle w:val="BodyText"/>
        <w:spacing w:line="276" w:lineRule="auto" w:before="239"/>
        <w:ind w:left="323" w:right="142"/>
        <w:jc w:val="both"/>
      </w:pPr>
      <w:r>
        <w:rPr/>
        <w:t>All</w:t>
      </w:r>
      <w:r>
        <w:rPr>
          <w:spacing w:val="-11"/>
        </w:rPr>
        <w:t> </w:t>
      </w:r>
      <w:r>
        <w:rPr/>
        <w:t>in</w:t>
      </w:r>
      <w:r>
        <w:rPr>
          <w:spacing w:val="-12"/>
        </w:rPr>
        <w:t> </w:t>
      </w:r>
      <w:r>
        <w:rPr/>
        <w:t>all,</w:t>
      </w:r>
      <w:r>
        <w:rPr>
          <w:spacing w:val="-10"/>
        </w:rPr>
        <w:t> </w:t>
      </w:r>
      <w:r>
        <w:rPr/>
        <w:t>it</w:t>
      </w:r>
      <w:r>
        <w:rPr>
          <w:spacing w:val="-11"/>
        </w:rPr>
        <w:t> </w:t>
      </w:r>
      <w:r>
        <w:rPr/>
        <w:t>is</w:t>
      </w:r>
      <w:r>
        <w:rPr>
          <w:spacing w:val="-10"/>
        </w:rPr>
        <w:t> </w:t>
      </w:r>
      <w:r>
        <w:rPr/>
        <w:t>clear</w:t>
      </w:r>
      <w:r>
        <w:rPr>
          <w:spacing w:val="-11"/>
        </w:rPr>
        <w:t> </w:t>
      </w:r>
      <w:r>
        <w:rPr/>
        <w:t>that</w:t>
      </w:r>
      <w:r>
        <w:rPr>
          <w:spacing w:val="-11"/>
        </w:rPr>
        <w:t> </w:t>
      </w:r>
      <w:r>
        <w:rPr/>
        <w:t>LGBTQ</w:t>
      </w:r>
      <w:r>
        <w:rPr>
          <w:spacing w:val="-10"/>
        </w:rPr>
        <w:t> </w:t>
      </w:r>
      <w:r>
        <w:rPr/>
        <w:t>youth</w:t>
      </w:r>
      <w:r>
        <w:rPr>
          <w:spacing w:val="-9"/>
        </w:rPr>
        <w:t> </w:t>
      </w:r>
      <w:r>
        <w:rPr/>
        <w:t>not</w:t>
      </w:r>
      <w:r>
        <w:rPr>
          <w:spacing w:val="-9"/>
        </w:rPr>
        <w:t> </w:t>
      </w:r>
      <w:r>
        <w:rPr/>
        <w:t>only</w:t>
      </w:r>
      <w:r>
        <w:rPr>
          <w:spacing w:val="-11"/>
        </w:rPr>
        <w:t> </w:t>
      </w:r>
      <w:r>
        <w:rPr/>
        <w:t>face</w:t>
      </w:r>
      <w:r>
        <w:rPr>
          <w:spacing w:val="-9"/>
        </w:rPr>
        <w:t> </w:t>
      </w:r>
      <w:r>
        <w:rPr/>
        <w:t>higher</w:t>
      </w:r>
      <w:r>
        <w:rPr>
          <w:spacing w:val="-11"/>
        </w:rPr>
        <w:t> </w:t>
      </w:r>
      <w:r>
        <w:rPr/>
        <w:t>exposure</w:t>
      </w:r>
      <w:r>
        <w:rPr>
          <w:spacing w:val="-10"/>
        </w:rPr>
        <w:t> </w:t>
      </w:r>
      <w:r>
        <w:rPr/>
        <w:t>to</w:t>
      </w:r>
      <w:r>
        <w:rPr>
          <w:spacing w:val="-11"/>
        </w:rPr>
        <w:t> </w:t>
      </w:r>
      <w:r>
        <w:rPr/>
        <w:t>environmental</w:t>
      </w:r>
      <w:r>
        <w:rPr>
          <w:spacing w:val="-10"/>
        </w:rPr>
        <w:t> </w:t>
      </w:r>
      <w:r>
        <w:rPr/>
        <w:t>hazards</w:t>
      </w:r>
      <w:r>
        <w:rPr>
          <w:spacing w:val="-9"/>
        </w:rPr>
        <w:t> </w:t>
      </w:r>
      <w:r>
        <w:rPr/>
        <w:t>but</w:t>
      </w:r>
      <w:r>
        <w:rPr>
          <w:spacing w:val="-11"/>
        </w:rPr>
        <w:t> </w:t>
      </w:r>
      <w:r>
        <w:rPr/>
        <w:t>are</w:t>
      </w:r>
      <w:r>
        <w:rPr>
          <w:spacing w:val="-10"/>
        </w:rPr>
        <w:t> </w:t>
      </w:r>
      <w:r>
        <w:rPr/>
        <w:t>likely to experience worse health outcomes from those exposures due to these additional burdens and risk factors.</w:t>
      </w:r>
      <w:r>
        <w:rPr>
          <w:spacing w:val="-1"/>
        </w:rPr>
        <w:t> </w:t>
      </w:r>
      <w:r>
        <w:rPr/>
        <w:t>Holistic actions to decrease health disparities and support the wellbeing of LGBTQ youth such</w:t>
      </w:r>
      <w:r>
        <w:rPr>
          <w:spacing w:val="-1"/>
        </w:rPr>
        <w:t> </w:t>
      </w:r>
      <w:r>
        <w:rPr/>
        <w:t>as reducing</w:t>
      </w:r>
      <w:r>
        <w:rPr>
          <w:spacing w:val="-4"/>
        </w:rPr>
        <w:t> </w:t>
      </w:r>
      <w:r>
        <w:rPr/>
        <w:t>rates</w:t>
      </w:r>
      <w:r>
        <w:rPr>
          <w:spacing w:val="-4"/>
        </w:rPr>
        <w:t> </w:t>
      </w:r>
      <w:r>
        <w:rPr/>
        <w:t>of</w:t>
      </w:r>
      <w:r>
        <w:rPr>
          <w:spacing w:val="-4"/>
        </w:rPr>
        <w:t> </w:t>
      </w:r>
      <w:r>
        <w:rPr/>
        <w:t>poverty,</w:t>
      </w:r>
      <w:r>
        <w:rPr>
          <w:spacing w:val="-4"/>
        </w:rPr>
        <w:t> </w:t>
      </w:r>
      <w:r>
        <w:rPr/>
        <w:t>increasing</w:t>
      </w:r>
      <w:r>
        <w:rPr>
          <w:spacing w:val="-4"/>
        </w:rPr>
        <w:t> </w:t>
      </w:r>
      <w:r>
        <w:rPr/>
        <w:t>access</w:t>
      </w:r>
      <w:r>
        <w:rPr>
          <w:spacing w:val="-4"/>
        </w:rPr>
        <w:t> </w:t>
      </w:r>
      <w:r>
        <w:rPr/>
        <w:t>to</w:t>
      </w:r>
      <w:r>
        <w:rPr>
          <w:spacing w:val="-3"/>
        </w:rPr>
        <w:t> </w:t>
      </w:r>
      <w:r>
        <w:rPr/>
        <w:t>health</w:t>
      </w:r>
      <w:r>
        <w:rPr>
          <w:spacing w:val="-3"/>
        </w:rPr>
        <w:t> </w:t>
      </w:r>
      <w:r>
        <w:rPr/>
        <w:t>care,</w:t>
      </w:r>
      <w:r>
        <w:rPr>
          <w:spacing w:val="-4"/>
        </w:rPr>
        <w:t> </w:t>
      </w:r>
      <w:r>
        <w:rPr/>
        <w:t>and</w:t>
      </w:r>
      <w:r>
        <w:rPr>
          <w:spacing w:val="-4"/>
        </w:rPr>
        <w:t> </w:t>
      </w:r>
      <w:r>
        <w:rPr/>
        <w:t>ensuring</w:t>
      </w:r>
      <w:r>
        <w:rPr>
          <w:spacing w:val="-4"/>
        </w:rPr>
        <w:t> </w:t>
      </w:r>
      <w:r>
        <w:rPr/>
        <w:t>access</w:t>
      </w:r>
      <w:r>
        <w:rPr>
          <w:spacing w:val="-4"/>
        </w:rPr>
        <w:t> </w:t>
      </w:r>
      <w:r>
        <w:rPr/>
        <w:t>to</w:t>
      </w:r>
      <w:r>
        <w:rPr>
          <w:spacing w:val="-3"/>
        </w:rPr>
        <w:t> </w:t>
      </w:r>
      <w:r>
        <w:rPr/>
        <w:t>mental</w:t>
      </w:r>
      <w:r>
        <w:rPr>
          <w:spacing w:val="-3"/>
        </w:rPr>
        <w:t> </w:t>
      </w:r>
      <w:r>
        <w:rPr/>
        <w:t>health</w:t>
      </w:r>
      <w:r>
        <w:rPr>
          <w:spacing w:val="-4"/>
        </w:rPr>
        <w:t> </w:t>
      </w:r>
      <w:r>
        <w:rPr/>
        <w:t>support are crucial to working towards environmental justice.</w:t>
      </w:r>
    </w:p>
    <w:p>
      <w:pPr>
        <w:spacing w:before="240"/>
        <w:ind w:left="323" w:right="0" w:firstLine="0"/>
        <w:jc w:val="both"/>
        <w:rPr>
          <w:sz w:val="28"/>
        </w:rPr>
      </w:pPr>
      <w:bookmarkStart w:name="Climate Justice and Inclusive Disaster R" w:id="827"/>
      <w:bookmarkEnd w:id="827"/>
      <w:r>
        <w:rPr/>
      </w:r>
      <w:r>
        <w:rPr>
          <w:color w:val="365F91"/>
          <w:sz w:val="28"/>
        </w:rPr>
        <w:t>Climate</w:t>
      </w:r>
      <w:r>
        <w:rPr>
          <w:color w:val="365F91"/>
          <w:spacing w:val="-11"/>
          <w:sz w:val="28"/>
        </w:rPr>
        <w:t> </w:t>
      </w:r>
      <w:r>
        <w:rPr>
          <w:color w:val="365F91"/>
          <w:sz w:val="28"/>
        </w:rPr>
        <w:t>Justice</w:t>
      </w:r>
      <w:r>
        <w:rPr>
          <w:color w:val="365F91"/>
          <w:spacing w:val="-11"/>
          <w:sz w:val="28"/>
        </w:rPr>
        <w:t> </w:t>
      </w:r>
      <w:r>
        <w:rPr>
          <w:color w:val="365F91"/>
          <w:sz w:val="28"/>
        </w:rPr>
        <w:t>and</w:t>
      </w:r>
      <w:r>
        <w:rPr>
          <w:color w:val="365F91"/>
          <w:spacing w:val="-12"/>
          <w:sz w:val="28"/>
        </w:rPr>
        <w:t> </w:t>
      </w:r>
      <w:r>
        <w:rPr>
          <w:color w:val="365F91"/>
          <w:sz w:val="28"/>
        </w:rPr>
        <w:t>Inclusive</w:t>
      </w:r>
      <w:r>
        <w:rPr>
          <w:color w:val="365F91"/>
          <w:spacing w:val="-11"/>
          <w:sz w:val="28"/>
        </w:rPr>
        <w:t> </w:t>
      </w:r>
      <w:r>
        <w:rPr>
          <w:color w:val="365F91"/>
          <w:sz w:val="28"/>
        </w:rPr>
        <w:t>Disaster</w:t>
      </w:r>
      <w:r>
        <w:rPr>
          <w:color w:val="365F91"/>
          <w:spacing w:val="-11"/>
          <w:sz w:val="28"/>
        </w:rPr>
        <w:t> </w:t>
      </w:r>
      <w:r>
        <w:rPr>
          <w:color w:val="365F91"/>
          <w:spacing w:val="-2"/>
          <w:sz w:val="28"/>
        </w:rPr>
        <w:t>Response</w:t>
      </w:r>
    </w:p>
    <w:p>
      <w:pPr>
        <w:pStyle w:val="BodyText"/>
        <w:spacing w:line="276" w:lineRule="auto" w:before="293"/>
        <w:ind w:left="323" w:right="142"/>
        <w:jc w:val="both"/>
      </w:pPr>
      <w:r>
        <w:rPr/>
        <w:t>Climate justice is a framework that addresses the disproportionate impacts of climate change on historically marginalized groups. It is abundantly clear that the negative social, economic, and health impacts of climate change will disproportionately affect communities already facing marginalization; climate change will exacerbate existing inequalities. Globally, nationally, regionally, and locally, low- income</w:t>
      </w:r>
      <w:r>
        <w:rPr>
          <w:spacing w:val="-2"/>
        </w:rPr>
        <w:t> </w:t>
      </w:r>
      <w:r>
        <w:rPr/>
        <w:t>communities,</w:t>
      </w:r>
      <w:r>
        <w:rPr>
          <w:spacing w:val="-3"/>
        </w:rPr>
        <w:t> </w:t>
      </w:r>
      <w:r>
        <w:rPr/>
        <w:t>communities</w:t>
      </w:r>
      <w:r>
        <w:rPr>
          <w:spacing w:val="-2"/>
        </w:rPr>
        <w:t> </w:t>
      </w:r>
      <w:r>
        <w:rPr/>
        <w:t>of</w:t>
      </w:r>
      <w:r>
        <w:rPr>
          <w:spacing w:val="-2"/>
        </w:rPr>
        <w:t> </w:t>
      </w:r>
      <w:r>
        <w:rPr/>
        <w:t>color,</w:t>
      </w:r>
      <w:r>
        <w:rPr>
          <w:spacing w:val="-3"/>
        </w:rPr>
        <w:t> </w:t>
      </w:r>
      <w:r>
        <w:rPr/>
        <w:t>Indigenous</w:t>
      </w:r>
      <w:r>
        <w:rPr>
          <w:spacing w:val="-2"/>
        </w:rPr>
        <w:t> </w:t>
      </w:r>
      <w:r>
        <w:rPr/>
        <w:t>communities,</w:t>
      </w:r>
      <w:r>
        <w:rPr>
          <w:spacing w:val="-3"/>
        </w:rPr>
        <w:t> </w:t>
      </w:r>
      <w:r>
        <w:rPr/>
        <w:t>and</w:t>
      </w:r>
      <w:r>
        <w:rPr>
          <w:spacing w:val="-3"/>
        </w:rPr>
        <w:t> </w:t>
      </w:r>
      <w:r>
        <w:rPr/>
        <w:t>people</w:t>
      </w:r>
      <w:r>
        <w:rPr>
          <w:spacing w:val="-3"/>
        </w:rPr>
        <w:t> </w:t>
      </w:r>
      <w:r>
        <w:rPr/>
        <w:t>with</w:t>
      </w:r>
      <w:r>
        <w:rPr>
          <w:spacing w:val="-3"/>
        </w:rPr>
        <w:t> </w:t>
      </w:r>
      <w:r>
        <w:rPr/>
        <w:t>disabilities</w:t>
      </w:r>
      <w:r>
        <w:rPr>
          <w:spacing w:val="-2"/>
        </w:rPr>
        <w:t> </w:t>
      </w:r>
      <w:r>
        <w:rPr/>
        <w:t>are</w:t>
      </w:r>
      <w:r>
        <w:rPr>
          <w:spacing w:val="-3"/>
        </w:rPr>
        <w:t> </w:t>
      </w:r>
      <w:r>
        <w:rPr/>
        <w:t>on</w:t>
      </w:r>
    </w:p>
    <w:p>
      <w:pPr>
        <w:spacing w:after="0" w:line="276" w:lineRule="auto"/>
        <w:jc w:val="both"/>
        <w:sectPr>
          <w:pgSz w:w="12240" w:h="15840"/>
          <w:pgMar w:header="800" w:footer="1459" w:top="1300" w:bottom="1700" w:left="1120" w:right="1300"/>
        </w:sectPr>
      </w:pPr>
    </w:p>
    <w:p>
      <w:pPr>
        <w:pStyle w:val="BodyText"/>
        <w:spacing w:line="276" w:lineRule="auto" w:before="67"/>
        <w:ind w:left="323" w:right="139"/>
        <w:jc w:val="both"/>
      </w:pPr>
      <w:r>
        <w:rPr/>
        <w:t>the</w:t>
      </w:r>
      <w:r>
        <w:rPr>
          <w:spacing w:val="-1"/>
        </w:rPr>
        <w:t> </w:t>
      </w:r>
      <w:r>
        <w:rPr/>
        <w:t>frontline of climate</w:t>
      </w:r>
      <w:r>
        <w:rPr>
          <w:spacing w:val="-1"/>
        </w:rPr>
        <w:t> </w:t>
      </w:r>
      <w:r>
        <w:rPr/>
        <w:t>impacts such</w:t>
      </w:r>
      <w:r>
        <w:rPr>
          <w:spacing w:val="-1"/>
        </w:rPr>
        <w:t> </w:t>
      </w:r>
      <w:r>
        <w:rPr/>
        <w:t>as extreme weather, flooding, heat, poor air quality, access to food and clean water, and sea level rise. Not only are marginalized communities experiencing the worst impacts, but they also face barriers to adaptation and resilience</w:t>
      </w:r>
      <w:hyperlink w:history="true" w:anchor="_bookmark552">
        <w:r>
          <w:rPr/>
          <w:t>.</w:t>
        </w:r>
        <w:r>
          <w:rPr>
            <w:vertAlign w:val="superscript"/>
          </w:rPr>
          <w:t>59</w:t>
        </w:r>
      </w:hyperlink>
      <w:r>
        <w:rPr>
          <w:vertAlign w:val="baseline"/>
        </w:rPr>
        <w:t> In Massachusetts, climate justice and resilience is becoming a top policy priority, as evidenced by Governor Maura Healey’s Executive Order establishing the first ever Climate Chief position and Office of Climate Innovation and Resilience on her first day in office in January 2023. </w:t>
      </w:r>
      <w:hyperlink w:history="true" w:anchor="_bookmark552">
        <w:r>
          <w:rPr>
            <w:vertAlign w:val="superscript"/>
          </w:rPr>
          <w:t>60</w:t>
        </w:r>
      </w:hyperlink>
      <w:r>
        <w:rPr>
          <w:vertAlign w:val="baseline"/>
        </w:rPr>
        <w:t> LGBTQ youth are another key group that may be particularly vulnerable to the impacts of climate change, and unique considerations to include this population in climate justice efforts should be taken into account.</w:t>
      </w:r>
    </w:p>
    <w:p>
      <w:pPr>
        <w:pStyle w:val="BodyText"/>
        <w:spacing w:line="276" w:lineRule="auto" w:before="240"/>
        <w:ind w:left="323" w:right="140"/>
        <w:jc w:val="both"/>
      </w:pPr>
      <w:r>
        <w:rPr/>
        <w:t>First,</w:t>
      </w:r>
      <w:r>
        <w:rPr>
          <w:spacing w:val="-10"/>
        </w:rPr>
        <w:t> </w:t>
      </w:r>
      <w:r>
        <w:rPr/>
        <w:t>supporting</w:t>
      </w:r>
      <w:r>
        <w:rPr>
          <w:spacing w:val="-10"/>
        </w:rPr>
        <w:t> </w:t>
      </w:r>
      <w:r>
        <w:rPr/>
        <w:t>LGBTQ</w:t>
      </w:r>
      <w:r>
        <w:rPr>
          <w:spacing w:val="-11"/>
        </w:rPr>
        <w:t> </w:t>
      </w:r>
      <w:r>
        <w:rPr/>
        <w:t>youth</w:t>
      </w:r>
      <w:r>
        <w:rPr>
          <w:spacing w:val="-10"/>
        </w:rPr>
        <w:t> </w:t>
      </w:r>
      <w:r>
        <w:rPr/>
        <w:t>in</w:t>
      </w:r>
      <w:r>
        <w:rPr>
          <w:spacing w:val="-10"/>
        </w:rPr>
        <w:t> </w:t>
      </w:r>
      <w:r>
        <w:rPr/>
        <w:t>securing</w:t>
      </w:r>
      <w:r>
        <w:rPr>
          <w:spacing w:val="-11"/>
        </w:rPr>
        <w:t> </w:t>
      </w:r>
      <w:r>
        <w:rPr/>
        <w:t>stable</w:t>
      </w:r>
      <w:r>
        <w:rPr>
          <w:spacing w:val="-10"/>
        </w:rPr>
        <w:t> </w:t>
      </w:r>
      <w:r>
        <w:rPr/>
        <w:t>housing</w:t>
      </w:r>
      <w:r>
        <w:rPr>
          <w:spacing w:val="-10"/>
        </w:rPr>
        <w:t> </w:t>
      </w:r>
      <w:r>
        <w:rPr/>
        <w:t>and</w:t>
      </w:r>
      <w:r>
        <w:rPr>
          <w:spacing w:val="-10"/>
        </w:rPr>
        <w:t> </w:t>
      </w:r>
      <w:r>
        <w:rPr/>
        <w:t>economic</w:t>
      </w:r>
      <w:r>
        <w:rPr>
          <w:spacing w:val="-11"/>
        </w:rPr>
        <w:t> </w:t>
      </w:r>
      <w:r>
        <w:rPr/>
        <w:t>opportunities</w:t>
      </w:r>
      <w:r>
        <w:rPr>
          <w:spacing w:val="-10"/>
        </w:rPr>
        <w:t> </w:t>
      </w:r>
      <w:r>
        <w:rPr/>
        <w:t>is</w:t>
      </w:r>
      <w:r>
        <w:rPr>
          <w:spacing w:val="-10"/>
        </w:rPr>
        <w:t> </w:t>
      </w:r>
      <w:r>
        <w:rPr/>
        <w:t>crucial</w:t>
      </w:r>
      <w:r>
        <w:rPr>
          <w:spacing w:val="-10"/>
        </w:rPr>
        <w:t> </w:t>
      </w:r>
      <w:r>
        <w:rPr/>
        <w:t>for</w:t>
      </w:r>
      <w:r>
        <w:rPr>
          <w:spacing w:val="-10"/>
        </w:rPr>
        <w:t> </w:t>
      </w:r>
      <w:r>
        <w:rPr/>
        <w:t>climate justice. LGBTQ youth who are facing housing instability, experiencing homelessness, or living in less climate-resilient</w:t>
      </w:r>
      <w:r>
        <w:rPr>
          <w:spacing w:val="-3"/>
        </w:rPr>
        <w:t> </w:t>
      </w:r>
      <w:r>
        <w:rPr/>
        <w:t>areas</w:t>
      </w:r>
      <w:r>
        <w:rPr>
          <w:spacing w:val="-1"/>
        </w:rPr>
        <w:t> </w:t>
      </w:r>
      <w:r>
        <w:rPr/>
        <w:t>due</w:t>
      </w:r>
      <w:r>
        <w:rPr>
          <w:spacing w:val="-2"/>
        </w:rPr>
        <w:t> </w:t>
      </w:r>
      <w:r>
        <w:rPr/>
        <w:t>to</w:t>
      </w:r>
      <w:r>
        <w:rPr>
          <w:spacing w:val="-2"/>
        </w:rPr>
        <w:t> </w:t>
      </w:r>
      <w:r>
        <w:rPr/>
        <w:t>lower</w:t>
      </w:r>
      <w:r>
        <w:rPr>
          <w:spacing w:val="-1"/>
        </w:rPr>
        <w:t> </w:t>
      </w:r>
      <w:r>
        <w:rPr/>
        <w:t>economic</w:t>
      </w:r>
      <w:r>
        <w:rPr>
          <w:spacing w:val="-2"/>
        </w:rPr>
        <w:t> </w:t>
      </w:r>
      <w:r>
        <w:rPr/>
        <w:t>opportunities</w:t>
      </w:r>
      <w:r>
        <w:rPr>
          <w:spacing w:val="-1"/>
        </w:rPr>
        <w:t> </w:t>
      </w:r>
      <w:r>
        <w:rPr/>
        <w:t>may</w:t>
      </w:r>
      <w:r>
        <w:rPr>
          <w:spacing w:val="-3"/>
        </w:rPr>
        <w:t> </w:t>
      </w:r>
      <w:r>
        <w:rPr/>
        <w:t>face</w:t>
      </w:r>
      <w:r>
        <w:rPr>
          <w:spacing w:val="-3"/>
        </w:rPr>
        <w:t> </w:t>
      </w:r>
      <w:r>
        <w:rPr/>
        <w:t>greater</w:t>
      </w:r>
      <w:r>
        <w:rPr>
          <w:spacing w:val="-1"/>
        </w:rPr>
        <w:t> </w:t>
      </w:r>
      <w:r>
        <w:rPr/>
        <w:t>exposure</w:t>
      </w:r>
      <w:r>
        <w:rPr>
          <w:spacing w:val="-3"/>
        </w:rPr>
        <w:t> </w:t>
      </w:r>
      <w:r>
        <w:rPr/>
        <w:t>to</w:t>
      </w:r>
      <w:r>
        <w:rPr>
          <w:spacing w:val="-1"/>
        </w:rPr>
        <w:t> </w:t>
      </w:r>
      <w:r>
        <w:rPr/>
        <w:t>extreme</w:t>
      </w:r>
      <w:r>
        <w:rPr>
          <w:spacing w:val="-2"/>
        </w:rPr>
        <w:t> </w:t>
      </w:r>
      <w:r>
        <w:rPr/>
        <w:t>heat, flooding,</w:t>
      </w:r>
      <w:r>
        <w:rPr>
          <w:spacing w:val="-4"/>
        </w:rPr>
        <w:t> </w:t>
      </w:r>
      <w:r>
        <w:rPr/>
        <w:t>storms,</w:t>
      </w:r>
      <w:r>
        <w:rPr>
          <w:spacing w:val="-4"/>
        </w:rPr>
        <w:t> </w:t>
      </w:r>
      <w:r>
        <w:rPr/>
        <w:t>and</w:t>
      </w:r>
      <w:r>
        <w:rPr>
          <w:spacing w:val="-3"/>
        </w:rPr>
        <w:t> </w:t>
      </w:r>
      <w:r>
        <w:rPr/>
        <w:t>environmental</w:t>
      </w:r>
      <w:r>
        <w:rPr>
          <w:spacing w:val="-3"/>
        </w:rPr>
        <w:t> </w:t>
      </w:r>
      <w:r>
        <w:rPr/>
        <w:t>disasters</w:t>
      </w:r>
      <w:r>
        <w:rPr>
          <w:spacing w:val="-4"/>
        </w:rPr>
        <w:t> </w:t>
      </w:r>
      <w:r>
        <w:rPr/>
        <w:t>such</w:t>
      </w:r>
      <w:r>
        <w:rPr>
          <w:spacing w:val="-3"/>
        </w:rPr>
        <w:t> </w:t>
      </w:r>
      <w:r>
        <w:rPr/>
        <w:t>as</w:t>
      </w:r>
      <w:r>
        <w:rPr>
          <w:spacing w:val="-4"/>
        </w:rPr>
        <w:t> </w:t>
      </w:r>
      <w:r>
        <w:rPr/>
        <w:t>hurricanes</w:t>
      </w:r>
      <w:r>
        <w:rPr>
          <w:spacing w:val="-1"/>
        </w:rPr>
        <w:t> </w:t>
      </w:r>
      <w:r>
        <w:rPr/>
        <w:t>and</w:t>
      </w:r>
      <w:r>
        <w:rPr>
          <w:spacing w:val="-4"/>
        </w:rPr>
        <w:t> </w:t>
      </w:r>
      <w:r>
        <w:rPr/>
        <w:t>wildfires.</w:t>
      </w:r>
      <w:r>
        <w:rPr>
          <w:spacing w:val="-3"/>
        </w:rPr>
        <w:t> </w:t>
      </w:r>
      <w:r>
        <w:rPr/>
        <w:t>LGBTQ</w:t>
      </w:r>
      <w:r>
        <w:rPr>
          <w:spacing w:val="-3"/>
        </w:rPr>
        <w:t> </w:t>
      </w:r>
      <w:r>
        <w:rPr/>
        <w:t>communities</w:t>
      </w:r>
      <w:r>
        <w:rPr>
          <w:spacing w:val="-2"/>
        </w:rPr>
        <w:t> </w:t>
      </w:r>
      <w:r>
        <w:rPr/>
        <w:t>may also be more susceptible to the health impacts of climate change due to preexisting conditions and challenges accessing adequate health care. LGBTQ people who face barriers accessing medical care or who</w:t>
      </w:r>
      <w:r>
        <w:rPr>
          <w:spacing w:val="-10"/>
        </w:rPr>
        <w:t> </w:t>
      </w:r>
      <w:r>
        <w:rPr/>
        <w:t>have</w:t>
      </w:r>
      <w:r>
        <w:rPr>
          <w:spacing w:val="-10"/>
        </w:rPr>
        <w:t> </w:t>
      </w:r>
      <w:r>
        <w:rPr/>
        <w:t>preexisting</w:t>
      </w:r>
      <w:r>
        <w:rPr>
          <w:spacing w:val="-9"/>
        </w:rPr>
        <w:t> </w:t>
      </w:r>
      <w:r>
        <w:rPr/>
        <w:t>health</w:t>
      </w:r>
      <w:r>
        <w:rPr>
          <w:spacing w:val="-10"/>
        </w:rPr>
        <w:t> </w:t>
      </w:r>
      <w:r>
        <w:rPr/>
        <w:t>conditions</w:t>
      </w:r>
      <w:r>
        <w:rPr>
          <w:spacing w:val="-10"/>
        </w:rPr>
        <w:t> </w:t>
      </w:r>
      <w:r>
        <w:rPr/>
        <w:t>such</w:t>
      </w:r>
      <w:r>
        <w:rPr>
          <w:spacing w:val="-9"/>
        </w:rPr>
        <w:t> </w:t>
      </w:r>
      <w:r>
        <w:rPr/>
        <w:t>as</w:t>
      </w:r>
      <w:r>
        <w:rPr>
          <w:spacing w:val="-10"/>
        </w:rPr>
        <w:t> </w:t>
      </w:r>
      <w:r>
        <w:rPr/>
        <w:t>HIV</w:t>
      </w:r>
      <w:r>
        <w:rPr>
          <w:spacing w:val="-9"/>
        </w:rPr>
        <w:t> </w:t>
      </w:r>
      <w:r>
        <w:rPr/>
        <w:t>may</w:t>
      </w:r>
      <w:r>
        <w:rPr>
          <w:spacing w:val="-10"/>
        </w:rPr>
        <w:t> </w:t>
      </w:r>
      <w:r>
        <w:rPr/>
        <w:t>be</w:t>
      </w:r>
      <w:r>
        <w:rPr>
          <w:spacing w:val="-9"/>
        </w:rPr>
        <w:t> </w:t>
      </w:r>
      <w:r>
        <w:rPr/>
        <w:t>particularly</w:t>
      </w:r>
      <w:r>
        <w:rPr>
          <w:spacing w:val="-10"/>
        </w:rPr>
        <w:t> </w:t>
      </w:r>
      <w:r>
        <w:rPr/>
        <w:t>impacted</w:t>
      </w:r>
      <w:r>
        <w:rPr>
          <w:spacing w:val="-9"/>
        </w:rPr>
        <w:t> </w:t>
      </w:r>
      <w:r>
        <w:rPr/>
        <w:t>by</w:t>
      </w:r>
      <w:r>
        <w:rPr>
          <w:spacing w:val="-10"/>
        </w:rPr>
        <w:t> </w:t>
      </w:r>
      <w:r>
        <w:rPr/>
        <w:t>extreme</w:t>
      </w:r>
      <w:r>
        <w:rPr>
          <w:spacing w:val="-9"/>
        </w:rPr>
        <w:t> </w:t>
      </w:r>
      <w:r>
        <w:rPr/>
        <w:t>heat</w:t>
      </w:r>
      <w:r>
        <w:rPr>
          <w:spacing w:val="-11"/>
        </w:rPr>
        <w:t> </w:t>
      </w:r>
      <w:r>
        <w:rPr/>
        <w:t>or</w:t>
      </w:r>
      <w:r>
        <w:rPr>
          <w:spacing w:val="-10"/>
        </w:rPr>
        <w:t> </w:t>
      </w:r>
      <w:r>
        <w:rPr/>
        <w:t>poor air and water quality caused by environmental disasters. For instance, people with HIV may be more seriously affected by mold in their homes caused by water damage from flooding. </w:t>
      </w:r>
      <w:hyperlink w:history="true" w:anchor="_bookmark553">
        <w:r>
          <w:rPr>
            <w:vertAlign w:val="superscript"/>
          </w:rPr>
          <w:t>61</w:t>
        </w:r>
      </w:hyperlink>
      <w:r>
        <w:rPr>
          <w:vertAlign w:val="baseline"/>
        </w:rPr>
        <w:t> Environmental disasters and hardships due</w:t>
      </w:r>
      <w:r>
        <w:rPr>
          <w:spacing w:val="-1"/>
          <w:vertAlign w:val="baseline"/>
        </w:rPr>
        <w:t> </w:t>
      </w:r>
      <w:r>
        <w:rPr>
          <w:vertAlign w:val="baseline"/>
        </w:rPr>
        <w:t>to climate impacts can also have</w:t>
      </w:r>
      <w:r>
        <w:rPr>
          <w:spacing w:val="-1"/>
          <w:vertAlign w:val="baseline"/>
        </w:rPr>
        <w:t> </w:t>
      </w:r>
      <w:r>
        <w:rPr>
          <w:vertAlign w:val="baseline"/>
        </w:rPr>
        <w:t>immediate mental</w:t>
      </w:r>
      <w:r>
        <w:rPr>
          <w:spacing w:val="-1"/>
          <w:vertAlign w:val="baseline"/>
        </w:rPr>
        <w:t> </w:t>
      </w:r>
      <w:r>
        <w:rPr>
          <w:vertAlign w:val="baseline"/>
        </w:rPr>
        <w:t>health</w:t>
      </w:r>
      <w:r>
        <w:rPr>
          <w:spacing w:val="-1"/>
          <w:vertAlign w:val="baseline"/>
        </w:rPr>
        <w:t> </w:t>
      </w:r>
      <w:r>
        <w:rPr>
          <w:vertAlign w:val="baseline"/>
        </w:rPr>
        <w:t>impacts and may exacerbate existing mental health challenges LGBTQ populations face.</w:t>
      </w:r>
      <w:hyperlink w:history="true" w:anchor="_bookmark553">
        <w:r>
          <w:rPr>
            <w:vertAlign w:val="superscript"/>
          </w:rPr>
          <w:t>62</w:t>
        </w:r>
      </w:hyperlink>
    </w:p>
    <w:p>
      <w:pPr>
        <w:pStyle w:val="BodyText"/>
        <w:spacing w:line="276" w:lineRule="auto" w:before="240"/>
        <w:ind w:left="323" w:right="142"/>
        <w:jc w:val="both"/>
      </w:pPr>
      <w:r>
        <w:rPr/>
        <w:t>Discriminatory disaster response policies and services also cause LGBTQ communities to bear a greater burden of climate</w:t>
      </w:r>
      <w:r>
        <w:rPr>
          <w:spacing w:val="-1"/>
        </w:rPr>
        <w:t> </w:t>
      </w:r>
      <w:r>
        <w:rPr/>
        <w:t>impacts.</w:t>
      </w:r>
      <w:r>
        <w:rPr>
          <w:spacing w:val="-1"/>
        </w:rPr>
        <w:t> </w:t>
      </w:r>
      <w:r>
        <w:rPr/>
        <w:t>A growing</w:t>
      </w:r>
      <w:r>
        <w:rPr>
          <w:spacing w:val="-1"/>
        </w:rPr>
        <w:t> </w:t>
      </w:r>
      <w:r>
        <w:rPr/>
        <w:t>body of research</w:t>
      </w:r>
      <w:r>
        <w:rPr>
          <w:spacing w:val="-1"/>
        </w:rPr>
        <w:t> </w:t>
      </w:r>
      <w:r>
        <w:rPr/>
        <w:t>into the unique marginalization</w:t>
      </w:r>
      <w:r>
        <w:rPr>
          <w:spacing w:val="-1"/>
        </w:rPr>
        <w:t> </w:t>
      </w:r>
      <w:r>
        <w:rPr/>
        <w:t>and vulnerability LGBTQ populations face during environmental disasters demonstrates that LGBTQ populations bear greater</w:t>
      </w:r>
      <w:r>
        <w:rPr>
          <w:spacing w:val="-5"/>
        </w:rPr>
        <w:t> </w:t>
      </w:r>
      <w:r>
        <w:rPr/>
        <w:t>impacts</w:t>
      </w:r>
      <w:r>
        <w:rPr>
          <w:spacing w:val="-5"/>
        </w:rPr>
        <w:t> </w:t>
      </w:r>
      <w:r>
        <w:rPr/>
        <w:t>from</w:t>
      </w:r>
      <w:r>
        <w:rPr>
          <w:spacing w:val="-4"/>
        </w:rPr>
        <w:t> </w:t>
      </w:r>
      <w:r>
        <w:rPr/>
        <w:t>environmental</w:t>
      </w:r>
      <w:r>
        <w:rPr>
          <w:spacing w:val="-4"/>
        </w:rPr>
        <w:t> </w:t>
      </w:r>
      <w:r>
        <w:rPr/>
        <w:t>disasters</w:t>
      </w:r>
      <w:r>
        <w:rPr>
          <w:spacing w:val="-5"/>
        </w:rPr>
        <w:t> </w:t>
      </w:r>
      <w:r>
        <w:rPr/>
        <w:t>due</w:t>
      </w:r>
      <w:r>
        <w:rPr>
          <w:spacing w:val="-4"/>
        </w:rPr>
        <w:t> </w:t>
      </w:r>
      <w:r>
        <w:rPr/>
        <w:t>to</w:t>
      </w:r>
      <w:r>
        <w:rPr>
          <w:spacing w:val="-5"/>
        </w:rPr>
        <w:t> </w:t>
      </w:r>
      <w:r>
        <w:rPr/>
        <w:t>hindered</w:t>
      </w:r>
      <w:r>
        <w:rPr>
          <w:spacing w:val="-4"/>
        </w:rPr>
        <w:t> </w:t>
      </w:r>
      <w:r>
        <w:rPr/>
        <w:t>access</w:t>
      </w:r>
      <w:r>
        <w:rPr>
          <w:spacing w:val="-5"/>
        </w:rPr>
        <w:t> </w:t>
      </w:r>
      <w:r>
        <w:rPr/>
        <w:t>to</w:t>
      </w:r>
      <w:r>
        <w:rPr>
          <w:spacing w:val="-3"/>
        </w:rPr>
        <w:t> </w:t>
      </w:r>
      <w:r>
        <w:rPr/>
        <w:t>disaster</w:t>
      </w:r>
      <w:r>
        <w:rPr>
          <w:spacing w:val="-5"/>
        </w:rPr>
        <w:t> </w:t>
      </w:r>
      <w:r>
        <w:rPr/>
        <w:t>response</w:t>
      </w:r>
      <w:r>
        <w:rPr>
          <w:spacing w:val="-5"/>
        </w:rPr>
        <w:t> </w:t>
      </w:r>
      <w:r>
        <w:rPr/>
        <w:t>resources</w:t>
      </w:r>
      <w:r>
        <w:rPr>
          <w:spacing w:val="-5"/>
        </w:rPr>
        <w:t> </w:t>
      </w:r>
      <w:r>
        <w:rPr/>
        <w:t>and discrimination</w:t>
      </w:r>
      <w:r>
        <w:rPr>
          <w:spacing w:val="-9"/>
        </w:rPr>
        <w:t> </w:t>
      </w:r>
      <w:r>
        <w:rPr/>
        <w:t>from</w:t>
      </w:r>
      <w:r>
        <w:rPr>
          <w:spacing w:val="-8"/>
        </w:rPr>
        <w:t> </w:t>
      </w:r>
      <w:r>
        <w:rPr/>
        <w:t>disaster</w:t>
      </w:r>
      <w:r>
        <w:rPr>
          <w:spacing w:val="-9"/>
        </w:rPr>
        <w:t> </w:t>
      </w:r>
      <w:r>
        <w:rPr/>
        <w:t>response</w:t>
      </w:r>
      <w:r>
        <w:rPr>
          <w:spacing w:val="-8"/>
        </w:rPr>
        <w:t> </w:t>
      </w:r>
      <w:r>
        <w:rPr/>
        <w:t>services</w:t>
      </w:r>
      <w:hyperlink w:history="true" w:anchor="_bookmark553">
        <w:r>
          <w:rPr/>
          <w:t>.</w:t>
        </w:r>
        <w:r>
          <w:rPr>
            <w:vertAlign w:val="superscript"/>
          </w:rPr>
          <w:t>63</w:t>
        </w:r>
      </w:hyperlink>
      <w:hyperlink w:history="true" w:anchor="_bookmark553">
        <w:r>
          <w:rPr>
            <w:vertAlign w:val="superscript"/>
          </w:rPr>
          <w:t>,64</w:t>
        </w:r>
      </w:hyperlink>
      <w:r>
        <w:rPr>
          <w:spacing w:val="-7"/>
          <w:vertAlign w:val="baseline"/>
        </w:rPr>
        <w:t> </w:t>
      </w:r>
      <w:r>
        <w:rPr>
          <w:vertAlign w:val="baseline"/>
        </w:rPr>
        <w:t>For</w:t>
      </w:r>
      <w:r>
        <w:rPr>
          <w:spacing w:val="-9"/>
          <w:vertAlign w:val="baseline"/>
        </w:rPr>
        <w:t> </w:t>
      </w:r>
      <w:r>
        <w:rPr>
          <w:vertAlign w:val="baseline"/>
        </w:rPr>
        <w:t>example,</w:t>
      </w:r>
      <w:r>
        <w:rPr>
          <w:spacing w:val="-7"/>
          <w:vertAlign w:val="baseline"/>
        </w:rPr>
        <w:t> </w:t>
      </w:r>
      <w:r>
        <w:rPr>
          <w:vertAlign w:val="baseline"/>
        </w:rPr>
        <w:t>the</w:t>
      </w:r>
      <w:r>
        <w:rPr>
          <w:spacing w:val="-8"/>
          <w:vertAlign w:val="baseline"/>
        </w:rPr>
        <w:t> </w:t>
      </w:r>
      <w:r>
        <w:rPr>
          <w:vertAlign w:val="baseline"/>
        </w:rPr>
        <w:t>prevalence</w:t>
      </w:r>
      <w:r>
        <w:rPr>
          <w:spacing w:val="-9"/>
          <w:vertAlign w:val="baseline"/>
        </w:rPr>
        <w:t> </w:t>
      </w:r>
      <w:r>
        <w:rPr>
          <w:vertAlign w:val="baseline"/>
        </w:rPr>
        <w:t>of</w:t>
      </w:r>
      <w:r>
        <w:rPr>
          <w:spacing w:val="-7"/>
          <w:vertAlign w:val="baseline"/>
        </w:rPr>
        <w:t> </w:t>
      </w:r>
      <w:r>
        <w:rPr>
          <w:vertAlign w:val="baseline"/>
        </w:rPr>
        <w:t>religious</w:t>
      </w:r>
      <w:r>
        <w:rPr>
          <w:spacing w:val="-6"/>
          <w:vertAlign w:val="baseline"/>
        </w:rPr>
        <w:t> </w:t>
      </w:r>
      <w:r>
        <w:rPr>
          <w:vertAlign w:val="baseline"/>
        </w:rPr>
        <w:t>organizations in disaster relief services can be a barrier to access, particularly for trans individuals. </w:t>
      </w:r>
      <w:hyperlink w:history="true" w:anchor="_bookmark553">
        <w:r>
          <w:rPr>
            <w:vertAlign w:val="superscript"/>
          </w:rPr>
          <w:t>65</w:t>
        </w:r>
      </w:hyperlink>
      <w:r>
        <w:rPr>
          <w:vertAlign w:val="baseline"/>
        </w:rPr>
        <w:t> Furthermore, staying in an emergency shelter can be a dangerous and traumatic experience for some LGBTQ communities,</w:t>
      </w:r>
      <w:r>
        <w:rPr>
          <w:spacing w:val="-10"/>
          <w:vertAlign w:val="baseline"/>
        </w:rPr>
        <w:t> </w:t>
      </w:r>
      <w:r>
        <w:rPr>
          <w:vertAlign w:val="baseline"/>
        </w:rPr>
        <w:t>particularly</w:t>
      </w:r>
      <w:r>
        <w:rPr>
          <w:spacing w:val="-11"/>
          <w:vertAlign w:val="baseline"/>
        </w:rPr>
        <w:t> </w:t>
      </w:r>
      <w:r>
        <w:rPr>
          <w:vertAlign w:val="baseline"/>
        </w:rPr>
        <w:t>Black</w:t>
      </w:r>
      <w:r>
        <w:rPr>
          <w:spacing w:val="-11"/>
          <w:vertAlign w:val="baseline"/>
        </w:rPr>
        <w:t> </w:t>
      </w:r>
      <w:r>
        <w:rPr>
          <w:vertAlign w:val="baseline"/>
        </w:rPr>
        <w:t>trans</w:t>
      </w:r>
      <w:r>
        <w:rPr>
          <w:spacing w:val="-11"/>
          <w:vertAlign w:val="baseline"/>
        </w:rPr>
        <w:t> </w:t>
      </w:r>
      <w:r>
        <w:rPr>
          <w:vertAlign w:val="baseline"/>
        </w:rPr>
        <w:t>women.</w:t>
      </w:r>
      <w:r>
        <w:rPr>
          <w:spacing w:val="-10"/>
          <w:vertAlign w:val="baseline"/>
        </w:rPr>
        <w:t> </w:t>
      </w:r>
      <w:r>
        <w:rPr>
          <w:vertAlign w:val="baseline"/>
        </w:rPr>
        <w:t>In</w:t>
      </w:r>
      <w:r>
        <w:rPr>
          <w:spacing w:val="-11"/>
          <w:vertAlign w:val="baseline"/>
        </w:rPr>
        <w:t> </w:t>
      </w:r>
      <w:r>
        <w:rPr>
          <w:vertAlign w:val="baseline"/>
        </w:rPr>
        <w:t>one</w:t>
      </w:r>
      <w:r>
        <w:rPr>
          <w:spacing w:val="-11"/>
          <w:vertAlign w:val="baseline"/>
        </w:rPr>
        <w:t> </w:t>
      </w:r>
      <w:r>
        <w:rPr>
          <w:vertAlign w:val="baseline"/>
        </w:rPr>
        <w:t>reported</w:t>
      </w:r>
      <w:r>
        <w:rPr>
          <w:spacing w:val="-10"/>
          <w:vertAlign w:val="baseline"/>
        </w:rPr>
        <w:t> </w:t>
      </w:r>
      <w:r>
        <w:rPr>
          <w:vertAlign w:val="baseline"/>
        </w:rPr>
        <w:t>case</w:t>
      </w:r>
      <w:r>
        <w:rPr>
          <w:spacing w:val="-10"/>
          <w:vertAlign w:val="baseline"/>
        </w:rPr>
        <w:t> </w:t>
      </w:r>
      <w:r>
        <w:rPr>
          <w:vertAlign w:val="baseline"/>
        </w:rPr>
        <w:t>following</w:t>
      </w:r>
      <w:r>
        <w:rPr>
          <w:spacing w:val="-11"/>
          <w:vertAlign w:val="baseline"/>
        </w:rPr>
        <w:t> </w:t>
      </w:r>
      <w:r>
        <w:rPr>
          <w:vertAlign w:val="baseline"/>
        </w:rPr>
        <w:t>Hurricane</w:t>
      </w:r>
      <w:r>
        <w:rPr>
          <w:spacing w:val="-11"/>
          <w:vertAlign w:val="baseline"/>
        </w:rPr>
        <w:t> </w:t>
      </w:r>
      <w:r>
        <w:rPr>
          <w:vertAlign w:val="baseline"/>
        </w:rPr>
        <w:t>Katrina,</w:t>
      </w:r>
      <w:r>
        <w:rPr>
          <w:spacing w:val="-11"/>
          <w:vertAlign w:val="baseline"/>
        </w:rPr>
        <w:t> </w:t>
      </w:r>
      <w:r>
        <w:rPr>
          <w:vertAlign w:val="baseline"/>
        </w:rPr>
        <w:t>two</w:t>
      </w:r>
      <w:r>
        <w:rPr>
          <w:spacing w:val="-11"/>
          <w:vertAlign w:val="baseline"/>
        </w:rPr>
        <w:t> </w:t>
      </w:r>
      <w:r>
        <w:rPr>
          <w:vertAlign w:val="baseline"/>
        </w:rPr>
        <w:t>Black trans women were arrested after using the women’s restroom at an emergency shelter</w:t>
      </w:r>
      <w:hyperlink w:history="true" w:anchor="_bookmark553">
        <w:r>
          <w:rPr>
            <w:vertAlign w:val="baseline"/>
          </w:rPr>
          <w:t>.</w:t>
        </w:r>
        <w:r>
          <w:rPr>
            <w:vertAlign w:val="superscript"/>
          </w:rPr>
          <w:t>66</w:t>
        </w:r>
      </w:hyperlink>
      <w:r>
        <w:rPr>
          <w:vertAlign w:val="baseline"/>
        </w:rPr>
        <w:t> For trans and undocumented people, identification requirements can pose another barrier to accessing federal emergency relief services</w:t>
      </w:r>
      <w:hyperlink w:history="true" w:anchor="_bookmark553">
        <w:r>
          <w:rPr>
            <w:vertAlign w:val="baseline"/>
          </w:rPr>
          <w:t>.</w:t>
        </w:r>
        <w:r>
          <w:rPr>
            <w:vertAlign w:val="superscript"/>
          </w:rPr>
          <w:t>67</w:t>
        </w:r>
      </w:hyperlink>
    </w:p>
    <w:p>
      <w:pPr>
        <w:pStyle w:val="BodyText"/>
        <w:spacing w:line="276" w:lineRule="auto" w:before="240"/>
        <w:ind w:left="323" w:right="141"/>
        <w:jc w:val="both"/>
      </w:pPr>
      <w:r>
        <w:rPr/>
        <w:t>Lack</w:t>
      </w:r>
      <w:r>
        <w:rPr>
          <w:spacing w:val="-8"/>
        </w:rPr>
        <w:t> </w:t>
      </w:r>
      <w:r>
        <w:rPr/>
        <w:t>of</w:t>
      </w:r>
      <w:r>
        <w:rPr>
          <w:spacing w:val="-9"/>
        </w:rPr>
        <w:t> </w:t>
      </w:r>
      <w:r>
        <w:rPr/>
        <w:t>strong</w:t>
      </w:r>
      <w:r>
        <w:rPr>
          <w:spacing w:val="-9"/>
        </w:rPr>
        <w:t> </w:t>
      </w:r>
      <w:r>
        <w:rPr/>
        <w:t>legal</w:t>
      </w:r>
      <w:r>
        <w:rPr>
          <w:spacing w:val="-8"/>
        </w:rPr>
        <w:t> </w:t>
      </w:r>
      <w:r>
        <w:rPr/>
        <w:t>protections</w:t>
      </w:r>
      <w:r>
        <w:rPr>
          <w:spacing w:val="-8"/>
        </w:rPr>
        <w:t> </w:t>
      </w:r>
      <w:r>
        <w:rPr/>
        <w:t>for</w:t>
      </w:r>
      <w:r>
        <w:rPr>
          <w:spacing w:val="-9"/>
        </w:rPr>
        <w:t> </w:t>
      </w:r>
      <w:r>
        <w:rPr/>
        <w:t>LGBTQ</w:t>
      </w:r>
      <w:r>
        <w:rPr>
          <w:spacing w:val="-8"/>
        </w:rPr>
        <w:t> </w:t>
      </w:r>
      <w:r>
        <w:rPr/>
        <w:t>communities</w:t>
      </w:r>
      <w:r>
        <w:rPr>
          <w:spacing w:val="-8"/>
        </w:rPr>
        <w:t> </w:t>
      </w:r>
      <w:r>
        <w:rPr/>
        <w:t>in</w:t>
      </w:r>
      <w:r>
        <w:rPr>
          <w:spacing w:val="-8"/>
        </w:rPr>
        <w:t> </w:t>
      </w:r>
      <w:r>
        <w:rPr/>
        <w:t>disaster</w:t>
      </w:r>
      <w:r>
        <w:rPr>
          <w:spacing w:val="-8"/>
        </w:rPr>
        <w:t> </w:t>
      </w:r>
      <w:r>
        <w:rPr/>
        <w:t>response</w:t>
      </w:r>
      <w:r>
        <w:rPr>
          <w:spacing w:val="-8"/>
        </w:rPr>
        <w:t> </w:t>
      </w:r>
      <w:r>
        <w:rPr/>
        <w:t>programs</w:t>
      </w:r>
      <w:r>
        <w:rPr>
          <w:spacing w:val="-8"/>
        </w:rPr>
        <w:t> </w:t>
      </w:r>
      <w:r>
        <w:rPr/>
        <w:t>and</w:t>
      </w:r>
      <w:r>
        <w:rPr>
          <w:spacing w:val="-8"/>
        </w:rPr>
        <w:t> </w:t>
      </w:r>
      <w:r>
        <w:rPr/>
        <w:t>policies</w:t>
      </w:r>
      <w:r>
        <w:rPr>
          <w:spacing w:val="-8"/>
        </w:rPr>
        <w:t> </w:t>
      </w:r>
      <w:r>
        <w:rPr/>
        <w:t>allows discrimination in disaster response services to continue. However, laws protecting LGBTQ people from discrimination</w:t>
      </w:r>
      <w:r>
        <w:rPr>
          <w:spacing w:val="-1"/>
        </w:rPr>
        <w:t> </w:t>
      </w:r>
      <w:r>
        <w:rPr/>
        <w:t>and</w:t>
      </w:r>
      <w:r>
        <w:rPr>
          <w:spacing w:val="-1"/>
        </w:rPr>
        <w:t> </w:t>
      </w:r>
      <w:r>
        <w:rPr/>
        <w:t>requiring</w:t>
      </w:r>
      <w:r>
        <w:rPr>
          <w:spacing w:val="-1"/>
        </w:rPr>
        <w:t> </w:t>
      </w:r>
      <w:r>
        <w:rPr/>
        <w:t>local</w:t>
      </w:r>
      <w:r>
        <w:rPr>
          <w:spacing w:val="-1"/>
        </w:rPr>
        <w:t> </w:t>
      </w:r>
      <w:r>
        <w:rPr/>
        <w:t>governments to work</w:t>
      </w:r>
      <w:r>
        <w:rPr>
          <w:spacing w:val="-1"/>
        </w:rPr>
        <w:t> </w:t>
      </w:r>
      <w:r>
        <w:rPr/>
        <w:t>collaboratively with</w:t>
      </w:r>
      <w:r>
        <w:rPr>
          <w:spacing w:val="-1"/>
        </w:rPr>
        <w:t> </w:t>
      </w:r>
      <w:r>
        <w:rPr/>
        <w:t>LGBTQ</w:t>
      </w:r>
      <w:r>
        <w:rPr>
          <w:spacing w:val="-1"/>
        </w:rPr>
        <w:t> </w:t>
      </w:r>
      <w:r>
        <w:rPr/>
        <w:t>communities to plan for</w:t>
      </w:r>
      <w:r>
        <w:rPr>
          <w:spacing w:val="-11"/>
        </w:rPr>
        <w:t> </w:t>
      </w:r>
      <w:r>
        <w:rPr/>
        <w:t>disasters</w:t>
      </w:r>
      <w:r>
        <w:rPr>
          <w:spacing w:val="-11"/>
        </w:rPr>
        <w:t> </w:t>
      </w:r>
      <w:r>
        <w:rPr/>
        <w:t>can</w:t>
      </w:r>
      <w:r>
        <w:rPr>
          <w:spacing w:val="-12"/>
        </w:rPr>
        <w:t> </w:t>
      </w:r>
      <w:r>
        <w:rPr/>
        <w:t>be</w:t>
      </w:r>
      <w:r>
        <w:rPr>
          <w:spacing w:val="-10"/>
        </w:rPr>
        <w:t> </w:t>
      </w:r>
      <w:r>
        <w:rPr/>
        <w:t>passed</w:t>
      </w:r>
      <w:r>
        <w:rPr>
          <w:spacing w:val="-10"/>
        </w:rPr>
        <w:t> </w:t>
      </w:r>
      <w:r>
        <w:rPr/>
        <w:t>at</w:t>
      </w:r>
      <w:r>
        <w:rPr>
          <w:spacing w:val="-12"/>
        </w:rPr>
        <w:t> </w:t>
      </w:r>
      <w:r>
        <w:rPr/>
        <w:t>the</w:t>
      </w:r>
      <w:r>
        <w:rPr>
          <w:spacing w:val="-11"/>
        </w:rPr>
        <w:t> </w:t>
      </w:r>
      <w:r>
        <w:rPr/>
        <w:t>state</w:t>
      </w:r>
      <w:r>
        <w:rPr>
          <w:spacing w:val="-11"/>
        </w:rPr>
        <w:t> </w:t>
      </w:r>
      <w:r>
        <w:rPr/>
        <w:t>level.</w:t>
      </w:r>
      <w:r>
        <w:rPr>
          <w:spacing w:val="-12"/>
        </w:rPr>
        <w:t> </w:t>
      </w:r>
      <w:r>
        <w:rPr/>
        <w:t>In</w:t>
      </w:r>
      <w:r>
        <w:rPr>
          <w:spacing w:val="-10"/>
        </w:rPr>
        <w:t> </w:t>
      </w:r>
      <w:r>
        <w:rPr/>
        <w:t>2012,</w:t>
      </w:r>
      <w:r>
        <w:rPr>
          <w:spacing w:val="-11"/>
        </w:rPr>
        <w:t> </w:t>
      </w:r>
      <w:r>
        <w:rPr/>
        <w:t>the</w:t>
      </w:r>
      <w:r>
        <w:rPr>
          <w:spacing w:val="-11"/>
        </w:rPr>
        <w:t> </w:t>
      </w:r>
      <w:r>
        <w:rPr/>
        <w:t>Human</w:t>
      </w:r>
      <w:r>
        <w:rPr>
          <w:spacing w:val="-10"/>
        </w:rPr>
        <w:t> </w:t>
      </w:r>
      <w:r>
        <w:rPr/>
        <w:t>Rights</w:t>
      </w:r>
      <w:r>
        <w:rPr>
          <w:spacing w:val="-11"/>
        </w:rPr>
        <w:t> </w:t>
      </w:r>
      <w:r>
        <w:rPr/>
        <w:t>Campaign</w:t>
      </w:r>
      <w:r>
        <w:rPr>
          <w:spacing w:val="-12"/>
        </w:rPr>
        <w:t> </w:t>
      </w:r>
      <w:r>
        <w:rPr/>
        <w:t>(HRC)</w:t>
      </w:r>
      <w:r>
        <w:rPr>
          <w:spacing w:val="-11"/>
        </w:rPr>
        <w:t> </w:t>
      </w:r>
      <w:r>
        <w:rPr/>
        <w:t>released</w:t>
      </w:r>
      <w:r>
        <w:rPr>
          <w:spacing w:val="-12"/>
        </w:rPr>
        <w:t> </w:t>
      </w:r>
      <w:r>
        <w:rPr/>
        <w:t>a</w:t>
      </w:r>
      <w:r>
        <w:rPr>
          <w:spacing w:val="-11"/>
        </w:rPr>
        <w:t> </w:t>
      </w:r>
      <w:r>
        <w:rPr/>
        <w:t>report on</w:t>
      </w:r>
      <w:r>
        <w:rPr>
          <w:spacing w:val="-11"/>
        </w:rPr>
        <w:t> </w:t>
      </w:r>
      <w:r>
        <w:rPr/>
        <w:t>how</w:t>
      </w:r>
      <w:r>
        <w:rPr>
          <w:spacing w:val="-10"/>
        </w:rPr>
        <w:t> </w:t>
      </w:r>
      <w:r>
        <w:rPr/>
        <w:t>best</w:t>
      </w:r>
      <w:r>
        <w:rPr>
          <w:spacing w:val="-10"/>
        </w:rPr>
        <w:t> </w:t>
      </w:r>
      <w:r>
        <w:rPr/>
        <w:t>to</w:t>
      </w:r>
      <w:r>
        <w:rPr>
          <w:spacing w:val="-11"/>
        </w:rPr>
        <w:t> </w:t>
      </w:r>
      <w:r>
        <w:rPr/>
        <w:t>eliminate</w:t>
      </w:r>
      <w:r>
        <w:rPr>
          <w:spacing w:val="-10"/>
        </w:rPr>
        <w:t> </w:t>
      </w:r>
      <w:r>
        <w:rPr/>
        <w:t>discrimination</w:t>
      </w:r>
      <w:r>
        <w:rPr>
          <w:spacing w:val="-10"/>
        </w:rPr>
        <w:t> </w:t>
      </w:r>
      <w:r>
        <w:rPr/>
        <w:t>in</w:t>
      </w:r>
      <w:r>
        <w:rPr>
          <w:spacing w:val="-11"/>
        </w:rPr>
        <w:t> </w:t>
      </w:r>
      <w:r>
        <w:rPr/>
        <w:t>disaster</w:t>
      </w:r>
      <w:r>
        <w:rPr>
          <w:spacing w:val="-10"/>
        </w:rPr>
        <w:t> </w:t>
      </w:r>
      <w:r>
        <w:rPr/>
        <w:t>preparation</w:t>
      </w:r>
      <w:r>
        <w:rPr>
          <w:spacing w:val="-11"/>
        </w:rPr>
        <w:t> </w:t>
      </w:r>
      <w:r>
        <w:rPr/>
        <w:t>and</w:t>
      </w:r>
      <w:r>
        <w:rPr>
          <w:spacing w:val="-10"/>
        </w:rPr>
        <w:t> </w:t>
      </w:r>
      <w:r>
        <w:rPr/>
        <w:t>response</w:t>
      </w:r>
      <w:r>
        <w:rPr>
          <w:spacing w:val="-11"/>
        </w:rPr>
        <w:t> </w:t>
      </w:r>
      <w:r>
        <w:rPr/>
        <w:t>including</w:t>
      </w:r>
      <w:r>
        <w:rPr>
          <w:spacing w:val="-10"/>
        </w:rPr>
        <w:t> </w:t>
      </w:r>
      <w:r>
        <w:rPr/>
        <w:t>recommendations about</w:t>
      </w:r>
      <w:r>
        <w:rPr>
          <w:spacing w:val="-5"/>
        </w:rPr>
        <w:t> </w:t>
      </w:r>
      <w:r>
        <w:rPr/>
        <w:t>including</w:t>
      </w:r>
      <w:r>
        <w:rPr>
          <w:spacing w:val="-4"/>
        </w:rPr>
        <w:t> </w:t>
      </w:r>
      <w:r>
        <w:rPr/>
        <w:t>members</w:t>
      </w:r>
      <w:r>
        <w:rPr>
          <w:spacing w:val="-4"/>
        </w:rPr>
        <w:t> </w:t>
      </w:r>
      <w:r>
        <w:rPr/>
        <w:t>of</w:t>
      </w:r>
      <w:r>
        <w:rPr>
          <w:spacing w:val="-5"/>
        </w:rPr>
        <w:t> </w:t>
      </w:r>
      <w:r>
        <w:rPr/>
        <w:t>the</w:t>
      </w:r>
      <w:r>
        <w:rPr>
          <w:spacing w:val="-4"/>
        </w:rPr>
        <w:t> </w:t>
      </w:r>
      <w:r>
        <w:rPr/>
        <w:t>LGBTQ</w:t>
      </w:r>
      <w:r>
        <w:rPr>
          <w:spacing w:val="-4"/>
        </w:rPr>
        <w:t> </w:t>
      </w:r>
      <w:r>
        <w:rPr/>
        <w:t>community</w:t>
      </w:r>
      <w:r>
        <w:rPr>
          <w:spacing w:val="-4"/>
        </w:rPr>
        <w:t> </w:t>
      </w:r>
      <w:r>
        <w:rPr/>
        <w:t>in</w:t>
      </w:r>
      <w:r>
        <w:rPr>
          <w:spacing w:val="-4"/>
        </w:rPr>
        <w:t> </w:t>
      </w:r>
      <w:r>
        <w:rPr/>
        <w:t>the</w:t>
      </w:r>
      <w:r>
        <w:rPr>
          <w:spacing w:val="-4"/>
        </w:rPr>
        <w:t> </w:t>
      </w:r>
      <w:r>
        <w:rPr/>
        <w:t>disaster</w:t>
      </w:r>
      <w:r>
        <w:rPr>
          <w:spacing w:val="-4"/>
        </w:rPr>
        <w:t> </w:t>
      </w:r>
      <w:r>
        <w:rPr/>
        <w:t>response</w:t>
      </w:r>
      <w:r>
        <w:rPr>
          <w:spacing w:val="-4"/>
        </w:rPr>
        <w:t> </w:t>
      </w:r>
      <w:r>
        <w:rPr/>
        <w:t>planning</w:t>
      </w:r>
      <w:r>
        <w:rPr>
          <w:spacing w:val="-4"/>
        </w:rPr>
        <w:t> </w:t>
      </w:r>
      <w:r>
        <w:rPr/>
        <w:t>process,</w:t>
      </w:r>
      <w:r>
        <w:rPr>
          <w:spacing w:val="-5"/>
        </w:rPr>
        <w:t> </w:t>
      </w:r>
      <w:r>
        <w:rPr/>
        <w:t>respecting family structure and relationship status, and ensuring safety in emergency shelters.</w:t>
      </w:r>
      <w:hyperlink w:history="true" w:anchor="_bookmark553">
        <w:r>
          <w:rPr>
            <w:vertAlign w:val="superscript"/>
          </w:rPr>
          <w:t>68</w:t>
        </w:r>
      </w:hyperlink>
      <w:r>
        <w:rPr>
          <w:vertAlign w:val="baseline"/>
        </w:rPr>
        <w:t> Massachusetts has an opportunity to lead in this space by putting HRC’s guidance into action, since very few states or local governments have incorporated the recommendations into disaster response efforts so far.</w:t>
      </w:r>
    </w:p>
    <w:p>
      <w:pPr>
        <w:spacing w:after="0" w:line="276" w:lineRule="auto"/>
        <w:jc w:val="both"/>
        <w:sectPr>
          <w:pgSz w:w="12240" w:h="15840"/>
          <w:pgMar w:header="800" w:footer="1459" w:top="1300" w:bottom="1640" w:left="1120" w:right="1300"/>
        </w:sectPr>
      </w:pPr>
    </w:p>
    <w:p>
      <w:pPr>
        <w:pStyle w:val="BodyText"/>
        <w:spacing w:line="276" w:lineRule="auto" w:before="67"/>
        <w:ind w:left="323" w:right="141"/>
        <w:jc w:val="both"/>
      </w:pPr>
      <w:r>
        <w:rPr/>
        <w:t>The</w:t>
      </w:r>
      <w:r>
        <w:rPr>
          <w:spacing w:val="-6"/>
        </w:rPr>
        <w:t> </w:t>
      </w:r>
      <w:r>
        <w:rPr/>
        <w:t>importance</w:t>
      </w:r>
      <w:r>
        <w:rPr>
          <w:spacing w:val="-6"/>
        </w:rPr>
        <w:t> </w:t>
      </w:r>
      <w:r>
        <w:rPr/>
        <w:t>of</w:t>
      </w:r>
      <w:r>
        <w:rPr>
          <w:spacing w:val="-5"/>
        </w:rPr>
        <w:t> </w:t>
      </w:r>
      <w:r>
        <w:rPr/>
        <w:t>environmental</w:t>
      </w:r>
      <w:r>
        <w:rPr>
          <w:spacing w:val="-5"/>
        </w:rPr>
        <w:t> </w:t>
      </w:r>
      <w:r>
        <w:rPr/>
        <w:t>justice</w:t>
      </w:r>
      <w:r>
        <w:rPr>
          <w:spacing w:val="-6"/>
        </w:rPr>
        <w:t> </w:t>
      </w:r>
      <w:r>
        <w:rPr/>
        <w:t>to</w:t>
      </w:r>
      <w:r>
        <w:rPr>
          <w:spacing w:val="-5"/>
        </w:rPr>
        <w:t> </w:t>
      </w:r>
      <w:r>
        <w:rPr/>
        <w:t>the</w:t>
      </w:r>
      <w:r>
        <w:rPr>
          <w:spacing w:val="-5"/>
        </w:rPr>
        <w:t> </w:t>
      </w:r>
      <w:r>
        <w:rPr/>
        <w:t>health</w:t>
      </w:r>
      <w:r>
        <w:rPr>
          <w:spacing w:val="-6"/>
        </w:rPr>
        <w:t> </w:t>
      </w:r>
      <w:r>
        <w:rPr/>
        <w:t>and</w:t>
      </w:r>
      <w:r>
        <w:rPr>
          <w:spacing w:val="-6"/>
        </w:rPr>
        <w:t> </w:t>
      </w:r>
      <w:r>
        <w:rPr/>
        <w:t>wellbeing</w:t>
      </w:r>
      <w:r>
        <w:rPr>
          <w:spacing w:val="-6"/>
        </w:rPr>
        <w:t> </w:t>
      </w:r>
      <w:r>
        <w:rPr/>
        <w:t>of</w:t>
      </w:r>
      <w:r>
        <w:rPr>
          <w:spacing w:val="-5"/>
        </w:rPr>
        <w:t> </w:t>
      </w:r>
      <w:r>
        <w:rPr/>
        <w:t>LGBTQ</w:t>
      </w:r>
      <w:r>
        <w:rPr>
          <w:spacing w:val="-5"/>
        </w:rPr>
        <w:t> </w:t>
      </w:r>
      <w:r>
        <w:rPr/>
        <w:t>youth</w:t>
      </w:r>
      <w:r>
        <w:rPr>
          <w:spacing w:val="-6"/>
        </w:rPr>
        <w:t> </w:t>
      </w:r>
      <w:r>
        <w:rPr/>
        <w:t>is</w:t>
      </w:r>
      <w:r>
        <w:rPr>
          <w:spacing w:val="-5"/>
        </w:rPr>
        <w:t> </w:t>
      </w:r>
      <w:r>
        <w:rPr/>
        <w:t>abundantly</w:t>
      </w:r>
      <w:r>
        <w:rPr>
          <w:spacing w:val="-5"/>
        </w:rPr>
        <w:t> </w:t>
      </w:r>
      <w:r>
        <w:rPr/>
        <w:t>clear. The specific needs of LGBTQ populations must be incorporated into environmental and environmental justice policy in Massachusetts, particularly during this time of exciting innovation in environmental policymaking under the leadership of Governor Maura Healey. More research examining the environmental</w:t>
      </w:r>
      <w:r>
        <w:rPr>
          <w:spacing w:val="-12"/>
        </w:rPr>
        <w:t> </w:t>
      </w:r>
      <w:r>
        <w:rPr/>
        <w:t>justice</w:t>
      </w:r>
      <w:r>
        <w:rPr>
          <w:spacing w:val="-11"/>
        </w:rPr>
        <w:t> </w:t>
      </w:r>
      <w:r>
        <w:rPr/>
        <w:t>needs</w:t>
      </w:r>
      <w:r>
        <w:rPr>
          <w:spacing w:val="-12"/>
        </w:rPr>
        <w:t> </w:t>
      </w:r>
      <w:r>
        <w:rPr/>
        <w:t>of</w:t>
      </w:r>
      <w:r>
        <w:rPr>
          <w:spacing w:val="-12"/>
        </w:rPr>
        <w:t> </w:t>
      </w:r>
      <w:r>
        <w:rPr/>
        <w:t>LGBTQ</w:t>
      </w:r>
      <w:r>
        <w:rPr>
          <w:spacing w:val="-11"/>
        </w:rPr>
        <w:t> </w:t>
      </w:r>
      <w:r>
        <w:rPr/>
        <w:t>communities</w:t>
      </w:r>
      <w:r>
        <w:rPr>
          <w:spacing w:val="-12"/>
        </w:rPr>
        <w:t> </w:t>
      </w:r>
      <w:r>
        <w:rPr/>
        <w:t>is</w:t>
      </w:r>
      <w:r>
        <w:rPr>
          <w:spacing w:val="-12"/>
        </w:rPr>
        <w:t> </w:t>
      </w:r>
      <w:r>
        <w:rPr/>
        <w:t>needed</w:t>
      </w:r>
      <w:r>
        <w:rPr>
          <w:spacing w:val="-11"/>
        </w:rPr>
        <w:t> </w:t>
      </w:r>
      <w:r>
        <w:rPr/>
        <w:t>to</w:t>
      </w:r>
      <w:r>
        <w:rPr>
          <w:spacing w:val="-11"/>
        </w:rPr>
        <w:t> </w:t>
      </w:r>
      <w:r>
        <w:rPr/>
        <w:t>better</w:t>
      </w:r>
      <w:r>
        <w:rPr>
          <w:spacing w:val="-11"/>
        </w:rPr>
        <w:t> </w:t>
      </w:r>
      <w:r>
        <w:rPr/>
        <w:t>understand</w:t>
      </w:r>
      <w:r>
        <w:rPr>
          <w:spacing w:val="-13"/>
        </w:rPr>
        <w:t> </w:t>
      </w:r>
      <w:r>
        <w:rPr/>
        <w:t>the</w:t>
      </w:r>
      <w:r>
        <w:rPr>
          <w:spacing w:val="-10"/>
        </w:rPr>
        <w:t> </w:t>
      </w:r>
      <w:r>
        <w:rPr/>
        <w:t>unique</w:t>
      </w:r>
      <w:r>
        <w:rPr>
          <w:spacing w:val="-13"/>
        </w:rPr>
        <w:t> </w:t>
      </w:r>
      <w:r>
        <w:rPr/>
        <w:t>disparities in environmental exposures and health outcomes that LGBTQ communities face. However, existing </w:t>
      </w:r>
      <w:r>
        <w:rPr>
          <w:spacing w:val="-2"/>
        </w:rPr>
        <w:t>research</w:t>
      </w:r>
      <w:r>
        <w:rPr>
          <w:spacing w:val="-3"/>
        </w:rPr>
        <w:t> </w:t>
      </w:r>
      <w:r>
        <w:rPr>
          <w:spacing w:val="-2"/>
        </w:rPr>
        <w:t>clearly</w:t>
      </w:r>
      <w:r>
        <w:rPr>
          <w:spacing w:val="-3"/>
        </w:rPr>
        <w:t> </w:t>
      </w:r>
      <w:r>
        <w:rPr>
          <w:spacing w:val="-2"/>
        </w:rPr>
        <w:t>shows</w:t>
      </w:r>
      <w:r>
        <w:rPr>
          <w:spacing w:val="-3"/>
        </w:rPr>
        <w:t> </w:t>
      </w:r>
      <w:r>
        <w:rPr>
          <w:spacing w:val="-2"/>
        </w:rPr>
        <w:t>that</w:t>
      </w:r>
      <w:r>
        <w:rPr>
          <w:spacing w:val="-3"/>
        </w:rPr>
        <w:t> </w:t>
      </w:r>
      <w:r>
        <w:rPr>
          <w:spacing w:val="-2"/>
        </w:rPr>
        <w:t>environmental</w:t>
      </w:r>
      <w:r>
        <w:rPr>
          <w:spacing w:val="-3"/>
        </w:rPr>
        <w:t> </w:t>
      </w:r>
      <w:r>
        <w:rPr>
          <w:spacing w:val="-2"/>
        </w:rPr>
        <w:t>justice</w:t>
      </w:r>
      <w:r>
        <w:rPr>
          <w:spacing w:val="-3"/>
        </w:rPr>
        <w:t> </w:t>
      </w:r>
      <w:r>
        <w:rPr>
          <w:spacing w:val="-2"/>
        </w:rPr>
        <w:t>is</w:t>
      </w:r>
      <w:r>
        <w:rPr>
          <w:spacing w:val="-3"/>
        </w:rPr>
        <w:t> </w:t>
      </w:r>
      <w:r>
        <w:rPr>
          <w:spacing w:val="-2"/>
        </w:rPr>
        <w:t>a key</w:t>
      </w:r>
      <w:r>
        <w:rPr>
          <w:spacing w:val="-3"/>
        </w:rPr>
        <w:t> </w:t>
      </w:r>
      <w:r>
        <w:rPr>
          <w:spacing w:val="-2"/>
        </w:rPr>
        <w:t>element of</w:t>
      </w:r>
      <w:r>
        <w:rPr>
          <w:spacing w:val="-3"/>
        </w:rPr>
        <w:t> </w:t>
      </w:r>
      <w:r>
        <w:rPr>
          <w:spacing w:val="-2"/>
        </w:rPr>
        <w:t>the multifaceted</w:t>
      </w:r>
      <w:r>
        <w:rPr>
          <w:spacing w:val="-3"/>
        </w:rPr>
        <w:t> </w:t>
      </w:r>
      <w:r>
        <w:rPr>
          <w:spacing w:val="-2"/>
        </w:rPr>
        <w:t>system of</w:t>
      </w:r>
      <w:r>
        <w:rPr>
          <w:spacing w:val="-3"/>
        </w:rPr>
        <w:t> </w:t>
      </w:r>
      <w:r>
        <w:rPr>
          <w:spacing w:val="-2"/>
        </w:rPr>
        <w:t>inequities </w:t>
      </w:r>
      <w:r>
        <w:rPr/>
        <w:t>that impact the health and</w:t>
      </w:r>
      <w:r>
        <w:rPr>
          <w:spacing w:val="-1"/>
        </w:rPr>
        <w:t> </w:t>
      </w:r>
      <w:r>
        <w:rPr/>
        <w:t>wellbeing</w:t>
      </w:r>
      <w:r>
        <w:rPr>
          <w:spacing w:val="-1"/>
        </w:rPr>
        <w:t> </w:t>
      </w:r>
      <w:r>
        <w:rPr/>
        <w:t>of LGBTQ youth, particularly LGBTQ youth</w:t>
      </w:r>
      <w:r>
        <w:rPr>
          <w:spacing w:val="-1"/>
        </w:rPr>
        <w:t> </w:t>
      </w:r>
      <w:r>
        <w:rPr/>
        <w:t>of color and</w:t>
      </w:r>
      <w:r>
        <w:rPr>
          <w:spacing w:val="-1"/>
        </w:rPr>
        <w:t> </w:t>
      </w:r>
      <w:r>
        <w:rPr/>
        <w:t>Indigenous, immigrant, disabled, and low-income LGBTQ youth. By embracing the needs of QTBIPOC youth, Massachusetts can be a leader in working towards environmental justice for all.</w:t>
      </w:r>
    </w:p>
    <w:p>
      <w:pPr>
        <w:spacing w:before="240"/>
        <w:ind w:left="323" w:right="0" w:firstLine="0"/>
        <w:jc w:val="both"/>
        <w:rPr>
          <w:sz w:val="28"/>
        </w:rPr>
      </w:pPr>
      <w:bookmarkStart w:name="Acknowledgments &amp; Citations" w:id="828"/>
      <w:bookmarkEnd w:id="828"/>
      <w:r>
        <w:rPr/>
      </w:r>
      <w:r>
        <w:rPr>
          <w:color w:val="365F91"/>
          <w:sz w:val="28"/>
        </w:rPr>
        <w:t>Acknowledgments</w:t>
      </w:r>
      <w:r>
        <w:rPr>
          <w:color w:val="365F91"/>
          <w:spacing w:val="-15"/>
          <w:sz w:val="28"/>
        </w:rPr>
        <w:t> </w:t>
      </w:r>
      <w:r>
        <w:rPr>
          <w:color w:val="365F91"/>
          <w:sz w:val="28"/>
        </w:rPr>
        <w:t>&amp;</w:t>
      </w:r>
      <w:r>
        <w:rPr>
          <w:color w:val="365F91"/>
          <w:spacing w:val="-14"/>
          <w:sz w:val="28"/>
        </w:rPr>
        <w:t> </w:t>
      </w:r>
      <w:r>
        <w:rPr>
          <w:color w:val="365F91"/>
          <w:spacing w:val="-2"/>
          <w:sz w:val="28"/>
        </w:rPr>
        <w:t>Citations</w:t>
      </w:r>
    </w:p>
    <w:p>
      <w:pPr>
        <w:pStyle w:val="BodyText"/>
        <w:spacing w:before="9"/>
        <w:rPr>
          <w:sz w:val="3"/>
        </w:rPr>
      </w:pPr>
      <w:r>
        <w:rPr/>
        <mc:AlternateContent>
          <mc:Choice Requires="wps">
            <w:drawing>
              <wp:anchor distT="0" distB="0" distL="0" distR="0" allowOverlap="1" layoutInCell="1" locked="0" behindDoc="1" simplePos="0" relativeHeight="487679488">
                <wp:simplePos x="0" y="0"/>
                <wp:positionH relativeFrom="page">
                  <wp:posOffset>897636</wp:posOffset>
                </wp:positionH>
                <wp:positionV relativeFrom="paragraph">
                  <wp:posOffset>44719</wp:posOffset>
                </wp:positionV>
                <wp:extent cx="5976620" cy="6350"/>
                <wp:effectExtent l="0" t="0" r="0" b="0"/>
                <wp:wrapTopAndBottom/>
                <wp:docPr id="486" name="Graphic 486"/>
                <wp:cNvGraphicFramePr>
                  <a:graphicFrameLocks/>
                </wp:cNvGraphicFramePr>
                <a:graphic>
                  <a:graphicData uri="http://schemas.microsoft.com/office/word/2010/wordprocessingShape">
                    <wps:wsp>
                      <wps:cNvPr id="486" name="Graphic 486"/>
                      <wps:cNvSpPr/>
                      <wps:spPr>
                        <a:xfrm>
                          <a:off x="0" y="0"/>
                          <a:ext cx="5976620" cy="6350"/>
                        </a:xfrm>
                        <a:custGeom>
                          <a:avLst/>
                          <a:gdLst/>
                          <a:ahLst/>
                          <a:cxnLst/>
                          <a:rect l="l" t="t" r="r" b="b"/>
                          <a:pathLst>
                            <a:path w="5976620" h="6350">
                              <a:moveTo>
                                <a:pt x="5976366" y="0"/>
                              </a:moveTo>
                              <a:lnTo>
                                <a:pt x="0" y="0"/>
                              </a:lnTo>
                              <a:lnTo>
                                <a:pt x="0" y="6096"/>
                              </a:lnTo>
                              <a:lnTo>
                                <a:pt x="5976366" y="6096"/>
                              </a:lnTo>
                              <a:lnTo>
                                <a:pt x="5976366" y="0"/>
                              </a:lnTo>
                              <a:close/>
                            </a:path>
                          </a:pathLst>
                        </a:custGeom>
                        <a:solidFill>
                          <a:srgbClr val="4F81BC"/>
                        </a:solidFill>
                      </wps:spPr>
                      <wps:bodyPr wrap="square" lIns="0" tIns="0" rIns="0" bIns="0" rtlCol="0">
                        <a:prstTxWarp prst="textNoShape">
                          <a:avLst/>
                        </a:prstTxWarp>
                        <a:noAutofit/>
                      </wps:bodyPr>
                    </wps:wsp>
                  </a:graphicData>
                </a:graphic>
              </wp:anchor>
            </w:drawing>
          </mc:Choice>
          <mc:Fallback>
            <w:pict>
              <v:rect style="position:absolute;margin-left:70.680pt;margin-top:3.521211pt;width:470.58pt;height:.48pt;mso-position-horizontal-relative:page;mso-position-vertical-relative:paragraph;z-index:-15636992;mso-wrap-distance-left:0;mso-wrap-distance-right:0" id="docshape391" filled="true" fillcolor="#4f81bc" stroked="false">
                <v:fill type="solid"/>
                <w10:wrap type="topAndBottom"/>
              </v:rect>
            </w:pict>
          </mc:Fallback>
        </mc:AlternateContent>
      </w:r>
    </w:p>
    <w:p>
      <w:pPr>
        <w:spacing w:line="276" w:lineRule="auto" w:before="241"/>
        <w:ind w:left="323" w:right="74" w:firstLine="0"/>
        <w:jc w:val="left"/>
        <w:rPr>
          <w:i/>
          <w:sz w:val="21"/>
        </w:rPr>
      </w:pPr>
      <w:r>
        <w:rPr>
          <w:i/>
          <w:sz w:val="21"/>
        </w:rPr>
        <w:t>Acknowledgments:</w:t>
      </w:r>
      <w:r>
        <w:rPr>
          <w:i/>
          <w:spacing w:val="-12"/>
          <w:sz w:val="21"/>
        </w:rPr>
        <w:t> </w:t>
      </w:r>
      <w:r>
        <w:rPr>
          <w:i/>
          <w:sz w:val="21"/>
        </w:rPr>
        <w:t>Leija</w:t>
      </w:r>
      <w:r>
        <w:rPr>
          <w:i/>
          <w:spacing w:val="-11"/>
          <w:sz w:val="21"/>
        </w:rPr>
        <w:t> </w:t>
      </w:r>
      <w:r>
        <w:rPr>
          <w:i/>
          <w:sz w:val="21"/>
        </w:rPr>
        <w:t>Helling,</w:t>
      </w:r>
      <w:r>
        <w:rPr>
          <w:i/>
          <w:spacing w:val="-11"/>
          <w:sz w:val="21"/>
        </w:rPr>
        <w:t> </w:t>
      </w:r>
      <w:r>
        <w:rPr>
          <w:i/>
          <w:sz w:val="21"/>
        </w:rPr>
        <w:t>lead</w:t>
      </w:r>
      <w:r>
        <w:rPr>
          <w:i/>
          <w:spacing w:val="-11"/>
          <w:sz w:val="21"/>
        </w:rPr>
        <w:t> </w:t>
      </w:r>
      <w:r>
        <w:rPr>
          <w:i/>
          <w:sz w:val="21"/>
        </w:rPr>
        <w:t>researcher</w:t>
      </w:r>
      <w:r>
        <w:rPr>
          <w:i/>
          <w:spacing w:val="-11"/>
          <w:sz w:val="21"/>
        </w:rPr>
        <w:t> </w:t>
      </w:r>
      <w:r>
        <w:rPr>
          <w:i/>
          <w:sz w:val="21"/>
        </w:rPr>
        <w:t>and</w:t>
      </w:r>
      <w:r>
        <w:rPr>
          <w:i/>
          <w:spacing w:val="-11"/>
          <w:sz w:val="21"/>
        </w:rPr>
        <w:t> </w:t>
      </w:r>
      <w:r>
        <w:rPr>
          <w:i/>
          <w:sz w:val="21"/>
        </w:rPr>
        <w:t>author</w:t>
      </w:r>
      <w:r>
        <w:rPr>
          <w:i/>
          <w:spacing w:val="-11"/>
          <w:sz w:val="21"/>
        </w:rPr>
        <w:t> </w:t>
      </w:r>
      <w:r>
        <w:rPr>
          <w:i/>
          <w:sz w:val="21"/>
        </w:rPr>
        <w:t>(2023);</w:t>
      </w:r>
      <w:r>
        <w:rPr>
          <w:i/>
          <w:spacing w:val="-11"/>
          <w:sz w:val="21"/>
        </w:rPr>
        <w:t> </w:t>
      </w:r>
      <w:r>
        <w:rPr>
          <w:i/>
          <w:sz w:val="21"/>
        </w:rPr>
        <w:t>Avery</w:t>
      </w:r>
      <w:r>
        <w:rPr>
          <w:i/>
          <w:spacing w:val="-12"/>
          <w:sz w:val="21"/>
        </w:rPr>
        <w:t> </w:t>
      </w:r>
      <w:r>
        <w:rPr>
          <w:i/>
          <w:sz w:val="21"/>
        </w:rPr>
        <w:t>Barry,</w:t>
      </w:r>
      <w:r>
        <w:rPr>
          <w:i/>
          <w:spacing w:val="-11"/>
          <w:sz w:val="21"/>
        </w:rPr>
        <w:t> </w:t>
      </w:r>
      <w:r>
        <w:rPr>
          <w:i/>
          <w:sz w:val="21"/>
        </w:rPr>
        <w:t>secondary</w:t>
      </w:r>
      <w:r>
        <w:rPr>
          <w:i/>
          <w:spacing w:val="-12"/>
          <w:sz w:val="21"/>
        </w:rPr>
        <w:t> </w:t>
      </w:r>
      <w:r>
        <w:rPr>
          <w:i/>
          <w:sz w:val="21"/>
        </w:rPr>
        <w:t>researcher</w:t>
      </w:r>
      <w:r>
        <w:rPr>
          <w:i/>
          <w:spacing w:val="-11"/>
          <w:sz w:val="21"/>
        </w:rPr>
        <w:t> </w:t>
      </w:r>
      <w:r>
        <w:rPr>
          <w:i/>
          <w:sz w:val="21"/>
        </w:rPr>
        <w:t>&amp;</w:t>
      </w:r>
      <w:r>
        <w:rPr>
          <w:i/>
          <w:spacing w:val="-12"/>
          <w:sz w:val="21"/>
        </w:rPr>
        <w:t> </w:t>
      </w:r>
      <w:r>
        <w:rPr>
          <w:i/>
          <w:sz w:val="21"/>
        </w:rPr>
        <w:t>editor</w:t>
      </w:r>
      <w:r>
        <w:rPr>
          <w:i/>
          <w:sz w:val="21"/>
        </w:rPr>
        <w:t> </w:t>
      </w:r>
      <w:r>
        <w:rPr>
          <w:i/>
          <w:spacing w:val="-2"/>
          <w:sz w:val="21"/>
        </w:rPr>
        <w:t>(2024)</w:t>
      </w:r>
    </w:p>
    <w:p>
      <w:pPr>
        <w:pStyle w:val="BodyText"/>
        <w:rPr>
          <w:i/>
          <w:sz w:val="21"/>
        </w:rPr>
      </w:pPr>
    </w:p>
    <w:p>
      <w:pPr>
        <w:pStyle w:val="BodyText"/>
        <w:spacing w:before="2"/>
        <w:rPr>
          <w:i/>
          <w:sz w:val="21"/>
        </w:rPr>
      </w:pPr>
    </w:p>
    <w:p>
      <w:pPr>
        <w:spacing w:line="247" w:lineRule="auto" w:before="0"/>
        <w:ind w:left="323" w:right="3068" w:firstLine="0"/>
        <w:jc w:val="left"/>
        <w:rPr>
          <w:sz w:val="18"/>
        </w:rPr>
      </w:pPr>
      <w:r>
        <w:rPr>
          <w:sz w:val="18"/>
          <w:vertAlign w:val="superscript"/>
        </w:rPr>
        <w:t>1</w:t>
      </w:r>
      <w:r>
        <w:rPr>
          <w:spacing w:val="-12"/>
          <w:sz w:val="18"/>
          <w:vertAlign w:val="baseline"/>
        </w:rPr>
        <w:t> </w:t>
      </w:r>
      <w:r>
        <w:rPr>
          <w:sz w:val="18"/>
          <w:vertAlign w:val="baseline"/>
        </w:rPr>
        <w:t>OEJECR</w:t>
      </w:r>
      <w:r>
        <w:rPr>
          <w:spacing w:val="-4"/>
          <w:sz w:val="18"/>
          <w:vertAlign w:val="baseline"/>
        </w:rPr>
        <w:t> </w:t>
      </w:r>
      <w:r>
        <w:rPr>
          <w:sz w:val="18"/>
          <w:vertAlign w:val="baseline"/>
        </w:rPr>
        <w:t>US</w:t>
      </w:r>
      <w:r>
        <w:rPr>
          <w:spacing w:val="-3"/>
          <w:sz w:val="18"/>
          <w:vertAlign w:val="baseline"/>
        </w:rPr>
        <w:t> </w:t>
      </w:r>
      <w:r>
        <w:rPr>
          <w:sz w:val="18"/>
          <w:vertAlign w:val="baseline"/>
        </w:rPr>
        <w:t>EPA,</w:t>
      </w:r>
      <w:r>
        <w:rPr>
          <w:spacing w:val="-4"/>
          <w:sz w:val="18"/>
          <w:vertAlign w:val="baseline"/>
        </w:rPr>
        <w:t> </w:t>
      </w:r>
      <w:r>
        <w:rPr>
          <w:sz w:val="18"/>
          <w:vertAlign w:val="baseline"/>
        </w:rPr>
        <w:t>“Environmental</w:t>
      </w:r>
      <w:r>
        <w:rPr>
          <w:spacing w:val="-4"/>
          <w:sz w:val="18"/>
          <w:vertAlign w:val="baseline"/>
        </w:rPr>
        <w:t> </w:t>
      </w:r>
      <w:r>
        <w:rPr>
          <w:sz w:val="18"/>
          <w:vertAlign w:val="baseline"/>
        </w:rPr>
        <w:t>Justice</w:t>
      </w:r>
      <w:r>
        <w:rPr>
          <w:spacing w:val="-3"/>
          <w:sz w:val="18"/>
          <w:vertAlign w:val="baseline"/>
        </w:rPr>
        <w:t> </w:t>
      </w:r>
      <w:r>
        <w:rPr>
          <w:sz w:val="18"/>
          <w:vertAlign w:val="baseline"/>
        </w:rPr>
        <w:t>Timeline,”</w:t>
      </w:r>
      <w:r>
        <w:rPr>
          <w:spacing w:val="-3"/>
          <w:sz w:val="18"/>
          <w:vertAlign w:val="baseline"/>
        </w:rPr>
        <w:t> </w:t>
      </w:r>
      <w:r>
        <w:rPr>
          <w:sz w:val="18"/>
          <w:vertAlign w:val="baseline"/>
        </w:rPr>
        <w:t>Collections</w:t>
      </w:r>
      <w:r>
        <w:rPr>
          <w:spacing w:val="-3"/>
          <w:sz w:val="18"/>
          <w:vertAlign w:val="baseline"/>
        </w:rPr>
        <w:t> </w:t>
      </w:r>
      <w:r>
        <w:rPr>
          <w:sz w:val="18"/>
          <w:vertAlign w:val="baseline"/>
        </w:rPr>
        <w:t>and</w:t>
      </w:r>
      <w:r>
        <w:rPr>
          <w:spacing w:val="-3"/>
          <w:sz w:val="18"/>
          <w:vertAlign w:val="baseline"/>
        </w:rPr>
        <w:t> </w:t>
      </w:r>
      <w:r>
        <w:rPr>
          <w:sz w:val="18"/>
          <w:vertAlign w:val="baseline"/>
        </w:rPr>
        <w:t>Lists,</w:t>
      </w:r>
      <w:r>
        <w:rPr>
          <w:spacing w:val="-4"/>
          <w:sz w:val="18"/>
          <w:vertAlign w:val="baseline"/>
        </w:rPr>
        <w:t> </w:t>
      </w:r>
      <w:r>
        <w:rPr>
          <w:sz w:val="18"/>
          <w:vertAlign w:val="baseline"/>
        </w:rPr>
        <w:t>April</w:t>
      </w:r>
      <w:r>
        <w:rPr>
          <w:spacing w:val="-4"/>
          <w:sz w:val="18"/>
          <w:vertAlign w:val="baseline"/>
        </w:rPr>
        <w:t> </w:t>
      </w:r>
      <w:r>
        <w:rPr>
          <w:sz w:val="18"/>
          <w:vertAlign w:val="baseline"/>
        </w:rPr>
        <w:t>15,</w:t>
      </w:r>
      <w:r>
        <w:rPr>
          <w:spacing w:val="-4"/>
          <w:sz w:val="18"/>
          <w:vertAlign w:val="baseline"/>
        </w:rPr>
        <w:t> </w:t>
      </w:r>
      <w:r>
        <w:rPr>
          <w:sz w:val="18"/>
          <w:vertAlign w:val="baseline"/>
        </w:rPr>
        <w:t>2015, </w:t>
      </w:r>
      <w:r>
        <w:rPr>
          <w:spacing w:val="-2"/>
          <w:sz w:val="18"/>
          <w:vertAlign w:val="baseline"/>
        </w:rPr>
        <w:t>https://</w:t>
      </w:r>
      <w:hyperlink r:id="rId620">
        <w:r>
          <w:rPr>
            <w:spacing w:val="-2"/>
            <w:sz w:val="18"/>
            <w:vertAlign w:val="baseline"/>
          </w:rPr>
          <w:t>www.epa.gov/environmentaljustice/environmental-justice-timeline.</w:t>
        </w:r>
      </w:hyperlink>
    </w:p>
    <w:p>
      <w:pPr>
        <w:spacing w:before="12"/>
        <w:ind w:left="323" w:right="0" w:firstLine="0"/>
        <w:jc w:val="left"/>
        <w:rPr>
          <w:sz w:val="18"/>
        </w:rPr>
      </w:pPr>
      <w:r>
        <w:rPr>
          <w:sz w:val="18"/>
          <w:vertAlign w:val="superscript"/>
        </w:rPr>
        <w:t>2</w:t>
      </w:r>
      <w:r>
        <w:rPr>
          <w:spacing w:val="-12"/>
          <w:sz w:val="18"/>
          <w:vertAlign w:val="baseline"/>
        </w:rPr>
        <w:t> </w:t>
      </w:r>
      <w:r>
        <w:rPr>
          <w:sz w:val="18"/>
          <w:vertAlign w:val="baseline"/>
        </w:rPr>
        <w:t>“LANDBACK</w:t>
      </w:r>
      <w:r>
        <w:rPr>
          <w:spacing w:val="-3"/>
          <w:sz w:val="18"/>
          <w:vertAlign w:val="baseline"/>
        </w:rPr>
        <w:t> </w:t>
      </w:r>
      <w:r>
        <w:rPr>
          <w:sz w:val="18"/>
          <w:vertAlign w:val="baseline"/>
        </w:rPr>
        <w:t>Manifesto,”</w:t>
      </w:r>
      <w:r>
        <w:rPr>
          <w:spacing w:val="-2"/>
          <w:sz w:val="18"/>
          <w:vertAlign w:val="baseline"/>
        </w:rPr>
        <w:t> </w:t>
      </w:r>
      <w:r>
        <w:rPr>
          <w:sz w:val="18"/>
          <w:vertAlign w:val="baseline"/>
        </w:rPr>
        <w:t>LANDBACK,</w:t>
      </w:r>
      <w:r>
        <w:rPr>
          <w:spacing w:val="-2"/>
          <w:sz w:val="18"/>
          <w:vertAlign w:val="baseline"/>
        </w:rPr>
        <w:t> </w:t>
      </w:r>
      <w:r>
        <w:rPr>
          <w:sz w:val="18"/>
          <w:vertAlign w:val="baseline"/>
        </w:rPr>
        <w:t>accessed</w:t>
      </w:r>
      <w:r>
        <w:rPr>
          <w:spacing w:val="-3"/>
          <w:sz w:val="18"/>
          <w:vertAlign w:val="baseline"/>
        </w:rPr>
        <w:t> </w:t>
      </w:r>
      <w:r>
        <w:rPr>
          <w:sz w:val="18"/>
          <w:vertAlign w:val="baseline"/>
        </w:rPr>
        <w:t>April</w:t>
      </w:r>
      <w:r>
        <w:rPr>
          <w:spacing w:val="-2"/>
          <w:sz w:val="18"/>
          <w:vertAlign w:val="baseline"/>
        </w:rPr>
        <w:t> </w:t>
      </w:r>
      <w:r>
        <w:rPr>
          <w:sz w:val="18"/>
          <w:vertAlign w:val="baseline"/>
        </w:rPr>
        <w:t>2,</w:t>
      </w:r>
      <w:r>
        <w:rPr>
          <w:spacing w:val="-3"/>
          <w:sz w:val="18"/>
          <w:vertAlign w:val="baseline"/>
        </w:rPr>
        <w:t> </w:t>
      </w:r>
      <w:r>
        <w:rPr>
          <w:sz w:val="18"/>
          <w:vertAlign w:val="baseline"/>
        </w:rPr>
        <w:t>2023,</w:t>
      </w:r>
      <w:r>
        <w:rPr>
          <w:spacing w:val="-2"/>
          <w:sz w:val="18"/>
          <w:vertAlign w:val="baseline"/>
        </w:rPr>
        <w:t> https://landback.org/manifesto/.</w:t>
      </w:r>
    </w:p>
    <w:p>
      <w:pPr>
        <w:spacing w:before="23"/>
        <w:ind w:left="323" w:right="0" w:firstLine="0"/>
        <w:jc w:val="left"/>
        <w:rPr>
          <w:sz w:val="18"/>
        </w:rPr>
      </w:pPr>
      <w:r>
        <w:rPr>
          <w:sz w:val="18"/>
          <w:vertAlign w:val="superscript"/>
        </w:rPr>
        <w:t>3</w:t>
      </w:r>
      <w:r>
        <w:rPr>
          <w:spacing w:val="-12"/>
          <w:sz w:val="18"/>
          <w:vertAlign w:val="baseline"/>
        </w:rPr>
        <w:t> </w:t>
      </w:r>
      <w:r>
        <w:rPr>
          <w:sz w:val="18"/>
          <w:vertAlign w:val="baseline"/>
        </w:rPr>
        <w:t>“About</w:t>
      </w:r>
      <w:r>
        <w:rPr>
          <w:spacing w:val="-5"/>
          <w:sz w:val="18"/>
          <w:vertAlign w:val="baseline"/>
        </w:rPr>
        <w:t> </w:t>
      </w:r>
      <w:r>
        <w:rPr>
          <w:sz w:val="18"/>
          <w:vertAlign w:val="baseline"/>
        </w:rPr>
        <w:t>|</w:t>
      </w:r>
      <w:r>
        <w:rPr>
          <w:spacing w:val="-3"/>
          <w:sz w:val="18"/>
          <w:vertAlign w:val="baseline"/>
        </w:rPr>
        <w:t> </w:t>
      </w:r>
      <w:r>
        <w:rPr>
          <w:sz w:val="18"/>
          <w:vertAlign w:val="baseline"/>
        </w:rPr>
        <w:t>Indigenous</w:t>
      </w:r>
      <w:r>
        <w:rPr>
          <w:spacing w:val="-2"/>
          <w:sz w:val="18"/>
          <w:vertAlign w:val="baseline"/>
        </w:rPr>
        <w:t> </w:t>
      </w:r>
      <w:r>
        <w:rPr>
          <w:sz w:val="18"/>
          <w:vertAlign w:val="baseline"/>
        </w:rPr>
        <w:t>Environmental</w:t>
      </w:r>
      <w:r>
        <w:rPr>
          <w:spacing w:val="-3"/>
          <w:sz w:val="18"/>
          <w:vertAlign w:val="baseline"/>
        </w:rPr>
        <w:t> </w:t>
      </w:r>
      <w:r>
        <w:rPr>
          <w:sz w:val="18"/>
          <w:vertAlign w:val="baseline"/>
        </w:rPr>
        <w:t>Network,”</w:t>
      </w:r>
      <w:r>
        <w:rPr>
          <w:spacing w:val="-3"/>
          <w:sz w:val="18"/>
          <w:vertAlign w:val="baseline"/>
        </w:rPr>
        <w:t> </w:t>
      </w:r>
      <w:r>
        <w:rPr>
          <w:sz w:val="18"/>
          <w:vertAlign w:val="baseline"/>
        </w:rPr>
        <w:t>December</w:t>
      </w:r>
      <w:r>
        <w:rPr>
          <w:spacing w:val="-3"/>
          <w:sz w:val="18"/>
          <w:vertAlign w:val="baseline"/>
        </w:rPr>
        <w:t> </w:t>
      </w:r>
      <w:r>
        <w:rPr>
          <w:sz w:val="18"/>
          <w:vertAlign w:val="baseline"/>
        </w:rPr>
        <w:t>30,</w:t>
      </w:r>
      <w:r>
        <w:rPr>
          <w:spacing w:val="-3"/>
          <w:sz w:val="18"/>
          <w:vertAlign w:val="baseline"/>
        </w:rPr>
        <w:t> </w:t>
      </w:r>
      <w:r>
        <w:rPr>
          <w:sz w:val="18"/>
          <w:vertAlign w:val="baseline"/>
        </w:rPr>
        <w:t>2012,</w:t>
      </w:r>
      <w:r>
        <w:rPr>
          <w:spacing w:val="-3"/>
          <w:sz w:val="18"/>
          <w:vertAlign w:val="baseline"/>
        </w:rPr>
        <w:t> </w:t>
      </w:r>
      <w:r>
        <w:rPr>
          <w:spacing w:val="-2"/>
          <w:sz w:val="18"/>
          <w:vertAlign w:val="baseline"/>
        </w:rPr>
        <w:t>https://</w:t>
      </w:r>
      <w:hyperlink r:id="rId621">
        <w:r>
          <w:rPr>
            <w:spacing w:val="-2"/>
            <w:sz w:val="18"/>
            <w:vertAlign w:val="baseline"/>
          </w:rPr>
          <w:t>www.ienearth.org/about/.</w:t>
        </w:r>
      </w:hyperlink>
    </w:p>
    <w:p>
      <w:pPr>
        <w:spacing w:line="242" w:lineRule="auto" w:before="26"/>
        <w:ind w:left="323" w:right="393" w:firstLine="0"/>
        <w:jc w:val="left"/>
        <w:rPr>
          <w:sz w:val="18"/>
        </w:rPr>
      </w:pPr>
      <w:r>
        <w:rPr>
          <w:sz w:val="18"/>
          <w:vertAlign w:val="superscript"/>
        </w:rPr>
        <w:t>4</w:t>
      </w:r>
      <w:r>
        <w:rPr>
          <w:spacing w:val="-10"/>
          <w:sz w:val="18"/>
          <w:vertAlign w:val="baseline"/>
        </w:rPr>
        <w:t> </w:t>
      </w:r>
      <w:r>
        <w:rPr>
          <w:sz w:val="18"/>
          <w:vertAlign w:val="baseline"/>
        </w:rPr>
        <w:t>Eve Zuckoff, “On Martha’s Vineyard, Tribal Elders Work to Restore Land to Its Pre-Colonial State,” </w:t>
      </w:r>
      <w:r>
        <w:rPr>
          <w:i/>
          <w:sz w:val="18"/>
          <w:vertAlign w:val="baseline"/>
        </w:rPr>
        <w:t>NPR</w:t>
      </w:r>
      <w:r>
        <w:rPr>
          <w:sz w:val="18"/>
          <w:vertAlign w:val="baseline"/>
        </w:rPr>
        <w:t>, June 29, 2022, sec. National,</w:t>
      </w:r>
      <w:r>
        <w:rPr>
          <w:spacing w:val="-11"/>
          <w:sz w:val="18"/>
          <w:vertAlign w:val="baseline"/>
        </w:rPr>
        <w:t> </w:t>
      </w:r>
      <w:r>
        <w:rPr>
          <w:sz w:val="18"/>
          <w:vertAlign w:val="baseline"/>
        </w:rPr>
        <w:t>https://</w:t>
      </w:r>
      <w:hyperlink r:id="rId622">
        <w:r>
          <w:rPr>
            <w:sz w:val="18"/>
            <w:vertAlign w:val="baseline"/>
          </w:rPr>
          <w:t>www.npr.org/2022/06/29/1106404838/on-marthas-vineyard-tribal-elders-work-to-restore-land-to-its-pre-</w:t>
        </w:r>
      </w:hyperlink>
      <w:r>
        <w:rPr>
          <w:sz w:val="18"/>
          <w:vertAlign w:val="baseline"/>
        </w:rPr>
        <w:t> </w:t>
      </w:r>
      <w:r>
        <w:rPr>
          <w:spacing w:val="-2"/>
          <w:sz w:val="18"/>
          <w:vertAlign w:val="baseline"/>
        </w:rPr>
        <w:t>colonial-state.</w:t>
      </w:r>
    </w:p>
    <w:p>
      <w:pPr>
        <w:spacing w:line="247" w:lineRule="auto" w:before="17"/>
        <w:ind w:left="323" w:right="1447" w:firstLine="0"/>
        <w:jc w:val="left"/>
        <w:rPr>
          <w:sz w:val="18"/>
        </w:rPr>
      </w:pPr>
      <w:r>
        <w:rPr>
          <w:sz w:val="18"/>
          <w:vertAlign w:val="superscript"/>
        </w:rPr>
        <w:t>5</w:t>
      </w:r>
      <w:r>
        <w:rPr>
          <w:spacing w:val="-6"/>
          <w:sz w:val="18"/>
          <w:vertAlign w:val="baseline"/>
        </w:rPr>
        <w:t> </w:t>
      </w:r>
      <w:r>
        <w:rPr>
          <w:sz w:val="18"/>
          <w:vertAlign w:val="baseline"/>
        </w:rPr>
        <w:t>Dina Gilio-Whitaker, “Environmental Justice Is Only the Beginning,” </w:t>
      </w:r>
      <w:r>
        <w:rPr>
          <w:i/>
          <w:sz w:val="18"/>
          <w:vertAlign w:val="baseline"/>
        </w:rPr>
        <w:t>High Country News</w:t>
      </w:r>
      <w:r>
        <w:rPr>
          <w:sz w:val="18"/>
          <w:vertAlign w:val="baseline"/>
        </w:rPr>
        <w:t>, July 1, 2022, </w:t>
      </w:r>
      <w:r>
        <w:rPr>
          <w:spacing w:val="-2"/>
          <w:sz w:val="18"/>
          <w:vertAlign w:val="baseline"/>
        </w:rPr>
        <w:t>https://</w:t>
      </w:r>
      <w:hyperlink r:id="rId623">
        <w:r>
          <w:rPr>
            <w:spacing w:val="-2"/>
            <w:sz w:val="18"/>
            <w:vertAlign w:val="baseline"/>
          </w:rPr>
          <w:t>www.hcn.org/issues/54.7/indigenous-affairs-perspective-environmental-justice-is-only-the-beginning.</w:t>
        </w:r>
      </w:hyperlink>
    </w:p>
    <w:p>
      <w:pPr>
        <w:spacing w:line="247" w:lineRule="auto" w:before="11"/>
        <w:ind w:left="323" w:right="199" w:hanging="1"/>
        <w:jc w:val="left"/>
        <w:rPr>
          <w:sz w:val="18"/>
        </w:rPr>
      </w:pPr>
      <w:r>
        <w:rPr>
          <w:sz w:val="18"/>
          <w:vertAlign w:val="superscript"/>
        </w:rPr>
        <w:t>6</w:t>
      </w:r>
      <w:r>
        <w:rPr>
          <w:spacing w:val="-12"/>
          <w:sz w:val="18"/>
          <w:vertAlign w:val="baseline"/>
        </w:rPr>
        <w:t> </w:t>
      </w:r>
      <w:r>
        <w:rPr>
          <w:sz w:val="18"/>
          <w:vertAlign w:val="baseline"/>
        </w:rPr>
        <w:t>“Environmental</w:t>
      </w:r>
      <w:r>
        <w:rPr>
          <w:spacing w:val="-6"/>
          <w:sz w:val="18"/>
          <w:vertAlign w:val="baseline"/>
        </w:rPr>
        <w:t> </w:t>
      </w:r>
      <w:r>
        <w:rPr>
          <w:sz w:val="18"/>
          <w:vertAlign w:val="baseline"/>
        </w:rPr>
        <w:t>Justice</w:t>
      </w:r>
      <w:r>
        <w:rPr>
          <w:spacing w:val="-3"/>
          <w:sz w:val="18"/>
          <w:vertAlign w:val="baseline"/>
        </w:rPr>
        <w:t> </w:t>
      </w:r>
      <w:r>
        <w:rPr>
          <w:sz w:val="18"/>
          <w:vertAlign w:val="baseline"/>
        </w:rPr>
        <w:t>Policy</w:t>
      </w:r>
      <w:r>
        <w:rPr>
          <w:spacing w:val="-3"/>
          <w:sz w:val="18"/>
          <w:vertAlign w:val="baseline"/>
        </w:rPr>
        <w:t> </w:t>
      </w:r>
      <w:r>
        <w:rPr>
          <w:sz w:val="18"/>
          <w:vertAlign w:val="baseline"/>
        </w:rPr>
        <w:t>|</w:t>
      </w:r>
      <w:r>
        <w:rPr>
          <w:spacing w:val="-3"/>
          <w:sz w:val="18"/>
          <w:vertAlign w:val="baseline"/>
        </w:rPr>
        <w:t> </w:t>
      </w:r>
      <w:r>
        <w:rPr>
          <w:sz w:val="18"/>
          <w:vertAlign w:val="baseline"/>
        </w:rPr>
        <w:t>Mass.Gov,”</w:t>
      </w:r>
      <w:r>
        <w:rPr>
          <w:spacing w:val="-3"/>
          <w:sz w:val="18"/>
          <w:vertAlign w:val="baseline"/>
        </w:rPr>
        <w:t> </w:t>
      </w:r>
      <w:r>
        <w:rPr>
          <w:sz w:val="18"/>
          <w:vertAlign w:val="baseline"/>
        </w:rPr>
        <w:t>accessed</w:t>
      </w:r>
      <w:r>
        <w:rPr>
          <w:spacing w:val="-3"/>
          <w:sz w:val="18"/>
          <w:vertAlign w:val="baseline"/>
        </w:rPr>
        <w:t> </w:t>
      </w:r>
      <w:r>
        <w:rPr>
          <w:sz w:val="18"/>
          <w:vertAlign w:val="baseline"/>
        </w:rPr>
        <w:t>February</w:t>
      </w:r>
      <w:r>
        <w:rPr>
          <w:spacing w:val="-3"/>
          <w:sz w:val="18"/>
          <w:vertAlign w:val="baseline"/>
        </w:rPr>
        <w:t> </w:t>
      </w:r>
      <w:r>
        <w:rPr>
          <w:sz w:val="18"/>
          <w:vertAlign w:val="baseline"/>
        </w:rPr>
        <w:t>5,</w:t>
      </w:r>
      <w:r>
        <w:rPr>
          <w:spacing w:val="-4"/>
          <w:sz w:val="18"/>
          <w:vertAlign w:val="baseline"/>
        </w:rPr>
        <w:t> </w:t>
      </w:r>
      <w:r>
        <w:rPr>
          <w:sz w:val="18"/>
          <w:vertAlign w:val="baseline"/>
        </w:rPr>
        <w:t>2023,</w:t>
      </w:r>
      <w:r>
        <w:rPr>
          <w:spacing w:val="-4"/>
          <w:sz w:val="18"/>
          <w:vertAlign w:val="baseline"/>
        </w:rPr>
        <w:t> </w:t>
      </w:r>
      <w:r>
        <w:rPr>
          <w:sz w:val="18"/>
          <w:vertAlign w:val="baseline"/>
        </w:rPr>
        <w:t>https://</w:t>
      </w:r>
      <w:hyperlink r:id="rId624">
        <w:r>
          <w:rPr>
            <w:sz w:val="18"/>
            <w:vertAlign w:val="baseline"/>
          </w:rPr>
          <w:t>www.mass.gov/service-details/environmental-</w:t>
        </w:r>
      </w:hyperlink>
      <w:r>
        <w:rPr>
          <w:sz w:val="18"/>
          <w:vertAlign w:val="baseline"/>
        </w:rPr>
        <w:t> </w:t>
      </w:r>
      <w:r>
        <w:rPr>
          <w:spacing w:val="-2"/>
          <w:sz w:val="18"/>
          <w:vertAlign w:val="baseline"/>
        </w:rPr>
        <w:t>justice-policy.</w:t>
      </w:r>
    </w:p>
    <w:p>
      <w:pPr>
        <w:spacing w:line="247" w:lineRule="auto" w:before="11"/>
        <w:ind w:left="323" w:right="1262" w:hanging="1"/>
        <w:jc w:val="left"/>
        <w:rPr>
          <w:sz w:val="18"/>
        </w:rPr>
      </w:pPr>
      <w:r>
        <w:rPr>
          <w:sz w:val="18"/>
          <w:vertAlign w:val="superscript"/>
        </w:rPr>
        <w:t>7</w:t>
      </w:r>
      <w:r>
        <w:rPr>
          <w:spacing w:val="-12"/>
          <w:sz w:val="18"/>
          <w:vertAlign w:val="baseline"/>
        </w:rPr>
        <w:t> </w:t>
      </w:r>
      <w:r>
        <w:rPr>
          <w:sz w:val="18"/>
          <w:vertAlign w:val="baseline"/>
        </w:rPr>
        <w:t>“Objectives</w:t>
      </w:r>
      <w:r>
        <w:rPr>
          <w:spacing w:val="-5"/>
          <w:sz w:val="18"/>
          <w:vertAlign w:val="baseline"/>
        </w:rPr>
        <w:t> </w:t>
      </w:r>
      <w:r>
        <w:rPr>
          <w:sz w:val="18"/>
          <w:vertAlign w:val="baseline"/>
        </w:rPr>
        <w:t>of</w:t>
      </w:r>
      <w:r>
        <w:rPr>
          <w:spacing w:val="-3"/>
          <w:sz w:val="18"/>
          <w:vertAlign w:val="baseline"/>
        </w:rPr>
        <w:t> </w:t>
      </w:r>
      <w:r>
        <w:rPr>
          <w:sz w:val="18"/>
          <w:vertAlign w:val="baseline"/>
        </w:rPr>
        <w:t>Environmental</w:t>
      </w:r>
      <w:r>
        <w:rPr>
          <w:spacing w:val="-4"/>
          <w:sz w:val="18"/>
          <w:vertAlign w:val="baseline"/>
        </w:rPr>
        <w:t> </w:t>
      </w:r>
      <w:r>
        <w:rPr>
          <w:sz w:val="18"/>
          <w:vertAlign w:val="baseline"/>
        </w:rPr>
        <w:t>Justice</w:t>
      </w:r>
      <w:r>
        <w:rPr>
          <w:spacing w:val="-3"/>
          <w:sz w:val="18"/>
          <w:vertAlign w:val="baseline"/>
        </w:rPr>
        <w:t> </w:t>
      </w:r>
      <w:r>
        <w:rPr>
          <w:sz w:val="18"/>
          <w:vertAlign w:val="baseline"/>
        </w:rPr>
        <w:t>|</w:t>
      </w:r>
      <w:r>
        <w:rPr>
          <w:spacing w:val="-3"/>
          <w:sz w:val="18"/>
          <w:vertAlign w:val="baseline"/>
        </w:rPr>
        <w:t> </w:t>
      </w:r>
      <w:r>
        <w:rPr>
          <w:sz w:val="18"/>
          <w:vertAlign w:val="baseline"/>
        </w:rPr>
        <w:t>Mass.Gov,”</w:t>
      </w:r>
      <w:r>
        <w:rPr>
          <w:spacing w:val="-3"/>
          <w:sz w:val="18"/>
          <w:vertAlign w:val="baseline"/>
        </w:rPr>
        <w:t> </w:t>
      </w:r>
      <w:r>
        <w:rPr>
          <w:sz w:val="18"/>
          <w:vertAlign w:val="baseline"/>
        </w:rPr>
        <w:t>accessed</w:t>
      </w:r>
      <w:r>
        <w:rPr>
          <w:spacing w:val="-3"/>
          <w:sz w:val="18"/>
          <w:vertAlign w:val="baseline"/>
        </w:rPr>
        <w:t> </w:t>
      </w:r>
      <w:r>
        <w:rPr>
          <w:sz w:val="18"/>
          <w:vertAlign w:val="baseline"/>
        </w:rPr>
        <w:t>February</w:t>
      </w:r>
      <w:r>
        <w:rPr>
          <w:spacing w:val="-3"/>
          <w:sz w:val="18"/>
          <w:vertAlign w:val="baseline"/>
        </w:rPr>
        <w:t> </w:t>
      </w:r>
      <w:r>
        <w:rPr>
          <w:sz w:val="18"/>
          <w:vertAlign w:val="baseline"/>
        </w:rPr>
        <w:t>17,</w:t>
      </w:r>
      <w:r>
        <w:rPr>
          <w:spacing w:val="-4"/>
          <w:sz w:val="18"/>
          <w:vertAlign w:val="baseline"/>
        </w:rPr>
        <w:t> </w:t>
      </w:r>
      <w:r>
        <w:rPr>
          <w:sz w:val="18"/>
          <w:vertAlign w:val="baseline"/>
        </w:rPr>
        <w:t>2023,</w:t>
      </w:r>
      <w:r>
        <w:rPr>
          <w:spacing w:val="-3"/>
          <w:sz w:val="18"/>
          <w:vertAlign w:val="baseline"/>
        </w:rPr>
        <w:t> </w:t>
      </w:r>
      <w:r>
        <w:rPr>
          <w:sz w:val="18"/>
          <w:vertAlign w:val="baseline"/>
        </w:rPr>
        <w:t>https://</w:t>
      </w:r>
      <w:hyperlink r:id="rId625">
        <w:r>
          <w:rPr>
            <w:sz w:val="18"/>
            <w:vertAlign w:val="baseline"/>
          </w:rPr>
          <w:t>www.mass.gov/service-</w:t>
        </w:r>
      </w:hyperlink>
      <w:r>
        <w:rPr>
          <w:sz w:val="18"/>
          <w:vertAlign w:val="baseline"/>
        </w:rPr>
        <w:t> </w:t>
      </w:r>
      <w:r>
        <w:rPr>
          <w:spacing w:val="-2"/>
          <w:sz w:val="18"/>
          <w:vertAlign w:val="baseline"/>
        </w:rPr>
        <w:t>details/objectives-of-environmental-justice.</w:t>
      </w:r>
    </w:p>
    <w:p>
      <w:pPr>
        <w:spacing w:line="247" w:lineRule="auto" w:before="12"/>
        <w:ind w:left="323" w:right="278" w:hanging="1"/>
        <w:jc w:val="left"/>
        <w:rPr>
          <w:sz w:val="18"/>
        </w:rPr>
      </w:pPr>
      <w:r>
        <w:rPr>
          <w:sz w:val="18"/>
          <w:vertAlign w:val="superscript"/>
        </w:rPr>
        <w:t>8</w:t>
      </w:r>
      <w:r>
        <w:rPr>
          <w:spacing w:val="-12"/>
          <w:sz w:val="18"/>
          <w:vertAlign w:val="baseline"/>
        </w:rPr>
        <w:t> </w:t>
      </w:r>
      <w:r>
        <w:rPr>
          <w:sz w:val="18"/>
          <w:vertAlign w:val="baseline"/>
        </w:rPr>
        <w:t>“Environmental</w:t>
      </w:r>
      <w:r>
        <w:rPr>
          <w:spacing w:val="-6"/>
          <w:sz w:val="18"/>
          <w:vertAlign w:val="baseline"/>
        </w:rPr>
        <w:t> </w:t>
      </w:r>
      <w:r>
        <w:rPr>
          <w:sz w:val="18"/>
          <w:vertAlign w:val="baseline"/>
        </w:rPr>
        <w:t>Justice</w:t>
      </w:r>
      <w:r>
        <w:rPr>
          <w:spacing w:val="-3"/>
          <w:sz w:val="18"/>
          <w:vertAlign w:val="baseline"/>
        </w:rPr>
        <w:t> </w:t>
      </w:r>
      <w:r>
        <w:rPr>
          <w:sz w:val="18"/>
          <w:vertAlign w:val="baseline"/>
        </w:rPr>
        <w:t>Populations</w:t>
      </w:r>
      <w:r>
        <w:rPr>
          <w:spacing w:val="-3"/>
          <w:sz w:val="18"/>
          <w:vertAlign w:val="baseline"/>
        </w:rPr>
        <w:t> </w:t>
      </w:r>
      <w:r>
        <w:rPr>
          <w:sz w:val="18"/>
          <w:vertAlign w:val="baseline"/>
        </w:rPr>
        <w:t>in</w:t>
      </w:r>
      <w:r>
        <w:rPr>
          <w:spacing w:val="-3"/>
          <w:sz w:val="18"/>
          <w:vertAlign w:val="baseline"/>
        </w:rPr>
        <w:t> </w:t>
      </w:r>
      <w:r>
        <w:rPr>
          <w:sz w:val="18"/>
          <w:vertAlign w:val="baseline"/>
        </w:rPr>
        <w:t>Massachusetts</w:t>
      </w:r>
      <w:r>
        <w:rPr>
          <w:spacing w:val="-3"/>
          <w:sz w:val="18"/>
          <w:vertAlign w:val="baseline"/>
        </w:rPr>
        <w:t> </w:t>
      </w:r>
      <w:r>
        <w:rPr>
          <w:sz w:val="18"/>
          <w:vertAlign w:val="baseline"/>
        </w:rPr>
        <w:t>|</w:t>
      </w:r>
      <w:r>
        <w:rPr>
          <w:spacing w:val="-3"/>
          <w:sz w:val="18"/>
          <w:vertAlign w:val="baseline"/>
        </w:rPr>
        <w:t> </w:t>
      </w:r>
      <w:r>
        <w:rPr>
          <w:sz w:val="18"/>
          <w:vertAlign w:val="baseline"/>
        </w:rPr>
        <w:t>Mass.Gov,”</w:t>
      </w:r>
      <w:r>
        <w:rPr>
          <w:spacing w:val="-3"/>
          <w:sz w:val="18"/>
          <w:vertAlign w:val="baseline"/>
        </w:rPr>
        <w:t> </w:t>
      </w:r>
      <w:r>
        <w:rPr>
          <w:sz w:val="18"/>
          <w:vertAlign w:val="baseline"/>
        </w:rPr>
        <w:t>accessed</w:t>
      </w:r>
      <w:r>
        <w:rPr>
          <w:spacing w:val="-3"/>
          <w:sz w:val="18"/>
          <w:vertAlign w:val="baseline"/>
        </w:rPr>
        <w:t> </w:t>
      </w:r>
      <w:r>
        <w:rPr>
          <w:sz w:val="18"/>
          <w:vertAlign w:val="baseline"/>
        </w:rPr>
        <w:t>February</w:t>
      </w:r>
      <w:r>
        <w:rPr>
          <w:spacing w:val="-3"/>
          <w:sz w:val="18"/>
          <w:vertAlign w:val="baseline"/>
        </w:rPr>
        <w:t> </w:t>
      </w:r>
      <w:r>
        <w:rPr>
          <w:sz w:val="18"/>
          <w:vertAlign w:val="baseline"/>
        </w:rPr>
        <w:t>17,</w:t>
      </w:r>
      <w:r>
        <w:rPr>
          <w:spacing w:val="-4"/>
          <w:sz w:val="18"/>
          <w:vertAlign w:val="baseline"/>
        </w:rPr>
        <w:t> </w:t>
      </w:r>
      <w:r>
        <w:rPr>
          <w:sz w:val="18"/>
          <w:vertAlign w:val="baseline"/>
        </w:rPr>
        <w:t>2023,</w:t>
      </w:r>
      <w:r>
        <w:rPr>
          <w:spacing w:val="-3"/>
          <w:sz w:val="18"/>
          <w:vertAlign w:val="baseline"/>
        </w:rPr>
        <w:t> </w:t>
      </w:r>
      <w:r>
        <w:rPr>
          <w:sz w:val="18"/>
          <w:vertAlign w:val="baseline"/>
        </w:rPr>
        <w:t>https://</w:t>
      </w:r>
      <w:hyperlink r:id="rId163">
        <w:r>
          <w:rPr>
            <w:sz w:val="18"/>
            <w:vertAlign w:val="baseline"/>
          </w:rPr>
          <w:t>www.mass.gov/info-</w:t>
        </w:r>
      </w:hyperlink>
      <w:r>
        <w:rPr>
          <w:sz w:val="18"/>
          <w:vertAlign w:val="baseline"/>
        </w:rPr>
        <w:t> </w:t>
      </w:r>
      <w:r>
        <w:rPr>
          <w:spacing w:val="-2"/>
          <w:sz w:val="18"/>
          <w:vertAlign w:val="baseline"/>
        </w:rPr>
        <w:t>details/environmental-justice-populations-in-massachusetts.</w:t>
      </w:r>
    </w:p>
    <w:p>
      <w:pPr>
        <w:spacing w:before="11"/>
        <w:ind w:left="323" w:right="0" w:firstLine="0"/>
        <w:jc w:val="left"/>
        <w:rPr>
          <w:sz w:val="18"/>
        </w:rPr>
      </w:pPr>
      <w:r>
        <w:rPr>
          <w:sz w:val="18"/>
          <w:vertAlign w:val="superscript"/>
        </w:rPr>
        <w:t>9</w:t>
      </w:r>
      <w:r>
        <w:rPr>
          <w:spacing w:val="-12"/>
          <w:sz w:val="18"/>
          <w:vertAlign w:val="baseline"/>
        </w:rPr>
        <w:t> </w:t>
      </w:r>
      <w:r>
        <w:rPr>
          <w:sz w:val="18"/>
          <w:vertAlign w:val="baseline"/>
        </w:rPr>
        <w:t>“Objectives</w:t>
      </w:r>
      <w:r>
        <w:rPr>
          <w:spacing w:val="-3"/>
          <w:sz w:val="18"/>
          <w:vertAlign w:val="baseline"/>
        </w:rPr>
        <w:t> </w:t>
      </w:r>
      <w:r>
        <w:rPr>
          <w:sz w:val="18"/>
          <w:vertAlign w:val="baseline"/>
        </w:rPr>
        <w:t>of</w:t>
      </w:r>
      <w:r>
        <w:rPr>
          <w:spacing w:val="-2"/>
          <w:sz w:val="18"/>
          <w:vertAlign w:val="baseline"/>
        </w:rPr>
        <w:t> </w:t>
      </w:r>
      <w:r>
        <w:rPr>
          <w:sz w:val="18"/>
          <w:vertAlign w:val="baseline"/>
        </w:rPr>
        <w:t>Environmental</w:t>
      </w:r>
      <w:r>
        <w:rPr>
          <w:spacing w:val="-2"/>
          <w:sz w:val="18"/>
          <w:vertAlign w:val="baseline"/>
        </w:rPr>
        <w:t> </w:t>
      </w:r>
      <w:r>
        <w:rPr>
          <w:sz w:val="18"/>
          <w:vertAlign w:val="baseline"/>
        </w:rPr>
        <w:t>Justice</w:t>
      </w:r>
      <w:r>
        <w:rPr>
          <w:spacing w:val="-2"/>
          <w:sz w:val="18"/>
          <w:vertAlign w:val="baseline"/>
        </w:rPr>
        <w:t> </w:t>
      </w:r>
      <w:r>
        <w:rPr>
          <w:sz w:val="18"/>
          <w:vertAlign w:val="baseline"/>
        </w:rPr>
        <w:t>|</w:t>
      </w:r>
      <w:r>
        <w:rPr>
          <w:spacing w:val="-1"/>
          <w:sz w:val="18"/>
          <w:vertAlign w:val="baseline"/>
        </w:rPr>
        <w:t> </w:t>
      </w:r>
      <w:r>
        <w:rPr>
          <w:spacing w:val="-2"/>
          <w:sz w:val="18"/>
          <w:vertAlign w:val="baseline"/>
        </w:rPr>
        <w:t>Mass.Gov.”</w:t>
      </w:r>
    </w:p>
    <w:p>
      <w:pPr>
        <w:spacing w:line="244" w:lineRule="auto" w:before="24"/>
        <w:ind w:left="323" w:right="278" w:hanging="1"/>
        <w:jc w:val="left"/>
        <w:rPr>
          <w:sz w:val="18"/>
        </w:rPr>
      </w:pPr>
      <w:r>
        <w:rPr>
          <w:sz w:val="18"/>
          <w:vertAlign w:val="superscript"/>
        </w:rPr>
        <w:t>10</w:t>
      </w:r>
      <w:r>
        <w:rPr>
          <w:spacing w:val="-12"/>
          <w:sz w:val="18"/>
          <w:vertAlign w:val="baseline"/>
        </w:rPr>
        <w:t> </w:t>
      </w:r>
      <w:r>
        <w:rPr>
          <w:sz w:val="18"/>
          <w:vertAlign w:val="baseline"/>
        </w:rPr>
        <w:t>Timothy</w:t>
      </w:r>
      <w:r>
        <w:rPr>
          <w:spacing w:val="-3"/>
          <w:sz w:val="18"/>
          <w:vertAlign w:val="baseline"/>
        </w:rPr>
        <w:t> </w:t>
      </w:r>
      <w:r>
        <w:rPr>
          <w:sz w:val="18"/>
          <w:vertAlign w:val="baseline"/>
        </w:rPr>
        <w:t>W.</w:t>
      </w:r>
      <w:r>
        <w:rPr>
          <w:spacing w:val="-2"/>
          <w:sz w:val="18"/>
          <w:vertAlign w:val="baseline"/>
        </w:rPr>
        <w:t> </w:t>
      </w:r>
      <w:r>
        <w:rPr>
          <w:sz w:val="18"/>
          <w:vertAlign w:val="baseline"/>
        </w:rPr>
        <w:t>Collins,</w:t>
      </w:r>
      <w:r>
        <w:rPr>
          <w:spacing w:val="-3"/>
          <w:sz w:val="18"/>
          <w:vertAlign w:val="baseline"/>
        </w:rPr>
        <w:t> </w:t>
      </w:r>
      <w:r>
        <w:rPr>
          <w:sz w:val="18"/>
          <w:vertAlign w:val="baseline"/>
        </w:rPr>
        <w:t>Sara</w:t>
      </w:r>
      <w:r>
        <w:rPr>
          <w:spacing w:val="-2"/>
          <w:sz w:val="18"/>
          <w:vertAlign w:val="baseline"/>
        </w:rPr>
        <w:t> </w:t>
      </w:r>
      <w:r>
        <w:rPr>
          <w:sz w:val="18"/>
          <w:vertAlign w:val="baseline"/>
        </w:rPr>
        <w:t>E.</w:t>
      </w:r>
      <w:r>
        <w:rPr>
          <w:spacing w:val="-2"/>
          <w:sz w:val="18"/>
          <w:vertAlign w:val="baseline"/>
        </w:rPr>
        <w:t> </w:t>
      </w:r>
      <w:r>
        <w:rPr>
          <w:sz w:val="18"/>
          <w:vertAlign w:val="baseline"/>
        </w:rPr>
        <w:t>Grineski,</w:t>
      </w:r>
      <w:r>
        <w:rPr>
          <w:spacing w:val="-3"/>
          <w:sz w:val="18"/>
          <w:vertAlign w:val="baseline"/>
        </w:rPr>
        <w:t> </w:t>
      </w:r>
      <w:r>
        <w:rPr>
          <w:sz w:val="18"/>
          <w:vertAlign w:val="baseline"/>
        </w:rPr>
        <w:t>and</w:t>
      </w:r>
      <w:r>
        <w:rPr>
          <w:spacing w:val="-2"/>
          <w:sz w:val="18"/>
          <w:vertAlign w:val="baseline"/>
        </w:rPr>
        <w:t> </w:t>
      </w:r>
      <w:r>
        <w:rPr>
          <w:sz w:val="18"/>
          <w:vertAlign w:val="baseline"/>
        </w:rPr>
        <w:t>Danielle</w:t>
      </w:r>
      <w:r>
        <w:rPr>
          <w:spacing w:val="-2"/>
          <w:sz w:val="18"/>
          <w:vertAlign w:val="baseline"/>
        </w:rPr>
        <w:t> </w:t>
      </w:r>
      <w:r>
        <w:rPr>
          <w:sz w:val="18"/>
          <w:vertAlign w:val="baseline"/>
        </w:rPr>
        <w:t>X.</w:t>
      </w:r>
      <w:r>
        <w:rPr>
          <w:spacing w:val="-2"/>
          <w:sz w:val="18"/>
          <w:vertAlign w:val="baseline"/>
        </w:rPr>
        <w:t> </w:t>
      </w:r>
      <w:r>
        <w:rPr>
          <w:sz w:val="18"/>
          <w:vertAlign w:val="baseline"/>
        </w:rPr>
        <w:t>Morales,</w:t>
      </w:r>
      <w:r>
        <w:rPr>
          <w:spacing w:val="-3"/>
          <w:sz w:val="18"/>
          <w:vertAlign w:val="baseline"/>
        </w:rPr>
        <w:t> </w:t>
      </w:r>
      <w:r>
        <w:rPr>
          <w:sz w:val="18"/>
          <w:vertAlign w:val="baseline"/>
        </w:rPr>
        <w:t>“We</w:t>
      </w:r>
      <w:r>
        <w:rPr>
          <w:spacing w:val="-2"/>
          <w:sz w:val="18"/>
          <w:vertAlign w:val="baseline"/>
        </w:rPr>
        <w:t> </w:t>
      </w:r>
      <w:r>
        <w:rPr>
          <w:sz w:val="18"/>
          <w:vertAlign w:val="baseline"/>
        </w:rPr>
        <w:t>Need</w:t>
      </w:r>
      <w:r>
        <w:rPr>
          <w:spacing w:val="-2"/>
          <w:sz w:val="18"/>
          <w:vertAlign w:val="baseline"/>
        </w:rPr>
        <w:t> </w:t>
      </w:r>
      <w:r>
        <w:rPr>
          <w:sz w:val="18"/>
          <w:vertAlign w:val="baseline"/>
        </w:rPr>
        <w:t>Environmental</w:t>
      </w:r>
      <w:r>
        <w:rPr>
          <w:spacing w:val="-3"/>
          <w:sz w:val="18"/>
          <w:vertAlign w:val="baseline"/>
        </w:rPr>
        <w:t> </w:t>
      </w:r>
      <w:r>
        <w:rPr>
          <w:sz w:val="18"/>
          <w:vertAlign w:val="baseline"/>
        </w:rPr>
        <w:t>Health</w:t>
      </w:r>
      <w:r>
        <w:rPr>
          <w:spacing w:val="-2"/>
          <w:sz w:val="18"/>
          <w:vertAlign w:val="baseline"/>
        </w:rPr>
        <w:t> </w:t>
      </w:r>
      <w:r>
        <w:rPr>
          <w:sz w:val="18"/>
          <w:vertAlign w:val="baseline"/>
        </w:rPr>
        <w:t>Justice</w:t>
      </w:r>
      <w:r>
        <w:rPr>
          <w:spacing w:val="-2"/>
          <w:sz w:val="18"/>
          <w:vertAlign w:val="baseline"/>
        </w:rPr>
        <w:t> </w:t>
      </w:r>
      <w:r>
        <w:rPr>
          <w:sz w:val="18"/>
          <w:vertAlign w:val="baseline"/>
        </w:rPr>
        <w:t>Research</w:t>
      </w:r>
      <w:r>
        <w:rPr>
          <w:spacing w:val="-2"/>
          <w:sz w:val="18"/>
          <w:vertAlign w:val="baseline"/>
        </w:rPr>
        <w:t> </w:t>
      </w:r>
      <w:r>
        <w:rPr>
          <w:sz w:val="18"/>
          <w:vertAlign w:val="baseline"/>
        </w:rPr>
        <w:t>and</w:t>
      </w:r>
      <w:r>
        <w:rPr>
          <w:spacing w:val="-2"/>
          <w:sz w:val="18"/>
          <w:vertAlign w:val="baseline"/>
        </w:rPr>
        <w:t> </w:t>
      </w:r>
      <w:r>
        <w:rPr>
          <w:sz w:val="18"/>
          <w:vertAlign w:val="baseline"/>
        </w:rPr>
        <w:t>Action for LGBTQ+ People,” </w:t>
      </w:r>
      <w:r>
        <w:rPr>
          <w:i/>
          <w:sz w:val="18"/>
          <w:vertAlign w:val="baseline"/>
        </w:rPr>
        <w:t>American Journal of Public Health </w:t>
      </w:r>
      <w:r>
        <w:rPr>
          <w:sz w:val="18"/>
          <w:vertAlign w:val="baseline"/>
        </w:rPr>
        <w:t>112, no. 1 (January 2022): 54–56, </w:t>
      </w:r>
      <w:r>
        <w:rPr>
          <w:spacing w:val="-2"/>
          <w:sz w:val="18"/>
          <w:vertAlign w:val="baseline"/>
        </w:rPr>
        <w:t>https://doi.org/10.2105/AJPH.2021.306477.</w:t>
      </w:r>
    </w:p>
    <w:p>
      <w:pPr>
        <w:spacing w:line="247" w:lineRule="auto" w:before="12"/>
        <w:ind w:left="323" w:right="74" w:hanging="1"/>
        <w:jc w:val="left"/>
        <w:rPr>
          <w:sz w:val="18"/>
        </w:rPr>
      </w:pPr>
      <w:r>
        <w:rPr>
          <w:sz w:val="18"/>
          <w:vertAlign w:val="superscript"/>
        </w:rPr>
        <w:t>11</w:t>
      </w:r>
      <w:r>
        <w:rPr>
          <w:spacing w:val="-12"/>
          <w:sz w:val="18"/>
          <w:vertAlign w:val="baseline"/>
        </w:rPr>
        <w:t> </w:t>
      </w:r>
      <w:r>
        <w:rPr>
          <w:sz w:val="18"/>
          <w:vertAlign w:val="baseline"/>
        </w:rPr>
        <w:t>Kimberlé</w:t>
      </w:r>
      <w:r>
        <w:rPr>
          <w:spacing w:val="-3"/>
          <w:sz w:val="18"/>
          <w:vertAlign w:val="baseline"/>
        </w:rPr>
        <w:t> </w:t>
      </w:r>
      <w:r>
        <w:rPr>
          <w:sz w:val="18"/>
          <w:vertAlign w:val="baseline"/>
        </w:rPr>
        <w:t>Crenshaw,</w:t>
      </w:r>
      <w:r>
        <w:rPr>
          <w:spacing w:val="-3"/>
          <w:sz w:val="18"/>
          <w:vertAlign w:val="baseline"/>
        </w:rPr>
        <w:t> </w:t>
      </w:r>
      <w:r>
        <w:rPr>
          <w:sz w:val="18"/>
          <w:vertAlign w:val="baseline"/>
        </w:rPr>
        <w:t>“Kimberlé</w:t>
      </w:r>
      <w:r>
        <w:rPr>
          <w:spacing w:val="-2"/>
          <w:sz w:val="18"/>
          <w:vertAlign w:val="baseline"/>
        </w:rPr>
        <w:t> </w:t>
      </w:r>
      <w:r>
        <w:rPr>
          <w:sz w:val="18"/>
          <w:vertAlign w:val="baseline"/>
        </w:rPr>
        <w:t>Crenshaw:</w:t>
      </w:r>
      <w:r>
        <w:rPr>
          <w:spacing w:val="-2"/>
          <w:sz w:val="18"/>
          <w:vertAlign w:val="baseline"/>
        </w:rPr>
        <w:t> </w:t>
      </w:r>
      <w:r>
        <w:rPr>
          <w:sz w:val="18"/>
          <w:vertAlign w:val="baseline"/>
        </w:rPr>
        <w:t>The</w:t>
      </w:r>
      <w:r>
        <w:rPr>
          <w:spacing w:val="-3"/>
          <w:sz w:val="18"/>
          <w:vertAlign w:val="baseline"/>
        </w:rPr>
        <w:t> </w:t>
      </w:r>
      <w:r>
        <w:rPr>
          <w:sz w:val="18"/>
          <w:vertAlign w:val="baseline"/>
        </w:rPr>
        <w:t>Urgency</w:t>
      </w:r>
      <w:r>
        <w:rPr>
          <w:spacing w:val="-2"/>
          <w:sz w:val="18"/>
          <w:vertAlign w:val="baseline"/>
        </w:rPr>
        <w:t> </w:t>
      </w:r>
      <w:r>
        <w:rPr>
          <w:sz w:val="18"/>
          <w:vertAlign w:val="baseline"/>
        </w:rPr>
        <w:t>of</w:t>
      </w:r>
      <w:r>
        <w:rPr>
          <w:spacing w:val="-2"/>
          <w:sz w:val="18"/>
          <w:vertAlign w:val="baseline"/>
        </w:rPr>
        <w:t> </w:t>
      </w:r>
      <w:r>
        <w:rPr>
          <w:sz w:val="18"/>
          <w:vertAlign w:val="baseline"/>
        </w:rPr>
        <w:t>Intersectionality</w:t>
      </w:r>
      <w:r>
        <w:rPr>
          <w:spacing w:val="-2"/>
          <w:sz w:val="18"/>
          <w:vertAlign w:val="baseline"/>
        </w:rPr>
        <w:t> </w:t>
      </w:r>
      <w:r>
        <w:rPr>
          <w:sz w:val="18"/>
          <w:vertAlign w:val="baseline"/>
        </w:rPr>
        <w:t>|</w:t>
      </w:r>
      <w:r>
        <w:rPr>
          <w:spacing w:val="-2"/>
          <w:sz w:val="18"/>
          <w:vertAlign w:val="baseline"/>
        </w:rPr>
        <w:t> </w:t>
      </w:r>
      <w:r>
        <w:rPr>
          <w:sz w:val="18"/>
          <w:vertAlign w:val="baseline"/>
        </w:rPr>
        <w:t>TED</w:t>
      </w:r>
      <w:r>
        <w:rPr>
          <w:spacing w:val="-3"/>
          <w:sz w:val="18"/>
          <w:vertAlign w:val="baseline"/>
        </w:rPr>
        <w:t> </w:t>
      </w:r>
      <w:r>
        <w:rPr>
          <w:sz w:val="18"/>
          <w:vertAlign w:val="baseline"/>
        </w:rPr>
        <w:t>Talk,”</w:t>
      </w:r>
      <w:r>
        <w:rPr>
          <w:spacing w:val="-2"/>
          <w:sz w:val="18"/>
          <w:vertAlign w:val="baseline"/>
        </w:rPr>
        <w:t> </w:t>
      </w:r>
      <w:r>
        <w:rPr>
          <w:sz w:val="18"/>
          <w:vertAlign w:val="baseline"/>
        </w:rPr>
        <w:t>accessed</w:t>
      </w:r>
      <w:r>
        <w:rPr>
          <w:spacing w:val="-2"/>
          <w:sz w:val="18"/>
          <w:vertAlign w:val="baseline"/>
        </w:rPr>
        <w:t> </w:t>
      </w:r>
      <w:r>
        <w:rPr>
          <w:sz w:val="18"/>
          <w:vertAlign w:val="baseline"/>
        </w:rPr>
        <w:t>February</w:t>
      </w:r>
      <w:r>
        <w:rPr>
          <w:spacing w:val="-2"/>
          <w:sz w:val="18"/>
          <w:vertAlign w:val="baseline"/>
        </w:rPr>
        <w:t> </w:t>
      </w:r>
      <w:r>
        <w:rPr>
          <w:sz w:val="18"/>
          <w:vertAlign w:val="baseline"/>
        </w:rPr>
        <w:t>17,</w:t>
      </w:r>
      <w:r>
        <w:rPr>
          <w:spacing w:val="-3"/>
          <w:sz w:val="18"/>
          <w:vertAlign w:val="baseline"/>
        </w:rPr>
        <w:t> </w:t>
      </w:r>
      <w:r>
        <w:rPr>
          <w:sz w:val="18"/>
          <w:vertAlign w:val="baseline"/>
        </w:rPr>
        <w:t>2023, </w:t>
      </w:r>
      <w:r>
        <w:rPr>
          <w:spacing w:val="-2"/>
          <w:sz w:val="18"/>
          <w:vertAlign w:val="baseline"/>
        </w:rPr>
        <w:t>https://</w:t>
      </w:r>
      <w:hyperlink r:id="rId626">
        <w:r>
          <w:rPr>
            <w:spacing w:val="-2"/>
            <w:sz w:val="18"/>
            <w:vertAlign w:val="baseline"/>
          </w:rPr>
          <w:t>www.ted.com/talks/kimberle_crenshaw_the_urgency_of_intersectionality.</w:t>
        </w:r>
      </w:hyperlink>
    </w:p>
    <w:p>
      <w:pPr>
        <w:spacing w:line="244" w:lineRule="auto" w:before="10"/>
        <w:ind w:left="323" w:right="653" w:hanging="1"/>
        <w:jc w:val="left"/>
        <w:rPr>
          <w:sz w:val="18"/>
        </w:rPr>
      </w:pPr>
      <w:r>
        <w:rPr>
          <w:sz w:val="18"/>
          <w:vertAlign w:val="superscript"/>
        </w:rPr>
        <w:t>12</w:t>
      </w:r>
      <w:r>
        <w:rPr>
          <w:spacing w:val="-12"/>
          <w:sz w:val="18"/>
          <w:vertAlign w:val="baseline"/>
        </w:rPr>
        <w:t> </w:t>
      </w:r>
      <w:r>
        <w:rPr>
          <w:sz w:val="18"/>
          <w:vertAlign w:val="baseline"/>
        </w:rPr>
        <w:t>ORD</w:t>
      </w:r>
      <w:r>
        <w:rPr>
          <w:spacing w:val="-4"/>
          <w:sz w:val="18"/>
          <w:vertAlign w:val="baseline"/>
        </w:rPr>
        <w:t> </w:t>
      </w:r>
      <w:r>
        <w:rPr>
          <w:sz w:val="18"/>
          <w:vertAlign w:val="baseline"/>
        </w:rPr>
        <w:t>US</w:t>
      </w:r>
      <w:r>
        <w:rPr>
          <w:spacing w:val="-1"/>
          <w:sz w:val="18"/>
          <w:vertAlign w:val="baseline"/>
        </w:rPr>
        <w:t> </w:t>
      </w:r>
      <w:r>
        <w:rPr>
          <w:sz w:val="18"/>
          <w:vertAlign w:val="baseline"/>
        </w:rPr>
        <w:t>EPA,</w:t>
      </w:r>
      <w:r>
        <w:rPr>
          <w:spacing w:val="-3"/>
          <w:sz w:val="18"/>
          <w:vertAlign w:val="baseline"/>
        </w:rPr>
        <w:t> </w:t>
      </w:r>
      <w:r>
        <w:rPr>
          <w:sz w:val="18"/>
          <w:vertAlign w:val="baseline"/>
        </w:rPr>
        <w:t>“EPA</w:t>
      </w:r>
      <w:r>
        <w:rPr>
          <w:spacing w:val="-2"/>
          <w:sz w:val="18"/>
          <w:vertAlign w:val="baseline"/>
        </w:rPr>
        <w:t> </w:t>
      </w:r>
      <w:r>
        <w:rPr>
          <w:sz w:val="18"/>
          <w:vertAlign w:val="baseline"/>
        </w:rPr>
        <w:t>Researchers</w:t>
      </w:r>
      <w:r>
        <w:rPr>
          <w:spacing w:val="-3"/>
          <w:sz w:val="18"/>
          <w:vertAlign w:val="baseline"/>
        </w:rPr>
        <w:t> </w:t>
      </w:r>
      <w:r>
        <w:rPr>
          <w:sz w:val="18"/>
          <w:vertAlign w:val="baseline"/>
        </w:rPr>
        <w:t>Release</w:t>
      </w:r>
      <w:r>
        <w:rPr>
          <w:spacing w:val="-2"/>
          <w:sz w:val="18"/>
          <w:vertAlign w:val="baseline"/>
        </w:rPr>
        <w:t> </w:t>
      </w:r>
      <w:r>
        <w:rPr>
          <w:sz w:val="18"/>
          <w:vertAlign w:val="baseline"/>
        </w:rPr>
        <w:t>Cumulative</w:t>
      </w:r>
      <w:r>
        <w:rPr>
          <w:spacing w:val="-2"/>
          <w:sz w:val="18"/>
          <w:vertAlign w:val="baseline"/>
        </w:rPr>
        <w:t> </w:t>
      </w:r>
      <w:r>
        <w:rPr>
          <w:sz w:val="18"/>
          <w:vertAlign w:val="baseline"/>
        </w:rPr>
        <w:t>Impacts</w:t>
      </w:r>
      <w:r>
        <w:rPr>
          <w:spacing w:val="-2"/>
          <w:sz w:val="18"/>
          <w:vertAlign w:val="baseline"/>
        </w:rPr>
        <w:t> </w:t>
      </w:r>
      <w:r>
        <w:rPr>
          <w:sz w:val="18"/>
          <w:vertAlign w:val="baseline"/>
        </w:rPr>
        <w:t>Report,</w:t>
      </w:r>
      <w:r>
        <w:rPr>
          <w:spacing w:val="-3"/>
          <w:sz w:val="18"/>
          <w:vertAlign w:val="baseline"/>
        </w:rPr>
        <w:t> </w:t>
      </w:r>
      <w:r>
        <w:rPr>
          <w:sz w:val="18"/>
          <w:vertAlign w:val="baseline"/>
        </w:rPr>
        <w:t>Prioritizing</w:t>
      </w:r>
      <w:r>
        <w:rPr>
          <w:spacing w:val="-2"/>
          <w:sz w:val="18"/>
          <w:vertAlign w:val="baseline"/>
        </w:rPr>
        <w:t> </w:t>
      </w:r>
      <w:r>
        <w:rPr>
          <w:sz w:val="18"/>
          <w:vertAlign w:val="baseline"/>
        </w:rPr>
        <w:t>Environmental</w:t>
      </w:r>
      <w:r>
        <w:rPr>
          <w:spacing w:val="-3"/>
          <w:sz w:val="18"/>
          <w:vertAlign w:val="baseline"/>
        </w:rPr>
        <w:t> </w:t>
      </w:r>
      <w:r>
        <w:rPr>
          <w:sz w:val="18"/>
          <w:vertAlign w:val="baseline"/>
        </w:rPr>
        <w:t>Justice</w:t>
      </w:r>
      <w:r>
        <w:rPr>
          <w:spacing w:val="-2"/>
          <w:sz w:val="18"/>
          <w:vertAlign w:val="baseline"/>
        </w:rPr>
        <w:t> </w:t>
      </w:r>
      <w:r>
        <w:rPr>
          <w:sz w:val="18"/>
          <w:vertAlign w:val="baseline"/>
        </w:rPr>
        <w:t>in</w:t>
      </w:r>
      <w:r>
        <w:rPr>
          <w:spacing w:val="-2"/>
          <w:sz w:val="18"/>
          <w:vertAlign w:val="baseline"/>
        </w:rPr>
        <w:t> </w:t>
      </w:r>
      <w:r>
        <w:rPr>
          <w:sz w:val="18"/>
          <w:vertAlign w:val="baseline"/>
        </w:rPr>
        <w:t>New</w:t>
      </w:r>
      <w:r>
        <w:rPr>
          <w:spacing w:val="-3"/>
          <w:sz w:val="18"/>
          <w:vertAlign w:val="baseline"/>
        </w:rPr>
        <w:t> </w:t>
      </w:r>
      <w:r>
        <w:rPr>
          <w:sz w:val="18"/>
          <w:vertAlign w:val="baseline"/>
        </w:rPr>
        <w:t>Research Cycle,” Overviews and Factsheets, October 11, 2022, https://</w:t>
      </w:r>
      <w:hyperlink r:id="rId627">
        <w:r>
          <w:rPr>
            <w:sz w:val="18"/>
            <w:vertAlign w:val="baseline"/>
          </w:rPr>
          <w:t>www.epa.gov/sciencematters/epa-researchers-release-</w:t>
        </w:r>
      </w:hyperlink>
      <w:r>
        <w:rPr>
          <w:sz w:val="18"/>
          <w:vertAlign w:val="baseline"/>
        </w:rPr>
        <w:t> </w:t>
      </w:r>
      <w:r>
        <w:rPr>
          <w:spacing w:val="-2"/>
          <w:sz w:val="18"/>
          <w:vertAlign w:val="baseline"/>
        </w:rPr>
        <w:t>cumulative-impacts-report-prioritizing-environmental-justice.</w:t>
      </w:r>
    </w:p>
    <w:p>
      <w:pPr>
        <w:spacing w:line="247" w:lineRule="auto" w:before="12"/>
        <w:ind w:left="323" w:right="74" w:firstLine="0"/>
        <w:jc w:val="left"/>
        <w:rPr>
          <w:sz w:val="18"/>
        </w:rPr>
      </w:pPr>
      <w:r>
        <w:rPr>
          <w:sz w:val="18"/>
          <w:vertAlign w:val="superscript"/>
        </w:rPr>
        <w:t>13</w:t>
      </w:r>
      <w:r>
        <w:rPr>
          <w:spacing w:val="-12"/>
          <w:sz w:val="18"/>
          <w:vertAlign w:val="baseline"/>
        </w:rPr>
        <w:t> </w:t>
      </w:r>
      <w:r>
        <w:rPr>
          <w:sz w:val="18"/>
          <w:vertAlign w:val="baseline"/>
        </w:rPr>
        <w:t>OEJECR</w:t>
      </w:r>
      <w:r>
        <w:rPr>
          <w:spacing w:val="-4"/>
          <w:sz w:val="18"/>
          <w:vertAlign w:val="baseline"/>
        </w:rPr>
        <w:t> </w:t>
      </w:r>
      <w:r>
        <w:rPr>
          <w:sz w:val="18"/>
          <w:vertAlign w:val="baseline"/>
        </w:rPr>
        <w:t>US</w:t>
      </w:r>
      <w:r>
        <w:rPr>
          <w:spacing w:val="-1"/>
          <w:sz w:val="18"/>
          <w:vertAlign w:val="baseline"/>
        </w:rPr>
        <w:t> </w:t>
      </w:r>
      <w:r>
        <w:rPr>
          <w:sz w:val="18"/>
          <w:vertAlign w:val="baseline"/>
        </w:rPr>
        <w:t>EPA,</w:t>
      </w:r>
      <w:r>
        <w:rPr>
          <w:spacing w:val="-3"/>
          <w:sz w:val="18"/>
          <w:vertAlign w:val="baseline"/>
        </w:rPr>
        <w:t> </w:t>
      </w:r>
      <w:r>
        <w:rPr>
          <w:sz w:val="18"/>
          <w:vertAlign w:val="baseline"/>
        </w:rPr>
        <w:t>“EJ</w:t>
      </w:r>
      <w:r>
        <w:rPr>
          <w:spacing w:val="-2"/>
          <w:sz w:val="18"/>
          <w:vertAlign w:val="baseline"/>
        </w:rPr>
        <w:t> </w:t>
      </w:r>
      <w:r>
        <w:rPr>
          <w:sz w:val="18"/>
          <w:vertAlign w:val="baseline"/>
        </w:rPr>
        <w:t>2020</w:t>
      </w:r>
      <w:r>
        <w:rPr>
          <w:spacing w:val="-2"/>
          <w:sz w:val="18"/>
          <w:vertAlign w:val="baseline"/>
        </w:rPr>
        <w:t> </w:t>
      </w:r>
      <w:r>
        <w:rPr>
          <w:sz w:val="18"/>
          <w:vertAlign w:val="baseline"/>
        </w:rPr>
        <w:t>Glossary,”</w:t>
      </w:r>
      <w:r>
        <w:rPr>
          <w:spacing w:val="-2"/>
          <w:sz w:val="18"/>
          <w:vertAlign w:val="baseline"/>
        </w:rPr>
        <w:t> </w:t>
      </w:r>
      <w:r>
        <w:rPr>
          <w:sz w:val="18"/>
          <w:vertAlign w:val="baseline"/>
        </w:rPr>
        <w:t>Data</w:t>
      </w:r>
      <w:r>
        <w:rPr>
          <w:spacing w:val="-2"/>
          <w:sz w:val="18"/>
          <w:vertAlign w:val="baseline"/>
        </w:rPr>
        <w:t> </w:t>
      </w:r>
      <w:r>
        <w:rPr>
          <w:sz w:val="18"/>
          <w:vertAlign w:val="baseline"/>
        </w:rPr>
        <w:t>and</w:t>
      </w:r>
      <w:r>
        <w:rPr>
          <w:spacing w:val="-3"/>
          <w:sz w:val="18"/>
          <w:vertAlign w:val="baseline"/>
        </w:rPr>
        <w:t> </w:t>
      </w:r>
      <w:r>
        <w:rPr>
          <w:sz w:val="18"/>
          <w:vertAlign w:val="baseline"/>
        </w:rPr>
        <w:t>Tools,</w:t>
      </w:r>
      <w:r>
        <w:rPr>
          <w:spacing w:val="-3"/>
          <w:sz w:val="18"/>
          <w:vertAlign w:val="baseline"/>
        </w:rPr>
        <w:t> </w:t>
      </w:r>
      <w:r>
        <w:rPr>
          <w:sz w:val="18"/>
          <w:vertAlign w:val="baseline"/>
        </w:rPr>
        <w:t>October</w:t>
      </w:r>
      <w:r>
        <w:rPr>
          <w:spacing w:val="-3"/>
          <w:sz w:val="18"/>
          <w:vertAlign w:val="baseline"/>
        </w:rPr>
        <w:t> </w:t>
      </w:r>
      <w:r>
        <w:rPr>
          <w:sz w:val="18"/>
          <w:vertAlign w:val="baseline"/>
        </w:rPr>
        <w:t>20,</w:t>
      </w:r>
      <w:r>
        <w:rPr>
          <w:spacing w:val="-3"/>
          <w:sz w:val="18"/>
          <w:vertAlign w:val="baseline"/>
        </w:rPr>
        <w:t> </w:t>
      </w:r>
      <w:r>
        <w:rPr>
          <w:sz w:val="18"/>
          <w:vertAlign w:val="baseline"/>
        </w:rPr>
        <w:t>2016,</w:t>
      </w:r>
      <w:r>
        <w:rPr>
          <w:spacing w:val="-3"/>
          <w:sz w:val="18"/>
          <w:vertAlign w:val="baseline"/>
        </w:rPr>
        <w:t> </w:t>
      </w:r>
      <w:r>
        <w:rPr>
          <w:sz w:val="18"/>
          <w:vertAlign w:val="baseline"/>
        </w:rPr>
        <w:t>https://</w:t>
      </w:r>
      <w:hyperlink r:id="rId628">
        <w:r>
          <w:rPr>
            <w:sz w:val="18"/>
            <w:vertAlign w:val="baseline"/>
          </w:rPr>
          <w:t>www.epa.gov/environmentaljustice/ej-2020-</w:t>
        </w:r>
      </w:hyperlink>
      <w:r>
        <w:rPr>
          <w:sz w:val="18"/>
          <w:vertAlign w:val="baseline"/>
        </w:rPr>
        <w:t> </w:t>
      </w:r>
      <w:r>
        <w:rPr>
          <w:spacing w:val="-2"/>
          <w:sz w:val="18"/>
          <w:vertAlign w:val="baseline"/>
        </w:rPr>
        <w:t>glossary.</w:t>
      </w:r>
    </w:p>
    <w:p>
      <w:pPr>
        <w:spacing w:line="247" w:lineRule="auto" w:before="11"/>
        <w:ind w:left="323" w:right="2212" w:hanging="1"/>
        <w:jc w:val="left"/>
        <w:rPr>
          <w:sz w:val="18"/>
        </w:rPr>
      </w:pPr>
      <w:r>
        <w:rPr>
          <w:sz w:val="18"/>
          <w:vertAlign w:val="superscript"/>
        </w:rPr>
        <w:t>14</w:t>
      </w:r>
      <w:r>
        <w:rPr>
          <w:spacing w:val="-12"/>
          <w:sz w:val="18"/>
          <w:vertAlign w:val="baseline"/>
        </w:rPr>
        <w:t> </w:t>
      </w:r>
      <w:r>
        <w:rPr>
          <w:sz w:val="18"/>
          <w:vertAlign w:val="baseline"/>
        </w:rPr>
        <w:t>“Social</w:t>
      </w:r>
      <w:r>
        <w:rPr>
          <w:spacing w:val="-4"/>
          <w:sz w:val="18"/>
          <w:vertAlign w:val="baseline"/>
        </w:rPr>
        <w:t> </w:t>
      </w:r>
      <w:r>
        <w:rPr>
          <w:sz w:val="18"/>
          <w:vertAlign w:val="baseline"/>
        </w:rPr>
        <w:t>Determinants</w:t>
      </w:r>
      <w:r>
        <w:rPr>
          <w:spacing w:val="-2"/>
          <w:sz w:val="18"/>
          <w:vertAlign w:val="baseline"/>
        </w:rPr>
        <w:t> </w:t>
      </w:r>
      <w:r>
        <w:rPr>
          <w:sz w:val="18"/>
          <w:vertAlign w:val="baseline"/>
        </w:rPr>
        <w:t>of</w:t>
      </w:r>
      <w:r>
        <w:rPr>
          <w:spacing w:val="-2"/>
          <w:sz w:val="18"/>
          <w:vertAlign w:val="baseline"/>
        </w:rPr>
        <w:t> </w:t>
      </w:r>
      <w:r>
        <w:rPr>
          <w:sz w:val="18"/>
          <w:vertAlign w:val="baseline"/>
        </w:rPr>
        <w:t>Health</w:t>
      </w:r>
      <w:r>
        <w:rPr>
          <w:spacing w:val="-2"/>
          <w:sz w:val="18"/>
          <w:vertAlign w:val="baseline"/>
        </w:rPr>
        <w:t> </w:t>
      </w:r>
      <w:r>
        <w:rPr>
          <w:sz w:val="18"/>
          <w:vertAlign w:val="baseline"/>
        </w:rPr>
        <w:t>-</w:t>
      </w:r>
      <w:r>
        <w:rPr>
          <w:spacing w:val="-2"/>
          <w:sz w:val="18"/>
          <w:vertAlign w:val="baseline"/>
        </w:rPr>
        <w:t> </w:t>
      </w:r>
      <w:r>
        <w:rPr>
          <w:sz w:val="18"/>
          <w:vertAlign w:val="baseline"/>
        </w:rPr>
        <w:t>Healthy</w:t>
      </w:r>
      <w:r>
        <w:rPr>
          <w:spacing w:val="-2"/>
          <w:sz w:val="18"/>
          <w:vertAlign w:val="baseline"/>
        </w:rPr>
        <w:t> </w:t>
      </w:r>
      <w:r>
        <w:rPr>
          <w:sz w:val="18"/>
          <w:vertAlign w:val="baseline"/>
        </w:rPr>
        <w:t>People</w:t>
      </w:r>
      <w:r>
        <w:rPr>
          <w:spacing w:val="-2"/>
          <w:sz w:val="18"/>
          <w:vertAlign w:val="baseline"/>
        </w:rPr>
        <w:t> </w:t>
      </w:r>
      <w:r>
        <w:rPr>
          <w:sz w:val="18"/>
          <w:vertAlign w:val="baseline"/>
        </w:rPr>
        <w:t>2030</w:t>
      </w:r>
      <w:r>
        <w:rPr>
          <w:spacing w:val="-2"/>
          <w:sz w:val="18"/>
          <w:vertAlign w:val="baseline"/>
        </w:rPr>
        <w:t> </w:t>
      </w:r>
      <w:r>
        <w:rPr>
          <w:sz w:val="18"/>
          <w:vertAlign w:val="baseline"/>
        </w:rPr>
        <w:t>|</w:t>
      </w:r>
      <w:r>
        <w:rPr>
          <w:spacing w:val="-2"/>
          <w:sz w:val="18"/>
          <w:vertAlign w:val="baseline"/>
        </w:rPr>
        <w:t> </w:t>
      </w:r>
      <w:r>
        <w:rPr>
          <w:sz w:val="18"/>
          <w:vertAlign w:val="baseline"/>
        </w:rPr>
        <w:t>Health.Gov,”</w:t>
      </w:r>
      <w:r>
        <w:rPr>
          <w:spacing w:val="-2"/>
          <w:sz w:val="18"/>
          <w:vertAlign w:val="baseline"/>
        </w:rPr>
        <w:t> </w:t>
      </w:r>
      <w:r>
        <w:rPr>
          <w:sz w:val="18"/>
          <w:vertAlign w:val="baseline"/>
        </w:rPr>
        <w:t>accessed</w:t>
      </w:r>
      <w:r>
        <w:rPr>
          <w:spacing w:val="-5"/>
          <w:sz w:val="18"/>
          <w:vertAlign w:val="baseline"/>
        </w:rPr>
        <w:t> </w:t>
      </w:r>
      <w:r>
        <w:rPr>
          <w:sz w:val="18"/>
          <w:vertAlign w:val="baseline"/>
        </w:rPr>
        <w:t>February</w:t>
      </w:r>
      <w:r>
        <w:rPr>
          <w:spacing w:val="-2"/>
          <w:sz w:val="18"/>
          <w:vertAlign w:val="baseline"/>
        </w:rPr>
        <w:t> </w:t>
      </w:r>
      <w:r>
        <w:rPr>
          <w:sz w:val="18"/>
          <w:vertAlign w:val="baseline"/>
        </w:rPr>
        <w:t>17,</w:t>
      </w:r>
      <w:r>
        <w:rPr>
          <w:spacing w:val="-3"/>
          <w:sz w:val="18"/>
          <w:vertAlign w:val="baseline"/>
        </w:rPr>
        <w:t> </w:t>
      </w:r>
      <w:r>
        <w:rPr>
          <w:sz w:val="18"/>
          <w:vertAlign w:val="baseline"/>
        </w:rPr>
        <w:t>2023, </w:t>
      </w:r>
      <w:r>
        <w:rPr>
          <w:spacing w:val="-2"/>
          <w:sz w:val="18"/>
          <w:vertAlign w:val="baseline"/>
        </w:rPr>
        <w:t>https://health.gov/healthypeople/priority-areas/social-determinants-health.</w:t>
      </w:r>
    </w:p>
    <w:p>
      <w:pPr>
        <w:spacing w:line="244" w:lineRule="auto" w:before="11"/>
        <w:ind w:left="323" w:right="213" w:hanging="1"/>
        <w:jc w:val="both"/>
        <w:rPr>
          <w:sz w:val="18"/>
        </w:rPr>
      </w:pPr>
      <w:r>
        <w:rPr>
          <w:sz w:val="18"/>
          <w:vertAlign w:val="superscript"/>
        </w:rPr>
        <w:t>15</w:t>
      </w:r>
      <w:r>
        <w:rPr>
          <w:spacing w:val="-11"/>
          <w:sz w:val="18"/>
          <w:vertAlign w:val="baseline"/>
        </w:rPr>
        <w:t> </w:t>
      </w:r>
      <w:r>
        <w:rPr>
          <w:sz w:val="18"/>
          <w:vertAlign w:val="baseline"/>
        </w:rPr>
        <w:t>John</w:t>
      </w:r>
      <w:r>
        <w:rPr>
          <w:spacing w:val="-4"/>
          <w:sz w:val="18"/>
          <w:vertAlign w:val="baseline"/>
        </w:rPr>
        <w:t> </w:t>
      </w:r>
      <w:r>
        <w:rPr>
          <w:sz w:val="18"/>
          <w:vertAlign w:val="baseline"/>
        </w:rPr>
        <w:t>D.</w:t>
      </w:r>
      <w:r>
        <w:rPr>
          <w:spacing w:val="-2"/>
          <w:sz w:val="18"/>
          <w:vertAlign w:val="baseline"/>
        </w:rPr>
        <w:t> </w:t>
      </w:r>
      <w:r>
        <w:rPr>
          <w:sz w:val="18"/>
          <w:vertAlign w:val="baseline"/>
        </w:rPr>
        <w:t>Prochaska</w:t>
      </w:r>
      <w:r>
        <w:rPr>
          <w:spacing w:val="-2"/>
          <w:sz w:val="18"/>
          <w:vertAlign w:val="baseline"/>
        </w:rPr>
        <w:t> </w:t>
      </w:r>
      <w:r>
        <w:rPr>
          <w:sz w:val="18"/>
          <w:vertAlign w:val="baseline"/>
        </w:rPr>
        <w:t>et</w:t>
      </w:r>
      <w:r>
        <w:rPr>
          <w:spacing w:val="-3"/>
          <w:sz w:val="18"/>
          <w:vertAlign w:val="baseline"/>
        </w:rPr>
        <w:t> </w:t>
      </w:r>
      <w:r>
        <w:rPr>
          <w:sz w:val="18"/>
          <w:vertAlign w:val="baseline"/>
        </w:rPr>
        <w:t>al.,</w:t>
      </w:r>
      <w:r>
        <w:rPr>
          <w:spacing w:val="-3"/>
          <w:sz w:val="18"/>
          <w:vertAlign w:val="baseline"/>
        </w:rPr>
        <w:t> </w:t>
      </w:r>
      <w:r>
        <w:rPr>
          <w:sz w:val="18"/>
          <w:vertAlign w:val="baseline"/>
        </w:rPr>
        <w:t>“Social</w:t>
      </w:r>
      <w:r>
        <w:rPr>
          <w:spacing w:val="-3"/>
          <w:sz w:val="18"/>
          <w:vertAlign w:val="baseline"/>
        </w:rPr>
        <w:t> </w:t>
      </w:r>
      <w:r>
        <w:rPr>
          <w:sz w:val="18"/>
          <w:vertAlign w:val="baseline"/>
        </w:rPr>
        <w:t>Determinants</w:t>
      </w:r>
      <w:r>
        <w:rPr>
          <w:spacing w:val="-2"/>
          <w:sz w:val="18"/>
          <w:vertAlign w:val="baseline"/>
        </w:rPr>
        <w:t> </w:t>
      </w:r>
      <w:r>
        <w:rPr>
          <w:sz w:val="18"/>
          <w:vertAlign w:val="baseline"/>
        </w:rPr>
        <w:t>of</w:t>
      </w:r>
      <w:r>
        <w:rPr>
          <w:spacing w:val="-2"/>
          <w:sz w:val="18"/>
          <w:vertAlign w:val="baseline"/>
        </w:rPr>
        <w:t> </w:t>
      </w:r>
      <w:r>
        <w:rPr>
          <w:sz w:val="18"/>
          <w:vertAlign w:val="baseline"/>
        </w:rPr>
        <w:t>Health</w:t>
      </w:r>
      <w:r>
        <w:rPr>
          <w:spacing w:val="-2"/>
          <w:sz w:val="18"/>
          <w:vertAlign w:val="baseline"/>
        </w:rPr>
        <w:t> </w:t>
      </w:r>
      <w:r>
        <w:rPr>
          <w:sz w:val="18"/>
          <w:vertAlign w:val="baseline"/>
        </w:rPr>
        <w:t>in</w:t>
      </w:r>
      <w:r>
        <w:rPr>
          <w:spacing w:val="-2"/>
          <w:sz w:val="18"/>
          <w:vertAlign w:val="baseline"/>
        </w:rPr>
        <w:t> </w:t>
      </w:r>
      <w:r>
        <w:rPr>
          <w:sz w:val="18"/>
          <w:vertAlign w:val="baseline"/>
        </w:rPr>
        <w:t>Environmental</w:t>
      </w:r>
      <w:r>
        <w:rPr>
          <w:spacing w:val="-3"/>
          <w:sz w:val="18"/>
          <w:vertAlign w:val="baseline"/>
        </w:rPr>
        <w:t> </w:t>
      </w:r>
      <w:r>
        <w:rPr>
          <w:sz w:val="18"/>
          <w:vertAlign w:val="baseline"/>
        </w:rPr>
        <w:t>Justice</w:t>
      </w:r>
      <w:r>
        <w:rPr>
          <w:spacing w:val="-2"/>
          <w:sz w:val="18"/>
          <w:vertAlign w:val="baseline"/>
        </w:rPr>
        <w:t> </w:t>
      </w:r>
      <w:r>
        <w:rPr>
          <w:sz w:val="18"/>
          <w:vertAlign w:val="baseline"/>
        </w:rPr>
        <w:t>Communities:</w:t>
      </w:r>
      <w:r>
        <w:rPr>
          <w:spacing w:val="-4"/>
          <w:sz w:val="18"/>
          <w:vertAlign w:val="baseline"/>
        </w:rPr>
        <w:t> </w:t>
      </w:r>
      <w:r>
        <w:rPr>
          <w:sz w:val="18"/>
          <w:vertAlign w:val="baseline"/>
        </w:rPr>
        <w:t>Examining</w:t>
      </w:r>
      <w:r>
        <w:rPr>
          <w:spacing w:val="-2"/>
          <w:sz w:val="18"/>
          <w:vertAlign w:val="baseline"/>
        </w:rPr>
        <w:t> </w:t>
      </w:r>
      <w:r>
        <w:rPr>
          <w:sz w:val="18"/>
          <w:vertAlign w:val="baseline"/>
        </w:rPr>
        <w:t>Cumulative</w:t>
      </w:r>
      <w:r>
        <w:rPr>
          <w:spacing w:val="-2"/>
          <w:sz w:val="18"/>
          <w:vertAlign w:val="baseline"/>
        </w:rPr>
        <w:t> </w:t>
      </w:r>
      <w:r>
        <w:rPr>
          <w:sz w:val="18"/>
          <w:vertAlign w:val="baseline"/>
        </w:rPr>
        <w:t>Risk</w:t>
      </w:r>
      <w:r>
        <w:rPr>
          <w:spacing w:val="-3"/>
          <w:sz w:val="18"/>
          <w:vertAlign w:val="baseline"/>
        </w:rPr>
        <w:t> </w:t>
      </w:r>
      <w:r>
        <w:rPr>
          <w:sz w:val="18"/>
          <w:vertAlign w:val="baseline"/>
        </w:rPr>
        <w:t>in Terms</w:t>
      </w:r>
      <w:r>
        <w:rPr>
          <w:spacing w:val="-1"/>
          <w:sz w:val="18"/>
          <w:vertAlign w:val="baseline"/>
        </w:rPr>
        <w:t> </w:t>
      </w:r>
      <w:r>
        <w:rPr>
          <w:sz w:val="18"/>
          <w:vertAlign w:val="baseline"/>
        </w:rPr>
        <w:t>of</w:t>
      </w:r>
      <w:r>
        <w:rPr>
          <w:spacing w:val="-1"/>
          <w:sz w:val="18"/>
          <w:vertAlign w:val="baseline"/>
        </w:rPr>
        <w:t> </w:t>
      </w:r>
      <w:r>
        <w:rPr>
          <w:sz w:val="18"/>
          <w:vertAlign w:val="baseline"/>
        </w:rPr>
        <w:t>Environmental</w:t>
      </w:r>
      <w:r>
        <w:rPr>
          <w:spacing w:val="-2"/>
          <w:sz w:val="18"/>
          <w:vertAlign w:val="baseline"/>
        </w:rPr>
        <w:t> </w:t>
      </w:r>
      <w:r>
        <w:rPr>
          <w:sz w:val="18"/>
          <w:vertAlign w:val="baseline"/>
        </w:rPr>
        <w:t>Exposures</w:t>
      </w:r>
      <w:r>
        <w:rPr>
          <w:spacing w:val="-1"/>
          <w:sz w:val="18"/>
          <w:vertAlign w:val="baseline"/>
        </w:rPr>
        <w:t> </w:t>
      </w:r>
      <w:r>
        <w:rPr>
          <w:sz w:val="18"/>
          <w:vertAlign w:val="baseline"/>
        </w:rPr>
        <w:t>and</w:t>
      </w:r>
      <w:r>
        <w:rPr>
          <w:spacing w:val="-1"/>
          <w:sz w:val="18"/>
          <w:vertAlign w:val="baseline"/>
        </w:rPr>
        <w:t> </w:t>
      </w:r>
      <w:r>
        <w:rPr>
          <w:sz w:val="18"/>
          <w:vertAlign w:val="baseline"/>
        </w:rPr>
        <w:t>Social</w:t>
      </w:r>
      <w:r>
        <w:rPr>
          <w:spacing w:val="-2"/>
          <w:sz w:val="18"/>
          <w:vertAlign w:val="baseline"/>
        </w:rPr>
        <w:t> </w:t>
      </w:r>
      <w:r>
        <w:rPr>
          <w:sz w:val="18"/>
          <w:vertAlign w:val="baseline"/>
        </w:rPr>
        <w:t>Determinants</w:t>
      </w:r>
      <w:r>
        <w:rPr>
          <w:spacing w:val="-1"/>
          <w:sz w:val="18"/>
          <w:vertAlign w:val="baseline"/>
        </w:rPr>
        <w:t> </w:t>
      </w:r>
      <w:r>
        <w:rPr>
          <w:sz w:val="18"/>
          <w:vertAlign w:val="baseline"/>
        </w:rPr>
        <w:t>of</w:t>
      </w:r>
      <w:r>
        <w:rPr>
          <w:spacing w:val="-2"/>
          <w:sz w:val="18"/>
          <w:vertAlign w:val="baseline"/>
        </w:rPr>
        <w:t> </w:t>
      </w:r>
      <w:r>
        <w:rPr>
          <w:sz w:val="18"/>
          <w:vertAlign w:val="baseline"/>
        </w:rPr>
        <w:t>Health,”</w:t>
      </w:r>
      <w:r>
        <w:rPr>
          <w:spacing w:val="-1"/>
          <w:sz w:val="18"/>
          <w:vertAlign w:val="baseline"/>
        </w:rPr>
        <w:t> </w:t>
      </w:r>
      <w:r>
        <w:rPr>
          <w:i/>
          <w:sz w:val="18"/>
          <w:vertAlign w:val="baseline"/>
        </w:rPr>
        <w:t>Human and</w:t>
      </w:r>
      <w:r>
        <w:rPr>
          <w:i/>
          <w:spacing w:val="-1"/>
          <w:sz w:val="18"/>
          <w:vertAlign w:val="baseline"/>
        </w:rPr>
        <w:t> </w:t>
      </w:r>
      <w:r>
        <w:rPr>
          <w:i/>
          <w:sz w:val="18"/>
          <w:vertAlign w:val="baseline"/>
        </w:rPr>
        <w:t>Ecological</w:t>
      </w:r>
      <w:r>
        <w:rPr>
          <w:i/>
          <w:spacing w:val="-2"/>
          <w:sz w:val="18"/>
          <w:vertAlign w:val="baseline"/>
        </w:rPr>
        <w:t> </w:t>
      </w:r>
      <w:r>
        <w:rPr>
          <w:i/>
          <w:sz w:val="18"/>
          <w:vertAlign w:val="baseline"/>
        </w:rPr>
        <w:t>Risk</w:t>
      </w:r>
      <w:r>
        <w:rPr>
          <w:i/>
          <w:spacing w:val="-2"/>
          <w:sz w:val="18"/>
          <w:vertAlign w:val="baseline"/>
        </w:rPr>
        <w:t> </w:t>
      </w:r>
      <w:r>
        <w:rPr>
          <w:i/>
          <w:sz w:val="18"/>
          <w:vertAlign w:val="baseline"/>
        </w:rPr>
        <w:t>Assessment:</w:t>
      </w:r>
      <w:r>
        <w:rPr>
          <w:i/>
          <w:spacing w:val="-1"/>
          <w:sz w:val="18"/>
          <w:vertAlign w:val="baseline"/>
        </w:rPr>
        <w:t> </w:t>
      </w:r>
      <w:r>
        <w:rPr>
          <w:i/>
          <w:sz w:val="18"/>
          <w:vertAlign w:val="baseline"/>
        </w:rPr>
        <w:t>HERA</w:t>
      </w:r>
      <w:r>
        <w:rPr>
          <w:i/>
          <w:spacing w:val="-1"/>
          <w:sz w:val="18"/>
          <w:vertAlign w:val="baseline"/>
        </w:rPr>
        <w:t> </w:t>
      </w:r>
      <w:r>
        <w:rPr>
          <w:sz w:val="18"/>
          <w:vertAlign w:val="baseline"/>
        </w:rPr>
        <w:t>20,</w:t>
      </w:r>
      <w:r>
        <w:rPr>
          <w:spacing w:val="-2"/>
          <w:sz w:val="18"/>
          <w:vertAlign w:val="baseline"/>
        </w:rPr>
        <w:t> </w:t>
      </w:r>
      <w:r>
        <w:rPr>
          <w:sz w:val="18"/>
          <w:vertAlign w:val="baseline"/>
        </w:rPr>
        <w:t>no.</w:t>
      </w:r>
      <w:r>
        <w:rPr>
          <w:spacing w:val="-1"/>
          <w:sz w:val="18"/>
          <w:vertAlign w:val="baseline"/>
        </w:rPr>
        <w:t> </w:t>
      </w:r>
      <w:r>
        <w:rPr>
          <w:sz w:val="18"/>
          <w:vertAlign w:val="baseline"/>
        </w:rPr>
        <w:t>4 (2014): 980–94, https://doi.org/10.1080/10807039.2013.805957.</w:t>
      </w:r>
    </w:p>
    <w:p>
      <w:pPr>
        <w:spacing w:line="247" w:lineRule="auto" w:before="12"/>
        <w:ind w:left="323" w:right="275" w:hanging="1"/>
        <w:jc w:val="both"/>
        <w:rPr>
          <w:sz w:val="18"/>
        </w:rPr>
      </w:pPr>
      <w:r>
        <w:rPr>
          <w:sz w:val="18"/>
          <w:vertAlign w:val="superscript"/>
        </w:rPr>
        <w:t>16</w:t>
      </w:r>
      <w:r>
        <w:rPr>
          <w:spacing w:val="-11"/>
          <w:sz w:val="18"/>
          <w:vertAlign w:val="baseline"/>
        </w:rPr>
        <w:t> </w:t>
      </w:r>
      <w:r>
        <w:rPr>
          <w:sz w:val="18"/>
          <w:vertAlign w:val="baseline"/>
        </w:rPr>
        <w:t>Leo</w:t>
      </w:r>
      <w:r>
        <w:rPr>
          <w:spacing w:val="-3"/>
          <w:sz w:val="18"/>
          <w:vertAlign w:val="baseline"/>
        </w:rPr>
        <w:t> </w:t>
      </w:r>
      <w:r>
        <w:rPr>
          <w:sz w:val="18"/>
          <w:vertAlign w:val="baseline"/>
        </w:rPr>
        <w:t>Goldsmith</w:t>
      </w:r>
      <w:r>
        <w:rPr>
          <w:spacing w:val="-2"/>
          <w:sz w:val="18"/>
          <w:vertAlign w:val="baseline"/>
        </w:rPr>
        <w:t> </w:t>
      </w:r>
      <w:r>
        <w:rPr>
          <w:sz w:val="18"/>
          <w:vertAlign w:val="baseline"/>
        </w:rPr>
        <w:t>and</w:t>
      </w:r>
      <w:r>
        <w:rPr>
          <w:spacing w:val="-2"/>
          <w:sz w:val="18"/>
          <w:vertAlign w:val="baseline"/>
        </w:rPr>
        <w:t> </w:t>
      </w:r>
      <w:r>
        <w:rPr>
          <w:sz w:val="18"/>
          <w:vertAlign w:val="baseline"/>
        </w:rPr>
        <w:t>Michelle</w:t>
      </w:r>
      <w:r>
        <w:rPr>
          <w:spacing w:val="-2"/>
          <w:sz w:val="18"/>
          <w:vertAlign w:val="baseline"/>
        </w:rPr>
        <w:t> </w:t>
      </w:r>
      <w:r>
        <w:rPr>
          <w:sz w:val="18"/>
          <w:vertAlign w:val="baseline"/>
        </w:rPr>
        <w:t>L.</w:t>
      </w:r>
      <w:r>
        <w:rPr>
          <w:spacing w:val="-2"/>
          <w:sz w:val="18"/>
          <w:vertAlign w:val="baseline"/>
        </w:rPr>
        <w:t> </w:t>
      </w:r>
      <w:r>
        <w:rPr>
          <w:sz w:val="18"/>
          <w:vertAlign w:val="baseline"/>
        </w:rPr>
        <w:t>Bell,</w:t>
      </w:r>
      <w:r>
        <w:rPr>
          <w:spacing w:val="-3"/>
          <w:sz w:val="18"/>
          <w:vertAlign w:val="baseline"/>
        </w:rPr>
        <w:t> </w:t>
      </w:r>
      <w:r>
        <w:rPr>
          <w:sz w:val="18"/>
          <w:vertAlign w:val="baseline"/>
        </w:rPr>
        <w:t>“Queering</w:t>
      </w:r>
      <w:r>
        <w:rPr>
          <w:spacing w:val="-3"/>
          <w:sz w:val="18"/>
          <w:vertAlign w:val="baseline"/>
        </w:rPr>
        <w:t> </w:t>
      </w:r>
      <w:r>
        <w:rPr>
          <w:sz w:val="18"/>
          <w:vertAlign w:val="baseline"/>
        </w:rPr>
        <w:t>Environmental</w:t>
      </w:r>
      <w:r>
        <w:rPr>
          <w:spacing w:val="-3"/>
          <w:sz w:val="18"/>
          <w:vertAlign w:val="baseline"/>
        </w:rPr>
        <w:t> </w:t>
      </w:r>
      <w:r>
        <w:rPr>
          <w:sz w:val="18"/>
          <w:vertAlign w:val="baseline"/>
        </w:rPr>
        <w:t>Justice:</w:t>
      </w:r>
      <w:r>
        <w:rPr>
          <w:spacing w:val="-2"/>
          <w:sz w:val="18"/>
          <w:vertAlign w:val="baseline"/>
        </w:rPr>
        <w:t> </w:t>
      </w:r>
      <w:r>
        <w:rPr>
          <w:sz w:val="18"/>
          <w:vertAlign w:val="baseline"/>
        </w:rPr>
        <w:t>Unequal</w:t>
      </w:r>
      <w:r>
        <w:rPr>
          <w:spacing w:val="-3"/>
          <w:sz w:val="18"/>
          <w:vertAlign w:val="baseline"/>
        </w:rPr>
        <w:t> </w:t>
      </w:r>
      <w:r>
        <w:rPr>
          <w:sz w:val="18"/>
          <w:vertAlign w:val="baseline"/>
        </w:rPr>
        <w:t>Environmental</w:t>
      </w:r>
      <w:r>
        <w:rPr>
          <w:spacing w:val="-3"/>
          <w:sz w:val="18"/>
          <w:vertAlign w:val="baseline"/>
        </w:rPr>
        <w:t> </w:t>
      </w:r>
      <w:r>
        <w:rPr>
          <w:sz w:val="18"/>
          <w:vertAlign w:val="baseline"/>
        </w:rPr>
        <w:t>Health</w:t>
      </w:r>
      <w:r>
        <w:rPr>
          <w:spacing w:val="-2"/>
          <w:sz w:val="18"/>
          <w:vertAlign w:val="baseline"/>
        </w:rPr>
        <w:t> </w:t>
      </w:r>
      <w:r>
        <w:rPr>
          <w:sz w:val="18"/>
          <w:vertAlign w:val="baseline"/>
        </w:rPr>
        <w:t>Burden</w:t>
      </w:r>
      <w:r>
        <w:rPr>
          <w:spacing w:val="-2"/>
          <w:sz w:val="18"/>
          <w:vertAlign w:val="baseline"/>
        </w:rPr>
        <w:t> </w:t>
      </w:r>
      <w:r>
        <w:rPr>
          <w:sz w:val="18"/>
          <w:vertAlign w:val="baseline"/>
        </w:rPr>
        <w:t>on</w:t>
      </w:r>
      <w:r>
        <w:rPr>
          <w:spacing w:val="-3"/>
          <w:sz w:val="18"/>
          <w:vertAlign w:val="baseline"/>
        </w:rPr>
        <w:t> </w:t>
      </w:r>
      <w:r>
        <w:rPr>
          <w:sz w:val="18"/>
          <w:vertAlign w:val="baseline"/>
        </w:rPr>
        <w:t>the</w:t>
      </w:r>
      <w:r>
        <w:rPr>
          <w:spacing w:val="-2"/>
          <w:sz w:val="18"/>
          <w:vertAlign w:val="baseline"/>
        </w:rPr>
        <w:t> </w:t>
      </w:r>
      <w:r>
        <w:rPr>
          <w:sz w:val="18"/>
          <w:vertAlign w:val="baseline"/>
        </w:rPr>
        <w:t>LGBTQ+ Community,”</w:t>
      </w:r>
      <w:r>
        <w:rPr>
          <w:spacing w:val="-3"/>
          <w:sz w:val="18"/>
          <w:vertAlign w:val="baseline"/>
        </w:rPr>
        <w:t> </w:t>
      </w:r>
      <w:r>
        <w:rPr>
          <w:i/>
          <w:sz w:val="18"/>
          <w:vertAlign w:val="baseline"/>
        </w:rPr>
        <w:t>American</w:t>
      </w:r>
      <w:r>
        <w:rPr>
          <w:i/>
          <w:spacing w:val="-3"/>
          <w:sz w:val="18"/>
          <w:vertAlign w:val="baseline"/>
        </w:rPr>
        <w:t> </w:t>
      </w:r>
      <w:r>
        <w:rPr>
          <w:i/>
          <w:sz w:val="18"/>
          <w:vertAlign w:val="baseline"/>
        </w:rPr>
        <w:t>Journal</w:t>
      </w:r>
      <w:r>
        <w:rPr>
          <w:i/>
          <w:spacing w:val="-3"/>
          <w:sz w:val="18"/>
          <w:vertAlign w:val="baseline"/>
        </w:rPr>
        <w:t> </w:t>
      </w:r>
      <w:r>
        <w:rPr>
          <w:i/>
          <w:sz w:val="18"/>
          <w:vertAlign w:val="baseline"/>
        </w:rPr>
        <w:t>of</w:t>
      </w:r>
      <w:r>
        <w:rPr>
          <w:i/>
          <w:spacing w:val="-3"/>
          <w:sz w:val="18"/>
          <w:vertAlign w:val="baseline"/>
        </w:rPr>
        <w:t> </w:t>
      </w:r>
      <w:r>
        <w:rPr>
          <w:i/>
          <w:sz w:val="18"/>
          <w:vertAlign w:val="baseline"/>
        </w:rPr>
        <w:t>Public</w:t>
      </w:r>
      <w:r>
        <w:rPr>
          <w:i/>
          <w:spacing w:val="-4"/>
          <w:sz w:val="18"/>
          <w:vertAlign w:val="baseline"/>
        </w:rPr>
        <w:t> </w:t>
      </w:r>
      <w:r>
        <w:rPr>
          <w:i/>
          <w:sz w:val="18"/>
          <w:vertAlign w:val="baseline"/>
        </w:rPr>
        <w:t>Health</w:t>
      </w:r>
      <w:r>
        <w:rPr>
          <w:i/>
          <w:spacing w:val="-3"/>
          <w:sz w:val="18"/>
          <w:vertAlign w:val="baseline"/>
        </w:rPr>
        <w:t> </w:t>
      </w:r>
      <w:r>
        <w:rPr>
          <w:sz w:val="18"/>
          <w:vertAlign w:val="baseline"/>
        </w:rPr>
        <w:t>112,</w:t>
      </w:r>
      <w:r>
        <w:rPr>
          <w:spacing w:val="-4"/>
          <w:sz w:val="18"/>
          <w:vertAlign w:val="baseline"/>
        </w:rPr>
        <w:t> </w:t>
      </w:r>
      <w:r>
        <w:rPr>
          <w:sz w:val="18"/>
          <w:vertAlign w:val="baseline"/>
        </w:rPr>
        <w:t>no.</w:t>
      </w:r>
      <w:r>
        <w:rPr>
          <w:spacing w:val="-3"/>
          <w:sz w:val="18"/>
          <w:vertAlign w:val="baseline"/>
        </w:rPr>
        <w:t> </w:t>
      </w:r>
      <w:r>
        <w:rPr>
          <w:sz w:val="18"/>
          <w:vertAlign w:val="baseline"/>
        </w:rPr>
        <w:t>1</w:t>
      </w:r>
      <w:r>
        <w:rPr>
          <w:spacing w:val="-3"/>
          <w:sz w:val="18"/>
          <w:vertAlign w:val="baseline"/>
        </w:rPr>
        <w:t> </w:t>
      </w:r>
      <w:r>
        <w:rPr>
          <w:sz w:val="18"/>
          <w:vertAlign w:val="baseline"/>
        </w:rPr>
        <w:t>(January</w:t>
      </w:r>
      <w:r>
        <w:rPr>
          <w:spacing w:val="-3"/>
          <w:sz w:val="18"/>
          <w:vertAlign w:val="baseline"/>
        </w:rPr>
        <w:t> </w:t>
      </w:r>
      <w:r>
        <w:rPr>
          <w:sz w:val="18"/>
          <w:vertAlign w:val="baseline"/>
        </w:rPr>
        <w:t>2022):</w:t>
      </w:r>
      <w:r>
        <w:rPr>
          <w:spacing w:val="-3"/>
          <w:sz w:val="18"/>
          <w:vertAlign w:val="baseline"/>
        </w:rPr>
        <w:t> </w:t>
      </w:r>
      <w:r>
        <w:rPr>
          <w:sz w:val="18"/>
          <w:vertAlign w:val="baseline"/>
        </w:rPr>
        <w:t>79–87,</w:t>
      </w:r>
      <w:r>
        <w:rPr>
          <w:spacing w:val="-4"/>
          <w:sz w:val="18"/>
          <w:vertAlign w:val="baseline"/>
        </w:rPr>
        <w:t> </w:t>
      </w:r>
      <w:r>
        <w:rPr>
          <w:sz w:val="18"/>
          <w:vertAlign w:val="baseline"/>
        </w:rPr>
        <w:t>https://doi.org/10.2105/AJPH.2021.306406.</w:t>
      </w:r>
    </w:p>
    <w:p>
      <w:pPr>
        <w:spacing w:after="0" w:line="247" w:lineRule="auto"/>
        <w:jc w:val="both"/>
        <w:rPr>
          <w:sz w:val="18"/>
        </w:rPr>
        <w:sectPr>
          <w:pgSz w:w="12240" w:h="15840"/>
          <w:pgMar w:header="800" w:footer="1459" w:top="1300" w:bottom="1660" w:left="1120" w:right="1300"/>
        </w:sectPr>
      </w:pPr>
    </w:p>
    <w:p>
      <w:pPr>
        <w:spacing w:line="247" w:lineRule="auto" w:before="85"/>
        <w:ind w:left="323" w:right="0" w:firstLine="0"/>
        <w:jc w:val="left"/>
        <w:rPr>
          <w:sz w:val="18"/>
        </w:rPr>
      </w:pPr>
      <w:r>
        <w:rPr>
          <w:sz w:val="18"/>
          <w:vertAlign w:val="superscript"/>
        </w:rPr>
        <w:t>17</w:t>
      </w:r>
      <w:r>
        <w:rPr>
          <w:spacing w:val="-12"/>
          <w:sz w:val="18"/>
          <w:vertAlign w:val="baseline"/>
        </w:rPr>
        <w:t> </w:t>
      </w:r>
      <w:r>
        <w:rPr>
          <w:sz w:val="18"/>
          <w:vertAlign w:val="baseline"/>
        </w:rPr>
        <w:t>Leo</w:t>
      </w:r>
      <w:r>
        <w:rPr>
          <w:spacing w:val="-2"/>
          <w:sz w:val="18"/>
          <w:vertAlign w:val="baseline"/>
        </w:rPr>
        <w:t> </w:t>
      </w:r>
      <w:r>
        <w:rPr>
          <w:sz w:val="18"/>
          <w:vertAlign w:val="baseline"/>
        </w:rPr>
        <w:t>Goldsmith</w:t>
      </w:r>
      <w:r>
        <w:rPr>
          <w:spacing w:val="-2"/>
          <w:sz w:val="18"/>
          <w:vertAlign w:val="baseline"/>
        </w:rPr>
        <w:t> </w:t>
      </w:r>
      <w:r>
        <w:rPr>
          <w:sz w:val="18"/>
          <w:vertAlign w:val="baseline"/>
        </w:rPr>
        <w:t>and</w:t>
      </w:r>
      <w:r>
        <w:rPr>
          <w:spacing w:val="-2"/>
          <w:sz w:val="18"/>
          <w:vertAlign w:val="baseline"/>
        </w:rPr>
        <w:t> </w:t>
      </w:r>
      <w:r>
        <w:rPr>
          <w:sz w:val="18"/>
          <w:vertAlign w:val="baseline"/>
        </w:rPr>
        <w:t>Michelle</w:t>
      </w:r>
      <w:r>
        <w:rPr>
          <w:spacing w:val="-2"/>
          <w:sz w:val="18"/>
          <w:vertAlign w:val="baseline"/>
        </w:rPr>
        <w:t> </w:t>
      </w:r>
      <w:r>
        <w:rPr>
          <w:sz w:val="18"/>
          <w:vertAlign w:val="baseline"/>
        </w:rPr>
        <w:t>L.</w:t>
      </w:r>
      <w:r>
        <w:rPr>
          <w:spacing w:val="-2"/>
          <w:sz w:val="18"/>
          <w:vertAlign w:val="baseline"/>
        </w:rPr>
        <w:t> </w:t>
      </w:r>
      <w:r>
        <w:rPr>
          <w:sz w:val="18"/>
          <w:vertAlign w:val="baseline"/>
        </w:rPr>
        <w:t>Bell,</w:t>
      </w:r>
      <w:r>
        <w:rPr>
          <w:spacing w:val="-3"/>
          <w:sz w:val="18"/>
          <w:vertAlign w:val="baseline"/>
        </w:rPr>
        <w:t> </w:t>
      </w:r>
      <w:r>
        <w:rPr>
          <w:sz w:val="18"/>
          <w:vertAlign w:val="baseline"/>
        </w:rPr>
        <w:t>“Queering</w:t>
      </w:r>
      <w:r>
        <w:rPr>
          <w:spacing w:val="-3"/>
          <w:sz w:val="18"/>
          <w:vertAlign w:val="baseline"/>
        </w:rPr>
        <w:t> </w:t>
      </w:r>
      <w:r>
        <w:rPr>
          <w:sz w:val="18"/>
          <w:vertAlign w:val="baseline"/>
        </w:rPr>
        <w:t>Environmental</w:t>
      </w:r>
      <w:r>
        <w:rPr>
          <w:spacing w:val="-3"/>
          <w:sz w:val="18"/>
          <w:vertAlign w:val="baseline"/>
        </w:rPr>
        <w:t> </w:t>
      </w:r>
      <w:r>
        <w:rPr>
          <w:sz w:val="18"/>
          <w:vertAlign w:val="baseline"/>
        </w:rPr>
        <w:t>Justice:</w:t>
      </w:r>
      <w:r>
        <w:rPr>
          <w:spacing w:val="-2"/>
          <w:sz w:val="18"/>
          <w:vertAlign w:val="baseline"/>
        </w:rPr>
        <w:t> </w:t>
      </w:r>
      <w:r>
        <w:rPr>
          <w:sz w:val="18"/>
          <w:vertAlign w:val="baseline"/>
        </w:rPr>
        <w:t>Unequal</w:t>
      </w:r>
      <w:r>
        <w:rPr>
          <w:spacing w:val="-3"/>
          <w:sz w:val="18"/>
          <w:vertAlign w:val="baseline"/>
        </w:rPr>
        <w:t> </w:t>
      </w:r>
      <w:r>
        <w:rPr>
          <w:sz w:val="18"/>
          <w:vertAlign w:val="baseline"/>
        </w:rPr>
        <w:t>Environmental</w:t>
      </w:r>
      <w:r>
        <w:rPr>
          <w:spacing w:val="-3"/>
          <w:sz w:val="18"/>
          <w:vertAlign w:val="baseline"/>
        </w:rPr>
        <w:t> </w:t>
      </w:r>
      <w:r>
        <w:rPr>
          <w:sz w:val="18"/>
          <w:vertAlign w:val="baseline"/>
        </w:rPr>
        <w:t>Health</w:t>
      </w:r>
      <w:r>
        <w:rPr>
          <w:spacing w:val="-2"/>
          <w:sz w:val="18"/>
          <w:vertAlign w:val="baseline"/>
        </w:rPr>
        <w:t> </w:t>
      </w:r>
      <w:r>
        <w:rPr>
          <w:sz w:val="18"/>
          <w:vertAlign w:val="baseline"/>
        </w:rPr>
        <w:t>Burden</w:t>
      </w:r>
      <w:r>
        <w:rPr>
          <w:spacing w:val="-2"/>
          <w:sz w:val="18"/>
          <w:vertAlign w:val="baseline"/>
        </w:rPr>
        <w:t> </w:t>
      </w:r>
      <w:r>
        <w:rPr>
          <w:sz w:val="18"/>
          <w:vertAlign w:val="baseline"/>
        </w:rPr>
        <w:t>on</w:t>
      </w:r>
      <w:r>
        <w:rPr>
          <w:spacing w:val="-3"/>
          <w:sz w:val="18"/>
          <w:vertAlign w:val="baseline"/>
        </w:rPr>
        <w:t> </w:t>
      </w:r>
      <w:r>
        <w:rPr>
          <w:sz w:val="18"/>
          <w:vertAlign w:val="baseline"/>
        </w:rPr>
        <w:t>the</w:t>
      </w:r>
      <w:r>
        <w:rPr>
          <w:spacing w:val="-2"/>
          <w:sz w:val="18"/>
          <w:vertAlign w:val="baseline"/>
        </w:rPr>
        <w:t> </w:t>
      </w:r>
      <w:r>
        <w:rPr>
          <w:sz w:val="18"/>
          <w:vertAlign w:val="baseline"/>
        </w:rPr>
        <w:t>LGBTQ+ Community,”</w:t>
      </w:r>
      <w:r>
        <w:rPr>
          <w:spacing w:val="-5"/>
          <w:sz w:val="18"/>
          <w:vertAlign w:val="baseline"/>
        </w:rPr>
        <w:t> </w:t>
      </w:r>
      <w:r>
        <w:rPr>
          <w:i/>
          <w:sz w:val="18"/>
          <w:vertAlign w:val="baseline"/>
        </w:rPr>
        <w:t>American</w:t>
      </w:r>
      <w:r>
        <w:rPr>
          <w:i/>
          <w:spacing w:val="-2"/>
          <w:sz w:val="18"/>
          <w:vertAlign w:val="baseline"/>
        </w:rPr>
        <w:t> </w:t>
      </w:r>
      <w:r>
        <w:rPr>
          <w:i/>
          <w:sz w:val="18"/>
          <w:vertAlign w:val="baseline"/>
        </w:rPr>
        <w:t>Journal</w:t>
      </w:r>
      <w:r>
        <w:rPr>
          <w:i/>
          <w:spacing w:val="-2"/>
          <w:sz w:val="18"/>
          <w:vertAlign w:val="baseline"/>
        </w:rPr>
        <w:t> </w:t>
      </w:r>
      <w:r>
        <w:rPr>
          <w:i/>
          <w:sz w:val="18"/>
          <w:vertAlign w:val="baseline"/>
        </w:rPr>
        <w:t>of</w:t>
      </w:r>
      <w:r>
        <w:rPr>
          <w:i/>
          <w:spacing w:val="-3"/>
          <w:sz w:val="18"/>
          <w:vertAlign w:val="baseline"/>
        </w:rPr>
        <w:t> </w:t>
      </w:r>
      <w:r>
        <w:rPr>
          <w:i/>
          <w:sz w:val="18"/>
          <w:vertAlign w:val="baseline"/>
        </w:rPr>
        <w:t>Public</w:t>
      </w:r>
      <w:r>
        <w:rPr>
          <w:i/>
          <w:spacing w:val="-3"/>
          <w:sz w:val="18"/>
          <w:vertAlign w:val="baseline"/>
        </w:rPr>
        <w:t> </w:t>
      </w:r>
      <w:r>
        <w:rPr>
          <w:i/>
          <w:sz w:val="18"/>
          <w:vertAlign w:val="baseline"/>
        </w:rPr>
        <w:t>Health</w:t>
      </w:r>
      <w:r>
        <w:rPr>
          <w:i/>
          <w:spacing w:val="-2"/>
          <w:sz w:val="18"/>
          <w:vertAlign w:val="baseline"/>
        </w:rPr>
        <w:t> </w:t>
      </w:r>
      <w:r>
        <w:rPr>
          <w:sz w:val="18"/>
          <w:vertAlign w:val="baseline"/>
        </w:rPr>
        <w:t>112,</w:t>
      </w:r>
      <w:r>
        <w:rPr>
          <w:spacing w:val="-3"/>
          <w:sz w:val="18"/>
          <w:vertAlign w:val="baseline"/>
        </w:rPr>
        <w:t> </w:t>
      </w:r>
      <w:r>
        <w:rPr>
          <w:sz w:val="18"/>
          <w:vertAlign w:val="baseline"/>
        </w:rPr>
        <w:t>no.</w:t>
      </w:r>
      <w:r>
        <w:rPr>
          <w:spacing w:val="-2"/>
          <w:sz w:val="18"/>
          <w:vertAlign w:val="baseline"/>
        </w:rPr>
        <w:t> </w:t>
      </w:r>
      <w:r>
        <w:rPr>
          <w:sz w:val="18"/>
          <w:vertAlign w:val="baseline"/>
        </w:rPr>
        <w:t>1</w:t>
      </w:r>
      <w:r>
        <w:rPr>
          <w:spacing w:val="-3"/>
          <w:sz w:val="18"/>
          <w:vertAlign w:val="baseline"/>
        </w:rPr>
        <w:t> </w:t>
      </w:r>
      <w:r>
        <w:rPr>
          <w:sz w:val="18"/>
          <w:vertAlign w:val="baseline"/>
        </w:rPr>
        <w:t>(January</w:t>
      </w:r>
      <w:r>
        <w:rPr>
          <w:spacing w:val="-2"/>
          <w:sz w:val="18"/>
          <w:vertAlign w:val="baseline"/>
        </w:rPr>
        <w:t> </w:t>
      </w:r>
      <w:r>
        <w:rPr>
          <w:sz w:val="18"/>
          <w:vertAlign w:val="baseline"/>
        </w:rPr>
        <w:t>2022):</w:t>
      </w:r>
      <w:r>
        <w:rPr>
          <w:spacing w:val="-2"/>
          <w:sz w:val="18"/>
          <w:vertAlign w:val="baseline"/>
        </w:rPr>
        <w:t> </w:t>
      </w:r>
      <w:r>
        <w:rPr>
          <w:sz w:val="18"/>
          <w:vertAlign w:val="baseline"/>
        </w:rPr>
        <w:t>79–87,</w:t>
      </w:r>
      <w:r>
        <w:rPr>
          <w:spacing w:val="-3"/>
          <w:sz w:val="18"/>
          <w:vertAlign w:val="baseline"/>
        </w:rPr>
        <w:t> </w:t>
      </w:r>
      <w:r>
        <w:rPr>
          <w:spacing w:val="-2"/>
          <w:sz w:val="18"/>
          <w:vertAlign w:val="baseline"/>
        </w:rPr>
        <w:t>https://doi.org/10.2105/AJPH.2021.306406.</w:t>
      </w:r>
    </w:p>
    <w:p>
      <w:pPr>
        <w:spacing w:before="12"/>
        <w:ind w:left="323" w:right="0" w:firstLine="0"/>
        <w:jc w:val="left"/>
        <w:rPr>
          <w:sz w:val="18"/>
        </w:rPr>
      </w:pPr>
      <w:r>
        <w:rPr>
          <w:sz w:val="18"/>
          <w:vertAlign w:val="superscript"/>
        </w:rPr>
        <w:t>18</w:t>
      </w:r>
      <w:r>
        <w:rPr>
          <w:spacing w:val="-12"/>
          <w:sz w:val="18"/>
          <w:vertAlign w:val="baseline"/>
        </w:rPr>
        <w:t> </w:t>
      </w:r>
      <w:r>
        <w:rPr>
          <w:sz w:val="18"/>
          <w:vertAlign w:val="baseline"/>
        </w:rPr>
        <w:t>Collins,</w:t>
      </w:r>
      <w:r>
        <w:rPr>
          <w:spacing w:val="-5"/>
          <w:sz w:val="18"/>
          <w:vertAlign w:val="baseline"/>
        </w:rPr>
        <w:t> </w:t>
      </w:r>
      <w:r>
        <w:rPr>
          <w:sz w:val="18"/>
          <w:vertAlign w:val="baseline"/>
        </w:rPr>
        <w:t>Grineski,</w:t>
      </w:r>
      <w:r>
        <w:rPr>
          <w:spacing w:val="-2"/>
          <w:sz w:val="18"/>
          <w:vertAlign w:val="baseline"/>
        </w:rPr>
        <w:t> </w:t>
      </w:r>
      <w:r>
        <w:rPr>
          <w:sz w:val="18"/>
          <w:vertAlign w:val="baseline"/>
        </w:rPr>
        <w:t>and</w:t>
      </w:r>
      <w:r>
        <w:rPr>
          <w:spacing w:val="-2"/>
          <w:sz w:val="18"/>
          <w:vertAlign w:val="baseline"/>
        </w:rPr>
        <w:t> </w:t>
      </w:r>
      <w:r>
        <w:rPr>
          <w:sz w:val="18"/>
          <w:vertAlign w:val="baseline"/>
        </w:rPr>
        <w:t>Morales,</w:t>
      </w:r>
      <w:r>
        <w:rPr>
          <w:spacing w:val="-2"/>
          <w:sz w:val="18"/>
          <w:vertAlign w:val="baseline"/>
        </w:rPr>
        <w:t> </w:t>
      </w:r>
      <w:r>
        <w:rPr>
          <w:sz w:val="18"/>
          <w:vertAlign w:val="baseline"/>
        </w:rPr>
        <w:t>“We</w:t>
      </w:r>
      <w:r>
        <w:rPr>
          <w:spacing w:val="-2"/>
          <w:sz w:val="18"/>
          <w:vertAlign w:val="baseline"/>
        </w:rPr>
        <w:t> </w:t>
      </w:r>
      <w:r>
        <w:rPr>
          <w:sz w:val="18"/>
          <w:vertAlign w:val="baseline"/>
        </w:rPr>
        <w:t>Need</w:t>
      </w:r>
      <w:r>
        <w:rPr>
          <w:spacing w:val="-2"/>
          <w:sz w:val="18"/>
          <w:vertAlign w:val="baseline"/>
        </w:rPr>
        <w:t> </w:t>
      </w:r>
      <w:r>
        <w:rPr>
          <w:sz w:val="18"/>
          <w:vertAlign w:val="baseline"/>
        </w:rPr>
        <w:t>Environmental</w:t>
      </w:r>
      <w:r>
        <w:rPr>
          <w:spacing w:val="-2"/>
          <w:sz w:val="18"/>
          <w:vertAlign w:val="baseline"/>
        </w:rPr>
        <w:t> </w:t>
      </w:r>
      <w:r>
        <w:rPr>
          <w:sz w:val="18"/>
          <w:vertAlign w:val="baseline"/>
        </w:rPr>
        <w:t>Health</w:t>
      </w:r>
      <w:r>
        <w:rPr>
          <w:spacing w:val="-2"/>
          <w:sz w:val="18"/>
          <w:vertAlign w:val="baseline"/>
        </w:rPr>
        <w:t> </w:t>
      </w:r>
      <w:r>
        <w:rPr>
          <w:sz w:val="18"/>
          <w:vertAlign w:val="baseline"/>
        </w:rPr>
        <w:t>Justice</w:t>
      </w:r>
      <w:r>
        <w:rPr>
          <w:spacing w:val="-2"/>
          <w:sz w:val="18"/>
          <w:vertAlign w:val="baseline"/>
        </w:rPr>
        <w:t> </w:t>
      </w:r>
      <w:r>
        <w:rPr>
          <w:sz w:val="18"/>
          <w:vertAlign w:val="baseline"/>
        </w:rPr>
        <w:t>Research</w:t>
      </w:r>
      <w:r>
        <w:rPr>
          <w:spacing w:val="-2"/>
          <w:sz w:val="18"/>
          <w:vertAlign w:val="baseline"/>
        </w:rPr>
        <w:t> </w:t>
      </w:r>
      <w:r>
        <w:rPr>
          <w:sz w:val="18"/>
          <w:vertAlign w:val="baseline"/>
        </w:rPr>
        <w:t>and</w:t>
      </w:r>
      <w:r>
        <w:rPr>
          <w:spacing w:val="-2"/>
          <w:sz w:val="18"/>
          <w:vertAlign w:val="baseline"/>
        </w:rPr>
        <w:t> </w:t>
      </w:r>
      <w:r>
        <w:rPr>
          <w:sz w:val="18"/>
          <w:vertAlign w:val="baseline"/>
        </w:rPr>
        <w:t>Action</w:t>
      </w:r>
      <w:r>
        <w:rPr>
          <w:spacing w:val="-1"/>
          <w:sz w:val="18"/>
          <w:vertAlign w:val="baseline"/>
        </w:rPr>
        <w:t> </w:t>
      </w:r>
      <w:r>
        <w:rPr>
          <w:sz w:val="18"/>
          <w:vertAlign w:val="baseline"/>
        </w:rPr>
        <w:t>for</w:t>
      </w:r>
      <w:r>
        <w:rPr>
          <w:spacing w:val="-3"/>
          <w:sz w:val="18"/>
          <w:vertAlign w:val="baseline"/>
        </w:rPr>
        <w:t> </w:t>
      </w:r>
      <w:r>
        <w:rPr>
          <w:sz w:val="18"/>
          <w:vertAlign w:val="baseline"/>
        </w:rPr>
        <w:t>LGBTQ+</w:t>
      </w:r>
      <w:r>
        <w:rPr>
          <w:spacing w:val="-2"/>
          <w:sz w:val="18"/>
          <w:vertAlign w:val="baseline"/>
        </w:rPr>
        <w:t> People.”</w:t>
      </w:r>
    </w:p>
    <w:p>
      <w:pPr>
        <w:spacing w:line="252" w:lineRule="auto" w:before="24"/>
        <w:ind w:left="323" w:right="164" w:firstLine="0"/>
        <w:jc w:val="left"/>
        <w:rPr>
          <w:sz w:val="18"/>
        </w:rPr>
      </w:pPr>
      <w:r>
        <w:rPr>
          <w:sz w:val="18"/>
          <w:vertAlign w:val="superscript"/>
        </w:rPr>
        <w:t>19</w:t>
      </w:r>
      <w:r>
        <w:rPr>
          <w:spacing w:val="-8"/>
          <w:sz w:val="18"/>
          <w:vertAlign w:val="baseline"/>
        </w:rPr>
        <w:t> </w:t>
      </w:r>
      <w:r>
        <w:rPr>
          <w:sz w:val="18"/>
          <w:vertAlign w:val="baseline"/>
        </w:rPr>
        <w:t>Bianca D M Wilson et al., “LGBTQ Poverty in the United States: Trends at the Onset of COVID-19” (Williams Institute, UCLA School</w:t>
      </w:r>
      <w:r>
        <w:rPr>
          <w:spacing w:val="-8"/>
          <w:sz w:val="18"/>
          <w:vertAlign w:val="baseline"/>
        </w:rPr>
        <w:t> </w:t>
      </w:r>
      <w:r>
        <w:rPr>
          <w:sz w:val="18"/>
          <w:vertAlign w:val="baseline"/>
        </w:rPr>
        <w:t>of</w:t>
      </w:r>
      <w:r>
        <w:rPr>
          <w:spacing w:val="-7"/>
          <w:sz w:val="18"/>
          <w:vertAlign w:val="baseline"/>
        </w:rPr>
        <w:t> </w:t>
      </w:r>
      <w:r>
        <w:rPr>
          <w:sz w:val="18"/>
          <w:vertAlign w:val="baseline"/>
        </w:rPr>
        <w:t>Law,</w:t>
      </w:r>
      <w:r>
        <w:rPr>
          <w:spacing w:val="-8"/>
          <w:sz w:val="18"/>
          <w:vertAlign w:val="baseline"/>
        </w:rPr>
        <w:t> </w:t>
      </w:r>
      <w:r>
        <w:rPr>
          <w:sz w:val="18"/>
          <w:vertAlign w:val="baseline"/>
        </w:rPr>
        <w:t>February</w:t>
      </w:r>
      <w:r>
        <w:rPr>
          <w:spacing w:val="-7"/>
          <w:sz w:val="18"/>
          <w:vertAlign w:val="baseline"/>
        </w:rPr>
        <w:t> </w:t>
      </w:r>
      <w:r>
        <w:rPr>
          <w:sz w:val="18"/>
          <w:vertAlign w:val="baseline"/>
        </w:rPr>
        <w:t>2023),</w:t>
      </w:r>
      <w:r>
        <w:rPr>
          <w:spacing w:val="-8"/>
          <w:sz w:val="18"/>
          <w:vertAlign w:val="baseline"/>
        </w:rPr>
        <w:t> </w:t>
      </w:r>
      <w:r>
        <w:rPr>
          <w:sz w:val="18"/>
          <w:vertAlign w:val="baseline"/>
        </w:rPr>
        <w:t>https://williamsinstitute.law.ucla.edu/wp-content/uploads/LGBT-Poverty-COVID-Feb-2023.pdf. </w:t>
      </w:r>
      <w:r>
        <w:rPr>
          <w:sz w:val="18"/>
          <w:vertAlign w:val="superscript"/>
        </w:rPr>
        <w:t>20</w:t>
      </w:r>
      <w:r>
        <w:rPr>
          <w:spacing w:val="-8"/>
          <w:sz w:val="18"/>
          <w:vertAlign w:val="baseline"/>
        </w:rPr>
        <w:t> </w:t>
      </w:r>
      <w:r>
        <w:rPr>
          <w:sz w:val="18"/>
          <w:vertAlign w:val="baseline"/>
        </w:rPr>
        <w:t>Soon Kyu Cho, M.V. Lee Badgett, and Bianca D.M. Wilson, “State Profiles of LGBT Poverty in the United States” (Williams Institute, UCLA School of Law, December 2019), https://doi.org/10.4324/9780429397868-75.</w:t>
      </w:r>
    </w:p>
    <w:p>
      <w:pPr>
        <w:spacing w:line="247" w:lineRule="auto" w:before="4"/>
        <w:ind w:left="323" w:right="2066" w:hanging="1"/>
        <w:jc w:val="left"/>
        <w:rPr>
          <w:sz w:val="18"/>
        </w:rPr>
      </w:pPr>
      <w:r>
        <w:rPr>
          <w:sz w:val="18"/>
          <w:vertAlign w:val="superscript"/>
        </w:rPr>
        <w:t>21</w:t>
      </w:r>
      <w:r>
        <w:rPr>
          <w:spacing w:val="-12"/>
          <w:sz w:val="18"/>
          <w:vertAlign w:val="baseline"/>
        </w:rPr>
        <w:t> </w:t>
      </w:r>
      <w:r>
        <w:rPr>
          <w:sz w:val="18"/>
          <w:vertAlign w:val="baseline"/>
        </w:rPr>
        <w:t>American</w:t>
      </w:r>
      <w:r>
        <w:rPr>
          <w:spacing w:val="-3"/>
          <w:sz w:val="18"/>
          <w:vertAlign w:val="baseline"/>
        </w:rPr>
        <w:t> </w:t>
      </w:r>
      <w:r>
        <w:rPr>
          <w:sz w:val="18"/>
          <w:vertAlign w:val="baseline"/>
        </w:rPr>
        <w:t>Lung</w:t>
      </w:r>
      <w:r>
        <w:rPr>
          <w:spacing w:val="-2"/>
          <w:sz w:val="18"/>
          <w:vertAlign w:val="baseline"/>
        </w:rPr>
        <w:t> </w:t>
      </w:r>
      <w:r>
        <w:rPr>
          <w:sz w:val="18"/>
          <w:vertAlign w:val="baseline"/>
        </w:rPr>
        <w:t>Association,</w:t>
      </w:r>
      <w:r>
        <w:rPr>
          <w:spacing w:val="-3"/>
          <w:sz w:val="18"/>
          <w:vertAlign w:val="baseline"/>
        </w:rPr>
        <w:t> </w:t>
      </w:r>
      <w:r>
        <w:rPr>
          <w:sz w:val="18"/>
          <w:vertAlign w:val="baseline"/>
        </w:rPr>
        <w:t>“Disparities</w:t>
      </w:r>
      <w:r>
        <w:rPr>
          <w:spacing w:val="-2"/>
          <w:sz w:val="18"/>
          <w:vertAlign w:val="baseline"/>
        </w:rPr>
        <w:t> </w:t>
      </w:r>
      <w:r>
        <w:rPr>
          <w:sz w:val="18"/>
          <w:vertAlign w:val="baseline"/>
        </w:rPr>
        <w:t>in</w:t>
      </w:r>
      <w:r>
        <w:rPr>
          <w:spacing w:val="-2"/>
          <w:sz w:val="18"/>
          <w:vertAlign w:val="baseline"/>
        </w:rPr>
        <w:t> </w:t>
      </w:r>
      <w:r>
        <w:rPr>
          <w:sz w:val="18"/>
          <w:vertAlign w:val="baseline"/>
        </w:rPr>
        <w:t>the</w:t>
      </w:r>
      <w:r>
        <w:rPr>
          <w:spacing w:val="-2"/>
          <w:sz w:val="18"/>
          <w:vertAlign w:val="baseline"/>
        </w:rPr>
        <w:t> </w:t>
      </w:r>
      <w:r>
        <w:rPr>
          <w:sz w:val="18"/>
          <w:vertAlign w:val="baseline"/>
        </w:rPr>
        <w:t>Impact</w:t>
      </w:r>
      <w:r>
        <w:rPr>
          <w:spacing w:val="-3"/>
          <w:sz w:val="18"/>
          <w:vertAlign w:val="baseline"/>
        </w:rPr>
        <w:t> </w:t>
      </w:r>
      <w:r>
        <w:rPr>
          <w:sz w:val="18"/>
          <w:vertAlign w:val="baseline"/>
        </w:rPr>
        <w:t>of</w:t>
      </w:r>
      <w:r>
        <w:rPr>
          <w:spacing w:val="-2"/>
          <w:sz w:val="18"/>
          <w:vertAlign w:val="baseline"/>
        </w:rPr>
        <w:t> </w:t>
      </w:r>
      <w:r>
        <w:rPr>
          <w:sz w:val="18"/>
          <w:vertAlign w:val="baseline"/>
        </w:rPr>
        <w:t>Air</w:t>
      </w:r>
      <w:r>
        <w:rPr>
          <w:spacing w:val="-3"/>
          <w:sz w:val="18"/>
          <w:vertAlign w:val="baseline"/>
        </w:rPr>
        <w:t> </w:t>
      </w:r>
      <w:r>
        <w:rPr>
          <w:sz w:val="18"/>
          <w:vertAlign w:val="baseline"/>
        </w:rPr>
        <w:t>Pollution,”</w:t>
      </w:r>
      <w:r>
        <w:rPr>
          <w:spacing w:val="-2"/>
          <w:sz w:val="18"/>
          <w:vertAlign w:val="baseline"/>
        </w:rPr>
        <w:t> </w:t>
      </w:r>
      <w:r>
        <w:rPr>
          <w:sz w:val="18"/>
          <w:vertAlign w:val="baseline"/>
        </w:rPr>
        <w:t>accessed</w:t>
      </w:r>
      <w:r>
        <w:rPr>
          <w:spacing w:val="-2"/>
          <w:sz w:val="18"/>
          <w:vertAlign w:val="baseline"/>
        </w:rPr>
        <w:t> </w:t>
      </w:r>
      <w:r>
        <w:rPr>
          <w:sz w:val="18"/>
          <w:vertAlign w:val="baseline"/>
        </w:rPr>
        <w:t>February</w:t>
      </w:r>
      <w:r>
        <w:rPr>
          <w:spacing w:val="-2"/>
          <w:sz w:val="18"/>
          <w:vertAlign w:val="baseline"/>
        </w:rPr>
        <w:t> </w:t>
      </w:r>
      <w:r>
        <w:rPr>
          <w:sz w:val="18"/>
          <w:vertAlign w:val="baseline"/>
        </w:rPr>
        <w:t>19,</w:t>
      </w:r>
      <w:r>
        <w:rPr>
          <w:spacing w:val="-4"/>
          <w:sz w:val="18"/>
          <w:vertAlign w:val="baseline"/>
        </w:rPr>
        <w:t> </w:t>
      </w:r>
      <w:r>
        <w:rPr>
          <w:sz w:val="18"/>
          <w:vertAlign w:val="baseline"/>
        </w:rPr>
        <w:t>2023, </w:t>
      </w:r>
      <w:r>
        <w:rPr>
          <w:spacing w:val="-2"/>
          <w:sz w:val="18"/>
          <w:vertAlign w:val="baseline"/>
        </w:rPr>
        <w:t>https://</w:t>
      </w:r>
      <w:hyperlink r:id="rId629">
        <w:r>
          <w:rPr>
            <w:spacing w:val="-2"/>
            <w:sz w:val="18"/>
            <w:vertAlign w:val="baseline"/>
          </w:rPr>
          <w:t>www.lung.org/clean-air/outdoors/who-is-at-risk/disparities</w:t>
        </w:r>
      </w:hyperlink>
    </w:p>
    <w:p>
      <w:pPr>
        <w:spacing w:before="12"/>
        <w:ind w:left="323" w:right="0" w:firstLine="0"/>
        <w:jc w:val="left"/>
        <w:rPr>
          <w:sz w:val="18"/>
        </w:rPr>
      </w:pPr>
      <w:r>
        <w:rPr>
          <w:sz w:val="18"/>
          <w:vertAlign w:val="superscript"/>
        </w:rPr>
        <w:t>22</w:t>
      </w:r>
      <w:r>
        <w:rPr>
          <w:spacing w:val="-12"/>
          <w:sz w:val="18"/>
          <w:vertAlign w:val="baseline"/>
        </w:rPr>
        <w:t> </w:t>
      </w:r>
      <w:r>
        <w:rPr>
          <w:sz w:val="18"/>
          <w:vertAlign w:val="baseline"/>
        </w:rPr>
        <w:t>Jiawen</w:t>
      </w:r>
      <w:r>
        <w:rPr>
          <w:spacing w:val="-3"/>
          <w:sz w:val="18"/>
          <w:vertAlign w:val="baseline"/>
        </w:rPr>
        <w:t> </w:t>
      </w:r>
      <w:r>
        <w:rPr>
          <w:sz w:val="18"/>
          <w:vertAlign w:val="baseline"/>
        </w:rPr>
        <w:t>Liu</w:t>
      </w:r>
      <w:r>
        <w:rPr>
          <w:spacing w:val="-2"/>
          <w:sz w:val="18"/>
          <w:vertAlign w:val="baseline"/>
        </w:rPr>
        <w:t> </w:t>
      </w:r>
      <w:r>
        <w:rPr>
          <w:sz w:val="18"/>
          <w:vertAlign w:val="baseline"/>
        </w:rPr>
        <w:t>et</w:t>
      </w:r>
      <w:r>
        <w:rPr>
          <w:spacing w:val="-3"/>
          <w:sz w:val="18"/>
          <w:vertAlign w:val="baseline"/>
        </w:rPr>
        <w:t> </w:t>
      </w:r>
      <w:r>
        <w:rPr>
          <w:sz w:val="18"/>
          <w:vertAlign w:val="baseline"/>
        </w:rPr>
        <w:t>al.,</w:t>
      </w:r>
      <w:r>
        <w:rPr>
          <w:spacing w:val="-2"/>
          <w:sz w:val="18"/>
          <w:vertAlign w:val="baseline"/>
        </w:rPr>
        <w:t> </w:t>
      </w:r>
      <w:r>
        <w:rPr>
          <w:sz w:val="18"/>
          <w:vertAlign w:val="baseline"/>
        </w:rPr>
        <w:t>“Disparities</w:t>
      </w:r>
      <w:r>
        <w:rPr>
          <w:spacing w:val="-2"/>
          <w:sz w:val="18"/>
          <w:vertAlign w:val="baseline"/>
        </w:rPr>
        <w:t> </w:t>
      </w:r>
      <w:r>
        <w:rPr>
          <w:sz w:val="18"/>
          <w:vertAlign w:val="baseline"/>
        </w:rPr>
        <w:t>in</w:t>
      </w:r>
      <w:r>
        <w:rPr>
          <w:spacing w:val="-2"/>
          <w:sz w:val="18"/>
          <w:vertAlign w:val="baseline"/>
        </w:rPr>
        <w:t> </w:t>
      </w:r>
      <w:r>
        <w:rPr>
          <w:sz w:val="18"/>
          <w:vertAlign w:val="baseline"/>
        </w:rPr>
        <w:t>Air</w:t>
      </w:r>
      <w:r>
        <w:rPr>
          <w:spacing w:val="-2"/>
          <w:sz w:val="18"/>
          <w:vertAlign w:val="baseline"/>
        </w:rPr>
        <w:t> </w:t>
      </w:r>
      <w:r>
        <w:rPr>
          <w:sz w:val="18"/>
          <w:vertAlign w:val="baseline"/>
        </w:rPr>
        <w:t>Pollution</w:t>
      </w:r>
      <w:r>
        <w:rPr>
          <w:spacing w:val="-2"/>
          <w:sz w:val="18"/>
          <w:vertAlign w:val="baseline"/>
        </w:rPr>
        <w:t> </w:t>
      </w:r>
      <w:r>
        <w:rPr>
          <w:sz w:val="18"/>
          <w:vertAlign w:val="baseline"/>
        </w:rPr>
        <w:t>Exposure</w:t>
      </w:r>
      <w:r>
        <w:rPr>
          <w:spacing w:val="-2"/>
          <w:sz w:val="18"/>
          <w:vertAlign w:val="baseline"/>
        </w:rPr>
        <w:t> </w:t>
      </w:r>
      <w:r>
        <w:rPr>
          <w:sz w:val="18"/>
          <w:vertAlign w:val="baseline"/>
        </w:rPr>
        <w:t>in</w:t>
      </w:r>
      <w:r>
        <w:rPr>
          <w:spacing w:val="-1"/>
          <w:sz w:val="18"/>
          <w:vertAlign w:val="baseline"/>
        </w:rPr>
        <w:t> </w:t>
      </w:r>
      <w:r>
        <w:rPr>
          <w:sz w:val="18"/>
          <w:vertAlign w:val="baseline"/>
        </w:rPr>
        <w:t>the</w:t>
      </w:r>
      <w:r>
        <w:rPr>
          <w:spacing w:val="-2"/>
          <w:sz w:val="18"/>
          <w:vertAlign w:val="baseline"/>
        </w:rPr>
        <w:t> </w:t>
      </w:r>
      <w:r>
        <w:rPr>
          <w:sz w:val="18"/>
          <w:vertAlign w:val="baseline"/>
        </w:rPr>
        <w:t>United</w:t>
      </w:r>
      <w:r>
        <w:rPr>
          <w:spacing w:val="-2"/>
          <w:sz w:val="18"/>
          <w:vertAlign w:val="baseline"/>
        </w:rPr>
        <w:t> </w:t>
      </w:r>
      <w:r>
        <w:rPr>
          <w:sz w:val="18"/>
          <w:vertAlign w:val="baseline"/>
        </w:rPr>
        <w:t>States</w:t>
      </w:r>
      <w:r>
        <w:rPr>
          <w:spacing w:val="-1"/>
          <w:sz w:val="18"/>
          <w:vertAlign w:val="baseline"/>
        </w:rPr>
        <w:t> </w:t>
      </w:r>
      <w:r>
        <w:rPr>
          <w:sz w:val="18"/>
          <w:vertAlign w:val="baseline"/>
        </w:rPr>
        <w:t>by</w:t>
      </w:r>
      <w:r>
        <w:rPr>
          <w:spacing w:val="-2"/>
          <w:sz w:val="18"/>
          <w:vertAlign w:val="baseline"/>
        </w:rPr>
        <w:t> </w:t>
      </w:r>
      <w:r>
        <w:rPr>
          <w:sz w:val="18"/>
          <w:vertAlign w:val="baseline"/>
        </w:rPr>
        <w:t>Race/Ethnicity</w:t>
      </w:r>
      <w:r>
        <w:rPr>
          <w:spacing w:val="-2"/>
          <w:sz w:val="18"/>
          <w:vertAlign w:val="baseline"/>
        </w:rPr>
        <w:t> </w:t>
      </w:r>
      <w:r>
        <w:rPr>
          <w:sz w:val="18"/>
          <w:vertAlign w:val="baseline"/>
        </w:rPr>
        <w:t>and</w:t>
      </w:r>
      <w:r>
        <w:rPr>
          <w:spacing w:val="-1"/>
          <w:sz w:val="18"/>
          <w:vertAlign w:val="baseline"/>
        </w:rPr>
        <w:t> </w:t>
      </w:r>
      <w:r>
        <w:rPr>
          <w:sz w:val="18"/>
          <w:vertAlign w:val="baseline"/>
        </w:rPr>
        <w:t>Income,</w:t>
      </w:r>
      <w:r>
        <w:rPr>
          <w:spacing w:val="-3"/>
          <w:sz w:val="18"/>
          <w:vertAlign w:val="baseline"/>
        </w:rPr>
        <w:t> </w:t>
      </w:r>
      <w:r>
        <w:rPr>
          <w:spacing w:val="-2"/>
          <w:sz w:val="18"/>
          <w:vertAlign w:val="baseline"/>
        </w:rPr>
        <w:t>1990–2010,”</w:t>
      </w:r>
    </w:p>
    <w:p>
      <w:pPr>
        <w:spacing w:before="6"/>
        <w:ind w:left="323" w:right="0" w:firstLine="0"/>
        <w:jc w:val="left"/>
        <w:rPr>
          <w:sz w:val="18"/>
        </w:rPr>
      </w:pPr>
      <w:r>
        <w:rPr>
          <w:i/>
          <w:sz w:val="18"/>
        </w:rPr>
        <w:t>Environmental</w:t>
      </w:r>
      <w:r>
        <w:rPr>
          <w:i/>
          <w:spacing w:val="-5"/>
          <w:sz w:val="18"/>
        </w:rPr>
        <w:t> </w:t>
      </w:r>
      <w:r>
        <w:rPr>
          <w:i/>
          <w:sz w:val="18"/>
        </w:rPr>
        <w:t>Health</w:t>
      </w:r>
      <w:r>
        <w:rPr>
          <w:i/>
          <w:spacing w:val="-2"/>
          <w:sz w:val="18"/>
        </w:rPr>
        <w:t> </w:t>
      </w:r>
      <w:r>
        <w:rPr>
          <w:i/>
          <w:sz w:val="18"/>
        </w:rPr>
        <w:t>Perspectives</w:t>
      </w:r>
      <w:r>
        <w:rPr>
          <w:i/>
          <w:spacing w:val="-3"/>
          <w:sz w:val="18"/>
        </w:rPr>
        <w:t> </w:t>
      </w:r>
      <w:r>
        <w:rPr>
          <w:sz w:val="18"/>
        </w:rPr>
        <w:t>129,</w:t>
      </w:r>
      <w:r>
        <w:rPr>
          <w:spacing w:val="-3"/>
          <w:sz w:val="18"/>
        </w:rPr>
        <w:t> </w:t>
      </w:r>
      <w:r>
        <w:rPr>
          <w:sz w:val="18"/>
        </w:rPr>
        <w:t>no.</w:t>
      </w:r>
      <w:r>
        <w:rPr>
          <w:spacing w:val="-3"/>
          <w:sz w:val="18"/>
        </w:rPr>
        <w:t> </w:t>
      </w:r>
      <w:r>
        <w:rPr>
          <w:sz w:val="18"/>
        </w:rPr>
        <w:t>12</w:t>
      </w:r>
      <w:r>
        <w:rPr>
          <w:spacing w:val="-2"/>
          <w:sz w:val="18"/>
        </w:rPr>
        <w:t> </w:t>
      </w:r>
      <w:r>
        <w:rPr>
          <w:sz w:val="18"/>
        </w:rPr>
        <w:t>(n.d.):</w:t>
      </w:r>
      <w:r>
        <w:rPr>
          <w:spacing w:val="-2"/>
          <w:sz w:val="18"/>
        </w:rPr>
        <w:t> </w:t>
      </w:r>
      <w:r>
        <w:rPr>
          <w:sz w:val="18"/>
        </w:rPr>
        <w:t>127005,</w:t>
      </w:r>
      <w:r>
        <w:rPr>
          <w:spacing w:val="-3"/>
          <w:sz w:val="18"/>
        </w:rPr>
        <w:t> </w:t>
      </w:r>
      <w:r>
        <w:rPr>
          <w:spacing w:val="-2"/>
          <w:sz w:val="18"/>
        </w:rPr>
        <w:t>https://doi.org/10.1289/EHP8584.</w:t>
      </w:r>
    </w:p>
    <w:p>
      <w:pPr>
        <w:spacing w:line="244" w:lineRule="auto" w:before="18"/>
        <w:ind w:left="323" w:right="74" w:hanging="1"/>
        <w:jc w:val="left"/>
        <w:rPr>
          <w:sz w:val="18"/>
        </w:rPr>
      </w:pPr>
      <w:r>
        <w:rPr>
          <w:sz w:val="18"/>
          <w:vertAlign w:val="superscript"/>
        </w:rPr>
        <w:t>23</w:t>
      </w:r>
      <w:r>
        <w:rPr>
          <w:spacing w:val="-6"/>
          <w:sz w:val="18"/>
          <w:vertAlign w:val="baseline"/>
        </w:rPr>
        <w:t> </w:t>
      </w:r>
      <w:r>
        <w:rPr>
          <w:sz w:val="18"/>
          <w:vertAlign w:val="baseline"/>
        </w:rPr>
        <w:t>Timothy W. Collins, Sara E. Grineski, and Danielle X. Morales, “Sexual Orientation, Gender, and Environmental Injustice: Unequal</w:t>
      </w:r>
      <w:r>
        <w:rPr>
          <w:spacing w:val="-3"/>
          <w:sz w:val="18"/>
          <w:vertAlign w:val="baseline"/>
        </w:rPr>
        <w:t> </w:t>
      </w:r>
      <w:r>
        <w:rPr>
          <w:sz w:val="18"/>
          <w:vertAlign w:val="baseline"/>
        </w:rPr>
        <w:t>Carcinogenic</w:t>
      </w:r>
      <w:r>
        <w:rPr>
          <w:spacing w:val="-3"/>
          <w:sz w:val="18"/>
          <w:vertAlign w:val="baseline"/>
        </w:rPr>
        <w:t> </w:t>
      </w:r>
      <w:r>
        <w:rPr>
          <w:sz w:val="18"/>
          <w:vertAlign w:val="baseline"/>
        </w:rPr>
        <w:t>Air</w:t>
      </w:r>
      <w:r>
        <w:rPr>
          <w:spacing w:val="-3"/>
          <w:sz w:val="18"/>
          <w:vertAlign w:val="baseline"/>
        </w:rPr>
        <w:t> </w:t>
      </w:r>
      <w:r>
        <w:rPr>
          <w:sz w:val="18"/>
          <w:vertAlign w:val="baseline"/>
        </w:rPr>
        <w:t>Pollution</w:t>
      </w:r>
      <w:r>
        <w:rPr>
          <w:spacing w:val="-2"/>
          <w:sz w:val="18"/>
          <w:vertAlign w:val="baseline"/>
        </w:rPr>
        <w:t> </w:t>
      </w:r>
      <w:r>
        <w:rPr>
          <w:sz w:val="18"/>
          <w:vertAlign w:val="baseline"/>
        </w:rPr>
        <w:t>Risks</w:t>
      </w:r>
      <w:r>
        <w:rPr>
          <w:spacing w:val="-2"/>
          <w:sz w:val="18"/>
          <w:vertAlign w:val="baseline"/>
        </w:rPr>
        <w:t> </w:t>
      </w:r>
      <w:r>
        <w:rPr>
          <w:sz w:val="18"/>
          <w:vertAlign w:val="baseline"/>
        </w:rPr>
        <w:t>in</w:t>
      </w:r>
      <w:r>
        <w:rPr>
          <w:spacing w:val="-2"/>
          <w:sz w:val="18"/>
          <w:vertAlign w:val="baseline"/>
        </w:rPr>
        <w:t> </w:t>
      </w:r>
      <w:r>
        <w:rPr>
          <w:sz w:val="18"/>
          <w:vertAlign w:val="baseline"/>
        </w:rPr>
        <w:t>Greater</w:t>
      </w:r>
      <w:r>
        <w:rPr>
          <w:spacing w:val="-3"/>
          <w:sz w:val="18"/>
          <w:vertAlign w:val="baseline"/>
        </w:rPr>
        <w:t> </w:t>
      </w:r>
      <w:r>
        <w:rPr>
          <w:sz w:val="18"/>
          <w:vertAlign w:val="baseline"/>
        </w:rPr>
        <w:t>Houston,”</w:t>
      </w:r>
      <w:r>
        <w:rPr>
          <w:spacing w:val="-2"/>
          <w:sz w:val="18"/>
          <w:vertAlign w:val="baseline"/>
        </w:rPr>
        <w:t> </w:t>
      </w:r>
      <w:r>
        <w:rPr>
          <w:i/>
          <w:sz w:val="18"/>
          <w:vertAlign w:val="baseline"/>
        </w:rPr>
        <w:t>Annals</w:t>
      </w:r>
      <w:r>
        <w:rPr>
          <w:i/>
          <w:spacing w:val="-3"/>
          <w:sz w:val="18"/>
          <w:vertAlign w:val="baseline"/>
        </w:rPr>
        <w:t> </w:t>
      </w:r>
      <w:r>
        <w:rPr>
          <w:i/>
          <w:sz w:val="18"/>
          <w:vertAlign w:val="baseline"/>
        </w:rPr>
        <w:t>of</w:t>
      </w:r>
      <w:r>
        <w:rPr>
          <w:i/>
          <w:spacing w:val="-2"/>
          <w:sz w:val="18"/>
          <w:vertAlign w:val="baseline"/>
        </w:rPr>
        <w:t> </w:t>
      </w:r>
      <w:r>
        <w:rPr>
          <w:i/>
          <w:sz w:val="18"/>
          <w:vertAlign w:val="baseline"/>
        </w:rPr>
        <w:t>the</w:t>
      </w:r>
      <w:r>
        <w:rPr>
          <w:i/>
          <w:spacing w:val="-2"/>
          <w:sz w:val="18"/>
          <w:vertAlign w:val="baseline"/>
        </w:rPr>
        <w:t> </w:t>
      </w:r>
      <w:r>
        <w:rPr>
          <w:i/>
          <w:sz w:val="18"/>
          <w:vertAlign w:val="baseline"/>
        </w:rPr>
        <w:t>American</w:t>
      </w:r>
      <w:r>
        <w:rPr>
          <w:i/>
          <w:spacing w:val="-3"/>
          <w:sz w:val="18"/>
          <w:vertAlign w:val="baseline"/>
        </w:rPr>
        <w:t> </w:t>
      </w:r>
      <w:r>
        <w:rPr>
          <w:i/>
          <w:sz w:val="18"/>
          <w:vertAlign w:val="baseline"/>
        </w:rPr>
        <w:t>Association</w:t>
      </w:r>
      <w:r>
        <w:rPr>
          <w:i/>
          <w:spacing w:val="-1"/>
          <w:sz w:val="18"/>
          <w:vertAlign w:val="baseline"/>
        </w:rPr>
        <w:t> </w:t>
      </w:r>
      <w:r>
        <w:rPr>
          <w:i/>
          <w:sz w:val="18"/>
          <w:vertAlign w:val="baseline"/>
        </w:rPr>
        <w:t>of</w:t>
      </w:r>
      <w:r>
        <w:rPr>
          <w:i/>
          <w:spacing w:val="-2"/>
          <w:sz w:val="18"/>
          <w:vertAlign w:val="baseline"/>
        </w:rPr>
        <w:t> </w:t>
      </w:r>
      <w:r>
        <w:rPr>
          <w:i/>
          <w:sz w:val="18"/>
          <w:vertAlign w:val="baseline"/>
        </w:rPr>
        <w:t>Geographers</w:t>
      </w:r>
      <w:r>
        <w:rPr>
          <w:i/>
          <w:spacing w:val="-3"/>
          <w:sz w:val="18"/>
          <w:vertAlign w:val="baseline"/>
        </w:rPr>
        <w:t> </w:t>
      </w:r>
      <w:r>
        <w:rPr>
          <w:sz w:val="18"/>
          <w:vertAlign w:val="baseline"/>
        </w:rPr>
        <w:t>107,</w:t>
      </w:r>
      <w:r>
        <w:rPr>
          <w:spacing w:val="-3"/>
          <w:sz w:val="18"/>
          <w:vertAlign w:val="baseline"/>
        </w:rPr>
        <w:t> </w:t>
      </w:r>
      <w:r>
        <w:rPr>
          <w:sz w:val="18"/>
          <w:vertAlign w:val="baseline"/>
        </w:rPr>
        <w:t>no.</w:t>
      </w:r>
      <w:r>
        <w:rPr>
          <w:spacing w:val="-2"/>
          <w:sz w:val="18"/>
          <w:vertAlign w:val="baseline"/>
        </w:rPr>
        <w:t> </w:t>
      </w:r>
      <w:r>
        <w:rPr>
          <w:sz w:val="18"/>
          <w:vertAlign w:val="baseline"/>
        </w:rPr>
        <w:t>1 (January 2, 2017): 72–92, https://doi.org/10.1080/24694452.2016.1218270.</w:t>
      </w:r>
    </w:p>
    <w:p>
      <w:pPr>
        <w:spacing w:line="242" w:lineRule="auto" w:before="12"/>
        <w:ind w:left="323" w:right="164" w:firstLine="0"/>
        <w:jc w:val="left"/>
        <w:rPr>
          <w:sz w:val="18"/>
        </w:rPr>
      </w:pPr>
      <w:r>
        <w:rPr>
          <w:sz w:val="18"/>
          <w:vertAlign w:val="superscript"/>
        </w:rPr>
        <w:t>24</w:t>
      </w:r>
      <w:r>
        <w:rPr>
          <w:spacing w:val="-12"/>
          <w:sz w:val="18"/>
          <w:vertAlign w:val="baseline"/>
        </w:rPr>
        <w:t> </w:t>
      </w:r>
      <w:r>
        <w:rPr>
          <w:sz w:val="18"/>
          <w:vertAlign w:val="baseline"/>
        </w:rPr>
        <w:t>Timothy</w:t>
      </w:r>
      <w:r>
        <w:rPr>
          <w:spacing w:val="-3"/>
          <w:sz w:val="18"/>
          <w:vertAlign w:val="baseline"/>
        </w:rPr>
        <w:t> </w:t>
      </w:r>
      <w:r>
        <w:rPr>
          <w:sz w:val="18"/>
          <w:vertAlign w:val="baseline"/>
        </w:rPr>
        <w:t>W.</w:t>
      </w:r>
      <w:r>
        <w:rPr>
          <w:spacing w:val="-2"/>
          <w:sz w:val="18"/>
          <w:vertAlign w:val="baseline"/>
        </w:rPr>
        <w:t> </w:t>
      </w:r>
      <w:r>
        <w:rPr>
          <w:sz w:val="18"/>
          <w:vertAlign w:val="baseline"/>
        </w:rPr>
        <w:t>Collins,</w:t>
      </w:r>
      <w:r>
        <w:rPr>
          <w:spacing w:val="-3"/>
          <w:sz w:val="18"/>
          <w:vertAlign w:val="baseline"/>
        </w:rPr>
        <w:t> </w:t>
      </w:r>
      <w:r>
        <w:rPr>
          <w:sz w:val="18"/>
          <w:vertAlign w:val="baseline"/>
        </w:rPr>
        <w:t>Sara</w:t>
      </w:r>
      <w:r>
        <w:rPr>
          <w:spacing w:val="-2"/>
          <w:sz w:val="18"/>
          <w:vertAlign w:val="baseline"/>
        </w:rPr>
        <w:t> </w:t>
      </w:r>
      <w:r>
        <w:rPr>
          <w:sz w:val="18"/>
          <w:vertAlign w:val="baseline"/>
        </w:rPr>
        <w:t>E.</w:t>
      </w:r>
      <w:r>
        <w:rPr>
          <w:spacing w:val="-2"/>
          <w:sz w:val="18"/>
          <w:vertAlign w:val="baseline"/>
        </w:rPr>
        <w:t> </w:t>
      </w:r>
      <w:r>
        <w:rPr>
          <w:sz w:val="18"/>
          <w:vertAlign w:val="baseline"/>
        </w:rPr>
        <w:t>Grineski,</w:t>
      </w:r>
      <w:r>
        <w:rPr>
          <w:spacing w:val="-3"/>
          <w:sz w:val="18"/>
          <w:vertAlign w:val="baseline"/>
        </w:rPr>
        <w:t> </w:t>
      </w:r>
      <w:r>
        <w:rPr>
          <w:sz w:val="18"/>
          <w:vertAlign w:val="baseline"/>
        </w:rPr>
        <w:t>and</w:t>
      </w:r>
      <w:r>
        <w:rPr>
          <w:spacing w:val="-2"/>
          <w:sz w:val="18"/>
          <w:vertAlign w:val="baseline"/>
        </w:rPr>
        <w:t> </w:t>
      </w:r>
      <w:r>
        <w:rPr>
          <w:sz w:val="18"/>
          <w:vertAlign w:val="baseline"/>
        </w:rPr>
        <w:t>Danielle</w:t>
      </w:r>
      <w:r>
        <w:rPr>
          <w:spacing w:val="-2"/>
          <w:sz w:val="18"/>
          <w:vertAlign w:val="baseline"/>
        </w:rPr>
        <w:t> </w:t>
      </w:r>
      <w:r>
        <w:rPr>
          <w:sz w:val="18"/>
          <w:vertAlign w:val="baseline"/>
        </w:rPr>
        <w:t>X.</w:t>
      </w:r>
      <w:r>
        <w:rPr>
          <w:spacing w:val="-2"/>
          <w:sz w:val="18"/>
          <w:vertAlign w:val="baseline"/>
        </w:rPr>
        <w:t> </w:t>
      </w:r>
      <w:r>
        <w:rPr>
          <w:sz w:val="18"/>
          <w:vertAlign w:val="baseline"/>
        </w:rPr>
        <w:t>Morales,</w:t>
      </w:r>
      <w:r>
        <w:rPr>
          <w:spacing w:val="-3"/>
          <w:sz w:val="18"/>
          <w:vertAlign w:val="baseline"/>
        </w:rPr>
        <w:t> </w:t>
      </w:r>
      <w:r>
        <w:rPr>
          <w:sz w:val="18"/>
          <w:vertAlign w:val="baseline"/>
        </w:rPr>
        <w:t>“Environmental</w:t>
      </w:r>
      <w:r>
        <w:rPr>
          <w:spacing w:val="-3"/>
          <w:sz w:val="18"/>
          <w:vertAlign w:val="baseline"/>
        </w:rPr>
        <w:t> </w:t>
      </w:r>
      <w:r>
        <w:rPr>
          <w:sz w:val="18"/>
          <w:vertAlign w:val="baseline"/>
        </w:rPr>
        <w:t>Injustice</w:t>
      </w:r>
      <w:r>
        <w:rPr>
          <w:spacing w:val="-2"/>
          <w:sz w:val="18"/>
          <w:vertAlign w:val="baseline"/>
        </w:rPr>
        <w:t> </w:t>
      </w:r>
      <w:r>
        <w:rPr>
          <w:sz w:val="18"/>
          <w:vertAlign w:val="baseline"/>
        </w:rPr>
        <w:t>and</w:t>
      </w:r>
      <w:r>
        <w:rPr>
          <w:spacing w:val="-2"/>
          <w:sz w:val="18"/>
          <w:vertAlign w:val="baseline"/>
        </w:rPr>
        <w:t> </w:t>
      </w:r>
      <w:r>
        <w:rPr>
          <w:sz w:val="18"/>
          <w:vertAlign w:val="baseline"/>
        </w:rPr>
        <w:t>Sexual</w:t>
      </w:r>
      <w:r>
        <w:rPr>
          <w:spacing w:val="-3"/>
          <w:sz w:val="18"/>
          <w:vertAlign w:val="baseline"/>
        </w:rPr>
        <w:t> </w:t>
      </w:r>
      <w:r>
        <w:rPr>
          <w:sz w:val="18"/>
          <w:vertAlign w:val="baseline"/>
        </w:rPr>
        <w:t>Minority</w:t>
      </w:r>
      <w:r>
        <w:rPr>
          <w:spacing w:val="-2"/>
          <w:sz w:val="18"/>
          <w:vertAlign w:val="baseline"/>
        </w:rPr>
        <w:t> </w:t>
      </w:r>
      <w:r>
        <w:rPr>
          <w:sz w:val="18"/>
          <w:vertAlign w:val="baseline"/>
        </w:rPr>
        <w:t>Health</w:t>
      </w:r>
      <w:r>
        <w:rPr>
          <w:spacing w:val="-2"/>
          <w:sz w:val="18"/>
          <w:vertAlign w:val="baseline"/>
        </w:rPr>
        <w:t> </w:t>
      </w:r>
      <w:r>
        <w:rPr>
          <w:sz w:val="18"/>
          <w:vertAlign w:val="baseline"/>
        </w:rPr>
        <w:t>Disparities: A National Study of Inequitable Health Risks from Air Pollution among Same-Sex Partners,” </w:t>
      </w:r>
      <w:r>
        <w:rPr>
          <w:i/>
          <w:sz w:val="18"/>
          <w:vertAlign w:val="baseline"/>
        </w:rPr>
        <w:t>Social Science &amp; Medicine </w:t>
      </w:r>
      <w:r>
        <w:rPr>
          <w:sz w:val="18"/>
          <w:vertAlign w:val="baseline"/>
        </w:rPr>
        <w:t>191 (October 1, 2017): 38–47, https://doi.org/10.1016/j.socscimed.2017.08.040.</w:t>
      </w:r>
    </w:p>
    <w:p>
      <w:pPr>
        <w:spacing w:before="18"/>
        <w:ind w:left="323" w:right="0" w:firstLine="0"/>
        <w:jc w:val="left"/>
        <w:rPr>
          <w:sz w:val="18"/>
        </w:rPr>
      </w:pPr>
      <w:r>
        <w:rPr>
          <w:sz w:val="18"/>
          <w:vertAlign w:val="superscript"/>
        </w:rPr>
        <w:t>25</w:t>
      </w:r>
      <w:r>
        <w:rPr>
          <w:spacing w:val="-12"/>
          <w:sz w:val="18"/>
          <w:vertAlign w:val="baseline"/>
        </w:rPr>
        <w:t> </w:t>
      </w:r>
      <w:r>
        <w:rPr>
          <w:sz w:val="18"/>
          <w:vertAlign w:val="baseline"/>
        </w:rPr>
        <w:t>Maeve</w:t>
      </w:r>
      <w:r>
        <w:rPr>
          <w:spacing w:val="-3"/>
          <w:sz w:val="18"/>
          <w:vertAlign w:val="baseline"/>
        </w:rPr>
        <w:t> </w:t>
      </w:r>
      <w:r>
        <w:rPr>
          <w:sz w:val="18"/>
          <w:vertAlign w:val="baseline"/>
        </w:rPr>
        <w:t>G.</w:t>
      </w:r>
      <w:r>
        <w:rPr>
          <w:spacing w:val="-2"/>
          <w:sz w:val="18"/>
          <w:vertAlign w:val="baseline"/>
        </w:rPr>
        <w:t> </w:t>
      </w:r>
      <w:r>
        <w:rPr>
          <w:sz w:val="18"/>
          <w:vertAlign w:val="baseline"/>
        </w:rPr>
        <w:t>MacMurdo</w:t>
      </w:r>
      <w:r>
        <w:rPr>
          <w:spacing w:val="-2"/>
          <w:sz w:val="18"/>
          <w:vertAlign w:val="baseline"/>
        </w:rPr>
        <w:t> </w:t>
      </w:r>
      <w:r>
        <w:rPr>
          <w:sz w:val="18"/>
          <w:vertAlign w:val="baseline"/>
        </w:rPr>
        <w:t>et</w:t>
      </w:r>
      <w:r>
        <w:rPr>
          <w:spacing w:val="-3"/>
          <w:sz w:val="18"/>
          <w:vertAlign w:val="baseline"/>
        </w:rPr>
        <w:t> </w:t>
      </w:r>
      <w:r>
        <w:rPr>
          <w:sz w:val="18"/>
          <w:vertAlign w:val="baseline"/>
        </w:rPr>
        <w:t>al.,</w:t>
      </w:r>
      <w:r>
        <w:rPr>
          <w:spacing w:val="-2"/>
          <w:sz w:val="18"/>
          <w:vertAlign w:val="baseline"/>
        </w:rPr>
        <w:t> </w:t>
      </w:r>
      <w:r>
        <w:rPr>
          <w:sz w:val="18"/>
          <w:vertAlign w:val="baseline"/>
        </w:rPr>
        <w:t>“Ambient</w:t>
      </w:r>
      <w:r>
        <w:rPr>
          <w:spacing w:val="-3"/>
          <w:sz w:val="18"/>
          <w:vertAlign w:val="baseline"/>
        </w:rPr>
        <w:t> </w:t>
      </w:r>
      <w:r>
        <w:rPr>
          <w:sz w:val="18"/>
          <w:vertAlign w:val="baseline"/>
        </w:rPr>
        <w:t>Air</w:t>
      </w:r>
      <w:r>
        <w:rPr>
          <w:spacing w:val="-3"/>
          <w:sz w:val="18"/>
          <w:vertAlign w:val="baseline"/>
        </w:rPr>
        <w:t> </w:t>
      </w:r>
      <w:r>
        <w:rPr>
          <w:sz w:val="18"/>
          <w:vertAlign w:val="baseline"/>
        </w:rPr>
        <w:t>Pollution</w:t>
      </w:r>
      <w:r>
        <w:rPr>
          <w:spacing w:val="-1"/>
          <w:sz w:val="18"/>
          <w:vertAlign w:val="baseline"/>
        </w:rPr>
        <w:t> </w:t>
      </w:r>
      <w:r>
        <w:rPr>
          <w:sz w:val="18"/>
          <w:vertAlign w:val="baseline"/>
        </w:rPr>
        <w:t>Exposure</w:t>
      </w:r>
      <w:r>
        <w:rPr>
          <w:spacing w:val="-2"/>
          <w:sz w:val="18"/>
          <w:vertAlign w:val="baseline"/>
        </w:rPr>
        <w:t> </w:t>
      </w:r>
      <w:r>
        <w:rPr>
          <w:sz w:val="18"/>
          <w:vertAlign w:val="baseline"/>
        </w:rPr>
        <w:t>among</w:t>
      </w:r>
      <w:r>
        <w:rPr>
          <w:spacing w:val="-2"/>
          <w:sz w:val="18"/>
          <w:vertAlign w:val="baseline"/>
        </w:rPr>
        <w:t> </w:t>
      </w:r>
      <w:r>
        <w:rPr>
          <w:sz w:val="18"/>
          <w:vertAlign w:val="baseline"/>
        </w:rPr>
        <w:t>Individuals</w:t>
      </w:r>
      <w:r>
        <w:rPr>
          <w:spacing w:val="-2"/>
          <w:sz w:val="18"/>
          <w:vertAlign w:val="baseline"/>
        </w:rPr>
        <w:t> </w:t>
      </w:r>
      <w:r>
        <w:rPr>
          <w:sz w:val="18"/>
          <w:vertAlign w:val="baseline"/>
        </w:rPr>
        <w:t>Experiencing</w:t>
      </w:r>
      <w:r>
        <w:rPr>
          <w:spacing w:val="-1"/>
          <w:sz w:val="18"/>
          <w:vertAlign w:val="baseline"/>
        </w:rPr>
        <w:t> </w:t>
      </w:r>
      <w:r>
        <w:rPr>
          <w:sz w:val="18"/>
          <w:vertAlign w:val="baseline"/>
        </w:rPr>
        <w:t>Unsheltered</w:t>
      </w:r>
      <w:r>
        <w:rPr>
          <w:spacing w:val="-2"/>
          <w:sz w:val="18"/>
          <w:vertAlign w:val="baseline"/>
        </w:rPr>
        <w:t> Homelessness,”</w:t>
      </w:r>
    </w:p>
    <w:p>
      <w:pPr>
        <w:spacing w:before="6"/>
        <w:ind w:left="323" w:right="0" w:firstLine="0"/>
        <w:jc w:val="left"/>
        <w:rPr>
          <w:sz w:val="18"/>
        </w:rPr>
      </w:pPr>
      <w:r>
        <w:rPr>
          <w:i/>
          <w:sz w:val="18"/>
        </w:rPr>
        <w:t>Environmental</w:t>
      </w:r>
      <w:r>
        <w:rPr>
          <w:i/>
          <w:spacing w:val="-5"/>
          <w:sz w:val="18"/>
        </w:rPr>
        <w:t> </w:t>
      </w:r>
      <w:r>
        <w:rPr>
          <w:i/>
          <w:sz w:val="18"/>
        </w:rPr>
        <w:t>Health</w:t>
      </w:r>
      <w:r>
        <w:rPr>
          <w:i/>
          <w:spacing w:val="-2"/>
          <w:sz w:val="18"/>
        </w:rPr>
        <w:t> </w:t>
      </w:r>
      <w:r>
        <w:rPr>
          <w:i/>
          <w:sz w:val="18"/>
        </w:rPr>
        <w:t>Perspectives</w:t>
      </w:r>
      <w:r>
        <w:rPr>
          <w:i/>
          <w:spacing w:val="-4"/>
          <w:sz w:val="18"/>
        </w:rPr>
        <w:t> </w:t>
      </w:r>
      <w:r>
        <w:rPr>
          <w:sz w:val="18"/>
        </w:rPr>
        <w:t>130,</w:t>
      </w:r>
      <w:r>
        <w:rPr>
          <w:spacing w:val="-3"/>
          <w:sz w:val="18"/>
        </w:rPr>
        <w:t> </w:t>
      </w:r>
      <w:r>
        <w:rPr>
          <w:sz w:val="18"/>
        </w:rPr>
        <w:t>no.</w:t>
      </w:r>
      <w:r>
        <w:rPr>
          <w:spacing w:val="-2"/>
          <w:sz w:val="18"/>
        </w:rPr>
        <w:t> </w:t>
      </w:r>
      <w:r>
        <w:rPr>
          <w:sz w:val="18"/>
        </w:rPr>
        <w:t>2</w:t>
      </w:r>
      <w:r>
        <w:rPr>
          <w:spacing w:val="-3"/>
          <w:sz w:val="18"/>
        </w:rPr>
        <w:t> </w:t>
      </w:r>
      <w:r>
        <w:rPr>
          <w:sz w:val="18"/>
        </w:rPr>
        <w:t>(n.d.):</w:t>
      </w:r>
      <w:r>
        <w:rPr>
          <w:spacing w:val="-2"/>
          <w:sz w:val="18"/>
        </w:rPr>
        <w:t> </w:t>
      </w:r>
      <w:r>
        <w:rPr>
          <w:sz w:val="18"/>
        </w:rPr>
        <w:t>027701,</w:t>
      </w:r>
      <w:r>
        <w:rPr>
          <w:spacing w:val="-3"/>
          <w:sz w:val="18"/>
        </w:rPr>
        <w:t> </w:t>
      </w:r>
      <w:r>
        <w:rPr>
          <w:spacing w:val="-2"/>
          <w:sz w:val="18"/>
        </w:rPr>
        <w:t>https://doi.org/10.1289/EHP10414.</w:t>
      </w:r>
    </w:p>
    <w:p>
      <w:pPr>
        <w:spacing w:line="244" w:lineRule="auto" w:before="18"/>
        <w:ind w:left="323" w:right="74" w:hanging="1"/>
        <w:jc w:val="left"/>
        <w:rPr>
          <w:sz w:val="18"/>
        </w:rPr>
      </w:pPr>
      <w:r>
        <w:rPr>
          <w:sz w:val="18"/>
          <w:vertAlign w:val="superscript"/>
        </w:rPr>
        <w:t>26</w:t>
      </w:r>
      <w:r>
        <w:rPr>
          <w:spacing w:val="-12"/>
          <w:sz w:val="18"/>
          <w:vertAlign w:val="baseline"/>
        </w:rPr>
        <w:t> </w:t>
      </w:r>
      <w:r>
        <w:rPr>
          <w:sz w:val="18"/>
          <w:vertAlign w:val="baseline"/>
        </w:rPr>
        <w:t>Erin</w:t>
      </w:r>
      <w:r>
        <w:rPr>
          <w:spacing w:val="-3"/>
          <w:sz w:val="18"/>
          <w:vertAlign w:val="baseline"/>
        </w:rPr>
        <w:t> </w:t>
      </w:r>
      <w:r>
        <w:rPr>
          <w:sz w:val="18"/>
          <w:vertAlign w:val="baseline"/>
        </w:rPr>
        <w:t>Goodling,</w:t>
      </w:r>
      <w:r>
        <w:rPr>
          <w:spacing w:val="-2"/>
          <w:sz w:val="18"/>
          <w:vertAlign w:val="baseline"/>
        </w:rPr>
        <w:t> </w:t>
      </w:r>
      <w:r>
        <w:rPr>
          <w:sz w:val="18"/>
          <w:vertAlign w:val="baseline"/>
        </w:rPr>
        <w:t>“Intersecting</w:t>
      </w:r>
      <w:r>
        <w:rPr>
          <w:spacing w:val="-2"/>
          <w:sz w:val="18"/>
          <w:vertAlign w:val="baseline"/>
        </w:rPr>
        <w:t> </w:t>
      </w:r>
      <w:r>
        <w:rPr>
          <w:sz w:val="18"/>
          <w:vertAlign w:val="baseline"/>
        </w:rPr>
        <w:t>Hazards,</w:t>
      </w:r>
      <w:r>
        <w:rPr>
          <w:spacing w:val="-3"/>
          <w:sz w:val="18"/>
          <w:vertAlign w:val="baseline"/>
        </w:rPr>
        <w:t> </w:t>
      </w:r>
      <w:r>
        <w:rPr>
          <w:sz w:val="18"/>
          <w:vertAlign w:val="baseline"/>
        </w:rPr>
        <w:t>Intersectional</w:t>
      </w:r>
      <w:r>
        <w:rPr>
          <w:spacing w:val="-3"/>
          <w:sz w:val="18"/>
          <w:vertAlign w:val="baseline"/>
        </w:rPr>
        <w:t> </w:t>
      </w:r>
      <w:r>
        <w:rPr>
          <w:sz w:val="18"/>
          <w:vertAlign w:val="baseline"/>
        </w:rPr>
        <w:t>Identities:</w:t>
      </w:r>
      <w:r>
        <w:rPr>
          <w:spacing w:val="-2"/>
          <w:sz w:val="18"/>
          <w:vertAlign w:val="baseline"/>
        </w:rPr>
        <w:t> </w:t>
      </w:r>
      <w:r>
        <w:rPr>
          <w:sz w:val="18"/>
          <w:vertAlign w:val="baseline"/>
        </w:rPr>
        <w:t>A</w:t>
      </w:r>
      <w:r>
        <w:rPr>
          <w:spacing w:val="-2"/>
          <w:sz w:val="18"/>
          <w:vertAlign w:val="baseline"/>
        </w:rPr>
        <w:t> </w:t>
      </w:r>
      <w:r>
        <w:rPr>
          <w:sz w:val="18"/>
          <w:vertAlign w:val="baseline"/>
        </w:rPr>
        <w:t>Baseline</w:t>
      </w:r>
      <w:r>
        <w:rPr>
          <w:spacing w:val="-2"/>
          <w:sz w:val="18"/>
          <w:vertAlign w:val="baseline"/>
        </w:rPr>
        <w:t> </w:t>
      </w:r>
      <w:r>
        <w:rPr>
          <w:sz w:val="18"/>
          <w:vertAlign w:val="baseline"/>
        </w:rPr>
        <w:t>Critical</w:t>
      </w:r>
      <w:r>
        <w:rPr>
          <w:spacing w:val="-3"/>
          <w:sz w:val="18"/>
          <w:vertAlign w:val="baseline"/>
        </w:rPr>
        <w:t> </w:t>
      </w:r>
      <w:r>
        <w:rPr>
          <w:sz w:val="18"/>
          <w:vertAlign w:val="baseline"/>
        </w:rPr>
        <w:t>Environmental</w:t>
      </w:r>
      <w:r>
        <w:rPr>
          <w:spacing w:val="-3"/>
          <w:sz w:val="18"/>
          <w:vertAlign w:val="baseline"/>
        </w:rPr>
        <w:t> </w:t>
      </w:r>
      <w:r>
        <w:rPr>
          <w:sz w:val="18"/>
          <w:vertAlign w:val="baseline"/>
        </w:rPr>
        <w:t>Justice</w:t>
      </w:r>
      <w:r>
        <w:rPr>
          <w:spacing w:val="-2"/>
          <w:sz w:val="18"/>
          <w:vertAlign w:val="baseline"/>
        </w:rPr>
        <w:t> </w:t>
      </w:r>
      <w:r>
        <w:rPr>
          <w:sz w:val="18"/>
          <w:vertAlign w:val="baseline"/>
        </w:rPr>
        <w:t>Analysis</w:t>
      </w:r>
      <w:r>
        <w:rPr>
          <w:spacing w:val="-2"/>
          <w:sz w:val="18"/>
          <w:vertAlign w:val="baseline"/>
        </w:rPr>
        <w:t> </w:t>
      </w:r>
      <w:r>
        <w:rPr>
          <w:sz w:val="18"/>
          <w:vertAlign w:val="baseline"/>
        </w:rPr>
        <w:t>of</w:t>
      </w:r>
      <w:r>
        <w:rPr>
          <w:spacing w:val="-2"/>
          <w:sz w:val="18"/>
          <w:vertAlign w:val="baseline"/>
        </w:rPr>
        <w:t> </w:t>
      </w:r>
      <w:r>
        <w:rPr>
          <w:sz w:val="18"/>
          <w:vertAlign w:val="baseline"/>
        </w:rPr>
        <w:t>US Homelessness,” </w:t>
      </w:r>
      <w:r>
        <w:rPr>
          <w:i/>
          <w:sz w:val="18"/>
          <w:vertAlign w:val="baseline"/>
        </w:rPr>
        <w:t>Environment and Planning E: Nature and Space </w:t>
      </w:r>
      <w:r>
        <w:rPr>
          <w:sz w:val="18"/>
          <w:vertAlign w:val="baseline"/>
        </w:rPr>
        <w:t>3, no. 3 (September 1, 2020): 833–56, </w:t>
      </w:r>
      <w:r>
        <w:rPr>
          <w:spacing w:val="-2"/>
          <w:sz w:val="18"/>
          <w:vertAlign w:val="baseline"/>
        </w:rPr>
        <w:t>https://doi.org/10.1177/2514848619892433.</w:t>
      </w:r>
    </w:p>
    <w:p>
      <w:pPr>
        <w:spacing w:line="247" w:lineRule="auto" w:before="11"/>
        <w:ind w:left="323" w:right="1866" w:hanging="1"/>
        <w:jc w:val="left"/>
        <w:rPr>
          <w:sz w:val="18"/>
        </w:rPr>
      </w:pPr>
      <w:r>
        <w:rPr>
          <w:sz w:val="18"/>
          <w:vertAlign w:val="superscript"/>
        </w:rPr>
        <w:t>27</w:t>
      </w:r>
      <w:r>
        <w:rPr>
          <w:spacing w:val="-12"/>
          <w:sz w:val="18"/>
          <w:vertAlign w:val="baseline"/>
        </w:rPr>
        <w:t> </w:t>
      </w:r>
      <w:r>
        <w:rPr>
          <w:sz w:val="18"/>
          <w:vertAlign w:val="baseline"/>
        </w:rPr>
        <w:t>Massachusetts</w:t>
      </w:r>
      <w:r>
        <w:rPr>
          <w:spacing w:val="-5"/>
          <w:sz w:val="18"/>
          <w:vertAlign w:val="baseline"/>
        </w:rPr>
        <w:t> </w:t>
      </w:r>
      <w:r>
        <w:rPr>
          <w:sz w:val="18"/>
          <w:vertAlign w:val="baseline"/>
        </w:rPr>
        <w:t>Commission</w:t>
      </w:r>
      <w:r>
        <w:rPr>
          <w:spacing w:val="-3"/>
          <w:sz w:val="18"/>
          <w:vertAlign w:val="baseline"/>
        </w:rPr>
        <w:t> </w:t>
      </w:r>
      <w:r>
        <w:rPr>
          <w:sz w:val="18"/>
          <w:vertAlign w:val="baseline"/>
        </w:rPr>
        <w:t>on</w:t>
      </w:r>
      <w:r>
        <w:rPr>
          <w:spacing w:val="-3"/>
          <w:sz w:val="18"/>
          <w:vertAlign w:val="baseline"/>
        </w:rPr>
        <w:t> </w:t>
      </w:r>
      <w:r>
        <w:rPr>
          <w:sz w:val="18"/>
          <w:vertAlign w:val="baseline"/>
        </w:rPr>
        <w:t>Unaccompanied</w:t>
      </w:r>
      <w:r>
        <w:rPr>
          <w:spacing w:val="-3"/>
          <w:sz w:val="18"/>
          <w:vertAlign w:val="baseline"/>
        </w:rPr>
        <w:t> </w:t>
      </w:r>
      <w:r>
        <w:rPr>
          <w:sz w:val="18"/>
          <w:vertAlign w:val="baseline"/>
        </w:rPr>
        <w:t>Homeless</w:t>
      </w:r>
      <w:r>
        <w:rPr>
          <w:spacing w:val="-3"/>
          <w:sz w:val="18"/>
          <w:vertAlign w:val="baseline"/>
        </w:rPr>
        <w:t> </w:t>
      </w:r>
      <w:r>
        <w:rPr>
          <w:sz w:val="18"/>
          <w:vertAlign w:val="baseline"/>
        </w:rPr>
        <w:t>Youth,</w:t>
      </w:r>
      <w:r>
        <w:rPr>
          <w:spacing w:val="-4"/>
          <w:sz w:val="18"/>
          <w:vertAlign w:val="baseline"/>
        </w:rPr>
        <w:t> </w:t>
      </w:r>
      <w:r>
        <w:rPr>
          <w:sz w:val="18"/>
          <w:vertAlign w:val="baseline"/>
        </w:rPr>
        <w:t>“Massachusetts</w:t>
      </w:r>
      <w:r>
        <w:rPr>
          <w:spacing w:val="-3"/>
          <w:sz w:val="18"/>
          <w:vertAlign w:val="baseline"/>
        </w:rPr>
        <w:t> </w:t>
      </w:r>
      <w:r>
        <w:rPr>
          <w:sz w:val="18"/>
          <w:vertAlign w:val="baseline"/>
        </w:rPr>
        <w:t>Youth</w:t>
      </w:r>
      <w:r>
        <w:rPr>
          <w:spacing w:val="-3"/>
          <w:sz w:val="18"/>
          <w:vertAlign w:val="baseline"/>
        </w:rPr>
        <w:t> </w:t>
      </w:r>
      <w:r>
        <w:rPr>
          <w:sz w:val="18"/>
          <w:vertAlign w:val="baseline"/>
        </w:rPr>
        <w:t>Count,”</w:t>
      </w:r>
      <w:r>
        <w:rPr>
          <w:spacing w:val="-3"/>
          <w:sz w:val="18"/>
          <w:vertAlign w:val="baseline"/>
        </w:rPr>
        <w:t> </w:t>
      </w:r>
      <w:r>
        <w:rPr>
          <w:sz w:val="18"/>
          <w:vertAlign w:val="baseline"/>
        </w:rPr>
        <w:t>2022, </w:t>
      </w:r>
      <w:r>
        <w:rPr>
          <w:spacing w:val="-2"/>
          <w:sz w:val="18"/>
          <w:vertAlign w:val="baseline"/>
        </w:rPr>
        <w:t>https://</w:t>
      </w:r>
      <w:hyperlink r:id="rId630">
        <w:r>
          <w:rPr>
            <w:spacing w:val="-2"/>
            <w:sz w:val="18"/>
            <w:vertAlign w:val="baseline"/>
          </w:rPr>
          <w:t>www.mass.gov/doc/2022-massachusetts-youth-count/download.</w:t>
        </w:r>
      </w:hyperlink>
    </w:p>
    <w:p>
      <w:pPr>
        <w:spacing w:line="247" w:lineRule="auto" w:before="11"/>
        <w:ind w:left="323" w:right="74" w:hanging="1"/>
        <w:jc w:val="left"/>
        <w:rPr>
          <w:sz w:val="18"/>
        </w:rPr>
      </w:pPr>
      <w:r>
        <w:rPr>
          <w:sz w:val="18"/>
          <w:vertAlign w:val="superscript"/>
        </w:rPr>
        <w:t>28</w:t>
      </w:r>
      <w:r>
        <w:rPr>
          <w:spacing w:val="-12"/>
          <w:sz w:val="18"/>
          <w:vertAlign w:val="baseline"/>
        </w:rPr>
        <w:t> </w:t>
      </w:r>
      <w:r>
        <w:rPr>
          <w:sz w:val="18"/>
          <w:vertAlign w:val="baseline"/>
        </w:rPr>
        <w:t>CDCTobaccoFree,</w:t>
      </w:r>
      <w:r>
        <w:rPr>
          <w:spacing w:val="-4"/>
          <w:sz w:val="18"/>
          <w:vertAlign w:val="baseline"/>
        </w:rPr>
        <w:t> </w:t>
      </w:r>
      <w:r>
        <w:rPr>
          <w:sz w:val="18"/>
          <w:vertAlign w:val="baseline"/>
        </w:rPr>
        <w:t>“LGBTQ+</w:t>
      </w:r>
      <w:r>
        <w:rPr>
          <w:spacing w:val="-2"/>
          <w:sz w:val="18"/>
          <w:vertAlign w:val="baseline"/>
        </w:rPr>
        <w:t> </w:t>
      </w:r>
      <w:r>
        <w:rPr>
          <w:sz w:val="18"/>
          <w:vertAlign w:val="baseline"/>
        </w:rPr>
        <w:t>People</w:t>
      </w:r>
      <w:r>
        <w:rPr>
          <w:spacing w:val="-2"/>
          <w:sz w:val="18"/>
          <w:vertAlign w:val="baseline"/>
        </w:rPr>
        <w:t> </w:t>
      </w:r>
      <w:r>
        <w:rPr>
          <w:sz w:val="18"/>
          <w:vertAlign w:val="baseline"/>
        </w:rPr>
        <w:t>and</w:t>
      </w:r>
      <w:r>
        <w:rPr>
          <w:spacing w:val="-2"/>
          <w:sz w:val="18"/>
          <w:vertAlign w:val="baseline"/>
        </w:rPr>
        <w:t> </w:t>
      </w:r>
      <w:r>
        <w:rPr>
          <w:sz w:val="18"/>
          <w:vertAlign w:val="baseline"/>
        </w:rPr>
        <w:t>Commercial</w:t>
      </w:r>
      <w:r>
        <w:rPr>
          <w:spacing w:val="-3"/>
          <w:sz w:val="18"/>
          <w:vertAlign w:val="baseline"/>
        </w:rPr>
        <w:t> </w:t>
      </w:r>
      <w:r>
        <w:rPr>
          <w:sz w:val="18"/>
          <w:vertAlign w:val="baseline"/>
        </w:rPr>
        <w:t>Tobacco:</w:t>
      </w:r>
      <w:r>
        <w:rPr>
          <w:spacing w:val="-1"/>
          <w:sz w:val="18"/>
          <w:vertAlign w:val="baseline"/>
        </w:rPr>
        <w:t> </w:t>
      </w:r>
      <w:r>
        <w:rPr>
          <w:sz w:val="18"/>
          <w:vertAlign w:val="baseline"/>
        </w:rPr>
        <w:t>Health</w:t>
      </w:r>
      <w:r>
        <w:rPr>
          <w:spacing w:val="-2"/>
          <w:sz w:val="18"/>
          <w:vertAlign w:val="baseline"/>
        </w:rPr>
        <w:t> </w:t>
      </w:r>
      <w:r>
        <w:rPr>
          <w:sz w:val="18"/>
          <w:vertAlign w:val="baseline"/>
        </w:rPr>
        <w:t>Disparities</w:t>
      </w:r>
      <w:r>
        <w:rPr>
          <w:spacing w:val="-2"/>
          <w:sz w:val="18"/>
          <w:vertAlign w:val="baseline"/>
        </w:rPr>
        <w:t> </w:t>
      </w:r>
      <w:r>
        <w:rPr>
          <w:sz w:val="18"/>
          <w:vertAlign w:val="baseline"/>
        </w:rPr>
        <w:t>and</w:t>
      </w:r>
      <w:r>
        <w:rPr>
          <w:spacing w:val="-2"/>
          <w:sz w:val="18"/>
          <w:vertAlign w:val="baseline"/>
        </w:rPr>
        <w:t> </w:t>
      </w:r>
      <w:r>
        <w:rPr>
          <w:sz w:val="18"/>
          <w:vertAlign w:val="baseline"/>
        </w:rPr>
        <w:t>Ways</w:t>
      </w:r>
      <w:r>
        <w:rPr>
          <w:spacing w:val="-2"/>
          <w:sz w:val="18"/>
          <w:vertAlign w:val="baseline"/>
        </w:rPr>
        <w:t> </w:t>
      </w:r>
      <w:r>
        <w:rPr>
          <w:sz w:val="18"/>
          <w:vertAlign w:val="baseline"/>
        </w:rPr>
        <w:t>to</w:t>
      </w:r>
      <w:r>
        <w:rPr>
          <w:spacing w:val="-2"/>
          <w:sz w:val="18"/>
          <w:vertAlign w:val="baseline"/>
        </w:rPr>
        <w:t> </w:t>
      </w:r>
      <w:r>
        <w:rPr>
          <w:sz w:val="18"/>
          <w:vertAlign w:val="baseline"/>
        </w:rPr>
        <w:t>Advance</w:t>
      </w:r>
      <w:r>
        <w:rPr>
          <w:spacing w:val="-2"/>
          <w:sz w:val="18"/>
          <w:vertAlign w:val="baseline"/>
        </w:rPr>
        <w:t> </w:t>
      </w:r>
      <w:r>
        <w:rPr>
          <w:sz w:val="18"/>
          <w:vertAlign w:val="baseline"/>
        </w:rPr>
        <w:t>Health</w:t>
      </w:r>
      <w:r>
        <w:rPr>
          <w:spacing w:val="-2"/>
          <w:sz w:val="18"/>
          <w:vertAlign w:val="baseline"/>
        </w:rPr>
        <w:t> </w:t>
      </w:r>
      <w:r>
        <w:rPr>
          <w:sz w:val="18"/>
          <w:vertAlign w:val="baseline"/>
        </w:rPr>
        <w:t>Equity,”</w:t>
      </w:r>
      <w:r>
        <w:rPr>
          <w:spacing w:val="-2"/>
          <w:sz w:val="18"/>
          <w:vertAlign w:val="baseline"/>
        </w:rPr>
        <w:t> </w:t>
      </w:r>
      <w:r>
        <w:rPr>
          <w:sz w:val="18"/>
          <w:vertAlign w:val="baseline"/>
        </w:rPr>
        <w:t>Centers for Disease Control and Prevention, June 24, 2022, https://</w:t>
      </w:r>
      <w:hyperlink r:id="rId631">
        <w:r>
          <w:rPr>
            <w:sz w:val="18"/>
            <w:vertAlign w:val="baseline"/>
          </w:rPr>
          <w:t>www.cdc.gov/tobacco/health-equity/lgbtq/index.html.</w:t>
        </w:r>
      </w:hyperlink>
    </w:p>
    <w:p>
      <w:pPr>
        <w:spacing w:line="247" w:lineRule="auto" w:before="12"/>
        <w:ind w:left="323" w:right="3068" w:hanging="1"/>
        <w:jc w:val="left"/>
        <w:rPr>
          <w:sz w:val="18"/>
        </w:rPr>
      </w:pPr>
      <w:r>
        <w:rPr>
          <w:sz w:val="18"/>
          <w:vertAlign w:val="superscript"/>
        </w:rPr>
        <w:t>29</w:t>
      </w:r>
      <w:r>
        <w:rPr>
          <w:spacing w:val="-12"/>
          <w:sz w:val="18"/>
          <w:vertAlign w:val="baseline"/>
        </w:rPr>
        <w:t> </w:t>
      </w:r>
      <w:r>
        <w:rPr>
          <w:sz w:val="18"/>
          <w:vertAlign w:val="baseline"/>
        </w:rPr>
        <w:t>“Youth</w:t>
      </w:r>
      <w:r>
        <w:rPr>
          <w:spacing w:val="-5"/>
          <w:sz w:val="18"/>
          <w:vertAlign w:val="baseline"/>
        </w:rPr>
        <w:t> </w:t>
      </w:r>
      <w:r>
        <w:rPr>
          <w:sz w:val="18"/>
          <w:vertAlign w:val="baseline"/>
        </w:rPr>
        <w:t>Risk</w:t>
      </w:r>
      <w:r>
        <w:rPr>
          <w:spacing w:val="-4"/>
          <w:sz w:val="18"/>
          <w:vertAlign w:val="baseline"/>
        </w:rPr>
        <w:t> </w:t>
      </w:r>
      <w:r>
        <w:rPr>
          <w:sz w:val="18"/>
          <w:vertAlign w:val="baseline"/>
        </w:rPr>
        <w:t>Behavior</w:t>
      </w:r>
      <w:r>
        <w:rPr>
          <w:spacing w:val="-4"/>
          <w:sz w:val="18"/>
          <w:vertAlign w:val="baseline"/>
        </w:rPr>
        <w:t> </w:t>
      </w:r>
      <w:r>
        <w:rPr>
          <w:sz w:val="18"/>
          <w:vertAlign w:val="baseline"/>
        </w:rPr>
        <w:t>Surveillance</w:t>
      </w:r>
      <w:r>
        <w:rPr>
          <w:spacing w:val="-3"/>
          <w:sz w:val="18"/>
          <w:vertAlign w:val="baseline"/>
        </w:rPr>
        <w:t> </w:t>
      </w:r>
      <w:r>
        <w:rPr>
          <w:sz w:val="18"/>
          <w:vertAlign w:val="baseline"/>
        </w:rPr>
        <w:t>System</w:t>
      </w:r>
      <w:r>
        <w:rPr>
          <w:spacing w:val="-4"/>
          <w:sz w:val="18"/>
          <w:vertAlign w:val="baseline"/>
        </w:rPr>
        <w:t> </w:t>
      </w:r>
      <w:r>
        <w:rPr>
          <w:sz w:val="18"/>
          <w:vertAlign w:val="baseline"/>
        </w:rPr>
        <w:t>(YBSS),”</w:t>
      </w:r>
      <w:r>
        <w:rPr>
          <w:spacing w:val="-3"/>
          <w:sz w:val="18"/>
          <w:vertAlign w:val="baseline"/>
        </w:rPr>
        <w:t> </w:t>
      </w:r>
      <w:r>
        <w:rPr>
          <w:sz w:val="18"/>
          <w:vertAlign w:val="baseline"/>
        </w:rPr>
        <w:t>January</w:t>
      </w:r>
      <w:r>
        <w:rPr>
          <w:spacing w:val="-3"/>
          <w:sz w:val="18"/>
          <w:vertAlign w:val="baseline"/>
        </w:rPr>
        <w:t> </w:t>
      </w:r>
      <w:r>
        <w:rPr>
          <w:sz w:val="18"/>
          <w:vertAlign w:val="baseline"/>
        </w:rPr>
        <w:t>18,</w:t>
      </w:r>
      <w:r>
        <w:rPr>
          <w:spacing w:val="-5"/>
          <w:sz w:val="18"/>
          <w:vertAlign w:val="baseline"/>
        </w:rPr>
        <w:t> </w:t>
      </w:r>
      <w:r>
        <w:rPr>
          <w:sz w:val="18"/>
          <w:vertAlign w:val="baseline"/>
        </w:rPr>
        <w:t>2023, </w:t>
      </w:r>
      <w:r>
        <w:rPr>
          <w:spacing w:val="-2"/>
          <w:sz w:val="18"/>
          <w:vertAlign w:val="baseline"/>
        </w:rPr>
        <w:t>https</w:t>
      </w:r>
      <w:hyperlink r:id="rId632">
        <w:r>
          <w:rPr>
            <w:spacing w:val="-2"/>
            <w:sz w:val="18"/>
            <w:vertAlign w:val="baseline"/>
          </w:rPr>
          <w:t>://w</w:t>
        </w:r>
      </w:hyperlink>
      <w:r>
        <w:rPr>
          <w:spacing w:val="-2"/>
          <w:sz w:val="18"/>
          <w:vertAlign w:val="baseline"/>
        </w:rPr>
        <w:t>ww</w:t>
      </w:r>
      <w:hyperlink r:id="rId632">
        <w:r>
          <w:rPr>
            <w:spacing w:val="-2"/>
            <w:sz w:val="18"/>
            <w:vertAlign w:val="baseline"/>
          </w:rPr>
          <w:t>.cdc.gov/healthyyouth/data/yrbs/index.htm.</w:t>
        </w:r>
      </w:hyperlink>
    </w:p>
    <w:p>
      <w:pPr>
        <w:spacing w:before="10"/>
        <w:ind w:left="323" w:right="0" w:firstLine="0"/>
        <w:jc w:val="left"/>
        <w:rPr>
          <w:sz w:val="18"/>
        </w:rPr>
      </w:pPr>
      <w:r>
        <w:rPr>
          <w:sz w:val="18"/>
          <w:vertAlign w:val="superscript"/>
        </w:rPr>
        <w:t>30</w:t>
      </w:r>
      <w:r>
        <w:rPr>
          <w:spacing w:val="-12"/>
          <w:sz w:val="18"/>
          <w:vertAlign w:val="baseline"/>
        </w:rPr>
        <w:t> </w:t>
      </w:r>
      <w:r>
        <w:rPr>
          <w:sz w:val="18"/>
          <w:vertAlign w:val="baseline"/>
        </w:rPr>
        <w:t>Wendy</w:t>
      </w:r>
      <w:r>
        <w:rPr>
          <w:spacing w:val="-3"/>
          <w:sz w:val="18"/>
          <w:vertAlign w:val="baseline"/>
        </w:rPr>
        <w:t> </w:t>
      </w:r>
      <w:r>
        <w:rPr>
          <w:sz w:val="18"/>
          <w:vertAlign w:val="baseline"/>
        </w:rPr>
        <w:t>B.</w:t>
      </w:r>
      <w:r>
        <w:rPr>
          <w:spacing w:val="-1"/>
          <w:sz w:val="18"/>
          <w:vertAlign w:val="baseline"/>
        </w:rPr>
        <w:t> </w:t>
      </w:r>
      <w:r>
        <w:rPr>
          <w:sz w:val="18"/>
          <w:vertAlign w:val="baseline"/>
        </w:rPr>
        <w:t>Max</w:t>
      </w:r>
      <w:r>
        <w:rPr>
          <w:spacing w:val="-2"/>
          <w:sz w:val="18"/>
          <w:vertAlign w:val="baseline"/>
        </w:rPr>
        <w:t> </w:t>
      </w:r>
      <w:r>
        <w:rPr>
          <w:sz w:val="18"/>
          <w:vertAlign w:val="baseline"/>
        </w:rPr>
        <w:t>et</w:t>
      </w:r>
      <w:r>
        <w:rPr>
          <w:spacing w:val="-3"/>
          <w:sz w:val="18"/>
          <w:vertAlign w:val="baseline"/>
        </w:rPr>
        <w:t> </w:t>
      </w:r>
      <w:r>
        <w:rPr>
          <w:sz w:val="18"/>
          <w:vertAlign w:val="baseline"/>
        </w:rPr>
        <w:t>al.,</w:t>
      </w:r>
      <w:r>
        <w:rPr>
          <w:spacing w:val="-2"/>
          <w:sz w:val="18"/>
          <w:vertAlign w:val="baseline"/>
        </w:rPr>
        <w:t> </w:t>
      </w:r>
      <w:r>
        <w:rPr>
          <w:sz w:val="18"/>
          <w:vertAlign w:val="baseline"/>
        </w:rPr>
        <w:t>“Sexual</w:t>
      </w:r>
      <w:r>
        <w:rPr>
          <w:spacing w:val="-2"/>
          <w:sz w:val="18"/>
          <w:vertAlign w:val="baseline"/>
        </w:rPr>
        <w:t> </w:t>
      </w:r>
      <w:r>
        <w:rPr>
          <w:sz w:val="18"/>
          <w:vertAlign w:val="baseline"/>
        </w:rPr>
        <w:t>Identity</w:t>
      </w:r>
      <w:r>
        <w:rPr>
          <w:spacing w:val="-1"/>
          <w:sz w:val="18"/>
          <w:vertAlign w:val="baseline"/>
        </w:rPr>
        <w:t> </w:t>
      </w:r>
      <w:r>
        <w:rPr>
          <w:sz w:val="18"/>
          <w:vertAlign w:val="baseline"/>
        </w:rPr>
        <w:t>Disparities</w:t>
      </w:r>
      <w:r>
        <w:rPr>
          <w:spacing w:val="-2"/>
          <w:sz w:val="18"/>
          <w:vertAlign w:val="baseline"/>
        </w:rPr>
        <w:t> </w:t>
      </w:r>
      <w:r>
        <w:rPr>
          <w:sz w:val="18"/>
          <w:vertAlign w:val="baseline"/>
        </w:rPr>
        <w:t>in</w:t>
      </w:r>
      <w:r>
        <w:rPr>
          <w:spacing w:val="-1"/>
          <w:sz w:val="18"/>
          <w:vertAlign w:val="baseline"/>
        </w:rPr>
        <w:t> </w:t>
      </w:r>
      <w:r>
        <w:rPr>
          <w:sz w:val="18"/>
          <w:vertAlign w:val="baseline"/>
        </w:rPr>
        <w:t>Smoking</w:t>
      </w:r>
      <w:r>
        <w:rPr>
          <w:spacing w:val="-1"/>
          <w:sz w:val="18"/>
          <w:vertAlign w:val="baseline"/>
        </w:rPr>
        <w:t> </w:t>
      </w:r>
      <w:r>
        <w:rPr>
          <w:sz w:val="18"/>
          <w:vertAlign w:val="baseline"/>
        </w:rPr>
        <w:t>and</w:t>
      </w:r>
      <w:r>
        <w:rPr>
          <w:spacing w:val="-3"/>
          <w:sz w:val="18"/>
          <w:vertAlign w:val="baseline"/>
        </w:rPr>
        <w:t> </w:t>
      </w:r>
      <w:r>
        <w:rPr>
          <w:sz w:val="18"/>
          <w:vertAlign w:val="baseline"/>
        </w:rPr>
        <w:t>Secondhand</w:t>
      </w:r>
      <w:r>
        <w:rPr>
          <w:spacing w:val="-1"/>
          <w:sz w:val="18"/>
          <w:vertAlign w:val="baseline"/>
        </w:rPr>
        <w:t> </w:t>
      </w:r>
      <w:r>
        <w:rPr>
          <w:sz w:val="18"/>
          <w:vertAlign w:val="baseline"/>
        </w:rPr>
        <w:t>Smoke</w:t>
      </w:r>
      <w:r>
        <w:rPr>
          <w:spacing w:val="-1"/>
          <w:sz w:val="18"/>
          <w:vertAlign w:val="baseline"/>
        </w:rPr>
        <w:t> </w:t>
      </w:r>
      <w:r>
        <w:rPr>
          <w:sz w:val="18"/>
          <w:vertAlign w:val="baseline"/>
        </w:rPr>
        <w:t>Exposure</w:t>
      </w:r>
      <w:r>
        <w:rPr>
          <w:spacing w:val="-1"/>
          <w:sz w:val="18"/>
          <w:vertAlign w:val="baseline"/>
        </w:rPr>
        <w:t> </w:t>
      </w:r>
      <w:r>
        <w:rPr>
          <w:sz w:val="18"/>
          <w:vertAlign w:val="baseline"/>
        </w:rPr>
        <w:t>in</w:t>
      </w:r>
      <w:r>
        <w:rPr>
          <w:spacing w:val="-3"/>
          <w:sz w:val="18"/>
          <w:vertAlign w:val="baseline"/>
        </w:rPr>
        <w:t> </w:t>
      </w:r>
      <w:r>
        <w:rPr>
          <w:sz w:val="18"/>
          <w:vertAlign w:val="baseline"/>
        </w:rPr>
        <w:t>California:</w:t>
      </w:r>
      <w:r>
        <w:rPr>
          <w:spacing w:val="-1"/>
          <w:sz w:val="18"/>
          <w:vertAlign w:val="baseline"/>
        </w:rPr>
        <w:t> </w:t>
      </w:r>
      <w:r>
        <w:rPr>
          <w:spacing w:val="-2"/>
          <w:sz w:val="18"/>
          <w:vertAlign w:val="baseline"/>
        </w:rPr>
        <w:t>2003–2013,”</w:t>
      </w:r>
    </w:p>
    <w:p>
      <w:pPr>
        <w:spacing w:before="7"/>
        <w:ind w:left="323" w:right="0" w:firstLine="0"/>
        <w:jc w:val="left"/>
        <w:rPr>
          <w:sz w:val="18"/>
        </w:rPr>
      </w:pPr>
      <w:r>
        <w:rPr>
          <w:i/>
          <w:sz w:val="18"/>
        </w:rPr>
        <w:t>American</w:t>
      </w:r>
      <w:r>
        <w:rPr>
          <w:i/>
          <w:spacing w:val="-4"/>
          <w:sz w:val="18"/>
        </w:rPr>
        <w:t> </w:t>
      </w:r>
      <w:r>
        <w:rPr>
          <w:i/>
          <w:sz w:val="18"/>
        </w:rPr>
        <w:t>Journal</w:t>
      </w:r>
      <w:r>
        <w:rPr>
          <w:i/>
          <w:spacing w:val="-3"/>
          <w:sz w:val="18"/>
        </w:rPr>
        <w:t> </w:t>
      </w:r>
      <w:r>
        <w:rPr>
          <w:i/>
          <w:sz w:val="18"/>
        </w:rPr>
        <w:t>of</w:t>
      </w:r>
      <w:r>
        <w:rPr>
          <w:i/>
          <w:spacing w:val="-2"/>
          <w:sz w:val="18"/>
        </w:rPr>
        <w:t> </w:t>
      </w:r>
      <w:r>
        <w:rPr>
          <w:i/>
          <w:sz w:val="18"/>
        </w:rPr>
        <w:t>Public</w:t>
      </w:r>
      <w:r>
        <w:rPr>
          <w:i/>
          <w:spacing w:val="-3"/>
          <w:sz w:val="18"/>
        </w:rPr>
        <w:t> </w:t>
      </w:r>
      <w:r>
        <w:rPr>
          <w:i/>
          <w:sz w:val="18"/>
        </w:rPr>
        <w:t>Health</w:t>
      </w:r>
      <w:r>
        <w:rPr>
          <w:i/>
          <w:spacing w:val="-2"/>
          <w:sz w:val="18"/>
        </w:rPr>
        <w:t> </w:t>
      </w:r>
      <w:r>
        <w:rPr>
          <w:sz w:val="18"/>
        </w:rPr>
        <w:t>106,</w:t>
      </w:r>
      <w:r>
        <w:rPr>
          <w:spacing w:val="-2"/>
          <w:sz w:val="18"/>
        </w:rPr>
        <w:t> </w:t>
      </w:r>
      <w:r>
        <w:rPr>
          <w:sz w:val="18"/>
        </w:rPr>
        <w:t>no.</w:t>
      </w:r>
      <w:r>
        <w:rPr>
          <w:spacing w:val="-2"/>
          <w:sz w:val="18"/>
        </w:rPr>
        <w:t> </w:t>
      </w:r>
      <w:r>
        <w:rPr>
          <w:sz w:val="18"/>
        </w:rPr>
        <w:t>6</w:t>
      </w:r>
      <w:r>
        <w:rPr>
          <w:spacing w:val="-2"/>
          <w:sz w:val="18"/>
        </w:rPr>
        <w:t> </w:t>
      </w:r>
      <w:r>
        <w:rPr>
          <w:sz w:val="18"/>
        </w:rPr>
        <w:t>(June</w:t>
      </w:r>
      <w:r>
        <w:rPr>
          <w:spacing w:val="-2"/>
          <w:sz w:val="18"/>
        </w:rPr>
        <w:t> </w:t>
      </w:r>
      <w:r>
        <w:rPr>
          <w:sz w:val="18"/>
        </w:rPr>
        <w:t>2016):</w:t>
      </w:r>
      <w:r>
        <w:rPr>
          <w:spacing w:val="-2"/>
          <w:sz w:val="18"/>
        </w:rPr>
        <w:t> </w:t>
      </w:r>
      <w:r>
        <w:rPr>
          <w:sz w:val="18"/>
        </w:rPr>
        <w:t>1136–42,</w:t>
      </w:r>
      <w:r>
        <w:rPr>
          <w:spacing w:val="-2"/>
          <w:sz w:val="18"/>
        </w:rPr>
        <w:t> https://doi.org/10.2105/AJPH.2016.303071.</w:t>
      </w:r>
    </w:p>
    <w:p>
      <w:pPr>
        <w:spacing w:before="18"/>
        <w:ind w:left="323" w:right="0" w:firstLine="0"/>
        <w:jc w:val="left"/>
        <w:rPr>
          <w:sz w:val="18"/>
        </w:rPr>
      </w:pPr>
      <w:r>
        <w:rPr>
          <w:sz w:val="18"/>
          <w:vertAlign w:val="superscript"/>
        </w:rPr>
        <w:t>31</w:t>
      </w:r>
      <w:r>
        <w:rPr>
          <w:spacing w:val="-12"/>
          <w:sz w:val="18"/>
          <w:vertAlign w:val="baseline"/>
        </w:rPr>
        <w:t> </w:t>
      </w:r>
      <w:r>
        <w:rPr>
          <w:sz w:val="18"/>
          <w:vertAlign w:val="baseline"/>
        </w:rPr>
        <w:t>Amanda</w:t>
      </w:r>
      <w:r>
        <w:rPr>
          <w:spacing w:val="-3"/>
          <w:sz w:val="18"/>
          <w:vertAlign w:val="baseline"/>
        </w:rPr>
        <w:t> </w:t>
      </w:r>
      <w:r>
        <w:rPr>
          <w:sz w:val="18"/>
          <w:vertAlign w:val="baseline"/>
        </w:rPr>
        <w:t>Fallin</w:t>
      </w:r>
      <w:r>
        <w:rPr>
          <w:spacing w:val="-1"/>
          <w:sz w:val="18"/>
          <w:vertAlign w:val="baseline"/>
        </w:rPr>
        <w:t> </w:t>
      </w:r>
      <w:r>
        <w:rPr>
          <w:sz w:val="18"/>
          <w:vertAlign w:val="baseline"/>
        </w:rPr>
        <w:t>et</w:t>
      </w:r>
      <w:r>
        <w:rPr>
          <w:spacing w:val="-2"/>
          <w:sz w:val="18"/>
          <w:vertAlign w:val="baseline"/>
        </w:rPr>
        <w:t> </w:t>
      </w:r>
      <w:r>
        <w:rPr>
          <w:sz w:val="18"/>
          <w:vertAlign w:val="baseline"/>
        </w:rPr>
        <w:t>al.,</w:t>
      </w:r>
      <w:r>
        <w:rPr>
          <w:spacing w:val="-3"/>
          <w:sz w:val="18"/>
          <w:vertAlign w:val="baseline"/>
        </w:rPr>
        <w:t> </w:t>
      </w:r>
      <w:r>
        <w:rPr>
          <w:sz w:val="18"/>
          <w:vertAlign w:val="baseline"/>
        </w:rPr>
        <w:t>“Secondhand</w:t>
      </w:r>
      <w:r>
        <w:rPr>
          <w:spacing w:val="-1"/>
          <w:sz w:val="18"/>
          <w:vertAlign w:val="baseline"/>
        </w:rPr>
        <w:t> </w:t>
      </w:r>
      <w:r>
        <w:rPr>
          <w:sz w:val="18"/>
          <w:vertAlign w:val="baseline"/>
        </w:rPr>
        <w:t>Smoke</w:t>
      </w:r>
      <w:r>
        <w:rPr>
          <w:spacing w:val="-1"/>
          <w:sz w:val="18"/>
          <w:vertAlign w:val="baseline"/>
        </w:rPr>
        <w:t> </w:t>
      </w:r>
      <w:r>
        <w:rPr>
          <w:sz w:val="18"/>
          <w:vertAlign w:val="baseline"/>
        </w:rPr>
        <w:t>Exposure</w:t>
      </w:r>
      <w:r>
        <w:rPr>
          <w:spacing w:val="-2"/>
          <w:sz w:val="18"/>
          <w:vertAlign w:val="baseline"/>
        </w:rPr>
        <w:t> </w:t>
      </w:r>
      <w:r>
        <w:rPr>
          <w:sz w:val="18"/>
          <w:vertAlign w:val="baseline"/>
        </w:rPr>
        <w:t>Among</w:t>
      </w:r>
      <w:r>
        <w:rPr>
          <w:spacing w:val="-1"/>
          <w:sz w:val="18"/>
          <w:vertAlign w:val="baseline"/>
        </w:rPr>
        <w:t> </w:t>
      </w:r>
      <w:r>
        <w:rPr>
          <w:sz w:val="18"/>
          <w:vertAlign w:val="baseline"/>
        </w:rPr>
        <w:t>Young</w:t>
      </w:r>
      <w:r>
        <w:rPr>
          <w:spacing w:val="-1"/>
          <w:sz w:val="18"/>
          <w:vertAlign w:val="baseline"/>
        </w:rPr>
        <w:t> </w:t>
      </w:r>
      <w:r>
        <w:rPr>
          <w:sz w:val="18"/>
          <w:vertAlign w:val="baseline"/>
        </w:rPr>
        <w:t>Adult</w:t>
      </w:r>
      <w:r>
        <w:rPr>
          <w:spacing w:val="-2"/>
          <w:sz w:val="18"/>
          <w:vertAlign w:val="baseline"/>
        </w:rPr>
        <w:t> </w:t>
      </w:r>
      <w:r>
        <w:rPr>
          <w:sz w:val="18"/>
          <w:vertAlign w:val="baseline"/>
        </w:rPr>
        <w:t>Sexual</w:t>
      </w:r>
      <w:r>
        <w:rPr>
          <w:spacing w:val="-3"/>
          <w:sz w:val="18"/>
          <w:vertAlign w:val="baseline"/>
        </w:rPr>
        <w:t> </w:t>
      </w:r>
      <w:r>
        <w:rPr>
          <w:sz w:val="18"/>
          <w:vertAlign w:val="baseline"/>
        </w:rPr>
        <w:t>Minority</w:t>
      </w:r>
      <w:r>
        <w:rPr>
          <w:spacing w:val="-1"/>
          <w:sz w:val="18"/>
          <w:vertAlign w:val="baseline"/>
        </w:rPr>
        <w:t> </w:t>
      </w:r>
      <w:r>
        <w:rPr>
          <w:sz w:val="18"/>
          <w:vertAlign w:val="baseline"/>
        </w:rPr>
        <w:t>Bar</w:t>
      </w:r>
      <w:r>
        <w:rPr>
          <w:spacing w:val="-2"/>
          <w:sz w:val="18"/>
          <w:vertAlign w:val="baseline"/>
        </w:rPr>
        <w:t> </w:t>
      </w:r>
      <w:r>
        <w:rPr>
          <w:sz w:val="18"/>
          <w:vertAlign w:val="baseline"/>
        </w:rPr>
        <w:t>and</w:t>
      </w:r>
      <w:r>
        <w:rPr>
          <w:spacing w:val="-2"/>
          <w:sz w:val="18"/>
          <w:vertAlign w:val="baseline"/>
        </w:rPr>
        <w:t> </w:t>
      </w:r>
      <w:r>
        <w:rPr>
          <w:sz w:val="18"/>
          <w:vertAlign w:val="baseline"/>
        </w:rPr>
        <w:t>Nightclub</w:t>
      </w:r>
      <w:r>
        <w:rPr>
          <w:spacing w:val="-1"/>
          <w:sz w:val="18"/>
          <w:vertAlign w:val="baseline"/>
        </w:rPr>
        <w:t> </w:t>
      </w:r>
      <w:r>
        <w:rPr>
          <w:spacing w:val="-2"/>
          <w:sz w:val="18"/>
          <w:vertAlign w:val="baseline"/>
        </w:rPr>
        <w:t>Patrons,”</w:t>
      </w:r>
    </w:p>
    <w:p>
      <w:pPr>
        <w:spacing w:before="6"/>
        <w:ind w:left="323" w:right="0" w:firstLine="0"/>
        <w:jc w:val="left"/>
        <w:rPr>
          <w:sz w:val="18"/>
        </w:rPr>
      </w:pPr>
      <w:r>
        <w:rPr>
          <w:i/>
          <w:sz w:val="18"/>
        </w:rPr>
        <w:t>American</w:t>
      </w:r>
      <w:r>
        <w:rPr>
          <w:i/>
          <w:spacing w:val="-3"/>
          <w:sz w:val="18"/>
        </w:rPr>
        <w:t> </w:t>
      </w:r>
      <w:r>
        <w:rPr>
          <w:i/>
          <w:sz w:val="18"/>
        </w:rPr>
        <w:t>Journal</w:t>
      </w:r>
      <w:r>
        <w:rPr>
          <w:i/>
          <w:spacing w:val="-2"/>
          <w:sz w:val="18"/>
        </w:rPr>
        <w:t> </w:t>
      </w:r>
      <w:r>
        <w:rPr>
          <w:i/>
          <w:sz w:val="18"/>
        </w:rPr>
        <w:t>of</w:t>
      </w:r>
      <w:r>
        <w:rPr>
          <w:i/>
          <w:spacing w:val="-2"/>
          <w:sz w:val="18"/>
        </w:rPr>
        <w:t> </w:t>
      </w:r>
      <w:r>
        <w:rPr>
          <w:i/>
          <w:sz w:val="18"/>
        </w:rPr>
        <w:t>Public</w:t>
      </w:r>
      <w:r>
        <w:rPr>
          <w:i/>
          <w:spacing w:val="-3"/>
          <w:sz w:val="18"/>
        </w:rPr>
        <w:t> </w:t>
      </w:r>
      <w:r>
        <w:rPr>
          <w:i/>
          <w:sz w:val="18"/>
        </w:rPr>
        <w:t>Health</w:t>
      </w:r>
      <w:r>
        <w:rPr>
          <w:i/>
          <w:spacing w:val="-2"/>
          <w:sz w:val="18"/>
        </w:rPr>
        <w:t> </w:t>
      </w:r>
      <w:r>
        <w:rPr>
          <w:sz w:val="18"/>
        </w:rPr>
        <w:t>104,</w:t>
      </w:r>
      <w:r>
        <w:rPr>
          <w:spacing w:val="-3"/>
          <w:sz w:val="18"/>
        </w:rPr>
        <w:t> </w:t>
      </w:r>
      <w:r>
        <w:rPr>
          <w:sz w:val="18"/>
        </w:rPr>
        <w:t>no.</w:t>
      </w:r>
      <w:r>
        <w:rPr>
          <w:spacing w:val="-2"/>
          <w:sz w:val="18"/>
        </w:rPr>
        <w:t> </w:t>
      </w:r>
      <w:r>
        <w:rPr>
          <w:sz w:val="18"/>
        </w:rPr>
        <w:t>2</w:t>
      </w:r>
      <w:r>
        <w:rPr>
          <w:spacing w:val="-2"/>
          <w:sz w:val="18"/>
        </w:rPr>
        <w:t> </w:t>
      </w:r>
      <w:r>
        <w:rPr>
          <w:sz w:val="18"/>
        </w:rPr>
        <w:t>(February</w:t>
      </w:r>
      <w:r>
        <w:rPr>
          <w:spacing w:val="-3"/>
          <w:sz w:val="18"/>
        </w:rPr>
        <w:t> </w:t>
      </w:r>
      <w:r>
        <w:rPr>
          <w:sz w:val="18"/>
        </w:rPr>
        <w:t>2014):</w:t>
      </w:r>
      <w:r>
        <w:rPr>
          <w:spacing w:val="-2"/>
          <w:sz w:val="18"/>
        </w:rPr>
        <w:t> </w:t>
      </w:r>
      <w:r>
        <w:rPr>
          <w:sz w:val="18"/>
        </w:rPr>
        <w:t>e148–53,</w:t>
      </w:r>
      <w:r>
        <w:rPr>
          <w:spacing w:val="-2"/>
          <w:sz w:val="18"/>
        </w:rPr>
        <w:t> https://doi.org/10.2105/AJPH.2013.301657.</w:t>
      </w:r>
    </w:p>
    <w:p>
      <w:pPr>
        <w:spacing w:before="19"/>
        <w:ind w:left="323" w:right="0" w:firstLine="0"/>
        <w:jc w:val="left"/>
        <w:rPr>
          <w:sz w:val="18"/>
        </w:rPr>
      </w:pPr>
      <w:r>
        <w:rPr>
          <w:sz w:val="18"/>
          <w:vertAlign w:val="superscript"/>
        </w:rPr>
        <w:t>32</w:t>
      </w:r>
      <w:r>
        <w:rPr>
          <w:spacing w:val="-12"/>
          <w:sz w:val="18"/>
          <w:vertAlign w:val="baseline"/>
        </w:rPr>
        <w:t> </w:t>
      </w:r>
      <w:r>
        <w:rPr>
          <w:sz w:val="18"/>
          <w:vertAlign w:val="baseline"/>
        </w:rPr>
        <w:t>Goldsmith</w:t>
      </w:r>
      <w:r>
        <w:rPr>
          <w:spacing w:val="-2"/>
          <w:sz w:val="18"/>
          <w:vertAlign w:val="baseline"/>
        </w:rPr>
        <w:t> </w:t>
      </w:r>
      <w:r>
        <w:rPr>
          <w:sz w:val="18"/>
          <w:vertAlign w:val="baseline"/>
        </w:rPr>
        <w:t>and</w:t>
      </w:r>
      <w:r>
        <w:rPr>
          <w:spacing w:val="-1"/>
          <w:sz w:val="18"/>
          <w:vertAlign w:val="baseline"/>
        </w:rPr>
        <w:t> </w:t>
      </w:r>
      <w:r>
        <w:rPr>
          <w:sz w:val="18"/>
          <w:vertAlign w:val="baseline"/>
        </w:rPr>
        <w:t>Bell,</w:t>
      </w:r>
      <w:r>
        <w:rPr>
          <w:spacing w:val="-2"/>
          <w:sz w:val="18"/>
          <w:vertAlign w:val="baseline"/>
        </w:rPr>
        <w:t> </w:t>
      </w:r>
      <w:r>
        <w:rPr>
          <w:sz w:val="18"/>
          <w:vertAlign w:val="baseline"/>
        </w:rPr>
        <w:t>“Queering</w:t>
      </w:r>
      <w:r>
        <w:rPr>
          <w:spacing w:val="-1"/>
          <w:sz w:val="18"/>
          <w:vertAlign w:val="baseline"/>
        </w:rPr>
        <w:t> </w:t>
      </w:r>
      <w:r>
        <w:rPr>
          <w:sz w:val="18"/>
          <w:vertAlign w:val="baseline"/>
        </w:rPr>
        <w:t>Environmental</w:t>
      </w:r>
      <w:r>
        <w:rPr>
          <w:spacing w:val="-2"/>
          <w:sz w:val="18"/>
          <w:vertAlign w:val="baseline"/>
        </w:rPr>
        <w:t> Justice.”</w:t>
      </w:r>
    </w:p>
    <w:p>
      <w:pPr>
        <w:spacing w:line="244" w:lineRule="auto" w:before="24"/>
        <w:ind w:left="323" w:right="299" w:hanging="1"/>
        <w:jc w:val="left"/>
        <w:rPr>
          <w:sz w:val="18"/>
        </w:rPr>
      </w:pPr>
      <w:r>
        <w:rPr>
          <w:sz w:val="18"/>
          <w:vertAlign w:val="superscript"/>
        </w:rPr>
        <w:t>33</w:t>
      </w:r>
      <w:r>
        <w:rPr>
          <w:spacing w:val="-6"/>
          <w:sz w:val="18"/>
          <w:vertAlign w:val="baseline"/>
        </w:rPr>
        <w:t> </w:t>
      </w:r>
      <w:r>
        <w:rPr>
          <w:sz w:val="18"/>
          <w:vertAlign w:val="baseline"/>
        </w:rPr>
        <w:t>“CDC Confirms LGB People at Greater Risk of COVID-19,” Human Rights Campaign, February 4, 2021, </w:t>
      </w:r>
      <w:r>
        <w:rPr>
          <w:spacing w:val="-2"/>
          <w:sz w:val="18"/>
          <w:vertAlign w:val="baseline"/>
        </w:rPr>
        <w:t>https://</w:t>
      </w:r>
      <w:hyperlink r:id="rId633">
        <w:r>
          <w:rPr>
            <w:spacing w:val="-2"/>
            <w:sz w:val="18"/>
            <w:vertAlign w:val="baseline"/>
          </w:rPr>
          <w:t>www.hrc.org/press-releases/cdc-releases-report-confirming-lesbian-gay-and-bisexual-people-at-greater-risk-of-covid-</w:t>
        </w:r>
      </w:hyperlink>
      <w:r>
        <w:rPr>
          <w:spacing w:val="40"/>
          <w:sz w:val="18"/>
          <w:vertAlign w:val="baseline"/>
        </w:rPr>
        <w:t> </w:t>
      </w:r>
      <w:r>
        <w:rPr>
          <w:spacing w:val="-2"/>
          <w:sz w:val="18"/>
          <w:vertAlign w:val="baseline"/>
        </w:rPr>
        <w:t>19-illness-calls-for-more-data-collection.</w:t>
      </w:r>
    </w:p>
    <w:p>
      <w:pPr>
        <w:spacing w:line="242" w:lineRule="auto" w:before="12"/>
        <w:ind w:left="323" w:right="0" w:hanging="1"/>
        <w:jc w:val="left"/>
        <w:rPr>
          <w:sz w:val="18"/>
        </w:rPr>
      </w:pPr>
      <w:r>
        <w:rPr>
          <w:sz w:val="18"/>
          <w:vertAlign w:val="superscript"/>
        </w:rPr>
        <w:t>34</w:t>
      </w:r>
      <w:r>
        <w:rPr>
          <w:spacing w:val="-12"/>
          <w:sz w:val="18"/>
          <w:vertAlign w:val="baseline"/>
        </w:rPr>
        <w:t> </w:t>
      </w:r>
      <w:r>
        <w:rPr>
          <w:sz w:val="18"/>
          <w:vertAlign w:val="baseline"/>
        </w:rPr>
        <w:t>John</w:t>
      </w:r>
      <w:r>
        <w:rPr>
          <w:spacing w:val="-3"/>
          <w:sz w:val="18"/>
          <w:vertAlign w:val="baseline"/>
        </w:rPr>
        <w:t> </w:t>
      </w:r>
      <w:r>
        <w:rPr>
          <w:sz w:val="18"/>
          <w:vertAlign w:val="baseline"/>
        </w:rPr>
        <w:t>R.</w:t>
      </w:r>
      <w:r>
        <w:rPr>
          <w:spacing w:val="-2"/>
          <w:sz w:val="18"/>
          <w:vertAlign w:val="baseline"/>
        </w:rPr>
        <w:t> </w:t>
      </w:r>
      <w:r>
        <w:rPr>
          <w:sz w:val="18"/>
          <w:vertAlign w:val="baseline"/>
        </w:rPr>
        <w:t>Blosnich</w:t>
      </w:r>
      <w:r>
        <w:rPr>
          <w:spacing w:val="-2"/>
          <w:sz w:val="18"/>
          <w:vertAlign w:val="baseline"/>
        </w:rPr>
        <w:t> </w:t>
      </w:r>
      <w:r>
        <w:rPr>
          <w:sz w:val="18"/>
          <w:vertAlign w:val="baseline"/>
        </w:rPr>
        <w:t>et</w:t>
      </w:r>
      <w:r>
        <w:rPr>
          <w:spacing w:val="-3"/>
          <w:sz w:val="18"/>
          <w:vertAlign w:val="baseline"/>
        </w:rPr>
        <w:t> </w:t>
      </w:r>
      <w:r>
        <w:rPr>
          <w:sz w:val="18"/>
          <w:vertAlign w:val="baseline"/>
        </w:rPr>
        <w:t>al.,</w:t>
      </w:r>
      <w:r>
        <w:rPr>
          <w:spacing w:val="-3"/>
          <w:sz w:val="18"/>
          <w:vertAlign w:val="baseline"/>
        </w:rPr>
        <w:t> </w:t>
      </w:r>
      <w:r>
        <w:rPr>
          <w:sz w:val="18"/>
          <w:vertAlign w:val="baseline"/>
        </w:rPr>
        <w:t>“Asthma</w:t>
      </w:r>
      <w:r>
        <w:rPr>
          <w:spacing w:val="-2"/>
          <w:sz w:val="18"/>
          <w:vertAlign w:val="baseline"/>
        </w:rPr>
        <w:t> </w:t>
      </w:r>
      <w:r>
        <w:rPr>
          <w:sz w:val="18"/>
          <w:vertAlign w:val="baseline"/>
        </w:rPr>
        <w:t>Disparities</w:t>
      </w:r>
      <w:r>
        <w:rPr>
          <w:spacing w:val="-2"/>
          <w:sz w:val="18"/>
          <w:vertAlign w:val="baseline"/>
        </w:rPr>
        <w:t> </w:t>
      </w:r>
      <w:r>
        <w:rPr>
          <w:sz w:val="18"/>
          <w:vertAlign w:val="baseline"/>
        </w:rPr>
        <w:t>and</w:t>
      </w:r>
      <w:r>
        <w:rPr>
          <w:spacing w:val="-2"/>
          <w:sz w:val="18"/>
          <w:vertAlign w:val="baseline"/>
        </w:rPr>
        <w:t> </w:t>
      </w:r>
      <w:r>
        <w:rPr>
          <w:sz w:val="18"/>
          <w:vertAlign w:val="baseline"/>
        </w:rPr>
        <w:t>Within-Group</w:t>
      </w:r>
      <w:r>
        <w:rPr>
          <w:spacing w:val="-2"/>
          <w:sz w:val="18"/>
          <w:vertAlign w:val="baseline"/>
        </w:rPr>
        <w:t> </w:t>
      </w:r>
      <w:r>
        <w:rPr>
          <w:sz w:val="18"/>
          <w:vertAlign w:val="baseline"/>
        </w:rPr>
        <w:t>Differences</w:t>
      </w:r>
      <w:r>
        <w:rPr>
          <w:spacing w:val="-2"/>
          <w:sz w:val="18"/>
          <w:vertAlign w:val="baseline"/>
        </w:rPr>
        <w:t> </w:t>
      </w:r>
      <w:r>
        <w:rPr>
          <w:sz w:val="18"/>
          <w:vertAlign w:val="baseline"/>
        </w:rPr>
        <w:t>in</w:t>
      </w:r>
      <w:r>
        <w:rPr>
          <w:spacing w:val="-2"/>
          <w:sz w:val="18"/>
          <w:vertAlign w:val="baseline"/>
        </w:rPr>
        <w:t> </w:t>
      </w:r>
      <w:r>
        <w:rPr>
          <w:sz w:val="18"/>
          <w:vertAlign w:val="baseline"/>
        </w:rPr>
        <w:t>a</w:t>
      </w:r>
      <w:r>
        <w:rPr>
          <w:spacing w:val="-2"/>
          <w:sz w:val="18"/>
          <w:vertAlign w:val="baseline"/>
        </w:rPr>
        <w:t> </w:t>
      </w:r>
      <w:r>
        <w:rPr>
          <w:sz w:val="18"/>
          <w:vertAlign w:val="baseline"/>
        </w:rPr>
        <w:t>National,</w:t>
      </w:r>
      <w:r>
        <w:rPr>
          <w:spacing w:val="-3"/>
          <w:sz w:val="18"/>
          <w:vertAlign w:val="baseline"/>
        </w:rPr>
        <w:t> </w:t>
      </w:r>
      <w:r>
        <w:rPr>
          <w:sz w:val="18"/>
          <w:vertAlign w:val="baseline"/>
        </w:rPr>
        <w:t>Probability</w:t>
      </w:r>
      <w:r>
        <w:rPr>
          <w:spacing w:val="-2"/>
          <w:sz w:val="18"/>
          <w:vertAlign w:val="baseline"/>
        </w:rPr>
        <w:t> </w:t>
      </w:r>
      <w:r>
        <w:rPr>
          <w:sz w:val="18"/>
          <w:vertAlign w:val="baseline"/>
        </w:rPr>
        <w:t>Sample</w:t>
      </w:r>
      <w:r>
        <w:rPr>
          <w:spacing w:val="-2"/>
          <w:sz w:val="18"/>
          <w:vertAlign w:val="baseline"/>
        </w:rPr>
        <w:t> </w:t>
      </w:r>
      <w:r>
        <w:rPr>
          <w:sz w:val="18"/>
          <w:vertAlign w:val="baseline"/>
        </w:rPr>
        <w:t>of</w:t>
      </w:r>
      <w:r>
        <w:rPr>
          <w:spacing w:val="-2"/>
          <w:sz w:val="18"/>
          <w:vertAlign w:val="baseline"/>
        </w:rPr>
        <w:t> </w:t>
      </w:r>
      <w:r>
        <w:rPr>
          <w:sz w:val="18"/>
          <w:vertAlign w:val="baseline"/>
        </w:rPr>
        <w:t>Same-Sex Partnered Adults,” </w:t>
      </w:r>
      <w:r>
        <w:rPr>
          <w:i/>
          <w:sz w:val="18"/>
          <w:vertAlign w:val="baseline"/>
        </w:rPr>
        <w:t>American Journal of Public Health </w:t>
      </w:r>
      <w:r>
        <w:rPr>
          <w:sz w:val="18"/>
          <w:vertAlign w:val="baseline"/>
        </w:rPr>
        <w:t>103, no. 9 (September 2013): e83-87, </w:t>
      </w:r>
      <w:r>
        <w:rPr>
          <w:spacing w:val="-2"/>
          <w:sz w:val="18"/>
          <w:vertAlign w:val="baseline"/>
        </w:rPr>
        <w:t>https://doi.org/10.2105/AJPH.2013.301217.</w:t>
      </w:r>
    </w:p>
    <w:p>
      <w:pPr>
        <w:spacing w:line="247" w:lineRule="auto" w:before="17"/>
        <w:ind w:left="323" w:right="0" w:hanging="1"/>
        <w:jc w:val="left"/>
        <w:rPr>
          <w:sz w:val="18"/>
        </w:rPr>
      </w:pPr>
      <w:r>
        <w:rPr>
          <w:sz w:val="18"/>
          <w:vertAlign w:val="superscript"/>
        </w:rPr>
        <w:t>35</w:t>
      </w:r>
      <w:r>
        <w:rPr>
          <w:spacing w:val="-12"/>
          <w:sz w:val="18"/>
          <w:vertAlign w:val="baseline"/>
        </w:rPr>
        <w:t> </w:t>
      </w:r>
      <w:r>
        <w:rPr>
          <w:sz w:val="18"/>
          <w:vertAlign w:val="baseline"/>
        </w:rPr>
        <w:t>Jason</w:t>
      </w:r>
      <w:r>
        <w:rPr>
          <w:spacing w:val="-3"/>
          <w:sz w:val="18"/>
          <w:vertAlign w:val="baseline"/>
        </w:rPr>
        <w:t> </w:t>
      </w:r>
      <w:r>
        <w:rPr>
          <w:sz w:val="18"/>
          <w:vertAlign w:val="baseline"/>
        </w:rPr>
        <w:t>M.</w:t>
      </w:r>
      <w:r>
        <w:rPr>
          <w:spacing w:val="-2"/>
          <w:sz w:val="18"/>
          <w:vertAlign w:val="baseline"/>
        </w:rPr>
        <w:t> </w:t>
      </w:r>
      <w:r>
        <w:rPr>
          <w:sz w:val="18"/>
          <w:vertAlign w:val="baseline"/>
        </w:rPr>
        <w:t>Nagata</w:t>
      </w:r>
      <w:r>
        <w:rPr>
          <w:spacing w:val="-2"/>
          <w:sz w:val="18"/>
          <w:vertAlign w:val="baseline"/>
        </w:rPr>
        <w:t> </w:t>
      </w:r>
      <w:r>
        <w:rPr>
          <w:sz w:val="18"/>
          <w:vertAlign w:val="baseline"/>
        </w:rPr>
        <w:t>et</w:t>
      </w:r>
      <w:r>
        <w:rPr>
          <w:spacing w:val="-3"/>
          <w:sz w:val="18"/>
          <w:vertAlign w:val="baseline"/>
        </w:rPr>
        <w:t> </w:t>
      </w:r>
      <w:r>
        <w:rPr>
          <w:sz w:val="18"/>
          <w:vertAlign w:val="baseline"/>
        </w:rPr>
        <w:t>al.,</w:t>
      </w:r>
      <w:r>
        <w:rPr>
          <w:spacing w:val="-3"/>
          <w:sz w:val="18"/>
          <w:vertAlign w:val="baseline"/>
        </w:rPr>
        <w:t> </w:t>
      </w:r>
      <w:r>
        <w:rPr>
          <w:sz w:val="18"/>
          <w:vertAlign w:val="baseline"/>
        </w:rPr>
        <w:t>“Disparities</w:t>
      </w:r>
      <w:r>
        <w:rPr>
          <w:spacing w:val="-2"/>
          <w:sz w:val="18"/>
          <w:vertAlign w:val="baseline"/>
        </w:rPr>
        <w:t> </w:t>
      </w:r>
      <w:r>
        <w:rPr>
          <w:sz w:val="18"/>
          <w:vertAlign w:val="baseline"/>
        </w:rPr>
        <w:t>across</w:t>
      </w:r>
      <w:r>
        <w:rPr>
          <w:spacing w:val="-2"/>
          <w:sz w:val="18"/>
          <w:vertAlign w:val="baseline"/>
        </w:rPr>
        <w:t> </w:t>
      </w:r>
      <w:r>
        <w:rPr>
          <w:sz w:val="18"/>
          <w:vertAlign w:val="baseline"/>
        </w:rPr>
        <w:t>Sexual</w:t>
      </w:r>
      <w:r>
        <w:rPr>
          <w:spacing w:val="-3"/>
          <w:sz w:val="18"/>
          <w:vertAlign w:val="baseline"/>
        </w:rPr>
        <w:t> </w:t>
      </w:r>
      <w:r>
        <w:rPr>
          <w:sz w:val="18"/>
          <w:vertAlign w:val="baseline"/>
        </w:rPr>
        <w:t>Orientation</w:t>
      </w:r>
      <w:r>
        <w:rPr>
          <w:spacing w:val="-1"/>
          <w:sz w:val="18"/>
          <w:vertAlign w:val="baseline"/>
        </w:rPr>
        <w:t> </w:t>
      </w:r>
      <w:r>
        <w:rPr>
          <w:sz w:val="18"/>
          <w:vertAlign w:val="baseline"/>
        </w:rPr>
        <w:t>in</w:t>
      </w:r>
      <w:r>
        <w:rPr>
          <w:spacing w:val="-2"/>
          <w:sz w:val="18"/>
          <w:vertAlign w:val="baseline"/>
        </w:rPr>
        <w:t> </w:t>
      </w:r>
      <w:r>
        <w:rPr>
          <w:sz w:val="18"/>
          <w:vertAlign w:val="baseline"/>
        </w:rPr>
        <w:t>Obstructive</w:t>
      </w:r>
      <w:r>
        <w:rPr>
          <w:spacing w:val="-2"/>
          <w:sz w:val="18"/>
          <w:vertAlign w:val="baseline"/>
        </w:rPr>
        <w:t> </w:t>
      </w:r>
      <w:r>
        <w:rPr>
          <w:sz w:val="18"/>
          <w:vertAlign w:val="baseline"/>
        </w:rPr>
        <w:t>Airway</w:t>
      </w:r>
      <w:r>
        <w:rPr>
          <w:spacing w:val="-2"/>
          <w:sz w:val="18"/>
          <w:vertAlign w:val="baseline"/>
        </w:rPr>
        <w:t> </w:t>
      </w:r>
      <w:r>
        <w:rPr>
          <w:sz w:val="18"/>
          <w:vertAlign w:val="baseline"/>
        </w:rPr>
        <w:t>Disease</w:t>
      </w:r>
      <w:r>
        <w:rPr>
          <w:spacing w:val="-2"/>
          <w:sz w:val="18"/>
          <w:vertAlign w:val="baseline"/>
        </w:rPr>
        <w:t> </w:t>
      </w:r>
      <w:r>
        <w:rPr>
          <w:sz w:val="18"/>
          <w:vertAlign w:val="baseline"/>
        </w:rPr>
        <w:t>among</w:t>
      </w:r>
      <w:r>
        <w:rPr>
          <w:spacing w:val="-2"/>
          <w:sz w:val="18"/>
          <w:vertAlign w:val="baseline"/>
        </w:rPr>
        <w:t> </w:t>
      </w:r>
      <w:r>
        <w:rPr>
          <w:sz w:val="18"/>
          <w:vertAlign w:val="baseline"/>
        </w:rPr>
        <w:t>U.S.</w:t>
      </w:r>
      <w:r>
        <w:rPr>
          <w:spacing w:val="-2"/>
          <w:sz w:val="18"/>
          <w:vertAlign w:val="baseline"/>
        </w:rPr>
        <w:t> </w:t>
      </w:r>
      <w:r>
        <w:rPr>
          <w:sz w:val="18"/>
          <w:vertAlign w:val="baseline"/>
        </w:rPr>
        <w:t>Adults,”</w:t>
      </w:r>
      <w:r>
        <w:rPr>
          <w:spacing w:val="-2"/>
          <w:sz w:val="18"/>
          <w:vertAlign w:val="baseline"/>
        </w:rPr>
        <w:t> </w:t>
      </w:r>
      <w:r>
        <w:rPr>
          <w:i/>
          <w:sz w:val="18"/>
          <w:vertAlign w:val="baseline"/>
        </w:rPr>
        <w:t>Annals</w:t>
      </w:r>
      <w:r>
        <w:rPr>
          <w:i/>
          <w:spacing w:val="-3"/>
          <w:sz w:val="18"/>
          <w:vertAlign w:val="baseline"/>
        </w:rPr>
        <w:t> </w:t>
      </w:r>
      <w:r>
        <w:rPr>
          <w:i/>
          <w:sz w:val="18"/>
          <w:vertAlign w:val="baseline"/>
        </w:rPr>
        <w:t>of</w:t>
      </w:r>
      <w:r>
        <w:rPr>
          <w:i/>
          <w:spacing w:val="-2"/>
          <w:sz w:val="18"/>
          <w:vertAlign w:val="baseline"/>
        </w:rPr>
        <w:t> </w:t>
      </w:r>
      <w:r>
        <w:rPr>
          <w:i/>
          <w:sz w:val="18"/>
          <w:vertAlign w:val="baseline"/>
        </w:rPr>
        <w:t>the</w:t>
      </w:r>
      <w:r>
        <w:rPr>
          <w:i/>
          <w:sz w:val="18"/>
          <w:vertAlign w:val="baseline"/>
        </w:rPr>
        <w:t> American Thoracic Society </w:t>
      </w:r>
      <w:r>
        <w:rPr>
          <w:sz w:val="18"/>
          <w:vertAlign w:val="baseline"/>
        </w:rPr>
        <w:t>19, no. 3 (March 2022): 500–503, https://doi.org/10.1513/AnnalsATS.202104-513RL.</w:t>
      </w:r>
    </w:p>
    <w:p>
      <w:pPr>
        <w:spacing w:before="11"/>
        <w:ind w:left="323" w:right="0" w:firstLine="0"/>
        <w:jc w:val="left"/>
        <w:rPr>
          <w:sz w:val="18"/>
        </w:rPr>
      </w:pPr>
      <w:r>
        <w:rPr>
          <w:sz w:val="18"/>
          <w:vertAlign w:val="superscript"/>
        </w:rPr>
        <w:t>36</w:t>
      </w:r>
      <w:r>
        <w:rPr>
          <w:spacing w:val="-12"/>
          <w:sz w:val="18"/>
          <w:vertAlign w:val="baseline"/>
        </w:rPr>
        <w:t> </w:t>
      </w:r>
      <w:r>
        <w:rPr>
          <w:sz w:val="18"/>
          <w:vertAlign w:val="baseline"/>
        </w:rPr>
        <w:t>Brian</w:t>
      </w:r>
      <w:r>
        <w:rPr>
          <w:spacing w:val="-3"/>
          <w:sz w:val="18"/>
          <w:vertAlign w:val="baseline"/>
        </w:rPr>
        <w:t> </w:t>
      </w:r>
      <w:r>
        <w:rPr>
          <w:sz w:val="18"/>
          <w:vertAlign w:val="baseline"/>
        </w:rPr>
        <w:t>W.</w:t>
      </w:r>
      <w:r>
        <w:rPr>
          <w:spacing w:val="-1"/>
          <w:sz w:val="18"/>
          <w:vertAlign w:val="baseline"/>
        </w:rPr>
        <w:t> </w:t>
      </w:r>
      <w:r>
        <w:rPr>
          <w:sz w:val="18"/>
          <w:vertAlign w:val="baseline"/>
        </w:rPr>
        <w:t>Ward,</w:t>
      </w:r>
      <w:r>
        <w:rPr>
          <w:spacing w:val="-3"/>
          <w:sz w:val="18"/>
          <w:vertAlign w:val="baseline"/>
        </w:rPr>
        <w:t> </w:t>
      </w:r>
      <w:r>
        <w:rPr>
          <w:sz w:val="18"/>
          <w:vertAlign w:val="baseline"/>
        </w:rPr>
        <w:t>“Selected</w:t>
      </w:r>
      <w:r>
        <w:rPr>
          <w:spacing w:val="-1"/>
          <w:sz w:val="18"/>
          <w:vertAlign w:val="baseline"/>
        </w:rPr>
        <w:t> </w:t>
      </w:r>
      <w:r>
        <w:rPr>
          <w:sz w:val="18"/>
          <w:vertAlign w:val="baseline"/>
        </w:rPr>
        <w:t>Diagnosed</w:t>
      </w:r>
      <w:r>
        <w:rPr>
          <w:spacing w:val="-3"/>
          <w:sz w:val="18"/>
          <w:vertAlign w:val="baseline"/>
        </w:rPr>
        <w:t> </w:t>
      </w:r>
      <w:r>
        <w:rPr>
          <w:sz w:val="18"/>
          <w:vertAlign w:val="baseline"/>
        </w:rPr>
        <w:t>Chronic</w:t>
      </w:r>
      <w:r>
        <w:rPr>
          <w:spacing w:val="-2"/>
          <w:sz w:val="18"/>
          <w:vertAlign w:val="baseline"/>
        </w:rPr>
        <w:t> </w:t>
      </w:r>
      <w:r>
        <w:rPr>
          <w:sz w:val="18"/>
          <w:vertAlign w:val="baseline"/>
        </w:rPr>
        <w:t>Conditions</w:t>
      </w:r>
      <w:r>
        <w:rPr>
          <w:spacing w:val="-2"/>
          <w:sz w:val="18"/>
          <w:vertAlign w:val="baseline"/>
        </w:rPr>
        <w:t> </w:t>
      </w:r>
      <w:r>
        <w:rPr>
          <w:sz w:val="18"/>
          <w:vertAlign w:val="baseline"/>
        </w:rPr>
        <w:t>by</w:t>
      </w:r>
      <w:r>
        <w:rPr>
          <w:spacing w:val="-1"/>
          <w:sz w:val="18"/>
          <w:vertAlign w:val="baseline"/>
        </w:rPr>
        <w:t> </w:t>
      </w:r>
      <w:r>
        <w:rPr>
          <w:sz w:val="18"/>
          <w:vertAlign w:val="baseline"/>
        </w:rPr>
        <w:t>Sexual</w:t>
      </w:r>
      <w:r>
        <w:rPr>
          <w:spacing w:val="-3"/>
          <w:sz w:val="18"/>
          <w:vertAlign w:val="baseline"/>
        </w:rPr>
        <w:t> </w:t>
      </w:r>
      <w:r>
        <w:rPr>
          <w:sz w:val="18"/>
          <w:vertAlign w:val="baseline"/>
        </w:rPr>
        <w:t>Orientation:</w:t>
      </w:r>
      <w:r>
        <w:rPr>
          <w:spacing w:val="-1"/>
          <w:sz w:val="18"/>
          <w:vertAlign w:val="baseline"/>
        </w:rPr>
        <w:t> </w:t>
      </w:r>
      <w:r>
        <w:rPr>
          <w:sz w:val="18"/>
          <w:vertAlign w:val="baseline"/>
        </w:rPr>
        <w:t>A</w:t>
      </w:r>
      <w:r>
        <w:rPr>
          <w:spacing w:val="-2"/>
          <w:sz w:val="18"/>
          <w:vertAlign w:val="baseline"/>
        </w:rPr>
        <w:t> </w:t>
      </w:r>
      <w:r>
        <w:rPr>
          <w:sz w:val="18"/>
          <w:vertAlign w:val="baseline"/>
        </w:rPr>
        <w:t>National</w:t>
      </w:r>
      <w:r>
        <w:rPr>
          <w:spacing w:val="-2"/>
          <w:sz w:val="18"/>
          <w:vertAlign w:val="baseline"/>
        </w:rPr>
        <w:t> </w:t>
      </w:r>
      <w:r>
        <w:rPr>
          <w:sz w:val="18"/>
          <w:vertAlign w:val="baseline"/>
        </w:rPr>
        <w:t>Study</w:t>
      </w:r>
      <w:r>
        <w:rPr>
          <w:spacing w:val="-2"/>
          <w:sz w:val="18"/>
          <w:vertAlign w:val="baseline"/>
        </w:rPr>
        <w:t> </w:t>
      </w:r>
      <w:r>
        <w:rPr>
          <w:sz w:val="18"/>
          <w:vertAlign w:val="baseline"/>
        </w:rPr>
        <w:t>of</w:t>
      </w:r>
      <w:r>
        <w:rPr>
          <w:spacing w:val="-1"/>
          <w:sz w:val="18"/>
          <w:vertAlign w:val="baseline"/>
        </w:rPr>
        <w:t> </w:t>
      </w:r>
      <w:r>
        <w:rPr>
          <w:sz w:val="18"/>
          <w:vertAlign w:val="baseline"/>
        </w:rPr>
        <w:t>US</w:t>
      </w:r>
      <w:r>
        <w:rPr>
          <w:spacing w:val="-2"/>
          <w:sz w:val="18"/>
          <w:vertAlign w:val="baseline"/>
        </w:rPr>
        <w:t> </w:t>
      </w:r>
      <w:r>
        <w:rPr>
          <w:sz w:val="18"/>
          <w:vertAlign w:val="baseline"/>
        </w:rPr>
        <w:t>Adults,</w:t>
      </w:r>
      <w:r>
        <w:rPr>
          <w:spacing w:val="-2"/>
          <w:sz w:val="18"/>
          <w:vertAlign w:val="baseline"/>
        </w:rPr>
        <w:t> 2013,”</w:t>
      </w:r>
    </w:p>
    <w:p>
      <w:pPr>
        <w:spacing w:before="6"/>
        <w:ind w:left="323" w:right="0" w:firstLine="0"/>
        <w:jc w:val="left"/>
        <w:rPr>
          <w:sz w:val="18"/>
        </w:rPr>
      </w:pPr>
      <w:r>
        <w:rPr>
          <w:i/>
          <w:sz w:val="18"/>
        </w:rPr>
        <w:t>Preventing</w:t>
      </w:r>
      <w:r>
        <w:rPr>
          <w:i/>
          <w:spacing w:val="-4"/>
          <w:sz w:val="18"/>
        </w:rPr>
        <w:t> </w:t>
      </w:r>
      <w:r>
        <w:rPr>
          <w:i/>
          <w:sz w:val="18"/>
        </w:rPr>
        <w:t>Chronic</w:t>
      </w:r>
      <w:r>
        <w:rPr>
          <w:i/>
          <w:spacing w:val="-4"/>
          <w:sz w:val="18"/>
        </w:rPr>
        <w:t> </w:t>
      </w:r>
      <w:r>
        <w:rPr>
          <w:i/>
          <w:sz w:val="18"/>
        </w:rPr>
        <w:t>Disease</w:t>
      </w:r>
      <w:r>
        <w:rPr>
          <w:i/>
          <w:spacing w:val="-4"/>
          <w:sz w:val="18"/>
        </w:rPr>
        <w:t> </w:t>
      </w:r>
      <w:r>
        <w:rPr>
          <w:sz w:val="18"/>
        </w:rPr>
        <w:t>12</w:t>
      </w:r>
      <w:r>
        <w:rPr>
          <w:spacing w:val="-3"/>
          <w:sz w:val="18"/>
        </w:rPr>
        <w:t> </w:t>
      </w:r>
      <w:r>
        <w:rPr>
          <w:sz w:val="18"/>
        </w:rPr>
        <w:t>(2015),</w:t>
      </w:r>
      <w:r>
        <w:rPr>
          <w:spacing w:val="-4"/>
          <w:sz w:val="18"/>
        </w:rPr>
        <w:t> </w:t>
      </w:r>
      <w:r>
        <w:rPr>
          <w:spacing w:val="-2"/>
          <w:sz w:val="18"/>
        </w:rPr>
        <w:t>https://doi.org/10.5888/pcd12.150292.</w:t>
      </w:r>
    </w:p>
    <w:p>
      <w:pPr>
        <w:spacing w:before="18"/>
        <w:ind w:left="323" w:right="0" w:firstLine="0"/>
        <w:jc w:val="left"/>
        <w:rPr>
          <w:sz w:val="18"/>
        </w:rPr>
      </w:pPr>
      <w:r>
        <w:rPr>
          <w:sz w:val="18"/>
          <w:vertAlign w:val="superscript"/>
        </w:rPr>
        <w:t>37</w:t>
      </w:r>
      <w:r>
        <w:rPr>
          <w:spacing w:val="-12"/>
          <w:sz w:val="18"/>
          <w:vertAlign w:val="baseline"/>
        </w:rPr>
        <w:t> </w:t>
      </w:r>
      <w:r>
        <w:rPr>
          <w:sz w:val="18"/>
          <w:vertAlign w:val="baseline"/>
        </w:rPr>
        <w:t>Cindy</w:t>
      </w:r>
      <w:r>
        <w:rPr>
          <w:spacing w:val="-2"/>
          <w:sz w:val="18"/>
          <w:vertAlign w:val="baseline"/>
        </w:rPr>
        <w:t> </w:t>
      </w:r>
      <w:r>
        <w:rPr>
          <w:sz w:val="18"/>
          <w:vertAlign w:val="baseline"/>
        </w:rPr>
        <w:t>B.</w:t>
      </w:r>
      <w:r>
        <w:rPr>
          <w:spacing w:val="-1"/>
          <w:sz w:val="18"/>
          <w:vertAlign w:val="baseline"/>
        </w:rPr>
        <w:t> </w:t>
      </w:r>
      <w:r>
        <w:rPr>
          <w:sz w:val="18"/>
          <w:vertAlign w:val="baseline"/>
        </w:rPr>
        <w:t>Veldhuis</w:t>
      </w:r>
      <w:r>
        <w:rPr>
          <w:spacing w:val="-1"/>
          <w:sz w:val="18"/>
          <w:vertAlign w:val="baseline"/>
        </w:rPr>
        <w:t> </w:t>
      </w:r>
      <w:r>
        <w:rPr>
          <w:sz w:val="18"/>
          <w:vertAlign w:val="baseline"/>
        </w:rPr>
        <w:t>et</w:t>
      </w:r>
      <w:r>
        <w:rPr>
          <w:spacing w:val="-2"/>
          <w:sz w:val="18"/>
          <w:vertAlign w:val="baseline"/>
        </w:rPr>
        <w:t> </w:t>
      </w:r>
      <w:r>
        <w:rPr>
          <w:sz w:val="18"/>
          <w:vertAlign w:val="baseline"/>
        </w:rPr>
        <w:t>al.,</w:t>
      </w:r>
      <w:r>
        <w:rPr>
          <w:spacing w:val="-2"/>
          <w:sz w:val="18"/>
          <w:vertAlign w:val="baseline"/>
        </w:rPr>
        <w:t> </w:t>
      </w:r>
      <w:r>
        <w:rPr>
          <w:sz w:val="18"/>
          <w:vertAlign w:val="baseline"/>
        </w:rPr>
        <w:t>“The</w:t>
      </w:r>
      <w:r>
        <w:rPr>
          <w:spacing w:val="-1"/>
          <w:sz w:val="18"/>
          <w:vertAlign w:val="baseline"/>
        </w:rPr>
        <w:t> </w:t>
      </w:r>
      <w:r>
        <w:rPr>
          <w:sz w:val="18"/>
          <w:vertAlign w:val="baseline"/>
        </w:rPr>
        <w:t>Association</w:t>
      </w:r>
      <w:r>
        <w:rPr>
          <w:spacing w:val="-2"/>
          <w:sz w:val="18"/>
          <w:vertAlign w:val="baseline"/>
        </w:rPr>
        <w:t> </w:t>
      </w:r>
      <w:r>
        <w:rPr>
          <w:sz w:val="18"/>
          <w:vertAlign w:val="baseline"/>
        </w:rPr>
        <w:t>of</w:t>
      </w:r>
      <w:r>
        <w:rPr>
          <w:spacing w:val="-1"/>
          <w:sz w:val="18"/>
          <w:vertAlign w:val="baseline"/>
        </w:rPr>
        <w:t> </w:t>
      </w:r>
      <w:r>
        <w:rPr>
          <w:sz w:val="18"/>
          <w:vertAlign w:val="baseline"/>
        </w:rPr>
        <w:t>Asthma,</w:t>
      </w:r>
      <w:r>
        <w:rPr>
          <w:spacing w:val="-2"/>
          <w:sz w:val="18"/>
          <w:vertAlign w:val="baseline"/>
        </w:rPr>
        <w:t> </w:t>
      </w:r>
      <w:r>
        <w:rPr>
          <w:sz w:val="18"/>
          <w:vertAlign w:val="baseline"/>
        </w:rPr>
        <w:t>Sexual</w:t>
      </w:r>
      <w:r>
        <w:rPr>
          <w:spacing w:val="-2"/>
          <w:sz w:val="18"/>
          <w:vertAlign w:val="baseline"/>
        </w:rPr>
        <w:t> </w:t>
      </w:r>
      <w:r>
        <w:rPr>
          <w:sz w:val="18"/>
          <w:vertAlign w:val="baseline"/>
        </w:rPr>
        <w:t>Identity,</w:t>
      </w:r>
      <w:r>
        <w:rPr>
          <w:spacing w:val="-2"/>
          <w:sz w:val="18"/>
          <w:vertAlign w:val="baseline"/>
        </w:rPr>
        <w:t> </w:t>
      </w:r>
      <w:r>
        <w:rPr>
          <w:sz w:val="18"/>
          <w:vertAlign w:val="baseline"/>
        </w:rPr>
        <w:t>and</w:t>
      </w:r>
      <w:r>
        <w:rPr>
          <w:spacing w:val="-1"/>
          <w:sz w:val="18"/>
          <w:vertAlign w:val="baseline"/>
        </w:rPr>
        <w:t> </w:t>
      </w:r>
      <w:r>
        <w:rPr>
          <w:sz w:val="18"/>
          <w:vertAlign w:val="baseline"/>
        </w:rPr>
        <w:t>Inhaled</w:t>
      </w:r>
      <w:r>
        <w:rPr>
          <w:spacing w:val="-1"/>
          <w:sz w:val="18"/>
          <w:vertAlign w:val="baseline"/>
        </w:rPr>
        <w:t> </w:t>
      </w:r>
      <w:r>
        <w:rPr>
          <w:sz w:val="18"/>
          <w:vertAlign w:val="baseline"/>
        </w:rPr>
        <w:t>Substance</w:t>
      </w:r>
      <w:r>
        <w:rPr>
          <w:spacing w:val="-1"/>
          <w:sz w:val="18"/>
          <w:vertAlign w:val="baseline"/>
        </w:rPr>
        <w:t> </w:t>
      </w:r>
      <w:r>
        <w:rPr>
          <w:sz w:val="18"/>
          <w:vertAlign w:val="baseline"/>
        </w:rPr>
        <w:t>Use</w:t>
      </w:r>
      <w:r>
        <w:rPr>
          <w:spacing w:val="-2"/>
          <w:sz w:val="18"/>
          <w:vertAlign w:val="baseline"/>
        </w:rPr>
        <w:t> </w:t>
      </w:r>
      <w:r>
        <w:rPr>
          <w:sz w:val="18"/>
          <w:vertAlign w:val="baseline"/>
        </w:rPr>
        <w:t>among</w:t>
      </w:r>
      <w:r>
        <w:rPr>
          <w:spacing w:val="-1"/>
          <w:sz w:val="18"/>
          <w:vertAlign w:val="baseline"/>
        </w:rPr>
        <w:t> </w:t>
      </w:r>
      <w:r>
        <w:rPr>
          <w:sz w:val="18"/>
          <w:vertAlign w:val="baseline"/>
        </w:rPr>
        <w:t>U.S.</w:t>
      </w:r>
      <w:r>
        <w:rPr>
          <w:spacing w:val="-1"/>
          <w:sz w:val="18"/>
          <w:vertAlign w:val="baseline"/>
        </w:rPr>
        <w:t> </w:t>
      </w:r>
      <w:r>
        <w:rPr>
          <w:spacing w:val="-2"/>
          <w:sz w:val="18"/>
          <w:vertAlign w:val="baseline"/>
        </w:rPr>
        <w:t>Adolescents,”</w:t>
      </w:r>
    </w:p>
    <w:p>
      <w:pPr>
        <w:spacing w:before="7"/>
        <w:ind w:left="323" w:right="0" w:firstLine="0"/>
        <w:jc w:val="left"/>
        <w:rPr>
          <w:sz w:val="18"/>
        </w:rPr>
      </w:pPr>
      <w:r>
        <w:rPr>
          <w:i/>
          <w:sz w:val="18"/>
        </w:rPr>
        <w:t>Annals</w:t>
      </w:r>
      <w:r>
        <w:rPr>
          <w:i/>
          <w:spacing w:val="-7"/>
          <w:sz w:val="18"/>
        </w:rPr>
        <w:t> </w:t>
      </w:r>
      <w:r>
        <w:rPr>
          <w:i/>
          <w:sz w:val="18"/>
        </w:rPr>
        <w:t>of</w:t>
      </w:r>
      <w:r>
        <w:rPr>
          <w:i/>
          <w:spacing w:val="-3"/>
          <w:sz w:val="18"/>
        </w:rPr>
        <w:t> </w:t>
      </w:r>
      <w:r>
        <w:rPr>
          <w:i/>
          <w:sz w:val="18"/>
        </w:rPr>
        <w:t>the</w:t>
      </w:r>
      <w:r>
        <w:rPr>
          <w:i/>
          <w:spacing w:val="-3"/>
          <w:sz w:val="18"/>
        </w:rPr>
        <w:t> </w:t>
      </w:r>
      <w:r>
        <w:rPr>
          <w:i/>
          <w:sz w:val="18"/>
        </w:rPr>
        <w:t>American</w:t>
      </w:r>
      <w:r>
        <w:rPr>
          <w:i/>
          <w:spacing w:val="-4"/>
          <w:sz w:val="18"/>
        </w:rPr>
        <w:t> </w:t>
      </w:r>
      <w:r>
        <w:rPr>
          <w:i/>
          <w:sz w:val="18"/>
        </w:rPr>
        <w:t>Thoracic</w:t>
      </w:r>
      <w:r>
        <w:rPr>
          <w:i/>
          <w:spacing w:val="-4"/>
          <w:sz w:val="18"/>
        </w:rPr>
        <w:t> </w:t>
      </w:r>
      <w:r>
        <w:rPr>
          <w:i/>
          <w:sz w:val="18"/>
        </w:rPr>
        <w:t>Society</w:t>
      </w:r>
      <w:r>
        <w:rPr>
          <w:i/>
          <w:spacing w:val="-3"/>
          <w:sz w:val="18"/>
        </w:rPr>
        <w:t> </w:t>
      </w:r>
      <w:r>
        <w:rPr>
          <w:sz w:val="18"/>
        </w:rPr>
        <w:t>18,</w:t>
      </w:r>
      <w:r>
        <w:rPr>
          <w:spacing w:val="-5"/>
          <w:sz w:val="18"/>
        </w:rPr>
        <w:t> </w:t>
      </w:r>
      <w:r>
        <w:rPr>
          <w:sz w:val="18"/>
        </w:rPr>
        <w:t>no.</w:t>
      </w:r>
      <w:r>
        <w:rPr>
          <w:spacing w:val="-2"/>
          <w:sz w:val="18"/>
        </w:rPr>
        <w:t> </w:t>
      </w:r>
      <w:r>
        <w:rPr>
          <w:sz w:val="18"/>
        </w:rPr>
        <w:t>2</w:t>
      </w:r>
      <w:r>
        <w:rPr>
          <w:spacing w:val="-4"/>
          <w:sz w:val="18"/>
        </w:rPr>
        <w:t> </w:t>
      </w:r>
      <w:r>
        <w:rPr>
          <w:sz w:val="18"/>
        </w:rPr>
        <w:t>(February</w:t>
      </w:r>
      <w:r>
        <w:rPr>
          <w:spacing w:val="-3"/>
          <w:sz w:val="18"/>
        </w:rPr>
        <w:t> </w:t>
      </w:r>
      <w:r>
        <w:rPr>
          <w:sz w:val="18"/>
        </w:rPr>
        <w:t>2021):</w:t>
      </w:r>
      <w:r>
        <w:rPr>
          <w:spacing w:val="-3"/>
          <w:sz w:val="18"/>
        </w:rPr>
        <w:t> </w:t>
      </w:r>
      <w:r>
        <w:rPr>
          <w:sz w:val="18"/>
        </w:rPr>
        <w:t>273–80,</w:t>
      </w:r>
      <w:r>
        <w:rPr>
          <w:spacing w:val="-4"/>
          <w:sz w:val="18"/>
        </w:rPr>
        <w:t> </w:t>
      </w:r>
      <w:r>
        <w:rPr>
          <w:sz w:val="18"/>
        </w:rPr>
        <w:t>https://doi.org/10.1513/AnnalsATS.202001-</w:t>
      </w:r>
      <w:r>
        <w:rPr>
          <w:spacing w:val="-2"/>
          <w:sz w:val="18"/>
        </w:rPr>
        <w:t>062OC.</w:t>
      </w:r>
    </w:p>
    <w:p>
      <w:pPr>
        <w:spacing w:before="18"/>
        <w:ind w:left="323" w:right="0" w:firstLine="0"/>
        <w:jc w:val="left"/>
        <w:rPr>
          <w:sz w:val="18"/>
        </w:rPr>
      </w:pPr>
      <w:r>
        <w:rPr>
          <w:sz w:val="18"/>
          <w:vertAlign w:val="superscript"/>
        </w:rPr>
        <w:t>38</w:t>
      </w:r>
      <w:r>
        <w:rPr>
          <w:spacing w:val="-12"/>
          <w:sz w:val="18"/>
          <w:vertAlign w:val="baseline"/>
        </w:rPr>
        <w:t> </w:t>
      </w:r>
      <w:r>
        <w:rPr>
          <w:sz w:val="18"/>
          <w:vertAlign w:val="baseline"/>
        </w:rPr>
        <w:t>“Youth</w:t>
      </w:r>
      <w:r>
        <w:rPr>
          <w:spacing w:val="-2"/>
          <w:sz w:val="18"/>
          <w:vertAlign w:val="baseline"/>
        </w:rPr>
        <w:t> </w:t>
      </w:r>
      <w:r>
        <w:rPr>
          <w:sz w:val="18"/>
          <w:vertAlign w:val="baseline"/>
        </w:rPr>
        <w:t>Risk</w:t>
      </w:r>
      <w:r>
        <w:rPr>
          <w:spacing w:val="-2"/>
          <w:sz w:val="18"/>
          <w:vertAlign w:val="baseline"/>
        </w:rPr>
        <w:t> </w:t>
      </w:r>
      <w:r>
        <w:rPr>
          <w:sz w:val="18"/>
          <w:vertAlign w:val="baseline"/>
        </w:rPr>
        <w:t>Behavior</w:t>
      </w:r>
      <w:r>
        <w:rPr>
          <w:spacing w:val="-1"/>
          <w:sz w:val="18"/>
          <w:vertAlign w:val="baseline"/>
        </w:rPr>
        <w:t> </w:t>
      </w:r>
      <w:r>
        <w:rPr>
          <w:sz w:val="18"/>
          <w:vertAlign w:val="baseline"/>
        </w:rPr>
        <w:t>Surveillance</w:t>
      </w:r>
      <w:r>
        <w:rPr>
          <w:spacing w:val="-1"/>
          <w:sz w:val="18"/>
          <w:vertAlign w:val="baseline"/>
        </w:rPr>
        <w:t> </w:t>
      </w:r>
      <w:r>
        <w:rPr>
          <w:sz w:val="18"/>
          <w:vertAlign w:val="baseline"/>
        </w:rPr>
        <w:t>System</w:t>
      </w:r>
      <w:r>
        <w:rPr>
          <w:spacing w:val="-2"/>
          <w:sz w:val="18"/>
          <w:vertAlign w:val="baseline"/>
        </w:rPr>
        <w:t> (YBSS).”</w:t>
      </w:r>
    </w:p>
    <w:p>
      <w:pPr>
        <w:spacing w:line="244" w:lineRule="auto" w:before="24"/>
        <w:ind w:left="323" w:right="146" w:hanging="1"/>
        <w:jc w:val="left"/>
        <w:rPr>
          <w:sz w:val="18"/>
        </w:rPr>
      </w:pPr>
      <w:r>
        <w:rPr>
          <w:sz w:val="18"/>
          <w:vertAlign w:val="superscript"/>
        </w:rPr>
        <w:t>39</w:t>
      </w:r>
      <w:r>
        <w:rPr>
          <w:spacing w:val="-12"/>
          <w:sz w:val="18"/>
          <w:vertAlign w:val="baseline"/>
        </w:rPr>
        <w:t> </w:t>
      </w:r>
      <w:r>
        <w:rPr>
          <w:sz w:val="18"/>
          <w:vertAlign w:val="baseline"/>
        </w:rPr>
        <w:t>Catherine</w:t>
      </w:r>
      <w:r>
        <w:rPr>
          <w:spacing w:val="-3"/>
          <w:sz w:val="18"/>
          <w:vertAlign w:val="baseline"/>
        </w:rPr>
        <w:t> </w:t>
      </w:r>
      <w:r>
        <w:rPr>
          <w:sz w:val="18"/>
          <w:vertAlign w:val="baseline"/>
        </w:rPr>
        <w:t>Meads</w:t>
      </w:r>
      <w:r>
        <w:rPr>
          <w:spacing w:val="-2"/>
          <w:sz w:val="18"/>
          <w:vertAlign w:val="baseline"/>
        </w:rPr>
        <w:t> </w:t>
      </w:r>
      <w:r>
        <w:rPr>
          <w:sz w:val="18"/>
          <w:vertAlign w:val="baseline"/>
        </w:rPr>
        <w:t>et</w:t>
      </w:r>
      <w:r>
        <w:rPr>
          <w:spacing w:val="-3"/>
          <w:sz w:val="18"/>
          <w:vertAlign w:val="baseline"/>
        </w:rPr>
        <w:t> </w:t>
      </w:r>
      <w:r>
        <w:rPr>
          <w:sz w:val="18"/>
          <w:vertAlign w:val="baseline"/>
        </w:rPr>
        <w:t>al.,</w:t>
      </w:r>
      <w:r>
        <w:rPr>
          <w:spacing w:val="-3"/>
          <w:sz w:val="18"/>
          <w:vertAlign w:val="baseline"/>
        </w:rPr>
        <w:t> </w:t>
      </w:r>
      <w:r>
        <w:rPr>
          <w:sz w:val="18"/>
          <w:vertAlign w:val="baseline"/>
        </w:rPr>
        <w:t>“Systematic</w:t>
      </w:r>
      <w:r>
        <w:rPr>
          <w:spacing w:val="-3"/>
          <w:sz w:val="18"/>
          <w:vertAlign w:val="baseline"/>
        </w:rPr>
        <w:t> </w:t>
      </w:r>
      <w:r>
        <w:rPr>
          <w:sz w:val="18"/>
          <w:vertAlign w:val="baseline"/>
        </w:rPr>
        <w:t>Review</w:t>
      </w:r>
      <w:r>
        <w:rPr>
          <w:spacing w:val="-3"/>
          <w:sz w:val="18"/>
          <w:vertAlign w:val="baseline"/>
        </w:rPr>
        <w:t> </w:t>
      </w:r>
      <w:r>
        <w:rPr>
          <w:sz w:val="18"/>
          <w:vertAlign w:val="baseline"/>
        </w:rPr>
        <w:t>and</w:t>
      </w:r>
      <w:r>
        <w:rPr>
          <w:spacing w:val="-2"/>
          <w:sz w:val="18"/>
          <w:vertAlign w:val="baseline"/>
        </w:rPr>
        <w:t> </w:t>
      </w:r>
      <w:r>
        <w:rPr>
          <w:sz w:val="18"/>
          <w:vertAlign w:val="baseline"/>
        </w:rPr>
        <w:t>Meta-Analysis</w:t>
      </w:r>
      <w:r>
        <w:rPr>
          <w:spacing w:val="-3"/>
          <w:sz w:val="18"/>
          <w:vertAlign w:val="baseline"/>
        </w:rPr>
        <w:t> </w:t>
      </w:r>
      <w:r>
        <w:rPr>
          <w:sz w:val="18"/>
          <w:vertAlign w:val="baseline"/>
        </w:rPr>
        <w:t>of</w:t>
      </w:r>
      <w:r>
        <w:rPr>
          <w:spacing w:val="-2"/>
          <w:sz w:val="18"/>
          <w:vertAlign w:val="baseline"/>
        </w:rPr>
        <w:t> </w:t>
      </w:r>
      <w:r>
        <w:rPr>
          <w:sz w:val="18"/>
          <w:vertAlign w:val="baseline"/>
        </w:rPr>
        <w:t>Diabetes</w:t>
      </w:r>
      <w:r>
        <w:rPr>
          <w:spacing w:val="-2"/>
          <w:sz w:val="18"/>
          <w:vertAlign w:val="baseline"/>
        </w:rPr>
        <w:t> </w:t>
      </w:r>
      <w:r>
        <w:rPr>
          <w:sz w:val="18"/>
          <w:vertAlign w:val="baseline"/>
        </w:rPr>
        <w:t>Mellitus,</w:t>
      </w:r>
      <w:r>
        <w:rPr>
          <w:spacing w:val="-3"/>
          <w:sz w:val="18"/>
          <w:vertAlign w:val="baseline"/>
        </w:rPr>
        <w:t> </w:t>
      </w:r>
      <w:r>
        <w:rPr>
          <w:sz w:val="18"/>
          <w:vertAlign w:val="baseline"/>
        </w:rPr>
        <w:t>Cardiovascular</w:t>
      </w:r>
      <w:r>
        <w:rPr>
          <w:spacing w:val="-3"/>
          <w:sz w:val="18"/>
          <w:vertAlign w:val="baseline"/>
        </w:rPr>
        <w:t> </w:t>
      </w:r>
      <w:r>
        <w:rPr>
          <w:sz w:val="18"/>
          <w:vertAlign w:val="baseline"/>
        </w:rPr>
        <w:t>and</w:t>
      </w:r>
      <w:r>
        <w:rPr>
          <w:spacing w:val="-2"/>
          <w:sz w:val="18"/>
          <w:vertAlign w:val="baseline"/>
        </w:rPr>
        <w:t> </w:t>
      </w:r>
      <w:r>
        <w:rPr>
          <w:sz w:val="18"/>
          <w:vertAlign w:val="baseline"/>
        </w:rPr>
        <w:t>Respiratory</w:t>
      </w:r>
      <w:r>
        <w:rPr>
          <w:spacing w:val="-2"/>
          <w:sz w:val="18"/>
          <w:vertAlign w:val="baseline"/>
        </w:rPr>
        <w:t> </w:t>
      </w:r>
      <w:r>
        <w:rPr>
          <w:sz w:val="18"/>
          <w:vertAlign w:val="baseline"/>
        </w:rPr>
        <w:t>Condition Epidemiology in Sexual Minority Women,” </w:t>
      </w:r>
      <w:r>
        <w:rPr>
          <w:i/>
          <w:sz w:val="18"/>
          <w:vertAlign w:val="baseline"/>
        </w:rPr>
        <w:t>BMJ Open </w:t>
      </w:r>
      <w:r>
        <w:rPr>
          <w:sz w:val="18"/>
          <w:vertAlign w:val="baseline"/>
        </w:rPr>
        <w:t>8, no. 4 (April 17, 2018): e020776, https://doi.org/10.1136/bmjopen- </w:t>
      </w:r>
      <w:r>
        <w:rPr>
          <w:spacing w:val="-2"/>
          <w:sz w:val="18"/>
          <w:vertAlign w:val="baseline"/>
        </w:rPr>
        <w:t>2017-020776.</w:t>
      </w:r>
    </w:p>
    <w:p>
      <w:pPr>
        <w:spacing w:before="12"/>
        <w:ind w:left="323" w:right="0" w:firstLine="0"/>
        <w:jc w:val="left"/>
        <w:rPr>
          <w:sz w:val="18"/>
        </w:rPr>
      </w:pPr>
      <w:r>
        <w:rPr>
          <w:sz w:val="18"/>
          <w:vertAlign w:val="superscript"/>
        </w:rPr>
        <w:t>40</w:t>
      </w:r>
      <w:r>
        <w:rPr>
          <w:spacing w:val="-12"/>
          <w:sz w:val="18"/>
          <w:vertAlign w:val="baseline"/>
        </w:rPr>
        <w:t> </w:t>
      </w:r>
      <w:r>
        <w:rPr>
          <w:i/>
          <w:sz w:val="18"/>
          <w:vertAlign w:val="baseline"/>
        </w:rPr>
        <w:t>Toxics</w:t>
      </w:r>
      <w:r>
        <w:rPr>
          <w:i/>
          <w:spacing w:val="-3"/>
          <w:sz w:val="18"/>
          <w:vertAlign w:val="baseline"/>
        </w:rPr>
        <w:t> </w:t>
      </w:r>
      <w:r>
        <w:rPr>
          <w:i/>
          <w:sz w:val="18"/>
          <w:vertAlign w:val="baseline"/>
        </w:rPr>
        <w:t>Are</w:t>
      </w:r>
      <w:r>
        <w:rPr>
          <w:i/>
          <w:spacing w:val="-1"/>
          <w:sz w:val="18"/>
          <w:vertAlign w:val="baseline"/>
        </w:rPr>
        <w:t> </w:t>
      </w:r>
      <w:r>
        <w:rPr>
          <w:i/>
          <w:sz w:val="18"/>
          <w:vertAlign w:val="baseline"/>
        </w:rPr>
        <w:t>a</w:t>
      </w:r>
      <w:r>
        <w:rPr>
          <w:i/>
          <w:spacing w:val="-2"/>
          <w:sz w:val="18"/>
          <w:vertAlign w:val="baseline"/>
        </w:rPr>
        <w:t> </w:t>
      </w:r>
      <w:r>
        <w:rPr>
          <w:i/>
          <w:sz w:val="18"/>
          <w:vertAlign w:val="baseline"/>
        </w:rPr>
        <w:t>Drag:</w:t>
      </w:r>
      <w:r>
        <w:rPr>
          <w:i/>
          <w:spacing w:val="-1"/>
          <w:sz w:val="18"/>
          <w:vertAlign w:val="baseline"/>
        </w:rPr>
        <w:t> </w:t>
      </w:r>
      <w:r>
        <w:rPr>
          <w:i/>
          <w:sz w:val="18"/>
          <w:vertAlign w:val="baseline"/>
        </w:rPr>
        <w:t>June</w:t>
      </w:r>
      <w:r>
        <w:rPr>
          <w:i/>
          <w:spacing w:val="-1"/>
          <w:sz w:val="18"/>
          <w:vertAlign w:val="baseline"/>
        </w:rPr>
        <w:t> </w:t>
      </w:r>
      <w:r>
        <w:rPr>
          <w:i/>
          <w:sz w:val="18"/>
          <w:vertAlign w:val="baseline"/>
        </w:rPr>
        <w:t>2021</w:t>
      </w:r>
      <w:r>
        <w:rPr>
          <w:i/>
          <w:spacing w:val="-1"/>
          <w:sz w:val="18"/>
          <w:vertAlign w:val="baseline"/>
        </w:rPr>
        <w:t> </w:t>
      </w:r>
      <w:r>
        <w:rPr>
          <w:i/>
          <w:sz w:val="18"/>
          <w:vertAlign w:val="baseline"/>
        </w:rPr>
        <w:t>Uptown</w:t>
      </w:r>
      <w:r>
        <w:rPr>
          <w:i/>
          <w:spacing w:val="-2"/>
          <w:sz w:val="18"/>
          <w:vertAlign w:val="baseline"/>
        </w:rPr>
        <w:t> </w:t>
      </w:r>
      <w:r>
        <w:rPr>
          <w:i/>
          <w:sz w:val="18"/>
          <w:vertAlign w:val="baseline"/>
        </w:rPr>
        <w:t>Chats</w:t>
      </w:r>
      <w:r>
        <w:rPr>
          <w:sz w:val="18"/>
          <w:vertAlign w:val="baseline"/>
        </w:rPr>
        <w:t>,</w:t>
      </w:r>
      <w:r>
        <w:rPr>
          <w:spacing w:val="-2"/>
          <w:sz w:val="18"/>
          <w:vertAlign w:val="baseline"/>
        </w:rPr>
        <w:t> </w:t>
      </w:r>
      <w:r>
        <w:rPr>
          <w:sz w:val="18"/>
          <w:vertAlign w:val="baseline"/>
        </w:rPr>
        <w:t>2021,</w:t>
      </w:r>
      <w:r>
        <w:rPr>
          <w:spacing w:val="-2"/>
          <w:sz w:val="18"/>
          <w:vertAlign w:val="baseline"/>
        </w:rPr>
        <w:t> https://</w:t>
      </w:r>
      <w:hyperlink r:id="rId634">
        <w:r>
          <w:rPr>
            <w:spacing w:val="-2"/>
            <w:sz w:val="18"/>
            <w:vertAlign w:val="baseline"/>
          </w:rPr>
          <w:t>www.youtube.com/watch?v=1jgchaRTc_Y.</w:t>
        </w:r>
      </w:hyperlink>
    </w:p>
    <w:p>
      <w:pPr>
        <w:spacing w:line="252" w:lineRule="auto" w:before="25"/>
        <w:ind w:left="323" w:right="187" w:firstLine="0"/>
        <w:jc w:val="left"/>
        <w:rPr>
          <w:sz w:val="18"/>
        </w:rPr>
      </w:pPr>
      <w:r>
        <w:rPr>
          <w:sz w:val="18"/>
          <w:vertAlign w:val="superscript"/>
        </w:rPr>
        <w:t>41</w:t>
      </w:r>
      <w:r>
        <w:rPr>
          <w:spacing w:val="-6"/>
          <w:sz w:val="18"/>
          <w:vertAlign w:val="baseline"/>
        </w:rPr>
        <w:t> </w:t>
      </w:r>
      <w:r>
        <w:rPr>
          <w:sz w:val="18"/>
          <w:vertAlign w:val="baseline"/>
        </w:rPr>
        <w:t>“Study: Half of US Cosmetics Contain Toxic Chemicals | AP News,” accessed March 13, 2023, </w:t>
      </w:r>
      <w:r>
        <w:rPr>
          <w:spacing w:val="-2"/>
          <w:sz w:val="18"/>
          <w:vertAlign w:val="baseline"/>
        </w:rPr>
        <w:t>https://apnews.com/article/canada-science-health-business-government-and-politics-769d9740a0ddc8a4fe72619885511a23.</w:t>
      </w:r>
      <w:r>
        <w:rPr>
          <w:spacing w:val="80"/>
          <w:sz w:val="18"/>
          <w:vertAlign w:val="baseline"/>
        </w:rPr>
        <w:t>  </w:t>
      </w:r>
      <w:r>
        <w:rPr>
          <w:sz w:val="18"/>
          <w:vertAlign w:val="superscript"/>
        </w:rPr>
        <w:t>42</w:t>
      </w:r>
      <w:r>
        <w:rPr>
          <w:spacing w:val="-12"/>
          <w:sz w:val="18"/>
          <w:vertAlign w:val="baseline"/>
        </w:rPr>
        <w:t> </w:t>
      </w:r>
      <w:r>
        <w:rPr>
          <w:sz w:val="18"/>
          <w:vertAlign w:val="baseline"/>
        </w:rPr>
        <w:t>Jasmine</w:t>
      </w:r>
      <w:r>
        <w:rPr>
          <w:spacing w:val="-3"/>
          <w:sz w:val="18"/>
          <w:vertAlign w:val="baseline"/>
        </w:rPr>
        <w:t> </w:t>
      </w:r>
      <w:r>
        <w:rPr>
          <w:sz w:val="18"/>
          <w:vertAlign w:val="baseline"/>
        </w:rPr>
        <w:t>A.</w:t>
      </w:r>
      <w:r>
        <w:rPr>
          <w:spacing w:val="-2"/>
          <w:sz w:val="18"/>
          <w:vertAlign w:val="baseline"/>
        </w:rPr>
        <w:t> </w:t>
      </w:r>
      <w:r>
        <w:rPr>
          <w:sz w:val="18"/>
          <w:vertAlign w:val="baseline"/>
        </w:rPr>
        <w:t>McDonald</w:t>
      </w:r>
      <w:r>
        <w:rPr>
          <w:spacing w:val="-2"/>
          <w:sz w:val="18"/>
          <w:vertAlign w:val="baseline"/>
        </w:rPr>
        <w:t> </w:t>
      </w:r>
      <w:r>
        <w:rPr>
          <w:sz w:val="18"/>
          <w:vertAlign w:val="baseline"/>
        </w:rPr>
        <w:t>et</w:t>
      </w:r>
      <w:r>
        <w:rPr>
          <w:spacing w:val="-3"/>
          <w:sz w:val="18"/>
          <w:vertAlign w:val="baseline"/>
        </w:rPr>
        <w:t> </w:t>
      </w:r>
      <w:r>
        <w:rPr>
          <w:sz w:val="18"/>
          <w:vertAlign w:val="baseline"/>
        </w:rPr>
        <w:t>al.,</w:t>
      </w:r>
      <w:r>
        <w:rPr>
          <w:spacing w:val="-3"/>
          <w:sz w:val="18"/>
          <w:vertAlign w:val="baseline"/>
        </w:rPr>
        <w:t> </w:t>
      </w:r>
      <w:r>
        <w:rPr>
          <w:sz w:val="18"/>
          <w:vertAlign w:val="baseline"/>
        </w:rPr>
        <w:t>“The</w:t>
      </w:r>
      <w:r>
        <w:rPr>
          <w:spacing w:val="-2"/>
          <w:sz w:val="18"/>
          <w:vertAlign w:val="baseline"/>
        </w:rPr>
        <w:t> </w:t>
      </w:r>
      <w:r>
        <w:rPr>
          <w:sz w:val="18"/>
          <w:vertAlign w:val="baseline"/>
        </w:rPr>
        <w:t>Environmental</w:t>
      </w:r>
      <w:r>
        <w:rPr>
          <w:spacing w:val="-3"/>
          <w:sz w:val="18"/>
          <w:vertAlign w:val="baseline"/>
        </w:rPr>
        <w:t> </w:t>
      </w:r>
      <w:r>
        <w:rPr>
          <w:sz w:val="18"/>
          <w:vertAlign w:val="baseline"/>
        </w:rPr>
        <w:t>Injustice</w:t>
      </w:r>
      <w:r>
        <w:rPr>
          <w:spacing w:val="-2"/>
          <w:sz w:val="18"/>
          <w:vertAlign w:val="baseline"/>
        </w:rPr>
        <w:t> </w:t>
      </w:r>
      <w:r>
        <w:rPr>
          <w:sz w:val="18"/>
          <w:vertAlign w:val="baseline"/>
        </w:rPr>
        <w:t>of</w:t>
      </w:r>
      <w:r>
        <w:rPr>
          <w:spacing w:val="-2"/>
          <w:sz w:val="18"/>
          <w:vertAlign w:val="baseline"/>
        </w:rPr>
        <w:t> </w:t>
      </w:r>
      <w:r>
        <w:rPr>
          <w:sz w:val="18"/>
          <w:vertAlign w:val="baseline"/>
        </w:rPr>
        <w:t>Beauty</w:t>
      </w:r>
      <w:r>
        <w:rPr>
          <w:spacing w:val="-2"/>
          <w:sz w:val="18"/>
          <w:vertAlign w:val="baseline"/>
        </w:rPr>
        <w:t> </w:t>
      </w:r>
      <w:r>
        <w:rPr>
          <w:sz w:val="18"/>
          <w:vertAlign w:val="baseline"/>
        </w:rPr>
        <w:t>Products:</w:t>
      </w:r>
      <w:r>
        <w:rPr>
          <w:spacing w:val="-2"/>
          <w:sz w:val="18"/>
          <w:vertAlign w:val="baseline"/>
        </w:rPr>
        <w:t> </w:t>
      </w:r>
      <w:r>
        <w:rPr>
          <w:sz w:val="18"/>
          <w:vertAlign w:val="baseline"/>
        </w:rPr>
        <w:t>Toward</w:t>
      </w:r>
      <w:r>
        <w:rPr>
          <w:spacing w:val="-2"/>
          <w:sz w:val="18"/>
          <w:vertAlign w:val="baseline"/>
        </w:rPr>
        <w:t> </w:t>
      </w:r>
      <w:r>
        <w:rPr>
          <w:sz w:val="18"/>
          <w:vertAlign w:val="baseline"/>
        </w:rPr>
        <w:t>Clean</w:t>
      </w:r>
      <w:r>
        <w:rPr>
          <w:spacing w:val="-2"/>
          <w:sz w:val="18"/>
          <w:vertAlign w:val="baseline"/>
        </w:rPr>
        <w:t> </w:t>
      </w:r>
      <w:r>
        <w:rPr>
          <w:sz w:val="18"/>
          <w:vertAlign w:val="baseline"/>
        </w:rPr>
        <w:t>and</w:t>
      </w:r>
      <w:r>
        <w:rPr>
          <w:spacing w:val="-2"/>
          <w:sz w:val="18"/>
          <w:vertAlign w:val="baseline"/>
        </w:rPr>
        <w:t> </w:t>
      </w:r>
      <w:r>
        <w:rPr>
          <w:sz w:val="18"/>
          <w:vertAlign w:val="baseline"/>
        </w:rPr>
        <w:t>Equitable</w:t>
      </w:r>
      <w:r>
        <w:rPr>
          <w:spacing w:val="-2"/>
          <w:sz w:val="18"/>
          <w:vertAlign w:val="baseline"/>
        </w:rPr>
        <w:t> </w:t>
      </w:r>
      <w:r>
        <w:rPr>
          <w:sz w:val="18"/>
          <w:vertAlign w:val="baseline"/>
        </w:rPr>
        <w:t>Beauty,”</w:t>
      </w:r>
      <w:r>
        <w:rPr>
          <w:spacing w:val="-2"/>
          <w:sz w:val="18"/>
          <w:vertAlign w:val="baseline"/>
        </w:rPr>
        <w:t> </w:t>
      </w:r>
      <w:r>
        <w:rPr>
          <w:i/>
          <w:sz w:val="18"/>
          <w:vertAlign w:val="baseline"/>
        </w:rPr>
        <w:t>American</w:t>
      </w:r>
      <w:r>
        <w:rPr>
          <w:i/>
          <w:sz w:val="18"/>
          <w:vertAlign w:val="baseline"/>
        </w:rPr>
        <w:t> Journal of Public Health </w:t>
      </w:r>
      <w:r>
        <w:rPr>
          <w:sz w:val="18"/>
          <w:vertAlign w:val="baseline"/>
        </w:rPr>
        <w:t>112, no. 1 (January 2022): 50–53, https://doi.org/10.2105/AJPH.2021.306606.</w:t>
      </w:r>
    </w:p>
    <w:p>
      <w:pPr>
        <w:spacing w:after="0" w:line="252" w:lineRule="auto"/>
        <w:jc w:val="left"/>
        <w:rPr>
          <w:sz w:val="18"/>
        </w:rPr>
        <w:sectPr>
          <w:pgSz w:w="12240" w:h="15840"/>
          <w:pgMar w:header="800" w:footer="1459" w:top="1300" w:bottom="1700" w:left="1120" w:right="1300"/>
        </w:sectPr>
      </w:pPr>
    </w:p>
    <w:p>
      <w:pPr>
        <w:spacing w:before="85"/>
        <w:ind w:left="323" w:right="0" w:firstLine="0"/>
        <w:jc w:val="left"/>
        <w:rPr>
          <w:sz w:val="18"/>
        </w:rPr>
      </w:pPr>
      <w:r>
        <w:rPr>
          <w:sz w:val="18"/>
          <w:vertAlign w:val="superscript"/>
        </w:rPr>
        <w:t>43</w:t>
      </w:r>
      <w:r>
        <w:rPr>
          <w:spacing w:val="-11"/>
          <w:sz w:val="18"/>
          <w:vertAlign w:val="baseline"/>
        </w:rPr>
        <w:t> </w:t>
      </w:r>
      <w:r>
        <w:rPr>
          <w:i/>
          <w:sz w:val="18"/>
          <w:vertAlign w:val="baseline"/>
        </w:rPr>
        <w:t>Toxics Are</w:t>
      </w:r>
      <w:r>
        <w:rPr>
          <w:i/>
          <w:spacing w:val="2"/>
          <w:sz w:val="18"/>
          <w:vertAlign w:val="baseline"/>
        </w:rPr>
        <w:t> </w:t>
      </w:r>
      <w:r>
        <w:rPr>
          <w:i/>
          <w:sz w:val="18"/>
          <w:vertAlign w:val="baseline"/>
        </w:rPr>
        <w:t>a</w:t>
      </w:r>
      <w:r>
        <w:rPr>
          <w:i/>
          <w:spacing w:val="1"/>
          <w:sz w:val="18"/>
          <w:vertAlign w:val="baseline"/>
        </w:rPr>
        <w:t> </w:t>
      </w:r>
      <w:r>
        <w:rPr>
          <w:i/>
          <w:spacing w:val="-2"/>
          <w:sz w:val="18"/>
          <w:vertAlign w:val="baseline"/>
        </w:rPr>
        <w:t>Drag</w:t>
      </w:r>
      <w:r>
        <w:rPr>
          <w:spacing w:val="-2"/>
          <w:sz w:val="18"/>
          <w:vertAlign w:val="baseline"/>
        </w:rPr>
        <w:t>.</w:t>
      </w:r>
    </w:p>
    <w:p>
      <w:pPr>
        <w:spacing w:line="244" w:lineRule="auto" w:before="24"/>
        <w:ind w:left="323" w:right="456" w:hanging="1"/>
        <w:jc w:val="left"/>
        <w:rPr>
          <w:sz w:val="18"/>
        </w:rPr>
      </w:pPr>
      <w:r>
        <w:rPr>
          <w:sz w:val="18"/>
          <w:vertAlign w:val="superscript"/>
        </w:rPr>
        <w:t>44</w:t>
      </w:r>
      <w:r>
        <w:rPr>
          <w:spacing w:val="-7"/>
          <w:sz w:val="18"/>
          <w:vertAlign w:val="baseline"/>
        </w:rPr>
        <w:t> </w:t>
      </w:r>
      <w:r>
        <w:rPr>
          <w:sz w:val="18"/>
          <w:vertAlign w:val="baseline"/>
        </w:rPr>
        <w:t>Michael Scaturro, “States Seek Crackdown on Toxic Ingredients in Cosmetics to Close Gaps in Federal Oversight,” </w:t>
      </w:r>
      <w:r>
        <w:rPr>
          <w:i/>
          <w:sz w:val="18"/>
          <w:vertAlign w:val="baseline"/>
        </w:rPr>
        <w:t>Kaiser</w:t>
      </w:r>
      <w:r>
        <w:rPr>
          <w:i/>
          <w:sz w:val="18"/>
          <w:vertAlign w:val="baseline"/>
        </w:rPr>
        <w:t> Health</w:t>
      </w:r>
      <w:r>
        <w:rPr>
          <w:i/>
          <w:spacing w:val="-8"/>
          <w:sz w:val="18"/>
          <w:vertAlign w:val="baseline"/>
        </w:rPr>
        <w:t> </w:t>
      </w:r>
      <w:r>
        <w:rPr>
          <w:i/>
          <w:sz w:val="18"/>
          <w:vertAlign w:val="baseline"/>
        </w:rPr>
        <w:t>News</w:t>
      </w:r>
      <w:r>
        <w:rPr>
          <w:sz w:val="18"/>
          <w:vertAlign w:val="baseline"/>
        </w:rPr>
        <w:t>,</w:t>
      </w:r>
      <w:r>
        <w:rPr>
          <w:spacing w:val="-8"/>
          <w:sz w:val="18"/>
          <w:vertAlign w:val="baseline"/>
        </w:rPr>
        <w:t> </w:t>
      </w:r>
      <w:r>
        <w:rPr>
          <w:sz w:val="18"/>
          <w:vertAlign w:val="baseline"/>
        </w:rPr>
        <w:t>February</w:t>
      </w:r>
      <w:r>
        <w:rPr>
          <w:spacing w:val="-8"/>
          <w:sz w:val="18"/>
          <w:vertAlign w:val="baseline"/>
        </w:rPr>
        <w:t> </w:t>
      </w:r>
      <w:r>
        <w:rPr>
          <w:sz w:val="18"/>
          <w:vertAlign w:val="baseline"/>
        </w:rPr>
        <w:t>23,</w:t>
      </w:r>
      <w:r>
        <w:rPr>
          <w:spacing w:val="-8"/>
          <w:sz w:val="18"/>
          <w:vertAlign w:val="baseline"/>
        </w:rPr>
        <w:t> </w:t>
      </w:r>
      <w:r>
        <w:rPr>
          <w:sz w:val="18"/>
          <w:vertAlign w:val="baseline"/>
        </w:rPr>
        <w:t>2023,</w:t>
      </w:r>
      <w:r>
        <w:rPr>
          <w:spacing w:val="-8"/>
          <w:sz w:val="18"/>
          <w:vertAlign w:val="baseline"/>
        </w:rPr>
        <w:t> </w:t>
      </w:r>
      <w:r>
        <w:rPr>
          <w:sz w:val="18"/>
          <w:vertAlign w:val="baseline"/>
        </w:rPr>
        <w:t>https://khn.org/news/article/states-seek-crackdown-on-toxic-ingredients-in-cosmetics-to- </w:t>
      </w:r>
      <w:r>
        <w:rPr>
          <w:spacing w:val="-2"/>
          <w:sz w:val="18"/>
          <w:vertAlign w:val="baseline"/>
        </w:rPr>
        <w:t>close-gaps-in-federal-oversight/.</w:t>
      </w:r>
    </w:p>
    <w:p>
      <w:pPr>
        <w:spacing w:line="247" w:lineRule="auto" w:before="12"/>
        <w:ind w:left="323" w:right="1032" w:firstLine="0"/>
        <w:jc w:val="left"/>
        <w:rPr>
          <w:sz w:val="18"/>
        </w:rPr>
      </w:pPr>
      <w:r>
        <w:rPr>
          <w:sz w:val="18"/>
          <w:vertAlign w:val="superscript"/>
        </w:rPr>
        <w:t>45</w:t>
      </w:r>
      <w:r>
        <w:rPr>
          <w:spacing w:val="-12"/>
          <w:sz w:val="18"/>
          <w:vertAlign w:val="baseline"/>
        </w:rPr>
        <w:t> </w:t>
      </w:r>
      <w:r>
        <w:rPr>
          <w:sz w:val="18"/>
          <w:vertAlign w:val="baseline"/>
        </w:rPr>
        <w:t>“Safer</w:t>
      </w:r>
      <w:r>
        <w:rPr>
          <w:spacing w:val="-3"/>
          <w:sz w:val="18"/>
          <w:vertAlign w:val="baseline"/>
        </w:rPr>
        <w:t> </w:t>
      </w:r>
      <w:r>
        <w:rPr>
          <w:sz w:val="18"/>
          <w:vertAlign w:val="baseline"/>
        </w:rPr>
        <w:t>Beauty</w:t>
      </w:r>
      <w:r>
        <w:rPr>
          <w:spacing w:val="-3"/>
          <w:sz w:val="18"/>
          <w:vertAlign w:val="baseline"/>
        </w:rPr>
        <w:t> </w:t>
      </w:r>
      <w:r>
        <w:rPr>
          <w:sz w:val="18"/>
          <w:vertAlign w:val="baseline"/>
        </w:rPr>
        <w:t>&amp;</w:t>
      </w:r>
      <w:r>
        <w:rPr>
          <w:spacing w:val="-3"/>
          <w:sz w:val="18"/>
          <w:vertAlign w:val="baseline"/>
        </w:rPr>
        <w:t> </w:t>
      </w:r>
      <w:r>
        <w:rPr>
          <w:sz w:val="18"/>
          <w:vertAlign w:val="baseline"/>
        </w:rPr>
        <w:t>Cosmetics</w:t>
      </w:r>
      <w:r>
        <w:rPr>
          <w:spacing w:val="-2"/>
          <w:sz w:val="18"/>
          <w:vertAlign w:val="baseline"/>
        </w:rPr>
        <w:t> </w:t>
      </w:r>
      <w:r>
        <w:rPr>
          <w:sz w:val="18"/>
          <w:vertAlign w:val="baseline"/>
        </w:rPr>
        <w:t>State</w:t>
      </w:r>
      <w:r>
        <w:rPr>
          <w:spacing w:val="-2"/>
          <w:sz w:val="18"/>
          <w:vertAlign w:val="baseline"/>
        </w:rPr>
        <w:t> </w:t>
      </w:r>
      <w:r>
        <w:rPr>
          <w:sz w:val="18"/>
          <w:vertAlign w:val="baseline"/>
        </w:rPr>
        <w:t>Laws,”</w:t>
      </w:r>
      <w:r>
        <w:rPr>
          <w:spacing w:val="-2"/>
          <w:sz w:val="18"/>
          <w:vertAlign w:val="baseline"/>
        </w:rPr>
        <w:t> </w:t>
      </w:r>
      <w:r>
        <w:rPr>
          <w:i/>
          <w:sz w:val="18"/>
          <w:vertAlign w:val="baseline"/>
        </w:rPr>
        <w:t>Breast</w:t>
      </w:r>
      <w:r>
        <w:rPr>
          <w:i/>
          <w:spacing w:val="-3"/>
          <w:sz w:val="18"/>
          <w:vertAlign w:val="baseline"/>
        </w:rPr>
        <w:t> </w:t>
      </w:r>
      <w:r>
        <w:rPr>
          <w:i/>
          <w:sz w:val="18"/>
          <w:vertAlign w:val="baseline"/>
        </w:rPr>
        <w:t>Cancer</w:t>
      </w:r>
      <w:r>
        <w:rPr>
          <w:i/>
          <w:spacing w:val="-3"/>
          <w:sz w:val="18"/>
          <w:vertAlign w:val="baseline"/>
        </w:rPr>
        <w:t> </w:t>
      </w:r>
      <w:r>
        <w:rPr>
          <w:i/>
          <w:sz w:val="18"/>
          <w:vertAlign w:val="baseline"/>
        </w:rPr>
        <w:t>Prevention</w:t>
      </w:r>
      <w:r>
        <w:rPr>
          <w:i/>
          <w:spacing w:val="-2"/>
          <w:sz w:val="18"/>
          <w:vertAlign w:val="baseline"/>
        </w:rPr>
        <w:t> </w:t>
      </w:r>
      <w:r>
        <w:rPr>
          <w:i/>
          <w:sz w:val="18"/>
          <w:vertAlign w:val="baseline"/>
        </w:rPr>
        <w:t>Partners</w:t>
      </w:r>
      <w:r>
        <w:rPr>
          <w:i/>
          <w:spacing w:val="-3"/>
          <w:sz w:val="18"/>
          <w:vertAlign w:val="baseline"/>
        </w:rPr>
        <w:t> </w:t>
      </w:r>
      <w:r>
        <w:rPr>
          <w:i/>
          <w:sz w:val="18"/>
          <w:vertAlign w:val="baseline"/>
        </w:rPr>
        <w:t>(BCPP)</w:t>
      </w:r>
      <w:r>
        <w:rPr>
          <w:i/>
          <w:spacing w:val="-3"/>
          <w:sz w:val="18"/>
          <w:vertAlign w:val="baseline"/>
        </w:rPr>
        <w:t> </w:t>
      </w:r>
      <w:r>
        <w:rPr>
          <w:sz w:val="18"/>
          <w:vertAlign w:val="baseline"/>
        </w:rPr>
        <w:t>(blog),</w:t>
      </w:r>
      <w:r>
        <w:rPr>
          <w:spacing w:val="-3"/>
          <w:sz w:val="18"/>
          <w:vertAlign w:val="baseline"/>
        </w:rPr>
        <w:t> </w:t>
      </w:r>
      <w:r>
        <w:rPr>
          <w:sz w:val="18"/>
          <w:vertAlign w:val="baseline"/>
        </w:rPr>
        <w:t>accessed</w:t>
      </w:r>
      <w:r>
        <w:rPr>
          <w:spacing w:val="-2"/>
          <w:sz w:val="18"/>
          <w:vertAlign w:val="baseline"/>
        </w:rPr>
        <w:t> </w:t>
      </w:r>
      <w:r>
        <w:rPr>
          <w:sz w:val="18"/>
          <w:vertAlign w:val="baseline"/>
        </w:rPr>
        <w:t>March</w:t>
      </w:r>
      <w:r>
        <w:rPr>
          <w:spacing w:val="-2"/>
          <w:sz w:val="18"/>
          <w:vertAlign w:val="baseline"/>
        </w:rPr>
        <w:t> </w:t>
      </w:r>
      <w:r>
        <w:rPr>
          <w:sz w:val="18"/>
          <w:vertAlign w:val="baseline"/>
        </w:rPr>
        <w:t>6,</w:t>
      </w:r>
      <w:r>
        <w:rPr>
          <w:spacing w:val="-3"/>
          <w:sz w:val="18"/>
          <w:vertAlign w:val="baseline"/>
        </w:rPr>
        <w:t> </w:t>
      </w:r>
      <w:r>
        <w:rPr>
          <w:sz w:val="18"/>
          <w:vertAlign w:val="baseline"/>
        </w:rPr>
        <w:t>2023, </w:t>
      </w:r>
      <w:r>
        <w:rPr>
          <w:spacing w:val="-2"/>
          <w:sz w:val="18"/>
          <w:vertAlign w:val="baseline"/>
        </w:rPr>
        <w:t>https://</w:t>
      </w:r>
      <w:hyperlink r:id="rId635">
        <w:r>
          <w:rPr>
            <w:spacing w:val="-2"/>
            <w:sz w:val="18"/>
            <w:vertAlign w:val="baseline"/>
          </w:rPr>
          <w:t>www.bcpp.org/resource/safer-beauty-and-cosmetics-state-laws/.</w:t>
        </w:r>
      </w:hyperlink>
    </w:p>
    <w:p>
      <w:pPr>
        <w:spacing w:before="11"/>
        <w:ind w:left="323" w:right="0" w:firstLine="0"/>
        <w:jc w:val="left"/>
        <w:rPr>
          <w:sz w:val="18"/>
        </w:rPr>
      </w:pPr>
      <w:r>
        <w:rPr>
          <w:sz w:val="18"/>
          <w:vertAlign w:val="superscript"/>
        </w:rPr>
        <w:t>46</w:t>
      </w:r>
      <w:r>
        <w:rPr>
          <w:spacing w:val="-12"/>
          <w:sz w:val="18"/>
          <w:vertAlign w:val="baseline"/>
        </w:rPr>
        <w:t> </w:t>
      </w:r>
      <w:r>
        <w:rPr>
          <w:sz w:val="18"/>
          <w:vertAlign w:val="baseline"/>
        </w:rPr>
        <w:t>“Bill</w:t>
      </w:r>
      <w:r>
        <w:rPr>
          <w:spacing w:val="-1"/>
          <w:sz w:val="18"/>
          <w:vertAlign w:val="baseline"/>
        </w:rPr>
        <w:t> </w:t>
      </w:r>
      <w:r>
        <w:rPr>
          <w:sz w:val="18"/>
          <w:vertAlign w:val="baseline"/>
        </w:rPr>
        <w:t>H.2197,” accessed March 13,</w:t>
      </w:r>
      <w:r>
        <w:rPr>
          <w:spacing w:val="-1"/>
          <w:sz w:val="18"/>
          <w:vertAlign w:val="baseline"/>
        </w:rPr>
        <w:t> </w:t>
      </w:r>
      <w:r>
        <w:rPr>
          <w:sz w:val="18"/>
          <w:vertAlign w:val="baseline"/>
        </w:rPr>
        <w:t>2023,</w:t>
      </w:r>
      <w:r>
        <w:rPr>
          <w:spacing w:val="-1"/>
          <w:sz w:val="18"/>
          <w:vertAlign w:val="baseline"/>
        </w:rPr>
        <w:t> </w:t>
      </w:r>
      <w:r>
        <w:rPr>
          <w:spacing w:val="-2"/>
          <w:sz w:val="18"/>
          <w:vertAlign w:val="baseline"/>
        </w:rPr>
        <w:t>https://malegislature.gov/Bills/193/HD3324.</w:t>
      </w:r>
    </w:p>
    <w:p>
      <w:pPr>
        <w:spacing w:line="247" w:lineRule="auto" w:before="24"/>
        <w:ind w:left="323" w:right="218" w:firstLine="0"/>
        <w:jc w:val="left"/>
        <w:rPr>
          <w:sz w:val="18"/>
        </w:rPr>
      </w:pPr>
      <w:r>
        <w:rPr>
          <w:sz w:val="18"/>
          <w:vertAlign w:val="superscript"/>
        </w:rPr>
        <w:t>47</w:t>
      </w:r>
      <w:r>
        <w:rPr>
          <w:spacing w:val="-12"/>
          <w:sz w:val="18"/>
          <w:vertAlign w:val="baseline"/>
        </w:rPr>
        <w:t> </w:t>
      </w:r>
      <w:r>
        <w:rPr>
          <w:sz w:val="18"/>
          <w:vertAlign w:val="baseline"/>
        </w:rPr>
        <w:t>Leo</w:t>
      </w:r>
      <w:r>
        <w:rPr>
          <w:spacing w:val="-2"/>
          <w:sz w:val="18"/>
          <w:vertAlign w:val="baseline"/>
        </w:rPr>
        <w:t> </w:t>
      </w:r>
      <w:r>
        <w:rPr>
          <w:sz w:val="18"/>
          <w:vertAlign w:val="baseline"/>
        </w:rPr>
        <w:t>Goldsmith</w:t>
      </w:r>
      <w:r>
        <w:rPr>
          <w:spacing w:val="-2"/>
          <w:sz w:val="18"/>
          <w:vertAlign w:val="baseline"/>
        </w:rPr>
        <w:t> </w:t>
      </w:r>
      <w:r>
        <w:rPr>
          <w:sz w:val="18"/>
          <w:vertAlign w:val="baseline"/>
        </w:rPr>
        <w:t>and</w:t>
      </w:r>
      <w:r>
        <w:rPr>
          <w:spacing w:val="-2"/>
          <w:sz w:val="18"/>
          <w:vertAlign w:val="baseline"/>
        </w:rPr>
        <w:t> </w:t>
      </w:r>
      <w:r>
        <w:rPr>
          <w:sz w:val="18"/>
          <w:vertAlign w:val="baseline"/>
        </w:rPr>
        <w:t>Michelle</w:t>
      </w:r>
      <w:r>
        <w:rPr>
          <w:spacing w:val="-2"/>
          <w:sz w:val="18"/>
          <w:vertAlign w:val="baseline"/>
        </w:rPr>
        <w:t> </w:t>
      </w:r>
      <w:r>
        <w:rPr>
          <w:sz w:val="18"/>
          <w:vertAlign w:val="baseline"/>
        </w:rPr>
        <w:t>L.</w:t>
      </w:r>
      <w:r>
        <w:rPr>
          <w:spacing w:val="-2"/>
          <w:sz w:val="18"/>
          <w:vertAlign w:val="baseline"/>
        </w:rPr>
        <w:t> </w:t>
      </w:r>
      <w:r>
        <w:rPr>
          <w:sz w:val="18"/>
          <w:vertAlign w:val="baseline"/>
        </w:rPr>
        <w:t>Bell,</w:t>
      </w:r>
      <w:r>
        <w:rPr>
          <w:spacing w:val="-3"/>
          <w:sz w:val="18"/>
          <w:vertAlign w:val="baseline"/>
        </w:rPr>
        <w:t> </w:t>
      </w:r>
      <w:r>
        <w:rPr>
          <w:sz w:val="18"/>
          <w:vertAlign w:val="baseline"/>
        </w:rPr>
        <w:t>“Queering</w:t>
      </w:r>
      <w:r>
        <w:rPr>
          <w:spacing w:val="-3"/>
          <w:sz w:val="18"/>
          <w:vertAlign w:val="baseline"/>
        </w:rPr>
        <w:t> </w:t>
      </w:r>
      <w:r>
        <w:rPr>
          <w:sz w:val="18"/>
          <w:vertAlign w:val="baseline"/>
        </w:rPr>
        <w:t>Environmental</w:t>
      </w:r>
      <w:r>
        <w:rPr>
          <w:spacing w:val="-3"/>
          <w:sz w:val="18"/>
          <w:vertAlign w:val="baseline"/>
        </w:rPr>
        <w:t> </w:t>
      </w:r>
      <w:r>
        <w:rPr>
          <w:sz w:val="18"/>
          <w:vertAlign w:val="baseline"/>
        </w:rPr>
        <w:t>Justice:</w:t>
      </w:r>
      <w:r>
        <w:rPr>
          <w:spacing w:val="-2"/>
          <w:sz w:val="18"/>
          <w:vertAlign w:val="baseline"/>
        </w:rPr>
        <w:t> </w:t>
      </w:r>
      <w:r>
        <w:rPr>
          <w:sz w:val="18"/>
          <w:vertAlign w:val="baseline"/>
        </w:rPr>
        <w:t>Unequal</w:t>
      </w:r>
      <w:r>
        <w:rPr>
          <w:spacing w:val="-3"/>
          <w:sz w:val="18"/>
          <w:vertAlign w:val="baseline"/>
        </w:rPr>
        <w:t> </w:t>
      </w:r>
      <w:r>
        <w:rPr>
          <w:sz w:val="18"/>
          <w:vertAlign w:val="baseline"/>
        </w:rPr>
        <w:t>Environmental</w:t>
      </w:r>
      <w:r>
        <w:rPr>
          <w:spacing w:val="-3"/>
          <w:sz w:val="18"/>
          <w:vertAlign w:val="baseline"/>
        </w:rPr>
        <w:t> </w:t>
      </w:r>
      <w:r>
        <w:rPr>
          <w:sz w:val="18"/>
          <w:vertAlign w:val="baseline"/>
        </w:rPr>
        <w:t>Health</w:t>
      </w:r>
      <w:r>
        <w:rPr>
          <w:spacing w:val="-2"/>
          <w:sz w:val="18"/>
          <w:vertAlign w:val="baseline"/>
        </w:rPr>
        <w:t> </w:t>
      </w:r>
      <w:r>
        <w:rPr>
          <w:sz w:val="18"/>
          <w:vertAlign w:val="baseline"/>
        </w:rPr>
        <w:t>Burden</w:t>
      </w:r>
      <w:r>
        <w:rPr>
          <w:spacing w:val="-2"/>
          <w:sz w:val="18"/>
          <w:vertAlign w:val="baseline"/>
        </w:rPr>
        <w:t> </w:t>
      </w:r>
      <w:r>
        <w:rPr>
          <w:sz w:val="18"/>
          <w:vertAlign w:val="baseline"/>
        </w:rPr>
        <w:t>on</w:t>
      </w:r>
      <w:r>
        <w:rPr>
          <w:spacing w:val="-3"/>
          <w:sz w:val="18"/>
          <w:vertAlign w:val="baseline"/>
        </w:rPr>
        <w:t> </w:t>
      </w:r>
      <w:r>
        <w:rPr>
          <w:sz w:val="18"/>
          <w:vertAlign w:val="baseline"/>
        </w:rPr>
        <w:t>the</w:t>
      </w:r>
      <w:r>
        <w:rPr>
          <w:spacing w:val="-2"/>
          <w:sz w:val="18"/>
          <w:vertAlign w:val="baseline"/>
        </w:rPr>
        <w:t> </w:t>
      </w:r>
      <w:r>
        <w:rPr>
          <w:sz w:val="18"/>
          <w:vertAlign w:val="baseline"/>
        </w:rPr>
        <w:t>LGBTQ+ Community,”</w:t>
      </w:r>
      <w:r>
        <w:rPr>
          <w:spacing w:val="-3"/>
          <w:sz w:val="18"/>
          <w:vertAlign w:val="baseline"/>
        </w:rPr>
        <w:t> </w:t>
      </w:r>
      <w:r>
        <w:rPr>
          <w:i/>
          <w:sz w:val="18"/>
          <w:vertAlign w:val="baseline"/>
        </w:rPr>
        <w:t>American</w:t>
      </w:r>
      <w:r>
        <w:rPr>
          <w:i/>
          <w:spacing w:val="-3"/>
          <w:sz w:val="18"/>
          <w:vertAlign w:val="baseline"/>
        </w:rPr>
        <w:t> </w:t>
      </w:r>
      <w:r>
        <w:rPr>
          <w:i/>
          <w:sz w:val="18"/>
          <w:vertAlign w:val="baseline"/>
        </w:rPr>
        <w:t>Journal</w:t>
      </w:r>
      <w:r>
        <w:rPr>
          <w:i/>
          <w:spacing w:val="-3"/>
          <w:sz w:val="18"/>
          <w:vertAlign w:val="baseline"/>
        </w:rPr>
        <w:t> </w:t>
      </w:r>
      <w:r>
        <w:rPr>
          <w:i/>
          <w:sz w:val="18"/>
          <w:vertAlign w:val="baseline"/>
        </w:rPr>
        <w:t>of</w:t>
      </w:r>
      <w:r>
        <w:rPr>
          <w:i/>
          <w:spacing w:val="-3"/>
          <w:sz w:val="18"/>
          <w:vertAlign w:val="baseline"/>
        </w:rPr>
        <w:t> </w:t>
      </w:r>
      <w:r>
        <w:rPr>
          <w:i/>
          <w:sz w:val="18"/>
          <w:vertAlign w:val="baseline"/>
        </w:rPr>
        <w:t>Public</w:t>
      </w:r>
      <w:r>
        <w:rPr>
          <w:i/>
          <w:spacing w:val="-4"/>
          <w:sz w:val="18"/>
          <w:vertAlign w:val="baseline"/>
        </w:rPr>
        <w:t> </w:t>
      </w:r>
      <w:r>
        <w:rPr>
          <w:i/>
          <w:sz w:val="18"/>
          <w:vertAlign w:val="baseline"/>
        </w:rPr>
        <w:t>Health</w:t>
      </w:r>
      <w:r>
        <w:rPr>
          <w:i/>
          <w:spacing w:val="-3"/>
          <w:sz w:val="18"/>
          <w:vertAlign w:val="baseline"/>
        </w:rPr>
        <w:t> </w:t>
      </w:r>
      <w:r>
        <w:rPr>
          <w:sz w:val="18"/>
          <w:vertAlign w:val="baseline"/>
        </w:rPr>
        <w:t>112,</w:t>
      </w:r>
      <w:r>
        <w:rPr>
          <w:spacing w:val="-4"/>
          <w:sz w:val="18"/>
          <w:vertAlign w:val="baseline"/>
        </w:rPr>
        <w:t> </w:t>
      </w:r>
      <w:r>
        <w:rPr>
          <w:sz w:val="18"/>
          <w:vertAlign w:val="baseline"/>
        </w:rPr>
        <w:t>no.</w:t>
      </w:r>
      <w:r>
        <w:rPr>
          <w:spacing w:val="-3"/>
          <w:sz w:val="18"/>
          <w:vertAlign w:val="baseline"/>
        </w:rPr>
        <w:t> </w:t>
      </w:r>
      <w:r>
        <w:rPr>
          <w:sz w:val="18"/>
          <w:vertAlign w:val="baseline"/>
        </w:rPr>
        <w:t>1</w:t>
      </w:r>
      <w:r>
        <w:rPr>
          <w:spacing w:val="-3"/>
          <w:sz w:val="18"/>
          <w:vertAlign w:val="baseline"/>
        </w:rPr>
        <w:t> </w:t>
      </w:r>
      <w:r>
        <w:rPr>
          <w:sz w:val="18"/>
          <w:vertAlign w:val="baseline"/>
        </w:rPr>
        <w:t>(January</w:t>
      </w:r>
      <w:r>
        <w:rPr>
          <w:spacing w:val="-3"/>
          <w:sz w:val="18"/>
          <w:vertAlign w:val="baseline"/>
        </w:rPr>
        <w:t> </w:t>
      </w:r>
      <w:r>
        <w:rPr>
          <w:sz w:val="18"/>
          <w:vertAlign w:val="baseline"/>
        </w:rPr>
        <w:t>2022):</w:t>
      </w:r>
      <w:r>
        <w:rPr>
          <w:spacing w:val="-3"/>
          <w:sz w:val="18"/>
          <w:vertAlign w:val="baseline"/>
        </w:rPr>
        <w:t> </w:t>
      </w:r>
      <w:r>
        <w:rPr>
          <w:sz w:val="18"/>
          <w:vertAlign w:val="baseline"/>
        </w:rPr>
        <w:t>79–87,</w:t>
      </w:r>
      <w:r>
        <w:rPr>
          <w:spacing w:val="-4"/>
          <w:sz w:val="18"/>
          <w:vertAlign w:val="baseline"/>
        </w:rPr>
        <w:t> </w:t>
      </w:r>
      <w:r>
        <w:rPr>
          <w:sz w:val="18"/>
          <w:vertAlign w:val="baseline"/>
        </w:rPr>
        <w:t>https://doi.org/10.2105/AJPH.2021.306406. </w:t>
      </w:r>
      <w:r>
        <w:rPr>
          <w:sz w:val="18"/>
          <w:vertAlign w:val="superscript"/>
        </w:rPr>
        <w:t>48</w:t>
      </w:r>
      <w:r>
        <w:rPr>
          <w:spacing w:val="-7"/>
          <w:sz w:val="18"/>
          <w:vertAlign w:val="baseline"/>
        </w:rPr>
        <w:t> </w:t>
      </w:r>
      <w:r>
        <w:rPr>
          <w:sz w:val="18"/>
          <w:vertAlign w:val="baseline"/>
        </w:rPr>
        <w:t>National Congress of American Indians Policy Research Center, “A Spotlight on Two Spirit (Native LGBT) Communities,” accessed April 2, 2023, https://</w:t>
      </w:r>
      <w:hyperlink r:id="rId636">
        <w:r>
          <w:rPr>
            <w:sz w:val="18"/>
            <w:vertAlign w:val="baseline"/>
          </w:rPr>
          <w:t>www.ncai.org/policy-research-center/research-data/prc-</w:t>
        </w:r>
      </w:hyperlink>
      <w:r>
        <w:rPr>
          <w:sz w:val="18"/>
          <w:vertAlign w:val="baseline"/>
        </w:rPr>
        <w:t> </w:t>
      </w:r>
      <w:r>
        <w:rPr>
          <w:spacing w:val="-2"/>
          <w:sz w:val="18"/>
          <w:vertAlign w:val="baseline"/>
        </w:rPr>
        <w:t>publications/A_Spotlight_on_Native_LGBT.pdf</w:t>
      </w:r>
    </w:p>
    <w:p>
      <w:pPr>
        <w:spacing w:line="244" w:lineRule="auto" w:before="16"/>
        <w:ind w:left="323" w:right="494" w:hanging="1"/>
        <w:jc w:val="left"/>
        <w:rPr>
          <w:sz w:val="18"/>
        </w:rPr>
      </w:pPr>
      <w:r>
        <w:rPr>
          <w:sz w:val="18"/>
          <w:vertAlign w:val="superscript"/>
        </w:rPr>
        <w:t>49</w:t>
      </w:r>
      <w:r>
        <w:rPr>
          <w:spacing w:val="-12"/>
          <w:sz w:val="18"/>
          <w:vertAlign w:val="baseline"/>
        </w:rPr>
        <w:t> </w:t>
      </w:r>
      <w:r>
        <w:rPr>
          <w:sz w:val="18"/>
          <w:vertAlign w:val="baseline"/>
        </w:rPr>
        <w:t>The</w:t>
      </w:r>
      <w:r>
        <w:rPr>
          <w:spacing w:val="-3"/>
          <w:sz w:val="18"/>
          <w:vertAlign w:val="baseline"/>
        </w:rPr>
        <w:t> </w:t>
      </w:r>
      <w:r>
        <w:rPr>
          <w:sz w:val="18"/>
          <w:vertAlign w:val="baseline"/>
        </w:rPr>
        <w:t>Fenway</w:t>
      </w:r>
      <w:r>
        <w:rPr>
          <w:spacing w:val="-2"/>
          <w:sz w:val="18"/>
          <w:vertAlign w:val="baseline"/>
        </w:rPr>
        <w:t> </w:t>
      </w:r>
      <w:r>
        <w:rPr>
          <w:sz w:val="18"/>
          <w:vertAlign w:val="baseline"/>
        </w:rPr>
        <w:t>Institute,</w:t>
      </w:r>
      <w:r>
        <w:rPr>
          <w:spacing w:val="-3"/>
          <w:sz w:val="18"/>
          <w:vertAlign w:val="baseline"/>
        </w:rPr>
        <w:t> </w:t>
      </w:r>
      <w:r>
        <w:rPr>
          <w:sz w:val="18"/>
          <w:vertAlign w:val="baseline"/>
        </w:rPr>
        <w:t>“Health</w:t>
      </w:r>
      <w:r>
        <w:rPr>
          <w:spacing w:val="-1"/>
          <w:sz w:val="18"/>
          <w:vertAlign w:val="baseline"/>
        </w:rPr>
        <w:t> </w:t>
      </w:r>
      <w:r>
        <w:rPr>
          <w:sz w:val="18"/>
          <w:vertAlign w:val="baseline"/>
        </w:rPr>
        <w:t>Care</w:t>
      </w:r>
      <w:r>
        <w:rPr>
          <w:spacing w:val="-2"/>
          <w:sz w:val="18"/>
          <w:vertAlign w:val="baseline"/>
        </w:rPr>
        <w:t> </w:t>
      </w:r>
      <w:r>
        <w:rPr>
          <w:sz w:val="18"/>
          <w:vertAlign w:val="baseline"/>
        </w:rPr>
        <w:t>Considerations</w:t>
      </w:r>
      <w:r>
        <w:rPr>
          <w:spacing w:val="-2"/>
          <w:sz w:val="18"/>
          <w:vertAlign w:val="baseline"/>
        </w:rPr>
        <w:t> </w:t>
      </w:r>
      <w:r>
        <w:rPr>
          <w:sz w:val="18"/>
          <w:vertAlign w:val="baseline"/>
        </w:rPr>
        <w:t>for</w:t>
      </w:r>
      <w:r>
        <w:rPr>
          <w:spacing w:val="-3"/>
          <w:sz w:val="18"/>
          <w:vertAlign w:val="baseline"/>
        </w:rPr>
        <w:t> </w:t>
      </w:r>
      <w:r>
        <w:rPr>
          <w:sz w:val="18"/>
          <w:vertAlign w:val="baseline"/>
        </w:rPr>
        <w:t>Two</w:t>
      </w:r>
      <w:r>
        <w:rPr>
          <w:spacing w:val="-2"/>
          <w:sz w:val="18"/>
          <w:vertAlign w:val="baseline"/>
        </w:rPr>
        <w:t> </w:t>
      </w:r>
      <w:r>
        <w:rPr>
          <w:sz w:val="18"/>
          <w:vertAlign w:val="baseline"/>
        </w:rPr>
        <w:t>Spirit</w:t>
      </w:r>
      <w:r>
        <w:rPr>
          <w:spacing w:val="-3"/>
          <w:sz w:val="18"/>
          <w:vertAlign w:val="baseline"/>
        </w:rPr>
        <w:t> </w:t>
      </w:r>
      <w:r>
        <w:rPr>
          <w:sz w:val="18"/>
          <w:vertAlign w:val="baseline"/>
        </w:rPr>
        <w:t>and</w:t>
      </w:r>
      <w:r>
        <w:rPr>
          <w:spacing w:val="-2"/>
          <w:sz w:val="18"/>
          <w:vertAlign w:val="baseline"/>
        </w:rPr>
        <w:t> </w:t>
      </w:r>
      <w:r>
        <w:rPr>
          <w:sz w:val="18"/>
          <w:vertAlign w:val="baseline"/>
        </w:rPr>
        <w:t>LGBTQIA+</w:t>
      </w:r>
      <w:r>
        <w:rPr>
          <w:spacing w:val="-3"/>
          <w:sz w:val="18"/>
          <w:vertAlign w:val="baseline"/>
        </w:rPr>
        <w:t> </w:t>
      </w:r>
      <w:r>
        <w:rPr>
          <w:sz w:val="18"/>
          <w:vertAlign w:val="baseline"/>
        </w:rPr>
        <w:t>Indigenous</w:t>
      </w:r>
      <w:r>
        <w:rPr>
          <w:spacing w:val="-2"/>
          <w:sz w:val="18"/>
          <w:vertAlign w:val="baseline"/>
        </w:rPr>
        <w:t> </w:t>
      </w:r>
      <w:r>
        <w:rPr>
          <w:sz w:val="18"/>
          <w:vertAlign w:val="baseline"/>
        </w:rPr>
        <w:t>Communities,”</w:t>
      </w:r>
      <w:r>
        <w:rPr>
          <w:spacing w:val="-2"/>
          <w:sz w:val="18"/>
          <w:vertAlign w:val="baseline"/>
        </w:rPr>
        <w:t> </w:t>
      </w:r>
      <w:r>
        <w:rPr>
          <w:sz w:val="18"/>
          <w:vertAlign w:val="baseline"/>
        </w:rPr>
        <w:t>January</w:t>
      </w:r>
      <w:r>
        <w:rPr>
          <w:spacing w:val="-2"/>
          <w:sz w:val="18"/>
          <w:vertAlign w:val="baseline"/>
        </w:rPr>
        <w:t> </w:t>
      </w:r>
      <w:r>
        <w:rPr>
          <w:sz w:val="18"/>
          <w:vertAlign w:val="baseline"/>
        </w:rPr>
        <w:t>2022, </w:t>
      </w:r>
      <w:r>
        <w:rPr>
          <w:spacing w:val="-2"/>
          <w:sz w:val="18"/>
          <w:vertAlign w:val="baseline"/>
        </w:rPr>
        <w:t>https://</w:t>
      </w:r>
      <w:hyperlink r:id="rId637">
        <w:r>
          <w:rPr>
            <w:spacing w:val="-2"/>
            <w:sz w:val="18"/>
            <w:vertAlign w:val="baseline"/>
          </w:rPr>
          <w:t>www.lgbtqiahealtheducation.org/publication/health-care-considerations-for-two-spirit-and-lgbtqia-indigenous-</w:t>
        </w:r>
      </w:hyperlink>
      <w:r>
        <w:rPr>
          <w:sz w:val="18"/>
          <w:vertAlign w:val="baseline"/>
        </w:rPr>
        <w:t> </w:t>
      </w:r>
      <w:r>
        <w:rPr>
          <w:spacing w:val="-2"/>
          <w:sz w:val="18"/>
          <w:vertAlign w:val="baseline"/>
        </w:rPr>
        <w:t>communities/.</w:t>
      </w:r>
    </w:p>
    <w:p>
      <w:pPr>
        <w:spacing w:line="247" w:lineRule="auto" w:before="12"/>
        <w:ind w:left="323" w:right="164" w:hanging="1"/>
        <w:jc w:val="left"/>
        <w:rPr>
          <w:sz w:val="18"/>
        </w:rPr>
      </w:pPr>
      <w:r>
        <w:rPr>
          <w:sz w:val="18"/>
          <w:vertAlign w:val="superscript"/>
        </w:rPr>
        <w:t>50</w:t>
      </w:r>
      <w:r>
        <w:rPr>
          <w:spacing w:val="-12"/>
          <w:sz w:val="18"/>
          <w:vertAlign w:val="baseline"/>
        </w:rPr>
        <w:t> </w:t>
      </w:r>
      <w:r>
        <w:rPr>
          <w:sz w:val="18"/>
          <w:vertAlign w:val="baseline"/>
        </w:rPr>
        <w:t>Alejandro</w:t>
      </w:r>
      <w:r>
        <w:rPr>
          <w:spacing w:val="-3"/>
          <w:sz w:val="18"/>
          <w:vertAlign w:val="baseline"/>
        </w:rPr>
        <w:t> </w:t>
      </w:r>
      <w:r>
        <w:rPr>
          <w:sz w:val="18"/>
          <w:vertAlign w:val="baseline"/>
        </w:rPr>
        <w:t>Alvaro-Meca</w:t>
      </w:r>
      <w:r>
        <w:rPr>
          <w:spacing w:val="-2"/>
          <w:sz w:val="18"/>
          <w:vertAlign w:val="baseline"/>
        </w:rPr>
        <w:t> </w:t>
      </w:r>
      <w:r>
        <w:rPr>
          <w:sz w:val="18"/>
          <w:vertAlign w:val="baseline"/>
        </w:rPr>
        <w:t>et</w:t>
      </w:r>
      <w:r>
        <w:rPr>
          <w:spacing w:val="-3"/>
          <w:sz w:val="18"/>
          <w:vertAlign w:val="baseline"/>
        </w:rPr>
        <w:t> </w:t>
      </w:r>
      <w:r>
        <w:rPr>
          <w:sz w:val="18"/>
          <w:vertAlign w:val="baseline"/>
        </w:rPr>
        <w:t>al.,</w:t>
      </w:r>
      <w:r>
        <w:rPr>
          <w:spacing w:val="-3"/>
          <w:sz w:val="18"/>
          <w:vertAlign w:val="baseline"/>
        </w:rPr>
        <w:t> </w:t>
      </w:r>
      <w:r>
        <w:rPr>
          <w:sz w:val="18"/>
          <w:vertAlign w:val="baseline"/>
        </w:rPr>
        <w:t>“Pneumocystis</w:t>
      </w:r>
      <w:r>
        <w:rPr>
          <w:spacing w:val="-3"/>
          <w:sz w:val="18"/>
          <w:vertAlign w:val="baseline"/>
        </w:rPr>
        <w:t> </w:t>
      </w:r>
      <w:r>
        <w:rPr>
          <w:sz w:val="18"/>
          <w:vertAlign w:val="baseline"/>
        </w:rPr>
        <w:t>Pneumonia</w:t>
      </w:r>
      <w:r>
        <w:rPr>
          <w:spacing w:val="-2"/>
          <w:sz w:val="18"/>
          <w:vertAlign w:val="baseline"/>
        </w:rPr>
        <w:t> </w:t>
      </w:r>
      <w:r>
        <w:rPr>
          <w:sz w:val="18"/>
          <w:vertAlign w:val="baseline"/>
        </w:rPr>
        <w:t>in</w:t>
      </w:r>
      <w:r>
        <w:rPr>
          <w:spacing w:val="-2"/>
          <w:sz w:val="18"/>
          <w:vertAlign w:val="baseline"/>
        </w:rPr>
        <w:t> </w:t>
      </w:r>
      <w:r>
        <w:rPr>
          <w:sz w:val="18"/>
          <w:vertAlign w:val="baseline"/>
        </w:rPr>
        <w:t>HIV-Positive</w:t>
      </w:r>
      <w:r>
        <w:rPr>
          <w:spacing w:val="-2"/>
          <w:sz w:val="18"/>
          <w:vertAlign w:val="baseline"/>
        </w:rPr>
        <w:t> </w:t>
      </w:r>
      <w:r>
        <w:rPr>
          <w:sz w:val="18"/>
          <w:vertAlign w:val="baseline"/>
        </w:rPr>
        <w:t>Patients</w:t>
      </w:r>
      <w:r>
        <w:rPr>
          <w:spacing w:val="-2"/>
          <w:sz w:val="18"/>
          <w:vertAlign w:val="baseline"/>
        </w:rPr>
        <w:t> </w:t>
      </w:r>
      <w:r>
        <w:rPr>
          <w:sz w:val="18"/>
          <w:vertAlign w:val="baseline"/>
        </w:rPr>
        <w:t>in</w:t>
      </w:r>
      <w:r>
        <w:rPr>
          <w:spacing w:val="-2"/>
          <w:sz w:val="18"/>
          <w:vertAlign w:val="baseline"/>
        </w:rPr>
        <w:t> </w:t>
      </w:r>
      <w:r>
        <w:rPr>
          <w:sz w:val="18"/>
          <w:vertAlign w:val="baseline"/>
        </w:rPr>
        <w:t>Spain:</w:t>
      </w:r>
      <w:r>
        <w:rPr>
          <w:spacing w:val="-2"/>
          <w:sz w:val="18"/>
          <w:vertAlign w:val="baseline"/>
        </w:rPr>
        <w:t> </w:t>
      </w:r>
      <w:r>
        <w:rPr>
          <w:sz w:val="18"/>
          <w:vertAlign w:val="baseline"/>
        </w:rPr>
        <w:t>Epidemiology</w:t>
      </w:r>
      <w:r>
        <w:rPr>
          <w:spacing w:val="-2"/>
          <w:sz w:val="18"/>
          <w:vertAlign w:val="baseline"/>
        </w:rPr>
        <w:t> </w:t>
      </w:r>
      <w:r>
        <w:rPr>
          <w:sz w:val="18"/>
          <w:vertAlign w:val="baseline"/>
        </w:rPr>
        <w:t>and</w:t>
      </w:r>
      <w:r>
        <w:rPr>
          <w:spacing w:val="-2"/>
          <w:sz w:val="18"/>
          <w:vertAlign w:val="baseline"/>
        </w:rPr>
        <w:t> </w:t>
      </w:r>
      <w:r>
        <w:rPr>
          <w:sz w:val="18"/>
          <w:vertAlign w:val="baseline"/>
        </w:rPr>
        <w:t>Environmental Risk Factors,” </w:t>
      </w:r>
      <w:r>
        <w:rPr>
          <w:i/>
          <w:sz w:val="18"/>
          <w:vertAlign w:val="baseline"/>
        </w:rPr>
        <w:t>Journal of the International AIDS Society </w:t>
      </w:r>
      <w:r>
        <w:rPr>
          <w:sz w:val="18"/>
          <w:vertAlign w:val="baseline"/>
        </w:rPr>
        <w:t>18, no. 1 (2015): 19906, https://doi.org/10.7448/IAS.18.1.19906.</w:t>
      </w:r>
    </w:p>
    <w:p>
      <w:pPr>
        <w:spacing w:line="242" w:lineRule="auto" w:before="11"/>
        <w:ind w:left="323" w:right="278" w:hanging="1"/>
        <w:jc w:val="left"/>
        <w:rPr>
          <w:sz w:val="18"/>
        </w:rPr>
      </w:pPr>
      <w:r>
        <w:rPr>
          <w:sz w:val="18"/>
          <w:vertAlign w:val="superscript"/>
        </w:rPr>
        <w:t>51</w:t>
      </w:r>
      <w:r>
        <w:rPr>
          <w:spacing w:val="-12"/>
          <w:sz w:val="18"/>
          <w:vertAlign w:val="baseline"/>
        </w:rPr>
        <w:t> </w:t>
      </w:r>
      <w:r>
        <w:rPr>
          <w:sz w:val="18"/>
          <w:vertAlign w:val="baseline"/>
        </w:rPr>
        <w:t>Geneé</w:t>
      </w:r>
      <w:r>
        <w:rPr>
          <w:spacing w:val="-3"/>
          <w:sz w:val="18"/>
          <w:vertAlign w:val="baseline"/>
        </w:rPr>
        <w:t> </w:t>
      </w:r>
      <w:r>
        <w:rPr>
          <w:sz w:val="18"/>
          <w:vertAlign w:val="baseline"/>
        </w:rPr>
        <w:t>S.</w:t>
      </w:r>
      <w:r>
        <w:rPr>
          <w:spacing w:val="-2"/>
          <w:sz w:val="18"/>
          <w:vertAlign w:val="baseline"/>
        </w:rPr>
        <w:t> </w:t>
      </w:r>
      <w:r>
        <w:rPr>
          <w:sz w:val="18"/>
          <w:vertAlign w:val="baseline"/>
        </w:rPr>
        <w:t>Smith</w:t>
      </w:r>
      <w:r>
        <w:rPr>
          <w:spacing w:val="-2"/>
          <w:sz w:val="18"/>
          <w:vertAlign w:val="baseline"/>
        </w:rPr>
        <w:t> </w:t>
      </w:r>
      <w:r>
        <w:rPr>
          <w:sz w:val="18"/>
          <w:vertAlign w:val="baseline"/>
        </w:rPr>
        <w:t>et</w:t>
      </w:r>
      <w:r>
        <w:rPr>
          <w:spacing w:val="-3"/>
          <w:sz w:val="18"/>
          <w:vertAlign w:val="baseline"/>
        </w:rPr>
        <w:t> </w:t>
      </w:r>
      <w:r>
        <w:rPr>
          <w:sz w:val="18"/>
          <w:vertAlign w:val="baseline"/>
        </w:rPr>
        <w:t>al.,</w:t>
      </w:r>
      <w:r>
        <w:rPr>
          <w:spacing w:val="-3"/>
          <w:sz w:val="18"/>
          <w:vertAlign w:val="baseline"/>
        </w:rPr>
        <w:t> </w:t>
      </w:r>
      <w:r>
        <w:rPr>
          <w:sz w:val="18"/>
          <w:vertAlign w:val="baseline"/>
        </w:rPr>
        <w:t>“Air</w:t>
      </w:r>
      <w:r>
        <w:rPr>
          <w:spacing w:val="-3"/>
          <w:sz w:val="18"/>
          <w:vertAlign w:val="baseline"/>
        </w:rPr>
        <w:t> </w:t>
      </w:r>
      <w:r>
        <w:rPr>
          <w:sz w:val="18"/>
          <w:vertAlign w:val="baseline"/>
        </w:rPr>
        <w:t>Pollution</w:t>
      </w:r>
      <w:r>
        <w:rPr>
          <w:spacing w:val="-2"/>
          <w:sz w:val="18"/>
          <w:vertAlign w:val="baseline"/>
        </w:rPr>
        <w:t> </w:t>
      </w:r>
      <w:r>
        <w:rPr>
          <w:sz w:val="18"/>
          <w:vertAlign w:val="baseline"/>
        </w:rPr>
        <w:t>and</w:t>
      </w:r>
      <w:r>
        <w:rPr>
          <w:spacing w:val="-2"/>
          <w:sz w:val="18"/>
          <w:vertAlign w:val="baseline"/>
        </w:rPr>
        <w:t> </w:t>
      </w:r>
      <w:r>
        <w:rPr>
          <w:sz w:val="18"/>
          <w:vertAlign w:val="baseline"/>
        </w:rPr>
        <w:t>Pulmonary</w:t>
      </w:r>
      <w:r>
        <w:rPr>
          <w:spacing w:val="-2"/>
          <w:sz w:val="18"/>
          <w:vertAlign w:val="baseline"/>
        </w:rPr>
        <w:t> </w:t>
      </w:r>
      <w:r>
        <w:rPr>
          <w:sz w:val="18"/>
          <w:vertAlign w:val="baseline"/>
        </w:rPr>
        <w:t>Tuberculosis:</w:t>
      </w:r>
      <w:r>
        <w:rPr>
          <w:spacing w:val="-2"/>
          <w:sz w:val="18"/>
          <w:vertAlign w:val="baseline"/>
        </w:rPr>
        <w:t> </w:t>
      </w:r>
      <w:r>
        <w:rPr>
          <w:sz w:val="18"/>
          <w:vertAlign w:val="baseline"/>
        </w:rPr>
        <w:t>A</w:t>
      </w:r>
      <w:r>
        <w:rPr>
          <w:spacing w:val="-2"/>
          <w:sz w:val="18"/>
          <w:vertAlign w:val="baseline"/>
        </w:rPr>
        <w:t> </w:t>
      </w:r>
      <w:r>
        <w:rPr>
          <w:sz w:val="18"/>
          <w:vertAlign w:val="baseline"/>
        </w:rPr>
        <w:t>Nested</w:t>
      </w:r>
      <w:r>
        <w:rPr>
          <w:spacing w:val="-2"/>
          <w:sz w:val="18"/>
          <w:vertAlign w:val="baseline"/>
        </w:rPr>
        <w:t> </w:t>
      </w:r>
      <w:r>
        <w:rPr>
          <w:sz w:val="18"/>
          <w:vertAlign w:val="baseline"/>
        </w:rPr>
        <w:t>Case–Control</w:t>
      </w:r>
      <w:r>
        <w:rPr>
          <w:spacing w:val="-3"/>
          <w:sz w:val="18"/>
          <w:vertAlign w:val="baseline"/>
        </w:rPr>
        <w:t> </w:t>
      </w:r>
      <w:r>
        <w:rPr>
          <w:sz w:val="18"/>
          <w:vertAlign w:val="baseline"/>
        </w:rPr>
        <w:t>Study</w:t>
      </w:r>
      <w:r>
        <w:rPr>
          <w:spacing w:val="-2"/>
          <w:sz w:val="18"/>
          <w:vertAlign w:val="baseline"/>
        </w:rPr>
        <w:t> </w:t>
      </w:r>
      <w:r>
        <w:rPr>
          <w:sz w:val="18"/>
          <w:vertAlign w:val="baseline"/>
        </w:rPr>
        <w:t>among</w:t>
      </w:r>
      <w:r>
        <w:rPr>
          <w:spacing w:val="-2"/>
          <w:sz w:val="18"/>
          <w:vertAlign w:val="baseline"/>
        </w:rPr>
        <w:t> </w:t>
      </w:r>
      <w:r>
        <w:rPr>
          <w:sz w:val="18"/>
          <w:vertAlign w:val="baseline"/>
        </w:rPr>
        <w:t>Members</w:t>
      </w:r>
      <w:r>
        <w:rPr>
          <w:spacing w:val="-3"/>
          <w:sz w:val="18"/>
          <w:vertAlign w:val="baseline"/>
        </w:rPr>
        <w:t> </w:t>
      </w:r>
      <w:r>
        <w:rPr>
          <w:sz w:val="18"/>
          <w:vertAlign w:val="baseline"/>
        </w:rPr>
        <w:t>of</w:t>
      </w:r>
      <w:r>
        <w:rPr>
          <w:spacing w:val="-2"/>
          <w:sz w:val="18"/>
          <w:vertAlign w:val="baseline"/>
        </w:rPr>
        <w:t> </w:t>
      </w:r>
      <w:r>
        <w:rPr>
          <w:sz w:val="18"/>
          <w:vertAlign w:val="baseline"/>
        </w:rPr>
        <w:t>a Northern California Health Plan,” </w:t>
      </w:r>
      <w:r>
        <w:rPr>
          <w:i/>
          <w:sz w:val="18"/>
          <w:vertAlign w:val="baseline"/>
        </w:rPr>
        <w:t>Environmental Health Perspectives </w:t>
      </w:r>
      <w:r>
        <w:rPr>
          <w:sz w:val="18"/>
          <w:vertAlign w:val="baseline"/>
        </w:rPr>
        <w:t>124, no. 6 (June 2016): 761–68, </w:t>
      </w:r>
      <w:r>
        <w:rPr>
          <w:spacing w:val="-2"/>
          <w:sz w:val="18"/>
          <w:vertAlign w:val="baseline"/>
        </w:rPr>
        <w:t>https://doi.org/10.1289/ehp.1408166.</w:t>
      </w:r>
    </w:p>
    <w:p>
      <w:pPr>
        <w:spacing w:line="247" w:lineRule="auto" w:before="17"/>
        <w:ind w:left="323" w:right="0" w:hanging="1"/>
        <w:jc w:val="left"/>
        <w:rPr>
          <w:sz w:val="18"/>
        </w:rPr>
      </w:pPr>
      <w:r>
        <w:rPr>
          <w:sz w:val="18"/>
          <w:vertAlign w:val="superscript"/>
        </w:rPr>
        <w:t>52</w:t>
      </w:r>
      <w:r>
        <w:rPr>
          <w:spacing w:val="-12"/>
          <w:sz w:val="18"/>
          <w:vertAlign w:val="baseline"/>
        </w:rPr>
        <w:t> </w:t>
      </w:r>
      <w:r>
        <w:rPr>
          <w:sz w:val="18"/>
          <w:vertAlign w:val="baseline"/>
        </w:rPr>
        <w:t>Sophia</w:t>
      </w:r>
      <w:r>
        <w:rPr>
          <w:spacing w:val="-3"/>
          <w:sz w:val="18"/>
          <w:vertAlign w:val="baseline"/>
        </w:rPr>
        <w:t> </w:t>
      </w:r>
      <w:r>
        <w:rPr>
          <w:sz w:val="18"/>
          <w:vertAlign w:val="baseline"/>
        </w:rPr>
        <w:t>Toe</w:t>
      </w:r>
      <w:r>
        <w:rPr>
          <w:spacing w:val="-2"/>
          <w:sz w:val="18"/>
          <w:vertAlign w:val="baseline"/>
        </w:rPr>
        <w:t> </w:t>
      </w:r>
      <w:r>
        <w:rPr>
          <w:sz w:val="18"/>
          <w:vertAlign w:val="baseline"/>
        </w:rPr>
        <w:t>et</w:t>
      </w:r>
      <w:r>
        <w:rPr>
          <w:spacing w:val="-3"/>
          <w:sz w:val="18"/>
          <w:vertAlign w:val="baseline"/>
        </w:rPr>
        <w:t> </w:t>
      </w:r>
      <w:r>
        <w:rPr>
          <w:sz w:val="18"/>
          <w:vertAlign w:val="baseline"/>
        </w:rPr>
        <w:t>al.,</w:t>
      </w:r>
      <w:r>
        <w:rPr>
          <w:spacing w:val="-3"/>
          <w:sz w:val="18"/>
          <w:vertAlign w:val="baseline"/>
        </w:rPr>
        <w:t> </w:t>
      </w:r>
      <w:r>
        <w:rPr>
          <w:sz w:val="18"/>
          <w:vertAlign w:val="baseline"/>
        </w:rPr>
        <w:t>“Ambient</w:t>
      </w:r>
      <w:r>
        <w:rPr>
          <w:spacing w:val="-3"/>
          <w:sz w:val="18"/>
          <w:vertAlign w:val="baseline"/>
        </w:rPr>
        <w:t> </w:t>
      </w:r>
      <w:r>
        <w:rPr>
          <w:sz w:val="18"/>
          <w:vertAlign w:val="baseline"/>
        </w:rPr>
        <w:t>Air</w:t>
      </w:r>
      <w:r>
        <w:rPr>
          <w:spacing w:val="-3"/>
          <w:sz w:val="18"/>
          <w:vertAlign w:val="baseline"/>
        </w:rPr>
        <w:t> </w:t>
      </w:r>
      <w:r>
        <w:rPr>
          <w:sz w:val="18"/>
          <w:vertAlign w:val="baseline"/>
        </w:rPr>
        <w:t>Pollution</w:t>
      </w:r>
      <w:r>
        <w:rPr>
          <w:spacing w:val="-2"/>
          <w:sz w:val="18"/>
          <w:vertAlign w:val="baseline"/>
        </w:rPr>
        <w:t> </w:t>
      </w:r>
      <w:r>
        <w:rPr>
          <w:sz w:val="18"/>
          <w:vertAlign w:val="baseline"/>
        </w:rPr>
        <w:t>Is</w:t>
      </w:r>
      <w:r>
        <w:rPr>
          <w:spacing w:val="-2"/>
          <w:sz w:val="18"/>
          <w:vertAlign w:val="baseline"/>
        </w:rPr>
        <w:t> </w:t>
      </w:r>
      <w:r>
        <w:rPr>
          <w:sz w:val="18"/>
          <w:vertAlign w:val="baseline"/>
        </w:rPr>
        <w:t>Associated</w:t>
      </w:r>
      <w:r>
        <w:rPr>
          <w:spacing w:val="-2"/>
          <w:sz w:val="18"/>
          <w:vertAlign w:val="baseline"/>
        </w:rPr>
        <w:t> </w:t>
      </w:r>
      <w:r>
        <w:rPr>
          <w:sz w:val="18"/>
          <w:vertAlign w:val="baseline"/>
        </w:rPr>
        <w:t>with</w:t>
      </w:r>
      <w:r>
        <w:rPr>
          <w:spacing w:val="-2"/>
          <w:sz w:val="18"/>
          <w:vertAlign w:val="baseline"/>
        </w:rPr>
        <w:t> </w:t>
      </w:r>
      <w:r>
        <w:rPr>
          <w:sz w:val="18"/>
          <w:vertAlign w:val="baseline"/>
        </w:rPr>
        <w:t>Vascular</w:t>
      </w:r>
      <w:r>
        <w:rPr>
          <w:spacing w:val="-3"/>
          <w:sz w:val="18"/>
          <w:vertAlign w:val="baseline"/>
        </w:rPr>
        <w:t> </w:t>
      </w:r>
      <w:r>
        <w:rPr>
          <w:sz w:val="18"/>
          <w:vertAlign w:val="baseline"/>
        </w:rPr>
        <w:t>Disease</w:t>
      </w:r>
      <w:r>
        <w:rPr>
          <w:spacing w:val="-2"/>
          <w:sz w:val="18"/>
          <w:vertAlign w:val="baseline"/>
        </w:rPr>
        <w:t> </w:t>
      </w:r>
      <w:r>
        <w:rPr>
          <w:sz w:val="18"/>
          <w:vertAlign w:val="baseline"/>
        </w:rPr>
        <w:t>in</w:t>
      </w:r>
      <w:r>
        <w:rPr>
          <w:spacing w:val="-2"/>
          <w:sz w:val="18"/>
          <w:vertAlign w:val="baseline"/>
        </w:rPr>
        <w:t> </w:t>
      </w:r>
      <w:r>
        <w:rPr>
          <w:sz w:val="18"/>
          <w:vertAlign w:val="baseline"/>
        </w:rPr>
        <w:t>Ugandan</w:t>
      </w:r>
      <w:r>
        <w:rPr>
          <w:spacing w:val="-2"/>
          <w:sz w:val="18"/>
          <w:vertAlign w:val="baseline"/>
        </w:rPr>
        <w:t> </w:t>
      </w:r>
      <w:r>
        <w:rPr>
          <w:sz w:val="18"/>
          <w:vertAlign w:val="baseline"/>
        </w:rPr>
        <w:t>HIV-Positive</w:t>
      </w:r>
      <w:r>
        <w:rPr>
          <w:spacing w:val="-2"/>
          <w:sz w:val="18"/>
          <w:vertAlign w:val="baseline"/>
        </w:rPr>
        <w:t> </w:t>
      </w:r>
      <w:r>
        <w:rPr>
          <w:sz w:val="18"/>
          <w:vertAlign w:val="baseline"/>
        </w:rPr>
        <w:t>Adolescents,”</w:t>
      </w:r>
      <w:r>
        <w:rPr>
          <w:spacing w:val="-2"/>
          <w:sz w:val="18"/>
          <w:vertAlign w:val="baseline"/>
        </w:rPr>
        <w:t> </w:t>
      </w:r>
      <w:r>
        <w:rPr>
          <w:i/>
          <w:sz w:val="18"/>
          <w:vertAlign w:val="baseline"/>
        </w:rPr>
        <w:t>AIDS</w:t>
      </w:r>
      <w:r>
        <w:rPr>
          <w:i/>
          <w:sz w:val="18"/>
          <w:vertAlign w:val="baseline"/>
        </w:rPr>
        <w:t> (London, England) </w:t>
      </w:r>
      <w:r>
        <w:rPr>
          <w:sz w:val="18"/>
          <w:vertAlign w:val="baseline"/>
        </w:rPr>
        <w:t>36, no. 6 (May 1, 2022): 863–70, https://doi.org/10.1097/QAD.0000000000003186.</w:t>
      </w:r>
    </w:p>
    <w:p>
      <w:pPr>
        <w:spacing w:line="242" w:lineRule="auto" w:before="12"/>
        <w:ind w:left="323" w:right="74" w:hanging="1"/>
        <w:jc w:val="left"/>
        <w:rPr>
          <w:sz w:val="18"/>
        </w:rPr>
      </w:pPr>
      <w:r>
        <w:rPr>
          <w:sz w:val="18"/>
          <w:vertAlign w:val="superscript"/>
        </w:rPr>
        <w:t>53</w:t>
      </w:r>
      <w:r>
        <w:rPr>
          <w:spacing w:val="-12"/>
          <w:sz w:val="18"/>
          <w:vertAlign w:val="baseline"/>
        </w:rPr>
        <w:t> </w:t>
      </w:r>
      <w:r>
        <w:rPr>
          <w:sz w:val="18"/>
          <w:vertAlign w:val="baseline"/>
        </w:rPr>
        <w:t>Cristina</w:t>
      </w:r>
      <w:r>
        <w:rPr>
          <w:spacing w:val="-2"/>
          <w:sz w:val="18"/>
          <w:vertAlign w:val="baseline"/>
        </w:rPr>
        <w:t> </w:t>
      </w:r>
      <w:r>
        <w:rPr>
          <w:sz w:val="18"/>
          <w:vertAlign w:val="baseline"/>
        </w:rPr>
        <w:t>Vert</w:t>
      </w:r>
      <w:r>
        <w:rPr>
          <w:spacing w:val="-3"/>
          <w:sz w:val="18"/>
          <w:vertAlign w:val="baseline"/>
        </w:rPr>
        <w:t> </w:t>
      </w:r>
      <w:r>
        <w:rPr>
          <w:sz w:val="18"/>
          <w:vertAlign w:val="baseline"/>
        </w:rPr>
        <w:t>et</w:t>
      </w:r>
      <w:r>
        <w:rPr>
          <w:spacing w:val="-3"/>
          <w:sz w:val="18"/>
          <w:vertAlign w:val="baseline"/>
        </w:rPr>
        <w:t> </w:t>
      </w:r>
      <w:r>
        <w:rPr>
          <w:sz w:val="18"/>
          <w:vertAlign w:val="baseline"/>
        </w:rPr>
        <w:t>al.,</w:t>
      </w:r>
      <w:r>
        <w:rPr>
          <w:spacing w:val="-3"/>
          <w:sz w:val="18"/>
          <w:vertAlign w:val="baseline"/>
        </w:rPr>
        <w:t> </w:t>
      </w:r>
      <w:r>
        <w:rPr>
          <w:sz w:val="18"/>
          <w:vertAlign w:val="baseline"/>
        </w:rPr>
        <w:t>“Effect</w:t>
      </w:r>
      <w:r>
        <w:rPr>
          <w:spacing w:val="-3"/>
          <w:sz w:val="18"/>
          <w:vertAlign w:val="baseline"/>
        </w:rPr>
        <w:t> </w:t>
      </w:r>
      <w:r>
        <w:rPr>
          <w:sz w:val="18"/>
          <w:vertAlign w:val="baseline"/>
        </w:rPr>
        <w:t>of</w:t>
      </w:r>
      <w:r>
        <w:rPr>
          <w:spacing w:val="-2"/>
          <w:sz w:val="18"/>
          <w:vertAlign w:val="baseline"/>
        </w:rPr>
        <w:t> </w:t>
      </w:r>
      <w:r>
        <w:rPr>
          <w:sz w:val="18"/>
          <w:vertAlign w:val="baseline"/>
        </w:rPr>
        <w:t>Long-Term</w:t>
      </w:r>
      <w:r>
        <w:rPr>
          <w:spacing w:val="-2"/>
          <w:sz w:val="18"/>
          <w:vertAlign w:val="baseline"/>
        </w:rPr>
        <w:t> </w:t>
      </w:r>
      <w:r>
        <w:rPr>
          <w:sz w:val="18"/>
          <w:vertAlign w:val="baseline"/>
        </w:rPr>
        <w:t>Exposure</w:t>
      </w:r>
      <w:r>
        <w:rPr>
          <w:spacing w:val="-2"/>
          <w:sz w:val="18"/>
          <w:vertAlign w:val="baseline"/>
        </w:rPr>
        <w:t> </w:t>
      </w:r>
      <w:r>
        <w:rPr>
          <w:sz w:val="18"/>
          <w:vertAlign w:val="baseline"/>
        </w:rPr>
        <w:t>to</w:t>
      </w:r>
      <w:r>
        <w:rPr>
          <w:spacing w:val="-2"/>
          <w:sz w:val="18"/>
          <w:vertAlign w:val="baseline"/>
        </w:rPr>
        <w:t> </w:t>
      </w:r>
      <w:r>
        <w:rPr>
          <w:sz w:val="18"/>
          <w:vertAlign w:val="baseline"/>
        </w:rPr>
        <w:t>Air</w:t>
      </w:r>
      <w:r>
        <w:rPr>
          <w:spacing w:val="-3"/>
          <w:sz w:val="18"/>
          <w:vertAlign w:val="baseline"/>
        </w:rPr>
        <w:t> </w:t>
      </w:r>
      <w:r>
        <w:rPr>
          <w:sz w:val="18"/>
          <w:vertAlign w:val="baseline"/>
        </w:rPr>
        <w:t>Pollution</w:t>
      </w:r>
      <w:r>
        <w:rPr>
          <w:spacing w:val="-2"/>
          <w:sz w:val="18"/>
          <w:vertAlign w:val="baseline"/>
        </w:rPr>
        <w:t> </w:t>
      </w:r>
      <w:r>
        <w:rPr>
          <w:sz w:val="18"/>
          <w:vertAlign w:val="baseline"/>
        </w:rPr>
        <w:t>on</w:t>
      </w:r>
      <w:r>
        <w:rPr>
          <w:spacing w:val="-2"/>
          <w:sz w:val="18"/>
          <w:vertAlign w:val="baseline"/>
        </w:rPr>
        <w:t> </w:t>
      </w:r>
      <w:r>
        <w:rPr>
          <w:sz w:val="18"/>
          <w:vertAlign w:val="baseline"/>
        </w:rPr>
        <w:t>Anxiety</w:t>
      </w:r>
      <w:r>
        <w:rPr>
          <w:spacing w:val="-2"/>
          <w:sz w:val="18"/>
          <w:vertAlign w:val="baseline"/>
        </w:rPr>
        <w:t> </w:t>
      </w:r>
      <w:r>
        <w:rPr>
          <w:sz w:val="18"/>
          <w:vertAlign w:val="baseline"/>
        </w:rPr>
        <w:t>and</w:t>
      </w:r>
      <w:r>
        <w:rPr>
          <w:spacing w:val="-2"/>
          <w:sz w:val="18"/>
          <w:vertAlign w:val="baseline"/>
        </w:rPr>
        <w:t> </w:t>
      </w:r>
      <w:r>
        <w:rPr>
          <w:sz w:val="18"/>
          <w:vertAlign w:val="baseline"/>
        </w:rPr>
        <w:t>Depression</w:t>
      </w:r>
      <w:r>
        <w:rPr>
          <w:spacing w:val="-2"/>
          <w:sz w:val="18"/>
          <w:vertAlign w:val="baseline"/>
        </w:rPr>
        <w:t> </w:t>
      </w:r>
      <w:r>
        <w:rPr>
          <w:sz w:val="18"/>
          <w:vertAlign w:val="baseline"/>
        </w:rPr>
        <w:t>in</w:t>
      </w:r>
      <w:r>
        <w:rPr>
          <w:spacing w:val="-2"/>
          <w:sz w:val="18"/>
          <w:vertAlign w:val="baseline"/>
        </w:rPr>
        <w:t> </w:t>
      </w:r>
      <w:r>
        <w:rPr>
          <w:sz w:val="18"/>
          <w:vertAlign w:val="baseline"/>
        </w:rPr>
        <w:t>Adults:</w:t>
      </w:r>
      <w:r>
        <w:rPr>
          <w:spacing w:val="-2"/>
          <w:sz w:val="18"/>
          <w:vertAlign w:val="baseline"/>
        </w:rPr>
        <w:t> </w:t>
      </w:r>
      <w:r>
        <w:rPr>
          <w:sz w:val="18"/>
          <w:vertAlign w:val="baseline"/>
        </w:rPr>
        <w:t>A</w:t>
      </w:r>
      <w:r>
        <w:rPr>
          <w:spacing w:val="-2"/>
          <w:sz w:val="18"/>
          <w:vertAlign w:val="baseline"/>
        </w:rPr>
        <w:t> </w:t>
      </w:r>
      <w:r>
        <w:rPr>
          <w:sz w:val="18"/>
          <w:vertAlign w:val="baseline"/>
        </w:rPr>
        <w:t>Cross-Sectional Study,” </w:t>
      </w:r>
      <w:r>
        <w:rPr>
          <w:i/>
          <w:sz w:val="18"/>
          <w:vertAlign w:val="baseline"/>
        </w:rPr>
        <w:t>International Journal of Hygiene and Environmental Health </w:t>
      </w:r>
      <w:r>
        <w:rPr>
          <w:sz w:val="18"/>
          <w:vertAlign w:val="baseline"/>
        </w:rPr>
        <w:t>220, no. 6 (August 1, 2017): 1074–80, </w:t>
      </w:r>
      <w:r>
        <w:rPr>
          <w:spacing w:val="-2"/>
          <w:sz w:val="18"/>
          <w:vertAlign w:val="baseline"/>
        </w:rPr>
        <w:t>https://doi.org/10.1016/j.ijheh.2017.06.009.</w:t>
      </w:r>
    </w:p>
    <w:p>
      <w:pPr>
        <w:spacing w:line="244" w:lineRule="auto" w:before="17"/>
        <w:ind w:left="323" w:right="155" w:hanging="1"/>
        <w:jc w:val="both"/>
        <w:rPr>
          <w:sz w:val="18"/>
        </w:rPr>
      </w:pPr>
      <w:r>
        <w:rPr>
          <w:sz w:val="18"/>
          <w:vertAlign w:val="superscript"/>
        </w:rPr>
        <w:t>54</w:t>
      </w:r>
      <w:r>
        <w:rPr>
          <w:spacing w:val="-11"/>
          <w:sz w:val="18"/>
          <w:vertAlign w:val="baseline"/>
        </w:rPr>
        <w:t> </w:t>
      </w:r>
      <w:r>
        <w:rPr>
          <w:sz w:val="18"/>
          <w:vertAlign w:val="baseline"/>
        </w:rPr>
        <w:t>Joanne</w:t>
      </w:r>
      <w:r>
        <w:rPr>
          <w:spacing w:val="-4"/>
          <w:sz w:val="18"/>
          <w:vertAlign w:val="baseline"/>
        </w:rPr>
        <w:t> </w:t>
      </w:r>
      <w:r>
        <w:rPr>
          <w:sz w:val="18"/>
          <w:vertAlign w:val="baseline"/>
        </w:rPr>
        <w:t>B.</w:t>
      </w:r>
      <w:r>
        <w:rPr>
          <w:spacing w:val="-3"/>
          <w:sz w:val="18"/>
          <w:vertAlign w:val="baseline"/>
        </w:rPr>
        <w:t> </w:t>
      </w:r>
      <w:r>
        <w:rPr>
          <w:sz w:val="18"/>
          <w:vertAlign w:val="baseline"/>
        </w:rPr>
        <w:t>Newbury</w:t>
      </w:r>
      <w:r>
        <w:rPr>
          <w:spacing w:val="-2"/>
          <w:sz w:val="18"/>
          <w:vertAlign w:val="baseline"/>
        </w:rPr>
        <w:t> </w:t>
      </w:r>
      <w:r>
        <w:rPr>
          <w:sz w:val="18"/>
          <w:vertAlign w:val="baseline"/>
        </w:rPr>
        <w:t>et</w:t>
      </w:r>
      <w:r>
        <w:rPr>
          <w:spacing w:val="-3"/>
          <w:sz w:val="18"/>
          <w:vertAlign w:val="baseline"/>
        </w:rPr>
        <w:t> </w:t>
      </w:r>
      <w:r>
        <w:rPr>
          <w:sz w:val="18"/>
          <w:vertAlign w:val="baseline"/>
        </w:rPr>
        <w:t>al.,</w:t>
      </w:r>
      <w:r>
        <w:rPr>
          <w:spacing w:val="-3"/>
          <w:sz w:val="18"/>
          <w:vertAlign w:val="baseline"/>
        </w:rPr>
        <w:t> </w:t>
      </w:r>
      <w:r>
        <w:rPr>
          <w:sz w:val="18"/>
          <w:vertAlign w:val="baseline"/>
        </w:rPr>
        <w:t>“Association</w:t>
      </w:r>
      <w:r>
        <w:rPr>
          <w:spacing w:val="-2"/>
          <w:sz w:val="18"/>
          <w:vertAlign w:val="baseline"/>
        </w:rPr>
        <w:t> </w:t>
      </w:r>
      <w:r>
        <w:rPr>
          <w:sz w:val="18"/>
          <w:vertAlign w:val="baseline"/>
        </w:rPr>
        <w:t>between</w:t>
      </w:r>
      <w:r>
        <w:rPr>
          <w:spacing w:val="-2"/>
          <w:sz w:val="18"/>
          <w:vertAlign w:val="baseline"/>
        </w:rPr>
        <w:t> </w:t>
      </w:r>
      <w:r>
        <w:rPr>
          <w:sz w:val="18"/>
          <w:vertAlign w:val="baseline"/>
        </w:rPr>
        <w:t>Air</w:t>
      </w:r>
      <w:r>
        <w:rPr>
          <w:spacing w:val="-3"/>
          <w:sz w:val="18"/>
          <w:vertAlign w:val="baseline"/>
        </w:rPr>
        <w:t> </w:t>
      </w:r>
      <w:r>
        <w:rPr>
          <w:sz w:val="18"/>
          <w:vertAlign w:val="baseline"/>
        </w:rPr>
        <w:t>Pollution</w:t>
      </w:r>
      <w:r>
        <w:rPr>
          <w:spacing w:val="-2"/>
          <w:sz w:val="18"/>
          <w:vertAlign w:val="baseline"/>
        </w:rPr>
        <w:t> </w:t>
      </w:r>
      <w:r>
        <w:rPr>
          <w:sz w:val="18"/>
          <w:vertAlign w:val="baseline"/>
        </w:rPr>
        <w:t>Exposure</w:t>
      </w:r>
      <w:r>
        <w:rPr>
          <w:spacing w:val="-2"/>
          <w:sz w:val="18"/>
          <w:vertAlign w:val="baseline"/>
        </w:rPr>
        <w:t> </w:t>
      </w:r>
      <w:r>
        <w:rPr>
          <w:sz w:val="18"/>
          <w:vertAlign w:val="baseline"/>
        </w:rPr>
        <w:t>and</w:t>
      </w:r>
      <w:r>
        <w:rPr>
          <w:spacing w:val="-2"/>
          <w:sz w:val="18"/>
          <w:vertAlign w:val="baseline"/>
        </w:rPr>
        <w:t> </w:t>
      </w:r>
      <w:r>
        <w:rPr>
          <w:sz w:val="18"/>
          <w:vertAlign w:val="baseline"/>
        </w:rPr>
        <w:t>Mental</w:t>
      </w:r>
      <w:r>
        <w:rPr>
          <w:spacing w:val="-3"/>
          <w:sz w:val="18"/>
          <w:vertAlign w:val="baseline"/>
        </w:rPr>
        <w:t> </w:t>
      </w:r>
      <w:r>
        <w:rPr>
          <w:sz w:val="18"/>
          <w:vertAlign w:val="baseline"/>
        </w:rPr>
        <w:t>Health</w:t>
      </w:r>
      <w:r>
        <w:rPr>
          <w:spacing w:val="-2"/>
          <w:sz w:val="18"/>
          <w:vertAlign w:val="baseline"/>
        </w:rPr>
        <w:t> </w:t>
      </w:r>
      <w:r>
        <w:rPr>
          <w:sz w:val="18"/>
          <w:vertAlign w:val="baseline"/>
        </w:rPr>
        <w:t>Service</w:t>
      </w:r>
      <w:r>
        <w:rPr>
          <w:spacing w:val="-2"/>
          <w:sz w:val="18"/>
          <w:vertAlign w:val="baseline"/>
        </w:rPr>
        <w:t> </w:t>
      </w:r>
      <w:r>
        <w:rPr>
          <w:sz w:val="18"/>
          <w:vertAlign w:val="baseline"/>
        </w:rPr>
        <w:t>Use</w:t>
      </w:r>
      <w:r>
        <w:rPr>
          <w:spacing w:val="-2"/>
          <w:sz w:val="18"/>
          <w:vertAlign w:val="baseline"/>
        </w:rPr>
        <w:t> </w:t>
      </w:r>
      <w:r>
        <w:rPr>
          <w:sz w:val="18"/>
          <w:vertAlign w:val="baseline"/>
        </w:rPr>
        <w:t>among</w:t>
      </w:r>
      <w:r>
        <w:rPr>
          <w:spacing w:val="-3"/>
          <w:sz w:val="18"/>
          <w:vertAlign w:val="baseline"/>
        </w:rPr>
        <w:t> </w:t>
      </w:r>
      <w:r>
        <w:rPr>
          <w:sz w:val="18"/>
          <w:vertAlign w:val="baseline"/>
        </w:rPr>
        <w:t>Individuals</w:t>
      </w:r>
      <w:r>
        <w:rPr>
          <w:spacing w:val="-2"/>
          <w:sz w:val="18"/>
          <w:vertAlign w:val="baseline"/>
        </w:rPr>
        <w:t> </w:t>
      </w:r>
      <w:r>
        <w:rPr>
          <w:sz w:val="18"/>
          <w:vertAlign w:val="baseline"/>
        </w:rPr>
        <w:t>with First</w:t>
      </w:r>
      <w:r>
        <w:rPr>
          <w:spacing w:val="-2"/>
          <w:sz w:val="18"/>
          <w:vertAlign w:val="baseline"/>
        </w:rPr>
        <w:t> </w:t>
      </w:r>
      <w:r>
        <w:rPr>
          <w:sz w:val="18"/>
          <w:vertAlign w:val="baseline"/>
        </w:rPr>
        <w:t>Presentations</w:t>
      </w:r>
      <w:r>
        <w:rPr>
          <w:spacing w:val="-1"/>
          <w:sz w:val="18"/>
          <w:vertAlign w:val="baseline"/>
        </w:rPr>
        <w:t> </w:t>
      </w:r>
      <w:r>
        <w:rPr>
          <w:sz w:val="18"/>
          <w:vertAlign w:val="baseline"/>
        </w:rPr>
        <w:t>of</w:t>
      </w:r>
      <w:r>
        <w:rPr>
          <w:spacing w:val="-1"/>
          <w:sz w:val="18"/>
          <w:vertAlign w:val="baseline"/>
        </w:rPr>
        <w:t> </w:t>
      </w:r>
      <w:r>
        <w:rPr>
          <w:sz w:val="18"/>
          <w:vertAlign w:val="baseline"/>
        </w:rPr>
        <w:t>Psychotic</w:t>
      </w:r>
      <w:r>
        <w:rPr>
          <w:spacing w:val="-2"/>
          <w:sz w:val="18"/>
          <w:vertAlign w:val="baseline"/>
        </w:rPr>
        <w:t> </w:t>
      </w:r>
      <w:r>
        <w:rPr>
          <w:sz w:val="18"/>
          <w:vertAlign w:val="baseline"/>
        </w:rPr>
        <w:t>and</w:t>
      </w:r>
      <w:r>
        <w:rPr>
          <w:spacing w:val="-1"/>
          <w:sz w:val="18"/>
          <w:vertAlign w:val="baseline"/>
        </w:rPr>
        <w:t> </w:t>
      </w:r>
      <w:r>
        <w:rPr>
          <w:sz w:val="18"/>
          <w:vertAlign w:val="baseline"/>
        </w:rPr>
        <w:t>Mood</w:t>
      </w:r>
      <w:r>
        <w:rPr>
          <w:spacing w:val="-1"/>
          <w:sz w:val="18"/>
          <w:vertAlign w:val="baseline"/>
        </w:rPr>
        <w:t> </w:t>
      </w:r>
      <w:r>
        <w:rPr>
          <w:sz w:val="18"/>
          <w:vertAlign w:val="baseline"/>
        </w:rPr>
        <w:t>Disorders:</w:t>
      </w:r>
      <w:r>
        <w:rPr>
          <w:spacing w:val="-1"/>
          <w:sz w:val="18"/>
          <w:vertAlign w:val="baseline"/>
        </w:rPr>
        <w:t> </w:t>
      </w:r>
      <w:r>
        <w:rPr>
          <w:sz w:val="18"/>
          <w:vertAlign w:val="baseline"/>
        </w:rPr>
        <w:t>Retrospective</w:t>
      </w:r>
      <w:r>
        <w:rPr>
          <w:spacing w:val="-1"/>
          <w:sz w:val="18"/>
          <w:vertAlign w:val="baseline"/>
        </w:rPr>
        <w:t> </w:t>
      </w:r>
      <w:r>
        <w:rPr>
          <w:sz w:val="18"/>
          <w:vertAlign w:val="baseline"/>
        </w:rPr>
        <w:t>Cohort</w:t>
      </w:r>
      <w:r>
        <w:rPr>
          <w:spacing w:val="-2"/>
          <w:sz w:val="18"/>
          <w:vertAlign w:val="baseline"/>
        </w:rPr>
        <w:t> </w:t>
      </w:r>
      <w:r>
        <w:rPr>
          <w:sz w:val="18"/>
          <w:vertAlign w:val="baseline"/>
        </w:rPr>
        <w:t>Study,”</w:t>
      </w:r>
      <w:r>
        <w:rPr>
          <w:spacing w:val="-1"/>
          <w:sz w:val="18"/>
          <w:vertAlign w:val="baseline"/>
        </w:rPr>
        <w:t> </w:t>
      </w:r>
      <w:r>
        <w:rPr>
          <w:i/>
          <w:sz w:val="18"/>
          <w:vertAlign w:val="baseline"/>
        </w:rPr>
        <w:t>The</w:t>
      </w:r>
      <w:r>
        <w:rPr>
          <w:i/>
          <w:spacing w:val="-1"/>
          <w:sz w:val="18"/>
          <w:vertAlign w:val="baseline"/>
        </w:rPr>
        <w:t> </w:t>
      </w:r>
      <w:r>
        <w:rPr>
          <w:i/>
          <w:sz w:val="18"/>
          <w:vertAlign w:val="baseline"/>
        </w:rPr>
        <w:t>British</w:t>
      </w:r>
      <w:r>
        <w:rPr>
          <w:i/>
          <w:spacing w:val="-2"/>
          <w:sz w:val="18"/>
          <w:vertAlign w:val="baseline"/>
        </w:rPr>
        <w:t> </w:t>
      </w:r>
      <w:r>
        <w:rPr>
          <w:i/>
          <w:sz w:val="18"/>
          <w:vertAlign w:val="baseline"/>
        </w:rPr>
        <w:t>Journal</w:t>
      </w:r>
      <w:r>
        <w:rPr>
          <w:i/>
          <w:spacing w:val="-2"/>
          <w:sz w:val="18"/>
          <w:vertAlign w:val="baseline"/>
        </w:rPr>
        <w:t> </w:t>
      </w:r>
      <w:r>
        <w:rPr>
          <w:i/>
          <w:sz w:val="18"/>
          <w:vertAlign w:val="baseline"/>
        </w:rPr>
        <w:t>of</w:t>
      </w:r>
      <w:r>
        <w:rPr>
          <w:i/>
          <w:spacing w:val="-1"/>
          <w:sz w:val="18"/>
          <w:vertAlign w:val="baseline"/>
        </w:rPr>
        <w:t> </w:t>
      </w:r>
      <w:r>
        <w:rPr>
          <w:i/>
          <w:sz w:val="18"/>
          <w:vertAlign w:val="baseline"/>
        </w:rPr>
        <w:t>Psychiatry:</w:t>
      </w:r>
      <w:r>
        <w:rPr>
          <w:i/>
          <w:spacing w:val="-1"/>
          <w:sz w:val="18"/>
          <w:vertAlign w:val="baseline"/>
        </w:rPr>
        <w:t> </w:t>
      </w:r>
      <w:r>
        <w:rPr>
          <w:i/>
          <w:sz w:val="18"/>
          <w:vertAlign w:val="baseline"/>
        </w:rPr>
        <w:t>The</w:t>
      </w:r>
      <w:r>
        <w:rPr>
          <w:i/>
          <w:spacing w:val="-1"/>
          <w:sz w:val="18"/>
          <w:vertAlign w:val="baseline"/>
        </w:rPr>
        <w:t> </w:t>
      </w:r>
      <w:r>
        <w:rPr>
          <w:i/>
          <w:sz w:val="18"/>
          <w:vertAlign w:val="baseline"/>
        </w:rPr>
        <w:t>Journal</w:t>
      </w:r>
      <w:r>
        <w:rPr>
          <w:i/>
          <w:sz w:val="18"/>
          <w:vertAlign w:val="baseline"/>
        </w:rPr>
        <w:t> of Mental Science </w:t>
      </w:r>
      <w:r>
        <w:rPr>
          <w:sz w:val="18"/>
          <w:vertAlign w:val="baseline"/>
        </w:rPr>
        <w:t>219, no. 6 (December 2021): 678–85, https://doi.org/10.1192/bjp.2021.119.</w:t>
      </w:r>
    </w:p>
    <w:p>
      <w:pPr>
        <w:spacing w:line="247" w:lineRule="auto" w:before="12"/>
        <w:ind w:left="323" w:right="164" w:hanging="1"/>
        <w:jc w:val="left"/>
        <w:rPr>
          <w:sz w:val="18"/>
        </w:rPr>
      </w:pPr>
      <w:r>
        <w:rPr>
          <w:sz w:val="18"/>
          <w:vertAlign w:val="superscript"/>
        </w:rPr>
        <w:t>55</w:t>
      </w:r>
      <w:r>
        <w:rPr>
          <w:spacing w:val="-12"/>
          <w:sz w:val="18"/>
          <w:vertAlign w:val="baseline"/>
        </w:rPr>
        <w:t> </w:t>
      </w:r>
      <w:r>
        <w:rPr>
          <w:sz w:val="18"/>
          <w:vertAlign w:val="baseline"/>
        </w:rPr>
        <w:t>Antonio</w:t>
      </w:r>
      <w:r>
        <w:rPr>
          <w:spacing w:val="-3"/>
          <w:sz w:val="18"/>
          <w:vertAlign w:val="baseline"/>
        </w:rPr>
        <w:t> </w:t>
      </w:r>
      <w:r>
        <w:rPr>
          <w:sz w:val="18"/>
          <w:vertAlign w:val="baseline"/>
        </w:rPr>
        <w:t>Ventriglio</w:t>
      </w:r>
      <w:r>
        <w:rPr>
          <w:spacing w:val="-2"/>
          <w:sz w:val="18"/>
          <w:vertAlign w:val="baseline"/>
        </w:rPr>
        <w:t> </w:t>
      </w:r>
      <w:r>
        <w:rPr>
          <w:sz w:val="18"/>
          <w:vertAlign w:val="baseline"/>
        </w:rPr>
        <w:t>et</w:t>
      </w:r>
      <w:r>
        <w:rPr>
          <w:spacing w:val="-3"/>
          <w:sz w:val="18"/>
          <w:vertAlign w:val="baseline"/>
        </w:rPr>
        <w:t> </w:t>
      </w:r>
      <w:r>
        <w:rPr>
          <w:sz w:val="18"/>
          <w:vertAlign w:val="baseline"/>
        </w:rPr>
        <w:t>al.,</w:t>
      </w:r>
      <w:r>
        <w:rPr>
          <w:spacing w:val="-3"/>
          <w:sz w:val="18"/>
          <w:vertAlign w:val="baseline"/>
        </w:rPr>
        <w:t> </w:t>
      </w:r>
      <w:r>
        <w:rPr>
          <w:sz w:val="18"/>
          <w:vertAlign w:val="baseline"/>
        </w:rPr>
        <w:t>“Environmental</w:t>
      </w:r>
      <w:r>
        <w:rPr>
          <w:spacing w:val="-3"/>
          <w:sz w:val="18"/>
          <w:vertAlign w:val="baseline"/>
        </w:rPr>
        <w:t> </w:t>
      </w:r>
      <w:r>
        <w:rPr>
          <w:sz w:val="18"/>
          <w:vertAlign w:val="baseline"/>
        </w:rPr>
        <w:t>Pollution</w:t>
      </w:r>
      <w:r>
        <w:rPr>
          <w:spacing w:val="-2"/>
          <w:sz w:val="18"/>
          <w:vertAlign w:val="baseline"/>
        </w:rPr>
        <w:t> </w:t>
      </w:r>
      <w:r>
        <w:rPr>
          <w:sz w:val="18"/>
          <w:vertAlign w:val="baseline"/>
        </w:rPr>
        <w:t>and</w:t>
      </w:r>
      <w:r>
        <w:rPr>
          <w:spacing w:val="-2"/>
          <w:sz w:val="18"/>
          <w:vertAlign w:val="baseline"/>
        </w:rPr>
        <w:t> </w:t>
      </w:r>
      <w:r>
        <w:rPr>
          <w:sz w:val="18"/>
          <w:vertAlign w:val="baseline"/>
        </w:rPr>
        <w:t>Mental</w:t>
      </w:r>
      <w:r>
        <w:rPr>
          <w:spacing w:val="-3"/>
          <w:sz w:val="18"/>
          <w:vertAlign w:val="baseline"/>
        </w:rPr>
        <w:t> </w:t>
      </w:r>
      <w:r>
        <w:rPr>
          <w:sz w:val="18"/>
          <w:vertAlign w:val="baseline"/>
        </w:rPr>
        <w:t>Health:</w:t>
      </w:r>
      <w:r>
        <w:rPr>
          <w:spacing w:val="-2"/>
          <w:sz w:val="18"/>
          <w:vertAlign w:val="baseline"/>
        </w:rPr>
        <w:t> </w:t>
      </w:r>
      <w:r>
        <w:rPr>
          <w:sz w:val="18"/>
          <w:vertAlign w:val="baseline"/>
        </w:rPr>
        <w:t>A</w:t>
      </w:r>
      <w:r>
        <w:rPr>
          <w:spacing w:val="-2"/>
          <w:sz w:val="18"/>
          <w:vertAlign w:val="baseline"/>
        </w:rPr>
        <w:t> </w:t>
      </w:r>
      <w:r>
        <w:rPr>
          <w:sz w:val="18"/>
          <w:vertAlign w:val="baseline"/>
        </w:rPr>
        <w:t>Narrative</w:t>
      </w:r>
      <w:r>
        <w:rPr>
          <w:spacing w:val="-2"/>
          <w:sz w:val="18"/>
          <w:vertAlign w:val="baseline"/>
        </w:rPr>
        <w:t> </w:t>
      </w:r>
      <w:r>
        <w:rPr>
          <w:sz w:val="18"/>
          <w:vertAlign w:val="baseline"/>
        </w:rPr>
        <w:t>Review</w:t>
      </w:r>
      <w:r>
        <w:rPr>
          <w:spacing w:val="-3"/>
          <w:sz w:val="18"/>
          <w:vertAlign w:val="baseline"/>
        </w:rPr>
        <w:t> </w:t>
      </w:r>
      <w:r>
        <w:rPr>
          <w:sz w:val="18"/>
          <w:vertAlign w:val="baseline"/>
        </w:rPr>
        <w:t>of</w:t>
      </w:r>
      <w:r>
        <w:rPr>
          <w:spacing w:val="-2"/>
          <w:sz w:val="18"/>
          <w:vertAlign w:val="baseline"/>
        </w:rPr>
        <w:t> </w:t>
      </w:r>
      <w:r>
        <w:rPr>
          <w:sz w:val="18"/>
          <w:vertAlign w:val="baseline"/>
        </w:rPr>
        <w:t>Literature,”</w:t>
      </w:r>
      <w:r>
        <w:rPr>
          <w:spacing w:val="-2"/>
          <w:sz w:val="18"/>
          <w:vertAlign w:val="baseline"/>
        </w:rPr>
        <w:t> </w:t>
      </w:r>
      <w:r>
        <w:rPr>
          <w:i/>
          <w:sz w:val="18"/>
          <w:vertAlign w:val="baseline"/>
        </w:rPr>
        <w:t>CNS</w:t>
      </w:r>
      <w:r>
        <w:rPr>
          <w:i/>
          <w:spacing w:val="-2"/>
          <w:sz w:val="18"/>
          <w:vertAlign w:val="baseline"/>
        </w:rPr>
        <w:t> </w:t>
      </w:r>
      <w:r>
        <w:rPr>
          <w:i/>
          <w:sz w:val="18"/>
          <w:vertAlign w:val="baseline"/>
        </w:rPr>
        <w:t>Spectrums</w:t>
      </w:r>
      <w:r>
        <w:rPr>
          <w:i/>
          <w:spacing w:val="-3"/>
          <w:sz w:val="18"/>
          <w:vertAlign w:val="baseline"/>
        </w:rPr>
        <w:t> </w:t>
      </w:r>
      <w:r>
        <w:rPr>
          <w:sz w:val="18"/>
          <w:vertAlign w:val="baseline"/>
        </w:rPr>
        <w:t>26, no. 1 (February 2021): 51–61, https://doi.org/10.1017/S1092852920001303.</w:t>
      </w:r>
    </w:p>
    <w:p>
      <w:pPr>
        <w:spacing w:line="242" w:lineRule="auto" w:before="11"/>
        <w:ind w:left="323" w:right="74" w:hanging="1"/>
        <w:jc w:val="left"/>
        <w:rPr>
          <w:sz w:val="18"/>
        </w:rPr>
      </w:pPr>
      <w:r>
        <w:rPr>
          <w:sz w:val="18"/>
          <w:vertAlign w:val="superscript"/>
        </w:rPr>
        <w:t>56</w:t>
      </w:r>
      <w:r>
        <w:rPr>
          <w:spacing w:val="-12"/>
          <w:sz w:val="18"/>
          <w:vertAlign w:val="baseline"/>
        </w:rPr>
        <w:t> </w:t>
      </w:r>
      <w:r>
        <w:rPr>
          <w:sz w:val="18"/>
          <w:vertAlign w:val="baseline"/>
        </w:rPr>
        <w:t>Gwendolyn</w:t>
      </w:r>
      <w:r>
        <w:rPr>
          <w:spacing w:val="-2"/>
          <w:sz w:val="18"/>
          <w:vertAlign w:val="baseline"/>
        </w:rPr>
        <w:t> </w:t>
      </w:r>
      <w:r>
        <w:rPr>
          <w:sz w:val="18"/>
          <w:vertAlign w:val="baseline"/>
        </w:rPr>
        <w:t>P.</w:t>
      </w:r>
      <w:r>
        <w:rPr>
          <w:spacing w:val="-4"/>
          <w:sz w:val="18"/>
          <w:vertAlign w:val="baseline"/>
        </w:rPr>
        <w:t> </w:t>
      </w:r>
      <w:r>
        <w:rPr>
          <w:sz w:val="18"/>
          <w:vertAlign w:val="baseline"/>
        </w:rPr>
        <w:t>Quinn</w:t>
      </w:r>
      <w:r>
        <w:rPr>
          <w:spacing w:val="-2"/>
          <w:sz w:val="18"/>
          <w:vertAlign w:val="baseline"/>
        </w:rPr>
        <w:t> </w:t>
      </w:r>
      <w:r>
        <w:rPr>
          <w:sz w:val="18"/>
          <w:vertAlign w:val="baseline"/>
        </w:rPr>
        <w:t>et</w:t>
      </w:r>
      <w:r>
        <w:rPr>
          <w:spacing w:val="-3"/>
          <w:sz w:val="18"/>
          <w:vertAlign w:val="baseline"/>
        </w:rPr>
        <w:t> </w:t>
      </w:r>
      <w:r>
        <w:rPr>
          <w:sz w:val="18"/>
          <w:vertAlign w:val="baseline"/>
        </w:rPr>
        <w:t>al.,</w:t>
      </w:r>
      <w:r>
        <w:rPr>
          <w:spacing w:val="-3"/>
          <w:sz w:val="18"/>
          <w:vertAlign w:val="baseline"/>
        </w:rPr>
        <w:t> </w:t>
      </w:r>
      <w:r>
        <w:rPr>
          <w:sz w:val="18"/>
          <w:vertAlign w:val="baseline"/>
        </w:rPr>
        <w:t>“Lesbian,</w:t>
      </w:r>
      <w:r>
        <w:rPr>
          <w:spacing w:val="-3"/>
          <w:sz w:val="18"/>
          <w:vertAlign w:val="baseline"/>
        </w:rPr>
        <w:t> </w:t>
      </w:r>
      <w:r>
        <w:rPr>
          <w:sz w:val="18"/>
          <w:vertAlign w:val="baseline"/>
        </w:rPr>
        <w:t>Gay,</w:t>
      </w:r>
      <w:r>
        <w:rPr>
          <w:spacing w:val="-3"/>
          <w:sz w:val="18"/>
          <w:vertAlign w:val="baseline"/>
        </w:rPr>
        <w:t> </w:t>
      </w:r>
      <w:r>
        <w:rPr>
          <w:sz w:val="18"/>
          <w:vertAlign w:val="baseline"/>
        </w:rPr>
        <w:t>Bisexual,</w:t>
      </w:r>
      <w:r>
        <w:rPr>
          <w:spacing w:val="-3"/>
          <w:sz w:val="18"/>
          <w:vertAlign w:val="baseline"/>
        </w:rPr>
        <w:t> </w:t>
      </w:r>
      <w:r>
        <w:rPr>
          <w:sz w:val="18"/>
          <w:vertAlign w:val="baseline"/>
        </w:rPr>
        <w:t>Transgender,</w:t>
      </w:r>
      <w:r>
        <w:rPr>
          <w:spacing w:val="-3"/>
          <w:sz w:val="18"/>
          <w:vertAlign w:val="baseline"/>
        </w:rPr>
        <w:t> </w:t>
      </w:r>
      <w:r>
        <w:rPr>
          <w:sz w:val="18"/>
          <w:vertAlign w:val="baseline"/>
        </w:rPr>
        <w:t>Queer/Questioning</w:t>
      </w:r>
      <w:r>
        <w:rPr>
          <w:spacing w:val="-2"/>
          <w:sz w:val="18"/>
          <w:vertAlign w:val="baseline"/>
        </w:rPr>
        <w:t> </w:t>
      </w:r>
      <w:r>
        <w:rPr>
          <w:sz w:val="18"/>
          <w:vertAlign w:val="baseline"/>
        </w:rPr>
        <w:t>(LGBTQ)</w:t>
      </w:r>
      <w:r>
        <w:rPr>
          <w:spacing w:val="-3"/>
          <w:sz w:val="18"/>
          <w:vertAlign w:val="baseline"/>
        </w:rPr>
        <w:t> </w:t>
      </w:r>
      <w:r>
        <w:rPr>
          <w:sz w:val="18"/>
          <w:vertAlign w:val="baseline"/>
        </w:rPr>
        <w:t>Perceptions</w:t>
      </w:r>
      <w:r>
        <w:rPr>
          <w:spacing w:val="-2"/>
          <w:sz w:val="18"/>
          <w:vertAlign w:val="baseline"/>
        </w:rPr>
        <w:t> </w:t>
      </w:r>
      <w:r>
        <w:rPr>
          <w:sz w:val="18"/>
          <w:vertAlign w:val="baseline"/>
        </w:rPr>
        <w:t>and</w:t>
      </w:r>
      <w:r>
        <w:rPr>
          <w:spacing w:val="-2"/>
          <w:sz w:val="18"/>
          <w:vertAlign w:val="baseline"/>
        </w:rPr>
        <w:t> </w:t>
      </w:r>
      <w:r>
        <w:rPr>
          <w:sz w:val="18"/>
          <w:vertAlign w:val="baseline"/>
        </w:rPr>
        <w:t>Health</w:t>
      </w:r>
      <w:r>
        <w:rPr>
          <w:spacing w:val="-2"/>
          <w:sz w:val="18"/>
          <w:vertAlign w:val="baseline"/>
        </w:rPr>
        <w:t> </w:t>
      </w:r>
      <w:r>
        <w:rPr>
          <w:sz w:val="18"/>
          <w:vertAlign w:val="baseline"/>
        </w:rPr>
        <w:t>Care Experiences,” </w:t>
      </w:r>
      <w:r>
        <w:rPr>
          <w:i/>
          <w:sz w:val="18"/>
          <w:vertAlign w:val="baseline"/>
        </w:rPr>
        <w:t>Journal of Gay &amp; Lesbian Social Services </w:t>
      </w:r>
      <w:r>
        <w:rPr>
          <w:sz w:val="18"/>
          <w:vertAlign w:val="baseline"/>
        </w:rPr>
        <w:t>27, no. 2 (April 3, 2015): 246–61, </w:t>
      </w:r>
      <w:r>
        <w:rPr>
          <w:spacing w:val="-2"/>
          <w:sz w:val="18"/>
          <w:vertAlign w:val="baseline"/>
        </w:rPr>
        <w:t>https://doi.org/10.1080/10538720.2015.1022273.</w:t>
      </w:r>
    </w:p>
    <w:p>
      <w:pPr>
        <w:spacing w:line="247" w:lineRule="auto" w:before="18"/>
        <w:ind w:left="323" w:right="74" w:hanging="1"/>
        <w:jc w:val="left"/>
        <w:rPr>
          <w:sz w:val="18"/>
        </w:rPr>
      </w:pPr>
      <w:r>
        <w:rPr>
          <w:sz w:val="18"/>
          <w:vertAlign w:val="superscript"/>
        </w:rPr>
        <w:t>57</w:t>
      </w:r>
      <w:r>
        <w:rPr>
          <w:spacing w:val="-12"/>
          <w:sz w:val="18"/>
          <w:vertAlign w:val="baseline"/>
        </w:rPr>
        <w:t> </w:t>
      </w:r>
      <w:r>
        <w:rPr>
          <w:sz w:val="18"/>
          <w:vertAlign w:val="baseline"/>
        </w:rPr>
        <w:t>Logan</w:t>
      </w:r>
      <w:r>
        <w:rPr>
          <w:spacing w:val="-2"/>
          <w:sz w:val="18"/>
          <w:vertAlign w:val="baseline"/>
        </w:rPr>
        <w:t> </w:t>
      </w:r>
      <w:r>
        <w:rPr>
          <w:sz w:val="18"/>
          <w:vertAlign w:val="baseline"/>
        </w:rPr>
        <w:t>S.</w:t>
      </w:r>
      <w:r>
        <w:rPr>
          <w:spacing w:val="-2"/>
          <w:sz w:val="18"/>
          <w:vertAlign w:val="baseline"/>
        </w:rPr>
        <w:t> </w:t>
      </w:r>
      <w:r>
        <w:rPr>
          <w:sz w:val="18"/>
          <w:vertAlign w:val="baseline"/>
        </w:rPr>
        <w:t>Casey</w:t>
      </w:r>
      <w:r>
        <w:rPr>
          <w:spacing w:val="-2"/>
          <w:sz w:val="18"/>
          <w:vertAlign w:val="baseline"/>
        </w:rPr>
        <w:t> </w:t>
      </w:r>
      <w:r>
        <w:rPr>
          <w:sz w:val="18"/>
          <w:vertAlign w:val="baseline"/>
        </w:rPr>
        <w:t>et</w:t>
      </w:r>
      <w:r>
        <w:rPr>
          <w:spacing w:val="-3"/>
          <w:sz w:val="18"/>
          <w:vertAlign w:val="baseline"/>
        </w:rPr>
        <w:t> </w:t>
      </w:r>
      <w:r>
        <w:rPr>
          <w:sz w:val="18"/>
          <w:vertAlign w:val="baseline"/>
        </w:rPr>
        <w:t>al.,</w:t>
      </w:r>
      <w:r>
        <w:rPr>
          <w:spacing w:val="-3"/>
          <w:sz w:val="18"/>
          <w:vertAlign w:val="baseline"/>
        </w:rPr>
        <w:t> </w:t>
      </w:r>
      <w:r>
        <w:rPr>
          <w:sz w:val="18"/>
          <w:vertAlign w:val="baseline"/>
        </w:rPr>
        <w:t>“Discrimination</w:t>
      </w:r>
      <w:r>
        <w:rPr>
          <w:spacing w:val="-2"/>
          <w:sz w:val="18"/>
          <w:vertAlign w:val="baseline"/>
        </w:rPr>
        <w:t> </w:t>
      </w:r>
      <w:r>
        <w:rPr>
          <w:sz w:val="18"/>
          <w:vertAlign w:val="baseline"/>
        </w:rPr>
        <w:t>in</w:t>
      </w:r>
      <w:r>
        <w:rPr>
          <w:spacing w:val="-2"/>
          <w:sz w:val="18"/>
          <w:vertAlign w:val="baseline"/>
        </w:rPr>
        <w:t> </w:t>
      </w:r>
      <w:r>
        <w:rPr>
          <w:sz w:val="18"/>
          <w:vertAlign w:val="baseline"/>
        </w:rPr>
        <w:t>the</w:t>
      </w:r>
      <w:r>
        <w:rPr>
          <w:spacing w:val="-2"/>
          <w:sz w:val="18"/>
          <w:vertAlign w:val="baseline"/>
        </w:rPr>
        <w:t> </w:t>
      </w:r>
      <w:r>
        <w:rPr>
          <w:sz w:val="18"/>
          <w:vertAlign w:val="baseline"/>
        </w:rPr>
        <w:t>United</w:t>
      </w:r>
      <w:r>
        <w:rPr>
          <w:spacing w:val="-2"/>
          <w:sz w:val="18"/>
          <w:vertAlign w:val="baseline"/>
        </w:rPr>
        <w:t> </w:t>
      </w:r>
      <w:r>
        <w:rPr>
          <w:sz w:val="18"/>
          <w:vertAlign w:val="baseline"/>
        </w:rPr>
        <w:t>States:</w:t>
      </w:r>
      <w:r>
        <w:rPr>
          <w:spacing w:val="-2"/>
          <w:sz w:val="18"/>
          <w:vertAlign w:val="baseline"/>
        </w:rPr>
        <w:t> </w:t>
      </w:r>
      <w:r>
        <w:rPr>
          <w:sz w:val="18"/>
          <w:vertAlign w:val="baseline"/>
        </w:rPr>
        <w:t>Experiences</w:t>
      </w:r>
      <w:r>
        <w:rPr>
          <w:spacing w:val="-2"/>
          <w:sz w:val="18"/>
          <w:vertAlign w:val="baseline"/>
        </w:rPr>
        <w:t> </w:t>
      </w:r>
      <w:r>
        <w:rPr>
          <w:sz w:val="18"/>
          <w:vertAlign w:val="baseline"/>
        </w:rPr>
        <w:t>of</w:t>
      </w:r>
      <w:r>
        <w:rPr>
          <w:spacing w:val="-2"/>
          <w:sz w:val="18"/>
          <w:vertAlign w:val="baseline"/>
        </w:rPr>
        <w:t> </w:t>
      </w:r>
      <w:r>
        <w:rPr>
          <w:sz w:val="18"/>
          <w:vertAlign w:val="baseline"/>
        </w:rPr>
        <w:t>Lesbian,</w:t>
      </w:r>
      <w:r>
        <w:rPr>
          <w:spacing w:val="-3"/>
          <w:sz w:val="18"/>
          <w:vertAlign w:val="baseline"/>
        </w:rPr>
        <w:t> </w:t>
      </w:r>
      <w:r>
        <w:rPr>
          <w:sz w:val="18"/>
          <w:vertAlign w:val="baseline"/>
        </w:rPr>
        <w:t>Gay,</w:t>
      </w:r>
      <w:r>
        <w:rPr>
          <w:spacing w:val="-3"/>
          <w:sz w:val="18"/>
          <w:vertAlign w:val="baseline"/>
        </w:rPr>
        <w:t> </w:t>
      </w:r>
      <w:r>
        <w:rPr>
          <w:sz w:val="18"/>
          <w:vertAlign w:val="baseline"/>
        </w:rPr>
        <w:t>Bisexual,</w:t>
      </w:r>
      <w:r>
        <w:rPr>
          <w:spacing w:val="-3"/>
          <w:sz w:val="18"/>
          <w:vertAlign w:val="baseline"/>
        </w:rPr>
        <w:t> </w:t>
      </w:r>
      <w:r>
        <w:rPr>
          <w:sz w:val="18"/>
          <w:vertAlign w:val="baseline"/>
        </w:rPr>
        <w:t>Transgender,</w:t>
      </w:r>
      <w:r>
        <w:rPr>
          <w:spacing w:val="-3"/>
          <w:sz w:val="18"/>
          <w:vertAlign w:val="baseline"/>
        </w:rPr>
        <w:t> </w:t>
      </w:r>
      <w:r>
        <w:rPr>
          <w:sz w:val="18"/>
          <w:vertAlign w:val="baseline"/>
        </w:rPr>
        <w:t>and</w:t>
      </w:r>
      <w:r>
        <w:rPr>
          <w:spacing w:val="-2"/>
          <w:sz w:val="18"/>
          <w:vertAlign w:val="baseline"/>
        </w:rPr>
        <w:t> </w:t>
      </w:r>
      <w:r>
        <w:rPr>
          <w:sz w:val="18"/>
          <w:vertAlign w:val="baseline"/>
        </w:rPr>
        <w:t>Queer Americans,” </w:t>
      </w:r>
      <w:r>
        <w:rPr>
          <w:i/>
          <w:sz w:val="18"/>
          <w:vertAlign w:val="baseline"/>
        </w:rPr>
        <w:t>Health Services Research </w:t>
      </w:r>
      <w:r>
        <w:rPr>
          <w:sz w:val="18"/>
          <w:vertAlign w:val="baseline"/>
        </w:rPr>
        <w:t>54, no. S2 (2019): 1454–66, https://doi.org/10.1111/1475-6773.13229.</w:t>
      </w:r>
    </w:p>
    <w:p>
      <w:pPr>
        <w:spacing w:line="247" w:lineRule="auto" w:before="11"/>
        <w:ind w:left="323" w:right="213" w:hanging="1"/>
        <w:jc w:val="left"/>
        <w:rPr>
          <w:sz w:val="18"/>
        </w:rPr>
      </w:pPr>
      <w:r>
        <w:rPr>
          <w:sz w:val="18"/>
          <w:vertAlign w:val="superscript"/>
        </w:rPr>
        <w:t>58</w:t>
      </w:r>
      <w:r>
        <w:rPr>
          <w:spacing w:val="-12"/>
          <w:sz w:val="18"/>
          <w:vertAlign w:val="baseline"/>
        </w:rPr>
        <w:t> </w:t>
      </w:r>
      <w:r>
        <w:rPr>
          <w:sz w:val="18"/>
          <w:vertAlign w:val="baseline"/>
        </w:rPr>
        <w:t>Barbara</w:t>
      </w:r>
      <w:r>
        <w:rPr>
          <w:spacing w:val="-2"/>
          <w:sz w:val="18"/>
          <w:vertAlign w:val="baseline"/>
        </w:rPr>
        <w:t> </w:t>
      </w:r>
      <w:r>
        <w:rPr>
          <w:sz w:val="18"/>
          <w:vertAlign w:val="baseline"/>
        </w:rPr>
        <w:t>K.</w:t>
      </w:r>
      <w:r>
        <w:rPr>
          <w:spacing w:val="-2"/>
          <w:sz w:val="18"/>
          <w:vertAlign w:val="baseline"/>
        </w:rPr>
        <w:t> </w:t>
      </w:r>
      <w:r>
        <w:rPr>
          <w:sz w:val="18"/>
          <w:vertAlign w:val="baseline"/>
        </w:rPr>
        <w:t>Snyder,</w:t>
      </w:r>
      <w:r>
        <w:rPr>
          <w:spacing w:val="-3"/>
          <w:sz w:val="18"/>
          <w:vertAlign w:val="baseline"/>
        </w:rPr>
        <w:t> </w:t>
      </w:r>
      <w:r>
        <w:rPr>
          <w:sz w:val="18"/>
          <w:vertAlign w:val="baseline"/>
        </w:rPr>
        <w:t>Gail</w:t>
      </w:r>
      <w:r>
        <w:rPr>
          <w:spacing w:val="-3"/>
          <w:sz w:val="18"/>
          <w:vertAlign w:val="baseline"/>
        </w:rPr>
        <w:t> </w:t>
      </w:r>
      <w:r>
        <w:rPr>
          <w:sz w:val="18"/>
          <w:vertAlign w:val="baseline"/>
        </w:rPr>
        <w:t>D.</w:t>
      </w:r>
      <w:r>
        <w:rPr>
          <w:spacing w:val="-2"/>
          <w:sz w:val="18"/>
          <w:vertAlign w:val="baseline"/>
        </w:rPr>
        <w:t> </w:t>
      </w:r>
      <w:r>
        <w:rPr>
          <w:sz w:val="18"/>
          <w:vertAlign w:val="baseline"/>
        </w:rPr>
        <w:t>Burack,</w:t>
      </w:r>
      <w:r>
        <w:rPr>
          <w:spacing w:val="-3"/>
          <w:sz w:val="18"/>
          <w:vertAlign w:val="baseline"/>
        </w:rPr>
        <w:t> </w:t>
      </w:r>
      <w:r>
        <w:rPr>
          <w:sz w:val="18"/>
          <w:vertAlign w:val="baseline"/>
        </w:rPr>
        <w:t>and</w:t>
      </w:r>
      <w:r>
        <w:rPr>
          <w:spacing w:val="-2"/>
          <w:sz w:val="18"/>
          <w:vertAlign w:val="baseline"/>
        </w:rPr>
        <w:t> </w:t>
      </w:r>
      <w:r>
        <w:rPr>
          <w:sz w:val="18"/>
          <w:vertAlign w:val="baseline"/>
        </w:rPr>
        <w:t>Anna</w:t>
      </w:r>
      <w:r>
        <w:rPr>
          <w:spacing w:val="-2"/>
          <w:sz w:val="18"/>
          <w:vertAlign w:val="baseline"/>
        </w:rPr>
        <w:t> </w:t>
      </w:r>
      <w:r>
        <w:rPr>
          <w:sz w:val="18"/>
          <w:vertAlign w:val="baseline"/>
        </w:rPr>
        <w:t>Petrova,</w:t>
      </w:r>
      <w:r>
        <w:rPr>
          <w:spacing w:val="-3"/>
          <w:sz w:val="18"/>
          <w:vertAlign w:val="baseline"/>
        </w:rPr>
        <w:t> </w:t>
      </w:r>
      <w:r>
        <w:rPr>
          <w:sz w:val="18"/>
          <w:vertAlign w:val="baseline"/>
        </w:rPr>
        <w:t>“LGBTQ</w:t>
      </w:r>
      <w:r>
        <w:rPr>
          <w:spacing w:val="-2"/>
          <w:sz w:val="18"/>
          <w:vertAlign w:val="baseline"/>
        </w:rPr>
        <w:t> </w:t>
      </w:r>
      <w:r>
        <w:rPr>
          <w:sz w:val="18"/>
          <w:vertAlign w:val="baseline"/>
        </w:rPr>
        <w:t>Youth’s</w:t>
      </w:r>
      <w:r>
        <w:rPr>
          <w:spacing w:val="-2"/>
          <w:sz w:val="18"/>
          <w:vertAlign w:val="baseline"/>
        </w:rPr>
        <w:t> </w:t>
      </w:r>
      <w:r>
        <w:rPr>
          <w:sz w:val="18"/>
          <w:vertAlign w:val="baseline"/>
        </w:rPr>
        <w:t>Perceptions</w:t>
      </w:r>
      <w:r>
        <w:rPr>
          <w:spacing w:val="-2"/>
          <w:sz w:val="18"/>
          <w:vertAlign w:val="baseline"/>
        </w:rPr>
        <w:t> </w:t>
      </w:r>
      <w:r>
        <w:rPr>
          <w:sz w:val="18"/>
          <w:vertAlign w:val="baseline"/>
        </w:rPr>
        <w:t>of</w:t>
      </w:r>
      <w:r>
        <w:rPr>
          <w:spacing w:val="-2"/>
          <w:sz w:val="18"/>
          <w:vertAlign w:val="baseline"/>
        </w:rPr>
        <w:t> </w:t>
      </w:r>
      <w:r>
        <w:rPr>
          <w:sz w:val="18"/>
          <w:vertAlign w:val="baseline"/>
        </w:rPr>
        <w:t>Primary</w:t>
      </w:r>
      <w:r>
        <w:rPr>
          <w:spacing w:val="-2"/>
          <w:sz w:val="18"/>
          <w:vertAlign w:val="baseline"/>
        </w:rPr>
        <w:t> </w:t>
      </w:r>
      <w:r>
        <w:rPr>
          <w:sz w:val="18"/>
          <w:vertAlign w:val="baseline"/>
        </w:rPr>
        <w:t>Care,”</w:t>
      </w:r>
      <w:r>
        <w:rPr>
          <w:spacing w:val="-2"/>
          <w:sz w:val="18"/>
          <w:vertAlign w:val="baseline"/>
        </w:rPr>
        <w:t> </w:t>
      </w:r>
      <w:r>
        <w:rPr>
          <w:i/>
          <w:sz w:val="18"/>
          <w:vertAlign w:val="baseline"/>
        </w:rPr>
        <w:t>Clinical</w:t>
      </w:r>
      <w:r>
        <w:rPr>
          <w:i/>
          <w:spacing w:val="-3"/>
          <w:sz w:val="18"/>
          <w:vertAlign w:val="baseline"/>
        </w:rPr>
        <w:t> </w:t>
      </w:r>
      <w:r>
        <w:rPr>
          <w:i/>
          <w:sz w:val="18"/>
          <w:vertAlign w:val="baseline"/>
        </w:rPr>
        <w:t>Pediatrics</w:t>
      </w:r>
      <w:r>
        <w:rPr>
          <w:i/>
          <w:spacing w:val="-3"/>
          <w:sz w:val="18"/>
          <w:vertAlign w:val="baseline"/>
        </w:rPr>
        <w:t> </w:t>
      </w:r>
      <w:r>
        <w:rPr>
          <w:sz w:val="18"/>
          <w:vertAlign w:val="baseline"/>
        </w:rPr>
        <w:t>56,</w:t>
      </w:r>
      <w:r>
        <w:rPr>
          <w:spacing w:val="-3"/>
          <w:sz w:val="18"/>
          <w:vertAlign w:val="baseline"/>
        </w:rPr>
        <w:t> </w:t>
      </w:r>
      <w:r>
        <w:rPr>
          <w:sz w:val="18"/>
          <w:vertAlign w:val="baseline"/>
        </w:rPr>
        <w:t>no. 5 (May 1, 2017): 443–50, https://doi.org/10.1177/0009922816673306.</w:t>
      </w:r>
    </w:p>
    <w:p>
      <w:pPr>
        <w:spacing w:before="11"/>
        <w:ind w:left="323" w:right="0" w:firstLine="0"/>
        <w:jc w:val="left"/>
        <w:rPr>
          <w:sz w:val="18"/>
        </w:rPr>
      </w:pPr>
      <w:r>
        <w:rPr>
          <w:sz w:val="18"/>
          <w:vertAlign w:val="superscript"/>
        </w:rPr>
        <w:t>59</w:t>
      </w:r>
      <w:r>
        <w:rPr>
          <w:spacing w:val="-12"/>
          <w:sz w:val="18"/>
          <w:vertAlign w:val="baseline"/>
        </w:rPr>
        <w:t> </w:t>
      </w:r>
      <w:r>
        <w:rPr>
          <w:sz w:val="18"/>
          <w:vertAlign w:val="baseline"/>
        </w:rPr>
        <w:t>“Environment</w:t>
      </w:r>
      <w:r>
        <w:rPr>
          <w:spacing w:val="-8"/>
          <w:sz w:val="18"/>
          <w:vertAlign w:val="baseline"/>
        </w:rPr>
        <w:t> </w:t>
      </w:r>
      <w:r>
        <w:rPr>
          <w:sz w:val="18"/>
          <w:vertAlign w:val="baseline"/>
        </w:rPr>
        <w:t>&amp;</w:t>
      </w:r>
      <w:r>
        <w:rPr>
          <w:spacing w:val="-5"/>
          <w:sz w:val="18"/>
          <w:vertAlign w:val="baseline"/>
        </w:rPr>
        <w:t> </w:t>
      </w:r>
      <w:r>
        <w:rPr>
          <w:sz w:val="18"/>
          <w:vertAlign w:val="baseline"/>
        </w:rPr>
        <w:t>Climate</w:t>
      </w:r>
      <w:r>
        <w:rPr>
          <w:spacing w:val="-5"/>
          <w:sz w:val="18"/>
          <w:vertAlign w:val="baseline"/>
        </w:rPr>
        <w:t> </w:t>
      </w:r>
      <w:r>
        <w:rPr>
          <w:sz w:val="18"/>
          <w:vertAlign w:val="baseline"/>
        </w:rPr>
        <w:t>Justice,”</w:t>
      </w:r>
      <w:r>
        <w:rPr>
          <w:spacing w:val="-4"/>
          <w:sz w:val="18"/>
          <w:vertAlign w:val="baseline"/>
        </w:rPr>
        <w:t> </w:t>
      </w:r>
      <w:r>
        <w:rPr>
          <w:sz w:val="18"/>
          <w:vertAlign w:val="baseline"/>
        </w:rPr>
        <w:t>accessed</w:t>
      </w:r>
      <w:r>
        <w:rPr>
          <w:spacing w:val="-4"/>
          <w:sz w:val="18"/>
          <w:vertAlign w:val="baseline"/>
        </w:rPr>
        <w:t> </w:t>
      </w:r>
      <w:r>
        <w:rPr>
          <w:sz w:val="18"/>
          <w:vertAlign w:val="baseline"/>
        </w:rPr>
        <w:t>February</w:t>
      </w:r>
      <w:r>
        <w:rPr>
          <w:spacing w:val="-4"/>
          <w:sz w:val="18"/>
          <w:vertAlign w:val="baseline"/>
        </w:rPr>
        <w:t> </w:t>
      </w:r>
      <w:r>
        <w:rPr>
          <w:sz w:val="18"/>
          <w:vertAlign w:val="baseline"/>
        </w:rPr>
        <w:t>17,</w:t>
      </w:r>
      <w:r>
        <w:rPr>
          <w:spacing w:val="-5"/>
          <w:sz w:val="18"/>
          <w:vertAlign w:val="baseline"/>
        </w:rPr>
        <w:t> </w:t>
      </w:r>
      <w:r>
        <w:rPr>
          <w:sz w:val="18"/>
          <w:vertAlign w:val="baseline"/>
        </w:rPr>
        <w:t>2023,</w:t>
      </w:r>
      <w:r>
        <w:rPr>
          <w:spacing w:val="-4"/>
          <w:sz w:val="18"/>
          <w:vertAlign w:val="baseline"/>
        </w:rPr>
        <w:t> </w:t>
      </w:r>
      <w:r>
        <w:rPr>
          <w:sz w:val="18"/>
          <w:vertAlign w:val="baseline"/>
        </w:rPr>
        <w:t>https://naacp.org/know-issues/environmental-climate-</w:t>
      </w:r>
      <w:r>
        <w:rPr>
          <w:spacing w:val="-2"/>
          <w:sz w:val="18"/>
          <w:vertAlign w:val="baseline"/>
        </w:rPr>
        <w:t>justice.</w:t>
      </w:r>
    </w:p>
    <w:p>
      <w:pPr>
        <w:spacing w:line="247" w:lineRule="auto" w:before="25"/>
        <w:ind w:left="323" w:right="164" w:firstLine="0"/>
        <w:jc w:val="left"/>
        <w:rPr>
          <w:sz w:val="18"/>
        </w:rPr>
      </w:pPr>
      <w:r>
        <w:rPr>
          <w:sz w:val="18"/>
          <w:vertAlign w:val="superscript"/>
        </w:rPr>
        <w:t>60</w:t>
      </w:r>
      <w:r>
        <w:rPr>
          <w:spacing w:val="-12"/>
          <w:sz w:val="18"/>
          <w:vertAlign w:val="baseline"/>
        </w:rPr>
        <w:t> </w:t>
      </w:r>
      <w:r>
        <w:rPr>
          <w:sz w:val="18"/>
          <w:vertAlign w:val="baseline"/>
        </w:rPr>
        <w:t>“Governor</w:t>
      </w:r>
      <w:r>
        <w:rPr>
          <w:spacing w:val="-4"/>
          <w:sz w:val="18"/>
          <w:vertAlign w:val="baseline"/>
        </w:rPr>
        <w:t> </w:t>
      </w:r>
      <w:r>
        <w:rPr>
          <w:sz w:val="18"/>
          <w:vertAlign w:val="baseline"/>
        </w:rPr>
        <w:t>Healey</w:t>
      </w:r>
      <w:r>
        <w:rPr>
          <w:spacing w:val="-2"/>
          <w:sz w:val="18"/>
          <w:vertAlign w:val="baseline"/>
        </w:rPr>
        <w:t> </w:t>
      </w:r>
      <w:r>
        <w:rPr>
          <w:sz w:val="18"/>
          <w:vertAlign w:val="baseline"/>
        </w:rPr>
        <w:t>Signs</w:t>
      </w:r>
      <w:r>
        <w:rPr>
          <w:spacing w:val="-2"/>
          <w:sz w:val="18"/>
          <w:vertAlign w:val="baseline"/>
        </w:rPr>
        <w:t> </w:t>
      </w:r>
      <w:r>
        <w:rPr>
          <w:sz w:val="18"/>
          <w:vertAlign w:val="baseline"/>
        </w:rPr>
        <w:t>Executive</w:t>
      </w:r>
      <w:r>
        <w:rPr>
          <w:spacing w:val="-2"/>
          <w:sz w:val="18"/>
          <w:vertAlign w:val="baseline"/>
        </w:rPr>
        <w:t> </w:t>
      </w:r>
      <w:r>
        <w:rPr>
          <w:sz w:val="18"/>
          <w:vertAlign w:val="baseline"/>
        </w:rPr>
        <w:t>Order</w:t>
      </w:r>
      <w:r>
        <w:rPr>
          <w:spacing w:val="-3"/>
          <w:sz w:val="18"/>
          <w:vertAlign w:val="baseline"/>
        </w:rPr>
        <w:t> </w:t>
      </w:r>
      <w:r>
        <w:rPr>
          <w:sz w:val="18"/>
          <w:vertAlign w:val="baseline"/>
        </w:rPr>
        <w:t>Creating</w:t>
      </w:r>
      <w:r>
        <w:rPr>
          <w:spacing w:val="-2"/>
          <w:sz w:val="18"/>
          <w:vertAlign w:val="baseline"/>
        </w:rPr>
        <w:t> </w:t>
      </w:r>
      <w:r>
        <w:rPr>
          <w:sz w:val="18"/>
          <w:vertAlign w:val="baseline"/>
        </w:rPr>
        <w:t>Massachusetts’</w:t>
      </w:r>
      <w:r>
        <w:rPr>
          <w:spacing w:val="-3"/>
          <w:sz w:val="18"/>
          <w:vertAlign w:val="baseline"/>
        </w:rPr>
        <w:t> </w:t>
      </w:r>
      <w:r>
        <w:rPr>
          <w:sz w:val="18"/>
          <w:vertAlign w:val="baseline"/>
        </w:rPr>
        <w:t>First</w:t>
      </w:r>
      <w:r>
        <w:rPr>
          <w:spacing w:val="-3"/>
          <w:sz w:val="18"/>
          <w:vertAlign w:val="baseline"/>
        </w:rPr>
        <w:t> </w:t>
      </w:r>
      <w:r>
        <w:rPr>
          <w:sz w:val="18"/>
          <w:vertAlign w:val="baseline"/>
        </w:rPr>
        <w:t>Ever</w:t>
      </w:r>
      <w:r>
        <w:rPr>
          <w:spacing w:val="-3"/>
          <w:sz w:val="18"/>
          <w:vertAlign w:val="baseline"/>
        </w:rPr>
        <w:t> </w:t>
      </w:r>
      <w:r>
        <w:rPr>
          <w:sz w:val="18"/>
          <w:vertAlign w:val="baseline"/>
        </w:rPr>
        <w:t>Climate</w:t>
      </w:r>
      <w:r>
        <w:rPr>
          <w:spacing w:val="-2"/>
          <w:sz w:val="18"/>
          <w:vertAlign w:val="baseline"/>
        </w:rPr>
        <w:t> </w:t>
      </w:r>
      <w:r>
        <w:rPr>
          <w:sz w:val="18"/>
          <w:vertAlign w:val="baseline"/>
        </w:rPr>
        <w:t>Chief</w:t>
      </w:r>
      <w:r>
        <w:rPr>
          <w:spacing w:val="-2"/>
          <w:sz w:val="18"/>
          <w:vertAlign w:val="baseline"/>
        </w:rPr>
        <w:t> </w:t>
      </w:r>
      <w:r>
        <w:rPr>
          <w:sz w:val="18"/>
          <w:vertAlign w:val="baseline"/>
        </w:rPr>
        <w:t>|</w:t>
      </w:r>
      <w:r>
        <w:rPr>
          <w:spacing w:val="-2"/>
          <w:sz w:val="18"/>
          <w:vertAlign w:val="baseline"/>
        </w:rPr>
        <w:t> </w:t>
      </w:r>
      <w:r>
        <w:rPr>
          <w:sz w:val="18"/>
          <w:vertAlign w:val="baseline"/>
        </w:rPr>
        <w:t>Mass.Gov,”</w:t>
      </w:r>
      <w:r>
        <w:rPr>
          <w:spacing w:val="-2"/>
          <w:sz w:val="18"/>
          <w:vertAlign w:val="baseline"/>
        </w:rPr>
        <w:t> </w:t>
      </w:r>
      <w:r>
        <w:rPr>
          <w:sz w:val="18"/>
          <w:vertAlign w:val="baseline"/>
        </w:rPr>
        <w:t>accessed</w:t>
      </w:r>
      <w:r>
        <w:rPr>
          <w:spacing w:val="-2"/>
          <w:sz w:val="18"/>
          <w:vertAlign w:val="baseline"/>
        </w:rPr>
        <w:t> </w:t>
      </w:r>
      <w:r>
        <w:rPr>
          <w:sz w:val="18"/>
          <w:vertAlign w:val="baseline"/>
        </w:rPr>
        <w:t>March</w:t>
      </w:r>
      <w:r>
        <w:rPr>
          <w:spacing w:val="-2"/>
          <w:sz w:val="18"/>
          <w:vertAlign w:val="baseline"/>
        </w:rPr>
        <w:t> </w:t>
      </w:r>
      <w:r>
        <w:rPr>
          <w:sz w:val="18"/>
          <w:vertAlign w:val="baseline"/>
        </w:rPr>
        <w:t>14, 2023,</w:t>
      </w:r>
      <w:r>
        <w:rPr>
          <w:spacing w:val="-2"/>
          <w:sz w:val="18"/>
          <w:vertAlign w:val="baseline"/>
        </w:rPr>
        <w:t> </w:t>
      </w:r>
      <w:r>
        <w:rPr>
          <w:sz w:val="18"/>
          <w:vertAlign w:val="baseline"/>
        </w:rPr>
        <w:t>https://</w:t>
      </w:r>
      <w:hyperlink r:id="rId638">
        <w:r>
          <w:rPr>
            <w:sz w:val="18"/>
            <w:vertAlign w:val="baseline"/>
          </w:rPr>
          <w:t>www.mass.gov/news/governor-healey-signs-executive-order-creating-massachusetts-first-ever-climate-chief.</w:t>
        </w:r>
      </w:hyperlink>
    </w:p>
    <w:p>
      <w:pPr>
        <w:spacing w:before="10"/>
        <w:ind w:left="323" w:right="0" w:firstLine="0"/>
        <w:jc w:val="left"/>
        <w:rPr>
          <w:sz w:val="18"/>
        </w:rPr>
      </w:pPr>
      <w:r>
        <w:rPr>
          <w:sz w:val="18"/>
          <w:vertAlign w:val="superscript"/>
        </w:rPr>
        <w:t>61</w:t>
      </w:r>
      <w:r>
        <w:rPr>
          <w:spacing w:val="-12"/>
          <w:sz w:val="18"/>
          <w:vertAlign w:val="baseline"/>
        </w:rPr>
        <w:t> </w:t>
      </w:r>
      <w:r>
        <w:rPr>
          <w:sz w:val="18"/>
          <w:vertAlign w:val="baseline"/>
        </w:rPr>
        <w:t>Goldsmith</w:t>
      </w:r>
      <w:r>
        <w:rPr>
          <w:spacing w:val="-2"/>
          <w:sz w:val="18"/>
          <w:vertAlign w:val="baseline"/>
        </w:rPr>
        <w:t> </w:t>
      </w:r>
      <w:r>
        <w:rPr>
          <w:sz w:val="18"/>
          <w:vertAlign w:val="baseline"/>
        </w:rPr>
        <w:t>and</w:t>
      </w:r>
      <w:r>
        <w:rPr>
          <w:spacing w:val="-1"/>
          <w:sz w:val="18"/>
          <w:vertAlign w:val="baseline"/>
        </w:rPr>
        <w:t> </w:t>
      </w:r>
      <w:r>
        <w:rPr>
          <w:sz w:val="18"/>
          <w:vertAlign w:val="baseline"/>
        </w:rPr>
        <w:t>Bell,</w:t>
      </w:r>
      <w:r>
        <w:rPr>
          <w:spacing w:val="-2"/>
          <w:sz w:val="18"/>
          <w:vertAlign w:val="baseline"/>
        </w:rPr>
        <w:t> </w:t>
      </w:r>
      <w:r>
        <w:rPr>
          <w:sz w:val="18"/>
          <w:vertAlign w:val="baseline"/>
        </w:rPr>
        <w:t>“Queering</w:t>
      </w:r>
      <w:r>
        <w:rPr>
          <w:spacing w:val="-1"/>
          <w:sz w:val="18"/>
          <w:vertAlign w:val="baseline"/>
        </w:rPr>
        <w:t> </w:t>
      </w:r>
      <w:r>
        <w:rPr>
          <w:sz w:val="18"/>
          <w:vertAlign w:val="baseline"/>
        </w:rPr>
        <w:t>Environmental</w:t>
      </w:r>
      <w:r>
        <w:rPr>
          <w:spacing w:val="-2"/>
          <w:sz w:val="18"/>
          <w:vertAlign w:val="baseline"/>
        </w:rPr>
        <w:t> Justice.”</w:t>
      </w:r>
    </w:p>
    <w:p>
      <w:pPr>
        <w:spacing w:line="247" w:lineRule="auto" w:before="26"/>
        <w:ind w:left="323" w:right="0" w:hanging="1"/>
        <w:jc w:val="left"/>
        <w:rPr>
          <w:sz w:val="18"/>
        </w:rPr>
      </w:pPr>
      <w:r>
        <w:rPr>
          <w:sz w:val="18"/>
          <w:vertAlign w:val="superscript"/>
        </w:rPr>
        <w:t>62</w:t>
      </w:r>
      <w:r>
        <w:rPr>
          <w:spacing w:val="-12"/>
          <w:sz w:val="18"/>
          <w:vertAlign w:val="baseline"/>
        </w:rPr>
        <w:t> </w:t>
      </w:r>
      <w:r>
        <w:rPr>
          <w:sz w:val="18"/>
          <w:vertAlign w:val="baseline"/>
        </w:rPr>
        <w:t>American</w:t>
      </w:r>
      <w:r>
        <w:rPr>
          <w:spacing w:val="-3"/>
          <w:sz w:val="18"/>
          <w:vertAlign w:val="baseline"/>
        </w:rPr>
        <w:t> </w:t>
      </w:r>
      <w:r>
        <w:rPr>
          <w:sz w:val="18"/>
          <w:vertAlign w:val="baseline"/>
        </w:rPr>
        <w:t>Psychological</w:t>
      </w:r>
      <w:r>
        <w:rPr>
          <w:spacing w:val="-3"/>
          <w:sz w:val="18"/>
          <w:vertAlign w:val="baseline"/>
        </w:rPr>
        <w:t> </w:t>
      </w:r>
      <w:r>
        <w:rPr>
          <w:sz w:val="18"/>
          <w:vertAlign w:val="baseline"/>
        </w:rPr>
        <w:t>Association</w:t>
      </w:r>
      <w:r>
        <w:rPr>
          <w:spacing w:val="-2"/>
          <w:sz w:val="18"/>
          <w:vertAlign w:val="baseline"/>
        </w:rPr>
        <w:t> </w:t>
      </w:r>
      <w:r>
        <w:rPr>
          <w:sz w:val="18"/>
          <w:vertAlign w:val="baseline"/>
        </w:rPr>
        <w:t>and</w:t>
      </w:r>
      <w:r>
        <w:rPr>
          <w:spacing w:val="-2"/>
          <w:sz w:val="18"/>
          <w:vertAlign w:val="baseline"/>
        </w:rPr>
        <w:t> </w:t>
      </w:r>
      <w:r>
        <w:rPr>
          <w:sz w:val="18"/>
          <w:vertAlign w:val="baseline"/>
        </w:rPr>
        <w:t>ecoAmerica,</w:t>
      </w:r>
      <w:r>
        <w:rPr>
          <w:spacing w:val="-3"/>
          <w:sz w:val="18"/>
          <w:vertAlign w:val="baseline"/>
        </w:rPr>
        <w:t> </w:t>
      </w:r>
      <w:r>
        <w:rPr>
          <w:sz w:val="18"/>
          <w:vertAlign w:val="baseline"/>
        </w:rPr>
        <w:t>“Mental</w:t>
      </w:r>
      <w:r>
        <w:rPr>
          <w:spacing w:val="-2"/>
          <w:sz w:val="18"/>
          <w:vertAlign w:val="baseline"/>
        </w:rPr>
        <w:t> </w:t>
      </w:r>
      <w:r>
        <w:rPr>
          <w:sz w:val="18"/>
          <w:vertAlign w:val="baseline"/>
        </w:rPr>
        <w:t>Health</w:t>
      </w:r>
      <w:r>
        <w:rPr>
          <w:spacing w:val="-2"/>
          <w:sz w:val="18"/>
          <w:vertAlign w:val="baseline"/>
        </w:rPr>
        <w:t> </w:t>
      </w:r>
      <w:r>
        <w:rPr>
          <w:sz w:val="18"/>
          <w:vertAlign w:val="baseline"/>
        </w:rPr>
        <w:t>and</w:t>
      </w:r>
      <w:r>
        <w:rPr>
          <w:spacing w:val="-2"/>
          <w:sz w:val="18"/>
          <w:vertAlign w:val="baseline"/>
        </w:rPr>
        <w:t> </w:t>
      </w:r>
      <w:r>
        <w:rPr>
          <w:sz w:val="18"/>
          <w:vertAlign w:val="baseline"/>
        </w:rPr>
        <w:t>Our</w:t>
      </w:r>
      <w:r>
        <w:rPr>
          <w:spacing w:val="-3"/>
          <w:sz w:val="18"/>
          <w:vertAlign w:val="baseline"/>
        </w:rPr>
        <w:t> </w:t>
      </w:r>
      <w:r>
        <w:rPr>
          <w:sz w:val="18"/>
          <w:vertAlign w:val="baseline"/>
        </w:rPr>
        <w:t>Changing</w:t>
      </w:r>
      <w:r>
        <w:rPr>
          <w:spacing w:val="-2"/>
          <w:sz w:val="18"/>
          <w:vertAlign w:val="baseline"/>
        </w:rPr>
        <w:t> </w:t>
      </w:r>
      <w:r>
        <w:rPr>
          <w:sz w:val="18"/>
          <w:vertAlign w:val="baseline"/>
        </w:rPr>
        <w:t>Climate:</w:t>
      </w:r>
      <w:r>
        <w:rPr>
          <w:spacing w:val="-2"/>
          <w:sz w:val="18"/>
          <w:vertAlign w:val="baseline"/>
        </w:rPr>
        <w:t> </w:t>
      </w:r>
      <w:r>
        <w:rPr>
          <w:sz w:val="18"/>
          <w:vertAlign w:val="baseline"/>
        </w:rPr>
        <w:t>Impacts,</w:t>
      </w:r>
      <w:r>
        <w:rPr>
          <w:spacing w:val="-3"/>
          <w:sz w:val="18"/>
          <w:vertAlign w:val="baseline"/>
        </w:rPr>
        <w:t> </w:t>
      </w:r>
      <w:r>
        <w:rPr>
          <w:sz w:val="18"/>
          <w:vertAlign w:val="baseline"/>
        </w:rPr>
        <w:t>Implications,</w:t>
      </w:r>
      <w:r>
        <w:rPr>
          <w:spacing w:val="-3"/>
          <w:sz w:val="18"/>
          <w:vertAlign w:val="baseline"/>
        </w:rPr>
        <w:t> </w:t>
      </w:r>
      <w:r>
        <w:rPr>
          <w:sz w:val="18"/>
          <w:vertAlign w:val="baseline"/>
        </w:rPr>
        <w:t>and Guidance: (503122017-001)” (American Psychological Association, 2017), https://doi.org/10.1037/e503122017-001.</w:t>
      </w:r>
    </w:p>
    <w:p>
      <w:pPr>
        <w:spacing w:line="247" w:lineRule="auto" w:before="10"/>
        <w:ind w:left="323" w:right="74" w:hanging="1"/>
        <w:jc w:val="left"/>
        <w:rPr>
          <w:sz w:val="18"/>
        </w:rPr>
      </w:pPr>
      <w:r>
        <w:rPr>
          <w:sz w:val="18"/>
          <w:vertAlign w:val="superscript"/>
        </w:rPr>
        <w:t>63</w:t>
      </w:r>
      <w:r>
        <w:rPr>
          <w:spacing w:val="-12"/>
          <w:sz w:val="18"/>
          <w:vertAlign w:val="baseline"/>
        </w:rPr>
        <w:t> </w:t>
      </w:r>
      <w:r>
        <w:rPr>
          <w:sz w:val="18"/>
          <w:vertAlign w:val="baseline"/>
        </w:rPr>
        <w:t>Leo</w:t>
      </w:r>
      <w:r>
        <w:rPr>
          <w:spacing w:val="-3"/>
          <w:sz w:val="18"/>
          <w:vertAlign w:val="baseline"/>
        </w:rPr>
        <w:t> </w:t>
      </w:r>
      <w:r>
        <w:rPr>
          <w:sz w:val="18"/>
          <w:vertAlign w:val="baseline"/>
        </w:rPr>
        <w:t>Goldsmith,</w:t>
      </w:r>
      <w:r>
        <w:rPr>
          <w:spacing w:val="-3"/>
          <w:sz w:val="18"/>
          <w:vertAlign w:val="baseline"/>
        </w:rPr>
        <w:t> </w:t>
      </w:r>
      <w:r>
        <w:rPr>
          <w:sz w:val="18"/>
          <w:vertAlign w:val="baseline"/>
        </w:rPr>
        <w:t>Vanessa</w:t>
      </w:r>
      <w:r>
        <w:rPr>
          <w:spacing w:val="-2"/>
          <w:sz w:val="18"/>
          <w:vertAlign w:val="baseline"/>
        </w:rPr>
        <w:t> </w:t>
      </w:r>
      <w:r>
        <w:rPr>
          <w:sz w:val="18"/>
          <w:vertAlign w:val="baseline"/>
        </w:rPr>
        <w:t>Raditz,</w:t>
      </w:r>
      <w:r>
        <w:rPr>
          <w:spacing w:val="-3"/>
          <w:sz w:val="18"/>
          <w:vertAlign w:val="baseline"/>
        </w:rPr>
        <w:t> </w:t>
      </w:r>
      <w:r>
        <w:rPr>
          <w:sz w:val="18"/>
          <w:vertAlign w:val="baseline"/>
        </w:rPr>
        <w:t>and</w:t>
      </w:r>
      <w:r>
        <w:rPr>
          <w:spacing w:val="-2"/>
          <w:sz w:val="18"/>
          <w:vertAlign w:val="baseline"/>
        </w:rPr>
        <w:t> </w:t>
      </w:r>
      <w:r>
        <w:rPr>
          <w:sz w:val="18"/>
          <w:vertAlign w:val="baseline"/>
        </w:rPr>
        <w:t>Michael</w:t>
      </w:r>
      <w:r>
        <w:rPr>
          <w:spacing w:val="-3"/>
          <w:sz w:val="18"/>
          <w:vertAlign w:val="baseline"/>
        </w:rPr>
        <w:t> </w:t>
      </w:r>
      <w:r>
        <w:rPr>
          <w:sz w:val="18"/>
          <w:vertAlign w:val="baseline"/>
        </w:rPr>
        <w:t>Méndez,</w:t>
      </w:r>
      <w:r>
        <w:rPr>
          <w:spacing w:val="-3"/>
          <w:sz w:val="18"/>
          <w:vertAlign w:val="baseline"/>
        </w:rPr>
        <w:t> </w:t>
      </w:r>
      <w:r>
        <w:rPr>
          <w:sz w:val="18"/>
          <w:vertAlign w:val="baseline"/>
        </w:rPr>
        <w:t>“Queer</w:t>
      </w:r>
      <w:r>
        <w:rPr>
          <w:spacing w:val="-3"/>
          <w:sz w:val="18"/>
          <w:vertAlign w:val="baseline"/>
        </w:rPr>
        <w:t> </w:t>
      </w:r>
      <w:r>
        <w:rPr>
          <w:sz w:val="18"/>
          <w:vertAlign w:val="baseline"/>
        </w:rPr>
        <w:t>and</w:t>
      </w:r>
      <w:r>
        <w:rPr>
          <w:spacing w:val="-2"/>
          <w:sz w:val="18"/>
          <w:vertAlign w:val="baseline"/>
        </w:rPr>
        <w:t> </w:t>
      </w:r>
      <w:r>
        <w:rPr>
          <w:sz w:val="18"/>
          <w:vertAlign w:val="baseline"/>
        </w:rPr>
        <w:t>Present</w:t>
      </w:r>
      <w:r>
        <w:rPr>
          <w:spacing w:val="-3"/>
          <w:sz w:val="18"/>
          <w:vertAlign w:val="baseline"/>
        </w:rPr>
        <w:t> </w:t>
      </w:r>
      <w:r>
        <w:rPr>
          <w:sz w:val="18"/>
          <w:vertAlign w:val="baseline"/>
        </w:rPr>
        <w:t>Danger:</w:t>
      </w:r>
      <w:r>
        <w:rPr>
          <w:spacing w:val="-2"/>
          <w:sz w:val="18"/>
          <w:vertAlign w:val="baseline"/>
        </w:rPr>
        <w:t> </w:t>
      </w:r>
      <w:r>
        <w:rPr>
          <w:sz w:val="18"/>
          <w:vertAlign w:val="baseline"/>
        </w:rPr>
        <w:t>Understanding</w:t>
      </w:r>
      <w:r>
        <w:rPr>
          <w:spacing w:val="-2"/>
          <w:sz w:val="18"/>
          <w:vertAlign w:val="baseline"/>
        </w:rPr>
        <w:t> </w:t>
      </w:r>
      <w:r>
        <w:rPr>
          <w:sz w:val="18"/>
          <w:vertAlign w:val="baseline"/>
        </w:rPr>
        <w:t>the</w:t>
      </w:r>
      <w:r>
        <w:rPr>
          <w:spacing w:val="-2"/>
          <w:sz w:val="18"/>
          <w:vertAlign w:val="baseline"/>
        </w:rPr>
        <w:t> </w:t>
      </w:r>
      <w:r>
        <w:rPr>
          <w:sz w:val="18"/>
          <w:vertAlign w:val="baseline"/>
        </w:rPr>
        <w:t>Disparate</w:t>
      </w:r>
      <w:r>
        <w:rPr>
          <w:spacing w:val="-2"/>
          <w:sz w:val="18"/>
          <w:vertAlign w:val="baseline"/>
        </w:rPr>
        <w:t> </w:t>
      </w:r>
      <w:r>
        <w:rPr>
          <w:sz w:val="18"/>
          <w:vertAlign w:val="baseline"/>
        </w:rPr>
        <w:t>Impacts</w:t>
      </w:r>
      <w:r>
        <w:rPr>
          <w:spacing w:val="-2"/>
          <w:sz w:val="18"/>
          <w:vertAlign w:val="baseline"/>
        </w:rPr>
        <w:t> </w:t>
      </w:r>
      <w:r>
        <w:rPr>
          <w:sz w:val="18"/>
          <w:vertAlign w:val="baseline"/>
        </w:rPr>
        <w:t>of Disasters on LGBTQ+ Communities,” </w:t>
      </w:r>
      <w:r>
        <w:rPr>
          <w:i/>
          <w:sz w:val="18"/>
          <w:vertAlign w:val="baseline"/>
        </w:rPr>
        <w:t>Disasters </w:t>
      </w:r>
      <w:r>
        <w:rPr>
          <w:sz w:val="18"/>
          <w:vertAlign w:val="baseline"/>
        </w:rPr>
        <w:t>46, no. 4 (2022): 946–73, https://doi.org/10.1111/disa.12509.</w:t>
      </w:r>
    </w:p>
    <w:p>
      <w:pPr>
        <w:spacing w:line="244" w:lineRule="auto" w:before="12"/>
        <w:ind w:left="323" w:right="74" w:hanging="1"/>
        <w:jc w:val="left"/>
        <w:rPr>
          <w:sz w:val="18"/>
        </w:rPr>
      </w:pPr>
      <w:r>
        <w:rPr>
          <w:sz w:val="18"/>
          <w:vertAlign w:val="superscript"/>
        </w:rPr>
        <w:t>64</w:t>
      </w:r>
      <w:r>
        <w:rPr>
          <w:spacing w:val="-12"/>
          <w:sz w:val="18"/>
          <w:vertAlign w:val="baseline"/>
        </w:rPr>
        <w:t> </w:t>
      </w:r>
      <w:r>
        <w:rPr>
          <w:sz w:val="18"/>
          <w:vertAlign w:val="baseline"/>
        </w:rPr>
        <w:t>Dale</w:t>
      </w:r>
      <w:r>
        <w:rPr>
          <w:spacing w:val="-2"/>
          <w:sz w:val="18"/>
          <w:vertAlign w:val="baseline"/>
        </w:rPr>
        <w:t> </w:t>
      </w:r>
      <w:r>
        <w:rPr>
          <w:sz w:val="18"/>
          <w:vertAlign w:val="baseline"/>
        </w:rPr>
        <w:t>Dominey-Howes,</w:t>
      </w:r>
      <w:r>
        <w:rPr>
          <w:spacing w:val="-3"/>
          <w:sz w:val="18"/>
          <w:vertAlign w:val="baseline"/>
        </w:rPr>
        <w:t> </w:t>
      </w:r>
      <w:r>
        <w:rPr>
          <w:sz w:val="18"/>
          <w:vertAlign w:val="baseline"/>
        </w:rPr>
        <w:t>Andrew</w:t>
      </w:r>
      <w:r>
        <w:rPr>
          <w:spacing w:val="-3"/>
          <w:sz w:val="18"/>
          <w:vertAlign w:val="baseline"/>
        </w:rPr>
        <w:t> </w:t>
      </w:r>
      <w:r>
        <w:rPr>
          <w:sz w:val="18"/>
          <w:vertAlign w:val="baseline"/>
        </w:rPr>
        <w:t>Gorman-Murray,</w:t>
      </w:r>
      <w:r>
        <w:rPr>
          <w:spacing w:val="-3"/>
          <w:sz w:val="18"/>
          <w:vertAlign w:val="baseline"/>
        </w:rPr>
        <w:t> </w:t>
      </w:r>
      <w:r>
        <w:rPr>
          <w:sz w:val="18"/>
          <w:vertAlign w:val="baseline"/>
        </w:rPr>
        <w:t>and</w:t>
      </w:r>
      <w:r>
        <w:rPr>
          <w:spacing w:val="-2"/>
          <w:sz w:val="18"/>
          <w:vertAlign w:val="baseline"/>
        </w:rPr>
        <w:t> </w:t>
      </w:r>
      <w:r>
        <w:rPr>
          <w:sz w:val="18"/>
          <w:vertAlign w:val="baseline"/>
        </w:rPr>
        <w:t>Scott</w:t>
      </w:r>
      <w:r>
        <w:rPr>
          <w:spacing w:val="-3"/>
          <w:sz w:val="18"/>
          <w:vertAlign w:val="baseline"/>
        </w:rPr>
        <w:t> </w:t>
      </w:r>
      <w:r>
        <w:rPr>
          <w:sz w:val="18"/>
          <w:vertAlign w:val="baseline"/>
        </w:rPr>
        <w:t>McKinnon,</w:t>
      </w:r>
      <w:r>
        <w:rPr>
          <w:spacing w:val="-3"/>
          <w:sz w:val="18"/>
          <w:vertAlign w:val="baseline"/>
        </w:rPr>
        <w:t> </w:t>
      </w:r>
      <w:r>
        <w:rPr>
          <w:sz w:val="18"/>
          <w:vertAlign w:val="baseline"/>
        </w:rPr>
        <w:t>“Queering</w:t>
      </w:r>
      <w:r>
        <w:rPr>
          <w:spacing w:val="-2"/>
          <w:sz w:val="18"/>
          <w:vertAlign w:val="baseline"/>
        </w:rPr>
        <w:t> </w:t>
      </w:r>
      <w:r>
        <w:rPr>
          <w:sz w:val="18"/>
          <w:vertAlign w:val="baseline"/>
        </w:rPr>
        <w:t>Disasters:</w:t>
      </w:r>
      <w:r>
        <w:rPr>
          <w:spacing w:val="-2"/>
          <w:sz w:val="18"/>
          <w:vertAlign w:val="baseline"/>
        </w:rPr>
        <w:t> </w:t>
      </w:r>
      <w:r>
        <w:rPr>
          <w:sz w:val="18"/>
          <w:vertAlign w:val="baseline"/>
        </w:rPr>
        <w:t>On</w:t>
      </w:r>
      <w:r>
        <w:rPr>
          <w:spacing w:val="-2"/>
          <w:sz w:val="18"/>
          <w:vertAlign w:val="baseline"/>
        </w:rPr>
        <w:t> </w:t>
      </w:r>
      <w:r>
        <w:rPr>
          <w:sz w:val="18"/>
          <w:vertAlign w:val="baseline"/>
        </w:rPr>
        <w:t>the</w:t>
      </w:r>
      <w:r>
        <w:rPr>
          <w:spacing w:val="-2"/>
          <w:sz w:val="18"/>
          <w:vertAlign w:val="baseline"/>
        </w:rPr>
        <w:t> </w:t>
      </w:r>
      <w:r>
        <w:rPr>
          <w:sz w:val="18"/>
          <w:vertAlign w:val="baseline"/>
        </w:rPr>
        <w:t>Need</w:t>
      </w:r>
      <w:r>
        <w:rPr>
          <w:spacing w:val="-2"/>
          <w:sz w:val="18"/>
          <w:vertAlign w:val="baseline"/>
        </w:rPr>
        <w:t> </w:t>
      </w:r>
      <w:r>
        <w:rPr>
          <w:sz w:val="18"/>
          <w:vertAlign w:val="baseline"/>
        </w:rPr>
        <w:t>to</w:t>
      </w:r>
      <w:r>
        <w:rPr>
          <w:spacing w:val="-2"/>
          <w:sz w:val="18"/>
          <w:vertAlign w:val="baseline"/>
        </w:rPr>
        <w:t> </w:t>
      </w:r>
      <w:r>
        <w:rPr>
          <w:sz w:val="18"/>
          <w:vertAlign w:val="baseline"/>
        </w:rPr>
        <w:t>Account</w:t>
      </w:r>
      <w:r>
        <w:rPr>
          <w:spacing w:val="-3"/>
          <w:sz w:val="18"/>
          <w:vertAlign w:val="baseline"/>
        </w:rPr>
        <w:t> </w:t>
      </w:r>
      <w:r>
        <w:rPr>
          <w:sz w:val="18"/>
          <w:vertAlign w:val="baseline"/>
        </w:rPr>
        <w:t>for</w:t>
      </w:r>
      <w:r>
        <w:rPr>
          <w:spacing w:val="-3"/>
          <w:sz w:val="18"/>
          <w:vertAlign w:val="baseline"/>
        </w:rPr>
        <w:t> </w:t>
      </w:r>
      <w:r>
        <w:rPr>
          <w:sz w:val="18"/>
          <w:vertAlign w:val="baseline"/>
        </w:rPr>
        <w:t>LGBTI Experiences in Natural Disaster Contexts,” </w:t>
      </w:r>
      <w:r>
        <w:rPr>
          <w:i/>
          <w:sz w:val="18"/>
          <w:vertAlign w:val="baseline"/>
        </w:rPr>
        <w:t>Gender, Place &amp; Culture </w:t>
      </w:r>
      <w:r>
        <w:rPr>
          <w:sz w:val="18"/>
          <w:vertAlign w:val="baseline"/>
        </w:rPr>
        <w:t>21, no. 7 (August 9, 2014): 905–18, </w:t>
      </w:r>
      <w:r>
        <w:rPr>
          <w:spacing w:val="-2"/>
          <w:sz w:val="18"/>
          <w:vertAlign w:val="baseline"/>
        </w:rPr>
        <w:t>https://doi.org/10.1080/0966369X.2013.802673.</w:t>
      </w:r>
    </w:p>
    <w:p>
      <w:pPr>
        <w:spacing w:before="12"/>
        <w:ind w:left="323" w:right="0" w:firstLine="0"/>
        <w:jc w:val="left"/>
        <w:rPr>
          <w:sz w:val="18"/>
        </w:rPr>
      </w:pPr>
      <w:r>
        <w:rPr>
          <w:sz w:val="18"/>
          <w:vertAlign w:val="superscript"/>
        </w:rPr>
        <w:t>65</w:t>
      </w:r>
      <w:r>
        <w:rPr>
          <w:spacing w:val="-12"/>
          <w:sz w:val="18"/>
          <w:vertAlign w:val="baseline"/>
        </w:rPr>
        <w:t> </w:t>
      </w:r>
      <w:r>
        <w:rPr>
          <w:sz w:val="18"/>
          <w:vertAlign w:val="baseline"/>
        </w:rPr>
        <w:t>Goldsmith,</w:t>
      </w:r>
      <w:r>
        <w:rPr>
          <w:spacing w:val="-2"/>
          <w:sz w:val="18"/>
          <w:vertAlign w:val="baseline"/>
        </w:rPr>
        <w:t> </w:t>
      </w:r>
      <w:r>
        <w:rPr>
          <w:sz w:val="18"/>
          <w:vertAlign w:val="baseline"/>
        </w:rPr>
        <w:t>Raditz,</w:t>
      </w:r>
      <w:r>
        <w:rPr>
          <w:spacing w:val="-1"/>
          <w:sz w:val="18"/>
          <w:vertAlign w:val="baseline"/>
        </w:rPr>
        <w:t> </w:t>
      </w:r>
      <w:r>
        <w:rPr>
          <w:sz w:val="18"/>
          <w:vertAlign w:val="baseline"/>
        </w:rPr>
        <w:t>and Méndez,</w:t>
      </w:r>
      <w:r>
        <w:rPr>
          <w:spacing w:val="-1"/>
          <w:sz w:val="18"/>
          <w:vertAlign w:val="baseline"/>
        </w:rPr>
        <w:t> </w:t>
      </w:r>
      <w:r>
        <w:rPr>
          <w:sz w:val="18"/>
          <w:vertAlign w:val="baseline"/>
        </w:rPr>
        <w:t>“Queer</w:t>
      </w:r>
      <w:r>
        <w:rPr>
          <w:spacing w:val="-2"/>
          <w:sz w:val="18"/>
          <w:vertAlign w:val="baseline"/>
        </w:rPr>
        <w:t> </w:t>
      </w:r>
      <w:r>
        <w:rPr>
          <w:sz w:val="18"/>
          <w:vertAlign w:val="baseline"/>
        </w:rPr>
        <w:t>and</w:t>
      </w:r>
      <w:r>
        <w:rPr>
          <w:spacing w:val="-1"/>
          <w:sz w:val="18"/>
          <w:vertAlign w:val="baseline"/>
        </w:rPr>
        <w:t> </w:t>
      </w:r>
      <w:r>
        <w:rPr>
          <w:sz w:val="18"/>
          <w:vertAlign w:val="baseline"/>
        </w:rPr>
        <w:t>Present</w:t>
      </w:r>
      <w:r>
        <w:rPr>
          <w:spacing w:val="-1"/>
          <w:sz w:val="18"/>
          <w:vertAlign w:val="baseline"/>
        </w:rPr>
        <w:t> </w:t>
      </w:r>
      <w:r>
        <w:rPr>
          <w:spacing w:val="-2"/>
          <w:sz w:val="18"/>
          <w:vertAlign w:val="baseline"/>
        </w:rPr>
        <w:t>Danger.”</w:t>
      </w:r>
    </w:p>
    <w:p>
      <w:pPr>
        <w:spacing w:line="247" w:lineRule="auto" w:before="23"/>
        <w:ind w:left="323" w:right="1561" w:firstLine="0"/>
        <w:jc w:val="left"/>
        <w:rPr>
          <w:sz w:val="18"/>
        </w:rPr>
      </w:pPr>
      <w:r>
        <w:rPr>
          <w:sz w:val="18"/>
          <w:vertAlign w:val="superscript"/>
        </w:rPr>
        <w:t>66</w:t>
      </w:r>
      <w:r>
        <w:rPr>
          <w:spacing w:val="-1"/>
          <w:sz w:val="18"/>
          <w:vertAlign w:val="baseline"/>
        </w:rPr>
        <w:t> </w:t>
      </w:r>
      <w:r>
        <w:rPr>
          <w:sz w:val="18"/>
          <w:vertAlign w:val="baseline"/>
        </w:rPr>
        <w:t>“Transgender Evacuee Survives All Obstacles,” accessed March 14, 2023, </w:t>
      </w:r>
      <w:r>
        <w:rPr>
          <w:spacing w:val="-2"/>
          <w:sz w:val="18"/>
          <w:vertAlign w:val="baseline"/>
        </w:rPr>
        <w:t>https://</w:t>
      </w:r>
      <w:hyperlink r:id="rId639">
        <w:r>
          <w:rPr>
            <w:spacing w:val="-2"/>
            <w:sz w:val="18"/>
            <w:vertAlign w:val="baseline"/>
          </w:rPr>
          <w:t>www.chron.com/news/hurricanes/article/Transgender-evacuee-survives-all-obstacles-1931933.php.</w:t>
        </w:r>
      </w:hyperlink>
    </w:p>
    <w:p>
      <w:pPr>
        <w:spacing w:before="12"/>
        <w:ind w:left="323" w:right="0" w:firstLine="0"/>
        <w:jc w:val="left"/>
        <w:rPr>
          <w:sz w:val="18"/>
        </w:rPr>
      </w:pPr>
      <w:r>
        <w:rPr>
          <w:sz w:val="18"/>
          <w:vertAlign w:val="superscript"/>
        </w:rPr>
        <w:t>67</w:t>
      </w:r>
      <w:r>
        <w:rPr>
          <w:spacing w:val="-12"/>
          <w:sz w:val="18"/>
          <w:vertAlign w:val="baseline"/>
        </w:rPr>
        <w:t> </w:t>
      </w:r>
      <w:r>
        <w:rPr>
          <w:sz w:val="18"/>
          <w:vertAlign w:val="baseline"/>
        </w:rPr>
        <w:t>Goldsmith,</w:t>
      </w:r>
      <w:r>
        <w:rPr>
          <w:spacing w:val="-2"/>
          <w:sz w:val="18"/>
          <w:vertAlign w:val="baseline"/>
        </w:rPr>
        <w:t> </w:t>
      </w:r>
      <w:r>
        <w:rPr>
          <w:sz w:val="18"/>
          <w:vertAlign w:val="baseline"/>
        </w:rPr>
        <w:t>Raditz,</w:t>
      </w:r>
      <w:r>
        <w:rPr>
          <w:spacing w:val="-1"/>
          <w:sz w:val="18"/>
          <w:vertAlign w:val="baseline"/>
        </w:rPr>
        <w:t> </w:t>
      </w:r>
      <w:r>
        <w:rPr>
          <w:sz w:val="18"/>
          <w:vertAlign w:val="baseline"/>
        </w:rPr>
        <w:t>and Méndez,</w:t>
      </w:r>
      <w:r>
        <w:rPr>
          <w:spacing w:val="-1"/>
          <w:sz w:val="18"/>
          <w:vertAlign w:val="baseline"/>
        </w:rPr>
        <w:t> </w:t>
      </w:r>
      <w:r>
        <w:rPr>
          <w:sz w:val="18"/>
          <w:vertAlign w:val="baseline"/>
        </w:rPr>
        <w:t>“Queer</w:t>
      </w:r>
      <w:r>
        <w:rPr>
          <w:spacing w:val="-2"/>
          <w:sz w:val="18"/>
          <w:vertAlign w:val="baseline"/>
        </w:rPr>
        <w:t> </w:t>
      </w:r>
      <w:r>
        <w:rPr>
          <w:sz w:val="18"/>
          <w:vertAlign w:val="baseline"/>
        </w:rPr>
        <w:t>and</w:t>
      </w:r>
      <w:r>
        <w:rPr>
          <w:spacing w:val="-1"/>
          <w:sz w:val="18"/>
          <w:vertAlign w:val="baseline"/>
        </w:rPr>
        <w:t> </w:t>
      </w:r>
      <w:r>
        <w:rPr>
          <w:sz w:val="18"/>
          <w:vertAlign w:val="baseline"/>
        </w:rPr>
        <w:t>Present</w:t>
      </w:r>
      <w:r>
        <w:rPr>
          <w:spacing w:val="-1"/>
          <w:sz w:val="18"/>
          <w:vertAlign w:val="baseline"/>
        </w:rPr>
        <w:t> </w:t>
      </w:r>
      <w:r>
        <w:rPr>
          <w:spacing w:val="-2"/>
          <w:sz w:val="18"/>
          <w:vertAlign w:val="baseline"/>
        </w:rPr>
        <w:t>Danger.”</w:t>
      </w:r>
    </w:p>
    <w:p>
      <w:pPr>
        <w:spacing w:line="247" w:lineRule="auto" w:before="24"/>
        <w:ind w:left="323" w:right="393" w:hanging="1"/>
        <w:jc w:val="left"/>
        <w:rPr>
          <w:sz w:val="18"/>
        </w:rPr>
      </w:pPr>
      <w:r>
        <w:rPr>
          <w:sz w:val="18"/>
          <w:vertAlign w:val="superscript"/>
        </w:rPr>
        <w:t>68</w:t>
      </w:r>
      <w:r>
        <w:rPr>
          <w:spacing w:val="-12"/>
          <w:sz w:val="18"/>
          <w:vertAlign w:val="baseline"/>
        </w:rPr>
        <w:t> </w:t>
      </w:r>
      <w:r>
        <w:rPr>
          <w:sz w:val="18"/>
          <w:vertAlign w:val="baseline"/>
        </w:rPr>
        <w:t>Human</w:t>
      </w:r>
      <w:r>
        <w:rPr>
          <w:spacing w:val="-3"/>
          <w:sz w:val="18"/>
          <w:vertAlign w:val="baseline"/>
        </w:rPr>
        <w:t> </w:t>
      </w:r>
      <w:r>
        <w:rPr>
          <w:sz w:val="18"/>
          <w:vertAlign w:val="baseline"/>
        </w:rPr>
        <w:t>Rights</w:t>
      </w:r>
      <w:r>
        <w:rPr>
          <w:spacing w:val="-2"/>
          <w:sz w:val="18"/>
          <w:vertAlign w:val="baseline"/>
        </w:rPr>
        <w:t> </w:t>
      </w:r>
      <w:r>
        <w:rPr>
          <w:sz w:val="18"/>
          <w:vertAlign w:val="baseline"/>
        </w:rPr>
        <w:t>Campaign,</w:t>
      </w:r>
      <w:r>
        <w:rPr>
          <w:spacing w:val="-3"/>
          <w:sz w:val="18"/>
          <w:vertAlign w:val="baseline"/>
        </w:rPr>
        <w:t> </w:t>
      </w:r>
      <w:r>
        <w:rPr>
          <w:sz w:val="18"/>
          <w:vertAlign w:val="baseline"/>
        </w:rPr>
        <w:t>“Working</w:t>
      </w:r>
      <w:r>
        <w:rPr>
          <w:spacing w:val="-2"/>
          <w:sz w:val="18"/>
          <w:vertAlign w:val="baseline"/>
        </w:rPr>
        <w:t> </w:t>
      </w:r>
      <w:r>
        <w:rPr>
          <w:sz w:val="18"/>
          <w:vertAlign w:val="baseline"/>
        </w:rPr>
        <w:t>with</w:t>
      </w:r>
      <w:r>
        <w:rPr>
          <w:spacing w:val="-2"/>
          <w:sz w:val="18"/>
          <w:vertAlign w:val="baseline"/>
        </w:rPr>
        <w:t> </w:t>
      </w:r>
      <w:r>
        <w:rPr>
          <w:sz w:val="18"/>
          <w:vertAlign w:val="baseline"/>
        </w:rPr>
        <w:t>the</w:t>
      </w:r>
      <w:r>
        <w:rPr>
          <w:spacing w:val="-2"/>
          <w:sz w:val="18"/>
          <w:vertAlign w:val="baseline"/>
        </w:rPr>
        <w:t> </w:t>
      </w:r>
      <w:r>
        <w:rPr>
          <w:sz w:val="18"/>
          <w:vertAlign w:val="baseline"/>
        </w:rPr>
        <w:t>LGBTQ</w:t>
      </w:r>
      <w:r>
        <w:rPr>
          <w:spacing w:val="-2"/>
          <w:sz w:val="18"/>
          <w:vertAlign w:val="baseline"/>
        </w:rPr>
        <w:t> </w:t>
      </w:r>
      <w:r>
        <w:rPr>
          <w:sz w:val="18"/>
          <w:vertAlign w:val="baseline"/>
        </w:rPr>
        <w:t>Community:</w:t>
      </w:r>
      <w:r>
        <w:rPr>
          <w:spacing w:val="-2"/>
          <w:sz w:val="18"/>
          <w:vertAlign w:val="baseline"/>
        </w:rPr>
        <w:t> </w:t>
      </w:r>
      <w:r>
        <w:rPr>
          <w:sz w:val="18"/>
          <w:vertAlign w:val="baseline"/>
        </w:rPr>
        <w:t>A</w:t>
      </w:r>
      <w:r>
        <w:rPr>
          <w:spacing w:val="-2"/>
          <w:sz w:val="18"/>
          <w:vertAlign w:val="baseline"/>
        </w:rPr>
        <w:t> </w:t>
      </w:r>
      <w:r>
        <w:rPr>
          <w:sz w:val="18"/>
          <w:vertAlign w:val="baseline"/>
        </w:rPr>
        <w:t>Cultural</w:t>
      </w:r>
      <w:r>
        <w:rPr>
          <w:spacing w:val="-3"/>
          <w:sz w:val="18"/>
          <w:vertAlign w:val="baseline"/>
        </w:rPr>
        <w:t> </w:t>
      </w:r>
      <w:r>
        <w:rPr>
          <w:sz w:val="18"/>
          <w:vertAlign w:val="baseline"/>
        </w:rPr>
        <w:t>Competence</w:t>
      </w:r>
      <w:r>
        <w:rPr>
          <w:spacing w:val="-2"/>
          <w:sz w:val="18"/>
          <w:vertAlign w:val="baseline"/>
        </w:rPr>
        <w:t> </w:t>
      </w:r>
      <w:r>
        <w:rPr>
          <w:sz w:val="18"/>
          <w:vertAlign w:val="baseline"/>
        </w:rPr>
        <w:t>Guide</w:t>
      </w:r>
      <w:r>
        <w:rPr>
          <w:spacing w:val="-2"/>
          <w:sz w:val="18"/>
          <w:vertAlign w:val="baseline"/>
        </w:rPr>
        <w:t> </w:t>
      </w:r>
      <w:r>
        <w:rPr>
          <w:sz w:val="18"/>
          <w:vertAlign w:val="baseline"/>
        </w:rPr>
        <w:t>for</w:t>
      </w:r>
      <w:r>
        <w:rPr>
          <w:spacing w:val="-3"/>
          <w:sz w:val="18"/>
          <w:vertAlign w:val="baseline"/>
        </w:rPr>
        <w:t> </w:t>
      </w:r>
      <w:r>
        <w:rPr>
          <w:sz w:val="18"/>
          <w:vertAlign w:val="baseline"/>
        </w:rPr>
        <w:t>Emergency</w:t>
      </w:r>
      <w:r>
        <w:rPr>
          <w:spacing w:val="-2"/>
          <w:sz w:val="18"/>
          <w:vertAlign w:val="baseline"/>
        </w:rPr>
        <w:t> </w:t>
      </w:r>
      <w:r>
        <w:rPr>
          <w:sz w:val="18"/>
          <w:vertAlign w:val="baseline"/>
        </w:rPr>
        <w:t>Responders and Volunteers,” 2012, https://assets2.hrc.org/files/assets/resources/EmergencyResponders_-_LGBT_Competency.pdf.</w:t>
      </w:r>
    </w:p>
    <w:p>
      <w:pPr>
        <w:spacing w:after="0" w:line="247" w:lineRule="auto"/>
        <w:jc w:val="left"/>
        <w:rPr>
          <w:sz w:val="18"/>
        </w:rPr>
        <w:sectPr>
          <w:pgSz w:w="12240" w:h="15840"/>
          <w:pgMar w:header="800" w:footer="1459" w:top="1300" w:bottom="1720" w:left="1120" w:right="1300"/>
        </w:sectPr>
      </w:pPr>
    </w:p>
    <w:p>
      <w:pPr>
        <w:pStyle w:val="BodyText"/>
        <w:rPr>
          <w:sz w:val="34"/>
        </w:rPr>
      </w:pPr>
    </w:p>
    <w:p>
      <w:pPr>
        <w:pStyle w:val="BodyText"/>
        <w:spacing w:before="243"/>
        <w:rPr>
          <w:sz w:val="34"/>
        </w:rPr>
      </w:pPr>
    </w:p>
    <w:p>
      <w:pPr>
        <w:spacing w:before="1"/>
        <w:ind w:left="474" w:right="0" w:firstLine="0"/>
        <w:jc w:val="left"/>
        <w:rPr>
          <w:sz w:val="34"/>
        </w:rPr>
      </w:pPr>
      <w:bookmarkStart w:name="Flyer Template for Reports Gianna, Theo " w:id="829"/>
      <w:bookmarkEnd w:id="829"/>
      <w:r>
        <w:rPr/>
      </w:r>
      <w:r>
        <w:rPr>
          <w:color w:val="FFFFFF"/>
          <w:w w:val="120"/>
          <w:sz w:val="34"/>
        </w:rPr>
        <w:t>COMMISSION</w:t>
      </w:r>
      <w:r>
        <w:rPr>
          <w:color w:val="FFFFFF"/>
          <w:spacing w:val="17"/>
          <w:w w:val="120"/>
          <w:sz w:val="34"/>
        </w:rPr>
        <w:t> </w:t>
      </w:r>
      <w:r>
        <w:rPr>
          <w:color w:val="FFFFFF"/>
          <w:w w:val="120"/>
          <w:sz w:val="34"/>
        </w:rPr>
        <w:t>ON</w:t>
      </w:r>
      <w:r>
        <w:rPr>
          <w:color w:val="FFFFFF"/>
          <w:spacing w:val="17"/>
          <w:w w:val="120"/>
          <w:sz w:val="34"/>
        </w:rPr>
        <w:t> </w:t>
      </w:r>
      <w:r>
        <w:rPr>
          <w:color w:val="FFFFFF"/>
          <w:w w:val="120"/>
          <w:sz w:val="34"/>
        </w:rPr>
        <w:t>LGBTQ</w:t>
      </w:r>
      <w:r>
        <w:rPr>
          <w:color w:val="FFFFFF"/>
          <w:spacing w:val="17"/>
          <w:w w:val="120"/>
          <w:sz w:val="34"/>
        </w:rPr>
        <w:t> </w:t>
      </w:r>
      <w:r>
        <w:rPr>
          <w:color w:val="FFFFFF"/>
          <w:spacing w:val="-2"/>
          <w:w w:val="120"/>
          <w:sz w:val="34"/>
        </w:rPr>
        <w:t>YOUTH</w:t>
      </w:r>
    </w:p>
    <w:p>
      <w:pPr>
        <w:pStyle w:val="Heading5"/>
        <w:spacing w:line="213" w:lineRule="auto" w:before="139"/>
      </w:pPr>
      <w:r>
        <w:rPr>
          <w:color w:val="FFFFFF"/>
          <w:spacing w:val="-2"/>
          <w:w w:val="90"/>
        </w:rPr>
        <w:t>ENVIRONMENTAL </w:t>
      </w:r>
      <w:r>
        <w:rPr>
          <w:color w:val="FFFFFF"/>
          <w:spacing w:val="-26"/>
        </w:rPr>
        <w:t>JUSTICE</w:t>
      </w:r>
    </w:p>
    <w:p>
      <w:pPr>
        <w:pStyle w:val="BodyText"/>
        <w:rPr>
          <w:rFonts w:ascii="Verdana"/>
          <w:b/>
          <w:sz w:val="20"/>
        </w:rPr>
      </w:pPr>
    </w:p>
    <w:p>
      <w:pPr>
        <w:pStyle w:val="BodyText"/>
        <w:rPr>
          <w:rFonts w:ascii="Verdana"/>
          <w:b/>
          <w:sz w:val="20"/>
        </w:rPr>
      </w:pPr>
    </w:p>
    <w:p>
      <w:pPr>
        <w:pStyle w:val="BodyText"/>
        <w:rPr>
          <w:rFonts w:ascii="Verdana"/>
          <w:b/>
          <w:sz w:val="20"/>
        </w:rPr>
      </w:pPr>
    </w:p>
    <w:p>
      <w:pPr>
        <w:pStyle w:val="BodyText"/>
        <w:rPr>
          <w:rFonts w:ascii="Verdana"/>
          <w:b/>
          <w:sz w:val="20"/>
        </w:rPr>
      </w:pPr>
    </w:p>
    <w:p>
      <w:pPr>
        <w:pStyle w:val="BodyText"/>
        <w:spacing w:before="202"/>
        <w:rPr>
          <w:rFonts w:ascii="Verdana"/>
          <w:b/>
          <w:sz w:val="20"/>
        </w:rPr>
      </w:pPr>
    </w:p>
    <w:p>
      <w:pPr>
        <w:spacing w:after="0"/>
        <w:rPr>
          <w:rFonts w:ascii="Verdana"/>
          <w:sz w:val="20"/>
        </w:rPr>
        <w:sectPr>
          <w:headerReference w:type="default" r:id="rId640"/>
          <w:footerReference w:type="default" r:id="rId641"/>
          <w:pgSz w:w="12240" w:h="15840"/>
          <w:pgMar w:header="0" w:footer="0" w:top="0" w:bottom="280" w:left="1120" w:right="340"/>
        </w:sectPr>
      </w:pPr>
    </w:p>
    <w:p>
      <w:pPr>
        <w:pStyle w:val="Heading9"/>
        <w:ind w:left="123"/>
        <w:rPr>
          <w:i/>
        </w:rPr>
      </w:pPr>
      <w:r>
        <w:rPr>
          <w:i/>
          <w:spacing w:val="11"/>
          <w:w w:val="125"/>
        </w:rPr>
        <w:t>ABOUT</w:t>
      </w:r>
    </w:p>
    <w:p>
      <w:pPr>
        <w:spacing w:line="278" w:lineRule="auto" w:before="12"/>
        <w:ind w:left="123" w:right="38" w:firstLine="0"/>
        <w:jc w:val="both"/>
        <w:rPr>
          <w:rFonts w:ascii="Georgia"/>
          <w:sz w:val="19"/>
        </w:rPr>
      </w:pPr>
      <w:r>
        <w:rPr>
          <w:rFonts w:ascii="Georgia"/>
          <w:w w:val="105"/>
          <w:sz w:val="19"/>
        </w:rPr>
        <w:t>Environmental</w:t>
      </w:r>
      <w:r>
        <w:rPr>
          <w:rFonts w:ascii="Georgia"/>
          <w:w w:val="105"/>
          <w:sz w:val="19"/>
        </w:rPr>
        <w:t> justice</w:t>
      </w:r>
      <w:r>
        <w:rPr>
          <w:rFonts w:ascii="Georgia"/>
          <w:w w:val="105"/>
          <w:sz w:val="19"/>
        </w:rPr>
        <w:t> is</w:t>
      </w:r>
      <w:r>
        <w:rPr>
          <w:rFonts w:ascii="Georgia"/>
          <w:w w:val="105"/>
          <w:sz w:val="19"/>
        </w:rPr>
        <w:t> a</w:t>
      </w:r>
      <w:r>
        <w:rPr>
          <w:rFonts w:ascii="Georgia"/>
          <w:w w:val="105"/>
          <w:sz w:val="19"/>
        </w:rPr>
        <w:t> key</w:t>
      </w:r>
      <w:r>
        <w:rPr>
          <w:rFonts w:ascii="Georgia"/>
          <w:w w:val="105"/>
          <w:sz w:val="19"/>
        </w:rPr>
        <w:t> element</w:t>
      </w:r>
      <w:r>
        <w:rPr>
          <w:rFonts w:ascii="Georgia"/>
          <w:w w:val="105"/>
          <w:sz w:val="19"/>
        </w:rPr>
        <w:t> of</w:t>
      </w:r>
      <w:r>
        <w:rPr>
          <w:rFonts w:ascii="Georgia"/>
          <w:w w:val="105"/>
          <w:sz w:val="19"/>
        </w:rPr>
        <w:t> the</w:t>
      </w:r>
      <w:r>
        <w:rPr>
          <w:rFonts w:ascii="Georgia"/>
          <w:w w:val="105"/>
          <w:sz w:val="19"/>
        </w:rPr>
        <w:t> </w:t>
      </w:r>
      <w:r>
        <w:rPr>
          <w:rFonts w:ascii="Georgia"/>
          <w:w w:val="105"/>
          <w:sz w:val="19"/>
        </w:rPr>
        <w:t>complex</w:t>
      </w:r>
      <w:r>
        <w:rPr>
          <w:rFonts w:ascii="Georgia"/>
          <w:spacing w:val="40"/>
          <w:w w:val="105"/>
          <w:sz w:val="19"/>
        </w:rPr>
        <w:t> </w:t>
      </w:r>
      <w:r>
        <w:rPr>
          <w:rFonts w:ascii="Georgia"/>
          <w:w w:val="105"/>
          <w:sz w:val="19"/>
        </w:rPr>
        <w:t>web of inequities that impact the health and well-being of LGBTQ</w:t>
      </w:r>
      <w:r>
        <w:rPr>
          <w:rFonts w:ascii="Georgia"/>
          <w:w w:val="105"/>
          <w:sz w:val="19"/>
        </w:rPr>
        <w:t> youth,</w:t>
      </w:r>
      <w:r>
        <w:rPr>
          <w:rFonts w:ascii="Georgia"/>
          <w:w w:val="105"/>
          <w:sz w:val="19"/>
        </w:rPr>
        <w:t> particularly</w:t>
      </w:r>
      <w:r>
        <w:rPr>
          <w:rFonts w:ascii="Georgia"/>
          <w:w w:val="105"/>
          <w:sz w:val="19"/>
        </w:rPr>
        <w:t> LGBTQ</w:t>
      </w:r>
      <w:r>
        <w:rPr>
          <w:rFonts w:ascii="Georgia"/>
          <w:w w:val="105"/>
          <w:sz w:val="19"/>
        </w:rPr>
        <w:t> youth</w:t>
      </w:r>
      <w:r>
        <w:rPr>
          <w:rFonts w:ascii="Georgia"/>
          <w:w w:val="105"/>
          <w:sz w:val="19"/>
        </w:rPr>
        <w:t> of</w:t>
      </w:r>
      <w:r>
        <w:rPr>
          <w:rFonts w:ascii="Georgia"/>
          <w:w w:val="105"/>
          <w:sz w:val="19"/>
        </w:rPr>
        <w:t> color</w:t>
      </w:r>
      <w:r>
        <w:rPr>
          <w:rFonts w:ascii="Georgia"/>
          <w:w w:val="105"/>
          <w:sz w:val="19"/>
        </w:rPr>
        <w:t> and Indigenous,</w:t>
      </w:r>
      <w:r>
        <w:rPr>
          <w:rFonts w:ascii="Georgia"/>
          <w:spacing w:val="-6"/>
          <w:w w:val="105"/>
          <w:sz w:val="19"/>
        </w:rPr>
        <w:t> </w:t>
      </w:r>
      <w:r>
        <w:rPr>
          <w:rFonts w:ascii="Georgia"/>
          <w:w w:val="105"/>
          <w:sz w:val="19"/>
        </w:rPr>
        <w:t>immigrant,</w:t>
      </w:r>
      <w:r>
        <w:rPr>
          <w:rFonts w:ascii="Georgia"/>
          <w:spacing w:val="-6"/>
          <w:w w:val="105"/>
          <w:sz w:val="19"/>
        </w:rPr>
        <w:t> </w:t>
      </w:r>
      <w:r>
        <w:rPr>
          <w:rFonts w:ascii="Georgia"/>
          <w:w w:val="105"/>
          <w:sz w:val="19"/>
        </w:rPr>
        <w:t>disabled,</w:t>
      </w:r>
      <w:r>
        <w:rPr>
          <w:rFonts w:ascii="Georgia"/>
          <w:spacing w:val="-6"/>
          <w:w w:val="105"/>
          <w:sz w:val="19"/>
        </w:rPr>
        <w:t> </w:t>
      </w:r>
      <w:r>
        <w:rPr>
          <w:rFonts w:ascii="Georgia"/>
          <w:w w:val="105"/>
          <w:sz w:val="19"/>
        </w:rPr>
        <w:t>and</w:t>
      </w:r>
      <w:r>
        <w:rPr>
          <w:rFonts w:ascii="Georgia"/>
          <w:spacing w:val="-6"/>
          <w:w w:val="105"/>
          <w:sz w:val="19"/>
        </w:rPr>
        <w:t> </w:t>
      </w:r>
      <w:r>
        <w:rPr>
          <w:rFonts w:ascii="Georgia"/>
          <w:w w:val="105"/>
          <w:sz w:val="19"/>
        </w:rPr>
        <w:t>low-income</w:t>
      </w:r>
      <w:r>
        <w:rPr>
          <w:rFonts w:ascii="Georgia"/>
          <w:spacing w:val="-6"/>
          <w:w w:val="105"/>
          <w:sz w:val="19"/>
        </w:rPr>
        <w:t> </w:t>
      </w:r>
      <w:r>
        <w:rPr>
          <w:rFonts w:ascii="Georgia"/>
          <w:w w:val="105"/>
          <w:sz w:val="19"/>
        </w:rPr>
        <w:t>LGBTQ youth.</w:t>
      </w:r>
      <w:r>
        <w:rPr>
          <w:rFonts w:ascii="Georgia"/>
          <w:w w:val="105"/>
          <w:sz w:val="19"/>
        </w:rPr>
        <w:t> The</w:t>
      </w:r>
      <w:r>
        <w:rPr>
          <w:rFonts w:ascii="Georgia"/>
          <w:w w:val="105"/>
          <w:sz w:val="19"/>
        </w:rPr>
        <w:t> necessity</w:t>
      </w:r>
      <w:r>
        <w:rPr>
          <w:rFonts w:ascii="Georgia"/>
          <w:w w:val="105"/>
          <w:sz w:val="19"/>
        </w:rPr>
        <w:t> of</w:t>
      </w:r>
      <w:r>
        <w:rPr>
          <w:rFonts w:ascii="Georgia"/>
          <w:w w:val="105"/>
          <w:sz w:val="19"/>
        </w:rPr>
        <w:t> examining</w:t>
      </w:r>
      <w:r>
        <w:rPr>
          <w:rFonts w:ascii="Georgia"/>
          <w:w w:val="105"/>
          <w:sz w:val="19"/>
        </w:rPr>
        <w:t> the</w:t>
      </w:r>
      <w:r>
        <w:rPr>
          <w:rFonts w:ascii="Georgia"/>
          <w:w w:val="105"/>
          <w:sz w:val="19"/>
        </w:rPr>
        <w:t> undue environmental</w:t>
      </w:r>
      <w:r>
        <w:rPr>
          <w:rFonts w:ascii="Georgia"/>
          <w:w w:val="105"/>
          <w:sz w:val="19"/>
        </w:rPr>
        <w:t> burdens</w:t>
      </w:r>
      <w:r>
        <w:rPr>
          <w:rFonts w:ascii="Georgia"/>
          <w:w w:val="105"/>
          <w:sz w:val="19"/>
        </w:rPr>
        <w:t> placed</w:t>
      </w:r>
      <w:r>
        <w:rPr>
          <w:rFonts w:ascii="Georgia"/>
          <w:w w:val="105"/>
          <w:sz w:val="19"/>
        </w:rPr>
        <w:t> on</w:t>
      </w:r>
      <w:r>
        <w:rPr>
          <w:rFonts w:ascii="Georgia"/>
          <w:w w:val="105"/>
          <w:sz w:val="19"/>
        </w:rPr>
        <w:t> LGBTQ</w:t>
      </w:r>
      <w:r>
        <w:rPr>
          <w:rFonts w:ascii="Georgia"/>
          <w:w w:val="105"/>
          <w:sz w:val="19"/>
        </w:rPr>
        <w:t> youth</w:t>
      </w:r>
      <w:r>
        <w:rPr>
          <w:rFonts w:ascii="Georgia"/>
          <w:w w:val="105"/>
          <w:sz w:val="19"/>
        </w:rPr>
        <w:t> is undeniable;</w:t>
      </w:r>
      <w:r>
        <w:rPr>
          <w:rFonts w:ascii="Georgia"/>
          <w:w w:val="105"/>
          <w:sz w:val="19"/>
        </w:rPr>
        <w:t> exposure</w:t>
      </w:r>
      <w:r>
        <w:rPr>
          <w:rFonts w:ascii="Georgia"/>
          <w:w w:val="105"/>
          <w:sz w:val="19"/>
        </w:rPr>
        <w:t> to</w:t>
      </w:r>
      <w:r>
        <w:rPr>
          <w:rFonts w:ascii="Georgia"/>
          <w:w w:val="105"/>
          <w:sz w:val="19"/>
        </w:rPr>
        <w:t> environmental</w:t>
      </w:r>
      <w:r>
        <w:rPr>
          <w:rFonts w:ascii="Georgia"/>
          <w:w w:val="105"/>
          <w:sz w:val="19"/>
        </w:rPr>
        <w:t> stressors</w:t>
      </w:r>
      <w:r>
        <w:rPr>
          <w:rFonts w:ascii="Georgia"/>
          <w:w w:val="105"/>
          <w:sz w:val="19"/>
        </w:rPr>
        <w:t> such</w:t>
      </w:r>
      <w:r>
        <w:rPr>
          <w:rFonts w:ascii="Georgia"/>
          <w:w w:val="105"/>
          <w:sz w:val="19"/>
        </w:rPr>
        <w:t> as air</w:t>
      </w:r>
      <w:r>
        <w:rPr>
          <w:rFonts w:ascii="Georgia"/>
          <w:w w:val="105"/>
          <w:sz w:val="19"/>
        </w:rPr>
        <w:t> pollution</w:t>
      </w:r>
      <w:r>
        <w:rPr>
          <w:rFonts w:ascii="Georgia"/>
          <w:w w:val="105"/>
          <w:sz w:val="19"/>
        </w:rPr>
        <w:t> and</w:t>
      </w:r>
      <w:r>
        <w:rPr>
          <w:rFonts w:ascii="Georgia"/>
          <w:w w:val="105"/>
          <w:sz w:val="19"/>
        </w:rPr>
        <w:t> toxic</w:t>
      </w:r>
      <w:r>
        <w:rPr>
          <w:rFonts w:ascii="Georgia"/>
          <w:w w:val="105"/>
          <w:sz w:val="19"/>
        </w:rPr>
        <w:t> chemicals</w:t>
      </w:r>
      <w:r>
        <w:rPr>
          <w:rFonts w:ascii="Georgia"/>
          <w:w w:val="105"/>
          <w:sz w:val="19"/>
        </w:rPr>
        <w:t> exacerbates</w:t>
      </w:r>
      <w:r>
        <w:rPr>
          <w:rFonts w:ascii="Georgia"/>
          <w:w w:val="105"/>
          <w:sz w:val="19"/>
        </w:rPr>
        <w:t> the</w:t>
      </w:r>
      <w:r>
        <w:rPr>
          <w:rFonts w:ascii="Georgia"/>
          <w:w w:val="105"/>
          <w:sz w:val="19"/>
        </w:rPr>
        <w:t> health and</w:t>
      </w:r>
      <w:r>
        <w:rPr>
          <w:rFonts w:ascii="Georgia"/>
          <w:w w:val="105"/>
          <w:sz w:val="19"/>
        </w:rPr>
        <w:t> economic</w:t>
      </w:r>
      <w:r>
        <w:rPr>
          <w:rFonts w:ascii="Georgia"/>
          <w:w w:val="105"/>
          <w:sz w:val="19"/>
        </w:rPr>
        <w:t> inequalities</w:t>
      </w:r>
      <w:r>
        <w:rPr>
          <w:rFonts w:ascii="Georgia"/>
          <w:w w:val="105"/>
          <w:sz w:val="19"/>
        </w:rPr>
        <w:t> LGBTQ</w:t>
      </w:r>
      <w:r>
        <w:rPr>
          <w:rFonts w:ascii="Georgia"/>
          <w:w w:val="105"/>
          <w:sz w:val="19"/>
        </w:rPr>
        <w:t> communities</w:t>
      </w:r>
      <w:r>
        <w:rPr>
          <w:rFonts w:ascii="Georgia"/>
          <w:w w:val="105"/>
          <w:sz w:val="19"/>
        </w:rPr>
        <w:t> already face.</w:t>
      </w:r>
      <w:r>
        <w:rPr>
          <w:rFonts w:ascii="Georgia"/>
          <w:w w:val="105"/>
          <w:sz w:val="19"/>
        </w:rPr>
        <w:t> QTBIPOC</w:t>
      </w:r>
      <w:r>
        <w:rPr>
          <w:rFonts w:ascii="Georgia"/>
          <w:w w:val="105"/>
          <w:sz w:val="19"/>
        </w:rPr>
        <w:t> youth</w:t>
      </w:r>
      <w:r>
        <w:rPr>
          <w:rFonts w:ascii="Georgia"/>
          <w:w w:val="105"/>
          <w:sz w:val="19"/>
        </w:rPr>
        <w:t> experience</w:t>
      </w:r>
      <w:r>
        <w:rPr>
          <w:rFonts w:ascii="Georgia"/>
          <w:w w:val="105"/>
          <w:sz w:val="19"/>
        </w:rPr>
        <w:t> compounding</w:t>
      </w:r>
      <w:r>
        <w:rPr>
          <w:rFonts w:ascii="Georgia"/>
          <w:w w:val="105"/>
          <w:sz w:val="19"/>
        </w:rPr>
        <w:t> effects from</w:t>
      </w:r>
      <w:r>
        <w:rPr>
          <w:rFonts w:ascii="Georgia"/>
          <w:w w:val="105"/>
          <w:sz w:val="19"/>
        </w:rPr>
        <w:t> multiple</w:t>
      </w:r>
      <w:r>
        <w:rPr>
          <w:rFonts w:ascii="Georgia"/>
          <w:w w:val="105"/>
          <w:sz w:val="19"/>
        </w:rPr>
        <w:t> overlapping</w:t>
      </w:r>
      <w:r>
        <w:rPr>
          <w:rFonts w:ascii="Georgia"/>
          <w:w w:val="105"/>
          <w:sz w:val="19"/>
        </w:rPr>
        <w:t> systems</w:t>
      </w:r>
      <w:r>
        <w:rPr>
          <w:rFonts w:ascii="Georgia"/>
          <w:w w:val="105"/>
          <w:sz w:val="19"/>
        </w:rPr>
        <w:t> of</w:t>
      </w:r>
      <w:r>
        <w:rPr>
          <w:rFonts w:ascii="Georgia"/>
          <w:w w:val="105"/>
          <w:sz w:val="19"/>
        </w:rPr>
        <w:t> oppression. Developing</w:t>
      </w:r>
      <w:r>
        <w:rPr>
          <w:rFonts w:ascii="Georgia"/>
          <w:w w:val="105"/>
          <w:sz w:val="19"/>
        </w:rPr>
        <w:t> a</w:t>
      </w:r>
      <w:r>
        <w:rPr>
          <w:rFonts w:ascii="Georgia"/>
          <w:w w:val="105"/>
          <w:sz w:val="19"/>
        </w:rPr>
        <w:t> more</w:t>
      </w:r>
      <w:r>
        <w:rPr>
          <w:rFonts w:ascii="Georgia"/>
          <w:w w:val="105"/>
          <w:sz w:val="19"/>
        </w:rPr>
        <w:t> complete</w:t>
      </w:r>
      <w:r>
        <w:rPr>
          <w:rFonts w:ascii="Georgia"/>
          <w:w w:val="105"/>
          <w:sz w:val="19"/>
        </w:rPr>
        <w:t> picture</w:t>
      </w:r>
      <w:r>
        <w:rPr>
          <w:rFonts w:ascii="Georgia"/>
          <w:w w:val="105"/>
          <w:sz w:val="19"/>
        </w:rPr>
        <w:t> of</w:t>
      </w:r>
      <w:r>
        <w:rPr>
          <w:rFonts w:ascii="Georgia"/>
          <w:w w:val="105"/>
          <w:sz w:val="19"/>
        </w:rPr>
        <w:t> the</w:t>
      </w:r>
      <w:r>
        <w:rPr>
          <w:rFonts w:ascii="Georgia"/>
          <w:w w:val="105"/>
          <w:sz w:val="19"/>
        </w:rPr>
        <w:t> burdens</w:t>
      </w:r>
      <w:r>
        <w:rPr>
          <w:rFonts w:ascii="Georgia"/>
          <w:w w:val="105"/>
          <w:sz w:val="19"/>
        </w:rPr>
        <w:t> and injustices</w:t>
      </w:r>
      <w:r>
        <w:rPr>
          <w:rFonts w:ascii="Georgia"/>
          <w:w w:val="105"/>
          <w:sz w:val="19"/>
        </w:rPr>
        <w:t> faced</w:t>
      </w:r>
      <w:r>
        <w:rPr>
          <w:rFonts w:ascii="Georgia"/>
          <w:w w:val="105"/>
          <w:sz w:val="19"/>
        </w:rPr>
        <w:t> by</w:t>
      </w:r>
      <w:r>
        <w:rPr>
          <w:rFonts w:ascii="Georgia"/>
          <w:w w:val="105"/>
          <w:sz w:val="19"/>
        </w:rPr>
        <w:t> LGBTQ</w:t>
      </w:r>
      <w:r>
        <w:rPr>
          <w:rFonts w:ascii="Georgia"/>
          <w:w w:val="105"/>
          <w:sz w:val="19"/>
        </w:rPr>
        <w:t> youth</w:t>
      </w:r>
      <w:r>
        <w:rPr>
          <w:rFonts w:ascii="Georgia"/>
          <w:w w:val="105"/>
          <w:sz w:val="19"/>
        </w:rPr>
        <w:t> in</w:t>
      </w:r>
      <w:r>
        <w:rPr>
          <w:rFonts w:ascii="Georgia"/>
          <w:w w:val="105"/>
          <w:sz w:val="19"/>
        </w:rPr>
        <w:t> Massachusetts requires</w:t>
      </w:r>
      <w:r>
        <w:rPr>
          <w:rFonts w:ascii="Georgia"/>
          <w:w w:val="105"/>
          <w:sz w:val="19"/>
        </w:rPr>
        <w:t> bringing</w:t>
      </w:r>
      <w:r>
        <w:rPr>
          <w:rFonts w:ascii="Georgia"/>
          <w:w w:val="105"/>
          <w:sz w:val="19"/>
        </w:rPr>
        <w:t> intersectionality</w:t>
      </w:r>
      <w:r>
        <w:rPr>
          <w:rFonts w:ascii="Georgia"/>
          <w:w w:val="105"/>
          <w:sz w:val="19"/>
        </w:rPr>
        <w:t> to</w:t>
      </w:r>
      <w:r>
        <w:rPr>
          <w:rFonts w:ascii="Georgia"/>
          <w:w w:val="105"/>
          <w:sz w:val="19"/>
        </w:rPr>
        <w:t> the</w:t>
      </w:r>
      <w:r>
        <w:rPr>
          <w:rFonts w:ascii="Georgia"/>
          <w:w w:val="105"/>
          <w:sz w:val="19"/>
        </w:rPr>
        <w:t> forefront</w:t>
      </w:r>
      <w:r>
        <w:rPr>
          <w:rFonts w:ascii="Georgia"/>
          <w:w w:val="105"/>
          <w:sz w:val="19"/>
        </w:rPr>
        <w:t> and understanding</w:t>
      </w:r>
      <w:r>
        <w:rPr>
          <w:rFonts w:ascii="Georgia"/>
          <w:w w:val="105"/>
          <w:sz w:val="19"/>
        </w:rPr>
        <w:t> the</w:t>
      </w:r>
      <w:r>
        <w:rPr>
          <w:rFonts w:ascii="Georgia"/>
          <w:w w:val="105"/>
          <w:sz w:val="19"/>
        </w:rPr>
        <w:t> interactions</w:t>
      </w:r>
      <w:r>
        <w:rPr>
          <w:rFonts w:ascii="Georgia"/>
          <w:w w:val="105"/>
          <w:sz w:val="19"/>
        </w:rPr>
        <w:t> between</w:t>
      </w:r>
      <w:r>
        <w:rPr>
          <w:rFonts w:ascii="Georgia"/>
          <w:w w:val="105"/>
          <w:sz w:val="19"/>
        </w:rPr>
        <w:t> the</w:t>
      </w:r>
      <w:r>
        <w:rPr>
          <w:rFonts w:ascii="Georgia"/>
          <w:w w:val="105"/>
          <w:sz w:val="19"/>
        </w:rPr>
        <w:t> multiple social,</w:t>
      </w:r>
      <w:r>
        <w:rPr>
          <w:rFonts w:ascii="Georgia"/>
          <w:spacing w:val="-13"/>
          <w:w w:val="105"/>
          <w:sz w:val="19"/>
        </w:rPr>
        <w:t> </w:t>
      </w:r>
      <w:r>
        <w:rPr>
          <w:rFonts w:ascii="Georgia"/>
          <w:w w:val="105"/>
          <w:sz w:val="19"/>
        </w:rPr>
        <w:t>economic,</w:t>
      </w:r>
      <w:r>
        <w:rPr>
          <w:rFonts w:ascii="Georgia"/>
          <w:spacing w:val="-12"/>
          <w:w w:val="105"/>
          <w:sz w:val="19"/>
        </w:rPr>
        <w:t> </w:t>
      </w:r>
      <w:r>
        <w:rPr>
          <w:rFonts w:ascii="Georgia"/>
          <w:w w:val="105"/>
          <w:sz w:val="19"/>
        </w:rPr>
        <w:t>environmental,</w:t>
      </w:r>
      <w:r>
        <w:rPr>
          <w:rFonts w:ascii="Georgia"/>
          <w:spacing w:val="-12"/>
          <w:w w:val="105"/>
          <w:sz w:val="19"/>
        </w:rPr>
        <w:t> </w:t>
      </w:r>
      <w:r>
        <w:rPr>
          <w:rFonts w:ascii="Georgia"/>
          <w:w w:val="105"/>
          <w:sz w:val="19"/>
        </w:rPr>
        <w:t>and</w:t>
      </w:r>
      <w:r>
        <w:rPr>
          <w:rFonts w:ascii="Georgia"/>
          <w:spacing w:val="-12"/>
          <w:w w:val="105"/>
          <w:sz w:val="19"/>
        </w:rPr>
        <w:t> </w:t>
      </w:r>
      <w:r>
        <w:rPr>
          <w:rFonts w:ascii="Georgia"/>
          <w:w w:val="105"/>
          <w:sz w:val="19"/>
        </w:rPr>
        <w:t>institutional</w:t>
      </w:r>
      <w:r>
        <w:rPr>
          <w:rFonts w:ascii="Georgia"/>
          <w:spacing w:val="-12"/>
          <w:w w:val="105"/>
          <w:sz w:val="19"/>
        </w:rPr>
        <w:t> </w:t>
      </w:r>
      <w:r>
        <w:rPr>
          <w:rFonts w:ascii="Georgia"/>
          <w:w w:val="105"/>
          <w:sz w:val="19"/>
        </w:rPr>
        <w:t>systems that impact LGBTQ youth.</w:t>
      </w:r>
    </w:p>
    <w:p>
      <w:pPr>
        <w:spacing w:before="475"/>
        <w:ind w:left="0" w:right="286" w:firstLine="0"/>
        <w:jc w:val="center"/>
        <w:rPr>
          <w:rFonts w:ascii="Verdana"/>
          <w:b/>
          <w:sz w:val="61"/>
        </w:rPr>
      </w:pPr>
      <w:r>
        <w:rPr/>
        <w:br w:type="column"/>
      </w:r>
      <w:r>
        <w:rPr>
          <w:rFonts w:ascii="Verdana"/>
          <w:b/>
          <w:emboss/>
          <w:color w:val="00BE62"/>
          <w:spacing w:val="15"/>
          <w:w w:val="85"/>
          <w:sz w:val="61"/>
        </w:rPr>
        <w:t>38%</w:t>
      </w:r>
    </w:p>
    <w:p>
      <w:pPr>
        <w:spacing w:line="278" w:lineRule="auto" w:before="26"/>
        <w:ind w:left="504" w:right="989" w:firstLine="0"/>
        <w:jc w:val="center"/>
        <w:rPr>
          <w:rFonts w:ascii="Georgia"/>
          <w:sz w:val="20"/>
        </w:rPr>
      </w:pPr>
      <w:r>
        <w:rPr>
          <w:rFonts w:ascii="Georgia"/>
          <w:w w:val="105"/>
          <w:sz w:val="20"/>
        </w:rPr>
        <w:t>more</w:t>
      </w:r>
      <w:r>
        <w:rPr>
          <w:rFonts w:ascii="Georgia"/>
          <w:spacing w:val="-12"/>
          <w:w w:val="105"/>
          <w:sz w:val="20"/>
        </w:rPr>
        <w:t> </w:t>
      </w:r>
      <w:r>
        <w:rPr>
          <w:rFonts w:ascii="Georgia"/>
          <w:w w:val="105"/>
          <w:sz w:val="20"/>
        </w:rPr>
        <w:t>likely</w:t>
      </w:r>
      <w:r>
        <w:rPr>
          <w:rFonts w:ascii="Georgia"/>
          <w:spacing w:val="-12"/>
          <w:w w:val="105"/>
          <w:sz w:val="20"/>
        </w:rPr>
        <w:t> </w:t>
      </w:r>
      <w:r>
        <w:rPr>
          <w:rFonts w:ascii="Georgia"/>
          <w:w w:val="105"/>
          <w:sz w:val="20"/>
        </w:rPr>
        <w:t>to</w:t>
      </w:r>
      <w:r>
        <w:rPr>
          <w:rFonts w:ascii="Georgia"/>
          <w:spacing w:val="-13"/>
          <w:w w:val="105"/>
          <w:sz w:val="20"/>
        </w:rPr>
        <w:t> </w:t>
      </w:r>
      <w:r>
        <w:rPr>
          <w:rFonts w:ascii="Georgia"/>
          <w:w w:val="105"/>
          <w:sz w:val="20"/>
        </w:rPr>
        <w:t>be</w:t>
      </w:r>
      <w:r>
        <w:rPr>
          <w:rFonts w:ascii="Georgia"/>
          <w:spacing w:val="-12"/>
          <w:w w:val="105"/>
          <w:sz w:val="20"/>
        </w:rPr>
        <w:t> </w:t>
      </w:r>
      <w:r>
        <w:rPr>
          <w:rFonts w:ascii="Georgia"/>
          <w:w w:val="105"/>
          <w:sz w:val="20"/>
        </w:rPr>
        <w:t>exposed</w:t>
      </w:r>
      <w:r>
        <w:rPr>
          <w:rFonts w:ascii="Georgia"/>
          <w:spacing w:val="-12"/>
          <w:w w:val="105"/>
          <w:sz w:val="20"/>
        </w:rPr>
        <w:t> </w:t>
      </w:r>
      <w:r>
        <w:rPr>
          <w:rFonts w:ascii="Georgia"/>
          <w:w w:val="105"/>
          <w:sz w:val="20"/>
        </w:rPr>
        <w:t>to</w:t>
      </w:r>
      <w:r>
        <w:rPr>
          <w:rFonts w:ascii="Georgia"/>
          <w:spacing w:val="-12"/>
          <w:w w:val="105"/>
          <w:sz w:val="20"/>
        </w:rPr>
        <w:t> </w:t>
      </w:r>
      <w:r>
        <w:rPr>
          <w:rFonts w:ascii="Georgia"/>
          <w:w w:val="105"/>
          <w:sz w:val="20"/>
        </w:rPr>
        <w:t>second- hand</w:t>
      </w:r>
      <w:r>
        <w:rPr>
          <w:rFonts w:ascii="Georgia"/>
          <w:spacing w:val="-6"/>
          <w:w w:val="105"/>
          <w:sz w:val="20"/>
        </w:rPr>
        <w:t> </w:t>
      </w:r>
      <w:r>
        <w:rPr>
          <w:rFonts w:ascii="Georgia"/>
          <w:w w:val="105"/>
          <w:sz w:val="20"/>
        </w:rPr>
        <w:t>smoke</w:t>
      </w:r>
      <w:r>
        <w:rPr>
          <w:rFonts w:ascii="Georgia"/>
          <w:spacing w:val="-6"/>
          <w:w w:val="105"/>
          <w:sz w:val="20"/>
        </w:rPr>
        <w:t> </w:t>
      </w:r>
      <w:r>
        <w:rPr>
          <w:rFonts w:ascii="Georgia"/>
          <w:w w:val="105"/>
          <w:sz w:val="20"/>
        </w:rPr>
        <w:t>in</w:t>
      </w:r>
      <w:r>
        <w:rPr>
          <w:rFonts w:ascii="Georgia"/>
          <w:spacing w:val="-6"/>
          <w:w w:val="105"/>
          <w:sz w:val="20"/>
        </w:rPr>
        <w:t> </w:t>
      </w:r>
      <w:r>
        <w:rPr>
          <w:rFonts w:ascii="Georgia"/>
          <w:w w:val="105"/>
          <w:sz w:val="20"/>
        </w:rPr>
        <w:t>LGBTQ</w:t>
      </w:r>
      <w:r>
        <w:rPr>
          <w:rFonts w:ascii="Georgia"/>
          <w:spacing w:val="-6"/>
          <w:w w:val="105"/>
          <w:sz w:val="20"/>
        </w:rPr>
        <w:t> </w:t>
      </w:r>
      <w:r>
        <w:rPr>
          <w:rFonts w:ascii="Georgia"/>
          <w:w w:val="105"/>
          <w:sz w:val="20"/>
        </w:rPr>
        <w:t>bars/venues than in non-LGBTQ bars</w:t>
      </w:r>
    </w:p>
    <w:p>
      <w:pPr>
        <w:pStyle w:val="BodyText"/>
        <w:rPr>
          <w:rFonts w:ascii="Georgia"/>
          <w:sz w:val="20"/>
        </w:rPr>
      </w:pPr>
    </w:p>
    <w:p>
      <w:pPr>
        <w:pStyle w:val="BodyText"/>
        <w:spacing w:before="176"/>
        <w:rPr>
          <w:rFonts w:ascii="Georgia"/>
          <w:sz w:val="20"/>
        </w:rPr>
      </w:pPr>
    </w:p>
    <w:p>
      <w:pPr>
        <w:pStyle w:val="Heading6"/>
      </w:pPr>
      <w:r>
        <w:rPr>
          <w:emboss/>
          <w:color w:val="00BE62"/>
          <w:spacing w:val="15"/>
          <w:w w:val="85"/>
        </w:rPr>
        <w:t>29%</w:t>
      </w:r>
    </w:p>
    <w:p>
      <w:pPr>
        <w:spacing w:line="278" w:lineRule="auto" w:before="36"/>
        <w:ind w:left="771" w:right="1240" w:firstLine="0"/>
        <w:jc w:val="center"/>
        <w:rPr>
          <w:rFonts w:ascii="Georgia"/>
          <w:sz w:val="20"/>
        </w:rPr>
      </w:pPr>
      <w:r>
        <w:rPr>
          <w:rFonts w:ascii="Georgia"/>
          <w:spacing w:val="-2"/>
          <w:w w:val="105"/>
          <w:sz w:val="20"/>
        </w:rPr>
        <w:t>of</w:t>
      </w:r>
      <w:r>
        <w:rPr>
          <w:rFonts w:ascii="Georgia"/>
          <w:spacing w:val="-11"/>
          <w:w w:val="105"/>
          <w:sz w:val="20"/>
        </w:rPr>
        <w:t> </w:t>
      </w:r>
      <w:r>
        <w:rPr>
          <w:rFonts w:ascii="Georgia"/>
          <w:spacing w:val="-2"/>
          <w:w w:val="105"/>
          <w:sz w:val="20"/>
        </w:rPr>
        <w:t>LGBTQ</w:t>
      </w:r>
      <w:r>
        <w:rPr>
          <w:rFonts w:ascii="Georgia"/>
          <w:spacing w:val="-11"/>
          <w:w w:val="105"/>
          <w:sz w:val="20"/>
        </w:rPr>
        <w:t> </w:t>
      </w:r>
      <w:r>
        <w:rPr>
          <w:rFonts w:ascii="Georgia"/>
          <w:spacing w:val="-2"/>
          <w:w w:val="105"/>
          <w:sz w:val="20"/>
        </w:rPr>
        <w:t>youth</w:t>
      </w:r>
      <w:r>
        <w:rPr>
          <w:rFonts w:ascii="Georgia"/>
          <w:spacing w:val="-10"/>
          <w:w w:val="105"/>
          <w:sz w:val="20"/>
        </w:rPr>
        <w:t> </w:t>
      </w:r>
      <w:r>
        <w:rPr>
          <w:rFonts w:ascii="Georgia"/>
          <w:spacing w:val="-2"/>
          <w:w w:val="105"/>
          <w:sz w:val="20"/>
        </w:rPr>
        <w:t>suffer</w:t>
      </w:r>
      <w:r>
        <w:rPr>
          <w:rFonts w:ascii="Georgia"/>
          <w:spacing w:val="-11"/>
          <w:w w:val="105"/>
          <w:sz w:val="20"/>
        </w:rPr>
        <w:t> </w:t>
      </w:r>
      <w:r>
        <w:rPr>
          <w:rFonts w:ascii="Georgia"/>
          <w:spacing w:val="-2"/>
          <w:w w:val="105"/>
          <w:sz w:val="20"/>
        </w:rPr>
        <w:t>from asthma</w:t>
      </w:r>
    </w:p>
    <w:p>
      <w:pPr>
        <w:pStyle w:val="BodyText"/>
        <w:rPr>
          <w:rFonts w:ascii="Georgia"/>
          <w:sz w:val="20"/>
        </w:rPr>
      </w:pPr>
    </w:p>
    <w:p>
      <w:pPr>
        <w:pStyle w:val="BodyText"/>
        <w:spacing w:before="138"/>
        <w:rPr>
          <w:rFonts w:ascii="Georgia"/>
          <w:sz w:val="20"/>
        </w:rPr>
      </w:pPr>
    </w:p>
    <w:p>
      <w:pPr>
        <w:pStyle w:val="Heading6"/>
        <w:spacing w:before="1"/>
      </w:pPr>
      <w:r>
        <w:rPr>
          <w:emboss/>
          <w:color w:val="00BE62"/>
          <w:spacing w:val="15"/>
          <w:w w:val="85"/>
        </w:rPr>
        <w:t>23%</w:t>
      </w:r>
    </w:p>
    <w:p>
      <w:pPr>
        <w:spacing w:line="278" w:lineRule="auto" w:before="21"/>
        <w:ind w:left="100" w:right="608" w:firstLine="0"/>
        <w:jc w:val="center"/>
        <w:rPr>
          <w:rFonts w:ascii="Georgia"/>
          <w:sz w:val="20"/>
        </w:rPr>
      </w:pPr>
      <w:r>
        <w:rPr>
          <w:rFonts w:ascii="Georgia"/>
          <w:sz w:val="20"/>
        </w:rPr>
        <w:t>of Two-Spirit and LGBTQ Indigenous people live </w:t>
      </w:r>
      <w:r>
        <w:rPr>
          <w:rFonts w:ascii="Georgia"/>
          <w:w w:val="105"/>
          <w:sz w:val="20"/>
        </w:rPr>
        <w:t>in extreme poverty due to discrimination, marginalization, stigmatization, and historical </w:t>
      </w:r>
      <w:r>
        <w:rPr>
          <w:rFonts w:ascii="Georgia"/>
          <w:spacing w:val="-2"/>
          <w:w w:val="105"/>
          <w:sz w:val="20"/>
        </w:rPr>
        <w:t>trauma</w:t>
      </w:r>
    </w:p>
    <w:p>
      <w:pPr>
        <w:spacing w:after="0" w:line="278" w:lineRule="auto"/>
        <w:jc w:val="center"/>
        <w:rPr>
          <w:rFonts w:ascii="Georgia"/>
          <w:sz w:val="20"/>
        </w:rPr>
        <w:sectPr>
          <w:type w:val="continuous"/>
          <w:pgSz w:w="12240" w:h="15840"/>
          <w:pgMar w:header="0" w:footer="0" w:top="1420" w:bottom="280" w:left="1120" w:right="340"/>
          <w:cols w:num="2" w:equalWidth="0">
            <w:col w:w="5279" w:space="339"/>
            <w:col w:w="5162"/>
          </w:cols>
        </w:sectPr>
      </w:pPr>
    </w:p>
    <w:p>
      <w:pPr>
        <w:pStyle w:val="BodyText"/>
        <w:spacing w:before="148"/>
        <w:rPr>
          <w:rFonts w:ascii="Georgia"/>
          <w:sz w:val="20"/>
        </w:rPr>
      </w:pPr>
      <w:r>
        <w:rPr/>
        <mc:AlternateContent>
          <mc:Choice Requires="wps">
            <w:drawing>
              <wp:anchor distT="0" distB="0" distL="0" distR="0" allowOverlap="1" layoutInCell="1" locked="0" behindDoc="1" simplePos="0" relativeHeight="482642432">
                <wp:simplePos x="0" y="0"/>
                <wp:positionH relativeFrom="page">
                  <wp:posOffset>0</wp:posOffset>
                </wp:positionH>
                <wp:positionV relativeFrom="page">
                  <wp:posOffset>0</wp:posOffset>
                </wp:positionV>
                <wp:extent cx="7772400" cy="6118225"/>
                <wp:effectExtent l="0" t="0" r="0" b="0"/>
                <wp:wrapNone/>
                <wp:docPr id="487" name="Group 487"/>
                <wp:cNvGraphicFramePr>
                  <a:graphicFrameLocks/>
                </wp:cNvGraphicFramePr>
                <a:graphic>
                  <a:graphicData uri="http://schemas.microsoft.com/office/word/2010/wordprocessingGroup">
                    <wpg:wgp>
                      <wpg:cNvPr id="487" name="Group 487"/>
                      <wpg:cNvGrpSpPr/>
                      <wpg:grpSpPr>
                        <a:xfrm>
                          <a:off x="0" y="0"/>
                          <a:ext cx="7772400" cy="6118225"/>
                          <a:chExt cx="7772400" cy="6118225"/>
                        </a:xfrm>
                      </wpg:grpSpPr>
                      <pic:pic>
                        <pic:nvPicPr>
                          <pic:cNvPr id="488" name="Image 488"/>
                          <pic:cNvPicPr/>
                        </pic:nvPicPr>
                        <pic:blipFill>
                          <a:blip r:embed="rId642" cstate="print"/>
                          <a:stretch>
                            <a:fillRect/>
                          </a:stretch>
                        </pic:blipFill>
                        <pic:spPr>
                          <a:xfrm>
                            <a:off x="0" y="0"/>
                            <a:ext cx="7772400" cy="3193597"/>
                          </a:xfrm>
                          <a:prstGeom prst="rect">
                            <a:avLst/>
                          </a:prstGeom>
                        </pic:spPr>
                      </pic:pic>
                      <pic:pic>
                        <pic:nvPicPr>
                          <pic:cNvPr id="489" name="Image 489"/>
                          <pic:cNvPicPr/>
                        </pic:nvPicPr>
                        <pic:blipFill>
                          <a:blip r:embed="rId98" cstate="print"/>
                          <a:stretch>
                            <a:fillRect/>
                          </a:stretch>
                        </pic:blipFill>
                        <pic:spPr>
                          <a:xfrm>
                            <a:off x="5597591" y="648796"/>
                            <a:ext cx="1480887" cy="1480632"/>
                          </a:xfrm>
                          <a:prstGeom prst="rect">
                            <a:avLst/>
                          </a:prstGeom>
                        </pic:spPr>
                      </pic:pic>
                      <wps:wsp>
                        <wps:cNvPr id="490" name="Graphic 490"/>
                        <wps:cNvSpPr/>
                        <wps:spPr>
                          <a:xfrm>
                            <a:off x="5583845" y="635043"/>
                            <a:ext cx="1508125" cy="1508125"/>
                          </a:xfrm>
                          <a:custGeom>
                            <a:avLst/>
                            <a:gdLst/>
                            <a:ahLst/>
                            <a:cxnLst/>
                            <a:rect l="l" t="t" r="r" b="b"/>
                            <a:pathLst>
                              <a:path w="1508125" h="1508125">
                                <a:moveTo>
                                  <a:pt x="754061" y="1508119"/>
                                </a:moveTo>
                                <a:lnTo>
                                  <a:pt x="706443" y="1506633"/>
                                </a:lnTo>
                                <a:lnTo>
                                  <a:pt x="659603" y="1502233"/>
                                </a:lnTo>
                                <a:lnTo>
                                  <a:pt x="613628" y="1495009"/>
                                </a:lnTo>
                                <a:lnTo>
                                  <a:pt x="568609" y="1485050"/>
                                </a:lnTo>
                                <a:lnTo>
                                  <a:pt x="524634" y="1472444"/>
                                </a:lnTo>
                                <a:lnTo>
                                  <a:pt x="481792" y="1457281"/>
                                </a:lnTo>
                                <a:lnTo>
                                  <a:pt x="440173" y="1439650"/>
                                </a:lnTo>
                                <a:lnTo>
                                  <a:pt x="399864" y="1419640"/>
                                </a:lnTo>
                                <a:lnTo>
                                  <a:pt x="360956" y="1397339"/>
                                </a:lnTo>
                                <a:lnTo>
                                  <a:pt x="323537" y="1372837"/>
                                </a:lnTo>
                                <a:lnTo>
                                  <a:pt x="287697" y="1346223"/>
                                </a:lnTo>
                                <a:lnTo>
                                  <a:pt x="253523" y="1317586"/>
                                </a:lnTo>
                                <a:lnTo>
                                  <a:pt x="221106" y="1287014"/>
                                </a:lnTo>
                                <a:lnTo>
                                  <a:pt x="190534" y="1254598"/>
                                </a:lnTo>
                                <a:lnTo>
                                  <a:pt x="161896" y="1220425"/>
                                </a:lnTo>
                                <a:lnTo>
                                  <a:pt x="135282" y="1184584"/>
                                </a:lnTo>
                                <a:lnTo>
                                  <a:pt x="110780" y="1147166"/>
                                </a:lnTo>
                                <a:lnTo>
                                  <a:pt x="88479" y="1108259"/>
                                </a:lnTo>
                                <a:lnTo>
                                  <a:pt x="68468" y="1067951"/>
                                </a:lnTo>
                                <a:lnTo>
                                  <a:pt x="50770" y="1026142"/>
                                </a:lnTo>
                                <a:lnTo>
                                  <a:pt x="35669" y="983473"/>
                                </a:lnTo>
                                <a:lnTo>
                                  <a:pt x="23075" y="939517"/>
                                </a:lnTo>
                                <a:lnTo>
                                  <a:pt x="13118" y="894499"/>
                                </a:lnTo>
                                <a:lnTo>
                                  <a:pt x="5894" y="848526"/>
                                </a:lnTo>
                                <a:lnTo>
                                  <a:pt x="1491" y="801686"/>
                                </a:lnTo>
                                <a:lnTo>
                                  <a:pt x="0" y="754070"/>
                                </a:lnTo>
                                <a:lnTo>
                                  <a:pt x="1494" y="706368"/>
                                </a:lnTo>
                                <a:lnTo>
                                  <a:pt x="5906" y="659480"/>
                                </a:lnTo>
                                <a:lnTo>
                                  <a:pt x="13140" y="613502"/>
                                </a:lnTo>
                                <a:lnTo>
                                  <a:pt x="23094" y="568530"/>
                                </a:lnTo>
                                <a:lnTo>
                                  <a:pt x="35676" y="524643"/>
                                </a:lnTo>
                                <a:lnTo>
                                  <a:pt x="50851" y="481801"/>
                                </a:lnTo>
                                <a:lnTo>
                                  <a:pt x="68470" y="440181"/>
                                </a:lnTo>
                                <a:lnTo>
                                  <a:pt x="88480" y="399872"/>
                                </a:lnTo>
                                <a:lnTo>
                                  <a:pt x="110781" y="360964"/>
                                </a:lnTo>
                                <a:lnTo>
                                  <a:pt x="135284" y="323544"/>
                                </a:lnTo>
                                <a:lnTo>
                                  <a:pt x="161898" y="287703"/>
                                </a:lnTo>
                                <a:lnTo>
                                  <a:pt x="190536" y="253529"/>
                                </a:lnTo>
                                <a:lnTo>
                                  <a:pt x="221108" y="221111"/>
                                </a:lnTo>
                                <a:lnTo>
                                  <a:pt x="253526" y="190539"/>
                                </a:lnTo>
                                <a:lnTo>
                                  <a:pt x="287699" y="161901"/>
                                </a:lnTo>
                                <a:lnTo>
                                  <a:pt x="323540" y="135286"/>
                                </a:lnTo>
                                <a:lnTo>
                                  <a:pt x="360959" y="110783"/>
                                </a:lnTo>
                                <a:lnTo>
                                  <a:pt x="399867" y="88482"/>
                                </a:lnTo>
                                <a:lnTo>
                                  <a:pt x="440175" y="68471"/>
                                </a:lnTo>
                                <a:lnTo>
                                  <a:pt x="481795" y="50839"/>
                                </a:lnTo>
                                <a:lnTo>
                                  <a:pt x="524636" y="35676"/>
                                </a:lnTo>
                                <a:lnTo>
                                  <a:pt x="568611" y="23070"/>
                                </a:lnTo>
                                <a:lnTo>
                                  <a:pt x="613630" y="13110"/>
                                </a:lnTo>
                                <a:lnTo>
                                  <a:pt x="659604" y="5886"/>
                                </a:lnTo>
                                <a:lnTo>
                                  <a:pt x="706444" y="1486"/>
                                </a:lnTo>
                                <a:lnTo>
                                  <a:pt x="754061" y="0"/>
                                </a:lnTo>
                                <a:lnTo>
                                  <a:pt x="801678" y="1486"/>
                                </a:lnTo>
                                <a:lnTo>
                                  <a:pt x="848519" y="5886"/>
                                </a:lnTo>
                                <a:lnTo>
                                  <a:pt x="894493" y="13110"/>
                                </a:lnTo>
                                <a:lnTo>
                                  <a:pt x="939513" y="23070"/>
                                </a:lnTo>
                                <a:lnTo>
                                  <a:pt x="954942" y="27493"/>
                                </a:lnTo>
                                <a:lnTo>
                                  <a:pt x="754061" y="27493"/>
                                </a:lnTo>
                                <a:lnTo>
                                  <a:pt x="706360" y="29041"/>
                                </a:lnTo>
                                <a:lnTo>
                                  <a:pt x="659472" y="33622"/>
                                </a:lnTo>
                                <a:lnTo>
                                  <a:pt x="613495" y="41139"/>
                                </a:lnTo>
                                <a:lnTo>
                                  <a:pt x="568524" y="51496"/>
                                </a:lnTo>
                                <a:lnTo>
                                  <a:pt x="524656" y="64596"/>
                                </a:lnTo>
                                <a:lnTo>
                                  <a:pt x="481987" y="80342"/>
                                </a:lnTo>
                                <a:lnTo>
                                  <a:pt x="440615" y="98639"/>
                                </a:lnTo>
                                <a:lnTo>
                                  <a:pt x="400635" y="119389"/>
                                </a:lnTo>
                                <a:lnTo>
                                  <a:pt x="362143" y="142496"/>
                                </a:lnTo>
                                <a:lnTo>
                                  <a:pt x="325237" y="167865"/>
                                </a:lnTo>
                                <a:lnTo>
                                  <a:pt x="290013" y="195397"/>
                                </a:lnTo>
                                <a:lnTo>
                                  <a:pt x="256567" y="224997"/>
                                </a:lnTo>
                                <a:lnTo>
                                  <a:pt x="224996" y="256569"/>
                                </a:lnTo>
                                <a:lnTo>
                                  <a:pt x="195396" y="290015"/>
                                </a:lnTo>
                                <a:lnTo>
                                  <a:pt x="167864" y="325240"/>
                                </a:lnTo>
                                <a:lnTo>
                                  <a:pt x="142496" y="362147"/>
                                </a:lnTo>
                                <a:lnTo>
                                  <a:pt x="119388" y="400638"/>
                                </a:lnTo>
                                <a:lnTo>
                                  <a:pt x="98638" y="440619"/>
                                </a:lnTo>
                                <a:lnTo>
                                  <a:pt x="80342" y="481993"/>
                                </a:lnTo>
                                <a:lnTo>
                                  <a:pt x="64597" y="524662"/>
                                </a:lnTo>
                                <a:lnTo>
                                  <a:pt x="51476" y="568619"/>
                                </a:lnTo>
                                <a:lnTo>
                                  <a:pt x="41117" y="613638"/>
                                </a:lnTo>
                                <a:lnTo>
                                  <a:pt x="33610" y="659612"/>
                                </a:lnTo>
                                <a:lnTo>
                                  <a:pt x="29039" y="706453"/>
                                </a:lnTo>
                                <a:lnTo>
                                  <a:pt x="27493" y="754070"/>
                                </a:lnTo>
                                <a:lnTo>
                                  <a:pt x="29047" y="801771"/>
                                </a:lnTo>
                                <a:lnTo>
                                  <a:pt x="33631" y="848659"/>
                                </a:lnTo>
                                <a:lnTo>
                                  <a:pt x="41149" y="894637"/>
                                </a:lnTo>
                                <a:lnTo>
                                  <a:pt x="51502" y="939608"/>
                                </a:lnTo>
                                <a:lnTo>
                                  <a:pt x="64602" y="983492"/>
                                </a:lnTo>
                                <a:lnTo>
                                  <a:pt x="80341" y="1026142"/>
                                </a:lnTo>
                                <a:lnTo>
                                  <a:pt x="98639" y="1067517"/>
                                </a:lnTo>
                                <a:lnTo>
                                  <a:pt x="119389" y="1107497"/>
                                </a:lnTo>
                                <a:lnTo>
                                  <a:pt x="142496" y="1145988"/>
                                </a:lnTo>
                                <a:lnTo>
                                  <a:pt x="167864" y="1182894"/>
                                </a:lnTo>
                                <a:lnTo>
                                  <a:pt x="195396" y="1218118"/>
                                </a:lnTo>
                                <a:lnTo>
                                  <a:pt x="224996" y="1251564"/>
                                </a:lnTo>
                                <a:lnTo>
                                  <a:pt x="256567" y="1283135"/>
                                </a:lnTo>
                                <a:lnTo>
                                  <a:pt x="290013" y="1312734"/>
                                </a:lnTo>
                                <a:lnTo>
                                  <a:pt x="325237" y="1340266"/>
                                </a:lnTo>
                                <a:lnTo>
                                  <a:pt x="362143" y="1365634"/>
                                </a:lnTo>
                                <a:lnTo>
                                  <a:pt x="400635" y="1388741"/>
                                </a:lnTo>
                                <a:lnTo>
                                  <a:pt x="440615" y="1409491"/>
                                </a:lnTo>
                                <a:lnTo>
                                  <a:pt x="481988" y="1427787"/>
                                </a:lnTo>
                                <a:lnTo>
                                  <a:pt x="524656" y="1443533"/>
                                </a:lnTo>
                                <a:lnTo>
                                  <a:pt x="568524" y="1456632"/>
                                </a:lnTo>
                                <a:lnTo>
                                  <a:pt x="613495" y="1466989"/>
                                </a:lnTo>
                                <a:lnTo>
                                  <a:pt x="659473" y="1474506"/>
                                </a:lnTo>
                                <a:lnTo>
                                  <a:pt x="706360" y="1479087"/>
                                </a:lnTo>
                                <a:lnTo>
                                  <a:pt x="754061" y="1480635"/>
                                </a:lnTo>
                                <a:lnTo>
                                  <a:pt x="954914" y="1480635"/>
                                </a:lnTo>
                                <a:lnTo>
                                  <a:pt x="939512" y="1485050"/>
                                </a:lnTo>
                                <a:lnTo>
                                  <a:pt x="894493" y="1495009"/>
                                </a:lnTo>
                                <a:lnTo>
                                  <a:pt x="848519" y="1502233"/>
                                </a:lnTo>
                                <a:lnTo>
                                  <a:pt x="801678" y="1506633"/>
                                </a:lnTo>
                                <a:lnTo>
                                  <a:pt x="754061" y="1508119"/>
                                </a:lnTo>
                                <a:close/>
                              </a:path>
                              <a:path w="1508125" h="1508125">
                                <a:moveTo>
                                  <a:pt x="954914" y="1480635"/>
                                </a:moveTo>
                                <a:lnTo>
                                  <a:pt x="754061" y="1480635"/>
                                </a:lnTo>
                                <a:lnTo>
                                  <a:pt x="801761" y="1479087"/>
                                </a:lnTo>
                                <a:lnTo>
                                  <a:pt x="848648" y="1474506"/>
                                </a:lnTo>
                                <a:lnTo>
                                  <a:pt x="894626" y="1466989"/>
                                </a:lnTo>
                                <a:lnTo>
                                  <a:pt x="939597" y="1456632"/>
                                </a:lnTo>
                                <a:lnTo>
                                  <a:pt x="983465" y="1443532"/>
                                </a:lnTo>
                                <a:lnTo>
                                  <a:pt x="1026134" y="1427786"/>
                                </a:lnTo>
                                <a:lnTo>
                                  <a:pt x="1067507" y="1409490"/>
                                </a:lnTo>
                                <a:lnTo>
                                  <a:pt x="1107487" y="1388740"/>
                                </a:lnTo>
                                <a:lnTo>
                                  <a:pt x="1145979" y="1365632"/>
                                </a:lnTo>
                                <a:lnTo>
                                  <a:pt x="1182886" y="1340265"/>
                                </a:lnTo>
                                <a:lnTo>
                                  <a:pt x="1218110" y="1312732"/>
                                </a:lnTo>
                                <a:lnTo>
                                  <a:pt x="1251557" y="1283133"/>
                                </a:lnTo>
                                <a:lnTo>
                                  <a:pt x="1283128" y="1251562"/>
                                </a:lnTo>
                                <a:lnTo>
                                  <a:pt x="1312729" y="1218116"/>
                                </a:lnTo>
                                <a:lnTo>
                                  <a:pt x="1340261" y="1182892"/>
                                </a:lnTo>
                                <a:lnTo>
                                  <a:pt x="1365630" y="1145986"/>
                                </a:lnTo>
                                <a:lnTo>
                                  <a:pt x="1388738" y="1107494"/>
                                </a:lnTo>
                                <a:lnTo>
                                  <a:pt x="1409488" y="1067514"/>
                                </a:lnTo>
                                <a:lnTo>
                                  <a:pt x="1427785" y="1026142"/>
                                </a:lnTo>
                                <a:lnTo>
                                  <a:pt x="1443530" y="983473"/>
                                </a:lnTo>
                                <a:lnTo>
                                  <a:pt x="1456652" y="939517"/>
                                </a:lnTo>
                                <a:lnTo>
                                  <a:pt x="1467011" y="894499"/>
                                </a:lnTo>
                                <a:lnTo>
                                  <a:pt x="1474518" y="848526"/>
                                </a:lnTo>
                                <a:lnTo>
                                  <a:pt x="1479089" y="801686"/>
                                </a:lnTo>
                                <a:lnTo>
                                  <a:pt x="1480635" y="754070"/>
                                </a:lnTo>
                                <a:lnTo>
                                  <a:pt x="1479081" y="706368"/>
                                </a:lnTo>
                                <a:lnTo>
                                  <a:pt x="1474497" y="659480"/>
                                </a:lnTo>
                                <a:lnTo>
                                  <a:pt x="1466979" y="613502"/>
                                </a:lnTo>
                                <a:lnTo>
                                  <a:pt x="1456626" y="568530"/>
                                </a:lnTo>
                                <a:lnTo>
                                  <a:pt x="1443525" y="524643"/>
                                </a:lnTo>
                                <a:lnTo>
                                  <a:pt x="1427785" y="481993"/>
                                </a:lnTo>
                                <a:lnTo>
                                  <a:pt x="1409488" y="440619"/>
                                </a:lnTo>
                                <a:lnTo>
                                  <a:pt x="1388738" y="400638"/>
                                </a:lnTo>
                                <a:lnTo>
                                  <a:pt x="1365630" y="362147"/>
                                </a:lnTo>
                                <a:lnTo>
                                  <a:pt x="1340262" y="325240"/>
                                </a:lnTo>
                                <a:lnTo>
                                  <a:pt x="1312729" y="290015"/>
                                </a:lnTo>
                                <a:lnTo>
                                  <a:pt x="1283129" y="256569"/>
                                </a:lnTo>
                                <a:lnTo>
                                  <a:pt x="1251557" y="224997"/>
                                </a:lnTo>
                                <a:lnTo>
                                  <a:pt x="1218111" y="195397"/>
                                </a:lnTo>
                                <a:lnTo>
                                  <a:pt x="1182886" y="167865"/>
                                </a:lnTo>
                                <a:lnTo>
                                  <a:pt x="1145980" y="142496"/>
                                </a:lnTo>
                                <a:lnTo>
                                  <a:pt x="1107488" y="119389"/>
                                </a:lnTo>
                                <a:lnTo>
                                  <a:pt x="1067507" y="98639"/>
                                </a:lnTo>
                                <a:lnTo>
                                  <a:pt x="1026134" y="80342"/>
                                </a:lnTo>
                                <a:lnTo>
                                  <a:pt x="983465" y="64596"/>
                                </a:lnTo>
                                <a:lnTo>
                                  <a:pt x="939597" y="51496"/>
                                </a:lnTo>
                                <a:lnTo>
                                  <a:pt x="894626" y="41139"/>
                                </a:lnTo>
                                <a:lnTo>
                                  <a:pt x="848649" y="33622"/>
                                </a:lnTo>
                                <a:lnTo>
                                  <a:pt x="801761" y="29041"/>
                                </a:lnTo>
                                <a:lnTo>
                                  <a:pt x="754061" y="27493"/>
                                </a:lnTo>
                                <a:lnTo>
                                  <a:pt x="954942" y="27493"/>
                                </a:lnTo>
                                <a:lnTo>
                                  <a:pt x="1026330" y="50839"/>
                                </a:lnTo>
                                <a:lnTo>
                                  <a:pt x="1067949" y="68471"/>
                                </a:lnTo>
                                <a:lnTo>
                                  <a:pt x="1108258" y="88482"/>
                                </a:lnTo>
                                <a:lnTo>
                                  <a:pt x="1147166" y="110784"/>
                                </a:lnTo>
                                <a:lnTo>
                                  <a:pt x="1184585" y="135287"/>
                                </a:lnTo>
                                <a:lnTo>
                                  <a:pt x="1220425" y="161902"/>
                                </a:lnTo>
                                <a:lnTo>
                                  <a:pt x="1254599" y="190540"/>
                                </a:lnTo>
                                <a:lnTo>
                                  <a:pt x="1287016" y="221113"/>
                                </a:lnTo>
                                <a:lnTo>
                                  <a:pt x="1317588" y="253530"/>
                                </a:lnTo>
                                <a:lnTo>
                                  <a:pt x="1346225" y="287704"/>
                                </a:lnTo>
                                <a:lnTo>
                                  <a:pt x="1372840" y="323546"/>
                                </a:lnTo>
                                <a:lnTo>
                                  <a:pt x="1397342" y="360965"/>
                                </a:lnTo>
                                <a:lnTo>
                                  <a:pt x="1419643" y="399874"/>
                                </a:lnTo>
                                <a:lnTo>
                                  <a:pt x="1439653" y="440182"/>
                                </a:lnTo>
                                <a:lnTo>
                                  <a:pt x="1457352" y="481993"/>
                                </a:lnTo>
                                <a:lnTo>
                                  <a:pt x="1472452" y="524662"/>
                                </a:lnTo>
                                <a:lnTo>
                                  <a:pt x="1485047" y="568619"/>
                                </a:lnTo>
                                <a:lnTo>
                                  <a:pt x="1495003" y="613638"/>
                                </a:lnTo>
                                <a:lnTo>
                                  <a:pt x="1502228" y="659612"/>
                                </a:lnTo>
                                <a:lnTo>
                                  <a:pt x="1506630" y="706453"/>
                                </a:lnTo>
                                <a:lnTo>
                                  <a:pt x="1508122" y="754070"/>
                                </a:lnTo>
                                <a:lnTo>
                                  <a:pt x="1506628" y="801771"/>
                                </a:lnTo>
                                <a:lnTo>
                                  <a:pt x="1502215" y="848659"/>
                                </a:lnTo>
                                <a:lnTo>
                                  <a:pt x="1494982" y="894637"/>
                                </a:lnTo>
                                <a:lnTo>
                                  <a:pt x="1485027" y="939608"/>
                                </a:lnTo>
                                <a:lnTo>
                                  <a:pt x="1472446" y="983492"/>
                                </a:lnTo>
                                <a:lnTo>
                                  <a:pt x="1457271" y="1026333"/>
                                </a:lnTo>
                                <a:lnTo>
                                  <a:pt x="1439653" y="1067952"/>
                                </a:lnTo>
                                <a:lnTo>
                                  <a:pt x="1419642" y="1108260"/>
                                </a:lnTo>
                                <a:lnTo>
                                  <a:pt x="1397341" y="1147167"/>
                                </a:lnTo>
                                <a:lnTo>
                                  <a:pt x="1372839" y="1184586"/>
                                </a:lnTo>
                                <a:lnTo>
                                  <a:pt x="1346224" y="1220426"/>
                                </a:lnTo>
                                <a:lnTo>
                                  <a:pt x="1317587" y="1254599"/>
                                </a:lnTo>
                                <a:lnTo>
                                  <a:pt x="1287015" y="1287015"/>
                                </a:lnTo>
                                <a:lnTo>
                                  <a:pt x="1254598" y="1317587"/>
                                </a:lnTo>
                                <a:lnTo>
                                  <a:pt x="1220424" y="1346224"/>
                                </a:lnTo>
                                <a:lnTo>
                                  <a:pt x="1184584" y="1372838"/>
                                </a:lnTo>
                                <a:lnTo>
                                  <a:pt x="1147165" y="1397340"/>
                                </a:lnTo>
                                <a:lnTo>
                                  <a:pt x="1108257" y="1419640"/>
                                </a:lnTo>
                                <a:lnTo>
                                  <a:pt x="1067948" y="1439651"/>
                                </a:lnTo>
                                <a:lnTo>
                                  <a:pt x="1026329" y="1457282"/>
                                </a:lnTo>
                                <a:lnTo>
                                  <a:pt x="983487" y="1472445"/>
                                </a:lnTo>
                                <a:lnTo>
                                  <a:pt x="954914" y="1480635"/>
                                </a:lnTo>
                                <a:close/>
                              </a:path>
                            </a:pathLst>
                          </a:custGeom>
                          <a:solidFill>
                            <a:srgbClr val="FFFFFF"/>
                          </a:solidFill>
                        </wps:spPr>
                        <wps:bodyPr wrap="square" lIns="0" tIns="0" rIns="0" bIns="0" rtlCol="0">
                          <a:prstTxWarp prst="textNoShape">
                            <a:avLst/>
                          </a:prstTxWarp>
                          <a:noAutofit/>
                        </wps:bodyPr>
                      </wps:wsp>
                      <wps:wsp>
                        <wps:cNvPr id="491" name="Graphic 491"/>
                        <wps:cNvSpPr/>
                        <wps:spPr>
                          <a:xfrm>
                            <a:off x="655212" y="2933570"/>
                            <a:ext cx="3470910" cy="3184525"/>
                          </a:xfrm>
                          <a:custGeom>
                            <a:avLst/>
                            <a:gdLst/>
                            <a:ahLst/>
                            <a:cxnLst/>
                            <a:rect l="l" t="t" r="r" b="b"/>
                            <a:pathLst>
                              <a:path w="3470910" h="3184525">
                                <a:moveTo>
                                  <a:pt x="3113778" y="3184473"/>
                                </a:moveTo>
                                <a:lnTo>
                                  <a:pt x="361949" y="3184473"/>
                                </a:lnTo>
                                <a:lnTo>
                                  <a:pt x="312835" y="3181169"/>
                                </a:lnTo>
                                <a:lnTo>
                                  <a:pt x="265729" y="3171544"/>
                                </a:lnTo>
                                <a:lnTo>
                                  <a:pt x="221062" y="3156029"/>
                                </a:lnTo>
                                <a:lnTo>
                                  <a:pt x="179266" y="3135056"/>
                                </a:lnTo>
                                <a:lnTo>
                                  <a:pt x="140773" y="3109056"/>
                                </a:lnTo>
                                <a:lnTo>
                                  <a:pt x="106012" y="3078460"/>
                                </a:lnTo>
                                <a:lnTo>
                                  <a:pt x="75416" y="3043700"/>
                                </a:lnTo>
                                <a:lnTo>
                                  <a:pt x="49416" y="3005206"/>
                                </a:lnTo>
                                <a:lnTo>
                                  <a:pt x="28443" y="2963410"/>
                                </a:lnTo>
                                <a:lnTo>
                                  <a:pt x="12929" y="2918744"/>
                                </a:lnTo>
                                <a:lnTo>
                                  <a:pt x="3304" y="2871637"/>
                                </a:lnTo>
                                <a:lnTo>
                                  <a:pt x="0" y="2822523"/>
                                </a:lnTo>
                                <a:lnTo>
                                  <a:pt x="0" y="361949"/>
                                </a:lnTo>
                                <a:lnTo>
                                  <a:pt x="3304" y="312835"/>
                                </a:lnTo>
                                <a:lnTo>
                                  <a:pt x="12929" y="265729"/>
                                </a:lnTo>
                                <a:lnTo>
                                  <a:pt x="28443" y="221062"/>
                                </a:lnTo>
                                <a:lnTo>
                                  <a:pt x="49416" y="179266"/>
                                </a:lnTo>
                                <a:lnTo>
                                  <a:pt x="75416" y="140773"/>
                                </a:lnTo>
                                <a:lnTo>
                                  <a:pt x="106012" y="106012"/>
                                </a:lnTo>
                                <a:lnTo>
                                  <a:pt x="140773" y="75416"/>
                                </a:lnTo>
                                <a:lnTo>
                                  <a:pt x="179266" y="49416"/>
                                </a:lnTo>
                                <a:lnTo>
                                  <a:pt x="221062" y="28443"/>
                                </a:lnTo>
                                <a:lnTo>
                                  <a:pt x="265729" y="12929"/>
                                </a:lnTo>
                                <a:lnTo>
                                  <a:pt x="312835" y="3304"/>
                                </a:lnTo>
                                <a:lnTo>
                                  <a:pt x="361949" y="0"/>
                                </a:lnTo>
                                <a:lnTo>
                                  <a:pt x="3113778" y="0"/>
                                </a:lnTo>
                                <a:lnTo>
                                  <a:pt x="3162892" y="3304"/>
                                </a:lnTo>
                                <a:lnTo>
                                  <a:pt x="3209999" y="12929"/>
                                </a:lnTo>
                                <a:lnTo>
                                  <a:pt x="3254665" y="28443"/>
                                </a:lnTo>
                                <a:lnTo>
                                  <a:pt x="3296461" y="49416"/>
                                </a:lnTo>
                                <a:lnTo>
                                  <a:pt x="3334955" y="75416"/>
                                </a:lnTo>
                                <a:lnTo>
                                  <a:pt x="3369715" y="106012"/>
                                </a:lnTo>
                                <a:lnTo>
                                  <a:pt x="3400311" y="140773"/>
                                </a:lnTo>
                                <a:lnTo>
                                  <a:pt x="3426311" y="179266"/>
                                </a:lnTo>
                                <a:lnTo>
                                  <a:pt x="3447284" y="221062"/>
                                </a:lnTo>
                                <a:lnTo>
                                  <a:pt x="3462799" y="265729"/>
                                </a:lnTo>
                                <a:lnTo>
                                  <a:pt x="3470578" y="303802"/>
                                </a:lnTo>
                                <a:lnTo>
                                  <a:pt x="3470578" y="2880671"/>
                                </a:lnTo>
                                <a:lnTo>
                                  <a:pt x="3462799" y="2918744"/>
                                </a:lnTo>
                                <a:lnTo>
                                  <a:pt x="3447284" y="2963410"/>
                                </a:lnTo>
                                <a:lnTo>
                                  <a:pt x="3426311" y="3005206"/>
                                </a:lnTo>
                                <a:lnTo>
                                  <a:pt x="3400311" y="3043700"/>
                                </a:lnTo>
                                <a:lnTo>
                                  <a:pt x="3369715" y="3078460"/>
                                </a:lnTo>
                                <a:lnTo>
                                  <a:pt x="3334955" y="3109056"/>
                                </a:lnTo>
                                <a:lnTo>
                                  <a:pt x="3296461" y="3135056"/>
                                </a:lnTo>
                                <a:lnTo>
                                  <a:pt x="3254665" y="3156029"/>
                                </a:lnTo>
                                <a:lnTo>
                                  <a:pt x="3209999" y="3171544"/>
                                </a:lnTo>
                                <a:lnTo>
                                  <a:pt x="3162892" y="3181169"/>
                                </a:lnTo>
                                <a:lnTo>
                                  <a:pt x="3113778" y="3184473"/>
                                </a:lnTo>
                                <a:close/>
                              </a:path>
                            </a:pathLst>
                          </a:custGeom>
                          <a:solidFill>
                            <a:srgbClr val="00BE62">
                              <a:alpha val="55999"/>
                            </a:srgbClr>
                          </a:solidFill>
                        </wps:spPr>
                        <wps:bodyPr wrap="square" lIns="0" tIns="0" rIns="0" bIns="0" rtlCol="0">
                          <a:prstTxWarp prst="textNoShape">
                            <a:avLst/>
                          </a:prstTxWarp>
                          <a:noAutofit/>
                        </wps:bodyPr>
                      </wps:wsp>
                      <wps:wsp>
                        <wps:cNvPr id="492" name="Graphic 492"/>
                        <wps:cNvSpPr/>
                        <wps:spPr>
                          <a:xfrm>
                            <a:off x="4381134" y="4442463"/>
                            <a:ext cx="2773680" cy="1270"/>
                          </a:xfrm>
                          <a:custGeom>
                            <a:avLst/>
                            <a:gdLst/>
                            <a:ahLst/>
                            <a:cxnLst/>
                            <a:rect l="l" t="t" r="r" b="b"/>
                            <a:pathLst>
                              <a:path w="2773680" h="0">
                                <a:moveTo>
                                  <a:pt x="0" y="0"/>
                                </a:moveTo>
                                <a:lnTo>
                                  <a:pt x="2773600" y="0"/>
                                </a:lnTo>
                              </a:path>
                            </a:pathLst>
                          </a:custGeom>
                          <a:ln w="28574">
                            <a:solidFill>
                              <a:srgbClr val="1B6A4E"/>
                            </a:solidFill>
                            <a:prstDash val="sysDash"/>
                          </a:ln>
                        </wps:spPr>
                        <wps:bodyPr wrap="square" lIns="0" tIns="0" rIns="0" bIns="0" rtlCol="0">
                          <a:prstTxWarp prst="textNoShape">
                            <a:avLst/>
                          </a:prstTxWarp>
                          <a:noAutofit/>
                        </wps:bodyPr>
                      </wps:wsp>
                      <wps:wsp>
                        <wps:cNvPr id="493" name="Graphic 493"/>
                        <wps:cNvSpPr/>
                        <wps:spPr>
                          <a:xfrm>
                            <a:off x="4356888" y="5673677"/>
                            <a:ext cx="2773680" cy="1270"/>
                          </a:xfrm>
                          <a:custGeom>
                            <a:avLst/>
                            <a:gdLst/>
                            <a:ahLst/>
                            <a:cxnLst/>
                            <a:rect l="l" t="t" r="r" b="b"/>
                            <a:pathLst>
                              <a:path w="2773680" h="0">
                                <a:moveTo>
                                  <a:pt x="0" y="0"/>
                                </a:moveTo>
                                <a:lnTo>
                                  <a:pt x="2773600" y="0"/>
                                </a:lnTo>
                              </a:path>
                            </a:pathLst>
                          </a:custGeom>
                          <a:ln w="28574">
                            <a:solidFill>
                              <a:srgbClr val="1B6A4E"/>
                            </a:solidFill>
                            <a:prstDash val="sysDash"/>
                          </a:ln>
                        </wps:spPr>
                        <wps:bodyPr wrap="square" lIns="0" tIns="0" rIns="0" bIns="0" rtlCol="0">
                          <a:prstTxWarp prst="textNoShape">
                            <a:avLst/>
                          </a:prstTxWarp>
                          <a:noAutofit/>
                        </wps:bodyPr>
                      </wps:wsp>
                      <wps:wsp>
                        <wps:cNvPr id="494" name="Graphic 494"/>
                        <wps:cNvSpPr/>
                        <wps:spPr>
                          <a:xfrm>
                            <a:off x="4130968" y="1835302"/>
                            <a:ext cx="952500" cy="1043305"/>
                          </a:xfrm>
                          <a:custGeom>
                            <a:avLst/>
                            <a:gdLst/>
                            <a:ahLst/>
                            <a:cxnLst/>
                            <a:rect l="l" t="t" r="r" b="b"/>
                            <a:pathLst>
                              <a:path w="952500" h="1043305">
                                <a:moveTo>
                                  <a:pt x="491896" y="656310"/>
                                </a:moveTo>
                                <a:lnTo>
                                  <a:pt x="470128" y="636295"/>
                                </a:lnTo>
                                <a:lnTo>
                                  <a:pt x="466369" y="632409"/>
                                </a:lnTo>
                                <a:lnTo>
                                  <a:pt x="432308" y="673912"/>
                                </a:lnTo>
                                <a:lnTo>
                                  <a:pt x="406692" y="714235"/>
                                </a:lnTo>
                                <a:lnTo>
                                  <a:pt x="388543" y="754659"/>
                                </a:lnTo>
                                <a:lnTo>
                                  <a:pt x="376910" y="796493"/>
                                </a:lnTo>
                                <a:lnTo>
                                  <a:pt x="370801" y="841032"/>
                                </a:lnTo>
                                <a:lnTo>
                                  <a:pt x="361569" y="818349"/>
                                </a:lnTo>
                                <a:lnTo>
                                  <a:pt x="348068" y="790943"/>
                                </a:lnTo>
                                <a:lnTo>
                                  <a:pt x="329666" y="760107"/>
                                </a:lnTo>
                                <a:lnTo>
                                  <a:pt x="305765" y="727113"/>
                                </a:lnTo>
                                <a:lnTo>
                                  <a:pt x="304063" y="733018"/>
                                </a:lnTo>
                                <a:lnTo>
                                  <a:pt x="299999" y="743407"/>
                                </a:lnTo>
                                <a:lnTo>
                                  <a:pt x="270459" y="706996"/>
                                </a:lnTo>
                                <a:lnTo>
                                  <a:pt x="234645" y="670229"/>
                                </a:lnTo>
                                <a:lnTo>
                                  <a:pt x="192024" y="634441"/>
                                </a:lnTo>
                                <a:lnTo>
                                  <a:pt x="142062" y="600964"/>
                                </a:lnTo>
                                <a:lnTo>
                                  <a:pt x="194424" y="628929"/>
                                </a:lnTo>
                                <a:lnTo>
                                  <a:pt x="238734" y="660171"/>
                                </a:lnTo>
                                <a:lnTo>
                                  <a:pt x="275640" y="693356"/>
                                </a:lnTo>
                                <a:lnTo>
                                  <a:pt x="305765" y="727113"/>
                                </a:lnTo>
                                <a:lnTo>
                                  <a:pt x="306768" y="724738"/>
                                </a:lnTo>
                                <a:lnTo>
                                  <a:pt x="307174" y="723239"/>
                                </a:lnTo>
                                <a:lnTo>
                                  <a:pt x="287985" y="586473"/>
                                </a:lnTo>
                                <a:lnTo>
                                  <a:pt x="179197" y="525246"/>
                                </a:lnTo>
                                <a:lnTo>
                                  <a:pt x="57594" y="510120"/>
                                </a:lnTo>
                                <a:lnTo>
                                  <a:pt x="0" y="511619"/>
                                </a:lnTo>
                                <a:lnTo>
                                  <a:pt x="8559" y="525462"/>
                                </a:lnTo>
                                <a:lnTo>
                                  <a:pt x="29552" y="562419"/>
                                </a:lnTo>
                                <a:lnTo>
                                  <a:pt x="55968" y="615708"/>
                                </a:lnTo>
                                <a:lnTo>
                                  <a:pt x="80784" y="678510"/>
                                </a:lnTo>
                                <a:lnTo>
                                  <a:pt x="97790" y="715175"/>
                                </a:lnTo>
                                <a:lnTo>
                                  <a:pt x="122237" y="748055"/>
                                </a:lnTo>
                                <a:lnTo>
                                  <a:pt x="151892" y="774966"/>
                                </a:lnTo>
                                <a:lnTo>
                                  <a:pt x="184518" y="793724"/>
                                </a:lnTo>
                                <a:lnTo>
                                  <a:pt x="217881" y="802132"/>
                                </a:lnTo>
                                <a:lnTo>
                                  <a:pt x="249732" y="798004"/>
                                </a:lnTo>
                                <a:lnTo>
                                  <a:pt x="277863" y="779170"/>
                                </a:lnTo>
                                <a:lnTo>
                                  <a:pt x="299999" y="743432"/>
                                </a:lnTo>
                                <a:lnTo>
                                  <a:pt x="324497" y="784415"/>
                                </a:lnTo>
                                <a:lnTo>
                                  <a:pt x="341858" y="826236"/>
                                </a:lnTo>
                                <a:lnTo>
                                  <a:pt x="361607" y="887742"/>
                                </a:lnTo>
                                <a:lnTo>
                                  <a:pt x="362788" y="930643"/>
                                </a:lnTo>
                                <a:lnTo>
                                  <a:pt x="365823" y="966533"/>
                                </a:lnTo>
                                <a:lnTo>
                                  <a:pt x="374269" y="1037374"/>
                                </a:lnTo>
                                <a:lnTo>
                                  <a:pt x="379806" y="1039964"/>
                                </a:lnTo>
                                <a:lnTo>
                                  <a:pt x="392722" y="1042809"/>
                                </a:lnTo>
                                <a:lnTo>
                                  <a:pt x="407428" y="1038529"/>
                                </a:lnTo>
                                <a:lnTo>
                                  <a:pt x="418363" y="1019733"/>
                                </a:lnTo>
                                <a:lnTo>
                                  <a:pt x="411340" y="999375"/>
                                </a:lnTo>
                                <a:lnTo>
                                  <a:pt x="405866" y="964793"/>
                                </a:lnTo>
                                <a:lnTo>
                                  <a:pt x="403504" y="919518"/>
                                </a:lnTo>
                                <a:lnTo>
                                  <a:pt x="405777" y="867092"/>
                                </a:lnTo>
                                <a:lnTo>
                                  <a:pt x="414223" y="811022"/>
                                </a:lnTo>
                                <a:lnTo>
                                  <a:pt x="430364" y="754849"/>
                                </a:lnTo>
                                <a:lnTo>
                                  <a:pt x="455752" y="702094"/>
                                </a:lnTo>
                                <a:lnTo>
                                  <a:pt x="491896" y="656310"/>
                                </a:lnTo>
                                <a:close/>
                              </a:path>
                              <a:path w="952500" h="1043305">
                                <a:moveTo>
                                  <a:pt x="951966" y="277444"/>
                                </a:moveTo>
                                <a:lnTo>
                                  <a:pt x="948055" y="228663"/>
                                </a:lnTo>
                                <a:lnTo>
                                  <a:pt x="940079" y="180238"/>
                                </a:lnTo>
                                <a:lnTo>
                                  <a:pt x="927950" y="132664"/>
                                </a:lnTo>
                                <a:lnTo>
                                  <a:pt x="911567" y="86423"/>
                                </a:lnTo>
                                <a:lnTo>
                                  <a:pt x="890816" y="42037"/>
                                </a:lnTo>
                                <a:lnTo>
                                  <a:pt x="865606" y="0"/>
                                </a:lnTo>
                                <a:lnTo>
                                  <a:pt x="824407" y="62903"/>
                                </a:lnTo>
                                <a:lnTo>
                                  <a:pt x="787590" y="109956"/>
                                </a:lnTo>
                                <a:lnTo>
                                  <a:pt x="753503" y="144272"/>
                                </a:lnTo>
                                <a:lnTo>
                                  <a:pt x="720547" y="168998"/>
                                </a:lnTo>
                                <a:lnTo>
                                  <a:pt x="651510" y="202082"/>
                                </a:lnTo>
                                <a:lnTo>
                                  <a:pt x="612190" y="216700"/>
                                </a:lnTo>
                                <a:lnTo>
                                  <a:pt x="567486" y="234200"/>
                                </a:lnTo>
                                <a:lnTo>
                                  <a:pt x="505383" y="273024"/>
                                </a:lnTo>
                                <a:lnTo>
                                  <a:pt x="476034" y="300748"/>
                                </a:lnTo>
                                <a:lnTo>
                                  <a:pt x="449313" y="332778"/>
                                </a:lnTo>
                                <a:lnTo>
                                  <a:pt x="426377" y="368185"/>
                                </a:lnTo>
                                <a:lnTo>
                                  <a:pt x="408343" y="406031"/>
                                </a:lnTo>
                                <a:lnTo>
                                  <a:pt x="396354" y="445389"/>
                                </a:lnTo>
                                <a:lnTo>
                                  <a:pt x="391553" y="485317"/>
                                </a:lnTo>
                                <a:lnTo>
                                  <a:pt x="395046" y="524891"/>
                                </a:lnTo>
                                <a:lnTo>
                                  <a:pt x="407987" y="563181"/>
                                </a:lnTo>
                                <a:lnTo>
                                  <a:pt x="431507" y="599262"/>
                                </a:lnTo>
                                <a:lnTo>
                                  <a:pt x="466750" y="632180"/>
                                </a:lnTo>
                                <a:lnTo>
                                  <a:pt x="511619" y="583031"/>
                                </a:lnTo>
                                <a:lnTo>
                                  <a:pt x="542201" y="552196"/>
                                </a:lnTo>
                                <a:lnTo>
                                  <a:pt x="567270" y="530364"/>
                                </a:lnTo>
                                <a:lnTo>
                                  <a:pt x="595591" y="508292"/>
                                </a:lnTo>
                                <a:lnTo>
                                  <a:pt x="583819" y="447979"/>
                                </a:lnTo>
                                <a:lnTo>
                                  <a:pt x="592848" y="382168"/>
                                </a:lnTo>
                                <a:lnTo>
                                  <a:pt x="608596" y="329209"/>
                                </a:lnTo>
                                <a:lnTo>
                                  <a:pt x="616978" y="307467"/>
                                </a:lnTo>
                                <a:lnTo>
                                  <a:pt x="608203" y="379463"/>
                                </a:lnTo>
                                <a:lnTo>
                                  <a:pt x="609574" y="435635"/>
                                </a:lnTo>
                                <a:lnTo>
                                  <a:pt x="615226" y="472884"/>
                                </a:lnTo>
                                <a:lnTo>
                                  <a:pt x="619226" y="488124"/>
                                </a:lnTo>
                                <a:lnTo>
                                  <a:pt x="670001" y="451573"/>
                                </a:lnTo>
                                <a:lnTo>
                                  <a:pt x="702221" y="425627"/>
                                </a:lnTo>
                                <a:lnTo>
                                  <a:pt x="731989" y="396278"/>
                                </a:lnTo>
                                <a:lnTo>
                                  <a:pt x="726973" y="344728"/>
                                </a:lnTo>
                                <a:lnTo>
                                  <a:pt x="736384" y="298513"/>
                                </a:lnTo>
                                <a:lnTo>
                                  <a:pt x="749719" y="265214"/>
                                </a:lnTo>
                                <a:lnTo>
                                  <a:pt x="756500" y="252425"/>
                                </a:lnTo>
                                <a:lnTo>
                                  <a:pt x="751319" y="284784"/>
                                </a:lnTo>
                                <a:lnTo>
                                  <a:pt x="749642" y="320370"/>
                                </a:lnTo>
                                <a:lnTo>
                                  <a:pt x="754748" y="366064"/>
                                </a:lnTo>
                                <a:lnTo>
                                  <a:pt x="796505" y="298310"/>
                                </a:lnTo>
                                <a:lnTo>
                                  <a:pt x="824725" y="240919"/>
                                </a:lnTo>
                                <a:lnTo>
                                  <a:pt x="840689" y="201168"/>
                                </a:lnTo>
                                <a:lnTo>
                                  <a:pt x="845718" y="186296"/>
                                </a:lnTo>
                                <a:lnTo>
                                  <a:pt x="845121" y="202577"/>
                                </a:lnTo>
                                <a:lnTo>
                                  <a:pt x="838593" y="246037"/>
                                </a:lnTo>
                                <a:lnTo>
                                  <a:pt x="819023" y="308648"/>
                                </a:lnTo>
                                <a:lnTo>
                                  <a:pt x="779322" y="382371"/>
                                </a:lnTo>
                                <a:lnTo>
                                  <a:pt x="823709" y="376250"/>
                                </a:lnTo>
                                <a:lnTo>
                                  <a:pt x="856056" y="366102"/>
                                </a:lnTo>
                                <a:lnTo>
                                  <a:pt x="876173" y="356870"/>
                                </a:lnTo>
                                <a:lnTo>
                                  <a:pt x="883869" y="353517"/>
                                </a:lnTo>
                                <a:lnTo>
                                  <a:pt x="873709" y="362902"/>
                                </a:lnTo>
                                <a:lnTo>
                                  <a:pt x="846099" y="383387"/>
                                </a:lnTo>
                                <a:lnTo>
                                  <a:pt x="805332" y="403466"/>
                                </a:lnTo>
                                <a:lnTo>
                                  <a:pt x="755688" y="411632"/>
                                </a:lnTo>
                                <a:lnTo>
                                  <a:pt x="727837" y="441464"/>
                                </a:lnTo>
                                <a:lnTo>
                                  <a:pt x="690930" y="473176"/>
                                </a:lnTo>
                                <a:lnTo>
                                  <a:pt x="657860" y="499021"/>
                                </a:lnTo>
                                <a:lnTo>
                                  <a:pt x="641502" y="511289"/>
                                </a:lnTo>
                                <a:lnTo>
                                  <a:pt x="666330" y="516445"/>
                                </a:lnTo>
                                <a:lnTo>
                                  <a:pt x="704811" y="520166"/>
                                </a:lnTo>
                                <a:lnTo>
                                  <a:pt x="754900" y="518566"/>
                                </a:lnTo>
                                <a:lnTo>
                                  <a:pt x="814552" y="507758"/>
                                </a:lnTo>
                                <a:lnTo>
                                  <a:pt x="793711" y="515861"/>
                                </a:lnTo>
                                <a:lnTo>
                                  <a:pt x="742556" y="531545"/>
                                </a:lnTo>
                                <a:lnTo>
                                  <a:pt x="678167" y="541807"/>
                                </a:lnTo>
                                <a:lnTo>
                                  <a:pt x="617601" y="533692"/>
                                </a:lnTo>
                                <a:lnTo>
                                  <a:pt x="574675" y="570547"/>
                                </a:lnTo>
                                <a:lnTo>
                                  <a:pt x="543890" y="599986"/>
                                </a:lnTo>
                                <a:lnTo>
                                  <a:pt x="518528" y="626935"/>
                                </a:lnTo>
                                <a:lnTo>
                                  <a:pt x="491896" y="656310"/>
                                </a:lnTo>
                                <a:lnTo>
                                  <a:pt x="510260" y="670407"/>
                                </a:lnTo>
                                <a:lnTo>
                                  <a:pt x="563257" y="701268"/>
                                </a:lnTo>
                                <a:lnTo>
                                  <a:pt x="633552" y="721880"/>
                                </a:lnTo>
                                <a:lnTo>
                                  <a:pt x="673519" y="723201"/>
                                </a:lnTo>
                                <a:lnTo>
                                  <a:pt x="715797" y="715759"/>
                                </a:lnTo>
                                <a:lnTo>
                                  <a:pt x="759739" y="697496"/>
                                </a:lnTo>
                                <a:lnTo>
                                  <a:pt x="804672" y="666356"/>
                                </a:lnTo>
                                <a:lnTo>
                                  <a:pt x="849922" y="620255"/>
                                </a:lnTo>
                                <a:lnTo>
                                  <a:pt x="874674" y="586663"/>
                                </a:lnTo>
                                <a:lnTo>
                                  <a:pt x="896213" y="549440"/>
                                </a:lnTo>
                                <a:lnTo>
                                  <a:pt x="914425" y="509054"/>
                                </a:lnTo>
                                <a:lnTo>
                                  <a:pt x="929208" y="466026"/>
                                </a:lnTo>
                                <a:lnTo>
                                  <a:pt x="940460" y="420852"/>
                                </a:lnTo>
                                <a:lnTo>
                                  <a:pt x="948067" y="374027"/>
                                </a:lnTo>
                                <a:lnTo>
                                  <a:pt x="951941" y="326059"/>
                                </a:lnTo>
                                <a:lnTo>
                                  <a:pt x="951966" y="277444"/>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000052pt;margin-top:-.000032pt;width:612pt;height:481.75pt;mso-position-horizontal-relative:page;mso-position-vertical-relative:page;z-index:-20674048" id="docshapegroup392" coordorigin="0,0" coordsize="12240,9635">
                <v:shape style="position:absolute;left:0;top:0;width:12240;height:5030" type="#_x0000_t75" id="docshape393" stroked="false">
                  <v:imagedata r:id="rId642" o:title=""/>
                </v:shape>
                <v:shape style="position:absolute;left:8815;top:1021;width:2333;height:2332" type="#_x0000_t75" id="docshape394" stroked="false">
                  <v:imagedata r:id="rId98" o:title=""/>
                </v:shape>
                <v:shape style="position:absolute;left:8793;top:1000;width:2375;height:2375" id="docshape395" coordorigin="8793,1000" coordsize="2375,2375" path="m9981,3375l9906,3373,9832,3366,9760,3354,9689,3339,9620,3319,9552,3295,9487,3267,9423,3236,9362,3201,9303,3162,9247,3120,9193,3075,9142,3027,9094,2976,9048,2922,9007,2866,8968,2807,8933,2745,8901,2682,8873,2616,8850,2549,8830,2480,8814,2409,8803,2336,8796,2263,8793,2188,8796,2112,8803,2039,8814,1966,8830,1895,8850,1826,8874,1759,8901,1693,8933,1630,8968,1569,9007,1510,9048,1453,9094,1399,9142,1348,9193,1300,9247,1255,9303,1213,9362,1175,9423,1139,9487,1108,9552,1080,9620,1056,9689,1036,9760,1021,9832,1009,9906,1002,9981,1000,10056,1002,10130,1009,10202,1021,10273,1036,10297,1043,9981,1043,9906,1046,9832,1053,9760,1065,9689,1081,9620,1102,9552,1127,9487,1155,9424,1188,9364,1224,9306,1264,9250,1308,9198,1354,9148,1404,9101,1457,9058,1512,9018,1570,8981,1631,8949,1694,8920,1759,8895,1826,8875,1896,8858,1966,8846,2039,8839,2113,8837,2188,8839,2263,8846,2337,8858,2409,8875,2480,8895,2549,8920,2616,8949,2681,8981,2744,9018,2805,9058,2863,9101,2918,9148,2971,9198,3021,9250,3067,9306,3111,9364,3151,9424,3187,9487,3220,9552,3249,9620,3273,9689,3294,9760,3310,9832,3322,9906,3329,9981,3332,10297,3332,10273,3339,10202,3354,10130,3366,10056,3373,9981,3375xm10297,3332l9981,3332,10056,3329,10130,3322,10202,3310,10273,3294,10342,3273,10409,3249,10475,3220,10538,3187,10598,3151,10656,3111,10712,3067,10764,3021,10814,2971,10861,2918,10904,2863,10944,2805,10980,2744,11013,2681,11042,2616,11067,2549,11087,2480,11104,2409,11116,2336,11123,2263,11125,2188,11123,2112,11116,2039,11104,1966,11087,1895,11067,1826,11042,1759,11013,1694,10980,1631,10944,1570,10904,1512,10861,1457,10814,1404,10764,1354,10712,1308,10656,1264,10598,1224,10538,1188,10475,1155,10409,1127,10342,1102,10273,1081,10202,1065,10130,1053,10056,1046,9981,1043,10297,1043,10342,1056,10410,1080,10475,1108,10539,1139,10600,1175,10659,1213,10715,1255,10769,1300,10820,1348,10868,1399,10913,1453,10955,1510,10994,1569,11029,1630,11061,1693,11088,1759,11112,1826,11132,1896,11148,1966,11159,2039,11166,2113,11168,2188,11166,2263,11159,2337,11148,2409,11132,2480,11112,2549,11088,2616,11061,2682,11029,2745,10994,2807,10955,2866,10913,2922,10868,2976,10820,3027,10769,3075,10715,3120,10659,3162,10600,3201,10539,3236,10475,3267,10410,3295,10342,3319,10297,3332xe" filled="true" fillcolor="#ffffff" stroked="false">
                  <v:path arrowok="t"/>
                  <v:fill type="solid"/>
                </v:shape>
                <v:shape style="position:absolute;left:1031;top:4619;width:5466;height:5015" id="docshape396" coordorigin="1032,4620" coordsize="5466,5015" path="m5935,9635l1602,9635,1524,9630,1450,9614,1380,9590,1314,9557,1254,9516,1199,9468,1151,9413,1110,9352,1077,9287,1052,9216,1037,9142,1032,9065,1032,5190,1037,5112,1052,5038,1077,4968,1110,4902,1151,4841,1199,4787,1254,4739,1314,4698,1380,4665,1450,4640,1524,4625,1602,4620,5935,4620,6013,4625,6087,4640,6157,4665,6223,4698,6284,4739,6338,4787,6387,4841,6428,4902,6461,4968,6485,5038,6497,5098,6497,9156,6485,9216,6461,9287,6428,9352,6387,9413,6338,9468,6284,9516,6223,9557,6157,9590,6087,9614,6013,9630,5935,9635xe" filled="true" fillcolor="#00be62" stroked="false">
                  <v:path arrowok="t"/>
                  <v:fill opacity="36700f" type="solid"/>
                </v:shape>
                <v:line style="position:absolute" from="6899,6996" to="11267,6996" stroked="true" strokeweight="2.25pt" strokecolor="#1b6a4e">
                  <v:stroke dashstyle="shortdash"/>
                </v:line>
                <v:line style="position:absolute" from="6861,8935" to="11229,8935" stroked="true" strokeweight="2.25pt" strokecolor="#1b6a4e">
                  <v:stroke dashstyle="shortdash"/>
                </v:line>
                <v:shape style="position:absolute;left:6505;top:2890;width:1500;height:1643" id="docshape397" coordorigin="6505,2890" coordsize="1500,1643" path="m7280,3924l7246,3892,7240,3886,7186,3952,7146,4015,7117,4079,7099,4145,7089,4215,7075,4179,7054,4136,7025,4087,6987,4035,6984,4045,6978,4061,6931,4004,6875,3946,6808,3889,6729,3837,6812,3881,6881,3930,6940,3982,6987,4035,6987,4035,6989,4032,6989,4029,6959,3814,6788,3717,6596,3694,6505,3696,6519,3718,6552,3776,6594,3860,6633,3959,6659,4016,6698,4068,6745,4111,6796,4140,6849,4153,6899,4147,6943,4117,6978,4061,7016,4126,7044,4191,7075,4288,7077,4356,7082,4412,7095,4524,7104,4528,7124,4532,7147,4526,7164,4496,7153,4464,7145,4410,7141,4338,7144,4256,7158,4167,7183,4079,7223,3996,7280,3924xm8005,3327l7998,3250,7986,3174,7967,3099,7941,3026,7908,2956,7869,2890,7804,2989,7746,3063,7692,3117,7640,3156,7588,3185,7531,3208,7470,3231,7399,3259,7350,3285,7301,3320,7255,3364,7213,3414,7177,3470,7149,3530,7130,3592,7122,3655,7128,3717,7148,3777,7185,3834,7241,3886,7311,3808,7359,3760,7399,3725,7443,3691,7425,3596,7439,3492,7464,3409,7477,3374,7463,3488,7465,3576,7474,3635,7481,3659,7561,3601,7611,3561,7658,3514,7650,3433,7665,3360,7686,3308,7697,3288,7689,3339,7686,3395,7694,3467,7760,3360,7804,3270,7829,3207,7837,3184,7836,3209,7826,3278,7795,3376,7733,3492,7803,3483,7854,3467,7885,3452,7897,3447,7881,3462,7838,3494,7774,3526,7696,3538,7652,3585,7594,3635,7541,3676,7516,3695,7555,3704,7615,3709,7694,3707,7788,3690,7755,3703,7675,3727,7573,3743,7478,3731,7410,3789,7362,3835,7322,3878,7280,3924,7309,3946,7347,3971,7392,3995,7445,4014,7503,4027,7566,4029,7633,4017,7702,3989,7773,3940,7844,3867,7883,3814,7917,3755,7946,3692,7969,3624,7987,3553,7998,3479,8005,3404,8005,3327xe" filled="true" fillcolor="#ffffff" stroked="false">
                  <v:path arrowok="t"/>
                  <v:fill type="solid"/>
                </v:shape>
                <w10:wrap type="none"/>
              </v:group>
            </w:pict>
          </mc:Fallback>
        </mc:AlternateContent>
      </w:r>
      <w:r>
        <w:rPr/>
        <mc:AlternateContent>
          <mc:Choice Requires="wps">
            <w:drawing>
              <wp:anchor distT="0" distB="0" distL="0" distR="0" allowOverlap="1" layoutInCell="1" locked="0" behindDoc="0" simplePos="0" relativeHeight="15821312">
                <wp:simplePos x="0" y="0"/>
                <wp:positionH relativeFrom="page">
                  <wp:posOffset>335597</wp:posOffset>
                </wp:positionH>
                <wp:positionV relativeFrom="page">
                  <wp:posOffset>6241307</wp:posOffset>
                </wp:positionV>
                <wp:extent cx="3795395" cy="3142615"/>
                <wp:effectExtent l="0" t="0" r="0" b="0"/>
                <wp:wrapNone/>
                <wp:docPr id="495" name="Group 495"/>
                <wp:cNvGraphicFramePr>
                  <a:graphicFrameLocks/>
                </wp:cNvGraphicFramePr>
                <a:graphic>
                  <a:graphicData uri="http://schemas.microsoft.com/office/word/2010/wordprocessingGroup">
                    <wpg:wgp>
                      <wpg:cNvPr id="495" name="Group 495"/>
                      <wpg:cNvGrpSpPr/>
                      <wpg:grpSpPr>
                        <a:xfrm>
                          <a:off x="0" y="0"/>
                          <a:ext cx="3795395" cy="3142615"/>
                          <a:chExt cx="3795395" cy="3142615"/>
                        </a:xfrm>
                      </wpg:grpSpPr>
                      <pic:pic>
                        <pic:nvPicPr>
                          <pic:cNvPr id="496" name="Image 496"/>
                          <pic:cNvPicPr/>
                        </pic:nvPicPr>
                        <pic:blipFill>
                          <a:blip r:embed="rId643" cstate="print"/>
                          <a:stretch>
                            <a:fillRect/>
                          </a:stretch>
                        </pic:blipFill>
                        <pic:spPr>
                          <a:xfrm>
                            <a:off x="0" y="0"/>
                            <a:ext cx="3795342" cy="3142465"/>
                          </a:xfrm>
                          <a:prstGeom prst="rect">
                            <a:avLst/>
                          </a:prstGeom>
                        </pic:spPr>
                      </pic:pic>
                      <wps:wsp>
                        <wps:cNvPr id="497" name="Textbox 497"/>
                        <wps:cNvSpPr txBox="1"/>
                        <wps:spPr>
                          <a:xfrm>
                            <a:off x="441415" y="82468"/>
                            <a:ext cx="3189605" cy="942975"/>
                          </a:xfrm>
                          <a:prstGeom prst="rect">
                            <a:avLst/>
                          </a:prstGeom>
                        </wps:spPr>
                        <wps:txbx>
                          <w:txbxContent>
                            <w:p>
                              <w:pPr>
                                <w:spacing w:before="26"/>
                                <w:ind w:left="20" w:right="0" w:firstLine="0"/>
                                <w:jc w:val="left"/>
                                <w:rPr>
                                  <w:b/>
                                  <w:i/>
                                  <w:sz w:val="34"/>
                                </w:rPr>
                              </w:pPr>
                              <w:r>
                                <w:rPr>
                                  <w:b/>
                                  <w:i/>
                                  <w:spacing w:val="13"/>
                                  <w:w w:val="125"/>
                                  <w:sz w:val="34"/>
                                </w:rPr>
                                <w:t>RECOMMENDATIONS</w:t>
                              </w:r>
                            </w:p>
                            <w:p>
                              <w:pPr>
                                <w:spacing w:line="278" w:lineRule="auto" w:before="292"/>
                                <w:ind w:left="818" w:right="0" w:firstLine="0"/>
                                <w:jc w:val="left"/>
                                <w:rPr>
                                  <w:rFonts w:ascii="Georgia"/>
                                  <w:sz w:val="19"/>
                                </w:rPr>
                              </w:pPr>
                              <w:r>
                                <w:rPr>
                                  <w:rFonts w:ascii="Georgia"/>
                                  <w:w w:val="105"/>
                                  <w:sz w:val="19"/>
                                </w:rPr>
                                <w:t>Expand existing policies and programs addressing</w:t>
                              </w:r>
                              <w:r>
                                <w:rPr>
                                  <w:rFonts w:ascii="Georgia"/>
                                  <w:spacing w:val="-13"/>
                                  <w:w w:val="105"/>
                                  <w:sz w:val="19"/>
                                </w:rPr>
                                <w:t> </w:t>
                              </w:r>
                              <w:r>
                                <w:rPr>
                                  <w:rFonts w:ascii="Georgia"/>
                                  <w:w w:val="105"/>
                                  <w:sz w:val="19"/>
                                </w:rPr>
                                <w:t>environmental</w:t>
                              </w:r>
                              <w:r>
                                <w:rPr>
                                  <w:rFonts w:ascii="Georgia"/>
                                  <w:spacing w:val="-12"/>
                                  <w:w w:val="105"/>
                                  <w:sz w:val="19"/>
                                </w:rPr>
                                <w:t> </w:t>
                              </w:r>
                              <w:r>
                                <w:rPr>
                                  <w:rFonts w:ascii="Georgia"/>
                                  <w:w w:val="105"/>
                                  <w:sz w:val="19"/>
                                </w:rPr>
                                <w:t>inequities</w:t>
                              </w:r>
                              <w:r>
                                <w:rPr>
                                  <w:rFonts w:ascii="Georgia"/>
                                  <w:spacing w:val="-12"/>
                                  <w:w w:val="105"/>
                                  <w:sz w:val="19"/>
                                </w:rPr>
                                <w:t> </w:t>
                              </w:r>
                              <w:r>
                                <w:rPr>
                                  <w:rFonts w:ascii="Georgia"/>
                                  <w:w w:val="105"/>
                                  <w:sz w:val="19"/>
                                </w:rPr>
                                <w:t>to</w:t>
                              </w:r>
                              <w:r>
                                <w:rPr>
                                  <w:rFonts w:ascii="Georgia"/>
                                  <w:spacing w:val="-12"/>
                                  <w:w w:val="105"/>
                                  <w:sz w:val="19"/>
                                </w:rPr>
                                <w:t> </w:t>
                              </w:r>
                              <w:r>
                                <w:rPr>
                                  <w:rFonts w:ascii="Georgia"/>
                                  <w:w w:val="105"/>
                                  <w:sz w:val="19"/>
                                </w:rPr>
                                <w:t>include and</w:t>
                              </w:r>
                              <w:r>
                                <w:rPr>
                                  <w:rFonts w:ascii="Georgia"/>
                                  <w:spacing w:val="40"/>
                                  <w:w w:val="105"/>
                                  <w:sz w:val="19"/>
                                </w:rPr>
                                <w:t> </w:t>
                              </w:r>
                              <w:r>
                                <w:rPr>
                                  <w:rFonts w:ascii="Georgia"/>
                                  <w:w w:val="105"/>
                                  <w:sz w:val="19"/>
                                </w:rPr>
                                <w:t>LGBTQ</w:t>
                              </w:r>
                              <w:r>
                                <w:rPr>
                                  <w:rFonts w:ascii="Georgia"/>
                                  <w:spacing w:val="-1"/>
                                  <w:w w:val="105"/>
                                  <w:sz w:val="19"/>
                                </w:rPr>
                                <w:t> </w:t>
                              </w:r>
                              <w:r>
                                <w:rPr>
                                  <w:rFonts w:ascii="Georgia"/>
                                  <w:w w:val="105"/>
                                  <w:sz w:val="19"/>
                                </w:rPr>
                                <w:t>youth</w:t>
                              </w:r>
                              <w:r>
                                <w:rPr>
                                  <w:rFonts w:ascii="Georgia"/>
                                  <w:spacing w:val="-1"/>
                                  <w:w w:val="105"/>
                                  <w:sz w:val="19"/>
                                </w:rPr>
                                <w:t> </w:t>
                              </w:r>
                              <w:r>
                                <w:rPr>
                                  <w:rFonts w:ascii="Georgia"/>
                                  <w:w w:val="105"/>
                                  <w:sz w:val="19"/>
                                </w:rPr>
                                <w:t>across</w:t>
                              </w:r>
                              <w:r>
                                <w:rPr>
                                  <w:rFonts w:ascii="Georgia"/>
                                  <w:spacing w:val="-1"/>
                                  <w:w w:val="105"/>
                                  <w:sz w:val="19"/>
                                </w:rPr>
                                <w:t> </w:t>
                              </w:r>
                              <w:r>
                                <w:rPr>
                                  <w:rFonts w:ascii="Georgia"/>
                                  <w:w w:val="105"/>
                                  <w:sz w:val="19"/>
                                </w:rPr>
                                <w:t>the</w:t>
                              </w:r>
                              <w:r>
                                <w:rPr>
                                  <w:rFonts w:ascii="Georgia"/>
                                  <w:spacing w:val="-1"/>
                                  <w:w w:val="105"/>
                                  <w:sz w:val="19"/>
                                </w:rPr>
                                <w:t> </w:t>
                              </w:r>
                              <w:r>
                                <w:rPr>
                                  <w:rFonts w:ascii="Georgia"/>
                                  <w:w w:val="105"/>
                                  <w:sz w:val="19"/>
                                </w:rPr>
                                <w:t>Commonwealth.</w:t>
                              </w:r>
                            </w:p>
                          </w:txbxContent>
                        </wps:txbx>
                        <wps:bodyPr wrap="square" lIns="0" tIns="0" rIns="0" bIns="0" rtlCol="0">
                          <a:noAutofit/>
                        </wps:bodyPr>
                      </wps:wsp>
                      <wps:wsp>
                        <wps:cNvPr id="498" name="Textbox 498"/>
                        <wps:cNvSpPr txBox="1"/>
                        <wps:spPr>
                          <a:xfrm>
                            <a:off x="948261" y="1376055"/>
                            <a:ext cx="1834514" cy="166370"/>
                          </a:xfrm>
                          <a:prstGeom prst="rect">
                            <a:avLst/>
                          </a:prstGeom>
                        </wps:spPr>
                        <wps:txbx>
                          <w:txbxContent>
                            <w:p>
                              <w:pPr>
                                <w:spacing w:before="22"/>
                                <w:ind w:left="20" w:right="0" w:firstLine="0"/>
                                <w:jc w:val="left"/>
                                <w:rPr>
                                  <w:rFonts w:ascii="Georgia"/>
                                  <w:sz w:val="19"/>
                                </w:rPr>
                              </w:pPr>
                              <w:r>
                                <w:rPr>
                                  <w:rFonts w:ascii="Georgia"/>
                                  <w:sz w:val="19"/>
                                </w:rPr>
                                <w:t>Promote</w:t>
                              </w:r>
                              <w:r>
                                <w:rPr>
                                  <w:rFonts w:ascii="Georgia"/>
                                  <w:spacing w:val="16"/>
                                  <w:sz w:val="19"/>
                                </w:rPr>
                                <w:t> </w:t>
                              </w:r>
                              <w:r>
                                <w:rPr>
                                  <w:rFonts w:ascii="Georgia"/>
                                  <w:sz w:val="19"/>
                                </w:rPr>
                                <w:t>QTBIPOC</w:t>
                              </w:r>
                              <w:r>
                                <w:rPr>
                                  <w:rFonts w:ascii="Georgia"/>
                                  <w:spacing w:val="16"/>
                                  <w:sz w:val="19"/>
                                </w:rPr>
                                <w:t> </w:t>
                              </w:r>
                              <w:r>
                                <w:rPr>
                                  <w:rFonts w:ascii="Georgia"/>
                                  <w:sz w:val="19"/>
                                </w:rPr>
                                <w:t>youth</w:t>
                              </w:r>
                              <w:r>
                                <w:rPr>
                                  <w:rFonts w:ascii="Georgia"/>
                                  <w:spacing w:val="16"/>
                                  <w:sz w:val="19"/>
                                </w:rPr>
                                <w:t> </w:t>
                              </w:r>
                              <w:r>
                                <w:rPr>
                                  <w:rFonts w:ascii="Georgia"/>
                                  <w:spacing w:val="-2"/>
                                  <w:sz w:val="19"/>
                                </w:rPr>
                                <w:t>voices.</w:t>
                              </w:r>
                            </w:p>
                          </w:txbxContent>
                        </wps:txbx>
                        <wps:bodyPr wrap="square" lIns="0" tIns="0" rIns="0" bIns="0" rtlCol="0">
                          <a:noAutofit/>
                        </wps:bodyPr>
                      </wps:wsp>
                      <wps:wsp>
                        <wps:cNvPr id="499" name="Textbox 499"/>
                        <wps:cNvSpPr txBox="1"/>
                        <wps:spPr>
                          <a:xfrm>
                            <a:off x="948261" y="1858658"/>
                            <a:ext cx="2159000" cy="325120"/>
                          </a:xfrm>
                          <a:prstGeom prst="rect">
                            <a:avLst/>
                          </a:prstGeom>
                        </wps:spPr>
                        <wps:txbx>
                          <w:txbxContent>
                            <w:p>
                              <w:pPr>
                                <w:spacing w:line="278" w:lineRule="auto" w:before="10"/>
                                <w:ind w:left="20" w:right="38" w:firstLine="0"/>
                                <w:jc w:val="left"/>
                                <w:rPr>
                                  <w:rFonts w:ascii="Georgia"/>
                                  <w:sz w:val="19"/>
                                </w:rPr>
                              </w:pPr>
                              <w:r>
                                <w:rPr>
                                  <w:rFonts w:ascii="Georgia"/>
                                  <w:w w:val="105"/>
                                  <w:sz w:val="19"/>
                                </w:rPr>
                                <w:t>Improve</w:t>
                              </w:r>
                              <w:r>
                                <w:rPr>
                                  <w:rFonts w:ascii="Georgia"/>
                                  <w:spacing w:val="-2"/>
                                  <w:w w:val="105"/>
                                  <w:sz w:val="19"/>
                                </w:rPr>
                                <w:t> </w:t>
                              </w:r>
                              <w:r>
                                <w:rPr>
                                  <w:rFonts w:ascii="Georgia"/>
                                  <w:w w:val="105"/>
                                  <w:sz w:val="19"/>
                                </w:rPr>
                                <w:t>access</w:t>
                              </w:r>
                              <w:r>
                                <w:rPr>
                                  <w:rFonts w:ascii="Georgia"/>
                                  <w:spacing w:val="-2"/>
                                  <w:w w:val="105"/>
                                  <w:sz w:val="19"/>
                                </w:rPr>
                                <w:t> </w:t>
                              </w:r>
                              <w:r>
                                <w:rPr>
                                  <w:rFonts w:ascii="Georgia"/>
                                  <w:w w:val="105"/>
                                  <w:sz w:val="19"/>
                                </w:rPr>
                                <w:t>to</w:t>
                              </w:r>
                              <w:r>
                                <w:rPr>
                                  <w:rFonts w:ascii="Georgia"/>
                                  <w:spacing w:val="-2"/>
                                  <w:w w:val="105"/>
                                  <w:sz w:val="19"/>
                                </w:rPr>
                                <w:t> </w:t>
                              </w:r>
                              <w:r>
                                <w:rPr>
                                  <w:rFonts w:ascii="Georgia"/>
                                  <w:w w:val="105"/>
                                  <w:sz w:val="19"/>
                                </w:rPr>
                                <w:t>quality</w:t>
                              </w:r>
                              <w:r>
                                <w:rPr>
                                  <w:rFonts w:ascii="Georgia"/>
                                  <w:spacing w:val="-2"/>
                                  <w:w w:val="105"/>
                                  <w:sz w:val="19"/>
                                </w:rPr>
                                <w:t> </w:t>
                              </w:r>
                              <w:r>
                                <w:rPr>
                                  <w:rFonts w:ascii="Georgia"/>
                                  <w:w w:val="105"/>
                                  <w:sz w:val="19"/>
                                </w:rPr>
                                <w:t>health</w:t>
                              </w:r>
                              <w:r>
                                <w:rPr>
                                  <w:rFonts w:ascii="Georgia"/>
                                  <w:spacing w:val="-2"/>
                                  <w:w w:val="105"/>
                                  <w:sz w:val="19"/>
                                </w:rPr>
                                <w:t> </w:t>
                              </w:r>
                              <w:r>
                                <w:rPr>
                                  <w:rFonts w:ascii="Georgia"/>
                                  <w:w w:val="105"/>
                                  <w:sz w:val="19"/>
                                </w:rPr>
                                <w:t>care, </w:t>
                              </w:r>
                              <w:r>
                                <w:rPr>
                                  <w:rFonts w:ascii="Georgia"/>
                                  <w:spacing w:val="-2"/>
                                  <w:w w:val="105"/>
                                  <w:sz w:val="19"/>
                                </w:rPr>
                                <w:t>affordable</w:t>
                              </w:r>
                              <w:r>
                                <w:rPr>
                                  <w:rFonts w:ascii="Georgia"/>
                                  <w:spacing w:val="-9"/>
                                  <w:w w:val="105"/>
                                  <w:sz w:val="19"/>
                                </w:rPr>
                                <w:t> </w:t>
                              </w:r>
                              <w:r>
                                <w:rPr>
                                  <w:rFonts w:ascii="Georgia"/>
                                  <w:spacing w:val="-2"/>
                                  <w:w w:val="105"/>
                                  <w:sz w:val="19"/>
                                </w:rPr>
                                <w:t>housing,</w:t>
                              </w:r>
                              <w:r>
                                <w:rPr>
                                  <w:rFonts w:ascii="Georgia"/>
                                  <w:spacing w:val="-9"/>
                                  <w:w w:val="105"/>
                                  <w:sz w:val="19"/>
                                </w:rPr>
                                <w:t> </w:t>
                              </w:r>
                              <w:r>
                                <w:rPr>
                                  <w:rFonts w:ascii="Georgia"/>
                                  <w:spacing w:val="-2"/>
                                  <w:w w:val="105"/>
                                  <w:sz w:val="19"/>
                                </w:rPr>
                                <w:t>and</w:t>
                              </w:r>
                              <w:r>
                                <w:rPr>
                                  <w:rFonts w:ascii="Georgia"/>
                                  <w:spacing w:val="-9"/>
                                  <w:w w:val="105"/>
                                  <w:sz w:val="19"/>
                                </w:rPr>
                                <w:t> </w:t>
                              </w:r>
                              <w:r>
                                <w:rPr>
                                  <w:rFonts w:ascii="Georgia"/>
                                  <w:spacing w:val="-2"/>
                                  <w:w w:val="105"/>
                                  <w:sz w:val="19"/>
                                </w:rPr>
                                <w:t>stable</w:t>
                              </w:r>
                              <w:r>
                                <w:rPr>
                                  <w:rFonts w:ascii="Georgia"/>
                                  <w:spacing w:val="-9"/>
                                  <w:w w:val="105"/>
                                  <w:sz w:val="19"/>
                                </w:rPr>
                                <w:t> </w:t>
                              </w:r>
                              <w:r>
                                <w:rPr>
                                  <w:rFonts w:ascii="Georgia"/>
                                  <w:spacing w:val="-2"/>
                                  <w:w w:val="105"/>
                                  <w:sz w:val="19"/>
                                </w:rPr>
                                <w:t>income.</w:t>
                              </w:r>
                            </w:p>
                          </w:txbxContent>
                        </wps:txbx>
                        <wps:bodyPr wrap="square" lIns="0" tIns="0" rIns="0" bIns="0" rtlCol="0">
                          <a:noAutofit/>
                        </wps:bodyPr>
                      </wps:wsp>
                    </wpg:wgp>
                  </a:graphicData>
                </a:graphic>
              </wp:anchor>
            </w:drawing>
          </mc:Choice>
          <mc:Fallback>
            <w:pict>
              <v:group style="position:absolute;margin-left:26.424976pt;margin-top:491.441559pt;width:298.850pt;height:247.45pt;mso-position-horizontal-relative:page;mso-position-vertical-relative:page;z-index:15821312" id="docshapegroup398" coordorigin="528,9829" coordsize="5977,4949">
                <v:shape style="position:absolute;left:528;top:9828;width:5977;height:4949" type="#_x0000_t75" id="docshape399" stroked="false">
                  <v:imagedata r:id="rId643" o:title=""/>
                </v:shape>
                <v:shape style="position:absolute;left:1223;top:9958;width:5023;height:1485" type="#_x0000_t202" id="docshape400" filled="false" stroked="false">
                  <v:textbox inset="0,0,0,0">
                    <w:txbxContent>
                      <w:p>
                        <w:pPr>
                          <w:spacing w:before="26"/>
                          <w:ind w:left="20" w:right="0" w:firstLine="0"/>
                          <w:jc w:val="left"/>
                          <w:rPr>
                            <w:b/>
                            <w:i/>
                            <w:sz w:val="34"/>
                          </w:rPr>
                        </w:pPr>
                        <w:r>
                          <w:rPr>
                            <w:b/>
                            <w:i/>
                            <w:spacing w:val="13"/>
                            <w:w w:val="125"/>
                            <w:sz w:val="34"/>
                          </w:rPr>
                          <w:t>RECOMMENDATIONS</w:t>
                        </w:r>
                      </w:p>
                      <w:p>
                        <w:pPr>
                          <w:spacing w:line="278" w:lineRule="auto" w:before="292"/>
                          <w:ind w:left="818" w:right="0" w:firstLine="0"/>
                          <w:jc w:val="left"/>
                          <w:rPr>
                            <w:rFonts w:ascii="Georgia"/>
                            <w:sz w:val="19"/>
                          </w:rPr>
                        </w:pPr>
                        <w:r>
                          <w:rPr>
                            <w:rFonts w:ascii="Georgia"/>
                            <w:w w:val="105"/>
                            <w:sz w:val="19"/>
                          </w:rPr>
                          <w:t>Expand existing policies and programs addressing</w:t>
                        </w:r>
                        <w:r>
                          <w:rPr>
                            <w:rFonts w:ascii="Georgia"/>
                            <w:spacing w:val="-13"/>
                            <w:w w:val="105"/>
                            <w:sz w:val="19"/>
                          </w:rPr>
                          <w:t> </w:t>
                        </w:r>
                        <w:r>
                          <w:rPr>
                            <w:rFonts w:ascii="Georgia"/>
                            <w:w w:val="105"/>
                            <w:sz w:val="19"/>
                          </w:rPr>
                          <w:t>environmental</w:t>
                        </w:r>
                        <w:r>
                          <w:rPr>
                            <w:rFonts w:ascii="Georgia"/>
                            <w:spacing w:val="-12"/>
                            <w:w w:val="105"/>
                            <w:sz w:val="19"/>
                          </w:rPr>
                          <w:t> </w:t>
                        </w:r>
                        <w:r>
                          <w:rPr>
                            <w:rFonts w:ascii="Georgia"/>
                            <w:w w:val="105"/>
                            <w:sz w:val="19"/>
                          </w:rPr>
                          <w:t>inequities</w:t>
                        </w:r>
                        <w:r>
                          <w:rPr>
                            <w:rFonts w:ascii="Georgia"/>
                            <w:spacing w:val="-12"/>
                            <w:w w:val="105"/>
                            <w:sz w:val="19"/>
                          </w:rPr>
                          <w:t> </w:t>
                        </w:r>
                        <w:r>
                          <w:rPr>
                            <w:rFonts w:ascii="Georgia"/>
                            <w:w w:val="105"/>
                            <w:sz w:val="19"/>
                          </w:rPr>
                          <w:t>to</w:t>
                        </w:r>
                        <w:r>
                          <w:rPr>
                            <w:rFonts w:ascii="Georgia"/>
                            <w:spacing w:val="-12"/>
                            <w:w w:val="105"/>
                            <w:sz w:val="19"/>
                          </w:rPr>
                          <w:t> </w:t>
                        </w:r>
                        <w:r>
                          <w:rPr>
                            <w:rFonts w:ascii="Georgia"/>
                            <w:w w:val="105"/>
                            <w:sz w:val="19"/>
                          </w:rPr>
                          <w:t>include and</w:t>
                        </w:r>
                        <w:r>
                          <w:rPr>
                            <w:rFonts w:ascii="Georgia"/>
                            <w:spacing w:val="40"/>
                            <w:w w:val="105"/>
                            <w:sz w:val="19"/>
                          </w:rPr>
                          <w:t> </w:t>
                        </w:r>
                        <w:r>
                          <w:rPr>
                            <w:rFonts w:ascii="Georgia"/>
                            <w:w w:val="105"/>
                            <w:sz w:val="19"/>
                          </w:rPr>
                          <w:t>LGBTQ</w:t>
                        </w:r>
                        <w:r>
                          <w:rPr>
                            <w:rFonts w:ascii="Georgia"/>
                            <w:spacing w:val="-1"/>
                            <w:w w:val="105"/>
                            <w:sz w:val="19"/>
                          </w:rPr>
                          <w:t> </w:t>
                        </w:r>
                        <w:r>
                          <w:rPr>
                            <w:rFonts w:ascii="Georgia"/>
                            <w:w w:val="105"/>
                            <w:sz w:val="19"/>
                          </w:rPr>
                          <w:t>youth</w:t>
                        </w:r>
                        <w:r>
                          <w:rPr>
                            <w:rFonts w:ascii="Georgia"/>
                            <w:spacing w:val="-1"/>
                            <w:w w:val="105"/>
                            <w:sz w:val="19"/>
                          </w:rPr>
                          <w:t> </w:t>
                        </w:r>
                        <w:r>
                          <w:rPr>
                            <w:rFonts w:ascii="Georgia"/>
                            <w:w w:val="105"/>
                            <w:sz w:val="19"/>
                          </w:rPr>
                          <w:t>across</w:t>
                        </w:r>
                        <w:r>
                          <w:rPr>
                            <w:rFonts w:ascii="Georgia"/>
                            <w:spacing w:val="-1"/>
                            <w:w w:val="105"/>
                            <w:sz w:val="19"/>
                          </w:rPr>
                          <w:t> </w:t>
                        </w:r>
                        <w:r>
                          <w:rPr>
                            <w:rFonts w:ascii="Georgia"/>
                            <w:w w:val="105"/>
                            <w:sz w:val="19"/>
                          </w:rPr>
                          <w:t>the</w:t>
                        </w:r>
                        <w:r>
                          <w:rPr>
                            <w:rFonts w:ascii="Georgia"/>
                            <w:spacing w:val="-1"/>
                            <w:w w:val="105"/>
                            <w:sz w:val="19"/>
                          </w:rPr>
                          <w:t> </w:t>
                        </w:r>
                        <w:r>
                          <w:rPr>
                            <w:rFonts w:ascii="Georgia"/>
                            <w:w w:val="105"/>
                            <w:sz w:val="19"/>
                          </w:rPr>
                          <w:t>Commonwealth.</w:t>
                        </w:r>
                      </w:p>
                    </w:txbxContent>
                  </v:textbox>
                  <w10:wrap type="none"/>
                </v:shape>
                <v:shape style="position:absolute;left:2021;top:11995;width:2889;height:262" type="#_x0000_t202" id="docshape401" filled="false" stroked="false">
                  <v:textbox inset="0,0,0,0">
                    <w:txbxContent>
                      <w:p>
                        <w:pPr>
                          <w:spacing w:before="22"/>
                          <w:ind w:left="20" w:right="0" w:firstLine="0"/>
                          <w:jc w:val="left"/>
                          <w:rPr>
                            <w:rFonts w:ascii="Georgia"/>
                            <w:sz w:val="19"/>
                          </w:rPr>
                        </w:pPr>
                        <w:r>
                          <w:rPr>
                            <w:rFonts w:ascii="Georgia"/>
                            <w:sz w:val="19"/>
                          </w:rPr>
                          <w:t>Promote</w:t>
                        </w:r>
                        <w:r>
                          <w:rPr>
                            <w:rFonts w:ascii="Georgia"/>
                            <w:spacing w:val="16"/>
                            <w:sz w:val="19"/>
                          </w:rPr>
                          <w:t> </w:t>
                        </w:r>
                        <w:r>
                          <w:rPr>
                            <w:rFonts w:ascii="Georgia"/>
                            <w:sz w:val="19"/>
                          </w:rPr>
                          <w:t>QTBIPOC</w:t>
                        </w:r>
                        <w:r>
                          <w:rPr>
                            <w:rFonts w:ascii="Georgia"/>
                            <w:spacing w:val="16"/>
                            <w:sz w:val="19"/>
                          </w:rPr>
                          <w:t> </w:t>
                        </w:r>
                        <w:r>
                          <w:rPr>
                            <w:rFonts w:ascii="Georgia"/>
                            <w:sz w:val="19"/>
                          </w:rPr>
                          <w:t>youth</w:t>
                        </w:r>
                        <w:r>
                          <w:rPr>
                            <w:rFonts w:ascii="Georgia"/>
                            <w:spacing w:val="16"/>
                            <w:sz w:val="19"/>
                          </w:rPr>
                          <w:t> </w:t>
                        </w:r>
                        <w:r>
                          <w:rPr>
                            <w:rFonts w:ascii="Georgia"/>
                            <w:spacing w:val="-2"/>
                            <w:sz w:val="19"/>
                          </w:rPr>
                          <w:t>voices.</w:t>
                        </w:r>
                      </w:p>
                    </w:txbxContent>
                  </v:textbox>
                  <w10:wrap type="none"/>
                </v:shape>
                <v:shape style="position:absolute;left:2021;top:12755;width:3400;height:512" type="#_x0000_t202" id="docshape402" filled="false" stroked="false">
                  <v:textbox inset="0,0,0,0">
                    <w:txbxContent>
                      <w:p>
                        <w:pPr>
                          <w:spacing w:line="278" w:lineRule="auto" w:before="10"/>
                          <w:ind w:left="20" w:right="38" w:firstLine="0"/>
                          <w:jc w:val="left"/>
                          <w:rPr>
                            <w:rFonts w:ascii="Georgia"/>
                            <w:sz w:val="19"/>
                          </w:rPr>
                        </w:pPr>
                        <w:r>
                          <w:rPr>
                            <w:rFonts w:ascii="Georgia"/>
                            <w:w w:val="105"/>
                            <w:sz w:val="19"/>
                          </w:rPr>
                          <w:t>Improve</w:t>
                        </w:r>
                        <w:r>
                          <w:rPr>
                            <w:rFonts w:ascii="Georgia"/>
                            <w:spacing w:val="-2"/>
                            <w:w w:val="105"/>
                            <w:sz w:val="19"/>
                          </w:rPr>
                          <w:t> </w:t>
                        </w:r>
                        <w:r>
                          <w:rPr>
                            <w:rFonts w:ascii="Georgia"/>
                            <w:w w:val="105"/>
                            <w:sz w:val="19"/>
                          </w:rPr>
                          <w:t>access</w:t>
                        </w:r>
                        <w:r>
                          <w:rPr>
                            <w:rFonts w:ascii="Georgia"/>
                            <w:spacing w:val="-2"/>
                            <w:w w:val="105"/>
                            <w:sz w:val="19"/>
                          </w:rPr>
                          <w:t> </w:t>
                        </w:r>
                        <w:r>
                          <w:rPr>
                            <w:rFonts w:ascii="Georgia"/>
                            <w:w w:val="105"/>
                            <w:sz w:val="19"/>
                          </w:rPr>
                          <w:t>to</w:t>
                        </w:r>
                        <w:r>
                          <w:rPr>
                            <w:rFonts w:ascii="Georgia"/>
                            <w:spacing w:val="-2"/>
                            <w:w w:val="105"/>
                            <w:sz w:val="19"/>
                          </w:rPr>
                          <w:t> </w:t>
                        </w:r>
                        <w:r>
                          <w:rPr>
                            <w:rFonts w:ascii="Georgia"/>
                            <w:w w:val="105"/>
                            <w:sz w:val="19"/>
                          </w:rPr>
                          <w:t>quality</w:t>
                        </w:r>
                        <w:r>
                          <w:rPr>
                            <w:rFonts w:ascii="Georgia"/>
                            <w:spacing w:val="-2"/>
                            <w:w w:val="105"/>
                            <w:sz w:val="19"/>
                          </w:rPr>
                          <w:t> </w:t>
                        </w:r>
                        <w:r>
                          <w:rPr>
                            <w:rFonts w:ascii="Georgia"/>
                            <w:w w:val="105"/>
                            <w:sz w:val="19"/>
                          </w:rPr>
                          <w:t>health</w:t>
                        </w:r>
                        <w:r>
                          <w:rPr>
                            <w:rFonts w:ascii="Georgia"/>
                            <w:spacing w:val="-2"/>
                            <w:w w:val="105"/>
                            <w:sz w:val="19"/>
                          </w:rPr>
                          <w:t> </w:t>
                        </w:r>
                        <w:r>
                          <w:rPr>
                            <w:rFonts w:ascii="Georgia"/>
                            <w:w w:val="105"/>
                            <w:sz w:val="19"/>
                          </w:rPr>
                          <w:t>care, </w:t>
                        </w:r>
                        <w:r>
                          <w:rPr>
                            <w:rFonts w:ascii="Georgia"/>
                            <w:spacing w:val="-2"/>
                            <w:w w:val="105"/>
                            <w:sz w:val="19"/>
                          </w:rPr>
                          <w:t>affordable</w:t>
                        </w:r>
                        <w:r>
                          <w:rPr>
                            <w:rFonts w:ascii="Georgia"/>
                            <w:spacing w:val="-9"/>
                            <w:w w:val="105"/>
                            <w:sz w:val="19"/>
                          </w:rPr>
                          <w:t> </w:t>
                        </w:r>
                        <w:r>
                          <w:rPr>
                            <w:rFonts w:ascii="Georgia"/>
                            <w:spacing w:val="-2"/>
                            <w:w w:val="105"/>
                            <w:sz w:val="19"/>
                          </w:rPr>
                          <w:t>housing,</w:t>
                        </w:r>
                        <w:r>
                          <w:rPr>
                            <w:rFonts w:ascii="Georgia"/>
                            <w:spacing w:val="-9"/>
                            <w:w w:val="105"/>
                            <w:sz w:val="19"/>
                          </w:rPr>
                          <w:t> </w:t>
                        </w:r>
                        <w:r>
                          <w:rPr>
                            <w:rFonts w:ascii="Georgia"/>
                            <w:spacing w:val="-2"/>
                            <w:w w:val="105"/>
                            <w:sz w:val="19"/>
                          </w:rPr>
                          <w:t>and</w:t>
                        </w:r>
                        <w:r>
                          <w:rPr>
                            <w:rFonts w:ascii="Georgia"/>
                            <w:spacing w:val="-9"/>
                            <w:w w:val="105"/>
                            <w:sz w:val="19"/>
                          </w:rPr>
                          <w:t> </w:t>
                        </w:r>
                        <w:r>
                          <w:rPr>
                            <w:rFonts w:ascii="Georgia"/>
                            <w:spacing w:val="-2"/>
                            <w:w w:val="105"/>
                            <w:sz w:val="19"/>
                          </w:rPr>
                          <w:t>stable</w:t>
                        </w:r>
                        <w:r>
                          <w:rPr>
                            <w:rFonts w:ascii="Georgia"/>
                            <w:spacing w:val="-9"/>
                            <w:w w:val="105"/>
                            <w:sz w:val="19"/>
                          </w:rPr>
                          <w:t> </w:t>
                        </w:r>
                        <w:r>
                          <w:rPr>
                            <w:rFonts w:ascii="Georgia"/>
                            <w:spacing w:val="-2"/>
                            <w:w w:val="105"/>
                            <w:sz w:val="19"/>
                          </w:rPr>
                          <w:t>income.</w:t>
                        </w:r>
                      </w:p>
                    </w:txbxContent>
                  </v:textbox>
                  <w10:wrap type="none"/>
                </v:shape>
                <w10:wrap type="none"/>
              </v:group>
            </w:pict>
          </mc:Fallback>
        </mc:AlternateContent>
      </w:r>
    </w:p>
    <w:p>
      <w:pPr>
        <w:pStyle w:val="BodyText"/>
        <w:ind w:left="6077"/>
        <w:rPr>
          <w:rFonts w:ascii="Georgia"/>
          <w:sz w:val="20"/>
        </w:rPr>
      </w:pPr>
      <w:r>
        <w:rPr>
          <w:rFonts w:ascii="Georgia"/>
          <w:sz w:val="20"/>
        </w:rPr>
        <w:drawing>
          <wp:inline distT="0" distB="0" distL="0" distR="0">
            <wp:extent cx="2865345" cy="2454973"/>
            <wp:effectExtent l="0" t="0" r="0" b="0"/>
            <wp:docPr id="500" name="Image 500"/>
            <wp:cNvGraphicFramePr>
              <a:graphicFrameLocks/>
            </wp:cNvGraphicFramePr>
            <a:graphic>
              <a:graphicData uri="http://schemas.openxmlformats.org/drawingml/2006/picture">
                <pic:pic>
                  <pic:nvPicPr>
                    <pic:cNvPr id="500" name="Image 500"/>
                    <pic:cNvPicPr/>
                  </pic:nvPicPr>
                  <pic:blipFill>
                    <a:blip r:embed="rId644" cstate="print"/>
                    <a:stretch>
                      <a:fillRect/>
                    </a:stretch>
                  </pic:blipFill>
                  <pic:spPr>
                    <a:xfrm>
                      <a:off x="0" y="0"/>
                      <a:ext cx="2865345" cy="2454973"/>
                    </a:xfrm>
                    <a:prstGeom prst="rect">
                      <a:avLst/>
                    </a:prstGeom>
                  </pic:spPr>
                </pic:pic>
              </a:graphicData>
            </a:graphic>
          </wp:inline>
        </w:drawing>
      </w:r>
      <w:r>
        <w:rPr>
          <w:rFonts w:ascii="Georgia"/>
          <w:sz w:val="20"/>
        </w:rPr>
      </w:r>
    </w:p>
    <w:p>
      <w:pPr>
        <w:spacing w:after="0"/>
        <w:rPr>
          <w:rFonts w:ascii="Georgia"/>
          <w:sz w:val="20"/>
        </w:rPr>
        <w:sectPr>
          <w:type w:val="continuous"/>
          <w:pgSz w:w="12240" w:h="15840"/>
          <w:pgMar w:header="0" w:footer="0" w:top="1420" w:bottom="280" w:left="1120" w:right="340"/>
        </w:sectPr>
      </w:pPr>
    </w:p>
    <w:p>
      <w:pPr>
        <w:pStyle w:val="Heading7"/>
        <w:spacing w:before="286"/>
        <w:ind w:left="464"/>
      </w:pPr>
      <w:bookmarkStart w:name="FY 2025 - Economic - Review.pdf" w:id="830"/>
      <w:bookmarkEnd w:id="830"/>
      <w:r>
        <w:rPr/>
      </w:r>
      <w:bookmarkStart w:name="_bookmark554" w:id="831"/>
      <w:bookmarkEnd w:id="831"/>
      <w:r>
        <w:rPr/>
      </w:r>
      <w:hyperlink w:history="true" w:anchor="_bookmark3">
        <w:r>
          <w:rPr>
            <w:color w:val="365F91"/>
            <w:spacing w:val="-10"/>
          </w:rPr>
          <w:t>Examining</w:t>
        </w:r>
        <w:r>
          <w:rPr>
            <w:color w:val="365F91"/>
            <w:spacing w:val="-2"/>
          </w:rPr>
          <w:t> </w:t>
        </w:r>
        <w:r>
          <w:rPr>
            <w:color w:val="365F91"/>
            <w:spacing w:val="-10"/>
          </w:rPr>
          <w:t>Economic</w:t>
        </w:r>
        <w:r>
          <w:rPr>
            <w:color w:val="365F91"/>
          </w:rPr>
          <w:t> </w:t>
        </w:r>
        <w:r>
          <w:rPr>
            <w:color w:val="365F91"/>
            <w:spacing w:val="-10"/>
          </w:rPr>
          <w:t>Justice</w:t>
        </w:r>
      </w:hyperlink>
    </w:p>
    <w:p>
      <w:pPr>
        <w:spacing w:before="314"/>
        <w:ind w:left="464" w:right="0" w:firstLine="0"/>
        <w:jc w:val="left"/>
        <w:rPr>
          <w:sz w:val="28"/>
        </w:rPr>
      </w:pPr>
      <w:bookmarkStart w:name="Introduction" w:id="832"/>
      <w:bookmarkEnd w:id="832"/>
      <w:r>
        <w:rPr/>
      </w:r>
      <w:r>
        <w:rPr>
          <w:color w:val="365F91"/>
          <w:spacing w:val="-2"/>
          <w:sz w:val="28"/>
        </w:rPr>
        <w:t>Introduction</w:t>
      </w:r>
    </w:p>
    <w:p>
      <w:pPr>
        <w:pStyle w:val="BodyText"/>
        <w:spacing w:before="9"/>
        <w:rPr>
          <w:sz w:val="3"/>
        </w:rPr>
      </w:pPr>
      <w:r>
        <w:rPr/>
        <mc:AlternateContent>
          <mc:Choice Requires="wps">
            <w:drawing>
              <wp:anchor distT="0" distB="0" distL="0" distR="0" allowOverlap="1" layoutInCell="1" locked="0" behindDoc="1" simplePos="0" relativeHeight="487681024">
                <wp:simplePos x="0" y="0"/>
                <wp:positionH relativeFrom="page">
                  <wp:posOffset>986789</wp:posOffset>
                </wp:positionH>
                <wp:positionV relativeFrom="paragraph">
                  <wp:posOffset>44578</wp:posOffset>
                </wp:positionV>
                <wp:extent cx="5799455" cy="6350"/>
                <wp:effectExtent l="0" t="0" r="0" b="0"/>
                <wp:wrapTopAndBottom/>
                <wp:docPr id="504" name="Graphic 504"/>
                <wp:cNvGraphicFramePr>
                  <a:graphicFrameLocks/>
                </wp:cNvGraphicFramePr>
                <a:graphic>
                  <a:graphicData uri="http://schemas.microsoft.com/office/word/2010/wordprocessingShape">
                    <wps:wsp>
                      <wps:cNvPr id="504" name="Graphic 504"/>
                      <wps:cNvSpPr/>
                      <wps:spPr>
                        <a:xfrm>
                          <a:off x="0" y="0"/>
                          <a:ext cx="5799455" cy="6350"/>
                        </a:xfrm>
                        <a:custGeom>
                          <a:avLst/>
                          <a:gdLst/>
                          <a:ahLst/>
                          <a:cxnLst/>
                          <a:rect l="l" t="t" r="r" b="b"/>
                          <a:pathLst>
                            <a:path w="5799455" h="6350">
                              <a:moveTo>
                                <a:pt x="5798832" y="0"/>
                              </a:moveTo>
                              <a:lnTo>
                                <a:pt x="0" y="0"/>
                              </a:lnTo>
                              <a:lnTo>
                                <a:pt x="0" y="6108"/>
                              </a:lnTo>
                              <a:lnTo>
                                <a:pt x="5798832" y="6108"/>
                              </a:lnTo>
                              <a:lnTo>
                                <a:pt x="5798832" y="0"/>
                              </a:lnTo>
                              <a:close/>
                            </a:path>
                          </a:pathLst>
                        </a:custGeom>
                        <a:solidFill>
                          <a:srgbClr val="4F81BC"/>
                        </a:solidFill>
                      </wps:spPr>
                      <wps:bodyPr wrap="square" lIns="0" tIns="0" rIns="0" bIns="0" rtlCol="0">
                        <a:prstTxWarp prst="textNoShape">
                          <a:avLst/>
                        </a:prstTxWarp>
                        <a:noAutofit/>
                      </wps:bodyPr>
                    </wps:wsp>
                  </a:graphicData>
                </a:graphic>
              </wp:anchor>
            </w:drawing>
          </mc:Choice>
          <mc:Fallback>
            <w:pict>
              <v:rect style="position:absolute;margin-left:77.699997pt;margin-top:3.510094pt;width:456.601pt;height:.481pt;mso-position-horizontal-relative:page;mso-position-vertical-relative:paragraph;z-index:-15635456;mso-wrap-distance-left:0;mso-wrap-distance-right:0" id="docshape406" filled="true" fillcolor="#4f81bc" stroked="false">
                <v:fill type="solid"/>
                <w10:wrap type="topAndBottom"/>
              </v:rect>
            </w:pict>
          </mc:Fallback>
        </mc:AlternateContent>
      </w:r>
    </w:p>
    <w:p>
      <w:pPr>
        <w:spacing w:line="276" w:lineRule="auto" w:before="241"/>
        <w:ind w:left="463" w:right="199" w:firstLine="0"/>
        <w:jc w:val="both"/>
        <w:rPr>
          <w:sz w:val="21"/>
        </w:rPr>
      </w:pPr>
      <w:r>
        <w:rPr>
          <w:sz w:val="21"/>
        </w:rPr>
        <w:t>LGBTQ</w:t>
      </w:r>
      <w:r>
        <w:rPr>
          <w:spacing w:val="-2"/>
          <w:sz w:val="21"/>
        </w:rPr>
        <w:t> </w:t>
      </w:r>
      <w:r>
        <w:rPr>
          <w:sz w:val="21"/>
        </w:rPr>
        <w:t>youth</w:t>
      </w:r>
      <w:r>
        <w:rPr>
          <w:spacing w:val="-3"/>
          <w:sz w:val="21"/>
        </w:rPr>
        <w:t> </w:t>
      </w:r>
      <w:r>
        <w:rPr>
          <w:sz w:val="21"/>
        </w:rPr>
        <w:t>in</w:t>
      </w:r>
      <w:r>
        <w:rPr>
          <w:spacing w:val="-2"/>
          <w:sz w:val="21"/>
        </w:rPr>
        <w:t> </w:t>
      </w:r>
      <w:r>
        <w:rPr>
          <w:sz w:val="21"/>
        </w:rPr>
        <w:t>Massachusetts</w:t>
      </w:r>
      <w:r>
        <w:rPr>
          <w:spacing w:val="-2"/>
          <w:sz w:val="21"/>
        </w:rPr>
        <w:t> </w:t>
      </w:r>
      <w:r>
        <w:rPr>
          <w:sz w:val="21"/>
        </w:rPr>
        <w:t>face</w:t>
      </w:r>
      <w:r>
        <w:rPr>
          <w:spacing w:val="-3"/>
          <w:sz w:val="21"/>
        </w:rPr>
        <w:t> </w:t>
      </w:r>
      <w:r>
        <w:rPr>
          <w:sz w:val="21"/>
        </w:rPr>
        <w:t>several</w:t>
      </w:r>
      <w:r>
        <w:rPr>
          <w:spacing w:val="-2"/>
          <w:sz w:val="21"/>
        </w:rPr>
        <w:t> </w:t>
      </w:r>
      <w:r>
        <w:rPr>
          <w:sz w:val="21"/>
        </w:rPr>
        <w:t>barriers</w:t>
      </w:r>
      <w:r>
        <w:rPr>
          <w:spacing w:val="-4"/>
          <w:sz w:val="21"/>
        </w:rPr>
        <w:t> </w:t>
      </w:r>
      <w:r>
        <w:rPr>
          <w:sz w:val="21"/>
        </w:rPr>
        <w:t>to</w:t>
      </w:r>
      <w:r>
        <w:rPr>
          <w:spacing w:val="-3"/>
          <w:sz w:val="21"/>
        </w:rPr>
        <w:t> </w:t>
      </w:r>
      <w:r>
        <w:rPr>
          <w:sz w:val="21"/>
        </w:rPr>
        <w:t>economic</w:t>
      </w:r>
      <w:r>
        <w:rPr>
          <w:spacing w:val="-2"/>
          <w:sz w:val="21"/>
        </w:rPr>
        <w:t> </w:t>
      </w:r>
      <w:r>
        <w:rPr>
          <w:sz w:val="21"/>
        </w:rPr>
        <w:t>success,</w:t>
      </w:r>
      <w:r>
        <w:rPr>
          <w:spacing w:val="-1"/>
          <w:sz w:val="21"/>
        </w:rPr>
        <w:t> </w:t>
      </w:r>
      <w:r>
        <w:rPr>
          <w:sz w:val="21"/>
        </w:rPr>
        <w:t>ranging</w:t>
      </w:r>
      <w:r>
        <w:rPr>
          <w:spacing w:val="-2"/>
          <w:sz w:val="21"/>
        </w:rPr>
        <w:t> </w:t>
      </w:r>
      <w:r>
        <w:rPr>
          <w:sz w:val="21"/>
        </w:rPr>
        <w:t>from</w:t>
      </w:r>
      <w:r>
        <w:rPr>
          <w:spacing w:val="-2"/>
          <w:sz w:val="21"/>
        </w:rPr>
        <w:t> </w:t>
      </w:r>
      <w:r>
        <w:rPr>
          <w:sz w:val="21"/>
        </w:rPr>
        <w:t>lack</w:t>
      </w:r>
      <w:r>
        <w:rPr>
          <w:spacing w:val="-2"/>
          <w:sz w:val="21"/>
        </w:rPr>
        <w:t> </w:t>
      </w:r>
      <w:r>
        <w:rPr>
          <w:sz w:val="21"/>
        </w:rPr>
        <w:t>of</w:t>
      </w:r>
      <w:r>
        <w:rPr>
          <w:spacing w:val="-2"/>
          <w:sz w:val="21"/>
        </w:rPr>
        <w:t> </w:t>
      </w:r>
      <w:r>
        <w:rPr>
          <w:sz w:val="21"/>
        </w:rPr>
        <w:t>educational and</w:t>
      </w:r>
      <w:r>
        <w:rPr>
          <w:spacing w:val="-5"/>
          <w:sz w:val="21"/>
        </w:rPr>
        <w:t> </w:t>
      </w:r>
      <w:r>
        <w:rPr>
          <w:sz w:val="21"/>
        </w:rPr>
        <w:t>career</w:t>
      </w:r>
      <w:r>
        <w:rPr>
          <w:spacing w:val="-5"/>
          <w:sz w:val="21"/>
        </w:rPr>
        <w:t> </w:t>
      </w:r>
      <w:r>
        <w:rPr>
          <w:sz w:val="21"/>
        </w:rPr>
        <w:t>readiness</w:t>
      </w:r>
      <w:r>
        <w:rPr>
          <w:spacing w:val="-6"/>
          <w:sz w:val="21"/>
        </w:rPr>
        <w:t> </w:t>
      </w:r>
      <w:r>
        <w:rPr>
          <w:sz w:val="21"/>
        </w:rPr>
        <w:t>resources</w:t>
      </w:r>
      <w:r>
        <w:rPr>
          <w:spacing w:val="-6"/>
          <w:sz w:val="21"/>
        </w:rPr>
        <w:t> </w:t>
      </w:r>
      <w:r>
        <w:rPr>
          <w:sz w:val="21"/>
        </w:rPr>
        <w:t>to</w:t>
      </w:r>
      <w:r>
        <w:rPr>
          <w:spacing w:val="-6"/>
          <w:sz w:val="21"/>
        </w:rPr>
        <w:t> </w:t>
      </w:r>
      <w:r>
        <w:rPr>
          <w:sz w:val="21"/>
        </w:rPr>
        <w:t>discrimination</w:t>
      </w:r>
      <w:r>
        <w:rPr>
          <w:spacing w:val="-5"/>
          <w:sz w:val="21"/>
        </w:rPr>
        <w:t> </w:t>
      </w:r>
      <w:r>
        <w:rPr>
          <w:sz w:val="21"/>
        </w:rPr>
        <w:t>based</w:t>
      </w:r>
      <w:r>
        <w:rPr>
          <w:spacing w:val="-5"/>
          <w:sz w:val="21"/>
        </w:rPr>
        <w:t> </w:t>
      </w:r>
      <w:r>
        <w:rPr>
          <w:sz w:val="21"/>
        </w:rPr>
        <w:t>on</w:t>
      </w:r>
      <w:r>
        <w:rPr>
          <w:spacing w:val="-5"/>
          <w:sz w:val="21"/>
        </w:rPr>
        <w:t> </w:t>
      </w:r>
      <w:r>
        <w:rPr>
          <w:sz w:val="21"/>
        </w:rPr>
        <w:t>their</w:t>
      </w:r>
      <w:r>
        <w:rPr>
          <w:spacing w:val="-5"/>
          <w:sz w:val="21"/>
        </w:rPr>
        <w:t> </w:t>
      </w:r>
      <w:r>
        <w:rPr>
          <w:sz w:val="21"/>
        </w:rPr>
        <w:t>LGBTQ</w:t>
      </w:r>
      <w:r>
        <w:rPr>
          <w:spacing w:val="-5"/>
          <w:sz w:val="21"/>
        </w:rPr>
        <w:t> </w:t>
      </w:r>
      <w:r>
        <w:rPr>
          <w:sz w:val="21"/>
        </w:rPr>
        <w:t>identity.</w:t>
      </w:r>
      <w:r>
        <w:rPr>
          <w:spacing w:val="-6"/>
          <w:sz w:val="21"/>
        </w:rPr>
        <w:t> </w:t>
      </w:r>
      <w:r>
        <w:rPr>
          <w:sz w:val="21"/>
        </w:rPr>
        <w:t>LGBTQ</w:t>
      </w:r>
      <w:r>
        <w:rPr>
          <w:spacing w:val="-5"/>
          <w:sz w:val="21"/>
        </w:rPr>
        <w:t> </w:t>
      </w:r>
      <w:r>
        <w:rPr>
          <w:sz w:val="21"/>
        </w:rPr>
        <w:t>youth</w:t>
      </w:r>
      <w:r>
        <w:rPr>
          <w:spacing w:val="-5"/>
          <w:sz w:val="21"/>
        </w:rPr>
        <w:t> </w:t>
      </w:r>
      <w:r>
        <w:rPr>
          <w:sz w:val="21"/>
        </w:rPr>
        <w:t>have</w:t>
      </w:r>
      <w:r>
        <w:rPr>
          <w:spacing w:val="-5"/>
          <w:sz w:val="21"/>
        </w:rPr>
        <w:t> </w:t>
      </w:r>
      <w:r>
        <w:rPr>
          <w:sz w:val="21"/>
        </w:rPr>
        <w:t>diverse identities and needs that must be addressed in education to sufficiently prepare them for the workforce. LGBTQ youth are overrepresented in the foster care system due to a lack of supportive homes, are more likely to age out of the foster care system than their cisgender and straight peers and are more likely to experience homelessness when aging out of the foster care system. Youth in the juvenile justice system, including LGBTQ youth, lack quality instruction, educational materials, and support in transitioning out of the</w:t>
      </w:r>
      <w:r>
        <w:rPr>
          <w:spacing w:val="-12"/>
          <w:sz w:val="21"/>
        </w:rPr>
        <w:t> </w:t>
      </w:r>
      <w:r>
        <w:rPr>
          <w:sz w:val="21"/>
        </w:rPr>
        <w:t>system</w:t>
      </w:r>
      <w:r>
        <w:rPr>
          <w:spacing w:val="-11"/>
          <w:sz w:val="21"/>
        </w:rPr>
        <w:t> </w:t>
      </w:r>
      <w:r>
        <w:rPr>
          <w:sz w:val="21"/>
        </w:rPr>
        <w:t>to</w:t>
      </w:r>
      <w:r>
        <w:rPr>
          <w:spacing w:val="-12"/>
          <w:sz w:val="21"/>
        </w:rPr>
        <w:t> </w:t>
      </w:r>
      <w:r>
        <w:rPr>
          <w:sz w:val="21"/>
        </w:rPr>
        <w:t>employment.</w:t>
      </w:r>
      <w:r>
        <w:rPr>
          <w:spacing w:val="-12"/>
          <w:sz w:val="21"/>
        </w:rPr>
        <w:t> </w:t>
      </w:r>
      <w:r>
        <w:rPr>
          <w:sz w:val="21"/>
        </w:rPr>
        <w:t>LGBTQ</w:t>
      </w:r>
      <w:r>
        <w:rPr>
          <w:spacing w:val="-11"/>
          <w:sz w:val="21"/>
        </w:rPr>
        <w:t> </w:t>
      </w:r>
      <w:r>
        <w:rPr>
          <w:sz w:val="21"/>
        </w:rPr>
        <w:t>youth</w:t>
      </w:r>
      <w:r>
        <w:rPr>
          <w:spacing w:val="-12"/>
          <w:sz w:val="21"/>
        </w:rPr>
        <w:t> </w:t>
      </w:r>
      <w:r>
        <w:rPr>
          <w:sz w:val="21"/>
        </w:rPr>
        <w:t>who</w:t>
      </w:r>
      <w:r>
        <w:rPr>
          <w:spacing w:val="-12"/>
          <w:sz w:val="21"/>
        </w:rPr>
        <w:t> </w:t>
      </w:r>
      <w:r>
        <w:rPr>
          <w:sz w:val="21"/>
        </w:rPr>
        <w:t>are</w:t>
      </w:r>
      <w:r>
        <w:rPr>
          <w:spacing w:val="-11"/>
          <w:sz w:val="21"/>
        </w:rPr>
        <w:t> </w:t>
      </w:r>
      <w:r>
        <w:rPr>
          <w:sz w:val="21"/>
        </w:rPr>
        <w:t>immigrants,</w:t>
      </w:r>
      <w:r>
        <w:rPr>
          <w:spacing w:val="-11"/>
          <w:sz w:val="21"/>
        </w:rPr>
        <w:t> </w:t>
      </w:r>
      <w:r>
        <w:rPr>
          <w:sz w:val="21"/>
        </w:rPr>
        <w:t>children</w:t>
      </w:r>
      <w:r>
        <w:rPr>
          <w:spacing w:val="-11"/>
          <w:sz w:val="21"/>
        </w:rPr>
        <w:t> </w:t>
      </w:r>
      <w:r>
        <w:rPr>
          <w:sz w:val="21"/>
        </w:rPr>
        <w:t>of</w:t>
      </w:r>
      <w:r>
        <w:rPr>
          <w:spacing w:val="-12"/>
          <w:sz w:val="21"/>
        </w:rPr>
        <w:t> </w:t>
      </w:r>
      <w:r>
        <w:rPr>
          <w:sz w:val="21"/>
        </w:rPr>
        <w:t>immigrants,</w:t>
      </w:r>
      <w:r>
        <w:rPr>
          <w:spacing w:val="-11"/>
          <w:sz w:val="21"/>
        </w:rPr>
        <w:t> </w:t>
      </w:r>
      <w:r>
        <w:rPr>
          <w:sz w:val="21"/>
        </w:rPr>
        <w:t>or</w:t>
      </w:r>
      <w:r>
        <w:rPr>
          <w:spacing w:val="-11"/>
          <w:sz w:val="21"/>
        </w:rPr>
        <w:t> </w:t>
      </w:r>
      <w:r>
        <w:rPr>
          <w:sz w:val="21"/>
        </w:rPr>
        <w:t>refugees</w:t>
      </w:r>
      <w:r>
        <w:rPr>
          <w:spacing w:val="-12"/>
          <w:sz w:val="21"/>
        </w:rPr>
        <w:t> </w:t>
      </w:r>
      <w:r>
        <w:rPr>
          <w:sz w:val="21"/>
        </w:rPr>
        <w:t>may</w:t>
      </w:r>
      <w:r>
        <w:rPr>
          <w:spacing w:val="-12"/>
          <w:sz w:val="21"/>
        </w:rPr>
        <w:t> </w:t>
      </w:r>
      <w:r>
        <w:rPr>
          <w:sz w:val="21"/>
        </w:rPr>
        <w:t>face language</w:t>
      </w:r>
      <w:r>
        <w:rPr>
          <w:spacing w:val="-1"/>
          <w:sz w:val="21"/>
        </w:rPr>
        <w:t> </w:t>
      </w:r>
      <w:r>
        <w:rPr>
          <w:sz w:val="21"/>
        </w:rPr>
        <w:t>barriers</w:t>
      </w:r>
      <w:r>
        <w:rPr>
          <w:spacing w:val="-1"/>
          <w:sz w:val="21"/>
        </w:rPr>
        <w:t> </w:t>
      </w:r>
      <w:r>
        <w:rPr>
          <w:sz w:val="21"/>
        </w:rPr>
        <w:t>to</w:t>
      </w:r>
      <w:r>
        <w:rPr>
          <w:spacing w:val="-1"/>
          <w:sz w:val="21"/>
        </w:rPr>
        <w:t> </w:t>
      </w:r>
      <w:r>
        <w:rPr>
          <w:sz w:val="21"/>
        </w:rPr>
        <w:t>education</w:t>
      </w:r>
      <w:r>
        <w:rPr>
          <w:spacing w:val="-1"/>
          <w:sz w:val="21"/>
        </w:rPr>
        <w:t> </w:t>
      </w:r>
      <w:r>
        <w:rPr>
          <w:sz w:val="21"/>
        </w:rPr>
        <w:t>and</w:t>
      </w:r>
      <w:r>
        <w:rPr>
          <w:spacing w:val="-1"/>
          <w:sz w:val="21"/>
        </w:rPr>
        <w:t> </w:t>
      </w:r>
      <w:r>
        <w:rPr>
          <w:sz w:val="21"/>
        </w:rPr>
        <w:t>employment, which</w:t>
      </w:r>
      <w:r>
        <w:rPr>
          <w:spacing w:val="-3"/>
          <w:sz w:val="21"/>
        </w:rPr>
        <w:t> </w:t>
      </w:r>
      <w:r>
        <w:rPr>
          <w:sz w:val="21"/>
        </w:rPr>
        <w:t>limit their</w:t>
      </w:r>
      <w:r>
        <w:rPr>
          <w:spacing w:val="-2"/>
          <w:sz w:val="21"/>
        </w:rPr>
        <w:t> </w:t>
      </w:r>
      <w:r>
        <w:rPr>
          <w:sz w:val="21"/>
        </w:rPr>
        <w:t>access</w:t>
      </w:r>
      <w:r>
        <w:rPr>
          <w:spacing w:val="-1"/>
          <w:sz w:val="21"/>
        </w:rPr>
        <w:t> </w:t>
      </w:r>
      <w:r>
        <w:rPr>
          <w:sz w:val="21"/>
        </w:rPr>
        <w:t>to</w:t>
      </w:r>
      <w:r>
        <w:rPr>
          <w:spacing w:val="-1"/>
          <w:sz w:val="21"/>
        </w:rPr>
        <w:t> </w:t>
      </w:r>
      <w:r>
        <w:rPr>
          <w:sz w:val="21"/>
        </w:rPr>
        <w:t>employment opportunities.</w:t>
      </w:r>
      <w:r>
        <w:rPr>
          <w:spacing w:val="-1"/>
          <w:sz w:val="21"/>
        </w:rPr>
        <w:t> </w:t>
      </w:r>
      <w:r>
        <w:rPr>
          <w:sz w:val="21"/>
        </w:rPr>
        <w:t>In general, LGBTQ high school students lack appropriate resources on career readiness and navigating being LGBTQ in the workplace.</w:t>
      </w:r>
    </w:p>
    <w:p>
      <w:pPr>
        <w:spacing w:line="276" w:lineRule="auto" w:before="242"/>
        <w:ind w:left="463" w:right="198" w:firstLine="0"/>
        <w:jc w:val="both"/>
        <w:rPr>
          <w:sz w:val="21"/>
        </w:rPr>
      </w:pPr>
      <w:r>
        <w:rPr>
          <w:sz w:val="21"/>
        </w:rPr>
        <w:t>Once they transition from education to the labor force, LGBTQ youth experience higher unemployment rates</w:t>
      </w:r>
      <w:r>
        <w:rPr>
          <w:spacing w:val="-5"/>
          <w:sz w:val="21"/>
        </w:rPr>
        <w:t> </w:t>
      </w:r>
      <w:r>
        <w:rPr>
          <w:sz w:val="21"/>
        </w:rPr>
        <w:t>than</w:t>
      </w:r>
      <w:r>
        <w:rPr>
          <w:spacing w:val="-4"/>
          <w:sz w:val="21"/>
        </w:rPr>
        <w:t> </w:t>
      </w:r>
      <w:r>
        <w:rPr>
          <w:sz w:val="21"/>
        </w:rPr>
        <w:t>their</w:t>
      </w:r>
      <w:r>
        <w:rPr>
          <w:spacing w:val="-4"/>
          <w:sz w:val="21"/>
        </w:rPr>
        <w:t> </w:t>
      </w:r>
      <w:r>
        <w:rPr>
          <w:sz w:val="21"/>
        </w:rPr>
        <w:t>cisgender</w:t>
      </w:r>
      <w:r>
        <w:rPr>
          <w:spacing w:val="-4"/>
          <w:sz w:val="21"/>
        </w:rPr>
        <w:t> </w:t>
      </w:r>
      <w:r>
        <w:rPr>
          <w:sz w:val="21"/>
        </w:rPr>
        <w:t>and</w:t>
      </w:r>
      <w:r>
        <w:rPr>
          <w:spacing w:val="-4"/>
          <w:sz w:val="21"/>
        </w:rPr>
        <w:t> </w:t>
      </w:r>
      <w:r>
        <w:rPr>
          <w:sz w:val="21"/>
        </w:rPr>
        <w:t>straight</w:t>
      </w:r>
      <w:r>
        <w:rPr>
          <w:spacing w:val="-4"/>
          <w:sz w:val="21"/>
        </w:rPr>
        <w:t> </w:t>
      </w:r>
      <w:r>
        <w:rPr>
          <w:sz w:val="21"/>
        </w:rPr>
        <w:t>peers</w:t>
      </w:r>
      <w:r>
        <w:rPr>
          <w:spacing w:val="-5"/>
          <w:sz w:val="21"/>
        </w:rPr>
        <w:t> </w:t>
      </w:r>
      <w:r>
        <w:rPr>
          <w:sz w:val="21"/>
        </w:rPr>
        <w:t>due</w:t>
      </w:r>
      <w:r>
        <w:rPr>
          <w:spacing w:val="-4"/>
          <w:sz w:val="21"/>
        </w:rPr>
        <w:t> </w:t>
      </w:r>
      <w:r>
        <w:rPr>
          <w:sz w:val="21"/>
        </w:rPr>
        <w:t>to</w:t>
      </w:r>
      <w:r>
        <w:rPr>
          <w:spacing w:val="-5"/>
          <w:sz w:val="21"/>
        </w:rPr>
        <w:t> </w:t>
      </w:r>
      <w:r>
        <w:rPr>
          <w:sz w:val="21"/>
        </w:rPr>
        <w:t>several</w:t>
      </w:r>
      <w:r>
        <w:rPr>
          <w:spacing w:val="-5"/>
          <w:sz w:val="21"/>
        </w:rPr>
        <w:t> </w:t>
      </w:r>
      <w:r>
        <w:rPr>
          <w:sz w:val="21"/>
        </w:rPr>
        <w:t>factors,</w:t>
      </w:r>
      <w:r>
        <w:rPr>
          <w:spacing w:val="-4"/>
          <w:sz w:val="21"/>
        </w:rPr>
        <w:t> </w:t>
      </w:r>
      <w:r>
        <w:rPr>
          <w:sz w:val="21"/>
        </w:rPr>
        <w:t>and</w:t>
      </w:r>
      <w:r>
        <w:rPr>
          <w:spacing w:val="-4"/>
          <w:sz w:val="21"/>
        </w:rPr>
        <w:t> </w:t>
      </w:r>
      <w:r>
        <w:rPr>
          <w:sz w:val="21"/>
        </w:rPr>
        <w:t>often</w:t>
      </w:r>
      <w:r>
        <w:rPr>
          <w:spacing w:val="-4"/>
          <w:sz w:val="21"/>
        </w:rPr>
        <w:t> </w:t>
      </w:r>
      <w:r>
        <w:rPr>
          <w:sz w:val="21"/>
        </w:rPr>
        <w:t>face</w:t>
      </w:r>
      <w:r>
        <w:rPr>
          <w:spacing w:val="-3"/>
          <w:sz w:val="21"/>
        </w:rPr>
        <w:t> </w:t>
      </w:r>
      <w:r>
        <w:rPr>
          <w:sz w:val="21"/>
        </w:rPr>
        <w:t>discrimination</w:t>
      </w:r>
      <w:r>
        <w:rPr>
          <w:spacing w:val="-4"/>
          <w:sz w:val="21"/>
        </w:rPr>
        <w:t> </w:t>
      </w:r>
      <w:r>
        <w:rPr>
          <w:sz w:val="21"/>
        </w:rPr>
        <w:t>based</w:t>
      </w:r>
      <w:r>
        <w:rPr>
          <w:spacing w:val="-4"/>
          <w:sz w:val="21"/>
        </w:rPr>
        <w:t> </w:t>
      </w:r>
      <w:r>
        <w:rPr>
          <w:sz w:val="21"/>
        </w:rPr>
        <w:t>on their</w:t>
      </w:r>
      <w:r>
        <w:rPr>
          <w:spacing w:val="-4"/>
          <w:sz w:val="21"/>
        </w:rPr>
        <w:t> </w:t>
      </w:r>
      <w:r>
        <w:rPr>
          <w:sz w:val="21"/>
        </w:rPr>
        <w:t>race</w:t>
      </w:r>
      <w:r>
        <w:rPr>
          <w:spacing w:val="-4"/>
          <w:sz w:val="21"/>
        </w:rPr>
        <w:t> </w:t>
      </w:r>
      <w:r>
        <w:rPr>
          <w:sz w:val="21"/>
        </w:rPr>
        <w:t>and</w:t>
      </w:r>
      <w:r>
        <w:rPr>
          <w:spacing w:val="-4"/>
          <w:sz w:val="21"/>
        </w:rPr>
        <w:t> </w:t>
      </w:r>
      <w:r>
        <w:rPr>
          <w:sz w:val="21"/>
        </w:rPr>
        <w:t>gender</w:t>
      </w:r>
      <w:r>
        <w:rPr>
          <w:spacing w:val="-4"/>
          <w:sz w:val="21"/>
        </w:rPr>
        <w:t> </w:t>
      </w:r>
      <w:r>
        <w:rPr>
          <w:sz w:val="21"/>
        </w:rPr>
        <w:t>identity,</w:t>
      </w:r>
      <w:r>
        <w:rPr>
          <w:spacing w:val="-4"/>
          <w:sz w:val="21"/>
        </w:rPr>
        <w:t> </w:t>
      </w:r>
      <w:r>
        <w:rPr>
          <w:sz w:val="21"/>
        </w:rPr>
        <w:t>which</w:t>
      </w:r>
      <w:r>
        <w:rPr>
          <w:spacing w:val="-4"/>
          <w:sz w:val="21"/>
        </w:rPr>
        <w:t> </w:t>
      </w:r>
      <w:r>
        <w:rPr>
          <w:sz w:val="21"/>
        </w:rPr>
        <w:t>makes</w:t>
      </w:r>
      <w:r>
        <w:rPr>
          <w:spacing w:val="-4"/>
          <w:sz w:val="21"/>
        </w:rPr>
        <w:t> </w:t>
      </w:r>
      <w:r>
        <w:rPr>
          <w:sz w:val="21"/>
        </w:rPr>
        <w:t>it</w:t>
      </w:r>
      <w:r>
        <w:rPr>
          <w:spacing w:val="-4"/>
          <w:sz w:val="21"/>
        </w:rPr>
        <w:t> </w:t>
      </w:r>
      <w:r>
        <w:rPr>
          <w:sz w:val="21"/>
        </w:rPr>
        <w:t>difficult</w:t>
      </w:r>
      <w:r>
        <w:rPr>
          <w:spacing w:val="-4"/>
          <w:sz w:val="21"/>
        </w:rPr>
        <w:t> </w:t>
      </w:r>
      <w:r>
        <w:rPr>
          <w:sz w:val="21"/>
        </w:rPr>
        <w:t>to</w:t>
      </w:r>
      <w:r>
        <w:rPr>
          <w:spacing w:val="-4"/>
          <w:sz w:val="21"/>
        </w:rPr>
        <w:t> </w:t>
      </w:r>
      <w:r>
        <w:rPr>
          <w:sz w:val="21"/>
        </w:rPr>
        <w:t>obtain</w:t>
      </w:r>
      <w:r>
        <w:rPr>
          <w:spacing w:val="-4"/>
          <w:sz w:val="21"/>
        </w:rPr>
        <w:t> </w:t>
      </w:r>
      <w:r>
        <w:rPr>
          <w:sz w:val="21"/>
        </w:rPr>
        <w:t>employment</w:t>
      </w:r>
      <w:r>
        <w:rPr>
          <w:spacing w:val="-4"/>
          <w:sz w:val="21"/>
        </w:rPr>
        <w:t> </w:t>
      </w:r>
      <w:r>
        <w:rPr>
          <w:sz w:val="21"/>
        </w:rPr>
        <w:t>and</w:t>
      </w:r>
      <w:r>
        <w:rPr>
          <w:spacing w:val="-6"/>
          <w:sz w:val="21"/>
        </w:rPr>
        <w:t> </w:t>
      </w:r>
      <w:r>
        <w:rPr>
          <w:sz w:val="21"/>
        </w:rPr>
        <w:t>maintain</w:t>
      </w:r>
      <w:r>
        <w:rPr>
          <w:spacing w:val="-4"/>
          <w:sz w:val="21"/>
        </w:rPr>
        <w:t> </w:t>
      </w:r>
      <w:r>
        <w:rPr>
          <w:sz w:val="21"/>
        </w:rPr>
        <w:t>job</w:t>
      </w:r>
      <w:r>
        <w:rPr>
          <w:spacing w:val="-4"/>
          <w:sz w:val="21"/>
        </w:rPr>
        <w:t> </w:t>
      </w:r>
      <w:r>
        <w:rPr>
          <w:sz w:val="21"/>
        </w:rPr>
        <w:t>stability.</w:t>
      </w:r>
      <w:r>
        <w:rPr>
          <w:spacing w:val="-4"/>
          <w:sz w:val="21"/>
        </w:rPr>
        <w:t> </w:t>
      </w:r>
      <w:r>
        <w:rPr>
          <w:sz w:val="21"/>
        </w:rPr>
        <w:t>As a result, LGBTQ youth can experience homelessness or housing instability at a higher rate than their cisgender and straight counterparts, which makes it difficult to obtain work or job stability. In Massachusetts</w:t>
      </w:r>
      <w:r>
        <w:rPr>
          <w:spacing w:val="-8"/>
          <w:sz w:val="21"/>
        </w:rPr>
        <w:t> </w:t>
      </w:r>
      <w:r>
        <w:rPr>
          <w:sz w:val="21"/>
        </w:rPr>
        <w:t>in</w:t>
      </w:r>
      <w:r>
        <w:rPr>
          <w:spacing w:val="-8"/>
          <w:sz w:val="21"/>
        </w:rPr>
        <w:t> </w:t>
      </w:r>
      <w:r>
        <w:rPr>
          <w:sz w:val="21"/>
        </w:rPr>
        <w:t>general,</w:t>
      </w:r>
      <w:r>
        <w:rPr>
          <w:spacing w:val="-7"/>
          <w:sz w:val="21"/>
        </w:rPr>
        <w:t> </w:t>
      </w:r>
      <w:r>
        <w:rPr>
          <w:sz w:val="21"/>
        </w:rPr>
        <w:t>there</w:t>
      </w:r>
      <w:r>
        <w:rPr>
          <w:spacing w:val="-8"/>
          <w:sz w:val="21"/>
        </w:rPr>
        <w:t> </w:t>
      </w:r>
      <w:r>
        <w:rPr>
          <w:sz w:val="21"/>
        </w:rPr>
        <w:t>is</w:t>
      </w:r>
      <w:r>
        <w:rPr>
          <w:spacing w:val="-8"/>
          <w:sz w:val="21"/>
        </w:rPr>
        <w:t> </w:t>
      </w:r>
      <w:r>
        <w:rPr>
          <w:sz w:val="21"/>
        </w:rPr>
        <w:t>a</w:t>
      </w:r>
      <w:r>
        <w:rPr>
          <w:spacing w:val="-7"/>
          <w:sz w:val="21"/>
        </w:rPr>
        <w:t> </w:t>
      </w:r>
      <w:r>
        <w:rPr>
          <w:sz w:val="21"/>
        </w:rPr>
        <w:t>concentration</w:t>
      </w:r>
      <w:r>
        <w:rPr>
          <w:spacing w:val="-8"/>
          <w:sz w:val="21"/>
        </w:rPr>
        <w:t> </w:t>
      </w:r>
      <w:r>
        <w:rPr>
          <w:sz w:val="21"/>
        </w:rPr>
        <w:t>of</w:t>
      </w:r>
      <w:r>
        <w:rPr>
          <w:spacing w:val="-8"/>
          <w:sz w:val="21"/>
        </w:rPr>
        <w:t> </w:t>
      </w:r>
      <w:r>
        <w:rPr>
          <w:sz w:val="21"/>
        </w:rPr>
        <w:t>job</w:t>
      </w:r>
      <w:r>
        <w:rPr>
          <w:spacing w:val="-8"/>
          <w:sz w:val="21"/>
        </w:rPr>
        <w:t> </w:t>
      </w:r>
      <w:r>
        <w:rPr>
          <w:sz w:val="21"/>
        </w:rPr>
        <w:t>opportunities</w:t>
      </w:r>
      <w:r>
        <w:rPr>
          <w:spacing w:val="-8"/>
          <w:sz w:val="21"/>
        </w:rPr>
        <w:t> </w:t>
      </w:r>
      <w:r>
        <w:rPr>
          <w:sz w:val="21"/>
        </w:rPr>
        <w:t>in</w:t>
      </w:r>
      <w:r>
        <w:rPr>
          <w:spacing w:val="-8"/>
          <w:sz w:val="21"/>
        </w:rPr>
        <w:t> </w:t>
      </w:r>
      <w:r>
        <w:rPr>
          <w:sz w:val="21"/>
        </w:rPr>
        <w:t>the</w:t>
      </w:r>
      <w:r>
        <w:rPr>
          <w:spacing w:val="-9"/>
          <w:sz w:val="21"/>
        </w:rPr>
        <w:t> </w:t>
      </w:r>
      <w:r>
        <w:rPr>
          <w:sz w:val="21"/>
        </w:rPr>
        <w:t>metro</w:t>
      </w:r>
      <w:r>
        <w:rPr>
          <w:spacing w:val="-8"/>
          <w:sz w:val="21"/>
        </w:rPr>
        <w:t> </w:t>
      </w:r>
      <w:r>
        <w:rPr>
          <w:sz w:val="21"/>
        </w:rPr>
        <w:t>Boston</w:t>
      </w:r>
      <w:r>
        <w:rPr>
          <w:spacing w:val="-8"/>
          <w:sz w:val="21"/>
        </w:rPr>
        <w:t> </w:t>
      </w:r>
      <w:r>
        <w:rPr>
          <w:sz w:val="21"/>
        </w:rPr>
        <w:t>area.</w:t>
      </w:r>
      <w:r>
        <w:rPr>
          <w:spacing w:val="-8"/>
          <w:sz w:val="21"/>
        </w:rPr>
        <w:t> </w:t>
      </w:r>
      <w:r>
        <w:rPr>
          <w:sz w:val="21"/>
        </w:rPr>
        <w:t>However, there</w:t>
      </w:r>
      <w:r>
        <w:rPr>
          <w:spacing w:val="-3"/>
          <w:sz w:val="21"/>
        </w:rPr>
        <w:t> </w:t>
      </w:r>
      <w:r>
        <w:rPr>
          <w:sz w:val="21"/>
        </w:rPr>
        <w:t>is</w:t>
      </w:r>
      <w:r>
        <w:rPr>
          <w:spacing w:val="-3"/>
          <w:sz w:val="21"/>
        </w:rPr>
        <w:t> </w:t>
      </w:r>
      <w:r>
        <w:rPr>
          <w:sz w:val="21"/>
        </w:rPr>
        <w:t>limited</w:t>
      </w:r>
      <w:r>
        <w:rPr>
          <w:spacing w:val="-3"/>
          <w:sz w:val="21"/>
        </w:rPr>
        <w:t> </w:t>
      </w:r>
      <w:r>
        <w:rPr>
          <w:sz w:val="21"/>
        </w:rPr>
        <w:t>access</w:t>
      </w:r>
      <w:r>
        <w:rPr>
          <w:spacing w:val="-4"/>
          <w:sz w:val="21"/>
        </w:rPr>
        <w:t> </w:t>
      </w:r>
      <w:r>
        <w:rPr>
          <w:sz w:val="21"/>
        </w:rPr>
        <w:t>to</w:t>
      </w:r>
      <w:r>
        <w:rPr>
          <w:spacing w:val="-4"/>
          <w:sz w:val="21"/>
        </w:rPr>
        <w:t> </w:t>
      </w:r>
      <w:r>
        <w:rPr>
          <w:sz w:val="21"/>
        </w:rPr>
        <w:t>public</w:t>
      </w:r>
      <w:r>
        <w:rPr>
          <w:spacing w:val="-3"/>
          <w:sz w:val="21"/>
        </w:rPr>
        <w:t> </w:t>
      </w:r>
      <w:r>
        <w:rPr>
          <w:sz w:val="21"/>
        </w:rPr>
        <w:t>transportation</w:t>
      </w:r>
      <w:r>
        <w:rPr>
          <w:spacing w:val="-3"/>
          <w:sz w:val="21"/>
        </w:rPr>
        <w:t> </w:t>
      </w:r>
      <w:r>
        <w:rPr>
          <w:sz w:val="21"/>
        </w:rPr>
        <w:t>from</w:t>
      </w:r>
      <w:r>
        <w:rPr>
          <w:spacing w:val="-3"/>
          <w:sz w:val="21"/>
        </w:rPr>
        <w:t> </w:t>
      </w:r>
      <w:r>
        <w:rPr>
          <w:sz w:val="21"/>
        </w:rPr>
        <w:t>suburban</w:t>
      </w:r>
      <w:r>
        <w:rPr>
          <w:spacing w:val="-3"/>
          <w:sz w:val="21"/>
        </w:rPr>
        <w:t> </w:t>
      </w:r>
      <w:r>
        <w:rPr>
          <w:sz w:val="21"/>
        </w:rPr>
        <w:t>and</w:t>
      </w:r>
      <w:r>
        <w:rPr>
          <w:spacing w:val="-3"/>
          <w:sz w:val="21"/>
        </w:rPr>
        <w:t> </w:t>
      </w:r>
      <w:r>
        <w:rPr>
          <w:sz w:val="21"/>
        </w:rPr>
        <w:t>rural</w:t>
      </w:r>
      <w:r>
        <w:rPr>
          <w:spacing w:val="-3"/>
          <w:sz w:val="21"/>
        </w:rPr>
        <w:t> </w:t>
      </w:r>
      <w:r>
        <w:rPr>
          <w:sz w:val="21"/>
        </w:rPr>
        <w:t>areas,</w:t>
      </w:r>
      <w:r>
        <w:rPr>
          <w:spacing w:val="-4"/>
          <w:sz w:val="21"/>
        </w:rPr>
        <w:t> </w:t>
      </w:r>
      <w:r>
        <w:rPr>
          <w:sz w:val="21"/>
        </w:rPr>
        <w:t>a</w:t>
      </w:r>
      <w:r>
        <w:rPr>
          <w:spacing w:val="-4"/>
          <w:sz w:val="21"/>
        </w:rPr>
        <w:t> </w:t>
      </w:r>
      <w:r>
        <w:rPr>
          <w:sz w:val="21"/>
        </w:rPr>
        <w:t>shift</w:t>
      </w:r>
      <w:r>
        <w:rPr>
          <w:spacing w:val="-3"/>
          <w:sz w:val="21"/>
        </w:rPr>
        <w:t> </w:t>
      </w:r>
      <w:r>
        <w:rPr>
          <w:sz w:val="21"/>
        </w:rPr>
        <w:t>from</w:t>
      </w:r>
      <w:r>
        <w:rPr>
          <w:spacing w:val="-3"/>
          <w:sz w:val="21"/>
        </w:rPr>
        <w:t> </w:t>
      </w:r>
      <w:r>
        <w:rPr>
          <w:sz w:val="21"/>
        </w:rPr>
        <w:t>remote</w:t>
      </w:r>
      <w:r>
        <w:rPr>
          <w:spacing w:val="-3"/>
          <w:sz w:val="21"/>
        </w:rPr>
        <w:t> </w:t>
      </w:r>
      <w:r>
        <w:rPr>
          <w:sz w:val="21"/>
        </w:rPr>
        <w:t>work</w:t>
      </w:r>
      <w:r>
        <w:rPr>
          <w:spacing w:val="-4"/>
          <w:sz w:val="21"/>
        </w:rPr>
        <w:t> </w:t>
      </w:r>
      <w:r>
        <w:rPr>
          <w:sz w:val="21"/>
        </w:rPr>
        <w:t>to in-person or hybrid work, and a lack of accessible public transportation for youth with disabilities. This makes</w:t>
      </w:r>
      <w:r>
        <w:rPr>
          <w:spacing w:val="-12"/>
          <w:sz w:val="21"/>
        </w:rPr>
        <w:t> </w:t>
      </w:r>
      <w:r>
        <w:rPr>
          <w:sz w:val="21"/>
        </w:rPr>
        <w:t>it</w:t>
      </w:r>
      <w:r>
        <w:rPr>
          <w:spacing w:val="-12"/>
          <w:sz w:val="21"/>
        </w:rPr>
        <w:t> </w:t>
      </w:r>
      <w:r>
        <w:rPr>
          <w:sz w:val="21"/>
        </w:rPr>
        <w:t>difficult</w:t>
      </w:r>
      <w:r>
        <w:rPr>
          <w:spacing w:val="-12"/>
          <w:sz w:val="21"/>
        </w:rPr>
        <w:t> </w:t>
      </w:r>
      <w:r>
        <w:rPr>
          <w:sz w:val="21"/>
        </w:rPr>
        <w:t>for</w:t>
      </w:r>
      <w:r>
        <w:rPr>
          <w:spacing w:val="-11"/>
          <w:sz w:val="21"/>
        </w:rPr>
        <w:t> </w:t>
      </w:r>
      <w:r>
        <w:rPr>
          <w:sz w:val="21"/>
        </w:rPr>
        <w:t>those</w:t>
      </w:r>
      <w:r>
        <w:rPr>
          <w:spacing w:val="-12"/>
          <w:sz w:val="21"/>
        </w:rPr>
        <w:t> </w:t>
      </w:r>
      <w:r>
        <w:rPr>
          <w:sz w:val="21"/>
        </w:rPr>
        <w:t>who</w:t>
      </w:r>
      <w:r>
        <w:rPr>
          <w:spacing w:val="-12"/>
          <w:sz w:val="21"/>
        </w:rPr>
        <w:t> </w:t>
      </w:r>
      <w:r>
        <w:rPr>
          <w:sz w:val="21"/>
        </w:rPr>
        <w:t>already</w:t>
      </w:r>
      <w:r>
        <w:rPr>
          <w:spacing w:val="-12"/>
          <w:sz w:val="21"/>
        </w:rPr>
        <w:t> </w:t>
      </w:r>
      <w:r>
        <w:rPr>
          <w:sz w:val="21"/>
        </w:rPr>
        <w:t>face</w:t>
      </w:r>
      <w:r>
        <w:rPr>
          <w:spacing w:val="-12"/>
          <w:sz w:val="21"/>
        </w:rPr>
        <w:t> </w:t>
      </w:r>
      <w:r>
        <w:rPr>
          <w:sz w:val="21"/>
        </w:rPr>
        <w:t>a</w:t>
      </w:r>
      <w:r>
        <w:rPr>
          <w:spacing w:val="-11"/>
          <w:sz w:val="21"/>
        </w:rPr>
        <w:t> </w:t>
      </w:r>
      <w:r>
        <w:rPr>
          <w:sz w:val="21"/>
        </w:rPr>
        <w:t>lack</w:t>
      </w:r>
      <w:r>
        <w:rPr>
          <w:spacing w:val="-12"/>
          <w:sz w:val="21"/>
        </w:rPr>
        <w:t> </w:t>
      </w:r>
      <w:r>
        <w:rPr>
          <w:sz w:val="21"/>
        </w:rPr>
        <w:t>of</w:t>
      </w:r>
      <w:r>
        <w:rPr>
          <w:spacing w:val="-12"/>
          <w:sz w:val="21"/>
        </w:rPr>
        <w:t> </w:t>
      </w:r>
      <w:r>
        <w:rPr>
          <w:sz w:val="21"/>
        </w:rPr>
        <w:t>career</w:t>
      </w:r>
      <w:r>
        <w:rPr>
          <w:spacing w:val="-11"/>
          <w:sz w:val="21"/>
        </w:rPr>
        <w:t> </w:t>
      </w:r>
      <w:r>
        <w:rPr>
          <w:sz w:val="21"/>
        </w:rPr>
        <w:t>opportunities</w:t>
      </w:r>
      <w:r>
        <w:rPr>
          <w:spacing w:val="-12"/>
          <w:sz w:val="21"/>
        </w:rPr>
        <w:t> </w:t>
      </w:r>
      <w:r>
        <w:rPr>
          <w:sz w:val="21"/>
        </w:rPr>
        <w:t>based</w:t>
      </w:r>
      <w:r>
        <w:rPr>
          <w:spacing w:val="-11"/>
          <w:sz w:val="21"/>
        </w:rPr>
        <w:t> </w:t>
      </w:r>
      <w:r>
        <w:rPr>
          <w:sz w:val="21"/>
        </w:rPr>
        <w:t>on</w:t>
      </w:r>
      <w:r>
        <w:rPr>
          <w:spacing w:val="-11"/>
          <w:sz w:val="21"/>
        </w:rPr>
        <w:t> </w:t>
      </w:r>
      <w:r>
        <w:rPr>
          <w:sz w:val="21"/>
        </w:rPr>
        <w:t>their</w:t>
      </w:r>
      <w:r>
        <w:rPr>
          <w:spacing w:val="-12"/>
          <w:sz w:val="21"/>
        </w:rPr>
        <w:t> </w:t>
      </w:r>
      <w:r>
        <w:rPr>
          <w:sz w:val="21"/>
        </w:rPr>
        <w:t>location,</w:t>
      </w:r>
      <w:r>
        <w:rPr>
          <w:spacing w:val="-12"/>
          <w:sz w:val="21"/>
        </w:rPr>
        <w:t> </w:t>
      </w:r>
      <w:r>
        <w:rPr>
          <w:sz w:val="21"/>
        </w:rPr>
        <w:t>especially those</w:t>
      </w:r>
      <w:r>
        <w:rPr>
          <w:spacing w:val="-7"/>
          <w:sz w:val="21"/>
        </w:rPr>
        <w:t> </w:t>
      </w:r>
      <w:r>
        <w:rPr>
          <w:sz w:val="21"/>
        </w:rPr>
        <w:t>in</w:t>
      </w:r>
      <w:r>
        <w:rPr>
          <w:spacing w:val="-8"/>
          <w:sz w:val="21"/>
        </w:rPr>
        <w:t> </w:t>
      </w:r>
      <w:r>
        <w:rPr>
          <w:sz w:val="21"/>
        </w:rPr>
        <w:t>Western</w:t>
      </w:r>
      <w:r>
        <w:rPr>
          <w:spacing w:val="-7"/>
          <w:sz w:val="21"/>
        </w:rPr>
        <w:t> </w:t>
      </w:r>
      <w:r>
        <w:rPr>
          <w:sz w:val="21"/>
        </w:rPr>
        <w:t>Mass</w:t>
      </w:r>
      <w:r>
        <w:rPr>
          <w:spacing w:val="-8"/>
          <w:sz w:val="21"/>
        </w:rPr>
        <w:t> </w:t>
      </w:r>
      <w:r>
        <w:rPr>
          <w:sz w:val="21"/>
        </w:rPr>
        <w:t>and</w:t>
      </w:r>
      <w:r>
        <w:rPr>
          <w:spacing w:val="-8"/>
          <w:sz w:val="21"/>
        </w:rPr>
        <w:t> </w:t>
      </w:r>
      <w:r>
        <w:rPr>
          <w:sz w:val="21"/>
        </w:rPr>
        <w:t>rural</w:t>
      </w:r>
      <w:r>
        <w:rPr>
          <w:spacing w:val="-7"/>
          <w:sz w:val="21"/>
        </w:rPr>
        <w:t> </w:t>
      </w:r>
      <w:r>
        <w:rPr>
          <w:sz w:val="21"/>
        </w:rPr>
        <w:t>areas,</w:t>
      </w:r>
      <w:r>
        <w:rPr>
          <w:spacing w:val="-7"/>
          <w:sz w:val="21"/>
        </w:rPr>
        <w:t> </w:t>
      </w:r>
      <w:r>
        <w:rPr>
          <w:sz w:val="21"/>
        </w:rPr>
        <w:t>to</w:t>
      </w:r>
      <w:r>
        <w:rPr>
          <w:spacing w:val="-8"/>
          <w:sz w:val="21"/>
        </w:rPr>
        <w:t> </w:t>
      </w:r>
      <w:r>
        <w:rPr>
          <w:sz w:val="21"/>
        </w:rPr>
        <w:t>obtain</w:t>
      </w:r>
      <w:r>
        <w:rPr>
          <w:spacing w:val="-8"/>
          <w:sz w:val="21"/>
        </w:rPr>
        <w:t> </w:t>
      </w:r>
      <w:r>
        <w:rPr>
          <w:sz w:val="21"/>
        </w:rPr>
        <w:t>employment</w:t>
      </w:r>
      <w:r>
        <w:rPr>
          <w:spacing w:val="-6"/>
          <w:sz w:val="21"/>
        </w:rPr>
        <w:t> </w:t>
      </w:r>
      <w:r>
        <w:rPr>
          <w:sz w:val="21"/>
        </w:rPr>
        <w:t>above</w:t>
      </w:r>
      <w:r>
        <w:rPr>
          <w:spacing w:val="-8"/>
          <w:sz w:val="21"/>
        </w:rPr>
        <w:t> </w:t>
      </w:r>
      <w:r>
        <w:rPr>
          <w:sz w:val="21"/>
        </w:rPr>
        <w:t>entry-level,</w:t>
      </w:r>
      <w:r>
        <w:rPr>
          <w:spacing w:val="-7"/>
          <w:sz w:val="21"/>
        </w:rPr>
        <w:t> </w:t>
      </w:r>
      <w:r>
        <w:rPr>
          <w:sz w:val="21"/>
        </w:rPr>
        <w:t>minimum</w:t>
      </w:r>
      <w:r>
        <w:rPr>
          <w:spacing w:val="-6"/>
          <w:sz w:val="21"/>
        </w:rPr>
        <w:t> </w:t>
      </w:r>
      <w:r>
        <w:rPr>
          <w:sz w:val="21"/>
        </w:rPr>
        <w:t>wage</w:t>
      </w:r>
      <w:r>
        <w:rPr>
          <w:spacing w:val="-8"/>
          <w:sz w:val="21"/>
        </w:rPr>
        <w:t> </w:t>
      </w:r>
      <w:r>
        <w:rPr>
          <w:sz w:val="21"/>
        </w:rPr>
        <w:t>positions. For LGBTQ youth who do not have the financial support of their families based on their identity, it is not possible to cover the expenses for commuting into Boston for work or renting an apartment near public </w:t>
      </w:r>
      <w:r>
        <w:rPr>
          <w:spacing w:val="-2"/>
          <w:sz w:val="21"/>
        </w:rPr>
        <w:t>transportation.</w:t>
      </w:r>
    </w:p>
    <w:p>
      <w:pPr>
        <w:spacing w:line="276" w:lineRule="auto" w:before="239"/>
        <w:ind w:left="463" w:right="201" w:firstLine="0"/>
        <w:jc w:val="both"/>
        <w:rPr>
          <w:sz w:val="21"/>
        </w:rPr>
      </w:pPr>
      <w:r>
        <w:rPr>
          <w:sz w:val="21"/>
        </w:rPr>
        <w:t>The MA legislature must engage in initiatives to remove barriers to employment, foster career readiness, and to support LGBTQ youth’s transition</w:t>
      </w:r>
      <w:r>
        <w:rPr>
          <w:spacing w:val="-1"/>
          <w:sz w:val="21"/>
        </w:rPr>
        <w:t> </w:t>
      </w:r>
      <w:r>
        <w:rPr>
          <w:sz w:val="21"/>
        </w:rPr>
        <w:t>to the labor force so that the Commonwealth is a place where all youth can thrive - both holistically and economically.</w:t>
      </w:r>
    </w:p>
    <w:p>
      <w:pPr>
        <w:spacing w:before="239"/>
        <w:ind w:left="464" w:right="0" w:firstLine="0"/>
        <w:jc w:val="both"/>
        <w:rPr>
          <w:sz w:val="28"/>
        </w:rPr>
      </w:pPr>
      <w:bookmarkStart w:name="FY 2025 Recommendations on Economic Just" w:id="833"/>
      <w:bookmarkEnd w:id="833"/>
      <w:r>
        <w:rPr/>
      </w:r>
      <w:r>
        <w:rPr>
          <w:color w:val="365F91"/>
          <w:sz w:val="28"/>
        </w:rPr>
        <w:t>FY</w:t>
      </w:r>
      <w:r>
        <w:rPr>
          <w:color w:val="365F91"/>
          <w:spacing w:val="-12"/>
          <w:sz w:val="28"/>
        </w:rPr>
        <w:t> </w:t>
      </w:r>
      <w:r>
        <w:rPr>
          <w:color w:val="365F91"/>
          <w:sz w:val="28"/>
        </w:rPr>
        <w:t>2025</w:t>
      </w:r>
      <w:r>
        <w:rPr>
          <w:color w:val="365F91"/>
          <w:spacing w:val="-11"/>
          <w:sz w:val="28"/>
        </w:rPr>
        <w:t> </w:t>
      </w:r>
      <w:r>
        <w:rPr>
          <w:color w:val="365F91"/>
          <w:sz w:val="28"/>
        </w:rPr>
        <w:t>Recommendations</w:t>
      </w:r>
      <w:r>
        <w:rPr>
          <w:color w:val="365F91"/>
          <w:spacing w:val="-11"/>
          <w:sz w:val="28"/>
        </w:rPr>
        <w:t> </w:t>
      </w:r>
      <w:r>
        <w:rPr>
          <w:color w:val="365F91"/>
          <w:sz w:val="28"/>
        </w:rPr>
        <w:t>on</w:t>
      </w:r>
      <w:r>
        <w:rPr>
          <w:color w:val="365F91"/>
          <w:spacing w:val="-11"/>
          <w:sz w:val="28"/>
        </w:rPr>
        <w:t> </w:t>
      </w:r>
      <w:r>
        <w:rPr>
          <w:color w:val="365F91"/>
          <w:sz w:val="28"/>
        </w:rPr>
        <w:t>Economic</w:t>
      </w:r>
      <w:r>
        <w:rPr>
          <w:color w:val="365F91"/>
          <w:spacing w:val="-11"/>
          <w:sz w:val="28"/>
        </w:rPr>
        <w:t> </w:t>
      </w:r>
      <w:r>
        <w:rPr>
          <w:color w:val="365F91"/>
          <w:spacing w:val="-2"/>
          <w:sz w:val="28"/>
        </w:rPr>
        <w:t>Justice</w:t>
      </w:r>
    </w:p>
    <w:p>
      <w:pPr>
        <w:pStyle w:val="BodyText"/>
        <w:spacing w:before="10"/>
        <w:rPr>
          <w:sz w:val="3"/>
        </w:rPr>
      </w:pPr>
      <w:r>
        <w:rPr/>
        <mc:AlternateContent>
          <mc:Choice Requires="wps">
            <w:drawing>
              <wp:anchor distT="0" distB="0" distL="0" distR="0" allowOverlap="1" layoutInCell="1" locked="0" behindDoc="1" simplePos="0" relativeHeight="487681536">
                <wp:simplePos x="0" y="0"/>
                <wp:positionH relativeFrom="page">
                  <wp:posOffset>986789</wp:posOffset>
                </wp:positionH>
                <wp:positionV relativeFrom="paragraph">
                  <wp:posOffset>45217</wp:posOffset>
                </wp:positionV>
                <wp:extent cx="5799455" cy="6350"/>
                <wp:effectExtent l="0" t="0" r="0" b="0"/>
                <wp:wrapTopAndBottom/>
                <wp:docPr id="505" name="Graphic 505"/>
                <wp:cNvGraphicFramePr>
                  <a:graphicFrameLocks/>
                </wp:cNvGraphicFramePr>
                <a:graphic>
                  <a:graphicData uri="http://schemas.microsoft.com/office/word/2010/wordprocessingShape">
                    <wps:wsp>
                      <wps:cNvPr id="505" name="Graphic 505"/>
                      <wps:cNvSpPr/>
                      <wps:spPr>
                        <a:xfrm>
                          <a:off x="0" y="0"/>
                          <a:ext cx="5799455" cy="6350"/>
                        </a:xfrm>
                        <a:custGeom>
                          <a:avLst/>
                          <a:gdLst/>
                          <a:ahLst/>
                          <a:cxnLst/>
                          <a:rect l="l" t="t" r="r" b="b"/>
                          <a:pathLst>
                            <a:path w="5799455" h="6350">
                              <a:moveTo>
                                <a:pt x="5798832" y="0"/>
                              </a:moveTo>
                              <a:lnTo>
                                <a:pt x="0" y="0"/>
                              </a:lnTo>
                              <a:lnTo>
                                <a:pt x="0" y="6095"/>
                              </a:lnTo>
                              <a:lnTo>
                                <a:pt x="5798832" y="6095"/>
                              </a:lnTo>
                              <a:lnTo>
                                <a:pt x="5798832" y="0"/>
                              </a:lnTo>
                              <a:close/>
                            </a:path>
                          </a:pathLst>
                        </a:custGeom>
                        <a:solidFill>
                          <a:srgbClr val="4F81BC"/>
                        </a:solidFill>
                      </wps:spPr>
                      <wps:bodyPr wrap="square" lIns="0" tIns="0" rIns="0" bIns="0" rtlCol="0">
                        <a:prstTxWarp prst="textNoShape">
                          <a:avLst/>
                        </a:prstTxWarp>
                        <a:noAutofit/>
                      </wps:bodyPr>
                    </wps:wsp>
                  </a:graphicData>
                </a:graphic>
              </wp:anchor>
            </w:drawing>
          </mc:Choice>
          <mc:Fallback>
            <w:pict>
              <v:rect style="position:absolute;margin-left:77.699997pt;margin-top:3.56042pt;width:456.601pt;height:.48pt;mso-position-horizontal-relative:page;mso-position-vertical-relative:paragraph;z-index:-15634944;mso-wrap-distance-left:0;mso-wrap-distance-right:0" id="docshape407" filled="true" fillcolor="#4f81bc" stroked="false">
                <v:fill type="solid"/>
                <w10:wrap type="topAndBottom"/>
              </v:rect>
            </w:pict>
          </mc:Fallback>
        </mc:AlternateContent>
      </w:r>
    </w:p>
    <w:p>
      <w:pPr>
        <w:pStyle w:val="ListParagraph"/>
        <w:numPr>
          <w:ilvl w:val="0"/>
          <w:numId w:val="29"/>
        </w:numPr>
        <w:tabs>
          <w:tab w:pos="463" w:val="left" w:leader="none"/>
        </w:tabs>
        <w:spacing w:line="240" w:lineRule="auto" w:before="241" w:after="0"/>
        <w:ind w:left="463" w:right="0" w:hanging="359"/>
        <w:jc w:val="left"/>
        <w:rPr>
          <w:b/>
          <w:sz w:val="21"/>
        </w:rPr>
      </w:pPr>
      <w:r>
        <w:rPr>
          <w:b/>
          <w:sz w:val="21"/>
        </w:rPr>
        <w:t>Improve</w:t>
      </w:r>
      <w:r>
        <w:rPr>
          <w:b/>
          <w:spacing w:val="-6"/>
          <w:sz w:val="21"/>
        </w:rPr>
        <w:t> </w:t>
      </w:r>
      <w:r>
        <w:rPr>
          <w:b/>
          <w:sz w:val="21"/>
        </w:rPr>
        <w:t>access</w:t>
      </w:r>
      <w:r>
        <w:rPr>
          <w:b/>
          <w:spacing w:val="-3"/>
          <w:sz w:val="21"/>
        </w:rPr>
        <w:t> </w:t>
      </w:r>
      <w:r>
        <w:rPr>
          <w:b/>
          <w:sz w:val="21"/>
        </w:rPr>
        <w:t>to</w:t>
      </w:r>
      <w:r>
        <w:rPr>
          <w:b/>
          <w:spacing w:val="-4"/>
          <w:sz w:val="21"/>
        </w:rPr>
        <w:t> </w:t>
      </w:r>
      <w:r>
        <w:rPr>
          <w:b/>
          <w:sz w:val="21"/>
        </w:rPr>
        <w:t>LGBTQ-affirming</w:t>
      </w:r>
      <w:r>
        <w:rPr>
          <w:b/>
          <w:spacing w:val="-4"/>
          <w:sz w:val="21"/>
        </w:rPr>
        <w:t> </w:t>
      </w:r>
      <w:r>
        <w:rPr>
          <w:b/>
          <w:sz w:val="21"/>
        </w:rPr>
        <w:t>job</w:t>
      </w:r>
      <w:r>
        <w:rPr>
          <w:b/>
          <w:spacing w:val="-3"/>
          <w:sz w:val="21"/>
        </w:rPr>
        <w:t> </w:t>
      </w:r>
      <w:r>
        <w:rPr>
          <w:b/>
          <w:sz w:val="21"/>
        </w:rPr>
        <w:t>and</w:t>
      </w:r>
      <w:r>
        <w:rPr>
          <w:b/>
          <w:spacing w:val="-3"/>
          <w:sz w:val="21"/>
        </w:rPr>
        <w:t> </w:t>
      </w:r>
      <w:r>
        <w:rPr>
          <w:b/>
          <w:sz w:val="21"/>
        </w:rPr>
        <w:t>professional</w:t>
      </w:r>
      <w:r>
        <w:rPr>
          <w:b/>
          <w:spacing w:val="-3"/>
          <w:sz w:val="21"/>
        </w:rPr>
        <w:t> </w:t>
      </w:r>
      <w:r>
        <w:rPr>
          <w:b/>
          <w:sz w:val="21"/>
        </w:rPr>
        <w:t>development</w:t>
      </w:r>
      <w:r>
        <w:rPr>
          <w:b/>
          <w:spacing w:val="-3"/>
          <w:sz w:val="21"/>
        </w:rPr>
        <w:t> </w:t>
      </w:r>
      <w:r>
        <w:rPr>
          <w:b/>
          <w:sz w:val="21"/>
        </w:rPr>
        <w:t>opportunities</w:t>
      </w:r>
      <w:r>
        <w:rPr>
          <w:b/>
          <w:spacing w:val="-3"/>
          <w:sz w:val="21"/>
        </w:rPr>
        <w:t> </w:t>
      </w:r>
      <w:r>
        <w:rPr>
          <w:b/>
          <w:sz w:val="21"/>
        </w:rPr>
        <w:t>in</w:t>
      </w:r>
      <w:r>
        <w:rPr>
          <w:b/>
          <w:spacing w:val="-3"/>
          <w:sz w:val="21"/>
        </w:rPr>
        <w:t> </w:t>
      </w:r>
      <w:r>
        <w:rPr>
          <w:b/>
          <w:sz w:val="21"/>
        </w:rPr>
        <w:t>rural</w:t>
      </w:r>
      <w:r>
        <w:rPr>
          <w:b/>
          <w:spacing w:val="-3"/>
          <w:sz w:val="21"/>
        </w:rPr>
        <w:t> </w:t>
      </w:r>
      <w:r>
        <w:rPr>
          <w:b/>
          <w:spacing w:val="-2"/>
          <w:sz w:val="21"/>
        </w:rPr>
        <w:t>areas.</w:t>
      </w:r>
    </w:p>
    <w:p>
      <w:pPr>
        <w:pStyle w:val="BodyText"/>
        <w:spacing w:before="23"/>
        <w:rPr>
          <w:b/>
          <w:sz w:val="21"/>
        </w:rPr>
      </w:pPr>
    </w:p>
    <w:p>
      <w:pPr>
        <w:spacing w:line="276" w:lineRule="auto" w:before="0"/>
        <w:ind w:left="464" w:right="200" w:firstLine="0"/>
        <w:jc w:val="both"/>
        <w:rPr>
          <w:sz w:val="21"/>
        </w:rPr>
      </w:pPr>
      <w:r>
        <w:rPr>
          <w:sz w:val="21"/>
        </w:rPr>
        <w:t>As noted repeatedly throughout this report, access to LGBTQ-affirming job opportunities can be limited even in</w:t>
      </w:r>
      <w:r>
        <w:rPr>
          <w:spacing w:val="-1"/>
          <w:sz w:val="21"/>
        </w:rPr>
        <w:t> </w:t>
      </w:r>
      <w:r>
        <w:rPr>
          <w:sz w:val="21"/>
        </w:rPr>
        <w:t>Massachusetts, particularly for young people outside of the</w:t>
      </w:r>
      <w:r>
        <w:rPr>
          <w:spacing w:val="-2"/>
          <w:sz w:val="21"/>
        </w:rPr>
        <w:t> </w:t>
      </w:r>
      <w:r>
        <w:rPr>
          <w:sz w:val="21"/>
        </w:rPr>
        <w:t>Greater Boston area.</w:t>
      </w:r>
      <w:r>
        <w:rPr>
          <w:spacing w:val="-1"/>
          <w:sz w:val="21"/>
        </w:rPr>
        <w:t> </w:t>
      </w:r>
      <w:r>
        <w:rPr>
          <w:sz w:val="21"/>
        </w:rPr>
        <w:t>The Commission </w:t>
      </w:r>
      <w:r>
        <w:rPr>
          <w:spacing w:val="-2"/>
          <w:sz w:val="21"/>
        </w:rPr>
        <w:t>highly</w:t>
      </w:r>
      <w:r>
        <w:rPr>
          <w:spacing w:val="-5"/>
          <w:sz w:val="21"/>
        </w:rPr>
        <w:t> </w:t>
      </w:r>
      <w:r>
        <w:rPr>
          <w:spacing w:val="-2"/>
          <w:sz w:val="21"/>
        </w:rPr>
        <w:t>recommends</w:t>
      </w:r>
      <w:r>
        <w:rPr>
          <w:spacing w:val="-3"/>
          <w:sz w:val="21"/>
        </w:rPr>
        <w:t> </w:t>
      </w:r>
      <w:r>
        <w:rPr>
          <w:spacing w:val="-2"/>
          <w:sz w:val="21"/>
        </w:rPr>
        <w:t>that</w:t>
      </w:r>
      <w:r>
        <w:rPr>
          <w:spacing w:val="-1"/>
          <w:sz w:val="21"/>
        </w:rPr>
        <w:t> </w:t>
      </w:r>
      <w:r>
        <w:rPr>
          <w:spacing w:val="-2"/>
          <w:sz w:val="21"/>
        </w:rPr>
        <w:t>the</w:t>
      </w:r>
      <w:r>
        <w:rPr>
          <w:spacing w:val="-3"/>
          <w:sz w:val="21"/>
        </w:rPr>
        <w:t> </w:t>
      </w:r>
      <w:r>
        <w:rPr>
          <w:spacing w:val="-2"/>
          <w:sz w:val="21"/>
        </w:rPr>
        <w:t>state work to help</w:t>
      </w:r>
      <w:r>
        <w:rPr>
          <w:spacing w:val="-3"/>
          <w:sz w:val="21"/>
        </w:rPr>
        <w:t> </w:t>
      </w:r>
      <w:r>
        <w:rPr>
          <w:spacing w:val="-2"/>
          <w:sz w:val="21"/>
        </w:rPr>
        <w:t>create</w:t>
      </w:r>
      <w:r>
        <w:rPr>
          <w:spacing w:val="-3"/>
          <w:sz w:val="21"/>
        </w:rPr>
        <w:t> </w:t>
      </w:r>
      <w:r>
        <w:rPr>
          <w:spacing w:val="-2"/>
          <w:sz w:val="21"/>
        </w:rPr>
        <w:t>and fund</w:t>
      </w:r>
      <w:r>
        <w:rPr>
          <w:spacing w:val="-3"/>
          <w:sz w:val="21"/>
        </w:rPr>
        <w:t> </w:t>
      </w:r>
      <w:r>
        <w:rPr>
          <w:spacing w:val="-2"/>
          <w:sz w:val="21"/>
        </w:rPr>
        <w:t>new programming</w:t>
      </w:r>
      <w:r>
        <w:rPr>
          <w:spacing w:val="-3"/>
          <w:sz w:val="21"/>
        </w:rPr>
        <w:t> </w:t>
      </w:r>
      <w:r>
        <w:rPr>
          <w:spacing w:val="-2"/>
          <w:sz w:val="21"/>
        </w:rPr>
        <w:t>that</w:t>
      </w:r>
      <w:r>
        <w:rPr>
          <w:spacing w:val="-1"/>
          <w:sz w:val="21"/>
        </w:rPr>
        <w:t> </w:t>
      </w:r>
      <w:r>
        <w:rPr>
          <w:spacing w:val="-2"/>
          <w:sz w:val="21"/>
        </w:rPr>
        <w:t>helps</w:t>
      </w:r>
      <w:r>
        <w:rPr>
          <w:spacing w:val="-3"/>
          <w:sz w:val="21"/>
        </w:rPr>
        <w:t> </w:t>
      </w:r>
      <w:r>
        <w:rPr>
          <w:spacing w:val="-2"/>
          <w:sz w:val="21"/>
        </w:rPr>
        <w:t>connect</w:t>
      </w:r>
      <w:r>
        <w:rPr>
          <w:spacing w:val="-1"/>
          <w:sz w:val="21"/>
        </w:rPr>
        <w:t> </w:t>
      </w:r>
      <w:r>
        <w:rPr>
          <w:spacing w:val="-2"/>
          <w:sz w:val="21"/>
        </w:rPr>
        <w:t>young</w:t>
      </w:r>
    </w:p>
    <w:p>
      <w:pPr>
        <w:spacing w:after="0" w:line="276" w:lineRule="auto"/>
        <w:jc w:val="both"/>
        <w:rPr>
          <w:sz w:val="21"/>
        </w:rPr>
        <w:sectPr>
          <w:headerReference w:type="default" r:id="rId645"/>
          <w:footerReference w:type="default" r:id="rId646"/>
          <w:pgSz w:w="12240" w:h="15840"/>
          <w:pgMar w:header="763" w:footer="1041" w:top="1380" w:bottom="1240" w:left="1120" w:right="1380"/>
          <w:pgNumType w:start="226"/>
        </w:sectPr>
      </w:pPr>
    </w:p>
    <w:p>
      <w:pPr>
        <w:spacing w:line="276" w:lineRule="auto" w:before="47"/>
        <w:ind w:left="464" w:right="200" w:hanging="1"/>
        <w:jc w:val="both"/>
        <w:rPr>
          <w:sz w:val="21"/>
        </w:rPr>
      </w:pPr>
      <w:r>
        <w:rPr>
          <w:sz w:val="21"/>
        </w:rPr>
        <w:t>people</w:t>
      </w:r>
      <w:r>
        <w:rPr>
          <w:spacing w:val="-4"/>
          <w:sz w:val="21"/>
        </w:rPr>
        <w:t> </w:t>
      </w:r>
      <w:r>
        <w:rPr>
          <w:sz w:val="21"/>
        </w:rPr>
        <w:t>to</w:t>
      </w:r>
      <w:r>
        <w:rPr>
          <w:spacing w:val="-4"/>
          <w:sz w:val="21"/>
        </w:rPr>
        <w:t> </w:t>
      </w:r>
      <w:r>
        <w:rPr>
          <w:sz w:val="21"/>
        </w:rPr>
        <w:t>new</w:t>
      </w:r>
      <w:r>
        <w:rPr>
          <w:spacing w:val="-4"/>
          <w:sz w:val="21"/>
        </w:rPr>
        <w:t> </w:t>
      </w:r>
      <w:r>
        <w:rPr>
          <w:sz w:val="21"/>
        </w:rPr>
        <w:t>career</w:t>
      </w:r>
      <w:r>
        <w:rPr>
          <w:spacing w:val="-4"/>
          <w:sz w:val="21"/>
        </w:rPr>
        <w:t> </w:t>
      </w:r>
      <w:r>
        <w:rPr>
          <w:sz w:val="21"/>
        </w:rPr>
        <w:t>opportunities,</w:t>
      </w:r>
      <w:r>
        <w:rPr>
          <w:spacing w:val="-4"/>
          <w:sz w:val="21"/>
        </w:rPr>
        <w:t> </w:t>
      </w:r>
      <w:r>
        <w:rPr>
          <w:sz w:val="21"/>
        </w:rPr>
        <w:t>or</w:t>
      </w:r>
      <w:r>
        <w:rPr>
          <w:spacing w:val="-4"/>
          <w:sz w:val="21"/>
        </w:rPr>
        <w:t> </w:t>
      </w:r>
      <w:r>
        <w:rPr>
          <w:sz w:val="21"/>
        </w:rPr>
        <w:t>low-cost</w:t>
      </w:r>
      <w:r>
        <w:rPr>
          <w:spacing w:val="-4"/>
          <w:sz w:val="21"/>
        </w:rPr>
        <w:t> </w:t>
      </w:r>
      <w:r>
        <w:rPr>
          <w:sz w:val="21"/>
        </w:rPr>
        <w:t>transportation</w:t>
      </w:r>
      <w:r>
        <w:rPr>
          <w:spacing w:val="-4"/>
          <w:sz w:val="21"/>
        </w:rPr>
        <w:t> </w:t>
      </w:r>
      <w:r>
        <w:rPr>
          <w:sz w:val="21"/>
        </w:rPr>
        <w:t>options.</w:t>
      </w:r>
      <w:r>
        <w:rPr>
          <w:spacing w:val="-4"/>
          <w:sz w:val="21"/>
        </w:rPr>
        <w:t> </w:t>
      </w:r>
      <w:r>
        <w:rPr>
          <w:sz w:val="21"/>
        </w:rPr>
        <w:t>Additionally,</w:t>
      </w:r>
      <w:r>
        <w:rPr>
          <w:spacing w:val="-3"/>
          <w:sz w:val="21"/>
        </w:rPr>
        <w:t> </w:t>
      </w:r>
      <w:r>
        <w:rPr>
          <w:sz w:val="21"/>
        </w:rPr>
        <w:t>supporting</w:t>
      </w:r>
      <w:r>
        <w:rPr>
          <w:spacing w:val="-4"/>
          <w:sz w:val="21"/>
        </w:rPr>
        <w:t> </w:t>
      </w:r>
      <w:r>
        <w:rPr>
          <w:sz w:val="21"/>
        </w:rPr>
        <w:t>programs that</w:t>
      </w:r>
      <w:r>
        <w:rPr>
          <w:spacing w:val="-2"/>
          <w:sz w:val="21"/>
        </w:rPr>
        <w:t> </w:t>
      </w:r>
      <w:r>
        <w:rPr>
          <w:sz w:val="21"/>
        </w:rPr>
        <w:t>offer</w:t>
      </w:r>
      <w:r>
        <w:rPr>
          <w:spacing w:val="-3"/>
          <w:sz w:val="21"/>
        </w:rPr>
        <w:t> </w:t>
      </w:r>
      <w:r>
        <w:rPr>
          <w:sz w:val="21"/>
        </w:rPr>
        <w:t>career</w:t>
      </w:r>
      <w:r>
        <w:rPr>
          <w:spacing w:val="-3"/>
          <w:sz w:val="21"/>
        </w:rPr>
        <w:t> </w:t>
      </w:r>
      <w:r>
        <w:rPr>
          <w:sz w:val="21"/>
        </w:rPr>
        <w:t>mentoring</w:t>
      </w:r>
      <w:r>
        <w:rPr>
          <w:spacing w:val="-3"/>
          <w:sz w:val="21"/>
        </w:rPr>
        <w:t> </w:t>
      </w:r>
      <w:r>
        <w:rPr>
          <w:sz w:val="21"/>
        </w:rPr>
        <w:t>are</w:t>
      </w:r>
      <w:r>
        <w:rPr>
          <w:spacing w:val="-3"/>
          <w:sz w:val="21"/>
        </w:rPr>
        <w:t> </w:t>
      </w:r>
      <w:r>
        <w:rPr>
          <w:sz w:val="21"/>
        </w:rPr>
        <w:t>essential</w:t>
      </w:r>
      <w:r>
        <w:rPr>
          <w:spacing w:val="-4"/>
          <w:sz w:val="21"/>
        </w:rPr>
        <w:t> </w:t>
      </w:r>
      <w:r>
        <w:rPr>
          <w:sz w:val="21"/>
        </w:rPr>
        <w:t>to</w:t>
      </w:r>
      <w:r>
        <w:rPr>
          <w:spacing w:val="-3"/>
          <w:sz w:val="21"/>
        </w:rPr>
        <w:t> </w:t>
      </w:r>
      <w:r>
        <w:rPr>
          <w:sz w:val="21"/>
        </w:rPr>
        <w:t>helping</w:t>
      </w:r>
      <w:r>
        <w:rPr>
          <w:spacing w:val="-3"/>
          <w:sz w:val="21"/>
        </w:rPr>
        <w:t> </w:t>
      </w:r>
      <w:r>
        <w:rPr>
          <w:sz w:val="21"/>
        </w:rPr>
        <w:t>young</w:t>
      </w:r>
      <w:r>
        <w:rPr>
          <w:spacing w:val="-3"/>
          <w:sz w:val="21"/>
        </w:rPr>
        <w:t> </w:t>
      </w:r>
      <w:r>
        <w:rPr>
          <w:sz w:val="21"/>
        </w:rPr>
        <w:t>people</w:t>
      </w:r>
      <w:r>
        <w:rPr>
          <w:spacing w:val="-3"/>
          <w:sz w:val="21"/>
        </w:rPr>
        <w:t> </w:t>
      </w:r>
      <w:r>
        <w:rPr>
          <w:sz w:val="21"/>
        </w:rPr>
        <w:t>build</w:t>
      </w:r>
      <w:r>
        <w:rPr>
          <w:spacing w:val="-3"/>
          <w:sz w:val="21"/>
        </w:rPr>
        <w:t> </w:t>
      </w:r>
      <w:r>
        <w:rPr>
          <w:sz w:val="21"/>
        </w:rPr>
        <w:t>their</w:t>
      </w:r>
      <w:r>
        <w:rPr>
          <w:spacing w:val="-3"/>
          <w:sz w:val="21"/>
        </w:rPr>
        <w:t> </w:t>
      </w:r>
      <w:r>
        <w:rPr>
          <w:sz w:val="21"/>
        </w:rPr>
        <w:t>skills</w:t>
      </w:r>
      <w:r>
        <w:rPr>
          <w:spacing w:val="-3"/>
          <w:sz w:val="21"/>
        </w:rPr>
        <w:t> </w:t>
      </w:r>
      <w:r>
        <w:rPr>
          <w:sz w:val="21"/>
        </w:rPr>
        <w:t>and</w:t>
      </w:r>
      <w:r>
        <w:rPr>
          <w:spacing w:val="-3"/>
          <w:sz w:val="21"/>
        </w:rPr>
        <w:t> </w:t>
      </w:r>
      <w:r>
        <w:rPr>
          <w:sz w:val="21"/>
        </w:rPr>
        <w:t>resume</w:t>
      </w:r>
      <w:r>
        <w:rPr>
          <w:spacing w:val="-3"/>
          <w:sz w:val="21"/>
        </w:rPr>
        <w:t> </w:t>
      </w:r>
      <w:r>
        <w:rPr>
          <w:sz w:val="21"/>
        </w:rPr>
        <w:t>experience.</w:t>
      </w:r>
    </w:p>
    <w:p>
      <w:pPr>
        <w:pStyle w:val="ListParagraph"/>
        <w:numPr>
          <w:ilvl w:val="0"/>
          <w:numId w:val="29"/>
        </w:numPr>
        <w:tabs>
          <w:tab w:pos="463" w:val="left" w:leader="none"/>
        </w:tabs>
        <w:spacing w:line="240" w:lineRule="auto" w:before="240" w:after="0"/>
        <w:ind w:left="463" w:right="0" w:hanging="359"/>
        <w:jc w:val="left"/>
        <w:rPr>
          <w:b/>
          <w:sz w:val="21"/>
        </w:rPr>
      </w:pPr>
      <w:r>
        <w:rPr>
          <w:b/>
          <w:sz w:val="21"/>
        </w:rPr>
        <w:t>Improve</w:t>
      </w:r>
      <w:r>
        <w:rPr>
          <w:b/>
          <w:spacing w:val="-3"/>
          <w:sz w:val="21"/>
        </w:rPr>
        <w:t> </w:t>
      </w:r>
      <w:r>
        <w:rPr>
          <w:b/>
          <w:sz w:val="21"/>
        </w:rPr>
        <w:t>independent</w:t>
      </w:r>
      <w:r>
        <w:rPr>
          <w:b/>
          <w:spacing w:val="-3"/>
          <w:sz w:val="21"/>
        </w:rPr>
        <w:t> </w:t>
      </w:r>
      <w:r>
        <w:rPr>
          <w:b/>
          <w:sz w:val="21"/>
        </w:rPr>
        <w:t>living</w:t>
      </w:r>
      <w:r>
        <w:rPr>
          <w:b/>
          <w:spacing w:val="-3"/>
          <w:sz w:val="21"/>
        </w:rPr>
        <w:t> </w:t>
      </w:r>
      <w:r>
        <w:rPr>
          <w:b/>
          <w:sz w:val="21"/>
        </w:rPr>
        <w:t>support</w:t>
      </w:r>
      <w:r>
        <w:rPr>
          <w:b/>
          <w:spacing w:val="-1"/>
          <w:sz w:val="21"/>
        </w:rPr>
        <w:t> </w:t>
      </w:r>
      <w:r>
        <w:rPr>
          <w:b/>
          <w:sz w:val="21"/>
        </w:rPr>
        <w:t>for</w:t>
      </w:r>
      <w:r>
        <w:rPr>
          <w:b/>
          <w:spacing w:val="-4"/>
          <w:sz w:val="21"/>
        </w:rPr>
        <w:t> </w:t>
      </w:r>
      <w:r>
        <w:rPr>
          <w:b/>
          <w:sz w:val="21"/>
        </w:rPr>
        <w:t>transition-age</w:t>
      </w:r>
      <w:r>
        <w:rPr>
          <w:b/>
          <w:spacing w:val="-3"/>
          <w:sz w:val="21"/>
        </w:rPr>
        <w:t> </w:t>
      </w:r>
      <w:r>
        <w:rPr>
          <w:b/>
          <w:sz w:val="21"/>
        </w:rPr>
        <w:t>foster</w:t>
      </w:r>
      <w:r>
        <w:rPr>
          <w:b/>
          <w:spacing w:val="-2"/>
          <w:sz w:val="21"/>
        </w:rPr>
        <w:t> youth.</w:t>
      </w:r>
    </w:p>
    <w:p>
      <w:pPr>
        <w:pStyle w:val="BodyText"/>
        <w:spacing w:before="22"/>
        <w:rPr>
          <w:b/>
          <w:sz w:val="21"/>
        </w:rPr>
      </w:pPr>
    </w:p>
    <w:p>
      <w:pPr>
        <w:spacing w:line="276" w:lineRule="auto" w:before="1"/>
        <w:ind w:left="464" w:right="200" w:firstLine="0"/>
        <w:jc w:val="both"/>
        <w:rPr>
          <w:sz w:val="21"/>
        </w:rPr>
      </w:pPr>
      <w:r>
        <w:rPr>
          <w:sz w:val="21"/>
        </w:rPr>
        <w:t>Transition-aged</w:t>
      </w:r>
      <w:r>
        <w:rPr>
          <w:spacing w:val="-11"/>
          <w:sz w:val="21"/>
        </w:rPr>
        <w:t> </w:t>
      </w:r>
      <w:r>
        <w:rPr>
          <w:sz w:val="21"/>
        </w:rPr>
        <w:t>foster</w:t>
      </w:r>
      <w:r>
        <w:rPr>
          <w:spacing w:val="-11"/>
          <w:sz w:val="21"/>
        </w:rPr>
        <w:t> </w:t>
      </w:r>
      <w:r>
        <w:rPr>
          <w:sz w:val="21"/>
        </w:rPr>
        <w:t>youth</w:t>
      </w:r>
      <w:r>
        <w:rPr>
          <w:spacing w:val="-11"/>
          <w:sz w:val="21"/>
        </w:rPr>
        <w:t> </w:t>
      </w:r>
      <w:r>
        <w:rPr>
          <w:sz w:val="21"/>
        </w:rPr>
        <w:t>often</w:t>
      </w:r>
      <w:r>
        <w:rPr>
          <w:spacing w:val="-11"/>
          <w:sz w:val="21"/>
        </w:rPr>
        <w:t> </w:t>
      </w:r>
      <w:r>
        <w:rPr>
          <w:sz w:val="21"/>
        </w:rPr>
        <w:t>face</w:t>
      </w:r>
      <w:r>
        <w:rPr>
          <w:spacing w:val="-11"/>
          <w:sz w:val="21"/>
        </w:rPr>
        <w:t> </w:t>
      </w:r>
      <w:r>
        <w:rPr>
          <w:sz w:val="21"/>
        </w:rPr>
        <w:t>some</w:t>
      </w:r>
      <w:r>
        <w:rPr>
          <w:spacing w:val="-11"/>
          <w:sz w:val="21"/>
        </w:rPr>
        <w:t> </w:t>
      </w:r>
      <w:r>
        <w:rPr>
          <w:sz w:val="21"/>
        </w:rPr>
        <w:t>of</w:t>
      </w:r>
      <w:r>
        <w:rPr>
          <w:spacing w:val="-12"/>
          <w:sz w:val="21"/>
        </w:rPr>
        <w:t> </w:t>
      </w:r>
      <w:r>
        <w:rPr>
          <w:sz w:val="21"/>
        </w:rPr>
        <w:t>the</w:t>
      </w:r>
      <w:r>
        <w:rPr>
          <w:spacing w:val="-11"/>
          <w:sz w:val="21"/>
        </w:rPr>
        <w:t> </w:t>
      </w:r>
      <w:r>
        <w:rPr>
          <w:sz w:val="21"/>
        </w:rPr>
        <w:t>highest</w:t>
      </w:r>
      <w:r>
        <w:rPr>
          <w:spacing w:val="-11"/>
          <w:sz w:val="21"/>
        </w:rPr>
        <w:t> </w:t>
      </w:r>
      <w:r>
        <w:rPr>
          <w:sz w:val="21"/>
        </w:rPr>
        <w:t>disparities</w:t>
      </w:r>
      <w:r>
        <w:rPr>
          <w:spacing w:val="-12"/>
          <w:sz w:val="21"/>
        </w:rPr>
        <w:t> </w:t>
      </w:r>
      <w:r>
        <w:rPr>
          <w:sz w:val="21"/>
        </w:rPr>
        <w:t>in</w:t>
      </w:r>
      <w:r>
        <w:rPr>
          <w:spacing w:val="-11"/>
          <w:sz w:val="21"/>
        </w:rPr>
        <w:t> </w:t>
      </w:r>
      <w:r>
        <w:rPr>
          <w:sz w:val="21"/>
        </w:rPr>
        <w:t>health,</w:t>
      </w:r>
      <w:r>
        <w:rPr>
          <w:spacing w:val="-11"/>
          <w:sz w:val="21"/>
        </w:rPr>
        <w:t> </w:t>
      </w:r>
      <w:r>
        <w:rPr>
          <w:sz w:val="21"/>
        </w:rPr>
        <w:t>employment,</w:t>
      </w:r>
      <w:r>
        <w:rPr>
          <w:spacing w:val="-11"/>
          <w:sz w:val="21"/>
        </w:rPr>
        <w:t> </w:t>
      </w:r>
      <w:r>
        <w:rPr>
          <w:sz w:val="21"/>
        </w:rPr>
        <w:t>housing,</w:t>
      </w:r>
      <w:r>
        <w:rPr>
          <w:spacing w:val="-11"/>
          <w:sz w:val="21"/>
        </w:rPr>
        <w:t> </w:t>
      </w:r>
      <w:r>
        <w:rPr>
          <w:sz w:val="21"/>
        </w:rPr>
        <w:t>and more across Massachusetts. It is critical that youth who are transitioning out of state services, especially the Department of Children &amp; Families, are given the support needed to find affirming employment, understand financial planning, and get support with their education. Additionally, ensuring that trans and nonbinary youth have their documentation in order with any gender marker or name changes is essential to helping youth reduce experiences of discrimination when job-hunting.</w:t>
      </w:r>
    </w:p>
    <w:p>
      <w:pPr>
        <w:pStyle w:val="ListParagraph"/>
        <w:numPr>
          <w:ilvl w:val="0"/>
          <w:numId w:val="29"/>
        </w:numPr>
        <w:tabs>
          <w:tab w:pos="463" w:val="left" w:leader="none"/>
        </w:tabs>
        <w:spacing w:line="240" w:lineRule="auto" w:before="240" w:after="0"/>
        <w:ind w:left="463" w:right="0" w:hanging="359"/>
        <w:jc w:val="left"/>
        <w:rPr>
          <w:b/>
          <w:sz w:val="21"/>
        </w:rPr>
      </w:pPr>
      <w:r>
        <w:rPr>
          <w:b/>
          <w:sz w:val="21"/>
        </w:rPr>
        <w:t>Fund</w:t>
      </w:r>
      <w:r>
        <w:rPr>
          <w:b/>
          <w:spacing w:val="-6"/>
          <w:sz w:val="21"/>
        </w:rPr>
        <w:t> </w:t>
      </w:r>
      <w:r>
        <w:rPr>
          <w:b/>
          <w:sz w:val="21"/>
        </w:rPr>
        <w:t>employment</w:t>
      </w:r>
      <w:r>
        <w:rPr>
          <w:b/>
          <w:spacing w:val="-3"/>
          <w:sz w:val="21"/>
        </w:rPr>
        <w:t> </w:t>
      </w:r>
      <w:r>
        <w:rPr>
          <w:b/>
          <w:sz w:val="21"/>
        </w:rPr>
        <w:t>programming</w:t>
      </w:r>
      <w:r>
        <w:rPr>
          <w:b/>
          <w:spacing w:val="-3"/>
          <w:sz w:val="21"/>
        </w:rPr>
        <w:t> </w:t>
      </w:r>
      <w:r>
        <w:rPr>
          <w:b/>
          <w:sz w:val="21"/>
        </w:rPr>
        <w:t>designed</w:t>
      </w:r>
      <w:r>
        <w:rPr>
          <w:b/>
          <w:spacing w:val="-3"/>
          <w:sz w:val="21"/>
        </w:rPr>
        <w:t> </w:t>
      </w:r>
      <w:r>
        <w:rPr>
          <w:b/>
          <w:sz w:val="21"/>
        </w:rPr>
        <w:t>to</w:t>
      </w:r>
      <w:r>
        <w:rPr>
          <w:b/>
          <w:spacing w:val="-3"/>
          <w:sz w:val="21"/>
        </w:rPr>
        <w:t> </w:t>
      </w:r>
      <w:r>
        <w:rPr>
          <w:b/>
          <w:sz w:val="21"/>
        </w:rPr>
        <w:t>support</w:t>
      </w:r>
      <w:r>
        <w:rPr>
          <w:b/>
          <w:spacing w:val="-4"/>
          <w:sz w:val="21"/>
        </w:rPr>
        <w:t> </w:t>
      </w:r>
      <w:r>
        <w:rPr>
          <w:b/>
          <w:sz w:val="21"/>
        </w:rPr>
        <w:t>LGBTQ</w:t>
      </w:r>
      <w:r>
        <w:rPr>
          <w:b/>
          <w:spacing w:val="-4"/>
          <w:sz w:val="21"/>
        </w:rPr>
        <w:t> </w:t>
      </w:r>
      <w:r>
        <w:rPr>
          <w:b/>
          <w:sz w:val="21"/>
        </w:rPr>
        <w:t>youth</w:t>
      </w:r>
      <w:r>
        <w:rPr>
          <w:b/>
          <w:spacing w:val="-3"/>
          <w:sz w:val="21"/>
        </w:rPr>
        <w:t> </w:t>
      </w:r>
      <w:r>
        <w:rPr>
          <w:b/>
          <w:sz w:val="21"/>
        </w:rPr>
        <w:t>experiencing</w:t>
      </w:r>
      <w:r>
        <w:rPr>
          <w:b/>
          <w:spacing w:val="-3"/>
          <w:sz w:val="21"/>
        </w:rPr>
        <w:t> </w:t>
      </w:r>
      <w:r>
        <w:rPr>
          <w:b/>
          <w:spacing w:val="-2"/>
          <w:sz w:val="21"/>
        </w:rPr>
        <w:t>homelessness.</w:t>
      </w:r>
    </w:p>
    <w:p>
      <w:pPr>
        <w:pStyle w:val="BodyText"/>
        <w:spacing w:before="22"/>
        <w:rPr>
          <w:b/>
          <w:sz w:val="21"/>
        </w:rPr>
      </w:pPr>
    </w:p>
    <w:p>
      <w:pPr>
        <w:spacing w:line="276" w:lineRule="auto" w:before="0"/>
        <w:ind w:left="464" w:right="198" w:firstLine="0"/>
        <w:jc w:val="both"/>
        <w:rPr>
          <w:sz w:val="21"/>
        </w:rPr>
      </w:pPr>
      <w:r>
        <w:rPr>
          <w:sz w:val="21"/>
        </w:rPr>
        <w:t>Across several listening sessions that the Commission held in FY 2024 with LGBTQ young people experiencing homelessness, one of the top issues of concern was finding stable and LGBTQ-affirming employment. However, one of the biggest barriers to finding stable employment was their experiences of homelessness. Many of the participants in the sessions noted that it is often difficult to concentrate on a workday if they are also concerned about where they will be sleeping that night (whether that be on a friend’s</w:t>
      </w:r>
      <w:r>
        <w:rPr>
          <w:spacing w:val="-5"/>
          <w:sz w:val="21"/>
        </w:rPr>
        <w:t> </w:t>
      </w:r>
      <w:r>
        <w:rPr>
          <w:sz w:val="21"/>
        </w:rPr>
        <w:t>couch,</w:t>
      </w:r>
      <w:r>
        <w:rPr>
          <w:spacing w:val="-5"/>
          <w:sz w:val="21"/>
        </w:rPr>
        <w:t> </w:t>
      </w:r>
      <w:r>
        <w:rPr>
          <w:sz w:val="21"/>
        </w:rPr>
        <w:t>or</w:t>
      </w:r>
      <w:r>
        <w:rPr>
          <w:spacing w:val="-5"/>
          <w:sz w:val="21"/>
        </w:rPr>
        <w:t> </w:t>
      </w:r>
      <w:r>
        <w:rPr>
          <w:sz w:val="21"/>
        </w:rPr>
        <w:t>a</w:t>
      </w:r>
      <w:r>
        <w:rPr>
          <w:spacing w:val="-5"/>
          <w:sz w:val="21"/>
        </w:rPr>
        <w:t> </w:t>
      </w:r>
      <w:r>
        <w:rPr>
          <w:sz w:val="21"/>
        </w:rPr>
        <w:t>shelter,</w:t>
      </w:r>
      <w:r>
        <w:rPr>
          <w:spacing w:val="-6"/>
          <w:sz w:val="21"/>
        </w:rPr>
        <w:t> </w:t>
      </w:r>
      <w:r>
        <w:rPr>
          <w:sz w:val="21"/>
        </w:rPr>
        <w:t>or</w:t>
      </w:r>
      <w:r>
        <w:rPr>
          <w:spacing w:val="-5"/>
          <w:sz w:val="21"/>
        </w:rPr>
        <w:t> </w:t>
      </w:r>
      <w:r>
        <w:rPr>
          <w:sz w:val="21"/>
        </w:rPr>
        <w:t>the</w:t>
      </w:r>
      <w:r>
        <w:rPr>
          <w:spacing w:val="-5"/>
          <w:sz w:val="21"/>
        </w:rPr>
        <w:t> </w:t>
      </w:r>
      <w:r>
        <w:rPr>
          <w:sz w:val="21"/>
        </w:rPr>
        <w:t>street).</w:t>
      </w:r>
      <w:r>
        <w:rPr>
          <w:spacing w:val="-7"/>
          <w:sz w:val="21"/>
        </w:rPr>
        <w:t> </w:t>
      </w:r>
      <w:r>
        <w:rPr>
          <w:sz w:val="21"/>
        </w:rPr>
        <w:t>Furthermore,</w:t>
      </w:r>
      <w:r>
        <w:rPr>
          <w:spacing w:val="-5"/>
          <w:sz w:val="21"/>
        </w:rPr>
        <w:t> </w:t>
      </w:r>
      <w:r>
        <w:rPr>
          <w:sz w:val="21"/>
        </w:rPr>
        <w:t>lack</w:t>
      </w:r>
      <w:r>
        <w:rPr>
          <w:spacing w:val="-5"/>
          <w:sz w:val="21"/>
        </w:rPr>
        <w:t> </w:t>
      </w:r>
      <w:r>
        <w:rPr>
          <w:sz w:val="21"/>
        </w:rPr>
        <w:t>of</w:t>
      </w:r>
      <w:r>
        <w:rPr>
          <w:spacing w:val="-5"/>
          <w:sz w:val="21"/>
        </w:rPr>
        <w:t> </w:t>
      </w:r>
      <w:r>
        <w:rPr>
          <w:sz w:val="21"/>
        </w:rPr>
        <w:t>access</w:t>
      </w:r>
      <w:r>
        <w:rPr>
          <w:spacing w:val="-6"/>
          <w:sz w:val="21"/>
        </w:rPr>
        <w:t> </w:t>
      </w:r>
      <w:r>
        <w:rPr>
          <w:sz w:val="21"/>
        </w:rPr>
        <w:t>to</w:t>
      </w:r>
      <w:r>
        <w:rPr>
          <w:spacing w:val="-5"/>
          <w:sz w:val="21"/>
        </w:rPr>
        <w:t> </w:t>
      </w:r>
      <w:r>
        <w:rPr>
          <w:sz w:val="21"/>
        </w:rPr>
        <w:t>appropriate</w:t>
      </w:r>
      <w:r>
        <w:rPr>
          <w:spacing w:val="-5"/>
          <w:sz w:val="21"/>
        </w:rPr>
        <w:t> </w:t>
      </w:r>
      <w:r>
        <w:rPr>
          <w:sz w:val="21"/>
        </w:rPr>
        <w:t>clothing,</w:t>
      </w:r>
      <w:r>
        <w:rPr>
          <w:spacing w:val="-5"/>
          <w:sz w:val="21"/>
        </w:rPr>
        <w:t> </w:t>
      </w:r>
      <w:r>
        <w:rPr>
          <w:sz w:val="21"/>
        </w:rPr>
        <w:t>hygiene</w:t>
      </w:r>
      <w:r>
        <w:rPr>
          <w:spacing w:val="-5"/>
          <w:sz w:val="21"/>
        </w:rPr>
        <w:t> </w:t>
      </w:r>
      <w:r>
        <w:rPr>
          <w:sz w:val="21"/>
        </w:rPr>
        <w:t>and gender-affirming</w:t>
      </w:r>
      <w:r>
        <w:rPr>
          <w:spacing w:val="-1"/>
          <w:sz w:val="21"/>
        </w:rPr>
        <w:t> </w:t>
      </w:r>
      <w:r>
        <w:rPr>
          <w:sz w:val="21"/>
        </w:rPr>
        <w:t>products, lack of</w:t>
      </w:r>
      <w:r>
        <w:rPr>
          <w:spacing w:val="-2"/>
          <w:sz w:val="21"/>
        </w:rPr>
        <w:t> </w:t>
      </w:r>
      <w:r>
        <w:rPr>
          <w:sz w:val="21"/>
        </w:rPr>
        <w:t>appropriate</w:t>
      </w:r>
      <w:r>
        <w:rPr>
          <w:spacing w:val="-1"/>
          <w:sz w:val="21"/>
        </w:rPr>
        <w:t> </w:t>
      </w:r>
      <w:r>
        <w:rPr>
          <w:sz w:val="21"/>
        </w:rPr>
        <w:t>documentation,</w:t>
      </w:r>
      <w:r>
        <w:rPr>
          <w:spacing w:val="-1"/>
          <w:sz w:val="21"/>
        </w:rPr>
        <w:t> </w:t>
      </w:r>
      <w:r>
        <w:rPr>
          <w:sz w:val="21"/>
        </w:rPr>
        <w:t>and</w:t>
      </w:r>
      <w:r>
        <w:rPr>
          <w:spacing w:val="-2"/>
          <w:sz w:val="21"/>
        </w:rPr>
        <w:t> </w:t>
      </w:r>
      <w:r>
        <w:rPr>
          <w:sz w:val="21"/>
        </w:rPr>
        <w:t>poor mental</w:t>
      </w:r>
      <w:r>
        <w:rPr>
          <w:spacing w:val="-2"/>
          <w:sz w:val="21"/>
        </w:rPr>
        <w:t> </w:t>
      </w:r>
      <w:r>
        <w:rPr>
          <w:sz w:val="21"/>
        </w:rPr>
        <w:t>health</w:t>
      </w:r>
      <w:r>
        <w:rPr>
          <w:spacing w:val="-1"/>
          <w:sz w:val="21"/>
        </w:rPr>
        <w:t> </w:t>
      </w:r>
      <w:r>
        <w:rPr>
          <w:sz w:val="21"/>
        </w:rPr>
        <w:t>were</w:t>
      </w:r>
      <w:r>
        <w:rPr>
          <w:spacing w:val="-2"/>
          <w:sz w:val="21"/>
        </w:rPr>
        <w:t> </w:t>
      </w:r>
      <w:r>
        <w:rPr>
          <w:sz w:val="21"/>
        </w:rPr>
        <w:t>also</w:t>
      </w:r>
      <w:r>
        <w:rPr>
          <w:spacing w:val="-1"/>
          <w:sz w:val="21"/>
        </w:rPr>
        <w:t> </w:t>
      </w:r>
      <w:r>
        <w:rPr>
          <w:sz w:val="21"/>
        </w:rPr>
        <w:t>listed</w:t>
      </w:r>
      <w:r>
        <w:rPr>
          <w:spacing w:val="-1"/>
          <w:sz w:val="21"/>
        </w:rPr>
        <w:t> </w:t>
      </w:r>
      <w:r>
        <w:rPr>
          <w:sz w:val="21"/>
        </w:rPr>
        <w:t>as significant barriers.</w:t>
      </w:r>
    </w:p>
    <w:p>
      <w:pPr>
        <w:spacing w:line="276" w:lineRule="auto" w:before="240"/>
        <w:ind w:left="464" w:right="201" w:firstLine="0"/>
        <w:jc w:val="both"/>
        <w:rPr>
          <w:sz w:val="21"/>
        </w:rPr>
      </w:pPr>
      <w:r>
        <w:rPr>
          <w:sz w:val="21"/>
        </w:rPr>
        <w:t>While</w:t>
      </w:r>
      <w:r>
        <w:rPr>
          <w:spacing w:val="-2"/>
          <w:sz w:val="21"/>
        </w:rPr>
        <w:t> </w:t>
      </w:r>
      <w:r>
        <w:rPr>
          <w:sz w:val="21"/>
        </w:rPr>
        <w:t>organizations</w:t>
      </w:r>
      <w:r>
        <w:rPr>
          <w:spacing w:val="-2"/>
          <w:sz w:val="21"/>
        </w:rPr>
        <w:t> </w:t>
      </w:r>
      <w:r>
        <w:rPr>
          <w:sz w:val="21"/>
        </w:rPr>
        <w:t>like</w:t>
      </w:r>
      <w:r>
        <w:rPr>
          <w:spacing w:val="-2"/>
          <w:sz w:val="21"/>
        </w:rPr>
        <w:t> </w:t>
      </w:r>
      <w:r>
        <w:rPr>
          <w:sz w:val="21"/>
        </w:rPr>
        <w:t>Breaktime</w:t>
      </w:r>
      <w:r>
        <w:rPr>
          <w:spacing w:val="-2"/>
          <w:sz w:val="21"/>
        </w:rPr>
        <w:t> </w:t>
      </w:r>
      <w:r>
        <w:rPr>
          <w:sz w:val="21"/>
        </w:rPr>
        <w:t>do</w:t>
      </w:r>
      <w:r>
        <w:rPr>
          <w:spacing w:val="-2"/>
          <w:sz w:val="21"/>
        </w:rPr>
        <w:t> </w:t>
      </w:r>
      <w:r>
        <w:rPr>
          <w:sz w:val="21"/>
        </w:rPr>
        <w:t>provide</w:t>
      </w:r>
      <w:r>
        <w:rPr>
          <w:spacing w:val="-2"/>
          <w:sz w:val="21"/>
        </w:rPr>
        <w:t> </w:t>
      </w:r>
      <w:r>
        <w:rPr>
          <w:sz w:val="21"/>
        </w:rPr>
        <w:t>employment</w:t>
      </w:r>
      <w:r>
        <w:rPr>
          <w:spacing w:val="-1"/>
          <w:sz w:val="21"/>
        </w:rPr>
        <w:t> </w:t>
      </w:r>
      <w:r>
        <w:rPr>
          <w:sz w:val="21"/>
        </w:rPr>
        <w:t>support</w:t>
      </w:r>
      <w:r>
        <w:rPr>
          <w:spacing w:val="-1"/>
          <w:sz w:val="21"/>
        </w:rPr>
        <w:t> </w:t>
      </w:r>
      <w:r>
        <w:rPr>
          <w:sz w:val="21"/>
        </w:rPr>
        <w:t>for</w:t>
      </w:r>
      <w:r>
        <w:rPr>
          <w:spacing w:val="-2"/>
          <w:sz w:val="21"/>
        </w:rPr>
        <w:t> </w:t>
      </w:r>
      <w:r>
        <w:rPr>
          <w:sz w:val="21"/>
        </w:rPr>
        <w:t>LGBTQ</w:t>
      </w:r>
      <w:r>
        <w:rPr>
          <w:spacing w:val="-2"/>
          <w:sz w:val="21"/>
        </w:rPr>
        <w:t> </w:t>
      </w:r>
      <w:r>
        <w:rPr>
          <w:sz w:val="21"/>
        </w:rPr>
        <w:t>young</w:t>
      </w:r>
      <w:r>
        <w:rPr>
          <w:spacing w:val="-2"/>
          <w:sz w:val="21"/>
        </w:rPr>
        <w:t> </w:t>
      </w:r>
      <w:r>
        <w:rPr>
          <w:sz w:val="21"/>
        </w:rPr>
        <w:t>people</w:t>
      </w:r>
      <w:r>
        <w:rPr>
          <w:spacing w:val="-2"/>
          <w:sz w:val="21"/>
        </w:rPr>
        <w:t> </w:t>
      </w:r>
      <w:r>
        <w:rPr>
          <w:sz w:val="21"/>
        </w:rPr>
        <w:t>experiencing homelessness, it is critical that the state broadens its understanding of what homelessness prevention resources and programming are and increases funding to help build capacity through new and existing support programs.</w:t>
      </w:r>
    </w:p>
    <w:p>
      <w:pPr>
        <w:spacing w:before="239"/>
        <w:ind w:left="464" w:right="0" w:firstLine="0"/>
        <w:jc w:val="both"/>
        <w:rPr>
          <w:sz w:val="28"/>
        </w:rPr>
      </w:pPr>
      <w:bookmarkStart w:name="Research on Economic Justice for LGBTQ Y" w:id="834"/>
      <w:bookmarkEnd w:id="834"/>
      <w:r>
        <w:rPr/>
      </w:r>
      <w:r>
        <w:rPr>
          <w:color w:val="365F91"/>
          <w:sz w:val="28"/>
        </w:rPr>
        <w:t>Research</w:t>
      </w:r>
      <w:r>
        <w:rPr>
          <w:color w:val="365F91"/>
          <w:spacing w:val="-10"/>
          <w:sz w:val="28"/>
        </w:rPr>
        <w:t> </w:t>
      </w:r>
      <w:r>
        <w:rPr>
          <w:color w:val="365F91"/>
          <w:sz w:val="28"/>
        </w:rPr>
        <w:t>on</w:t>
      </w:r>
      <w:r>
        <w:rPr>
          <w:color w:val="365F91"/>
          <w:spacing w:val="-9"/>
          <w:sz w:val="28"/>
        </w:rPr>
        <w:t> </w:t>
      </w:r>
      <w:r>
        <w:rPr>
          <w:color w:val="365F91"/>
          <w:sz w:val="28"/>
        </w:rPr>
        <w:t>Economic</w:t>
      </w:r>
      <w:r>
        <w:rPr>
          <w:color w:val="365F91"/>
          <w:spacing w:val="-9"/>
          <w:sz w:val="28"/>
        </w:rPr>
        <w:t> </w:t>
      </w:r>
      <w:r>
        <w:rPr>
          <w:color w:val="365F91"/>
          <w:sz w:val="28"/>
        </w:rPr>
        <w:t>Justice</w:t>
      </w:r>
      <w:r>
        <w:rPr>
          <w:color w:val="365F91"/>
          <w:spacing w:val="-8"/>
          <w:sz w:val="28"/>
        </w:rPr>
        <w:t> </w:t>
      </w:r>
      <w:r>
        <w:rPr>
          <w:color w:val="365F91"/>
          <w:sz w:val="28"/>
        </w:rPr>
        <w:t>for</w:t>
      </w:r>
      <w:r>
        <w:rPr>
          <w:color w:val="365F91"/>
          <w:spacing w:val="-10"/>
          <w:sz w:val="28"/>
        </w:rPr>
        <w:t> </w:t>
      </w:r>
      <w:r>
        <w:rPr>
          <w:color w:val="365F91"/>
          <w:sz w:val="28"/>
        </w:rPr>
        <w:t>LGBTQ</w:t>
      </w:r>
      <w:r>
        <w:rPr>
          <w:color w:val="365F91"/>
          <w:spacing w:val="-8"/>
          <w:sz w:val="28"/>
        </w:rPr>
        <w:t> </w:t>
      </w:r>
      <w:r>
        <w:rPr>
          <w:color w:val="365F91"/>
          <w:spacing w:val="-2"/>
          <w:sz w:val="28"/>
        </w:rPr>
        <w:t>Youth</w:t>
      </w:r>
    </w:p>
    <w:p>
      <w:pPr>
        <w:pStyle w:val="BodyText"/>
        <w:spacing w:before="9"/>
        <w:rPr>
          <w:sz w:val="3"/>
        </w:rPr>
      </w:pPr>
      <w:r>
        <w:rPr/>
        <mc:AlternateContent>
          <mc:Choice Requires="wps">
            <w:drawing>
              <wp:anchor distT="0" distB="0" distL="0" distR="0" allowOverlap="1" layoutInCell="1" locked="0" behindDoc="1" simplePos="0" relativeHeight="487682048">
                <wp:simplePos x="0" y="0"/>
                <wp:positionH relativeFrom="page">
                  <wp:posOffset>986789</wp:posOffset>
                </wp:positionH>
                <wp:positionV relativeFrom="paragraph">
                  <wp:posOffset>44777</wp:posOffset>
                </wp:positionV>
                <wp:extent cx="5799455" cy="6350"/>
                <wp:effectExtent l="0" t="0" r="0" b="0"/>
                <wp:wrapTopAndBottom/>
                <wp:docPr id="506" name="Graphic 506"/>
                <wp:cNvGraphicFramePr>
                  <a:graphicFrameLocks/>
                </wp:cNvGraphicFramePr>
                <a:graphic>
                  <a:graphicData uri="http://schemas.microsoft.com/office/word/2010/wordprocessingShape">
                    <wps:wsp>
                      <wps:cNvPr id="506" name="Graphic 506"/>
                      <wps:cNvSpPr/>
                      <wps:spPr>
                        <a:xfrm>
                          <a:off x="0" y="0"/>
                          <a:ext cx="5799455" cy="6350"/>
                        </a:xfrm>
                        <a:custGeom>
                          <a:avLst/>
                          <a:gdLst/>
                          <a:ahLst/>
                          <a:cxnLst/>
                          <a:rect l="l" t="t" r="r" b="b"/>
                          <a:pathLst>
                            <a:path w="5799455" h="6350">
                              <a:moveTo>
                                <a:pt x="5798832" y="0"/>
                              </a:moveTo>
                              <a:lnTo>
                                <a:pt x="0" y="0"/>
                              </a:lnTo>
                              <a:lnTo>
                                <a:pt x="0" y="6096"/>
                              </a:lnTo>
                              <a:lnTo>
                                <a:pt x="5798832" y="6096"/>
                              </a:lnTo>
                              <a:lnTo>
                                <a:pt x="5798832" y="0"/>
                              </a:lnTo>
                              <a:close/>
                            </a:path>
                          </a:pathLst>
                        </a:custGeom>
                        <a:solidFill>
                          <a:srgbClr val="4F81BC"/>
                        </a:solidFill>
                      </wps:spPr>
                      <wps:bodyPr wrap="square" lIns="0" tIns="0" rIns="0" bIns="0" rtlCol="0">
                        <a:prstTxWarp prst="textNoShape">
                          <a:avLst/>
                        </a:prstTxWarp>
                        <a:noAutofit/>
                      </wps:bodyPr>
                    </wps:wsp>
                  </a:graphicData>
                </a:graphic>
              </wp:anchor>
            </w:drawing>
          </mc:Choice>
          <mc:Fallback>
            <w:pict>
              <v:rect style="position:absolute;margin-left:77.699997pt;margin-top:3.52582pt;width:456.601pt;height:.48pt;mso-position-horizontal-relative:page;mso-position-vertical-relative:paragraph;z-index:-15634432;mso-wrap-distance-left:0;mso-wrap-distance-right:0" id="docshape408" filled="true" fillcolor="#4f81bc" stroked="false">
                <v:fill type="solid"/>
                <w10:wrap type="topAndBottom"/>
              </v:rect>
            </w:pict>
          </mc:Fallback>
        </mc:AlternateContent>
      </w:r>
    </w:p>
    <w:p>
      <w:pPr>
        <w:spacing w:before="241"/>
        <w:ind w:left="464" w:right="0" w:firstLine="0"/>
        <w:jc w:val="left"/>
        <w:rPr>
          <w:sz w:val="28"/>
        </w:rPr>
      </w:pPr>
      <w:bookmarkStart w:name="Employment" w:id="835"/>
      <w:bookmarkEnd w:id="835"/>
      <w:r>
        <w:rPr/>
      </w:r>
      <w:r>
        <w:rPr>
          <w:color w:val="365F91"/>
          <w:spacing w:val="-2"/>
          <w:sz w:val="28"/>
        </w:rPr>
        <w:t>Employment</w:t>
      </w:r>
    </w:p>
    <w:p>
      <w:pPr>
        <w:spacing w:line="276" w:lineRule="auto" w:before="292"/>
        <w:ind w:left="463" w:right="199" w:firstLine="0"/>
        <w:jc w:val="both"/>
        <w:rPr>
          <w:sz w:val="21"/>
        </w:rPr>
      </w:pPr>
      <w:r>
        <w:rPr>
          <w:sz w:val="21"/>
        </w:rPr>
        <w:t>LGBTQ youth, especially QTBIPOC youth, reported higher unemployment rates than their cisgender and straight counterparts. According to the 2022 US Trans Survey, transgender individuals reported an 18% unemployment rate from October to December 2022compared to the national average of 3.6% in Q4 of 2022</w:t>
      </w:r>
      <w:hyperlink w:history="true" w:anchor="_bookmark555">
        <w:r>
          <w:rPr>
            <w:sz w:val="21"/>
            <w:vertAlign w:val="superscript"/>
          </w:rPr>
          <w:t>1</w:t>
        </w:r>
      </w:hyperlink>
      <w:r>
        <w:rPr>
          <w:sz w:val="21"/>
          <w:vertAlign w:val="baseline"/>
        </w:rPr>
        <w:t>;</w:t>
      </w:r>
      <w:r>
        <w:rPr>
          <w:spacing w:val="-9"/>
          <w:sz w:val="21"/>
          <w:vertAlign w:val="baseline"/>
        </w:rPr>
        <w:t> </w:t>
      </w:r>
      <w:r>
        <w:rPr>
          <w:sz w:val="21"/>
          <w:vertAlign w:val="baseline"/>
        </w:rPr>
        <w:t>34%</w:t>
      </w:r>
      <w:r>
        <w:rPr>
          <w:spacing w:val="-9"/>
          <w:sz w:val="21"/>
          <w:vertAlign w:val="baseline"/>
        </w:rPr>
        <w:t> </w:t>
      </w:r>
      <w:r>
        <w:rPr>
          <w:sz w:val="21"/>
          <w:vertAlign w:val="baseline"/>
        </w:rPr>
        <w:t>of</w:t>
      </w:r>
      <w:r>
        <w:rPr>
          <w:spacing w:val="-10"/>
          <w:sz w:val="21"/>
          <w:vertAlign w:val="baseline"/>
        </w:rPr>
        <w:t> </w:t>
      </w:r>
      <w:r>
        <w:rPr>
          <w:sz w:val="21"/>
          <w:vertAlign w:val="baseline"/>
        </w:rPr>
        <w:t>transgender</w:t>
      </w:r>
      <w:r>
        <w:rPr>
          <w:spacing w:val="-9"/>
          <w:sz w:val="21"/>
          <w:vertAlign w:val="baseline"/>
        </w:rPr>
        <w:t> </w:t>
      </w:r>
      <w:r>
        <w:rPr>
          <w:sz w:val="21"/>
          <w:vertAlign w:val="baseline"/>
        </w:rPr>
        <w:t>individuals</w:t>
      </w:r>
      <w:r>
        <w:rPr>
          <w:spacing w:val="-10"/>
          <w:sz w:val="21"/>
          <w:vertAlign w:val="baseline"/>
        </w:rPr>
        <w:t> </w:t>
      </w:r>
      <w:r>
        <w:rPr>
          <w:sz w:val="21"/>
          <w:vertAlign w:val="baseline"/>
        </w:rPr>
        <w:t>reported</w:t>
      </w:r>
      <w:r>
        <w:rPr>
          <w:spacing w:val="-9"/>
          <w:sz w:val="21"/>
          <w:vertAlign w:val="baseline"/>
        </w:rPr>
        <w:t> </w:t>
      </w:r>
      <w:r>
        <w:rPr>
          <w:sz w:val="21"/>
          <w:vertAlign w:val="baseline"/>
        </w:rPr>
        <w:t>living</w:t>
      </w:r>
      <w:r>
        <w:rPr>
          <w:spacing w:val="-10"/>
          <w:sz w:val="21"/>
          <w:vertAlign w:val="baseline"/>
        </w:rPr>
        <w:t> </w:t>
      </w:r>
      <w:r>
        <w:rPr>
          <w:sz w:val="21"/>
          <w:vertAlign w:val="baseline"/>
        </w:rPr>
        <w:t>in</w:t>
      </w:r>
      <w:r>
        <w:rPr>
          <w:spacing w:val="-9"/>
          <w:sz w:val="21"/>
          <w:vertAlign w:val="baseline"/>
        </w:rPr>
        <w:t> </w:t>
      </w:r>
      <w:r>
        <w:rPr>
          <w:sz w:val="21"/>
          <w:vertAlign w:val="baseline"/>
        </w:rPr>
        <w:t>poverty</w:t>
      </w:r>
      <w:r>
        <w:rPr>
          <w:spacing w:val="-10"/>
          <w:sz w:val="21"/>
          <w:vertAlign w:val="baseline"/>
        </w:rPr>
        <w:t> </w:t>
      </w:r>
      <w:r>
        <w:rPr>
          <w:sz w:val="21"/>
          <w:vertAlign w:val="baseline"/>
        </w:rPr>
        <w:t>in</w:t>
      </w:r>
      <w:r>
        <w:rPr>
          <w:spacing w:val="-9"/>
          <w:sz w:val="21"/>
          <w:vertAlign w:val="baseline"/>
        </w:rPr>
        <w:t> </w:t>
      </w:r>
      <w:r>
        <w:rPr>
          <w:sz w:val="21"/>
          <w:vertAlign w:val="baseline"/>
        </w:rPr>
        <w:t>2022</w:t>
      </w:r>
      <w:hyperlink w:history="true" w:anchor="_bookmark556">
        <w:r>
          <w:rPr>
            <w:sz w:val="21"/>
            <w:vertAlign w:val="superscript"/>
          </w:rPr>
          <w:t>2</w:t>
        </w:r>
      </w:hyperlink>
      <w:r>
        <w:rPr>
          <w:spacing w:val="38"/>
          <w:sz w:val="21"/>
          <w:vertAlign w:val="baseline"/>
        </w:rPr>
        <w:t> </w:t>
      </w:r>
      <w:r>
        <w:rPr>
          <w:sz w:val="21"/>
          <w:vertAlign w:val="baseline"/>
        </w:rPr>
        <w:t>compared</w:t>
      </w:r>
      <w:r>
        <w:rPr>
          <w:spacing w:val="-9"/>
          <w:sz w:val="21"/>
          <w:vertAlign w:val="baseline"/>
        </w:rPr>
        <w:t> </w:t>
      </w:r>
      <w:r>
        <w:rPr>
          <w:sz w:val="21"/>
          <w:vertAlign w:val="baseline"/>
        </w:rPr>
        <w:t>to</w:t>
      </w:r>
      <w:r>
        <w:rPr>
          <w:spacing w:val="-11"/>
          <w:sz w:val="21"/>
          <w:vertAlign w:val="baseline"/>
        </w:rPr>
        <w:t> </w:t>
      </w:r>
      <w:r>
        <w:rPr>
          <w:sz w:val="21"/>
          <w:vertAlign w:val="baseline"/>
        </w:rPr>
        <w:t>the</w:t>
      </w:r>
      <w:r>
        <w:rPr>
          <w:spacing w:val="-9"/>
          <w:sz w:val="21"/>
          <w:vertAlign w:val="baseline"/>
        </w:rPr>
        <w:t> </w:t>
      </w:r>
      <w:r>
        <w:rPr>
          <w:sz w:val="21"/>
          <w:vertAlign w:val="baseline"/>
        </w:rPr>
        <w:t>national</w:t>
      </w:r>
      <w:r>
        <w:rPr>
          <w:spacing w:val="-9"/>
          <w:sz w:val="21"/>
          <w:vertAlign w:val="baseline"/>
        </w:rPr>
        <w:t> </w:t>
      </w:r>
      <w:r>
        <w:rPr>
          <w:sz w:val="21"/>
          <w:vertAlign w:val="baseline"/>
        </w:rPr>
        <w:t>poverty rate of</w:t>
      </w:r>
      <w:r>
        <w:rPr>
          <w:spacing w:val="-2"/>
          <w:sz w:val="21"/>
          <w:vertAlign w:val="baseline"/>
        </w:rPr>
        <w:t> </w:t>
      </w:r>
      <w:r>
        <w:rPr>
          <w:sz w:val="21"/>
          <w:vertAlign w:val="baseline"/>
        </w:rPr>
        <w:t>11.5%</w:t>
      </w:r>
      <w:r>
        <w:rPr>
          <w:spacing w:val="-2"/>
          <w:sz w:val="21"/>
          <w:vertAlign w:val="baseline"/>
        </w:rPr>
        <w:t> </w:t>
      </w:r>
      <w:r>
        <w:rPr>
          <w:sz w:val="21"/>
          <w:vertAlign w:val="baseline"/>
        </w:rPr>
        <w:t>in 2022</w:t>
      </w:r>
      <w:hyperlink w:history="true" w:anchor="_bookmark557">
        <w:r>
          <w:rPr>
            <w:sz w:val="21"/>
            <w:vertAlign w:val="superscript"/>
          </w:rPr>
          <w:t>3</w:t>
        </w:r>
      </w:hyperlink>
      <w:r>
        <w:rPr>
          <w:sz w:val="21"/>
          <w:vertAlign w:val="baseline"/>
        </w:rPr>
        <w:t>. The</w:t>
      </w:r>
      <w:r>
        <w:rPr>
          <w:spacing w:val="-1"/>
          <w:sz w:val="21"/>
          <w:vertAlign w:val="baseline"/>
        </w:rPr>
        <w:t> </w:t>
      </w:r>
      <w:r>
        <w:rPr>
          <w:sz w:val="21"/>
          <w:vertAlign w:val="baseline"/>
        </w:rPr>
        <w:t>Bureau of</w:t>
      </w:r>
      <w:r>
        <w:rPr>
          <w:spacing w:val="-1"/>
          <w:sz w:val="21"/>
          <w:vertAlign w:val="baseline"/>
        </w:rPr>
        <w:t> </w:t>
      </w:r>
      <w:r>
        <w:rPr>
          <w:sz w:val="21"/>
          <w:vertAlign w:val="baseline"/>
        </w:rPr>
        <w:t>Labor Statistics still</w:t>
      </w:r>
      <w:r>
        <w:rPr>
          <w:spacing w:val="-1"/>
          <w:sz w:val="21"/>
          <w:vertAlign w:val="baseline"/>
        </w:rPr>
        <w:t> </w:t>
      </w:r>
      <w:r>
        <w:rPr>
          <w:sz w:val="21"/>
          <w:vertAlign w:val="baseline"/>
        </w:rPr>
        <w:t>does not</w:t>
      </w:r>
      <w:r>
        <w:rPr>
          <w:spacing w:val="-1"/>
          <w:sz w:val="21"/>
          <w:vertAlign w:val="baseline"/>
        </w:rPr>
        <w:t> </w:t>
      </w:r>
      <w:r>
        <w:rPr>
          <w:sz w:val="21"/>
          <w:vertAlign w:val="baseline"/>
        </w:rPr>
        <w:t>collect data</w:t>
      </w:r>
      <w:r>
        <w:rPr>
          <w:spacing w:val="-1"/>
          <w:sz w:val="21"/>
          <w:vertAlign w:val="baseline"/>
        </w:rPr>
        <w:t> </w:t>
      </w:r>
      <w:r>
        <w:rPr>
          <w:sz w:val="21"/>
          <w:vertAlign w:val="baseline"/>
        </w:rPr>
        <w:t>on</w:t>
      </w:r>
      <w:r>
        <w:rPr>
          <w:spacing w:val="-1"/>
          <w:sz w:val="21"/>
          <w:vertAlign w:val="baseline"/>
        </w:rPr>
        <w:t> </w:t>
      </w:r>
      <w:r>
        <w:rPr>
          <w:sz w:val="21"/>
          <w:vertAlign w:val="baseline"/>
        </w:rPr>
        <w:t>LGBTQ identity</w:t>
      </w:r>
      <w:r>
        <w:rPr>
          <w:spacing w:val="-1"/>
          <w:sz w:val="21"/>
          <w:vertAlign w:val="baseline"/>
        </w:rPr>
        <w:t> </w:t>
      </w:r>
      <w:r>
        <w:rPr>
          <w:sz w:val="21"/>
          <w:vertAlign w:val="baseline"/>
        </w:rPr>
        <w:t>on</w:t>
      </w:r>
      <w:r>
        <w:rPr>
          <w:spacing w:val="-1"/>
          <w:sz w:val="21"/>
          <w:vertAlign w:val="baseline"/>
        </w:rPr>
        <w:t> </w:t>
      </w:r>
      <w:r>
        <w:rPr>
          <w:sz w:val="21"/>
          <w:vertAlign w:val="baseline"/>
        </w:rPr>
        <w:t>most of</w:t>
      </w:r>
      <w:r>
        <w:rPr>
          <w:spacing w:val="-6"/>
          <w:sz w:val="21"/>
          <w:vertAlign w:val="baseline"/>
        </w:rPr>
        <w:t> </w:t>
      </w:r>
      <w:r>
        <w:rPr>
          <w:sz w:val="21"/>
          <w:vertAlign w:val="baseline"/>
        </w:rPr>
        <w:t>its</w:t>
      </w:r>
      <w:r>
        <w:rPr>
          <w:spacing w:val="-6"/>
          <w:sz w:val="21"/>
          <w:vertAlign w:val="baseline"/>
        </w:rPr>
        <w:t> </w:t>
      </w:r>
      <w:r>
        <w:rPr>
          <w:sz w:val="21"/>
          <w:vertAlign w:val="baseline"/>
        </w:rPr>
        <w:t>surveys,</w:t>
      </w:r>
      <w:r>
        <w:rPr>
          <w:spacing w:val="-4"/>
          <w:sz w:val="21"/>
          <w:vertAlign w:val="baseline"/>
        </w:rPr>
        <w:t> </w:t>
      </w:r>
      <w:r>
        <w:rPr>
          <w:sz w:val="21"/>
          <w:vertAlign w:val="baseline"/>
        </w:rPr>
        <w:t>making</w:t>
      </w:r>
      <w:r>
        <w:rPr>
          <w:spacing w:val="-6"/>
          <w:sz w:val="21"/>
          <w:vertAlign w:val="baseline"/>
        </w:rPr>
        <w:t> </w:t>
      </w:r>
      <w:r>
        <w:rPr>
          <w:sz w:val="21"/>
          <w:vertAlign w:val="baseline"/>
        </w:rPr>
        <w:t>it</w:t>
      </w:r>
      <w:r>
        <w:rPr>
          <w:spacing w:val="-5"/>
          <w:sz w:val="21"/>
          <w:vertAlign w:val="baseline"/>
        </w:rPr>
        <w:t> </w:t>
      </w:r>
      <w:r>
        <w:rPr>
          <w:sz w:val="21"/>
          <w:vertAlign w:val="baseline"/>
        </w:rPr>
        <w:t>difficult</w:t>
      </w:r>
      <w:r>
        <w:rPr>
          <w:spacing w:val="-5"/>
          <w:sz w:val="21"/>
          <w:vertAlign w:val="baseline"/>
        </w:rPr>
        <w:t> </w:t>
      </w:r>
      <w:r>
        <w:rPr>
          <w:sz w:val="21"/>
          <w:vertAlign w:val="baseline"/>
        </w:rPr>
        <w:t>to</w:t>
      </w:r>
      <w:r>
        <w:rPr>
          <w:spacing w:val="-6"/>
          <w:sz w:val="21"/>
          <w:vertAlign w:val="baseline"/>
        </w:rPr>
        <w:t> </w:t>
      </w:r>
      <w:r>
        <w:rPr>
          <w:sz w:val="21"/>
          <w:vertAlign w:val="baseline"/>
        </w:rPr>
        <w:t>generate</w:t>
      </w:r>
      <w:r>
        <w:rPr>
          <w:spacing w:val="-6"/>
          <w:sz w:val="21"/>
          <w:vertAlign w:val="baseline"/>
        </w:rPr>
        <w:t> </w:t>
      </w:r>
      <w:r>
        <w:rPr>
          <w:sz w:val="21"/>
          <w:vertAlign w:val="baseline"/>
        </w:rPr>
        <w:t>exact</w:t>
      </w:r>
      <w:r>
        <w:rPr>
          <w:spacing w:val="-5"/>
          <w:sz w:val="21"/>
          <w:vertAlign w:val="baseline"/>
        </w:rPr>
        <w:t> </w:t>
      </w:r>
      <w:r>
        <w:rPr>
          <w:sz w:val="21"/>
          <w:vertAlign w:val="baseline"/>
        </w:rPr>
        <w:t>unemployment</w:t>
      </w:r>
      <w:r>
        <w:rPr>
          <w:spacing w:val="-5"/>
          <w:sz w:val="21"/>
          <w:vertAlign w:val="baseline"/>
        </w:rPr>
        <w:t> </w:t>
      </w:r>
      <w:r>
        <w:rPr>
          <w:sz w:val="21"/>
          <w:vertAlign w:val="baseline"/>
        </w:rPr>
        <w:t>rates</w:t>
      </w:r>
      <w:r>
        <w:rPr>
          <w:spacing w:val="-6"/>
          <w:sz w:val="21"/>
          <w:vertAlign w:val="baseline"/>
        </w:rPr>
        <w:t> </w:t>
      </w:r>
      <w:r>
        <w:rPr>
          <w:sz w:val="21"/>
          <w:vertAlign w:val="baseline"/>
        </w:rPr>
        <w:t>for</w:t>
      </w:r>
      <w:r>
        <w:rPr>
          <w:spacing w:val="-6"/>
          <w:sz w:val="21"/>
          <w:vertAlign w:val="baseline"/>
        </w:rPr>
        <w:t> </w:t>
      </w:r>
      <w:r>
        <w:rPr>
          <w:sz w:val="21"/>
          <w:vertAlign w:val="baseline"/>
        </w:rPr>
        <w:t>LGBTQ</w:t>
      </w:r>
      <w:r>
        <w:rPr>
          <w:spacing w:val="-5"/>
          <w:sz w:val="21"/>
          <w:vertAlign w:val="baseline"/>
        </w:rPr>
        <w:t> </w:t>
      </w:r>
      <w:r>
        <w:rPr>
          <w:sz w:val="21"/>
          <w:vertAlign w:val="baseline"/>
        </w:rPr>
        <w:t>youth</w:t>
      </w:r>
      <w:r>
        <w:rPr>
          <w:spacing w:val="-6"/>
          <w:sz w:val="21"/>
          <w:vertAlign w:val="baseline"/>
        </w:rPr>
        <w:t> </w:t>
      </w:r>
      <w:r>
        <w:rPr>
          <w:sz w:val="21"/>
          <w:vertAlign w:val="baseline"/>
        </w:rPr>
        <w:t>in</w:t>
      </w:r>
      <w:r>
        <w:rPr>
          <w:spacing w:val="-6"/>
          <w:sz w:val="21"/>
          <w:vertAlign w:val="baseline"/>
        </w:rPr>
        <w:t> </w:t>
      </w:r>
      <w:r>
        <w:rPr>
          <w:sz w:val="21"/>
          <w:vertAlign w:val="baseline"/>
        </w:rPr>
        <w:t>Massachusetts. There is data that show higher unemployment rates for other at-risk groups: people of color, foreign-born individuals,</w:t>
      </w:r>
      <w:r>
        <w:rPr>
          <w:spacing w:val="-6"/>
          <w:sz w:val="21"/>
          <w:vertAlign w:val="baseline"/>
        </w:rPr>
        <w:t> </w:t>
      </w:r>
      <w:r>
        <w:rPr>
          <w:sz w:val="21"/>
          <w:vertAlign w:val="baseline"/>
        </w:rPr>
        <w:t>justice-involved</w:t>
      </w:r>
      <w:r>
        <w:rPr>
          <w:spacing w:val="-7"/>
          <w:sz w:val="21"/>
          <w:vertAlign w:val="baseline"/>
        </w:rPr>
        <w:t> </w:t>
      </w:r>
      <w:r>
        <w:rPr>
          <w:sz w:val="21"/>
          <w:vertAlign w:val="baseline"/>
        </w:rPr>
        <w:t>individuals,</w:t>
      </w:r>
      <w:r>
        <w:rPr>
          <w:spacing w:val="-6"/>
          <w:sz w:val="21"/>
          <w:vertAlign w:val="baseline"/>
        </w:rPr>
        <w:t> </w:t>
      </w:r>
      <w:r>
        <w:rPr>
          <w:sz w:val="21"/>
          <w:vertAlign w:val="baseline"/>
        </w:rPr>
        <w:t>individuals</w:t>
      </w:r>
      <w:r>
        <w:rPr>
          <w:spacing w:val="-7"/>
          <w:sz w:val="21"/>
          <w:vertAlign w:val="baseline"/>
        </w:rPr>
        <w:t> </w:t>
      </w:r>
      <w:r>
        <w:rPr>
          <w:sz w:val="21"/>
          <w:vertAlign w:val="baseline"/>
        </w:rPr>
        <w:t>with</w:t>
      </w:r>
      <w:r>
        <w:rPr>
          <w:spacing w:val="-7"/>
          <w:sz w:val="21"/>
          <w:vertAlign w:val="baseline"/>
        </w:rPr>
        <w:t> </w:t>
      </w:r>
      <w:r>
        <w:rPr>
          <w:sz w:val="21"/>
          <w:vertAlign w:val="baseline"/>
        </w:rPr>
        <w:t>disabilities,</w:t>
      </w:r>
      <w:r>
        <w:rPr>
          <w:spacing w:val="-6"/>
          <w:sz w:val="21"/>
          <w:vertAlign w:val="baseline"/>
        </w:rPr>
        <w:t> </w:t>
      </w:r>
      <w:r>
        <w:rPr>
          <w:sz w:val="21"/>
          <w:vertAlign w:val="baseline"/>
        </w:rPr>
        <w:t>and</w:t>
      </w:r>
      <w:r>
        <w:rPr>
          <w:spacing w:val="-7"/>
          <w:sz w:val="21"/>
          <w:vertAlign w:val="baseline"/>
        </w:rPr>
        <w:t> </w:t>
      </w:r>
      <w:r>
        <w:rPr>
          <w:sz w:val="21"/>
          <w:vertAlign w:val="baseline"/>
        </w:rPr>
        <w:t>youth</w:t>
      </w:r>
      <w:r>
        <w:rPr>
          <w:spacing w:val="-7"/>
          <w:sz w:val="21"/>
          <w:vertAlign w:val="baseline"/>
        </w:rPr>
        <w:t> </w:t>
      </w:r>
      <w:r>
        <w:rPr>
          <w:sz w:val="21"/>
          <w:vertAlign w:val="baseline"/>
        </w:rPr>
        <w:t>between</w:t>
      </w:r>
      <w:r>
        <w:rPr>
          <w:spacing w:val="-7"/>
          <w:sz w:val="21"/>
          <w:vertAlign w:val="baseline"/>
        </w:rPr>
        <w:t> </w:t>
      </w:r>
      <w:r>
        <w:rPr>
          <w:sz w:val="21"/>
          <w:vertAlign w:val="baseline"/>
        </w:rPr>
        <w:t>the</w:t>
      </w:r>
      <w:r>
        <w:rPr>
          <w:spacing w:val="-7"/>
          <w:sz w:val="21"/>
          <w:vertAlign w:val="baseline"/>
        </w:rPr>
        <w:t> </w:t>
      </w:r>
      <w:r>
        <w:rPr>
          <w:sz w:val="21"/>
          <w:vertAlign w:val="baseline"/>
        </w:rPr>
        <w:t>ages</w:t>
      </w:r>
      <w:r>
        <w:rPr>
          <w:spacing w:val="-7"/>
          <w:sz w:val="21"/>
          <w:vertAlign w:val="baseline"/>
        </w:rPr>
        <w:t> </w:t>
      </w:r>
      <w:r>
        <w:rPr>
          <w:sz w:val="21"/>
          <w:vertAlign w:val="baseline"/>
        </w:rPr>
        <w:t>of</w:t>
      </w:r>
      <w:r>
        <w:rPr>
          <w:spacing w:val="-7"/>
          <w:sz w:val="21"/>
          <w:vertAlign w:val="baseline"/>
        </w:rPr>
        <w:t> </w:t>
      </w:r>
      <w:r>
        <w:rPr>
          <w:sz w:val="21"/>
          <w:vertAlign w:val="baseline"/>
        </w:rPr>
        <w:t>18-24.</w:t>
      </w:r>
      <w:hyperlink w:history="true" w:anchor="_bookmark558">
        <w:r>
          <w:rPr>
            <w:sz w:val="21"/>
            <w:vertAlign w:val="superscript"/>
          </w:rPr>
          <w:t>4</w:t>
        </w:r>
      </w:hyperlink>
    </w:p>
    <w:p>
      <w:pPr>
        <w:spacing w:line="276" w:lineRule="auto" w:before="240"/>
        <w:ind w:left="463" w:right="202" w:firstLine="0"/>
        <w:jc w:val="both"/>
        <w:rPr>
          <w:sz w:val="21"/>
        </w:rPr>
      </w:pPr>
      <w:r>
        <w:rPr>
          <w:sz w:val="21"/>
        </w:rPr>
        <w:t>Considering</w:t>
      </w:r>
      <w:r>
        <w:rPr>
          <w:spacing w:val="-7"/>
          <w:sz w:val="21"/>
        </w:rPr>
        <w:t> </w:t>
      </w:r>
      <w:r>
        <w:rPr>
          <w:sz w:val="21"/>
        </w:rPr>
        <w:t>the</w:t>
      </w:r>
      <w:r>
        <w:rPr>
          <w:spacing w:val="-7"/>
          <w:sz w:val="21"/>
        </w:rPr>
        <w:t> </w:t>
      </w:r>
      <w:r>
        <w:rPr>
          <w:sz w:val="21"/>
        </w:rPr>
        <w:t>labor</w:t>
      </w:r>
      <w:r>
        <w:rPr>
          <w:spacing w:val="-7"/>
          <w:sz w:val="21"/>
        </w:rPr>
        <w:t> </w:t>
      </w:r>
      <w:r>
        <w:rPr>
          <w:sz w:val="21"/>
        </w:rPr>
        <w:t>shortage</w:t>
      </w:r>
      <w:r>
        <w:rPr>
          <w:spacing w:val="-7"/>
          <w:sz w:val="21"/>
        </w:rPr>
        <w:t> </w:t>
      </w:r>
      <w:r>
        <w:rPr>
          <w:sz w:val="21"/>
        </w:rPr>
        <w:t>in</w:t>
      </w:r>
      <w:r>
        <w:rPr>
          <w:spacing w:val="-8"/>
          <w:sz w:val="21"/>
        </w:rPr>
        <w:t> </w:t>
      </w:r>
      <w:r>
        <w:rPr>
          <w:sz w:val="21"/>
        </w:rPr>
        <w:t>Massachusetts,</w:t>
      </w:r>
      <w:r>
        <w:rPr>
          <w:spacing w:val="-6"/>
          <w:sz w:val="21"/>
        </w:rPr>
        <w:t> </w:t>
      </w:r>
      <w:r>
        <w:rPr>
          <w:sz w:val="21"/>
        </w:rPr>
        <w:t>the</w:t>
      </w:r>
      <w:r>
        <w:rPr>
          <w:spacing w:val="-8"/>
          <w:sz w:val="21"/>
        </w:rPr>
        <w:t> </w:t>
      </w:r>
      <w:r>
        <w:rPr>
          <w:sz w:val="21"/>
        </w:rPr>
        <w:t>Commission</w:t>
      </w:r>
      <w:r>
        <w:rPr>
          <w:spacing w:val="-7"/>
          <w:sz w:val="21"/>
        </w:rPr>
        <w:t> </w:t>
      </w:r>
      <w:r>
        <w:rPr>
          <w:sz w:val="21"/>
        </w:rPr>
        <w:t>highlights</w:t>
      </w:r>
      <w:r>
        <w:rPr>
          <w:spacing w:val="-7"/>
          <w:sz w:val="21"/>
        </w:rPr>
        <w:t> </w:t>
      </w:r>
      <w:r>
        <w:rPr>
          <w:sz w:val="21"/>
        </w:rPr>
        <w:t>the</w:t>
      </w:r>
      <w:r>
        <w:rPr>
          <w:spacing w:val="-7"/>
          <w:sz w:val="21"/>
        </w:rPr>
        <w:t> </w:t>
      </w:r>
      <w:r>
        <w:rPr>
          <w:sz w:val="21"/>
        </w:rPr>
        <w:t>need</w:t>
      </w:r>
      <w:r>
        <w:rPr>
          <w:spacing w:val="-7"/>
          <w:sz w:val="21"/>
        </w:rPr>
        <w:t> </w:t>
      </w:r>
      <w:r>
        <w:rPr>
          <w:sz w:val="21"/>
        </w:rPr>
        <w:t>for</w:t>
      </w:r>
      <w:r>
        <w:rPr>
          <w:spacing w:val="-7"/>
          <w:sz w:val="21"/>
        </w:rPr>
        <w:t> </w:t>
      </w:r>
      <w:r>
        <w:rPr>
          <w:sz w:val="21"/>
        </w:rPr>
        <w:t>efforts</w:t>
      </w:r>
      <w:r>
        <w:rPr>
          <w:spacing w:val="-7"/>
          <w:sz w:val="21"/>
        </w:rPr>
        <w:t> </w:t>
      </w:r>
      <w:r>
        <w:rPr>
          <w:sz w:val="21"/>
        </w:rPr>
        <w:t>to</w:t>
      </w:r>
      <w:r>
        <w:rPr>
          <w:spacing w:val="-8"/>
          <w:sz w:val="21"/>
        </w:rPr>
        <w:t> </w:t>
      </w:r>
      <w:r>
        <w:rPr>
          <w:sz w:val="21"/>
        </w:rPr>
        <w:t>employ workers from these marginalized groups, among which LGBTQ youth are disproportionately represented. Barriers</w:t>
      </w:r>
      <w:r>
        <w:rPr>
          <w:spacing w:val="40"/>
          <w:sz w:val="21"/>
        </w:rPr>
        <w:t> </w:t>
      </w:r>
      <w:r>
        <w:rPr>
          <w:sz w:val="21"/>
        </w:rPr>
        <w:t>to</w:t>
      </w:r>
      <w:r>
        <w:rPr>
          <w:spacing w:val="40"/>
          <w:sz w:val="21"/>
        </w:rPr>
        <w:t> </w:t>
      </w:r>
      <w:r>
        <w:rPr>
          <w:sz w:val="21"/>
        </w:rPr>
        <w:t>these</w:t>
      </w:r>
      <w:r>
        <w:rPr>
          <w:spacing w:val="40"/>
          <w:sz w:val="21"/>
        </w:rPr>
        <w:t> </w:t>
      </w:r>
      <w:r>
        <w:rPr>
          <w:sz w:val="21"/>
        </w:rPr>
        <w:t>groups</w:t>
      </w:r>
      <w:r>
        <w:rPr>
          <w:spacing w:val="60"/>
          <w:sz w:val="21"/>
        </w:rPr>
        <w:t> </w:t>
      </w:r>
      <w:r>
        <w:rPr>
          <w:sz w:val="21"/>
        </w:rPr>
        <w:t>include</w:t>
      </w:r>
      <w:r>
        <w:rPr>
          <w:spacing w:val="40"/>
          <w:sz w:val="21"/>
        </w:rPr>
        <w:t> </w:t>
      </w:r>
      <w:r>
        <w:rPr>
          <w:sz w:val="21"/>
        </w:rPr>
        <w:t>English</w:t>
      </w:r>
      <w:r>
        <w:rPr>
          <w:spacing w:val="40"/>
          <w:sz w:val="21"/>
        </w:rPr>
        <w:t> </w:t>
      </w:r>
      <w:r>
        <w:rPr>
          <w:sz w:val="21"/>
        </w:rPr>
        <w:t>language</w:t>
      </w:r>
      <w:r>
        <w:rPr>
          <w:spacing w:val="40"/>
          <w:sz w:val="21"/>
        </w:rPr>
        <w:t> </w:t>
      </w:r>
      <w:r>
        <w:rPr>
          <w:sz w:val="21"/>
        </w:rPr>
        <w:t>speaking</w:t>
      </w:r>
      <w:r>
        <w:rPr>
          <w:spacing w:val="40"/>
          <w:sz w:val="21"/>
        </w:rPr>
        <w:t> </w:t>
      </w:r>
      <w:r>
        <w:rPr>
          <w:sz w:val="21"/>
        </w:rPr>
        <w:t>requirements,</w:t>
      </w:r>
      <w:r>
        <w:rPr>
          <w:spacing w:val="40"/>
          <w:sz w:val="21"/>
        </w:rPr>
        <w:t> </w:t>
      </w:r>
      <w:r>
        <w:rPr>
          <w:sz w:val="21"/>
        </w:rPr>
        <w:t>requirements</w:t>
      </w:r>
      <w:r>
        <w:rPr>
          <w:spacing w:val="40"/>
          <w:sz w:val="21"/>
        </w:rPr>
        <w:t> </w:t>
      </w:r>
      <w:r>
        <w:rPr>
          <w:sz w:val="21"/>
        </w:rPr>
        <w:t>prohibiting</w:t>
      </w:r>
    </w:p>
    <w:p>
      <w:pPr>
        <w:spacing w:after="0" w:line="276" w:lineRule="auto"/>
        <w:jc w:val="both"/>
        <w:rPr>
          <w:sz w:val="21"/>
        </w:rPr>
        <w:sectPr>
          <w:pgSz w:w="12240" w:h="15840"/>
          <w:pgMar w:header="763" w:footer="1041" w:top="1380" w:bottom="1240" w:left="1120" w:right="1380"/>
        </w:sectPr>
      </w:pPr>
    </w:p>
    <w:p>
      <w:pPr>
        <w:spacing w:line="276" w:lineRule="auto" w:before="47"/>
        <w:ind w:left="463" w:right="199" w:firstLine="0"/>
        <w:jc w:val="both"/>
        <w:rPr>
          <w:sz w:val="21"/>
        </w:rPr>
      </w:pPr>
      <w:r>
        <w:rPr>
          <w:sz w:val="21"/>
        </w:rPr>
        <w:t>individuals with a criminal record, accessible transportation, and access to healthcare. Solutions to removing</w:t>
      </w:r>
      <w:r>
        <w:rPr>
          <w:spacing w:val="-2"/>
          <w:sz w:val="21"/>
        </w:rPr>
        <w:t> </w:t>
      </w:r>
      <w:r>
        <w:rPr>
          <w:sz w:val="21"/>
        </w:rPr>
        <w:t>these</w:t>
      </w:r>
      <w:r>
        <w:rPr>
          <w:spacing w:val="-2"/>
          <w:sz w:val="21"/>
        </w:rPr>
        <w:t> </w:t>
      </w:r>
      <w:r>
        <w:rPr>
          <w:sz w:val="21"/>
        </w:rPr>
        <w:t>barriers</w:t>
      </w:r>
      <w:r>
        <w:rPr>
          <w:spacing w:val="-2"/>
          <w:sz w:val="21"/>
        </w:rPr>
        <w:t> </w:t>
      </w:r>
      <w:r>
        <w:rPr>
          <w:sz w:val="21"/>
        </w:rPr>
        <w:t>include</w:t>
      </w:r>
      <w:r>
        <w:rPr>
          <w:spacing w:val="-2"/>
          <w:sz w:val="21"/>
        </w:rPr>
        <w:t> </w:t>
      </w:r>
      <w:r>
        <w:rPr>
          <w:sz w:val="21"/>
        </w:rPr>
        <w:t>funding</w:t>
      </w:r>
      <w:r>
        <w:rPr>
          <w:spacing w:val="-2"/>
          <w:sz w:val="21"/>
        </w:rPr>
        <w:t> </w:t>
      </w:r>
      <w:r>
        <w:rPr>
          <w:sz w:val="21"/>
        </w:rPr>
        <w:t>English</w:t>
      </w:r>
      <w:r>
        <w:rPr>
          <w:spacing w:val="-1"/>
          <w:sz w:val="21"/>
        </w:rPr>
        <w:t> </w:t>
      </w:r>
      <w:r>
        <w:rPr>
          <w:sz w:val="21"/>
        </w:rPr>
        <w:t>language</w:t>
      </w:r>
      <w:r>
        <w:rPr>
          <w:spacing w:val="-2"/>
          <w:sz w:val="21"/>
        </w:rPr>
        <w:t> </w:t>
      </w:r>
      <w:r>
        <w:rPr>
          <w:sz w:val="21"/>
        </w:rPr>
        <w:t>programs,</w:t>
      </w:r>
      <w:r>
        <w:rPr>
          <w:spacing w:val="-1"/>
          <w:sz w:val="21"/>
        </w:rPr>
        <w:t> </w:t>
      </w:r>
      <w:r>
        <w:rPr>
          <w:sz w:val="21"/>
        </w:rPr>
        <w:t>onboarding</w:t>
      </w:r>
      <w:r>
        <w:rPr>
          <w:spacing w:val="-2"/>
          <w:sz w:val="21"/>
        </w:rPr>
        <w:t> </w:t>
      </w:r>
      <w:r>
        <w:rPr>
          <w:sz w:val="21"/>
        </w:rPr>
        <w:t>and</w:t>
      </w:r>
      <w:r>
        <w:rPr>
          <w:spacing w:val="-1"/>
          <w:sz w:val="21"/>
        </w:rPr>
        <w:t> </w:t>
      </w:r>
      <w:r>
        <w:rPr>
          <w:sz w:val="21"/>
        </w:rPr>
        <w:t>training</w:t>
      </w:r>
      <w:r>
        <w:rPr>
          <w:spacing w:val="-2"/>
          <w:sz w:val="21"/>
        </w:rPr>
        <w:t> </w:t>
      </w:r>
      <w:r>
        <w:rPr>
          <w:sz w:val="21"/>
        </w:rPr>
        <w:t>that</w:t>
      </w:r>
      <w:r>
        <w:rPr>
          <w:spacing w:val="-2"/>
          <w:sz w:val="21"/>
        </w:rPr>
        <w:t> </w:t>
      </w:r>
      <w:r>
        <w:rPr>
          <w:sz w:val="21"/>
        </w:rPr>
        <w:t>includes teaching</w:t>
      </w:r>
      <w:r>
        <w:rPr>
          <w:spacing w:val="-11"/>
          <w:sz w:val="21"/>
        </w:rPr>
        <w:t> </w:t>
      </w:r>
      <w:r>
        <w:rPr>
          <w:sz w:val="21"/>
        </w:rPr>
        <w:t>career</w:t>
      </w:r>
      <w:r>
        <w:rPr>
          <w:spacing w:val="-10"/>
          <w:sz w:val="21"/>
        </w:rPr>
        <w:t> </w:t>
      </w:r>
      <w:r>
        <w:rPr>
          <w:sz w:val="21"/>
        </w:rPr>
        <w:t>specific</w:t>
      </w:r>
      <w:r>
        <w:rPr>
          <w:spacing w:val="-10"/>
          <w:sz w:val="21"/>
        </w:rPr>
        <w:t> </w:t>
      </w:r>
      <w:r>
        <w:rPr>
          <w:sz w:val="21"/>
        </w:rPr>
        <w:t>English</w:t>
      </w:r>
      <w:r>
        <w:rPr>
          <w:spacing w:val="-10"/>
          <w:sz w:val="21"/>
        </w:rPr>
        <w:t> </w:t>
      </w:r>
      <w:r>
        <w:rPr>
          <w:sz w:val="21"/>
        </w:rPr>
        <w:t>terminology,</w:t>
      </w:r>
      <w:r>
        <w:rPr>
          <w:spacing w:val="-10"/>
          <w:sz w:val="21"/>
        </w:rPr>
        <w:t> </w:t>
      </w:r>
      <w:r>
        <w:rPr>
          <w:sz w:val="21"/>
        </w:rPr>
        <w:t>removing</w:t>
      </w:r>
      <w:r>
        <w:rPr>
          <w:spacing w:val="-11"/>
          <w:sz w:val="21"/>
        </w:rPr>
        <w:t> </w:t>
      </w:r>
      <w:r>
        <w:rPr>
          <w:sz w:val="21"/>
        </w:rPr>
        <w:t>requirements</w:t>
      </w:r>
      <w:r>
        <w:rPr>
          <w:spacing w:val="-11"/>
          <w:sz w:val="21"/>
        </w:rPr>
        <w:t> </w:t>
      </w:r>
      <w:r>
        <w:rPr>
          <w:sz w:val="21"/>
        </w:rPr>
        <w:t>prohibiting</w:t>
      </w:r>
      <w:r>
        <w:rPr>
          <w:spacing w:val="28"/>
          <w:sz w:val="21"/>
        </w:rPr>
        <w:t> </w:t>
      </w:r>
      <w:r>
        <w:rPr>
          <w:sz w:val="21"/>
        </w:rPr>
        <w:t>individuals</w:t>
      </w:r>
      <w:r>
        <w:rPr>
          <w:spacing w:val="-11"/>
          <w:sz w:val="21"/>
        </w:rPr>
        <w:t> </w:t>
      </w:r>
      <w:r>
        <w:rPr>
          <w:sz w:val="21"/>
        </w:rPr>
        <w:t>with</w:t>
      </w:r>
      <w:r>
        <w:rPr>
          <w:spacing w:val="-10"/>
          <w:sz w:val="21"/>
        </w:rPr>
        <w:t> </w:t>
      </w:r>
      <w:r>
        <w:rPr>
          <w:sz w:val="21"/>
        </w:rPr>
        <w:t>a</w:t>
      </w:r>
      <w:r>
        <w:rPr>
          <w:spacing w:val="-10"/>
          <w:sz w:val="21"/>
        </w:rPr>
        <w:t> </w:t>
      </w:r>
      <w:r>
        <w:rPr>
          <w:sz w:val="21"/>
        </w:rPr>
        <w:t>criminal record from working, improving transportation to be more accessible, and professional development.</w:t>
      </w:r>
      <w:hyperlink w:history="true" w:anchor="_bookmark559">
        <w:r>
          <w:rPr>
            <w:sz w:val="21"/>
            <w:vertAlign w:val="superscript"/>
          </w:rPr>
          <w:t>5</w:t>
        </w:r>
      </w:hyperlink>
      <w:r>
        <w:rPr>
          <w:sz w:val="21"/>
          <w:vertAlign w:val="baseline"/>
        </w:rPr>
        <w:t> Additional support for LGBTQ youth seeking employment should be put into place, such as professional development</w:t>
      </w:r>
      <w:r>
        <w:rPr>
          <w:spacing w:val="-9"/>
          <w:sz w:val="21"/>
          <w:vertAlign w:val="baseline"/>
        </w:rPr>
        <w:t> </w:t>
      </w:r>
      <w:r>
        <w:rPr>
          <w:sz w:val="21"/>
          <w:vertAlign w:val="baseline"/>
        </w:rPr>
        <w:t>tailored</w:t>
      </w:r>
      <w:r>
        <w:rPr>
          <w:spacing w:val="-9"/>
          <w:sz w:val="21"/>
          <w:vertAlign w:val="baseline"/>
        </w:rPr>
        <w:t> </w:t>
      </w:r>
      <w:r>
        <w:rPr>
          <w:sz w:val="21"/>
          <w:vertAlign w:val="baseline"/>
        </w:rPr>
        <w:t>to</w:t>
      </w:r>
      <w:r>
        <w:rPr>
          <w:spacing w:val="-9"/>
          <w:sz w:val="21"/>
          <w:vertAlign w:val="baseline"/>
        </w:rPr>
        <w:t> </w:t>
      </w:r>
      <w:r>
        <w:rPr>
          <w:sz w:val="21"/>
          <w:vertAlign w:val="baseline"/>
        </w:rPr>
        <w:t>LGBTQ</w:t>
      </w:r>
      <w:r>
        <w:rPr>
          <w:spacing w:val="-9"/>
          <w:sz w:val="21"/>
          <w:vertAlign w:val="baseline"/>
        </w:rPr>
        <w:t> </w:t>
      </w:r>
      <w:r>
        <w:rPr>
          <w:sz w:val="21"/>
          <w:vertAlign w:val="baseline"/>
        </w:rPr>
        <w:t>identity</w:t>
      </w:r>
      <w:r>
        <w:rPr>
          <w:spacing w:val="-9"/>
          <w:sz w:val="21"/>
          <w:vertAlign w:val="baseline"/>
        </w:rPr>
        <w:t> </w:t>
      </w:r>
      <w:r>
        <w:rPr>
          <w:sz w:val="21"/>
          <w:vertAlign w:val="baseline"/>
        </w:rPr>
        <w:t>and</w:t>
      </w:r>
      <w:r>
        <w:rPr>
          <w:spacing w:val="-9"/>
          <w:sz w:val="21"/>
          <w:vertAlign w:val="baseline"/>
        </w:rPr>
        <w:t> </w:t>
      </w:r>
      <w:r>
        <w:rPr>
          <w:sz w:val="21"/>
          <w:vertAlign w:val="baseline"/>
        </w:rPr>
        <w:t>initiatives</w:t>
      </w:r>
      <w:r>
        <w:rPr>
          <w:spacing w:val="-9"/>
          <w:sz w:val="21"/>
          <w:vertAlign w:val="baseline"/>
        </w:rPr>
        <w:t> </w:t>
      </w:r>
      <w:r>
        <w:rPr>
          <w:sz w:val="21"/>
          <w:vertAlign w:val="baseline"/>
        </w:rPr>
        <w:t>connecting</w:t>
      </w:r>
      <w:r>
        <w:rPr>
          <w:spacing w:val="-9"/>
          <w:sz w:val="21"/>
          <w:vertAlign w:val="baseline"/>
        </w:rPr>
        <w:t> </w:t>
      </w:r>
      <w:r>
        <w:rPr>
          <w:sz w:val="21"/>
          <w:vertAlign w:val="baseline"/>
        </w:rPr>
        <w:t>LGBTQ</w:t>
      </w:r>
      <w:r>
        <w:rPr>
          <w:spacing w:val="-9"/>
          <w:sz w:val="21"/>
          <w:vertAlign w:val="baseline"/>
        </w:rPr>
        <w:t> </w:t>
      </w:r>
      <w:r>
        <w:rPr>
          <w:sz w:val="21"/>
          <w:vertAlign w:val="baseline"/>
        </w:rPr>
        <w:t>youth</w:t>
      </w:r>
      <w:r>
        <w:rPr>
          <w:spacing w:val="-9"/>
          <w:sz w:val="21"/>
          <w:vertAlign w:val="baseline"/>
        </w:rPr>
        <w:t> </w:t>
      </w:r>
      <w:r>
        <w:rPr>
          <w:sz w:val="21"/>
          <w:vertAlign w:val="baseline"/>
        </w:rPr>
        <w:t>with</w:t>
      </w:r>
      <w:r>
        <w:rPr>
          <w:spacing w:val="-9"/>
          <w:sz w:val="21"/>
          <w:vertAlign w:val="baseline"/>
        </w:rPr>
        <w:t> </w:t>
      </w:r>
      <w:r>
        <w:rPr>
          <w:sz w:val="21"/>
          <w:vertAlign w:val="baseline"/>
        </w:rPr>
        <w:t>supportive</w:t>
      </w:r>
      <w:r>
        <w:rPr>
          <w:spacing w:val="-9"/>
          <w:sz w:val="21"/>
          <w:vertAlign w:val="baseline"/>
        </w:rPr>
        <w:t> </w:t>
      </w:r>
      <w:r>
        <w:rPr>
          <w:sz w:val="21"/>
          <w:vertAlign w:val="baseline"/>
        </w:rPr>
        <w:t>employers and LGBTQ owned businesses. Organizations such as the Human Rights Campaign offer resources for employers to make their workplaces more inclusive environments and for professional development for LGBTQ workers, such as mentorship. Making workplaces LGBTQ inclusive and safe will help recruit and retain LGBTQ talent.</w:t>
      </w:r>
    </w:p>
    <w:p>
      <w:pPr>
        <w:spacing w:line="276" w:lineRule="auto" w:before="241"/>
        <w:ind w:left="463" w:right="200" w:firstLine="0"/>
        <w:jc w:val="both"/>
        <w:rPr>
          <w:sz w:val="21"/>
        </w:rPr>
      </w:pPr>
      <w:r>
        <w:rPr>
          <w:sz w:val="21"/>
        </w:rPr>
        <w:t>Employment is essential for economic security for LGBTQ youth who are more likely than their peers to experience homelessness and adverse health conditions. For example, a 2022 employment intervention study found that employment reduced the risk of contracting HIV among young men who have sex with men and transgender youth of color </w:t>
      </w:r>
      <w:hyperlink w:history="true" w:anchor="_bookmark560">
        <w:r>
          <w:rPr>
            <w:sz w:val="21"/>
            <w:vertAlign w:val="superscript"/>
          </w:rPr>
          <w:t>6</w:t>
        </w:r>
      </w:hyperlink>
      <w:r>
        <w:rPr>
          <w:sz w:val="21"/>
          <w:vertAlign w:val="baseline"/>
        </w:rPr>
        <w:t> by preventing homelessness and exposure to HIV through transactional sex work among LGBTQ youth of color participants.</w:t>
      </w:r>
    </w:p>
    <w:p>
      <w:pPr>
        <w:spacing w:line="276" w:lineRule="auto" w:before="239"/>
        <w:ind w:left="463" w:right="197" w:firstLine="0"/>
        <w:jc w:val="both"/>
        <w:rPr>
          <w:sz w:val="21"/>
        </w:rPr>
      </w:pPr>
      <w:r>
        <w:rPr>
          <w:sz w:val="21"/>
        </w:rPr>
        <w:t>LGBTQ</w:t>
      </w:r>
      <w:r>
        <w:rPr>
          <w:spacing w:val="-9"/>
          <w:sz w:val="21"/>
        </w:rPr>
        <w:t> </w:t>
      </w:r>
      <w:r>
        <w:rPr>
          <w:sz w:val="21"/>
        </w:rPr>
        <w:t>individuals</w:t>
      </w:r>
      <w:r>
        <w:rPr>
          <w:spacing w:val="-10"/>
          <w:sz w:val="21"/>
        </w:rPr>
        <w:t> </w:t>
      </w:r>
      <w:r>
        <w:rPr>
          <w:sz w:val="21"/>
        </w:rPr>
        <w:t>face</w:t>
      </w:r>
      <w:r>
        <w:rPr>
          <w:spacing w:val="-9"/>
          <w:sz w:val="21"/>
        </w:rPr>
        <w:t> </w:t>
      </w:r>
      <w:r>
        <w:rPr>
          <w:sz w:val="21"/>
        </w:rPr>
        <w:t>hiring</w:t>
      </w:r>
      <w:r>
        <w:rPr>
          <w:spacing w:val="-9"/>
          <w:sz w:val="21"/>
        </w:rPr>
        <w:t> </w:t>
      </w:r>
      <w:r>
        <w:rPr>
          <w:sz w:val="21"/>
        </w:rPr>
        <w:t>discrimination</w:t>
      </w:r>
      <w:r>
        <w:rPr>
          <w:spacing w:val="-9"/>
          <w:sz w:val="21"/>
        </w:rPr>
        <w:t> </w:t>
      </w:r>
      <w:r>
        <w:rPr>
          <w:sz w:val="21"/>
        </w:rPr>
        <w:t>in</w:t>
      </w:r>
      <w:r>
        <w:rPr>
          <w:spacing w:val="-9"/>
          <w:sz w:val="21"/>
        </w:rPr>
        <w:t> </w:t>
      </w:r>
      <w:r>
        <w:rPr>
          <w:sz w:val="21"/>
        </w:rPr>
        <w:t>various</w:t>
      </w:r>
      <w:r>
        <w:rPr>
          <w:spacing w:val="-10"/>
          <w:sz w:val="21"/>
        </w:rPr>
        <w:t> </w:t>
      </w:r>
      <w:r>
        <w:rPr>
          <w:sz w:val="21"/>
        </w:rPr>
        <w:t>stages,</w:t>
      </w:r>
      <w:r>
        <w:rPr>
          <w:spacing w:val="-9"/>
          <w:sz w:val="21"/>
        </w:rPr>
        <w:t> </w:t>
      </w:r>
      <w:r>
        <w:rPr>
          <w:sz w:val="21"/>
        </w:rPr>
        <w:t>from</w:t>
      </w:r>
      <w:r>
        <w:rPr>
          <w:spacing w:val="-9"/>
          <w:sz w:val="21"/>
        </w:rPr>
        <w:t> </w:t>
      </w:r>
      <w:r>
        <w:rPr>
          <w:sz w:val="21"/>
        </w:rPr>
        <w:t>submitting</w:t>
      </w:r>
      <w:r>
        <w:rPr>
          <w:spacing w:val="-9"/>
          <w:sz w:val="21"/>
        </w:rPr>
        <w:t> </w:t>
      </w:r>
      <w:r>
        <w:rPr>
          <w:sz w:val="21"/>
        </w:rPr>
        <w:t>an</w:t>
      </w:r>
      <w:r>
        <w:rPr>
          <w:spacing w:val="-9"/>
          <w:sz w:val="21"/>
        </w:rPr>
        <w:t> </w:t>
      </w:r>
      <w:r>
        <w:rPr>
          <w:sz w:val="21"/>
        </w:rPr>
        <w:t>online</w:t>
      </w:r>
      <w:r>
        <w:rPr>
          <w:spacing w:val="-9"/>
          <w:sz w:val="21"/>
        </w:rPr>
        <w:t> </w:t>
      </w:r>
      <w:r>
        <w:rPr>
          <w:sz w:val="21"/>
        </w:rPr>
        <w:t>to</w:t>
      </w:r>
      <w:r>
        <w:rPr>
          <w:spacing w:val="-9"/>
          <w:sz w:val="21"/>
        </w:rPr>
        <w:t> </w:t>
      </w:r>
      <w:r>
        <w:rPr>
          <w:sz w:val="21"/>
        </w:rPr>
        <w:t>interviewing</w:t>
      </w:r>
      <w:r>
        <w:rPr>
          <w:spacing w:val="-9"/>
          <w:sz w:val="21"/>
        </w:rPr>
        <w:t> </w:t>
      </w:r>
      <w:r>
        <w:rPr>
          <w:sz w:val="21"/>
        </w:rPr>
        <w:t>for a position in person. Recent field experiments in economics show that there is hiring discrimination based on gender identity. Transgender women applying to entry-level positions were 6% less likely to receive a callback</w:t>
      </w:r>
      <w:r>
        <w:rPr>
          <w:spacing w:val="-5"/>
          <w:sz w:val="21"/>
        </w:rPr>
        <w:t> </w:t>
      </w:r>
      <w:r>
        <w:rPr>
          <w:sz w:val="21"/>
        </w:rPr>
        <w:t>(interview</w:t>
      </w:r>
      <w:r>
        <w:rPr>
          <w:spacing w:val="-6"/>
          <w:sz w:val="21"/>
        </w:rPr>
        <w:t> </w:t>
      </w:r>
      <w:r>
        <w:rPr>
          <w:sz w:val="21"/>
        </w:rPr>
        <w:t>invitation</w:t>
      </w:r>
      <w:r>
        <w:rPr>
          <w:spacing w:val="-5"/>
          <w:sz w:val="21"/>
        </w:rPr>
        <w:t> </w:t>
      </w:r>
      <w:r>
        <w:rPr>
          <w:sz w:val="21"/>
        </w:rPr>
        <w:t>or</w:t>
      </w:r>
      <w:r>
        <w:rPr>
          <w:spacing w:val="-5"/>
          <w:sz w:val="21"/>
        </w:rPr>
        <w:t> </w:t>
      </w:r>
      <w:r>
        <w:rPr>
          <w:sz w:val="21"/>
        </w:rPr>
        <w:t>job</w:t>
      </w:r>
      <w:r>
        <w:rPr>
          <w:spacing w:val="-7"/>
          <w:sz w:val="21"/>
        </w:rPr>
        <w:t> </w:t>
      </w:r>
      <w:r>
        <w:rPr>
          <w:sz w:val="21"/>
        </w:rPr>
        <w:t>offer)</w:t>
      </w:r>
      <w:r>
        <w:rPr>
          <w:spacing w:val="-5"/>
          <w:sz w:val="21"/>
        </w:rPr>
        <w:t> </w:t>
      </w:r>
      <w:r>
        <w:rPr>
          <w:sz w:val="21"/>
        </w:rPr>
        <w:t>from</w:t>
      </w:r>
      <w:r>
        <w:rPr>
          <w:spacing w:val="-5"/>
          <w:sz w:val="21"/>
        </w:rPr>
        <w:t> </w:t>
      </w:r>
      <w:r>
        <w:rPr>
          <w:sz w:val="21"/>
        </w:rPr>
        <w:t>an</w:t>
      </w:r>
      <w:r>
        <w:rPr>
          <w:spacing w:val="-5"/>
          <w:sz w:val="21"/>
        </w:rPr>
        <w:t> </w:t>
      </w:r>
      <w:r>
        <w:rPr>
          <w:sz w:val="21"/>
        </w:rPr>
        <w:t>employer</w:t>
      </w:r>
      <w:r>
        <w:rPr>
          <w:spacing w:val="-5"/>
          <w:sz w:val="21"/>
        </w:rPr>
        <w:t> </w:t>
      </w:r>
      <w:r>
        <w:rPr>
          <w:sz w:val="21"/>
        </w:rPr>
        <w:t>than</w:t>
      </w:r>
      <w:r>
        <w:rPr>
          <w:spacing w:val="-7"/>
          <w:sz w:val="21"/>
        </w:rPr>
        <w:t> </w:t>
      </w:r>
      <w:r>
        <w:rPr>
          <w:sz w:val="21"/>
        </w:rPr>
        <w:t>cisgender</w:t>
      </w:r>
      <w:r>
        <w:rPr>
          <w:spacing w:val="-5"/>
          <w:sz w:val="21"/>
        </w:rPr>
        <w:t> </w:t>
      </w:r>
      <w:r>
        <w:rPr>
          <w:sz w:val="21"/>
        </w:rPr>
        <w:t>men,</w:t>
      </w:r>
      <w:r>
        <w:rPr>
          <w:spacing w:val="-6"/>
          <w:sz w:val="21"/>
        </w:rPr>
        <w:t> </w:t>
      </w:r>
      <w:r>
        <w:rPr>
          <w:sz w:val="21"/>
        </w:rPr>
        <w:t>facing</w:t>
      </w:r>
      <w:r>
        <w:rPr>
          <w:spacing w:val="-6"/>
          <w:sz w:val="21"/>
        </w:rPr>
        <w:t> </w:t>
      </w:r>
      <w:r>
        <w:rPr>
          <w:sz w:val="21"/>
        </w:rPr>
        <w:t>a</w:t>
      </w:r>
      <w:r>
        <w:rPr>
          <w:spacing w:val="-5"/>
          <w:sz w:val="21"/>
        </w:rPr>
        <w:t> </w:t>
      </w:r>
      <w:r>
        <w:rPr>
          <w:sz w:val="21"/>
        </w:rPr>
        <w:t>penalty</w:t>
      </w:r>
      <w:r>
        <w:rPr>
          <w:spacing w:val="-7"/>
          <w:sz w:val="21"/>
        </w:rPr>
        <w:t> </w:t>
      </w:r>
      <w:r>
        <w:rPr>
          <w:sz w:val="21"/>
        </w:rPr>
        <w:t>for</w:t>
      </w:r>
      <w:r>
        <w:rPr>
          <w:spacing w:val="-5"/>
          <w:sz w:val="21"/>
        </w:rPr>
        <w:t> </w:t>
      </w:r>
      <w:r>
        <w:rPr>
          <w:sz w:val="21"/>
        </w:rPr>
        <w:t>being transgender and a penalty for being a woman,</w:t>
      </w:r>
      <w:r>
        <w:rPr>
          <w:spacing w:val="-12"/>
          <w:sz w:val="21"/>
        </w:rPr>
        <w:t> </w:t>
      </w:r>
      <w:hyperlink w:history="true" w:anchor="_bookmark561">
        <w:r>
          <w:rPr>
            <w:sz w:val="21"/>
            <w:vertAlign w:val="superscript"/>
          </w:rPr>
          <w:t>7</w:t>
        </w:r>
      </w:hyperlink>
      <w:r>
        <w:rPr>
          <w:sz w:val="21"/>
          <w:vertAlign w:val="baseline"/>
        </w:rPr>
        <w:t> while nonbinary applicants who included they/them pronouns</w:t>
      </w:r>
      <w:r>
        <w:rPr>
          <w:spacing w:val="-11"/>
          <w:sz w:val="21"/>
          <w:vertAlign w:val="baseline"/>
        </w:rPr>
        <w:t> </w:t>
      </w:r>
      <w:r>
        <w:rPr>
          <w:sz w:val="21"/>
          <w:vertAlign w:val="baseline"/>
        </w:rPr>
        <w:t>on</w:t>
      </w:r>
      <w:r>
        <w:rPr>
          <w:spacing w:val="-10"/>
          <w:sz w:val="21"/>
          <w:vertAlign w:val="baseline"/>
        </w:rPr>
        <w:t> </w:t>
      </w:r>
      <w:r>
        <w:rPr>
          <w:sz w:val="21"/>
          <w:vertAlign w:val="baseline"/>
        </w:rPr>
        <w:t>their</w:t>
      </w:r>
      <w:r>
        <w:rPr>
          <w:spacing w:val="-10"/>
          <w:sz w:val="21"/>
          <w:vertAlign w:val="baseline"/>
        </w:rPr>
        <w:t> </w:t>
      </w:r>
      <w:r>
        <w:rPr>
          <w:sz w:val="21"/>
          <w:vertAlign w:val="baseline"/>
        </w:rPr>
        <w:t>resumes</w:t>
      </w:r>
      <w:r>
        <w:rPr>
          <w:spacing w:val="-12"/>
          <w:sz w:val="21"/>
          <w:vertAlign w:val="baseline"/>
        </w:rPr>
        <w:t> </w:t>
      </w:r>
      <w:r>
        <w:rPr>
          <w:sz w:val="21"/>
          <w:vertAlign w:val="baseline"/>
        </w:rPr>
        <w:t>were</w:t>
      </w:r>
      <w:r>
        <w:rPr>
          <w:spacing w:val="-10"/>
          <w:sz w:val="21"/>
          <w:vertAlign w:val="baseline"/>
        </w:rPr>
        <w:t> </w:t>
      </w:r>
      <w:r>
        <w:rPr>
          <w:sz w:val="21"/>
          <w:vertAlign w:val="baseline"/>
        </w:rPr>
        <w:t>5.4%</w:t>
      </w:r>
      <w:r>
        <w:rPr>
          <w:spacing w:val="-12"/>
          <w:sz w:val="21"/>
          <w:vertAlign w:val="baseline"/>
        </w:rPr>
        <w:t> </w:t>
      </w:r>
      <w:r>
        <w:rPr>
          <w:sz w:val="21"/>
          <w:vertAlign w:val="baseline"/>
        </w:rPr>
        <w:t>less</w:t>
      </w:r>
      <w:r>
        <w:rPr>
          <w:spacing w:val="-11"/>
          <w:sz w:val="21"/>
          <w:vertAlign w:val="baseline"/>
        </w:rPr>
        <w:t> </w:t>
      </w:r>
      <w:r>
        <w:rPr>
          <w:sz w:val="21"/>
          <w:vertAlign w:val="baseline"/>
        </w:rPr>
        <w:t>likely</w:t>
      </w:r>
      <w:r>
        <w:rPr>
          <w:spacing w:val="-11"/>
          <w:sz w:val="21"/>
          <w:vertAlign w:val="baseline"/>
        </w:rPr>
        <w:t> </w:t>
      </w:r>
      <w:r>
        <w:rPr>
          <w:sz w:val="21"/>
          <w:vertAlign w:val="baseline"/>
        </w:rPr>
        <w:t>to</w:t>
      </w:r>
      <w:r>
        <w:rPr>
          <w:spacing w:val="-12"/>
          <w:sz w:val="21"/>
          <w:vertAlign w:val="baseline"/>
        </w:rPr>
        <w:t> </w:t>
      </w:r>
      <w:r>
        <w:rPr>
          <w:sz w:val="21"/>
          <w:vertAlign w:val="baseline"/>
        </w:rPr>
        <w:t>receive</w:t>
      </w:r>
      <w:r>
        <w:rPr>
          <w:spacing w:val="-10"/>
          <w:sz w:val="21"/>
          <w:vertAlign w:val="baseline"/>
        </w:rPr>
        <w:t> </w:t>
      </w:r>
      <w:r>
        <w:rPr>
          <w:sz w:val="21"/>
          <w:vertAlign w:val="baseline"/>
        </w:rPr>
        <w:t>a</w:t>
      </w:r>
      <w:r>
        <w:rPr>
          <w:spacing w:val="-11"/>
          <w:sz w:val="21"/>
          <w:vertAlign w:val="baseline"/>
        </w:rPr>
        <w:t> </w:t>
      </w:r>
      <w:r>
        <w:rPr>
          <w:sz w:val="21"/>
          <w:vertAlign w:val="baseline"/>
        </w:rPr>
        <w:t>callback</w:t>
      </w:r>
      <w:r>
        <w:rPr>
          <w:spacing w:val="-11"/>
          <w:sz w:val="21"/>
          <w:vertAlign w:val="baseline"/>
        </w:rPr>
        <w:t> </w:t>
      </w:r>
      <w:r>
        <w:rPr>
          <w:sz w:val="21"/>
          <w:vertAlign w:val="baseline"/>
        </w:rPr>
        <w:t>than</w:t>
      </w:r>
      <w:r>
        <w:rPr>
          <w:spacing w:val="-10"/>
          <w:sz w:val="21"/>
          <w:vertAlign w:val="baseline"/>
        </w:rPr>
        <w:t> </w:t>
      </w:r>
      <w:r>
        <w:rPr>
          <w:sz w:val="21"/>
          <w:vertAlign w:val="baseline"/>
        </w:rPr>
        <w:t>cisgender</w:t>
      </w:r>
      <w:r>
        <w:rPr>
          <w:spacing w:val="-11"/>
          <w:sz w:val="21"/>
          <w:vertAlign w:val="baseline"/>
        </w:rPr>
        <w:t> </w:t>
      </w:r>
      <w:r>
        <w:rPr>
          <w:sz w:val="21"/>
          <w:vertAlign w:val="baseline"/>
        </w:rPr>
        <w:t>applicants.</w:t>
      </w:r>
      <w:hyperlink w:history="true" w:anchor="_bookmark562">
        <w:r>
          <w:rPr>
            <w:sz w:val="21"/>
            <w:vertAlign w:val="superscript"/>
          </w:rPr>
          <w:t>8</w:t>
        </w:r>
      </w:hyperlink>
      <w:r>
        <w:rPr>
          <w:spacing w:val="-2"/>
          <w:sz w:val="21"/>
          <w:vertAlign w:val="baseline"/>
        </w:rPr>
        <w:t> </w:t>
      </w:r>
      <w:r>
        <w:rPr>
          <w:sz w:val="21"/>
          <w:vertAlign w:val="baseline"/>
        </w:rPr>
        <w:t>In</w:t>
      </w:r>
      <w:r>
        <w:rPr>
          <w:spacing w:val="-12"/>
          <w:sz w:val="21"/>
          <w:vertAlign w:val="baseline"/>
        </w:rPr>
        <w:t> </w:t>
      </w:r>
      <w:r>
        <w:rPr>
          <w:sz w:val="21"/>
          <w:vertAlign w:val="baseline"/>
        </w:rPr>
        <w:t>addition to discrimination based on LGBTQ identity, employers discriminate based on race: employers were 30% more likely to hire white workers than Black workers.</w:t>
      </w:r>
      <w:hyperlink w:history="true" w:anchor="_bookmark563">
        <w:r>
          <w:rPr>
            <w:sz w:val="21"/>
            <w:vertAlign w:val="superscript"/>
          </w:rPr>
          <w:t>9</w:t>
        </w:r>
      </w:hyperlink>
      <w:r>
        <w:rPr>
          <w:spacing w:val="-2"/>
          <w:sz w:val="21"/>
          <w:vertAlign w:val="baseline"/>
        </w:rPr>
        <w:t> </w:t>
      </w:r>
      <w:r>
        <w:rPr>
          <w:sz w:val="21"/>
          <w:vertAlign w:val="baseline"/>
        </w:rPr>
        <w:t>LGBTQ individuals who hold multiple marginalized identities face increased discrimination when searching for a position.</w:t>
      </w:r>
    </w:p>
    <w:p>
      <w:pPr>
        <w:spacing w:line="276" w:lineRule="auto" w:before="240"/>
        <w:ind w:left="464" w:right="200" w:firstLine="0"/>
        <w:jc w:val="both"/>
        <w:rPr>
          <w:sz w:val="21"/>
        </w:rPr>
      </w:pPr>
      <w:r>
        <w:rPr>
          <w:sz w:val="21"/>
        </w:rPr>
        <w:t>Discrimination makes workplaces unsafe for LGBTQ individuals due to customer prejudice that is not addressed</w:t>
      </w:r>
      <w:r>
        <w:rPr>
          <w:spacing w:val="-3"/>
          <w:sz w:val="21"/>
        </w:rPr>
        <w:t> </w:t>
      </w:r>
      <w:r>
        <w:rPr>
          <w:sz w:val="21"/>
        </w:rPr>
        <w:t>properly</w:t>
      </w:r>
      <w:r>
        <w:rPr>
          <w:spacing w:val="-3"/>
          <w:sz w:val="21"/>
        </w:rPr>
        <w:t> </w:t>
      </w:r>
      <w:r>
        <w:rPr>
          <w:sz w:val="21"/>
        </w:rPr>
        <w:t>by</w:t>
      </w:r>
      <w:r>
        <w:rPr>
          <w:spacing w:val="-3"/>
          <w:sz w:val="21"/>
        </w:rPr>
        <w:t> </w:t>
      </w:r>
      <w:r>
        <w:rPr>
          <w:sz w:val="21"/>
        </w:rPr>
        <w:t>management</w:t>
      </w:r>
      <w:r>
        <w:rPr>
          <w:spacing w:val="-2"/>
          <w:sz w:val="21"/>
        </w:rPr>
        <w:t> </w:t>
      </w:r>
      <w:r>
        <w:rPr>
          <w:sz w:val="21"/>
        </w:rPr>
        <w:t>which</w:t>
      </w:r>
      <w:r>
        <w:rPr>
          <w:spacing w:val="-4"/>
          <w:sz w:val="21"/>
        </w:rPr>
        <w:t> </w:t>
      </w:r>
      <w:r>
        <w:rPr>
          <w:sz w:val="21"/>
        </w:rPr>
        <w:t>values</w:t>
      </w:r>
      <w:r>
        <w:rPr>
          <w:spacing w:val="-3"/>
          <w:sz w:val="21"/>
        </w:rPr>
        <w:t> </w:t>
      </w:r>
      <w:r>
        <w:rPr>
          <w:sz w:val="21"/>
        </w:rPr>
        <w:t>profitability</w:t>
      </w:r>
      <w:r>
        <w:rPr>
          <w:spacing w:val="-3"/>
          <w:sz w:val="21"/>
        </w:rPr>
        <w:t> </w:t>
      </w:r>
      <w:r>
        <w:rPr>
          <w:sz w:val="21"/>
        </w:rPr>
        <w:t>and</w:t>
      </w:r>
      <w:r>
        <w:rPr>
          <w:spacing w:val="-3"/>
          <w:sz w:val="21"/>
        </w:rPr>
        <w:t> </w:t>
      </w:r>
      <w:r>
        <w:rPr>
          <w:sz w:val="21"/>
        </w:rPr>
        <w:t>customer</w:t>
      </w:r>
      <w:r>
        <w:rPr>
          <w:spacing w:val="-3"/>
          <w:sz w:val="21"/>
        </w:rPr>
        <w:t> </w:t>
      </w:r>
      <w:r>
        <w:rPr>
          <w:sz w:val="21"/>
        </w:rPr>
        <w:t>satisfaction</w:t>
      </w:r>
      <w:r>
        <w:rPr>
          <w:spacing w:val="-3"/>
          <w:sz w:val="21"/>
        </w:rPr>
        <w:t> </w:t>
      </w:r>
      <w:r>
        <w:rPr>
          <w:sz w:val="21"/>
        </w:rPr>
        <w:t>over</w:t>
      </w:r>
      <w:r>
        <w:rPr>
          <w:spacing w:val="-3"/>
          <w:sz w:val="21"/>
        </w:rPr>
        <w:t> </w:t>
      </w:r>
      <w:r>
        <w:rPr>
          <w:sz w:val="21"/>
        </w:rPr>
        <w:t>the</w:t>
      </w:r>
      <w:r>
        <w:rPr>
          <w:spacing w:val="-3"/>
          <w:sz w:val="21"/>
        </w:rPr>
        <w:t> </w:t>
      </w:r>
      <w:r>
        <w:rPr>
          <w:sz w:val="21"/>
        </w:rPr>
        <w:t>safety</w:t>
      </w:r>
      <w:r>
        <w:rPr>
          <w:spacing w:val="-3"/>
          <w:sz w:val="21"/>
        </w:rPr>
        <w:t> </w:t>
      </w:r>
      <w:r>
        <w:rPr>
          <w:sz w:val="21"/>
        </w:rPr>
        <w:t>of their</w:t>
      </w:r>
      <w:r>
        <w:rPr>
          <w:spacing w:val="-7"/>
          <w:sz w:val="21"/>
        </w:rPr>
        <w:t> </w:t>
      </w:r>
      <w:r>
        <w:rPr>
          <w:sz w:val="21"/>
        </w:rPr>
        <w:t>staff.</w:t>
      </w:r>
      <w:hyperlink w:history="true" w:anchor="_bookmark564">
        <w:r>
          <w:rPr>
            <w:sz w:val="21"/>
            <w:vertAlign w:val="superscript"/>
          </w:rPr>
          <w:t>10</w:t>
        </w:r>
      </w:hyperlink>
      <w:r>
        <w:rPr>
          <w:spacing w:val="-2"/>
          <w:sz w:val="21"/>
          <w:vertAlign w:val="baseline"/>
        </w:rPr>
        <w:t> </w:t>
      </w:r>
      <w:r>
        <w:rPr>
          <w:sz w:val="21"/>
          <w:vertAlign w:val="baseline"/>
        </w:rPr>
        <w:t>In</w:t>
      </w:r>
      <w:r>
        <w:rPr>
          <w:spacing w:val="-9"/>
          <w:sz w:val="21"/>
          <w:vertAlign w:val="baseline"/>
        </w:rPr>
        <w:t> </w:t>
      </w:r>
      <w:r>
        <w:rPr>
          <w:sz w:val="21"/>
          <w:vertAlign w:val="baseline"/>
        </w:rPr>
        <w:t>many</w:t>
      </w:r>
      <w:r>
        <w:rPr>
          <w:spacing w:val="-7"/>
          <w:sz w:val="21"/>
          <w:vertAlign w:val="baseline"/>
        </w:rPr>
        <w:t> </w:t>
      </w:r>
      <w:r>
        <w:rPr>
          <w:sz w:val="21"/>
          <w:vertAlign w:val="baseline"/>
        </w:rPr>
        <w:t>cases,</w:t>
      </w:r>
      <w:r>
        <w:rPr>
          <w:spacing w:val="-8"/>
          <w:sz w:val="21"/>
          <w:vertAlign w:val="baseline"/>
        </w:rPr>
        <w:t> </w:t>
      </w:r>
      <w:r>
        <w:rPr>
          <w:sz w:val="21"/>
          <w:vertAlign w:val="baseline"/>
        </w:rPr>
        <w:t>managers</w:t>
      </w:r>
      <w:r>
        <w:rPr>
          <w:spacing w:val="-7"/>
          <w:sz w:val="21"/>
          <w:vertAlign w:val="baseline"/>
        </w:rPr>
        <w:t> </w:t>
      </w:r>
      <w:r>
        <w:rPr>
          <w:sz w:val="21"/>
          <w:vertAlign w:val="baseline"/>
        </w:rPr>
        <w:t>turn</w:t>
      </w:r>
      <w:r>
        <w:rPr>
          <w:spacing w:val="-7"/>
          <w:sz w:val="21"/>
          <w:vertAlign w:val="baseline"/>
        </w:rPr>
        <w:t> </w:t>
      </w:r>
      <w:r>
        <w:rPr>
          <w:sz w:val="21"/>
          <w:vertAlign w:val="baseline"/>
        </w:rPr>
        <w:t>a</w:t>
      </w:r>
      <w:r>
        <w:rPr>
          <w:spacing w:val="-8"/>
          <w:sz w:val="21"/>
          <w:vertAlign w:val="baseline"/>
        </w:rPr>
        <w:t> </w:t>
      </w:r>
      <w:r>
        <w:rPr>
          <w:sz w:val="21"/>
          <w:vertAlign w:val="baseline"/>
        </w:rPr>
        <w:t>blind</w:t>
      </w:r>
      <w:r>
        <w:rPr>
          <w:spacing w:val="-7"/>
          <w:sz w:val="21"/>
          <w:vertAlign w:val="baseline"/>
        </w:rPr>
        <w:t> </w:t>
      </w:r>
      <w:r>
        <w:rPr>
          <w:sz w:val="21"/>
          <w:vertAlign w:val="baseline"/>
        </w:rPr>
        <w:t>eye</w:t>
      </w:r>
      <w:r>
        <w:rPr>
          <w:spacing w:val="-8"/>
          <w:sz w:val="21"/>
          <w:vertAlign w:val="baseline"/>
        </w:rPr>
        <w:t> </w:t>
      </w:r>
      <w:r>
        <w:rPr>
          <w:sz w:val="21"/>
          <w:vertAlign w:val="baseline"/>
        </w:rPr>
        <w:t>when</w:t>
      </w:r>
      <w:r>
        <w:rPr>
          <w:spacing w:val="-7"/>
          <w:sz w:val="21"/>
          <w:vertAlign w:val="baseline"/>
        </w:rPr>
        <w:t> </w:t>
      </w:r>
      <w:r>
        <w:rPr>
          <w:sz w:val="21"/>
          <w:vertAlign w:val="baseline"/>
        </w:rPr>
        <w:t>customers</w:t>
      </w:r>
      <w:r>
        <w:rPr>
          <w:spacing w:val="-7"/>
          <w:sz w:val="21"/>
          <w:vertAlign w:val="baseline"/>
        </w:rPr>
        <w:t> </w:t>
      </w:r>
      <w:r>
        <w:rPr>
          <w:sz w:val="21"/>
          <w:vertAlign w:val="baseline"/>
        </w:rPr>
        <w:t>harass</w:t>
      </w:r>
      <w:r>
        <w:rPr>
          <w:spacing w:val="-7"/>
          <w:sz w:val="21"/>
          <w:vertAlign w:val="baseline"/>
        </w:rPr>
        <w:t> </w:t>
      </w:r>
      <w:r>
        <w:rPr>
          <w:sz w:val="21"/>
          <w:vertAlign w:val="baseline"/>
        </w:rPr>
        <w:t>and</w:t>
      </w:r>
      <w:r>
        <w:rPr>
          <w:spacing w:val="-8"/>
          <w:sz w:val="21"/>
          <w:vertAlign w:val="baseline"/>
        </w:rPr>
        <w:t> </w:t>
      </w:r>
      <w:r>
        <w:rPr>
          <w:sz w:val="21"/>
          <w:vertAlign w:val="baseline"/>
        </w:rPr>
        <w:t>show</w:t>
      </w:r>
      <w:r>
        <w:rPr>
          <w:spacing w:val="-7"/>
          <w:sz w:val="21"/>
          <w:vertAlign w:val="baseline"/>
        </w:rPr>
        <w:t> </w:t>
      </w:r>
      <w:r>
        <w:rPr>
          <w:sz w:val="21"/>
          <w:vertAlign w:val="baseline"/>
        </w:rPr>
        <w:t>aggression</w:t>
      </w:r>
      <w:r>
        <w:rPr>
          <w:spacing w:val="-7"/>
          <w:sz w:val="21"/>
          <w:vertAlign w:val="baseline"/>
        </w:rPr>
        <w:t> </w:t>
      </w:r>
      <w:r>
        <w:rPr>
          <w:sz w:val="21"/>
          <w:vertAlign w:val="baseline"/>
        </w:rPr>
        <w:t>toward LGBTQ employees who display non-normative gender and sexual identities.</w:t>
      </w:r>
    </w:p>
    <w:p>
      <w:pPr>
        <w:spacing w:line="276" w:lineRule="auto" w:before="241"/>
        <w:ind w:left="464" w:right="199" w:firstLine="0"/>
        <w:jc w:val="both"/>
        <w:rPr>
          <w:sz w:val="21"/>
        </w:rPr>
      </w:pPr>
      <w:r>
        <w:rPr>
          <w:sz w:val="21"/>
        </w:rPr>
        <w:t>There is recorded occupational segregation for LGB men and women, which is higher in occupations dominated by the same gender, for younger workers, and for workers without a college degree.</w:t>
      </w:r>
      <w:hyperlink w:history="true" w:anchor="_bookmark565">
        <w:r>
          <w:rPr>
            <w:sz w:val="21"/>
            <w:vertAlign w:val="superscript"/>
          </w:rPr>
          <w:t>11</w:t>
        </w:r>
      </w:hyperlink>
      <w:r>
        <w:rPr>
          <w:sz w:val="21"/>
          <w:vertAlign w:val="baseline"/>
        </w:rPr>
        <w:t> LGB youth</w:t>
      </w:r>
      <w:r>
        <w:rPr>
          <w:spacing w:val="-1"/>
          <w:sz w:val="21"/>
          <w:vertAlign w:val="baseline"/>
        </w:rPr>
        <w:t> </w:t>
      </w:r>
      <w:r>
        <w:rPr>
          <w:sz w:val="21"/>
          <w:vertAlign w:val="baseline"/>
        </w:rPr>
        <w:t>may</w:t>
      </w:r>
      <w:r>
        <w:rPr>
          <w:spacing w:val="-1"/>
          <w:sz w:val="21"/>
          <w:vertAlign w:val="baseline"/>
        </w:rPr>
        <w:t> </w:t>
      </w:r>
      <w:r>
        <w:rPr>
          <w:sz w:val="21"/>
          <w:vertAlign w:val="baseline"/>
        </w:rPr>
        <w:t>experience</w:t>
      </w:r>
      <w:r>
        <w:rPr>
          <w:spacing w:val="-1"/>
          <w:sz w:val="21"/>
          <w:vertAlign w:val="baseline"/>
        </w:rPr>
        <w:t> </w:t>
      </w:r>
      <w:r>
        <w:rPr>
          <w:sz w:val="21"/>
          <w:vertAlign w:val="baseline"/>
        </w:rPr>
        <w:t>this</w:t>
      </w:r>
      <w:r>
        <w:rPr>
          <w:spacing w:val="-2"/>
          <w:sz w:val="21"/>
          <w:vertAlign w:val="baseline"/>
        </w:rPr>
        <w:t> </w:t>
      </w:r>
      <w:r>
        <w:rPr>
          <w:sz w:val="21"/>
          <w:vertAlign w:val="baseline"/>
        </w:rPr>
        <w:t>segregation</w:t>
      </w:r>
      <w:r>
        <w:rPr>
          <w:spacing w:val="-1"/>
          <w:sz w:val="21"/>
          <w:vertAlign w:val="baseline"/>
        </w:rPr>
        <w:t> </w:t>
      </w:r>
      <w:r>
        <w:rPr>
          <w:sz w:val="21"/>
          <w:vertAlign w:val="baseline"/>
        </w:rPr>
        <w:t>more</w:t>
      </w:r>
      <w:r>
        <w:rPr>
          <w:spacing w:val="-1"/>
          <w:sz w:val="21"/>
          <w:vertAlign w:val="baseline"/>
        </w:rPr>
        <w:t> </w:t>
      </w:r>
      <w:r>
        <w:rPr>
          <w:sz w:val="21"/>
          <w:vertAlign w:val="baseline"/>
        </w:rPr>
        <w:t>than</w:t>
      </w:r>
      <w:r>
        <w:rPr>
          <w:spacing w:val="-2"/>
          <w:sz w:val="21"/>
          <w:vertAlign w:val="baseline"/>
        </w:rPr>
        <w:t> </w:t>
      </w:r>
      <w:r>
        <w:rPr>
          <w:sz w:val="21"/>
          <w:vertAlign w:val="baseline"/>
        </w:rPr>
        <w:t>LGB</w:t>
      </w:r>
      <w:r>
        <w:rPr>
          <w:spacing w:val="-2"/>
          <w:sz w:val="21"/>
          <w:vertAlign w:val="baseline"/>
        </w:rPr>
        <w:t> </w:t>
      </w:r>
      <w:r>
        <w:rPr>
          <w:sz w:val="21"/>
          <w:vertAlign w:val="baseline"/>
        </w:rPr>
        <w:t>adults</w:t>
      </w:r>
      <w:r>
        <w:rPr>
          <w:spacing w:val="-1"/>
          <w:sz w:val="21"/>
          <w:vertAlign w:val="baseline"/>
        </w:rPr>
        <w:t> </w:t>
      </w:r>
      <w:r>
        <w:rPr>
          <w:sz w:val="21"/>
          <w:vertAlign w:val="baseline"/>
        </w:rPr>
        <w:t>because</w:t>
      </w:r>
      <w:r>
        <w:rPr>
          <w:spacing w:val="-1"/>
          <w:sz w:val="21"/>
          <w:vertAlign w:val="baseline"/>
        </w:rPr>
        <w:t> </w:t>
      </w:r>
      <w:r>
        <w:rPr>
          <w:sz w:val="21"/>
          <w:vertAlign w:val="baseline"/>
        </w:rPr>
        <w:t>of</w:t>
      </w:r>
      <w:r>
        <w:rPr>
          <w:spacing w:val="-1"/>
          <w:sz w:val="21"/>
          <w:vertAlign w:val="baseline"/>
        </w:rPr>
        <w:t> </w:t>
      </w:r>
      <w:r>
        <w:rPr>
          <w:sz w:val="21"/>
          <w:vertAlign w:val="baseline"/>
        </w:rPr>
        <w:t>their</w:t>
      </w:r>
      <w:r>
        <w:rPr>
          <w:spacing w:val="-1"/>
          <w:sz w:val="21"/>
          <w:vertAlign w:val="baseline"/>
        </w:rPr>
        <w:t> </w:t>
      </w:r>
      <w:r>
        <w:rPr>
          <w:sz w:val="21"/>
          <w:vertAlign w:val="baseline"/>
        </w:rPr>
        <w:t>age</w:t>
      </w:r>
      <w:r>
        <w:rPr>
          <w:spacing w:val="-2"/>
          <w:sz w:val="21"/>
          <w:vertAlign w:val="baseline"/>
        </w:rPr>
        <w:t> </w:t>
      </w:r>
      <w:r>
        <w:rPr>
          <w:sz w:val="21"/>
          <w:vertAlign w:val="baseline"/>
        </w:rPr>
        <w:t>and</w:t>
      </w:r>
      <w:r>
        <w:rPr>
          <w:spacing w:val="-1"/>
          <w:sz w:val="21"/>
          <w:vertAlign w:val="baseline"/>
        </w:rPr>
        <w:t> </w:t>
      </w:r>
      <w:r>
        <w:rPr>
          <w:sz w:val="21"/>
          <w:vertAlign w:val="baseline"/>
        </w:rPr>
        <w:t>the</w:t>
      </w:r>
      <w:r>
        <w:rPr>
          <w:spacing w:val="-2"/>
          <w:sz w:val="21"/>
          <w:vertAlign w:val="baseline"/>
        </w:rPr>
        <w:t> </w:t>
      </w:r>
      <w:r>
        <w:rPr>
          <w:sz w:val="21"/>
          <w:vertAlign w:val="baseline"/>
        </w:rPr>
        <w:t>amount of</w:t>
      </w:r>
      <w:r>
        <w:rPr>
          <w:spacing w:val="-1"/>
          <w:sz w:val="21"/>
          <w:vertAlign w:val="baseline"/>
        </w:rPr>
        <w:t> </w:t>
      </w:r>
      <w:r>
        <w:rPr>
          <w:sz w:val="21"/>
          <w:vertAlign w:val="baseline"/>
        </w:rPr>
        <w:t>time required</w:t>
      </w:r>
      <w:r>
        <w:rPr>
          <w:spacing w:val="-11"/>
          <w:sz w:val="21"/>
          <w:vertAlign w:val="baseline"/>
        </w:rPr>
        <w:t> </w:t>
      </w:r>
      <w:r>
        <w:rPr>
          <w:sz w:val="21"/>
          <w:vertAlign w:val="baseline"/>
        </w:rPr>
        <w:t>to</w:t>
      </w:r>
      <w:r>
        <w:rPr>
          <w:spacing w:val="-12"/>
          <w:sz w:val="21"/>
          <w:vertAlign w:val="baseline"/>
        </w:rPr>
        <w:t> </w:t>
      </w:r>
      <w:r>
        <w:rPr>
          <w:sz w:val="21"/>
          <w:vertAlign w:val="baseline"/>
        </w:rPr>
        <w:t>obtain</w:t>
      </w:r>
      <w:r>
        <w:rPr>
          <w:spacing w:val="-11"/>
          <w:sz w:val="21"/>
          <w:vertAlign w:val="baseline"/>
        </w:rPr>
        <w:t> </w:t>
      </w:r>
      <w:r>
        <w:rPr>
          <w:sz w:val="21"/>
          <w:vertAlign w:val="baseline"/>
        </w:rPr>
        <w:t>a</w:t>
      </w:r>
      <w:r>
        <w:rPr>
          <w:spacing w:val="-11"/>
          <w:sz w:val="21"/>
          <w:vertAlign w:val="baseline"/>
        </w:rPr>
        <w:t> </w:t>
      </w:r>
      <w:r>
        <w:rPr>
          <w:sz w:val="21"/>
          <w:vertAlign w:val="baseline"/>
        </w:rPr>
        <w:t>college</w:t>
      </w:r>
      <w:r>
        <w:rPr>
          <w:spacing w:val="-12"/>
          <w:sz w:val="21"/>
          <w:vertAlign w:val="baseline"/>
        </w:rPr>
        <w:t> </w:t>
      </w:r>
      <w:r>
        <w:rPr>
          <w:sz w:val="21"/>
          <w:vertAlign w:val="baseline"/>
        </w:rPr>
        <w:t>degree.</w:t>
      </w:r>
      <w:r>
        <w:rPr>
          <w:spacing w:val="-11"/>
          <w:sz w:val="21"/>
          <w:vertAlign w:val="baseline"/>
        </w:rPr>
        <w:t> </w:t>
      </w:r>
      <w:r>
        <w:rPr>
          <w:sz w:val="21"/>
          <w:vertAlign w:val="baseline"/>
        </w:rPr>
        <w:t>This</w:t>
      </w:r>
      <w:r>
        <w:rPr>
          <w:spacing w:val="-12"/>
          <w:sz w:val="21"/>
          <w:vertAlign w:val="baseline"/>
        </w:rPr>
        <w:t> </w:t>
      </w:r>
      <w:r>
        <w:rPr>
          <w:sz w:val="21"/>
          <w:vertAlign w:val="baseline"/>
        </w:rPr>
        <w:t>segregation</w:t>
      </w:r>
      <w:r>
        <w:rPr>
          <w:spacing w:val="-11"/>
          <w:sz w:val="21"/>
          <w:vertAlign w:val="baseline"/>
        </w:rPr>
        <w:t> </w:t>
      </w:r>
      <w:r>
        <w:rPr>
          <w:sz w:val="21"/>
          <w:vertAlign w:val="baseline"/>
        </w:rPr>
        <w:t>and</w:t>
      </w:r>
      <w:r>
        <w:rPr>
          <w:spacing w:val="-11"/>
          <w:sz w:val="21"/>
          <w:vertAlign w:val="baseline"/>
        </w:rPr>
        <w:t> </w:t>
      </w:r>
      <w:r>
        <w:rPr>
          <w:sz w:val="21"/>
          <w:vertAlign w:val="baseline"/>
        </w:rPr>
        <w:t>hiring</w:t>
      </w:r>
      <w:r>
        <w:rPr>
          <w:spacing w:val="-12"/>
          <w:sz w:val="21"/>
          <w:vertAlign w:val="baseline"/>
        </w:rPr>
        <w:t> </w:t>
      </w:r>
      <w:r>
        <w:rPr>
          <w:sz w:val="21"/>
          <w:vertAlign w:val="baseline"/>
        </w:rPr>
        <w:t>discrimination</w:t>
      </w:r>
      <w:r>
        <w:rPr>
          <w:spacing w:val="-11"/>
          <w:sz w:val="21"/>
          <w:vertAlign w:val="baseline"/>
        </w:rPr>
        <w:t> </w:t>
      </w:r>
      <w:r>
        <w:rPr>
          <w:sz w:val="21"/>
          <w:vertAlign w:val="baseline"/>
        </w:rPr>
        <w:t>against</w:t>
      </w:r>
      <w:r>
        <w:rPr>
          <w:spacing w:val="-11"/>
          <w:sz w:val="21"/>
          <w:vertAlign w:val="baseline"/>
        </w:rPr>
        <w:t> </w:t>
      </w:r>
      <w:r>
        <w:rPr>
          <w:sz w:val="21"/>
          <w:vertAlign w:val="baseline"/>
        </w:rPr>
        <w:t>LGB</w:t>
      </w:r>
      <w:r>
        <w:rPr>
          <w:spacing w:val="-12"/>
          <w:sz w:val="21"/>
          <w:vertAlign w:val="baseline"/>
        </w:rPr>
        <w:t> </w:t>
      </w:r>
      <w:r>
        <w:rPr>
          <w:sz w:val="21"/>
          <w:vertAlign w:val="baseline"/>
        </w:rPr>
        <w:t>men</w:t>
      </w:r>
      <w:r>
        <w:rPr>
          <w:spacing w:val="-12"/>
          <w:sz w:val="21"/>
          <w:vertAlign w:val="baseline"/>
        </w:rPr>
        <w:t> </w:t>
      </w:r>
      <w:r>
        <w:rPr>
          <w:sz w:val="21"/>
          <w:vertAlign w:val="baseline"/>
        </w:rPr>
        <w:t>and</w:t>
      </w:r>
      <w:r>
        <w:rPr>
          <w:spacing w:val="-11"/>
          <w:sz w:val="21"/>
          <w:vertAlign w:val="baseline"/>
        </w:rPr>
        <w:t> </w:t>
      </w:r>
      <w:r>
        <w:rPr>
          <w:sz w:val="21"/>
          <w:vertAlign w:val="baseline"/>
        </w:rPr>
        <w:t>women may be caused by occupational contexts that evoke stereotypes about sexual orientation (Mishel 2020). For example,</w:t>
      </w:r>
      <w:r>
        <w:rPr>
          <w:spacing w:val="-1"/>
          <w:sz w:val="21"/>
          <w:vertAlign w:val="baseline"/>
        </w:rPr>
        <w:t> </w:t>
      </w:r>
      <w:r>
        <w:rPr>
          <w:sz w:val="21"/>
          <w:vertAlign w:val="baseline"/>
        </w:rPr>
        <w:t>there is</w:t>
      </w:r>
      <w:r>
        <w:rPr>
          <w:spacing w:val="-1"/>
          <w:sz w:val="21"/>
          <w:vertAlign w:val="baseline"/>
        </w:rPr>
        <w:t> </w:t>
      </w:r>
      <w:r>
        <w:rPr>
          <w:sz w:val="21"/>
          <w:vertAlign w:val="baseline"/>
        </w:rPr>
        <w:t>more</w:t>
      </w:r>
      <w:r>
        <w:rPr>
          <w:spacing w:val="-1"/>
          <w:sz w:val="21"/>
          <w:vertAlign w:val="baseline"/>
        </w:rPr>
        <w:t> </w:t>
      </w:r>
      <w:r>
        <w:rPr>
          <w:sz w:val="21"/>
          <w:vertAlign w:val="baseline"/>
        </w:rPr>
        <w:t>acceptance</w:t>
      </w:r>
      <w:r>
        <w:rPr>
          <w:spacing w:val="-1"/>
          <w:sz w:val="21"/>
          <w:vertAlign w:val="baseline"/>
        </w:rPr>
        <w:t> </w:t>
      </w:r>
      <w:r>
        <w:rPr>
          <w:sz w:val="21"/>
          <w:vertAlign w:val="baseline"/>
        </w:rPr>
        <w:t>of gay</w:t>
      </w:r>
      <w:r>
        <w:rPr>
          <w:spacing w:val="-1"/>
          <w:sz w:val="21"/>
          <w:vertAlign w:val="baseline"/>
        </w:rPr>
        <w:t> </w:t>
      </w:r>
      <w:r>
        <w:rPr>
          <w:sz w:val="21"/>
          <w:vertAlign w:val="baseline"/>
        </w:rPr>
        <w:t>men in women-dominated fields than straight men because of stereotypes about gay men being more feminine.</w:t>
      </w:r>
    </w:p>
    <w:p>
      <w:pPr>
        <w:spacing w:line="276" w:lineRule="auto" w:before="239"/>
        <w:ind w:left="463" w:right="199" w:firstLine="0"/>
        <w:jc w:val="both"/>
        <w:rPr>
          <w:sz w:val="21"/>
        </w:rPr>
      </w:pPr>
      <w:r>
        <w:rPr>
          <w:sz w:val="21"/>
        </w:rPr>
        <w:t>In</w:t>
      </w:r>
      <w:r>
        <w:rPr>
          <w:spacing w:val="-12"/>
          <w:sz w:val="21"/>
        </w:rPr>
        <w:t> </w:t>
      </w:r>
      <w:r>
        <w:rPr>
          <w:sz w:val="21"/>
        </w:rPr>
        <w:t>addition</w:t>
      </w:r>
      <w:r>
        <w:rPr>
          <w:spacing w:val="-12"/>
          <w:sz w:val="21"/>
        </w:rPr>
        <w:t> </w:t>
      </w:r>
      <w:r>
        <w:rPr>
          <w:sz w:val="21"/>
        </w:rPr>
        <w:t>to</w:t>
      </w:r>
      <w:r>
        <w:rPr>
          <w:spacing w:val="-12"/>
          <w:sz w:val="21"/>
        </w:rPr>
        <w:t> </w:t>
      </w:r>
      <w:r>
        <w:rPr>
          <w:sz w:val="21"/>
        </w:rPr>
        <w:t>employment</w:t>
      </w:r>
      <w:r>
        <w:rPr>
          <w:spacing w:val="-12"/>
          <w:sz w:val="21"/>
        </w:rPr>
        <w:t> </w:t>
      </w:r>
      <w:r>
        <w:rPr>
          <w:sz w:val="21"/>
        </w:rPr>
        <w:t>discrimination,</w:t>
      </w:r>
      <w:r>
        <w:rPr>
          <w:spacing w:val="-12"/>
          <w:sz w:val="21"/>
        </w:rPr>
        <w:t> </w:t>
      </w:r>
      <w:r>
        <w:rPr>
          <w:sz w:val="21"/>
        </w:rPr>
        <w:t>LGBTQ</w:t>
      </w:r>
      <w:r>
        <w:rPr>
          <w:spacing w:val="-12"/>
          <w:sz w:val="21"/>
        </w:rPr>
        <w:t> </w:t>
      </w:r>
      <w:r>
        <w:rPr>
          <w:sz w:val="21"/>
        </w:rPr>
        <w:t>youth</w:t>
      </w:r>
      <w:r>
        <w:rPr>
          <w:spacing w:val="-12"/>
          <w:sz w:val="21"/>
        </w:rPr>
        <w:t> </w:t>
      </w:r>
      <w:r>
        <w:rPr>
          <w:sz w:val="21"/>
        </w:rPr>
        <w:t>experience</w:t>
      </w:r>
      <w:r>
        <w:rPr>
          <w:spacing w:val="-11"/>
          <w:sz w:val="21"/>
        </w:rPr>
        <w:t> </w:t>
      </w:r>
      <w:r>
        <w:rPr>
          <w:sz w:val="21"/>
        </w:rPr>
        <w:t>lower</w:t>
      </w:r>
      <w:r>
        <w:rPr>
          <w:spacing w:val="-12"/>
          <w:sz w:val="21"/>
        </w:rPr>
        <w:t> </w:t>
      </w:r>
      <w:r>
        <w:rPr>
          <w:sz w:val="21"/>
        </w:rPr>
        <w:t>earnings</w:t>
      </w:r>
      <w:r>
        <w:rPr>
          <w:spacing w:val="-12"/>
          <w:sz w:val="21"/>
        </w:rPr>
        <w:t> </w:t>
      </w:r>
      <w:r>
        <w:rPr>
          <w:sz w:val="21"/>
        </w:rPr>
        <w:t>than</w:t>
      </w:r>
      <w:r>
        <w:rPr>
          <w:spacing w:val="-12"/>
          <w:sz w:val="21"/>
        </w:rPr>
        <w:t> </w:t>
      </w:r>
      <w:r>
        <w:rPr>
          <w:sz w:val="21"/>
        </w:rPr>
        <w:t>their</w:t>
      </w:r>
      <w:r>
        <w:rPr>
          <w:spacing w:val="-12"/>
          <w:sz w:val="21"/>
        </w:rPr>
        <w:t> </w:t>
      </w:r>
      <w:r>
        <w:rPr>
          <w:sz w:val="21"/>
        </w:rPr>
        <w:t>cisgender</w:t>
      </w:r>
      <w:r>
        <w:rPr>
          <w:spacing w:val="-12"/>
          <w:sz w:val="21"/>
        </w:rPr>
        <w:t> </w:t>
      </w:r>
      <w:r>
        <w:rPr>
          <w:sz w:val="21"/>
        </w:rPr>
        <w:t>and straight counterparts. Specifically, there</w:t>
      </w:r>
      <w:r>
        <w:rPr>
          <w:spacing w:val="-1"/>
          <w:sz w:val="21"/>
        </w:rPr>
        <w:t> </w:t>
      </w:r>
      <w:r>
        <w:rPr>
          <w:sz w:val="21"/>
        </w:rPr>
        <w:t>are wage penalties for gay</w:t>
      </w:r>
      <w:r>
        <w:rPr>
          <w:spacing w:val="-1"/>
          <w:sz w:val="21"/>
        </w:rPr>
        <w:t> </w:t>
      </w:r>
      <w:r>
        <w:rPr>
          <w:sz w:val="21"/>
        </w:rPr>
        <w:t>men, bisexual</w:t>
      </w:r>
      <w:r>
        <w:rPr>
          <w:spacing w:val="-2"/>
          <w:sz w:val="21"/>
        </w:rPr>
        <w:t> </w:t>
      </w:r>
      <w:r>
        <w:rPr>
          <w:sz w:val="21"/>
        </w:rPr>
        <w:t>men, bisexual</w:t>
      </w:r>
      <w:r>
        <w:rPr>
          <w:spacing w:val="-1"/>
          <w:sz w:val="21"/>
        </w:rPr>
        <w:t> </w:t>
      </w:r>
      <w:r>
        <w:rPr>
          <w:sz w:val="21"/>
        </w:rPr>
        <w:t>women,</w:t>
      </w:r>
      <w:hyperlink w:history="true" w:anchor="_bookmark566">
        <w:r>
          <w:rPr>
            <w:sz w:val="21"/>
            <w:vertAlign w:val="superscript"/>
          </w:rPr>
          <w:t>12</w:t>
        </w:r>
      </w:hyperlink>
      <w:r>
        <w:rPr>
          <w:sz w:val="21"/>
          <w:vertAlign w:val="baseline"/>
        </w:rPr>
        <w:t> and</w:t>
      </w:r>
      <w:r>
        <w:rPr>
          <w:spacing w:val="-1"/>
          <w:sz w:val="21"/>
          <w:vertAlign w:val="baseline"/>
        </w:rPr>
        <w:t> </w:t>
      </w:r>
      <w:r>
        <w:rPr>
          <w:sz w:val="21"/>
          <w:vertAlign w:val="baseline"/>
        </w:rPr>
        <w:t>transgender</w:t>
      </w:r>
      <w:r>
        <w:rPr>
          <w:spacing w:val="-1"/>
          <w:sz w:val="21"/>
          <w:vertAlign w:val="baseline"/>
        </w:rPr>
        <w:t> </w:t>
      </w:r>
      <w:r>
        <w:rPr>
          <w:sz w:val="21"/>
          <w:vertAlign w:val="baseline"/>
        </w:rPr>
        <w:t>individuals.</w:t>
      </w:r>
      <w:hyperlink w:history="true" w:anchor="_bookmark567">
        <w:r>
          <w:rPr>
            <w:sz w:val="21"/>
            <w:vertAlign w:val="superscript"/>
          </w:rPr>
          <w:t>13</w:t>
        </w:r>
      </w:hyperlink>
      <w:r>
        <w:rPr>
          <w:spacing w:val="-2"/>
          <w:sz w:val="21"/>
          <w:vertAlign w:val="baseline"/>
        </w:rPr>
        <w:t> </w:t>
      </w:r>
      <w:r>
        <w:rPr>
          <w:sz w:val="21"/>
          <w:vertAlign w:val="baseline"/>
        </w:rPr>
        <w:t>Women, especially</w:t>
      </w:r>
      <w:r>
        <w:rPr>
          <w:spacing w:val="-1"/>
          <w:sz w:val="21"/>
          <w:vertAlign w:val="baseline"/>
        </w:rPr>
        <w:t> </w:t>
      </w:r>
      <w:r>
        <w:rPr>
          <w:sz w:val="21"/>
          <w:vertAlign w:val="baseline"/>
        </w:rPr>
        <w:t>Black</w:t>
      </w:r>
      <w:r>
        <w:rPr>
          <w:spacing w:val="-1"/>
          <w:sz w:val="21"/>
          <w:vertAlign w:val="baseline"/>
        </w:rPr>
        <w:t> </w:t>
      </w:r>
      <w:r>
        <w:rPr>
          <w:sz w:val="21"/>
          <w:vertAlign w:val="baseline"/>
        </w:rPr>
        <w:t>and</w:t>
      </w:r>
      <w:r>
        <w:rPr>
          <w:spacing w:val="-1"/>
          <w:sz w:val="21"/>
          <w:vertAlign w:val="baseline"/>
        </w:rPr>
        <w:t> </w:t>
      </w:r>
      <w:r>
        <w:rPr>
          <w:sz w:val="21"/>
          <w:vertAlign w:val="baseline"/>
        </w:rPr>
        <w:t>Latinx</w:t>
      </w:r>
      <w:r>
        <w:rPr>
          <w:spacing w:val="-1"/>
          <w:sz w:val="21"/>
          <w:vertAlign w:val="baseline"/>
        </w:rPr>
        <w:t> </w:t>
      </w:r>
      <w:r>
        <w:rPr>
          <w:sz w:val="21"/>
          <w:vertAlign w:val="baseline"/>
        </w:rPr>
        <w:t>women, earned</w:t>
      </w:r>
      <w:r>
        <w:rPr>
          <w:spacing w:val="-2"/>
          <w:sz w:val="21"/>
          <w:vertAlign w:val="baseline"/>
        </w:rPr>
        <w:t> </w:t>
      </w:r>
      <w:r>
        <w:rPr>
          <w:sz w:val="21"/>
          <w:vertAlign w:val="baseline"/>
        </w:rPr>
        <w:t>less</w:t>
      </w:r>
      <w:r>
        <w:rPr>
          <w:spacing w:val="-1"/>
          <w:sz w:val="21"/>
          <w:vertAlign w:val="baseline"/>
        </w:rPr>
        <w:t> </w:t>
      </w:r>
      <w:r>
        <w:rPr>
          <w:sz w:val="21"/>
          <w:vertAlign w:val="baseline"/>
        </w:rPr>
        <w:t>in</w:t>
      </w:r>
      <w:r>
        <w:rPr>
          <w:spacing w:val="-1"/>
          <w:sz w:val="21"/>
          <w:vertAlign w:val="baseline"/>
        </w:rPr>
        <w:t> </w:t>
      </w:r>
      <w:r>
        <w:rPr>
          <w:sz w:val="21"/>
          <w:vertAlign w:val="baseline"/>
        </w:rPr>
        <w:t>2023</w:t>
      </w:r>
      <w:r>
        <w:rPr>
          <w:spacing w:val="-2"/>
          <w:sz w:val="21"/>
          <w:vertAlign w:val="baseline"/>
        </w:rPr>
        <w:t> </w:t>
      </w:r>
      <w:r>
        <w:rPr>
          <w:sz w:val="21"/>
          <w:vertAlign w:val="baseline"/>
        </w:rPr>
        <w:t>than</w:t>
      </w:r>
      <w:r>
        <w:rPr>
          <w:spacing w:val="-1"/>
          <w:sz w:val="21"/>
          <w:vertAlign w:val="baseline"/>
        </w:rPr>
        <w:t> </w:t>
      </w:r>
      <w:r>
        <w:rPr>
          <w:sz w:val="21"/>
          <w:vertAlign w:val="baseline"/>
        </w:rPr>
        <w:t>white men.</w:t>
      </w:r>
      <w:r>
        <w:rPr>
          <w:spacing w:val="-12"/>
          <w:sz w:val="21"/>
          <w:vertAlign w:val="baseline"/>
        </w:rPr>
        <w:t> </w:t>
      </w:r>
      <w:hyperlink w:history="true" w:anchor="_bookmark568">
        <w:r>
          <w:rPr>
            <w:sz w:val="21"/>
            <w:vertAlign w:val="superscript"/>
          </w:rPr>
          <w:t>14</w:t>
        </w:r>
      </w:hyperlink>
      <w:r>
        <w:rPr>
          <w:sz w:val="21"/>
          <w:vertAlign w:val="baseline"/>
        </w:rPr>
        <w:t> As a diverse group, LGBTQ youth may also be impacted by the recorded wage penalties for women,</w:t>
      </w:r>
      <w:hyperlink w:history="true" w:anchor="_bookmark569">
        <w:r>
          <w:rPr>
            <w:sz w:val="21"/>
            <w:vertAlign w:val="superscript"/>
          </w:rPr>
          <w:t>15</w:t>
        </w:r>
      </w:hyperlink>
      <w:r>
        <w:rPr>
          <w:spacing w:val="-2"/>
          <w:sz w:val="21"/>
          <w:vertAlign w:val="baseline"/>
        </w:rPr>
        <w:t> </w:t>
      </w:r>
      <w:r>
        <w:rPr>
          <w:sz w:val="21"/>
          <w:vertAlign w:val="baseline"/>
        </w:rPr>
        <w:t>people</w:t>
      </w:r>
      <w:r>
        <w:rPr>
          <w:spacing w:val="16"/>
          <w:sz w:val="21"/>
          <w:vertAlign w:val="baseline"/>
        </w:rPr>
        <w:t> </w:t>
      </w:r>
      <w:r>
        <w:rPr>
          <w:sz w:val="21"/>
          <w:vertAlign w:val="baseline"/>
        </w:rPr>
        <w:t>of</w:t>
      </w:r>
      <w:r>
        <w:rPr>
          <w:spacing w:val="15"/>
          <w:sz w:val="21"/>
          <w:vertAlign w:val="baseline"/>
        </w:rPr>
        <w:t> </w:t>
      </w:r>
      <w:r>
        <w:rPr>
          <w:sz w:val="21"/>
          <w:vertAlign w:val="baseline"/>
        </w:rPr>
        <w:t>color,</w:t>
      </w:r>
      <w:r>
        <w:rPr>
          <w:spacing w:val="16"/>
          <w:sz w:val="21"/>
          <w:vertAlign w:val="baseline"/>
        </w:rPr>
        <w:t> </w:t>
      </w:r>
      <w:r>
        <w:rPr>
          <w:sz w:val="21"/>
          <w:vertAlign w:val="baseline"/>
        </w:rPr>
        <w:t>immigrants,</w:t>
      </w:r>
      <w:r>
        <w:rPr>
          <w:spacing w:val="16"/>
          <w:sz w:val="21"/>
          <w:vertAlign w:val="baseline"/>
        </w:rPr>
        <w:t> </w:t>
      </w:r>
      <w:r>
        <w:rPr>
          <w:sz w:val="21"/>
          <w:vertAlign w:val="baseline"/>
        </w:rPr>
        <w:t>and</w:t>
      </w:r>
      <w:r>
        <w:rPr>
          <w:spacing w:val="15"/>
          <w:sz w:val="21"/>
          <w:vertAlign w:val="baseline"/>
        </w:rPr>
        <w:t> </w:t>
      </w:r>
      <w:r>
        <w:rPr>
          <w:sz w:val="21"/>
          <w:vertAlign w:val="baseline"/>
        </w:rPr>
        <w:t>individuals</w:t>
      </w:r>
      <w:r>
        <w:rPr>
          <w:spacing w:val="15"/>
          <w:sz w:val="21"/>
          <w:vertAlign w:val="baseline"/>
        </w:rPr>
        <w:t> </w:t>
      </w:r>
      <w:r>
        <w:rPr>
          <w:sz w:val="21"/>
          <w:vertAlign w:val="baseline"/>
        </w:rPr>
        <w:t>with</w:t>
      </w:r>
      <w:r>
        <w:rPr>
          <w:spacing w:val="16"/>
          <w:sz w:val="21"/>
          <w:vertAlign w:val="baseline"/>
        </w:rPr>
        <w:t> </w:t>
      </w:r>
      <w:r>
        <w:rPr>
          <w:sz w:val="21"/>
          <w:vertAlign w:val="baseline"/>
        </w:rPr>
        <w:t>a</w:t>
      </w:r>
      <w:r>
        <w:rPr>
          <w:spacing w:val="15"/>
          <w:sz w:val="21"/>
          <w:vertAlign w:val="baseline"/>
        </w:rPr>
        <w:t> </w:t>
      </w:r>
      <w:r>
        <w:rPr>
          <w:sz w:val="21"/>
          <w:vertAlign w:val="baseline"/>
        </w:rPr>
        <w:t>disability.</w:t>
      </w:r>
      <w:r>
        <w:rPr>
          <w:spacing w:val="16"/>
          <w:sz w:val="21"/>
          <w:vertAlign w:val="baseline"/>
        </w:rPr>
        <w:t> </w:t>
      </w:r>
      <w:r>
        <w:rPr>
          <w:sz w:val="21"/>
          <w:vertAlign w:val="baseline"/>
        </w:rPr>
        <w:t>LGBTQ</w:t>
      </w:r>
      <w:r>
        <w:rPr>
          <w:spacing w:val="16"/>
          <w:sz w:val="21"/>
          <w:vertAlign w:val="baseline"/>
        </w:rPr>
        <w:t> </w:t>
      </w:r>
      <w:r>
        <w:rPr>
          <w:sz w:val="21"/>
          <w:vertAlign w:val="baseline"/>
        </w:rPr>
        <w:t>youth</w:t>
      </w:r>
      <w:r>
        <w:rPr>
          <w:spacing w:val="16"/>
          <w:sz w:val="21"/>
          <w:vertAlign w:val="baseline"/>
        </w:rPr>
        <w:t> </w:t>
      </w:r>
      <w:r>
        <w:rPr>
          <w:sz w:val="21"/>
          <w:vertAlign w:val="baseline"/>
        </w:rPr>
        <w:t>who</w:t>
      </w:r>
      <w:r>
        <w:rPr>
          <w:spacing w:val="16"/>
          <w:sz w:val="21"/>
          <w:vertAlign w:val="baseline"/>
        </w:rPr>
        <w:t> </w:t>
      </w:r>
      <w:r>
        <w:rPr>
          <w:sz w:val="21"/>
          <w:vertAlign w:val="baseline"/>
        </w:rPr>
        <w:t>hold</w:t>
      </w:r>
      <w:r>
        <w:rPr>
          <w:spacing w:val="15"/>
          <w:sz w:val="21"/>
          <w:vertAlign w:val="baseline"/>
        </w:rPr>
        <w:t> </w:t>
      </w:r>
      <w:r>
        <w:rPr>
          <w:sz w:val="21"/>
          <w:vertAlign w:val="baseline"/>
        </w:rPr>
        <w:t>multiple</w:t>
      </w:r>
    </w:p>
    <w:p>
      <w:pPr>
        <w:spacing w:after="0" w:line="276" w:lineRule="auto"/>
        <w:jc w:val="both"/>
        <w:rPr>
          <w:sz w:val="21"/>
        </w:rPr>
        <w:sectPr>
          <w:pgSz w:w="12240" w:h="15840"/>
          <w:pgMar w:header="763" w:footer="1041" w:top="1380" w:bottom="1240" w:left="1120" w:right="1380"/>
        </w:sectPr>
      </w:pPr>
    </w:p>
    <w:p>
      <w:pPr>
        <w:spacing w:line="276" w:lineRule="auto" w:before="47"/>
        <w:ind w:left="464" w:right="200" w:firstLine="0"/>
        <w:jc w:val="both"/>
        <w:rPr>
          <w:sz w:val="21"/>
        </w:rPr>
      </w:pPr>
      <w:r>
        <w:rPr>
          <w:sz w:val="21"/>
        </w:rPr>
        <w:t>marginalized identities experience a significant negative impact on earnings from aggregated wage </w:t>
      </w:r>
      <w:r>
        <w:rPr>
          <w:spacing w:val="-2"/>
          <w:sz w:val="21"/>
        </w:rPr>
        <w:t>penalties.</w:t>
      </w:r>
    </w:p>
    <w:p>
      <w:pPr>
        <w:spacing w:before="239"/>
        <w:ind w:left="464" w:right="0" w:firstLine="0"/>
        <w:jc w:val="left"/>
        <w:rPr>
          <w:sz w:val="28"/>
        </w:rPr>
      </w:pPr>
      <w:bookmarkStart w:name="Geography" w:id="836"/>
      <w:bookmarkEnd w:id="836"/>
      <w:r>
        <w:rPr/>
      </w:r>
      <w:r>
        <w:rPr>
          <w:color w:val="365F91"/>
          <w:spacing w:val="-2"/>
          <w:sz w:val="28"/>
        </w:rPr>
        <w:t>Geography</w:t>
      </w:r>
    </w:p>
    <w:p>
      <w:pPr>
        <w:spacing w:line="276" w:lineRule="auto" w:before="293"/>
        <w:ind w:left="464" w:right="199" w:firstLine="0"/>
        <w:jc w:val="both"/>
        <w:rPr>
          <w:sz w:val="21"/>
        </w:rPr>
      </w:pPr>
      <w:r>
        <w:rPr>
          <w:sz w:val="21"/>
        </w:rPr>
        <w:t>Another</w:t>
      </w:r>
      <w:r>
        <w:rPr>
          <w:spacing w:val="-2"/>
          <w:sz w:val="21"/>
        </w:rPr>
        <w:t> </w:t>
      </w:r>
      <w:r>
        <w:rPr>
          <w:sz w:val="21"/>
        </w:rPr>
        <w:t>barrier</w:t>
      </w:r>
      <w:r>
        <w:rPr>
          <w:spacing w:val="-2"/>
          <w:sz w:val="21"/>
        </w:rPr>
        <w:t> </w:t>
      </w:r>
      <w:r>
        <w:rPr>
          <w:sz w:val="21"/>
        </w:rPr>
        <w:t>to</w:t>
      </w:r>
      <w:r>
        <w:rPr>
          <w:spacing w:val="-2"/>
          <w:sz w:val="21"/>
        </w:rPr>
        <w:t> </w:t>
      </w:r>
      <w:r>
        <w:rPr>
          <w:sz w:val="21"/>
        </w:rPr>
        <w:t>employment</w:t>
      </w:r>
      <w:r>
        <w:rPr>
          <w:spacing w:val="-1"/>
          <w:sz w:val="21"/>
        </w:rPr>
        <w:t> </w:t>
      </w:r>
      <w:r>
        <w:rPr>
          <w:sz w:val="21"/>
        </w:rPr>
        <w:t>and</w:t>
      </w:r>
      <w:r>
        <w:rPr>
          <w:spacing w:val="-3"/>
          <w:sz w:val="21"/>
        </w:rPr>
        <w:t> </w:t>
      </w:r>
      <w:r>
        <w:rPr>
          <w:sz w:val="21"/>
        </w:rPr>
        <w:t>job</w:t>
      </w:r>
      <w:r>
        <w:rPr>
          <w:spacing w:val="-3"/>
          <w:sz w:val="21"/>
        </w:rPr>
        <w:t> </w:t>
      </w:r>
      <w:r>
        <w:rPr>
          <w:sz w:val="21"/>
        </w:rPr>
        <w:t>opportunities</w:t>
      </w:r>
      <w:r>
        <w:rPr>
          <w:spacing w:val="-2"/>
          <w:sz w:val="21"/>
        </w:rPr>
        <w:t> </w:t>
      </w:r>
      <w:r>
        <w:rPr>
          <w:sz w:val="21"/>
        </w:rPr>
        <w:t>is</w:t>
      </w:r>
      <w:r>
        <w:rPr>
          <w:spacing w:val="-2"/>
          <w:sz w:val="21"/>
        </w:rPr>
        <w:t> </w:t>
      </w:r>
      <w:r>
        <w:rPr>
          <w:sz w:val="21"/>
        </w:rPr>
        <w:t>geographical</w:t>
      </w:r>
      <w:r>
        <w:rPr>
          <w:spacing w:val="-2"/>
          <w:sz w:val="21"/>
        </w:rPr>
        <w:t> </w:t>
      </w:r>
      <w:r>
        <w:rPr>
          <w:sz w:val="21"/>
        </w:rPr>
        <w:t>location.</w:t>
      </w:r>
      <w:r>
        <w:rPr>
          <w:spacing w:val="-2"/>
          <w:sz w:val="21"/>
        </w:rPr>
        <w:t> </w:t>
      </w:r>
      <w:r>
        <w:rPr>
          <w:sz w:val="21"/>
        </w:rPr>
        <w:t>The</w:t>
      </w:r>
      <w:r>
        <w:rPr>
          <w:spacing w:val="-2"/>
          <w:sz w:val="21"/>
        </w:rPr>
        <w:t> </w:t>
      </w:r>
      <w:r>
        <w:rPr>
          <w:sz w:val="21"/>
        </w:rPr>
        <w:t>economic</w:t>
      </w:r>
      <w:r>
        <w:rPr>
          <w:spacing w:val="-2"/>
          <w:sz w:val="21"/>
        </w:rPr>
        <w:t> </w:t>
      </w:r>
      <w:r>
        <w:rPr>
          <w:sz w:val="21"/>
        </w:rPr>
        <w:t>outcomes</w:t>
      </w:r>
      <w:r>
        <w:rPr>
          <w:spacing w:val="-2"/>
          <w:sz w:val="21"/>
        </w:rPr>
        <w:t> </w:t>
      </w:r>
      <w:r>
        <w:rPr>
          <w:sz w:val="21"/>
        </w:rPr>
        <w:t>of youth may vary based on their location within the Commonwealth. In January 2024, the unemployment rate for the metro Boston area was 3.2%,while it was</w:t>
      </w:r>
      <w:r>
        <w:rPr>
          <w:spacing w:val="-1"/>
          <w:sz w:val="21"/>
        </w:rPr>
        <w:t> </w:t>
      </w:r>
      <w:r>
        <w:rPr>
          <w:sz w:val="21"/>
        </w:rPr>
        <w:t>4.1% for the</w:t>
      </w:r>
      <w:r>
        <w:rPr>
          <w:spacing w:val="-1"/>
          <w:sz w:val="21"/>
        </w:rPr>
        <w:t> </w:t>
      </w:r>
      <w:r>
        <w:rPr>
          <w:sz w:val="21"/>
        </w:rPr>
        <w:t>metro Springfield area.</w:t>
      </w:r>
      <w:hyperlink w:history="true" w:anchor="_bookmark570">
        <w:r>
          <w:rPr>
            <w:sz w:val="21"/>
            <w:vertAlign w:val="superscript"/>
          </w:rPr>
          <w:t>16</w:t>
        </w:r>
      </w:hyperlink>
      <w:r>
        <w:rPr>
          <w:spacing w:val="-2"/>
          <w:sz w:val="21"/>
          <w:vertAlign w:val="baseline"/>
        </w:rPr>
        <w:t> </w:t>
      </w:r>
      <w:r>
        <w:rPr>
          <w:sz w:val="21"/>
          <w:vertAlign w:val="baseline"/>
        </w:rPr>
        <w:t>There is a lack of</w:t>
      </w:r>
      <w:r>
        <w:rPr>
          <w:spacing w:val="-1"/>
          <w:sz w:val="21"/>
          <w:vertAlign w:val="baseline"/>
        </w:rPr>
        <w:t> </w:t>
      </w:r>
      <w:r>
        <w:rPr>
          <w:sz w:val="21"/>
          <w:vertAlign w:val="baseline"/>
        </w:rPr>
        <w:t>recent data</w:t>
      </w:r>
      <w:r>
        <w:rPr>
          <w:spacing w:val="-2"/>
          <w:sz w:val="21"/>
          <w:vertAlign w:val="baseline"/>
        </w:rPr>
        <w:t> </w:t>
      </w:r>
      <w:r>
        <w:rPr>
          <w:sz w:val="21"/>
          <w:vertAlign w:val="baseline"/>
        </w:rPr>
        <w:t>on</w:t>
      </w:r>
      <w:r>
        <w:rPr>
          <w:spacing w:val="-2"/>
          <w:sz w:val="21"/>
          <w:vertAlign w:val="baseline"/>
        </w:rPr>
        <w:t> </w:t>
      </w:r>
      <w:r>
        <w:rPr>
          <w:sz w:val="21"/>
          <w:vertAlign w:val="baseline"/>
        </w:rPr>
        <w:t>unemployment rates</w:t>
      </w:r>
      <w:r>
        <w:rPr>
          <w:spacing w:val="-2"/>
          <w:sz w:val="21"/>
          <w:vertAlign w:val="baseline"/>
        </w:rPr>
        <w:t> </w:t>
      </w:r>
      <w:r>
        <w:rPr>
          <w:sz w:val="21"/>
          <w:vertAlign w:val="baseline"/>
        </w:rPr>
        <w:t>and income</w:t>
      </w:r>
      <w:r>
        <w:rPr>
          <w:spacing w:val="-2"/>
          <w:sz w:val="21"/>
          <w:vertAlign w:val="baseline"/>
        </w:rPr>
        <w:t> </w:t>
      </w:r>
      <w:r>
        <w:rPr>
          <w:sz w:val="21"/>
          <w:vertAlign w:val="baseline"/>
        </w:rPr>
        <w:t>that</w:t>
      </w:r>
      <w:r>
        <w:rPr>
          <w:spacing w:val="-1"/>
          <w:sz w:val="21"/>
          <w:vertAlign w:val="baseline"/>
        </w:rPr>
        <w:t> </w:t>
      </w:r>
      <w:r>
        <w:rPr>
          <w:sz w:val="21"/>
          <w:vertAlign w:val="baseline"/>
        </w:rPr>
        <w:t>include</w:t>
      </w:r>
      <w:r>
        <w:rPr>
          <w:spacing w:val="-2"/>
          <w:sz w:val="21"/>
          <w:vertAlign w:val="baseline"/>
        </w:rPr>
        <w:t> </w:t>
      </w:r>
      <w:r>
        <w:rPr>
          <w:sz w:val="21"/>
          <w:vertAlign w:val="baseline"/>
        </w:rPr>
        <w:t>demographics</w:t>
      </w:r>
      <w:r>
        <w:rPr>
          <w:spacing w:val="-1"/>
          <w:sz w:val="21"/>
          <w:vertAlign w:val="baseline"/>
        </w:rPr>
        <w:t> </w:t>
      </w:r>
      <w:r>
        <w:rPr>
          <w:sz w:val="21"/>
          <w:vertAlign w:val="baseline"/>
        </w:rPr>
        <w:t>such</w:t>
      </w:r>
      <w:r>
        <w:rPr>
          <w:spacing w:val="-2"/>
          <w:sz w:val="21"/>
          <w:vertAlign w:val="baseline"/>
        </w:rPr>
        <w:t> </w:t>
      </w:r>
      <w:r>
        <w:rPr>
          <w:sz w:val="21"/>
          <w:vertAlign w:val="baseline"/>
        </w:rPr>
        <w:t>as</w:t>
      </w:r>
      <w:r>
        <w:rPr>
          <w:spacing w:val="-1"/>
          <w:sz w:val="21"/>
          <w:vertAlign w:val="baseline"/>
        </w:rPr>
        <w:t> </w:t>
      </w:r>
      <w:r>
        <w:rPr>
          <w:sz w:val="21"/>
          <w:vertAlign w:val="baseline"/>
        </w:rPr>
        <w:t>LGBTQ identity</w:t>
      </w:r>
      <w:r>
        <w:rPr>
          <w:spacing w:val="-1"/>
          <w:sz w:val="21"/>
          <w:vertAlign w:val="baseline"/>
        </w:rPr>
        <w:t> </w:t>
      </w:r>
      <w:r>
        <w:rPr>
          <w:sz w:val="21"/>
          <w:vertAlign w:val="baseline"/>
        </w:rPr>
        <w:t>and race throughout the regions of the state. There is a trend of greater economic performance in the metro Boston</w:t>
      </w:r>
      <w:r>
        <w:rPr>
          <w:spacing w:val="-6"/>
          <w:sz w:val="21"/>
          <w:vertAlign w:val="baseline"/>
        </w:rPr>
        <w:t> </w:t>
      </w:r>
      <w:r>
        <w:rPr>
          <w:sz w:val="21"/>
          <w:vertAlign w:val="baseline"/>
        </w:rPr>
        <w:t>area</w:t>
      </w:r>
      <w:r>
        <w:rPr>
          <w:spacing w:val="-5"/>
          <w:sz w:val="21"/>
          <w:vertAlign w:val="baseline"/>
        </w:rPr>
        <w:t> </w:t>
      </w:r>
      <w:r>
        <w:rPr>
          <w:sz w:val="21"/>
          <w:vertAlign w:val="baseline"/>
        </w:rPr>
        <w:t>which</w:t>
      </w:r>
      <w:r>
        <w:rPr>
          <w:spacing w:val="-6"/>
          <w:sz w:val="21"/>
          <w:vertAlign w:val="baseline"/>
        </w:rPr>
        <w:t> </w:t>
      </w:r>
      <w:r>
        <w:rPr>
          <w:sz w:val="21"/>
          <w:vertAlign w:val="baseline"/>
        </w:rPr>
        <w:t>has</w:t>
      </w:r>
      <w:r>
        <w:rPr>
          <w:spacing w:val="-6"/>
          <w:sz w:val="21"/>
          <w:vertAlign w:val="baseline"/>
        </w:rPr>
        <w:t> </w:t>
      </w:r>
      <w:r>
        <w:rPr>
          <w:sz w:val="21"/>
          <w:vertAlign w:val="baseline"/>
        </w:rPr>
        <w:t>a</w:t>
      </w:r>
      <w:r>
        <w:rPr>
          <w:spacing w:val="-5"/>
          <w:sz w:val="21"/>
          <w:vertAlign w:val="baseline"/>
        </w:rPr>
        <w:t> </w:t>
      </w:r>
      <w:r>
        <w:rPr>
          <w:sz w:val="21"/>
          <w:vertAlign w:val="baseline"/>
        </w:rPr>
        <w:t>large</w:t>
      </w:r>
      <w:r>
        <w:rPr>
          <w:spacing w:val="-6"/>
          <w:sz w:val="21"/>
          <w:vertAlign w:val="baseline"/>
        </w:rPr>
        <w:t> </w:t>
      </w:r>
      <w:r>
        <w:rPr>
          <w:sz w:val="21"/>
          <w:vertAlign w:val="baseline"/>
        </w:rPr>
        <w:t>share</w:t>
      </w:r>
      <w:r>
        <w:rPr>
          <w:spacing w:val="-6"/>
          <w:sz w:val="21"/>
          <w:vertAlign w:val="baseline"/>
        </w:rPr>
        <w:t> </w:t>
      </w:r>
      <w:r>
        <w:rPr>
          <w:sz w:val="21"/>
          <w:vertAlign w:val="baseline"/>
        </w:rPr>
        <w:t>of</w:t>
      </w:r>
      <w:r>
        <w:rPr>
          <w:spacing w:val="-6"/>
          <w:sz w:val="21"/>
          <w:vertAlign w:val="baseline"/>
        </w:rPr>
        <w:t> </w:t>
      </w:r>
      <w:r>
        <w:rPr>
          <w:sz w:val="21"/>
          <w:vertAlign w:val="baseline"/>
        </w:rPr>
        <w:t>the</w:t>
      </w:r>
      <w:r>
        <w:rPr>
          <w:spacing w:val="-7"/>
          <w:sz w:val="21"/>
          <w:vertAlign w:val="baseline"/>
        </w:rPr>
        <w:t> </w:t>
      </w:r>
      <w:r>
        <w:rPr>
          <w:sz w:val="21"/>
          <w:vertAlign w:val="baseline"/>
        </w:rPr>
        <w:t>professional,</w:t>
      </w:r>
      <w:r>
        <w:rPr>
          <w:spacing w:val="-5"/>
          <w:sz w:val="21"/>
          <w:vertAlign w:val="baseline"/>
        </w:rPr>
        <w:t> </w:t>
      </w:r>
      <w:r>
        <w:rPr>
          <w:sz w:val="21"/>
          <w:vertAlign w:val="baseline"/>
        </w:rPr>
        <w:t>scientific,</w:t>
      </w:r>
      <w:r>
        <w:rPr>
          <w:spacing w:val="-5"/>
          <w:sz w:val="21"/>
          <w:vertAlign w:val="baseline"/>
        </w:rPr>
        <w:t> </w:t>
      </w:r>
      <w:r>
        <w:rPr>
          <w:sz w:val="21"/>
          <w:vertAlign w:val="baseline"/>
        </w:rPr>
        <w:t>and</w:t>
      </w:r>
      <w:r>
        <w:rPr>
          <w:spacing w:val="-6"/>
          <w:sz w:val="21"/>
          <w:vertAlign w:val="baseline"/>
        </w:rPr>
        <w:t> </w:t>
      </w:r>
      <w:r>
        <w:rPr>
          <w:sz w:val="21"/>
          <w:vertAlign w:val="baseline"/>
        </w:rPr>
        <w:t>technical</w:t>
      </w:r>
      <w:r>
        <w:rPr>
          <w:spacing w:val="-6"/>
          <w:sz w:val="21"/>
          <w:vertAlign w:val="baseline"/>
        </w:rPr>
        <w:t> </w:t>
      </w:r>
      <w:r>
        <w:rPr>
          <w:sz w:val="21"/>
          <w:vertAlign w:val="baseline"/>
        </w:rPr>
        <w:t>services</w:t>
      </w:r>
      <w:r>
        <w:rPr>
          <w:spacing w:val="-6"/>
          <w:sz w:val="21"/>
          <w:vertAlign w:val="baseline"/>
        </w:rPr>
        <w:t> </w:t>
      </w:r>
      <w:r>
        <w:rPr>
          <w:sz w:val="21"/>
          <w:vertAlign w:val="baseline"/>
        </w:rPr>
        <w:t>sector</w:t>
      </w:r>
      <w:r>
        <w:rPr>
          <w:spacing w:val="-6"/>
          <w:sz w:val="21"/>
          <w:vertAlign w:val="baseline"/>
        </w:rPr>
        <w:t> </w:t>
      </w:r>
      <w:r>
        <w:rPr>
          <w:sz w:val="21"/>
          <w:vertAlign w:val="baseline"/>
        </w:rPr>
        <w:t>of</w:t>
      </w:r>
      <w:r>
        <w:rPr>
          <w:spacing w:val="-6"/>
          <w:sz w:val="21"/>
          <w:vertAlign w:val="baseline"/>
        </w:rPr>
        <w:t> </w:t>
      </w:r>
      <w:r>
        <w:rPr>
          <w:sz w:val="21"/>
          <w:vertAlign w:val="baseline"/>
        </w:rPr>
        <w:t>the</w:t>
      </w:r>
      <w:r>
        <w:rPr>
          <w:spacing w:val="-6"/>
          <w:sz w:val="21"/>
          <w:vertAlign w:val="baseline"/>
        </w:rPr>
        <w:t> </w:t>
      </w:r>
      <w:r>
        <w:rPr>
          <w:sz w:val="21"/>
          <w:vertAlign w:val="baseline"/>
        </w:rPr>
        <w:t>state with its growth in life sciences research, technology, and remote work.</w:t>
      </w:r>
      <w:hyperlink w:history="true" w:anchor="_bookmark571">
        <w:r>
          <w:rPr>
            <w:sz w:val="21"/>
            <w:vertAlign w:val="superscript"/>
          </w:rPr>
          <w:t>17</w:t>
        </w:r>
      </w:hyperlink>
    </w:p>
    <w:p>
      <w:pPr>
        <w:spacing w:line="276" w:lineRule="auto" w:before="240"/>
        <w:ind w:left="464" w:right="200" w:firstLine="0"/>
        <w:jc w:val="both"/>
        <w:rPr>
          <w:sz w:val="21"/>
        </w:rPr>
      </w:pPr>
      <w:r>
        <w:rPr>
          <w:sz w:val="21"/>
        </w:rPr>
        <w:t>In</w:t>
      </w:r>
      <w:r>
        <w:rPr>
          <w:spacing w:val="-1"/>
          <w:sz w:val="21"/>
        </w:rPr>
        <w:t> </w:t>
      </w:r>
      <w:r>
        <w:rPr>
          <w:sz w:val="21"/>
        </w:rPr>
        <w:t>contrast with</w:t>
      </w:r>
      <w:r>
        <w:rPr>
          <w:spacing w:val="-1"/>
          <w:sz w:val="21"/>
        </w:rPr>
        <w:t> </w:t>
      </w:r>
      <w:r>
        <w:rPr>
          <w:sz w:val="21"/>
        </w:rPr>
        <w:t>the</w:t>
      </w:r>
      <w:r>
        <w:rPr>
          <w:spacing w:val="-2"/>
          <w:sz w:val="21"/>
        </w:rPr>
        <w:t> </w:t>
      </w:r>
      <w:r>
        <w:rPr>
          <w:sz w:val="21"/>
        </w:rPr>
        <w:t>economic</w:t>
      </w:r>
      <w:r>
        <w:rPr>
          <w:spacing w:val="-1"/>
          <w:sz w:val="21"/>
        </w:rPr>
        <w:t> </w:t>
      </w:r>
      <w:r>
        <w:rPr>
          <w:sz w:val="21"/>
        </w:rPr>
        <w:t>growth</w:t>
      </w:r>
      <w:r>
        <w:rPr>
          <w:spacing w:val="-1"/>
          <w:sz w:val="21"/>
        </w:rPr>
        <w:t> </w:t>
      </w:r>
      <w:r>
        <w:rPr>
          <w:sz w:val="21"/>
        </w:rPr>
        <w:t>in</w:t>
      </w:r>
      <w:r>
        <w:rPr>
          <w:spacing w:val="-2"/>
          <w:sz w:val="21"/>
        </w:rPr>
        <w:t> </w:t>
      </w:r>
      <w:r>
        <w:rPr>
          <w:sz w:val="21"/>
        </w:rPr>
        <w:t>metro</w:t>
      </w:r>
      <w:r>
        <w:rPr>
          <w:spacing w:val="-1"/>
          <w:sz w:val="21"/>
        </w:rPr>
        <w:t> </w:t>
      </w:r>
      <w:r>
        <w:rPr>
          <w:sz w:val="21"/>
        </w:rPr>
        <w:t>Boston, Western</w:t>
      </w:r>
      <w:r>
        <w:rPr>
          <w:spacing w:val="-1"/>
          <w:sz w:val="21"/>
        </w:rPr>
        <w:t> </w:t>
      </w:r>
      <w:r>
        <w:rPr>
          <w:sz w:val="21"/>
        </w:rPr>
        <w:t>MA</w:t>
      </w:r>
      <w:r>
        <w:rPr>
          <w:spacing w:val="-3"/>
          <w:sz w:val="21"/>
        </w:rPr>
        <w:t> </w:t>
      </w:r>
      <w:r>
        <w:rPr>
          <w:sz w:val="21"/>
        </w:rPr>
        <w:t>and</w:t>
      </w:r>
      <w:r>
        <w:rPr>
          <w:spacing w:val="-1"/>
          <w:sz w:val="21"/>
        </w:rPr>
        <w:t> </w:t>
      </w:r>
      <w:r>
        <w:rPr>
          <w:sz w:val="21"/>
        </w:rPr>
        <w:t>the</w:t>
      </w:r>
      <w:r>
        <w:rPr>
          <w:spacing w:val="-1"/>
          <w:sz w:val="21"/>
        </w:rPr>
        <w:t> </w:t>
      </w:r>
      <w:r>
        <w:rPr>
          <w:sz w:val="21"/>
        </w:rPr>
        <w:t>Cape</w:t>
      </w:r>
      <w:r>
        <w:rPr>
          <w:spacing w:val="-3"/>
          <w:sz w:val="21"/>
        </w:rPr>
        <w:t> </w:t>
      </w:r>
      <w:r>
        <w:rPr>
          <w:sz w:val="21"/>
        </w:rPr>
        <w:t>and</w:t>
      </w:r>
      <w:r>
        <w:rPr>
          <w:spacing w:val="-1"/>
          <w:sz w:val="21"/>
        </w:rPr>
        <w:t> </w:t>
      </w:r>
      <w:r>
        <w:rPr>
          <w:sz w:val="21"/>
        </w:rPr>
        <w:t>Islands</w:t>
      </w:r>
      <w:r>
        <w:rPr>
          <w:spacing w:val="-1"/>
          <w:sz w:val="21"/>
        </w:rPr>
        <w:t> </w:t>
      </w:r>
      <w:r>
        <w:rPr>
          <w:sz w:val="21"/>
        </w:rPr>
        <w:t>region</w:t>
      </w:r>
      <w:r>
        <w:rPr>
          <w:spacing w:val="-1"/>
          <w:sz w:val="21"/>
        </w:rPr>
        <w:t> </w:t>
      </w:r>
      <w:r>
        <w:rPr>
          <w:sz w:val="21"/>
        </w:rPr>
        <w:t>have lagged behind other regions in overall performance and employment opportunities.</w:t>
      </w:r>
      <w:r>
        <w:rPr>
          <w:spacing w:val="-12"/>
          <w:sz w:val="21"/>
        </w:rPr>
        <w:t> </w:t>
      </w:r>
      <w:hyperlink w:history="true" w:anchor="_bookmark572">
        <w:r>
          <w:rPr>
            <w:sz w:val="21"/>
            <w:vertAlign w:val="superscript"/>
          </w:rPr>
          <w:t>18</w:t>
        </w:r>
      </w:hyperlink>
      <w:r>
        <w:rPr>
          <w:sz w:val="21"/>
          <w:vertAlign w:val="baseline"/>
        </w:rPr>
        <w:t> The lack of job opportunities in these regions may lead many workers to commute to Boston for work. This lack of affordable public transportation may prevent youth, who are at the start of their careers and do not have significant</w:t>
      </w:r>
      <w:r>
        <w:rPr>
          <w:spacing w:val="-10"/>
          <w:sz w:val="21"/>
          <w:vertAlign w:val="baseline"/>
        </w:rPr>
        <w:t> </w:t>
      </w:r>
      <w:r>
        <w:rPr>
          <w:sz w:val="21"/>
          <w:vertAlign w:val="baseline"/>
        </w:rPr>
        <w:t>savings,</w:t>
      </w:r>
      <w:r>
        <w:rPr>
          <w:spacing w:val="-10"/>
          <w:sz w:val="21"/>
          <w:vertAlign w:val="baseline"/>
        </w:rPr>
        <w:t> </w:t>
      </w:r>
      <w:r>
        <w:rPr>
          <w:sz w:val="21"/>
          <w:vertAlign w:val="baseline"/>
        </w:rPr>
        <w:t>from</w:t>
      </w:r>
      <w:r>
        <w:rPr>
          <w:spacing w:val="-10"/>
          <w:sz w:val="21"/>
          <w:vertAlign w:val="baseline"/>
        </w:rPr>
        <w:t> </w:t>
      </w:r>
      <w:r>
        <w:rPr>
          <w:sz w:val="21"/>
          <w:vertAlign w:val="baseline"/>
        </w:rPr>
        <w:t>obtaining</w:t>
      </w:r>
      <w:r>
        <w:rPr>
          <w:spacing w:val="-11"/>
          <w:sz w:val="21"/>
          <w:vertAlign w:val="baseline"/>
        </w:rPr>
        <w:t> </w:t>
      </w:r>
      <w:r>
        <w:rPr>
          <w:sz w:val="21"/>
          <w:vertAlign w:val="baseline"/>
        </w:rPr>
        <w:t>a</w:t>
      </w:r>
      <w:r>
        <w:rPr>
          <w:spacing w:val="-10"/>
          <w:sz w:val="21"/>
          <w:vertAlign w:val="baseline"/>
        </w:rPr>
        <w:t> </w:t>
      </w:r>
      <w:r>
        <w:rPr>
          <w:sz w:val="21"/>
          <w:vertAlign w:val="baseline"/>
        </w:rPr>
        <w:t>job</w:t>
      </w:r>
      <w:r>
        <w:rPr>
          <w:spacing w:val="-10"/>
          <w:sz w:val="21"/>
          <w:vertAlign w:val="baseline"/>
        </w:rPr>
        <w:t> </w:t>
      </w:r>
      <w:r>
        <w:rPr>
          <w:sz w:val="21"/>
          <w:vertAlign w:val="baseline"/>
        </w:rPr>
        <w:t>that</w:t>
      </w:r>
      <w:r>
        <w:rPr>
          <w:spacing w:val="-10"/>
          <w:sz w:val="21"/>
          <w:vertAlign w:val="baseline"/>
        </w:rPr>
        <w:t> </w:t>
      </w:r>
      <w:r>
        <w:rPr>
          <w:sz w:val="21"/>
          <w:vertAlign w:val="baseline"/>
        </w:rPr>
        <w:t>leads</w:t>
      </w:r>
      <w:r>
        <w:rPr>
          <w:spacing w:val="-11"/>
          <w:sz w:val="21"/>
          <w:vertAlign w:val="baseline"/>
        </w:rPr>
        <w:t> </w:t>
      </w:r>
      <w:r>
        <w:rPr>
          <w:sz w:val="21"/>
          <w:vertAlign w:val="baseline"/>
        </w:rPr>
        <w:t>to</w:t>
      </w:r>
      <w:r>
        <w:rPr>
          <w:spacing w:val="-11"/>
          <w:sz w:val="21"/>
          <w:vertAlign w:val="baseline"/>
        </w:rPr>
        <w:t> </w:t>
      </w:r>
      <w:r>
        <w:rPr>
          <w:sz w:val="21"/>
          <w:vertAlign w:val="baseline"/>
        </w:rPr>
        <w:t>a</w:t>
      </w:r>
      <w:r>
        <w:rPr>
          <w:spacing w:val="-10"/>
          <w:sz w:val="21"/>
          <w:vertAlign w:val="baseline"/>
        </w:rPr>
        <w:t> </w:t>
      </w:r>
      <w:r>
        <w:rPr>
          <w:sz w:val="21"/>
          <w:vertAlign w:val="baseline"/>
        </w:rPr>
        <w:t>better</w:t>
      </w:r>
      <w:r>
        <w:rPr>
          <w:spacing w:val="-10"/>
          <w:sz w:val="21"/>
          <w:vertAlign w:val="baseline"/>
        </w:rPr>
        <w:t> </w:t>
      </w:r>
      <w:r>
        <w:rPr>
          <w:sz w:val="21"/>
          <w:vertAlign w:val="baseline"/>
        </w:rPr>
        <w:t>career</w:t>
      </w:r>
      <w:r>
        <w:rPr>
          <w:spacing w:val="-12"/>
          <w:sz w:val="21"/>
          <w:vertAlign w:val="baseline"/>
        </w:rPr>
        <w:t> </w:t>
      </w:r>
      <w:r>
        <w:rPr>
          <w:sz w:val="21"/>
          <w:vertAlign w:val="baseline"/>
        </w:rPr>
        <w:t>trajectory</w:t>
      </w:r>
      <w:r>
        <w:rPr>
          <w:spacing w:val="-11"/>
          <w:sz w:val="21"/>
          <w:vertAlign w:val="baseline"/>
        </w:rPr>
        <w:t> </w:t>
      </w:r>
      <w:r>
        <w:rPr>
          <w:sz w:val="21"/>
          <w:vertAlign w:val="baseline"/>
        </w:rPr>
        <w:t>in</w:t>
      </w:r>
      <w:r>
        <w:rPr>
          <w:spacing w:val="-10"/>
          <w:sz w:val="21"/>
          <w:vertAlign w:val="baseline"/>
        </w:rPr>
        <w:t> </w:t>
      </w:r>
      <w:r>
        <w:rPr>
          <w:sz w:val="21"/>
          <w:vertAlign w:val="baseline"/>
        </w:rPr>
        <w:t>Boston.</w:t>
      </w:r>
      <w:r>
        <w:rPr>
          <w:spacing w:val="-10"/>
          <w:sz w:val="21"/>
          <w:vertAlign w:val="baseline"/>
        </w:rPr>
        <w:t> </w:t>
      </w:r>
      <w:r>
        <w:rPr>
          <w:sz w:val="21"/>
          <w:vertAlign w:val="baseline"/>
        </w:rPr>
        <w:t>Remote</w:t>
      </w:r>
      <w:r>
        <w:rPr>
          <w:spacing w:val="-10"/>
          <w:sz w:val="21"/>
          <w:vertAlign w:val="baseline"/>
        </w:rPr>
        <w:t> </w:t>
      </w:r>
      <w:r>
        <w:rPr>
          <w:sz w:val="21"/>
          <w:vertAlign w:val="baseline"/>
        </w:rPr>
        <w:t>work</w:t>
      </w:r>
      <w:r>
        <w:rPr>
          <w:spacing w:val="-10"/>
          <w:sz w:val="21"/>
          <w:vertAlign w:val="baseline"/>
        </w:rPr>
        <w:t> </w:t>
      </w:r>
      <w:r>
        <w:rPr>
          <w:sz w:val="21"/>
          <w:vertAlign w:val="baseline"/>
        </w:rPr>
        <w:t>may remove the geographical barrier to employment; however, many companies have adopted hybrid schedules or are in favor of implementing return-to-office plans by the end of the year.</w:t>
      </w:r>
      <w:hyperlink w:history="true" w:anchor="_bookmark573">
        <w:r>
          <w:rPr>
            <w:sz w:val="21"/>
            <w:vertAlign w:val="superscript"/>
          </w:rPr>
          <w:t>19</w:t>
        </w:r>
      </w:hyperlink>
    </w:p>
    <w:p>
      <w:pPr>
        <w:spacing w:before="239"/>
        <w:ind w:left="464" w:right="0" w:firstLine="0"/>
        <w:jc w:val="left"/>
        <w:rPr>
          <w:sz w:val="28"/>
        </w:rPr>
      </w:pPr>
      <w:bookmarkStart w:name="Transportation" w:id="837"/>
      <w:bookmarkEnd w:id="837"/>
      <w:r>
        <w:rPr/>
      </w:r>
      <w:r>
        <w:rPr>
          <w:color w:val="365F91"/>
          <w:spacing w:val="-2"/>
          <w:sz w:val="28"/>
        </w:rPr>
        <w:t>Transportation</w:t>
      </w:r>
    </w:p>
    <w:p>
      <w:pPr>
        <w:spacing w:line="276" w:lineRule="auto" w:before="292"/>
        <w:ind w:left="464" w:right="200" w:firstLine="0"/>
        <w:jc w:val="both"/>
        <w:rPr>
          <w:sz w:val="21"/>
        </w:rPr>
      </w:pPr>
      <w:r>
        <w:rPr>
          <w:sz w:val="21"/>
        </w:rPr>
        <w:t>With</w:t>
      </w:r>
      <w:r>
        <w:rPr>
          <w:spacing w:val="-8"/>
          <w:sz w:val="21"/>
        </w:rPr>
        <w:t> </w:t>
      </w:r>
      <w:r>
        <w:rPr>
          <w:sz w:val="21"/>
        </w:rPr>
        <w:t>the</w:t>
      </w:r>
      <w:r>
        <w:rPr>
          <w:spacing w:val="-9"/>
          <w:sz w:val="21"/>
        </w:rPr>
        <w:t> </w:t>
      </w:r>
      <w:r>
        <w:rPr>
          <w:sz w:val="21"/>
        </w:rPr>
        <w:t>many</w:t>
      </w:r>
      <w:r>
        <w:rPr>
          <w:spacing w:val="-8"/>
          <w:sz w:val="21"/>
        </w:rPr>
        <w:t> </w:t>
      </w:r>
      <w:r>
        <w:rPr>
          <w:sz w:val="21"/>
        </w:rPr>
        <w:t>employment</w:t>
      </w:r>
      <w:r>
        <w:rPr>
          <w:spacing w:val="-7"/>
          <w:sz w:val="21"/>
        </w:rPr>
        <w:t> </w:t>
      </w:r>
      <w:r>
        <w:rPr>
          <w:sz w:val="21"/>
        </w:rPr>
        <w:t>opportunities</w:t>
      </w:r>
      <w:r>
        <w:rPr>
          <w:spacing w:val="-8"/>
          <w:sz w:val="21"/>
        </w:rPr>
        <w:t> </w:t>
      </w:r>
      <w:r>
        <w:rPr>
          <w:sz w:val="21"/>
        </w:rPr>
        <w:t>in</w:t>
      </w:r>
      <w:r>
        <w:rPr>
          <w:spacing w:val="-8"/>
          <w:sz w:val="21"/>
        </w:rPr>
        <w:t> </w:t>
      </w:r>
      <w:r>
        <w:rPr>
          <w:sz w:val="21"/>
        </w:rPr>
        <w:t>Boston,</w:t>
      </w:r>
      <w:r>
        <w:rPr>
          <w:spacing w:val="-7"/>
          <w:sz w:val="21"/>
        </w:rPr>
        <w:t> </w:t>
      </w:r>
      <w:r>
        <w:rPr>
          <w:sz w:val="21"/>
        </w:rPr>
        <w:t>workers</w:t>
      </w:r>
      <w:r>
        <w:rPr>
          <w:spacing w:val="-8"/>
          <w:sz w:val="21"/>
        </w:rPr>
        <w:t> </w:t>
      </w:r>
      <w:r>
        <w:rPr>
          <w:sz w:val="21"/>
        </w:rPr>
        <w:t>from</w:t>
      </w:r>
      <w:r>
        <w:rPr>
          <w:spacing w:val="-7"/>
          <w:sz w:val="21"/>
        </w:rPr>
        <w:t> </w:t>
      </w:r>
      <w:r>
        <w:rPr>
          <w:sz w:val="21"/>
        </w:rPr>
        <w:t>throughout</w:t>
      </w:r>
      <w:r>
        <w:rPr>
          <w:spacing w:val="-7"/>
          <w:sz w:val="21"/>
        </w:rPr>
        <w:t> </w:t>
      </w:r>
      <w:r>
        <w:rPr>
          <w:sz w:val="21"/>
        </w:rPr>
        <w:t>the</w:t>
      </w:r>
      <w:r>
        <w:rPr>
          <w:spacing w:val="-8"/>
          <w:sz w:val="21"/>
        </w:rPr>
        <w:t> </w:t>
      </w:r>
      <w:r>
        <w:rPr>
          <w:sz w:val="21"/>
        </w:rPr>
        <w:t>state</w:t>
      </w:r>
      <w:r>
        <w:rPr>
          <w:spacing w:val="-8"/>
          <w:sz w:val="21"/>
        </w:rPr>
        <w:t> </w:t>
      </w:r>
      <w:r>
        <w:rPr>
          <w:sz w:val="21"/>
        </w:rPr>
        <w:t>commute</w:t>
      </w:r>
      <w:r>
        <w:rPr>
          <w:spacing w:val="-9"/>
          <w:sz w:val="21"/>
        </w:rPr>
        <w:t> </w:t>
      </w:r>
      <w:r>
        <w:rPr>
          <w:sz w:val="21"/>
        </w:rPr>
        <w:t>into</w:t>
      </w:r>
      <w:r>
        <w:rPr>
          <w:spacing w:val="-8"/>
          <w:sz w:val="21"/>
        </w:rPr>
        <w:t> </w:t>
      </w:r>
      <w:r>
        <w:rPr>
          <w:sz w:val="21"/>
        </w:rPr>
        <w:t>the city for work, which has proven to be a barrier to employment. Riders of the MBTA have increasingly experienced frequent station shutdowns, slow zones, train breakdowns, line closures, and infrequent service.</w:t>
      </w:r>
      <w:hyperlink w:history="true" w:anchor="_bookmark574">
        <w:r>
          <w:rPr>
            <w:sz w:val="21"/>
            <w:vertAlign w:val="superscript"/>
          </w:rPr>
          <w:t>20</w:t>
        </w:r>
      </w:hyperlink>
      <w:r>
        <w:rPr>
          <w:spacing w:val="-2"/>
          <w:sz w:val="21"/>
          <w:vertAlign w:val="baseline"/>
        </w:rPr>
        <w:t> </w:t>
      </w:r>
      <w:r>
        <w:rPr>
          <w:sz w:val="21"/>
          <w:vertAlign w:val="baseline"/>
        </w:rPr>
        <w:t>Buses that transport commuters between closed stations are frequently blocked by traffic and parked</w:t>
      </w:r>
      <w:r>
        <w:rPr>
          <w:spacing w:val="-4"/>
          <w:sz w:val="21"/>
          <w:vertAlign w:val="baseline"/>
        </w:rPr>
        <w:t> </w:t>
      </w:r>
      <w:r>
        <w:rPr>
          <w:sz w:val="21"/>
          <w:vertAlign w:val="baseline"/>
        </w:rPr>
        <w:t>cars.</w:t>
      </w:r>
      <w:hyperlink w:history="true" w:anchor="_bookmark575">
        <w:r>
          <w:rPr>
            <w:sz w:val="21"/>
            <w:vertAlign w:val="superscript"/>
          </w:rPr>
          <w:t>21</w:t>
        </w:r>
      </w:hyperlink>
      <w:r>
        <w:rPr>
          <w:spacing w:val="-2"/>
          <w:sz w:val="21"/>
          <w:vertAlign w:val="baseline"/>
        </w:rPr>
        <w:t> </w:t>
      </w:r>
      <w:r>
        <w:rPr>
          <w:sz w:val="21"/>
          <w:vertAlign w:val="baseline"/>
        </w:rPr>
        <w:t>The</w:t>
      </w:r>
      <w:r>
        <w:rPr>
          <w:spacing w:val="-4"/>
          <w:sz w:val="21"/>
          <w:vertAlign w:val="baseline"/>
        </w:rPr>
        <w:t> </w:t>
      </w:r>
      <w:r>
        <w:rPr>
          <w:sz w:val="21"/>
          <w:vertAlign w:val="baseline"/>
        </w:rPr>
        <w:t>unreliability</w:t>
      </w:r>
      <w:r>
        <w:rPr>
          <w:spacing w:val="-5"/>
          <w:sz w:val="21"/>
          <w:vertAlign w:val="baseline"/>
        </w:rPr>
        <w:t> </w:t>
      </w:r>
      <w:r>
        <w:rPr>
          <w:sz w:val="21"/>
          <w:vertAlign w:val="baseline"/>
        </w:rPr>
        <w:t>of</w:t>
      </w:r>
      <w:r>
        <w:rPr>
          <w:spacing w:val="-5"/>
          <w:sz w:val="21"/>
          <w:vertAlign w:val="baseline"/>
        </w:rPr>
        <w:t> </w:t>
      </w:r>
      <w:r>
        <w:rPr>
          <w:sz w:val="21"/>
          <w:vertAlign w:val="baseline"/>
        </w:rPr>
        <w:t>the</w:t>
      </w:r>
      <w:r>
        <w:rPr>
          <w:spacing w:val="-6"/>
          <w:sz w:val="21"/>
          <w:vertAlign w:val="baseline"/>
        </w:rPr>
        <w:t> </w:t>
      </w:r>
      <w:r>
        <w:rPr>
          <w:sz w:val="21"/>
          <w:vertAlign w:val="baseline"/>
        </w:rPr>
        <w:t>MBTA</w:t>
      </w:r>
      <w:r>
        <w:rPr>
          <w:spacing w:val="-5"/>
          <w:sz w:val="21"/>
          <w:vertAlign w:val="baseline"/>
        </w:rPr>
        <w:t> </w:t>
      </w:r>
      <w:r>
        <w:rPr>
          <w:sz w:val="21"/>
          <w:vertAlign w:val="baseline"/>
        </w:rPr>
        <w:t>makes</w:t>
      </w:r>
      <w:r>
        <w:rPr>
          <w:spacing w:val="-5"/>
          <w:sz w:val="21"/>
          <w:vertAlign w:val="baseline"/>
        </w:rPr>
        <w:t> </w:t>
      </w:r>
      <w:r>
        <w:rPr>
          <w:sz w:val="21"/>
          <w:vertAlign w:val="baseline"/>
        </w:rPr>
        <w:t>it</w:t>
      </w:r>
      <w:r>
        <w:rPr>
          <w:spacing w:val="-5"/>
          <w:sz w:val="21"/>
          <w:vertAlign w:val="baseline"/>
        </w:rPr>
        <w:t> </w:t>
      </w:r>
      <w:r>
        <w:rPr>
          <w:sz w:val="21"/>
          <w:vertAlign w:val="baseline"/>
        </w:rPr>
        <w:t>difficult</w:t>
      </w:r>
      <w:r>
        <w:rPr>
          <w:spacing w:val="-4"/>
          <w:sz w:val="21"/>
          <w:vertAlign w:val="baseline"/>
        </w:rPr>
        <w:t> </w:t>
      </w:r>
      <w:r>
        <w:rPr>
          <w:sz w:val="21"/>
          <w:vertAlign w:val="baseline"/>
        </w:rPr>
        <w:t>to</w:t>
      </w:r>
      <w:r>
        <w:rPr>
          <w:spacing w:val="-6"/>
          <w:sz w:val="21"/>
          <w:vertAlign w:val="baseline"/>
        </w:rPr>
        <w:t> </w:t>
      </w:r>
      <w:r>
        <w:rPr>
          <w:sz w:val="21"/>
          <w:vertAlign w:val="baseline"/>
        </w:rPr>
        <w:t>use</w:t>
      </w:r>
      <w:r>
        <w:rPr>
          <w:spacing w:val="-4"/>
          <w:sz w:val="21"/>
          <w:vertAlign w:val="baseline"/>
        </w:rPr>
        <w:t> </w:t>
      </w:r>
      <w:r>
        <w:rPr>
          <w:sz w:val="21"/>
          <w:vertAlign w:val="baseline"/>
        </w:rPr>
        <w:t>public</w:t>
      </w:r>
      <w:r>
        <w:rPr>
          <w:spacing w:val="-4"/>
          <w:sz w:val="21"/>
          <w:vertAlign w:val="baseline"/>
        </w:rPr>
        <w:t> </w:t>
      </w:r>
      <w:r>
        <w:rPr>
          <w:sz w:val="21"/>
          <w:vertAlign w:val="baseline"/>
        </w:rPr>
        <w:t>transportation</w:t>
      </w:r>
      <w:r>
        <w:rPr>
          <w:spacing w:val="-4"/>
          <w:sz w:val="21"/>
          <w:vertAlign w:val="baseline"/>
        </w:rPr>
        <w:t> </w:t>
      </w:r>
      <w:r>
        <w:rPr>
          <w:sz w:val="21"/>
          <w:vertAlign w:val="baseline"/>
        </w:rPr>
        <w:t>to</w:t>
      </w:r>
      <w:r>
        <w:rPr>
          <w:spacing w:val="-5"/>
          <w:sz w:val="21"/>
          <w:vertAlign w:val="baseline"/>
        </w:rPr>
        <w:t> </w:t>
      </w:r>
      <w:r>
        <w:rPr>
          <w:sz w:val="21"/>
          <w:vertAlign w:val="baseline"/>
        </w:rPr>
        <w:t>commute</w:t>
      </w:r>
      <w:r>
        <w:rPr>
          <w:spacing w:val="-4"/>
          <w:sz w:val="21"/>
          <w:vertAlign w:val="baseline"/>
        </w:rPr>
        <w:t> </w:t>
      </w:r>
      <w:r>
        <w:rPr>
          <w:sz w:val="21"/>
          <w:vertAlign w:val="baseline"/>
        </w:rPr>
        <w:t>into Boston or, for those who live in the city, outside of Boston for work. In a Boston Globe interview, several MBTA</w:t>
      </w:r>
      <w:r>
        <w:rPr>
          <w:spacing w:val="-2"/>
          <w:sz w:val="21"/>
          <w:vertAlign w:val="baseline"/>
        </w:rPr>
        <w:t> </w:t>
      </w:r>
      <w:r>
        <w:rPr>
          <w:sz w:val="21"/>
          <w:vertAlign w:val="baseline"/>
        </w:rPr>
        <w:t>commuters</w:t>
      </w:r>
      <w:r>
        <w:rPr>
          <w:spacing w:val="-2"/>
          <w:sz w:val="21"/>
          <w:vertAlign w:val="baseline"/>
        </w:rPr>
        <w:t> </w:t>
      </w:r>
      <w:r>
        <w:rPr>
          <w:sz w:val="21"/>
          <w:vertAlign w:val="baseline"/>
        </w:rPr>
        <w:t>commented</w:t>
      </w:r>
      <w:r>
        <w:rPr>
          <w:spacing w:val="-2"/>
          <w:sz w:val="21"/>
          <w:vertAlign w:val="baseline"/>
        </w:rPr>
        <w:t> </w:t>
      </w:r>
      <w:r>
        <w:rPr>
          <w:sz w:val="21"/>
          <w:vertAlign w:val="baseline"/>
        </w:rPr>
        <w:t>on</w:t>
      </w:r>
      <w:r>
        <w:rPr>
          <w:spacing w:val="-2"/>
          <w:sz w:val="21"/>
          <w:vertAlign w:val="baseline"/>
        </w:rPr>
        <w:t> </w:t>
      </w:r>
      <w:r>
        <w:rPr>
          <w:sz w:val="21"/>
          <w:vertAlign w:val="baseline"/>
        </w:rPr>
        <w:t>the</w:t>
      </w:r>
      <w:r>
        <w:rPr>
          <w:spacing w:val="-3"/>
          <w:sz w:val="21"/>
          <w:vertAlign w:val="baseline"/>
        </w:rPr>
        <w:t> </w:t>
      </w:r>
      <w:r>
        <w:rPr>
          <w:sz w:val="21"/>
          <w:vertAlign w:val="baseline"/>
        </w:rPr>
        <w:t>recent</w:t>
      </w:r>
      <w:r>
        <w:rPr>
          <w:spacing w:val="-1"/>
          <w:sz w:val="21"/>
          <w:vertAlign w:val="baseline"/>
        </w:rPr>
        <w:t> </w:t>
      </w:r>
      <w:r>
        <w:rPr>
          <w:sz w:val="21"/>
          <w:vertAlign w:val="baseline"/>
        </w:rPr>
        <w:t>difficulties</w:t>
      </w:r>
      <w:r>
        <w:rPr>
          <w:spacing w:val="-1"/>
          <w:sz w:val="21"/>
          <w:vertAlign w:val="baseline"/>
        </w:rPr>
        <w:t> </w:t>
      </w:r>
      <w:r>
        <w:rPr>
          <w:sz w:val="21"/>
          <w:vertAlign w:val="baseline"/>
        </w:rPr>
        <w:t>of</w:t>
      </w:r>
      <w:r>
        <w:rPr>
          <w:spacing w:val="-2"/>
          <w:sz w:val="21"/>
          <w:vertAlign w:val="baseline"/>
        </w:rPr>
        <w:t> </w:t>
      </w:r>
      <w:r>
        <w:rPr>
          <w:sz w:val="21"/>
          <w:vertAlign w:val="baseline"/>
        </w:rPr>
        <w:t>traveling</w:t>
      </w:r>
      <w:r>
        <w:rPr>
          <w:spacing w:val="-2"/>
          <w:sz w:val="21"/>
          <w:vertAlign w:val="baseline"/>
        </w:rPr>
        <w:t> </w:t>
      </w:r>
      <w:r>
        <w:rPr>
          <w:sz w:val="21"/>
          <w:vertAlign w:val="baseline"/>
        </w:rPr>
        <w:t>to</w:t>
      </w:r>
      <w:r>
        <w:rPr>
          <w:spacing w:val="-2"/>
          <w:sz w:val="21"/>
          <w:vertAlign w:val="baseline"/>
        </w:rPr>
        <w:t> </w:t>
      </w:r>
      <w:r>
        <w:rPr>
          <w:sz w:val="21"/>
          <w:vertAlign w:val="baseline"/>
        </w:rPr>
        <w:t>work</w:t>
      </w:r>
      <w:r>
        <w:rPr>
          <w:spacing w:val="-1"/>
          <w:sz w:val="21"/>
          <w:vertAlign w:val="baseline"/>
        </w:rPr>
        <w:t> </w:t>
      </w:r>
      <w:r>
        <w:rPr>
          <w:sz w:val="21"/>
          <w:vertAlign w:val="baseline"/>
        </w:rPr>
        <w:t>in</w:t>
      </w:r>
      <w:r>
        <w:rPr>
          <w:spacing w:val="-2"/>
          <w:sz w:val="21"/>
          <w:vertAlign w:val="baseline"/>
        </w:rPr>
        <w:t> </w:t>
      </w:r>
      <w:r>
        <w:rPr>
          <w:sz w:val="21"/>
          <w:vertAlign w:val="baseline"/>
        </w:rPr>
        <w:t>Boston</w:t>
      </w:r>
      <w:r>
        <w:rPr>
          <w:spacing w:val="-2"/>
          <w:sz w:val="21"/>
          <w:vertAlign w:val="baseline"/>
        </w:rPr>
        <w:t> </w:t>
      </w:r>
      <w:r>
        <w:rPr>
          <w:sz w:val="21"/>
          <w:vertAlign w:val="baseline"/>
        </w:rPr>
        <w:t>and</w:t>
      </w:r>
      <w:r>
        <w:rPr>
          <w:spacing w:val="-2"/>
          <w:sz w:val="21"/>
          <w:vertAlign w:val="baseline"/>
        </w:rPr>
        <w:t> </w:t>
      </w:r>
      <w:r>
        <w:rPr>
          <w:sz w:val="21"/>
          <w:vertAlign w:val="baseline"/>
        </w:rPr>
        <w:t>shared</w:t>
      </w:r>
      <w:r>
        <w:rPr>
          <w:spacing w:val="-3"/>
          <w:sz w:val="21"/>
          <w:vertAlign w:val="baseline"/>
        </w:rPr>
        <w:t> </w:t>
      </w:r>
      <w:r>
        <w:rPr>
          <w:sz w:val="21"/>
          <w:vertAlign w:val="baseline"/>
        </w:rPr>
        <w:t>plans</w:t>
      </w:r>
      <w:r>
        <w:rPr>
          <w:spacing w:val="-2"/>
          <w:sz w:val="21"/>
          <w:vertAlign w:val="baseline"/>
        </w:rPr>
        <w:t> </w:t>
      </w:r>
      <w:r>
        <w:rPr>
          <w:sz w:val="21"/>
          <w:vertAlign w:val="baseline"/>
        </w:rPr>
        <w:t>of moving to cities that have more reliable transportation, even in inclement weather.</w:t>
      </w:r>
      <w:hyperlink w:history="true" w:anchor="_bookmark576">
        <w:r>
          <w:rPr>
            <w:sz w:val="21"/>
            <w:vertAlign w:val="superscript"/>
          </w:rPr>
          <w:t>22</w:t>
        </w:r>
      </w:hyperlink>
      <w:r>
        <w:rPr>
          <w:spacing w:val="-2"/>
          <w:sz w:val="21"/>
          <w:vertAlign w:val="baseline"/>
        </w:rPr>
        <w:t> </w:t>
      </w:r>
      <w:r>
        <w:rPr>
          <w:sz w:val="21"/>
          <w:vertAlign w:val="baseline"/>
        </w:rPr>
        <w:t>The unreliability of the</w:t>
      </w:r>
      <w:r>
        <w:rPr>
          <w:spacing w:val="-8"/>
          <w:sz w:val="21"/>
          <w:vertAlign w:val="baseline"/>
        </w:rPr>
        <w:t> </w:t>
      </w:r>
      <w:r>
        <w:rPr>
          <w:sz w:val="21"/>
          <w:vertAlign w:val="baseline"/>
        </w:rPr>
        <w:t>MBTA</w:t>
      </w:r>
      <w:r>
        <w:rPr>
          <w:spacing w:val="-7"/>
          <w:sz w:val="21"/>
          <w:vertAlign w:val="baseline"/>
        </w:rPr>
        <w:t> </w:t>
      </w:r>
      <w:r>
        <w:rPr>
          <w:sz w:val="21"/>
          <w:vertAlign w:val="baseline"/>
        </w:rPr>
        <w:t>risks</w:t>
      </w:r>
      <w:r>
        <w:rPr>
          <w:spacing w:val="-7"/>
          <w:sz w:val="21"/>
          <w:vertAlign w:val="baseline"/>
        </w:rPr>
        <w:t> </w:t>
      </w:r>
      <w:r>
        <w:rPr>
          <w:sz w:val="21"/>
          <w:vertAlign w:val="baseline"/>
        </w:rPr>
        <w:t>losing</w:t>
      </w:r>
      <w:r>
        <w:rPr>
          <w:spacing w:val="-7"/>
          <w:sz w:val="21"/>
          <w:vertAlign w:val="baseline"/>
        </w:rPr>
        <w:t> </w:t>
      </w:r>
      <w:r>
        <w:rPr>
          <w:sz w:val="21"/>
          <w:vertAlign w:val="baseline"/>
        </w:rPr>
        <w:t>workers</w:t>
      </w:r>
      <w:r>
        <w:rPr>
          <w:spacing w:val="-7"/>
          <w:sz w:val="21"/>
          <w:vertAlign w:val="baseline"/>
        </w:rPr>
        <w:t> </w:t>
      </w:r>
      <w:r>
        <w:rPr>
          <w:sz w:val="21"/>
          <w:vertAlign w:val="baseline"/>
        </w:rPr>
        <w:t>from</w:t>
      </w:r>
      <w:r>
        <w:rPr>
          <w:spacing w:val="-6"/>
          <w:sz w:val="21"/>
          <w:vertAlign w:val="baseline"/>
        </w:rPr>
        <w:t> </w:t>
      </w:r>
      <w:r>
        <w:rPr>
          <w:sz w:val="21"/>
          <w:vertAlign w:val="baseline"/>
        </w:rPr>
        <w:t>out</w:t>
      </w:r>
      <w:r>
        <w:rPr>
          <w:spacing w:val="-7"/>
          <w:sz w:val="21"/>
          <w:vertAlign w:val="baseline"/>
        </w:rPr>
        <w:t> </w:t>
      </w:r>
      <w:r>
        <w:rPr>
          <w:sz w:val="21"/>
          <w:vertAlign w:val="baseline"/>
        </w:rPr>
        <w:t>of</w:t>
      </w:r>
      <w:r>
        <w:rPr>
          <w:spacing w:val="-8"/>
          <w:sz w:val="21"/>
          <w:vertAlign w:val="baseline"/>
        </w:rPr>
        <w:t> </w:t>
      </w:r>
      <w:r>
        <w:rPr>
          <w:sz w:val="21"/>
          <w:vertAlign w:val="baseline"/>
        </w:rPr>
        <w:t>the</w:t>
      </w:r>
      <w:r>
        <w:rPr>
          <w:spacing w:val="-7"/>
          <w:sz w:val="21"/>
          <w:vertAlign w:val="baseline"/>
        </w:rPr>
        <w:t> </w:t>
      </w:r>
      <w:r>
        <w:rPr>
          <w:sz w:val="21"/>
          <w:vertAlign w:val="baseline"/>
        </w:rPr>
        <w:t>city,</w:t>
      </w:r>
      <w:r>
        <w:rPr>
          <w:spacing w:val="-7"/>
          <w:sz w:val="21"/>
          <w:vertAlign w:val="baseline"/>
        </w:rPr>
        <w:t> </w:t>
      </w:r>
      <w:r>
        <w:rPr>
          <w:sz w:val="21"/>
          <w:vertAlign w:val="baseline"/>
        </w:rPr>
        <w:t>especially</w:t>
      </w:r>
      <w:r>
        <w:rPr>
          <w:spacing w:val="-7"/>
          <w:sz w:val="21"/>
          <w:vertAlign w:val="baseline"/>
        </w:rPr>
        <w:t> </w:t>
      </w:r>
      <w:r>
        <w:rPr>
          <w:sz w:val="21"/>
          <w:vertAlign w:val="baseline"/>
        </w:rPr>
        <w:t>those</w:t>
      </w:r>
      <w:r>
        <w:rPr>
          <w:spacing w:val="-7"/>
          <w:sz w:val="21"/>
          <w:vertAlign w:val="baseline"/>
        </w:rPr>
        <w:t> </w:t>
      </w:r>
      <w:r>
        <w:rPr>
          <w:sz w:val="21"/>
          <w:vertAlign w:val="baseline"/>
        </w:rPr>
        <w:t>without</w:t>
      </w:r>
      <w:r>
        <w:rPr>
          <w:spacing w:val="-6"/>
          <w:sz w:val="21"/>
          <w:vertAlign w:val="baseline"/>
        </w:rPr>
        <w:t> </w:t>
      </w:r>
      <w:r>
        <w:rPr>
          <w:sz w:val="21"/>
          <w:vertAlign w:val="baseline"/>
        </w:rPr>
        <w:t>other</w:t>
      </w:r>
      <w:r>
        <w:rPr>
          <w:spacing w:val="-8"/>
          <w:sz w:val="21"/>
          <w:vertAlign w:val="baseline"/>
        </w:rPr>
        <w:t> </w:t>
      </w:r>
      <w:r>
        <w:rPr>
          <w:sz w:val="21"/>
          <w:vertAlign w:val="baseline"/>
        </w:rPr>
        <w:t>means</w:t>
      </w:r>
      <w:r>
        <w:rPr>
          <w:spacing w:val="-7"/>
          <w:sz w:val="21"/>
          <w:vertAlign w:val="baseline"/>
        </w:rPr>
        <w:t> </w:t>
      </w:r>
      <w:r>
        <w:rPr>
          <w:sz w:val="21"/>
          <w:vertAlign w:val="baseline"/>
        </w:rPr>
        <w:t>of</w:t>
      </w:r>
      <w:r>
        <w:rPr>
          <w:spacing w:val="-7"/>
          <w:sz w:val="21"/>
          <w:vertAlign w:val="baseline"/>
        </w:rPr>
        <w:t> </w:t>
      </w:r>
      <w:r>
        <w:rPr>
          <w:sz w:val="21"/>
          <w:vertAlign w:val="baseline"/>
        </w:rPr>
        <w:t>transportation.</w:t>
      </w:r>
    </w:p>
    <w:p>
      <w:pPr>
        <w:spacing w:line="276" w:lineRule="auto" w:before="240"/>
        <w:ind w:left="464" w:right="199" w:firstLine="0"/>
        <w:jc w:val="both"/>
        <w:rPr>
          <w:sz w:val="21"/>
        </w:rPr>
      </w:pPr>
      <w:r>
        <w:rPr>
          <w:sz w:val="21"/>
        </w:rPr>
        <w:t>For</w:t>
      </w:r>
      <w:r>
        <w:rPr>
          <w:spacing w:val="-9"/>
          <w:sz w:val="21"/>
        </w:rPr>
        <w:t> </w:t>
      </w:r>
      <w:r>
        <w:rPr>
          <w:sz w:val="21"/>
        </w:rPr>
        <w:t>youth</w:t>
      </w:r>
      <w:r>
        <w:rPr>
          <w:spacing w:val="-9"/>
          <w:sz w:val="21"/>
        </w:rPr>
        <w:t> </w:t>
      </w:r>
      <w:r>
        <w:rPr>
          <w:sz w:val="21"/>
        </w:rPr>
        <w:t>who</w:t>
      </w:r>
      <w:r>
        <w:rPr>
          <w:spacing w:val="-9"/>
          <w:sz w:val="21"/>
        </w:rPr>
        <w:t> </w:t>
      </w:r>
      <w:r>
        <w:rPr>
          <w:sz w:val="21"/>
        </w:rPr>
        <w:t>come</w:t>
      </w:r>
      <w:r>
        <w:rPr>
          <w:spacing w:val="-9"/>
          <w:sz w:val="21"/>
        </w:rPr>
        <w:t> </w:t>
      </w:r>
      <w:r>
        <w:rPr>
          <w:sz w:val="21"/>
        </w:rPr>
        <w:t>from</w:t>
      </w:r>
      <w:r>
        <w:rPr>
          <w:spacing w:val="-9"/>
          <w:sz w:val="21"/>
        </w:rPr>
        <w:t> </w:t>
      </w:r>
      <w:r>
        <w:rPr>
          <w:sz w:val="21"/>
        </w:rPr>
        <w:t>low-income</w:t>
      </w:r>
      <w:r>
        <w:rPr>
          <w:spacing w:val="-9"/>
          <w:sz w:val="21"/>
        </w:rPr>
        <w:t> </w:t>
      </w:r>
      <w:r>
        <w:rPr>
          <w:sz w:val="21"/>
        </w:rPr>
        <w:t>socio-economic</w:t>
      </w:r>
      <w:r>
        <w:rPr>
          <w:spacing w:val="-9"/>
          <w:sz w:val="21"/>
        </w:rPr>
        <w:t> </w:t>
      </w:r>
      <w:r>
        <w:rPr>
          <w:sz w:val="21"/>
        </w:rPr>
        <w:t>backgrounds</w:t>
      </w:r>
      <w:r>
        <w:rPr>
          <w:spacing w:val="-9"/>
          <w:sz w:val="21"/>
        </w:rPr>
        <w:t> </w:t>
      </w:r>
      <w:r>
        <w:rPr>
          <w:sz w:val="21"/>
        </w:rPr>
        <w:t>and</w:t>
      </w:r>
      <w:r>
        <w:rPr>
          <w:spacing w:val="-9"/>
          <w:sz w:val="21"/>
        </w:rPr>
        <w:t> </w:t>
      </w:r>
      <w:r>
        <w:rPr>
          <w:sz w:val="21"/>
        </w:rPr>
        <w:t>for</w:t>
      </w:r>
      <w:r>
        <w:rPr>
          <w:spacing w:val="-9"/>
          <w:sz w:val="21"/>
        </w:rPr>
        <w:t> </w:t>
      </w:r>
      <w:r>
        <w:rPr>
          <w:sz w:val="21"/>
        </w:rPr>
        <w:t>those</w:t>
      </w:r>
      <w:r>
        <w:rPr>
          <w:spacing w:val="-9"/>
          <w:sz w:val="21"/>
        </w:rPr>
        <w:t> </w:t>
      </w:r>
      <w:r>
        <w:rPr>
          <w:sz w:val="21"/>
        </w:rPr>
        <w:t>without</w:t>
      </w:r>
      <w:r>
        <w:rPr>
          <w:spacing w:val="-9"/>
          <w:sz w:val="21"/>
        </w:rPr>
        <w:t> </w:t>
      </w:r>
      <w:r>
        <w:rPr>
          <w:sz w:val="21"/>
        </w:rPr>
        <w:t>familial</w:t>
      </w:r>
      <w:r>
        <w:rPr>
          <w:spacing w:val="-9"/>
          <w:sz w:val="21"/>
        </w:rPr>
        <w:t> </w:t>
      </w:r>
      <w:r>
        <w:rPr>
          <w:sz w:val="21"/>
        </w:rPr>
        <w:t>support, such as LGBTQ youth who have been rejected by their families based on their identity, purchasing a car is not</w:t>
      </w:r>
      <w:r>
        <w:rPr>
          <w:spacing w:val="-12"/>
          <w:sz w:val="21"/>
        </w:rPr>
        <w:t> </w:t>
      </w:r>
      <w:r>
        <w:rPr>
          <w:sz w:val="21"/>
        </w:rPr>
        <w:t>an</w:t>
      </w:r>
      <w:r>
        <w:rPr>
          <w:spacing w:val="-12"/>
          <w:sz w:val="21"/>
        </w:rPr>
        <w:t> </w:t>
      </w:r>
      <w:r>
        <w:rPr>
          <w:sz w:val="21"/>
        </w:rPr>
        <w:t>option.</w:t>
      </w:r>
      <w:r>
        <w:rPr>
          <w:spacing w:val="-12"/>
          <w:sz w:val="21"/>
        </w:rPr>
        <w:t> </w:t>
      </w:r>
      <w:r>
        <w:rPr>
          <w:sz w:val="21"/>
        </w:rPr>
        <w:t>The</w:t>
      </w:r>
      <w:r>
        <w:rPr>
          <w:spacing w:val="-12"/>
          <w:sz w:val="21"/>
        </w:rPr>
        <w:t> </w:t>
      </w:r>
      <w:r>
        <w:rPr>
          <w:sz w:val="21"/>
        </w:rPr>
        <w:t>reliance</w:t>
      </w:r>
      <w:r>
        <w:rPr>
          <w:spacing w:val="-12"/>
          <w:sz w:val="21"/>
        </w:rPr>
        <w:t> </w:t>
      </w:r>
      <w:r>
        <w:rPr>
          <w:sz w:val="21"/>
        </w:rPr>
        <w:t>of</w:t>
      </w:r>
      <w:r>
        <w:rPr>
          <w:spacing w:val="-12"/>
          <w:sz w:val="21"/>
        </w:rPr>
        <w:t> </w:t>
      </w:r>
      <w:r>
        <w:rPr>
          <w:sz w:val="21"/>
        </w:rPr>
        <w:t>marginalized</w:t>
      </w:r>
      <w:r>
        <w:rPr>
          <w:spacing w:val="-12"/>
          <w:sz w:val="21"/>
        </w:rPr>
        <w:t> </w:t>
      </w:r>
      <w:r>
        <w:rPr>
          <w:sz w:val="21"/>
        </w:rPr>
        <w:t>youth</w:t>
      </w:r>
      <w:r>
        <w:rPr>
          <w:spacing w:val="-11"/>
          <w:sz w:val="21"/>
        </w:rPr>
        <w:t> </w:t>
      </w:r>
      <w:r>
        <w:rPr>
          <w:sz w:val="21"/>
        </w:rPr>
        <w:t>on</w:t>
      </w:r>
      <w:r>
        <w:rPr>
          <w:spacing w:val="-12"/>
          <w:sz w:val="21"/>
        </w:rPr>
        <w:t> </w:t>
      </w:r>
      <w:r>
        <w:rPr>
          <w:sz w:val="21"/>
        </w:rPr>
        <w:t>public</w:t>
      </w:r>
      <w:r>
        <w:rPr>
          <w:spacing w:val="-12"/>
          <w:sz w:val="21"/>
        </w:rPr>
        <w:t> </w:t>
      </w:r>
      <w:r>
        <w:rPr>
          <w:sz w:val="21"/>
        </w:rPr>
        <w:t>transportation</w:t>
      </w:r>
      <w:r>
        <w:rPr>
          <w:spacing w:val="-12"/>
          <w:sz w:val="21"/>
        </w:rPr>
        <w:t> </w:t>
      </w:r>
      <w:r>
        <w:rPr>
          <w:sz w:val="21"/>
        </w:rPr>
        <w:t>underscores</w:t>
      </w:r>
      <w:r>
        <w:rPr>
          <w:spacing w:val="-12"/>
          <w:sz w:val="21"/>
        </w:rPr>
        <w:t> </w:t>
      </w:r>
      <w:r>
        <w:rPr>
          <w:sz w:val="21"/>
        </w:rPr>
        <w:t>the</w:t>
      </w:r>
      <w:r>
        <w:rPr>
          <w:spacing w:val="-12"/>
          <w:sz w:val="21"/>
        </w:rPr>
        <w:t> </w:t>
      </w:r>
      <w:r>
        <w:rPr>
          <w:sz w:val="21"/>
        </w:rPr>
        <w:t>need</w:t>
      </w:r>
      <w:r>
        <w:rPr>
          <w:spacing w:val="-12"/>
          <w:sz w:val="21"/>
        </w:rPr>
        <w:t> </w:t>
      </w:r>
      <w:r>
        <w:rPr>
          <w:sz w:val="21"/>
        </w:rPr>
        <w:t>to</w:t>
      </w:r>
      <w:r>
        <w:rPr>
          <w:spacing w:val="-12"/>
          <w:sz w:val="21"/>
        </w:rPr>
        <w:t> </w:t>
      </w:r>
      <w:r>
        <w:rPr>
          <w:sz w:val="21"/>
        </w:rPr>
        <w:t>improve the</w:t>
      </w:r>
      <w:r>
        <w:rPr>
          <w:spacing w:val="-8"/>
          <w:sz w:val="21"/>
        </w:rPr>
        <w:t> </w:t>
      </w:r>
      <w:r>
        <w:rPr>
          <w:sz w:val="21"/>
        </w:rPr>
        <w:t>MBTA</w:t>
      </w:r>
      <w:r>
        <w:rPr>
          <w:spacing w:val="-8"/>
          <w:sz w:val="21"/>
        </w:rPr>
        <w:t> </w:t>
      </w:r>
      <w:r>
        <w:rPr>
          <w:sz w:val="21"/>
        </w:rPr>
        <w:t>and</w:t>
      </w:r>
      <w:r>
        <w:rPr>
          <w:spacing w:val="-8"/>
          <w:sz w:val="21"/>
        </w:rPr>
        <w:t> </w:t>
      </w:r>
      <w:r>
        <w:rPr>
          <w:sz w:val="21"/>
        </w:rPr>
        <w:t>provide</w:t>
      </w:r>
      <w:r>
        <w:rPr>
          <w:spacing w:val="-8"/>
          <w:sz w:val="21"/>
        </w:rPr>
        <w:t> </w:t>
      </w:r>
      <w:r>
        <w:rPr>
          <w:sz w:val="21"/>
        </w:rPr>
        <w:t>additional</w:t>
      </w:r>
      <w:r>
        <w:rPr>
          <w:spacing w:val="-8"/>
          <w:sz w:val="21"/>
        </w:rPr>
        <w:t> </w:t>
      </w:r>
      <w:r>
        <w:rPr>
          <w:sz w:val="21"/>
        </w:rPr>
        <w:t>means</w:t>
      </w:r>
      <w:r>
        <w:rPr>
          <w:spacing w:val="-8"/>
          <w:sz w:val="21"/>
        </w:rPr>
        <w:t> </w:t>
      </w:r>
      <w:r>
        <w:rPr>
          <w:sz w:val="21"/>
        </w:rPr>
        <w:t>of</w:t>
      </w:r>
      <w:r>
        <w:rPr>
          <w:spacing w:val="-8"/>
          <w:sz w:val="21"/>
        </w:rPr>
        <w:t> </w:t>
      </w:r>
      <w:r>
        <w:rPr>
          <w:sz w:val="21"/>
        </w:rPr>
        <w:t>public</w:t>
      </w:r>
      <w:r>
        <w:rPr>
          <w:spacing w:val="-8"/>
          <w:sz w:val="21"/>
        </w:rPr>
        <w:t> </w:t>
      </w:r>
      <w:r>
        <w:rPr>
          <w:sz w:val="21"/>
        </w:rPr>
        <w:t>transit</w:t>
      </w:r>
      <w:r>
        <w:rPr>
          <w:spacing w:val="-8"/>
          <w:sz w:val="21"/>
        </w:rPr>
        <w:t> </w:t>
      </w:r>
      <w:r>
        <w:rPr>
          <w:sz w:val="21"/>
        </w:rPr>
        <w:t>until</w:t>
      </w:r>
      <w:r>
        <w:rPr>
          <w:spacing w:val="-8"/>
          <w:sz w:val="21"/>
        </w:rPr>
        <w:t> </w:t>
      </w:r>
      <w:r>
        <w:rPr>
          <w:sz w:val="21"/>
        </w:rPr>
        <w:t>improvements</w:t>
      </w:r>
      <w:r>
        <w:rPr>
          <w:spacing w:val="-8"/>
          <w:sz w:val="21"/>
        </w:rPr>
        <w:t> </w:t>
      </w:r>
      <w:r>
        <w:rPr>
          <w:sz w:val="21"/>
        </w:rPr>
        <w:t>have</w:t>
      </w:r>
      <w:r>
        <w:rPr>
          <w:spacing w:val="-8"/>
          <w:sz w:val="21"/>
        </w:rPr>
        <w:t> </w:t>
      </w:r>
      <w:r>
        <w:rPr>
          <w:sz w:val="21"/>
        </w:rPr>
        <w:t>been</w:t>
      </w:r>
      <w:r>
        <w:rPr>
          <w:spacing w:val="-8"/>
          <w:sz w:val="21"/>
        </w:rPr>
        <w:t> </w:t>
      </w:r>
      <w:r>
        <w:rPr>
          <w:sz w:val="21"/>
        </w:rPr>
        <w:t>fully</w:t>
      </w:r>
      <w:r>
        <w:rPr>
          <w:spacing w:val="-8"/>
          <w:sz w:val="21"/>
        </w:rPr>
        <w:t> </w:t>
      </w:r>
      <w:r>
        <w:rPr>
          <w:sz w:val="21"/>
        </w:rPr>
        <w:t>implemented. Considering</w:t>
      </w:r>
      <w:r>
        <w:rPr>
          <w:spacing w:val="-4"/>
          <w:sz w:val="21"/>
        </w:rPr>
        <w:t> </w:t>
      </w:r>
      <w:r>
        <w:rPr>
          <w:sz w:val="21"/>
        </w:rPr>
        <w:t>that</w:t>
      </w:r>
      <w:r>
        <w:rPr>
          <w:spacing w:val="-4"/>
          <w:sz w:val="21"/>
        </w:rPr>
        <w:t> </w:t>
      </w:r>
      <w:r>
        <w:rPr>
          <w:sz w:val="21"/>
        </w:rPr>
        <w:t>the</w:t>
      </w:r>
      <w:r>
        <w:rPr>
          <w:spacing w:val="-4"/>
          <w:sz w:val="21"/>
        </w:rPr>
        <w:t> </w:t>
      </w:r>
      <w:r>
        <w:rPr>
          <w:sz w:val="21"/>
        </w:rPr>
        <w:t>MBTA</w:t>
      </w:r>
      <w:r>
        <w:rPr>
          <w:spacing w:val="-5"/>
          <w:sz w:val="21"/>
        </w:rPr>
        <w:t> </w:t>
      </w:r>
      <w:r>
        <w:rPr>
          <w:sz w:val="21"/>
        </w:rPr>
        <w:t>reported</w:t>
      </w:r>
      <w:r>
        <w:rPr>
          <w:spacing w:val="-3"/>
          <w:sz w:val="21"/>
        </w:rPr>
        <w:t> </w:t>
      </w:r>
      <w:r>
        <w:rPr>
          <w:sz w:val="21"/>
        </w:rPr>
        <w:t>needing</w:t>
      </w:r>
      <w:r>
        <w:rPr>
          <w:spacing w:val="-4"/>
          <w:sz w:val="21"/>
        </w:rPr>
        <w:t> </w:t>
      </w:r>
      <w:r>
        <w:rPr>
          <w:sz w:val="21"/>
        </w:rPr>
        <w:t>$24.5</w:t>
      </w:r>
      <w:r>
        <w:rPr>
          <w:spacing w:val="-3"/>
          <w:sz w:val="21"/>
        </w:rPr>
        <w:t> </w:t>
      </w:r>
      <w:r>
        <w:rPr>
          <w:sz w:val="21"/>
        </w:rPr>
        <w:t>billion</w:t>
      </w:r>
      <w:r>
        <w:rPr>
          <w:spacing w:val="-3"/>
          <w:sz w:val="21"/>
        </w:rPr>
        <w:t> </w:t>
      </w:r>
      <w:r>
        <w:rPr>
          <w:sz w:val="21"/>
        </w:rPr>
        <w:t>to</w:t>
      </w:r>
      <w:r>
        <w:rPr>
          <w:spacing w:val="-3"/>
          <w:sz w:val="21"/>
        </w:rPr>
        <w:t> </w:t>
      </w:r>
      <w:r>
        <w:rPr>
          <w:sz w:val="21"/>
        </w:rPr>
        <w:t>fully</w:t>
      </w:r>
      <w:r>
        <w:rPr>
          <w:spacing w:val="-5"/>
          <w:sz w:val="21"/>
        </w:rPr>
        <w:t> </w:t>
      </w:r>
      <w:r>
        <w:rPr>
          <w:sz w:val="21"/>
        </w:rPr>
        <w:t>repair</w:t>
      </w:r>
      <w:r>
        <w:rPr>
          <w:spacing w:val="-3"/>
          <w:sz w:val="21"/>
        </w:rPr>
        <w:t> </w:t>
      </w:r>
      <w:r>
        <w:rPr>
          <w:sz w:val="21"/>
        </w:rPr>
        <w:t>its</w:t>
      </w:r>
      <w:r>
        <w:rPr>
          <w:spacing w:val="-5"/>
          <w:sz w:val="21"/>
        </w:rPr>
        <w:t> </w:t>
      </w:r>
      <w:r>
        <w:rPr>
          <w:sz w:val="21"/>
        </w:rPr>
        <w:t>system,</w:t>
      </w:r>
      <w:hyperlink w:history="true" w:anchor="_bookmark577">
        <w:r>
          <w:rPr>
            <w:sz w:val="21"/>
            <w:vertAlign w:val="superscript"/>
          </w:rPr>
          <w:t>23</w:t>
        </w:r>
      </w:hyperlink>
      <w:r>
        <w:rPr>
          <w:spacing w:val="-2"/>
          <w:sz w:val="21"/>
          <w:vertAlign w:val="baseline"/>
        </w:rPr>
        <w:t> </w:t>
      </w:r>
      <w:r>
        <w:rPr>
          <w:sz w:val="21"/>
          <w:vertAlign w:val="baseline"/>
        </w:rPr>
        <w:t>commuters</w:t>
      </w:r>
      <w:r>
        <w:rPr>
          <w:spacing w:val="-5"/>
          <w:sz w:val="21"/>
          <w:vertAlign w:val="baseline"/>
        </w:rPr>
        <w:t> </w:t>
      </w:r>
      <w:r>
        <w:rPr>
          <w:sz w:val="21"/>
          <w:vertAlign w:val="baseline"/>
        </w:rPr>
        <w:t>will</w:t>
      </w:r>
      <w:r>
        <w:rPr>
          <w:spacing w:val="-3"/>
          <w:sz w:val="21"/>
          <w:vertAlign w:val="baseline"/>
        </w:rPr>
        <w:t> </w:t>
      </w:r>
      <w:r>
        <w:rPr>
          <w:sz w:val="21"/>
          <w:vertAlign w:val="baseline"/>
        </w:rPr>
        <w:t>likely suffer from public transportation issues for the near future.</w:t>
      </w:r>
    </w:p>
    <w:p>
      <w:pPr>
        <w:spacing w:line="276" w:lineRule="auto" w:before="240"/>
        <w:ind w:left="464" w:right="199" w:firstLine="0"/>
        <w:jc w:val="both"/>
        <w:rPr>
          <w:sz w:val="21"/>
        </w:rPr>
      </w:pPr>
      <w:r>
        <w:rPr>
          <w:sz w:val="21"/>
        </w:rPr>
        <w:t>Public</w:t>
      </w:r>
      <w:r>
        <w:rPr>
          <w:spacing w:val="-4"/>
          <w:sz w:val="21"/>
        </w:rPr>
        <w:t> </w:t>
      </w:r>
      <w:r>
        <w:rPr>
          <w:sz w:val="21"/>
        </w:rPr>
        <w:t>transportation</w:t>
      </w:r>
      <w:r>
        <w:rPr>
          <w:spacing w:val="-4"/>
          <w:sz w:val="21"/>
        </w:rPr>
        <w:t> </w:t>
      </w:r>
      <w:r>
        <w:rPr>
          <w:sz w:val="21"/>
        </w:rPr>
        <w:t>is</w:t>
      </w:r>
      <w:r>
        <w:rPr>
          <w:spacing w:val="-5"/>
          <w:sz w:val="21"/>
        </w:rPr>
        <w:t> </w:t>
      </w:r>
      <w:r>
        <w:rPr>
          <w:sz w:val="21"/>
        </w:rPr>
        <w:t>even</w:t>
      </w:r>
      <w:r>
        <w:rPr>
          <w:spacing w:val="-5"/>
          <w:sz w:val="21"/>
        </w:rPr>
        <w:t> </w:t>
      </w:r>
      <w:r>
        <w:rPr>
          <w:sz w:val="21"/>
        </w:rPr>
        <w:t>less</w:t>
      </w:r>
      <w:r>
        <w:rPr>
          <w:spacing w:val="-5"/>
          <w:sz w:val="21"/>
        </w:rPr>
        <w:t> </w:t>
      </w:r>
      <w:r>
        <w:rPr>
          <w:sz w:val="21"/>
        </w:rPr>
        <w:t>accessible</w:t>
      </w:r>
      <w:r>
        <w:rPr>
          <w:spacing w:val="-4"/>
          <w:sz w:val="21"/>
        </w:rPr>
        <w:t> </w:t>
      </w:r>
      <w:r>
        <w:rPr>
          <w:sz w:val="21"/>
        </w:rPr>
        <w:t>for</w:t>
      </w:r>
      <w:r>
        <w:rPr>
          <w:spacing w:val="-4"/>
          <w:sz w:val="21"/>
        </w:rPr>
        <w:t> </w:t>
      </w:r>
      <w:r>
        <w:rPr>
          <w:sz w:val="21"/>
        </w:rPr>
        <w:t>those</w:t>
      </w:r>
      <w:r>
        <w:rPr>
          <w:spacing w:val="-4"/>
          <w:sz w:val="21"/>
        </w:rPr>
        <w:t> </w:t>
      </w:r>
      <w:r>
        <w:rPr>
          <w:sz w:val="21"/>
        </w:rPr>
        <w:t>in</w:t>
      </w:r>
      <w:r>
        <w:rPr>
          <w:spacing w:val="-5"/>
          <w:sz w:val="21"/>
        </w:rPr>
        <w:t> </w:t>
      </w:r>
      <w:r>
        <w:rPr>
          <w:sz w:val="21"/>
        </w:rPr>
        <w:t>Western</w:t>
      </w:r>
      <w:r>
        <w:rPr>
          <w:spacing w:val="-4"/>
          <w:sz w:val="21"/>
        </w:rPr>
        <w:t> </w:t>
      </w:r>
      <w:r>
        <w:rPr>
          <w:sz w:val="21"/>
        </w:rPr>
        <w:t>MA</w:t>
      </w:r>
      <w:r>
        <w:rPr>
          <w:spacing w:val="-6"/>
          <w:sz w:val="21"/>
        </w:rPr>
        <w:t> </w:t>
      </w:r>
      <w:r>
        <w:rPr>
          <w:sz w:val="21"/>
        </w:rPr>
        <w:t>and</w:t>
      </w:r>
      <w:r>
        <w:rPr>
          <w:spacing w:val="-4"/>
          <w:sz w:val="21"/>
        </w:rPr>
        <w:t> </w:t>
      </w:r>
      <w:r>
        <w:rPr>
          <w:sz w:val="21"/>
        </w:rPr>
        <w:t>rural</w:t>
      </w:r>
      <w:r>
        <w:rPr>
          <w:spacing w:val="-6"/>
          <w:sz w:val="21"/>
        </w:rPr>
        <w:t> </w:t>
      </w:r>
      <w:r>
        <w:rPr>
          <w:sz w:val="21"/>
        </w:rPr>
        <w:t>areas.</w:t>
      </w:r>
      <w:r>
        <w:rPr>
          <w:spacing w:val="-4"/>
          <w:sz w:val="21"/>
        </w:rPr>
        <w:t> </w:t>
      </w:r>
      <w:r>
        <w:rPr>
          <w:sz w:val="21"/>
        </w:rPr>
        <w:t>Those</w:t>
      </w:r>
      <w:r>
        <w:rPr>
          <w:spacing w:val="-4"/>
          <w:sz w:val="21"/>
        </w:rPr>
        <w:t> </w:t>
      </w:r>
      <w:r>
        <w:rPr>
          <w:sz w:val="21"/>
        </w:rPr>
        <w:t>who</w:t>
      </w:r>
      <w:r>
        <w:rPr>
          <w:spacing w:val="-4"/>
          <w:sz w:val="21"/>
        </w:rPr>
        <w:t> </w:t>
      </w:r>
      <w:r>
        <w:rPr>
          <w:sz w:val="21"/>
        </w:rPr>
        <w:t>commute to Boston for work may have to drive</w:t>
      </w:r>
      <w:r>
        <w:rPr>
          <w:spacing w:val="-1"/>
          <w:sz w:val="21"/>
        </w:rPr>
        <w:t> </w:t>
      </w:r>
      <w:r>
        <w:rPr>
          <w:sz w:val="21"/>
        </w:rPr>
        <w:t>hundreds of miles and spend</w:t>
      </w:r>
      <w:r>
        <w:rPr>
          <w:spacing w:val="-1"/>
          <w:sz w:val="21"/>
        </w:rPr>
        <w:t> </w:t>
      </w:r>
      <w:r>
        <w:rPr>
          <w:sz w:val="21"/>
        </w:rPr>
        <w:t>hundreds of dollars on gas alone every week, before even taking into consideration the cost of parking.</w:t>
      </w:r>
      <w:hyperlink w:history="true" w:anchor="_bookmark578">
        <w:r>
          <w:rPr>
            <w:sz w:val="21"/>
            <w:vertAlign w:val="superscript"/>
          </w:rPr>
          <w:t>24</w:t>
        </w:r>
      </w:hyperlink>
      <w:r>
        <w:rPr>
          <w:spacing w:val="-1"/>
          <w:sz w:val="21"/>
          <w:vertAlign w:val="baseline"/>
        </w:rPr>
        <w:t> </w:t>
      </w:r>
      <w:r>
        <w:rPr>
          <w:sz w:val="21"/>
          <w:vertAlign w:val="baseline"/>
        </w:rPr>
        <w:t>With the contrast between job market growth</w:t>
      </w:r>
      <w:r>
        <w:rPr>
          <w:spacing w:val="24"/>
          <w:sz w:val="21"/>
          <w:vertAlign w:val="baseline"/>
        </w:rPr>
        <w:t> </w:t>
      </w:r>
      <w:r>
        <w:rPr>
          <w:sz w:val="21"/>
          <w:vertAlign w:val="baseline"/>
        </w:rPr>
        <w:t>in</w:t>
      </w:r>
      <w:r>
        <w:rPr>
          <w:spacing w:val="24"/>
          <w:sz w:val="21"/>
          <w:vertAlign w:val="baseline"/>
        </w:rPr>
        <w:t> </w:t>
      </w:r>
      <w:r>
        <w:rPr>
          <w:sz w:val="21"/>
          <w:vertAlign w:val="baseline"/>
        </w:rPr>
        <w:t>Boston</w:t>
      </w:r>
      <w:r>
        <w:rPr>
          <w:spacing w:val="24"/>
          <w:sz w:val="21"/>
          <w:vertAlign w:val="baseline"/>
        </w:rPr>
        <w:t> </w:t>
      </w:r>
      <w:r>
        <w:rPr>
          <w:sz w:val="21"/>
          <w:vertAlign w:val="baseline"/>
        </w:rPr>
        <w:t>and</w:t>
      </w:r>
      <w:r>
        <w:rPr>
          <w:spacing w:val="23"/>
          <w:sz w:val="21"/>
          <w:vertAlign w:val="baseline"/>
        </w:rPr>
        <w:t> </w:t>
      </w:r>
      <w:r>
        <w:rPr>
          <w:sz w:val="21"/>
          <w:vertAlign w:val="baseline"/>
        </w:rPr>
        <w:t>decline</w:t>
      </w:r>
      <w:r>
        <w:rPr>
          <w:spacing w:val="24"/>
          <w:sz w:val="21"/>
          <w:vertAlign w:val="baseline"/>
        </w:rPr>
        <w:t> </w:t>
      </w:r>
      <w:r>
        <w:rPr>
          <w:sz w:val="21"/>
          <w:vertAlign w:val="baseline"/>
        </w:rPr>
        <w:t>in</w:t>
      </w:r>
      <w:r>
        <w:rPr>
          <w:spacing w:val="24"/>
          <w:sz w:val="21"/>
          <w:vertAlign w:val="baseline"/>
        </w:rPr>
        <w:t> </w:t>
      </w:r>
      <w:r>
        <w:rPr>
          <w:sz w:val="21"/>
          <w:vertAlign w:val="baseline"/>
        </w:rPr>
        <w:t>Western</w:t>
      </w:r>
      <w:r>
        <w:rPr>
          <w:spacing w:val="24"/>
          <w:sz w:val="21"/>
          <w:vertAlign w:val="baseline"/>
        </w:rPr>
        <w:t> </w:t>
      </w:r>
      <w:r>
        <w:rPr>
          <w:sz w:val="21"/>
          <w:vertAlign w:val="baseline"/>
        </w:rPr>
        <w:t>MA,</w:t>
      </w:r>
      <w:r>
        <w:rPr>
          <w:spacing w:val="23"/>
          <w:sz w:val="21"/>
          <w:vertAlign w:val="baseline"/>
        </w:rPr>
        <w:t> </w:t>
      </w:r>
      <w:r>
        <w:rPr>
          <w:sz w:val="21"/>
          <w:vertAlign w:val="baseline"/>
        </w:rPr>
        <w:t>workers</w:t>
      </w:r>
      <w:r>
        <w:rPr>
          <w:spacing w:val="23"/>
          <w:sz w:val="21"/>
          <w:vertAlign w:val="baseline"/>
        </w:rPr>
        <w:t> </w:t>
      </w:r>
      <w:r>
        <w:rPr>
          <w:sz w:val="21"/>
          <w:vertAlign w:val="baseline"/>
        </w:rPr>
        <w:t>who</w:t>
      </w:r>
      <w:r>
        <w:rPr>
          <w:spacing w:val="24"/>
          <w:sz w:val="21"/>
          <w:vertAlign w:val="baseline"/>
        </w:rPr>
        <w:t> </w:t>
      </w:r>
      <w:r>
        <w:rPr>
          <w:sz w:val="21"/>
          <w:vertAlign w:val="baseline"/>
        </w:rPr>
        <w:t>seek</w:t>
      </w:r>
      <w:r>
        <w:rPr>
          <w:spacing w:val="24"/>
          <w:sz w:val="21"/>
          <w:vertAlign w:val="baseline"/>
        </w:rPr>
        <w:t> </w:t>
      </w:r>
      <w:r>
        <w:rPr>
          <w:sz w:val="21"/>
          <w:vertAlign w:val="baseline"/>
        </w:rPr>
        <w:t>a</w:t>
      </w:r>
      <w:r>
        <w:rPr>
          <w:spacing w:val="23"/>
          <w:sz w:val="21"/>
          <w:vertAlign w:val="baseline"/>
        </w:rPr>
        <w:t> </w:t>
      </w:r>
      <w:r>
        <w:rPr>
          <w:sz w:val="21"/>
          <w:vertAlign w:val="baseline"/>
        </w:rPr>
        <w:t>career</w:t>
      </w:r>
      <w:r>
        <w:rPr>
          <w:spacing w:val="24"/>
          <w:sz w:val="21"/>
          <w:vertAlign w:val="baseline"/>
        </w:rPr>
        <w:t> </w:t>
      </w:r>
      <w:r>
        <w:rPr>
          <w:sz w:val="21"/>
          <w:vertAlign w:val="baseline"/>
        </w:rPr>
        <w:t>instead</w:t>
      </w:r>
      <w:r>
        <w:rPr>
          <w:spacing w:val="24"/>
          <w:sz w:val="21"/>
          <w:vertAlign w:val="baseline"/>
        </w:rPr>
        <w:t> </w:t>
      </w:r>
      <w:r>
        <w:rPr>
          <w:sz w:val="21"/>
          <w:vertAlign w:val="baseline"/>
        </w:rPr>
        <w:t>of</w:t>
      </w:r>
      <w:r>
        <w:rPr>
          <w:spacing w:val="23"/>
          <w:sz w:val="21"/>
          <w:vertAlign w:val="baseline"/>
        </w:rPr>
        <w:t> </w:t>
      </w:r>
      <w:r>
        <w:rPr>
          <w:sz w:val="21"/>
          <w:vertAlign w:val="baseline"/>
        </w:rPr>
        <w:t>a</w:t>
      </w:r>
      <w:r>
        <w:rPr>
          <w:spacing w:val="23"/>
          <w:sz w:val="21"/>
          <w:vertAlign w:val="baseline"/>
        </w:rPr>
        <w:t> </w:t>
      </w:r>
      <w:r>
        <w:rPr>
          <w:sz w:val="21"/>
          <w:vertAlign w:val="baseline"/>
        </w:rPr>
        <w:t>minimum</w:t>
      </w:r>
      <w:r>
        <w:rPr>
          <w:spacing w:val="24"/>
          <w:sz w:val="21"/>
          <w:vertAlign w:val="baseline"/>
        </w:rPr>
        <w:t> </w:t>
      </w:r>
      <w:r>
        <w:rPr>
          <w:sz w:val="21"/>
          <w:vertAlign w:val="baseline"/>
        </w:rPr>
        <w:t>wage</w:t>
      </w:r>
    </w:p>
    <w:p>
      <w:pPr>
        <w:spacing w:after="0" w:line="276" w:lineRule="auto"/>
        <w:jc w:val="both"/>
        <w:rPr>
          <w:sz w:val="21"/>
        </w:rPr>
        <w:sectPr>
          <w:pgSz w:w="12240" w:h="15840"/>
          <w:pgMar w:header="763" w:footer="1041" w:top="1380" w:bottom="1240" w:left="1120" w:right="1380"/>
        </w:sectPr>
      </w:pPr>
    </w:p>
    <w:p>
      <w:pPr>
        <w:spacing w:line="276" w:lineRule="auto" w:before="47"/>
        <w:ind w:left="464" w:right="199" w:hanging="1"/>
        <w:jc w:val="both"/>
        <w:rPr>
          <w:sz w:val="21"/>
        </w:rPr>
      </w:pPr>
      <w:r>
        <w:rPr>
          <w:sz w:val="21"/>
        </w:rPr>
        <w:t>position may have no option but to commute to the city; this leaves behind those from marginalized communities</w:t>
      </w:r>
      <w:r>
        <w:rPr>
          <w:spacing w:val="-5"/>
          <w:sz w:val="21"/>
        </w:rPr>
        <w:t> </w:t>
      </w:r>
      <w:r>
        <w:rPr>
          <w:sz w:val="21"/>
        </w:rPr>
        <w:t>in</w:t>
      </w:r>
      <w:r>
        <w:rPr>
          <w:spacing w:val="-4"/>
          <w:sz w:val="21"/>
        </w:rPr>
        <w:t> </w:t>
      </w:r>
      <w:r>
        <w:rPr>
          <w:sz w:val="21"/>
        </w:rPr>
        <w:t>Western</w:t>
      </w:r>
      <w:r>
        <w:rPr>
          <w:spacing w:val="-6"/>
          <w:sz w:val="21"/>
        </w:rPr>
        <w:t> </w:t>
      </w:r>
      <w:r>
        <w:rPr>
          <w:sz w:val="21"/>
        </w:rPr>
        <w:t>MA</w:t>
      </w:r>
      <w:r>
        <w:rPr>
          <w:spacing w:val="-5"/>
          <w:sz w:val="21"/>
        </w:rPr>
        <w:t> </w:t>
      </w:r>
      <w:r>
        <w:rPr>
          <w:sz w:val="21"/>
        </w:rPr>
        <w:t>and</w:t>
      </w:r>
      <w:r>
        <w:rPr>
          <w:spacing w:val="-4"/>
          <w:sz w:val="21"/>
        </w:rPr>
        <w:t> </w:t>
      </w:r>
      <w:r>
        <w:rPr>
          <w:sz w:val="21"/>
        </w:rPr>
        <w:t>rural</w:t>
      </w:r>
      <w:r>
        <w:rPr>
          <w:spacing w:val="-6"/>
          <w:sz w:val="21"/>
        </w:rPr>
        <w:t> </w:t>
      </w:r>
      <w:r>
        <w:rPr>
          <w:sz w:val="21"/>
        </w:rPr>
        <w:t>areas</w:t>
      </w:r>
      <w:r>
        <w:rPr>
          <w:spacing w:val="-5"/>
          <w:sz w:val="21"/>
        </w:rPr>
        <w:t> </w:t>
      </w:r>
      <w:r>
        <w:rPr>
          <w:sz w:val="21"/>
        </w:rPr>
        <w:t>who</w:t>
      </w:r>
      <w:r>
        <w:rPr>
          <w:spacing w:val="-5"/>
          <w:sz w:val="21"/>
        </w:rPr>
        <w:t> </w:t>
      </w:r>
      <w:r>
        <w:rPr>
          <w:sz w:val="21"/>
        </w:rPr>
        <w:t>cannot</w:t>
      </w:r>
      <w:r>
        <w:rPr>
          <w:spacing w:val="-4"/>
          <w:sz w:val="21"/>
        </w:rPr>
        <w:t> </w:t>
      </w:r>
      <w:r>
        <w:rPr>
          <w:sz w:val="21"/>
        </w:rPr>
        <w:t>finance</w:t>
      </w:r>
      <w:r>
        <w:rPr>
          <w:spacing w:val="-4"/>
          <w:sz w:val="21"/>
        </w:rPr>
        <w:t> </w:t>
      </w:r>
      <w:r>
        <w:rPr>
          <w:sz w:val="21"/>
        </w:rPr>
        <w:t>a</w:t>
      </w:r>
      <w:r>
        <w:rPr>
          <w:spacing w:val="-5"/>
          <w:sz w:val="21"/>
        </w:rPr>
        <w:t> </w:t>
      </w:r>
      <w:r>
        <w:rPr>
          <w:sz w:val="21"/>
        </w:rPr>
        <w:t>car,</w:t>
      </w:r>
      <w:r>
        <w:rPr>
          <w:spacing w:val="-4"/>
          <w:sz w:val="21"/>
        </w:rPr>
        <w:t> </w:t>
      </w:r>
      <w:r>
        <w:rPr>
          <w:sz w:val="21"/>
        </w:rPr>
        <w:t>driving</w:t>
      </w:r>
      <w:r>
        <w:rPr>
          <w:spacing w:val="-5"/>
          <w:sz w:val="21"/>
        </w:rPr>
        <w:t> </w:t>
      </w:r>
      <w:r>
        <w:rPr>
          <w:sz w:val="21"/>
        </w:rPr>
        <w:t>hundreds</w:t>
      </w:r>
      <w:r>
        <w:rPr>
          <w:spacing w:val="-5"/>
          <w:sz w:val="21"/>
        </w:rPr>
        <w:t> </w:t>
      </w:r>
      <w:r>
        <w:rPr>
          <w:sz w:val="21"/>
        </w:rPr>
        <w:t>of</w:t>
      </w:r>
      <w:r>
        <w:rPr>
          <w:spacing w:val="-5"/>
          <w:sz w:val="21"/>
        </w:rPr>
        <w:t> </w:t>
      </w:r>
      <w:r>
        <w:rPr>
          <w:sz w:val="21"/>
        </w:rPr>
        <w:t>miles</w:t>
      </w:r>
      <w:r>
        <w:rPr>
          <w:spacing w:val="-5"/>
          <w:sz w:val="21"/>
        </w:rPr>
        <w:t> </w:t>
      </w:r>
      <w:r>
        <w:rPr>
          <w:sz w:val="21"/>
        </w:rPr>
        <w:t>per</w:t>
      </w:r>
      <w:r>
        <w:rPr>
          <w:spacing w:val="-4"/>
          <w:sz w:val="21"/>
        </w:rPr>
        <w:t> </w:t>
      </w:r>
      <w:r>
        <w:rPr>
          <w:sz w:val="21"/>
        </w:rPr>
        <w:t>week, and the high cost of parking in Boston. Youth workers in high school and at the start of their careers may lack</w:t>
      </w:r>
      <w:r>
        <w:rPr>
          <w:spacing w:val="-3"/>
          <w:sz w:val="21"/>
        </w:rPr>
        <w:t> </w:t>
      </w:r>
      <w:r>
        <w:rPr>
          <w:sz w:val="21"/>
        </w:rPr>
        <w:t>the</w:t>
      </w:r>
      <w:r>
        <w:rPr>
          <w:spacing w:val="-3"/>
          <w:sz w:val="21"/>
        </w:rPr>
        <w:t> </w:t>
      </w:r>
      <w:r>
        <w:rPr>
          <w:sz w:val="21"/>
        </w:rPr>
        <w:t>resources</w:t>
      </w:r>
      <w:r>
        <w:rPr>
          <w:spacing w:val="-4"/>
          <w:sz w:val="21"/>
        </w:rPr>
        <w:t> </w:t>
      </w:r>
      <w:r>
        <w:rPr>
          <w:sz w:val="21"/>
        </w:rPr>
        <w:t>necessary</w:t>
      </w:r>
      <w:r>
        <w:rPr>
          <w:spacing w:val="-3"/>
          <w:sz w:val="21"/>
        </w:rPr>
        <w:t> </w:t>
      </w:r>
      <w:r>
        <w:rPr>
          <w:sz w:val="21"/>
        </w:rPr>
        <w:t>to</w:t>
      </w:r>
      <w:r>
        <w:rPr>
          <w:spacing w:val="-3"/>
          <w:sz w:val="21"/>
        </w:rPr>
        <w:t> </w:t>
      </w:r>
      <w:r>
        <w:rPr>
          <w:sz w:val="21"/>
        </w:rPr>
        <w:t>regularly</w:t>
      </w:r>
      <w:r>
        <w:rPr>
          <w:spacing w:val="-2"/>
          <w:sz w:val="21"/>
        </w:rPr>
        <w:t> </w:t>
      </w:r>
      <w:r>
        <w:rPr>
          <w:sz w:val="21"/>
        </w:rPr>
        <w:t>commute</w:t>
      </w:r>
      <w:r>
        <w:rPr>
          <w:spacing w:val="-3"/>
          <w:sz w:val="21"/>
        </w:rPr>
        <w:t> </w:t>
      </w:r>
      <w:r>
        <w:rPr>
          <w:sz w:val="21"/>
        </w:rPr>
        <w:t>to</w:t>
      </w:r>
      <w:r>
        <w:rPr>
          <w:spacing w:val="-3"/>
          <w:sz w:val="21"/>
        </w:rPr>
        <w:t> </w:t>
      </w:r>
      <w:r>
        <w:rPr>
          <w:sz w:val="21"/>
        </w:rPr>
        <w:t>the</w:t>
      </w:r>
      <w:r>
        <w:rPr>
          <w:spacing w:val="-3"/>
          <w:sz w:val="21"/>
        </w:rPr>
        <w:t> </w:t>
      </w:r>
      <w:r>
        <w:rPr>
          <w:sz w:val="21"/>
        </w:rPr>
        <w:t>city.</w:t>
      </w:r>
      <w:r>
        <w:rPr>
          <w:spacing w:val="-3"/>
          <w:sz w:val="21"/>
        </w:rPr>
        <w:t> </w:t>
      </w:r>
      <w:r>
        <w:rPr>
          <w:sz w:val="21"/>
        </w:rPr>
        <w:t>Additional</w:t>
      </w:r>
      <w:r>
        <w:rPr>
          <w:spacing w:val="-3"/>
          <w:sz w:val="21"/>
        </w:rPr>
        <w:t> </w:t>
      </w:r>
      <w:r>
        <w:rPr>
          <w:sz w:val="21"/>
        </w:rPr>
        <w:t>resources</w:t>
      </w:r>
      <w:r>
        <w:rPr>
          <w:spacing w:val="-4"/>
          <w:sz w:val="21"/>
        </w:rPr>
        <w:t> </w:t>
      </w:r>
      <w:r>
        <w:rPr>
          <w:sz w:val="21"/>
        </w:rPr>
        <w:t>should</w:t>
      </w:r>
      <w:r>
        <w:rPr>
          <w:spacing w:val="-3"/>
          <w:sz w:val="21"/>
        </w:rPr>
        <w:t> </w:t>
      </w:r>
      <w:r>
        <w:rPr>
          <w:sz w:val="21"/>
        </w:rPr>
        <w:t>be</w:t>
      </w:r>
      <w:r>
        <w:rPr>
          <w:spacing w:val="-3"/>
          <w:sz w:val="21"/>
        </w:rPr>
        <w:t> </w:t>
      </w:r>
      <w:r>
        <w:rPr>
          <w:sz w:val="21"/>
        </w:rPr>
        <w:t>provided</w:t>
      </w:r>
      <w:r>
        <w:rPr>
          <w:spacing w:val="-3"/>
          <w:sz w:val="21"/>
        </w:rPr>
        <w:t> </w:t>
      </w:r>
      <w:r>
        <w:rPr>
          <w:sz w:val="21"/>
        </w:rPr>
        <w:t>for employment transportation in support of workplace development for youth.</w:t>
      </w:r>
    </w:p>
    <w:p>
      <w:pPr>
        <w:spacing w:before="239"/>
        <w:ind w:left="464" w:right="0" w:firstLine="0"/>
        <w:jc w:val="both"/>
        <w:rPr>
          <w:sz w:val="28"/>
        </w:rPr>
      </w:pPr>
      <w:bookmarkStart w:name="Housing and Rental Markets" w:id="838"/>
      <w:bookmarkEnd w:id="838"/>
      <w:r>
        <w:rPr/>
      </w:r>
      <w:r>
        <w:rPr>
          <w:color w:val="365F91"/>
          <w:sz w:val="28"/>
        </w:rPr>
        <w:t>Housing</w:t>
      </w:r>
      <w:r>
        <w:rPr>
          <w:color w:val="365F91"/>
          <w:spacing w:val="-9"/>
          <w:sz w:val="28"/>
        </w:rPr>
        <w:t> </w:t>
      </w:r>
      <w:r>
        <w:rPr>
          <w:color w:val="365F91"/>
          <w:sz w:val="28"/>
        </w:rPr>
        <w:t>and</w:t>
      </w:r>
      <w:r>
        <w:rPr>
          <w:color w:val="365F91"/>
          <w:spacing w:val="-10"/>
          <w:sz w:val="28"/>
        </w:rPr>
        <w:t> </w:t>
      </w:r>
      <w:r>
        <w:rPr>
          <w:color w:val="365F91"/>
          <w:sz w:val="28"/>
        </w:rPr>
        <w:t>Rental</w:t>
      </w:r>
      <w:r>
        <w:rPr>
          <w:color w:val="365F91"/>
          <w:spacing w:val="-7"/>
          <w:sz w:val="28"/>
        </w:rPr>
        <w:t> </w:t>
      </w:r>
      <w:r>
        <w:rPr>
          <w:color w:val="365F91"/>
          <w:spacing w:val="-2"/>
          <w:sz w:val="28"/>
        </w:rPr>
        <w:t>Markets</w:t>
      </w:r>
    </w:p>
    <w:p>
      <w:pPr>
        <w:spacing w:line="276" w:lineRule="auto" w:before="293"/>
        <w:ind w:left="463" w:right="201" w:firstLine="0"/>
        <w:jc w:val="both"/>
        <w:rPr>
          <w:sz w:val="21"/>
        </w:rPr>
      </w:pPr>
      <w:r>
        <w:rPr>
          <w:sz w:val="21"/>
        </w:rPr>
        <w:t>Despite the difficulties of commuting into the city, many choose the commute over the increasingly expensive costs of buying a home or renting an apartment in or near Boston. The MA housing market has seen</w:t>
      </w:r>
      <w:r>
        <w:rPr>
          <w:spacing w:val="-7"/>
          <w:sz w:val="21"/>
        </w:rPr>
        <w:t> </w:t>
      </w:r>
      <w:r>
        <w:rPr>
          <w:sz w:val="21"/>
        </w:rPr>
        <w:t>a</w:t>
      </w:r>
      <w:r>
        <w:rPr>
          <w:spacing w:val="-6"/>
          <w:sz w:val="21"/>
        </w:rPr>
        <w:t> </w:t>
      </w:r>
      <w:r>
        <w:rPr>
          <w:sz w:val="21"/>
        </w:rPr>
        <w:t>9.7%</w:t>
      </w:r>
      <w:r>
        <w:rPr>
          <w:spacing w:val="-8"/>
          <w:sz w:val="21"/>
        </w:rPr>
        <w:t> </w:t>
      </w:r>
      <w:r>
        <w:rPr>
          <w:sz w:val="21"/>
        </w:rPr>
        <w:t>increase</w:t>
      </w:r>
      <w:r>
        <w:rPr>
          <w:spacing w:val="-7"/>
          <w:sz w:val="21"/>
        </w:rPr>
        <w:t> </w:t>
      </w:r>
      <w:r>
        <w:rPr>
          <w:sz w:val="21"/>
        </w:rPr>
        <w:t>in</w:t>
      </w:r>
      <w:r>
        <w:rPr>
          <w:spacing w:val="-7"/>
          <w:sz w:val="21"/>
        </w:rPr>
        <w:t> </w:t>
      </w:r>
      <w:r>
        <w:rPr>
          <w:sz w:val="21"/>
        </w:rPr>
        <w:t>the</w:t>
      </w:r>
      <w:r>
        <w:rPr>
          <w:spacing w:val="-9"/>
          <w:sz w:val="21"/>
        </w:rPr>
        <w:t> </w:t>
      </w:r>
      <w:r>
        <w:rPr>
          <w:sz w:val="21"/>
        </w:rPr>
        <w:t>median</w:t>
      </w:r>
      <w:r>
        <w:rPr>
          <w:spacing w:val="-7"/>
          <w:sz w:val="21"/>
        </w:rPr>
        <w:t> </w:t>
      </w:r>
      <w:r>
        <w:rPr>
          <w:sz w:val="21"/>
        </w:rPr>
        <w:t>price</w:t>
      </w:r>
      <w:r>
        <w:rPr>
          <w:spacing w:val="-8"/>
          <w:sz w:val="21"/>
        </w:rPr>
        <w:t> </w:t>
      </w:r>
      <w:r>
        <w:rPr>
          <w:sz w:val="21"/>
        </w:rPr>
        <w:t>of</w:t>
      </w:r>
      <w:r>
        <w:rPr>
          <w:spacing w:val="-7"/>
          <w:sz w:val="21"/>
        </w:rPr>
        <w:t> </w:t>
      </w:r>
      <w:r>
        <w:rPr>
          <w:sz w:val="21"/>
        </w:rPr>
        <w:t>homes</w:t>
      </w:r>
      <w:r>
        <w:rPr>
          <w:spacing w:val="-7"/>
          <w:sz w:val="21"/>
        </w:rPr>
        <w:t> </w:t>
      </w:r>
      <w:r>
        <w:rPr>
          <w:sz w:val="21"/>
        </w:rPr>
        <w:t>in</w:t>
      </w:r>
      <w:r>
        <w:rPr>
          <w:spacing w:val="-7"/>
          <w:sz w:val="21"/>
        </w:rPr>
        <w:t> </w:t>
      </w:r>
      <w:r>
        <w:rPr>
          <w:sz w:val="21"/>
        </w:rPr>
        <w:t>February</w:t>
      </w:r>
      <w:r>
        <w:rPr>
          <w:spacing w:val="-7"/>
          <w:sz w:val="21"/>
        </w:rPr>
        <w:t> </w:t>
      </w:r>
      <w:r>
        <w:rPr>
          <w:sz w:val="21"/>
        </w:rPr>
        <w:t>2024</w:t>
      </w:r>
      <w:r>
        <w:rPr>
          <w:spacing w:val="-9"/>
          <w:sz w:val="21"/>
        </w:rPr>
        <w:t> </w:t>
      </w:r>
      <w:r>
        <w:rPr>
          <w:sz w:val="21"/>
        </w:rPr>
        <w:t>since</w:t>
      </w:r>
      <w:r>
        <w:rPr>
          <w:spacing w:val="-7"/>
          <w:sz w:val="21"/>
        </w:rPr>
        <w:t> </w:t>
      </w:r>
      <w:r>
        <w:rPr>
          <w:sz w:val="21"/>
        </w:rPr>
        <w:t>February</w:t>
      </w:r>
      <w:r>
        <w:rPr>
          <w:spacing w:val="-7"/>
          <w:sz w:val="21"/>
        </w:rPr>
        <w:t> </w:t>
      </w:r>
      <w:r>
        <w:rPr>
          <w:sz w:val="21"/>
        </w:rPr>
        <w:t>2023,</w:t>
      </w:r>
      <w:hyperlink w:history="true" w:anchor="_bookmark579">
        <w:r>
          <w:rPr>
            <w:sz w:val="21"/>
            <w:vertAlign w:val="superscript"/>
          </w:rPr>
          <w:t>25</w:t>
        </w:r>
      </w:hyperlink>
      <w:r>
        <w:rPr>
          <w:spacing w:val="-2"/>
          <w:sz w:val="21"/>
          <w:vertAlign w:val="baseline"/>
        </w:rPr>
        <w:t> </w:t>
      </w:r>
      <w:r>
        <w:rPr>
          <w:sz w:val="21"/>
          <w:vertAlign w:val="baseline"/>
        </w:rPr>
        <w:t>the</w:t>
      </w:r>
      <w:r>
        <w:rPr>
          <w:spacing w:val="-7"/>
          <w:sz w:val="21"/>
          <w:vertAlign w:val="baseline"/>
        </w:rPr>
        <w:t> </w:t>
      </w:r>
      <w:r>
        <w:rPr>
          <w:sz w:val="21"/>
          <w:vertAlign w:val="baseline"/>
        </w:rPr>
        <w:t>demand</w:t>
      </w:r>
      <w:r>
        <w:rPr>
          <w:spacing w:val="-7"/>
          <w:sz w:val="21"/>
          <w:vertAlign w:val="baseline"/>
        </w:rPr>
        <w:t> </w:t>
      </w:r>
      <w:r>
        <w:rPr>
          <w:sz w:val="21"/>
          <w:vertAlign w:val="baseline"/>
        </w:rPr>
        <w:t>for homes greatly outpaces the supply of them,</w:t>
      </w:r>
      <w:hyperlink w:history="true" w:anchor="_bookmark580">
        <w:r>
          <w:rPr>
            <w:sz w:val="21"/>
            <w:vertAlign w:val="superscript"/>
          </w:rPr>
          <w:t>26</w:t>
        </w:r>
      </w:hyperlink>
      <w:r>
        <w:rPr>
          <w:spacing w:val="-1"/>
          <w:sz w:val="21"/>
          <w:vertAlign w:val="baseline"/>
        </w:rPr>
        <w:t> </w:t>
      </w:r>
      <w:r>
        <w:rPr>
          <w:sz w:val="21"/>
          <w:vertAlign w:val="baseline"/>
        </w:rPr>
        <w:t>and mortgage rates more than doubling in 2023.</w:t>
      </w:r>
      <w:hyperlink w:history="true" w:anchor="_bookmark581">
        <w:r>
          <w:rPr>
            <w:sz w:val="21"/>
            <w:vertAlign w:val="superscript"/>
          </w:rPr>
          <w:t>27</w:t>
        </w:r>
      </w:hyperlink>
      <w:r>
        <w:rPr>
          <w:spacing w:val="-1"/>
          <w:sz w:val="21"/>
          <w:vertAlign w:val="baseline"/>
        </w:rPr>
        <w:t> </w:t>
      </w:r>
      <w:r>
        <w:rPr>
          <w:sz w:val="21"/>
          <w:vertAlign w:val="baseline"/>
        </w:rPr>
        <w:t>A recent Redfin study reveals that homebuyers in the metro Boston area need</w:t>
      </w:r>
      <w:r>
        <w:rPr>
          <w:spacing w:val="-1"/>
          <w:sz w:val="21"/>
          <w:vertAlign w:val="baseline"/>
        </w:rPr>
        <w:t> </w:t>
      </w:r>
      <w:r>
        <w:rPr>
          <w:sz w:val="21"/>
          <w:vertAlign w:val="baseline"/>
        </w:rPr>
        <w:t>a salary of $194k to afford a median priced home, while that number is $119k in the area around Worcester.</w:t>
      </w:r>
      <w:hyperlink w:history="true" w:anchor="_bookmark582">
        <w:r>
          <w:rPr>
            <w:sz w:val="21"/>
            <w:vertAlign w:val="superscript"/>
          </w:rPr>
          <w:t>28</w:t>
        </w:r>
      </w:hyperlink>
      <w:r>
        <w:rPr>
          <w:spacing w:val="-2"/>
          <w:sz w:val="21"/>
          <w:vertAlign w:val="baseline"/>
        </w:rPr>
        <w:t> </w:t>
      </w:r>
      <w:r>
        <w:rPr>
          <w:sz w:val="21"/>
          <w:vertAlign w:val="baseline"/>
        </w:rPr>
        <w:t>These salaries are difficult for youth to obtain: the median salary for Generation Z (ages 18-27) is $40k,</w:t>
      </w:r>
      <w:hyperlink w:history="true" w:anchor="_bookmark583">
        <w:r>
          <w:rPr>
            <w:sz w:val="21"/>
            <w:vertAlign w:val="superscript"/>
          </w:rPr>
          <w:t>29</w:t>
        </w:r>
      </w:hyperlink>
      <w:r>
        <w:rPr>
          <w:spacing w:val="-1"/>
          <w:sz w:val="21"/>
          <w:vertAlign w:val="baseline"/>
        </w:rPr>
        <w:t> </w:t>
      </w:r>
      <w:r>
        <w:rPr>
          <w:sz w:val="21"/>
          <w:vertAlign w:val="baseline"/>
        </w:rPr>
        <w:t>making it difficult for youth to put down</w:t>
      </w:r>
      <w:r>
        <w:rPr>
          <w:spacing w:val="-1"/>
          <w:sz w:val="21"/>
          <w:vertAlign w:val="baseline"/>
        </w:rPr>
        <w:t> </w:t>
      </w:r>
      <w:r>
        <w:rPr>
          <w:sz w:val="21"/>
          <w:vertAlign w:val="baseline"/>
        </w:rPr>
        <w:t>a</w:t>
      </w:r>
      <w:r>
        <w:rPr>
          <w:spacing w:val="-1"/>
          <w:sz w:val="21"/>
          <w:vertAlign w:val="baseline"/>
        </w:rPr>
        <w:t> </w:t>
      </w:r>
      <w:r>
        <w:rPr>
          <w:sz w:val="21"/>
          <w:vertAlign w:val="baseline"/>
        </w:rPr>
        <w:t>deposit on a</w:t>
      </w:r>
      <w:r>
        <w:rPr>
          <w:spacing w:val="-1"/>
          <w:sz w:val="21"/>
          <w:vertAlign w:val="baseline"/>
        </w:rPr>
        <w:t> </w:t>
      </w:r>
      <w:r>
        <w:rPr>
          <w:sz w:val="21"/>
          <w:vertAlign w:val="baseline"/>
        </w:rPr>
        <w:t>house and pay a</w:t>
      </w:r>
      <w:r>
        <w:rPr>
          <w:spacing w:val="-2"/>
          <w:sz w:val="21"/>
          <w:vertAlign w:val="baseline"/>
        </w:rPr>
        <w:t> </w:t>
      </w:r>
      <w:r>
        <w:rPr>
          <w:sz w:val="21"/>
          <w:vertAlign w:val="baseline"/>
        </w:rPr>
        <w:t>mortgage on their own. The</w:t>
      </w:r>
      <w:r>
        <w:rPr>
          <w:spacing w:val="-1"/>
          <w:sz w:val="21"/>
          <w:vertAlign w:val="baseline"/>
        </w:rPr>
        <w:t> </w:t>
      </w:r>
      <w:r>
        <w:rPr>
          <w:sz w:val="21"/>
          <w:vertAlign w:val="baseline"/>
        </w:rPr>
        <w:t>median salary</w:t>
      </w:r>
      <w:r>
        <w:rPr>
          <w:spacing w:val="-1"/>
          <w:sz w:val="21"/>
          <w:vertAlign w:val="baseline"/>
        </w:rPr>
        <w:t> </w:t>
      </w:r>
      <w:r>
        <w:rPr>
          <w:sz w:val="21"/>
          <w:vertAlign w:val="baseline"/>
        </w:rPr>
        <w:t>of householders ages 18-25 is $54k compared to the state median salary of $94k.</w:t>
      </w:r>
      <w:hyperlink w:history="true" w:anchor="_bookmark584">
        <w:r>
          <w:rPr>
            <w:sz w:val="21"/>
            <w:vertAlign w:val="superscript"/>
          </w:rPr>
          <w:t>30</w:t>
        </w:r>
      </w:hyperlink>
      <w:r>
        <w:rPr>
          <w:spacing w:val="-1"/>
          <w:sz w:val="21"/>
          <w:vertAlign w:val="baseline"/>
        </w:rPr>
        <w:t> </w:t>
      </w:r>
      <w:r>
        <w:rPr>
          <w:sz w:val="21"/>
          <w:vertAlign w:val="baseline"/>
        </w:rPr>
        <w:t>Massachusetts is the state with the lowest homeownership</w:t>
      </w:r>
      <w:r>
        <w:rPr>
          <w:spacing w:val="-1"/>
          <w:sz w:val="21"/>
          <w:vertAlign w:val="baseline"/>
        </w:rPr>
        <w:t> </w:t>
      </w:r>
      <w:r>
        <w:rPr>
          <w:sz w:val="21"/>
          <w:vertAlign w:val="baseline"/>
        </w:rPr>
        <w:t>rate</w:t>
      </w:r>
      <w:r>
        <w:rPr>
          <w:spacing w:val="-1"/>
          <w:sz w:val="21"/>
          <w:vertAlign w:val="baseline"/>
        </w:rPr>
        <w:t> </w:t>
      </w:r>
      <w:r>
        <w:rPr>
          <w:sz w:val="21"/>
          <w:vertAlign w:val="baseline"/>
        </w:rPr>
        <w:t>for Generation</w:t>
      </w:r>
      <w:r>
        <w:rPr>
          <w:spacing w:val="-1"/>
          <w:sz w:val="21"/>
          <w:vertAlign w:val="baseline"/>
        </w:rPr>
        <w:t> </w:t>
      </w:r>
      <w:r>
        <w:rPr>
          <w:sz w:val="21"/>
          <w:vertAlign w:val="baseline"/>
        </w:rPr>
        <w:t>Z in</w:t>
      </w:r>
      <w:r>
        <w:rPr>
          <w:spacing w:val="-2"/>
          <w:sz w:val="21"/>
          <w:vertAlign w:val="baseline"/>
        </w:rPr>
        <w:t> </w:t>
      </w:r>
      <w:r>
        <w:rPr>
          <w:sz w:val="21"/>
          <w:vertAlign w:val="baseline"/>
        </w:rPr>
        <w:t>the</w:t>
      </w:r>
      <w:r>
        <w:rPr>
          <w:spacing w:val="-1"/>
          <w:sz w:val="21"/>
          <w:vertAlign w:val="baseline"/>
        </w:rPr>
        <w:t> </w:t>
      </w:r>
      <w:r>
        <w:rPr>
          <w:sz w:val="21"/>
          <w:vertAlign w:val="baseline"/>
        </w:rPr>
        <w:t>country</w:t>
      </w:r>
      <w:r>
        <w:rPr>
          <w:spacing w:val="-1"/>
          <w:sz w:val="21"/>
          <w:vertAlign w:val="baseline"/>
        </w:rPr>
        <w:t> </w:t>
      </w:r>
      <w:r>
        <w:rPr>
          <w:sz w:val="21"/>
          <w:vertAlign w:val="baseline"/>
        </w:rPr>
        <w:t>at 9.7%, according</w:t>
      </w:r>
      <w:r>
        <w:rPr>
          <w:spacing w:val="-1"/>
          <w:sz w:val="21"/>
          <w:vertAlign w:val="baseline"/>
        </w:rPr>
        <w:t> </w:t>
      </w:r>
      <w:r>
        <w:rPr>
          <w:sz w:val="21"/>
          <w:vertAlign w:val="baseline"/>
        </w:rPr>
        <w:t>to</w:t>
      </w:r>
      <w:r>
        <w:rPr>
          <w:spacing w:val="-1"/>
          <w:sz w:val="21"/>
          <w:vertAlign w:val="baseline"/>
        </w:rPr>
        <w:t> </w:t>
      </w:r>
      <w:r>
        <w:rPr>
          <w:sz w:val="21"/>
          <w:vertAlign w:val="baseline"/>
        </w:rPr>
        <w:t>the</w:t>
      </w:r>
      <w:r>
        <w:rPr>
          <w:spacing w:val="-2"/>
          <w:sz w:val="21"/>
          <w:vertAlign w:val="baseline"/>
        </w:rPr>
        <w:t> </w:t>
      </w:r>
      <w:r>
        <w:rPr>
          <w:sz w:val="21"/>
          <w:vertAlign w:val="baseline"/>
        </w:rPr>
        <w:t>2020 American</w:t>
      </w:r>
      <w:r>
        <w:rPr>
          <w:spacing w:val="-1"/>
          <w:sz w:val="21"/>
          <w:vertAlign w:val="baseline"/>
        </w:rPr>
        <w:t> </w:t>
      </w:r>
      <w:r>
        <w:rPr>
          <w:sz w:val="21"/>
          <w:vertAlign w:val="baseline"/>
        </w:rPr>
        <w:t>Community </w:t>
      </w:r>
      <w:r>
        <w:rPr>
          <w:spacing w:val="-2"/>
          <w:sz w:val="21"/>
          <w:vertAlign w:val="baseline"/>
        </w:rPr>
        <w:t>Survey.</w:t>
      </w:r>
      <w:hyperlink w:history="true" w:anchor="_bookmark585">
        <w:r>
          <w:rPr>
            <w:spacing w:val="-2"/>
            <w:sz w:val="21"/>
            <w:vertAlign w:val="superscript"/>
          </w:rPr>
          <w:t>31</w:t>
        </w:r>
      </w:hyperlink>
    </w:p>
    <w:p>
      <w:pPr>
        <w:pStyle w:val="BodyText"/>
        <w:spacing w:before="1"/>
        <w:rPr>
          <w:sz w:val="6"/>
        </w:rPr>
      </w:pPr>
      <w:r>
        <w:rPr/>
        <w:drawing>
          <wp:anchor distT="0" distB="0" distL="0" distR="0" allowOverlap="1" layoutInCell="1" locked="0" behindDoc="1" simplePos="0" relativeHeight="487682560">
            <wp:simplePos x="0" y="0"/>
            <wp:positionH relativeFrom="page">
              <wp:posOffset>1713934</wp:posOffset>
            </wp:positionH>
            <wp:positionV relativeFrom="paragraph">
              <wp:posOffset>62862</wp:posOffset>
            </wp:positionV>
            <wp:extent cx="4378958" cy="2047875"/>
            <wp:effectExtent l="0" t="0" r="0" b="0"/>
            <wp:wrapTopAndBottom/>
            <wp:docPr id="507" name="Image 507"/>
            <wp:cNvGraphicFramePr>
              <a:graphicFrameLocks/>
            </wp:cNvGraphicFramePr>
            <a:graphic>
              <a:graphicData uri="http://schemas.openxmlformats.org/drawingml/2006/picture">
                <pic:pic>
                  <pic:nvPicPr>
                    <pic:cNvPr id="507" name="Image 507"/>
                    <pic:cNvPicPr/>
                  </pic:nvPicPr>
                  <pic:blipFill>
                    <a:blip r:embed="rId647" cstate="print"/>
                    <a:stretch>
                      <a:fillRect/>
                    </a:stretch>
                  </pic:blipFill>
                  <pic:spPr>
                    <a:xfrm>
                      <a:off x="0" y="0"/>
                      <a:ext cx="4378958" cy="2047875"/>
                    </a:xfrm>
                    <a:prstGeom prst="rect">
                      <a:avLst/>
                    </a:prstGeom>
                  </pic:spPr>
                </pic:pic>
              </a:graphicData>
            </a:graphic>
          </wp:anchor>
        </w:drawing>
      </w:r>
    </w:p>
    <w:p>
      <w:pPr>
        <w:pStyle w:val="BodyText"/>
        <w:rPr>
          <w:sz w:val="21"/>
        </w:rPr>
      </w:pPr>
    </w:p>
    <w:p>
      <w:pPr>
        <w:pStyle w:val="BodyText"/>
        <w:spacing w:before="50"/>
        <w:rPr>
          <w:sz w:val="21"/>
        </w:rPr>
      </w:pPr>
    </w:p>
    <w:p>
      <w:pPr>
        <w:spacing w:line="276" w:lineRule="auto" w:before="1"/>
        <w:ind w:left="463" w:right="199" w:firstLine="0"/>
        <w:jc w:val="both"/>
        <w:rPr>
          <w:sz w:val="21"/>
        </w:rPr>
      </w:pPr>
      <w:r>
        <w:rPr>
          <w:sz w:val="21"/>
        </w:rPr>
        <w:t>Boston’s rental market is the third most expensive in the entire country according to Apartment Advisor, beat only by New York City and Jersey City. The prices of renting an apartment in Boston have increased from</w:t>
      </w:r>
      <w:r>
        <w:rPr>
          <w:spacing w:val="-8"/>
          <w:sz w:val="21"/>
        </w:rPr>
        <w:t> </w:t>
      </w:r>
      <w:r>
        <w:rPr>
          <w:sz w:val="21"/>
        </w:rPr>
        <w:t>January</w:t>
      </w:r>
      <w:r>
        <w:rPr>
          <w:spacing w:val="-8"/>
          <w:sz w:val="21"/>
        </w:rPr>
        <w:t> </w:t>
      </w:r>
      <w:r>
        <w:rPr>
          <w:sz w:val="21"/>
        </w:rPr>
        <w:t>2023</w:t>
      </w:r>
      <w:r>
        <w:rPr>
          <w:spacing w:val="-9"/>
          <w:sz w:val="21"/>
        </w:rPr>
        <w:t> </w:t>
      </w:r>
      <w:r>
        <w:rPr>
          <w:sz w:val="21"/>
        </w:rPr>
        <w:t>to</w:t>
      </w:r>
      <w:r>
        <w:rPr>
          <w:spacing w:val="-8"/>
          <w:sz w:val="21"/>
        </w:rPr>
        <w:t> </w:t>
      </w:r>
      <w:r>
        <w:rPr>
          <w:sz w:val="21"/>
        </w:rPr>
        <w:t>January</w:t>
      </w:r>
      <w:r>
        <w:rPr>
          <w:spacing w:val="-8"/>
          <w:sz w:val="21"/>
        </w:rPr>
        <w:t> </w:t>
      </w:r>
      <w:r>
        <w:rPr>
          <w:sz w:val="21"/>
        </w:rPr>
        <w:t>2024,</w:t>
      </w:r>
      <w:r>
        <w:rPr>
          <w:spacing w:val="-8"/>
          <w:sz w:val="21"/>
        </w:rPr>
        <w:t> </w:t>
      </w:r>
      <w:r>
        <w:rPr>
          <w:sz w:val="21"/>
        </w:rPr>
        <w:t>notably</w:t>
      </w:r>
      <w:r>
        <w:rPr>
          <w:spacing w:val="-8"/>
          <w:sz w:val="21"/>
        </w:rPr>
        <w:t> </w:t>
      </w:r>
      <w:r>
        <w:rPr>
          <w:sz w:val="21"/>
        </w:rPr>
        <w:t>with</w:t>
      </w:r>
      <w:r>
        <w:rPr>
          <w:spacing w:val="-8"/>
          <w:sz w:val="21"/>
        </w:rPr>
        <w:t> </w:t>
      </w:r>
      <w:r>
        <w:rPr>
          <w:sz w:val="21"/>
        </w:rPr>
        <w:t>the</w:t>
      </w:r>
      <w:r>
        <w:rPr>
          <w:spacing w:val="-8"/>
          <w:sz w:val="21"/>
        </w:rPr>
        <w:t> </w:t>
      </w:r>
      <w:r>
        <w:rPr>
          <w:sz w:val="21"/>
        </w:rPr>
        <w:t>prices</w:t>
      </w:r>
      <w:r>
        <w:rPr>
          <w:spacing w:val="-9"/>
          <w:sz w:val="21"/>
        </w:rPr>
        <w:t> </w:t>
      </w:r>
      <w:r>
        <w:rPr>
          <w:sz w:val="21"/>
        </w:rPr>
        <w:t>of</w:t>
      </w:r>
      <w:r>
        <w:rPr>
          <w:spacing w:val="-8"/>
          <w:sz w:val="21"/>
        </w:rPr>
        <w:t> </w:t>
      </w:r>
      <w:r>
        <w:rPr>
          <w:sz w:val="21"/>
        </w:rPr>
        <w:t>2-bedroom</w:t>
      </w:r>
      <w:r>
        <w:rPr>
          <w:spacing w:val="-8"/>
          <w:sz w:val="21"/>
        </w:rPr>
        <w:t> </w:t>
      </w:r>
      <w:r>
        <w:rPr>
          <w:sz w:val="21"/>
        </w:rPr>
        <w:t>apartments</w:t>
      </w:r>
      <w:r>
        <w:rPr>
          <w:spacing w:val="-8"/>
          <w:sz w:val="21"/>
        </w:rPr>
        <w:t> </w:t>
      </w:r>
      <w:r>
        <w:rPr>
          <w:sz w:val="21"/>
        </w:rPr>
        <w:t>increasing</w:t>
      </w:r>
      <w:r>
        <w:rPr>
          <w:spacing w:val="-7"/>
          <w:sz w:val="21"/>
        </w:rPr>
        <w:t> </w:t>
      </w:r>
      <w:r>
        <w:rPr>
          <w:sz w:val="21"/>
        </w:rPr>
        <w:t>by</w:t>
      </w:r>
      <w:r>
        <w:rPr>
          <w:spacing w:val="-8"/>
          <w:sz w:val="21"/>
        </w:rPr>
        <w:t> </w:t>
      </w:r>
      <w:r>
        <w:rPr>
          <w:sz w:val="21"/>
        </w:rPr>
        <w:t>8%</w:t>
      </w:r>
      <w:r>
        <w:rPr>
          <w:spacing w:val="-8"/>
          <w:sz w:val="21"/>
        </w:rPr>
        <w:t> </w:t>
      </w:r>
      <w:r>
        <w:rPr>
          <w:sz w:val="21"/>
        </w:rPr>
        <w:t>and 3-bedroom-plus</w:t>
      </w:r>
      <w:r>
        <w:rPr>
          <w:spacing w:val="-1"/>
          <w:sz w:val="21"/>
        </w:rPr>
        <w:t> </w:t>
      </w:r>
      <w:r>
        <w:rPr>
          <w:sz w:val="21"/>
        </w:rPr>
        <w:t>apartments</w:t>
      </w:r>
      <w:r>
        <w:rPr>
          <w:spacing w:val="-1"/>
          <w:sz w:val="21"/>
        </w:rPr>
        <w:t> </w:t>
      </w:r>
      <w:r>
        <w:rPr>
          <w:sz w:val="21"/>
        </w:rPr>
        <w:t>increasing</w:t>
      </w:r>
      <w:r>
        <w:rPr>
          <w:spacing w:val="-1"/>
          <w:sz w:val="21"/>
        </w:rPr>
        <w:t> </w:t>
      </w:r>
      <w:r>
        <w:rPr>
          <w:sz w:val="21"/>
        </w:rPr>
        <w:t>by</w:t>
      </w:r>
      <w:r>
        <w:rPr>
          <w:spacing w:val="-1"/>
          <w:sz w:val="21"/>
        </w:rPr>
        <w:t> </w:t>
      </w:r>
      <w:r>
        <w:rPr>
          <w:sz w:val="21"/>
        </w:rPr>
        <w:t>17%.</w:t>
      </w:r>
      <w:hyperlink w:history="true" w:anchor="_bookmark586">
        <w:r>
          <w:rPr>
            <w:sz w:val="21"/>
            <w:vertAlign w:val="superscript"/>
          </w:rPr>
          <w:t>32</w:t>
        </w:r>
      </w:hyperlink>
      <w:r>
        <w:rPr>
          <w:spacing w:val="-2"/>
          <w:sz w:val="21"/>
          <w:vertAlign w:val="baseline"/>
        </w:rPr>
        <w:t> </w:t>
      </w:r>
      <w:r>
        <w:rPr>
          <w:sz w:val="21"/>
          <w:vertAlign w:val="baseline"/>
        </w:rPr>
        <w:t>The</w:t>
      </w:r>
      <w:r>
        <w:rPr>
          <w:spacing w:val="-1"/>
          <w:sz w:val="21"/>
          <w:vertAlign w:val="baseline"/>
        </w:rPr>
        <w:t> </w:t>
      </w:r>
      <w:r>
        <w:rPr>
          <w:sz w:val="21"/>
          <w:vertAlign w:val="baseline"/>
        </w:rPr>
        <w:t>high</w:t>
      </w:r>
      <w:r>
        <w:rPr>
          <w:spacing w:val="-1"/>
          <w:sz w:val="21"/>
          <w:vertAlign w:val="baseline"/>
        </w:rPr>
        <w:t> </w:t>
      </w:r>
      <w:r>
        <w:rPr>
          <w:sz w:val="21"/>
          <w:vertAlign w:val="baseline"/>
        </w:rPr>
        <w:t>prices</w:t>
      </w:r>
      <w:r>
        <w:rPr>
          <w:spacing w:val="-1"/>
          <w:sz w:val="21"/>
          <w:vertAlign w:val="baseline"/>
        </w:rPr>
        <w:t> </w:t>
      </w:r>
      <w:r>
        <w:rPr>
          <w:sz w:val="21"/>
          <w:vertAlign w:val="baseline"/>
        </w:rPr>
        <w:t>of</w:t>
      </w:r>
      <w:r>
        <w:rPr>
          <w:spacing w:val="-1"/>
          <w:sz w:val="21"/>
          <w:vertAlign w:val="baseline"/>
        </w:rPr>
        <w:t> </w:t>
      </w:r>
      <w:r>
        <w:rPr>
          <w:sz w:val="21"/>
          <w:vertAlign w:val="baseline"/>
        </w:rPr>
        <w:t>apartments</w:t>
      </w:r>
      <w:r>
        <w:rPr>
          <w:spacing w:val="-1"/>
          <w:sz w:val="21"/>
          <w:vertAlign w:val="baseline"/>
        </w:rPr>
        <w:t> </w:t>
      </w:r>
      <w:r>
        <w:rPr>
          <w:sz w:val="21"/>
          <w:vertAlign w:val="baseline"/>
        </w:rPr>
        <w:t>in</w:t>
      </w:r>
      <w:r>
        <w:rPr>
          <w:spacing w:val="-2"/>
          <w:sz w:val="21"/>
          <w:vertAlign w:val="baseline"/>
        </w:rPr>
        <w:t> </w:t>
      </w:r>
      <w:r>
        <w:rPr>
          <w:sz w:val="21"/>
          <w:vertAlign w:val="baseline"/>
        </w:rPr>
        <w:t>the</w:t>
      </w:r>
      <w:r>
        <w:rPr>
          <w:spacing w:val="-1"/>
          <w:sz w:val="21"/>
          <w:vertAlign w:val="baseline"/>
        </w:rPr>
        <w:t> </w:t>
      </w:r>
      <w:r>
        <w:rPr>
          <w:sz w:val="21"/>
          <w:vertAlign w:val="baseline"/>
        </w:rPr>
        <w:t>city</w:t>
      </w:r>
      <w:r>
        <w:rPr>
          <w:spacing w:val="-1"/>
          <w:sz w:val="21"/>
          <w:vertAlign w:val="baseline"/>
        </w:rPr>
        <w:t> </w:t>
      </w:r>
      <w:r>
        <w:rPr>
          <w:sz w:val="21"/>
          <w:vertAlign w:val="baseline"/>
        </w:rPr>
        <w:t>make</w:t>
      </w:r>
      <w:r>
        <w:rPr>
          <w:spacing w:val="-1"/>
          <w:sz w:val="21"/>
          <w:vertAlign w:val="baseline"/>
        </w:rPr>
        <w:t> </w:t>
      </w:r>
      <w:r>
        <w:rPr>
          <w:sz w:val="21"/>
          <w:vertAlign w:val="baseline"/>
        </w:rPr>
        <w:t>it difficult for youth starting their careers to live close to a job in the city where the most opportunities for employment</w:t>
      </w:r>
      <w:r>
        <w:rPr>
          <w:spacing w:val="-11"/>
          <w:sz w:val="21"/>
          <w:vertAlign w:val="baseline"/>
        </w:rPr>
        <w:t> </w:t>
      </w:r>
      <w:r>
        <w:rPr>
          <w:sz w:val="21"/>
          <w:vertAlign w:val="baseline"/>
        </w:rPr>
        <w:t>are.</w:t>
      </w:r>
      <w:r>
        <w:rPr>
          <w:spacing w:val="-10"/>
          <w:sz w:val="21"/>
          <w:vertAlign w:val="baseline"/>
        </w:rPr>
        <w:t> </w:t>
      </w:r>
      <w:r>
        <w:rPr>
          <w:sz w:val="21"/>
          <w:vertAlign w:val="baseline"/>
        </w:rPr>
        <w:t>This</w:t>
      </w:r>
      <w:r>
        <w:rPr>
          <w:spacing w:val="-11"/>
          <w:sz w:val="21"/>
          <w:vertAlign w:val="baseline"/>
        </w:rPr>
        <w:t> </w:t>
      </w:r>
      <w:r>
        <w:rPr>
          <w:sz w:val="21"/>
          <w:vertAlign w:val="baseline"/>
        </w:rPr>
        <w:t>pushes</w:t>
      </w:r>
      <w:r>
        <w:rPr>
          <w:spacing w:val="-11"/>
          <w:sz w:val="21"/>
          <w:vertAlign w:val="baseline"/>
        </w:rPr>
        <w:t> </w:t>
      </w:r>
      <w:r>
        <w:rPr>
          <w:sz w:val="21"/>
          <w:vertAlign w:val="baseline"/>
        </w:rPr>
        <w:t>them</w:t>
      </w:r>
      <w:r>
        <w:rPr>
          <w:spacing w:val="-11"/>
          <w:sz w:val="21"/>
          <w:vertAlign w:val="baseline"/>
        </w:rPr>
        <w:t> </w:t>
      </w:r>
      <w:r>
        <w:rPr>
          <w:sz w:val="21"/>
          <w:vertAlign w:val="baseline"/>
        </w:rPr>
        <w:t>farther</w:t>
      </w:r>
      <w:r>
        <w:rPr>
          <w:spacing w:val="-10"/>
          <w:sz w:val="21"/>
          <w:vertAlign w:val="baseline"/>
        </w:rPr>
        <w:t> </w:t>
      </w:r>
      <w:r>
        <w:rPr>
          <w:sz w:val="21"/>
          <w:vertAlign w:val="baseline"/>
        </w:rPr>
        <w:t>away</w:t>
      </w:r>
      <w:r>
        <w:rPr>
          <w:spacing w:val="-12"/>
          <w:sz w:val="21"/>
          <w:vertAlign w:val="baseline"/>
        </w:rPr>
        <w:t> </w:t>
      </w:r>
      <w:r>
        <w:rPr>
          <w:sz w:val="21"/>
          <w:vertAlign w:val="baseline"/>
        </w:rPr>
        <w:t>from</w:t>
      </w:r>
      <w:r>
        <w:rPr>
          <w:spacing w:val="-11"/>
          <w:sz w:val="21"/>
          <w:vertAlign w:val="baseline"/>
        </w:rPr>
        <w:t> </w:t>
      </w:r>
      <w:r>
        <w:rPr>
          <w:sz w:val="21"/>
          <w:vertAlign w:val="baseline"/>
        </w:rPr>
        <w:t>employment</w:t>
      </w:r>
      <w:r>
        <w:rPr>
          <w:spacing w:val="-11"/>
          <w:sz w:val="21"/>
          <w:vertAlign w:val="baseline"/>
        </w:rPr>
        <w:t> </w:t>
      </w:r>
      <w:r>
        <w:rPr>
          <w:sz w:val="21"/>
          <w:vertAlign w:val="baseline"/>
        </w:rPr>
        <w:t>opportunities,</w:t>
      </w:r>
      <w:r>
        <w:rPr>
          <w:spacing w:val="-10"/>
          <w:sz w:val="21"/>
          <w:vertAlign w:val="baseline"/>
        </w:rPr>
        <w:t> </w:t>
      </w:r>
      <w:r>
        <w:rPr>
          <w:sz w:val="21"/>
          <w:vertAlign w:val="baseline"/>
        </w:rPr>
        <w:t>makes</w:t>
      </w:r>
      <w:r>
        <w:rPr>
          <w:spacing w:val="-11"/>
          <w:sz w:val="21"/>
          <w:vertAlign w:val="baseline"/>
        </w:rPr>
        <w:t> </w:t>
      </w:r>
      <w:r>
        <w:rPr>
          <w:sz w:val="21"/>
          <w:vertAlign w:val="baseline"/>
        </w:rPr>
        <w:t>them</w:t>
      </w:r>
      <w:r>
        <w:rPr>
          <w:spacing w:val="-11"/>
          <w:sz w:val="21"/>
          <w:vertAlign w:val="baseline"/>
        </w:rPr>
        <w:t> </w:t>
      </w:r>
      <w:r>
        <w:rPr>
          <w:sz w:val="21"/>
          <w:vertAlign w:val="baseline"/>
        </w:rPr>
        <w:t>spend</w:t>
      </w:r>
      <w:r>
        <w:rPr>
          <w:spacing w:val="-10"/>
          <w:sz w:val="21"/>
          <w:vertAlign w:val="baseline"/>
        </w:rPr>
        <w:t> </w:t>
      </w:r>
      <w:r>
        <w:rPr>
          <w:sz w:val="21"/>
          <w:vertAlign w:val="baseline"/>
        </w:rPr>
        <w:t>more on commuting to work, and makes them save less to buy a home.</w:t>
      </w:r>
    </w:p>
    <w:p>
      <w:pPr>
        <w:spacing w:line="276" w:lineRule="auto" w:before="240"/>
        <w:ind w:left="463" w:right="200" w:firstLine="0"/>
        <w:jc w:val="both"/>
        <w:rPr>
          <w:sz w:val="21"/>
        </w:rPr>
      </w:pPr>
      <w:r>
        <w:rPr>
          <w:sz w:val="21"/>
        </w:rPr>
        <w:t>The</w:t>
      </w:r>
      <w:r>
        <w:rPr>
          <w:spacing w:val="-12"/>
          <w:sz w:val="21"/>
        </w:rPr>
        <w:t> </w:t>
      </w:r>
      <w:r>
        <w:rPr>
          <w:sz w:val="21"/>
        </w:rPr>
        <w:t>high</w:t>
      </w:r>
      <w:r>
        <w:rPr>
          <w:spacing w:val="-11"/>
          <w:sz w:val="21"/>
        </w:rPr>
        <w:t> </w:t>
      </w:r>
      <w:r>
        <w:rPr>
          <w:sz w:val="21"/>
        </w:rPr>
        <w:t>prices</w:t>
      </w:r>
      <w:r>
        <w:rPr>
          <w:spacing w:val="-12"/>
          <w:sz w:val="21"/>
        </w:rPr>
        <w:t> </w:t>
      </w:r>
      <w:r>
        <w:rPr>
          <w:sz w:val="21"/>
        </w:rPr>
        <w:t>of</w:t>
      </w:r>
      <w:r>
        <w:rPr>
          <w:spacing w:val="-12"/>
          <w:sz w:val="21"/>
        </w:rPr>
        <w:t> </w:t>
      </w:r>
      <w:r>
        <w:rPr>
          <w:sz w:val="21"/>
        </w:rPr>
        <w:t>buying</w:t>
      </w:r>
      <w:r>
        <w:rPr>
          <w:spacing w:val="-12"/>
          <w:sz w:val="21"/>
        </w:rPr>
        <w:t> </w:t>
      </w:r>
      <w:r>
        <w:rPr>
          <w:sz w:val="21"/>
        </w:rPr>
        <w:t>a</w:t>
      </w:r>
      <w:r>
        <w:rPr>
          <w:spacing w:val="-10"/>
          <w:sz w:val="21"/>
        </w:rPr>
        <w:t> </w:t>
      </w:r>
      <w:r>
        <w:rPr>
          <w:sz w:val="21"/>
        </w:rPr>
        <w:t>home</w:t>
      </w:r>
      <w:r>
        <w:rPr>
          <w:spacing w:val="-12"/>
          <w:sz w:val="21"/>
        </w:rPr>
        <w:t> </w:t>
      </w:r>
      <w:r>
        <w:rPr>
          <w:sz w:val="21"/>
        </w:rPr>
        <w:t>or</w:t>
      </w:r>
      <w:r>
        <w:rPr>
          <w:spacing w:val="-11"/>
          <w:sz w:val="21"/>
        </w:rPr>
        <w:t> </w:t>
      </w:r>
      <w:r>
        <w:rPr>
          <w:sz w:val="21"/>
        </w:rPr>
        <w:t>renting</w:t>
      </w:r>
      <w:r>
        <w:rPr>
          <w:spacing w:val="-12"/>
          <w:sz w:val="21"/>
        </w:rPr>
        <w:t> </w:t>
      </w:r>
      <w:r>
        <w:rPr>
          <w:sz w:val="21"/>
        </w:rPr>
        <w:t>an</w:t>
      </w:r>
      <w:r>
        <w:rPr>
          <w:spacing w:val="-11"/>
          <w:sz w:val="21"/>
        </w:rPr>
        <w:t> </w:t>
      </w:r>
      <w:r>
        <w:rPr>
          <w:sz w:val="21"/>
        </w:rPr>
        <w:t>apartment</w:t>
      </w:r>
      <w:r>
        <w:rPr>
          <w:spacing w:val="-11"/>
          <w:sz w:val="21"/>
        </w:rPr>
        <w:t> </w:t>
      </w:r>
      <w:r>
        <w:rPr>
          <w:sz w:val="21"/>
        </w:rPr>
        <w:t>have</w:t>
      </w:r>
      <w:r>
        <w:rPr>
          <w:spacing w:val="-12"/>
          <w:sz w:val="21"/>
        </w:rPr>
        <w:t> </w:t>
      </w:r>
      <w:r>
        <w:rPr>
          <w:sz w:val="21"/>
        </w:rPr>
        <w:t>driven</w:t>
      </w:r>
      <w:r>
        <w:rPr>
          <w:spacing w:val="-11"/>
          <w:sz w:val="21"/>
        </w:rPr>
        <w:t> </w:t>
      </w:r>
      <w:r>
        <w:rPr>
          <w:sz w:val="21"/>
        </w:rPr>
        <w:t>many</w:t>
      </w:r>
      <w:r>
        <w:rPr>
          <w:spacing w:val="-12"/>
          <w:sz w:val="21"/>
        </w:rPr>
        <w:t> </w:t>
      </w:r>
      <w:r>
        <w:rPr>
          <w:sz w:val="21"/>
        </w:rPr>
        <w:t>youth</w:t>
      </w:r>
      <w:r>
        <w:rPr>
          <w:spacing w:val="-11"/>
          <w:sz w:val="21"/>
        </w:rPr>
        <w:t> </w:t>
      </w:r>
      <w:r>
        <w:rPr>
          <w:sz w:val="21"/>
        </w:rPr>
        <w:t>to</w:t>
      </w:r>
      <w:r>
        <w:rPr>
          <w:spacing w:val="-12"/>
          <w:sz w:val="21"/>
        </w:rPr>
        <w:t> </w:t>
      </w:r>
      <w:r>
        <w:rPr>
          <w:sz w:val="21"/>
        </w:rPr>
        <w:t>live</w:t>
      </w:r>
      <w:r>
        <w:rPr>
          <w:spacing w:val="-12"/>
          <w:sz w:val="21"/>
        </w:rPr>
        <w:t> </w:t>
      </w:r>
      <w:r>
        <w:rPr>
          <w:sz w:val="21"/>
        </w:rPr>
        <w:t>with</w:t>
      </w:r>
      <w:r>
        <w:rPr>
          <w:spacing w:val="-11"/>
          <w:sz w:val="21"/>
        </w:rPr>
        <w:t> </w:t>
      </w:r>
      <w:r>
        <w:rPr>
          <w:sz w:val="21"/>
        </w:rPr>
        <w:t>their</w:t>
      </w:r>
      <w:r>
        <w:rPr>
          <w:spacing w:val="-12"/>
          <w:sz w:val="21"/>
        </w:rPr>
        <w:t> </w:t>
      </w:r>
      <w:r>
        <w:rPr>
          <w:sz w:val="21"/>
        </w:rPr>
        <w:t>parents. The percentage of youth aged 18-24 in</w:t>
      </w:r>
      <w:r>
        <w:rPr>
          <w:spacing w:val="-1"/>
          <w:sz w:val="21"/>
        </w:rPr>
        <w:t> </w:t>
      </w:r>
      <w:r>
        <w:rPr>
          <w:sz w:val="21"/>
        </w:rPr>
        <w:t>the US who live</w:t>
      </w:r>
      <w:r>
        <w:rPr>
          <w:spacing w:val="-1"/>
          <w:sz w:val="21"/>
        </w:rPr>
        <w:t> </w:t>
      </w:r>
      <w:r>
        <w:rPr>
          <w:sz w:val="21"/>
        </w:rPr>
        <w:t>with their</w:t>
      </w:r>
      <w:r>
        <w:rPr>
          <w:spacing w:val="-1"/>
          <w:sz w:val="21"/>
        </w:rPr>
        <w:t> </w:t>
      </w:r>
      <w:r>
        <w:rPr>
          <w:sz w:val="21"/>
        </w:rPr>
        <w:t>parents has increased from 63% to</w:t>
      </w:r>
      <w:r>
        <w:rPr>
          <w:spacing w:val="-1"/>
          <w:sz w:val="21"/>
        </w:rPr>
        <w:t> </w:t>
      </w:r>
      <w:r>
        <w:rPr>
          <w:sz w:val="21"/>
        </w:rPr>
        <w:t>71%, which</w:t>
      </w:r>
      <w:r>
        <w:rPr>
          <w:spacing w:val="-2"/>
          <w:sz w:val="21"/>
        </w:rPr>
        <w:t> </w:t>
      </w:r>
      <w:r>
        <w:rPr>
          <w:sz w:val="21"/>
        </w:rPr>
        <w:t>is</w:t>
      </w:r>
      <w:r>
        <w:rPr>
          <w:spacing w:val="-3"/>
          <w:sz w:val="21"/>
        </w:rPr>
        <w:t> </w:t>
      </w:r>
      <w:r>
        <w:rPr>
          <w:sz w:val="21"/>
        </w:rPr>
        <w:t>a</w:t>
      </w:r>
      <w:r>
        <w:rPr>
          <w:spacing w:val="-2"/>
          <w:sz w:val="21"/>
        </w:rPr>
        <w:t> </w:t>
      </w:r>
      <w:r>
        <w:rPr>
          <w:sz w:val="21"/>
        </w:rPr>
        <w:t>level</w:t>
      </w:r>
      <w:r>
        <w:rPr>
          <w:spacing w:val="-2"/>
          <w:sz w:val="21"/>
        </w:rPr>
        <w:t> </w:t>
      </w:r>
      <w:r>
        <w:rPr>
          <w:sz w:val="21"/>
        </w:rPr>
        <w:t>not</w:t>
      </w:r>
      <w:r>
        <w:rPr>
          <w:spacing w:val="-2"/>
          <w:sz w:val="21"/>
        </w:rPr>
        <w:t> </w:t>
      </w:r>
      <w:r>
        <w:rPr>
          <w:sz w:val="21"/>
        </w:rPr>
        <w:t>seen</w:t>
      </w:r>
      <w:r>
        <w:rPr>
          <w:spacing w:val="-2"/>
          <w:sz w:val="21"/>
        </w:rPr>
        <w:t> </w:t>
      </w:r>
      <w:r>
        <w:rPr>
          <w:sz w:val="21"/>
        </w:rPr>
        <w:t>since</w:t>
      </w:r>
      <w:r>
        <w:rPr>
          <w:spacing w:val="-2"/>
          <w:sz w:val="21"/>
        </w:rPr>
        <w:t> </w:t>
      </w:r>
      <w:r>
        <w:rPr>
          <w:sz w:val="21"/>
        </w:rPr>
        <w:t>the</w:t>
      </w:r>
      <w:r>
        <w:rPr>
          <w:spacing w:val="-2"/>
          <w:sz w:val="21"/>
        </w:rPr>
        <w:t> </w:t>
      </w:r>
      <w:r>
        <w:rPr>
          <w:sz w:val="21"/>
        </w:rPr>
        <w:t>Great</w:t>
      </w:r>
      <w:r>
        <w:rPr>
          <w:spacing w:val="-3"/>
          <w:sz w:val="21"/>
        </w:rPr>
        <w:t> </w:t>
      </w:r>
      <w:r>
        <w:rPr>
          <w:sz w:val="21"/>
        </w:rPr>
        <w:t>Depression.</w:t>
      </w:r>
      <w:hyperlink w:history="true" w:anchor="_bookmark587">
        <w:r>
          <w:rPr>
            <w:sz w:val="21"/>
            <w:vertAlign w:val="superscript"/>
          </w:rPr>
          <w:t>33</w:t>
        </w:r>
      </w:hyperlink>
      <w:r>
        <w:rPr>
          <w:spacing w:val="-1"/>
          <w:sz w:val="21"/>
          <w:vertAlign w:val="baseline"/>
        </w:rPr>
        <w:t> </w:t>
      </w:r>
      <w:r>
        <w:rPr>
          <w:sz w:val="21"/>
          <w:vertAlign w:val="baseline"/>
        </w:rPr>
        <w:t>For</w:t>
      </w:r>
      <w:r>
        <w:rPr>
          <w:spacing w:val="-2"/>
          <w:sz w:val="21"/>
          <w:vertAlign w:val="baseline"/>
        </w:rPr>
        <w:t> </w:t>
      </w:r>
      <w:r>
        <w:rPr>
          <w:sz w:val="21"/>
          <w:vertAlign w:val="baseline"/>
        </w:rPr>
        <w:t>LGBTQ</w:t>
      </w:r>
      <w:r>
        <w:rPr>
          <w:spacing w:val="-2"/>
          <w:sz w:val="21"/>
          <w:vertAlign w:val="baseline"/>
        </w:rPr>
        <w:t> </w:t>
      </w:r>
      <w:r>
        <w:rPr>
          <w:sz w:val="21"/>
          <w:vertAlign w:val="baseline"/>
        </w:rPr>
        <w:t>youth</w:t>
      </w:r>
      <w:r>
        <w:rPr>
          <w:spacing w:val="-2"/>
          <w:sz w:val="21"/>
          <w:vertAlign w:val="baseline"/>
        </w:rPr>
        <w:t> </w:t>
      </w:r>
      <w:r>
        <w:rPr>
          <w:sz w:val="21"/>
          <w:vertAlign w:val="baseline"/>
        </w:rPr>
        <w:t>who</w:t>
      </w:r>
      <w:r>
        <w:rPr>
          <w:spacing w:val="-2"/>
          <w:sz w:val="21"/>
          <w:vertAlign w:val="baseline"/>
        </w:rPr>
        <w:t> </w:t>
      </w:r>
      <w:r>
        <w:rPr>
          <w:sz w:val="21"/>
          <w:vertAlign w:val="baseline"/>
        </w:rPr>
        <w:t>are</w:t>
      </w:r>
      <w:r>
        <w:rPr>
          <w:spacing w:val="-2"/>
          <w:sz w:val="21"/>
          <w:vertAlign w:val="baseline"/>
        </w:rPr>
        <w:t> </w:t>
      </w:r>
      <w:r>
        <w:rPr>
          <w:sz w:val="21"/>
          <w:vertAlign w:val="baseline"/>
        </w:rPr>
        <w:t>kicked</w:t>
      </w:r>
      <w:r>
        <w:rPr>
          <w:spacing w:val="-2"/>
          <w:sz w:val="21"/>
          <w:vertAlign w:val="baseline"/>
        </w:rPr>
        <w:t> </w:t>
      </w:r>
      <w:r>
        <w:rPr>
          <w:sz w:val="21"/>
          <w:vertAlign w:val="baseline"/>
        </w:rPr>
        <w:t>out</w:t>
      </w:r>
      <w:r>
        <w:rPr>
          <w:spacing w:val="-2"/>
          <w:sz w:val="21"/>
          <w:vertAlign w:val="baseline"/>
        </w:rPr>
        <w:t> </w:t>
      </w:r>
      <w:r>
        <w:rPr>
          <w:sz w:val="21"/>
          <w:vertAlign w:val="baseline"/>
        </w:rPr>
        <w:t>or</w:t>
      </w:r>
      <w:r>
        <w:rPr>
          <w:spacing w:val="-2"/>
          <w:sz w:val="21"/>
          <w:vertAlign w:val="baseline"/>
        </w:rPr>
        <w:t> </w:t>
      </w:r>
      <w:r>
        <w:rPr>
          <w:sz w:val="21"/>
          <w:vertAlign w:val="baseline"/>
        </w:rPr>
        <w:t>cut</w:t>
      </w:r>
      <w:r>
        <w:rPr>
          <w:spacing w:val="-3"/>
          <w:sz w:val="21"/>
          <w:vertAlign w:val="baseline"/>
        </w:rPr>
        <w:t> </w:t>
      </w:r>
      <w:r>
        <w:rPr>
          <w:sz w:val="21"/>
          <w:vertAlign w:val="baseline"/>
        </w:rPr>
        <w:t>off</w:t>
      </w:r>
      <w:r>
        <w:rPr>
          <w:spacing w:val="-3"/>
          <w:sz w:val="21"/>
          <w:vertAlign w:val="baseline"/>
        </w:rPr>
        <w:t> </w:t>
      </w:r>
      <w:r>
        <w:rPr>
          <w:sz w:val="21"/>
          <w:vertAlign w:val="baseline"/>
        </w:rPr>
        <w:t>from financial support by their parents due to their gender identity or sexual orientation, living with family may</w:t>
      </w:r>
    </w:p>
    <w:p>
      <w:pPr>
        <w:spacing w:after="0" w:line="276" w:lineRule="auto"/>
        <w:jc w:val="both"/>
        <w:rPr>
          <w:sz w:val="21"/>
        </w:rPr>
        <w:sectPr>
          <w:pgSz w:w="12240" w:h="15840"/>
          <w:pgMar w:header="763" w:footer="1041" w:top="1380" w:bottom="1240" w:left="1120" w:right="1380"/>
        </w:sectPr>
      </w:pPr>
    </w:p>
    <w:p>
      <w:pPr>
        <w:spacing w:line="276" w:lineRule="auto" w:before="47"/>
        <w:ind w:left="464" w:right="201" w:firstLine="0"/>
        <w:jc w:val="both"/>
        <w:rPr>
          <w:sz w:val="21"/>
        </w:rPr>
      </w:pPr>
      <w:r>
        <w:rPr>
          <w:sz w:val="21"/>
        </w:rPr>
        <w:t>not be an option. According to a report by the Trevor Project, 28% of LGBTQ youth reported experiencing </w:t>
      </w:r>
      <w:r>
        <w:rPr>
          <w:spacing w:val="-2"/>
          <w:sz w:val="21"/>
        </w:rPr>
        <w:t>homelessness or</w:t>
      </w:r>
      <w:r>
        <w:rPr>
          <w:spacing w:val="-3"/>
          <w:sz w:val="21"/>
        </w:rPr>
        <w:t> </w:t>
      </w:r>
      <w:r>
        <w:rPr>
          <w:spacing w:val="-2"/>
          <w:sz w:val="21"/>
        </w:rPr>
        <w:t>housing</w:t>
      </w:r>
      <w:r>
        <w:rPr>
          <w:spacing w:val="-3"/>
          <w:sz w:val="21"/>
        </w:rPr>
        <w:t> </w:t>
      </w:r>
      <w:r>
        <w:rPr>
          <w:spacing w:val="-2"/>
          <w:sz w:val="21"/>
        </w:rPr>
        <w:t>instability,</w:t>
      </w:r>
      <w:r>
        <w:rPr>
          <w:spacing w:val="-3"/>
          <w:sz w:val="21"/>
        </w:rPr>
        <w:t> </w:t>
      </w:r>
      <w:r>
        <w:rPr>
          <w:spacing w:val="-2"/>
          <w:sz w:val="21"/>
        </w:rPr>
        <w:t>over</w:t>
      </w:r>
      <w:r>
        <w:rPr>
          <w:spacing w:val="-3"/>
          <w:sz w:val="21"/>
        </w:rPr>
        <w:t> </w:t>
      </w:r>
      <w:r>
        <w:rPr>
          <w:spacing w:val="-2"/>
          <w:sz w:val="21"/>
        </w:rPr>
        <w:t>8%</w:t>
      </w:r>
      <w:r>
        <w:rPr>
          <w:spacing w:val="-3"/>
          <w:sz w:val="21"/>
        </w:rPr>
        <w:t> </w:t>
      </w:r>
      <w:r>
        <w:rPr>
          <w:spacing w:val="-2"/>
          <w:sz w:val="21"/>
        </w:rPr>
        <w:t>reported</w:t>
      </w:r>
      <w:r>
        <w:rPr>
          <w:spacing w:val="-3"/>
          <w:sz w:val="21"/>
        </w:rPr>
        <w:t> </w:t>
      </w:r>
      <w:r>
        <w:rPr>
          <w:spacing w:val="-2"/>
          <w:sz w:val="21"/>
        </w:rPr>
        <w:t>running</w:t>
      </w:r>
      <w:r>
        <w:rPr>
          <w:spacing w:val="-3"/>
          <w:sz w:val="21"/>
        </w:rPr>
        <w:t> </w:t>
      </w:r>
      <w:r>
        <w:rPr>
          <w:spacing w:val="-2"/>
          <w:sz w:val="21"/>
        </w:rPr>
        <w:t>away</w:t>
      </w:r>
      <w:r>
        <w:rPr>
          <w:spacing w:val="-3"/>
          <w:sz w:val="21"/>
        </w:rPr>
        <w:t> </w:t>
      </w:r>
      <w:r>
        <w:rPr>
          <w:spacing w:val="-2"/>
          <w:sz w:val="21"/>
        </w:rPr>
        <w:t>from</w:t>
      </w:r>
      <w:r>
        <w:rPr>
          <w:spacing w:val="-3"/>
          <w:sz w:val="21"/>
        </w:rPr>
        <w:t> </w:t>
      </w:r>
      <w:r>
        <w:rPr>
          <w:spacing w:val="-2"/>
          <w:sz w:val="21"/>
        </w:rPr>
        <w:t>home</w:t>
      </w:r>
      <w:r>
        <w:rPr>
          <w:spacing w:val="-3"/>
          <w:sz w:val="21"/>
        </w:rPr>
        <w:t> </w:t>
      </w:r>
      <w:r>
        <w:rPr>
          <w:spacing w:val="-2"/>
          <w:sz w:val="21"/>
        </w:rPr>
        <w:t>due</w:t>
      </w:r>
      <w:r>
        <w:rPr>
          <w:spacing w:val="-4"/>
          <w:sz w:val="21"/>
        </w:rPr>
        <w:t> </w:t>
      </w:r>
      <w:r>
        <w:rPr>
          <w:spacing w:val="-2"/>
          <w:sz w:val="21"/>
        </w:rPr>
        <w:t>to</w:t>
      </w:r>
      <w:r>
        <w:rPr>
          <w:spacing w:val="-3"/>
          <w:sz w:val="21"/>
        </w:rPr>
        <w:t> </w:t>
      </w:r>
      <w:r>
        <w:rPr>
          <w:spacing w:val="-2"/>
          <w:sz w:val="21"/>
        </w:rPr>
        <w:t>fear</w:t>
      </w:r>
      <w:r>
        <w:rPr>
          <w:spacing w:val="-3"/>
          <w:sz w:val="21"/>
        </w:rPr>
        <w:t> </w:t>
      </w:r>
      <w:r>
        <w:rPr>
          <w:spacing w:val="-2"/>
          <w:sz w:val="21"/>
        </w:rPr>
        <w:t>of</w:t>
      </w:r>
      <w:r>
        <w:rPr>
          <w:spacing w:val="-4"/>
          <w:sz w:val="21"/>
        </w:rPr>
        <w:t> </w:t>
      </w:r>
      <w:r>
        <w:rPr>
          <w:spacing w:val="-2"/>
          <w:sz w:val="21"/>
        </w:rPr>
        <w:t>mistreatment </w:t>
      </w:r>
      <w:r>
        <w:rPr>
          <w:sz w:val="21"/>
        </w:rPr>
        <w:t>due</w:t>
      </w:r>
      <w:r>
        <w:rPr>
          <w:spacing w:val="-8"/>
          <w:sz w:val="21"/>
        </w:rPr>
        <w:t> </w:t>
      </w:r>
      <w:r>
        <w:rPr>
          <w:sz w:val="21"/>
        </w:rPr>
        <w:t>to</w:t>
      </w:r>
      <w:r>
        <w:rPr>
          <w:spacing w:val="-10"/>
          <w:sz w:val="21"/>
        </w:rPr>
        <w:t> </w:t>
      </w:r>
      <w:r>
        <w:rPr>
          <w:sz w:val="21"/>
        </w:rPr>
        <w:t>their</w:t>
      </w:r>
      <w:r>
        <w:rPr>
          <w:spacing w:val="-8"/>
          <w:sz w:val="21"/>
        </w:rPr>
        <w:t> </w:t>
      </w:r>
      <w:r>
        <w:rPr>
          <w:sz w:val="21"/>
        </w:rPr>
        <w:t>LGBTQ</w:t>
      </w:r>
      <w:r>
        <w:rPr>
          <w:spacing w:val="-8"/>
          <w:sz w:val="21"/>
        </w:rPr>
        <w:t> </w:t>
      </w:r>
      <w:r>
        <w:rPr>
          <w:sz w:val="21"/>
        </w:rPr>
        <w:t>identities,</w:t>
      </w:r>
      <w:r>
        <w:rPr>
          <w:spacing w:val="-8"/>
          <w:sz w:val="21"/>
        </w:rPr>
        <w:t> </w:t>
      </w:r>
      <w:r>
        <w:rPr>
          <w:sz w:val="21"/>
        </w:rPr>
        <w:t>and</w:t>
      </w:r>
      <w:r>
        <w:rPr>
          <w:spacing w:val="-9"/>
          <w:sz w:val="21"/>
        </w:rPr>
        <w:t> </w:t>
      </w:r>
      <w:r>
        <w:rPr>
          <w:sz w:val="21"/>
        </w:rPr>
        <w:t>5%</w:t>
      </w:r>
      <w:r>
        <w:rPr>
          <w:spacing w:val="-8"/>
          <w:sz w:val="21"/>
        </w:rPr>
        <w:t> </w:t>
      </w:r>
      <w:r>
        <w:rPr>
          <w:sz w:val="21"/>
        </w:rPr>
        <w:t>reported</w:t>
      </w:r>
      <w:r>
        <w:rPr>
          <w:spacing w:val="-8"/>
          <w:sz w:val="21"/>
        </w:rPr>
        <w:t> </w:t>
      </w:r>
      <w:r>
        <w:rPr>
          <w:sz w:val="21"/>
        </w:rPr>
        <w:t>being</w:t>
      </w:r>
      <w:r>
        <w:rPr>
          <w:spacing w:val="-10"/>
          <w:sz w:val="21"/>
        </w:rPr>
        <w:t> </w:t>
      </w:r>
      <w:r>
        <w:rPr>
          <w:sz w:val="21"/>
        </w:rPr>
        <w:t>kicked</w:t>
      </w:r>
      <w:r>
        <w:rPr>
          <w:spacing w:val="-8"/>
          <w:sz w:val="21"/>
        </w:rPr>
        <w:t> </w:t>
      </w:r>
      <w:r>
        <w:rPr>
          <w:sz w:val="21"/>
        </w:rPr>
        <w:t>out</w:t>
      </w:r>
      <w:r>
        <w:rPr>
          <w:spacing w:val="-9"/>
          <w:sz w:val="21"/>
        </w:rPr>
        <w:t> </w:t>
      </w:r>
      <w:r>
        <w:rPr>
          <w:sz w:val="21"/>
        </w:rPr>
        <w:t>or</w:t>
      </w:r>
      <w:r>
        <w:rPr>
          <w:spacing w:val="-9"/>
          <w:sz w:val="21"/>
        </w:rPr>
        <w:t> </w:t>
      </w:r>
      <w:r>
        <w:rPr>
          <w:sz w:val="21"/>
        </w:rPr>
        <w:t>abandoned</w:t>
      </w:r>
      <w:r>
        <w:rPr>
          <w:spacing w:val="-8"/>
          <w:sz w:val="21"/>
        </w:rPr>
        <w:t> </w:t>
      </w:r>
      <w:r>
        <w:rPr>
          <w:sz w:val="21"/>
        </w:rPr>
        <w:t>by</w:t>
      </w:r>
      <w:r>
        <w:rPr>
          <w:spacing w:val="-9"/>
          <w:sz w:val="21"/>
        </w:rPr>
        <w:t> </w:t>
      </w:r>
      <w:r>
        <w:rPr>
          <w:sz w:val="21"/>
        </w:rPr>
        <w:t>parents</w:t>
      </w:r>
      <w:r>
        <w:rPr>
          <w:spacing w:val="-9"/>
          <w:sz w:val="21"/>
        </w:rPr>
        <w:t> </w:t>
      </w:r>
      <w:r>
        <w:rPr>
          <w:sz w:val="21"/>
        </w:rPr>
        <w:t>or</w:t>
      </w:r>
      <w:r>
        <w:rPr>
          <w:spacing w:val="-8"/>
          <w:sz w:val="21"/>
        </w:rPr>
        <w:t> </w:t>
      </w:r>
      <w:r>
        <w:rPr>
          <w:sz w:val="21"/>
        </w:rPr>
        <w:t>caregivers</w:t>
      </w:r>
      <w:r>
        <w:rPr>
          <w:spacing w:val="-9"/>
          <w:sz w:val="21"/>
        </w:rPr>
        <w:t> </w:t>
      </w:r>
      <w:r>
        <w:rPr>
          <w:sz w:val="21"/>
        </w:rPr>
        <w:t>due to their LGBTQ identities.</w:t>
      </w:r>
      <w:hyperlink w:history="true" w:anchor="_bookmark588">
        <w:r>
          <w:rPr>
            <w:sz w:val="21"/>
            <w:vertAlign w:val="superscript"/>
          </w:rPr>
          <w:t>34</w:t>
        </w:r>
      </w:hyperlink>
      <w:r>
        <w:rPr>
          <w:spacing w:val="-2"/>
          <w:sz w:val="21"/>
          <w:vertAlign w:val="baseline"/>
        </w:rPr>
        <w:t> </w:t>
      </w:r>
      <w:r>
        <w:rPr>
          <w:sz w:val="21"/>
          <w:vertAlign w:val="baseline"/>
        </w:rPr>
        <w:t>Buying a house and renting an apartment are more difficult for LGBTQ youth who</w:t>
      </w:r>
      <w:r>
        <w:rPr>
          <w:spacing w:val="-2"/>
          <w:sz w:val="21"/>
          <w:vertAlign w:val="baseline"/>
        </w:rPr>
        <w:t> </w:t>
      </w:r>
      <w:r>
        <w:rPr>
          <w:sz w:val="21"/>
          <w:vertAlign w:val="baseline"/>
        </w:rPr>
        <w:t>suffer</w:t>
      </w:r>
      <w:r>
        <w:rPr>
          <w:spacing w:val="-2"/>
          <w:sz w:val="21"/>
          <w:vertAlign w:val="baseline"/>
        </w:rPr>
        <w:t> </w:t>
      </w:r>
      <w:r>
        <w:rPr>
          <w:sz w:val="21"/>
          <w:vertAlign w:val="baseline"/>
        </w:rPr>
        <w:t>from</w:t>
      </w:r>
      <w:r>
        <w:rPr>
          <w:spacing w:val="-2"/>
          <w:sz w:val="21"/>
          <w:vertAlign w:val="baseline"/>
        </w:rPr>
        <w:t> </w:t>
      </w:r>
      <w:r>
        <w:rPr>
          <w:sz w:val="21"/>
          <w:vertAlign w:val="baseline"/>
        </w:rPr>
        <w:t>a</w:t>
      </w:r>
      <w:r>
        <w:rPr>
          <w:spacing w:val="-3"/>
          <w:sz w:val="21"/>
          <w:vertAlign w:val="baseline"/>
        </w:rPr>
        <w:t> </w:t>
      </w:r>
      <w:r>
        <w:rPr>
          <w:sz w:val="21"/>
          <w:vertAlign w:val="baseline"/>
        </w:rPr>
        <w:t>higher</w:t>
      </w:r>
      <w:r>
        <w:rPr>
          <w:spacing w:val="-3"/>
          <w:sz w:val="21"/>
          <w:vertAlign w:val="baseline"/>
        </w:rPr>
        <w:t> </w:t>
      </w:r>
      <w:r>
        <w:rPr>
          <w:sz w:val="21"/>
          <w:vertAlign w:val="baseline"/>
        </w:rPr>
        <w:t>unemployment</w:t>
      </w:r>
      <w:r>
        <w:rPr>
          <w:spacing w:val="-1"/>
          <w:sz w:val="21"/>
          <w:vertAlign w:val="baseline"/>
        </w:rPr>
        <w:t> </w:t>
      </w:r>
      <w:r>
        <w:rPr>
          <w:sz w:val="21"/>
          <w:vertAlign w:val="baseline"/>
        </w:rPr>
        <w:t>rate,</w:t>
      </w:r>
      <w:r>
        <w:rPr>
          <w:spacing w:val="-3"/>
          <w:sz w:val="21"/>
          <w:vertAlign w:val="baseline"/>
        </w:rPr>
        <w:t> </w:t>
      </w:r>
      <w:r>
        <w:rPr>
          <w:sz w:val="21"/>
          <w:vertAlign w:val="baseline"/>
        </w:rPr>
        <w:t>a</w:t>
      </w:r>
      <w:r>
        <w:rPr>
          <w:spacing w:val="-3"/>
          <w:sz w:val="21"/>
          <w:vertAlign w:val="baseline"/>
        </w:rPr>
        <w:t> </w:t>
      </w:r>
      <w:r>
        <w:rPr>
          <w:sz w:val="21"/>
          <w:vertAlign w:val="baseline"/>
        </w:rPr>
        <w:t>lower</w:t>
      </w:r>
      <w:r>
        <w:rPr>
          <w:spacing w:val="-2"/>
          <w:sz w:val="21"/>
          <w:vertAlign w:val="baseline"/>
        </w:rPr>
        <w:t> </w:t>
      </w:r>
      <w:r>
        <w:rPr>
          <w:sz w:val="21"/>
          <w:vertAlign w:val="baseline"/>
        </w:rPr>
        <w:t>income</w:t>
      </w:r>
      <w:r>
        <w:rPr>
          <w:spacing w:val="-2"/>
          <w:sz w:val="21"/>
          <w:vertAlign w:val="baseline"/>
        </w:rPr>
        <w:t> </w:t>
      </w:r>
      <w:r>
        <w:rPr>
          <w:sz w:val="21"/>
          <w:vertAlign w:val="baseline"/>
        </w:rPr>
        <w:t>than</w:t>
      </w:r>
      <w:r>
        <w:rPr>
          <w:spacing w:val="-4"/>
          <w:sz w:val="21"/>
          <w:vertAlign w:val="baseline"/>
        </w:rPr>
        <w:t> </w:t>
      </w:r>
      <w:r>
        <w:rPr>
          <w:sz w:val="21"/>
          <w:vertAlign w:val="baseline"/>
        </w:rPr>
        <w:t>their</w:t>
      </w:r>
      <w:r>
        <w:rPr>
          <w:spacing w:val="-2"/>
          <w:sz w:val="21"/>
          <w:vertAlign w:val="baseline"/>
        </w:rPr>
        <w:t> </w:t>
      </w:r>
      <w:r>
        <w:rPr>
          <w:sz w:val="21"/>
          <w:vertAlign w:val="baseline"/>
        </w:rPr>
        <w:t>cisgender</w:t>
      </w:r>
      <w:r>
        <w:rPr>
          <w:spacing w:val="-3"/>
          <w:sz w:val="21"/>
          <w:vertAlign w:val="baseline"/>
        </w:rPr>
        <w:t> </w:t>
      </w:r>
      <w:r>
        <w:rPr>
          <w:sz w:val="21"/>
          <w:vertAlign w:val="baseline"/>
        </w:rPr>
        <w:t>and</w:t>
      </w:r>
      <w:r>
        <w:rPr>
          <w:spacing w:val="-2"/>
          <w:sz w:val="21"/>
          <w:vertAlign w:val="baseline"/>
        </w:rPr>
        <w:t> </w:t>
      </w:r>
      <w:r>
        <w:rPr>
          <w:sz w:val="21"/>
          <w:vertAlign w:val="baseline"/>
        </w:rPr>
        <w:t>straight</w:t>
      </w:r>
      <w:r>
        <w:rPr>
          <w:spacing w:val="-3"/>
          <w:sz w:val="21"/>
          <w:vertAlign w:val="baseline"/>
        </w:rPr>
        <w:t> </w:t>
      </w:r>
      <w:r>
        <w:rPr>
          <w:sz w:val="21"/>
          <w:vertAlign w:val="baseline"/>
        </w:rPr>
        <w:t>peers,</w:t>
      </w:r>
      <w:r>
        <w:rPr>
          <w:spacing w:val="-1"/>
          <w:sz w:val="21"/>
          <w:vertAlign w:val="baseline"/>
        </w:rPr>
        <w:t> </w:t>
      </w:r>
      <w:r>
        <w:rPr>
          <w:sz w:val="21"/>
          <w:vertAlign w:val="baseline"/>
        </w:rPr>
        <w:t>and a higher risk of youth homelessness.</w:t>
      </w:r>
    </w:p>
    <w:p>
      <w:pPr>
        <w:spacing w:line="276" w:lineRule="auto" w:before="240"/>
        <w:ind w:left="463" w:right="200" w:firstLine="0"/>
        <w:jc w:val="both"/>
        <w:rPr>
          <w:sz w:val="21"/>
        </w:rPr>
      </w:pPr>
      <w:r>
        <w:rPr>
          <w:sz w:val="21"/>
        </w:rPr>
        <w:t>In</w:t>
      </w:r>
      <w:r>
        <w:rPr>
          <w:spacing w:val="-11"/>
          <w:sz w:val="21"/>
        </w:rPr>
        <w:t> </w:t>
      </w:r>
      <w:r>
        <w:rPr>
          <w:sz w:val="21"/>
        </w:rPr>
        <w:t>fall</w:t>
      </w:r>
      <w:r>
        <w:rPr>
          <w:spacing w:val="-11"/>
          <w:sz w:val="21"/>
        </w:rPr>
        <w:t> </w:t>
      </w:r>
      <w:r>
        <w:rPr>
          <w:sz w:val="21"/>
        </w:rPr>
        <w:t>2023,</w:t>
      </w:r>
      <w:r>
        <w:rPr>
          <w:spacing w:val="-12"/>
          <w:sz w:val="21"/>
        </w:rPr>
        <w:t> </w:t>
      </w:r>
      <w:r>
        <w:rPr>
          <w:sz w:val="21"/>
        </w:rPr>
        <w:t>Governor</w:t>
      </w:r>
      <w:r>
        <w:rPr>
          <w:spacing w:val="-10"/>
          <w:sz w:val="21"/>
        </w:rPr>
        <w:t> </w:t>
      </w:r>
      <w:r>
        <w:rPr>
          <w:sz w:val="21"/>
        </w:rPr>
        <w:t>Maura</w:t>
      </w:r>
      <w:r>
        <w:rPr>
          <w:spacing w:val="-11"/>
          <w:sz w:val="21"/>
        </w:rPr>
        <w:t> </w:t>
      </w:r>
      <w:r>
        <w:rPr>
          <w:sz w:val="21"/>
        </w:rPr>
        <w:t>Healey</w:t>
      </w:r>
      <w:r>
        <w:rPr>
          <w:spacing w:val="-12"/>
          <w:sz w:val="21"/>
        </w:rPr>
        <w:t> </w:t>
      </w:r>
      <w:r>
        <w:rPr>
          <w:sz w:val="21"/>
        </w:rPr>
        <w:t>introduced</w:t>
      </w:r>
      <w:r>
        <w:rPr>
          <w:spacing w:val="-10"/>
          <w:sz w:val="21"/>
        </w:rPr>
        <w:t> </w:t>
      </w:r>
      <w:r>
        <w:rPr>
          <w:sz w:val="21"/>
        </w:rPr>
        <w:t>the</w:t>
      </w:r>
      <w:r>
        <w:rPr>
          <w:spacing w:val="-12"/>
          <w:sz w:val="21"/>
        </w:rPr>
        <w:t> </w:t>
      </w:r>
      <w:r>
        <w:rPr>
          <w:sz w:val="21"/>
        </w:rPr>
        <w:t>Affordable</w:t>
      </w:r>
      <w:r>
        <w:rPr>
          <w:spacing w:val="-10"/>
          <w:sz w:val="21"/>
        </w:rPr>
        <w:t> </w:t>
      </w:r>
      <w:r>
        <w:rPr>
          <w:sz w:val="21"/>
        </w:rPr>
        <w:t>Homes</w:t>
      </w:r>
      <w:r>
        <w:rPr>
          <w:spacing w:val="-12"/>
          <w:sz w:val="21"/>
        </w:rPr>
        <w:t> </w:t>
      </w:r>
      <w:r>
        <w:rPr>
          <w:sz w:val="21"/>
        </w:rPr>
        <w:t>Act,</w:t>
      </w:r>
      <w:r>
        <w:rPr>
          <w:spacing w:val="-10"/>
          <w:sz w:val="21"/>
        </w:rPr>
        <w:t> </w:t>
      </w:r>
      <w:r>
        <w:rPr>
          <w:sz w:val="21"/>
        </w:rPr>
        <w:t>a</w:t>
      </w:r>
      <w:r>
        <w:rPr>
          <w:spacing w:val="-12"/>
          <w:sz w:val="21"/>
        </w:rPr>
        <w:t> </w:t>
      </w:r>
      <w:r>
        <w:rPr>
          <w:sz w:val="21"/>
        </w:rPr>
        <w:t>bill</w:t>
      </w:r>
      <w:r>
        <w:rPr>
          <w:spacing w:val="-12"/>
          <w:sz w:val="21"/>
        </w:rPr>
        <w:t> </w:t>
      </w:r>
      <w:r>
        <w:rPr>
          <w:sz w:val="21"/>
        </w:rPr>
        <w:t>that</w:t>
      </w:r>
      <w:r>
        <w:rPr>
          <w:spacing w:val="-10"/>
          <w:sz w:val="21"/>
        </w:rPr>
        <w:t> </w:t>
      </w:r>
      <w:r>
        <w:rPr>
          <w:sz w:val="21"/>
        </w:rPr>
        <w:t>would</w:t>
      </w:r>
      <w:r>
        <w:rPr>
          <w:spacing w:val="-11"/>
          <w:sz w:val="21"/>
        </w:rPr>
        <w:t> </w:t>
      </w:r>
      <w:r>
        <w:rPr>
          <w:sz w:val="21"/>
        </w:rPr>
        <w:t>spend</w:t>
      </w:r>
      <w:r>
        <w:rPr>
          <w:spacing w:val="-12"/>
          <w:sz w:val="21"/>
        </w:rPr>
        <w:t> </w:t>
      </w:r>
      <w:r>
        <w:rPr>
          <w:sz w:val="21"/>
        </w:rPr>
        <w:t>$4</w:t>
      </w:r>
      <w:r>
        <w:rPr>
          <w:spacing w:val="-11"/>
          <w:sz w:val="21"/>
        </w:rPr>
        <w:t> </w:t>
      </w:r>
      <w:r>
        <w:rPr>
          <w:sz w:val="21"/>
        </w:rPr>
        <w:t>billion on creating over 40,000 units of accessible housing.</w:t>
      </w:r>
      <w:hyperlink w:history="true" w:anchor="_bookmark589">
        <w:r>
          <w:rPr>
            <w:sz w:val="21"/>
            <w:vertAlign w:val="superscript"/>
          </w:rPr>
          <w:t>35</w:t>
        </w:r>
      </w:hyperlink>
      <w:r>
        <w:rPr>
          <w:sz w:val="21"/>
          <w:vertAlign w:val="baseline"/>
        </w:rPr>
        <w:t> Governor Healey’s goal is to increase affordable housing for everyone, especially for first-time homebuyers and renters.</w:t>
      </w:r>
      <w:hyperlink w:history="true" w:anchor="_bookmark590">
        <w:r>
          <w:rPr>
            <w:sz w:val="21"/>
            <w:vertAlign w:val="superscript"/>
          </w:rPr>
          <w:t>36</w:t>
        </w:r>
      </w:hyperlink>
      <w:r>
        <w:rPr>
          <w:spacing w:val="-2"/>
          <w:sz w:val="21"/>
          <w:vertAlign w:val="baseline"/>
        </w:rPr>
        <w:t> </w:t>
      </w:r>
      <w:r>
        <w:rPr>
          <w:sz w:val="21"/>
          <w:vertAlign w:val="baseline"/>
        </w:rPr>
        <w:t>Affordable housing, especially that in the city or close to public transportation, will reduce the barriers to employment for LGBTQ youth.</w:t>
      </w:r>
    </w:p>
    <w:p>
      <w:pPr>
        <w:spacing w:before="240"/>
        <w:ind w:left="464" w:right="0" w:firstLine="0"/>
        <w:jc w:val="left"/>
        <w:rPr>
          <w:sz w:val="28"/>
        </w:rPr>
      </w:pPr>
      <w:bookmarkStart w:name="Education" w:id="839"/>
      <w:bookmarkEnd w:id="839"/>
      <w:r>
        <w:rPr/>
      </w:r>
      <w:r>
        <w:rPr>
          <w:color w:val="365F91"/>
          <w:spacing w:val="-2"/>
          <w:sz w:val="28"/>
        </w:rPr>
        <w:t>Education</w:t>
      </w:r>
    </w:p>
    <w:p>
      <w:pPr>
        <w:spacing w:line="276" w:lineRule="auto" w:before="291"/>
        <w:ind w:left="463" w:right="200" w:firstLine="0"/>
        <w:jc w:val="both"/>
        <w:rPr>
          <w:sz w:val="21"/>
        </w:rPr>
      </w:pPr>
      <w:r>
        <w:rPr>
          <w:sz w:val="21"/>
        </w:rPr>
        <w:t>Education is an important determinant of economic outcomes for youth. According to the US Bureau of Labor Statistics, those with a high school diploma earn 25% more than those with less than a high school diploma and have an unemployment rate of 4% compared to 5.5% for those with less than a high school diploma.</w:t>
      </w:r>
      <w:hyperlink w:history="true" w:anchor="_bookmark591">
        <w:r>
          <w:rPr>
            <w:sz w:val="21"/>
            <w:vertAlign w:val="superscript"/>
          </w:rPr>
          <w:t>37</w:t>
        </w:r>
      </w:hyperlink>
      <w:r>
        <w:rPr>
          <w:sz w:val="21"/>
          <w:vertAlign w:val="baseline"/>
        </w:rPr>
        <w:t> LGBTQ youth may have a more difficult time finishing high school than their cisgender and straight peers due</w:t>
      </w:r>
      <w:r>
        <w:rPr>
          <w:spacing w:val="-1"/>
          <w:sz w:val="21"/>
          <w:vertAlign w:val="baseline"/>
        </w:rPr>
        <w:t> </w:t>
      </w:r>
      <w:r>
        <w:rPr>
          <w:sz w:val="21"/>
          <w:vertAlign w:val="baseline"/>
        </w:rPr>
        <w:t>to educational exclusion, which includes discrimination, bullying, and harsher discipline for LGBTQ youth, specifically those who are Black, Latinx, Native, and Indigenous.</w:t>
      </w:r>
      <w:hyperlink w:history="true" w:anchor="_bookmark592">
        <w:r>
          <w:rPr>
            <w:sz w:val="21"/>
            <w:vertAlign w:val="superscript"/>
          </w:rPr>
          <w:t>38</w:t>
        </w:r>
      </w:hyperlink>
    </w:p>
    <w:p>
      <w:pPr>
        <w:spacing w:line="276" w:lineRule="auto" w:before="240"/>
        <w:ind w:left="464" w:right="198" w:firstLine="0"/>
        <w:jc w:val="both"/>
        <w:rPr>
          <w:sz w:val="21"/>
        </w:rPr>
      </w:pPr>
      <w:r>
        <w:rPr>
          <w:sz w:val="21"/>
        </w:rPr>
        <w:t>A promising alternative to traditional high school is technical or vocational education. While technical education</w:t>
      </w:r>
      <w:r>
        <w:rPr>
          <w:spacing w:val="-11"/>
          <w:sz w:val="21"/>
        </w:rPr>
        <w:t> </w:t>
      </w:r>
      <w:r>
        <w:rPr>
          <w:sz w:val="21"/>
        </w:rPr>
        <w:t>offers</w:t>
      </w:r>
      <w:r>
        <w:rPr>
          <w:spacing w:val="-11"/>
          <w:sz w:val="21"/>
        </w:rPr>
        <w:t> </w:t>
      </w:r>
      <w:r>
        <w:rPr>
          <w:sz w:val="21"/>
        </w:rPr>
        <w:t>various</w:t>
      </w:r>
      <w:r>
        <w:rPr>
          <w:spacing w:val="-11"/>
          <w:sz w:val="21"/>
        </w:rPr>
        <w:t> </w:t>
      </w:r>
      <w:r>
        <w:rPr>
          <w:sz w:val="21"/>
        </w:rPr>
        <w:t>benefits</w:t>
      </w:r>
      <w:r>
        <w:rPr>
          <w:spacing w:val="-11"/>
          <w:sz w:val="21"/>
        </w:rPr>
        <w:t> </w:t>
      </w:r>
      <w:r>
        <w:rPr>
          <w:sz w:val="21"/>
        </w:rPr>
        <w:t>such</w:t>
      </w:r>
      <w:r>
        <w:rPr>
          <w:spacing w:val="-11"/>
          <w:sz w:val="21"/>
        </w:rPr>
        <w:t> </w:t>
      </w:r>
      <w:r>
        <w:rPr>
          <w:sz w:val="21"/>
        </w:rPr>
        <w:t>as</w:t>
      </w:r>
      <w:r>
        <w:rPr>
          <w:spacing w:val="-11"/>
          <w:sz w:val="21"/>
        </w:rPr>
        <w:t> </w:t>
      </w:r>
      <w:r>
        <w:rPr>
          <w:sz w:val="21"/>
        </w:rPr>
        <w:t>increased</w:t>
      </w:r>
      <w:r>
        <w:rPr>
          <w:spacing w:val="-11"/>
          <w:sz w:val="21"/>
        </w:rPr>
        <w:t> </w:t>
      </w:r>
      <w:r>
        <w:rPr>
          <w:sz w:val="21"/>
        </w:rPr>
        <w:t>earnings</w:t>
      </w:r>
      <w:r>
        <w:rPr>
          <w:spacing w:val="-11"/>
          <w:sz w:val="21"/>
        </w:rPr>
        <w:t> </w:t>
      </w:r>
      <w:r>
        <w:rPr>
          <w:sz w:val="21"/>
        </w:rPr>
        <w:t>without</w:t>
      </w:r>
      <w:r>
        <w:rPr>
          <w:spacing w:val="-11"/>
          <w:sz w:val="21"/>
        </w:rPr>
        <w:t> </w:t>
      </w:r>
      <w:r>
        <w:rPr>
          <w:sz w:val="21"/>
        </w:rPr>
        <w:t>a</w:t>
      </w:r>
      <w:r>
        <w:rPr>
          <w:spacing w:val="-11"/>
          <w:sz w:val="21"/>
        </w:rPr>
        <w:t> </w:t>
      </w:r>
      <w:r>
        <w:rPr>
          <w:sz w:val="21"/>
        </w:rPr>
        <w:t>college</w:t>
      </w:r>
      <w:r>
        <w:rPr>
          <w:spacing w:val="-11"/>
          <w:sz w:val="21"/>
        </w:rPr>
        <w:t> </w:t>
      </w:r>
      <w:r>
        <w:rPr>
          <w:sz w:val="21"/>
        </w:rPr>
        <w:t>degree,</w:t>
      </w:r>
      <w:r>
        <w:rPr>
          <w:spacing w:val="-11"/>
          <w:sz w:val="21"/>
        </w:rPr>
        <w:t> </w:t>
      </w:r>
      <w:r>
        <w:rPr>
          <w:sz w:val="21"/>
        </w:rPr>
        <w:t>MA</w:t>
      </w:r>
      <w:r>
        <w:rPr>
          <w:spacing w:val="-11"/>
          <w:sz w:val="21"/>
        </w:rPr>
        <w:t> </w:t>
      </w:r>
      <w:r>
        <w:rPr>
          <w:sz w:val="21"/>
        </w:rPr>
        <w:t>technical</w:t>
      </w:r>
      <w:r>
        <w:rPr>
          <w:spacing w:val="-11"/>
          <w:sz w:val="21"/>
        </w:rPr>
        <w:t> </w:t>
      </w:r>
      <w:r>
        <w:rPr>
          <w:sz w:val="21"/>
        </w:rPr>
        <w:t>schools have a shortage of seats and have discriminated against vulnerable youth populations, including youth of color,</w:t>
      </w:r>
      <w:r>
        <w:rPr>
          <w:spacing w:val="-8"/>
          <w:sz w:val="21"/>
        </w:rPr>
        <w:t> </w:t>
      </w:r>
      <w:r>
        <w:rPr>
          <w:sz w:val="21"/>
        </w:rPr>
        <w:t>youth</w:t>
      </w:r>
      <w:r>
        <w:rPr>
          <w:spacing w:val="-8"/>
          <w:sz w:val="21"/>
        </w:rPr>
        <w:t> </w:t>
      </w:r>
      <w:r>
        <w:rPr>
          <w:sz w:val="21"/>
        </w:rPr>
        <w:t>from</w:t>
      </w:r>
      <w:r>
        <w:rPr>
          <w:spacing w:val="-8"/>
          <w:sz w:val="21"/>
        </w:rPr>
        <w:t> </w:t>
      </w:r>
      <w:r>
        <w:rPr>
          <w:sz w:val="21"/>
        </w:rPr>
        <w:t>low-income</w:t>
      </w:r>
      <w:r>
        <w:rPr>
          <w:spacing w:val="-8"/>
          <w:sz w:val="21"/>
        </w:rPr>
        <w:t> </w:t>
      </w:r>
      <w:r>
        <w:rPr>
          <w:sz w:val="21"/>
        </w:rPr>
        <w:t>families,</w:t>
      </w:r>
      <w:r>
        <w:rPr>
          <w:spacing w:val="-8"/>
          <w:sz w:val="21"/>
        </w:rPr>
        <w:t> </w:t>
      </w:r>
      <w:r>
        <w:rPr>
          <w:sz w:val="21"/>
        </w:rPr>
        <w:t>English</w:t>
      </w:r>
      <w:r>
        <w:rPr>
          <w:spacing w:val="-8"/>
          <w:sz w:val="21"/>
        </w:rPr>
        <w:t> </w:t>
      </w:r>
      <w:r>
        <w:rPr>
          <w:sz w:val="21"/>
        </w:rPr>
        <w:t>language</w:t>
      </w:r>
      <w:r>
        <w:rPr>
          <w:spacing w:val="-8"/>
          <w:sz w:val="21"/>
        </w:rPr>
        <w:t> </w:t>
      </w:r>
      <w:r>
        <w:rPr>
          <w:sz w:val="21"/>
        </w:rPr>
        <w:t>learners,</w:t>
      </w:r>
      <w:r>
        <w:rPr>
          <w:spacing w:val="-8"/>
          <w:sz w:val="21"/>
        </w:rPr>
        <w:t> </w:t>
      </w:r>
      <w:r>
        <w:rPr>
          <w:sz w:val="21"/>
        </w:rPr>
        <w:t>and</w:t>
      </w:r>
      <w:r>
        <w:rPr>
          <w:spacing w:val="-8"/>
          <w:sz w:val="21"/>
        </w:rPr>
        <w:t> </w:t>
      </w:r>
      <w:r>
        <w:rPr>
          <w:sz w:val="21"/>
        </w:rPr>
        <w:t>students</w:t>
      </w:r>
      <w:r>
        <w:rPr>
          <w:spacing w:val="-9"/>
          <w:sz w:val="21"/>
        </w:rPr>
        <w:t> </w:t>
      </w:r>
      <w:r>
        <w:rPr>
          <w:sz w:val="21"/>
        </w:rPr>
        <w:t>with</w:t>
      </w:r>
      <w:r>
        <w:rPr>
          <w:spacing w:val="-9"/>
          <w:sz w:val="21"/>
        </w:rPr>
        <w:t> </w:t>
      </w:r>
      <w:r>
        <w:rPr>
          <w:sz w:val="21"/>
        </w:rPr>
        <w:t>disabilities.</w:t>
      </w:r>
      <w:hyperlink w:history="true" w:anchor="_bookmark593">
        <w:r>
          <w:rPr>
            <w:sz w:val="21"/>
            <w:vertAlign w:val="superscript"/>
          </w:rPr>
          <w:t>39</w:t>
        </w:r>
      </w:hyperlink>
      <w:r>
        <w:rPr>
          <w:spacing w:val="-2"/>
          <w:sz w:val="21"/>
          <w:vertAlign w:val="baseline"/>
        </w:rPr>
        <w:t> </w:t>
      </w:r>
      <w:r>
        <w:rPr>
          <w:sz w:val="21"/>
          <w:vertAlign w:val="baseline"/>
        </w:rPr>
        <w:t>Although there is recorded discrimination in the admissions process for MA technical schools, there has not been research into anti-LGBTQ discrimination. This should be investigated considering the history of discrimination against other at-risk youth in the admissions process.</w:t>
      </w:r>
    </w:p>
    <w:p>
      <w:pPr>
        <w:spacing w:line="276" w:lineRule="auto" w:before="241"/>
        <w:ind w:left="464" w:right="201" w:firstLine="0"/>
        <w:jc w:val="both"/>
        <w:rPr>
          <w:sz w:val="21"/>
        </w:rPr>
      </w:pPr>
      <w:r>
        <w:rPr/>
        <w:drawing>
          <wp:anchor distT="0" distB="0" distL="0" distR="0" allowOverlap="1" layoutInCell="1" locked="0" behindDoc="0" simplePos="0" relativeHeight="15823872">
            <wp:simplePos x="0" y="0"/>
            <wp:positionH relativeFrom="page">
              <wp:posOffset>3966369</wp:posOffset>
            </wp:positionH>
            <wp:positionV relativeFrom="paragraph">
              <wp:posOffset>662312</wp:posOffset>
            </wp:positionV>
            <wp:extent cx="2854183" cy="1496901"/>
            <wp:effectExtent l="0" t="0" r="0" b="0"/>
            <wp:wrapNone/>
            <wp:docPr id="508" name="Image 508"/>
            <wp:cNvGraphicFramePr>
              <a:graphicFrameLocks/>
            </wp:cNvGraphicFramePr>
            <a:graphic>
              <a:graphicData uri="http://schemas.openxmlformats.org/drawingml/2006/picture">
                <pic:pic>
                  <pic:nvPicPr>
                    <pic:cNvPr id="508" name="Image 508"/>
                    <pic:cNvPicPr/>
                  </pic:nvPicPr>
                  <pic:blipFill>
                    <a:blip r:embed="rId648" cstate="print"/>
                    <a:stretch>
                      <a:fillRect/>
                    </a:stretch>
                  </pic:blipFill>
                  <pic:spPr>
                    <a:xfrm>
                      <a:off x="0" y="0"/>
                      <a:ext cx="2854183" cy="1496901"/>
                    </a:xfrm>
                    <a:prstGeom prst="rect">
                      <a:avLst/>
                    </a:prstGeom>
                  </pic:spPr>
                </pic:pic>
              </a:graphicData>
            </a:graphic>
          </wp:anchor>
        </w:drawing>
      </w:r>
      <w:r>
        <w:rPr>
          <w:sz w:val="21"/>
        </w:rPr>
        <w:t>In addition to obtaining a diploma, there are benefits to attending higher education. According to the US Bureau of Labor Statistics, those with a college degree earn about 67% more than those with only a high school diploma and have an unemployment rate of</w:t>
      </w:r>
    </w:p>
    <w:p>
      <w:pPr>
        <w:spacing w:line="276" w:lineRule="auto" w:before="0"/>
        <w:ind w:left="464" w:right="4945" w:firstLine="0"/>
        <w:jc w:val="both"/>
        <w:rPr>
          <w:sz w:val="21"/>
        </w:rPr>
      </w:pPr>
      <w:r>
        <w:rPr>
          <w:sz w:val="21"/>
        </w:rPr>
        <w:t>2.2% compared to 4% for those with only a high school diploma. </w:t>
      </w:r>
      <w:hyperlink w:history="true" w:anchor="_bookmark594">
        <w:r>
          <w:rPr>
            <w:sz w:val="21"/>
            <w:vertAlign w:val="superscript"/>
          </w:rPr>
          <w:t>40</w:t>
        </w:r>
      </w:hyperlink>
      <w:r>
        <w:rPr>
          <w:sz w:val="21"/>
          <w:vertAlign w:val="baseline"/>
        </w:rPr>
        <w:t> There are many barriers to higher education, such as the high cost of tuition which causes many students to take out loans and potentially go into debt. In November 2023, Governor Maura Healey announced a financial aid expansion for MA students who attend MA community</w:t>
      </w:r>
      <w:r>
        <w:rPr>
          <w:spacing w:val="-12"/>
          <w:sz w:val="21"/>
          <w:vertAlign w:val="baseline"/>
        </w:rPr>
        <w:t> </w:t>
      </w:r>
      <w:r>
        <w:rPr>
          <w:sz w:val="21"/>
          <w:vertAlign w:val="baseline"/>
        </w:rPr>
        <w:t>colleges,</w:t>
      </w:r>
      <w:r>
        <w:rPr>
          <w:spacing w:val="-11"/>
          <w:sz w:val="21"/>
          <w:vertAlign w:val="baseline"/>
        </w:rPr>
        <w:t> </w:t>
      </w:r>
      <w:r>
        <w:rPr>
          <w:sz w:val="21"/>
          <w:vertAlign w:val="baseline"/>
        </w:rPr>
        <w:t>MA</w:t>
      </w:r>
      <w:r>
        <w:rPr>
          <w:spacing w:val="-12"/>
          <w:sz w:val="21"/>
          <w:vertAlign w:val="baseline"/>
        </w:rPr>
        <w:t> </w:t>
      </w:r>
      <w:r>
        <w:rPr>
          <w:sz w:val="21"/>
          <w:vertAlign w:val="baseline"/>
        </w:rPr>
        <w:t>state</w:t>
      </w:r>
      <w:r>
        <w:rPr>
          <w:spacing w:val="-12"/>
          <w:sz w:val="21"/>
          <w:vertAlign w:val="baseline"/>
        </w:rPr>
        <w:t> </w:t>
      </w:r>
      <w:r>
        <w:rPr>
          <w:sz w:val="21"/>
          <w:vertAlign w:val="baseline"/>
        </w:rPr>
        <w:t>universities,</w:t>
      </w:r>
      <w:r>
        <w:rPr>
          <w:spacing w:val="-11"/>
          <w:sz w:val="21"/>
          <w:vertAlign w:val="baseline"/>
        </w:rPr>
        <w:t> </w:t>
      </w:r>
      <w:r>
        <w:rPr>
          <w:sz w:val="21"/>
          <w:vertAlign w:val="baseline"/>
        </w:rPr>
        <w:t>and</w:t>
      </w:r>
      <w:r>
        <w:rPr>
          <w:spacing w:val="-12"/>
          <w:sz w:val="21"/>
          <w:vertAlign w:val="baseline"/>
        </w:rPr>
        <w:t> </w:t>
      </w:r>
      <w:r>
        <w:rPr>
          <w:sz w:val="21"/>
          <w:vertAlign w:val="baseline"/>
        </w:rPr>
        <w:t>the University</w:t>
      </w:r>
      <w:r>
        <w:rPr>
          <w:spacing w:val="6"/>
          <w:sz w:val="21"/>
          <w:vertAlign w:val="baseline"/>
        </w:rPr>
        <w:t> </w:t>
      </w:r>
      <w:r>
        <w:rPr>
          <w:sz w:val="21"/>
          <w:vertAlign w:val="baseline"/>
        </w:rPr>
        <w:t>of</w:t>
      </w:r>
      <w:r>
        <w:rPr>
          <w:spacing w:val="10"/>
          <w:sz w:val="21"/>
          <w:vertAlign w:val="baseline"/>
        </w:rPr>
        <w:t> </w:t>
      </w:r>
      <w:r>
        <w:rPr>
          <w:sz w:val="21"/>
          <w:vertAlign w:val="baseline"/>
        </w:rPr>
        <w:t>Massachusetts.</w:t>
      </w:r>
      <w:r>
        <w:rPr>
          <w:spacing w:val="8"/>
          <w:sz w:val="21"/>
          <w:vertAlign w:val="baseline"/>
        </w:rPr>
        <w:t> </w:t>
      </w:r>
      <w:r>
        <w:rPr>
          <w:sz w:val="21"/>
          <w:vertAlign w:val="baseline"/>
        </w:rPr>
        <w:t>This</w:t>
      </w:r>
      <w:r>
        <w:rPr>
          <w:spacing w:val="9"/>
          <w:sz w:val="21"/>
          <w:vertAlign w:val="baseline"/>
        </w:rPr>
        <w:t> </w:t>
      </w:r>
      <w:r>
        <w:rPr>
          <w:sz w:val="21"/>
          <w:vertAlign w:val="baseline"/>
        </w:rPr>
        <w:t>MASSGrant</w:t>
      </w:r>
      <w:r>
        <w:rPr>
          <w:spacing w:val="10"/>
          <w:sz w:val="21"/>
          <w:vertAlign w:val="baseline"/>
        </w:rPr>
        <w:t> </w:t>
      </w:r>
      <w:r>
        <w:rPr>
          <w:spacing w:val="-4"/>
          <w:sz w:val="21"/>
          <w:vertAlign w:val="baseline"/>
        </w:rPr>
        <w:t>Plus</w:t>
      </w:r>
    </w:p>
    <w:p>
      <w:pPr>
        <w:spacing w:line="276" w:lineRule="auto" w:before="0"/>
        <w:ind w:left="464" w:right="199" w:firstLine="0"/>
        <w:jc w:val="both"/>
        <w:rPr>
          <w:sz w:val="21"/>
        </w:rPr>
      </w:pPr>
      <w:r>
        <w:rPr>
          <w:sz w:val="21"/>
        </w:rPr>
        <w:t>Expansion program will cover tuition, fees, books, and supply-costs for Pell-Grant eligible students and reduce</w:t>
      </w:r>
      <w:r>
        <w:rPr>
          <w:spacing w:val="-4"/>
          <w:sz w:val="21"/>
        </w:rPr>
        <w:t> </w:t>
      </w:r>
      <w:r>
        <w:rPr>
          <w:sz w:val="21"/>
        </w:rPr>
        <w:t>expenses</w:t>
      </w:r>
      <w:r>
        <w:rPr>
          <w:spacing w:val="-5"/>
          <w:sz w:val="21"/>
        </w:rPr>
        <w:t> </w:t>
      </w:r>
      <w:r>
        <w:rPr>
          <w:sz w:val="21"/>
        </w:rPr>
        <w:t>for</w:t>
      </w:r>
      <w:r>
        <w:rPr>
          <w:spacing w:val="-4"/>
          <w:sz w:val="21"/>
        </w:rPr>
        <w:t> </w:t>
      </w:r>
      <w:r>
        <w:rPr>
          <w:sz w:val="21"/>
        </w:rPr>
        <w:t>middle-income</w:t>
      </w:r>
      <w:r>
        <w:rPr>
          <w:spacing w:val="-4"/>
          <w:sz w:val="21"/>
        </w:rPr>
        <w:t> </w:t>
      </w:r>
      <w:r>
        <w:rPr>
          <w:sz w:val="21"/>
        </w:rPr>
        <w:t>students</w:t>
      </w:r>
      <w:r>
        <w:rPr>
          <w:spacing w:val="-5"/>
          <w:sz w:val="21"/>
        </w:rPr>
        <w:t> </w:t>
      </w:r>
      <w:r>
        <w:rPr>
          <w:sz w:val="21"/>
        </w:rPr>
        <w:t>by</w:t>
      </w:r>
      <w:r>
        <w:rPr>
          <w:spacing w:val="-5"/>
          <w:sz w:val="21"/>
        </w:rPr>
        <w:t> </w:t>
      </w:r>
      <w:r>
        <w:rPr>
          <w:sz w:val="21"/>
        </w:rPr>
        <w:t>up</w:t>
      </w:r>
      <w:r>
        <w:rPr>
          <w:spacing w:val="-4"/>
          <w:sz w:val="21"/>
        </w:rPr>
        <w:t> </w:t>
      </w:r>
      <w:r>
        <w:rPr>
          <w:sz w:val="21"/>
        </w:rPr>
        <w:t>to</w:t>
      </w:r>
      <w:r>
        <w:rPr>
          <w:spacing w:val="-6"/>
          <w:sz w:val="21"/>
        </w:rPr>
        <w:t> </w:t>
      </w:r>
      <w:r>
        <w:rPr>
          <w:sz w:val="21"/>
        </w:rPr>
        <w:t>50%.</w:t>
      </w:r>
      <w:hyperlink w:history="true" w:anchor="_bookmark595">
        <w:r>
          <w:rPr>
            <w:sz w:val="21"/>
            <w:vertAlign w:val="superscript"/>
          </w:rPr>
          <w:t>41</w:t>
        </w:r>
      </w:hyperlink>
      <w:r>
        <w:rPr>
          <w:spacing w:val="-2"/>
          <w:sz w:val="21"/>
          <w:vertAlign w:val="baseline"/>
        </w:rPr>
        <w:t> </w:t>
      </w:r>
      <w:r>
        <w:rPr>
          <w:sz w:val="21"/>
          <w:vertAlign w:val="baseline"/>
        </w:rPr>
        <w:t>Providing</w:t>
      </w:r>
      <w:r>
        <w:rPr>
          <w:spacing w:val="-4"/>
          <w:sz w:val="21"/>
          <w:vertAlign w:val="baseline"/>
        </w:rPr>
        <w:t> </w:t>
      </w:r>
      <w:r>
        <w:rPr>
          <w:sz w:val="21"/>
          <w:vertAlign w:val="baseline"/>
        </w:rPr>
        <w:t>this</w:t>
      </w:r>
      <w:r>
        <w:rPr>
          <w:spacing w:val="-5"/>
          <w:sz w:val="21"/>
          <w:vertAlign w:val="baseline"/>
        </w:rPr>
        <w:t> </w:t>
      </w:r>
      <w:r>
        <w:rPr>
          <w:sz w:val="21"/>
          <w:vertAlign w:val="baseline"/>
        </w:rPr>
        <w:t>kind</w:t>
      </w:r>
      <w:r>
        <w:rPr>
          <w:spacing w:val="-4"/>
          <w:sz w:val="21"/>
          <w:vertAlign w:val="baseline"/>
        </w:rPr>
        <w:t> </w:t>
      </w:r>
      <w:r>
        <w:rPr>
          <w:sz w:val="21"/>
          <w:vertAlign w:val="baseline"/>
        </w:rPr>
        <w:t>of</w:t>
      </w:r>
      <w:r>
        <w:rPr>
          <w:spacing w:val="-5"/>
          <w:sz w:val="21"/>
          <w:vertAlign w:val="baseline"/>
        </w:rPr>
        <w:t> </w:t>
      </w:r>
      <w:r>
        <w:rPr>
          <w:sz w:val="21"/>
          <w:vertAlign w:val="baseline"/>
        </w:rPr>
        <w:t>support</w:t>
      </w:r>
      <w:r>
        <w:rPr>
          <w:spacing w:val="-4"/>
          <w:sz w:val="21"/>
          <w:vertAlign w:val="baseline"/>
        </w:rPr>
        <w:t> </w:t>
      </w:r>
      <w:r>
        <w:rPr>
          <w:sz w:val="21"/>
          <w:vertAlign w:val="baseline"/>
        </w:rPr>
        <w:t>and</w:t>
      </w:r>
      <w:r>
        <w:rPr>
          <w:spacing w:val="-4"/>
          <w:sz w:val="21"/>
          <w:vertAlign w:val="baseline"/>
        </w:rPr>
        <w:t> </w:t>
      </w:r>
      <w:r>
        <w:rPr>
          <w:sz w:val="21"/>
          <w:vertAlign w:val="baseline"/>
        </w:rPr>
        <w:t>decreasing</w:t>
      </w:r>
    </w:p>
    <w:p>
      <w:pPr>
        <w:spacing w:after="0" w:line="276" w:lineRule="auto"/>
        <w:jc w:val="both"/>
        <w:rPr>
          <w:sz w:val="21"/>
        </w:rPr>
        <w:sectPr>
          <w:pgSz w:w="12240" w:h="15840"/>
          <w:pgMar w:header="763" w:footer="1041" w:top="1380" w:bottom="1240" w:left="1120" w:right="1380"/>
        </w:sectPr>
      </w:pPr>
    </w:p>
    <w:p>
      <w:pPr>
        <w:spacing w:line="276" w:lineRule="auto" w:before="47"/>
        <w:ind w:left="464" w:right="201" w:firstLine="0"/>
        <w:jc w:val="both"/>
        <w:rPr>
          <w:sz w:val="21"/>
        </w:rPr>
      </w:pPr>
      <w:r>
        <w:rPr>
          <w:sz w:val="21"/>
        </w:rPr>
        <w:t>the barriers to higher education will lead to better economic outcomes for youth overall and youth from marginalized communities.</w:t>
      </w:r>
    </w:p>
    <w:p>
      <w:pPr>
        <w:spacing w:line="276" w:lineRule="auto" w:before="240"/>
        <w:ind w:left="463" w:right="199" w:firstLine="0"/>
        <w:jc w:val="both"/>
        <w:rPr>
          <w:sz w:val="21"/>
        </w:rPr>
      </w:pPr>
      <w:r>
        <w:rPr>
          <w:sz w:val="21"/>
        </w:rPr>
        <w:t>Youth with disabilities and immigrant youth may need additional resources to succeed academically and transition</w:t>
      </w:r>
      <w:r>
        <w:rPr>
          <w:spacing w:val="-12"/>
          <w:sz w:val="21"/>
        </w:rPr>
        <w:t> </w:t>
      </w:r>
      <w:r>
        <w:rPr>
          <w:sz w:val="21"/>
        </w:rPr>
        <w:t>to</w:t>
      </w:r>
      <w:r>
        <w:rPr>
          <w:spacing w:val="-12"/>
          <w:sz w:val="21"/>
        </w:rPr>
        <w:t> </w:t>
      </w:r>
      <w:r>
        <w:rPr>
          <w:sz w:val="21"/>
        </w:rPr>
        <w:t>the</w:t>
      </w:r>
      <w:r>
        <w:rPr>
          <w:spacing w:val="-12"/>
          <w:sz w:val="21"/>
        </w:rPr>
        <w:t> </w:t>
      </w:r>
      <w:r>
        <w:rPr>
          <w:sz w:val="21"/>
        </w:rPr>
        <w:t>workforce</w:t>
      </w:r>
      <w:r>
        <w:rPr>
          <w:spacing w:val="-12"/>
          <w:sz w:val="21"/>
        </w:rPr>
        <w:t> </w:t>
      </w:r>
      <w:r>
        <w:rPr>
          <w:sz w:val="21"/>
        </w:rPr>
        <w:t>or</w:t>
      </w:r>
      <w:r>
        <w:rPr>
          <w:spacing w:val="-12"/>
          <w:sz w:val="21"/>
        </w:rPr>
        <w:t> </w:t>
      </w:r>
      <w:r>
        <w:rPr>
          <w:sz w:val="21"/>
        </w:rPr>
        <w:t>to</w:t>
      </w:r>
      <w:r>
        <w:rPr>
          <w:spacing w:val="-12"/>
          <w:sz w:val="21"/>
        </w:rPr>
        <w:t> </w:t>
      </w:r>
      <w:r>
        <w:rPr>
          <w:sz w:val="21"/>
        </w:rPr>
        <w:t>higher</w:t>
      </w:r>
      <w:r>
        <w:rPr>
          <w:spacing w:val="-12"/>
          <w:sz w:val="21"/>
        </w:rPr>
        <w:t> </w:t>
      </w:r>
      <w:r>
        <w:rPr>
          <w:sz w:val="21"/>
        </w:rPr>
        <w:t>education.</w:t>
      </w:r>
      <w:r>
        <w:rPr>
          <w:spacing w:val="-11"/>
          <w:sz w:val="21"/>
        </w:rPr>
        <w:t> </w:t>
      </w:r>
      <w:r>
        <w:rPr>
          <w:sz w:val="21"/>
        </w:rPr>
        <w:t>DESE</w:t>
      </w:r>
      <w:r>
        <w:rPr>
          <w:spacing w:val="-12"/>
          <w:sz w:val="21"/>
        </w:rPr>
        <w:t> </w:t>
      </w:r>
      <w:r>
        <w:rPr>
          <w:sz w:val="21"/>
        </w:rPr>
        <w:t>provides</w:t>
      </w:r>
      <w:r>
        <w:rPr>
          <w:spacing w:val="-12"/>
          <w:sz w:val="21"/>
        </w:rPr>
        <w:t> </w:t>
      </w:r>
      <w:r>
        <w:rPr>
          <w:sz w:val="21"/>
        </w:rPr>
        <w:t>educational</w:t>
      </w:r>
      <w:r>
        <w:rPr>
          <w:spacing w:val="-12"/>
          <w:sz w:val="21"/>
        </w:rPr>
        <w:t> </w:t>
      </w:r>
      <w:r>
        <w:rPr>
          <w:sz w:val="21"/>
        </w:rPr>
        <w:t>resources</w:t>
      </w:r>
      <w:r>
        <w:rPr>
          <w:spacing w:val="-12"/>
          <w:sz w:val="21"/>
        </w:rPr>
        <w:t> </w:t>
      </w:r>
      <w:r>
        <w:rPr>
          <w:sz w:val="21"/>
        </w:rPr>
        <w:t>to</w:t>
      </w:r>
      <w:r>
        <w:rPr>
          <w:spacing w:val="-12"/>
          <w:sz w:val="21"/>
        </w:rPr>
        <w:t> </w:t>
      </w:r>
      <w:r>
        <w:rPr>
          <w:sz w:val="21"/>
        </w:rPr>
        <w:t>support</w:t>
      </w:r>
      <w:r>
        <w:rPr>
          <w:spacing w:val="-12"/>
          <w:sz w:val="21"/>
        </w:rPr>
        <w:t> </w:t>
      </w:r>
      <w:r>
        <w:rPr>
          <w:sz w:val="21"/>
        </w:rPr>
        <w:t>students with disabilities and ensure that education is</w:t>
      </w:r>
      <w:r>
        <w:rPr>
          <w:spacing w:val="-1"/>
          <w:sz w:val="21"/>
        </w:rPr>
        <w:t> </w:t>
      </w:r>
      <w:r>
        <w:rPr>
          <w:sz w:val="21"/>
        </w:rPr>
        <w:t>accessible. Bilingual education and English language learning (ELL) are critical to the academic success of immigrant youth.</w:t>
      </w:r>
      <w:hyperlink w:history="true" w:anchor="_bookmark596">
        <w:r>
          <w:rPr>
            <w:sz w:val="21"/>
            <w:vertAlign w:val="superscript"/>
          </w:rPr>
          <w:t>42</w:t>
        </w:r>
      </w:hyperlink>
      <w:r>
        <w:rPr>
          <w:spacing w:val="-1"/>
          <w:sz w:val="21"/>
          <w:vertAlign w:val="baseline"/>
        </w:rPr>
        <w:t> </w:t>
      </w:r>
      <w:r>
        <w:rPr>
          <w:sz w:val="21"/>
          <w:vertAlign w:val="baseline"/>
        </w:rPr>
        <w:t>In addition to ELL, schools must provide resources for the social-emotional and trauma-informed needs of immigrant youth and youth who are refugees.</w:t>
      </w:r>
      <w:hyperlink w:history="true" w:anchor="_bookmark597">
        <w:r>
          <w:rPr>
            <w:sz w:val="21"/>
            <w:vertAlign w:val="superscript"/>
          </w:rPr>
          <w:t>43</w:t>
        </w:r>
      </w:hyperlink>
      <w:r>
        <w:rPr>
          <w:spacing w:val="-7"/>
          <w:sz w:val="21"/>
          <w:vertAlign w:val="baseline"/>
        </w:rPr>
        <w:t> </w:t>
      </w:r>
      <w:r>
        <w:rPr>
          <w:sz w:val="21"/>
          <w:vertAlign w:val="baseline"/>
        </w:rPr>
        <w:t>DESE</w:t>
      </w:r>
      <w:r>
        <w:rPr>
          <w:spacing w:val="-12"/>
          <w:sz w:val="21"/>
          <w:vertAlign w:val="baseline"/>
        </w:rPr>
        <w:t> </w:t>
      </w:r>
      <w:r>
        <w:rPr>
          <w:sz w:val="21"/>
          <w:vertAlign w:val="baseline"/>
        </w:rPr>
        <w:t>provides</w:t>
      </w:r>
      <w:r>
        <w:rPr>
          <w:spacing w:val="-12"/>
          <w:sz w:val="21"/>
          <w:vertAlign w:val="baseline"/>
        </w:rPr>
        <w:t> </w:t>
      </w:r>
      <w:r>
        <w:rPr>
          <w:sz w:val="21"/>
          <w:vertAlign w:val="baseline"/>
        </w:rPr>
        <w:t>educational</w:t>
      </w:r>
      <w:r>
        <w:rPr>
          <w:spacing w:val="-12"/>
          <w:sz w:val="21"/>
          <w:vertAlign w:val="baseline"/>
        </w:rPr>
        <w:t> </w:t>
      </w:r>
      <w:r>
        <w:rPr>
          <w:sz w:val="21"/>
          <w:vertAlign w:val="baseline"/>
        </w:rPr>
        <w:t>resources</w:t>
      </w:r>
      <w:r>
        <w:rPr>
          <w:spacing w:val="-11"/>
          <w:sz w:val="21"/>
          <w:vertAlign w:val="baseline"/>
        </w:rPr>
        <w:t> </w:t>
      </w:r>
      <w:r>
        <w:rPr>
          <w:sz w:val="21"/>
          <w:vertAlign w:val="baseline"/>
        </w:rPr>
        <w:t>for</w:t>
      </w:r>
      <w:r>
        <w:rPr>
          <w:spacing w:val="-12"/>
          <w:sz w:val="21"/>
          <w:vertAlign w:val="baseline"/>
        </w:rPr>
        <w:t> </w:t>
      </w:r>
      <w:r>
        <w:rPr>
          <w:sz w:val="21"/>
          <w:vertAlign w:val="baseline"/>
        </w:rPr>
        <w:t>educators</w:t>
      </w:r>
      <w:r>
        <w:rPr>
          <w:spacing w:val="-12"/>
          <w:sz w:val="21"/>
          <w:vertAlign w:val="baseline"/>
        </w:rPr>
        <w:t> </w:t>
      </w:r>
      <w:r>
        <w:rPr>
          <w:sz w:val="21"/>
          <w:vertAlign w:val="baseline"/>
        </w:rPr>
        <w:t>and</w:t>
      </w:r>
      <w:r>
        <w:rPr>
          <w:spacing w:val="-12"/>
          <w:sz w:val="21"/>
          <w:vertAlign w:val="baseline"/>
        </w:rPr>
        <w:t> </w:t>
      </w:r>
      <w:r>
        <w:rPr>
          <w:sz w:val="21"/>
          <w:vertAlign w:val="baseline"/>
        </w:rPr>
        <w:t>immigrant</w:t>
      </w:r>
      <w:r>
        <w:rPr>
          <w:spacing w:val="-11"/>
          <w:sz w:val="21"/>
          <w:vertAlign w:val="baseline"/>
        </w:rPr>
        <w:t> </w:t>
      </w:r>
      <w:r>
        <w:rPr>
          <w:sz w:val="21"/>
          <w:vertAlign w:val="baseline"/>
        </w:rPr>
        <w:t>youth</w:t>
      </w:r>
      <w:r>
        <w:rPr>
          <w:spacing w:val="-12"/>
          <w:sz w:val="21"/>
          <w:vertAlign w:val="baseline"/>
        </w:rPr>
        <w:t> </w:t>
      </w:r>
      <w:r>
        <w:rPr>
          <w:sz w:val="21"/>
          <w:vertAlign w:val="baseline"/>
        </w:rPr>
        <w:t>and</w:t>
      </w:r>
      <w:r>
        <w:rPr>
          <w:spacing w:val="-12"/>
          <w:sz w:val="21"/>
          <w:vertAlign w:val="baseline"/>
        </w:rPr>
        <w:t> </w:t>
      </w:r>
      <w:r>
        <w:rPr>
          <w:sz w:val="21"/>
          <w:vertAlign w:val="baseline"/>
        </w:rPr>
        <w:t>should</w:t>
      </w:r>
      <w:r>
        <w:rPr>
          <w:spacing w:val="-11"/>
          <w:sz w:val="21"/>
          <w:vertAlign w:val="baseline"/>
        </w:rPr>
        <w:t> </w:t>
      </w:r>
      <w:r>
        <w:rPr>
          <w:sz w:val="21"/>
          <w:vertAlign w:val="baseline"/>
        </w:rPr>
        <w:t>ensure</w:t>
      </w:r>
      <w:r>
        <w:rPr>
          <w:spacing w:val="-12"/>
          <w:sz w:val="21"/>
          <w:vertAlign w:val="baseline"/>
        </w:rPr>
        <w:t> </w:t>
      </w:r>
      <w:r>
        <w:rPr>
          <w:sz w:val="21"/>
          <w:vertAlign w:val="baseline"/>
        </w:rPr>
        <w:t>that all schools have funding to appropriately support immigrant youth.</w:t>
      </w:r>
    </w:p>
    <w:p>
      <w:pPr>
        <w:spacing w:before="240"/>
        <w:ind w:left="464" w:right="0" w:firstLine="0"/>
        <w:jc w:val="both"/>
        <w:rPr>
          <w:sz w:val="28"/>
        </w:rPr>
      </w:pPr>
      <w:bookmarkStart w:name="Foster Care System" w:id="840"/>
      <w:bookmarkEnd w:id="840"/>
      <w:r>
        <w:rPr/>
      </w:r>
      <w:r>
        <w:rPr>
          <w:color w:val="365F91"/>
          <w:sz w:val="28"/>
        </w:rPr>
        <w:t>Foster</w:t>
      </w:r>
      <w:r>
        <w:rPr>
          <w:color w:val="365F91"/>
          <w:spacing w:val="-9"/>
          <w:sz w:val="28"/>
        </w:rPr>
        <w:t> </w:t>
      </w:r>
      <w:r>
        <w:rPr>
          <w:color w:val="365F91"/>
          <w:sz w:val="28"/>
        </w:rPr>
        <w:t>Care</w:t>
      </w:r>
      <w:r>
        <w:rPr>
          <w:color w:val="365F91"/>
          <w:spacing w:val="-7"/>
          <w:sz w:val="28"/>
        </w:rPr>
        <w:t> </w:t>
      </w:r>
      <w:r>
        <w:rPr>
          <w:color w:val="365F91"/>
          <w:spacing w:val="-2"/>
          <w:sz w:val="28"/>
        </w:rPr>
        <w:t>System</w:t>
      </w:r>
    </w:p>
    <w:p>
      <w:pPr>
        <w:spacing w:line="276" w:lineRule="auto" w:before="292"/>
        <w:ind w:left="464" w:right="200" w:hanging="1"/>
        <w:jc w:val="both"/>
        <w:rPr>
          <w:sz w:val="21"/>
        </w:rPr>
      </w:pPr>
      <w:r>
        <w:rPr>
          <w:sz w:val="21"/>
        </w:rPr>
        <w:t>Two specific groups of at-risk youth that warrant additional resources are youth in the foster care system and</w:t>
      </w:r>
      <w:r>
        <w:rPr>
          <w:spacing w:val="-6"/>
          <w:sz w:val="21"/>
        </w:rPr>
        <w:t> </w:t>
      </w:r>
      <w:r>
        <w:rPr>
          <w:sz w:val="21"/>
        </w:rPr>
        <w:t>those</w:t>
      </w:r>
      <w:r>
        <w:rPr>
          <w:spacing w:val="-6"/>
          <w:sz w:val="21"/>
        </w:rPr>
        <w:t> </w:t>
      </w:r>
      <w:r>
        <w:rPr>
          <w:sz w:val="21"/>
        </w:rPr>
        <w:t>who</w:t>
      </w:r>
      <w:r>
        <w:rPr>
          <w:spacing w:val="-6"/>
          <w:sz w:val="21"/>
        </w:rPr>
        <w:t> </w:t>
      </w:r>
      <w:r>
        <w:rPr>
          <w:sz w:val="21"/>
        </w:rPr>
        <w:t>are</w:t>
      </w:r>
      <w:r>
        <w:rPr>
          <w:spacing w:val="-6"/>
          <w:sz w:val="21"/>
        </w:rPr>
        <w:t> </w:t>
      </w:r>
      <w:r>
        <w:rPr>
          <w:sz w:val="21"/>
        </w:rPr>
        <w:t>justice-involved.</w:t>
      </w:r>
      <w:r>
        <w:rPr>
          <w:spacing w:val="-6"/>
          <w:sz w:val="21"/>
        </w:rPr>
        <w:t> </w:t>
      </w:r>
      <w:r>
        <w:rPr>
          <w:sz w:val="21"/>
        </w:rPr>
        <w:t>LGBTQ</w:t>
      </w:r>
      <w:r>
        <w:rPr>
          <w:spacing w:val="-5"/>
          <w:sz w:val="21"/>
        </w:rPr>
        <w:t> </w:t>
      </w:r>
      <w:r>
        <w:rPr>
          <w:sz w:val="21"/>
        </w:rPr>
        <w:t>youth</w:t>
      </w:r>
      <w:r>
        <w:rPr>
          <w:spacing w:val="-6"/>
          <w:sz w:val="21"/>
        </w:rPr>
        <w:t> </w:t>
      </w:r>
      <w:r>
        <w:rPr>
          <w:sz w:val="21"/>
        </w:rPr>
        <w:t>and</w:t>
      </w:r>
      <w:r>
        <w:rPr>
          <w:spacing w:val="-7"/>
          <w:sz w:val="21"/>
        </w:rPr>
        <w:t> </w:t>
      </w:r>
      <w:r>
        <w:rPr>
          <w:sz w:val="21"/>
        </w:rPr>
        <w:t>youth</w:t>
      </w:r>
      <w:r>
        <w:rPr>
          <w:spacing w:val="-6"/>
          <w:sz w:val="21"/>
        </w:rPr>
        <w:t> </w:t>
      </w:r>
      <w:r>
        <w:rPr>
          <w:sz w:val="21"/>
        </w:rPr>
        <w:t>of</w:t>
      </w:r>
      <w:r>
        <w:rPr>
          <w:spacing w:val="-6"/>
          <w:sz w:val="21"/>
        </w:rPr>
        <w:t> </w:t>
      </w:r>
      <w:r>
        <w:rPr>
          <w:sz w:val="21"/>
        </w:rPr>
        <w:t>color</w:t>
      </w:r>
      <w:r>
        <w:rPr>
          <w:spacing w:val="-6"/>
          <w:sz w:val="21"/>
        </w:rPr>
        <w:t> </w:t>
      </w:r>
      <w:r>
        <w:rPr>
          <w:sz w:val="21"/>
        </w:rPr>
        <w:t>are</w:t>
      </w:r>
      <w:r>
        <w:rPr>
          <w:spacing w:val="-6"/>
          <w:sz w:val="21"/>
        </w:rPr>
        <w:t> </w:t>
      </w:r>
      <w:r>
        <w:rPr>
          <w:sz w:val="21"/>
        </w:rPr>
        <w:t>overrepresented</w:t>
      </w:r>
      <w:r>
        <w:rPr>
          <w:spacing w:val="-6"/>
          <w:sz w:val="21"/>
        </w:rPr>
        <w:t> </w:t>
      </w:r>
      <w:r>
        <w:rPr>
          <w:sz w:val="21"/>
        </w:rPr>
        <w:t>in</w:t>
      </w:r>
      <w:r>
        <w:rPr>
          <w:spacing w:val="-6"/>
          <w:sz w:val="21"/>
        </w:rPr>
        <w:t> </w:t>
      </w:r>
      <w:r>
        <w:rPr>
          <w:sz w:val="21"/>
        </w:rPr>
        <w:t>the</w:t>
      </w:r>
      <w:r>
        <w:rPr>
          <w:spacing w:val="-6"/>
          <w:sz w:val="21"/>
        </w:rPr>
        <w:t> </w:t>
      </w:r>
      <w:r>
        <w:rPr>
          <w:sz w:val="21"/>
        </w:rPr>
        <w:t>foster</w:t>
      </w:r>
      <w:r>
        <w:rPr>
          <w:spacing w:val="-6"/>
          <w:sz w:val="21"/>
        </w:rPr>
        <w:t> </w:t>
      </w:r>
      <w:r>
        <w:rPr>
          <w:sz w:val="21"/>
        </w:rPr>
        <w:t>care system and are underserved because of a lack of LGBTQ supportive homes.</w:t>
      </w:r>
      <w:r>
        <w:rPr>
          <w:spacing w:val="-3"/>
          <w:sz w:val="21"/>
        </w:rPr>
        <w:t> </w:t>
      </w:r>
      <w:hyperlink w:history="true" w:anchor="_bookmark598">
        <w:r>
          <w:rPr>
            <w:sz w:val="21"/>
            <w:vertAlign w:val="superscript"/>
          </w:rPr>
          <w:t>44</w:t>
        </w:r>
      </w:hyperlink>
      <w:r>
        <w:rPr>
          <w:sz w:val="21"/>
          <w:vertAlign w:val="baseline"/>
        </w:rPr>
        <w:t> Most LGBTQ youth transitioning out of the foster care system reported not having sufficient resources for a successful transition to high education or employment. Those LGBTQ youth lacked guidance and support for their sexual orientation and gender identity, LGBTQ safe spaces, access to healthcare such as gender affirming care</w:t>
      </w:r>
      <w:r>
        <w:rPr>
          <w:spacing w:val="-3"/>
          <w:sz w:val="21"/>
          <w:vertAlign w:val="baseline"/>
        </w:rPr>
        <w:t> </w:t>
      </w:r>
      <w:r>
        <w:rPr>
          <w:sz w:val="21"/>
          <w:vertAlign w:val="baseline"/>
        </w:rPr>
        <w:t>and</w:t>
      </w:r>
      <w:r>
        <w:rPr>
          <w:spacing w:val="-4"/>
          <w:sz w:val="21"/>
          <w:vertAlign w:val="baseline"/>
        </w:rPr>
        <w:t> </w:t>
      </w:r>
      <w:r>
        <w:rPr>
          <w:sz w:val="21"/>
          <w:vertAlign w:val="baseline"/>
        </w:rPr>
        <w:t>HIV/STI</w:t>
      </w:r>
      <w:r>
        <w:rPr>
          <w:spacing w:val="-3"/>
          <w:sz w:val="21"/>
          <w:vertAlign w:val="baseline"/>
        </w:rPr>
        <w:t> </w:t>
      </w:r>
      <w:r>
        <w:rPr>
          <w:sz w:val="21"/>
          <w:vertAlign w:val="baseline"/>
        </w:rPr>
        <w:t>prevention,</w:t>
      </w:r>
      <w:r>
        <w:rPr>
          <w:spacing w:val="-2"/>
          <w:sz w:val="21"/>
          <w:vertAlign w:val="baseline"/>
        </w:rPr>
        <w:t> </w:t>
      </w:r>
      <w:r>
        <w:rPr>
          <w:sz w:val="21"/>
          <w:vertAlign w:val="baseline"/>
        </w:rPr>
        <w:t>and</w:t>
      </w:r>
      <w:r>
        <w:rPr>
          <w:spacing w:val="-3"/>
          <w:sz w:val="21"/>
          <w:vertAlign w:val="baseline"/>
        </w:rPr>
        <w:t> </w:t>
      </w:r>
      <w:r>
        <w:rPr>
          <w:sz w:val="21"/>
          <w:vertAlign w:val="baseline"/>
        </w:rPr>
        <w:t>experienced</w:t>
      </w:r>
      <w:r>
        <w:rPr>
          <w:spacing w:val="-3"/>
          <w:sz w:val="21"/>
          <w:vertAlign w:val="baseline"/>
        </w:rPr>
        <w:t> </w:t>
      </w:r>
      <w:r>
        <w:rPr>
          <w:sz w:val="21"/>
          <w:vertAlign w:val="baseline"/>
        </w:rPr>
        <w:t>threats</w:t>
      </w:r>
      <w:r>
        <w:rPr>
          <w:spacing w:val="-5"/>
          <w:sz w:val="21"/>
          <w:vertAlign w:val="baseline"/>
        </w:rPr>
        <w:t> </w:t>
      </w:r>
      <w:r>
        <w:rPr>
          <w:sz w:val="21"/>
          <w:vertAlign w:val="baseline"/>
        </w:rPr>
        <w:t>to</w:t>
      </w:r>
      <w:r>
        <w:rPr>
          <w:spacing w:val="-3"/>
          <w:sz w:val="21"/>
          <w:vertAlign w:val="baseline"/>
        </w:rPr>
        <w:t> </w:t>
      </w:r>
      <w:r>
        <w:rPr>
          <w:sz w:val="21"/>
          <w:vertAlign w:val="baseline"/>
        </w:rPr>
        <w:t>health</w:t>
      </w:r>
      <w:r>
        <w:rPr>
          <w:spacing w:val="-4"/>
          <w:sz w:val="21"/>
          <w:vertAlign w:val="baseline"/>
        </w:rPr>
        <w:t> </w:t>
      </w:r>
      <w:r>
        <w:rPr>
          <w:sz w:val="21"/>
          <w:vertAlign w:val="baseline"/>
        </w:rPr>
        <w:t>and</w:t>
      </w:r>
      <w:r>
        <w:rPr>
          <w:spacing w:val="-4"/>
          <w:sz w:val="21"/>
          <w:vertAlign w:val="baseline"/>
        </w:rPr>
        <w:t> </w:t>
      </w:r>
      <w:r>
        <w:rPr>
          <w:sz w:val="21"/>
          <w:vertAlign w:val="baseline"/>
        </w:rPr>
        <w:t>safety</w:t>
      </w:r>
      <w:r>
        <w:rPr>
          <w:spacing w:val="-3"/>
          <w:sz w:val="21"/>
          <w:vertAlign w:val="baseline"/>
        </w:rPr>
        <w:t> </w:t>
      </w:r>
      <w:r>
        <w:rPr>
          <w:sz w:val="21"/>
          <w:vertAlign w:val="baseline"/>
        </w:rPr>
        <w:t>within</w:t>
      </w:r>
      <w:r>
        <w:rPr>
          <w:spacing w:val="-4"/>
          <w:sz w:val="21"/>
          <w:vertAlign w:val="baseline"/>
        </w:rPr>
        <w:t> </w:t>
      </w:r>
      <w:r>
        <w:rPr>
          <w:sz w:val="21"/>
          <w:vertAlign w:val="baseline"/>
        </w:rPr>
        <w:t>and</w:t>
      </w:r>
      <w:r>
        <w:rPr>
          <w:spacing w:val="-3"/>
          <w:sz w:val="21"/>
          <w:vertAlign w:val="baseline"/>
        </w:rPr>
        <w:t> </w:t>
      </w:r>
      <w:r>
        <w:rPr>
          <w:sz w:val="21"/>
          <w:vertAlign w:val="baseline"/>
        </w:rPr>
        <w:t>outside</w:t>
      </w:r>
      <w:r>
        <w:rPr>
          <w:spacing w:val="-3"/>
          <w:sz w:val="21"/>
          <w:vertAlign w:val="baseline"/>
        </w:rPr>
        <w:t> </w:t>
      </w:r>
      <w:r>
        <w:rPr>
          <w:sz w:val="21"/>
          <w:vertAlign w:val="baseline"/>
        </w:rPr>
        <w:t>of</w:t>
      </w:r>
      <w:r>
        <w:rPr>
          <w:spacing w:val="-6"/>
          <w:sz w:val="21"/>
          <w:vertAlign w:val="baseline"/>
        </w:rPr>
        <w:t> </w:t>
      </w:r>
      <w:r>
        <w:rPr>
          <w:sz w:val="21"/>
          <w:vertAlign w:val="baseline"/>
        </w:rPr>
        <w:t>the</w:t>
      </w:r>
      <w:r>
        <w:rPr>
          <w:spacing w:val="-3"/>
          <w:sz w:val="21"/>
          <w:vertAlign w:val="baseline"/>
        </w:rPr>
        <w:t> </w:t>
      </w:r>
      <w:r>
        <w:rPr>
          <w:sz w:val="21"/>
          <w:vertAlign w:val="baseline"/>
        </w:rPr>
        <w:t>foster care system.</w:t>
      </w:r>
      <w:hyperlink w:history="true" w:anchor="_bookmark599">
        <w:r>
          <w:rPr>
            <w:sz w:val="21"/>
            <w:vertAlign w:val="superscript"/>
          </w:rPr>
          <w:t>45</w:t>
        </w:r>
      </w:hyperlink>
      <w:r>
        <w:rPr>
          <w:spacing w:val="-2"/>
          <w:sz w:val="21"/>
          <w:vertAlign w:val="baseline"/>
        </w:rPr>
        <w:t> </w:t>
      </w:r>
      <w:r>
        <w:rPr>
          <w:sz w:val="21"/>
          <w:vertAlign w:val="baseline"/>
        </w:rPr>
        <w:t>There should be research into the transition of LGBTQ youth out of the foster care system and</w:t>
      </w:r>
      <w:r>
        <w:rPr>
          <w:spacing w:val="-10"/>
          <w:sz w:val="21"/>
          <w:vertAlign w:val="baseline"/>
        </w:rPr>
        <w:t> </w:t>
      </w:r>
      <w:r>
        <w:rPr>
          <w:sz w:val="21"/>
          <w:vertAlign w:val="baseline"/>
        </w:rPr>
        <w:t>resources</w:t>
      </w:r>
      <w:r>
        <w:rPr>
          <w:spacing w:val="-10"/>
          <w:sz w:val="21"/>
          <w:vertAlign w:val="baseline"/>
        </w:rPr>
        <w:t> </w:t>
      </w:r>
      <w:r>
        <w:rPr>
          <w:sz w:val="21"/>
          <w:vertAlign w:val="baseline"/>
        </w:rPr>
        <w:t>that</w:t>
      </w:r>
      <w:r>
        <w:rPr>
          <w:spacing w:val="-11"/>
          <w:sz w:val="21"/>
          <w:vertAlign w:val="baseline"/>
        </w:rPr>
        <w:t> </w:t>
      </w:r>
      <w:r>
        <w:rPr>
          <w:sz w:val="21"/>
          <w:vertAlign w:val="baseline"/>
        </w:rPr>
        <w:t>make</w:t>
      </w:r>
      <w:r>
        <w:rPr>
          <w:spacing w:val="-11"/>
          <w:sz w:val="21"/>
          <w:vertAlign w:val="baseline"/>
        </w:rPr>
        <w:t> </w:t>
      </w:r>
      <w:r>
        <w:rPr>
          <w:sz w:val="21"/>
          <w:vertAlign w:val="baseline"/>
        </w:rPr>
        <w:t>the</w:t>
      </w:r>
      <w:r>
        <w:rPr>
          <w:spacing w:val="-11"/>
          <w:sz w:val="21"/>
          <w:vertAlign w:val="baseline"/>
        </w:rPr>
        <w:t> </w:t>
      </w:r>
      <w:r>
        <w:rPr>
          <w:sz w:val="21"/>
          <w:vertAlign w:val="baseline"/>
        </w:rPr>
        <w:t>transition</w:t>
      </w:r>
      <w:r>
        <w:rPr>
          <w:spacing w:val="-10"/>
          <w:sz w:val="21"/>
          <w:vertAlign w:val="baseline"/>
        </w:rPr>
        <w:t> </w:t>
      </w:r>
      <w:r>
        <w:rPr>
          <w:sz w:val="21"/>
          <w:vertAlign w:val="baseline"/>
        </w:rPr>
        <w:t>more</w:t>
      </w:r>
      <w:r>
        <w:rPr>
          <w:spacing w:val="-10"/>
          <w:sz w:val="21"/>
          <w:vertAlign w:val="baseline"/>
        </w:rPr>
        <w:t> </w:t>
      </w:r>
      <w:r>
        <w:rPr>
          <w:sz w:val="21"/>
          <w:vertAlign w:val="baseline"/>
        </w:rPr>
        <w:t>successful.</w:t>
      </w:r>
      <w:r>
        <w:rPr>
          <w:spacing w:val="-10"/>
          <w:sz w:val="21"/>
          <w:vertAlign w:val="baseline"/>
        </w:rPr>
        <w:t> </w:t>
      </w:r>
      <w:r>
        <w:rPr>
          <w:sz w:val="21"/>
          <w:vertAlign w:val="baseline"/>
        </w:rPr>
        <w:t>Research</w:t>
      </w:r>
      <w:r>
        <w:rPr>
          <w:spacing w:val="-10"/>
          <w:sz w:val="21"/>
          <w:vertAlign w:val="baseline"/>
        </w:rPr>
        <w:t> </w:t>
      </w:r>
      <w:r>
        <w:rPr>
          <w:sz w:val="21"/>
          <w:vertAlign w:val="baseline"/>
        </w:rPr>
        <w:t>on</w:t>
      </w:r>
      <w:r>
        <w:rPr>
          <w:spacing w:val="-10"/>
          <w:sz w:val="21"/>
          <w:vertAlign w:val="baseline"/>
        </w:rPr>
        <w:t> </w:t>
      </w:r>
      <w:r>
        <w:rPr>
          <w:sz w:val="21"/>
          <w:vertAlign w:val="baseline"/>
        </w:rPr>
        <w:t>statistics</w:t>
      </w:r>
      <w:r>
        <w:rPr>
          <w:spacing w:val="-11"/>
          <w:sz w:val="21"/>
          <w:vertAlign w:val="baseline"/>
        </w:rPr>
        <w:t> </w:t>
      </w:r>
      <w:r>
        <w:rPr>
          <w:sz w:val="21"/>
          <w:vertAlign w:val="baseline"/>
        </w:rPr>
        <w:t>such</w:t>
      </w:r>
      <w:r>
        <w:rPr>
          <w:spacing w:val="-11"/>
          <w:sz w:val="21"/>
          <w:vertAlign w:val="baseline"/>
        </w:rPr>
        <w:t> </w:t>
      </w:r>
      <w:r>
        <w:rPr>
          <w:sz w:val="21"/>
          <w:vertAlign w:val="baseline"/>
        </w:rPr>
        <w:t>as</w:t>
      </w:r>
      <w:r>
        <w:rPr>
          <w:spacing w:val="-11"/>
          <w:sz w:val="21"/>
          <w:vertAlign w:val="baseline"/>
        </w:rPr>
        <w:t> </w:t>
      </w:r>
      <w:r>
        <w:rPr>
          <w:sz w:val="21"/>
          <w:vertAlign w:val="baseline"/>
        </w:rPr>
        <w:t>unemployment</w:t>
      </w:r>
      <w:r>
        <w:rPr>
          <w:spacing w:val="-10"/>
          <w:sz w:val="21"/>
          <w:vertAlign w:val="baseline"/>
        </w:rPr>
        <w:t> </w:t>
      </w:r>
      <w:r>
        <w:rPr>
          <w:sz w:val="21"/>
          <w:vertAlign w:val="baseline"/>
        </w:rPr>
        <w:t>rates over time after leaving the foster care system and the median income of youth who leave the foster care system would be helpful. Additional research into the intersectionality between gender identity, sexual orientation, and race would help identify and address the issues that LGBTQ youth and LGBTQ youth of color face in the foster care system.</w:t>
      </w:r>
    </w:p>
    <w:p>
      <w:pPr>
        <w:spacing w:line="276" w:lineRule="auto" w:before="240"/>
        <w:ind w:left="464" w:right="198" w:firstLine="0"/>
        <w:jc w:val="both"/>
        <w:rPr>
          <w:sz w:val="21"/>
        </w:rPr>
      </w:pPr>
      <w:r>
        <w:rPr>
          <w:sz w:val="21"/>
        </w:rPr>
        <w:t>Youth with disabilities are overrepresented in the foster care system and need additional resources and support for transition to higher education and employment.</w:t>
      </w:r>
      <w:hyperlink w:history="true" w:anchor="_bookmark600">
        <w:r>
          <w:rPr>
            <w:sz w:val="21"/>
            <w:vertAlign w:val="superscript"/>
          </w:rPr>
          <w:t>46</w:t>
        </w:r>
      </w:hyperlink>
      <w:r>
        <w:rPr>
          <w:spacing w:val="-2"/>
          <w:sz w:val="21"/>
          <w:vertAlign w:val="baseline"/>
        </w:rPr>
        <w:t> </w:t>
      </w:r>
      <w:r>
        <w:rPr>
          <w:sz w:val="21"/>
          <w:vertAlign w:val="baseline"/>
        </w:rPr>
        <w:t>There is a higher rate of LGBTQ youth with disabilities than among cisgender and straight youth, so this issue has a greater impact on LGBTQ youth in foster care, who already face issues and a lack of resources related to their gender identity and sexual orientation. A 2023 Disability Law Center (DLC) report exposed the diversion of millions of dollars in SSA benefits</w:t>
      </w:r>
      <w:r>
        <w:rPr>
          <w:spacing w:val="-1"/>
          <w:sz w:val="21"/>
          <w:vertAlign w:val="baseline"/>
        </w:rPr>
        <w:t> </w:t>
      </w:r>
      <w:r>
        <w:rPr>
          <w:sz w:val="21"/>
          <w:vertAlign w:val="baseline"/>
        </w:rPr>
        <w:t>for</w:t>
      </w:r>
      <w:r>
        <w:rPr>
          <w:spacing w:val="-2"/>
          <w:sz w:val="21"/>
          <w:vertAlign w:val="baseline"/>
        </w:rPr>
        <w:t> </w:t>
      </w:r>
      <w:r>
        <w:rPr>
          <w:sz w:val="21"/>
          <w:vertAlign w:val="baseline"/>
        </w:rPr>
        <w:t>youth</w:t>
      </w:r>
      <w:r>
        <w:rPr>
          <w:spacing w:val="-1"/>
          <w:sz w:val="21"/>
          <w:vertAlign w:val="baseline"/>
        </w:rPr>
        <w:t> </w:t>
      </w:r>
      <w:r>
        <w:rPr>
          <w:sz w:val="21"/>
          <w:vertAlign w:val="baseline"/>
        </w:rPr>
        <w:t>in</w:t>
      </w:r>
      <w:r>
        <w:rPr>
          <w:spacing w:val="-2"/>
          <w:sz w:val="21"/>
          <w:vertAlign w:val="baseline"/>
        </w:rPr>
        <w:t> </w:t>
      </w:r>
      <w:r>
        <w:rPr>
          <w:sz w:val="21"/>
          <w:vertAlign w:val="baseline"/>
        </w:rPr>
        <w:t>foster</w:t>
      </w:r>
      <w:r>
        <w:rPr>
          <w:spacing w:val="-2"/>
          <w:sz w:val="21"/>
          <w:vertAlign w:val="baseline"/>
        </w:rPr>
        <w:t> </w:t>
      </w:r>
      <w:r>
        <w:rPr>
          <w:sz w:val="21"/>
          <w:vertAlign w:val="baseline"/>
        </w:rPr>
        <w:t>care</w:t>
      </w:r>
      <w:r>
        <w:rPr>
          <w:spacing w:val="-1"/>
          <w:sz w:val="21"/>
          <w:vertAlign w:val="baseline"/>
        </w:rPr>
        <w:t> </w:t>
      </w:r>
      <w:r>
        <w:rPr>
          <w:sz w:val="21"/>
          <w:vertAlign w:val="baseline"/>
        </w:rPr>
        <w:t>to</w:t>
      </w:r>
      <w:r>
        <w:rPr>
          <w:spacing w:val="-2"/>
          <w:sz w:val="21"/>
          <w:vertAlign w:val="baseline"/>
        </w:rPr>
        <w:t> </w:t>
      </w:r>
      <w:r>
        <w:rPr>
          <w:sz w:val="21"/>
          <w:vertAlign w:val="baseline"/>
        </w:rPr>
        <w:t>Massachusetts’s</w:t>
      </w:r>
      <w:r>
        <w:rPr>
          <w:spacing w:val="-1"/>
          <w:sz w:val="21"/>
          <w:vertAlign w:val="baseline"/>
        </w:rPr>
        <w:t> </w:t>
      </w:r>
      <w:r>
        <w:rPr>
          <w:sz w:val="21"/>
          <w:vertAlign w:val="baseline"/>
        </w:rPr>
        <w:t>general</w:t>
      </w:r>
      <w:r>
        <w:rPr>
          <w:spacing w:val="-2"/>
          <w:sz w:val="21"/>
          <w:vertAlign w:val="baseline"/>
        </w:rPr>
        <w:t> </w:t>
      </w:r>
      <w:r>
        <w:rPr>
          <w:sz w:val="21"/>
          <w:vertAlign w:val="baseline"/>
        </w:rPr>
        <w:t>fund.</w:t>
      </w:r>
      <w:r>
        <w:rPr>
          <w:spacing w:val="-1"/>
          <w:sz w:val="21"/>
          <w:vertAlign w:val="baseline"/>
        </w:rPr>
        <w:t> </w:t>
      </w:r>
      <w:r>
        <w:rPr>
          <w:sz w:val="21"/>
          <w:vertAlign w:val="baseline"/>
        </w:rPr>
        <w:t>DLC</w:t>
      </w:r>
      <w:r>
        <w:rPr>
          <w:spacing w:val="-2"/>
          <w:sz w:val="21"/>
          <w:vertAlign w:val="baseline"/>
        </w:rPr>
        <w:t> </w:t>
      </w:r>
      <w:r>
        <w:rPr>
          <w:sz w:val="21"/>
          <w:vertAlign w:val="baseline"/>
        </w:rPr>
        <w:t>recommended</w:t>
      </w:r>
      <w:r>
        <w:rPr>
          <w:spacing w:val="-1"/>
          <w:sz w:val="21"/>
          <w:vertAlign w:val="baseline"/>
        </w:rPr>
        <w:t> </w:t>
      </w:r>
      <w:r>
        <w:rPr>
          <w:sz w:val="21"/>
          <w:vertAlign w:val="baseline"/>
        </w:rPr>
        <w:t>ending</w:t>
      </w:r>
      <w:r>
        <w:rPr>
          <w:spacing w:val="-2"/>
          <w:sz w:val="21"/>
          <w:vertAlign w:val="baseline"/>
        </w:rPr>
        <w:t> </w:t>
      </w:r>
      <w:r>
        <w:rPr>
          <w:sz w:val="21"/>
          <w:vertAlign w:val="baseline"/>
        </w:rPr>
        <w:t>that</w:t>
      </w:r>
      <w:r>
        <w:rPr>
          <w:spacing w:val="-2"/>
          <w:sz w:val="21"/>
          <w:vertAlign w:val="baseline"/>
        </w:rPr>
        <w:t> </w:t>
      </w:r>
      <w:r>
        <w:rPr>
          <w:sz w:val="21"/>
          <w:vertAlign w:val="baseline"/>
        </w:rPr>
        <w:t>practice, protecting</w:t>
      </w:r>
      <w:r>
        <w:rPr>
          <w:spacing w:val="-12"/>
          <w:sz w:val="21"/>
          <w:vertAlign w:val="baseline"/>
        </w:rPr>
        <w:t> </w:t>
      </w:r>
      <w:r>
        <w:rPr>
          <w:sz w:val="21"/>
          <w:vertAlign w:val="baseline"/>
        </w:rPr>
        <w:t>assets</w:t>
      </w:r>
      <w:r>
        <w:rPr>
          <w:spacing w:val="-12"/>
          <w:sz w:val="21"/>
          <w:vertAlign w:val="baseline"/>
        </w:rPr>
        <w:t> </w:t>
      </w:r>
      <w:r>
        <w:rPr>
          <w:sz w:val="21"/>
          <w:vertAlign w:val="baseline"/>
        </w:rPr>
        <w:t>for</w:t>
      </w:r>
      <w:r>
        <w:rPr>
          <w:spacing w:val="-12"/>
          <w:sz w:val="21"/>
          <w:vertAlign w:val="baseline"/>
        </w:rPr>
        <w:t> </w:t>
      </w:r>
      <w:r>
        <w:rPr>
          <w:sz w:val="21"/>
          <w:vertAlign w:val="baseline"/>
        </w:rPr>
        <w:t>youth’s</w:t>
      </w:r>
      <w:r>
        <w:rPr>
          <w:spacing w:val="-12"/>
          <w:sz w:val="21"/>
          <w:vertAlign w:val="baseline"/>
        </w:rPr>
        <w:t> </w:t>
      </w:r>
      <w:r>
        <w:rPr>
          <w:sz w:val="21"/>
          <w:vertAlign w:val="baseline"/>
        </w:rPr>
        <w:t>futures,</w:t>
      </w:r>
      <w:r>
        <w:rPr>
          <w:spacing w:val="-12"/>
          <w:sz w:val="21"/>
          <w:vertAlign w:val="baseline"/>
        </w:rPr>
        <w:t> </w:t>
      </w:r>
      <w:r>
        <w:rPr>
          <w:sz w:val="21"/>
          <w:vertAlign w:val="baseline"/>
        </w:rPr>
        <w:t>and</w:t>
      </w:r>
      <w:r>
        <w:rPr>
          <w:spacing w:val="-12"/>
          <w:sz w:val="21"/>
          <w:vertAlign w:val="baseline"/>
        </w:rPr>
        <w:t> </w:t>
      </w:r>
      <w:r>
        <w:rPr>
          <w:sz w:val="21"/>
          <w:vertAlign w:val="baseline"/>
        </w:rPr>
        <w:t>making</w:t>
      </w:r>
      <w:r>
        <w:rPr>
          <w:spacing w:val="-12"/>
          <w:sz w:val="21"/>
          <w:vertAlign w:val="baseline"/>
        </w:rPr>
        <w:t> </w:t>
      </w:r>
      <w:r>
        <w:rPr>
          <w:sz w:val="21"/>
          <w:vertAlign w:val="baseline"/>
        </w:rPr>
        <w:t>the</w:t>
      </w:r>
      <w:r>
        <w:rPr>
          <w:spacing w:val="-11"/>
          <w:sz w:val="21"/>
          <w:vertAlign w:val="baseline"/>
        </w:rPr>
        <w:t> </w:t>
      </w:r>
      <w:r>
        <w:rPr>
          <w:sz w:val="21"/>
          <w:vertAlign w:val="baseline"/>
        </w:rPr>
        <w:t>process</w:t>
      </w:r>
      <w:r>
        <w:rPr>
          <w:spacing w:val="-12"/>
          <w:sz w:val="21"/>
          <w:vertAlign w:val="baseline"/>
        </w:rPr>
        <w:t> </w:t>
      </w:r>
      <w:r>
        <w:rPr>
          <w:sz w:val="21"/>
          <w:vertAlign w:val="baseline"/>
        </w:rPr>
        <w:t>of</w:t>
      </w:r>
      <w:r>
        <w:rPr>
          <w:spacing w:val="-12"/>
          <w:sz w:val="21"/>
          <w:vertAlign w:val="baseline"/>
        </w:rPr>
        <w:t> </w:t>
      </w:r>
      <w:r>
        <w:rPr>
          <w:sz w:val="21"/>
          <w:vertAlign w:val="baseline"/>
        </w:rPr>
        <w:t>distributing</w:t>
      </w:r>
      <w:r>
        <w:rPr>
          <w:spacing w:val="-12"/>
          <w:sz w:val="21"/>
          <w:vertAlign w:val="baseline"/>
        </w:rPr>
        <w:t> </w:t>
      </w:r>
      <w:r>
        <w:rPr>
          <w:sz w:val="21"/>
          <w:vertAlign w:val="baseline"/>
        </w:rPr>
        <w:t>benefits</w:t>
      </w:r>
      <w:r>
        <w:rPr>
          <w:spacing w:val="-12"/>
          <w:sz w:val="21"/>
          <w:vertAlign w:val="baseline"/>
        </w:rPr>
        <w:t> </w:t>
      </w:r>
      <w:r>
        <w:rPr>
          <w:sz w:val="21"/>
          <w:vertAlign w:val="baseline"/>
        </w:rPr>
        <w:t>transparent</w:t>
      </w:r>
      <w:r>
        <w:rPr>
          <w:spacing w:val="-12"/>
          <w:sz w:val="21"/>
          <w:vertAlign w:val="baseline"/>
        </w:rPr>
        <w:t> </w:t>
      </w:r>
      <w:r>
        <w:rPr>
          <w:sz w:val="21"/>
          <w:vertAlign w:val="baseline"/>
        </w:rPr>
        <w:t>to</w:t>
      </w:r>
      <w:r>
        <w:rPr>
          <w:spacing w:val="-12"/>
          <w:sz w:val="21"/>
          <w:vertAlign w:val="baseline"/>
        </w:rPr>
        <w:t> </w:t>
      </w:r>
      <w:r>
        <w:rPr>
          <w:sz w:val="21"/>
          <w:vertAlign w:val="baseline"/>
        </w:rPr>
        <w:t>children and foster parents.</w:t>
      </w:r>
      <w:hyperlink w:history="true" w:anchor="_bookmark601">
        <w:r>
          <w:rPr>
            <w:sz w:val="21"/>
            <w:vertAlign w:val="superscript"/>
          </w:rPr>
          <w:t>47</w:t>
        </w:r>
      </w:hyperlink>
      <w:r>
        <w:rPr>
          <w:spacing w:val="-2"/>
          <w:sz w:val="21"/>
          <w:vertAlign w:val="baseline"/>
        </w:rPr>
        <w:t> </w:t>
      </w:r>
      <w:r>
        <w:rPr>
          <w:sz w:val="21"/>
          <w:vertAlign w:val="baseline"/>
        </w:rPr>
        <w:t>The removal of funds from vulnerable youth populations in the foster care system (namely youth of color, LGBTQ youth, and youth with disabilities) must be rectified as those youth need significantly more resources than the foster care system currently offers them.</w:t>
      </w:r>
    </w:p>
    <w:p>
      <w:pPr>
        <w:spacing w:line="276" w:lineRule="auto" w:before="240"/>
        <w:ind w:left="463" w:right="199" w:firstLine="0"/>
        <w:jc w:val="both"/>
        <w:rPr>
          <w:sz w:val="21"/>
        </w:rPr>
      </w:pPr>
      <w:r>
        <w:rPr>
          <w:sz w:val="21"/>
        </w:rPr>
        <w:t>When compared to their peers, youth transitioning out of the foster care system have less stable employment, work fewer hours, and</w:t>
      </w:r>
      <w:r>
        <w:rPr>
          <w:spacing w:val="-1"/>
          <w:sz w:val="21"/>
        </w:rPr>
        <w:t> </w:t>
      </w:r>
      <w:r>
        <w:rPr>
          <w:sz w:val="21"/>
        </w:rPr>
        <w:t>earn less.</w:t>
      </w:r>
      <w:hyperlink w:history="true" w:anchor="_bookmark602">
        <w:r>
          <w:rPr>
            <w:sz w:val="21"/>
            <w:vertAlign w:val="superscript"/>
          </w:rPr>
          <w:t>48</w:t>
        </w:r>
      </w:hyperlink>
      <w:r>
        <w:rPr>
          <w:spacing w:val="-2"/>
          <w:sz w:val="21"/>
          <w:vertAlign w:val="baseline"/>
        </w:rPr>
        <w:t> </w:t>
      </w:r>
      <w:r>
        <w:rPr>
          <w:sz w:val="21"/>
          <w:vertAlign w:val="baseline"/>
        </w:rPr>
        <w:t>Only</w:t>
      </w:r>
      <w:r>
        <w:rPr>
          <w:spacing w:val="-1"/>
          <w:sz w:val="21"/>
          <w:vertAlign w:val="baseline"/>
        </w:rPr>
        <w:t> </w:t>
      </w:r>
      <w:r>
        <w:rPr>
          <w:sz w:val="21"/>
          <w:vertAlign w:val="baseline"/>
        </w:rPr>
        <w:t>58% of youth</w:t>
      </w:r>
      <w:r>
        <w:rPr>
          <w:spacing w:val="-1"/>
          <w:sz w:val="21"/>
          <w:vertAlign w:val="baseline"/>
        </w:rPr>
        <w:t> </w:t>
      </w:r>
      <w:r>
        <w:rPr>
          <w:sz w:val="21"/>
          <w:vertAlign w:val="baseline"/>
        </w:rPr>
        <w:t>who age out of</w:t>
      </w:r>
      <w:r>
        <w:rPr>
          <w:spacing w:val="-2"/>
          <w:sz w:val="21"/>
          <w:vertAlign w:val="baseline"/>
        </w:rPr>
        <w:t> </w:t>
      </w:r>
      <w:r>
        <w:rPr>
          <w:sz w:val="21"/>
          <w:vertAlign w:val="baseline"/>
        </w:rPr>
        <w:t>foster care earn a</w:t>
      </w:r>
      <w:r>
        <w:rPr>
          <w:spacing w:val="-1"/>
          <w:sz w:val="21"/>
          <w:vertAlign w:val="baseline"/>
        </w:rPr>
        <w:t> </w:t>
      </w:r>
      <w:r>
        <w:rPr>
          <w:sz w:val="21"/>
          <w:vertAlign w:val="baseline"/>
        </w:rPr>
        <w:t>high school diploma compared to 87% of their peers and only 8% earn a college degree by age 26. Only 46% of youth who age out of foster care are employed by age 24, though the employment may be unstable, and 36% experience homelessness at least once before age 26.</w:t>
      </w:r>
      <w:hyperlink w:history="true" w:anchor="_bookmark603">
        <w:r>
          <w:rPr>
            <w:sz w:val="21"/>
            <w:vertAlign w:val="superscript"/>
          </w:rPr>
          <w:t>49</w:t>
        </w:r>
      </w:hyperlink>
      <w:r>
        <w:rPr>
          <w:spacing w:val="-1"/>
          <w:sz w:val="21"/>
          <w:vertAlign w:val="baseline"/>
        </w:rPr>
        <w:t> </w:t>
      </w:r>
      <w:r>
        <w:rPr>
          <w:sz w:val="21"/>
          <w:vertAlign w:val="baseline"/>
        </w:rPr>
        <w:t>The lack of educational attainment of youth who</w:t>
      </w:r>
      <w:r>
        <w:rPr>
          <w:spacing w:val="31"/>
          <w:sz w:val="21"/>
          <w:vertAlign w:val="baseline"/>
        </w:rPr>
        <w:t> </w:t>
      </w:r>
      <w:r>
        <w:rPr>
          <w:sz w:val="21"/>
          <w:vertAlign w:val="baseline"/>
        </w:rPr>
        <w:t>age</w:t>
      </w:r>
      <w:r>
        <w:rPr>
          <w:spacing w:val="31"/>
          <w:sz w:val="21"/>
          <w:vertAlign w:val="baseline"/>
        </w:rPr>
        <w:t> </w:t>
      </w:r>
      <w:r>
        <w:rPr>
          <w:sz w:val="21"/>
          <w:vertAlign w:val="baseline"/>
        </w:rPr>
        <w:t>out</w:t>
      </w:r>
      <w:r>
        <w:rPr>
          <w:spacing w:val="31"/>
          <w:sz w:val="21"/>
          <w:vertAlign w:val="baseline"/>
        </w:rPr>
        <w:t> </w:t>
      </w:r>
      <w:r>
        <w:rPr>
          <w:sz w:val="21"/>
          <w:vertAlign w:val="baseline"/>
        </w:rPr>
        <w:t>of</w:t>
      </w:r>
      <w:r>
        <w:rPr>
          <w:spacing w:val="30"/>
          <w:sz w:val="21"/>
          <w:vertAlign w:val="baseline"/>
        </w:rPr>
        <w:t> </w:t>
      </w:r>
      <w:r>
        <w:rPr>
          <w:sz w:val="21"/>
          <w:vertAlign w:val="baseline"/>
        </w:rPr>
        <w:t>foster</w:t>
      </w:r>
      <w:r>
        <w:rPr>
          <w:spacing w:val="31"/>
          <w:sz w:val="21"/>
          <w:vertAlign w:val="baseline"/>
        </w:rPr>
        <w:t> </w:t>
      </w:r>
      <w:r>
        <w:rPr>
          <w:sz w:val="21"/>
          <w:vertAlign w:val="baseline"/>
        </w:rPr>
        <w:t>care</w:t>
      </w:r>
      <w:r>
        <w:rPr>
          <w:spacing w:val="31"/>
          <w:sz w:val="21"/>
          <w:vertAlign w:val="baseline"/>
        </w:rPr>
        <w:t> </w:t>
      </w:r>
      <w:r>
        <w:rPr>
          <w:sz w:val="21"/>
          <w:vertAlign w:val="baseline"/>
        </w:rPr>
        <w:t>is</w:t>
      </w:r>
      <w:r>
        <w:rPr>
          <w:spacing w:val="30"/>
          <w:sz w:val="21"/>
          <w:vertAlign w:val="baseline"/>
        </w:rPr>
        <w:t> </w:t>
      </w:r>
      <w:r>
        <w:rPr>
          <w:sz w:val="21"/>
          <w:vertAlign w:val="baseline"/>
        </w:rPr>
        <w:t>a</w:t>
      </w:r>
      <w:r>
        <w:rPr>
          <w:spacing w:val="31"/>
          <w:sz w:val="21"/>
          <w:vertAlign w:val="baseline"/>
        </w:rPr>
        <w:t> </w:t>
      </w:r>
      <w:r>
        <w:rPr>
          <w:sz w:val="21"/>
          <w:vertAlign w:val="baseline"/>
        </w:rPr>
        <w:t>clear</w:t>
      </w:r>
      <w:r>
        <w:rPr>
          <w:spacing w:val="31"/>
          <w:sz w:val="21"/>
          <w:vertAlign w:val="baseline"/>
        </w:rPr>
        <w:t> </w:t>
      </w:r>
      <w:r>
        <w:rPr>
          <w:sz w:val="21"/>
          <w:vertAlign w:val="baseline"/>
        </w:rPr>
        <w:t>failing</w:t>
      </w:r>
      <w:r>
        <w:rPr>
          <w:spacing w:val="31"/>
          <w:sz w:val="21"/>
          <w:vertAlign w:val="baseline"/>
        </w:rPr>
        <w:t> </w:t>
      </w:r>
      <w:r>
        <w:rPr>
          <w:sz w:val="21"/>
          <w:vertAlign w:val="baseline"/>
        </w:rPr>
        <w:t>of</w:t>
      </w:r>
      <w:r>
        <w:rPr>
          <w:spacing w:val="31"/>
          <w:sz w:val="21"/>
          <w:vertAlign w:val="baseline"/>
        </w:rPr>
        <w:t> </w:t>
      </w:r>
      <w:r>
        <w:rPr>
          <w:sz w:val="21"/>
          <w:vertAlign w:val="baseline"/>
        </w:rPr>
        <w:t>the</w:t>
      </w:r>
      <w:r>
        <w:rPr>
          <w:spacing w:val="31"/>
          <w:sz w:val="21"/>
          <w:vertAlign w:val="baseline"/>
        </w:rPr>
        <w:t> </w:t>
      </w:r>
      <w:r>
        <w:rPr>
          <w:sz w:val="21"/>
          <w:vertAlign w:val="baseline"/>
        </w:rPr>
        <w:t>system</w:t>
      </w:r>
      <w:r>
        <w:rPr>
          <w:spacing w:val="31"/>
          <w:sz w:val="21"/>
          <w:vertAlign w:val="baseline"/>
        </w:rPr>
        <w:t> </w:t>
      </w:r>
      <w:r>
        <w:rPr>
          <w:sz w:val="21"/>
          <w:vertAlign w:val="baseline"/>
        </w:rPr>
        <w:t>and</w:t>
      </w:r>
      <w:r>
        <w:rPr>
          <w:spacing w:val="31"/>
          <w:sz w:val="21"/>
          <w:vertAlign w:val="baseline"/>
        </w:rPr>
        <w:t> </w:t>
      </w:r>
      <w:r>
        <w:rPr>
          <w:sz w:val="21"/>
          <w:vertAlign w:val="baseline"/>
        </w:rPr>
        <w:t>negatively</w:t>
      </w:r>
      <w:r>
        <w:rPr>
          <w:spacing w:val="31"/>
          <w:sz w:val="21"/>
          <w:vertAlign w:val="baseline"/>
        </w:rPr>
        <w:t> </w:t>
      </w:r>
      <w:r>
        <w:rPr>
          <w:sz w:val="21"/>
          <w:vertAlign w:val="baseline"/>
        </w:rPr>
        <w:t>affects</w:t>
      </w:r>
      <w:r>
        <w:rPr>
          <w:spacing w:val="32"/>
          <w:sz w:val="21"/>
          <w:vertAlign w:val="baseline"/>
        </w:rPr>
        <w:t> </w:t>
      </w:r>
      <w:r>
        <w:rPr>
          <w:sz w:val="21"/>
          <w:vertAlign w:val="baseline"/>
        </w:rPr>
        <w:t>prospects</w:t>
      </w:r>
      <w:r>
        <w:rPr>
          <w:spacing w:val="30"/>
          <w:sz w:val="21"/>
          <w:vertAlign w:val="baseline"/>
        </w:rPr>
        <w:t> </w:t>
      </w:r>
      <w:r>
        <w:rPr>
          <w:sz w:val="21"/>
          <w:vertAlign w:val="baseline"/>
        </w:rPr>
        <w:t>for</w:t>
      </w:r>
      <w:r>
        <w:rPr>
          <w:spacing w:val="31"/>
          <w:sz w:val="21"/>
          <w:vertAlign w:val="baseline"/>
        </w:rPr>
        <w:t> </w:t>
      </w:r>
      <w:r>
        <w:rPr>
          <w:sz w:val="21"/>
          <w:vertAlign w:val="baseline"/>
        </w:rPr>
        <w:t>future</w:t>
      </w:r>
    </w:p>
    <w:p>
      <w:pPr>
        <w:spacing w:after="0" w:line="276" w:lineRule="auto"/>
        <w:jc w:val="both"/>
        <w:rPr>
          <w:sz w:val="21"/>
        </w:rPr>
        <w:sectPr>
          <w:pgSz w:w="12240" w:h="15840"/>
          <w:pgMar w:header="763" w:footer="1041" w:top="1380" w:bottom="1240" w:left="1120" w:right="1380"/>
        </w:sectPr>
      </w:pPr>
    </w:p>
    <w:p>
      <w:pPr>
        <w:spacing w:line="276" w:lineRule="auto" w:before="47"/>
        <w:ind w:left="464" w:right="199" w:firstLine="0"/>
        <w:jc w:val="both"/>
        <w:rPr>
          <w:sz w:val="21"/>
        </w:rPr>
      </w:pPr>
      <w:r>
        <w:rPr>
          <w:sz w:val="21"/>
        </w:rPr>
        <w:t>employment. Youth in the foster care system need more resources to obtain a high school or technical degree,</w:t>
      </w:r>
      <w:r>
        <w:rPr>
          <w:spacing w:val="-2"/>
          <w:sz w:val="21"/>
        </w:rPr>
        <w:t> </w:t>
      </w:r>
      <w:r>
        <w:rPr>
          <w:sz w:val="21"/>
        </w:rPr>
        <w:t>learn</w:t>
      </w:r>
      <w:r>
        <w:rPr>
          <w:spacing w:val="-4"/>
          <w:sz w:val="21"/>
        </w:rPr>
        <w:t> </w:t>
      </w:r>
      <w:r>
        <w:rPr>
          <w:sz w:val="21"/>
        </w:rPr>
        <w:t>career</w:t>
      </w:r>
      <w:r>
        <w:rPr>
          <w:spacing w:val="-3"/>
          <w:sz w:val="21"/>
        </w:rPr>
        <w:t> </w:t>
      </w:r>
      <w:r>
        <w:rPr>
          <w:sz w:val="21"/>
        </w:rPr>
        <w:t>readiness</w:t>
      </w:r>
      <w:r>
        <w:rPr>
          <w:spacing w:val="-4"/>
          <w:sz w:val="21"/>
        </w:rPr>
        <w:t> </w:t>
      </w:r>
      <w:r>
        <w:rPr>
          <w:sz w:val="21"/>
        </w:rPr>
        <w:t>skills,</w:t>
      </w:r>
      <w:r>
        <w:rPr>
          <w:spacing w:val="-3"/>
          <w:sz w:val="21"/>
        </w:rPr>
        <w:t> </w:t>
      </w:r>
      <w:r>
        <w:rPr>
          <w:sz w:val="21"/>
        </w:rPr>
        <w:t>and</w:t>
      </w:r>
      <w:r>
        <w:rPr>
          <w:spacing w:val="-3"/>
          <w:sz w:val="21"/>
        </w:rPr>
        <w:t> </w:t>
      </w:r>
      <w:r>
        <w:rPr>
          <w:sz w:val="21"/>
        </w:rPr>
        <w:t>successfully</w:t>
      </w:r>
      <w:r>
        <w:rPr>
          <w:spacing w:val="-3"/>
          <w:sz w:val="21"/>
        </w:rPr>
        <w:t> </w:t>
      </w:r>
      <w:r>
        <w:rPr>
          <w:sz w:val="21"/>
        </w:rPr>
        <w:t>transition</w:t>
      </w:r>
      <w:r>
        <w:rPr>
          <w:spacing w:val="-3"/>
          <w:sz w:val="21"/>
        </w:rPr>
        <w:t> </w:t>
      </w:r>
      <w:r>
        <w:rPr>
          <w:sz w:val="21"/>
        </w:rPr>
        <w:t>out</w:t>
      </w:r>
      <w:r>
        <w:rPr>
          <w:spacing w:val="-3"/>
          <w:sz w:val="21"/>
        </w:rPr>
        <w:t> </w:t>
      </w:r>
      <w:r>
        <w:rPr>
          <w:sz w:val="21"/>
        </w:rPr>
        <w:t>of</w:t>
      </w:r>
      <w:r>
        <w:rPr>
          <w:spacing w:val="-3"/>
          <w:sz w:val="21"/>
        </w:rPr>
        <w:t> </w:t>
      </w:r>
      <w:r>
        <w:rPr>
          <w:sz w:val="21"/>
        </w:rPr>
        <w:t>the</w:t>
      </w:r>
      <w:r>
        <w:rPr>
          <w:spacing w:val="-3"/>
          <w:sz w:val="21"/>
        </w:rPr>
        <w:t> </w:t>
      </w:r>
      <w:r>
        <w:rPr>
          <w:sz w:val="21"/>
        </w:rPr>
        <w:t>system</w:t>
      </w:r>
      <w:r>
        <w:rPr>
          <w:spacing w:val="-3"/>
          <w:sz w:val="21"/>
        </w:rPr>
        <w:t> </w:t>
      </w:r>
      <w:r>
        <w:rPr>
          <w:sz w:val="21"/>
        </w:rPr>
        <w:t>into</w:t>
      </w:r>
      <w:r>
        <w:rPr>
          <w:spacing w:val="-3"/>
          <w:sz w:val="21"/>
        </w:rPr>
        <w:t> </w:t>
      </w:r>
      <w:r>
        <w:rPr>
          <w:sz w:val="21"/>
        </w:rPr>
        <w:t>stable</w:t>
      </w:r>
      <w:r>
        <w:rPr>
          <w:spacing w:val="-3"/>
          <w:sz w:val="21"/>
        </w:rPr>
        <w:t> </w:t>
      </w:r>
      <w:r>
        <w:rPr>
          <w:sz w:val="21"/>
        </w:rPr>
        <w:t>employment.</w:t>
      </w:r>
    </w:p>
    <w:p>
      <w:pPr>
        <w:spacing w:before="239"/>
        <w:ind w:left="464" w:right="0" w:firstLine="0"/>
        <w:jc w:val="both"/>
        <w:rPr>
          <w:sz w:val="28"/>
        </w:rPr>
      </w:pPr>
      <w:bookmarkStart w:name="Juvenile Justice" w:id="841"/>
      <w:bookmarkEnd w:id="841"/>
      <w:r>
        <w:rPr/>
      </w:r>
      <w:r>
        <w:rPr>
          <w:color w:val="365F91"/>
          <w:sz w:val="28"/>
        </w:rPr>
        <w:t>Juvenile</w:t>
      </w:r>
      <w:r>
        <w:rPr>
          <w:color w:val="365F91"/>
          <w:spacing w:val="-13"/>
          <w:sz w:val="28"/>
        </w:rPr>
        <w:t> </w:t>
      </w:r>
      <w:r>
        <w:rPr>
          <w:color w:val="365F91"/>
          <w:spacing w:val="-2"/>
          <w:sz w:val="28"/>
        </w:rPr>
        <w:t>Justice</w:t>
      </w:r>
    </w:p>
    <w:p>
      <w:pPr>
        <w:spacing w:line="276" w:lineRule="auto" w:before="293"/>
        <w:ind w:left="463" w:right="201" w:firstLine="0"/>
        <w:jc w:val="both"/>
        <w:rPr>
          <w:sz w:val="21"/>
        </w:rPr>
      </w:pPr>
      <w:r>
        <w:rPr>
          <w:sz w:val="21"/>
        </w:rPr>
        <w:t>Similarly, a lack of high-quality educational materials and instruction in the juvenile justice system contributes to poor educational and career outcomes for justice-involved youth. </w:t>
      </w:r>
      <w:hyperlink w:history="true" w:anchor="_bookmark604">
        <w:r>
          <w:rPr>
            <w:sz w:val="21"/>
            <w:vertAlign w:val="superscript"/>
          </w:rPr>
          <w:t>50</w:t>
        </w:r>
      </w:hyperlink>
      <w:r>
        <w:rPr>
          <w:sz w:val="21"/>
          <w:vertAlign w:val="baseline"/>
        </w:rPr>
        <w:t> Developing a standardized curriculum and recruiting and retaining high quality instruction will help prepare justice- involved youth for their transition to education and employment after release. There is a lack of research on the impact of high-quality education and career readiness resources on marginalized youth in the juvenile justice system.</w:t>
      </w:r>
    </w:p>
    <w:p>
      <w:pPr>
        <w:spacing w:line="276" w:lineRule="auto" w:before="240"/>
        <w:ind w:left="463" w:right="199" w:firstLine="0"/>
        <w:jc w:val="both"/>
        <w:rPr>
          <w:sz w:val="21"/>
        </w:rPr>
      </w:pPr>
      <w:r>
        <w:rPr>
          <w:sz w:val="21"/>
        </w:rPr>
        <w:t>Justice-involved individuals face hiring discrimination and higher unemployment rates. Formerly incarcerated individuals in the US were found to have an unemployment rate of 62-65% during the four years after release, with no more than 40% of them employed at the same time; 33% of them found no employment in the first four years after release. In contrast, the peak unemployment rate for the US population during 2020 was 15%. The median weekly earnings for formerly incarcerated individuals was</w:t>
      </w:r>
    </w:p>
    <w:p>
      <w:pPr>
        <w:spacing w:line="276" w:lineRule="auto" w:before="0"/>
        <w:ind w:left="464" w:right="201" w:firstLine="0"/>
        <w:jc w:val="both"/>
        <w:rPr>
          <w:sz w:val="21"/>
        </w:rPr>
      </w:pPr>
      <w:r>
        <w:rPr>
          <w:sz w:val="21"/>
        </w:rPr>
        <w:t>$269</w:t>
      </w:r>
      <w:r>
        <w:rPr>
          <w:spacing w:val="-3"/>
          <w:sz w:val="21"/>
        </w:rPr>
        <w:t> </w:t>
      </w:r>
      <w:r>
        <w:rPr>
          <w:sz w:val="21"/>
        </w:rPr>
        <w:t>during</w:t>
      </w:r>
      <w:r>
        <w:rPr>
          <w:spacing w:val="-2"/>
          <w:sz w:val="21"/>
        </w:rPr>
        <w:t> </w:t>
      </w:r>
      <w:r>
        <w:rPr>
          <w:sz w:val="21"/>
        </w:rPr>
        <w:t>their</w:t>
      </w:r>
      <w:r>
        <w:rPr>
          <w:spacing w:val="-2"/>
          <w:sz w:val="21"/>
        </w:rPr>
        <w:t> </w:t>
      </w:r>
      <w:r>
        <w:rPr>
          <w:sz w:val="21"/>
        </w:rPr>
        <w:t>first</w:t>
      </w:r>
      <w:r>
        <w:rPr>
          <w:spacing w:val="-2"/>
          <w:sz w:val="21"/>
        </w:rPr>
        <w:t> </w:t>
      </w:r>
      <w:r>
        <w:rPr>
          <w:sz w:val="21"/>
        </w:rPr>
        <w:t>year</w:t>
      </w:r>
      <w:r>
        <w:rPr>
          <w:spacing w:val="-3"/>
          <w:sz w:val="21"/>
        </w:rPr>
        <w:t> </w:t>
      </w:r>
      <w:r>
        <w:rPr>
          <w:sz w:val="21"/>
        </w:rPr>
        <w:t>after</w:t>
      </w:r>
      <w:r>
        <w:rPr>
          <w:spacing w:val="-2"/>
          <w:sz w:val="21"/>
        </w:rPr>
        <w:t> </w:t>
      </w:r>
      <w:r>
        <w:rPr>
          <w:sz w:val="21"/>
        </w:rPr>
        <w:t>release,</w:t>
      </w:r>
      <w:r>
        <w:rPr>
          <w:spacing w:val="-3"/>
          <w:sz w:val="21"/>
        </w:rPr>
        <w:t> </w:t>
      </w:r>
      <w:r>
        <w:rPr>
          <w:sz w:val="21"/>
        </w:rPr>
        <w:t>compared</w:t>
      </w:r>
      <w:r>
        <w:rPr>
          <w:spacing w:val="-2"/>
          <w:sz w:val="21"/>
        </w:rPr>
        <w:t> </w:t>
      </w:r>
      <w:r>
        <w:rPr>
          <w:sz w:val="21"/>
        </w:rPr>
        <w:t>to</w:t>
      </w:r>
      <w:r>
        <w:rPr>
          <w:spacing w:val="-4"/>
          <w:sz w:val="21"/>
        </w:rPr>
        <w:t> </w:t>
      </w:r>
      <w:r>
        <w:rPr>
          <w:sz w:val="21"/>
        </w:rPr>
        <w:t>$507</w:t>
      </w:r>
      <w:r>
        <w:rPr>
          <w:spacing w:val="-3"/>
          <w:sz w:val="21"/>
        </w:rPr>
        <w:t> </w:t>
      </w:r>
      <w:r>
        <w:rPr>
          <w:sz w:val="21"/>
        </w:rPr>
        <w:t>for</w:t>
      </w:r>
      <w:r>
        <w:rPr>
          <w:spacing w:val="-2"/>
          <w:sz w:val="21"/>
        </w:rPr>
        <w:t> </w:t>
      </w:r>
      <w:r>
        <w:rPr>
          <w:sz w:val="21"/>
        </w:rPr>
        <w:t>the</w:t>
      </w:r>
      <w:r>
        <w:rPr>
          <w:spacing w:val="-2"/>
          <w:sz w:val="21"/>
        </w:rPr>
        <w:t> </w:t>
      </w:r>
      <w:r>
        <w:rPr>
          <w:sz w:val="21"/>
        </w:rPr>
        <w:t>general</w:t>
      </w:r>
      <w:r>
        <w:rPr>
          <w:spacing w:val="-2"/>
          <w:sz w:val="21"/>
        </w:rPr>
        <w:t> </w:t>
      </w:r>
      <w:r>
        <w:rPr>
          <w:sz w:val="21"/>
        </w:rPr>
        <w:t>population.</w:t>
      </w:r>
      <w:hyperlink w:history="true" w:anchor="_bookmark605">
        <w:r>
          <w:rPr>
            <w:sz w:val="21"/>
            <w:vertAlign w:val="superscript"/>
          </w:rPr>
          <w:t>51</w:t>
        </w:r>
      </w:hyperlink>
      <w:r>
        <w:rPr>
          <w:spacing w:val="-2"/>
          <w:sz w:val="21"/>
          <w:vertAlign w:val="baseline"/>
        </w:rPr>
        <w:t> </w:t>
      </w:r>
      <w:r>
        <w:rPr>
          <w:sz w:val="21"/>
          <w:vertAlign w:val="baseline"/>
        </w:rPr>
        <w:t>The</w:t>
      </w:r>
      <w:r>
        <w:rPr>
          <w:spacing w:val="-2"/>
          <w:sz w:val="21"/>
          <w:vertAlign w:val="baseline"/>
        </w:rPr>
        <w:t> </w:t>
      </w:r>
      <w:r>
        <w:rPr>
          <w:sz w:val="21"/>
          <w:vertAlign w:val="baseline"/>
        </w:rPr>
        <w:t>disparities</w:t>
      </w:r>
      <w:r>
        <w:rPr>
          <w:spacing w:val="-2"/>
          <w:sz w:val="21"/>
          <w:vertAlign w:val="baseline"/>
        </w:rPr>
        <w:t> </w:t>
      </w:r>
      <w:r>
        <w:rPr>
          <w:sz w:val="21"/>
          <w:vertAlign w:val="baseline"/>
        </w:rPr>
        <w:t>in employment and income between formerly incarcerated individuals and the general population show the barriers that justice-involved persons face in the labor market.</w:t>
      </w:r>
    </w:p>
    <w:p>
      <w:pPr>
        <w:spacing w:line="276" w:lineRule="auto" w:before="239"/>
        <w:ind w:left="464" w:right="198" w:firstLine="0"/>
        <w:jc w:val="both"/>
        <w:rPr>
          <w:sz w:val="21"/>
        </w:rPr>
      </w:pPr>
      <w:r>
        <w:rPr>
          <w:sz w:val="21"/>
        </w:rPr>
        <w:t>Unsuccessful reentry into society and unemployment may lead to recidivism, while employment stability has</w:t>
      </w:r>
      <w:r>
        <w:rPr>
          <w:spacing w:val="-8"/>
          <w:sz w:val="21"/>
        </w:rPr>
        <w:t> </w:t>
      </w:r>
      <w:r>
        <w:rPr>
          <w:sz w:val="21"/>
        </w:rPr>
        <w:t>been</w:t>
      </w:r>
      <w:r>
        <w:rPr>
          <w:spacing w:val="-8"/>
          <w:sz w:val="21"/>
        </w:rPr>
        <w:t> </w:t>
      </w:r>
      <w:r>
        <w:rPr>
          <w:sz w:val="21"/>
        </w:rPr>
        <w:t>shown</w:t>
      </w:r>
      <w:r>
        <w:rPr>
          <w:spacing w:val="-8"/>
          <w:sz w:val="21"/>
        </w:rPr>
        <w:t> </w:t>
      </w:r>
      <w:r>
        <w:rPr>
          <w:sz w:val="21"/>
        </w:rPr>
        <w:t>to</w:t>
      </w:r>
      <w:r>
        <w:rPr>
          <w:spacing w:val="-8"/>
          <w:sz w:val="21"/>
        </w:rPr>
        <w:t> </w:t>
      </w:r>
      <w:r>
        <w:rPr>
          <w:sz w:val="21"/>
        </w:rPr>
        <w:t>reduce</w:t>
      </w:r>
      <w:r>
        <w:rPr>
          <w:spacing w:val="-9"/>
          <w:sz w:val="21"/>
        </w:rPr>
        <w:t> </w:t>
      </w:r>
      <w:r>
        <w:rPr>
          <w:sz w:val="21"/>
        </w:rPr>
        <w:t>recidivism.</w:t>
      </w:r>
      <w:hyperlink w:history="true" w:anchor="_bookmark606">
        <w:r>
          <w:rPr>
            <w:sz w:val="21"/>
            <w:vertAlign w:val="superscript"/>
          </w:rPr>
          <w:t>52</w:t>
        </w:r>
      </w:hyperlink>
      <w:r>
        <w:rPr>
          <w:spacing w:val="-2"/>
          <w:sz w:val="21"/>
          <w:vertAlign w:val="baseline"/>
        </w:rPr>
        <w:t> </w:t>
      </w:r>
      <w:r>
        <w:rPr>
          <w:sz w:val="21"/>
          <w:vertAlign w:val="baseline"/>
        </w:rPr>
        <w:t>A</w:t>
      </w:r>
      <w:r>
        <w:rPr>
          <w:spacing w:val="-8"/>
          <w:sz w:val="21"/>
          <w:vertAlign w:val="baseline"/>
        </w:rPr>
        <w:t> </w:t>
      </w:r>
      <w:r>
        <w:rPr>
          <w:sz w:val="21"/>
          <w:vertAlign w:val="baseline"/>
        </w:rPr>
        <w:t>2023</w:t>
      </w:r>
      <w:r>
        <w:rPr>
          <w:spacing w:val="-9"/>
          <w:sz w:val="21"/>
          <w:vertAlign w:val="baseline"/>
        </w:rPr>
        <w:t> </w:t>
      </w:r>
      <w:r>
        <w:rPr>
          <w:sz w:val="21"/>
          <w:vertAlign w:val="baseline"/>
        </w:rPr>
        <w:t>study</w:t>
      </w:r>
      <w:r>
        <w:rPr>
          <w:spacing w:val="-8"/>
          <w:sz w:val="21"/>
          <w:vertAlign w:val="baseline"/>
        </w:rPr>
        <w:t> </w:t>
      </w:r>
      <w:r>
        <w:rPr>
          <w:sz w:val="21"/>
          <w:vertAlign w:val="baseline"/>
        </w:rPr>
        <w:t>found</w:t>
      </w:r>
      <w:r>
        <w:rPr>
          <w:spacing w:val="-8"/>
          <w:sz w:val="21"/>
          <w:vertAlign w:val="baseline"/>
        </w:rPr>
        <w:t> </w:t>
      </w:r>
      <w:r>
        <w:rPr>
          <w:sz w:val="21"/>
          <w:vertAlign w:val="baseline"/>
        </w:rPr>
        <w:t>that</w:t>
      </w:r>
      <w:r>
        <w:rPr>
          <w:spacing w:val="-7"/>
          <w:sz w:val="21"/>
          <w:vertAlign w:val="baseline"/>
        </w:rPr>
        <w:t> </w:t>
      </w:r>
      <w:r>
        <w:rPr>
          <w:sz w:val="21"/>
          <w:vertAlign w:val="baseline"/>
        </w:rPr>
        <w:t>Adverse</w:t>
      </w:r>
      <w:r>
        <w:rPr>
          <w:spacing w:val="-8"/>
          <w:sz w:val="21"/>
          <w:vertAlign w:val="baseline"/>
        </w:rPr>
        <w:t> </w:t>
      </w:r>
      <w:r>
        <w:rPr>
          <w:sz w:val="21"/>
          <w:vertAlign w:val="baseline"/>
        </w:rPr>
        <w:t>Childhood</w:t>
      </w:r>
      <w:r>
        <w:rPr>
          <w:spacing w:val="-7"/>
          <w:sz w:val="21"/>
          <w:vertAlign w:val="baseline"/>
        </w:rPr>
        <w:t> </w:t>
      </w:r>
      <w:r>
        <w:rPr>
          <w:sz w:val="21"/>
          <w:vertAlign w:val="baseline"/>
        </w:rPr>
        <w:t>Experiences</w:t>
      </w:r>
      <w:r>
        <w:rPr>
          <w:spacing w:val="-8"/>
          <w:sz w:val="21"/>
          <w:vertAlign w:val="baseline"/>
        </w:rPr>
        <w:t> </w:t>
      </w:r>
      <w:r>
        <w:rPr>
          <w:sz w:val="21"/>
          <w:vertAlign w:val="baseline"/>
        </w:rPr>
        <w:t>(ACEs),</w:t>
      </w:r>
      <w:r>
        <w:rPr>
          <w:spacing w:val="-8"/>
          <w:sz w:val="21"/>
          <w:vertAlign w:val="baseline"/>
        </w:rPr>
        <w:t> </w:t>
      </w:r>
      <w:r>
        <w:rPr>
          <w:sz w:val="21"/>
          <w:vertAlign w:val="baseline"/>
        </w:rPr>
        <w:t>i.e. traumatic</w:t>
      </w:r>
      <w:r>
        <w:rPr>
          <w:spacing w:val="-11"/>
          <w:sz w:val="21"/>
          <w:vertAlign w:val="baseline"/>
        </w:rPr>
        <w:t> </w:t>
      </w:r>
      <w:r>
        <w:rPr>
          <w:sz w:val="21"/>
          <w:vertAlign w:val="baseline"/>
        </w:rPr>
        <w:t>events</w:t>
      </w:r>
      <w:r>
        <w:rPr>
          <w:spacing w:val="-12"/>
          <w:sz w:val="21"/>
          <w:vertAlign w:val="baseline"/>
        </w:rPr>
        <w:t> </w:t>
      </w:r>
      <w:r>
        <w:rPr>
          <w:sz w:val="21"/>
          <w:vertAlign w:val="baseline"/>
        </w:rPr>
        <w:t>experienced</w:t>
      </w:r>
      <w:r>
        <w:rPr>
          <w:spacing w:val="-10"/>
          <w:sz w:val="21"/>
          <w:vertAlign w:val="baseline"/>
        </w:rPr>
        <w:t> </w:t>
      </w:r>
      <w:r>
        <w:rPr>
          <w:sz w:val="21"/>
          <w:vertAlign w:val="baseline"/>
        </w:rPr>
        <w:t>as</w:t>
      </w:r>
      <w:r>
        <w:rPr>
          <w:spacing w:val="-12"/>
          <w:sz w:val="21"/>
          <w:vertAlign w:val="baseline"/>
        </w:rPr>
        <w:t> </w:t>
      </w:r>
      <w:r>
        <w:rPr>
          <w:sz w:val="21"/>
          <w:vertAlign w:val="baseline"/>
        </w:rPr>
        <w:t>a</w:t>
      </w:r>
      <w:r>
        <w:rPr>
          <w:spacing w:val="-10"/>
          <w:sz w:val="21"/>
          <w:vertAlign w:val="baseline"/>
        </w:rPr>
        <w:t> </w:t>
      </w:r>
      <w:r>
        <w:rPr>
          <w:sz w:val="21"/>
          <w:vertAlign w:val="baseline"/>
        </w:rPr>
        <w:t>minor,</w:t>
      </w:r>
      <w:r>
        <w:rPr>
          <w:spacing w:val="-12"/>
          <w:sz w:val="21"/>
          <w:vertAlign w:val="baseline"/>
        </w:rPr>
        <w:t> </w:t>
      </w:r>
      <w:r>
        <w:rPr>
          <w:sz w:val="21"/>
          <w:vertAlign w:val="baseline"/>
        </w:rPr>
        <w:t>are</w:t>
      </w:r>
      <w:r>
        <w:rPr>
          <w:spacing w:val="-10"/>
          <w:sz w:val="21"/>
          <w:vertAlign w:val="baseline"/>
        </w:rPr>
        <w:t> </w:t>
      </w:r>
      <w:r>
        <w:rPr>
          <w:sz w:val="21"/>
          <w:vertAlign w:val="baseline"/>
        </w:rPr>
        <w:t>more</w:t>
      </w:r>
      <w:r>
        <w:rPr>
          <w:spacing w:val="-11"/>
          <w:sz w:val="21"/>
          <w:vertAlign w:val="baseline"/>
        </w:rPr>
        <w:t> </w:t>
      </w:r>
      <w:r>
        <w:rPr>
          <w:sz w:val="21"/>
          <w:vertAlign w:val="baseline"/>
        </w:rPr>
        <w:t>common</w:t>
      </w:r>
      <w:r>
        <w:rPr>
          <w:spacing w:val="-11"/>
          <w:sz w:val="21"/>
          <w:vertAlign w:val="baseline"/>
        </w:rPr>
        <w:t> </w:t>
      </w:r>
      <w:r>
        <w:rPr>
          <w:sz w:val="21"/>
          <w:vertAlign w:val="baseline"/>
        </w:rPr>
        <w:t>among</w:t>
      </w:r>
      <w:r>
        <w:rPr>
          <w:spacing w:val="-12"/>
          <w:sz w:val="21"/>
          <w:vertAlign w:val="baseline"/>
        </w:rPr>
        <w:t> </w:t>
      </w:r>
      <w:r>
        <w:rPr>
          <w:sz w:val="21"/>
          <w:vertAlign w:val="baseline"/>
        </w:rPr>
        <w:t>youth</w:t>
      </w:r>
      <w:r>
        <w:rPr>
          <w:spacing w:val="-10"/>
          <w:sz w:val="21"/>
          <w:vertAlign w:val="baseline"/>
        </w:rPr>
        <w:t> </w:t>
      </w:r>
      <w:r>
        <w:rPr>
          <w:sz w:val="21"/>
          <w:vertAlign w:val="baseline"/>
        </w:rPr>
        <w:t>in</w:t>
      </w:r>
      <w:r>
        <w:rPr>
          <w:spacing w:val="-11"/>
          <w:sz w:val="21"/>
          <w:vertAlign w:val="baseline"/>
        </w:rPr>
        <w:t> </w:t>
      </w:r>
      <w:r>
        <w:rPr>
          <w:sz w:val="21"/>
          <w:vertAlign w:val="baseline"/>
        </w:rPr>
        <w:t>the</w:t>
      </w:r>
      <w:r>
        <w:rPr>
          <w:spacing w:val="-11"/>
          <w:sz w:val="21"/>
          <w:vertAlign w:val="baseline"/>
        </w:rPr>
        <w:t> </w:t>
      </w:r>
      <w:r>
        <w:rPr>
          <w:sz w:val="21"/>
          <w:vertAlign w:val="baseline"/>
        </w:rPr>
        <w:t>justice</w:t>
      </w:r>
      <w:r>
        <w:rPr>
          <w:spacing w:val="-11"/>
          <w:sz w:val="21"/>
          <w:vertAlign w:val="baseline"/>
        </w:rPr>
        <w:t> </w:t>
      </w:r>
      <w:r>
        <w:rPr>
          <w:sz w:val="21"/>
          <w:vertAlign w:val="baseline"/>
        </w:rPr>
        <w:t>system.</w:t>
      </w:r>
      <w:r>
        <w:rPr>
          <w:spacing w:val="-11"/>
          <w:sz w:val="21"/>
          <w:vertAlign w:val="baseline"/>
        </w:rPr>
        <w:t> </w:t>
      </w:r>
      <w:r>
        <w:rPr>
          <w:sz w:val="21"/>
          <w:vertAlign w:val="baseline"/>
        </w:rPr>
        <w:t>Developing programs to address the impact and</w:t>
      </w:r>
      <w:r>
        <w:rPr>
          <w:spacing w:val="-1"/>
          <w:sz w:val="21"/>
          <w:vertAlign w:val="baseline"/>
        </w:rPr>
        <w:t> </w:t>
      </w:r>
      <w:r>
        <w:rPr>
          <w:sz w:val="21"/>
          <w:vertAlign w:val="baseline"/>
        </w:rPr>
        <w:t>trauma of ACEs among justice-involved youth may help reduce youth recidivism.</w:t>
      </w:r>
      <w:hyperlink w:history="true" w:anchor="_bookmark607">
        <w:r>
          <w:rPr>
            <w:sz w:val="21"/>
            <w:vertAlign w:val="superscript"/>
          </w:rPr>
          <w:t>53</w:t>
        </w:r>
      </w:hyperlink>
      <w:r>
        <w:rPr>
          <w:spacing w:val="-2"/>
          <w:sz w:val="21"/>
          <w:vertAlign w:val="baseline"/>
        </w:rPr>
        <w:t> </w:t>
      </w:r>
      <w:r>
        <w:rPr>
          <w:sz w:val="21"/>
          <w:vertAlign w:val="baseline"/>
        </w:rPr>
        <w:t>Increasing services and funding for transition support programs would assist justice-involved youth in finding and maintaining employment. For example, the</w:t>
      </w:r>
      <w:r>
        <w:rPr>
          <w:spacing w:val="-1"/>
          <w:sz w:val="21"/>
          <w:vertAlign w:val="baseline"/>
        </w:rPr>
        <w:t> </w:t>
      </w:r>
      <w:r>
        <w:rPr>
          <w:sz w:val="21"/>
          <w:vertAlign w:val="baseline"/>
        </w:rPr>
        <w:t>Department of Youth Services works with Commonwealth Corporation to offer Residential Work Programs that connect justice-involved youth with employment and housing, educational services, and career readiness training.</w:t>
      </w:r>
    </w:p>
    <w:p>
      <w:pPr>
        <w:spacing w:line="276" w:lineRule="auto" w:before="241"/>
        <w:ind w:left="463" w:right="199" w:firstLine="0"/>
        <w:jc w:val="both"/>
        <w:rPr>
          <w:sz w:val="21"/>
        </w:rPr>
      </w:pPr>
      <w:r>
        <w:rPr>
          <w:sz w:val="21"/>
        </w:rPr>
        <w:t>Certain youth face higher rates and an increased risk of recidivism, including Black non-Latinx, Latinx, and multiracial non-Latinx youth and justice-involved youth with psychiatric and substance problems.</w:t>
      </w:r>
      <w:r>
        <w:rPr>
          <w:spacing w:val="-2"/>
          <w:sz w:val="21"/>
        </w:rPr>
        <w:t> </w:t>
      </w:r>
      <w:hyperlink w:history="true" w:anchor="_bookmark608">
        <w:r>
          <w:rPr>
            <w:sz w:val="21"/>
            <w:vertAlign w:val="superscript"/>
          </w:rPr>
          <w:t>54</w:t>
        </w:r>
      </w:hyperlink>
      <w:r>
        <w:rPr>
          <w:sz w:val="21"/>
          <w:vertAlign w:val="baseline"/>
        </w:rPr>
        <w:t> Implementing mental health and rehabilitation programs into the juvenile justice system may reduce the risk of recidivism. Black individuals are overrepresented in the justice system due to racial discrimination and systemic bias. </w:t>
      </w:r>
      <w:hyperlink w:history="true" w:anchor="_bookmark609">
        <w:r>
          <w:rPr>
            <w:sz w:val="21"/>
            <w:vertAlign w:val="superscript"/>
          </w:rPr>
          <w:t>55</w:t>
        </w:r>
      </w:hyperlink>
      <w:r>
        <w:rPr>
          <w:sz w:val="21"/>
          <w:vertAlign w:val="baseline"/>
        </w:rPr>
        <w:t> Racial discrimination compounded with discrimination against justice-involved individuals has a significant impact on formerly incarcerated Black individuals.</w:t>
      </w:r>
    </w:p>
    <w:p>
      <w:pPr>
        <w:spacing w:line="276" w:lineRule="auto" w:before="240"/>
        <w:ind w:left="464" w:right="198" w:firstLine="0"/>
        <w:jc w:val="both"/>
        <w:rPr>
          <w:sz w:val="21"/>
        </w:rPr>
      </w:pPr>
      <w:r>
        <w:rPr>
          <w:sz w:val="21"/>
        </w:rPr>
        <w:t>Specifically in MA, racial disparities persist in the justice</w:t>
      </w:r>
      <w:r>
        <w:rPr>
          <w:spacing w:val="-1"/>
          <w:sz w:val="21"/>
        </w:rPr>
        <w:t> </w:t>
      </w:r>
      <w:r>
        <w:rPr>
          <w:sz w:val="21"/>
        </w:rPr>
        <w:t>system years after former Governor Charlie Baker signed</w:t>
      </w:r>
      <w:r>
        <w:rPr>
          <w:spacing w:val="-7"/>
          <w:sz w:val="21"/>
        </w:rPr>
        <w:t> </w:t>
      </w:r>
      <w:r>
        <w:rPr>
          <w:sz w:val="21"/>
        </w:rPr>
        <w:t>legislation</w:t>
      </w:r>
      <w:r>
        <w:rPr>
          <w:spacing w:val="-7"/>
          <w:sz w:val="21"/>
        </w:rPr>
        <w:t> </w:t>
      </w:r>
      <w:r>
        <w:rPr>
          <w:sz w:val="21"/>
        </w:rPr>
        <w:t>to</w:t>
      </w:r>
      <w:r>
        <w:rPr>
          <w:spacing w:val="-7"/>
          <w:sz w:val="21"/>
        </w:rPr>
        <w:t> </w:t>
      </w:r>
      <w:r>
        <w:rPr>
          <w:sz w:val="21"/>
        </w:rPr>
        <w:t>reform</w:t>
      </w:r>
      <w:r>
        <w:rPr>
          <w:spacing w:val="-5"/>
          <w:sz w:val="21"/>
        </w:rPr>
        <w:t> </w:t>
      </w:r>
      <w:r>
        <w:rPr>
          <w:sz w:val="21"/>
        </w:rPr>
        <w:t>the</w:t>
      </w:r>
      <w:r>
        <w:rPr>
          <w:spacing w:val="-7"/>
          <w:sz w:val="21"/>
        </w:rPr>
        <w:t> </w:t>
      </w:r>
      <w:r>
        <w:rPr>
          <w:sz w:val="21"/>
        </w:rPr>
        <w:t>justice</w:t>
      </w:r>
      <w:r>
        <w:rPr>
          <w:spacing w:val="-7"/>
          <w:sz w:val="21"/>
        </w:rPr>
        <w:t> </w:t>
      </w:r>
      <w:r>
        <w:rPr>
          <w:sz w:val="21"/>
        </w:rPr>
        <w:t>system</w:t>
      </w:r>
      <w:r>
        <w:rPr>
          <w:spacing w:val="-6"/>
          <w:sz w:val="21"/>
        </w:rPr>
        <w:t> </w:t>
      </w:r>
      <w:r>
        <w:rPr>
          <w:sz w:val="21"/>
        </w:rPr>
        <w:t>according</w:t>
      </w:r>
      <w:r>
        <w:rPr>
          <w:spacing w:val="-7"/>
          <w:sz w:val="21"/>
        </w:rPr>
        <w:t> </w:t>
      </w:r>
      <w:r>
        <w:rPr>
          <w:sz w:val="21"/>
        </w:rPr>
        <w:t>to</w:t>
      </w:r>
      <w:r>
        <w:rPr>
          <w:spacing w:val="-7"/>
          <w:sz w:val="21"/>
        </w:rPr>
        <w:t> </w:t>
      </w:r>
      <w:r>
        <w:rPr>
          <w:sz w:val="21"/>
        </w:rPr>
        <w:t>a</w:t>
      </w:r>
      <w:r>
        <w:rPr>
          <w:spacing w:val="-6"/>
          <w:sz w:val="21"/>
        </w:rPr>
        <w:t> </w:t>
      </w:r>
      <w:r>
        <w:rPr>
          <w:sz w:val="21"/>
        </w:rPr>
        <w:t>new</w:t>
      </w:r>
      <w:r>
        <w:rPr>
          <w:spacing w:val="-7"/>
          <w:sz w:val="21"/>
        </w:rPr>
        <w:t> </w:t>
      </w:r>
      <w:r>
        <w:rPr>
          <w:sz w:val="21"/>
        </w:rPr>
        <w:t>report</w:t>
      </w:r>
      <w:r>
        <w:rPr>
          <w:spacing w:val="-6"/>
          <w:sz w:val="21"/>
        </w:rPr>
        <w:t> </w:t>
      </w:r>
      <w:r>
        <w:rPr>
          <w:sz w:val="21"/>
        </w:rPr>
        <w:t>by</w:t>
      </w:r>
      <w:r>
        <w:rPr>
          <w:spacing w:val="-7"/>
          <w:sz w:val="21"/>
        </w:rPr>
        <w:t> </w:t>
      </w:r>
      <w:r>
        <w:rPr>
          <w:sz w:val="21"/>
        </w:rPr>
        <w:t>the</w:t>
      </w:r>
      <w:r>
        <w:rPr>
          <w:spacing w:val="-7"/>
          <w:sz w:val="21"/>
        </w:rPr>
        <w:t> </w:t>
      </w:r>
      <w:r>
        <w:rPr>
          <w:sz w:val="21"/>
        </w:rPr>
        <w:t>Massachusetts</w:t>
      </w:r>
      <w:r>
        <w:rPr>
          <w:spacing w:val="-7"/>
          <w:sz w:val="21"/>
        </w:rPr>
        <w:t> </w:t>
      </w:r>
      <w:r>
        <w:rPr>
          <w:sz w:val="21"/>
        </w:rPr>
        <w:t>Institute</w:t>
      </w:r>
      <w:r>
        <w:rPr>
          <w:spacing w:val="-7"/>
          <w:sz w:val="21"/>
        </w:rPr>
        <w:t> </w:t>
      </w:r>
      <w:r>
        <w:rPr>
          <w:sz w:val="21"/>
        </w:rPr>
        <w:t>for a New Commonwealth.</w:t>
      </w:r>
      <w:hyperlink w:history="true" w:anchor="_bookmark610">
        <w:r>
          <w:rPr>
            <w:sz w:val="21"/>
            <w:vertAlign w:val="superscript"/>
          </w:rPr>
          <w:t>56</w:t>
        </w:r>
      </w:hyperlink>
      <w:r>
        <w:rPr>
          <w:spacing w:val="-1"/>
          <w:sz w:val="21"/>
          <w:vertAlign w:val="baseline"/>
        </w:rPr>
        <w:t> </w:t>
      </w:r>
      <w:r>
        <w:rPr>
          <w:sz w:val="21"/>
          <w:vertAlign w:val="baseline"/>
        </w:rPr>
        <w:t>Since 2018, MA incarceration rates fell faster than the national average for all races; however, the rates for white people decreased by 40% compared to 32% for Latinx individuals and 21%</w:t>
      </w:r>
      <w:r>
        <w:rPr>
          <w:spacing w:val="-4"/>
          <w:sz w:val="21"/>
          <w:vertAlign w:val="baseline"/>
        </w:rPr>
        <w:t> </w:t>
      </w:r>
      <w:r>
        <w:rPr>
          <w:sz w:val="21"/>
          <w:vertAlign w:val="baseline"/>
        </w:rPr>
        <w:t>for</w:t>
      </w:r>
      <w:r>
        <w:rPr>
          <w:spacing w:val="-4"/>
          <w:sz w:val="21"/>
          <w:vertAlign w:val="baseline"/>
        </w:rPr>
        <w:t> </w:t>
      </w:r>
      <w:r>
        <w:rPr>
          <w:sz w:val="21"/>
          <w:vertAlign w:val="baseline"/>
        </w:rPr>
        <w:t>Black</w:t>
      </w:r>
      <w:r>
        <w:rPr>
          <w:spacing w:val="-5"/>
          <w:sz w:val="21"/>
          <w:vertAlign w:val="baseline"/>
        </w:rPr>
        <w:t> </w:t>
      </w:r>
      <w:r>
        <w:rPr>
          <w:sz w:val="21"/>
          <w:vertAlign w:val="baseline"/>
        </w:rPr>
        <w:t>individuals.</w:t>
      </w:r>
      <w:r>
        <w:rPr>
          <w:spacing w:val="-4"/>
          <w:sz w:val="21"/>
          <w:vertAlign w:val="baseline"/>
        </w:rPr>
        <w:t> </w:t>
      </w:r>
      <w:r>
        <w:rPr>
          <w:sz w:val="21"/>
          <w:vertAlign w:val="baseline"/>
        </w:rPr>
        <w:t>There</w:t>
      </w:r>
      <w:r>
        <w:rPr>
          <w:spacing w:val="-4"/>
          <w:sz w:val="21"/>
          <w:vertAlign w:val="baseline"/>
        </w:rPr>
        <w:t> </w:t>
      </w:r>
      <w:r>
        <w:rPr>
          <w:sz w:val="21"/>
          <w:vertAlign w:val="baseline"/>
        </w:rPr>
        <w:t>have</w:t>
      </w:r>
      <w:r>
        <w:rPr>
          <w:spacing w:val="-4"/>
          <w:sz w:val="21"/>
          <w:vertAlign w:val="baseline"/>
        </w:rPr>
        <w:t> </w:t>
      </w:r>
      <w:r>
        <w:rPr>
          <w:sz w:val="21"/>
          <w:vertAlign w:val="baseline"/>
        </w:rPr>
        <w:t>been</w:t>
      </w:r>
      <w:r>
        <w:rPr>
          <w:spacing w:val="-4"/>
          <w:sz w:val="21"/>
          <w:vertAlign w:val="baseline"/>
        </w:rPr>
        <w:t> </w:t>
      </w:r>
      <w:r>
        <w:rPr>
          <w:sz w:val="21"/>
          <w:vertAlign w:val="baseline"/>
        </w:rPr>
        <w:t>significant</w:t>
      </w:r>
      <w:r>
        <w:rPr>
          <w:spacing w:val="-4"/>
          <w:sz w:val="21"/>
          <w:vertAlign w:val="baseline"/>
        </w:rPr>
        <w:t> </w:t>
      </w:r>
      <w:r>
        <w:rPr>
          <w:sz w:val="21"/>
          <w:vertAlign w:val="baseline"/>
        </w:rPr>
        <w:t>improvements</w:t>
      </w:r>
      <w:r>
        <w:rPr>
          <w:spacing w:val="-5"/>
          <w:sz w:val="21"/>
          <w:vertAlign w:val="baseline"/>
        </w:rPr>
        <w:t> </w:t>
      </w:r>
      <w:r>
        <w:rPr>
          <w:sz w:val="21"/>
          <w:vertAlign w:val="baseline"/>
        </w:rPr>
        <w:t>in</w:t>
      </w:r>
      <w:r>
        <w:rPr>
          <w:spacing w:val="-4"/>
          <w:sz w:val="21"/>
          <w:vertAlign w:val="baseline"/>
        </w:rPr>
        <w:t> </w:t>
      </w:r>
      <w:r>
        <w:rPr>
          <w:sz w:val="21"/>
          <w:vertAlign w:val="baseline"/>
        </w:rPr>
        <w:t>the</w:t>
      </w:r>
      <w:r>
        <w:rPr>
          <w:spacing w:val="-4"/>
          <w:sz w:val="21"/>
          <w:vertAlign w:val="baseline"/>
        </w:rPr>
        <w:t> </w:t>
      </w:r>
      <w:r>
        <w:rPr>
          <w:sz w:val="21"/>
          <w:vertAlign w:val="baseline"/>
        </w:rPr>
        <w:t>criminal</w:t>
      </w:r>
      <w:r>
        <w:rPr>
          <w:spacing w:val="-5"/>
          <w:sz w:val="21"/>
          <w:vertAlign w:val="baseline"/>
        </w:rPr>
        <w:t> </w:t>
      </w:r>
      <w:r>
        <w:rPr>
          <w:sz w:val="21"/>
          <w:vertAlign w:val="baseline"/>
        </w:rPr>
        <w:t>justice</w:t>
      </w:r>
      <w:r>
        <w:rPr>
          <w:spacing w:val="-4"/>
          <w:sz w:val="21"/>
          <w:vertAlign w:val="baseline"/>
        </w:rPr>
        <w:t> </w:t>
      </w:r>
      <w:r>
        <w:rPr>
          <w:sz w:val="21"/>
          <w:vertAlign w:val="baseline"/>
        </w:rPr>
        <w:t>system,</w:t>
      </w:r>
      <w:r>
        <w:rPr>
          <w:spacing w:val="-4"/>
          <w:sz w:val="21"/>
          <w:vertAlign w:val="baseline"/>
        </w:rPr>
        <w:t> </w:t>
      </w:r>
      <w:r>
        <w:rPr>
          <w:sz w:val="21"/>
          <w:vertAlign w:val="baseline"/>
        </w:rPr>
        <w:t>though there are still various issues that need to be addressed.</w:t>
      </w:r>
    </w:p>
    <w:p>
      <w:pPr>
        <w:spacing w:after="0" w:line="276" w:lineRule="auto"/>
        <w:jc w:val="both"/>
        <w:rPr>
          <w:sz w:val="21"/>
        </w:rPr>
        <w:sectPr>
          <w:pgSz w:w="12240" w:h="15840"/>
          <w:pgMar w:header="763" w:footer="1041" w:top="1380" w:bottom="1240" w:left="1120" w:right="1380"/>
        </w:sectPr>
      </w:pPr>
    </w:p>
    <w:p>
      <w:pPr>
        <w:spacing w:before="47"/>
        <w:ind w:left="464" w:right="0" w:firstLine="0"/>
        <w:jc w:val="both"/>
        <w:rPr>
          <w:sz w:val="28"/>
        </w:rPr>
      </w:pPr>
      <w:bookmarkStart w:name="Impact of Anti-LGBTQ Bills &amp; Legislation" w:id="842"/>
      <w:bookmarkEnd w:id="842"/>
      <w:r>
        <w:rPr/>
      </w:r>
      <w:r>
        <w:rPr>
          <w:color w:val="365F91"/>
          <w:sz w:val="28"/>
        </w:rPr>
        <w:t>Impact</w:t>
      </w:r>
      <w:r>
        <w:rPr>
          <w:color w:val="365F91"/>
          <w:spacing w:val="-7"/>
          <w:sz w:val="28"/>
        </w:rPr>
        <w:t> </w:t>
      </w:r>
      <w:r>
        <w:rPr>
          <w:color w:val="365F91"/>
          <w:sz w:val="28"/>
        </w:rPr>
        <w:t>of</w:t>
      </w:r>
      <w:r>
        <w:rPr>
          <w:color w:val="365F91"/>
          <w:spacing w:val="-7"/>
          <w:sz w:val="28"/>
        </w:rPr>
        <w:t> </w:t>
      </w:r>
      <w:r>
        <w:rPr>
          <w:color w:val="365F91"/>
          <w:sz w:val="28"/>
        </w:rPr>
        <w:t>Anti-LGBTQ</w:t>
      </w:r>
      <w:r>
        <w:rPr>
          <w:color w:val="365F91"/>
          <w:spacing w:val="-7"/>
          <w:sz w:val="28"/>
        </w:rPr>
        <w:t> </w:t>
      </w:r>
      <w:r>
        <w:rPr>
          <w:color w:val="365F91"/>
          <w:sz w:val="28"/>
        </w:rPr>
        <w:t>Bills</w:t>
      </w:r>
      <w:r>
        <w:rPr>
          <w:color w:val="365F91"/>
          <w:spacing w:val="-7"/>
          <w:sz w:val="28"/>
        </w:rPr>
        <w:t> </w:t>
      </w:r>
      <w:r>
        <w:rPr>
          <w:color w:val="365F91"/>
          <w:sz w:val="28"/>
        </w:rPr>
        <w:t>&amp;</w:t>
      </w:r>
      <w:r>
        <w:rPr>
          <w:color w:val="365F91"/>
          <w:spacing w:val="-7"/>
          <w:sz w:val="28"/>
        </w:rPr>
        <w:t> </w:t>
      </w:r>
      <w:r>
        <w:rPr>
          <w:color w:val="365F91"/>
          <w:spacing w:val="-2"/>
          <w:sz w:val="28"/>
        </w:rPr>
        <w:t>Legislation</w:t>
      </w:r>
    </w:p>
    <w:p>
      <w:pPr>
        <w:spacing w:line="276" w:lineRule="auto" w:before="292"/>
        <w:ind w:left="463" w:right="197" w:firstLine="0"/>
        <w:jc w:val="both"/>
        <w:rPr>
          <w:sz w:val="21"/>
        </w:rPr>
      </w:pPr>
      <w:r>
        <w:rPr>
          <w:sz w:val="21"/>
        </w:rPr>
        <w:t>Anti-LGBTQ legislation has been rampant across the US, with a record high of 510 anti-LGBTQ bills being introduced into state legislatures in 2023, which is three times the number of that in 2022. Of those 510 bills, 84 have been passed in 23 different states.</w:t>
      </w:r>
      <w:hyperlink w:history="true" w:anchor="_bookmark611">
        <w:r>
          <w:rPr>
            <w:sz w:val="21"/>
            <w:vertAlign w:val="superscript"/>
          </w:rPr>
          <w:t>57</w:t>
        </w:r>
      </w:hyperlink>
      <w:r>
        <w:rPr>
          <w:sz w:val="21"/>
          <w:vertAlign w:val="baseline"/>
        </w:rPr>
        <w:t> There has also been an increase in anti-LGBTQ hate crimes and violence across the country: the FBI’s Annual Crime Report for 2022 revealed an increase in violence</w:t>
      </w:r>
      <w:r>
        <w:rPr>
          <w:spacing w:val="-8"/>
          <w:sz w:val="21"/>
          <w:vertAlign w:val="baseline"/>
        </w:rPr>
        <w:t> </w:t>
      </w:r>
      <w:r>
        <w:rPr>
          <w:sz w:val="21"/>
          <w:vertAlign w:val="baseline"/>
        </w:rPr>
        <w:t>based</w:t>
      </w:r>
      <w:r>
        <w:rPr>
          <w:spacing w:val="-8"/>
          <w:sz w:val="21"/>
          <w:vertAlign w:val="baseline"/>
        </w:rPr>
        <w:t> </w:t>
      </w:r>
      <w:r>
        <w:rPr>
          <w:sz w:val="21"/>
          <w:vertAlign w:val="baseline"/>
        </w:rPr>
        <w:t>on</w:t>
      </w:r>
      <w:r>
        <w:rPr>
          <w:spacing w:val="-8"/>
          <w:sz w:val="21"/>
          <w:vertAlign w:val="baseline"/>
        </w:rPr>
        <w:t> </w:t>
      </w:r>
      <w:r>
        <w:rPr>
          <w:sz w:val="21"/>
          <w:vertAlign w:val="baseline"/>
        </w:rPr>
        <w:t>sexual</w:t>
      </w:r>
      <w:r>
        <w:rPr>
          <w:spacing w:val="-9"/>
          <w:sz w:val="21"/>
          <w:vertAlign w:val="baseline"/>
        </w:rPr>
        <w:t> </w:t>
      </w:r>
      <w:r>
        <w:rPr>
          <w:sz w:val="21"/>
          <w:vertAlign w:val="baseline"/>
        </w:rPr>
        <w:t>orientation</w:t>
      </w:r>
      <w:r>
        <w:rPr>
          <w:spacing w:val="-8"/>
          <w:sz w:val="21"/>
          <w:vertAlign w:val="baseline"/>
        </w:rPr>
        <w:t> </w:t>
      </w:r>
      <w:r>
        <w:rPr>
          <w:sz w:val="21"/>
          <w:vertAlign w:val="baseline"/>
        </w:rPr>
        <w:t>and</w:t>
      </w:r>
      <w:r>
        <w:rPr>
          <w:spacing w:val="-9"/>
          <w:sz w:val="21"/>
          <w:vertAlign w:val="baseline"/>
        </w:rPr>
        <w:t> </w:t>
      </w:r>
      <w:r>
        <w:rPr>
          <w:sz w:val="21"/>
          <w:vertAlign w:val="baseline"/>
        </w:rPr>
        <w:t>gender</w:t>
      </w:r>
      <w:r>
        <w:rPr>
          <w:spacing w:val="-8"/>
          <w:sz w:val="21"/>
          <w:vertAlign w:val="baseline"/>
        </w:rPr>
        <w:t> </w:t>
      </w:r>
      <w:r>
        <w:rPr>
          <w:sz w:val="21"/>
          <w:vertAlign w:val="baseline"/>
        </w:rPr>
        <w:t>identity.</w:t>
      </w:r>
      <w:hyperlink w:history="true" w:anchor="_bookmark612">
        <w:r>
          <w:rPr>
            <w:sz w:val="21"/>
            <w:vertAlign w:val="superscript"/>
          </w:rPr>
          <w:t>58</w:t>
        </w:r>
      </w:hyperlink>
      <w:r>
        <w:rPr>
          <w:spacing w:val="-2"/>
          <w:sz w:val="21"/>
          <w:vertAlign w:val="baseline"/>
        </w:rPr>
        <w:t> </w:t>
      </w:r>
      <w:r>
        <w:rPr>
          <w:sz w:val="21"/>
          <w:vertAlign w:val="baseline"/>
        </w:rPr>
        <w:t>This</w:t>
      </w:r>
      <w:r>
        <w:rPr>
          <w:spacing w:val="-8"/>
          <w:sz w:val="21"/>
          <w:vertAlign w:val="baseline"/>
        </w:rPr>
        <w:t> </w:t>
      </w:r>
      <w:r>
        <w:rPr>
          <w:sz w:val="21"/>
          <w:vertAlign w:val="baseline"/>
        </w:rPr>
        <w:t>treatment</w:t>
      </w:r>
      <w:r>
        <w:rPr>
          <w:spacing w:val="-8"/>
          <w:sz w:val="21"/>
          <w:vertAlign w:val="baseline"/>
        </w:rPr>
        <w:t> </w:t>
      </w:r>
      <w:r>
        <w:rPr>
          <w:sz w:val="21"/>
          <w:vertAlign w:val="baseline"/>
        </w:rPr>
        <w:t>of</w:t>
      </w:r>
      <w:r>
        <w:rPr>
          <w:spacing w:val="-8"/>
          <w:sz w:val="21"/>
          <w:vertAlign w:val="baseline"/>
        </w:rPr>
        <w:t> </w:t>
      </w:r>
      <w:r>
        <w:rPr>
          <w:sz w:val="21"/>
          <w:vertAlign w:val="baseline"/>
        </w:rPr>
        <w:t>LGBTQ</w:t>
      </w:r>
      <w:r>
        <w:rPr>
          <w:spacing w:val="-8"/>
          <w:sz w:val="21"/>
          <w:vertAlign w:val="baseline"/>
        </w:rPr>
        <w:t> </w:t>
      </w:r>
      <w:r>
        <w:rPr>
          <w:sz w:val="21"/>
          <w:vertAlign w:val="baseline"/>
        </w:rPr>
        <w:t>individuals</w:t>
      </w:r>
      <w:r>
        <w:rPr>
          <w:spacing w:val="-9"/>
          <w:sz w:val="21"/>
          <w:vertAlign w:val="baseline"/>
        </w:rPr>
        <w:t> </w:t>
      </w:r>
      <w:r>
        <w:rPr>
          <w:sz w:val="21"/>
          <w:vertAlign w:val="baseline"/>
        </w:rPr>
        <w:t>has</w:t>
      </w:r>
      <w:r>
        <w:rPr>
          <w:spacing w:val="-8"/>
          <w:sz w:val="21"/>
          <w:vertAlign w:val="baseline"/>
        </w:rPr>
        <w:t> </w:t>
      </w:r>
      <w:r>
        <w:rPr>
          <w:sz w:val="21"/>
          <w:vertAlign w:val="baseline"/>
        </w:rPr>
        <w:t>caused many individuals and families to move from states that are unsafe for LGBTQ individuals to states that are much more accepting.</w:t>
      </w:r>
    </w:p>
    <w:p>
      <w:pPr>
        <w:spacing w:line="276" w:lineRule="auto" w:before="239"/>
        <w:ind w:left="463" w:right="199" w:firstLine="0"/>
        <w:jc w:val="both"/>
        <w:rPr>
          <w:sz w:val="21"/>
        </w:rPr>
      </w:pPr>
      <w:r>
        <w:rPr>
          <w:sz w:val="21"/>
        </w:rPr>
        <w:t>According to the 2022 USTS preliminary findings, 10% of respondents moved to another area because of discrimination, and 5% moved to another state after their own state considered or passed legislation restricting their access to healthcare or bathrooms;</w:t>
      </w:r>
      <w:r>
        <w:rPr>
          <w:spacing w:val="-12"/>
          <w:sz w:val="21"/>
        </w:rPr>
        <w:t> </w:t>
      </w:r>
      <w:hyperlink w:history="true" w:anchor="_bookmark613">
        <w:r>
          <w:rPr>
            <w:sz w:val="21"/>
            <w:vertAlign w:val="superscript"/>
          </w:rPr>
          <w:t>59</w:t>
        </w:r>
      </w:hyperlink>
      <w:r>
        <w:rPr>
          <w:sz w:val="21"/>
          <w:vertAlign w:val="baseline"/>
        </w:rPr>
        <w:t> 47% of transgender and non-binary individuals recorded</w:t>
      </w:r>
      <w:r>
        <w:rPr>
          <w:spacing w:val="-9"/>
          <w:sz w:val="21"/>
          <w:vertAlign w:val="baseline"/>
        </w:rPr>
        <w:t> </w:t>
      </w:r>
      <w:r>
        <w:rPr>
          <w:sz w:val="21"/>
          <w:vertAlign w:val="baseline"/>
        </w:rPr>
        <w:t>wanting</w:t>
      </w:r>
      <w:r>
        <w:rPr>
          <w:spacing w:val="-10"/>
          <w:sz w:val="21"/>
          <w:vertAlign w:val="baseline"/>
        </w:rPr>
        <w:t> </w:t>
      </w:r>
      <w:r>
        <w:rPr>
          <w:sz w:val="21"/>
          <w:vertAlign w:val="baseline"/>
        </w:rPr>
        <w:t>to</w:t>
      </w:r>
      <w:r>
        <w:rPr>
          <w:spacing w:val="-11"/>
          <w:sz w:val="21"/>
          <w:vertAlign w:val="baseline"/>
        </w:rPr>
        <w:t> </w:t>
      </w:r>
      <w:r>
        <w:rPr>
          <w:sz w:val="21"/>
          <w:vertAlign w:val="baseline"/>
        </w:rPr>
        <w:t>leave</w:t>
      </w:r>
      <w:r>
        <w:rPr>
          <w:spacing w:val="-10"/>
          <w:sz w:val="21"/>
          <w:vertAlign w:val="baseline"/>
        </w:rPr>
        <w:t> </w:t>
      </w:r>
      <w:r>
        <w:rPr>
          <w:sz w:val="21"/>
          <w:vertAlign w:val="baseline"/>
        </w:rPr>
        <w:t>their</w:t>
      </w:r>
      <w:r>
        <w:rPr>
          <w:spacing w:val="-9"/>
          <w:sz w:val="21"/>
          <w:vertAlign w:val="baseline"/>
        </w:rPr>
        <w:t> </w:t>
      </w:r>
      <w:r>
        <w:rPr>
          <w:sz w:val="21"/>
          <w:vertAlign w:val="baseline"/>
        </w:rPr>
        <w:t>states</w:t>
      </w:r>
      <w:r>
        <w:rPr>
          <w:spacing w:val="-10"/>
          <w:sz w:val="21"/>
          <w:vertAlign w:val="baseline"/>
        </w:rPr>
        <w:t> </w:t>
      </w:r>
      <w:r>
        <w:rPr>
          <w:sz w:val="21"/>
          <w:vertAlign w:val="baseline"/>
        </w:rPr>
        <w:t>due</w:t>
      </w:r>
      <w:r>
        <w:rPr>
          <w:spacing w:val="-9"/>
          <w:sz w:val="21"/>
          <w:vertAlign w:val="baseline"/>
        </w:rPr>
        <w:t> </w:t>
      </w:r>
      <w:r>
        <w:rPr>
          <w:sz w:val="21"/>
          <w:vertAlign w:val="baseline"/>
        </w:rPr>
        <w:t>to</w:t>
      </w:r>
      <w:r>
        <w:rPr>
          <w:spacing w:val="-11"/>
          <w:sz w:val="21"/>
          <w:vertAlign w:val="baseline"/>
        </w:rPr>
        <w:t> </w:t>
      </w:r>
      <w:r>
        <w:rPr>
          <w:sz w:val="21"/>
          <w:vertAlign w:val="baseline"/>
        </w:rPr>
        <w:t>anti-LGBTQ</w:t>
      </w:r>
      <w:r>
        <w:rPr>
          <w:spacing w:val="-9"/>
          <w:sz w:val="21"/>
          <w:vertAlign w:val="baseline"/>
        </w:rPr>
        <w:t> </w:t>
      </w:r>
      <w:r>
        <w:rPr>
          <w:sz w:val="21"/>
          <w:vertAlign w:val="baseline"/>
        </w:rPr>
        <w:t>legislation.</w:t>
      </w:r>
      <w:hyperlink w:history="true" w:anchor="_bookmark614">
        <w:r>
          <w:rPr>
            <w:sz w:val="21"/>
            <w:vertAlign w:val="superscript"/>
          </w:rPr>
          <w:t>60</w:t>
        </w:r>
      </w:hyperlink>
      <w:r>
        <w:rPr>
          <w:spacing w:val="-3"/>
          <w:sz w:val="21"/>
          <w:vertAlign w:val="baseline"/>
        </w:rPr>
        <w:t> </w:t>
      </w:r>
      <w:r>
        <w:rPr>
          <w:sz w:val="21"/>
          <w:vertAlign w:val="baseline"/>
        </w:rPr>
        <w:t>The</w:t>
      </w:r>
      <w:r>
        <w:rPr>
          <w:spacing w:val="-9"/>
          <w:sz w:val="21"/>
          <w:vertAlign w:val="baseline"/>
        </w:rPr>
        <w:t> </w:t>
      </w:r>
      <w:r>
        <w:rPr>
          <w:sz w:val="21"/>
          <w:vertAlign w:val="baseline"/>
        </w:rPr>
        <w:t>number</w:t>
      </w:r>
      <w:r>
        <w:rPr>
          <w:spacing w:val="-10"/>
          <w:sz w:val="21"/>
          <w:vertAlign w:val="baseline"/>
        </w:rPr>
        <w:t> </w:t>
      </w:r>
      <w:r>
        <w:rPr>
          <w:sz w:val="21"/>
          <w:vertAlign w:val="baseline"/>
        </w:rPr>
        <w:t>of</w:t>
      </w:r>
      <w:r>
        <w:rPr>
          <w:spacing w:val="-10"/>
          <w:sz w:val="21"/>
          <w:vertAlign w:val="baseline"/>
        </w:rPr>
        <w:t> </w:t>
      </w:r>
      <w:r>
        <w:rPr>
          <w:sz w:val="21"/>
          <w:vertAlign w:val="baseline"/>
        </w:rPr>
        <w:t>anti-transgender</w:t>
      </w:r>
      <w:r>
        <w:rPr>
          <w:spacing w:val="-9"/>
          <w:sz w:val="21"/>
          <w:vertAlign w:val="baseline"/>
        </w:rPr>
        <w:t> </w:t>
      </w:r>
      <w:r>
        <w:rPr>
          <w:sz w:val="21"/>
          <w:vertAlign w:val="baseline"/>
        </w:rPr>
        <w:t>bills that</w:t>
      </w:r>
      <w:r>
        <w:rPr>
          <w:spacing w:val="-1"/>
          <w:sz w:val="21"/>
          <w:vertAlign w:val="baseline"/>
        </w:rPr>
        <w:t> </w:t>
      </w:r>
      <w:r>
        <w:rPr>
          <w:sz w:val="21"/>
          <w:vertAlign w:val="baseline"/>
        </w:rPr>
        <w:t>have</w:t>
      </w:r>
      <w:r>
        <w:rPr>
          <w:spacing w:val="-2"/>
          <w:sz w:val="21"/>
          <w:vertAlign w:val="baseline"/>
        </w:rPr>
        <w:t> </w:t>
      </w:r>
      <w:r>
        <w:rPr>
          <w:sz w:val="21"/>
          <w:vertAlign w:val="baseline"/>
        </w:rPr>
        <w:t>been</w:t>
      </w:r>
      <w:r>
        <w:rPr>
          <w:spacing w:val="-2"/>
          <w:sz w:val="21"/>
          <w:vertAlign w:val="baseline"/>
        </w:rPr>
        <w:t> </w:t>
      </w:r>
      <w:r>
        <w:rPr>
          <w:sz w:val="21"/>
          <w:vertAlign w:val="baseline"/>
        </w:rPr>
        <w:t>passed</w:t>
      </w:r>
      <w:r>
        <w:rPr>
          <w:spacing w:val="-2"/>
          <w:sz w:val="21"/>
          <w:vertAlign w:val="baseline"/>
        </w:rPr>
        <w:t> </w:t>
      </w:r>
      <w:r>
        <w:rPr>
          <w:sz w:val="21"/>
          <w:vertAlign w:val="baseline"/>
        </w:rPr>
        <w:t>and</w:t>
      </w:r>
      <w:r>
        <w:rPr>
          <w:spacing w:val="-2"/>
          <w:sz w:val="21"/>
          <w:vertAlign w:val="baseline"/>
        </w:rPr>
        <w:t> </w:t>
      </w:r>
      <w:r>
        <w:rPr>
          <w:sz w:val="21"/>
          <w:vertAlign w:val="baseline"/>
        </w:rPr>
        <w:t>the</w:t>
      </w:r>
      <w:r>
        <w:rPr>
          <w:spacing w:val="-2"/>
          <w:sz w:val="21"/>
          <w:vertAlign w:val="baseline"/>
        </w:rPr>
        <w:t> </w:t>
      </w:r>
      <w:r>
        <w:rPr>
          <w:sz w:val="21"/>
          <w:vertAlign w:val="baseline"/>
        </w:rPr>
        <w:t>number</w:t>
      </w:r>
      <w:r>
        <w:rPr>
          <w:spacing w:val="-2"/>
          <w:sz w:val="21"/>
          <w:vertAlign w:val="baseline"/>
        </w:rPr>
        <w:t> </w:t>
      </w:r>
      <w:r>
        <w:rPr>
          <w:sz w:val="21"/>
          <w:vertAlign w:val="baseline"/>
        </w:rPr>
        <w:t>that</w:t>
      </w:r>
      <w:r>
        <w:rPr>
          <w:spacing w:val="-1"/>
          <w:sz w:val="21"/>
          <w:vertAlign w:val="baseline"/>
        </w:rPr>
        <w:t> </w:t>
      </w:r>
      <w:r>
        <w:rPr>
          <w:sz w:val="21"/>
          <w:vertAlign w:val="baseline"/>
        </w:rPr>
        <w:t>have</w:t>
      </w:r>
      <w:r>
        <w:rPr>
          <w:spacing w:val="-2"/>
          <w:sz w:val="21"/>
          <w:vertAlign w:val="baseline"/>
        </w:rPr>
        <w:t> </w:t>
      </w:r>
      <w:r>
        <w:rPr>
          <w:sz w:val="21"/>
          <w:vertAlign w:val="baseline"/>
        </w:rPr>
        <w:t>been</w:t>
      </w:r>
      <w:r>
        <w:rPr>
          <w:spacing w:val="-3"/>
          <w:sz w:val="21"/>
          <w:vertAlign w:val="baseline"/>
        </w:rPr>
        <w:t> </w:t>
      </w:r>
      <w:r>
        <w:rPr>
          <w:sz w:val="21"/>
          <w:vertAlign w:val="baseline"/>
        </w:rPr>
        <w:t>enacted</w:t>
      </w:r>
      <w:r>
        <w:rPr>
          <w:spacing w:val="-2"/>
          <w:sz w:val="21"/>
          <w:vertAlign w:val="baseline"/>
        </w:rPr>
        <w:t> </w:t>
      </w:r>
      <w:r>
        <w:rPr>
          <w:sz w:val="21"/>
          <w:vertAlign w:val="baseline"/>
        </w:rPr>
        <w:t>have</w:t>
      </w:r>
      <w:r>
        <w:rPr>
          <w:spacing w:val="-3"/>
          <w:sz w:val="21"/>
          <w:vertAlign w:val="baseline"/>
        </w:rPr>
        <w:t> </w:t>
      </w:r>
      <w:r>
        <w:rPr>
          <w:sz w:val="21"/>
          <w:vertAlign w:val="baseline"/>
        </w:rPr>
        <w:t>significantly</w:t>
      </w:r>
      <w:r>
        <w:rPr>
          <w:spacing w:val="-2"/>
          <w:sz w:val="21"/>
          <w:vertAlign w:val="baseline"/>
        </w:rPr>
        <w:t> </w:t>
      </w:r>
      <w:r>
        <w:rPr>
          <w:sz w:val="21"/>
          <w:vertAlign w:val="baseline"/>
        </w:rPr>
        <w:t>increased</w:t>
      </w:r>
      <w:r>
        <w:rPr>
          <w:spacing w:val="-2"/>
          <w:sz w:val="21"/>
          <w:vertAlign w:val="baseline"/>
        </w:rPr>
        <w:t> </w:t>
      </w:r>
      <w:r>
        <w:rPr>
          <w:sz w:val="21"/>
          <w:vertAlign w:val="baseline"/>
        </w:rPr>
        <w:t>in</w:t>
      </w:r>
      <w:r>
        <w:rPr>
          <w:spacing w:val="-2"/>
          <w:sz w:val="21"/>
          <w:vertAlign w:val="baseline"/>
        </w:rPr>
        <w:t> </w:t>
      </w:r>
      <w:r>
        <w:rPr>
          <w:sz w:val="21"/>
          <w:vertAlign w:val="baseline"/>
        </w:rPr>
        <w:t>2023</w:t>
      </w:r>
      <w:r>
        <w:rPr>
          <w:spacing w:val="-2"/>
          <w:sz w:val="21"/>
          <w:vertAlign w:val="baseline"/>
        </w:rPr>
        <w:t> </w:t>
      </w:r>
      <w:r>
        <w:rPr>
          <w:sz w:val="21"/>
          <w:vertAlign w:val="baseline"/>
        </w:rPr>
        <w:t>and</w:t>
      </w:r>
      <w:r>
        <w:rPr>
          <w:spacing w:val="-2"/>
          <w:sz w:val="21"/>
          <w:vertAlign w:val="baseline"/>
        </w:rPr>
        <w:t> </w:t>
      </w:r>
      <w:r>
        <w:rPr>
          <w:sz w:val="21"/>
          <w:vertAlign w:val="baseline"/>
        </w:rPr>
        <w:t>in 2024 thus far.</w:t>
      </w:r>
      <w:hyperlink w:history="true" w:anchor="_bookmark615">
        <w:r>
          <w:rPr>
            <w:sz w:val="21"/>
            <w:vertAlign w:val="superscript"/>
          </w:rPr>
          <w:t>61</w:t>
        </w:r>
      </w:hyperlink>
    </w:p>
    <w:p>
      <w:pPr>
        <w:pStyle w:val="BodyText"/>
        <w:spacing w:before="8"/>
        <w:rPr>
          <w:sz w:val="7"/>
        </w:rPr>
      </w:pPr>
      <w:r>
        <w:rPr/>
        <w:drawing>
          <wp:anchor distT="0" distB="0" distL="0" distR="0" allowOverlap="1" layoutInCell="1" locked="0" behindDoc="1" simplePos="0" relativeHeight="487683584">
            <wp:simplePos x="0" y="0"/>
            <wp:positionH relativeFrom="page">
              <wp:posOffset>1472564</wp:posOffset>
            </wp:positionH>
            <wp:positionV relativeFrom="paragraph">
              <wp:posOffset>74657</wp:posOffset>
            </wp:positionV>
            <wp:extent cx="4859739" cy="1776983"/>
            <wp:effectExtent l="0" t="0" r="0" b="0"/>
            <wp:wrapTopAndBottom/>
            <wp:docPr id="509" name="Image 509" descr="A close-up of a weight scale  Description automatically generated "/>
            <wp:cNvGraphicFramePr>
              <a:graphicFrameLocks/>
            </wp:cNvGraphicFramePr>
            <a:graphic>
              <a:graphicData uri="http://schemas.openxmlformats.org/drawingml/2006/picture">
                <pic:pic>
                  <pic:nvPicPr>
                    <pic:cNvPr id="509" name="Image 509" descr="A close-up of a weight scale  Description automatically generated "/>
                    <pic:cNvPicPr/>
                  </pic:nvPicPr>
                  <pic:blipFill>
                    <a:blip r:embed="rId649" cstate="print"/>
                    <a:stretch>
                      <a:fillRect/>
                    </a:stretch>
                  </pic:blipFill>
                  <pic:spPr>
                    <a:xfrm>
                      <a:off x="0" y="0"/>
                      <a:ext cx="4859739" cy="1776983"/>
                    </a:xfrm>
                    <a:prstGeom prst="rect">
                      <a:avLst/>
                    </a:prstGeom>
                  </pic:spPr>
                </pic:pic>
              </a:graphicData>
            </a:graphic>
          </wp:anchor>
        </w:drawing>
      </w:r>
    </w:p>
    <w:p>
      <w:pPr>
        <w:pStyle w:val="BodyText"/>
        <w:spacing w:before="254"/>
        <w:rPr>
          <w:sz w:val="21"/>
        </w:rPr>
      </w:pPr>
    </w:p>
    <w:p>
      <w:pPr>
        <w:spacing w:line="276" w:lineRule="auto" w:before="0"/>
        <w:ind w:left="464" w:right="197" w:firstLine="0"/>
        <w:jc w:val="both"/>
        <w:rPr>
          <w:sz w:val="21"/>
        </w:rPr>
      </w:pPr>
      <w:r>
        <w:rPr>
          <w:sz w:val="21"/>
        </w:rPr>
        <w:t>There is a gap in data on LGBTQ individuals and families with LGBTQ youth who have fled their states due to anti-LGBTQ discrimination and legislation. There should be research into the experiences of LGBTQ individuals and families with LGBTQ youth who have moved due to anti-LGBTQ legislation, including the impact of</w:t>
      </w:r>
      <w:r>
        <w:rPr>
          <w:spacing w:val="-1"/>
          <w:sz w:val="21"/>
        </w:rPr>
        <w:t> </w:t>
      </w:r>
      <w:r>
        <w:rPr>
          <w:sz w:val="21"/>
        </w:rPr>
        <w:t>moving</w:t>
      </w:r>
      <w:r>
        <w:rPr>
          <w:spacing w:val="-1"/>
          <w:sz w:val="21"/>
        </w:rPr>
        <w:t> </w:t>
      </w:r>
      <w:r>
        <w:rPr>
          <w:sz w:val="21"/>
        </w:rPr>
        <w:t>on their income, personal</w:t>
      </w:r>
      <w:r>
        <w:rPr>
          <w:spacing w:val="-1"/>
          <w:sz w:val="21"/>
        </w:rPr>
        <w:t> </w:t>
      </w:r>
      <w:r>
        <w:rPr>
          <w:sz w:val="21"/>
        </w:rPr>
        <w:t>finance, and</w:t>
      </w:r>
      <w:r>
        <w:rPr>
          <w:spacing w:val="-1"/>
          <w:sz w:val="21"/>
        </w:rPr>
        <w:t> </w:t>
      </w:r>
      <w:r>
        <w:rPr>
          <w:sz w:val="21"/>
        </w:rPr>
        <w:t>access</w:t>
      </w:r>
      <w:r>
        <w:rPr>
          <w:spacing w:val="-1"/>
          <w:sz w:val="21"/>
        </w:rPr>
        <w:t> </w:t>
      </w:r>
      <w:r>
        <w:rPr>
          <w:sz w:val="21"/>
        </w:rPr>
        <w:t>to</w:t>
      </w:r>
      <w:r>
        <w:rPr>
          <w:spacing w:val="-1"/>
          <w:sz w:val="21"/>
        </w:rPr>
        <w:t> </w:t>
      </w:r>
      <w:r>
        <w:rPr>
          <w:sz w:val="21"/>
        </w:rPr>
        <w:t>healthcare.</w:t>
      </w:r>
      <w:r>
        <w:rPr>
          <w:spacing w:val="-1"/>
          <w:sz w:val="21"/>
        </w:rPr>
        <w:t> </w:t>
      </w:r>
      <w:r>
        <w:rPr>
          <w:sz w:val="21"/>
        </w:rPr>
        <w:t>Costs</w:t>
      </w:r>
      <w:r>
        <w:rPr>
          <w:spacing w:val="-1"/>
          <w:sz w:val="21"/>
        </w:rPr>
        <w:t> </w:t>
      </w:r>
      <w:r>
        <w:rPr>
          <w:sz w:val="21"/>
        </w:rPr>
        <w:t>of</w:t>
      </w:r>
      <w:r>
        <w:rPr>
          <w:spacing w:val="-1"/>
          <w:sz w:val="21"/>
        </w:rPr>
        <w:t> </w:t>
      </w:r>
      <w:r>
        <w:rPr>
          <w:sz w:val="21"/>
        </w:rPr>
        <w:t>living</w:t>
      </w:r>
      <w:r>
        <w:rPr>
          <w:spacing w:val="-1"/>
          <w:sz w:val="21"/>
        </w:rPr>
        <w:t> </w:t>
      </w:r>
      <w:r>
        <w:rPr>
          <w:sz w:val="21"/>
        </w:rPr>
        <w:t>are</w:t>
      </w:r>
      <w:r>
        <w:rPr>
          <w:spacing w:val="-1"/>
          <w:sz w:val="21"/>
        </w:rPr>
        <w:t> </w:t>
      </w:r>
      <w:r>
        <w:rPr>
          <w:sz w:val="21"/>
        </w:rPr>
        <w:t>generally more expensive in blue states which may be the destination of LGBTQ individuals and families evading conservative, anti-LGBTQ legislation.</w:t>
      </w:r>
      <w:hyperlink w:history="true" w:anchor="_bookmark616">
        <w:r>
          <w:rPr>
            <w:sz w:val="21"/>
            <w:vertAlign w:val="superscript"/>
          </w:rPr>
          <w:t>62</w:t>
        </w:r>
      </w:hyperlink>
      <w:r>
        <w:rPr>
          <w:spacing w:val="-2"/>
          <w:sz w:val="21"/>
          <w:vertAlign w:val="baseline"/>
        </w:rPr>
        <w:t> </w:t>
      </w:r>
      <w:r>
        <w:rPr>
          <w:sz w:val="21"/>
          <w:vertAlign w:val="baseline"/>
        </w:rPr>
        <w:t>Socio-economic status may be a barrier to LGBTQ individuals and families with LGBTQ youth who seek to escape anti-LGBTQ legislation.</w:t>
      </w:r>
    </w:p>
    <w:p>
      <w:pPr>
        <w:spacing w:line="276" w:lineRule="auto" w:before="240"/>
        <w:ind w:left="464" w:right="199" w:firstLine="0"/>
        <w:jc w:val="both"/>
        <w:rPr>
          <w:sz w:val="21"/>
        </w:rPr>
      </w:pPr>
      <w:r>
        <w:rPr>
          <w:sz w:val="21"/>
        </w:rPr>
        <w:t>Massachusetts has been a leader in LGBTQ rights since it became the first state to legalize same-gender marriage in 2003. The state was ranked the eleventh safest state for LGBTQ individuals in 2023 according to SafeHome</w:t>
      </w:r>
      <w:hyperlink w:history="true" w:anchor="_bookmark617">
        <w:r>
          <w:rPr>
            <w:sz w:val="21"/>
            <w:vertAlign w:val="superscript"/>
          </w:rPr>
          <w:t>63</w:t>
        </w:r>
      </w:hyperlink>
      <w:r>
        <w:rPr>
          <w:sz w:val="21"/>
          <w:vertAlign w:val="baseline"/>
        </w:rPr>
        <w:t> and received a strong score on the HRC’s 2023 State Equality Index,</w:t>
      </w:r>
      <w:hyperlink w:history="true" w:anchor="_bookmark618">
        <w:r>
          <w:rPr>
            <w:sz w:val="21"/>
            <w:vertAlign w:val="superscript"/>
          </w:rPr>
          <w:t>64</w:t>
        </w:r>
      </w:hyperlink>
      <w:r>
        <w:rPr>
          <w:sz w:val="21"/>
          <w:vertAlign w:val="baseline"/>
        </w:rPr>
        <w:t> which makes it a destination for LGBTQ individuals selecting a new state as their home. Governor Healey has advertised Massachusetts in states with anti-LGBTQ legislation, such as Florida and Texas. The advertisements are pride-themed</w:t>
      </w:r>
      <w:r>
        <w:rPr>
          <w:spacing w:val="-10"/>
          <w:sz w:val="21"/>
          <w:vertAlign w:val="baseline"/>
        </w:rPr>
        <w:t> </w:t>
      </w:r>
      <w:r>
        <w:rPr>
          <w:sz w:val="21"/>
          <w:vertAlign w:val="baseline"/>
        </w:rPr>
        <w:t>with</w:t>
      </w:r>
      <w:r>
        <w:rPr>
          <w:spacing w:val="-9"/>
          <w:sz w:val="21"/>
          <w:vertAlign w:val="baseline"/>
        </w:rPr>
        <w:t> </w:t>
      </w:r>
      <w:r>
        <w:rPr>
          <w:sz w:val="21"/>
          <w:vertAlign w:val="baseline"/>
        </w:rPr>
        <w:t>the</w:t>
      </w:r>
      <w:r>
        <w:rPr>
          <w:spacing w:val="-9"/>
          <w:sz w:val="21"/>
          <w:vertAlign w:val="baseline"/>
        </w:rPr>
        <w:t> </w:t>
      </w:r>
      <w:r>
        <w:rPr>
          <w:sz w:val="21"/>
          <w:vertAlign w:val="baseline"/>
        </w:rPr>
        <w:t>slogan</w:t>
      </w:r>
      <w:r>
        <w:rPr>
          <w:spacing w:val="-9"/>
          <w:sz w:val="21"/>
          <w:vertAlign w:val="baseline"/>
        </w:rPr>
        <w:t> </w:t>
      </w:r>
      <w:r>
        <w:rPr>
          <w:sz w:val="21"/>
          <w:vertAlign w:val="baseline"/>
        </w:rPr>
        <w:t>“Massachusetts:</w:t>
      </w:r>
      <w:r>
        <w:rPr>
          <w:spacing w:val="-9"/>
          <w:sz w:val="21"/>
          <w:vertAlign w:val="baseline"/>
        </w:rPr>
        <w:t> </w:t>
      </w:r>
      <w:r>
        <w:rPr>
          <w:sz w:val="21"/>
          <w:vertAlign w:val="baseline"/>
        </w:rPr>
        <w:t>For</w:t>
      </w:r>
      <w:r>
        <w:rPr>
          <w:spacing w:val="-9"/>
          <w:sz w:val="21"/>
          <w:vertAlign w:val="baseline"/>
        </w:rPr>
        <w:t> </w:t>
      </w:r>
      <w:r>
        <w:rPr>
          <w:sz w:val="21"/>
          <w:vertAlign w:val="baseline"/>
        </w:rPr>
        <w:t>us</w:t>
      </w:r>
      <w:r>
        <w:rPr>
          <w:spacing w:val="-9"/>
          <w:sz w:val="21"/>
          <w:vertAlign w:val="baseline"/>
        </w:rPr>
        <w:t> </w:t>
      </w:r>
      <w:r>
        <w:rPr>
          <w:sz w:val="21"/>
          <w:vertAlign w:val="baseline"/>
        </w:rPr>
        <w:t>all”.</w:t>
      </w:r>
      <w:r>
        <w:rPr>
          <w:spacing w:val="-9"/>
          <w:sz w:val="21"/>
          <w:vertAlign w:val="baseline"/>
        </w:rPr>
        <w:t> </w:t>
      </w:r>
      <w:r>
        <w:rPr>
          <w:sz w:val="21"/>
          <w:vertAlign w:val="baseline"/>
        </w:rPr>
        <w:t>LGBTQ</w:t>
      </w:r>
      <w:r>
        <w:rPr>
          <w:spacing w:val="-9"/>
          <w:sz w:val="21"/>
          <w:vertAlign w:val="baseline"/>
        </w:rPr>
        <w:t> </w:t>
      </w:r>
      <w:r>
        <w:rPr>
          <w:sz w:val="21"/>
          <w:vertAlign w:val="baseline"/>
        </w:rPr>
        <w:t>advocacy</w:t>
      </w:r>
      <w:r>
        <w:rPr>
          <w:spacing w:val="-9"/>
          <w:sz w:val="21"/>
          <w:vertAlign w:val="baseline"/>
        </w:rPr>
        <w:t> </w:t>
      </w:r>
      <w:r>
        <w:rPr>
          <w:sz w:val="21"/>
          <w:vertAlign w:val="baseline"/>
        </w:rPr>
        <w:t>groups</w:t>
      </w:r>
      <w:r>
        <w:rPr>
          <w:spacing w:val="-9"/>
          <w:sz w:val="21"/>
          <w:vertAlign w:val="baseline"/>
        </w:rPr>
        <w:t> </w:t>
      </w:r>
      <w:r>
        <w:rPr>
          <w:sz w:val="21"/>
          <w:vertAlign w:val="baseline"/>
        </w:rPr>
        <w:t>in</w:t>
      </w:r>
      <w:r>
        <w:rPr>
          <w:spacing w:val="-9"/>
          <w:sz w:val="21"/>
          <w:vertAlign w:val="baseline"/>
        </w:rPr>
        <w:t> </w:t>
      </w:r>
      <w:r>
        <w:rPr>
          <w:sz w:val="21"/>
          <w:vertAlign w:val="baseline"/>
        </w:rPr>
        <w:t>Boston</w:t>
      </w:r>
      <w:r>
        <w:rPr>
          <w:spacing w:val="-9"/>
          <w:sz w:val="21"/>
          <w:vertAlign w:val="baseline"/>
        </w:rPr>
        <w:t> </w:t>
      </w:r>
      <w:r>
        <w:rPr>
          <w:sz w:val="21"/>
          <w:vertAlign w:val="baseline"/>
        </w:rPr>
        <w:t>have</w:t>
      </w:r>
      <w:r>
        <w:rPr>
          <w:spacing w:val="-9"/>
          <w:sz w:val="21"/>
          <w:vertAlign w:val="baseline"/>
        </w:rPr>
        <w:t> </w:t>
      </w:r>
      <w:r>
        <w:rPr>
          <w:sz w:val="21"/>
          <w:vertAlign w:val="baseline"/>
        </w:rPr>
        <w:t>reported an</w:t>
      </w:r>
      <w:r>
        <w:rPr>
          <w:spacing w:val="-8"/>
          <w:sz w:val="21"/>
          <w:vertAlign w:val="baseline"/>
        </w:rPr>
        <w:t> </w:t>
      </w:r>
      <w:r>
        <w:rPr>
          <w:sz w:val="21"/>
          <w:vertAlign w:val="baseline"/>
        </w:rPr>
        <w:t>influx</w:t>
      </w:r>
      <w:r>
        <w:rPr>
          <w:spacing w:val="-7"/>
          <w:sz w:val="21"/>
          <w:vertAlign w:val="baseline"/>
        </w:rPr>
        <w:t> </w:t>
      </w:r>
      <w:r>
        <w:rPr>
          <w:sz w:val="21"/>
          <w:vertAlign w:val="baseline"/>
        </w:rPr>
        <w:t>of</w:t>
      </w:r>
      <w:r>
        <w:rPr>
          <w:spacing w:val="-8"/>
          <w:sz w:val="21"/>
          <w:vertAlign w:val="baseline"/>
        </w:rPr>
        <w:t> </w:t>
      </w:r>
      <w:r>
        <w:rPr>
          <w:sz w:val="21"/>
          <w:vertAlign w:val="baseline"/>
        </w:rPr>
        <w:t>LGBTQ</w:t>
      </w:r>
      <w:r>
        <w:rPr>
          <w:spacing w:val="-7"/>
          <w:sz w:val="21"/>
          <w:vertAlign w:val="baseline"/>
        </w:rPr>
        <w:t> </w:t>
      </w:r>
      <w:r>
        <w:rPr>
          <w:sz w:val="21"/>
          <w:vertAlign w:val="baseline"/>
        </w:rPr>
        <w:t>people</w:t>
      </w:r>
      <w:r>
        <w:rPr>
          <w:spacing w:val="-8"/>
          <w:sz w:val="21"/>
          <w:vertAlign w:val="baseline"/>
        </w:rPr>
        <w:t> </w:t>
      </w:r>
      <w:r>
        <w:rPr>
          <w:sz w:val="21"/>
          <w:vertAlign w:val="baseline"/>
        </w:rPr>
        <w:t>relocating</w:t>
      </w:r>
      <w:r>
        <w:rPr>
          <w:spacing w:val="-8"/>
          <w:sz w:val="21"/>
          <w:vertAlign w:val="baseline"/>
        </w:rPr>
        <w:t> </w:t>
      </w:r>
      <w:r>
        <w:rPr>
          <w:sz w:val="21"/>
          <w:vertAlign w:val="baseline"/>
        </w:rPr>
        <w:t>to</w:t>
      </w:r>
      <w:r>
        <w:rPr>
          <w:spacing w:val="-8"/>
          <w:sz w:val="21"/>
          <w:vertAlign w:val="baseline"/>
        </w:rPr>
        <w:t> </w:t>
      </w:r>
      <w:r>
        <w:rPr>
          <w:sz w:val="21"/>
          <w:vertAlign w:val="baseline"/>
        </w:rPr>
        <w:t>the</w:t>
      </w:r>
      <w:r>
        <w:rPr>
          <w:spacing w:val="-8"/>
          <w:sz w:val="21"/>
          <w:vertAlign w:val="baseline"/>
        </w:rPr>
        <w:t> </w:t>
      </w:r>
      <w:r>
        <w:rPr>
          <w:sz w:val="21"/>
          <w:vertAlign w:val="baseline"/>
        </w:rPr>
        <w:t>state,</w:t>
      </w:r>
      <w:r>
        <w:rPr>
          <w:spacing w:val="-8"/>
          <w:sz w:val="21"/>
          <w:vertAlign w:val="baseline"/>
        </w:rPr>
        <w:t> </w:t>
      </w:r>
      <w:r>
        <w:rPr>
          <w:sz w:val="21"/>
          <w:vertAlign w:val="baseline"/>
        </w:rPr>
        <w:t>showing</w:t>
      </w:r>
      <w:r>
        <w:rPr>
          <w:spacing w:val="-8"/>
          <w:sz w:val="21"/>
          <w:vertAlign w:val="baseline"/>
        </w:rPr>
        <w:t> </w:t>
      </w:r>
      <w:r>
        <w:rPr>
          <w:sz w:val="21"/>
          <w:vertAlign w:val="baseline"/>
        </w:rPr>
        <w:t>their</w:t>
      </w:r>
      <w:r>
        <w:rPr>
          <w:spacing w:val="-8"/>
          <w:sz w:val="21"/>
          <w:vertAlign w:val="baseline"/>
        </w:rPr>
        <w:t> </w:t>
      </w:r>
      <w:r>
        <w:rPr>
          <w:sz w:val="21"/>
          <w:vertAlign w:val="baseline"/>
        </w:rPr>
        <w:t>demand</w:t>
      </w:r>
      <w:r>
        <w:rPr>
          <w:spacing w:val="-8"/>
          <w:sz w:val="21"/>
          <w:vertAlign w:val="baseline"/>
        </w:rPr>
        <w:t> </w:t>
      </w:r>
      <w:r>
        <w:rPr>
          <w:sz w:val="21"/>
          <w:vertAlign w:val="baseline"/>
        </w:rPr>
        <w:t>for</w:t>
      </w:r>
      <w:r>
        <w:rPr>
          <w:spacing w:val="-8"/>
          <w:sz w:val="21"/>
          <w:vertAlign w:val="baseline"/>
        </w:rPr>
        <w:t> </w:t>
      </w:r>
      <w:r>
        <w:rPr>
          <w:sz w:val="21"/>
          <w:vertAlign w:val="baseline"/>
        </w:rPr>
        <w:t>states</w:t>
      </w:r>
      <w:r>
        <w:rPr>
          <w:spacing w:val="-8"/>
          <w:sz w:val="21"/>
          <w:vertAlign w:val="baseline"/>
        </w:rPr>
        <w:t> </w:t>
      </w:r>
      <w:r>
        <w:rPr>
          <w:sz w:val="21"/>
          <w:vertAlign w:val="baseline"/>
        </w:rPr>
        <w:t>that</w:t>
      </w:r>
      <w:r>
        <w:rPr>
          <w:spacing w:val="-7"/>
          <w:sz w:val="21"/>
          <w:vertAlign w:val="baseline"/>
        </w:rPr>
        <w:t> </w:t>
      </w:r>
      <w:r>
        <w:rPr>
          <w:sz w:val="21"/>
          <w:vertAlign w:val="baseline"/>
        </w:rPr>
        <w:t>are</w:t>
      </w:r>
      <w:r>
        <w:rPr>
          <w:spacing w:val="-8"/>
          <w:sz w:val="21"/>
          <w:vertAlign w:val="baseline"/>
        </w:rPr>
        <w:t> </w:t>
      </w:r>
      <w:r>
        <w:rPr>
          <w:sz w:val="21"/>
          <w:vertAlign w:val="baseline"/>
        </w:rPr>
        <w:t>LGBTQ</w:t>
      </w:r>
      <w:r>
        <w:rPr>
          <w:spacing w:val="-7"/>
          <w:sz w:val="21"/>
          <w:vertAlign w:val="baseline"/>
        </w:rPr>
        <w:t> </w:t>
      </w:r>
      <w:r>
        <w:rPr>
          <w:sz w:val="21"/>
          <w:vertAlign w:val="baseline"/>
        </w:rPr>
        <w:t>inclusive</w:t>
      </w:r>
    </w:p>
    <w:p>
      <w:pPr>
        <w:spacing w:after="0" w:line="276" w:lineRule="auto"/>
        <w:jc w:val="both"/>
        <w:rPr>
          <w:sz w:val="21"/>
        </w:rPr>
        <w:sectPr>
          <w:pgSz w:w="12240" w:h="15840"/>
          <w:pgMar w:header="763" w:footer="1041" w:top="1380" w:bottom="1240" w:left="1120" w:right="1380"/>
        </w:sectPr>
      </w:pPr>
    </w:p>
    <w:p>
      <w:pPr>
        <w:spacing w:line="276" w:lineRule="auto" w:before="47"/>
        <w:ind w:left="464" w:right="201" w:firstLine="0"/>
        <w:jc w:val="both"/>
        <w:rPr>
          <w:sz w:val="21"/>
        </w:rPr>
      </w:pPr>
      <w:r>
        <w:rPr>
          <w:sz w:val="21"/>
        </w:rPr>
        <w:t>and</w:t>
      </w:r>
      <w:r>
        <w:rPr>
          <w:spacing w:val="-10"/>
          <w:sz w:val="21"/>
        </w:rPr>
        <w:t> </w:t>
      </w:r>
      <w:r>
        <w:rPr>
          <w:sz w:val="21"/>
        </w:rPr>
        <w:t>safe.</w:t>
      </w:r>
      <w:r>
        <w:rPr>
          <w:spacing w:val="-10"/>
          <w:sz w:val="21"/>
        </w:rPr>
        <w:t> </w:t>
      </w:r>
      <w:r>
        <w:rPr>
          <w:sz w:val="21"/>
        </w:rPr>
        <w:t>These</w:t>
      </w:r>
      <w:r>
        <w:rPr>
          <w:spacing w:val="-10"/>
          <w:sz w:val="21"/>
        </w:rPr>
        <w:t> </w:t>
      </w:r>
      <w:r>
        <w:rPr>
          <w:sz w:val="21"/>
        </w:rPr>
        <w:t>people</w:t>
      </w:r>
      <w:r>
        <w:rPr>
          <w:spacing w:val="-10"/>
          <w:sz w:val="21"/>
        </w:rPr>
        <w:t> </w:t>
      </w:r>
      <w:r>
        <w:rPr>
          <w:sz w:val="21"/>
        </w:rPr>
        <w:t>include</w:t>
      </w:r>
      <w:r>
        <w:rPr>
          <w:spacing w:val="-10"/>
          <w:sz w:val="21"/>
        </w:rPr>
        <w:t> </w:t>
      </w:r>
      <w:r>
        <w:rPr>
          <w:sz w:val="21"/>
        </w:rPr>
        <w:t>LGBTQ</w:t>
      </w:r>
      <w:r>
        <w:rPr>
          <w:spacing w:val="-10"/>
          <w:sz w:val="21"/>
        </w:rPr>
        <w:t> </w:t>
      </w:r>
      <w:r>
        <w:rPr>
          <w:sz w:val="21"/>
        </w:rPr>
        <w:t>parents</w:t>
      </w:r>
      <w:r>
        <w:rPr>
          <w:spacing w:val="-11"/>
          <w:sz w:val="21"/>
        </w:rPr>
        <w:t> </w:t>
      </w:r>
      <w:r>
        <w:rPr>
          <w:sz w:val="21"/>
        </w:rPr>
        <w:t>whose</w:t>
      </w:r>
      <w:r>
        <w:rPr>
          <w:spacing w:val="-10"/>
          <w:sz w:val="21"/>
        </w:rPr>
        <w:t> </w:t>
      </w:r>
      <w:r>
        <w:rPr>
          <w:sz w:val="21"/>
        </w:rPr>
        <w:t>children</w:t>
      </w:r>
      <w:r>
        <w:rPr>
          <w:spacing w:val="-10"/>
          <w:sz w:val="21"/>
        </w:rPr>
        <w:t> </w:t>
      </w:r>
      <w:r>
        <w:rPr>
          <w:sz w:val="21"/>
        </w:rPr>
        <w:t>are</w:t>
      </w:r>
      <w:r>
        <w:rPr>
          <w:spacing w:val="-10"/>
          <w:sz w:val="21"/>
        </w:rPr>
        <w:t> </w:t>
      </w:r>
      <w:r>
        <w:rPr>
          <w:sz w:val="21"/>
        </w:rPr>
        <w:t>bullied</w:t>
      </w:r>
      <w:r>
        <w:rPr>
          <w:spacing w:val="-10"/>
          <w:sz w:val="21"/>
        </w:rPr>
        <w:t> </w:t>
      </w:r>
      <w:r>
        <w:rPr>
          <w:sz w:val="21"/>
        </w:rPr>
        <w:t>based</w:t>
      </w:r>
      <w:r>
        <w:rPr>
          <w:spacing w:val="-10"/>
          <w:sz w:val="21"/>
        </w:rPr>
        <w:t> </w:t>
      </w:r>
      <w:r>
        <w:rPr>
          <w:sz w:val="21"/>
        </w:rPr>
        <w:t>on</w:t>
      </w:r>
      <w:r>
        <w:rPr>
          <w:spacing w:val="-10"/>
          <w:sz w:val="21"/>
        </w:rPr>
        <w:t> </w:t>
      </w:r>
      <w:r>
        <w:rPr>
          <w:sz w:val="21"/>
        </w:rPr>
        <w:t>their</w:t>
      </w:r>
      <w:r>
        <w:rPr>
          <w:spacing w:val="-10"/>
          <w:sz w:val="21"/>
        </w:rPr>
        <w:t> </w:t>
      </w:r>
      <w:r>
        <w:rPr>
          <w:sz w:val="21"/>
        </w:rPr>
        <w:t>parents’</w:t>
      </w:r>
      <w:r>
        <w:rPr>
          <w:spacing w:val="-10"/>
          <w:sz w:val="21"/>
        </w:rPr>
        <w:t> </w:t>
      </w:r>
      <w:r>
        <w:rPr>
          <w:sz w:val="21"/>
        </w:rPr>
        <w:t>identities, parents of LGBTQ youth, and LGBTQ young adults.</w:t>
      </w:r>
      <w:hyperlink w:history="true" w:anchor="_bookmark619">
        <w:r>
          <w:rPr>
            <w:sz w:val="21"/>
            <w:vertAlign w:val="superscript"/>
          </w:rPr>
          <w:t>65</w:t>
        </w:r>
      </w:hyperlink>
    </w:p>
    <w:p>
      <w:pPr>
        <w:spacing w:line="276" w:lineRule="auto" w:before="240"/>
        <w:ind w:left="463" w:right="199" w:firstLine="0"/>
        <w:jc w:val="both"/>
        <w:rPr>
          <w:sz w:val="21"/>
        </w:rPr>
      </w:pPr>
      <w:r>
        <w:rPr>
          <w:sz w:val="21"/>
        </w:rPr>
        <w:t>However, the costs of living, particularly housing and rent, may deter LGBTQ individuals and families with LGBTQ youth from choosing Massachusetts as their new home. Efforts to create more affordable housing and accessible transportation will not only provide opportunities for those in the state, but also tap into LGBTQ talent from outside the state.</w:t>
      </w:r>
    </w:p>
    <w:p>
      <w:pPr>
        <w:pStyle w:val="Heading8"/>
        <w:spacing w:before="240"/>
      </w:pPr>
      <w:bookmarkStart w:name="Conclusion" w:id="843"/>
      <w:bookmarkEnd w:id="843"/>
      <w:r>
        <w:rPr/>
      </w:r>
      <w:r>
        <w:rPr>
          <w:color w:val="365F91"/>
          <w:spacing w:val="-2"/>
        </w:rPr>
        <w:t>Conclusion</w:t>
      </w:r>
    </w:p>
    <w:p>
      <w:pPr>
        <w:pStyle w:val="BodyText"/>
        <w:spacing w:before="1"/>
        <w:rPr>
          <w:sz w:val="5"/>
        </w:rPr>
      </w:pPr>
      <w:r>
        <w:rPr/>
        <mc:AlternateContent>
          <mc:Choice Requires="wps">
            <w:drawing>
              <wp:anchor distT="0" distB="0" distL="0" distR="0" allowOverlap="1" layoutInCell="1" locked="0" behindDoc="1" simplePos="0" relativeHeight="487684096">
                <wp:simplePos x="0" y="0"/>
                <wp:positionH relativeFrom="page">
                  <wp:posOffset>986789</wp:posOffset>
                </wp:positionH>
                <wp:positionV relativeFrom="paragraph">
                  <wp:posOffset>54754</wp:posOffset>
                </wp:positionV>
                <wp:extent cx="5799455" cy="6350"/>
                <wp:effectExtent l="0" t="0" r="0" b="0"/>
                <wp:wrapTopAndBottom/>
                <wp:docPr id="510" name="Graphic 510"/>
                <wp:cNvGraphicFramePr>
                  <a:graphicFrameLocks/>
                </wp:cNvGraphicFramePr>
                <a:graphic>
                  <a:graphicData uri="http://schemas.microsoft.com/office/word/2010/wordprocessingShape">
                    <wps:wsp>
                      <wps:cNvPr id="510" name="Graphic 510"/>
                      <wps:cNvSpPr/>
                      <wps:spPr>
                        <a:xfrm>
                          <a:off x="0" y="0"/>
                          <a:ext cx="5799455" cy="6350"/>
                        </a:xfrm>
                        <a:custGeom>
                          <a:avLst/>
                          <a:gdLst/>
                          <a:ahLst/>
                          <a:cxnLst/>
                          <a:rect l="l" t="t" r="r" b="b"/>
                          <a:pathLst>
                            <a:path w="5799455" h="6350">
                              <a:moveTo>
                                <a:pt x="5798832" y="0"/>
                              </a:moveTo>
                              <a:lnTo>
                                <a:pt x="0" y="0"/>
                              </a:lnTo>
                              <a:lnTo>
                                <a:pt x="0" y="6108"/>
                              </a:lnTo>
                              <a:lnTo>
                                <a:pt x="5798832" y="6108"/>
                              </a:lnTo>
                              <a:lnTo>
                                <a:pt x="5798832" y="0"/>
                              </a:lnTo>
                              <a:close/>
                            </a:path>
                          </a:pathLst>
                        </a:custGeom>
                        <a:solidFill>
                          <a:srgbClr val="4F81BC"/>
                        </a:solidFill>
                      </wps:spPr>
                      <wps:bodyPr wrap="square" lIns="0" tIns="0" rIns="0" bIns="0" rtlCol="0">
                        <a:prstTxWarp prst="textNoShape">
                          <a:avLst/>
                        </a:prstTxWarp>
                        <a:noAutofit/>
                      </wps:bodyPr>
                    </wps:wsp>
                  </a:graphicData>
                </a:graphic>
              </wp:anchor>
            </w:drawing>
          </mc:Choice>
          <mc:Fallback>
            <w:pict>
              <v:rect style="position:absolute;margin-left:77.699997pt;margin-top:4.311402pt;width:456.601pt;height:.481pt;mso-position-horizontal-relative:page;mso-position-vertical-relative:paragraph;z-index:-15632384;mso-wrap-distance-left:0;mso-wrap-distance-right:0" id="docshape409" filled="true" fillcolor="#4f81bc" stroked="false">
                <v:fill type="solid"/>
                <w10:wrap type="topAndBottom"/>
              </v:rect>
            </w:pict>
          </mc:Fallback>
        </mc:AlternateContent>
      </w:r>
    </w:p>
    <w:p>
      <w:pPr>
        <w:spacing w:line="276" w:lineRule="auto" w:before="240"/>
        <w:ind w:left="464" w:right="201" w:firstLine="0"/>
        <w:jc w:val="both"/>
        <w:rPr>
          <w:sz w:val="21"/>
        </w:rPr>
      </w:pPr>
      <w:r>
        <w:rPr>
          <w:sz w:val="21"/>
        </w:rPr>
        <w:t>The unique economy of Massachusetts has many barriers for LGBTQ youth to thrive economically. These barriers include job opportunities clustered in Boston, the extremely</w:t>
      </w:r>
      <w:r>
        <w:rPr>
          <w:spacing w:val="-1"/>
          <w:sz w:val="21"/>
        </w:rPr>
        <w:t> </w:t>
      </w:r>
      <w:r>
        <w:rPr>
          <w:sz w:val="21"/>
        </w:rPr>
        <w:t>high costs of housing and rent in and near the city, and the failure of public transportation (namely the MBTA), which together make it difficult for youth from marginalized communities and youth from low-income backgrounds to start a career, especially without parental support.</w:t>
      </w:r>
    </w:p>
    <w:p>
      <w:pPr>
        <w:spacing w:line="276" w:lineRule="auto" w:before="240"/>
        <w:ind w:left="464" w:right="200" w:firstLine="0"/>
        <w:jc w:val="both"/>
        <w:rPr>
          <w:sz w:val="21"/>
        </w:rPr>
      </w:pPr>
      <w:r>
        <w:rPr>
          <w:sz w:val="21"/>
        </w:rPr>
        <w:t>LGBTQ youth</w:t>
      </w:r>
      <w:r>
        <w:rPr>
          <w:spacing w:val="-3"/>
          <w:sz w:val="21"/>
        </w:rPr>
        <w:t> </w:t>
      </w:r>
      <w:r>
        <w:rPr>
          <w:sz w:val="21"/>
        </w:rPr>
        <w:t>need additional</w:t>
      </w:r>
      <w:r>
        <w:rPr>
          <w:spacing w:val="-1"/>
          <w:sz w:val="21"/>
        </w:rPr>
        <w:t> </w:t>
      </w:r>
      <w:r>
        <w:rPr>
          <w:sz w:val="21"/>
        </w:rPr>
        <w:t>resources</w:t>
      </w:r>
      <w:r>
        <w:rPr>
          <w:spacing w:val="-1"/>
          <w:sz w:val="21"/>
        </w:rPr>
        <w:t> </w:t>
      </w:r>
      <w:r>
        <w:rPr>
          <w:sz w:val="21"/>
        </w:rPr>
        <w:t>and government enforcement of</w:t>
      </w:r>
      <w:r>
        <w:rPr>
          <w:spacing w:val="-2"/>
          <w:sz w:val="21"/>
        </w:rPr>
        <w:t> </w:t>
      </w:r>
      <w:r>
        <w:rPr>
          <w:sz w:val="21"/>
        </w:rPr>
        <w:t>anti-discrimination laws</w:t>
      </w:r>
      <w:r>
        <w:rPr>
          <w:spacing w:val="-1"/>
          <w:sz w:val="21"/>
        </w:rPr>
        <w:t> </w:t>
      </w:r>
      <w:r>
        <w:rPr>
          <w:sz w:val="21"/>
        </w:rPr>
        <w:t>in order to have better economic outcomes. Economic disparities for LGBTQ youth include greater unemployment rates and lower earnings than their cisgender and straight peers. LGBTQ youth who are Black, Latinx, transgender, have disabilities, in the foster care system, and justice-involved face additional struggles in succeeding academically, transitioning to the workforce, and obtaining employment stability. More research is necessary to understand the barriers to employment for youth with multiple marginalized identities and to address them with the appropriate resources.</w:t>
      </w:r>
    </w:p>
    <w:p>
      <w:pPr>
        <w:spacing w:before="240"/>
        <w:ind w:left="464" w:right="0" w:firstLine="0"/>
        <w:jc w:val="both"/>
        <w:rPr>
          <w:sz w:val="28"/>
        </w:rPr>
      </w:pPr>
      <w:bookmarkStart w:name="Resources for LGBTQ Youth" w:id="844"/>
      <w:bookmarkEnd w:id="844"/>
      <w:r>
        <w:rPr/>
      </w:r>
      <w:r>
        <w:rPr>
          <w:color w:val="365F91"/>
          <w:sz w:val="28"/>
        </w:rPr>
        <w:t>Resources</w:t>
      </w:r>
      <w:r>
        <w:rPr>
          <w:color w:val="365F91"/>
          <w:spacing w:val="-9"/>
          <w:sz w:val="28"/>
        </w:rPr>
        <w:t> </w:t>
      </w:r>
      <w:r>
        <w:rPr>
          <w:color w:val="365F91"/>
          <w:sz w:val="28"/>
        </w:rPr>
        <w:t>for</w:t>
      </w:r>
      <w:r>
        <w:rPr>
          <w:color w:val="365F91"/>
          <w:spacing w:val="-11"/>
          <w:sz w:val="28"/>
        </w:rPr>
        <w:t> </w:t>
      </w:r>
      <w:r>
        <w:rPr>
          <w:color w:val="365F91"/>
          <w:sz w:val="28"/>
        </w:rPr>
        <w:t>LGBTQ</w:t>
      </w:r>
      <w:r>
        <w:rPr>
          <w:color w:val="365F91"/>
          <w:spacing w:val="-9"/>
          <w:sz w:val="28"/>
        </w:rPr>
        <w:t> </w:t>
      </w:r>
      <w:r>
        <w:rPr>
          <w:color w:val="365F91"/>
          <w:spacing w:val="-2"/>
          <w:sz w:val="28"/>
        </w:rPr>
        <w:t>Youth</w:t>
      </w:r>
    </w:p>
    <w:p>
      <w:pPr>
        <w:pStyle w:val="BodyText"/>
        <w:spacing w:before="10"/>
        <w:rPr>
          <w:sz w:val="3"/>
        </w:rPr>
      </w:pPr>
      <w:r>
        <w:rPr/>
        <mc:AlternateContent>
          <mc:Choice Requires="wps">
            <w:drawing>
              <wp:anchor distT="0" distB="0" distL="0" distR="0" allowOverlap="1" layoutInCell="1" locked="0" behindDoc="1" simplePos="0" relativeHeight="487684608">
                <wp:simplePos x="0" y="0"/>
                <wp:positionH relativeFrom="page">
                  <wp:posOffset>986789</wp:posOffset>
                </wp:positionH>
                <wp:positionV relativeFrom="paragraph">
                  <wp:posOffset>45075</wp:posOffset>
                </wp:positionV>
                <wp:extent cx="5799455" cy="6350"/>
                <wp:effectExtent l="0" t="0" r="0" b="0"/>
                <wp:wrapTopAndBottom/>
                <wp:docPr id="511" name="Graphic 511"/>
                <wp:cNvGraphicFramePr>
                  <a:graphicFrameLocks/>
                </wp:cNvGraphicFramePr>
                <a:graphic>
                  <a:graphicData uri="http://schemas.microsoft.com/office/word/2010/wordprocessingShape">
                    <wps:wsp>
                      <wps:cNvPr id="511" name="Graphic 511"/>
                      <wps:cNvSpPr/>
                      <wps:spPr>
                        <a:xfrm>
                          <a:off x="0" y="0"/>
                          <a:ext cx="5799455" cy="6350"/>
                        </a:xfrm>
                        <a:custGeom>
                          <a:avLst/>
                          <a:gdLst/>
                          <a:ahLst/>
                          <a:cxnLst/>
                          <a:rect l="l" t="t" r="r" b="b"/>
                          <a:pathLst>
                            <a:path w="5799455" h="6350">
                              <a:moveTo>
                                <a:pt x="5798832" y="0"/>
                              </a:moveTo>
                              <a:lnTo>
                                <a:pt x="0" y="0"/>
                              </a:lnTo>
                              <a:lnTo>
                                <a:pt x="0" y="6108"/>
                              </a:lnTo>
                              <a:lnTo>
                                <a:pt x="5798832" y="6108"/>
                              </a:lnTo>
                              <a:lnTo>
                                <a:pt x="5798832" y="0"/>
                              </a:lnTo>
                              <a:close/>
                            </a:path>
                          </a:pathLst>
                        </a:custGeom>
                        <a:solidFill>
                          <a:srgbClr val="4F81BC"/>
                        </a:solidFill>
                      </wps:spPr>
                      <wps:bodyPr wrap="square" lIns="0" tIns="0" rIns="0" bIns="0" rtlCol="0">
                        <a:prstTxWarp prst="textNoShape">
                          <a:avLst/>
                        </a:prstTxWarp>
                        <a:noAutofit/>
                      </wps:bodyPr>
                    </wps:wsp>
                  </a:graphicData>
                </a:graphic>
              </wp:anchor>
            </w:drawing>
          </mc:Choice>
          <mc:Fallback>
            <w:pict>
              <v:rect style="position:absolute;margin-left:77.699997pt;margin-top:3.549273pt;width:456.601pt;height:.481pt;mso-position-horizontal-relative:page;mso-position-vertical-relative:paragraph;z-index:-15631872;mso-wrap-distance-left:0;mso-wrap-distance-right:0" id="docshape410" filled="true" fillcolor="#4f81bc" stroked="false">
                <v:fill type="solid"/>
                <w10:wrap type="topAndBottom"/>
              </v:rect>
            </w:pict>
          </mc:Fallback>
        </mc:AlternateContent>
      </w:r>
    </w:p>
    <w:p>
      <w:pPr>
        <w:pStyle w:val="BodyText"/>
        <w:spacing w:before="3"/>
        <w:rPr>
          <w:sz w:val="26"/>
        </w:rPr>
      </w:pPr>
    </w:p>
    <w:p>
      <w:pPr>
        <w:spacing w:before="1"/>
        <w:ind w:left="619" w:right="0" w:firstLine="0"/>
        <w:jc w:val="center"/>
        <w:rPr>
          <w:sz w:val="26"/>
        </w:rPr>
      </w:pPr>
      <w:bookmarkStart w:name="LGBTQ job fairs" w:id="845"/>
      <w:bookmarkEnd w:id="845"/>
      <w:r>
        <w:rPr/>
      </w:r>
      <w:r>
        <w:rPr>
          <w:color w:val="404040"/>
          <w:sz w:val="26"/>
        </w:rPr>
        <w:t>LGBTQ</w:t>
      </w:r>
      <w:r>
        <w:rPr>
          <w:color w:val="404040"/>
          <w:spacing w:val="-5"/>
          <w:sz w:val="26"/>
        </w:rPr>
        <w:t> </w:t>
      </w:r>
      <w:r>
        <w:rPr>
          <w:color w:val="404040"/>
          <w:sz w:val="26"/>
        </w:rPr>
        <w:t>job</w:t>
      </w:r>
      <w:r>
        <w:rPr>
          <w:color w:val="404040"/>
          <w:spacing w:val="-3"/>
          <w:sz w:val="26"/>
        </w:rPr>
        <w:t> </w:t>
      </w:r>
      <w:r>
        <w:rPr>
          <w:color w:val="404040"/>
          <w:spacing w:val="-2"/>
          <w:sz w:val="26"/>
        </w:rPr>
        <w:t>fairs</w:t>
      </w:r>
    </w:p>
    <w:p>
      <w:pPr>
        <w:spacing w:before="128"/>
        <w:ind w:left="619" w:right="0" w:firstLine="0"/>
        <w:jc w:val="center"/>
        <w:rPr>
          <w:sz w:val="21"/>
        </w:rPr>
      </w:pPr>
      <w:r>
        <w:rPr>
          <w:sz w:val="21"/>
        </w:rPr>
        <w:t>Massachusetts</w:t>
      </w:r>
      <w:r>
        <w:rPr>
          <w:spacing w:val="-3"/>
          <w:sz w:val="21"/>
        </w:rPr>
        <w:t> </w:t>
      </w:r>
      <w:r>
        <w:rPr>
          <w:sz w:val="21"/>
        </w:rPr>
        <w:t>LGBT</w:t>
      </w:r>
      <w:r>
        <w:rPr>
          <w:spacing w:val="-2"/>
          <w:sz w:val="21"/>
        </w:rPr>
        <w:t> </w:t>
      </w:r>
      <w:r>
        <w:rPr>
          <w:sz w:val="21"/>
        </w:rPr>
        <w:t>Chamber</w:t>
      </w:r>
      <w:r>
        <w:rPr>
          <w:spacing w:val="-3"/>
          <w:sz w:val="21"/>
        </w:rPr>
        <w:t> </w:t>
      </w:r>
      <w:r>
        <w:rPr>
          <w:sz w:val="21"/>
        </w:rPr>
        <w:t>of</w:t>
      </w:r>
      <w:r>
        <w:rPr>
          <w:spacing w:val="-2"/>
          <w:sz w:val="21"/>
        </w:rPr>
        <w:t> Commerce</w:t>
      </w:r>
    </w:p>
    <w:p>
      <w:pPr>
        <w:spacing w:before="117"/>
        <w:ind w:left="620" w:right="0" w:firstLine="0"/>
        <w:jc w:val="center"/>
        <w:rPr>
          <w:sz w:val="26"/>
        </w:rPr>
      </w:pPr>
      <w:bookmarkStart w:name="LGBTQ Career Development &amp; Personal Fina" w:id="846"/>
      <w:bookmarkEnd w:id="846"/>
      <w:r>
        <w:rPr/>
      </w:r>
      <w:r>
        <w:rPr>
          <w:color w:val="404040"/>
          <w:sz w:val="26"/>
        </w:rPr>
        <w:t>LGBTQ</w:t>
      </w:r>
      <w:r>
        <w:rPr>
          <w:color w:val="404040"/>
          <w:spacing w:val="-7"/>
          <w:sz w:val="26"/>
        </w:rPr>
        <w:t> </w:t>
      </w:r>
      <w:r>
        <w:rPr>
          <w:color w:val="404040"/>
          <w:sz w:val="26"/>
        </w:rPr>
        <w:t>Career</w:t>
      </w:r>
      <w:r>
        <w:rPr>
          <w:color w:val="404040"/>
          <w:spacing w:val="-4"/>
          <w:sz w:val="26"/>
        </w:rPr>
        <w:t> </w:t>
      </w:r>
      <w:r>
        <w:rPr>
          <w:color w:val="404040"/>
          <w:sz w:val="26"/>
        </w:rPr>
        <w:t>Development</w:t>
      </w:r>
      <w:r>
        <w:rPr>
          <w:color w:val="404040"/>
          <w:spacing w:val="-3"/>
          <w:sz w:val="26"/>
        </w:rPr>
        <w:t> </w:t>
      </w:r>
      <w:r>
        <w:rPr>
          <w:color w:val="404040"/>
          <w:sz w:val="26"/>
        </w:rPr>
        <w:t>&amp;</w:t>
      </w:r>
      <w:r>
        <w:rPr>
          <w:color w:val="404040"/>
          <w:spacing w:val="-4"/>
          <w:sz w:val="26"/>
        </w:rPr>
        <w:t> </w:t>
      </w:r>
      <w:r>
        <w:rPr>
          <w:color w:val="404040"/>
          <w:sz w:val="26"/>
        </w:rPr>
        <w:t>Personal</w:t>
      </w:r>
      <w:r>
        <w:rPr>
          <w:color w:val="404040"/>
          <w:spacing w:val="-4"/>
          <w:sz w:val="26"/>
        </w:rPr>
        <w:t> </w:t>
      </w:r>
      <w:r>
        <w:rPr>
          <w:color w:val="404040"/>
          <w:spacing w:val="-2"/>
          <w:sz w:val="26"/>
        </w:rPr>
        <w:t>Finance</w:t>
      </w:r>
    </w:p>
    <w:p>
      <w:pPr>
        <w:spacing w:before="129"/>
        <w:ind w:left="827" w:right="925" w:firstLine="0"/>
        <w:jc w:val="center"/>
        <w:rPr>
          <w:sz w:val="21"/>
        </w:rPr>
      </w:pPr>
      <w:r>
        <w:rPr>
          <w:sz w:val="21"/>
        </w:rPr>
        <w:t>Out</w:t>
      </w:r>
      <w:r>
        <w:rPr>
          <w:spacing w:val="-5"/>
          <w:sz w:val="21"/>
        </w:rPr>
        <w:t> </w:t>
      </w:r>
      <w:r>
        <w:rPr>
          <w:sz w:val="21"/>
        </w:rPr>
        <w:t>and</w:t>
      </w:r>
      <w:r>
        <w:rPr>
          <w:spacing w:val="-5"/>
          <w:sz w:val="21"/>
        </w:rPr>
        <w:t> </w:t>
      </w:r>
      <w:r>
        <w:rPr>
          <w:sz w:val="21"/>
        </w:rPr>
        <w:t>Equal</w:t>
      </w:r>
      <w:r>
        <w:rPr>
          <w:spacing w:val="-5"/>
          <w:sz w:val="21"/>
        </w:rPr>
        <w:t> </w:t>
      </w:r>
      <w:hyperlink r:id="rId650">
        <w:r>
          <w:rPr>
            <w:color w:val="1154CC"/>
            <w:sz w:val="21"/>
            <w:u w:val="single" w:color="1154CC"/>
          </w:rPr>
          <w:t>https://outandequal.org/toolkits-</w:t>
        </w:r>
        <w:r>
          <w:rPr>
            <w:color w:val="1154CC"/>
            <w:spacing w:val="-2"/>
            <w:sz w:val="21"/>
            <w:u w:val="single" w:color="1154CC"/>
          </w:rPr>
          <w:t>guides/</w:t>
        </w:r>
      </w:hyperlink>
    </w:p>
    <w:p>
      <w:pPr>
        <w:spacing w:line="350" w:lineRule="auto" w:before="118"/>
        <w:ind w:left="827" w:right="925" w:firstLine="0"/>
        <w:jc w:val="center"/>
        <w:rPr>
          <w:sz w:val="21"/>
        </w:rPr>
      </w:pPr>
      <w:r>
        <w:rPr>
          <w:sz w:val="21"/>
        </w:rPr>
        <w:t>LGBTQ</w:t>
      </w:r>
      <w:r>
        <w:rPr>
          <w:spacing w:val="-12"/>
          <w:sz w:val="21"/>
        </w:rPr>
        <w:t> </w:t>
      </w:r>
      <w:r>
        <w:rPr>
          <w:sz w:val="21"/>
        </w:rPr>
        <w:t>Financial</w:t>
      </w:r>
      <w:r>
        <w:rPr>
          <w:spacing w:val="-12"/>
          <w:sz w:val="21"/>
        </w:rPr>
        <w:t> </w:t>
      </w:r>
      <w:r>
        <w:rPr>
          <w:sz w:val="21"/>
        </w:rPr>
        <w:t>Planning</w:t>
      </w:r>
      <w:r>
        <w:rPr>
          <w:spacing w:val="-12"/>
          <w:sz w:val="21"/>
        </w:rPr>
        <w:t> </w:t>
      </w:r>
      <w:hyperlink r:id="rId651">
        <w:r>
          <w:rPr>
            <w:color w:val="1154CC"/>
            <w:sz w:val="21"/>
            <w:u w:val="single" w:color="1154CC"/>
          </w:rPr>
          <w:t>https://www.nerdwallet.com/l/lgbtq-financial-planning-guide</w:t>
        </w:r>
      </w:hyperlink>
      <w:r>
        <w:rPr>
          <w:color w:val="1154CC"/>
          <w:sz w:val="21"/>
          <w:u w:val="none"/>
        </w:rPr>
        <w:t> </w:t>
      </w:r>
      <w:r>
        <w:rPr>
          <w:sz w:val="21"/>
          <w:u w:val="none"/>
        </w:rPr>
        <w:t>LGBTQ Friendly Job Websites</w:t>
      </w:r>
    </w:p>
    <w:p>
      <w:pPr>
        <w:spacing w:line="350" w:lineRule="auto" w:before="2"/>
        <w:ind w:left="3432" w:right="2645" w:hanging="573"/>
        <w:jc w:val="left"/>
        <w:rPr>
          <w:sz w:val="21"/>
        </w:rPr>
      </w:pPr>
      <w:r>
        <w:rPr>
          <w:sz w:val="21"/>
        </w:rPr>
        <w:t>LGBT</w:t>
      </w:r>
      <w:r>
        <w:rPr>
          <w:spacing w:val="-12"/>
          <w:sz w:val="21"/>
        </w:rPr>
        <w:t> </w:t>
      </w:r>
      <w:r>
        <w:rPr>
          <w:sz w:val="21"/>
        </w:rPr>
        <w:t>Connect</w:t>
      </w:r>
      <w:r>
        <w:rPr>
          <w:spacing w:val="-12"/>
          <w:sz w:val="21"/>
        </w:rPr>
        <w:t> </w:t>
      </w:r>
      <w:hyperlink r:id="rId652">
        <w:r>
          <w:rPr>
            <w:color w:val="1154CC"/>
            <w:sz w:val="21"/>
            <w:u w:val="single" w:color="1154CC"/>
          </w:rPr>
          <w:t>https://www.lgbtconnect.com/</w:t>
        </w:r>
      </w:hyperlink>
      <w:r>
        <w:rPr>
          <w:color w:val="1154CC"/>
          <w:sz w:val="21"/>
          <w:u w:val="none"/>
        </w:rPr>
        <w:t> </w:t>
      </w:r>
      <w:r>
        <w:rPr>
          <w:sz w:val="21"/>
          <w:u w:val="none"/>
        </w:rPr>
        <w:t>Pink Jobs </w:t>
      </w:r>
      <w:hyperlink r:id="rId653">
        <w:r>
          <w:rPr>
            <w:color w:val="1154CC"/>
            <w:sz w:val="21"/>
            <w:u w:val="single" w:color="1154CC"/>
          </w:rPr>
          <w:t>https://pink-jobs.com/</w:t>
        </w:r>
      </w:hyperlink>
    </w:p>
    <w:p>
      <w:pPr>
        <w:pStyle w:val="BodyText"/>
        <w:spacing w:before="57"/>
        <w:rPr>
          <w:sz w:val="26"/>
        </w:rPr>
      </w:pPr>
    </w:p>
    <w:p>
      <w:pPr>
        <w:spacing w:before="0"/>
        <w:ind w:left="619" w:right="0" w:firstLine="0"/>
        <w:jc w:val="center"/>
        <w:rPr>
          <w:sz w:val="26"/>
        </w:rPr>
      </w:pPr>
      <w:bookmarkStart w:name="College Scholarships" w:id="847"/>
      <w:bookmarkEnd w:id="847"/>
      <w:r>
        <w:rPr/>
      </w:r>
      <w:r>
        <w:rPr>
          <w:color w:val="404040"/>
          <w:sz w:val="26"/>
        </w:rPr>
        <w:t>College</w:t>
      </w:r>
      <w:r>
        <w:rPr>
          <w:color w:val="404040"/>
          <w:spacing w:val="-6"/>
          <w:sz w:val="26"/>
        </w:rPr>
        <w:t> </w:t>
      </w:r>
      <w:r>
        <w:rPr>
          <w:color w:val="404040"/>
          <w:spacing w:val="-2"/>
          <w:sz w:val="26"/>
        </w:rPr>
        <w:t>Scholarships</w:t>
      </w:r>
    </w:p>
    <w:p>
      <w:pPr>
        <w:spacing w:before="129"/>
        <w:ind w:left="827" w:right="925" w:firstLine="0"/>
        <w:jc w:val="center"/>
        <w:rPr>
          <w:sz w:val="21"/>
        </w:rPr>
      </w:pPr>
      <w:r>
        <w:rPr>
          <w:sz w:val="21"/>
        </w:rPr>
        <w:t>BAGLY</w:t>
      </w:r>
      <w:r>
        <w:rPr>
          <w:spacing w:val="-4"/>
          <w:sz w:val="21"/>
        </w:rPr>
        <w:t> </w:t>
      </w:r>
      <w:r>
        <w:rPr>
          <w:sz w:val="21"/>
        </w:rPr>
        <w:t>resources</w:t>
      </w:r>
      <w:r>
        <w:rPr>
          <w:spacing w:val="-4"/>
          <w:sz w:val="21"/>
        </w:rPr>
        <w:t> </w:t>
      </w:r>
      <w:r>
        <w:rPr>
          <w:sz w:val="21"/>
        </w:rPr>
        <w:t>page</w:t>
      </w:r>
      <w:r>
        <w:rPr>
          <w:spacing w:val="-3"/>
          <w:sz w:val="21"/>
        </w:rPr>
        <w:t> </w:t>
      </w:r>
      <w:r>
        <w:rPr>
          <w:sz w:val="21"/>
        </w:rPr>
        <w:t>highlights</w:t>
      </w:r>
      <w:r>
        <w:rPr>
          <w:spacing w:val="-4"/>
          <w:sz w:val="21"/>
        </w:rPr>
        <w:t> </w:t>
      </w:r>
      <w:r>
        <w:rPr>
          <w:sz w:val="21"/>
        </w:rPr>
        <w:t>MA</w:t>
      </w:r>
      <w:r>
        <w:rPr>
          <w:spacing w:val="-3"/>
          <w:sz w:val="21"/>
        </w:rPr>
        <w:t> </w:t>
      </w:r>
      <w:r>
        <w:rPr>
          <w:sz w:val="21"/>
        </w:rPr>
        <w:t>specific</w:t>
      </w:r>
      <w:r>
        <w:rPr>
          <w:spacing w:val="-3"/>
          <w:sz w:val="21"/>
        </w:rPr>
        <w:t> </w:t>
      </w:r>
      <w:r>
        <w:rPr>
          <w:sz w:val="21"/>
        </w:rPr>
        <w:t>scholarships</w:t>
      </w:r>
      <w:r>
        <w:rPr>
          <w:spacing w:val="-3"/>
          <w:sz w:val="21"/>
        </w:rPr>
        <w:t> </w:t>
      </w:r>
      <w:r>
        <w:rPr>
          <w:sz w:val="21"/>
        </w:rPr>
        <w:t>for</w:t>
      </w:r>
      <w:r>
        <w:rPr>
          <w:spacing w:val="-3"/>
          <w:sz w:val="21"/>
        </w:rPr>
        <w:t> </w:t>
      </w:r>
      <w:r>
        <w:rPr>
          <w:sz w:val="21"/>
        </w:rPr>
        <w:t>LGBTQ</w:t>
      </w:r>
      <w:r>
        <w:rPr>
          <w:spacing w:val="-3"/>
          <w:sz w:val="21"/>
        </w:rPr>
        <w:t> </w:t>
      </w:r>
      <w:r>
        <w:rPr>
          <w:spacing w:val="-2"/>
          <w:sz w:val="21"/>
        </w:rPr>
        <w:t>youth</w:t>
      </w:r>
    </w:p>
    <w:p>
      <w:pPr>
        <w:spacing w:line="350" w:lineRule="auto" w:before="118"/>
        <w:ind w:left="828" w:right="925" w:firstLine="0"/>
        <w:jc w:val="center"/>
        <w:rPr>
          <w:sz w:val="21"/>
        </w:rPr>
      </w:pPr>
      <w:r>
        <w:rPr>
          <w:sz w:val="21"/>
        </w:rPr>
        <w:t>HRC</w:t>
      </w:r>
      <w:r>
        <w:rPr>
          <w:spacing w:val="-4"/>
          <w:sz w:val="21"/>
        </w:rPr>
        <w:t> </w:t>
      </w:r>
      <w:r>
        <w:rPr>
          <w:sz w:val="21"/>
        </w:rPr>
        <w:t>LGBTQ+</w:t>
      </w:r>
      <w:r>
        <w:rPr>
          <w:spacing w:val="-4"/>
          <w:sz w:val="21"/>
        </w:rPr>
        <w:t> </w:t>
      </w:r>
      <w:r>
        <w:rPr>
          <w:sz w:val="21"/>
        </w:rPr>
        <w:t>Student</w:t>
      </w:r>
      <w:r>
        <w:rPr>
          <w:spacing w:val="-4"/>
          <w:sz w:val="21"/>
        </w:rPr>
        <w:t> </w:t>
      </w:r>
      <w:r>
        <w:rPr>
          <w:sz w:val="21"/>
        </w:rPr>
        <w:t>Scholarship</w:t>
      </w:r>
      <w:r>
        <w:rPr>
          <w:spacing w:val="-4"/>
          <w:sz w:val="21"/>
        </w:rPr>
        <w:t> </w:t>
      </w:r>
      <w:r>
        <w:rPr>
          <w:sz w:val="21"/>
        </w:rPr>
        <w:t>Database</w:t>
      </w:r>
      <w:r>
        <w:rPr>
          <w:spacing w:val="-4"/>
          <w:sz w:val="21"/>
        </w:rPr>
        <w:t> </w:t>
      </w:r>
      <w:r>
        <w:rPr>
          <w:sz w:val="21"/>
        </w:rPr>
        <w:t>for</w:t>
      </w:r>
      <w:r>
        <w:rPr>
          <w:spacing w:val="-4"/>
          <w:sz w:val="21"/>
        </w:rPr>
        <w:t> </w:t>
      </w:r>
      <w:r>
        <w:rPr>
          <w:sz w:val="21"/>
        </w:rPr>
        <w:t>undergraduate</w:t>
      </w:r>
      <w:r>
        <w:rPr>
          <w:spacing w:val="-4"/>
          <w:sz w:val="21"/>
        </w:rPr>
        <w:t> </w:t>
      </w:r>
      <w:r>
        <w:rPr>
          <w:sz w:val="21"/>
        </w:rPr>
        <w:t>and</w:t>
      </w:r>
      <w:r>
        <w:rPr>
          <w:spacing w:val="-4"/>
          <w:sz w:val="21"/>
        </w:rPr>
        <w:t> </w:t>
      </w:r>
      <w:r>
        <w:rPr>
          <w:sz w:val="21"/>
        </w:rPr>
        <w:t>graduate</w:t>
      </w:r>
      <w:r>
        <w:rPr>
          <w:spacing w:val="-4"/>
          <w:sz w:val="21"/>
        </w:rPr>
        <w:t> </w:t>
      </w:r>
      <w:r>
        <w:rPr>
          <w:sz w:val="21"/>
        </w:rPr>
        <w:t>students MCLGBTQY Jeff Perrotti LGBTQ+ Leadership Award</w:t>
      </w:r>
    </w:p>
    <w:p>
      <w:pPr>
        <w:spacing w:after="0" w:line="350" w:lineRule="auto"/>
        <w:jc w:val="center"/>
        <w:rPr>
          <w:sz w:val="21"/>
        </w:rPr>
        <w:sectPr>
          <w:pgSz w:w="12240" w:h="15840"/>
          <w:pgMar w:header="763" w:footer="1041" w:top="1380" w:bottom="1240" w:left="1120" w:right="1380"/>
        </w:sectPr>
      </w:pPr>
    </w:p>
    <w:p>
      <w:pPr>
        <w:spacing w:before="46"/>
        <w:ind w:left="619" w:right="0" w:firstLine="0"/>
        <w:jc w:val="center"/>
        <w:rPr>
          <w:sz w:val="26"/>
        </w:rPr>
      </w:pPr>
      <w:bookmarkStart w:name="Food" w:id="848"/>
      <w:bookmarkEnd w:id="848"/>
      <w:r>
        <w:rPr/>
      </w:r>
      <w:r>
        <w:rPr>
          <w:color w:val="404040"/>
          <w:spacing w:val="-4"/>
          <w:sz w:val="26"/>
        </w:rPr>
        <w:t>Food</w:t>
      </w:r>
    </w:p>
    <w:p>
      <w:pPr>
        <w:spacing w:before="129"/>
        <w:ind w:left="828" w:right="925" w:firstLine="0"/>
        <w:jc w:val="center"/>
        <w:rPr>
          <w:sz w:val="21"/>
        </w:rPr>
      </w:pPr>
      <w:r>
        <w:rPr>
          <w:sz w:val="21"/>
        </w:rPr>
        <w:t>Project</w:t>
      </w:r>
      <w:r>
        <w:rPr>
          <w:spacing w:val="-7"/>
          <w:sz w:val="21"/>
        </w:rPr>
        <w:t> </w:t>
      </w:r>
      <w:r>
        <w:rPr>
          <w:sz w:val="21"/>
        </w:rPr>
        <w:t>Bread</w:t>
      </w:r>
      <w:r>
        <w:rPr>
          <w:spacing w:val="-9"/>
          <w:sz w:val="21"/>
        </w:rPr>
        <w:t> </w:t>
      </w:r>
      <w:r>
        <w:rPr>
          <w:sz w:val="21"/>
        </w:rPr>
        <w:t>FoodSource</w:t>
      </w:r>
      <w:r>
        <w:rPr>
          <w:spacing w:val="-8"/>
          <w:sz w:val="21"/>
        </w:rPr>
        <w:t> </w:t>
      </w:r>
      <w:r>
        <w:rPr>
          <w:sz w:val="21"/>
        </w:rPr>
        <w:t>Hotline</w:t>
      </w:r>
      <w:r>
        <w:rPr>
          <w:spacing w:val="-7"/>
          <w:sz w:val="21"/>
        </w:rPr>
        <w:t> </w:t>
      </w:r>
      <w:hyperlink r:id="rId654">
        <w:r>
          <w:rPr>
            <w:color w:val="1154CC"/>
            <w:sz w:val="21"/>
            <w:u w:val="single" w:color="1154CC"/>
          </w:rPr>
          <w:t>https://www.projectbread.org/get-</w:t>
        </w:r>
        <w:r>
          <w:rPr>
            <w:color w:val="1154CC"/>
            <w:spacing w:val="-4"/>
            <w:sz w:val="21"/>
            <w:u w:val="single" w:color="1154CC"/>
          </w:rPr>
          <w:t>help</w:t>
        </w:r>
      </w:hyperlink>
    </w:p>
    <w:p>
      <w:pPr>
        <w:pStyle w:val="BodyText"/>
        <w:spacing w:before="230"/>
        <w:rPr>
          <w:sz w:val="28"/>
        </w:rPr>
      </w:pPr>
    </w:p>
    <w:p>
      <w:pPr>
        <w:spacing w:before="0"/>
        <w:ind w:left="464" w:right="0" w:firstLine="0"/>
        <w:jc w:val="left"/>
        <w:rPr>
          <w:sz w:val="28"/>
        </w:rPr>
      </w:pPr>
      <w:bookmarkStart w:name="Acknowledgments &amp; Citations" w:id="849"/>
      <w:bookmarkEnd w:id="849"/>
      <w:r>
        <w:rPr/>
      </w:r>
      <w:r>
        <w:rPr>
          <w:color w:val="365F91"/>
          <w:sz w:val="28"/>
        </w:rPr>
        <w:t>Acknowledgments</w:t>
      </w:r>
      <w:r>
        <w:rPr>
          <w:color w:val="365F91"/>
          <w:spacing w:val="-15"/>
          <w:sz w:val="28"/>
        </w:rPr>
        <w:t> </w:t>
      </w:r>
      <w:r>
        <w:rPr>
          <w:color w:val="365F91"/>
          <w:sz w:val="28"/>
        </w:rPr>
        <w:t>&amp;</w:t>
      </w:r>
      <w:r>
        <w:rPr>
          <w:color w:val="365F91"/>
          <w:spacing w:val="-14"/>
          <w:sz w:val="28"/>
        </w:rPr>
        <w:t> </w:t>
      </w:r>
      <w:r>
        <w:rPr>
          <w:color w:val="365F91"/>
          <w:spacing w:val="-2"/>
          <w:sz w:val="28"/>
        </w:rPr>
        <w:t>Citations</w:t>
      </w:r>
    </w:p>
    <w:p>
      <w:pPr>
        <w:pStyle w:val="BodyText"/>
        <w:spacing w:before="11"/>
        <w:rPr>
          <w:sz w:val="3"/>
        </w:rPr>
      </w:pPr>
      <w:r>
        <w:rPr/>
        <mc:AlternateContent>
          <mc:Choice Requires="wps">
            <w:drawing>
              <wp:anchor distT="0" distB="0" distL="0" distR="0" allowOverlap="1" layoutInCell="1" locked="0" behindDoc="1" simplePos="0" relativeHeight="487685120">
                <wp:simplePos x="0" y="0"/>
                <wp:positionH relativeFrom="page">
                  <wp:posOffset>986789</wp:posOffset>
                </wp:positionH>
                <wp:positionV relativeFrom="paragraph">
                  <wp:posOffset>45691</wp:posOffset>
                </wp:positionV>
                <wp:extent cx="5799455" cy="6350"/>
                <wp:effectExtent l="0" t="0" r="0" b="0"/>
                <wp:wrapTopAndBottom/>
                <wp:docPr id="512" name="Graphic 512"/>
                <wp:cNvGraphicFramePr>
                  <a:graphicFrameLocks/>
                </wp:cNvGraphicFramePr>
                <a:graphic>
                  <a:graphicData uri="http://schemas.microsoft.com/office/word/2010/wordprocessingShape">
                    <wps:wsp>
                      <wps:cNvPr id="512" name="Graphic 512"/>
                      <wps:cNvSpPr/>
                      <wps:spPr>
                        <a:xfrm>
                          <a:off x="0" y="0"/>
                          <a:ext cx="5799455" cy="6350"/>
                        </a:xfrm>
                        <a:custGeom>
                          <a:avLst/>
                          <a:gdLst/>
                          <a:ahLst/>
                          <a:cxnLst/>
                          <a:rect l="l" t="t" r="r" b="b"/>
                          <a:pathLst>
                            <a:path w="5799455" h="6350">
                              <a:moveTo>
                                <a:pt x="5798832" y="0"/>
                              </a:moveTo>
                              <a:lnTo>
                                <a:pt x="0" y="0"/>
                              </a:lnTo>
                              <a:lnTo>
                                <a:pt x="0" y="6108"/>
                              </a:lnTo>
                              <a:lnTo>
                                <a:pt x="5798832" y="6108"/>
                              </a:lnTo>
                              <a:lnTo>
                                <a:pt x="5798832" y="0"/>
                              </a:lnTo>
                              <a:close/>
                            </a:path>
                          </a:pathLst>
                        </a:custGeom>
                        <a:solidFill>
                          <a:srgbClr val="4F81BC"/>
                        </a:solidFill>
                      </wps:spPr>
                      <wps:bodyPr wrap="square" lIns="0" tIns="0" rIns="0" bIns="0" rtlCol="0">
                        <a:prstTxWarp prst="textNoShape">
                          <a:avLst/>
                        </a:prstTxWarp>
                        <a:noAutofit/>
                      </wps:bodyPr>
                    </wps:wsp>
                  </a:graphicData>
                </a:graphic>
              </wp:anchor>
            </w:drawing>
          </mc:Choice>
          <mc:Fallback>
            <w:pict>
              <v:rect style="position:absolute;margin-left:77.699997pt;margin-top:3.597789pt;width:456.601pt;height:.481pt;mso-position-horizontal-relative:page;mso-position-vertical-relative:paragraph;z-index:-15631360;mso-wrap-distance-left:0;mso-wrap-distance-right:0" id="docshape411" filled="true" fillcolor="#4f81bc" stroked="false">
                <v:fill type="solid"/>
                <w10:wrap type="topAndBottom"/>
              </v:rect>
            </w:pict>
          </mc:Fallback>
        </mc:AlternateContent>
      </w:r>
    </w:p>
    <w:p>
      <w:pPr>
        <w:spacing w:before="241"/>
        <w:ind w:left="464" w:right="0" w:firstLine="0"/>
        <w:jc w:val="left"/>
        <w:rPr>
          <w:i/>
          <w:sz w:val="21"/>
        </w:rPr>
      </w:pPr>
      <w:r>
        <w:rPr>
          <w:i/>
          <w:sz w:val="21"/>
        </w:rPr>
        <w:t>Acknowledgments:</w:t>
      </w:r>
      <w:r>
        <w:rPr>
          <w:i/>
          <w:spacing w:val="-3"/>
          <w:sz w:val="21"/>
        </w:rPr>
        <w:t> </w:t>
      </w:r>
      <w:r>
        <w:rPr>
          <w:i/>
          <w:sz w:val="21"/>
        </w:rPr>
        <w:t>Ivy</w:t>
      </w:r>
      <w:r>
        <w:rPr>
          <w:i/>
          <w:spacing w:val="-3"/>
          <w:sz w:val="21"/>
        </w:rPr>
        <w:t> </w:t>
      </w:r>
      <w:r>
        <w:rPr>
          <w:i/>
          <w:sz w:val="21"/>
        </w:rPr>
        <w:t>Stanton,</w:t>
      </w:r>
      <w:r>
        <w:rPr>
          <w:i/>
          <w:spacing w:val="-2"/>
          <w:sz w:val="21"/>
        </w:rPr>
        <w:t> </w:t>
      </w:r>
      <w:r>
        <w:rPr>
          <w:i/>
          <w:sz w:val="21"/>
        </w:rPr>
        <w:t>lead</w:t>
      </w:r>
      <w:r>
        <w:rPr>
          <w:i/>
          <w:spacing w:val="-3"/>
          <w:sz w:val="21"/>
        </w:rPr>
        <w:t> </w:t>
      </w:r>
      <w:r>
        <w:rPr>
          <w:i/>
          <w:sz w:val="21"/>
        </w:rPr>
        <w:t>researcher</w:t>
      </w:r>
      <w:r>
        <w:rPr>
          <w:i/>
          <w:spacing w:val="-3"/>
          <w:sz w:val="21"/>
        </w:rPr>
        <w:t> </w:t>
      </w:r>
      <w:r>
        <w:rPr>
          <w:i/>
          <w:sz w:val="21"/>
        </w:rPr>
        <w:t>and</w:t>
      </w:r>
      <w:r>
        <w:rPr>
          <w:i/>
          <w:spacing w:val="-3"/>
          <w:sz w:val="21"/>
        </w:rPr>
        <w:t> </w:t>
      </w:r>
      <w:r>
        <w:rPr>
          <w:i/>
          <w:spacing w:val="-2"/>
          <w:sz w:val="21"/>
        </w:rPr>
        <w:t>author</w:t>
      </w:r>
    </w:p>
    <w:p>
      <w:pPr>
        <w:pStyle w:val="BodyText"/>
        <w:rPr>
          <w:i/>
          <w:sz w:val="21"/>
        </w:rPr>
      </w:pPr>
    </w:p>
    <w:p>
      <w:pPr>
        <w:pStyle w:val="BodyText"/>
        <w:spacing w:before="12"/>
        <w:rPr>
          <w:i/>
          <w:sz w:val="21"/>
        </w:rPr>
      </w:pPr>
    </w:p>
    <w:p>
      <w:pPr>
        <w:spacing w:before="0"/>
        <w:ind w:left="464" w:right="232" w:firstLine="0"/>
        <w:jc w:val="left"/>
        <w:rPr>
          <w:sz w:val="18"/>
        </w:rPr>
      </w:pPr>
      <w:bookmarkStart w:name="_bookmark555" w:id="850"/>
      <w:bookmarkEnd w:id="850"/>
      <w:r>
        <w:rPr/>
      </w:r>
      <w:r>
        <w:rPr>
          <w:sz w:val="18"/>
          <w:vertAlign w:val="superscript"/>
        </w:rPr>
        <w:t>1</w:t>
      </w:r>
      <w:r>
        <w:rPr>
          <w:sz w:val="18"/>
          <w:vertAlign w:val="baseline"/>
        </w:rPr>
        <w:t> Bureau of Labor Statistics: Monthly Labor Review (June 2023).</w:t>
      </w:r>
      <w:r>
        <w:rPr>
          <w:spacing w:val="40"/>
          <w:sz w:val="18"/>
          <w:vertAlign w:val="baseline"/>
        </w:rPr>
        <w:t> </w:t>
      </w:r>
      <w:r>
        <w:rPr>
          <w:spacing w:val="-2"/>
          <w:sz w:val="18"/>
          <w:vertAlign w:val="baseline"/>
        </w:rPr>
        <w:t>https:</w:t>
      </w:r>
      <w:hyperlink r:id="rId655">
        <w:r>
          <w:rPr>
            <w:spacing w:val="-2"/>
            <w:sz w:val="18"/>
            <w:vertAlign w:val="baseline"/>
          </w:rPr>
          <w:t>//www.bls.gov/opub/mlr/2023/article/unemployment-rate-returned-to-its-prepandemic-level-in-</w:t>
        </w:r>
      </w:hyperlink>
      <w:r>
        <w:rPr>
          <w:sz w:val="18"/>
          <w:vertAlign w:val="baseline"/>
        </w:rPr>
        <w:t> </w:t>
      </w:r>
      <w:r>
        <w:rPr>
          <w:spacing w:val="-2"/>
          <w:sz w:val="18"/>
          <w:vertAlign w:val="baseline"/>
        </w:rPr>
        <w:t>2022.htm#:~:text=The%20number%20of%20unemployed%20people%20was%205.9%20million%20in%20the,the%20fourth</w:t>
      </w:r>
    </w:p>
    <w:p>
      <w:pPr>
        <w:spacing w:line="219" w:lineRule="exact" w:before="0"/>
        <w:ind w:left="464" w:right="0" w:firstLine="0"/>
        <w:jc w:val="left"/>
        <w:rPr>
          <w:sz w:val="18"/>
        </w:rPr>
      </w:pPr>
      <w:r>
        <w:rPr>
          <w:spacing w:val="-2"/>
          <w:sz w:val="18"/>
        </w:rPr>
        <w:t>%20quarter%20of%202021.</w:t>
      </w:r>
    </w:p>
    <w:p>
      <w:pPr>
        <w:spacing w:before="0"/>
        <w:ind w:left="464" w:right="0" w:firstLine="0"/>
        <w:jc w:val="left"/>
        <w:rPr>
          <w:sz w:val="18"/>
        </w:rPr>
      </w:pPr>
      <w:bookmarkStart w:name="_bookmark556" w:id="851"/>
      <w:bookmarkEnd w:id="851"/>
      <w:r>
        <w:rPr/>
      </w:r>
      <w:r>
        <w:rPr>
          <w:sz w:val="18"/>
          <w:vertAlign w:val="superscript"/>
        </w:rPr>
        <w:t>2</w:t>
      </w:r>
      <w:r>
        <w:rPr>
          <w:spacing w:val="-2"/>
          <w:sz w:val="18"/>
          <w:vertAlign w:val="baseline"/>
        </w:rPr>
        <w:t> </w:t>
      </w:r>
      <w:r>
        <w:rPr>
          <w:sz w:val="18"/>
          <w:vertAlign w:val="baseline"/>
        </w:rPr>
        <w:t>Rummler,</w:t>
      </w:r>
      <w:r>
        <w:rPr>
          <w:spacing w:val="-3"/>
          <w:sz w:val="18"/>
          <w:vertAlign w:val="baseline"/>
        </w:rPr>
        <w:t> </w:t>
      </w:r>
      <w:r>
        <w:rPr>
          <w:sz w:val="18"/>
          <w:vertAlign w:val="baseline"/>
        </w:rPr>
        <w:t>Kate,</w:t>
      </w:r>
      <w:r>
        <w:rPr>
          <w:spacing w:val="-3"/>
          <w:sz w:val="18"/>
          <w:vertAlign w:val="baseline"/>
        </w:rPr>
        <w:t> </w:t>
      </w:r>
      <w:r>
        <w:rPr>
          <w:sz w:val="18"/>
          <w:vertAlign w:val="baseline"/>
        </w:rPr>
        <w:t>and</w:t>
      </w:r>
      <w:r>
        <w:rPr>
          <w:spacing w:val="-2"/>
          <w:sz w:val="18"/>
          <w:vertAlign w:val="baseline"/>
        </w:rPr>
        <w:t> </w:t>
      </w:r>
      <w:r>
        <w:rPr>
          <w:sz w:val="18"/>
          <w:vertAlign w:val="baseline"/>
        </w:rPr>
        <w:t>Orion</w:t>
      </w:r>
      <w:r>
        <w:rPr>
          <w:spacing w:val="-2"/>
          <w:sz w:val="18"/>
          <w:vertAlign w:val="baseline"/>
        </w:rPr>
        <w:t> </w:t>
      </w:r>
      <w:r>
        <w:rPr>
          <w:sz w:val="18"/>
          <w:vertAlign w:val="baseline"/>
        </w:rPr>
        <w:t>Sosin.</w:t>
      </w:r>
      <w:r>
        <w:rPr>
          <w:spacing w:val="-2"/>
          <w:sz w:val="18"/>
          <w:vertAlign w:val="baseline"/>
        </w:rPr>
        <w:t> </w:t>
      </w:r>
      <w:r>
        <w:rPr>
          <w:sz w:val="18"/>
          <w:vertAlign w:val="baseline"/>
        </w:rPr>
        <w:t>“Has</w:t>
      </w:r>
      <w:r>
        <w:rPr>
          <w:spacing w:val="-2"/>
          <w:sz w:val="18"/>
          <w:vertAlign w:val="baseline"/>
        </w:rPr>
        <w:t> </w:t>
      </w:r>
      <w:r>
        <w:rPr>
          <w:sz w:val="18"/>
          <w:vertAlign w:val="baseline"/>
        </w:rPr>
        <w:t>Life</w:t>
      </w:r>
      <w:r>
        <w:rPr>
          <w:spacing w:val="-2"/>
          <w:sz w:val="18"/>
          <w:vertAlign w:val="baseline"/>
        </w:rPr>
        <w:t> </w:t>
      </w:r>
      <w:r>
        <w:rPr>
          <w:sz w:val="18"/>
          <w:vertAlign w:val="baseline"/>
        </w:rPr>
        <w:t>Improved</w:t>
      </w:r>
      <w:r>
        <w:rPr>
          <w:spacing w:val="-2"/>
          <w:sz w:val="18"/>
          <w:vertAlign w:val="baseline"/>
        </w:rPr>
        <w:t> </w:t>
      </w:r>
      <w:r>
        <w:rPr>
          <w:sz w:val="18"/>
          <w:vertAlign w:val="baseline"/>
        </w:rPr>
        <w:t>for</w:t>
      </w:r>
      <w:r>
        <w:rPr>
          <w:spacing w:val="-3"/>
          <w:sz w:val="18"/>
          <w:vertAlign w:val="baseline"/>
        </w:rPr>
        <w:t> </w:t>
      </w:r>
      <w:r>
        <w:rPr>
          <w:sz w:val="18"/>
          <w:vertAlign w:val="baseline"/>
        </w:rPr>
        <w:t>Transgender</w:t>
      </w:r>
      <w:r>
        <w:rPr>
          <w:spacing w:val="-3"/>
          <w:sz w:val="18"/>
          <w:vertAlign w:val="baseline"/>
        </w:rPr>
        <w:t> </w:t>
      </w:r>
      <w:r>
        <w:rPr>
          <w:sz w:val="18"/>
          <w:vertAlign w:val="baseline"/>
        </w:rPr>
        <w:t>Americans</w:t>
      </w:r>
      <w:r>
        <w:rPr>
          <w:spacing w:val="-3"/>
          <w:sz w:val="18"/>
          <w:vertAlign w:val="baseline"/>
        </w:rPr>
        <w:t> </w:t>
      </w:r>
      <w:r>
        <w:rPr>
          <w:sz w:val="18"/>
          <w:vertAlign w:val="baseline"/>
        </w:rPr>
        <w:t>in</w:t>
      </w:r>
      <w:r>
        <w:rPr>
          <w:spacing w:val="-2"/>
          <w:sz w:val="18"/>
          <w:vertAlign w:val="baseline"/>
        </w:rPr>
        <w:t> </w:t>
      </w:r>
      <w:r>
        <w:rPr>
          <w:sz w:val="18"/>
          <w:vertAlign w:val="baseline"/>
        </w:rPr>
        <w:t>the</w:t>
      </w:r>
      <w:r>
        <w:rPr>
          <w:spacing w:val="-2"/>
          <w:sz w:val="18"/>
          <w:vertAlign w:val="baseline"/>
        </w:rPr>
        <w:t> </w:t>
      </w:r>
      <w:r>
        <w:rPr>
          <w:sz w:val="18"/>
          <w:vertAlign w:val="baseline"/>
        </w:rPr>
        <w:t>Last</w:t>
      </w:r>
      <w:r>
        <w:rPr>
          <w:spacing w:val="-3"/>
          <w:sz w:val="18"/>
          <w:vertAlign w:val="baseline"/>
        </w:rPr>
        <w:t> </w:t>
      </w:r>
      <w:r>
        <w:rPr>
          <w:sz w:val="18"/>
          <w:vertAlign w:val="baseline"/>
        </w:rPr>
        <w:t>10</w:t>
      </w:r>
      <w:r>
        <w:rPr>
          <w:spacing w:val="-2"/>
          <w:sz w:val="18"/>
          <w:vertAlign w:val="baseline"/>
        </w:rPr>
        <w:t> </w:t>
      </w:r>
      <w:r>
        <w:rPr>
          <w:sz w:val="18"/>
          <w:vertAlign w:val="baseline"/>
        </w:rPr>
        <w:t>Years?</w:t>
      </w:r>
      <w:r>
        <w:rPr>
          <w:spacing w:val="-2"/>
          <w:sz w:val="18"/>
          <w:vertAlign w:val="baseline"/>
        </w:rPr>
        <w:t> </w:t>
      </w:r>
      <w:r>
        <w:rPr>
          <w:sz w:val="18"/>
          <w:vertAlign w:val="baseline"/>
        </w:rPr>
        <w:t>Not</w:t>
      </w:r>
      <w:r>
        <w:rPr>
          <w:spacing w:val="-3"/>
          <w:sz w:val="18"/>
          <w:vertAlign w:val="baseline"/>
        </w:rPr>
        <w:t> </w:t>
      </w:r>
      <w:r>
        <w:rPr>
          <w:sz w:val="18"/>
          <w:vertAlign w:val="baseline"/>
        </w:rPr>
        <w:t>Really.”</w:t>
      </w:r>
      <w:r>
        <w:rPr>
          <w:spacing w:val="-2"/>
          <w:sz w:val="18"/>
          <w:vertAlign w:val="baseline"/>
        </w:rPr>
        <w:t> </w:t>
      </w:r>
      <w:r>
        <w:rPr>
          <w:sz w:val="18"/>
          <w:vertAlign w:val="baseline"/>
        </w:rPr>
        <w:t>The</w:t>
      </w:r>
      <w:r>
        <w:rPr>
          <w:spacing w:val="-2"/>
          <w:sz w:val="18"/>
          <w:vertAlign w:val="baseline"/>
        </w:rPr>
        <w:t> </w:t>
      </w:r>
      <w:r>
        <w:rPr>
          <w:sz w:val="18"/>
          <w:vertAlign w:val="baseline"/>
        </w:rPr>
        <w:t>19th (February 7, 2024). https://19thnews.org/2024/02/transgender-americans-life-economic-health-issues-survey/.</w:t>
      </w:r>
    </w:p>
    <w:p>
      <w:pPr>
        <w:spacing w:before="0"/>
        <w:ind w:left="464" w:right="0" w:hanging="1"/>
        <w:jc w:val="left"/>
        <w:rPr>
          <w:sz w:val="18"/>
        </w:rPr>
      </w:pPr>
      <w:bookmarkStart w:name="_bookmark557" w:id="852"/>
      <w:bookmarkEnd w:id="852"/>
      <w:r>
        <w:rPr/>
      </w:r>
      <w:r>
        <w:rPr>
          <w:sz w:val="18"/>
          <w:vertAlign w:val="superscript"/>
        </w:rPr>
        <w:t>3</w:t>
      </w:r>
      <w:r>
        <w:rPr>
          <w:spacing w:val="-5"/>
          <w:sz w:val="18"/>
          <w:vertAlign w:val="baseline"/>
        </w:rPr>
        <w:t> </w:t>
      </w:r>
      <w:r>
        <w:rPr>
          <w:sz w:val="18"/>
          <w:vertAlign w:val="baseline"/>
        </w:rPr>
        <w:t>US</w:t>
      </w:r>
      <w:r>
        <w:rPr>
          <w:spacing w:val="-5"/>
          <w:sz w:val="18"/>
          <w:vertAlign w:val="baseline"/>
        </w:rPr>
        <w:t> </w:t>
      </w:r>
      <w:r>
        <w:rPr>
          <w:sz w:val="18"/>
          <w:vertAlign w:val="baseline"/>
        </w:rPr>
        <w:t>Census</w:t>
      </w:r>
      <w:r>
        <w:rPr>
          <w:spacing w:val="-6"/>
          <w:sz w:val="18"/>
          <w:vertAlign w:val="baseline"/>
        </w:rPr>
        <w:t> </w:t>
      </w:r>
      <w:r>
        <w:rPr>
          <w:sz w:val="18"/>
          <w:vertAlign w:val="baseline"/>
        </w:rPr>
        <w:t>Bureau:</w:t>
      </w:r>
      <w:r>
        <w:rPr>
          <w:spacing w:val="-5"/>
          <w:sz w:val="18"/>
          <w:vertAlign w:val="baseline"/>
        </w:rPr>
        <w:t> </w:t>
      </w:r>
      <w:r>
        <w:rPr>
          <w:sz w:val="18"/>
          <w:vertAlign w:val="baseline"/>
        </w:rPr>
        <w:t>Press</w:t>
      </w:r>
      <w:r>
        <w:rPr>
          <w:spacing w:val="-5"/>
          <w:sz w:val="18"/>
          <w:vertAlign w:val="baseline"/>
        </w:rPr>
        <w:t> </w:t>
      </w:r>
      <w:r>
        <w:rPr>
          <w:sz w:val="18"/>
          <w:vertAlign w:val="baseline"/>
        </w:rPr>
        <w:t>Release</w:t>
      </w:r>
      <w:r>
        <w:rPr>
          <w:spacing w:val="-5"/>
          <w:sz w:val="18"/>
          <w:vertAlign w:val="baseline"/>
        </w:rPr>
        <w:t> </w:t>
      </w:r>
      <w:r>
        <w:rPr>
          <w:sz w:val="18"/>
          <w:vertAlign w:val="baseline"/>
        </w:rPr>
        <w:t>(January</w:t>
      </w:r>
      <w:r>
        <w:rPr>
          <w:spacing w:val="-5"/>
          <w:sz w:val="18"/>
          <w:vertAlign w:val="baseline"/>
        </w:rPr>
        <w:t> </w:t>
      </w:r>
      <w:r>
        <w:rPr>
          <w:sz w:val="18"/>
          <w:vertAlign w:val="baseline"/>
        </w:rPr>
        <w:t>2024).</w:t>
      </w:r>
      <w:r>
        <w:rPr>
          <w:spacing w:val="-5"/>
          <w:sz w:val="18"/>
          <w:vertAlign w:val="baseline"/>
        </w:rPr>
        <w:t> </w:t>
      </w:r>
      <w:r>
        <w:rPr>
          <w:sz w:val="18"/>
          <w:vertAlign w:val="baseline"/>
        </w:rPr>
        <w:t>https:</w:t>
      </w:r>
      <w:hyperlink r:id="rId656">
        <w:r>
          <w:rPr>
            <w:sz w:val="18"/>
            <w:vertAlign w:val="baseline"/>
          </w:rPr>
          <w:t>//www.census.gov/newsroom/stories/poverty-awareness-</w:t>
        </w:r>
      </w:hyperlink>
      <w:r>
        <w:rPr>
          <w:sz w:val="18"/>
          <w:vertAlign w:val="baseline"/>
        </w:rPr>
        <w:t> </w:t>
      </w:r>
      <w:r>
        <w:rPr>
          <w:spacing w:val="-2"/>
          <w:sz w:val="18"/>
          <w:vertAlign w:val="baseline"/>
        </w:rPr>
        <w:t>month.html#:~:text=Official%20Poverty%20Measure,decreased%20between%202021%20and%202022.</w:t>
      </w:r>
    </w:p>
    <w:p>
      <w:pPr>
        <w:spacing w:before="0"/>
        <w:ind w:left="464" w:right="601" w:firstLine="0"/>
        <w:jc w:val="left"/>
        <w:rPr>
          <w:sz w:val="18"/>
        </w:rPr>
      </w:pPr>
      <w:bookmarkStart w:name="_bookmark558" w:id="853"/>
      <w:bookmarkEnd w:id="853"/>
      <w:r>
        <w:rPr/>
      </w:r>
      <w:r>
        <w:rPr>
          <w:sz w:val="18"/>
          <w:vertAlign w:val="superscript"/>
        </w:rPr>
        <w:t>4</w:t>
      </w:r>
      <w:r>
        <w:rPr>
          <w:sz w:val="18"/>
          <w:vertAlign w:val="baseline"/>
        </w:rPr>
        <w:t> Rubin, Jerry and Ayanna Warrington. “Addressing the Labor Shortage in Massachusetts: Engaging Untapped Talent.” Harvard:</w:t>
      </w:r>
      <w:r>
        <w:rPr>
          <w:spacing w:val="-5"/>
          <w:sz w:val="18"/>
          <w:vertAlign w:val="baseline"/>
        </w:rPr>
        <w:t> </w:t>
      </w:r>
      <w:r>
        <w:rPr>
          <w:sz w:val="18"/>
          <w:vertAlign w:val="baseline"/>
        </w:rPr>
        <w:t>The</w:t>
      </w:r>
      <w:r>
        <w:rPr>
          <w:spacing w:val="-5"/>
          <w:sz w:val="18"/>
          <w:vertAlign w:val="baseline"/>
        </w:rPr>
        <w:t> </w:t>
      </w:r>
      <w:r>
        <w:rPr>
          <w:sz w:val="18"/>
          <w:vertAlign w:val="baseline"/>
        </w:rPr>
        <w:t>Project</w:t>
      </w:r>
      <w:r>
        <w:rPr>
          <w:spacing w:val="-6"/>
          <w:sz w:val="18"/>
          <w:vertAlign w:val="baseline"/>
        </w:rPr>
        <w:t> </w:t>
      </w:r>
      <w:r>
        <w:rPr>
          <w:sz w:val="18"/>
          <w:vertAlign w:val="baseline"/>
        </w:rPr>
        <w:t>on</w:t>
      </w:r>
      <w:r>
        <w:rPr>
          <w:spacing w:val="-5"/>
          <w:sz w:val="18"/>
          <w:vertAlign w:val="baseline"/>
        </w:rPr>
        <w:t> </w:t>
      </w:r>
      <w:r>
        <w:rPr>
          <w:sz w:val="18"/>
          <w:vertAlign w:val="baseline"/>
        </w:rPr>
        <w:t>Workforce</w:t>
      </w:r>
      <w:r>
        <w:rPr>
          <w:spacing w:val="-5"/>
          <w:sz w:val="18"/>
          <w:vertAlign w:val="baseline"/>
        </w:rPr>
        <w:t> </w:t>
      </w:r>
      <w:r>
        <w:rPr>
          <w:sz w:val="18"/>
          <w:vertAlign w:val="baseline"/>
        </w:rPr>
        <w:t>(September</w:t>
      </w:r>
      <w:r>
        <w:rPr>
          <w:spacing w:val="-6"/>
          <w:sz w:val="18"/>
          <w:vertAlign w:val="baseline"/>
        </w:rPr>
        <w:t> </w:t>
      </w:r>
      <w:r>
        <w:rPr>
          <w:sz w:val="18"/>
          <w:vertAlign w:val="baseline"/>
        </w:rPr>
        <w:t>5,</w:t>
      </w:r>
      <w:r>
        <w:rPr>
          <w:spacing w:val="-6"/>
          <w:sz w:val="18"/>
          <w:vertAlign w:val="baseline"/>
        </w:rPr>
        <w:t> </w:t>
      </w:r>
      <w:r>
        <w:rPr>
          <w:sz w:val="18"/>
          <w:vertAlign w:val="baseline"/>
        </w:rPr>
        <w:t>2023).</w:t>
      </w:r>
      <w:r>
        <w:rPr>
          <w:spacing w:val="-5"/>
          <w:sz w:val="18"/>
          <w:vertAlign w:val="baseline"/>
        </w:rPr>
        <w:t> </w:t>
      </w:r>
      <w:r>
        <w:rPr>
          <w:sz w:val="18"/>
          <w:vertAlign w:val="baseline"/>
        </w:rPr>
        <w:t>https:</w:t>
      </w:r>
      <w:hyperlink r:id="rId657">
        <w:r>
          <w:rPr>
            <w:sz w:val="18"/>
            <w:vertAlign w:val="baseline"/>
          </w:rPr>
          <w:t>//www.pw.hks.harvard.edu/post/addressing-the-labor-</w:t>
        </w:r>
      </w:hyperlink>
      <w:r>
        <w:rPr>
          <w:sz w:val="18"/>
          <w:vertAlign w:val="baseline"/>
        </w:rPr>
        <w:t> </w:t>
      </w:r>
      <w:r>
        <w:rPr>
          <w:spacing w:val="-2"/>
          <w:sz w:val="18"/>
          <w:vertAlign w:val="baseline"/>
        </w:rPr>
        <w:t>shortage-in-massachusetts.</w:t>
      </w:r>
    </w:p>
    <w:p>
      <w:pPr>
        <w:spacing w:before="1"/>
        <w:ind w:left="464" w:right="601" w:firstLine="0"/>
        <w:jc w:val="left"/>
        <w:rPr>
          <w:sz w:val="18"/>
        </w:rPr>
      </w:pPr>
      <w:bookmarkStart w:name="_bookmark559" w:id="854"/>
      <w:bookmarkEnd w:id="854"/>
      <w:r>
        <w:rPr/>
      </w:r>
      <w:r>
        <w:rPr>
          <w:sz w:val="18"/>
          <w:vertAlign w:val="superscript"/>
        </w:rPr>
        <w:t>5</w:t>
      </w:r>
      <w:r>
        <w:rPr>
          <w:sz w:val="18"/>
          <w:vertAlign w:val="baseline"/>
        </w:rPr>
        <w:t> Rubin, Jerry and Ayanna Warrington. “Addressing the Labor Shortage in Massachusetts: Engaging Untapped Talent.” Harvard:</w:t>
      </w:r>
      <w:r>
        <w:rPr>
          <w:spacing w:val="-5"/>
          <w:sz w:val="18"/>
          <w:vertAlign w:val="baseline"/>
        </w:rPr>
        <w:t> </w:t>
      </w:r>
      <w:r>
        <w:rPr>
          <w:sz w:val="18"/>
          <w:vertAlign w:val="baseline"/>
        </w:rPr>
        <w:t>The</w:t>
      </w:r>
      <w:r>
        <w:rPr>
          <w:spacing w:val="-5"/>
          <w:sz w:val="18"/>
          <w:vertAlign w:val="baseline"/>
        </w:rPr>
        <w:t> </w:t>
      </w:r>
      <w:r>
        <w:rPr>
          <w:sz w:val="18"/>
          <w:vertAlign w:val="baseline"/>
        </w:rPr>
        <w:t>Project</w:t>
      </w:r>
      <w:r>
        <w:rPr>
          <w:spacing w:val="-6"/>
          <w:sz w:val="18"/>
          <w:vertAlign w:val="baseline"/>
        </w:rPr>
        <w:t> </w:t>
      </w:r>
      <w:r>
        <w:rPr>
          <w:sz w:val="18"/>
          <w:vertAlign w:val="baseline"/>
        </w:rPr>
        <w:t>on</w:t>
      </w:r>
      <w:r>
        <w:rPr>
          <w:spacing w:val="-5"/>
          <w:sz w:val="18"/>
          <w:vertAlign w:val="baseline"/>
        </w:rPr>
        <w:t> </w:t>
      </w:r>
      <w:r>
        <w:rPr>
          <w:sz w:val="18"/>
          <w:vertAlign w:val="baseline"/>
        </w:rPr>
        <w:t>Workforce</w:t>
      </w:r>
      <w:r>
        <w:rPr>
          <w:spacing w:val="-5"/>
          <w:sz w:val="18"/>
          <w:vertAlign w:val="baseline"/>
        </w:rPr>
        <w:t> </w:t>
      </w:r>
      <w:r>
        <w:rPr>
          <w:sz w:val="18"/>
          <w:vertAlign w:val="baseline"/>
        </w:rPr>
        <w:t>(September</w:t>
      </w:r>
      <w:r>
        <w:rPr>
          <w:spacing w:val="-6"/>
          <w:sz w:val="18"/>
          <w:vertAlign w:val="baseline"/>
        </w:rPr>
        <w:t> </w:t>
      </w:r>
      <w:r>
        <w:rPr>
          <w:sz w:val="18"/>
          <w:vertAlign w:val="baseline"/>
        </w:rPr>
        <w:t>5,</w:t>
      </w:r>
      <w:r>
        <w:rPr>
          <w:spacing w:val="-6"/>
          <w:sz w:val="18"/>
          <w:vertAlign w:val="baseline"/>
        </w:rPr>
        <w:t> </w:t>
      </w:r>
      <w:r>
        <w:rPr>
          <w:sz w:val="18"/>
          <w:vertAlign w:val="baseline"/>
        </w:rPr>
        <w:t>2023).</w:t>
      </w:r>
      <w:r>
        <w:rPr>
          <w:spacing w:val="-5"/>
          <w:sz w:val="18"/>
          <w:vertAlign w:val="baseline"/>
        </w:rPr>
        <w:t> </w:t>
      </w:r>
      <w:r>
        <w:rPr>
          <w:sz w:val="18"/>
          <w:vertAlign w:val="baseline"/>
        </w:rPr>
        <w:t>https:</w:t>
      </w:r>
      <w:hyperlink r:id="rId657">
        <w:r>
          <w:rPr>
            <w:sz w:val="18"/>
            <w:vertAlign w:val="baseline"/>
          </w:rPr>
          <w:t>//www.pw.hks.harvard.edu/post/addressing-the-labor-</w:t>
        </w:r>
      </w:hyperlink>
      <w:r>
        <w:rPr>
          <w:sz w:val="18"/>
          <w:vertAlign w:val="baseline"/>
        </w:rPr>
        <w:t> </w:t>
      </w:r>
      <w:r>
        <w:rPr>
          <w:spacing w:val="-2"/>
          <w:sz w:val="18"/>
          <w:vertAlign w:val="baseline"/>
        </w:rPr>
        <w:t>shortage-in-massachusetts.</w:t>
      </w:r>
    </w:p>
    <w:p>
      <w:pPr>
        <w:spacing w:before="0"/>
        <w:ind w:left="464" w:right="353" w:firstLine="0"/>
        <w:jc w:val="left"/>
        <w:rPr>
          <w:sz w:val="18"/>
        </w:rPr>
      </w:pPr>
      <w:bookmarkStart w:name="_bookmark560" w:id="855"/>
      <w:bookmarkEnd w:id="855"/>
      <w:r>
        <w:rPr/>
      </w:r>
      <w:r>
        <w:rPr>
          <w:sz w:val="18"/>
          <w:vertAlign w:val="superscript"/>
        </w:rPr>
        <w:t>6</w:t>
      </w:r>
      <w:r>
        <w:rPr>
          <w:spacing w:val="-2"/>
          <w:sz w:val="18"/>
          <w:vertAlign w:val="baseline"/>
        </w:rPr>
        <w:t> </w:t>
      </w:r>
      <w:r>
        <w:rPr>
          <w:sz w:val="18"/>
          <w:vertAlign w:val="baseline"/>
        </w:rPr>
        <w:t>Hill,</w:t>
      </w:r>
      <w:r>
        <w:rPr>
          <w:spacing w:val="-3"/>
          <w:sz w:val="18"/>
          <w:vertAlign w:val="baseline"/>
        </w:rPr>
        <w:t> </w:t>
      </w:r>
      <w:r>
        <w:rPr>
          <w:sz w:val="18"/>
          <w:vertAlign w:val="baseline"/>
        </w:rPr>
        <w:t>Brandon</w:t>
      </w:r>
      <w:r>
        <w:rPr>
          <w:spacing w:val="-2"/>
          <w:sz w:val="18"/>
          <w:vertAlign w:val="baseline"/>
        </w:rPr>
        <w:t> </w:t>
      </w:r>
      <w:r>
        <w:rPr>
          <w:sz w:val="18"/>
          <w:vertAlign w:val="baseline"/>
        </w:rPr>
        <w:t>J.,</w:t>
      </w:r>
      <w:r>
        <w:rPr>
          <w:spacing w:val="-3"/>
          <w:sz w:val="18"/>
          <w:vertAlign w:val="baseline"/>
        </w:rPr>
        <w:t> </w:t>
      </w:r>
      <w:r>
        <w:rPr>
          <w:sz w:val="18"/>
          <w:vertAlign w:val="baseline"/>
        </w:rPr>
        <w:t>Darnell</w:t>
      </w:r>
      <w:r>
        <w:rPr>
          <w:spacing w:val="-3"/>
          <w:sz w:val="18"/>
          <w:vertAlign w:val="baseline"/>
        </w:rPr>
        <w:t> </w:t>
      </w:r>
      <w:r>
        <w:rPr>
          <w:sz w:val="18"/>
          <w:vertAlign w:val="baseline"/>
        </w:rPr>
        <w:t>N.</w:t>
      </w:r>
      <w:r>
        <w:rPr>
          <w:spacing w:val="-2"/>
          <w:sz w:val="18"/>
          <w:vertAlign w:val="baseline"/>
        </w:rPr>
        <w:t> </w:t>
      </w:r>
      <w:r>
        <w:rPr>
          <w:sz w:val="18"/>
          <w:vertAlign w:val="baseline"/>
        </w:rPr>
        <w:t>Motley,</w:t>
      </w:r>
      <w:r>
        <w:rPr>
          <w:spacing w:val="-3"/>
          <w:sz w:val="18"/>
          <w:vertAlign w:val="baseline"/>
        </w:rPr>
        <w:t> </w:t>
      </w:r>
      <w:r>
        <w:rPr>
          <w:sz w:val="18"/>
          <w:vertAlign w:val="baseline"/>
        </w:rPr>
        <w:t>Kris</w:t>
      </w:r>
      <w:r>
        <w:rPr>
          <w:spacing w:val="-2"/>
          <w:sz w:val="18"/>
          <w:vertAlign w:val="baseline"/>
        </w:rPr>
        <w:t> </w:t>
      </w:r>
      <w:r>
        <w:rPr>
          <w:sz w:val="18"/>
          <w:vertAlign w:val="baseline"/>
        </w:rPr>
        <w:t>Rosentel,</w:t>
      </w:r>
      <w:r>
        <w:rPr>
          <w:spacing w:val="-2"/>
          <w:sz w:val="18"/>
          <w:vertAlign w:val="baseline"/>
        </w:rPr>
        <w:t> </w:t>
      </w:r>
      <w:r>
        <w:rPr>
          <w:sz w:val="18"/>
          <w:vertAlign w:val="baseline"/>
        </w:rPr>
        <w:t>Alicia</w:t>
      </w:r>
      <w:r>
        <w:rPr>
          <w:spacing w:val="-2"/>
          <w:sz w:val="18"/>
          <w:vertAlign w:val="baseline"/>
        </w:rPr>
        <w:t> </w:t>
      </w:r>
      <w:r>
        <w:rPr>
          <w:sz w:val="18"/>
          <w:vertAlign w:val="baseline"/>
        </w:rPr>
        <w:t>VandeVusse,</w:t>
      </w:r>
      <w:r>
        <w:rPr>
          <w:spacing w:val="-3"/>
          <w:sz w:val="18"/>
          <w:vertAlign w:val="baseline"/>
        </w:rPr>
        <w:t> </w:t>
      </w:r>
      <w:r>
        <w:rPr>
          <w:sz w:val="18"/>
          <w:vertAlign w:val="baseline"/>
        </w:rPr>
        <w:t>Robert</w:t>
      </w:r>
      <w:r>
        <w:rPr>
          <w:spacing w:val="-3"/>
          <w:sz w:val="18"/>
          <w:vertAlign w:val="baseline"/>
        </w:rPr>
        <w:t> </w:t>
      </w:r>
      <w:r>
        <w:rPr>
          <w:sz w:val="18"/>
          <w:vertAlign w:val="baseline"/>
        </w:rPr>
        <w:t>Garofalo,</w:t>
      </w:r>
      <w:r>
        <w:rPr>
          <w:spacing w:val="-3"/>
          <w:sz w:val="18"/>
          <w:vertAlign w:val="baseline"/>
        </w:rPr>
        <w:t> </w:t>
      </w:r>
      <w:r>
        <w:rPr>
          <w:sz w:val="18"/>
          <w:vertAlign w:val="baseline"/>
        </w:rPr>
        <w:t>Lisa</w:t>
      </w:r>
      <w:r>
        <w:rPr>
          <w:spacing w:val="-2"/>
          <w:sz w:val="18"/>
          <w:vertAlign w:val="baseline"/>
        </w:rPr>
        <w:t> </w:t>
      </w:r>
      <w:r>
        <w:rPr>
          <w:sz w:val="18"/>
          <w:vertAlign w:val="baseline"/>
        </w:rPr>
        <w:t>M.</w:t>
      </w:r>
      <w:r>
        <w:rPr>
          <w:spacing w:val="-2"/>
          <w:sz w:val="18"/>
          <w:vertAlign w:val="baseline"/>
        </w:rPr>
        <w:t> </w:t>
      </w:r>
      <w:r>
        <w:rPr>
          <w:sz w:val="18"/>
          <w:vertAlign w:val="baseline"/>
        </w:rPr>
        <w:t>Kuhns,</w:t>
      </w:r>
      <w:r>
        <w:rPr>
          <w:spacing w:val="-3"/>
          <w:sz w:val="18"/>
          <w:vertAlign w:val="baseline"/>
        </w:rPr>
        <w:t> </w:t>
      </w:r>
      <w:r>
        <w:rPr>
          <w:sz w:val="18"/>
          <w:vertAlign w:val="baseline"/>
        </w:rPr>
        <w:t>Michele</w:t>
      </w:r>
      <w:r>
        <w:rPr>
          <w:spacing w:val="-2"/>
          <w:sz w:val="18"/>
          <w:vertAlign w:val="baseline"/>
        </w:rPr>
        <w:t> </w:t>
      </w:r>
      <w:r>
        <w:rPr>
          <w:sz w:val="18"/>
          <w:vertAlign w:val="baseline"/>
        </w:rPr>
        <w:t>D.</w:t>
      </w:r>
      <w:r>
        <w:rPr>
          <w:spacing w:val="-2"/>
          <w:sz w:val="18"/>
          <w:vertAlign w:val="baseline"/>
        </w:rPr>
        <w:t> </w:t>
      </w:r>
      <w:r>
        <w:rPr>
          <w:sz w:val="18"/>
          <w:vertAlign w:val="baseline"/>
        </w:rPr>
        <w:t>Kipke,</w:t>
      </w:r>
      <w:r>
        <w:rPr>
          <w:spacing w:val="-3"/>
          <w:sz w:val="18"/>
          <w:vertAlign w:val="baseline"/>
        </w:rPr>
        <w:t> </w:t>
      </w:r>
      <w:r>
        <w:rPr>
          <w:sz w:val="18"/>
          <w:vertAlign w:val="baseline"/>
        </w:rPr>
        <w:t>et al. “Work2Prevent, an Employment Intervention Program as HIV</w:t>
      </w:r>
      <w:r>
        <w:rPr>
          <w:spacing w:val="-1"/>
          <w:sz w:val="18"/>
          <w:vertAlign w:val="baseline"/>
        </w:rPr>
        <w:t> </w:t>
      </w:r>
      <w:r>
        <w:rPr>
          <w:sz w:val="18"/>
          <w:vertAlign w:val="baseline"/>
        </w:rPr>
        <w:t>Prevention for Young Men Who</w:t>
      </w:r>
      <w:r>
        <w:rPr>
          <w:spacing w:val="-1"/>
          <w:sz w:val="18"/>
          <w:vertAlign w:val="baseline"/>
        </w:rPr>
        <w:t> </w:t>
      </w:r>
      <w:r>
        <w:rPr>
          <w:sz w:val="18"/>
          <w:vertAlign w:val="baseline"/>
        </w:rPr>
        <w:t>Have Sex With Men and Transgender Youth of Color (Phase 3): Protocol for a Single-Arm Community-Based Trial to Assess Feasibility and Acceptability in a Real-World Setting.” JMIR Research Protocols 9, no. 9 (September 11, 2020): e18051. </w:t>
      </w:r>
      <w:r>
        <w:rPr>
          <w:spacing w:val="-2"/>
          <w:sz w:val="18"/>
          <w:vertAlign w:val="baseline"/>
        </w:rPr>
        <w:t>https://doi.org/10.2196/18051.</w:t>
      </w:r>
    </w:p>
    <w:p>
      <w:pPr>
        <w:spacing w:before="0"/>
        <w:ind w:left="464" w:right="0" w:firstLine="0"/>
        <w:jc w:val="left"/>
        <w:rPr>
          <w:sz w:val="18"/>
        </w:rPr>
      </w:pPr>
      <w:bookmarkStart w:name="_bookmark561" w:id="856"/>
      <w:bookmarkEnd w:id="856"/>
      <w:r>
        <w:rPr/>
      </w:r>
      <w:r>
        <w:rPr>
          <w:sz w:val="18"/>
          <w:vertAlign w:val="superscript"/>
        </w:rPr>
        <w:t>7</w:t>
      </w:r>
      <w:r>
        <w:rPr>
          <w:spacing w:val="-5"/>
          <w:sz w:val="18"/>
          <w:vertAlign w:val="baseline"/>
        </w:rPr>
        <w:t> </w:t>
      </w:r>
      <w:r>
        <w:rPr>
          <w:sz w:val="18"/>
          <w:vertAlign w:val="baseline"/>
        </w:rPr>
        <w:t>Stanton,</w:t>
      </w:r>
      <w:r>
        <w:rPr>
          <w:spacing w:val="-3"/>
          <w:sz w:val="18"/>
          <w:vertAlign w:val="baseline"/>
        </w:rPr>
        <w:t> </w:t>
      </w:r>
      <w:r>
        <w:rPr>
          <w:sz w:val="18"/>
          <w:vertAlign w:val="baseline"/>
        </w:rPr>
        <w:t>Ivy.</w:t>
      </w:r>
      <w:r>
        <w:rPr>
          <w:spacing w:val="-3"/>
          <w:sz w:val="18"/>
          <w:vertAlign w:val="baseline"/>
        </w:rPr>
        <w:t> </w:t>
      </w:r>
      <w:r>
        <w:rPr>
          <w:sz w:val="18"/>
          <w:vertAlign w:val="baseline"/>
        </w:rPr>
        <w:t>“Hiring</w:t>
      </w:r>
      <w:r>
        <w:rPr>
          <w:spacing w:val="-3"/>
          <w:sz w:val="18"/>
          <w:vertAlign w:val="baseline"/>
        </w:rPr>
        <w:t> </w:t>
      </w:r>
      <w:r>
        <w:rPr>
          <w:sz w:val="18"/>
          <w:vertAlign w:val="baseline"/>
        </w:rPr>
        <w:t>Discrimination</w:t>
      </w:r>
      <w:r>
        <w:rPr>
          <w:spacing w:val="-2"/>
          <w:sz w:val="18"/>
          <w:vertAlign w:val="baseline"/>
        </w:rPr>
        <w:t> </w:t>
      </w:r>
      <w:r>
        <w:rPr>
          <w:sz w:val="18"/>
          <w:vertAlign w:val="baseline"/>
        </w:rPr>
        <w:t>against</w:t>
      </w:r>
      <w:r>
        <w:rPr>
          <w:spacing w:val="-3"/>
          <w:sz w:val="18"/>
          <w:vertAlign w:val="baseline"/>
        </w:rPr>
        <w:t> </w:t>
      </w:r>
      <w:r>
        <w:rPr>
          <w:sz w:val="18"/>
          <w:vertAlign w:val="baseline"/>
        </w:rPr>
        <w:t>Transgender</w:t>
      </w:r>
      <w:r>
        <w:rPr>
          <w:spacing w:val="-4"/>
          <w:sz w:val="18"/>
          <w:vertAlign w:val="baseline"/>
        </w:rPr>
        <w:t> </w:t>
      </w:r>
      <w:r>
        <w:rPr>
          <w:sz w:val="18"/>
          <w:vertAlign w:val="baseline"/>
        </w:rPr>
        <w:t>Individuals</w:t>
      </w:r>
      <w:r>
        <w:rPr>
          <w:spacing w:val="-2"/>
          <w:sz w:val="18"/>
          <w:vertAlign w:val="baseline"/>
        </w:rPr>
        <w:t> </w:t>
      </w:r>
      <w:r>
        <w:rPr>
          <w:sz w:val="18"/>
          <w:vertAlign w:val="baseline"/>
        </w:rPr>
        <w:t>in</w:t>
      </w:r>
      <w:r>
        <w:rPr>
          <w:spacing w:val="-3"/>
          <w:sz w:val="18"/>
          <w:vertAlign w:val="baseline"/>
        </w:rPr>
        <w:t> </w:t>
      </w:r>
      <w:r>
        <w:rPr>
          <w:sz w:val="18"/>
          <w:vertAlign w:val="baseline"/>
        </w:rPr>
        <w:t>the</w:t>
      </w:r>
      <w:r>
        <w:rPr>
          <w:spacing w:val="-3"/>
          <w:sz w:val="18"/>
          <w:vertAlign w:val="baseline"/>
        </w:rPr>
        <w:t> </w:t>
      </w:r>
      <w:r>
        <w:rPr>
          <w:sz w:val="18"/>
          <w:vertAlign w:val="baseline"/>
        </w:rPr>
        <w:t>US</w:t>
      </w:r>
      <w:r>
        <w:rPr>
          <w:spacing w:val="-2"/>
          <w:sz w:val="18"/>
          <w:vertAlign w:val="baseline"/>
        </w:rPr>
        <w:t> </w:t>
      </w:r>
      <w:r>
        <w:rPr>
          <w:sz w:val="18"/>
          <w:vertAlign w:val="baseline"/>
        </w:rPr>
        <w:t>Labor</w:t>
      </w:r>
      <w:r>
        <w:rPr>
          <w:spacing w:val="-4"/>
          <w:sz w:val="18"/>
          <w:vertAlign w:val="baseline"/>
        </w:rPr>
        <w:t> </w:t>
      </w:r>
      <w:r>
        <w:rPr>
          <w:sz w:val="18"/>
          <w:vertAlign w:val="baseline"/>
        </w:rPr>
        <w:t>Market.”</w:t>
      </w:r>
      <w:r>
        <w:rPr>
          <w:spacing w:val="-2"/>
          <w:sz w:val="18"/>
          <w:vertAlign w:val="baseline"/>
        </w:rPr>
        <w:t> </w:t>
      </w:r>
      <w:r>
        <w:rPr>
          <w:sz w:val="18"/>
          <w:vertAlign w:val="baseline"/>
        </w:rPr>
        <w:t>(April</w:t>
      </w:r>
      <w:r>
        <w:rPr>
          <w:spacing w:val="-3"/>
          <w:sz w:val="18"/>
          <w:vertAlign w:val="baseline"/>
        </w:rPr>
        <w:t> </w:t>
      </w:r>
      <w:r>
        <w:rPr>
          <w:spacing w:val="-2"/>
          <w:sz w:val="18"/>
          <w:vertAlign w:val="baseline"/>
        </w:rPr>
        <w:t>2023).</w:t>
      </w:r>
    </w:p>
    <w:p>
      <w:pPr>
        <w:spacing w:before="0"/>
        <w:ind w:left="464" w:right="0" w:firstLine="0"/>
        <w:jc w:val="left"/>
        <w:rPr>
          <w:sz w:val="18"/>
        </w:rPr>
      </w:pPr>
      <w:bookmarkStart w:name="_bookmark562" w:id="857"/>
      <w:bookmarkEnd w:id="857"/>
      <w:r>
        <w:rPr/>
      </w:r>
      <w:r>
        <w:rPr>
          <w:sz w:val="18"/>
          <w:vertAlign w:val="superscript"/>
        </w:rPr>
        <w:t>8</w:t>
      </w:r>
      <w:r>
        <w:rPr>
          <w:spacing w:val="-2"/>
          <w:sz w:val="18"/>
          <w:vertAlign w:val="baseline"/>
        </w:rPr>
        <w:t> </w:t>
      </w:r>
      <w:r>
        <w:rPr>
          <w:sz w:val="18"/>
          <w:vertAlign w:val="baseline"/>
        </w:rPr>
        <w:t>Eames,</w:t>
      </w:r>
      <w:r>
        <w:rPr>
          <w:spacing w:val="-3"/>
          <w:sz w:val="18"/>
          <w:vertAlign w:val="baseline"/>
        </w:rPr>
        <w:t> </w:t>
      </w:r>
      <w:r>
        <w:rPr>
          <w:sz w:val="18"/>
          <w:vertAlign w:val="baseline"/>
        </w:rPr>
        <w:t>Taryn.</w:t>
      </w:r>
      <w:r>
        <w:rPr>
          <w:spacing w:val="-2"/>
          <w:sz w:val="18"/>
          <w:vertAlign w:val="baseline"/>
        </w:rPr>
        <w:t> </w:t>
      </w:r>
      <w:r>
        <w:rPr>
          <w:sz w:val="18"/>
          <w:vertAlign w:val="baseline"/>
        </w:rPr>
        <w:t>“Taryn</w:t>
      </w:r>
      <w:r>
        <w:rPr>
          <w:spacing w:val="-2"/>
          <w:sz w:val="18"/>
          <w:vertAlign w:val="baseline"/>
        </w:rPr>
        <w:t> </w:t>
      </w:r>
      <w:r>
        <w:rPr>
          <w:sz w:val="18"/>
          <w:vertAlign w:val="baseline"/>
        </w:rPr>
        <w:t>versus</w:t>
      </w:r>
      <w:r>
        <w:rPr>
          <w:spacing w:val="-2"/>
          <w:sz w:val="18"/>
          <w:vertAlign w:val="baseline"/>
        </w:rPr>
        <w:t> </w:t>
      </w:r>
      <w:r>
        <w:rPr>
          <w:sz w:val="18"/>
          <w:vertAlign w:val="baseline"/>
        </w:rPr>
        <w:t>Taryn</w:t>
      </w:r>
      <w:r>
        <w:rPr>
          <w:spacing w:val="-2"/>
          <w:sz w:val="18"/>
          <w:vertAlign w:val="baseline"/>
        </w:rPr>
        <w:t> </w:t>
      </w:r>
      <w:r>
        <w:rPr>
          <w:sz w:val="18"/>
          <w:vertAlign w:val="baseline"/>
        </w:rPr>
        <w:t>(she/her)</w:t>
      </w:r>
      <w:r>
        <w:rPr>
          <w:spacing w:val="-2"/>
          <w:sz w:val="18"/>
          <w:vertAlign w:val="baseline"/>
        </w:rPr>
        <w:t> </w:t>
      </w:r>
      <w:r>
        <w:rPr>
          <w:sz w:val="18"/>
          <w:vertAlign w:val="baseline"/>
        </w:rPr>
        <w:t>versus</w:t>
      </w:r>
      <w:r>
        <w:rPr>
          <w:spacing w:val="-2"/>
          <w:sz w:val="18"/>
          <w:vertAlign w:val="baseline"/>
        </w:rPr>
        <w:t> </w:t>
      </w:r>
      <w:r>
        <w:rPr>
          <w:sz w:val="18"/>
          <w:vertAlign w:val="baseline"/>
        </w:rPr>
        <w:t>Taryn</w:t>
      </w:r>
      <w:r>
        <w:rPr>
          <w:spacing w:val="-3"/>
          <w:sz w:val="18"/>
          <w:vertAlign w:val="baseline"/>
        </w:rPr>
        <w:t> </w:t>
      </w:r>
      <w:r>
        <w:rPr>
          <w:sz w:val="18"/>
          <w:vertAlign w:val="baseline"/>
        </w:rPr>
        <w:t>(they/them):</w:t>
      </w:r>
      <w:r>
        <w:rPr>
          <w:spacing w:val="-2"/>
          <w:sz w:val="18"/>
          <w:vertAlign w:val="baseline"/>
        </w:rPr>
        <w:t> </w:t>
      </w:r>
      <w:r>
        <w:rPr>
          <w:sz w:val="18"/>
          <w:vertAlign w:val="baseline"/>
        </w:rPr>
        <w:t>A</w:t>
      </w:r>
      <w:r>
        <w:rPr>
          <w:spacing w:val="-2"/>
          <w:sz w:val="18"/>
          <w:vertAlign w:val="baseline"/>
        </w:rPr>
        <w:t> </w:t>
      </w:r>
      <w:r>
        <w:rPr>
          <w:sz w:val="18"/>
          <w:vertAlign w:val="baseline"/>
        </w:rPr>
        <w:t>Field</w:t>
      </w:r>
      <w:r>
        <w:rPr>
          <w:spacing w:val="-2"/>
          <w:sz w:val="18"/>
          <w:vertAlign w:val="baseline"/>
        </w:rPr>
        <w:t> </w:t>
      </w:r>
      <w:r>
        <w:rPr>
          <w:sz w:val="18"/>
          <w:vertAlign w:val="baseline"/>
        </w:rPr>
        <w:t>Experiment</w:t>
      </w:r>
      <w:r>
        <w:rPr>
          <w:spacing w:val="-3"/>
          <w:sz w:val="18"/>
          <w:vertAlign w:val="baseline"/>
        </w:rPr>
        <w:t> </w:t>
      </w:r>
      <w:r>
        <w:rPr>
          <w:sz w:val="18"/>
          <w:vertAlign w:val="baseline"/>
        </w:rPr>
        <w:t>on</w:t>
      </w:r>
      <w:r>
        <w:rPr>
          <w:spacing w:val="-2"/>
          <w:sz w:val="18"/>
          <w:vertAlign w:val="baseline"/>
        </w:rPr>
        <w:t> </w:t>
      </w:r>
      <w:r>
        <w:rPr>
          <w:sz w:val="18"/>
          <w:vertAlign w:val="baseline"/>
        </w:rPr>
        <w:t>Pronoun</w:t>
      </w:r>
      <w:r>
        <w:rPr>
          <w:spacing w:val="-2"/>
          <w:sz w:val="18"/>
          <w:vertAlign w:val="baseline"/>
        </w:rPr>
        <w:t> </w:t>
      </w:r>
      <w:r>
        <w:rPr>
          <w:sz w:val="18"/>
          <w:vertAlign w:val="baseline"/>
        </w:rPr>
        <w:t>Disclosure</w:t>
      </w:r>
      <w:r>
        <w:rPr>
          <w:spacing w:val="-2"/>
          <w:sz w:val="18"/>
          <w:vertAlign w:val="baseline"/>
        </w:rPr>
        <w:t> </w:t>
      </w:r>
      <w:r>
        <w:rPr>
          <w:sz w:val="18"/>
          <w:vertAlign w:val="baseline"/>
        </w:rPr>
        <w:t>and Nonbinary Hiring Discrimination” (January 14, 2024). </w:t>
      </w:r>
      <w:hyperlink r:id="rId658">
        <w:r>
          <w:rPr>
            <w:sz w:val="18"/>
            <w:vertAlign w:val="baseline"/>
          </w:rPr>
          <w:t>http://dx.doi.org/10.2139/ssrn.4694653.</w:t>
        </w:r>
      </w:hyperlink>
    </w:p>
    <w:p>
      <w:pPr>
        <w:spacing w:before="0"/>
        <w:ind w:left="464" w:right="249" w:hanging="1"/>
        <w:jc w:val="left"/>
        <w:rPr>
          <w:sz w:val="18"/>
        </w:rPr>
      </w:pPr>
      <w:bookmarkStart w:name="_bookmark563" w:id="858"/>
      <w:bookmarkEnd w:id="858"/>
      <w:r>
        <w:rPr/>
      </w:r>
      <w:r>
        <w:rPr>
          <w:sz w:val="18"/>
          <w:vertAlign w:val="superscript"/>
        </w:rPr>
        <w:t>9</w:t>
      </w:r>
      <w:r>
        <w:rPr>
          <w:spacing w:val="-3"/>
          <w:sz w:val="18"/>
          <w:vertAlign w:val="baseline"/>
        </w:rPr>
        <w:t> </w:t>
      </w:r>
      <w:r>
        <w:rPr>
          <w:sz w:val="18"/>
          <w:vertAlign w:val="baseline"/>
        </w:rPr>
        <w:t>Abel,</w:t>
      </w:r>
      <w:r>
        <w:rPr>
          <w:spacing w:val="-4"/>
          <w:sz w:val="18"/>
          <w:vertAlign w:val="baseline"/>
        </w:rPr>
        <w:t> </w:t>
      </w:r>
      <w:r>
        <w:rPr>
          <w:sz w:val="18"/>
          <w:vertAlign w:val="baseline"/>
        </w:rPr>
        <w:t>Martin,</w:t>
      </w:r>
      <w:r>
        <w:rPr>
          <w:spacing w:val="-4"/>
          <w:sz w:val="18"/>
          <w:vertAlign w:val="baseline"/>
        </w:rPr>
        <w:t> </w:t>
      </w:r>
      <w:r>
        <w:rPr>
          <w:sz w:val="18"/>
          <w:vertAlign w:val="baseline"/>
        </w:rPr>
        <w:t>and</w:t>
      </w:r>
      <w:r>
        <w:rPr>
          <w:spacing w:val="-3"/>
          <w:sz w:val="18"/>
          <w:vertAlign w:val="baseline"/>
        </w:rPr>
        <w:t> </w:t>
      </w:r>
      <w:r>
        <w:rPr>
          <w:sz w:val="18"/>
          <w:vertAlign w:val="baseline"/>
        </w:rPr>
        <w:t>Rulof</w:t>
      </w:r>
      <w:r>
        <w:rPr>
          <w:spacing w:val="-3"/>
          <w:sz w:val="18"/>
          <w:vertAlign w:val="baseline"/>
        </w:rPr>
        <w:t> </w:t>
      </w:r>
      <w:r>
        <w:rPr>
          <w:sz w:val="18"/>
          <w:vertAlign w:val="baseline"/>
        </w:rPr>
        <w:t>Burger.</w:t>
      </w:r>
      <w:r>
        <w:rPr>
          <w:spacing w:val="-3"/>
          <w:sz w:val="18"/>
          <w:vertAlign w:val="baseline"/>
        </w:rPr>
        <w:t> </w:t>
      </w:r>
      <w:r>
        <w:rPr>
          <w:sz w:val="18"/>
          <w:vertAlign w:val="baseline"/>
        </w:rPr>
        <w:t>“Unpacking</w:t>
      </w:r>
      <w:r>
        <w:rPr>
          <w:spacing w:val="-3"/>
          <w:sz w:val="18"/>
          <w:vertAlign w:val="baseline"/>
        </w:rPr>
        <w:t> </w:t>
      </w:r>
      <w:r>
        <w:rPr>
          <w:sz w:val="18"/>
          <w:vertAlign w:val="baseline"/>
        </w:rPr>
        <w:t>Name-Based</w:t>
      </w:r>
      <w:r>
        <w:rPr>
          <w:spacing w:val="-3"/>
          <w:sz w:val="18"/>
          <w:vertAlign w:val="baseline"/>
        </w:rPr>
        <w:t> </w:t>
      </w:r>
      <w:r>
        <w:rPr>
          <w:sz w:val="18"/>
          <w:vertAlign w:val="baseline"/>
        </w:rPr>
        <w:t>Race</w:t>
      </w:r>
      <w:r>
        <w:rPr>
          <w:spacing w:val="-3"/>
          <w:sz w:val="18"/>
          <w:vertAlign w:val="baseline"/>
        </w:rPr>
        <w:t> </w:t>
      </w:r>
      <w:r>
        <w:rPr>
          <w:sz w:val="18"/>
          <w:vertAlign w:val="baseline"/>
        </w:rPr>
        <w:t>Discrimination.”</w:t>
      </w:r>
      <w:r>
        <w:rPr>
          <w:spacing w:val="-3"/>
          <w:sz w:val="18"/>
          <w:vertAlign w:val="baseline"/>
        </w:rPr>
        <w:t> </w:t>
      </w:r>
      <w:r>
        <w:rPr>
          <w:sz w:val="18"/>
          <w:vertAlign w:val="baseline"/>
        </w:rPr>
        <w:t>SSRN,</w:t>
      </w:r>
      <w:r>
        <w:rPr>
          <w:spacing w:val="-4"/>
          <w:sz w:val="18"/>
          <w:vertAlign w:val="baseline"/>
        </w:rPr>
        <w:t> </w:t>
      </w:r>
      <w:r>
        <w:rPr>
          <w:sz w:val="18"/>
          <w:vertAlign w:val="baseline"/>
        </w:rPr>
        <w:t>IZA</w:t>
      </w:r>
      <w:r>
        <w:rPr>
          <w:spacing w:val="-3"/>
          <w:sz w:val="18"/>
          <w:vertAlign w:val="baseline"/>
        </w:rPr>
        <w:t> </w:t>
      </w:r>
      <w:r>
        <w:rPr>
          <w:sz w:val="18"/>
          <w:vertAlign w:val="baseline"/>
        </w:rPr>
        <w:t>Institute</w:t>
      </w:r>
      <w:r>
        <w:rPr>
          <w:spacing w:val="-3"/>
          <w:sz w:val="18"/>
          <w:vertAlign w:val="baseline"/>
        </w:rPr>
        <w:t> </w:t>
      </w:r>
      <w:r>
        <w:rPr>
          <w:sz w:val="18"/>
          <w:vertAlign w:val="baseline"/>
        </w:rPr>
        <w:t>of</w:t>
      </w:r>
      <w:r>
        <w:rPr>
          <w:spacing w:val="-3"/>
          <w:sz w:val="18"/>
          <w:vertAlign w:val="baseline"/>
        </w:rPr>
        <w:t> </w:t>
      </w:r>
      <w:r>
        <w:rPr>
          <w:sz w:val="18"/>
          <w:vertAlign w:val="baseline"/>
        </w:rPr>
        <w:t>Labor</w:t>
      </w:r>
      <w:r>
        <w:rPr>
          <w:spacing w:val="-4"/>
          <w:sz w:val="18"/>
          <w:vertAlign w:val="baseline"/>
        </w:rPr>
        <w:t> </w:t>
      </w:r>
      <w:r>
        <w:rPr>
          <w:sz w:val="18"/>
          <w:vertAlign w:val="baseline"/>
        </w:rPr>
        <w:t>Economics (June 24, 2023). papers.ssrn.com/sol3/papers.cfm?abstract_id=4490163.</w:t>
      </w:r>
    </w:p>
    <w:p>
      <w:pPr>
        <w:spacing w:before="0"/>
        <w:ind w:left="463" w:right="232" w:firstLine="0"/>
        <w:jc w:val="left"/>
        <w:rPr>
          <w:sz w:val="18"/>
        </w:rPr>
      </w:pPr>
      <w:bookmarkStart w:name="_bookmark564" w:id="859"/>
      <w:bookmarkEnd w:id="859"/>
      <w:r>
        <w:rPr/>
      </w:r>
      <w:r>
        <w:rPr>
          <w:sz w:val="18"/>
          <w:vertAlign w:val="superscript"/>
        </w:rPr>
        <w:t>10</w:t>
      </w:r>
      <w:r>
        <w:rPr>
          <w:spacing w:val="-2"/>
          <w:sz w:val="18"/>
          <w:vertAlign w:val="baseline"/>
        </w:rPr>
        <w:t> </w:t>
      </w:r>
      <w:r>
        <w:rPr>
          <w:sz w:val="18"/>
          <w:vertAlign w:val="baseline"/>
        </w:rPr>
        <w:t>Mills,</w:t>
      </w:r>
      <w:r>
        <w:rPr>
          <w:spacing w:val="-3"/>
          <w:sz w:val="18"/>
          <w:vertAlign w:val="baseline"/>
        </w:rPr>
        <w:t> </w:t>
      </w:r>
      <w:r>
        <w:rPr>
          <w:sz w:val="18"/>
          <w:vertAlign w:val="baseline"/>
        </w:rPr>
        <w:t>Suzanne,</w:t>
      </w:r>
      <w:r>
        <w:rPr>
          <w:spacing w:val="-3"/>
          <w:sz w:val="18"/>
          <w:vertAlign w:val="baseline"/>
        </w:rPr>
        <w:t> </w:t>
      </w:r>
      <w:r>
        <w:rPr>
          <w:sz w:val="18"/>
          <w:vertAlign w:val="baseline"/>
        </w:rPr>
        <w:t>and</w:t>
      </w:r>
      <w:r>
        <w:rPr>
          <w:spacing w:val="-2"/>
          <w:sz w:val="18"/>
          <w:vertAlign w:val="baseline"/>
        </w:rPr>
        <w:t> </w:t>
      </w:r>
      <w:r>
        <w:rPr>
          <w:sz w:val="18"/>
          <w:vertAlign w:val="baseline"/>
        </w:rPr>
        <w:t>Benjamin</w:t>
      </w:r>
      <w:r>
        <w:rPr>
          <w:spacing w:val="-2"/>
          <w:sz w:val="18"/>
          <w:vertAlign w:val="baseline"/>
        </w:rPr>
        <w:t> </w:t>
      </w:r>
      <w:r>
        <w:rPr>
          <w:sz w:val="18"/>
          <w:vertAlign w:val="baseline"/>
        </w:rPr>
        <w:t>Owens.</w:t>
      </w:r>
      <w:r>
        <w:rPr>
          <w:spacing w:val="-2"/>
          <w:sz w:val="18"/>
          <w:vertAlign w:val="baseline"/>
        </w:rPr>
        <w:t> </w:t>
      </w:r>
      <w:r>
        <w:rPr>
          <w:sz w:val="18"/>
          <w:vertAlign w:val="baseline"/>
        </w:rPr>
        <w:t>“Customer</w:t>
      </w:r>
      <w:r>
        <w:rPr>
          <w:spacing w:val="-3"/>
          <w:sz w:val="18"/>
          <w:vertAlign w:val="baseline"/>
        </w:rPr>
        <w:t> </w:t>
      </w:r>
      <w:r>
        <w:rPr>
          <w:sz w:val="18"/>
          <w:vertAlign w:val="baseline"/>
        </w:rPr>
        <w:t>Abuse</w:t>
      </w:r>
      <w:r>
        <w:rPr>
          <w:spacing w:val="-2"/>
          <w:sz w:val="18"/>
          <w:vertAlign w:val="baseline"/>
        </w:rPr>
        <w:t> </w:t>
      </w:r>
      <w:r>
        <w:rPr>
          <w:sz w:val="18"/>
          <w:vertAlign w:val="baseline"/>
        </w:rPr>
        <w:t>and</w:t>
      </w:r>
      <w:r>
        <w:rPr>
          <w:spacing w:val="-2"/>
          <w:sz w:val="18"/>
          <w:vertAlign w:val="baseline"/>
        </w:rPr>
        <w:t> </w:t>
      </w:r>
      <w:r>
        <w:rPr>
          <w:sz w:val="18"/>
          <w:vertAlign w:val="baseline"/>
        </w:rPr>
        <w:t>Aggression</w:t>
      </w:r>
      <w:r>
        <w:rPr>
          <w:spacing w:val="-2"/>
          <w:sz w:val="18"/>
          <w:vertAlign w:val="baseline"/>
        </w:rPr>
        <w:t> </w:t>
      </w:r>
      <w:r>
        <w:rPr>
          <w:sz w:val="18"/>
          <w:vertAlign w:val="baseline"/>
        </w:rPr>
        <w:t>as</w:t>
      </w:r>
      <w:r>
        <w:rPr>
          <w:spacing w:val="-2"/>
          <w:sz w:val="18"/>
          <w:vertAlign w:val="baseline"/>
        </w:rPr>
        <w:t> </w:t>
      </w:r>
      <w:r>
        <w:rPr>
          <w:sz w:val="18"/>
          <w:vertAlign w:val="baseline"/>
        </w:rPr>
        <w:t>Labour</w:t>
      </w:r>
      <w:r>
        <w:rPr>
          <w:spacing w:val="-3"/>
          <w:sz w:val="18"/>
          <w:vertAlign w:val="baseline"/>
        </w:rPr>
        <w:t> </w:t>
      </w:r>
      <w:r>
        <w:rPr>
          <w:sz w:val="18"/>
          <w:vertAlign w:val="baseline"/>
        </w:rPr>
        <w:t>Control</w:t>
      </w:r>
      <w:r>
        <w:rPr>
          <w:spacing w:val="-3"/>
          <w:sz w:val="18"/>
          <w:vertAlign w:val="baseline"/>
        </w:rPr>
        <w:t> </w:t>
      </w:r>
      <w:r>
        <w:rPr>
          <w:sz w:val="18"/>
          <w:vertAlign w:val="baseline"/>
        </w:rPr>
        <w:t>Among</w:t>
      </w:r>
      <w:r>
        <w:rPr>
          <w:spacing w:val="-2"/>
          <w:sz w:val="18"/>
          <w:vertAlign w:val="baseline"/>
        </w:rPr>
        <w:t> </w:t>
      </w:r>
      <w:r>
        <w:rPr>
          <w:sz w:val="18"/>
          <w:vertAlign w:val="baseline"/>
        </w:rPr>
        <w:t>LGBT</w:t>
      </w:r>
      <w:r>
        <w:rPr>
          <w:spacing w:val="-2"/>
          <w:sz w:val="18"/>
          <w:vertAlign w:val="baseline"/>
        </w:rPr>
        <w:t> </w:t>
      </w:r>
      <w:r>
        <w:rPr>
          <w:sz w:val="18"/>
          <w:vertAlign w:val="baseline"/>
        </w:rPr>
        <w:t>Workers</w:t>
      </w:r>
      <w:r>
        <w:rPr>
          <w:spacing w:val="-2"/>
          <w:sz w:val="18"/>
          <w:vertAlign w:val="baseline"/>
        </w:rPr>
        <w:t> </w:t>
      </w:r>
      <w:r>
        <w:rPr>
          <w:sz w:val="18"/>
          <w:vertAlign w:val="baseline"/>
        </w:rPr>
        <w:t>in</w:t>
      </w:r>
      <w:r>
        <w:rPr>
          <w:spacing w:val="-2"/>
          <w:sz w:val="18"/>
          <w:vertAlign w:val="baseline"/>
        </w:rPr>
        <w:t> </w:t>
      </w:r>
      <w:r>
        <w:rPr>
          <w:sz w:val="18"/>
          <w:vertAlign w:val="baseline"/>
        </w:rPr>
        <w:t>Low- Wage Services.” Work, Employment and Society 37, no. 3 (June 1, 2023): 776–93. </w:t>
      </w:r>
      <w:r>
        <w:rPr>
          <w:spacing w:val="-2"/>
          <w:sz w:val="18"/>
          <w:vertAlign w:val="baseline"/>
        </w:rPr>
        <w:t>https://doi.org/10.1177/09500170211045843.</w:t>
      </w:r>
    </w:p>
    <w:p>
      <w:pPr>
        <w:spacing w:before="0"/>
        <w:ind w:left="464" w:right="232" w:hanging="1"/>
        <w:jc w:val="left"/>
        <w:rPr>
          <w:sz w:val="18"/>
        </w:rPr>
      </w:pPr>
      <w:bookmarkStart w:name="_bookmark565" w:id="860"/>
      <w:bookmarkEnd w:id="860"/>
      <w:r>
        <w:rPr/>
      </w:r>
      <w:r>
        <w:rPr>
          <w:sz w:val="18"/>
          <w:vertAlign w:val="superscript"/>
        </w:rPr>
        <w:t>11</w:t>
      </w:r>
      <w:r>
        <w:rPr>
          <w:spacing w:val="-3"/>
          <w:sz w:val="18"/>
          <w:vertAlign w:val="baseline"/>
        </w:rPr>
        <w:t> </w:t>
      </w:r>
      <w:r>
        <w:rPr>
          <w:sz w:val="18"/>
          <w:vertAlign w:val="baseline"/>
        </w:rPr>
        <w:t>Finnigan,</w:t>
      </w:r>
      <w:r>
        <w:rPr>
          <w:spacing w:val="-4"/>
          <w:sz w:val="18"/>
          <w:vertAlign w:val="baseline"/>
        </w:rPr>
        <w:t> </w:t>
      </w:r>
      <w:r>
        <w:rPr>
          <w:sz w:val="18"/>
          <w:vertAlign w:val="baseline"/>
        </w:rPr>
        <w:t>Ryan.</w:t>
      </w:r>
      <w:r>
        <w:rPr>
          <w:spacing w:val="-3"/>
          <w:sz w:val="18"/>
          <w:vertAlign w:val="baseline"/>
        </w:rPr>
        <w:t> </w:t>
      </w:r>
      <w:r>
        <w:rPr>
          <w:sz w:val="18"/>
          <w:vertAlign w:val="baseline"/>
        </w:rPr>
        <w:t>“Rainbow-Collar</w:t>
      </w:r>
      <w:r>
        <w:rPr>
          <w:spacing w:val="-2"/>
          <w:sz w:val="18"/>
          <w:vertAlign w:val="baseline"/>
        </w:rPr>
        <w:t> </w:t>
      </w:r>
      <w:r>
        <w:rPr>
          <w:sz w:val="18"/>
          <w:vertAlign w:val="baseline"/>
        </w:rPr>
        <w:t>Jobs?</w:t>
      </w:r>
      <w:r>
        <w:rPr>
          <w:spacing w:val="-3"/>
          <w:sz w:val="18"/>
          <w:vertAlign w:val="baseline"/>
        </w:rPr>
        <w:t> </w:t>
      </w:r>
      <w:r>
        <w:rPr>
          <w:sz w:val="18"/>
          <w:vertAlign w:val="baseline"/>
        </w:rPr>
        <w:t>Occupational</w:t>
      </w:r>
      <w:r>
        <w:rPr>
          <w:spacing w:val="-4"/>
          <w:sz w:val="18"/>
          <w:vertAlign w:val="baseline"/>
        </w:rPr>
        <w:t> </w:t>
      </w:r>
      <w:r>
        <w:rPr>
          <w:sz w:val="18"/>
          <w:vertAlign w:val="baseline"/>
        </w:rPr>
        <w:t>Segregation</w:t>
      </w:r>
      <w:r>
        <w:rPr>
          <w:spacing w:val="-4"/>
          <w:sz w:val="18"/>
          <w:vertAlign w:val="baseline"/>
        </w:rPr>
        <w:t> </w:t>
      </w:r>
      <w:r>
        <w:rPr>
          <w:sz w:val="18"/>
          <w:vertAlign w:val="baseline"/>
        </w:rPr>
        <w:t>by</w:t>
      </w:r>
      <w:r>
        <w:rPr>
          <w:spacing w:val="-3"/>
          <w:sz w:val="18"/>
          <w:vertAlign w:val="baseline"/>
        </w:rPr>
        <w:t> </w:t>
      </w:r>
      <w:r>
        <w:rPr>
          <w:sz w:val="18"/>
          <w:vertAlign w:val="baseline"/>
        </w:rPr>
        <w:t>Sexual</w:t>
      </w:r>
      <w:r>
        <w:rPr>
          <w:spacing w:val="-4"/>
          <w:sz w:val="18"/>
          <w:vertAlign w:val="baseline"/>
        </w:rPr>
        <w:t> </w:t>
      </w:r>
      <w:r>
        <w:rPr>
          <w:sz w:val="18"/>
          <w:vertAlign w:val="baseline"/>
        </w:rPr>
        <w:t>Orientation</w:t>
      </w:r>
      <w:r>
        <w:rPr>
          <w:spacing w:val="-3"/>
          <w:sz w:val="18"/>
          <w:vertAlign w:val="baseline"/>
        </w:rPr>
        <w:t> </w:t>
      </w:r>
      <w:r>
        <w:rPr>
          <w:sz w:val="18"/>
          <w:vertAlign w:val="baseline"/>
        </w:rPr>
        <w:t>in</w:t>
      </w:r>
      <w:r>
        <w:rPr>
          <w:spacing w:val="-3"/>
          <w:sz w:val="18"/>
          <w:vertAlign w:val="baseline"/>
        </w:rPr>
        <w:t> </w:t>
      </w:r>
      <w:r>
        <w:rPr>
          <w:sz w:val="18"/>
          <w:vertAlign w:val="baseline"/>
        </w:rPr>
        <w:t>the</w:t>
      </w:r>
      <w:r>
        <w:rPr>
          <w:spacing w:val="-3"/>
          <w:sz w:val="18"/>
          <w:vertAlign w:val="baseline"/>
        </w:rPr>
        <w:t> </w:t>
      </w:r>
      <w:r>
        <w:rPr>
          <w:sz w:val="18"/>
          <w:vertAlign w:val="baseline"/>
        </w:rPr>
        <w:t>United</w:t>
      </w:r>
      <w:r>
        <w:rPr>
          <w:spacing w:val="-3"/>
          <w:sz w:val="18"/>
          <w:vertAlign w:val="baseline"/>
        </w:rPr>
        <w:t> </w:t>
      </w:r>
      <w:r>
        <w:rPr>
          <w:sz w:val="18"/>
          <w:vertAlign w:val="baseline"/>
        </w:rPr>
        <w:t>States.”</w:t>
      </w:r>
      <w:r>
        <w:rPr>
          <w:spacing w:val="-4"/>
          <w:sz w:val="18"/>
          <w:vertAlign w:val="baseline"/>
        </w:rPr>
        <w:t> </w:t>
      </w:r>
      <w:r>
        <w:rPr>
          <w:sz w:val="18"/>
          <w:vertAlign w:val="baseline"/>
        </w:rPr>
        <w:t>Socius</w:t>
      </w:r>
      <w:r>
        <w:rPr>
          <w:spacing w:val="-3"/>
          <w:sz w:val="18"/>
          <w:vertAlign w:val="baseline"/>
        </w:rPr>
        <w:t> </w:t>
      </w:r>
      <w:r>
        <w:rPr>
          <w:sz w:val="18"/>
          <w:vertAlign w:val="baseline"/>
        </w:rPr>
        <w:t>6 (January 1, 2020): 2378023120954795. https://doi.org/10.1177/2378023120954795.</w:t>
      </w:r>
    </w:p>
    <w:p>
      <w:pPr>
        <w:spacing w:before="0"/>
        <w:ind w:left="464" w:right="249" w:firstLine="0"/>
        <w:jc w:val="left"/>
        <w:rPr>
          <w:sz w:val="18"/>
        </w:rPr>
      </w:pPr>
      <w:bookmarkStart w:name="_bookmark566" w:id="861"/>
      <w:bookmarkEnd w:id="861"/>
      <w:r>
        <w:rPr/>
      </w:r>
      <w:r>
        <w:rPr>
          <w:sz w:val="18"/>
          <w:vertAlign w:val="superscript"/>
        </w:rPr>
        <w:t>12</w:t>
      </w:r>
      <w:r>
        <w:rPr>
          <w:spacing w:val="-3"/>
          <w:sz w:val="18"/>
          <w:vertAlign w:val="baseline"/>
        </w:rPr>
        <w:t> </w:t>
      </w:r>
      <w:r>
        <w:rPr>
          <w:sz w:val="18"/>
          <w:vertAlign w:val="baseline"/>
        </w:rPr>
        <w:t>Drydakis,</w:t>
      </w:r>
      <w:r>
        <w:rPr>
          <w:spacing w:val="-4"/>
          <w:sz w:val="18"/>
          <w:vertAlign w:val="baseline"/>
        </w:rPr>
        <w:t> </w:t>
      </w:r>
      <w:r>
        <w:rPr>
          <w:sz w:val="18"/>
          <w:vertAlign w:val="baseline"/>
        </w:rPr>
        <w:t>Nick.</w:t>
      </w:r>
      <w:r>
        <w:rPr>
          <w:spacing w:val="-2"/>
          <w:sz w:val="18"/>
          <w:vertAlign w:val="baseline"/>
        </w:rPr>
        <w:t> </w:t>
      </w:r>
      <w:r>
        <w:rPr>
          <w:sz w:val="18"/>
          <w:vertAlign w:val="baseline"/>
        </w:rPr>
        <w:t>“Sexual</w:t>
      </w:r>
      <w:r>
        <w:rPr>
          <w:spacing w:val="-4"/>
          <w:sz w:val="18"/>
          <w:vertAlign w:val="baseline"/>
        </w:rPr>
        <w:t> </w:t>
      </w:r>
      <w:r>
        <w:rPr>
          <w:sz w:val="18"/>
          <w:vertAlign w:val="baseline"/>
        </w:rPr>
        <w:t>Orientation</w:t>
      </w:r>
      <w:r>
        <w:rPr>
          <w:spacing w:val="-3"/>
          <w:sz w:val="18"/>
          <w:vertAlign w:val="baseline"/>
        </w:rPr>
        <w:t> </w:t>
      </w:r>
      <w:r>
        <w:rPr>
          <w:sz w:val="18"/>
          <w:vertAlign w:val="baseline"/>
        </w:rPr>
        <w:t>and</w:t>
      </w:r>
      <w:r>
        <w:rPr>
          <w:spacing w:val="-3"/>
          <w:sz w:val="18"/>
          <w:vertAlign w:val="baseline"/>
        </w:rPr>
        <w:t> </w:t>
      </w:r>
      <w:r>
        <w:rPr>
          <w:sz w:val="18"/>
          <w:vertAlign w:val="baseline"/>
        </w:rPr>
        <w:t>Earnings:</w:t>
      </w:r>
      <w:r>
        <w:rPr>
          <w:spacing w:val="-3"/>
          <w:sz w:val="18"/>
          <w:vertAlign w:val="baseline"/>
        </w:rPr>
        <w:t> </w:t>
      </w:r>
      <w:r>
        <w:rPr>
          <w:sz w:val="18"/>
          <w:vertAlign w:val="baseline"/>
        </w:rPr>
        <w:t>A</w:t>
      </w:r>
      <w:r>
        <w:rPr>
          <w:spacing w:val="-3"/>
          <w:sz w:val="18"/>
          <w:vertAlign w:val="baseline"/>
        </w:rPr>
        <w:t> </w:t>
      </w:r>
      <w:r>
        <w:rPr>
          <w:sz w:val="18"/>
          <w:vertAlign w:val="baseline"/>
        </w:rPr>
        <w:t>Meta-Analysis</w:t>
      </w:r>
      <w:r>
        <w:rPr>
          <w:spacing w:val="-3"/>
          <w:sz w:val="18"/>
          <w:vertAlign w:val="baseline"/>
        </w:rPr>
        <w:t> </w:t>
      </w:r>
      <w:r>
        <w:rPr>
          <w:sz w:val="18"/>
          <w:vertAlign w:val="baseline"/>
        </w:rPr>
        <w:t>2012–2020.”</w:t>
      </w:r>
      <w:r>
        <w:rPr>
          <w:spacing w:val="-3"/>
          <w:sz w:val="18"/>
          <w:vertAlign w:val="baseline"/>
        </w:rPr>
        <w:t> </w:t>
      </w:r>
      <w:r>
        <w:rPr>
          <w:sz w:val="18"/>
          <w:vertAlign w:val="baseline"/>
        </w:rPr>
        <w:t>Journal</w:t>
      </w:r>
      <w:r>
        <w:rPr>
          <w:spacing w:val="-4"/>
          <w:sz w:val="18"/>
          <w:vertAlign w:val="baseline"/>
        </w:rPr>
        <w:t> </w:t>
      </w:r>
      <w:r>
        <w:rPr>
          <w:sz w:val="18"/>
          <w:vertAlign w:val="baseline"/>
        </w:rPr>
        <w:t>of</w:t>
      </w:r>
      <w:r>
        <w:rPr>
          <w:spacing w:val="-3"/>
          <w:sz w:val="18"/>
          <w:vertAlign w:val="baseline"/>
        </w:rPr>
        <w:t> </w:t>
      </w:r>
      <w:r>
        <w:rPr>
          <w:sz w:val="18"/>
          <w:vertAlign w:val="baseline"/>
        </w:rPr>
        <w:t>Population</w:t>
      </w:r>
      <w:r>
        <w:rPr>
          <w:spacing w:val="-3"/>
          <w:sz w:val="18"/>
          <w:vertAlign w:val="baseline"/>
        </w:rPr>
        <w:t> </w:t>
      </w:r>
      <w:r>
        <w:rPr>
          <w:sz w:val="18"/>
          <w:vertAlign w:val="baseline"/>
        </w:rPr>
        <w:t>Economics</w:t>
      </w:r>
      <w:r>
        <w:rPr>
          <w:spacing w:val="-3"/>
          <w:sz w:val="18"/>
          <w:vertAlign w:val="baseline"/>
        </w:rPr>
        <w:t> </w:t>
      </w:r>
      <w:r>
        <w:rPr>
          <w:sz w:val="18"/>
          <w:vertAlign w:val="baseline"/>
        </w:rPr>
        <w:t>35,</w:t>
      </w:r>
      <w:r>
        <w:rPr>
          <w:spacing w:val="-4"/>
          <w:sz w:val="18"/>
          <w:vertAlign w:val="baseline"/>
        </w:rPr>
        <w:t> </w:t>
      </w:r>
      <w:r>
        <w:rPr>
          <w:sz w:val="18"/>
          <w:vertAlign w:val="baseline"/>
        </w:rPr>
        <w:t>no.</w:t>
      </w:r>
      <w:r>
        <w:rPr>
          <w:spacing w:val="-3"/>
          <w:sz w:val="18"/>
          <w:vertAlign w:val="baseline"/>
        </w:rPr>
        <w:t> </w:t>
      </w:r>
      <w:r>
        <w:rPr>
          <w:sz w:val="18"/>
          <w:vertAlign w:val="baseline"/>
        </w:rPr>
        <w:t>2 (April 1, 2022): 409–40. https://doi.org/10.1007/s00148-021-00862-1.</w:t>
      </w:r>
    </w:p>
    <w:p>
      <w:pPr>
        <w:spacing w:before="0"/>
        <w:ind w:left="463" w:right="232" w:firstLine="0"/>
        <w:jc w:val="left"/>
        <w:rPr>
          <w:sz w:val="18"/>
        </w:rPr>
      </w:pPr>
      <w:bookmarkStart w:name="_bookmark567" w:id="862"/>
      <w:bookmarkEnd w:id="862"/>
      <w:r>
        <w:rPr/>
      </w:r>
      <w:r>
        <w:rPr>
          <w:sz w:val="18"/>
          <w:vertAlign w:val="superscript"/>
        </w:rPr>
        <w:t>13</w:t>
      </w:r>
      <w:r>
        <w:rPr>
          <w:spacing w:val="-2"/>
          <w:sz w:val="18"/>
          <w:vertAlign w:val="baseline"/>
        </w:rPr>
        <w:t> </w:t>
      </w:r>
      <w:r>
        <w:rPr>
          <w:sz w:val="18"/>
          <w:vertAlign w:val="baseline"/>
        </w:rPr>
        <w:t>Carpenter,</w:t>
      </w:r>
      <w:r>
        <w:rPr>
          <w:spacing w:val="-3"/>
          <w:sz w:val="18"/>
          <w:vertAlign w:val="baseline"/>
        </w:rPr>
        <w:t> </w:t>
      </w:r>
      <w:r>
        <w:rPr>
          <w:sz w:val="18"/>
          <w:vertAlign w:val="baseline"/>
        </w:rPr>
        <w:t>Christopher</w:t>
      </w:r>
      <w:r>
        <w:rPr>
          <w:spacing w:val="-3"/>
          <w:sz w:val="18"/>
          <w:vertAlign w:val="baseline"/>
        </w:rPr>
        <w:t> </w:t>
      </w:r>
      <w:r>
        <w:rPr>
          <w:sz w:val="18"/>
          <w:vertAlign w:val="baseline"/>
        </w:rPr>
        <w:t>S.,</w:t>
      </w:r>
      <w:r>
        <w:rPr>
          <w:spacing w:val="-3"/>
          <w:sz w:val="18"/>
          <w:vertAlign w:val="baseline"/>
        </w:rPr>
        <w:t> </w:t>
      </w:r>
      <w:r>
        <w:rPr>
          <w:sz w:val="18"/>
          <w:vertAlign w:val="baseline"/>
        </w:rPr>
        <w:t>Samuel</w:t>
      </w:r>
      <w:r>
        <w:rPr>
          <w:spacing w:val="-3"/>
          <w:sz w:val="18"/>
          <w:vertAlign w:val="baseline"/>
        </w:rPr>
        <w:t> </w:t>
      </w:r>
      <w:r>
        <w:rPr>
          <w:sz w:val="18"/>
          <w:vertAlign w:val="baseline"/>
        </w:rPr>
        <w:t>T.</w:t>
      </w:r>
      <w:r>
        <w:rPr>
          <w:spacing w:val="-2"/>
          <w:sz w:val="18"/>
          <w:vertAlign w:val="baseline"/>
        </w:rPr>
        <w:t> </w:t>
      </w:r>
      <w:r>
        <w:rPr>
          <w:sz w:val="18"/>
          <w:vertAlign w:val="baseline"/>
        </w:rPr>
        <w:t>Eppink,</w:t>
      </w:r>
      <w:r>
        <w:rPr>
          <w:spacing w:val="-3"/>
          <w:sz w:val="18"/>
          <w:vertAlign w:val="baseline"/>
        </w:rPr>
        <w:t> </w:t>
      </w:r>
      <w:r>
        <w:rPr>
          <w:sz w:val="18"/>
          <w:vertAlign w:val="baseline"/>
        </w:rPr>
        <w:t>and</w:t>
      </w:r>
      <w:r>
        <w:rPr>
          <w:spacing w:val="-2"/>
          <w:sz w:val="18"/>
          <w:vertAlign w:val="baseline"/>
        </w:rPr>
        <w:t> </w:t>
      </w:r>
      <w:r>
        <w:rPr>
          <w:sz w:val="18"/>
          <w:vertAlign w:val="baseline"/>
        </w:rPr>
        <w:t>Gilbert</w:t>
      </w:r>
      <w:r>
        <w:rPr>
          <w:spacing w:val="-3"/>
          <w:sz w:val="18"/>
          <w:vertAlign w:val="baseline"/>
        </w:rPr>
        <w:t> </w:t>
      </w:r>
      <w:r>
        <w:rPr>
          <w:sz w:val="18"/>
          <w:vertAlign w:val="baseline"/>
        </w:rPr>
        <w:t>Gonzales.</w:t>
      </w:r>
      <w:r>
        <w:rPr>
          <w:spacing w:val="-2"/>
          <w:sz w:val="18"/>
          <w:vertAlign w:val="baseline"/>
        </w:rPr>
        <w:t> </w:t>
      </w:r>
      <w:r>
        <w:rPr>
          <w:sz w:val="18"/>
          <w:vertAlign w:val="baseline"/>
        </w:rPr>
        <w:t>“Transgender</w:t>
      </w:r>
      <w:r>
        <w:rPr>
          <w:spacing w:val="-3"/>
          <w:sz w:val="18"/>
          <w:vertAlign w:val="baseline"/>
        </w:rPr>
        <w:t> </w:t>
      </w:r>
      <w:r>
        <w:rPr>
          <w:sz w:val="18"/>
          <w:vertAlign w:val="baseline"/>
        </w:rPr>
        <w:t>Status,</w:t>
      </w:r>
      <w:r>
        <w:rPr>
          <w:spacing w:val="-3"/>
          <w:sz w:val="18"/>
          <w:vertAlign w:val="baseline"/>
        </w:rPr>
        <w:t> </w:t>
      </w:r>
      <w:r>
        <w:rPr>
          <w:sz w:val="18"/>
          <w:vertAlign w:val="baseline"/>
        </w:rPr>
        <w:t>Gender</w:t>
      </w:r>
      <w:r>
        <w:rPr>
          <w:spacing w:val="-3"/>
          <w:sz w:val="18"/>
          <w:vertAlign w:val="baseline"/>
        </w:rPr>
        <w:t> </w:t>
      </w:r>
      <w:r>
        <w:rPr>
          <w:sz w:val="18"/>
          <w:vertAlign w:val="baseline"/>
        </w:rPr>
        <w:t>Identity,</w:t>
      </w:r>
      <w:r>
        <w:rPr>
          <w:spacing w:val="-3"/>
          <w:sz w:val="18"/>
          <w:vertAlign w:val="baseline"/>
        </w:rPr>
        <w:t> </w:t>
      </w:r>
      <w:r>
        <w:rPr>
          <w:sz w:val="18"/>
          <w:vertAlign w:val="baseline"/>
        </w:rPr>
        <w:t>and Socioeconomic Outcomes in the United States.” ILR Review 73, no. 3 (May 2020): 573–99. </w:t>
      </w:r>
      <w:r>
        <w:rPr>
          <w:spacing w:val="-2"/>
          <w:sz w:val="18"/>
          <w:vertAlign w:val="baseline"/>
        </w:rPr>
        <w:t>https://doi.org/10.1177/0019793920902776.</w:t>
      </w:r>
    </w:p>
    <w:p>
      <w:pPr>
        <w:spacing w:before="0"/>
        <w:ind w:left="464" w:right="249" w:firstLine="0"/>
        <w:jc w:val="left"/>
        <w:rPr>
          <w:sz w:val="18"/>
        </w:rPr>
      </w:pPr>
      <w:bookmarkStart w:name="_bookmark568" w:id="863"/>
      <w:bookmarkEnd w:id="863"/>
      <w:r>
        <w:rPr/>
      </w:r>
      <w:r>
        <w:rPr>
          <w:sz w:val="18"/>
          <w:vertAlign w:val="superscript"/>
        </w:rPr>
        <w:t>14</w:t>
      </w:r>
      <w:r>
        <w:rPr>
          <w:sz w:val="18"/>
          <w:vertAlign w:val="baseline"/>
        </w:rPr>
        <w:t> Gould, Elise. “Gender Wage Gap Persists in 2023: Women Are Paid Roughly 22% Less than Men on Average.” Economic Policy</w:t>
      </w:r>
      <w:r>
        <w:rPr>
          <w:spacing w:val="-8"/>
          <w:sz w:val="18"/>
          <w:vertAlign w:val="baseline"/>
        </w:rPr>
        <w:t> </w:t>
      </w:r>
      <w:r>
        <w:rPr>
          <w:sz w:val="18"/>
          <w:vertAlign w:val="baseline"/>
        </w:rPr>
        <w:t>Institute</w:t>
      </w:r>
      <w:r>
        <w:rPr>
          <w:spacing w:val="-8"/>
          <w:sz w:val="18"/>
          <w:vertAlign w:val="baseline"/>
        </w:rPr>
        <w:t> </w:t>
      </w:r>
      <w:r>
        <w:rPr>
          <w:sz w:val="18"/>
          <w:vertAlign w:val="baseline"/>
        </w:rPr>
        <w:t>(March</w:t>
      </w:r>
      <w:r>
        <w:rPr>
          <w:spacing w:val="-8"/>
          <w:sz w:val="18"/>
          <w:vertAlign w:val="baseline"/>
        </w:rPr>
        <w:t> </w:t>
      </w:r>
      <w:r>
        <w:rPr>
          <w:sz w:val="18"/>
          <w:vertAlign w:val="baseline"/>
        </w:rPr>
        <w:t>8,</w:t>
      </w:r>
      <w:r>
        <w:rPr>
          <w:spacing w:val="-9"/>
          <w:sz w:val="18"/>
          <w:vertAlign w:val="baseline"/>
        </w:rPr>
        <w:t> </w:t>
      </w:r>
      <w:r>
        <w:rPr>
          <w:sz w:val="18"/>
          <w:vertAlign w:val="baseline"/>
        </w:rPr>
        <w:t>2024).</w:t>
      </w:r>
      <w:r>
        <w:rPr>
          <w:spacing w:val="-8"/>
          <w:sz w:val="18"/>
          <w:vertAlign w:val="baseline"/>
        </w:rPr>
        <w:t> </w:t>
      </w:r>
      <w:r>
        <w:rPr>
          <w:sz w:val="18"/>
          <w:vertAlign w:val="baseline"/>
        </w:rPr>
        <w:t>https:</w:t>
      </w:r>
      <w:hyperlink r:id="rId659">
        <w:r>
          <w:rPr>
            <w:sz w:val="18"/>
            <w:vertAlign w:val="baseline"/>
          </w:rPr>
          <w:t>//www.epi.org/blog/gender-wage-gap-persists-in-2023-women-are-paid-roughly-22-</w:t>
        </w:r>
      </w:hyperlink>
      <w:r>
        <w:rPr>
          <w:sz w:val="18"/>
          <w:vertAlign w:val="baseline"/>
        </w:rPr>
        <w:t> </w:t>
      </w:r>
      <w:r>
        <w:rPr>
          <w:spacing w:val="-2"/>
          <w:sz w:val="18"/>
          <w:vertAlign w:val="baseline"/>
        </w:rPr>
        <w:t>less-than-men-on-average/.</w:t>
      </w:r>
    </w:p>
    <w:p>
      <w:pPr>
        <w:spacing w:before="0"/>
        <w:ind w:left="464" w:right="249" w:firstLine="0"/>
        <w:jc w:val="left"/>
        <w:rPr>
          <w:sz w:val="18"/>
        </w:rPr>
      </w:pPr>
      <w:bookmarkStart w:name="_bookmark569" w:id="864"/>
      <w:bookmarkEnd w:id="864"/>
      <w:r>
        <w:rPr/>
      </w:r>
      <w:r>
        <w:rPr>
          <w:sz w:val="18"/>
          <w:vertAlign w:val="superscript"/>
        </w:rPr>
        <w:t>15</w:t>
      </w:r>
      <w:r>
        <w:rPr>
          <w:sz w:val="18"/>
          <w:vertAlign w:val="baseline"/>
        </w:rPr>
        <w:t> Gould, Elise. “Gender Wage Gap Persists in 2023: Women Are Paid Roughly 22% Less than Men on Average.” Economic Policy</w:t>
      </w:r>
      <w:r>
        <w:rPr>
          <w:spacing w:val="-8"/>
          <w:sz w:val="18"/>
          <w:vertAlign w:val="baseline"/>
        </w:rPr>
        <w:t> </w:t>
      </w:r>
      <w:r>
        <w:rPr>
          <w:sz w:val="18"/>
          <w:vertAlign w:val="baseline"/>
        </w:rPr>
        <w:t>Institute</w:t>
      </w:r>
      <w:r>
        <w:rPr>
          <w:spacing w:val="-8"/>
          <w:sz w:val="18"/>
          <w:vertAlign w:val="baseline"/>
        </w:rPr>
        <w:t> </w:t>
      </w:r>
      <w:r>
        <w:rPr>
          <w:sz w:val="18"/>
          <w:vertAlign w:val="baseline"/>
        </w:rPr>
        <w:t>(March</w:t>
      </w:r>
      <w:r>
        <w:rPr>
          <w:spacing w:val="-8"/>
          <w:sz w:val="18"/>
          <w:vertAlign w:val="baseline"/>
        </w:rPr>
        <w:t> </w:t>
      </w:r>
      <w:r>
        <w:rPr>
          <w:sz w:val="18"/>
          <w:vertAlign w:val="baseline"/>
        </w:rPr>
        <w:t>8,</w:t>
      </w:r>
      <w:r>
        <w:rPr>
          <w:spacing w:val="-9"/>
          <w:sz w:val="18"/>
          <w:vertAlign w:val="baseline"/>
        </w:rPr>
        <w:t> </w:t>
      </w:r>
      <w:r>
        <w:rPr>
          <w:sz w:val="18"/>
          <w:vertAlign w:val="baseline"/>
        </w:rPr>
        <w:t>2024).</w:t>
      </w:r>
      <w:r>
        <w:rPr>
          <w:spacing w:val="-8"/>
          <w:sz w:val="18"/>
          <w:vertAlign w:val="baseline"/>
        </w:rPr>
        <w:t> </w:t>
      </w:r>
      <w:r>
        <w:rPr>
          <w:sz w:val="18"/>
          <w:vertAlign w:val="baseline"/>
        </w:rPr>
        <w:t>https:</w:t>
      </w:r>
      <w:hyperlink r:id="rId659">
        <w:r>
          <w:rPr>
            <w:sz w:val="18"/>
            <w:vertAlign w:val="baseline"/>
          </w:rPr>
          <w:t>//www.epi.org/blog/gender-wage-gap-persists-in-2023-women-are-paid-roughly-22-</w:t>
        </w:r>
      </w:hyperlink>
      <w:r>
        <w:rPr>
          <w:sz w:val="18"/>
          <w:vertAlign w:val="baseline"/>
        </w:rPr>
        <w:t> </w:t>
      </w:r>
      <w:r>
        <w:rPr>
          <w:spacing w:val="-2"/>
          <w:sz w:val="18"/>
          <w:vertAlign w:val="baseline"/>
        </w:rPr>
        <w:t>less-than-men-on-average/.</w:t>
      </w:r>
    </w:p>
    <w:p>
      <w:pPr>
        <w:spacing w:before="0"/>
        <w:ind w:left="464" w:right="0" w:firstLine="0"/>
        <w:jc w:val="left"/>
        <w:rPr>
          <w:sz w:val="18"/>
        </w:rPr>
      </w:pPr>
      <w:bookmarkStart w:name="_bookmark570" w:id="865"/>
      <w:bookmarkEnd w:id="865"/>
      <w:r>
        <w:rPr/>
      </w:r>
      <w:r>
        <w:rPr>
          <w:sz w:val="18"/>
          <w:vertAlign w:val="superscript"/>
        </w:rPr>
        <w:t>16</w:t>
      </w:r>
      <w:r>
        <w:rPr>
          <w:sz w:val="18"/>
          <w:vertAlign w:val="baseline"/>
        </w:rPr>
        <w:t> Bureau of Labor Statistics. “Economy at a Glance: Boston-Cambridge-Quincy, MA-NH.” (2024). </w:t>
      </w:r>
      <w:hyperlink r:id="rId660">
        <w:r>
          <w:rPr>
            <w:color w:val="0000FF"/>
            <w:sz w:val="18"/>
            <w:u w:val="single" w:color="0000FF"/>
            <w:vertAlign w:val="baseline"/>
          </w:rPr>
          <w:t>https://www.bls.gov/eag/eag.ma_boston_mn.htm</w:t>
        </w:r>
        <w:r>
          <w:rPr>
            <w:sz w:val="18"/>
            <w:u w:val="none"/>
            <w:vertAlign w:val="baseline"/>
          </w:rPr>
          <w:t>;</w:t>
        </w:r>
      </w:hyperlink>
      <w:r>
        <w:rPr>
          <w:spacing w:val="-4"/>
          <w:sz w:val="18"/>
          <w:u w:val="none"/>
          <w:vertAlign w:val="baseline"/>
        </w:rPr>
        <w:t> </w:t>
      </w:r>
      <w:r>
        <w:rPr>
          <w:sz w:val="18"/>
          <w:u w:val="none"/>
          <w:vertAlign w:val="baseline"/>
        </w:rPr>
        <w:t>Bureau</w:t>
      </w:r>
      <w:r>
        <w:rPr>
          <w:spacing w:val="-4"/>
          <w:sz w:val="18"/>
          <w:u w:val="none"/>
          <w:vertAlign w:val="baseline"/>
        </w:rPr>
        <w:t> </w:t>
      </w:r>
      <w:r>
        <w:rPr>
          <w:sz w:val="18"/>
          <w:u w:val="none"/>
          <w:vertAlign w:val="baseline"/>
        </w:rPr>
        <w:t>of</w:t>
      </w:r>
      <w:r>
        <w:rPr>
          <w:spacing w:val="-4"/>
          <w:sz w:val="18"/>
          <w:u w:val="none"/>
          <w:vertAlign w:val="baseline"/>
        </w:rPr>
        <w:t> </w:t>
      </w:r>
      <w:r>
        <w:rPr>
          <w:sz w:val="18"/>
          <w:u w:val="none"/>
          <w:vertAlign w:val="baseline"/>
        </w:rPr>
        <w:t>Labor</w:t>
      </w:r>
      <w:r>
        <w:rPr>
          <w:spacing w:val="-5"/>
          <w:sz w:val="18"/>
          <w:u w:val="none"/>
          <w:vertAlign w:val="baseline"/>
        </w:rPr>
        <w:t> </w:t>
      </w:r>
      <w:r>
        <w:rPr>
          <w:sz w:val="18"/>
          <w:u w:val="none"/>
          <w:vertAlign w:val="baseline"/>
        </w:rPr>
        <w:t>Statistics.</w:t>
      </w:r>
      <w:r>
        <w:rPr>
          <w:spacing w:val="-4"/>
          <w:sz w:val="18"/>
          <w:u w:val="none"/>
          <w:vertAlign w:val="baseline"/>
        </w:rPr>
        <w:t> </w:t>
      </w:r>
      <w:r>
        <w:rPr>
          <w:sz w:val="18"/>
          <w:u w:val="none"/>
          <w:vertAlign w:val="baseline"/>
        </w:rPr>
        <w:t>“Economy</w:t>
      </w:r>
      <w:r>
        <w:rPr>
          <w:spacing w:val="-4"/>
          <w:sz w:val="18"/>
          <w:u w:val="none"/>
          <w:vertAlign w:val="baseline"/>
        </w:rPr>
        <w:t> </w:t>
      </w:r>
      <w:r>
        <w:rPr>
          <w:sz w:val="18"/>
          <w:u w:val="none"/>
          <w:vertAlign w:val="baseline"/>
        </w:rPr>
        <w:t>at</w:t>
      </w:r>
      <w:r>
        <w:rPr>
          <w:spacing w:val="-5"/>
          <w:sz w:val="18"/>
          <w:u w:val="none"/>
          <w:vertAlign w:val="baseline"/>
        </w:rPr>
        <w:t> </w:t>
      </w:r>
      <w:r>
        <w:rPr>
          <w:sz w:val="18"/>
          <w:u w:val="none"/>
          <w:vertAlign w:val="baseline"/>
        </w:rPr>
        <w:t>a</w:t>
      </w:r>
      <w:r>
        <w:rPr>
          <w:spacing w:val="-4"/>
          <w:sz w:val="18"/>
          <w:u w:val="none"/>
          <w:vertAlign w:val="baseline"/>
        </w:rPr>
        <w:t> </w:t>
      </w:r>
      <w:r>
        <w:rPr>
          <w:sz w:val="18"/>
          <w:u w:val="none"/>
          <w:vertAlign w:val="baseline"/>
        </w:rPr>
        <w:t>Glance:</w:t>
      </w:r>
      <w:r>
        <w:rPr>
          <w:spacing w:val="-4"/>
          <w:sz w:val="18"/>
          <w:u w:val="none"/>
          <w:vertAlign w:val="baseline"/>
        </w:rPr>
        <w:t> </w:t>
      </w:r>
      <w:r>
        <w:rPr>
          <w:sz w:val="18"/>
          <w:u w:val="none"/>
          <w:vertAlign w:val="baseline"/>
        </w:rPr>
        <w:t>Springfield,</w:t>
      </w:r>
      <w:r>
        <w:rPr>
          <w:spacing w:val="-5"/>
          <w:sz w:val="18"/>
          <w:u w:val="none"/>
          <w:vertAlign w:val="baseline"/>
        </w:rPr>
        <w:t> </w:t>
      </w:r>
      <w:r>
        <w:rPr>
          <w:sz w:val="18"/>
          <w:u w:val="none"/>
          <w:vertAlign w:val="baseline"/>
        </w:rPr>
        <w:t>MA-CT.” (2024). https://</w:t>
      </w:r>
      <w:hyperlink r:id="rId661">
        <w:r>
          <w:rPr>
            <w:sz w:val="18"/>
            <w:u w:val="none"/>
            <w:vertAlign w:val="baseline"/>
          </w:rPr>
          <w:t>www.bls.gov/eag/eag.ma_springfield_mn.htm</w:t>
        </w:r>
      </w:hyperlink>
    </w:p>
    <w:p>
      <w:pPr>
        <w:spacing w:before="0"/>
        <w:ind w:left="464" w:right="353" w:hanging="1"/>
        <w:jc w:val="left"/>
        <w:rPr>
          <w:sz w:val="18"/>
        </w:rPr>
      </w:pPr>
      <w:bookmarkStart w:name="_bookmark571" w:id="866"/>
      <w:bookmarkEnd w:id="866"/>
      <w:r>
        <w:rPr/>
      </w:r>
      <w:r>
        <w:rPr>
          <w:sz w:val="18"/>
          <w:vertAlign w:val="superscript"/>
        </w:rPr>
        <w:t>17</w:t>
      </w:r>
      <w:r>
        <w:rPr>
          <w:spacing w:val="-3"/>
          <w:sz w:val="18"/>
          <w:vertAlign w:val="baseline"/>
        </w:rPr>
        <w:t> </w:t>
      </w:r>
      <w:r>
        <w:rPr>
          <w:sz w:val="18"/>
          <w:vertAlign w:val="baseline"/>
        </w:rPr>
        <w:t>Rembert,</w:t>
      </w:r>
      <w:r>
        <w:rPr>
          <w:spacing w:val="-4"/>
          <w:sz w:val="18"/>
          <w:vertAlign w:val="baseline"/>
        </w:rPr>
        <w:t> </w:t>
      </w:r>
      <w:r>
        <w:rPr>
          <w:sz w:val="18"/>
          <w:vertAlign w:val="baseline"/>
        </w:rPr>
        <w:t>Mark,</w:t>
      </w:r>
      <w:r>
        <w:rPr>
          <w:spacing w:val="-3"/>
          <w:sz w:val="18"/>
          <w:vertAlign w:val="baseline"/>
        </w:rPr>
        <w:t> </w:t>
      </w:r>
      <w:r>
        <w:rPr>
          <w:sz w:val="18"/>
          <w:vertAlign w:val="baseline"/>
        </w:rPr>
        <w:t>David</w:t>
      </w:r>
      <w:r>
        <w:rPr>
          <w:spacing w:val="-3"/>
          <w:sz w:val="18"/>
          <w:vertAlign w:val="baseline"/>
        </w:rPr>
        <w:t> </w:t>
      </w:r>
      <w:r>
        <w:rPr>
          <w:sz w:val="18"/>
          <w:vertAlign w:val="baseline"/>
        </w:rPr>
        <w:t>Jan,</w:t>
      </w:r>
      <w:r>
        <w:rPr>
          <w:spacing w:val="-4"/>
          <w:sz w:val="18"/>
          <w:vertAlign w:val="baseline"/>
        </w:rPr>
        <w:t> </w:t>
      </w:r>
      <w:r>
        <w:rPr>
          <w:sz w:val="18"/>
          <w:vertAlign w:val="baseline"/>
        </w:rPr>
        <w:t>and</w:t>
      </w:r>
      <w:r>
        <w:rPr>
          <w:spacing w:val="-4"/>
          <w:sz w:val="18"/>
          <w:vertAlign w:val="baseline"/>
        </w:rPr>
        <w:t> </w:t>
      </w:r>
      <w:r>
        <w:rPr>
          <w:sz w:val="18"/>
          <w:vertAlign w:val="baseline"/>
        </w:rPr>
        <w:t>Victor</w:t>
      </w:r>
      <w:r>
        <w:rPr>
          <w:spacing w:val="-4"/>
          <w:sz w:val="18"/>
          <w:vertAlign w:val="baseline"/>
        </w:rPr>
        <w:t> </w:t>
      </w:r>
      <w:r>
        <w:rPr>
          <w:sz w:val="18"/>
          <w:vertAlign w:val="baseline"/>
        </w:rPr>
        <w:t>Owusu.</w:t>
      </w:r>
      <w:r>
        <w:rPr>
          <w:spacing w:val="-3"/>
          <w:sz w:val="18"/>
          <w:vertAlign w:val="baseline"/>
        </w:rPr>
        <w:t> </w:t>
      </w:r>
      <w:r>
        <w:rPr>
          <w:sz w:val="18"/>
          <w:vertAlign w:val="baseline"/>
        </w:rPr>
        <w:t>“Annual</w:t>
      </w:r>
      <w:r>
        <w:rPr>
          <w:spacing w:val="-4"/>
          <w:sz w:val="18"/>
          <w:vertAlign w:val="baseline"/>
        </w:rPr>
        <w:t> </w:t>
      </w:r>
      <w:r>
        <w:rPr>
          <w:sz w:val="18"/>
          <w:vertAlign w:val="baseline"/>
        </w:rPr>
        <w:t>Economic</w:t>
      </w:r>
      <w:r>
        <w:rPr>
          <w:spacing w:val="-4"/>
          <w:sz w:val="18"/>
          <w:vertAlign w:val="baseline"/>
        </w:rPr>
        <w:t> </w:t>
      </w:r>
      <w:r>
        <w:rPr>
          <w:sz w:val="18"/>
          <w:vertAlign w:val="baseline"/>
        </w:rPr>
        <w:t>Analysis</w:t>
      </w:r>
      <w:r>
        <w:rPr>
          <w:spacing w:val="-3"/>
          <w:sz w:val="18"/>
          <w:vertAlign w:val="baseline"/>
        </w:rPr>
        <w:t> </w:t>
      </w:r>
      <w:r>
        <w:rPr>
          <w:sz w:val="18"/>
          <w:vertAlign w:val="baseline"/>
        </w:rPr>
        <w:t>Report.”</w:t>
      </w:r>
      <w:r>
        <w:rPr>
          <w:spacing w:val="-3"/>
          <w:sz w:val="18"/>
          <w:vertAlign w:val="baseline"/>
        </w:rPr>
        <w:t> </w:t>
      </w:r>
      <w:r>
        <w:rPr>
          <w:sz w:val="18"/>
          <w:vertAlign w:val="baseline"/>
        </w:rPr>
        <w:t>Oct.</w:t>
      </w:r>
      <w:r>
        <w:rPr>
          <w:spacing w:val="-3"/>
          <w:sz w:val="18"/>
          <w:vertAlign w:val="baseline"/>
        </w:rPr>
        <w:t> </w:t>
      </w:r>
      <w:r>
        <w:rPr>
          <w:sz w:val="18"/>
          <w:vertAlign w:val="baseline"/>
        </w:rPr>
        <w:t>2023,</w:t>
      </w:r>
      <w:r>
        <w:rPr>
          <w:spacing w:val="-4"/>
          <w:sz w:val="18"/>
          <w:vertAlign w:val="baseline"/>
        </w:rPr>
        <w:t> </w:t>
      </w:r>
      <w:hyperlink r:id="rId662">
        <w:r>
          <w:rPr>
            <w:sz w:val="18"/>
            <w:vertAlign w:val="baseline"/>
          </w:rPr>
          <w:t>www.mass.gov/doc/2022-</w:t>
        </w:r>
      </w:hyperlink>
      <w:r>
        <w:rPr>
          <w:sz w:val="18"/>
          <w:vertAlign w:val="baseline"/>
        </w:rPr>
        <w:t> </w:t>
      </w:r>
      <w:r>
        <w:rPr>
          <w:spacing w:val="-2"/>
          <w:sz w:val="18"/>
          <w:vertAlign w:val="baseline"/>
        </w:rPr>
        <w:t>annual-economic-analysis-report/download.</w:t>
      </w:r>
    </w:p>
    <w:p>
      <w:pPr>
        <w:spacing w:after="0"/>
        <w:jc w:val="left"/>
        <w:rPr>
          <w:sz w:val="18"/>
        </w:rPr>
        <w:sectPr>
          <w:pgSz w:w="12240" w:h="15840"/>
          <w:pgMar w:header="763" w:footer="1041" w:top="1380" w:bottom="1240" w:left="1120" w:right="1380"/>
        </w:sectPr>
      </w:pPr>
    </w:p>
    <w:p>
      <w:pPr>
        <w:pStyle w:val="BodyText"/>
        <w:spacing w:before="73"/>
        <w:rPr>
          <w:sz w:val="18"/>
        </w:rPr>
      </w:pPr>
    </w:p>
    <w:p>
      <w:pPr>
        <w:spacing w:before="0"/>
        <w:ind w:left="464" w:right="353" w:hanging="1"/>
        <w:jc w:val="left"/>
        <w:rPr>
          <w:sz w:val="18"/>
        </w:rPr>
      </w:pPr>
      <w:bookmarkStart w:name="_bookmark572" w:id="867"/>
      <w:bookmarkEnd w:id="867"/>
      <w:r>
        <w:rPr/>
      </w:r>
      <w:r>
        <w:rPr>
          <w:sz w:val="18"/>
          <w:vertAlign w:val="superscript"/>
        </w:rPr>
        <w:t>18</w:t>
      </w:r>
      <w:r>
        <w:rPr>
          <w:spacing w:val="-3"/>
          <w:sz w:val="18"/>
          <w:vertAlign w:val="baseline"/>
        </w:rPr>
        <w:t> </w:t>
      </w:r>
      <w:r>
        <w:rPr>
          <w:sz w:val="18"/>
          <w:vertAlign w:val="baseline"/>
        </w:rPr>
        <w:t>Rembert,</w:t>
      </w:r>
      <w:r>
        <w:rPr>
          <w:spacing w:val="-4"/>
          <w:sz w:val="18"/>
          <w:vertAlign w:val="baseline"/>
        </w:rPr>
        <w:t> </w:t>
      </w:r>
      <w:r>
        <w:rPr>
          <w:sz w:val="18"/>
          <w:vertAlign w:val="baseline"/>
        </w:rPr>
        <w:t>Mark,</w:t>
      </w:r>
      <w:r>
        <w:rPr>
          <w:spacing w:val="-3"/>
          <w:sz w:val="18"/>
          <w:vertAlign w:val="baseline"/>
        </w:rPr>
        <w:t> </w:t>
      </w:r>
      <w:r>
        <w:rPr>
          <w:sz w:val="18"/>
          <w:vertAlign w:val="baseline"/>
        </w:rPr>
        <w:t>David</w:t>
      </w:r>
      <w:r>
        <w:rPr>
          <w:spacing w:val="-3"/>
          <w:sz w:val="18"/>
          <w:vertAlign w:val="baseline"/>
        </w:rPr>
        <w:t> </w:t>
      </w:r>
      <w:r>
        <w:rPr>
          <w:sz w:val="18"/>
          <w:vertAlign w:val="baseline"/>
        </w:rPr>
        <w:t>Jan,</w:t>
      </w:r>
      <w:r>
        <w:rPr>
          <w:spacing w:val="-4"/>
          <w:sz w:val="18"/>
          <w:vertAlign w:val="baseline"/>
        </w:rPr>
        <w:t> </w:t>
      </w:r>
      <w:r>
        <w:rPr>
          <w:sz w:val="18"/>
          <w:vertAlign w:val="baseline"/>
        </w:rPr>
        <w:t>and</w:t>
      </w:r>
      <w:r>
        <w:rPr>
          <w:spacing w:val="-4"/>
          <w:sz w:val="18"/>
          <w:vertAlign w:val="baseline"/>
        </w:rPr>
        <w:t> </w:t>
      </w:r>
      <w:r>
        <w:rPr>
          <w:sz w:val="18"/>
          <w:vertAlign w:val="baseline"/>
        </w:rPr>
        <w:t>Victor</w:t>
      </w:r>
      <w:r>
        <w:rPr>
          <w:spacing w:val="-4"/>
          <w:sz w:val="18"/>
          <w:vertAlign w:val="baseline"/>
        </w:rPr>
        <w:t> </w:t>
      </w:r>
      <w:r>
        <w:rPr>
          <w:sz w:val="18"/>
          <w:vertAlign w:val="baseline"/>
        </w:rPr>
        <w:t>Owusu.</w:t>
      </w:r>
      <w:r>
        <w:rPr>
          <w:spacing w:val="-3"/>
          <w:sz w:val="18"/>
          <w:vertAlign w:val="baseline"/>
        </w:rPr>
        <w:t> </w:t>
      </w:r>
      <w:r>
        <w:rPr>
          <w:sz w:val="18"/>
          <w:vertAlign w:val="baseline"/>
        </w:rPr>
        <w:t>“Annual</w:t>
      </w:r>
      <w:r>
        <w:rPr>
          <w:spacing w:val="-4"/>
          <w:sz w:val="18"/>
          <w:vertAlign w:val="baseline"/>
        </w:rPr>
        <w:t> </w:t>
      </w:r>
      <w:r>
        <w:rPr>
          <w:sz w:val="18"/>
          <w:vertAlign w:val="baseline"/>
        </w:rPr>
        <w:t>Economic</w:t>
      </w:r>
      <w:r>
        <w:rPr>
          <w:spacing w:val="-4"/>
          <w:sz w:val="18"/>
          <w:vertAlign w:val="baseline"/>
        </w:rPr>
        <w:t> </w:t>
      </w:r>
      <w:r>
        <w:rPr>
          <w:sz w:val="18"/>
          <w:vertAlign w:val="baseline"/>
        </w:rPr>
        <w:t>Analysis</w:t>
      </w:r>
      <w:r>
        <w:rPr>
          <w:spacing w:val="-3"/>
          <w:sz w:val="18"/>
          <w:vertAlign w:val="baseline"/>
        </w:rPr>
        <w:t> </w:t>
      </w:r>
      <w:r>
        <w:rPr>
          <w:sz w:val="18"/>
          <w:vertAlign w:val="baseline"/>
        </w:rPr>
        <w:t>Report.”</w:t>
      </w:r>
      <w:r>
        <w:rPr>
          <w:spacing w:val="-3"/>
          <w:sz w:val="18"/>
          <w:vertAlign w:val="baseline"/>
        </w:rPr>
        <w:t> </w:t>
      </w:r>
      <w:r>
        <w:rPr>
          <w:sz w:val="18"/>
          <w:vertAlign w:val="baseline"/>
        </w:rPr>
        <w:t>Oct.</w:t>
      </w:r>
      <w:r>
        <w:rPr>
          <w:spacing w:val="-3"/>
          <w:sz w:val="18"/>
          <w:vertAlign w:val="baseline"/>
        </w:rPr>
        <w:t> </w:t>
      </w:r>
      <w:r>
        <w:rPr>
          <w:sz w:val="18"/>
          <w:vertAlign w:val="baseline"/>
        </w:rPr>
        <w:t>2023,</w:t>
      </w:r>
      <w:r>
        <w:rPr>
          <w:spacing w:val="-4"/>
          <w:sz w:val="18"/>
          <w:vertAlign w:val="baseline"/>
        </w:rPr>
        <w:t> </w:t>
      </w:r>
      <w:hyperlink r:id="rId662">
        <w:r>
          <w:rPr>
            <w:sz w:val="18"/>
            <w:vertAlign w:val="baseline"/>
          </w:rPr>
          <w:t>www.mass.gov/doc/2022-</w:t>
        </w:r>
      </w:hyperlink>
      <w:r>
        <w:rPr>
          <w:sz w:val="18"/>
          <w:vertAlign w:val="baseline"/>
        </w:rPr>
        <w:t> </w:t>
      </w:r>
      <w:r>
        <w:rPr>
          <w:spacing w:val="-2"/>
          <w:sz w:val="18"/>
          <w:vertAlign w:val="baseline"/>
        </w:rPr>
        <w:t>annual-economic-analysis-report/download.</w:t>
      </w:r>
    </w:p>
    <w:p>
      <w:pPr>
        <w:spacing w:before="0"/>
        <w:ind w:left="464" w:right="2019" w:firstLine="0"/>
        <w:jc w:val="left"/>
        <w:rPr>
          <w:sz w:val="18"/>
        </w:rPr>
      </w:pPr>
      <w:bookmarkStart w:name="_bookmark573" w:id="868"/>
      <w:bookmarkEnd w:id="868"/>
      <w:r>
        <w:rPr/>
      </w:r>
      <w:r>
        <w:rPr>
          <w:sz w:val="18"/>
          <w:vertAlign w:val="superscript"/>
        </w:rPr>
        <w:t>19</w:t>
      </w:r>
      <w:r>
        <w:rPr>
          <w:spacing w:val="-3"/>
          <w:sz w:val="18"/>
          <w:vertAlign w:val="baseline"/>
        </w:rPr>
        <w:t> </w:t>
      </w:r>
      <w:r>
        <w:rPr>
          <w:sz w:val="18"/>
          <w:vertAlign w:val="baseline"/>
        </w:rPr>
        <w:t>Osei,</w:t>
      </w:r>
      <w:r>
        <w:rPr>
          <w:spacing w:val="-4"/>
          <w:sz w:val="18"/>
          <w:vertAlign w:val="baseline"/>
        </w:rPr>
        <w:t> </w:t>
      </w:r>
      <w:r>
        <w:rPr>
          <w:sz w:val="18"/>
          <w:vertAlign w:val="baseline"/>
        </w:rPr>
        <w:t>Zipporah.</w:t>
      </w:r>
      <w:r>
        <w:rPr>
          <w:spacing w:val="-3"/>
          <w:sz w:val="18"/>
          <w:vertAlign w:val="baseline"/>
        </w:rPr>
        <w:t> </w:t>
      </w:r>
      <w:r>
        <w:rPr>
          <w:sz w:val="18"/>
          <w:vertAlign w:val="baseline"/>
        </w:rPr>
        <w:t>“Tell</w:t>
      </w:r>
      <w:r>
        <w:rPr>
          <w:spacing w:val="-4"/>
          <w:sz w:val="18"/>
          <w:vertAlign w:val="baseline"/>
        </w:rPr>
        <w:t> </w:t>
      </w:r>
      <w:r>
        <w:rPr>
          <w:sz w:val="18"/>
          <w:vertAlign w:val="baseline"/>
        </w:rPr>
        <w:t>Us:</w:t>
      </w:r>
      <w:r>
        <w:rPr>
          <w:spacing w:val="-3"/>
          <w:sz w:val="18"/>
          <w:vertAlign w:val="baseline"/>
        </w:rPr>
        <w:t> </w:t>
      </w:r>
      <w:r>
        <w:rPr>
          <w:sz w:val="18"/>
          <w:vertAlign w:val="baseline"/>
        </w:rPr>
        <w:t>Should</w:t>
      </w:r>
      <w:r>
        <w:rPr>
          <w:spacing w:val="-3"/>
          <w:sz w:val="18"/>
          <w:vertAlign w:val="baseline"/>
        </w:rPr>
        <w:t> </w:t>
      </w:r>
      <w:r>
        <w:rPr>
          <w:sz w:val="18"/>
          <w:vertAlign w:val="baseline"/>
        </w:rPr>
        <w:t>We</w:t>
      </w:r>
      <w:r>
        <w:rPr>
          <w:spacing w:val="-3"/>
          <w:sz w:val="18"/>
          <w:vertAlign w:val="baseline"/>
        </w:rPr>
        <w:t> </w:t>
      </w:r>
      <w:r>
        <w:rPr>
          <w:sz w:val="18"/>
          <w:vertAlign w:val="baseline"/>
        </w:rPr>
        <w:t>Say</w:t>
      </w:r>
      <w:r>
        <w:rPr>
          <w:spacing w:val="-3"/>
          <w:sz w:val="18"/>
          <w:vertAlign w:val="baseline"/>
        </w:rPr>
        <w:t> </w:t>
      </w:r>
      <w:r>
        <w:rPr>
          <w:sz w:val="18"/>
          <w:vertAlign w:val="baseline"/>
        </w:rPr>
        <w:t>Goodbye</w:t>
      </w:r>
      <w:r>
        <w:rPr>
          <w:spacing w:val="-3"/>
          <w:sz w:val="18"/>
          <w:vertAlign w:val="baseline"/>
        </w:rPr>
        <w:t> </w:t>
      </w:r>
      <w:r>
        <w:rPr>
          <w:sz w:val="18"/>
          <w:vertAlign w:val="baseline"/>
        </w:rPr>
        <w:t>to</w:t>
      </w:r>
      <w:r>
        <w:rPr>
          <w:spacing w:val="-3"/>
          <w:sz w:val="18"/>
          <w:vertAlign w:val="baseline"/>
        </w:rPr>
        <w:t> </w:t>
      </w:r>
      <w:r>
        <w:rPr>
          <w:sz w:val="18"/>
          <w:vertAlign w:val="baseline"/>
        </w:rPr>
        <w:t>Remote</w:t>
      </w:r>
      <w:r>
        <w:rPr>
          <w:spacing w:val="-3"/>
          <w:sz w:val="18"/>
          <w:vertAlign w:val="baseline"/>
        </w:rPr>
        <w:t> </w:t>
      </w:r>
      <w:r>
        <w:rPr>
          <w:sz w:val="18"/>
          <w:vertAlign w:val="baseline"/>
        </w:rPr>
        <w:t>Work?”</w:t>
      </w:r>
      <w:r>
        <w:rPr>
          <w:spacing w:val="-3"/>
          <w:sz w:val="18"/>
          <w:vertAlign w:val="baseline"/>
        </w:rPr>
        <w:t> </w:t>
      </w:r>
      <w:r>
        <w:rPr>
          <w:sz w:val="18"/>
          <w:vertAlign w:val="baseline"/>
        </w:rPr>
        <w:t>Boston.com</w:t>
      </w:r>
      <w:r>
        <w:rPr>
          <w:spacing w:val="-4"/>
          <w:sz w:val="18"/>
          <w:vertAlign w:val="baseline"/>
        </w:rPr>
        <w:t> </w:t>
      </w:r>
      <w:r>
        <w:rPr>
          <w:sz w:val="18"/>
          <w:vertAlign w:val="baseline"/>
        </w:rPr>
        <w:t>(Feb.</w:t>
      </w:r>
      <w:r>
        <w:rPr>
          <w:spacing w:val="-3"/>
          <w:sz w:val="18"/>
          <w:vertAlign w:val="baseline"/>
        </w:rPr>
        <w:t> </w:t>
      </w:r>
      <w:r>
        <w:rPr>
          <w:sz w:val="18"/>
          <w:vertAlign w:val="baseline"/>
        </w:rPr>
        <w:t>21,</w:t>
      </w:r>
      <w:r>
        <w:rPr>
          <w:spacing w:val="-4"/>
          <w:sz w:val="18"/>
          <w:vertAlign w:val="baseline"/>
        </w:rPr>
        <w:t> </w:t>
      </w:r>
      <w:r>
        <w:rPr>
          <w:sz w:val="18"/>
          <w:vertAlign w:val="baseline"/>
        </w:rPr>
        <w:t>2024). </w:t>
      </w:r>
      <w:bookmarkStart w:name="_bookmark574" w:id="869"/>
      <w:bookmarkEnd w:id="869"/>
      <w:r>
        <w:rPr>
          <w:spacing w:val="-2"/>
          <w:sz w:val="18"/>
          <w:vertAlign w:val="baseline"/>
        </w:rPr>
        <w:t>h</w:t>
      </w:r>
      <w:r>
        <w:rPr>
          <w:spacing w:val="-2"/>
          <w:sz w:val="18"/>
          <w:vertAlign w:val="baseline"/>
        </w:rPr>
        <w:t>ttps:</w:t>
      </w:r>
      <w:hyperlink r:id="rId663">
        <w:r>
          <w:rPr>
            <w:spacing w:val="-2"/>
            <w:sz w:val="18"/>
            <w:vertAlign w:val="baseline"/>
          </w:rPr>
          <w:t>//www.boston.com/community/tell-us/should-we-say-goodbye-to-remote-work/.</w:t>
        </w:r>
      </w:hyperlink>
    </w:p>
    <w:p>
      <w:pPr>
        <w:spacing w:before="1"/>
        <w:ind w:left="464" w:right="393" w:hanging="1"/>
        <w:jc w:val="left"/>
        <w:rPr>
          <w:sz w:val="18"/>
        </w:rPr>
      </w:pPr>
      <w:r>
        <w:rPr>
          <w:sz w:val="18"/>
          <w:vertAlign w:val="superscript"/>
        </w:rPr>
        <w:t>20</w:t>
      </w:r>
      <w:r>
        <w:rPr>
          <w:spacing w:val="-2"/>
          <w:sz w:val="18"/>
          <w:vertAlign w:val="baseline"/>
        </w:rPr>
        <w:t> </w:t>
      </w:r>
      <w:r>
        <w:rPr>
          <w:sz w:val="18"/>
          <w:vertAlign w:val="baseline"/>
        </w:rPr>
        <w:t>Nanos,</w:t>
      </w:r>
      <w:r>
        <w:rPr>
          <w:spacing w:val="-3"/>
          <w:sz w:val="18"/>
          <w:vertAlign w:val="baseline"/>
        </w:rPr>
        <w:t> </w:t>
      </w:r>
      <w:r>
        <w:rPr>
          <w:sz w:val="18"/>
          <w:vertAlign w:val="baseline"/>
        </w:rPr>
        <w:t>Janelle.</w:t>
      </w:r>
      <w:r>
        <w:rPr>
          <w:spacing w:val="-3"/>
          <w:sz w:val="18"/>
          <w:vertAlign w:val="baseline"/>
        </w:rPr>
        <w:t> </w:t>
      </w:r>
      <w:r>
        <w:rPr>
          <w:sz w:val="18"/>
          <w:vertAlign w:val="baseline"/>
        </w:rPr>
        <w:t>“MBTA</w:t>
      </w:r>
      <w:r>
        <w:rPr>
          <w:spacing w:val="-2"/>
          <w:sz w:val="18"/>
          <w:vertAlign w:val="baseline"/>
        </w:rPr>
        <w:t> </w:t>
      </w:r>
      <w:r>
        <w:rPr>
          <w:sz w:val="18"/>
          <w:vertAlign w:val="baseline"/>
        </w:rPr>
        <w:t>Riders</w:t>
      </w:r>
      <w:r>
        <w:rPr>
          <w:spacing w:val="-2"/>
          <w:sz w:val="18"/>
          <w:vertAlign w:val="baseline"/>
        </w:rPr>
        <w:t> </w:t>
      </w:r>
      <w:r>
        <w:rPr>
          <w:sz w:val="18"/>
          <w:vertAlign w:val="baseline"/>
        </w:rPr>
        <w:t>Are</w:t>
      </w:r>
      <w:r>
        <w:rPr>
          <w:spacing w:val="-2"/>
          <w:sz w:val="18"/>
          <w:vertAlign w:val="baseline"/>
        </w:rPr>
        <w:t> </w:t>
      </w:r>
      <w:r>
        <w:rPr>
          <w:sz w:val="18"/>
          <w:vertAlign w:val="baseline"/>
        </w:rPr>
        <w:t>Tired,</w:t>
      </w:r>
      <w:r>
        <w:rPr>
          <w:spacing w:val="-3"/>
          <w:sz w:val="18"/>
          <w:vertAlign w:val="baseline"/>
        </w:rPr>
        <w:t> </w:t>
      </w:r>
      <w:r>
        <w:rPr>
          <w:sz w:val="18"/>
          <w:vertAlign w:val="baseline"/>
        </w:rPr>
        <w:t>Fed</w:t>
      </w:r>
      <w:r>
        <w:rPr>
          <w:spacing w:val="-2"/>
          <w:sz w:val="18"/>
          <w:vertAlign w:val="baseline"/>
        </w:rPr>
        <w:t> </w:t>
      </w:r>
      <w:r>
        <w:rPr>
          <w:sz w:val="18"/>
          <w:vertAlign w:val="baseline"/>
        </w:rPr>
        <w:t>up</w:t>
      </w:r>
      <w:r>
        <w:rPr>
          <w:spacing w:val="-2"/>
          <w:sz w:val="18"/>
          <w:vertAlign w:val="baseline"/>
        </w:rPr>
        <w:t> </w:t>
      </w:r>
      <w:r>
        <w:rPr>
          <w:sz w:val="18"/>
          <w:vertAlign w:val="baseline"/>
        </w:rPr>
        <w:t>-</w:t>
      </w:r>
      <w:r>
        <w:rPr>
          <w:spacing w:val="-4"/>
          <w:sz w:val="18"/>
          <w:vertAlign w:val="baseline"/>
        </w:rPr>
        <w:t> </w:t>
      </w:r>
      <w:r>
        <w:rPr>
          <w:sz w:val="18"/>
          <w:vertAlign w:val="baseline"/>
        </w:rPr>
        <w:t>and</w:t>
      </w:r>
      <w:r>
        <w:rPr>
          <w:spacing w:val="-2"/>
          <w:sz w:val="18"/>
          <w:vertAlign w:val="baseline"/>
        </w:rPr>
        <w:t> </w:t>
      </w:r>
      <w:r>
        <w:rPr>
          <w:sz w:val="18"/>
          <w:vertAlign w:val="baseline"/>
        </w:rPr>
        <w:t>Essential.</w:t>
      </w:r>
      <w:r>
        <w:rPr>
          <w:spacing w:val="-2"/>
          <w:sz w:val="18"/>
          <w:vertAlign w:val="baseline"/>
        </w:rPr>
        <w:t> </w:t>
      </w:r>
      <w:r>
        <w:rPr>
          <w:sz w:val="18"/>
          <w:vertAlign w:val="baseline"/>
        </w:rPr>
        <w:t>They’re</w:t>
      </w:r>
      <w:r>
        <w:rPr>
          <w:spacing w:val="-2"/>
          <w:sz w:val="18"/>
          <w:vertAlign w:val="baseline"/>
        </w:rPr>
        <w:t> </w:t>
      </w:r>
      <w:r>
        <w:rPr>
          <w:sz w:val="18"/>
          <w:vertAlign w:val="baseline"/>
        </w:rPr>
        <w:t>Our</w:t>
      </w:r>
      <w:r>
        <w:rPr>
          <w:spacing w:val="-3"/>
          <w:sz w:val="18"/>
          <w:vertAlign w:val="baseline"/>
        </w:rPr>
        <w:t> </w:t>
      </w:r>
      <w:r>
        <w:rPr>
          <w:sz w:val="18"/>
          <w:vertAlign w:val="baseline"/>
        </w:rPr>
        <w:t>Bostonians</w:t>
      </w:r>
      <w:r>
        <w:rPr>
          <w:spacing w:val="-2"/>
          <w:sz w:val="18"/>
          <w:vertAlign w:val="baseline"/>
        </w:rPr>
        <w:t> </w:t>
      </w:r>
      <w:r>
        <w:rPr>
          <w:sz w:val="18"/>
          <w:vertAlign w:val="baseline"/>
        </w:rPr>
        <w:t>of</w:t>
      </w:r>
      <w:r>
        <w:rPr>
          <w:spacing w:val="-2"/>
          <w:sz w:val="18"/>
          <w:vertAlign w:val="baseline"/>
        </w:rPr>
        <w:t> </w:t>
      </w:r>
      <w:r>
        <w:rPr>
          <w:sz w:val="18"/>
          <w:vertAlign w:val="baseline"/>
        </w:rPr>
        <w:t>the</w:t>
      </w:r>
      <w:r>
        <w:rPr>
          <w:spacing w:val="-2"/>
          <w:sz w:val="18"/>
          <w:vertAlign w:val="baseline"/>
        </w:rPr>
        <w:t> </w:t>
      </w:r>
      <w:r>
        <w:rPr>
          <w:sz w:val="18"/>
          <w:vertAlign w:val="baseline"/>
        </w:rPr>
        <w:t>Year.”</w:t>
      </w:r>
      <w:r>
        <w:rPr>
          <w:spacing w:val="-2"/>
          <w:sz w:val="18"/>
          <w:vertAlign w:val="baseline"/>
        </w:rPr>
        <w:t> </w:t>
      </w:r>
      <w:r>
        <w:rPr>
          <w:sz w:val="18"/>
          <w:vertAlign w:val="baseline"/>
        </w:rPr>
        <w:t>BostonGlobe.Com, The Boston Globe (December 20, 2023). </w:t>
      </w:r>
      <w:hyperlink r:id="rId664">
        <w:r>
          <w:rPr>
            <w:sz w:val="18"/>
            <w:vertAlign w:val="baseline"/>
          </w:rPr>
          <w:t>www.bostonglobe.com/2023/12/12/magazine/bostonians-of-the-year-the-</w:t>
        </w:r>
      </w:hyperlink>
      <w:r>
        <w:rPr>
          <w:sz w:val="18"/>
          <w:vertAlign w:val="baseline"/>
        </w:rPr>
        <w:t> </w:t>
      </w:r>
      <w:r>
        <w:rPr>
          <w:spacing w:val="-2"/>
          <w:sz w:val="18"/>
          <w:vertAlign w:val="baseline"/>
        </w:rPr>
        <w:t>beleaguered-essential-mbta-commuter/</w:t>
      </w:r>
    </w:p>
    <w:p>
      <w:pPr>
        <w:spacing w:before="0"/>
        <w:ind w:left="464" w:right="232" w:firstLine="0"/>
        <w:jc w:val="left"/>
        <w:rPr>
          <w:sz w:val="18"/>
        </w:rPr>
      </w:pPr>
      <w:bookmarkStart w:name="_bookmark575" w:id="870"/>
      <w:bookmarkEnd w:id="870"/>
      <w:r>
        <w:rPr/>
      </w:r>
      <w:r>
        <w:rPr>
          <w:sz w:val="18"/>
          <w:vertAlign w:val="superscript"/>
        </w:rPr>
        <w:t>21</w:t>
      </w:r>
      <w:r>
        <w:rPr>
          <w:spacing w:val="-2"/>
          <w:sz w:val="18"/>
          <w:vertAlign w:val="baseline"/>
        </w:rPr>
        <w:t> </w:t>
      </w:r>
      <w:r>
        <w:rPr>
          <w:sz w:val="18"/>
          <w:vertAlign w:val="baseline"/>
        </w:rPr>
        <w:t>Dolven,</w:t>
      </w:r>
      <w:r>
        <w:rPr>
          <w:spacing w:val="-3"/>
          <w:sz w:val="18"/>
          <w:vertAlign w:val="baseline"/>
        </w:rPr>
        <w:t> </w:t>
      </w:r>
      <w:r>
        <w:rPr>
          <w:sz w:val="18"/>
          <w:vertAlign w:val="baseline"/>
        </w:rPr>
        <w:t>Taylor.</w:t>
      </w:r>
      <w:r>
        <w:rPr>
          <w:spacing w:val="-1"/>
          <w:sz w:val="18"/>
          <w:vertAlign w:val="baseline"/>
        </w:rPr>
        <w:t> </w:t>
      </w:r>
      <w:r>
        <w:rPr>
          <w:sz w:val="18"/>
          <w:vertAlign w:val="baseline"/>
        </w:rPr>
        <w:t>“In</w:t>
      </w:r>
      <w:r>
        <w:rPr>
          <w:spacing w:val="-2"/>
          <w:sz w:val="18"/>
          <w:vertAlign w:val="baseline"/>
        </w:rPr>
        <w:t> </w:t>
      </w:r>
      <w:r>
        <w:rPr>
          <w:sz w:val="18"/>
          <w:vertAlign w:val="baseline"/>
        </w:rPr>
        <w:t>Boston,</w:t>
      </w:r>
      <w:r>
        <w:rPr>
          <w:spacing w:val="-3"/>
          <w:sz w:val="18"/>
          <w:vertAlign w:val="baseline"/>
        </w:rPr>
        <w:t> </w:t>
      </w:r>
      <w:r>
        <w:rPr>
          <w:sz w:val="18"/>
          <w:vertAlign w:val="baseline"/>
        </w:rPr>
        <w:t>Parked</w:t>
      </w:r>
      <w:r>
        <w:rPr>
          <w:spacing w:val="-2"/>
          <w:sz w:val="18"/>
          <w:vertAlign w:val="baseline"/>
        </w:rPr>
        <w:t> </w:t>
      </w:r>
      <w:r>
        <w:rPr>
          <w:sz w:val="18"/>
          <w:vertAlign w:val="baseline"/>
        </w:rPr>
        <w:t>Cars</w:t>
      </w:r>
      <w:r>
        <w:rPr>
          <w:spacing w:val="-2"/>
          <w:sz w:val="18"/>
          <w:vertAlign w:val="baseline"/>
        </w:rPr>
        <w:t> </w:t>
      </w:r>
      <w:r>
        <w:rPr>
          <w:sz w:val="18"/>
          <w:vertAlign w:val="baseline"/>
        </w:rPr>
        <w:t>Regularly</w:t>
      </w:r>
      <w:r>
        <w:rPr>
          <w:spacing w:val="-2"/>
          <w:sz w:val="18"/>
          <w:vertAlign w:val="baseline"/>
        </w:rPr>
        <w:t> </w:t>
      </w:r>
      <w:r>
        <w:rPr>
          <w:sz w:val="18"/>
          <w:vertAlign w:val="baseline"/>
        </w:rPr>
        <w:t>Block</w:t>
      </w:r>
      <w:r>
        <w:rPr>
          <w:spacing w:val="-3"/>
          <w:sz w:val="18"/>
          <w:vertAlign w:val="baseline"/>
        </w:rPr>
        <w:t> </w:t>
      </w:r>
      <w:r>
        <w:rPr>
          <w:sz w:val="18"/>
          <w:vertAlign w:val="baseline"/>
        </w:rPr>
        <w:t>Buses.</w:t>
      </w:r>
      <w:r>
        <w:rPr>
          <w:spacing w:val="-2"/>
          <w:sz w:val="18"/>
          <w:vertAlign w:val="baseline"/>
        </w:rPr>
        <w:t> </w:t>
      </w:r>
      <w:r>
        <w:rPr>
          <w:sz w:val="18"/>
          <w:vertAlign w:val="baseline"/>
        </w:rPr>
        <w:t>Other</w:t>
      </w:r>
      <w:r>
        <w:rPr>
          <w:spacing w:val="-3"/>
          <w:sz w:val="18"/>
          <w:vertAlign w:val="baseline"/>
        </w:rPr>
        <w:t> </w:t>
      </w:r>
      <w:r>
        <w:rPr>
          <w:sz w:val="18"/>
          <w:vertAlign w:val="baseline"/>
        </w:rPr>
        <w:t>Cities</w:t>
      </w:r>
      <w:r>
        <w:rPr>
          <w:spacing w:val="-2"/>
          <w:sz w:val="18"/>
          <w:vertAlign w:val="baseline"/>
        </w:rPr>
        <w:t> </w:t>
      </w:r>
      <w:r>
        <w:rPr>
          <w:sz w:val="18"/>
          <w:vertAlign w:val="baseline"/>
        </w:rPr>
        <w:t>Show:</w:t>
      </w:r>
      <w:r>
        <w:rPr>
          <w:spacing w:val="-2"/>
          <w:sz w:val="18"/>
          <w:vertAlign w:val="baseline"/>
        </w:rPr>
        <w:t> </w:t>
      </w:r>
      <w:r>
        <w:rPr>
          <w:sz w:val="18"/>
          <w:vertAlign w:val="baseline"/>
        </w:rPr>
        <w:t>It</w:t>
      </w:r>
      <w:r>
        <w:rPr>
          <w:spacing w:val="-3"/>
          <w:sz w:val="18"/>
          <w:vertAlign w:val="baseline"/>
        </w:rPr>
        <w:t> </w:t>
      </w:r>
      <w:r>
        <w:rPr>
          <w:sz w:val="18"/>
          <w:vertAlign w:val="baseline"/>
        </w:rPr>
        <w:t>Doesn’t</w:t>
      </w:r>
      <w:r>
        <w:rPr>
          <w:spacing w:val="-3"/>
          <w:sz w:val="18"/>
          <w:vertAlign w:val="baseline"/>
        </w:rPr>
        <w:t> </w:t>
      </w:r>
      <w:r>
        <w:rPr>
          <w:sz w:val="18"/>
          <w:vertAlign w:val="baseline"/>
        </w:rPr>
        <w:t>Have</w:t>
      </w:r>
      <w:r>
        <w:rPr>
          <w:spacing w:val="-2"/>
          <w:sz w:val="18"/>
          <w:vertAlign w:val="baseline"/>
        </w:rPr>
        <w:t> </w:t>
      </w:r>
      <w:r>
        <w:rPr>
          <w:sz w:val="18"/>
          <w:vertAlign w:val="baseline"/>
        </w:rPr>
        <w:t>to</w:t>
      </w:r>
      <w:r>
        <w:rPr>
          <w:spacing w:val="-2"/>
          <w:sz w:val="18"/>
          <w:vertAlign w:val="baseline"/>
        </w:rPr>
        <w:t> </w:t>
      </w:r>
      <w:r>
        <w:rPr>
          <w:sz w:val="18"/>
          <w:vertAlign w:val="baseline"/>
        </w:rPr>
        <w:t>Be</w:t>
      </w:r>
      <w:r>
        <w:rPr>
          <w:spacing w:val="-2"/>
          <w:sz w:val="18"/>
          <w:vertAlign w:val="baseline"/>
        </w:rPr>
        <w:t> </w:t>
      </w:r>
      <w:r>
        <w:rPr>
          <w:sz w:val="18"/>
          <w:vertAlign w:val="baseline"/>
        </w:rPr>
        <w:t>This</w:t>
      </w:r>
      <w:r>
        <w:rPr>
          <w:spacing w:val="-2"/>
          <w:sz w:val="18"/>
          <w:vertAlign w:val="baseline"/>
        </w:rPr>
        <w:t> </w:t>
      </w:r>
      <w:r>
        <w:rPr>
          <w:sz w:val="18"/>
          <w:vertAlign w:val="baseline"/>
        </w:rPr>
        <w:t>Way.”</w:t>
      </w:r>
      <w:r>
        <w:rPr>
          <w:spacing w:val="-2"/>
          <w:sz w:val="18"/>
          <w:vertAlign w:val="baseline"/>
        </w:rPr>
        <w:t> </w:t>
      </w:r>
      <w:r>
        <w:rPr>
          <w:sz w:val="18"/>
          <w:vertAlign w:val="baseline"/>
        </w:rPr>
        <w:t>The Boston Globe (March 26, 2024). </w:t>
      </w:r>
      <w:hyperlink r:id="rId665">
        <w:r>
          <w:rPr>
            <w:sz w:val="18"/>
            <w:vertAlign w:val="baseline"/>
          </w:rPr>
          <w:t>www.bostonglobe.com/2024/03/26/metro/cameras-on-buses-to-unblock-lanes/</w:t>
        </w:r>
      </w:hyperlink>
    </w:p>
    <w:p>
      <w:pPr>
        <w:spacing w:before="0"/>
        <w:ind w:left="463" w:right="478" w:firstLine="0"/>
        <w:jc w:val="left"/>
        <w:rPr>
          <w:sz w:val="18"/>
        </w:rPr>
      </w:pPr>
      <w:bookmarkStart w:name="_bookmark576" w:id="871"/>
      <w:bookmarkEnd w:id="871"/>
      <w:r>
        <w:rPr/>
      </w:r>
      <w:r>
        <w:rPr>
          <w:sz w:val="18"/>
          <w:vertAlign w:val="superscript"/>
        </w:rPr>
        <w:t>22</w:t>
      </w:r>
      <w:r>
        <w:rPr>
          <w:sz w:val="18"/>
          <w:vertAlign w:val="baseline"/>
        </w:rPr>
        <w:t> Miller, Kara. “‘You Can’t Cure Cancer When You’re Sitting in Traffic’: The MBTA Poses a Problem for Mass. Competitiveness.”</w:t>
      </w:r>
      <w:r>
        <w:rPr>
          <w:spacing w:val="-6"/>
          <w:sz w:val="18"/>
          <w:vertAlign w:val="baseline"/>
        </w:rPr>
        <w:t> </w:t>
      </w:r>
      <w:r>
        <w:rPr>
          <w:sz w:val="18"/>
          <w:vertAlign w:val="baseline"/>
        </w:rPr>
        <w:t>The</w:t>
      </w:r>
      <w:r>
        <w:rPr>
          <w:spacing w:val="-6"/>
          <w:sz w:val="18"/>
          <w:vertAlign w:val="baseline"/>
        </w:rPr>
        <w:t> </w:t>
      </w:r>
      <w:r>
        <w:rPr>
          <w:sz w:val="18"/>
          <w:vertAlign w:val="baseline"/>
        </w:rPr>
        <w:t>Boston</w:t>
      </w:r>
      <w:r>
        <w:rPr>
          <w:spacing w:val="-6"/>
          <w:sz w:val="18"/>
          <w:vertAlign w:val="baseline"/>
        </w:rPr>
        <w:t> </w:t>
      </w:r>
      <w:r>
        <w:rPr>
          <w:sz w:val="18"/>
          <w:vertAlign w:val="baseline"/>
        </w:rPr>
        <w:t>Globe</w:t>
      </w:r>
      <w:r>
        <w:rPr>
          <w:spacing w:val="-6"/>
          <w:sz w:val="18"/>
          <w:vertAlign w:val="baseline"/>
        </w:rPr>
        <w:t> </w:t>
      </w:r>
      <w:r>
        <w:rPr>
          <w:sz w:val="18"/>
          <w:vertAlign w:val="baseline"/>
        </w:rPr>
        <w:t>(November</w:t>
      </w:r>
      <w:r>
        <w:rPr>
          <w:spacing w:val="-6"/>
          <w:sz w:val="18"/>
          <w:vertAlign w:val="baseline"/>
        </w:rPr>
        <w:t> </w:t>
      </w:r>
      <w:r>
        <w:rPr>
          <w:sz w:val="18"/>
          <w:vertAlign w:val="baseline"/>
        </w:rPr>
        <w:t>12,</w:t>
      </w:r>
      <w:r>
        <w:rPr>
          <w:spacing w:val="-6"/>
          <w:sz w:val="18"/>
          <w:vertAlign w:val="baseline"/>
        </w:rPr>
        <w:t> </w:t>
      </w:r>
      <w:r>
        <w:rPr>
          <w:sz w:val="18"/>
          <w:vertAlign w:val="baseline"/>
        </w:rPr>
        <w:t>2023).</w:t>
      </w:r>
      <w:r>
        <w:rPr>
          <w:spacing w:val="-6"/>
          <w:sz w:val="18"/>
          <w:vertAlign w:val="baseline"/>
        </w:rPr>
        <w:t> </w:t>
      </w:r>
      <w:hyperlink r:id="rId666">
        <w:r>
          <w:rPr>
            <w:sz w:val="18"/>
            <w:vertAlign w:val="baseline"/>
          </w:rPr>
          <w:t>www.bostonglobe.com/2023/11/10/business/mbta-kendall-</w:t>
        </w:r>
      </w:hyperlink>
      <w:r>
        <w:rPr>
          <w:sz w:val="18"/>
          <w:vertAlign w:val="baseline"/>
        </w:rPr>
        <w:t> </w:t>
      </w:r>
      <w:r>
        <w:rPr>
          <w:spacing w:val="-2"/>
          <w:sz w:val="18"/>
          <w:vertAlign w:val="baseline"/>
        </w:rPr>
        <w:t>square-red-line/</w:t>
      </w:r>
    </w:p>
    <w:p>
      <w:pPr>
        <w:spacing w:before="0"/>
        <w:ind w:left="464" w:right="249" w:firstLine="0"/>
        <w:jc w:val="left"/>
        <w:rPr>
          <w:sz w:val="18"/>
        </w:rPr>
      </w:pPr>
      <w:bookmarkStart w:name="_bookmark577" w:id="872"/>
      <w:bookmarkEnd w:id="872"/>
      <w:r>
        <w:rPr/>
      </w:r>
      <w:r>
        <w:rPr>
          <w:sz w:val="18"/>
          <w:vertAlign w:val="superscript"/>
        </w:rPr>
        <w:t>23</w:t>
      </w:r>
      <w:r>
        <w:rPr>
          <w:spacing w:val="-2"/>
          <w:sz w:val="18"/>
          <w:vertAlign w:val="baseline"/>
        </w:rPr>
        <w:t> </w:t>
      </w:r>
      <w:r>
        <w:rPr>
          <w:sz w:val="18"/>
          <w:vertAlign w:val="baseline"/>
        </w:rPr>
        <w:t>Dolven,</w:t>
      </w:r>
      <w:r>
        <w:rPr>
          <w:spacing w:val="-3"/>
          <w:sz w:val="18"/>
          <w:vertAlign w:val="baseline"/>
        </w:rPr>
        <w:t> </w:t>
      </w:r>
      <w:r>
        <w:rPr>
          <w:sz w:val="18"/>
          <w:vertAlign w:val="baseline"/>
        </w:rPr>
        <w:t>Taylor,</w:t>
      </w:r>
      <w:r>
        <w:rPr>
          <w:spacing w:val="-2"/>
          <w:sz w:val="18"/>
          <w:vertAlign w:val="baseline"/>
        </w:rPr>
        <w:t> </w:t>
      </w:r>
      <w:r>
        <w:rPr>
          <w:sz w:val="18"/>
          <w:vertAlign w:val="baseline"/>
        </w:rPr>
        <w:t>and</w:t>
      </w:r>
      <w:r>
        <w:rPr>
          <w:spacing w:val="-2"/>
          <w:sz w:val="18"/>
          <w:vertAlign w:val="baseline"/>
        </w:rPr>
        <w:t> </w:t>
      </w:r>
      <w:r>
        <w:rPr>
          <w:sz w:val="18"/>
          <w:vertAlign w:val="baseline"/>
        </w:rPr>
        <w:t>Laura</w:t>
      </w:r>
      <w:r>
        <w:rPr>
          <w:spacing w:val="-2"/>
          <w:sz w:val="18"/>
          <w:vertAlign w:val="baseline"/>
        </w:rPr>
        <w:t> </w:t>
      </w:r>
      <w:r>
        <w:rPr>
          <w:sz w:val="18"/>
          <w:vertAlign w:val="baseline"/>
        </w:rPr>
        <w:t>Crimaldi.</w:t>
      </w:r>
      <w:r>
        <w:rPr>
          <w:spacing w:val="-2"/>
          <w:sz w:val="18"/>
          <w:vertAlign w:val="baseline"/>
        </w:rPr>
        <w:t> </w:t>
      </w:r>
      <w:r>
        <w:rPr>
          <w:sz w:val="18"/>
          <w:vertAlign w:val="baseline"/>
        </w:rPr>
        <w:t>“MBTA</w:t>
      </w:r>
      <w:r>
        <w:rPr>
          <w:spacing w:val="-2"/>
          <w:sz w:val="18"/>
          <w:vertAlign w:val="baseline"/>
        </w:rPr>
        <w:t> </w:t>
      </w:r>
      <w:r>
        <w:rPr>
          <w:sz w:val="18"/>
          <w:vertAlign w:val="baseline"/>
        </w:rPr>
        <w:t>Says</w:t>
      </w:r>
      <w:r>
        <w:rPr>
          <w:spacing w:val="-3"/>
          <w:sz w:val="18"/>
          <w:vertAlign w:val="baseline"/>
        </w:rPr>
        <w:t> </w:t>
      </w:r>
      <w:r>
        <w:rPr>
          <w:sz w:val="18"/>
          <w:vertAlign w:val="baseline"/>
        </w:rPr>
        <w:t>It</w:t>
      </w:r>
      <w:r>
        <w:rPr>
          <w:spacing w:val="-3"/>
          <w:sz w:val="18"/>
          <w:vertAlign w:val="baseline"/>
        </w:rPr>
        <w:t> </w:t>
      </w:r>
      <w:r>
        <w:rPr>
          <w:sz w:val="18"/>
          <w:vertAlign w:val="baseline"/>
        </w:rPr>
        <w:t>Needs</w:t>
      </w:r>
      <w:r>
        <w:rPr>
          <w:spacing w:val="-2"/>
          <w:sz w:val="18"/>
          <w:vertAlign w:val="baseline"/>
        </w:rPr>
        <w:t> </w:t>
      </w:r>
      <w:r>
        <w:rPr>
          <w:sz w:val="18"/>
          <w:vertAlign w:val="baseline"/>
        </w:rPr>
        <w:t>at</w:t>
      </w:r>
      <w:r>
        <w:rPr>
          <w:spacing w:val="-3"/>
          <w:sz w:val="18"/>
          <w:vertAlign w:val="baseline"/>
        </w:rPr>
        <w:t> </w:t>
      </w:r>
      <w:r>
        <w:rPr>
          <w:sz w:val="18"/>
          <w:vertAlign w:val="baseline"/>
        </w:rPr>
        <w:t>Least</w:t>
      </w:r>
      <w:r>
        <w:rPr>
          <w:spacing w:val="-4"/>
          <w:sz w:val="18"/>
          <w:vertAlign w:val="baseline"/>
        </w:rPr>
        <w:t> </w:t>
      </w:r>
      <w:r>
        <w:rPr>
          <w:sz w:val="18"/>
          <w:vertAlign w:val="baseline"/>
        </w:rPr>
        <w:t>$24.5</w:t>
      </w:r>
      <w:r>
        <w:rPr>
          <w:spacing w:val="-2"/>
          <w:sz w:val="18"/>
          <w:vertAlign w:val="baseline"/>
        </w:rPr>
        <w:t> </w:t>
      </w:r>
      <w:r>
        <w:rPr>
          <w:sz w:val="18"/>
          <w:vertAlign w:val="baseline"/>
        </w:rPr>
        <w:t>Billion</w:t>
      </w:r>
      <w:r>
        <w:rPr>
          <w:spacing w:val="-2"/>
          <w:sz w:val="18"/>
          <w:vertAlign w:val="baseline"/>
        </w:rPr>
        <w:t> </w:t>
      </w:r>
      <w:r>
        <w:rPr>
          <w:sz w:val="18"/>
          <w:vertAlign w:val="baseline"/>
        </w:rPr>
        <w:t>to</w:t>
      </w:r>
      <w:r>
        <w:rPr>
          <w:spacing w:val="-1"/>
          <w:sz w:val="18"/>
          <w:vertAlign w:val="baseline"/>
        </w:rPr>
        <w:t> </w:t>
      </w:r>
      <w:r>
        <w:rPr>
          <w:sz w:val="18"/>
          <w:vertAlign w:val="baseline"/>
        </w:rPr>
        <w:t>Repair</w:t>
      </w:r>
      <w:r>
        <w:rPr>
          <w:spacing w:val="-3"/>
          <w:sz w:val="18"/>
          <w:vertAlign w:val="baseline"/>
        </w:rPr>
        <w:t> </w:t>
      </w:r>
      <w:r>
        <w:rPr>
          <w:sz w:val="18"/>
          <w:vertAlign w:val="baseline"/>
        </w:rPr>
        <w:t>Its</w:t>
      </w:r>
      <w:r>
        <w:rPr>
          <w:spacing w:val="-2"/>
          <w:sz w:val="18"/>
          <w:vertAlign w:val="baseline"/>
        </w:rPr>
        <w:t> </w:t>
      </w:r>
      <w:r>
        <w:rPr>
          <w:sz w:val="18"/>
          <w:vertAlign w:val="baseline"/>
        </w:rPr>
        <w:t>Troubled</w:t>
      </w:r>
      <w:r>
        <w:rPr>
          <w:spacing w:val="-2"/>
          <w:sz w:val="18"/>
          <w:vertAlign w:val="baseline"/>
        </w:rPr>
        <w:t> </w:t>
      </w:r>
      <w:r>
        <w:rPr>
          <w:sz w:val="18"/>
          <w:vertAlign w:val="baseline"/>
        </w:rPr>
        <w:t>System.”</w:t>
      </w:r>
      <w:r>
        <w:rPr>
          <w:spacing w:val="-2"/>
          <w:sz w:val="18"/>
          <w:vertAlign w:val="baseline"/>
        </w:rPr>
        <w:t> </w:t>
      </w:r>
      <w:r>
        <w:rPr>
          <w:sz w:val="18"/>
          <w:vertAlign w:val="baseline"/>
        </w:rPr>
        <w:t>The</w:t>
      </w:r>
      <w:r>
        <w:rPr>
          <w:spacing w:val="-4"/>
          <w:sz w:val="18"/>
          <w:vertAlign w:val="baseline"/>
        </w:rPr>
        <w:t> </w:t>
      </w:r>
      <w:r>
        <w:rPr>
          <w:sz w:val="18"/>
          <w:vertAlign w:val="baseline"/>
        </w:rPr>
        <w:t>Boston Globe (November 16, 2023). </w:t>
      </w:r>
      <w:hyperlink r:id="rId667">
        <w:r>
          <w:rPr>
            <w:sz w:val="18"/>
            <w:vertAlign w:val="baseline"/>
          </w:rPr>
          <w:t>www.bostonglobe.com/2023/11/16/metro/cost-to-fix-mbta/</w:t>
        </w:r>
      </w:hyperlink>
    </w:p>
    <w:p>
      <w:pPr>
        <w:spacing w:before="0"/>
        <w:ind w:left="464" w:right="500" w:firstLine="0"/>
        <w:jc w:val="both"/>
        <w:rPr>
          <w:sz w:val="18"/>
        </w:rPr>
      </w:pPr>
      <w:bookmarkStart w:name="_bookmark578" w:id="873"/>
      <w:bookmarkEnd w:id="873"/>
      <w:r>
        <w:rPr/>
      </w:r>
      <w:r>
        <w:rPr>
          <w:sz w:val="18"/>
          <w:vertAlign w:val="superscript"/>
        </w:rPr>
        <w:t>24</w:t>
      </w:r>
      <w:r>
        <w:rPr>
          <w:spacing w:val="-2"/>
          <w:sz w:val="18"/>
          <w:vertAlign w:val="baseline"/>
        </w:rPr>
        <w:t> </w:t>
      </w:r>
      <w:r>
        <w:rPr>
          <w:sz w:val="18"/>
          <w:vertAlign w:val="baseline"/>
        </w:rPr>
        <w:t>Stening,</w:t>
      </w:r>
      <w:r>
        <w:rPr>
          <w:spacing w:val="-3"/>
          <w:sz w:val="18"/>
          <w:vertAlign w:val="baseline"/>
        </w:rPr>
        <w:t> </w:t>
      </w:r>
      <w:r>
        <w:rPr>
          <w:sz w:val="18"/>
          <w:vertAlign w:val="baseline"/>
        </w:rPr>
        <w:t>Tanner.</w:t>
      </w:r>
      <w:r>
        <w:rPr>
          <w:spacing w:val="-2"/>
          <w:sz w:val="18"/>
          <w:vertAlign w:val="baseline"/>
        </w:rPr>
        <w:t> </w:t>
      </w:r>
      <w:r>
        <w:rPr>
          <w:sz w:val="18"/>
          <w:vertAlign w:val="baseline"/>
        </w:rPr>
        <w:t>“He</w:t>
      </w:r>
      <w:r>
        <w:rPr>
          <w:spacing w:val="-2"/>
          <w:sz w:val="18"/>
          <w:vertAlign w:val="baseline"/>
        </w:rPr>
        <w:t> </w:t>
      </w:r>
      <w:r>
        <w:rPr>
          <w:sz w:val="18"/>
          <w:vertAlign w:val="baseline"/>
        </w:rPr>
        <w:t>Spends</w:t>
      </w:r>
      <w:r>
        <w:rPr>
          <w:spacing w:val="-2"/>
          <w:sz w:val="18"/>
          <w:vertAlign w:val="baseline"/>
        </w:rPr>
        <w:t> </w:t>
      </w:r>
      <w:r>
        <w:rPr>
          <w:sz w:val="18"/>
          <w:vertAlign w:val="baseline"/>
        </w:rPr>
        <w:t>$230</w:t>
      </w:r>
      <w:r>
        <w:rPr>
          <w:spacing w:val="-2"/>
          <w:sz w:val="18"/>
          <w:vertAlign w:val="baseline"/>
        </w:rPr>
        <w:t> </w:t>
      </w:r>
      <w:r>
        <w:rPr>
          <w:sz w:val="18"/>
          <w:vertAlign w:val="baseline"/>
        </w:rPr>
        <w:t>a</w:t>
      </w:r>
      <w:r>
        <w:rPr>
          <w:spacing w:val="-2"/>
          <w:sz w:val="18"/>
          <w:vertAlign w:val="baseline"/>
        </w:rPr>
        <w:t> </w:t>
      </w:r>
      <w:r>
        <w:rPr>
          <w:sz w:val="18"/>
          <w:vertAlign w:val="baseline"/>
        </w:rPr>
        <w:t>Week</w:t>
      </w:r>
      <w:r>
        <w:rPr>
          <w:spacing w:val="-3"/>
          <w:sz w:val="18"/>
          <w:vertAlign w:val="baseline"/>
        </w:rPr>
        <w:t> </w:t>
      </w:r>
      <w:r>
        <w:rPr>
          <w:sz w:val="18"/>
          <w:vertAlign w:val="baseline"/>
        </w:rPr>
        <w:t>to</w:t>
      </w:r>
      <w:r>
        <w:rPr>
          <w:spacing w:val="-2"/>
          <w:sz w:val="18"/>
          <w:vertAlign w:val="baseline"/>
        </w:rPr>
        <w:t> </w:t>
      </w:r>
      <w:r>
        <w:rPr>
          <w:sz w:val="18"/>
          <w:vertAlign w:val="baseline"/>
        </w:rPr>
        <w:t>Get</w:t>
      </w:r>
      <w:r>
        <w:rPr>
          <w:spacing w:val="-3"/>
          <w:sz w:val="18"/>
          <w:vertAlign w:val="baseline"/>
        </w:rPr>
        <w:t> </w:t>
      </w:r>
      <w:r>
        <w:rPr>
          <w:sz w:val="18"/>
          <w:vertAlign w:val="baseline"/>
        </w:rPr>
        <w:t>from</w:t>
      </w:r>
      <w:r>
        <w:rPr>
          <w:spacing w:val="-2"/>
          <w:sz w:val="18"/>
          <w:vertAlign w:val="baseline"/>
        </w:rPr>
        <w:t> </w:t>
      </w:r>
      <w:r>
        <w:rPr>
          <w:sz w:val="18"/>
          <w:vertAlign w:val="baseline"/>
        </w:rPr>
        <w:t>Western</w:t>
      </w:r>
      <w:r>
        <w:rPr>
          <w:spacing w:val="-2"/>
          <w:sz w:val="18"/>
          <w:vertAlign w:val="baseline"/>
        </w:rPr>
        <w:t> </w:t>
      </w:r>
      <w:r>
        <w:rPr>
          <w:sz w:val="18"/>
          <w:vertAlign w:val="baseline"/>
        </w:rPr>
        <w:t>Mass.</w:t>
      </w:r>
      <w:r>
        <w:rPr>
          <w:spacing w:val="-2"/>
          <w:sz w:val="18"/>
          <w:vertAlign w:val="baseline"/>
        </w:rPr>
        <w:t> </w:t>
      </w:r>
      <w:r>
        <w:rPr>
          <w:sz w:val="18"/>
          <w:vertAlign w:val="baseline"/>
        </w:rPr>
        <w:t>to</w:t>
      </w:r>
      <w:r>
        <w:rPr>
          <w:spacing w:val="-2"/>
          <w:sz w:val="18"/>
          <w:vertAlign w:val="baseline"/>
        </w:rPr>
        <w:t> </w:t>
      </w:r>
      <w:r>
        <w:rPr>
          <w:sz w:val="18"/>
          <w:vertAlign w:val="baseline"/>
        </w:rPr>
        <w:t>Boston</w:t>
      </w:r>
      <w:r>
        <w:rPr>
          <w:spacing w:val="-3"/>
          <w:sz w:val="18"/>
          <w:vertAlign w:val="baseline"/>
        </w:rPr>
        <w:t> </w:t>
      </w:r>
      <w:r>
        <w:rPr>
          <w:sz w:val="18"/>
          <w:vertAlign w:val="baseline"/>
        </w:rPr>
        <w:t>and</w:t>
      </w:r>
      <w:r>
        <w:rPr>
          <w:spacing w:val="-2"/>
          <w:sz w:val="18"/>
          <w:vertAlign w:val="baseline"/>
        </w:rPr>
        <w:t> </w:t>
      </w:r>
      <w:r>
        <w:rPr>
          <w:sz w:val="18"/>
          <w:vertAlign w:val="baseline"/>
        </w:rPr>
        <w:t>He’s</w:t>
      </w:r>
      <w:r>
        <w:rPr>
          <w:spacing w:val="-2"/>
          <w:sz w:val="18"/>
          <w:vertAlign w:val="baseline"/>
        </w:rPr>
        <w:t> </w:t>
      </w:r>
      <w:r>
        <w:rPr>
          <w:sz w:val="18"/>
          <w:vertAlign w:val="baseline"/>
        </w:rPr>
        <w:t>Not</w:t>
      </w:r>
      <w:r>
        <w:rPr>
          <w:spacing w:val="-3"/>
          <w:sz w:val="18"/>
          <w:vertAlign w:val="baseline"/>
        </w:rPr>
        <w:t> </w:t>
      </w:r>
      <w:r>
        <w:rPr>
          <w:sz w:val="18"/>
          <w:vertAlign w:val="baseline"/>
        </w:rPr>
        <w:t>Alone;</w:t>
      </w:r>
      <w:r>
        <w:rPr>
          <w:spacing w:val="-2"/>
          <w:sz w:val="18"/>
          <w:vertAlign w:val="baseline"/>
        </w:rPr>
        <w:t> </w:t>
      </w:r>
      <w:r>
        <w:rPr>
          <w:sz w:val="18"/>
          <w:vertAlign w:val="baseline"/>
        </w:rPr>
        <w:t>Meet</w:t>
      </w:r>
      <w:r>
        <w:rPr>
          <w:spacing w:val="-3"/>
          <w:sz w:val="18"/>
          <w:vertAlign w:val="baseline"/>
        </w:rPr>
        <w:t> </w:t>
      </w:r>
      <w:r>
        <w:rPr>
          <w:sz w:val="18"/>
          <w:vertAlign w:val="baseline"/>
        </w:rPr>
        <w:t>One</w:t>
      </w:r>
      <w:r>
        <w:rPr>
          <w:spacing w:val="-2"/>
          <w:sz w:val="18"/>
          <w:vertAlign w:val="baseline"/>
        </w:rPr>
        <w:t> </w:t>
      </w:r>
      <w:r>
        <w:rPr>
          <w:sz w:val="18"/>
          <w:vertAlign w:val="baseline"/>
        </w:rPr>
        <w:t>of</w:t>
      </w:r>
      <w:r>
        <w:rPr>
          <w:spacing w:val="-3"/>
          <w:sz w:val="18"/>
          <w:vertAlign w:val="baseline"/>
        </w:rPr>
        <w:t> </w:t>
      </w:r>
      <w:r>
        <w:rPr>
          <w:sz w:val="18"/>
          <w:vertAlign w:val="baseline"/>
        </w:rPr>
        <w:t>the State’s</w:t>
      </w:r>
      <w:r>
        <w:rPr>
          <w:spacing w:val="-1"/>
          <w:sz w:val="18"/>
          <w:vertAlign w:val="baseline"/>
        </w:rPr>
        <w:t> </w:t>
      </w:r>
      <w:r>
        <w:rPr>
          <w:sz w:val="18"/>
          <w:vertAlign w:val="baseline"/>
        </w:rPr>
        <w:t>More</w:t>
      </w:r>
      <w:r>
        <w:rPr>
          <w:spacing w:val="-1"/>
          <w:sz w:val="18"/>
          <w:vertAlign w:val="baseline"/>
        </w:rPr>
        <w:t> </w:t>
      </w:r>
      <w:r>
        <w:rPr>
          <w:sz w:val="18"/>
          <w:vertAlign w:val="baseline"/>
        </w:rPr>
        <w:t>than</w:t>
      </w:r>
      <w:r>
        <w:rPr>
          <w:spacing w:val="-1"/>
          <w:sz w:val="18"/>
          <w:vertAlign w:val="baseline"/>
        </w:rPr>
        <w:t> </w:t>
      </w:r>
      <w:r>
        <w:rPr>
          <w:sz w:val="18"/>
          <w:vertAlign w:val="baseline"/>
        </w:rPr>
        <w:t>10,000</w:t>
      </w:r>
      <w:r>
        <w:rPr>
          <w:spacing w:val="-1"/>
          <w:sz w:val="18"/>
          <w:vertAlign w:val="baseline"/>
        </w:rPr>
        <w:t> </w:t>
      </w:r>
      <w:r>
        <w:rPr>
          <w:sz w:val="18"/>
          <w:vertAlign w:val="baseline"/>
        </w:rPr>
        <w:t>‘Super</w:t>
      </w:r>
      <w:r>
        <w:rPr>
          <w:spacing w:val="-2"/>
          <w:sz w:val="18"/>
          <w:vertAlign w:val="baseline"/>
        </w:rPr>
        <w:t> </w:t>
      </w:r>
      <w:r>
        <w:rPr>
          <w:sz w:val="18"/>
          <w:vertAlign w:val="baseline"/>
        </w:rPr>
        <w:t>Commuters.’”</w:t>
      </w:r>
      <w:r>
        <w:rPr>
          <w:spacing w:val="-1"/>
          <w:sz w:val="18"/>
          <w:vertAlign w:val="baseline"/>
        </w:rPr>
        <w:t> </w:t>
      </w:r>
      <w:r>
        <w:rPr>
          <w:sz w:val="18"/>
          <w:vertAlign w:val="baseline"/>
        </w:rPr>
        <w:t>Masslive,</w:t>
      </w:r>
      <w:r>
        <w:rPr>
          <w:spacing w:val="-2"/>
          <w:sz w:val="18"/>
          <w:vertAlign w:val="baseline"/>
        </w:rPr>
        <w:t> </w:t>
      </w:r>
      <w:r>
        <w:rPr>
          <w:sz w:val="18"/>
          <w:vertAlign w:val="baseline"/>
        </w:rPr>
        <w:t>(November</w:t>
      </w:r>
      <w:r>
        <w:rPr>
          <w:spacing w:val="-2"/>
          <w:sz w:val="18"/>
          <w:vertAlign w:val="baseline"/>
        </w:rPr>
        <w:t> </w:t>
      </w:r>
      <w:r>
        <w:rPr>
          <w:sz w:val="18"/>
          <w:vertAlign w:val="baseline"/>
        </w:rPr>
        <w:t>12,</w:t>
      </w:r>
      <w:r>
        <w:rPr>
          <w:spacing w:val="-2"/>
          <w:sz w:val="18"/>
          <w:vertAlign w:val="baseline"/>
        </w:rPr>
        <w:t> </w:t>
      </w:r>
      <w:r>
        <w:rPr>
          <w:sz w:val="18"/>
          <w:vertAlign w:val="baseline"/>
        </w:rPr>
        <w:t>2019).</w:t>
      </w:r>
      <w:r>
        <w:rPr>
          <w:spacing w:val="-1"/>
          <w:sz w:val="18"/>
          <w:vertAlign w:val="baseline"/>
        </w:rPr>
        <w:t> </w:t>
      </w:r>
      <w:hyperlink r:id="rId668">
        <w:r>
          <w:rPr>
            <w:sz w:val="18"/>
            <w:vertAlign w:val="baseline"/>
          </w:rPr>
          <w:t>www.masslive.com/traffic/2019/11/he-</w:t>
        </w:r>
      </w:hyperlink>
      <w:r>
        <w:rPr>
          <w:sz w:val="18"/>
          <w:vertAlign w:val="baseline"/>
        </w:rPr>
        <w:t> </w:t>
      </w:r>
      <w:r>
        <w:rPr>
          <w:spacing w:val="-2"/>
          <w:sz w:val="18"/>
          <w:vertAlign w:val="baseline"/>
        </w:rPr>
        <w:t>spends-230-a-week-to-get-from-western-mass-to-boston-and-hes-not-alone-meet-one-of-the-states-more-than-10000-</w:t>
      </w:r>
      <w:r>
        <w:rPr>
          <w:sz w:val="18"/>
          <w:vertAlign w:val="baseline"/>
        </w:rPr>
        <w:t> </w:t>
      </w:r>
      <w:r>
        <w:rPr>
          <w:spacing w:val="-2"/>
          <w:sz w:val="18"/>
          <w:vertAlign w:val="baseline"/>
        </w:rPr>
        <w:t>super-commuters.html</w:t>
      </w:r>
    </w:p>
    <w:p>
      <w:pPr>
        <w:spacing w:before="0"/>
        <w:ind w:left="464" w:right="3774" w:firstLine="0"/>
        <w:jc w:val="left"/>
        <w:rPr>
          <w:sz w:val="18"/>
        </w:rPr>
      </w:pPr>
      <w:bookmarkStart w:name="_bookmark579" w:id="874"/>
      <w:bookmarkEnd w:id="874"/>
      <w:r>
        <w:rPr/>
      </w:r>
      <w:r>
        <w:rPr>
          <w:sz w:val="18"/>
          <w:vertAlign w:val="superscript"/>
        </w:rPr>
        <w:t>25</w:t>
      </w:r>
      <w:r>
        <w:rPr>
          <w:spacing w:val="-4"/>
          <w:sz w:val="18"/>
          <w:vertAlign w:val="baseline"/>
        </w:rPr>
        <w:t> </w:t>
      </w:r>
      <w:r>
        <w:rPr>
          <w:sz w:val="18"/>
          <w:vertAlign w:val="baseline"/>
        </w:rPr>
        <w:t>Redfin.</w:t>
      </w:r>
      <w:r>
        <w:rPr>
          <w:spacing w:val="-4"/>
          <w:sz w:val="18"/>
          <w:vertAlign w:val="baseline"/>
        </w:rPr>
        <w:t> </w:t>
      </w:r>
      <w:r>
        <w:rPr>
          <w:sz w:val="18"/>
          <w:vertAlign w:val="baseline"/>
        </w:rPr>
        <w:t>“Massachusetts</w:t>
      </w:r>
      <w:r>
        <w:rPr>
          <w:spacing w:val="-4"/>
          <w:sz w:val="18"/>
          <w:vertAlign w:val="baseline"/>
        </w:rPr>
        <w:t> </w:t>
      </w:r>
      <w:r>
        <w:rPr>
          <w:sz w:val="18"/>
          <w:vertAlign w:val="baseline"/>
        </w:rPr>
        <w:t>Housing</w:t>
      </w:r>
      <w:r>
        <w:rPr>
          <w:spacing w:val="-5"/>
          <w:sz w:val="18"/>
          <w:vertAlign w:val="baseline"/>
        </w:rPr>
        <w:t> </w:t>
      </w:r>
      <w:r>
        <w:rPr>
          <w:sz w:val="18"/>
          <w:vertAlign w:val="baseline"/>
        </w:rPr>
        <w:t>Market:</w:t>
      </w:r>
      <w:r>
        <w:rPr>
          <w:spacing w:val="-4"/>
          <w:sz w:val="18"/>
          <w:vertAlign w:val="baseline"/>
        </w:rPr>
        <w:t> </w:t>
      </w:r>
      <w:r>
        <w:rPr>
          <w:sz w:val="18"/>
          <w:vertAlign w:val="baseline"/>
        </w:rPr>
        <w:t>House</w:t>
      </w:r>
      <w:r>
        <w:rPr>
          <w:spacing w:val="-4"/>
          <w:sz w:val="18"/>
          <w:vertAlign w:val="baseline"/>
        </w:rPr>
        <w:t> </w:t>
      </w:r>
      <w:r>
        <w:rPr>
          <w:sz w:val="18"/>
          <w:vertAlign w:val="baseline"/>
        </w:rPr>
        <w:t>Prices</w:t>
      </w:r>
      <w:r>
        <w:rPr>
          <w:spacing w:val="-4"/>
          <w:sz w:val="18"/>
          <w:vertAlign w:val="baseline"/>
        </w:rPr>
        <w:t> </w:t>
      </w:r>
      <w:r>
        <w:rPr>
          <w:sz w:val="18"/>
          <w:vertAlign w:val="baseline"/>
        </w:rPr>
        <w:t>&amp;</w:t>
      </w:r>
      <w:r>
        <w:rPr>
          <w:spacing w:val="-5"/>
          <w:sz w:val="18"/>
          <w:vertAlign w:val="baseline"/>
        </w:rPr>
        <w:t> </w:t>
      </w:r>
      <w:r>
        <w:rPr>
          <w:sz w:val="18"/>
          <w:vertAlign w:val="baseline"/>
        </w:rPr>
        <w:t>Trends.”</w:t>
      </w:r>
      <w:r>
        <w:rPr>
          <w:spacing w:val="-5"/>
          <w:sz w:val="18"/>
          <w:vertAlign w:val="baseline"/>
        </w:rPr>
        <w:t> </w:t>
      </w:r>
      <w:r>
        <w:rPr>
          <w:sz w:val="18"/>
          <w:vertAlign w:val="baseline"/>
        </w:rPr>
        <w:t>(2024). </w:t>
      </w:r>
      <w:r>
        <w:rPr>
          <w:spacing w:val="-2"/>
          <w:sz w:val="18"/>
          <w:vertAlign w:val="baseline"/>
        </w:rPr>
        <w:t>https:</w:t>
      </w:r>
      <w:hyperlink r:id="rId669">
        <w:r>
          <w:rPr>
            <w:spacing w:val="-2"/>
            <w:sz w:val="18"/>
            <w:vertAlign w:val="baseline"/>
          </w:rPr>
          <w:t>//www.redfin.com/state/Massachusetts/housing-market.</w:t>
        </w:r>
      </w:hyperlink>
    </w:p>
    <w:p>
      <w:pPr>
        <w:spacing w:before="0"/>
        <w:ind w:left="464" w:right="1829" w:hanging="1"/>
        <w:jc w:val="left"/>
        <w:rPr>
          <w:sz w:val="18"/>
        </w:rPr>
      </w:pPr>
      <w:bookmarkStart w:name="_bookmark580" w:id="875"/>
      <w:bookmarkEnd w:id="875"/>
      <w:r>
        <w:rPr/>
      </w:r>
      <w:r>
        <w:rPr>
          <w:sz w:val="18"/>
          <w:vertAlign w:val="superscript"/>
        </w:rPr>
        <w:t>26</w:t>
      </w:r>
      <w:r>
        <w:rPr>
          <w:spacing w:val="-2"/>
          <w:sz w:val="18"/>
          <w:vertAlign w:val="baseline"/>
        </w:rPr>
        <w:t> </w:t>
      </w:r>
      <w:r>
        <w:rPr>
          <w:sz w:val="18"/>
          <w:vertAlign w:val="baseline"/>
        </w:rPr>
        <w:t>Riley,</w:t>
      </w:r>
      <w:r>
        <w:rPr>
          <w:spacing w:val="-3"/>
          <w:sz w:val="18"/>
          <w:vertAlign w:val="baseline"/>
        </w:rPr>
        <w:t> </w:t>
      </w:r>
      <w:r>
        <w:rPr>
          <w:sz w:val="18"/>
          <w:vertAlign w:val="baseline"/>
        </w:rPr>
        <w:t>Neal.</w:t>
      </w:r>
      <w:r>
        <w:rPr>
          <w:spacing w:val="-2"/>
          <w:sz w:val="18"/>
          <w:vertAlign w:val="baseline"/>
        </w:rPr>
        <w:t> </w:t>
      </w:r>
      <w:r>
        <w:rPr>
          <w:sz w:val="18"/>
          <w:vertAlign w:val="baseline"/>
        </w:rPr>
        <w:t>“Massachusetts</w:t>
      </w:r>
      <w:r>
        <w:rPr>
          <w:spacing w:val="-3"/>
          <w:sz w:val="18"/>
          <w:vertAlign w:val="baseline"/>
        </w:rPr>
        <w:t> </w:t>
      </w:r>
      <w:r>
        <w:rPr>
          <w:sz w:val="18"/>
          <w:vertAlign w:val="baseline"/>
        </w:rPr>
        <w:t>Sees</w:t>
      </w:r>
      <w:r>
        <w:rPr>
          <w:spacing w:val="-3"/>
          <w:sz w:val="18"/>
          <w:vertAlign w:val="baseline"/>
        </w:rPr>
        <w:t> </w:t>
      </w:r>
      <w:r>
        <w:rPr>
          <w:sz w:val="18"/>
          <w:vertAlign w:val="baseline"/>
        </w:rPr>
        <w:t>‘Staggering’</w:t>
      </w:r>
      <w:r>
        <w:rPr>
          <w:spacing w:val="-3"/>
          <w:sz w:val="18"/>
          <w:vertAlign w:val="baseline"/>
        </w:rPr>
        <w:t> </w:t>
      </w:r>
      <w:r>
        <w:rPr>
          <w:sz w:val="18"/>
          <w:vertAlign w:val="baseline"/>
        </w:rPr>
        <w:t>Drop</w:t>
      </w:r>
      <w:r>
        <w:rPr>
          <w:spacing w:val="-2"/>
          <w:sz w:val="18"/>
          <w:vertAlign w:val="baseline"/>
        </w:rPr>
        <w:t> </w:t>
      </w:r>
      <w:r>
        <w:rPr>
          <w:sz w:val="18"/>
          <w:vertAlign w:val="baseline"/>
        </w:rPr>
        <w:t>in</w:t>
      </w:r>
      <w:r>
        <w:rPr>
          <w:spacing w:val="-2"/>
          <w:sz w:val="18"/>
          <w:vertAlign w:val="baseline"/>
        </w:rPr>
        <w:t> </w:t>
      </w:r>
      <w:r>
        <w:rPr>
          <w:sz w:val="18"/>
          <w:vertAlign w:val="baseline"/>
        </w:rPr>
        <w:t>Home</w:t>
      </w:r>
      <w:r>
        <w:rPr>
          <w:spacing w:val="-2"/>
          <w:sz w:val="18"/>
          <w:vertAlign w:val="baseline"/>
        </w:rPr>
        <w:t> </w:t>
      </w:r>
      <w:r>
        <w:rPr>
          <w:sz w:val="18"/>
          <w:vertAlign w:val="baseline"/>
        </w:rPr>
        <w:t>Sales</w:t>
      </w:r>
      <w:r>
        <w:rPr>
          <w:spacing w:val="-4"/>
          <w:sz w:val="18"/>
          <w:vertAlign w:val="baseline"/>
        </w:rPr>
        <w:t> </w:t>
      </w:r>
      <w:r>
        <w:rPr>
          <w:sz w:val="18"/>
          <w:vertAlign w:val="baseline"/>
        </w:rPr>
        <w:t>-</w:t>
      </w:r>
      <w:r>
        <w:rPr>
          <w:spacing w:val="-2"/>
          <w:sz w:val="18"/>
          <w:vertAlign w:val="baseline"/>
        </w:rPr>
        <w:t> </w:t>
      </w:r>
      <w:r>
        <w:rPr>
          <w:sz w:val="18"/>
          <w:vertAlign w:val="baseline"/>
        </w:rPr>
        <w:t>CBS</w:t>
      </w:r>
      <w:r>
        <w:rPr>
          <w:spacing w:val="-2"/>
          <w:sz w:val="18"/>
          <w:vertAlign w:val="baseline"/>
        </w:rPr>
        <w:t> </w:t>
      </w:r>
      <w:r>
        <w:rPr>
          <w:sz w:val="18"/>
          <w:vertAlign w:val="baseline"/>
        </w:rPr>
        <w:t>Boston.”</w:t>
      </w:r>
      <w:r>
        <w:rPr>
          <w:spacing w:val="-2"/>
          <w:sz w:val="18"/>
          <w:vertAlign w:val="baseline"/>
        </w:rPr>
        <w:t> </w:t>
      </w:r>
      <w:r>
        <w:rPr>
          <w:sz w:val="18"/>
          <w:vertAlign w:val="baseline"/>
        </w:rPr>
        <w:t>(January</w:t>
      </w:r>
      <w:r>
        <w:rPr>
          <w:spacing w:val="-2"/>
          <w:sz w:val="18"/>
          <w:vertAlign w:val="baseline"/>
        </w:rPr>
        <w:t> </w:t>
      </w:r>
      <w:r>
        <w:rPr>
          <w:sz w:val="18"/>
          <w:vertAlign w:val="baseline"/>
        </w:rPr>
        <w:t>17,</w:t>
      </w:r>
      <w:r>
        <w:rPr>
          <w:spacing w:val="-3"/>
          <w:sz w:val="18"/>
          <w:vertAlign w:val="baseline"/>
        </w:rPr>
        <w:t> </w:t>
      </w:r>
      <w:r>
        <w:rPr>
          <w:sz w:val="18"/>
          <w:vertAlign w:val="baseline"/>
        </w:rPr>
        <w:t>2024). </w:t>
      </w:r>
      <w:r>
        <w:rPr>
          <w:spacing w:val="-2"/>
          <w:sz w:val="18"/>
          <w:vertAlign w:val="baseline"/>
        </w:rPr>
        <w:t>https:</w:t>
      </w:r>
      <w:hyperlink r:id="rId670">
        <w:r>
          <w:rPr>
            <w:spacing w:val="-2"/>
            <w:sz w:val="18"/>
            <w:vertAlign w:val="baseline"/>
          </w:rPr>
          <w:t>//www.cbsnews.com/boston/news/massachusetts-home-sales-prices-2023/</w:t>
        </w:r>
      </w:hyperlink>
    </w:p>
    <w:p>
      <w:pPr>
        <w:spacing w:before="0"/>
        <w:ind w:left="464" w:right="3774" w:firstLine="0"/>
        <w:jc w:val="left"/>
        <w:rPr>
          <w:sz w:val="18"/>
        </w:rPr>
      </w:pPr>
      <w:bookmarkStart w:name="_bookmark581" w:id="876"/>
      <w:bookmarkEnd w:id="876"/>
      <w:r>
        <w:rPr/>
      </w:r>
      <w:r>
        <w:rPr>
          <w:sz w:val="18"/>
          <w:vertAlign w:val="superscript"/>
        </w:rPr>
        <w:t>27</w:t>
      </w:r>
      <w:r>
        <w:rPr>
          <w:spacing w:val="-4"/>
          <w:sz w:val="18"/>
          <w:vertAlign w:val="baseline"/>
        </w:rPr>
        <w:t> </w:t>
      </w:r>
      <w:r>
        <w:rPr>
          <w:sz w:val="18"/>
          <w:vertAlign w:val="baseline"/>
        </w:rPr>
        <w:t>Redfin.</w:t>
      </w:r>
      <w:r>
        <w:rPr>
          <w:spacing w:val="-4"/>
          <w:sz w:val="18"/>
          <w:vertAlign w:val="baseline"/>
        </w:rPr>
        <w:t> </w:t>
      </w:r>
      <w:r>
        <w:rPr>
          <w:sz w:val="18"/>
          <w:vertAlign w:val="baseline"/>
        </w:rPr>
        <w:t>“Massachusetts</w:t>
      </w:r>
      <w:r>
        <w:rPr>
          <w:spacing w:val="-4"/>
          <w:sz w:val="18"/>
          <w:vertAlign w:val="baseline"/>
        </w:rPr>
        <w:t> </w:t>
      </w:r>
      <w:r>
        <w:rPr>
          <w:sz w:val="18"/>
          <w:vertAlign w:val="baseline"/>
        </w:rPr>
        <w:t>Housing</w:t>
      </w:r>
      <w:r>
        <w:rPr>
          <w:spacing w:val="-5"/>
          <w:sz w:val="18"/>
          <w:vertAlign w:val="baseline"/>
        </w:rPr>
        <w:t> </w:t>
      </w:r>
      <w:r>
        <w:rPr>
          <w:sz w:val="18"/>
          <w:vertAlign w:val="baseline"/>
        </w:rPr>
        <w:t>Market:</w:t>
      </w:r>
      <w:r>
        <w:rPr>
          <w:spacing w:val="-4"/>
          <w:sz w:val="18"/>
          <w:vertAlign w:val="baseline"/>
        </w:rPr>
        <w:t> </w:t>
      </w:r>
      <w:r>
        <w:rPr>
          <w:sz w:val="18"/>
          <w:vertAlign w:val="baseline"/>
        </w:rPr>
        <w:t>House</w:t>
      </w:r>
      <w:r>
        <w:rPr>
          <w:spacing w:val="-4"/>
          <w:sz w:val="18"/>
          <w:vertAlign w:val="baseline"/>
        </w:rPr>
        <w:t> </w:t>
      </w:r>
      <w:r>
        <w:rPr>
          <w:sz w:val="18"/>
          <w:vertAlign w:val="baseline"/>
        </w:rPr>
        <w:t>Prices</w:t>
      </w:r>
      <w:r>
        <w:rPr>
          <w:spacing w:val="-4"/>
          <w:sz w:val="18"/>
          <w:vertAlign w:val="baseline"/>
        </w:rPr>
        <w:t> </w:t>
      </w:r>
      <w:r>
        <w:rPr>
          <w:sz w:val="18"/>
          <w:vertAlign w:val="baseline"/>
        </w:rPr>
        <w:t>&amp;</w:t>
      </w:r>
      <w:r>
        <w:rPr>
          <w:spacing w:val="-5"/>
          <w:sz w:val="18"/>
          <w:vertAlign w:val="baseline"/>
        </w:rPr>
        <w:t> </w:t>
      </w:r>
      <w:r>
        <w:rPr>
          <w:sz w:val="18"/>
          <w:vertAlign w:val="baseline"/>
        </w:rPr>
        <w:t>Trends.”</w:t>
      </w:r>
      <w:r>
        <w:rPr>
          <w:spacing w:val="-5"/>
          <w:sz w:val="18"/>
          <w:vertAlign w:val="baseline"/>
        </w:rPr>
        <w:t> </w:t>
      </w:r>
      <w:r>
        <w:rPr>
          <w:sz w:val="18"/>
          <w:vertAlign w:val="baseline"/>
        </w:rPr>
        <w:t>(2024). </w:t>
      </w:r>
      <w:r>
        <w:rPr>
          <w:spacing w:val="-2"/>
          <w:sz w:val="18"/>
          <w:vertAlign w:val="baseline"/>
        </w:rPr>
        <w:t>https:</w:t>
      </w:r>
      <w:hyperlink r:id="rId669">
        <w:r>
          <w:rPr>
            <w:spacing w:val="-2"/>
            <w:sz w:val="18"/>
            <w:vertAlign w:val="baseline"/>
          </w:rPr>
          <w:t>//www.redfin.com/state/Massachusetts/housing-market.</w:t>
        </w:r>
      </w:hyperlink>
    </w:p>
    <w:p>
      <w:pPr>
        <w:spacing w:before="0"/>
        <w:ind w:left="464" w:right="1787" w:hanging="1"/>
        <w:jc w:val="left"/>
        <w:rPr>
          <w:sz w:val="18"/>
        </w:rPr>
      </w:pPr>
      <w:bookmarkStart w:name="_bookmark582" w:id="877"/>
      <w:bookmarkEnd w:id="877"/>
      <w:r>
        <w:rPr/>
      </w:r>
      <w:r>
        <w:rPr>
          <w:sz w:val="18"/>
          <w:vertAlign w:val="superscript"/>
        </w:rPr>
        <w:t>28</w:t>
      </w:r>
      <w:r>
        <w:rPr>
          <w:spacing w:val="36"/>
          <w:sz w:val="18"/>
          <w:vertAlign w:val="baseline"/>
        </w:rPr>
        <w:t> </w:t>
      </w:r>
      <w:r>
        <w:rPr>
          <w:sz w:val="18"/>
          <w:vertAlign w:val="baseline"/>
        </w:rPr>
        <w:t>Riley,</w:t>
      </w:r>
      <w:r>
        <w:rPr>
          <w:spacing w:val="-3"/>
          <w:sz w:val="18"/>
          <w:vertAlign w:val="baseline"/>
        </w:rPr>
        <w:t> </w:t>
      </w:r>
      <w:r>
        <w:rPr>
          <w:sz w:val="18"/>
          <w:vertAlign w:val="baseline"/>
        </w:rPr>
        <w:t>Neal.</w:t>
      </w:r>
      <w:r>
        <w:rPr>
          <w:spacing w:val="-2"/>
          <w:sz w:val="18"/>
          <w:vertAlign w:val="baseline"/>
        </w:rPr>
        <w:t> </w:t>
      </w:r>
      <w:r>
        <w:rPr>
          <w:sz w:val="18"/>
          <w:vertAlign w:val="baseline"/>
        </w:rPr>
        <w:t>“Massachusetts</w:t>
      </w:r>
      <w:r>
        <w:rPr>
          <w:spacing w:val="-2"/>
          <w:sz w:val="18"/>
          <w:vertAlign w:val="baseline"/>
        </w:rPr>
        <w:t> </w:t>
      </w:r>
      <w:r>
        <w:rPr>
          <w:sz w:val="18"/>
          <w:vertAlign w:val="baseline"/>
        </w:rPr>
        <w:t>Sees</w:t>
      </w:r>
      <w:r>
        <w:rPr>
          <w:spacing w:val="-2"/>
          <w:sz w:val="18"/>
          <w:vertAlign w:val="baseline"/>
        </w:rPr>
        <w:t> </w:t>
      </w:r>
      <w:r>
        <w:rPr>
          <w:sz w:val="18"/>
          <w:vertAlign w:val="baseline"/>
        </w:rPr>
        <w:t>‘Staggering’</w:t>
      </w:r>
      <w:r>
        <w:rPr>
          <w:spacing w:val="-3"/>
          <w:sz w:val="18"/>
          <w:vertAlign w:val="baseline"/>
        </w:rPr>
        <w:t> </w:t>
      </w:r>
      <w:r>
        <w:rPr>
          <w:sz w:val="18"/>
          <w:vertAlign w:val="baseline"/>
        </w:rPr>
        <w:t>Drop</w:t>
      </w:r>
      <w:r>
        <w:rPr>
          <w:spacing w:val="-2"/>
          <w:sz w:val="18"/>
          <w:vertAlign w:val="baseline"/>
        </w:rPr>
        <w:t> </w:t>
      </w:r>
      <w:r>
        <w:rPr>
          <w:sz w:val="18"/>
          <w:vertAlign w:val="baseline"/>
        </w:rPr>
        <w:t>in</w:t>
      </w:r>
      <w:r>
        <w:rPr>
          <w:spacing w:val="-2"/>
          <w:sz w:val="18"/>
          <w:vertAlign w:val="baseline"/>
        </w:rPr>
        <w:t> </w:t>
      </w:r>
      <w:r>
        <w:rPr>
          <w:sz w:val="18"/>
          <w:vertAlign w:val="baseline"/>
        </w:rPr>
        <w:t>Home</w:t>
      </w:r>
      <w:r>
        <w:rPr>
          <w:spacing w:val="-2"/>
          <w:sz w:val="18"/>
          <w:vertAlign w:val="baseline"/>
        </w:rPr>
        <w:t> </w:t>
      </w:r>
      <w:r>
        <w:rPr>
          <w:sz w:val="18"/>
          <w:vertAlign w:val="baseline"/>
        </w:rPr>
        <w:t>Sales</w:t>
      </w:r>
      <w:r>
        <w:rPr>
          <w:spacing w:val="-2"/>
          <w:sz w:val="18"/>
          <w:vertAlign w:val="baseline"/>
        </w:rPr>
        <w:t> </w:t>
      </w:r>
      <w:r>
        <w:rPr>
          <w:sz w:val="18"/>
          <w:vertAlign w:val="baseline"/>
        </w:rPr>
        <w:t>-</w:t>
      </w:r>
      <w:r>
        <w:rPr>
          <w:spacing w:val="-3"/>
          <w:sz w:val="18"/>
          <w:vertAlign w:val="baseline"/>
        </w:rPr>
        <w:t> </w:t>
      </w:r>
      <w:r>
        <w:rPr>
          <w:sz w:val="18"/>
          <w:vertAlign w:val="baseline"/>
        </w:rPr>
        <w:t>CBS</w:t>
      </w:r>
      <w:r>
        <w:rPr>
          <w:spacing w:val="-3"/>
          <w:sz w:val="18"/>
          <w:vertAlign w:val="baseline"/>
        </w:rPr>
        <w:t> </w:t>
      </w:r>
      <w:r>
        <w:rPr>
          <w:sz w:val="18"/>
          <w:vertAlign w:val="baseline"/>
        </w:rPr>
        <w:t>Boston.”</w:t>
      </w:r>
      <w:r>
        <w:rPr>
          <w:spacing w:val="-2"/>
          <w:sz w:val="18"/>
          <w:vertAlign w:val="baseline"/>
        </w:rPr>
        <w:t> </w:t>
      </w:r>
      <w:r>
        <w:rPr>
          <w:sz w:val="18"/>
          <w:vertAlign w:val="baseline"/>
        </w:rPr>
        <w:t>(January</w:t>
      </w:r>
      <w:r>
        <w:rPr>
          <w:spacing w:val="-2"/>
          <w:sz w:val="18"/>
          <w:vertAlign w:val="baseline"/>
        </w:rPr>
        <w:t> </w:t>
      </w:r>
      <w:r>
        <w:rPr>
          <w:sz w:val="18"/>
          <w:vertAlign w:val="baseline"/>
        </w:rPr>
        <w:t>17,</w:t>
      </w:r>
      <w:r>
        <w:rPr>
          <w:spacing w:val="-3"/>
          <w:sz w:val="18"/>
          <w:vertAlign w:val="baseline"/>
        </w:rPr>
        <w:t> </w:t>
      </w:r>
      <w:r>
        <w:rPr>
          <w:sz w:val="18"/>
          <w:vertAlign w:val="baseline"/>
        </w:rPr>
        <w:t>2024). </w:t>
      </w:r>
      <w:r>
        <w:rPr>
          <w:spacing w:val="-2"/>
          <w:sz w:val="18"/>
          <w:vertAlign w:val="baseline"/>
        </w:rPr>
        <w:t>https:</w:t>
      </w:r>
      <w:hyperlink r:id="rId670">
        <w:r>
          <w:rPr>
            <w:spacing w:val="-2"/>
            <w:sz w:val="18"/>
            <w:vertAlign w:val="baseline"/>
          </w:rPr>
          <w:t>//www.cbsnews.com/boston/news/massachusetts-home-sales-prices-2023/</w:t>
        </w:r>
      </w:hyperlink>
    </w:p>
    <w:p>
      <w:pPr>
        <w:spacing w:before="0"/>
        <w:ind w:left="464" w:right="386" w:firstLine="0"/>
        <w:jc w:val="both"/>
        <w:rPr>
          <w:sz w:val="18"/>
        </w:rPr>
      </w:pPr>
      <w:bookmarkStart w:name="_bookmark583" w:id="878"/>
      <w:bookmarkEnd w:id="878"/>
      <w:r>
        <w:rPr/>
      </w:r>
      <w:r>
        <w:rPr>
          <w:sz w:val="18"/>
          <w:vertAlign w:val="superscript"/>
        </w:rPr>
        <w:t>29</w:t>
      </w:r>
      <w:r>
        <w:rPr>
          <w:spacing w:val="-2"/>
          <w:sz w:val="18"/>
          <w:vertAlign w:val="baseline"/>
        </w:rPr>
        <w:t> </w:t>
      </w:r>
      <w:r>
        <w:rPr>
          <w:sz w:val="18"/>
          <w:vertAlign w:val="baseline"/>
        </w:rPr>
        <w:t>Stefanescu,</w:t>
      </w:r>
      <w:r>
        <w:rPr>
          <w:spacing w:val="-3"/>
          <w:sz w:val="18"/>
          <w:vertAlign w:val="baseline"/>
        </w:rPr>
        <w:t> </w:t>
      </w:r>
      <w:r>
        <w:rPr>
          <w:sz w:val="18"/>
          <w:vertAlign w:val="baseline"/>
        </w:rPr>
        <w:t>Victor.</w:t>
      </w:r>
      <w:r>
        <w:rPr>
          <w:spacing w:val="-2"/>
          <w:sz w:val="18"/>
          <w:vertAlign w:val="baseline"/>
        </w:rPr>
        <w:t> </w:t>
      </w:r>
      <w:r>
        <w:rPr>
          <w:sz w:val="18"/>
          <w:vertAlign w:val="baseline"/>
        </w:rPr>
        <w:t>“Boston</w:t>
      </w:r>
      <w:r>
        <w:rPr>
          <w:spacing w:val="-2"/>
          <w:sz w:val="18"/>
          <w:vertAlign w:val="baseline"/>
        </w:rPr>
        <w:t> </w:t>
      </w:r>
      <w:r>
        <w:rPr>
          <w:sz w:val="18"/>
          <w:vertAlign w:val="baseline"/>
        </w:rPr>
        <w:t>Ranked</w:t>
      </w:r>
      <w:r>
        <w:rPr>
          <w:spacing w:val="-2"/>
          <w:sz w:val="18"/>
          <w:vertAlign w:val="baseline"/>
        </w:rPr>
        <w:t> </w:t>
      </w:r>
      <w:r>
        <w:rPr>
          <w:sz w:val="18"/>
          <w:vertAlign w:val="baseline"/>
        </w:rPr>
        <w:t>among</w:t>
      </w:r>
      <w:r>
        <w:rPr>
          <w:spacing w:val="-2"/>
          <w:sz w:val="18"/>
          <w:vertAlign w:val="baseline"/>
        </w:rPr>
        <w:t> </w:t>
      </w:r>
      <w:r>
        <w:rPr>
          <w:sz w:val="18"/>
          <w:vertAlign w:val="baseline"/>
        </w:rPr>
        <w:t>the</w:t>
      </w:r>
      <w:r>
        <w:rPr>
          <w:spacing w:val="-2"/>
          <w:sz w:val="18"/>
          <w:vertAlign w:val="baseline"/>
        </w:rPr>
        <w:t> </w:t>
      </w:r>
      <w:r>
        <w:rPr>
          <w:sz w:val="18"/>
          <w:vertAlign w:val="baseline"/>
        </w:rPr>
        <w:t>Toughest</w:t>
      </w:r>
      <w:r>
        <w:rPr>
          <w:spacing w:val="-3"/>
          <w:sz w:val="18"/>
          <w:vertAlign w:val="baseline"/>
        </w:rPr>
        <w:t> </w:t>
      </w:r>
      <w:r>
        <w:rPr>
          <w:sz w:val="18"/>
          <w:vertAlign w:val="baseline"/>
        </w:rPr>
        <w:t>Cities</w:t>
      </w:r>
      <w:r>
        <w:rPr>
          <w:spacing w:val="-2"/>
          <w:sz w:val="18"/>
          <w:vertAlign w:val="baseline"/>
        </w:rPr>
        <w:t> </w:t>
      </w:r>
      <w:r>
        <w:rPr>
          <w:sz w:val="18"/>
          <w:vertAlign w:val="baseline"/>
        </w:rPr>
        <w:t>for</w:t>
      </w:r>
      <w:r>
        <w:rPr>
          <w:spacing w:val="-3"/>
          <w:sz w:val="18"/>
          <w:vertAlign w:val="baseline"/>
        </w:rPr>
        <w:t> </w:t>
      </w:r>
      <w:r>
        <w:rPr>
          <w:sz w:val="18"/>
          <w:vertAlign w:val="baseline"/>
        </w:rPr>
        <w:t>Gen</w:t>
      </w:r>
      <w:r>
        <w:rPr>
          <w:spacing w:val="-2"/>
          <w:sz w:val="18"/>
          <w:vertAlign w:val="baseline"/>
        </w:rPr>
        <w:t> </w:t>
      </w:r>
      <w:r>
        <w:rPr>
          <w:sz w:val="18"/>
          <w:vertAlign w:val="baseline"/>
        </w:rPr>
        <w:t>Z</w:t>
      </w:r>
      <w:r>
        <w:rPr>
          <w:spacing w:val="-3"/>
          <w:sz w:val="18"/>
          <w:vertAlign w:val="baseline"/>
        </w:rPr>
        <w:t> </w:t>
      </w:r>
      <w:r>
        <w:rPr>
          <w:sz w:val="18"/>
          <w:vertAlign w:val="baseline"/>
        </w:rPr>
        <w:t>Home</w:t>
      </w:r>
      <w:r>
        <w:rPr>
          <w:spacing w:val="-2"/>
          <w:sz w:val="18"/>
          <w:vertAlign w:val="baseline"/>
        </w:rPr>
        <w:t> </w:t>
      </w:r>
      <w:r>
        <w:rPr>
          <w:sz w:val="18"/>
          <w:vertAlign w:val="baseline"/>
        </w:rPr>
        <w:t>Buyers.”</w:t>
      </w:r>
      <w:r>
        <w:rPr>
          <w:spacing w:val="-3"/>
          <w:sz w:val="18"/>
          <w:vertAlign w:val="baseline"/>
        </w:rPr>
        <w:t> </w:t>
      </w:r>
      <w:r>
        <w:rPr>
          <w:sz w:val="18"/>
          <w:vertAlign w:val="baseline"/>
        </w:rPr>
        <w:t>Boston.com,</w:t>
      </w:r>
      <w:r>
        <w:rPr>
          <w:spacing w:val="-3"/>
          <w:sz w:val="18"/>
          <w:vertAlign w:val="baseline"/>
        </w:rPr>
        <w:t> </w:t>
      </w:r>
      <w:r>
        <w:rPr>
          <w:sz w:val="18"/>
          <w:vertAlign w:val="baseline"/>
        </w:rPr>
        <w:t>The</w:t>
      </w:r>
      <w:r>
        <w:rPr>
          <w:spacing w:val="-2"/>
          <w:sz w:val="18"/>
          <w:vertAlign w:val="baseline"/>
        </w:rPr>
        <w:t> </w:t>
      </w:r>
      <w:r>
        <w:rPr>
          <w:sz w:val="18"/>
          <w:vertAlign w:val="baseline"/>
        </w:rPr>
        <w:t>Boston</w:t>
      </w:r>
      <w:r>
        <w:rPr>
          <w:spacing w:val="-3"/>
          <w:sz w:val="18"/>
          <w:vertAlign w:val="baseline"/>
        </w:rPr>
        <w:t> </w:t>
      </w:r>
      <w:r>
        <w:rPr>
          <w:sz w:val="18"/>
          <w:vertAlign w:val="baseline"/>
        </w:rPr>
        <w:t>Globe (February</w:t>
      </w:r>
      <w:r>
        <w:rPr>
          <w:spacing w:val="-3"/>
          <w:sz w:val="18"/>
          <w:vertAlign w:val="baseline"/>
        </w:rPr>
        <w:t> </w:t>
      </w:r>
      <w:r>
        <w:rPr>
          <w:sz w:val="18"/>
          <w:vertAlign w:val="baseline"/>
        </w:rPr>
        <w:t>6,</w:t>
      </w:r>
      <w:r>
        <w:rPr>
          <w:spacing w:val="-4"/>
          <w:sz w:val="18"/>
          <w:vertAlign w:val="baseline"/>
        </w:rPr>
        <w:t> </w:t>
      </w:r>
      <w:r>
        <w:rPr>
          <w:sz w:val="18"/>
          <w:vertAlign w:val="baseline"/>
        </w:rPr>
        <w:t>2024).</w:t>
      </w:r>
      <w:r>
        <w:rPr>
          <w:spacing w:val="-3"/>
          <w:sz w:val="18"/>
          <w:vertAlign w:val="baseline"/>
        </w:rPr>
        <w:t> </w:t>
      </w:r>
      <w:hyperlink r:id="rId671">
        <w:r>
          <w:rPr>
            <w:sz w:val="18"/>
            <w:vertAlign w:val="baseline"/>
          </w:rPr>
          <w:t>www.boston.com/real-estate/real-estate/2024/02/06/boston-ranked-among-the-toughest-cities-for-</w:t>
        </w:r>
      </w:hyperlink>
      <w:r>
        <w:rPr>
          <w:sz w:val="18"/>
          <w:vertAlign w:val="baseline"/>
        </w:rPr>
        <w:t> </w:t>
      </w:r>
      <w:r>
        <w:rPr>
          <w:spacing w:val="-2"/>
          <w:sz w:val="18"/>
          <w:vertAlign w:val="baseline"/>
        </w:rPr>
        <w:t>gen-z-home-buyers/</w:t>
      </w:r>
    </w:p>
    <w:p>
      <w:pPr>
        <w:spacing w:before="0"/>
        <w:ind w:left="464" w:right="2365" w:firstLine="0"/>
        <w:jc w:val="left"/>
        <w:rPr>
          <w:sz w:val="18"/>
        </w:rPr>
      </w:pPr>
      <w:bookmarkStart w:name="_bookmark584" w:id="879"/>
      <w:bookmarkEnd w:id="879"/>
      <w:r>
        <w:rPr/>
      </w:r>
      <w:r>
        <w:rPr>
          <w:sz w:val="18"/>
          <w:vertAlign w:val="superscript"/>
        </w:rPr>
        <w:t>30</w:t>
      </w:r>
      <w:r>
        <w:rPr>
          <w:spacing w:val="-4"/>
          <w:sz w:val="18"/>
          <w:vertAlign w:val="baseline"/>
        </w:rPr>
        <w:t> </w:t>
      </w:r>
      <w:r>
        <w:rPr>
          <w:sz w:val="18"/>
          <w:vertAlign w:val="baseline"/>
        </w:rPr>
        <w:t>Neilsberg</w:t>
      </w:r>
      <w:r>
        <w:rPr>
          <w:spacing w:val="-4"/>
          <w:sz w:val="18"/>
          <w:vertAlign w:val="baseline"/>
        </w:rPr>
        <w:t> </w:t>
      </w:r>
      <w:r>
        <w:rPr>
          <w:sz w:val="18"/>
          <w:vertAlign w:val="baseline"/>
        </w:rPr>
        <w:t>Research.</w:t>
      </w:r>
      <w:r>
        <w:rPr>
          <w:spacing w:val="-4"/>
          <w:sz w:val="18"/>
          <w:vertAlign w:val="baseline"/>
        </w:rPr>
        <w:t> </w:t>
      </w:r>
      <w:r>
        <w:rPr>
          <w:sz w:val="18"/>
          <w:vertAlign w:val="baseline"/>
        </w:rPr>
        <w:t>“Massachusetts</w:t>
      </w:r>
      <w:r>
        <w:rPr>
          <w:spacing w:val="-4"/>
          <w:sz w:val="18"/>
          <w:vertAlign w:val="baseline"/>
        </w:rPr>
        <w:t> </w:t>
      </w:r>
      <w:r>
        <w:rPr>
          <w:sz w:val="18"/>
          <w:vertAlign w:val="baseline"/>
        </w:rPr>
        <w:t>Median</w:t>
      </w:r>
      <w:r>
        <w:rPr>
          <w:spacing w:val="-4"/>
          <w:sz w:val="18"/>
          <w:vertAlign w:val="baseline"/>
        </w:rPr>
        <w:t> </w:t>
      </w:r>
      <w:r>
        <w:rPr>
          <w:sz w:val="18"/>
          <w:vertAlign w:val="baseline"/>
        </w:rPr>
        <w:t>Household</w:t>
      </w:r>
      <w:r>
        <w:rPr>
          <w:spacing w:val="-4"/>
          <w:sz w:val="18"/>
          <w:vertAlign w:val="baseline"/>
        </w:rPr>
        <w:t> </w:t>
      </w:r>
      <w:r>
        <w:rPr>
          <w:sz w:val="18"/>
          <w:vertAlign w:val="baseline"/>
        </w:rPr>
        <w:t>Income</w:t>
      </w:r>
      <w:r>
        <w:rPr>
          <w:spacing w:val="-4"/>
          <w:sz w:val="18"/>
          <w:vertAlign w:val="baseline"/>
        </w:rPr>
        <w:t> </w:t>
      </w:r>
      <w:r>
        <w:rPr>
          <w:sz w:val="18"/>
          <w:vertAlign w:val="baseline"/>
        </w:rPr>
        <w:t>by</w:t>
      </w:r>
      <w:r>
        <w:rPr>
          <w:spacing w:val="-4"/>
          <w:sz w:val="18"/>
          <w:vertAlign w:val="baseline"/>
        </w:rPr>
        <w:t> </w:t>
      </w:r>
      <w:r>
        <w:rPr>
          <w:sz w:val="18"/>
          <w:vertAlign w:val="baseline"/>
        </w:rPr>
        <w:t>Age.”</w:t>
      </w:r>
      <w:r>
        <w:rPr>
          <w:spacing w:val="-4"/>
          <w:sz w:val="18"/>
          <w:vertAlign w:val="baseline"/>
        </w:rPr>
        <w:t> </w:t>
      </w:r>
      <w:r>
        <w:rPr>
          <w:sz w:val="18"/>
          <w:vertAlign w:val="baseline"/>
        </w:rPr>
        <w:t>(January</w:t>
      </w:r>
      <w:r>
        <w:rPr>
          <w:spacing w:val="-5"/>
          <w:sz w:val="18"/>
          <w:vertAlign w:val="baseline"/>
        </w:rPr>
        <w:t> </w:t>
      </w:r>
      <w:r>
        <w:rPr>
          <w:sz w:val="18"/>
          <w:vertAlign w:val="baseline"/>
        </w:rPr>
        <w:t>10,</w:t>
      </w:r>
      <w:r>
        <w:rPr>
          <w:spacing w:val="-5"/>
          <w:sz w:val="18"/>
          <w:vertAlign w:val="baseline"/>
        </w:rPr>
        <w:t> </w:t>
      </w:r>
      <w:r>
        <w:rPr>
          <w:sz w:val="18"/>
          <w:vertAlign w:val="baseline"/>
        </w:rPr>
        <w:t>2024). </w:t>
      </w:r>
      <w:r>
        <w:rPr>
          <w:spacing w:val="-2"/>
          <w:sz w:val="18"/>
          <w:vertAlign w:val="baseline"/>
        </w:rPr>
        <w:t>https:</w:t>
      </w:r>
      <w:hyperlink r:id="rId672">
        <w:r>
          <w:rPr>
            <w:spacing w:val="-2"/>
            <w:sz w:val="18"/>
            <w:vertAlign w:val="baseline"/>
          </w:rPr>
          <w:t>//www.neilsberg.com/insights/massachusetts-median-household-income-by-age/</w:t>
        </w:r>
      </w:hyperlink>
    </w:p>
    <w:p>
      <w:pPr>
        <w:spacing w:before="0"/>
        <w:ind w:left="464" w:right="1830" w:firstLine="0"/>
        <w:jc w:val="left"/>
        <w:rPr>
          <w:sz w:val="18"/>
        </w:rPr>
      </w:pPr>
      <w:bookmarkStart w:name="_bookmark585" w:id="880"/>
      <w:bookmarkEnd w:id="880"/>
      <w:r>
        <w:rPr/>
      </w:r>
      <w:r>
        <w:rPr>
          <w:sz w:val="18"/>
          <w:vertAlign w:val="superscript"/>
        </w:rPr>
        <w:t>31</w:t>
      </w:r>
      <w:r>
        <w:rPr>
          <w:spacing w:val="-3"/>
          <w:sz w:val="18"/>
          <w:vertAlign w:val="baseline"/>
        </w:rPr>
        <w:t> </w:t>
      </w:r>
      <w:r>
        <w:rPr>
          <w:sz w:val="18"/>
          <w:vertAlign w:val="baseline"/>
        </w:rPr>
        <w:t>Thomas,</w:t>
      </w:r>
      <w:r>
        <w:rPr>
          <w:spacing w:val="-4"/>
          <w:sz w:val="18"/>
          <w:vertAlign w:val="baseline"/>
        </w:rPr>
        <w:t> </w:t>
      </w:r>
      <w:r>
        <w:rPr>
          <w:sz w:val="18"/>
          <w:vertAlign w:val="baseline"/>
        </w:rPr>
        <w:t>Lauren.</w:t>
      </w:r>
      <w:r>
        <w:rPr>
          <w:spacing w:val="-3"/>
          <w:sz w:val="18"/>
          <w:vertAlign w:val="baseline"/>
        </w:rPr>
        <w:t> </w:t>
      </w:r>
      <w:r>
        <w:rPr>
          <w:sz w:val="18"/>
          <w:vertAlign w:val="baseline"/>
        </w:rPr>
        <w:t>“Cities</w:t>
      </w:r>
      <w:r>
        <w:rPr>
          <w:spacing w:val="-3"/>
          <w:sz w:val="18"/>
          <w:vertAlign w:val="baseline"/>
        </w:rPr>
        <w:t> </w:t>
      </w:r>
      <w:r>
        <w:rPr>
          <w:sz w:val="18"/>
          <w:vertAlign w:val="baseline"/>
        </w:rPr>
        <w:t>with</w:t>
      </w:r>
      <w:r>
        <w:rPr>
          <w:spacing w:val="-3"/>
          <w:sz w:val="18"/>
          <w:vertAlign w:val="baseline"/>
        </w:rPr>
        <w:t> </w:t>
      </w:r>
      <w:r>
        <w:rPr>
          <w:sz w:val="18"/>
          <w:vertAlign w:val="baseline"/>
        </w:rPr>
        <w:t>the</w:t>
      </w:r>
      <w:r>
        <w:rPr>
          <w:spacing w:val="-3"/>
          <w:sz w:val="18"/>
          <w:vertAlign w:val="baseline"/>
        </w:rPr>
        <w:t> </w:t>
      </w:r>
      <w:r>
        <w:rPr>
          <w:sz w:val="18"/>
          <w:vertAlign w:val="baseline"/>
        </w:rPr>
        <w:t>Highest</w:t>
      </w:r>
      <w:r>
        <w:rPr>
          <w:spacing w:val="-4"/>
          <w:sz w:val="18"/>
          <w:vertAlign w:val="baseline"/>
        </w:rPr>
        <w:t> </w:t>
      </w:r>
      <w:r>
        <w:rPr>
          <w:sz w:val="18"/>
          <w:vertAlign w:val="baseline"/>
        </w:rPr>
        <w:t>Gen</w:t>
      </w:r>
      <w:r>
        <w:rPr>
          <w:spacing w:val="-3"/>
          <w:sz w:val="18"/>
          <w:vertAlign w:val="baseline"/>
        </w:rPr>
        <w:t> </w:t>
      </w:r>
      <w:r>
        <w:rPr>
          <w:sz w:val="18"/>
          <w:vertAlign w:val="baseline"/>
        </w:rPr>
        <w:t>Z</w:t>
      </w:r>
      <w:r>
        <w:rPr>
          <w:spacing w:val="-4"/>
          <w:sz w:val="18"/>
          <w:vertAlign w:val="baseline"/>
        </w:rPr>
        <w:t> </w:t>
      </w:r>
      <w:r>
        <w:rPr>
          <w:sz w:val="18"/>
          <w:vertAlign w:val="baseline"/>
        </w:rPr>
        <w:t>Homeownership</w:t>
      </w:r>
      <w:r>
        <w:rPr>
          <w:spacing w:val="-4"/>
          <w:sz w:val="18"/>
          <w:vertAlign w:val="baseline"/>
        </w:rPr>
        <w:t> </w:t>
      </w:r>
      <w:r>
        <w:rPr>
          <w:sz w:val="18"/>
          <w:vertAlign w:val="baseline"/>
        </w:rPr>
        <w:t>Rates.”</w:t>
      </w:r>
      <w:r>
        <w:rPr>
          <w:spacing w:val="-3"/>
          <w:sz w:val="18"/>
          <w:vertAlign w:val="baseline"/>
        </w:rPr>
        <w:t> </w:t>
      </w:r>
      <w:r>
        <w:rPr>
          <w:sz w:val="18"/>
          <w:vertAlign w:val="baseline"/>
        </w:rPr>
        <w:t>Porch.com</w:t>
      </w:r>
      <w:r>
        <w:rPr>
          <w:spacing w:val="-3"/>
          <w:sz w:val="18"/>
          <w:vertAlign w:val="baseline"/>
        </w:rPr>
        <w:t> </w:t>
      </w:r>
      <w:r>
        <w:rPr>
          <w:sz w:val="18"/>
          <w:vertAlign w:val="baseline"/>
        </w:rPr>
        <w:t>(June</w:t>
      </w:r>
      <w:r>
        <w:rPr>
          <w:spacing w:val="-3"/>
          <w:sz w:val="18"/>
          <w:vertAlign w:val="baseline"/>
        </w:rPr>
        <w:t> </w:t>
      </w:r>
      <w:r>
        <w:rPr>
          <w:sz w:val="18"/>
          <w:vertAlign w:val="baseline"/>
        </w:rPr>
        <w:t>21,</w:t>
      </w:r>
      <w:r>
        <w:rPr>
          <w:spacing w:val="-4"/>
          <w:sz w:val="18"/>
          <w:vertAlign w:val="baseline"/>
        </w:rPr>
        <w:t> </w:t>
      </w:r>
      <w:r>
        <w:rPr>
          <w:sz w:val="18"/>
          <w:vertAlign w:val="baseline"/>
        </w:rPr>
        <w:t>2022). </w:t>
      </w:r>
      <w:r>
        <w:rPr>
          <w:spacing w:val="-2"/>
          <w:sz w:val="18"/>
          <w:vertAlign w:val="baseline"/>
        </w:rPr>
        <w:t>porch.com/advice/cities-with-highest-gen-z-homeownership-rate.</w:t>
      </w:r>
    </w:p>
    <w:p>
      <w:pPr>
        <w:spacing w:before="0"/>
        <w:ind w:left="464" w:right="232" w:hanging="1"/>
        <w:jc w:val="left"/>
        <w:rPr>
          <w:sz w:val="18"/>
        </w:rPr>
      </w:pPr>
      <w:bookmarkStart w:name="_bookmark586" w:id="881"/>
      <w:bookmarkEnd w:id="881"/>
      <w:r>
        <w:rPr/>
      </w:r>
      <w:r>
        <w:rPr>
          <w:sz w:val="18"/>
          <w:vertAlign w:val="superscript"/>
        </w:rPr>
        <w:t>32</w:t>
      </w:r>
      <w:r>
        <w:rPr>
          <w:spacing w:val="-2"/>
          <w:sz w:val="18"/>
          <w:vertAlign w:val="baseline"/>
        </w:rPr>
        <w:t> </w:t>
      </w:r>
      <w:r>
        <w:rPr>
          <w:sz w:val="18"/>
          <w:vertAlign w:val="baseline"/>
        </w:rPr>
        <w:t>Woods,</w:t>
      </w:r>
      <w:r>
        <w:rPr>
          <w:spacing w:val="-3"/>
          <w:sz w:val="18"/>
          <w:vertAlign w:val="baseline"/>
        </w:rPr>
        <w:t> </w:t>
      </w:r>
      <w:r>
        <w:rPr>
          <w:sz w:val="18"/>
          <w:vertAlign w:val="baseline"/>
        </w:rPr>
        <w:t>Eileen,</w:t>
      </w:r>
      <w:r>
        <w:rPr>
          <w:spacing w:val="-2"/>
          <w:sz w:val="18"/>
          <w:vertAlign w:val="baseline"/>
        </w:rPr>
        <w:t> </w:t>
      </w:r>
      <w:r>
        <w:rPr>
          <w:sz w:val="18"/>
          <w:vertAlign w:val="baseline"/>
        </w:rPr>
        <w:t>“An</w:t>
      </w:r>
      <w:r>
        <w:rPr>
          <w:spacing w:val="-2"/>
          <w:sz w:val="18"/>
          <w:vertAlign w:val="baseline"/>
        </w:rPr>
        <w:t> </w:t>
      </w:r>
      <w:r>
        <w:rPr>
          <w:sz w:val="18"/>
          <w:vertAlign w:val="baseline"/>
        </w:rPr>
        <w:t>in-depth</w:t>
      </w:r>
      <w:r>
        <w:rPr>
          <w:spacing w:val="-2"/>
          <w:sz w:val="18"/>
          <w:vertAlign w:val="baseline"/>
        </w:rPr>
        <w:t> </w:t>
      </w:r>
      <w:r>
        <w:rPr>
          <w:sz w:val="18"/>
          <w:vertAlign w:val="baseline"/>
        </w:rPr>
        <w:t>look</w:t>
      </w:r>
      <w:r>
        <w:rPr>
          <w:spacing w:val="-3"/>
          <w:sz w:val="18"/>
          <w:vertAlign w:val="baseline"/>
        </w:rPr>
        <w:t> </w:t>
      </w:r>
      <w:r>
        <w:rPr>
          <w:sz w:val="18"/>
          <w:vertAlign w:val="baseline"/>
        </w:rPr>
        <w:t>at</w:t>
      </w:r>
      <w:r>
        <w:rPr>
          <w:spacing w:val="-3"/>
          <w:sz w:val="18"/>
          <w:vertAlign w:val="baseline"/>
        </w:rPr>
        <w:t> </w:t>
      </w:r>
      <w:r>
        <w:rPr>
          <w:sz w:val="18"/>
          <w:vertAlign w:val="baseline"/>
        </w:rPr>
        <w:t>the</w:t>
      </w:r>
      <w:r>
        <w:rPr>
          <w:spacing w:val="-2"/>
          <w:sz w:val="18"/>
          <w:vertAlign w:val="baseline"/>
        </w:rPr>
        <w:t> </w:t>
      </w:r>
      <w:r>
        <w:rPr>
          <w:sz w:val="18"/>
          <w:vertAlign w:val="baseline"/>
        </w:rPr>
        <w:t>Massachusetts</w:t>
      </w:r>
      <w:r>
        <w:rPr>
          <w:spacing w:val="-2"/>
          <w:sz w:val="18"/>
          <w:vertAlign w:val="baseline"/>
        </w:rPr>
        <w:t> </w:t>
      </w:r>
      <w:r>
        <w:rPr>
          <w:sz w:val="18"/>
          <w:vertAlign w:val="baseline"/>
        </w:rPr>
        <w:t>rental</w:t>
      </w:r>
      <w:r>
        <w:rPr>
          <w:spacing w:val="-3"/>
          <w:sz w:val="18"/>
          <w:vertAlign w:val="baseline"/>
        </w:rPr>
        <w:t> </w:t>
      </w:r>
      <w:r>
        <w:rPr>
          <w:sz w:val="18"/>
          <w:vertAlign w:val="baseline"/>
        </w:rPr>
        <w:t>market</w:t>
      </w:r>
      <w:r>
        <w:rPr>
          <w:spacing w:val="-3"/>
          <w:sz w:val="18"/>
          <w:vertAlign w:val="baseline"/>
        </w:rPr>
        <w:t> </w:t>
      </w:r>
      <w:r>
        <w:rPr>
          <w:sz w:val="18"/>
          <w:vertAlign w:val="baseline"/>
        </w:rPr>
        <w:t>(Jan.).”</w:t>
      </w:r>
      <w:r>
        <w:rPr>
          <w:spacing w:val="-2"/>
          <w:sz w:val="18"/>
          <w:vertAlign w:val="baseline"/>
        </w:rPr>
        <w:t> </w:t>
      </w:r>
      <w:r>
        <w:rPr>
          <w:sz w:val="18"/>
          <w:vertAlign w:val="baseline"/>
        </w:rPr>
        <w:t>Boston.com,</w:t>
      </w:r>
      <w:r>
        <w:rPr>
          <w:spacing w:val="-3"/>
          <w:sz w:val="18"/>
          <w:vertAlign w:val="baseline"/>
        </w:rPr>
        <w:t> </w:t>
      </w:r>
      <w:r>
        <w:rPr>
          <w:sz w:val="18"/>
          <w:vertAlign w:val="baseline"/>
        </w:rPr>
        <w:t>The</w:t>
      </w:r>
      <w:r>
        <w:rPr>
          <w:spacing w:val="-2"/>
          <w:sz w:val="18"/>
          <w:vertAlign w:val="baseline"/>
        </w:rPr>
        <w:t> </w:t>
      </w:r>
      <w:r>
        <w:rPr>
          <w:sz w:val="18"/>
          <w:vertAlign w:val="baseline"/>
        </w:rPr>
        <w:t>Boston</w:t>
      </w:r>
      <w:r>
        <w:rPr>
          <w:spacing w:val="-2"/>
          <w:sz w:val="18"/>
          <w:vertAlign w:val="baseline"/>
        </w:rPr>
        <w:t> </w:t>
      </w:r>
      <w:r>
        <w:rPr>
          <w:sz w:val="18"/>
          <w:vertAlign w:val="baseline"/>
        </w:rPr>
        <w:t>Globe</w:t>
      </w:r>
      <w:r>
        <w:rPr>
          <w:spacing w:val="-2"/>
          <w:sz w:val="18"/>
          <w:vertAlign w:val="baseline"/>
        </w:rPr>
        <w:t> </w:t>
      </w:r>
      <w:r>
        <w:rPr>
          <w:sz w:val="18"/>
          <w:vertAlign w:val="baseline"/>
        </w:rPr>
        <w:t>(January</w:t>
      </w:r>
      <w:r>
        <w:rPr>
          <w:spacing w:val="-2"/>
          <w:sz w:val="18"/>
          <w:vertAlign w:val="baseline"/>
        </w:rPr>
        <w:t> </w:t>
      </w:r>
      <w:r>
        <w:rPr>
          <w:sz w:val="18"/>
          <w:vertAlign w:val="baseline"/>
        </w:rPr>
        <w:t>4, 2024). https:</w:t>
      </w:r>
      <w:hyperlink r:id="rId673">
        <w:r>
          <w:rPr>
            <w:sz w:val="18"/>
            <w:vertAlign w:val="baseline"/>
          </w:rPr>
          <w:t>//www.boston.com/real-estate/renting/2024/01/04/an-in-depth-look-at-the-massachusetts-rental-market-</w:t>
        </w:r>
      </w:hyperlink>
      <w:r>
        <w:rPr>
          <w:sz w:val="18"/>
          <w:vertAlign w:val="baseline"/>
        </w:rPr>
        <w:t> </w:t>
      </w:r>
      <w:r>
        <w:rPr>
          <w:spacing w:val="-4"/>
          <w:sz w:val="18"/>
          <w:vertAlign w:val="baseline"/>
        </w:rPr>
        <w:t>jan/</w:t>
      </w:r>
    </w:p>
    <w:p>
      <w:pPr>
        <w:spacing w:before="0"/>
        <w:ind w:left="464" w:right="463" w:firstLine="0"/>
        <w:jc w:val="left"/>
        <w:rPr>
          <w:sz w:val="18"/>
        </w:rPr>
      </w:pPr>
      <w:bookmarkStart w:name="_bookmark587" w:id="882"/>
      <w:bookmarkEnd w:id="882"/>
      <w:r>
        <w:rPr/>
      </w:r>
      <w:r>
        <w:rPr>
          <w:sz w:val="18"/>
          <w:vertAlign w:val="superscript"/>
        </w:rPr>
        <w:t>33</w:t>
      </w:r>
      <w:r>
        <w:rPr>
          <w:sz w:val="18"/>
          <w:vertAlign w:val="baseline"/>
        </w:rPr>
        <w:t> Fry, Richard, Jeffrey S. Passel, and D’vera Cohn. “A Majority of Young Adults in the U.S. Live with Their Parents for the First</w:t>
      </w:r>
      <w:r>
        <w:rPr>
          <w:spacing w:val="-4"/>
          <w:sz w:val="18"/>
          <w:vertAlign w:val="baseline"/>
        </w:rPr>
        <w:t> </w:t>
      </w:r>
      <w:r>
        <w:rPr>
          <w:sz w:val="18"/>
          <w:vertAlign w:val="baseline"/>
        </w:rPr>
        <w:t>Time</w:t>
      </w:r>
      <w:r>
        <w:rPr>
          <w:spacing w:val="-3"/>
          <w:sz w:val="18"/>
          <w:vertAlign w:val="baseline"/>
        </w:rPr>
        <w:t> </w:t>
      </w:r>
      <w:r>
        <w:rPr>
          <w:sz w:val="18"/>
          <w:vertAlign w:val="baseline"/>
        </w:rPr>
        <w:t>since</w:t>
      </w:r>
      <w:r>
        <w:rPr>
          <w:spacing w:val="-3"/>
          <w:sz w:val="18"/>
          <w:vertAlign w:val="baseline"/>
        </w:rPr>
        <w:t> </w:t>
      </w:r>
      <w:r>
        <w:rPr>
          <w:sz w:val="18"/>
          <w:vertAlign w:val="baseline"/>
        </w:rPr>
        <w:t>the</w:t>
      </w:r>
      <w:r>
        <w:rPr>
          <w:spacing w:val="-3"/>
          <w:sz w:val="18"/>
          <w:vertAlign w:val="baseline"/>
        </w:rPr>
        <w:t> </w:t>
      </w:r>
      <w:r>
        <w:rPr>
          <w:sz w:val="18"/>
          <w:vertAlign w:val="baseline"/>
        </w:rPr>
        <w:t>Great</w:t>
      </w:r>
      <w:r>
        <w:rPr>
          <w:spacing w:val="-4"/>
          <w:sz w:val="18"/>
          <w:vertAlign w:val="baseline"/>
        </w:rPr>
        <w:t> </w:t>
      </w:r>
      <w:r>
        <w:rPr>
          <w:sz w:val="18"/>
          <w:vertAlign w:val="baseline"/>
        </w:rPr>
        <w:t>Depression.”</w:t>
      </w:r>
      <w:r>
        <w:rPr>
          <w:spacing w:val="-3"/>
          <w:sz w:val="18"/>
          <w:vertAlign w:val="baseline"/>
        </w:rPr>
        <w:t> </w:t>
      </w:r>
      <w:r>
        <w:rPr>
          <w:sz w:val="18"/>
          <w:vertAlign w:val="baseline"/>
        </w:rPr>
        <w:t>Pew</w:t>
      </w:r>
      <w:r>
        <w:rPr>
          <w:spacing w:val="-4"/>
          <w:sz w:val="18"/>
          <w:vertAlign w:val="baseline"/>
        </w:rPr>
        <w:t> </w:t>
      </w:r>
      <w:r>
        <w:rPr>
          <w:sz w:val="18"/>
          <w:vertAlign w:val="baseline"/>
        </w:rPr>
        <w:t>Research</w:t>
      </w:r>
      <w:r>
        <w:rPr>
          <w:spacing w:val="-3"/>
          <w:sz w:val="18"/>
          <w:vertAlign w:val="baseline"/>
        </w:rPr>
        <w:t> </w:t>
      </w:r>
      <w:r>
        <w:rPr>
          <w:sz w:val="18"/>
          <w:vertAlign w:val="baseline"/>
        </w:rPr>
        <w:t>Center</w:t>
      </w:r>
      <w:r>
        <w:rPr>
          <w:spacing w:val="-4"/>
          <w:sz w:val="18"/>
          <w:vertAlign w:val="baseline"/>
        </w:rPr>
        <w:t> </w:t>
      </w:r>
      <w:r>
        <w:rPr>
          <w:sz w:val="18"/>
          <w:vertAlign w:val="baseline"/>
        </w:rPr>
        <w:t>(September</w:t>
      </w:r>
      <w:r>
        <w:rPr>
          <w:spacing w:val="-4"/>
          <w:sz w:val="18"/>
          <w:vertAlign w:val="baseline"/>
        </w:rPr>
        <w:t> </w:t>
      </w:r>
      <w:r>
        <w:rPr>
          <w:sz w:val="18"/>
          <w:vertAlign w:val="baseline"/>
        </w:rPr>
        <w:t>4,</w:t>
      </w:r>
      <w:r>
        <w:rPr>
          <w:spacing w:val="-4"/>
          <w:sz w:val="18"/>
          <w:vertAlign w:val="baseline"/>
        </w:rPr>
        <w:t> </w:t>
      </w:r>
      <w:r>
        <w:rPr>
          <w:sz w:val="18"/>
          <w:vertAlign w:val="baseline"/>
        </w:rPr>
        <w:t>2020).</w:t>
      </w:r>
      <w:r>
        <w:rPr>
          <w:spacing w:val="-3"/>
          <w:sz w:val="18"/>
          <w:vertAlign w:val="baseline"/>
        </w:rPr>
        <w:t> </w:t>
      </w:r>
      <w:r>
        <w:rPr>
          <w:sz w:val="18"/>
          <w:vertAlign w:val="baseline"/>
        </w:rPr>
        <w:t>https:</w:t>
      </w:r>
      <w:hyperlink r:id="rId674">
        <w:r>
          <w:rPr>
            <w:sz w:val="18"/>
            <w:vertAlign w:val="baseline"/>
          </w:rPr>
          <w:t>//www.pewresearch.org/short-</w:t>
        </w:r>
      </w:hyperlink>
      <w:r>
        <w:rPr>
          <w:sz w:val="18"/>
          <w:vertAlign w:val="baseline"/>
        </w:rPr>
        <w:t> </w:t>
      </w:r>
      <w:r>
        <w:rPr>
          <w:spacing w:val="-2"/>
          <w:sz w:val="18"/>
          <w:vertAlign w:val="baseline"/>
        </w:rPr>
        <w:t>reads/2020/09/04/a-majority-of-young-adults-in-the-u-s-live-with-their-parents-for-the-first-time-since-the-great-</w:t>
      </w:r>
      <w:r>
        <w:rPr>
          <w:sz w:val="18"/>
          <w:vertAlign w:val="baseline"/>
        </w:rPr>
        <w:t> </w:t>
      </w:r>
      <w:r>
        <w:rPr>
          <w:spacing w:val="-2"/>
          <w:sz w:val="18"/>
          <w:vertAlign w:val="baseline"/>
        </w:rPr>
        <w:t>depression/</w:t>
      </w:r>
    </w:p>
    <w:p>
      <w:pPr>
        <w:spacing w:before="0"/>
        <w:ind w:left="464" w:right="249" w:firstLine="0"/>
        <w:jc w:val="left"/>
        <w:rPr>
          <w:sz w:val="18"/>
        </w:rPr>
      </w:pPr>
      <w:bookmarkStart w:name="_bookmark588" w:id="883"/>
      <w:bookmarkEnd w:id="883"/>
      <w:r>
        <w:rPr/>
      </w:r>
      <w:r>
        <w:rPr>
          <w:sz w:val="18"/>
          <w:vertAlign w:val="superscript"/>
        </w:rPr>
        <w:t>34</w:t>
      </w:r>
      <w:r>
        <w:rPr>
          <w:spacing w:val="-2"/>
          <w:sz w:val="18"/>
          <w:vertAlign w:val="baseline"/>
        </w:rPr>
        <w:t> </w:t>
      </w:r>
      <w:r>
        <w:rPr>
          <w:sz w:val="18"/>
          <w:vertAlign w:val="baseline"/>
        </w:rPr>
        <w:t>DeChants,</w:t>
      </w:r>
      <w:r>
        <w:rPr>
          <w:spacing w:val="-3"/>
          <w:sz w:val="18"/>
          <w:vertAlign w:val="baseline"/>
        </w:rPr>
        <w:t> </w:t>
      </w:r>
      <w:r>
        <w:rPr>
          <w:sz w:val="18"/>
          <w:vertAlign w:val="baseline"/>
        </w:rPr>
        <w:t>J.P.,</w:t>
      </w:r>
      <w:r>
        <w:rPr>
          <w:spacing w:val="-4"/>
          <w:sz w:val="18"/>
          <w:vertAlign w:val="baseline"/>
        </w:rPr>
        <w:t> </w:t>
      </w:r>
      <w:r>
        <w:rPr>
          <w:sz w:val="18"/>
          <w:vertAlign w:val="baseline"/>
        </w:rPr>
        <w:t>Green,</w:t>
      </w:r>
      <w:r>
        <w:rPr>
          <w:spacing w:val="-3"/>
          <w:sz w:val="18"/>
          <w:vertAlign w:val="baseline"/>
        </w:rPr>
        <w:t> </w:t>
      </w:r>
      <w:r>
        <w:rPr>
          <w:sz w:val="18"/>
          <w:vertAlign w:val="baseline"/>
        </w:rPr>
        <w:t>A.E.,</w:t>
      </w:r>
      <w:r>
        <w:rPr>
          <w:spacing w:val="-3"/>
          <w:sz w:val="18"/>
          <w:vertAlign w:val="baseline"/>
        </w:rPr>
        <w:t> </w:t>
      </w:r>
      <w:r>
        <w:rPr>
          <w:sz w:val="18"/>
          <w:vertAlign w:val="baseline"/>
        </w:rPr>
        <w:t>Price,</w:t>
      </w:r>
      <w:r>
        <w:rPr>
          <w:spacing w:val="-3"/>
          <w:sz w:val="18"/>
          <w:vertAlign w:val="baseline"/>
        </w:rPr>
        <w:t> </w:t>
      </w:r>
      <w:r>
        <w:rPr>
          <w:sz w:val="18"/>
          <w:vertAlign w:val="baseline"/>
        </w:rPr>
        <w:t>M.N,</w:t>
      </w:r>
      <w:r>
        <w:rPr>
          <w:spacing w:val="-3"/>
          <w:sz w:val="18"/>
          <w:vertAlign w:val="baseline"/>
        </w:rPr>
        <w:t> </w:t>
      </w:r>
      <w:r>
        <w:rPr>
          <w:sz w:val="18"/>
          <w:vertAlign w:val="baseline"/>
        </w:rPr>
        <w:t>&amp;</w:t>
      </w:r>
      <w:r>
        <w:rPr>
          <w:spacing w:val="-3"/>
          <w:sz w:val="18"/>
          <w:vertAlign w:val="baseline"/>
        </w:rPr>
        <w:t> </w:t>
      </w:r>
      <w:r>
        <w:rPr>
          <w:sz w:val="18"/>
          <w:vertAlign w:val="baseline"/>
        </w:rPr>
        <w:t>Davis,</w:t>
      </w:r>
      <w:r>
        <w:rPr>
          <w:spacing w:val="-2"/>
          <w:sz w:val="18"/>
          <w:vertAlign w:val="baseline"/>
        </w:rPr>
        <w:t> </w:t>
      </w:r>
      <w:r>
        <w:rPr>
          <w:sz w:val="18"/>
          <w:vertAlign w:val="baseline"/>
        </w:rPr>
        <w:t>C.K.</w:t>
      </w:r>
      <w:r>
        <w:rPr>
          <w:spacing w:val="-2"/>
          <w:sz w:val="18"/>
          <w:vertAlign w:val="baseline"/>
        </w:rPr>
        <w:t> </w:t>
      </w:r>
      <w:r>
        <w:rPr>
          <w:sz w:val="18"/>
          <w:vertAlign w:val="baseline"/>
        </w:rPr>
        <w:t>2021.</w:t>
      </w:r>
      <w:r>
        <w:rPr>
          <w:spacing w:val="-2"/>
          <w:sz w:val="18"/>
          <w:vertAlign w:val="baseline"/>
        </w:rPr>
        <w:t> </w:t>
      </w:r>
      <w:r>
        <w:rPr>
          <w:sz w:val="18"/>
          <w:vertAlign w:val="baseline"/>
        </w:rPr>
        <w:t>Homelessness</w:t>
      </w:r>
      <w:r>
        <w:rPr>
          <w:spacing w:val="-2"/>
          <w:sz w:val="18"/>
          <w:vertAlign w:val="baseline"/>
        </w:rPr>
        <w:t> </w:t>
      </w:r>
      <w:r>
        <w:rPr>
          <w:sz w:val="18"/>
          <w:vertAlign w:val="baseline"/>
        </w:rPr>
        <w:t>and</w:t>
      </w:r>
      <w:r>
        <w:rPr>
          <w:spacing w:val="-3"/>
          <w:sz w:val="18"/>
          <w:vertAlign w:val="baseline"/>
        </w:rPr>
        <w:t> </w:t>
      </w:r>
      <w:r>
        <w:rPr>
          <w:sz w:val="18"/>
          <w:vertAlign w:val="baseline"/>
        </w:rPr>
        <w:t>Housing</w:t>
      </w:r>
      <w:r>
        <w:rPr>
          <w:spacing w:val="-2"/>
          <w:sz w:val="18"/>
          <w:vertAlign w:val="baseline"/>
        </w:rPr>
        <w:t> </w:t>
      </w:r>
      <w:r>
        <w:rPr>
          <w:sz w:val="18"/>
          <w:vertAlign w:val="baseline"/>
        </w:rPr>
        <w:t>Instability</w:t>
      </w:r>
      <w:r>
        <w:rPr>
          <w:spacing w:val="-1"/>
          <w:sz w:val="18"/>
          <w:vertAlign w:val="baseline"/>
        </w:rPr>
        <w:t> </w:t>
      </w:r>
      <w:r>
        <w:rPr>
          <w:sz w:val="18"/>
          <w:vertAlign w:val="baseline"/>
        </w:rPr>
        <w:t>Among</w:t>
      </w:r>
      <w:r>
        <w:rPr>
          <w:spacing w:val="-2"/>
          <w:sz w:val="18"/>
          <w:vertAlign w:val="baseline"/>
        </w:rPr>
        <w:t> </w:t>
      </w:r>
      <w:r>
        <w:rPr>
          <w:sz w:val="18"/>
          <w:vertAlign w:val="baseline"/>
        </w:rPr>
        <w:t>LGBTQ</w:t>
      </w:r>
      <w:r>
        <w:rPr>
          <w:spacing w:val="-2"/>
          <w:sz w:val="18"/>
          <w:vertAlign w:val="baseline"/>
        </w:rPr>
        <w:t> </w:t>
      </w:r>
      <w:r>
        <w:rPr>
          <w:sz w:val="18"/>
          <w:vertAlign w:val="baseline"/>
        </w:rPr>
        <w:t>Youth. West Hollywood, CA The Trevor Project.</w:t>
      </w:r>
    </w:p>
    <w:p>
      <w:pPr>
        <w:spacing w:before="0"/>
        <w:ind w:left="464" w:right="276" w:firstLine="0"/>
        <w:jc w:val="left"/>
        <w:rPr>
          <w:sz w:val="18"/>
        </w:rPr>
      </w:pPr>
      <w:bookmarkStart w:name="_bookmark589" w:id="884"/>
      <w:bookmarkEnd w:id="884"/>
      <w:r>
        <w:rPr/>
      </w:r>
      <w:r>
        <w:rPr>
          <w:sz w:val="18"/>
          <w:vertAlign w:val="superscript"/>
        </w:rPr>
        <w:t>35</w:t>
      </w:r>
      <w:r>
        <w:rPr>
          <w:sz w:val="18"/>
          <w:vertAlign w:val="baseline"/>
        </w:rPr>
        <w:t> Lisinski, Chris. “Healey Unveils $4.1B Affordable Housing Act Aimed at Increasing Production, Lowering Costs.” NBC Boston</w:t>
      </w:r>
      <w:r>
        <w:rPr>
          <w:spacing w:val="-9"/>
          <w:sz w:val="18"/>
          <w:vertAlign w:val="baseline"/>
        </w:rPr>
        <w:t> </w:t>
      </w:r>
      <w:r>
        <w:rPr>
          <w:sz w:val="18"/>
          <w:vertAlign w:val="baseline"/>
        </w:rPr>
        <w:t>(October</w:t>
      </w:r>
      <w:r>
        <w:rPr>
          <w:spacing w:val="-10"/>
          <w:sz w:val="18"/>
          <w:vertAlign w:val="baseline"/>
        </w:rPr>
        <w:t> </w:t>
      </w:r>
      <w:r>
        <w:rPr>
          <w:sz w:val="18"/>
          <w:vertAlign w:val="baseline"/>
        </w:rPr>
        <w:t>18,</w:t>
      </w:r>
      <w:r>
        <w:rPr>
          <w:spacing w:val="-10"/>
          <w:sz w:val="18"/>
          <w:vertAlign w:val="baseline"/>
        </w:rPr>
        <w:t> </w:t>
      </w:r>
      <w:r>
        <w:rPr>
          <w:sz w:val="18"/>
          <w:vertAlign w:val="baseline"/>
        </w:rPr>
        <w:t>2023).</w:t>
      </w:r>
      <w:r>
        <w:rPr>
          <w:spacing w:val="-9"/>
          <w:sz w:val="18"/>
          <w:vertAlign w:val="baseline"/>
        </w:rPr>
        <w:t> </w:t>
      </w:r>
      <w:hyperlink r:id="rId675">
        <w:r>
          <w:rPr>
            <w:sz w:val="18"/>
            <w:vertAlign w:val="baseline"/>
          </w:rPr>
          <w:t>www.nbcboston.com/news/local/healey-to-unveil-4-1-billion-affordable-housing-act-aimed-at-</w:t>
        </w:r>
      </w:hyperlink>
      <w:r>
        <w:rPr>
          <w:sz w:val="18"/>
          <w:vertAlign w:val="baseline"/>
        </w:rPr>
        <w:t> </w:t>
      </w:r>
      <w:r>
        <w:rPr>
          <w:spacing w:val="-2"/>
          <w:sz w:val="18"/>
          <w:vertAlign w:val="baseline"/>
        </w:rPr>
        <w:t>increasing-production-lowering-costs/3163488/</w:t>
      </w:r>
    </w:p>
    <w:p>
      <w:pPr>
        <w:spacing w:before="0"/>
        <w:ind w:left="464" w:right="469" w:firstLine="0"/>
        <w:jc w:val="left"/>
        <w:rPr>
          <w:sz w:val="18"/>
        </w:rPr>
      </w:pPr>
      <w:bookmarkStart w:name="_bookmark590" w:id="885"/>
      <w:bookmarkEnd w:id="885"/>
      <w:r>
        <w:rPr/>
      </w:r>
      <w:r>
        <w:rPr>
          <w:sz w:val="18"/>
          <w:vertAlign w:val="superscript"/>
        </w:rPr>
        <w:t>36</w:t>
      </w:r>
      <w:r>
        <w:rPr>
          <w:sz w:val="18"/>
          <w:vertAlign w:val="baseline"/>
        </w:rPr>
        <w:t> Law, Jason, and Lindsey Thorpe. “Gov. Healey Discusses Goals for Housing Crisis, Childcare, MBTA at First State of the Commonwealth.”</w:t>
      </w:r>
      <w:r>
        <w:rPr>
          <w:spacing w:val="-5"/>
          <w:sz w:val="18"/>
          <w:vertAlign w:val="baseline"/>
        </w:rPr>
        <w:t> </w:t>
      </w:r>
      <w:r>
        <w:rPr>
          <w:sz w:val="18"/>
          <w:vertAlign w:val="baseline"/>
        </w:rPr>
        <w:t>Boston</w:t>
      </w:r>
      <w:r>
        <w:rPr>
          <w:spacing w:val="-5"/>
          <w:sz w:val="18"/>
          <w:vertAlign w:val="baseline"/>
        </w:rPr>
        <w:t> </w:t>
      </w:r>
      <w:r>
        <w:rPr>
          <w:sz w:val="18"/>
          <w:vertAlign w:val="baseline"/>
        </w:rPr>
        <w:t>25</w:t>
      </w:r>
      <w:r>
        <w:rPr>
          <w:spacing w:val="-5"/>
          <w:sz w:val="18"/>
          <w:vertAlign w:val="baseline"/>
        </w:rPr>
        <w:t> </w:t>
      </w:r>
      <w:r>
        <w:rPr>
          <w:sz w:val="18"/>
          <w:vertAlign w:val="baseline"/>
        </w:rPr>
        <w:t>News</w:t>
      </w:r>
      <w:r>
        <w:rPr>
          <w:spacing w:val="-5"/>
          <w:sz w:val="18"/>
          <w:vertAlign w:val="baseline"/>
        </w:rPr>
        <w:t> </w:t>
      </w:r>
      <w:r>
        <w:rPr>
          <w:sz w:val="18"/>
          <w:vertAlign w:val="baseline"/>
        </w:rPr>
        <w:t>(January</w:t>
      </w:r>
      <w:r>
        <w:rPr>
          <w:spacing w:val="-5"/>
          <w:sz w:val="18"/>
          <w:vertAlign w:val="baseline"/>
        </w:rPr>
        <w:t> </w:t>
      </w:r>
      <w:r>
        <w:rPr>
          <w:sz w:val="18"/>
          <w:vertAlign w:val="baseline"/>
        </w:rPr>
        <w:t>18,</w:t>
      </w:r>
      <w:r>
        <w:rPr>
          <w:spacing w:val="-6"/>
          <w:sz w:val="18"/>
          <w:vertAlign w:val="baseline"/>
        </w:rPr>
        <w:t> </w:t>
      </w:r>
      <w:r>
        <w:rPr>
          <w:sz w:val="18"/>
          <w:vertAlign w:val="baseline"/>
        </w:rPr>
        <w:t>2024).</w:t>
      </w:r>
      <w:r>
        <w:rPr>
          <w:spacing w:val="-5"/>
          <w:sz w:val="18"/>
          <w:vertAlign w:val="baseline"/>
        </w:rPr>
        <w:t> </w:t>
      </w:r>
      <w:hyperlink r:id="rId676">
        <w:r>
          <w:rPr>
            <w:sz w:val="18"/>
            <w:vertAlign w:val="baseline"/>
          </w:rPr>
          <w:t>www.boston25news.com/news/local/gov-healey-discusses-goals-</w:t>
        </w:r>
      </w:hyperlink>
      <w:r>
        <w:rPr>
          <w:sz w:val="18"/>
          <w:vertAlign w:val="baseline"/>
        </w:rPr>
        <w:t> </w:t>
      </w:r>
      <w:r>
        <w:rPr>
          <w:spacing w:val="-2"/>
          <w:sz w:val="18"/>
          <w:vertAlign w:val="baseline"/>
        </w:rPr>
        <w:t>housing-crisis-childcare-mbta-first-state-commonwealth/53U74VXLMBDL3CYJI4NE2XHXVE/</w:t>
      </w:r>
    </w:p>
    <w:p>
      <w:pPr>
        <w:spacing w:line="219" w:lineRule="exact" w:before="0"/>
        <w:ind w:left="464" w:right="0" w:firstLine="0"/>
        <w:jc w:val="left"/>
        <w:rPr>
          <w:sz w:val="18"/>
        </w:rPr>
      </w:pPr>
      <w:bookmarkStart w:name="_bookmark591" w:id="886"/>
      <w:bookmarkEnd w:id="886"/>
      <w:r>
        <w:rPr/>
      </w:r>
      <w:r>
        <w:rPr>
          <w:sz w:val="18"/>
          <w:vertAlign w:val="superscript"/>
        </w:rPr>
        <w:t>37</w:t>
      </w:r>
      <w:r>
        <w:rPr>
          <w:spacing w:val="-5"/>
          <w:sz w:val="18"/>
          <w:vertAlign w:val="baseline"/>
        </w:rPr>
        <w:t> </w:t>
      </w:r>
      <w:r>
        <w:rPr>
          <w:sz w:val="18"/>
          <w:vertAlign w:val="baseline"/>
        </w:rPr>
        <w:t>Bureau</w:t>
      </w:r>
      <w:r>
        <w:rPr>
          <w:spacing w:val="-2"/>
          <w:sz w:val="18"/>
          <w:vertAlign w:val="baseline"/>
        </w:rPr>
        <w:t> </w:t>
      </w:r>
      <w:r>
        <w:rPr>
          <w:sz w:val="18"/>
          <w:vertAlign w:val="baseline"/>
        </w:rPr>
        <w:t>of</w:t>
      </w:r>
      <w:r>
        <w:rPr>
          <w:spacing w:val="-2"/>
          <w:sz w:val="18"/>
          <w:vertAlign w:val="baseline"/>
        </w:rPr>
        <w:t> </w:t>
      </w:r>
      <w:r>
        <w:rPr>
          <w:sz w:val="18"/>
          <w:vertAlign w:val="baseline"/>
        </w:rPr>
        <w:t>Labor</w:t>
      </w:r>
      <w:r>
        <w:rPr>
          <w:spacing w:val="-2"/>
          <w:sz w:val="18"/>
          <w:vertAlign w:val="baseline"/>
        </w:rPr>
        <w:t> </w:t>
      </w:r>
      <w:r>
        <w:rPr>
          <w:sz w:val="18"/>
          <w:vertAlign w:val="baseline"/>
        </w:rPr>
        <w:t>Statistics.</w:t>
      </w:r>
      <w:r>
        <w:rPr>
          <w:spacing w:val="-3"/>
          <w:sz w:val="18"/>
          <w:vertAlign w:val="baseline"/>
        </w:rPr>
        <w:t> </w:t>
      </w:r>
      <w:r>
        <w:rPr>
          <w:sz w:val="18"/>
          <w:vertAlign w:val="baseline"/>
        </w:rPr>
        <w:t>“Education</w:t>
      </w:r>
      <w:r>
        <w:rPr>
          <w:spacing w:val="-2"/>
          <w:sz w:val="18"/>
          <w:vertAlign w:val="baseline"/>
        </w:rPr>
        <w:t> </w:t>
      </w:r>
      <w:r>
        <w:rPr>
          <w:sz w:val="18"/>
          <w:vertAlign w:val="baseline"/>
        </w:rPr>
        <w:t>Pays,</w:t>
      </w:r>
      <w:r>
        <w:rPr>
          <w:spacing w:val="-2"/>
          <w:sz w:val="18"/>
          <w:vertAlign w:val="baseline"/>
        </w:rPr>
        <w:t> </w:t>
      </w:r>
      <w:r>
        <w:rPr>
          <w:sz w:val="18"/>
          <w:vertAlign w:val="baseline"/>
        </w:rPr>
        <w:t>2022</w:t>
      </w:r>
      <w:r>
        <w:rPr>
          <w:spacing w:val="-3"/>
          <w:sz w:val="18"/>
          <w:vertAlign w:val="baseline"/>
        </w:rPr>
        <w:t> </w:t>
      </w:r>
      <w:r>
        <w:rPr>
          <w:sz w:val="18"/>
          <w:vertAlign w:val="baseline"/>
        </w:rPr>
        <w:t>:</w:t>
      </w:r>
      <w:r>
        <w:rPr>
          <w:spacing w:val="-2"/>
          <w:sz w:val="18"/>
          <w:vertAlign w:val="baseline"/>
        </w:rPr>
        <w:t> </w:t>
      </w:r>
      <w:r>
        <w:rPr>
          <w:sz w:val="18"/>
          <w:vertAlign w:val="baseline"/>
        </w:rPr>
        <w:t>Career</w:t>
      </w:r>
      <w:r>
        <w:rPr>
          <w:spacing w:val="-2"/>
          <w:sz w:val="18"/>
          <w:vertAlign w:val="baseline"/>
        </w:rPr>
        <w:t> </w:t>
      </w:r>
      <w:r>
        <w:rPr>
          <w:sz w:val="18"/>
          <w:vertAlign w:val="baseline"/>
        </w:rPr>
        <w:t>Outlook:</w:t>
      </w:r>
      <w:r>
        <w:rPr>
          <w:spacing w:val="-3"/>
          <w:sz w:val="18"/>
          <w:vertAlign w:val="baseline"/>
        </w:rPr>
        <w:t> </w:t>
      </w:r>
      <w:r>
        <w:rPr>
          <w:sz w:val="18"/>
          <w:vertAlign w:val="baseline"/>
        </w:rPr>
        <w:t>U.S.</w:t>
      </w:r>
      <w:r>
        <w:rPr>
          <w:spacing w:val="-2"/>
          <w:sz w:val="18"/>
          <w:vertAlign w:val="baseline"/>
        </w:rPr>
        <w:t> </w:t>
      </w:r>
      <w:r>
        <w:rPr>
          <w:sz w:val="18"/>
          <w:vertAlign w:val="baseline"/>
        </w:rPr>
        <w:t>Bureau</w:t>
      </w:r>
      <w:r>
        <w:rPr>
          <w:spacing w:val="-2"/>
          <w:sz w:val="18"/>
          <w:vertAlign w:val="baseline"/>
        </w:rPr>
        <w:t> </w:t>
      </w:r>
      <w:r>
        <w:rPr>
          <w:sz w:val="18"/>
          <w:vertAlign w:val="baseline"/>
        </w:rPr>
        <w:t>of</w:t>
      </w:r>
      <w:r>
        <w:rPr>
          <w:spacing w:val="-2"/>
          <w:sz w:val="18"/>
          <w:vertAlign w:val="baseline"/>
        </w:rPr>
        <w:t> </w:t>
      </w:r>
      <w:r>
        <w:rPr>
          <w:sz w:val="18"/>
          <w:vertAlign w:val="baseline"/>
        </w:rPr>
        <w:t>Labor</w:t>
      </w:r>
      <w:r>
        <w:rPr>
          <w:spacing w:val="-3"/>
          <w:sz w:val="18"/>
          <w:vertAlign w:val="baseline"/>
        </w:rPr>
        <w:t> </w:t>
      </w:r>
      <w:r>
        <w:rPr>
          <w:sz w:val="18"/>
          <w:vertAlign w:val="baseline"/>
        </w:rPr>
        <w:t>Statistics.”</w:t>
      </w:r>
      <w:r>
        <w:rPr>
          <w:spacing w:val="-2"/>
          <w:sz w:val="18"/>
          <w:vertAlign w:val="baseline"/>
        </w:rPr>
        <w:t> </w:t>
      </w:r>
      <w:r>
        <w:rPr>
          <w:sz w:val="18"/>
          <w:vertAlign w:val="baseline"/>
        </w:rPr>
        <w:t>(May</w:t>
      </w:r>
      <w:r>
        <w:rPr>
          <w:spacing w:val="-2"/>
          <w:sz w:val="18"/>
          <w:vertAlign w:val="baseline"/>
        </w:rPr>
        <w:t> 2023).</w:t>
      </w:r>
    </w:p>
    <w:p>
      <w:pPr>
        <w:spacing w:before="0"/>
        <w:ind w:left="464" w:right="0" w:firstLine="0"/>
        <w:jc w:val="left"/>
        <w:rPr>
          <w:sz w:val="18"/>
        </w:rPr>
      </w:pPr>
      <w:r>
        <w:rPr>
          <w:spacing w:val="-2"/>
          <w:sz w:val="18"/>
        </w:rPr>
        <w:t>https://</w:t>
      </w:r>
      <w:hyperlink r:id="rId677">
        <w:r>
          <w:rPr>
            <w:spacing w:val="-2"/>
            <w:sz w:val="18"/>
          </w:rPr>
          <w:t>www.bls.gov/careeroutlook/2023/data-on-display/education-pays.htm</w:t>
        </w:r>
      </w:hyperlink>
    </w:p>
    <w:p>
      <w:pPr>
        <w:spacing w:before="0"/>
        <w:ind w:left="464" w:right="887" w:firstLine="0"/>
        <w:jc w:val="left"/>
        <w:rPr>
          <w:sz w:val="18"/>
        </w:rPr>
      </w:pPr>
      <w:bookmarkStart w:name="_bookmark592" w:id="887"/>
      <w:bookmarkEnd w:id="887"/>
      <w:r>
        <w:rPr/>
      </w:r>
      <w:r>
        <w:rPr>
          <w:sz w:val="18"/>
          <w:vertAlign w:val="superscript"/>
        </w:rPr>
        <w:t>38</w:t>
      </w:r>
      <w:r>
        <w:rPr>
          <w:spacing w:val="-2"/>
          <w:sz w:val="18"/>
          <w:vertAlign w:val="baseline"/>
        </w:rPr>
        <w:t> </w:t>
      </w:r>
      <w:r>
        <w:rPr>
          <w:sz w:val="18"/>
          <w:vertAlign w:val="baseline"/>
        </w:rPr>
        <w:t>Kosciw,</w:t>
      </w:r>
      <w:r>
        <w:rPr>
          <w:spacing w:val="-3"/>
          <w:sz w:val="18"/>
          <w:vertAlign w:val="baseline"/>
        </w:rPr>
        <w:t> </w:t>
      </w:r>
      <w:r>
        <w:rPr>
          <w:sz w:val="18"/>
          <w:vertAlign w:val="baseline"/>
        </w:rPr>
        <w:t>Joseph</w:t>
      </w:r>
      <w:r>
        <w:rPr>
          <w:spacing w:val="-2"/>
          <w:sz w:val="18"/>
          <w:vertAlign w:val="baseline"/>
        </w:rPr>
        <w:t> </w:t>
      </w:r>
      <w:r>
        <w:rPr>
          <w:sz w:val="18"/>
          <w:vertAlign w:val="baseline"/>
        </w:rPr>
        <w:t>G.,</w:t>
      </w:r>
      <w:r>
        <w:rPr>
          <w:spacing w:val="-3"/>
          <w:sz w:val="18"/>
          <w:vertAlign w:val="baseline"/>
        </w:rPr>
        <w:t> </w:t>
      </w:r>
      <w:r>
        <w:rPr>
          <w:sz w:val="18"/>
          <w:vertAlign w:val="baseline"/>
        </w:rPr>
        <w:t>Caitlin</w:t>
      </w:r>
      <w:r>
        <w:rPr>
          <w:spacing w:val="-2"/>
          <w:sz w:val="18"/>
          <w:vertAlign w:val="baseline"/>
        </w:rPr>
        <w:t> </w:t>
      </w:r>
      <w:r>
        <w:rPr>
          <w:sz w:val="18"/>
          <w:vertAlign w:val="baseline"/>
        </w:rPr>
        <w:t>M.</w:t>
      </w:r>
      <w:r>
        <w:rPr>
          <w:spacing w:val="-2"/>
          <w:sz w:val="18"/>
          <w:vertAlign w:val="baseline"/>
        </w:rPr>
        <w:t> </w:t>
      </w:r>
      <w:r>
        <w:rPr>
          <w:sz w:val="18"/>
          <w:vertAlign w:val="baseline"/>
        </w:rPr>
        <w:t>Clark,</w:t>
      </w:r>
      <w:r>
        <w:rPr>
          <w:spacing w:val="-3"/>
          <w:sz w:val="18"/>
          <w:vertAlign w:val="baseline"/>
        </w:rPr>
        <w:t> </w:t>
      </w:r>
      <w:r>
        <w:rPr>
          <w:sz w:val="18"/>
          <w:vertAlign w:val="baseline"/>
        </w:rPr>
        <w:t>and</w:t>
      </w:r>
      <w:r>
        <w:rPr>
          <w:spacing w:val="-2"/>
          <w:sz w:val="18"/>
          <w:vertAlign w:val="baseline"/>
        </w:rPr>
        <w:t> </w:t>
      </w:r>
      <w:r>
        <w:rPr>
          <w:sz w:val="18"/>
          <w:vertAlign w:val="baseline"/>
        </w:rPr>
        <w:t>Leesh</w:t>
      </w:r>
      <w:r>
        <w:rPr>
          <w:spacing w:val="-2"/>
          <w:sz w:val="18"/>
          <w:vertAlign w:val="baseline"/>
        </w:rPr>
        <w:t> </w:t>
      </w:r>
      <w:r>
        <w:rPr>
          <w:sz w:val="18"/>
          <w:vertAlign w:val="baseline"/>
        </w:rPr>
        <w:t>Menard.</w:t>
      </w:r>
      <w:r>
        <w:rPr>
          <w:spacing w:val="-2"/>
          <w:sz w:val="18"/>
          <w:vertAlign w:val="baseline"/>
        </w:rPr>
        <w:t> </w:t>
      </w:r>
      <w:r>
        <w:rPr>
          <w:sz w:val="18"/>
          <w:vertAlign w:val="baseline"/>
        </w:rPr>
        <w:t>“The</w:t>
      </w:r>
      <w:r>
        <w:rPr>
          <w:spacing w:val="-2"/>
          <w:sz w:val="18"/>
          <w:vertAlign w:val="baseline"/>
        </w:rPr>
        <w:t> </w:t>
      </w:r>
      <w:r>
        <w:rPr>
          <w:sz w:val="18"/>
          <w:vertAlign w:val="baseline"/>
        </w:rPr>
        <w:t>2021</w:t>
      </w:r>
      <w:r>
        <w:rPr>
          <w:spacing w:val="-2"/>
          <w:sz w:val="18"/>
          <w:vertAlign w:val="baseline"/>
        </w:rPr>
        <w:t> </w:t>
      </w:r>
      <w:r>
        <w:rPr>
          <w:sz w:val="18"/>
          <w:vertAlign w:val="baseline"/>
        </w:rPr>
        <w:t>National</w:t>
      </w:r>
      <w:r>
        <w:rPr>
          <w:spacing w:val="-3"/>
          <w:sz w:val="18"/>
          <w:vertAlign w:val="baseline"/>
        </w:rPr>
        <w:t> </w:t>
      </w:r>
      <w:r>
        <w:rPr>
          <w:sz w:val="18"/>
          <w:vertAlign w:val="baseline"/>
        </w:rPr>
        <w:t>School</w:t>
      </w:r>
      <w:r>
        <w:rPr>
          <w:spacing w:val="-3"/>
          <w:sz w:val="18"/>
          <w:vertAlign w:val="baseline"/>
        </w:rPr>
        <w:t> </w:t>
      </w:r>
      <w:r>
        <w:rPr>
          <w:sz w:val="18"/>
          <w:vertAlign w:val="baseline"/>
        </w:rPr>
        <w:t>Climate</w:t>
      </w:r>
      <w:r>
        <w:rPr>
          <w:spacing w:val="-2"/>
          <w:sz w:val="18"/>
          <w:vertAlign w:val="baseline"/>
        </w:rPr>
        <w:t> </w:t>
      </w:r>
      <w:r>
        <w:rPr>
          <w:sz w:val="18"/>
          <w:vertAlign w:val="baseline"/>
        </w:rPr>
        <w:t>Survey.”</w:t>
      </w:r>
      <w:r>
        <w:rPr>
          <w:spacing w:val="-2"/>
          <w:sz w:val="18"/>
          <w:vertAlign w:val="baseline"/>
        </w:rPr>
        <w:t> </w:t>
      </w:r>
      <w:r>
        <w:rPr>
          <w:sz w:val="18"/>
          <w:vertAlign w:val="baseline"/>
        </w:rPr>
        <w:t>GLSEN,</w:t>
      </w:r>
      <w:r>
        <w:rPr>
          <w:spacing w:val="-3"/>
          <w:sz w:val="18"/>
          <w:vertAlign w:val="baseline"/>
        </w:rPr>
        <w:t> </w:t>
      </w:r>
      <w:r>
        <w:rPr>
          <w:sz w:val="18"/>
          <w:vertAlign w:val="baseline"/>
        </w:rPr>
        <w:t>2022. </w:t>
      </w:r>
      <w:r>
        <w:rPr>
          <w:spacing w:val="-2"/>
          <w:sz w:val="18"/>
          <w:vertAlign w:val="baseline"/>
        </w:rPr>
        <w:t>https://</w:t>
      </w:r>
      <w:hyperlink r:id="rId108">
        <w:r>
          <w:rPr>
            <w:spacing w:val="-2"/>
            <w:sz w:val="18"/>
            <w:vertAlign w:val="baseline"/>
          </w:rPr>
          <w:t>www.glsen.org/sites/default/files/2022-10/NSCS-2021-Full-Report.pdf</w:t>
        </w:r>
      </w:hyperlink>
    </w:p>
    <w:p>
      <w:pPr>
        <w:spacing w:before="0"/>
        <w:ind w:left="463" w:right="476" w:firstLine="0"/>
        <w:jc w:val="left"/>
        <w:rPr>
          <w:sz w:val="18"/>
        </w:rPr>
      </w:pPr>
      <w:bookmarkStart w:name="_bookmark593" w:id="888"/>
      <w:bookmarkEnd w:id="888"/>
      <w:r>
        <w:rPr/>
      </w:r>
      <w:r>
        <w:rPr>
          <w:sz w:val="18"/>
          <w:vertAlign w:val="superscript"/>
        </w:rPr>
        <w:t>39</w:t>
      </w:r>
      <w:r>
        <w:rPr>
          <w:sz w:val="18"/>
          <w:vertAlign w:val="baseline"/>
        </w:rPr>
        <w:t> McLaren, Mandy. “Mass. Vocational Schools Policy Violates Student Civil Rights, Complaint Says.” The Boston Globe (February</w:t>
      </w:r>
      <w:r>
        <w:rPr>
          <w:spacing w:val="-11"/>
          <w:sz w:val="18"/>
          <w:vertAlign w:val="baseline"/>
        </w:rPr>
        <w:t> </w:t>
      </w:r>
      <w:r>
        <w:rPr>
          <w:sz w:val="18"/>
          <w:vertAlign w:val="baseline"/>
        </w:rPr>
        <w:t>2,</w:t>
      </w:r>
      <w:r>
        <w:rPr>
          <w:spacing w:val="-10"/>
          <w:sz w:val="18"/>
          <w:vertAlign w:val="baseline"/>
        </w:rPr>
        <w:t> </w:t>
      </w:r>
      <w:r>
        <w:rPr>
          <w:sz w:val="18"/>
          <w:vertAlign w:val="baseline"/>
        </w:rPr>
        <w:t>2023).</w:t>
      </w:r>
      <w:r>
        <w:rPr>
          <w:spacing w:val="-10"/>
          <w:sz w:val="18"/>
          <w:vertAlign w:val="baseline"/>
        </w:rPr>
        <w:t> </w:t>
      </w:r>
      <w:r>
        <w:rPr>
          <w:sz w:val="18"/>
          <w:vertAlign w:val="baseline"/>
        </w:rPr>
        <w:t>https://</w:t>
      </w:r>
      <w:hyperlink r:id="rId678">
        <w:r>
          <w:rPr>
            <w:sz w:val="18"/>
            <w:vertAlign w:val="baseline"/>
          </w:rPr>
          <w:t>www.bostonglobe.com/2023/02/02/metro/mass-vocational-schools-policy-violates-student-</w:t>
        </w:r>
      </w:hyperlink>
      <w:r>
        <w:rPr>
          <w:sz w:val="18"/>
          <w:vertAlign w:val="baseline"/>
        </w:rPr>
        <w:t> </w:t>
      </w:r>
      <w:r>
        <w:rPr>
          <w:spacing w:val="-2"/>
          <w:sz w:val="18"/>
          <w:vertAlign w:val="baseline"/>
        </w:rPr>
        <w:t>civil-rights-complaint-says/</w:t>
      </w:r>
    </w:p>
    <w:p>
      <w:pPr>
        <w:spacing w:line="219" w:lineRule="exact" w:before="0"/>
        <w:ind w:left="464" w:right="0" w:firstLine="0"/>
        <w:jc w:val="left"/>
        <w:rPr>
          <w:sz w:val="18"/>
        </w:rPr>
      </w:pPr>
      <w:bookmarkStart w:name="_bookmark594" w:id="889"/>
      <w:bookmarkEnd w:id="889"/>
      <w:r>
        <w:rPr/>
      </w:r>
      <w:r>
        <w:rPr>
          <w:sz w:val="18"/>
          <w:vertAlign w:val="superscript"/>
        </w:rPr>
        <w:t>40</w:t>
      </w:r>
      <w:r>
        <w:rPr>
          <w:spacing w:val="-5"/>
          <w:sz w:val="18"/>
          <w:vertAlign w:val="baseline"/>
        </w:rPr>
        <w:t> </w:t>
      </w:r>
      <w:r>
        <w:rPr>
          <w:sz w:val="18"/>
          <w:vertAlign w:val="baseline"/>
        </w:rPr>
        <w:t>Bureau</w:t>
      </w:r>
      <w:r>
        <w:rPr>
          <w:spacing w:val="-2"/>
          <w:sz w:val="18"/>
          <w:vertAlign w:val="baseline"/>
        </w:rPr>
        <w:t> </w:t>
      </w:r>
      <w:r>
        <w:rPr>
          <w:sz w:val="18"/>
          <w:vertAlign w:val="baseline"/>
        </w:rPr>
        <w:t>of</w:t>
      </w:r>
      <w:r>
        <w:rPr>
          <w:spacing w:val="-2"/>
          <w:sz w:val="18"/>
          <w:vertAlign w:val="baseline"/>
        </w:rPr>
        <w:t> </w:t>
      </w:r>
      <w:r>
        <w:rPr>
          <w:sz w:val="18"/>
          <w:vertAlign w:val="baseline"/>
        </w:rPr>
        <w:t>Labor</w:t>
      </w:r>
      <w:r>
        <w:rPr>
          <w:spacing w:val="-2"/>
          <w:sz w:val="18"/>
          <w:vertAlign w:val="baseline"/>
        </w:rPr>
        <w:t> </w:t>
      </w:r>
      <w:r>
        <w:rPr>
          <w:sz w:val="18"/>
          <w:vertAlign w:val="baseline"/>
        </w:rPr>
        <w:t>Statistics.</w:t>
      </w:r>
      <w:r>
        <w:rPr>
          <w:spacing w:val="-3"/>
          <w:sz w:val="18"/>
          <w:vertAlign w:val="baseline"/>
        </w:rPr>
        <w:t> </w:t>
      </w:r>
      <w:r>
        <w:rPr>
          <w:sz w:val="18"/>
          <w:vertAlign w:val="baseline"/>
        </w:rPr>
        <w:t>“Education</w:t>
      </w:r>
      <w:r>
        <w:rPr>
          <w:spacing w:val="-2"/>
          <w:sz w:val="18"/>
          <w:vertAlign w:val="baseline"/>
        </w:rPr>
        <w:t> </w:t>
      </w:r>
      <w:r>
        <w:rPr>
          <w:sz w:val="18"/>
          <w:vertAlign w:val="baseline"/>
        </w:rPr>
        <w:t>Pays,</w:t>
      </w:r>
      <w:r>
        <w:rPr>
          <w:spacing w:val="-2"/>
          <w:sz w:val="18"/>
          <w:vertAlign w:val="baseline"/>
        </w:rPr>
        <w:t> </w:t>
      </w:r>
      <w:r>
        <w:rPr>
          <w:sz w:val="18"/>
          <w:vertAlign w:val="baseline"/>
        </w:rPr>
        <w:t>2022</w:t>
      </w:r>
      <w:r>
        <w:rPr>
          <w:spacing w:val="-3"/>
          <w:sz w:val="18"/>
          <w:vertAlign w:val="baseline"/>
        </w:rPr>
        <w:t> </w:t>
      </w:r>
      <w:r>
        <w:rPr>
          <w:sz w:val="18"/>
          <w:vertAlign w:val="baseline"/>
        </w:rPr>
        <w:t>:</w:t>
      </w:r>
      <w:r>
        <w:rPr>
          <w:spacing w:val="-2"/>
          <w:sz w:val="18"/>
          <w:vertAlign w:val="baseline"/>
        </w:rPr>
        <w:t> </w:t>
      </w:r>
      <w:r>
        <w:rPr>
          <w:sz w:val="18"/>
          <w:vertAlign w:val="baseline"/>
        </w:rPr>
        <w:t>Career</w:t>
      </w:r>
      <w:r>
        <w:rPr>
          <w:spacing w:val="-2"/>
          <w:sz w:val="18"/>
          <w:vertAlign w:val="baseline"/>
        </w:rPr>
        <w:t> </w:t>
      </w:r>
      <w:r>
        <w:rPr>
          <w:sz w:val="18"/>
          <w:vertAlign w:val="baseline"/>
        </w:rPr>
        <w:t>Outlook:</w:t>
      </w:r>
      <w:r>
        <w:rPr>
          <w:spacing w:val="-3"/>
          <w:sz w:val="18"/>
          <w:vertAlign w:val="baseline"/>
        </w:rPr>
        <w:t> </w:t>
      </w:r>
      <w:r>
        <w:rPr>
          <w:sz w:val="18"/>
          <w:vertAlign w:val="baseline"/>
        </w:rPr>
        <w:t>U.S.</w:t>
      </w:r>
      <w:r>
        <w:rPr>
          <w:spacing w:val="-2"/>
          <w:sz w:val="18"/>
          <w:vertAlign w:val="baseline"/>
        </w:rPr>
        <w:t> </w:t>
      </w:r>
      <w:r>
        <w:rPr>
          <w:sz w:val="18"/>
          <w:vertAlign w:val="baseline"/>
        </w:rPr>
        <w:t>Bureau</w:t>
      </w:r>
      <w:r>
        <w:rPr>
          <w:spacing w:val="-2"/>
          <w:sz w:val="18"/>
          <w:vertAlign w:val="baseline"/>
        </w:rPr>
        <w:t> </w:t>
      </w:r>
      <w:r>
        <w:rPr>
          <w:sz w:val="18"/>
          <w:vertAlign w:val="baseline"/>
        </w:rPr>
        <w:t>of</w:t>
      </w:r>
      <w:r>
        <w:rPr>
          <w:spacing w:val="-2"/>
          <w:sz w:val="18"/>
          <w:vertAlign w:val="baseline"/>
        </w:rPr>
        <w:t> </w:t>
      </w:r>
      <w:r>
        <w:rPr>
          <w:sz w:val="18"/>
          <w:vertAlign w:val="baseline"/>
        </w:rPr>
        <w:t>Labor</w:t>
      </w:r>
      <w:r>
        <w:rPr>
          <w:spacing w:val="-3"/>
          <w:sz w:val="18"/>
          <w:vertAlign w:val="baseline"/>
        </w:rPr>
        <w:t> </w:t>
      </w:r>
      <w:r>
        <w:rPr>
          <w:sz w:val="18"/>
          <w:vertAlign w:val="baseline"/>
        </w:rPr>
        <w:t>Statistics.”</w:t>
      </w:r>
      <w:r>
        <w:rPr>
          <w:spacing w:val="-2"/>
          <w:sz w:val="18"/>
          <w:vertAlign w:val="baseline"/>
        </w:rPr>
        <w:t> </w:t>
      </w:r>
      <w:r>
        <w:rPr>
          <w:sz w:val="18"/>
          <w:vertAlign w:val="baseline"/>
        </w:rPr>
        <w:t>(May</w:t>
      </w:r>
      <w:r>
        <w:rPr>
          <w:spacing w:val="-2"/>
          <w:sz w:val="18"/>
          <w:vertAlign w:val="baseline"/>
        </w:rPr>
        <w:t> 2023).</w:t>
      </w:r>
    </w:p>
    <w:p>
      <w:pPr>
        <w:spacing w:before="0"/>
        <w:ind w:left="464" w:right="0" w:firstLine="0"/>
        <w:jc w:val="left"/>
        <w:rPr>
          <w:sz w:val="18"/>
        </w:rPr>
      </w:pPr>
      <w:r>
        <w:rPr>
          <w:spacing w:val="-2"/>
          <w:sz w:val="18"/>
        </w:rPr>
        <w:t>https://</w:t>
      </w:r>
      <w:hyperlink r:id="rId677">
        <w:r>
          <w:rPr>
            <w:spacing w:val="-2"/>
            <w:sz w:val="18"/>
          </w:rPr>
          <w:t>www.bls.gov/careeroutlook/2023/data-on-display/education-pays.htm.</w:t>
        </w:r>
      </w:hyperlink>
    </w:p>
    <w:p>
      <w:pPr>
        <w:spacing w:after="0"/>
        <w:jc w:val="left"/>
        <w:rPr>
          <w:sz w:val="18"/>
        </w:rPr>
        <w:sectPr>
          <w:pgSz w:w="12240" w:h="15840"/>
          <w:pgMar w:header="763" w:footer="1041" w:top="1380" w:bottom="1240" w:left="1120" w:right="1380"/>
        </w:sectPr>
      </w:pPr>
    </w:p>
    <w:p>
      <w:pPr>
        <w:pStyle w:val="BodyText"/>
        <w:spacing w:before="73"/>
        <w:rPr>
          <w:sz w:val="18"/>
        </w:rPr>
      </w:pPr>
    </w:p>
    <w:p>
      <w:pPr>
        <w:spacing w:before="0"/>
        <w:ind w:left="464" w:right="354" w:hanging="1"/>
        <w:jc w:val="left"/>
        <w:rPr>
          <w:sz w:val="18"/>
        </w:rPr>
      </w:pPr>
      <w:bookmarkStart w:name="_bookmark595" w:id="890"/>
      <w:bookmarkEnd w:id="890"/>
      <w:r>
        <w:rPr/>
      </w:r>
      <w:r>
        <w:rPr>
          <w:sz w:val="18"/>
          <w:vertAlign w:val="superscript"/>
        </w:rPr>
        <w:t>41</w:t>
      </w:r>
      <w:r>
        <w:rPr>
          <w:sz w:val="18"/>
          <w:vertAlign w:val="baseline"/>
        </w:rPr>
        <w:t> “Healey-Driscoll Administration Announces Historic Financial Aid Expansion for Massachusetts Public College and University</w:t>
      </w:r>
      <w:r>
        <w:rPr>
          <w:spacing w:val="-6"/>
          <w:sz w:val="18"/>
          <w:vertAlign w:val="baseline"/>
        </w:rPr>
        <w:t> </w:t>
      </w:r>
      <w:r>
        <w:rPr>
          <w:sz w:val="18"/>
          <w:vertAlign w:val="baseline"/>
        </w:rPr>
        <w:t>Students</w:t>
      </w:r>
      <w:r>
        <w:rPr>
          <w:spacing w:val="-6"/>
          <w:sz w:val="18"/>
          <w:vertAlign w:val="baseline"/>
        </w:rPr>
        <w:t> </w:t>
      </w:r>
      <w:r>
        <w:rPr>
          <w:sz w:val="18"/>
          <w:vertAlign w:val="baseline"/>
        </w:rPr>
        <w:t>|</w:t>
      </w:r>
      <w:r>
        <w:rPr>
          <w:spacing w:val="-6"/>
          <w:sz w:val="18"/>
          <w:vertAlign w:val="baseline"/>
        </w:rPr>
        <w:t> </w:t>
      </w:r>
      <w:r>
        <w:rPr>
          <w:sz w:val="18"/>
          <w:vertAlign w:val="baseline"/>
        </w:rPr>
        <w:t>Mass.Gov”</w:t>
      </w:r>
      <w:r>
        <w:rPr>
          <w:spacing w:val="-7"/>
          <w:sz w:val="18"/>
          <w:vertAlign w:val="baseline"/>
        </w:rPr>
        <w:t> </w:t>
      </w:r>
      <w:r>
        <w:rPr>
          <w:sz w:val="18"/>
          <w:vertAlign w:val="baseline"/>
        </w:rPr>
        <w:t>(Nov.</w:t>
      </w:r>
      <w:r>
        <w:rPr>
          <w:spacing w:val="-6"/>
          <w:sz w:val="18"/>
          <w:vertAlign w:val="baseline"/>
        </w:rPr>
        <w:t> </w:t>
      </w:r>
      <w:r>
        <w:rPr>
          <w:sz w:val="18"/>
          <w:vertAlign w:val="baseline"/>
        </w:rPr>
        <w:t>15,</w:t>
      </w:r>
      <w:r>
        <w:rPr>
          <w:spacing w:val="-7"/>
          <w:sz w:val="18"/>
          <w:vertAlign w:val="baseline"/>
        </w:rPr>
        <w:t> </w:t>
      </w:r>
      <w:r>
        <w:rPr>
          <w:sz w:val="18"/>
          <w:vertAlign w:val="baseline"/>
        </w:rPr>
        <w:t>2023).</w:t>
      </w:r>
      <w:r>
        <w:rPr>
          <w:spacing w:val="-7"/>
          <w:sz w:val="18"/>
          <w:vertAlign w:val="baseline"/>
        </w:rPr>
        <w:t> </w:t>
      </w:r>
      <w:r>
        <w:rPr>
          <w:sz w:val="18"/>
          <w:vertAlign w:val="baseline"/>
        </w:rPr>
        <w:t>https:</w:t>
      </w:r>
      <w:hyperlink r:id="rId679">
        <w:r>
          <w:rPr>
            <w:sz w:val="18"/>
            <w:vertAlign w:val="baseline"/>
          </w:rPr>
          <w:t>//www.mass.gov/news/healey-driscoll-administration-announces-</w:t>
        </w:r>
      </w:hyperlink>
      <w:r>
        <w:rPr>
          <w:sz w:val="18"/>
          <w:vertAlign w:val="baseline"/>
        </w:rPr>
        <w:t> </w:t>
      </w:r>
      <w:r>
        <w:rPr>
          <w:spacing w:val="-2"/>
          <w:sz w:val="18"/>
          <w:vertAlign w:val="baseline"/>
        </w:rPr>
        <w:t>historic-financial-aid-expansion-for-massachusetts-public-college-and-university-students</w:t>
      </w:r>
    </w:p>
    <w:p>
      <w:pPr>
        <w:spacing w:before="0"/>
        <w:ind w:left="464" w:right="249" w:firstLine="0"/>
        <w:jc w:val="left"/>
        <w:rPr>
          <w:sz w:val="18"/>
        </w:rPr>
      </w:pPr>
      <w:bookmarkStart w:name="_bookmark596" w:id="891"/>
      <w:bookmarkEnd w:id="891"/>
      <w:r>
        <w:rPr/>
      </w:r>
      <w:r>
        <w:rPr>
          <w:sz w:val="18"/>
          <w:vertAlign w:val="superscript"/>
        </w:rPr>
        <w:t>42</w:t>
      </w:r>
      <w:r>
        <w:rPr>
          <w:spacing w:val="-2"/>
          <w:sz w:val="18"/>
          <w:vertAlign w:val="baseline"/>
        </w:rPr>
        <w:t> </w:t>
      </w:r>
      <w:r>
        <w:rPr>
          <w:sz w:val="18"/>
          <w:vertAlign w:val="baseline"/>
        </w:rPr>
        <w:t>Manspile,</w:t>
      </w:r>
      <w:r>
        <w:rPr>
          <w:spacing w:val="-3"/>
          <w:sz w:val="18"/>
          <w:vertAlign w:val="baseline"/>
        </w:rPr>
        <w:t> </w:t>
      </w:r>
      <w:r>
        <w:rPr>
          <w:sz w:val="18"/>
          <w:vertAlign w:val="baseline"/>
        </w:rPr>
        <w:t>Eleanor,</w:t>
      </w:r>
      <w:r>
        <w:rPr>
          <w:spacing w:val="-3"/>
          <w:sz w:val="18"/>
          <w:vertAlign w:val="baseline"/>
        </w:rPr>
        <w:t> </w:t>
      </w:r>
      <w:r>
        <w:rPr>
          <w:sz w:val="18"/>
          <w:vertAlign w:val="baseline"/>
        </w:rPr>
        <w:t>Matthew</w:t>
      </w:r>
      <w:r>
        <w:rPr>
          <w:spacing w:val="-3"/>
          <w:sz w:val="18"/>
          <w:vertAlign w:val="baseline"/>
        </w:rPr>
        <w:t> </w:t>
      </w:r>
      <w:r>
        <w:rPr>
          <w:sz w:val="18"/>
          <w:vertAlign w:val="baseline"/>
        </w:rPr>
        <w:t>N.</w:t>
      </w:r>
      <w:r>
        <w:rPr>
          <w:spacing w:val="-2"/>
          <w:sz w:val="18"/>
          <w:vertAlign w:val="baseline"/>
        </w:rPr>
        <w:t> </w:t>
      </w:r>
      <w:r>
        <w:rPr>
          <w:sz w:val="18"/>
          <w:vertAlign w:val="baseline"/>
        </w:rPr>
        <w:t>Atwood,</w:t>
      </w:r>
      <w:r>
        <w:rPr>
          <w:spacing w:val="-3"/>
          <w:sz w:val="18"/>
          <w:vertAlign w:val="baseline"/>
        </w:rPr>
        <w:t> </w:t>
      </w:r>
      <w:r>
        <w:rPr>
          <w:sz w:val="18"/>
          <w:vertAlign w:val="baseline"/>
        </w:rPr>
        <w:t>and</w:t>
      </w:r>
      <w:r>
        <w:rPr>
          <w:spacing w:val="-2"/>
          <w:sz w:val="18"/>
          <w:vertAlign w:val="baseline"/>
        </w:rPr>
        <w:t> </w:t>
      </w:r>
      <w:r>
        <w:rPr>
          <w:sz w:val="18"/>
          <w:vertAlign w:val="baseline"/>
        </w:rPr>
        <w:t>John</w:t>
      </w:r>
      <w:r>
        <w:rPr>
          <w:spacing w:val="-2"/>
          <w:sz w:val="18"/>
          <w:vertAlign w:val="baseline"/>
        </w:rPr>
        <w:t> </w:t>
      </w:r>
      <w:r>
        <w:rPr>
          <w:sz w:val="18"/>
          <w:vertAlign w:val="baseline"/>
        </w:rPr>
        <w:t>M.</w:t>
      </w:r>
      <w:r>
        <w:rPr>
          <w:spacing w:val="-2"/>
          <w:sz w:val="18"/>
          <w:vertAlign w:val="baseline"/>
        </w:rPr>
        <w:t> </w:t>
      </w:r>
      <w:r>
        <w:rPr>
          <w:sz w:val="18"/>
          <w:vertAlign w:val="baseline"/>
        </w:rPr>
        <w:t>Bridgeland.</w:t>
      </w:r>
      <w:r>
        <w:rPr>
          <w:spacing w:val="-3"/>
          <w:sz w:val="18"/>
          <w:vertAlign w:val="baseline"/>
        </w:rPr>
        <w:t> </w:t>
      </w:r>
      <w:r>
        <w:rPr>
          <w:sz w:val="18"/>
          <w:vertAlign w:val="baseline"/>
        </w:rPr>
        <w:t>“Immigrant</w:t>
      </w:r>
      <w:r>
        <w:rPr>
          <w:spacing w:val="-3"/>
          <w:sz w:val="18"/>
          <w:vertAlign w:val="baseline"/>
        </w:rPr>
        <w:t> </w:t>
      </w:r>
      <w:r>
        <w:rPr>
          <w:sz w:val="18"/>
          <w:vertAlign w:val="baseline"/>
        </w:rPr>
        <w:t>Students</w:t>
      </w:r>
      <w:r>
        <w:rPr>
          <w:spacing w:val="-2"/>
          <w:sz w:val="18"/>
          <w:vertAlign w:val="baseline"/>
        </w:rPr>
        <w:t> </w:t>
      </w:r>
      <w:r>
        <w:rPr>
          <w:sz w:val="18"/>
          <w:vertAlign w:val="baseline"/>
        </w:rPr>
        <w:t>and</w:t>
      </w:r>
      <w:r>
        <w:rPr>
          <w:spacing w:val="-3"/>
          <w:sz w:val="18"/>
          <w:vertAlign w:val="baseline"/>
        </w:rPr>
        <w:t> </w:t>
      </w:r>
      <w:r>
        <w:rPr>
          <w:sz w:val="18"/>
          <w:vertAlign w:val="baseline"/>
        </w:rPr>
        <w:t>English</w:t>
      </w:r>
      <w:r>
        <w:rPr>
          <w:spacing w:val="-2"/>
          <w:sz w:val="18"/>
          <w:vertAlign w:val="baseline"/>
        </w:rPr>
        <w:t> </w:t>
      </w:r>
      <w:r>
        <w:rPr>
          <w:sz w:val="18"/>
          <w:vertAlign w:val="baseline"/>
        </w:rPr>
        <w:t>Learners.”</w:t>
      </w:r>
      <w:r>
        <w:rPr>
          <w:spacing w:val="-3"/>
          <w:sz w:val="18"/>
          <w:vertAlign w:val="baseline"/>
        </w:rPr>
        <w:t> </w:t>
      </w:r>
      <w:r>
        <w:rPr>
          <w:sz w:val="18"/>
          <w:vertAlign w:val="baseline"/>
        </w:rPr>
        <w:t>Eric,</w:t>
      </w:r>
      <w:r>
        <w:rPr>
          <w:spacing w:val="-3"/>
          <w:sz w:val="18"/>
          <w:vertAlign w:val="baseline"/>
        </w:rPr>
        <w:t> </w:t>
      </w:r>
      <w:r>
        <w:rPr>
          <w:sz w:val="18"/>
          <w:vertAlign w:val="baseline"/>
        </w:rPr>
        <w:t>2021. </w:t>
      </w:r>
      <w:r>
        <w:rPr>
          <w:spacing w:val="-2"/>
          <w:sz w:val="18"/>
          <w:vertAlign w:val="baseline"/>
        </w:rPr>
        <w:t>files.eric.ed.gov/fulltext/ED614148.pdf</w:t>
      </w:r>
    </w:p>
    <w:p>
      <w:pPr>
        <w:spacing w:before="1"/>
        <w:ind w:left="464" w:right="232" w:hanging="1"/>
        <w:jc w:val="left"/>
        <w:rPr>
          <w:sz w:val="18"/>
        </w:rPr>
      </w:pPr>
      <w:bookmarkStart w:name="_bookmark597" w:id="892"/>
      <w:bookmarkEnd w:id="892"/>
      <w:r>
        <w:rPr/>
      </w:r>
      <w:r>
        <w:rPr>
          <w:sz w:val="18"/>
          <w:vertAlign w:val="superscript"/>
        </w:rPr>
        <w:t>43</w:t>
      </w:r>
      <w:r>
        <w:rPr>
          <w:spacing w:val="-3"/>
          <w:sz w:val="18"/>
          <w:vertAlign w:val="baseline"/>
        </w:rPr>
        <w:t> </w:t>
      </w:r>
      <w:r>
        <w:rPr>
          <w:sz w:val="18"/>
          <w:vertAlign w:val="baseline"/>
        </w:rPr>
        <w:t>Anderson,</w:t>
      </w:r>
      <w:r>
        <w:rPr>
          <w:spacing w:val="-3"/>
          <w:sz w:val="18"/>
          <w:vertAlign w:val="baseline"/>
        </w:rPr>
        <w:t> </w:t>
      </w:r>
      <w:r>
        <w:rPr>
          <w:sz w:val="18"/>
          <w:vertAlign w:val="baseline"/>
        </w:rPr>
        <w:t>Jill.</w:t>
      </w:r>
      <w:r>
        <w:rPr>
          <w:spacing w:val="-3"/>
          <w:sz w:val="18"/>
          <w:vertAlign w:val="baseline"/>
        </w:rPr>
        <w:t> </w:t>
      </w:r>
      <w:r>
        <w:rPr>
          <w:sz w:val="18"/>
          <w:vertAlign w:val="baseline"/>
        </w:rPr>
        <w:t>“The</w:t>
      </w:r>
      <w:r>
        <w:rPr>
          <w:spacing w:val="-3"/>
          <w:sz w:val="18"/>
          <w:vertAlign w:val="baseline"/>
        </w:rPr>
        <w:t> </w:t>
      </w:r>
      <w:r>
        <w:rPr>
          <w:sz w:val="18"/>
          <w:vertAlign w:val="baseline"/>
        </w:rPr>
        <w:t>Social-Emotional</w:t>
      </w:r>
      <w:r>
        <w:rPr>
          <w:spacing w:val="-3"/>
          <w:sz w:val="18"/>
          <w:vertAlign w:val="baseline"/>
        </w:rPr>
        <w:t> </w:t>
      </w:r>
      <w:r>
        <w:rPr>
          <w:sz w:val="18"/>
          <w:vertAlign w:val="baseline"/>
        </w:rPr>
        <w:t>Needs</w:t>
      </w:r>
      <w:r>
        <w:rPr>
          <w:spacing w:val="-3"/>
          <w:sz w:val="18"/>
          <w:vertAlign w:val="baseline"/>
        </w:rPr>
        <w:t> </w:t>
      </w:r>
      <w:r>
        <w:rPr>
          <w:sz w:val="18"/>
          <w:vertAlign w:val="baseline"/>
        </w:rPr>
        <w:t>of</w:t>
      </w:r>
      <w:r>
        <w:rPr>
          <w:spacing w:val="-3"/>
          <w:sz w:val="18"/>
          <w:vertAlign w:val="baseline"/>
        </w:rPr>
        <w:t> </w:t>
      </w:r>
      <w:r>
        <w:rPr>
          <w:sz w:val="18"/>
          <w:vertAlign w:val="baseline"/>
        </w:rPr>
        <w:t>Immigrant</w:t>
      </w:r>
      <w:r>
        <w:rPr>
          <w:spacing w:val="-3"/>
          <w:sz w:val="18"/>
          <w:vertAlign w:val="baseline"/>
        </w:rPr>
        <w:t> </w:t>
      </w:r>
      <w:r>
        <w:rPr>
          <w:sz w:val="18"/>
          <w:vertAlign w:val="baseline"/>
        </w:rPr>
        <w:t>Children</w:t>
      </w:r>
      <w:r>
        <w:rPr>
          <w:spacing w:val="-3"/>
          <w:sz w:val="18"/>
          <w:vertAlign w:val="baseline"/>
        </w:rPr>
        <w:t> </w:t>
      </w:r>
      <w:r>
        <w:rPr>
          <w:sz w:val="18"/>
          <w:vertAlign w:val="baseline"/>
        </w:rPr>
        <w:t>|</w:t>
      </w:r>
      <w:r>
        <w:rPr>
          <w:spacing w:val="-3"/>
          <w:sz w:val="18"/>
          <w:vertAlign w:val="baseline"/>
        </w:rPr>
        <w:t> </w:t>
      </w:r>
      <w:r>
        <w:rPr>
          <w:sz w:val="18"/>
          <w:vertAlign w:val="baseline"/>
        </w:rPr>
        <w:t>Harvard</w:t>
      </w:r>
      <w:r>
        <w:rPr>
          <w:spacing w:val="-3"/>
          <w:sz w:val="18"/>
          <w:vertAlign w:val="baseline"/>
        </w:rPr>
        <w:t> </w:t>
      </w:r>
      <w:r>
        <w:rPr>
          <w:sz w:val="18"/>
          <w:vertAlign w:val="baseline"/>
        </w:rPr>
        <w:t>Graduate</w:t>
      </w:r>
      <w:r>
        <w:rPr>
          <w:spacing w:val="-3"/>
          <w:sz w:val="18"/>
          <w:vertAlign w:val="baseline"/>
        </w:rPr>
        <w:t> </w:t>
      </w:r>
      <w:r>
        <w:rPr>
          <w:sz w:val="18"/>
          <w:vertAlign w:val="baseline"/>
        </w:rPr>
        <w:t>School</w:t>
      </w:r>
      <w:r>
        <w:rPr>
          <w:spacing w:val="-3"/>
          <w:sz w:val="18"/>
          <w:vertAlign w:val="baseline"/>
        </w:rPr>
        <w:t> </w:t>
      </w:r>
      <w:r>
        <w:rPr>
          <w:sz w:val="18"/>
          <w:vertAlign w:val="baseline"/>
        </w:rPr>
        <w:t>of</w:t>
      </w:r>
      <w:r>
        <w:rPr>
          <w:spacing w:val="-3"/>
          <w:sz w:val="18"/>
          <w:vertAlign w:val="baseline"/>
        </w:rPr>
        <w:t> </w:t>
      </w:r>
      <w:r>
        <w:rPr>
          <w:sz w:val="18"/>
          <w:vertAlign w:val="baseline"/>
        </w:rPr>
        <w:t>Education”</w:t>
      </w:r>
      <w:r>
        <w:rPr>
          <w:spacing w:val="-3"/>
          <w:sz w:val="18"/>
          <w:vertAlign w:val="baseline"/>
        </w:rPr>
        <w:t> </w:t>
      </w:r>
      <w:r>
        <w:rPr>
          <w:sz w:val="18"/>
          <w:vertAlign w:val="baseline"/>
        </w:rPr>
        <w:t>(Feb.</w:t>
      </w:r>
      <w:r>
        <w:rPr>
          <w:spacing w:val="-3"/>
          <w:sz w:val="18"/>
          <w:vertAlign w:val="baseline"/>
        </w:rPr>
        <w:t> </w:t>
      </w:r>
      <w:r>
        <w:rPr>
          <w:sz w:val="18"/>
          <w:vertAlign w:val="baseline"/>
        </w:rPr>
        <w:t>23, 2023). https:</w:t>
      </w:r>
      <w:hyperlink r:id="rId680">
        <w:r>
          <w:rPr>
            <w:sz w:val="18"/>
            <w:vertAlign w:val="baseline"/>
          </w:rPr>
          <w:t>//www.gse.harvard.edu/ideas/edcast/23/02/what-do-immigrant-students-need-it-isnt-just-ell</w:t>
        </w:r>
      </w:hyperlink>
    </w:p>
    <w:p>
      <w:pPr>
        <w:spacing w:before="0"/>
        <w:ind w:left="463" w:right="249" w:firstLine="0"/>
        <w:jc w:val="left"/>
        <w:rPr>
          <w:sz w:val="18"/>
        </w:rPr>
      </w:pPr>
      <w:bookmarkStart w:name="_bookmark598" w:id="893"/>
      <w:bookmarkEnd w:id="893"/>
      <w:r>
        <w:rPr/>
      </w:r>
      <w:r>
        <w:rPr>
          <w:sz w:val="18"/>
          <w:vertAlign w:val="superscript"/>
        </w:rPr>
        <w:t>44</w:t>
      </w:r>
      <w:r>
        <w:rPr>
          <w:spacing w:val="-3"/>
          <w:sz w:val="18"/>
          <w:vertAlign w:val="baseline"/>
        </w:rPr>
        <w:t> </w:t>
      </w:r>
      <w:r>
        <w:rPr>
          <w:sz w:val="18"/>
          <w:vertAlign w:val="baseline"/>
        </w:rPr>
        <w:t>Grooms,</w:t>
      </w:r>
      <w:r>
        <w:rPr>
          <w:spacing w:val="-3"/>
          <w:sz w:val="18"/>
          <w:vertAlign w:val="baseline"/>
        </w:rPr>
        <w:t> </w:t>
      </w:r>
      <w:r>
        <w:rPr>
          <w:sz w:val="18"/>
          <w:vertAlign w:val="baseline"/>
        </w:rPr>
        <w:t>Jevay.</w:t>
      </w:r>
      <w:r>
        <w:rPr>
          <w:spacing w:val="-3"/>
          <w:sz w:val="18"/>
          <w:vertAlign w:val="baseline"/>
        </w:rPr>
        <w:t> </w:t>
      </w:r>
      <w:r>
        <w:rPr>
          <w:sz w:val="18"/>
          <w:vertAlign w:val="baseline"/>
        </w:rPr>
        <w:t>“No</w:t>
      </w:r>
      <w:r>
        <w:rPr>
          <w:spacing w:val="-3"/>
          <w:sz w:val="18"/>
          <w:vertAlign w:val="baseline"/>
        </w:rPr>
        <w:t> </w:t>
      </w:r>
      <w:r>
        <w:rPr>
          <w:sz w:val="18"/>
          <w:vertAlign w:val="baseline"/>
        </w:rPr>
        <w:t>Home</w:t>
      </w:r>
      <w:r>
        <w:rPr>
          <w:spacing w:val="-3"/>
          <w:sz w:val="18"/>
          <w:vertAlign w:val="baseline"/>
        </w:rPr>
        <w:t> </w:t>
      </w:r>
      <w:r>
        <w:rPr>
          <w:sz w:val="18"/>
          <w:vertAlign w:val="baseline"/>
        </w:rPr>
        <w:t>and</w:t>
      </w:r>
      <w:r>
        <w:rPr>
          <w:spacing w:val="-3"/>
          <w:sz w:val="18"/>
          <w:vertAlign w:val="baseline"/>
        </w:rPr>
        <w:t> </w:t>
      </w:r>
      <w:r>
        <w:rPr>
          <w:sz w:val="18"/>
          <w:vertAlign w:val="baseline"/>
        </w:rPr>
        <w:t>No</w:t>
      </w:r>
      <w:r>
        <w:rPr>
          <w:spacing w:val="-3"/>
          <w:sz w:val="18"/>
          <w:vertAlign w:val="baseline"/>
        </w:rPr>
        <w:t> </w:t>
      </w:r>
      <w:r>
        <w:rPr>
          <w:sz w:val="18"/>
          <w:vertAlign w:val="baseline"/>
        </w:rPr>
        <w:t>Acceptance:</w:t>
      </w:r>
      <w:r>
        <w:rPr>
          <w:spacing w:val="-3"/>
          <w:sz w:val="18"/>
          <w:vertAlign w:val="baseline"/>
        </w:rPr>
        <w:t> </w:t>
      </w:r>
      <w:r>
        <w:rPr>
          <w:sz w:val="18"/>
          <w:vertAlign w:val="baseline"/>
        </w:rPr>
        <w:t>Exploring</w:t>
      </w:r>
      <w:r>
        <w:rPr>
          <w:spacing w:val="-3"/>
          <w:sz w:val="18"/>
          <w:vertAlign w:val="baseline"/>
        </w:rPr>
        <w:t> </w:t>
      </w:r>
      <w:r>
        <w:rPr>
          <w:sz w:val="18"/>
          <w:vertAlign w:val="baseline"/>
        </w:rPr>
        <w:t>the</w:t>
      </w:r>
      <w:r>
        <w:rPr>
          <w:spacing w:val="-3"/>
          <w:sz w:val="18"/>
          <w:vertAlign w:val="baseline"/>
        </w:rPr>
        <w:t> </w:t>
      </w:r>
      <w:r>
        <w:rPr>
          <w:sz w:val="18"/>
          <w:vertAlign w:val="baseline"/>
        </w:rPr>
        <w:t>Intersectionality</w:t>
      </w:r>
      <w:r>
        <w:rPr>
          <w:spacing w:val="-3"/>
          <w:sz w:val="18"/>
          <w:vertAlign w:val="baseline"/>
        </w:rPr>
        <w:t> </w:t>
      </w:r>
      <w:r>
        <w:rPr>
          <w:sz w:val="18"/>
          <w:vertAlign w:val="baseline"/>
        </w:rPr>
        <w:t>of</w:t>
      </w:r>
      <w:r>
        <w:rPr>
          <w:spacing w:val="-2"/>
          <w:sz w:val="18"/>
          <w:vertAlign w:val="baseline"/>
        </w:rPr>
        <w:t> </w:t>
      </w:r>
      <w:r>
        <w:rPr>
          <w:sz w:val="18"/>
          <w:vertAlign w:val="baseline"/>
        </w:rPr>
        <w:t>Sexual/Gender</w:t>
      </w:r>
      <w:r>
        <w:rPr>
          <w:spacing w:val="-3"/>
          <w:sz w:val="18"/>
          <w:vertAlign w:val="baseline"/>
        </w:rPr>
        <w:t> </w:t>
      </w:r>
      <w:r>
        <w:rPr>
          <w:sz w:val="18"/>
          <w:vertAlign w:val="baseline"/>
        </w:rPr>
        <w:t>Identities</w:t>
      </w:r>
      <w:r>
        <w:rPr>
          <w:spacing w:val="-3"/>
          <w:sz w:val="18"/>
          <w:vertAlign w:val="baseline"/>
        </w:rPr>
        <w:t> </w:t>
      </w:r>
      <w:r>
        <w:rPr>
          <w:sz w:val="18"/>
          <w:vertAlign w:val="baseline"/>
        </w:rPr>
        <w:t>(LGBTQ)</w:t>
      </w:r>
      <w:r>
        <w:rPr>
          <w:spacing w:val="-3"/>
          <w:sz w:val="18"/>
          <w:vertAlign w:val="baseline"/>
        </w:rPr>
        <w:t> </w:t>
      </w:r>
      <w:r>
        <w:rPr>
          <w:sz w:val="18"/>
          <w:vertAlign w:val="baseline"/>
        </w:rPr>
        <w:t>and Race in the Foster Care System.” The Review of Black Political Economy 47, no. 2 (June 1, 2020): 177–93. </w:t>
      </w:r>
      <w:r>
        <w:rPr>
          <w:spacing w:val="-2"/>
          <w:sz w:val="18"/>
          <w:vertAlign w:val="baseline"/>
        </w:rPr>
        <w:t>https://doi.org/10.1177/0034644620911381</w:t>
      </w:r>
    </w:p>
    <w:p>
      <w:pPr>
        <w:spacing w:before="0"/>
        <w:ind w:left="464" w:right="249" w:firstLine="0"/>
        <w:jc w:val="left"/>
        <w:rPr>
          <w:sz w:val="18"/>
        </w:rPr>
      </w:pPr>
      <w:bookmarkStart w:name="_bookmark599" w:id="894"/>
      <w:bookmarkEnd w:id="894"/>
      <w:r>
        <w:rPr/>
      </w:r>
      <w:r>
        <w:rPr>
          <w:sz w:val="18"/>
          <w:vertAlign w:val="superscript"/>
        </w:rPr>
        <w:t>45</w:t>
      </w:r>
      <w:r>
        <w:rPr>
          <w:spacing w:val="-2"/>
          <w:sz w:val="18"/>
          <w:vertAlign w:val="baseline"/>
        </w:rPr>
        <w:t> </w:t>
      </w:r>
      <w:r>
        <w:rPr>
          <w:sz w:val="18"/>
          <w:vertAlign w:val="baseline"/>
        </w:rPr>
        <w:t>Paul,</w:t>
      </w:r>
      <w:r>
        <w:rPr>
          <w:spacing w:val="-3"/>
          <w:sz w:val="18"/>
          <w:vertAlign w:val="baseline"/>
        </w:rPr>
        <w:t> </w:t>
      </w:r>
      <w:r>
        <w:rPr>
          <w:sz w:val="18"/>
          <w:vertAlign w:val="baseline"/>
        </w:rPr>
        <w:t>June</w:t>
      </w:r>
      <w:r>
        <w:rPr>
          <w:spacing w:val="-2"/>
          <w:sz w:val="18"/>
          <w:vertAlign w:val="baseline"/>
        </w:rPr>
        <w:t> </w:t>
      </w:r>
      <w:r>
        <w:rPr>
          <w:sz w:val="18"/>
          <w:vertAlign w:val="baseline"/>
        </w:rPr>
        <w:t>C.</w:t>
      </w:r>
      <w:r>
        <w:rPr>
          <w:spacing w:val="-3"/>
          <w:sz w:val="18"/>
          <w:vertAlign w:val="baseline"/>
        </w:rPr>
        <w:t> </w:t>
      </w:r>
      <w:r>
        <w:rPr>
          <w:sz w:val="18"/>
          <w:vertAlign w:val="baseline"/>
        </w:rPr>
        <w:t>“Exploring</w:t>
      </w:r>
      <w:r>
        <w:rPr>
          <w:spacing w:val="-2"/>
          <w:sz w:val="18"/>
          <w:vertAlign w:val="baseline"/>
        </w:rPr>
        <w:t> </w:t>
      </w:r>
      <w:r>
        <w:rPr>
          <w:sz w:val="18"/>
          <w:vertAlign w:val="baseline"/>
        </w:rPr>
        <w:t>support</w:t>
      </w:r>
      <w:r>
        <w:rPr>
          <w:spacing w:val="-3"/>
          <w:sz w:val="18"/>
          <w:vertAlign w:val="baseline"/>
        </w:rPr>
        <w:t> </w:t>
      </w:r>
      <w:r>
        <w:rPr>
          <w:sz w:val="18"/>
          <w:vertAlign w:val="baseline"/>
        </w:rPr>
        <w:t>for</w:t>
      </w:r>
      <w:r>
        <w:rPr>
          <w:spacing w:val="-3"/>
          <w:sz w:val="18"/>
          <w:vertAlign w:val="baseline"/>
        </w:rPr>
        <w:t> </w:t>
      </w:r>
      <w:r>
        <w:rPr>
          <w:sz w:val="18"/>
          <w:vertAlign w:val="baseline"/>
        </w:rPr>
        <w:t>LGBTQ</w:t>
      </w:r>
      <w:r>
        <w:rPr>
          <w:spacing w:val="-2"/>
          <w:sz w:val="18"/>
          <w:vertAlign w:val="baseline"/>
        </w:rPr>
        <w:t> </w:t>
      </w:r>
      <w:r>
        <w:rPr>
          <w:sz w:val="18"/>
          <w:vertAlign w:val="baseline"/>
        </w:rPr>
        <w:t>youth</w:t>
      </w:r>
      <w:r>
        <w:rPr>
          <w:spacing w:val="-2"/>
          <w:sz w:val="18"/>
          <w:vertAlign w:val="baseline"/>
        </w:rPr>
        <w:t> </w:t>
      </w:r>
      <w:r>
        <w:rPr>
          <w:sz w:val="18"/>
          <w:vertAlign w:val="baseline"/>
        </w:rPr>
        <w:t>transitioning</w:t>
      </w:r>
      <w:r>
        <w:rPr>
          <w:spacing w:val="-2"/>
          <w:sz w:val="18"/>
          <w:vertAlign w:val="baseline"/>
        </w:rPr>
        <w:t> </w:t>
      </w:r>
      <w:r>
        <w:rPr>
          <w:sz w:val="18"/>
          <w:vertAlign w:val="baseline"/>
        </w:rPr>
        <w:t>from</w:t>
      </w:r>
      <w:r>
        <w:rPr>
          <w:spacing w:val="-2"/>
          <w:sz w:val="18"/>
          <w:vertAlign w:val="baseline"/>
        </w:rPr>
        <w:t> </w:t>
      </w:r>
      <w:r>
        <w:rPr>
          <w:sz w:val="18"/>
          <w:vertAlign w:val="baseline"/>
        </w:rPr>
        <w:t>foster</w:t>
      </w:r>
      <w:r>
        <w:rPr>
          <w:spacing w:val="-3"/>
          <w:sz w:val="18"/>
          <w:vertAlign w:val="baseline"/>
        </w:rPr>
        <w:t> </w:t>
      </w:r>
      <w:r>
        <w:rPr>
          <w:sz w:val="18"/>
          <w:vertAlign w:val="baseline"/>
        </w:rPr>
        <w:t>care</w:t>
      </w:r>
      <w:r>
        <w:rPr>
          <w:spacing w:val="-2"/>
          <w:sz w:val="18"/>
          <w:vertAlign w:val="baseline"/>
        </w:rPr>
        <w:t> </w:t>
      </w:r>
      <w:r>
        <w:rPr>
          <w:sz w:val="18"/>
          <w:vertAlign w:val="baseline"/>
        </w:rPr>
        <w:t>into</w:t>
      </w:r>
      <w:r>
        <w:rPr>
          <w:spacing w:val="-2"/>
          <w:sz w:val="18"/>
          <w:vertAlign w:val="baseline"/>
        </w:rPr>
        <w:t> </w:t>
      </w:r>
      <w:r>
        <w:rPr>
          <w:sz w:val="18"/>
          <w:vertAlign w:val="baseline"/>
        </w:rPr>
        <w:t>emerging</w:t>
      </w:r>
      <w:r>
        <w:rPr>
          <w:spacing w:val="-2"/>
          <w:sz w:val="18"/>
          <w:vertAlign w:val="baseline"/>
        </w:rPr>
        <w:t> </w:t>
      </w:r>
      <w:r>
        <w:rPr>
          <w:sz w:val="18"/>
          <w:vertAlign w:val="baseline"/>
        </w:rPr>
        <w:t>adulthood.”</w:t>
      </w:r>
      <w:r>
        <w:rPr>
          <w:spacing w:val="-2"/>
          <w:sz w:val="18"/>
          <w:vertAlign w:val="baseline"/>
        </w:rPr>
        <w:t> </w:t>
      </w:r>
      <w:r>
        <w:rPr>
          <w:sz w:val="18"/>
          <w:vertAlign w:val="baseline"/>
        </w:rPr>
        <w:t>Children</w:t>
      </w:r>
      <w:r>
        <w:rPr>
          <w:spacing w:val="-2"/>
          <w:sz w:val="18"/>
          <w:vertAlign w:val="baseline"/>
        </w:rPr>
        <w:t> </w:t>
      </w:r>
      <w:r>
        <w:rPr>
          <w:sz w:val="18"/>
          <w:vertAlign w:val="baseline"/>
        </w:rPr>
        <w:t>and Youth Services Review 119 (2020): 105481. https://doi.org/10.1016/j.childyouth.2020.105481</w:t>
      </w:r>
    </w:p>
    <w:p>
      <w:pPr>
        <w:spacing w:before="0"/>
        <w:ind w:left="464" w:right="61" w:firstLine="0"/>
        <w:jc w:val="left"/>
        <w:rPr>
          <w:sz w:val="18"/>
        </w:rPr>
      </w:pPr>
      <w:bookmarkStart w:name="_bookmark600" w:id="895"/>
      <w:bookmarkEnd w:id="895"/>
      <w:r>
        <w:rPr/>
      </w:r>
      <w:r>
        <w:rPr>
          <w:sz w:val="18"/>
          <w:vertAlign w:val="superscript"/>
        </w:rPr>
        <w:t>46</w:t>
      </w:r>
      <w:r>
        <w:rPr>
          <w:sz w:val="18"/>
          <w:vertAlign w:val="baseline"/>
        </w:rPr>
        <w:t> Cheatham, Leah P., Karen A. Randolph, and Laura D. Boltz. “Youth with Disabilities Transitioning from Foster Care: Examining</w:t>
      </w:r>
      <w:r>
        <w:rPr>
          <w:spacing w:val="-3"/>
          <w:sz w:val="18"/>
          <w:vertAlign w:val="baseline"/>
        </w:rPr>
        <w:t> </w:t>
      </w:r>
      <w:r>
        <w:rPr>
          <w:sz w:val="18"/>
          <w:vertAlign w:val="baseline"/>
        </w:rPr>
        <w:t>Prevalence</w:t>
      </w:r>
      <w:r>
        <w:rPr>
          <w:spacing w:val="-3"/>
          <w:sz w:val="18"/>
          <w:vertAlign w:val="baseline"/>
        </w:rPr>
        <w:t> </w:t>
      </w:r>
      <w:r>
        <w:rPr>
          <w:sz w:val="18"/>
          <w:vertAlign w:val="baseline"/>
        </w:rPr>
        <w:t>and</w:t>
      </w:r>
      <w:r>
        <w:rPr>
          <w:spacing w:val="-3"/>
          <w:sz w:val="18"/>
          <w:vertAlign w:val="baseline"/>
        </w:rPr>
        <w:t> </w:t>
      </w:r>
      <w:r>
        <w:rPr>
          <w:sz w:val="18"/>
          <w:vertAlign w:val="baseline"/>
        </w:rPr>
        <w:t>Predicting</w:t>
      </w:r>
      <w:r>
        <w:rPr>
          <w:spacing w:val="-3"/>
          <w:sz w:val="18"/>
          <w:vertAlign w:val="baseline"/>
        </w:rPr>
        <w:t> </w:t>
      </w:r>
      <w:r>
        <w:rPr>
          <w:sz w:val="18"/>
          <w:vertAlign w:val="baseline"/>
        </w:rPr>
        <w:t>Positive</w:t>
      </w:r>
      <w:r>
        <w:rPr>
          <w:spacing w:val="-3"/>
          <w:sz w:val="18"/>
          <w:vertAlign w:val="baseline"/>
        </w:rPr>
        <w:t> </w:t>
      </w:r>
      <w:r>
        <w:rPr>
          <w:sz w:val="18"/>
          <w:vertAlign w:val="baseline"/>
        </w:rPr>
        <w:t>Outcomes.”</w:t>
      </w:r>
      <w:r>
        <w:rPr>
          <w:spacing w:val="-3"/>
          <w:sz w:val="18"/>
          <w:vertAlign w:val="baseline"/>
        </w:rPr>
        <w:t> </w:t>
      </w:r>
      <w:r>
        <w:rPr>
          <w:sz w:val="18"/>
          <w:vertAlign w:val="baseline"/>
        </w:rPr>
        <w:t>Children</w:t>
      </w:r>
      <w:r>
        <w:rPr>
          <w:spacing w:val="-3"/>
          <w:sz w:val="18"/>
          <w:vertAlign w:val="baseline"/>
        </w:rPr>
        <w:t> </w:t>
      </w:r>
      <w:r>
        <w:rPr>
          <w:sz w:val="18"/>
          <w:vertAlign w:val="baseline"/>
        </w:rPr>
        <w:t>and</w:t>
      </w:r>
      <w:r>
        <w:rPr>
          <w:spacing w:val="-3"/>
          <w:sz w:val="18"/>
          <w:vertAlign w:val="baseline"/>
        </w:rPr>
        <w:t> </w:t>
      </w:r>
      <w:r>
        <w:rPr>
          <w:sz w:val="18"/>
          <w:vertAlign w:val="baseline"/>
        </w:rPr>
        <w:t>Youth</w:t>
      </w:r>
      <w:r>
        <w:rPr>
          <w:spacing w:val="-3"/>
          <w:sz w:val="18"/>
          <w:vertAlign w:val="baseline"/>
        </w:rPr>
        <w:t> </w:t>
      </w:r>
      <w:r>
        <w:rPr>
          <w:sz w:val="18"/>
          <w:vertAlign w:val="baseline"/>
        </w:rPr>
        <w:t>Services</w:t>
      </w:r>
      <w:r>
        <w:rPr>
          <w:spacing w:val="-3"/>
          <w:sz w:val="18"/>
          <w:vertAlign w:val="baseline"/>
        </w:rPr>
        <w:t> </w:t>
      </w:r>
      <w:r>
        <w:rPr>
          <w:sz w:val="18"/>
          <w:vertAlign w:val="baseline"/>
        </w:rPr>
        <w:t>Review</w:t>
      </w:r>
      <w:r>
        <w:rPr>
          <w:spacing w:val="-4"/>
          <w:sz w:val="18"/>
          <w:vertAlign w:val="baseline"/>
        </w:rPr>
        <w:t> </w:t>
      </w:r>
      <w:r>
        <w:rPr>
          <w:sz w:val="18"/>
          <w:vertAlign w:val="baseline"/>
        </w:rPr>
        <w:t>110</w:t>
      </w:r>
      <w:r>
        <w:rPr>
          <w:spacing w:val="-3"/>
          <w:sz w:val="18"/>
          <w:vertAlign w:val="baseline"/>
        </w:rPr>
        <w:t> </w:t>
      </w:r>
      <w:r>
        <w:rPr>
          <w:sz w:val="18"/>
          <w:vertAlign w:val="baseline"/>
        </w:rPr>
        <w:t>(March</w:t>
      </w:r>
      <w:r>
        <w:rPr>
          <w:spacing w:val="-3"/>
          <w:sz w:val="18"/>
          <w:vertAlign w:val="baseline"/>
        </w:rPr>
        <w:t> </w:t>
      </w:r>
      <w:r>
        <w:rPr>
          <w:sz w:val="18"/>
          <w:vertAlign w:val="baseline"/>
        </w:rPr>
        <w:t>1,</w:t>
      </w:r>
      <w:r>
        <w:rPr>
          <w:spacing w:val="-4"/>
          <w:sz w:val="18"/>
          <w:vertAlign w:val="baseline"/>
        </w:rPr>
        <w:t> </w:t>
      </w:r>
      <w:r>
        <w:rPr>
          <w:sz w:val="18"/>
          <w:vertAlign w:val="baseline"/>
        </w:rPr>
        <w:t>2020):</w:t>
      </w:r>
      <w:r>
        <w:rPr>
          <w:spacing w:val="-3"/>
          <w:sz w:val="18"/>
          <w:vertAlign w:val="baseline"/>
        </w:rPr>
        <w:t> </w:t>
      </w:r>
      <w:r>
        <w:rPr>
          <w:sz w:val="18"/>
          <w:vertAlign w:val="baseline"/>
        </w:rPr>
        <w:t>104777. </w:t>
      </w:r>
      <w:r>
        <w:rPr>
          <w:spacing w:val="-2"/>
          <w:sz w:val="18"/>
          <w:vertAlign w:val="baseline"/>
        </w:rPr>
        <w:t>https://doi.org/10.1016/j.childyouth.2020.104777</w:t>
      </w:r>
    </w:p>
    <w:p>
      <w:pPr>
        <w:spacing w:before="0"/>
        <w:ind w:left="464" w:right="241" w:firstLine="0"/>
        <w:jc w:val="left"/>
        <w:rPr>
          <w:sz w:val="18"/>
        </w:rPr>
      </w:pPr>
      <w:bookmarkStart w:name="_bookmark601" w:id="896"/>
      <w:bookmarkEnd w:id="896"/>
      <w:r>
        <w:rPr/>
      </w:r>
      <w:r>
        <w:rPr>
          <w:sz w:val="18"/>
          <w:vertAlign w:val="superscript"/>
        </w:rPr>
        <w:t>47</w:t>
      </w:r>
      <w:r>
        <w:rPr>
          <w:spacing w:val="-2"/>
          <w:sz w:val="18"/>
          <w:vertAlign w:val="baseline"/>
        </w:rPr>
        <w:t> </w:t>
      </w:r>
      <w:r>
        <w:rPr>
          <w:sz w:val="18"/>
          <w:vertAlign w:val="baseline"/>
        </w:rPr>
        <w:t>Glassman,</w:t>
      </w:r>
      <w:r>
        <w:rPr>
          <w:spacing w:val="-3"/>
          <w:sz w:val="18"/>
          <w:vertAlign w:val="baseline"/>
        </w:rPr>
        <w:t> </w:t>
      </w:r>
      <w:r>
        <w:rPr>
          <w:sz w:val="18"/>
          <w:vertAlign w:val="baseline"/>
        </w:rPr>
        <w:t>Rick.</w:t>
      </w:r>
      <w:r>
        <w:rPr>
          <w:spacing w:val="-2"/>
          <w:sz w:val="18"/>
          <w:vertAlign w:val="baseline"/>
        </w:rPr>
        <w:t> </w:t>
      </w:r>
      <w:r>
        <w:rPr>
          <w:sz w:val="18"/>
          <w:vertAlign w:val="baseline"/>
        </w:rPr>
        <w:t>“DLC</w:t>
      </w:r>
      <w:r>
        <w:rPr>
          <w:spacing w:val="-2"/>
          <w:sz w:val="18"/>
          <w:vertAlign w:val="baseline"/>
        </w:rPr>
        <w:t> </w:t>
      </w:r>
      <w:r>
        <w:rPr>
          <w:sz w:val="18"/>
          <w:vertAlign w:val="baseline"/>
        </w:rPr>
        <w:t>Report</w:t>
      </w:r>
      <w:r>
        <w:rPr>
          <w:spacing w:val="-3"/>
          <w:sz w:val="18"/>
          <w:vertAlign w:val="baseline"/>
        </w:rPr>
        <w:t> </w:t>
      </w:r>
      <w:r>
        <w:rPr>
          <w:sz w:val="18"/>
          <w:vertAlign w:val="baseline"/>
        </w:rPr>
        <w:t>Exposes</w:t>
      </w:r>
      <w:r>
        <w:rPr>
          <w:spacing w:val="-3"/>
          <w:sz w:val="18"/>
          <w:vertAlign w:val="baseline"/>
        </w:rPr>
        <w:t> </w:t>
      </w:r>
      <w:r>
        <w:rPr>
          <w:sz w:val="18"/>
          <w:vertAlign w:val="baseline"/>
        </w:rPr>
        <w:t>Practice</w:t>
      </w:r>
      <w:r>
        <w:rPr>
          <w:spacing w:val="-2"/>
          <w:sz w:val="18"/>
          <w:vertAlign w:val="baseline"/>
        </w:rPr>
        <w:t> </w:t>
      </w:r>
      <w:r>
        <w:rPr>
          <w:sz w:val="18"/>
          <w:vertAlign w:val="baseline"/>
        </w:rPr>
        <w:t>of</w:t>
      </w:r>
      <w:r>
        <w:rPr>
          <w:spacing w:val="-2"/>
          <w:sz w:val="18"/>
          <w:vertAlign w:val="baseline"/>
        </w:rPr>
        <w:t> </w:t>
      </w:r>
      <w:r>
        <w:rPr>
          <w:sz w:val="18"/>
          <w:vertAlign w:val="baseline"/>
        </w:rPr>
        <w:t>Diverting</w:t>
      </w:r>
      <w:r>
        <w:rPr>
          <w:spacing w:val="-2"/>
          <w:sz w:val="18"/>
          <w:vertAlign w:val="baseline"/>
        </w:rPr>
        <w:t> </w:t>
      </w:r>
      <w:r>
        <w:rPr>
          <w:sz w:val="18"/>
          <w:vertAlign w:val="baseline"/>
        </w:rPr>
        <w:t>Millions</w:t>
      </w:r>
      <w:r>
        <w:rPr>
          <w:spacing w:val="-2"/>
          <w:sz w:val="18"/>
          <w:vertAlign w:val="baseline"/>
        </w:rPr>
        <w:t> </w:t>
      </w:r>
      <w:r>
        <w:rPr>
          <w:sz w:val="18"/>
          <w:vertAlign w:val="baseline"/>
        </w:rPr>
        <w:t>Annually</w:t>
      </w:r>
      <w:r>
        <w:rPr>
          <w:spacing w:val="-2"/>
          <w:sz w:val="18"/>
          <w:vertAlign w:val="baseline"/>
        </w:rPr>
        <w:t> </w:t>
      </w:r>
      <w:r>
        <w:rPr>
          <w:sz w:val="18"/>
          <w:vertAlign w:val="baseline"/>
        </w:rPr>
        <w:t>of</w:t>
      </w:r>
      <w:r>
        <w:rPr>
          <w:spacing w:val="-2"/>
          <w:sz w:val="18"/>
          <w:vertAlign w:val="baseline"/>
        </w:rPr>
        <w:t> </w:t>
      </w:r>
      <w:r>
        <w:rPr>
          <w:sz w:val="18"/>
          <w:vertAlign w:val="baseline"/>
        </w:rPr>
        <w:t>SSA</w:t>
      </w:r>
      <w:r>
        <w:rPr>
          <w:spacing w:val="-2"/>
          <w:sz w:val="18"/>
          <w:vertAlign w:val="baseline"/>
        </w:rPr>
        <w:t> </w:t>
      </w:r>
      <w:r>
        <w:rPr>
          <w:sz w:val="18"/>
          <w:vertAlign w:val="baseline"/>
        </w:rPr>
        <w:t>Benefits</w:t>
      </w:r>
      <w:r>
        <w:rPr>
          <w:spacing w:val="-2"/>
          <w:sz w:val="18"/>
          <w:vertAlign w:val="baseline"/>
        </w:rPr>
        <w:t> </w:t>
      </w:r>
      <w:r>
        <w:rPr>
          <w:sz w:val="18"/>
          <w:vertAlign w:val="baseline"/>
        </w:rPr>
        <w:t>from</w:t>
      </w:r>
      <w:r>
        <w:rPr>
          <w:spacing w:val="-3"/>
          <w:sz w:val="18"/>
          <w:vertAlign w:val="baseline"/>
        </w:rPr>
        <w:t> </w:t>
      </w:r>
      <w:r>
        <w:rPr>
          <w:sz w:val="18"/>
          <w:vertAlign w:val="baseline"/>
        </w:rPr>
        <w:t>Vulnerable</w:t>
      </w:r>
      <w:r>
        <w:rPr>
          <w:spacing w:val="-2"/>
          <w:sz w:val="18"/>
          <w:vertAlign w:val="baseline"/>
        </w:rPr>
        <w:t> </w:t>
      </w:r>
      <w:r>
        <w:rPr>
          <w:sz w:val="18"/>
          <w:vertAlign w:val="baseline"/>
        </w:rPr>
        <w:t>Foster</w:t>
      </w:r>
      <w:r>
        <w:rPr>
          <w:spacing w:val="-3"/>
          <w:sz w:val="18"/>
          <w:vertAlign w:val="baseline"/>
        </w:rPr>
        <w:t> </w:t>
      </w:r>
      <w:r>
        <w:rPr>
          <w:sz w:val="18"/>
          <w:vertAlign w:val="baseline"/>
        </w:rPr>
        <w:t>Youth in Massachusetts.” Disability Law Center (September 26, 2023). https:</w:t>
      </w:r>
      <w:hyperlink r:id="rId681">
        <w:r>
          <w:rPr>
            <w:sz w:val="18"/>
            <w:vertAlign w:val="baseline"/>
          </w:rPr>
          <w:t>//www.dlc-ma.org/2023/09/26/dlc-calls-on-dcf-to-</w:t>
        </w:r>
      </w:hyperlink>
      <w:r>
        <w:rPr>
          <w:sz w:val="18"/>
          <w:vertAlign w:val="baseline"/>
        </w:rPr>
        <w:t> </w:t>
      </w:r>
      <w:r>
        <w:rPr>
          <w:spacing w:val="-2"/>
          <w:sz w:val="18"/>
          <w:vertAlign w:val="baseline"/>
        </w:rPr>
        <w:t>stop-taking-ssa-benefits-pf-youth-in-foster-care/</w:t>
      </w:r>
    </w:p>
    <w:p>
      <w:pPr>
        <w:spacing w:before="0"/>
        <w:ind w:left="463" w:right="714" w:firstLine="0"/>
        <w:jc w:val="left"/>
        <w:rPr>
          <w:sz w:val="18"/>
        </w:rPr>
      </w:pPr>
      <w:bookmarkStart w:name="_bookmark602" w:id="897"/>
      <w:bookmarkEnd w:id="897"/>
      <w:r>
        <w:rPr/>
      </w:r>
      <w:r>
        <w:rPr>
          <w:sz w:val="18"/>
          <w:vertAlign w:val="superscript"/>
        </w:rPr>
        <w:t>48</w:t>
      </w:r>
      <w:r>
        <w:rPr>
          <w:spacing w:val="-3"/>
          <w:sz w:val="18"/>
          <w:vertAlign w:val="baseline"/>
        </w:rPr>
        <w:t> </w:t>
      </w:r>
      <w:r>
        <w:rPr>
          <w:sz w:val="18"/>
          <w:vertAlign w:val="baseline"/>
        </w:rPr>
        <w:t>Lansing,</w:t>
      </w:r>
      <w:r>
        <w:rPr>
          <w:spacing w:val="-3"/>
          <w:sz w:val="18"/>
          <w:vertAlign w:val="baseline"/>
        </w:rPr>
        <w:t> </w:t>
      </w:r>
      <w:r>
        <w:rPr>
          <w:sz w:val="18"/>
          <w:vertAlign w:val="baseline"/>
        </w:rPr>
        <w:t>Jiffy,</w:t>
      </w:r>
      <w:r>
        <w:rPr>
          <w:spacing w:val="-3"/>
          <w:sz w:val="18"/>
          <w:vertAlign w:val="baseline"/>
        </w:rPr>
        <w:t> </w:t>
      </w:r>
      <w:r>
        <w:rPr>
          <w:sz w:val="18"/>
          <w:vertAlign w:val="baseline"/>
        </w:rPr>
        <w:t>Hannah</w:t>
      </w:r>
      <w:r>
        <w:rPr>
          <w:spacing w:val="-3"/>
          <w:sz w:val="18"/>
          <w:vertAlign w:val="baseline"/>
        </w:rPr>
        <w:t> </w:t>
      </w:r>
      <w:r>
        <w:rPr>
          <w:sz w:val="18"/>
          <w:vertAlign w:val="baseline"/>
        </w:rPr>
        <w:t>Sumiko</w:t>
      </w:r>
      <w:r>
        <w:rPr>
          <w:spacing w:val="-3"/>
          <w:sz w:val="18"/>
          <w:vertAlign w:val="baseline"/>
        </w:rPr>
        <w:t> </w:t>
      </w:r>
      <w:r>
        <w:rPr>
          <w:sz w:val="18"/>
          <w:vertAlign w:val="baseline"/>
        </w:rPr>
        <w:t>Daly,</w:t>
      </w:r>
      <w:r>
        <w:rPr>
          <w:spacing w:val="-3"/>
          <w:sz w:val="18"/>
          <w:vertAlign w:val="baseline"/>
        </w:rPr>
        <w:t> </w:t>
      </w:r>
      <w:r>
        <w:rPr>
          <w:sz w:val="18"/>
          <w:vertAlign w:val="baseline"/>
        </w:rPr>
        <w:t>and</w:t>
      </w:r>
      <w:r>
        <w:rPr>
          <w:spacing w:val="-3"/>
          <w:sz w:val="18"/>
          <w:vertAlign w:val="baseline"/>
        </w:rPr>
        <w:t> </w:t>
      </w:r>
      <w:r>
        <w:rPr>
          <w:sz w:val="18"/>
          <w:vertAlign w:val="baseline"/>
        </w:rPr>
        <w:t>Michael</w:t>
      </w:r>
      <w:r>
        <w:rPr>
          <w:spacing w:val="-3"/>
          <w:sz w:val="18"/>
          <w:vertAlign w:val="baseline"/>
        </w:rPr>
        <w:t> </w:t>
      </w:r>
      <w:r>
        <w:rPr>
          <w:sz w:val="18"/>
          <w:vertAlign w:val="baseline"/>
        </w:rPr>
        <w:t>Pergamit.</w:t>
      </w:r>
      <w:r>
        <w:rPr>
          <w:spacing w:val="-3"/>
          <w:sz w:val="18"/>
          <w:vertAlign w:val="baseline"/>
        </w:rPr>
        <w:t> </w:t>
      </w:r>
      <w:r>
        <w:rPr>
          <w:sz w:val="18"/>
          <w:vertAlign w:val="baseline"/>
        </w:rPr>
        <w:t>“How</w:t>
      </w:r>
      <w:r>
        <w:rPr>
          <w:spacing w:val="-3"/>
          <w:sz w:val="18"/>
          <w:vertAlign w:val="baseline"/>
        </w:rPr>
        <w:t> </w:t>
      </w:r>
      <w:r>
        <w:rPr>
          <w:sz w:val="18"/>
          <w:vertAlign w:val="baseline"/>
        </w:rPr>
        <w:t>Employment</w:t>
      </w:r>
      <w:r>
        <w:rPr>
          <w:spacing w:val="-3"/>
          <w:sz w:val="18"/>
          <w:vertAlign w:val="baseline"/>
        </w:rPr>
        <w:t> </w:t>
      </w:r>
      <w:r>
        <w:rPr>
          <w:sz w:val="18"/>
          <w:vertAlign w:val="baseline"/>
        </w:rPr>
        <w:t>Programs</w:t>
      </w:r>
      <w:r>
        <w:rPr>
          <w:spacing w:val="-3"/>
          <w:sz w:val="18"/>
          <w:vertAlign w:val="baseline"/>
        </w:rPr>
        <w:t> </w:t>
      </w:r>
      <w:r>
        <w:rPr>
          <w:sz w:val="18"/>
          <w:vertAlign w:val="baseline"/>
        </w:rPr>
        <w:t>Can</w:t>
      </w:r>
      <w:r>
        <w:rPr>
          <w:spacing w:val="-3"/>
          <w:sz w:val="18"/>
          <w:vertAlign w:val="baseline"/>
        </w:rPr>
        <w:t> </w:t>
      </w:r>
      <w:r>
        <w:rPr>
          <w:sz w:val="18"/>
          <w:vertAlign w:val="baseline"/>
        </w:rPr>
        <w:t>Support</w:t>
      </w:r>
      <w:r>
        <w:rPr>
          <w:spacing w:val="-3"/>
          <w:sz w:val="18"/>
          <w:vertAlign w:val="baseline"/>
        </w:rPr>
        <w:t> </w:t>
      </w:r>
      <w:r>
        <w:rPr>
          <w:sz w:val="18"/>
          <w:vertAlign w:val="baseline"/>
        </w:rPr>
        <w:t>Young</w:t>
      </w:r>
      <w:r>
        <w:rPr>
          <w:spacing w:val="-3"/>
          <w:sz w:val="18"/>
          <w:vertAlign w:val="baseline"/>
        </w:rPr>
        <w:t> </w:t>
      </w:r>
      <w:r>
        <w:rPr>
          <w:sz w:val="18"/>
          <w:vertAlign w:val="baseline"/>
        </w:rPr>
        <w:t>People Transitioning out of Foster Care.” Urban Institute (September 20, 2021). </w:t>
      </w:r>
      <w:hyperlink r:id="rId682">
        <w:r>
          <w:rPr>
            <w:sz w:val="18"/>
            <w:vertAlign w:val="baseline"/>
          </w:rPr>
          <w:t>www.urban.org/research/publication/how-</w:t>
        </w:r>
      </w:hyperlink>
      <w:r>
        <w:rPr>
          <w:sz w:val="18"/>
          <w:vertAlign w:val="baseline"/>
        </w:rPr>
        <w:t> </w:t>
      </w:r>
      <w:r>
        <w:rPr>
          <w:spacing w:val="-2"/>
          <w:sz w:val="18"/>
          <w:vertAlign w:val="baseline"/>
        </w:rPr>
        <w:t>employment-programs-can-support-young-people-transitioning-out-foster-care</w:t>
      </w:r>
    </w:p>
    <w:p>
      <w:pPr>
        <w:spacing w:before="0"/>
        <w:ind w:left="464" w:right="294" w:firstLine="0"/>
        <w:jc w:val="both"/>
        <w:rPr>
          <w:sz w:val="18"/>
        </w:rPr>
      </w:pPr>
      <w:bookmarkStart w:name="_bookmark603" w:id="898"/>
      <w:bookmarkEnd w:id="898"/>
      <w:r>
        <w:rPr/>
      </w:r>
      <w:r>
        <w:rPr>
          <w:sz w:val="18"/>
          <w:vertAlign w:val="superscript"/>
        </w:rPr>
        <w:t>49</w:t>
      </w:r>
      <w:r>
        <w:rPr>
          <w:spacing w:val="-1"/>
          <w:sz w:val="18"/>
          <w:vertAlign w:val="baseline"/>
        </w:rPr>
        <w:t> </w:t>
      </w:r>
      <w:r>
        <w:rPr>
          <w:sz w:val="18"/>
          <w:vertAlign w:val="baseline"/>
        </w:rPr>
        <w:t>Ackman,</w:t>
      </w:r>
      <w:r>
        <w:rPr>
          <w:spacing w:val="-2"/>
          <w:sz w:val="18"/>
          <w:vertAlign w:val="baseline"/>
        </w:rPr>
        <w:t> </w:t>
      </w:r>
      <w:r>
        <w:rPr>
          <w:sz w:val="18"/>
          <w:vertAlign w:val="baseline"/>
        </w:rPr>
        <w:t>Paige.</w:t>
      </w:r>
      <w:r>
        <w:rPr>
          <w:spacing w:val="-3"/>
          <w:sz w:val="18"/>
          <w:vertAlign w:val="baseline"/>
        </w:rPr>
        <w:t> </w:t>
      </w:r>
      <w:r>
        <w:rPr>
          <w:sz w:val="18"/>
          <w:vertAlign w:val="baseline"/>
        </w:rPr>
        <w:t>“Bowling</w:t>
      </w:r>
      <w:r>
        <w:rPr>
          <w:spacing w:val="-1"/>
          <w:sz w:val="18"/>
          <w:vertAlign w:val="baseline"/>
        </w:rPr>
        <w:t> </w:t>
      </w:r>
      <w:r>
        <w:rPr>
          <w:sz w:val="18"/>
          <w:vertAlign w:val="baseline"/>
        </w:rPr>
        <w:t>with</w:t>
      </w:r>
      <w:r>
        <w:rPr>
          <w:spacing w:val="-1"/>
          <w:sz w:val="18"/>
          <w:vertAlign w:val="baseline"/>
        </w:rPr>
        <w:t> </w:t>
      </w:r>
      <w:r>
        <w:rPr>
          <w:sz w:val="18"/>
          <w:vertAlign w:val="baseline"/>
        </w:rPr>
        <w:t>Bumpers:</w:t>
      </w:r>
      <w:r>
        <w:rPr>
          <w:spacing w:val="-1"/>
          <w:sz w:val="18"/>
          <w:vertAlign w:val="baseline"/>
        </w:rPr>
        <w:t> </w:t>
      </w:r>
      <w:r>
        <w:rPr>
          <w:sz w:val="18"/>
          <w:vertAlign w:val="baseline"/>
        </w:rPr>
        <w:t>Increasing</w:t>
      </w:r>
      <w:r>
        <w:rPr>
          <w:spacing w:val="-1"/>
          <w:sz w:val="18"/>
          <w:vertAlign w:val="baseline"/>
        </w:rPr>
        <w:t> </w:t>
      </w:r>
      <w:r>
        <w:rPr>
          <w:sz w:val="18"/>
          <w:vertAlign w:val="baseline"/>
        </w:rPr>
        <w:t>Social</w:t>
      </w:r>
      <w:r>
        <w:rPr>
          <w:spacing w:val="-2"/>
          <w:sz w:val="18"/>
          <w:vertAlign w:val="baseline"/>
        </w:rPr>
        <w:t> </w:t>
      </w:r>
      <w:r>
        <w:rPr>
          <w:sz w:val="18"/>
          <w:vertAlign w:val="baseline"/>
        </w:rPr>
        <w:t>Capital</w:t>
      </w:r>
      <w:r>
        <w:rPr>
          <w:spacing w:val="-1"/>
          <w:sz w:val="18"/>
          <w:vertAlign w:val="baseline"/>
        </w:rPr>
        <w:t> </w:t>
      </w:r>
      <w:r>
        <w:rPr>
          <w:sz w:val="18"/>
          <w:vertAlign w:val="baseline"/>
        </w:rPr>
        <w:t>for</w:t>
      </w:r>
      <w:r>
        <w:rPr>
          <w:spacing w:val="-2"/>
          <w:sz w:val="18"/>
          <w:vertAlign w:val="baseline"/>
        </w:rPr>
        <w:t> </w:t>
      </w:r>
      <w:r>
        <w:rPr>
          <w:sz w:val="18"/>
          <w:vertAlign w:val="baseline"/>
        </w:rPr>
        <w:t>Foster</w:t>
      </w:r>
      <w:r>
        <w:rPr>
          <w:spacing w:val="-2"/>
          <w:sz w:val="18"/>
          <w:vertAlign w:val="baseline"/>
        </w:rPr>
        <w:t> </w:t>
      </w:r>
      <w:r>
        <w:rPr>
          <w:sz w:val="18"/>
          <w:vertAlign w:val="baseline"/>
        </w:rPr>
        <w:t>Care</w:t>
      </w:r>
      <w:r>
        <w:rPr>
          <w:spacing w:val="-2"/>
          <w:sz w:val="18"/>
          <w:vertAlign w:val="baseline"/>
        </w:rPr>
        <w:t> </w:t>
      </w:r>
      <w:r>
        <w:rPr>
          <w:sz w:val="18"/>
          <w:vertAlign w:val="baseline"/>
        </w:rPr>
        <w:t>Youth.”</w:t>
      </w:r>
      <w:r>
        <w:rPr>
          <w:spacing w:val="-1"/>
          <w:sz w:val="18"/>
          <w:vertAlign w:val="baseline"/>
        </w:rPr>
        <w:t> </w:t>
      </w:r>
      <w:r>
        <w:rPr>
          <w:sz w:val="18"/>
          <w:vertAlign w:val="baseline"/>
        </w:rPr>
        <w:t>Georgetown</w:t>
      </w:r>
      <w:r>
        <w:rPr>
          <w:spacing w:val="-1"/>
          <w:sz w:val="18"/>
          <w:vertAlign w:val="baseline"/>
        </w:rPr>
        <w:t> </w:t>
      </w:r>
      <w:r>
        <w:rPr>
          <w:sz w:val="18"/>
          <w:vertAlign w:val="baseline"/>
        </w:rPr>
        <w:t>Journal</w:t>
      </w:r>
      <w:r>
        <w:rPr>
          <w:spacing w:val="-2"/>
          <w:sz w:val="18"/>
          <w:vertAlign w:val="baseline"/>
        </w:rPr>
        <w:t> </w:t>
      </w:r>
      <w:r>
        <w:rPr>
          <w:sz w:val="18"/>
          <w:vertAlign w:val="baseline"/>
        </w:rPr>
        <w:t>on</w:t>
      </w:r>
      <w:r>
        <w:rPr>
          <w:spacing w:val="-1"/>
          <w:sz w:val="18"/>
          <w:vertAlign w:val="baseline"/>
        </w:rPr>
        <w:t> </w:t>
      </w:r>
      <w:r>
        <w:rPr>
          <w:sz w:val="18"/>
          <w:vertAlign w:val="baseline"/>
        </w:rPr>
        <w:t>Poverty Law</w:t>
      </w:r>
      <w:r>
        <w:rPr>
          <w:spacing w:val="-7"/>
          <w:sz w:val="18"/>
          <w:vertAlign w:val="baseline"/>
        </w:rPr>
        <w:t> </w:t>
      </w:r>
      <w:r>
        <w:rPr>
          <w:sz w:val="18"/>
          <w:vertAlign w:val="baseline"/>
        </w:rPr>
        <w:t>&amp;</w:t>
      </w:r>
      <w:r>
        <w:rPr>
          <w:spacing w:val="-7"/>
          <w:sz w:val="18"/>
          <w:vertAlign w:val="baseline"/>
        </w:rPr>
        <w:t> </w:t>
      </w:r>
      <w:r>
        <w:rPr>
          <w:sz w:val="18"/>
          <w:vertAlign w:val="baseline"/>
        </w:rPr>
        <w:t>Policy</w:t>
      </w:r>
      <w:r>
        <w:rPr>
          <w:spacing w:val="-7"/>
          <w:sz w:val="18"/>
          <w:vertAlign w:val="baseline"/>
        </w:rPr>
        <w:t> </w:t>
      </w:r>
      <w:r>
        <w:rPr>
          <w:sz w:val="18"/>
          <w:vertAlign w:val="baseline"/>
        </w:rPr>
        <w:t>(January</w:t>
      </w:r>
      <w:r>
        <w:rPr>
          <w:spacing w:val="-7"/>
          <w:sz w:val="18"/>
          <w:vertAlign w:val="baseline"/>
        </w:rPr>
        <w:t> </w:t>
      </w:r>
      <w:r>
        <w:rPr>
          <w:sz w:val="18"/>
          <w:vertAlign w:val="baseline"/>
        </w:rPr>
        <w:t>31,</w:t>
      </w:r>
      <w:r>
        <w:rPr>
          <w:spacing w:val="-7"/>
          <w:sz w:val="18"/>
          <w:vertAlign w:val="baseline"/>
        </w:rPr>
        <w:t> </w:t>
      </w:r>
      <w:r>
        <w:rPr>
          <w:sz w:val="18"/>
          <w:vertAlign w:val="baseline"/>
        </w:rPr>
        <w:t>2023).</w:t>
      </w:r>
      <w:r>
        <w:rPr>
          <w:spacing w:val="-7"/>
          <w:sz w:val="18"/>
          <w:vertAlign w:val="baseline"/>
        </w:rPr>
        <w:t> </w:t>
      </w:r>
      <w:hyperlink r:id="rId683">
        <w:r>
          <w:rPr>
            <w:sz w:val="18"/>
            <w:vertAlign w:val="baseline"/>
          </w:rPr>
          <w:t>www.law.georgetown.edu/poverty-journal/blog/bowling-with-bumpers-increasing-social-</w:t>
        </w:r>
      </w:hyperlink>
      <w:r>
        <w:rPr>
          <w:sz w:val="18"/>
          <w:vertAlign w:val="baseline"/>
        </w:rPr>
        <w:t> </w:t>
      </w:r>
      <w:r>
        <w:rPr>
          <w:spacing w:val="-2"/>
          <w:sz w:val="18"/>
          <w:vertAlign w:val="baseline"/>
        </w:rPr>
        <w:t>capital-for-foster-care-youth/</w:t>
      </w:r>
    </w:p>
    <w:p>
      <w:pPr>
        <w:spacing w:before="0"/>
        <w:ind w:left="463" w:right="232" w:firstLine="0"/>
        <w:jc w:val="left"/>
        <w:rPr>
          <w:sz w:val="18"/>
        </w:rPr>
      </w:pPr>
      <w:bookmarkStart w:name="_bookmark604" w:id="899"/>
      <w:bookmarkEnd w:id="899"/>
      <w:r>
        <w:rPr/>
      </w:r>
      <w:r>
        <w:rPr>
          <w:sz w:val="18"/>
          <w:vertAlign w:val="superscript"/>
        </w:rPr>
        <w:t>50</w:t>
      </w:r>
      <w:r>
        <w:rPr>
          <w:sz w:val="18"/>
          <w:vertAlign w:val="baseline"/>
        </w:rPr>
        <w:t> Hunter, Ally, Heather Griller Clark, Loretta Mason-Williams, and Joseph Calvin Gagnon. “Curriculum, Instruction, and Promoting</w:t>
      </w:r>
      <w:r>
        <w:rPr>
          <w:spacing w:val="-3"/>
          <w:sz w:val="18"/>
          <w:vertAlign w:val="baseline"/>
        </w:rPr>
        <w:t> </w:t>
      </w:r>
      <w:r>
        <w:rPr>
          <w:sz w:val="18"/>
          <w:vertAlign w:val="baseline"/>
        </w:rPr>
        <w:t>College</w:t>
      </w:r>
      <w:r>
        <w:rPr>
          <w:spacing w:val="-3"/>
          <w:sz w:val="18"/>
          <w:vertAlign w:val="baseline"/>
        </w:rPr>
        <w:t> </w:t>
      </w:r>
      <w:r>
        <w:rPr>
          <w:sz w:val="18"/>
          <w:vertAlign w:val="baseline"/>
        </w:rPr>
        <w:t>and</w:t>
      </w:r>
      <w:r>
        <w:rPr>
          <w:spacing w:val="-4"/>
          <w:sz w:val="18"/>
          <w:vertAlign w:val="baseline"/>
        </w:rPr>
        <w:t> </w:t>
      </w:r>
      <w:r>
        <w:rPr>
          <w:sz w:val="18"/>
          <w:vertAlign w:val="baseline"/>
        </w:rPr>
        <w:t>Career</w:t>
      </w:r>
      <w:r>
        <w:rPr>
          <w:spacing w:val="-4"/>
          <w:sz w:val="18"/>
          <w:vertAlign w:val="baseline"/>
        </w:rPr>
        <w:t> </w:t>
      </w:r>
      <w:r>
        <w:rPr>
          <w:sz w:val="18"/>
          <w:vertAlign w:val="baseline"/>
        </w:rPr>
        <w:t>Readiness</w:t>
      </w:r>
      <w:r>
        <w:rPr>
          <w:spacing w:val="-3"/>
          <w:sz w:val="18"/>
          <w:vertAlign w:val="baseline"/>
        </w:rPr>
        <w:t> </w:t>
      </w:r>
      <w:r>
        <w:rPr>
          <w:sz w:val="18"/>
          <w:vertAlign w:val="baseline"/>
        </w:rPr>
        <w:t>for</w:t>
      </w:r>
      <w:r>
        <w:rPr>
          <w:spacing w:val="-4"/>
          <w:sz w:val="18"/>
          <w:vertAlign w:val="baseline"/>
        </w:rPr>
        <w:t> </w:t>
      </w:r>
      <w:r>
        <w:rPr>
          <w:sz w:val="18"/>
          <w:vertAlign w:val="baseline"/>
        </w:rPr>
        <w:t>Incarcerated</w:t>
      </w:r>
      <w:r>
        <w:rPr>
          <w:spacing w:val="-3"/>
          <w:sz w:val="18"/>
          <w:vertAlign w:val="baseline"/>
        </w:rPr>
        <w:t> </w:t>
      </w:r>
      <w:r>
        <w:rPr>
          <w:sz w:val="18"/>
          <w:vertAlign w:val="baseline"/>
        </w:rPr>
        <w:t>Youth:</w:t>
      </w:r>
      <w:r>
        <w:rPr>
          <w:spacing w:val="-3"/>
          <w:sz w:val="18"/>
          <w:vertAlign w:val="baseline"/>
        </w:rPr>
        <w:t> </w:t>
      </w:r>
      <w:r>
        <w:rPr>
          <w:sz w:val="18"/>
          <w:vertAlign w:val="baseline"/>
        </w:rPr>
        <w:t>A</w:t>
      </w:r>
      <w:r>
        <w:rPr>
          <w:spacing w:val="-3"/>
          <w:sz w:val="18"/>
          <w:vertAlign w:val="baseline"/>
        </w:rPr>
        <w:t> </w:t>
      </w:r>
      <w:r>
        <w:rPr>
          <w:sz w:val="18"/>
          <w:vertAlign w:val="baseline"/>
        </w:rPr>
        <w:t>Literature</w:t>
      </w:r>
      <w:r>
        <w:rPr>
          <w:spacing w:val="-3"/>
          <w:sz w:val="18"/>
          <w:vertAlign w:val="baseline"/>
        </w:rPr>
        <w:t> </w:t>
      </w:r>
      <w:r>
        <w:rPr>
          <w:sz w:val="18"/>
          <w:vertAlign w:val="baseline"/>
        </w:rPr>
        <w:t>Review.”</w:t>
      </w:r>
      <w:r>
        <w:rPr>
          <w:spacing w:val="-3"/>
          <w:sz w:val="18"/>
          <w:vertAlign w:val="baseline"/>
        </w:rPr>
        <w:t> </w:t>
      </w:r>
      <w:r>
        <w:rPr>
          <w:sz w:val="18"/>
          <w:vertAlign w:val="baseline"/>
        </w:rPr>
        <w:t>American</w:t>
      </w:r>
      <w:r>
        <w:rPr>
          <w:spacing w:val="-3"/>
          <w:sz w:val="18"/>
          <w:vertAlign w:val="baseline"/>
        </w:rPr>
        <w:t> </w:t>
      </w:r>
      <w:r>
        <w:rPr>
          <w:sz w:val="18"/>
          <w:vertAlign w:val="baseline"/>
        </w:rPr>
        <w:t>Journal</w:t>
      </w:r>
      <w:r>
        <w:rPr>
          <w:spacing w:val="-4"/>
          <w:sz w:val="18"/>
          <w:vertAlign w:val="baseline"/>
        </w:rPr>
        <w:t> </w:t>
      </w:r>
      <w:r>
        <w:rPr>
          <w:sz w:val="18"/>
          <w:vertAlign w:val="baseline"/>
        </w:rPr>
        <w:t>of</w:t>
      </w:r>
      <w:r>
        <w:rPr>
          <w:spacing w:val="-3"/>
          <w:sz w:val="18"/>
          <w:vertAlign w:val="baseline"/>
        </w:rPr>
        <w:t> </w:t>
      </w:r>
      <w:r>
        <w:rPr>
          <w:sz w:val="18"/>
          <w:vertAlign w:val="baseline"/>
        </w:rPr>
        <w:t>Orthopsychiatry 92, no. 4 (2022): 418–28. https://doi.org/10.1037/ort0000623</w:t>
      </w:r>
    </w:p>
    <w:p>
      <w:pPr>
        <w:spacing w:before="0"/>
        <w:ind w:left="464" w:right="0" w:firstLine="0"/>
        <w:jc w:val="left"/>
        <w:rPr>
          <w:sz w:val="18"/>
        </w:rPr>
      </w:pPr>
      <w:bookmarkStart w:name="_bookmark605" w:id="900"/>
      <w:bookmarkEnd w:id="900"/>
      <w:r>
        <w:rPr/>
      </w:r>
      <w:r>
        <w:rPr>
          <w:sz w:val="18"/>
          <w:vertAlign w:val="superscript"/>
        </w:rPr>
        <w:t>51</w:t>
      </w:r>
      <w:r>
        <w:rPr>
          <w:spacing w:val="-3"/>
          <w:sz w:val="18"/>
          <w:vertAlign w:val="baseline"/>
        </w:rPr>
        <w:t> </w:t>
      </w:r>
      <w:r>
        <w:rPr>
          <w:sz w:val="18"/>
          <w:vertAlign w:val="baseline"/>
        </w:rPr>
        <w:t>Wang,</w:t>
      </w:r>
      <w:r>
        <w:rPr>
          <w:spacing w:val="-3"/>
          <w:sz w:val="18"/>
          <w:vertAlign w:val="baseline"/>
        </w:rPr>
        <w:t> </w:t>
      </w:r>
      <w:r>
        <w:rPr>
          <w:sz w:val="18"/>
          <w:vertAlign w:val="baseline"/>
        </w:rPr>
        <w:t>Leah,</w:t>
      </w:r>
      <w:r>
        <w:rPr>
          <w:spacing w:val="-3"/>
          <w:sz w:val="18"/>
          <w:vertAlign w:val="baseline"/>
        </w:rPr>
        <w:t> </w:t>
      </w:r>
      <w:r>
        <w:rPr>
          <w:sz w:val="18"/>
          <w:vertAlign w:val="baseline"/>
        </w:rPr>
        <w:t>and</w:t>
      </w:r>
      <w:r>
        <w:rPr>
          <w:spacing w:val="-3"/>
          <w:sz w:val="18"/>
          <w:vertAlign w:val="baseline"/>
        </w:rPr>
        <w:t> </w:t>
      </w:r>
      <w:r>
        <w:rPr>
          <w:sz w:val="18"/>
          <w:vertAlign w:val="baseline"/>
        </w:rPr>
        <w:t>Wanda</w:t>
      </w:r>
      <w:r>
        <w:rPr>
          <w:spacing w:val="-3"/>
          <w:sz w:val="18"/>
          <w:vertAlign w:val="baseline"/>
        </w:rPr>
        <w:t> </w:t>
      </w:r>
      <w:r>
        <w:rPr>
          <w:sz w:val="18"/>
          <w:vertAlign w:val="baseline"/>
        </w:rPr>
        <w:t>Bertram.</w:t>
      </w:r>
      <w:r>
        <w:rPr>
          <w:spacing w:val="-3"/>
          <w:sz w:val="18"/>
          <w:vertAlign w:val="baseline"/>
        </w:rPr>
        <w:t> </w:t>
      </w:r>
      <w:r>
        <w:rPr>
          <w:sz w:val="18"/>
          <w:vertAlign w:val="baseline"/>
        </w:rPr>
        <w:t>“New</w:t>
      </w:r>
      <w:r>
        <w:rPr>
          <w:spacing w:val="-3"/>
          <w:sz w:val="18"/>
          <w:vertAlign w:val="baseline"/>
        </w:rPr>
        <w:t> </w:t>
      </w:r>
      <w:r>
        <w:rPr>
          <w:sz w:val="18"/>
          <w:vertAlign w:val="baseline"/>
        </w:rPr>
        <w:t>Data</w:t>
      </w:r>
      <w:r>
        <w:rPr>
          <w:spacing w:val="-3"/>
          <w:sz w:val="18"/>
          <w:vertAlign w:val="baseline"/>
        </w:rPr>
        <w:t> </w:t>
      </w:r>
      <w:r>
        <w:rPr>
          <w:sz w:val="18"/>
          <w:vertAlign w:val="baseline"/>
        </w:rPr>
        <w:t>on</w:t>
      </w:r>
      <w:r>
        <w:rPr>
          <w:spacing w:val="-3"/>
          <w:sz w:val="18"/>
          <w:vertAlign w:val="baseline"/>
        </w:rPr>
        <w:t> </w:t>
      </w:r>
      <w:r>
        <w:rPr>
          <w:sz w:val="18"/>
          <w:vertAlign w:val="baseline"/>
        </w:rPr>
        <w:t>Formerly</w:t>
      </w:r>
      <w:r>
        <w:rPr>
          <w:spacing w:val="-3"/>
          <w:sz w:val="18"/>
          <w:vertAlign w:val="baseline"/>
        </w:rPr>
        <w:t> </w:t>
      </w:r>
      <w:r>
        <w:rPr>
          <w:sz w:val="18"/>
          <w:vertAlign w:val="baseline"/>
        </w:rPr>
        <w:t>Incarcerated</w:t>
      </w:r>
      <w:r>
        <w:rPr>
          <w:spacing w:val="-3"/>
          <w:sz w:val="18"/>
          <w:vertAlign w:val="baseline"/>
        </w:rPr>
        <w:t> </w:t>
      </w:r>
      <w:r>
        <w:rPr>
          <w:sz w:val="18"/>
          <w:vertAlign w:val="baseline"/>
        </w:rPr>
        <w:t>People’s</w:t>
      </w:r>
      <w:r>
        <w:rPr>
          <w:spacing w:val="-3"/>
          <w:sz w:val="18"/>
          <w:vertAlign w:val="baseline"/>
        </w:rPr>
        <w:t> </w:t>
      </w:r>
      <w:r>
        <w:rPr>
          <w:sz w:val="18"/>
          <w:vertAlign w:val="baseline"/>
        </w:rPr>
        <w:t>Employment</w:t>
      </w:r>
      <w:r>
        <w:rPr>
          <w:spacing w:val="-3"/>
          <w:sz w:val="18"/>
          <w:vertAlign w:val="baseline"/>
        </w:rPr>
        <w:t> </w:t>
      </w:r>
      <w:r>
        <w:rPr>
          <w:sz w:val="18"/>
          <w:vertAlign w:val="baseline"/>
        </w:rPr>
        <w:t>Reveal</w:t>
      </w:r>
      <w:r>
        <w:rPr>
          <w:spacing w:val="-3"/>
          <w:sz w:val="18"/>
          <w:vertAlign w:val="baseline"/>
        </w:rPr>
        <w:t> </w:t>
      </w:r>
      <w:r>
        <w:rPr>
          <w:sz w:val="18"/>
          <w:vertAlign w:val="baseline"/>
        </w:rPr>
        <w:t>Labor</w:t>
      </w:r>
      <w:r>
        <w:rPr>
          <w:spacing w:val="-3"/>
          <w:sz w:val="18"/>
          <w:vertAlign w:val="baseline"/>
        </w:rPr>
        <w:t> </w:t>
      </w:r>
      <w:r>
        <w:rPr>
          <w:sz w:val="18"/>
          <w:vertAlign w:val="baseline"/>
        </w:rPr>
        <w:t>Market Injustices.” Prison Policy Initiative (February 8, 2022). </w:t>
      </w:r>
      <w:hyperlink r:id="rId684">
        <w:r>
          <w:rPr>
            <w:sz w:val="18"/>
            <w:vertAlign w:val="baseline"/>
          </w:rPr>
          <w:t>www.prisonpolicy.org/blog/2022/02/08/employment/</w:t>
        </w:r>
      </w:hyperlink>
    </w:p>
    <w:p>
      <w:pPr>
        <w:spacing w:before="0"/>
        <w:ind w:left="463" w:right="232" w:firstLine="0"/>
        <w:jc w:val="left"/>
        <w:rPr>
          <w:sz w:val="18"/>
        </w:rPr>
      </w:pPr>
      <w:bookmarkStart w:name="_bookmark606" w:id="901"/>
      <w:bookmarkEnd w:id="901"/>
      <w:r>
        <w:rPr/>
      </w:r>
      <w:r>
        <w:rPr>
          <w:sz w:val="18"/>
          <w:vertAlign w:val="superscript"/>
        </w:rPr>
        <w:t>52</w:t>
      </w:r>
      <w:r>
        <w:rPr>
          <w:spacing w:val="-3"/>
          <w:sz w:val="18"/>
          <w:vertAlign w:val="baseline"/>
        </w:rPr>
        <w:t> </w:t>
      </w:r>
      <w:r>
        <w:rPr>
          <w:sz w:val="18"/>
          <w:vertAlign w:val="baseline"/>
        </w:rPr>
        <w:t>Kolbeck,</w:t>
      </w:r>
      <w:r>
        <w:rPr>
          <w:spacing w:val="-3"/>
          <w:sz w:val="18"/>
          <w:vertAlign w:val="baseline"/>
        </w:rPr>
        <w:t> </w:t>
      </w:r>
      <w:r>
        <w:rPr>
          <w:sz w:val="18"/>
          <w:vertAlign w:val="baseline"/>
        </w:rPr>
        <w:t>Simon,</w:t>
      </w:r>
      <w:r>
        <w:rPr>
          <w:spacing w:val="-3"/>
          <w:sz w:val="18"/>
          <w:vertAlign w:val="baseline"/>
        </w:rPr>
        <w:t> </w:t>
      </w:r>
      <w:r>
        <w:rPr>
          <w:sz w:val="18"/>
          <w:vertAlign w:val="baseline"/>
        </w:rPr>
        <w:t>Steven</w:t>
      </w:r>
      <w:r>
        <w:rPr>
          <w:spacing w:val="-3"/>
          <w:sz w:val="18"/>
          <w:vertAlign w:val="baseline"/>
        </w:rPr>
        <w:t> </w:t>
      </w:r>
      <w:r>
        <w:rPr>
          <w:sz w:val="18"/>
          <w:vertAlign w:val="baseline"/>
        </w:rPr>
        <w:t>Lopez,</w:t>
      </w:r>
      <w:r>
        <w:rPr>
          <w:spacing w:val="-3"/>
          <w:sz w:val="18"/>
          <w:vertAlign w:val="baseline"/>
        </w:rPr>
        <w:t> </w:t>
      </w:r>
      <w:r>
        <w:rPr>
          <w:sz w:val="18"/>
          <w:vertAlign w:val="baseline"/>
        </w:rPr>
        <w:t>and</w:t>
      </w:r>
      <w:r>
        <w:rPr>
          <w:spacing w:val="-3"/>
          <w:sz w:val="18"/>
          <w:vertAlign w:val="baseline"/>
        </w:rPr>
        <w:t> </w:t>
      </w:r>
      <w:r>
        <w:rPr>
          <w:sz w:val="18"/>
          <w:vertAlign w:val="baseline"/>
        </w:rPr>
        <w:t>Paul</w:t>
      </w:r>
      <w:r>
        <w:rPr>
          <w:spacing w:val="-3"/>
          <w:sz w:val="18"/>
          <w:vertAlign w:val="baseline"/>
        </w:rPr>
        <w:t> </w:t>
      </w:r>
      <w:r>
        <w:rPr>
          <w:sz w:val="18"/>
          <w:vertAlign w:val="baseline"/>
        </w:rPr>
        <w:t>Bellair.</w:t>
      </w:r>
      <w:r>
        <w:rPr>
          <w:spacing w:val="-3"/>
          <w:sz w:val="18"/>
          <w:vertAlign w:val="baseline"/>
        </w:rPr>
        <w:t> </w:t>
      </w:r>
      <w:r>
        <w:rPr>
          <w:sz w:val="18"/>
          <w:vertAlign w:val="baseline"/>
        </w:rPr>
        <w:t>“Does</w:t>
      </w:r>
      <w:r>
        <w:rPr>
          <w:spacing w:val="-3"/>
          <w:sz w:val="18"/>
          <w:vertAlign w:val="baseline"/>
        </w:rPr>
        <w:t> </w:t>
      </w:r>
      <w:r>
        <w:rPr>
          <w:sz w:val="18"/>
          <w:vertAlign w:val="baseline"/>
        </w:rPr>
        <w:t>Stable</w:t>
      </w:r>
      <w:r>
        <w:rPr>
          <w:spacing w:val="-3"/>
          <w:sz w:val="18"/>
          <w:vertAlign w:val="baseline"/>
        </w:rPr>
        <w:t> </w:t>
      </w:r>
      <w:r>
        <w:rPr>
          <w:sz w:val="18"/>
          <w:vertAlign w:val="baseline"/>
        </w:rPr>
        <w:t>Employment</w:t>
      </w:r>
      <w:r>
        <w:rPr>
          <w:spacing w:val="-3"/>
          <w:sz w:val="18"/>
          <w:vertAlign w:val="baseline"/>
        </w:rPr>
        <w:t> </w:t>
      </w:r>
      <w:r>
        <w:rPr>
          <w:sz w:val="18"/>
          <w:vertAlign w:val="baseline"/>
        </w:rPr>
        <w:t>after</w:t>
      </w:r>
      <w:r>
        <w:rPr>
          <w:spacing w:val="-3"/>
          <w:sz w:val="18"/>
          <w:vertAlign w:val="baseline"/>
        </w:rPr>
        <w:t> </w:t>
      </w:r>
      <w:r>
        <w:rPr>
          <w:sz w:val="18"/>
          <w:vertAlign w:val="baseline"/>
        </w:rPr>
        <w:t>Prison</w:t>
      </w:r>
      <w:r>
        <w:rPr>
          <w:spacing w:val="-3"/>
          <w:sz w:val="18"/>
          <w:vertAlign w:val="baseline"/>
        </w:rPr>
        <w:t> </w:t>
      </w:r>
      <w:r>
        <w:rPr>
          <w:sz w:val="18"/>
          <w:vertAlign w:val="baseline"/>
        </w:rPr>
        <w:t>Reduce</w:t>
      </w:r>
      <w:r>
        <w:rPr>
          <w:spacing w:val="-3"/>
          <w:sz w:val="18"/>
          <w:vertAlign w:val="baseline"/>
        </w:rPr>
        <w:t> </w:t>
      </w:r>
      <w:r>
        <w:rPr>
          <w:sz w:val="18"/>
          <w:vertAlign w:val="baseline"/>
        </w:rPr>
        <w:t>Recidivism</w:t>
      </w:r>
      <w:r>
        <w:rPr>
          <w:spacing w:val="-3"/>
          <w:sz w:val="18"/>
          <w:vertAlign w:val="baseline"/>
        </w:rPr>
        <w:t> </w:t>
      </w:r>
      <w:r>
        <w:rPr>
          <w:sz w:val="18"/>
          <w:vertAlign w:val="baseline"/>
        </w:rPr>
        <w:t>Irrespective</w:t>
      </w:r>
      <w:r>
        <w:rPr>
          <w:spacing w:val="-3"/>
          <w:sz w:val="18"/>
          <w:vertAlign w:val="baseline"/>
        </w:rPr>
        <w:t> </w:t>
      </w:r>
      <w:r>
        <w:rPr>
          <w:sz w:val="18"/>
          <w:vertAlign w:val="baseline"/>
        </w:rPr>
        <w:t>of Prior Employment and Offending?” Justice Quarterly 41, no. 1 (January 2, 2024): 38–61. </w:t>
      </w:r>
      <w:r>
        <w:rPr>
          <w:spacing w:val="-2"/>
          <w:sz w:val="18"/>
          <w:vertAlign w:val="baseline"/>
        </w:rPr>
        <w:t>https://doi.org/10.1080/07418825.2023.2201330</w:t>
      </w:r>
    </w:p>
    <w:p>
      <w:pPr>
        <w:spacing w:before="0"/>
        <w:ind w:left="463" w:right="249" w:firstLine="0"/>
        <w:jc w:val="left"/>
        <w:rPr>
          <w:sz w:val="18"/>
        </w:rPr>
      </w:pPr>
      <w:bookmarkStart w:name="_bookmark607" w:id="902"/>
      <w:bookmarkEnd w:id="902"/>
      <w:r>
        <w:rPr/>
      </w:r>
      <w:r>
        <w:rPr>
          <w:sz w:val="18"/>
          <w:vertAlign w:val="superscript"/>
        </w:rPr>
        <w:t>53</w:t>
      </w:r>
      <w:r>
        <w:rPr>
          <w:spacing w:val="-2"/>
          <w:sz w:val="18"/>
          <w:vertAlign w:val="baseline"/>
        </w:rPr>
        <w:t> </w:t>
      </w:r>
      <w:r>
        <w:rPr>
          <w:sz w:val="18"/>
          <w:vertAlign w:val="baseline"/>
        </w:rPr>
        <w:t>Astridge,</w:t>
      </w:r>
      <w:r>
        <w:rPr>
          <w:spacing w:val="-3"/>
          <w:sz w:val="18"/>
          <w:vertAlign w:val="baseline"/>
        </w:rPr>
        <w:t> </w:t>
      </w:r>
      <w:r>
        <w:rPr>
          <w:sz w:val="18"/>
          <w:vertAlign w:val="baseline"/>
        </w:rPr>
        <w:t>Belinda,</w:t>
      </w:r>
      <w:r>
        <w:rPr>
          <w:spacing w:val="-3"/>
          <w:sz w:val="18"/>
          <w:vertAlign w:val="baseline"/>
        </w:rPr>
        <w:t> </w:t>
      </w:r>
      <w:r>
        <w:rPr>
          <w:sz w:val="18"/>
          <w:vertAlign w:val="baseline"/>
        </w:rPr>
        <w:t>Wendy</w:t>
      </w:r>
      <w:r>
        <w:rPr>
          <w:spacing w:val="-2"/>
          <w:sz w:val="18"/>
          <w:vertAlign w:val="baseline"/>
        </w:rPr>
        <w:t> </w:t>
      </w:r>
      <w:r>
        <w:rPr>
          <w:sz w:val="18"/>
          <w:vertAlign w:val="baseline"/>
        </w:rPr>
        <w:t>Wen</w:t>
      </w:r>
      <w:r>
        <w:rPr>
          <w:spacing w:val="-2"/>
          <w:sz w:val="18"/>
          <w:vertAlign w:val="baseline"/>
        </w:rPr>
        <w:t> </w:t>
      </w:r>
      <w:r>
        <w:rPr>
          <w:sz w:val="18"/>
          <w:vertAlign w:val="baseline"/>
        </w:rPr>
        <w:t>Li,</w:t>
      </w:r>
      <w:r>
        <w:rPr>
          <w:spacing w:val="-3"/>
          <w:sz w:val="18"/>
          <w:vertAlign w:val="baseline"/>
        </w:rPr>
        <w:t> </w:t>
      </w:r>
      <w:r>
        <w:rPr>
          <w:sz w:val="18"/>
          <w:vertAlign w:val="baseline"/>
        </w:rPr>
        <w:t>Brett</w:t>
      </w:r>
      <w:r>
        <w:rPr>
          <w:spacing w:val="-3"/>
          <w:sz w:val="18"/>
          <w:vertAlign w:val="baseline"/>
        </w:rPr>
        <w:t> </w:t>
      </w:r>
      <w:r>
        <w:rPr>
          <w:sz w:val="18"/>
          <w:vertAlign w:val="baseline"/>
        </w:rPr>
        <w:t>McDermott,</w:t>
      </w:r>
      <w:r>
        <w:rPr>
          <w:spacing w:val="-3"/>
          <w:sz w:val="18"/>
          <w:vertAlign w:val="baseline"/>
        </w:rPr>
        <w:t> </w:t>
      </w:r>
      <w:r>
        <w:rPr>
          <w:sz w:val="18"/>
          <w:vertAlign w:val="baseline"/>
        </w:rPr>
        <w:t>and</w:t>
      </w:r>
      <w:r>
        <w:rPr>
          <w:spacing w:val="-2"/>
          <w:sz w:val="18"/>
          <w:vertAlign w:val="baseline"/>
        </w:rPr>
        <w:t> </w:t>
      </w:r>
      <w:r>
        <w:rPr>
          <w:sz w:val="18"/>
          <w:vertAlign w:val="baseline"/>
        </w:rPr>
        <w:t>Carlo</w:t>
      </w:r>
      <w:r>
        <w:rPr>
          <w:spacing w:val="-2"/>
          <w:sz w:val="18"/>
          <w:vertAlign w:val="baseline"/>
        </w:rPr>
        <w:t> </w:t>
      </w:r>
      <w:r>
        <w:rPr>
          <w:sz w:val="18"/>
          <w:vertAlign w:val="baseline"/>
        </w:rPr>
        <w:t>Longhitano.</w:t>
      </w:r>
      <w:r>
        <w:rPr>
          <w:spacing w:val="-2"/>
          <w:sz w:val="18"/>
          <w:vertAlign w:val="baseline"/>
        </w:rPr>
        <w:t> </w:t>
      </w:r>
      <w:r>
        <w:rPr>
          <w:sz w:val="18"/>
          <w:vertAlign w:val="baseline"/>
        </w:rPr>
        <w:t>“A</w:t>
      </w:r>
      <w:r>
        <w:rPr>
          <w:spacing w:val="-2"/>
          <w:sz w:val="18"/>
          <w:vertAlign w:val="baseline"/>
        </w:rPr>
        <w:t> </w:t>
      </w:r>
      <w:r>
        <w:rPr>
          <w:sz w:val="18"/>
          <w:vertAlign w:val="baseline"/>
        </w:rPr>
        <w:t>Systematic</w:t>
      </w:r>
      <w:r>
        <w:rPr>
          <w:spacing w:val="-3"/>
          <w:sz w:val="18"/>
          <w:vertAlign w:val="baseline"/>
        </w:rPr>
        <w:t> </w:t>
      </w:r>
      <w:r>
        <w:rPr>
          <w:sz w:val="18"/>
          <w:vertAlign w:val="baseline"/>
        </w:rPr>
        <w:t>Review</w:t>
      </w:r>
      <w:r>
        <w:rPr>
          <w:spacing w:val="-1"/>
          <w:sz w:val="18"/>
          <w:vertAlign w:val="baseline"/>
        </w:rPr>
        <w:t> </w:t>
      </w:r>
      <w:r>
        <w:rPr>
          <w:sz w:val="18"/>
          <w:vertAlign w:val="baseline"/>
        </w:rPr>
        <w:t>and</w:t>
      </w:r>
      <w:r>
        <w:rPr>
          <w:spacing w:val="-2"/>
          <w:sz w:val="18"/>
          <w:vertAlign w:val="baseline"/>
        </w:rPr>
        <w:t> </w:t>
      </w:r>
      <w:r>
        <w:rPr>
          <w:sz w:val="18"/>
          <w:vertAlign w:val="baseline"/>
        </w:rPr>
        <w:t>Meta-Analysis</w:t>
      </w:r>
      <w:r>
        <w:rPr>
          <w:spacing w:val="-2"/>
          <w:sz w:val="18"/>
          <w:vertAlign w:val="baseline"/>
        </w:rPr>
        <w:t> </w:t>
      </w:r>
      <w:r>
        <w:rPr>
          <w:sz w:val="18"/>
          <w:vertAlign w:val="baseline"/>
        </w:rPr>
        <w:t>on Adverse Childhood Experiences: Prevalence in Youth Offenders and Their Effects on Youth Recidivism.” Child Abuse &amp; Neglect 140 (June 1, 2023): 106055. https://doi.org/10.1016/j.chiabu.2023.106055</w:t>
      </w:r>
    </w:p>
    <w:p>
      <w:pPr>
        <w:spacing w:before="0"/>
        <w:ind w:left="463" w:right="215" w:firstLine="0"/>
        <w:jc w:val="left"/>
        <w:rPr>
          <w:sz w:val="18"/>
        </w:rPr>
      </w:pPr>
      <w:bookmarkStart w:name="_bookmark608" w:id="903"/>
      <w:bookmarkEnd w:id="903"/>
      <w:r>
        <w:rPr/>
      </w:r>
      <w:r>
        <w:rPr>
          <w:sz w:val="18"/>
          <w:vertAlign w:val="superscript"/>
        </w:rPr>
        <w:t>54</w:t>
      </w:r>
      <w:r>
        <w:rPr>
          <w:sz w:val="18"/>
          <w:vertAlign w:val="baseline"/>
        </w:rPr>
        <w:t> Ordorica, Catalina, Emily Dauria, Kathleen Kemp, Brandon Marshall, Johanna Folk, Marina Tolou-Shams, and Evan Holloway.</w:t>
      </w:r>
      <w:r>
        <w:rPr>
          <w:spacing w:val="-3"/>
          <w:sz w:val="18"/>
          <w:vertAlign w:val="baseline"/>
        </w:rPr>
        <w:t> </w:t>
      </w:r>
      <w:r>
        <w:rPr>
          <w:sz w:val="18"/>
          <w:vertAlign w:val="baseline"/>
        </w:rPr>
        <w:t>“Psychiatric</w:t>
      </w:r>
      <w:r>
        <w:rPr>
          <w:spacing w:val="-4"/>
          <w:sz w:val="18"/>
          <w:vertAlign w:val="baseline"/>
        </w:rPr>
        <w:t> </w:t>
      </w:r>
      <w:r>
        <w:rPr>
          <w:sz w:val="18"/>
          <w:vertAlign w:val="baseline"/>
        </w:rPr>
        <w:t>and</w:t>
      </w:r>
      <w:r>
        <w:rPr>
          <w:spacing w:val="-3"/>
          <w:sz w:val="18"/>
          <w:vertAlign w:val="baseline"/>
        </w:rPr>
        <w:t> </w:t>
      </w:r>
      <w:r>
        <w:rPr>
          <w:sz w:val="18"/>
          <w:vertAlign w:val="baseline"/>
        </w:rPr>
        <w:t>Substance-Related</w:t>
      </w:r>
      <w:r>
        <w:rPr>
          <w:spacing w:val="-3"/>
          <w:sz w:val="18"/>
          <w:vertAlign w:val="baseline"/>
        </w:rPr>
        <w:t> </w:t>
      </w:r>
      <w:r>
        <w:rPr>
          <w:sz w:val="18"/>
          <w:vertAlign w:val="baseline"/>
        </w:rPr>
        <w:t>Problems</w:t>
      </w:r>
      <w:r>
        <w:rPr>
          <w:spacing w:val="-3"/>
          <w:sz w:val="18"/>
          <w:vertAlign w:val="baseline"/>
        </w:rPr>
        <w:t> </w:t>
      </w:r>
      <w:r>
        <w:rPr>
          <w:sz w:val="18"/>
          <w:vertAlign w:val="baseline"/>
        </w:rPr>
        <w:t>Predict</w:t>
      </w:r>
      <w:r>
        <w:rPr>
          <w:spacing w:val="-4"/>
          <w:sz w:val="18"/>
          <w:vertAlign w:val="baseline"/>
        </w:rPr>
        <w:t> </w:t>
      </w:r>
      <w:r>
        <w:rPr>
          <w:sz w:val="18"/>
          <w:vertAlign w:val="baseline"/>
        </w:rPr>
        <w:t>Recidivism</w:t>
      </w:r>
      <w:r>
        <w:rPr>
          <w:spacing w:val="-3"/>
          <w:sz w:val="18"/>
          <w:vertAlign w:val="baseline"/>
        </w:rPr>
        <w:t> </w:t>
      </w:r>
      <w:r>
        <w:rPr>
          <w:sz w:val="18"/>
          <w:vertAlign w:val="baseline"/>
        </w:rPr>
        <w:t>for</w:t>
      </w:r>
      <w:r>
        <w:rPr>
          <w:spacing w:val="-4"/>
          <w:sz w:val="18"/>
          <w:vertAlign w:val="baseline"/>
        </w:rPr>
        <w:t> </w:t>
      </w:r>
      <w:r>
        <w:rPr>
          <w:sz w:val="18"/>
          <w:vertAlign w:val="baseline"/>
        </w:rPr>
        <w:t>First-Time</w:t>
      </w:r>
      <w:r>
        <w:rPr>
          <w:spacing w:val="-3"/>
          <w:sz w:val="18"/>
          <w:vertAlign w:val="baseline"/>
        </w:rPr>
        <w:t> </w:t>
      </w:r>
      <w:r>
        <w:rPr>
          <w:sz w:val="18"/>
          <w:vertAlign w:val="baseline"/>
        </w:rPr>
        <w:t>Justice-Involved</w:t>
      </w:r>
      <w:r>
        <w:rPr>
          <w:spacing w:val="-3"/>
          <w:sz w:val="18"/>
          <w:vertAlign w:val="baseline"/>
        </w:rPr>
        <w:t> </w:t>
      </w:r>
      <w:r>
        <w:rPr>
          <w:sz w:val="18"/>
          <w:vertAlign w:val="baseline"/>
        </w:rPr>
        <w:t>Youth.”</w:t>
      </w:r>
      <w:r>
        <w:rPr>
          <w:spacing w:val="-4"/>
          <w:sz w:val="18"/>
          <w:vertAlign w:val="baseline"/>
        </w:rPr>
        <w:t> </w:t>
      </w:r>
      <w:r>
        <w:rPr>
          <w:sz w:val="18"/>
          <w:vertAlign w:val="baseline"/>
        </w:rPr>
        <w:t>Journal</w:t>
      </w:r>
      <w:r>
        <w:rPr>
          <w:spacing w:val="-4"/>
          <w:sz w:val="18"/>
          <w:vertAlign w:val="baseline"/>
        </w:rPr>
        <w:t> </w:t>
      </w:r>
      <w:r>
        <w:rPr>
          <w:sz w:val="18"/>
          <w:vertAlign w:val="baseline"/>
        </w:rPr>
        <w:t>of the American Academy of Psychiatry and the Law 51, no. 1 (March 1, 2023). https://doi.org/10.29158/JAAPL.220028-21</w:t>
      </w:r>
    </w:p>
    <w:p>
      <w:pPr>
        <w:spacing w:before="0"/>
        <w:ind w:left="464" w:right="601" w:firstLine="0"/>
        <w:jc w:val="left"/>
        <w:rPr>
          <w:sz w:val="18"/>
        </w:rPr>
      </w:pPr>
      <w:bookmarkStart w:name="_bookmark609" w:id="904"/>
      <w:bookmarkEnd w:id="904"/>
      <w:r>
        <w:rPr/>
      </w:r>
      <w:r>
        <w:rPr>
          <w:sz w:val="18"/>
          <w:vertAlign w:val="superscript"/>
        </w:rPr>
        <w:t>55</w:t>
      </w:r>
      <w:r>
        <w:rPr>
          <w:spacing w:val="-3"/>
          <w:sz w:val="18"/>
          <w:vertAlign w:val="baseline"/>
        </w:rPr>
        <w:t> </w:t>
      </w:r>
      <w:r>
        <w:rPr>
          <w:sz w:val="18"/>
          <w:vertAlign w:val="baseline"/>
        </w:rPr>
        <w:t>Kleinman,</w:t>
      </w:r>
      <w:r>
        <w:rPr>
          <w:spacing w:val="-4"/>
          <w:sz w:val="18"/>
          <w:vertAlign w:val="baseline"/>
        </w:rPr>
        <w:t> </w:t>
      </w:r>
      <w:r>
        <w:rPr>
          <w:sz w:val="18"/>
          <w:vertAlign w:val="baseline"/>
        </w:rPr>
        <w:t>Rachel,</w:t>
      </w:r>
      <w:r>
        <w:rPr>
          <w:spacing w:val="-4"/>
          <w:sz w:val="18"/>
          <w:vertAlign w:val="baseline"/>
        </w:rPr>
        <w:t> </w:t>
      </w:r>
      <w:r>
        <w:rPr>
          <w:sz w:val="18"/>
          <w:vertAlign w:val="baseline"/>
        </w:rPr>
        <w:t>and</w:t>
      </w:r>
      <w:r>
        <w:rPr>
          <w:spacing w:val="-3"/>
          <w:sz w:val="18"/>
          <w:vertAlign w:val="baseline"/>
        </w:rPr>
        <w:t> </w:t>
      </w:r>
      <w:r>
        <w:rPr>
          <w:sz w:val="18"/>
          <w:vertAlign w:val="baseline"/>
        </w:rPr>
        <w:t>Sandhya</w:t>
      </w:r>
      <w:r>
        <w:rPr>
          <w:spacing w:val="-4"/>
          <w:sz w:val="18"/>
          <w:vertAlign w:val="baseline"/>
        </w:rPr>
        <w:t> </w:t>
      </w:r>
      <w:r>
        <w:rPr>
          <w:sz w:val="18"/>
          <w:vertAlign w:val="baseline"/>
        </w:rPr>
        <w:t>Kajeepeta.</w:t>
      </w:r>
      <w:r>
        <w:rPr>
          <w:spacing w:val="-3"/>
          <w:sz w:val="18"/>
          <w:vertAlign w:val="baseline"/>
        </w:rPr>
        <w:t> </w:t>
      </w:r>
      <w:r>
        <w:rPr>
          <w:sz w:val="18"/>
          <w:vertAlign w:val="baseline"/>
        </w:rPr>
        <w:t>“Barred</w:t>
      </w:r>
      <w:r>
        <w:rPr>
          <w:spacing w:val="-3"/>
          <w:sz w:val="18"/>
          <w:vertAlign w:val="baseline"/>
        </w:rPr>
        <w:t> </w:t>
      </w:r>
      <w:r>
        <w:rPr>
          <w:sz w:val="18"/>
          <w:vertAlign w:val="baseline"/>
        </w:rPr>
        <w:t>from</w:t>
      </w:r>
      <w:r>
        <w:rPr>
          <w:spacing w:val="-3"/>
          <w:sz w:val="18"/>
          <w:vertAlign w:val="baseline"/>
        </w:rPr>
        <w:t> </w:t>
      </w:r>
      <w:r>
        <w:rPr>
          <w:sz w:val="18"/>
          <w:vertAlign w:val="baseline"/>
        </w:rPr>
        <w:t>Work:</w:t>
      </w:r>
      <w:r>
        <w:rPr>
          <w:spacing w:val="-3"/>
          <w:sz w:val="18"/>
          <w:vertAlign w:val="baseline"/>
        </w:rPr>
        <w:t> </w:t>
      </w:r>
      <w:r>
        <w:rPr>
          <w:sz w:val="18"/>
          <w:vertAlign w:val="baseline"/>
        </w:rPr>
        <w:t>The</w:t>
      </w:r>
      <w:r>
        <w:rPr>
          <w:spacing w:val="-3"/>
          <w:sz w:val="18"/>
          <w:vertAlign w:val="baseline"/>
        </w:rPr>
        <w:t> </w:t>
      </w:r>
      <w:r>
        <w:rPr>
          <w:sz w:val="18"/>
          <w:vertAlign w:val="baseline"/>
        </w:rPr>
        <w:t>Discriminatory</w:t>
      </w:r>
      <w:r>
        <w:rPr>
          <w:spacing w:val="-3"/>
          <w:sz w:val="18"/>
          <w:vertAlign w:val="baseline"/>
        </w:rPr>
        <w:t> </w:t>
      </w:r>
      <w:r>
        <w:rPr>
          <w:sz w:val="18"/>
          <w:vertAlign w:val="baseline"/>
        </w:rPr>
        <w:t>Impacts</w:t>
      </w:r>
      <w:r>
        <w:rPr>
          <w:spacing w:val="-3"/>
          <w:sz w:val="18"/>
          <w:vertAlign w:val="baseline"/>
        </w:rPr>
        <w:t> </w:t>
      </w:r>
      <w:r>
        <w:rPr>
          <w:sz w:val="18"/>
          <w:vertAlign w:val="baseline"/>
        </w:rPr>
        <w:t>of</w:t>
      </w:r>
      <w:r>
        <w:rPr>
          <w:spacing w:val="-3"/>
          <w:sz w:val="18"/>
          <w:vertAlign w:val="baseline"/>
        </w:rPr>
        <w:t> </w:t>
      </w:r>
      <w:r>
        <w:rPr>
          <w:sz w:val="18"/>
          <w:vertAlign w:val="baseline"/>
        </w:rPr>
        <w:t>Criminal</w:t>
      </w:r>
      <w:r>
        <w:rPr>
          <w:spacing w:val="-4"/>
          <w:sz w:val="18"/>
          <w:vertAlign w:val="baseline"/>
        </w:rPr>
        <w:t> </w:t>
      </w:r>
      <w:r>
        <w:rPr>
          <w:sz w:val="18"/>
          <w:vertAlign w:val="baseline"/>
        </w:rPr>
        <w:t>Background Checks in Employment.” SSRN Scholarly Paper. Rochester, NY (April 1, 2023). https://doi.org/10.2139/ssrn.4721988</w:t>
      </w:r>
    </w:p>
    <w:p>
      <w:pPr>
        <w:spacing w:before="0"/>
        <w:ind w:left="464" w:right="644" w:firstLine="0"/>
        <w:jc w:val="both"/>
        <w:rPr>
          <w:sz w:val="18"/>
        </w:rPr>
      </w:pPr>
      <w:bookmarkStart w:name="_bookmark610" w:id="905"/>
      <w:bookmarkEnd w:id="905"/>
      <w:r>
        <w:rPr/>
      </w:r>
      <w:r>
        <w:rPr>
          <w:sz w:val="18"/>
          <w:vertAlign w:val="superscript"/>
        </w:rPr>
        <w:t>56</w:t>
      </w:r>
      <w:r>
        <w:rPr>
          <w:spacing w:val="-2"/>
          <w:sz w:val="18"/>
          <w:vertAlign w:val="baseline"/>
        </w:rPr>
        <w:t> </w:t>
      </w:r>
      <w:r>
        <w:rPr>
          <w:sz w:val="18"/>
          <w:vertAlign w:val="baseline"/>
        </w:rPr>
        <w:t>McKim,</w:t>
      </w:r>
      <w:r>
        <w:rPr>
          <w:spacing w:val="-3"/>
          <w:sz w:val="18"/>
          <w:vertAlign w:val="baseline"/>
        </w:rPr>
        <w:t> </w:t>
      </w:r>
      <w:r>
        <w:rPr>
          <w:sz w:val="18"/>
          <w:vertAlign w:val="baseline"/>
        </w:rPr>
        <w:t>Jenifer</w:t>
      </w:r>
      <w:r>
        <w:rPr>
          <w:spacing w:val="-3"/>
          <w:sz w:val="18"/>
          <w:vertAlign w:val="baseline"/>
        </w:rPr>
        <w:t> </w:t>
      </w:r>
      <w:r>
        <w:rPr>
          <w:sz w:val="18"/>
          <w:vertAlign w:val="baseline"/>
        </w:rPr>
        <w:t>B.</w:t>
      </w:r>
      <w:r>
        <w:rPr>
          <w:spacing w:val="-2"/>
          <w:sz w:val="18"/>
          <w:vertAlign w:val="baseline"/>
        </w:rPr>
        <w:t> </w:t>
      </w:r>
      <w:r>
        <w:rPr>
          <w:sz w:val="18"/>
          <w:vertAlign w:val="baseline"/>
        </w:rPr>
        <w:t>“Five</w:t>
      </w:r>
      <w:r>
        <w:rPr>
          <w:spacing w:val="-2"/>
          <w:sz w:val="18"/>
          <w:vertAlign w:val="baseline"/>
        </w:rPr>
        <w:t> </w:t>
      </w:r>
      <w:r>
        <w:rPr>
          <w:sz w:val="18"/>
          <w:vertAlign w:val="baseline"/>
        </w:rPr>
        <w:t>Years</w:t>
      </w:r>
      <w:r>
        <w:rPr>
          <w:spacing w:val="-2"/>
          <w:sz w:val="18"/>
          <w:vertAlign w:val="baseline"/>
        </w:rPr>
        <w:t> </w:t>
      </w:r>
      <w:r>
        <w:rPr>
          <w:sz w:val="18"/>
          <w:vertAlign w:val="baseline"/>
        </w:rPr>
        <w:t>after</w:t>
      </w:r>
      <w:r>
        <w:rPr>
          <w:spacing w:val="-3"/>
          <w:sz w:val="18"/>
          <w:vertAlign w:val="baseline"/>
        </w:rPr>
        <w:t> </w:t>
      </w:r>
      <w:r>
        <w:rPr>
          <w:sz w:val="18"/>
          <w:vertAlign w:val="baseline"/>
        </w:rPr>
        <w:t>Landmark</w:t>
      </w:r>
      <w:r>
        <w:rPr>
          <w:spacing w:val="-3"/>
          <w:sz w:val="18"/>
          <w:vertAlign w:val="baseline"/>
        </w:rPr>
        <w:t> </w:t>
      </w:r>
      <w:r>
        <w:rPr>
          <w:sz w:val="18"/>
          <w:vertAlign w:val="baseline"/>
        </w:rPr>
        <w:t>Criminal</w:t>
      </w:r>
      <w:r>
        <w:rPr>
          <w:spacing w:val="-3"/>
          <w:sz w:val="18"/>
          <w:vertAlign w:val="baseline"/>
        </w:rPr>
        <w:t> </w:t>
      </w:r>
      <w:r>
        <w:rPr>
          <w:sz w:val="18"/>
          <w:vertAlign w:val="baseline"/>
        </w:rPr>
        <w:t>Justice</w:t>
      </w:r>
      <w:r>
        <w:rPr>
          <w:spacing w:val="-2"/>
          <w:sz w:val="18"/>
          <w:vertAlign w:val="baseline"/>
        </w:rPr>
        <w:t> </w:t>
      </w:r>
      <w:r>
        <w:rPr>
          <w:sz w:val="18"/>
          <w:vertAlign w:val="baseline"/>
        </w:rPr>
        <w:t>Reform,</w:t>
      </w:r>
      <w:r>
        <w:rPr>
          <w:spacing w:val="-3"/>
          <w:sz w:val="18"/>
          <w:vertAlign w:val="baseline"/>
        </w:rPr>
        <w:t> </w:t>
      </w:r>
      <w:r>
        <w:rPr>
          <w:sz w:val="18"/>
          <w:vertAlign w:val="baseline"/>
        </w:rPr>
        <w:t>Prison</w:t>
      </w:r>
      <w:r>
        <w:rPr>
          <w:spacing w:val="-2"/>
          <w:sz w:val="18"/>
          <w:vertAlign w:val="baseline"/>
        </w:rPr>
        <w:t> </w:t>
      </w:r>
      <w:r>
        <w:rPr>
          <w:sz w:val="18"/>
          <w:vertAlign w:val="baseline"/>
        </w:rPr>
        <w:t>Racial</w:t>
      </w:r>
      <w:r>
        <w:rPr>
          <w:spacing w:val="-3"/>
          <w:sz w:val="18"/>
          <w:vertAlign w:val="baseline"/>
        </w:rPr>
        <w:t> </w:t>
      </w:r>
      <w:r>
        <w:rPr>
          <w:sz w:val="18"/>
          <w:vertAlign w:val="baseline"/>
        </w:rPr>
        <w:t>Disparities</w:t>
      </w:r>
      <w:r>
        <w:rPr>
          <w:spacing w:val="-2"/>
          <w:sz w:val="18"/>
          <w:vertAlign w:val="baseline"/>
        </w:rPr>
        <w:t> </w:t>
      </w:r>
      <w:r>
        <w:rPr>
          <w:sz w:val="18"/>
          <w:vertAlign w:val="baseline"/>
        </w:rPr>
        <w:t>Widen</w:t>
      </w:r>
      <w:r>
        <w:rPr>
          <w:spacing w:val="-2"/>
          <w:sz w:val="18"/>
          <w:vertAlign w:val="baseline"/>
        </w:rPr>
        <w:t> </w:t>
      </w:r>
      <w:r>
        <w:rPr>
          <w:sz w:val="18"/>
          <w:vertAlign w:val="baseline"/>
        </w:rPr>
        <w:t>in</w:t>
      </w:r>
      <w:r>
        <w:rPr>
          <w:spacing w:val="-2"/>
          <w:sz w:val="18"/>
          <w:vertAlign w:val="baseline"/>
        </w:rPr>
        <w:t> </w:t>
      </w:r>
      <w:r>
        <w:rPr>
          <w:sz w:val="18"/>
          <w:vertAlign w:val="baseline"/>
        </w:rPr>
        <w:t>Mass.”</w:t>
      </w:r>
      <w:r>
        <w:rPr>
          <w:spacing w:val="-2"/>
          <w:sz w:val="18"/>
          <w:vertAlign w:val="baseline"/>
        </w:rPr>
        <w:t> </w:t>
      </w:r>
      <w:r>
        <w:rPr>
          <w:sz w:val="18"/>
          <w:vertAlign w:val="baseline"/>
        </w:rPr>
        <w:t>GBH (January</w:t>
      </w:r>
      <w:r>
        <w:rPr>
          <w:spacing w:val="-11"/>
          <w:sz w:val="18"/>
          <w:vertAlign w:val="baseline"/>
        </w:rPr>
        <w:t> </w:t>
      </w:r>
      <w:r>
        <w:rPr>
          <w:sz w:val="18"/>
          <w:vertAlign w:val="baseline"/>
        </w:rPr>
        <w:t>24,</w:t>
      </w:r>
      <w:r>
        <w:rPr>
          <w:spacing w:val="-10"/>
          <w:sz w:val="18"/>
          <w:vertAlign w:val="baseline"/>
        </w:rPr>
        <w:t> </w:t>
      </w:r>
      <w:r>
        <w:rPr>
          <w:sz w:val="18"/>
          <w:vertAlign w:val="baseline"/>
        </w:rPr>
        <w:t>2024).</w:t>
      </w:r>
      <w:r>
        <w:rPr>
          <w:spacing w:val="-10"/>
          <w:sz w:val="18"/>
          <w:vertAlign w:val="baseline"/>
        </w:rPr>
        <w:t> </w:t>
      </w:r>
      <w:r>
        <w:rPr>
          <w:sz w:val="18"/>
          <w:vertAlign w:val="baseline"/>
        </w:rPr>
        <w:t>https:</w:t>
      </w:r>
      <w:hyperlink r:id="rId685">
        <w:r>
          <w:rPr>
            <w:sz w:val="18"/>
            <w:vertAlign w:val="baseline"/>
          </w:rPr>
          <w:t>//www.wgbh.org/news/local/2024-01-24/five-years-after-landmark-criminal-justice-reform-</w:t>
        </w:r>
      </w:hyperlink>
      <w:r>
        <w:rPr>
          <w:sz w:val="18"/>
          <w:vertAlign w:val="baseline"/>
        </w:rPr>
        <w:t> </w:t>
      </w:r>
      <w:r>
        <w:rPr>
          <w:spacing w:val="-2"/>
          <w:sz w:val="18"/>
          <w:vertAlign w:val="baseline"/>
        </w:rPr>
        <w:t>prison-racial-disparities-widen-in-mass</w:t>
      </w:r>
    </w:p>
    <w:p>
      <w:pPr>
        <w:spacing w:before="0"/>
        <w:ind w:left="464" w:right="677" w:hanging="1"/>
        <w:jc w:val="both"/>
        <w:rPr>
          <w:sz w:val="18"/>
        </w:rPr>
      </w:pPr>
      <w:bookmarkStart w:name="_bookmark611" w:id="906"/>
      <w:bookmarkEnd w:id="906"/>
      <w:r>
        <w:rPr/>
      </w:r>
      <w:r>
        <w:rPr>
          <w:sz w:val="18"/>
          <w:vertAlign w:val="superscript"/>
        </w:rPr>
        <w:t>57</w:t>
      </w:r>
      <w:r>
        <w:rPr>
          <w:spacing w:val="-2"/>
          <w:sz w:val="18"/>
          <w:vertAlign w:val="baseline"/>
        </w:rPr>
        <w:t> </w:t>
      </w:r>
      <w:r>
        <w:rPr>
          <w:sz w:val="18"/>
          <w:vertAlign w:val="baseline"/>
        </w:rPr>
        <w:t>Choi,</w:t>
      </w:r>
      <w:r>
        <w:rPr>
          <w:spacing w:val="-3"/>
          <w:sz w:val="18"/>
          <w:vertAlign w:val="baseline"/>
        </w:rPr>
        <w:t> </w:t>
      </w:r>
      <w:r>
        <w:rPr>
          <w:sz w:val="18"/>
          <w:vertAlign w:val="baseline"/>
        </w:rPr>
        <w:t>Annette.</w:t>
      </w:r>
      <w:r>
        <w:rPr>
          <w:spacing w:val="-2"/>
          <w:sz w:val="18"/>
          <w:vertAlign w:val="baseline"/>
        </w:rPr>
        <w:t> </w:t>
      </w:r>
      <w:r>
        <w:rPr>
          <w:sz w:val="18"/>
          <w:vertAlign w:val="baseline"/>
        </w:rPr>
        <w:t>“Record</w:t>
      </w:r>
      <w:r>
        <w:rPr>
          <w:spacing w:val="-2"/>
          <w:sz w:val="18"/>
          <w:vertAlign w:val="baseline"/>
        </w:rPr>
        <w:t> </w:t>
      </w:r>
      <w:r>
        <w:rPr>
          <w:sz w:val="18"/>
          <w:vertAlign w:val="baseline"/>
        </w:rPr>
        <w:t>Number</w:t>
      </w:r>
      <w:r>
        <w:rPr>
          <w:spacing w:val="-3"/>
          <w:sz w:val="18"/>
          <w:vertAlign w:val="baseline"/>
        </w:rPr>
        <w:t> </w:t>
      </w:r>
      <w:r>
        <w:rPr>
          <w:sz w:val="18"/>
          <w:vertAlign w:val="baseline"/>
        </w:rPr>
        <w:t>of</w:t>
      </w:r>
      <w:r>
        <w:rPr>
          <w:spacing w:val="-2"/>
          <w:sz w:val="18"/>
          <w:vertAlign w:val="baseline"/>
        </w:rPr>
        <w:t> </w:t>
      </w:r>
      <w:r>
        <w:rPr>
          <w:sz w:val="18"/>
          <w:vertAlign w:val="baseline"/>
        </w:rPr>
        <w:t>Anti-LGBTQ</w:t>
      </w:r>
      <w:r>
        <w:rPr>
          <w:spacing w:val="-2"/>
          <w:sz w:val="18"/>
          <w:vertAlign w:val="baseline"/>
        </w:rPr>
        <w:t> </w:t>
      </w:r>
      <w:r>
        <w:rPr>
          <w:sz w:val="18"/>
          <w:vertAlign w:val="baseline"/>
        </w:rPr>
        <w:t>Bills</w:t>
      </w:r>
      <w:r>
        <w:rPr>
          <w:spacing w:val="-2"/>
          <w:sz w:val="18"/>
          <w:vertAlign w:val="baseline"/>
        </w:rPr>
        <w:t> </w:t>
      </w:r>
      <w:r>
        <w:rPr>
          <w:sz w:val="18"/>
          <w:vertAlign w:val="baseline"/>
        </w:rPr>
        <w:t>Were</w:t>
      </w:r>
      <w:r>
        <w:rPr>
          <w:spacing w:val="-2"/>
          <w:sz w:val="18"/>
          <w:vertAlign w:val="baseline"/>
        </w:rPr>
        <w:t> </w:t>
      </w:r>
      <w:r>
        <w:rPr>
          <w:sz w:val="18"/>
          <w:vertAlign w:val="baseline"/>
        </w:rPr>
        <w:t>Introduced</w:t>
      </w:r>
      <w:r>
        <w:rPr>
          <w:spacing w:val="-2"/>
          <w:sz w:val="18"/>
          <w:vertAlign w:val="baseline"/>
        </w:rPr>
        <w:t> </w:t>
      </w:r>
      <w:r>
        <w:rPr>
          <w:sz w:val="18"/>
          <w:vertAlign w:val="baseline"/>
        </w:rPr>
        <w:t>in</w:t>
      </w:r>
      <w:r>
        <w:rPr>
          <w:spacing w:val="-2"/>
          <w:sz w:val="18"/>
          <w:vertAlign w:val="baseline"/>
        </w:rPr>
        <w:t> </w:t>
      </w:r>
      <w:r>
        <w:rPr>
          <w:sz w:val="18"/>
          <w:vertAlign w:val="baseline"/>
        </w:rPr>
        <w:t>2023</w:t>
      </w:r>
      <w:r>
        <w:rPr>
          <w:spacing w:val="-2"/>
          <w:sz w:val="18"/>
          <w:vertAlign w:val="baseline"/>
        </w:rPr>
        <w:t> </w:t>
      </w:r>
      <w:r>
        <w:rPr>
          <w:sz w:val="18"/>
          <w:vertAlign w:val="baseline"/>
        </w:rPr>
        <w:t>|</w:t>
      </w:r>
      <w:r>
        <w:rPr>
          <w:spacing w:val="-2"/>
          <w:sz w:val="18"/>
          <w:vertAlign w:val="baseline"/>
        </w:rPr>
        <w:t> </w:t>
      </w:r>
      <w:r>
        <w:rPr>
          <w:sz w:val="18"/>
          <w:vertAlign w:val="baseline"/>
        </w:rPr>
        <w:t>CNN</w:t>
      </w:r>
      <w:r>
        <w:rPr>
          <w:spacing w:val="-2"/>
          <w:sz w:val="18"/>
          <w:vertAlign w:val="baseline"/>
        </w:rPr>
        <w:t> </w:t>
      </w:r>
      <w:r>
        <w:rPr>
          <w:sz w:val="18"/>
          <w:vertAlign w:val="baseline"/>
        </w:rPr>
        <w:t>Politics.”</w:t>
      </w:r>
      <w:r>
        <w:rPr>
          <w:spacing w:val="-2"/>
          <w:sz w:val="18"/>
          <w:vertAlign w:val="baseline"/>
        </w:rPr>
        <w:t> </w:t>
      </w:r>
      <w:r>
        <w:rPr>
          <w:sz w:val="18"/>
          <w:vertAlign w:val="baseline"/>
        </w:rPr>
        <w:t>CNN,</w:t>
      </w:r>
      <w:r>
        <w:rPr>
          <w:spacing w:val="-2"/>
          <w:sz w:val="18"/>
          <w:vertAlign w:val="baseline"/>
        </w:rPr>
        <w:t> </w:t>
      </w:r>
      <w:r>
        <w:rPr>
          <w:sz w:val="18"/>
          <w:vertAlign w:val="baseline"/>
        </w:rPr>
        <w:t>January</w:t>
      </w:r>
      <w:r>
        <w:rPr>
          <w:spacing w:val="-2"/>
          <w:sz w:val="18"/>
          <w:vertAlign w:val="baseline"/>
        </w:rPr>
        <w:t> </w:t>
      </w:r>
      <w:r>
        <w:rPr>
          <w:sz w:val="18"/>
          <w:vertAlign w:val="baseline"/>
        </w:rPr>
        <w:t>3,</w:t>
      </w:r>
      <w:r>
        <w:rPr>
          <w:spacing w:val="-3"/>
          <w:sz w:val="18"/>
          <w:vertAlign w:val="baseline"/>
        </w:rPr>
        <w:t> </w:t>
      </w:r>
      <w:r>
        <w:rPr>
          <w:sz w:val="18"/>
          <w:vertAlign w:val="baseline"/>
        </w:rPr>
        <w:t>2024. </w:t>
      </w:r>
      <w:r>
        <w:rPr>
          <w:spacing w:val="-2"/>
          <w:sz w:val="18"/>
          <w:vertAlign w:val="baseline"/>
        </w:rPr>
        <w:t>https:</w:t>
      </w:r>
      <w:hyperlink r:id="rId686">
        <w:r>
          <w:rPr>
            <w:spacing w:val="-2"/>
            <w:sz w:val="18"/>
            <w:vertAlign w:val="baseline"/>
          </w:rPr>
          <w:t>//www.cnn.com/politics/anti-lgbtq-plus-state-bill-rights-dg/index.html</w:t>
        </w:r>
      </w:hyperlink>
    </w:p>
    <w:p>
      <w:pPr>
        <w:spacing w:before="0"/>
        <w:ind w:left="464" w:right="215" w:hanging="1"/>
        <w:jc w:val="left"/>
        <w:rPr>
          <w:sz w:val="18"/>
        </w:rPr>
      </w:pPr>
      <w:bookmarkStart w:name="_bookmark612" w:id="907"/>
      <w:bookmarkEnd w:id="907"/>
      <w:r>
        <w:rPr/>
      </w:r>
      <w:r>
        <w:rPr>
          <w:sz w:val="18"/>
          <w:vertAlign w:val="superscript"/>
        </w:rPr>
        <w:t>58</w:t>
      </w:r>
      <w:r>
        <w:rPr>
          <w:spacing w:val="-2"/>
          <w:sz w:val="18"/>
          <w:vertAlign w:val="baseline"/>
        </w:rPr>
        <w:t> </w:t>
      </w:r>
      <w:r>
        <w:rPr>
          <w:sz w:val="18"/>
          <w:vertAlign w:val="baseline"/>
        </w:rPr>
        <w:t>Luneau,</w:t>
      </w:r>
      <w:r>
        <w:rPr>
          <w:spacing w:val="-3"/>
          <w:sz w:val="18"/>
          <w:vertAlign w:val="baseline"/>
        </w:rPr>
        <w:t> </w:t>
      </w:r>
      <w:r>
        <w:rPr>
          <w:sz w:val="18"/>
          <w:vertAlign w:val="baseline"/>
        </w:rPr>
        <w:t>Delphine.</w:t>
      </w:r>
      <w:r>
        <w:rPr>
          <w:spacing w:val="-2"/>
          <w:sz w:val="18"/>
          <w:vertAlign w:val="baseline"/>
        </w:rPr>
        <w:t> </w:t>
      </w:r>
      <w:r>
        <w:rPr>
          <w:sz w:val="18"/>
          <w:vertAlign w:val="baseline"/>
        </w:rPr>
        <w:t>“FBI’s</w:t>
      </w:r>
      <w:r>
        <w:rPr>
          <w:spacing w:val="-2"/>
          <w:sz w:val="18"/>
          <w:vertAlign w:val="baseline"/>
        </w:rPr>
        <w:t> </w:t>
      </w:r>
      <w:r>
        <w:rPr>
          <w:sz w:val="18"/>
          <w:vertAlign w:val="baseline"/>
        </w:rPr>
        <w:t>Annual</w:t>
      </w:r>
      <w:r>
        <w:rPr>
          <w:spacing w:val="-4"/>
          <w:sz w:val="18"/>
          <w:vertAlign w:val="baseline"/>
        </w:rPr>
        <w:t> </w:t>
      </w:r>
      <w:r>
        <w:rPr>
          <w:sz w:val="18"/>
          <w:vertAlign w:val="baseline"/>
        </w:rPr>
        <w:t>Crime</w:t>
      </w:r>
      <w:r>
        <w:rPr>
          <w:spacing w:val="-2"/>
          <w:sz w:val="18"/>
          <w:vertAlign w:val="baseline"/>
        </w:rPr>
        <w:t> </w:t>
      </w:r>
      <w:r>
        <w:rPr>
          <w:sz w:val="18"/>
          <w:vertAlign w:val="baseline"/>
        </w:rPr>
        <w:t>Report</w:t>
      </w:r>
      <w:r>
        <w:rPr>
          <w:spacing w:val="-3"/>
          <w:sz w:val="18"/>
          <w:vertAlign w:val="baseline"/>
        </w:rPr>
        <w:t> </w:t>
      </w:r>
      <w:r>
        <w:rPr>
          <w:sz w:val="18"/>
          <w:vertAlign w:val="baseline"/>
        </w:rPr>
        <w:t>-</w:t>
      </w:r>
      <w:r>
        <w:rPr>
          <w:spacing w:val="-2"/>
          <w:sz w:val="18"/>
          <w:vertAlign w:val="baseline"/>
        </w:rPr>
        <w:t> </w:t>
      </w:r>
      <w:r>
        <w:rPr>
          <w:sz w:val="18"/>
          <w:vertAlign w:val="baseline"/>
        </w:rPr>
        <w:t>amid</w:t>
      </w:r>
      <w:r>
        <w:rPr>
          <w:spacing w:val="-2"/>
          <w:sz w:val="18"/>
          <w:vertAlign w:val="baseline"/>
        </w:rPr>
        <w:t> </w:t>
      </w:r>
      <w:r>
        <w:rPr>
          <w:sz w:val="18"/>
          <w:vertAlign w:val="baseline"/>
        </w:rPr>
        <w:t>State</w:t>
      </w:r>
      <w:r>
        <w:rPr>
          <w:spacing w:val="-2"/>
          <w:sz w:val="18"/>
          <w:vertAlign w:val="baseline"/>
        </w:rPr>
        <w:t> </w:t>
      </w:r>
      <w:r>
        <w:rPr>
          <w:sz w:val="18"/>
          <w:vertAlign w:val="baseline"/>
        </w:rPr>
        <w:t>of</w:t>
      </w:r>
      <w:r>
        <w:rPr>
          <w:spacing w:val="-2"/>
          <w:sz w:val="18"/>
          <w:vertAlign w:val="baseline"/>
        </w:rPr>
        <w:t> </w:t>
      </w:r>
      <w:r>
        <w:rPr>
          <w:sz w:val="18"/>
          <w:vertAlign w:val="baseline"/>
        </w:rPr>
        <w:t>Emergency,</w:t>
      </w:r>
      <w:r>
        <w:rPr>
          <w:spacing w:val="-3"/>
          <w:sz w:val="18"/>
          <w:vertAlign w:val="baseline"/>
        </w:rPr>
        <w:t> </w:t>
      </w:r>
      <w:r>
        <w:rPr>
          <w:sz w:val="18"/>
          <w:vertAlign w:val="baseline"/>
        </w:rPr>
        <w:t>Anti-LGBTQ+</w:t>
      </w:r>
      <w:r>
        <w:rPr>
          <w:spacing w:val="-2"/>
          <w:sz w:val="18"/>
          <w:vertAlign w:val="baseline"/>
        </w:rPr>
        <w:t> </w:t>
      </w:r>
      <w:r>
        <w:rPr>
          <w:sz w:val="18"/>
          <w:vertAlign w:val="baseline"/>
        </w:rPr>
        <w:t>Hate</w:t>
      </w:r>
      <w:r>
        <w:rPr>
          <w:spacing w:val="-2"/>
          <w:sz w:val="18"/>
          <w:vertAlign w:val="baseline"/>
        </w:rPr>
        <w:t> </w:t>
      </w:r>
      <w:r>
        <w:rPr>
          <w:sz w:val="18"/>
          <w:vertAlign w:val="baseline"/>
        </w:rPr>
        <w:t>Crimes</w:t>
      </w:r>
      <w:r>
        <w:rPr>
          <w:spacing w:val="-2"/>
          <w:sz w:val="18"/>
          <w:vertAlign w:val="baseline"/>
        </w:rPr>
        <w:t> </w:t>
      </w:r>
      <w:r>
        <w:rPr>
          <w:sz w:val="18"/>
          <w:vertAlign w:val="baseline"/>
        </w:rPr>
        <w:t>Hit</w:t>
      </w:r>
      <w:r>
        <w:rPr>
          <w:spacing w:val="-3"/>
          <w:sz w:val="18"/>
          <w:vertAlign w:val="baseline"/>
        </w:rPr>
        <w:t> </w:t>
      </w:r>
      <w:r>
        <w:rPr>
          <w:sz w:val="18"/>
          <w:vertAlign w:val="baseline"/>
        </w:rPr>
        <w:t>Staggering</w:t>
      </w:r>
      <w:r>
        <w:rPr>
          <w:spacing w:val="-3"/>
          <w:sz w:val="18"/>
          <w:vertAlign w:val="baseline"/>
        </w:rPr>
        <w:t> </w:t>
      </w:r>
      <w:r>
        <w:rPr>
          <w:sz w:val="18"/>
          <w:vertAlign w:val="baseline"/>
        </w:rPr>
        <w:t>Record Highs.” Human Rights Campaign, Oct. 16 2023. </w:t>
      </w:r>
      <w:hyperlink r:id="rId687">
        <w:r>
          <w:rPr>
            <w:sz w:val="18"/>
            <w:vertAlign w:val="baseline"/>
          </w:rPr>
          <w:t>www.hrc.org/press-releases/fbis-annual-crime-report-amid-state-of-</w:t>
        </w:r>
      </w:hyperlink>
      <w:r>
        <w:rPr>
          <w:sz w:val="18"/>
          <w:vertAlign w:val="baseline"/>
        </w:rPr>
        <w:t> </w:t>
      </w:r>
      <w:r>
        <w:rPr>
          <w:spacing w:val="-2"/>
          <w:sz w:val="18"/>
          <w:vertAlign w:val="baseline"/>
        </w:rPr>
        <w:t>emergency-anti-lgbtq-hate-crimes-hit-staggering-record-highs</w:t>
      </w:r>
    </w:p>
    <w:p>
      <w:pPr>
        <w:spacing w:before="0"/>
        <w:ind w:left="464" w:right="462" w:hanging="1"/>
        <w:jc w:val="left"/>
        <w:rPr>
          <w:sz w:val="18"/>
        </w:rPr>
      </w:pPr>
      <w:bookmarkStart w:name="_bookmark613" w:id="908"/>
      <w:bookmarkEnd w:id="908"/>
      <w:r>
        <w:rPr/>
      </w:r>
      <w:r>
        <w:rPr>
          <w:sz w:val="18"/>
          <w:vertAlign w:val="superscript"/>
        </w:rPr>
        <w:t>59</w:t>
      </w:r>
      <w:r>
        <w:rPr>
          <w:spacing w:val="-2"/>
          <w:sz w:val="18"/>
          <w:vertAlign w:val="baseline"/>
        </w:rPr>
        <w:t> </w:t>
      </w:r>
      <w:r>
        <w:rPr>
          <w:sz w:val="18"/>
          <w:vertAlign w:val="baseline"/>
        </w:rPr>
        <w:t>James,</w:t>
      </w:r>
      <w:r>
        <w:rPr>
          <w:spacing w:val="-3"/>
          <w:sz w:val="18"/>
          <w:vertAlign w:val="baseline"/>
        </w:rPr>
        <w:t> </w:t>
      </w:r>
      <w:r>
        <w:rPr>
          <w:sz w:val="18"/>
          <w:vertAlign w:val="baseline"/>
        </w:rPr>
        <w:t>Sandy</w:t>
      </w:r>
      <w:r>
        <w:rPr>
          <w:spacing w:val="-2"/>
          <w:sz w:val="18"/>
          <w:vertAlign w:val="baseline"/>
        </w:rPr>
        <w:t> </w:t>
      </w:r>
      <w:r>
        <w:rPr>
          <w:sz w:val="18"/>
          <w:vertAlign w:val="baseline"/>
        </w:rPr>
        <w:t>E.,</w:t>
      </w:r>
      <w:r>
        <w:rPr>
          <w:spacing w:val="-3"/>
          <w:sz w:val="18"/>
          <w:vertAlign w:val="baseline"/>
        </w:rPr>
        <w:t> </w:t>
      </w:r>
      <w:r>
        <w:rPr>
          <w:sz w:val="18"/>
          <w:vertAlign w:val="baseline"/>
        </w:rPr>
        <w:t>Jody</w:t>
      </w:r>
      <w:r>
        <w:rPr>
          <w:spacing w:val="-2"/>
          <w:sz w:val="18"/>
          <w:vertAlign w:val="baseline"/>
        </w:rPr>
        <w:t> </w:t>
      </w:r>
      <w:r>
        <w:rPr>
          <w:sz w:val="18"/>
          <w:vertAlign w:val="baseline"/>
        </w:rPr>
        <w:t>L.</w:t>
      </w:r>
      <w:r>
        <w:rPr>
          <w:spacing w:val="-2"/>
          <w:sz w:val="18"/>
          <w:vertAlign w:val="baseline"/>
        </w:rPr>
        <w:t> </w:t>
      </w:r>
      <w:r>
        <w:rPr>
          <w:sz w:val="18"/>
          <w:vertAlign w:val="baseline"/>
        </w:rPr>
        <w:t>Herman,</w:t>
      </w:r>
      <w:r>
        <w:rPr>
          <w:spacing w:val="-3"/>
          <w:sz w:val="18"/>
          <w:vertAlign w:val="baseline"/>
        </w:rPr>
        <w:t> </w:t>
      </w:r>
      <w:r>
        <w:rPr>
          <w:sz w:val="18"/>
          <w:vertAlign w:val="baseline"/>
        </w:rPr>
        <w:t>Laura</w:t>
      </w:r>
      <w:r>
        <w:rPr>
          <w:spacing w:val="-2"/>
          <w:sz w:val="18"/>
          <w:vertAlign w:val="baseline"/>
        </w:rPr>
        <w:t> </w:t>
      </w:r>
      <w:r>
        <w:rPr>
          <w:sz w:val="18"/>
          <w:vertAlign w:val="baseline"/>
        </w:rPr>
        <w:t>E.</w:t>
      </w:r>
      <w:r>
        <w:rPr>
          <w:spacing w:val="-2"/>
          <w:sz w:val="18"/>
          <w:vertAlign w:val="baseline"/>
        </w:rPr>
        <w:t> </w:t>
      </w:r>
      <w:r>
        <w:rPr>
          <w:sz w:val="18"/>
          <w:vertAlign w:val="baseline"/>
        </w:rPr>
        <w:t>Durso,</w:t>
      </w:r>
      <w:r>
        <w:rPr>
          <w:spacing w:val="-2"/>
          <w:sz w:val="18"/>
          <w:vertAlign w:val="baseline"/>
        </w:rPr>
        <w:t> </w:t>
      </w:r>
      <w:r>
        <w:rPr>
          <w:sz w:val="18"/>
          <w:vertAlign w:val="baseline"/>
        </w:rPr>
        <w:t>and</w:t>
      </w:r>
      <w:r>
        <w:rPr>
          <w:spacing w:val="-2"/>
          <w:sz w:val="18"/>
          <w:vertAlign w:val="baseline"/>
        </w:rPr>
        <w:t> </w:t>
      </w:r>
      <w:r>
        <w:rPr>
          <w:sz w:val="18"/>
          <w:vertAlign w:val="baseline"/>
        </w:rPr>
        <w:t>Rodrigo</w:t>
      </w:r>
      <w:r>
        <w:rPr>
          <w:spacing w:val="-2"/>
          <w:sz w:val="18"/>
          <w:vertAlign w:val="baseline"/>
        </w:rPr>
        <w:t> </w:t>
      </w:r>
      <w:r>
        <w:rPr>
          <w:sz w:val="18"/>
          <w:vertAlign w:val="baseline"/>
        </w:rPr>
        <w:t>Heng-Lehtinen.</w:t>
      </w:r>
      <w:r>
        <w:rPr>
          <w:spacing w:val="-3"/>
          <w:sz w:val="18"/>
          <w:vertAlign w:val="baseline"/>
        </w:rPr>
        <w:t> </w:t>
      </w:r>
      <w:r>
        <w:rPr>
          <w:sz w:val="18"/>
          <w:vertAlign w:val="baseline"/>
        </w:rPr>
        <w:t>“Early</w:t>
      </w:r>
      <w:r>
        <w:rPr>
          <w:spacing w:val="-2"/>
          <w:sz w:val="18"/>
          <w:vertAlign w:val="baseline"/>
        </w:rPr>
        <w:t> </w:t>
      </w:r>
      <w:r>
        <w:rPr>
          <w:sz w:val="18"/>
          <w:vertAlign w:val="baseline"/>
        </w:rPr>
        <w:t>Insights:</w:t>
      </w:r>
      <w:r>
        <w:rPr>
          <w:spacing w:val="-2"/>
          <w:sz w:val="18"/>
          <w:vertAlign w:val="baseline"/>
        </w:rPr>
        <w:t> </w:t>
      </w:r>
      <w:r>
        <w:rPr>
          <w:sz w:val="18"/>
          <w:vertAlign w:val="baseline"/>
        </w:rPr>
        <w:t>A</w:t>
      </w:r>
      <w:r>
        <w:rPr>
          <w:spacing w:val="-2"/>
          <w:sz w:val="18"/>
          <w:vertAlign w:val="baseline"/>
        </w:rPr>
        <w:t> </w:t>
      </w:r>
      <w:r>
        <w:rPr>
          <w:sz w:val="18"/>
          <w:vertAlign w:val="baseline"/>
        </w:rPr>
        <w:t>Report</w:t>
      </w:r>
      <w:r>
        <w:rPr>
          <w:spacing w:val="-3"/>
          <w:sz w:val="18"/>
          <w:vertAlign w:val="baseline"/>
        </w:rPr>
        <w:t> </w:t>
      </w:r>
      <w:r>
        <w:rPr>
          <w:sz w:val="18"/>
          <w:vertAlign w:val="baseline"/>
        </w:rPr>
        <w:t>of</w:t>
      </w:r>
      <w:r>
        <w:rPr>
          <w:spacing w:val="-2"/>
          <w:sz w:val="18"/>
          <w:vertAlign w:val="baseline"/>
        </w:rPr>
        <w:t> </w:t>
      </w:r>
      <w:r>
        <w:rPr>
          <w:sz w:val="18"/>
          <w:vertAlign w:val="baseline"/>
        </w:rPr>
        <w:t>the</w:t>
      </w:r>
      <w:r>
        <w:rPr>
          <w:spacing w:val="-2"/>
          <w:sz w:val="18"/>
          <w:vertAlign w:val="baseline"/>
        </w:rPr>
        <w:t> </w:t>
      </w:r>
      <w:r>
        <w:rPr>
          <w:sz w:val="18"/>
          <w:vertAlign w:val="baseline"/>
        </w:rPr>
        <w:t>2022</w:t>
      </w:r>
      <w:r>
        <w:rPr>
          <w:spacing w:val="-2"/>
          <w:sz w:val="18"/>
          <w:vertAlign w:val="baseline"/>
        </w:rPr>
        <w:t> </w:t>
      </w:r>
      <w:r>
        <w:rPr>
          <w:sz w:val="18"/>
          <w:vertAlign w:val="baseline"/>
        </w:rPr>
        <w:t>U.S. Transgender Survey.” National Center for Transgender Equality (February 2024). </w:t>
      </w:r>
      <w:r>
        <w:rPr>
          <w:spacing w:val="-2"/>
          <w:sz w:val="18"/>
          <w:vertAlign w:val="baseline"/>
        </w:rPr>
        <w:t>https://transequality.org/sites/default/files/2024-02/2022%20USTS%20Early%20Insights%20Report_FINAL.pdf</w:t>
      </w:r>
    </w:p>
    <w:p>
      <w:pPr>
        <w:spacing w:before="0"/>
        <w:ind w:left="464" w:right="207" w:hanging="1"/>
        <w:jc w:val="left"/>
        <w:rPr>
          <w:sz w:val="18"/>
        </w:rPr>
      </w:pPr>
      <w:bookmarkStart w:name="_bookmark614" w:id="909"/>
      <w:bookmarkEnd w:id="909"/>
      <w:r>
        <w:rPr/>
      </w:r>
      <w:r>
        <w:rPr>
          <w:sz w:val="18"/>
          <w:vertAlign w:val="superscript"/>
        </w:rPr>
        <w:t>60</w:t>
      </w:r>
      <w:r>
        <w:rPr>
          <w:sz w:val="18"/>
          <w:vertAlign w:val="baseline"/>
        </w:rPr>
        <w:t> Migdon, Brooke. “Half of Trans People in US Have Considered Moving out of State Because of Anti-LGBTQ Laws: Survey.” The</w:t>
      </w:r>
      <w:r>
        <w:rPr>
          <w:spacing w:val="-8"/>
          <w:sz w:val="18"/>
          <w:vertAlign w:val="baseline"/>
        </w:rPr>
        <w:t> </w:t>
      </w:r>
      <w:r>
        <w:rPr>
          <w:sz w:val="18"/>
          <w:vertAlign w:val="baseline"/>
        </w:rPr>
        <w:t>Hill</w:t>
      </w:r>
      <w:r>
        <w:rPr>
          <w:spacing w:val="-8"/>
          <w:sz w:val="18"/>
          <w:vertAlign w:val="baseline"/>
        </w:rPr>
        <w:t> </w:t>
      </w:r>
      <w:r>
        <w:rPr>
          <w:sz w:val="18"/>
          <w:vertAlign w:val="baseline"/>
        </w:rPr>
        <w:t>(February</w:t>
      </w:r>
      <w:r>
        <w:rPr>
          <w:spacing w:val="-8"/>
          <w:sz w:val="18"/>
          <w:vertAlign w:val="baseline"/>
        </w:rPr>
        <w:t> </w:t>
      </w:r>
      <w:r>
        <w:rPr>
          <w:sz w:val="18"/>
          <w:vertAlign w:val="baseline"/>
        </w:rPr>
        <w:t>7,</w:t>
      </w:r>
      <w:r>
        <w:rPr>
          <w:spacing w:val="-8"/>
          <w:sz w:val="18"/>
          <w:vertAlign w:val="baseline"/>
        </w:rPr>
        <w:t> </w:t>
      </w:r>
      <w:r>
        <w:rPr>
          <w:sz w:val="18"/>
          <w:vertAlign w:val="baseline"/>
        </w:rPr>
        <w:t>2024).</w:t>
      </w:r>
      <w:r>
        <w:rPr>
          <w:spacing w:val="-8"/>
          <w:sz w:val="18"/>
          <w:vertAlign w:val="baseline"/>
        </w:rPr>
        <w:t> </w:t>
      </w:r>
      <w:r>
        <w:rPr>
          <w:sz w:val="18"/>
          <w:vertAlign w:val="baseline"/>
        </w:rPr>
        <w:t>thehill.com/policy/healthcare/4452248-half-of-trans-people-in-us-have-considered-moving-out- </w:t>
      </w:r>
      <w:r>
        <w:rPr>
          <w:spacing w:val="-2"/>
          <w:sz w:val="18"/>
          <w:vertAlign w:val="baseline"/>
        </w:rPr>
        <w:t>of-state-because-of-anti-lgbtq-laws-survey/</w:t>
      </w:r>
    </w:p>
    <w:p>
      <w:pPr>
        <w:spacing w:line="219" w:lineRule="exact" w:before="0"/>
        <w:ind w:left="464" w:right="0" w:firstLine="0"/>
        <w:jc w:val="left"/>
        <w:rPr>
          <w:sz w:val="18"/>
        </w:rPr>
      </w:pPr>
      <w:bookmarkStart w:name="_bookmark615" w:id="910"/>
      <w:bookmarkEnd w:id="910"/>
      <w:r>
        <w:rPr/>
      </w:r>
      <w:r>
        <w:rPr>
          <w:sz w:val="18"/>
          <w:vertAlign w:val="superscript"/>
        </w:rPr>
        <w:t>61</w:t>
      </w:r>
      <w:r>
        <w:rPr>
          <w:spacing w:val="-4"/>
          <w:sz w:val="18"/>
          <w:vertAlign w:val="baseline"/>
        </w:rPr>
        <w:t> </w:t>
      </w:r>
      <w:r>
        <w:rPr>
          <w:sz w:val="18"/>
          <w:vertAlign w:val="baseline"/>
        </w:rPr>
        <w:t>Trans</w:t>
      </w:r>
      <w:r>
        <w:rPr>
          <w:spacing w:val="-3"/>
          <w:sz w:val="18"/>
          <w:vertAlign w:val="baseline"/>
        </w:rPr>
        <w:t> </w:t>
      </w:r>
      <w:r>
        <w:rPr>
          <w:sz w:val="18"/>
          <w:vertAlign w:val="baseline"/>
        </w:rPr>
        <w:t>Legislation</w:t>
      </w:r>
      <w:r>
        <w:rPr>
          <w:spacing w:val="-3"/>
          <w:sz w:val="18"/>
          <w:vertAlign w:val="baseline"/>
        </w:rPr>
        <w:t> </w:t>
      </w:r>
      <w:r>
        <w:rPr>
          <w:sz w:val="18"/>
          <w:vertAlign w:val="baseline"/>
        </w:rPr>
        <w:t>Tracker.</w:t>
      </w:r>
      <w:r>
        <w:rPr>
          <w:spacing w:val="-3"/>
          <w:sz w:val="18"/>
          <w:vertAlign w:val="baseline"/>
        </w:rPr>
        <w:t> </w:t>
      </w:r>
      <w:r>
        <w:rPr>
          <w:spacing w:val="-2"/>
          <w:sz w:val="18"/>
          <w:vertAlign w:val="baseline"/>
        </w:rPr>
        <w:t>https://translegislation.com/</w:t>
      </w:r>
    </w:p>
    <w:p>
      <w:pPr>
        <w:spacing w:before="0"/>
        <w:ind w:left="464" w:right="0" w:firstLine="0"/>
        <w:jc w:val="left"/>
        <w:rPr>
          <w:sz w:val="18"/>
        </w:rPr>
      </w:pPr>
      <w:bookmarkStart w:name="_bookmark616" w:id="911"/>
      <w:bookmarkEnd w:id="911"/>
      <w:r>
        <w:rPr/>
      </w:r>
      <w:r>
        <w:rPr>
          <w:sz w:val="18"/>
          <w:vertAlign w:val="superscript"/>
        </w:rPr>
        <w:t>62</w:t>
      </w:r>
      <w:r>
        <w:rPr>
          <w:spacing w:val="-6"/>
          <w:sz w:val="18"/>
          <w:vertAlign w:val="baseline"/>
        </w:rPr>
        <w:t> </w:t>
      </w:r>
      <w:r>
        <w:rPr>
          <w:sz w:val="18"/>
          <w:vertAlign w:val="baseline"/>
        </w:rPr>
        <w:t>US</w:t>
      </w:r>
      <w:r>
        <w:rPr>
          <w:spacing w:val="-4"/>
          <w:sz w:val="18"/>
          <w:vertAlign w:val="baseline"/>
        </w:rPr>
        <w:t> </w:t>
      </w:r>
      <w:r>
        <w:rPr>
          <w:sz w:val="18"/>
          <w:vertAlign w:val="baseline"/>
        </w:rPr>
        <w:t>News.</w:t>
      </w:r>
      <w:r>
        <w:rPr>
          <w:spacing w:val="-3"/>
          <w:sz w:val="18"/>
          <w:vertAlign w:val="baseline"/>
        </w:rPr>
        <w:t> </w:t>
      </w:r>
      <w:r>
        <w:rPr>
          <w:sz w:val="18"/>
          <w:vertAlign w:val="baseline"/>
        </w:rPr>
        <w:t>“Cost</w:t>
      </w:r>
      <w:r>
        <w:rPr>
          <w:spacing w:val="-6"/>
          <w:sz w:val="18"/>
          <w:vertAlign w:val="baseline"/>
        </w:rPr>
        <w:t> </w:t>
      </w:r>
      <w:r>
        <w:rPr>
          <w:sz w:val="18"/>
          <w:vertAlign w:val="baseline"/>
        </w:rPr>
        <w:t>of</w:t>
      </w:r>
      <w:r>
        <w:rPr>
          <w:spacing w:val="-3"/>
          <w:sz w:val="18"/>
          <w:vertAlign w:val="baseline"/>
        </w:rPr>
        <w:t> </w:t>
      </w:r>
      <w:r>
        <w:rPr>
          <w:sz w:val="18"/>
          <w:vertAlign w:val="baseline"/>
        </w:rPr>
        <w:t>Living.”</w:t>
      </w:r>
      <w:r>
        <w:rPr>
          <w:spacing w:val="-4"/>
          <w:sz w:val="18"/>
          <w:vertAlign w:val="baseline"/>
        </w:rPr>
        <w:t> </w:t>
      </w:r>
      <w:r>
        <w:rPr>
          <w:sz w:val="18"/>
          <w:vertAlign w:val="baseline"/>
        </w:rPr>
        <w:t>(2023).</w:t>
      </w:r>
      <w:r>
        <w:rPr>
          <w:spacing w:val="-3"/>
          <w:sz w:val="18"/>
          <w:vertAlign w:val="baseline"/>
        </w:rPr>
        <w:t> </w:t>
      </w:r>
      <w:r>
        <w:rPr>
          <w:sz w:val="18"/>
          <w:vertAlign w:val="baseline"/>
        </w:rPr>
        <w:t>https:</w:t>
      </w:r>
      <w:hyperlink r:id="rId688">
        <w:r>
          <w:rPr>
            <w:sz w:val="18"/>
            <w:vertAlign w:val="baseline"/>
          </w:rPr>
          <w:t>//www.usnews.com/news/best-</w:t>
        </w:r>
        <w:r>
          <w:rPr>
            <w:spacing w:val="-2"/>
            <w:sz w:val="18"/>
            <w:vertAlign w:val="baseline"/>
          </w:rPr>
          <w:t>states/articles/methodology</w:t>
        </w:r>
      </w:hyperlink>
    </w:p>
    <w:p>
      <w:pPr>
        <w:spacing w:before="0"/>
        <w:ind w:left="464" w:right="2164" w:firstLine="0"/>
        <w:jc w:val="left"/>
        <w:rPr>
          <w:sz w:val="18"/>
        </w:rPr>
      </w:pPr>
      <w:bookmarkStart w:name="_bookmark617" w:id="912"/>
      <w:bookmarkEnd w:id="912"/>
      <w:r>
        <w:rPr/>
      </w:r>
      <w:r>
        <w:rPr>
          <w:sz w:val="18"/>
          <w:vertAlign w:val="superscript"/>
        </w:rPr>
        <w:t>63</w:t>
      </w:r>
      <w:r>
        <w:rPr>
          <w:spacing w:val="-3"/>
          <w:sz w:val="18"/>
          <w:vertAlign w:val="baseline"/>
        </w:rPr>
        <w:t> </w:t>
      </w:r>
      <w:r>
        <w:rPr>
          <w:sz w:val="18"/>
          <w:vertAlign w:val="baseline"/>
        </w:rPr>
        <w:t>Gabriele,</w:t>
      </w:r>
      <w:r>
        <w:rPr>
          <w:spacing w:val="-4"/>
          <w:sz w:val="18"/>
          <w:vertAlign w:val="baseline"/>
        </w:rPr>
        <w:t> </w:t>
      </w:r>
      <w:r>
        <w:rPr>
          <w:sz w:val="18"/>
          <w:vertAlign w:val="baseline"/>
        </w:rPr>
        <w:t>Rob.</w:t>
      </w:r>
      <w:r>
        <w:rPr>
          <w:spacing w:val="-3"/>
          <w:sz w:val="18"/>
          <w:vertAlign w:val="baseline"/>
        </w:rPr>
        <w:t> </w:t>
      </w:r>
      <w:r>
        <w:rPr>
          <w:sz w:val="18"/>
          <w:vertAlign w:val="baseline"/>
        </w:rPr>
        <w:t>“2023</w:t>
      </w:r>
      <w:r>
        <w:rPr>
          <w:spacing w:val="-3"/>
          <w:sz w:val="18"/>
          <w:vertAlign w:val="baseline"/>
        </w:rPr>
        <w:t> </w:t>
      </w:r>
      <w:r>
        <w:rPr>
          <w:sz w:val="18"/>
          <w:vertAlign w:val="baseline"/>
        </w:rPr>
        <w:t>LGBTQ+</w:t>
      </w:r>
      <w:r>
        <w:rPr>
          <w:spacing w:val="-3"/>
          <w:sz w:val="18"/>
          <w:vertAlign w:val="baseline"/>
        </w:rPr>
        <w:t> </w:t>
      </w:r>
      <w:r>
        <w:rPr>
          <w:sz w:val="18"/>
          <w:vertAlign w:val="baseline"/>
        </w:rPr>
        <w:t>State</w:t>
      </w:r>
      <w:r>
        <w:rPr>
          <w:spacing w:val="-3"/>
          <w:sz w:val="18"/>
          <w:vertAlign w:val="baseline"/>
        </w:rPr>
        <w:t> </w:t>
      </w:r>
      <w:r>
        <w:rPr>
          <w:sz w:val="18"/>
          <w:vertAlign w:val="baseline"/>
        </w:rPr>
        <w:t>Safety</w:t>
      </w:r>
      <w:r>
        <w:rPr>
          <w:spacing w:val="-3"/>
          <w:sz w:val="18"/>
          <w:vertAlign w:val="baseline"/>
        </w:rPr>
        <w:t> </w:t>
      </w:r>
      <w:r>
        <w:rPr>
          <w:sz w:val="18"/>
          <w:vertAlign w:val="baseline"/>
        </w:rPr>
        <w:t>Rankings.”</w:t>
      </w:r>
      <w:r>
        <w:rPr>
          <w:spacing w:val="-3"/>
          <w:sz w:val="18"/>
          <w:vertAlign w:val="baseline"/>
        </w:rPr>
        <w:t> </w:t>
      </w:r>
      <w:r>
        <w:rPr>
          <w:sz w:val="18"/>
          <w:vertAlign w:val="baseline"/>
        </w:rPr>
        <w:t>SafeHome.org.</w:t>
      </w:r>
      <w:r>
        <w:rPr>
          <w:spacing w:val="-3"/>
          <w:sz w:val="18"/>
          <w:vertAlign w:val="baseline"/>
        </w:rPr>
        <w:t> </w:t>
      </w:r>
      <w:r>
        <w:rPr>
          <w:sz w:val="18"/>
          <w:vertAlign w:val="baseline"/>
        </w:rPr>
        <w:t>Accessed</w:t>
      </w:r>
      <w:r>
        <w:rPr>
          <w:spacing w:val="-3"/>
          <w:sz w:val="18"/>
          <w:vertAlign w:val="baseline"/>
        </w:rPr>
        <w:t> </w:t>
      </w:r>
      <w:r>
        <w:rPr>
          <w:sz w:val="18"/>
          <w:vertAlign w:val="baseline"/>
        </w:rPr>
        <w:t>March</w:t>
      </w:r>
      <w:r>
        <w:rPr>
          <w:spacing w:val="-3"/>
          <w:sz w:val="18"/>
          <w:vertAlign w:val="baseline"/>
        </w:rPr>
        <w:t> </w:t>
      </w:r>
      <w:r>
        <w:rPr>
          <w:sz w:val="18"/>
          <w:vertAlign w:val="baseline"/>
        </w:rPr>
        <w:t>25,</w:t>
      </w:r>
      <w:r>
        <w:rPr>
          <w:spacing w:val="-4"/>
          <w:sz w:val="18"/>
          <w:vertAlign w:val="baseline"/>
        </w:rPr>
        <w:t> </w:t>
      </w:r>
      <w:r>
        <w:rPr>
          <w:sz w:val="18"/>
          <w:vertAlign w:val="baseline"/>
        </w:rPr>
        <w:t>2024. </w:t>
      </w:r>
      <w:r>
        <w:rPr>
          <w:spacing w:val="-2"/>
          <w:sz w:val="18"/>
          <w:vertAlign w:val="baseline"/>
        </w:rPr>
        <w:t>https:</w:t>
      </w:r>
      <w:hyperlink r:id="rId689">
        <w:r>
          <w:rPr>
            <w:spacing w:val="-2"/>
            <w:sz w:val="18"/>
            <w:vertAlign w:val="baseline"/>
          </w:rPr>
          <w:t>//www.safehome.org/data/lgbtq-state-safety-rankings/</w:t>
        </w:r>
      </w:hyperlink>
    </w:p>
    <w:p>
      <w:pPr>
        <w:spacing w:after="0"/>
        <w:jc w:val="left"/>
        <w:rPr>
          <w:sz w:val="18"/>
        </w:rPr>
        <w:sectPr>
          <w:pgSz w:w="12240" w:h="15840"/>
          <w:pgMar w:header="763" w:footer="1041" w:top="1380" w:bottom="1240" w:left="1120" w:right="1380"/>
        </w:sectPr>
      </w:pPr>
    </w:p>
    <w:p>
      <w:pPr>
        <w:pStyle w:val="BodyText"/>
        <w:spacing w:before="73"/>
        <w:rPr>
          <w:sz w:val="18"/>
        </w:rPr>
      </w:pPr>
    </w:p>
    <w:p>
      <w:pPr>
        <w:spacing w:before="0"/>
        <w:ind w:left="464" w:right="215" w:hanging="1"/>
        <w:jc w:val="left"/>
        <w:rPr>
          <w:sz w:val="18"/>
        </w:rPr>
      </w:pPr>
      <w:bookmarkStart w:name="_bookmark618" w:id="913"/>
      <w:bookmarkEnd w:id="913"/>
      <w:r>
        <w:rPr/>
      </w:r>
      <w:r>
        <w:rPr>
          <w:sz w:val="18"/>
          <w:vertAlign w:val="superscript"/>
        </w:rPr>
        <w:t>64</w:t>
      </w:r>
      <w:r>
        <w:rPr>
          <w:spacing w:val="-2"/>
          <w:sz w:val="18"/>
          <w:vertAlign w:val="baseline"/>
        </w:rPr>
        <w:t> </w:t>
      </w:r>
      <w:r>
        <w:rPr>
          <w:sz w:val="18"/>
          <w:vertAlign w:val="baseline"/>
        </w:rPr>
        <w:t>Luneau,</w:t>
      </w:r>
      <w:r>
        <w:rPr>
          <w:spacing w:val="-3"/>
          <w:sz w:val="18"/>
          <w:vertAlign w:val="baseline"/>
        </w:rPr>
        <w:t> </w:t>
      </w:r>
      <w:r>
        <w:rPr>
          <w:sz w:val="18"/>
          <w:vertAlign w:val="baseline"/>
        </w:rPr>
        <w:t>Delphine.</w:t>
      </w:r>
      <w:r>
        <w:rPr>
          <w:spacing w:val="-2"/>
          <w:sz w:val="18"/>
          <w:vertAlign w:val="baseline"/>
        </w:rPr>
        <w:t> </w:t>
      </w:r>
      <w:r>
        <w:rPr>
          <w:sz w:val="18"/>
          <w:vertAlign w:val="baseline"/>
        </w:rPr>
        <w:t>“FBI’s</w:t>
      </w:r>
      <w:r>
        <w:rPr>
          <w:spacing w:val="-2"/>
          <w:sz w:val="18"/>
          <w:vertAlign w:val="baseline"/>
        </w:rPr>
        <w:t> </w:t>
      </w:r>
      <w:r>
        <w:rPr>
          <w:sz w:val="18"/>
          <w:vertAlign w:val="baseline"/>
        </w:rPr>
        <w:t>Annual</w:t>
      </w:r>
      <w:r>
        <w:rPr>
          <w:spacing w:val="-4"/>
          <w:sz w:val="18"/>
          <w:vertAlign w:val="baseline"/>
        </w:rPr>
        <w:t> </w:t>
      </w:r>
      <w:r>
        <w:rPr>
          <w:sz w:val="18"/>
          <w:vertAlign w:val="baseline"/>
        </w:rPr>
        <w:t>Crime</w:t>
      </w:r>
      <w:r>
        <w:rPr>
          <w:spacing w:val="-2"/>
          <w:sz w:val="18"/>
          <w:vertAlign w:val="baseline"/>
        </w:rPr>
        <w:t> </w:t>
      </w:r>
      <w:r>
        <w:rPr>
          <w:sz w:val="18"/>
          <w:vertAlign w:val="baseline"/>
        </w:rPr>
        <w:t>Report</w:t>
      </w:r>
      <w:r>
        <w:rPr>
          <w:spacing w:val="-3"/>
          <w:sz w:val="18"/>
          <w:vertAlign w:val="baseline"/>
        </w:rPr>
        <w:t> </w:t>
      </w:r>
      <w:r>
        <w:rPr>
          <w:sz w:val="18"/>
          <w:vertAlign w:val="baseline"/>
        </w:rPr>
        <w:t>-</w:t>
      </w:r>
      <w:r>
        <w:rPr>
          <w:spacing w:val="-2"/>
          <w:sz w:val="18"/>
          <w:vertAlign w:val="baseline"/>
        </w:rPr>
        <w:t> </w:t>
      </w:r>
      <w:r>
        <w:rPr>
          <w:sz w:val="18"/>
          <w:vertAlign w:val="baseline"/>
        </w:rPr>
        <w:t>amid</w:t>
      </w:r>
      <w:r>
        <w:rPr>
          <w:spacing w:val="-2"/>
          <w:sz w:val="18"/>
          <w:vertAlign w:val="baseline"/>
        </w:rPr>
        <w:t> </w:t>
      </w:r>
      <w:r>
        <w:rPr>
          <w:sz w:val="18"/>
          <w:vertAlign w:val="baseline"/>
        </w:rPr>
        <w:t>State</w:t>
      </w:r>
      <w:r>
        <w:rPr>
          <w:spacing w:val="-2"/>
          <w:sz w:val="18"/>
          <w:vertAlign w:val="baseline"/>
        </w:rPr>
        <w:t> </w:t>
      </w:r>
      <w:r>
        <w:rPr>
          <w:sz w:val="18"/>
          <w:vertAlign w:val="baseline"/>
        </w:rPr>
        <w:t>of</w:t>
      </w:r>
      <w:r>
        <w:rPr>
          <w:spacing w:val="-2"/>
          <w:sz w:val="18"/>
          <w:vertAlign w:val="baseline"/>
        </w:rPr>
        <w:t> </w:t>
      </w:r>
      <w:r>
        <w:rPr>
          <w:sz w:val="18"/>
          <w:vertAlign w:val="baseline"/>
        </w:rPr>
        <w:t>Emergency,</w:t>
      </w:r>
      <w:r>
        <w:rPr>
          <w:spacing w:val="-3"/>
          <w:sz w:val="18"/>
          <w:vertAlign w:val="baseline"/>
        </w:rPr>
        <w:t> </w:t>
      </w:r>
      <w:r>
        <w:rPr>
          <w:sz w:val="18"/>
          <w:vertAlign w:val="baseline"/>
        </w:rPr>
        <w:t>Anti-LGBTQ+</w:t>
      </w:r>
      <w:r>
        <w:rPr>
          <w:spacing w:val="-2"/>
          <w:sz w:val="18"/>
          <w:vertAlign w:val="baseline"/>
        </w:rPr>
        <w:t> </w:t>
      </w:r>
      <w:r>
        <w:rPr>
          <w:sz w:val="18"/>
          <w:vertAlign w:val="baseline"/>
        </w:rPr>
        <w:t>Hate</w:t>
      </w:r>
      <w:r>
        <w:rPr>
          <w:spacing w:val="-2"/>
          <w:sz w:val="18"/>
          <w:vertAlign w:val="baseline"/>
        </w:rPr>
        <w:t> </w:t>
      </w:r>
      <w:r>
        <w:rPr>
          <w:sz w:val="18"/>
          <w:vertAlign w:val="baseline"/>
        </w:rPr>
        <w:t>Crimes</w:t>
      </w:r>
      <w:r>
        <w:rPr>
          <w:spacing w:val="-2"/>
          <w:sz w:val="18"/>
          <w:vertAlign w:val="baseline"/>
        </w:rPr>
        <w:t> </w:t>
      </w:r>
      <w:r>
        <w:rPr>
          <w:sz w:val="18"/>
          <w:vertAlign w:val="baseline"/>
        </w:rPr>
        <w:t>Hit</w:t>
      </w:r>
      <w:r>
        <w:rPr>
          <w:spacing w:val="-3"/>
          <w:sz w:val="18"/>
          <w:vertAlign w:val="baseline"/>
        </w:rPr>
        <w:t> </w:t>
      </w:r>
      <w:r>
        <w:rPr>
          <w:sz w:val="18"/>
          <w:vertAlign w:val="baseline"/>
        </w:rPr>
        <w:t>Staggering</w:t>
      </w:r>
      <w:r>
        <w:rPr>
          <w:spacing w:val="-3"/>
          <w:sz w:val="18"/>
          <w:vertAlign w:val="baseline"/>
        </w:rPr>
        <w:t> </w:t>
      </w:r>
      <w:r>
        <w:rPr>
          <w:sz w:val="18"/>
          <w:vertAlign w:val="baseline"/>
        </w:rPr>
        <w:t>Record Highs.” Human Rights Campaign, Oct. 16 2023. </w:t>
      </w:r>
      <w:hyperlink r:id="rId687">
        <w:r>
          <w:rPr>
            <w:sz w:val="18"/>
            <w:vertAlign w:val="baseline"/>
          </w:rPr>
          <w:t>www.hrc.org/press-releases/fbis-annual-crime-report-amid-state-of-</w:t>
        </w:r>
      </w:hyperlink>
      <w:r>
        <w:rPr>
          <w:sz w:val="18"/>
          <w:vertAlign w:val="baseline"/>
        </w:rPr>
        <w:t> </w:t>
      </w:r>
      <w:r>
        <w:rPr>
          <w:spacing w:val="-2"/>
          <w:sz w:val="18"/>
          <w:vertAlign w:val="baseline"/>
        </w:rPr>
        <w:t>emergency-anti-lgbtq-hate-crimes-hit-staggering-record-highs</w:t>
      </w:r>
    </w:p>
    <w:p>
      <w:pPr>
        <w:spacing w:before="0"/>
        <w:ind w:left="464" w:right="0" w:firstLine="0"/>
        <w:jc w:val="left"/>
        <w:rPr>
          <w:sz w:val="18"/>
        </w:rPr>
      </w:pPr>
      <w:bookmarkStart w:name="_bookmark619" w:id="914"/>
      <w:bookmarkEnd w:id="914"/>
      <w:r>
        <w:rPr/>
      </w:r>
      <w:r>
        <w:rPr>
          <w:sz w:val="18"/>
          <w:vertAlign w:val="superscript"/>
        </w:rPr>
        <w:t>65</w:t>
      </w:r>
      <w:r>
        <w:rPr>
          <w:spacing w:val="-2"/>
          <w:sz w:val="18"/>
          <w:vertAlign w:val="baseline"/>
        </w:rPr>
        <w:t> </w:t>
      </w:r>
      <w:r>
        <w:rPr>
          <w:sz w:val="18"/>
          <w:vertAlign w:val="baseline"/>
        </w:rPr>
        <w:t>Karedes,</w:t>
      </w:r>
      <w:r>
        <w:rPr>
          <w:spacing w:val="-3"/>
          <w:sz w:val="18"/>
          <w:vertAlign w:val="baseline"/>
        </w:rPr>
        <w:t> </w:t>
      </w:r>
      <w:r>
        <w:rPr>
          <w:sz w:val="18"/>
          <w:vertAlign w:val="baseline"/>
        </w:rPr>
        <w:t>Drew.</w:t>
      </w:r>
      <w:r>
        <w:rPr>
          <w:spacing w:val="-3"/>
          <w:sz w:val="18"/>
          <w:vertAlign w:val="baseline"/>
        </w:rPr>
        <w:t> </w:t>
      </w:r>
      <w:r>
        <w:rPr>
          <w:sz w:val="18"/>
          <w:vertAlign w:val="baseline"/>
        </w:rPr>
        <w:t>“‘I</w:t>
      </w:r>
      <w:r>
        <w:rPr>
          <w:spacing w:val="-2"/>
          <w:sz w:val="18"/>
          <w:vertAlign w:val="baseline"/>
        </w:rPr>
        <w:t> </w:t>
      </w:r>
      <w:r>
        <w:rPr>
          <w:sz w:val="18"/>
          <w:vertAlign w:val="baseline"/>
        </w:rPr>
        <w:t>Need</w:t>
      </w:r>
      <w:r>
        <w:rPr>
          <w:spacing w:val="-2"/>
          <w:sz w:val="18"/>
          <w:vertAlign w:val="baseline"/>
        </w:rPr>
        <w:t> </w:t>
      </w:r>
      <w:r>
        <w:rPr>
          <w:sz w:val="18"/>
          <w:vertAlign w:val="baseline"/>
        </w:rPr>
        <w:t>to</w:t>
      </w:r>
      <w:r>
        <w:rPr>
          <w:spacing w:val="-2"/>
          <w:sz w:val="18"/>
          <w:vertAlign w:val="baseline"/>
        </w:rPr>
        <w:t> </w:t>
      </w:r>
      <w:r>
        <w:rPr>
          <w:sz w:val="18"/>
          <w:vertAlign w:val="baseline"/>
        </w:rPr>
        <w:t>Leave!’</w:t>
      </w:r>
      <w:r>
        <w:rPr>
          <w:spacing w:val="-3"/>
          <w:sz w:val="18"/>
          <w:vertAlign w:val="baseline"/>
        </w:rPr>
        <w:t> </w:t>
      </w:r>
      <w:r>
        <w:rPr>
          <w:sz w:val="18"/>
          <w:vertAlign w:val="baseline"/>
        </w:rPr>
        <w:t>Massachusetts</w:t>
      </w:r>
      <w:r>
        <w:rPr>
          <w:spacing w:val="-2"/>
          <w:sz w:val="18"/>
          <w:vertAlign w:val="baseline"/>
        </w:rPr>
        <w:t> </w:t>
      </w:r>
      <w:r>
        <w:rPr>
          <w:sz w:val="18"/>
          <w:vertAlign w:val="baseline"/>
        </w:rPr>
        <w:t>Attracts</w:t>
      </w:r>
      <w:r>
        <w:rPr>
          <w:spacing w:val="-2"/>
          <w:sz w:val="18"/>
          <w:vertAlign w:val="baseline"/>
        </w:rPr>
        <w:t> </w:t>
      </w:r>
      <w:r>
        <w:rPr>
          <w:sz w:val="18"/>
          <w:vertAlign w:val="baseline"/>
        </w:rPr>
        <w:t>LGBTQ</w:t>
      </w:r>
      <w:r>
        <w:rPr>
          <w:spacing w:val="-2"/>
          <w:sz w:val="18"/>
          <w:vertAlign w:val="baseline"/>
        </w:rPr>
        <w:t> </w:t>
      </w:r>
      <w:r>
        <w:rPr>
          <w:sz w:val="18"/>
          <w:vertAlign w:val="baseline"/>
        </w:rPr>
        <w:t>People</w:t>
      </w:r>
      <w:r>
        <w:rPr>
          <w:spacing w:val="-2"/>
          <w:sz w:val="18"/>
          <w:vertAlign w:val="baseline"/>
        </w:rPr>
        <w:t> </w:t>
      </w:r>
      <w:r>
        <w:rPr>
          <w:sz w:val="18"/>
          <w:vertAlign w:val="baseline"/>
        </w:rPr>
        <w:t>Fleeing</w:t>
      </w:r>
      <w:r>
        <w:rPr>
          <w:spacing w:val="-2"/>
          <w:sz w:val="18"/>
          <w:vertAlign w:val="baseline"/>
        </w:rPr>
        <w:t> </w:t>
      </w:r>
      <w:r>
        <w:rPr>
          <w:sz w:val="18"/>
          <w:vertAlign w:val="baseline"/>
        </w:rPr>
        <w:t>Red</w:t>
      </w:r>
      <w:r>
        <w:rPr>
          <w:spacing w:val="-2"/>
          <w:sz w:val="18"/>
          <w:vertAlign w:val="baseline"/>
        </w:rPr>
        <w:t> </w:t>
      </w:r>
      <w:r>
        <w:rPr>
          <w:sz w:val="18"/>
          <w:vertAlign w:val="baseline"/>
        </w:rPr>
        <w:t>States.”</w:t>
      </w:r>
      <w:r>
        <w:rPr>
          <w:spacing w:val="-2"/>
          <w:sz w:val="18"/>
          <w:vertAlign w:val="baseline"/>
        </w:rPr>
        <w:t> </w:t>
      </w:r>
      <w:r>
        <w:rPr>
          <w:sz w:val="18"/>
          <w:vertAlign w:val="baseline"/>
        </w:rPr>
        <w:t>Boston</w:t>
      </w:r>
      <w:r>
        <w:rPr>
          <w:spacing w:val="-2"/>
          <w:sz w:val="18"/>
          <w:vertAlign w:val="baseline"/>
        </w:rPr>
        <w:t> </w:t>
      </w:r>
      <w:r>
        <w:rPr>
          <w:sz w:val="18"/>
          <w:vertAlign w:val="baseline"/>
        </w:rPr>
        <w:t>25</w:t>
      </w:r>
      <w:r>
        <w:rPr>
          <w:spacing w:val="-2"/>
          <w:sz w:val="18"/>
          <w:vertAlign w:val="baseline"/>
        </w:rPr>
        <w:t> </w:t>
      </w:r>
      <w:r>
        <w:rPr>
          <w:sz w:val="18"/>
          <w:vertAlign w:val="baseline"/>
        </w:rPr>
        <w:t>News</w:t>
      </w:r>
      <w:r>
        <w:rPr>
          <w:spacing w:val="-2"/>
          <w:sz w:val="18"/>
          <w:vertAlign w:val="baseline"/>
        </w:rPr>
        <w:t> </w:t>
      </w:r>
      <w:r>
        <w:rPr>
          <w:sz w:val="18"/>
          <w:vertAlign w:val="baseline"/>
        </w:rPr>
        <w:t>(June</w:t>
      </w:r>
      <w:r>
        <w:rPr>
          <w:spacing w:val="-2"/>
          <w:sz w:val="18"/>
          <w:vertAlign w:val="baseline"/>
        </w:rPr>
        <w:t> </w:t>
      </w:r>
      <w:r>
        <w:rPr>
          <w:sz w:val="18"/>
          <w:vertAlign w:val="baseline"/>
        </w:rPr>
        <w:t>30, 2023). </w:t>
      </w:r>
      <w:hyperlink r:id="rId690">
        <w:r>
          <w:rPr>
            <w:sz w:val="18"/>
            <w:vertAlign w:val="baseline"/>
          </w:rPr>
          <w:t>www.boston25news.com/news/local/i-need-leave-massachusetts-attracts-lgbtq-people-fleeing-red-</w:t>
        </w:r>
      </w:hyperlink>
      <w:r>
        <w:rPr>
          <w:sz w:val="18"/>
          <w:vertAlign w:val="baseline"/>
        </w:rPr>
        <w:t> </w:t>
      </w:r>
      <w:r>
        <w:rPr>
          <w:spacing w:val="-2"/>
          <w:sz w:val="18"/>
          <w:vertAlign w:val="baseline"/>
        </w:rPr>
        <w:t>states/EV54J53HG5CODDLW3AUQZZ3QJI/</w:t>
      </w:r>
    </w:p>
    <w:p>
      <w:pPr>
        <w:spacing w:after="0"/>
        <w:jc w:val="left"/>
        <w:rPr>
          <w:sz w:val="18"/>
        </w:rPr>
        <w:sectPr>
          <w:pgSz w:w="12240" w:h="15840"/>
          <w:pgMar w:header="763" w:footer="1041" w:top="1380" w:bottom="1240" w:left="1120" w:right="1380"/>
        </w:sectPr>
      </w:pPr>
    </w:p>
    <w:p>
      <w:pPr>
        <w:spacing w:line="400" w:lineRule="exact" w:before="94"/>
        <w:ind w:left="514" w:right="0" w:firstLine="0"/>
        <w:jc w:val="left"/>
        <w:rPr>
          <w:sz w:val="34"/>
        </w:rPr>
      </w:pPr>
      <w:bookmarkStart w:name="Flyer Template for Reports Gianna, Theo " w:id="915"/>
      <w:bookmarkEnd w:id="915"/>
      <w:r>
        <w:rPr/>
      </w:r>
      <w:r>
        <w:rPr>
          <w:color w:val="FFFFFF"/>
          <w:w w:val="120"/>
          <w:sz w:val="34"/>
        </w:rPr>
        <w:t>COMMISSION</w:t>
      </w:r>
      <w:r>
        <w:rPr>
          <w:color w:val="FFFFFF"/>
          <w:spacing w:val="17"/>
          <w:w w:val="120"/>
          <w:sz w:val="34"/>
        </w:rPr>
        <w:t> </w:t>
      </w:r>
      <w:r>
        <w:rPr>
          <w:color w:val="FFFFFF"/>
          <w:w w:val="120"/>
          <w:sz w:val="34"/>
        </w:rPr>
        <w:t>ON</w:t>
      </w:r>
      <w:r>
        <w:rPr>
          <w:color w:val="FFFFFF"/>
          <w:spacing w:val="17"/>
          <w:w w:val="120"/>
          <w:sz w:val="34"/>
        </w:rPr>
        <w:t> </w:t>
      </w:r>
      <w:r>
        <w:rPr>
          <w:color w:val="FFFFFF"/>
          <w:w w:val="120"/>
          <w:sz w:val="34"/>
        </w:rPr>
        <w:t>LGBTQ</w:t>
      </w:r>
      <w:r>
        <w:rPr>
          <w:color w:val="FFFFFF"/>
          <w:spacing w:val="17"/>
          <w:w w:val="120"/>
          <w:sz w:val="34"/>
        </w:rPr>
        <w:t> </w:t>
      </w:r>
      <w:r>
        <w:rPr>
          <w:color w:val="FFFFFF"/>
          <w:spacing w:val="-2"/>
          <w:w w:val="120"/>
          <w:sz w:val="34"/>
        </w:rPr>
        <w:t>YOUTH</w:t>
      </w:r>
    </w:p>
    <w:p>
      <w:pPr>
        <w:pStyle w:val="Heading5"/>
        <w:spacing w:line="213" w:lineRule="auto"/>
        <w:ind w:left="514" w:right="4769"/>
      </w:pPr>
      <w:r>
        <w:rPr>
          <w:color w:val="FFFFFF"/>
          <w:spacing w:val="-26"/>
        </w:rPr>
        <w:t>ECONOMIC JUSTICE</w:t>
      </w:r>
    </w:p>
    <w:p>
      <w:pPr>
        <w:pStyle w:val="BodyText"/>
        <w:rPr>
          <w:rFonts w:ascii="Verdana"/>
          <w:b/>
          <w:sz w:val="20"/>
        </w:rPr>
      </w:pPr>
    </w:p>
    <w:p>
      <w:pPr>
        <w:pStyle w:val="BodyText"/>
        <w:rPr>
          <w:rFonts w:ascii="Verdana"/>
          <w:b/>
          <w:sz w:val="20"/>
        </w:rPr>
      </w:pPr>
    </w:p>
    <w:p>
      <w:pPr>
        <w:pStyle w:val="BodyText"/>
        <w:rPr>
          <w:rFonts w:ascii="Verdana"/>
          <w:b/>
          <w:sz w:val="20"/>
        </w:rPr>
      </w:pPr>
    </w:p>
    <w:p>
      <w:pPr>
        <w:pStyle w:val="BodyText"/>
        <w:rPr>
          <w:rFonts w:ascii="Verdana"/>
          <w:b/>
          <w:sz w:val="20"/>
        </w:rPr>
      </w:pPr>
    </w:p>
    <w:p>
      <w:pPr>
        <w:pStyle w:val="BodyText"/>
        <w:rPr>
          <w:rFonts w:ascii="Verdana"/>
          <w:b/>
          <w:sz w:val="20"/>
        </w:rPr>
      </w:pPr>
    </w:p>
    <w:p>
      <w:pPr>
        <w:pStyle w:val="BodyText"/>
        <w:spacing w:before="47"/>
        <w:rPr>
          <w:rFonts w:ascii="Verdana"/>
          <w:b/>
          <w:sz w:val="20"/>
        </w:rPr>
      </w:pPr>
    </w:p>
    <w:p>
      <w:pPr>
        <w:spacing w:after="0"/>
        <w:rPr>
          <w:rFonts w:ascii="Verdana"/>
          <w:sz w:val="20"/>
        </w:rPr>
        <w:sectPr>
          <w:headerReference w:type="default" r:id="rId691"/>
          <w:footerReference w:type="default" r:id="rId692"/>
          <w:pgSz w:w="12240" w:h="15840"/>
          <w:pgMar w:header="0" w:footer="0" w:top="980" w:bottom="280" w:left="1080" w:right="1020"/>
        </w:sectPr>
      </w:pPr>
    </w:p>
    <w:p>
      <w:pPr>
        <w:pStyle w:val="Heading9"/>
        <w:ind w:left="163"/>
        <w:rPr>
          <w:i/>
        </w:rPr>
      </w:pPr>
      <w:r>
        <w:rPr>
          <w:i/>
          <w:spacing w:val="11"/>
          <w:w w:val="125"/>
        </w:rPr>
        <w:t>ABOUT</w:t>
      </w:r>
    </w:p>
    <w:p>
      <w:pPr>
        <w:spacing w:line="268" w:lineRule="auto" w:before="45"/>
        <w:ind w:left="163" w:right="38" w:firstLine="0"/>
        <w:jc w:val="both"/>
        <w:rPr>
          <w:rFonts w:ascii="Georgia"/>
          <w:sz w:val="24"/>
        </w:rPr>
      </w:pPr>
      <w:r>
        <w:rPr>
          <w:rFonts w:ascii="Georgia"/>
          <w:sz w:val="24"/>
        </w:rPr>
        <w:t>LGBTQ youth in Massachusetts face several barriers to economic success, ranging from</w:t>
      </w:r>
      <w:r>
        <w:rPr>
          <w:rFonts w:ascii="Georgia"/>
          <w:spacing w:val="80"/>
          <w:w w:val="150"/>
          <w:sz w:val="24"/>
        </w:rPr>
        <w:t> </w:t>
      </w:r>
      <w:r>
        <w:rPr>
          <w:rFonts w:ascii="Georgia"/>
          <w:sz w:val="24"/>
        </w:rPr>
        <w:t>lack of educational and career readiness resources to discrimination based on their LGBTQ identity. LGBTQ youth have diverse identities and needs that must be addressed in education to sufficiently prepare them for the </w:t>
      </w:r>
      <w:r>
        <w:rPr>
          <w:rFonts w:ascii="Georgia"/>
          <w:spacing w:val="-2"/>
          <w:sz w:val="24"/>
        </w:rPr>
        <w:t>workforce.</w:t>
      </w:r>
    </w:p>
    <w:p>
      <w:pPr>
        <w:pStyle w:val="BodyText"/>
        <w:rPr>
          <w:rFonts w:ascii="Georgia"/>
          <w:sz w:val="24"/>
        </w:rPr>
      </w:pPr>
    </w:p>
    <w:p>
      <w:pPr>
        <w:pStyle w:val="BodyText"/>
        <w:rPr>
          <w:rFonts w:ascii="Georgia"/>
          <w:sz w:val="24"/>
        </w:rPr>
      </w:pPr>
    </w:p>
    <w:p>
      <w:pPr>
        <w:pStyle w:val="BodyText"/>
        <w:rPr>
          <w:rFonts w:ascii="Georgia"/>
          <w:sz w:val="24"/>
        </w:rPr>
      </w:pPr>
    </w:p>
    <w:p>
      <w:pPr>
        <w:pStyle w:val="BodyText"/>
        <w:rPr>
          <w:rFonts w:ascii="Georgia"/>
          <w:sz w:val="24"/>
        </w:rPr>
      </w:pPr>
    </w:p>
    <w:p>
      <w:pPr>
        <w:pStyle w:val="BodyText"/>
        <w:rPr>
          <w:rFonts w:ascii="Georgia"/>
          <w:sz w:val="24"/>
        </w:rPr>
      </w:pPr>
    </w:p>
    <w:p>
      <w:pPr>
        <w:pStyle w:val="BodyText"/>
        <w:rPr>
          <w:rFonts w:ascii="Georgia"/>
          <w:sz w:val="24"/>
        </w:rPr>
      </w:pPr>
    </w:p>
    <w:p>
      <w:pPr>
        <w:pStyle w:val="BodyText"/>
        <w:spacing w:before="31"/>
        <w:rPr>
          <w:rFonts w:ascii="Georgia"/>
          <w:sz w:val="24"/>
        </w:rPr>
      </w:pPr>
    </w:p>
    <w:p>
      <w:pPr>
        <w:pStyle w:val="Heading9"/>
        <w:spacing w:before="1"/>
        <w:ind w:left="103"/>
        <w:rPr>
          <w:i/>
        </w:rPr>
      </w:pPr>
      <w:r>
        <w:rPr>
          <w:i/>
          <w:spacing w:val="13"/>
          <w:w w:val="125"/>
        </w:rPr>
        <w:t>RECOMMENDATIONS</w:t>
      </w:r>
    </w:p>
    <w:p>
      <w:pPr>
        <w:pStyle w:val="BodyText"/>
        <w:spacing w:before="4"/>
        <w:rPr>
          <w:b/>
          <w:i/>
          <w:sz w:val="34"/>
        </w:rPr>
      </w:pPr>
    </w:p>
    <w:p>
      <w:pPr>
        <w:spacing w:line="278" w:lineRule="auto" w:before="0"/>
        <w:ind w:left="1019" w:right="101" w:firstLine="0"/>
        <w:jc w:val="left"/>
        <w:rPr>
          <w:rFonts w:ascii="Georgia"/>
          <w:sz w:val="19"/>
        </w:rPr>
      </w:pPr>
      <w:r>
        <w:rPr>
          <w:rFonts w:ascii="Georgia"/>
          <w:spacing w:val="-2"/>
          <w:w w:val="105"/>
          <w:sz w:val="19"/>
        </w:rPr>
        <w:t>Improve</w:t>
      </w:r>
      <w:r>
        <w:rPr>
          <w:rFonts w:ascii="Georgia"/>
          <w:spacing w:val="-9"/>
          <w:w w:val="105"/>
          <w:sz w:val="19"/>
        </w:rPr>
        <w:t> </w:t>
      </w:r>
      <w:r>
        <w:rPr>
          <w:rFonts w:ascii="Georgia"/>
          <w:spacing w:val="-2"/>
          <w:w w:val="105"/>
          <w:sz w:val="19"/>
        </w:rPr>
        <w:t>access</w:t>
      </w:r>
      <w:r>
        <w:rPr>
          <w:rFonts w:ascii="Georgia"/>
          <w:spacing w:val="-9"/>
          <w:w w:val="105"/>
          <w:sz w:val="19"/>
        </w:rPr>
        <w:t> </w:t>
      </w:r>
      <w:r>
        <w:rPr>
          <w:rFonts w:ascii="Georgia"/>
          <w:spacing w:val="-2"/>
          <w:w w:val="105"/>
          <w:sz w:val="19"/>
        </w:rPr>
        <w:t>to</w:t>
      </w:r>
      <w:r>
        <w:rPr>
          <w:rFonts w:ascii="Georgia"/>
          <w:spacing w:val="-9"/>
          <w:w w:val="105"/>
          <w:sz w:val="19"/>
        </w:rPr>
        <w:t> </w:t>
      </w:r>
      <w:r>
        <w:rPr>
          <w:rFonts w:ascii="Georgia"/>
          <w:spacing w:val="-2"/>
          <w:w w:val="105"/>
          <w:sz w:val="19"/>
        </w:rPr>
        <w:t>LGBTQ-affirming</w:t>
      </w:r>
      <w:r>
        <w:rPr>
          <w:rFonts w:ascii="Georgia"/>
          <w:spacing w:val="-9"/>
          <w:w w:val="105"/>
          <w:sz w:val="19"/>
        </w:rPr>
        <w:t> </w:t>
      </w:r>
      <w:r>
        <w:rPr>
          <w:rFonts w:ascii="Georgia"/>
          <w:spacing w:val="-2"/>
          <w:w w:val="105"/>
          <w:sz w:val="19"/>
        </w:rPr>
        <w:t>job</w:t>
      </w:r>
      <w:r>
        <w:rPr>
          <w:rFonts w:ascii="Georgia"/>
          <w:spacing w:val="-9"/>
          <w:w w:val="105"/>
          <w:sz w:val="19"/>
        </w:rPr>
        <w:t> </w:t>
      </w:r>
      <w:r>
        <w:rPr>
          <w:rFonts w:ascii="Georgia"/>
          <w:spacing w:val="-2"/>
          <w:w w:val="105"/>
          <w:sz w:val="19"/>
        </w:rPr>
        <w:t>and </w:t>
      </w:r>
      <w:r>
        <w:rPr>
          <w:rFonts w:ascii="Georgia"/>
          <w:w w:val="105"/>
          <w:sz w:val="19"/>
        </w:rPr>
        <w:t>professional development opportunities in rural</w:t>
      </w:r>
      <w:r>
        <w:rPr>
          <w:rFonts w:ascii="Georgia"/>
          <w:spacing w:val="-3"/>
          <w:w w:val="105"/>
          <w:sz w:val="19"/>
        </w:rPr>
        <w:t> </w:t>
      </w:r>
      <w:r>
        <w:rPr>
          <w:rFonts w:ascii="Georgia"/>
          <w:w w:val="105"/>
          <w:sz w:val="19"/>
        </w:rPr>
        <w:t>areas.</w:t>
      </w:r>
    </w:p>
    <w:p>
      <w:pPr>
        <w:pStyle w:val="BodyText"/>
        <w:rPr>
          <w:rFonts w:ascii="Georgia"/>
          <w:sz w:val="19"/>
        </w:rPr>
      </w:pPr>
    </w:p>
    <w:p>
      <w:pPr>
        <w:pStyle w:val="BodyText"/>
        <w:spacing w:before="35"/>
        <w:rPr>
          <w:rFonts w:ascii="Georgia"/>
          <w:sz w:val="19"/>
        </w:rPr>
      </w:pPr>
    </w:p>
    <w:p>
      <w:pPr>
        <w:spacing w:line="278" w:lineRule="auto" w:before="0"/>
        <w:ind w:left="1019" w:right="774" w:firstLine="0"/>
        <w:jc w:val="left"/>
        <w:rPr>
          <w:rFonts w:ascii="Georgia"/>
          <w:sz w:val="19"/>
        </w:rPr>
      </w:pPr>
      <w:r>
        <w:rPr>
          <w:rFonts w:ascii="Georgia"/>
          <w:w w:val="105"/>
          <w:sz w:val="19"/>
        </w:rPr>
        <w:t>Improve</w:t>
      </w:r>
      <w:r>
        <w:rPr>
          <w:rFonts w:ascii="Georgia"/>
          <w:spacing w:val="-13"/>
          <w:w w:val="105"/>
          <w:sz w:val="19"/>
        </w:rPr>
        <w:t> </w:t>
      </w:r>
      <w:r>
        <w:rPr>
          <w:rFonts w:ascii="Georgia"/>
          <w:w w:val="105"/>
          <w:sz w:val="19"/>
        </w:rPr>
        <w:t>independent</w:t>
      </w:r>
      <w:r>
        <w:rPr>
          <w:rFonts w:ascii="Georgia"/>
          <w:spacing w:val="-12"/>
          <w:w w:val="105"/>
          <w:sz w:val="19"/>
        </w:rPr>
        <w:t> </w:t>
      </w:r>
      <w:r>
        <w:rPr>
          <w:rFonts w:ascii="Georgia"/>
          <w:w w:val="105"/>
          <w:sz w:val="19"/>
        </w:rPr>
        <w:t>living</w:t>
      </w:r>
      <w:r>
        <w:rPr>
          <w:rFonts w:ascii="Georgia"/>
          <w:spacing w:val="-12"/>
          <w:w w:val="105"/>
          <w:sz w:val="19"/>
        </w:rPr>
        <w:t> </w:t>
      </w:r>
      <w:r>
        <w:rPr>
          <w:rFonts w:ascii="Georgia"/>
          <w:w w:val="105"/>
          <w:sz w:val="19"/>
        </w:rPr>
        <w:t>support</w:t>
      </w:r>
      <w:r>
        <w:rPr>
          <w:rFonts w:ascii="Georgia"/>
          <w:spacing w:val="-12"/>
          <w:w w:val="105"/>
          <w:sz w:val="19"/>
        </w:rPr>
        <w:t> </w:t>
      </w:r>
      <w:r>
        <w:rPr>
          <w:rFonts w:ascii="Georgia"/>
          <w:w w:val="105"/>
          <w:sz w:val="19"/>
        </w:rPr>
        <w:t>for transition-age foster youth.</w:t>
      </w:r>
    </w:p>
    <w:p>
      <w:pPr>
        <w:spacing w:before="772"/>
        <w:ind w:left="1460" w:right="0" w:firstLine="0"/>
        <w:jc w:val="left"/>
        <w:rPr>
          <w:rFonts w:ascii="Verdana"/>
          <w:b/>
          <w:sz w:val="75"/>
        </w:rPr>
      </w:pPr>
      <w:r>
        <w:rPr/>
        <w:br w:type="column"/>
      </w:r>
      <w:r>
        <w:rPr>
          <w:rFonts w:ascii="Verdana"/>
          <w:b/>
          <w:emboss/>
          <w:color w:val="202E59"/>
          <w:spacing w:val="19"/>
          <w:w w:val="80"/>
          <w:sz w:val="75"/>
        </w:rPr>
        <w:t>34%</w:t>
      </w:r>
    </w:p>
    <w:p>
      <w:pPr>
        <w:spacing w:line="268" w:lineRule="auto" w:before="168"/>
        <w:ind w:left="578" w:right="502" w:firstLine="0"/>
        <w:jc w:val="center"/>
        <w:rPr>
          <w:rFonts w:ascii="Georgia"/>
          <w:sz w:val="24"/>
        </w:rPr>
      </w:pPr>
      <w:r>
        <w:rPr/>
        <mc:AlternateContent>
          <mc:Choice Requires="wps">
            <w:drawing>
              <wp:anchor distT="0" distB="0" distL="0" distR="0" allowOverlap="1" layoutInCell="1" locked="0" behindDoc="0" simplePos="0" relativeHeight="15826944">
                <wp:simplePos x="0" y="0"/>
                <wp:positionH relativeFrom="page">
                  <wp:posOffset>4356887</wp:posOffset>
                </wp:positionH>
                <wp:positionV relativeFrom="paragraph">
                  <wp:posOffset>762568</wp:posOffset>
                </wp:positionV>
                <wp:extent cx="2773680" cy="1270"/>
                <wp:effectExtent l="0" t="0" r="0" b="0"/>
                <wp:wrapNone/>
                <wp:docPr id="513" name="Graphic 513"/>
                <wp:cNvGraphicFramePr>
                  <a:graphicFrameLocks/>
                </wp:cNvGraphicFramePr>
                <a:graphic>
                  <a:graphicData uri="http://schemas.microsoft.com/office/word/2010/wordprocessingShape">
                    <wps:wsp>
                      <wps:cNvPr id="513" name="Graphic 513"/>
                      <wps:cNvSpPr/>
                      <wps:spPr>
                        <a:xfrm>
                          <a:off x="0" y="0"/>
                          <a:ext cx="2773680" cy="1270"/>
                        </a:xfrm>
                        <a:custGeom>
                          <a:avLst/>
                          <a:gdLst/>
                          <a:ahLst/>
                          <a:cxnLst/>
                          <a:rect l="l" t="t" r="r" b="b"/>
                          <a:pathLst>
                            <a:path w="2773680" h="0">
                              <a:moveTo>
                                <a:pt x="0" y="0"/>
                              </a:moveTo>
                              <a:lnTo>
                                <a:pt x="2773600" y="0"/>
                              </a:lnTo>
                            </a:path>
                          </a:pathLst>
                        </a:custGeom>
                        <a:ln w="28574">
                          <a:solidFill>
                            <a:srgbClr val="001389"/>
                          </a:solidFill>
                          <a:prstDash val="sysDash"/>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826944" from="343.062012pt,60.044785pt" to="561.455786pt,60.044785pt" stroked="true" strokeweight="2.25pt" strokecolor="#001389">
                <v:stroke dashstyle="shortdash"/>
                <w10:wrap type="none"/>
              </v:line>
            </w:pict>
          </mc:Fallback>
        </mc:AlternateContent>
      </w:r>
      <w:r>
        <w:rPr>
          <w:rFonts w:ascii="Georgia"/>
          <w:sz w:val="24"/>
        </w:rPr>
        <w:t>of trans individuals across the nation reported living in poverty in 2022</w:t>
      </w:r>
    </w:p>
    <w:p>
      <w:pPr>
        <w:pStyle w:val="BodyText"/>
        <w:spacing w:before="79"/>
        <w:rPr>
          <w:rFonts w:ascii="Georgia"/>
          <w:sz w:val="24"/>
        </w:rPr>
      </w:pPr>
    </w:p>
    <w:p>
      <w:pPr>
        <w:pStyle w:val="Heading3"/>
        <w:ind w:left="1400"/>
      </w:pPr>
      <w:r>
        <w:rPr>
          <w:emboss/>
          <w:color w:val="202E59"/>
          <w:spacing w:val="19"/>
        </w:rPr>
        <w:t>3RD</w:t>
      </w:r>
    </w:p>
    <w:p>
      <w:pPr>
        <w:spacing w:line="268" w:lineRule="auto" w:before="47"/>
        <w:ind w:left="246" w:right="247" w:firstLine="0"/>
        <w:jc w:val="center"/>
        <w:rPr>
          <w:rFonts w:ascii="Georgia" w:hAnsi="Georgia"/>
          <w:sz w:val="24"/>
        </w:rPr>
      </w:pPr>
      <w:r>
        <w:rPr>
          <w:rFonts w:ascii="Georgia" w:hAnsi="Georgia"/>
          <w:sz w:val="24"/>
        </w:rPr>
        <w:t>Boston’s rental market is the third </w:t>
      </w:r>
      <w:r>
        <w:rPr>
          <w:rFonts w:ascii="Georgia" w:hAnsi="Georgia"/>
          <w:w w:val="105"/>
          <w:sz w:val="24"/>
        </w:rPr>
        <w:t>most expensive in the entire </w:t>
      </w:r>
      <w:r>
        <w:rPr>
          <w:rFonts w:ascii="Georgia" w:hAnsi="Georgia"/>
          <w:spacing w:val="-2"/>
          <w:w w:val="105"/>
          <w:sz w:val="24"/>
        </w:rPr>
        <w:t>country</w:t>
      </w:r>
    </w:p>
    <w:p>
      <w:pPr>
        <w:pStyle w:val="BodyText"/>
        <w:spacing w:before="234"/>
        <w:rPr>
          <w:rFonts w:ascii="Georgia"/>
          <w:sz w:val="24"/>
        </w:rPr>
      </w:pPr>
    </w:p>
    <w:p>
      <w:pPr>
        <w:pStyle w:val="Heading3"/>
        <w:ind w:left="1593"/>
      </w:pPr>
      <w:r>
        <w:rPr>
          <w:emboss/>
          <w:color w:val="202E59"/>
          <w:spacing w:val="19"/>
          <w:w w:val="70"/>
        </w:rPr>
        <w:t>71%</w:t>
      </w:r>
    </w:p>
    <w:p>
      <w:pPr>
        <w:spacing w:line="268" w:lineRule="auto" w:before="63"/>
        <w:ind w:left="103" w:right="103" w:hanging="1"/>
        <w:jc w:val="center"/>
        <w:rPr>
          <w:rFonts w:ascii="Georgia"/>
          <w:sz w:val="24"/>
        </w:rPr>
      </w:pPr>
      <w:r>
        <w:rPr>
          <w:rFonts w:ascii="Georgia"/>
          <w:sz w:val="24"/>
        </w:rPr>
        <w:t>of young people 18-24 in the US live with their parents rather than buying a home or renting</w:t>
      </w:r>
    </w:p>
    <w:p>
      <w:pPr>
        <w:spacing w:after="0" w:line="268" w:lineRule="auto"/>
        <w:jc w:val="center"/>
        <w:rPr>
          <w:rFonts w:ascii="Georgia"/>
          <w:sz w:val="24"/>
        </w:rPr>
        <w:sectPr>
          <w:type w:val="continuous"/>
          <w:pgSz w:w="12240" w:h="15840"/>
          <w:pgMar w:header="0" w:footer="0" w:top="1420" w:bottom="280" w:left="1080" w:right="1020"/>
          <w:cols w:num="2" w:equalWidth="0">
            <w:col w:w="5274" w:space="442"/>
            <w:col w:w="4424"/>
          </w:cols>
        </w:sectPr>
      </w:pPr>
    </w:p>
    <w:p>
      <w:pPr>
        <w:pStyle w:val="BodyText"/>
        <w:spacing w:before="151"/>
        <w:rPr>
          <w:rFonts w:ascii="Georgia"/>
          <w:sz w:val="19"/>
        </w:rPr>
      </w:pPr>
      <w:r>
        <w:rPr/>
        <mc:AlternateContent>
          <mc:Choice Requires="wps">
            <w:drawing>
              <wp:anchor distT="0" distB="0" distL="0" distR="0" allowOverlap="1" layoutInCell="1" locked="0" behindDoc="1" simplePos="0" relativeHeight="482648064">
                <wp:simplePos x="0" y="0"/>
                <wp:positionH relativeFrom="page">
                  <wp:posOffset>0</wp:posOffset>
                </wp:positionH>
                <wp:positionV relativeFrom="page">
                  <wp:posOffset>0</wp:posOffset>
                </wp:positionV>
                <wp:extent cx="7772400" cy="10058400"/>
                <wp:effectExtent l="0" t="0" r="0" b="0"/>
                <wp:wrapNone/>
                <wp:docPr id="514" name="Group 514"/>
                <wp:cNvGraphicFramePr>
                  <a:graphicFrameLocks/>
                </wp:cNvGraphicFramePr>
                <a:graphic>
                  <a:graphicData uri="http://schemas.microsoft.com/office/word/2010/wordprocessingGroup">
                    <wpg:wgp>
                      <wpg:cNvPr id="514" name="Group 514"/>
                      <wpg:cNvGrpSpPr/>
                      <wpg:grpSpPr>
                        <a:xfrm>
                          <a:off x="0" y="0"/>
                          <a:ext cx="7772400" cy="10058400"/>
                          <a:chExt cx="7772400" cy="10058400"/>
                        </a:xfrm>
                      </wpg:grpSpPr>
                      <pic:pic>
                        <pic:nvPicPr>
                          <pic:cNvPr id="515" name="Image 515"/>
                          <pic:cNvPicPr/>
                        </pic:nvPicPr>
                        <pic:blipFill>
                          <a:blip r:embed="rId693" cstate="print"/>
                          <a:stretch>
                            <a:fillRect/>
                          </a:stretch>
                        </pic:blipFill>
                        <pic:spPr>
                          <a:xfrm>
                            <a:off x="0" y="0"/>
                            <a:ext cx="7772400" cy="3022921"/>
                          </a:xfrm>
                          <a:prstGeom prst="rect">
                            <a:avLst/>
                          </a:prstGeom>
                        </pic:spPr>
                      </pic:pic>
                      <pic:pic>
                        <pic:nvPicPr>
                          <pic:cNvPr id="516" name="Image 516"/>
                          <pic:cNvPicPr/>
                        </pic:nvPicPr>
                        <pic:blipFill>
                          <a:blip r:embed="rId98" cstate="print"/>
                          <a:stretch>
                            <a:fillRect/>
                          </a:stretch>
                        </pic:blipFill>
                        <pic:spPr>
                          <a:xfrm>
                            <a:off x="4978373" y="735421"/>
                            <a:ext cx="1480888" cy="1480632"/>
                          </a:xfrm>
                          <a:prstGeom prst="rect">
                            <a:avLst/>
                          </a:prstGeom>
                        </pic:spPr>
                      </pic:pic>
                      <wps:wsp>
                        <wps:cNvPr id="517" name="Graphic 517"/>
                        <wps:cNvSpPr/>
                        <wps:spPr>
                          <a:xfrm>
                            <a:off x="4964628" y="721667"/>
                            <a:ext cx="1508125" cy="1508125"/>
                          </a:xfrm>
                          <a:custGeom>
                            <a:avLst/>
                            <a:gdLst/>
                            <a:ahLst/>
                            <a:cxnLst/>
                            <a:rect l="l" t="t" r="r" b="b"/>
                            <a:pathLst>
                              <a:path w="1508125" h="1508125">
                                <a:moveTo>
                                  <a:pt x="754061" y="1508119"/>
                                </a:moveTo>
                                <a:lnTo>
                                  <a:pt x="706443" y="1506633"/>
                                </a:lnTo>
                                <a:lnTo>
                                  <a:pt x="659603" y="1502233"/>
                                </a:lnTo>
                                <a:lnTo>
                                  <a:pt x="613628" y="1495009"/>
                                </a:lnTo>
                                <a:lnTo>
                                  <a:pt x="568609" y="1485050"/>
                                </a:lnTo>
                                <a:lnTo>
                                  <a:pt x="524634" y="1472444"/>
                                </a:lnTo>
                                <a:lnTo>
                                  <a:pt x="481792" y="1457281"/>
                                </a:lnTo>
                                <a:lnTo>
                                  <a:pt x="440173" y="1439650"/>
                                </a:lnTo>
                                <a:lnTo>
                                  <a:pt x="399864" y="1419640"/>
                                </a:lnTo>
                                <a:lnTo>
                                  <a:pt x="360956" y="1397339"/>
                                </a:lnTo>
                                <a:lnTo>
                                  <a:pt x="323537" y="1372837"/>
                                </a:lnTo>
                                <a:lnTo>
                                  <a:pt x="287696" y="1346223"/>
                                </a:lnTo>
                                <a:lnTo>
                                  <a:pt x="253523" y="1317586"/>
                                </a:lnTo>
                                <a:lnTo>
                                  <a:pt x="221106" y="1287014"/>
                                </a:lnTo>
                                <a:lnTo>
                                  <a:pt x="190534" y="1254598"/>
                                </a:lnTo>
                                <a:lnTo>
                                  <a:pt x="161896" y="1220425"/>
                                </a:lnTo>
                                <a:lnTo>
                                  <a:pt x="135282" y="1184585"/>
                                </a:lnTo>
                                <a:lnTo>
                                  <a:pt x="110780" y="1147166"/>
                                </a:lnTo>
                                <a:lnTo>
                                  <a:pt x="88479" y="1108259"/>
                                </a:lnTo>
                                <a:lnTo>
                                  <a:pt x="68468" y="1067951"/>
                                </a:lnTo>
                                <a:lnTo>
                                  <a:pt x="50770" y="1026142"/>
                                </a:lnTo>
                                <a:lnTo>
                                  <a:pt x="35669" y="983473"/>
                                </a:lnTo>
                                <a:lnTo>
                                  <a:pt x="23075" y="939517"/>
                                </a:lnTo>
                                <a:lnTo>
                                  <a:pt x="13118" y="894499"/>
                                </a:lnTo>
                                <a:lnTo>
                                  <a:pt x="5894" y="848526"/>
                                </a:lnTo>
                                <a:lnTo>
                                  <a:pt x="1491" y="801686"/>
                                </a:lnTo>
                                <a:lnTo>
                                  <a:pt x="0" y="754070"/>
                                </a:lnTo>
                                <a:lnTo>
                                  <a:pt x="1494" y="706368"/>
                                </a:lnTo>
                                <a:lnTo>
                                  <a:pt x="5906" y="659480"/>
                                </a:lnTo>
                                <a:lnTo>
                                  <a:pt x="13140" y="613502"/>
                                </a:lnTo>
                                <a:lnTo>
                                  <a:pt x="23094" y="568530"/>
                                </a:lnTo>
                                <a:lnTo>
                                  <a:pt x="35676" y="524643"/>
                                </a:lnTo>
                                <a:lnTo>
                                  <a:pt x="50851" y="481801"/>
                                </a:lnTo>
                                <a:lnTo>
                                  <a:pt x="68470" y="440181"/>
                                </a:lnTo>
                                <a:lnTo>
                                  <a:pt x="88480" y="399872"/>
                                </a:lnTo>
                                <a:lnTo>
                                  <a:pt x="110781" y="360964"/>
                                </a:lnTo>
                                <a:lnTo>
                                  <a:pt x="135284" y="323544"/>
                                </a:lnTo>
                                <a:lnTo>
                                  <a:pt x="161898" y="287703"/>
                                </a:lnTo>
                                <a:lnTo>
                                  <a:pt x="190536" y="253529"/>
                                </a:lnTo>
                                <a:lnTo>
                                  <a:pt x="221108" y="221111"/>
                                </a:lnTo>
                                <a:lnTo>
                                  <a:pt x="253526" y="190539"/>
                                </a:lnTo>
                                <a:lnTo>
                                  <a:pt x="287699" y="161901"/>
                                </a:lnTo>
                                <a:lnTo>
                                  <a:pt x="323540" y="135286"/>
                                </a:lnTo>
                                <a:lnTo>
                                  <a:pt x="360959" y="110783"/>
                                </a:lnTo>
                                <a:lnTo>
                                  <a:pt x="399867" y="88482"/>
                                </a:lnTo>
                                <a:lnTo>
                                  <a:pt x="440175" y="68471"/>
                                </a:lnTo>
                                <a:lnTo>
                                  <a:pt x="481795" y="50839"/>
                                </a:lnTo>
                                <a:lnTo>
                                  <a:pt x="524636" y="35676"/>
                                </a:lnTo>
                                <a:lnTo>
                                  <a:pt x="568611" y="23070"/>
                                </a:lnTo>
                                <a:lnTo>
                                  <a:pt x="613630" y="13110"/>
                                </a:lnTo>
                                <a:lnTo>
                                  <a:pt x="659604" y="5886"/>
                                </a:lnTo>
                                <a:lnTo>
                                  <a:pt x="706444" y="1486"/>
                                </a:lnTo>
                                <a:lnTo>
                                  <a:pt x="754061" y="0"/>
                                </a:lnTo>
                                <a:lnTo>
                                  <a:pt x="801678" y="1486"/>
                                </a:lnTo>
                                <a:lnTo>
                                  <a:pt x="848519" y="5886"/>
                                </a:lnTo>
                                <a:lnTo>
                                  <a:pt x="894494" y="13110"/>
                                </a:lnTo>
                                <a:lnTo>
                                  <a:pt x="939513" y="23070"/>
                                </a:lnTo>
                                <a:lnTo>
                                  <a:pt x="954942" y="27493"/>
                                </a:lnTo>
                                <a:lnTo>
                                  <a:pt x="754061" y="27493"/>
                                </a:lnTo>
                                <a:lnTo>
                                  <a:pt x="706360" y="29041"/>
                                </a:lnTo>
                                <a:lnTo>
                                  <a:pt x="659472" y="33622"/>
                                </a:lnTo>
                                <a:lnTo>
                                  <a:pt x="613495" y="41139"/>
                                </a:lnTo>
                                <a:lnTo>
                                  <a:pt x="568524" y="51496"/>
                                </a:lnTo>
                                <a:lnTo>
                                  <a:pt x="524656" y="64596"/>
                                </a:lnTo>
                                <a:lnTo>
                                  <a:pt x="481987" y="80342"/>
                                </a:lnTo>
                                <a:lnTo>
                                  <a:pt x="440615" y="98639"/>
                                </a:lnTo>
                                <a:lnTo>
                                  <a:pt x="400634" y="119389"/>
                                </a:lnTo>
                                <a:lnTo>
                                  <a:pt x="362143" y="142496"/>
                                </a:lnTo>
                                <a:lnTo>
                                  <a:pt x="325237" y="167865"/>
                                </a:lnTo>
                                <a:lnTo>
                                  <a:pt x="290013" y="195397"/>
                                </a:lnTo>
                                <a:lnTo>
                                  <a:pt x="256567" y="224997"/>
                                </a:lnTo>
                                <a:lnTo>
                                  <a:pt x="224996" y="256569"/>
                                </a:lnTo>
                                <a:lnTo>
                                  <a:pt x="195396" y="290015"/>
                                </a:lnTo>
                                <a:lnTo>
                                  <a:pt x="167863" y="325240"/>
                                </a:lnTo>
                                <a:lnTo>
                                  <a:pt x="142496" y="362147"/>
                                </a:lnTo>
                                <a:lnTo>
                                  <a:pt x="119388" y="400639"/>
                                </a:lnTo>
                                <a:lnTo>
                                  <a:pt x="98638" y="440619"/>
                                </a:lnTo>
                                <a:lnTo>
                                  <a:pt x="80342" y="481993"/>
                                </a:lnTo>
                                <a:lnTo>
                                  <a:pt x="64597" y="524662"/>
                                </a:lnTo>
                                <a:lnTo>
                                  <a:pt x="51475" y="568619"/>
                                </a:lnTo>
                                <a:lnTo>
                                  <a:pt x="41117" y="613638"/>
                                </a:lnTo>
                                <a:lnTo>
                                  <a:pt x="33609" y="659613"/>
                                </a:lnTo>
                                <a:lnTo>
                                  <a:pt x="29039" y="706453"/>
                                </a:lnTo>
                                <a:lnTo>
                                  <a:pt x="27493" y="754070"/>
                                </a:lnTo>
                                <a:lnTo>
                                  <a:pt x="29047" y="801771"/>
                                </a:lnTo>
                                <a:lnTo>
                                  <a:pt x="33631" y="848659"/>
                                </a:lnTo>
                                <a:lnTo>
                                  <a:pt x="41148" y="894637"/>
                                </a:lnTo>
                                <a:lnTo>
                                  <a:pt x="51502" y="939608"/>
                                </a:lnTo>
                                <a:lnTo>
                                  <a:pt x="64602" y="983492"/>
                                </a:lnTo>
                                <a:lnTo>
                                  <a:pt x="80341" y="1026142"/>
                                </a:lnTo>
                                <a:lnTo>
                                  <a:pt x="98638" y="1067517"/>
                                </a:lnTo>
                                <a:lnTo>
                                  <a:pt x="119388" y="1107497"/>
                                </a:lnTo>
                                <a:lnTo>
                                  <a:pt x="142496" y="1145988"/>
                                </a:lnTo>
                                <a:lnTo>
                                  <a:pt x="167864" y="1182894"/>
                                </a:lnTo>
                                <a:lnTo>
                                  <a:pt x="195396" y="1218118"/>
                                </a:lnTo>
                                <a:lnTo>
                                  <a:pt x="224996" y="1251564"/>
                                </a:lnTo>
                                <a:lnTo>
                                  <a:pt x="256567" y="1283135"/>
                                </a:lnTo>
                                <a:lnTo>
                                  <a:pt x="290013" y="1312734"/>
                                </a:lnTo>
                                <a:lnTo>
                                  <a:pt x="325237" y="1340266"/>
                                </a:lnTo>
                                <a:lnTo>
                                  <a:pt x="362143" y="1365634"/>
                                </a:lnTo>
                                <a:lnTo>
                                  <a:pt x="400635" y="1388741"/>
                                </a:lnTo>
                                <a:lnTo>
                                  <a:pt x="440615" y="1409491"/>
                                </a:lnTo>
                                <a:lnTo>
                                  <a:pt x="481988" y="1427787"/>
                                </a:lnTo>
                                <a:lnTo>
                                  <a:pt x="524656" y="1443533"/>
                                </a:lnTo>
                                <a:lnTo>
                                  <a:pt x="568524" y="1456632"/>
                                </a:lnTo>
                                <a:lnTo>
                                  <a:pt x="613495" y="1466989"/>
                                </a:lnTo>
                                <a:lnTo>
                                  <a:pt x="659473" y="1474506"/>
                                </a:lnTo>
                                <a:lnTo>
                                  <a:pt x="706361" y="1479087"/>
                                </a:lnTo>
                                <a:lnTo>
                                  <a:pt x="754061" y="1480635"/>
                                </a:lnTo>
                                <a:lnTo>
                                  <a:pt x="954914" y="1480635"/>
                                </a:lnTo>
                                <a:lnTo>
                                  <a:pt x="939512" y="1485050"/>
                                </a:lnTo>
                                <a:lnTo>
                                  <a:pt x="894493" y="1495009"/>
                                </a:lnTo>
                                <a:lnTo>
                                  <a:pt x="848519" y="1502233"/>
                                </a:lnTo>
                                <a:lnTo>
                                  <a:pt x="801678" y="1506633"/>
                                </a:lnTo>
                                <a:lnTo>
                                  <a:pt x="754061" y="1508119"/>
                                </a:lnTo>
                                <a:close/>
                              </a:path>
                              <a:path w="1508125" h="1508125">
                                <a:moveTo>
                                  <a:pt x="954914" y="1480635"/>
                                </a:moveTo>
                                <a:lnTo>
                                  <a:pt x="754061" y="1480635"/>
                                </a:lnTo>
                                <a:lnTo>
                                  <a:pt x="801761" y="1479087"/>
                                </a:lnTo>
                                <a:lnTo>
                                  <a:pt x="848648" y="1474506"/>
                                </a:lnTo>
                                <a:lnTo>
                                  <a:pt x="894626" y="1466989"/>
                                </a:lnTo>
                                <a:lnTo>
                                  <a:pt x="939597" y="1456632"/>
                                </a:lnTo>
                                <a:lnTo>
                                  <a:pt x="983465" y="1443532"/>
                                </a:lnTo>
                                <a:lnTo>
                                  <a:pt x="1026134" y="1427786"/>
                                </a:lnTo>
                                <a:lnTo>
                                  <a:pt x="1067507" y="1409490"/>
                                </a:lnTo>
                                <a:lnTo>
                                  <a:pt x="1107487" y="1388740"/>
                                </a:lnTo>
                                <a:lnTo>
                                  <a:pt x="1145979" y="1365633"/>
                                </a:lnTo>
                                <a:lnTo>
                                  <a:pt x="1182885" y="1340265"/>
                                </a:lnTo>
                                <a:lnTo>
                                  <a:pt x="1218110" y="1312732"/>
                                </a:lnTo>
                                <a:lnTo>
                                  <a:pt x="1251556" y="1283133"/>
                                </a:lnTo>
                                <a:lnTo>
                                  <a:pt x="1283128" y="1251562"/>
                                </a:lnTo>
                                <a:lnTo>
                                  <a:pt x="1312728" y="1218116"/>
                                </a:lnTo>
                                <a:lnTo>
                                  <a:pt x="1340261" y="1182892"/>
                                </a:lnTo>
                                <a:lnTo>
                                  <a:pt x="1365629" y="1145986"/>
                                </a:lnTo>
                                <a:lnTo>
                                  <a:pt x="1388737" y="1107494"/>
                                </a:lnTo>
                                <a:lnTo>
                                  <a:pt x="1409488" y="1067514"/>
                                </a:lnTo>
                                <a:lnTo>
                                  <a:pt x="1427785" y="1026142"/>
                                </a:lnTo>
                                <a:lnTo>
                                  <a:pt x="1443530" y="983473"/>
                                </a:lnTo>
                                <a:lnTo>
                                  <a:pt x="1456652" y="939517"/>
                                </a:lnTo>
                                <a:lnTo>
                                  <a:pt x="1467010" y="894499"/>
                                </a:lnTo>
                                <a:lnTo>
                                  <a:pt x="1474518" y="848526"/>
                                </a:lnTo>
                                <a:lnTo>
                                  <a:pt x="1479089" y="801686"/>
                                </a:lnTo>
                                <a:lnTo>
                                  <a:pt x="1480635" y="754070"/>
                                </a:lnTo>
                                <a:lnTo>
                                  <a:pt x="1479081" y="706368"/>
                                </a:lnTo>
                                <a:lnTo>
                                  <a:pt x="1474497" y="659480"/>
                                </a:lnTo>
                                <a:lnTo>
                                  <a:pt x="1466979" y="613502"/>
                                </a:lnTo>
                                <a:lnTo>
                                  <a:pt x="1456625" y="568530"/>
                                </a:lnTo>
                                <a:lnTo>
                                  <a:pt x="1443524" y="524643"/>
                                </a:lnTo>
                                <a:lnTo>
                                  <a:pt x="1427785" y="481993"/>
                                </a:lnTo>
                                <a:lnTo>
                                  <a:pt x="1409488" y="440619"/>
                                </a:lnTo>
                                <a:lnTo>
                                  <a:pt x="1388737" y="400639"/>
                                </a:lnTo>
                                <a:lnTo>
                                  <a:pt x="1365630" y="362147"/>
                                </a:lnTo>
                                <a:lnTo>
                                  <a:pt x="1340261" y="325240"/>
                                </a:lnTo>
                                <a:lnTo>
                                  <a:pt x="1312729" y="290015"/>
                                </a:lnTo>
                                <a:lnTo>
                                  <a:pt x="1283128" y="256569"/>
                                </a:lnTo>
                                <a:lnTo>
                                  <a:pt x="1251557" y="224997"/>
                                </a:lnTo>
                                <a:lnTo>
                                  <a:pt x="1218110" y="195397"/>
                                </a:lnTo>
                                <a:lnTo>
                                  <a:pt x="1182886" y="167865"/>
                                </a:lnTo>
                                <a:lnTo>
                                  <a:pt x="1145979" y="142496"/>
                                </a:lnTo>
                                <a:lnTo>
                                  <a:pt x="1107487" y="119389"/>
                                </a:lnTo>
                                <a:lnTo>
                                  <a:pt x="1067507" y="98639"/>
                                </a:lnTo>
                                <a:lnTo>
                                  <a:pt x="1026134" y="80342"/>
                                </a:lnTo>
                                <a:lnTo>
                                  <a:pt x="983465" y="64596"/>
                                </a:lnTo>
                                <a:lnTo>
                                  <a:pt x="939597" y="51496"/>
                                </a:lnTo>
                                <a:lnTo>
                                  <a:pt x="894626" y="41139"/>
                                </a:lnTo>
                                <a:lnTo>
                                  <a:pt x="848649" y="33622"/>
                                </a:lnTo>
                                <a:lnTo>
                                  <a:pt x="801762" y="29041"/>
                                </a:lnTo>
                                <a:lnTo>
                                  <a:pt x="754061" y="27493"/>
                                </a:lnTo>
                                <a:lnTo>
                                  <a:pt x="954942" y="27493"/>
                                </a:lnTo>
                                <a:lnTo>
                                  <a:pt x="1026330" y="50839"/>
                                </a:lnTo>
                                <a:lnTo>
                                  <a:pt x="1067949" y="68471"/>
                                </a:lnTo>
                                <a:lnTo>
                                  <a:pt x="1108258" y="88482"/>
                                </a:lnTo>
                                <a:lnTo>
                                  <a:pt x="1147166" y="110784"/>
                                </a:lnTo>
                                <a:lnTo>
                                  <a:pt x="1184585" y="135287"/>
                                </a:lnTo>
                                <a:lnTo>
                                  <a:pt x="1220425" y="161902"/>
                                </a:lnTo>
                                <a:lnTo>
                                  <a:pt x="1254599" y="190540"/>
                                </a:lnTo>
                                <a:lnTo>
                                  <a:pt x="1287016" y="221113"/>
                                </a:lnTo>
                                <a:lnTo>
                                  <a:pt x="1317588" y="253530"/>
                                </a:lnTo>
                                <a:lnTo>
                                  <a:pt x="1346225" y="287704"/>
                                </a:lnTo>
                                <a:lnTo>
                                  <a:pt x="1372840" y="323546"/>
                                </a:lnTo>
                                <a:lnTo>
                                  <a:pt x="1397342" y="360965"/>
                                </a:lnTo>
                                <a:lnTo>
                                  <a:pt x="1419643" y="399874"/>
                                </a:lnTo>
                                <a:lnTo>
                                  <a:pt x="1439653" y="440182"/>
                                </a:lnTo>
                                <a:lnTo>
                                  <a:pt x="1457352" y="481993"/>
                                </a:lnTo>
                                <a:lnTo>
                                  <a:pt x="1472452" y="524662"/>
                                </a:lnTo>
                                <a:lnTo>
                                  <a:pt x="1485047" y="568619"/>
                                </a:lnTo>
                                <a:lnTo>
                                  <a:pt x="1495003" y="613638"/>
                                </a:lnTo>
                                <a:lnTo>
                                  <a:pt x="1502228" y="659613"/>
                                </a:lnTo>
                                <a:lnTo>
                                  <a:pt x="1506630" y="706453"/>
                                </a:lnTo>
                                <a:lnTo>
                                  <a:pt x="1508122" y="754070"/>
                                </a:lnTo>
                                <a:lnTo>
                                  <a:pt x="1506628" y="801771"/>
                                </a:lnTo>
                                <a:lnTo>
                                  <a:pt x="1502215" y="848659"/>
                                </a:lnTo>
                                <a:lnTo>
                                  <a:pt x="1494982" y="894637"/>
                                </a:lnTo>
                                <a:lnTo>
                                  <a:pt x="1485027" y="939608"/>
                                </a:lnTo>
                                <a:lnTo>
                                  <a:pt x="1472446" y="983492"/>
                                </a:lnTo>
                                <a:lnTo>
                                  <a:pt x="1457271" y="1026333"/>
                                </a:lnTo>
                                <a:lnTo>
                                  <a:pt x="1439652" y="1067952"/>
                                </a:lnTo>
                                <a:lnTo>
                                  <a:pt x="1419642" y="1108260"/>
                                </a:lnTo>
                                <a:lnTo>
                                  <a:pt x="1397341" y="1147168"/>
                                </a:lnTo>
                                <a:lnTo>
                                  <a:pt x="1372839" y="1184586"/>
                                </a:lnTo>
                                <a:lnTo>
                                  <a:pt x="1346224" y="1220426"/>
                                </a:lnTo>
                                <a:lnTo>
                                  <a:pt x="1317587" y="1254599"/>
                                </a:lnTo>
                                <a:lnTo>
                                  <a:pt x="1287015" y="1287016"/>
                                </a:lnTo>
                                <a:lnTo>
                                  <a:pt x="1254598" y="1317587"/>
                                </a:lnTo>
                                <a:lnTo>
                                  <a:pt x="1220424" y="1346224"/>
                                </a:lnTo>
                                <a:lnTo>
                                  <a:pt x="1184584" y="1372838"/>
                                </a:lnTo>
                                <a:lnTo>
                                  <a:pt x="1147165" y="1397340"/>
                                </a:lnTo>
                                <a:lnTo>
                                  <a:pt x="1108257" y="1419641"/>
                                </a:lnTo>
                                <a:lnTo>
                                  <a:pt x="1067948" y="1439651"/>
                                </a:lnTo>
                                <a:lnTo>
                                  <a:pt x="1026329" y="1457282"/>
                                </a:lnTo>
                                <a:lnTo>
                                  <a:pt x="983487" y="1472445"/>
                                </a:lnTo>
                                <a:lnTo>
                                  <a:pt x="954914" y="1480635"/>
                                </a:lnTo>
                                <a:close/>
                              </a:path>
                            </a:pathLst>
                          </a:custGeom>
                          <a:solidFill>
                            <a:srgbClr val="FFFFFF"/>
                          </a:solidFill>
                        </wps:spPr>
                        <wps:bodyPr wrap="square" lIns="0" tIns="0" rIns="0" bIns="0" rtlCol="0">
                          <a:prstTxWarp prst="textNoShape">
                            <a:avLst/>
                          </a:prstTxWarp>
                          <a:noAutofit/>
                        </wps:bodyPr>
                      </wps:wsp>
                      <pic:pic>
                        <pic:nvPicPr>
                          <pic:cNvPr id="518" name="Image 518"/>
                          <pic:cNvPicPr/>
                        </pic:nvPicPr>
                        <pic:blipFill>
                          <a:blip r:embed="rId694" cstate="print"/>
                          <a:stretch>
                            <a:fillRect/>
                          </a:stretch>
                        </pic:blipFill>
                        <pic:spPr>
                          <a:xfrm>
                            <a:off x="655210" y="2933569"/>
                            <a:ext cx="3540309" cy="5897721"/>
                          </a:xfrm>
                          <a:prstGeom prst="rect">
                            <a:avLst/>
                          </a:prstGeom>
                        </pic:spPr>
                      </pic:pic>
                      <wps:wsp>
                        <wps:cNvPr id="519" name="Graphic 519"/>
                        <wps:cNvSpPr/>
                        <wps:spPr>
                          <a:xfrm>
                            <a:off x="4356887" y="6308688"/>
                            <a:ext cx="2773680" cy="1270"/>
                          </a:xfrm>
                          <a:custGeom>
                            <a:avLst/>
                            <a:gdLst/>
                            <a:ahLst/>
                            <a:cxnLst/>
                            <a:rect l="l" t="t" r="r" b="b"/>
                            <a:pathLst>
                              <a:path w="2773680" h="0">
                                <a:moveTo>
                                  <a:pt x="0" y="0"/>
                                </a:moveTo>
                                <a:lnTo>
                                  <a:pt x="2773600" y="0"/>
                                </a:lnTo>
                              </a:path>
                            </a:pathLst>
                          </a:custGeom>
                          <a:ln w="28574">
                            <a:solidFill>
                              <a:srgbClr val="001389"/>
                            </a:solidFill>
                            <a:prstDash val="sysDash"/>
                          </a:ln>
                        </wps:spPr>
                        <wps:bodyPr wrap="square" lIns="0" tIns="0" rIns="0" bIns="0" rtlCol="0">
                          <a:prstTxWarp prst="textNoShape">
                            <a:avLst/>
                          </a:prstTxWarp>
                          <a:noAutofit/>
                        </wps:bodyPr>
                      </wps:wsp>
                      <pic:pic>
                        <pic:nvPicPr>
                          <pic:cNvPr id="520" name="Image 520"/>
                          <pic:cNvPicPr/>
                        </pic:nvPicPr>
                        <pic:blipFill>
                          <a:blip r:embed="rId695" cstate="print"/>
                          <a:stretch>
                            <a:fillRect/>
                          </a:stretch>
                        </pic:blipFill>
                        <pic:spPr>
                          <a:xfrm>
                            <a:off x="6491609" y="3245348"/>
                            <a:ext cx="761914" cy="730249"/>
                          </a:xfrm>
                          <a:prstGeom prst="rect">
                            <a:avLst/>
                          </a:prstGeom>
                        </pic:spPr>
                      </pic:pic>
                      <pic:pic>
                        <pic:nvPicPr>
                          <pic:cNvPr id="521" name="Image 521"/>
                          <pic:cNvPicPr/>
                        </pic:nvPicPr>
                        <pic:blipFill>
                          <a:blip r:embed="rId696" cstate="print"/>
                          <a:stretch>
                            <a:fillRect/>
                          </a:stretch>
                        </pic:blipFill>
                        <pic:spPr>
                          <a:xfrm>
                            <a:off x="5333415" y="7772417"/>
                            <a:ext cx="2438984" cy="2285983"/>
                          </a:xfrm>
                          <a:prstGeom prst="rect">
                            <a:avLst/>
                          </a:prstGeom>
                        </pic:spPr>
                      </pic:pic>
                    </wpg:wgp>
                  </a:graphicData>
                </a:graphic>
              </wp:anchor>
            </w:drawing>
          </mc:Choice>
          <mc:Fallback>
            <w:pict>
              <v:group style="position:absolute;margin-left:.000059pt;margin-top:-.000053pt;width:612pt;height:792pt;mso-position-horizontal-relative:page;mso-position-vertical-relative:page;z-index:-20668416" id="docshapegroup412" coordorigin="0,0" coordsize="12240,15840">
                <v:shape style="position:absolute;left:0;top:0;width:12240;height:4761" type="#_x0000_t75" id="docshape413" stroked="false">
                  <v:imagedata r:id="rId693" o:title=""/>
                </v:shape>
                <v:shape style="position:absolute;left:7839;top:1158;width:2333;height:2332" type="#_x0000_t75" id="docshape414" stroked="false">
                  <v:imagedata r:id="rId98" o:title=""/>
                </v:shape>
                <v:shape style="position:absolute;left:7818;top:1136;width:2375;height:2375" id="docshape415" coordorigin="7818,1136" coordsize="2375,2375" path="m9006,3511l8931,3509,8857,3502,8785,3491,8714,3475,8645,3455,8577,3431,8511,3404,8448,3372,8387,3337,8328,3298,8271,3257,8218,3211,8167,3163,8118,3112,8073,3058,8031,3002,7993,2943,7958,2882,7926,2818,7898,2752,7874,2685,7855,2616,7839,2545,7828,2473,7821,2399,7818,2324,7821,2249,7828,2175,7839,2103,7855,2032,7874,1963,7898,1895,7926,1830,7958,1766,7993,1705,8031,1646,8073,1590,8118,1536,8167,1485,8218,1437,8271,1391,8328,1350,8387,1311,8448,1276,8512,1244,8577,1217,8645,1193,8714,1173,8785,1157,8857,1146,8931,1139,9006,1136,9081,1139,9155,1146,9227,1157,9298,1173,9322,1180,9006,1180,8931,1182,8857,1189,8784,1201,8714,1218,8645,1238,8577,1263,8512,1292,8449,1324,8389,1361,8330,1401,8275,1444,8222,1491,8173,1541,8126,1593,8083,1649,8043,1707,8006,1767,7974,1830,7945,1896,7920,1963,7899,2032,7883,2103,7871,2175,7864,2249,7862,2324,7864,2399,7871,2473,7883,2545,7899,2616,7920,2685,7945,2752,7974,2818,8006,2881,8043,2941,8083,2999,8126,3055,8173,3107,8222,3157,8275,3204,8330,3247,8389,3287,8449,3323,8512,3356,8577,3385,8645,3410,8714,3430,8784,3447,8857,3459,8931,3466,9006,3468,9322,3468,9298,3475,9227,3491,9155,3502,9081,3509,9006,3511xm9322,3468l9006,3468,9081,3466,9155,3459,9227,3447,9298,3430,9367,3410,9434,3385,9499,3356,9562,3323,9623,3287,9681,3247,9737,3204,9789,3157,9839,3107,9886,3055,9929,2999,9969,2941,10005,2881,10038,2818,10067,2752,10092,2685,10112,2616,10129,2545,10140,2473,10148,2399,10150,2324,10148,2249,10140,2175,10129,2103,10112,2032,10092,1963,10067,1896,10038,1830,10005,1767,9969,1707,9929,1649,9886,1593,9839,1541,9789,1491,9737,1444,9681,1401,9623,1361,9562,1324,9499,1292,9434,1263,9367,1238,9298,1218,9227,1201,9155,1189,9081,1182,9006,1180,9322,1180,9367,1193,9435,1217,9500,1244,9564,1276,9625,1311,9684,1350,9740,1391,9794,1437,9845,1485,9893,1536,9938,1590,9980,1646,10019,1705,10054,1766,10085,1830,10113,1896,10137,1963,10157,2032,10173,2103,10184,2175,10191,2249,10193,2324,10191,2399,10184,2473,10173,2545,10157,2616,10137,2685,10113,2753,10085,2818,10054,2882,10019,2943,9980,3002,9938,3058,9893,3112,9845,3163,9794,3211,9740,3257,9684,3298,9625,3337,9564,3372,9500,3404,9435,3431,9367,3455,9322,3468xe" filled="true" fillcolor="#ffffff" stroked="false">
                  <v:path arrowok="t"/>
                  <v:fill type="solid"/>
                </v:shape>
                <v:shape style="position:absolute;left:1031;top:4619;width:5576;height:9288" type="#_x0000_t75" id="docshape416" stroked="false">
                  <v:imagedata r:id="rId694" o:title=""/>
                </v:shape>
                <v:line style="position:absolute" from="6861,9935" to="11229,9935" stroked="true" strokeweight="2.25pt" strokecolor="#001389">
                  <v:stroke dashstyle="shortdash"/>
                </v:line>
                <v:shape style="position:absolute;left:10223;top:5110;width:1200;height:1150" type="#_x0000_t75" id="docshape417" stroked="false">
                  <v:imagedata r:id="rId695" o:title=""/>
                </v:shape>
                <v:shape style="position:absolute;left:8399;top:12240;width:3841;height:3600" type="#_x0000_t75" id="docshape418" stroked="false">
                  <v:imagedata r:id="rId696" o:title=""/>
                </v:shape>
                <w10:wrap type="none"/>
              </v:group>
            </w:pict>
          </mc:Fallback>
        </mc:AlternateContent>
      </w:r>
    </w:p>
    <w:p>
      <w:pPr>
        <w:spacing w:line="278" w:lineRule="auto" w:before="1"/>
        <w:ind w:left="1019" w:right="4769" w:firstLine="0"/>
        <w:jc w:val="left"/>
        <w:rPr>
          <w:rFonts w:ascii="Georgia"/>
          <w:sz w:val="19"/>
        </w:rPr>
      </w:pPr>
      <w:r>
        <w:rPr>
          <w:rFonts w:ascii="Georgia"/>
          <w:spacing w:val="-2"/>
          <w:w w:val="105"/>
          <w:sz w:val="19"/>
        </w:rPr>
        <w:t>Fund</w:t>
      </w:r>
      <w:r>
        <w:rPr>
          <w:rFonts w:ascii="Georgia"/>
          <w:spacing w:val="-3"/>
          <w:w w:val="105"/>
          <w:sz w:val="19"/>
        </w:rPr>
        <w:t> </w:t>
      </w:r>
      <w:r>
        <w:rPr>
          <w:rFonts w:ascii="Georgia"/>
          <w:spacing w:val="-2"/>
          <w:w w:val="105"/>
          <w:sz w:val="19"/>
        </w:rPr>
        <w:t>employment</w:t>
      </w:r>
      <w:r>
        <w:rPr>
          <w:rFonts w:ascii="Georgia"/>
          <w:spacing w:val="-3"/>
          <w:w w:val="105"/>
          <w:sz w:val="19"/>
        </w:rPr>
        <w:t> </w:t>
      </w:r>
      <w:r>
        <w:rPr>
          <w:rFonts w:ascii="Georgia"/>
          <w:spacing w:val="-2"/>
          <w:w w:val="105"/>
          <w:sz w:val="19"/>
        </w:rPr>
        <w:t>programming</w:t>
      </w:r>
      <w:r>
        <w:rPr>
          <w:rFonts w:ascii="Georgia"/>
          <w:spacing w:val="-3"/>
          <w:w w:val="105"/>
          <w:sz w:val="19"/>
        </w:rPr>
        <w:t> </w:t>
      </w:r>
      <w:r>
        <w:rPr>
          <w:rFonts w:ascii="Georgia"/>
          <w:spacing w:val="-2"/>
          <w:w w:val="105"/>
          <w:sz w:val="19"/>
        </w:rPr>
        <w:t>designed</w:t>
      </w:r>
      <w:r>
        <w:rPr>
          <w:rFonts w:ascii="Georgia"/>
          <w:spacing w:val="-3"/>
          <w:w w:val="105"/>
          <w:sz w:val="19"/>
        </w:rPr>
        <w:t> </w:t>
      </w:r>
      <w:r>
        <w:rPr>
          <w:rFonts w:ascii="Georgia"/>
          <w:spacing w:val="-2"/>
          <w:w w:val="105"/>
          <w:sz w:val="19"/>
        </w:rPr>
        <w:t>to </w:t>
      </w:r>
      <w:r>
        <w:rPr>
          <w:rFonts w:ascii="Georgia"/>
          <w:w w:val="105"/>
          <w:sz w:val="19"/>
        </w:rPr>
        <w:t>support LGBTQ youth experiencing </w:t>
      </w:r>
      <w:r>
        <w:rPr>
          <w:rFonts w:ascii="Georgia"/>
          <w:spacing w:val="-2"/>
          <w:w w:val="105"/>
          <w:sz w:val="19"/>
        </w:rPr>
        <w:t>homelessness.</w:t>
      </w:r>
    </w:p>
    <w:p>
      <w:pPr>
        <w:spacing w:after="0" w:line="278" w:lineRule="auto"/>
        <w:jc w:val="left"/>
        <w:rPr>
          <w:rFonts w:ascii="Georgia"/>
          <w:sz w:val="19"/>
        </w:rPr>
        <w:sectPr>
          <w:type w:val="continuous"/>
          <w:pgSz w:w="12240" w:h="15840"/>
          <w:pgMar w:header="0" w:footer="0" w:top="1420" w:bottom="280" w:left="1080" w:right="1020"/>
        </w:sectPr>
      </w:pPr>
    </w:p>
    <w:p>
      <w:pPr>
        <w:pStyle w:val="Heading7"/>
        <w:spacing w:before="338"/>
      </w:pPr>
      <w:bookmarkStart w:name="FY 2025 - EBS - Final.pdf" w:id="916"/>
      <w:bookmarkEnd w:id="916"/>
      <w:r>
        <w:rPr/>
      </w:r>
      <w:bookmarkStart w:name="_bookmark620" w:id="917"/>
      <w:bookmarkEnd w:id="917"/>
      <w:r>
        <w:rPr/>
      </w:r>
      <w:hyperlink w:history="true" w:anchor="_bookmark3">
        <w:r>
          <w:rPr>
            <w:color w:val="365F91"/>
            <w:spacing w:val="-8"/>
          </w:rPr>
          <w:t>Eliminating</w:t>
        </w:r>
        <w:r>
          <w:rPr>
            <w:color w:val="365F91"/>
            <w:spacing w:val="-15"/>
          </w:rPr>
          <w:t> </w:t>
        </w:r>
        <w:r>
          <w:rPr>
            <w:color w:val="365F91"/>
            <w:spacing w:val="-8"/>
          </w:rPr>
          <w:t>Barriers</w:t>
        </w:r>
        <w:r>
          <w:rPr>
            <w:color w:val="365F91"/>
            <w:spacing w:val="-16"/>
          </w:rPr>
          <w:t> </w:t>
        </w:r>
        <w:r>
          <w:rPr>
            <w:color w:val="365F91"/>
            <w:spacing w:val="-8"/>
          </w:rPr>
          <w:t>to</w:t>
        </w:r>
        <w:r>
          <w:rPr>
            <w:color w:val="365F91"/>
            <w:spacing w:val="-14"/>
          </w:rPr>
          <w:t> </w:t>
        </w:r>
        <w:r>
          <w:rPr>
            <w:color w:val="365F91"/>
            <w:spacing w:val="-8"/>
          </w:rPr>
          <w:t>Service</w:t>
        </w:r>
      </w:hyperlink>
    </w:p>
    <w:p>
      <w:pPr>
        <w:spacing w:before="314"/>
        <w:ind w:left="483" w:right="0" w:firstLine="0"/>
        <w:jc w:val="left"/>
        <w:rPr>
          <w:sz w:val="28"/>
        </w:rPr>
      </w:pPr>
      <w:bookmarkStart w:name="Introduction" w:id="918"/>
      <w:bookmarkEnd w:id="918"/>
      <w:r>
        <w:rPr/>
      </w:r>
      <w:r>
        <w:rPr>
          <w:color w:val="365F91"/>
          <w:spacing w:val="-2"/>
          <w:sz w:val="28"/>
        </w:rPr>
        <w:t>Introduction</w:t>
      </w:r>
    </w:p>
    <w:p>
      <w:pPr>
        <w:pStyle w:val="BodyText"/>
        <w:spacing w:before="9"/>
        <w:rPr>
          <w:sz w:val="3"/>
        </w:rPr>
      </w:pPr>
      <w:r>
        <w:rPr/>
        <mc:AlternateContent>
          <mc:Choice Requires="wps">
            <w:drawing>
              <wp:anchor distT="0" distB="0" distL="0" distR="0" allowOverlap="1" layoutInCell="1" locked="0" behindDoc="1" simplePos="0" relativeHeight="487686656">
                <wp:simplePos x="0" y="0"/>
                <wp:positionH relativeFrom="page">
                  <wp:posOffset>897636</wp:posOffset>
                </wp:positionH>
                <wp:positionV relativeFrom="paragraph">
                  <wp:posOffset>44324</wp:posOffset>
                </wp:positionV>
                <wp:extent cx="5976620" cy="6350"/>
                <wp:effectExtent l="0" t="0" r="0" b="0"/>
                <wp:wrapTopAndBottom/>
                <wp:docPr id="525" name="Graphic 525"/>
                <wp:cNvGraphicFramePr>
                  <a:graphicFrameLocks/>
                </wp:cNvGraphicFramePr>
                <a:graphic>
                  <a:graphicData uri="http://schemas.microsoft.com/office/word/2010/wordprocessingShape">
                    <wps:wsp>
                      <wps:cNvPr id="525" name="Graphic 525"/>
                      <wps:cNvSpPr/>
                      <wps:spPr>
                        <a:xfrm>
                          <a:off x="0" y="0"/>
                          <a:ext cx="5976620" cy="6350"/>
                        </a:xfrm>
                        <a:custGeom>
                          <a:avLst/>
                          <a:gdLst/>
                          <a:ahLst/>
                          <a:cxnLst/>
                          <a:rect l="l" t="t" r="r" b="b"/>
                          <a:pathLst>
                            <a:path w="5976620" h="6350">
                              <a:moveTo>
                                <a:pt x="5976366" y="0"/>
                              </a:moveTo>
                              <a:lnTo>
                                <a:pt x="0" y="0"/>
                              </a:lnTo>
                              <a:lnTo>
                                <a:pt x="0" y="6108"/>
                              </a:lnTo>
                              <a:lnTo>
                                <a:pt x="5976366" y="6108"/>
                              </a:lnTo>
                              <a:lnTo>
                                <a:pt x="5976366" y="0"/>
                              </a:lnTo>
                              <a:close/>
                            </a:path>
                          </a:pathLst>
                        </a:custGeom>
                        <a:solidFill>
                          <a:srgbClr val="4F81BC"/>
                        </a:solidFill>
                      </wps:spPr>
                      <wps:bodyPr wrap="square" lIns="0" tIns="0" rIns="0" bIns="0" rtlCol="0">
                        <a:prstTxWarp prst="textNoShape">
                          <a:avLst/>
                        </a:prstTxWarp>
                        <a:noAutofit/>
                      </wps:bodyPr>
                    </wps:wsp>
                  </a:graphicData>
                </a:graphic>
              </wp:anchor>
            </w:drawing>
          </mc:Choice>
          <mc:Fallback>
            <w:pict>
              <v:rect style="position:absolute;margin-left:70.680pt;margin-top:3.490094pt;width:470.58pt;height:.481pt;mso-position-horizontal-relative:page;mso-position-vertical-relative:paragraph;z-index:-15629824;mso-wrap-distance-left:0;mso-wrap-distance-right:0" id="docshape422" filled="true" fillcolor="#4f81bc" stroked="false">
                <v:fill type="solid"/>
                <w10:wrap type="topAndBottom"/>
              </v:rect>
            </w:pict>
          </mc:Fallback>
        </mc:AlternateContent>
      </w:r>
    </w:p>
    <w:p>
      <w:pPr>
        <w:pStyle w:val="BodyText"/>
        <w:spacing w:line="276" w:lineRule="auto" w:before="241"/>
        <w:ind w:left="483" w:right="344"/>
        <w:jc w:val="both"/>
      </w:pPr>
      <w:bookmarkStart w:name="(first published in FY 2024 Annual Recom" w:id="919"/>
      <w:bookmarkEnd w:id="919"/>
      <w:r>
        <w:rPr/>
      </w:r>
      <w:r>
        <w:rPr/>
        <w:t>(first</w:t>
      </w:r>
      <w:r>
        <w:rPr>
          <w:spacing w:val="-2"/>
        </w:rPr>
        <w:t> </w:t>
      </w:r>
      <w:r>
        <w:rPr/>
        <w:t>published</w:t>
      </w:r>
      <w:r>
        <w:rPr>
          <w:spacing w:val="-1"/>
        </w:rPr>
        <w:t> </w:t>
      </w:r>
      <w:r>
        <w:rPr/>
        <w:t>in</w:t>
      </w:r>
      <w:r>
        <w:rPr>
          <w:spacing w:val="-1"/>
        </w:rPr>
        <w:t> </w:t>
      </w:r>
      <w:r>
        <w:rPr/>
        <w:t>FY</w:t>
      </w:r>
      <w:r>
        <w:rPr>
          <w:spacing w:val="-1"/>
        </w:rPr>
        <w:t> </w:t>
      </w:r>
      <w:r>
        <w:rPr/>
        <w:t>2024 Annual Recommendations</w:t>
      </w:r>
      <w:r>
        <w:rPr>
          <w:spacing w:val="-1"/>
        </w:rPr>
        <w:t> </w:t>
      </w:r>
      <w:r>
        <w:rPr/>
        <w:t>Report, minor</w:t>
      </w:r>
      <w:r>
        <w:rPr>
          <w:spacing w:val="-1"/>
        </w:rPr>
        <w:t> </w:t>
      </w:r>
      <w:r>
        <w:rPr/>
        <w:t>updates made</w:t>
      </w:r>
      <w:r>
        <w:rPr>
          <w:spacing w:val="-1"/>
        </w:rPr>
        <w:t> </w:t>
      </w:r>
      <w:r>
        <w:rPr/>
        <w:t>to bring current</w:t>
      </w:r>
      <w:r>
        <w:rPr>
          <w:spacing w:val="-1"/>
        </w:rPr>
        <w:t> </w:t>
      </w:r>
      <w:r>
        <w:rPr/>
        <w:t>to FY </w:t>
      </w:r>
      <w:r>
        <w:rPr>
          <w:spacing w:val="-2"/>
        </w:rPr>
        <w:t>2025)</w:t>
      </w:r>
    </w:p>
    <w:p>
      <w:pPr>
        <w:spacing w:line="276" w:lineRule="auto" w:before="241"/>
        <w:ind w:left="483" w:right="341" w:firstLine="0"/>
        <w:jc w:val="both"/>
        <w:rPr>
          <w:sz w:val="21"/>
        </w:rPr>
      </w:pPr>
      <w:r>
        <w:rPr>
          <w:sz w:val="21"/>
        </w:rPr>
        <w:t>Supporting and affirming LGBTQ youth in Massachusetts requires an integrated and comprehensive effort by all state systems, leaders, educators, providers, and advocates. In the development of the Commission’s FY 2024 annual report, it noted many overarching themes of gaps in data collection, a greater need for mandatory and comprehensive trainings, and expanded policy development across the state. Throughout</w:t>
      </w:r>
      <w:r>
        <w:rPr>
          <w:spacing w:val="40"/>
          <w:sz w:val="21"/>
        </w:rPr>
        <w:t> </w:t>
      </w:r>
      <w:r>
        <w:rPr>
          <w:sz w:val="21"/>
        </w:rPr>
        <w:t>this report, the Commission has highlighted numerous areas in its core sections and below agency sections that</w:t>
      </w:r>
      <w:r>
        <w:rPr>
          <w:spacing w:val="-5"/>
          <w:sz w:val="21"/>
        </w:rPr>
        <w:t> </w:t>
      </w:r>
      <w:r>
        <w:rPr>
          <w:sz w:val="21"/>
        </w:rPr>
        <w:t>Massachusetts</w:t>
      </w:r>
      <w:r>
        <w:rPr>
          <w:spacing w:val="-7"/>
          <w:sz w:val="21"/>
        </w:rPr>
        <w:t> </w:t>
      </w:r>
      <w:r>
        <w:rPr>
          <w:sz w:val="21"/>
        </w:rPr>
        <w:t>must</w:t>
      </w:r>
      <w:r>
        <w:rPr>
          <w:spacing w:val="-4"/>
          <w:sz w:val="21"/>
        </w:rPr>
        <w:t> </w:t>
      </w:r>
      <w:r>
        <w:rPr>
          <w:sz w:val="21"/>
        </w:rPr>
        <w:t>address</w:t>
      </w:r>
      <w:r>
        <w:rPr>
          <w:spacing w:val="-7"/>
          <w:sz w:val="21"/>
        </w:rPr>
        <w:t> </w:t>
      </w:r>
      <w:r>
        <w:rPr>
          <w:sz w:val="21"/>
        </w:rPr>
        <w:t>to</w:t>
      </w:r>
      <w:r>
        <w:rPr>
          <w:spacing w:val="-4"/>
          <w:sz w:val="21"/>
        </w:rPr>
        <w:t> </w:t>
      </w:r>
      <w:r>
        <w:rPr>
          <w:sz w:val="21"/>
        </w:rPr>
        <w:t>better</w:t>
      </w:r>
      <w:r>
        <w:rPr>
          <w:spacing w:val="-4"/>
          <w:sz w:val="21"/>
        </w:rPr>
        <w:t> </w:t>
      </w:r>
      <w:r>
        <w:rPr>
          <w:sz w:val="21"/>
        </w:rPr>
        <w:t>support</w:t>
      </w:r>
      <w:r>
        <w:rPr>
          <w:spacing w:val="-5"/>
          <w:sz w:val="21"/>
        </w:rPr>
        <w:t> </w:t>
      </w:r>
      <w:r>
        <w:rPr>
          <w:sz w:val="21"/>
        </w:rPr>
        <w:t>the</w:t>
      </w:r>
      <w:r>
        <w:rPr>
          <w:spacing w:val="-5"/>
          <w:sz w:val="21"/>
        </w:rPr>
        <w:t> </w:t>
      </w:r>
      <w:r>
        <w:rPr>
          <w:sz w:val="21"/>
        </w:rPr>
        <w:t>overall</w:t>
      </w:r>
      <w:r>
        <w:rPr>
          <w:spacing w:val="-5"/>
          <w:sz w:val="21"/>
        </w:rPr>
        <w:t> </w:t>
      </w:r>
      <w:r>
        <w:rPr>
          <w:sz w:val="21"/>
        </w:rPr>
        <w:t>well-being</w:t>
      </w:r>
      <w:r>
        <w:rPr>
          <w:spacing w:val="-4"/>
          <w:sz w:val="21"/>
        </w:rPr>
        <w:t> </w:t>
      </w:r>
      <w:r>
        <w:rPr>
          <w:sz w:val="21"/>
        </w:rPr>
        <w:t>of</w:t>
      </w:r>
      <w:r>
        <w:rPr>
          <w:spacing w:val="-7"/>
          <w:sz w:val="21"/>
        </w:rPr>
        <w:t> </w:t>
      </w:r>
      <w:r>
        <w:rPr>
          <w:sz w:val="21"/>
        </w:rPr>
        <w:t>LGBTQ youth and families.</w:t>
      </w:r>
    </w:p>
    <w:p>
      <w:pPr>
        <w:spacing w:line="276" w:lineRule="auto" w:before="240"/>
        <w:ind w:left="482" w:right="340" w:firstLine="0"/>
        <w:jc w:val="both"/>
        <w:rPr>
          <w:sz w:val="21"/>
        </w:rPr>
      </w:pPr>
      <w:r>
        <w:rPr>
          <w:sz w:val="21"/>
        </w:rPr>
        <w:t>This</w:t>
      </w:r>
      <w:r>
        <w:rPr>
          <w:spacing w:val="-1"/>
          <w:sz w:val="21"/>
        </w:rPr>
        <w:t> </w:t>
      </w:r>
      <w:r>
        <w:rPr>
          <w:sz w:val="21"/>
        </w:rPr>
        <w:t>section</w:t>
      </w:r>
      <w:r>
        <w:rPr>
          <w:spacing w:val="-1"/>
          <w:sz w:val="21"/>
        </w:rPr>
        <w:t> </w:t>
      </w:r>
      <w:r>
        <w:rPr>
          <w:sz w:val="21"/>
        </w:rPr>
        <w:t>provides</w:t>
      </w:r>
      <w:r>
        <w:rPr>
          <w:spacing w:val="-1"/>
          <w:sz w:val="21"/>
        </w:rPr>
        <w:t> </w:t>
      </w:r>
      <w:r>
        <w:rPr>
          <w:sz w:val="21"/>
        </w:rPr>
        <w:t>an overview</w:t>
      </w:r>
      <w:r>
        <w:rPr>
          <w:spacing w:val="-2"/>
          <w:sz w:val="21"/>
        </w:rPr>
        <w:t> </w:t>
      </w:r>
      <w:r>
        <w:rPr>
          <w:sz w:val="21"/>
        </w:rPr>
        <w:t>of</w:t>
      </w:r>
      <w:r>
        <w:rPr>
          <w:spacing w:val="-1"/>
          <w:sz w:val="21"/>
        </w:rPr>
        <w:t> </w:t>
      </w:r>
      <w:r>
        <w:rPr>
          <w:sz w:val="21"/>
        </w:rPr>
        <w:t>the</w:t>
      </w:r>
      <w:r>
        <w:rPr>
          <w:spacing w:val="-2"/>
          <w:sz w:val="21"/>
        </w:rPr>
        <w:t> </w:t>
      </w:r>
      <w:r>
        <w:rPr>
          <w:sz w:val="21"/>
        </w:rPr>
        <w:t>Commission’s</w:t>
      </w:r>
      <w:r>
        <w:rPr>
          <w:spacing w:val="-2"/>
          <w:sz w:val="21"/>
        </w:rPr>
        <w:t> </w:t>
      </w:r>
      <w:r>
        <w:rPr>
          <w:sz w:val="21"/>
        </w:rPr>
        <w:t>recommendations</w:t>
      </w:r>
      <w:r>
        <w:rPr>
          <w:spacing w:val="-2"/>
          <w:sz w:val="21"/>
        </w:rPr>
        <w:t> </w:t>
      </w:r>
      <w:r>
        <w:rPr>
          <w:sz w:val="21"/>
        </w:rPr>
        <w:t>on</w:t>
      </w:r>
      <w:r>
        <w:rPr>
          <w:spacing w:val="-1"/>
          <w:sz w:val="21"/>
        </w:rPr>
        <w:t> </w:t>
      </w:r>
      <w:r>
        <w:rPr>
          <w:sz w:val="21"/>
        </w:rPr>
        <w:t>thematic</w:t>
      </w:r>
      <w:r>
        <w:rPr>
          <w:spacing w:val="-3"/>
          <w:sz w:val="21"/>
        </w:rPr>
        <w:t> </w:t>
      </w:r>
      <w:r>
        <w:rPr>
          <w:sz w:val="21"/>
        </w:rPr>
        <w:t>areas</w:t>
      </w:r>
      <w:r>
        <w:rPr>
          <w:spacing w:val="-1"/>
          <w:sz w:val="21"/>
        </w:rPr>
        <w:t> </w:t>
      </w:r>
      <w:r>
        <w:rPr>
          <w:sz w:val="21"/>
        </w:rPr>
        <w:t>applicable</w:t>
      </w:r>
      <w:r>
        <w:rPr>
          <w:spacing w:val="-1"/>
          <w:sz w:val="21"/>
        </w:rPr>
        <w:t> </w:t>
      </w:r>
      <w:r>
        <w:rPr>
          <w:sz w:val="21"/>
        </w:rPr>
        <w:t>to the whole state, as well as suggested revisions to existing</w:t>
      </w:r>
      <w:r>
        <w:rPr>
          <w:spacing w:val="-1"/>
          <w:sz w:val="21"/>
        </w:rPr>
        <w:t> </w:t>
      </w:r>
      <w:r>
        <w:rPr>
          <w:sz w:val="21"/>
        </w:rPr>
        <w:t>Massachusetts laws. With</w:t>
      </w:r>
      <w:r>
        <w:rPr>
          <w:spacing w:val="-1"/>
          <w:sz w:val="21"/>
        </w:rPr>
        <w:t> </w:t>
      </w:r>
      <w:r>
        <w:rPr>
          <w:sz w:val="21"/>
        </w:rPr>
        <w:t>this section, the Commission advises the state on recommendations that broadly intersect the core sections of the Commission’s annual report and the below agency recommendations to affirm and support LGBTQ youth. The Commission appreciates the ongoing collaboration opportunities with its community and agency</w:t>
      </w:r>
      <w:r>
        <w:rPr>
          <w:spacing w:val="-1"/>
          <w:sz w:val="21"/>
        </w:rPr>
        <w:t> </w:t>
      </w:r>
      <w:r>
        <w:rPr>
          <w:sz w:val="21"/>
        </w:rPr>
        <w:t>partners, legislators, and youth into FY 2025.</w:t>
      </w:r>
    </w:p>
    <w:p>
      <w:pPr>
        <w:spacing w:before="239"/>
        <w:ind w:left="483" w:right="0" w:firstLine="0"/>
        <w:jc w:val="both"/>
        <w:rPr>
          <w:sz w:val="28"/>
        </w:rPr>
      </w:pPr>
      <w:bookmarkStart w:name="FY 2025 Expanded Recommendations to the " w:id="920"/>
      <w:bookmarkEnd w:id="920"/>
      <w:r>
        <w:rPr/>
      </w:r>
      <w:r>
        <w:rPr>
          <w:color w:val="365F91"/>
          <w:sz w:val="28"/>
        </w:rPr>
        <w:t>FY</w:t>
      </w:r>
      <w:r>
        <w:rPr>
          <w:color w:val="365F91"/>
          <w:spacing w:val="-11"/>
          <w:sz w:val="28"/>
        </w:rPr>
        <w:t> </w:t>
      </w:r>
      <w:r>
        <w:rPr>
          <w:color w:val="365F91"/>
          <w:sz w:val="28"/>
        </w:rPr>
        <w:t>2025</w:t>
      </w:r>
      <w:r>
        <w:rPr>
          <w:color w:val="365F91"/>
          <w:spacing w:val="-10"/>
          <w:sz w:val="28"/>
        </w:rPr>
        <w:t> </w:t>
      </w:r>
      <w:r>
        <w:rPr>
          <w:color w:val="365F91"/>
          <w:sz w:val="28"/>
        </w:rPr>
        <w:t>Expanded</w:t>
      </w:r>
      <w:r>
        <w:rPr>
          <w:color w:val="365F91"/>
          <w:spacing w:val="-12"/>
          <w:sz w:val="28"/>
        </w:rPr>
        <w:t> </w:t>
      </w:r>
      <w:r>
        <w:rPr>
          <w:color w:val="365F91"/>
          <w:sz w:val="28"/>
        </w:rPr>
        <w:t>Recommendations</w:t>
      </w:r>
      <w:r>
        <w:rPr>
          <w:color w:val="365F91"/>
          <w:spacing w:val="-10"/>
          <w:sz w:val="28"/>
        </w:rPr>
        <w:t> </w:t>
      </w:r>
      <w:r>
        <w:rPr>
          <w:color w:val="365F91"/>
          <w:sz w:val="28"/>
        </w:rPr>
        <w:t>to</w:t>
      </w:r>
      <w:r>
        <w:rPr>
          <w:color w:val="365F91"/>
          <w:spacing w:val="-11"/>
          <w:sz w:val="28"/>
        </w:rPr>
        <w:t> </w:t>
      </w:r>
      <w:r>
        <w:rPr>
          <w:color w:val="365F91"/>
          <w:sz w:val="28"/>
        </w:rPr>
        <w:t>the</w:t>
      </w:r>
      <w:r>
        <w:rPr>
          <w:color w:val="365F91"/>
          <w:spacing w:val="-10"/>
          <w:sz w:val="28"/>
        </w:rPr>
        <w:t> </w:t>
      </w:r>
      <w:r>
        <w:rPr>
          <w:color w:val="365F91"/>
          <w:sz w:val="28"/>
        </w:rPr>
        <w:t>Commonwealth</w:t>
      </w:r>
      <w:r>
        <w:rPr>
          <w:color w:val="365F91"/>
          <w:spacing w:val="-10"/>
          <w:sz w:val="28"/>
        </w:rPr>
        <w:t> </w:t>
      </w:r>
      <w:r>
        <w:rPr>
          <w:color w:val="365F91"/>
          <w:sz w:val="28"/>
        </w:rPr>
        <w:t>of</w:t>
      </w:r>
      <w:r>
        <w:rPr>
          <w:color w:val="365F91"/>
          <w:spacing w:val="-10"/>
          <w:sz w:val="28"/>
        </w:rPr>
        <w:t> </w:t>
      </w:r>
      <w:r>
        <w:rPr>
          <w:color w:val="365F91"/>
          <w:spacing w:val="-2"/>
          <w:sz w:val="28"/>
        </w:rPr>
        <w:t>Massachusetts</w:t>
      </w:r>
    </w:p>
    <w:p>
      <w:pPr>
        <w:pStyle w:val="BodyText"/>
        <w:spacing w:before="10"/>
        <w:rPr>
          <w:sz w:val="3"/>
        </w:rPr>
      </w:pPr>
      <w:r>
        <w:rPr/>
        <mc:AlternateContent>
          <mc:Choice Requires="wps">
            <w:drawing>
              <wp:anchor distT="0" distB="0" distL="0" distR="0" allowOverlap="1" layoutInCell="1" locked="0" behindDoc="1" simplePos="0" relativeHeight="487687168">
                <wp:simplePos x="0" y="0"/>
                <wp:positionH relativeFrom="page">
                  <wp:posOffset>897636</wp:posOffset>
                </wp:positionH>
                <wp:positionV relativeFrom="paragraph">
                  <wp:posOffset>45421</wp:posOffset>
                </wp:positionV>
                <wp:extent cx="5976620" cy="6350"/>
                <wp:effectExtent l="0" t="0" r="0" b="0"/>
                <wp:wrapTopAndBottom/>
                <wp:docPr id="526" name="Graphic 526"/>
                <wp:cNvGraphicFramePr>
                  <a:graphicFrameLocks/>
                </wp:cNvGraphicFramePr>
                <a:graphic>
                  <a:graphicData uri="http://schemas.microsoft.com/office/word/2010/wordprocessingShape">
                    <wps:wsp>
                      <wps:cNvPr id="526" name="Graphic 526"/>
                      <wps:cNvSpPr/>
                      <wps:spPr>
                        <a:xfrm>
                          <a:off x="0" y="0"/>
                          <a:ext cx="5976620" cy="6350"/>
                        </a:xfrm>
                        <a:custGeom>
                          <a:avLst/>
                          <a:gdLst/>
                          <a:ahLst/>
                          <a:cxnLst/>
                          <a:rect l="l" t="t" r="r" b="b"/>
                          <a:pathLst>
                            <a:path w="5976620" h="6350">
                              <a:moveTo>
                                <a:pt x="5976366" y="0"/>
                              </a:moveTo>
                              <a:lnTo>
                                <a:pt x="0" y="0"/>
                              </a:lnTo>
                              <a:lnTo>
                                <a:pt x="0" y="6096"/>
                              </a:lnTo>
                              <a:lnTo>
                                <a:pt x="5976366" y="6096"/>
                              </a:lnTo>
                              <a:lnTo>
                                <a:pt x="5976366" y="0"/>
                              </a:lnTo>
                              <a:close/>
                            </a:path>
                          </a:pathLst>
                        </a:custGeom>
                        <a:solidFill>
                          <a:srgbClr val="4F81BC"/>
                        </a:solidFill>
                      </wps:spPr>
                      <wps:bodyPr wrap="square" lIns="0" tIns="0" rIns="0" bIns="0" rtlCol="0">
                        <a:prstTxWarp prst="textNoShape">
                          <a:avLst/>
                        </a:prstTxWarp>
                        <a:noAutofit/>
                      </wps:bodyPr>
                    </wps:wsp>
                  </a:graphicData>
                </a:graphic>
              </wp:anchor>
            </w:drawing>
          </mc:Choice>
          <mc:Fallback>
            <w:pict>
              <v:rect style="position:absolute;margin-left:70.680pt;margin-top:3.576484pt;width:470.58pt;height:.48pt;mso-position-horizontal-relative:page;mso-position-vertical-relative:paragraph;z-index:-15629312;mso-wrap-distance-left:0;mso-wrap-distance-right:0" id="docshape423" filled="true" fillcolor="#4f81bc" stroked="false">
                <v:fill type="solid"/>
                <w10:wrap type="topAndBottom"/>
              </v:rect>
            </w:pict>
          </mc:Fallback>
        </mc:AlternateContent>
      </w:r>
    </w:p>
    <w:p>
      <w:pPr>
        <w:numPr>
          <w:ilvl w:val="0"/>
          <w:numId w:val="30"/>
        </w:numPr>
        <w:tabs>
          <w:tab w:pos="481" w:val="left" w:leader="none"/>
          <w:tab w:pos="483" w:val="left" w:leader="none"/>
        </w:tabs>
        <w:spacing w:line="276" w:lineRule="auto" w:before="241"/>
        <w:ind w:left="483" w:right="343" w:hanging="360"/>
        <w:jc w:val="both"/>
        <w:rPr>
          <w:b/>
          <w:sz w:val="22"/>
        </w:rPr>
      </w:pPr>
      <w:r>
        <w:rPr>
          <w:b/>
          <w:sz w:val="22"/>
        </w:rPr>
        <w:t>Improve and standardize SOGIE data collection practices to allow for more cross-agency data analysis and</w:t>
      </w:r>
      <w:r>
        <w:rPr>
          <w:b/>
          <w:spacing w:val="-1"/>
          <w:sz w:val="22"/>
        </w:rPr>
        <w:t> </w:t>
      </w:r>
      <w:r>
        <w:rPr>
          <w:b/>
          <w:sz w:val="22"/>
        </w:rPr>
        <w:t>develop</w:t>
      </w:r>
      <w:r>
        <w:rPr>
          <w:b/>
          <w:spacing w:val="-1"/>
          <w:sz w:val="22"/>
        </w:rPr>
        <w:t> </w:t>
      </w:r>
      <w:r>
        <w:rPr>
          <w:b/>
          <w:sz w:val="22"/>
        </w:rPr>
        <w:t>a</w:t>
      </w:r>
      <w:r>
        <w:rPr>
          <w:b/>
          <w:spacing w:val="-1"/>
          <w:sz w:val="22"/>
        </w:rPr>
        <w:t> </w:t>
      </w:r>
      <w:r>
        <w:rPr>
          <w:b/>
          <w:sz w:val="22"/>
        </w:rPr>
        <w:t>plan</w:t>
      </w:r>
      <w:r>
        <w:rPr>
          <w:b/>
          <w:spacing w:val="-1"/>
          <w:sz w:val="22"/>
        </w:rPr>
        <w:t> </w:t>
      </w:r>
      <w:r>
        <w:rPr>
          <w:b/>
          <w:sz w:val="22"/>
        </w:rPr>
        <w:t>to</w:t>
      </w:r>
      <w:r>
        <w:rPr>
          <w:b/>
          <w:spacing w:val="-1"/>
          <w:sz w:val="22"/>
        </w:rPr>
        <w:t> </w:t>
      </w:r>
      <w:r>
        <w:rPr>
          <w:b/>
          <w:sz w:val="22"/>
        </w:rPr>
        <w:t>update</w:t>
      </w:r>
      <w:r>
        <w:rPr>
          <w:b/>
          <w:spacing w:val="-1"/>
          <w:sz w:val="22"/>
        </w:rPr>
        <w:t> </w:t>
      </w:r>
      <w:r>
        <w:rPr>
          <w:b/>
          <w:sz w:val="22"/>
        </w:rPr>
        <w:t>all</w:t>
      </w:r>
      <w:r>
        <w:rPr>
          <w:b/>
          <w:spacing w:val="-1"/>
          <w:sz w:val="22"/>
        </w:rPr>
        <w:t> </w:t>
      </w:r>
      <w:r>
        <w:rPr>
          <w:b/>
          <w:sz w:val="22"/>
        </w:rPr>
        <w:t>relevant</w:t>
      </w:r>
      <w:r>
        <w:rPr>
          <w:b/>
          <w:spacing w:val="-1"/>
          <w:sz w:val="22"/>
        </w:rPr>
        <w:t> </w:t>
      </w:r>
      <w:r>
        <w:rPr>
          <w:b/>
          <w:sz w:val="22"/>
        </w:rPr>
        <w:t>state</w:t>
      </w:r>
      <w:r>
        <w:rPr>
          <w:b/>
          <w:spacing w:val="-1"/>
          <w:sz w:val="22"/>
        </w:rPr>
        <w:t> </w:t>
      </w:r>
      <w:r>
        <w:rPr>
          <w:b/>
          <w:sz w:val="22"/>
        </w:rPr>
        <w:t>forms</w:t>
      </w:r>
      <w:r>
        <w:rPr>
          <w:b/>
          <w:spacing w:val="-1"/>
          <w:sz w:val="22"/>
        </w:rPr>
        <w:t> </w:t>
      </w:r>
      <w:r>
        <w:rPr>
          <w:b/>
          <w:sz w:val="22"/>
        </w:rPr>
        <w:t>asking about</w:t>
      </w:r>
      <w:r>
        <w:rPr>
          <w:b/>
          <w:spacing w:val="-1"/>
          <w:sz w:val="22"/>
        </w:rPr>
        <w:t> </w:t>
      </w:r>
      <w:r>
        <w:rPr>
          <w:b/>
          <w:sz w:val="22"/>
        </w:rPr>
        <w:t>sex,</w:t>
      </w:r>
      <w:r>
        <w:rPr>
          <w:b/>
          <w:spacing w:val="-1"/>
          <w:sz w:val="22"/>
        </w:rPr>
        <w:t> </w:t>
      </w:r>
      <w:r>
        <w:rPr>
          <w:b/>
          <w:sz w:val="22"/>
        </w:rPr>
        <w:t>gender,</w:t>
      </w:r>
      <w:r>
        <w:rPr>
          <w:b/>
          <w:spacing w:val="-1"/>
          <w:sz w:val="22"/>
        </w:rPr>
        <w:t> </w:t>
      </w:r>
      <w:r>
        <w:rPr>
          <w:b/>
          <w:sz w:val="22"/>
        </w:rPr>
        <w:t>and</w:t>
      </w:r>
      <w:r>
        <w:rPr>
          <w:b/>
          <w:spacing w:val="-1"/>
          <w:sz w:val="22"/>
        </w:rPr>
        <w:t> </w:t>
      </w:r>
      <w:r>
        <w:rPr>
          <w:b/>
          <w:sz w:val="22"/>
        </w:rPr>
        <w:t>sexual orientation </w:t>
      </w:r>
      <w:r>
        <w:rPr>
          <w:b/>
          <w:spacing w:val="-2"/>
          <w:sz w:val="22"/>
        </w:rPr>
        <w:t>demographics.</w:t>
      </w:r>
    </w:p>
    <w:p>
      <w:pPr>
        <w:pStyle w:val="BodyText"/>
        <w:spacing w:line="276" w:lineRule="auto" w:before="240"/>
        <w:ind w:left="483" w:right="342"/>
        <w:jc w:val="both"/>
      </w:pPr>
      <w:r>
        <w:rPr/>
        <w:t>One of the core aspects of the Commission’s work with state agencies is to advise on best practices for SOGIE data collection through state forms and survey development. As language naturally develops among LGBTQ communities, data collection standards must also continuously evolve to remain appropriately</w:t>
      </w:r>
      <w:r>
        <w:rPr>
          <w:spacing w:val="-7"/>
        </w:rPr>
        <w:t> </w:t>
      </w:r>
      <w:r>
        <w:rPr/>
        <w:t>inclusive</w:t>
      </w:r>
      <w:r>
        <w:rPr>
          <w:spacing w:val="-10"/>
        </w:rPr>
        <w:t> </w:t>
      </w:r>
      <w:r>
        <w:rPr/>
        <w:t>of</w:t>
      </w:r>
      <w:r>
        <w:rPr>
          <w:spacing w:val="-9"/>
        </w:rPr>
        <w:t> </w:t>
      </w:r>
      <w:r>
        <w:rPr/>
        <w:t>LGBTQ</w:t>
      </w:r>
      <w:r>
        <w:rPr>
          <w:spacing w:val="-9"/>
        </w:rPr>
        <w:t> </w:t>
      </w:r>
      <w:r>
        <w:rPr/>
        <w:t>identities.</w:t>
      </w:r>
      <w:r>
        <w:rPr>
          <w:spacing w:val="-10"/>
        </w:rPr>
        <w:t> </w:t>
      </w:r>
      <w:r>
        <w:rPr/>
        <w:t>The</w:t>
      </w:r>
      <w:r>
        <w:rPr>
          <w:spacing w:val="-8"/>
        </w:rPr>
        <w:t> </w:t>
      </w:r>
      <w:r>
        <w:rPr/>
        <w:t>Commission</w:t>
      </w:r>
      <w:r>
        <w:rPr>
          <w:spacing w:val="-10"/>
        </w:rPr>
        <w:t> </w:t>
      </w:r>
      <w:r>
        <w:rPr/>
        <w:t>appreciates</w:t>
      </w:r>
      <w:r>
        <w:rPr>
          <w:spacing w:val="-9"/>
        </w:rPr>
        <w:t> </w:t>
      </w:r>
      <w:r>
        <w:rPr/>
        <w:t>the</w:t>
      </w:r>
      <w:r>
        <w:rPr>
          <w:spacing w:val="-8"/>
        </w:rPr>
        <w:t> </w:t>
      </w:r>
      <w:r>
        <w:rPr/>
        <w:t>dedication</w:t>
      </w:r>
      <w:r>
        <w:rPr>
          <w:spacing w:val="-9"/>
        </w:rPr>
        <w:t> </w:t>
      </w:r>
      <w:r>
        <w:rPr/>
        <w:t>that</w:t>
      </w:r>
      <w:r>
        <w:rPr>
          <w:spacing w:val="-9"/>
        </w:rPr>
        <w:t> </w:t>
      </w:r>
      <w:r>
        <w:rPr/>
        <w:t>several</w:t>
      </w:r>
      <w:r>
        <w:rPr>
          <w:spacing w:val="-10"/>
        </w:rPr>
        <w:t> </w:t>
      </w:r>
      <w:r>
        <w:rPr/>
        <w:t>state agencies and lawmakers have shown in updating internal systems and state laws to allow for the </w:t>
      </w:r>
      <w:r>
        <w:rPr>
          <w:spacing w:val="-2"/>
        </w:rPr>
        <w:t>expansion of SOGIE</w:t>
      </w:r>
      <w:r>
        <w:rPr>
          <w:spacing w:val="-4"/>
        </w:rPr>
        <w:t> </w:t>
      </w:r>
      <w:r>
        <w:rPr>
          <w:spacing w:val="-2"/>
        </w:rPr>
        <w:t>data collection where relevant.</w:t>
      </w:r>
      <w:r>
        <w:rPr>
          <w:spacing w:val="-4"/>
        </w:rPr>
        <w:t> </w:t>
      </w:r>
      <w:r>
        <w:rPr>
          <w:spacing w:val="-2"/>
        </w:rPr>
        <w:t>The Commission understands</w:t>
      </w:r>
      <w:r>
        <w:rPr>
          <w:spacing w:val="-4"/>
        </w:rPr>
        <w:t> </w:t>
      </w:r>
      <w:r>
        <w:rPr>
          <w:spacing w:val="-2"/>
        </w:rPr>
        <w:t>that there are numerous </w:t>
      </w:r>
      <w:r>
        <w:rPr/>
        <w:t>scenarios where it is inappropriate for the state to ask about sexual orientation in its service provision, but further notes that many, many state forms and systems look for demographic information on biological sex, rather than gender identity. The Federal Evidence Agenda on LGBTQI+ Equity serves as a helpful guide for agencies looking to improve their data collection</w:t>
      </w:r>
      <w:hyperlink w:history="true" w:anchor="_bookmark621">
        <w:r>
          <w:rPr/>
          <w:t>.</w:t>
        </w:r>
        <w:r>
          <w:rPr>
            <w:vertAlign w:val="superscript"/>
          </w:rPr>
          <w:t>1</w:t>
        </w:r>
      </w:hyperlink>
    </w:p>
    <w:p>
      <w:pPr>
        <w:pStyle w:val="BodyText"/>
        <w:spacing w:line="276" w:lineRule="auto" w:before="241"/>
        <w:ind w:left="483" w:right="340"/>
        <w:jc w:val="both"/>
      </w:pPr>
      <w:r>
        <w:rPr/>
        <w:t>The Commission’s overarching recommendation is that the state must improve its SOGIE data collection in all relevant areas to better understand the number of LGBTQ individuals receiving services and disparities in access or care. One possibility is for the Governor or legislature to create a statewide task force</w:t>
      </w:r>
      <w:r>
        <w:rPr>
          <w:spacing w:val="26"/>
        </w:rPr>
        <w:t> </w:t>
      </w:r>
      <w:r>
        <w:rPr/>
        <w:t>or</w:t>
      </w:r>
      <w:r>
        <w:rPr>
          <w:spacing w:val="27"/>
        </w:rPr>
        <w:t> </w:t>
      </w:r>
      <w:r>
        <w:rPr/>
        <w:t>committee</w:t>
      </w:r>
      <w:r>
        <w:rPr>
          <w:spacing w:val="27"/>
        </w:rPr>
        <w:t> </w:t>
      </w:r>
      <w:r>
        <w:rPr/>
        <w:t>to</w:t>
      </w:r>
      <w:r>
        <w:rPr>
          <w:spacing w:val="27"/>
        </w:rPr>
        <w:t> </w:t>
      </w:r>
      <w:r>
        <w:rPr/>
        <w:t>examine</w:t>
      </w:r>
      <w:r>
        <w:rPr>
          <w:spacing w:val="27"/>
        </w:rPr>
        <w:t> </w:t>
      </w:r>
      <w:r>
        <w:rPr/>
        <w:t>SOGIE</w:t>
      </w:r>
      <w:r>
        <w:rPr>
          <w:spacing w:val="27"/>
        </w:rPr>
        <w:t> </w:t>
      </w:r>
      <w:r>
        <w:rPr/>
        <w:t>data</w:t>
      </w:r>
      <w:r>
        <w:rPr>
          <w:spacing w:val="28"/>
        </w:rPr>
        <w:t> </w:t>
      </w:r>
      <w:r>
        <w:rPr/>
        <w:t>collection</w:t>
      </w:r>
      <w:r>
        <w:rPr>
          <w:spacing w:val="26"/>
        </w:rPr>
        <w:t> </w:t>
      </w:r>
      <w:r>
        <w:rPr/>
        <w:t>standards</w:t>
      </w:r>
      <w:r>
        <w:rPr>
          <w:spacing w:val="28"/>
        </w:rPr>
        <w:t> </w:t>
      </w:r>
      <w:r>
        <w:rPr/>
        <w:t>across</w:t>
      </w:r>
      <w:r>
        <w:rPr>
          <w:spacing w:val="27"/>
        </w:rPr>
        <w:t> </w:t>
      </w:r>
      <w:r>
        <w:rPr/>
        <w:t>agencies,</w:t>
      </w:r>
      <w:r>
        <w:rPr>
          <w:spacing w:val="27"/>
        </w:rPr>
        <w:t> </w:t>
      </w:r>
      <w:r>
        <w:rPr/>
        <w:t>investigate</w:t>
      </w:r>
      <w:r>
        <w:rPr>
          <w:spacing w:val="26"/>
        </w:rPr>
        <w:t> </w:t>
      </w:r>
      <w:r>
        <w:rPr/>
        <w:t>areas</w:t>
      </w:r>
      <w:r>
        <w:rPr>
          <w:spacing w:val="27"/>
        </w:rPr>
        <w:t> </w:t>
      </w:r>
      <w:r>
        <w:rPr/>
        <w:t>of</w:t>
      </w:r>
    </w:p>
    <w:p>
      <w:pPr>
        <w:spacing w:after="0" w:line="276" w:lineRule="auto"/>
        <w:jc w:val="both"/>
        <w:sectPr>
          <w:headerReference w:type="default" r:id="rId697"/>
          <w:footerReference w:type="default" r:id="rId698"/>
          <w:pgSz w:w="12240" w:h="15840"/>
          <w:pgMar w:header="771" w:footer="1427" w:top="980" w:bottom="1620" w:left="960" w:right="1100"/>
          <w:pgNumType w:start="241"/>
        </w:sectPr>
      </w:pPr>
    </w:p>
    <w:p>
      <w:pPr>
        <w:pStyle w:val="BodyText"/>
        <w:spacing w:line="276" w:lineRule="auto" w:before="99"/>
        <w:ind w:left="483" w:right="343"/>
        <w:jc w:val="both"/>
      </w:pPr>
      <w:r>
        <w:rPr/>
        <w:t>improvement, and create work plans for state agencies to work on internally. The Commission advises that</w:t>
      </w:r>
      <w:r>
        <w:rPr>
          <w:spacing w:val="-12"/>
        </w:rPr>
        <w:t> </w:t>
      </w:r>
      <w:r>
        <w:rPr/>
        <w:t>a</w:t>
      </w:r>
      <w:r>
        <w:rPr>
          <w:spacing w:val="-11"/>
        </w:rPr>
        <w:t> </w:t>
      </w:r>
      <w:r>
        <w:rPr/>
        <w:t>priority</w:t>
      </w:r>
      <w:r>
        <w:rPr>
          <w:spacing w:val="-12"/>
        </w:rPr>
        <w:t> </w:t>
      </w:r>
      <w:r>
        <w:rPr/>
        <w:t>of</w:t>
      </w:r>
      <w:r>
        <w:rPr>
          <w:spacing w:val="-11"/>
        </w:rPr>
        <w:t> </w:t>
      </w:r>
      <w:r>
        <w:rPr/>
        <w:t>the</w:t>
      </w:r>
      <w:r>
        <w:rPr>
          <w:spacing w:val="-10"/>
        </w:rPr>
        <w:t> </w:t>
      </w:r>
      <w:r>
        <w:rPr/>
        <w:t>task</w:t>
      </w:r>
      <w:r>
        <w:rPr>
          <w:spacing w:val="-12"/>
        </w:rPr>
        <w:t> </w:t>
      </w:r>
      <w:r>
        <w:rPr/>
        <w:t>force</w:t>
      </w:r>
      <w:r>
        <w:rPr>
          <w:spacing w:val="-11"/>
        </w:rPr>
        <w:t> </w:t>
      </w:r>
      <w:r>
        <w:rPr/>
        <w:t>-</w:t>
      </w:r>
      <w:r>
        <w:rPr>
          <w:spacing w:val="-11"/>
        </w:rPr>
        <w:t> </w:t>
      </w:r>
      <w:r>
        <w:rPr/>
        <w:t>or</w:t>
      </w:r>
      <w:r>
        <w:rPr>
          <w:spacing w:val="-11"/>
        </w:rPr>
        <w:t> </w:t>
      </w:r>
      <w:r>
        <w:rPr/>
        <w:t>state</w:t>
      </w:r>
      <w:r>
        <w:rPr>
          <w:spacing w:val="-9"/>
        </w:rPr>
        <w:t> </w:t>
      </w:r>
      <w:r>
        <w:rPr/>
        <w:t>agencies</w:t>
      </w:r>
      <w:r>
        <w:rPr>
          <w:spacing w:val="-10"/>
        </w:rPr>
        <w:t> </w:t>
      </w:r>
      <w:r>
        <w:rPr/>
        <w:t>-</w:t>
      </w:r>
      <w:r>
        <w:rPr>
          <w:spacing w:val="-12"/>
        </w:rPr>
        <w:t> </w:t>
      </w:r>
      <w:r>
        <w:rPr/>
        <w:t>should</w:t>
      </w:r>
      <w:r>
        <w:rPr>
          <w:spacing w:val="-12"/>
        </w:rPr>
        <w:t> </w:t>
      </w:r>
      <w:r>
        <w:rPr/>
        <w:t>be</w:t>
      </w:r>
      <w:r>
        <w:rPr>
          <w:spacing w:val="-10"/>
        </w:rPr>
        <w:t> </w:t>
      </w:r>
      <w:r>
        <w:rPr/>
        <w:t>to</w:t>
      </w:r>
      <w:r>
        <w:rPr>
          <w:spacing w:val="-10"/>
        </w:rPr>
        <w:t> </w:t>
      </w:r>
      <w:r>
        <w:rPr/>
        <w:t>collaborate</w:t>
      </w:r>
      <w:r>
        <w:rPr>
          <w:spacing w:val="-13"/>
        </w:rPr>
        <w:t> </w:t>
      </w:r>
      <w:r>
        <w:rPr/>
        <w:t>on</w:t>
      </w:r>
      <w:r>
        <w:rPr>
          <w:spacing w:val="-10"/>
        </w:rPr>
        <w:t> </w:t>
      </w:r>
      <w:r>
        <w:rPr/>
        <w:t>the</w:t>
      </w:r>
      <w:r>
        <w:rPr>
          <w:spacing w:val="-13"/>
        </w:rPr>
        <w:t> </w:t>
      </w:r>
      <w:r>
        <w:rPr/>
        <w:t>development</w:t>
      </w:r>
      <w:r>
        <w:rPr>
          <w:spacing w:val="-11"/>
        </w:rPr>
        <w:t> </w:t>
      </w:r>
      <w:r>
        <w:rPr/>
        <w:t>or</w:t>
      </w:r>
      <w:r>
        <w:rPr>
          <w:spacing w:val="-11"/>
        </w:rPr>
        <w:t> </w:t>
      </w:r>
      <w:r>
        <w:rPr/>
        <w:t>review of data standards to better standardize, offer feedback, and overall improve data collection to allow for cross-agency analysis, and</w:t>
      </w:r>
      <w:r>
        <w:rPr>
          <w:spacing w:val="-1"/>
        </w:rPr>
        <w:t> </w:t>
      </w:r>
      <w:r>
        <w:rPr/>
        <w:t>identify gaps in</w:t>
      </w:r>
      <w:r>
        <w:rPr>
          <w:spacing w:val="-1"/>
        </w:rPr>
        <w:t> </w:t>
      </w:r>
      <w:r>
        <w:rPr/>
        <w:t>data collection.</w:t>
      </w:r>
      <w:r>
        <w:rPr>
          <w:spacing w:val="-1"/>
        </w:rPr>
        <w:t> </w:t>
      </w:r>
      <w:r>
        <w:rPr/>
        <w:t>As the</w:t>
      </w:r>
      <w:r>
        <w:rPr>
          <w:spacing w:val="-1"/>
        </w:rPr>
        <w:t> </w:t>
      </w:r>
      <w:r>
        <w:rPr/>
        <w:t>Commission</w:t>
      </w:r>
      <w:r>
        <w:rPr>
          <w:spacing w:val="-1"/>
        </w:rPr>
        <w:t> </w:t>
      </w:r>
      <w:r>
        <w:rPr/>
        <w:t>has noted</w:t>
      </w:r>
      <w:r>
        <w:rPr>
          <w:spacing w:val="-1"/>
        </w:rPr>
        <w:t> </w:t>
      </w:r>
      <w:r>
        <w:rPr/>
        <w:t>throughout this annual</w:t>
      </w:r>
      <w:r>
        <w:rPr>
          <w:spacing w:val="-6"/>
        </w:rPr>
        <w:t> </w:t>
      </w:r>
      <w:r>
        <w:rPr/>
        <w:t>report,</w:t>
      </w:r>
      <w:r>
        <w:rPr>
          <w:spacing w:val="-7"/>
        </w:rPr>
        <w:t> </w:t>
      </w:r>
      <w:r>
        <w:rPr/>
        <w:t>there</w:t>
      </w:r>
      <w:r>
        <w:rPr>
          <w:spacing w:val="-6"/>
        </w:rPr>
        <w:t> </w:t>
      </w:r>
      <w:r>
        <w:rPr/>
        <w:t>are</w:t>
      </w:r>
      <w:r>
        <w:rPr>
          <w:spacing w:val="-8"/>
        </w:rPr>
        <w:t> </w:t>
      </w:r>
      <w:r>
        <w:rPr/>
        <w:t>several</w:t>
      </w:r>
      <w:r>
        <w:rPr>
          <w:spacing w:val="-7"/>
        </w:rPr>
        <w:t> </w:t>
      </w:r>
      <w:r>
        <w:rPr/>
        <w:t>critical</w:t>
      </w:r>
      <w:r>
        <w:rPr>
          <w:spacing w:val="-5"/>
        </w:rPr>
        <w:t> </w:t>
      </w:r>
      <w:r>
        <w:rPr/>
        <w:t>areas</w:t>
      </w:r>
      <w:r>
        <w:rPr>
          <w:spacing w:val="-7"/>
        </w:rPr>
        <w:t> </w:t>
      </w:r>
      <w:r>
        <w:rPr/>
        <w:t>of</w:t>
      </w:r>
      <w:r>
        <w:rPr>
          <w:spacing w:val="-7"/>
        </w:rPr>
        <w:t> </w:t>
      </w:r>
      <w:r>
        <w:rPr/>
        <w:t>missing</w:t>
      </w:r>
      <w:r>
        <w:rPr>
          <w:spacing w:val="-6"/>
        </w:rPr>
        <w:t> </w:t>
      </w:r>
      <w:r>
        <w:rPr/>
        <w:t>data,</w:t>
      </w:r>
      <w:r>
        <w:rPr>
          <w:spacing w:val="-7"/>
        </w:rPr>
        <w:t> </w:t>
      </w:r>
      <w:r>
        <w:rPr/>
        <w:t>including</w:t>
      </w:r>
      <w:r>
        <w:rPr>
          <w:spacing w:val="-7"/>
        </w:rPr>
        <w:t> </w:t>
      </w:r>
      <w:r>
        <w:rPr/>
        <w:t>on</w:t>
      </w:r>
      <w:r>
        <w:rPr>
          <w:spacing w:val="-8"/>
        </w:rPr>
        <w:t> </w:t>
      </w:r>
      <w:r>
        <w:rPr/>
        <w:t>LGBTQ</w:t>
      </w:r>
      <w:r>
        <w:rPr>
          <w:spacing w:val="-9"/>
        </w:rPr>
        <w:t> </w:t>
      </w:r>
      <w:r>
        <w:rPr/>
        <w:t>foreign-born</w:t>
      </w:r>
      <w:r>
        <w:rPr>
          <w:spacing w:val="-9"/>
        </w:rPr>
        <w:t> </w:t>
      </w:r>
      <w:r>
        <w:rPr/>
        <w:t>youth</w:t>
      </w:r>
      <w:r>
        <w:rPr>
          <w:spacing w:val="-7"/>
        </w:rPr>
        <w:t> </w:t>
      </w:r>
      <w:r>
        <w:rPr/>
        <w:t>and LGBTQ pregnancy care.</w:t>
      </w:r>
    </w:p>
    <w:p>
      <w:pPr>
        <w:pStyle w:val="BodyText"/>
        <w:spacing w:line="276" w:lineRule="auto" w:before="239"/>
        <w:ind w:left="484" w:right="342" w:hanging="1"/>
        <w:jc w:val="both"/>
      </w:pPr>
      <w:r>
        <w:rPr/>
        <w:t>The</w:t>
      </w:r>
      <w:r>
        <w:rPr>
          <w:spacing w:val="-3"/>
        </w:rPr>
        <w:t> </w:t>
      </w:r>
      <w:r>
        <w:rPr/>
        <w:t>Commission</w:t>
      </w:r>
      <w:r>
        <w:rPr>
          <w:spacing w:val="-4"/>
        </w:rPr>
        <w:t> </w:t>
      </w:r>
      <w:r>
        <w:rPr/>
        <w:t>attends</w:t>
      </w:r>
      <w:r>
        <w:rPr>
          <w:spacing w:val="-2"/>
        </w:rPr>
        <w:t> </w:t>
      </w:r>
      <w:r>
        <w:rPr/>
        <w:t>a</w:t>
      </w:r>
      <w:r>
        <w:rPr>
          <w:spacing w:val="-2"/>
        </w:rPr>
        <w:t> </w:t>
      </w:r>
      <w:r>
        <w:rPr/>
        <w:t>quarterly</w:t>
      </w:r>
      <w:r>
        <w:rPr>
          <w:spacing w:val="-1"/>
        </w:rPr>
        <w:t> </w:t>
      </w:r>
      <w:r>
        <w:rPr/>
        <w:t>EOHHS</w:t>
      </w:r>
      <w:r>
        <w:rPr>
          <w:spacing w:val="-4"/>
        </w:rPr>
        <w:t> </w:t>
      </w:r>
      <w:r>
        <w:rPr/>
        <w:t>Interagency</w:t>
      </w:r>
      <w:r>
        <w:rPr>
          <w:spacing w:val="-2"/>
        </w:rPr>
        <w:t> </w:t>
      </w:r>
      <w:r>
        <w:rPr/>
        <w:t>Working</w:t>
      </w:r>
      <w:r>
        <w:rPr>
          <w:spacing w:val="-3"/>
        </w:rPr>
        <w:t> </w:t>
      </w:r>
      <w:r>
        <w:rPr/>
        <w:t>Group</w:t>
      </w:r>
      <w:r>
        <w:rPr>
          <w:spacing w:val="-4"/>
        </w:rPr>
        <w:t> </w:t>
      </w:r>
      <w:r>
        <w:rPr/>
        <w:t>which</w:t>
      </w:r>
      <w:r>
        <w:rPr>
          <w:spacing w:val="-3"/>
        </w:rPr>
        <w:t> </w:t>
      </w:r>
      <w:r>
        <w:rPr/>
        <w:t>works</w:t>
      </w:r>
      <w:r>
        <w:rPr>
          <w:spacing w:val="-3"/>
        </w:rPr>
        <w:t> </w:t>
      </w:r>
      <w:r>
        <w:rPr/>
        <w:t>to</w:t>
      </w:r>
      <w:r>
        <w:rPr>
          <w:spacing w:val="-2"/>
        </w:rPr>
        <w:t> </w:t>
      </w:r>
      <w:r>
        <w:rPr/>
        <w:t>provide</w:t>
      </w:r>
      <w:r>
        <w:rPr>
          <w:spacing w:val="-3"/>
        </w:rPr>
        <w:t> </w:t>
      </w:r>
      <w:r>
        <w:rPr/>
        <w:t>updates on progress towards the Commission’s recommendations and identifies problems and solutions collaboratively. The Commission advises that a much larger cross-secretariat semi-annual meeting could occur with more state agencies to better identify systemic barriers and administrative (or legislative) solutions, including for data collection.</w:t>
      </w:r>
    </w:p>
    <w:p>
      <w:pPr>
        <w:numPr>
          <w:ilvl w:val="0"/>
          <w:numId w:val="30"/>
        </w:numPr>
        <w:tabs>
          <w:tab w:pos="482" w:val="left" w:leader="none"/>
          <w:tab w:pos="484" w:val="left" w:leader="none"/>
        </w:tabs>
        <w:spacing w:line="276" w:lineRule="auto" w:before="241"/>
        <w:ind w:left="484" w:right="340" w:hanging="360"/>
        <w:jc w:val="left"/>
        <w:rPr>
          <w:b/>
          <w:sz w:val="22"/>
        </w:rPr>
      </w:pPr>
      <w:bookmarkStart w:name="2. Mandate that all state agencies devel" w:id="921"/>
      <w:bookmarkEnd w:id="921"/>
      <w:r>
        <w:rPr>
          <w:b/>
          <w:sz w:val="22"/>
        </w:rPr>
        <w:t>M</w:t>
      </w:r>
      <w:r>
        <w:rPr>
          <w:b/>
          <w:sz w:val="22"/>
        </w:rPr>
        <w:t>andate that all state agencies develop a nondiscrimination policy, and a plan to review all relevant internal policies to ensure LGBTQ-inclusivity.</w:t>
      </w:r>
    </w:p>
    <w:p>
      <w:pPr>
        <w:pStyle w:val="BodyText"/>
        <w:spacing w:line="276" w:lineRule="auto" w:before="240"/>
        <w:ind w:left="483" w:right="342" w:firstLine="1"/>
        <w:jc w:val="both"/>
      </w:pPr>
      <w:r>
        <w:rPr/>
        <w:t>As historically discussed, as well as through several of this year’s FY 2024 agency recommendations, the Commission</w:t>
      </w:r>
      <w:r>
        <w:rPr>
          <w:spacing w:val="-7"/>
        </w:rPr>
        <w:t> </w:t>
      </w:r>
      <w:r>
        <w:rPr/>
        <w:t>advises</w:t>
      </w:r>
      <w:r>
        <w:rPr>
          <w:spacing w:val="-6"/>
        </w:rPr>
        <w:t> </w:t>
      </w:r>
      <w:r>
        <w:rPr/>
        <w:t>that</w:t>
      </w:r>
      <w:r>
        <w:rPr>
          <w:spacing w:val="-7"/>
        </w:rPr>
        <w:t> </w:t>
      </w:r>
      <w:r>
        <w:rPr/>
        <w:t>all</w:t>
      </w:r>
      <w:r>
        <w:rPr>
          <w:spacing w:val="-7"/>
        </w:rPr>
        <w:t> </w:t>
      </w:r>
      <w:r>
        <w:rPr/>
        <w:t>agencies</w:t>
      </w:r>
      <w:r>
        <w:rPr>
          <w:spacing w:val="-7"/>
        </w:rPr>
        <w:t> </w:t>
      </w:r>
      <w:r>
        <w:rPr/>
        <w:t>have</w:t>
      </w:r>
      <w:r>
        <w:rPr>
          <w:spacing w:val="-6"/>
        </w:rPr>
        <w:t> </w:t>
      </w:r>
      <w:r>
        <w:rPr/>
        <w:t>an</w:t>
      </w:r>
      <w:r>
        <w:rPr>
          <w:spacing w:val="-9"/>
        </w:rPr>
        <w:t> </w:t>
      </w:r>
      <w:r>
        <w:rPr/>
        <w:t>explicit</w:t>
      </w:r>
      <w:r>
        <w:rPr>
          <w:spacing w:val="-7"/>
        </w:rPr>
        <w:t> </w:t>
      </w:r>
      <w:r>
        <w:rPr/>
        <w:t>nondiscrimination</w:t>
      </w:r>
      <w:r>
        <w:rPr>
          <w:spacing w:val="-8"/>
        </w:rPr>
        <w:t> </w:t>
      </w:r>
      <w:r>
        <w:rPr/>
        <w:t>policy</w:t>
      </w:r>
      <w:r>
        <w:rPr>
          <w:spacing w:val="-6"/>
        </w:rPr>
        <w:t> </w:t>
      </w:r>
      <w:r>
        <w:rPr/>
        <w:t>that</w:t>
      </w:r>
      <w:r>
        <w:rPr>
          <w:spacing w:val="-7"/>
        </w:rPr>
        <w:t> </w:t>
      </w:r>
      <w:r>
        <w:rPr/>
        <w:t>is</w:t>
      </w:r>
      <w:r>
        <w:rPr>
          <w:spacing w:val="-6"/>
        </w:rPr>
        <w:t> </w:t>
      </w:r>
      <w:r>
        <w:rPr/>
        <w:t>publicly</w:t>
      </w:r>
      <w:r>
        <w:rPr>
          <w:spacing w:val="-5"/>
        </w:rPr>
        <w:t> </w:t>
      </w:r>
      <w:r>
        <w:rPr/>
        <w:t>available</w:t>
      </w:r>
      <w:r>
        <w:rPr>
          <w:spacing w:val="-7"/>
        </w:rPr>
        <w:t> </w:t>
      </w:r>
      <w:r>
        <w:rPr/>
        <w:t>to indicate the agency’s commitment to supporting its LGBTQ clients, employees, and contractors. The Commission supports </w:t>
      </w:r>
      <w:r>
        <w:rPr>
          <w:i/>
        </w:rPr>
        <w:t>An Act Relative to Nondiscrimination </w:t>
      </w:r>
      <w:r>
        <w:rPr/>
        <w:t>(</w:t>
      </w:r>
      <w:hyperlink r:id="rId699">
        <w:r>
          <w:rPr>
            <w:u w:val="single" w:color="1153CC"/>
          </w:rPr>
          <w:t>S.1160</w:t>
        </w:r>
      </w:hyperlink>
      <w:r>
        <w:rPr>
          <w:u w:val="none"/>
        </w:rPr>
        <w:t>), which would require all state agencies</w:t>
      </w:r>
      <w:r>
        <w:rPr>
          <w:spacing w:val="-6"/>
          <w:u w:val="none"/>
        </w:rPr>
        <w:t> </w:t>
      </w:r>
      <w:r>
        <w:rPr>
          <w:u w:val="none"/>
        </w:rPr>
        <w:t>to</w:t>
      </w:r>
      <w:r>
        <w:rPr>
          <w:spacing w:val="-6"/>
          <w:u w:val="none"/>
        </w:rPr>
        <w:t> </w:t>
      </w:r>
      <w:r>
        <w:rPr>
          <w:u w:val="none"/>
        </w:rPr>
        <w:t>develop</w:t>
      </w:r>
      <w:r>
        <w:rPr>
          <w:spacing w:val="-6"/>
          <w:u w:val="none"/>
        </w:rPr>
        <w:t> </w:t>
      </w:r>
      <w:r>
        <w:rPr>
          <w:u w:val="none"/>
        </w:rPr>
        <w:t>and</w:t>
      </w:r>
      <w:r>
        <w:rPr>
          <w:spacing w:val="-8"/>
          <w:u w:val="none"/>
        </w:rPr>
        <w:t> </w:t>
      </w:r>
      <w:r>
        <w:rPr>
          <w:u w:val="none"/>
        </w:rPr>
        <w:t>implement</w:t>
      </w:r>
      <w:r>
        <w:rPr>
          <w:spacing w:val="-6"/>
          <w:u w:val="none"/>
        </w:rPr>
        <w:t> </w:t>
      </w:r>
      <w:r>
        <w:rPr>
          <w:u w:val="none"/>
        </w:rPr>
        <w:t>a</w:t>
      </w:r>
      <w:r>
        <w:rPr>
          <w:spacing w:val="-6"/>
          <w:u w:val="none"/>
        </w:rPr>
        <w:t> </w:t>
      </w:r>
      <w:r>
        <w:rPr>
          <w:u w:val="none"/>
        </w:rPr>
        <w:t>plan</w:t>
      </w:r>
      <w:r>
        <w:rPr>
          <w:spacing w:val="-6"/>
          <w:u w:val="none"/>
        </w:rPr>
        <w:t> </w:t>
      </w:r>
      <w:r>
        <w:rPr>
          <w:u w:val="none"/>
        </w:rPr>
        <w:t>to</w:t>
      </w:r>
      <w:r>
        <w:rPr>
          <w:spacing w:val="-6"/>
          <w:u w:val="none"/>
        </w:rPr>
        <w:t> </w:t>
      </w:r>
      <w:r>
        <w:rPr>
          <w:u w:val="none"/>
        </w:rPr>
        <w:t>create</w:t>
      </w:r>
      <w:r>
        <w:rPr>
          <w:spacing w:val="-7"/>
          <w:u w:val="none"/>
        </w:rPr>
        <w:t> </w:t>
      </w:r>
      <w:r>
        <w:rPr>
          <w:u w:val="none"/>
        </w:rPr>
        <w:t>a</w:t>
      </w:r>
      <w:r>
        <w:rPr>
          <w:spacing w:val="-6"/>
          <w:u w:val="none"/>
        </w:rPr>
        <w:t> </w:t>
      </w:r>
      <w:r>
        <w:rPr>
          <w:u w:val="none"/>
        </w:rPr>
        <w:t>nondiscrimination</w:t>
      </w:r>
      <w:r>
        <w:rPr>
          <w:spacing w:val="-6"/>
          <w:u w:val="none"/>
        </w:rPr>
        <w:t> </w:t>
      </w:r>
      <w:r>
        <w:rPr>
          <w:u w:val="none"/>
        </w:rPr>
        <w:t>policy,</w:t>
      </w:r>
      <w:r>
        <w:rPr>
          <w:spacing w:val="-6"/>
          <w:u w:val="none"/>
        </w:rPr>
        <w:t> </w:t>
      </w:r>
      <w:r>
        <w:rPr>
          <w:u w:val="none"/>
        </w:rPr>
        <w:t>as</w:t>
      </w:r>
      <w:r>
        <w:rPr>
          <w:spacing w:val="-6"/>
          <w:u w:val="none"/>
        </w:rPr>
        <w:t> </w:t>
      </w:r>
      <w:r>
        <w:rPr>
          <w:u w:val="none"/>
        </w:rPr>
        <w:t>well</w:t>
      </w:r>
      <w:r>
        <w:rPr>
          <w:spacing w:val="-6"/>
          <w:u w:val="none"/>
        </w:rPr>
        <w:t> </w:t>
      </w:r>
      <w:r>
        <w:rPr>
          <w:u w:val="none"/>
        </w:rPr>
        <w:t>as</w:t>
      </w:r>
      <w:r>
        <w:rPr>
          <w:spacing w:val="-6"/>
          <w:u w:val="none"/>
        </w:rPr>
        <w:t> </w:t>
      </w:r>
      <w:r>
        <w:rPr>
          <w:u w:val="none"/>
        </w:rPr>
        <w:t>a</w:t>
      </w:r>
      <w:r>
        <w:rPr>
          <w:spacing w:val="-6"/>
          <w:u w:val="none"/>
        </w:rPr>
        <w:t> </w:t>
      </w:r>
      <w:r>
        <w:rPr>
          <w:u w:val="none"/>
        </w:rPr>
        <w:t>plan</w:t>
      </w:r>
      <w:r>
        <w:rPr>
          <w:spacing w:val="-8"/>
          <w:u w:val="none"/>
        </w:rPr>
        <w:t> </w:t>
      </w:r>
      <w:r>
        <w:rPr>
          <w:u w:val="none"/>
        </w:rPr>
        <w:t>detailing recourse</w:t>
      </w:r>
      <w:r>
        <w:rPr>
          <w:spacing w:val="-13"/>
          <w:u w:val="none"/>
        </w:rPr>
        <w:t> </w:t>
      </w:r>
      <w:r>
        <w:rPr>
          <w:u w:val="none"/>
        </w:rPr>
        <w:t>in</w:t>
      </w:r>
      <w:r>
        <w:rPr>
          <w:spacing w:val="-12"/>
          <w:u w:val="none"/>
        </w:rPr>
        <w:t> </w:t>
      </w:r>
      <w:r>
        <w:rPr>
          <w:u w:val="none"/>
        </w:rPr>
        <w:t>the</w:t>
      </w:r>
      <w:r>
        <w:rPr>
          <w:spacing w:val="-13"/>
          <w:u w:val="none"/>
        </w:rPr>
        <w:t> </w:t>
      </w:r>
      <w:r>
        <w:rPr>
          <w:u w:val="none"/>
        </w:rPr>
        <w:t>case</w:t>
      </w:r>
      <w:r>
        <w:rPr>
          <w:spacing w:val="-12"/>
          <w:u w:val="none"/>
        </w:rPr>
        <w:t> </w:t>
      </w:r>
      <w:r>
        <w:rPr>
          <w:u w:val="none"/>
        </w:rPr>
        <w:t>of</w:t>
      </w:r>
      <w:r>
        <w:rPr>
          <w:spacing w:val="-13"/>
          <w:u w:val="none"/>
        </w:rPr>
        <w:t> </w:t>
      </w:r>
      <w:r>
        <w:rPr>
          <w:u w:val="none"/>
        </w:rPr>
        <w:t>discrimination</w:t>
      </w:r>
      <w:r>
        <w:rPr>
          <w:spacing w:val="-12"/>
          <w:u w:val="none"/>
        </w:rPr>
        <w:t> </w:t>
      </w:r>
      <w:r>
        <w:rPr>
          <w:u w:val="none"/>
        </w:rPr>
        <w:t>and</w:t>
      </w:r>
      <w:r>
        <w:rPr>
          <w:spacing w:val="-13"/>
          <w:u w:val="none"/>
        </w:rPr>
        <w:t> </w:t>
      </w:r>
      <w:r>
        <w:rPr>
          <w:u w:val="none"/>
        </w:rPr>
        <w:t>timelines</w:t>
      </w:r>
      <w:r>
        <w:rPr>
          <w:spacing w:val="-12"/>
          <w:u w:val="none"/>
        </w:rPr>
        <w:t> </w:t>
      </w:r>
      <w:r>
        <w:rPr>
          <w:u w:val="none"/>
        </w:rPr>
        <w:t>for</w:t>
      </w:r>
      <w:r>
        <w:rPr>
          <w:spacing w:val="-12"/>
          <w:u w:val="none"/>
        </w:rPr>
        <w:t> </w:t>
      </w:r>
      <w:r>
        <w:rPr>
          <w:u w:val="none"/>
        </w:rPr>
        <w:t>personnel</w:t>
      </w:r>
      <w:r>
        <w:rPr>
          <w:spacing w:val="-13"/>
          <w:u w:val="none"/>
        </w:rPr>
        <w:t> </w:t>
      </w:r>
      <w:r>
        <w:rPr>
          <w:u w:val="none"/>
        </w:rPr>
        <w:t>training</w:t>
      </w:r>
      <w:r>
        <w:rPr>
          <w:spacing w:val="-12"/>
          <w:u w:val="none"/>
        </w:rPr>
        <w:t> </w:t>
      </w:r>
      <w:r>
        <w:rPr>
          <w:u w:val="none"/>
        </w:rPr>
        <w:t>on</w:t>
      </w:r>
      <w:r>
        <w:rPr>
          <w:spacing w:val="-12"/>
          <w:u w:val="none"/>
        </w:rPr>
        <w:t> </w:t>
      </w:r>
      <w:r>
        <w:rPr>
          <w:u w:val="none"/>
        </w:rPr>
        <w:t>nondiscrimination</w:t>
      </w:r>
      <w:r>
        <w:rPr>
          <w:spacing w:val="-13"/>
          <w:u w:val="none"/>
        </w:rPr>
        <w:t> </w:t>
      </w:r>
      <w:r>
        <w:rPr>
          <w:u w:val="none"/>
        </w:rPr>
        <w:t>and</w:t>
      </w:r>
      <w:r>
        <w:rPr>
          <w:spacing w:val="-12"/>
          <w:u w:val="none"/>
        </w:rPr>
        <w:t> </w:t>
      </w:r>
      <w:r>
        <w:rPr>
          <w:u w:val="none"/>
        </w:rPr>
        <w:t>equal </w:t>
      </w:r>
      <w:r>
        <w:rPr>
          <w:spacing w:val="-2"/>
          <w:u w:val="none"/>
        </w:rPr>
        <w:t>access.</w:t>
      </w:r>
    </w:p>
    <w:p>
      <w:pPr>
        <w:numPr>
          <w:ilvl w:val="0"/>
          <w:numId w:val="30"/>
        </w:numPr>
        <w:tabs>
          <w:tab w:pos="481" w:val="left" w:leader="none"/>
        </w:tabs>
        <w:spacing w:before="240"/>
        <w:ind w:left="481" w:right="0" w:hanging="358"/>
        <w:jc w:val="left"/>
        <w:rPr>
          <w:b/>
          <w:sz w:val="22"/>
        </w:rPr>
      </w:pPr>
      <w:bookmarkStart w:name="3. Ensure that all agencies are providin" w:id="922"/>
      <w:bookmarkEnd w:id="922"/>
      <w:r>
        <w:rPr>
          <w:b/>
          <w:sz w:val="22"/>
        </w:rPr>
        <w:t>E</w:t>
      </w:r>
      <w:r>
        <w:rPr>
          <w:b/>
          <w:sz w:val="22"/>
        </w:rPr>
        <w:t>nsure</w:t>
      </w:r>
      <w:r>
        <w:rPr>
          <w:b/>
          <w:spacing w:val="-9"/>
          <w:sz w:val="22"/>
        </w:rPr>
        <w:t> </w:t>
      </w:r>
      <w:r>
        <w:rPr>
          <w:b/>
          <w:sz w:val="22"/>
        </w:rPr>
        <w:t>that</w:t>
      </w:r>
      <w:r>
        <w:rPr>
          <w:b/>
          <w:spacing w:val="-9"/>
          <w:sz w:val="22"/>
        </w:rPr>
        <w:t> </w:t>
      </w:r>
      <w:r>
        <w:rPr>
          <w:b/>
          <w:sz w:val="22"/>
        </w:rPr>
        <w:t>all</w:t>
      </w:r>
      <w:r>
        <w:rPr>
          <w:b/>
          <w:spacing w:val="-9"/>
          <w:sz w:val="22"/>
        </w:rPr>
        <w:t> </w:t>
      </w:r>
      <w:r>
        <w:rPr>
          <w:b/>
          <w:sz w:val="22"/>
        </w:rPr>
        <w:t>agencies</w:t>
      </w:r>
      <w:r>
        <w:rPr>
          <w:b/>
          <w:spacing w:val="-9"/>
          <w:sz w:val="22"/>
        </w:rPr>
        <w:t> </w:t>
      </w:r>
      <w:r>
        <w:rPr>
          <w:b/>
          <w:sz w:val="22"/>
        </w:rPr>
        <w:t>are</w:t>
      </w:r>
      <w:r>
        <w:rPr>
          <w:b/>
          <w:spacing w:val="-10"/>
          <w:sz w:val="22"/>
        </w:rPr>
        <w:t> </w:t>
      </w:r>
      <w:r>
        <w:rPr>
          <w:b/>
          <w:sz w:val="22"/>
        </w:rPr>
        <w:t>providing</w:t>
      </w:r>
      <w:r>
        <w:rPr>
          <w:b/>
          <w:spacing w:val="-7"/>
          <w:sz w:val="22"/>
        </w:rPr>
        <w:t> </w:t>
      </w:r>
      <w:r>
        <w:rPr>
          <w:b/>
          <w:sz w:val="22"/>
        </w:rPr>
        <w:t>mandated</w:t>
      </w:r>
      <w:r>
        <w:rPr>
          <w:b/>
          <w:spacing w:val="-8"/>
          <w:sz w:val="22"/>
        </w:rPr>
        <w:t> </w:t>
      </w:r>
      <w:r>
        <w:rPr>
          <w:b/>
          <w:sz w:val="22"/>
        </w:rPr>
        <w:t>LGBTQ</w:t>
      </w:r>
      <w:r>
        <w:rPr>
          <w:b/>
          <w:spacing w:val="-9"/>
          <w:sz w:val="22"/>
        </w:rPr>
        <w:t> </w:t>
      </w:r>
      <w:r>
        <w:rPr>
          <w:b/>
          <w:sz w:val="22"/>
        </w:rPr>
        <w:t>cultural</w:t>
      </w:r>
      <w:r>
        <w:rPr>
          <w:b/>
          <w:spacing w:val="-8"/>
          <w:sz w:val="22"/>
        </w:rPr>
        <w:t> </w:t>
      </w:r>
      <w:r>
        <w:rPr>
          <w:b/>
          <w:sz w:val="22"/>
        </w:rPr>
        <w:t>awareness</w:t>
      </w:r>
      <w:r>
        <w:rPr>
          <w:b/>
          <w:spacing w:val="-8"/>
          <w:sz w:val="22"/>
        </w:rPr>
        <w:t> </w:t>
      </w:r>
      <w:r>
        <w:rPr>
          <w:b/>
          <w:spacing w:val="-2"/>
          <w:sz w:val="22"/>
        </w:rPr>
        <w:t>trainings.</w:t>
      </w:r>
    </w:p>
    <w:p>
      <w:pPr>
        <w:pStyle w:val="BodyText"/>
        <w:spacing w:before="12"/>
        <w:rPr>
          <w:b/>
        </w:rPr>
      </w:pPr>
    </w:p>
    <w:p>
      <w:pPr>
        <w:pStyle w:val="BodyText"/>
        <w:spacing w:line="276" w:lineRule="auto"/>
        <w:ind w:left="482" w:right="338"/>
        <w:jc w:val="both"/>
      </w:pPr>
      <w:r>
        <w:rPr/>
        <w:t>The Commission recommends that all agencies engage their employees and contracted providers in mandatory,</w:t>
      </w:r>
      <w:r>
        <w:rPr>
          <w:spacing w:val="-13"/>
        </w:rPr>
        <w:t> </w:t>
      </w:r>
      <w:r>
        <w:rPr/>
        <w:t>recurring,</w:t>
      </w:r>
      <w:r>
        <w:rPr>
          <w:spacing w:val="-12"/>
        </w:rPr>
        <w:t> </w:t>
      </w:r>
      <w:r>
        <w:rPr/>
        <w:t>and</w:t>
      </w:r>
      <w:r>
        <w:rPr>
          <w:spacing w:val="-13"/>
        </w:rPr>
        <w:t> </w:t>
      </w:r>
      <w:r>
        <w:rPr/>
        <w:t>in-person</w:t>
      </w:r>
      <w:r>
        <w:rPr>
          <w:spacing w:val="-12"/>
        </w:rPr>
        <w:t> </w:t>
      </w:r>
      <w:r>
        <w:rPr/>
        <w:t>LGBTQ</w:t>
      </w:r>
      <w:r>
        <w:rPr>
          <w:spacing w:val="-13"/>
        </w:rPr>
        <w:t> </w:t>
      </w:r>
      <w:r>
        <w:rPr/>
        <w:t>cultural</w:t>
      </w:r>
      <w:r>
        <w:rPr>
          <w:spacing w:val="-12"/>
        </w:rPr>
        <w:t> </w:t>
      </w:r>
      <w:r>
        <w:rPr/>
        <w:t>awareness</w:t>
      </w:r>
      <w:r>
        <w:rPr>
          <w:spacing w:val="-13"/>
        </w:rPr>
        <w:t> </w:t>
      </w:r>
      <w:r>
        <w:rPr/>
        <w:t>trainings.</w:t>
      </w:r>
      <w:r>
        <w:rPr>
          <w:spacing w:val="-12"/>
        </w:rPr>
        <w:t> </w:t>
      </w:r>
      <w:r>
        <w:rPr/>
        <w:t>The</w:t>
      </w:r>
      <w:r>
        <w:rPr>
          <w:spacing w:val="-12"/>
        </w:rPr>
        <w:t> </w:t>
      </w:r>
      <w:r>
        <w:rPr/>
        <w:t>Commission</w:t>
      </w:r>
      <w:r>
        <w:rPr>
          <w:spacing w:val="-13"/>
        </w:rPr>
        <w:t> </w:t>
      </w:r>
      <w:r>
        <w:rPr/>
        <w:t>appreciates</w:t>
      </w:r>
      <w:r>
        <w:rPr>
          <w:spacing w:val="-12"/>
        </w:rPr>
        <w:t> </w:t>
      </w:r>
      <w:r>
        <w:rPr/>
        <w:t>the additions of LGBTQ-inclusive practices in various statewide online training portals for onboarding and annual reviews and is excited to continue working with state agencies on further development of online curriculum units for state employees. However, extensive research has shown the benefits of recurring, scenario-based and in-person professional development opportunities particularly for direct service and client-facing providers. It is essential that state employees and contractors can deliver competent, equitable, and affirming services to LGBTQ clients and residents, and learn how to work professionally and</w:t>
      </w:r>
      <w:r>
        <w:rPr>
          <w:spacing w:val="-13"/>
        </w:rPr>
        <w:t> </w:t>
      </w:r>
      <w:r>
        <w:rPr/>
        <w:t>respectfully</w:t>
      </w:r>
      <w:r>
        <w:rPr>
          <w:spacing w:val="-12"/>
        </w:rPr>
        <w:t> </w:t>
      </w:r>
      <w:r>
        <w:rPr/>
        <w:t>with</w:t>
      </w:r>
      <w:r>
        <w:rPr>
          <w:spacing w:val="-13"/>
        </w:rPr>
        <w:t> </w:t>
      </w:r>
      <w:r>
        <w:rPr/>
        <w:t>LGBTQ</w:t>
      </w:r>
      <w:r>
        <w:rPr>
          <w:spacing w:val="-12"/>
        </w:rPr>
        <w:t> </w:t>
      </w:r>
      <w:r>
        <w:rPr/>
        <w:t>colleagues.</w:t>
      </w:r>
      <w:r>
        <w:rPr>
          <w:spacing w:val="-13"/>
        </w:rPr>
        <w:t> </w:t>
      </w:r>
      <w:r>
        <w:rPr/>
        <w:t>Additionally,</w:t>
      </w:r>
      <w:r>
        <w:rPr>
          <w:spacing w:val="-12"/>
        </w:rPr>
        <w:t> </w:t>
      </w:r>
      <w:r>
        <w:rPr/>
        <w:t>as</w:t>
      </w:r>
      <w:r>
        <w:rPr>
          <w:spacing w:val="-13"/>
        </w:rPr>
        <w:t> </w:t>
      </w:r>
      <w:r>
        <w:rPr/>
        <w:t>is</w:t>
      </w:r>
      <w:r>
        <w:rPr>
          <w:spacing w:val="-12"/>
        </w:rPr>
        <w:t> </w:t>
      </w:r>
      <w:r>
        <w:rPr/>
        <w:t>true</w:t>
      </w:r>
      <w:r>
        <w:rPr>
          <w:spacing w:val="-12"/>
        </w:rPr>
        <w:t> </w:t>
      </w:r>
      <w:r>
        <w:rPr/>
        <w:t>with</w:t>
      </w:r>
      <w:r>
        <w:rPr>
          <w:spacing w:val="-13"/>
        </w:rPr>
        <w:t> </w:t>
      </w:r>
      <w:r>
        <w:rPr/>
        <w:t>the</w:t>
      </w:r>
      <w:r>
        <w:rPr>
          <w:spacing w:val="-12"/>
        </w:rPr>
        <w:t> </w:t>
      </w:r>
      <w:r>
        <w:rPr/>
        <w:t>Commission’s</w:t>
      </w:r>
      <w:r>
        <w:rPr>
          <w:spacing w:val="-13"/>
        </w:rPr>
        <w:t> </w:t>
      </w:r>
      <w:r>
        <w:rPr/>
        <w:t>training</w:t>
      </w:r>
      <w:r>
        <w:rPr>
          <w:spacing w:val="-12"/>
        </w:rPr>
        <w:t> </w:t>
      </w:r>
      <w:r>
        <w:rPr/>
        <w:t>curriculum, training opportunities should center concepts of intersectionality and issues particular to QTBIPOC communities. The Commission believes that by uplifting the most marginalized youth among us, we can uplift all youth.</w:t>
      </w:r>
    </w:p>
    <w:p>
      <w:pPr>
        <w:pStyle w:val="BodyText"/>
        <w:spacing w:line="276" w:lineRule="auto" w:before="239"/>
        <w:ind w:left="483" w:right="343"/>
        <w:jc w:val="both"/>
      </w:pPr>
      <w:r>
        <w:rPr/>
        <w:t>While this year, the Commission’s FY 2025 recommendations covers 19 secretariats and state agencies, there are additional agencies that the Commission works with and has yet to issue recommendations to – or has in the past issued recommendations – but partners with on trainings. For example, for several years until FY 2025, the Commission issued specific recommendations to the Registry of Motor Vehicles</w:t>
      </w:r>
    </w:p>
    <w:p>
      <w:pPr>
        <w:spacing w:after="0" w:line="276" w:lineRule="auto"/>
        <w:jc w:val="both"/>
        <w:sectPr>
          <w:pgSz w:w="12240" w:h="15840"/>
          <w:pgMar w:header="771" w:footer="1427" w:top="980" w:bottom="1620" w:left="960" w:right="1100"/>
        </w:sectPr>
      </w:pPr>
    </w:p>
    <w:p>
      <w:pPr>
        <w:pStyle w:val="BodyText"/>
        <w:spacing w:line="276" w:lineRule="auto" w:before="99"/>
        <w:ind w:left="483" w:right="343"/>
        <w:jc w:val="both"/>
      </w:pPr>
      <w:r>
        <w:rPr/>
        <w:t>(RMV); the Commission has been pleased with RMV’s progress on its past recommendations, detailed out in previous iterations of this report. However, despite removing its agency section from this year’s report, the Commission continues to recommend that the RMV – and other state agencies working or serving Massachusetts youth – provide LGBTQ cultural trainings to their employees.</w:t>
      </w:r>
    </w:p>
    <w:p>
      <w:pPr>
        <w:pStyle w:val="BodyText"/>
        <w:spacing w:line="276" w:lineRule="auto" w:before="239"/>
        <w:ind w:left="483" w:right="342"/>
        <w:jc w:val="both"/>
      </w:pPr>
      <w:r>
        <w:rPr/>
        <w:t>For the last few years, the Commission has been grateful for the support and collaboration with the Executive Office of Health and Human Services (EOHHS) on the development and implementation of a statewide LGBTQ training curriculum. In November of 2022, the Commission and EOHHS officially launched</w:t>
      </w:r>
      <w:r>
        <w:rPr>
          <w:spacing w:val="-2"/>
        </w:rPr>
        <w:t> </w:t>
      </w:r>
      <w:r>
        <w:rPr/>
        <w:t>a</w:t>
      </w:r>
      <w:r>
        <w:rPr>
          <w:spacing w:val="-1"/>
        </w:rPr>
        <w:t> </w:t>
      </w:r>
      <w:r>
        <w:rPr/>
        <w:t>statewide</w:t>
      </w:r>
      <w:r>
        <w:rPr>
          <w:spacing w:val="-2"/>
        </w:rPr>
        <w:t> </w:t>
      </w:r>
      <w:r>
        <w:rPr/>
        <w:t>agency</w:t>
      </w:r>
      <w:r>
        <w:rPr>
          <w:spacing w:val="-3"/>
        </w:rPr>
        <w:t> </w:t>
      </w:r>
      <w:r>
        <w:rPr/>
        <w:t>training</w:t>
      </w:r>
      <w:r>
        <w:rPr>
          <w:spacing w:val="-2"/>
        </w:rPr>
        <w:t> </w:t>
      </w:r>
      <w:r>
        <w:rPr/>
        <w:t>request</w:t>
      </w:r>
      <w:r>
        <w:rPr>
          <w:spacing w:val="-3"/>
        </w:rPr>
        <w:t> </w:t>
      </w:r>
      <w:r>
        <w:rPr/>
        <w:t>system</w:t>
      </w:r>
      <w:r>
        <w:rPr>
          <w:spacing w:val="-1"/>
        </w:rPr>
        <w:t> </w:t>
      </w:r>
      <w:r>
        <w:rPr/>
        <w:t>and</w:t>
      </w:r>
      <w:r>
        <w:rPr>
          <w:spacing w:val="-2"/>
        </w:rPr>
        <w:t> </w:t>
      </w:r>
      <w:r>
        <w:rPr/>
        <w:t>have</w:t>
      </w:r>
      <w:r>
        <w:rPr>
          <w:spacing w:val="-3"/>
        </w:rPr>
        <w:t> </w:t>
      </w:r>
      <w:r>
        <w:rPr/>
        <w:t>launched</w:t>
      </w:r>
      <w:r>
        <w:rPr>
          <w:spacing w:val="-3"/>
        </w:rPr>
        <w:t> </w:t>
      </w:r>
      <w:r>
        <w:rPr/>
        <w:t>a</w:t>
      </w:r>
      <w:r>
        <w:rPr>
          <w:spacing w:val="-3"/>
        </w:rPr>
        <w:t> </w:t>
      </w:r>
      <w:r>
        <w:rPr/>
        <w:t>brand</w:t>
      </w:r>
      <w:r>
        <w:rPr>
          <w:spacing w:val="-4"/>
        </w:rPr>
        <w:t> </w:t>
      </w:r>
      <w:r>
        <w:rPr/>
        <w:t>new</w:t>
      </w:r>
      <w:r>
        <w:rPr>
          <w:spacing w:val="-2"/>
        </w:rPr>
        <w:t> </w:t>
      </w:r>
      <w:r>
        <w:rPr/>
        <w:t>series</w:t>
      </w:r>
      <w:r>
        <w:rPr>
          <w:spacing w:val="-1"/>
        </w:rPr>
        <w:t> </w:t>
      </w:r>
      <w:r>
        <w:rPr/>
        <w:t>of</w:t>
      </w:r>
      <w:r>
        <w:rPr>
          <w:spacing w:val="-4"/>
        </w:rPr>
        <w:t> </w:t>
      </w:r>
      <w:r>
        <w:rPr/>
        <w:t>train-the- trainer</w:t>
      </w:r>
      <w:r>
        <w:rPr>
          <w:spacing w:val="-9"/>
        </w:rPr>
        <w:t> </w:t>
      </w:r>
      <w:r>
        <w:rPr/>
        <w:t>sessions</w:t>
      </w:r>
      <w:r>
        <w:rPr>
          <w:spacing w:val="-8"/>
        </w:rPr>
        <w:t> </w:t>
      </w:r>
      <w:r>
        <w:rPr/>
        <w:t>to</w:t>
      </w:r>
      <w:r>
        <w:rPr>
          <w:spacing w:val="-8"/>
        </w:rPr>
        <w:t> </w:t>
      </w:r>
      <w:r>
        <w:rPr/>
        <w:t>build</w:t>
      </w:r>
      <w:r>
        <w:rPr>
          <w:spacing w:val="-8"/>
        </w:rPr>
        <w:t> </w:t>
      </w:r>
      <w:r>
        <w:rPr/>
        <w:t>internal</w:t>
      </w:r>
      <w:r>
        <w:rPr>
          <w:spacing w:val="-9"/>
        </w:rPr>
        <w:t> </w:t>
      </w:r>
      <w:r>
        <w:rPr/>
        <w:t>training</w:t>
      </w:r>
      <w:r>
        <w:rPr>
          <w:spacing w:val="-8"/>
        </w:rPr>
        <w:t> </w:t>
      </w:r>
      <w:r>
        <w:rPr/>
        <w:t>capacity</w:t>
      </w:r>
      <w:r>
        <w:rPr>
          <w:spacing w:val="-9"/>
        </w:rPr>
        <w:t> </w:t>
      </w:r>
      <w:r>
        <w:rPr/>
        <w:t>within</w:t>
      </w:r>
      <w:r>
        <w:rPr>
          <w:spacing w:val="-9"/>
        </w:rPr>
        <w:t> </w:t>
      </w:r>
      <w:r>
        <w:rPr/>
        <w:t>seven</w:t>
      </w:r>
      <w:r>
        <w:rPr>
          <w:spacing w:val="-9"/>
        </w:rPr>
        <w:t> </w:t>
      </w:r>
      <w:r>
        <w:rPr/>
        <w:t>state</w:t>
      </w:r>
      <w:r>
        <w:rPr>
          <w:spacing w:val="-9"/>
        </w:rPr>
        <w:t> </w:t>
      </w:r>
      <w:r>
        <w:rPr/>
        <w:t>agencies</w:t>
      </w:r>
      <w:r>
        <w:rPr>
          <w:spacing w:val="-2"/>
        </w:rPr>
        <w:t> </w:t>
      </w:r>
      <w:r>
        <w:rPr/>
        <w:t>–</w:t>
      </w:r>
      <w:r>
        <w:rPr>
          <w:spacing w:val="-4"/>
        </w:rPr>
        <w:t> </w:t>
      </w:r>
      <w:r>
        <w:rPr/>
        <w:t>a</w:t>
      </w:r>
      <w:r>
        <w:rPr>
          <w:spacing w:val="-1"/>
        </w:rPr>
        <w:t> </w:t>
      </w:r>
      <w:r>
        <w:rPr/>
        <w:t>new</w:t>
      </w:r>
      <w:r>
        <w:rPr>
          <w:spacing w:val="-4"/>
        </w:rPr>
        <w:t> </w:t>
      </w:r>
      <w:r>
        <w:rPr/>
        <w:t>round</w:t>
      </w:r>
      <w:r>
        <w:rPr>
          <w:spacing w:val="-4"/>
        </w:rPr>
        <w:t> </w:t>
      </w:r>
      <w:r>
        <w:rPr/>
        <w:t>of</w:t>
      </w:r>
      <w:r>
        <w:rPr>
          <w:spacing w:val="-3"/>
        </w:rPr>
        <w:t> </w:t>
      </w:r>
      <w:r>
        <w:rPr/>
        <w:t>which</w:t>
      </w:r>
      <w:r>
        <w:rPr>
          <w:spacing w:val="-4"/>
        </w:rPr>
        <w:t> </w:t>
      </w:r>
      <w:r>
        <w:rPr/>
        <w:t>will begin in FY 2025. The Commission has further begun conversations with the Department of Early Education and Care (EEC) and the Executive Office of Public Safety and Services (EOPSS) for trainings of which some were able to take place in FY 2024 and will continue into FY 2025. In FY 2025, the Commission hopes to build on this system by partnering with health-based community organizations, medical facilities, and state agencies to launch a training initiative to support health care providers improve</w:t>
      </w:r>
      <w:r>
        <w:rPr>
          <w:spacing w:val="-3"/>
        </w:rPr>
        <w:t> </w:t>
      </w:r>
      <w:r>
        <w:rPr/>
        <w:t>their</w:t>
      </w:r>
      <w:r>
        <w:rPr>
          <w:spacing w:val="-3"/>
        </w:rPr>
        <w:t> </w:t>
      </w:r>
      <w:r>
        <w:rPr/>
        <w:t>services</w:t>
      </w:r>
      <w:r>
        <w:rPr>
          <w:spacing w:val="-3"/>
        </w:rPr>
        <w:t> </w:t>
      </w:r>
      <w:r>
        <w:rPr/>
        <w:t>for</w:t>
      </w:r>
      <w:r>
        <w:rPr>
          <w:spacing w:val="-3"/>
        </w:rPr>
        <w:t> </w:t>
      </w:r>
      <w:r>
        <w:rPr/>
        <w:t>LGBTQ</w:t>
      </w:r>
      <w:r>
        <w:rPr>
          <w:spacing w:val="-3"/>
        </w:rPr>
        <w:t> </w:t>
      </w:r>
      <w:r>
        <w:rPr/>
        <w:t>youth,</w:t>
      </w:r>
      <w:r>
        <w:rPr>
          <w:spacing w:val="-2"/>
        </w:rPr>
        <w:t> </w:t>
      </w:r>
      <w:r>
        <w:rPr/>
        <w:t>particularly</w:t>
      </w:r>
      <w:r>
        <w:rPr>
          <w:spacing w:val="-3"/>
        </w:rPr>
        <w:t> </w:t>
      </w:r>
      <w:r>
        <w:rPr/>
        <w:t>in</w:t>
      </w:r>
      <w:r>
        <w:rPr>
          <w:spacing w:val="-3"/>
        </w:rPr>
        <w:t> </w:t>
      </w:r>
      <w:r>
        <w:rPr/>
        <w:t>areas</w:t>
      </w:r>
      <w:r>
        <w:rPr>
          <w:spacing w:val="-3"/>
        </w:rPr>
        <w:t> </w:t>
      </w:r>
      <w:r>
        <w:rPr/>
        <w:t>of</w:t>
      </w:r>
      <w:r>
        <w:rPr>
          <w:spacing w:val="-3"/>
        </w:rPr>
        <w:t> </w:t>
      </w:r>
      <w:r>
        <w:rPr/>
        <w:t>mental</w:t>
      </w:r>
      <w:r>
        <w:rPr>
          <w:spacing w:val="-3"/>
        </w:rPr>
        <w:t> </w:t>
      </w:r>
      <w:r>
        <w:rPr/>
        <w:t>health</w:t>
      </w:r>
      <w:r>
        <w:rPr>
          <w:spacing w:val="-3"/>
        </w:rPr>
        <w:t> </w:t>
      </w:r>
      <w:r>
        <w:rPr/>
        <w:t>and</w:t>
      </w:r>
      <w:r>
        <w:rPr>
          <w:spacing w:val="-3"/>
        </w:rPr>
        <w:t> </w:t>
      </w:r>
      <w:r>
        <w:rPr/>
        <w:t>gender-affirming</w:t>
      </w:r>
      <w:r>
        <w:rPr>
          <w:spacing w:val="-3"/>
        </w:rPr>
        <w:t> </w:t>
      </w:r>
      <w:r>
        <w:rPr/>
        <w:t>care.</w:t>
      </w:r>
    </w:p>
    <w:p>
      <w:pPr>
        <w:numPr>
          <w:ilvl w:val="0"/>
          <w:numId w:val="30"/>
        </w:numPr>
        <w:tabs>
          <w:tab w:pos="481" w:val="left" w:leader="none"/>
          <w:tab w:pos="483" w:val="left" w:leader="none"/>
        </w:tabs>
        <w:spacing w:line="276" w:lineRule="auto" w:before="240"/>
        <w:ind w:left="483" w:right="345" w:hanging="360"/>
        <w:jc w:val="left"/>
        <w:rPr>
          <w:b/>
          <w:sz w:val="22"/>
        </w:rPr>
      </w:pPr>
      <w:bookmarkStart w:name="4. Develop a Youth Risk Behavior Survey " w:id="923"/>
      <w:bookmarkEnd w:id="923"/>
      <w:r>
        <w:rPr>
          <w:b/>
          <w:sz w:val="22"/>
        </w:rPr>
        <w:t>De</w:t>
      </w:r>
      <w:r>
        <w:rPr>
          <w:b/>
          <w:sz w:val="22"/>
        </w:rPr>
        <w:t>velop a Youth Risk Behavior Survey at the middle-school level and conduct an assessment on the</w:t>
      </w:r>
      <w:r>
        <w:rPr>
          <w:b/>
          <w:spacing w:val="40"/>
          <w:sz w:val="22"/>
        </w:rPr>
        <w:t> </w:t>
      </w:r>
      <w:r>
        <w:rPr>
          <w:b/>
          <w:sz w:val="22"/>
        </w:rPr>
        <w:t>needs of parents and elementary school educators.</w:t>
      </w:r>
    </w:p>
    <w:p>
      <w:pPr>
        <w:pStyle w:val="BodyText"/>
        <w:spacing w:line="276" w:lineRule="auto" w:before="240"/>
        <w:ind w:left="484" w:right="342" w:hanging="1"/>
        <w:jc w:val="both"/>
      </w:pPr>
      <w:r>
        <w:rPr/>
        <w:t>The</w:t>
      </w:r>
      <w:r>
        <w:rPr>
          <w:spacing w:val="-2"/>
        </w:rPr>
        <w:t> </w:t>
      </w:r>
      <w:r>
        <w:rPr/>
        <w:t>Commission</w:t>
      </w:r>
      <w:r>
        <w:rPr>
          <w:spacing w:val="-4"/>
        </w:rPr>
        <w:t> </w:t>
      </w:r>
      <w:r>
        <w:rPr/>
        <w:t>recommends</w:t>
      </w:r>
      <w:r>
        <w:rPr>
          <w:spacing w:val="-1"/>
        </w:rPr>
        <w:t> </w:t>
      </w:r>
      <w:r>
        <w:rPr/>
        <w:t>that</w:t>
      </w:r>
      <w:r>
        <w:rPr>
          <w:spacing w:val="-2"/>
        </w:rPr>
        <w:t> </w:t>
      </w:r>
      <w:r>
        <w:rPr/>
        <w:t>the</w:t>
      </w:r>
      <w:r>
        <w:rPr>
          <w:spacing w:val="-3"/>
        </w:rPr>
        <w:t> </w:t>
      </w:r>
      <w:r>
        <w:rPr/>
        <w:t>state</w:t>
      </w:r>
      <w:r>
        <w:rPr>
          <w:spacing w:val="-3"/>
        </w:rPr>
        <w:t> </w:t>
      </w:r>
      <w:r>
        <w:rPr/>
        <w:t>develop</w:t>
      </w:r>
      <w:r>
        <w:rPr>
          <w:spacing w:val="-2"/>
        </w:rPr>
        <w:t> </w:t>
      </w:r>
      <w:r>
        <w:rPr/>
        <w:t>and</w:t>
      </w:r>
      <w:r>
        <w:rPr>
          <w:spacing w:val="-3"/>
        </w:rPr>
        <w:t> </w:t>
      </w:r>
      <w:r>
        <w:rPr/>
        <w:t>conduct</w:t>
      </w:r>
      <w:r>
        <w:rPr>
          <w:spacing w:val="-2"/>
        </w:rPr>
        <w:t> </w:t>
      </w:r>
      <w:r>
        <w:rPr/>
        <w:t>a</w:t>
      </w:r>
      <w:r>
        <w:rPr>
          <w:spacing w:val="-4"/>
        </w:rPr>
        <w:t> </w:t>
      </w:r>
      <w:r>
        <w:rPr/>
        <w:t>biannual</w:t>
      </w:r>
      <w:r>
        <w:rPr>
          <w:spacing w:val="-3"/>
        </w:rPr>
        <w:t> </w:t>
      </w:r>
      <w:r>
        <w:rPr/>
        <w:t>Youth</w:t>
      </w:r>
      <w:r>
        <w:rPr>
          <w:spacing w:val="-2"/>
        </w:rPr>
        <w:t> </w:t>
      </w:r>
      <w:r>
        <w:rPr/>
        <w:t>Risk</w:t>
      </w:r>
      <w:r>
        <w:rPr>
          <w:spacing w:val="-3"/>
        </w:rPr>
        <w:t> </w:t>
      </w:r>
      <w:r>
        <w:rPr/>
        <w:t>Behavior</w:t>
      </w:r>
      <w:r>
        <w:rPr>
          <w:spacing w:val="-3"/>
        </w:rPr>
        <w:t> </w:t>
      </w:r>
      <w:r>
        <w:rPr/>
        <w:t>Survey at the middle-school level to better capture experiences of LGBTQ youth in public middle schools. As discussed throughout this annual report, the Massachusetts Youth Risk Behavior Survey (MYRBS) is one of</w:t>
      </w:r>
      <w:r>
        <w:rPr>
          <w:spacing w:val="-3"/>
        </w:rPr>
        <w:t> </w:t>
      </w:r>
      <w:r>
        <w:rPr/>
        <w:t>the</w:t>
      </w:r>
      <w:r>
        <w:rPr>
          <w:spacing w:val="-2"/>
        </w:rPr>
        <w:t> </w:t>
      </w:r>
      <w:r>
        <w:rPr/>
        <w:t>largest</w:t>
      </w:r>
      <w:r>
        <w:rPr>
          <w:spacing w:val="-2"/>
        </w:rPr>
        <w:t> </w:t>
      </w:r>
      <w:r>
        <w:rPr/>
        <w:t>statewide</w:t>
      </w:r>
      <w:r>
        <w:rPr>
          <w:spacing w:val="-2"/>
        </w:rPr>
        <w:t> </w:t>
      </w:r>
      <w:r>
        <w:rPr/>
        <w:t>data</w:t>
      </w:r>
      <w:r>
        <w:rPr>
          <w:spacing w:val="-3"/>
        </w:rPr>
        <w:t> </w:t>
      </w:r>
      <w:r>
        <w:rPr/>
        <w:t>sources</w:t>
      </w:r>
      <w:r>
        <w:rPr>
          <w:spacing w:val="-2"/>
        </w:rPr>
        <w:t> </w:t>
      </w:r>
      <w:r>
        <w:rPr/>
        <w:t>on</w:t>
      </w:r>
      <w:r>
        <w:rPr>
          <w:spacing w:val="-2"/>
        </w:rPr>
        <w:t> </w:t>
      </w:r>
      <w:r>
        <w:rPr/>
        <w:t>LGBTQ</w:t>
      </w:r>
      <w:r>
        <w:rPr>
          <w:spacing w:val="-3"/>
        </w:rPr>
        <w:t> </w:t>
      </w:r>
      <w:r>
        <w:rPr/>
        <w:t>youth</w:t>
      </w:r>
      <w:r>
        <w:rPr>
          <w:spacing w:val="-2"/>
        </w:rPr>
        <w:t> </w:t>
      </w:r>
      <w:r>
        <w:rPr/>
        <w:t>experiences at</w:t>
      </w:r>
      <w:r>
        <w:rPr>
          <w:spacing w:val="-2"/>
        </w:rPr>
        <w:t> </w:t>
      </w:r>
      <w:r>
        <w:rPr/>
        <w:t>the</w:t>
      </w:r>
      <w:r>
        <w:rPr>
          <w:spacing w:val="-2"/>
        </w:rPr>
        <w:t> </w:t>
      </w:r>
      <w:r>
        <w:rPr/>
        <w:t>high</w:t>
      </w:r>
      <w:r>
        <w:rPr>
          <w:spacing w:val="-2"/>
        </w:rPr>
        <w:t> </w:t>
      </w:r>
      <w:r>
        <w:rPr/>
        <w:t>school</w:t>
      </w:r>
      <w:r>
        <w:rPr>
          <w:spacing w:val="-3"/>
        </w:rPr>
        <w:t> </w:t>
      </w:r>
      <w:r>
        <w:rPr/>
        <w:t>level.</w:t>
      </w:r>
      <w:r>
        <w:rPr>
          <w:spacing w:val="-1"/>
        </w:rPr>
        <w:t> </w:t>
      </w:r>
      <w:r>
        <w:rPr/>
        <w:t>The</w:t>
      </w:r>
      <w:r>
        <w:rPr>
          <w:spacing w:val="-3"/>
        </w:rPr>
        <w:t> </w:t>
      </w:r>
      <w:r>
        <w:rPr/>
        <w:t>MYRBS</w:t>
      </w:r>
      <w:r>
        <w:rPr>
          <w:spacing w:val="-3"/>
        </w:rPr>
        <w:t> </w:t>
      </w:r>
      <w:r>
        <w:rPr/>
        <w:t>is conducted by the Department of Elementary and Secondary Education (DESE) in collaboration with the Department of Public Health (DPH) and the Centers for Disease Control and Prevention (CDC) on odd numbered years in randomly-selected high schools. The survey provides a wide array of questions on health and sexual behaviors which help determine strategies and plans to improving the health and education of youth across the state</w:t>
      </w:r>
      <w:bookmarkStart w:name="_bookmark621" w:id="924"/>
      <w:bookmarkEnd w:id="924"/>
      <w:r>
        <w:rPr/>
        <w:t>.</w:t>
      </w:r>
    </w:p>
    <w:p>
      <w:pPr>
        <w:pStyle w:val="BodyText"/>
        <w:spacing w:line="276" w:lineRule="auto" w:before="239"/>
        <w:ind w:left="485" w:right="341" w:hanging="1"/>
        <w:jc w:val="both"/>
      </w:pPr>
      <w:r>
        <w:rPr/>
        <w:t>However,</w:t>
      </w:r>
      <w:r>
        <w:rPr>
          <w:spacing w:val="-2"/>
        </w:rPr>
        <w:t> </w:t>
      </w:r>
      <w:r>
        <w:rPr/>
        <w:t>for</w:t>
      </w:r>
      <w:r>
        <w:rPr>
          <w:spacing w:val="-1"/>
        </w:rPr>
        <w:t> </w:t>
      </w:r>
      <w:r>
        <w:rPr/>
        <w:t>several</w:t>
      </w:r>
      <w:r>
        <w:rPr>
          <w:spacing w:val="-3"/>
        </w:rPr>
        <w:t> </w:t>
      </w:r>
      <w:r>
        <w:rPr/>
        <w:t>years,</w:t>
      </w:r>
      <w:r>
        <w:rPr>
          <w:spacing w:val="-3"/>
        </w:rPr>
        <w:t> </w:t>
      </w:r>
      <w:r>
        <w:rPr/>
        <w:t>the</w:t>
      </w:r>
      <w:r>
        <w:rPr>
          <w:spacing w:val="-2"/>
        </w:rPr>
        <w:t> </w:t>
      </w:r>
      <w:r>
        <w:rPr/>
        <w:t>Commission</w:t>
      </w:r>
      <w:r>
        <w:rPr>
          <w:spacing w:val="-2"/>
        </w:rPr>
        <w:t> </w:t>
      </w:r>
      <w:r>
        <w:rPr/>
        <w:t>has</w:t>
      </w:r>
      <w:r>
        <w:rPr>
          <w:spacing w:val="-1"/>
        </w:rPr>
        <w:t> </w:t>
      </w:r>
      <w:r>
        <w:rPr/>
        <w:t>discussed</w:t>
      </w:r>
      <w:r>
        <w:rPr>
          <w:spacing w:val="-2"/>
        </w:rPr>
        <w:t> </w:t>
      </w:r>
      <w:r>
        <w:rPr/>
        <w:t>the</w:t>
      </w:r>
      <w:r>
        <w:rPr>
          <w:spacing w:val="-2"/>
        </w:rPr>
        <w:t> </w:t>
      </w:r>
      <w:r>
        <w:rPr/>
        <w:t>benefits</w:t>
      </w:r>
      <w:r>
        <w:rPr>
          <w:spacing w:val="-3"/>
        </w:rPr>
        <w:t> </w:t>
      </w:r>
      <w:r>
        <w:rPr/>
        <w:t>of</w:t>
      </w:r>
      <w:r>
        <w:rPr>
          <w:spacing w:val="-2"/>
        </w:rPr>
        <w:t> </w:t>
      </w:r>
      <w:r>
        <w:rPr/>
        <w:t>developing</w:t>
      </w:r>
      <w:r>
        <w:rPr>
          <w:spacing w:val="-2"/>
        </w:rPr>
        <w:t> </w:t>
      </w:r>
      <w:r>
        <w:rPr/>
        <w:t>a statewide</w:t>
      </w:r>
      <w:r>
        <w:rPr>
          <w:spacing w:val="-1"/>
        </w:rPr>
        <w:t> </w:t>
      </w:r>
      <w:r>
        <w:rPr/>
        <w:t>middle school survey to better understand and address risk behaviors occurring during early adolescence. According to the 2021 Trevor Project survey, bullying was reported much more often by LGBTQ middle </w:t>
      </w:r>
      <w:bookmarkStart w:name="_bookmark622" w:id="925"/>
      <w:bookmarkEnd w:id="925"/>
      <w:r>
        <w:rPr/>
        <w:t>s</w:t>
      </w:r>
      <w:r>
        <w:rPr/>
        <w:t>chool students at 65%, compared to 49% high school students. Among these middle school youth, 29% attempted</w:t>
      </w:r>
      <w:r>
        <w:rPr>
          <w:spacing w:val="-3"/>
        </w:rPr>
        <w:t> </w:t>
      </w:r>
      <w:r>
        <w:rPr/>
        <w:t>suicide</w:t>
      </w:r>
      <w:r>
        <w:rPr>
          <w:spacing w:val="-1"/>
        </w:rPr>
        <w:t> </w:t>
      </w:r>
      <w:r>
        <w:rPr/>
        <w:t>in</w:t>
      </w:r>
      <w:r>
        <w:rPr>
          <w:spacing w:val="-3"/>
        </w:rPr>
        <w:t> </w:t>
      </w:r>
      <w:r>
        <w:rPr/>
        <w:t>the</w:t>
      </w:r>
      <w:r>
        <w:rPr>
          <w:spacing w:val="-2"/>
        </w:rPr>
        <w:t> </w:t>
      </w:r>
      <w:r>
        <w:rPr/>
        <w:t>past</w:t>
      </w:r>
      <w:r>
        <w:rPr>
          <w:spacing w:val="-2"/>
        </w:rPr>
        <w:t> </w:t>
      </w:r>
      <w:r>
        <w:rPr/>
        <w:t>year</w:t>
      </w:r>
      <w:r>
        <w:rPr>
          <w:spacing w:val="-1"/>
        </w:rPr>
        <w:t> </w:t>
      </w:r>
      <w:r>
        <w:rPr/>
        <w:t>due</w:t>
      </w:r>
      <w:r>
        <w:rPr>
          <w:spacing w:val="-1"/>
        </w:rPr>
        <w:t> </w:t>
      </w:r>
      <w:r>
        <w:rPr/>
        <w:t>to</w:t>
      </w:r>
      <w:r>
        <w:rPr>
          <w:spacing w:val="-1"/>
        </w:rPr>
        <w:t> </w:t>
      </w:r>
      <w:r>
        <w:rPr/>
        <w:t>experiences</w:t>
      </w:r>
      <w:r>
        <w:rPr>
          <w:spacing w:val="-1"/>
        </w:rPr>
        <w:t> </w:t>
      </w:r>
      <w:r>
        <w:rPr/>
        <w:t>with</w:t>
      </w:r>
      <w:r>
        <w:rPr>
          <w:spacing w:val="-2"/>
        </w:rPr>
        <w:t> </w:t>
      </w:r>
      <w:r>
        <w:rPr/>
        <w:t>in-person</w:t>
      </w:r>
      <w:r>
        <w:rPr>
          <w:spacing w:val="-3"/>
        </w:rPr>
        <w:t> </w:t>
      </w:r>
      <w:r>
        <w:rPr/>
        <w:t>or</w:t>
      </w:r>
      <w:r>
        <w:rPr>
          <w:spacing w:val="-3"/>
        </w:rPr>
        <w:t> </w:t>
      </w:r>
      <w:r>
        <w:rPr/>
        <w:t>cyberbullying, compared</w:t>
      </w:r>
      <w:r>
        <w:rPr>
          <w:spacing w:val="-2"/>
        </w:rPr>
        <w:t> </w:t>
      </w:r>
      <w:r>
        <w:rPr/>
        <w:t>to</w:t>
      </w:r>
      <w:r>
        <w:rPr>
          <w:spacing w:val="-1"/>
        </w:rPr>
        <w:t> </w:t>
      </w:r>
      <w:r>
        <w:rPr/>
        <w:t>25% of high school students</w:t>
      </w:r>
      <w:hyperlink w:history="true" w:anchor="_bookmark622">
        <w:r>
          <w:rPr/>
          <w:t>.</w:t>
        </w:r>
        <w:r>
          <w:rPr>
            <w:vertAlign w:val="superscript"/>
          </w:rPr>
          <w:t>2</w:t>
        </w:r>
      </w:hyperlink>
    </w:p>
    <w:p>
      <w:pPr>
        <w:numPr>
          <w:ilvl w:val="0"/>
          <w:numId w:val="30"/>
        </w:numPr>
        <w:tabs>
          <w:tab w:pos="481" w:val="left" w:leader="none"/>
        </w:tabs>
        <w:spacing w:before="242"/>
        <w:ind w:left="481" w:right="0" w:hanging="358"/>
        <w:jc w:val="left"/>
        <w:rPr>
          <w:b/>
          <w:sz w:val="22"/>
        </w:rPr>
      </w:pPr>
      <w:bookmarkStart w:name="5. Codify provisions to allow residents " w:id="926"/>
      <w:bookmarkEnd w:id="926"/>
      <w:r>
        <w:rPr>
          <w:b/>
          <w:sz w:val="22"/>
        </w:rPr>
        <w:t>C</w:t>
      </w:r>
      <w:r>
        <w:rPr>
          <w:b/>
          <w:sz w:val="22"/>
        </w:rPr>
        <w:t>odify</w:t>
      </w:r>
      <w:r>
        <w:rPr>
          <w:b/>
          <w:spacing w:val="-6"/>
          <w:sz w:val="22"/>
        </w:rPr>
        <w:t> </w:t>
      </w:r>
      <w:r>
        <w:rPr>
          <w:b/>
          <w:sz w:val="22"/>
        </w:rPr>
        <w:t>provisions</w:t>
      </w:r>
      <w:r>
        <w:rPr>
          <w:b/>
          <w:spacing w:val="-7"/>
          <w:sz w:val="22"/>
        </w:rPr>
        <w:t> </w:t>
      </w:r>
      <w:r>
        <w:rPr>
          <w:b/>
          <w:sz w:val="22"/>
        </w:rPr>
        <w:t>to</w:t>
      </w:r>
      <w:r>
        <w:rPr>
          <w:b/>
          <w:spacing w:val="-6"/>
          <w:sz w:val="22"/>
        </w:rPr>
        <w:t> </w:t>
      </w:r>
      <w:r>
        <w:rPr>
          <w:b/>
          <w:sz w:val="22"/>
        </w:rPr>
        <w:t>allow</w:t>
      </w:r>
      <w:r>
        <w:rPr>
          <w:b/>
          <w:spacing w:val="-7"/>
          <w:sz w:val="22"/>
        </w:rPr>
        <w:t> </w:t>
      </w:r>
      <w:r>
        <w:rPr>
          <w:b/>
          <w:sz w:val="22"/>
        </w:rPr>
        <w:t>residents</w:t>
      </w:r>
      <w:r>
        <w:rPr>
          <w:b/>
          <w:spacing w:val="-7"/>
          <w:sz w:val="22"/>
        </w:rPr>
        <w:t> </w:t>
      </w:r>
      <w:r>
        <w:rPr>
          <w:b/>
          <w:sz w:val="22"/>
        </w:rPr>
        <w:t>to</w:t>
      </w:r>
      <w:r>
        <w:rPr>
          <w:b/>
          <w:spacing w:val="-7"/>
          <w:sz w:val="22"/>
        </w:rPr>
        <w:t> </w:t>
      </w:r>
      <w:r>
        <w:rPr>
          <w:b/>
          <w:sz w:val="22"/>
        </w:rPr>
        <w:t>change</w:t>
      </w:r>
      <w:r>
        <w:rPr>
          <w:b/>
          <w:spacing w:val="-7"/>
          <w:sz w:val="22"/>
        </w:rPr>
        <w:t> </w:t>
      </w:r>
      <w:r>
        <w:rPr>
          <w:b/>
          <w:sz w:val="22"/>
        </w:rPr>
        <w:t>gender</w:t>
      </w:r>
      <w:r>
        <w:rPr>
          <w:b/>
          <w:spacing w:val="-7"/>
          <w:sz w:val="22"/>
        </w:rPr>
        <w:t> </w:t>
      </w:r>
      <w:r>
        <w:rPr>
          <w:b/>
          <w:sz w:val="22"/>
        </w:rPr>
        <w:t>markers</w:t>
      </w:r>
      <w:r>
        <w:rPr>
          <w:b/>
          <w:spacing w:val="-7"/>
          <w:sz w:val="22"/>
        </w:rPr>
        <w:t> </w:t>
      </w:r>
      <w:r>
        <w:rPr>
          <w:b/>
          <w:sz w:val="22"/>
        </w:rPr>
        <w:t>on</w:t>
      </w:r>
      <w:r>
        <w:rPr>
          <w:b/>
          <w:spacing w:val="-6"/>
          <w:sz w:val="22"/>
        </w:rPr>
        <w:t> </w:t>
      </w:r>
      <w:r>
        <w:rPr>
          <w:b/>
          <w:sz w:val="22"/>
        </w:rPr>
        <w:t>birth</w:t>
      </w:r>
      <w:r>
        <w:rPr>
          <w:b/>
          <w:spacing w:val="-7"/>
          <w:sz w:val="22"/>
        </w:rPr>
        <w:t> </w:t>
      </w:r>
      <w:r>
        <w:rPr>
          <w:b/>
          <w:spacing w:val="-2"/>
          <w:sz w:val="22"/>
        </w:rPr>
        <w:t>certificates.</w:t>
      </w:r>
    </w:p>
    <w:p>
      <w:pPr>
        <w:pStyle w:val="BodyText"/>
        <w:spacing w:before="11"/>
        <w:rPr>
          <w:b/>
        </w:rPr>
      </w:pPr>
    </w:p>
    <w:p>
      <w:pPr>
        <w:pStyle w:val="BodyText"/>
        <w:spacing w:line="276" w:lineRule="auto" w:before="1"/>
        <w:ind w:left="483" w:right="342"/>
        <w:jc w:val="both"/>
      </w:pPr>
      <w:r>
        <w:rPr/>
        <w:t>As noted throughout this annual report, youth without access to appropriate identification documents experience higher rates of mental distress, and barriers to services or affirming care. The Commission supports and encourages the passage of </w:t>
      </w:r>
      <w:r>
        <w:rPr>
          <w:i/>
        </w:rPr>
        <w:t>An Act Relative to Gender Identity on Massachusetts</w:t>
      </w:r>
      <w:r>
        <w:rPr>
          <w:i/>
        </w:rPr>
        <w:t> Identification</w:t>
      </w:r>
      <w:r>
        <w:rPr>
          <w:i/>
          <w:spacing w:val="-13"/>
        </w:rPr>
        <w:t> </w:t>
      </w:r>
      <w:r>
        <w:rPr/>
        <w:t>(</w:t>
      </w:r>
      <w:hyperlink r:id="rId700">
        <w:r>
          <w:rPr>
            <w:u w:val="single" w:color="1153CC"/>
          </w:rPr>
          <w:t>S.2207</w:t>
        </w:r>
      </w:hyperlink>
      <w:r>
        <w:rPr>
          <w:u w:val="none"/>
        </w:rPr>
        <w:t>/</w:t>
      </w:r>
      <w:hyperlink r:id="rId701">
        <w:r>
          <w:rPr>
            <w:u w:val="single" w:color="1153CC"/>
          </w:rPr>
          <w:t>H.3017</w:t>
        </w:r>
      </w:hyperlink>
      <w:r>
        <w:rPr>
          <w:u w:val="none"/>
        </w:rPr>
        <w:t>),</w:t>
      </w:r>
      <w:r>
        <w:rPr>
          <w:spacing w:val="-12"/>
          <w:u w:val="none"/>
        </w:rPr>
        <w:t> </w:t>
      </w:r>
      <w:r>
        <w:rPr>
          <w:u w:val="none"/>
        </w:rPr>
        <w:t>also</w:t>
      </w:r>
      <w:r>
        <w:rPr>
          <w:spacing w:val="-13"/>
          <w:u w:val="none"/>
        </w:rPr>
        <w:t> </w:t>
      </w:r>
      <w:r>
        <w:rPr>
          <w:u w:val="none"/>
        </w:rPr>
        <w:t>known</w:t>
      </w:r>
      <w:r>
        <w:rPr>
          <w:spacing w:val="-12"/>
          <w:u w:val="none"/>
        </w:rPr>
        <w:t> </w:t>
      </w:r>
      <w:r>
        <w:rPr>
          <w:u w:val="none"/>
        </w:rPr>
        <w:t>as</w:t>
      </w:r>
      <w:r>
        <w:rPr>
          <w:spacing w:val="-13"/>
          <w:u w:val="none"/>
        </w:rPr>
        <w:t> </w:t>
      </w:r>
      <w:r>
        <w:rPr>
          <w:u w:val="none"/>
        </w:rPr>
        <w:t>the</w:t>
      </w:r>
      <w:r>
        <w:rPr>
          <w:spacing w:val="-12"/>
          <w:u w:val="none"/>
        </w:rPr>
        <w:t> </w:t>
      </w:r>
      <w:r>
        <w:rPr>
          <w:u w:val="none"/>
        </w:rPr>
        <w:t>Gender</w:t>
      </w:r>
      <w:r>
        <w:rPr>
          <w:spacing w:val="-13"/>
          <w:u w:val="none"/>
        </w:rPr>
        <w:t> </w:t>
      </w:r>
      <w:r>
        <w:rPr>
          <w:u w:val="none"/>
        </w:rPr>
        <w:t>“X”</w:t>
      </w:r>
      <w:r>
        <w:rPr>
          <w:spacing w:val="-12"/>
          <w:u w:val="none"/>
        </w:rPr>
        <w:t> </w:t>
      </w:r>
      <w:r>
        <w:rPr>
          <w:u w:val="none"/>
        </w:rPr>
        <w:t>bill,</w:t>
      </w:r>
      <w:r>
        <w:rPr>
          <w:spacing w:val="-12"/>
          <w:u w:val="none"/>
        </w:rPr>
        <w:t> </w:t>
      </w:r>
      <w:r>
        <w:rPr>
          <w:u w:val="none"/>
        </w:rPr>
        <w:t>which</w:t>
      </w:r>
      <w:r>
        <w:rPr>
          <w:spacing w:val="-13"/>
          <w:u w:val="none"/>
        </w:rPr>
        <w:t> </w:t>
      </w:r>
      <w:r>
        <w:rPr>
          <w:u w:val="none"/>
        </w:rPr>
        <w:t>would</w:t>
      </w:r>
      <w:r>
        <w:rPr>
          <w:spacing w:val="-12"/>
          <w:u w:val="none"/>
        </w:rPr>
        <w:t> </w:t>
      </w:r>
      <w:r>
        <w:rPr>
          <w:u w:val="none"/>
        </w:rPr>
        <w:t>allow</w:t>
      </w:r>
      <w:r>
        <w:rPr>
          <w:spacing w:val="-12"/>
          <w:u w:val="none"/>
        </w:rPr>
        <w:t> </w:t>
      </w:r>
      <w:r>
        <w:rPr>
          <w:u w:val="none"/>
        </w:rPr>
        <w:t>individuals</w:t>
      </w:r>
      <w:r>
        <w:rPr>
          <w:spacing w:val="-13"/>
          <w:u w:val="none"/>
        </w:rPr>
        <w:t> </w:t>
      </w:r>
      <w:r>
        <w:rPr>
          <w:u w:val="none"/>
        </w:rPr>
        <w:t>to</w:t>
      </w:r>
      <w:r>
        <w:rPr>
          <w:spacing w:val="-10"/>
          <w:u w:val="none"/>
        </w:rPr>
        <w:t> </w:t>
      </w:r>
      <w:r>
        <w:rPr>
          <w:u w:val="none"/>
        </w:rPr>
        <w:t>change</w:t>
      </w:r>
    </w:p>
    <w:p>
      <w:pPr>
        <w:spacing w:after="0" w:line="276" w:lineRule="auto"/>
        <w:jc w:val="both"/>
        <w:sectPr>
          <w:pgSz w:w="12240" w:h="15840"/>
          <w:pgMar w:header="771" w:footer="1427" w:top="980" w:bottom="1620" w:left="960" w:right="1100"/>
        </w:sectPr>
      </w:pPr>
    </w:p>
    <w:p>
      <w:pPr>
        <w:pStyle w:val="BodyText"/>
        <w:spacing w:line="276" w:lineRule="auto" w:before="99"/>
        <w:ind w:left="483" w:right="341"/>
        <w:jc w:val="both"/>
      </w:pPr>
      <w:r>
        <w:rPr/>
        <w:t>their gender designation on a birth certificate to a nonbinary “X” marker without requiring medical documentation,</w:t>
      </w:r>
      <w:r>
        <w:rPr>
          <w:spacing w:val="-3"/>
        </w:rPr>
        <w:t> </w:t>
      </w:r>
      <w:r>
        <w:rPr/>
        <w:t>court</w:t>
      </w:r>
      <w:r>
        <w:rPr>
          <w:spacing w:val="-1"/>
        </w:rPr>
        <w:t> </w:t>
      </w:r>
      <w:r>
        <w:rPr/>
        <w:t>order,</w:t>
      </w:r>
      <w:r>
        <w:rPr>
          <w:spacing w:val="-3"/>
        </w:rPr>
        <w:t> </w:t>
      </w:r>
      <w:r>
        <w:rPr/>
        <w:t>or</w:t>
      </w:r>
      <w:r>
        <w:rPr>
          <w:spacing w:val="-2"/>
        </w:rPr>
        <w:t> </w:t>
      </w:r>
      <w:r>
        <w:rPr/>
        <w:t>proof</w:t>
      </w:r>
      <w:r>
        <w:rPr>
          <w:spacing w:val="-3"/>
        </w:rPr>
        <w:t> </w:t>
      </w:r>
      <w:r>
        <w:rPr/>
        <w:t>of</w:t>
      </w:r>
      <w:r>
        <w:rPr>
          <w:spacing w:val="-3"/>
        </w:rPr>
        <w:t> </w:t>
      </w:r>
      <w:r>
        <w:rPr/>
        <w:t>name</w:t>
      </w:r>
      <w:r>
        <w:rPr>
          <w:spacing w:val="-1"/>
        </w:rPr>
        <w:t> </w:t>
      </w:r>
      <w:r>
        <w:rPr/>
        <w:t>change.</w:t>
      </w:r>
      <w:r>
        <w:rPr>
          <w:spacing w:val="-3"/>
        </w:rPr>
        <w:t> </w:t>
      </w:r>
      <w:r>
        <w:rPr/>
        <w:t>Furthermore,</w:t>
      </w:r>
      <w:r>
        <w:rPr>
          <w:spacing w:val="-3"/>
        </w:rPr>
        <w:t> </w:t>
      </w:r>
      <w:r>
        <w:rPr/>
        <w:t>the</w:t>
      </w:r>
      <w:r>
        <w:rPr>
          <w:spacing w:val="-2"/>
        </w:rPr>
        <w:t> </w:t>
      </w:r>
      <w:r>
        <w:rPr/>
        <w:t>bill</w:t>
      </w:r>
      <w:r>
        <w:rPr>
          <w:spacing w:val="-2"/>
        </w:rPr>
        <w:t> </w:t>
      </w:r>
      <w:r>
        <w:rPr/>
        <w:t>would</w:t>
      </w:r>
      <w:r>
        <w:rPr>
          <w:spacing w:val="-3"/>
        </w:rPr>
        <w:t> </w:t>
      </w:r>
      <w:r>
        <w:rPr/>
        <w:t>require</w:t>
      </w:r>
      <w:r>
        <w:rPr>
          <w:spacing w:val="-2"/>
        </w:rPr>
        <w:t> </w:t>
      </w:r>
      <w:r>
        <w:rPr/>
        <w:t>the</w:t>
      </w:r>
      <w:r>
        <w:rPr>
          <w:spacing w:val="-2"/>
        </w:rPr>
        <w:t> </w:t>
      </w:r>
      <w:r>
        <w:rPr/>
        <w:t>Secretary of</w:t>
      </w:r>
      <w:r>
        <w:rPr>
          <w:spacing w:val="-3"/>
        </w:rPr>
        <w:t> </w:t>
      </w:r>
      <w:r>
        <w:rPr/>
        <w:t>Administration</w:t>
      </w:r>
      <w:r>
        <w:rPr>
          <w:spacing w:val="-3"/>
        </w:rPr>
        <w:t> </w:t>
      </w:r>
      <w:r>
        <w:rPr/>
        <w:t>and</w:t>
      </w:r>
      <w:r>
        <w:rPr>
          <w:spacing w:val="-2"/>
        </w:rPr>
        <w:t> </w:t>
      </w:r>
      <w:r>
        <w:rPr/>
        <w:t>Finance</w:t>
      </w:r>
      <w:r>
        <w:rPr>
          <w:spacing w:val="-2"/>
        </w:rPr>
        <w:t> </w:t>
      </w:r>
      <w:r>
        <w:rPr/>
        <w:t>(A&amp;F)</w:t>
      </w:r>
      <w:r>
        <w:rPr>
          <w:spacing w:val="-1"/>
        </w:rPr>
        <w:t> </w:t>
      </w:r>
      <w:r>
        <w:rPr/>
        <w:t>to develop</w:t>
      </w:r>
      <w:r>
        <w:rPr>
          <w:spacing w:val="-3"/>
        </w:rPr>
        <w:t> </w:t>
      </w:r>
      <w:r>
        <w:rPr/>
        <w:t>a</w:t>
      </w:r>
      <w:r>
        <w:rPr>
          <w:spacing w:val="-2"/>
        </w:rPr>
        <w:t> </w:t>
      </w:r>
      <w:r>
        <w:rPr/>
        <w:t>plan</w:t>
      </w:r>
      <w:r>
        <w:rPr>
          <w:spacing w:val="-3"/>
        </w:rPr>
        <w:t> </w:t>
      </w:r>
      <w:r>
        <w:rPr/>
        <w:t>to</w:t>
      </w:r>
      <w:r>
        <w:rPr>
          <w:spacing w:val="-1"/>
        </w:rPr>
        <w:t> </w:t>
      </w:r>
      <w:r>
        <w:rPr/>
        <w:t>ensure</w:t>
      </w:r>
      <w:r>
        <w:rPr>
          <w:spacing w:val="-2"/>
        </w:rPr>
        <w:t> </w:t>
      </w:r>
      <w:r>
        <w:rPr/>
        <w:t>that</w:t>
      </w:r>
      <w:r>
        <w:rPr>
          <w:spacing w:val="-2"/>
        </w:rPr>
        <w:t> </w:t>
      </w:r>
      <w:r>
        <w:rPr/>
        <w:t>any</w:t>
      </w:r>
      <w:r>
        <w:rPr>
          <w:spacing w:val="-2"/>
        </w:rPr>
        <w:t> </w:t>
      </w:r>
      <w:r>
        <w:rPr/>
        <w:t>state</w:t>
      </w:r>
      <w:r>
        <w:rPr>
          <w:spacing w:val="-1"/>
        </w:rPr>
        <w:t> </w:t>
      </w:r>
      <w:r>
        <w:rPr/>
        <w:t>form</w:t>
      </w:r>
      <w:r>
        <w:rPr>
          <w:spacing w:val="-4"/>
        </w:rPr>
        <w:t> </w:t>
      </w:r>
      <w:r>
        <w:rPr/>
        <w:t>or</w:t>
      </w:r>
      <w:r>
        <w:rPr>
          <w:spacing w:val="-2"/>
        </w:rPr>
        <w:t> </w:t>
      </w:r>
      <w:r>
        <w:rPr/>
        <w:t>document</w:t>
      </w:r>
      <w:r>
        <w:rPr>
          <w:spacing w:val="-1"/>
        </w:rPr>
        <w:t> </w:t>
      </w:r>
      <w:r>
        <w:rPr/>
        <w:t>asking about gender would provide opportunities for gender markers other than just male or female. The bill would further require youth-serving state agencies to develop processes to assist youth in their care update their documentation.</w:t>
      </w:r>
    </w:p>
    <w:p>
      <w:pPr>
        <w:numPr>
          <w:ilvl w:val="0"/>
          <w:numId w:val="30"/>
        </w:numPr>
        <w:tabs>
          <w:tab w:pos="483" w:val="left" w:leader="none"/>
        </w:tabs>
        <w:spacing w:before="239"/>
        <w:ind w:left="483" w:right="0" w:hanging="358"/>
        <w:jc w:val="left"/>
        <w:rPr>
          <w:b/>
          <w:sz w:val="22"/>
        </w:rPr>
      </w:pPr>
      <w:bookmarkStart w:name="6. Update the state plumbing code to all" w:id="927"/>
      <w:bookmarkEnd w:id="927"/>
      <w:r>
        <w:rPr>
          <w:b/>
          <w:sz w:val="22"/>
        </w:rPr>
        <w:t>U</w:t>
      </w:r>
      <w:r>
        <w:rPr>
          <w:b/>
          <w:sz w:val="22"/>
        </w:rPr>
        <w:t>pdate</w:t>
      </w:r>
      <w:r>
        <w:rPr>
          <w:b/>
          <w:spacing w:val="-7"/>
          <w:sz w:val="22"/>
        </w:rPr>
        <w:t> </w:t>
      </w:r>
      <w:r>
        <w:rPr>
          <w:b/>
          <w:sz w:val="22"/>
        </w:rPr>
        <w:t>the</w:t>
      </w:r>
      <w:r>
        <w:rPr>
          <w:b/>
          <w:spacing w:val="-6"/>
          <w:sz w:val="22"/>
        </w:rPr>
        <w:t> </w:t>
      </w:r>
      <w:r>
        <w:rPr>
          <w:b/>
          <w:sz w:val="22"/>
        </w:rPr>
        <w:t>state</w:t>
      </w:r>
      <w:r>
        <w:rPr>
          <w:b/>
          <w:spacing w:val="-7"/>
          <w:sz w:val="22"/>
        </w:rPr>
        <w:t> </w:t>
      </w:r>
      <w:r>
        <w:rPr>
          <w:b/>
          <w:sz w:val="22"/>
        </w:rPr>
        <w:t>plumbing</w:t>
      </w:r>
      <w:r>
        <w:rPr>
          <w:b/>
          <w:spacing w:val="-7"/>
          <w:sz w:val="22"/>
        </w:rPr>
        <w:t> </w:t>
      </w:r>
      <w:r>
        <w:rPr>
          <w:b/>
          <w:sz w:val="22"/>
        </w:rPr>
        <w:t>code</w:t>
      </w:r>
      <w:r>
        <w:rPr>
          <w:b/>
          <w:spacing w:val="-6"/>
          <w:sz w:val="22"/>
        </w:rPr>
        <w:t> </w:t>
      </w:r>
      <w:r>
        <w:rPr>
          <w:b/>
          <w:sz w:val="22"/>
        </w:rPr>
        <w:t>to</w:t>
      </w:r>
      <w:r>
        <w:rPr>
          <w:b/>
          <w:spacing w:val="-6"/>
          <w:sz w:val="22"/>
        </w:rPr>
        <w:t> </w:t>
      </w:r>
      <w:r>
        <w:rPr>
          <w:b/>
          <w:sz w:val="22"/>
        </w:rPr>
        <w:t>allow</w:t>
      </w:r>
      <w:r>
        <w:rPr>
          <w:b/>
          <w:spacing w:val="-8"/>
          <w:sz w:val="22"/>
        </w:rPr>
        <w:t> </w:t>
      </w:r>
      <w:r>
        <w:rPr>
          <w:b/>
          <w:sz w:val="22"/>
        </w:rPr>
        <w:t>for</w:t>
      </w:r>
      <w:r>
        <w:rPr>
          <w:b/>
          <w:spacing w:val="-6"/>
          <w:sz w:val="22"/>
        </w:rPr>
        <w:t> </w:t>
      </w:r>
      <w:r>
        <w:rPr>
          <w:b/>
          <w:sz w:val="22"/>
        </w:rPr>
        <w:t>the</w:t>
      </w:r>
      <w:r>
        <w:rPr>
          <w:b/>
          <w:spacing w:val="-6"/>
          <w:sz w:val="22"/>
        </w:rPr>
        <w:t> </w:t>
      </w:r>
      <w:r>
        <w:rPr>
          <w:b/>
          <w:sz w:val="22"/>
        </w:rPr>
        <w:t>creation</w:t>
      </w:r>
      <w:r>
        <w:rPr>
          <w:b/>
          <w:spacing w:val="-7"/>
          <w:sz w:val="22"/>
        </w:rPr>
        <w:t> </w:t>
      </w:r>
      <w:r>
        <w:rPr>
          <w:b/>
          <w:sz w:val="22"/>
        </w:rPr>
        <w:t>of</w:t>
      </w:r>
      <w:r>
        <w:rPr>
          <w:b/>
          <w:spacing w:val="-6"/>
          <w:sz w:val="22"/>
        </w:rPr>
        <w:t> </w:t>
      </w:r>
      <w:r>
        <w:rPr>
          <w:b/>
          <w:sz w:val="22"/>
        </w:rPr>
        <w:t>multi-stall</w:t>
      </w:r>
      <w:r>
        <w:rPr>
          <w:b/>
          <w:spacing w:val="-6"/>
          <w:sz w:val="22"/>
        </w:rPr>
        <w:t> </w:t>
      </w:r>
      <w:r>
        <w:rPr>
          <w:b/>
          <w:sz w:val="22"/>
        </w:rPr>
        <w:t>all</w:t>
      </w:r>
      <w:r>
        <w:rPr>
          <w:b/>
          <w:spacing w:val="-7"/>
          <w:sz w:val="22"/>
        </w:rPr>
        <w:t> </w:t>
      </w:r>
      <w:r>
        <w:rPr>
          <w:b/>
          <w:sz w:val="22"/>
        </w:rPr>
        <w:t>gender</w:t>
      </w:r>
      <w:r>
        <w:rPr>
          <w:b/>
          <w:spacing w:val="-7"/>
          <w:sz w:val="22"/>
        </w:rPr>
        <w:t> </w:t>
      </w:r>
      <w:r>
        <w:rPr>
          <w:b/>
          <w:spacing w:val="-2"/>
          <w:sz w:val="22"/>
        </w:rPr>
        <w:t>restrooms.</w:t>
      </w:r>
    </w:p>
    <w:p>
      <w:pPr>
        <w:pStyle w:val="BodyText"/>
        <w:spacing w:before="13"/>
        <w:rPr>
          <w:b/>
        </w:rPr>
      </w:pPr>
    </w:p>
    <w:p>
      <w:pPr>
        <w:pStyle w:val="BodyText"/>
        <w:spacing w:line="276" w:lineRule="auto"/>
        <w:ind w:left="483" w:right="342" w:firstLine="1"/>
        <w:jc w:val="both"/>
      </w:pPr>
      <w:r>
        <w:rPr/>
        <w:t>The Commission was delighted to hear that in late 2023 the Board of State Examiners of Plumbers and Gas Fitters updated the Uniform State Plumbing Code to allow for the creation of gender-neutral restrooms in Massachusetts buildings. The Commission continues to recommend that the legislature pass </w:t>
      </w:r>
      <w:r>
        <w:rPr>
          <w:i/>
        </w:rPr>
        <w:t>An Act Establishing Gender-Neutral Bathrooms </w:t>
      </w:r>
      <w:r>
        <w:rPr/>
        <w:t>(</w:t>
      </w:r>
      <w:hyperlink r:id="rId702">
        <w:r>
          <w:rPr>
            <w:u w:val="single" w:color="1153CC"/>
          </w:rPr>
          <w:t>S.1978</w:t>
        </w:r>
      </w:hyperlink>
      <w:r>
        <w:rPr>
          <w:u w:val="none"/>
        </w:rPr>
        <w:t>/</w:t>
      </w:r>
      <w:hyperlink r:id="rId703">
        <w:r>
          <w:rPr>
            <w:u w:val="single" w:color="1153CC"/>
          </w:rPr>
          <w:t>H.3019</w:t>
        </w:r>
      </w:hyperlink>
      <w:r>
        <w:rPr>
          <w:u w:val="none"/>
        </w:rPr>
        <w:t>) which would now codify this update from the Board to allow multi-stall all gender restrooms to be built, regardless of whether the building is new construction or the bathroom is being renovated</w:t>
      </w:r>
      <w:r>
        <w:rPr>
          <w:spacing w:val="-2"/>
          <w:u w:val="none"/>
        </w:rPr>
        <w:t> </w:t>
      </w:r>
      <w:r>
        <w:rPr>
          <w:u w:val="none"/>
        </w:rPr>
        <w:t>or alternated in an</w:t>
      </w:r>
      <w:r>
        <w:rPr>
          <w:spacing w:val="-2"/>
          <w:u w:val="none"/>
        </w:rPr>
        <w:t> </w:t>
      </w:r>
      <w:r>
        <w:rPr>
          <w:u w:val="none"/>
        </w:rPr>
        <w:t>existing building.</w:t>
      </w:r>
      <w:r>
        <w:rPr>
          <w:spacing w:val="-1"/>
          <w:u w:val="none"/>
        </w:rPr>
        <w:t> </w:t>
      </w:r>
      <w:r>
        <w:rPr>
          <w:u w:val="none"/>
        </w:rPr>
        <w:t>By codifying this plumbing code update, the bill would allow for schools, state agencies, and businesses to create restroom spaces that benefit not only trans and gender expansive youth, but also caregivers to better assist their children and individual with caregivers to assist with disabilities.</w:t>
      </w:r>
    </w:p>
    <w:p>
      <w:pPr>
        <w:numPr>
          <w:ilvl w:val="0"/>
          <w:numId w:val="30"/>
        </w:numPr>
        <w:tabs>
          <w:tab w:pos="481" w:val="left" w:leader="none"/>
        </w:tabs>
        <w:spacing w:before="240"/>
        <w:ind w:left="481" w:right="0" w:hanging="358"/>
        <w:jc w:val="left"/>
        <w:rPr>
          <w:b/>
          <w:sz w:val="22"/>
        </w:rPr>
      </w:pPr>
      <w:bookmarkStart w:name="7. Eliminate archaic homophobic and tran" w:id="928"/>
      <w:bookmarkEnd w:id="928"/>
      <w:r>
        <w:rPr>
          <w:b/>
          <w:sz w:val="22"/>
        </w:rPr>
        <w:t>E</w:t>
      </w:r>
      <w:r>
        <w:rPr>
          <w:b/>
          <w:sz w:val="22"/>
        </w:rPr>
        <w:t>liminate</w:t>
      </w:r>
      <w:r>
        <w:rPr>
          <w:b/>
          <w:spacing w:val="-10"/>
          <w:sz w:val="22"/>
        </w:rPr>
        <w:t> </w:t>
      </w:r>
      <w:r>
        <w:rPr>
          <w:b/>
          <w:sz w:val="22"/>
        </w:rPr>
        <w:t>archaic</w:t>
      </w:r>
      <w:r>
        <w:rPr>
          <w:b/>
          <w:spacing w:val="-11"/>
          <w:sz w:val="22"/>
        </w:rPr>
        <w:t> </w:t>
      </w:r>
      <w:r>
        <w:rPr>
          <w:b/>
          <w:sz w:val="22"/>
        </w:rPr>
        <w:t>homophobic</w:t>
      </w:r>
      <w:r>
        <w:rPr>
          <w:b/>
          <w:spacing w:val="-9"/>
          <w:sz w:val="22"/>
        </w:rPr>
        <w:t> </w:t>
      </w:r>
      <w:r>
        <w:rPr>
          <w:b/>
          <w:sz w:val="22"/>
        </w:rPr>
        <w:t>and</w:t>
      </w:r>
      <w:r>
        <w:rPr>
          <w:b/>
          <w:spacing w:val="-10"/>
          <w:sz w:val="22"/>
        </w:rPr>
        <w:t> </w:t>
      </w:r>
      <w:r>
        <w:rPr>
          <w:b/>
          <w:sz w:val="22"/>
        </w:rPr>
        <w:t>transphobic</w:t>
      </w:r>
      <w:r>
        <w:rPr>
          <w:b/>
          <w:spacing w:val="-11"/>
          <w:sz w:val="22"/>
        </w:rPr>
        <w:t> </w:t>
      </w:r>
      <w:r>
        <w:rPr>
          <w:b/>
          <w:sz w:val="22"/>
        </w:rPr>
        <w:t>language</w:t>
      </w:r>
      <w:r>
        <w:rPr>
          <w:b/>
          <w:spacing w:val="-10"/>
          <w:sz w:val="22"/>
        </w:rPr>
        <w:t> </w:t>
      </w:r>
      <w:r>
        <w:rPr>
          <w:b/>
          <w:sz w:val="22"/>
        </w:rPr>
        <w:t>in</w:t>
      </w:r>
      <w:r>
        <w:rPr>
          <w:b/>
          <w:spacing w:val="-10"/>
          <w:sz w:val="22"/>
        </w:rPr>
        <w:t> </w:t>
      </w:r>
      <w:r>
        <w:rPr>
          <w:b/>
          <w:sz w:val="22"/>
        </w:rPr>
        <w:t>the</w:t>
      </w:r>
      <w:r>
        <w:rPr>
          <w:b/>
          <w:spacing w:val="-10"/>
          <w:sz w:val="22"/>
        </w:rPr>
        <w:t> </w:t>
      </w:r>
      <w:r>
        <w:rPr>
          <w:b/>
          <w:sz w:val="22"/>
        </w:rPr>
        <w:t>Massachusetts</w:t>
      </w:r>
      <w:r>
        <w:rPr>
          <w:b/>
          <w:spacing w:val="-10"/>
          <w:sz w:val="22"/>
        </w:rPr>
        <w:t> </w:t>
      </w:r>
      <w:r>
        <w:rPr>
          <w:b/>
          <w:sz w:val="22"/>
        </w:rPr>
        <w:t>General</w:t>
      </w:r>
      <w:r>
        <w:rPr>
          <w:b/>
          <w:spacing w:val="-10"/>
          <w:sz w:val="22"/>
        </w:rPr>
        <w:t> </w:t>
      </w:r>
      <w:r>
        <w:rPr>
          <w:b/>
          <w:spacing w:val="-2"/>
          <w:sz w:val="22"/>
        </w:rPr>
        <w:t>Laws.</w:t>
      </w:r>
    </w:p>
    <w:p>
      <w:pPr>
        <w:pStyle w:val="BodyText"/>
        <w:spacing w:before="11"/>
        <w:rPr>
          <w:b/>
        </w:rPr>
      </w:pPr>
    </w:p>
    <w:p>
      <w:pPr>
        <w:pStyle w:val="BodyText"/>
        <w:spacing w:line="276" w:lineRule="auto"/>
        <w:ind w:left="483" w:right="340"/>
        <w:jc w:val="both"/>
      </w:pPr>
      <w:r>
        <w:rPr/>
        <w:t>The Commission recommends that Massachusetts establish a permanent commission or task force directed to review the laws and statues of the Commonwealth to eliminate archaic and inequitable homophobic</w:t>
      </w:r>
      <w:r>
        <w:rPr>
          <w:spacing w:val="-6"/>
        </w:rPr>
        <w:t> </w:t>
      </w:r>
      <w:r>
        <w:rPr/>
        <w:t>and</w:t>
      </w:r>
      <w:r>
        <w:rPr>
          <w:spacing w:val="-7"/>
        </w:rPr>
        <w:t> </w:t>
      </w:r>
      <w:r>
        <w:rPr/>
        <w:t>transphobic</w:t>
      </w:r>
      <w:r>
        <w:rPr>
          <w:spacing w:val="-7"/>
        </w:rPr>
        <w:t> </w:t>
      </w:r>
      <w:r>
        <w:rPr/>
        <w:t>language.</w:t>
      </w:r>
      <w:r>
        <w:rPr>
          <w:spacing w:val="-7"/>
        </w:rPr>
        <w:t> </w:t>
      </w:r>
      <w:r>
        <w:rPr/>
        <w:t>As</w:t>
      </w:r>
      <w:r>
        <w:rPr>
          <w:spacing w:val="-6"/>
        </w:rPr>
        <w:t> </w:t>
      </w:r>
      <w:r>
        <w:rPr/>
        <w:t>anti-LGBTQ</w:t>
      </w:r>
      <w:r>
        <w:rPr>
          <w:spacing w:val="-7"/>
        </w:rPr>
        <w:t> </w:t>
      </w:r>
      <w:r>
        <w:rPr/>
        <w:t>rhetoric</w:t>
      </w:r>
      <w:r>
        <w:rPr>
          <w:spacing w:val="-7"/>
        </w:rPr>
        <w:t> </w:t>
      </w:r>
      <w:r>
        <w:rPr/>
        <w:t>and</w:t>
      </w:r>
      <w:r>
        <w:rPr>
          <w:spacing w:val="-8"/>
        </w:rPr>
        <w:t> </w:t>
      </w:r>
      <w:r>
        <w:rPr/>
        <w:t>legislation</w:t>
      </w:r>
      <w:r>
        <w:rPr>
          <w:spacing w:val="-7"/>
        </w:rPr>
        <w:t> </w:t>
      </w:r>
      <w:r>
        <w:rPr/>
        <w:t>continues</w:t>
      </w:r>
      <w:r>
        <w:rPr>
          <w:spacing w:val="-7"/>
        </w:rPr>
        <w:t> </w:t>
      </w:r>
      <w:r>
        <w:rPr/>
        <w:t>to</w:t>
      </w:r>
      <w:r>
        <w:rPr>
          <w:spacing w:val="-6"/>
        </w:rPr>
        <w:t> </w:t>
      </w:r>
      <w:r>
        <w:rPr/>
        <w:t>sweep</w:t>
      </w:r>
      <w:r>
        <w:rPr>
          <w:spacing w:val="-7"/>
        </w:rPr>
        <w:t> </w:t>
      </w:r>
      <w:r>
        <w:rPr/>
        <w:t>across the nation and in Massachusetts, it is essential for lawmakers to eliminate laws that - while likely not enforceable</w:t>
      </w:r>
      <w:r>
        <w:rPr>
          <w:spacing w:val="-2"/>
        </w:rPr>
        <w:t> </w:t>
      </w:r>
      <w:r>
        <w:rPr/>
        <w:t>in</w:t>
      </w:r>
      <w:r>
        <w:rPr>
          <w:spacing w:val="-3"/>
        </w:rPr>
        <w:t> </w:t>
      </w:r>
      <w:r>
        <w:rPr/>
        <w:t>the</w:t>
      </w:r>
      <w:r>
        <w:rPr>
          <w:spacing w:val="-3"/>
        </w:rPr>
        <w:t> </w:t>
      </w:r>
      <w:r>
        <w:rPr/>
        <w:t>modern</w:t>
      </w:r>
      <w:r>
        <w:rPr>
          <w:spacing w:val="-3"/>
        </w:rPr>
        <w:t> </w:t>
      </w:r>
      <w:r>
        <w:rPr/>
        <w:t>day</w:t>
      </w:r>
      <w:r>
        <w:rPr>
          <w:spacing w:val="-3"/>
        </w:rPr>
        <w:t> </w:t>
      </w:r>
      <w:r>
        <w:rPr/>
        <w:t>-</w:t>
      </w:r>
      <w:r>
        <w:rPr>
          <w:spacing w:val="-2"/>
        </w:rPr>
        <w:t> </w:t>
      </w:r>
      <w:r>
        <w:rPr/>
        <w:t>still</w:t>
      </w:r>
      <w:r>
        <w:rPr>
          <w:spacing w:val="-3"/>
        </w:rPr>
        <w:t> </w:t>
      </w:r>
      <w:r>
        <w:rPr/>
        <w:t>remain</w:t>
      </w:r>
      <w:r>
        <w:rPr>
          <w:spacing w:val="-3"/>
        </w:rPr>
        <w:t> </w:t>
      </w:r>
      <w:r>
        <w:rPr/>
        <w:t>on</w:t>
      </w:r>
      <w:r>
        <w:rPr>
          <w:spacing w:val="-4"/>
        </w:rPr>
        <w:t> </w:t>
      </w:r>
      <w:r>
        <w:rPr/>
        <w:t>the</w:t>
      </w:r>
      <w:r>
        <w:rPr>
          <w:spacing w:val="-2"/>
        </w:rPr>
        <w:t> </w:t>
      </w:r>
      <w:r>
        <w:rPr/>
        <w:t>books</w:t>
      </w:r>
      <w:r>
        <w:rPr>
          <w:spacing w:val="-2"/>
        </w:rPr>
        <w:t> </w:t>
      </w:r>
      <w:r>
        <w:rPr/>
        <w:t>as</w:t>
      </w:r>
      <w:r>
        <w:rPr>
          <w:spacing w:val="-3"/>
        </w:rPr>
        <w:t> </w:t>
      </w:r>
      <w:r>
        <w:rPr/>
        <w:t>a</w:t>
      </w:r>
      <w:r>
        <w:rPr>
          <w:spacing w:val="-3"/>
        </w:rPr>
        <w:t> </w:t>
      </w:r>
      <w:r>
        <w:rPr/>
        <w:t>living</w:t>
      </w:r>
      <w:r>
        <w:rPr>
          <w:spacing w:val="-4"/>
        </w:rPr>
        <w:t> </w:t>
      </w:r>
      <w:r>
        <w:rPr/>
        <w:t>reminder</w:t>
      </w:r>
      <w:r>
        <w:rPr>
          <w:spacing w:val="-1"/>
        </w:rPr>
        <w:t> </w:t>
      </w:r>
      <w:r>
        <w:rPr/>
        <w:t>of</w:t>
      </w:r>
      <w:r>
        <w:rPr>
          <w:spacing w:val="-3"/>
        </w:rPr>
        <w:t> </w:t>
      </w:r>
      <w:r>
        <w:rPr/>
        <w:t>the</w:t>
      </w:r>
      <w:r>
        <w:rPr>
          <w:spacing w:val="-2"/>
        </w:rPr>
        <w:t> </w:t>
      </w:r>
      <w:r>
        <w:rPr/>
        <w:t>legal</w:t>
      </w:r>
      <w:r>
        <w:rPr>
          <w:spacing w:val="-2"/>
        </w:rPr>
        <w:t> </w:t>
      </w:r>
      <w:r>
        <w:rPr/>
        <w:t>attacks</w:t>
      </w:r>
      <w:r>
        <w:rPr>
          <w:spacing w:val="-2"/>
        </w:rPr>
        <w:t> </w:t>
      </w:r>
      <w:r>
        <w:rPr/>
        <w:t>against LGBTQ communities.</w:t>
      </w:r>
    </w:p>
    <w:p>
      <w:pPr>
        <w:pStyle w:val="BodyText"/>
      </w:pPr>
    </w:p>
    <w:p>
      <w:pPr>
        <w:pStyle w:val="BodyText"/>
        <w:spacing w:before="237"/>
      </w:pPr>
    </w:p>
    <w:p>
      <w:pPr>
        <w:spacing w:before="1"/>
        <w:ind w:left="483" w:right="342" w:hanging="2"/>
        <w:jc w:val="both"/>
        <w:rPr>
          <w:sz w:val="18"/>
        </w:rPr>
      </w:pPr>
      <w:r>
        <w:rPr>
          <w:position w:val="5"/>
          <w:sz w:val="12"/>
        </w:rPr>
        <w:t>1 </w:t>
      </w:r>
      <w:r>
        <w:rPr>
          <w:sz w:val="18"/>
        </w:rPr>
        <w:t>“FACT SHEET: Biden-Harris Administration</w:t>
      </w:r>
      <w:r>
        <w:rPr>
          <w:spacing w:val="-1"/>
          <w:sz w:val="18"/>
        </w:rPr>
        <w:t> </w:t>
      </w:r>
      <w:r>
        <w:rPr>
          <w:sz w:val="18"/>
        </w:rPr>
        <w:t>Releases</w:t>
      </w:r>
      <w:r>
        <w:rPr>
          <w:spacing w:val="-1"/>
          <w:sz w:val="18"/>
        </w:rPr>
        <w:t> </w:t>
      </w:r>
      <w:r>
        <w:rPr>
          <w:sz w:val="18"/>
        </w:rPr>
        <w:t>First-Ever Federal</w:t>
      </w:r>
      <w:r>
        <w:rPr>
          <w:spacing w:val="-2"/>
          <w:sz w:val="18"/>
        </w:rPr>
        <w:t> </w:t>
      </w:r>
      <w:r>
        <w:rPr>
          <w:sz w:val="18"/>
        </w:rPr>
        <w:t>Evidence Agenda</w:t>
      </w:r>
      <w:r>
        <w:rPr>
          <w:spacing w:val="-1"/>
          <w:sz w:val="18"/>
        </w:rPr>
        <w:t> </w:t>
      </w:r>
      <w:r>
        <w:rPr>
          <w:sz w:val="18"/>
        </w:rPr>
        <w:t>on</w:t>
      </w:r>
      <w:r>
        <w:rPr>
          <w:spacing w:val="-1"/>
          <w:sz w:val="18"/>
        </w:rPr>
        <w:t> </w:t>
      </w:r>
      <w:r>
        <w:rPr>
          <w:sz w:val="18"/>
        </w:rPr>
        <w:t>LGBTQI+ Equity</w:t>
      </w:r>
      <w:r>
        <w:rPr>
          <w:spacing w:val="-1"/>
          <w:sz w:val="18"/>
        </w:rPr>
        <w:t> </w:t>
      </w:r>
      <w:r>
        <w:rPr>
          <w:sz w:val="18"/>
        </w:rPr>
        <w:t>|</w:t>
      </w:r>
      <w:r>
        <w:rPr>
          <w:spacing w:val="-1"/>
          <w:sz w:val="18"/>
        </w:rPr>
        <w:t> </w:t>
      </w:r>
      <w:r>
        <w:rPr>
          <w:sz w:val="18"/>
        </w:rPr>
        <w:t>OSTP,”</w:t>
      </w:r>
      <w:r>
        <w:rPr>
          <w:spacing w:val="-3"/>
          <w:sz w:val="18"/>
        </w:rPr>
        <w:t> </w:t>
      </w:r>
      <w:r>
        <w:rPr>
          <w:sz w:val="18"/>
        </w:rPr>
        <w:t>The</w:t>
      </w:r>
      <w:r>
        <w:rPr>
          <w:spacing w:val="-3"/>
          <w:sz w:val="18"/>
        </w:rPr>
        <w:t> </w:t>
      </w:r>
      <w:r>
        <w:rPr>
          <w:sz w:val="18"/>
        </w:rPr>
        <w:t>White House, January 24, 2023, https://</w:t>
      </w:r>
      <w:hyperlink r:id="rId704">
        <w:r>
          <w:rPr>
            <w:sz w:val="18"/>
          </w:rPr>
          <w:t>www.whitehouse.gov/ostp/news-updates/2023/01/24/fact-sheet-biden-harris-</w:t>
        </w:r>
      </w:hyperlink>
      <w:r>
        <w:rPr>
          <w:sz w:val="18"/>
        </w:rPr>
        <w:t> </w:t>
      </w:r>
      <w:r>
        <w:rPr>
          <w:spacing w:val="-2"/>
          <w:sz w:val="18"/>
        </w:rPr>
        <w:t>administration-releases-first-ever-federal-evidence-agenda-on-lgbtqi-equity/.</w:t>
      </w:r>
    </w:p>
    <w:p>
      <w:pPr>
        <w:spacing w:before="0"/>
        <w:ind w:left="483" w:right="341" w:firstLine="0"/>
        <w:jc w:val="both"/>
        <w:rPr>
          <w:sz w:val="18"/>
        </w:rPr>
      </w:pPr>
      <w:r>
        <w:rPr>
          <w:position w:val="5"/>
          <w:sz w:val="12"/>
        </w:rPr>
        <w:t>2</w:t>
      </w:r>
      <w:r>
        <w:rPr>
          <w:spacing w:val="40"/>
          <w:position w:val="5"/>
          <w:sz w:val="12"/>
        </w:rPr>
        <w:t> </w:t>
      </w:r>
      <w:r>
        <w:rPr>
          <w:sz w:val="18"/>
        </w:rPr>
        <w:t>“Bullying and Suicide Risk among LGBTQ Youth,” </w:t>
      </w:r>
      <w:r>
        <w:rPr>
          <w:i/>
          <w:sz w:val="18"/>
        </w:rPr>
        <w:t>The Trevor Project </w:t>
      </w:r>
      <w:r>
        <w:rPr>
          <w:sz w:val="18"/>
        </w:rPr>
        <w:t>(blog), October 14, 2021, </w:t>
      </w:r>
      <w:r>
        <w:rPr>
          <w:spacing w:val="-2"/>
          <w:sz w:val="18"/>
        </w:rPr>
        <w:t>https://</w:t>
      </w:r>
      <w:hyperlink r:id="rId705">
        <w:r>
          <w:rPr>
            <w:spacing w:val="-2"/>
            <w:sz w:val="18"/>
          </w:rPr>
          <w:t>www.thetrevorproject.org/research-briefs/bullying-and-suicide-risk-among-lgbtq-youth/.</w:t>
        </w:r>
      </w:hyperlink>
    </w:p>
    <w:p>
      <w:pPr>
        <w:spacing w:after="0"/>
        <w:jc w:val="both"/>
        <w:rPr>
          <w:sz w:val="18"/>
        </w:rPr>
        <w:sectPr>
          <w:pgSz w:w="12240" w:h="15840"/>
          <w:pgMar w:header="771" w:footer="1427" w:top="980" w:bottom="1620" w:left="960" w:right="1100"/>
        </w:sectPr>
      </w:pPr>
    </w:p>
    <w:p>
      <w:pPr>
        <w:pStyle w:val="BodyText"/>
        <w:rPr>
          <w:sz w:val="20"/>
        </w:rPr>
      </w:pPr>
    </w:p>
    <w:p>
      <w:pPr>
        <w:pStyle w:val="BodyText"/>
        <w:spacing w:before="49"/>
        <w:rPr>
          <w:sz w:val="20"/>
        </w:rPr>
      </w:pPr>
    </w:p>
    <w:p>
      <w:pPr>
        <w:pStyle w:val="BodyText"/>
        <w:spacing w:line="20" w:lineRule="exact"/>
        <w:ind w:left="440"/>
        <w:rPr>
          <w:sz w:val="2"/>
        </w:rPr>
      </w:pPr>
      <w:r>
        <w:rPr>
          <w:sz w:val="2"/>
        </w:rPr>
        <mc:AlternateContent>
          <mc:Choice Requires="wps">
            <w:drawing>
              <wp:inline distT="0" distB="0" distL="0" distR="0">
                <wp:extent cx="6350" cy="12700"/>
                <wp:effectExtent l="0" t="0" r="0" b="0"/>
                <wp:docPr id="530" name="Group 530"/>
                <wp:cNvGraphicFramePr>
                  <a:graphicFrameLocks/>
                </wp:cNvGraphicFramePr>
                <a:graphic>
                  <a:graphicData uri="http://schemas.microsoft.com/office/word/2010/wordprocessingGroup">
                    <wpg:wgp>
                      <wpg:cNvPr id="530" name="Group 530"/>
                      <wpg:cNvGrpSpPr/>
                      <wpg:grpSpPr>
                        <a:xfrm>
                          <a:off x="0" y="0"/>
                          <a:ext cx="6350" cy="12700"/>
                          <a:chExt cx="6350" cy="12700"/>
                        </a:xfrm>
                      </wpg:grpSpPr>
                      <wps:wsp>
                        <wps:cNvPr id="531" name="Graphic 531"/>
                        <wps:cNvSpPr/>
                        <wps:spPr>
                          <a:xfrm>
                            <a:off x="0" y="0"/>
                            <a:ext cx="6350" cy="12700"/>
                          </a:xfrm>
                          <a:custGeom>
                            <a:avLst/>
                            <a:gdLst/>
                            <a:ahLst/>
                            <a:cxnLst/>
                            <a:rect l="l" t="t" r="r" b="b"/>
                            <a:pathLst>
                              <a:path w="6350" h="12700">
                                <a:moveTo>
                                  <a:pt x="6337" y="0"/>
                                </a:moveTo>
                                <a:lnTo>
                                  <a:pt x="0" y="0"/>
                                </a:lnTo>
                                <a:lnTo>
                                  <a:pt x="0" y="12179"/>
                                </a:lnTo>
                                <a:lnTo>
                                  <a:pt x="6337" y="12179"/>
                                </a:lnTo>
                                <a:lnTo>
                                  <a:pt x="6337" y="0"/>
                                </a:lnTo>
                                <a:close/>
                              </a:path>
                            </a:pathLst>
                          </a:custGeom>
                          <a:solidFill>
                            <a:srgbClr val="4F81BB"/>
                          </a:solidFill>
                        </wps:spPr>
                        <wps:bodyPr wrap="square" lIns="0" tIns="0" rIns="0" bIns="0" rtlCol="0">
                          <a:prstTxWarp prst="textNoShape">
                            <a:avLst/>
                          </a:prstTxWarp>
                          <a:noAutofit/>
                        </wps:bodyPr>
                      </wps:wsp>
                    </wpg:wgp>
                  </a:graphicData>
                </a:graphic>
              </wp:inline>
            </w:drawing>
          </mc:Choice>
          <mc:Fallback>
            <w:pict>
              <v:group style="width:.5pt;height:1pt;mso-position-horizontal-relative:char;mso-position-vertical-relative:line" id="docshapegroup427" coordorigin="0,0" coordsize="10,20">
                <v:rect style="position:absolute;left:0;top:0;width:10;height:20" id="docshape428" filled="true" fillcolor="#4f81bb" stroked="false">
                  <v:fill type="solid"/>
                </v:rect>
              </v:group>
            </w:pict>
          </mc:Fallback>
        </mc:AlternateContent>
      </w:r>
      <w:r>
        <w:rPr>
          <w:sz w:val="2"/>
        </w:rPr>
      </w:r>
    </w:p>
    <w:p>
      <w:pPr>
        <w:pStyle w:val="Heading7"/>
        <w:jc w:val="both"/>
      </w:pPr>
      <w:bookmarkStart w:name="Pages from Binder2.pdf" w:id="929"/>
      <w:bookmarkEnd w:id="929"/>
      <w:r>
        <w:rPr/>
      </w:r>
      <w:bookmarkStart w:name="_bookmark623" w:id="930"/>
      <w:bookmarkEnd w:id="930"/>
      <w:r>
        <w:rPr/>
      </w:r>
      <w:hyperlink w:history="true" w:anchor="_bookmark3">
        <w:r>
          <w:rPr>
            <w:color w:val="365F91"/>
            <w:spacing w:val="-8"/>
          </w:rPr>
          <w:t>Executive</w:t>
        </w:r>
        <w:r>
          <w:rPr>
            <w:color w:val="365F91"/>
            <w:spacing w:val="-14"/>
          </w:rPr>
          <w:t> </w:t>
        </w:r>
        <w:r>
          <w:rPr>
            <w:color w:val="365F91"/>
            <w:spacing w:val="-8"/>
          </w:rPr>
          <w:t>Office</w:t>
        </w:r>
        <w:r>
          <w:rPr>
            <w:color w:val="365F91"/>
            <w:spacing w:val="-13"/>
          </w:rPr>
          <w:t> </w:t>
        </w:r>
        <w:r>
          <w:rPr>
            <w:color w:val="365F91"/>
            <w:spacing w:val="-8"/>
          </w:rPr>
          <w:t>of</w:t>
        </w:r>
        <w:r>
          <w:rPr>
            <w:color w:val="365F91"/>
            <w:spacing w:val="-14"/>
          </w:rPr>
          <w:t> </w:t>
        </w:r>
        <w:r>
          <w:rPr>
            <w:color w:val="365F91"/>
            <w:spacing w:val="-8"/>
          </w:rPr>
          <w:t>Education</w:t>
        </w:r>
        <w:r>
          <w:rPr>
            <w:color w:val="365F91"/>
            <w:spacing w:val="-12"/>
          </w:rPr>
          <w:t> </w:t>
        </w:r>
        <w:r>
          <w:rPr>
            <w:color w:val="365F91"/>
            <w:spacing w:val="-8"/>
          </w:rPr>
          <w:t>Recommendations</w:t>
        </w:r>
      </w:hyperlink>
    </w:p>
    <w:p>
      <w:pPr>
        <w:pStyle w:val="BodyText"/>
        <w:spacing w:line="276" w:lineRule="auto" w:before="314"/>
        <w:ind w:left="483" w:right="344"/>
        <w:jc w:val="both"/>
      </w:pPr>
      <w:r>
        <w:rPr/>
        <w:t>The Commission has for many years enjoyed a particularly strong relationship with the Department of Elementary and Secondary Education (DESE). The work of the Commission is closely tied to that of DESE through the Commission’s founding legislation, the funding it receives to implement anti-bullying work, and the relationships that the Safe Schools Program—which today is co-sponsored by the Commission and DESE—has forged with the Department. More recently, the Commission has also developed fruitful relationships with the Department of Early Education and Care (EEC) and the Department of Higher Education (DHE), both of which are represented along with DESE in the sections that follow.</w:t>
      </w:r>
    </w:p>
    <w:p>
      <w:pPr>
        <w:pStyle w:val="BodyText"/>
        <w:spacing w:line="276" w:lineRule="auto" w:before="239"/>
        <w:ind w:left="483" w:right="340"/>
        <w:jc w:val="both"/>
      </w:pPr>
      <w:r>
        <w:rPr/>
        <w:t>The Commission looks forward to increasing its collaboration with and between these three agencies to ensure that the policies it recommends have maximum effect. For example, public school students in Massachusetts</w:t>
      </w:r>
      <w:r>
        <w:rPr>
          <w:spacing w:val="-2"/>
        </w:rPr>
        <w:t> </w:t>
      </w:r>
      <w:r>
        <w:rPr/>
        <w:t>can</w:t>
      </w:r>
      <w:r>
        <w:rPr>
          <w:spacing w:val="-1"/>
        </w:rPr>
        <w:t> </w:t>
      </w:r>
      <w:r>
        <w:rPr/>
        <w:t>presently</w:t>
      </w:r>
      <w:r>
        <w:rPr>
          <w:spacing w:val="-2"/>
        </w:rPr>
        <w:t> </w:t>
      </w:r>
      <w:r>
        <w:rPr/>
        <w:t>elect</w:t>
      </w:r>
      <w:r>
        <w:rPr>
          <w:spacing w:val="-1"/>
        </w:rPr>
        <w:t> </w:t>
      </w:r>
      <w:r>
        <w:rPr/>
        <w:t>to</w:t>
      </w:r>
      <w:r>
        <w:rPr>
          <w:spacing w:val="-1"/>
        </w:rPr>
        <w:t> </w:t>
      </w:r>
      <w:r>
        <w:rPr/>
        <w:t>use</w:t>
      </w:r>
      <w:r>
        <w:rPr>
          <w:spacing w:val="-2"/>
        </w:rPr>
        <w:t> </w:t>
      </w:r>
      <w:r>
        <w:rPr/>
        <w:t>a</w:t>
      </w:r>
      <w:r>
        <w:rPr>
          <w:spacing w:val="-1"/>
        </w:rPr>
        <w:t> </w:t>
      </w:r>
      <w:r>
        <w:rPr/>
        <w:t>third,</w:t>
      </w:r>
      <w:r>
        <w:rPr>
          <w:spacing w:val="-2"/>
        </w:rPr>
        <w:t> </w:t>
      </w:r>
      <w:r>
        <w:rPr/>
        <w:t>nonbinary</w:t>
      </w:r>
      <w:r>
        <w:rPr>
          <w:spacing w:val="-2"/>
        </w:rPr>
        <w:t> </w:t>
      </w:r>
      <w:r>
        <w:rPr/>
        <w:t>gender</w:t>
      </w:r>
      <w:r>
        <w:rPr>
          <w:spacing w:val="-2"/>
        </w:rPr>
        <w:t> </w:t>
      </w:r>
      <w:r>
        <w:rPr/>
        <w:t>marker</w:t>
      </w:r>
      <w:r>
        <w:rPr>
          <w:spacing w:val="-2"/>
        </w:rPr>
        <w:t> </w:t>
      </w:r>
      <w:r>
        <w:rPr/>
        <w:t>in</w:t>
      </w:r>
      <w:r>
        <w:rPr>
          <w:spacing w:val="-2"/>
        </w:rPr>
        <w:t> </w:t>
      </w:r>
      <w:r>
        <w:rPr/>
        <w:t>lieu</w:t>
      </w:r>
      <w:r>
        <w:rPr>
          <w:spacing w:val="-2"/>
        </w:rPr>
        <w:t> </w:t>
      </w:r>
      <w:r>
        <w:rPr/>
        <w:t>of</w:t>
      </w:r>
      <w:r>
        <w:rPr>
          <w:spacing w:val="-2"/>
        </w:rPr>
        <w:t> </w:t>
      </w:r>
      <w:r>
        <w:rPr/>
        <w:t>“male” or</w:t>
      </w:r>
      <w:r>
        <w:rPr>
          <w:spacing w:val="-2"/>
        </w:rPr>
        <w:t> </w:t>
      </w:r>
      <w:r>
        <w:rPr/>
        <w:t>“female,” due</w:t>
      </w:r>
      <w:r>
        <w:rPr>
          <w:spacing w:val="-8"/>
        </w:rPr>
        <w:t> </w:t>
      </w:r>
      <w:r>
        <w:rPr/>
        <w:t>to</w:t>
      </w:r>
      <w:r>
        <w:rPr>
          <w:spacing w:val="-7"/>
        </w:rPr>
        <w:t> </w:t>
      </w:r>
      <w:r>
        <w:rPr/>
        <w:t>a</w:t>
      </w:r>
      <w:r>
        <w:rPr>
          <w:spacing w:val="-7"/>
        </w:rPr>
        <w:t> </w:t>
      </w:r>
      <w:r>
        <w:rPr/>
        <w:t>policy</w:t>
      </w:r>
      <w:r>
        <w:rPr>
          <w:spacing w:val="-9"/>
        </w:rPr>
        <w:t> </w:t>
      </w:r>
      <w:r>
        <w:rPr/>
        <w:t>change</w:t>
      </w:r>
      <w:r>
        <w:rPr>
          <w:spacing w:val="-8"/>
        </w:rPr>
        <w:t> </w:t>
      </w:r>
      <w:r>
        <w:rPr/>
        <w:t>at</w:t>
      </w:r>
      <w:r>
        <w:rPr>
          <w:spacing w:val="-8"/>
        </w:rPr>
        <w:t> </w:t>
      </w:r>
      <w:r>
        <w:rPr/>
        <w:t>DESE.</w:t>
      </w:r>
      <w:r>
        <w:rPr>
          <w:spacing w:val="-8"/>
        </w:rPr>
        <w:t> </w:t>
      </w:r>
      <w:r>
        <w:rPr/>
        <w:t>However,</w:t>
      </w:r>
      <w:r>
        <w:rPr>
          <w:spacing w:val="-9"/>
        </w:rPr>
        <w:t> </w:t>
      </w:r>
      <w:r>
        <w:rPr/>
        <w:t>many</w:t>
      </w:r>
      <w:r>
        <w:rPr>
          <w:spacing w:val="-6"/>
        </w:rPr>
        <w:t> </w:t>
      </w:r>
      <w:r>
        <w:rPr/>
        <w:t>colleges</w:t>
      </w:r>
      <w:r>
        <w:rPr>
          <w:spacing w:val="-8"/>
        </w:rPr>
        <w:t> </w:t>
      </w:r>
      <w:r>
        <w:rPr/>
        <w:t>and</w:t>
      </w:r>
      <w:r>
        <w:rPr>
          <w:spacing w:val="-8"/>
        </w:rPr>
        <w:t> </w:t>
      </w:r>
      <w:r>
        <w:rPr/>
        <w:t>universities</w:t>
      </w:r>
      <w:r>
        <w:rPr>
          <w:spacing w:val="-8"/>
        </w:rPr>
        <w:t> </w:t>
      </w:r>
      <w:r>
        <w:rPr/>
        <w:t>in</w:t>
      </w:r>
      <w:r>
        <w:rPr>
          <w:spacing w:val="-7"/>
        </w:rPr>
        <w:t> </w:t>
      </w:r>
      <w:r>
        <w:rPr/>
        <w:t>the</w:t>
      </w:r>
      <w:r>
        <w:rPr>
          <w:spacing w:val="-8"/>
        </w:rPr>
        <w:t> </w:t>
      </w:r>
      <w:r>
        <w:rPr/>
        <w:t>state</w:t>
      </w:r>
      <w:r>
        <w:rPr>
          <w:spacing w:val="-8"/>
        </w:rPr>
        <w:t> </w:t>
      </w:r>
      <w:r>
        <w:rPr/>
        <w:t>do</w:t>
      </w:r>
      <w:r>
        <w:rPr>
          <w:spacing w:val="-8"/>
        </w:rPr>
        <w:t> </w:t>
      </w:r>
      <w:r>
        <w:rPr/>
        <w:t>not</w:t>
      </w:r>
      <w:r>
        <w:rPr>
          <w:spacing w:val="-9"/>
        </w:rPr>
        <w:t> </w:t>
      </w:r>
      <w:r>
        <w:rPr/>
        <w:t>offer</w:t>
      </w:r>
      <w:r>
        <w:rPr>
          <w:spacing w:val="-9"/>
        </w:rPr>
        <w:t> </w:t>
      </w:r>
      <w:r>
        <w:rPr/>
        <w:t>a</w:t>
      </w:r>
      <w:r>
        <w:rPr>
          <w:spacing w:val="-7"/>
        </w:rPr>
        <w:t> </w:t>
      </w:r>
      <w:r>
        <w:rPr/>
        <w:t>similar option, leaving open an opportunity that DHE and the Commission could potentially work together to support. This is but one example of how increasing collaboration and coordination of the Commission’s recommendations to EEC, DESE, and DHE could improve service delivery for all three agencies and have an even greater impact for the Commonwealth’s LGBTQ youth.</w:t>
      </w:r>
    </w:p>
    <w:p>
      <w:pPr>
        <w:pStyle w:val="BodyText"/>
        <w:rPr>
          <w:sz w:val="20"/>
        </w:rPr>
      </w:pPr>
    </w:p>
    <w:p>
      <w:pPr>
        <w:pStyle w:val="BodyText"/>
        <w:spacing w:before="127"/>
        <w:rPr>
          <w:sz w:val="20"/>
        </w:rPr>
      </w:pPr>
      <w:r>
        <w:rPr/>
        <mc:AlternateContent>
          <mc:Choice Requires="wps">
            <w:drawing>
              <wp:anchor distT="0" distB="0" distL="0" distR="0" allowOverlap="1" layoutInCell="1" locked="0" behindDoc="1" simplePos="0" relativeHeight="487688192">
                <wp:simplePos x="0" y="0"/>
                <wp:positionH relativeFrom="page">
                  <wp:posOffset>889000</wp:posOffset>
                </wp:positionH>
                <wp:positionV relativeFrom="paragraph">
                  <wp:posOffset>251529</wp:posOffset>
                </wp:positionV>
                <wp:extent cx="6350" cy="12700"/>
                <wp:effectExtent l="0" t="0" r="0" b="0"/>
                <wp:wrapTopAndBottom/>
                <wp:docPr id="532" name="Graphic 532"/>
                <wp:cNvGraphicFramePr>
                  <a:graphicFrameLocks/>
                </wp:cNvGraphicFramePr>
                <a:graphic>
                  <a:graphicData uri="http://schemas.microsoft.com/office/word/2010/wordprocessingShape">
                    <wps:wsp>
                      <wps:cNvPr id="532" name="Graphic 532"/>
                      <wps:cNvSpPr/>
                      <wps:spPr>
                        <a:xfrm>
                          <a:off x="0" y="0"/>
                          <a:ext cx="6350" cy="12700"/>
                        </a:xfrm>
                        <a:custGeom>
                          <a:avLst/>
                          <a:gdLst/>
                          <a:ahLst/>
                          <a:cxnLst/>
                          <a:rect l="l" t="t" r="r" b="b"/>
                          <a:pathLst>
                            <a:path w="6350" h="12700">
                              <a:moveTo>
                                <a:pt x="6337" y="0"/>
                              </a:moveTo>
                              <a:lnTo>
                                <a:pt x="0" y="0"/>
                              </a:lnTo>
                              <a:lnTo>
                                <a:pt x="0" y="12179"/>
                              </a:lnTo>
                              <a:lnTo>
                                <a:pt x="6337" y="12179"/>
                              </a:lnTo>
                              <a:lnTo>
                                <a:pt x="6337" y="0"/>
                              </a:lnTo>
                              <a:close/>
                            </a:path>
                          </a:pathLst>
                        </a:custGeom>
                        <a:solidFill>
                          <a:srgbClr val="4F81BB"/>
                        </a:solidFill>
                      </wps:spPr>
                      <wps:bodyPr wrap="square" lIns="0" tIns="0" rIns="0" bIns="0" rtlCol="0">
                        <a:prstTxWarp prst="textNoShape">
                          <a:avLst/>
                        </a:prstTxWarp>
                        <a:noAutofit/>
                      </wps:bodyPr>
                    </wps:wsp>
                  </a:graphicData>
                </a:graphic>
              </wp:anchor>
            </w:drawing>
          </mc:Choice>
          <mc:Fallback>
            <w:pict>
              <v:rect style="position:absolute;margin-left:70pt;margin-top:19.805489pt;width:.499pt;height:.959pt;mso-position-horizontal-relative:page;mso-position-vertical-relative:paragraph;z-index:-15628288;mso-wrap-distance-left:0;mso-wrap-distance-right:0" id="docshape429" filled="true" fillcolor="#4f81bb" stroked="false">
                <v:fill type="solid"/>
                <w10:wrap type="topAndBottom"/>
              </v:rect>
            </w:pict>
          </mc:Fallback>
        </mc:AlternateContent>
      </w:r>
    </w:p>
    <w:p>
      <w:pPr>
        <w:pStyle w:val="Heading7"/>
        <w:jc w:val="both"/>
      </w:pPr>
      <w:hyperlink w:history="true" w:anchor="_bookmark4">
        <w:r>
          <w:rPr>
            <w:color w:val="365F91"/>
            <w:spacing w:val="-8"/>
          </w:rPr>
          <w:t>Department</w:t>
        </w:r>
        <w:r>
          <w:rPr>
            <w:color w:val="365F91"/>
            <w:spacing w:val="-15"/>
          </w:rPr>
          <w:t> </w:t>
        </w:r>
        <w:r>
          <w:rPr>
            <w:color w:val="365F91"/>
            <w:spacing w:val="-8"/>
          </w:rPr>
          <w:t>of</w:t>
        </w:r>
        <w:r>
          <w:rPr>
            <w:color w:val="365F91"/>
            <w:spacing w:val="-15"/>
          </w:rPr>
          <w:t> </w:t>
        </w:r>
        <w:r>
          <w:rPr>
            <w:color w:val="365F91"/>
            <w:spacing w:val="-8"/>
          </w:rPr>
          <w:t>Early</w:t>
        </w:r>
        <w:r>
          <w:rPr>
            <w:color w:val="365F91"/>
            <w:spacing w:val="-14"/>
          </w:rPr>
          <w:t> </w:t>
        </w:r>
        <w:r>
          <w:rPr>
            <w:color w:val="365F91"/>
            <w:spacing w:val="-8"/>
          </w:rPr>
          <w:t>Education</w:t>
        </w:r>
        <w:r>
          <w:rPr>
            <w:color w:val="365F91"/>
            <w:spacing w:val="-16"/>
          </w:rPr>
          <w:t> </w:t>
        </w:r>
        <w:r>
          <w:rPr>
            <w:color w:val="365F91"/>
            <w:spacing w:val="-8"/>
          </w:rPr>
          <w:t>and</w:t>
        </w:r>
        <w:r>
          <w:rPr>
            <w:color w:val="365F91"/>
            <w:spacing w:val="-13"/>
          </w:rPr>
          <w:t> </w:t>
        </w:r>
        <w:r>
          <w:rPr>
            <w:color w:val="365F91"/>
            <w:spacing w:val="-8"/>
          </w:rPr>
          <w:t>Care</w:t>
        </w:r>
      </w:hyperlink>
    </w:p>
    <w:p>
      <w:pPr>
        <w:pStyle w:val="BodyText"/>
        <w:rPr>
          <w:sz w:val="20"/>
        </w:rPr>
      </w:pPr>
    </w:p>
    <w:p>
      <w:pPr>
        <w:pStyle w:val="BodyText"/>
        <w:spacing w:before="141"/>
        <w:rPr>
          <w:sz w:val="20"/>
        </w:rPr>
      </w:pPr>
      <w:r>
        <w:rPr/>
        <mc:AlternateContent>
          <mc:Choice Requires="wps">
            <w:drawing>
              <wp:anchor distT="0" distB="0" distL="0" distR="0" allowOverlap="1" layoutInCell="1" locked="0" behindDoc="1" simplePos="0" relativeHeight="487688704">
                <wp:simplePos x="0" y="0"/>
                <wp:positionH relativeFrom="page">
                  <wp:posOffset>889000</wp:posOffset>
                </wp:positionH>
                <wp:positionV relativeFrom="paragraph">
                  <wp:posOffset>260298</wp:posOffset>
                </wp:positionV>
                <wp:extent cx="6350" cy="12700"/>
                <wp:effectExtent l="0" t="0" r="0" b="0"/>
                <wp:wrapTopAndBottom/>
                <wp:docPr id="533" name="Graphic 533"/>
                <wp:cNvGraphicFramePr>
                  <a:graphicFrameLocks/>
                </wp:cNvGraphicFramePr>
                <a:graphic>
                  <a:graphicData uri="http://schemas.microsoft.com/office/word/2010/wordprocessingShape">
                    <wps:wsp>
                      <wps:cNvPr id="533" name="Graphic 533"/>
                      <wps:cNvSpPr/>
                      <wps:spPr>
                        <a:xfrm>
                          <a:off x="0" y="0"/>
                          <a:ext cx="6350" cy="12700"/>
                        </a:xfrm>
                        <a:custGeom>
                          <a:avLst/>
                          <a:gdLst/>
                          <a:ahLst/>
                          <a:cxnLst/>
                          <a:rect l="l" t="t" r="r" b="b"/>
                          <a:pathLst>
                            <a:path w="6350" h="12700">
                              <a:moveTo>
                                <a:pt x="6337" y="0"/>
                              </a:moveTo>
                              <a:lnTo>
                                <a:pt x="0" y="0"/>
                              </a:lnTo>
                              <a:lnTo>
                                <a:pt x="0" y="12179"/>
                              </a:lnTo>
                              <a:lnTo>
                                <a:pt x="6337" y="12179"/>
                              </a:lnTo>
                              <a:lnTo>
                                <a:pt x="6337" y="0"/>
                              </a:lnTo>
                              <a:close/>
                            </a:path>
                          </a:pathLst>
                        </a:custGeom>
                        <a:solidFill>
                          <a:srgbClr val="4F81BB"/>
                        </a:solidFill>
                      </wps:spPr>
                      <wps:bodyPr wrap="square" lIns="0" tIns="0" rIns="0" bIns="0" rtlCol="0">
                        <a:prstTxWarp prst="textNoShape">
                          <a:avLst/>
                        </a:prstTxWarp>
                        <a:noAutofit/>
                      </wps:bodyPr>
                    </wps:wsp>
                  </a:graphicData>
                </a:graphic>
              </wp:anchor>
            </w:drawing>
          </mc:Choice>
          <mc:Fallback>
            <w:pict>
              <v:rect style="position:absolute;margin-left:70pt;margin-top:20.495907pt;width:.499pt;height:.959pt;mso-position-horizontal-relative:page;mso-position-vertical-relative:paragraph;z-index:-15627776;mso-wrap-distance-left:0;mso-wrap-distance-right:0" id="docshape430" filled="true" fillcolor="#4f81bb" stroked="false">
                <v:fill type="solid"/>
                <w10:wrap type="topAndBottom"/>
              </v:rect>
            </w:pict>
          </mc:Fallback>
        </mc:AlternateContent>
      </w:r>
    </w:p>
    <w:p>
      <w:pPr>
        <w:spacing w:before="0"/>
        <w:ind w:left="483" w:right="0" w:firstLine="0"/>
        <w:jc w:val="both"/>
        <w:rPr>
          <w:sz w:val="28"/>
        </w:rPr>
      </w:pPr>
      <w:r>
        <w:rPr>
          <w:color w:val="365F91"/>
          <w:sz w:val="28"/>
        </w:rPr>
        <w:t>FY2025</w:t>
      </w:r>
      <w:r>
        <w:rPr>
          <w:color w:val="365F91"/>
          <w:spacing w:val="-13"/>
          <w:sz w:val="28"/>
        </w:rPr>
        <w:t> </w:t>
      </w:r>
      <w:r>
        <w:rPr>
          <w:color w:val="365F91"/>
          <w:spacing w:val="-2"/>
          <w:sz w:val="28"/>
        </w:rPr>
        <w:t>Recommendations</w:t>
      </w:r>
    </w:p>
    <w:p>
      <w:pPr>
        <w:pStyle w:val="BodyText"/>
        <w:spacing w:before="11"/>
        <w:rPr>
          <w:sz w:val="3"/>
        </w:rPr>
      </w:pPr>
      <w:r>
        <w:rPr/>
        <mc:AlternateContent>
          <mc:Choice Requires="wps">
            <w:drawing>
              <wp:anchor distT="0" distB="0" distL="0" distR="0" allowOverlap="1" layoutInCell="1" locked="0" behindDoc="1" simplePos="0" relativeHeight="487689216">
                <wp:simplePos x="0" y="0"/>
                <wp:positionH relativeFrom="page">
                  <wp:posOffset>897636</wp:posOffset>
                </wp:positionH>
                <wp:positionV relativeFrom="paragraph">
                  <wp:posOffset>45594</wp:posOffset>
                </wp:positionV>
                <wp:extent cx="5976620" cy="6350"/>
                <wp:effectExtent l="0" t="0" r="0" b="0"/>
                <wp:wrapTopAndBottom/>
                <wp:docPr id="534" name="Graphic 534"/>
                <wp:cNvGraphicFramePr>
                  <a:graphicFrameLocks/>
                </wp:cNvGraphicFramePr>
                <a:graphic>
                  <a:graphicData uri="http://schemas.microsoft.com/office/word/2010/wordprocessingShape">
                    <wps:wsp>
                      <wps:cNvPr id="534" name="Graphic 534"/>
                      <wps:cNvSpPr/>
                      <wps:spPr>
                        <a:xfrm>
                          <a:off x="0" y="0"/>
                          <a:ext cx="5976620" cy="6350"/>
                        </a:xfrm>
                        <a:custGeom>
                          <a:avLst/>
                          <a:gdLst/>
                          <a:ahLst/>
                          <a:cxnLst/>
                          <a:rect l="l" t="t" r="r" b="b"/>
                          <a:pathLst>
                            <a:path w="5976620" h="6350">
                              <a:moveTo>
                                <a:pt x="5976366" y="0"/>
                              </a:moveTo>
                              <a:lnTo>
                                <a:pt x="0" y="0"/>
                              </a:lnTo>
                              <a:lnTo>
                                <a:pt x="0" y="6096"/>
                              </a:lnTo>
                              <a:lnTo>
                                <a:pt x="5976366" y="6096"/>
                              </a:lnTo>
                              <a:lnTo>
                                <a:pt x="5976366" y="0"/>
                              </a:lnTo>
                              <a:close/>
                            </a:path>
                          </a:pathLst>
                        </a:custGeom>
                        <a:solidFill>
                          <a:srgbClr val="4F81BC"/>
                        </a:solidFill>
                      </wps:spPr>
                      <wps:bodyPr wrap="square" lIns="0" tIns="0" rIns="0" bIns="0" rtlCol="0">
                        <a:prstTxWarp prst="textNoShape">
                          <a:avLst/>
                        </a:prstTxWarp>
                        <a:noAutofit/>
                      </wps:bodyPr>
                    </wps:wsp>
                  </a:graphicData>
                </a:graphic>
              </wp:anchor>
            </w:drawing>
          </mc:Choice>
          <mc:Fallback>
            <w:pict>
              <v:rect style="position:absolute;margin-left:70.680pt;margin-top:3.590156pt;width:470.58pt;height:.48pt;mso-position-horizontal-relative:page;mso-position-vertical-relative:paragraph;z-index:-15627264;mso-wrap-distance-left:0;mso-wrap-distance-right:0" id="docshape431" filled="true" fillcolor="#4f81bc" stroked="false">
                <v:fill type="solid"/>
                <w10:wrap type="topAndBottom"/>
              </v:rect>
            </w:pict>
          </mc:Fallback>
        </mc:AlternateContent>
      </w:r>
    </w:p>
    <w:p>
      <w:pPr>
        <w:pStyle w:val="ListParagraph"/>
        <w:numPr>
          <w:ilvl w:val="1"/>
          <w:numId w:val="30"/>
        </w:numPr>
        <w:tabs>
          <w:tab w:pos="1059" w:val="left" w:leader="none"/>
        </w:tabs>
        <w:spacing w:line="276" w:lineRule="auto" w:before="241" w:after="0"/>
        <w:ind w:left="1059" w:right="343" w:hanging="360"/>
        <w:jc w:val="both"/>
        <w:rPr>
          <w:sz w:val="22"/>
        </w:rPr>
      </w:pPr>
      <w:r>
        <w:rPr>
          <w:sz w:val="22"/>
        </w:rPr>
        <w:t>Develop</w:t>
      </w:r>
      <w:r>
        <w:rPr>
          <w:spacing w:val="-13"/>
          <w:sz w:val="22"/>
        </w:rPr>
        <w:t> </w:t>
      </w:r>
      <w:r>
        <w:rPr>
          <w:sz w:val="22"/>
        </w:rPr>
        <w:t>an</w:t>
      </w:r>
      <w:r>
        <w:rPr>
          <w:spacing w:val="-12"/>
          <w:sz w:val="22"/>
        </w:rPr>
        <w:t> </w:t>
      </w:r>
      <w:r>
        <w:rPr>
          <w:sz w:val="22"/>
        </w:rPr>
        <w:t>online</w:t>
      </w:r>
      <w:r>
        <w:rPr>
          <w:spacing w:val="-13"/>
          <w:sz w:val="22"/>
        </w:rPr>
        <w:t> </w:t>
      </w:r>
      <w:r>
        <w:rPr>
          <w:sz w:val="22"/>
        </w:rPr>
        <w:t>training</w:t>
      </w:r>
      <w:r>
        <w:rPr>
          <w:spacing w:val="-12"/>
          <w:sz w:val="22"/>
        </w:rPr>
        <w:t> </w:t>
      </w:r>
      <w:r>
        <w:rPr>
          <w:sz w:val="22"/>
        </w:rPr>
        <w:t>module</w:t>
      </w:r>
      <w:r>
        <w:rPr>
          <w:spacing w:val="-13"/>
          <w:sz w:val="22"/>
        </w:rPr>
        <w:t> </w:t>
      </w:r>
      <w:r>
        <w:rPr>
          <w:sz w:val="22"/>
        </w:rPr>
        <w:t>on</w:t>
      </w:r>
      <w:r>
        <w:rPr>
          <w:spacing w:val="-12"/>
          <w:sz w:val="22"/>
        </w:rPr>
        <w:t> </w:t>
      </w:r>
      <w:r>
        <w:rPr>
          <w:sz w:val="22"/>
        </w:rPr>
        <w:t>best</w:t>
      </w:r>
      <w:r>
        <w:rPr>
          <w:spacing w:val="-13"/>
          <w:sz w:val="22"/>
        </w:rPr>
        <w:t> </w:t>
      </w:r>
      <w:r>
        <w:rPr>
          <w:sz w:val="22"/>
        </w:rPr>
        <w:t>practices</w:t>
      </w:r>
      <w:r>
        <w:rPr>
          <w:spacing w:val="-12"/>
          <w:sz w:val="22"/>
        </w:rPr>
        <w:t> </w:t>
      </w:r>
      <w:r>
        <w:rPr>
          <w:sz w:val="22"/>
        </w:rPr>
        <w:t>for</w:t>
      </w:r>
      <w:r>
        <w:rPr>
          <w:spacing w:val="-12"/>
          <w:sz w:val="22"/>
        </w:rPr>
        <w:t> </w:t>
      </w:r>
      <w:r>
        <w:rPr>
          <w:sz w:val="22"/>
        </w:rPr>
        <w:t>serving</w:t>
      </w:r>
      <w:r>
        <w:rPr>
          <w:spacing w:val="-13"/>
          <w:sz w:val="22"/>
        </w:rPr>
        <w:t> </w:t>
      </w:r>
      <w:r>
        <w:rPr>
          <w:sz w:val="22"/>
        </w:rPr>
        <w:t>LGBTQ</w:t>
      </w:r>
      <w:r>
        <w:rPr>
          <w:spacing w:val="-12"/>
          <w:sz w:val="22"/>
        </w:rPr>
        <w:t> </w:t>
      </w:r>
      <w:r>
        <w:rPr>
          <w:sz w:val="22"/>
        </w:rPr>
        <w:t>youth</w:t>
      </w:r>
      <w:r>
        <w:rPr>
          <w:spacing w:val="-13"/>
          <w:sz w:val="22"/>
        </w:rPr>
        <w:t> </w:t>
      </w:r>
      <w:r>
        <w:rPr>
          <w:sz w:val="22"/>
        </w:rPr>
        <w:t>and</w:t>
      </w:r>
      <w:r>
        <w:rPr>
          <w:spacing w:val="-12"/>
          <w:sz w:val="22"/>
        </w:rPr>
        <w:t> </w:t>
      </w:r>
      <w:r>
        <w:rPr>
          <w:sz w:val="22"/>
        </w:rPr>
        <w:t>families,</w:t>
      </w:r>
      <w:r>
        <w:rPr>
          <w:spacing w:val="-13"/>
          <w:sz w:val="22"/>
        </w:rPr>
        <w:t> </w:t>
      </w:r>
      <w:r>
        <w:rPr>
          <w:sz w:val="22"/>
        </w:rPr>
        <w:t>and</w:t>
      </w:r>
      <w:r>
        <w:rPr>
          <w:spacing w:val="-12"/>
          <w:sz w:val="22"/>
        </w:rPr>
        <w:t> </w:t>
      </w:r>
      <w:r>
        <w:rPr>
          <w:sz w:val="22"/>
        </w:rPr>
        <w:t>offer in-person cultural awareness trainings for EEC staff.</w:t>
      </w:r>
    </w:p>
    <w:p>
      <w:pPr>
        <w:pStyle w:val="ListParagraph"/>
        <w:numPr>
          <w:ilvl w:val="1"/>
          <w:numId w:val="30"/>
        </w:numPr>
        <w:tabs>
          <w:tab w:pos="1058" w:val="left" w:leader="none"/>
        </w:tabs>
        <w:spacing w:line="268" w:lineRule="exact" w:before="0" w:after="0"/>
        <w:ind w:left="1058" w:right="0" w:hanging="359"/>
        <w:jc w:val="both"/>
        <w:rPr>
          <w:sz w:val="22"/>
        </w:rPr>
      </w:pPr>
      <w:r>
        <w:rPr>
          <w:sz w:val="22"/>
        </w:rPr>
        <w:t>Clarify</w:t>
      </w:r>
      <w:r>
        <w:rPr>
          <w:spacing w:val="-8"/>
          <w:sz w:val="22"/>
        </w:rPr>
        <w:t> </w:t>
      </w:r>
      <w:r>
        <w:rPr>
          <w:sz w:val="22"/>
        </w:rPr>
        <w:t>that</w:t>
      </w:r>
      <w:r>
        <w:rPr>
          <w:spacing w:val="-7"/>
          <w:sz w:val="22"/>
        </w:rPr>
        <w:t> </w:t>
      </w:r>
      <w:r>
        <w:rPr>
          <w:sz w:val="22"/>
        </w:rPr>
        <w:t>providers</w:t>
      </w:r>
      <w:r>
        <w:rPr>
          <w:spacing w:val="-8"/>
          <w:sz w:val="22"/>
        </w:rPr>
        <w:t> </w:t>
      </w:r>
      <w:r>
        <w:rPr>
          <w:sz w:val="22"/>
        </w:rPr>
        <w:t>can</w:t>
      </w:r>
      <w:r>
        <w:rPr>
          <w:spacing w:val="-8"/>
          <w:sz w:val="22"/>
        </w:rPr>
        <w:t> </w:t>
      </w:r>
      <w:r>
        <w:rPr>
          <w:sz w:val="22"/>
        </w:rPr>
        <w:t>and</w:t>
      </w:r>
      <w:r>
        <w:rPr>
          <w:spacing w:val="-8"/>
          <w:sz w:val="22"/>
        </w:rPr>
        <w:t> </w:t>
      </w:r>
      <w:r>
        <w:rPr>
          <w:sz w:val="22"/>
        </w:rPr>
        <w:t>should</w:t>
      </w:r>
      <w:r>
        <w:rPr>
          <w:spacing w:val="-7"/>
          <w:sz w:val="22"/>
        </w:rPr>
        <w:t> </w:t>
      </w:r>
      <w:r>
        <w:rPr>
          <w:sz w:val="22"/>
        </w:rPr>
        <w:t>house</w:t>
      </w:r>
      <w:r>
        <w:rPr>
          <w:spacing w:val="-7"/>
          <w:sz w:val="22"/>
        </w:rPr>
        <w:t> </w:t>
      </w:r>
      <w:r>
        <w:rPr>
          <w:sz w:val="22"/>
        </w:rPr>
        <w:t>transgender</w:t>
      </w:r>
      <w:r>
        <w:rPr>
          <w:spacing w:val="-8"/>
          <w:sz w:val="22"/>
        </w:rPr>
        <w:t> </w:t>
      </w:r>
      <w:r>
        <w:rPr>
          <w:sz w:val="22"/>
        </w:rPr>
        <w:t>youth</w:t>
      </w:r>
      <w:r>
        <w:rPr>
          <w:spacing w:val="-8"/>
          <w:sz w:val="22"/>
        </w:rPr>
        <w:t> </w:t>
      </w:r>
      <w:r>
        <w:rPr>
          <w:sz w:val="22"/>
        </w:rPr>
        <w:t>based</w:t>
      </w:r>
      <w:r>
        <w:rPr>
          <w:spacing w:val="-8"/>
          <w:sz w:val="22"/>
        </w:rPr>
        <w:t> </w:t>
      </w:r>
      <w:r>
        <w:rPr>
          <w:sz w:val="22"/>
        </w:rPr>
        <w:t>on</w:t>
      </w:r>
      <w:r>
        <w:rPr>
          <w:spacing w:val="-7"/>
          <w:sz w:val="22"/>
        </w:rPr>
        <w:t> </w:t>
      </w:r>
      <w:r>
        <w:rPr>
          <w:sz w:val="22"/>
        </w:rPr>
        <w:t>their</w:t>
      </w:r>
      <w:r>
        <w:rPr>
          <w:spacing w:val="-7"/>
          <w:sz w:val="22"/>
        </w:rPr>
        <w:t> </w:t>
      </w:r>
      <w:r>
        <w:rPr>
          <w:sz w:val="22"/>
        </w:rPr>
        <w:t>gender</w:t>
      </w:r>
      <w:r>
        <w:rPr>
          <w:spacing w:val="-8"/>
          <w:sz w:val="22"/>
        </w:rPr>
        <w:t> </w:t>
      </w:r>
      <w:r>
        <w:rPr>
          <w:spacing w:val="-2"/>
          <w:sz w:val="22"/>
        </w:rPr>
        <w:t>identity.</w:t>
      </w:r>
    </w:p>
    <w:p>
      <w:pPr>
        <w:pStyle w:val="ListParagraph"/>
        <w:numPr>
          <w:ilvl w:val="1"/>
          <w:numId w:val="30"/>
        </w:numPr>
        <w:tabs>
          <w:tab w:pos="1059" w:val="left" w:leader="none"/>
        </w:tabs>
        <w:spacing w:line="276" w:lineRule="auto" w:before="41" w:after="0"/>
        <w:ind w:left="1059" w:right="344" w:hanging="360"/>
        <w:jc w:val="both"/>
        <w:rPr>
          <w:sz w:val="22"/>
        </w:rPr>
      </w:pPr>
      <w:r>
        <w:rPr>
          <w:sz w:val="22"/>
        </w:rPr>
        <w:t>Continue to collaborate with the Department of Elementary and Secondary Education (DESE) and other state agencies on the Statewide Family Engagement Framework (prenatal through post- secondary) to ensure that LGBTQ content and family diversity are well-represented.</w:t>
      </w:r>
    </w:p>
    <w:p>
      <w:pPr>
        <w:pStyle w:val="ListParagraph"/>
        <w:numPr>
          <w:ilvl w:val="1"/>
          <w:numId w:val="30"/>
        </w:numPr>
        <w:tabs>
          <w:tab w:pos="1058" w:val="left" w:leader="none"/>
        </w:tabs>
        <w:spacing w:line="240" w:lineRule="auto" w:before="0" w:after="0"/>
        <w:ind w:left="1058" w:right="0" w:hanging="359"/>
        <w:jc w:val="both"/>
        <w:rPr>
          <w:sz w:val="22"/>
        </w:rPr>
      </w:pPr>
      <w:r>
        <w:rPr>
          <w:sz w:val="22"/>
        </w:rPr>
        <w:t>Include</w:t>
      </w:r>
      <w:r>
        <w:rPr>
          <w:spacing w:val="-8"/>
          <w:sz w:val="22"/>
        </w:rPr>
        <w:t> </w:t>
      </w:r>
      <w:r>
        <w:rPr>
          <w:sz w:val="22"/>
        </w:rPr>
        <w:t>a</w:t>
      </w:r>
      <w:r>
        <w:rPr>
          <w:spacing w:val="-7"/>
          <w:sz w:val="22"/>
        </w:rPr>
        <w:t> </w:t>
      </w:r>
      <w:r>
        <w:rPr>
          <w:sz w:val="22"/>
        </w:rPr>
        <w:t>non-binary</w:t>
      </w:r>
      <w:r>
        <w:rPr>
          <w:spacing w:val="-8"/>
          <w:sz w:val="22"/>
        </w:rPr>
        <w:t> </w:t>
      </w:r>
      <w:r>
        <w:rPr>
          <w:sz w:val="22"/>
        </w:rPr>
        <w:t>gender</w:t>
      </w:r>
      <w:r>
        <w:rPr>
          <w:spacing w:val="-8"/>
          <w:sz w:val="22"/>
        </w:rPr>
        <w:t> </w:t>
      </w:r>
      <w:r>
        <w:rPr>
          <w:sz w:val="22"/>
        </w:rPr>
        <w:t>marker</w:t>
      </w:r>
      <w:r>
        <w:rPr>
          <w:spacing w:val="-7"/>
          <w:sz w:val="22"/>
        </w:rPr>
        <w:t> </w:t>
      </w:r>
      <w:r>
        <w:rPr>
          <w:sz w:val="22"/>
        </w:rPr>
        <w:t>option</w:t>
      </w:r>
      <w:r>
        <w:rPr>
          <w:spacing w:val="-8"/>
          <w:sz w:val="22"/>
        </w:rPr>
        <w:t> </w:t>
      </w:r>
      <w:r>
        <w:rPr>
          <w:sz w:val="22"/>
        </w:rPr>
        <w:t>during</w:t>
      </w:r>
      <w:r>
        <w:rPr>
          <w:spacing w:val="-7"/>
          <w:sz w:val="22"/>
        </w:rPr>
        <w:t> </w:t>
      </w:r>
      <w:r>
        <w:rPr>
          <w:sz w:val="22"/>
        </w:rPr>
        <w:t>the</w:t>
      </w:r>
      <w:r>
        <w:rPr>
          <w:spacing w:val="-8"/>
          <w:sz w:val="22"/>
        </w:rPr>
        <w:t> </w:t>
      </w:r>
      <w:r>
        <w:rPr>
          <w:sz w:val="22"/>
        </w:rPr>
        <w:t>development</w:t>
      </w:r>
      <w:r>
        <w:rPr>
          <w:spacing w:val="-8"/>
          <w:sz w:val="22"/>
        </w:rPr>
        <w:t> </w:t>
      </w:r>
      <w:r>
        <w:rPr>
          <w:sz w:val="22"/>
        </w:rPr>
        <w:t>of</w:t>
      </w:r>
      <w:r>
        <w:rPr>
          <w:spacing w:val="-7"/>
          <w:sz w:val="22"/>
        </w:rPr>
        <w:t> </w:t>
      </w:r>
      <w:r>
        <w:rPr>
          <w:sz w:val="22"/>
        </w:rPr>
        <w:t>EEC’s</w:t>
      </w:r>
      <w:r>
        <w:rPr>
          <w:spacing w:val="-8"/>
          <w:sz w:val="22"/>
        </w:rPr>
        <w:t> </w:t>
      </w:r>
      <w:r>
        <w:rPr>
          <w:sz w:val="22"/>
        </w:rPr>
        <w:t>online</w:t>
      </w:r>
      <w:r>
        <w:rPr>
          <w:spacing w:val="-8"/>
          <w:sz w:val="22"/>
        </w:rPr>
        <w:t> </w:t>
      </w:r>
      <w:r>
        <w:rPr>
          <w:spacing w:val="-2"/>
          <w:sz w:val="22"/>
        </w:rPr>
        <w:t>applications.</w:t>
      </w:r>
    </w:p>
    <w:p>
      <w:pPr>
        <w:pStyle w:val="ListParagraph"/>
        <w:numPr>
          <w:ilvl w:val="1"/>
          <w:numId w:val="30"/>
        </w:numPr>
        <w:tabs>
          <w:tab w:pos="1058" w:val="left" w:leader="none"/>
        </w:tabs>
        <w:spacing w:line="240" w:lineRule="auto" w:before="40" w:after="0"/>
        <w:ind w:left="1058" w:right="0" w:hanging="359"/>
        <w:jc w:val="both"/>
        <w:rPr>
          <w:sz w:val="22"/>
        </w:rPr>
      </w:pPr>
      <w:r>
        <w:rPr>
          <w:sz w:val="22"/>
        </w:rPr>
        <w:t>Share</w:t>
      </w:r>
      <w:r>
        <w:rPr>
          <w:spacing w:val="-9"/>
          <w:sz w:val="22"/>
        </w:rPr>
        <w:t> </w:t>
      </w:r>
      <w:r>
        <w:rPr>
          <w:sz w:val="22"/>
        </w:rPr>
        <w:t>information</w:t>
      </w:r>
      <w:r>
        <w:rPr>
          <w:spacing w:val="-8"/>
          <w:sz w:val="22"/>
        </w:rPr>
        <w:t> </w:t>
      </w:r>
      <w:r>
        <w:rPr>
          <w:sz w:val="22"/>
        </w:rPr>
        <w:t>and</w:t>
      </w:r>
      <w:r>
        <w:rPr>
          <w:spacing w:val="-8"/>
          <w:sz w:val="22"/>
        </w:rPr>
        <w:t> </w:t>
      </w:r>
      <w:r>
        <w:rPr>
          <w:sz w:val="22"/>
        </w:rPr>
        <w:t>best</w:t>
      </w:r>
      <w:r>
        <w:rPr>
          <w:spacing w:val="-8"/>
          <w:sz w:val="22"/>
        </w:rPr>
        <w:t> </w:t>
      </w:r>
      <w:r>
        <w:rPr>
          <w:sz w:val="22"/>
        </w:rPr>
        <w:t>practices</w:t>
      </w:r>
      <w:r>
        <w:rPr>
          <w:spacing w:val="-9"/>
          <w:sz w:val="22"/>
        </w:rPr>
        <w:t> </w:t>
      </w:r>
      <w:r>
        <w:rPr>
          <w:sz w:val="22"/>
        </w:rPr>
        <w:t>related</w:t>
      </w:r>
      <w:r>
        <w:rPr>
          <w:spacing w:val="-7"/>
          <w:sz w:val="22"/>
        </w:rPr>
        <w:t> </w:t>
      </w:r>
      <w:r>
        <w:rPr>
          <w:sz w:val="22"/>
        </w:rPr>
        <w:t>to</w:t>
      </w:r>
      <w:r>
        <w:rPr>
          <w:spacing w:val="-8"/>
          <w:sz w:val="22"/>
        </w:rPr>
        <w:t> </w:t>
      </w:r>
      <w:r>
        <w:rPr>
          <w:sz w:val="22"/>
        </w:rPr>
        <w:t>early</w:t>
      </w:r>
      <w:r>
        <w:rPr>
          <w:spacing w:val="-8"/>
          <w:sz w:val="22"/>
        </w:rPr>
        <w:t> </w:t>
      </w:r>
      <w:r>
        <w:rPr>
          <w:sz w:val="22"/>
        </w:rPr>
        <w:t>education</w:t>
      </w:r>
      <w:r>
        <w:rPr>
          <w:spacing w:val="-8"/>
          <w:sz w:val="22"/>
        </w:rPr>
        <w:t> </w:t>
      </w:r>
      <w:r>
        <w:rPr>
          <w:spacing w:val="-2"/>
          <w:sz w:val="22"/>
        </w:rPr>
        <w:t>populations.</w:t>
      </w:r>
    </w:p>
    <w:p>
      <w:pPr>
        <w:pStyle w:val="BodyText"/>
        <w:spacing w:before="10"/>
      </w:pPr>
    </w:p>
    <w:p>
      <w:pPr>
        <w:spacing w:before="1"/>
        <w:ind w:left="483" w:right="0" w:firstLine="0"/>
        <w:jc w:val="left"/>
        <w:rPr>
          <w:sz w:val="28"/>
        </w:rPr>
      </w:pPr>
      <w:r>
        <w:rPr>
          <w:color w:val="365F91"/>
          <w:spacing w:val="-2"/>
          <w:sz w:val="28"/>
        </w:rPr>
        <w:t>Introduction</w:t>
      </w:r>
    </w:p>
    <w:p>
      <w:pPr>
        <w:pStyle w:val="BodyText"/>
        <w:spacing w:before="10"/>
        <w:rPr>
          <w:sz w:val="3"/>
        </w:rPr>
      </w:pPr>
      <w:r>
        <w:rPr/>
        <mc:AlternateContent>
          <mc:Choice Requires="wps">
            <w:drawing>
              <wp:anchor distT="0" distB="0" distL="0" distR="0" allowOverlap="1" layoutInCell="1" locked="0" behindDoc="1" simplePos="0" relativeHeight="487689728">
                <wp:simplePos x="0" y="0"/>
                <wp:positionH relativeFrom="page">
                  <wp:posOffset>897636</wp:posOffset>
                </wp:positionH>
                <wp:positionV relativeFrom="paragraph">
                  <wp:posOffset>45199</wp:posOffset>
                </wp:positionV>
                <wp:extent cx="5976620" cy="6350"/>
                <wp:effectExtent l="0" t="0" r="0" b="0"/>
                <wp:wrapTopAndBottom/>
                <wp:docPr id="535" name="Graphic 535"/>
                <wp:cNvGraphicFramePr>
                  <a:graphicFrameLocks/>
                </wp:cNvGraphicFramePr>
                <a:graphic>
                  <a:graphicData uri="http://schemas.microsoft.com/office/word/2010/wordprocessingShape">
                    <wps:wsp>
                      <wps:cNvPr id="535" name="Graphic 535"/>
                      <wps:cNvSpPr/>
                      <wps:spPr>
                        <a:xfrm>
                          <a:off x="0" y="0"/>
                          <a:ext cx="5976620" cy="6350"/>
                        </a:xfrm>
                        <a:custGeom>
                          <a:avLst/>
                          <a:gdLst/>
                          <a:ahLst/>
                          <a:cxnLst/>
                          <a:rect l="l" t="t" r="r" b="b"/>
                          <a:pathLst>
                            <a:path w="5976620" h="6350">
                              <a:moveTo>
                                <a:pt x="5976366" y="0"/>
                              </a:moveTo>
                              <a:lnTo>
                                <a:pt x="0" y="0"/>
                              </a:lnTo>
                              <a:lnTo>
                                <a:pt x="0" y="6096"/>
                              </a:lnTo>
                              <a:lnTo>
                                <a:pt x="5976366" y="6096"/>
                              </a:lnTo>
                              <a:lnTo>
                                <a:pt x="5976366" y="0"/>
                              </a:lnTo>
                              <a:close/>
                            </a:path>
                          </a:pathLst>
                        </a:custGeom>
                        <a:solidFill>
                          <a:srgbClr val="4F81BC"/>
                        </a:solidFill>
                      </wps:spPr>
                      <wps:bodyPr wrap="square" lIns="0" tIns="0" rIns="0" bIns="0" rtlCol="0">
                        <a:prstTxWarp prst="textNoShape">
                          <a:avLst/>
                        </a:prstTxWarp>
                        <a:noAutofit/>
                      </wps:bodyPr>
                    </wps:wsp>
                  </a:graphicData>
                </a:graphic>
              </wp:anchor>
            </w:drawing>
          </mc:Choice>
          <mc:Fallback>
            <w:pict>
              <v:rect style="position:absolute;margin-left:70.680pt;margin-top:3.559053pt;width:470.58pt;height:.48pt;mso-position-horizontal-relative:page;mso-position-vertical-relative:paragraph;z-index:-15626752;mso-wrap-distance-left:0;mso-wrap-distance-right:0" id="docshape432" filled="true" fillcolor="#4f81bc" stroked="false">
                <v:fill type="solid"/>
                <w10:wrap type="topAndBottom"/>
              </v:rect>
            </w:pict>
          </mc:Fallback>
        </mc:AlternateContent>
      </w:r>
    </w:p>
    <w:p>
      <w:pPr>
        <w:pStyle w:val="BodyText"/>
        <w:spacing w:line="276" w:lineRule="auto" w:before="241"/>
        <w:ind w:left="483" w:right="342"/>
        <w:jc w:val="both"/>
      </w:pPr>
      <w:r>
        <w:rPr/>
        <w:t>The Department of Early Education and Care (EEC) not only provides guidance on early education, but also assists teenage parents, and licenses child-serving organizations that work with the state government, including temporary shelters and foster homes. The Commission has worked with EEC for several years and is appreciative of EEC’s commitment to youth of all ages under its care.</w:t>
      </w:r>
    </w:p>
    <w:p>
      <w:pPr>
        <w:spacing w:after="0" w:line="276" w:lineRule="auto"/>
        <w:jc w:val="both"/>
        <w:sectPr>
          <w:headerReference w:type="default" r:id="rId706"/>
          <w:footerReference w:type="default" r:id="rId707"/>
          <w:pgSz w:w="12240" w:h="15840"/>
          <w:pgMar w:header="804" w:footer="1250" w:top="1000" w:bottom="1440" w:left="960" w:right="1100"/>
        </w:sectPr>
      </w:pPr>
    </w:p>
    <w:p>
      <w:pPr>
        <w:pStyle w:val="BodyText"/>
        <w:spacing w:line="276" w:lineRule="auto" w:before="139"/>
        <w:ind w:left="483" w:right="342"/>
        <w:jc w:val="both"/>
      </w:pPr>
      <w:r>
        <w:rPr/>
        <w:t>EEC</w:t>
      </w:r>
      <w:r>
        <w:rPr>
          <w:spacing w:val="-5"/>
        </w:rPr>
        <w:t> </w:t>
      </w:r>
      <w:r>
        <w:rPr/>
        <w:t>is</w:t>
      </w:r>
      <w:r>
        <w:rPr>
          <w:spacing w:val="-6"/>
        </w:rPr>
        <w:t> </w:t>
      </w:r>
      <w:r>
        <w:rPr/>
        <w:t>well-positioned</w:t>
      </w:r>
      <w:r>
        <w:rPr>
          <w:spacing w:val="-6"/>
        </w:rPr>
        <w:t> </w:t>
      </w:r>
      <w:r>
        <w:rPr/>
        <w:t>to</w:t>
      </w:r>
      <w:r>
        <w:rPr>
          <w:spacing w:val="-6"/>
        </w:rPr>
        <w:t> </w:t>
      </w:r>
      <w:r>
        <w:rPr/>
        <w:t>support</w:t>
      </w:r>
      <w:r>
        <w:rPr>
          <w:spacing w:val="-6"/>
        </w:rPr>
        <w:t> </w:t>
      </w:r>
      <w:r>
        <w:rPr/>
        <w:t>youth</w:t>
      </w:r>
      <w:r>
        <w:rPr>
          <w:spacing w:val="-4"/>
        </w:rPr>
        <w:t> </w:t>
      </w:r>
      <w:r>
        <w:rPr/>
        <w:t>in</w:t>
      </w:r>
      <w:r>
        <w:rPr>
          <w:spacing w:val="-7"/>
        </w:rPr>
        <w:t> </w:t>
      </w:r>
      <w:r>
        <w:rPr/>
        <w:t>early</w:t>
      </w:r>
      <w:r>
        <w:rPr>
          <w:spacing w:val="-5"/>
        </w:rPr>
        <w:t> </w:t>
      </w:r>
      <w:r>
        <w:rPr/>
        <w:t>education</w:t>
      </w:r>
      <w:r>
        <w:rPr>
          <w:spacing w:val="-7"/>
        </w:rPr>
        <w:t> </w:t>
      </w:r>
      <w:r>
        <w:rPr/>
        <w:t>programs,</w:t>
      </w:r>
      <w:r>
        <w:rPr>
          <w:spacing w:val="-6"/>
        </w:rPr>
        <w:t> </w:t>
      </w:r>
      <w:r>
        <w:rPr/>
        <w:t>as</w:t>
      </w:r>
      <w:r>
        <w:rPr>
          <w:spacing w:val="-6"/>
        </w:rPr>
        <w:t> </w:t>
      </w:r>
      <w:r>
        <w:rPr/>
        <w:t>well</w:t>
      </w:r>
      <w:r>
        <w:rPr>
          <w:spacing w:val="-5"/>
        </w:rPr>
        <w:t> </w:t>
      </w:r>
      <w:r>
        <w:rPr/>
        <w:t>as</w:t>
      </w:r>
      <w:r>
        <w:rPr>
          <w:spacing w:val="-5"/>
        </w:rPr>
        <w:t> </w:t>
      </w:r>
      <w:r>
        <w:rPr/>
        <w:t>LGBTQ</w:t>
      </w:r>
      <w:r>
        <w:rPr>
          <w:spacing w:val="-6"/>
        </w:rPr>
        <w:t> </w:t>
      </w:r>
      <w:r>
        <w:rPr/>
        <w:t>youth</w:t>
      </w:r>
      <w:r>
        <w:rPr>
          <w:spacing w:val="-6"/>
        </w:rPr>
        <w:t> </w:t>
      </w:r>
      <w:r>
        <w:rPr/>
        <w:t>impacted</w:t>
      </w:r>
      <w:r>
        <w:rPr>
          <w:spacing w:val="-6"/>
        </w:rPr>
        <w:t> </w:t>
      </w:r>
      <w:r>
        <w:rPr/>
        <w:t>by systemic oppression through its process of licensing child-serving organizations, including temporary shelters and foster homes. The Commission continues to hear that agencies managing group homes are unsure of best practices for serving LGBTQ youth, and that they believe existing licensing requirements are a barrier to housing transgender young people according to their gender identity rather than sex assigned at birth.</w:t>
      </w:r>
    </w:p>
    <w:p>
      <w:pPr>
        <w:pStyle w:val="BodyText"/>
        <w:spacing w:line="276" w:lineRule="auto" w:before="239"/>
        <w:ind w:left="483" w:right="345" w:firstLine="50"/>
        <w:jc w:val="both"/>
      </w:pPr>
      <w:r>
        <w:rPr/>
        <w:t>Beyond the recommendations issued below, the Commission looks forward to working with EEC to examine</w:t>
      </w:r>
      <w:r>
        <w:rPr>
          <w:spacing w:val="-13"/>
        </w:rPr>
        <w:t> </w:t>
      </w:r>
      <w:r>
        <w:rPr/>
        <w:t>how</w:t>
      </w:r>
      <w:r>
        <w:rPr>
          <w:spacing w:val="-12"/>
        </w:rPr>
        <w:t> </w:t>
      </w:r>
      <w:r>
        <w:rPr/>
        <w:t>LGBTQ</w:t>
      </w:r>
      <w:r>
        <w:rPr>
          <w:spacing w:val="-13"/>
        </w:rPr>
        <w:t> </w:t>
      </w:r>
      <w:r>
        <w:rPr/>
        <w:t>competencies</w:t>
      </w:r>
      <w:r>
        <w:rPr>
          <w:spacing w:val="-12"/>
        </w:rPr>
        <w:t> </w:t>
      </w:r>
      <w:r>
        <w:rPr/>
        <w:t>might</w:t>
      </w:r>
      <w:r>
        <w:rPr>
          <w:spacing w:val="-13"/>
        </w:rPr>
        <w:t> </w:t>
      </w:r>
      <w:r>
        <w:rPr/>
        <w:t>be</w:t>
      </w:r>
      <w:r>
        <w:rPr>
          <w:spacing w:val="-12"/>
        </w:rPr>
        <w:t> </w:t>
      </w:r>
      <w:r>
        <w:rPr/>
        <w:t>included</w:t>
      </w:r>
      <w:r>
        <w:rPr>
          <w:spacing w:val="-13"/>
        </w:rPr>
        <w:t> </w:t>
      </w:r>
      <w:r>
        <w:rPr/>
        <w:t>in</w:t>
      </w:r>
      <w:r>
        <w:rPr>
          <w:spacing w:val="-12"/>
        </w:rPr>
        <w:t> </w:t>
      </w:r>
      <w:r>
        <w:rPr/>
        <w:t>the</w:t>
      </w:r>
      <w:r>
        <w:rPr>
          <w:spacing w:val="-12"/>
        </w:rPr>
        <w:t> </w:t>
      </w:r>
      <w:r>
        <w:rPr/>
        <w:t>Professional</w:t>
      </w:r>
      <w:r>
        <w:rPr>
          <w:spacing w:val="-13"/>
        </w:rPr>
        <w:t> </w:t>
      </w:r>
      <w:r>
        <w:rPr/>
        <w:t>Qualifications</w:t>
      </w:r>
      <w:r>
        <w:rPr>
          <w:spacing w:val="-12"/>
        </w:rPr>
        <w:t> </w:t>
      </w:r>
      <w:r>
        <w:rPr/>
        <w:t>Registry</w:t>
      </w:r>
      <w:r>
        <w:rPr>
          <w:spacing w:val="-13"/>
        </w:rPr>
        <w:t> </w:t>
      </w:r>
      <w:r>
        <w:rPr/>
        <w:t>database.</w:t>
      </w:r>
    </w:p>
    <w:p>
      <w:pPr>
        <w:pStyle w:val="BodyText"/>
      </w:pPr>
    </w:p>
    <w:p>
      <w:pPr>
        <w:pStyle w:val="BodyText"/>
        <w:spacing w:before="63"/>
      </w:pPr>
    </w:p>
    <w:p>
      <w:pPr>
        <w:spacing w:before="0"/>
        <w:ind w:left="483" w:right="0" w:firstLine="0"/>
        <w:jc w:val="both"/>
        <w:rPr>
          <w:sz w:val="28"/>
        </w:rPr>
      </w:pPr>
      <w:r>
        <w:rPr>
          <w:color w:val="365F91"/>
          <w:sz w:val="28"/>
        </w:rPr>
        <w:t>FY</w:t>
      </w:r>
      <w:r>
        <w:rPr>
          <w:color w:val="365F91"/>
          <w:spacing w:val="-8"/>
          <w:sz w:val="28"/>
        </w:rPr>
        <w:t> </w:t>
      </w:r>
      <w:r>
        <w:rPr>
          <w:color w:val="365F91"/>
          <w:sz w:val="28"/>
        </w:rPr>
        <w:t>2025</w:t>
      </w:r>
      <w:r>
        <w:rPr>
          <w:color w:val="365F91"/>
          <w:spacing w:val="-8"/>
          <w:sz w:val="28"/>
        </w:rPr>
        <w:t> </w:t>
      </w:r>
      <w:r>
        <w:rPr>
          <w:color w:val="365F91"/>
          <w:sz w:val="28"/>
        </w:rPr>
        <w:t>Expanded</w:t>
      </w:r>
      <w:r>
        <w:rPr>
          <w:color w:val="365F91"/>
          <w:spacing w:val="-9"/>
          <w:sz w:val="28"/>
        </w:rPr>
        <w:t> </w:t>
      </w:r>
      <w:r>
        <w:rPr>
          <w:color w:val="365F91"/>
          <w:sz w:val="28"/>
        </w:rPr>
        <w:t>EEC</w:t>
      </w:r>
      <w:r>
        <w:rPr>
          <w:color w:val="365F91"/>
          <w:spacing w:val="-8"/>
          <w:sz w:val="28"/>
        </w:rPr>
        <w:t> </w:t>
      </w:r>
      <w:r>
        <w:rPr>
          <w:color w:val="365F91"/>
          <w:spacing w:val="-2"/>
          <w:sz w:val="28"/>
        </w:rPr>
        <w:t>Recommendations</w:t>
      </w:r>
    </w:p>
    <w:p>
      <w:pPr>
        <w:pStyle w:val="BodyText"/>
        <w:spacing w:before="9"/>
        <w:rPr>
          <w:sz w:val="3"/>
        </w:rPr>
      </w:pPr>
      <w:r>
        <w:rPr/>
        <mc:AlternateContent>
          <mc:Choice Requires="wps">
            <w:drawing>
              <wp:anchor distT="0" distB="0" distL="0" distR="0" allowOverlap="1" layoutInCell="1" locked="0" behindDoc="1" simplePos="0" relativeHeight="487690240">
                <wp:simplePos x="0" y="0"/>
                <wp:positionH relativeFrom="page">
                  <wp:posOffset>897636</wp:posOffset>
                </wp:positionH>
                <wp:positionV relativeFrom="paragraph">
                  <wp:posOffset>44507</wp:posOffset>
                </wp:positionV>
                <wp:extent cx="5976620" cy="6350"/>
                <wp:effectExtent l="0" t="0" r="0" b="0"/>
                <wp:wrapTopAndBottom/>
                <wp:docPr id="536" name="Graphic 536"/>
                <wp:cNvGraphicFramePr>
                  <a:graphicFrameLocks/>
                </wp:cNvGraphicFramePr>
                <a:graphic>
                  <a:graphicData uri="http://schemas.microsoft.com/office/word/2010/wordprocessingShape">
                    <wps:wsp>
                      <wps:cNvPr id="536" name="Graphic 536"/>
                      <wps:cNvSpPr/>
                      <wps:spPr>
                        <a:xfrm>
                          <a:off x="0" y="0"/>
                          <a:ext cx="5976620" cy="6350"/>
                        </a:xfrm>
                        <a:custGeom>
                          <a:avLst/>
                          <a:gdLst/>
                          <a:ahLst/>
                          <a:cxnLst/>
                          <a:rect l="l" t="t" r="r" b="b"/>
                          <a:pathLst>
                            <a:path w="5976620" h="6350">
                              <a:moveTo>
                                <a:pt x="5976366" y="0"/>
                              </a:moveTo>
                              <a:lnTo>
                                <a:pt x="0" y="0"/>
                              </a:lnTo>
                              <a:lnTo>
                                <a:pt x="0" y="6096"/>
                              </a:lnTo>
                              <a:lnTo>
                                <a:pt x="5976366" y="6096"/>
                              </a:lnTo>
                              <a:lnTo>
                                <a:pt x="5976366" y="0"/>
                              </a:lnTo>
                              <a:close/>
                            </a:path>
                          </a:pathLst>
                        </a:custGeom>
                        <a:solidFill>
                          <a:srgbClr val="4F81BC"/>
                        </a:solidFill>
                      </wps:spPr>
                      <wps:bodyPr wrap="square" lIns="0" tIns="0" rIns="0" bIns="0" rtlCol="0">
                        <a:prstTxWarp prst="textNoShape">
                          <a:avLst/>
                        </a:prstTxWarp>
                        <a:noAutofit/>
                      </wps:bodyPr>
                    </wps:wsp>
                  </a:graphicData>
                </a:graphic>
              </wp:anchor>
            </w:drawing>
          </mc:Choice>
          <mc:Fallback>
            <w:pict>
              <v:rect style="position:absolute;margin-left:70.680pt;margin-top:3.504531pt;width:470.58pt;height:.48pt;mso-position-horizontal-relative:page;mso-position-vertical-relative:paragraph;z-index:-15626240;mso-wrap-distance-left:0;mso-wrap-distance-right:0" id="docshape433" filled="true" fillcolor="#4f81bc" stroked="false">
                <v:fill type="solid"/>
                <w10:wrap type="topAndBottom"/>
              </v:rect>
            </w:pict>
          </mc:Fallback>
        </mc:AlternateContent>
      </w:r>
    </w:p>
    <w:p>
      <w:pPr>
        <w:numPr>
          <w:ilvl w:val="0"/>
          <w:numId w:val="31"/>
        </w:numPr>
        <w:tabs>
          <w:tab w:pos="481" w:val="left" w:leader="none"/>
          <w:tab w:pos="483" w:val="left" w:leader="none"/>
        </w:tabs>
        <w:spacing w:line="276" w:lineRule="auto" w:before="241"/>
        <w:ind w:left="483" w:right="345" w:hanging="360"/>
        <w:jc w:val="left"/>
        <w:rPr>
          <w:b/>
          <w:sz w:val="22"/>
        </w:rPr>
      </w:pPr>
      <w:r>
        <w:rPr>
          <w:b/>
          <w:sz w:val="22"/>
        </w:rPr>
        <w:t>Develop</w:t>
      </w:r>
      <w:r>
        <w:rPr>
          <w:b/>
          <w:spacing w:val="-8"/>
          <w:sz w:val="22"/>
        </w:rPr>
        <w:t> </w:t>
      </w:r>
      <w:r>
        <w:rPr>
          <w:b/>
          <w:sz w:val="22"/>
        </w:rPr>
        <w:t>an</w:t>
      </w:r>
      <w:r>
        <w:rPr>
          <w:b/>
          <w:spacing w:val="-8"/>
          <w:sz w:val="22"/>
        </w:rPr>
        <w:t> </w:t>
      </w:r>
      <w:r>
        <w:rPr>
          <w:b/>
          <w:sz w:val="22"/>
        </w:rPr>
        <w:t>online</w:t>
      </w:r>
      <w:r>
        <w:rPr>
          <w:b/>
          <w:spacing w:val="-8"/>
          <w:sz w:val="22"/>
        </w:rPr>
        <w:t> </w:t>
      </w:r>
      <w:r>
        <w:rPr>
          <w:b/>
          <w:sz w:val="22"/>
        </w:rPr>
        <w:t>training</w:t>
      </w:r>
      <w:r>
        <w:rPr>
          <w:b/>
          <w:spacing w:val="-7"/>
          <w:sz w:val="22"/>
        </w:rPr>
        <w:t> </w:t>
      </w:r>
      <w:r>
        <w:rPr>
          <w:b/>
          <w:sz w:val="22"/>
        </w:rPr>
        <w:t>module</w:t>
      </w:r>
      <w:r>
        <w:rPr>
          <w:b/>
          <w:spacing w:val="-8"/>
          <w:sz w:val="22"/>
        </w:rPr>
        <w:t> </w:t>
      </w:r>
      <w:r>
        <w:rPr>
          <w:b/>
          <w:sz w:val="22"/>
        </w:rPr>
        <w:t>on</w:t>
      </w:r>
      <w:r>
        <w:rPr>
          <w:b/>
          <w:spacing w:val="-8"/>
          <w:sz w:val="22"/>
        </w:rPr>
        <w:t> </w:t>
      </w:r>
      <w:r>
        <w:rPr>
          <w:b/>
          <w:sz w:val="22"/>
        </w:rPr>
        <w:t>best</w:t>
      </w:r>
      <w:r>
        <w:rPr>
          <w:b/>
          <w:spacing w:val="-8"/>
          <w:sz w:val="22"/>
        </w:rPr>
        <w:t> </w:t>
      </w:r>
      <w:r>
        <w:rPr>
          <w:b/>
          <w:sz w:val="22"/>
        </w:rPr>
        <w:t>practices</w:t>
      </w:r>
      <w:r>
        <w:rPr>
          <w:b/>
          <w:spacing w:val="-8"/>
          <w:sz w:val="22"/>
        </w:rPr>
        <w:t> </w:t>
      </w:r>
      <w:r>
        <w:rPr>
          <w:b/>
          <w:sz w:val="22"/>
        </w:rPr>
        <w:t>for</w:t>
      </w:r>
      <w:r>
        <w:rPr>
          <w:b/>
          <w:spacing w:val="-9"/>
          <w:sz w:val="22"/>
        </w:rPr>
        <w:t> </w:t>
      </w:r>
      <w:r>
        <w:rPr>
          <w:b/>
          <w:sz w:val="22"/>
        </w:rPr>
        <w:t>serving</w:t>
      </w:r>
      <w:r>
        <w:rPr>
          <w:b/>
          <w:spacing w:val="-7"/>
          <w:sz w:val="22"/>
        </w:rPr>
        <w:t> </w:t>
      </w:r>
      <w:r>
        <w:rPr>
          <w:b/>
          <w:sz w:val="22"/>
        </w:rPr>
        <w:t>LGBTQ</w:t>
      </w:r>
      <w:r>
        <w:rPr>
          <w:b/>
          <w:spacing w:val="-8"/>
          <w:sz w:val="22"/>
        </w:rPr>
        <w:t> </w:t>
      </w:r>
      <w:r>
        <w:rPr>
          <w:b/>
          <w:sz w:val="22"/>
        </w:rPr>
        <w:t>youth</w:t>
      </w:r>
      <w:r>
        <w:rPr>
          <w:b/>
          <w:spacing w:val="-8"/>
          <w:sz w:val="22"/>
        </w:rPr>
        <w:t> </w:t>
      </w:r>
      <w:r>
        <w:rPr>
          <w:b/>
          <w:sz w:val="22"/>
        </w:rPr>
        <w:t>and</w:t>
      </w:r>
      <w:r>
        <w:rPr>
          <w:b/>
          <w:spacing w:val="-8"/>
          <w:sz w:val="22"/>
        </w:rPr>
        <w:t> </w:t>
      </w:r>
      <w:r>
        <w:rPr>
          <w:b/>
          <w:sz w:val="22"/>
        </w:rPr>
        <w:t>families,</w:t>
      </w:r>
      <w:r>
        <w:rPr>
          <w:b/>
          <w:spacing w:val="-8"/>
          <w:sz w:val="22"/>
        </w:rPr>
        <w:t> </w:t>
      </w:r>
      <w:r>
        <w:rPr>
          <w:b/>
          <w:sz w:val="22"/>
        </w:rPr>
        <w:t>and</w:t>
      </w:r>
      <w:r>
        <w:rPr>
          <w:b/>
          <w:spacing w:val="-8"/>
          <w:sz w:val="22"/>
        </w:rPr>
        <w:t> </w:t>
      </w:r>
      <w:r>
        <w:rPr>
          <w:b/>
          <w:sz w:val="22"/>
        </w:rPr>
        <w:t>offer</w:t>
      </w:r>
      <w:r>
        <w:rPr>
          <w:b/>
          <w:spacing w:val="-9"/>
          <w:sz w:val="22"/>
        </w:rPr>
        <w:t> </w:t>
      </w:r>
      <w:r>
        <w:rPr>
          <w:b/>
          <w:sz w:val="22"/>
        </w:rPr>
        <w:t>in- person cultural awareness trainings for EEC staff.</w:t>
      </w:r>
    </w:p>
    <w:p>
      <w:pPr>
        <w:pStyle w:val="BodyText"/>
        <w:spacing w:line="276" w:lineRule="auto" w:before="241"/>
        <w:ind w:left="483" w:right="343"/>
        <w:jc w:val="both"/>
      </w:pPr>
      <w:r>
        <w:rPr/>
        <w:t>Like many state agencies, EEC relies on online training modules for many of its trainings. Therefore, the Commission recommends that in the upcoming fiscal year EEC develops a regularly-updated module, or continuing</w:t>
      </w:r>
      <w:r>
        <w:rPr>
          <w:spacing w:val="-10"/>
        </w:rPr>
        <w:t> </w:t>
      </w:r>
      <w:r>
        <w:rPr/>
        <w:t>education</w:t>
      </w:r>
      <w:r>
        <w:rPr>
          <w:spacing w:val="-11"/>
        </w:rPr>
        <w:t> </w:t>
      </w:r>
      <w:r>
        <w:rPr/>
        <w:t>unit,</w:t>
      </w:r>
      <w:r>
        <w:rPr>
          <w:spacing w:val="-9"/>
        </w:rPr>
        <w:t> </w:t>
      </w:r>
      <w:r>
        <w:rPr/>
        <w:t>that</w:t>
      </w:r>
      <w:r>
        <w:rPr>
          <w:spacing w:val="-11"/>
        </w:rPr>
        <w:t> </w:t>
      </w:r>
      <w:r>
        <w:rPr/>
        <w:t>incorporates</w:t>
      </w:r>
      <w:r>
        <w:rPr>
          <w:spacing w:val="-10"/>
        </w:rPr>
        <w:t> </w:t>
      </w:r>
      <w:r>
        <w:rPr/>
        <w:t>agency-specific</w:t>
      </w:r>
      <w:r>
        <w:rPr>
          <w:spacing w:val="-11"/>
        </w:rPr>
        <w:t> </w:t>
      </w:r>
      <w:r>
        <w:rPr/>
        <w:t>information</w:t>
      </w:r>
      <w:r>
        <w:rPr>
          <w:spacing w:val="-11"/>
        </w:rPr>
        <w:t> </w:t>
      </w:r>
      <w:r>
        <w:rPr/>
        <w:t>around</w:t>
      </w:r>
      <w:r>
        <w:rPr>
          <w:spacing w:val="-10"/>
        </w:rPr>
        <w:t> </w:t>
      </w:r>
      <w:r>
        <w:rPr/>
        <w:t>supporting</w:t>
      </w:r>
      <w:r>
        <w:rPr>
          <w:spacing w:val="-11"/>
        </w:rPr>
        <w:t> </w:t>
      </w:r>
      <w:r>
        <w:rPr/>
        <w:t>LGBTQ</w:t>
      </w:r>
      <w:r>
        <w:rPr>
          <w:spacing w:val="-11"/>
        </w:rPr>
        <w:t> </w:t>
      </w:r>
      <w:r>
        <w:rPr/>
        <w:t>youth and families. The Commission and its Safe Schools Program have been in conversations for a handful of years</w:t>
      </w:r>
      <w:r>
        <w:rPr>
          <w:spacing w:val="-7"/>
        </w:rPr>
        <w:t> </w:t>
      </w:r>
      <w:r>
        <w:rPr/>
        <w:t>about</w:t>
      </w:r>
      <w:r>
        <w:rPr>
          <w:spacing w:val="-8"/>
        </w:rPr>
        <w:t> </w:t>
      </w:r>
      <w:r>
        <w:rPr/>
        <w:t>how</w:t>
      </w:r>
      <w:r>
        <w:rPr>
          <w:spacing w:val="-8"/>
        </w:rPr>
        <w:t> </w:t>
      </w:r>
      <w:r>
        <w:rPr/>
        <w:t>best</w:t>
      </w:r>
      <w:r>
        <w:rPr>
          <w:spacing w:val="-7"/>
        </w:rPr>
        <w:t> </w:t>
      </w:r>
      <w:r>
        <w:rPr/>
        <w:t>to</w:t>
      </w:r>
      <w:r>
        <w:rPr>
          <w:spacing w:val="-7"/>
        </w:rPr>
        <w:t> </w:t>
      </w:r>
      <w:r>
        <w:rPr/>
        <w:t>develop</w:t>
      </w:r>
      <w:r>
        <w:rPr>
          <w:spacing w:val="-8"/>
        </w:rPr>
        <w:t> </w:t>
      </w:r>
      <w:r>
        <w:rPr/>
        <w:t>this</w:t>
      </w:r>
      <w:r>
        <w:rPr>
          <w:spacing w:val="-6"/>
        </w:rPr>
        <w:t> </w:t>
      </w:r>
      <w:r>
        <w:rPr/>
        <w:t>training,</w:t>
      </w:r>
      <w:r>
        <w:rPr>
          <w:spacing w:val="-7"/>
        </w:rPr>
        <w:t> </w:t>
      </w:r>
      <w:r>
        <w:rPr/>
        <w:t>and</w:t>
      </w:r>
      <w:r>
        <w:rPr>
          <w:spacing w:val="-8"/>
        </w:rPr>
        <w:t> </w:t>
      </w:r>
      <w:r>
        <w:rPr/>
        <w:t>look</w:t>
      </w:r>
      <w:r>
        <w:rPr>
          <w:spacing w:val="-8"/>
        </w:rPr>
        <w:t> </w:t>
      </w:r>
      <w:r>
        <w:rPr/>
        <w:t>forward</w:t>
      </w:r>
      <w:r>
        <w:rPr>
          <w:spacing w:val="-8"/>
        </w:rPr>
        <w:t> </w:t>
      </w:r>
      <w:r>
        <w:rPr/>
        <w:t>to</w:t>
      </w:r>
      <w:r>
        <w:rPr>
          <w:spacing w:val="-6"/>
        </w:rPr>
        <w:t> </w:t>
      </w:r>
      <w:r>
        <w:rPr/>
        <w:t>continuing</w:t>
      </w:r>
      <w:r>
        <w:rPr>
          <w:spacing w:val="-7"/>
        </w:rPr>
        <w:t> </w:t>
      </w:r>
      <w:r>
        <w:rPr/>
        <w:t>to</w:t>
      </w:r>
      <w:r>
        <w:rPr>
          <w:spacing w:val="-6"/>
        </w:rPr>
        <w:t> </w:t>
      </w:r>
      <w:r>
        <w:rPr/>
        <w:t>support</w:t>
      </w:r>
      <w:r>
        <w:rPr>
          <w:spacing w:val="-8"/>
        </w:rPr>
        <w:t> </w:t>
      </w:r>
      <w:r>
        <w:rPr/>
        <w:t>as</w:t>
      </w:r>
      <w:r>
        <w:rPr>
          <w:spacing w:val="-6"/>
        </w:rPr>
        <w:t> </w:t>
      </w:r>
      <w:r>
        <w:rPr/>
        <w:t>EEC</w:t>
      </w:r>
      <w:r>
        <w:rPr>
          <w:spacing w:val="-7"/>
        </w:rPr>
        <w:t> </w:t>
      </w:r>
      <w:r>
        <w:rPr/>
        <w:t>navigates this development. The Commission has appreciated the opportunity to engage in conversations around this module development in FY 2024, and looks forward to continuing this partnership in FY 2025.</w:t>
      </w:r>
    </w:p>
    <w:p>
      <w:pPr>
        <w:pStyle w:val="BodyText"/>
        <w:spacing w:line="276" w:lineRule="auto" w:before="239"/>
        <w:ind w:left="483" w:right="343"/>
        <w:jc w:val="both"/>
      </w:pPr>
      <w:r>
        <w:rPr/>
        <w:t>Furthermore, the Commission recommends that EEC offer mandatory in-person LGBTQ cultural awareness trainings for its staff that includes information on best practices for creating safe, affirming, and</w:t>
      </w:r>
      <w:r>
        <w:rPr>
          <w:spacing w:val="-13"/>
        </w:rPr>
        <w:t> </w:t>
      </w:r>
      <w:r>
        <w:rPr/>
        <w:t>trauma-informed</w:t>
      </w:r>
      <w:r>
        <w:rPr>
          <w:spacing w:val="-12"/>
        </w:rPr>
        <w:t> </w:t>
      </w:r>
      <w:r>
        <w:rPr/>
        <w:t>environments</w:t>
      </w:r>
      <w:r>
        <w:rPr>
          <w:spacing w:val="-13"/>
        </w:rPr>
        <w:t> </w:t>
      </w:r>
      <w:r>
        <w:rPr/>
        <w:t>for</w:t>
      </w:r>
      <w:r>
        <w:rPr>
          <w:spacing w:val="-12"/>
        </w:rPr>
        <w:t> </w:t>
      </w:r>
      <w:r>
        <w:rPr/>
        <w:t>LGBTQ</w:t>
      </w:r>
      <w:r>
        <w:rPr>
          <w:spacing w:val="-13"/>
        </w:rPr>
        <w:t> </w:t>
      </w:r>
      <w:r>
        <w:rPr/>
        <w:t>youth</w:t>
      </w:r>
      <w:r>
        <w:rPr>
          <w:spacing w:val="-12"/>
        </w:rPr>
        <w:t> </w:t>
      </w:r>
      <w:r>
        <w:rPr/>
        <w:t>and</w:t>
      </w:r>
      <w:r>
        <w:rPr>
          <w:spacing w:val="-13"/>
        </w:rPr>
        <w:t> </w:t>
      </w:r>
      <w:r>
        <w:rPr/>
        <w:t>families.</w:t>
      </w:r>
      <w:r>
        <w:rPr>
          <w:spacing w:val="-12"/>
        </w:rPr>
        <w:t> </w:t>
      </w:r>
      <w:r>
        <w:rPr/>
        <w:t>Training</w:t>
      </w:r>
      <w:r>
        <w:rPr>
          <w:spacing w:val="-12"/>
        </w:rPr>
        <w:t> </w:t>
      </w:r>
      <w:r>
        <w:rPr/>
        <w:t>should</w:t>
      </w:r>
      <w:r>
        <w:rPr>
          <w:spacing w:val="-13"/>
        </w:rPr>
        <w:t> </w:t>
      </w:r>
      <w:r>
        <w:rPr/>
        <w:t>also</w:t>
      </w:r>
      <w:r>
        <w:rPr>
          <w:spacing w:val="-12"/>
        </w:rPr>
        <w:t> </w:t>
      </w:r>
      <w:r>
        <w:rPr/>
        <w:t>include</w:t>
      </w:r>
      <w:r>
        <w:rPr>
          <w:spacing w:val="-13"/>
        </w:rPr>
        <w:t> </w:t>
      </w:r>
      <w:r>
        <w:rPr/>
        <w:t>an</w:t>
      </w:r>
      <w:r>
        <w:rPr>
          <w:spacing w:val="-12"/>
        </w:rPr>
        <w:t> </w:t>
      </w:r>
      <w:r>
        <w:rPr/>
        <w:t>analysis of structural</w:t>
      </w:r>
      <w:r>
        <w:rPr>
          <w:spacing w:val="-1"/>
        </w:rPr>
        <w:t> </w:t>
      </w:r>
      <w:r>
        <w:rPr/>
        <w:t>issues and</w:t>
      </w:r>
      <w:r>
        <w:rPr>
          <w:spacing w:val="-1"/>
        </w:rPr>
        <w:t> </w:t>
      </w:r>
      <w:r>
        <w:rPr/>
        <w:t>systems of oppression</w:t>
      </w:r>
      <w:r>
        <w:rPr>
          <w:spacing w:val="-1"/>
        </w:rPr>
        <w:t> </w:t>
      </w:r>
      <w:r>
        <w:rPr/>
        <w:t>impacting LGBTQ</w:t>
      </w:r>
      <w:r>
        <w:rPr>
          <w:spacing w:val="-1"/>
        </w:rPr>
        <w:t> </w:t>
      </w:r>
      <w:r>
        <w:rPr/>
        <w:t>youth, and how EEC fits within</w:t>
      </w:r>
      <w:r>
        <w:rPr>
          <w:spacing w:val="-1"/>
        </w:rPr>
        <w:t> </w:t>
      </w:r>
      <w:r>
        <w:rPr/>
        <w:t>the</w:t>
      </w:r>
      <w:r>
        <w:rPr>
          <w:spacing w:val="-1"/>
        </w:rPr>
        <w:t> </w:t>
      </w:r>
      <w:r>
        <w:rPr/>
        <w:t>work of interrupting those systems. The Commission urges EEC to collaborate with community partners and other state agencies to ensure that educators and staff receive in-depth training and professional development on a recurring basis.</w:t>
      </w:r>
    </w:p>
    <w:p>
      <w:pPr>
        <w:numPr>
          <w:ilvl w:val="0"/>
          <w:numId w:val="31"/>
        </w:numPr>
        <w:tabs>
          <w:tab w:pos="481" w:val="left" w:leader="none"/>
        </w:tabs>
        <w:spacing w:before="240"/>
        <w:ind w:left="481" w:right="0" w:hanging="358"/>
        <w:jc w:val="left"/>
        <w:rPr>
          <w:b/>
          <w:sz w:val="22"/>
        </w:rPr>
      </w:pPr>
      <w:r>
        <w:rPr>
          <w:b/>
          <w:sz w:val="22"/>
        </w:rPr>
        <w:t>Clarify</w:t>
      </w:r>
      <w:r>
        <w:rPr>
          <w:b/>
          <w:spacing w:val="-7"/>
          <w:sz w:val="22"/>
        </w:rPr>
        <w:t> </w:t>
      </w:r>
      <w:r>
        <w:rPr>
          <w:b/>
          <w:sz w:val="22"/>
        </w:rPr>
        <w:t>that</w:t>
      </w:r>
      <w:r>
        <w:rPr>
          <w:b/>
          <w:spacing w:val="-8"/>
          <w:sz w:val="22"/>
        </w:rPr>
        <w:t> </w:t>
      </w:r>
      <w:r>
        <w:rPr>
          <w:b/>
          <w:sz w:val="22"/>
        </w:rPr>
        <w:t>providers</w:t>
      </w:r>
      <w:r>
        <w:rPr>
          <w:b/>
          <w:spacing w:val="-8"/>
          <w:sz w:val="22"/>
        </w:rPr>
        <w:t> </w:t>
      </w:r>
      <w:r>
        <w:rPr>
          <w:b/>
          <w:sz w:val="22"/>
        </w:rPr>
        <w:t>can</w:t>
      </w:r>
      <w:r>
        <w:rPr>
          <w:b/>
          <w:spacing w:val="-6"/>
          <w:sz w:val="22"/>
        </w:rPr>
        <w:t> </w:t>
      </w:r>
      <w:r>
        <w:rPr>
          <w:b/>
          <w:sz w:val="22"/>
        </w:rPr>
        <w:t>and</w:t>
      </w:r>
      <w:r>
        <w:rPr>
          <w:b/>
          <w:spacing w:val="-8"/>
          <w:sz w:val="22"/>
        </w:rPr>
        <w:t> </w:t>
      </w:r>
      <w:r>
        <w:rPr>
          <w:b/>
          <w:sz w:val="22"/>
        </w:rPr>
        <w:t>should</w:t>
      </w:r>
      <w:r>
        <w:rPr>
          <w:b/>
          <w:spacing w:val="-9"/>
          <w:sz w:val="22"/>
        </w:rPr>
        <w:t> </w:t>
      </w:r>
      <w:r>
        <w:rPr>
          <w:b/>
          <w:sz w:val="22"/>
        </w:rPr>
        <w:t>house</w:t>
      </w:r>
      <w:r>
        <w:rPr>
          <w:b/>
          <w:spacing w:val="-7"/>
          <w:sz w:val="22"/>
        </w:rPr>
        <w:t> </w:t>
      </w:r>
      <w:r>
        <w:rPr>
          <w:b/>
          <w:sz w:val="22"/>
        </w:rPr>
        <w:t>transgender</w:t>
      </w:r>
      <w:r>
        <w:rPr>
          <w:b/>
          <w:spacing w:val="-8"/>
          <w:sz w:val="22"/>
        </w:rPr>
        <w:t> </w:t>
      </w:r>
      <w:r>
        <w:rPr>
          <w:b/>
          <w:sz w:val="22"/>
        </w:rPr>
        <w:t>youth</w:t>
      </w:r>
      <w:r>
        <w:rPr>
          <w:b/>
          <w:spacing w:val="-8"/>
          <w:sz w:val="22"/>
        </w:rPr>
        <w:t> </w:t>
      </w:r>
      <w:r>
        <w:rPr>
          <w:b/>
          <w:sz w:val="22"/>
        </w:rPr>
        <w:t>based</w:t>
      </w:r>
      <w:r>
        <w:rPr>
          <w:b/>
          <w:spacing w:val="-7"/>
          <w:sz w:val="22"/>
        </w:rPr>
        <w:t> </w:t>
      </w:r>
      <w:r>
        <w:rPr>
          <w:b/>
          <w:sz w:val="22"/>
        </w:rPr>
        <w:t>on</w:t>
      </w:r>
      <w:r>
        <w:rPr>
          <w:b/>
          <w:spacing w:val="-8"/>
          <w:sz w:val="22"/>
        </w:rPr>
        <w:t> </w:t>
      </w:r>
      <w:r>
        <w:rPr>
          <w:b/>
          <w:sz w:val="22"/>
        </w:rPr>
        <w:t>their</w:t>
      </w:r>
      <w:r>
        <w:rPr>
          <w:b/>
          <w:spacing w:val="-8"/>
          <w:sz w:val="22"/>
        </w:rPr>
        <w:t> </w:t>
      </w:r>
      <w:r>
        <w:rPr>
          <w:b/>
          <w:sz w:val="22"/>
        </w:rPr>
        <w:t>gender</w:t>
      </w:r>
      <w:r>
        <w:rPr>
          <w:b/>
          <w:spacing w:val="-8"/>
          <w:sz w:val="22"/>
        </w:rPr>
        <w:t> </w:t>
      </w:r>
      <w:r>
        <w:rPr>
          <w:b/>
          <w:spacing w:val="-2"/>
          <w:sz w:val="22"/>
        </w:rPr>
        <w:t>identity.</w:t>
      </w:r>
    </w:p>
    <w:p>
      <w:pPr>
        <w:pStyle w:val="BodyText"/>
        <w:spacing w:before="11"/>
        <w:rPr>
          <w:b/>
        </w:rPr>
      </w:pPr>
    </w:p>
    <w:p>
      <w:pPr>
        <w:pStyle w:val="BodyText"/>
        <w:spacing w:line="276" w:lineRule="auto"/>
        <w:ind w:left="483" w:right="344"/>
        <w:jc w:val="both"/>
      </w:pPr>
      <w:r>
        <w:rPr/>
        <w:t>Without affirming placements, transgender young people experience barriers to success and stability. Where</w:t>
      </w:r>
      <w:r>
        <w:rPr>
          <w:spacing w:val="-13"/>
        </w:rPr>
        <w:t> </w:t>
      </w:r>
      <w:r>
        <w:rPr/>
        <w:t>relevant,</w:t>
      </w:r>
      <w:r>
        <w:rPr>
          <w:spacing w:val="-12"/>
        </w:rPr>
        <w:t> </w:t>
      </w:r>
      <w:r>
        <w:rPr/>
        <w:t>the</w:t>
      </w:r>
      <w:r>
        <w:rPr>
          <w:spacing w:val="-13"/>
        </w:rPr>
        <w:t> </w:t>
      </w:r>
      <w:r>
        <w:rPr/>
        <w:t>Commission</w:t>
      </w:r>
      <w:r>
        <w:rPr>
          <w:spacing w:val="-12"/>
        </w:rPr>
        <w:t> </w:t>
      </w:r>
      <w:r>
        <w:rPr/>
        <w:t>continues</w:t>
      </w:r>
      <w:r>
        <w:rPr>
          <w:spacing w:val="-13"/>
        </w:rPr>
        <w:t> </w:t>
      </w:r>
      <w:r>
        <w:rPr/>
        <w:t>to</w:t>
      </w:r>
      <w:r>
        <w:rPr>
          <w:spacing w:val="-12"/>
        </w:rPr>
        <w:t> </w:t>
      </w:r>
      <w:r>
        <w:rPr/>
        <w:t>recommend</w:t>
      </w:r>
      <w:r>
        <w:rPr>
          <w:spacing w:val="-13"/>
        </w:rPr>
        <w:t> </w:t>
      </w:r>
      <w:r>
        <w:rPr/>
        <w:t>that</w:t>
      </w:r>
      <w:r>
        <w:rPr>
          <w:spacing w:val="-12"/>
        </w:rPr>
        <w:t> </w:t>
      </w:r>
      <w:r>
        <w:rPr/>
        <w:t>EEC</w:t>
      </w:r>
      <w:r>
        <w:rPr>
          <w:spacing w:val="-12"/>
        </w:rPr>
        <w:t> </w:t>
      </w:r>
      <w:r>
        <w:rPr/>
        <w:t>update</w:t>
      </w:r>
      <w:r>
        <w:rPr>
          <w:spacing w:val="-13"/>
        </w:rPr>
        <w:t> </w:t>
      </w:r>
      <w:r>
        <w:rPr/>
        <w:t>the</w:t>
      </w:r>
      <w:r>
        <w:rPr>
          <w:spacing w:val="-12"/>
        </w:rPr>
        <w:t> </w:t>
      </w:r>
      <w:r>
        <w:rPr/>
        <w:t>Residential</w:t>
      </w:r>
      <w:r>
        <w:rPr>
          <w:spacing w:val="-13"/>
        </w:rPr>
        <w:t> </w:t>
      </w:r>
      <w:r>
        <w:rPr/>
        <w:t>and</w:t>
      </w:r>
      <w:r>
        <w:rPr>
          <w:spacing w:val="-12"/>
        </w:rPr>
        <w:t> </w:t>
      </w:r>
      <w:r>
        <w:rPr/>
        <w:t>Placement regulations to include protection against discrimination based on gender identity and to include youth voice and autonomy in decision-making around room assignments and programming. These updates would ensure that licensees make housing and placement decisions for transgender youth in residential programs based on their gender identities, consistent with best practices and the preferences of the young person. When any young person expresses safety-based concerns, EEC should support licensed programs in making individualized housing and placement decisions for the young person.</w:t>
      </w:r>
    </w:p>
    <w:p>
      <w:pPr>
        <w:pStyle w:val="BodyText"/>
        <w:spacing w:before="240"/>
        <w:ind w:left="483"/>
        <w:jc w:val="both"/>
      </w:pPr>
      <w:r>
        <w:rPr>
          <w:spacing w:val="-2"/>
        </w:rPr>
        <w:t>Specifically,</w:t>
      </w:r>
      <w:r>
        <w:rPr>
          <w:spacing w:val="5"/>
        </w:rPr>
        <w:t> </w:t>
      </w:r>
      <w:r>
        <w:rPr>
          <w:spacing w:val="-2"/>
        </w:rPr>
        <w:t>the</w:t>
      </w:r>
      <w:r>
        <w:rPr>
          <w:spacing w:val="5"/>
        </w:rPr>
        <w:t> </w:t>
      </w:r>
      <w:r>
        <w:rPr>
          <w:spacing w:val="-2"/>
        </w:rPr>
        <w:t>Commission</w:t>
      </w:r>
      <w:r>
        <w:rPr>
          <w:spacing w:val="6"/>
        </w:rPr>
        <w:t> </w:t>
      </w:r>
      <w:r>
        <w:rPr>
          <w:spacing w:val="-2"/>
        </w:rPr>
        <w:t>recommends</w:t>
      </w:r>
      <w:r>
        <w:rPr>
          <w:spacing w:val="5"/>
        </w:rPr>
        <w:t> </w:t>
      </w:r>
      <w:r>
        <w:rPr>
          <w:spacing w:val="-4"/>
        </w:rPr>
        <w:t>that:</w:t>
      </w:r>
    </w:p>
    <w:p>
      <w:pPr>
        <w:spacing w:after="0"/>
        <w:jc w:val="both"/>
        <w:sectPr>
          <w:pgSz w:w="12240" w:h="15840"/>
          <w:pgMar w:header="804" w:footer="1250" w:top="1000" w:bottom="1440" w:left="960" w:right="1100"/>
        </w:sectPr>
      </w:pPr>
    </w:p>
    <w:p>
      <w:pPr>
        <w:pStyle w:val="ListParagraph"/>
        <w:numPr>
          <w:ilvl w:val="1"/>
          <w:numId w:val="31"/>
        </w:numPr>
        <w:tabs>
          <w:tab w:pos="1137" w:val="left" w:leader="none"/>
        </w:tabs>
        <w:spacing w:line="240" w:lineRule="auto" w:before="138" w:after="0"/>
        <w:ind w:left="1137" w:right="0" w:hanging="360"/>
        <w:jc w:val="left"/>
        <w:rPr>
          <w:sz w:val="22"/>
        </w:rPr>
      </w:pPr>
      <w:r>
        <w:rPr>
          <w:sz w:val="22"/>
        </w:rPr>
        <w:t>EEC</w:t>
      </w:r>
      <w:r>
        <w:rPr>
          <w:spacing w:val="-7"/>
          <w:sz w:val="22"/>
        </w:rPr>
        <w:t> </w:t>
      </w:r>
      <w:r>
        <w:rPr>
          <w:sz w:val="22"/>
        </w:rPr>
        <w:t>update</w:t>
      </w:r>
      <w:r>
        <w:rPr>
          <w:spacing w:val="-7"/>
          <w:sz w:val="22"/>
        </w:rPr>
        <w:t> </w:t>
      </w:r>
      <w:r>
        <w:rPr>
          <w:sz w:val="22"/>
        </w:rPr>
        <w:t>the</w:t>
      </w:r>
      <w:r>
        <w:rPr>
          <w:spacing w:val="-7"/>
          <w:sz w:val="22"/>
        </w:rPr>
        <w:t> </w:t>
      </w:r>
      <w:r>
        <w:rPr>
          <w:sz w:val="22"/>
        </w:rPr>
        <w:t>Residential</w:t>
      </w:r>
      <w:r>
        <w:rPr>
          <w:spacing w:val="-8"/>
          <w:sz w:val="22"/>
        </w:rPr>
        <w:t> </w:t>
      </w:r>
      <w:r>
        <w:rPr>
          <w:sz w:val="22"/>
        </w:rPr>
        <w:t>and</w:t>
      </w:r>
      <w:r>
        <w:rPr>
          <w:spacing w:val="-8"/>
          <w:sz w:val="22"/>
        </w:rPr>
        <w:t> </w:t>
      </w:r>
      <w:r>
        <w:rPr>
          <w:sz w:val="22"/>
        </w:rPr>
        <w:t>Placement</w:t>
      </w:r>
      <w:r>
        <w:rPr>
          <w:spacing w:val="-7"/>
          <w:sz w:val="22"/>
        </w:rPr>
        <w:t> </w:t>
      </w:r>
      <w:r>
        <w:rPr>
          <w:sz w:val="22"/>
        </w:rPr>
        <w:t>regulation</w:t>
      </w:r>
      <w:r>
        <w:rPr>
          <w:spacing w:val="-8"/>
          <w:sz w:val="22"/>
        </w:rPr>
        <w:t> </w:t>
      </w:r>
      <w:r>
        <w:rPr>
          <w:sz w:val="22"/>
        </w:rPr>
        <w:t>3.04</w:t>
      </w:r>
      <w:r>
        <w:rPr>
          <w:spacing w:val="-8"/>
          <w:sz w:val="22"/>
        </w:rPr>
        <w:t> </w:t>
      </w:r>
      <w:r>
        <w:rPr>
          <w:sz w:val="22"/>
        </w:rPr>
        <w:t>(03)(l)</w:t>
      </w:r>
      <w:r>
        <w:rPr>
          <w:spacing w:val="-7"/>
          <w:sz w:val="22"/>
        </w:rPr>
        <w:t> </w:t>
      </w:r>
      <w:r>
        <w:rPr>
          <w:sz w:val="22"/>
        </w:rPr>
        <w:t>to</w:t>
      </w:r>
      <w:r>
        <w:rPr>
          <w:spacing w:val="-7"/>
          <w:sz w:val="22"/>
        </w:rPr>
        <w:t> </w:t>
      </w:r>
      <w:r>
        <w:rPr>
          <w:sz w:val="22"/>
        </w:rPr>
        <w:t>include</w:t>
      </w:r>
      <w:r>
        <w:rPr>
          <w:spacing w:val="-7"/>
          <w:sz w:val="22"/>
        </w:rPr>
        <w:t> </w:t>
      </w:r>
      <w:r>
        <w:rPr>
          <w:spacing w:val="-2"/>
          <w:sz w:val="22"/>
        </w:rPr>
        <w:t>discrimination</w:t>
      </w:r>
    </w:p>
    <w:p>
      <w:pPr>
        <w:pStyle w:val="BodyText"/>
        <w:spacing w:before="41"/>
        <w:ind w:left="135"/>
        <w:jc w:val="center"/>
      </w:pPr>
      <w:r>
        <w:rPr/>
        <w:t>protections</w:t>
      </w:r>
      <w:r>
        <w:rPr>
          <w:spacing w:val="-11"/>
        </w:rPr>
        <w:t> </w:t>
      </w:r>
      <w:r>
        <w:rPr/>
        <w:t>for</w:t>
      </w:r>
      <w:r>
        <w:rPr>
          <w:spacing w:val="-10"/>
        </w:rPr>
        <w:t> </w:t>
      </w:r>
      <w:r>
        <w:rPr/>
        <w:t>gender</w:t>
      </w:r>
      <w:r>
        <w:rPr>
          <w:spacing w:val="-10"/>
        </w:rPr>
        <w:t> </w:t>
      </w:r>
      <w:r>
        <w:rPr>
          <w:spacing w:val="-2"/>
        </w:rPr>
        <w:t>identity:</w:t>
      </w:r>
    </w:p>
    <w:p>
      <w:pPr>
        <w:pStyle w:val="BodyText"/>
        <w:spacing w:before="11"/>
      </w:pPr>
    </w:p>
    <w:p>
      <w:pPr>
        <w:spacing w:line="276" w:lineRule="auto" w:before="0"/>
        <w:ind w:left="876" w:right="734" w:firstLine="0"/>
        <w:jc w:val="center"/>
        <w:rPr>
          <w:i/>
          <w:sz w:val="22"/>
        </w:rPr>
      </w:pPr>
      <w:r>
        <w:rPr>
          <w:i/>
          <w:sz w:val="22"/>
        </w:rPr>
        <w:t>“(l) The licensee may not discriminate in providing services to children and their families on the</w:t>
      </w:r>
      <w:r>
        <w:rPr>
          <w:i/>
          <w:sz w:val="22"/>
        </w:rPr>
        <w:t> basis of race, religion, ethnic background, cultural heritage, national origin, marital status, sexual</w:t>
      </w:r>
      <w:r>
        <w:rPr>
          <w:i/>
          <w:spacing w:val="-4"/>
          <w:sz w:val="22"/>
        </w:rPr>
        <w:t> </w:t>
      </w:r>
      <w:r>
        <w:rPr>
          <w:i/>
          <w:sz w:val="22"/>
        </w:rPr>
        <w:t>orientation,</w:t>
      </w:r>
      <w:r>
        <w:rPr>
          <w:i/>
          <w:spacing w:val="-2"/>
          <w:sz w:val="22"/>
        </w:rPr>
        <w:t> </w:t>
      </w:r>
      <w:r>
        <w:rPr>
          <w:i/>
          <w:sz w:val="22"/>
        </w:rPr>
        <w:t>gender</w:t>
      </w:r>
      <w:r>
        <w:rPr>
          <w:i/>
          <w:spacing w:val="-3"/>
          <w:sz w:val="22"/>
        </w:rPr>
        <w:t> </w:t>
      </w:r>
      <w:r>
        <w:rPr>
          <w:i/>
          <w:sz w:val="22"/>
        </w:rPr>
        <w:t>identity,</w:t>
      </w:r>
      <w:r>
        <w:rPr>
          <w:i/>
          <w:spacing w:val="-2"/>
          <w:sz w:val="22"/>
        </w:rPr>
        <w:t> </w:t>
      </w:r>
      <w:r>
        <w:rPr>
          <w:i/>
          <w:sz w:val="22"/>
        </w:rPr>
        <w:t>or</w:t>
      </w:r>
      <w:r>
        <w:rPr>
          <w:i/>
          <w:spacing w:val="-4"/>
          <w:sz w:val="22"/>
        </w:rPr>
        <w:t> </w:t>
      </w:r>
      <w:r>
        <w:rPr>
          <w:i/>
          <w:sz w:val="22"/>
        </w:rPr>
        <w:t>disability,</w:t>
      </w:r>
      <w:r>
        <w:rPr>
          <w:i/>
          <w:spacing w:val="-4"/>
          <w:sz w:val="22"/>
        </w:rPr>
        <w:t> </w:t>
      </w:r>
      <w:r>
        <w:rPr>
          <w:i/>
          <w:sz w:val="22"/>
        </w:rPr>
        <w:t>or</w:t>
      </w:r>
      <w:r>
        <w:rPr>
          <w:i/>
          <w:spacing w:val="-4"/>
          <w:sz w:val="22"/>
        </w:rPr>
        <w:t> </w:t>
      </w:r>
      <w:r>
        <w:rPr>
          <w:i/>
          <w:sz w:val="22"/>
        </w:rPr>
        <w:t>in</w:t>
      </w:r>
      <w:r>
        <w:rPr>
          <w:i/>
          <w:spacing w:val="-3"/>
          <w:sz w:val="22"/>
        </w:rPr>
        <w:t> </w:t>
      </w:r>
      <w:r>
        <w:rPr>
          <w:i/>
          <w:sz w:val="22"/>
        </w:rPr>
        <w:t>approving</w:t>
      </w:r>
      <w:r>
        <w:rPr>
          <w:i/>
          <w:spacing w:val="-3"/>
          <w:sz w:val="22"/>
        </w:rPr>
        <w:t> </w:t>
      </w:r>
      <w:r>
        <w:rPr>
          <w:i/>
          <w:sz w:val="22"/>
        </w:rPr>
        <w:t>shelter</w:t>
      </w:r>
      <w:r>
        <w:rPr>
          <w:i/>
          <w:spacing w:val="-4"/>
          <w:sz w:val="22"/>
        </w:rPr>
        <w:t> </w:t>
      </w:r>
      <w:r>
        <w:rPr>
          <w:i/>
          <w:sz w:val="22"/>
        </w:rPr>
        <w:t>home</w:t>
      </w:r>
      <w:r>
        <w:rPr>
          <w:i/>
          <w:spacing w:val="-5"/>
          <w:sz w:val="22"/>
        </w:rPr>
        <w:t> </w:t>
      </w:r>
      <w:r>
        <w:rPr>
          <w:i/>
          <w:sz w:val="22"/>
        </w:rPr>
        <w:t>parent</w:t>
      </w:r>
      <w:r>
        <w:rPr>
          <w:i/>
          <w:spacing w:val="-3"/>
          <w:sz w:val="22"/>
        </w:rPr>
        <w:t> </w:t>
      </w:r>
      <w:r>
        <w:rPr>
          <w:i/>
          <w:sz w:val="22"/>
        </w:rPr>
        <w:t>applicants on the basis of age, sex, race, religion, ethnic background, cultural heritage, national origin, marital status, sexual orientation, gender identity or disability.”</w:t>
      </w:r>
    </w:p>
    <w:p>
      <w:pPr>
        <w:pStyle w:val="ListParagraph"/>
        <w:numPr>
          <w:ilvl w:val="1"/>
          <w:numId w:val="31"/>
        </w:numPr>
        <w:tabs>
          <w:tab w:pos="1100" w:val="left" w:leader="none"/>
          <w:tab w:pos="2828" w:val="left" w:leader="none"/>
        </w:tabs>
        <w:spacing w:line="276" w:lineRule="auto" w:before="239" w:after="0"/>
        <w:ind w:left="2828" w:right="959" w:hanging="2088"/>
        <w:jc w:val="left"/>
        <w:rPr>
          <w:sz w:val="22"/>
        </w:rPr>
      </w:pPr>
      <w:r>
        <w:rPr>
          <w:sz w:val="22"/>
        </w:rPr>
        <w:t>EEC</w:t>
      </w:r>
      <w:r>
        <w:rPr>
          <w:spacing w:val="-2"/>
          <w:sz w:val="22"/>
        </w:rPr>
        <w:t> </w:t>
      </w:r>
      <w:r>
        <w:rPr>
          <w:sz w:val="22"/>
        </w:rPr>
        <w:t>update</w:t>
      </w:r>
      <w:r>
        <w:rPr>
          <w:spacing w:val="-3"/>
          <w:sz w:val="22"/>
        </w:rPr>
        <w:t> </w:t>
      </w:r>
      <w:r>
        <w:rPr>
          <w:sz w:val="22"/>
        </w:rPr>
        <w:t>Residential</w:t>
      </w:r>
      <w:r>
        <w:rPr>
          <w:spacing w:val="-3"/>
          <w:sz w:val="22"/>
        </w:rPr>
        <w:t> </w:t>
      </w:r>
      <w:r>
        <w:rPr>
          <w:sz w:val="22"/>
        </w:rPr>
        <w:t>and</w:t>
      </w:r>
      <w:r>
        <w:rPr>
          <w:spacing w:val="-4"/>
          <w:sz w:val="22"/>
        </w:rPr>
        <w:t> </w:t>
      </w:r>
      <w:r>
        <w:rPr>
          <w:sz w:val="22"/>
        </w:rPr>
        <w:t>Placement</w:t>
      </w:r>
      <w:r>
        <w:rPr>
          <w:spacing w:val="-2"/>
          <w:sz w:val="22"/>
        </w:rPr>
        <w:t> </w:t>
      </w:r>
      <w:r>
        <w:rPr>
          <w:sz w:val="22"/>
        </w:rPr>
        <w:t>regulation</w:t>
      </w:r>
      <w:r>
        <w:rPr>
          <w:spacing w:val="-3"/>
          <w:sz w:val="22"/>
        </w:rPr>
        <w:t> </w:t>
      </w:r>
      <w:r>
        <w:rPr>
          <w:sz w:val="22"/>
        </w:rPr>
        <w:t>3.07(3)</w:t>
      </w:r>
      <w:r>
        <w:rPr>
          <w:spacing w:val="-3"/>
          <w:sz w:val="22"/>
        </w:rPr>
        <w:t> </w:t>
      </w:r>
      <w:r>
        <w:rPr>
          <w:sz w:val="22"/>
        </w:rPr>
        <w:t>to</w:t>
      </w:r>
      <w:r>
        <w:rPr>
          <w:spacing w:val="-3"/>
          <w:sz w:val="22"/>
        </w:rPr>
        <w:t> </w:t>
      </w:r>
      <w:r>
        <w:rPr>
          <w:sz w:val="22"/>
        </w:rPr>
        <w:t>include</w:t>
      </w:r>
      <w:r>
        <w:rPr>
          <w:spacing w:val="-4"/>
          <w:sz w:val="22"/>
        </w:rPr>
        <w:t> </w:t>
      </w:r>
      <w:r>
        <w:rPr>
          <w:sz w:val="22"/>
        </w:rPr>
        <w:t>youth</w:t>
      </w:r>
      <w:r>
        <w:rPr>
          <w:spacing w:val="-4"/>
          <w:sz w:val="22"/>
        </w:rPr>
        <w:t> </w:t>
      </w:r>
      <w:r>
        <w:rPr>
          <w:sz w:val="22"/>
        </w:rPr>
        <w:t>voice</w:t>
      </w:r>
      <w:r>
        <w:rPr>
          <w:spacing w:val="-4"/>
          <w:sz w:val="22"/>
        </w:rPr>
        <w:t> </w:t>
      </w:r>
      <w:r>
        <w:rPr>
          <w:sz w:val="22"/>
        </w:rPr>
        <w:t>in</w:t>
      </w:r>
      <w:r>
        <w:rPr>
          <w:spacing w:val="-3"/>
          <w:sz w:val="22"/>
        </w:rPr>
        <w:t> </w:t>
      </w:r>
      <w:r>
        <w:rPr>
          <w:sz w:val="22"/>
        </w:rPr>
        <w:t>decision making around room assignment and programming:</w:t>
      </w:r>
    </w:p>
    <w:p>
      <w:pPr>
        <w:spacing w:line="276" w:lineRule="auto" w:before="240"/>
        <w:ind w:left="1061" w:right="920" w:hanging="1"/>
        <w:jc w:val="center"/>
        <w:rPr>
          <w:i/>
          <w:sz w:val="22"/>
        </w:rPr>
      </w:pPr>
      <w:r>
        <w:rPr>
          <w:i/>
          <w:sz w:val="22"/>
        </w:rPr>
        <w:t>“(a) The licensee shall assure that all room assignments are appropriate, taking into</w:t>
      </w:r>
      <w:r>
        <w:rPr>
          <w:i/>
          <w:sz w:val="22"/>
        </w:rPr>
        <w:t> consideration</w:t>
      </w:r>
      <w:r>
        <w:rPr>
          <w:i/>
          <w:spacing w:val="-3"/>
          <w:sz w:val="22"/>
        </w:rPr>
        <w:t> </w:t>
      </w:r>
      <w:r>
        <w:rPr>
          <w:i/>
          <w:sz w:val="22"/>
        </w:rPr>
        <w:t>the</w:t>
      </w:r>
      <w:r>
        <w:rPr>
          <w:i/>
          <w:spacing w:val="-5"/>
          <w:sz w:val="22"/>
        </w:rPr>
        <w:t> </w:t>
      </w:r>
      <w:r>
        <w:rPr>
          <w:i/>
          <w:sz w:val="22"/>
        </w:rPr>
        <w:t>ages</w:t>
      </w:r>
      <w:r>
        <w:rPr>
          <w:i/>
          <w:spacing w:val="-4"/>
          <w:sz w:val="22"/>
        </w:rPr>
        <w:t> </w:t>
      </w:r>
      <w:r>
        <w:rPr>
          <w:i/>
          <w:sz w:val="22"/>
        </w:rPr>
        <w:t>and</w:t>
      </w:r>
      <w:r>
        <w:rPr>
          <w:i/>
          <w:spacing w:val="-3"/>
          <w:sz w:val="22"/>
        </w:rPr>
        <w:t> </w:t>
      </w:r>
      <w:r>
        <w:rPr>
          <w:i/>
          <w:sz w:val="22"/>
        </w:rPr>
        <w:t>needs</w:t>
      </w:r>
      <w:r>
        <w:rPr>
          <w:i/>
          <w:spacing w:val="-3"/>
          <w:sz w:val="22"/>
        </w:rPr>
        <w:t> </w:t>
      </w:r>
      <w:r>
        <w:rPr>
          <w:i/>
          <w:sz w:val="22"/>
        </w:rPr>
        <w:t>of</w:t>
      </w:r>
      <w:r>
        <w:rPr>
          <w:i/>
          <w:spacing w:val="-4"/>
          <w:sz w:val="22"/>
        </w:rPr>
        <w:t> </w:t>
      </w:r>
      <w:r>
        <w:rPr>
          <w:i/>
          <w:sz w:val="22"/>
        </w:rPr>
        <w:t>residents</w:t>
      </w:r>
      <w:r>
        <w:rPr>
          <w:i/>
          <w:spacing w:val="-3"/>
          <w:sz w:val="22"/>
        </w:rPr>
        <w:t> </w:t>
      </w:r>
      <w:r>
        <w:rPr>
          <w:i/>
          <w:sz w:val="22"/>
        </w:rPr>
        <w:t>by</w:t>
      </w:r>
      <w:r>
        <w:rPr>
          <w:i/>
          <w:spacing w:val="-4"/>
          <w:sz w:val="22"/>
        </w:rPr>
        <w:t> </w:t>
      </w:r>
      <w:r>
        <w:rPr>
          <w:i/>
          <w:sz w:val="22"/>
        </w:rPr>
        <w:t>collaborating</w:t>
      </w:r>
      <w:r>
        <w:rPr>
          <w:i/>
          <w:spacing w:val="-3"/>
          <w:sz w:val="22"/>
        </w:rPr>
        <w:t> </w:t>
      </w:r>
      <w:r>
        <w:rPr>
          <w:i/>
          <w:sz w:val="22"/>
        </w:rPr>
        <w:t>with</w:t>
      </w:r>
      <w:r>
        <w:rPr>
          <w:i/>
          <w:spacing w:val="-3"/>
          <w:sz w:val="22"/>
        </w:rPr>
        <w:t> </w:t>
      </w:r>
      <w:r>
        <w:rPr>
          <w:i/>
          <w:sz w:val="22"/>
        </w:rPr>
        <w:t>youth,</w:t>
      </w:r>
      <w:r>
        <w:rPr>
          <w:i/>
          <w:spacing w:val="-2"/>
          <w:sz w:val="22"/>
        </w:rPr>
        <w:t> </w:t>
      </w:r>
      <w:r>
        <w:rPr>
          <w:i/>
          <w:sz w:val="22"/>
        </w:rPr>
        <w:t>the</w:t>
      </w:r>
      <w:r>
        <w:rPr>
          <w:i/>
          <w:spacing w:val="-3"/>
          <w:sz w:val="22"/>
        </w:rPr>
        <w:t> </w:t>
      </w:r>
      <w:r>
        <w:rPr>
          <w:i/>
          <w:sz w:val="22"/>
        </w:rPr>
        <w:t>clinical</w:t>
      </w:r>
      <w:r>
        <w:rPr>
          <w:i/>
          <w:spacing w:val="-3"/>
          <w:sz w:val="22"/>
        </w:rPr>
        <w:t> </w:t>
      </w:r>
      <w:r>
        <w:rPr>
          <w:i/>
          <w:sz w:val="22"/>
        </w:rPr>
        <w:t>team, guardian and referral source.</w:t>
      </w:r>
    </w:p>
    <w:p>
      <w:pPr>
        <w:spacing w:line="276" w:lineRule="auto" w:before="241"/>
        <w:ind w:left="1939" w:right="661" w:hanging="1238"/>
        <w:jc w:val="left"/>
        <w:rPr>
          <w:i/>
          <w:sz w:val="22"/>
        </w:rPr>
      </w:pPr>
      <w:r>
        <w:rPr>
          <w:i/>
          <w:sz w:val="22"/>
        </w:rPr>
        <w:t>(b)</w:t>
      </w:r>
      <w:r>
        <w:rPr>
          <w:i/>
          <w:spacing w:val="-2"/>
          <w:sz w:val="22"/>
        </w:rPr>
        <w:t> </w:t>
      </w:r>
      <w:r>
        <w:rPr>
          <w:i/>
          <w:sz w:val="22"/>
        </w:rPr>
        <w:t>The</w:t>
      </w:r>
      <w:r>
        <w:rPr>
          <w:i/>
          <w:spacing w:val="-2"/>
          <w:sz w:val="22"/>
        </w:rPr>
        <w:t> </w:t>
      </w:r>
      <w:r>
        <w:rPr>
          <w:i/>
          <w:sz w:val="22"/>
        </w:rPr>
        <w:t>licensee</w:t>
      </w:r>
      <w:r>
        <w:rPr>
          <w:i/>
          <w:spacing w:val="-2"/>
          <w:sz w:val="22"/>
        </w:rPr>
        <w:t> </w:t>
      </w:r>
      <w:r>
        <w:rPr>
          <w:i/>
          <w:sz w:val="22"/>
        </w:rPr>
        <w:t>shall</w:t>
      </w:r>
      <w:r>
        <w:rPr>
          <w:i/>
          <w:spacing w:val="-3"/>
          <w:sz w:val="22"/>
        </w:rPr>
        <w:t> </w:t>
      </w:r>
      <w:r>
        <w:rPr>
          <w:i/>
          <w:sz w:val="22"/>
        </w:rPr>
        <w:t>assure</w:t>
      </w:r>
      <w:r>
        <w:rPr>
          <w:i/>
          <w:spacing w:val="-4"/>
          <w:sz w:val="22"/>
        </w:rPr>
        <w:t> </w:t>
      </w:r>
      <w:r>
        <w:rPr>
          <w:i/>
          <w:sz w:val="22"/>
        </w:rPr>
        <w:t>that</w:t>
      </w:r>
      <w:r>
        <w:rPr>
          <w:i/>
          <w:spacing w:val="-2"/>
          <w:sz w:val="22"/>
        </w:rPr>
        <w:t> </w:t>
      </w:r>
      <w:r>
        <w:rPr>
          <w:i/>
          <w:sz w:val="22"/>
        </w:rPr>
        <w:t>appropriate</w:t>
      </w:r>
      <w:r>
        <w:rPr>
          <w:i/>
          <w:spacing w:val="-2"/>
          <w:sz w:val="22"/>
        </w:rPr>
        <w:t> </w:t>
      </w:r>
      <w:r>
        <w:rPr>
          <w:i/>
          <w:sz w:val="22"/>
        </w:rPr>
        <w:t>programming</w:t>
      </w:r>
      <w:r>
        <w:rPr>
          <w:i/>
          <w:spacing w:val="-3"/>
          <w:sz w:val="22"/>
        </w:rPr>
        <w:t> </w:t>
      </w:r>
      <w:r>
        <w:rPr>
          <w:i/>
          <w:sz w:val="22"/>
        </w:rPr>
        <w:t>is</w:t>
      </w:r>
      <w:r>
        <w:rPr>
          <w:i/>
          <w:spacing w:val="-2"/>
          <w:sz w:val="22"/>
        </w:rPr>
        <w:t> </w:t>
      </w:r>
      <w:r>
        <w:rPr>
          <w:i/>
          <w:sz w:val="22"/>
        </w:rPr>
        <w:t>provided</w:t>
      </w:r>
      <w:r>
        <w:rPr>
          <w:i/>
          <w:spacing w:val="-3"/>
          <w:sz w:val="22"/>
        </w:rPr>
        <w:t> </w:t>
      </w:r>
      <w:r>
        <w:rPr>
          <w:i/>
          <w:sz w:val="22"/>
        </w:rPr>
        <w:t>for</w:t>
      </w:r>
      <w:r>
        <w:rPr>
          <w:i/>
          <w:spacing w:val="-2"/>
          <w:sz w:val="22"/>
        </w:rPr>
        <w:t> </w:t>
      </w:r>
      <w:r>
        <w:rPr>
          <w:i/>
          <w:sz w:val="22"/>
        </w:rPr>
        <w:t>each</w:t>
      </w:r>
      <w:r>
        <w:rPr>
          <w:i/>
          <w:spacing w:val="-3"/>
          <w:sz w:val="22"/>
        </w:rPr>
        <w:t> </w:t>
      </w:r>
      <w:r>
        <w:rPr>
          <w:i/>
          <w:sz w:val="22"/>
        </w:rPr>
        <w:t>age</w:t>
      </w:r>
      <w:r>
        <w:rPr>
          <w:i/>
          <w:spacing w:val="-4"/>
          <w:sz w:val="22"/>
        </w:rPr>
        <w:t> </w:t>
      </w:r>
      <w:r>
        <w:rPr>
          <w:i/>
          <w:sz w:val="22"/>
        </w:rPr>
        <w:t>group</w:t>
      </w:r>
      <w:r>
        <w:rPr>
          <w:i/>
          <w:spacing w:val="-2"/>
          <w:sz w:val="22"/>
        </w:rPr>
        <w:t> </w:t>
      </w:r>
      <w:r>
        <w:rPr>
          <w:i/>
          <w:sz w:val="22"/>
        </w:rPr>
        <w:t>served</w:t>
      </w:r>
      <w:r>
        <w:rPr>
          <w:i/>
          <w:sz w:val="22"/>
        </w:rPr>
        <w:t> by collaborating with youth, clinical team, guardian, and referral source.</w:t>
      </w:r>
    </w:p>
    <w:p>
      <w:pPr>
        <w:numPr>
          <w:ilvl w:val="0"/>
          <w:numId w:val="31"/>
        </w:numPr>
        <w:tabs>
          <w:tab w:pos="481" w:val="left" w:leader="none"/>
          <w:tab w:pos="483" w:val="left" w:leader="none"/>
        </w:tabs>
        <w:spacing w:line="276" w:lineRule="auto" w:before="239"/>
        <w:ind w:left="483" w:right="345" w:hanging="360"/>
        <w:jc w:val="both"/>
        <w:rPr>
          <w:b/>
          <w:sz w:val="22"/>
        </w:rPr>
      </w:pPr>
      <w:r>
        <w:rPr>
          <w:b/>
          <w:sz w:val="22"/>
        </w:rPr>
        <w:t>Continue</w:t>
      </w:r>
      <w:r>
        <w:rPr>
          <w:b/>
          <w:spacing w:val="-9"/>
          <w:sz w:val="22"/>
        </w:rPr>
        <w:t> </w:t>
      </w:r>
      <w:r>
        <w:rPr>
          <w:b/>
          <w:sz w:val="22"/>
        </w:rPr>
        <w:t>to</w:t>
      </w:r>
      <w:r>
        <w:rPr>
          <w:b/>
          <w:spacing w:val="-10"/>
          <w:sz w:val="22"/>
        </w:rPr>
        <w:t> </w:t>
      </w:r>
      <w:r>
        <w:rPr>
          <w:b/>
          <w:sz w:val="22"/>
        </w:rPr>
        <w:t>collaborate</w:t>
      </w:r>
      <w:r>
        <w:rPr>
          <w:b/>
          <w:spacing w:val="-9"/>
          <w:sz w:val="22"/>
        </w:rPr>
        <w:t> </w:t>
      </w:r>
      <w:r>
        <w:rPr>
          <w:b/>
          <w:sz w:val="22"/>
        </w:rPr>
        <w:t>with</w:t>
      </w:r>
      <w:r>
        <w:rPr>
          <w:b/>
          <w:spacing w:val="-9"/>
          <w:sz w:val="22"/>
        </w:rPr>
        <w:t> </w:t>
      </w:r>
      <w:r>
        <w:rPr>
          <w:b/>
          <w:sz w:val="22"/>
        </w:rPr>
        <w:t>the</w:t>
      </w:r>
      <w:r>
        <w:rPr>
          <w:b/>
          <w:spacing w:val="-9"/>
          <w:sz w:val="22"/>
        </w:rPr>
        <w:t> </w:t>
      </w:r>
      <w:r>
        <w:rPr>
          <w:b/>
          <w:sz w:val="22"/>
        </w:rPr>
        <w:t>Department</w:t>
      </w:r>
      <w:r>
        <w:rPr>
          <w:b/>
          <w:spacing w:val="-8"/>
          <w:sz w:val="22"/>
        </w:rPr>
        <w:t> </w:t>
      </w:r>
      <w:r>
        <w:rPr>
          <w:b/>
          <w:sz w:val="22"/>
        </w:rPr>
        <w:t>of</w:t>
      </w:r>
      <w:r>
        <w:rPr>
          <w:b/>
          <w:spacing w:val="-9"/>
          <w:sz w:val="22"/>
        </w:rPr>
        <w:t> </w:t>
      </w:r>
      <w:r>
        <w:rPr>
          <w:b/>
          <w:sz w:val="22"/>
        </w:rPr>
        <w:t>Elementary</w:t>
      </w:r>
      <w:r>
        <w:rPr>
          <w:b/>
          <w:spacing w:val="-8"/>
          <w:sz w:val="22"/>
        </w:rPr>
        <w:t> </w:t>
      </w:r>
      <w:r>
        <w:rPr>
          <w:b/>
          <w:sz w:val="22"/>
        </w:rPr>
        <w:t>and</w:t>
      </w:r>
      <w:r>
        <w:rPr>
          <w:b/>
          <w:spacing w:val="-9"/>
          <w:sz w:val="22"/>
        </w:rPr>
        <w:t> </w:t>
      </w:r>
      <w:r>
        <w:rPr>
          <w:b/>
          <w:sz w:val="22"/>
        </w:rPr>
        <w:t>Secondary</w:t>
      </w:r>
      <w:r>
        <w:rPr>
          <w:b/>
          <w:spacing w:val="-8"/>
          <w:sz w:val="22"/>
        </w:rPr>
        <w:t> </w:t>
      </w:r>
      <w:r>
        <w:rPr>
          <w:b/>
          <w:sz w:val="22"/>
        </w:rPr>
        <w:t>Education</w:t>
      </w:r>
      <w:r>
        <w:rPr>
          <w:b/>
          <w:spacing w:val="-9"/>
          <w:sz w:val="22"/>
        </w:rPr>
        <w:t> </w:t>
      </w:r>
      <w:r>
        <w:rPr>
          <w:b/>
          <w:sz w:val="22"/>
        </w:rPr>
        <w:t>(DESE)</w:t>
      </w:r>
      <w:r>
        <w:rPr>
          <w:b/>
          <w:spacing w:val="-9"/>
          <w:sz w:val="22"/>
        </w:rPr>
        <w:t> </w:t>
      </w:r>
      <w:r>
        <w:rPr>
          <w:b/>
          <w:sz w:val="22"/>
        </w:rPr>
        <w:t>and</w:t>
      </w:r>
      <w:r>
        <w:rPr>
          <w:b/>
          <w:spacing w:val="-9"/>
          <w:sz w:val="22"/>
        </w:rPr>
        <w:t> </w:t>
      </w:r>
      <w:r>
        <w:rPr>
          <w:b/>
          <w:sz w:val="22"/>
        </w:rPr>
        <w:t>other state</w:t>
      </w:r>
      <w:r>
        <w:rPr>
          <w:b/>
          <w:spacing w:val="-1"/>
          <w:sz w:val="22"/>
        </w:rPr>
        <w:t> </w:t>
      </w:r>
      <w:r>
        <w:rPr>
          <w:b/>
          <w:sz w:val="22"/>
        </w:rPr>
        <w:t>agencies</w:t>
      </w:r>
      <w:r>
        <w:rPr>
          <w:b/>
          <w:spacing w:val="-2"/>
          <w:sz w:val="22"/>
        </w:rPr>
        <w:t> </w:t>
      </w:r>
      <w:r>
        <w:rPr>
          <w:b/>
          <w:sz w:val="22"/>
        </w:rPr>
        <w:t>on</w:t>
      </w:r>
      <w:r>
        <w:rPr>
          <w:b/>
          <w:spacing w:val="-1"/>
          <w:sz w:val="22"/>
        </w:rPr>
        <w:t> </w:t>
      </w:r>
      <w:r>
        <w:rPr>
          <w:b/>
          <w:sz w:val="22"/>
        </w:rPr>
        <w:t>the</w:t>
      </w:r>
      <w:r>
        <w:rPr>
          <w:b/>
          <w:spacing w:val="-1"/>
          <w:sz w:val="22"/>
        </w:rPr>
        <w:t> </w:t>
      </w:r>
      <w:r>
        <w:rPr>
          <w:b/>
          <w:sz w:val="22"/>
        </w:rPr>
        <w:t>Statewide</w:t>
      </w:r>
      <w:r>
        <w:rPr>
          <w:b/>
          <w:spacing w:val="-2"/>
          <w:sz w:val="22"/>
        </w:rPr>
        <w:t> </w:t>
      </w:r>
      <w:r>
        <w:rPr>
          <w:b/>
          <w:sz w:val="22"/>
        </w:rPr>
        <w:t>Family</w:t>
      </w:r>
      <w:r>
        <w:rPr>
          <w:b/>
          <w:spacing w:val="-1"/>
          <w:sz w:val="22"/>
        </w:rPr>
        <w:t> </w:t>
      </w:r>
      <w:r>
        <w:rPr>
          <w:b/>
          <w:sz w:val="22"/>
        </w:rPr>
        <w:t>Engagement</w:t>
      </w:r>
      <w:r>
        <w:rPr>
          <w:b/>
          <w:spacing w:val="-1"/>
          <w:sz w:val="22"/>
        </w:rPr>
        <w:t> </w:t>
      </w:r>
      <w:r>
        <w:rPr>
          <w:b/>
          <w:sz w:val="22"/>
        </w:rPr>
        <w:t>Framework</w:t>
      </w:r>
      <w:r>
        <w:rPr>
          <w:b/>
          <w:spacing w:val="-1"/>
          <w:sz w:val="22"/>
        </w:rPr>
        <w:t> </w:t>
      </w:r>
      <w:r>
        <w:rPr>
          <w:b/>
          <w:sz w:val="22"/>
        </w:rPr>
        <w:t>(prenatal</w:t>
      </w:r>
      <w:r>
        <w:rPr>
          <w:b/>
          <w:spacing w:val="-2"/>
          <w:sz w:val="22"/>
        </w:rPr>
        <w:t> </w:t>
      </w:r>
      <w:r>
        <w:rPr>
          <w:b/>
          <w:sz w:val="22"/>
        </w:rPr>
        <w:t>through</w:t>
      </w:r>
      <w:r>
        <w:rPr>
          <w:b/>
          <w:spacing w:val="-2"/>
          <w:sz w:val="22"/>
        </w:rPr>
        <w:t> </w:t>
      </w:r>
      <w:r>
        <w:rPr>
          <w:b/>
          <w:sz w:val="22"/>
        </w:rPr>
        <w:t>post-</w:t>
      </w:r>
      <w:r>
        <w:rPr>
          <w:b/>
          <w:spacing w:val="-2"/>
          <w:sz w:val="22"/>
        </w:rPr>
        <w:t> </w:t>
      </w:r>
      <w:r>
        <w:rPr>
          <w:b/>
          <w:sz w:val="22"/>
        </w:rPr>
        <w:t>secondary)</w:t>
      </w:r>
      <w:r>
        <w:rPr>
          <w:b/>
          <w:spacing w:val="-1"/>
          <w:sz w:val="22"/>
        </w:rPr>
        <w:t> </w:t>
      </w:r>
      <w:r>
        <w:rPr>
          <w:b/>
          <w:sz w:val="22"/>
        </w:rPr>
        <w:t>to ensure that LGBTQ content and family diversity are well-represented.</w:t>
      </w:r>
    </w:p>
    <w:p>
      <w:pPr>
        <w:pStyle w:val="BodyText"/>
        <w:spacing w:line="276" w:lineRule="auto" w:before="240"/>
        <w:ind w:left="483" w:right="342"/>
        <w:jc w:val="both"/>
      </w:pPr>
      <w:r>
        <w:rPr/>
        <w:t>The</w:t>
      </w:r>
      <w:r>
        <w:rPr>
          <w:spacing w:val="-2"/>
        </w:rPr>
        <w:t> </w:t>
      </w:r>
      <w:r>
        <w:rPr/>
        <w:t>Commission</w:t>
      </w:r>
      <w:r>
        <w:rPr>
          <w:spacing w:val="-2"/>
        </w:rPr>
        <w:t> </w:t>
      </w:r>
      <w:r>
        <w:rPr/>
        <w:t>encourages</w:t>
      </w:r>
      <w:r>
        <w:rPr>
          <w:spacing w:val="-2"/>
        </w:rPr>
        <w:t> </w:t>
      </w:r>
      <w:r>
        <w:rPr/>
        <w:t>EEC</w:t>
      </w:r>
      <w:r>
        <w:rPr>
          <w:spacing w:val="-1"/>
        </w:rPr>
        <w:t> </w:t>
      </w:r>
      <w:r>
        <w:rPr/>
        <w:t>to</w:t>
      </w:r>
      <w:r>
        <w:rPr>
          <w:spacing w:val="-1"/>
        </w:rPr>
        <w:t> </w:t>
      </w:r>
      <w:r>
        <w:rPr/>
        <w:t>continue</w:t>
      </w:r>
      <w:r>
        <w:rPr>
          <w:spacing w:val="-2"/>
        </w:rPr>
        <w:t> </w:t>
      </w:r>
      <w:r>
        <w:rPr/>
        <w:t>its</w:t>
      </w:r>
      <w:r>
        <w:rPr>
          <w:spacing w:val="-1"/>
        </w:rPr>
        <w:t> </w:t>
      </w:r>
      <w:r>
        <w:rPr/>
        <w:t>collaboration</w:t>
      </w:r>
      <w:r>
        <w:rPr>
          <w:spacing w:val="-2"/>
        </w:rPr>
        <w:t> </w:t>
      </w:r>
      <w:r>
        <w:rPr/>
        <w:t>with</w:t>
      </w:r>
      <w:r>
        <w:rPr>
          <w:spacing w:val="-2"/>
        </w:rPr>
        <w:t> </w:t>
      </w:r>
      <w:r>
        <w:rPr/>
        <w:t>DESE</w:t>
      </w:r>
      <w:r>
        <w:rPr>
          <w:spacing w:val="-2"/>
        </w:rPr>
        <w:t> </w:t>
      </w:r>
      <w:r>
        <w:rPr/>
        <w:t>and</w:t>
      </w:r>
      <w:r>
        <w:rPr>
          <w:spacing w:val="-2"/>
        </w:rPr>
        <w:t> </w:t>
      </w:r>
      <w:r>
        <w:rPr/>
        <w:t>other</w:t>
      </w:r>
      <w:r>
        <w:rPr>
          <w:spacing w:val="-2"/>
        </w:rPr>
        <w:t> </w:t>
      </w:r>
      <w:r>
        <w:rPr/>
        <w:t>state</w:t>
      </w:r>
      <w:r>
        <w:rPr>
          <w:spacing w:val="-2"/>
        </w:rPr>
        <w:t> </w:t>
      </w:r>
      <w:r>
        <w:rPr/>
        <w:t>agencies</w:t>
      </w:r>
      <w:r>
        <w:rPr>
          <w:spacing w:val="-2"/>
        </w:rPr>
        <w:t> </w:t>
      </w:r>
      <w:r>
        <w:rPr/>
        <w:t>on</w:t>
      </w:r>
      <w:r>
        <w:rPr>
          <w:spacing w:val="-2"/>
        </w:rPr>
        <w:t> </w:t>
      </w:r>
      <w:r>
        <w:rPr/>
        <w:t>the Statewide Family Engagement Framework, </w:t>
      </w:r>
      <w:hyperlink r:id="rId708">
        <w:r>
          <w:rPr>
            <w:i/>
            <w:u w:val="single"/>
          </w:rPr>
          <w:t>STRENGTHENING</w:t>
        </w:r>
      </w:hyperlink>
      <w:r>
        <w:rPr>
          <w:i/>
          <w:u w:val="none"/>
        </w:rPr>
        <w:t> </w:t>
      </w:r>
      <w:hyperlink r:id="rId708">
        <w:r>
          <w:rPr>
            <w:i/>
            <w:u w:val="single"/>
          </w:rPr>
          <w:t>PARTNERSHIPS A Framework for Prenatal</w:t>
        </w:r>
      </w:hyperlink>
      <w:r>
        <w:rPr>
          <w:i/>
          <w:u w:val="none"/>
        </w:rPr>
        <w:t> </w:t>
      </w:r>
      <w:hyperlink r:id="rId708">
        <w:r>
          <w:rPr>
            <w:i/>
            <w:u w:val="single"/>
          </w:rPr>
          <w:t>through Young Adulthood Family Engagement</w:t>
        </w:r>
      </w:hyperlink>
      <w:r>
        <w:rPr>
          <w:i/>
          <w:u w:val="none"/>
        </w:rPr>
        <w:t> </w:t>
      </w:r>
      <w:hyperlink r:id="rId708">
        <w:r>
          <w:rPr>
            <w:i/>
            <w:u w:val="single"/>
          </w:rPr>
          <w:t>in Massachusetts</w:t>
        </w:r>
      </w:hyperlink>
      <w:hyperlink r:id="rId708">
        <w:r>
          <w:rPr>
            <w:u w:val="none"/>
          </w:rPr>
          <w:t>.</w:t>
        </w:r>
      </w:hyperlink>
      <w:r>
        <w:rPr>
          <w:u w:val="none"/>
        </w:rPr>
        <w:t> This effort was informed by affinity listening</w:t>
      </w:r>
      <w:r>
        <w:rPr>
          <w:spacing w:val="-7"/>
          <w:u w:val="none"/>
        </w:rPr>
        <w:t> </w:t>
      </w:r>
      <w:r>
        <w:rPr>
          <w:u w:val="none"/>
        </w:rPr>
        <w:t>groups</w:t>
      </w:r>
      <w:r>
        <w:rPr>
          <w:spacing w:val="-8"/>
          <w:u w:val="none"/>
        </w:rPr>
        <w:t> </w:t>
      </w:r>
      <w:r>
        <w:rPr>
          <w:u w:val="none"/>
        </w:rPr>
        <w:t>for</w:t>
      </w:r>
      <w:r>
        <w:rPr>
          <w:spacing w:val="-9"/>
          <w:u w:val="none"/>
        </w:rPr>
        <w:t> </w:t>
      </w:r>
      <w:r>
        <w:rPr>
          <w:u w:val="none"/>
        </w:rPr>
        <w:t>several</w:t>
      </w:r>
      <w:r>
        <w:rPr>
          <w:spacing w:val="-8"/>
          <w:u w:val="none"/>
        </w:rPr>
        <w:t> </w:t>
      </w:r>
      <w:r>
        <w:rPr>
          <w:u w:val="none"/>
        </w:rPr>
        <w:t>populations,</w:t>
      </w:r>
      <w:r>
        <w:rPr>
          <w:spacing w:val="-7"/>
          <w:u w:val="none"/>
        </w:rPr>
        <w:t> </w:t>
      </w:r>
      <w:r>
        <w:rPr>
          <w:u w:val="none"/>
        </w:rPr>
        <w:t>including</w:t>
      </w:r>
      <w:r>
        <w:rPr>
          <w:spacing w:val="-8"/>
          <w:u w:val="none"/>
        </w:rPr>
        <w:t> </w:t>
      </w:r>
      <w:r>
        <w:rPr>
          <w:u w:val="none"/>
        </w:rPr>
        <w:t>a</w:t>
      </w:r>
      <w:r>
        <w:rPr>
          <w:spacing w:val="-7"/>
          <w:u w:val="none"/>
        </w:rPr>
        <w:t> </w:t>
      </w:r>
      <w:r>
        <w:rPr>
          <w:u w:val="none"/>
        </w:rPr>
        <w:t>group</w:t>
      </w:r>
      <w:r>
        <w:rPr>
          <w:spacing w:val="-9"/>
          <w:u w:val="none"/>
        </w:rPr>
        <w:t> </w:t>
      </w:r>
      <w:r>
        <w:rPr>
          <w:u w:val="none"/>
        </w:rPr>
        <w:t>for</w:t>
      </w:r>
      <w:r>
        <w:rPr>
          <w:spacing w:val="-7"/>
          <w:u w:val="none"/>
        </w:rPr>
        <w:t> </w:t>
      </w:r>
      <w:r>
        <w:rPr>
          <w:u w:val="none"/>
        </w:rPr>
        <w:t>LGBTQ+</w:t>
      </w:r>
      <w:r>
        <w:rPr>
          <w:spacing w:val="-9"/>
          <w:u w:val="none"/>
        </w:rPr>
        <w:t> </w:t>
      </w:r>
      <w:r>
        <w:rPr>
          <w:u w:val="none"/>
        </w:rPr>
        <w:t>families</w:t>
      </w:r>
      <w:r>
        <w:rPr>
          <w:spacing w:val="-7"/>
          <w:u w:val="none"/>
        </w:rPr>
        <w:t> </w:t>
      </w:r>
      <w:r>
        <w:rPr>
          <w:u w:val="none"/>
        </w:rPr>
        <w:t>conducted</w:t>
      </w:r>
      <w:r>
        <w:rPr>
          <w:spacing w:val="-8"/>
          <w:u w:val="none"/>
        </w:rPr>
        <w:t> </w:t>
      </w:r>
      <w:r>
        <w:rPr>
          <w:u w:val="none"/>
        </w:rPr>
        <w:t>by</w:t>
      </w:r>
      <w:r>
        <w:rPr>
          <w:spacing w:val="-6"/>
          <w:u w:val="none"/>
        </w:rPr>
        <w:t> </w:t>
      </w:r>
      <w:r>
        <w:rPr>
          <w:u w:val="none"/>
        </w:rPr>
        <w:t>Jeff</w:t>
      </w:r>
      <w:r>
        <w:rPr>
          <w:spacing w:val="-9"/>
          <w:u w:val="none"/>
        </w:rPr>
        <w:t> </w:t>
      </w:r>
      <w:r>
        <w:rPr>
          <w:u w:val="none"/>
        </w:rPr>
        <w:t>Perrotti, Senior</w:t>
      </w:r>
      <w:r>
        <w:rPr>
          <w:spacing w:val="-13"/>
          <w:u w:val="none"/>
        </w:rPr>
        <w:t> </w:t>
      </w:r>
      <w:r>
        <w:rPr>
          <w:u w:val="none"/>
        </w:rPr>
        <w:t>Consultant</w:t>
      </w:r>
      <w:r>
        <w:rPr>
          <w:spacing w:val="-11"/>
          <w:u w:val="none"/>
        </w:rPr>
        <w:t> </w:t>
      </w:r>
      <w:r>
        <w:rPr>
          <w:u w:val="none"/>
        </w:rPr>
        <w:t>for</w:t>
      </w:r>
      <w:r>
        <w:rPr>
          <w:spacing w:val="-11"/>
          <w:u w:val="none"/>
        </w:rPr>
        <w:t> </w:t>
      </w:r>
      <w:r>
        <w:rPr>
          <w:u w:val="none"/>
        </w:rPr>
        <w:t>the</w:t>
      </w:r>
      <w:r>
        <w:rPr>
          <w:spacing w:val="-12"/>
          <w:u w:val="none"/>
        </w:rPr>
        <w:t> </w:t>
      </w:r>
      <w:r>
        <w:rPr>
          <w:u w:val="none"/>
        </w:rPr>
        <w:t>Safe</w:t>
      </w:r>
      <w:r>
        <w:rPr>
          <w:spacing w:val="-13"/>
          <w:u w:val="none"/>
        </w:rPr>
        <w:t> </w:t>
      </w:r>
      <w:r>
        <w:rPr>
          <w:u w:val="none"/>
        </w:rPr>
        <w:t>Schools</w:t>
      </w:r>
      <w:r>
        <w:rPr>
          <w:spacing w:val="-12"/>
          <w:u w:val="none"/>
        </w:rPr>
        <w:t> </w:t>
      </w:r>
      <w:r>
        <w:rPr>
          <w:u w:val="none"/>
        </w:rPr>
        <w:t>Program</w:t>
      </w:r>
      <w:r>
        <w:rPr>
          <w:spacing w:val="-13"/>
          <w:u w:val="none"/>
        </w:rPr>
        <w:t> </w:t>
      </w:r>
      <w:r>
        <w:rPr>
          <w:u w:val="none"/>
        </w:rPr>
        <w:t>for</w:t>
      </w:r>
      <w:r>
        <w:rPr>
          <w:spacing w:val="-11"/>
          <w:u w:val="none"/>
        </w:rPr>
        <w:t> </w:t>
      </w:r>
      <w:r>
        <w:rPr>
          <w:u w:val="none"/>
        </w:rPr>
        <w:t>LGBTQ</w:t>
      </w:r>
      <w:r>
        <w:rPr>
          <w:spacing w:val="-12"/>
          <w:u w:val="none"/>
        </w:rPr>
        <w:t> </w:t>
      </w:r>
      <w:r>
        <w:rPr>
          <w:u w:val="none"/>
        </w:rPr>
        <w:t>Students.</w:t>
      </w:r>
      <w:r>
        <w:rPr>
          <w:spacing w:val="-13"/>
          <w:u w:val="none"/>
        </w:rPr>
        <w:t> </w:t>
      </w:r>
      <w:r>
        <w:rPr>
          <w:u w:val="none"/>
        </w:rPr>
        <w:t>This</w:t>
      </w:r>
      <w:r>
        <w:rPr>
          <w:spacing w:val="-12"/>
          <w:u w:val="none"/>
        </w:rPr>
        <w:t> </w:t>
      </w:r>
      <w:r>
        <w:rPr>
          <w:u w:val="none"/>
        </w:rPr>
        <w:t>report</w:t>
      </w:r>
      <w:r>
        <w:rPr>
          <w:spacing w:val="-12"/>
          <w:u w:val="none"/>
        </w:rPr>
        <w:t> </w:t>
      </w:r>
      <w:r>
        <w:rPr>
          <w:u w:val="none"/>
        </w:rPr>
        <w:t>informs</w:t>
      </w:r>
      <w:r>
        <w:rPr>
          <w:spacing w:val="-12"/>
          <w:u w:val="none"/>
        </w:rPr>
        <w:t> </w:t>
      </w:r>
      <w:r>
        <w:rPr>
          <w:u w:val="none"/>
        </w:rPr>
        <w:t>the</w:t>
      </w:r>
      <w:r>
        <w:rPr>
          <w:spacing w:val="-12"/>
          <w:u w:val="none"/>
        </w:rPr>
        <w:t> </w:t>
      </w:r>
      <w:r>
        <w:rPr>
          <w:u w:val="none"/>
        </w:rPr>
        <w:t>Commission’s work</w:t>
      </w:r>
      <w:r>
        <w:rPr>
          <w:spacing w:val="-7"/>
          <w:u w:val="none"/>
        </w:rPr>
        <w:t> </w:t>
      </w:r>
      <w:r>
        <w:rPr>
          <w:u w:val="none"/>
        </w:rPr>
        <w:t>on</w:t>
      </w:r>
      <w:r>
        <w:rPr>
          <w:spacing w:val="-7"/>
          <w:u w:val="none"/>
        </w:rPr>
        <w:t> </w:t>
      </w:r>
      <w:r>
        <w:rPr>
          <w:u w:val="none"/>
        </w:rPr>
        <w:t>family</w:t>
      </w:r>
      <w:r>
        <w:rPr>
          <w:spacing w:val="-6"/>
          <w:u w:val="none"/>
        </w:rPr>
        <w:t> </w:t>
      </w:r>
      <w:r>
        <w:rPr>
          <w:u w:val="none"/>
        </w:rPr>
        <w:t>acceptance</w:t>
      </w:r>
      <w:r>
        <w:rPr>
          <w:spacing w:val="-6"/>
          <w:u w:val="none"/>
        </w:rPr>
        <w:t> </w:t>
      </w:r>
      <w:r>
        <w:rPr>
          <w:u w:val="none"/>
        </w:rPr>
        <w:t>which</w:t>
      </w:r>
      <w:r>
        <w:rPr>
          <w:spacing w:val="-6"/>
          <w:u w:val="none"/>
        </w:rPr>
        <w:t> </w:t>
      </w:r>
      <w:r>
        <w:rPr>
          <w:u w:val="none"/>
        </w:rPr>
        <w:t>is</w:t>
      </w:r>
      <w:r>
        <w:rPr>
          <w:spacing w:val="-6"/>
          <w:u w:val="none"/>
        </w:rPr>
        <w:t> </w:t>
      </w:r>
      <w:r>
        <w:rPr>
          <w:u w:val="none"/>
        </w:rPr>
        <w:t>important</w:t>
      </w:r>
      <w:r>
        <w:rPr>
          <w:spacing w:val="-7"/>
          <w:u w:val="none"/>
        </w:rPr>
        <w:t> </w:t>
      </w:r>
      <w:r>
        <w:rPr>
          <w:u w:val="none"/>
        </w:rPr>
        <w:t>for</w:t>
      </w:r>
      <w:r>
        <w:rPr>
          <w:spacing w:val="-6"/>
          <w:u w:val="none"/>
        </w:rPr>
        <w:t> </w:t>
      </w:r>
      <w:r>
        <w:rPr>
          <w:u w:val="none"/>
        </w:rPr>
        <w:t>reducing</w:t>
      </w:r>
      <w:r>
        <w:rPr>
          <w:spacing w:val="-6"/>
          <w:u w:val="none"/>
        </w:rPr>
        <w:t> </w:t>
      </w:r>
      <w:r>
        <w:rPr>
          <w:u w:val="none"/>
        </w:rPr>
        <w:t>family</w:t>
      </w:r>
      <w:r>
        <w:rPr>
          <w:spacing w:val="-6"/>
          <w:u w:val="none"/>
        </w:rPr>
        <w:t> </w:t>
      </w:r>
      <w:r>
        <w:rPr>
          <w:u w:val="none"/>
        </w:rPr>
        <w:t>rejection</w:t>
      </w:r>
      <w:r>
        <w:rPr>
          <w:spacing w:val="-7"/>
          <w:u w:val="none"/>
        </w:rPr>
        <w:t> </w:t>
      </w:r>
      <w:r>
        <w:rPr>
          <w:u w:val="none"/>
        </w:rPr>
        <w:t>of</w:t>
      </w:r>
      <w:r>
        <w:rPr>
          <w:spacing w:val="-5"/>
          <w:u w:val="none"/>
        </w:rPr>
        <w:t> </w:t>
      </w:r>
      <w:r>
        <w:rPr>
          <w:u w:val="none"/>
        </w:rPr>
        <w:t>LGBTQ</w:t>
      </w:r>
      <w:r>
        <w:rPr>
          <w:spacing w:val="-7"/>
          <w:u w:val="none"/>
        </w:rPr>
        <w:t> </w:t>
      </w:r>
      <w:r>
        <w:rPr>
          <w:u w:val="none"/>
        </w:rPr>
        <w:t>youth.</w:t>
      </w:r>
      <w:r>
        <w:rPr>
          <w:spacing w:val="-6"/>
          <w:u w:val="none"/>
        </w:rPr>
        <w:t> </w:t>
      </w:r>
      <w:r>
        <w:rPr>
          <w:u w:val="none"/>
        </w:rPr>
        <w:t>The</w:t>
      </w:r>
      <w:r>
        <w:rPr>
          <w:spacing w:val="-7"/>
          <w:u w:val="none"/>
        </w:rPr>
        <w:t> </w:t>
      </w:r>
      <w:r>
        <w:rPr>
          <w:u w:val="none"/>
        </w:rPr>
        <w:t>Office</w:t>
      </w:r>
      <w:r>
        <w:rPr>
          <w:spacing w:val="-7"/>
          <w:u w:val="none"/>
        </w:rPr>
        <w:t> </w:t>
      </w:r>
      <w:r>
        <w:rPr>
          <w:u w:val="none"/>
        </w:rPr>
        <w:t>of Student and Family Support also hosts a number of additional resources for family engagement </w:t>
      </w:r>
      <w:hyperlink r:id="rId709">
        <w:r>
          <w:rPr>
            <w:u w:val="single"/>
          </w:rPr>
          <w:t>on their</w:t>
        </w:r>
      </w:hyperlink>
      <w:r>
        <w:rPr>
          <w:u w:val="none"/>
        </w:rPr>
        <w:t> </w:t>
      </w:r>
      <w:hyperlink r:id="rId709">
        <w:r>
          <w:rPr>
            <w:spacing w:val="-2"/>
            <w:u w:val="single"/>
          </w:rPr>
          <w:t>website.</w:t>
        </w:r>
      </w:hyperlink>
    </w:p>
    <w:p>
      <w:pPr>
        <w:numPr>
          <w:ilvl w:val="0"/>
          <w:numId w:val="31"/>
        </w:numPr>
        <w:tabs>
          <w:tab w:pos="481" w:val="left" w:leader="none"/>
        </w:tabs>
        <w:spacing w:before="241"/>
        <w:ind w:left="481" w:right="0" w:hanging="358"/>
        <w:jc w:val="left"/>
        <w:rPr>
          <w:b/>
          <w:sz w:val="22"/>
        </w:rPr>
      </w:pPr>
      <w:r>
        <w:rPr>
          <w:b/>
          <w:sz w:val="22"/>
        </w:rPr>
        <w:t>Include</w:t>
      </w:r>
      <w:r>
        <w:rPr>
          <w:b/>
          <w:spacing w:val="-8"/>
          <w:sz w:val="22"/>
        </w:rPr>
        <w:t> </w:t>
      </w:r>
      <w:r>
        <w:rPr>
          <w:b/>
          <w:sz w:val="22"/>
        </w:rPr>
        <w:t>a</w:t>
      </w:r>
      <w:r>
        <w:rPr>
          <w:b/>
          <w:spacing w:val="-8"/>
          <w:sz w:val="22"/>
        </w:rPr>
        <w:t> </w:t>
      </w:r>
      <w:r>
        <w:rPr>
          <w:b/>
          <w:sz w:val="22"/>
        </w:rPr>
        <w:t>nonbinary</w:t>
      </w:r>
      <w:r>
        <w:rPr>
          <w:b/>
          <w:spacing w:val="-9"/>
          <w:sz w:val="22"/>
        </w:rPr>
        <w:t> </w:t>
      </w:r>
      <w:r>
        <w:rPr>
          <w:b/>
          <w:sz w:val="22"/>
        </w:rPr>
        <w:t>gender</w:t>
      </w:r>
      <w:r>
        <w:rPr>
          <w:b/>
          <w:spacing w:val="-9"/>
          <w:sz w:val="22"/>
        </w:rPr>
        <w:t> </w:t>
      </w:r>
      <w:r>
        <w:rPr>
          <w:b/>
          <w:sz w:val="22"/>
        </w:rPr>
        <w:t>marker</w:t>
      </w:r>
      <w:r>
        <w:rPr>
          <w:b/>
          <w:spacing w:val="-8"/>
          <w:sz w:val="22"/>
        </w:rPr>
        <w:t> </w:t>
      </w:r>
      <w:r>
        <w:rPr>
          <w:b/>
          <w:sz w:val="22"/>
        </w:rPr>
        <w:t>option</w:t>
      </w:r>
      <w:r>
        <w:rPr>
          <w:b/>
          <w:spacing w:val="-9"/>
          <w:sz w:val="22"/>
        </w:rPr>
        <w:t> </w:t>
      </w:r>
      <w:r>
        <w:rPr>
          <w:b/>
          <w:sz w:val="22"/>
        </w:rPr>
        <w:t>during</w:t>
      </w:r>
      <w:r>
        <w:rPr>
          <w:b/>
          <w:spacing w:val="-8"/>
          <w:sz w:val="22"/>
        </w:rPr>
        <w:t> </w:t>
      </w:r>
      <w:r>
        <w:rPr>
          <w:b/>
          <w:sz w:val="22"/>
        </w:rPr>
        <w:t>the</w:t>
      </w:r>
      <w:r>
        <w:rPr>
          <w:b/>
          <w:spacing w:val="-8"/>
          <w:sz w:val="22"/>
        </w:rPr>
        <w:t> </w:t>
      </w:r>
      <w:r>
        <w:rPr>
          <w:b/>
          <w:sz w:val="22"/>
        </w:rPr>
        <w:t>development</w:t>
      </w:r>
      <w:r>
        <w:rPr>
          <w:b/>
          <w:spacing w:val="-8"/>
          <w:sz w:val="22"/>
        </w:rPr>
        <w:t> </w:t>
      </w:r>
      <w:r>
        <w:rPr>
          <w:b/>
          <w:sz w:val="22"/>
        </w:rPr>
        <w:t>of</w:t>
      </w:r>
      <w:r>
        <w:rPr>
          <w:b/>
          <w:spacing w:val="-8"/>
          <w:sz w:val="22"/>
        </w:rPr>
        <w:t> </w:t>
      </w:r>
      <w:r>
        <w:rPr>
          <w:b/>
          <w:sz w:val="22"/>
        </w:rPr>
        <w:t>EEC’s</w:t>
      </w:r>
      <w:r>
        <w:rPr>
          <w:b/>
          <w:spacing w:val="-8"/>
          <w:sz w:val="22"/>
        </w:rPr>
        <w:t> </w:t>
      </w:r>
      <w:r>
        <w:rPr>
          <w:b/>
          <w:sz w:val="22"/>
        </w:rPr>
        <w:t>online</w:t>
      </w:r>
      <w:r>
        <w:rPr>
          <w:b/>
          <w:spacing w:val="-8"/>
          <w:sz w:val="22"/>
        </w:rPr>
        <w:t> </w:t>
      </w:r>
      <w:r>
        <w:rPr>
          <w:b/>
          <w:spacing w:val="-2"/>
          <w:sz w:val="22"/>
        </w:rPr>
        <w:t>applications.</w:t>
      </w:r>
    </w:p>
    <w:p>
      <w:pPr>
        <w:pStyle w:val="BodyText"/>
        <w:spacing w:before="12"/>
        <w:rPr>
          <w:b/>
        </w:rPr>
      </w:pPr>
    </w:p>
    <w:p>
      <w:pPr>
        <w:pStyle w:val="BodyText"/>
        <w:spacing w:line="276" w:lineRule="auto"/>
        <w:ind w:left="483" w:right="344"/>
        <w:jc w:val="both"/>
      </w:pPr>
      <w:r>
        <w:rPr/>
        <w:t>EEC created the option of a nonbinary gender marker for its new Professional Qualifications Registry database in FY 2021. This adds EEC to the growing number of state agencies within and beyond Massachusetts who are providing a third gender marker, including the Department of Elementary and Secondary</w:t>
      </w:r>
      <w:r>
        <w:rPr>
          <w:spacing w:val="-3"/>
        </w:rPr>
        <w:t> </w:t>
      </w:r>
      <w:r>
        <w:rPr/>
        <w:t>Education,</w:t>
      </w:r>
      <w:r>
        <w:rPr>
          <w:spacing w:val="-3"/>
        </w:rPr>
        <w:t> </w:t>
      </w:r>
      <w:r>
        <w:rPr/>
        <w:t>which</w:t>
      </w:r>
      <w:r>
        <w:rPr>
          <w:spacing w:val="-3"/>
        </w:rPr>
        <w:t> </w:t>
      </w:r>
      <w:r>
        <w:rPr/>
        <w:t>has</w:t>
      </w:r>
      <w:r>
        <w:rPr>
          <w:spacing w:val="-2"/>
        </w:rPr>
        <w:t> </w:t>
      </w:r>
      <w:r>
        <w:rPr/>
        <w:t>created</w:t>
      </w:r>
      <w:r>
        <w:rPr>
          <w:spacing w:val="-2"/>
        </w:rPr>
        <w:t> </w:t>
      </w:r>
      <w:r>
        <w:rPr/>
        <w:t>such</w:t>
      </w:r>
      <w:r>
        <w:rPr>
          <w:spacing w:val="-3"/>
        </w:rPr>
        <w:t> </w:t>
      </w:r>
      <w:r>
        <w:rPr/>
        <w:t>an</w:t>
      </w:r>
      <w:r>
        <w:rPr>
          <w:spacing w:val="-3"/>
        </w:rPr>
        <w:t> </w:t>
      </w:r>
      <w:r>
        <w:rPr/>
        <w:t>option</w:t>
      </w:r>
      <w:r>
        <w:rPr>
          <w:spacing w:val="-3"/>
        </w:rPr>
        <w:t> </w:t>
      </w:r>
      <w:r>
        <w:rPr/>
        <w:t>for</w:t>
      </w:r>
      <w:r>
        <w:rPr>
          <w:spacing w:val="-3"/>
        </w:rPr>
        <w:t> </w:t>
      </w:r>
      <w:r>
        <w:rPr/>
        <w:t>public</w:t>
      </w:r>
      <w:r>
        <w:rPr>
          <w:spacing w:val="-2"/>
        </w:rPr>
        <w:t> </w:t>
      </w:r>
      <w:r>
        <w:rPr/>
        <w:t>school</w:t>
      </w:r>
      <w:r>
        <w:rPr>
          <w:spacing w:val="-3"/>
        </w:rPr>
        <w:t> </w:t>
      </w:r>
      <w:r>
        <w:rPr/>
        <w:t>students.</w:t>
      </w:r>
      <w:r>
        <w:rPr>
          <w:spacing w:val="-3"/>
        </w:rPr>
        <w:t> </w:t>
      </w:r>
      <w:r>
        <w:rPr/>
        <w:t>Discussions</w:t>
      </w:r>
      <w:r>
        <w:rPr>
          <w:spacing w:val="-2"/>
        </w:rPr>
        <w:t> </w:t>
      </w:r>
      <w:r>
        <w:rPr/>
        <w:t>with</w:t>
      </w:r>
      <w:r>
        <w:rPr>
          <w:spacing w:val="-3"/>
        </w:rPr>
        <w:t> </w:t>
      </w:r>
      <w:r>
        <w:rPr/>
        <w:t>staff working on the registry have focused on better understanding the workforce being served to help with data collection to form a baseline data plan for recruitment retention. The EEC is also exploring opportunities to update its Educator Registry to better reflect LGBTQ identities. In its FY 2024 meetings, EEC shared that this project is well underway, and it is currently working on an audit of the system.</w:t>
      </w:r>
    </w:p>
    <w:p>
      <w:pPr>
        <w:spacing w:after="0" w:line="276" w:lineRule="auto"/>
        <w:jc w:val="both"/>
        <w:sectPr>
          <w:pgSz w:w="12240" w:h="15840"/>
          <w:pgMar w:header="804" w:footer="1250" w:top="1000" w:bottom="1460" w:left="960" w:right="1100"/>
        </w:sectPr>
      </w:pPr>
    </w:p>
    <w:p>
      <w:pPr>
        <w:numPr>
          <w:ilvl w:val="0"/>
          <w:numId w:val="31"/>
        </w:numPr>
        <w:tabs>
          <w:tab w:pos="481" w:val="left" w:leader="none"/>
        </w:tabs>
        <w:spacing w:before="139"/>
        <w:ind w:left="481" w:right="0" w:hanging="358"/>
        <w:jc w:val="left"/>
        <w:rPr>
          <w:b/>
          <w:sz w:val="22"/>
        </w:rPr>
      </w:pPr>
      <w:r>
        <w:rPr>
          <w:b/>
          <w:sz w:val="22"/>
        </w:rPr>
        <w:t>Share</w:t>
      </w:r>
      <w:r>
        <w:rPr>
          <w:b/>
          <w:spacing w:val="-9"/>
          <w:sz w:val="22"/>
        </w:rPr>
        <w:t> </w:t>
      </w:r>
      <w:r>
        <w:rPr>
          <w:b/>
          <w:sz w:val="22"/>
        </w:rPr>
        <w:t>information</w:t>
      </w:r>
      <w:r>
        <w:rPr>
          <w:b/>
          <w:spacing w:val="-8"/>
          <w:sz w:val="22"/>
        </w:rPr>
        <w:t> </w:t>
      </w:r>
      <w:r>
        <w:rPr>
          <w:b/>
          <w:sz w:val="22"/>
        </w:rPr>
        <w:t>and</w:t>
      </w:r>
      <w:r>
        <w:rPr>
          <w:b/>
          <w:spacing w:val="-8"/>
          <w:sz w:val="22"/>
        </w:rPr>
        <w:t> </w:t>
      </w:r>
      <w:r>
        <w:rPr>
          <w:b/>
          <w:sz w:val="22"/>
        </w:rPr>
        <w:t>best</w:t>
      </w:r>
      <w:r>
        <w:rPr>
          <w:b/>
          <w:spacing w:val="-7"/>
          <w:sz w:val="22"/>
        </w:rPr>
        <w:t> </w:t>
      </w:r>
      <w:r>
        <w:rPr>
          <w:b/>
          <w:sz w:val="22"/>
        </w:rPr>
        <w:t>practices</w:t>
      </w:r>
      <w:r>
        <w:rPr>
          <w:b/>
          <w:spacing w:val="-9"/>
          <w:sz w:val="22"/>
        </w:rPr>
        <w:t> </w:t>
      </w:r>
      <w:r>
        <w:rPr>
          <w:b/>
          <w:sz w:val="22"/>
        </w:rPr>
        <w:t>related</w:t>
      </w:r>
      <w:r>
        <w:rPr>
          <w:b/>
          <w:spacing w:val="-8"/>
          <w:sz w:val="22"/>
        </w:rPr>
        <w:t> </w:t>
      </w:r>
      <w:r>
        <w:rPr>
          <w:b/>
          <w:sz w:val="22"/>
        </w:rPr>
        <w:t>to</w:t>
      </w:r>
      <w:r>
        <w:rPr>
          <w:b/>
          <w:spacing w:val="-8"/>
          <w:sz w:val="22"/>
        </w:rPr>
        <w:t> </w:t>
      </w:r>
      <w:r>
        <w:rPr>
          <w:b/>
          <w:sz w:val="22"/>
        </w:rPr>
        <w:t>early</w:t>
      </w:r>
      <w:r>
        <w:rPr>
          <w:b/>
          <w:spacing w:val="-9"/>
          <w:sz w:val="22"/>
        </w:rPr>
        <w:t> </w:t>
      </w:r>
      <w:r>
        <w:rPr>
          <w:b/>
          <w:sz w:val="22"/>
        </w:rPr>
        <w:t>education</w:t>
      </w:r>
      <w:r>
        <w:rPr>
          <w:b/>
          <w:spacing w:val="-7"/>
          <w:sz w:val="22"/>
        </w:rPr>
        <w:t> </w:t>
      </w:r>
      <w:r>
        <w:rPr>
          <w:b/>
          <w:spacing w:val="-2"/>
          <w:sz w:val="22"/>
        </w:rPr>
        <w:t>populations.</w:t>
      </w:r>
    </w:p>
    <w:p>
      <w:pPr>
        <w:pStyle w:val="BodyText"/>
        <w:spacing w:before="11"/>
        <w:rPr>
          <w:b/>
        </w:rPr>
      </w:pPr>
    </w:p>
    <w:p>
      <w:pPr>
        <w:pStyle w:val="BodyText"/>
        <w:spacing w:line="276" w:lineRule="auto"/>
        <w:ind w:left="483" w:right="341"/>
        <w:jc w:val="both"/>
      </w:pPr>
      <w:r>
        <w:rPr/>
        <w:t>The Safe Schools Program for LGBTQ Students has received an increase in requests for elementary trainings, as well as requests for technical assistance related to the formation of Rainbow Clubs or GSA groups at the elementary level. The Commission invites EEC to continue sharing new research and best practices with the Safe Schools Program for LGBTQ Students in order to strengthen its training and technical assistance programming.</w:t>
      </w:r>
    </w:p>
    <w:p>
      <w:pPr>
        <w:pStyle w:val="BodyText"/>
      </w:pPr>
    </w:p>
    <w:p>
      <w:pPr>
        <w:pStyle w:val="BodyText"/>
        <w:spacing w:before="238"/>
      </w:pPr>
    </w:p>
    <w:p>
      <w:pPr>
        <w:spacing w:before="0"/>
        <w:ind w:left="483" w:right="0" w:firstLine="0"/>
        <w:jc w:val="both"/>
        <w:rPr>
          <w:i/>
          <w:sz w:val="21"/>
        </w:rPr>
      </w:pPr>
      <w:r>
        <w:rPr>
          <w:i/>
          <w:sz w:val="21"/>
        </w:rPr>
        <w:t>Acknowledgments:</w:t>
      </w:r>
      <w:r>
        <w:rPr>
          <w:i/>
          <w:spacing w:val="-5"/>
          <w:sz w:val="21"/>
        </w:rPr>
        <w:t> </w:t>
      </w:r>
      <w:r>
        <w:rPr>
          <w:i/>
          <w:sz w:val="21"/>
        </w:rPr>
        <w:t>The</w:t>
      </w:r>
      <w:r>
        <w:rPr>
          <w:i/>
          <w:spacing w:val="-1"/>
          <w:sz w:val="21"/>
        </w:rPr>
        <w:t> </w:t>
      </w:r>
      <w:r>
        <w:rPr>
          <w:i/>
          <w:sz w:val="21"/>
        </w:rPr>
        <w:t>Commission</w:t>
      </w:r>
      <w:r>
        <w:rPr>
          <w:i/>
          <w:spacing w:val="-2"/>
          <w:sz w:val="21"/>
        </w:rPr>
        <w:t> </w:t>
      </w:r>
      <w:r>
        <w:rPr>
          <w:i/>
          <w:sz w:val="21"/>
        </w:rPr>
        <w:t>appreciates</w:t>
      </w:r>
      <w:r>
        <w:rPr>
          <w:i/>
          <w:spacing w:val="-4"/>
          <w:sz w:val="21"/>
        </w:rPr>
        <w:t> </w:t>
      </w:r>
      <w:r>
        <w:rPr>
          <w:i/>
          <w:sz w:val="21"/>
        </w:rPr>
        <w:t>the</w:t>
      </w:r>
      <w:r>
        <w:rPr>
          <w:i/>
          <w:spacing w:val="-3"/>
          <w:sz w:val="21"/>
        </w:rPr>
        <w:t> </w:t>
      </w:r>
      <w:r>
        <w:rPr>
          <w:i/>
          <w:sz w:val="21"/>
        </w:rPr>
        <w:t>contributions</w:t>
      </w:r>
      <w:r>
        <w:rPr>
          <w:i/>
          <w:spacing w:val="-2"/>
          <w:sz w:val="21"/>
        </w:rPr>
        <w:t> </w:t>
      </w:r>
      <w:r>
        <w:rPr>
          <w:i/>
          <w:sz w:val="21"/>
        </w:rPr>
        <w:t>of</w:t>
      </w:r>
      <w:r>
        <w:rPr>
          <w:i/>
          <w:spacing w:val="-3"/>
          <w:sz w:val="21"/>
        </w:rPr>
        <w:t> </w:t>
      </w:r>
      <w:r>
        <w:rPr>
          <w:i/>
          <w:sz w:val="21"/>
        </w:rPr>
        <w:t>its</w:t>
      </w:r>
      <w:r>
        <w:rPr>
          <w:i/>
          <w:spacing w:val="-2"/>
          <w:sz w:val="21"/>
        </w:rPr>
        <w:t> </w:t>
      </w:r>
      <w:r>
        <w:rPr>
          <w:i/>
          <w:sz w:val="21"/>
        </w:rPr>
        <w:t>EEC</w:t>
      </w:r>
      <w:r>
        <w:rPr>
          <w:i/>
          <w:spacing w:val="-2"/>
          <w:sz w:val="21"/>
        </w:rPr>
        <w:t> </w:t>
      </w:r>
      <w:r>
        <w:rPr>
          <w:i/>
          <w:sz w:val="21"/>
        </w:rPr>
        <w:t>agency</w:t>
      </w:r>
      <w:r>
        <w:rPr>
          <w:i/>
          <w:spacing w:val="-2"/>
          <w:sz w:val="21"/>
        </w:rPr>
        <w:t> liaisons.</w:t>
      </w:r>
    </w:p>
    <w:p>
      <w:pPr>
        <w:spacing w:after="0"/>
        <w:jc w:val="both"/>
        <w:rPr>
          <w:sz w:val="21"/>
        </w:rPr>
        <w:sectPr>
          <w:pgSz w:w="12240" w:h="15840"/>
          <w:pgMar w:header="804" w:footer="1250" w:top="1000" w:bottom="1460" w:left="960" w:right="1100"/>
        </w:sectPr>
      </w:pPr>
    </w:p>
    <w:p>
      <w:pPr>
        <w:pStyle w:val="BodyText"/>
        <w:spacing w:before="1"/>
        <w:rPr>
          <w:i/>
          <w:sz w:val="40"/>
        </w:rPr>
      </w:pPr>
    </w:p>
    <w:p>
      <w:pPr>
        <w:pStyle w:val="Heading7"/>
        <w:ind w:left="624"/>
      </w:pPr>
      <w:bookmarkStart w:name="_bookmark624" w:id="931"/>
      <w:bookmarkEnd w:id="931"/>
      <w:r>
        <w:rPr/>
      </w:r>
      <w:hyperlink w:history="true" w:anchor="_bookmark5">
        <w:r>
          <w:rPr>
            <w:color w:val="365F91"/>
            <w:spacing w:val="-10"/>
          </w:rPr>
          <w:t>Department</w:t>
        </w:r>
        <w:r>
          <w:rPr>
            <w:color w:val="365F91"/>
            <w:spacing w:val="-4"/>
          </w:rPr>
          <w:t> </w:t>
        </w:r>
        <w:r>
          <w:rPr>
            <w:color w:val="365F91"/>
            <w:spacing w:val="-10"/>
          </w:rPr>
          <w:t>of</w:t>
        </w:r>
        <w:r>
          <w:rPr>
            <w:color w:val="365F91"/>
            <w:spacing w:val="-3"/>
          </w:rPr>
          <w:t> </w:t>
        </w:r>
        <w:r>
          <w:rPr>
            <w:color w:val="365F91"/>
            <w:spacing w:val="-10"/>
          </w:rPr>
          <w:t>Elementary</w:t>
        </w:r>
        <w:r>
          <w:rPr>
            <w:color w:val="365F91"/>
            <w:spacing w:val="-3"/>
          </w:rPr>
          <w:t> </w:t>
        </w:r>
        <w:r>
          <w:rPr>
            <w:color w:val="365F91"/>
            <w:spacing w:val="-10"/>
          </w:rPr>
          <w:t>and</w:t>
        </w:r>
        <w:r>
          <w:rPr>
            <w:color w:val="365F91"/>
            <w:spacing w:val="-4"/>
          </w:rPr>
          <w:t> </w:t>
        </w:r>
        <w:r>
          <w:rPr>
            <w:color w:val="365F91"/>
            <w:spacing w:val="-10"/>
          </w:rPr>
          <w:t>Secondary</w:t>
        </w:r>
        <w:r>
          <w:rPr>
            <w:color w:val="365F91"/>
            <w:spacing w:val="-3"/>
          </w:rPr>
          <w:t> </w:t>
        </w:r>
        <w:r>
          <w:rPr>
            <w:color w:val="365F91"/>
            <w:spacing w:val="-10"/>
          </w:rPr>
          <w:t>Education</w:t>
        </w:r>
      </w:hyperlink>
    </w:p>
    <w:p>
      <w:pPr>
        <w:spacing w:before="313"/>
        <w:ind w:left="687" w:right="0" w:firstLine="0"/>
        <w:jc w:val="left"/>
        <w:rPr>
          <w:sz w:val="28"/>
        </w:rPr>
      </w:pPr>
      <w:r>
        <w:rPr>
          <w:color w:val="365F91"/>
          <w:sz w:val="28"/>
        </w:rPr>
        <w:t>FY</w:t>
      </w:r>
      <w:r>
        <w:rPr>
          <w:color w:val="365F91"/>
          <w:spacing w:val="-7"/>
          <w:sz w:val="28"/>
        </w:rPr>
        <w:t> </w:t>
      </w:r>
      <w:r>
        <w:rPr>
          <w:color w:val="365F91"/>
          <w:sz w:val="28"/>
        </w:rPr>
        <w:t>2025</w:t>
      </w:r>
      <w:r>
        <w:rPr>
          <w:color w:val="365F91"/>
          <w:spacing w:val="-6"/>
          <w:sz w:val="28"/>
        </w:rPr>
        <w:t> </w:t>
      </w:r>
      <w:r>
        <w:rPr>
          <w:color w:val="365F91"/>
          <w:spacing w:val="-2"/>
          <w:sz w:val="28"/>
        </w:rPr>
        <w:t>Recommendations</w:t>
      </w:r>
    </w:p>
    <w:p>
      <w:pPr>
        <w:pStyle w:val="BodyText"/>
        <w:spacing w:before="10"/>
        <w:rPr>
          <w:sz w:val="3"/>
        </w:rPr>
      </w:pPr>
      <w:r>
        <w:rPr/>
        <mc:AlternateContent>
          <mc:Choice Requires="wps">
            <w:drawing>
              <wp:anchor distT="0" distB="0" distL="0" distR="0" allowOverlap="1" layoutInCell="1" locked="0" behindDoc="1" simplePos="0" relativeHeight="487690752">
                <wp:simplePos x="0" y="0"/>
                <wp:positionH relativeFrom="page">
                  <wp:posOffset>986789</wp:posOffset>
                </wp:positionH>
                <wp:positionV relativeFrom="paragraph">
                  <wp:posOffset>44920</wp:posOffset>
                </wp:positionV>
                <wp:extent cx="5799455" cy="6350"/>
                <wp:effectExtent l="0" t="0" r="0" b="0"/>
                <wp:wrapTopAndBottom/>
                <wp:docPr id="540" name="Graphic 540"/>
                <wp:cNvGraphicFramePr>
                  <a:graphicFrameLocks/>
                </wp:cNvGraphicFramePr>
                <a:graphic>
                  <a:graphicData uri="http://schemas.microsoft.com/office/word/2010/wordprocessingShape">
                    <wps:wsp>
                      <wps:cNvPr id="540" name="Graphic 540"/>
                      <wps:cNvSpPr/>
                      <wps:spPr>
                        <a:xfrm>
                          <a:off x="0" y="0"/>
                          <a:ext cx="5799455" cy="6350"/>
                        </a:xfrm>
                        <a:custGeom>
                          <a:avLst/>
                          <a:gdLst/>
                          <a:ahLst/>
                          <a:cxnLst/>
                          <a:rect l="l" t="t" r="r" b="b"/>
                          <a:pathLst>
                            <a:path w="5799455" h="6350">
                              <a:moveTo>
                                <a:pt x="5798832" y="0"/>
                              </a:moveTo>
                              <a:lnTo>
                                <a:pt x="0" y="0"/>
                              </a:lnTo>
                              <a:lnTo>
                                <a:pt x="0" y="6096"/>
                              </a:lnTo>
                              <a:lnTo>
                                <a:pt x="5798832" y="6096"/>
                              </a:lnTo>
                              <a:lnTo>
                                <a:pt x="5798832" y="0"/>
                              </a:lnTo>
                              <a:close/>
                            </a:path>
                          </a:pathLst>
                        </a:custGeom>
                        <a:solidFill>
                          <a:srgbClr val="4F81BC"/>
                        </a:solidFill>
                      </wps:spPr>
                      <wps:bodyPr wrap="square" lIns="0" tIns="0" rIns="0" bIns="0" rtlCol="0">
                        <a:prstTxWarp prst="textNoShape">
                          <a:avLst/>
                        </a:prstTxWarp>
                        <a:noAutofit/>
                      </wps:bodyPr>
                    </wps:wsp>
                  </a:graphicData>
                </a:graphic>
              </wp:anchor>
            </w:drawing>
          </mc:Choice>
          <mc:Fallback>
            <w:pict>
              <v:rect style="position:absolute;margin-left:77.699997pt;margin-top:3.537031pt;width:456.601pt;height:.48pt;mso-position-horizontal-relative:page;mso-position-vertical-relative:paragraph;z-index:-15625728;mso-wrap-distance-left:0;mso-wrap-distance-right:0" id="docshape437" filled="true" fillcolor="#4f81bc" stroked="false">
                <v:fill type="solid"/>
                <w10:wrap type="topAndBottom"/>
              </v:rect>
            </w:pict>
          </mc:Fallback>
        </mc:AlternateContent>
      </w:r>
    </w:p>
    <w:p>
      <w:pPr>
        <w:pStyle w:val="ListParagraph"/>
        <w:numPr>
          <w:ilvl w:val="0"/>
          <w:numId w:val="32"/>
        </w:numPr>
        <w:tabs>
          <w:tab w:pos="1559" w:val="left" w:leader="none"/>
        </w:tabs>
        <w:spacing w:line="276" w:lineRule="auto" w:before="241" w:after="0"/>
        <w:ind w:left="1559" w:right="481" w:hanging="360"/>
        <w:jc w:val="left"/>
        <w:rPr>
          <w:sz w:val="21"/>
        </w:rPr>
      </w:pPr>
      <w:r>
        <w:rPr>
          <w:sz w:val="21"/>
        </w:rPr>
        <w:t>Continue collaboration with</w:t>
      </w:r>
      <w:r>
        <w:rPr>
          <w:spacing w:val="-1"/>
          <w:sz w:val="21"/>
        </w:rPr>
        <w:t> </w:t>
      </w:r>
      <w:r>
        <w:rPr>
          <w:sz w:val="21"/>
        </w:rPr>
        <w:t>the Commission to jointly administer the</w:t>
      </w:r>
      <w:r>
        <w:rPr>
          <w:spacing w:val="-1"/>
          <w:sz w:val="21"/>
        </w:rPr>
        <w:t> </w:t>
      </w:r>
      <w:r>
        <w:rPr>
          <w:sz w:val="21"/>
        </w:rPr>
        <w:t>Safe Schools Program for LGBTQ Students.</w:t>
      </w:r>
    </w:p>
    <w:p>
      <w:pPr>
        <w:pStyle w:val="ListParagraph"/>
        <w:numPr>
          <w:ilvl w:val="0"/>
          <w:numId w:val="32"/>
        </w:numPr>
        <w:tabs>
          <w:tab w:pos="1559" w:val="left" w:leader="none"/>
        </w:tabs>
        <w:spacing w:line="240" w:lineRule="auto" w:before="1" w:after="0"/>
        <w:ind w:left="1559" w:right="0" w:hanging="360"/>
        <w:jc w:val="left"/>
        <w:rPr>
          <w:sz w:val="21"/>
        </w:rPr>
      </w:pPr>
      <w:r>
        <w:rPr>
          <w:sz w:val="21"/>
        </w:rPr>
        <w:t>Explore</w:t>
      </w:r>
      <w:r>
        <w:rPr>
          <w:spacing w:val="-5"/>
          <w:sz w:val="21"/>
        </w:rPr>
        <w:t> </w:t>
      </w:r>
      <w:r>
        <w:rPr>
          <w:sz w:val="21"/>
        </w:rPr>
        <w:t>increasing</w:t>
      </w:r>
      <w:r>
        <w:rPr>
          <w:spacing w:val="-2"/>
          <w:sz w:val="21"/>
        </w:rPr>
        <w:t> </w:t>
      </w:r>
      <w:r>
        <w:rPr>
          <w:sz w:val="21"/>
        </w:rPr>
        <w:t>data</w:t>
      </w:r>
      <w:r>
        <w:rPr>
          <w:spacing w:val="-3"/>
          <w:sz w:val="21"/>
        </w:rPr>
        <w:t> </w:t>
      </w:r>
      <w:r>
        <w:rPr>
          <w:sz w:val="21"/>
        </w:rPr>
        <w:t>on</w:t>
      </w:r>
      <w:r>
        <w:rPr>
          <w:spacing w:val="-2"/>
          <w:sz w:val="21"/>
        </w:rPr>
        <w:t> </w:t>
      </w:r>
      <w:r>
        <w:rPr>
          <w:sz w:val="21"/>
        </w:rPr>
        <w:t>sexual</w:t>
      </w:r>
      <w:r>
        <w:rPr>
          <w:spacing w:val="-3"/>
          <w:sz w:val="21"/>
        </w:rPr>
        <w:t> </w:t>
      </w:r>
      <w:r>
        <w:rPr>
          <w:sz w:val="21"/>
        </w:rPr>
        <w:t>orientation,</w:t>
      </w:r>
      <w:r>
        <w:rPr>
          <w:spacing w:val="-2"/>
          <w:sz w:val="21"/>
        </w:rPr>
        <w:t> </w:t>
      </w:r>
      <w:r>
        <w:rPr>
          <w:sz w:val="21"/>
        </w:rPr>
        <w:t>gender</w:t>
      </w:r>
      <w:r>
        <w:rPr>
          <w:spacing w:val="-2"/>
          <w:sz w:val="21"/>
        </w:rPr>
        <w:t> </w:t>
      </w:r>
      <w:r>
        <w:rPr>
          <w:sz w:val="21"/>
        </w:rPr>
        <w:t>identity,</w:t>
      </w:r>
      <w:r>
        <w:rPr>
          <w:spacing w:val="-3"/>
          <w:sz w:val="21"/>
        </w:rPr>
        <w:t> </w:t>
      </w:r>
      <w:r>
        <w:rPr>
          <w:sz w:val="21"/>
        </w:rPr>
        <w:t>and</w:t>
      </w:r>
      <w:r>
        <w:rPr>
          <w:spacing w:val="-3"/>
          <w:sz w:val="21"/>
        </w:rPr>
        <w:t> </w:t>
      </w:r>
      <w:r>
        <w:rPr>
          <w:sz w:val="21"/>
        </w:rPr>
        <w:t>gender</w:t>
      </w:r>
      <w:r>
        <w:rPr>
          <w:spacing w:val="-2"/>
          <w:sz w:val="21"/>
        </w:rPr>
        <w:t> expression.</w:t>
      </w:r>
    </w:p>
    <w:p>
      <w:pPr>
        <w:pStyle w:val="ListParagraph"/>
        <w:numPr>
          <w:ilvl w:val="0"/>
          <w:numId w:val="32"/>
        </w:numPr>
        <w:tabs>
          <w:tab w:pos="1559" w:val="left" w:leader="none"/>
        </w:tabs>
        <w:spacing w:line="240" w:lineRule="auto" w:before="38" w:after="0"/>
        <w:ind w:left="1559" w:right="0" w:hanging="360"/>
        <w:jc w:val="left"/>
        <w:rPr>
          <w:sz w:val="21"/>
        </w:rPr>
      </w:pPr>
      <w:r>
        <w:rPr>
          <w:sz w:val="21"/>
        </w:rPr>
        <w:t>Ensuring</w:t>
      </w:r>
      <w:r>
        <w:rPr>
          <w:spacing w:val="-6"/>
          <w:sz w:val="21"/>
        </w:rPr>
        <w:t> </w:t>
      </w:r>
      <w:r>
        <w:rPr>
          <w:sz w:val="21"/>
        </w:rPr>
        <w:t>LGBTQ</w:t>
      </w:r>
      <w:r>
        <w:rPr>
          <w:spacing w:val="-4"/>
          <w:sz w:val="21"/>
        </w:rPr>
        <w:t> </w:t>
      </w:r>
      <w:r>
        <w:rPr>
          <w:sz w:val="21"/>
        </w:rPr>
        <w:t>inclusivity</w:t>
      </w:r>
      <w:r>
        <w:rPr>
          <w:spacing w:val="-4"/>
          <w:sz w:val="21"/>
        </w:rPr>
        <w:t> </w:t>
      </w:r>
      <w:r>
        <w:rPr>
          <w:sz w:val="21"/>
        </w:rPr>
        <w:t>in</w:t>
      </w:r>
      <w:r>
        <w:rPr>
          <w:spacing w:val="-4"/>
          <w:sz w:val="21"/>
        </w:rPr>
        <w:t> </w:t>
      </w:r>
      <w:r>
        <w:rPr>
          <w:sz w:val="21"/>
        </w:rPr>
        <w:t>curriculum</w:t>
      </w:r>
      <w:r>
        <w:rPr>
          <w:spacing w:val="-4"/>
          <w:sz w:val="21"/>
        </w:rPr>
        <w:t> </w:t>
      </w:r>
      <w:r>
        <w:rPr>
          <w:spacing w:val="-2"/>
          <w:sz w:val="21"/>
        </w:rPr>
        <w:t>initiatives.</w:t>
      </w:r>
    </w:p>
    <w:p>
      <w:pPr>
        <w:pStyle w:val="ListParagraph"/>
        <w:numPr>
          <w:ilvl w:val="0"/>
          <w:numId w:val="32"/>
        </w:numPr>
        <w:tabs>
          <w:tab w:pos="1559" w:val="left" w:leader="none"/>
        </w:tabs>
        <w:spacing w:line="240" w:lineRule="auto" w:before="39" w:after="0"/>
        <w:ind w:left="1559" w:right="0" w:hanging="360"/>
        <w:jc w:val="left"/>
        <w:rPr>
          <w:sz w:val="21"/>
        </w:rPr>
      </w:pPr>
      <w:r>
        <w:rPr>
          <w:sz w:val="21"/>
        </w:rPr>
        <w:t>Develop</w:t>
      </w:r>
      <w:r>
        <w:rPr>
          <w:spacing w:val="-5"/>
          <w:sz w:val="21"/>
        </w:rPr>
        <w:t> </w:t>
      </w:r>
      <w:r>
        <w:rPr>
          <w:sz w:val="21"/>
        </w:rPr>
        <w:t>and</w:t>
      </w:r>
      <w:r>
        <w:rPr>
          <w:spacing w:val="-4"/>
          <w:sz w:val="21"/>
        </w:rPr>
        <w:t> </w:t>
      </w:r>
      <w:r>
        <w:rPr>
          <w:sz w:val="21"/>
        </w:rPr>
        <w:t>model</w:t>
      </w:r>
      <w:r>
        <w:rPr>
          <w:spacing w:val="-2"/>
          <w:sz w:val="21"/>
        </w:rPr>
        <w:t> </w:t>
      </w:r>
      <w:r>
        <w:rPr>
          <w:sz w:val="21"/>
        </w:rPr>
        <w:t>strategies</w:t>
      </w:r>
      <w:r>
        <w:rPr>
          <w:spacing w:val="-3"/>
          <w:sz w:val="21"/>
        </w:rPr>
        <w:t> </w:t>
      </w:r>
      <w:r>
        <w:rPr>
          <w:sz w:val="21"/>
        </w:rPr>
        <w:t>for</w:t>
      </w:r>
      <w:r>
        <w:rPr>
          <w:spacing w:val="-3"/>
          <w:sz w:val="21"/>
        </w:rPr>
        <w:t> </w:t>
      </w:r>
      <w:r>
        <w:rPr>
          <w:sz w:val="21"/>
        </w:rPr>
        <w:t>recruiting</w:t>
      </w:r>
      <w:r>
        <w:rPr>
          <w:spacing w:val="-2"/>
          <w:sz w:val="21"/>
        </w:rPr>
        <w:t> </w:t>
      </w:r>
      <w:r>
        <w:rPr>
          <w:sz w:val="21"/>
        </w:rPr>
        <w:t>and</w:t>
      </w:r>
      <w:r>
        <w:rPr>
          <w:spacing w:val="-3"/>
          <w:sz w:val="21"/>
        </w:rPr>
        <w:t> </w:t>
      </w:r>
      <w:r>
        <w:rPr>
          <w:sz w:val="21"/>
        </w:rPr>
        <w:t>retaining</w:t>
      </w:r>
      <w:r>
        <w:rPr>
          <w:spacing w:val="-3"/>
          <w:sz w:val="21"/>
        </w:rPr>
        <w:t> </w:t>
      </w:r>
      <w:r>
        <w:rPr>
          <w:sz w:val="21"/>
        </w:rPr>
        <w:t>a</w:t>
      </w:r>
      <w:r>
        <w:rPr>
          <w:spacing w:val="-2"/>
          <w:sz w:val="21"/>
        </w:rPr>
        <w:t> </w:t>
      </w:r>
      <w:r>
        <w:rPr>
          <w:sz w:val="21"/>
        </w:rPr>
        <w:t>diverse</w:t>
      </w:r>
      <w:r>
        <w:rPr>
          <w:spacing w:val="-3"/>
          <w:sz w:val="21"/>
        </w:rPr>
        <w:t> </w:t>
      </w:r>
      <w:r>
        <w:rPr>
          <w:sz w:val="21"/>
        </w:rPr>
        <w:t>workforce</w:t>
      </w:r>
      <w:r>
        <w:rPr>
          <w:spacing w:val="-3"/>
          <w:sz w:val="21"/>
        </w:rPr>
        <w:t> </w:t>
      </w:r>
      <w:r>
        <w:rPr>
          <w:sz w:val="21"/>
        </w:rPr>
        <w:t>in</w:t>
      </w:r>
      <w:r>
        <w:rPr>
          <w:spacing w:val="-2"/>
          <w:sz w:val="21"/>
        </w:rPr>
        <w:t> schools.</w:t>
      </w:r>
    </w:p>
    <w:p>
      <w:pPr>
        <w:pStyle w:val="ListParagraph"/>
        <w:numPr>
          <w:ilvl w:val="0"/>
          <w:numId w:val="32"/>
        </w:numPr>
        <w:tabs>
          <w:tab w:pos="1559" w:val="left" w:leader="none"/>
        </w:tabs>
        <w:spacing w:line="276" w:lineRule="auto" w:before="39" w:after="0"/>
        <w:ind w:left="1559" w:right="481" w:hanging="360"/>
        <w:jc w:val="left"/>
        <w:rPr>
          <w:sz w:val="21"/>
        </w:rPr>
      </w:pPr>
      <w:r>
        <w:rPr>
          <w:sz w:val="21"/>
        </w:rPr>
        <w:t>Partner</w:t>
      </w:r>
      <w:r>
        <w:rPr>
          <w:spacing w:val="40"/>
          <w:sz w:val="21"/>
        </w:rPr>
        <w:t> </w:t>
      </w:r>
      <w:r>
        <w:rPr>
          <w:sz w:val="21"/>
        </w:rPr>
        <w:t>with</w:t>
      </w:r>
      <w:r>
        <w:rPr>
          <w:spacing w:val="40"/>
          <w:sz w:val="21"/>
        </w:rPr>
        <w:t> </w:t>
      </w:r>
      <w:r>
        <w:rPr>
          <w:sz w:val="21"/>
        </w:rPr>
        <w:t>the</w:t>
      </w:r>
      <w:r>
        <w:rPr>
          <w:spacing w:val="40"/>
          <w:sz w:val="21"/>
        </w:rPr>
        <w:t> </w:t>
      </w:r>
      <w:r>
        <w:rPr>
          <w:sz w:val="21"/>
        </w:rPr>
        <w:t>Commission</w:t>
      </w:r>
      <w:r>
        <w:rPr>
          <w:spacing w:val="40"/>
          <w:sz w:val="21"/>
        </w:rPr>
        <w:t> </w:t>
      </w:r>
      <w:r>
        <w:rPr>
          <w:sz w:val="21"/>
        </w:rPr>
        <w:t>to</w:t>
      </w:r>
      <w:r>
        <w:rPr>
          <w:spacing w:val="40"/>
          <w:sz w:val="21"/>
        </w:rPr>
        <w:t> </w:t>
      </w:r>
      <w:r>
        <w:rPr>
          <w:sz w:val="21"/>
        </w:rPr>
        <w:t>better</w:t>
      </w:r>
      <w:r>
        <w:rPr>
          <w:spacing w:val="40"/>
          <w:sz w:val="21"/>
        </w:rPr>
        <w:t> </w:t>
      </w:r>
      <w:r>
        <w:rPr>
          <w:sz w:val="21"/>
        </w:rPr>
        <w:t>understand</w:t>
      </w:r>
      <w:r>
        <w:rPr>
          <w:spacing w:val="40"/>
          <w:sz w:val="21"/>
        </w:rPr>
        <w:t> </w:t>
      </w:r>
      <w:r>
        <w:rPr>
          <w:sz w:val="21"/>
        </w:rPr>
        <w:t>and</w:t>
      </w:r>
      <w:r>
        <w:rPr>
          <w:spacing w:val="40"/>
          <w:sz w:val="21"/>
        </w:rPr>
        <w:t> </w:t>
      </w:r>
      <w:r>
        <w:rPr>
          <w:sz w:val="21"/>
        </w:rPr>
        <w:t>meet</w:t>
      </w:r>
      <w:r>
        <w:rPr>
          <w:spacing w:val="40"/>
          <w:sz w:val="21"/>
        </w:rPr>
        <w:t> </w:t>
      </w:r>
      <w:r>
        <w:rPr>
          <w:sz w:val="21"/>
        </w:rPr>
        <w:t>the</w:t>
      </w:r>
      <w:r>
        <w:rPr>
          <w:spacing w:val="40"/>
          <w:sz w:val="21"/>
        </w:rPr>
        <w:t> </w:t>
      </w:r>
      <w:r>
        <w:rPr>
          <w:sz w:val="21"/>
        </w:rPr>
        <w:t>needs</w:t>
      </w:r>
      <w:r>
        <w:rPr>
          <w:spacing w:val="40"/>
          <w:sz w:val="21"/>
        </w:rPr>
        <w:t> </w:t>
      </w:r>
      <w:r>
        <w:rPr>
          <w:sz w:val="21"/>
        </w:rPr>
        <w:t>of</w:t>
      </w:r>
      <w:r>
        <w:rPr>
          <w:spacing w:val="40"/>
          <w:sz w:val="21"/>
        </w:rPr>
        <w:t> </w:t>
      </w:r>
      <w:r>
        <w:rPr>
          <w:sz w:val="21"/>
        </w:rPr>
        <w:t>BIPOC</w:t>
      </w:r>
      <w:r>
        <w:rPr>
          <w:spacing w:val="40"/>
          <w:sz w:val="21"/>
        </w:rPr>
        <w:t> </w:t>
      </w:r>
      <w:r>
        <w:rPr>
          <w:sz w:val="21"/>
        </w:rPr>
        <w:t>LGBTQ </w:t>
      </w:r>
      <w:r>
        <w:rPr>
          <w:spacing w:val="-2"/>
          <w:sz w:val="21"/>
        </w:rPr>
        <w:t>students.</w:t>
      </w:r>
    </w:p>
    <w:p>
      <w:pPr>
        <w:pStyle w:val="ListParagraph"/>
        <w:numPr>
          <w:ilvl w:val="0"/>
          <w:numId w:val="32"/>
        </w:numPr>
        <w:tabs>
          <w:tab w:pos="1559" w:val="left" w:leader="none"/>
        </w:tabs>
        <w:spacing w:line="276" w:lineRule="auto" w:before="0" w:after="0"/>
        <w:ind w:left="1559" w:right="482" w:hanging="361"/>
        <w:jc w:val="left"/>
        <w:rPr>
          <w:sz w:val="21"/>
        </w:rPr>
      </w:pPr>
      <w:r>
        <w:rPr>
          <w:sz w:val="21"/>
        </w:rPr>
        <w:t>Enhance</w:t>
      </w:r>
      <w:r>
        <w:rPr>
          <w:spacing w:val="40"/>
          <w:sz w:val="21"/>
        </w:rPr>
        <w:t> </w:t>
      </w:r>
      <w:r>
        <w:rPr>
          <w:sz w:val="21"/>
        </w:rPr>
        <w:t>internal</w:t>
      </w:r>
      <w:r>
        <w:rPr>
          <w:spacing w:val="40"/>
          <w:sz w:val="21"/>
        </w:rPr>
        <w:t> </w:t>
      </w:r>
      <w:r>
        <w:rPr>
          <w:sz w:val="21"/>
        </w:rPr>
        <w:t>and</w:t>
      </w:r>
      <w:r>
        <w:rPr>
          <w:spacing w:val="40"/>
          <w:sz w:val="21"/>
        </w:rPr>
        <w:t> </w:t>
      </w:r>
      <w:r>
        <w:rPr>
          <w:sz w:val="21"/>
        </w:rPr>
        <w:t>district-level</w:t>
      </w:r>
      <w:r>
        <w:rPr>
          <w:spacing w:val="40"/>
          <w:sz w:val="21"/>
        </w:rPr>
        <w:t> </w:t>
      </w:r>
      <w:r>
        <w:rPr>
          <w:sz w:val="21"/>
        </w:rPr>
        <w:t>capacity</w:t>
      </w:r>
      <w:r>
        <w:rPr>
          <w:spacing w:val="40"/>
          <w:sz w:val="21"/>
        </w:rPr>
        <w:t> </w:t>
      </w:r>
      <w:r>
        <w:rPr>
          <w:sz w:val="21"/>
        </w:rPr>
        <w:t>for</w:t>
      </w:r>
      <w:r>
        <w:rPr>
          <w:spacing w:val="40"/>
          <w:sz w:val="21"/>
        </w:rPr>
        <w:t> </w:t>
      </w:r>
      <w:r>
        <w:rPr>
          <w:sz w:val="21"/>
        </w:rPr>
        <w:t>LGBTQ</w:t>
      </w:r>
      <w:r>
        <w:rPr>
          <w:spacing w:val="40"/>
          <w:sz w:val="21"/>
        </w:rPr>
        <w:t> </w:t>
      </w:r>
      <w:r>
        <w:rPr>
          <w:sz w:val="21"/>
        </w:rPr>
        <w:t>inclusion</w:t>
      </w:r>
      <w:r>
        <w:rPr>
          <w:spacing w:val="40"/>
          <w:sz w:val="21"/>
        </w:rPr>
        <w:t> </w:t>
      </w:r>
      <w:r>
        <w:rPr>
          <w:sz w:val="21"/>
        </w:rPr>
        <w:t>trainings</w:t>
      </w:r>
      <w:r>
        <w:rPr>
          <w:spacing w:val="40"/>
          <w:sz w:val="21"/>
        </w:rPr>
        <w:t> </w:t>
      </w:r>
      <w:r>
        <w:rPr>
          <w:sz w:val="21"/>
        </w:rPr>
        <w:t>and</w:t>
      </w:r>
      <w:r>
        <w:rPr>
          <w:spacing w:val="40"/>
          <w:sz w:val="21"/>
        </w:rPr>
        <w:t> </w:t>
      </w:r>
      <w:r>
        <w:rPr>
          <w:sz w:val="21"/>
        </w:rPr>
        <w:t>professional </w:t>
      </w:r>
      <w:r>
        <w:rPr>
          <w:spacing w:val="-2"/>
          <w:sz w:val="21"/>
        </w:rPr>
        <w:t>development.</w:t>
      </w:r>
    </w:p>
    <w:p>
      <w:pPr>
        <w:pStyle w:val="ListParagraph"/>
        <w:numPr>
          <w:ilvl w:val="0"/>
          <w:numId w:val="32"/>
        </w:numPr>
        <w:tabs>
          <w:tab w:pos="1559" w:val="left" w:leader="none"/>
        </w:tabs>
        <w:spacing w:line="256" w:lineRule="exact" w:before="0" w:after="0"/>
        <w:ind w:left="1559" w:right="0" w:hanging="360"/>
        <w:jc w:val="left"/>
        <w:rPr>
          <w:sz w:val="21"/>
        </w:rPr>
      </w:pPr>
      <w:r>
        <w:rPr>
          <w:sz w:val="21"/>
        </w:rPr>
        <w:t>Continue</w:t>
      </w:r>
      <w:r>
        <w:rPr>
          <w:spacing w:val="-6"/>
          <w:sz w:val="21"/>
        </w:rPr>
        <w:t> </w:t>
      </w:r>
      <w:r>
        <w:rPr>
          <w:sz w:val="21"/>
        </w:rPr>
        <w:t>collaboration</w:t>
      </w:r>
      <w:r>
        <w:rPr>
          <w:spacing w:val="-3"/>
          <w:sz w:val="21"/>
        </w:rPr>
        <w:t> </w:t>
      </w:r>
      <w:r>
        <w:rPr>
          <w:sz w:val="21"/>
        </w:rPr>
        <w:t>to</w:t>
      </w:r>
      <w:r>
        <w:rPr>
          <w:spacing w:val="-3"/>
          <w:sz w:val="21"/>
        </w:rPr>
        <w:t> </w:t>
      </w:r>
      <w:r>
        <w:rPr>
          <w:sz w:val="21"/>
        </w:rPr>
        <w:t>support</w:t>
      </w:r>
      <w:r>
        <w:rPr>
          <w:spacing w:val="-4"/>
          <w:sz w:val="21"/>
        </w:rPr>
        <w:t> </w:t>
      </w:r>
      <w:r>
        <w:rPr>
          <w:sz w:val="21"/>
        </w:rPr>
        <w:t>nonbinary</w:t>
      </w:r>
      <w:r>
        <w:rPr>
          <w:spacing w:val="-3"/>
          <w:sz w:val="21"/>
        </w:rPr>
        <w:t> </w:t>
      </w:r>
      <w:r>
        <w:rPr>
          <w:sz w:val="21"/>
        </w:rPr>
        <w:t>students,</w:t>
      </w:r>
      <w:r>
        <w:rPr>
          <w:spacing w:val="-3"/>
          <w:sz w:val="21"/>
        </w:rPr>
        <w:t> </w:t>
      </w:r>
      <w:r>
        <w:rPr>
          <w:sz w:val="21"/>
        </w:rPr>
        <w:t>educators,</w:t>
      </w:r>
      <w:r>
        <w:rPr>
          <w:spacing w:val="-3"/>
          <w:sz w:val="21"/>
        </w:rPr>
        <w:t> </w:t>
      </w:r>
      <w:r>
        <w:rPr>
          <w:sz w:val="21"/>
        </w:rPr>
        <w:t>and</w:t>
      </w:r>
      <w:r>
        <w:rPr>
          <w:spacing w:val="-4"/>
          <w:sz w:val="21"/>
        </w:rPr>
        <w:t> </w:t>
      </w:r>
      <w:r>
        <w:rPr>
          <w:spacing w:val="-2"/>
          <w:sz w:val="21"/>
        </w:rPr>
        <w:t>staff.</w:t>
      </w:r>
    </w:p>
    <w:p>
      <w:pPr>
        <w:pStyle w:val="ListParagraph"/>
        <w:numPr>
          <w:ilvl w:val="0"/>
          <w:numId w:val="32"/>
        </w:numPr>
        <w:tabs>
          <w:tab w:pos="1559" w:val="left" w:leader="none"/>
        </w:tabs>
        <w:spacing w:line="276" w:lineRule="auto" w:before="38" w:after="0"/>
        <w:ind w:left="1559" w:right="482" w:hanging="360"/>
        <w:jc w:val="both"/>
        <w:rPr>
          <w:sz w:val="21"/>
        </w:rPr>
      </w:pPr>
      <w:r>
        <w:rPr>
          <w:sz w:val="21"/>
        </w:rPr>
        <w:t>Integrate LGBTQ+ identities into the District Standards and Indicators and the associated artifacts collected.</w:t>
      </w:r>
    </w:p>
    <w:p>
      <w:pPr>
        <w:pStyle w:val="ListParagraph"/>
        <w:numPr>
          <w:ilvl w:val="0"/>
          <w:numId w:val="32"/>
        </w:numPr>
        <w:tabs>
          <w:tab w:pos="1559" w:val="left" w:leader="none"/>
        </w:tabs>
        <w:spacing w:line="276" w:lineRule="auto" w:before="0" w:after="0"/>
        <w:ind w:left="1559" w:right="481" w:hanging="360"/>
        <w:jc w:val="both"/>
        <w:rPr>
          <w:sz w:val="21"/>
        </w:rPr>
      </w:pPr>
      <w:r>
        <w:rPr>
          <w:sz w:val="21"/>
        </w:rPr>
        <w:t>Collaborate with Massachusetts School Library Association, and the Massachusetts Board of Library Commissioners to address attacks on school-based content related to race and LGBTQ+ </w:t>
      </w:r>
      <w:r>
        <w:rPr>
          <w:spacing w:val="-2"/>
          <w:sz w:val="21"/>
        </w:rPr>
        <w:t>topics.</w:t>
      </w:r>
    </w:p>
    <w:p>
      <w:pPr>
        <w:pStyle w:val="ListParagraph"/>
        <w:numPr>
          <w:ilvl w:val="0"/>
          <w:numId w:val="32"/>
        </w:numPr>
        <w:tabs>
          <w:tab w:pos="1557" w:val="left" w:leader="none"/>
        </w:tabs>
        <w:spacing w:line="240" w:lineRule="auto" w:before="0" w:after="0"/>
        <w:ind w:left="1557" w:right="0" w:hanging="358"/>
        <w:jc w:val="both"/>
        <w:rPr>
          <w:sz w:val="21"/>
        </w:rPr>
      </w:pPr>
      <w:r>
        <w:rPr>
          <w:sz w:val="21"/>
        </w:rPr>
        <w:t>Invest</w:t>
      </w:r>
      <w:r>
        <w:rPr>
          <w:spacing w:val="-4"/>
          <w:sz w:val="21"/>
        </w:rPr>
        <w:t> </w:t>
      </w:r>
      <w:r>
        <w:rPr>
          <w:sz w:val="21"/>
        </w:rPr>
        <w:t>in</w:t>
      </w:r>
      <w:r>
        <w:rPr>
          <w:spacing w:val="-3"/>
          <w:sz w:val="21"/>
        </w:rPr>
        <w:t> </w:t>
      </w:r>
      <w:r>
        <w:rPr>
          <w:sz w:val="21"/>
        </w:rPr>
        <w:t>resources</w:t>
      </w:r>
      <w:r>
        <w:rPr>
          <w:spacing w:val="-2"/>
          <w:sz w:val="21"/>
        </w:rPr>
        <w:t> </w:t>
      </w:r>
      <w:r>
        <w:rPr>
          <w:sz w:val="21"/>
        </w:rPr>
        <w:t>and</w:t>
      </w:r>
      <w:r>
        <w:rPr>
          <w:spacing w:val="-3"/>
          <w:sz w:val="21"/>
        </w:rPr>
        <w:t> </w:t>
      </w:r>
      <w:r>
        <w:rPr>
          <w:sz w:val="21"/>
        </w:rPr>
        <w:t>support</w:t>
      </w:r>
      <w:r>
        <w:rPr>
          <w:spacing w:val="-3"/>
          <w:sz w:val="21"/>
        </w:rPr>
        <w:t> </w:t>
      </w:r>
      <w:r>
        <w:rPr>
          <w:sz w:val="21"/>
        </w:rPr>
        <w:t>for</w:t>
      </w:r>
      <w:r>
        <w:rPr>
          <w:spacing w:val="-2"/>
          <w:sz w:val="21"/>
        </w:rPr>
        <w:t> </w:t>
      </w:r>
      <w:r>
        <w:rPr>
          <w:sz w:val="21"/>
        </w:rPr>
        <w:t>family</w:t>
      </w:r>
      <w:r>
        <w:rPr>
          <w:spacing w:val="-3"/>
          <w:sz w:val="21"/>
        </w:rPr>
        <w:t> </w:t>
      </w:r>
      <w:r>
        <w:rPr>
          <w:sz w:val="21"/>
        </w:rPr>
        <w:t>liaisons</w:t>
      </w:r>
      <w:r>
        <w:rPr>
          <w:spacing w:val="-2"/>
          <w:sz w:val="21"/>
        </w:rPr>
        <w:t> </w:t>
      </w:r>
      <w:r>
        <w:rPr>
          <w:sz w:val="21"/>
        </w:rPr>
        <w:t>and</w:t>
      </w:r>
      <w:r>
        <w:rPr>
          <w:spacing w:val="-3"/>
          <w:sz w:val="21"/>
        </w:rPr>
        <w:t> </w:t>
      </w:r>
      <w:r>
        <w:rPr>
          <w:sz w:val="21"/>
        </w:rPr>
        <w:t>professional</w:t>
      </w:r>
      <w:r>
        <w:rPr>
          <w:spacing w:val="-2"/>
          <w:sz w:val="21"/>
        </w:rPr>
        <w:t> development.</w:t>
      </w:r>
    </w:p>
    <w:p>
      <w:pPr>
        <w:pStyle w:val="BodyText"/>
        <w:spacing w:before="21"/>
        <w:rPr>
          <w:sz w:val="21"/>
        </w:rPr>
      </w:pPr>
    </w:p>
    <w:p>
      <w:pPr>
        <w:spacing w:before="0"/>
        <w:ind w:left="624" w:right="0" w:firstLine="0"/>
        <w:jc w:val="left"/>
        <w:rPr>
          <w:sz w:val="28"/>
        </w:rPr>
      </w:pPr>
      <w:r>
        <w:rPr>
          <w:color w:val="365F91"/>
          <w:spacing w:val="-2"/>
          <w:sz w:val="28"/>
        </w:rPr>
        <w:t>Introduction</w:t>
      </w:r>
    </w:p>
    <w:p>
      <w:pPr>
        <w:pStyle w:val="BodyText"/>
        <w:spacing w:before="10"/>
        <w:rPr>
          <w:sz w:val="3"/>
        </w:rPr>
      </w:pPr>
      <w:r>
        <w:rPr/>
        <mc:AlternateContent>
          <mc:Choice Requires="wps">
            <w:drawing>
              <wp:anchor distT="0" distB="0" distL="0" distR="0" allowOverlap="1" layoutInCell="1" locked="0" behindDoc="1" simplePos="0" relativeHeight="487691264">
                <wp:simplePos x="0" y="0"/>
                <wp:positionH relativeFrom="page">
                  <wp:posOffset>986789</wp:posOffset>
                </wp:positionH>
                <wp:positionV relativeFrom="paragraph">
                  <wp:posOffset>44868</wp:posOffset>
                </wp:positionV>
                <wp:extent cx="5799455" cy="6350"/>
                <wp:effectExtent l="0" t="0" r="0" b="0"/>
                <wp:wrapTopAndBottom/>
                <wp:docPr id="541" name="Graphic 541"/>
                <wp:cNvGraphicFramePr>
                  <a:graphicFrameLocks/>
                </wp:cNvGraphicFramePr>
                <a:graphic>
                  <a:graphicData uri="http://schemas.microsoft.com/office/word/2010/wordprocessingShape">
                    <wps:wsp>
                      <wps:cNvPr id="541" name="Graphic 541"/>
                      <wps:cNvSpPr/>
                      <wps:spPr>
                        <a:xfrm>
                          <a:off x="0" y="0"/>
                          <a:ext cx="5799455" cy="6350"/>
                        </a:xfrm>
                        <a:custGeom>
                          <a:avLst/>
                          <a:gdLst/>
                          <a:ahLst/>
                          <a:cxnLst/>
                          <a:rect l="l" t="t" r="r" b="b"/>
                          <a:pathLst>
                            <a:path w="5799455" h="6350">
                              <a:moveTo>
                                <a:pt x="5798832" y="0"/>
                              </a:moveTo>
                              <a:lnTo>
                                <a:pt x="0" y="0"/>
                              </a:lnTo>
                              <a:lnTo>
                                <a:pt x="0" y="6096"/>
                              </a:lnTo>
                              <a:lnTo>
                                <a:pt x="5798832" y="6096"/>
                              </a:lnTo>
                              <a:lnTo>
                                <a:pt x="5798832" y="0"/>
                              </a:lnTo>
                              <a:close/>
                            </a:path>
                          </a:pathLst>
                        </a:custGeom>
                        <a:solidFill>
                          <a:srgbClr val="4F81BC"/>
                        </a:solidFill>
                      </wps:spPr>
                      <wps:bodyPr wrap="square" lIns="0" tIns="0" rIns="0" bIns="0" rtlCol="0">
                        <a:prstTxWarp prst="textNoShape">
                          <a:avLst/>
                        </a:prstTxWarp>
                        <a:noAutofit/>
                      </wps:bodyPr>
                    </wps:wsp>
                  </a:graphicData>
                </a:graphic>
              </wp:anchor>
            </w:drawing>
          </mc:Choice>
          <mc:Fallback>
            <w:pict>
              <v:rect style="position:absolute;margin-left:77.699997pt;margin-top:3.532965pt;width:456.601pt;height:.48pt;mso-position-horizontal-relative:page;mso-position-vertical-relative:paragraph;z-index:-15625216;mso-wrap-distance-left:0;mso-wrap-distance-right:0" id="docshape438" filled="true" fillcolor="#4f81bc" stroked="false">
                <v:fill type="solid"/>
                <w10:wrap type="topAndBottom"/>
              </v:rect>
            </w:pict>
          </mc:Fallback>
        </mc:AlternateContent>
      </w:r>
    </w:p>
    <w:p>
      <w:pPr>
        <w:spacing w:line="276" w:lineRule="auto" w:before="241"/>
        <w:ind w:left="623" w:right="481" w:firstLine="0"/>
        <w:jc w:val="both"/>
        <w:rPr>
          <w:sz w:val="21"/>
        </w:rPr>
      </w:pPr>
      <w:r>
        <w:rPr>
          <w:sz w:val="21"/>
        </w:rPr>
        <w:t>The Commission maintains a strong working relationship with the Massachusetts Department of Elementary and Secondary Education (DESE). Central to this partnership is the Safe Schools Program for LGBTQ Students, a collaborative initiative established in 1993 by the Commission and DESE. This program continues to lead the nation in developing policies and programs that create safe and supportive environments for LGBTQ students.</w:t>
      </w:r>
    </w:p>
    <w:p>
      <w:pPr>
        <w:spacing w:line="276" w:lineRule="auto" w:before="241"/>
        <w:ind w:left="624" w:right="478" w:hanging="1"/>
        <w:jc w:val="both"/>
        <w:rPr>
          <w:sz w:val="21"/>
        </w:rPr>
      </w:pPr>
      <w:r>
        <w:rPr>
          <w:sz w:val="21"/>
        </w:rPr>
        <w:t>The Commission administers the Safe Schools Program with financial and in-kind support, as well as invaluable input and mentorship from DESE staff in the Student and Family Support Unit. Through this program, approximately 150 professional development trainings and workshops are conducted annually, focusing on addressing anti-LGBTQ bullying and creating safer learning environments in public schools. Additionally, the program handles nearly 175 technical assistance requests each year, providing schools with</w:t>
      </w:r>
      <w:r>
        <w:rPr>
          <w:spacing w:val="-12"/>
          <w:sz w:val="21"/>
        </w:rPr>
        <w:t> </w:t>
      </w:r>
      <w:r>
        <w:rPr>
          <w:sz w:val="21"/>
        </w:rPr>
        <w:t>on-demand</w:t>
      </w:r>
      <w:r>
        <w:rPr>
          <w:spacing w:val="-12"/>
          <w:sz w:val="21"/>
        </w:rPr>
        <w:t> </w:t>
      </w:r>
      <w:r>
        <w:rPr>
          <w:sz w:val="21"/>
        </w:rPr>
        <w:t>information,</w:t>
      </w:r>
      <w:r>
        <w:rPr>
          <w:spacing w:val="-11"/>
          <w:sz w:val="21"/>
        </w:rPr>
        <w:t> </w:t>
      </w:r>
      <w:r>
        <w:rPr>
          <w:sz w:val="21"/>
        </w:rPr>
        <w:t>best</w:t>
      </w:r>
      <w:r>
        <w:rPr>
          <w:spacing w:val="-12"/>
          <w:sz w:val="21"/>
        </w:rPr>
        <w:t> </w:t>
      </w:r>
      <w:r>
        <w:rPr>
          <w:sz w:val="21"/>
        </w:rPr>
        <w:t>practices,</w:t>
      </w:r>
      <w:r>
        <w:rPr>
          <w:spacing w:val="-11"/>
          <w:sz w:val="21"/>
        </w:rPr>
        <w:t> </w:t>
      </w:r>
      <w:r>
        <w:rPr>
          <w:sz w:val="21"/>
        </w:rPr>
        <w:t>and</w:t>
      </w:r>
      <w:r>
        <w:rPr>
          <w:spacing w:val="-12"/>
          <w:sz w:val="21"/>
        </w:rPr>
        <w:t> </w:t>
      </w:r>
      <w:r>
        <w:rPr>
          <w:sz w:val="21"/>
        </w:rPr>
        <w:t>support</w:t>
      </w:r>
      <w:r>
        <w:rPr>
          <w:spacing w:val="-11"/>
          <w:sz w:val="21"/>
        </w:rPr>
        <w:t> </w:t>
      </w:r>
      <w:r>
        <w:rPr>
          <w:sz w:val="21"/>
        </w:rPr>
        <w:t>for</w:t>
      </w:r>
      <w:r>
        <w:rPr>
          <w:spacing w:val="-11"/>
          <w:sz w:val="21"/>
        </w:rPr>
        <w:t> </w:t>
      </w:r>
      <w:r>
        <w:rPr>
          <w:sz w:val="21"/>
        </w:rPr>
        <w:t>addressing</w:t>
      </w:r>
      <w:r>
        <w:rPr>
          <w:spacing w:val="-12"/>
          <w:sz w:val="21"/>
        </w:rPr>
        <w:t> </w:t>
      </w:r>
      <w:r>
        <w:rPr>
          <w:sz w:val="21"/>
        </w:rPr>
        <w:t>complex</w:t>
      </w:r>
      <w:r>
        <w:rPr>
          <w:spacing w:val="-11"/>
          <w:sz w:val="21"/>
        </w:rPr>
        <w:t> </w:t>
      </w:r>
      <w:r>
        <w:rPr>
          <w:sz w:val="21"/>
        </w:rPr>
        <w:t>student</w:t>
      </w:r>
      <w:r>
        <w:rPr>
          <w:spacing w:val="-11"/>
          <w:sz w:val="21"/>
        </w:rPr>
        <w:t> </w:t>
      </w:r>
      <w:r>
        <w:rPr>
          <w:sz w:val="21"/>
        </w:rPr>
        <w:t>and</w:t>
      </w:r>
      <w:r>
        <w:rPr>
          <w:spacing w:val="-11"/>
          <w:sz w:val="21"/>
        </w:rPr>
        <w:t> </w:t>
      </w:r>
      <w:r>
        <w:rPr>
          <w:sz w:val="21"/>
        </w:rPr>
        <w:t>family</w:t>
      </w:r>
      <w:r>
        <w:rPr>
          <w:spacing w:val="-12"/>
          <w:sz w:val="21"/>
        </w:rPr>
        <w:t> </w:t>
      </w:r>
      <w:r>
        <w:rPr>
          <w:sz w:val="21"/>
        </w:rPr>
        <w:t>needs.</w:t>
      </w:r>
    </w:p>
    <w:p>
      <w:pPr>
        <w:spacing w:line="276" w:lineRule="auto" w:before="241"/>
        <w:ind w:left="624" w:right="477" w:firstLine="0"/>
        <w:jc w:val="both"/>
        <w:rPr>
          <w:sz w:val="21"/>
        </w:rPr>
      </w:pPr>
      <w:r>
        <w:rPr>
          <w:sz w:val="21"/>
        </w:rPr>
        <w:t>The</w:t>
      </w:r>
      <w:r>
        <w:rPr>
          <w:spacing w:val="-12"/>
          <w:sz w:val="21"/>
        </w:rPr>
        <w:t> </w:t>
      </w:r>
      <w:r>
        <w:rPr>
          <w:sz w:val="21"/>
        </w:rPr>
        <w:t>Program</w:t>
      </w:r>
      <w:r>
        <w:rPr>
          <w:spacing w:val="-12"/>
          <w:sz w:val="21"/>
        </w:rPr>
        <w:t> </w:t>
      </w:r>
      <w:r>
        <w:rPr>
          <w:sz w:val="21"/>
        </w:rPr>
        <w:t>also</w:t>
      </w:r>
      <w:r>
        <w:rPr>
          <w:spacing w:val="-12"/>
          <w:sz w:val="21"/>
        </w:rPr>
        <w:t> </w:t>
      </w:r>
      <w:r>
        <w:rPr>
          <w:sz w:val="21"/>
        </w:rPr>
        <w:t>oversees</w:t>
      </w:r>
      <w:r>
        <w:rPr>
          <w:spacing w:val="-12"/>
          <w:sz w:val="21"/>
        </w:rPr>
        <w:t> </w:t>
      </w:r>
      <w:r>
        <w:rPr>
          <w:sz w:val="21"/>
        </w:rPr>
        <w:t>the</w:t>
      </w:r>
      <w:r>
        <w:rPr>
          <w:spacing w:val="-12"/>
          <w:sz w:val="21"/>
        </w:rPr>
        <w:t> </w:t>
      </w:r>
      <w:r>
        <w:rPr>
          <w:sz w:val="21"/>
        </w:rPr>
        <w:t>GSA</w:t>
      </w:r>
      <w:r>
        <w:rPr>
          <w:spacing w:val="-12"/>
          <w:sz w:val="21"/>
        </w:rPr>
        <w:t> </w:t>
      </w:r>
      <w:r>
        <w:rPr>
          <w:sz w:val="21"/>
        </w:rPr>
        <w:t>Student</w:t>
      </w:r>
      <w:r>
        <w:rPr>
          <w:spacing w:val="-12"/>
          <w:sz w:val="21"/>
        </w:rPr>
        <w:t> </w:t>
      </w:r>
      <w:r>
        <w:rPr>
          <w:sz w:val="21"/>
        </w:rPr>
        <w:t>Leadership</w:t>
      </w:r>
      <w:r>
        <w:rPr>
          <w:spacing w:val="-11"/>
          <w:sz w:val="21"/>
        </w:rPr>
        <w:t> </w:t>
      </w:r>
      <w:r>
        <w:rPr>
          <w:sz w:val="21"/>
        </w:rPr>
        <w:t>Council,</w:t>
      </w:r>
      <w:r>
        <w:rPr>
          <w:spacing w:val="-12"/>
          <w:sz w:val="21"/>
        </w:rPr>
        <w:t> </w:t>
      </w:r>
      <w:r>
        <w:rPr>
          <w:sz w:val="21"/>
        </w:rPr>
        <w:t>which</w:t>
      </w:r>
      <w:r>
        <w:rPr>
          <w:spacing w:val="-12"/>
          <w:sz w:val="21"/>
        </w:rPr>
        <w:t> </w:t>
      </w:r>
      <w:r>
        <w:rPr>
          <w:sz w:val="21"/>
        </w:rPr>
        <w:t>includes</w:t>
      </w:r>
      <w:r>
        <w:rPr>
          <w:spacing w:val="-12"/>
          <w:sz w:val="21"/>
        </w:rPr>
        <w:t> </w:t>
      </w:r>
      <w:r>
        <w:rPr>
          <w:sz w:val="21"/>
        </w:rPr>
        <w:t>both</w:t>
      </w:r>
      <w:r>
        <w:rPr>
          <w:spacing w:val="-11"/>
          <w:sz w:val="21"/>
        </w:rPr>
        <w:t> </w:t>
      </w:r>
      <w:r>
        <w:rPr>
          <w:sz w:val="21"/>
        </w:rPr>
        <w:t>statewide</w:t>
      </w:r>
      <w:r>
        <w:rPr>
          <w:spacing w:val="-12"/>
          <w:sz w:val="21"/>
        </w:rPr>
        <w:t> </w:t>
      </w:r>
      <w:r>
        <w:rPr>
          <w:sz w:val="21"/>
        </w:rPr>
        <w:t>and</w:t>
      </w:r>
      <w:r>
        <w:rPr>
          <w:spacing w:val="-11"/>
          <w:sz w:val="21"/>
        </w:rPr>
        <w:t> </w:t>
      </w:r>
      <w:r>
        <w:rPr>
          <w:sz w:val="21"/>
        </w:rPr>
        <w:t>regional components that meet monthly. This council integrates student leadership and teacher professional development, consisting of students from all regions of the Commonwealth who are dedicated to developing</w:t>
      </w:r>
      <w:r>
        <w:rPr>
          <w:spacing w:val="-5"/>
          <w:sz w:val="21"/>
        </w:rPr>
        <w:t> </w:t>
      </w:r>
      <w:r>
        <w:rPr>
          <w:sz w:val="21"/>
        </w:rPr>
        <w:t>their</w:t>
      </w:r>
      <w:r>
        <w:rPr>
          <w:spacing w:val="-4"/>
          <w:sz w:val="21"/>
        </w:rPr>
        <w:t> </w:t>
      </w:r>
      <w:r>
        <w:rPr>
          <w:sz w:val="21"/>
        </w:rPr>
        <w:t>skills</w:t>
      </w:r>
      <w:r>
        <w:rPr>
          <w:spacing w:val="-5"/>
          <w:sz w:val="21"/>
        </w:rPr>
        <w:t> </w:t>
      </w:r>
      <w:r>
        <w:rPr>
          <w:sz w:val="21"/>
        </w:rPr>
        <w:t>to</w:t>
      </w:r>
      <w:r>
        <w:rPr>
          <w:spacing w:val="-4"/>
          <w:sz w:val="21"/>
        </w:rPr>
        <w:t> </w:t>
      </w:r>
      <w:r>
        <w:rPr>
          <w:sz w:val="21"/>
        </w:rPr>
        <w:t>positively</w:t>
      </w:r>
      <w:r>
        <w:rPr>
          <w:spacing w:val="-4"/>
          <w:sz w:val="21"/>
        </w:rPr>
        <w:t> </w:t>
      </w:r>
      <w:r>
        <w:rPr>
          <w:sz w:val="21"/>
        </w:rPr>
        <w:t>impact</w:t>
      </w:r>
      <w:r>
        <w:rPr>
          <w:spacing w:val="-4"/>
          <w:sz w:val="21"/>
        </w:rPr>
        <w:t> </w:t>
      </w:r>
      <w:r>
        <w:rPr>
          <w:sz w:val="21"/>
        </w:rPr>
        <w:t>inclusive</w:t>
      </w:r>
      <w:r>
        <w:rPr>
          <w:spacing w:val="-4"/>
          <w:sz w:val="21"/>
        </w:rPr>
        <w:t> </w:t>
      </w:r>
      <w:r>
        <w:rPr>
          <w:sz w:val="21"/>
        </w:rPr>
        <w:t>school</w:t>
      </w:r>
      <w:r>
        <w:rPr>
          <w:spacing w:val="-4"/>
          <w:sz w:val="21"/>
        </w:rPr>
        <w:t> </w:t>
      </w:r>
      <w:r>
        <w:rPr>
          <w:sz w:val="21"/>
        </w:rPr>
        <w:t>environments.</w:t>
      </w:r>
      <w:r>
        <w:rPr>
          <w:spacing w:val="-4"/>
          <w:sz w:val="21"/>
        </w:rPr>
        <w:t> </w:t>
      </w:r>
      <w:r>
        <w:rPr>
          <w:sz w:val="21"/>
        </w:rPr>
        <w:t>By</w:t>
      </w:r>
      <w:r>
        <w:rPr>
          <w:spacing w:val="-4"/>
          <w:sz w:val="21"/>
        </w:rPr>
        <w:t> </w:t>
      </w:r>
      <w:r>
        <w:rPr>
          <w:sz w:val="21"/>
        </w:rPr>
        <w:t>exchanging</w:t>
      </w:r>
      <w:r>
        <w:rPr>
          <w:spacing w:val="-5"/>
          <w:sz w:val="21"/>
        </w:rPr>
        <w:t> </w:t>
      </w:r>
      <w:r>
        <w:rPr>
          <w:sz w:val="21"/>
        </w:rPr>
        <w:t>insights</w:t>
      </w:r>
      <w:r>
        <w:rPr>
          <w:spacing w:val="-5"/>
          <w:sz w:val="21"/>
        </w:rPr>
        <w:t> </w:t>
      </w:r>
      <w:r>
        <w:rPr>
          <w:sz w:val="21"/>
        </w:rPr>
        <w:t>related</w:t>
      </w:r>
      <w:r>
        <w:rPr>
          <w:spacing w:val="-4"/>
          <w:sz w:val="21"/>
        </w:rPr>
        <w:t> </w:t>
      </w:r>
      <w:r>
        <w:rPr>
          <w:sz w:val="21"/>
        </w:rPr>
        <w:t>to LGBTQ+ and social equity issues, engaging in policy-related discussions, and collaborating with state and local</w:t>
      </w:r>
      <w:r>
        <w:rPr>
          <w:spacing w:val="-8"/>
          <w:sz w:val="21"/>
        </w:rPr>
        <w:t> </w:t>
      </w:r>
      <w:r>
        <w:rPr>
          <w:sz w:val="21"/>
        </w:rPr>
        <w:t>stakeholders,</w:t>
      </w:r>
      <w:r>
        <w:rPr>
          <w:spacing w:val="-8"/>
          <w:sz w:val="21"/>
        </w:rPr>
        <w:t> </w:t>
      </w:r>
      <w:r>
        <w:rPr>
          <w:sz w:val="21"/>
        </w:rPr>
        <w:t>the</w:t>
      </w:r>
      <w:r>
        <w:rPr>
          <w:spacing w:val="-8"/>
          <w:sz w:val="21"/>
        </w:rPr>
        <w:t> </w:t>
      </w:r>
      <w:r>
        <w:rPr>
          <w:sz w:val="21"/>
        </w:rPr>
        <w:t>council</w:t>
      </w:r>
      <w:r>
        <w:rPr>
          <w:spacing w:val="-8"/>
          <w:sz w:val="21"/>
        </w:rPr>
        <w:t> </w:t>
      </w:r>
      <w:r>
        <w:rPr>
          <w:sz w:val="21"/>
        </w:rPr>
        <w:t>aims</w:t>
      </w:r>
      <w:r>
        <w:rPr>
          <w:spacing w:val="-9"/>
          <w:sz w:val="21"/>
        </w:rPr>
        <w:t> </w:t>
      </w:r>
      <w:r>
        <w:rPr>
          <w:sz w:val="21"/>
        </w:rPr>
        <w:t>to</w:t>
      </w:r>
      <w:r>
        <w:rPr>
          <w:spacing w:val="-8"/>
          <w:sz w:val="21"/>
        </w:rPr>
        <w:t> </w:t>
      </w:r>
      <w:r>
        <w:rPr>
          <w:sz w:val="21"/>
        </w:rPr>
        <w:t>empower</w:t>
      </w:r>
      <w:r>
        <w:rPr>
          <w:spacing w:val="-8"/>
          <w:sz w:val="21"/>
        </w:rPr>
        <w:t> </w:t>
      </w:r>
      <w:r>
        <w:rPr>
          <w:sz w:val="21"/>
        </w:rPr>
        <w:t>and</w:t>
      </w:r>
      <w:r>
        <w:rPr>
          <w:spacing w:val="-8"/>
          <w:sz w:val="21"/>
        </w:rPr>
        <w:t> </w:t>
      </w:r>
      <w:r>
        <w:rPr>
          <w:sz w:val="21"/>
        </w:rPr>
        <w:t>amplify</w:t>
      </w:r>
      <w:r>
        <w:rPr>
          <w:spacing w:val="-8"/>
          <w:sz w:val="21"/>
        </w:rPr>
        <w:t> </w:t>
      </w:r>
      <w:r>
        <w:rPr>
          <w:sz w:val="21"/>
        </w:rPr>
        <w:t>student</w:t>
      </w:r>
      <w:r>
        <w:rPr>
          <w:spacing w:val="-8"/>
          <w:sz w:val="21"/>
        </w:rPr>
        <w:t> </w:t>
      </w:r>
      <w:r>
        <w:rPr>
          <w:sz w:val="21"/>
        </w:rPr>
        <w:t>voices</w:t>
      </w:r>
      <w:r>
        <w:rPr>
          <w:spacing w:val="-8"/>
          <w:sz w:val="21"/>
        </w:rPr>
        <w:t> </w:t>
      </w:r>
      <w:r>
        <w:rPr>
          <w:sz w:val="21"/>
        </w:rPr>
        <w:t>to</w:t>
      </w:r>
      <w:r>
        <w:rPr>
          <w:spacing w:val="-8"/>
          <w:sz w:val="21"/>
        </w:rPr>
        <w:t> </w:t>
      </w:r>
      <w:r>
        <w:rPr>
          <w:sz w:val="21"/>
        </w:rPr>
        <w:t>influence</w:t>
      </w:r>
      <w:r>
        <w:rPr>
          <w:spacing w:val="-8"/>
          <w:sz w:val="21"/>
        </w:rPr>
        <w:t> </w:t>
      </w:r>
      <w:r>
        <w:rPr>
          <w:sz w:val="21"/>
        </w:rPr>
        <w:t>school</w:t>
      </w:r>
      <w:r>
        <w:rPr>
          <w:spacing w:val="-8"/>
          <w:sz w:val="21"/>
        </w:rPr>
        <w:t> </w:t>
      </w:r>
      <w:r>
        <w:rPr>
          <w:sz w:val="21"/>
        </w:rPr>
        <w:t>climate</w:t>
      </w:r>
      <w:r>
        <w:rPr>
          <w:spacing w:val="-8"/>
          <w:sz w:val="21"/>
        </w:rPr>
        <w:t> </w:t>
      </w:r>
      <w:r>
        <w:rPr>
          <w:sz w:val="21"/>
        </w:rPr>
        <w:t>and foster a brighter educational future for all.</w:t>
      </w:r>
    </w:p>
    <w:p>
      <w:pPr>
        <w:spacing w:after="0" w:line="276" w:lineRule="auto"/>
        <w:jc w:val="both"/>
        <w:rPr>
          <w:sz w:val="21"/>
        </w:rPr>
        <w:sectPr>
          <w:headerReference w:type="default" r:id="rId710"/>
          <w:footerReference w:type="default" r:id="rId711"/>
          <w:pgSz w:w="12240" w:h="15840"/>
          <w:pgMar w:header="763" w:footer="1041" w:top="960" w:bottom="1240" w:left="960" w:right="1100"/>
        </w:sectPr>
      </w:pPr>
    </w:p>
    <w:p>
      <w:pPr>
        <w:spacing w:line="276" w:lineRule="auto" w:before="250"/>
        <w:ind w:left="624" w:right="479" w:firstLine="0"/>
        <w:jc w:val="both"/>
        <w:rPr>
          <w:sz w:val="21"/>
        </w:rPr>
      </w:pPr>
      <w:r>
        <w:rPr>
          <w:sz w:val="21"/>
        </w:rPr>
        <w:t>The</w:t>
      </w:r>
      <w:r>
        <w:rPr>
          <w:spacing w:val="-2"/>
          <w:sz w:val="21"/>
        </w:rPr>
        <w:t> </w:t>
      </w:r>
      <w:r>
        <w:rPr>
          <w:sz w:val="21"/>
        </w:rPr>
        <w:t>Commission</w:t>
      </w:r>
      <w:r>
        <w:rPr>
          <w:spacing w:val="-2"/>
          <w:sz w:val="21"/>
        </w:rPr>
        <w:t> </w:t>
      </w:r>
      <w:r>
        <w:rPr>
          <w:sz w:val="21"/>
        </w:rPr>
        <w:t>commends</w:t>
      </w:r>
      <w:r>
        <w:rPr>
          <w:spacing w:val="-2"/>
          <w:sz w:val="21"/>
        </w:rPr>
        <w:t> </w:t>
      </w:r>
      <w:r>
        <w:rPr>
          <w:sz w:val="21"/>
        </w:rPr>
        <w:t>DESE</w:t>
      </w:r>
      <w:r>
        <w:rPr>
          <w:spacing w:val="-2"/>
          <w:sz w:val="21"/>
        </w:rPr>
        <w:t> </w:t>
      </w:r>
      <w:r>
        <w:rPr>
          <w:sz w:val="21"/>
        </w:rPr>
        <w:t>and</w:t>
      </w:r>
      <w:r>
        <w:rPr>
          <w:spacing w:val="-2"/>
          <w:sz w:val="21"/>
        </w:rPr>
        <w:t> </w:t>
      </w:r>
      <w:r>
        <w:rPr>
          <w:sz w:val="21"/>
        </w:rPr>
        <w:t>the</w:t>
      </w:r>
      <w:r>
        <w:rPr>
          <w:spacing w:val="-2"/>
          <w:sz w:val="21"/>
        </w:rPr>
        <w:t> </w:t>
      </w:r>
      <w:r>
        <w:rPr>
          <w:sz w:val="21"/>
        </w:rPr>
        <w:t>Board</w:t>
      </w:r>
      <w:r>
        <w:rPr>
          <w:spacing w:val="-2"/>
          <w:sz w:val="21"/>
        </w:rPr>
        <w:t> </w:t>
      </w:r>
      <w:r>
        <w:rPr>
          <w:sz w:val="21"/>
        </w:rPr>
        <w:t>of</w:t>
      </w:r>
      <w:r>
        <w:rPr>
          <w:spacing w:val="-2"/>
          <w:sz w:val="21"/>
        </w:rPr>
        <w:t> </w:t>
      </w:r>
      <w:r>
        <w:rPr>
          <w:sz w:val="21"/>
        </w:rPr>
        <w:t>Elementary</w:t>
      </w:r>
      <w:r>
        <w:rPr>
          <w:spacing w:val="-2"/>
          <w:sz w:val="21"/>
        </w:rPr>
        <w:t> </w:t>
      </w:r>
      <w:r>
        <w:rPr>
          <w:sz w:val="21"/>
        </w:rPr>
        <w:t>and</w:t>
      </w:r>
      <w:r>
        <w:rPr>
          <w:spacing w:val="-3"/>
          <w:sz w:val="21"/>
        </w:rPr>
        <w:t> </w:t>
      </w:r>
      <w:r>
        <w:rPr>
          <w:sz w:val="21"/>
        </w:rPr>
        <w:t>Secondary</w:t>
      </w:r>
      <w:r>
        <w:rPr>
          <w:spacing w:val="-2"/>
          <w:sz w:val="21"/>
        </w:rPr>
        <w:t> </w:t>
      </w:r>
      <w:r>
        <w:rPr>
          <w:sz w:val="21"/>
        </w:rPr>
        <w:t>Education</w:t>
      </w:r>
      <w:r>
        <w:rPr>
          <w:spacing w:val="-2"/>
          <w:sz w:val="21"/>
        </w:rPr>
        <w:t> </w:t>
      </w:r>
      <w:r>
        <w:rPr>
          <w:sz w:val="21"/>
        </w:rPr>
        <w:t>for</w:t>
      </w:r>
      <w:r>
        <w:rPr>
          <w:spacing w:val="-2"/>
          <w:sz w:val="21"/>
        </w:rPr>
        <w:t> </w:t>
      </w:r>
      <w:r>
        <w:rPr>
          <w:sz w:val="21"/>
        </w:rPr>
        <w:t>updating</w:t>
      </w:r>
      <w:r>
        <w:rPr>
          <w:spacing w:val="-2"/>
          <w:sz w:val="21"/>
        </w:rPr>
        <w:t> </w:t>
      </w:r>
      <w:r>
        <w:rPr>
          <w:sz w:val="21"/>
        </w:rPr>
        <w:t>and approving the comprehensive health and physical education framework for the first time since 1999. The updated framework is inclusive, medically accurate, and developmentally and age-appropriate. It outlines standards for a comprehensive and LGBTQ+-inclusive health and physical education program, covering topics such as mental and emotional health; personal safety; physical health and hygiene; healthy relationships;</w:t>
      </w:r>
      <w:r>
        <w:rPr>
          <w:spacing w:val="-5"/>
          <w:sz w:val="21"/>
        </w:rPr>
        <w:t> </w:t>
      </w:r>
      <w:r>
        <w:rPr>
          <w:sz w:val="21"/>
        </w:rPr>
        <w:t>nutrition</w:t>
      </w:r>
      <w:r>
        <w:rPr>
          <w:spacing w:val="-7"/>
          <w:sz w:val="21"/>
        </w:rPr>
        <w:t> </w:t>
      </w:r>
      <w:r>
        <w:rPr>
          <w:sz w:val="21"/>
        </w:rPr>
        <w:t>and</w:t>
      </w:r>
      <w:r>
        <w:rPr>
          <w:spacing w:val="-8"/>
          <w:sz w:val="21"/>
        </w:rPr>
        <w:t> </w:t>
      </w:r>
      <w:r>
        <w:rPr>
          <w:sz w:val="21"/>
        </w:rPr>
        <w:t>balanced</w:t>
      </w:r>
      <w:r>
        <w:rPr>
          <w:spacing w:val="-7"/>
          <w:sz w:val="21"/>
        </w:rPr>
        <w:t> </w:t>
      </w:r>
      <w:r>
        <w:rPr>
          <w:sz w:val="21"/>
        </w:rPr>
        <w:t>eating;</w:t>
      </w:r>
      <w:r>
        <w:rPr>
          <w:spacing w:val="-6"/>
          <w:sz w:val="21"/>
        </w:rPr>
        <w:t> </w:t>
      </w:r>
      <w:r>
        <w:rPr>
          <w:sz w:val="21"/>
        </w:rPr>
        <w:t>physical</w:t>
      </w:r>
      <w:r>
        <w:rPr>
          <w:spacing w:val="-7"/>
          <w:sz w:val="21"/>
        </w:rPr>
        <w:t> </w:t>
      </w:r>
      <w:r>
        <w:rPr>
          <w:sz w:val="21"/>
        </w:rPr>
        <w:t>activity</w:t>
      </w:r>
      <w:r>
        <w:rPr>
          <w:spacing w:val="-7"/>
          <w:sz w:val="21"/>
        </w:rPr>
        <w:t> </w:t>
      </w:r>
      <w:r>
        <w:rPr>
          <w:sz w:val="21"/>
        </w:rPr>
        <w:t>and</w:t>
      </w:r>
      <w:r>
        <w:rPr>
          <w:spacing w:val="-7"/>
          <w:sz w:val="21"/>
        </w:rPr>
        <w:t> </w:t>
      </w:r>
      <w:r>
        <w:rPr>
          <w:sz w:val="21"/>
        </w:rPr>
        <w:t>fitness;</w:t>
      </w:r>
      <w:r>
        <w:rPr>
          <w:spacing w:val="-6"/>
          <w:sz w:val="21"/>
        </w:rPr>
        <w:t> </w:t>
      </w:r>
      <w:r>
        <w:rPr>
          <w:sz w:val="21"/>
        </w:rPr>
        <w:t>substance</w:t>
      </w:r>
      <w:r>
        <w:rPr>
          <w:spacing w:val="-7"/>
          <w:sz w:val="21"/>
        </w:rPr>
        <w:t> </w:t>
      </w:r>
      <w:r>
        <w:rPr>
          <w:sz w:val="21"/>
        </w:rPr>
        <w:t>use</w:t>
      </w:r>
      <w:r>
        <w:rPr>
          <w:spacing w:val="-7"/>
          <w:sz w:val="21"/>
        </w:rPr>
        <w:t> </w:t>
      </w:r>
      <w:r>
        <w:rPr>
          <w:sz w:val="21"/>
        </w:rPr>
        <w:t>and</w:t>
      </w:r>
      <w:r>
        <w:rPr>
          <w:spacing w:val="-7"/>
          <w:sz w:val="21"/>
        </w:rPr>
        <w:t> </w:t>
      </w:r>
      <w:r>
        <w:rPr>
          <w:sz w:val="21"/>
        </w:rPr>
        <w:t>misuse;</w:t>
      </w:r>
      <w:r>
        <w:rPr>
          <w:spacing w:val="-7"/>
          <w:sz w:val="21"/>
        </w:rPr>
        <w:t> </w:t>
      </w:r>
      <w:r>
        <w:rPr>
          <w:sz w:val="21"/>
        </w:rPr>
        <w:t>sexual health; and public, community, and environmental health.</w:t>
      </w:r>
    </w:p>
    <w:p>
      <w:pPr>
        <w:spacing w:line="276" w:lineRule="auto" w:before="240"/>
        <w:ind w:left="624" w:right="478" w:firstLine="0"/>
        <w:jc w:val="both"/>
        <w:rPr>
          <w:sz w:val="21"/>
        </w:rPr>
      </w:pPr>
      <w:r>
        <w:rPr>
          <w:sz w:val="21"/>
        </w:rPr>
        <w:t>Since establishing a Memorandum of Understanding (MOU) with DESE in 2013, the Safe Schools Program for LGBTQ Students has undertaken multiple initiatives, including training school personnel on bias-based bullying</w:t>
      </w:r>
      <w:r>
        <w:rPr>
          <w:spacing w:val="-6"/>
          <w:sz w:val="21"/>
        </w:rPr>
        <w:t> </w:t>
      </w:r>
      <w:r>
        <w:rPr>
          <w:sz w:val="21"/>
        </w:rPr>
        <w:t>and</w:t>
      </w:r>
      <w:r>
        <w:rPr>
          <w:spacing w:val="-6"/>
          <w:sz w:val="21"/>
        </w:rPr>
        <w:t> </w:t>
      </w:r>
      <w:r>
        <w:rPr>
          <w:sz w:val="21"/>
        </w:rPr>
        <w:t>providing</w:t>
      </w:r>
      <w:r>
        <w:rPr>
          <w:spacing w:val="-6"/>
          <w:sz w:val="21"/>
        </w:rPr>
        <w:t> </w:t>
      </w:r>
      <w:r>
        <w:rPr>
          <w:sz w:val="21"/>
        </w:rPr>
        <w:t>policy</w:t>
      </w:r>
      <w:r>
        <w:rPr>
          <w:spacing w:val="-6"/>
          <w:sz w:val="21"/>
        </w:rPr>
        <w:t> </w:t>
      </w:r>
      <w:r>
        <w:rPr>
          <w:sz w:val="21"/>
        </w:rPr>
        <w:t>guidance</w:t>
      </w:r>
      <w:r>
        <w:rPr>
          <w:spacing w:val="-6"/>
          <w:sz w:val="21"/>
        </w:rPr>
        <w:t> </w:t>
      </w:r>
      <w:r>
        <w:rPr>
          <w:sz w:val="21"/>
        </w:rPr>
        <w:t>to</w:t>
      </w:r>
      <w:r>
        <w:rPr>
          <w:spacing w:val="-6"/>
          <w:sz w:val="21"/>
        </w:rPr>
        <w:t> </w:t>
      </w:r>
      <w:r>
        <w:rPr>
          <w:sz w:val="21"/>
        </w:rPr>
        <w:t>implement</w:t>
      </w:r>
      <w:r>
        <w:rPr>
          <w:spacing w:val="-6"/>
          <w:sz w:val="21"/>
        </w:rPr>
        <w:t> </w:t>
      </w:r>
      <w:r>
        <w:rPr>
          <w:sz w:val="21"/>
        </w:rPr>
        <w:t>landmark</w:t>
      </w:r>
      <w:r>
        <w:rPr>
          <w:spacing w:val="-5"/>
          <w:sz w:val="21"/>
        </w:rPr>
        <w:t> </w:t>
      </w:r>
      <w:r>
        <w:rPr>
          <w:sz w:val="21"/>
        </w:rPr>
        <w:t>policies.</w:t>
      </w:r>
      <w:r>
        <w:rPr>
          <w:spacing w:val="-6"/>
          <w:sz w:val="21"/>
        </w:rPr>
        <w:t> </w:t>
      </w:r>
      <w:r>
        <w:rPr>
          <w:sz w:val="21"/>
        </w:rPr>
        <w:t>The</w:t>
      </w:r>
      <w:r>
        <w:rPr>
          <w:spacing w:val="-6"/>
          <w:sz w:val="21"/>
        </w:rPr>
        <w:t> </w:t>
      </w:r>
      <w:r>
        <w:rPr>
          <w:sz w:val="21"/>
        </w:rPr>
        <w:t>Commission</w:t>
      </w:r>
      <w:r>
        <w:rPr>
          <w:spacing w:val="-6"/>
          <w:sz w:val="21"/>
        </w:rPr>
        <w:t> </w:t>
      </w:r>
      <w:r>
        <w:rPr>
          <w:sz w:val="21"/>
        </w:rPr>
        <w:t>is</w:t>
      </w:r>
      <w:r>
        <w:rPr>
          <w:spacing w:val="-6"/>
          <w:sz w:val="21"/>
        </w:rPr>
        <w:t> </w:t>
      </w:r>
      <w:r>
        <w:rPr>
          <w:sz w:val="21"/>
        </w:rPr>
        <w:t>grateful</w:t>
      </w:r>
      <w:r>
        <w:rPr>
          <w:spacing w:val="-6"/>
          <w:sz w:val="21"/>
        </w:rPr>
        <w:t> </w:t>
      </w:r>
      <w:r>
        <w:rPr>
          <w:sz w:val="21"/>
        </w:rPr>
        <w:t>to</w:t>
      </w:r>
      <w:r>
        <w:rPr>
          <w:spacing w:val="-6"/>
          <w:sz w:val="21"/>
        </w:rPr>
        <w:t> </w:t>
      </w:r>
      <w:r>
        <w:rPr>
          <w:sz w:val="21"/>
        </w:rPr>
        <w:t>DESE for its leadership on these issues, the support of key staff, and the annual Commissioner’s letter to school administrators. Additionally, the Commission thanks DESE for providing space and support for the Safe Schools Program for LGBTQ Students.</w:t>
      </w:r>
    </w:p>
    <w:p>
      <w:pPr>
        <w:spacing w:line="276" w:lineRule="auto" w:before="240"/>
        <w:ind w:left="624" w:right="480" w:firstLine="0"/>
        <w:jc w:val="both"/>
        <w:rPr>
          <w:sz w:val="21"/>
        </w:rPr>
      </w:pPr>
      <w:r>
        <w:rPr>
          <w:sz w:val="21"/>
        </w:rPr>
        <w:t>Part of the MOU with DESE includes annual meetings with the DESE Commissioner and biennial presentations</w:t>
      </w:r>
      <w:r>
        <w:rPr>
          <w:spacing w:val="-7"/>
          <w:sz w:val="21"/>
        </w:rPr>
        <w:t> </w:t>
      </w:r>
      <w:r>
        <w:rPr>
          <w:sz w:val="21"/>
        </w:rPr>
        <w:t>to</w:t>
      </w:r>
      <w:r>
        <w:rPr>
          <w:spacing w:val="-7"/>
          <w:sz w:val="21"/>
        </w:rPr>
        <w:t> </w:t>
      </w:r>
      <w:r>
        <w:rPr>
          <w:sz w:val="21"/>
        </w:rPr>
        <w:t>the</w:t>
      </w:r>
      <w:r>
        <w:rPr>
          <w:spacing w:val="-7"/>
          <w:sz w:val="21"/>
        </w:rPr>
        <w:t> </w:t>
      </w:r>
      <w:r>
        <w:rPr>
          <w:sz w:val="21"/>
        </w:rPr>
        <w:t>Board</w:t>
      </w:r>
      <w:r>
        <w:rPr>
          <w:spacing w:val="-7"/>
          <w:sz w:val="21"/>
        </w:rPr>
        <w:t> </w:t>
      </w:r>
      <w:r>
        <w:rPr>
          <w:sz w:val="21"/>
        </w:rPr>
        <w:t>of</w:t>
      </w:r>
      <w:r>
        <w:rPr>
          <w:spacing w:val="-7"/>
          <w:sz w:val="21"/>
        </w:rPr>
        <w:t> </w:t>
      </w:r>
      <w:r>
        <w:rPr>
          <w:sz w:val="21"/>
        </w:rPr>
        <w:t>Elementary</w:t>
      </w:r>
      <w:r>
        <w:rPr>
          <w:spacing w:val="-6"/>
          <w:sz w:val="21"/>
        </w:rPr>
        <w:t> </w:t>
      </w:r>
      <w:r>
        <w:rPr>
          <w:sz w:val="21"/>
        </w:rPr>
        <w:t>and</w:t>
      </w:r>
      <w:r>
        <w:rPr>
          <w:spacing w:val="-7"/>
          <w:sz w:val="21"/>
        </w:rPr>
        <w:t> </w:t>
      </w:r>
      <w:r>
        <w:rPr>
          <w:sz w:val="21"/>
        </w:rPr>
        <w:t>Secondary</w:t>
      </w:r>
      <w:r>
        <w:rPr>
          <w:spacing w:val="-7"/>
          <w:sz w:val="21"/>
        </w:rPr>
        <w:t> </w:t>
      </w:r>
      <w:r>
        <w:rPr>
          <w:sz w:val="21"/>
        </w:rPr>
        <w:t>Education.</w:t>
      </w:r>
      <w:r>
        <w:rPr>
          <w:spacing w:val="-7"/>
          <w:sz w:val="21"/>
        </w:rPr>
        <w:t> </w:t>
      </w:r>
      <w:r>
        <w:rPr>
          <w:sz w:val="21"/>
        </w:rPr>
        <w:t>Acting</w:t>
      </w:r>
      <w:r>
        <w:rPr>
          <w:spacing w:val="-7"/>
          <w:sz w:val="21"/>
        </w:rPr>
        <w:t> </w:t>
      </w:r>
      <w:r>
        <w:rPr>
          <w:sz w:val="21"/>
        </w:rPr>
        <w:t>Commissioner</w:t>
      </w:r>
      <w:r>
        <w:rPr>
          <w:spacing w:val="-7"/>
          <w:sz w:val="21"/>
        </w:rPr>
        <w:t> </w:t>
      </w:r>
      <w:r>
        <w:rPr>
          <w:sz w:val="21"/>
        </w:rPr>
        <w:t>Russell</w:t>
      </w:r>
      <w:r>
        <w:rPr>
          <w:spacing w:val="-6"/>
          <w:sz w:val="21"/>
        </w:rPr>
        <w:t> </w:t>
      </w:r>
      <w:r>
        <w:rPr>
          <w:sz w:val="21"/>
        </w:rPr>
        <w:t>Johnston has</w:t>
      </w:r>
      <w:r>
        <w:rPr>
          <w:spacing w:val="-6"/>
          <w:sz w:val="21"/>
        </w:rPr>
        <w:t> </w:t>
      </w:r>
      <w:r>
        <w:rPr>
          <w:sz w:val="21"/>
        </w:rPr>
        <w:t>continued</w:t>
      </w:r>
      <w:r>
        <w:rPr>
          <w:spacing w:val="-5"/>
          <w:sz w:val="21"/>
        </w:rPr>
        <w:t> </w:t>
      </w:r>
      <w:r>
        <w:rPr>
          <w:sz w:val="21"/>
        </w:rPr>
        <w:t>to</w:t>
      </w:r>
      <w:r>
        <w:rPr>
          <w:spacing w:val="-6"/>
          <w:sz w:val="21"/>
        </w:rPr>
        <w:t> </w:t>
      </w:r>
      <w:r>
        <w:rPr>
          <w:sz w:val="21"/>
        </w:rPr>
        <w:t>support</w:t>
      </w:r>
      <w:r>
        <w:rPr>
          <w:spacing w:val="-6"/>
          <w:sz w:val="21"/>
        </w:rPr>
        <w:t> </w:t>
      </w:r>
      <w:r>
        <w:rPr>
          <w:sz w:val="21"/>
        </w:rPr>
        <w:t>the</w:t>
      </w:r>
      <w:r>
        <w:rPr>
          <w:spacing w:val="-5"/>
          <w:sz w:val="21"/>
        </w:rPr>
        <w:t> </w:t>
      </w:r>
      <w:r>
        <w:rPr>
          <w:sz w:val="21"/>
        </w:rPr>
        <w:t>Commission</w:t>
      </w:r>
      <w:r>
        <w:rPr>
          <w:spacing w:val="-4"/>
          <w:sz w:val="21"/>
        </w:rPr>
        <w:t> </w:t>
      </w:r>
      <w:r>
        <w:rPr>
          <w:sz w:val="21"/>
        </w:rPr>
        <w:t>and</w:t>
      </w:r>
      <w:r>
        <w:rPr>
          <w:spacing w:val="-6"/>
          <w:sz w:val="21"/>
        </w:rPr>
        <w:t> </w:t>
      </w:r>
      <w:r>
        <w:rPr>
          <w:sz w:val="21"/>
        </w:rPr>
        <w:t>the</w:t>
      </w:r>
      <w:r>
        <w:rPr>
          <w:spacing w:val="-5"/>
          <w:sz w:val="21"/>
        </w:rPr>
        <w:t> </w:t>
      </w:r>
      <w:r>
        <w:rPr>
          <w:sz w:val="21"/>
        </w:rPr>
        <w:t>Program.</w:t>
      </w:r>
      <w:r>
        <w:rPr>
          <w:spacing w:val="-6"/>
          <w:sz w:val="21"/>
        </w:rPr>
        <w:t> </w:t>
      </w:r>
      <w:r>
        <w:rPr>
          <w:sz w:val="21"/>
        </w:rPr>
        <w:t>In</w:t>
      </w:r>
      <w:r>
        <w:rPr>
          <w:spacing w:val="-5"/>
          <w:sz w:val="21"/>
        </w:rPr>
        <w:t> </w:t>
      </w:r>
      <w:r>
        <w:rPr>
          <w:sz w:val="21"/>
        </w:rPr>
        <w:t>April</w:t>
      </w:r>
      <w:r>
        <w:rPr>
          <w:spacing w:val="-5"/>
          <w:sz w:val="21"/>
        </w:rPr>
        <w:t> </w:t>
      </w:r>
      <w:r>
        <w:rPr>
          <w:sz w:val="21"/>
        </w:rPr>
        <w:t>2024,</w:t>
      </w:r>
      <w:r>
        <w:rPr>
          <w:spacing w:val="-6"/>
          <w:sz w:val="21"/>
        </w:rPr>
        <w:t> </w:t>
      </w:r>
      <w:r>
        <w:rPr>
          <w:sz w:val="21"/>
        </w:rPr>
        <w:t>the</w:t>
      </w:r>
      <w:r>
        <w:rPr>
          <w:spacing w:val="-7"/>
          <w:sz w:val="21"/>
        </w:rPr>
        <w:t> </w:t>
      </w:r>
      <w:r>
        <w:rPr>
          <w:sz w:val="21"/>
        </w:rPr>
        <w:t>biannual</w:t>
      </w:r>
      <w:r>
        <w:rPr>
          <w:spacing w:val="-5"/>
          <w:sz w:val="21"/>
        </w:rPr>
        <w:t> </w:t>
      </w:r>
      <w:r>
        <w:rPr>
          <w:sz w:val="21"/>
        </w:rPr>
        <w:t>presentation</w:t>
      </w:r>
      <w:r>
        <w:rPr>
          <w:spacing w:val="-5"/>
          <w:sz w:val="21"/>
        </w:rPr>
        <w:t> </w:t>
      </w:r>
      <w:r>
        <w:rPr>
          <w:sz w:val="21"/>
        </w:rPr>
        <w:t>to</w:t>
      </w:r>
      <w:r>
        <w:rPr>
          <w:spacing w:val="-6"/>
          <w:sz w:val="21"/>
        </w:rPr>
        <w:t> </w:t>
      </w:r>
      <w:r>
        <w:rPr>
          <w:sz w:val="21"/>
        </w:rPr>
        <w:t>the Board of Elementary and Secondary Education took place. Staff from the Safe Schools Program for LGBTQ Students</w:t>
      </w:r>
      <w:r>
        <w:rPr>
          <w:spacing w:val="-12"/>
          <w:sz w:val="21"/>
        </w:rPr>
        <w:t> </w:t>
      </w:r>
      <w:r>
        <w:rPr>
          <w:sz w:val="21"/>
        </w:rPr>
        <w:t>and</w:t>
      </w:r>
      <w:r>
        <w:rPr>
          <w:spacing w:val="-12"/>
          <w:sz w:val="21"/>
        </w:rPr>
        <w:t> </w:t>
      </w:r>
      <w:r>
        <w:rPr>
          <w:sz w:val="21"/>
        </w:rPr>
        <w:t>the</w:t>
      </w:r>
      <w:r>
        <w:rPr>
          <w:spacing w:val="-11"/>
          <w:sz w:val="21"/>
        </w:rPr>
        <w:t> </w:t>
      </w:r>
      <w:r>
        <w:rPr>
          <w:sz w:val="21"/>
        </w:rPr>
        <w:t>MA</w:t>
      </w:r>
      <w:r>
        <w:rPr>
          <w:spacing w:val="-12"/>
          <w:sz w:val="21"/>
        </w:rPr>
        <w:t> </w:t>
      </w:r>
      <w:r>
        <w:rPr>
          <w:sz w:val="21"/>
        </w:rPr>
        <w:t>Commission</w:t>
      </w:r>
      <w:r>
        <w:rPr>
          <w:spacing w:val="-11"/>
          <w:sz w:val="21"/>
        </w:rPr>
        <w:t> </w:t>
      </w:r>
      <w:r>
        <w:rPr>
          <w:sz w:val="21"/>
        </w:rPr>
        <w:t>on</w:t>
      </w:r>
      <w:r>
        <w:rPr>
          <w:spacing w:val="-11"/>
          <w:sz w:val="21"/>
        </w:rPr>
        <w:t> </w:t>
      </w:r>
      <w:r>
        <w:rPr>
          <w:sz w:val="21"/>
        </w:rPr>
        <w:t>LGBTQ</w:t>
      </w:r>
      <w:r>
        <w:rPr>
          <w:spacing w:val="-11"/>
          <w:sz w:val="21"/>
        </w:rPr>
        <w:t> </w:t>
      </w:r>
      <w:r>
        <w:rPr>
          <w:sz w:val="21"/>
        </w:rPr>
        <w:t>Youth,</w:t>
      </w:r>
      <w:r>
        <w:rPr>
          <w:spacing w:val="-12"/>
          <w:sz w:val="21"/>
        </w:rPr>
        <w:t> </w:t>
      </w:r>
      <w:r>
        <w:rPr>
          <w:sz w:val="21"/>
        </w:rPr>
        <w:t>along</w:t>
      </w:r>
      <w:r>
        <w:rPr>
          <w:spacing w:val="-12"/>
          <w:sz w:val="21"/>
        </w:rPr>
        <w:t> </w:t>
      </w:r>
      <w:r>
        <w:rPr>
          <w:sz w:val="21"/>
        </w:rPr>
        <w:t>with</w:t>
      </w:r>
      <w:r>
        <w:rPr>
          <w:spacing w:val="-11"/>
          <w:sz w:val="21"/>
        </w:rPr>
        <w:t> </w:t>
      </w:r>
      <w:r>
        <w:rPr>
          <w:sz w:val="21"/>
        </w:rPr>
        <w:t>a</w:t>
      </w:r>
      <w:r>
        <w:rPr>
          <w:spacing w:val="-12"/>
          <w:sz w:val="21"/>
        </w:rPr>
        <w:t> </w:t>
      </w:r>
      <w:r>
        <w:rPr>
          <w:sz w:val="21"/>
        </w:rPr>
        <w:t>district</w:t>
      </w:r>
      <w:r>
        <w:rPr>
          <w:spacing w:val="-11"/>
          <w:sz w:val="21"/>
        </w:rPr>
        <w:t> </w:t>
      </w:r>
      <w:r>
        <w:rPr>
          <w:sz w:val="21"/>
        </w:rPr>
        <w:t>superintendent</w:t>
      </w:r>
      <w:r>
        <w:rPr>
          <w:spacing w:val="-11"/>
          <w:sz w:val="21"/>
        </w:rPr>
        <w:t> </w:t>
      </w:r>
      <w:r>
        <w:rPr>
          <w:sz w:val="21"/>
        </w:rPr>
        <w:t>and</w:t>
      </w:r>
      <w:r>
        <w:rPr>
          <w:spacing w:val="-12"/>
          <w:sz w:val="21"/>
        </w:rPr>
        <w:t> </w:t>
      </w:r>
      <w:r>
        <w:rPr>
          <w:sz w:val="21"/>
        </w:rPr>
        <w:t>a</w:t>
      </w:r>
      <w:r>
        <w:rPr>
          <w:spacing w:val="-12"/>
          <w:sz w:val="21"/>
        </w:rPr>
        <w:t> </w:t>
      </w:r>
      <w:r>
        <w:rPr>
          <w:sz w:val="21"/>
        </w:rPr>
        <w:t>Boston</w:t>
      </w:r>
      <w:r>
        <w:rPr>
          <w:spacing w:val="-11"/>
          <w:sz w:val="21"/>
        </w:rPr>
        <w:t> </w:t>
      </w:r>
      <w:r>
        <w:rPr>
          <w:sz w:val="21"/>
        </w:rPr>
        <w:t>Public School high school student, discussed the increase in anti-LGBTQ actions within schools across the state. They shared important and effective strategies that can be implemented at both</w:t>
      </w:r>
      <w:r>
        <w:rPr>
          <w:spacing w:val="-1"/>
          <w:sz w:val="21"/>
        </w:rPr>
        <w:t> </w:t>
      </w:r>
      <w:r>
        <w:rPr>
          <w:sz w:val="21"/>
        </w:rPr>
        <w:t>the local and state levels to</w:t>
      </w:r>
      <w:r>
        <w:rPr>
          <w:spacing w:val="-1"/>
          <w:sz w:val="21"/>
        </w:rPr>
        <w:t> </w:t>
      </w:r>
      <w:r>
        <w:rPr>
          <w:sz w:val="21"/>
        </w:rPr>
        <w:t>create</w:t>
      </w:r>
      <w:r>
        <w:rPr>
          <w:spacing w:val="-2"/>
          <w:sz w:val="21"/>
        </w:rPr>
        <w:t> </w:t>
      </w:r>
      <w:r>
        <w:rPr>
          <w:sz w:val="21"/>
        </w:rPr>
        <w:t>and</w:t>
      </w:r>
      <w:r>
        <w:rPr>
          <w:spacing w:val="-3"/>
          <w:sz w:val="21"/>
        </w:rPr>
        <w:t> </w:t>
      </w:r>
      <w:r>
        <w:rPr>
          <w:sz w:val="21"/>
        </w:rPr>
        <w:t>enhance</w:t>
      </w:r>
      <w:r>
        <w:rPr>
          <w:spacing w:val="-1"/>
          <w:sz w:val="21"/>
        </w:rPr>
        <w:t> </w:t>
      </w:r>
      <w:r>
        <w:rPr>
          <w:sz w:val="21"/>
        </w:rPr>
        <w:t>safe</w:t>
      </w:r>
      <w:r>
        <w:rPr>
          <w:spacing w:val="-2"/>
          <w:sz w:val="21"/>
        </w:rPr>
        <w:t> </w:t>
      </w:r>
      <w:r>
        <w:rPr>
          <w:sz w:val="21"/>
        </w:rPr>
        <w:t>and</w:t>
      </w:r>
      <w:r>
        <w:rPr>
          <w:spacing w:val="-1"/>
          <w:sz w:val="21"/>
        </w:rPr>
        <w:t> </w:t>
      </w:r>
      <w:r>
        <w:rPr>
          <w:sz w:val="21"/>
        </w:rPr>
        <w:t>supportive</w:t>
      </w:r>
      <w:r>
        <w:rPr>
          <w:spacing w:val="-1"/>
          <w:sz w:val="21"/>
        </w:rPr>
        <w:t> </w:t>
      </w:r>
      <w:r>
        <w:rPr>
          <w:sz w:val="21"/>
        </w:rPr>
        <w:t>learning</w:t>
      </w:r>
      <w:r>
        <w:rPr>
          <w:spacing w:val="-1"/>
          <w:sz w:val="21"/>
        </w:rPr>
        <w:t> </w:t>
      </w:r>
      <w:r>
        <w:rPr>
          <w:sz w:val="21"/>
        </w:rPr>
        <w:t>environments</w:t>
      </w:r>
      <w:r>
        <w:rPr>
          <w:spacing w:val="-1"/>
          <w:sz w:val="21"/>
        </w:rPr>
        <w:t> </w:t>
      </w:r>
      <w:r>
        <w:rPr>
          <w:sz w:val="21"/>
        </w:rPr>
        <w:t>for</w:t>
      </w:r>
      <w:r>
        <w:rPr>
          <w:spacing w:val="-2"/>
          <w:sz w:val="21"/>
        </w:rPr>
        <w:t> </w:t>
      </w:r>
      <w:r>
        <w:rPr>
          <w:sz w:val="21"/>
        </w:rPr>
        <w:t>all</w:t>
      </w:r>
      <w:r>
        <w:rPr>
          <w:spacing w:val="-1"/>
          <w:sz w:val="21"/>
        </w:rPr>
        <w:t> </w:t>
      </w:r>
      <w:r>
        <w:rPr>
          <w:sz w:val="21"/>
        </w:rPr>
        <w:t>students,</w:t>
      </w:r>
      <w:r>
        <w:rPr>
          <w:spacing w:val="-1"/>
          <w:sz w:val="21"/>
        </w:rPr>
        <w:t> </w:t>
      </w:r>
      <w:r>
        <w:rPr>
          <w:sz w:val="21"/>
        </w:rPr>
        <w:t>particularly</w:t>
      </w:r>
      <w:r>
        <w:rPr>
          <w:spacing w:val="-1"/>
          <w:sz w:val="21"/>
        </w:rPr>
        <w:t> </w:t>
      </w:r>
      <w:r>
        <w:rPr>
          <w:sz w:val="21"/>
        </w:rPr>
        <w:t>focusing</w:t>
      </w:r>
      <w:r>
        <w:rPr>
          <w:spacing w:val="-1"/>
          <w:sz w:val="21"/>
        </w:rPr>
        <w:t> </w:t>
      </w:r>
      <w:r>
        <w:rPr>
          <w:sz w:val="21"/>
        </w:rPr>
        <w:t>on the wellbeing and success of LGBTQ+ students. They highlighted opportunities for DESE and the Board to maintain their leadership in protecting LGBTQ students in the Commonwealth.</w:t>
      </w:r>
    </w:p>
    <w:p>
      <w:pPr>
        <w:spacing w:line="276" w:lineRule="auto" w:before="241"/>
        <w:ind w:left="624" w:right="479" w:firstLine="0"/>
        <w:jc w:val="both"/>
        <w:rPr>
          <w:sz w:val="21"/>
        </w:rPr>
      </w:pPr>
      <w:r>
        <w:rPr>
          <w:sz w:val="21"/>
        </w:rPr>
        <w:t>Additionally, the presentation emphasized the Safe Schools Program for LGBTQ Students' alignment with DESE's Educational Vision, which focuses on advancing teaching and learning environments that are antiracist,</w:t>
      </w:r>
      <w:r>
        <w:rPr>
          <w:spacing w:val="-12"/>
          <w:sz w:val="21"/>
        </w:rPr>
        <w:t> </w:t>
      </w:r>
      <w:r>
        <w:rPr>
          <w:sz w:val="21"/>
        </w:rPr>
        <w:t>inclusive,</w:t>
      </w:r>
      <w:r>
        <w:rPr>
          <w:spacing w:val="-12"/>
          <w:sz w:val="21"/>
        </w:rPr>
        <w:t> </w:t>
      </w:r>
      <w:r>
        <w:rPr>
          <w:sz w:val="21"/>
        </w:rPr>
        <w:t>and</w:t>
      </w:r>
      <w:r>
        <w:rPr>
          <w:spacing w:val="-12"/>
          <w:sz w:val="21"/>
        </w:rPr>
        <w:t> </w:t>
      </w:r>
      <w:r>
        <w:rPr>
          <w:sz w:val="21"/>
        </w:rPr>
        <w:t>culturally</w:t>
      </w:r>
      <w:r>
        <w:rPr>
          <w:spacing w:val="-12"/>
          <w:sz w:val="21"/>
        </w:rPr>
        <w:t> </w:t>
      </w:r>
      <w:r>
        <w:rPr>
          <w:sz w:val="21"/>
        </w:rPr>
        <w:t>diverse.</w:t>
      </w:r>
      <w:r>
        <w:rPr>
          <w:spacing w:val="-12"/>
          <w:sz w:val="21"/>
        </w:rPr>
        <w:t> </w:t>
      </w:r>
      <w:r>
        <w:rPr>
          <w:sz w:val="21"/>
        </w:rPr>
        <w:t>It</w:t>
      </w:r>
      <w:r>
        <w:rPr>
          <w:spacing w:val="-12"/>
          <w:sz w:val="21"/>
        </w:rPr>
        <w:t> </w:t>
      </w:r>
      <w:r>
        <w:rPr>
          <w:sz w:val="21"/>
        </w:rPr>
        <w:t>highlighted</w:t>
      </w:r>
      <w:r>
        <w:rPr>
          <w:spacing w:val="-12"/>
          <w:sz w:val="21"/>
        </w:rPr>
        <w:t> </w:t>
      </w:r>
      <w:r>
        <w:rPr>
          <w:sz w:val="21"/>
        </w:rPr>
        <w:t>the</w:t>
      </w:r>
      <w:r>
        <w:rPr>
          <w:spacing w:val="-11"/>
          <w:sz w:val="21"/>
        </w:rPr>
        <w:t> </w:t>
      </w:r>
      <w:r>
        <w:rPr>
          <w:sz w:val="21"/>
        </w:rPr>
        <w:t>program’s</w:t>
      </w:r>
      <w:r>
        <w:rPr>
          <w:spacing w:val="-12"/>
          <w:sz w:val="21"/>
        </w:rPr>
        <w:t> </w:t>
      </w:r>
      <w:r>
        <w:rPr>
          <w:sz w:val="21"/>
        </w:rPr>
        <w:t>priority</w:t>
      </w:r>
      <w:r>
        <w:rPr>
          <w:spacing w:val="-12"/>
          <w:sz w:val="21"/>
        </w:rPr>
        <w:t> </w:t>
      </w:r>
      <w:r>
        <w:rPr>
          <w:sz w:val="21"/>
        </w:rPr>
        <w:t>to</w:t>
      </w:r>
      <w:r>
        <w:rPr>
          <w:spacing w:val="-12"/>
          <w:sz w:val="21"/>
        </w:rPr>
        <w:t> </w:t>
      </w:r>
      <w:r>
        <w:rPr>
          <w:sz w:val="21"/>
        </w:rPr>
        <w:t>acknowledge</w:t>
      </w:r>
      <w:r>
        <w:rPr>
          <w:spacing w:val="-12"/>
          <w:sz w:val="21"/>
        </w:rPr>
        <w:t> </w:t>
      </w:r>
      <w:r>
        <w:rPr>
          <w:sz w:val="21"/>
        </w:rPr>
        <w:t>and</w:t>
      </w:r>
      <w:r>
        <w:rPr>
          <w:spacing w:val="-12"/>
          <w:sz w:val="21"/>
        </w:rPr>
        <w:t> </w:t>
      </w:r>
      <w:r>
        <w:rPr>
          <w:sz w:val="21"/>
        </w:rPr>
        <w:t>support students and families, ensuring equitable opportunities and experiences for all students, especially those historically underserved due to race, gender, sexual orientation, or abilities. The Safe Schools Program supports DESE's strategic objectives, including nurturing the whole student so that all students feel connected</w:t>
      </w:r>
      <w:r>
        <w:rPr>
          <w:spacing w:val="-9"/>
          <w:sz w:val="21"/>
        </w:rPr>
        <w:t> </w:t>
      </w:r>
      <w:r>
        <w:rPr>
          <w:sz w:val="21"/>
        </w:rPr>
        <w:t>and</w:t>
      </w:r>
      <w:r>
        <w:rPr>
          <w:spacing w:val="-9"/>
          <w:sz w:val="21"/>
        </w:rPr>
        <w:t> </w:t>
      </w:r>
      <w:r>
        <w:rPr>
          <w:sz w:val="21"/>
        </w:rPr>
        <w:t>ready</w:t>
      </w:r>
      <w:r>
        <w:rPr>
          <w:spacing w:val="-9"/>
          <w:sz w:val="21"/>
        </w:rPr>
        <w:t> </w:t>
      </w:r>
      <w:r>
        <w:rPr>
          <w:sz w:val="21"/>
        </w:rPr>
        <w:t>to</w:t>
      </w:r>
      <w:r>
        <w:rPr>
          <w:spacing w:val="-10"/>
          <w:sz w:val="21"/>
        </w:rPr>
        <w:t> </w:t>
      </w:r>
      <w:r>
        <w:rPr>
          <w:sz w:val="21"/>
        </w:rPr>
        <w:t>learn.</w:t>
      </w:r>
      <w:r>
        <w:rPr>
          <w:spacing w:val="-9"/>
          <w:sz w:val="21"/>
        </w:rPr>
        <w:t> </w:t>
      </w:r>
      <w:r>
        <w:rPr>
          <w:sz w:val="21"/>
        </w:rPr>
        <w:t>The</w:t>
      </w:r>
      <w:r>
        <w:rPr>
          <w:spacing w:val="-9"/>
          <w:sz w:val="21"/>
        </w:rPr>
        <w:t> </w:t>
      </w:r>
      <w:r>
        <w:rPr>
          <w:sz w:val="21"/>
        </w:rPr>
        <w:t>Department</w:t>
      </w:r>
      <w:r>
        <w:rPr>
          <w:spacing w:val="-9"/>
          <w:sz w:val="21"/>
        </w:rPr>
        <w:t> </w:t>
      </w:r>
      <w:r>
        <w:rPr>
          <w:sz w:val="21"/>
        </w:rPr>
        <w:t>and</w:t>
      </w:r>
      <w:r>
        <w:rPr>
          <w:spacing w:val="-9"/>
          <w:sz w:val="21"/>
        </w:rPr>
        <w:t> </w:t>
      </w:r>
      <w:r>
        <w:rPr>
          <w:sz w:val="21"/>
        </w:rPr>
        <w:t>Commission</w:t>
      </w:r>
      <w:r>
        <w:rPr>
          <w:spacing w:val="-9"/>
          <w:sz w:val="21"/>
        </w:rPr>
        <w:t> </w:t>
      </w:r>
      <w:r>
        <w:rPr>
          <w:sz w:val="21"/>
        </w:rPr>
        <w:t>are</w:t>
      </w:r>
      <w:r>
        <w:rPr>
          <w:spacing w:val="-8"/>
          <w:sz w:val="21"/>
        </w:rPr>
        <w:t> </w:t>
      </w:r>
      <w:r>
        <w:rPr>
          <w:sz w:val="21"/>
        </w:rPr>
        <w:t>committed</w:t>
      </w:r>
      <w:r>
        <w:rPr>
          <w:spacing w:val="-9"/>
          <w:sz w:val="21"/>
        </w:rPr>
        <w:t> </w:t>
      </w:r>
      <w:r>
        <w:rPr>
          <w:sz w:val="21"/>
        </w:rPr>
        <w:t>to</w:t>
      </w:r>
      <w:r>
        <w:rPr>
          <w:spacing w:val="-11"/>
          <w:sz w:val="21"/>
        </w:rPr>
        <w:t> </w:t>
      </w:r>
      <w:r>
        <w:rPr>
          <w:sz w:val="21"/>
        </w:rPr>
        <w:t>continuing</w:t>
      </w:r>
      <w:r>
        <w:rPr>
          <w:spacing w:val="-10"/>
          <w:sz w:val="21"/>
        </w:rPr>
        <w:t> </w:t>
      </w:r>
      <w:r>
        <w:rPr>
          <w:sz w:val="21"/>
        </w:rPr>
        <w:t>this</w:t>
      </w:r>
      <w:r>
        <w:rPr>
          <w:spacing w:val="-10"/>
          <w:sz w:val="21"/>
        </w:rPr>
        <w:t> </w:t>
      </w:r>
      <w:r>
        <w:rPr>
          <w:sz w:val="21"/>
        </w:rPr>
        <w:t>work</w:t>
      </w:r>
      <w:r>
        <w:rPr>
          <w:spacing w:val="-9"/>
          <w:sz w:val="21"/>
        </w:rPr>
        <w:t> </w:t>
      </w:r>
      <w:r>
        <w:rPr>
          <w:sz w:val="21"/>
        </w:rPr>
        <w:t>and periodically meeting and presenting it to the Board, as outlined in the 2013 Memorandum of </w:t>
      </w:r>
      <w:r>
        <w:rPr>
          <w:spacing w:val="-2"/>
          <w:sz w:val="21"/>
        </w:rPr>
        <w:t>Understanding.</w:t>
      </w:r>
    </w:p>
    <w:p>
      <w:pPr>
        <w:spacing w:before="238"/>
        <w:ind w:left="624" w:right="0" w:firstLine="0"/>
        <w:jc w:val="both"/>
        <w:rPr>
          <w:sz w:val="28"/>
        </w:rPr>
      </w:pPr>
      <w:r>
        <w:rPr>
          <w:color w:val="365F91"/>
          <w:sz w:val="28"/>
        </w:rPr>
        <w:t>FY</w:t>
      </w:r>
      <w:r>
        <w:rPr>
          <w:color w:val="365F91"/>
          <w:spacing w:val="-9"/>
          <w:sz w:val="28"/>
        </w:rPr>
        <w:t> </w:t>
      </w:r>
      <w:r>
        <w:rPr>
          <w:color w:val="365F91"/>
          <w:sz w:val="28"/>
        </w:rPr>
        <w:t>2025</w:t>
      </w:r>
      <w:r>
        <w:rPr>
          <w:color w:val="365F91"/>
          <w:spacing w:val="-9"/>
          <w:sz w:val="28"/>
        </w:rPr>
        <w:t> </w:t>
      </w:r>
      <w:r>
        <w:rPr>
          <w:color w:val="365F91"/>
          <w:sz w:val="28"/>
        </w:rPr>
        <w:t>Expanded</w:t>
      </w:r>
      <w:r>
        <w:rPr>
          <w:color w:val="365F91"/>
          <w:spacing w:val="-9"/>
          <w:sz w:val="28"/>
        </w:rPr>
        <w:t> </w:t>
      </w:r>
      <w:r>
        <w:rPr>
          <w:color w:val="365F91"/>
          <w:sz w:val="28"/>
        </w:rPr>
        <w:t>DESE</w:t>
      </w:r>
      <w:r>
        <w:rPr>
          <w:color w:val="365F91"/>
          <w:spacing w:val="-9"/>
          <w:sz w:val="28"/>
        </w:rPr>
        <w:t> </w:t>
      </w:r>
      <w:r>
        <w:rPr>
          <w:color w:val="365F91"/>
          <w:spacing w:val="-2"/>
          <w:sz w:val="28"/>
        </w:rPr>
        <w:t>Recommendations</w:t>
      </w:r>
    </w:p>
    <w:p>
      <w:pPr>
        <w:pStyle w:val="BodyText"/>
        <w:spacing w:before="10"/>
        <w:rPr>
          <w:sz w:val="3"/>
        </w:rPr>
      </w:pPr>
      <w:r>
        <w:rPr/>
        <mc:AlternateContent>
          <mc:Choice Requires="wps">
            <w:drawing>
              <wp:anchor distT="0" distB="0" distL="0" distR="0" allowOverlap="1" layoutInCell="1" locked="0" behindDoc="1" simplePos="0" relativeHeight="487691776">
                <wp:simplePos x="0" y="0"/>
                <wp:positionH relativeFrom="page">
                  <wp:posOffset>986789</wp:posOffset>
                </wp:positionH>
                <wp:positionV relativeFrom="paragraph">
                  <wp:posOffset>45408</wp:posOffset>
                </wp:positionV>
                <wp:extent cx="5799455" cy="6350"/>
                <wp:effectExtent l="0" t="0" r="0" b="0"/>
                <wp:wrapTopAndBottom/>
                <wp:docPr id="542" name="Graphic 542"/>
                <wp:cNvGraphicFramePr>
                  <a:graphicFrameLocks/>
                </wp:cNvGraphicFramePr>
                <a:graphic>
                  <a:graphicData uri="http://schemas.microsoft.com/office/word/2010/wordprocessingShape">
                    <wps:wsp>
                      <wps:cNvPr id="542" name="Graphic 542"/>
                      <wps:cNvSpPr/>
                      <wps:spPr>
                        <a:xfrm>
                          <a:off x="0" y="0"/>
                          <a:ext cx="5799455" cy="6350"/>
                        </a:xfrm>
                        <a:custGeom>
                          <a:avLst/>
                          <a:gdLst/>
                          <a:ahLst/>
                          <a:cxnLst/>
                          <a:rect l="l" t="t" r="r" b="b"/>
                          <a:pathLst>
                            <a:path w="5799455" h="6350">
                              <a:moveTo>
                                <a:pt x="5798832" y="0"/>
                              </a:moveTo>
                              <a:lnTo>
                                <a:pt x="0" y="0"/>
                              </a:lnTo>
                              <a:lnTo>
                                <a:pt x="0" y="6095"/>
                              </a:lnTo>
                              <a:lnTo>
                                <a:pt x="5798832" y="6095"/>
                              </a:lnTo>
                              <a:lnTo>
                                <a:pt x="5798832" y="0"/>
                              </a:lnTo>
                              <a:close/>
                            </a:path>
                          </a:pathLst>
                        </a:custGeom>
                        <a:solidFill>
                          <a:srgbClr val="4F81BC"/>
                        </a:solidFill>
                      </wps:spPr>
                      <wps:bodyPr wrap="square" lIns="0" tIns="0" rIns="0" bIns="0" rtlCol="0">
                        <a:prstTxWarp prst="textNoShape">
                          <a:avLst/>
                        </a:prstTxWarp>
                        <a:noAutofit/>
                      </wps:bodyPr>
                    </wps:wsp>
                  </a:graphicData>
                </a:graphic>
              </wp:anchor>
            </w:drawing>
          </mc:Choice>
          <mc:Fallback>
            <w:pict>
              <v:rect style="position:absolute;margin-left:77.699997pt;margin-top:3.575469pt;width:456.601pt;height:.48pt;mso-position-horizontal-relative:page;mso-position-vertical-relative:paragraph;z-index:-15624704;mso-wrap-distance-left:0;mso-wrap-distance-right:0" id="docshape439" filled="true" fillcolor="#4f81bc" stroked="false">
                <v:fill type="solid"/>
                <w10:wrap type="topAndBottom"/>
              </v:rect>
            </w:pict>
          </mc:Fallback>
        </mc:AlternateContent>
      </w:r>
    </w:p>
    <w:p>
      <w:pPr>
        <w:pStyle w:val="ListParagraph"/>
        <w:numPr>
          <w:ilvl w:val="0"/>
          <w:numId w:val="33"/>
        </w:numPr>
        <w:tabs>
          <w:tab w:pos="623" w:val="left" w:leader="none"/>
        </w:tabs>
        <w:spacing w:line="276" w:lineRule="auto" w:before="241" w:after="0"/>
        <w:ind w:left="623" w:right="481" w:hanging="360"/>
        <w:jc w:val="left"/>
        <w:rPr>
          <w:b/>
          <w:sz w:val="21"/>
        </w:rPr>
      </w:pPr>
      <w:r>
        <w:rPr>
          <w:b/>
          <w:sz w:val="21"/>
        </w:rPr>
        <w:t>Continue collaboration with the Commission to jointly administer the Safe Schools Program for LGBTQ </w:t>
      </w:r>
      <w:r>
        <w:rPr>
          <w:b/>
          <w:spacing w:val="-2"/>
          <w:sz w:val="21"/>
        </w:rPr>
        <w:t>Students.</w:t>
      </w:r>
    </w:p>
    <w:p>
      <w:pPr>
        <w:spacing w:line="276" w:lineRule="auto" w:before="240"/>
        <w:ind w:left="623" w:right="480" w:firstLine="0"/>
        <w:jc w:val="both"/>
        <w:rPr>
          <w:sz w:val="21"/>
        </w:rPr>
      </w:pPr>
      <w:r>
        <w:rPr>
          <w:sz w:val="21"/>
        </w:rPr>
        <w:t>LGBTQ students and families need safe and supportive learning environments, both in and out of the classroom. They may have unique needs based on race, ethnicity, age, disability, trauma experiences, and more. By leveraging the resources of the Safe Schools Program for LGBTQ Students, DESE is helping to address</w:t>
      </w:r>
      <w:r>
        <w:rPr>
          <w:spacing w:val="-7"/>
          <w:sz w:val="21"/>
        </w:rPr>
        <w:t> </w:t>
      </w:r>
      <w:r>
        <w:rPr>
          <w:sz w:val="21"/>
        </w:rPr>
        <w:t>these</w:t>
      </w:r>
      <w:r>
        <w:rPr>
          <w:spacing w:val="-5"/>
          <w:sz w:val="21"/>
        </w:rPr>
        <w:t> </w:t>
      </w:r>
      <w:r>
        <w:rPr>
          <w:sz w:val="21"/>
        </w:rPr>
        <w:t>needs</w:t>
      </w:r>
      <w:r>
        <w:rPr>
          <w:spacing w:val="-7"/>
          <w:sz w:val="21"/>
        </w:rPr>
        <w:t> </w:t>
      </w:r>
      <w:r>
        <w:rPr>
          <w:sz w:val="21"/>
        </w:rPr>
        <w:t>by</w:t>
      </w:r>
      <w:r>
        <w:rPr>
          <w:spacing w:val="-7"/>
          <w:sz w:val="21"/>
        </w:rPr>
        <w:t> </w:t>
      </w:r>
      <w:r>
        <w:rPr>
          <w:sz w:val="21"/>
        </w:rPr>
        <w:t>incorporating</w:t>
      </w:r>
      <w:r>
        <w:rPr>
          <w:spacing w:val="-7"/>
          <w:sz w:val="21"/>
        </w:rPr>
        <w:t> </w:t>
      </w:r>
      <w:r>
        <w:rPr>
          <w:sz w:val="21"/>
        </w:rPr>
        <w:t>LGBTQ</w:t>
      </w:r>
      <w:r>
        <w:rPr>
          <w:spacing w:val="-6"/>
          <w:sz w:val="21"/>
        </w:rPr>
        <w:t> </w:t>
      </w:r>
      <w:r>
        <w:rPr>
          <w:sz w:val="21"/>
        </w:rPr>
        <w:t>topics</w:t>
      </w:r>
      <w:r>
        <w:rPr>
          <w:spacing w:val="-7"/>
          <w:sz w:val="21"/>
        </w:rPr>
        <w:t> </w:t>
      </w:r>
      <w:r>
        <w:rPr>
          <w:sz w:val="21"/>
        </w:rPr>
        <w:t>in</w:t>
      </w:r>
      <w:r>
        <w:rPr>
          <w:spacing w:val="-7"/>
          <w:sz w:val="21"/>
        </w:rPr>
        <w:t> </w:t>
      </w:r>
      <w:r>
        <w:rPr>
          <w:sz w:val="21"/>
        </w:rPr>
        <w:t>statewide</w:t>
      </w:r>
      <w:r>
        <w:rPr>
          <w:spacing w:val="-7"/>
          <w:sz w:val="21"/>
        </w:rPr>
        <w:t> </w:t>
      </w:r>
      <w:r>
        <w:rPr>
          <w:sz w:val="21"/>
        </w:rPr>
        <w:t>and</w:t>
      </w:r>
      <w:r>
        <w:rPr>
          <w:spacing w:val="-7"/>
          <w:sz w:val="21"/>
        </w:rPr>
        <w:t> </w:t>
      </w:r>
      <w:r>
        <w:rPr>
          <w:sz w:val="21"/>
        </w:rPr>
        <w:t>district</w:t>
      </w:r>
      <w:r>
        <w:rPr>
          <w:spacing w:val="-6"/>
          <w:sz w:val="21"/>
        </w:rPr>
        <w:t> </w:t>
      </w:r>
      <w:r>
        <w:rPr>
          <w:sz w:val="21"/>
        </w:rPr>
        <w:t>and</w:t>
      </w:r>
      <w:r>
        <w:rPr>
          <w:spacing w:val="-7"/>
          <w:sz w:val="21"/>
        </w:rPr>
        <w:t> </w:t>
      </w:r>
      <w:r>
        <w:rPr>
          <w:sz w:val="21"/>
        </w:rPr>
        <w:t>school-based</w:t>
      </w:r>
      <w:r>
        <w:rPr>
          <w:spacing w:val="-7"/>
          <w:sz w:val="21"/>
        </w:rPr>
        <w:t> </w:t>
      </w:r>
      <w:r>
        <w:rPr>
          <w:sz w:val="21"/>
        </w:rPr>
        <w:t>professional</w:t>
      </w:r>
    </w:p>
    <w:p>
      <w:pPr>
        <w:spacing w:after="0" w:line="276" w:lineRule="auto"/>
        <w:jc w:val="both"/>
        <w:rPr>
          <w:sz w:val="21"/>
        </w:rPr>
        <w:sectPr>
          <w:pgSz w:w="12240" w:h="15840"/>
          <w:pgMar w:header="763" w:footer="1041" w:top="960" w:bottom="1240" w:left="960" w:right="1100"/>
        </w:sectPr>
      </w:pPr>
    </w:p>
    <w:p>
      <w:pPr>
        <w:spacing w:line="276" w:lineRule="auto" w:before="250"/>
        <w:ind w:left="624" w:right="481" w:firstLine="0"/>
        <w:jc w:val="both"/>
        <w:rPr>
          <w:sz w:val="21"/>
        </w:rPr>
      </w:pPr>
      <w:r>
        <w:rPr>
          <w:sz w:val="21"/>
        </w:rPr>
        <w:t>development</w:t>
      </w:r>
      <w:r>
        <w:rPr>
          <w:spacing w:val="-7"/>
          <w:sz w:val="21"/>
        </w:rPr>
        <w:t> </w:t>
      </w:r>
      <w:r>
        <w:rPr>
          <w:sz w:val="21"/>
        </w:rPr>
        <w:t>and</w:t>
      </w:r>
      <w:r>
        <w:rPr>
          <w:spacing w:val="-6"/>
          <w:sz w:val="21"/>
        </w:rPr>
        <w:t> </w:t>
      </w:r>
      <w:r>
        <w:rPr>
          <w:sz w:val="21"/>
        </w:rPr>
        <w:t>content</w:t>
      </w:r>
      <w:r>
        <w:rPr>
          <w:spacing w:val="-6"/>
          <w:sz w:val="21"/>
        </w:rPr>
        <w:t> </w:t>
      </w:r>
      <w:r>
        <w:rPr>
          <w:sz w:val="21"/>
        </w:rPr>
        <w:t>design.</w:t>
      </w:r>
      <w:r>
        <w:rPr>
          <w:spacing w:val="-7"/>
          <w:sz w:val="21"/>
        </w:rPr>
        <w:t> </w:t>
      </w:r>
      <w:r>
        <w:rPr>
          <w:sz w:val="21"/>
        </w:rPr>
        <w:t>The</w:t>
      </w:r>
      <w:r>
        <w:rPr>
          <w:spacing w:val="-6"/>
          <w:sz w:val="21"/>
        </w:rPr>
        <w:t> </w:t>
      </w:r>
      <w:r>
        <w:rPr>
          <w:sz w:val="21"/>
        </w:rPr>
        <w:t>Commission</w:t>
      </w:r>
      <w:r>
        <w:rPr>
          <w:spacing w:val="-6"/>
          <w:sz w:val="21"/>
        </w:rPr>
        <w:t> </w:t>
      </w:r>
      <w:r>
        <w:rPr>
          <w:sz w:val="21"/>
        </w:rPr>
        <w:t>recommends</w:t>
      </w:r>
      <w:r>
        <w:rPr>
          <w:spacing w:val="-7"/>
          <w:sz w:val="21"/>
        </w:rPr>
        <w:t> </w:t>
      </w:r>
      <w:r>
        <w:rPr>
          <w:sz w:val="21"/>
        </w:rPr>
        <w:t>that</w:t>
      </w:r>
      <w:r>
        <w:rPr>
          <w:spacing w:val="-6"/>
          <w:sz w:val="21"/>
        </w:rPr>
        <w:t> </w:t>
      </w:r>
      <w:r>
        <w:rPr>
          <w:sz w:val="21"/>
        </w:rPr>
        <w:t>DESE</w:t>
      </w:r>
      <w:r>
        <w:rPr>
          <w:spacing w:val="-7"/>
          <w:sz w:val="21"/>
        </w:rPr>
        <w:t> </w:t>
      </w:r>
      <w:r>
        <w:rPr>
          <w:sz w:val="21"/>
        </w:rPr>
        <w:t>continue</w:t>
      </w:r>
      <w:r>
        <w:rPr>
          <w:spacing w:val="-6"/>
          <w:sz w:val="21"/>
        </w:rPr>
        <w:t> </w:t>
      </w:r>
      <w:r>
        <w:rPr>
          <w:sz w:val="21"/>
        </w:rPr>
        <w:t>to</w:t>
      </w:r>
      <w:r>
        <w:rPr>
          <w:spacing w:val="-7"/>
          <w:sz w:val="21"/>
        </w:rPr>
        <w:t> </w:t>
      </w:r>
      <w:r>
        <w:rPr>
          <w:sz w:val="21"/>
        </w:rPr>
        <w:t>integrate</w:t>
      </w:r>
      <w:r>
        <w:rPr>
          <w:spacing w:val="-6"/>
          <w:sz w:val="21"/>
        </w:rPr>
        <w:t> </w:t>
      </w:r>
      <w:r>
        <w:rPr>
          <w:sz w:val="21"/>
        </w:rPr>
        <w:t>resources and personnel from the Safe Schools Program for LGBTQ Students into programmatic work in these areas to maximize the opportunities provided for LGBTQ students and families.</w:t>
      </w:r>
    </w:p>
    <w:p>
      <w:pPr>
        <w:spacing w:line="276" w:lineRule="auto" w:before="240"/>
        <w:ind w:left="623" w:right="478" w:firstLine="0"/>
        <w:jc w:val="both"/>
        <w:rPr>
          <w:sz w:val="21"/>
        </w:rPr>
      </w:pPr>
      <w:r>
        <w:rPr>
          <w:sz w:val="21"/>
        </w:rPr>
        <w:t>The staff of</w:t>
      </w:r>
      <w:r>
        <w:rPr>
          <w:spacing w:val="-1"/>
          <w:sz w:val="21"/>
        </w:rPr>
        <w:t> </w:t>
      </w:r>
      <w:r>
        <w:rPr>
          <w:sz w:val="21"/>
        </w:rPr>
        <w:t>the Safe Schools Program boasts a</w:t>
      </w:r>
      <w:r>
        <w:rPr>
          <w:spacing w:val="-1"/>
          <w:sz w:val="21"/>
        </w:rPr>
        <w:t> </w:t>
      </w:r>
      <w:r>
        <w:rPr>
          <w:sz w:val="21"/>
        </w:rPr>
        <w:t>diverse array of</w:t>
      </w:r>
      <w:r>
        <w:rPr>
          <w:spacing w:val="-1"/>
          <w:sz w:val="21"/>
        </w:rPr>
        <w:t> </w:t>
      </w:r>
      <w:r>
        <w:rPr>
          <w:sz w:val="21"/>
        </w:rPr>
        <w:t>knowledge and</w:t>
      </w:r>
      <w:r>
        <w:rPr>
          <w:spacing w:val="-1"/>
          <w:sz w:val="21"/>
        </w:rPr>
        <w:t> </w:t>
      </w:r>
      <w:r>
        <w:rPr>
          <w:sz w:val="21"/>
        </w:rPr>
        <w:t>skills, crucial</w:t>
      </w:r>
      <w:r>
        <w:rPr>
          <w:spacing w:val="-1"/>
          <w:sz w:val="21"/>
        </w:rPr>
        <w:t> </w:t>
      </w:r>
      <w:r>
        <w:rPr>
          <w:sz w:val="21"/>
        </w:rPr>
        <w:t>for addressing the</w:t>
      </w:r>
      <w:r>
        <w:rPr>
          <w:spacing w:val="-3"/>
          <w:sz w:val="21"/>
        </w:rPr>
        <w:t> </w:t>
      </w:r>
      <w:r>
        <w:rPr>
          <w:sz w:val="21"/>
        </w:rPr>
        <w:t>evolving</w:t>
      </w:r>
      <w:r>
        <w:rPr>
          <w:spacing w:val="-4"/>
          <w:sz w:val="21"/>
        </w:rPr>
        <w:t> </w:t>
      </w:r>
      <w:r>
        <w:rPr>
          <w:sz w:val="21"/>
        </w:rPr>
        <w:t>education</w:t>
      </w:r>
      <w:r>
        <w:rPr>
          <w:spacing w:val="-3"/>
          <w:sz w:val="21"/>
        </w:rPr>
        <w:t> </w:t>
      </w:r>
      <w:r>
        <w:rPr>
          <w:sz w:val="21"/>
        </w:rPr>
        <w:t>landscape.</w:t>
      </w:r>
      <w:r>
        <w:rPr>
          <w:spacing w:val="-3"/>
          <w:sz w:val="21"/>
        </w:rPr>
        <w:t> </w:t>
      </w:r>
      <w:r>
        <w:rPr>
          <w:sz w:val="21"/>
        </w:rPr>
        <w:t>Led</w:t>
      </w:r>
      <w:r>
        <w:rPr>
          <w:spacing w:val="-3"/>
          <w:sz w:val="21"/>
        </w:rPr>
        <w:t> </w:t>
      </w:r>
      <w:r>
        <w:rPr>
          <w:sz w:val="21"/>
        </w:rPr>
        <w:t>by</w:t>
      </w:r>
      <w:r>
        <w:rPr>
          <w:spacing w:val="-5"/>
          <w:sz w:val="21"/>
        </w:rPr>
        <w:t> </w:t>
      </w:r>
      <w:r>
        <w:rPr>
          <w:sz w:val="21"/>
        </w:rPr>
        <w:t>Director</w:t>
      </w:r>
      <w:r>
        <w:rPr>
          <w:spacing w:val="-3"/>
          <w:sz w:val="21"/>
        </w:rPr>
        <w:t> </w:t>
      </w:r>
      <w:r>
        <w:rPr>
          <w:sz w:val="21"/>
        </w:rPr>
        <w:t>Jason</w:t>
      </w:r>
      <w:r>
        <w:rPr>
          <w:spacing w:val="-3"/>
          <w:sz w:val="21"/>
        </w:rPr>
        <w:t> </w:t>
      </w:r>
      <w:r>
        <w:rPr>
          <w:sz w:val="21"/>
        </w:rPr>
        <w:t>Wheeler,</w:t>
      </w:r>
      <w:r>
        <w:rPr>
          <w:spacing w:val="-3"/>
          <w:sz w:val="21"/>
        </w:rPr>
        <w:t> </w:t>
      </w:r>
      <w:r>
        <w:rPr>
          <w:sz w:val="21"/>
        </w:rPr>
        <w:t>who</w:t>
      </w:r>
      <w:r>
        <w:rPr>
          <w:spacing w:val="-3"/>
          <w:sz w:val="21"/>
        </w:rPr>
        <w:t> </w:t>
      </w:r>
      <w:r>
        <w:rPr>
          <w:sz w:val="21"/>
        </w:rPr>
        <w:t>was</w:t>
      </w:r>
      <w:r>
        <w:rPr>
          <w:spacing w:val="-4"/>
          <w:sz w:val="21"/>
        </w:rPr>
        <w:t> </w:t>
      </w:r>
      <w:r>
        <w:rPr>
          <w:sz w:val="21"/>
        </w:rPr>
        <w:t>hired</w:t>
      </w:r>
      <w:r>
        <w:rPr>
          <w:spacing w:val="-3"/>
          <w:sz w:val="21"/>
        </w:rPr>
        <w:t> </w:t>
      </w:r>
      <w:r>
        <w:rPr>
          <w:sz w:val="21"/>
        </w:rPr>
        <w:t>in</w:t>
      </w:r>
      <w:r>
        <w:rPr>
          <w:spacing w:val="-3"/>
          <w:sz w:val="21"/>
        </w:rPr>
        <w:t> </w:t>
      </w:r>
      <w:r>
        <w:rPr>
          <w:sz w:val="21"/>
        </w:rPr>
        <w:t>August</w:t>
      </w:r>
      <w:r>
        <w:rPr>
          <w:spacing w:val="-3"/>
          <w:sz w:val="21"/>
        </w:rPr>
        <w:t> </w:t>
      </w:r>
      <w:r>
        <w:rPr>
          <w:sz w:val="21"/>
        </w:rPr>
        <w:t>2024,</w:t>
      </w:r>
      <w:r>
        <w:rPr>
          <w:spacing w:val="-4"/>
          <w:sz w:val="21"/>
        </w:rPr>
        <w:t> </w:t>
      </w:r>
      <w:r>
        <w:rPr>
          <w:sz w:val="21"/>
        </w:rPr>
        <w:t>the</w:t>
      </w:r>
      <w:r>
        <w:rPr>
          <w:spacing w:val="-3"/>
          <w:sz w:val="21"/>
        </w:rPr>
        <w:t> </w:t>
      </w:r>
      <w:r>
        <w:rPr>
          <w:sz w:val="21"/>
        </w:rPr>
        <w:t>team includes</w:t>
      </w:r>
      <w:r>
        <w:rPr>
          <w:spacing w:val="-8"/>
          <w:sz w:val="21"/>
        </w:rPr>
        <w:t> </w:t>
      </w:r>
      <w:r>
        <w:rPr>
          <w:sz w:val="21"/>
        </w:rPr>
        <w:t>Lead</w:t>
      </w:r>
      <w:r>
        <w:rPr>
          <w:spacing w:val="-8"/>
          <w:sz w:val="21"/>
        </w:rPr>
        <w:t> </w:t>
      </w:r>
      <w:r>
        <w:rPr>
          <w:sz w:val="21"/>
        </w:rPr>
        <w:t>Trainer</w:t>
      </w:r>
      <w:r>
        <w:rPr>
          <w:spacing w:val="-8"/>
          <w:sz w:val="21"/>
        </w:rPr>
        <w:t> </w:t>
      </w:r>
      <w:r>
        <w:rPr>
          <w:sz w:val="21"/>
        </w:rPr>
        <w:t>Landon</w:t>
      </w:r>
      <w:r>
        <w:rPr>
          <w:spacing w:val="-8"/>
          <w:sz w:val="21"/>
        </w:rPr>
        <w:t> </w:t>
      </w:r>
      <w:r>
        <w:rPr>
          <w:sz w:val="21"/>
        </w:rPr>
        <w:t>Callahan</w:t>
      </w:r>
      <w:r>
        <w:rPr>
          <w:spacing w:val="-8"/>
          <w:sz w:val="21"/>
        </w:rPr>
        <w:t> </w:t>
      </w:r>
      <w:r>
        <w:rPr>
          <w:sz w:val="21"/>
        </w:rPr>
        <w:t>and</w:t>
      </w:r>
      <w:r>
        <w:rPr>
          <w:spacing w:val="-8"/>
          <w:sz w:val="21"/>
        </w:rPr>
        <w:t> </w:t>
      </w:r>
      <w:r>
        <w:rPr>
          <w:sz w:val="21"/>
        </w:rPr>
        <w:t>Youth</w:t>
      </w:r>
      <w:r>
        <w:rPr>
          <w:spacing w:val="-8"/>
          <w:sz w:val="21"/>
        </w:rPr>
        <w:t> </w:t>
      </w:r>
      <w:r>
        <w:rPr>
          <w:sz w:val="21"/>
        </w:rPr>
        <w:t>Programs</w:t>
      </w:r>
      <w:r>
        <w:rPr>
          <w:spacing w:val="-8"/>
          <w:sz w:val="21"/>
        </w:rPr>
        <w:t> </w:t>
      </w:r>
      <w:r>
        <w:rPr>
          <w:sz w:val="21"/>
        </w:rPr>
        <w:t>Coordinator</w:t>
      </w:r>
      <w:r>
        <w:rPr>
          <w:spacing w:val="-8"/>
          <w:sz w:val="21"/>
        </w:rPr>
        <w:t> </w:t>
      </w:r>
      <w:r>
        <w:rPr>
          <w:sz w:val="21"/>
        </w:rPr>
        <w:t>Gabriel</w:t>
      </w:r>
      <w:r>
        <w:rPr>
          <w:spacing w:val="-8"/>
          <w:sz w:val="21"/>
        </w:rPr>
        <w:t> </w:t>
      </w:r>
      <w:r>
        <w:rPr>
          <w:sz w:val="21"/>
        </w:rPr>
        <w:t>Rivas</w:t>
      </w:r>
      <w:r>
        <w:rPr>
          <w:spacing w:val="-9"/>
          <w:sz w:val="21"/>
        </w:rPr>
        <w:t> </w:t>
      </w:r>
      <w:r>
        <w:rPr>
          <w:sz w:val="21"/>
        </w:rPr>
        <w:t>Orellana.</w:t>
      </w:r>
      <w:r>
        <w:rPr>
          <w:spacing w:val="-8"/>
          <w:sz w:val="21"/>
        </w:rPr>
        <w:t> </w:t>
      </w:r>
      <w:r>
        <w:rPr>
          <w:sz w:val="21"/>
        </w:rPr>
        <w:t>Under</w:t>
      </w:r>
      <w:r>
        <w:rPr>
          <w:spacing w:val="-8"/>
          <w:sz w:val="21"/>
        </w:rPr>
        <w:t> </w:t>
      </w:r>
      <w:r>
        <w:rPr>
          <w:sz w:val="21"/>
        </w:rPr>
        <w:t>their leadership, the</w:t>
      </w:r>
      <w:r>
        <w:rPr>
          <w:spacing w:val="-1"/>
          <w:sz w:val="21"/>
        </w:rPr>
        <w:t> </w:t>
      </w:r>
      <w:r>
        <w:rPr>
          <w:sz w:val="21"/>
        </w:rPr>
        <w:t>program possesses</w:t>
      </w:r>
      <w:r>
        <w:rPr>
          <w:spacing w:val="-1"/>
          <w:sz w:val="21"/>
        </w:rPr>
        <w:t> </w:t>
      </w:r>
      <w:r>
        <w:rPr>
          <w:sz w:val="21"/>
        </w:rPr>
        <w:t>a strong</w:t>
      </w:r>
      <w:r>
        <w:rPr>
          <w:spacing w:val="-1"/>
          <w:sz w:val="21"/>
        </w:rPr>
        <w:t> </w:t>
      </w:r>
      <w:r>
        <w:rPr>
          <w:sz w:val="21"/>
        </w:rPr>
        <w:t>capacity</w:t>
      </w:r>
      <w:r>
        <w:rPr>
          <w:spacing w:val="-1"/>
          <w:sz w:val="21"/>
        </w:rPr>
        <w:t> </w:t>
      </w:r>
      <w:r>
        <w:rPr>
          <w:sz w:val="21"/>
        </w:rPr>
        <w:t>to</w:t>
      </w:r>
      <w:r>
        <w:rPr>
          <w:spacing w:val="-2"/>
          <w:sz w:val="21"/>
        </w:rPr>
        <w:t> </w:t>
      </w:r>
      <w:r>
        <w:rPr>
          <w:sz w:val="21"/>
        </w:rPr>
        <w:t>navigate</w:t>
      </w:r>
      <w:r>
        <w:rPr>
          <w:spacing w:val="-2"/>
          <w:sz w:val="21"/>
        </w:rPr>
        <w:t> </w:t>
      </w:r>
      <w:r>
        <w:rPr>
          <w:sz w:val="21"/>
        </w:rPr>
        <w:t>the</w:t>
      </w:r>
      <w:r>
        <w:rPr>
          <w:spacing w:val="-1"/>
          <w:sz w:val="21"/>
        </w:rPr>
        <w:t> </w:t>
      </w:r>
      <w:r>
        <w:rPr>
          <w:sz w:val="21"/>
        </w:rPr>
        <w:t>increasing</w:t>
      </w:r>
      <w:r>
        <w:rPr>
          <w:spacing w:val="-1"/>
          <w:sz w:val="21"/>
        </w:rPr>
        <w:t> </w:t>
      </w:r>
      <w:r>
        <w:rPr>
          <w:sz w:val="21"/>
        </w:rPr>
        <w:t>external</w:t>
      </w:r>
      <w:r>
        <w:rPr>
          <w:spacing w:val="-1"/>
          <w:sz w:val="21"/>
        </w:rPr>
        <w:t> </w:t>
      </w:r>
      <w:r>
        <w:rPr>
          <w:sz w:val="21"/>
        </w:rPr>
        <w:t>challenges</w:t>
      </w:r>
      <w:r>
        <w:rPr>
          <w:spacing w:val="-1"/>
          <w:sz w:val="21"/>
        </w:rPr>
        <w:t> </w:t>
      </w:r>
      <w:r>
        <w:rPr>
          <w:sz w:val="21"/>
        </w:rPr>
        <w:t>related to LGBTQ+ and race-related content. Their combined expertise ensures the implementation of effective strategies and support systems, fostering safer and more inclusive school environments for all students.</w:t>
      </w:r>
    </w:p>
    <w:p>
      <w:pPr>
        <w:pStyle w:val="ListParagraph"/>
        <w:numPr>
          <w:ilvl w:val="0"/>
          <w:numId w:val="33"/>
        </w:numPr>
        <w:tabs>
          <w:tab w:pos="623" w:val="left" w:leader="none"/>
        </w:tabs>
        <w:spacing w:line="240" w:lineRule="auto" w:before="240" w:after="0"/>
        <w:ind w:left="623" w:right="0" w:hanging="359"/>
        <w:jc w:val="left"/>
        <w:rPr>
          <w:b/>
          <w:sz w:val="21"/>
        </w:rPr>
      </w:pPr>
      <w:r>
        <w:rPr>
          <w:b/>
          <w:sz w:val="21"/>
        </w:rPr>
        <w:t>Explore</w:t>
      </w:r>
      <w:r>
        <w:rPr>
          <w:b/>
          <w:spacing w:val="-5"/>
          <w:sz w:val="21"/>
        </w:rPr>
        <w:t> </w:t>
      </w:r>
      <w:r>
        <w:rPr>
          <w:b/>
          <w:sz w:val="21"/>
        </w:rPr>
        <w:t>increasing</w:t>
      </w:r>
      <w:r>
        <w:rPr>
          <w:b/>
          <w:spacing w:val="-2"/>
          <w:sz w:val="21"/>
        </w:rPr>
        <w:t> </w:t>
      </w:r>
      <w:r>
        <w:rPr>
          <w:b/>
          <w:sz w:val="21"/>
        </w:rPr>
        <w:t>data</w:t>
      </w:r>
      <w:r>
        <w:rPr>
          <w:b/>
          <w:spacing w:val="-2"/>
          <w:sz w:val="21"/>
        </w:rPr>
        <w:t> </w:t>
      </w:r>
      <w:r>
        <w:rPr>
          <w:b/>
          <w:sz w:val="21"/>
        </w:rPr>
        <w:t>on</w:t>
      </w:r>
      <w:r>
        <w:rPr>
          <w:b/>
          <w:spacing w:val="-3"/>
          <w:sz w:val="21"/>
        </w:rPr>
        <w:t> </w:t>
      </w:r>
      <w:r>
        <w:rPr>
          <w:b/>
          <w:sz w:val="21"/>
        </w:rPr>
        <w:t>sexual</w:t>
      </w:r>
      <w:r>
        <w:rPr>
          <w:b/>
          <w:spacing w:val="-3"/>
          <w:sz w:val="21"/>
        </w:rPr>
        <w:t> </w:t>
      </w:r>
      <w:r>
        <w:rPr>
          <w:b/>
          <w:sz w:val="21"/>
        </w:rPr>
        <w:t>orientation,</w:t>
      </w:r>
      <w:r>
        <w:rPr>
          <w:b/>
          <w:spacing w:val="-2"/>
          <w:sz w:val="21"/>
        </w:rPr>
        <w:t> </w:t>
      </w:r>
      <w:r>
        <w:rPr>
          <w:b/>
          <w:sz w:val="21"/>
        </w:rPr>
        <w:t>gender</w:t>
      </w:r>
      <w:r>
        <w:rPr>
          <w:b/>
          <w:spacing w:val="-3"/>
          <w:sz w:val="21"/>
        </w:rPr>
        <w:t> </w:t>
      </w:r>
      <w:r>
        <w:rPr>
          <w:b/>
          <w:sz w:val="21"/>
        </w:rPr>
        <w:t>identity,</w:t>
      </w:r>
      <w:r>
        <w:rPr>
          <w:b/>
          <w:spacing w:val="-2"/>
          <w:sz w:val="21"/>
        </w:rPr>
        <w:t> </w:t>
      </w:r>
      <w:r>
        <w:rPr>
          <w:b/>
          <w:sz w:val="21"/>
        </w:rPr>
        <w:t>and</w:t>
      </w:r>
      <w:r>
        <w:rPr>
          <w:b/>
          <w:spacing w:val="-3"/>
          <w:sz w:val="21"/>
        </w:rPr>
        <w:t> </w:t>
      </w:r>
      <w:r>
        <w:rPr>
          <w:b/>
          <w:spacing w:val="-2"/>
          <w:sz w:val="21"/>
        </w:rPr>
        <w:t>expression.</w:t>
      </w:r>
    </w:p>
    <w:p>
      <w:pPr>
        <w:pStyle w:val="BodyText"/>
        <w:spacing w:before="22"/>
        <w:rPr>
          <w:b/>
          <w:sz w:val="21"/>
        </w:rPr>
      </w:pPr>
    </w:p>
    <w:p>
      <w:pPr>
        <w:spacing w:line="276" w:lineRule="auto" w:before="0"/>
        <w:ind w:left="623" w:right="479" w:firstLine="0"/>
        <w:jc w:val="both"/>
        <w:rPr>
          <w:sz w:val="21"/>
        </w:rPr>
      </w:pPr>
      <w:r>
        <w:rPr>
          <w:sz w:val="21"/>
        </w:rPr>
        <w:t>Massachusetts has made significant progress in collecting data on sexual orientation, gender identity, and gender expression (SOGIE) among students, as included in the MYRBS. The Commission encourages DESE to continue exploring ways to enhance SOGIE data collection to better understand and serve LGBTQ </w:t>
      </w:r>
      <w:r>
        <w:rPr>
          <w:spacing w:val="-2"/>
          <w:sz w:val="21"/>
        </w:rPr>
        <w:t>students.</w:t>
      </w:r>
    </w:p>
    <w:p>
      <w:pPr>
        <w:spacing w:line="276" w:lineRule="auto" w:before="240"/>
        <w:ind w:left="623" w:right="479" w:firstLine="0"/>
        <w:jc w:val="both"/>
        <w:rPr>
          <w:sz w:val="21"/>
        </w:rPr>
      </w:pPr>
      <w:r>
        <w:rPr>
          <w:sz w:val="21"/>
        </w:rPr>
        <w:t>The Commission recommends biannual meetings between its Commission and Safe Schools staff and relevant DESE staff involved in data initiatives that include LGBTQ+ individuals, such as the YRBS, School Health Profiles, and VOCAL data. This will facilitate regular communication on improving measurement methods and proactively addressing changes in terminology that impact data collection. Additionally, the Commission advocates for increased funding to develop more comprehensive elementary and middle school measurements related to mental health and school climate.</w:t>
      </w:r>
    </w:p>
    <w:p>
      <w:pPr>
        <w:pStyle w:val="ListParagraph"/>
        <w:numPr>
          <w:ilvl w:val="0"/>
          <w:numId w:val="33"/>
        </w:numPr>
        <w:tabs>
          <w:tab w:pos="623" w:val="left" w:leader="none"/>
        </w:tabs>
        <w:spacing w:line="240" w:lineRule="auto" w:before="241" w:after="0"/>
        <w:ind w:left="623" w:right="0" w:hanging="359"/>
        <w:jc w:val="left"/>
        <w:rPr>
          <w:b/>
          <w:sz w:val="21"/>
        </w:rPr>
      </w:pPr>
      <w:r>
        <w:rPr>
          <w:b/>
          <w:sz w:val="21"/>
        </w:rPr>
        <w:t>Ensure</w:t>
      </w:r>
      <w:r>
        <w:rPr>
          <w:b/>
          <w:spacing w:val="-2"/>
          <w:sz w:val="21"/>
        </w:rPr>
        <w:t> </w:t>
      </w:r>
      <w:r>
        <w:rPr>
          <w:b/>
          <w:sz w:val="21"/>
        </w:rPr>
        <w:t>LGBTQ</w:t>
      </w:r>
      <w:r>
        <w:rPr>
          <w:b/>
          <w:spacing w:val="-3"/>
          <w:sz w:val="21"/>
        </w:rPr>
        <w:t> </w:t>
      </w:r>
      <w:r>
        <w:rPr>
          <w:b/>
          <w:sz w:val="21"/>
        </w:rPr>
        <w:t>inclusivity</w:t>
      </w:r>
      <w:r>
        <w:rPr>
          <w:b/>
          <w:spacing w:val="-3"/>
          <w:sz w:val="21"/>
        </w:rPr>
        <w:t> </w:t>
      </w:r>
      <w:r>
        <w:rPr>
          <w:b/>
          <w:sz w:val="21"/>
        </w:rPr>
        <w:t>in</w:t>
      </w:r>
      <w:r>
        <w:rPr>
          <w:b/>
          <w:spacing w:val="-3"/>
          <w:sz w:val="21"/>
        </w:rPr>
        <w:t> </w:t>
      </w:r>
      <w:r>
        <w:rPr>
          <w:b/>
          <w:sz w:val="21"/>
        </w:rPr>
        <w:t>curriculum</w:t>
      </w:r>
      <w:r>
        <w:rPr>
          <w:b/>
          <w:spacing w:val="-1"/>
          <w:sz w:val="21"/>
        </w:rPr>
        <w:t> </w:t>
      </w:r>
      <w:r>
        <w:rPr>
          <w:b/>
          <w:spacing w:val="-2"/>
          <w:sz w:val="21"/>
        </w:rPr>
        <w:t>initiatives.</w:t>
      </w:r>
    </w:p>
    <w:p>
      <w:pPr>
        <w:pStyle w:val="BodyText"/>
        <w:spacing w:before="22"/>
        <w:rPr>
          <w:b/>
          <w:sz w:val="21"/>
        </w:rPr>
      </w:pPr>
    </w:p>
    <w:p>
      <w:pPr>
        <w:spacing w:line="276" w:lineRule="auto" w:before="0"/>
        <w:ind w:left="623" w:right="478" w:firstLine="0"/>
        <w:jc w:val="both"/>
        <w:rPr>
          <w:sz w:val="21"/>
        </w:rPr>
      </w:pPr>
      <w:r>
        <w:rPr>
          <w:sz w:val="21"/>
        </w:rPr>
        <w:t>The</w:t>
      </w:r>
      <w:r>
        <w:rPr>
          <w:spacing w:val="-4"/>
          <w:sz w:val="21"/>
        </w:rPr>
        <w:t> </w:t>
      </w:r>
      <w:r>
        <w:rPr>
          <w:sz w:val="21"/>
        </w:rPr>
        <w:t>Commission</w:t>
      </w:r>
      <w:r>
        <w:rPr>
          <w:spacing w:val="-4"/>
          <w:sz w:val="21"/>
        </w:rPr>
        <w:t> </w:t>
      </w:r>
      <w:r>
        <w:rPr>
          <w:sz w:val="21"/>
        </w:rPr>
        <w:t>recommends</w:t>
      </w:r>
      <w:r>
        <w:rPr>
          <w:spacing w:val="-5"/>
          <w:sz w:val="21"/>
        </w:rPr>
        <w:t> </w:t>
      </w:r>
      <w:r>
        <w:rPr>
          <w:sz w:val="21"/>
        </w:rPr>
        <w:t>that</w:t>
      </w:r>
      <w:r>
        <w:rPr>
          <w:spacing w:val="-5"/>
          <w:sz w:val="21"/>
        </w:rPr>
        <w:t> </w:t>
      </w:r>
      <w:r>
        <w:rPr>
          <w:sz w:val="21"/>
        </w:rPr>
        <w:t>DESE</w:t>
      </w:r>
      <w:r>
        <w:rPr>
          <w:spacing w:val="-4"/>
          <w:sz w:val="21"/>
        </w:rPr>
        <w:t> </w:t>
      </w:r>
      <w:r>
        <w:rPr>
          <w:sz w:val="21"/>
        </w:rPr>
        <w:t>ensure</w:t>
      </w:r>
      <w:r>
        <w:rPr>
          <w:spacing w:val="-4"/>
          <w:sz w:val="21"/>
        </w:rPr>
        <w:t> </w:t>
      </w:r>
      <w:r>
        <w:rPr>
          <w:sz w:val="21"/>
        </w:rPr>
        <w:t>all</w:t>
      </w:r>
      <w:r>
        <w:rPr>
          <w:spacing w:val="-4"/>
          <w:sz w:val="21"/>
        </w:rPr>
        <w:t> </w:t>
      </w:r>
      <w:r>
        <w:rPr>
          <w:sz w:val="21"/>
        </w:rPr>
        <w:t>curriculum</w:t>
      </w:r>
      <w:r>
        <w:rPr>
          <w:spacing w:val="-4"/>
          <w:sz w:val="21"/>
        </w:rPr>
        <w:t> </w:t>
      </w:r>
      <w:r>
        <w:rPr>
          <w:sz w:val="21"/>
        </w:rPr>
        <w:t>initiatives,</w:t>
      </w:r>
      <w:r>
        <w:rPr>
          <w:spacing w:val="-3"/>
          <w:sz w:val="21"/>
        </w:rPr>
        <w:t> </w:t>
      </w:r>
      <w:r>
        <w:rPr>
          <w:sz w:val="21"/>
        </w:rPr>
        <w:t>including</w:t>
      </w:r>
      <w:r>
        <w:rPr>
          <w:spacing w:val="-4"/>
          <w:sz w:val="21"/>
        </w:rPr>
        <w:t> </w:t>
      </w:r>
      <w:r>
        <w:rPr>
          <w:sz w:val="21"/>
        </w:rPr>
        <w:t>curriculum</w:t>
      </w:r>
      <w:r>
        <w:rPr>
          <w:spacing w:val="-4"/>
          <w:sz w:val="21"/>
        </w:rPr>
        <w:t> </w:t>
      </w:r>
      <w:r>
        <w:rPr>
          <w:sz w:val="21"/>
        </w:rPr>
        <w:t>frameworks and instructional materials, are inclusive of LGBTQ identities and perspectives. This involves integrating LGBTQ topics and narratives across all subjects and grade levels to create a more inclusive and supportive educational environment for all students. Additionally, schools would benefit from further guidance and resources</w:t>
      </w:r>
      <w:r>
        <w:rPr>
          <w:spacing w:val="-11"/>
          <w:sz w:val="21"/>
        </w:rPr>
        <w:t> </w:t>
      </w:r>
      <w:r>
        <w:rPr>
          <w:sz w:val="21"/>
        </w:rPr>
        <w:t>for</w:t>
      </w:r>
      <w:r>
        <w:rPr>
          <w:spacing w:val="-10"/>
          <w:sz w:val="21"/>
        </w:rPr>
        <w:t> </w:t>
      </w:r>
      <w:r>
        <w:rPr>
          <w:sz w:val="21"/>
        </w:rPr>
        <w:t>educators</w:t>
      </w:r>
      <w:r>
        <w:rPr>
          <w:spacing w:val="-11"/>
          <w:sz w:val="21"/>
        </w:rPr>
        <w:t> </w:t>
      </w:r>
      <w:r>
        <w:rPr>
          <w:sz w:val="21"/>
        </w:rPr>
        <w:t>to</w:t>
      </w:r>
      <w:r>
        <w:rPr>
          <w:spacing w:val="-11"/>
          <w:sz w:val="21"/>
        </w:rPr>
        <w:t> </w:t>
      </w:r>
      <w:r>
        <w:rPr>
          <w:sz w:val="21"/>
        </w:rPr>
        <w:t>help</w:t>
      </w:r>
      <w:r>
        <w:rPr>
          <w:spacing w:val="-10"/>
          <w:sz w:val="21"/>
        </w:rPr>
        <w:t> </w:t>
      </w:r>
      <w:r>
        <w:rPr>
          <w:sz w:val="21"/>
        </w:rPr>
        <w:t>them</w:t>
      </w:r>
      <w:r>
        <w:rPr>
          <w:spacing w:val="-10"/>
          <w:sz w:val="21"/>
        </w:rPr>
        <w:t> </w:t>
      </w:r>
      <w:r>
        <w:rPr>
          <w:sz w:val="21"/>
        </w:rPr>
        <w:t>effectively</w:t>
      </w:r>
      <w:r>
        <w:rPr>
          <w:spacing w:val="-10"/>
          <w:sz w:val="21"/>
        </w:rPr>
        <w:t> </w:t>
      </w:r>
      <w:r>
        <w:rPr>
          <w:sz w:val="21"/>
        </w:rPr>
        <w:t>incorporate</w:t>
      </w:r>
      <w:r>
        <w:rPr>
          <w:spacing w:val="-10"/>
          <w:sz w:val="21"/>
        </w:rPr>
        <w:t> </w:t>
      </w:r>
      <w:r>
        <w:rPr>
          <w:sz w:val="21"/>
        </w:rPr>
        <w:t>LGBTQ</w:t>
      </w:r>
      <w:r>
        <w:rPr>
          <w:spacing w:val="-10"/>
          <w:sz w:val="21"/>
        </w:rPr>
        <w:t> </w:t>
      </w:r>
      <w:r>
        <w:rPr>
          <w:sz w:val="21"/>
        </w:rPr>
        <w:t>inclusivity</w:t>
      </w:r>
      <w:r>
        <w:rPr>
          <w:spacing w:val="-10"/>
          <w:sz w:val="21"/>
        </w:rPr>
        <w:t> </w:t>
      </w:r>
      <w:r>
        <w:rPr>
          <w:sz w:val="21"/>
        </w:rPr>
        <w:t>into</w:t>
      </w:r>
      <w:r>
        <w:rPr>
          <w:spacing w:val="-11"/>
          <w:sz w:val="21"/>
        </w:rPr>
        <w:t> </w:t>
      </w:r>
      <w:r>
        <w:rPr>
          <w:sz w:val="21"/>
        </w:rPr>
        <w:t>their</w:t>
      </w:r>
      <w:r>
        <w:rPr>
          <w:spacing w:val="-10"/>
          <w:sz w:val="21"/>
        </w:rPr>
        <w:t> </w:t>
      </w:r>
      <w:r>
        <w:rPr>
          <w:sz w:val="21"/>
        </w:rPr>
        <w:t>teaching</w:t>
      </w:r>
      <w:r>
        <w:rPr>
          <w:spacing w:val="-11"/>
          <w:sz w:val="21"/>
        </w:rPr>
        <w:t> </w:t>
      </w:r>
      <w:r>
        <w:rPr>
          <w:sz w:val="21"/>
        </w:rPr>
        <w:t>practices.</w:t>
      </w:r>
    </w:p>
    <w:p>
      <w:pPr>
        <w:spacing w:line="276" w:lineRule="auto" w:before="240"/>
        <w:ind w:left="623" w:right="481" w:firstLine="0"/>
        <w:jc w:val="both"/>
        <w:rPr>
          <w:sz w:val="21"/>
        </w:rPr>
      </w:pPr>
      <w:r>
        <w:rPr>
          <w:sz w:val="21"/>
        </w:rPr>
        <w:t>The</w:t>
      </w:r>
      <w:r>
        <w:rPr>
          <w:spacing w:val="-2"/>
          <w:sz w:val="21"/>
        </w:rPr>
        <w:t> </w:t>
      </w:r>
      <w:r>
        <w:rPr>
          <w:sz w:val="21"/>
        </w:rPr>
        <w:t>Commission</w:t>
      </w:r>
      <w:r>
        <w:rPr>
          <w:spacing w:val="-2"/>
          <w:sz w:val="21"/>
        </w:rPr>
        <w:t> </w:t>
      </w:r>
      <w:r>
        <w:rPr>
          <w:sz w:val="21"/>
        </w:rPr>
        <w:t>commends</w:t>
      </w:r>
      <w:r>
        <w:rPr>
          <w:spacing w:val="-2"/>
          <w:sz w:val="21"/>
        </w:rPr>
        <w:t> </w:t>
      </w:r>
      <w:r>
        <w:rPr>
          <w:sz w:val="21"/>
        </w:rPr>
        <w:t>DESE</w:t>
      </w:r>
      <w:r>
        <w:rPr>
          <w:spacing w:val="-2"/>
          <w:sz w:val="21"/>
        </w:rPr>
        <w:t> </w:t>
      </w:r>
      <w:r>
        <w:rPr>
          <w:sz w:val="21"/>
        </w:rPr>
        <w:t>and</w:t>
      </w:r>
      <w:r>
        <w:rPr>
          <w:spacing w:val="-2"/>
          <w:sz w:val="21"/>
        </w:rPr>
        <w:t> </w:t>
      </w:r>
      <w:r>
        <w:rPr>
          <w:sz w:val="21"/>
        </w:rPr>
        <w:t>the</w:t>
      </w:r>
      <w:r>
        <w:rPr>
          <w:spacing w:val="-3"/>
          <w:sz w:val="21"/>
        </w:rPr>
        <w:t> </w:t>
      </w:r>
      <w:r>
        <w:rPr>
          <w:sz w:val="21"/>
        </w:rPr>
        <w:t>Board</w:t>
      </w:r>
      <w:r>
        <w:rPr>
          <w:spacing w:val="-2"/>
          <w:sz w:val="21"/>
        </w:rPr>
        <w:t> </w:t>
      </w:r>
      <w:r>
        <w:rPr>
          <w:sz w:val="21"/>
        </w:rPr>
        <w:t>of</w:t>
      </w:r>
      <w:r>
        <w:rPr>
          <w:spacing w:val="-2"/>
          <w:sz w:val="21"/>
        </w:rPr>
        <w:t> </w:t>
      </w:r>
      <w:r>
        <w:rPr>
          <w:sz w:val="21"/>
        </w:rPr>
        <w:t>Elementary</w:t>
      </w:r>
      <w:r>
        <w:rPr>
          <w:spacing w:val="-2"/>
          <w:sz w:val="21"/>
        </w:rPr>
        <w:t> </w:t>
      </w:r>
      <w:r>
        <w:rPr>
          <w:sz w:val="21"/>
        </w:rPr>
        <w:t>and</w:t>
      </w:r>
      <w:r>
        <w:rPr>
          <w:spacing w:val="-4"/>
          <w:sz w:val="21"/>
        </w:rPr>
        <w:t> </w:t>
      </w:r>
      <w:r>
        <w:rPr>
          <w:sz w:val="21"/>
        </w:rPr>
        <w:t>Secondary</w:t>
      </w:r>
      <w:r>
        <w:rPr>
          <w:spacing w:val="-2"/>
          <w:sz w:val="21"/>
        </w:rPr>
        <w:t> </w:t>
      </w:r>
      <w:r>
        <w:rPr>
          <w:sz w:val="21"/>
        </w:rPr>
        <w:t>Education</w:t>
      </w:r>
      <w:r>
        <w:rPr>
          <w:spacing w:val="-2"/>
          <w:sz w:val="21"/>
        </w:rPr>
        <w:t> </w:t>
      </w:r>
      <w:r>
        <w:rPr>
          <w:sz w:val="21"/>
        </w:rPr>
        <w:t>for</w:t>
      </w:r>
      <w:r>
        <w:rPr>
          <w:spacing w:val="-2"/>
          <w:sz w:val="21"/>
        </w:rPr>
        <w:t> </w:t>
      </w:r>
      <w:r>
        <w:rPr>
          <w:sz w:val="21"/>
        </w:rPr>
        <w:t>updating</w:t>
      </w:r>
      <w:r>
        <w:rPr>
          <w:spacing w:val="-2"/>
          <w:sz w:val="21"/>
        </w:rPr>
        <w:t> </w:t>
      </w:r>
      <w:r>
        <w:rPr>
          <w:sz w:val="21"/>
        </w:rPr>
        <w:t>and approving the Comprehensive Health and Physical Education framework for the first time since 1999. The Safe Schools Program for LGBTQ Students is well-equipped to provide training and technical assistance as part of ongoing and broader implementation efforts, addressing frequently asked questions and practical </w:t>
      </w:r>
      <w:r>
        <w:rPr>
          <w:spacing w:val="-2"/>
          <w:sz w:val="21"/>
        </w:rPr>
        <w:t>application.</w:t>
      </w:r>
    </w:p>
    <w:p>
      <w:pPr>
        <w:pStyle w:val="ListParagraph"/>
        <w:numPr>
          <w:ilvl w:val="0"/>
          <w:numId w:val="33"/>
        </w:numPr>
        <w:tabs>
          <w:tab w:pos="623" w:val="left" w:leader="none"/>
        </w:tabs>
        <w:spacing w:line="240" w:lineRule="auto" w:before="240" w:after="0"/>
        <w:ind w:left="623" w:right="0" w:hanging="359"/>
        <w:jc w:val="left"/>
        <w:rPr>
          <w:b/>
          <w:sz w:val="21"/>
        </w:rPr>
      </w:pPr>
      <w:r>
        <w:rPr>
          <w:b/>
          <w:sz w:val="21"/>
        </w:rPr>
        <w:t>Develop</w:t>
      </w:r>
      <w:r>
        <w:rPr>
          <w:b/>
          <w:spacing w:val="-5"/>
          <w:sz w:val="21"/>
        </w:rPr>
        <w:t> </w:t>
      </w:r>
      <w:r>
        <w:rPr>
          <w:b/>
          <w:sz w:val="21"/>
        </w:rPr>
        <w:t>and</w:t>
      </w:r>
      <w:r>
        <w:rPr>
          <w:b/>
          <w:spacing w:val="-3"/>
          <w:sz w:val="21"/>
        </w:rPr>
        <w:t> </w:t>
      </w:r>
      <w:r>
        <w:rPr>
          <w:b/>
          <w:sz w:val="21"/>
        </w:rPr>
        <w:t>model</w:t>
      </w:r>
      <w:r>
        <w:rPr>
          <w:b/>
          <w:spacing w:val="-3"/>
          <w:sz w:val="21"/>
        </w:rPr>
        <w:t> </w:t>
      </w:r>
      <w:r>
        <w:rPr>
          <w:b/>
          <w:sz w:val="21"/>
        </w:rPr>
        <w:t>strategies</w:t>
      </w:r>
      <w:r>
        <w:rPr>
          <w:b/>
          <w:spacing w:val="-2"/>
          <w:sz w:val="21"/>
        </w:rPr>
        <w:t> </w:t>
      </w:r>
      <w:r>
        <w:rPr>
          <w:b/>
          <w:sz w:val="21"/>
        </w:rPr>
        <w:t>for</w:t>
      </w:r>
      <w:r>
        <w:rPr>
          <w:b/>
          <w:spacing w:val="-3"/>
          <w:sz w:val="21"/>
        </w:rPr>
        <w:t> </w:t>
      </w:r>
      <w:r>
        <w:rPr>
          <w:b/>
          <w:sz w:val="21"/>
        </w:rPr>
        <w:t>recruiting</w:t>
      </w:r>
      <w:r>
        <w:rPr>
          <w:b/>
          <w:spacing w:val="-3"/>
          <w:sz w:val="21"/>
        </w:rPr>
        <w:t> </w:t>
      </w:r>
      <w:r>
        <w:rPr>
          <w:b/>
          <w:sz w:val="21"/>
        </w:rPr>
        <w:t>and</w:t>
      </w:r>
      <w:r>
        <w:rPr>
          <w:b/>
          <w:spacing w:val="-2"/>
          <w:sz w:val="21"/>
        </w:rPr>
        <w:t> </w:t>
      </w:r>
      <w:r>
        <w:rPr>
          <w:b/>
          <w:sz w:val="21"/>
        </w:rPr>
        <w:t>retaining</w:t>
      </w:r>
      <w:r>
        <w:rPr>
          <w:b/>
          <w:spacing w:val="-3"/>
          <w:sz w:val="21"/>
        </w:rPr>
        <w:t> </w:t>
      </w:r>
      <w:r>
        <w:rPr>
          <w:b/>
          <w:sz w:val="21"/>
        </w:rPr>
        <w:t>a</w:t>
      </w:r>
      <w:r>
        <w:rPr>
          <w:b/>
          <w:spacing w:val="-3"/>
          <w:sz w:val="21"/>
        </w:rPr>
        <w:t> </w:t>
      </w:r>
      <w:r>
        <w:rPr>
          <w:b/>
          <w:sz w:val="21"/>
        </w:rPr>
        <w:t>diverse</w:t>
      </w:r>
      <w:r>
        <w:rPr>
          <w:b/>
          <w:spacing w:val="-3"/>
          <w:sz w:val="21"/>
        </w:rPr>
        <w:t> </w:t>
      </w:r>
      <w:r>
        <w:rPr>
          <w:b/>
          <w:sz w:val="21"/>
        </w:rPr>
        <w:t>workforce</w:t>
      </w:r>
      <w:r>
        <w:rPr>
          <w:b/>
          <w:spacing w:val="-3"/>
          <w:sz w:val="21"/>
        </w:rPr>
        <w:t> </w:t>
      </w:r>
      <w:r>
        <w:rPr>
          <w:b/>
          <w:sz w:val="21"/>
        </w:rPr>
        <w:t>in</w:t>
      </w:r>
      <w:r>
        <w:rPr>
          <w:b/>
          <w:spacing w:val="-2"/>
          <w:sz w:val="21"/>
        </w:rPr>
        <w:t> schools.</w:t>
      </w:r>
    </w:p>
    <w:p>
      <w:pPr>
        <w:pStyle w:val="BodyText"/>
        <w:spacing w:before="22"/>
        <w:rPr>
          <w:b/>
          <w:sz w:val="21"/>
        </w:rPr>
      </w:pPr>
    </w:p>
    <w:p>
      <w:pPr>
        <w:spacing w:line="276" w:lineRule="auto" w:before="0"/>
        <w:ind w:left="623" w:right="480" w:firstLine="0"/>
        <w:jc w:val="both"/>
        <w:rPr>
          <w:sz w:val="21"/>
        </w:rPr>
      </w:pPr>
      <w:r>
        <w:rPr>
          <w:sz w:val="21"/>
        </w:rPr>
        <w:t>The Commission recommends DESE develop and model strategies for recruiting and retaining a diverse workforce in schools, with a specific focus on including LGBTQ educators and professionals. This initiative should involve creating inclusive hiring practices, offering professional development opportunities on diversity</w:t>
      </w:r>
      <w:r>
        <w:rPr>
          <w:spacing w:val="64"/>
          <w:sz w:val="21"/>
        </w:rPr>
        <w:t> </w:t>
      </w:r>
      <w:r>
        <w:rPr>
          <w:sz w:val="21"/>
        </w:rPr>
        <w:t>and</w:t>
      </w:r>
      <w:r>
        <w:rPr>
          <w:spacing w:val="64"/>
          <w:sz w:val="21"/>
        </w:rPr>
        <w:t> </w:t>
      </w:r>
      <w:r>
        <w:rPr>
          <w:sz w:val="21"/>
        </w:rPr>
        <w:t>inclusion,</w:t>
      </w:r>
      <w:r>
        <w:rPr>
          <w:spacing w:val="64"/>
          <w:sz w:val="21"/>
        </w:rPr>
        <w:t> </w:t>
      </w:r>
      <w:r>
        <w:rPr>
          <w:sz w:val="21"/>
        </w:rPr>
        <w:t>and</w:t>
      </w:r>
      <w:r>
        <w:rPr>
          <w:spacing w:val="64"/>
          <w:sz w:val="21"/>
        </w:rPr>
        <w:t> </w:t>
      </w:r>
      <w:r>
        <w:rPr>
          <w:sz w:val="21"/>
        </w:rPr>
        <w:t>establishing</w:t>
      </w:r>
      <w:r>
        <w:rPr>
          <w:spacing w:val="63"/>
          <w:sz w:val="21"/>
        </w:rPr>
        <w:t> </w:t>
      </w:r>
      <w:r>
        <w:rPr>
          <w:sz w:val="21"/>
        </w:rPr>
        <w:t>and</w:t>
      </w:r>
      <w:r>
        <w:rPr>
          <w:spacing w:val="64"/>
          <w:sz w:val="21"/>
        </w:rPr>
        <w:t> </w:t>
      </w:r>
      <w:r>
        <w:rPr>
          <w:sz w:val="21"/>
        </w:rPr>
        <w:t>fostering</w:t>
      </w:r>
      <w:r>
        <w:rPr>
          <w:spacing w:val="63"/>
          <w:sz w:val="21"/>
        </w:rPr>
        <w:t> </w:t>
      </w:r>
      <w:r>
        <w:rPr>
          <w:sz w:val="21"/>
        </w:rPr>
        <w:t>ongoing</w:t>
      </w:r>
      <w:r>
        <w:rPr>
          <w:spacing w:val="65"/>
          <w:sz w:val="21"/>
        </w:rPr>
        <w:t> </w:t>
      </w:r>
      <w:r>
        <w:rPr>
          <w:sz w:val="21"/>
        </w:rPr>
        <w:t>support</w:t>
      </w:r>
      <w:r>
        <w:rPr>
          <w:spacing w:val="64"/>
          <w:sz w:val="21"/>
        </w:rPr>
        <w:t> </w:t>
      </w:r>
      <w:r>
        <w:rPr>
          <w:sz w:val="21"/>
        </w:rPr>
        <w:t>networks</w:t>
      </w:r>
      <w:r>
        <w:rPr>
          <w:spacing w:val="63"/>
          <w:sz w:val="21"/>
        </w:rPr>
        <w:t> </w:t>
      </w:r>
      <w:r>
        <w:rPr>
          <w:sz w:val="21"/>
        </w:rPr>
        <w:t>for</w:t>
      </w:r>
      <w:r>
        <w:rPr>
          <w:spacing w:val="64"/>
          <w:sz w:val="21"/>
        </w:rPr>
        <w:t> </w:t>
      </w:r>
      <w:r>
        <w:rPr>
          <w:sz w:val="21"/>
        </w:rPr>
        <w:t>LGBTQ</w:t>
      </w:r>
      <w:r>
        <w:rPr>
          <w:spacing w:val="64"/>
          <w:sz w:val="21"/>
        </w:rPr>
        <w:t> </w:t>
      </w:r>
      <w:r>
        <w:rPr>
          <w:sz w:val="21"/>
        </w:rPr>
        <w:t>staff.</w:t>
      </w:r>
    </w:p>
    <w:p>
      <w:pPr>
        <w:spacing w:after="0" w:line="276" w:lineRule="auto"/>
        <w:jc w:val="both"/>
        <w:rPr>
          <w:sz w:val="21"/>
        </w:rPr>
        <w:sectPr>
          <w:pgSz w:w="12240" w:h="15840"/>
          <w:pgMar w:header="763" w:footer="1041" w:top="960" w:bottom="1240" w:left="960" w:right="1100"/>
        </w:sectPr>
      </w:pPr>
    </w:p>
    <w:p>
      <w:pPr>
        <w:spacing w:line="276" w:lineRule="auto" w:before="250"/>
        <w:ind w:left="624" w:right="481" w:firstLine="0"/>
        <w:jc w:val="both"/>
        <w:rPr>
          <w:sz w:val="21"/>
        </w:rPr>
      </w:pPr>
      <w:r>
        <w:rPr>
          <w:sz w:val="21"/>
        </w:rPr>
        <w:t>Additionally, DESE should promote inclusive school cultures that value and celebrate diversity, ensuring that all educators and professionals feel supported and valued in their roles.</w:t>
      </w:r>
    </w:p>
    <w:p>
      <w:pPr>
        <w:spacing w:line="276" w:lineRule="auto" w:before="240"/>
        <w:ind w:left="623" w:right="483" w:firstLine="0"/>
        <w:jc w:val="both"/>
        <w:rPr>
          <w:sz w:val="21"/>
        </w:rPr>
      </w:pPr>
      <w:r>
        <w:rPr>
          <w:sz w:val="21"/>
        </w:rPr>
        <w:t>DESE’s Principles for Ensuring Safe and Supportive Learning Environments for Lesbian, Gay, Bisexual, Transgender, Queer, and Questioning (LGBTQ) Students state:</w:t>
      </w:r>
    </w:p>
    <w:p>
      <w:pPr>
        <w:spacing w:line="276" w:lineRule="auto" w:before="239"/>
        <w:ind w:left="650" w:right="509" w:firstLine="2"/>
        <w:jc w:val="center"/>
        <w:rPr>
          <w:rFonts w:ascii="Cambria" w:hAnsi="Cambria"/>
          <w:i/>
          <w:sz w:val="21"/>
        </w:rPr>
      </w:pPr>
      <w:r>
        <w:rPr>
          <w:rFonts w:ascii="Cambria" w:hAnsi="Cambria"/>
          <w:i/>
          <w:sz w:val="21"/>
        </w:rPr>
        <w:t>“Schools are encouraged to have a diverse workforce. To provide authentic role models for all students,</w:t>
      </w:r>
      <w:r>
        <w:rPr>
          <w:rFonts w:ascii="Cambria" w:hAnsi="Cambria"/>
          <w:i/>
          <w:sz w:val="21"/>
        </w:rPr>
        <w:t> schools</w:t>
      </w:r>
      <w:r>
        <w:rPr>
          <w:rFonts w:ascii="Cambria" w:hAnsi="Cambria"/>
          <w:i/>
          <w:spacing w:val="-3"/>
          <w:sz w:val="21"/>
        </w:rPr>
        <w:t> </w:t>
      </w:r>
      <w:r>
        <w:rPr>
          <w:rFonts w:ascii="Cambria" w:hAnsi="Cambria"/>
          <w:i/>
          <w:sz w:val="21"/>
        </w:rPr>
        <w:t>should</w:t>
      </w:r>
      <w:r>
        <w:rPr>
          <w:rFonts w:ascii="Cambria" w:hAnsi="Cambria"/>
          <w:i/>
          <w:spacing w:val="-3"/>
          <w:sz w:val="21"/>
        </w:rPr>
        <w:t> </w:t>
      </w:r>
      <w:r>
        <w:rPr>
          <w:rFonts w:ascii="Cambria" w:hAnsi="Cambria"/>
          <w:i/>
          <w:sz w:val="21"/>
        </w:rPr>
        <w:t>have</w:t>
      </w:r>
      <w:r>
        <w:rPr>
          <w:rFonts w:ascii="Cambria" w:hAnsi="Cambria"/>
          <w:i/>
          <w:spacing w:val="-4"/>
          <w:sz w:val="21"/>
        </w:rPr>
        <w:t> </w:t>
      </w:r>
      <w:r>
        <w:rPr>
          <w:rFonts w:ascii="Cambria" w:hAnsi="Cambria"/>
          <w:i/>
          <w:sz w:val="21"/>
        </w:rPr>
        <w:t>diverse</w:t>
      </w:r>
      <w:r>
        <w:rPr>
          <w:rFonts w:ascii="Cambria" w:hAnsi="Cambria"/>
          <w:i/>
          <w:spacing w:val="-3"/>
          <w:sz w:val="21"/>
        </w:rPr>
        <w:t> </w:t>
      </w:r>
      <w:r>
        <w:rPr>
          <w:rFonts w:ascii="Cambria" w:hAnsi="Cambria"/>
          <w:i/>
          <w:sz w:val="21"/>
        </w:rPr>
        <w:t>staff</w:t>
      </w:r>
      <w:r>
        <w:rPr>
          <w:rFonts w:ascii="Cambria" w:hAnsi="Cambria"/>
          <w:i/>
          <w:spacing w:val="-3"/>
          <w:sz w:val="21"/>
        </w:rPr>
        <w:t> </w:t>
      </w:r>
      <w:r>
        <w:rPr>
          <w:rFonts w:ascii="Cambria" w:hAnsi="Cambria"/>
          <w:i/>
          <w:sz w:val="21"/>
        </w:rPr>
        <w:t>who</w:t>
      </w:r>
      <w:r>
        <w:rPr>
          <w:rFonts w:ascii="Cambria" w:hAnsi="Cambria"/>
          <w:i/>
          <w:spacing w:val="-3"/>
          <w:sz w:val="21"/>
        </w:rPr>
        <w:t> </w:t>
      </w:r>
      <w:r>
        <w:rPr>
          <w:rFonts w:ascii="Cambria" w:hAnsi="Cambria"/>
          <w:i/>
          <w:sz w:val="21"/>
        </w:rPr>
        <w:t>reflect</w:t>
      </w:r>
      <w:r>
        <w:rPr>
          <w:rFonts w:ascii="Cambria" w:hAnsi="Cambria"/>
          <w:i/>
          <w:spacing w:val="-3"/>
          <w:sz w:val="21"/>
        </w:rPr>
        <w:t> </w:t>
      </w:r>
      <w:r>
        <w:rPr>
          <w:rFonts w:ascii="Cambria" w:hAnsi="Cambria"/>
          <w:i/>
          <w:sz w:val="21"/>
        </w:rPr>
        <w:t>the</w:t>
      </w:r>
      <w:r>
        <w:rPr>
          <w:rFonts w:ascii="Cambria" w:hAnsi="Cambria"/>
          <w:i/>
          <w:spacing w:val="-3"/>
          <w:sz w:val="21"/>
        </w:rPr>
        <w:t> </w:t>
      </w:r>
      <w:r>
        <w:rPr>
          <w:rFonts w:ascii="Cambria" w:hAnsi="Cambria"/>
          <w:i/>
          <w:sz w:val="21"/>
        </w:rPr>
        <w:t>protected</w:t>
      </w:r>
      <w:r>
        <w:rPr>
          <w:rFonts w:ascii="Cambria" w:hAnsi="Cambria"/>
          <w:i/>
          <w:spacing w:val="-3"/>
          <w:sz w:val="21"/>
        </w:rPr>
        <w:t> </w:t>
      </w:r>
      <w:r>
        <w:rPr>
          <w:rFonts w:ascii="Cambria" w:hAnsi="Cambria"/>
          <w:i/>
          <w:sz w:val="21"/>
        </w:rPr>
        <w:t>categories</w:t>
      </w:r>
      <w:r>
        <w:rPr>
          <w:rFonts w:ascii="Cambria" w:hAnsi="Cambria"/>
          <w:i/>
          <w:spacing w:val="-3"/>
          <w:sz w:val="21"/>
        </w:rPr>
        <w:t> </w:t>
      </w:r>
      <w:r>
        <w:rPr>
          <w:rFonts w:ascii="Cambria" w:hAnsi="Cambria"/>
          <w:i/>
          <w:sz w:val="21"/>
        </w:rPr>
        <w:t>in</w:t>
      </w:r>
      <w:r>
        <w:rPr>
          <w:rFonts w:ascii="Cambria" w:hAnsi="Cambria"/>
          <w:i/>
          <w:spacing w:val="-2"/>
          <w:sz w:val="21"/>
        </w:rPr>
        <w:t> </w:t>
      </w:r>
      <w:r>
        <w:rPr>
          <w:rFonts w:ascii="Cambria" w:hAnsi="Cambria"/>
          <w:i/>
          <w:sz w:val="21"/>
        </w:rPr>
        <w:t>the</w:t>
      </w:r>
      <w:r>
        <w:rPr>
          <w:rFonts w:ascii="Cambria" w:hAnsi="Cambria"/>
          <w:i/>
          <w:spacing w:val="-3"/>
          <w:sz w:val="21"/>
        </w:rPr>
        <w:t> </w:t>
      </w:r>
      <w:r>
        <w:rPr>
          <w:rFonts w:ascii="Cambria" w:hAnsi="Cambria"/>
          <w:i/>
          <w:sz w:val="21"/>
        </w:rPr>
        <w:t>Student</w:t>
      </w:r>
      <w:r>
        <w:rPr>
          <w:rFonts w:ascii="Cambria" w:hAnsi="Cambria"/>
          <w:i/>
          <w:spacing w:val="-3"/>
          <w:sz w:val="21"/>
        </w:rPr>
        <w:t> </w:t>
      </w:r>
      <w:r>
        <w:rPr>
          <w:rFonts w:ascii="Cambria" w:hAnsi="Cambria"/>
          <w:i/>
          <w:sz w:val="21"/>
        </w:rPr>
        <w:t>Anti-discrimination Law, including gender identity and sexual orientation. While employers cannot inquire about an applicant's sexual orientation or gender identity, it is important that school systems foster work environments where openly LGBTQ staff members feel safe, supported, and valued.”</w:t>
      </w:r>
    </w:p>
    <w:p>
      <w:pPr>
        <w:spacing w:line="276" w:lineRule="auto" w:before="241"/>
        <w:ind w:left="624" w:right="481" w:firstLine="0"/>
        <w:jc w:val="both"/>
        <w:rPr>
          <w:sz w:val="21"/>
        </w:rPr>
      </w:pPr>
      <w:r>
        <w:rPr>
          <w:sz w:val="21"/>
        </w:rPr>
        <w:t>In addition to ensuring that non-LGBTQ educators and staff are culturally responsive to LGBTQ issues, the Commission recommends that DESE explicitly state its commitment to fostering a diverse workforce by supporting</w:t>
      </w:r>
      <w:r>
        <w:rPr>
          <w:spacing w:val="-6"/>
          <w:sz w:val="21"/>
        </w:rPr>
        <w:t> </w:t>
      </w:r>
      <w:r>
        <w:rPr>
          <w:sz w:val="21"/>
        </w:rPr>
        <w:t>and</w:t>
      </w:r>
      <w:r>
        <w:rPr>
          <w:spacing w:val="-5"/>
          <w:sz w:val="21"/>
        </w:rPr>
        <w:t> </w:t>
      </w:r>
      <w:r>
        <w:rPr>
          <w:sz w:val="21"/>
        </w:rPr>
        <w:t>valuing</w:t>
      </w:r>
      <w:r>
        <w:rPr>
          <w:spacing w:val="-7"/>
          <w:sz w:val="21"/>
        </w:rPr>
        <w:t> </w:t>
      </w:r>
      <w:r>
        <w:rPr>
          <w:sz w:val="21"/>
        </w:rPr>
        <w:t>LGBTQ</w:t>
      </w:r>
      <w:r>
        <w:rPr>
          <w:spacing w:val="-5"/>
          <w:sz w:val="21"/>
        </w:rPr>
        <w:t> </w:t>
      </w:r>
      <w:r>
        <w:rPr>
          <w:sz w:val="21"/>
        </w:rPr>
        <w:t>educators.</w:t>
      </w:r>
      <w:r>
        <w:rPr>
          <w:spacing w:val="-6"/>
          <w:sz w:val="21"/>
        </w:rPr>
        <w:t> </w:t>
      </w:r>
      <w:r>
        <w:rPr>
          <w:sz w:val="21"/>
        </w:rPr>
        <w:t>We</w:t>
      </w:r>
      <w:r>
        <w:rPr>
          <w:spacing w:val="-7"/>
          <w:sz w:val="21"/>
        </w:rPr>
        <w:t> </w:t>
      </w:r>
      <w:r>
        <w:rPr>
          <w:sz w:val="21"/>
        </w:rPr>
        <w:t>commend</w:t>
      </w:r>
      <w:r>
        <w:rPr>
          <w:spacing w:val="-5"/>
          <w:sz w:val="21"/>
        </w:rPr>
        <w:t> </w:t>
      </w:r>
      <w:r>
        <w:rPr>
          <w:sz w:val="21"/>
        </w:rPr>
        <w:t>DESE</w:t>
      </w:r>
      <w:r>
        <w:rPr>
          <w:spacing w:val="-6"/>
          <w:sz w:val="21"/>
        </w:rPr>
        <w:t> </w:t>
      </w:r>
      <w:r>
        <w:rPr>
          <w:sz w:val="21"/>
        </w:rPr>
        <w:t>for</w:t>
      </w:r>
      <w:r>
        <w:rPr>
          <w:spacing w:val="-5"/>
          <w:sz w:val="21"/>
        </w:rPr>
        <w:t> </w:t>
      </w:r>
      <w:r>
        <w:rPr>
          <w:sz w:val="21"/>
        </w:rPr>
        <w:t>implementing</w:t>
      </w:r>
      <w:r>
        <w:rPr>
          <w:spacing w:val="-6"/>
          <w:sz w:val="21"/>
        </w:rPr>
        <w:t> </w:t>
      </w:r>
      <w:r>
        <w:rPr>
          <w:sz w:val="21"/>
        </w:rPr>
        <w:t>a</w:t>
      </w:r>
      <w:r>
        <w:rPr>
          <w:spacing w:val="-8"/>
          <w:sz w:val="21"/>
        </w:rPr>
        <w:t> </w:t>
      </w:r>
      <w:r>
        <w:rPr>
          <w:sz w:val="21"/>
        </w:rPr>
        <w:t>new</w:t>
      </w:r>
      <w:r>
        <w:rPr>
          <w:spacing w:val="-6"/>
          <w:sz w:val="21"/>
        </w:rPr>
        <w:t> </w:t>
      </w:r>
      <w:r>
        <w:rPr>
          <w:sz w:val="21"/>
        </w:rPr>
        <w:t>ELAR</w:t>
      </w:r>
      <w:r>
        <w:rPr>
          <w:spacing w:val="-5"/>
          <w:sz w:val="21"/>
        </w:rPr>
        <w:t> </w:t>
      </w:r>
      <w:r>
        <w:rPr>
          <w:sz w:val="21"/>
        </w:rPr>
        <w:t>system</w:t>
      </w:r>
      <w:r>
        <w:rPr>
          <w:spacing w:val="-6"/>
          <w:sz w:val="21"/>
        </w:rPr>
        <w:t> </w:t>
      </w:r>
      <w:r>
        <w:rPr>
          <w:sz w:val="21"/>
        </w:rPr>
        <w:t>(online licensure</w:t>
      </w:r>
      <w:r>
        <w:rPr>
          <w:spacing w:val="-1"/>
          <w:sz w:val="21"/>
        </w:rPr>
        <w:t> </w:t>
      </w:r>
      <w:r>
        <w:rPr>
          <w:sz w:val="21"/>
        </w:rPr>
        <w:t>program)</w:t>
      </w:r>
      <w:r>
        <w:rPr>
          <w:spacing w:val="-1"/>
          <w:sz w:val="21"/>
        </w:rPr>
        <w:t> </w:t>
      </w:r>
      <w:r>
        <w:rPr>
          <w:sz w:val="21"/>
        </w:rPr>
        <w:t>that now</w:t>
      </w:r>
      <w:r>
        <w:rPr>
          <w:spacing w:val="-1"/>
          <w:sz w:val="21"/>
        </w:rPr>
        <w:t> </w:t>
      </w:r>
      <w:r>
        <w:rPr>
          <w:sz w:val="21"/>
        </w:rPr>
        <w:t>offers</w:t>
      </w:r>
      <w:r>
        <w:rPr>
          <w:spacing w:val="-1"/>
          <w:sz w:val="21"/>
        </w:rPr>
        <w:t> </w:t>
      </w:r>
      <w:r>
        <w:rPr>
          <w:sz w:val="21"/>
        </w:rPr>
        <w:t>expanded</w:t>
      </w:r>
      <w:r>
        <w:rPr>
          <w:spacing w:val="-1"/>
          <w:sz w:val="21"/>
        </w:rPr>
        <w:t> </w:t>
      </w:r>
      <w:r>
        <w:rPr>
          <w:sz w:val="21"/>
        </w:rPr>
        <w:t>options, including</w:t>
      </w:r>
      <w:r>
        <w:rPr>
          <w:spacing w:val="-1"/>
          <w:sz w:val="21"/>
        </w:rPr>
        <w:t> </w:t>
      </w:r>
      <w:r>
        <w:rPr>
          <w:sz w:val="21"/>
        </w:rPr>
        <w:t>nonbinary</w:t>
      </w:r>
      <w:r>
        <w:rPr>
          <w:spacing w:val="-1"/>
          <w:sz w:val="21"/>
        </w:rPr>
        <w:t> </w:t>
      </w:r>
      <w:r>
        <w:rPr>
          <w:sz w:val="21"/>
        </w:rPr>
        <w:t>and</w:t>
      </w:r>
      <w:r>
        <w:rPr>
          <w:spacing w:val="-1"/>
          <w:sz w:val="21"/>
        </w:rPr>
        <w:t> </w:t>
      </w:r>
      <w:r>
        <w:rPr>
          <w:sz w:val="21"/>
        </w:rPr>
        <w:t>‘gender</w:t>
      </w:r>
      <w:r>
        <w:rPr>
          <w:spacing w:val="-1"/>
          <w:sz w:val="21"/>
        </w:rPr>
        <w:t> </w:t>
      </w:r>
      <w:r>
        <w:rPr>
          <w:sz w:val="21"/>
        </w:rPr>
        <w:t>not specified’.</w:t>
      </w:r>
      <w:r>
        <w:rPr>
          <w:spacing w:val="-1"/>
          <w:sz w:val="21"/>
        </w:rPr>
        <w:t> </w:t>
      </w:r>
      <w:r>
        <w:rPr>
          <w:sz w:val="21"/>
        </w:rPr>
        <w:t>The Education Personnel Information Management System (EPIMS) has offered a third gender marker since </w:t>
      </w:r>
      <w:r>
        <w:rPr>
          <w:spacing w:val="-2"/>
          <w:sz w:val="21"/>
        </w:rPr>
        <w:t>2016.</w:t>
      </w:r>
    </w:p>
    <w:p>
      <w:pPr>
        <w:pStyle w:val="ListParagraph"/>
        <w:numPr>
          <w:ilvl w:val="0"/>
          <w:numId w:val="33"/>
        </w:numPr>
        <w:tabs>
          <w:tab w:pos="623" w:val="left" w:leader="none"/>
        </w:tabs>
        <w:spacing w:line="240" w:lineRule="auto" w:before="240" w:after="0"/>
        <w:ind w:left="623" w:right="0" w:hanging="359"/>
        <w:jc w:val="left"/>
        <w:rPr>
          <w:b/>
          <w:sz w:val="21"/>
        </w:rPr>
      </w:pPr>
      <w:r>
        <w:rPr>
          <w:b/>
          <w:sz w:val="21"/>
        </w:rPr>
        <w:t>Partner</w:t>
      </w:r>
      <w:r>
        <w:rPr>
          <w:b/>
          <w:spacing w:val="-5"/>
          <w:sz w:val="21"/>
        </w:rPr>
        <w:t> </w:t>
      </w:r>
      <w:r>
        <w:rPr>
          <w:b/>
          <w:sz w:val="21"/>
        </w:rPr>
        <w:t>with</w:t>
      </w:r>
      <w:r>
        <w:rPr>
          <w:b/>
          <w:spacing w:val="-2"/>
          <w:sz w:val="21"/>
        </w:rPr>
        <w:t> </w:t>
      </w:r>
      <w:r>
        <w:rPr>
          <w:b/>
          <w:sz w:val="21"/>
        </w:rPr>
        <w:t>the</w:t>
      </w:r>
      <w:r>
        <w:rPr>
          <w:b/>
          <w:spacing w:val="-2"/>
          <w:sz w:val="21"/>
        </w:rPr>
        <w:t> </w:t>
      </w:r>
      <w:r>
        <w:rPr>
          <w:b/>
          <w:sz w:val="21"/>
        </w:rPr>
        <w:t>Commission</w:t>
      </w:r>
      <w:r>
        <w:rPr>
          <w:b/>
          <w:spacing w:val="-3"/>
          <w:sz w:val="21"/>
        </w:rPr>
        <w:t> </w:t>
      </w:r>
      <w:r>
        <w:rPr>
          <w:b/>
          <w:sz w:val="21"/>
        </w:rPr>
        <w:t>to</w:t>
      </w:r>
      <w:r>
        <w:rPr>
          <w:b/>
          <w:spacing w:val="-2"/>
          <w:sz w:val="21"/>
        </w:rPr>
        <w:t> </w:t>
      </w:r>
      <w:r>
        <w:rPr>
          <w:b/>
          <w:sz w:val="21"/>
        </w:rPr>
        <w:t>better</w:t>
      </w:r>
      <w:r>
        <w:rPr>
          <w:b/>
          <w:spacing w:val="-2"/>
          <w:sz w:val="21"/>
        </w:rPr>
        <w:t> </w:t>
      </w:r>
      <w:r>
        <w:rPr>
          <w:b/>
          <w:sz w:val="21"/>
        </w:rPr>
        <w:t>understand</w:t>
      </w:r>
      <w:r>
        <w:rPr>
          <w:b/>
          <w:spacing w:val="-2"/>
          <w:sz w:val="21"/>
        </w:rPr>
        <w:t> </w:t>
      </w:r>
      <w:r>
        <w:rPr>
          <w:b/>
          <w:sz w:val="21"/>
        </w:rPr>
        <w:t>and</w:t>
      </w:r>
      <w:r>
        <w:rPr>
          <w:b/>
          <w:spacing w:val="-4"/>
          <w:sz w:val="21"/>
        </w:rPr>
        <w:t> </w:t>
      </w:r>
      <w:r>
        <w:rPr>
          <w:b/>
          <w:sz w:val="21"/>
        </w:rPr>
        <w:t>meet</w:t>
      </w:r>
      <w:r>
        <w:rPr>
          <w:b/>
          <w:spacing w:val="-1"/>
          <w:sz w:val="21"/>
        </w:rPr>
        <w:t> </w:t>
      </w:r>
      <w:r>
        <w:rPr>
          <w:b/>
          <w:sz w:val="21"/>
        </w:rPr>
        <w:t>the</w:t>
      </w:r>
      <w:r>
        <w:rPr>
          <w:b/>
          <w:spacing w:val="-2"/>
          <w:sz w:val="21"/>
        </w:rPr>
        <w:t> </w:t>
      </w:r>
      <w:r>
        <w:rPr>
          <w:b/>
          <w:sz w:val="21"/>
        </w:rPr>
        <w:t>needs</w:t>
      </w:r>
      <w:r>
        <w:rPr>
          <w:b/>
          <w:spacing w:val="-3"/>
          <w:sz w:val="21"/>
        </w:rPr>
        <w:t> </w:t>
      </w:r>
      <w:r>
        <w:rPr>
          <w:b/>
          <w:sz w:val="21"/>
        </w:rPr>
        <w:t>of</w:t>
      </w:r>
      <w:r>
        <w:rPr>
          <w:b/>
          <w:spacing w:val="-2"/>
          <w:sz w:val="21"/>
        </w:rPr>
        <w:t> </w:t>
      </w:r>
      <w:r>
        <w:rPr>
          <w:b/>
          <w:sz w:val="21"/>
        </w:rPr>
        <w:t>BIPOC</w:t>
      </w:r>
      <w:r>
        <w:rPr>
          <w:b/>
          <w:spacing w:val="-2"/>
          <w:sz w:val="21"/>
        </w:rPr>
        <w:t> </w:t>
      </w:r>
      <w:r>
        <w:rPr>
          <w:b/>
          <w:sz w:val="21"/>
        </w:rPr>
        <w:t>LGBTQ</w:t>
      </w:r>
      <w:r>
        <w:rPr>
          <w:b/>
          <w:spacing w:val="-2"/>
          <w:sz w:val="21"/>
        </w:rPr>
        <w:t> students.</w:t>
      </w:r>
    </w:p>
    <w:p>
      <w:pPr>
        <w:pStyle w:val="BodyText"/>
        <w:spacing w:before="23"/>
        <w:rPr>
          <w:b/>
          <w:sz w:val="21"/>
        </w:rPr>
      </w:pPr>
    </w:p>
    <w:p>
      <w:pPr>
        <w:spacing w:line="276" w:lineRule="auto" w:before="0"/>
        <w:ind w:left="624" w:right="480" w:firstLine="0"/>
        <w:jc w:val="both"/>
        <w:rPr>
          <w:sz w:val="21"/>
        </w:rPr>
      </w:pPr>
      <w:r>
        <w:rPr>
          <w:sz w:val="21"/>
        </w:rPr>
        <w:t>Partner with the Commission to better understand and meet the needs of BIPOC LGBTQ students. The Commission recommends that DESE investigate how BIPOC LGBTQ students are affected by policies and practices that create barriers to a safe and successful learning experience and develop trauma-informed strategies and interventions to address these barriers. The Commission has been particularly concerned with</w:t>
      </w:r>
      <w:r>
        <w:rPr>
          <w:spacing w:val="-2"/>
          <w:sz w:val="21"/>
        </w:rPr>
        <w:t> </w:t>
      </w:r>
      <w:r>
        <w:rPr>
          <w:sz w:val="21"/>
        </w:rPr>
        <w:t>the</w:t>
      </w:r>
      <w:r>
        <w:rPr>
          <w:spacing w:val="-3"/>
          <w:sz w:val="21"/>
        </w:rPr>
        <w:t> </w:t>
      </w:r>
      <w:r>
        <w:rPr>
          <w:sz w:val="21"/>
        </w:rPr>
        <w:t>impact</w:t>
      </w:r>
      <w:r>
        <w:rPr>
          <w:spacing w:val="-1"/>
          <w:sz w:val="21"/>
        </w:rPr>
        <w:t> </w:t>
      </w:r>
      <w:r>
        <w:rPr>
          <w:sz w:val="21"/>
        </w:rPr>
        <w:t>of</w:t>
      </w:r>
      <w:r>
        <w:rPr>
          <w:spacing w:val="-2"/>
          <w:sz w:val="21"/>
        </w:rPr>
        <w:t> </w:t>
      </w:r>
      <w:r>
        <w:rPr>
          <w:sz w:val="21"/>
        </w:rPr>
        <w:t>the</w:t>
      </w:r>
      <w:r>
        <w:rPr>
          <w:spacing w:val="-3"/>
          <w:sz w:val="21"/>
        </w:rPr>
        <w:t> </w:t>
      </w:r>
      <w:r>
        <w:rPr>
          <w:sz w:val="21"/>
        </w:rPr>
        <w:t>school-to-prison</w:t>
      </w:r>
      <w:r>
        <w:rPr>
          <w:spacing w:val="-2"/>
          <w:sz w:val="21"/>
        </w:rPr>
        <w:t> </w:t>
      </w:r>
      <w:r>
        <w:rPr>
          <w:sz w:val="21"/>
        </w:rPr>
        <w:t>pipeline</w:t>
      </w:r>
      <w:r>
        <w:rPr>
          <w:spacing w:val="-2"/>
          <w:sz w:val="21"/>
        </w:rPr>
        <w:t> </w:t>
      </w:r>
      <w:r>
        <w:rPr>
          <w:sz w:val="21"/>
        </w:rPr>
        <w:t>on</w:t>
      </w:r>
      <w:r>
        <w:rPr>
          <w:spacing w:val="-2"/>
          <w:sz w:val="21"/>
        </w:rPr>
        <w:t> </w:t>
      </w:r>
      <w:r>
        <w:rPr>
          <w:sz w:val="21"/>
        </w:rPr>
        <w:t>BIPOC</w:t>
      </w:r>
      <w:r>
        <w:rPr>
          <w:spacing w:val="-2"/>
          <w:sz w:val="21"/>
        </w:rPr>
        <w:t> </w:t>
      </w:r>
      <w:r>
        <w:rPr>
          <w:sz w:val="21"/>
        </w:rPr>
        <w:t>LGBTQ</w:t>
      </w:r>
      <w:r>
        <w:rPr>
          <w:spacing w:val="-2"/>
          <w:sz w:val="21"/>
        </w:rPr>
        <w:t> </w:t>
      </w:r>
      <w:r>
        <w:rPr>
          <w:sz w:val="21"/>
        </w:rPr>
        <w:t>students</w:t>
      </w:r>
      <w:r>
        <w:rPr>
          <w:spacing w:val="-2"/>
          <w:sz w:val="21"/>
        </w:rPr>
        <w:t> </w:t>
      </w:r>
      <w:r>
        <w:rPr>
          <w:sz w:val="21"/>
        </w:rPr>
        <w:t>and</w:t>
      </w:r>
      <w:r>
        <w:rPr>
          <w:spacing w:val="-3"/>
          <w:sz w:val="21"/>
        </w:rPr>
        <w:t> </w:t>
      </w:r>
      <w:r>
        <w:rPr>
          <w:sz w:val="21"/>
        </w:rPr>
        <w:t>notes</w:t>
      </w:r>
      <w:r>
        <w:rPr>
          <w:spacing w:val="-2"/>
          <w:sz w:val="21"/>
        </w:rPr>
        <w:t> </w:t>
      </w:r>
      <w:r>
        <w:rPr>
          <w:sz w:val="21"/>
        </w:rPr>
        <w:t>that</w:t>
      </w:r>
      <w:r>
        <w:rPr>
          <w:spacing w:val="-3"/>
          <w:sz w:val="21"/>
        </w:rPr>
        <w:t> </w:t>
      </w:r>
      <w:r>
        <w:rPr>
          <w:sz w:val="21"/>
        </w:rPr>
        <w:t>DESE’s</w:t>
      </w:r>
      <w:r>
        <w:rPr>
          <w:spacing w:val="-2"/>
          <w:sz w:val="21"/>
        </w:rPr>
        <w:t> </w:t>
      </w:r>
      <w:r>
        <w:rPr>
          <w:sz w:val="21"/>
        </w:rPr>
        <w:t>guidance on supporting LGBTQ students calls on schools to examine how LGBTQ students are affected by related factors like disciplinary action and involvement in the juvenile justice system.</w:t>
      </w:r>
    </w:p>
    <w:p>
      <w:pPr>
        <w:spacing w:line="276" w:lineRule="auto" w:before="239"/>
        <w:ind w:left="624" w:right="480" w:firstLine="0"/>
        <w:jc w:val="both"/>
        <w:rPr>
          <w:sz w:val="21"/>
        </w:rPr>
      </w:pPr>
      <w:r>
        <w:rPr>
          <w:sz w:val="21"/>
        </w:rPr>
        <w:t>As</w:t>
      </w:r>
      <w:r>
        <w:rPr>
          <w:spacing w:val="-2"/>
          <w:sz w:val="21"/>
        </w:rPr>
        <w:t> </w:t>
      </w:r>
      <w:r>
        <w:rPr>
          <w:sz w:val="21"/>
        </w:rPr>
        <w:t>the</w:t>
      </w:r>
      <w:r>
        <w:rPr>
          <w:spacing w:val="-2"/>
          <w:sz w:val="21"/>
        </w:rPr>
        <w:t> </w:t>
      </w:r>
      <w:r>
        <w:rPr>
          <w:sz w:val="21"/>
        </w:rPr>
        <w:t>Commission</w:t>
      </w:r>
      <w:r>
        <w:rPr>
          <w:spacing w:val="-2"/>
          <w:sz w:val="21"/>
        </w:rPr>
        <w:t> </w:t>
      </w:r>
      <w:r>
        <w:rPr>
          <w:sz w:val="21"/>
        </w:rPr>
        <w:t>continues</w:t>
      </w:r>
      <w:r>
        <w:rPr>
          <w:spacing w:val="-2"/>
          <w:sz w:val="21"/>
        </w:rPr>
        <w:t> </w:t>
      </w:r>
      <w:r>
        <w:rPr>
          <w:sz w:val="21"/>
        </w:rPr>
        <w:t>to</w:t>
      </w:r>
      <w:r>
        <w:rPr>
          <w:spacing w:val="-2"/>
          <w:sz w:val="21"/>
        </w:rPr>
        <w:t> </w:t>
      </w:r>
      <w:r>
        <w:rPr>
          <w:sz w:val="21"/>
        </w:rPr>
        <w:t>carry</w:t>
      </w:r>
      <w:r>
        <w:rPr>
          <w:spacing w:val="-3"/>
          <w:sz w:val="21"/>
        </w:rPr>
        <w:t> </w:t>
      </w:r>
      <w:r>
        <w:rPr>
          <w:sz w:val="21"/>
        </w:rPr>
        <w:t>out</w:t>
      </w:r>
      <w:r>
        <w:rPr>
          <w:spacing w:val="-1"/>
          <w:sz w:val="21"/>
        </w:rPr>
        <w:t> </w:t>
      </w:r>
      <w:r>
        <w:rPr>
          <w:sz w:val="21"/>
        </w:rPr>
        <w:t>its</w:t>
      </w:r>
      <w:r>
        <w:rPr>
          <w:spacing w:val="-3"/>
          <w:sz w:val="21"/>
        </w:rPr>
        <w:t> </w:t>
      </w:r>
      <w:r>
        <w:rPr>
          <w:sz w:val="21"/>
        </w:rPr>
        <w:t>own</w:t>
      </w:r>
      <w:r>
        <w:rPr>
          <w:spacing w:val="-2"/>
          <w:sz w:val="21"/>
        </w:rPr>
        <w:t> </w:t>
      </w:r>
      <w:r>
        <w:rPr>
          <w:sz w:val="21"/>
        </w:rPr>
        <w:t>work</w:t>
      </w:r>
      <w:r>
        <w:rPr>
          <w:spacing w:val="-2"/>
          <w:sz w:val="21"/>
        </w:rPr>
        <w:t> </w:t>
      </w:r>
      <w:r>
        <w:rPr>
          <w:sz w:val="21"/>
        </w:rPr>
        <w:t>on</w:t>
      </w:r>
      <w:r>
        <w:rPr>
          <w:spacing w:val="-2"/>
          <w:sz w:val="21"/>
        </w:rPr>
        <w:t> </w:t>
      </w:r>
      <w:r>
        <w:rPr>
          <w:sz w:val="21"/>
        </w:rPr>
        <w:t>racial</w:t>
      </w:r>
      <w:r>
        <w:rPr>
          <w:spacing w:val="-2"/>
          <w:sz w:val="21"/>
        </w:rPr>
        <w:t> </w:t>
      </w:r>
      <w:r>
        <w:rPr>
          <w:sz w:val="21"/>
        </w:rPr>
        <w:t>justice,</w:t>
      </w:r>
      <w:r>
        <w:rPr>
          <w:spacing w:val="-1"/>
          <w:sz w:val="21"/>
        </w:rPr>
        <w:t> </w:t>
      </w:r>
      <w:r>
        <w:rPr>
          <w:sz w:val="21"/>
        </w:rPr>
        <w:t>it</w:t>
      </w:r>
      <w:r>
        <w:rPr>
          <w:spacing w:val="-3"/>
          <w:sz w:val="21"/>
        </w:rPr>
        <w:t> </w:t>
      </w:r>
      <w:r>
        <w:rPr>
          <w:sz w:val="21"/>
        </w:rPr>
        <w:t>looks</w:t>
      </w:r>
      <w:r>
        <w:rPr>
          <w:spacing w:val="-2"/>
          <w:sz w:val="21"/>
        </w:rPr>
        <w:t> </w:t>
      </w:r>
      <w:r>
        <w:rPr>
          <w:sz w:val="21"/>
        </w:rPr>
        <w:t>forward</w:t>
      </w:r>
      <w:r>
        <w:rPr>
          <w:spacing w:val="-2"/>
          <w:sz w:val="21"/>
        </w:rPr>
        <w:t> </w:t>
      </w:r>
      <w:r>
        <w:rPr>
          <w:sz w:val="21"/>
        </w:rPr>
        <w:t>to</w:t>
      </w:r>
      <w:r>
        <w:rPr>
          <w:spacing w:val="-3"/>
          <w:sz w:val="21"/>
        </w:rPr>
        <w:t> </w:t>
      </w:r>
      <w:r>
        <w:rPr>
          <w:sz w:val="21"/>
        </w:rPr>
        <w:t>continuing</w:t>
      </w:r>
      <w:r>
        <w:rPr>
          <w:spacing w:val="-2"/>
          <w:sz w:val="21"/>
        </w:rPr>
        <w:t> </w:t>
      </w:r>
      <w:r>
        <w:rPr>
          <w:sz w:val="21"/>
        </w:rPr>
        <w:t>this discussion with DESE, including how shared findings on the needs of BIPOC youth can inform the Safe Schools Program for LGBTQ Students delivery. The Safe Schools Program for LGBTQ Students has recently revised its training materials to place greater emphasis on racial equity and gender diversity for the 2024- 2025 school year. The program plans to conduct a training-of-trainers event in July 2024.</w:t>
      </w:r>
    </w:p>
    <w:p>
      <w:pPr>
        <w:spacing w:line="276" w:lineRule="auto" w:before="241"/>
        <w:ind w:left="624" w:right="478" w:firstLine="0"/>
        <w:jc w:val="both"/>
        <w:rPr>
          <w:sz w:val="21"/>
        </w:rPr>
      </w:pPr>
      <w:r>
        <w:rPr>
          <w:sz w:val="21"/>
        </w:rPr>
        <w:t>In</w:t>
      </w:r>
      <w:r>
        <w:rPr>
          <w:spacing w:val="-7"/>
          <w:sz w:val="21"/>
        </w:rPr>
        <w:t> </w:t>
      </w:r>
      <w:r>
        <w:rPr>
          <w:sz w:val="21"/>
        </w:rPr>
        <w:t>an</w:t>
      </w:r>
      <w:r>
        <w:rPr>
          <w:spacing w:val="-7"/>
          <w:sz w:val="21"/>
        </w:rPr>
        <w:t> </w:t>
      </w:r>
      <w:r>
        <w:rPr>
          <w:sz w:val="21"/>
        </w:rPr>
        <w:t>effort</w:t>
      </w:r>
      <w:r>
        <w:rPr>
          <w:spacing w:val="-6"/>
          <w:sz w:val="21"/>
        </w:rPr>
        <w:t> </w:t>
      </w:r>
      <w:r>
        <w:rPr>
          <w:sz w:val="21"/>
        </w:rPr>
        <w:t>to</w:t>
      </w:r>
      <w:r>
        <w:rPr>
          <w:spacing w:val="-8"/>
          <w:sz w:val="21"/>
        </w:rPr>
        <w:t> </w:t>
      </w:r>
      <w:r>
        <w:rPr>
          <w:sz w:val="21"/>
        </w:rPr>
        <w:t>reach</w:t>
      </w:r>
      <w:r>
        <w:rPr>
          <w:spacing w:val="-7"/>
          <w:sz w:val="21"/>
        </w:rPr>
        <w:t> </w:t>
      </w:r>
      <w:r>
        <w:rPr>
          <w:sz w:val="21"/>
        </w:rPr>
        <w:t>more</w:t>
      </w:r>
      <w:r>
        <w:rPr>
          <w:spacing w:val="-7"/>
          <w:sz w:val="21"/>
        </w:rPr>
        <w:t> </w:t>
      </w:r>
      <w:r>
        <w:rPr>
          <w:sz w:val="21"/>
        </w:rPr>
        <w:t>BIPOC</w:t>
      </w:r>
      <w:r>
        <w:rPr>
          <w:spacing w:val="-7"/>
          <w:sz w:val="21"/>
        </w:rPr>
        <w:t> </w:t>
      </w:r>
      <w:r>
        <w:rPr>
          <w:sz w:val="21"/>
        </w:rPr>
        <w:t>students</w:t>
      </w:r>
      <w:r>
        <w:rPr>
          <w:spacing w:val="-7"/>
          <w:sz w:val="21"/>
        </w:rPr>
        <w:t> </w:t>
      </w:r>
      <w:r>
        <w:rPr>
          <w:sz w:val="21"/>
        </w:rPr>
        <w:t>in</w:t>
      </w:r>
      <w:r>
        <w:rPr>
          <w:spacing w:val="-7"/>
          <w:sz w:val="21"/>
        </w:rPr>
        <w:t> </w:t>
      </w:r>
      <w:r>
        <w:rPr>
          <w:sz w:val="21"/>
        </w:rPr>
        <w:t>districts</w:t>
      </w:r>
      <w:r>
        <w:rPr>
          <w:spacing w:val="-7"/>
          <w:sz w:val="21"/>
        </w:rPr>
        <w:t> </w:t>
      </w:r>
      <w:r>
        <w:rPr>
          <w:sz w:val="21"/>
        </w:rPr>
        <w:t>across</w:t>
      </w:r>
      <w:r>
        <w:rPr>
          <w:spacing w:val="-7"/>
          <w:sz w:val="21"/>
        </w:rPr>
        <w:t> </w:t>
      </w:r>
      <w:r>
        <w:rPr>
          <w:sz w:val="21"/>
        </w:rPr>
        <w:t>the</w:t>
      </w:r>
      <w:r>
        <w:rPr>
          <w:spacing w:val="-7"/>
          <w:sz w:val="21"/>
        </w:rPr>
        <w:t> </w:t>
      </w:r>
      <w:r>
        <w:rPr>
          <w:sz w:val="21"/>
        </w:rPr>
        <w:t>state,</w:t>
      </w:r>
      <w:r>
        <w:rPr>
          <w:spacing w:val="-8"/>
          <w:sz w:val="21"/>
        </w:rPr>
        <w:t> </w:t>
      </w:r>
      <w:r>
        <w:rPr>
          <w:sz w:val="21"/>
        </w:rPr>
        <w:t>the</w:t>
      </w:r>
      <w:r>
        <w:rPr>
          <w:spacing w:val="-7"/>
          <w:sz w:val="21"/>
        </w:rPr>
        <w:t> </w:t>
      </w:r>
      <w:r>
        <w:rPr>
          <w:sz w:val="21"/>
        </w:rPr>
        <w:t>Commission</w:t>
      </w:r>
      <w:r>
        <w:rPr>
          <w:spacing w:val="-7"/>
          <w:sz w:val="21"/>
        </w:rPr>
        <w:t> </w:t>
      </w:r>
      <w:r>
        <w:rPr>
          <w:sz w:val="21"/>
        </w:rPr>
        <w:t>invites</w:t>
      </w:r>
      <w:r>
        <w:rPr>
          <w:spacing w:val="-7"/>
          <w:sz w:val="21"/>
        </w:rPr>
        <w:t> </w:t>
      </w:r>
      <w:r>
        <w:rPr>
          <w:sz w:val="21"/>
        </w:rPr>
        <w:t>DESE</w:t>
      </w:r>
      <w:r>
        <w:rPr>
          <w:spacing w:val="-7"/>
          <w:sz w:val="21"/>
        </w:rPr>
        <w:t> </w:t>
      </w:r>
      <w:r>
        <w:rPr>
          <w:sz w:val="21"/>
        </w:rPr>
        <w:t>to</w:t>
      </w:r>
      <w:r>
        <w:rPr>
          <w:spacing w:val="-7"/>
          <w:sz w:val="21"/>
        </w:rPr>
        <w:t> </w:t>
      </w:r>
      <w:r>
        <w:rPr>
          <w:sz w:val="21"/>
        </w:rPr>
        <w:t>work closely with the Safe Schools Program for LGBTQ Students in identifying an outreach plan for priority districts</w:t>
      </w:r>
      <w:r>
        <w:rPr>
          <w:spacing w:val="-1"/>
          <w:sz w:val="21"/>
        </w:rPr>
        <w:t> </w:t>
      </w:r>
      <w:r>
        <w:rPr>
          <w:sz w:val="21"/>
        </w:rPr>
        <w:t>for the</w:t>
      </w:r>
      <w:r>
        <w:rPr>
          <w:spacing w:val="-1"/>
          <w:sz w:val="21"/>
        </w:rPr>
        <w:t> </w:t>
      </w:r>
      <w:r>
        <w:rPr>
          <w:sz w:val="21"/>
        </w:rPr>
        <w:t>2024-2025</w:t>
      </w:r>
      <w:r>
        <w:rPr>
          <w:spacing w:val="-1"/>
          <w:sz w:val="21"/>
        </w:rPr>
        <w:t> </w:t>
      </w:r>
      <w:r>
        <w:rPr>
          <w:sz w:val="21"/>
        </w:rPr>
        <w:t>school</w:t>
      </w:r>
      <w:r>
        <w:rPr>
          <w:spacing w:val="-1"/>
          <w:sz w:val="21"/>
        </w:rPr>
        <w:t> </w:t>
      </w:r>
      <w:r>
        <w:rPr>
          <w:sz w:val="21"/>
        </w:rPr>
        <w:t>year.</w:t>
      </w:r>
      <w:r>
        <w:rPr>
          <w:spacing w:val="-1"/>
          <w:sz w:val="21"/>
        </w:rPr>
        <w:t> </w:t>
      </w:r>
      <w:r>
        <w:rPr>
          <w:sz w:val="21"/>
        </w:rPr>
        <w:t>This</w:t>
      </w:r>
      <w:r>
        <w:rPr>
          <w:spacing w:val="-1"/>
          <w:sz w:val="21"/>
        </w:rPr>
        <w:t> </w:t>
      </w:r>
      <w:r>
        <w:rPr>
          <w:sz w:val="21"/>
        </w:rPr>
        <w:t>would</w:t>
      </w:r>
      <w:r>
        <w:rPr>
          <w:spacing w:val="-1"/>
          <w:sz w:val="21"/>
        </w:rPr>
        <w:t> </w:t>
      </w:r>
      <w:r>
        <w:rPr>
          <w:sz w:val="21"/>
        </w:rPr>
        <w:t>include</w:t>
      </w:r>
      <w:r>
        <w:rPr>
          <w:spacing w:val="-1"/>
          <w:sz w:val="21"/>
        </w:rPr>
        <w:t> </w:t>
      </w:r>
      <w:r>
        <w:rPr>
          <w:sz w:val="21"/>
        </w:rPr>
        <w:t>creating</w:t>
      </w:r>
      <w:r>
        <w:rPr>
          <w:spacing w:val="-1"/>
          <w:sz w:val="21"/>
        </w:rPr>
        <w:t> </w:t>
      </w:r>
      <w:r>
        <w:rPr>
          <w:sz w:val="21"/>
        </w:rPr>
        <w:t>strategies</w:t>
      </w:r>
      <w:r>
        <w:rPr>
          <w:spacing w:val="-1"/>
          <w:sz w:val="21"/>
        </w:rPr>
        <w:t> </w:t>
      </w:r>
      <w:r>
        <w:rPr>
          <w:sz w:val="21"/>
        </w:rPr>
        <w:t>for increasing</w:t>
      </w:r>
      <w:r>
        <w:rPr>
          <w:spacing w:val="-1"/>
          <w:sz w:val="21"/>
        </w:rPr>
        <w:t> </w:t>
      </w:r>
      <w:r>
        <w:rPr>
          <w:sz w:val="21"/>
        </w:rPr>
        <w:t>attendance</w:t>
      </w:r>
      <w:r>
        <w:rPr>
          <w:spacing w:val="-1"/>
          <w:sz w:val="21"/>
        </w:rPr>
        <w:t> </w:t>
      </w:r>
      <w:r>
        <w:rPr>
          <w:sz w:val="21"/>
        </w:rPr>
        <w:t>at GSA Student Leadership Council meetings, providing training and technical assistance to districts, and understanding the landscape of BIPOC affinity student groups in schools across the state.</w:t>
      </w:r>
    </w:p>
    <w:p>
      <w:pPr>
        <w:pStyle w:val="ListParagraph"/>
        <w:numPr>
          <w:ilvl w:val="0"/>
          <w:numId w:val="33"/>
        </w:numPr>
        <w:tabs>
          <w:tab w:pos="623" w:val="left" w:leader="none"/>
        </w:tabs>
        <w:spacing w:line="240" w:lineRule="auto" w:before="240" w:after="0"/>
        <w:ind w:left="623" w:right="0" w:hanging="359"/>
        <w:jc w:val="left"/>
        <w:rPr>
          <w:b/>
          <w:sz w:val="21"/>
        </w:rPr>
      </w:pPr>
      <w:r>
        <w:rPr>
          <w:b/>
          <w:spacing w:val="-2"/>
          <w:sz w:val="21"/>
        </w:rPr>
        <w:t>Enhance</w:t>
      </w:r>
      <w:r>
        <w:rPr>
          <w:b/>
          <w:spacing w:val="-1"/>
          <w:sz w:val="21"/>
        </w:rPr>
        <w:t> </w:t>
      </w:r>
      <w:r>
        <w:rPr>
          <w:b/>
          <w:spacing w:val="-2"/>
          <w:sz w:val="21"/>
        </w:rPr>
        <w:t>internal</w:t>
      </w:r>
      <w:r>
        <w:rPr>
          <w:b/>
          <w:spacing w:val="1"/>
          <w:sz w:val="21"/>
        </w:rPr>
        <w:t> </w:t>
      </w:r>
      <w:r>
        <w:rPr>
          <w:b/>
          <w:spacing w:val="-2"/>
          <w:sz w:val="21"/>
        </w:rPr>
        <w:t>and</w:t>
      </w:r>
      <w:r>
        <w:rPr>
          <w:b/>
          <w:spacing w:val="1"/>
          <w:sz w:val="21"/>
        </w:rPr>
        <w:t> </w:t>
      </w:r>
      <w:r>
        <w:rPr>
          <w:b/>
          <w:spacing w:val="-2"/>
          <w:sz w:val="21"/>
        </w:rPr>
        <w:t>district-level</w:t>
      </w:r>
      <w:r>
        <w:rPr>
          <w:b/>
          <w:spacing w:val="1"/>
          <w:sz w:val="21"/>
        </w:rPr>
        <w:t> </w:t>
      </w:r>
      <w:r>
        <w:rPr>
          <w:b/>
          <w:spacing w:val="-2"/>
          <w:sz w:val="21"/>
        </w:rPr>
        <w:t>capacity</w:t>
      </w:r>
      <w:r>
        <w:rPr>
          <w:b/>
          <w:spacing w:val="1"/>
          <w:sz w:val="21"/>
        </w:rPr>
        <w:t> </w:t>
      </w:r>
      <w:r>
        <w:rPr>
          <w:b/>
          <w:spacing w:val="-2"/>
          <w:sz w:val="21"/>
        </w:rPr>
        <w:t>for</w:t>
      </w:r>
      <w:r>
        <w:rPr>
          <w:b/>
          <w:spacing w:val="1"/>
          <w:sz w:val="21"/>
        </w:rPr>
        <w:t> </w:t>
      </w:r>
      <w:r>
        <w:rPr>
          <w:b/>
          <w:spacing w:val="-2"/>
          <w:sz w:val="21"/>
        </w:rPr>
        <w:t>LGBTQ+</w:t>
      </w:r>
      <w:r>
        <w:rPr>
          <w:b/>
          <w:spacing w:val="1"/>
          <w:sz w:val="21"/>
        </w:rPr>
        <w:t> </w:t>
      </w:r>
      <w:r>
        <w:rPr>
          <w:b/>
          <w:spacing w:val="-2"/>
          <w:sz w:val="21"/>
        </w:rPr>
        <w:t>inclusion</w:t>
      </w:r>
      <w:r>
        <w:rPr>
          <w:b/>
          <w:spacing w:val="1"/>
          <w:sz w:val="21"/>
        </w:rPr>
        <w:t> </w:t>
      </w:r>
      <w:r>
        <w:rPr>
          <w:b/>
          <w:spacing w:val="-2"/>
          <w:sz w:val="21"/>
        </w:rPr>
        <w:t>trainings</w:t>
      </w:r>
      <w:r>
        <w:rPr>
          <w:b/>
          <w:spacing w:val="1"/>
          <w:sz w:val="21"/>
        </w:rPr>
        <w:t> </w:t>
      </w:r>
      <w:r>
        <w:rPr>
          <w:b/>
          <w:spacing w:val="-2"/>
          <w:sz w:val="21"/>
        </w:rPr>
        <w:t>and</w:t>
      </w:r>
      <w:r>
        <w:rPr>
          <w:b/>
          <w:spacing w:val="1"/>
          <w:sz w:val="21"/>
        </w:rPr>
        <w:t> </w:t>
      </w:r>
      <w:r>
        <w:rPr>
          <w:b/>
          <w:spacing w:val="-2"/>
          <w:sz w:val="21"/>
        </w:rPr>
        <w:t>professional</w:t>
      </w:r>
      <w:r>
        <w:rPr>
          <w:b/>
          <w:spacing w:val="1"/>
          <w:sz w:val="21"/>
        </w:rPr>
        <w:t> </w:t>
      </w:r>
      <w:r>
        <w:rPr>
          <w:b/>
          <w:spacing w:val="-2"/>
          <w:sz w:val="21"/>
        </w:rPr>
        <w:t>development.</w:t>
      </w:r>
    </w:p>
    <w:p>
      <w:pPr>
        <w:pStyle w:val="BodyText"/>
        <w:spacing w:before="23"/>
        <w:rPr>
          <w:b/>
          <w:sz w:val="21"/>
        </w:rPr>
      </w:pPr>
    </w:p>
    <w:p>
      <w:pPr>
        <w:spacing w:line="276" w:lineRule="auto" w:before="0"/>
        <w:ind w:left="624" w:right="481" w:firstLine="0"/>
        <w:jc w:val="both"/>
        <w:rPr>
          <w:sz w:val="21"/>
        </w:rPr>
      </w:pPr>
      <w:r>
        <w:rPr>
          <w:sz w:val="21"/>
        </w:rPr>
        <w:t>The Commission aims to collaborate with DESE to strengthen the Department's and individual school districts'</w:t>
      </w:r>
      <w:r>
        <w:rPr>
          <w:spacing w:val="-5"/>
          <w:sz w:val="21"/>
        </w:rPr>
        <w:t> </w:t>
      </w:r>
      <w:r>
        <w:rPr>
          <w:sz w:val="21"/>
        </w:rPr>
        <w:t>capacity</w:t>
      </w:r>
      <w:r>
        <w:rPr>
          <w:spacing w:val="-5"/>
          <w:sz w:val="21"/>
        </w:rPr>
        <w:t> </w:t>
      </w:r>
      <w:r>
        <w:rPr>
          <w:sz w:val="21"/>
        </w:rPr>
        <w:t>to</w:t>
      </w:r>
      <w:r>
        <w:rPr>
          <w:spacing w:val="-5"/>
          <w:sz w:val="21"/>
        </w:rPr>
        <w:t> </w:t>
      </w:r>
      <w:r>
        <w:rPr>
          <w:sz w:val="21"/>
        </w:rPr>
        <w:t>implement</w:t>
      </w:r>
      <w:r>
        <w:rPr>
          <w:spacing w:val="-5"/>
          <w:sz w:val="21"/>
        </w:rPr>
        <w:t> </w:t>
      </w:r>
      <w:r>
        <w:rPr>
          <w:sz w:val="21"/>
        </w:rPr>
        <w:t>initiatives</w:t>
      </w:r>
      <w:r>
        <w:rPr>
          <w:spacing w:val="-6"/>
          <w:sz w:val="21"/>
        </w:rPr>
        <w:t> </w:t>
      </w:r>
      <w:r>
        <w:rPr>
          <w:sz w:val="21"/>
        </w:rPr>
        <w:t>such</w:t>
      </w:r>
      <w:r>
        <w:rPr>
          <w:spacing w:val="-5"/>
          <w:sz w:val="21"/>
        </w:rPr>
        <w:t> </w:t>
      </w:r>
      <w:r>
        <w:rPr>
          <w:sz w:val="21"/>
        </w:rPr>
        <w:t>as</w:t>
      </w:r>
      <w:r>
        <w:rPr>
          <w:spacing w:val="-5"/>
          <w:sz w:val="21"/>
        </w:rPr>
        <w:t> </w:t>
      </w:r>
      <w:r>
        <w:rPr>
          <w:sz w:val="21"/>
        </w:rPr>
        <w:t>district-wide</w:t>
      </w:r>
      <w:r>
        <w:rPr>
          <w:spacing w:val="-5"/>
          <w:sz w:val="21"/>
        </w:rPr>
        <w:t> </w:t>
      </w:r>
      <w:r>
        <w:rPr>
          <w:sz w:val="21"/>
        </w:rPr>
        <w:t>LGBTQ+</w:t>
      </w:r>
      <w:r>
        <w:rPr>
          <w:spacing w:val="-5"/>
          <w:sz w:val="21"/>
        </w:rPr>
        <w:t> </w:t>
      </w:r>
      <w:r>
        <w:rPr>
          <w:sz w:val="21"/>
        </w:rPr>
        <w:t>inclusion</w:t>
      </w:r>
      <w:r>
        <w:rPr>
          <w:spacing w:val="-5"/>
          <w:sz w:val="21"/>
        </w:rPr>
        <w:t> </w:t>
      </w:r>
      <w:r>
        <w:rPr>
          <w:sz w:val="21"/>
        </w:rPr>
        <w:t>trainings,</w:t>
      </w:r>
      <w:r>
        <w:rPr>
          <w:spacing w:val="-5"/>
          <w:sz w:val="21"/>
        </w:rPr>
        <w:t> </w:t>
      </w:r>
      <w:r>
        <w:rPr>
          <w:sz w:val="21"/>
        </w:rPr>
        <w:t>superintendent training,</w:t>
      </w:r>
      <w:r>
        <w:rPr>
          <w:spacing w:val="-10"/>
          <w:sz w:val="21"/>
        </w:rPr>
        <w:t> </w:t>
      </w:r>
      <w:r>
        <w:rPr>
          <w:sz w:val="21"/>
        </w:rPr>
        <w:t>and</w:t>
      </w:r>
      <w:r>
        <w:rPr>
          <w:spacing w:val="-10"/>
          <w:sz w:val="21"/>
        </w:rPr>
        <w:t> </w:t>
      </w:r>
      <w:r>
        <w:rPr>
          <w:sz w:val="21"/>
        </w:rPr>
        <w:t>other</w:t>
      </w:r>
      <w:r>
        <w:rPr>
          <w:spacing w:val="-10"/>
          <w:sz w:val="21"/>
        </w:rPr>
        <w:t> </w:t>
      </w:r>
      <w:r>
        <w:rPr>
          <w:sz w:val="21"/>
        </w:rPr>
        <w:t>professional</w:t>
      </w:r>
      <w:r>
        <w:rPr>
          <w:spacing w:val="-10"/>
          <w:sz w:val="21"/>
        </w:rPr>
        <w:t> </w:t>
      </w:r>
      <w:r>
        <w:rPr>
          <w:sz w:val="21"/>
        </w:rPr>
        <w:t>development</w:t>
      </w:r>
      <w:r>
        <w:rPr>
          <w:spacing w:val="-10"/>
          <w:sz w:val="21"/>
        </w:rPr>
        <w:t> </w:t>
      </w:r>
      <w:r>
        <w:rPr>
          <w:sz w:val="21"/>
        </w:rPr>
        <w:t>related</w:t>
      </w:r>
      <w:r>
        <w:rPr>
          <w:spacing w:val="-11"/>
          <w:sz w:val="21"/>
        </w:rPr>
        <w:t> </w:t>
      </w:r>
      <w:r>
        <w:rPr>
          <w:sz w:val="21"/>
        </w:rPr>
        <w:t>to</w:t>
      </w:r>
      <w:r>
        <w:rPr>
          <w:spacing w:val="-12"/>
          <w:sz w:val="21"/>
        </w:rPr>
        <w:t> </w:t>
      </w:r>
      <w:r>
        <w:rPr>
          <w:sz w:val="21"/>
        </w:rPr>
        <w:t>LGBTQ</w:t>
      </w:r>
      <w:r>
        <w:rPr>
          <w:spacing w:val="-10"/>
          <w:sz w:val="21"/>
        </w:rPr>
        <w:t> </w:t>
      </w:r>
      <w:r>
        <w:rPr>
          <w:sz w:val="21"/>
        </w:rPr>
        <w:t>issues.</w:t>
      </w:r>
      <w:r>
        <w:rPr>
          <w:spacing w:val="-9"/>
          <w:sz w:val="21"/>
        </w:rPr>
        <w:t> </w:t>
      </w:r>
      <w:r>
        <w:rPr>
          <w:sz w:val="21"/>
        </w:rPr>
        <w:t>The</w:t>
      </w:r>
      <w:r>
        <w:rPr>
          <w:spacing w:val="-10"/>
          <w:sz w:val="21"/>
        </w:rPr>
        <w:t> </w:t>
      </w:r>
      <w:r>
        <w:rPr>
          <w:sz w:val="21"/>
        </w:rPr>
        <w:t>Safe</w:t>
      </w:r>
      <w:r>
        <w:rPr>
          <w:spacing w:val="-10"/>
          <w:sz w:val="21"/>
        </w:rPr>
        <w:t> </w:t>
      </w:r>
      <w:r>
        <w:rPr>
          <w:sz w:val="21"/>
        </w:rPr>
        <w:t>Schools</w:t>
      </w:r>
      <w:r>
        <w:rPr>
          <w:spacing w:val="-11"/>
          <w:sz w:val="21"/>
        </w:rPr>
        <w:t> </w:t>
      </w:r>
      <w:r>
        <w:rPr>
          <w:sz w:val="21"/>
        </w:rPr>
        <w:t>Program</w:t>
      </w:r>
      <w:r>
        <w:rPr>
          <w:spacing w:val="-10"/>
          <w:sz w:val="21"/>
        </w:rPr>
        <w:t> </w:t>
      </w:r>
      <w:r>
        <w:rPr>
          <w:sz w:val="21"/>
        </w:rPr>
        <w:t>for</w:t>
      </w:r>
      <w:r>
        <w:rPr>
          <w:spacing w:val="-10"/>
          <w:sz w:val="21"/>
        </w:rPr>
        <w:t> </w:t>
      </w:r>
      <w:r>
        <w:rPr>
          <w:sz w:val="21"/>
        </w:rPr>
        <w:t>LGBTQ</w:t>
      </w:r>
    </w:p>
    <w:p>
      <w:pPr>
        <w:spacing w:after="0" w:line="276" w:lineRule="auto"/>
        <w:jc w:val="both"/>
        <w:rPr>
          <w:sz w:val="21"/>
        </w:rPr>
        <w:sectPr>
          <w:pgSz w:w="12240" w:h="15840"/>
          <w:pgMar w:header="763" w:footer="1041" w:top="960" w:bottom="1240" w:left="960" w:right="1100"/>
        </w:sectPr>
      </w:pPr>
    </w:p>
    <w:p>
      <w:pPr>
        <w:spacing w:line="276" w:lineRule="auto" w:before="250"/>
        <w:ind w:left="624" w:right="481" w:firstLine="0"/>
        <w:jc w:val="both"/>
        <w:rPr>
          <w:sz w:val="21"/>
        </w:rPr>
      </w:pPr>
      <w:r>
        <w:rPr>
          <w:sz w:val="21"/>
        </w:rPr>
        <w:t>Students has expanded its ability to facilitate district-wide initiatives and looks forward to deepening collaborative opportunities with statewide associations. Together, the collaboration will lead to the creation of strategic approaches to support district leaders in fostering inclusive and supportive learning environments for LGBTQ students.</w:t>
      </w:r>
    </w:p>
    <w:p>
      <w:pPr>
        <w:pStyle w:val="ListParagraph"/>
        <w:numPr>
          <w:ilvl w:val="0"/>
          <w:numId w:val="33"/>
        </w:numPr>
        <w:tabs>
          <w:tab w:pos="623" w:val="left" w:leader="none"/>
        </w:tabs>
        <w:spacing w:line="240" w:lineRule="auto" w:before="239" w:after="0"/>
        <w:ind w:left="623" w:right="0" w:hanging="359"/>
        <w:jc w:val="left"/>
        <w:rPr>
          <w:b/>
          <w:sz w:val="21"/>
        </w:rPr>
      </w:pPr>
      <w:r>
        <w:rPr>
          <w:b/>
          <w:sz w:val="21"/>
        </w:rPr>
        <w:t>Continue</w:t>
      </w:r>
      <w:r>
        <w:rPr>
          <w:b/>
          <w:spacing w:val="-6"/>
          <w:sz w:val="21"/>
        </w:rPr>
        <w:t> </w:t>
      </w:r>
      <w:r>
        <w:rPr>
          <w:b/>
          <w:sz w:val="21"/>
        </w:rPr>
        <w:t>collaboration</w:t>
      </w:r>
      <w:r>
        <w:rPr>
          <w:b/>
          <w:spacing w:val="-3"/>
          <w:sz w:val="21"/>
        </w:rPr>
        <w:t> </w:t>
      </w:r>
      <w:r>
        <w:rPr>
          <w:b/>
          <w:sz w:val="21"/>
        </w:rPr>
        <w:t>to</w:t>
      </w:r>
      <w:r>
        <w:rPr>
          <w:b/>
          <w:spacing w:val="-3"/>
          <w:sz w:val="21"/>
        </w:rPr>
        <w:t> </w:t>
      </w:r>
      <w:r>
        <w:rPr>
          <w:b/>
          <w:sz w:val="21"/>
        </w:rPr>
        <w:t>support</w:t>
      </w:r>
      <w:r>
        <w:rPr>
          <w:b/>
          <w:spacing w:val="-3"/>
          <w:sz w:val="21"/>
        </w:rPr>
        <w:t> </w:t>
      </w:r>
      <w:r>
        <w:rPr>
          <w:b/>
          <w:sz w:val="21"/>
        </w:rPr>
        <w:t>nonbinary</w:t>
      </w:r>
      <w:r>
        <w:rPr>
          <w:b/>
          <w:spacing w:val="-4"/>
          <w:sz w:val="21"/>
        </w:rPr>
        <w:t> </w:t>
      </w:r>
      <w:r>
        <w:rPr>
          <w:b/>
          <w:sz w:val="21"/>
        </w:rPr>
        <w:t>students,</w:t>
      </w:r>
      <w:r>
        <w:rPr>
          <w:b/>
          <w:spacing w:val="-3"/>
          <w:sz w:val="21"/>
        </w:rPr>
        <w:t> </w:t>
      </w:r>
      <w:r>
        <w:rPr>
          <w:b/>
          <w:sz w:val="21"/>
        </w:rPr>
        <w:t>educators,</w:t>
      </w:r>
      <w:r>
        <w:rPr>
          <w:b/>
          <w:spacing w:val="-3"/>
          <w:sz w:val="21"/>
        </w:rPr>
        <w:t> </w:t>
      </w:r>
      <w:r>
        <w:rPr>
          <w:b/>
          <w:sz w:val="21"/>
        </w:rPr>
        <w:t>and</w:t>
      </w:r>
      <w:r>
        <w:rPr>
          <w:b/>
          <w:spacing w:val="-3"/>
          <w:sz w:val="21"/>
        </w:rPr>
        <w:t> </w:t>
      </w:r>
      <w:r>
        <w:rPr>
          <w:b/>
          <w:spacing w:val="-2"/>
          <w:sz w:val="21"/>
        </w:rPr>
        <w:t>staff.</w:t>
      </w:r>
    </w:p>
    <w:p>
      <w:pPr>
        <w:pStyle w:val="BodyText"/>
        <w:spacing w:before="23"/>
        <w:rPr>
          <w:b/>
          <w:sz w:val="21"/>
        </w:rPr>
      </w:pPr>
    </w:p>
    <w:p>
      <w:pPr>
        <w:spacing w:line="276" w:lineRule="auto" w:before="0"/>
        <w:ind w:left="624" w:right="479" w:firstLine="0"/>
        <w:jc w:val="both"/>
        <w:rPr>
          <w:sz w:val="21"/>
        </w:rPr>
      </w:pPr>
      <w:r>
        <w:rPr>
          <w:sz w:val="21"/>
        </w:rPr>
        <w:t>DESE</w:t>
      </w:r>
      <w:r>
        <w:rPr>
          <w:spacing w:val="-9"/>
          <w:sz w:val="21"/>
        </w:rPr>
        <w:t> </w:t>
      </w:r>
      <w:r>
        <w:rPr>
          <w:sz w:val="21"/>
        </w:rPr>
        <w:t>has</w:t>
      </w:r>
      <w:r>
        <w:rPr>
          <w:spacing w:val="-9"/>
          <w:sz w:val="21"/>
        </w:rPr>
        <w:t> </w:t>
      </w:r>
      <w:r>
        <w:rPr>
          <w:sz w:val="21"/>
        </w:rPr>
        <w:t>shown</w:t>
      </w:r>
      <w:r>
        <w:rPr>
          <w:spacing w:val="-9"/>
          <w:sz w:val="21"/>
        </w:rPr>
        <w:t> </w:t>
      </w:r>
      <w:r>
        <w:rPr>
          <w:sz w:val="21"/>
        </w:rPr>
        <w:t>a</w:t>
      </w:r>
      <w:r>
        <w:rPr>
          <w:spacing w:val="-9"/>
          <w:sz w:val="21"/>
        </w:rPr>
        <w:t> </w:t>
      </w:r>
      <w:r>
        <w:rPr>
          <w:sz w:val="21"/>
        </w:rPr>
        <w:t>strong</w:t>
      </w:r>
      <w:r>
        <w:rPr>
          <w:spacing w:val="-9"/>
          <w:sz w:val="21"/>
        </w:rPr>
        <w:t> </w:t>
      </w:r>
      <w:r>
        <w:rPr>
          <w:sz w:val="21"/>
        </w:rPr>
        <w:t>commitment</w:t>
      </w:r>
      <w:r>
        <w:rPr>
          <w:spacing w:val="-9"/>
          <w:sz w:val="21"/>
        </w:rPr>
        <w:t> </w:t>
      </w:r>
      <w:r>
        <w:rPr>
          <w:sz w:val="21"/>
        </w:rPr>
        <w:t>to</w:t>
      </w:r>
      <w:r>
        <w:rPr>
          <w:spacing w:val="-9"/>
          <w:sz w:val="21"/>
        </w:rPr>
        <w:t> </w:t>
      </w:r>
      <w:r>
        <w:rPr>
          <w:sz w:val="21"/>
        </w:rPr>
        <w:t>supporting</w:t>
      </w:r>
      <w:r>
        <w:rPr>
          <w:spacing w:val="-8"/>
          <w:sz w:val="21"/>
        </w:rPr>
        <w:t> </w:t>
      </w:r>
      <w:r>
        <w:rPr>
          <w:sz w:val="21"/>
        </w:rPr>
        <w:t>nonbinary</w:t>
      </w:r>
      <w:r>
        <w:rPr>
          <w:spacing w:val="-9"/>
          <w:sz w:val="21"/>
        </w:rPr>
        <w:t> </w:t>
      </w:r>
      <w:r>
        <w:rPr>
          <w:sz w:val="21"/>
        </w:rPr>
        <w:t>students</w:t>
      </w:r>
      <w:r>
        <w:rPr>
          <w:spacing w:val="-9"/>
          <w:sz w:val="21"/>
        </w:rPr>
        <w:t> </w:t>
      </w:r>
      <w:r>
        <w:rPr>
          <w:sz w:val="21"/>
        </w:rPr>
        <w:t>over</w:t>
      </w:r>
      <w:r>
        <w:rPr>
          <w:spacing w:val="-9"/>
          <w:sz w:val="21"/>
        </w:rPr>
        <w:t> </w:t>
      </w:r>
      <w:r>
        <w:rPr>
          <w:sz w:val="21"/>
        </w:rPr>
        <w:t>the</w:t>
      </w:r>
      <w:r>
        <w:rPr>
          <w:spacing w:val="-9"/>
          <w:sz w:val="21"/>
        </w:rPr>
        <w:t> </w:t>
      </w:r>
      <w:r>
        <w:rPr>
          <w:sz w:val="21"/>
        </w:rPr>
        <w:t>past</w:t>
      </w:r>
      <w:r>
        <w:rPr>
          <w:spacing w:val="-8"/>
          <w:sz w:val="21"/>
        </w:rPr>
        <w:t> </w:t>
      </w:r>
      <w:r>
        <w:rPr>
          <w:sz w:val="21"/>
        </w:rPr>
        <w:t>few</w:t>
      </w:r>
      <w:r>
        <w:rPr>
          <w:spacing w:val="-9"/>
          <w:sz w:val="21"/>
        </w:rPr>
        <w:t> </w:t>
      </w:r>
      <w:r>
        <w:rPr>
          <w:sz w:val="21"/>
        </w:rPr>
        <w:t>years.</w:t>
      </w:r>
      <w:r>
        <w:rPr>
          <w:spacing w:val="-9"/>
          <w:sz w:val="21"/>
        </w:rPr>
        <w:t> </w:t>
      </w:r>
      <w:r>
        <w:rPr>
          <w:sz w:val="21"/>
        </w:rPr>
        <w:t>Initiatives such as incorporating a nonbinary data element in the Student Information Management System (SIMS) and collecting data on gender identity and expression through the MYRBS have provided the Commonwealth with invaluable insights. The Commission recommends that DESE continue collaborating with the Commission, the GSA Student Leadership Council, and the Safe Schools Program for LGBTQ Students to develop new ways to support nonbinary students, educators, and staff in schools. The Commission recommends DESE explore additional methods to strengthen and update guidance related to supporting transgender students, with a specific emphasis on nonbinary students and those facing intersecting discrimination based on race, gender, disability, and other marginalized identities.</w:t>
      </w:r>
    </w:p>
    <w:p>
      <w:pPr>
        <w:pStyle w:val="ListParagraph"/>
        <w:numPr>
          <w:ilvl w:val="0"/>
          <w:numId w:val="33"/>
        </w:numPr>
        <w:tabs>
          <w:tab w:pos="623" w:val="left" w:leader="none"/>
        </w:tabs>
        <w:spacing w:line="276" w:lineRule="auto" w:before="240" w:after="0"/>
        <w:ind w:left="623" w:right="482" w:hanging="360"/>
        <w:jc w:val="left"/>
        <w:rPr>
          <w:b/>
          <w:sz w:val="21"/>
        </w:rPr>
      </w:pPr>
      <w:r>
        <w:rPr>
          <w:b/>
          <w:sz w:val="21"/>
        </w:rPr>
        <w:t>Integrate</w:t>
      </w:r>
      <w:r>
        <w:rPr>
          <w:b/>
          <w:spacing w:val="40"/>
          <w:sz w:val="21"/>
        </w:rPr>
        <w:t> </w:t>
      </w:r>
      <w:r>
        <w:rPr>
          <w:b/>
          <w:sz w:val="21"/>
        </w:rPr>
        <w:t>LGBTQ+</w:t>
      </w:r>
      <w:r>
        <w:rPr>
          <w:b/>
          <w:spacing w:val="40"/>
          <w:sz w:val="21"/>
        </w:rPr>
        <w:t> </w:t>
      </w:r>
      <w:r>
        <w:rPr>
          <w:b/>
          <w:sz w:val="21"/>
        </w:rPr>
        <w:t>identities</w:t>
      </w:r>
      <w:r>
        <w:rPr>
          <w:b/>
          <w:spacing w:val="40"/>
          <w:sz w:val="21"/>
        </w:rPr>
        <w:t> </w:t>
      </w:r>
      <w:r>
        <w:rPr>
          <w:b/>
          <w:sz w:val="21"/>
        </w:rPr>
        <w:t>into</w:t>
      </w:r>
      <w:r>
        <w:rPr>
          <w:b/>
          <w:spacing w:val="40"/>
          <w:sz w:val="21"/>
        </w:rPr>
        <w:t> </w:t>
      </w:r>
      <w:r>
        <w:rPr>
          <w:b/>
          <w:sz w:val="21"/>
        </w:rPr>
        <w:t>the</w:t>
      </w:r>
      <w:r>
        <w:rPr>
          <w:b/>
          <w:spacing w:val="40"/>
          <w:sz w:val="21"/>
        </w:rPr>
        <w:t> </w:t>
      </w:r>
      <w:r>
        <w:rPr>
          <w:b/>
          <w:sz w:val="21"/>
        </w:rPr>
        <w:t>District</w:t>
      </w:r>
      <w:r>
        <w:rPr>
          <w:b/>
          <w:spacing w:val="40"/>
          <w:sz w:val="21"/>
        </w:rPr>
        <w:t> </w:t>
      </w:r>
      <w:r>
        <w:rPr>
          <w:b/>
          <w:sz w:val="21"/>
        </w:rPr>
        <w:t>Standards</w:t>
      </w:r>
      <w:r>
        <w:rPr>
          <w:b/>
          <w:spacing w:val="40"/>
          <w:sz w:val="21"/>
        </w:rPr>
        <w:t> </w:t>
      </w:r>
      <w:r>
        <w:rPr>
          <w:b/>
          <w:sz w:val="21"/>
        </w:rPr>
        <w:t>and</w:t>
      </w:r>
      <w:r>
        <w:rPr>
          <w:b/>
          <w:spacing w:val="40"/>
          <w:sz w:val="21"/>
        </w:rPr>
        <w:t> </w:t>
      </w:r>
      <w:r>
        <w:rPr>
          <w:b/>
          <w:sz w:val="21"/>
        </w:rPr>
        <w:t>Indicators</w:t>
      </w:r>
      <w:r>
        <w:rPr>
          <w:b/>
          <w:spacing w:val="40"/>
          <w:sz w:val="21"/>
        </w:rPr>
        <w:t> </w:t>
      </w:r>
      <w:r>
        <w:rPr>
          <w:b/>
          <w:sz w:val="21"/>
        </w:rPr>
        <w:t>and</w:t>
      </w:r>
      <w:r>
        <w:rPr>
          <w:b/>
          <w:spacing w:val="40"/>
          <w:sz w:val="21"/>
        </w:rPr>
        <w:t> </w:t>
      </w:r>
      <w:r>
        <w:rPr>
          <w:b/>
          <w:sz w:val="21"/>
        </w:rPr>
        <w:t>the</w:t>
      </w:r>
      <w:r>
        <w:rPr>
          <w:b/>
          <w:spacing w:val="40"/>
          <w:sz w:val="21"/>
        </w:rPr>
        <w:t> </w:t>
      </w:r>
      <w:r>
        <w:rPr>
          <w:b/>
          <w:sz w:val="21"/>
        </w:rPr>
        <w:t>associated</w:t>
      </w:r>
      <w:r>
        <w:rPr>
          <w:b/>
          <w:spacing w:val="40"/>
          <w:sz w:val="21"/>
        </w:rPr>
        <w:t> </w:t>
      </w:r>
      <w:r>
        <w:rPr>
          <w:b/>
          <w:sz w:val="21"/>
        </w:rPr>
        <w:t>artifacts </w:t>
      </w:r>
      <w:r>
        <w:rPr>
          <w:b/>
          <w:spacing w:val="-2"/>
          <w:sz w:val="21"/>
        </w:rPr>
        <w:t>collected.</w:t>
      </w:r>
    </w:p>
    <w:p>
      <w:pPr>
        <w:spacing w:line="276" w:lineRule="auto" w:before="240"/>
        <w:ind w:left="623" w:right="481" w:firstLine="0"/>
        <w:jc w:val="both"/>
        <w:rPr>
          <w:sz w:val="21"/>
        </w:rPr>
      </w:pPr>
      <w:r>
        <w:rPr>
          <w:sz w:val="21"/>
        </w:rPr>
        <w:t>As DESE reviews and updates its District Standards and Indicators—the agency’s guiding document for defining effective school district policy and practice—it is recommended that a thoughtful approach be taken to further integrate LGBTQ+ identities into the standards and the associated artifacts collected. This is</w:t>
      </w:r>
      <w:r>
        <w:rPr>
          <w:spacing w:val="-9"/>
          <w:sz w:val="21"/>
        </w:rPr>
        <w:t> </w:t>
      </w:r>
      <w:r>
        <w:rPr>
          <w:sz w:val="21"/>
        </w:rPr>
        <w:t>crucial</w:t>
      </w:r>
      <w:r>
        <w:rPr>
          <w:spacing w:val="-8"/>
          <w:sz w:val="21"/>
        </w:rPr>
        <w:t> </w:t>
      </w:r>
      <w:r>
        <w:rPr>
          <w:sz w:val="21"/>
        </w:rPr>
        <w:t>for</w:t>
      </w:r>
      <w:r>
        <w:rPr>
          <w:spacing w:val="-7"/>
          <w:sz w:val="21"/>
        </w:rPr>
        <w:t> </w:t>
      </w:r>
      <w:r>
        <w:rPr>
          <w:sz w:val="21"/>
        </w:rPr>
        <w:t>the</w:t>
      </w:r>
      <w:r>
        <w:rPr>
          <w:spacing w:val="-8"/>
          <w:sz w:val="21"/>
        </w:rPr>
        <w:t> </w:t>
      </w:r>
      <w:r>
        <w:rPr>
          <w:sz w:val="21"/>
        </w:rPr>
        <w:t>focus</w:t>
      </w:r>
      <w:r>
        <w:rPr>
          <w:spacing w:val="-8"/>
          <w:sz w:val="21"/>
        </w:rPr>
        <w:t> </w:t>
      </w:r>
      <w:r>
        <w:rPr>
          <w:sz w:val="21"/>
        </w:rPr>
        <w:t>on</w:t>
      </w:r>
      <w:r>
        <w:rPr>
          <w:spacing w:val="-7"/>
          <w:sz w:val="21"/>
        </w:rPr>
        <w:t> </w:t>
      </w:r>
      <w:r>
        <w:rPr>
          <w:sz w:val="21"/>
        </w:rPr>
        <w:t>equity</w:t>
      </w:r>
      <w:r>
        <w:rPr>
          <w:spacing w:val="-8"/>
          <w:sz w:val="21"/>
        </w:rPr>
        <w:t> </w:t>
      </w:r>
      <w:r>
        <w:rPr>
          <w:sz w:val="21"/>
        </w:rPr>
        <w:t>that</w:t>
      </w:r>
      <w:r>
        <w:rPr>
          <w:spacing w:val="-8"/>
          <w:sz w:val="21"/>
        </w:rPr>
        <w:t> </w:t>
      </w:r>
      <w:r>
        <w:rPr>
          <w:sz w:val="21"/>
        </w:rPr>
        <w:t>all</w:t>
      </w:r>
      <w:r>
        <w:rPr>
          <w:spacing w:val="-8"/>
          <w:sz w:val="21"/>
        </w:rPr>
        <w:t> </w:t>
      </w:r>
      <w:r>
        <w:rPr>
          <w:sz w:val="21"/>
        </w:rPr>
        <w:t>school</w:t>
      </w:r>
      <w:r>
        <w:rPr>
          <w:spacing w:val="-8"/>
          <w:sz w:val="21"/>
        </w:rPr>
        <w:t> </w:t>
      </w:r>
      <w:r>
        <w:rPr>
          <w:sz w:val="21"/>
        </w:rPr>
        <w:t>districts</w:t>
      </w:r>
      <w:r>
        <w:rPr>
          <w:spacing w:val="-7"/>
          <w:sz w:val="21"/>
        </w:rPr>
        <w:t> </w:t>
      </w:r>
      <w:r>
        <w:rPr>
          <w:sz w:val="21"/>
        </w:rPr>
        <w:t>must</w:t>
      </w:r>
      <w:r>
        <w:rPr>
          <w:spacing w:val="-7"/>
          <w:sz w:val="21"/>
        </w:rPr>
        <w:t> </w:t>
      </w:r>
      <w:r>
        <w:rPr>
          <w:sz w:val="21"/>
        </w:rPr>
        <w:t>embrace</w:t>
      </w:r>
      <w:r>
        <w:rPr>
          <w:spacing w:val="-8"/>
          <w:sz w:val="21"/>
        </w:rPr>
        <w:t> </w:t>
      </w:r>
      <w:r>
        <w:rPr>
          <w:sz w:val="21"/>
        </w:rPr>
        <w:t>to</w:t>
      </w:r>
      <w:r>
        <w:rPr>
          <w:spacing w:val="-8"/>
          <w:sz w:val="21"/>
        </w:rPr>
        <w:t> </w:t>
      </w:r>
      <w:r>
        <w:rPr>
          <w:sz w:val="21"/>
        </w:rPr>
        <w:t>ensure</w:t>
      </w:r>
      <w:r>
        <w:rPr>
          <w:spacing w:val="-8"/>
          <w:sz w:val="21"/>
        </w:rPr>
        <w:t> </w:t>
      </w:r>
      <w:r>
        <w:rPr>
          <w:sz w:val="21"/>
        </w:rPr>
        <w:t>they</w:t>
      </w:r>
      <w:r>
        <w:rPr>
          <w:spacing w:val="-8"/>
          <w:sz w:val="21"/>
        </w:rPr>
        <w:t> </w:t>
      </w:r>
      <w:r>
        <w:rPr>
          <w:sz w:val="21"/>
        </w:rPr>
        <w:t>are</w:t>
      </w:r>
      <w:r>
        <w:rPr>
          <w:spacing w:val="-8"/>
          <w:sz w:val="21"/>
        </w:rPr>
        <w:t> </w:t>
      </w:r>
      <w:r>
        <w:rPr>
          <w:sz w:val="21"/>
        </w:rPr>
        <w:t>effectively</w:t>
      </w:r>
      <w:r>
        <w:rPr>
          <w:spacing w:val="-8"/>
          <w:sz w:val="21"/>
        </w:rPr>
        <w:t> </w:t>
      </w:r>
      <w:r>
        <w:rPr>
          <w:sz w:val="21"/>
        </w:rPr>
        <w:t>serving all students. The Safe Schools Program for LGBTQ Students can serve as a resource during the revision process and assist in developing resources to share with districts.</w:t>
      </w:r>
    </w:p>
    <w:p>
      <w:pPr>
        <w:pStyle w:val="ListParagraph"/>
        <w:numPr>
          <w:ilvl w:val="0"/>
          <w:numId w:val="33"/>
        </w:numPr>
        <w:tabs>
          <w:tab w:pos="623" w:val="left" w:leader="none"/>
        </w:tabs>
        <w:spacing w:line="276" w:lineRule="auto" w:before="240" w:after="0"/>
        <w:ind w:left="623" w:right="484" w:hanging="360"/>
        <w:jc w:val="left"/>
        <w:rPr>
          <w:b/>
          <w:sz w:val="21"/>
        </w:rPr>
      </w:pPr>
      <w:r>
        <w:rPr>
          <w:b/>
          <w:sz w:val="21"/>
        </w:rPr>
        <w:t>Collaborate</w:t>
      </w:r>
      <w:r>
        <w:rPr>
          <w:b/>
          <w:spacing w:val="32"/>
          <w:sz w:val="21"/>
        </w:rPr>
        <w:t> </w:t>
      </w:r>
      <w:r>
        <w:rPr>
          <w:b/>
          <w:sz w:val="21"/>
        </w:rPr>
        <w:t>with</w:t>
      </w:r>
      <w:r>
        <w:rPr>
          <w:b/>
          <w:spacing w:val="33"/>
          <w:sz w:val="21"/>
        </w:rPr>
        <w:t> </w:t>
      </w:r>
      <w:r>
        <w:rPr>
          <w:b/>
          <w:sz w:val="21"/>
        </w:rPr>
        <w:t>Massachusetts</w:t>
      </w:r>
      <w:r>
        <w:rPr>
          <w:b/>
          <w:spacing w:val="32"/>
          <w:sz w:val="21"/>
        </w:rPr>
        <w:t> </w:t>
      </w:r>
      <w:r>
        <w:rPr>
          <w:b/>
          <w:sz w:val="21"/>
        </w:rPr>
        <w:t>School</w:t>
      </w:r>
      <w:r>
        <w:rPr>
          <w:b/>
          <w:spacing w:val="33"/>
          <w:sz w:val="21"/>
        </w:rPr>
        <w:t> </w:t>
      </w:r>
      <w:r>
        <w:rPr>
          <w:b/>
          <w:sz w:val="21"/>
        </w:rPr>
        <w:t>Library</w:t>
      </w:r>
      <w:r>
        <w:rPr>
          <w:b/>
          <w:spacing w:val="33"/>
          <w:sz w:val="21"/>
        </w:rPr>
        <w:t> </w:t>
      </w:r>
      <w:r>
        <w:rPr>
          <w:b/>
          <w:sz w:val="21"/>
        </w:rPr>
        <w:t>Association,</w:t>
      </w:r>
      <w:r>
        <w:rPr>
          <w:b/>
          <w:spacing w:val="32"/>
          <w:sz w:val="21"/>
        </w:rPr>
        <w:t> </w:t>
      </w:r>
      <w:r>
        <w:rPr>
          <w:b/>
          <w:sz w:val="21"/>
        </w:rPr>
        <w:t>and</w:t>
      </w:r>
      <w:r>
        <w:rPr>
          <w:b/>
          <w:spacing w:val="33"/>
          <w:sz w:val="21"/>
        </w:rPr>
        <w:t> </w:t>
      </w:r>
      <w:r>
        <w:rPr>
          <w:b/>
          <w:sz w:val="21"/>
        </w:rPr>
        <w:t>the</w:t>
      </w:r>
      <w:r>
        <w:rPr>
          <w:b/>
          <w:spacing w:val="32"/>
          <w:sz w:val="21"/>
        </w:rPr>
        <w:t> </w:t>
      </w:r>
      <w:r>
        <w:rPr>
          <w:b/>
          <w:sz w:val="21"/>
        </w:rPr>
        <w:t>Massachusetts</w:t>
      </w:r>
      <w:r>
        <w:rPr>
          <w:b/>
          <w:spacing w:val="33"/>
          <w:sz w:val="21"/>
        </w:rPr>
        <w:t> </w:t>
      </w:r>
      <w:r>
        <w:rPr>
          <w:b/>
          <w:sz w:val="21"/>
        </w:rPr>
        <w:t>Board</w:t>
      </w:r>
      <w:r>
        <w:rPr>
          <w:b/>
          <w:spacing w:val="33"/>
          <w:sz w:val="21"/>
        </w:rPr>
        <w:t> </w:t>
      </w:r>
      <w:r>
        <w:rPr>
          <w:b/>
          <w:sz w:val="21"/>
        </w:rPr>
        <w:t>of</w:t>
      </w:r>
      <w:r>
        <w:rPr>
          <w:b/>
          <w:spacing w:val="32"/>
          <w:sz w:val="21"/>
        </w:rPr>
        <w:t> </w:t>
      </w:r>
      <w:r>
        <w:rPr>
          <w:b/>
          <w:sz w:val="21"/>
        </w:rPr>
        <w:t>Library Commissioners to address attacks on school-based content related to race and LGBTQ+ topics.</w:t>
      </w:r>
    </w:p>
    <w:p>
      <w:pPr>
        <w:spacing w:line="276" w:lineRule="auto" w:before="241"/>
        <w:ind w:left="624" w:right="479" w:firstLine="0"/>
        <w:jc w:val="both"/>
        <w:rPr>
          <w:sz w:val="21"/>
        </w:rPr>
      </w:pPr>
      <w:r>
        <w:rPr>
          <w:sz w:val="21"/>
        </w:rPr>
        <w:t>As</w:t>
      </w:r>
      <w:r>
        <w:rPr>
          <w:spacing w:val="-11"/>
          <w:sz w:val="21"/>
        </w:rPr>
        <w:t> </w:t>
      </w:r>
      <w:r>
        <w:rPr>
          <w:sz w:val="21"/>
        </w:rPr>
        <w:t>the</w:t>
      </w:r>
      <w:r>
        <w:rPr>
          <w:spacing w:val="-11"/>
          <w:sz w:val="21"/>
        </w:rPr>
        <w:t> </w:t>
      </w:r>
      <w:r>
        <w:rPr>
          <w:sz w:val="21"/>
        </w:rPr>
        <w:t>trend</w:t>
      </w:r>
      <w:r>
        <w:rPr>
          <w:spacing w:val="-11"/>
          <w:sz w:val="21"/>
        </w:rPr>
        <w:t> </w:t>
      </w:r>
      <w:r>
        <w:rPr>
          <w:sz w:val="21"/>
        </w:rPr>
        <w:t>of</w:t>
      </w:r>
      <w:r>
        <w:rPr>
          <w:spacing w:val="-11"/>
          <w:sz w:val="21"/>
        </w:rPr>
        <w:t> </w:t>
      </w:r>
      <w:r>
        <w:rPr>
          <w:sz w:val="21"/>
        </w:rPr>
        <w:t>attacking</w:t>
      </w:r>
      <w:r>
        <w:rPr>
          <w:spacing w:val="-11"/>
          <w:sz w:val="21"/>
        </w:rPr>
        <w:t> </w:t>
      </w:r>
      <w:r>
        <w:rPr>
          <w:sz w:val="21"/>
        </w:rPr>
        <w:t>school-based</w:t>
      </w:r>
      <w:r>
        <w:rPr>
          <w:spacing w:val="-10"/>
          <w:sz w:val="21"/>
        </w:rPr>
        <w:t> </w:t>
      </w:r>
      <w:r>
        <w:rPr>
          <w:sz w:val="21"/>
        </w:rPr>
        <w:t>content</w:t>
      </w:r>
      <w:r>
        <w:rPr>
          <w:spacing w:val="-11"/>
          <w:sz w:val="21"/>
        </w:rPr>
        <w:t> </w:t>
      </w:r>
      <w:r>
        <w:rPr>
          <w:sz w:val="21"/>
        </w:rPr>
        <w:t>related</w:t>
      </w:r>
      <w:r>
        <w:rPr>
          <w:spacing w:val="-11"/>
          <w:sz w:val="21"/>
        </w:rPr>
        <w:t> </w:t>
      </w:r>
      <w:r>
        <w:rPr>
          <w:sz w:val="21"/>
        </w:rPr>
        <w:t>to</w:t>
      </w:r>
      <w:r>
        <w:rPr>
          <w:spacing w:val="-12"/>
          <w:sz w:val="21"/>
        </w:rPr>
        <w:t> </w:t>
      </w:r>
      <w:r>
        <w:rPr>
          <w:sz w:val="21"/>
        </w:rPr>
        <w:t>race</w:t>
      </w:r>
      <w:r>
        <w:rPr>
          <w:spacing w:val="-11"/>
          <w:sz w:val="21"/>
        </w:rPr>
        <w:t> </w:t>
      </w:r>
      <w:r>
        <w:rPr>
          <w:sz w:val="21"/>
        </w:rPr>
        <w:t>and</w:t>
      </w:r>
      <w:r>
        <w:rPr>
          <w:spacing w:val="-11"/>
          <w:sz w:val="21"/>
        </w:rPr>
        <w:t> </w:t>
      </w:r>
      <w:r>
        <w:rPr>
          <w:sz w:val="21"/>
        </w:rPr>
        <w:t>LGBTQ+</w:t>
      </w:r>
      <w:r>
        <w:rPr>
          <w:spacing w:val="-10"/>
          <w:sz w:val="21"/>
        </w:rPr>
        <w:t> </w:t>
      </w:r>
      <w:r>
        <w:rPr>
          <w:sz w:val="21"/>
        </w:rPr>
        <w:t>topics</w:t>
      </w:r>
      <w:r>
        <w:rPr>
          <w:spacing w:val="-11"/>
          <w:sz w:val="21"/>
        </w:rPr>
        <w:t> </w:t>
      </w:r>
      <w:r>
        <w:rPr>
          <w:sz w:val="21"/>
        </w:rPr>
        <w:t>continues</w:t>
      </w:r>
      <w:r>
        <w:rPr>
          <w:spacing w:val="-11"/>
          <w:sz w:val="21"/>
        </w:rPr>
        <w:t> </w:t>
      </w:r>
      <w:r>
        <w:rPr>
          <w:sz w:val="21"/>
        </w:rPr>
        <w:t>throughout</w:t>
      </w:r>
      <w:r>
        <w:rPr>
          <w:spacing w:val="-10"/>
          <w:sz w:val="21"/>
        </w:rPr>
        <w:t> </w:t>
      </w:r>
      <w:r>
        <w:rPr>
          <w:sz w:val="21"/>
        </w:rPr>
        <w:t>the Commonwealth,</w:t>
      </w:r>
      <w:r>
        <w:rPr>
          <w:spacing w:val="-5"/>
          <w:sz w:val="21"/>
        </w:rPr>
        <w:t> </w:t>
      </w:r>
      <w:r>
        <w:rPr>
          <w:sz w:val="21"/>
        </w:rPr>
        <w:t>collaboration</w:t>
      </w:r>
      <w:r>
        <w:rPr>
          <w:spacing w:val="-5"/>
          <w:sz w:val="21"/>
        </w:rPr>
        <w:t> </w:t>
      </w:r>
      <w:r>
        <w:rPr>
          <w:sz w:val="21"/>
        </w:rPr>
        <w:t>among</w:t>
      </w:r>
      <w:r>
        <w:rPr>
          <w:spacing w:val="-6"/>
          <w:sz w:val="21"/>
        </w:rPr>
        <w:t> </w:t>
      </w:r>
      <w:r>
        <w:rPr>
          <w:sz w:val="21"/>
        </w:rPr>
        <w:t>the</w:t>
      </w:r>
      <w:r>
        <w:rPr>
          <w:spacing w:val="-5"/>
          <w:sz w:val="21"/>
        </w:rPr>
        <w:t> </w:t>
      </w:r>
      <w:r>
        <w:rPr>
          <w:sz w:val="21"/>
        </w:rPr>
        <w:t>Department</w:t>
      </w:r>
      <w:r>
        <w:rPr>
          <w:spacing w:val="-6"/>
          <w:sz w:val="21"/>
        </w:rPr>
        <w:t> </w:t>
      </w:r>
      <w:r>
        <w:rPr>
          <w:sz w:val="21"/>
        </w:rPr>
        <w:t>of</w:t>
      </w:r>
      <w:r>
        <w:rPr>
          <w:spacing w:val="-6"/>
          <w:sz w:val="21"/>
        </w:rPr>
        <w:t> </w:t>
      </w:r>
      <w:r>
        <w:rPr>
          <w:sz w:val="21"/>
        </w:rPr>
        <w:t>Elementary</w:t>
      </w:r>
      <w:r>
        <w:rPr>
          <w:spacing w:val="-5"/>
          <w:sz w:val="21"/>
        </w:rPr>
        <w:t> </w:t>
      </w:r>
      <w:r>
        <w:rPr>
          <w:sz w:val="21"/>
        </w:rPr>
        <w:t>and</w:t>
      </w:r>
      <w:r>
        <w:rPr>
          <w:spacing w:val="-5"/>
          <w:sz w:val="21"/>
        </w:rPr>
        <w:t> </w:t>
      </w:r>
      <w:r>
        <w:rPr>
          <w:sz w:val="21"/>
        </w:rPr>
        <w:t>Secondary</w:t>
      </w:r>
      <w:r>
        <w:rPr>
          <w:spacing w:val="-6"/>
          <w:sz w:val="21"/>
        </w:rPr>
        <w:t> </w:t>
      </w:r>
      <w:r>
        <w:rPr>
          <w:sz w:val="21"/>
        </w:rPr>
        <w:t>Education</w:t>
      </w:r>
      <w:r>
        <w:rPr>
          <w:spacing w:val="-5"/>
          <w:sz w:val="21"/>
        </w:rPr>
        <w:t> </w:t>
      </w:r>
      <w:r>
        <w:rPr>
          <w:sz w:val="21"/>
        </w:rPr>
        <w:t>(DESE),</w:t>
      </w:r>
      <w:r>
        <w:rPr>
          <w:spacing w:val="-5"/>
          <w:sz w:val="21"/>
        </w:rPr>
        <w:t> </w:t>
      </w:r>
      <w:r>
        <w:rPr>
          <w:sz w:val="21"/>
        </w:rPr>
        <w:t>the Massachusetts School Library Association, and</w:t>
      </w:r>
      <w:r>
        <w:rPr>
          <w:spacing w:val="-1"/>
          <w:sz w:val="21"/>
        </w:rPr>
        <w:t> </w:t>
      </w:r>
      <w:r>
        <w:rPr>
          <w:sz w:val="21"/>
        </w:rPr>
        <w:t>the Massachusetts Board of Library</w:t>
      </w:r>
      <w:r>
        <w:rPr>
          <w:spacing w:val="-1"/>
          <w:sz w:val="21"/>
        </w:rPr>
        <w:t> </w:t>
      </w:r>
      <w:r>
        <w:rPr>
          <w:sz w:val="21"/>
        </w:rPr>
        <w:t>Commissioners (MBLC) is essential. This partnership should include representatives from DESE’s Center for Instructional Support, the Office of Student and Family Support, and the Safe Schools Program for LGBTQ Students. A concerted effort</w:t>
      </w:r>
      <w:r>
        <w:rPr>
          <w:spacing w:val="-12"/>
          <w:sz w:val="21"/>
        </w:rPr>
        <w:t> </w:t>
      </w:r>
      <w:r>
        <w:rPr>
          <w:sz w:val="21"/>
        </w:rPr>
        <w:t>should</w:t>
      </w:r>
      <w:r>
        <w:rPr>
          <w:spacing w:val="-12"/>
          <w:sz w:val="21"/>
        </w:rPr>
        <w:t> </w:t>
      </w:r>
      <w:r>
        <w:rPr>
          <w:sz w:val="21"/>
        </w:rPr>
        <w:t>be</w:t>
      </w:r>
      <w:r>
        <w:rPr>
          <w:spacing w:val="-12"/>
          <w:sz w:val="21"/>
        </w:rPr>
        <w:t> </w:t>
      </w:r>
      <w:r>
        <w:rPr>
          <w:sz w:val="21"/>
        </w:rPr>
        <w:t>made</w:t>
      </w:r>
      <w:r>
        <w:rPr>
          <w:spacing w:val="-12"/>
          <w:sz w:val="21"/>
        </w:rPr>
        <w:t> </w:t>
      </w:r>
      <w:r>
        <w:rPr>
          <w:sz w:val="21"/>
        </w:rPr>
        <w:t>to</w:t>
      </w:r>
      <w:r>
        <w:rPr>
          <w:spacing w:val="-12"/>
          <w:sz w:val="21"/>
        </w:rPr>
        <w:t> </w:t>
      </w:r>
      <w:r>
        <w:rPr>
          <w:sz w:val="21"/>
        </w:rPr>
        <w:t>develop</w:t>
      </w:r>
      <w:r>
        <w:rPr>
          <w:spacing w:val="-12"/>
          <w:sz w:val="21"/>
        </w:rPr>
        <w:t> </w:t>
      </w:r>
      <w:r>
        <w:rPr>
          <w:sz w:val="21"/>
        </w:rPr>
        <w:t>strategies</w:t>
      </w:r>
      <w:r>
        <w:rPr>
          <w:spacing w:val="-12"/>
          <w:sz w:val="21"/>
        </w:rPr>
        <w:t> </w:t>
      </w:r>
      <w:r>
        <w:rPr>
          <w:sz w:val="21"/>
        </w:rPr>
        <w:t>and</w:t>
      </w:r>
      <w:r>
        <w:rPr>
          <w:spacing w:val="-11"/>
          <w:sz w:val="21"/>
        </w:rPr>
        <w:t> </w:t>
      </w:r>
      <w:r>
        <w:rPr>
          <w:sz w:val="21"/>
        </w:rPr>
        <w:t>best</w:t>
      </w:r>
      <w:r>
        <w:rPr>
          <w:spacing w:val="-12"/>
          <w:sz w:val="21"/>
        </w:rPr>
        <w:t> </w:t>
      </w:r>
      <w:r>
        <w:rPr>
          <w:sz w:val="21"/>
        </w:rPr>
        <w:t>practices</w:t>
      </w:r>
      <w:r>
        <w:rPr>
          <w:spacing w:val="-12"/>
          <w:sz w:val="21"/>
        </w:rPr>
        <w:t> </w:t>
      </w:r>
      <w:r>
        <w:rPr>
          <w:sz w:val="21"/>
        </w:rPr>
        <w:t>for</w:t>
      </w:r>
      <w:r>
        <w:rPr>
          <w:spacing w:val="-12"/>
          <w:sz w:val="21"/>
        </w:rPr>
        <w:t> </w:t>
      </w:r>
      <w:r>
        <w:rPr>
          <w:sz w:val="21"/>
        </w:rPr>
        <w:t>addressing</w:t>
      </w:r>
      <w:r>
        <w:rPr>
          <w:spacing w:val="-12"/>
          <w:sz w:val="21"/>
        </w:rPr>
        <w:t> </w:t>
      </w:r>
      <w:r>
        <w:rPr>
          <w:sz w:val="21"/>
        </w:rPr>
        <w:t>challenges</w:t>
      </w:r>
      <w:r>
        <w:rPr>
          <w:spacing w:val="-12"/>
          <w:sz w:val="21"/>
        </w:rPr>
        <w:t> </w:t>
      </w:r>
      <w:r>
        <w:rPr>
          <w:sz w:val="21"/>
        </w:rPr>
        <w:t>related</w:t>
      </w:r>
      <w:r>
        <w:rPr>
          <w:spacing w:val="-12"/>
          <w:sz w:val="21"/>
        </w:rPr>
        <w:t> </w:t>
      </w:r>
      <w:r>
        <w:rPr>
          <w:sz w:val="21"/>
        </w:rPr>
        <w:t>to</w:t>
      </w:r>
      <w:r>
        <w:rPr>
          <w:spacing w:val="-12"/>
          <w:sz w:val="21"/>
        </w:rPr>
        <w:t> </w:t>
      </w:r>
      <w:r>
        <w:rPr>
          <w:sz w:val="21"/>
        </w:rPr>
        <w:t>curricula and books, and to provide support and resources to educators and librarians.</w:t>
      </w:r>
    </w:p>
    <w:p>
      <w:pPr>
        <w:pStyle w:val="ListParagraph"/>
        <w:numPr>
          <w:ilvl w:val="0"/>
          <w:numId w:val="33"/>
        </w:numPr>
        <w:tabs>
          <w:tab w:pos="622" w:val="left" w:leader="none"/>
        </w:tabs>
        <w:spacing w:line="240" w:lineRule="auto" w:before="240" w:after="0"/>
        <w:ind w:left="622" w:right="0" w:hanging="358"/>
        <w:jc w:val="left"/>
        <w:rPr>
          <w:b/>
          <w:sz w:val="21"/>
        </w:rPr>
      </w:pPr>
      <w:r>
        <w:rPr>
          <w:b/>
          <w:sz w:val="21"/>
        </w:rPr>
        <w:t>Invest</w:t>
      </w:r>
      <w:r>
        <w:rPr>
          <w:b/>
          <w:spacing w:val="-6"/>
          <w:sz w:val="21"/>
        </w:rPr>
        <w:t> </w:t>
      </w:r>
      <w:r>
        <w:rPr>
          <w:b/>
          <w:sz w:val="21"/>
        </w:rPr>
        <w:t>in</w:t>
      </w:r>
      <w:r>
        <w:rPr>
          <w:b/>
          <w:spacing w:val="-3"/>
          <w:sz w:val="21"/>
        </w:rPr>
        <w:t> </w:t>
      </w:r>
      <w:r>
        <w:rPr>
          <w:b/>
          <w:sz w:val="21"/>
        </w:rPr>
        <w:t>resources</w:t>
      </w:r>
      <w:r>
        <w:rPr>
          <w:b/>
          <w:spacing w:val="-2"/>
          <w:sz w:val="21"/>
        </w:rPr>
        <w:t> </w:t>
      </w:r>
      <w:r>
        <w:rPr>
          <w:b/>
          <w:sz w:val="21"/>
        </w:rPr>
        <w:t>and</w:t>
      </w:r>
      <w:r>
        <w:rPr>
          <w:b/>
          <w:spacing w:val="-3"/>
          <w:sz w:val="21"/>
        </w:rPr>
        <w:t> </w:t>
      </w:r>
      <w:r>
        <w:rPr>
          <w:b/>
          <w:sz w:val="21"/>
        </w:rPr>
        <w:t>support</w:t>
      </w:r>
      <w:r>
        <w:rPr>
          <w:b/>
          <w:spacing w:val="-2"/>
          <w:sz w:val="21"/>
        </w:rPr>
        <w:t> </w:t>
      </w:r>
      <w:r>
        <w:rPr>
          <w:b/>
          <w:sz w:val="21"/>
        </w:rPr>
        <w:t>for</w:t>
      </w:r>
      <w:r>
        <w:rPr>
          <w:b/>
          <w:spacing w:val="-3"/>
          <w:sz w:val="21"/>
        </w:rPr>
        <w:t> </w:t>
      </w:r>
      <w:r>
        <w:rPr>
          <w:b/>
          <w:sz w:val="21"/>
        </w:rPr>
        <w:t>family</w:t>
      </w:r>
      <w:r>
        <w:rPr>
          <w:b/>
          <w:spacing w:val="-3"/>
          <w:sz w:val="21"/>
        </w:rPr>
        <w:t> </w:t>
      </w:r>
      <w:r>
        <w:rPr>
          <w:b/>
          <w:sz w:val="21"/>
        </w:rPr>
        <w:t>liaisons</w:t>
      </w:r>
      <w:r>
        <w:rPr>
          <w:b/>
          <w:spacing w:val="-2"/>
          <w:sz w:val="21"/>
        </w:rPr>
        <w:t> </w:t>
      </w:r>
      <w:r>
        <w:rPr>
          <w:b/>
          <w:sz w:val="21"/>
        </w:rPr>
        <w:t>and</w:t>
      </w:r>
      <w:r>
        <w:rPr>
          <w:b/>
          <w:spacing w:val="-4"/>
          <w:sz w:val="21"/>
        </w:rPr>
        <w:t> </w:t>
      </w:r>
      <w:r>
        <w:rPr>
          <w:b/>
          <w:sz w:val="21"/>
        </w:rPr>
        <w:t>professional</w:t>
      </w:r>
      <w:r>
        <w:rPr>
          <w:b/>
          <w:spacing w:val="-2"/>
          <w:sz w:val="21"/>
        </w:rPr>
        <w:t> development.</w:t>
      </w:r>
    </w:p>
    <w:p>
      <w:pPr>
        <w:pStyle w:val="BodyText"/>
        <w:spacing w:before="22"/>
        <w:rPr>
          <w:b/>
          <w:sz w:val="21"/>
        </w:rPr>
      </w:pPr>
    </w:p>
    <w:p>
      <w:pPr>
        <w:spacing w:line="276" w:lineRule="auto" w:before="0"/>
        <w:ind w:left="624" w:right="478" w:firstLine="0"/>
        <w:jc w:val="both"/>
        <w:rPr>
          <w:sz w:val="21"/>
        </w:rPr>
      </w:pPr>
      <w:r>
        <w:rPr>
          <w:sz w:val="21"/>
        </w:rPr>
        <w:t>DESE is committed to fostering an inclusive and supportive educational environment for all students and their</w:t>
      </w:r>
      <w:r>
        <w:rPr>
          <w:spacing w:val="-12"/>
          <w:sz w:val="21"/>
        </w:rPr>
        <w:t> </w:t>
      </w:r>
      <w:r>
        <w:rPr>
          <w:sz w:val="21"/>
        </w:rPr>
        <w:t>families.</w:t>
      </w:r>
      <w:r>
        <w:rPr>
          <w:spacing w:val="-12"/>
          <w:sz w:val="21"/>
        </w:rPr>
        <w:t> </w:t>
      </w:r>
      <w:r>
        <w:rPr>
          <w:sz w:val="21"/>
        </w:rPr>
        <w:t>To</w:t>
      </w:r>
      <w:r>
        <w:rPr>
          <w:spacing w:val="-12"/>
          <w:sz w:val="21"/>
        </w:rPr>
        <w:t> </w:t>
      </w:r>
      <w:r>
        <w:rPr>
          <w:sz w:val="21"/>
        </w:rPr>
        <w:t>enhance</w:t>
      </w:r>
      <w:r>
        <w:rPr>
          <w:spacing w:val="-12"/>
          <w:sz w:val="21"/>
        </w:rPr>
        <w:t> </w:t>
      </w:r>
      <w:r>
        <w:rPr>
          <w:sz w:val="21"/>
        </w:rPr>
        <w:t>family</w:t>
      </w:r>
      <w:r>
        <w:rPr>
          <w:spacing w:val="-12"/>
          <w:sz w:val="21"/>
        </w:rPr>
        <w:t> </w:t>
      </w:r>
      <w:r>
        <w:rPr>
          <w:sz w:val="21"/>
        </w:rPr>
        <w:t>engagement</w:t>
      </w:r>
      <w:r>
        <w:rPr>
          <w:spacing w:val="-12"/>
          <w:sz w:val="21"/>
        </w:rPr>
        <w:t> </w:t>
      </w:r>
      <w:r>
        <w:rPr>
          <w:sz w:val="21"/>
        </w:rPr>
        <w:t>and</w:t>
      </w:r>
      <w:r>
        <w:rPr>
          <w:spacing w:val="-12"/>
          <w:sz w:val="21"/>
        </w:rPr>
        <w:t> </w:t>
      </w:r>
      <w:r>
        <w:rPr>
          <w:sz w:val="21"/>
        </w:rPr>
        <w:t>ensure</w:t>
      </w:r>
      <w:r>
        <w:rPr>
          <w:spacing w:val="-11"/>
          <w:sz w:val="21"/>
        </w:rPr>
        <w:t> </w:t>
      </w:r>
      <w:r>
        <w:rPr>
          <w:sz w:val="21"/>
        </w:rPr>
        <w:t>LGBTQ</w:t>
      </w:r>
      <w:r>
        <w:rPr>
          <w:spacing w:val="-12"/>
          <w:sz w:val="21"/>
        </w:rPr>
        <w:t> </w:t>
      </w:r>
      <w:r>
        <w:rPr>
          <w:sz w:val="21"/>
        </w:rPr>
        <w:t>acceptance,</w:t>
      </w:r>
      <w:r>
        <w:rPr>
          <w:spacing w:val="-12"/>
          <w:sz w:val="21"/>
        </w:rPr>
        <w:t> </w:t>
      </w:r>
      <w:r>
        <w:rPr>
          <w:sz w:val="21"/>
        </w:rPr>
        <w:t>the</w:t>
      </w:r>
      <w:r>
        <w:rPr>
          <w:spacing w:val="-12"/>
          <w:sz w:val="21"/>
        </w:rPr>
        <w:t> </w:t>
      </w:r>
      <w:r>
        <w:rPr>
          <w:sz w:val="21"/>
        </w:rPr>
        <w:t>Commission</w:t>
      </w:r>
      <w:r>
        <w:rPr>
          <w:spacing w:val="-11"/>
          <w:sz w:val="21"/>
        </w:rPr>
        <w:t> </w:t>
      </w:r>
      <w:r>
        <w:rPr>
          <w:sz w:val="21"/>
        </w:rPr>
        <w:t>recommends DESE invest in resources and support for school and district family liaisons, as well as provide comprehensive professional development opportunities for school staff. Family engagement and LGBTQ acceptance are critical components of a positive school climate. Research shows that strong family-school partnerships</w:t>
      </w:r>
      <w:r>
        <w:rPr>
          <w:spacing w:val="21"/>
          <w:sz w:val="21"/>
        </w:rPr>
        <w:t> </w:t>
      </w:r>
      <w:r>
        <w:rPr>
          <w:sz w:val="21"/>
        </w:rPr>
        <w:t>contribute</w:t>
      </w:r>
      <w:r>
        <w:rPr>
          <w:spacing w:val="20"/>
          <w:sz w:val="21"/>
        </w:rPr>
        <w:t> </w:t>
      </w:r>
      <w:r>
        <w:rPr>
          <w:sz w:val="21"/>
        </w:rPr>
        <w:t>to</w:t>
      </w:r>
      <w:r>
        <w:rPr>
          <w:spacing w:val="20"/>
          <w:sz w:val="21"/>
        </w:rPr>
        <w:t> </w:t>
      </w:r>
      <w:r>
        <w:rPr>
          <w:sz w:val="21"/>
        </w:rPr>
        <w:t>improved</w:t>
      </w:r>
      <w:r>
        <w:rPr>
          <w:spacing w:val="22"/>
          <w:sz w:val="21"/>
        </w:rPr>
        <w:t> </w:t>
      </w:r>
      <w:r>
        <w:rPr>
          <w:sz w:val="21"/>
        </w:rPr>
        <w:t>student</w:t>
      </w:r>
      <w:r>
        <w:rPr>
          <w:spacing w:val="22"/>
          <w:sz w:val="21"/>
        </w:rPr>
        <w:t> </w:t>
      </w:r>
      <w:r>
        <w:rPr>
          <w:sz w:val="21"/>
        </w:rPr>
        <w:t>outcomes,</w:t>
      </w:r>
      <w:r>
        <w:rPr>
          <w:spacing w:val="22"/>
          <w:sz w:val="21"/>
        </w:rPr>
        <w:t> </w:t>
      </w:r>
      <w:r>
        <w:rPr>
          <w:sz w:val="21"/>
        </w:rPr>
        <w:t>including</w:t>
      </w:r>
      <w:r>
        <w:rPr>
          <w:spacing w:val="20"/>
          <w:sz w:val="21"/>
        </w:rPr>
        <w:t> </w:t>
      </w:r>
      <w:r>
        <w:rPr>
          <w:sz w:val="21"/>
        </w:rPr>
        <w:t>higher</w:t>
      </w:r>
      <w:r>
        <w:rPr>
          <w:spacing w:val="22"/>
          <w:sz w:val="21"/>
        </w:rPr>
        <w:t> </w:t>
      </w:r>
      <w:r>
        <w:rPr>
          <w:sz w:val="21"/>
        </w:rPr>
        <w:t>academic</w:t>
      </w:r>
      <w:r>
        <w:rPr>
          <w:spacing w:val="22"/>
          <w:sz w:val="21"/>
        </w:rPr>
        <w:t> </w:t>
      </w:r>
      <w:r>
        <w:rPr>
          <w:sz w:val="21"/>
        </w:rPr>
        <w:t>achievement,</w:t>
      </w:r>
      <w:r>
        <w:rPr>
          <w:spacing w:val="22"/>
          <w:sz w:val="21"/>
        </w:rPr>
        <w:t> </w:t>
      </w:r>
      <w:r>
        <w:rPr>
          <w:sz w:val="21"/>
        </w:rPr>
        <w:t>better</w:t>
      </w:r>
    </w:p>
    <w:p>
      <w:pPr>
        <w:spacing w:after="0" w:line="276" w:lineRule="auto"/>
        <w:jc w:val="both"/>
        <w:rPr>
          <w:sz w:val="21"/>
        </w:rPr>
        <w:sectPr>
          <w:pgSz w:w="12240" w:h="15840"/>
          <w:pgMar w:header="763" w:footer="1041" w:top="960" w:bottom="1240" w:left="960" w:right="1100"/>
        </w:sectPr>
      </w:pPr>
    </w:p>
    <w:p>
      <w:pPr>
        <w:spacing w:line="276" w:lineRule="auto" w:before="250"/>
        <w:ind w:left="624" w:right="480" w:hanging="1"/>
        <w:jc w:val="both"/>
        <w:rPr>
          <w:sz w:val="21"/>
        </w:rPr>
      </w:pPr>
      <w:r>
        <w:rPr>
          <w:sz w:val="21"/>
        </w:rPr>
        <w:t>attendance,</w:t>
      </w:r>
      <w:r>
        <w:rPr>
          <w:spacing w:val="-1"/>
          <w:sz w:val="21"/>
        </w:rPr>
        <w:t> </w:t>
      </w:r>
      <w:r>
        <w:rPr>
          <w:sz w:val="21"/>
        </w:rPr>
        <w:t>and</w:t>
      </w:r>
      <w:r>
        <w:rPr>
          <w:spacing w:val="-2"/>
          <w:sz w:val="21"/>
        </w:rPr>
        <w:t> </w:t>
      </w:r>
      <w:r>
        <w:rPr>
          <w:sz w:val="21"/>
        </w:rPr>
        <w:t>enhanced</w:t>
      </w:r>
      <w:r>
        <w:rPr>
          <w:spacing w:val="-4"/>
          <w:sz w:val="21"/>
        </w:rPr>
        <w:t> </w:t>
      </w:r>
      <w:r>
        <w:rPr>
          <w:sz w:val="21"/>
        </w:rPr>
        <w:t>social-emotional</w:t>
      </w:r>
      <w:r>
        <w:rPr>
          <w:spacing w:val="-2"/>
          <w:sz w:val="21"/>
        </w:rPr>
        <w:t> </w:t>
      </w:r>
      <w:r>
        <w:rPr>
          <w:sz w:val="21"/>
        </w:rPr>
        <w:t>well-being.</w:t>
      </w:r>
      <w:r>
        <w:rPr>
          <w:spacing w:val="-2"/>
          <w:sz w:val="21"/>
        </w:rPr>
        <w:t> </w:t>
      </w:r>
      <w:r>
        <w:rPr>
          <w:sz w:val="21"/>
        </w:rPr>
        <w:t>Additionally,</w:t>
      </w:r>
      <w:r>
        <w:rPr>
          <w:spacing w:val="-2"/>
          <w:sz w:val="21"/>
        </w:rPr>
        <w:t> </w:t>
      </w:r>
      <w:r>
        <w:rPr>
          <w:sz w:val="21"/>
        </w:rPr>
        <w:t>schools</w:t>
      </w:r>
      <w:r>
        <w:rPr>
          <w:spacing w:val="-2"/>
          <w:sz w:val="21"/>
        </w:rPr>
        <w:t> </w:t>
      </w:r>
      <w:r>
        <w:rPr>
          <w:sz w:val="21"/>
        </w:rPr>
        <w:t>that</w:t>
      </w:r>
      <w:r>
        <w:rPr>
          <w:spacing w:val="-2"/>
          <w:sz w:val="21"/>
        </w:rPr>
        <w:t> </w:t>
      </w:r>
      <w:r>
        <w:rPr>
          <w:sz w:val="21"/>
        </w:rPr>
        <w:t>actively</w:t>
      </w:r>
      <w:r>
        <w:rPr>
          <w:spacing w:val="-2"/>
          <w:sz w:val="21"/>
        </w:rPr>
        <w:t> </w:t>
      </w:r>
      <w:r>
        <w:rPr>
          <w:sz w:val="21"/>
        </w:rPr>
        <w:t>promote</w:t>
      </w:r>
      <w:r>
        <w:rPr>
          <w:spacing w:val="-2"/>
          <w:sz w:val="21"/>
        </w:rPr>
        <w:t> </w:t>
      </w:r>
      <w:r>
        <w:rPr>
          <w:sz w:val="21"/>
        </w:rPr>
        <w:t>LGBTQ acceptance create safer and more inclusive environments, reducing bullying and discrimination.</w:t>
      </w:r>
    </w:p>
    <w:p>
      <w:pPr>
        <w:spacing w:line="276" w:lineRule="auto" w:before="240"/>
        <w:ind w:left="624" w:right="477" w:firstLine="0"/>
        <w:jc w:val="both"/>
        <w:rPr>
          <w:sz w:val="21"/>
        </w:rPr>
      </w:pPr>
      <w:r>
        <w:rPr>
          <w:sz w:val="21"/>
        </w:rPr>
        <w:t>Specialized</w:t>
      </w:r>
      <w:r>
        <w:rPr>
          <w:spacing w:val="-11"/>
          <w:sz w:val="21"/>
        </w:rPr>
        <w:t> </w:t>
      </w:r>
      <w:r>
        <w:rPr>
          <w:sz w:val="21"/>
        </w:rPr>
        <w:t>training</w:t>
      </w:r>
      <w:r>
        <w:rPr>
          <w:spacing w:val="-12"/>
          <w:sz w:val="21"/>
        </w:rPr>
        <w:t> </w:t>
      </w:r>
      <w:r>
        <w:rPr>
          <w:sz w:val="21"/>
        </w:rPr>
        <w:t>should</w:t>
      </w:r>
      <w:r>
        <w:rPr>
          <w:spacing w:val="-11"/>
          <w:sz w:val="21"/>
        </w:rPr>
        <w:t> </w:t>
      </w:r>
      <w:r>
        <w:rPr>
          <w:sz w:val="21"/>
        </w:rPr>
        <w:t>be</w:t>
      </w:r>
      <w:r>
        <w:rPr>
          <w:spacing w:val="-11"/>
          <w:sz w:val="21"/>
        </w:rPr>
        <w:t> </w:t>
      </w:r>
      <w:r>
        <w:rPr>
          <w:sz w:val="21"/>
        </w:rPr>
        <w:t>offered</w:t>
      </w:r>
      <w:r>
        <w:rPr>
          <w:spacing w:val="-11"/>
          <w:sz w:val="21"/>
        </w:rPr>
        <w:t> </w:t>
      </w:r>
      <w:r>
        <w:rPr>
          <w:sz w:val="21"/>
        </w:rPr>
        <w:t>to</w:t>
      </w:r>
      <w:r>
        <w:rPr>
          <w:spacing w:val="-12"/>
          <w:sz w:val="21"/>
        </w:rPr>
        <w:t> </w:t>
      </w:r>
      <w:r>
        <w:rPr>
          <w:sz w:val="21"/>
        </w:rPr>
        <w:t>family</w:t>
      </w:r>
      <w:r>
        <w:rPr>
          <w:spacing w:val="-12"/>
          <w:sz w:val="21"/>
        </w:rPr>
        <w:t> </w:t>
      </w:r>
      <w:r>
        <w:rPr>
          <w:sz w:val="21"/>
        </w:rPr>
        <w:t>liaisons</w:t>
      </w:r>
      <w:r>
        <w:rPr>
          <w:spacing w:val="-12"/>
          <w:sz w:val="21"/>
        </w:rPr>
        <w:t> </w:t>
      </w:r>
      <w:r>
        <w:rPr>
          <w:sz w:val="21"/>
        </w:rPr>
        <w:t>on</w:t>
      </w:r>
      <w:r>
        <w:rPr>
          <w:spacing w:val="-10"/>
          <w:sz w:val="21"/>
        </w:rPr>
        <w:t> </w:t>
      </w:r>
      <w:r>
        <w:rPr>
          <w:sz w:val="21"/>
        </w:rPr>
        <w:t>best</w:t>
      </w:r>
      <w:r>
        <w:rPr>
          <w:spacing w:val="-12"/>
          <w:sz w:val="21"/>
        </w:rPr>
        <w:t> </w:t>
      </w:r>
      <w:r>
        <w:rPr>
          <w:sz w:val="21"/>
        </w:rPr>
        <w:t>practices</w:t>
      </w:r>
      <w:r>
        <w:rPr>
          <w:spacing w:val="-12"/>
          <w:sz w:val="21"/>
        </w:rPr>
        <w:t> </w:t>
      </w:r>
      <w:r>
        <w:rPr>
          <w:sz w:val="21"/>
        </w:rPr>
        <w:t>in</w:t>
      </w:r>
      <w:r>
        <w:rPr>
          <w:spacing w:val="-11"/>
          <w:sz w:val="21"/>
        </w:rPr>
        <w:t> </w:t>
      </w:r>
      <w:r>
        <w:rPr>
          <w:sz w:val="21"/>
        </w:rPr>
        <w:t>family</w:t>
      </w:r>
      <w:r>
        <w:rPr>
          <w:spacing w:val="-12"/>
          <w:sz w:val="21"/>
        </w:rPr>
        <w:t> </w:t>
      </w:r>
      <w:r>
        <w:rPr>
          <w:sz w:val="21"/>
        </w:rPr>
        <w:t>engagement,</w:t>
      </w:r>
      <w:r>
        <w:rPr>
          <w:spacing w:val="-11"/>
          <w:sz w:val="21"/>
        </w:rPr>
        <w:t> </w:t>
      </w:r>
      <w:r>
        <w:rPr>
          <w:sz w:val="21"/>
        </w:rPr>
        <w:t>with</w:t>
      </w:r>
      <w:r>
        <w:rPr>
          <w:spacing w:val="-11"/>
          <w:sz w:val="21"/>
        </w:rPr>
        <w:t> </w:t>
      </w:r>
      <w:r>
        <w:rPr>
          <w:sz w:val="21"/>
        </w:rPr>
        <w:t>a</w:t>
      </w:r>
      <w:r>
        <w:rPr>
          <w:spacing w:val="-12"/>
          <w:sz w:val="21"/>
        </w:rPr>
        <w:t> </w:t>
      </w:r>
      <w:r>
        <w:rPr>
          <w:sz w:val="21"/>
        </w:rPr>
        <w:t>focus on</w:t>
      </w:r>
      <w:r>
        <w:rPr>
          <w:spacing w:val="-12"/>
          <w:sz w:val="21"/>
        </w:rPr>
        <w:t> </w:t>
      </w:r>
      <w:r>
        <w:rPr>
          <w:sz w:val="21"/>
        </w:rPr>
        <w:t>supporting</w:t>
      </w:r>
      <w:r>
        <w:rPr>
          <w:spacing w:val="-12"/>
          <w:sz w:val="21"/>
        </w:rPr>
        <w:t> </w:t>
      </w:r>
      <w:r>
        <w:rPr>
          <w:sz w:val="21"/>
        </w:rPr>
        <w:t>diverse</w:t>
      </w:r>
      <w:r>
        <w:rPr>
          <w:spacing w:val="-12"/>
          <w:sz w:val="21"/>
        </w:rPr>
        <w:t> </w:t>
      </w:r>
      <w:r>
        <w:rPr>
          <w:sz w:val="21"/>
        </w:rPr>
        <w:t>families,</w:t>
      </w:r>
      <w:r>
        <w:rPr>
          <w:spacing w:val="-12"/>
          <w:sz w:val="21"/>
        </w:rPr>
        <w:t> </w:t>
      </w:r>
      <w:r>
        <w:rPr>
          <w:sz w:val="21"/>
        </w:rPr>
        <w:t>including</w:t>
      </w:r>
      <w:r>
        <w:rPr>
          <w:spacing w:val="-12"/>
          <w:sz w:val="21"/>
        </w:rPr>
        <w:t> </w:t>
      </w:r>
      <w:r>
        <w:rPr>
          <w:sz w:val="21"/>
        </w:rPr>
        <w:t>those</w:t>
      </w:r>
      <w:r>
        <w:rPr>
          <w:spacing w:val="-11"/>
          <w:sz w:val="21"/>
        </w:rPr>
        <w:t> </w:t>
      </w:r>
      <w:r>
        <w:rPr>
          <w:sz w:val="21"/>
        </w:rPr>
        <w:t>with</w:t>
      </w:r>
      <w:r>
        <w:rPr>
          <w:spacing w:val="-12"/>
          <w:sz w:val="21"/>
        </w:rPr>
        <w:t> </w:t>
      </w:r>
      <w:r>
        <w:rPr>
          <w:sz w:val="21"/>
        </w:rPr>
        <w:t>LGBTQ</w:t>
      </w:r>
      <w:r>
        <w:rPr>
          <w:spacing w:val="-11"/>
          <w:sz w:val="21"/>
        </w:rPr>
        <w:t> </w:t>
      </w:r>
      <w:r>
        <w:rPr>
          <w:sz w:val="21"/>
        </w:rPr>
        <w:t>members.</w:t>
      </w:r>
      <w:r>
        <w:rPr>
          <w:spacing w:val="-12"/>
          <w:sz w:val="21"/>
        </w:rPr>
        <w:t> </w:t>
      </w:r>
      <w:r>
        <w:rPr>
          <w:sz w:val="21"/>
        </w:rPr>
        <w:t>Developing</w:t>
      </w:r>
      <w:r>
        <w:rPr>
          <w:spacing w:val="-12"/>
          <w:sz w:val="21"/>
        </w:rPr>
        <w:t> </w:t>
      </w:r>
      <w:r>
        <w:rPr>
          <w:sz w:val="21"/>
        </w:rPr>
        <w:t>and</w:t>
      </w:r>
      <w:r>
        <w:rPr>
          <w:spacing w:val="-11"/>
          <w:sz w:val="21"/>
        </w:rPr>
        <w:t> </w:t>
      </w:r>
      <w:r>
        <w:rPr>
          <w:sz w:val="21"/>
        </w:rPr>
        <w:t>distributing</w:t>
      </w:r>
      <w:r>
        <w:rPr>
          <w:spacing w:val="-12"/>
          <w:sz w:val="21"/>
        </w:rPr>
        <w:t> </w:t>
      </w:r>
      <w:r>
        <w:rPr>
          <w:sz w:val="21"/>
        </w:rPr>
        <w:t>materials that family liaisons can use to educate families about LGBTQ issues and support services available within the school and community is also essential.</w:t>
      </w:r>
    </w:p>
    <w:p>
      <w:pPr>
        <w:spacing w:line="276" w:lineRule="auto" w:before="240"/>
        <w:ind w:left="624" w:right="481" w:firstLine="0"/>
        <w:jc w:val="both"/>
        <w:rPr>
          <w:sz w:val="21"/>
        </w:rPr>
      </w:pPr>
      <w:r>
        <w:rPr>
          <w:sz w:val="21"/>
        </w:rPr>
        <w:t>Professional development for school staff should include topics such as cultural competence, family engagement strategies, and LGBTQ acceptance. Encourage continuous learning by providing access to online courses, workshops, and conferences related to family engagement and LGBTQ issues.</w:t>
      </w:r>
    </w:p>
    <w:p>
      <w:pPr>
        <w:pStyle w:val="BodyText"/>
        <w:rPr>
          <w:sz w:val="21"/>
        </w:rPr>
      </w:pPr>
    </w:p>
    <w:p>
      <w:pPr>
        <w:pStyle w:val="BodyText"/>
        <w:rPr>
          <w:sz w:val="21"/>
        </w:rPr>
      </w:pPr>
    </w:p>
    <w:p>
      <w:pPr>
        <w:pStyle w:val="BodyText"/>
        <w:spacing w:before="5"/>
        <w:rPr>
          <w:sz w:val="21"/>
        </w:rPr>
      </w:pPr>
    </w:p>
    <w:p>
      <w:pPr>
        <w:spacing w:before="0"/>
        <w:ind w:left="624" w:right="0" w:firstLine="0"/>
        <w:jc w:val="both"/>
        <w:rPr>
          <w:i/>
          <w:sz w:val="21"/>
        </w:rPr>
      </w:pPr>
      <w:r>
        <w:rPr>
          <w:i/>
          <w:sz w:val="21"/>
        </w:rPr>
        <w:t>Acknowledgments:</w:t>
      </w:r>
      <w:r>
        <w:rPr>
          <w:i/>
          <w:spacing w:val="-5"/>
          <w:sz w:val="21"/>
        </w:rPr>
        <w:t> </w:t>
      </w:r>
      <w:r>
        <w:rPr>
          <w:i/>
          <w:sz w:val="21"/>
        </w:rPr>
        <w:t>The</w:t>
      </w:r>
      <w:r>
        <w:rPr>
          <w:i/>
          <w:spacing w:val="-2"/>
          <w:sz w:val="21"/>
        </w:rPr>
        <w:t> </w:t>
      </w:r>
      <w:r>
        <w:rPr>
          <w:i/>
          <w:sz w:val="21"/>
        </w:rPr>
        <w:t>Commission</w:t>
      </w:r>
      <w:r>
        <w:rPr>
          <w:i/>
          <w:spacing w:val="-3"/>
          <w:sz w:val="21"/>
        </w:rPr>
        <w:t> </w:t>
      </w:r>
      <w:r>
        <w:rPr>
          <w:i/>
          <w:sz w:val="21"/>
        </w:rPr>
        <w:t>sincerely</w:t>
      </w:r>
      <w:r>
        <w:rPr>
          <w:i/>
          <w:spacing w:val="-3"/>
          <w:sz w:val="21"/>
        </w:rPr>
        <w:t> </w:t>
      </w:r>
      <w:r>
        <w:rPr>
          <w:i/>
          <w:sz w:val="21"/>
        </w:rPr>
        <w:t>appreciates</w:t>
      </w:r>
      <w:r>
        <w:rPr>
          <w:i/>
          <w:spacing w:val="-3"/>
          <w:sz w:val="21"/>
        </w:rPr>
        <w:t> </w:t>
      </w:r>
      <w:r>
        <w:rPr>
          <w:i/>
          <w:sz w:val="21"/>
        </w:rPr>
        <w:t>the</w:t>
      </w:r>
      <w:r>
        <w:rPr>
          <w:i/>
          <w:spacing w:val="-3"/>
          <w:sz w:val="21"/>
        </w:rPr>
        <w:t> </w:t>
      </w:r>
      <w:r>
        <w:rPr>
          <w:i/>
          <w:sz w:val="21"/>
        </w:rPr>
        <w:t>contributions</w:t>
      </w:r>
      <w:r>
        <w:rPr>
          <w:i/>
          <w:spacing w:val="-3"/>
          <w:sz w:val="21"/>
        </w:rPr>
        <w:t> </w:t>
      </w:r>
      <w:r>
        <w:rPr>
          <w:i/>
          <w:sz w:val="21"/>
        </w:rPr>
        <w:t>of</w:t>
      </w:r>
      <w:r>
        <w:rPr>
          <w:i/>
          <w:spacing w:val="-3"/>
          <w:sz w:val="21"/>
        </w:rPr>
        <w:t> </w:t>
      </w:r>
      <w:r>
        <w:rPr>
          <w:i/>
          <w:sz w:val="21"/>
        </w:rPr>
        <w:t>its</w:t>
      </w:r>
      <w:r>
        <w:rPr>
          <w:i/>
          <w:spacing w:val="-4"/>
          <w:sz w:val="21"/>
        </w:rPr>
        <w:t> </w:t>
      </w:r>
      <w:r>
        <w:rPr>
          <w:i/>
          <w:sz w:val="21"/>
        </w:rPr>
        <w:t>DESE</w:t>
      </w:r>
      <w:r>
        <w:rPr>
          <w:i/>
          <w:spacing w:val="-2"/>
          <w:sz w:val="21"/>
        </w:rPr>
        <w:t> liaisons.</w:t>
      </w:r>
    </w:p>
    <w:p>
      <w:pPr>
        <w:spacing w:after="0"/>
        <w:jc w:val="both"/>
        <w:rPr>
          <w:sz w:val="21"/>
        </w:rPr>
        <w:sectPr>
          <w:pgSz w:w="12240" w:h="15840"/>
          <w:pgMar w:header="763" w:footer="1041" w:top="960" w:bottom="1240" w:left="960" w:right="1100"/>
        </w:sectPr>
      </w:pPr>
    </w:p>
    <w:p>
      <w:pPr>
        <w:pStyle w:val="BodyText"/>
        <w:rPr>
          <w:i/>
          <w:sz w:val="20"/>
        </w:rPr>
      </w:pPr>
    </w:p>
    <w:p>
      <w:pPr>
        <w:pStyle w:val="BodyText"/>
        <w:spacing w:before="89"/>
        <w:rPr>
          <w:i/>
          <w:sz w:val="20"/>
        </w:rPr>
      </w:pPr>
    </w:p>
    <w:p>
      <w:pPr>
        <w:pStyle w:val="BodyText"/>
        <w:spacing w:line="20" w:lineRule="exact"/>
        <w:ind w:left="440"/>
        <w:rPr>
          <w:sz w:val="2"/>
        </w:rPr>
      </w:pPr>
      <w:r>
        <w:rPr>
          <w:sz w:val="2"/>
        </w:rPr>
        <mc:AlternateContent>
          <mc:Choice Requires="wps">
            <w:drawing>
              <wp:inline distT="0" distB="0" distL="0" distR="0">
                <wp:extent cx="6350" cy="12700"/>
                <wp:effectExtent l="0" t="0" r="0" b="0"/>
                <wp:docPr id="546" name="Group 546"/>
                <wp:cNvGraphicFramePr>
                  <a:graphicFrameLocks/>
                </wp:cNvGraphicFramePr>
                <a:graphic>
                  <a:graphicData uri="http://schemas.microsoft.com/office/word/2010/wordprocessingGroup">
                    <wpg:wgp>
                      <wpg:cNvPr id="546" name="Group 546"/>
                      <wpg:cNvGrpSpPr/>
                      <wpg:grpSpPr>
                        <a:xfrm>
                          <a:off x="0" y="0"/>
                          <a:ext cx="6350" cy="12700"/>
                          <a:chExt cx="6350" cy="12700"/>
                        </a:xfrm>
                      </wpg:grpSpPr>
                      <wps:wsp>
                        <wps:cNvPr id="547" name="Graphic 547"/>
                        <wps:cNvSpPr/>
                        <wps:spPr>
                          <a:xfrm>
                            <a:off x="0" y="0"/>
                            <a:ext cx="6350" cy="12700"/>
                          </a:xfrm>
                          <a:custGeom>
                            <a:avLst/>
                            <a:gdLst/>
                            <a:ahLst/>
                            <a:cxnLst/>
                            <a:rect l="l" t="t" r="r" b="b"/>
                            <a:pathLst>
                              <a:path w="6350" h="12700">
                                <a:moveTo>
                                  <a:pt x="6337" y="0"/>
                                </a:moveTo>
                                <a:lnTo>
                                  <a:pt x="0" y="0"/>
                                </a:lnTo>
                                <a:lnTo>
                                  <a:pt x="0" y="12179"/>
                                </a:lnTo>
                                <a:lnTo>
                                  <a:pt x="6337" y="12179"/>
                                </a:lnTo>
                                <a:lnTo>
                                  <a:pt x="6337" y="0"/>
                                </a:lnTo>
                                <a:close/>
                              </a:path>
                            </a:pathLst>
                          </a:custGeom>
                          <a:solidFill>
                            <a:srgbClr val="4F81BB"/>
                          </a:solidFill>
                        </wps:spPr>
                        <wps:bodyPr wrap="square" lIns="0" tIns="0" rIns="0" bIns="0" rtlCol="0">
                          <a:prstTxWarp prst="textNoShape">
                            <a:avLst/>
                          </a:prstTxWarp>
                          <a:noAutofit/>
                        </wps:bodyPr>
                      </wps:wsp>
                    </wpg:wgp>
                  </a:graphicData>
                </a:graphic>
              </wp:inline>
            </w:drawing>
          </mc:Choice>
          <mc:Fallback>
            <w:pict>
              <v:group style="width:.5pt;height:1pt;mso-position-horizontal-relative:char;mso-position-vertical-relative:line" id="docshapegroup443" coordorigin="0,0" coordsize="10,20">
                <v:rect style="position:absolute;left:0;top:0;width:10;height:20" id="docshape444" filled="true" fillcolor="#4f81bb" stroked="false">
                  <v:fill type="solid"/>
                </v:rect>
              </v:group>
            </w:pict>
          </mc:Fallback>
        </mc:AlternateContent>
      </w:r>
      <w:r>
        <w:rPr>
          <w:sz w:val="2"/>
        </w:rPr>
      </w:r>
    </w:p>
    <w:p>
      <w:pPr>
        <w:pStyle w:val="Heading7"/>
      </w:pPr>
      <w:bookmarkStart w:name="_bookmark625" w:id="932"/>
      <w:bookmarkEnd w:id="932"/>
      <w:r>
        <w:rPr/>
      </w:r>
      <w:hyperlink w:history="true" w:anchor="_bookmark6">
        <w:r>
          <w:rPr>
            <w:color w:val="365F91"/>
            <w:spacing w:val="-10"/>
          </w:rPr>
          <w:t>Department</w:t>
        </w:r>
        <w:r>
          <w:rPr>
            <w:color w:val="365F91"/>
            <w:spacing w:val="-4"/>
          </w:rPr>
          <w:t> </w:t>
        </w:r>
        <w:r>
          <w:rPr>
            <w:color w:val="365F91"/>
            <w:spacing w:val="-10"/>
          </w:rPr>
          <w:t>of</w:t>
        </w:r>
        <w:r>
          <w:rPr>
            <w:color w:val="365F91"/>
            <w:spacing w:val="-4"/>
          </w:rPr>
          <w:t> </w:t>
        </w:r>
        <w:r>
          <w:rPr>
            <w:color w:val="365F91"/>
            <w:spacing w:val="-10"/>
          </w:rPr>
          <w:t>Higher</w:t>
        </w:r>
        <w:r>
          <w:rPr>
            <w:color w:val="365F91"/>
            <w:spacing w:val="-4"/>
          </w:rPr>
          <w:t> </w:t>
        </w:r>
        <w:r>
          <w:rPr>
            <w:color w:val="365F91"/>
            <w:spacing w:val="-10"/>
          </w:rPr>
          <w:t>Education</w:t>
        </w:r>
      </w:hyperlink>
    </w:p>
    <w:p>
      <w:pPr>
        <w:pStyle w:val="BodyText"/>
        <w:spacing w:before="71"/>
        <w:rPr>
          <w:sz w:val="20"/>
        </w:rPr>
      </w:pPr>
      <w:r>
        <w:rPr/>
        <mc:AlternateContent>
          <mc:Choice Requires="wps">
            <w:drawing>
              <wp:anchor distT="0" distB="0" distL="0" distR="0" allowOverlap="1" layoutInCell="1" locked="0" behindDoc="1" simplePos="0" relativeHeight="487692800">
                <wp:simplePos x="0" y="0"/>
                <wp:positionH relativeFrom="page">
                  <wp:posOffset>889000</wp:posOffset>
                </wp:positionH>
                <wp:positionV relativeFrom="paragraph">
                  <wp:posOffset>215899</wp:posOffset>
                </wp:positionV>
                <wp:extent cx="6350" cy="12700"/>
                <wp:effectExtent l="0" t="0" r="0" b="0"/>
                <wp:wrapTopAndBottom/>
                <wp:docPr id="548" name="Graphic 548"/>
                <wp:cNvGraphicFramePr>
                  <a:graphicFrameLocks/>
                </wp:cNvGraphicFramePr>
                <a:graphic>
                  <a:graphicData uri="http://schemas.microsoft.com/office/word/2010/wordprocessingShape">
                    <wps:wsp>
                      <wps:cNvPr id="548" name="Graphic 548"/>
                      <wps:cNvSpPr/>
                      <wps:spPr>
                        <a:xfrm>
                          <a:off x="0" y="0"/>
                          <a:ext cx="6350" cy="12700"/>
                        </a:xfrm>
                        <a:custGeom>
                          <a:avLst/>
                          <a:gdLst/>
                          <a:ahLst/>
                          <a:cxnLst/>
                          <a:rect l="l" t="t" r="r" b="b"/>
                          <a:pathLst>
                            <a:path w="6350" h="12700">
                              <a:moveTo>
                                <a:pt x="6337" y="0"/>
                              </a:moveTo>
                              <a:lnTo>
                                <a:pt x="0" y="0"/>
                              </a:lnTo>
                              <a:lnTo>
                                <a:pt x="0" y="12179"/>
                              </a:lnTo>
                              <a:lnTo>
                                <a:pt x="6337" y="12179"/>
                              </a:lnTo>
                              <a:lnTo>
                                <a:pt x="6337" y="0"/>
                              </a:lnTo>
                              <a:close/>
                            </a:path>
                          </a:pathLst>
                        </a:custGeom>
                        <a:solidFill>
                          <a:srgbClr val="4F81BB"/>
                        </a:solidFill>
                      </wps:spPr>
                      <wps:bodyPr wrap="square" lIns="0" tIns="0" rIns="0" bIns="0" rtlCol="0">
                        <a:prstTxWarp prst="textNoShape">
                          <a:avLst/>
                        </a:prstTxWarp>
                        <a:noAutofit/>
                      </wps:bodyPr>
                    </wps:wsp>
                  </a:graphicData>
                </a:graphic>
              </wp:anchor>
            </w:drawing>
          </mc:Choice>
          <mc:Fallback>
            <w:pict>
              <v:rect style="position:absolute;margin-left:70pt;margin-top:16.999937pt;width:.499pt;height:.959pt;mso-position-horizontal-relative:page;mso-position-vertical-relative:paragraph;z-index:-15623680;mso-wrap-distance-left:0;mso-wrap-distance-right:0" id="docshape445" filled="true" fillcolor="#4f81bb" stroked="false">
                <v:fill type="solid"/>
                <w10:wrap type="topAndBottom"/>
              </v:rect>
            </w:pict>
          </mc:Fallback>
        </mc:AlternateContent>
      </w:r>
    </w:p>
    <w:p>
      <w:pPr>
        <w:spacing w:before="1" w:after="20"/>
        <w:ind w:left="483" w:right="0" w:firstLine="0"/>
        <w:jc w:val="left"/>
        <w:rPr>
          <w:sz w:val="32"/>
        </w:rPr>
      </w:pPr>
      <w:r>
        <w:rPr>
          <w:color w:val="365F91"/>
          <w:sz w:val="32"/>
        </w:rPr>
        <w:t>FY</w:t>
      </w:r>
      <w:r>
        <w:rPr>
          <w:color w:val="365F91"/>
          <w:spacing w:val="-3"/>
          <w:sz w:val="32"/>
        </w:rPr>
        <w:t> </w:t>
      </w:r>
      <w:r>
        <w:rPr>
          <w:color w:val="365F91"/>
          <w:sz w:val="32"/>
        </w:rPr>
        <w:t>2025</w:t>
      </w:r>
      <w:r>
        <w:rPr>
          <w:color w:val="365F91"/>
          <w:spacing w:val="-1"/>
          <w:sz w:val="32"/>
        </w:rPr>
        <w:t> </w:t>
      </w:r>
      <w:r>
        <w:rPr>
          <w:color w:val="365F91"/>
          <w:spacing w:val="-2"/>
          <w:sz w:val="32"/>
        </w:rPr>
        <w:t>Recommendations</w:t>
      </w:r>
    </w:p>
    <w:p>
      <w:pPr>
        <w:pStyle w:val="BodyText"/>
        <w:spacing w:line="20" w:lineRule="exact"/>
        <w:ind w:left="453"/>
        <w:rPr>
          <w:sz w:val="2"/>
        </w:rPr>
      </w:pPr>
      <w:r>
        <w:rPr>
          <w:sz w:val="2"/>
        </w:rPr>
        <mc:AlternateContent>
          <mc:Choice Requires="wps">
            <w:drawing>
              <wp:inline distT="0" distB="0" distL="0" distR="0">
                <wp:extent cx="5976620" cy="6350"/>
                <wp:effectExtent l="0" t="0" r="0" b="0"/>
                <wp:docPr id="549" name="Group 549"/>
                <wp:cNvGraphicFramePr>
                  <a:graphicFrameLocks/>
                </wp:cNvGraphicFramePr>
                <a:graphic>
                  <a:graphicData uri="http://schemas.microsoft.com/office/word/2010/wordprocessingGroup">
                    <wpg:wgp>
                      <wpg:cNvPr id="549" name="Group 549"/>
                      <wpg:cNvGrpSpPr/>
                      <wpg:grpSpPr>
                        <a:xfrm>
                          <a:off x="0" y="0"/>
                          <a:ext cx="5976620" cy="6350"/>
                          <a:chExt cx="5976620" cy="6350"/>
                        </a:xfrm>
                      </wpg:grpSpPr>
                      <wps:wsp>
                        <wps:cNvPr id="550" name="Graphic 550"/>
                        <wps:cNvSpPr/>
                        <wps:spPr>
                          <a:xfrm>
                            <a:off x="0" y="0"/>
                            <a:ext cx="5976620" cy="6350"/>
                          </a:xfrm>
                          <a:custGeom>
                            <a:avLst/>
                            <a:gdLst/>
                            <a:ahLst/>
                            <a:cxnLst/>
                            <a:rect l="l" t="t" r="r" b="b"/>
                            <a:pathLst>
                              <a:path w="5976620" h="6350">
                                <a:moveTo>
                                  <a:pt x="5976366" y="0"/>
                                </a:moveTo>
                                <a:lnTo>
                                  <a:pt x="0" y="0"/>
                                </a:lnTo>
                                <a:lnTo>
                                  <a:pt x="0" y="6096"/>
                                </a:lnTo>
                                <a:lnTo>
                                  <a:pt x="5976366" y="6096"/>
                                </a:lnTo>
                                <a:lnTo>
                                  <a:pt x="5976366" y="0"/>
                                </a:lnTo>
                                <a:close/>
                              </a:path>
                            </a:pathLst>
                          </a:custGeom>
                          <a:solidFill>
                            <a:srgbClr val="4F81BC"/>
                          </a:solidFill>
                        </wps:spPr>
                        <wps:bodyPr wrap="square" lIns="0" tIns="0" rIns="0" bIns="0" rtlCol="0">
                          <a:prstTxWarp prst="textNoShape">
                            <a:avLst/>
                          </a:prstTxWarp>
                          <a:noAutofit/>
                        </wps:bodyPr>
                      </wps:wsp>
                    </wpg:wgp>
                  </a:graphicData>
                </a:graphic>
              </wp:inline>
            </w:drawing>
          </mc:Choice>
          <mc:Fallback>
            <w:pict>
              <v:group style="width:470.6pt;height:.5pt;mso-position-horizontal-relative:char;mso-position-vertical-relative:line" id="docshapegroup446" coordorigin="0,0" coordsize="9412,10">
                <v:rect style="position:absolute;left:0;top:0;width:9412;height:10" id="docshape447" filled="true" fillcolor="#4f81bc" stroked="false">
                  <v:fill type="solid"/>
                </v:rect>
              </v:group>
            </w:pict>
          </mc:Fallback>
        </mc:AlternateContent>
      </w:r>
      <w:r>
        <w:rPr>
          <w:sz w:val="2"/>
        </w:rPr>
      </w:r>
    </w:p>
    <w:p>
      <w:pPr>
        <w:pStyle w:val="BodyText"/>
      </w:pPr>
    </w:p>
    <w:p>
      <w:pPr>
        <w:pStyle w:val="BodyText"/>
        <w:spacing w:before="27"/>
      </w:pPr>
    </w:p>
    <w:p>
      <w:pPr>
        <w:pStyle w:val="ListParagraph"/>
        <w:numPr>
          <w:ilvl w:val="1"/>
          <w:numId w:val="33"/>
        </w:numPr>
        <w:tabs>
          <w:tab w:pos="1057" w:val="left" w:leader="none"/>
          <w:tab w:pos="1059" w:val="left" w:leader="none"/>
        </w:tabs>
        <w:spacing w:line="276" w:lineRule="auto" w:before="1" w:after="0"/>
        <w:ind w:left="1059" w:right="630" w:hanging="361"/>
        <w:jc w:val="left"/>
        <w:rPr>
          <w:sz w:val="22"/>
        </w:rPr>
      </w:pPr>
      <w:r>
        <w:rPr>
          <w:sz w:val="22"/>
        </w:rPr>
        <w:t>Encourage</w:t>
      </w:r>
      <w:r>
        <w:rPr>
          <w:spacing w:val="-2"/>
          <w:sz w:val="22"/>
        </w:rPr>
        <w:t> </w:t>
      </w:r>
      <w:r>
        <w:rPr>
          <w:sz w:val="22"/>
        </w:rPr>
        <w:t>public</w:t>
      </w:r>
      <w:r>
        <w:rPr>
          <w:spacing w:val="-2"/>
          <w:sz w:val="22"/>
        </w:rPr>
        <w:t> </w:t>
      </w:r>
      <w:r>
        <w:rPr>
          <w:sz w:val="22"/>
        </w:rPr>
        <w:t>and</w:t>
      </w:r>
      <w:r>
        <w:rPr>
          <w:spacing w:val="-2"/>
          <w:sz w:val="22"/>
        </w:rPr>
        <w:t> </w:t>
      </w:r>
      <w:r>
        <w:rPr>
          <w:sz w:val="22"/>
        </w:rPr>
        <w:t>private</w:t>
      </w:r>
      <w:r>
        <w:rPr>
          <w:spacing w:val="-2"/>
          <w:sz w:val="22"/>
        </w:rPr>
        <w:t> </w:t>
      </w:r>
      <w:r>
        <w:rPr>
          <w:sz w:val="22"/>
        </w:rPr>
        <w:t>higher</w:t>
      </w:r>
      <w:r>
        <w:rPr>
          <w:spacing w:val="-1"/>
          <w:sz w:val="22"/>
        </w:rPr>
        <w:t> </w:t>
      </w:r>
      <w:r>
        <w:rPr>
          <w:sz w:val="22"/>
        </w:rPr>
        <w:t>education</w:t>
      </w:r>
      <w:r>
        <w:rPr>
          <w:spacing w:val="-2"/>
          <w:sz w:val="22"/>
        </w:rPr>
        <w:t> </w:t>
      </w:r>
      <w:r>
        <w:rPr>
          <w:sz w:val="22"/>
        </w:rPr>
        <w:t>institutions</w:t>
      </w:r>
      <w:r>
        <w:rPr>
          <w:spacing w:val="-1"/>
          <w:sz w:val="22"/>
        </w:rPr>
        <w:t> </w:t>
      </w:r>
      <w:r>
        <w:rPr>
          <w:sz w:val="22"/>
        </w:rPr>
        <w:t>to</w:t>
      </w:r>
      <w:r>
        <w:rPr>
          <w:spacing w:val="-1"/>
          <w:sz w:val="22"/>
        </w:rPr>
        <w:t> </w:t>
      </w:r>
      <w:r>
        <w:rPr>
          <w:sz w:val="22"/>
        </w:rPr>
        <w:t>enact</w:t>
      </w:r>
      <w:r>
        <w:rPr>
          <w:spacing w:val="-2"/>
          <w:sz w:val="22"/>
        </w:rPr>
        <w:t> </w:t>
      </w:r>
      <w:r>
        <w:rPr>
          <w:sz w:val="22"/>
        </w:rPr>
        <w:t>anti-discrimination</w:t>
      </w:r>
      <w:r>
        <w:rPr>
          <w:spacing w:val="-2"/>
          <w:sz w:val="22"/>
        </w:rPr>
        <w:t> </w:t>
      </w:r>
      <w:r>
        <w:rPr>
          <w:sz w:val="22"/>
        </w:rPr>
        <w:t>policies and</w:t>
      </w:r>
      <w:r>
        <w:rPr>
          <w:spacing w:val="-2"/>
          <w:sz w:val="22"/>
        </w:rPr>
        <w:t> </w:t>
      </w:r>
      <w:r>
        <w:rPr>
          <w:sz w:val="22"/>
        </w:rPr>
        <w:t>best</w:t>
      </w:r>
      <w:r>
        <w:rPr>
          <w:spacing w:val="-2"/>
          <w:sz w:val="22"/>
        </w:rPr>
        <w:t> </w:t>
      </w:r>
      <w:r>
        <w:rPr>
          <w:sz w:val="22"/>
        </w:rPr>
        <w:t>practices that</w:t>
      </w:r>
      <w:r>
        <w:rPr>
          <w:spacing w:val="-1"/>
          <w:sz w:val="22"/>
        </w:rPr>
        <w:t> </w:t>
      </w:r>
      <w:r>
        <w:rPr>
          <w:sz w:val="22"/>
        </w:rPr>
        <w:t>include</w:t>
      </w:r>
      <w:r>
        <w:rPr>
          <w:spacing w:val="-2"/>
          <w:sz w:val="22"/>
        </w:rPr>
        <w:t> </w:t>
      </w:r>
      <w:r>
        <w:rPr>
          <w:sz w:val="22"/>
        </w:rPr>
        <w:t>sex,</w:t>
      </w:r>
      <w:r>
        <w:rPr>
          <w:spacing w:val="-2"/>
          <w:sz w:val="22"/>
        </w:rPr>
        <w:t> </w:t>
      </w:r>
      <w:r>
        <w:rPr>
          <w:sz w:val="22"/>
        </w:rPr>
        <w:t>gender</w:t>
      </w:r>
      <w:r>
        <w:rPr>
          <w:spacing w:val="-2"/>
          <w:sz w:val="22"/>
        </w:rPr>
        <w:t> </w:t>
      </w:r>
      <w:r>
        <w:rPr>
          <w:sz w:val="22"/>
        </w:rPr>
        <w:t>identity, gender</w:t>
      </w:r>
      <w:r>
        <w:rPr>
          <w:spacing w:val="-1"/>
          <w:sz w:val="22"/>
        </w:rPr>
        <w:t> </w:t>
      </w:r>
      <w:r>
        <w:rPr>
          <w:sz w:val="22"/>
        </w:rPr>
        <w:t>expression,</w:t>
      </w:r>
      <w:r>
        <w:rPr>
          <w:spacing w:val="-2"/>
          <w:sz w:val="22"/>
        </w:rPr>
        <w:t> </w:t>
      </w:r>
      <w:r>
        <w:rPr>
          <w:sz w:val="22"/>
        </w:rPr>
        <w:t>and</w:t>
      </w:r>
      <w:r>
        <w:rPr>
          <w:spacing w:val="-2"/>
          <w:sz w:val="22"/>
        </w:rPr>
        <w:t> </w:t>
      </w:r>
      <w:r>
        <w:rPr>
          <w:sz w:val="22"/>
        </w:rPr>
        <w:t>sexual</w:t>
      </w:r>
      <w:r>
        <w:rPr>
          <w:spacing w:val="-2"/>
          <w:sz w:val="22"/>
        </w:rPr>
        <w:t> </w:t>
      </w:r>
      <w:r>
        <w:rPr>
          <w:sz w:val="22"/>
        </w:rPr>
        <w:t>orientation.</w:t>
      </w:r>
    </w:p>
    <w:p>
      <w:pPr>
        <w:pStyle w:val="ListParagraph"/>
        <w:numPr>
          <w:ilvl w:val="1"/>
          <w:numId w:val="33"/>
        </w:numPr>
        <w:tabs>
          <w:tab w:pos="1058" w:val="left" w:leader="none"/>
        </w:tabs>
        <w:spacing w:line="240" w:lineRule="auto" w:before="0" w:after="0"/>
        <w:ind w:left="1058" w:right="0" w:hanging="359"/>
        <w:jc w:val="left"/>
        <w:rPr>
          <w:sz w:val="22"/>
        </w:rPr>
      </w:pPr>
      <w:r>
        <w:rPr>
          <w:sz w:val="22"/>
        </w:rPr>
        <w:t>Develop</w:t>
      </w:r>
      <w:r>
        <w:rPr>
          <w:spacing w:val="-9"/>
          <w:sz w:val="22"/>
        </w:rPr>
        <w:t> </w:t>
      </w:r>
      <w:r>
        <w:rPr>
          <w:sz w:val="22"/>
        </w:rPr>
        <w:t>clear</w:t>
      </w:r>
      <w:r>
        <w:rPr>
          <w:spacing w:val="-7"/>
          <w:sz w:val="22"/>
        </w:rPr>
        <w:t> </w:t>
      </w:r>
      <w:r>
        <w:rPr>
          <w:sz w:val="22"/>
        </w:rPr>
        <w:t>guidance</w:t>
      </w:r>
      <w:r>
        <w:rPr>
          <w:spacing w:val="-8"/>
          <w:sz w:val="22"/>
        </w:rPr>
        <w:t> </w:t>
      </w:r>
      <w:r>
        <w:rPr>
          <w:sz w:val="22"/>
        </w:rPr>
        <w:t>on</w:t>
      </w:r>
      <w:r>
        <w:rPr>
          <w:spacing w:val="-7"/>
          <w:sz w:val="22"/>
        </w:rPr>
        <w:t> </w:t>
      </w:r>
      <w:r>
        <w:rPr>
          <w:sz w:val="22"/>
        </w:rPr>
        <w:t>best</w:t>
      </w:r>
      <w:r>
        <w:rPr>
          <w:spacing w:val="-9"/>
          <w:sz w:val="22"/>
        </w:rPr>
        <w:t> </w:t>
      </w:r>
      <w:r>
        <w:rPr>
          <w:sz w:val="22"/>
        </w:rPr>
        <w:t>practices</w:t>
      </w:r>
      <w:r>
        <w:rPr>
          <w:spacing w:val="-8"/>
          <w:sz w:val="22"/>
        </w:rPr>
        <w:t> </w:t>
      </w:r>
      <w:r>
        <w:rPr>
          <w:sz w:val="22"/>
        </w:rPr>
        <w:t>for</w:t>
      </w:r>
      <w:r>
        <w:rPr>
          <w:spacing w:val="-8"/>
          <w:sz w:val="22"/>
        </w:rPr>
        <w:t> </w:t>
      </w:r>
      <w:r>
        <w:rPr>
          <w:sz w:val="22"/>
        </w:rPr>
        <w:t>reporting</w:t>
      </w:r>
      <w:r>
        <w:rPr>
          <w:spacing w:val="-8"/>
          <w:sz w:val="22"/>
        </w:rPr>
        <w:t> </w:t>
      </w:r>
      <w:r>
        <w:rPr>
          <w:sz w:val="22"/>
        </w:rPr>
        <w:t>Campus</w:t>
      </w:r>
      <w:r>
        <w:rPr>
          <w:spacing w:val="-7"/>
          <w:sz w:val="22"/>
        </w:rPr>
        <w:t> </w:t>
      </w:r>
      <w:r>
        <w:rPr>
          <w:sz w:val="22"/>
        </w:rPr>
        <w:t>Sexual</w:t>
      </w:r>
      <w:r>
        <w:rPr>
          <w:spacing w:val="-8"/>
          <w:sz w:val="22"/>
        </w:rPr>
        <w:t> </w:t>
      </w:r>
      <w:r>
        <w:rPr>
          <w:sz w:val="22"/>
        </w:rPr>
        <w:t>Violence</w:t>
      </w:r>
      <w:r>
        <w:rPr>
          <w:spacing w:val="-8"/>
          <w:sz w:val="22"/>
        </w:rPr>
        <w:t> </w:t>
      </w:r>
      <w:r>
        <w:rPr>
          <w:sz w:val="22"/>
        </w:rPr>
        <w:t>Act</w:t>
      </w:r>
      <w:r>
        <w:rPr>
          <w:spacing w:val="-7"/>
          <w:sz w:val="22"/>
        </w:rPr>
        <w:t> </w:t>
      </w:r>
      <w:r>
        <w:rPr>
          <w:spacing w:val="-2"/>
          <w:sz w:val="22"/>
        </w:rPr>
        <w:t>data.</w:t>
      </w:r>
    </w:p>
    <w:p>
      <w:pPr>
        <w:pStyle w:val="ListParagraph"/>
        <w:numPr>
          <w:ilvl w:val="1"/>
          <w:numId w:val="33"/>
        </w:numPr>
        <w:tabs>
          <w:tab w:pos="1057" w:val="left" w:leader="none"/>
          <w:tab w:pos="1059" w:val="left" w:leader="none"/>
        </w:tabs>
        <w:spacing w:line="276" w:lineRule="auto" w:before="41" w:after="0"/>
        <w:ind w:left="1059" w:right="628" w:hanging="361"/>
        <w:jc w:val="left"/>
        <w:rPr>
          <w:sz w:val="22"/>
        </w:rPr>
      </w:pPr>
      <w:r>
        <w:rPr>
          <w:sz w:val="22"/>
        </w:rPr>
        <w:t>Host listening sessions to identify the unique needs of students related to community college access, housing, mental health, among other issues.</w:t>
      </w:r>
    </w:p>
    <w:p>
      <w:pPr>
        <w:pStyle w:val="ListParagraph"/>
        <w:numPr>
          <w:ilvl w:val="1"/>
          <w:numId w:val="33"/>
        </w:numPr>
        <w:tabs>
          <w:tab w:pos="1059" w:val="left" w:leader="none"/>
        </w:tabs>
        <w:spacing w:line="268" w:lineRule="exact" w:before="0" w:after="0"/>
        <w:ind w:left="1059" w:right="0" w:hanging="359"/>
        <w:jc w:val="left"/>
        <w:rPr>
          <w:sz w:val="22"/>
        </w:rPr>
      </w:pPr>
      <w:r>
        <w:rPr>
          <w:sz w:val="22"/>
        </w:rPr>
        <w:t>Collaborate</w:t>
      </w:r>
      <w:r>
        <w:rPr>
          <w:spacing w:val="-9"/>
          <w:sz w:val="22"/>
        </w:rPr>
        <w:t> </w:t>
      </w:r>
      <w:r>
        <w:rPr>
          <w:sz w:val="22"/>
        </w:rPr>
        <w:t>with</w:t>
      </w:r>
      <w:r>
        <w:rPr>
          <w:spacing w:val="-7"/>
          <w:sz w:val="22"/>
        </w:rPr>
        <w:t> </w:t>
      </w:r>
      <w:r>
        <w:rPr>
          <w:sz w:val="22"/>
        </w:rPr>
        <w:t>community</w:t>
      </w:r>
      <w:r>
        <w:rPr>
          <w:spacing w:val="-8"/>
          <w:sz w:val="22"/>
        </w:rPr>
        <w:t> </w:t>
      </w:r>
      <w:r>
        <w:rPr>
          <w:sz w:val="22"/>
        </w:rPr>
        <w:t>colleges</w:t>
      </w:r>
      <w:r>
        <w:rPr>
          <w:spacing w:val="-6"/>
          <w:sz w:val="22"/>
        </w:rPr>
        <w:t> </w:t>
      </w:r>
      <w:r>
        <w:rPr>
          <w:sz w:val="22"/>
        </w:rPr>
        <w:t>to</w:t>
      </w:r>
      <w:r>
        <w:rPr>
          <w:spacing w:val="-8"/>
          <w:sz w:val="22"/>
        </w:rPr>
        <w:t> </w:t>
      </w:r>
      <w:r>
        <w:rPr>
          <w:sz w:val="22"/>
        </w:rPr>
        <w:t>develop</w:t>
      </w:r>
      <w:r>
        <w:rPr>
          <w:spacing w:val="-7"/>
          <w:sz w:val="22"/>
        </w:rPr>
        <w:t> </w:t>
      </w:r>
      <w:r>
        <w:rPr>
          <w:sz w:val="22"/>
        </w:rPr>
        <w:t>resources</w:t>
      </w:r>
      <w:r>
        <w:rPr>
          <w:spacing w:val="-8"/>
          <w:sz w:val="22"/>
        </w:rPr>
        <w:t> </w:t>
      </w:r>
      <w:r>
        <w:rPr>
          <w:sz w:val="22"/>
        </w:rPr>
        <w:t>for</w:t>
      </w:r>
      <w:r>
        <w:rPr>
          <w:spacing w:val="-9"/>
          <w:sz w:val="22"/>
        </w:rPr>
        <w:t> </w:t>
      </w:r>
      <w:r>
        <w:rPr>
          <w:sz w:val="22"/>
        </w:rPr>
        <w:t>LGBTQ</w:t>
      </w:r>
      <w:r>
        <w:rPr>
          <w:spacing w:val="-7"/>
          <w:sz w:val="22"/>
        </w:rPr>
        <w:t> </w:t>
      </w:r>
      <w:r>
        <w:rPr>
          <w:sz w:val="22"/>
        </w:rPr>
        <w:t>youth</w:t>
      </w:r>
      <w:r>
        <w:rPr>
          <w:spacing w:val="-7"/>
          <w:sz w:val="22"/>
        </w:rPr>
        <w:t> </w:t>
      </w:r>
      <w:r>
        <w:rPr>
          <w:sz w:val="22"/>
        </w:rPr>
        <w:t>on</w:t>
      </w:r>
      <w:r>
        <w:rPr>
          <w:spacing w:val="-8"/>
          <w:sz w:val="22"/>
        </w:rPr>
        <w:t> </w:t>
      </w:r>
      <w:r>
        <w:rPr>
          <w:spacing w:val="-2"/>
          <w:sz w:val="22"/>
        </w:rPr>
        <w:t>campus.</w:t>
      </w:r>
    </w:p>
    <w:p>
      <w:pPr>
        <w:pStyle w:val="ListParagraph"/>
        <w:numPr>
          <w:ilvl w:val="1"/>
          <w:numId w:val="33"/>
        </w:numPr>
        <w:tabs>
          <w:tab w:pos="1059" w:val="left" w:leader="none"/>
        </w:tabs>
        <w:spacing w:line="240" w:lineRule="auto" w:before="41" w:after="0"/>
        <w:ind w:left="1059" w:right="0" w:hanging="359"/>
        <w:jc w:val="left"/>
        <w:rPr>
          <w:sz w:val="22"/>
        </w:rPr>
      </w:pPr>
      <w:r>
        <w:rPr>
          <w:sz w:val="22"/>
        </w:rPr>
        <w:t>Explore</w:t>
      </w:r>
      <w:r>
        <w:rPr>
          <w:spacing w:val="-9"/>
          <w:sz w:val="22"/>
        </w:rPr>
        <w:t> </w:t>
      </w:r>
      <w:r>
        <w:rPr>
          <w:sz w:val="22"/>
        </w:rPr>
        <w:t>opportunities</w:t>
      </w:r>
      <w:r>
        <w:rPr>
          <w:spacing w:val="-10"/>
          <w:sz w:val="22"/>
        </w:rPr>
        <w:t> </w:t>
      </w:r>
      <w:r>
        <w:rPr>
          <w:sz w:val="22"/>
        </w:rPr>
        <w:t>to</w:t>
      </w:r>
      <w:r>
        <w:rPr>
          <w:spacing w:val="-9"/>
          <w:sz w:val="22"/>
        </w:rPr>
        <w:t> </w:t>
      </w:r>
      <w:r>
        <w:rPr>
          <w:sz w:val="22"/>
        </w:rPr>
        <w:t>increase</w:t>
      </w:r>
      <w:r>
        <w:rPr>
          <w:spacing w:val="-9"/>
          <w:sz w:val="22"/>
        </w:rPr>
        <w:t> </w:t>
      </w:r>
      <w:r>
        <w:rPr>
          <w:sz w:val="22"/>
        </w:rPr>
        <w:t>funding</w:t>
      </w:r>
      <w:r>
        <w:rPr>
          <w:spacing w:val="-10"/>
          <w:sz w:val="22"/>
        </w:rPr>
        <w:t> </w:t>
      </w:r>
      <w:r>
        <w:rPr>
          <w:sz w:val="22"/>
        </w:rPr>
        <w:t>and</w:t>
      </w:r>
      <w:r>
        <w:rPr>
          <w:spacing w:val="-9"/>
          <w:sz w:val="22"/>
        </w:rPr>
        <w:t> </w:t>
      </w:r>
      <w:r>
        <w:rPr>
          <w:sz w:val="22"/>
        </w:rPr>
        <w:t>LGBTQ-inclusive</w:t>
      </w:r>
      <w:r>
        <w:rPr>
          <w:spacing w:val="-9"/>
          <w:sz w:val="22"/>
        </w:rPr>
        <w:t> </w:t>
      </w:r>
      <w:r>
        <w:rPr>
          <w:sz w:val="22"/>
        </w:rPr>
        <w:t>resources</w:t>
      </w:r>
      <w:r>
        <w:rPr>
          <w:spacing w:val="-9"/>
          <w:sz w:val="22"/>
        </w:rPr>
        <w:t> </w:t>
      </w:r>
      <w:r>
        <w:rPr>
          <w:sz w:val="22"/>
        </w:rPr>
        <w:t>on</w:t>
      </w:r>
      <w:r>
        <w:rPr>
          <w:spacing w:val="-9"/>
          <w:sz w:val="22"/>
        </w:rPr>
        <w:t> </w:t>
      </w:r>
      <w:r>
        <w:rPr>
          <w:sz w:val="22"/>
        </w:rPr>
        <w:t>public</w:t>
      </w:r>
      <w:r>
        <w:rPr>
          <w:spacing w:val="-9"/>
          <w:sz w:val="22"/>
        </w:rPr>
        <w:t> </w:t>
      </w:r>
      <w:r>
        <w:rPr>
          <w:spacing w:val="-2"/>
          <w:sz w:val="22"/>
        </w:rPr>
        <w:t>campuses.</w:t>
      </w:r>
    </w:p>
    <w:p>
      <w:pPr>
        <w:pStyle w:val="BodyText"/>
        <w:spacing w:before="231"/>
        <w:rPr>
          <w:sz w:val="20"/>
        </w:rPr>
      </w:pPr>
      <w:r>
        <w:rPr/>
        <mc:AlternateContent>
          <mc:Choice Requires="wps">
            <w:drawing>
              <wp:anchor distT="0" distB="0" distL="0" distR="0" allowOverlap="1" layoutInCell="1" locked="0" behindDoc="1" simplePos="0" relativeHeight="487693824">
                <wp:simplePos x="0" y="0"/>
                <wp:positionH relativeFrom="page">
                  <wp:posOffset>889000</wp:posOffset>
                </wp:positionH>
                <wp:positionV relativeFrom="paragraph">
                  <wp:posOffset>317292</wp:posOffset>
                </wp:positionV>
                <wp:extent cx="6350" cy="12700"/>
                <wp:effectExtent l="0" t="0" r="0" b="0"/>
                <wp:wrapTopAndBottom/>
                <wp:docPr id="551" name="Graphic 551"/>
                <wp:cNvGraphicFramePr>
                  <a:graphicFrameLocks/>
                </wp:cNvGraphicFramePr>
                <a:graphic>
                  <a:graphicData uri="http://schemas.microsoft.com/office/word/2010/wordprocessingShape">
                    <wps:wsp>
                      <wps:cNvPr id="551" name="Graphic 551"/>
                      <wps:cNvSpPr/>
                      <wps:spPr>
                        <a:xfrm>
                          <a:off x="0" y="0"/>
                          <a:ext cx="6350" cy="12700"/>
                        </a:xfrm>
                        <a:custGeom>
                          <a:avLst/>
                          <a:gdLst/>
                          <a:ahLst/>
                          <a:cxnLst/>
                          <a:rect l="l" t="t" r="r" b="b"/>
                          <a:pathLst>
                            <a:path w="6350" h="12700">
                              <a:moveTo>
                                <a:pt x="6337" y="0"/>
                              </a:moveTo>
                              <a:lnTo>
                                <a:pt x="0" y="0"/>
                              </a:lnTo>
                              <a:lnTo>
                                <a:pt x="0" y="12191"/>
                              </a:lnTo>
                              <a:lnTo>
                                <a:pt x="6337" y="12191"/>
                              </a:lnTo>
                              <a:lnTo>
                                <a:pt x="6337" y="0"/>
                              </a:lnTo>
                              <a:close/>
                            </a:path>
                          </a:pathLst>
                        </a:custGeom>
                        <a:solidFill>
                          <a:srgbClr val="4F81BB"/>
                        </a:solidFill>
                      </wps:spPr>
                      <wps:bodyPr wrap="square" lIns="0" tIns="0" rIns="0" bIns="0" rtlCol="0">
                        <a:prstTxWarp prst="textNoShape">
                          <a:avLst/>
                        </a:prstTxWarp>
                        <a:noAutofit/>
                      </wps:bodyPr>
                    </wps:wsp>
                  </a:graphicData>
                </a:graphic>
              </wp:anchor>
            </w:drawing>
          </mc:Choice>
          <mc:Fallback>
            <w:pict>
              <v:rect style="position:absolute;margin-left:70pt;margin-top:24.98369pt;width:.499pt;height:.96pt;mso-position-horizontal-relative:page;mso-position-vertical-relative:paragraph;z-index:-15622656;mso-wrap-distance-left:0;mso-wrap-distance-right:0" id="docshape448" filled="true" fillcolor="#4f81bb" stroked="false">
                <v:fill type="solid"/>
                <w10:wrap type="topAndBottom"/>
              </v:rect>
            </w:pict>
          </mc:Fallback>
        </mc:AlternateContent>
      </w:r>
    </w:p>
    <w:p>
      <w:pPr>
        <w:spacing w:before="0" w:after="20"/>
        <w:ind w:left="483" w:right="0" w:firstLine="0"/>
        <w:jc w:val="left"/>
        <w:rPr>
          <w:sz w:val="28"/>
        </w:rPr>
      </w:pPr>
      <w:r>
        <w:rPr>
          <w:color w:val="365F91"/>
          <w:spacing w:val="-2"/>
          <w:sz w:val="28"/>
        </w:rPr>
        <w:t>Introduction</w:t>
      </w:r>
    </w:p>
    <w:p>
      <w:pPr>
        <w:pStyle w:val="BodyText"/>
        <w:spacing w:line="20" w:lineRule="exact"/>
        <w:ind w:left="453"/>
        <w:rPr>
          <w:sz w:val="2"/>
        </w:rPr>
      </w:pPr>
      <w:r>
        <w:rPr>
          <w:sz w:val="2"/>
        </w:rPr>
        <mc:AlternateContent>
          <mc:Choice Requires="wps">
            <w:drawing>
              <wp:inline distT="0" distB="0" distL="0" distR="0">
                <wp:extent cx="5976620" cy="6350"/>
                <wp:effectExtent l="0" t="0" r="0" b="0"/>
                <wp:docPr id="552" name="Group 552"/>
                <wp:cNvGraphicFramePr>
                  <a:graphicFrameLocks/>
                </wp:cNvGraphicFramePr>
                <a:graphic>
                  <a:graphicData uri="http://schemas.microsoft.com/office/word/2010/wordprocessingGroup">
                    <wpg:wgp>
                      <wpg:cNvPr id="552" name="Group 552"/>
                      <wpg:cNvGrpSpPr/>
                      <wpg:grpSpPr>
                        <a:xfrm>
                          <a:off x="0" y="0"/>
                          <a:ext cx="5976620" cy="6350"/>
                          <a:chExt cx="5976620" cy="6350"/>
                        </a:xfrm>
                      </wpg:grpSpPr>
                      <wps:wsp>
                        <wps:cNvPr id="553" name="Graphic 553"/>
                        <wps:cNvSpPr/>
                        <wps:spPr>
                          <a:xfrm>
                            <a:off x="0" y="0"/>
                            <a:ext cx="5976620" cy="6350"/>
                          </a:xfrm>
                          <a:custGeom>
                            <a:avLst/>
                            <a:gdLst/>
                            <a:ahLst/>
                            <a:cxnLst/>
                            <a:rect l="l" t="t" r="r" b="b"/>
                            <a:pathLst>
                              <a:path w="5976620" h="6350">
                                <a:moveTo>
                                  <a:pt x="5976366" y="0"/>
                                </a:moveTo>
                                <a:lnTo>
                                  <a:pt x="0" y="0"/>
                                </a:lnTo>
                                <a:lnTo>
                                  <a:pt x="0" y="6096"/>
                                </a:lnTo>
                                <a:lnTo>
                                  <a:pt x="5976366" y="6096"/>
                                </a:lnTo>
                                <a:lnTo>
                                  <a:pt x="5976366" y="0"/>
                                </a:lnTo>
                                <a:close/>
                              </a:path>
                            </a:pathLst>
                          </a:custGeom>
                          <a:solidFill>
                            <a:srgbClr val="4F81BC"/>
                          </a:solidFill>
                        </wps:spPr>
                        <wps:bodyPr wrap="square" lIns="0" tIns="0" rIns="0" bIns="0" rtlCol="0">
                          <a:prstTxWarp prst="textNoShape">
                            <a:avLst/>
                          </a:prstTxWarp>
                          <a:noAutofit/>
                        </wps:bodyPr>
                      </wps:wsp>
                    </wpg:wgp>
                  </a:graphicData>
                </a:graphic>
              </wp:inline>
            </w:drawing>
          </mc:Choice>
          <mc:Fallback>
            <w:pict>
              <v:group style="width:470.6pt;height:.5pt;mso-position-horizontal-relative:char;mso-position-vertical-relative:line" id="docshapegroup449" coordorigin="0,0" coordsize="9412,10">
                <v:rect style="position:absolute;left:0;top:0;width:9412;height:10" id="docshape450" filled="true" fillcolor="#4f81bc" stroked="false">
                  <v:fill type="solid"/>
                </v:rect>
              </v:group>
            </w:pict>
          </mc:Fallback>
        </mc:AlternateContent>
      </w:r>
      <w:r>
        <w:rPr>
          <w:sz w:val="2"/>
        </w:rPr>
      </w:r>
    </w:p>
    <w:p>
      <w:pPr>
        <w:spacing w:line="276" w:lineRule="auto" w:before="230"/>
        <w:ind w:left="483" w:right="338" w:firstLine="0"/>
        <w:jc w:val="both"/>
        <w:rPr>
          <w:sz w:val="21"/>
        </w:rPr>
      </w:pPr>
      <w:r>
        <w:rPr>
          <w:sz w:val="21"/>
        </w:rPr>
        <w:t>The Department of Higher Education (DHE) offers vital educational opportunities to nearly 300,000 students at 15 community colleges, nine state universities, and the five campuses of the University of Massachusetts. DHE seeks to provide accessible and relevant programs that meet the changing individual and societal needs for education and employment in the Commonwealth. The Commission began meeting with DHE in 2013 to promote</w:t>
      </w:r>
      <w:r>
        <w:rPr>
          <w:spacing w:val="-3"/>
          <w:sz w:val="21"/>
        </w:rPr>
        <w:t> </w:t>
      </w:r>
      <w:r>
        <w:rPr>
          <w:sz w:val="21"/>
        </w:rPr>
        <w:t>inclusive</w:t>
      </w:r>
      <w:r>
        <w:rPr>
          <w:spacing w:val="-3"/>
          <w:sz w:val="21"/>
        </w:rPr>
        <w:t> </w:t>
      </w:r>
      <w:r>
        <w:rPr>
          <w:sz w:val="21"/>
        </w:rPr>
        <w:t>and</w:t>
      </w:r>
      <w:r>
        <w:rPr>
          <w:spacing w:val="-3"/>
          <w:sz w:val="21"/>
        </w:rPr>
        <w:t> </w:t>
      </w:r>
      <w:r>
        <w:rPr>
          <w:sz w:val="21"/>
        </w:rPr>
        <w:t>welcoming</w:t>
      </w:r>
      <w:r>
        <w:rPr>
          <w:spacing w:val="-3"/>
          <w:sz w:val="21"/>
        </w:rPr>
        <w:t> </w:t>
      </w:r>
      <w:r>
        <w:rPr>
          <w:sz w:val="21"/>
        </w:rPr>
        <w:t>campus</w:t>
      </w:r>
      <w:r>
        <w:rPr>
          <w:spacing w:val="-3"/>
          <w:sz w:val="21"/>
        </w:rPr>
        <w:t> </w:t>
      </w:r>
      <w:r>
        <w:rPr>
          <w:sz w:val="21"/>
        </w:rPr>
        <w:t>climates</w:t>
      </w:r>
      <w:r>
        <w:rPr>
          <w:spacing w:val="-4"/>
          <w:sz w:val="21"/>
        </w:rPr>
        <w:t> </w:t>
      </w:r>
      <w:r>
        <w:rPr>
          <w:sz w:val="21"/>
        </w:rPr>
        <w:t>and</w:t>
      </w:r>
      <w:r>
        <w:rPr>
          <w:spacing w:val="-3"/>
          <w:sz w:val="21"/>
        </w:rPr>
        <w:t> </w:t>
      </w:r>
      <w:r>
        <w:rPr>
          <w:sz w:val="21"/>
        </w:rPr>
        <w:t>to</w:t>
      </w:r>
      <w:r>
        <w:rPr>
          <w:spacing w:val="-3"/>
          <w:sz w:val="21"/>
        </w:rPr>
        <w:t> </w:t>
      </w:r>
      <w:r>
        <w:rPr>
          <w:sz w:val="21"/>
        </w:rPr>
        <w:t>improve</w:t>
      </w:r>
      <w:r>
        <w:rPr>
          <w:spacing w:val="-3"/>
          <w:sz w:val="21"/>
        </w:rPr>
        <w:t> </w:t>
      </w:r>
      <w:r>
        <w:rPr>
          <w:sz w:val="21"/>
        </w:rPr>
        <w:t>educational</w:t>
      </w:r>
      <w:r>
        <w:rPr>
          <w:spacing w:val="-3"/>
          <w:sz w:val="21"/>
        </w:rPr>
        <w:t> </w:t>
      </w:r>
      <w:r>
        <w:rPr>
          <w:sz w:val="21"/>
        </w:rPr>
        <w:t>outcomes</w:t>
      </w:r>
      <w:r>
        <w:rPr>
          <w:spacing w:val="-3"/>
          <w:sz w:val="21"/>
        </w:rPr>
        <w:t> </w:t>
      </w:r>
      <w:r>
        <w:rPr>
          <w:sz w:val="21"/>
        </w:rPr>
        <w:t>for</w:t>
      </w:r>
      <w:r>
        <w:rPr>
          <w:spacing w:val="-3"/>
          <w:sz w:val="21"/>
        </w:rPr>
        <w:t> </w:t>
      </w:r>
      <w:r>
        <w:rPr>
          <w:sz w:val="21"/>
        </w:rPr>
        <w:t>LGBTQ</w:t>
      </w:r>
      <w:r>
        <w:rPr>
          <w:spacing w:val="-3"/>
          <w:sz w:val="21"/>
        </w:rPr>
        <w:t> </w:t>
      </w:r>
      <w:r>
        <w:rPr>
          <w:sz w:val="21"/>
        </w:rPr>
        <w:t>students at the collegiate level. Through our work together, DHE has ensured that state campuses consider LGBTQ identities in model guidance and best practices; has updated its campus safety and violence prevention regulations; has committed to ensuring the protection of LGBTQ students and students of color; and has researched</w:t>
      </w:r>
      <w:r>
        <w:rPr>
          <w:spacing w:val="-6"/>
          <w:sz w:val="21"/>
        </w:rPr>
        <w:t> </w:t>
      </w:r>
      <w:r>
        <w:rPr>
          <w:sz w:val="21"/>
        </w:rPr>
        <w:t>the</w:t>
      </w:r>
      <w:r>
        <w:rPr>
          <w:spacing w:val="-6"/>
          <w:sz w:val="21"/>
        </w:rPr>
        <w:t> </w:t>
      </w:r>
      <w:r>
        <w:rPr>
          <w:sz w:val="21"/>
        </w:rPr>
        <w:t>inclusion</w:t>
      </w:r>
      <w:r>
        <w:rPr>
          <w:spacing w:val="-6"/>
          <w:sz w:val="21"/>
        </w:rPr>
        <w:t> </w:t>
      </w:r>
      <w:r>
        <w:rPr>
          <w:sz w:val="21"/>
        </w:rPr>
        <w:t>of</w:t>
      </w:r>
      <w:r>
        <w:rPr>
          <w:spacing w:val="-5"/>
          <w:sz w:val="21"/>
        </w:rPr>
        <w:t> </w:t>
      </w:r>
      <w:r>
        <w:rPr>
          <w:sz w:val="21"/>
        </w:rPr>
        <w:t>gender</w:t>
      </w:r>
      <w:r>
        <w:rPr>
          <w:spacing w:val="-6"/>
          <w:sz w:val="21"/>
        </w:rPr>
        <w:t> </w:t>
      </w:r>
      <w:r>
        <w:rPr>
          <w:sz w:val="21"/>
        </w:rPr>
        <w:t>identity</w:t>
      </w:r>
      <w:r>
        <w:rPr>
          <w:spacing w:val="-6"/>
          <w:sz w:val="21"/>
        </w:rPr>
        <w:t> </w:t>
      </w:r>
      <w:r>
        <w:rPr>
          <w:sz w:val="21"/>
        </w:rPr>
        <w:t>and</w:t>
      </w:r>
      <w:r>
        <w:rPr>
          <w:spacing w:val="-6"/>
          <w:sz w:val="21"/>
        </w:rPr>
        <w:t> </w:t>
      </w:r>
      <w:r>
        <w:rPr>
          <w:sz w:val="21"/>
        </w:rPr>
        <w:t>sexual</w:t>
      </w:r>
      <w:r>
        <w:rPr>
          <w:spacing w:val="-6"/>
          <w:sz w:val="21"/>
        </w:rPr>
        <w:t> </w:t>
      </w:r>
      <w:r>
        <w:rPr>
          <w:sz w:val="21"/>
        </w:rPr>
        <w:t>orientation</w:t>
      </w:r>
      <w:r>
        <w:rPr>
          <w:spacing w:val="-6"/>
          <w:sz w:val="21"/>
        </w:rPr>
        <w:t> </w:t>
      </w:r>
      <w:r>
        <w:rPr>
          <w:sz w:val="21"/>
        </w:rPr>
        <w:t>in</w:t>
      </w:r>
      <w:r>
        <w:rPr>
          <w:spacing w:val="-6"/>
          <w:sz w:val="21"/>
        </w:rPr>
        <w:t> </w:t>
      </w:r>
      <w:r>
        <w:rPr>
          <w:sz w:val="21"/>
        </w:rPr>
        <w:t>college</w:t>
      </w:r>
      <w:r>
        <w:rPr>
          <w:spacing w:val="-6"/>
          <w:sz w:val="21"/>
        </w:rPr>
        <w:t> </w:t>
      </w:r>
      <w:r>
        <w:rPr>
          <w:sz w:val="21"/>
        </w:rPr>
        <w:t>and</w:t>
      </w:r>
      <w:r>
        <w:rPr>
          <w:spacing w:val="-6"/>
          <w:sz w:val="21"/>
        </w:rPr>
        <w:t> </w:t>
      </w:r>
      <w:r>
        <w:rPr>
          <w:sz w:val="21"/>
        </w:rPr>
        <w:t>university</w:t>
      </w:r>
      <w:r>
        <w:rPr>
          <w:spacing w:val="-6"/>
          <w:sz w:val="21"/>
        </w:rPr>
        <w:t> </w:t>
      </w:r>
      <w:r>
        <w:rPr>
          <w:sz w:val="21"/>
        </w:rPr>
        <w:t>anti-discrimination </w:t>
      </w:r>
      <w:r>
        <w:rPr>
          <w:spacing w:val="-2"/>
          <w:sz w:val="21"/>
        </w:rPr>
        <w:t>statements.</w:t>
      </w:r>
    </w:p>
    <w:p>
      <w:pPr>
        <w:spacing w:line="276" w:lineRule="auto" w:before="242"/>
        <w:ind w:left="483" w:right="340" w:firstLine="0"/>
        <w:jc w:val="both"/>
        <w:rPr>
          <w:sz w:val="21"/>
        </w:rPr>
      </w:pPr>
      <w:r>
        <w:rPr>
          <w:sz w:val="21"/>
        </w:rPr>
        <w:t>LGBTQ students interact with every facet of the higher education system. Best practices in policies related to housing, bias incident reporting protocols, health services, health insurance plans, and changing identity documents are increasingly addressing LGBTQ student needs on campuses nationwide. The Commission is eager</w:t>
      </w:r>
      <w:r>
        <w:rPr>
          <w:spacing w:val="-8"/>
          <w:sz w:val="21"/>
        </w:rPr>
        <w:t> </w:t>
      </w:r>
      <w:r>
        <w:rPr>
          <w:sz w:val="21"/>
        </w:rPr>
        <w:t>to</w:t>
      </w:r>
      <w:r>
        <w:rPr>
          <w:spacing w:val="-8"/>
          <w:sz w:val="21"/>
        </w:rPr>
        <w:t> </w:t>
      </w:r>
      <w:r>
        <w:rPr>
          <w:sz w:val="21"/>
        </w:rPr>
        <w:t>work</w:t>
      </w:r>
      <w:r>
        <w:rPr>
          <w:spacing w:val="-7"/>
          <w:sz w:val="21"/>
        </w:rPr>
        <w:t> </w:t>
      </w:r>
      <w:r>
        <w:rPr>
          <w:sz w:val="21"/>
        </w:rPr>
        <w:t>with</w:t>
      </w:r>
      <w:r>
        <w:rPr>
          <w:spacing w:val="-8"/>
          <w:sz w:val="21"/>
        </w:rPr>
        <w:t> </w:t>
      </w:r>
      <w:r>
        <w:rPr>
          <w:sz w:val="21"/>
        </w:rPr>
        <w:t>DHE</w:t>
      </w:r>
      <w:r>
        <w:rPr>
          <w:spacing w:val="-9"/>
          <w:sz w:val="21"/>
        </w:rPr>
        <w:t> </w:t>
      </w:r>
      <w:r>
        <w:rPr>
          <w:sz w:val="21"/>
        </w:rPr>
        <w:t>to</w:t>
      </w:r>
      <w:r>
        <w:rPr>
          <w:spacing w:val="-8"/>
          <w:sz w:val="21"/>
        </w:rPr>
        <w:t> </w:t>
      </w:r>
      <w:r>
        <w:rPr>
          <w:sz w:val="21"/>
        </w:rPr>
        <w:t>ensure</w:t>
      </w:r>
      <w:r>
        <w:rPr>
          <w:spacing w:val="-8"/>
          <w:sz w:val="21"/>
        </w:rPr>
        <w:t> </w:t>
      </w:r>
      <w:r>
        <w:rPr>
          <w:sz w:val="21"/>
        </w:rPr>
        <w:t>that</w:t>
      </w:r>
      <w:r>
        <w:rPr>
          <w:spacing w:val="-8"/>
          <w:sz w:val="21"/>
        </w:rPr>
        <w:t> </w:t>
      </w:r>
      <w:r>
        <w:rPr>
          <w:sz w:val="21"/>
        </w:rPr>
        <w:t>Massachusetts</w:t>
      </w:r>
      <w:r>
        <w:rPr>
          <w:spacing w:val="-8"/>
          <w:sz w:val="21"/>
        </w:rPr>
        <w:t> </w:t>
      </w:r>
      <w:r>
        <w:rPr>
          <w:sz w:val="21"/>
        </w:rPr>
        <w:t>public</w:t>
      </w:r>
      <w:r>
        <w:rPr>
          <w:spacing w:val="-8"/>
          <w:sz w:val="21"/>
        </w:rPr>
        <w:t> </w:t>
      </w:r>
      <w:r>
        <w:rPr>
          <w:sz w:val="21"/>
        </w:rPr>
        <w:t>campuses</w:t>
      </w:r>
      <w:r>
        <w:rPr>
          <w:spacing w:val="-8"/>
          <w:sz w:val="21"/>
        </w:rPr>
        <w:t> </w:t>
      </w:r>
      <w:r>
        <w:rPr>
          <w:sz w:val="21"/>
        </w:rPr>
        <w:t>have</w:t>
      </w:r>
      <w:r>
        <w:rPr>
          <w:spacing w:val="-8"/>
          <w:sz w:val="21"/>
        </w:rPr>
        <w:t> </w:t>
      </w:r>
      <w:r>
        <w:rPr>
          <w:sz w:val="21"/>
        </w:rPr>
        <w:t>access</w:t>
      </w:r>
      <w:r>
        <w:rPr>
          <w:spacing w:val="-7"/>
          <w:sz w:val="21"/>
        </w:rPr>
        <w:t> </w:t>
      </w:r>
      <w:r>
        <w:rPr>
          <w:sz w:val="21"/>
        </w:rPr>
        <w:t>to</w:t>
      </w:r>
      <w:r>
        <w:rPr>
          <w:spacing w:val="-8"/>
          <w:sz w:val="21"/>
        </w:rPr>
        <w:t> </w:t>
      </w:r>
      <w:r>
        <w:rPr>
          <w:sz w:val="21"/>
        </w:rPr>
        <w:t>the</w:t>
      </w:r>
      <w:r>
        <w:rPr>
          <w:spacing w:val="-8"/>
          <w:sz w:val="21"/>
        </w:rPr>
        <w:t> </w:t>
      </w:r>
      <w:r>
        <w:rPr>
          <w:sz w:val="21"/>
        </w:rPr>
        <w:t>resources</w:t>
      </w:r>
      <w:r>
        <w:rPr>
          <w:spacing w:val="-8"/>
          <w:sz w:val="21"/>
        </w:rPr>
        <w:t> </w:t>
      </w:r>
      <w:r>
        <w:rPr>
          <w:sz w:val="21"/>
        </w:rPr>
        <w:t>they</w:t>
      </w:r>
      <w:r>
        <w:rPr>
          <w:spacing w:val="-8"/>
          <w:sz w:val="21"/>
        </w:rPr>
        <w:t> </w:t>
      </w:r>
      <w:r>
        <w:rPr>
          <w:sz w:val="21"/>
        </w:rPr>
        <w:t>need to</w:t>
      </w:r>
      <w:r>
        <w:rPr>
          <w:spacing w:val="-7"/>
          <w:sz w:val="21"/>
        </w:rPr>
        <w:t> </w:t>
      </w:r>
      <w:r>
        <w:rPr>
          <w:sz w:val="21"/>
        </w:rPr>
        <w:t>develop</w:t>
      </w:r>
      <w:r>
        <w:rPr>
          <w:spacing w:val="-7"/>
          <w:sz w:val="21"/>
        </w:rPr>
        <w:t> </w:t>
      </w:r>
      <w:r>
        <w:rPr>
          <w:sz w:val="21"/>
        </w:rPr>
        <w:t>the</w:t>
      </w:r>
      <w:r>
        <w:rPr>
          <w:spacing w:val="-7"/>
          <w:sz w:val="21"/>
        </w:rPr>
        <w:t> </w:t>
      </w:r>
      <w:r>
        <w:rPr>
          <w:sz w:val="21"/>
        </w:rPr>
        <w:t>internal</w:t>
      </w:r>
      <w:r>
        <w:rPr>
          <w:spacing w:val="-8"/>
          <w:sz w:val="21"/>
        </w:rPr>
        <w:t> </w:t>
      </w:r>
      <w:r>
        <w:rPr>
          <w:sz w:val="21"/>
        </w:rPr>
        <w:t>policies,</w:t>
      </w:r>
      <w:r>
        <w:rPr>
          <w:spacing w:val="-6"/>
          <w:sz w:val="21"/>
        </w:rPr>
        <w:t> </w:t>
      </w:r>
      <w:r>
        <w:rPr>
          <w:sz w:val="21"/>
        </w:rPr>
        <w:t>procedures,</w:t>
      </w:r>
      <w:r>
        <w:rPr>
          <w:spacing w:val="-6"/>
          <w:sz w:val="21"/>
        </w:rPr>
        <w:t> </w:t>
      </w:r>
      <w:r>
        <w:rPr>
          <w:sz w:val="21"/>
        </w:rPr>
        <w:t>and</w:t>
      </w:r>
      <w:r>
        <w:rPr>
          <w:spacing w:val="-8"/>
          <w:sz w:val="21"/>
        </w:rPr>
        <w:t> </w:t>
      </w:r>
      <w:r>
        <w:rPr>
          <w:sz w:val="21"/>
        </w:rPr>
        <w:t>best</w:t>
      </w:r>
      <w:r>
        <w:rPr>
          <w:spacing w:val="-6"/>
          <w:sz w:val="21"/>
        </w:rPr>
        <w:t> </w:t>
      </w:r>
      <w:r>
        <w:rPr>
          <w:sz w:val="21"/>
        </w:rPr>
        <w:t>practices</w:t>
      </w:r>
      <w:r>
        <w:rPr>
          <w:spacing w:val="-7"/>
          <w:sz w:val="21"/>
        </w:rPr>
        <w:t> </w:t>
      </w:r>
      <w:r>
        <w:rPr>
          <w:sz w:val="21"/>
        </w:rPr>
        <w:t>necessary</w:t>
      </w:r>
      <w:r>
        <w:rPr>
          <w:spacing w:val="-7"/>
          <w:sz w:val="21"/>
        </w:rPr>
        <w:t> </w:t>
      </w:r>
      <w:r>
        <w:rPr>
          <w:sz w:val="21"/>
        </w:rPr>
        <w:t>for</w:t>
      </w:r>
      <w:r>
        <w:rPr>
          <w:spacing w:val="-7"/>
          <w:sz w:val="21"/>
        </w:rPr>
        <w:t> </w:t>
      </w:r>
      <w:r>
        <w:rPr>
          <w:sz w:val="21"/>
        </w:rPr>
        <w:t>our</w:t>
      </w:r>
      <w:r>
        <w:rPr>
          <w:spacing w:val="-7"/>
          <w:sz w:val="21"/>
        </w:rPr>
        <w:t> </w:t>
      </w:r>
      <w:r>
        <w:rPr>
          <w:sz w:val="21"/>
        </w:rPr>
        <w:t>campuses</w:t>
      </w:r>
      <w:r>
        <w:rPr>
          <w:spacing w:val="-7"/>
          <w:sz w:val="21"/>
        </w:rPr>
        <w:t> </w:t>
      </w:r>
      <w:r>
        <w:rPr>
          <w:sz w:val="21"/>
        </w:rPr>
        <w:t>to</w:t>
      </w:r>
      <w:r>
        <w:rPr>
          <w:spacing w:val="-7"/>
          <w:sz w:val="21"/>
        </w:rPr>
        <w:t> </w:t>
      </w:r>
      <w:r>
        <w:rPr>
          <w:sz w:val="21"/>
        </w:rPr>
        <w:t>exceed</w:t>
      </w:r>
      <w:r>
        <w:rPr>
          <w:spacing w:val="-7"/>
          <w:sz w:val="21"/>
        </w:rPr>
        <w:t> </w:t>
      </w:r>
      <w:r>
        <w:rPr>
          <w:sz w:val="21"/>
        </w:rPr>
        <w:t>national standards for LGBTQ student support.</w:t>
      </w:r>
    </w:p>
    <w:p>
      <w:pPr>
        <w:pStyle w:val="BodyText"/>
        <w:spacing w:before="141"/>
        <w:rPr>
          <w:sz w:val="21"/>
        </w:rPr>
      </w:pPr>
    </w:p>
    <w:p>
      <w:pPr>
        <w:spacing w:before="0"/>
        <w:ind w:left="339" w:right="0" w:firstLine="0"/>
        <w:jc w:val="left"/>
        <w:rPr>
          <w:sz w:val="28"/>
        </w:rPr>
      </w:pPr>
      <w:r>
        <w:rPr/>
        <mc:AlternateContent>
          <mc:Choice Requires="wps">
            <w:drawing>
              <wp:anchor distT="0" distB="0" distL="0" distR="0" allowOverlap="1" layoutInCell="1" locked="0" behindDoc="1" simplePos="0" relativeHeight="487694848">
                <wp:simplePos x="0" y="0"/>
                <wp:positionH relativeFrom="page">
                  <wp:posOffset>806195</wp:posOffset>
                </wp:positionH>
                <wp:positionV relativeFrom="paragraph">
                  <wp:posOffset>230286</wp:posOffset>
                </wp:positionV>
                <wp:extent cx="6159500" cy="6350"/>
                <wp:effectExtent l="0" t="0" r="0" b="0"/>
                <wp:wrapTopAndBottom/>
                <wp:docPr id="554" name="Graphic 554"/>
                <wp:cNvGraphicFramePr>
                  <a:graphicFrameLocks/>
                </wp:cNvGraphicFramePr>
                <a:graphic>
                  <a:graphicData uri="http://schemas.microsoft.com/office/word/2010/wordprocessingShape">
                    <wps:wsp>
                      <wps:cNvPr id="554" name="Graphic 554"/>
                      <wps:cNvSpPr/>
                      <wps:spPr>
                        <a:xfrm>
                          <a:off x="0" y="0"/>
                          <a:ext cx="6159500" cy="6350"/>
                        </a:xfrm>
                        <a:custGeom>
                          <a:avLst/>
                          <a:gdLst/>
                          <a:ahLst/>
                          <a:cxnLst/>
                          <a:rect l="l" t="t" r="r" b="b"/>
                          <a:pathLst>
                            <a:path w="6159500" h="6350">
                              <a:moveTo>
                                <a:pt x="6159246" y="0"/>
                              </a:moveTo>
                              <a:lnTo>
                                <a:pt x="0" y="0"/>
                              </a:lnTo>
                              <a:lnTo>
                                <a:pt x="0" y="6095"/>
                              </a:lnTo>
                              <a:lnTo>
                                <a:pt x="6159246" y="6095"/>
                              </a:lnTo>
                              <a:lnTo>
                                <a:pt x="6159246" y="0"/>
                              </a:lnTo>
                              <a:close/>
                            </a:path>
                          </a:pathLst>
                        </a:custGeom>
                        <a:solidFill>
                          <a:srgbClr val="4F81BC"/>
                        </a:solidFill>
                      </wps:spPr>
                      <wps:bodyPr wrap="square" lIns="0" tIns="0" rIns="0" bIns="0" rtlCol="0">
                        <a:prstTxWarp prst="textNoShape">
                          <a:avLst/>
                        </a:prstTxWarp>
                        <a:noAutofit/>
                      </wps:bodyPr>
                    </wps:wsp>
                  </a:graphicData>
                </a:graphic>
              </wp:anchor>
            </w:drawing>
          </mc:Choice>
          <mc:Fallback>
            <w:pict>
              <v:rect style="position:absolute;margin-left:63.48pt;margin-top:18.132774pt;width:484.98pt;height:.48pt;mso-position-horizontal-relative:page;mso-position-vertical-relative:paragraph;z-index:-15621632;mso-wrap-distance-left:0;mso-wrap-distance-right:0" id="docshape451" filled="true" fillcolor="#4f81bc" stroked="false">
                <v:fill type="solid"/>
                <w10:wrap type="topAndBottom"/>
              </v:rect>
            </w:pict>
          </mc:Fallback>
        </mc:AlternateContent>
      </w:r>
      <w:r>
        <w:rPr>
          <w:color w:val="365F91"/>
          <w:sz w:val="28"/>
        </w:rPr>
        <w:t>FY</w:t>
      </w:r>
      <w:r>
        <w:rPr>
          <w:color w:val="365F91"/>
          <w:spacing w:val="-9"/>
          <w:sz w:val="28"/>
        </w:rPr>
        <w:t> </w:t>
      </w:r>
      <w:r>
        <w:rPr>
          <w:color w:val="365F91"/>
          <w:sz w:val="28"/>
        </w:rPr>
        <w:t>2025</w:t>
      </w:r>
      <w:r>
        <w:rPr>
          <w:color w:val="365F91"/>
          <w:spacing w:val="-8"/>
          <w:sz w:val="28"/>
        </w:rPr>
        <w:t> </w:t>
      </w:r>
      <w:r>
        <w:rPr>
          <w:color w:val="365F91"/>
          <w:sz w:val="28"/>
        </w:rPr>
        <w:t>Expanded</w:t>
      </w:r>
      <w:r>
        <w:rPr>
          <w:color w:val="365F91"/>
          <w:spacing w:val="-9"/>
          <w:sz w:val="28"/>
        </w:rPr>
        <w:t> </w:t>
      </w:r>
      <w:r>
        <w:rPr>
          <w:color w:val="365F91"/>
          <w:sz w:val="28"/>
        </w:rPr>
        <w:t>DHE</w:t>
      </w:r>
      <w:r>
        <w:rPr>
          <w:color w:val="365F91"/>
          <w:spacing w:val="-9"/>
          <w:sz w:val="28"/>
        </w:rPr>
        <w:t> </w:t>
      </w:r>
      <w:r>
        <w:rPr>
          <w:color w:val="365F91"/>
          <w:spacing w:val="-2"/>
          <w:sz w:val="28"/>
        </w:rPr>
        <w:t>Recommendations</w:t>
      </w:r>
    </w:p>
    <w:p>
      <w:pPr>
        <w:pStyle w:val="BodyText"/>
        <w:spacing w:before="227"/>
      </w:pPr>
    </w:p>
    <w:p>
      <w:pPr>
        <w:numPr>
          <w:ilvl w:val="0"/>
          <w:numId w:val="34"/>
        </w:numPr>
        <w:tabs>
          <w:tab w:pos="481" w:val="left" w:leader="none"/>
          <w:tab w:pos="483" w:val="left" w:leader="none"/>
        </w:tabs>
        <w:spacing w:line="276" w:lineRule="auto" w:before="0"/>
        <w:ind w:left="483" w:right="343" w:hanging="360"/>
        <w:jc w:val="left"/>
        <w:rPr>
          <w:b/>
          <w:sz w:val="22"/>
        </w:rPr>
      </w:pPr>
      <w:r>
        <w:rPr>
          <w:b/>
          <w:sz w:val="22"/>
        </w:rPr>
        <w:t>Encourage</w:t>
      </w:r>
      <w:r>
        <w:rPr>
          <w:b/>
          <w:spacing w:val="-13"/>
          <w:sz w:val="22"/>
        </w:rPr>
        <w:t> </w:t>
      </w:r>
      <w:r>
        <w:rPr>
          <w:b/>
          <w:sz w:val="22"/>
        </w:rPr>
        <w:t>public</w:t>
      </w:r>
      <w:r>
        <w:rPr>
          <w:b/>
          <w:spacing w:val="-13"/>
          <w:sz w:val="22"/>
        </w:rPr>
        <w:t> </w:t>
      </w:r>
      <w:r>
        <w:rPr>
          <w:b/>
          <w:sz w:val="22"/>
        </w:rPr>
        <w:t>and</w:t>
      </w:r>
      <w:r>
        <w:rPr>
          <w:b/>
          <w:spacing w:val="-12"/>
          <w:sz w:val="22"/>
        </w:rPr>
        <w:t> </w:t>
      </w:r>
      <w:r>
        <w:rPr>
          <w:b/>
          <w:sz w:val="22"/>
        </w:rPr>
        <w:t>private</w:t>
      </w:r>
      <w:r>
        <w:rPr>
          <w:b/>
          <w:spacing w:val="-13"/>
          <w:sz w:val="22"/>
        </w:rPr>
        <w:t> </w:t>
      </w:r>
      <w:r>
        <w:rPr>
          <w:b/>
          <w:sz w:val="22"/>
        </w:rPr>
        <w:t>higher</w:t>
      </w:r>
      <w:r>
        <w:rPr>
          <w:b/>
          <w:spacing w:val="-13"/>
          <w:sz w:val="22"/>
        </w:rPr>
        <w:t> </w:t>
      </w:r>
      <w:r>
        <w:rPr>
          <w:b/>
          <w:sz w:val="22"/>
        </w:rPr>
        <w:t>education</w:t>
      </w:r>
      <w:r>
        <w:rPr>
          <w:b/>
          <w:spacing w:val="-13"/>
          <w:sz w:val="22"/>
        </w:rPr>
        <w:t> </w:t>
      </w:r>
      <w:r>
        <w:rPr>
          <w:b/>
          <w:sz w:val="22"/>
        </w:rPr>
        <w:t>institutions</w:t>
      </w:r>
      <w:r>
        <w:rPr>
          <w:b/>
          <w:spacing w:val="-12"/>
          <w:sz w:val="22"/>
        </w:rPr>
        <w:t> </w:t>
      </w:r>
      <w:r>
        <w:rPr>
          <w:b/>
          <w:sz w:val="22"/>
        </w:rPr>
        <w:t>to</w:t>
      </w:r>
      <w:r>
        <w:rPr>
          <w:b/>
          <w:spacing w:val="-13"/>
          <w:sz w:val="22"/>
        </w:rPr>
        <w:t> </w:t>
      </w:r>
      <w:r>
        <w:rPr>
          <w:b/>
          <w:sz w:val="22"/>
        </w:rPr>
        <w:t>enact</w:t>
      </w:r>
      <w:r>
        <w:rPr>
          <w:b/>
          <w:spacing w:val="-14"/>
          <w:sz w:val="22"/>
        </w:rPr>
        <w:t> </w:t>
      </w:r>
      <w:r>
        <w:rPr>
          <w:b/>
          <w:sz w:val="22"/>
        </w:rPr>
        <w:t>anti-discrimination</w:t>
      </w:r>
      <w:r>
        <w:rPr>
          <w:b/>
          <w:spacing w:val="-13"/>
          <w:sz w:val="22"/>
        </w:rPr>
        <w:t> </w:t>
      </w:r>
      <w:r>
        <w:rPr>
          <w:b/>
          <w:sz w:val="22"/>
        </w:rPr>
        <w:t>policies</w:t>
      </w:r>
      <w:r>
        <w:rPr>
          <w:b/>
          <w:spacing w:val="-13"/>
          <w:sz w:val="22"/>
        </w:rPr>
        <w:t> </w:t>
      </w:r>
      <w:r>
        <w:rPr>
          <w:b/>
          <w:sz w:val="22"/>
        </w:rPr>
        <w:t>and</w:t>
      </w:r>
      <w:r>
        <w:rPr>
          <w:b/>
          <w:spacing w:val="-13"/>
          <w:sz w:val="22"/>
        </w:rPr>
        <w:t> </w:t>
      </w:r>
      <w:r>
        <w:rPr>
          <w:b/>
          <w:sz w:val="22"/>
        </w:rPr>
        <w:t>best practices that include sex, gender identity, gender expression, and sexual orientation.</w:t>
      </w:r>
    </w:p>
    <w:p>
      <w:pPr>
        <w:pStyle w:val="BodyText"/>
        <w:spacing w:line="276" w:lineRule="auto" w:before="241"/>
        <w:ind w:left="483"/>
      </w:pPr>
      <w:r>
        <w:rPr/>
        <w:t>As</w:t>
      </w:r>
      <w:r>
        <w:rPr>
          <w:spacing w:val="24"/>
        </w:rPr>
        <w:t> </w:t>
      </w:r>
      <w:r>
        <w:rPr/>
        <w:t>with</w:t>
      </w:r>
      <w:r>
        <w:rPr>
          <w:spacing w:val="25"/>
        </w:rPr>
        <w:t> </w:t>
      </w:r>
      <w:r>
        <w:rPr/>
        <w:t>younger</w:t>
      </w:r>
      <w:r>
        <w:rPr>
          <w:spacing w:val="24"/>
        </w:rPr>
        <w:t> </w:t>
      </w:r>
      <w:r>
        <w:rPr/>
        <w:t>students,</w:t>
      </w:r>
      <w:r>
        <w:rPr>
          <w:spacing w:val="24"/>
        </w:rPr>
        <w:t> </w:t>
      </w:r>
      <w:r>
        <w:rPr/>
        <w:t>scholars</w:t>
      </w:r>
      <w:r>
        <w:rPr>
          <w:spacing w:val="24"/>
        </w:rPr>
        <w:t> </w:t>
      </w:r>
      <w:r>
        <w:rPr/>
        <w:t>in</w:t>
      </w:r>
      <w:r>
        <w:rPr>
          <w:spacing w:val="26"/>
        </w:rPr>
        <w:t> </w:t>
      </w:r>
      <w:r>
        <w:rPr/>
        <w:t>higher</w:t>
      </w:r>
      <w:r>
        <w:rPr>
          <w:spacing w:val="25"/>
        </w:rPr>
        <w:t> </w:t>
      </w:r>
      <w:r>
        <w:rPr/>
        <w:t>education</w:t>
      </w:r>
      <w:r>
        <w:rPr>
          <w:spacing w:val="25"/>
        </w:rPr>
        <w:t> </w:t>
      </w:r>
      <w:r>
        <w:rPr/>
        <w:t>programs</w:t>
      </w:r>
      <w:r>
        <w:rPr>
          <w:spacing w:val="24"/>
        </w:rPr>
        <w:t> </w:t>
      </w:r>
      <w:r>
        <w:rPr/>
        <w:t>do</w:t>
      </w:r>
      <w:r>
        <w:rPr>
          <w:spacing w:val="26"/>
        </w:rPr>
        <w:t> </w:t>
      </w:r>
      <w:r>
        <w:rPr/>
        <w:t>best</w:t>
      </w:r>
      <w:r>
        <w:rPr>
          <w:spacing w:val="25"/>
        </w:rPr>
        <w:t> </w:t>
      </w:r>
      <w:r>
        <w:rPr/>
        <w:t>when</w:t>
      </w:r>
      <w:r>
        <w:rPr>
          <w:spacing w:val="25"/>
        </w:rPr>
        <w:t> </w:t>
      </w:r>
      <w:r>
        <w:rPr/>
        <w:t>their</w:t>
      </w:r>
      <w:r>
        <w:rPr>
          <w:spacing w:val="26"/>
        </w:rPr>
        <w:t> </w:t>
      </w:r>
      <w:r>
        <w:rPr/>
        <w:t>classrooms</w:t>
      </w:r>
      <w:r>
        <w:rPr>
          <w:spacing w:val="24"/>
        </w:rPr>
        <w:t> </w:t>
      </w:r>
      <w:r>
        <w:rPr/>
        <w:t>and campuses</w:t>
      </w:r>
      <w:r>
        <w:rPr>
          <w:spacing w:val="4"/>
        </w:rPr>
        <w:t> </w:t>
      </w:r>
      <w:r>
        <w:rPr/>
        <w:t>offer</w:t>
      </w:r>
      <w:r>
        <w:rPr>
          <w:spacing w:val="3"/>
        </w:rPr>
        <w:t> </w:t>
      </w:r>
      <w:r>
        <w:rPr/>
        <w:t>a</w:t>
      </w:r>
      <w:r>
        <w:rPr>
          <w:spacing w:val="3"/>
        </w:rPr>
        <w:t> </w:t>
      </w:r>
      <w:r>
        <w:rPr/>
        <w:t>safe</w:t>
      </w:r>
      <w:r>
        <w:rPr>
          <w:spacing w:val="4"/>
        </w:rPr>
        <w:t> </w:t>
      </w:r>
      <w:r>
        <w:rPr/>
        <w:t>and</w:t>
      </w:r>
      <w:r>
        <w:rPr>
          <w:spacing w:val="4"/>
        </w:rPr>
        <w:t> </w:t>
      </w:r>
      <w:r>
        <w:rPr/>
        <w:t>supportive</w:t>
      </w:r>
      <w:r>
        <w:rPr>
          <w:spacing w:val="4"/>
        </w:rPr>
        <w:t> </w:t>
      </w:r>
      <w:r>
        <w:rPr/>
        <w:t>climate</w:t>
      </w:r>
      <w:r>
        <w:rPr>
          <w:spacing w:val="3"/>
        </w:rPr>
        <w:t> </w:t>
      </w:r>
      <w:r>
        <w:rPr/>
        <w:t>free</w:t>
      </w:r>
      <w:r>
        <w:rPr>
          <w:spacing w:val="4"/>
        </w:rPr>
        <w:t> </w:t>
      </w:r>
      <w:r>
        <w:rPr/>
        <w:t>from</w:t>
      </w:r>
      <w:r>
        <w:rPr>
          <w:spacing w:val="4"/>
        </w:rPr>
        <w:t> </w:t>
      </w:r>
      <w:r>
        <w:rPr/>
        <w:t>violence,</w:t>
      </w:r>
      <w:r>
        <w:rPr>
          <w:spacing w:val="5"/>
        </w:rPr>
        <w:t> </w:t>
      </w:r>
      <w:r>
        <w:rPr/>
        <w:t>discrimination,</w:t>
      </w:r>
      <w:r>
        <w:rPr>
          <w:spacing w:val="3"/>
        </w:rPr>
        <w:t> </w:t>
      </w:r>
      <w:r>
        <w:rPr/>
        <w:t>or</w:t>
      </w:r>
      <w:r>
        <w:rPr>
          <w:spacing w:val="3"/>
        </w:rPr>
        <w:t> </w:t>
      </w:r>
      <w:r>
        <w:rPr/>
        <w:t>harassment.</w:t>
      </w:r>
      <w:r>
        <w:rPr>
          <w:spacing w:val="4"/>
        </w:rPr>
        <w:t> </w:t>
      </w:r>
      <w:r>
        <w:rPr/>
        <w:t>DHE</w:t>
      </w:r>
      <w:r>
        <w:rPr>
          <w:spacing w:val="4"/>
        </w:rPr>
        <w:t> </w:t>
      </w:r>
      <w:r>
        <w:rPr>
          <w:spacing w:val="-5"/>
        </w:rPr>
        <w:t>is</w:t>
      </w:r>
    </w:p>
    <w:p>
      <w:pPr>
        <w:spacing w:after="0" w:line="276" w:lineRule="auto"/>
        <w:sectPr>
          <w:headerReference w:type="default" r:id="rId712"/>
          <w:footerReference w:type="default" r:id="rId713"/>
          <w:pgSz w:w="12240" w:h="15840"/>
          <w:pgMar w:header="804" w:footer="1196" w:top="1000" w:bottom="1380" w:left="960" w:right="1100"/>
        </w:sectPr>
      </w:pPr>
    </w:p>
    <w:p>
      <w:pPr>
        <w:pStyle w:val="BodyText"/>
        <w:spacing w:line="276" w:lineRule="auto" w:before="139"/>
        <w:ind w:left="483" w:right="343"/>
        <w:jc w:val="both"/>
      </w:pPr>
      <w:r>
        <w:rPr/>
        <w:t>uniquely positioned to support institutions in establishing policies and guidance that provide campus professionals with the tools they need to support LGBTQ young people. While DHE has a limited role in the affairs of individual institutions, the Commission strongly urges DHE to act as a role model and encourage higher education institutions to pursue anti-discrimination policies above and beyond the baseline required by state law.</w:t>
      </w:r>
    </w:p>
    <w:p>
      <w:pPr>
        <w:pStyle w:val="BodyText"/>
        <w:spacing w:line="276" w:lineRule="auto" w:before="238"/>
        <w:ind w:left="483" w:right="341"/>
        <w:jc w:val="both"/>
      </w:pPr>
      <w:r>
        <w:rPr/>
        <w:t>In</w:t>
      </w:r>
      <w:r>
        <w:rPr>
          <w:spacing w:val="-10"/>
        </w:rPr>
        <w:t> </w:t>
      </w:r>
      <w:r>
        <w:rPr/>
        <w:t>DHE’s</w:t>
      </w:r>
      <w:r>
        <w:rPr>
          <w:spacing w:val="-10"/>
        </w:rPr>
        <w:t> </w:t>
      </w:r>
      <w:r>
        <w:rPr/>
        <w:t>recent</w:t>
      </w:r>
      <w:r>
        <w:rPr>
          <w:spacing w:val="-9"/>
        </w:rPr>
        <w:t> </w:t>
      </w:r>
      <w:r>
        <w:rPr/>
        <w:t>review</w:t>
      </w:r>
      <w:r>
        <w:rPr>
          <w:spacing w:val="-9"/>
        </w:rPr>
        <w:t> </w:t>
      </w:r>
      <w:r>
        <w:rPr/>
        <w:t>of</w:t>
      </w:r>
      <w:r>
        <w:rPr>
          <w:spacing w:val="-9"/>
        </w:rPr>
        <w:t> </w:t>
      </w:r>
      <w:r>
        <w:rPr/>
        <w:t>current</w:t>
      </w:r>
      <w:r>
        <w:rPr>
          <w:spacing w:val="-9"/>
        </w:rPr>
        <w:t> </w:t>
      </w:r>
      <w:r>
        <w:rPr/>
        <w:t>anti-discrimination</w:t>
      </w:r>
      <w:r>
        <w:rPr>
          <w:spacing w:val="-8"/>
        </w:rPr>
        <w:t> </w:t>
      </w:r>
      <w:r>
        <w:rPr/>
        <w:t>policies</w:t>
      </w:r>
      <w:r>
        <w:rPr>
          <w:spacing w:val="-9"/>
        </w:rPr>
        <w:t> </w:t>
      </w:r>
      <w:r>
        <w:rPr/>
        <w:t>in</w:t>
      </w:r>
      <w:r>
        <w:rPr>
          <w:spacing w:val="-9"/>
        </w:rPr>
        <w:t> </w:t>
      </w:r>
      <w:r>
        <w:rPr/>
        <w:t>place</w:t>
      </w:r>
      <w:r>
        <w:rPr>
          <w:spacing w:val="-9"/>
        </w:rPr>
        <w:t> </w:t>
      </w:r>
      <w:r>
        <w:rPr/>
        <w:t>at</w:t>
      </w:r>
      <w:r>
        <w:rPr>
          <w:spacing w:val="-9"/>
        </w:rPr>
        <w:t> </w:t>
      </w:r>
      <w:r>
        <w:rPr/>
        <w:t>all</w:t>
      </w:r>
      <w:r>
        <w:rPr>
          <w:spacing w:val="-9"/>
        </w:rPr>
        <w:t> </w:t>
      </w:r>
      <w:r>
        <w:rPr/>
        <w:t>115</w:t>
      </w:r>
      <w:r>
        <w:rPr>
          <w:spacing w:val="-9"/>
        </w:rPr>
        <w:t> </w:t>
      </w:r>
      <w:r>
        <w:rPr/>
        <w:t>public</w:t>
      </w:r>
      <w:r>
        <w:rPr>
          <w:spacing w:val="-10"/>
        </w:rPr>
        <w:t> </w:t>
      </w:r>
      <w:r>
        <w:rPr/>
        <w:t>and</w:t>
      </w:r>
      <w:r>
        <w:rPr>
          <w:spacing w:val="-9"/>
        </w:rPr>
        <w:t> </w:t>
      </w:r>
      <w:r>
        <w:rPr/>
        <w:t>private</w:t>
      </w:r>
      <w:r>
        <w:rPr>
          <w:spacing w:val="-9"/>
        </w:rPr>
        <w:t> </w:t>
      </w:r>
      <w:r>
        <w:rPr/>
        <w:t>colleges and</w:t>
      </w:r>
      <w:r>
        <w:rPr>
          <w:spacing w:val="-3"/>
        </w:rPr>
        <w:t> </w:t>
      </w:r>
      <w:r>
        <w:rPr/>
        <w:t>universities</w:t>
      </w:r>
      <w:r>
        <w:rPr>
          <w:spacing w:val="-3"/>
        </w:rPr>
        <w:t> </w:t>
      </w:r>
      <w:r>
        <w:rPr/>
        <w:t>located</w:t>
      </w:r>
      <w:r>
        <w:rPr>
          <w:spacing w:val="-3"/>
        </w:rPr>
        <w:t> </w:t>
      </w:r>
      <w:r>
        <w:rPr/>
        <w:t>and</w:t>
      </w:r>
      <w:r>
        <w:rPr>
          <w:spacing w:val="-3"/>
        </w:rPr>
        <w:t> </w:t>
      </w:r>
      <w:r>
        <w:rPr/>
        <w:t>operating</w:t>
      </w:r>
      <w:r>
        <w:rPr>
          <w:spacing w:val="-2"/>
        </w:rPr>
        <w:t> </w:t>
      </w:r>
      <w:r>
        <w:rPr/>
        <w:t>in</w:t>
      </w:r>
      <w:r>
        <w:rPr>
          <w:spacing w:val="-3"/>
        </w:rPr>
        <w:t> </w:t>
      </w:r>
      <w:r>
        <w:rPr/>
        <w:t>the</w:t>
      </w:r>
      <w:r>
        <w:rPr>
          <w:spacing w:val="-2"/>
        </w:rPr>
        <w:t> </w:t>
      </w:r>
      <w:r>
        <w:rPr/>
        <w:t>Commonwealth,</w:t>
      </w:r>
      <w:r>
        <w:rPr>
          <w:spacing w:val="-1"/>
        </w:rPr>
        <w:t> </w:t>
      </w:r>
      <w:r>
        <w:rPr/>
        <w:t>it</w:t>
      </w:r>
      <w:r>
        <w:rPr>
          <w:spacing w:val="-2"/>
        </w:rPr>
        <w:t> </w:t>
      </w:r>
      <w:r>
        <w:rPr/>
        <w:t>found</w:t>
      </w:r>
      <w:r>
        <w:rPr>
          <w:spacing w:val="-2"/>
        </w:rPr>
        <w:t> </w:t>
      </w:r>
      <w:r>
        <w:rPr/>
        <w:t>that</w:t>
      </w:r>
      <w:r>
        <w:rPr>
          <w:spacing w:val="-2"/>
        </w:rPr>
        <w:t> </w:t>
      </w:r>
      <w:r>
        <w:rPr/>
        <w:t>the</w:t>
      </w:r>
      <w:r>
        <w:rPr>
          <w:spacing w:val="-1"/>
        </w:rPr>
        <w:t> </w:t>
      </w:r>
      <w:r>
        <w:rPr/>
        <w:t>vast</w:t>
      </w:r>
      <w:r>
        <w:rPr>
          <w:spacing w:val="-3"/>
        </w:rPr>
        <w:t> </w:t>
      </w:r>
      <w:r>
        <w:rPr/>
        <w:t>majority</w:t>
      </w:r>
      <w:r>
        <w:rPr>
          <w:spacing w:val="-2"/>
        </w:rPr>
        <w:t> </w:t>
      </w:r>
      <w:r>
        <w:rPr/>
        <w:t>have</w:t>
      </w:r>
      <w:r>
        <w:rPr>
          <w:spacing w:val="-3"/>
        </w:rPr>
        <w:t> </w:t>
      </w:r>
      <w:r>
        <w:rPr/>
        <w:t>sexual orientation included in their anti-discrimination policy (103). However, less include gender (97), gender identity (88), sex (81), and even less for gender expression. This signals the opportunity for greater emphasis on and resources related to gender identity protections. The Commission urges DHE to create educational materials to inform</w:t>
      </w:r>
      <w:r>
        <w:rPr>
          <w:spacing w:val="-1"/>
        </w:rPr>
        <w:t> </w:t>
      </w:r>
      <w:r>
        <w:rPr/>
        <w:t>colleges and</w:t>
      </w:r>
      <w:r>
        <w:rPr>
          <w:spacing w:val="-1"/>
        </w:rPr>
        <w:t> </w:t>
      </w:r>
      <w:r>
        <w:rPr/>
        <w:t>universities of the</w:t>
      </w:r>
      <w:r>
        <w:rPr>
          <w:spacing w:val="-1"/>
        </w:rPr>
        <w:t> </w:t>
      </w:r>
      <w:r>
        <w:rPr/>
        <w:t>importance</w:t>
      </w:r>
      <w:r>
        <w:rPr>
          <w:spacing w:val="-1"/>
        </w:rPr>
        <w:t> </w:t>
      </w:r>
      <w:r>
        <w:rPr/>
        <w:t>of anti-discrimination</w:t>
      </w:r>
      <w:r>
        <w:rPr>
          <w:spacing w:val="-1"/>
        </w:rPr>
        <w:t> </w:t>
      </w:r>
      <w:r>
        <w:rPr/>
        <w:t>policy, including this data and sample statements.</w:t>
      </w:r>
    </w:p>
    <w:p>
      <w:pPr>
        <w:numPr>
          <w:ilvl w:val="0"/>
          <w:numId w:val="34"/>
        </w:numPr>
        <w:tabs>
          <w:tab w:pos="481" w:val="left" w:leader="none"/>
        </w:tabs>
        <w:spacing w:before="241"/>
        <w:ind w:left="481" w:right="0" w:hanging="358"/>
        <w:jc w:val="left"/>
        <w:rPr>
          <w:b/>
          <w:sz w:val="22"/>
        </w:rPr>
      </w:pPr>
      <w:r>
        <w:rPr>
          <w:b/>
          <w:sz w:val="22"/>
        </w:rPr>
        <w:t>Develop</w:t>
      </w:r>
      <w:r>
        <w:rPr>
          <w:b/>
          <w:spacing w:val="-8"/>
          <w:sz w:val="22"/>
        </w:rPr>
        <w:t> </w:t>
      </w:r>
      <w:r>
        <w:rPr>
          <w:b/>
          <w:sz w:val="22"/>
        </w:rPr>
        <w:t>clear</w:t>
      </w:r>
      <w:r>
        <w:rPr>
          <w:b/>
          <w:spacing w:val="-8"/>
          <w:sz w:val="22"/>
        </w:rPr>
        <w:t> </w:t>
      </w:r>
      <w:r>
        <w:rPr>
          <w:b/>
          <w:sz w:val="22"/>
        </w:rPr>
        <w:t>guidance</w:t>
      </w:r>
      <w:r>
        <w:rPr>
          <w:b/>
          <w:spacing w:val="-7"/>
          <w:sz w:val="22"/>
        </w:rPr>
        <w:t> </w:t>
      </w:r>
      <w:r>
        <w:rPr>
          <w:b/>
          <w:sz w:val="22"/>
        </w:rPr>
        <w:t>on</w:t>
      </w:r>
      <w:r>
        <w:rPr>
          <w:b/>
          <w:spacing w:val="-8"/>
          <w:sz w:val="22"/>
        </w:rPr>
        <w:t> </w:t>
      </w:r>
      <w:r>
        <w:rPr>
          <w:b/>
          <w:sz w:val="22"/>
        </w:rPr>
        <w:t>best</w:t>
      </w:r>
      <w:r>
        <w:rPr>
          <w:b/>
          <w:spacing w:val="-7"/>
          <w:sz w:val="22"/>
        </w:rPr>
        <w:t> </w:t>
      </w:r>
      <w:r>
        <w:rPr>
          <w:b/>
          <w:sz w:val="22"/>
        </w:rPr>
        <w:t>practices</w:t>
      </w:r>
      <w:r>
        <w:rPr>
          <w:b/>
          <w:spacing w:val="-8"/>
          <w:sz w:val="22"/>
        </w:rPr>
        <w:t> </w:t>
      </w:r>
      <w:r>
        <w:rPr>
          <w:b/>
          <w:sz w:val="22"/>
        </w:rPr>
        <w:t>for</w:t>
      </w:r>
      <w:r>
        <w:rPr>
          <w:b/>
          <w:spacing w:val="-7"/>
          <w:sz w:val="22"/>
        </w:rPr>
        <w:t> </w:t>
      </w:r>
      <w:r>
        <w:rPr>
          <w:b/>
          <w:sz w:val="22"/>
        </w:rPr>
        <w:t>reporting</w:t>
      </w:r>
      <w:r>
        <w:rPr>
          <w:b/>
          <w:spacing w:val="-7"/>
          <w:sz w:val="22"/>
        </w:rPr>
        <w:t> </w:t>
      </w:r>
      <w:r>
        <w:rPr>
          <w:b/>
          <w:sz w:val="22"/>
        </w:rPr>
        <w:t>out</w:t>
      </w:r>
      <w:r>
        <w:rPr>
          <w:b/>
          <w:spacing w:val="-8"/>
          <w:sz w:val="22"/>
        </w:rPr>
        <w:t> </w:t>
      </w:r>
      <w:r>
        <w:rPr>
          <w:b/>
          <w:sz w:val="22"/>
        </w:rPr>
        <w:t>Campus</w:t>
      </w:r>
      <w:r>
        <w:rPr>
          <w:b/>
          <w:spacing w:val="-8"/>
          <w:sz w:val="22"/>
        </w:rPr>
        <w:t> </w:t>
      </w:r>
      <w:r>
        <w:rPr>
          <w:b/>
          <w:sz w:val="22"/>
        </w:rPr>
        <w:t>Sexual</w:t>
      </w:r>
      <w:r>
        <w:rPr>
          <w:b/>
          <w:spacing w:val="-7"/>
          <w:sz w:val="22"/>
        </w:rPr>
        <w:t> </w:t>
      </w:r>
      <w:r>
        <w:rPr>
          <w:b/>
          <w:sz w:val="22"/>
        </w:rPr>
        <w:t>Assault</w:t>
      </w:r>
      <w:r>
        <w:rPr>
          <w:b/>
          <w:spacing w:val="-7"/>
          <w:sz w:val="22"/>
        </w:rPr>
        <w:t> </w:t>
      </w:r>
      <w:r>
        <w:rPr>
          <w:b/>
          <w:sz w:val="22"/>
        </w:rPr>
        <w:t>Law</w:t>
      </w:r>
      <w:r>
        <w:rPr>
          <w:b/>
          <w:spacing w:val="-7"/>
          <w:sz w:val="22"/>
        </w:rPr>
        <w:t> </w:t>
      </w:r>
      <w:r>
        <w:rPr>
          <w:b/>
          <w:spacing w:val="-2"/>
          <w:sz w:val="22"/>
        </w:rPr>
        <w:t>data.</w:t>
      </w:r>
    </w:p>
    <w:p>
      <w:pPr>
        <w:pStyle w:val="BodyText"/>
        <w:spacing w:before="11"/>
        <w:rPr>
          <w:b/>
        </w:rPr>
      </w:pPr>
    </w:p>
    <w:p>
      <w:pPr>
        <w:pStyle w:val="BodyText"/>
        <w:spacing w:line="276" w:lineRule="auto"/>
        <w:ind w:left="483" w:right="342"/>
        <w:jc w:val="both"/>
      </w:pPr>
      <w:r>
        <w:rPr/>
        <w:t>Over</w:t>
      </w:r>
      <w:r>
        <w:rPr>
          <w:spacing w:val="-8"/>
        </w:rPr>
        <w:t> </w:t>
      </w:r>
      <w:r>
        <w:rPr/>
        <w:t>the</w:t>
      </w:r>
      <w:r>
        <w:rPr>
          <w:spacing w:val="-8"/>
        </w:rPr>
        <w:t> </w:t>
      </w:r>
      <w:r>
        <w:rPr/>
        <w:t>last</w:t>
      </w:r>
      <w:r>
        <w:rPr>
          <w:spacing w:val="-7"/>
        </w:rPr>
        <w:t> </w:t>
      </w:r>
      <w:r>
        <w:rPr/>
        <w:t>few</w:t>
      </w:r>
      <w:r>
        <w:rPr>
          <w:spacing w:val="-8"/>
        </w:rPr>
        <w:t> </w:t>
      </w:r>
      <w:r>
        <w:rPr/>
        <w:t>years,</w:t>
      </w:r>
      <w:r>
        <w:rPr>
          <w:spacing w:val="-7"/>
        </w:rPr>
        <w:t> </w:t>
      </w:r>
      <w:r>
        <w:rPr/>
        <w:t>the</w:t>
      </w:r>
      <w:r>
        <w:rPr>
          <w:spacing w:val="-8"/>
        </w:rPr>
        <w:t> </w:t>
      </w:r>
      <w:r>
        <w:rPr/>
        <w:t>DHE</w:t>
      </w:r>
      <w:r>
        <w:rPr>
          <w:spacing w:val="-8"/>
        </w:rPr>
        <w:t> </w:t>
      </w:r>
      <w:r>
        <w:rPr/>
        <w:t>has</w:t>
      </w:r>
      <w:r>
        <w:rPr>
          <w:spacing w:val="-7"/>
        </w:rPr>
        <w:t> </w:t>
      </w:r>
      <w:r>
        <w:rPr/>
        <w:t>been</w:t>
      </w:r>
      <w:r>
        <w:rPr>
          <w:spacing w:val="-8"/>
        </w:rPr>
        <w:t> </w:t>
      </w:r>
      <w:r>
        <w:rPr/>
        <w:t>responsible</w:t>
      </w:r>
      <w:r>
        <w:rPr>
          <w:spacing w:val="-8"/>
        </w:rPr>
        <w:t> </w:t>
      </w:r>
      <w:r>
        <w:rPr/>
        <w:t>for</w:t>
      </w:r>
      <w:r>
        <w:rPr>
          <w:spacing w:val="-8"/>
        </w:rPr>
        <w:t> </w:t>
      </w:r>
      <w:r>
        <w:rPr/>
        <w:t>the</w:t>
      </w:r>
      <w:r>
        <w:rPr>
          <w:spacing w:val="-8"/>
        </w:rPr>
        <w:t> </w:t>
      </w:r>
      <w:r>
        <w:rPr/>
        <w:t>implementation</w:t>
      </w:r>
      <w:r>
        <w:rPr>
          <w:spacing w:val="-8"/>
        </w:rPr>
        <w:t> </w:t>
      </w:r>
      <w:r>
        <w:rPr/>
        <w:t>of</w:t>
      </w:r>
      <w:r>
        <w:rPr>
          <w:spacing w:val="-8"/>
        </w:rPr>
        <w:t> </w:t>
      </w:r>
      <w:r>
        <w:rPr/>
        <w:t>the</w:t>
      </w:r>
      <w:r>
        <w:rPr>
          <w:spacing w:val="-8"/>
        </w:rPr>
        <w:t> </w:t>
      </w:r>
      <w:r>
        <w:rPr/>
        <w:t>2021</w:t>
      </w:r>
      <w:r>
        <w:rPr>
          <w:spacing w:val="-8"/>
        </w:rPr>
        <w:t> </w:t>
      </w:r>
      <w:r>
        <w:rPr/>
        <w:t>Campus</w:t>
      </w:r>
      <w:r>
        <w:rPr>
          <w:spacing w:val="-7"/>
        </w:rPr>
        <w:t> </w:t>
      </w:r>
      <w:r>
        <w:rPr/>
        <w:t>Sexual Assault</w:t>
      </w:r>
      <w:r>
        <w:rPr>
          <w:spacing w:val="-5"/>
        </w:rPr>
        <w:t> </w:t>
      </w:r>
      <w:r>
        <w:rPr/>
        <w:t>Law,</w:t>
      </w:r>
      <w:r>
        <w:rPr>
          <w:spacing w:val="-2"/>
        </w:rPr>
        <w:t> </w:t>
      </w:r>
      <w:r>
        <w:rPr/>
        <w:t>part</w:t>
      </w:r>
      <w:r>
        <w:rPr>
          <w:spacing w:val="-5"/>
        </w:rPr>
        <w:t> </w:t>
      </w:r>
      <w:r>
        <w:rPr/>
        <w:t>of</w:t>
      </w:r>
      <w:r>
        <w:rPr>
          <w:spacing w:val="-4"/>
        </w:rPr>
        <w:t> </w:t>
      </w:r>
      <w:r>
        <w:rPr/>
        <w:t>which</w:t>
      </w:r>
      <w:r>
        <w:rPr>
          <w:spacing w:val="-4"/>
        </w:rPr>
        <w:t> </w:t>
      </w:r>
      <w:r>
        <w:rPr/>
        <w:t>requires</w:t>
      </w:r>
      <w:r>
        <w:rPr>
          <w:spacing w:val="-5"/>
        </w:rPr>
        <w:t> </w:t>
      </w:r>
      <w:r>
        <w:rPr/>
        <w:t>Massachusetts</w:t>
      </w:r>
      <w:r>
        <w:rPr>
          <w:spacing w:val="-3"/>
        </w:rPr>
        <w:t> </w:t>
      </w:r>
      <w:r>
        <w:rPr/>
        <w:t>higher</w:t>
      </w:r>
      <w:r>
        <w:rPr>
          <w:spacing w:val="-4"/>
        </w:rPr>
        <w:t> </w:t>
      </w:r>
      <w:r>
        <w:rPr/>
        <w:t>education</w:t>
      </w:r>
      <w:r>
        <w:rPr>
          <w:spacing w:val="-5"/>
        </w:rPr>
        <w:t> </w:t>
      </w:r>
      <w:r>
        <w:rPr/>
        <w:t>institutions</w:t>
      </w:r>
      <w:r>
        <w:rPr>
          <w:spacing w:val="-5"/>
        </w:rPr>
        <w:t> </w:t>
      </w:r>
      <w:r>
        <w:rPr/>
        <w:t>to</w:t>
      </w:r>
      <w:r>
        <w:rPr>
          <w:spacing w:val="-3"/>
        </w:rPr>
        <w:t> </w:t>
      </w:r>
      <w:r>
        <w:rPr/>
        <w:t>report</w:t>
      </w:r>
      <w:r>
        <w:rPr>
          <w:spacing w:val="-4"/>
        </w:rPr>
        <w:t> </w:t>
      </w:r>
      <w:r>
        <w:rPr/>
        <w:t>out</w:t>
      </w:r>
      <w:r>
        <w:rPr>
          <w:spacing w:val="-5"/>
        </w:rPr>
        <w:t> </w:t>
      </w:r>
      <w:r>
        <w:rPr/>
        <w:t>on</w:t>
      </w:r>
      <w:r>
        <w:rPr>
          <w:spacing w:val="-3"/>
        </w:rPr>
        <w:t> </w:t>
      </w:r>
      <w:r>
        <w:rPr/>
        <w:t>campus climate</w:t>
      </w:r>
      <w:r>
        <w:rPr>
          <w:spacing w:val="-2"/>
        </w:rPr>
        <w:t> </w:t>
      </w:r>
      <w:r>
        <w:rPr/>
        <w:t>surveys</w:t>
      </w:r>
      <w:r>
        <w:rPr>
          <w:spacing w:val="-1"/>
        </w:rPr>
        <w:t> </w:t>
      </w:r>
      <w:r>
        <w:rPr/>
        <w:t>by</w:t>
      </w:r>
      <w:r>
        <w:rPr>
          <w:spacing w:val="-2"/>
        </w:rPr>
        <w:t> </w:t>
      </w:r>
      <w:r>
        <w:rPr/>
        <w:t>August 1,</w:t>
      </w:r>
      <w:r>
        <w:rPr>
          <w:spacing w:val="-2"/>
        </w:rPr>
        <w:t> </w:t>
      </w:r>
      <w:r>
        <w:rPr/>
        <w:t>2025.</w:t>
      </w:r>
      <w:r>
        <w:rPr>
          <w:spacing w:val="-2"/>
        </w:rPr>
        <w:t> </w:t>
      </w:r>
      <w:r>
        <w:rPr/>
        <w:t>In</w:t>
      </w:r>
      <w:r>
        <w:rPr>
          <w:spacing w:val="-1"/>
        </w:rPr>
        <w:t> </w:t>
      </w:r>
      <w:r>
        <w:rPr/>
        <w:t>its</w:t>
      </w:r>
      <w:r>
        <w:rPr>
          <w:spacing w:val="-1"/>
        </w:rPr>
        <w:t> </w:t>
      </w:r>
      <w:r>
        <w:rPr/>
        <w:t>recent</w:t>
      </w:r>
      <w:r>
        <w:rPr>
          <w:spacing w:val="-1"/>
        </w:rPr>
        <w:t> </w:t>
      </w:r>
      <w:r>
        <w:rPr/>
        <w:t>FY</w:t>
      </w:r>
      <w:r>
        <w:rPr>
          <w:spacing w:val="-2"/>
        </w:rPr>
        <w:t> </w:t>
      </w:r>
      <w:r>
        <w:rPr/>
        <w:t>2024</w:t>
      </w:r>
      <w:r>
        <w:rPr>
          <w:spacing w:val="-2"/>
        </w:rPr>
        <w:t> </w:t>
      </w:r>
      <w:r>
        <w:rPr/>
        <w:t>meeting</w:t>
      </w:r>
      <w:r>
        <w:rPr>
          <w:spacing w:val="-1"/>
        </w:rPr>
        <w:t> </w:t>
      </w:r>
      <w:r>
        <w:rPr/>
        <w:t>with</w:t>
      </w:r>
      <w:r>
        <w:rPr>
          <w:spacing w:val="-1"/>
        </w:rPr>
        <w:t> </w:t>
      </w:r>
      <w:r>
        <w:rPr/>
        <w:t>the</w:t>
      </w:r>
      <w:r>
        <w:rPr>
          <w:spacing w:val="-1"/>
        </w:rPr>
        <w:t> </w:t>
      </w:r>
      <w:r>
        <w:rPr/>
        <w:t>Commission,</w:t>
      </w:r>
      <w:r>
        <w:rPr>
          <w:spacing w:val="-1"/>
        </w:rPr>
        <w:t> </w:t>
      </w:r>
      <w:r>
        <w:rPr/>
        <w:t>DHE</w:t>
      </w:r>
      <w:r>
        <w:rPr>
          <w:spacing w:val="-2"/>
        </w:rPr>
        <w:t> </w:t>
      </w:r>
      <w:r>
        <w:rPr/>
        <w:t>noted</w:t>
      </w:r>
      <w:r>
        <w:rPr>
          <w:spacing w:val="-1"/>
        </w:rPr>
        <w:t> </w:t>
      </w:r>
      <w:r>
        <w:rPr/>
        <w:t>that</w:t>
      </w:r>
      <w:r>
        <w:rPr>
          <w:spacing w:val="-1"/>
        </w:rPr>
        <w:t> </w:t>
      </w:r>
      <w:r>
        <w:rPr/>
        <w:t>it is</w:t>
      </w:r>
      <w:r>
        <w:rPr>
          <w:spacing w:val="-8"/>
        </w:rPr>
        <w:t> </w:t>
      </w:r>
      <w:r>
        <w:rPr/>
        <w:t>currently</w:t>
      </w:r>
      <w:r>
        <w:rPr>
          <w:spacing w:val="-8"/>
        </w:rPr>
        <w:t> </w:t>
      </w:r>
      <w:r>
        <w:rPr/>
        <w:t>working</w:t>
      </w:r>
      <w:r>
        <w:rPr>
          <w:spacing w:val="-9"/>
        </w:rPr>
        <w:t> </w:t>
      </w:r>
      <w:r>
        <w:rPr/>
        <w:t>on</w:t>
      </w:r>
      <w:r>
        <w:rPr>
          <w:spacing w:val="-8"/>
        </w:rPr>
        <w:t> </w:t>
      </w:r>
      <w:r>
        <w:rPr/>
        <w:t>guidance</w:t>
      </w:r>
      <w:r>
        <w:rPr>
          <w:spacing w:val="-8"/>
        </w:rPr>
        <w:t> </w:t>
      </w:r>
      <w:r>
        <w:rPr/>
        <w:t>around</w:t>
      </w:r>
      <w:r>
        <w:rPr>
          <w:spacing w:val="-8"/>
        </w:rPr>
        <w:t> </w:t>
      </w:r>
      <w:r>
        <w:rPr/>
        <w:t>how</w:t>
      </w:r>
      <w:r>
        <w:rPr>
          <w:spacing w:val="-8"/>
        </w:rPr>
        <w:t> </w:t>
      </w:r>
      <w:r>
        <w:rPr/>
        <w:t>to</w:t>
      </w:r>
      <w:r>
        <w:rPr>
          <w:spacing w:val="-7"/>
        </w:rPr>
        <w:t> </w:t>
      </w:r>
      <w:r>
        <w:rPr/>
        <w:t>post</w:t>
      </w:r>
      <w:r>
        <w:rPr>
          <w:spacing w:val="-8"/>
        </w:rPr>
        <w:t> </w:t>
      </w:r>
      <w:r>
        <w:rPr/>
        <w:t>the</w:t>
      </w:r>
      <w:r>
        <w:rPr>
          <w:spacing w:val="-9"/>
        </w:rPr>
        <w:t> </w:t>
      </w:r>
      <w:r>
        <w:rPr/>
        <w:t>results</w:t>
      </w:r>
      <w:r>
        <w:rPr>
          <w:spacing w:val="-8"/>
        </w:rPr>
        <w:t> </w:t>
      </w:r>
      <w:r>
        <w:rPr/>
        <w:t>of</w:t>
      </w:r>
      <w:r>
        <w:rPr>
          <w:spacing w:val="-8"/>
        </w:rPr>
        <w:t> </w:t>
      </w:r>
      <w:r>
        <w:rPr/>
        <w:t>the</w:t>
      </w:r>
      <w:r>
        <w:rPr>
          <w:spacing w:val="-9"/>
        </w:rPr>
        <w:t> </w:t>
      </w:r>
      <w:r>
        <w:rPr/>
        <w:t>surveys.</w:t>
      </w:r>
      <w:r>
        <w:rPr>
          <w:spacing w:val="-8"/>
        </w:rPr>
        <w:t> </w:t>
      </w:r>
      <w:r>
        <w:rPr/>
        <w:t>However,</w:t>
      </w:r>
      <w:r>
        <w:rPr>
          <w:spacing w:val="-9"/>
        </w:rPr>
        <w:t> </w:t>
      </w:r>
      <w:r>
        <w:rPr/>
        <w:t>the</w:t>
      </w:r>
      <w:r>
        <w:rPr>
          <w:spacing w:val="-7"/>
        </w:rPr>
        <w:t> </w:t>
      </w:r>
      <w:r>
        <w:rPr/>
        <w:t>DHE</w:t>
      </w:r>
      <w:r>
        <w:rPr>
          <w:spacing w:val="-9"/>
        </w:rPr>
        <w:t> </w:t>
      </w:r>
      <w:r>
        <w:rPr/>
        <w:t>further noted that there is currently no guidance on how schools should collect and report out the data, which has</w:t>
      </w:r>
      <w:r>
        <w:rPr>
          <w:spacing w:val="-3"/>
        </w:rPr>
        <w:t> </w:t>
      </w:r>
      <w:r>
        <w:rPr/>
        <w:t>led</w:t>
      </w:r>
      <w:r>
        <w:rPr>
          <w:spacing w:val="-3"/>
        </w:rPr>
        <w:t> </w:t>
      </w:r>
      <w:r>
        <w:rPr/>
        <w:t>to</w:t>
      </w:r>
      <w:r>
        <w:rPr>
          <w:spacing w:val="-2"/>
        </w:rPr>
        <w:t> </w:t>
      </w:r>
      <w:r>
        <w:rPr/>
        <w:t>several</w:t>
      </w:r>
      <w:r>
        <w:rPr>
          <w:spacing w:val="-3"/>
        </w:rPr>
        <w:t> </w:t>
      </w:r>
      <w:r>
        <w:rPr/>
        <w:t>issues</w:t>
      </w:r>
      <w:r>
        <w:rPr>
          <w:spacing w:val="-3"/>
        </w:rPr>
        <w:t> </w:t>
      </w:r>
      <w:r>
        <w:rPr/>
        <w:t>from</w:t>
      </w:r>
      <w:r>
        <w:rPr>
          <w:spacing w:val="-3"/>
        </w:rPr>
        <w:t> </w:t>
      </w:r>
      <w:r>
        <w:rPr/>
        <w:t>some</w:t>
      </w:r>
      <w:r>
        <w:rPr>
          <w:spacing w:val="-3"/>
        </w:rPr>
        <w:t> </w:t>
      </w:r>
      <w:r>
        <w:rPr/>
        <w:t>schools</w:t>
      </w:r>
      <w:r>
        <w:rPr>
          <w:spacing w:val="-3"/>
        </w:rPr>
        <w:t> </w:t>
      </w:r>
      <w:r>
        <w:rPr/>
        <w:t>that</w:t>
      </w:r>
      <w:r>
        <w:rPr>
          <w:spacing w:val="-3"/>
        </w:rPr>
        <w:t> </w:t>
      </w:r>
      <w:r>
        <w:rPr/>
        <w:t>could</w:t>
      </w:r>
      <w:r>
        <w:rPr>
          <w:spacing w:val="-3"/>
        </w:rPr>
        <w:t> </w:t>
      </w:r>
      <w:r>
        <w:rPr/>
        <w:t>have</w:t>
      </w:r>
      <w:r>
        <w:rPr>
          <w:spacing w:val="-3"/>
        </w:rPr>
        <w:t> </w:t>
      </w:r>
      <w:r>
        <w:rPr/>
        <w:t>compromised</w:t>
      </w:r>
      <w:r>
        <w:rPr>
          <w:spacing w:val="-3"/>
        </w:rPr>
        <w:t> </w:t>
      </w:r>
      <w:r>
        <w:rPr/>
        <w:t>the</w:t>
      </w:r>
      <w:r>
        <w:rPr>
          <w:spacing w:val="-3"/>
        </w:rPr>
        <w:t> </w:t>
      </w:r>
      <w:r>
        <w:rPr/>
        <w:t>privacy</w:t>
      </w:r>
      <w:r>
        <w:rPr>
          <w:spacing w:val="-3"/>
        </w:rPr>
        <w:t> </w:t>
      </w:r>
      <w:r>
        <w:rPr/>
        <w:t>and</w:t>
      </w:r>
      <w:r>
        <w:rPr>
          <w:spacing w:val="-3"/>
        </w:rPr>
        <w:t> </w:t>
      </w:r>
      <w:r>
        <w:rPr/>
        <w:t>confidentiality of students - particularly transgender and nonbinary students. The Commission recommends that DHE develop clear guidance around data collection and appropriate reporting to ensure that student confidentiality is protected.</w:t>
      </w:r>
    </w:p>
    <w:p>
      <w:pPr>
        <w:pStyle w:val="BodyText"/>
        <w:spacing w:line="276" w:lineRule="auto" w:before="240"/>
        <w:ind w:left="483" w:right="341"/>
        <w:jc w:val="both"/>
      </w:pPr>
      <w:r>
        <w:rPr/>
        <w:t>Furthermore, the Commission urges DHE to encourage institutions to make explicit provisions in their MOUs</w:t>
      </w:r>
      <w:r>
        <w:rPr>
          <w:spacing w:val="-10"/>
        </w:rPr>
        <w:t> </w:t>
      </w:r>
      <w:r>
        <w:rPr/>
        <w:t>that</w:t>
      </w:r>
      <w:r>
        <w:rPr>
          <w:spacing w:val="-10"/>
        </w:rPr>
        <w:t> </w:t>
      </w:r>
      <w:r>
        <w:rPr/>
        <w:t>provide</w:t>
      </w:r>
      <w:r>
        <w:rPr>
          <w:spacing w:val="-11"/>
        </w:rPr>
        <w:t> </w:t>
      </w:r>
      <w:r>
        <w:rPr/>
        <w:t>for</w:t>
      </w:r>
      <w:r>
        <w:rPr>
          <w:spacing w:val="-11"/>
        </w:rPr>
        <w:t> </w:t>
      </w:r>
      <w:r>
        <w:rPr/>
        <w:t>LGBTQ-specific</w:t>
      </w:r>
      <w:r>
        <w:rPr>
          <w:spacing w:val="-11"/>
        </w:rPr>
        <w:t> </w:t>
      </w:r>
      <w:r>
        <w:rPr/>
        <w:t>cultural</w:t>
      </w:r>
      <w:r>
        <w:rPr>
          <w:spacing w:val="-10"/>
        </w:rPr>
        <w:t> </w:t>
      </w:r>
      <w:r>
        <w:rPr/>
        <w:t>competency</w:t>
      </w:r>
      <w:r>
        <w:rPr>
          <w:spacing w:val="-10"/>
        </w:rPr>
        <w:t> </w:t>
      </w:r>
      <w:r>
        <w:rPr/>
        <w:t>trainings</w:t>
      </w:r>
      <w:r>
        <w:rPr>
          <w:spacing w:val="-11"/>
        </w:rPr>
        <w:t> </w:t>
      </w:r>
      <w:r>
        <w:rPr/>
        <w:t>around</w:t>
      </w:r>
      <w:r>
        <w:rPr>
          <w:spacing w:val="-9"/>
        </w:rPr>
        <w:t> </w:t>
      </w:r>
      <w:r>
        <w:rPr/>
        <w:t>the</w:t>
      </w:r>
      <w:r>
        <w:rPr>
          <w:spacing w:val="-11"/>
        </w:rPr>
        <w:t> </w:t>
      </w:r>
      <w:r>
        <w:rPr/>
        <w:t>delivery</w:t>
      </w:r>
      <w:r>
        <w:rPr>
          <w:spacing w:val="-11"/>
        </w:rPr>
        <w:t> </w:t>
      </w:r>
      <w:r>
        <w:rPr/>
        <w:t>of</w:t>
      </w:r>
      <w:r>
        <w:rPr>
          <w:spacing w:val="-10"/>
        </w:rPr>
        <w:t> </w:t>
      </w:r>
      <w:r>
        <w:rPr/>
        <w:t>sexual</w:t>
      </w:r>
      <w:r>
        <w:rPr>
          <w:spacing w:val="-10"/>
        </w:rPr>
        <w:t> </w:t>
      </w:r>
      <w:r>
        <w:rPr/>
        <w:t>assault services to LGBTQ students and employees.</w:t>
      </w:r>
    </w:p>
    <w:p>
      <w:pPr>
        <w:numPr>
          <w:ilvl w:val="0"/>
          <w:numId w:val="34"/>
        </w:numPr>
        <w:tabs>
          <w:tab w:pos="481" w:val="left" w:leader="none"/>
          <w:tab w:pos="483" w:val="left" w:leader="none"/>
        </w:tabs>
        <w:spacing w:line="276" w:lineRule="auto" w:before="240"/>
        <w:ind w:left="483" w:right="344" w:hanging="360"/>
        <w:jc w:val="left"/>
        <w:rPr>
          <w:b/>
          <w:sz w:val="22"/>
        </w:rPr>
      </w:pPr>
      <w:r>
        <w:rPr>
          <w:b/>
          <w:sz w:val="22"/>
        </w:rPr>
        <w:t>Host</w:t>
      </w:r>
      <w:r>
        <w:rPr>
          <w:b/>
          <w:spacing w:val="30"/>
          <w:sz w:val="22"/>
        </w:rPr>
        <w:t> </w:t>
      </w:r>
      <w:r>
        <w:rPr>
          <w:b/>
          <w:sz w:val="22"/>
        </w:rPr>
        <w:t>listening</w:t>
      </w:r>
      <w:r>
        <w:rPr>
          <w:b/>
          <w:spacing w:val="31"/>
          <w:sz w:val="22"/>
        </w:rPr>
        <w:t> </w:t>
      </w:r>
      <w:r>
        <w:rPr>
          <w:b/>
          <w:sz w:val="22"/>
        </w:rPr>
        <w:t>sessions</w:t>
      </w:r>
      <w:r>
        <w:rPr>
          <w:b/>
          <w:spacing w:val="31"/>
          <w:sz w:val="22"/>
        </w:rPr>
        <w:t> </w:t>
      </w:r>
      <w:r>
        <w:rPr>
          <w:b/>
          <w:sz w:val="22"/>
        </w:rPr>
        <w:t>to</w:t>
      </w:r>
      <w:r>
        <w:rPr>
          <w:b/>
          <w:spacing w:val="32"/>
          <w:sz w:val="22"/>
        </w:rPr>
        <w:t> </w:t>
      </w:r>
      <w:r>
        <w:rPr>
          <w:b/>
          <w:sz w:val="22"/>
        </w:rPr>
        <w:t>identify</w:t>
      </w:r>
      <w:r>
        <w:rPr>
          <w:b/>
          <w:spacing w:val="31"/>
          <w:sz w:val="22"/>
        </w:rPr>
        <w:t> </w:t>
      </w:r>
      <w:r>
        <w:rPr>
          <w:b/>
          <w:sz w:val="22"/>
        </w:rPr>
        <w:t>the</w:t>
      </w:r>
      <w:r>
        <w:rPr>
          <w:b/>
          <w:spacing w:val="32"/>
          <w:sz w:val="22"/>
        </w:rPr>
        <w:t> </w:t>
      </w:r>
      <w:r>
        <w:rPr>
          <w:b/>
          <w:sz w:val="22"/>
        </w:rPr>
        <w:t>unique</w:t>
      </w:r>
      <w:r>
        <w:rPr>
          <w:b/>
          <w:spacing w:val="31"/>
          <w:sz w:val="22"/>
        </w:rPr>
        <w:t> </w:t>
      </w:r>
      <w:r>
        <w:rPr>
          <w:b/>
          <w:sz w:val="22"/>
        </w:rPr>
        <w:t>needs</w:t>
      </w:r>
      <w:r>
        <w:rPr>
          <w:b/>
          <w:spacing w:val="31"/>
          <w:sz w:val="22"/>
        </w:rPr>
        <w:t> </w:t>
      </w:r>
      <w:r>
        <w:rPr>
          <w:b/>
          <w:sz w:val="22"/>
        </w:rPr>
        <w:t>of</w:t>
      </w:r>
      <w:r>
        <w:rPr>
          <w:b/>
          <w:spacing w:val="31"/>
          <w:sz w:val="22"/>
        </w:rPr>
        <w:t> </w:t>
      </w:r>
      <w:r>
        <w:rPr>
          <w:b/>
          <w:sz w:val="22"/>
        </w:rPr>
        <w:t>students</w:t>
      </w:r>
      <w:r>
        <w:rPr>
          <w:b/>
          <w:spacing w:val="31"/>
          <w:sz w:val="22"/>
        </w:rPr>
        <w:t> </w:t>
      </w:r>
      <w:r>
        <w:rPr>
          <w:b/>
          <w:sz w:val="22"/>
        </w:rPr>
        <w:t>and</w:t>
      </w:r>
      <w:r>
        <w:rPr>
          <w:b/>
          <w:spacing w:val="31"/>
          <w:sz w:val="22"/>
        </w:rPr>
        <w:t> </w:t>
      </w:r>
      <w:r>
        <w:rPr>
          <w:b/>
          <w:sz w:val="22"/>
        </w:rPr>
        <w:t>faculty</w:t>
      </w:r>
      <w:r>
        <w:rPr>
          <w:b/>
          <w:spacing w:val="31"/>
          <w:sz w:val="22"/>
        </w:rPr>
        <w:t> </w:t>
      </w:r>
      <w:r>
        <w:rPr>
          <w:b/>
          <w:sz w:val="22"/>
        </w:rPr>
        <w:t>related</w:t>
      </w:r>
      <w:r>
        <w:rPr>
          <w:b/>
          <w:spacing w:val="32"/>
          <w:sz w:val="22"/>
        </w:rPr>
        <w:t> </w:t>
      </w:r>
      <w:r>
        <w:rPr>
          <w:b/>
          <w:sz w:val="22"/>
        </w:rPr>
        <w:t>to</w:t>
      </w:r>
      <w:r>
        <w:rPr>
          <w:b/>
          <w:spacing w:val="32"/>
          <w:sz w:val="22"/>
        </w:rPr>
        <w:t> </w:t>
      </w:r>
      <w:r>
        <w:rPr>
          <w:b/>
          <w:sz w:val="22"/>
        </w:rPr>
        <w:t>community college access, housing, mental health, among other issues.</w:t>
      </w:r>
    </w:p>
    <w:p>
      <w:pPr>
        <w:pStyle w:val="BodyText"/>
        <w:spacing w:line="276" w:lineRule="auto" w:before="241"/>
        <w:ind w:left="483" w:right="343"/>
        <w:jc w:val="both"/>
      </w:pPr>
      <w:r>
        <w:rPr/>
        <w:t>The</w:t>
      </w:r>
      <w:r>
        <w:rPr>
          <w:spacing w:val="-2"/>
        </w:rPr>
        <w:t> </w:t>
      </w:r>
      <w:r>
        <w:rPr/>
        <w:t>Commission</w:t>
      </w:r>
      <w:r>
        <w:rPr>
          <w:spacing w:val="-3"/>
        </w:rPr>
        <w:t> </w:t>
      </w:r>
      <w:r>
        <w:rPr/>
        <w:t>recommends</w:t>
      </w:r>
      <w:r>
        <w:rPr>
          <w:spacing w:val="-2"/>
        </w:rPr>
        <w:t> </w:t>
      </w:r>
      <w:r>
        <w:rPr/>
        <w:t>that</w:t>
      </w:r>
      <w:r>
        <w:rPr>
          <w:spacing w:val="-2"/>
        </w:rPr>
        <w:t> </w:t>
      </w:r>
      <w:r>
        <w:rPr/>
        <w:t>DHE</w:t>
      </w:r>
      <w:r>
        <w:rPr>
          <w:spacing w:val="-1"/>
        </w:rPr>
        <w:t> </w:t>
      </w:r>
      <w:r>
        <w:rPr/>
        <w:t>host</w:t>
      </w:r>
      <w:r>
        <w:rPr>
          <w:spacing w:val="-3"/>
        </w:rPr>
        <w:t> </w:t>
      </w:r>
      <w:r>
        <w:rPr/>
        <w:t>listening</w:t>
      </w:r>
      <w:r>
        <w:rPr>
          <w:spacing w:val="-2"/>
        </w:rPr>
        <w:t> </w:t>
      </w:r>
      <w:r>
        <w:rPr/>
        <w:t>sessions</w:t>
      </w:r>
      <w:r>
        <w:rPr>
          <w:spacing w:val="-2"/>
        </w:rPr>
        <w:t> </w:t>
      </w:r>
      <w:r>
        <w:rPr/>
        <w:t>across</w:t>
      </w:r>
      <w:r>
        <w:rPr>
          <w:spacing w:val="-2"/>
        </w:rPr>
        <w:t> </w:t>
      </w:r>
      <w:r>
        <w:rPr/>
        <w:t>the</w:t>
      </w:r>
      <w:r>
        <w:rPr>
          <w:spacing w:val="-3"/>
        </w:rPr>
        <w:t> </w:t>
      </w:r>
      <w:r>
        <w:rPr/>
        <w:t>Commonwealth</w:t>
      </w:r>
      <w:r>
        <w:rPr>
          <w:spacing w:val="-2"/>
        </w:rPr>
        <w:t> </w:t>
      </w:r>
      <w:r>
        <w:rPr/>
        <w:t>to</w:t>
      </w:r>
      <w:r>
        <w:rPr>
          <w:spacing w:val="-2"/>
        </w:rPr>
        <w:t> </w:t>
      </w:r>
      <w:r>
        <w:rPr/>
        <w:t>identify</w:t>
      </w:r>
      <w:r>
        <w:rPr>
          <w:spacing w:val="-1"/>
        </w:rPr>
        <w:t> </w:t>
      </w:r>
      <w:r>
        <w:rPr/>
        <w:t>the unique needs of LGBTQ students, as well as faculty, as it relates to access in the areas of education, housing, and mental health. Furthermore, the Commission encourages DHE to examine the need for LGBTQ</w:t>
      </w:r>
      <w:r>
        <w:rPr>
          <w:spacing w:val="-5"/>
        </w:rPr>
        <w:t> </w:t>
      </w:r>
      <w:r>
        <w:rPr/>
        <w:t>cultural</w:t>
      </w:r>
      <w:r>
        <w:rPr>
          <w:spacing w:val="-6"/>
        </w:rPr>
        <w:t> </w:t>
      </w:r>
      <w:r>
        <w:rPr/>
        <w:t>competency</w:t>
      </w:r>
      <w:r>
        <w:rPr>
          <w:spacing w:val="-6"/>
        </w:rPr>
        <w:t> </w:t>
      </w:r>
      <w:r>
        <w:rPr/>
        <w:t>professional</w:t>
      </w:r>
      <w:r>
        <w:rPr>
          <w:spacing w:val="-6"/>
        </w:rPr>
        <w:t> </w:t>
      </w:r>
      <w:r>
        <w:rPr/>
        <w:t>development</w:t>
      </w:r>
      <w:r>
        <w:rPr>
          <w:spacing w:val="-7"/>
        </w:rPr>
        <w:t> </w:t>
      </w:r>
      <w:r>
        <w:rPr/>
        <w:t>for</w:t>
      </w:r>
      <w:r>
        <w:rPr>
          <w:spacing w:val="-6"/>
        </w:rPr>
        <w:t> </w:t>
      </w:r>
      <w:r>
        <w:rPr/>
        <w:t>college</w:t>
      </w:r>
      <w:r>
        <w:rPr>
          <w:spacing w:val="-7"/>
        </w:rPr>
        <w:t> </w:t>
      </w:r>
      <w:r>
        <w:rPr/>
        <w:t>staff</w:t>
      </w:r>
      <w:r>
        <w:rPr>
          <w:spacing w:val="-6"/>
        </w:rPr>
        <w:t> </w:t>
      </w:r>
      <w:r>
        <w:rPr/>
        <w:t>and</w:t>
      </w:r>
      <w:r>
        <w:rPr>
          <w:spacing w:val="-7"/>
        </w:rPr>
        <w:t> </w:t>
      </w:r>
      <w:r>
        <w:rPr/>
        <w:t>faculty,</w:t>
      </w:r>
      <w:r>
        <w:rPr>
          <w:spacing w:val="-6"/>
        </w:rPr>
        <w:t> </w:t>
      </w:r>
      <w:r>
        <w:rPr/>
        <w:t>and</w:t>
      </w:r>
      <w:r>
        <w:rPr>
          <w:spacing w:val="-7"/>
        </w:rPr>
        <w:t> </w:t>
      </w:r>
      <w:r>
        <w:rPr/>
        <w:t>guide</w:t>
      </w:r>
      <w:r>
        <w:rPr>
          <w:spacing w:val="-5"/>
        </w:rPr>
        <w:t> </w:t>
      </w:r>
      <w:r>
        <w:rPr/>
        <w:t>colleges</w:t>
      </w:r>
      <w:r>
        <w:rPr>
          <w:spacing w:val="-6"/>
        </w:rPr>
        <w:t> </w:t>
      </w:r>
      <w:r>
        <w:rPr/>
        <w:t>on the development of a strategic plan to address these needs.</w:t>
      </w:r>
    </w:p>
    <w:p>
      <w:pPr>
        <w:numPr>
          <w:ilvl w:val="0"/>
          <w:numId w:val="34"/>
        </w:numPr>
        <w:tabs>
          <w:tab w:pos="481" w:val="left" w:leader="none"/>
        </w:tabs>
        <w:spacing w:before="238"/>
        <w:ind w:left="481" w:right="0" w:hanging="358"/>
        <w:jc w:val="left"/>
        <w:rPr>
          <w:b/>
          <w:sz w:val="22"/>
        </w:rPr>
      </w:pPr>
      <w:r>
        <w:rPr>
          <w:b/>
          <w:sz w:val="22"/>
        </w:rPr>
        <w:t>Explore</w:t>
      </w:r>
      <w:r>
        <w:rPr>
          <w:b/>
          <w:spacing w:val="-10"/>
          <w:sz w:val="22"/>
        </w:rPr>
        <w:t> </w:t>
      </w:r>
      <w:r>
        <w:rPr>
          <w:b/>
          <w:sz w:val="22"/>
        </w:rPr>
        <w:t>opportunities</w:t>
      </w:r>
      <w:r>
        <w:rPr>
          <w:b/>
          <w:spacing w:val="-10"/>
          <w:sz w:val="22"/>
        </w:rPr>
        <w:t> </w:t>
      </w:r>
      <w:r>
        <w:rPr>
          <w:b/>
          <w:sz w:val="22"/>
        </w:rPr>
        <w:t>to</w:t>
      </w:r>
      <w:r>
        <w:rPr>
          <w:b/>
          <w:spacing w:val="-10"/>
          <w:sz w:val="22"/>
        </w:rPr>
        <w:t> </w:t>
      </w:r>
      <w:r>
        <w:rPr>
          <w:b/>
          <w:sz w:val="22"/>
        </w:rPr>
        <w:t>increase</w:t>
      </w:r>
      <w:r>
        <w:rPr>
          <w:b/>
          <w:spacing w:val="-10"/>
          <w:sz w:val="22"/>
        </w:rPr>
        <w:t> </w:t>
      </w:r>
      <w:r>
        <w:rPr>
          <w:b/>
          <w:sz w:val="22"/>
        </w:rPr>
        <w:t>funding</w:t>
      </w:r>
      <w:r>
        <w:rPr>
          <w:b/>
          <w:spacing w:val="-11"/>
          <w:sz w:val="22"/>
        </w:rPr>
        <w:t> </w:t>
      </w:r>
      <w:r>
        <w:rPr>
          <w:b/>
          <w:sz w:val="22"/>
        </w:rPr>
        <w:t>and</w:t>
      </w:r>
      <w:r>
        <w:rPr>
          <w:b/>
          <w:spacing w:val="-9"/>
          <w:sz w:val="22"/>
        </w:rPr>
        <w:t> </w:t>
      </w:r>
      <w:r>
        <w:rPr>
          <w:b/>
          <w:sz w:val="22"/>
        </w:rPr>
        <w:t>LGBTQ-inclusive</w:t>
      </w:r>
      <w:r>
        <w:rPr>
          <w:b/>
          <w:spacing w:val="-11"/>
          <w:sz w:val="22"/>
        </w:rPr>
        <w:t> </w:t>
      </w:r>
      <w:r>
        <w:rPr>
          <w:b/>
          <w:sz w:val="22"/>
        </w:rPr>
        <w:t>resources</w:t>
      </w:r>
      <w:r>
        <w:rPr>
          <w:b/>
          <w:spacing w:val="-10"/>
          <w:sz w:val="22"/>
        </w:rPr>
        <w:t> </w:t>
      </w:r>
      <w:r>
        <w:rPr>
          <w:b/>
          <w:sz w:val="22"/>
        </w:rPr>
        <w:t>on</w:t>
      </w:r>
      <w:r>
        <w:rPr>
          <w:b/>
          <w:spacing w:val="-10"/>
          <w:sz w:val="22"/>
        </w:rPr>
        <w:t> </w:t>
      </w:r>
      <w:r>
        <w:rPr>
          <w:b/>
          <w:sz w:val="22"/>
        </w:rPr>
        <w:t>public</w:t>
      </w:r>
      <w:r>
        <w:rPr>
          <w:b/>
          <w:spacing w:val="-10"/>
          <w:sz w:val="22"/>
        </w:rPr>
        <w:t> </w:t>
      </w:r>
      <w:r>
        <w:rPr>
          <w:b/>
          <w:spacing w:val="-2"/>
          <w:sz w:val="22"/>
        </w:rPr>
        <w:t>campuses.</w:t>
      </w:r>
    </w:p>
    <w:p>
      <w:pPr>
        <w:pStyle w:val="BodyText"/>
        <w:spacing w:before="13"/>
        <w:rPr>
          <w:b/>
        </w:rPr>
      </w:pPr>
    </w:p>
    <w:p>
      <w:pPr>
        <w:pStyle w:val="BodyText"/>
        <w:spacing w:line="276" w:lineRule="auto"/>
        <w:ind w:left="483" w:right="343"/>
        <w:jc w:val="both"/>
      </w:pPr>
      <w:r>
        <w:rPr/>
        <w:t>The Commission</w:t>
      </w:r>
      <w:r>
        <w:rPr>
          <w:spacing w:val="-2"/>
        </w:rPr>
        <w:t> </w:t>
      </w:r>
      <w:r>
        <w:rPr/>
        <w:t>recommends that</w:t>
      </w:r>
      <w:r>
        <w:rPr>
          <w:spacing w:val="-1"/>
        </w:rPr>
        <w:t> </w:t>
      </w:r>
      <w:r>
        <w:rPr/>
        <w:t>DHE partner</w:t>
      </w:r>
      <w:r>
        <w:rPr>
          <w:spacing w:val="-1"/>
        </w:rPr>
        <w:t> </w:t>
      </w:r>
      <w:r>
        <w:rPr/>
        <w:t>with</w:t>
      </w:r>
      <w:r>
        <w:rPr>
          <w:spacing w:val="-1"/>
        </w:rPr>
        <w:t> </w:t>
      </w:r>
      <w:r>
        <w:rPr/>
        <w:t>higher education</w:t>
      </w:r>
      <w:r>
        <w:rPr>
          <w:spacing w:val="-2"/>
        </w:rPr>
        <w:t> </w:t>
      </w:r>
      <w:r>
        <w:rPr/>
        <w:t>institutions</w:t>
      </w:r>
      <w:r>
        <w:rPr>
          <w:spacing w:val="-1"/>
        </w:rPr>
        <w:t> </w:t>
      </w:r>
      <w:r>
        <w:rPr/>
        <w:t>across</w:t>
      </w:r>
      <w:r>
        <w:rPr>
          <w:spacing w:val="-1"/>
        </w:rPr>
        <w:t> </w:t>
      </w:r>
      <w:r>
        <w:rPr/>
        <w:t>Massachusetts to</w:t>
      </w:r>
      <w:r>
        <w:rPr>
          <w:spacing w:val="-5"/>
        </w:rPr>
        <w:t> </w:t>
      </w:r>
      <w:r>
        <w:rPr/>
        <w:t>understand</w:t>
      </w:r>
      <w:r>
        <w:rPr>
          <w:spacing w:val="-5"/>
        </w:rPr>
        <w:t> </w:t>
      </w:r>
      <w:r>
        <w:rPr/>
        <w:t>the</w:t>
      </w:r>
      <w:r>
        <w:rPr>
          <w:spacing w:val="-5"/>
        </w:rPr>
        <w:t> </w:t>
      </w:r>
      <w:r>
        <w:rPr/>
        <w:t>specific</w:t>
      </w:r>
      <w:r>
        <w:rPr>
          <w:spacing w:val="-4"/>
        </w:rPr>
        <w:t> </w:t>
      </w:r>
      <w:r>
        <w:rPr/>
        <w:t>needs</w:t>
      </w:r>
      <w:r>
        <w:rPr>
          <w:spacing w:val="-5"/>
        </w:rPr>
        <w:t> </w:t>
      </w:r>
      <w:r>
        <w:rPr/>
        <w:t>of</w:t>
      </w:r>
      <w:r>
        <w:rPr>
          <w:spacing w:val="-5"/>
        </w:rPr>
        <w:t> </w:t>
      </w:r>
      <w:r>
        <w:rPr/>
        <w:t>LGBTQ</w:t>
      </w:r>
      <w:r>
        <w:rPr>
          <w:spacing w:val="-5"/>
        </w:rPr>
        <w:t> </w:t>
      </w:r>
      <w:r>
        <w:rPr/>
        <w:t>youth</w:t>
      </w:r>
      <w:r>
        <w:rPr>
          <w:spacing w:val="-4"/>
        </w:rPr>
        <w:t> </w:t>
      </w:r>
      <w:r>
        <w:rPr/>
        <w:t>and</w:t>
      </w:r>
      <w:r>
        <w:rPr>
          <w:spacing w:val="-4"/>
        </w:rPr>
        <w:t> </w:t>
      </w:r>
      <w:r>
        <w:rPr/>
        <w:t>provide</w:t>
      </w:r>
      <w:r>
        <w:rPr>
          <w:spacing w:val="-5"/>
        </w:rPr>
        <w:t> </w:t>
      </w:r>
      <w:r>
        <w:rPr/>
        <w:t>guidance</w:t>
      </w:r>
      <w:r>
        <w:rPr>
          <w:spacing w:val="-5"/>
        </w:rPr>
        <w:t> </w:t>
      </w:r>
      <w:r>
        <w:rPr/>
        <w:t>on</w:t>
      </w:r>
      <w:r>
        <w:rPr>
          <w:spacing w:val="-5"/>
        </w:rPr>
        <w:t> </w:t>
      </w:r>
      <w:r>
        <w:rPr/>
        <w:t>the</w:t>
      </w:r>
      <w:r>
        <w:rPr>
          <w:spacing w:val="-5"/>
        </w:rPr>
        <w:t> </w:t>
      </w:r>
      <w:r>
        <w:rPr/>
        <w:t>development</w:t>
      </w:r>
      <w:r>
        <w:rPr>
          <w:spacing w:val="-4"/>
        </w:rPr>
        <w:t> </w:t>
      </w:r>
      <w:r>
        <w:rPr/>
        <w:t>of</w:t>
      </w:r>
      <w:r>
        <w:rPr>
          <w:spacing w:val="-5"/>
        </w:rPr>
        <w:t> </w:t>
      </w:r>
      <w:r>
        <w:rPr/>
        <w:t>resources in</w:t>
      </w:r>
      <w:r>
        <w:rPr>
          <w:spacing w:val="36"/>
        </w:rPr>
        <w:t> </w:t>
      </w:r>
      <w:r>
        <w:rPr/>
        <w:t>partnership</w:t>
      </w:r>
      <w:r>
        <w:rPr>
          <w:spacing w:val="36"/>
        </w:rPr>
        <w:t> </w:t>
      </w:r>
      <w:r>
        <w:rPr/>
        <w:t>with</w:t>
      </w:r>
      <w:r>
        <w:rPr>
          <w:spacing w:val="37"/>
        </w:rPr>
        <w:t> </w:t>
      </w:r>
      <w:r>
        <w:rPr/>
        <w:t>colleges</w:t>
      </w:r>
      <w:r>
        <w:rPr>
          <w:spacing w:val="36"/>
        </w:rPr>
        <w:t> </w:t>
      </w:r>
      <w:r>
        <w:rPr/>
        <w:t>and</w:t>
      </w:r>
      <w:r>
        <w:rPr>
          <w:spacing w:val="37"/>
        </w:rPr>
        <w:t> </w:t>
      </w:r>
      <w:r>
        <w:rPr/>
        <w:t>youth.</w:t>
      </w:r>
      <w:r>
        <w:rPr>
          <w:spacing w:val="37"/>
        </w:rPr>
        <w:t> </w:t>
      </w:r>
      <w:r>
        <w:rPr/>
        <w:t>Furthermore,</w:t>
      </w:r>
      <w:r>
        <w:rPr>
          <w:spacing w:val="36"/>
        </w:rPr>
        <w:t> </w:t>
      </w:r>
      <w:r>
        <w:rPr/>
        <w:t>the</w:t>
      </w:r>
      <w:r>
        <w:rPr>
          <w:spacing w:val="37"/>
        </w:rPr>
        <w:t> </w:t>
      </w:r>
      <w:r>
        <w:rPr/>
        <w:t>Commission</w:t>
      </w:r>
      <w:r>
        <w:rPr>
          <w:spacing w:val="36"/>
        </w:rPr>
        <w:t> </w:t>
      </w:r>
      <w:r>
        <w:rPr/>
        <w:t>highlights</w:t>
      </w:r>
      <w:r>
        <w:rPr>
          <w:spacing w:val="38"/>
        </w:rPr>
        <w:t> </w:t>
      </w:r>
      <w:r>
        <w:rPr/>
        <w:t>the</w:t>
      </w:r>
      <w:r>
        <w:rPr>
          <w:spacing w:val="37"/>
        </w:rPr>
        <w:t> </w:t>
      </w:r>
      <w:r>
        <w:rPr/>
        <w:t>need</w:t>
      </w:r>
      <w:r>
        <w:rPr>
          <w:spacing w:val="37"/>
        </w:rPr>
        <w:t> </w:t>
      </w:r>
      <w:r>
        <w:rPr/>
        <w:t>to</w:t>
      </w:r>
      <w:r>
        <w:rPr>
          <w:spacing w:val="36"/>
        </w:rPr>
        <w:t> </w:t>
      </w:r>
      <w:r>
        <w:rPr/>
        <w:t>better</w:t>
      </w:r>
    </w:p>
    <w:p>
      <w:pPr>
        <w:spacing w:after="0" w:line="276" w:lineRule="auto"/>
        <w:jc w:val="both"/>
        <w:sectPr>
          <w:pgSz w:w="12240" w:h="15840"/>
          <w:pgMar w:header="804" w:footer="1196" w:top="1000" w:bottom="1460" w:left="960" w:right="1100"/>
        </w:sectPr>
      </w:pPr>
    </w:p>
    <w:p>
      <w:pPr>
        <w:pStyle w:val="BodyText"/>
        <w:spacing w:line="276" w:lineRule="auto" w:before="139"/>
        <w:ind w:left="483" w:right="314"/>
      </w:pPr>
      <w:r>
        <w:rPr/>
        <w:t>understand</w:t>
      </w:r>
      <w:r>
        <w:rPr>
          <w:spacing w:val="-8"/>
        </w:rPr>
        <w:t> </w:t>
      </w:r>
      <w:r>
        <w:rPr/>
        <w:t>the</w:t>
      </w:r>
      <w:r>
        <w:rPr>
          <w:spacing w:val="-8"/>
        </w:rPr>
        <w:t> </w:t>
      </w:r>
      <w:r>
        <w:rPr/>
        <w:t>distribution</w:t>
      </w:r>
      <w:r>
        <w:rPr>
          <w:spacing w:val="-8"/>
        </w:rPr>
        <w:t> </w:t>
      </w:r>
      <w:r>
        <w:rPr/>
        <w:t>of</w:t>
      </w:r>
      <w:r>
        <w:rPr>
          <w:spacing w:val="-7"/>
        </w:rPr>
        <w:t> </w:t>
      </w:r>
      <w:r>
        <w:rPr/>
        <w:t>financial</w:t>
      </w:r>
      <w:r>
        <w:rPr>
          <w:spacing w:val="-6"/>
        </w:rPr>
        <w:t> </w:t>
      </w:r>
      <w:r>
        <w:rPr/>
        <w:t>assistance</w:t>
      </w:r>
      <w:r>
        <w:rPr>
          <w:spacing w:val="-8"/>
        </w:rPr>
        <w:t> </w:t>
      </w:r>
      <w:r>
        <w:rPr/>
        <w:t>to</w:t>
      </w:r>
      <w:r>
        <w:rPr>
          <w:spacing w:val="-6"/>
        </w:rPr>
        <w:t> </w:t>
      </w:r>
      <w:r>
        <w:rPr/>
        <w:t>underrepresented</w:t>
      </w:r>
      <w:r>
        <w:rPr>
          <w:spacing w:val="-7"/>
        </w:rPr>
        <w:t> </w:t>
      </w:r>
      <w:r>
        <w:rPr/>
        <w:t>groups,</w:t>
      </w:r>
      <w:r>
        <w:rPr>
          <w:spacing w:val="-6"/>
        </w:rPr>
        <w:t> </w:t>
      </w:r>
      <w:r>
        <w:rPr/>
        <w:t>utilizing</w:t>
      </w:r>
      <w:r>
        <w:rPr>
          <w:spacing w:val="-7"/>
        </w:rPr>
        <w:t> </w:t>
      </w:r>
      <w:r>
        <w:rPr/>
        <w:t>this</w:t>
      </w:r>
      <w:r>
        <w:rPr>
          <w:spacing w:val="-6"/>
        </w:rPr>
        <w:t> </w:t>
      </w:r>
      <w:r>
        <w:rPr/>
        <w:t>data</w:t>
      </w:r>
      <w:r>
        <w:rPr>
          <w:spacing w:val="-7"/>
        </w:rPr>
        <w:t> </w:t>
      </w:r>
      <w:r>
        <w:rPr/>
        <w:t>to</w:t>
      </w:r>
      <w:r>
        <w:rPr>
          <w:spacing w:val="-7"/>
        </w:rPr>
        <w:t> </w:t>
      </w:r>
      <w:r>
        <w:rPr/>
        <w:t>offer more support for resources and increased funding.</w:t>
      </w:r>
    </w:p>
    <w:p>
      <w:pPr>
        <w:pStyle w:val="BodyText"/>
      </w:pPr>
    </w:p>
    <w:p>
      <w:pPr>
        <w:pStyle w:val="BodyText"/>
        <w:spacing w:before="116"/>
      </w:pPr>
    </w:p>
    <w:p>
      <w:pPr>
        <w:spacing w:before="1"/>
        <w:ind w:left="480" w:right="0" w:firstLine="0"/>
        <w:jc w:val="left"/>
        <w:rPr>
          <w:b/>
          <w:sz w:val="21"/>
        </w:rPr>
      </w:pPr>
      <w:r>
        <w:rPr>
          <w:b/>
          <w:spacing w:val="-2"/>
          <w:sz w:val="21"/>
        </w:rPr>
        <w:t>Citations</w:t>
      </w:r>
    </w:p>
    <w:p>
      <w:pPr>
        <w:spacing w:before="158"/>
        <w:ind w:left="480" w:right="528" w:hanging="1"/>
        <w:jc w:val="left"/>
        <w:rPr>
          <w:sz w:val="18"/>
        </w:rPr>
      </w:pPr>
      <w:r>
        <w:rPr>
          <w:sz w:val="18"/>
          <w:vertAlign w:val="superscript"/>
        </w:rPr>
        <w:t>1</w:t>
      </w:r>
      <w:r>
        <w:rPr>
          <w:spacing w:val="-13"/>
          <w:sz w:val="18"/>
          <w:vertAlign w:val="baseline"/>
        </w:rPr>
        <w:t> </w:t>
      </w:r>
      <w:r>
        <w:rPr>
          <w:sz w:val="18"/>
          <w:vertAlign w:val="baseline"/>
        </w:rPr>
        <w:t>Rankin,</w:t>
      </w:r>
      <w:r>
        <w:rPr>
          <w:spacing w:val="-3"/>
          <w:sz w:val="18"/>
          <w:vertAlign w:val="baseline"/>
        </w:rPr>
        <w:t> </w:t>
      </w:r>
      <w:r>
        <w:rPr>
          <w:sz w:val="18"/>
          <w:vertAlign w:val="baseline"/>
        </w:rPr>
        <w:t>S.,</w:t>
      </w:r>
      <w:r>
        <w:rPr>
          <w:spacing w:val="-3"/>
          <w:sz w:val="18"/>
          <w:vertAlign w:val="baseline"/>
        </w:rPr>
        <w:t> </w:t>
      </w:r>
      <w:r>
        <w:rPr>
          <w:sz w:val="18"/>
          <w:vertAlign w:val="baseline"/>
        </w:rPr>
        <w:t>Weber,</w:t>
      </w:r>
      <w:r>
        <w:rPr>
          <w:spacing w:val="-3"/>
          <w:sz w:val="18"/>
          <w:vertAlign w:val="baseline"/>
        </w:rPr>
        <w:t> </w:t>
      </w:r>
      <w:r>
        <w:rPr>
          <w:sz w:val="18"/>
          <w:vertAlign w:val="baseline"/>
        </w:rPr>
        <w:t>G.,</w:t>
      </w:r>
      <w:r>
        <w:rPr>
          <w:spacing w:val="-3"/>
          <w:sz w:val="18"/>
          <w:vertAlign w:val="baseline"/>
        </w:rPr>
        <w:t> </w:t>
      </w:r>
      <w:r>
        <w:rPr>
          <w:sz w:val="18"/>
          <w:vertAlign w:val="baseline"/>
        </w:rPr>
        <w:t>Blumenfeld,</w:t>
      </w:r>
      <w:r>
        <w:rPr>
          <w:spacing w:val="-3"/>
          <w:sz w:val="18"/>
          <w:vertAlign w:val="baseline"/>
        </w:rPr>
        <w:t> </w:t>
      </w:r>
      <w:r>
        <w:rPr>
          <w:sz w:val="18"/>
          <w:vertAlign w:val="baseline"/>
        </w:rPr>
        <w:t>W.,</w:t>
      </w:r>
      <w:r>
        <w:rPr>
          <w:spacing w:val="-2"/>
          <w:sz w:val="18"/>
          <w:vertAlign w:val="baseline"/>
        </w:rPr>
        <w:t> </w:t>
      </w:r>
      <w:r>
        <w:rPr>
          <w:sz w:val="18"/>
          <w:vertAlign w:val="baseline"/>
        </w:rPr>
        <w:t>&amp;</w:t>
      </w:r>
      <w:r>
        <w:rPr>
          <w:spacing w:val="-3"/>
          <w:sz w:val="18"/>
          <w:vertAlign w:val="baseline"/>
        </w:rPr>
        <w:t> </w:t>
      </w:r>
      <w:r>
        <w:rPr>
          <w:sz w:val="18"/>
          <w:vertAlign w:val="baseline"/>
        </w:rPr>
        <w:t>Frazer,</w:t>
      </w:r>
      <w:r>
        <w:rPr>
          <w:spacing w:val="-2"/>
          <w:sz w:val="18"/>
          <w:vertAlign w:val="baseline"/>
        </w:rPr>
        <w:t> </w:t>
      </w:r>
      <w:r>
        <w:rPr>
          <w:sz w:val="18"/>
          <w:vertAlign w:val="baseline"/>
        </w:rPr>
        <w:t>S.</w:t>
      </w:r>
      <w:r>
        <w:rPr>
          <w:spacing w:val="-2"/>
          <w:sz w:val="18"/>
          <w:vertAlign w:val="baseline"/>
        </w:rPr>
        <w:t> </w:t>
      </w:r>
      <w:r>
        <w:rPr>
          <w:sz w:val="18"/>
          <w:vertAlign w:val="baseline"/>
        </w:rPr>
        <w:t>(2010).</w:t>
      </w:r>
      <w:r>
        <w:rPr>
          <w:spacing w:val="-2"/>
          <w:sz w:val="18"/>
          <w:vertAlign w:val="baseline"/>
        </w:rPr>
        <w:t> </w:t>
      </w:r>
      <w:r>
        <w:rPr>
          <w:sz w:val="18"/>
          <w:vertAlign w:val="baseline"/>
        </w:rPr>
        <w:t>2010</w:t>
      </w:r>
      <w:r>
        <w:rPr>
          <w:spacing w:val="-4"/>
          <w:sz w:val="18"/>
          <w:vertAlign w:val="baseline"/>
        </w:rPr>
        <w:t> </w:t>
      </w:r>
      <w:r>
        <w:rPr>
          <w:sz w:val="18"/>
          <w:vertAlign w:val="baseline"/>
        </w:rPr>
        <w:t>state</w:t>
      </w:r>
      <w:r>
        <w:rPr>
          <w:spacing w:val="-2"/>
          <w:sz w:val="18"/>
          <w:vertAlign w:val="baseline"/>
        </w:rPr>
        <w:t> </w:t>
      </w:r>
      <w:r>
        <w:rPr>
          <w:sz w:val="18"/>
          <w:vertAlign w:val="baseline"/>
        </w:rPr>
        <w:t>of</w:t>
      </w:r>
      <w:r>
        <w:rPr>
          <w:spacing w:val="-2"/>
          <w:sz w:val="18"/>
          <w:vertAlign w:val="baseline"/>
        </w:rPr>
        <w:t> </w:t>
      </w:r>
      <w:r>
        <w:rPr>
          <w:sz w:val="18"/>
          <w:vertAlign w:val="baseline"/>
        </w:rPr>
        <w:t>higher</w:t>
      </w:r>
      <w:r>
        <w:rPr>
          <w:spacing w:val="-3"/>
          <w:sz w:val="18"/>
          <w:vertAlign w:val="baseline"/>
        </w:rPr>
        <w:t> </w:t>
      </w:r>
      <w:r>
        <w:rPr>
          <w:sz w:val="18"/>
          <w:vertAlign w:val="baseline"/>
        </w:rPr>
        <w:t>education</w:t>
      </w:r>
      <w:r>
        <w:rPr>
          <w:spacing w:val="-2"/>
          <w:sz w:val="18"/>
          <w:vertAlign w:val="baseline"/>
        </w:rPr>
        <w:t> </w:t>
      </w:r>
      <w:r>
        <w:rPr>
          <w:sz w:val="18"/>
          <w:vertAlign w:val="baseline"/>
        </w:rPr>
        <w:t>for</w:t>
      </w:r>
      <w:r>
        <w:rPr>
          <w:spacing w:val="-3"/>
          <w:sz w:val="18"/>
          <w:vertAlign w:val="baseline"/>
        </w:rPr>
        <w:t> </w:t>
      </w:r>
      <w:r>
        <w:rPr>
          <w:sz w:val="18"/>
          <w:vertAlign w:val="baseline"/>
        </w:rPr>
        <w:t>lesbian,</w:t>
      </w:r>
      <w:r>
        <w:rPr>
          <w:spacing w:val="-3"/>
          <w:sz w:val="18"/>
          <w:vertAlign w:val="baseline"/>
        </w:rPr>
        <w:t> </w:t>
      </w:r>
      <w:r>
        <w:rPr>
          <w:sz w:val="18"/>
          <w:vertAlign w:val="baseline"/>
        </w:rPr>
        <w:t>gay,</w:t>
      </w:r>
      <w:r>
        <w:rPr>
          <w:spacing w:val="-3"/>
          <w:sz w:val="18"/>
          <w:vertAlign w:val="baseline"/>
        </w:rPr>
        <w:t> </w:t>
      </w:r>
      <w:r>
        <w:rPr>
          <w:sz w:val="18"/>
          <w:vertAlign w:val="baseline"/>
        </w:rPr>
        <w:t>bisexual,</w:t>
      </w:r>
      <w:r>
        <w:rPr>
          <w:spacing w:val="-3"/>
          <w:sz w:val="18"/>
          <w:vertAlign w:val="baseline"/>
        </w:rPr>
        <w:t> </w:t>
      </w:r>
      <w:r>
        <w:rPr>
          <w:sz w:val="18"/>
          <w:vertAlign w:val="baseline"/>
        </w:rPr>
        <w:t>and transgender people. Campus Pride. Retrieved from </w:t>
      </w:r>
      <w:hyperlink r:id="rId714">
        <w:r>
          <w:rPr>
            <w:sz w:val="18"/>
            <w:vertAlign w:val="baseline"/>
          </w:rPr>
          <w:t>http://www.campuspride.org/</w:t>
        </w:r>
      </w:hyperlink>
      <w:r>
        <w:rPr>
          <w:sz w:val="18"/>
          <w:vertAlign w:val="baseline"/>
        </w:rPr>
        <w:t> </w:t>
      </w:r>
      <w:r>
        <w:rPr>
          <w:spacing w:val="-2"/>
          <w:sz w:val="18"/>
          <w:vertAlign w:val="baseline"/>
        </w:rPr>
        <w:t>Campus%20Pride%202010%20LGBT%20Report%20Summary.pdf</w:t>
      </w:r>
    </w:p>
    <w:p>
      <w:pPr>
        <w:spacing w:before="0"/>
        <w:ind w:left="480" w:right="1156" w:hanging="1"/>
        <w:jc w:val="left"/>
        <w:rPr>
          <w:sz w:val="18"/>
        </w:rPr>
      </w:pPr>
      <w:r>
        <w:rPr>
          <w:sz w:val="18"/>
          <w:vertAlign w:val="superscript"/>
        </w:rPr>
        <w:t>2</w:t>
      </w:r>
      <w:r>
        <w:rPr>
          <w:spacing w:val="-10"/>
          <w:sz w:val="18"/>
          <w:vertAlign w:val="baseline"/>
        </w:rPr>
        <w:t> </w:t>
      </w:r>
      <w:r>
        <w:rPr>
          <w:sz w:val="18"/>
          <w:vertAlign w:val="baseline"/>
        </w:rPr>
        <w:t>Lust, K. (2011). College Student Health Survey Report 2007–2011: Health and Health-Related Behaviors Minnesota Postsecondary</w:t>
      </w:r>
      <w:r>
        <w:rPr>
          <w:spacing w:val="-3"/>
          <w:sz w:val="18"/>
          <w:vertAlign w:val="baseline"/>
        </w:rPr>
        <w:t> </w:t>
      </w:r>
      <w:r>
        <w:rPr>
          <w:sz w:val="18"/>
          <w:vertAlign w:val="baseline"/>
        </w:rPr>
        <w:t>Lesbian,</w:t>
      </w:r>
      <w:r>
        <w:rPr>
          <w:spacing w:val="-4"/>
          <w:sz w:val="18"/>
          <w:vertAlign w:val="baseline"/>
        </w:rPr>
        <w:t> </w:t>
      </w:r>
      <w:r>
        <w:rPr>
          <w:sz w:val="18"/>
          <w:vertAlign w:val="baseline"/>
        </w:rPr>
        <w:t>Gay,</w:t>
      </w:r>
      <w:r>
        <w:rPr>
          <w:spacing w:val="-4"/>
          <w:sz w:val="18"/>
          <w:vertAlign w:val="baseline"/>
        </w:rPr>
        <w:t> </w:t>
      </w:r>
      <w:r>
        <w:rPr>
          <w:sz w:val="18"/>
          <w:vertAlign w:val="baseline"/>
        </w:rPr>
        <w:t>and</w:t>
      </w:r>
      <w:r>
        <w:rPr>
          <w:spacing w:val="-4"/>
          <w:sz w:val="18"/>
          <w:vertAlign w:val="baseline"/>
        </w:rPr>
        <w:t> </w:t>
      </w:r>
      <w:r>
        <w:rPr>
          <w:sz w:val="18"/>
          <w:vertAlign w:val="baseline"/>
        </w:rPr>
        <w:t>Bisexual</w:t>
      </w:r>
      <w:r>
        <w:rPr>
          <w:spacing w:val="-4"/>
          <w:sz w:val="18"/>
          <w:vertAlign w:val="baseline"/>
        </w:rPr>
        <w:t> </w:t>
      </w:r>
      <w:r>
        <w:rPr>
          <w:sz w:val="18"/>
          <w:vertAlign w:val="baseline"/>
        </w:rPr>
        <w:t>Students.</w:t>
      </w:r>
      <w:r>
        <w:rPr>
          <w:spacing w:val="-3"/>
          <w:sz w:val="18"/>
          <w:vertAlign w:val="baseline"/>
        </w:rPr>
        <w:t> </w:t>
      </w:r>
      <w:r>
        <w:rPr>
          <w:sz w:val="18"/>
          <w:vertAlign w:val="baseline"/>
        </w:rPr>
        <w:t>Boynton</w:t>
      </w:r>
      <w:r>
        <w:rPr>
          <w:spacing w:val="-3"/>
          <w:sz w:val="18"/>
          <w:vertAlign w:val="baseline"/>
        </w:rPr>
        <w:t> </w:t>
      </w:r>
      <w:r>
        <w:rPr>
          <w:sz w:val="18"/>
          <w:vertAlign w:val="baseline"/>
        </w:rPr>
        <w:t>Health</w:t>
      </w:r>
      <w:r>
        <w:rPr>
          <w:spacing w:val="-3"/>
          <w:sz w:val="18"/>
          <w:vertAlign w:val="baseline"/>
        </w:rPr>
        <w:t> </w:t>
      </w:r>
      <w:r>
        <w:rPr>
          <w:sz w:val="18"/>
          <w:vertAlign w:val="baseline"/>
        </w:rPr>
        <w:t>Service,</w:t>
      </w:r>
      <w:r>
        <w:rPr>
          <w:spacing w:val="-4"/>
          <w:sz w:val="18"/>
          <w:vertAlign w:val="baseline"/>
        </w:rPr>
        <w:t> </w:t>
      </w:r>
      <w:r>
        <w:rPr>
          <w:sz w:val="18"/>
          <w:vertAlign w:val="baseline"/>
        </w:rPr>
        <w:t>University</w:t>
      </w:r>
      <w:r>
        <w:rPr>
          <w:spacing w:val="-3"/>
          <w:sz w:val="18"/>
          <w:vertAlign w:val="baseline"/>
        </w:rPr>
        <w:t> </w:t>
      </w:r>
      <w:r>
        <w:rPr>
          <w:sz w:val="18"/>
          <w:vertAlign w:val="baseline"/>
        </w:rPr>
        <w:t>of</w:t>
      </w:r>
      <w:r>
        <w:rPr>
          <w:spacing w:val="-3"/>
          <w:sz w:val="18"/>
          <w:vertAlign w:val="baseline"/>
        </w:rPr>
        <w:t> </w:t>
      </w:r>
      <w:r>
        <w:rPr>
          <w:sz w:val="18"/>
          <w:vertAlign w:val="baseline"/>
        </w:rPr>
        <w:t>Minnesota.</w:t>
      </w:r>
      <w:r>
        <w:rPr>
          <w:spacing w:val="-3"/>
          <w:sz w:val="18"/>
          <w:vertAlign w:val="baseline"/>
        </w:rPr>
        <w:t> </w:t>
      </w:r>
      <w:r>
        <w:rPr>
          <w:sz w:val="18"/>
          <w:vertAlign w:val="baseline"/>
        </w:rPr>
        <w:t>Retrieved</w:t>
      </w:r>
      <w:r>
        <w:rPr>
          <w:spacing w:val="-3"/>
          <w:sz w:val="18"/>
          <w:vertAlign w:val="baseline"/>
        </w:rPr>
        <w:t> </w:t>
      </w:r>
      <w:r>
        <w:rPr>
          <w:sz w:val="18"/>
          <w:vertAlign w:val="baseline"/>
        </w:rPr>
        <w:t>from </w:t>
      </w:r>
      <w:hyperlink r:id="rId715">
        <w:r>
          <w:rPr>
            <w:spacing w:val="-2"/>
            <w:sz w:val="18"/>
            <w:vertAlign w:val="baseline"/>
          </w:rPr>
          <w:t>http://www.bhs.umn.edu/surveys/survey-results/2007-2011_LGB_CSHSReport.pdf</w:t>
        </w:r>
      </w:hyperlink>
    </w:p>
    <w:p>
      <w:pPr>
        <w:spacing w:line="219" w:lineRule="exact" w:before="0"/>
        <w:ind w:left="480" w:right="0" w:firstLine="0"/>
        <w:jc w:val="left"/>
        <w:rPr>
          <w:sz w:val="18"/>
        </w:rPr>
      </w:pPr>
      <w:r>
        <w:rPr>
          <w:sz w:val="18"/>
          <w:vertAlign w:val="superscript"/>
        </w:rPr>
        <w:t>3</w:t>
      </w:r>
      <w:r>
        <w:rPr>
          <w:spacing w:val="-15"/>
          <w:sz w:val="18"/>
          <w:vertAlign w:val="baseline"/>
        </w:rPr>
        <w:t> </w:t>
      </w:r>
      <w:r>
        <w:rPr>
          <w:sz w:val="18"/>
          <w:vertAlign w:val="baseline"/>
        </w:rPr>
        <w:t>Lust,</w:t>
      </w:r>
      <w:r>
        <w:rPr>
          <w:spacing w:val="-3"/>
          <w:sz w:val="18"/>
          <w:vertAlign w:val="baseline"/>
        </w:rPr>
        <w:t> </w:t>
      </w:r>
      <w:r>
        <w:rPr>
          <w:spacing w:val="-7"/>
          <w:sz w:val="18"/>
          <w:vertAlign w:val="baseline"/>
        </w:rPr>
        <w:t>K.</w:t>
      </w:r>
    </w:p>
    <w:p>
      <w:pPr>
        <w:spacing w:before="0"/>
        <w:ind w:left="480" w:right="314" w:hanging="1"/>
        <w:jc w:val="left"/>
        <w:rPr>
          <w:sz w:val="18"/>
        </w:rPr>
      </w:pPr>
      <w:r>
        <w:rPr>
          <w:sz w:val="18"/>
          <w:vertAlign w:val="superscript"/>
        </w:rPr>
        <w:t>4</w:t>
      </w:r>
      <w:r>
        <w:rPr>
          <w:spacing w:val="-13"/>
          <w:sz w:val="18"/>
          <w:vertAlign w:val="baseline"/>
        </w:rPr>
        <w:t> </w:t>
      </w:r>
      <w:r>
        <w:rPr>
          <w:color w:val="303030"/>
          <w:sz w:val="18"/>
          <w:vertAlign w:val="baseline"/>
        </w:rPr>
        <w:t>Heck,</w:t>
      </w:r>
      <w:r>
        <w:rPr>
          <w:color w:val="303030"/>
          <w:spacing w:val="-4"/>
          <w:sz w:val="18"/>
          <w:vertAlign w:val="baseline"/>
        </w:rPr>
        <w:t> </w:t>
      </w:r>
      <w:r>
        <w:rPr>
          <w:color w:val="303030"/>
          <w:sz w:val="18"/>
          <w:vertAlign w:val="baseline"/>
        </w:rPr>
        <w:t>N.</w:t>
      </w:r>
      <w:r>
        <w:rPr>
          <w:color w:val="303030"/>
          <w:spacing w:val="-2"/>
          <w:sz w:val="18"/>
          <w:vertAlign w:val="baseline"/>
        </w:rPr>
        <w:t> </w:t>
      </w:r>
      <w:r>
        <w:rPr>
          <w:color w:val="303030"/>
          <w:sz w:val="18"/>
          <w:vertAlign w:val="baseline"/>
        </w:rPr>
        <w:t>C.,</w:t>
      </w:r>
      <w:r>
        <w:rPr>
          <w:color w:val="303030"/>
          <w:spacing w:val="-3"/>
          <w:sz w:val="18"/>
          <w:vertAlign w:val="baseline"/>
        </w:rPr>
        <w:t> </w:t>
      </w:r>
      <w:r>
        <w:rPr>
          <w:color w:val="303030"/>
          <w:sz w:val="18"/>
          <w:vertAlign w:val="baseline"/>
        </w:rPr>
        <w:t>Poteat,</w:t>
      </w:r>
      <w:r>
        <w:rPr>
          <w:color w:val="303030"/>
          <w:spacing w:val="-3"/>
          <w:sz w:val="18"/>
          <w:vertAlign w:val="baseline"/>
        </w:rPr>
        <w:t> </w:t>
      </w:r>
      <w:r>
        <w:rPr>
          <w:color w:val="303030"/>
          <w:sz w:val="18"/>
          <w:vertAlign w:val="baseline"/>
        </w:rPr>
        <w:t>V.</w:t>
      </w:r>
      <w:r>
        <w:rPr>
          <w:color w:val="303030"/>
          <w:spacing w:val="-2"/>
          <w:sz w:val="18"/>
          <w:vertAlign w:val="baseline"/>
        </w:rPr>
        <w:t> </w:t>
      </w:r>
      <w:r>
        <w:rPr>
          <w:color w:val="303030"/>
          <w:sz w:val="18"/>
          <w:vertAlign w:val="baseline"/>
        </w:rPr>
        <w:t>P.,</w:t>
      </w:r>
      <w:r>
        <w:rPr>
          <w:color w:val="303030"/>
          <w:spacing w:val="-3"/>
          <w:sz w:val="18"/>
          <w:vertAlign w:val="baseline"/>
        </w:rPr>
        <w:t> </w:t>
      </w:r>
      <w:r>
        <w:rPr>
          <w:color w:val="303030"/>
          <w:sz w:val="18"/>
          <w:vertAlign w:val="baseline"/>
        </w:rPr>
        <w:t>&amp;</w:t>
      </w:r>
      <w:r>
        <w:rPr>
          <w:color w:val="303030"/>
          <w:spacing w:val="-3"/>
          <w:sz w:val="18"/>
          <w:vertAlign w:val="baseline"/>
        </w:rPr>
        <w:t> </w:t>
      </w:r>
      <w:r>
        <w:rPr>
          <w:color w:val="303030"/>
          <w:sz w:val="18"/>
          <w:vertAlign w:val="baseline"/>
        </w:rPr>
        <w:t>Goodenow,</w:t>
      </w:r>
      <w:r>
        <w:rPr>
          <w:color w:val="303030"/>
          <w:spacing w:val="-3"/>
          <w:sz w:val="18"/>
          <w:vertAlign w:val="baseline"/>
        </w:rPr>
        <w:t> </w:t>
      </w:r>
      <w:r>
        <w:rPr>
          <w:color w:val="303030"/>
          <w:sz w:val="18"/>
          <w:vertAlign w:val="baseline"/>
        </w:rPr>
        <w:t>C.</w:t>
      </w:r>
      <w:r>
        <w:rPr>
          <w:color w:val="303030"/>
          <w:spacing w:val="-2"/>
          <w:sz w:val="18"/>
          <w:vertAlign w:val="baseline"/>
        </w:rPr>
        <w:t> </w:t>
      </w:r>
      <w:r>
        <w:rPr>
          <w:color w:val="303030"/>
          <w:sz w:val="18"/>
          <w:vertAlign w:val="baseline"/>
        </w:rPr>
        <w:t>S.</w:t>
      </w:r>
      <w:r>
        <w:rPr>
          <w:color w:val="303030"/>
          <w:spacing w:val="-2"/>
          <w:sz w:val="18"/>
          <w:vertAlign w:val="baseline"/>
        </w:rPr>
        <w:t> </w:t>
      </w:r>
      <w:r>
        <w:rPr>
          <w:color w:val="303030"/>
          <w:sz w:val="18"/>
          <w:vertAlign w:val="baseline"/>
        </w:rPr>
        <w:t>(2016).</w:t>
      </w:r>
      <w:r>
        <w:rPr>
          <w:color w:val="303030"/>
          <w:spacing w:val="-2"/>
          <w:sz w:val="18"/>
          <w:vertAlign w:val="baseline"/>
        </w:rPr>
        <w:t> </w:t>
      </w:r>
      <w:r>
        <w:rPr>
          <w:color w:val="303030"/>
          <w:sz w:val="18"/>
          <w:vertAlign w:val="baseline"/>
        </w:rPr>
        <w:t>Advances</w:t>
      </w:r>
      <w:r>
        <w:rPr>
          <w:color w:val="303030"/>
          <w:spacing w:val="-2"/>
          <w:sz w:val="18"/>
          <w:vertAlign w:val="baseline"/>
        </w:rPr>
        <w:t> </w:t>
      </w:r>
      <w:r>
        <w:rPr>
          <w:color w:val="303030"/>
          <w:sz w:val="18"/>
          <w:vertAlign w:val="baseline"/>
        </w:rPr>
        <w:t>in</w:t>
      </w:r>
      <w:r>
        <w:rPr>
          <w:color w:val="303030"/>
          <w:spacing w:val="-3"/>
          <w:sz w:val="18"/>
          <w:vertAlign w:val="baseline"/>
        </w:rPr>
        <w:t> </w:t>
      </w:r>
      <w:r>
        <w:rPr>
          <w:color w:val="303030"/>
          <w:sz w:val="18"/>
          <w:vertAlign w:val="baseline"/>
        </w:rPr>
        <w:t>research</w:t>
      </w:r>
      <w:r>
        <w:rPr>
          <w:color w:val="303030"/>
          <w:spacing w:val="-2"/>
          <w:sz w:val="18"/>
          <w:vertAlign w:val="baseline"/>
        </w:rPr>
        <w:t> </w:t>
      </w:r>
      <w:r>
        <w:rPr>
          <w:color w:val="303030"/>
          <w:sz w:val="18"/>
          <w:vertAlign w:val="baseline"/>
        </w:rPr>
        <w:t>with</w:t>
      </w:r>
      <w:r>
        <w:rPr>
          <w:color w:val="303030"/>
          <w:spacing w:val="-2"/>
          <w:sz w:val="18"/>
          <w:vertAlign w:val="baseline"/>
        </w:rPr>
        <w:t> </w:t>
      </w:r>
      <w:r>
        <w:rPr>
          <w:color w:val="303030"/>
          <w:sz w:val="18"/>
          <w:vertAlign w:val="baseline"/>
        </w:rPr>
        <w:t>LGBTQ</w:t>
      </w:r>
      <w:r>
        <w:rPr>
          <w:color w:val="303030"/>
          <w:spacing w:val="-2"/>
          <w:sz w:val="18"/>
          <w:vertAlign w:val="baseline"/>
        </w:rPr>
        <w:t> </w:t>
      </w:r>
      <w:r>
        <w:rPr>
          <w:color w:val="303030"/>
          <w:sz w:val="18"/>
          <w:vertAlign w:val="baseline"/>
        </w:rPr>
        <w:t>youth</w:t>
      </w:r>
      <w:r>
        <w:rPr>
          <w:color w:val="303030"/>
          <w:spacing w:val="-2"/>
          <w:sz w:val="18"/>
          <w:vertAlign w:val="baseline"/>
        </w:rPr>
        <w:t> </w:t>
      </w:r>
      <w:r>
        <w:rPr>
          <w:color w:val="303030"/>
          <w:sz w:val="18"/>
          <w:vertAlign w:val="baseline"/>
        </w:rPr>
        <w:t>in</w:t>
      </w:r>
      <w:r>
        <w:rPr>
          <w:color w:val="303030"/>
          <w:spacing w:val="-2"/>
          <w:sz w:val="18"/>
          <w:vertAlign w:val="baseline"/>
        </w:rPr>
        <w:t> </w:t>
      </w:r>
      <w:r>
        <w:rPr>
          <w:color w:val="303030"/>
          <w:sz w:val="18"/>
          <w:vertAlign w:val="baseline"/>
        </w:rPr>
        <w:t>schools.</w:t>
      </w:r>
      <w:r>
        <w:rPr>
          <w:color w:val="303030"/>
          <w:spacing w:val="-2"/>
          <w:sz w:val="18"/>
          <w:vertAlign w:val="baseline"/>
        </w:rPr>
        <w:t> </w:t>
      </w:r>
      <w:r>
        <w:rPr>
          <w:i/>
          <w:color w:val="303030"/>
          <w:sz w:val="18"/>
          <w:vertAlign w:val="baseline"/>
        </w:rPr>
        <w:t>Psychology</w:t>
      </w:r>
      <w:r>
        <w:rPr>
          <w:i/>
          <w:color w:val="303030"/>
          <w:spacing w:val="-2"/>
          <w:sz w:val="18"/>
          <w:vertAlign w:val="baseline"/>
        </w:rPr>
        <w:t> </w:t>
      </w:r>
      <w:r>
        <w:rPr>
          <w:i/>
          <w:color w:val="303030"/>
          <w:sz w:val="18"/>
          <w:vertAlign w:val="baseline"/>
        </w:rPr>
        <w:t>of</w:t>
      </w:r>
      <w:r>
        <w:rPr>
          <w:i/>
          <w:color w:val="303030"/>
          <w:spacing w:val="-2"/>
          <w:sz w:val="18"/>
          <w:vertAlign w:val="baseline"/>
        </w:rPr>
        <w:t> </w:t>
      </w:r>
      <w:r>
        <w:rPr>
          <w:i/>
          <w:color w:val="303030"/>
          <w:sz w:val="18"/>
          <w:vertAlign w:val="baseline"/>
        </w:rPr>
        <w:t>Sexual</w:t>
      </w:r>
      <w:r>
        <w:rPr>
          <w:i/>
          <w:color w:val="303030"/>
          <w:sz w:val="18"/>
          <w:vertAlign w:val="baseline"/>
        </w:rPr>
        <w:t> Orientation and Gender Diversity, 3</w:t>
      </w:r>
      <w:r>
        <w:rPr>
          <w:color w:val="303030"/>
          <w:sz w:val="18"/>
          <w:vertAlign w:val="baseline"/>
        </w:rPr>
        <w:t>(4), 381–385. https://doi.org/10.1037/sgd0000206</w:t>
      </w:r>
    </w:p>
    <w:p>
      <w:pPr>
        <w:spacing w:before="1"/>
        <w:ind w:left="480" w:right="290" w:hanging="1"/>
        <w:jc w:val="left"/>
        <w:rPr>
          <w:sz w:val="18"/>
        </w:rPr>
      </w:pPr>
      <w:r>
        <w:rPr>
          <w:sz w:val="18"/>
          <w:vertAlign w:val="superscript"/>
        </w:rPr>
        <w:t>5</w:t>
      </w:r>
      <w:r>
        <w:rPr>
          <w:spacing w:val="-13"/>
          <w:sz w:val="18"/>
          <w:vertAlign w:val="baseline"/>
        </w:rPr>
        <w:t> </w:t>
      </w:r>
      <w:r>
        <w:rPr>
          <w:sz w:val="18"/>
          <w:vertAlign w:val="baseline"/>
        </w:rPr>
        <w:t>“Campus</w:t>
      </w:r>
      <w:r>
        <w:rPr>
          <w:spacing w:val="-4"/>
          <w:sz w:val="18"/>
          <w:vertAlign w:val="baseline"/>
        </w:rPr>
        <w:t> </w:t>
      </w:r>
      <w:r>
        <w:rPr>
          <w:sz w:val="18"/>
          <w:vertAlign w:val="baseline"/>
        </w:rPr>
        <w:t>Safety</w:t>
      </w:r>
      <w:r>
        <w:rPr>
          <w:spacing w:val="-2"/>
          <w:sz w:val="18"/>
          <w:vertAlign w:val="baseline"/>
        </w:rPr>
        <w:t> </w:t>
      </w:r>
      <w:r>
        <w:rPr>
          <w:sz w:val="18"/>
          <w:vertAlign w:val="baseline"/>
        </w:rPr>
        <w:t>&amp;</w:t>
      </w:r>
      <w:r>
        <w:rPr>
          <w:spacing w:val="-3"/>
          <w:sz w:val="18"/>
          <w:vertAlign w:val="baseline"/>
        </w:rPr>
        <w:t> </w:t>
      </w:r>
      <w:r>
        <w:rPr>
          <w:sz w:val="18"/>
          <w:vertAlign w:val="baseline"/>
        </w:rPr>
        <w:t>Violence</w:t>
      </w:r>
      <w:r>
        <w:rPr>
          <w:spacing w:val="-2"/>
          <w:sz w:val="18"/>
          <w:vertAlign w:val="baseline"/>
        </w:rPr>
        <w:t> </w:t>
      </w:r>
      <w:r>
        <w:rPr>
          <w:sz w:val="18"/>
          <w:vertAlign w:val="baseline"/>
        </w:rPr>
        <w:t>Prevention</w:t>
      </w:r>
      <w:r>
        <w:rPr>
          <w:spacing w:val="-2"/>
          <w:sz w:val="18"/>
          <w:vertAlign w:val="baseline"/>
        </w:rPr>
        <w:t> </w:t>
      </w:r>
      <w:r>
        <w:rPr>
          <w:sz w:val="18"/>
          <w:vertAlign w:val="baseline"/>
        </w:rPr>
        <w:t>/</w:t>
      </w:r>
      <w:r>
        <w:rPr>
          <w:spacing w:val="-2"/>
          <w:sz w:val="18"/>
          <w:vertAlign w:val="baseline"/>
        </w:rPr>
        <w:t> </w:t>
      </w:r>
      <w:r>
        <w:rPr>
          <w:sz w:val="18"/>
          <w:vertAlign w:val="baseline"/>
        </w:rPr>
        <w:t>Strategic</w:t>
      </w:r>
      <w:r>
        <w:rPr>
          <w:spacing w:val="-3"/>
          <w:sz w:val="18"/>
          <w:vertAlign w:val="baseline"/>
        </w:rPr>
        <w:t> </w:t>
      </w:r>
      <w:r>
        <w:rPr>
          <w:sz w:val="18"/>
          <w:vertAlign w:val="baseline"/>
        </w:rPr>
        <w:t>Initiatives</w:t>
      </w:r>
      <w:r>
        <w:rPr>
          <w:spacing w:val="-2"/>
          <w:sz w:val="18"/>
          <w:vertAlign w:val="baseline"/>
        </w:rPr>
        <w:t> </w:t>
      </w:r>
      <w:r>
        <w:rPr>
          <w:sz w:val="18"/>
          <w:vertAlign w:val="baseline"/>
        </w:rPr>
        <w:t>/</w:t>
      </w:r>
      <w:r>
        <w:rPr>
          <w:spacing w:val="-3"/>
          <w:sz w:val="18"/>
          <w:vertAlign w:val="baseline"/>
        </w:rPr>
        <w:t> </w:t>
      </w:r>
      <w:r>
        <w:rPr>
          <w:sz w:val="18"/>
          <w:vertAlign w:val="baseline"/>
        </w:rPr>
        <w:t>Massachusetts</w:t>
      </w:r>
      <w:r>
        <w:rPr>
          <w:spacing w:val="-3"/>
          <w:sz w:val="18"/>
          <w:vertAlign w:val="baseline"/>
        </w:rPr>
        <w:t> </w:t>
      </w:r>
      <w:r>
        <w:rPr>
          <w:sz w:val="18"/>
          <w:vertAlign w:val="baseline"/>
        </w:rPr>
        <w:t>Department</w:t>
      </w:r>
      <w:r>
        <w:rPr>
          <w:spacing w:val="-3"/>
          <w:sz w:val="18"/>
          <w:vertAlign w:val="baseline"/>
        </w:rPr>
        <w:t> </w:t>
      </w:r>
      <w:r>
        <w:rPr>
          <w:sz w:val="18"/>
          <w:vertAlign w:val="baseline"/>
        </w:rPr>
        <w:t>of</w:t>
      </w:r>
      <w:r>
        <w:rPr>
          <w:spacing w:val="-3"/>
          <w:sz w:val="18"/>
          <w:vertAlign w:val="baseline"/>
        </w:rPr>
        <w:t> </w:t>
      </w:r>
      <w:r>
        <w:rPr>
          <w:sz w:val="18"/>
          <w:vertAlign w:val="baseline"/>
        </w:rPr>
        <w:t>Higher</w:t>
      </w:r>
      <w:r>
        <w:rPr>
          <w:spacing w:val="-3"/>
          <w:sz w:val="18"/>
          <w:vertAlign w:val="baseline"/>
        </w:rPr>
        <w:t> </w:t>
      </w:r>
      <w:r>
        <w:rPr>
          <w:sz w:val="18"/>
          <w:vertAlign w:val="baseline"/>
        </w:rPr>
        <w:t>Education,”</w:t>
      </w:r>
      <w:r>
        <w:rPr>
          <w:spacing w:val="-2"/>
          <w:sz w:val="18"/>
          <w:vertAlign w:val="baseline"/>
        </w:rPr>
        <w:t> </w:t>
      </w:r>
      <w:r>
        <w:rPr>
          <w:sz w:val="18"/>
          <w:vertAlign w:val="baseline"/>
        </w:rPr>
        <w:t>accessed</w:t>
      </w:r>
      <w:r>
        <w:rPr>
          <w:spacing w:val="-2"/>
          <w:sz w:val="18"/>
          <w:vertAlign w:val="baseline"/>
        </w:rPr>
        <w:t> </w:t>
      </w:r>
      <w:r>
        <w:rPr>
          <w:sz w:val="18"/>
          <w:vertAlign w:val="baseline"/>
        </w:rPr>
        <w:t>April 25, 2023, https://</w:t>
      </w:r>
      <w:hyperlink r:id="rId716">
        <w:r>
          <w:rPr>
            <w:sz w:val="18"/>
            <w:vertAlign w:val="baseline"/>
          </w:rPr>
          <w:t>www.mass.edu/strategic/csvp.asp.</w:t>
        </w:r>
      </w:hyperlink>
    </w:p>
    <w:p>
      <w:pPr>
        <w:spacing w:line="219" w:lineRule="exact" w:before="0"/>
        <w:ind w:left="480" w:right="0" w:firstLine="0"/>
        <w:jc w:val="left"/>
        <w:rPr>
          <w:sz w:val="18"/>
        </w:rPr>
      </w:pPr>
      <w:r>
        <w:rPr>
          <w:sz w:val="18"/>
          <w:vertAlign w:val="superscript"/>
        </w:rPr>
        <w:t>6</w:t>
      </w:r>
      <w:r>
        <w:rPr>
          <w:spacing w:val="-13"/>
          <w:sz w:val="18"/>
          <w:vertAlign w:val="baseline"/>
        </w:rPr>
        <w:t> </w:t>
      </w:r>
      <w:r>
        <w:rPr>
          <w:sz w:val="18"/>
          <w:vertAlign w:val="baseline"/>
        </w:rPr>
        <w:t>“Campus</w:t>
      </w:r>
      <w:r>
        <w:rPr>
          <w:spacing w:val="-4"/>
          <w:sz w:val="18"/>
          <w:vertAlign w:val="baseline"/>
        </w:rPr>
        <w:t> </w:t>
      </w:r>
      <w:r>
        <w:rPr>
          <w:sz w:val="18"/>
          <w:vertAlign w:val="baseline"/>
        </w:rPr>
        <w:t>Pride</w:t>
      </w:r>
      <w:r>
        <w:rPr>
          <w:spacing w:val="-3"/>
          <w:sz w:val="18"/>
          <w:vertAlign w:val="baseline"/>
        </w:rPr>
        <w:t> </w:t>
      </w:r>
      <w:r>
        <w:rPr>
          <w:sz w:val="18"/>
          <w:vertAlign w:val="baseline"/>
        </w:rPr>
        <w:t>Index,”</w:t>
      </w:r>
      <w:r>
        <w:rPr>
          <w:spacing w:val="-2"/>
          <w:sz w:val="18"/>
          <w:vertAlign w:val="baseline"/>
        </w:rPr>
        <w:t> </w:t>
      </w:r>
      <w:r>
        <w:rPr>
          <w:sz w:val="18"/>
          <w:vertAlign w:val="baseline"/>
        </w:rPr>
        <w:t>accessed</w:t>
      </w:r>
      <w:r>
        <w:rPr>
          <w:spacing w:val="-2"/>
          <w:sz w:val="18"/>
          <w:vertAlign w:val="baseline"/>
        </w:rPr>
        <w:t> </w:t>
      </w:r>
      <w:r>
        <w:rPr>
          <w:sz w:val="18"/>
          <w:vertAlign w:val="baseline"/>
        </w:rPr>
        <w:t>January</w:t>
      </w:r>
      <w:r>
        <w:rPr>
          <w:spacing w:val="-2"/>
          <w:sz w:val="18"/>
          <w:vertAlign w:val="baseline"/>
        </w:rPr>
        <w:t> </w:t>
      </w:r>
      <w:r>
        <w:rPr>
          <w:sz w:val="18"/>
          <w:vertAlign w:val="baseline"/>
        </w:rPr>
        <w:t>5,</w:t>
      </w:r>
      <w:r>
        <w:rPr>
          <w:spacing w:val="-3"/>
          <w:sz w:val="18"/>
          <w:vertAlign w:val="baseline"/>
        </w:rPr>
        <w:t> </w:t>
      </w:r>
      <w:r>
        <w:rPr>
          <w:sz w:val="18"/>
          <w:vertAlign w:val="baseline"/>
        </w:rPr>
        <w:t>2023,</w:t>
      </w:r>
      <w:r>
        <w:rPr>
          <w:spacing w:val="-2"/>
          <w:sz w:val="18"/>
          <w:vertAlign w:val="baseline"/>
        </w:rPr>
        <w:t> https://</w:t>
      </w:r>
      <w:hyperlink r:id="rId717">
        <w:r>
          <w:rPr>
            <w:spacing w:val="-2"/>
            <w:sz w:val="18"/>
            <w:vertAlign w:val="baseline"/>
          </w:rPr>
          <w:t>www.campusprideindex.org/.</w:t>
        </w:r>
      </w:hyperlink>
    </w:p>
    <w:p>
      <w:pPr>
        <w:spacing w:before="0"/>
        <w:ind w:left="480" w:right="314" w:hanging="1"/>
        <w:jc w:val="left"/>
        <w:rPr>
          <w:sz w:val="18"/>
        </w:rPr>
      </w:pPr>
      <w:r>
        <w:rPr>
          <w:sz w:val="18"/>
          <w:vertAlign w:val="superscript"/>
        </w:rPr>
        <w:t>7</w:t>
      </w:r>
      <w:r>
        <w:rPr>
          <w:spacing w:val="-13"/>
          <w:sz w:val="18"/>
          <w:vertAlign w:val="baseline"/>
        </w:rPr>
        <w:t> </w:t>
      </w:r>
      <w:r>
        <w:rPr>
          <w:sz w:val="18"/>
          <w:vertAlign w:val="baseline"/>
        </w:rPr>
        <w:t>Alene</w:t>
      </w:r>
      <w:r>
        <w:rPr>
          <w:spacing w:val="-5"/>
          <w:sz w:val="18"/>
          <w:vertAlign w:val="baseline"/>
        </w:rPr>
        <w:t> </w:t>
      </w:r>
      <w:r>
        <w:rPr>
          <w:sz w:val="18"/>
          <w:vertAlign w:val="baseline"/>
        </w:rPr>
        <w:t>Bouranova,</w:t>
      </w:r>
      <w:r>
        <w:rPr>
          <w:spacing w:val="-3"/>
          <w:sz w:val="18"/>
          <w:vertAlign w:val="baseline"/>
        </w:rPr>
        <w:t> </w:t>
      </w:r>
      <w:r>
        <w:rPr>
          <w:sz w:val="18"/>
          <w:vertAlign w:val="baseline"/>
        </w:rPr>
        <w:t>“LGBTQIA+</w:t>
      </w:r>
      <w:r>
        <w:rPr>
          <w:spacing w:val="-2"/>
          <w:sz w:val="18"/>
          <w:vertAlign w:val="baseline"/>
        </w:rPr>
        <w:t> </w:t>
      </w:r>
      <w:r>
        <w:rPr>
          <w:sz w:val="18"/>
          <w:vertAlign w:val="baseline"/>
        </w:rPr>
        <w:t>BU</w:t>
      </w:r>
      <w:r>
        <w:rPr>
          <w:spacing w:val="-3"/>
          <w:sz w:val="18"/>
          <w:vertAlign w:val="baseline"/>
        </w:rPr>
        <w:t> </w:t>
      </w:r>
      <w:r>
        <w:rPr>
          <w:sz w:val="18"/>
          <w:vertAlign w:val="baseline"/>
        </w:rPr>
        <w:t>Student</w:t>
      </w:r>
      <w:r>
        <w:rPr>
          <w:spacing w:val="-3"/>
          <w:sz w:val="18"/>
          <w:vertAlign w:val="baseline"/>
        </w:rPr>
        <w:t> </w:t>
      </w:r>
      <w:r>
        <w:rPr>
          <w:sz w:val="18"/>
          <w:vertAlign w:val="baseline"/>
        </w:rPr>
        <w:t>Task</w:t>
      </w:r>
      <w:r>
        <w:rPr>
          <w:spacing w:val="-3"/>
          <w:sz w:val="18"/>
          <w:vertAlign w:val="baseline"/>
        </w:rPr>
        <w:t> </w:t>
      </w:r>
      <w:r>
        <w:rPr>
          <w:sz w:val="18"/>
          <w:vertAlign w:val="baseline"/>
        </w:rPr>
        <w:t>Force</w:t>
      </w:r>
      <w:r>
        <w:rPr>
          <w:spacing w:val="-2"/>
          <w:sz w:val="18"/>
          <w:vertAlign w:val="baseline"/>
        </w:rPr>
        <w:t> </w:t>
      </w:r>
      <w:r>
        <w:rPr>
          <w:sz w:val="18"/>
          <w:vertAlign w:val="baseline"/>
        </w:rPr>
        <w:t>Report</w:t>
      </w:r>
      <w:r>
        <w:rPr>
          <w:spacing w:val="-3"/>
          <w:sz w:val="18"/>
          <w:vertAlign w:val="baseline"/>
        </w:rPr>
        <w:t> </w:t>
      </w:r>
      <w:r>
        <w:rPr>
          <w:sz w:val="18"/>
          <w:vertAlign w:val="baseline"/>
        </w:rPr>
        <w:t>Makes</w:t>
      </w:r>
      <w:r>
        <w:rPr>
          <w:spacing w:val="-2"/>
          <w:sz w:val="18"/>
          <w:vertAlign w:val="baseline"/>
        </w:rPr>
        <w:t> </w:t>
      </w:r>
      <w:r>
        <w:rPr>
          <w:sz w:val="18"/>
          <w:vertAlign w:val="baseline"/>
        </w:rPr>
        <w:t>Recommendations</w:t>
      </w:r>
      <w:r>
        <w:rPr>
          <w:spacing w:val="-2"/>
          <w:sz w:val="18"/>
          <w:vertAlign w:val="baseline"/>
        </w:rPr>
        <w:t> </w:t>
      </w:r>
      <w:r>
        <w:rPr>
          <w:sz w:val="18"/>
          <w:vertAlign w:val="baseline"/>
        </w:rPr>
        <w:t>for</w:t>
      </w:r>
      <w:r>
        <w:rPr>
          <w:spacing w:val="-3"/>
          <w:sz w:val="18"/>
          <w:vertAlign w:val="baseline"/>
        </w:rPr>
        <w:t> </w:t>
      </w:r>
      <w:r>
        <w:rPr>
          <w:sz w:val="18"/>
          <w:vertAlign w:val="baseline"/>
        </w:rPr>
        <w:t>Achieving</w:t>
      </w:r>
      <w:r>
        <w:rPr>
          <w:spacing w:val="-2"/>
          <w:sz w:val="18"/>
          <w:vertAlign w:val="baseline"/>
        </w:rPr>
        <w:t> </w:t>
      </w:r>
      <w:r>
        <w:rPr>
          <w:sz w:val="18"/>
          <w:vertAlign w:val="baseline"/>
        </w:rPr>
        <w:t>a</w:t>
      </w:r>
      <w:r>
        <w:rPr>
          <w:spacing w:val="-2"/>
          <w:sz w:val="18"/>
          <w:vertAlign w:val="baseline"/>
        </w:rPr>
        <w:t> </w:t>
      </w:r>
      <w:r>
        <w:rPr>
          <w:sz w:val="18"/>
          <w:vertAlign w:val="baseline"/>
        </w:rPr>
        <w:t>More</w:t>
      </w:r>
      <w:r>
        <w:rPr>
          <w:spacing w:val="-2"/>
          <w:sz w:val="18"/>
          <w:vertAlign w:val="baseline"/>
        </w:rPr>
        <w:t> </w:t>
      </w:r>
      <w:r>
        <w:rPr>
          <w:sz w:val="18"/>
          <w:vertAlign w:val="baseline"/>
        </w:rPr>
        <w:t>Inclusive</w:t>
      </w:r>
      <w:r>
        <w:rPr>
          <w:spacing w:val="-2"/>
          <w:sz w:val="18"/>
          <w:vertAlign w:val="baseline"/>
        </w:rPr>
        <w:t> </w:t>
      </w:r>
      <w:r>
        <w:rPr>
          <w:sz w:val="18"/>
          <w:vertAlign w:val="baseline"/>
        </w:rPr>
        <w:t>BU,” Boston University, March 11, 2023, https://</w:t>
      </w:r>
      <w:hyperlink r:id="rId718">
        <w:r>
          <w:rPr>
            <w:sz w:val="18"/>
            <w:vertAlign w:val="baseline"/>
          </w:rPr>
          <w:t>www.bu.edu/articles/2023/lgbtqia-student-task-force-report-inclusive-bu/.</w:t>
        </w:r>
      </w:hyperlink>
    </w:p>
    <w:p>
      <w:pPr>
        <w:spacing w:before="0"/>
        <w:ind w:left="480" w:right="528" w:hanging="1"/>
        <w:jc w:val="left"/>
        <w:rPr>
          <w:sz w:val="18"/>
        </w:rPr>
      </w:pPr>
      <w:r>
        <w:rPr>
          <w:sz w:val="18"/>
          <w:vertAlign w:val="superscript"/>
        </w:rPr>
        <w:t>8</w:t>
      </w:r>
      <w:r>
        <w:rPr>
          <w:spacing w:val="-13"/>
          <w:sz w:val="18"/>
          <w:vertAlign w:val="baseline"/>
        </w:rPr>
        <w:t> </w:t>
      </w:r>
      <w:r>
        <w:rPr>
          <w:sz w:val="18"/>
          <w:vertAlign w:val="baseline"/>
        </w:rPr>
        <w:t>Alene</w:t>
      </w:r>
      <w:r>
        <w:rPr>
          <w:spacing w:val="-5"/>
          <w:sz w:val="18"/>
          <w:vertAlign w:val="baseline"/>
        </w:rPr>
        <w:t> </w:t>
      </w:r>
      <w:r>
        <w:rPr>
          <w:sz w:val="18"/>
          <w:vertAlign w:val="baseline"/>
        </w:rPr>
        <w:t>Bouranova,</w:t>
      </w:r>
      <w:r>
        <w:rPr>
          <w:spacing w:val="-4"/>
          <w:sz w:val="18"/>
          <w:vertAlign w:val="baseline"/>
        </w:rPr>
        <w:t> </w:t>
      </w:r>
      <w:r>
        <w:rPr>
          <w:sz w:val="18"/>
          <w:vertAlign w:val="baseline"/>
        </w:rPr>
        <w:t>“Boston</w:t>
      </w:r>
      <w:r>
        <w:rPr>
          <w:spacing w:val="-3"/>
          <w:sz w:val="18"/>
          <w:vertAlign w:val="baseline"/>
        </w:rPr>
        <w:t> </w:t>
      </w:r>
      <w:r>
        <w:rPr>
          <w:sz w:val="18"/>
          <w:vertAlign w:val="baseline"/>
        </w:rPr>
        <w:t>University</w:t>
      </w:r>
      <w:r>
        <w:rPr>
          <w:spacing w:val="-3"/>
          <w:sz w:val="18"/>
          <w:vertAlign w:val="baseline"/>
        </w:rPr>
        <w:t> </w:t>
      </w:r>
      <w:r>
        <w:rPr>
          <w:sz w:val="18"/>
          <w:vertAlign w:val="baseline"/>
        </w:rPr>
        <w:t>to</w:t>
      </w:r>
      <w:r>
        <w:rPr>
          <w:spacing w:val="-3"/>
          <w:sz w:val="18"/>
          <w:vertAlign w:val="baseline"/>
        </w:rPr>
        <w:t> </w:t>
      </w:r>
      <w:r>
        <w:rPr>
          <w:sz w:val="18"/>
          <w:vertAlign w:val="baseline"/>
        </w:rPr>
        <w:t>Open</w:t>
      </w:r>
      <w:r>
        <w:rPr>
          <w:spacing w:val="-3"/>
          <w:sz w:val="18"/>
          <w:vertAlign w:val="baseline"/>
        </w:rPr>
        <w:t> </w:t>
      </w:r>
      <w:r>
        <w:rPr>
          <w:sz w:val="18"/>
          <w:vertAlign w:val="baseline"/>
        </w:rPr>
        <w:t>New</w:t>
      </w:r>
      <w:r>
        <w:rPr>
          <w:spacing w:val="-4"/>
          <w:sz w:val="18"/>
          <w:vertAlign w:val="baseline"/>
        </w:rPr>
        <w:t> </w:t>
      </w:r>
      <w:r>
        <w:rPr>
          <w:sz w:val="18"/>
          <w:vertAlign w:val="baseline"/>
        </w:rPr>
        <w:t>LGBTQIA+</w:t>
      </w:r>
      <w:r>
        <w:rPr>
          <w:spacing w:val="-3"/>
          <w:sz w:val="18"/>
          <w:vertAlign w:val="baseline"/>
        </w:rPr>
        <w:t> </w:t>
      </w:r>
      <w:r>
        <w:rPr>
          <w:sz w:val="18"/>
          <w:vertAlign w:val="baseline"/>
        </w:rPr>
        <w:t>Student</w:t>
      </w:r>
      <w:r>
        <w:rPr>
          <w:spacing w:val="-4"/>
          <w:sz w:val="18"/>
          <w:vertAlign w:val="baseline"/>
        </w:rPr>
        <w:t> </w:t>
      </w:r>
      <w:r>
        <w:rPr>
          <w:sz w:val="18"/>
          <w:vertAlign w:val="baseline"/>
        </w:rPr>
        <w:t>Resource</w:t>
      </w:r>
      <w:r>
        <w:rPr>
          <w:spacing w:val="-4"/>
          <w:sz w:val="18"/>
          <w:vertAlign w:val="baseline"/>
        </w:rPr>
        <w:t> </w:t>
      </w:r>
      <w:r>
        <w:rPr>
          <w:sz w:val="18"/>
          <w:vertAlign w:val="baseline"/>
        </w:rPr>
        <w:t>Center,”</w:t>
      </w:r>
      <w:r>
        <w:rPr>
          <w:spacing w:val="-3"/>
          <w:sz w:val="18"/>
          <w:vertAlign w:val="baseline"/>
        </w:rPr>
        <w:t> </w:t>
      </w:r>
      <w:r>
        <w:rPr>
          <w:sz w:val="18"/>
          <w:vertAlign w:val="baseline"/>
        </w:rPr>
        <w:t>Boston</w:t>
      </w:r>
      <w:r>
        <w:rPr>
          <w:spacing w:val="-4"/>
          <w:sz w:val="18"/>
          <w:vertAlign w:val="baseline"/>
        </w:rPr>
        <w:t> </w:t>
      </w:r>
      <w:r>
        <w:rPr>
          <w:sz w:val="18"/>
          <w:vertAlign w:val="baseline"/>
        </w:rPr>
        <w:t>University,</w:t>
      </w:r>
      <w:r>
        <w:rPr>
          <w:spacing w:val="-4"/>
          <w:sz w:val="18"/>
          <w:vertAlign w:val="baseline"/>
        </w:rPr>
        <w:t> </w:t>
      </w:r>
      <w:r>
        <w:rPr>
          <w:sz w:val="18"/>
          <w:vertAlign w:val="baseline"/>
        </w:rPr>
        <w:t>February</w:t>
      </w:r>
      <w:r>
        <w:rPr>
          <w:spacing w:val="-3"/>
          <w:sz w:val="18"/>
          <w:vertAlign w:val="baseline"/>
        </w:rPr>
        <w:t> </w:t>
      </w:r>
      <w:r>
        <w:rPr>
          <w:sz w:val="18"/>
          <w:vertAlign w:val="baseline"/>
        </w:rPr>
        <w:t>23, 2023,</w:t>
      </w:r>
      <w:r>
        <w:rPr>
          <w:spacing w:val="-2"/>
          <w:sz w:val="18"/>
          <w:vertAlign w:val="baseline"/>
        </w:rPr>
        <w:t> </w:t>
      </w:r>
      <w:r>
        <w:rPr>
          <w:sz w:val="18"/>
          <w:vertAlign w:val="baseline"/>
        </w:rPr>
        <w:t>https://</w:t>
      </w:r>
      <w:hyperlink r:id="rId719">
        <w:r>
          <w:rPr>
            <w:sz w:val="18"/>
            <w:vertAlign w:val="baseline"/>
          </w:rPr>
          <w:t>www.bu.edu/articles/2023/boston-university-new-lgbtqia-student-resource-center/.</w:t>
        </w:r>
      </w:hyperlink>
    </w:p>
    <w:p>
      <w:pPr>
        <w:spacing w:after="0"/>
        <w:jc w:val="left"/>
        <w:rPr>
          <w:sz w:val="18"/>
        </w:rPr>
        <w:sectPr>
          <w:pgSz w:w="12240" w:h="15840"/>
          <w:pgMar w:header="804" w:footer="1196" w:top="1000" w:bottom="1460" w:left="960" w:right="1100"/>
        </w:sectPr>
      </w:pPr>
    </w:p>
    <w:p>
      <w:pPr>
        <w:pStyle w:val="Heading7"/>
        <w:spacing w:before="378"/>
        <w:jc w:val="both"/>
      </w:pPr>
      <w:bookmarkStart w:name="_bookmark626" w:id="933"/>
      <w:bookmarkEnd w:id="933"/>
      <w:r>
        <w:rPr/>
      </w:r>
      <w:hyperlink w:history="true" w:anchor="_bookmark6">
        <w:r>
          <w:rPr>
            <w:color w:val="365F91"/>
            <w:spacing w:val="-8"/>
          </w:rPr>
          <w:t>Executive</w:t>
        </w:r>
        <w:r>
          <w:rPr>
            <w:color w:val="365F91"/>
            <w:spacing w:val="-13"/>
          </w:rPr>
          <w:t> </w:t>
        </w:r>
        <w:r>
          <w:rPr>
            <w:color w:val="365F91"/>
            <w:spacing w:val="-8"/>
          </w:rPr>
          <w:t>Office</w:t>
        </w:r>
        <w:r>
          <w:rPr>
            <w:color w:val="365F91"/>
            <w:spacing w:val="-13"/>
          </w:rPr>
          <w:t> </w:t>
        </w:r>
        <w:r>
          <w:rPr>
            <w:color w:val="365F91"/>
            <w:spacing w:val="-8"/>
          </w:rPr>
          <w:t>of</w:t>
        </w:r>
        <w:r>
          <w:rPr>
            <w:color w:val="365F91"/>
            <w:spacing w:val="-12"/>
          </w:rPr>
          <w:t> </w:t>
        </w:r>
        <w:r>
          <w:rPr>
            <w:color w:val="365F91"/>
            <w:spacing w:val="-8"/>
          </w:rPr>
          <w:t>Health</w:t>
        </w:r>
        <w:r>
          <w:rPr>
            <w:color w:val="365F91"/>
            <w:spacing w:val="-13"/>
          </w:rPr>
          <w:t> </w:t>
        </w:r>
        <w:r>
          <w:rPr>
            <w:color w:val="365F91"/>
            <w:spacing w:val="-8"/>
          </w:rPr>
          <w:t>and</w:t>
        </w:r>
        <w:r>
          <w:rPr>
            <w:color w:val="365F91"/>
            <w:spacing w:val="-12"/>
          </w:rPr>
          <w:t> </w:t>
        </w:r>
        <w:r>
          <w:rPr>
            <w:color w:val="365F91"/>
            <w:spacing w:val="-8"/>
          </w:rPr>
          <w:t>Human</w:t>
        </w:r>
        <w:r>
          <w:rPr>
            <w:color w:val="365F91"/>
            <w:spacing w:val="-13"/>
          </w:rPr>
          <w:t> </w:t>
        </w:r>
        <w:r>
          <w:rPr>
            <w:color w:val="365F91"/>
            <w:spacing w:val="-8"/>
          </w:rPr>
          <w:t>Services</w:t>
        </w:r>
      </w:hyperlink>
    </w:p>
    <w:p>
      <w:pPr>
        <w:pStyle w:val="BodyText"/>
        <w:spacing w:line="276" w:lineRule="auto" w:before="382"/>
        <w:ind w:left="483" w:right="337"/>
        <w:jc w:val="both"/>
      </w:pPr>
      <w:r>
        <w:rPr>
          <w:spacing w:val="-4"/>
        </w:rPr>
        <w:t>In</w:t>
      </w:r>
      <w:r>
        <w:rPr>
          <w:spacing w:val="-6"/>
        </w:rPr>
        <w:t> </w:t>
      </w:r>
      <w:r>
        <w:rPr>
          <w:spacing w:val="-4"/>
        </w:rPr>
        <w:t>FY</w:t>
      </w:r>
      <w:r>
        <w:rPr>
          <w:spacing w:val="-6"/>
        </w:rPr>
        <w:t> </w:t>
      </w:r>
      <w:r>
        <w:rPr>
          <w:spacing w:val="-4"/>
        </w:rPr>
        <w:t>2017, the</w:t>
      </w:r>
      <w:r>
        <w:rPr>
          <w:spacing w:val="-6"/>
        </w:rPr>
        <w:t> </w:t>
      </w:r>
      <w:r>
        <w:rPr>
          <w:spacing w:val="-4"/>
        </w:rPr>
        <w:t>Executive</w:t>
      </w:r>
      <w:r>
        <w:rPr>
          <w:spacing w:val="-6"/>
        </w:rPr>
        <w:t> </w:t>
      </w:r>
      <w:r>
        <w:rPr>
          <w:spacing w:val="-4"/>
        </w:rPr>
        <w:t>Office</w:t>
      </w:r>
      <w:r>
        <w:rPr>
          <w:spacing w:val="-6"/>
        </w:rPr>
        <w:t> </w:t>
      </w:r>
      <w:r>
        <w:rPr>
          <w:spacing w:val="-4"/>
        </w:rPr>
        <w:t>of</w:t>
      </w:r>
      <w:r>
        <w:rPr>
          <w:spacing w:val="-6"/>
        </w:rPr>
        <w:t> </w:t>
      </w:r>
      <w:r>
        <w:rPr>
          <w:spacing w:val="-4"/>
        </w:rPr>
        <w:t>Health</w:t>
      </w:r>
      <w:r>
        <w:rPr>
          <w:spacing w:val="-6"/>
        </w:rPr>
        <w:t> </w:t>
      </w:r>
      <w:r>
        <w:rPr>
          <w:spacing w:val="-4"/>
        </w:rPr>
        <w:t>and</w:t>
      </w:r>
      <w:r>
        <w:rPr>
          <w:spacing w:val="-6"/>
        </w:rPr>
        <w:t> </w:t>
      </w:r>
      <w:r>
        <w:rPr>
          <w:spacing w:val="-4"/>
        </w:rPr>
        <w:t>Human</w:t>
      </w:r>
      <w:r>
        <w:rPr>
          <w:spacing w:val="-6"/>
        </w:rPr>
        <w:t> </w:t>
      </w:r>
      <w:r>
        <w:rPr>
          <w:spacing w:val="-4"/>
        </w:rPr>
        <w:t>Services</w:t>
      </w:r>
      <w:r>
        <w:rPr>
          <w:spacing w:val="-6"/>
        </w:rPr>
        <w:t> </w:t>
      </w:r>
      <w:r>
        <w:rPr>
          <w:spacing w:val="-4"/>
        </w:rPr>
        <w:t>(EOHHS)</w:t>
      </w:r>
      <w:r>
        <w:rPr>
          <w:spacing w:val="-6"/>
        </w:rPr>
        <w:t> </w:t>
      </w:r>
      <w:r>
        <w:rPr>
          <w:spacing w:val="-4"/>
        </w:rPr>
        <w:t>formed</w:t>
      </w:r>
      <w:r>
        <w:rPr>
          <w:spacing w:val="-6"/>
        </w:rPr>
        <w:t> </w:t>
      </w:r>
      <w:r>
        <w:rPr>
          <w:spacing w:val="-4"/>
        </w:rPr>
        <w:t>an</w:t>
      </w:r>
      <w:r>
        <w:rPr>
          <w:spacing w:val="-6"/>
        </w:rPr>
        <w:t> </w:t>
      </w:r>
      <w:r>
        <w:rPr>
          <w:spacing w:val="-4"/>
        </w:rPr>
        <w:t>interagency</w:t>
      </w:r>
      <w:r>
        <w:rPr>
          <w:spacing w:val="-6"/>
        </w:rPr>
        <w:t> </w:t>
      </w:r>
      <w:r>
        <w:rPr>
          <w:spacing w:val="-4"/>
        </w:rPr>
        <w:t>committee</w:t>
      </w:r>
      <w:r>
        <w:rPr>
          <w:spacing w:val="-6"/>
        </w:rPr>
        <w:t> </w:t>
      </w:r>
      <w:r>
        <w:rPr>
          <w:spacing w:val="-4"/>
        </w:rPr>
        <w:t>on LGBTQ</w:t>
      </w:r>
      <w:r>
        <w:rPr>
          <w:spacing w:val="-6"/>
        </w:rPr>
        <w:t> </w:t>
      </w:r>
      <w:r>
        <w:rPr>
          <w:spacing w:val="-4"/>
        </w:rPr>
        <w:t>youth</w:t>
      </w:r>
      <w:r>
        <w:rPr>
          <w:spacing w:val="-5"/>
        </w:rPr>
        <w:t> </w:t>
      </w:r>
      <w:r>
        <w:rPr>
          <w:spacing w:val="-4"/>
        </w:rPr>
        <w:t>issues co-chaired</w:t>
      </w:r>
      <w:r>
        <w:rPr>
          <w:spacing w:val="-5"/>
        </w:rPr>
        <w:t> </w:t>
      </w:r>
      <w:r>
        <w:rPr>
          <w:spacing w:val="-4"/>
        </w:rPr>
        <w:t>by</w:t>
      </w:r>
      <w:r>
        <w:rPr>
          <w:spacing w:val="-6"/>
        </w:rPr>
        <w:t> </w:t>
      </w:r>
      <w:r>
        <w:rPr>
          <w:spacing w:val="-4"/>
        </w:rPr>
        <w:t>the</w:t>
      </w:r>
      <w:r>
        <w:rPr>
          <w:spacing w:val="-5"/>
        </w:rPr>
        <w:t> </w:t>
      </w:r>
      <w:r>
        <w:rPr>
          <w:spacing w:val="-4"/>
        </w:rPr>
        <w:t>Commission.</w:t>
      </w:r>
      <w:r>
        <w:rPr>
          <w:spacing w:val="-5"/>
        </w:rPr>
        <w:t> </w:t>
      </w:r>
      <w:r>
        <w:rPr>
          <w:spacing w:val="-4"/>
        </w:rPr>
        <w:t>The</w:t>
      </w:r>
      <w:r>
        <w:rPr>
          <w:spacing w:val="-6"/>
        </w:rPr>
        <w:t> </w:t>
      </w:r>
      <w:r>
        <w:rPr>
          <w:spacing w:val="-4"/>
        </w:rPr>
        <w:t>Commission</w:t>
      </w:r>
      <w:r>
        <w:rPr>
          <w:spacing w:val="-5"/>
        </w:rPr>
        <w:t> </w:t>
      </w:r>
      <w:r>
        <w:rPr>
          <w:spacing w:val="-4"/>
        </w:rPr>
        <w:t>appreciates the</w:t>
      </w:r>
      <w:r>
        <w:rPr>
          <w:spacing w:val="-6"/>
        </w:rPr>
        <w:t> </w:t>
      </w:r>
      <w:r>
        <w:rPr>
          <w:spacing w:val="-4"/>
        </w:rPr>
        <w:t>frequent</w:t>
      </w:r>
      <w:r>
        <w:rPr>
          <w:spacing w:val="-6"/>
        </w:rPr>
        <w:t> </w:t>
      </w:r>
      <w:r>
        <w:rPr>
          <w:spacing w:val="-4"/>
        </w:rPr>
        <w:t>and thoughtful </w:t>
      </w:r>
      <w:r>
        <w:rPr>
          <w:spacing w:val="-6"/>
        </w:rPr>
        <w:t>collaboration</w:t>
      </w:r>
      <w:r>
        <w:rPr>
          <w:spacing w:val="-3"/>
        </w:rPr>
        <w:t> </w:t>
      </w:r>
      <w:r>
        <w:rPr>
          <w:spacing w:val="-6"/>
        </w:rPr>
        <w:t>with staff of agencies within</w:t>
      </w:r>
      <w:r>
        <w:rPr>
          <w:spacing w:val="-4"/>
        </w:rPr>
        <w:t> </w:t>
      </w:r>
      <w:r>
        <w:rPr>
          <w:spacing w:val="-6"/>
        </w:rPr>
        <w:t>EOHHS, including</w:t>
      </w:r>
      <w:r>
        <w:rPr>
          <w:spacing w:val="-4"/>
        </w:rPr>
        <w:t> </w:t>
      </w:r>
      <w:r>
        <w:rPr>
          <w:spacing w:val="-6"/>
        </w:rPr>
        <w:t>taking</w:t>
      </w:r>
      <w:r>
        <w:rPr>
          <w:spacing w:val="-4"/>
        </w:rPr>
        <w:t> </w:t>
      </w:r>
      <w:r>
        <w:rPr>
          <w:spacing w:val="-6"/>
        </w:rPr>
        <w:t>a</w:t>
      </w:r>
      <w:r>
        <w:rPr>
          <w:spacing w:val="-4"/>
        </w:rPr>
        <w:t> </w:t>
      </w:r>
      <w:r>
        <w:rPr>
          <w:spacing w:val="-6"/>
        </w:rPr>
        <w:t>coordinated</w:t>
      </w:r>
      <w:r>
        <w:rPr>
          <w:spacing w:val="-4"/>
        </w:rPr>
        <w:t> </w:t>
      </w:r>
      <w:r>
        <w:rPr>
          <w:spacing w:val="-6"/>
        </w:rPr>
        <w:t>and collaborative approach</w:t>
      </w:r>
      <w:r>
        <w:rPr>
          <w:spacing w:val="-4"/>
        </w:rPr>
        <w:t> </w:t>
      </w:r>
      <w:r>
        <w:rPr>
          <w:spacing w:val="-6"/>
        </w:rPr>
        <w:t>to </w:t>
      </w:r>
      <w:r>
        <w:rPr>
          <w:spacing w:val="-4"/>
        </w:rPr>
        <w:t>addressing</w:t>
      </w:r>
      <w:r>
        <w:rPr>
          <w:spacing w:val="-14"/>
        </w:rPr>
        <w:t> </w:t>
      </w:r>
      <w:r>
        <w:rPr>
          <w:spacing w:val="-4"/>
        </w:rPr>
        <w:t>the</w:t>
      </w:r>
      <w:r>
        <w:rPr>
          <w:spacing w:val="-14"/>
        </w:rPr>
        <w:t> </w:t>
      </w:r>
      <w:r>
        <w:rPr>
          <w:spacing w:val="-4"/>
        </w:rPr>
        <w:t>recommendations</w:t>
      </w:r>
      <w:r>
        <w:rPr>
          <w:spacing w:val="-14"/>
        </w:rPr>
        <w:t> </w:t>
      </w:r>
      <w:r>
        <w:rPr>
          <w:spacing w:val="-4"/>
        </w:rPr>
        <w:t>presented</w:t>
      </w:r>
      <w:r>
        <w:rPr>
          <w:spacing w:val="-14"/>
        </w:rPr>
        <w:t> </w:t>
      </w:r>
      <w:r>
        <w:rPr>
          <w:spacing w:val="-4"/>
        </w:rPr>
        <w:t>by</w:t>
      </w:r>
      <w:r>
        <w:rPr>
          <w:spacing w:val="-14"/>
        </w:rPr>
        <w:t> </w:t>
      </w:r>
      <w:r>
        <w:rPr>
          <w:spacing w:val="-4"/>
        </w:rPr>
        <w:t>the</w:t>
      </w:r>
      <w:r>
        <w:rPr>
          <w:spacing w:val="-16"/>
        </w:rPr>
        <w:t> </w:t>
      </w:r>
      <w:r>
        <w:rPr>
          <w:spacing w:val="-4"/>
        </w:rPr>
        <w:t>Commission</w:t>
      </w:r>
      <w:r>
        <w:rPr>
          <w:spacing w:val="-14"/>
        </w:rPr>
        <w:t> </w:t>
      </w:r>
      <w:r>
        <w:rPr>
          <w:spacing w:val="-4"/>
        </w:rPr>
        <w:t>to</w:t>
      </w:r>
      <w:r>
        <w:rPr>
          <w:spacing w:val="-14"/>
        </w:rPr>
        <w:t> </w:t>
      </w:r>
      <w:r>
        <w:rPr>
          <w:spacing w:val="-4"/>
        </w:rPr>
        <w:t>EOHHS</w:t>
      </w:r>
      <w:r>
        <w:rPr>
          <w:spacing w:val="-13"/>
        </w:rPr>
        <w:t> </w:t>
      </w:r>
      <w:r>
        <w:rPr>
          <w:spacing w:val="-4"/>
        </w:rPr>
        <w:t>agencies.</w:t>
      </w:r>
    </w:p>
    <w:p>
      <w:pPr>
        <w:pStyle w:val="BodyText"/>
        <w:spacing w:before="40"/>
      </w:pPr>
    </w:p>
    <w:p>
      <w:pPr>
        <w:pStyle w:val="BodyText"/>
        <w:spacing w:line="276" w:lineRule="auto"/>
        <w:ind w:left="483" w:right="335"/>
        <w:jc w:val="both"/>
      </w:pPr>
      <w:r>
        <w:rPr>
          <w:spacing w:val="-6"/>
        </w:rPr>
        <w:t>The</w:t>
      </w:r>
      <w:r>
        <w:rPr>
          <w:spacing w:val="-2"/>
        </w:rPr>
        <w:t> </w:t>
      </w:r>
      <w:r>
        <w:rPr>
          <w:spacing w:val="-6"/>
        </w:rPr>
        <w:t>EOHHS interagency</w:t>
      </w:r>
      <w:r>
        <w:rPr>
          <w:spacing w:val="-2"/>
        </w:rPr>
        <w:t> </w:t>
      </w:r>
      <w:r>
        <w:rPr>
          <w:spacing w:val="-6"/>
        </w:rPr>
        <w:t>committee,</w:t>
      </w:r>
      <w:r>
        <w:rPr>
          <w:spacing w:val="-2"/>
        </w:rPr>
        <w:t> </w:t>
      </w:r>
      <w:r>
        <w:rPr>
          <w:spacing w:val="-6"/>
        </w:rPr>
        <w:t>which the Commission hopes will be a</w:t>
      </w:r>
      <w:r>
        <w:rPr>
          <w:spacing w:val="-2"/>
        </w:rPr>
        <w:t> </w:t>
      </w:r>
      <w:r>
        <w:rPr>
          <w:spacing w:val="-6"/>
        </w:rPr>
        <w:t>model for other</w:t>
      </w:r>
      <w:r>
        <w:rPr>
          <w:spacing w:val="-2"/>
        </w:rPr>
        <w:t> </w:t>
      </w:r>
      <w:r>
        <w:rPr>
          <w:spacing w:val="-6"/>
        </w:rPr>
        <w:t>executive</w:t>
      </w:r>
      <w:r>
        <w:rPr/>
        <w:t> </w:t>
      </w:r>
      <w:r>
        <w:rPr>
          <w:spacing w:val="-6"/>
        </w:rPr>
        <w:t>offices, is </w:t>
      </w:r>
      <w:r>
        <w:rPr>
          <w:spacing w:val="-10"/>
        </w:rPr>
        <w:t>comprised</w:t>
      </w:r>
      <w:r>
        <w:rPr/>
        <w:t> </w:t>
      </w:r>
      <w:r>
        <w:rPr>
          <w:spacing w:val="-10"/>
        </w:rPr>
        <w:t>of</w:t>
      </w:r>
      <w:r>
        <w:rPr/>
        <w:t> </w:t>
      </w:r>
      <w:r>
        <w:rPr>
          <w:spacing w:val="-10"/>
        </w:rPr>
        <w:t>representatives</w:t>
      </w:r>
      <w:r>
        <w:rPr>
          <w:spacing w:val="5"/>
        </w:rPr>
        <w:t> </w:t>
      </w:r>
      <w:r>
        <w:rPr>
          <w:spacing w:val="-10"/>
        </w:rPr>
        <w:t>from</w:t>
      </w:r>
      <w:r>
        <w:rPr/>
        <w:t> </w:t>
      </w:r>
      <w:r>
        <w:rPr>
          <w:spacing w:val="-10"/>
        </w:rPr>
        <w:t>each</w:t>
      </w:r>
      <w:r>
        <w:rPr/>
        <w:t> </w:t>
      </w:r>
      <w:r>
        <w:rPr>
          <w:spacing w:val="-10"/>
        </w:rPr>
        <w:t>of</w:t>
      </w:r>
      <w:r>
        <w:rPr/>
        <w:t> </w:t>
      </w:r>
      <w:r>
        <w:rPr>
          <w:spacing w:val="-10"/>
        </w:rPr>
        <w:t>the</w:t>
      </w:r>
      <w:r>
        <w:rPr/>
        <w:t> </w:t>
      </w:r>
      <w:r>
        <w:rPr>
          <w:spacing w:val="-10"/>
        </w:rPr>
        <w:t>relevant</w:t>
      </w:r>
      <w:r>
        <w:rPr/>
        <w:t> </w:t>
      </w:r>
      <w:r>
        <w:rPr>
          <w:spacing w:val="-10"/>
        </w:rPr>
        <w:t>EOHHS</w:t>
      </w:r>
      <w:r>
        <w:rPr/>
        <w:t> </w:t>
      </w:r>
      <w:r>
        <w:rPr>
          <w:spacing w:val="-10"/>
        </w:rPr>
        <w:t>agencies.</w:t>
      </w:r>
      <w:r>
        <w:rPr/>
        <w:t> </w:t>
      </w:r>
      <w:r>
        <w:rPr>
          <w:spacing w:val="-10"/>
        </w:rPr>
        <w:t>These</w:t>
      </w:r>
      <w:r>
        <w:rPr/>
        <w:t> </w:t>
      </w:r>
      <w:r>
        <w:rPr>
          <w:spacing w:val="-10"/>
        </w:rPr>
        <w:t>representatives</w:t>
      </w:r>
      <w:r>
        <w:rPr/>
        <w:t> </w:t>
      </w:r>
      <w:r>
        <w:rPr>
          <w:spacing w:val="-10"/>
        </w:rPr>
        <w:t>have</w:t>
      </w:r>
      <w:r>
        <w:rPr/>
        <w:t> </w:t>
      </w:r>
      <w:r>
        <w:rPr>
          <w:spacing w:val="-10"/>
        </w:rPr>
        <w:t>met</w:t>
      </w:r>
      <w:r>
        <w:rPr/>
        <w:t> </w:t>
      </w:r>
      <w:r>
        <w:rPr>
          <w:spacing w:val="-10"/>
        </w:rPr>
        <w:t>regularly</w:t>
      </w:r>
      <w:r>
        <w:rPr/>
        <w:t> since the end of FY 2022 to discuss their individual recommendations from the Commission, the many </w:t>
      </w:r>
      <w:r>
        <w:rPr>
          <w:spacing w:val="-8"/>
        </w:rPr>
        <w:t>commonalities,</w:t>
      </w:r>
      <w:r>
        <w:rPr>
          <w:spacing w:val="-5"/>
        </w:rPr>
        <w:t> </w:t>
      </w:r>
      <w:r>
        <w:rPr>
          <w:spacing w:val="-8"/>
        </w:rPr>
        <w:t>and</w:t>
      </w:r>
      <w:r>
        <w:rPr>
          <w:spacing w:val="-3"/>
        </w:rPr>
        <w:t> </w:t>
      </w:r>
      <w:r>
        <w:rPr>
          <w:spacing w:val="-8"/>
        </w:rPr>
        <w:t>how</w:t>
      </w:r>
      <w:r>
        <w:rPr>
          <w:spacing w:val="-3"/>
        </w:rPr>
        <w:t> </w:t>
      </w:r>
      <w:r>
        <w:rPr>
          <w:spacing w:val="-8"/>
        </w:rPr>
        <w:t>they</w:t>
      </w:r>
      <w:r>
        <w:rPr>
          <w:spacing w:val="-4"/>
        </w:rPr>
        <w:t> </w:t>
      </w:r>
      <w:r>
        <w:rPr>
          <w:spacing w:val="-8"/>
        </w:rPr>
        <w:t>can</w:t>
      </w:r>
      <w:r>
        <w:rPr>
          <w:spacing w:val="-5"/>
        </w:rPr>
        <w:t> </w:t>
      </w:r>
      <w:r>
        <w:rPr>
          <w:spacing w:val="-8"/>
        </w:rPr>
        <w:t>best</w:t>
      </w:r>
      <w:r>
        <w:rPr>
          <w:spacing w:val="-3"/>
        </w:rPr>
        <w:t> </w:t>
      </w:r>
      <w:r>
        <w:rPr>
          <w:spacing w:val="-8"/>
        </w:rPr>
        <w:t>work</w:t>
      </w:r>
      <w:r>
        <w:rPr>
          <w:spacing w:val="-5"/>
        </w:rPr>
        <w:t> </w:t>
      </w:r>
      <w:r>
        <w:rPr>
          <w:spacing w:val="-8"/>
        </w:rPr>
        <w:t>together</w:t>
      </w:r>
      <w:r>
        <w:rPr>
          <w:spacing w:val="-3"/>
        </w:rPr>
        <w:t> </w:t>
      </w:r>
      <w:r>
        <w:rPr>
          <w:spacing w:val="-8"/>
        </w:rPr>
        <w:t>to</w:t>
      </w:r>
      <w:r>
        <w:rPr>
          <w:spacing w:val="-3"/>
        </w:rPr>
        <w:t> </w:t>
      </w:r>
      <w:r>
        <w:rPr>
          <w:spacing w:val="-8"/>
        </w:rPr>
        <w:t>effectively</w:t>
      </w:r>
      <w:r>
        <w:rPr>
          <w:spacing w:val="-4"/>
        </w:rPr>
        <w:t> </w:t>
      </w:r>
      <w:r>
        <w:rPr>
          <w:spacing w:val="-8"/>
        </w:rPr>
        <w:t>and</w:t>
      </w:r>
      <w:r>
        <w:rPr>
          <w:spacing w:val="-3"/>
        </w:rPr>
        <w:t> </w:t>
      </w:r>
      <w:r>
        <w:rPr>
          <w:spacing w:val="-8"/>
        </w:rPr>
        <w:t>efficiently</w:t>
      </w:r>
      <w:r>
        <w:rPr>
          <w:spacing w:val="-3"/>
        </w:rPr>
        <w:t> </w:t>
      </w:r>
      <w:r>
        <w:rPr>
          <w:spacing w:val="-8"/>
        </w:rPr>
        <w:t>achieve</w:t>
      </w:r>
      <w:r>
        <w:rPr>
          <w:spacing w:val="-5"/>
        </w:rPr>
        <w:t> </w:t>
      </w:r>
      <w:r>
        <w:rPr>
          <w:spacing w:val="-8"/>
        </w:rPr>
        <w:t>goals</w:t>
      </w:r>
      <w:r>
        <w:rPr>
          <w:spacing w:val="-3"/>
        </w:rPr>
        <w:t> </w:t>
      </w:r>
      <w:r>
        <w:rPr>
          <w:spacing w:val="-8"/>
        </w:rPr>
        <w:t>related</w:t>
      </w:r>
      <w:r>
        <w:rPr>
          <w:spacing w:val="-3"/>
        </w:rPr>
        <w:t> </w:t>
      </w:r>
      <w:r>
        <w:rPr>
          <w:spacing w:val="-8"/>
        </w:rPr>
        <w:t>to</w:t>
      </w:r>
      <w:r>
        <w:rPr>
          <w:spacing w:val="-4"/>
        </w:rPr>
        <w:t> </w:t>
      </w:r>
      <w:r>
        <w:rPr>
          <w:spacing w:val="-8"/>
        </w:rPr>
        <w:t>LGBTQ </w:t>
      </w:r>
      <w:r>
        <w:rPr>
          <w:spacing w:val="-2"/>
        </w:rPr>
        <w:t>youth.</w:t>
      </w:r>
    </w:p>
    <w:p>
      <w:pPr>
        <w:pStyle w:val="BodyText"/>
        <w:spacing w:before="40"/>
      </w:pPr>
    </w:p>
    <w:p>
      <w:pPr>
        <w:pStyle w:val="BodyText"/>
        <w:spacing w:line="276" w:lineRule="auto"/>
        <w:ind w:left="483" w:right="334" w:hanging="1"/>
        <w:jc w:val="both"/>
      </w:pPr>
      <w:r>
        <w:rPr>
          <w:spacing w:val="-8"/>
        </w:rPr>
        <w:t>This</w:t>
      </w:r>
      <w:r>
        <w:rPr/>
        <w:t> </w:t>
      </w:r>
      <w:r>
        <w:rPr>
          <w:spacing w:val="-8"/>
        </w:rPr>
        <w:t>interagency</w:t>
      </w:r>
      <w:r>
        <w:rPr>
          <w:spacing w:val="-1"/>
        </w:rPr>
        <w:t> </w:t>
      </w:r>
      <w:r>
        <w:rPr>
          <w:spacing w:val="-8"/>
        </w:rPr>
        <w:t>effort</w:t>
      </w:r>
      <w:r>
        <w:rPr>
          <w:spacing w:val="-1"/>
        </w:rPr>
        <w:t> </w:t>
      </w:r>
      <w:r>
        <w:rPr>
          <w:spacing w:val="-8"/>
        </w:rPr>
        <w:t>reached</w:t>
      </w:r>
      <w:r>
        <w:rPr>
          <w:spacing w:val="-1"/>
        </w:rPr>
        <w:t> </w:t>
      </w:r>
      <w:r>
        <w:rPr>
          <w:spacing w:val="-8"/>
        </w:rPr>
        <w:t>a</w:t>
      </w:r>
      <w:r>
        <w:rPr/>
        <w:t> </w:t>
      </w:r>
      <w:r>
        <w:rPr>
          <w:spacing w:val="-8"/>
        </w:rPr>
        <w:t>major</w:t>
      </w:r>
      <w:r>
        <w:rPr/>
        <w:t> </w:t>
      </w:r>
      <w:r>
        <w:rPr>
          <w:spacing w:val="-8"/>
        </w:rPr>
        <w:t>milestone</w:t>
      </w:r>
      <w:r>
        <w:rPr>
          <w:spacing w:val="-1"/>
        </w:rPr>
        <w:t> </w:t>
      </w:r>
      <w:r>
        <w:rPr>
          <w:spacing w:val="-8"/>
        </w:rPr>
        <w:t>in</w:t>
      </w:r>
      <w:r>
        <w:rPr/>
        <w:t> </w:t>
      </w:r>
      <w:r>
        <w:rPr>
          <w:spacing w:val="-8"/>
        </w:rPr>
        <w:t>November</w:t>
      </w:r>
      <w:r>
        <w:rPr/>
        <w:t> </w:t>
      </w:r>
      <w:r>
        <w:rPr>
          <w:spacing w:val="-8"/>
        </w:rPr>
        <w:t>2019</w:t>
      </w:r>
      <w:r>
        <w:rPr/>
        <w:t> </w:t>
      </w:r>
      <w:r>
        <w:rPr>
          <w:spacing w:val="-8"/>
        </w:rPr>
        <w:t>when</w:t>
      </w:r>
      <w:r>
        <w:rPr/>
        <w:t> </w:t>
      </w:r>
      <w:r>
        <w:rPr>
          <w:spacing w:val="-8"/>
        </w:rPr>
        <w:t>an</w:t>
      </w:r>
      <w:r>
        <w:rPr>
          <w:spacing w:val="-1"/>
        </w:rPr>
        <w:t> </w:t>
      </w:r>
      <w:r>
        <w:rPr>
          <w:spacing w:val="-8"/>
        </w:rPr>
        <w:t>LGBTQ</w:t>
      </w:r>
      <w:r>
        <w:rPr/>
        <w:t> </w:t>
      </w:r>
      <w:r>
        <w:rPr>
          <w:spacing w:val="-8"/>
        </w:rPr>
        <w:t>inclusion</w:t>
      </w:r>
      <w:r>
        <w:rPr/>
        <w:t> </w:t>
      </w:r>
      <w:r>
        <w:rPr>
          <w:spacing w:val="-8"/>
        </w:rPr>
        <w:t>training</w:t>
      </w:r>
      <w:r>
        <w:rPr>
          <w:spacing w:val="-2"/>
        </w:rPr>
        <w:t> </w:t>
      </w:r>
      <w:r>
        <w:rPr>
          <w:spacing w:val="-8"/>
        </w:rPr>
        <w:t>resource being</w:t>
      </w:r>
      <w:r>
        <w:rPr>
          <w:spacing w:val="-3"/>
        </w:rPr>
        <w:t> </w:t>
      </w:r>
      <w:r>
        <w:rPr>
          <w:spacing w:val="-8"/>
        </w:rPr>
        <w:t>developed</w:t>
      </w:r>
      <w:r>
        <w:rPr>
          <w:spacing w:val="-3"/>
        </w:rPr>
        <w:t> </w:t>
      </w:r>
      <w:r>
        <w:rPr>
          <w:spacing w:val="-8"/>
        </w:rPr>
        <w:t>by</w:t>
      </w:r>
      <w:r>
        <w:rPr>
          <w:spacing w:val="-3"/>
        </w:rPr>
        <w:t> </w:t>
      </w:r>
      <w:r>
        <w:rPr>
          <w:spacing w:val="-8"/>
        </w:rPr>
        <w:t>the</w:t>
      </w:r>
      <w:r>
        <w:rPr>
          <w:spacing w:val="-3"/>
        </w:rPr>
        <w:t> </w:t>
      </w:r>
      <w:r>
        <w:rPr>
          <w:spacing w:val="-8"/>
        </w:rPr>
        <w:t>group</w:t>
      </w:r>
      <w:r>
        <w:rPr>
          <w:spacing w:val="-4"/>
        </w:rPr>
        <w:t> </w:t>
      </w:r>
      <w:r>
        <w:rPr>
          <w:spacing w:val="-8"/>
        </w:rPr>
        <w:t>received</w:t>
      </w:r>
      <w:r>
        <w:rPr>
          <w:spacing w:val="-3"/>
        </w:rPr>
        <w:t> </w:t>
      </w:r>
      <w:r>
        <w:rPr>
          <w:spacing w:val="-8"/>
        </w:rPr>
        <w:t>the</w:t>
      </w:r>
      <w:r>
        <w:rPr>
          <w:spacing w:val="-3"/>
        </w:rPr>
        <w:t> </w:t>
      </w:r>
      <w:r>
        <w:rPr>
          <w:spacing w:val="-8"/>
        </w:rPr>
        <w:t>input</w:t>
      </w:r>
      <w:r>
        <w:rPr>
          <w:spacing w:val="-3"/>
        </w:rPr>
        <w:t> </w:t>
      </w:r>
      <w:r>
        <w:rPr>
          <w:spacing w:val="-8"/>
        </w:rPr>
        <w:t>and</w:t>
      </w:r>
      <w:r>
        <w:rPr>
          <w:spacing w:val="-3"/>
        </w:rPr>
        <w:t> </w:t>
      </w:r>
      <w:r>
        <w:rPr>
          <w:spacing w:val="-8"/>
        </w:rPr>
        <w:t>feedback</w:t>
      </w:r>
      <w:r>
        <w:rPr>
          <w:spacing w:val="-4"/>
        </w:rPr>
        <w:t> </w:t>
      </w:r>
      <w:r>
        <w:rPr>
          <w:spacing w:val="-8"/>
        </w:rPr>
        <w:t>of</w:t>
      </w:r>
      <w:r>
        <w:rPr>
          <w:spacing w:val="-3"/>
        </w:rPr>
        <w:t> </w:t>
      </w:r>
      <w:r>
        <w:rPr>
          <w:spacing w:val="-8"/>
        </w:rPr>
        <w:t>every</w:t>
      </w:r>
      <w:r>
        <w:rPr>
          <w:spacing w:val="-3"/>
        </w:rPr>
        <w:t> </w:t>
      </w:r>
      <w:r>
        <w:rPr>
          <w:spacing w:val="-8"/>
        </w:rPr>
        <w:t>agency</w:t>
      </w:r>
      <w:r>
        <w:rPr>
          <w:spacing w:val="-3"/>
        </w:rPr>
        <w:t> </w:t>
      </w:r>
      <w:r>
        <w:rPr>
          <w:spacing w:val="-8"/>
        </w:rPr>
        <w:t>in</w:t>
      </w:r>
      <w:r>
        <w:rPr>
          <w:spacing w:val="-1"/>
        </w:rPr>
        <w:t> </w:t>
      </w:r>
      <w:r>
        <w:rPr>
          <w:spacing w:val="-8"/>
        </w:rPr>
        <w:t>the</w:t>
      </w:r>
      <w:r>
        <w:rPr>
          <w:spacing w:val="-4"/>
        </w:rPr>
        <w:t> </w:t>
      </w:r>
      <w:r>
        <w:rPr>
          <w:spacing w:val="-8"/>
        </w:rPr>
        <w:t>secretariat.</w:t>
      </w:r>
      <w:r>
        <w:rPr>
          <w:spacing w:val="-1"/>
        </w:rPr>
        <w:t> </w:t>
      </w:r>
      <w:r>
        <w:rPr>
          <w:spacing w:val="-8"/>
        </w:rPr>
        <w:t>This</w:t>
      </w:r>
      <w:r>
        <w:rPr>
          <w:spacing w:val="-1"/>
        </w:rPr>
        <w:t> </w:t>
      </w:r>
      <w:r>
        <w:rPr>
          <w:spacing w:val="-8"/>
        </w:rPr>
        <w:t>resource</w:t>
      </w:r>
      <w:r>
        <w:rPr>
          <w:spacing w:val="-3"/>
        </w:rPr>
        <w:t> </w:t>
      </w:r>
      <w:r>
        <w:rPr>
          <w:spacing w:val="-8"/>
        </w:rPr>
        <w:t>is a</w:t>
      </w:r>
      <w:r>
        <w:rPr/>
        <w:t> </w:t>
      </w:r>
      <w:r>
        <w:rPr>
          <w:spacing w:val="-8"/>
        </w:rPr>
        <w:t>product</w:t>
      </w:r>
      <w:r>
        <w:rPr/>
        <w:t> </w:t>
      </w:r>
      <w:r>
        <w:rPr>
          <w:spacing w:val="-8"/>
        </w:rPr>
        <w:t>of</w:t>
      </w:r>
      <w:r>
        <w:rPr/>
        <w:t> </w:t>
      </w:r>
      <w:r>
        <w:rPr>
          <w:spacing w:val="-8"/>
        </w:rPr>
        <w:t>the</w:t>
      </w:r>
      <w:r>
        <w:rPr/>
        <w:t> </w:t>
      </w:r>
      <w:r>
        <w:rPr>
          <w:spacing w:val="-8"/>
        </w:rPr>
        <w:t>Commission,</w:t>
      </w:r>
      <w:r>
        <w:rPr/>
        <w:t> </w:t>
      </w:r>
      <w:r>
        <w:rPr>
          <w:spacing w:val="-8"/>
        </w:rPr>
        <w:t>through</w:t>
      </w:r>
      <w:r>
        <w:rPr/>
        <w:t> </w:t>
      </w:r>
      <w:r>
        <w:rPr>
          <w:spacing w:val="-8"/>
        </w:rPr>
        <w:t>a</w:t>
      </w:r>
      <w:r>
        <w:rPr/>
        <w:t> </w:t>
      </w:r>
      <w:r>
        <w:rPr>
          <w:spacing w:val="-8"/>
        </w:rPr>
        <w:t>collaboration</w:t>
      </w:r>
      <w:r>
        <w:rPr/>
        <w:t> </w:t>
      </w:r>
      <w:r>
        <w:rPr>
          <w:spacing w:val="-8"/>
        </w:rPr>
        <w:t>with</w:t>
      </w:r>
      <w:r>
        <w:rPr/>
        <w:t> </w:t>
      </w:r>
      <w:r>
        <w:rPr>
          <w:spacing w:val="-8"/>
        </w:rPr>
        <w:t>EOHHS,</w:t>
      </w:r>
      <w:r>
        <w:rPr/>
        <w:t> </w:t>
      </w:r>
      <w:r>
        <w:rPr>
          <w:spacing w:val="-8"/>
        </w:rPr>
        <w:t>which</w:t>
      </w:r>
      <w:r>
        <w:rPr/>
        <w:t> </w:t>
      </w:r>
      <w:r>
        <w:rPr>
          <w:spacing w:val="-8"/>
        </w:rPr>
        <w:t>offers</w:t>
      </w:r>
      <w:r>
        <w:rPr/>
        <w:t> </w:t>
      </w:r>
      <w:r>
        <w:rPr>
          <w:spacing w:val="-8"/>
        </w:rPr>
        <w:t>a</w:t>
      </w:r>
      <w:r>
        <w:rPr/>
        <w:t> </w:t>
      </w:r>
      <w:r>
        <w:rPr>
          <w:spacing w:val="-8"/>
        </w:rPr>
        <w:t>curriculum</w:t>
      </w:r>
      <w:r>
        <w:rPr/>
        <w:t> </w:t>
      </w:r>
      <w:r>
        <w:rPr>
          <w:spacing w:val="-8"/>
        </w:rPr>
        <w:t>for</w:t>
      </w:r>
      <w:r>
        <w:rPr/>
        <w:t> </w:t>
      </w:r>
      <w:r>
        <w:rPr>
          <w:spacing w:val="-8"/>
        </w:rPr>
        <w:t>agencies</w:t>
      </w:r>
      <w:r>
        <w:rPr/>
        <w:t> </w:t>
      </w:r>
      <w:r>
        <w:rPr>
          <w:spacing w:val="-8"/>
        </w:rPr>
        <w:t>to</w:t>
      </w:r>
      <w:r>
        <w:rPr/>
        <w:t> </w:t>
      </w:r>
      <w:r>
        <w:rPr>
          <w:spacing w:val="-8"/>
        </w:rPr>
        <w:t>use </w:t>
      </w:r>
      <w:r>
        <w:rPr>
          <w:spacing w:val="-4"/>
        </w:rPr>
        <w:t>in</w:t>
      </w:r>
      <w:r>
        <w:rPr>
          <w:spacing w:val="-5"/>
        </w:rPr>
        <w:t> </w:t>
      </w:r>
      <w:r>
        <w:rPr>
          <w:spacing w:val="-4"/>
        </w:rPr>
        <w:t>training their staff, contractors, and providers in the importance of LGBTQ</w:t>
      </w:r>
      <w:r>
        <w:rPr>
          <w:spacing w:val="-5"/>
        </w:rPr>
        <w:t> </w:t>
      </w:r>
      <w:r>
        <w:rPr>
          <w:spacing w:val="-4"/>
        </w:rPr>
        <w:t>inclusion.</w:t>
      </w:r>
      <w:r>
        <w:rPr>
          <w:spacing w:val="-5"/>
        </w:rPr>
        <w:t> </w:t>
      </w:r>
      <w:r>
        <w:rPr>
          <w:spacing w:val="-4"/>
        </w:rPr>
        <w:t>Since the product</w:t>
      </w:r>
      <w:r>
        <w:rPr>
          <w:spacing w:val="-5"/>
        </w:rPr>
        <w:t> </w:t>
      </w:r>
      <w:r>
        <w:rPr>
          <w:spacing w:val="-4"/>
        </w:rPr>
        <w:t>was </w:t>
      </w:r>
      <w:r>
        <w:rPr>
          <w:spacing w:val="-6"/>
        </w:rPr>
        <w:t>finalized</w:t>
      </w:r>
      <w:r>
        <w:rPr>
          <w:spacing w:val="-7"/>
        </w:rPr>
        <w:t> </w:t>
      </w:r>
      <w:r>
        <w:rPr>
          <w:spacing w:val="-6"/>
        </w:rPr>
        <w:t>and launched</w:t>
      </w:r>
      <w:r>
        <w:rPr>
          <w:spacing w:val="-7"/>
        </w:rPr>
        <w:t> </w:t>
      </w:r>
      <w:r>
        <w:rPr>
          <w:spacing w:val="-6"/>
        </w:rPr>
        <w:t>in the fall</w:t>
      </w:r>
      <w:r>
        <w:rPr>
          <w:spacing w:val="-7"/>
        </w:rPr>
        <w:t> </w:t>
      </w:r>
      <w:r>
        <w:rPr>
          <w:spacing w:val="-6"/>
        </w:rPr>
        <w:t>of FY 2023,</w:t>
      </w:r>
      <w:r>
        <w:rPr>
          <w:spacing w:val="-7"/>
        </w:rPr>
        <w:t> </w:t>
      </w:r>
      <w:r>
        <w:rPr>
          <w:spacing w:val="-6"/>
        </w:rPr>
        <w:t>the Commission</w:t>
      </w:r>
      <w:r>
        <w:rPr>
          <w:spacing w:val="-7"/>
        </w:rPr>
        <w:t> </w:t>
      </w:r>
      <w:r>
        <w:rPr>
          <w:spacing w:val="-6"/>
        </w:rPr>
        <w:t>and</w:t>
      </w:r>
      <w:r>
        <w:rPr>
          <w:spacing w:val="-5"/>
        </w:rPr>
        <w:t> </w:t>
      </w:r>
      <w:r>
        <w:rPr>
          <w:spacing w:val="-6"/>
        </w:rPr>
        <w:t>EOHHS agencies</w:t>
      </w:r>
      <w:r>
        <w:rPr>
          <w:spacing w:val="-5"/>
        </w:rPr>
        <w:t> </w:t>
      </w:r>
      <w:r>
        <w:rPr>
          <w:spacing w:val="-6"/>
        </w:rPr>
        <w:t>have worked to</w:t>
      </w:r>
      <w:r>
        <w:rPr>
          <w:spacing w:val="-7"/>
        </w:rPr>
        <w:t> </w:t>
      </w:r>
      <w:r>
        <w:rPr>
          <w:spacing w:val="-6"/>
        </w:rPr>
        <w:t>arrange</w:t>
      </w:r>
      <w:r>
        <w:rPr>
          <w:spacing w:val="-5"/>
        </w:rPr>
        <w:t> </w:t>
      </w:r>
      <w:r>
        <w:rPr>
          <w:spacing w:val="-6"/>
        </w:rPr>
        <w:t>both </w:t>
      </w:r>
      <w:r>
        <w:rPr/>
        <w:t>in-person</w:t>
      </w:r>
      <w:r>
        <w:rPr>
          <w:spacing w:val="-11"/>
        </w:rPr>
        <w:t> </w:t>
      </w:r>
      <w:r>
        <w:rPr/>
        <w:t>and</w:t>
      </w:r>
      <w:r>
        <w:rPr>
          <w:spacing w:val="-11"/>
        </w:rPr>
        <w:t> </w:t>
      </w:r>
      <w:r>
        <w:rPr/>
        <w:t>remote</w:t>
      </w:r>
      <w:r>
        <w:rPr>
          <w:spacing w:val="-11"/>
        </w:rPr>
        <w:t> </w:t>
      </w:r>
      <w:r>
        <w:rPr/>
        <w:t>trainings;</w:t>
      </w:r>
      <w:r>
        <w:rPr>
          <w:spacing w:val="-10"/>
        </w:rPr>
        <w:t> </w:t>
      </w:r>
      <w:r>
        <w:rPr/>
        <w:t>the</w:t>
      </w:r>
      <w:r>
        <w:rPr>
          <w:spacing w:val="-11"/>
        </w:rPr>
        <w:t> </w:t>
      </w:r>
      <w:r>
        <w:rPr/>
        <w:t>feedback</w:t>
      </w:r>
      <w:r>
        <w:rPr>
          <w:spacing w:val="-11"/>
        </w:rPr>
        <w:t> </w:t>
      </w:r>
      <w:r>
        <w:rPr/>
        <w:t>thus</w:t>
      </w:r>
      <w:r>
        <w:rPr>
          <w:spacing w:val="-11"/>
        </w:rPr>
        <w:t> </w:t>
      </w:r>
      <w:r>
        <w:rPr/>
        <w:t>far</w:t>
      </w:r>
      <w:r>
        <w:rPr>
          <w:spacing w:val="-11"/>
        </w:rPr>
        <w:t> </w:t>
      </w:r>
      <w:r>
        <w:rPr/>
        <w:t>has</w:t>
      </w:r>
      <w:r>
        <w:rPr>
          <w:spacing w:val="-9"/>
        </w:rPr>
        <w:t> </w:t>
      </w:r>
      <w:r>
        <w:rPr/>
        <w:t>been</w:t>
      </w:r>
      <w:r>
        <w:rPr>
          <w:spacing w:val="-11"/>
        </w:rPr>
        <w:t> </w:t>
      </w:r>
      <w:r>
        <w:rPr/>
        <w:t>overwhelmingly</w:t>
      </w:r>
      <w:r>
        <w:rPr>
          <w:spacing w:val="-10"/>
        </w:rPr>
        <w:t> </w:t>
      </w:r>
      <w:r>
        <w:rPr/>
        <w:t>positive.</w:t>
      </w:r>
      <w:r>
        <w:rPr>
          <w:spacing w:val="-11"/>
        </w:rPr>
        <w:t> </w:t>
      </w:r>
      <w:r>
        <w:rPr/>
        <w:t>The</w:t>
      </w:r>
      <w:r>
        <w:rPr>
          <w:spacing w:val="-10"/>
        </w:rPr>
        <w:t> </w:t>
      </w:r>
      <w:r>
        <w:rPr/>
        <w:t>Commission </w:t>
      </w:r>
      <w:r>
        <w:rPr>
          <w:spacing w:val="-10"/>
        </w:rPr>
        <w:t>encourages</w:t>
      </w:r>
      <w:r>
        <w:rPr/>
        <w:t> </w:t>
      </w:r>
      <w:r>
        <w:rPr>
          <w:spacing w:val="-10"/>
        </w:rPr>
        <w:t>EOHHS</w:t>
      </w:r>
      <w:r>
        <w:rPr/>
        <w:t> </w:t>
      </w:r>
      <w:r>
        <w:rPr>
          <w:spacing w:val="-10"/>
        </w:rPr>
        <w:t>to</w:t>
      </w:r>
      <w:r>
        <w:rPr/>
        <w:t> </w:t>
      </w:r>
      <w:r>
        <w:rPr>
          <w:spacing w:val="-10"/>
        </w:rPr>
        <w:t>continue</w:t>
      </w:r>
      <w:r>
        <w:rPr/>
        <w:t> </w:t>
      </w:r>
      <w:r>
        <w:rPr>
          <w:spacing w:val="-10"/>
        </w:rPr>
        <w:t>to</w:t>
      </w:r>
      <w:r>
        <w:rPr/>
        <w:t> </w:t>
      </w:r>
      <w:r>
        <w:rPr>
          <w:spacing w:val="-10"/>
        </w:rPr>
        <w:t>work</w:t>
      </w:r>
      <w:r>
        <w:rPr/>
        <w:t> </w:t>
      </w:r>
      <w:r>
        <w:rPr>
          <w:spacing w:val="-10"/>
        </w:rPr>
        <w:t>with</w:t>
      </w:r>
      <w:r>
        <w:rPr/>
        <w:t> </w:t>
      </w:r>
      <w:r>
        <w:rPr>
          <w:spacing w:val="-10"/>
        </w:rPr>
        <w:t>its</w:t>
      </w:r>
      <w:r>
        <w:rPr/>
        <w:t> </w:t>
      </w:r>
      <w:r>
        <w:rPr>
          <w:spacing w:val="-10"/>
        </w:rPr>
        <w:t>agencies</w:t>
      </w:r>
      <w:r>
        <w:rPr>
          <w:spacing w:val="8"/>
        </w:rPr>
        <w:t> </w:t>
      </w:r>
      <w:r>
        <w:rPr>
          <w:spacing w:val="-10"/>
        </w:rPr>
        <w:t>to</w:t>
      </w:r>
      <w:r>
        <w:rPr/>
        <w:t> </w:t>
      </w:r>
      <w:r>
        <w:rPr>
          <w:spacing w:val="-10"/>
        </w:rPr>
        <w:t>create</w:t>
      </w:r>
      <w:r>
        <w:rPr/>
        <w:t> </w:t>
      </w:r>
      <w:r>
        <w:rPr>
          <w:spacing w:val="-10"/>
        </w:rPr>
        <w:t>comprehensive</w:t>
      </w:r>
      <w:r>
        <w:rPr/>
        <w:t> </w:t>
      </w:r>
      <w:r>
        <w:rPr>
          <w:spacing w:val="-10"/>
        </w:rPr>
        <w:t>LGBTQ</w:t>
      </w:r>
      <w:r>
        <w:rPr/>
        <w:t> </w:t>
      </w:r>
      <w:r>
        <w:rPr>
          <w:spacing w:val="-10"/>
        </w:rPr>
        <w:t>inclusion</w:t>
      </w:r>
      <w:r>
        <w:rPr/>
        <w:t> </w:t>
      </w:r>
      <w:r>
        <w:rPr>
          <w:spacing w:val="-10"/>
        </w:rPr>
        <w:t>policies,</w:t>
      </w:r>
      <w:r>
        <w:rPr/>
        <w:t> </w:t>
      </w:r>
      <w:r>
        <w:rPr>
          <w:spacing w:val="-10"/>
        </w:rPr>
        <w:t>which</w:t>
      </w:r>
      <w:r>
        <w:rPr/>
        <w:t> some</w:t>
      </w:r>
      <w:r>
        <w:rPr>
          <w:spacing w:val="-1"/>
        </w:rPr>
        <w:t> </w:t>
      </w:r>
      <w:r>
        <w:rPr/>
        <w:t>agencies</w:t>
      </w:r>
      <w:r>
        <w:rPr>
          <w:spacing w:val="-2"/>
        </w:rPr>
        <w:t> </w:t>
      </w:r>
      <w:r>
        <w:rPr/>
        <w:t>have</w:t>
      </w:r>
      <w:r>
        <w:rPr>
          <w:spacing w:val="-1"/>
        </w:rPr>
        <w:t> </w:t>
      </w:r>
      <w:r>
        <w:rPr/>
        <w:t>already</w:t>
      </w:r>
      <w:r>
        <w:rPr>
          <w:spacing w:val="-1"/>
        </w:rPr>
        <w:t> </w:t>
      </w:r>
      <w:r>
        <w:rPr/>
        <w:t>published</w:t>
      </w:r>
      <w:r>
        <w:rPr>
          <w:spacing w:val="-2"/>
        </w:rPr>
        <w:t> </w:t>
      </w:r>
      <w:r>
        <w:rPr/>
        <w:t>or</w:t>
      </w:r>
      <w:r>
        <w:rPr>
          <w:spacing w:val="-2"/>
        </w:rPr>
        <w:t> </w:t>
      </w:r>
      <w:r>
        <w:rPr/>
        <w:t>drafted,</w:t>
      </w:r>
      <w:r>
        <w:rPr>
          <w:spacing w:val="-1"/>
        </w:rPr>
        <w:t> </w:t>
      </w:r>
      <w:r>
        <w:rPr/>
        <w:t>as</w:t>
      </w:r>
      <w:r>
        <w:rPr>
          <w:spacing w:val="-1"/>
        </w:rPr>
        <w:t> </w:t>
      </w:r>
      <w:r>
        <w:rPr/>
        <w:t>well</w:t>
      </w:r>
      <w:r>
        <w:rPr>
          <w:spacing w:val="-1"/>
        </w:rPr>
        <w:t> </w:t>
      </w:r>
      <w:r>
        <w:rPr/>
        <w:t>as</w:t>
      </w:r>
      <w:r>
        <w:rPr>
          <w:spacing w:val="-1"/>
        </w:rPr>
        <w:t> </w:t>
      </w:r>
      <w:r>
        <w:rPr/>
        <w:t>to</w:t>
      </w:r>
      <w:r>
        <w:rPr>
          <w:spacing w:val="-1"/>
        </w:rPr>
        <w:t> </w:t>
      </w:r>
      <w:r>
        <w:rPr/>
        <w:t>consider</w:t>
      </w:r>
      <w:r>
        <w:rPr>
          <w:spacing w:val="-1"/>
        </w:rPr>
        <w:t> </w:t>
      </w:r>
      <w:r>
        <w:rPr/>
        <w:t>if</w:t>
      </w:r>
      <w:r>
        <w:rPr>
          <w:spacing w:val="-1"/>
        </w:rPr>
        <w:t> </w:t>
      </w:r>
      <w:r>
        <w:rPr/>
        <w:t>EOHHS-wide</w:t>
      </w:r>
      <w:r>
        <w:rPr>
          <w:spacing w:val="-1"/>
        </w:rPr>
        <w:t> </w:t>
      </w:r>
      <w:r>
        <w:rPr/>
        <w:t>policies</w:t>
      </w:r>
      <w:r>
        <w:rPr>
          <w:spacing w:val="-1"/>
        </w:rPr>
        <w:t> </w:t>
      </w:r>
      <w:r>
        <w:rPr/>
        <w:t>would</w:t>
      </w:r>
      <w:r>
        <w:rPr>
          <w:spacing w:val="-2"/>
        </w:rPr>
        <w:t> </w:t>
      </w:r>
      <w:r>
        <w:rPr/>
        <w:t>be </w:t>
      </w:r>
      <w:r>
        <w:rPr>
          <w:spacing w:val="-8"/>
        </w:rPr>
        <w:t>appropriate.</w:t>
      </w:r>
      <w:r>
        <w:rPr/>
        <w:t> </w:t>
      </w:r>
      <w:r>
        <w:rPr>
          <w:spacing w:val="-8"/>
        </w:rPr>
        <w:t>This</w:t>
      </w:r>
      <w:r>
        <w:rPr/>
        <w:t> </w:t>
      </w:r>
      <w:r>
        <w:rPr>
          <w:spacing w:val="-8"/>
        </w:rPr>
        <w:t>could</w:t>
      </w:r>
      <w:r>
        <w:rPr/>
        <w:t> </w:t>
      </w:r>
      <w:r>
        <w:rPr>
          <w:spacing w:val="-8"/>
        </w:rPr>
        <w:t>include</w:t>
      </w:r>
      <w:r>
        <w:rPr>
          <w:spacing w:val="-2"/>
        </w:rPr>
        <w:t> </w:t>
      </w:r>
      <w:r>
        <w:rPr>
          <w:spacing w:val="-8"/>
        </w:rPr>
        <w:t>goals</w:t>
      </w:r>
      <w:r>
        <w:rPr>
          <w:spacing w:val="-2"/>
        </w:rPr>
        <w:t> </w:t>
      </w:r>
      <w:r>
        <w:rPr>
          <w:spacing w:val="-8"/>
        </w:rPr>
        <w:t>around</w:t>
      </w:r>
      <w:r>
        <w:rPr>
          <w:spacing w:val="-2"/>
        </w:rPr>
        <w:t> </w:t>
      </w:r>
      <w:r>
        <w:rPr>
          <w:spacing w:val="-8"/>
        </w:rPr>
        <w:t>increasing</w:t>
      </w:r>
      <w:r>
        <w:rPr/>
        <w:t> </w:t>
      </w:r>
      <w:r>
        <w:rPr>
          <w:spacing w:val="-8"/>
        </w:rPr>
        <w:t>SOGIE</w:t>
      </w:r>
      <w:r>
        <w:rPr/>
        <w:t> </w:t>
      </w:r>
      <w:r>
        <w:rPr>
          <w:spacing w:val="-8"/>
        </w:rPr>
        <w:t>data</w:t>
      </w:r>
      <w:r>
        <w:rPr/>
        <w:t> </w:t>
      </w:r>
      <w:r>
        <w:rPr>
          <w:spacing w:val="-8"/>
        </w:rPr>
        <w:t>collection,</w:t>
      </w:r>
      <w:r>
        <w:rPr>
          <w:spacing w:val="-2"/>
        </w:rPr>
        <w:t> </w:t>
      </w:r>
      <w:r>
        <w:rPr>
          <w:spacing w:val="-8"/>
        </w:rPr>
        <w:t>which</w:t>
      </w:r>
      <w:r>
        <w:rPr/>
        <w:t> </w:t>
      </w:r>
      <w:r>
        <w:rPr>
          <w:spacing w:val="-8"/>
        </w:rPr>
        <w:t>has</w:t>
      </w:r>
      <w:r>
        <w:rPr>
          <w:spacing w:val="-2"/>
        </w:rPr>
        <w:t> </w:t>
      </w:r>
      <w:r>
        <w:rPr>
          <w:spacing w:val="-8"/>
        </w:rPr>
        <w:t>been</w:t>
      </w:r>
      <w:r>
        <w:rPr>
          <w:spacing w:val="-2"/>
        </w:rPr>
        <w:t> </w:t>
      </w:r>
      <w:r>
        <w:rPr>
          <w:spacing w:val="-8"/>
        </w:rPr>
        <w:t>another</w:t>
      </w:r>
      <w:r>
        <w:rPr>
          <w:spacing w:val="-2"/>
        </w:rPr>
        <w:t> </w:t>
      </w:r>
      <w:r>
        <w:rPr>
          <w:spacing w:val="-8"/>
        </w:rPr>
        <w:t>discussion </w:t>
      </w:r>
      <w:r>
        <w:rPr>
          <w:spacing w:val="-2"/>
        </w:rPr>
        <w:t>point</w:t>
      </w:r>
      <w:r>
        <w:rPr>
          <w:spacing w:val="-11"/>
        </w:rPr>
        <w:t> </w:t>
      </w:r>
      <w:r>
        <w:rPr>
          <w:spacing w:val="-2"/>
        </w:rPr>
        <w:t>of</w:t>
      </w:r>
      <w:r>
        <w:rPr>
          <w:spacing w:val="-8"/>
        </w:rPr>
        <w:t> </w:t>
      </w:r>
      <w:r>
        <w:rPr>
          <w:spacing w:val="-2"/>
        </w:rPr>
        <w:t>the</w:t>
      </w:r>
      <w:r>
        <w:rPr>
          <w:spacing w:val="-8"/>
        </w:rPr>
        <w:t> </w:t>
      </w:r>
      <w:r>
        <w:rPr>
          <w:spacing w:val="-2"/>
        </w:rPr>
        <w:t>interagency</w:t>
      </w:r>
      <w:r>
        <w:rPr>
          <w:spacing w:val="-8"/>
        </w:rPr>
        <w:t> </w:t>
      </w:r>
      <w:r>
        <w:rPr>
          <w:spacing w:val="-2"/>
        </w:rPr>
        <w:t>committee.</w:t>
      </w:r>
    </w:p>
    <w:p>
      <w:pPr>
        <w:pStyle w:val="BodyText"/>
        <w:rPr>
          <w:sz w:val="20"/>
        </w:rPr>
      </w:pPr>
    </w:p>
    <w:p>
      <w:pPr>
        <w:pStyle w:val="BodyText"/>
        <w:spacing w:before="190"/>
        <w:rPr>
          <w:sz w:val="20"/>
        </w:rPr>
      </w:pPr>
      <w:r>
        <w:rPr/>
        <mc:AlternateContent>
          <mc:Choice Requires="wps">
            <w:drawing>
              <wp:anchor distT="0" distB="0" distL="0" distR="0" allowOverlap="1" layoutInCell="1" locked="0" behindDoc="1" simplePos="0" relativeHeight="487695360">
                <wp:simplePos x="0" y="0"/>
                <wp:positionH relativeFrom="page">
                  <wp:posOffset>889000</wp:posOffset>
                </wp:positionH>
                <wp:positionV relativeFrom="paragraph">
                  <wp:posOffset>291076</wp:posOffset>
                </wp:positionV>
                <wp:extent cx="6350" cy="12700"/>
                <wp:effectExtent l="0" t="0" r="0" b="0"/>
                <wp:wrapTopAndBottom/>
                <wp:docPr id="558" name="Graphic 558"/>
                <wp:cNvGraphicFramePr>
                  <a:graphicFrameLocks/>
                </wp:cNvGraphicFramePr>
                <a:graphic>
                  <a:graphicData uri="http://schemas.microsoft.com/office/word/2010/wordprocessingShape">
                    <wps:wsp>
                      <wps:cNvPr id="558" name="Graphic 558"/>
                      <wps:cNvSpPr/>
                      <wps:spPr>
                        <a:xfrm>
                          <a:off x="0" y="0"/>
                          <a:ext cx="6350" cy="12700"/>
                        </a:xfrm>
                        <a:custGeom>
                          <a:avLst/>
                          <a:gdLst/>
                          <a:ahLst/>
                          <a:cxnLst/>
                          <a:rect l="l" t="t" r="r" b="b"/>
                          <a:pathLst>
                            <a:path w="6350" h="12700">
                              <a:moveTo>
                                <a:pt x="6337" y="0"/>
                              </a:moveTo>
                              <a:lnTo>
                                <a:pt x="0" y="0"/>
                              </a:lnTo>
                              <a:lnTo>
                                <a:pt x="0" y="12217"/>
                              </a:lnTo>
                              <a:lnTo>
                                <a:pt x="6337" y="12217"/>
                              </a:lnTo>
                              <a:lnTo>
                                <a:pt x="6337" y="0"/>
                              </a:lnTo>
                              <a:close/>
                            </a:path>
                          </a:pathLst>
                        </a:custGeom>
                        <a:solidFill>
                          <a:srgbClr val="4F81BB"/>
                        </a:solidFill>
                      </wps:spPr>
                      <wps:bodyPr wrap="square" lIns="0" tIns="0" rIns="0" bIns="0" rtlCol="0">
                        <a:prstTxWarp prst="textNoShape">
                          <a:avLst/>
                        </a:prstTxWarp>
                        <a:noAutofit/>
                      </wps:bodyPr>
                    </wps:wsp>
                  </a:graphicData>
                </a:graphic>
              </wp:anchor>
            </w:drawing>
          </mc:Choice>
          <mc:Fallback>
            <w:pict>
              <v:rect style="position:absolute;margin-left:70pt;margin-top:22.919441pt;width:.499pt;height:.962pt;mso-position-horizontal-relative:page;mso-position-vertical-relative:paragraph;z-index:-15621120;mso-wrap-distance-left:0;mso-wrap-distance-right:0" id="docshape455" filled="true" fillcolor="#4f81bb" stroked="false">
                <v:fill type="solid"/>
                <w10:wrap type="topAndBottom"/>
              </v:rect>
            </w:pict>
          </mc:Fallback>
        </mc:AlternateContent>
      </w:r>
    </w:p>
    <w:p>
      <w:pPr>
        <w:pStyle w:val="Heading7"/>
        <w:spacing w:before="120"/>
        <w:jc w:val="both"/>
      </w:pPr>
      <w:r>
        <w:rPr>
          <w:color w:val="365F91"/>
          <w:spacing w:val="-8"/>
        </w:rPr>
        <w:t>Department</w:t>
      </w:r>
      <w:r>
        <w:rPr>
          <w:color w:val="365F91"/>
          <w:spacing w:val="-15"/>
        </w:rPr>
        <w:t> </w:t>
      </w:r>
      <w:r>
        <w:rPr>
          <w:color w:val="365F91"/>
          <w:spacing w:val="-8"/>
        </w:rPr>
        <w:t>of</w:t>
      </w:r>
      <w:r>
        <w:rPr>
          <w:color w:val="365F91"/>
          <w:spacing w:val="-14"/>
        </w:rPr>
        <w:t> </w:t>
      </w:r>
      <w:r>
        <w:rPr>
          <w:color w:val="365F91"/>
          <w:spacing w:val="-8"/>
        </w:rPr>
        <w:t>Children</w:t>
      </w:r>
      <w:r>
        <w:rPr>
          <w:color w:val="365F91"/>
          <w:spacing w:val="-15"/>
        </w:rPr>
        <w:t> </w:t>
      </w:r>
      <w:r>
        <w:rPr>
          <w:color w:val="365F91"/>
          <w:spacing w:val="-8"/>
        </w:rPr>
        <w:t>&amp;</w:t>
      </w:r>
      <w:r>
        <w:rPr>
          <w:color w:val="365F91"/>
          <w:spacing w:val="-13"/>
        </w:rPr>
        <w:t> </w:t>
      </w:r>
      <w:r>
        <w:rPr>
          <w:color w:val="365F91"/>
          <w:spacing w:val="-8"/>
        </w:rPr>
        <w:t>Families</w:t>
      </w:r>
    </w:p>
    <w:p>
      <w:pPr>
        <w:pStyle w:val="BodyText"/>
        <w:rPr>
          <w:sz w:val="20"/>
        </w:rPr>
      </w:pPr>
    </w:p>
    <w:p>
      <w:pPr>
        <w:pStyle w:val="BodyText"/>
        <w:spacing w:before="141"/>
        <w:rPr>
          <w:sz w:val="20"/>
        </w:rPr>
      </w:pPr>
      <w:r>
        <w:rPr/>
        <mc:AlternateContent>
          <mc:Choice Requires="wps">
            <w:drawing>
              <wp:anchor distT="0" distB="0" distL="0" distR="0" allowOverlap="1" layoutInCell="1" locked="0" behindDoc="1" simplePos="0" relativeHeight="487695872">
                <wp:simplePos x="0" y="0"/>
                <wp:positionH relativeFrom="page">
                  <wp:posOffset>889000</wp:posOffset>
                </wp:positionH>
                <wp:positionV relativeFrom="paragraph">
                  <wp:posOffset>260259</wp:posOffset>
                </wp:positionV>
                <wp:extent cx="6350" cy="12700"/>
                <wp:effectExtent l="0" t="0" r="0" b="0"/>
                <wp:wrapTopAndBottom/>
                <wp:docPr id="559" name="Graphic 559"/>
                <wp:cNvGraphicFramePr>
                  <a:graphicFrameLocks/>
                </wp:cNvGraphicFramePr>
                <a:graphic>
                  <a:graphicData uri="http://schemas.microsoft.com/office/word/2010/wordprocessingShape">
                    <wps:wsp>
                      <wps:cNvPr id="559" name="Graphic 559"/>
                      <wps:cNvSpPr/>
                      <wps:spPr>
                        <a:xfrm>
                          <a:off x="0" y="0"/>
                          <a:ext cx="6350" cy="12700"/>
                        </a:xfrm>
                        <a:custGeom>
                          <a:avLst/>
                          <a:gdLst/>
                          <a:ahLst/>
                          <a:cxnLst/>
                          <a:rect l="l" t="t" r="r" b="b"/>
                          <a:pathLst>
                            <a:path w="6350" h="12700">
                              <a:moveTo>
                                <a:pt x="6337" y="0"/>
                              </a:moveTo>
                              <a:lnTo>
                                <a:pt x="0" y="0"/>
                              </a:lnTo>
                              <a:lnTo>
                                <a:pt x="0" y="12204"/>
                              </a:lnTo>
                              <a:lnTo>
                                <a:pt x="6337" y="12204"/>
                              </a:lnTo>
                              <a:lnTo>
                                <a:pt x="6337" y="0"/>
                              </a:lnTo>
                              <a:close/>
                            </a:path>
                          </a:pathLst>
                        </a:custGeom>
                        <a:solidFill>
                          <a:srgbClr val="4F81BB"/>
                        </a:solidFill>
                      </wps:spPr>
                      <wps:bodyPr wrap="square" lIns="0" tIns="0" rIns="0" bIns="0" rtlCol="0">
                        <a:prstTxWarp prst="textNoShape">
                          <a:avLst/>
                        </a:prstTxWarp>
                        <a:noAutofit/>
                      </wps:bodyPr>
                    </wps:wsp>
                  </a:graphicData>
                </a:graphic>
              </wp:anchor>
            </w:drawing>
          </mc:Choice>
          <mc:Fallback>
            <w:pict>
              <v:rect style="position:absolute;margin-left:70pt;margin-top:20.492907pt;width:.499pt;height:.961pt;mso-position-horizontal-relative:page;mso-position-vertical-relative:paragraph;z-index:-15620608;mso-wrap-distance-left:0;mso-wrap-distance-right:0" id="docshape456" filled="true" fillcolor="#4f81bb" stroked="false">
                <v:fill type="solid"/>
                <w10:wrap type="topAndBottom"/>
              </v:rect>
            </w:pict>
          </mc:Fallback>
        </mc:AlternateContent>
      </w:r>
    </w:p>
    <w:p>
      <w:pPr>
        <w:spacing w:before="0"/>
        <w:ind w:left="483" w:right="0" w:firstLine="0"/>
        <w:jc w:val="both"/>
        <w:rPr>
          <w:sz w:val="28"/>
        </w:rPr>
      </w:pPr>
      <w:r>
        <w:rPr>
          <w:color w:val="365F91"/>
          <w:sz w:val="28"/>
        </w:rPr>
        <w:t>FY</w:t>
      </w:r>
      <w:r>
        <w:rPr>
          <w:color w:val="365F91"/>
          <w:spacing w:val="-7"/>
          <w:sz w:val="28"/>
        </w:rPr>
        <w:t> </w:t>
      </w:r>
      <w:r>
        <w:rPr>
          <w:color w:val="365F91"/>
          <w:sz w:val="28"/>
        </w:rPr>
        <w:t>2025</w:t>
      </w:r>
      <w:r>
        <w:rPr>
          <w:color w:val="365F91"/>
          <w:spacing w:val="-6"/>
          <w:sz w:val="28"/>
        </w:rPr>
        <w:t> </w:t>
      </w:r>
      <w:r>
        <w:rPr>
          <w:color w:val="365F91"/>
          <w:spacing w:val="-2"/>
          <w:sz w:val="28"/>
        </w:rPr>
        <w:t>Recommendations</w:t>
      </w:r>
    </w:p>
    <w:p>
      <w:pPr>
        <w:pStyle w:val="BodyText"/>
        <w:spacing w:before="10"/>
        <w:rPr>
          <w:sz w:val="3"/>
        </w:rPr>
      </w:pPr>
      <w:r>
        <w:rPr/>
        <mc:AlternateContent>
          <mc:Choice Requires="wps">
            <w:drawing>
              <wp:anchor distT="0" distB="0" distL="0" distR="0" allowOverlap="1" layoutInCell="1" locked="0" behindDoc="1" simplePos="0" relativeHeight="487696384">
                <wp:simplePos x="0" y="0"/>
                <wp:positionH relativeFrom="page">
                  <wp:posOffset>897636</wp:posOffset>
                </wp:positionH>
                <wp:positionV relativeFrom="paragraph">
                  <wp:posOffset>45417</wp:posOffset>
                </wp:positionV>
                <wp:extent cx="5976620" cy="6350"/>
                <wp:effectExtent l="0" t="0" r="0" b="0"/>
                <wp:wrapTopAndBottom/>
                <wp:docPr id="560" name="Graphic 560"/>
                <wp:cNvGraphicFramePr>
                  <a:graphicFrameLocks/>
                </wp:cNvGraphicFramePr>
                <a:graphic>
                  <a:graphicData uri="http://schemas.microsoft.com/office/word/2010/wordprocessingShape">
                    <wps:wsp>
                      <wps:cNvPr id="560" name="Graphic 560"/>
                      <wps:cNvSpPr/>
                      <wps:spPr>
                        <a:xfrm>
                          <a:off x="0" y="0"/>
                          <a:ext cx="5976620" cy="6350"/>
                        </a:xfrm>
                        <a:custGeom>
                          <a:avLst/>
                          <a:gdLst/>
                          <a:ahLst/>
                          <a:cxnLst/>
                          <a:rect l="l" t="t" r="r" b="b"/>
                          <a:pathLst>
                            <a:path w="5976620" h="6350">
                              <a:moveTo>
                                <a:pt x="5976366" y="0"/>
                              </a:moveTo>
                              <a:lnTo>
                                <a:pt x="0" y="0"/>
                              </a:lnTo>
                              <a:lnTo>
                                <a:pt x="0" y="6095"/>
                              </a:lnTo>
                              <a:lnTo>
                                <a:pt x="5976366" y="6095"/>
                              </a:lnTo>
                              <a:lnTo>
                                <a:pt x="5976366" y="0"/>
                              </a:lnTo>
                              <a:close/>
                            </a:path>
                          </a:pathLst>
                        </a:custGeom>
                        <a:solidFill>
                          <a:srgbClr val="4F81BC"/>
                        </a:solidFill>
                      </wps:spPr>
                      <wps:bodyPr wrap="square" lIns="0" tIns="0" rIns="0" bIns="0" rtlCol="0">
                        <a:prstTxWarp prst="textNoShape">
                          <a:avLst/>
                        </a:prstTxWarp>
                        <a:noAutofit/>
                      </wps:bodyPr>
                    </wps:wsp>
                  </a:graphicData>
                </a:graphic>
              </wp:anchor>
            </w:drawing>
          </mc:Choice>
          <mc:Fallback>
            <w:pict>
              <v:rect style="position:absolute;margin-left:70.680pt;margin-top:3.576156pt;width:470.58pt;height:.48pt;mso-position-horizontal-relative:page;mso-position-vertical-relative:paragraph;z-index:-15620096;mso-wrap-distance-left:0;mso-wrap-distance-right:0" id="docshape457" filled="true" fillcolor="#4f81bc" stroked="false">
                <v:fill type="solid"/>
                <w10:wrap type="topAndBottom"/>
              </v:rect>
            </w:pict>
          </mc:Fallback>
        </mc:AlternateContent>
      </w:r>
    </w:p>
    <w:p>
      <w:pPr>
        <w:pStyle w:val="ListParagraph"/>
        <w:numPr>
          <w:ilvl w:val="0"/>
          <w:numId w:val="35"/>
        </w:numPr>
        <w:tabs>
          <w:tab w:pos="1194" w:val="left" w:leader="none"/>
          <w:tab w:pos="1203" w:val="left" w:leader="none"/>
        </w:tabs>
        <w:spacing w:line="276" w:lineRule="auto" w:before="241" w:after="0"/>
        <w:ind w:left="1203" w:right="343" w:hanging="361"/>
        <w:jc w:val="left"/>
        <w:rPr>
          <w:sz w:val="22"/>
        </w:rPr>
      </w:pPr>
      <w:r>
        <w:rPr>
          <w:sz w:val="22"/>
        </w:rPr>
        <w:t>Ensure</w:t>
      </w:r>
      <w:r>
        <w:rPr>
          <w:spacing w:val="70"/>
          <w:sz w:val="22"/>
        </w:rPr>
        <w:t> </w:t>
      </w:r>
      <w:r>
        <w:rPr>
          <w:sz w:val="22"/>
        </w:rPr>
        <w:t>thorough</w:t>
      </w:r>
      <w:r>
        <w:rPr>
          <w:spacing w:val="69"/>
          <w:sz w:val="22"/>
        </w:rPr>
        <w:t> </w:t>
      </w:r>
      <w:r>
        <w:rPr>
          <w:sz w:val="22"/>
        </w:rPr>
        <w:t>and</w:t>
      </w:r>
      <w:r>
        <w:rPr>
          <w:spacing w:val="69"/>
          <w:sz w:val="22"/>
        </w:rPr>
        <w:t> </w:t>
      </w:r>
      <w:r>
        <w:rPr>
          <w:sz w:val="22"/>
        </w:rPr>
        <w:t>accurate</w:t>
      </w:r>
      <w:r>
        <w:rPr>
          <w:spacing w:val="70"/>
          <w:sz w:val="22"/>
        </w:rPr>
        <w:t> </w:t>
      </w:r>
      <w:r>
        <w:rPr>
          <w:sz w:val="22"/>
        </w:rPr>
        <w:t>SOGI</w:t>
      </w:r>
      <w:r>
        <w:rPr>
          <w:spacing w:val="69"/>
          <w:sz w:val="22"/>
        </w:rPr>
        <w:t> </w:t>
      </w:r>
      <w:r>
        <w:rPr>
          <w:sz w:val="22"/>
        </w:rPr>
        <w:t>data</w:t>
      </w:r>
      <w:r>
        <w:rPr>
          <w:spacing w:val="70"/>
          <w:sz w:val="22"/>
        </w:rPr>
        <w:t> </w:t>
      </w:r>
      <w:r>
        <w:rPr>
          <w:sz w:val="22"/>
        </w:rPr>
        <w:t>collection</w:t>
      </w:r>
      <w:r>
        <w:rPr>
          <w:spacing w:val="69"/>
          <w:sz w:val="22"/>
        </w:rPr>
        <w:t> </w:t>
      </w:r>
      <w:r>
        <w:rPr>
          <w:sz w:val="22"/>
        </w:rPr>
        <w:t>through</w:t>
      </w:r>
      <w:r>
        <w:rPr>
          <w:spacing w:val="71"/>
          <w:sz w:val="22"/>
        </w:rPr>
        <w:t> </w:t>
      </w:r>
      <w:r>
        <w:rPr>
          <w:sz w:val="22"/>
        </w:rPr>
        <w:t>implementation</w:t>
      </w:r>
      <w:r>
        <w:rPr>
          <w:spacing w:val="69"/>
          <w:sz w:val="22"/>
        </w:rPr>
        <w:t> </w:t>
      </w:r>
      <w:r>
        <w:rPr>
          <w:sz w:val="22"/>
        </w:rPr>
        <w:t>of</w:t>
      </w:r>
      <w:r>
        <w:rPr>
          <w:spacing w:val="70"/>
          <w:sz w:val="22"/>
        </w:rPr>
        <w:t> </w:t>
      </w:r>
      <w:r>
        <w:rPr>
          <w:sz w:val="22"/>
        </w:rPr>
        <w:t>the</w:t>
      </w:r>
      <w:r>
        <w:rPr>
          <w:spacing w:val="71"/>
          <w:sz w:val="22"/>
        </w:rPr>
        <w:t> </w:t>
      </w:r>
      <w:r>
        <w:rPr>
          <w:sz w:val="22"/>
        </w:rPr>
        <w:t>new mandatory data elements and staff training.</w:t>
      </w:r>
    </w:p>
    <w:p>
      <w:pPr>
        <w:pStyle w:val="ListParagraph"/>
        <w:numPr>
          <w:ilvl w:val="0"/>
          <w:numId w:val="35"/>
        </w:numPr>
        <w:tabs>
          <w:tab w:pos="1196" w:val="left" w:leader="none"/>
        </w:tabs>
        <w:spacing w:line="268" w:lineRule="exact" w:before="0" w:after="0"/>
        <w:ind w:left="1196" w:right="0" w:hanging="353"/>
        <w:jc w:val="left"/>
        <w:rPr>
          <w:sz w:val="22"/>
        </w:rPr>
      </w:pPr>
      <w:r>
        <w:rPr>
          <w:sz w:val="22"/>
        </w:rPr>
        <w:t>Review</w:t>
      </w:r>
      <w:r>
        <w:rPr>
          <w:spacing w:val="-11"/>
          <w:sz w:val="22"/>
        </w:rPr>
        <w:t> </w:t>
      </w:r>
      <w:r>
        <w:rPr>
          <w:sz w:val="22"/>
        </w:rPr>
        <w:t>and</w:t>
      </w:r>
      <w:r>
        <w:rPr>
          <w:spacing w:val="-10"/>
          <w:sz w:val="22"/>
        </w:rPr>
        <w:t> </w:t>
      </w:r>
      <w:r>
        <w:rPr>
          <w:sz w:val="22"/>
        </w:rPr>
        <w:t>continue</w:t>
      </w:r>
      <w:r>
        <w:rPr>
          <w:spacing w:val="-9"/>
          <w:sz w:val="22"/>
        </w:rPr>
        <w:t> </w:t>
      </w:r>
      <w:r>
        <w:rPr>
          <w:sz w:val="22"/>
        </w:rPr>
        <w:t>implementation</w:t>
      </w:r>
      <w:r>
        <w:rPr>
          <w:spacing w:val="-11"/>
          <w:sz w:val="22"/>
        </w:rPr>
        <w:t> </w:t>
      </w:r>
      <w:r>
        <w:rPr>
          <w:sz w:val="22"/>
        </w:rPr>
        <w:t>of</w:t>
      </w:r>
      <w:r>
        <w:rPr>
          <w:spacing w:val="-10"/>
          <w:sz w:val="22"/>
        </w:rPr>
        <w:t> </w:t>
      </w:r>
      <w:r>
        <w:rPr>
          <w:sz w:val="22"/>
        </w:rPr>
        <w:t>LGBTQ-inclusive</w:t>
      </w:r>
      <w:r>
        <w:rPr>
          <w:spacing w:val="-11"/>
          <w:sz w:val="22"/>
        </w:rPr>
        <w:t> </w:t>
      </w:r>
      <w:r>
        <w:rPr>
          <w:spacing w:val="-2"/>
          <w:sz w:val="22"/>
        </w:rPr>
        <w:t>policies.</w:t>
      </w:r>
    </w:p>
    <w:p>
      <w:pPr>
        <w:pStyle w:val="ListParagraph"/>
        <w:numPr>
          <w:ilvl w:val="0"/>
          <w:numId w:val="35"/>
        </w:numPr>
        <w:tabs>
          <w:tab w:pos="1196" w:val="left" w:leader="none"/>
          <w:tab w:pos="1203" w:val="left" w:leader="none"/>
        </w:tabs>
        <w:spacing w:line="276" w:lineRule="auto" w:before="42" w:after="0"/>
        <w:ind w:left="1203" w:right="341" w:hanging="360"/>
        <w:jc w:val="left"/>
        <w:rPr>
          <w:sz w:val="22"/>
        </w:rPr>
      </w:pPr>
      <w:r>
        <w:rPr>
          <w:sz w:val="22"/>
        </w:rPr>
        <w:t>Explore</w:t>
      </w:r>
      <w:r>
        <w:rPr>
          <w:spacing w:val="38"/>
          <w:sz w:val="22"/>
        </w:rPr>
        <w:t> </w:t>
      </w:r>
      <w:r>
        <w:rPr>
          <w:sz w:val="22"/>
        </w:rPr>
        <w:t>the</w:t>
      </w:r>
      <w:r>
        <w:rPr>
          <w:spacing w:val="38"/>
          <w:sz w:val="22"/>
        </w:rPr>
        <w:t> </w:t>
      </w:r>
      <w:r>
        <w:rPr>
          <w:sz w:val="22"/>
        </w:rPr>
        <w:t>creation</w:t>
      </w:r>
      <w:r>
        <w:rPr>
          <w:spacing w:val="37"/>
          <w:sz w:val="22"/>
        </w:rPr>
        <w:t> </w:t>
      </w:r>
      <w:r>
        <w:rPr>
          <w:sz w:val="22"/>
        </w:rPr>
        <w:t>of</w:t>
      </w:r>
      <w:r>
        <w:rPr>
          <w:spacing w:val="37"/>
          <w:sz w:val="22"/>
        </w:rPr>
        <w:t> </w:t>
      </w:r>
      <w:r>
        <w:rPr>
          <w:sz w:val="22"/>
        </w:rPr>
        <w:t>an</w:t>
      </w:r>
      <w:r>
        <w:rPr>
          <w:spacing w:val="37"/>
          <w:sz w:val="22"/>
        </w:rPr>
        <w:t> </w:t>
      </w:r>
      <w:r>
        <w:rPr>
          <w:sz w:val="22"/>
        </w:rPr>
        <w:t>internal</w:t>
      </w:r>
      <w:r>
        <w:rPr>
          <w:spacing w:val="37"/>
          <w:sz w:val="22"/>
        </w:rPr>
        <w:t> </w:t>
      </w:r>
      <w:r>
        <w:rPr>
          <w:sz w:val="22"/>
        </w:rPr>
        <w:t>coding</w:t>
      </w:r>
      <w:r>
        <w:rPr>
          <w:spacing w:val="37"/>
          <w:sz w:val="22"/>
        </w:rPr>
        <w:t> </w:t>
      </w:r>
      <w:r>
        <w:rPr>
          <w:sz w:val="22"/>
        </w:rPr>
        <w:t>system</w:t>
      </w:r>
      <w:r>
        <w:rPr>
          <w:spacing w:val="39"/>
          <w:sz w:val="22"/>
        </w:rPr>
        <w:t> </w:t>
      </w:r>
      <w:r>
        <w:rPr>
          <w:sz w:val="22"/>
        </w:rPr>
        <w:t>to</w:t>
      </w:r>
      <w:r>
        <w:rPr>
          <w:spacing w:val="38"/>
          <w:sz w:val="22"/>
        </w:rPr>
        <w:t> </w:t>
      </w:r>
      <w:r>
        <w:rPr>
          <w:sz w:val="22"/>
        </w:rPr>
        <w:t>provide</w:t>
      </w:r>
      <w:r>
        <w:rPr>
          <w:spacing w:val="37"/>
          <w:sz w:val="22"/>
        </w:rPr>
        <w:t> </w:t>
      </w:r>
      <w:r>
        <w:rPr>
          <w:sz w:val="22"/>
        </w:rPr>
        <w:t>greater</w:t>
      </w:r>
      <w:r>
        <w:rPr>
          <w:spacing w:val="37"/>
          <w:sz w:val="22"/>
        </w:rPr>
        <w:t> </w:t>
      </w:r>
      <w:r>
        <w:rPr>
          <w:sz w:val="22"/>
        </w:rPr>
        <w:t>transparency</w:t>
      </w:r>
      <w:r>
        <w:rPr>
          <w:spacing w:val="37"/>
          <w:sz w:val="22"/>
        </w:rPr>
        <w:t> </w:t>
      </w:r>
      <w:r>
        <w:rPr>
          <w:sz w:val="22"/>
        </w:rPr>
        <w:t>and</w:t>
      </w:r>
      <w:r>
        <w:rPr>
          <w:spacing w:val="38"/>
          <w:sz w:val="22"/>
        </w:rPr>
        <w:t> </w:t>
      </w:r>
      <w:r>
        <w:rPr>
          <w:sz w:val="22"/>
        </w:rPr>
        <w:t>case information for DCF workers.</w:t>
      </w:r>
    </w:p>
    <w:p>
      <w:pPr>
        <w:pStyle w:val="ListParagraph"/>
        <w:numPr>
          <w:ilvl w:val="0"/>
          <w:numId w:val="35"/>
        </w:numPr>
        <w:tabs>
          <w:tab w:pos="1194" w:val="left" w:leader="none"/>
          <w:tab w:pos="1203" w:val="left" w:leader="none"/>
        </w:tabs>
        <w:spacing w:line="276" w:lineRule="auto" w:before="0" w:after="0"/>
        <w:ind w:left="1203" w:right="344" w:hanging="361"/>
        <w:jc w:val="left"/>
        <w:rPr>
          <w:sz w:val="22"/>
        </w:rPr>
      </w:pPr>
      <w:r>
        <w:rPr>
          <w:sz w:val="22"/>
        </w:rPr>
        <w:t>Update</w:t>
      </w:r>
      <w:r>
        <w:rPr>
          <w:spacing w:val="-1"/>
          <w:sz w:val="22"/>
        </w:rPr>
        <w:t> </w:t>
      </w:r>
      <w:r>
        <w:rPr>
          <w:sz w:val="22"/>
        </w:rPr>
        <w:t>the</w:t>
      </w:r>
      <w:r>
        <w:rPr>
          <w:spacing w:val="-1"/>
          <w:sz w:val="22"/>
        </w:rPr>
        <w:t> </w:t>
      </w:r>
      <w:r>
        <w:rPr>
          <w:sz w:val="22"/>
        </w:rPr>
        <w:t>LGBTQ</w:t>
      </w:r>
      <w:r>
        <w:rPr>
          <w:spacing w:val="-1"/>
          <w:sz w:val="22"/>
        </w:rPr>
        <w:t> </w:t>
      </w:r>
      <w:r>
        <w:rPr>
          <w:sz w:val="22"/>
        </w:rPr>
        <w:t>Guide and</w:t>
      </w:r>
      <w:r>
        <w:rPr>
          <w:spacing w:val="-2"/>
          <w:sz w:val="22"/>
        </w:rPr>
        <w:t> </w:t>
      </w:r>
      <w:r>
        <w:rPr>
          <w:sz w:val="22"/>
        </w:rPr>
        <w:t>ensure</w:t>
      </w:r>
      <w:r>
        <w:rPr>
          <w:spacing w:val="-1"/>
          <w:sz w:val="22"/>
        </w:rPr>
        <w:t> </w:t>
      </w:r>
      <w:r>
        <w:rPr>
          <w:sz w:val="22"/>
        </w:rPr>
        <w:t>that</w:t>
      </w:r>
      <w:r>
        <w:rPr>
          <w:spacing w:val="-2"/>
          <w:sz w:val="22"/>
        </w:rPr>
        <w:t> </w:t>
      </w:r>
      <w:r>
        <w:rPr>
          <w:sz w:val="22"/>
        </w:rPr>
        <w:t>all</w:t>
      </w:r>
      <w:r>
        <w:rPr>
          <w:spacing w:val="-1"/>
          <w:sz w:val="22"/>
        </w:rPr>
        <w:t> </w:t>
      </w:r>
      <w:r>
        <w:rPr>
          <w:sz w:val="22"/>
        </w:rPr>
        <w:t>staff,</w:t>
      </w:r>
      <w:r>
        <w:rPr>
          <w:spacing w:val="-2"/>
          <w:sz w:val="22"/>
        </w:rPr>
        <w:t> </w:t>
      </w:r>
      <w:r>
        <w:rPr>
          <w:sz w:val="22"/>
        </w:rPr>
        <w:t>providers,</w:t>
      </w:r>
      <w:r>
        <w:rPr>
          <w:spacing w:val="-2"/>
          <w:sz w:val="22"/>
        </w:rPr>
        <w:t> </w:t>
      </w:r>
      <w:r>
        <w:rPr>
          <w:sz w:val="22"/>
        </w:rPr>
        <w:t>youth,</w:t>
      </w:r>
      <w:r>
        <w:rPr>
          <w:spacing w:val="-2"/>
          <w:sz w:val="22"/>
        </w:rPr>
        <w:t> </w:t>
      </w:r>
      <w:r>
        <w:rPr>
          <w:sz w:val="22"/>
        </w:rPr>
        <w:t>and</w:t>
      </w:r>
      <w:r>
        <w:rPr>
          <w:spacing w:val="-2"/>
          <w:sz w:val="22"/>
        </w:rPr>
        <w:t> </w:t>
      </w:r>
      <w:r>
        <w:rPr>
          <w:sz w:val="22"/>
        </w:rPr>
        <w:t>families</w:t>
      </w:r>
      <w:r>
        <w:rPr>
          <w:spacing w:val="-2"/>
          <w:sz w:val="22"/>
        </w:rPr>
        <w:t> </w:t>
      </w:r>
      <w:r>
        <w:rPr>
          <w:sz w:val="22"/>
        </w:rPr>
        <w:t>are</w:t>
      </w:r>
      <w:r>
        <w:rPr>
          <w:spacing w:val="-2"/>
          <w:sz w:val="22"/>
        </w:rPr>
        <w:t> </w:t>
      </w:r>
      <w:r>
        <w:rPr>
          <w:sz w:val="22"/>
        </w:rPr>
        <w:t>aware</w:t>
      </w:r>
      <w:r>
        <w:rPr>
          <w:spacing w:val="-1"/>
          <w:sz w:val="22"/>
        </w:rPr>
        <w:t> </w:t>
      </w:r>
      <w:r>
        <w:rPr>
          <w:sz w:val="22"/>
        </w:rPr>
        <w:t>of</w:t>
      </w:r>
      <w:r>
        <w:rPr>
          <w:spacing w:val="-2"/>
          <w:sz w:val="22"/>
        </w:rPr>
        <w:t> </w:t>
      </w:r>
      <w:r>
        <w:rPr>
          <w:sz w:val="22"/>
        </w:rPr>
        <w:t>its existence and able to access a copy.</w:t>
      </w:r>
    </w:p>
    <w:p>
      <w:pPr>
        <w:pStyle w:val="ListParagraph"/>
        <w:numPr>
          <w:ilvl w:val="0"/>
          <w:numId w:val="35"/>
        </w:numPr>
        <w:tabs>
          <w:tab w:pos="1194" w:val="left" w:leader="none"/>
          <w:tab w:pos="1203" w:val="left" w:leader="none"/>
        </w:tabs>
        <w:spacing w:line="276" w:lineRule="auto" w:before="0" w:after="0"/>
        <w:ind w:left="1203" w:right="342" w:hanging="361"/>
        <w:jc w:val="left"/>
        <w:rPr>
          <w:sz w:val="22"/>
        </w:rPr>
      </w:pPr>
      <w:r>
        <w:rPr>
          <w:sz w:val="22"/>
        </w:rPr>
        <w:t>Ensure</w:t>
      </w:r>
      <w:r>
        <w:rPr>
          <w:spacing w:val="39"/>
          <w:sz w:val="22"/>
        </w:rPr>
        <w:t> </w:t>
      </w:r>
      <w:r>
        <w:rPr>
          <w:sz w:val="22"/>
        </w:rPr>
        <w:t>implementation</w:t>
      </w:r>
      <w:r>
        <w:rPr>
          <w:spacing w:val="39"/>
          <w:sz w:val="22"/>
        </w:rPr>
        <w:t> </w:t>
      </w:r>
      <w:r>
        <w:rPr>
          <w:sz w:val="22"/>
        </w:rPr>
        <w:t>of</w:t>
      </w:r>
      <w:r>
        <w:rPr>
          <w:spacing w:val="40"/>
          <w:sz w:val="22"/>
        </w:rPr>
        <w:t> </w:t>
      </w:r>
      <w:r>
        <w:rPr>
          <w:sz w:val="22"/>
        </w:rPr>
        <w:t>the</w:t>
      </w:r>
      <w:r>
        <w:rPr>
          <w:spacing w:val="40"/>
          <w:sz w:val="22"/>
        </w:rPr>
        <w:t> </w:t>
      </w:r>
      <w:r>
        <w:rPr>
          <w:sz w:val="22"/>
        </w:rPr>
        <w:t>updated</w:t>
      </w:r>
      <w:r>
        <w:rPr>
          <w:spacing w:val="39"/>
          <w:sz w:val="22"/>
        </w:rPr>
        <w:t> </w:t>
      </w:r>
      <w:r>
        <w:rPr>
          <w:sz w:val="22"/>
        </w:rPr>
        <w:t>MAPP</w:t>
      </w:r>
      <w:r>
        <w:rPr>
          <w:spacing w:val="40"/>
          <w:sz w:val="22"/>
        </w:rPr>
        <w:t> </w:t>
      </w:r>
      <w:r>
        <w:rPr>
          <w:sz w:val="22"/>
        </w:rPr>
        <w:t>training</w:t>
      </w:r>
      <w:r>
        <w:rPr>
          <w:spacing w:val="40"/>
          <w:sz w:val="22"/>
        </w:rPr>
        <w:t> </w:t>
      </w:r>
      <w:r>
        <w:rPr>
          <w:sz w:val="22"/>
        </w:rPr>
        <w:t>curriculum</w:t>
      </w:r>
      <w:r>
        <w:rPr>
          <w:spacing w:val="39"/>
          <w:sz w:val="22"/>
        </w:rPr>
        <w:t> </w:t>
      </w:r>
      <w:r>
        <w:rPr>
          <w:sz w:val="22"/>
        </w:rPr>
        <w:t>and</w:t>
      </w:r>
      <w:r>
        <w:rPr>
          <w:spacing w:val="40"/>
          <w:sz w:val="22"/>
        </w:rPr>
        <w:t> </w:t>
      </w:r>
      <w:r>
        <w:rPr>
          <w:sz w:val="22"/>
        </w:rPr>
        <w:t>establish</w:t>
      </w:r>
      <w:r>
        <w:rPr>
          <w:spacing w:val="39"/>
          <w:sz w:val="22"/>
        </w:rPr>
        <w:t> </w:t>
      </w:r>
      <w:r>
        <w:rPr>
          <w:sz w:val="22"/>
        </w:rPr>
        <w:t>a</w:t>
      </w:r>
      <w:r>
        <w:rPr>
          <w:spacing w:val="40"/>
          <w:sz w:val="22"/>
        </w:rPr>
        <w:t> </w:t>
      </w:r>
      <w:r>
        <w:rPr>
          <w:sz w:val="22"/>
        </w:rPr>
        <w:t>system</w:t>
      </w:r>
      <w:r>
        <w:rPr>
          <w:spacing w:val="39"/>
          <w:sz w:val="22"/>
        </w:rPr>
        <w:t> </w:t>
      </w:r>
      <w:r>
        <w:rPr>
          <w:sz w:val="22"/>
        </w:rPr>
        <w:t>of frequent reviews and updates to ensure continued relevance.</w:t>
      </w:r>
    </w:p>
    <w:p>
      <w:pPr>
        <w:spacing w:after="0" w:line="276" w:lineRule="auto"/>
        <w:jc w:val="left"/>
        <w:rPr>
          <w:sz w:val="22"/>
        </w:rPr>
        <w:sectPr>
          <w:headerReference w:type="default" r:id="rId720"/>
          <w:footerReference w:type="default" r:id="rId721"/>
          <w:pgSz w:w="12240" w:h="15840"/>
          <w:pgMar w:header="804" w:footer="1263" w:top="1000" w:bottom="1460" w:left="960" w:right="1100"/>
        </w:sectPr>
      </w:pPr>
    </w:p>
    <w:p>
      <w:pPr>
        <w:pStyle w:val="ListParagraph"/>
        <w:numPr>
          <w:ilvl w:val="0"/>
          <w:numId w:val="35"/>
        </w:numPr>
        <w:tabs>
          <w:tab w:pos="1196" w:val="left" w:leader="none"/>
          <w:tab w:pos="1203" w:val="left" w:leader="none"/>
        </w:tabs>
        <w:spacing w:line="276" w:lineRule="auto" w:before="139" w:after="0"/>
        <w:ind w:left="1203" w:right="342" w:hanging="360"/>
        <w:jc w:val="left"/>
        <w:rPr>
          <w:sz w:val="22"/>
        </w:rPr>
      </w:pPr>
      <w:r>
        <w:rPr>
          <w:sz w:val="22"/>
        </w:rPr>
        <w:t>Improve</w:t>
      </w:r>
      <w:r>
        <w:rPr>
          <w:spacing w:val="40"/>
          <w:sz w:val="22"/>
        </w:rPr>
        <w:t> </w:t>
      </w:r>
      <w:r>
        <w:rPr>
          <w:sz w:val="22"/>
        </w:rPr>
        <w:t>recruitment</w:t>
      </w:r>
      <w:r>
        <w:rPr>
          <w:spacing w:val="40"/>
          <w:sz w:val="22"/>
        </w:rPr>
        <w:t> </w:t>
      </w:r>
      <w:r>
        <w:rPr>
          <w:sz w:val="22"/>
        </w:rPr>
        <w:t>of</w:t>
      </w:r>
      <w:r>
        <w:rPr>
          <w:spacing w:val="40"/>
          <w:sz w:val="22"/>
        </w:rPr>
        <w:t> </w:t>
      </w:r>
      <w:r>
        <w:rPr>
          <w:sz w:val="22"/>
        </w:rPr>
        <w:t>LGBTQ-affirming</w:t>
      </w:r>
      <w:r>
        <w:rPr>
          <w:spacing w:val="40"/>
          <w:sz w:val="22"/>
        </w:rPr>
        <w:t> </w:t>
      </w:r>
      <w:r>
        <w:rPr>
          <w:sz w:val="22"/>
        </w:rPr>
        <w:t>foster</w:t>
      </w:r>
      <w:r>
        <w:rPr>
          <w:spacing w:val="40"/>
          <w:sz w:val="22"/>
        </w:rPr>
        <w:t> </w:t>
      </w:r>
      <w:r>
        <w:rPr>
          <w:sz w:val="22"/>
        </w:rPr>
        <w:t>parents</w:t>
      </w:r>
      <w:r>
        <w:rPr>
          <w:spacing w:val="40"/>
          <w:sz w:val="22"/>
        </w:rPr>
        <w:t> </w:t>
      </w:r>
      <w:r>
        <w:rPr>
          <w:sz w:val="22"/>
        </w:rPr>
        <w:t>and</w:t>
      </w:r>
      <w:r>
        <w:rPr>
          <w:spacing w:val="40"/>
          <w:sz w:val="22"/>
        </w:rPr>
        <w:t> </w:t>
      </w:r>
      <w:r>
        <w:rPr>
          <w:sz w:val="22"/>
        </w:rPr>
        <w:t>create</w:t>
      </w:r>
      <w:r>
        <w:rPr>
          <w:spacing w:val="40"/>
          <w:sz w:val="22"/>
        </w:rPr>
        <w:t> </w:t>
      </w:r>
      <w:r>
        <w:rPr>
          <w:sz w:val="22"/>
        </w:rPr>
        <w:t>a</w:t>
      </w:r>
      <w:r>
        <w:rPr>
          <w:spacing w:val="40"/>
          <w:sz w:val="22"/>
        </w:rPr>
        <w:t> </w:t>
      </w:r>
      <w:r>
        <w:rPr>
          <w:sz w:val="22"/>
        </w:rPr>
        <w:t>statewide</w:t>
      </w:r>
      <w:r>
        <w:rPr>
          <w:spacing w:val="40"/>
          <w:sz w:val="22"/>
        </w:rPr>
        <w:t> </w:t>
      </w:r>
      <w:r>
        <w:rPr>
          <w:sz w:val="22"/>
        </w:rPr>
        <w:t>database</w:t>
      </w:r>
      <w:r>
        <w:rPr>
          <w:spacing w:val="40"/>
          <w:sz w:val="22"/>
        </w:rPr>
        <w:t> </w:t>
      </w:r>
      <w:r>
        <w:rPr>
          <w:sz w:val="22"/>
        </w:rPr>
        <w:t>of LGBTQ-affirming homes.</w:t>
      </w:r>
    </w:p>
    <w:p>
      <w:pPr>
        <w:pStyle w:val="ListParagraph"/>
        <w:numPr>
          <w:ilvl w:val="0"/>
          <w:numId w:val="35"/>
        </w:numPr>
        <w:tabs>
          <w:tab w:pos="1194" w:val="left" w:leader="none"/>
          <w:tab w:pos="1203" w:val="left" w:leader="none"/>
        </w:tabs>
        <w:spacing w:line="276" w:lineRule="auto" w:before="0" w:after="0"/>
        <w:ind w:left="1203" w:right="345" w:hanging="361"/>
        <w:jc w:val="left"/>
        <w:rPr>
          <w:sz w:val="22"/>
        </w:rPr>
      </w:pPr>
      <w:r>
        <w:rPr>
          <w:sz w:val="22"/>
        </w:rPr>
        <w:t>Partner with LGBTQ youth and organizations to create and disseminate tangible resources for</w:t>
      </w:r>
      <w:r>
        <w:rPr>
          <w:spacing w:val="40"/>
          <w:sz w:val="22"/>
        </w:rPr>
        <w:t> </w:t>
      </w:r>
      <w:r>
        <w:rPr>
          <w:sz w:val="22"/>
        </w:rPr>
        <w:t>youth, families, and social workers.</w:t>
      </w:r>
    </w:p>
    <w:p>
      <w:pPr>
        <w:pStyle w:val="ListParagraph"/>
        <w:numPr>
          <w:ilvl w:val="0"/>
          <w:numId w:val="35"/>
        </w:numPr>
        <w:tabs>
          <w:tab w:pos="1195" w:val="left" w:leader="none"/>
        </w:tabs>
        <w:spacing w:line="240" w:lineRule="auto" w:before="0" w:after="0"/>
        <w:ind w:left="1195" w:right="0" w:hanging="352"/>
        <w:jc w:val="left"/>
        <w:rPr>
          <w:sz w:val="22"/>
        </w:rPr>
      </w:pPr>
      <w:r>
        <w:rPr>
          <w:sz w:val="22"/>
        </w:rPr>
        <w:t>Investigate</w:t>
      </w:r>
      <w:r>
        <w:rPr>
          <w:spacing w:val="-6"/>
          <w:sz w:val="22"/>
        </w:rPr>
        <w:t> </w:t>
      </w:r>
      <w:r>
        <w:rPr>
          <w:sz w:val="22"/>
        </w:rPr>
        <w:t>and</w:t>
      </w:r>
      <w:r>
        <w:rPr>
          <w:spacing w:val="-7"/>
          <w:sz w:val="22"/>
        </w:rPr>
        <w:t> </w:t>
      </w:r>
      <w:r>
        <w:rPr>
          <w:sz w:val="22"/>
        </w:rPr>
        <w:t>address</w:t>
      </w:r>
      <w:r>
        <w:rPr>
          <w:spacing w:val="-7"/>
          <w:sz w:val="22"/>
        </w:rPr>
        <w:t> </w:t>
      </w:r>
      <w:r>
        <w:rPr>
          <w:sz w:val="22"/>
        </w:rPr>
        <w:t>gaps</w:t>
      </w:r>
      <w:r>
        <w:rPr>
          <w:spacing w:val="-7"/>
          <w:sz w:val="22"/>
        </w:rPr>
        <w:t> </w:t>
      </w:r>
      <w:r>
        <w:rPr>
          <w:sz w:val="22"/>
        </w:rPr>
        <w:t>in</w:t>
      </w:r>
      <w:r>
        <w:rPr>
          <w:spacing w:val="-7"/>
          <w:sz w:val="22"/>
        </w:rPr>
        <w:t> </w:t>
      </w:r>
      <w:r>
        <w:rPr>
          <w:sz w:val="22"/>
        </w:rPr>
        <w:t>service</w:t>
      </w:r>
      <w:r>
        <w:rPr>
          <w:spacing w:val="-6"/>
          <w:sz w:val="22"/>
        </w:rPr>
        <w:t> </w:t>
      </w:r>
      <w:r>
        <w:rPr>
          <w:sz w:val="22"/>
        </w:rPr>
        <w:t>provision</w:t>
      </w:r>
      <w:r>
        <w:rPr>
          <w:spacing w:val="-8"/>
          <w:sz w:val="22"/>
        </w:rPr>
        <w:t> </w:t>
      </w:r>
      <w:r>
        <w:rPr>
          <w:sz w:val="22"/>
        </w:rPr>
        <w:t>for</w:t>
      </w:r>
      <w:r>
        <w:rPr>
          <w:spacing w:val="-7"/>
          <w:sz w:val="22"/>
        </w:rPr>
        <w:t> </w:t>
      </w:r>
      <w:r>
        <w:rPr>
          <w:sz w:val="22"/>
        </w:rPr>
        <w:t>LGBTQ</w:t>
      </w:r>
      <w:r>
        <w:rPr>
          <w:spacing w:val="-7"/>
          <w:sz w:val="22"/>
        </w:rPr>
        <w:t> </w:t>
      </w:r>
      <w:r>
        <w:rPr>
          <w:sz w:val="22"/>
        </w:rPr>
        <w:t>immigrant</w:t>
      </w:r>
      <w:r>
        <w:rPr>
          <w:spacing w:val="-7"/>
          <w:sz w:val="22"/>
        </w:rPr>
        <w:t> </w:t>
      </w:r>
      <w:r>
        <w:rPr>
          <w:sz w:val="22"/>
        </w:rPr>
        <w:t>youth</w:t>
      </w:r>
      <w:r>
        <w:rPr>
          <w:spacing w:val="-7"/>
          <w:sz w:val="22"/>
        </w:rPr>
        <w:t> </w:t>
      </w:r>
      <w:r>
        <w:rPr>
          <w:sz w:val="22"/>
        </w:rPr>
        <w:t>in</w:t>
      </w:r>
      <w:r>
        <w:rPr>
          <w:spacing w:val="-7"/>
          <w:sz w:val="22"/>
        </w:rPr>
        <w:t> </w:t>
      </w:r>
      <w:r>
        <w:rPr>
          <w:sz w:val="22"/>
        </w:rPr>
        <w:t>DCF</w:t>
      </w:r>
      <w:r>
        <w:rPr>
          <w:spacing w:val="-6"/>
          <w:sz w:val="22"/>
        </w:rPr>
        <w:t> </w:t>
      </w:r>
      <w:r>
        <w:rPr>
          <w:spacing w:val="-2"/>
          <w:sz w:val="22"/>
        </w:rPr>
        <w:t>care.</w:t>
      </w:r>
    </w:p>
    <w:p>
      <w:pPr>
        <w:pStyle w:val="ListParagraph"/>
        <w:numPr>
          <w:ilvl w:val="0"/>
          <w:numId w:val="35"/>
        </w:numPr>
        <w:tabs>
          <w:tab w:pos="1195" w:val="left" w:leader="none"/>
          <w:tab w:pos="1204" w:val="left" w:leader="none"/>
        </w:tabs>
        <w:spacing w:line="276" w:lineRule="auto" w:before="39" w:after="0"/>
        <w:ind w:left="1204" w:right="342" w:hanging="361"/>
        <w:jc w:val="both"/>
        <w:rPr>
          <w:sz w:val="22"/>
        </w:rPr>
      </w:pPr>
      <w:r>
        <w:rPr>
          <w:sz w:val="22"/>
        </w:rPr>
        <w:t>Expand and mandate LGBTQ cultural engagement trainings, as well as trainings on racial equity, ableism, and adultism.</w:t>
      </w:r>
    </w:p>
    <w:p>
      <w:pPr>
        <w:pStyle w:val="ListParagraph"/>
        <w:numPr>
          <w:ilvl w:val="0"/>
          <w:numId w:val="35"/>
        </w:numPr>
        <w:tabs>
          <w:tab w:pos="1197" w:val="left" w:leader="none"/>
          <w:tab w:pos="1204" w:val="left" w:leader="none"/>
        </w:tabs>
        <w:spacing w:line="276" w:lineRule="auto" w:before="0" w:after="0"/>
        <w:ind w:left="1204" w:right="342" w:hanging="360"/>
        <w:jc w:val="both"/>
        <w:rPr>
          <w:sz w:val="22"/>
        </w:rPr>
      </w:pPr>
      <w:r>
        <w:rPr>
          <w:sz w:val="22"/>
        </w:rPr>
        <w:t>Improve interagency work to support “warm hand-offs” for transition-aged youth attempting to access services, in partnership with the Department of Mental Health, MassHealth, and the Department of Youth Services.</w:t>
      </w:r>
    </w:p>
    <w:p>
      <w:pPr>
        <w:pStyle w:val="ListParagraph"/>
        <w:numPr>
          <w:ilvl w:val="0"/>
          <w:numId w:val="35"/>
        </w:numPr>
        <w:tabs>
          <w:tab w:pos="1195" w:val="left" w:leader="none"/>
          <w:tab w:pos="1204" w:val="left" w:leader="none"/>
        </w:tabs>
        <w:spacing w:line="276" w:lineRule="auto" w:before="0" w:after="0"/>
        <w:ind w:left="1204" w:right="343" w:hanging="361"/>
        <w:jc w:val="both"/>
        <w:rPr>
          <w:sz w:val="22"/>
        </w:rPr>
      </w:pPr>
      <w:r>
        <w:rPr>
          <w:sz w:val="22"/>
        </w:rPr>
        <w:t>Improve family preservation services to safely monitor and mitigate concerns that may lead to the removal of a child.</w:t>
      </w:r>
    </w:p>
    <w:p>
      <w:pPr>
        <w:pStyle w:val="ListParagraph"/>
        <w:numPr>
          <w:ilvl w:val="0"/>
          <w:numId w:val="35"/>
        </w:numPr>
        <w:tabs>
          <w:tab w:pos="1197" w:val="left" w:leader="none"/>
          <w:tab w:pos="1204" w:val="left" w:leader="none"/>
        </w:tabs>
        <w:spacing w:line="276" w:lineRule="auto" w:before="0" w:after="0"/>
        <w:ind w:left="1204" w:right="343" w:hanging="360"/>
        <w:jc w:val="both"/>
        <w:rPr>
          <w:sz w:val="22"/>
        </w:rPr>
      </w:pPr>
      <w:r>
        <w:rPr>
          <w:sz w:val="22"/>
        </w:rPr>
        <w:t>Collaborate</w:t>
      </w:r>
      <w:r>
        <w:rPr>
          <w:spacing w:val="-4"/>
          <w:sz w:val="22"/>
        </w:rPr>
        <w:t> </w:t>
      </w:r>
      <w:r>
        <w:rPr>
          <w:sz w:val="22"/>
        </w:rPr>
        <w:t>with</w:t>
      </w:r>
      <w:r>
        <w:rPr>
          <w:spacing w:val="-3"/>
          <w:sz w:val="22"/>
        </w:rPr>
        <w:t> </w:t>
      </w:r>
      <w:r>
        <w:rPr>
          <w:sz w:val="22"/>
        </w:rPr>
        <w:t>the</w:t>
      </w:r>
      <w:r>
        <w:rPr>
          <w:spacing w:val="-4"/>
          <w:sz w:val="22"/>
        </w:rPr>
        <w:t> </w:t>
      </w:r>
      <w:r>
        <w:rPr>
          <w:sz w:val="22"/>
        </w:rPr>
        <w:t>Commission</w:t>
      </w:r>
      <w:r>
        <w:rPr>
          <w:spacing w:val="-4"/>
          <w:sz w:val="22"/>
        </w:rPr>
        <w:t> </w:t>
      </w:r>
      <w:r>
        <w:rPr>
          <w:sz w:val="22"/>
        </w:rPr>
        <w:t>and</w:t>
      </w:r>
      <w:r>
        <w:rPr>
          <w:spacing w:val="-3"/>
          <w:sz w:val="22"/>
        </w:rPr>
        <w:t> </w:t>
      </w:r>
      <w:r>
        <w:rPr>
          <w:sz w:val="22"/>
        </w:rPr>
        <w:t>providers</w:t>
      </w:r>
      <w:r>
        <w:rPr>
          <w:spacing w:val="-4"/>
          <w:sz w:val="22"/>
        </w:rPr>
        <w:t> </w:t>
      </w:r>
      <w:r>
        <w:rPr>
          <w:sz w:val="22"/>
        </w:rPr>
        <w:t>to</w:t>
      </w:r>
      <w:r>
        <w:rPr>
          <w:spacing w:val="-3"/>
          <w:sz w:val="22"/>
        </w:rPr>
        <w:t> </w:t>
      </w:r>
      <w:r>
        <w:rPr>
          <w:sz w:val="22"/>
        </w:rPr>
        <w:t>create</w:t>
      </w:r>
      <w:r>
        <w:rPr>
          <w:spacing w:val="-4"/>
          <w:sz w:val="22"/>
        </w:rPr>
        <w:t> </w:t>
      </w:r>
      <w:r>
        <w:rPr>
          <w:sz w:val="22"/>
        </w:rPr>
        <w:t>an</w:t>
      </w:r>
      <w:r>
        <w:rPr>
          <w:spacing w:val="-4"/>
          <w:sz w:val="22"/>
        </w:rPr>
        <w:t> </w:t>
      </w:r>
      <w:r>
        <w:rPr>
          <w:sz w:val="22"/>
        </w:rPr>
        <w:t>LGBTQ</w:t>
      </w:r>
      <w:r>
        <w:rPr>
          <w:spacing w:val="-4"/>
          <w:sz w:val="22"/>
        </w:rPr>
        <w:t> </w:t>
      </w:r>
      <w:r>
        <w:rPr>
          <w:sz w:val="22"/>
        </w:rPr>
        <w:t>parent</w:t>
      </w:r>
      <w:r>
        <w:rPr>
          <w:spacing w:val="-3"/>
          <w:sz w:val="22"/>
        </w:rPr>
        <w:t> </w:t>
      </w:r>
      <w:r>
        <w:rPr>
          <w:sz w:val="22"/>
        </w:rPr>
        <w:t>education</w:t>
      </w:r>
      <w:r>
        <w:rPr>
          <w:spacing w:val="-3"/>
          <w:sz w:val="22"/>
        </w:rPr>
        <w:t> </w:t>
      </w:r>
      <w:r>
        <w:rPr>
          <w:sz w:val="22"/>
        </w:rPr>
        <w:t>curriculum to better support family preservation services.</w:t>
      </w:r>
    </w:p>
    <w:p>
      <w:pPr>
        <w:pStyle w:val="ListParagraph"/>
        <w:numPr>
          <w:ilvl w:val="0"/>
          <w:numId w:val="35"/>
        </w:numPr>
        <w:tabs>
          <w:tab w:pos="1195" w:val="left" w:leader="none"/>
          <w:tab w:pos="1204" w:val="left" w:leader="none"/>
        </w:tabs>
        <w:spacing w:line="276" w:lineRule="auto" w:before="0" w:after="0"/>
        <w:ind w:left="1204" w:right="342" w:hanging="361"/>
        <w:jc w:val="both"/>
        <w:rPr>
          <w:sz w:val="22"/>
        </w:rPr>
      </w:pPr>
      <w:r>
        <w:rPr>
          <w:sz w:val="22"/>
        </w:rPr>
        <w:t>Review</w:t>
      </w:r>
      <w:r>
        <w:rPr>
          <w:spacing w:val="-5"/>
          <w:sz w:val="22"/>
        </w:rPr>
        <w:t> </w:t>
      </w:r>
      <w:r>
        <w:rPr>
          <w:sz w:val="22"/>
        </w:rPr>
        <w:t>all</w:t>
      </w:r>
      <w:r>
        <w:rPr>
          <w:spacing w:val="-6"/>
          <w:sz w:val="22"/>
        </w:rPr>
        <w:t> </w:t>
      </w:r>
      <w:r>
        <w:rPr>
          <w:sz w:val="22"/>
        </w:rPr>
        <w:t>internal</w:t>
      </w:r>
      <w:r>
        <w:rPr>
          <w:spacing w:val="-5"/>
          <w:sz w:val="22"/>
        </w:rPr>
        <w:t> </w:t>
      </w:r>
      <w:r>
        <w:rPr>
          <w:sz w:val="22"/>
        </w:rPr>
        <w:t>curriculum</w:t>
      </w:r>
      <w:r>
        <w:rPr>
          <w:spacing w:val="-5"/>
          <w:sz w:val="22"/>
        </w:rPr>
        <w:t> </w:t>
      </w:r>
      <w:r>
        <w:rPr>
          <w:sz w:val="22"/>
        </w:rPr>
        <w:t>provided</w:t>
      </w:r>
      <w:r>
        <w:rPr>
          <w:spacing w:val="-4"/>
          <w:sz w:val="22"/>
        </w:rPr>
        <w:t> </w:t>
      </w:r>
      <w:r>
        <w:rPr>
          <w:sz w:val="22"/>
        </w:rPr>
        <w:t>to</w:t>
      </w:r>
      <w:r>
        <w:rPr>
          <w:spacing w:val="-6"/>
          <w:sz w:val="22"/>
        </w:rPr>
        <w:t> </w:t>
      </w:r>
      <w:r>
        <w:rPr>
          <w:sz w:val="22"/>
        </w:rPr>
        <w:t>youth</w:t>
      </w:r>
      <w:r>
        <w:rPr>
          <w:spacing w:val="-5"/>
          <w:sz w:val="22"/>
        </w:rPr>
        <w:t> </w:t>
      </w:r>
      <w:r>
        <w:rPr>
          <w:sz w:val="22"/>
        </w:rPr>
        <w:t>and</w:t>
      </w:r>
      <w:r>
        <w:rPr>
          <w:spacing w:val="-5"/>
          <w:sz w:val="22"/>
        </w:rPr>
        <w:t> </w:t>
      </w:r>
      <w:r>
        <w:rPr>
          <w:sz w:val="22"/>
        </w:rPr>
        <w:t>ensure</w:t>
      </w:r>
      <w:r>
        <w:rPr>
          <w:spacing w:val="-5"/>
          <w:sz w:val="22"/>
        </w:rPr>
        <w:t> </w:t>
      </w:r>
      <w:r>
        <w:rPr>
          <w:sz w:val="22"/>
        </w:rPr>
        <w:t>that</w:t>
      </w:r>
      <w:r>
        <w:rPr>
          <w:spacing w:val="-6"/>
          <w:sz w:val="22"/>
        </w:rPr>
        <w:t> </w:t>
      </w:r>
      <w:r>
        <w:rPr>
          <w:sz w:val="22"/>
        </w:rPr>
        <w:t>youth</w:t>
      </w:r>
      <w:r>
        <w:rPr>
          <w:spacing w:val="-7"/>
          <w:sz w:val="22"/>
        </w:rPr>
        <w:t> </w:t>
      </w:r>
      <w:r>
        <w:rPr>
          <w:sz w:val="22"/>
        </w:rPr>
        <w:t>are</w:t>
      </w:r>
      <w:r>
        <w:rPr>
          <w:spacing w:val="-5"/>
          <w:sz w:val="22"/>
        </w:rPr>
        <w:t> </w:t>
      </w:r>
      <w:r>
        <w:rPr>
          <w:sz w:val="22"/>
        </w:rPr>
        <w:t>receiving</w:t>
      </w:r>
      <w:r>
        <w:rPr>
          <w:spacing w:val="-7"/>
          <w:sz w:val="22"/>
        </w:rPr>
        <w:t> </w:t>
      </w:r>
      <w:r>
        <w:rPr>
          <w:sz w:val="22"/>
        </w:rPr>
        <w:t>appropriate sexual health and health care education.</w:t>
      </w:r>
    </w:p>
    <w:p>
      <w:pPr>
        <w:spacing w:before="239"/>
        <w:ind w:left="483" w:right="0" w:firstLine="0"/>
        <w:jc w:val="left"/>
        <w:rPr>
          <w:sz w:val="28"/>
        </w:rPr>
      </w:pPr>
      <w:r>
        <w:rPr/>
        <mc:AlternateContent>
          <mc:Choice Requires="wps">
            <w:drawing>
              <wp:anchor distT="0" distB="0" distL="0" distR="0" allowOverlap="1" layoutInCell="1" locked="0" behindDoc="1" simplePos="0" relativeHeight="487696896">
                <wp:simplePos x="0" y="0"/>
                <wp:positionH relativeFrom="page">
                  <wp:posOffset>889000</wp:posOffset>
                </wp:positionH>
                <wp:positionV relativeFrom="paragraph">
                  <wp:posOffset>406512</wp:posOffset>
                </wp:positionV>
                <wp:extent cx="5985510" cy="13970"/>
                <wp:effectExtent l="0" t="0" r="0" b="0"/>
                <wp:wrapTopAndBottom/>
                <wp:docPr id="561" name="Group 561"/>
                <wp:cNvGraphicFramePr>
                  <a:graphicFrameLocks/>
                </wp:cNvGraphicFramePr>
                <a:graphic>
                  <a:graphicData uri="http://schemas.microsoft.com/office/word/2010/wordprocessingGroup">
                    <wpg:wgp>
                      <wpg:cNvPr id="561" name="Group 561"/>
                      <wpg:cNvGrpSpPr/>
                      <wpg:grpSpPr>
                        <a:xfrm>
                          <a:off x="0" y="0"/>
                          <a:ext cx="5985510" cy="13970"/>
                          <a:chExt cx="5985510" cy="13970"/>
                        </a:xfrm>
                      </wpg:grpSpPr>
                      <wps:wsp>
                        <wps:cNvPr id="562" name="Graphic 562"/>
                        <wps:cNvSpPr/>
                        <wps:spPr>
                          <a:xfrm>
                            <a:off x="8636" y="7734"/>
                            <a:ext cx="5976620" cy="6350"/>
                          </a:xfrm>
                          <a:custGeom>
                            <a:avLst/>
                            <a:gdLst/>
                            <a:ahLst/>
                            <a:cxnLst/>
                            <a:rect l="l" t="t" r="r" b="b"/>
                            <a:pathLst>
                              <a:path w="5976620" h="6350">
                                <a:moveTo>
                                  <a:pt x="5976366" y="0"/>
                                </a:moveTo>
                                <a:lnTo>
                                  <a:pt x="0" y="0"/>
                                </a:lnTo>
                                <a:lnTo>
                                  <a:pt x="0" y="6108"/>
                                </a:lnTo>
                                <a:lnTo>
                                  <a:pt x="5976366" y="6108"/>
                                </a:lnTo>
                                <a:lnTo>
                                  <a:pt x="5976366" y="0"/>
                                </a:lnTo>
                                <a:close/>
                              </a:path>
                            </a:pathLst>
                          </a:custGeom>
                          <a:solidFill>
                            <a:srgbClr val="4F81BC"/>
                          </a:solidFill>
                        </wps:spPr>
                        <wps:bodyPr wrap="square" lIns="0" tIns="0" rIns="0" bIns="0" rtlCol="0">
                          <a:prstTxWarp prst="textNoShape">
                            <a:avLst/>
                          </a:prstTxWarp>
                          <a:noAutofit/>
                        </wps:bodyPr>
                      </wps:wsp>
                      <wps:wsp>
                        <wps:cNvPr id="563" name="Graphic 563"/>
                        <wps:cNvSpPr/>
                        <wps:spPr>
                          <a:xfrm>
                            <a:off x="0" y="0"/>
                            <a:ext cx="6350" cy="12700"/>
                          </a:xfrm>
                          <a:custGeom>
                            <a:avLst/>
                            <a:gdLst/>
                            <a:ahLst/>
                            <a:cxnLst/>
                            <a:rect l="l" t="t" r="r" b="b"/>
                            <a:pathLst>
                              <a:path w="6350" h="12700">
                                <a:moveTo>
                                  <a:pt x="6337" y="0"/>
                                </a:moveTo>
                                <a:lnTo>
                                  <a:pt x="0" y="0"/>
                                </a:lnTo>
                                <a:lnTo>
                                  <a:pt x="0" y="12217"/>
                                </a:lnTo>
                                <a:lnTo>
                                  <a:pt x="6337" y="12217"/>
                                </a:lnTo>
                                <a:lnTo>
                                  <a:pt x="6337" y="0"/>
                                </a:lnTo>
                                <a:close/>
                              </a:path>
                            </a:pathLst>
                          </a:custGeom>
                          <a:solidFill>
                            <a:srgbClr val="4F81BB"/>
                          </a:solidFill>
                        </wps:spPr>
                        <wps:bodyPr wrap="square" lIns="0" tIns="0" rIns="0" bIns="0" rtlCol="0">
                          <a:prstTxWarp prst="textNoShape">
                            <a:avLst/>
                          </a:prstTxWarp>
                          <a:noAutofit/>
                        </wps:bodyPr>
                      </wps:wsp>
                    </wpg:wgp>
                  </a:graphicData>
                </a:graphic>
              </wp:anchor>
            </w:drawing>
          </mc:Choice>
          <mc:Fallback>
            <w:pict>
              <v:group style="position:absolute;margin-left:70pt;margin-top:32.008846pt;width:471.3pt;height:1.1pt;mso-position-horizontal-relative:page;mso-position-vertical-relative:paragraph;z-index:-15619584;mso-wrap-distance-left:0;mso-wrap-distance-right:0" id="docshapegroup458" coordorigin="1400,640" coordsize="9426,22">
                <v:rect style="position:absolute;left:1413;top:652;width:9412;height:10" id="docshape459" filled="true" fillcolor="#4f81bc" stroked="false">
                  <v:fill type="solid"/>
                </v:rect>
                <v:rect style="position:absolute;left:1400;top:640;width:10;height:20" id="docshape460" filled="true" fillcolor="#4f81bb" stroked="false">
                  <v:fill type="solid"/>
                </v:rect>
                <w10:wrap type="topAndBottom"/>
              </v:group>
            </w:pict>
          </mc:Fallback>
        </mc:AlternateContent>
      </w:r>
      <w:r>
        <w:rPr>
          <w:color w:val="365F91"/>
          <w:spacing w:val="-2"/>
          <w:sz w:val="28"/>
        </w:rPr>
        <w:t>Introduction</w:t>
      </w:r>
    </w:p>
    <w:p>
      <w:pPr>
        <w:pStyle w:val="BodyText"/>
        <w:spacing w:line="276" w:lineRule="auto" w:before="241"/>
        <w:ind w:left="483" w:right="341"/>
        <w:jc w:val="both"/>
      </w:pPr>
      <w:r>
        <w:rPr/>
        <w:t>The</w:t>
      </w:r>
      <w:r>
        <w:rPr>
          <w:spacing w:val="-8"/>
        </w:rPr>
        <w:t> </w:t>
      </w:r>
      <w:r>
        <w:rPr/>
        <w:t>Massachusetts</w:t>
      </w:r>
      <w:r>
        <w:rPr>
          <w:spacing w:val="-7"/>
        </w:rPr>
        <w:t> </w:t>
      </w:r>
      <w:hyperlink r:id="rId722">
        <w:r>
          <w:rPr>
            <w:color w:val="1153CC"/>
            <w:u w:val="single" w:color="1153CC"/>
          </w:rPr>
          <w:t>Department</w:t>
        </w:r>
        <w:r>
          <w:rPr>
            <w:color w:val="1153CC"/>
            <w:spacing w:val="-7"/>
            <w:u w:val="single" w:color="1153CC"/>
          </w:rPr>
          <w:t> </w:t>
        </w:r>
        <w:r>
          <w:rPr>
            <w:color w:val="1153CC"/>
            <w:u w:val="single" w:color="1153CC"/>
          </w:rPr>
          <w:t>of</w:t>
        </w:r>
        <w:r>
          <w:rPr>
            <w:color w:val="1153CC"/>
            <w:spacing w:val="-8"/>
            <w:u w:val="single" w:color="1153CC"/>
          </w:rPr>
          <w:t> </w:t>
        </w:r>
        <w:r>
          <w:rPr>
            <w:color w:val="1153CC"/>
            <w:u w:val="single" w:color="1153CC"/>
          </w:rPr>
          <w:t>Children</w:t>
        </w:r>
        <w:r>
          <w:rPr>
            <w:color w:val="1153CC"/>
            <w:spacing w:val="-8"/>
            <w:u w:val="single" w:color="1153CC"/>
          </w:rPr>
          <w:t> </w:t>
        </w:r>
        <w:r>
          <w:rPr>
            <w:color w:val="1153CC"/>
            <w:u w:val="single" w:color="1153CC"/>
          </w:rPr>
          <w:t>and</w:t>
        </w:r>
        <w:r>
          <w:rPr>
            <w:color w:val="1153CC"/>
            <w:spacing w:val="-7"/>
            <w:u w:val="single" w:color="1153CC"/>
          </w:rPr>
          <w:t> </w:t>
        </w:r>
        <w:r>
          <w:rPr>
            <w:color w:val="1153CC"/>
            <w:u w:val="single" w:color="1153CC"/>
          </w:rPr>
          <w:t>Families</w:t>
        </w:r>
        <w:r>
          <w:rPr>
            <w:color w:val="1153CC"/>
            <w:spacing w:val="-7"/>
            <w:u w:val="single" w:color="1153CC"/>
          </w:rPr>
          <w:t> </w:t>
        </w:r>
        <w:r>
          <w:rPr>
            <w:color w:val="1153CC"/>
            <w:u w:val="single" w:color="1153CC"/>
          </w:rPr>
          <w:t>(DCF)</w:t>
        </w:r>
      </w:hyperlink>
      <w:r>
        <w:rPr>
          <w:color w:val="1153CC"/>
          <w:spacing w:val="-8"/>
          <w:u w:val="none"/>
        </w:rPr>
        <w:t> </w:t>
      </w:r>
      <w:r>
        <w:rPr>
          <w:u w:val="none"/>
        </w:rPr>
        <w:t>is</w:t>
      </w:r>
      <w:r>
        <w:rPr>
          <w:spacing w:val="-7"/>
          <w:u w:val="none"/>
        </w:rPr>
        <w:t> </w:t>
      </w:r>
      <w:r>
        <w:rPr>
          <w:u w:val="none"/>
        </w:rPr>
        <w:t>the</w:t>
      </w:r>
      <w:r>
        <w:rPr>
          <w:spacing w:val="-8"/>
          <w:u w:val="none"/>
        </w:rPr>
        <w:t> </w:t>
      </w:r>
      <w:r>
        <w:rPr>
          <w:u w:val="none"/>
        </w:rPr>
        <w:t>state</w:t>
      </w:r>
      <w:r>
        <w:rPr>
          <w:spacing w:val="-7"/>
          <w:u w:val="none"/>
        </w:rPr>
        <w:t> </w:t>
      </w:r>
      <w:r>
        <w:rPr>
          <w:u w:val="none"/>
        </w:rPr>
        <w:t>agency</w:t>
      </w:r>
      <w:r>
        <w:rPr>
          <w:spacing w:val="-8"/>
          <w:u w:val="none"/>
        </w:rPr>
        <w:t> </w:t>
      </w:r>
      <w:r>
        <w:rPr>
          <w:u w:val="none"/>
        </w:rPr>
        <w:t>directed</w:t>
      </w:r>
      <w:r>
        <w:rPr>
          <w:spacing w:val="-8"/>
          <w:u w:val="none"/>
        </w:rPr>
        <w:t> </w:t>
      </w:r>
      <w:r>
        <w:rPr>
          <w:u w:val="none"/>
        </w:rPr>
        <w:t>to</w:t>
      </w:r>
      <w:r>
        <w:rPr>
          <w:spacing w:val="-5"/>
          <w:u w:val="none"/>
        </w:rPr>
        <w:t> </w:t>
      </w:r>
      <w:r>
        <w:rPr>
          <w:u w:val="none"/>
        </w:rPr>
        <w:t>support</w:t>
      </w:r>
      <w:r>
        <w:rPr>
          <w:spacing w:val="-7"/>
          <w:u w:val="none"/>
        </w:rPr>
        <w:t> </w:t>
      </w:r>
      <w:r>
        <w:rPr>
          <w:u w:val="none"/>
        </w:rPr>
        <w:t>the permanency and well-being of children in the Commonwealth. Overseeing a wide array of services, programs, and systems, DCF strives to protect children from abuse and neglect, and provides support services</w:t>
      </w:r>
      <w:r>
        <w:rPr>
          <w:spacing w:val="-4"/>
          <w:u w:val="none"/>
        </w:rPr>
        <w:t> </w:t>
      </w:r>
      <w:r>
        <w:rPr>
          <w:u w:val="none"/>
        </w:rPr>
        <w:t>to</w:t>
      </w:r>
      <w:r>
        <w:rPr>
          <w:spacing w:val="-4"/>
          <w:u w:val="none"/>
        </w:rPr>
        <w:t> </w:t>
      </w:r>
      <w:r>
        <w:rPr>
          <w:u w:val="none"/>
        </w:rPr>
        <w:t>youth</w:t>
      </w:r>
      <w:r>
        <w:rPr>
          <w:spacing w:val="-4"/>
          <w:u w:val="none"/>
        </w:rPr>
        <w:t> </w:t>
      </w:r>
      <w:r>
        <w:rPr>
          <w:u w:val="none"/>
        </w:rPr>
        <w:t>aged</w:t>
      </w:r>
      <w:r>
        <w:rPr>
          <w:spacing w:val="-4"/>
          <w:u w:val="none"/>
        </w:rPr>
        <w:t> </w:t>
      </w:r>
      <w:r>
        <w:rPr>
          <w:u w:val="none"/>
        </w:rPr>
        <w:t>18</w:t>
      </w:r>
      <w:r>
        <w:rPr>
          <w:spacing w:val="-3"/>
          <w:u w:val="none"/>
        </w:rPr>
        <w:t> </w:t>
      </w:r>
      <w:r>
        <w:rPr>
          <w:u w:val="none"/>
        </w:rPr>
        <w:t>to</w:t>
      </w:r>
      <w:r>
        <w:rPr>
          <w:spacing w:val="-4"/>
          <w:u w:val="none"/>
        </w:rPr>
        <w:t> </w:t>
      </w:r>
      <w:r>
        <w:rPr>
          <w:u w:val="none"/>
        </w:rPr>
        <w:t>22</w:t>
      </w:r>
      <w:r>
        <w:rPr>
          <w:spacing w:val="-4"/>
          <w:u w:val="none"/>
        </w:rPr>
        <w:t> </w:t>
      </w:r>
      <w:r>
        <w:rPr>
          <w:u w:val="none"/>
        </w:rPr>
        <w:t>transitioning</w:t>
      </w:r>
      <w:r>
        <w:rPr>
          <w:spacing w:val="-4"/>
          <w:u w:val="none"/>
        </w:rPr>
        <w:t> </w:t>
      </w:r>
      <w:r>
        <w:rPr>
          <w:u w:val="none"/>
        </w:rPr>
        <w:t>out</w:t>
      </w:r>
      <w:r>
        <w:rPr>
          <w:spacing w:val="-4"/>
          <w:u w:val="none"/>
        </w:rPr>
        <w:t> </w:t>
      </w:r>
      <w:r>
        <w:rPr>
          <w:u w:val="none"/>
        </w:rPr>
        <w:t>of</w:t>
      </w:r>
      <w:r>
        <w:rPr>
          <w:spacing w:val="-4"/>
          <w:u w:val="none"/>
        </w:rPr>
        <w:t> </w:t>
      </w:r>
      <w:r>
        <w:rPr>
          <w:u w:val="none"/>
        </w:rPr>
        <w:t>DCF</w:t>
      </w:r>
      <w:r>
        <w:rPr>
          <w:spacing w:val="-4"/>
          <w:u w:val="none"/>
        </w:rPr>
        <w:t> </w:t>
      </w:r>
      <w:r>
        <w:rPr>
          <w:u w:val="none"/>
        </w:rPr>
        <w:t>care</w:t>
      </w:r>
      <w:r>
        <w:rPr>
          <w:spacing w:val="-4"/>
          <w:u w:val="none"/>
        </w:rPr>
        <w:t> </w:t>
      </w:r>
      <w:r>
        <w:rPr>
          <w:u w:val="none"/>
        </w:rPr>
        <w:t>into</w:t>
      </w:r>
      <w:r>
        <w:rPr>
          <w:spacing w:val="-4"/>
          <w:u w:val="none"/>
        </w:rPr>
        <w:t> </w:t>
      </w:r>
      <w:r>
        <w:rPr>
          <w:u w:val="none"/>
        </w:rPr>
        <w:t>independent</w:t>
      </w:r>
      <w:r>
        <w:rPr>
          <w:spacing w:val="-4"/>
          <w:u w:val="none"/>
        </w:rPr>
        <w:t> </w:t>
      </w:r>
      <w:r>
        <w:rPr>
          <w:u w:val="none"/>
        </w:rPr>
        <w:t>living.</w:t>
      </w:r>
      <w:r>
        <w:rPr>
          <w:spacing w:val="-4"/>
          <w:u w:val="none"/>
        </w:rPr>
        <w:t> </w:t>
      </w:r>
      <w:r>
        <w:rPr>
          <w:u w:val="none"/>
        </w:rPr>
        <w:t>DCF</w:t>
      </w:r>
      <w:r>
        <w:rPr>
          <w:spacing w:val="-3"/>
          <w:u w:val="none"/>
        </w:rPr>
        <w:t> </w:t>
      </w:r>
      <w:r>
        <w:rPr>
          <w:u w:val="none"/>
        </w:rPr>
        <w:t>provides</w:t>
      </w:r>
      <w:r>
        <w:rPr>
          <w:spacing w:val="-4"/>
          <w:u w:val="none"/>
        </w:rPr>
        <w:t> </w:t>
      </w:r>
      <w:r>
        <w:rPr>
          <w:u w:val="none"/>
        </w:rPr>
        <w:t>foster care services with the ultimate goal of family preservation and reunification where possible. Where parental</w:t>
      </w:r>
      <w:r>
        <w:rPr>
          <w:spacing w:val="-13"/>
          <w:u w:val="none"/>
        </w:rPr>
        <w:t> </w:t>
      </w:r>
      <w:r>
        <w:rPr>
          <w:u w:val="none"/>
        </w:rPr>
        <w:t>reunification</w:t>
      </w:r>
      <w:r>
        <w:rPr>
          <w:spacing w:val="-12"/>
          <w:u w:val="none"/>
        </w:rPr>
        <w:t> </w:t>
      </w:r>
      <w:r>
        <w:rPr>
          <w:u w:val="none"/>
        </w:rPr>
        <w:t>is</w:t>
      </w:r>
      <w:r>
        <w:rPr>
          <w:spacing w:val="-13"/>
          <w:u w:val="none"/>
        </w:rPr>
        <w:t> </w:t>
      </w:r>
      <w:r>
        <w:rPr>
          <w:u w:val="none"/>
        </w:rPr>
        <w:t>not</w:t>
      </w:r>
      <w:r>
        <w:rPr>
          <w:spacing w:val="-12"/>
          <w:u w:val="none"/>
        </w:rPr>
        <w:t> </w:t>
      </w:r>
      <w:r>
        <w:rPr>
          <w:u w:val="none"/>
        </w:rPr>
        <w:t>possible,</w:t>
      </w:r>
      <w:r>
        <w:rPr>
          <w:spacing w:val="-13"/>
          <w:u w:val="none"/>
        </w:rPr>
        <w:t> </w:t>
      </w:r>
      <w:r>
        <w:rPr>
          <w:u w:val="none"/>
        </w:rPr>
        <w:t>DCF</w:t>
      </w:r>
      <w:r>
        <w:rPr>
          <w:spacing w:val="-12"/>
          <w:u w:val="none"/>
        </w:rPr>
        <w:t> </w:t>
      </w:r>
      <w:r>
        <w:rPr>
          <w:u w:val="none"/>
        </w:rPr>
        <w:t>works</w:t>
      </w:r>
      <w:r>
        <w:rPr>
          <w:spacing w:val="-13"/>
          <w:u w:val="none"/>
        </w:rPr>
        <w:t> </w:t>
      </w:r>
      <w:r>
        <w:rPr>
          <w:u w:val="none"/>
        </w:rPr>
        <w:t>to</w:t>
      </w:r>
      <w:r>
        <w:rPr>
          <w:spacing w:val="-12"/>
          <w:u w:val="none"/>
        </w:rPr>
        <w:t> </w:t>
      </w:r>
      <w:r>
        <w:rPr>
          <w:u w:val="none"/>
        </w:rPr>
        <w:t>find</w:t>
      </w:r>
      <w:r>
        <w:rPr>
          <w:spacing w:val="-12"/>
          <w:u w:val="none"/>
        </w:rPr>
        <w:t> </w:t>
      </w:r>
      <w:r>
        <w:rPr>
          <w:u w:val="none"/>
        </w:rPr>
        <w:t>permanent</w:t>
      </w:r>
      <w:r>
        <w:rPr>
          <w:spacing w:val="-13"/>
          <w:u w:val="none"/>
        </w:rPr>
        <w:t> </w:t>
      </w:r>
      <w:r>
        <w:rPr>
          <w:u w:val="none"/>
        </w:rPr>
        <w:t>families</w:t>
      </w:r>
      <w:r>
        <w:rPr>
          <w:spacing w:val="-12"/>
          <w:u w:val="none"/>
        </w:rPr>
        <w:t> </w:t>
      </w:r>
      <w:r>
        <w:rPr>
          <w:u w:val="none"/>
        </w:rPr>
        <w:t>through</w:t>
      </w:r>
      <w:r>
        <w:rPr>
          <w:spacing w:val="-13"/>
          <w:u w:val="none"/>
        </w:rPr>
        <w:t> </w:t>
      </w:r>
      <w:r>
        <w:rPr>
          <w:u w:val="none"/>
        </w:rPr>
        <w:t>kinship,</w:t>
      </w:r>
      <w:r>
        <w:rPr>
          <w:spacing w:val="-12"/>
          <w:u w:val="none"/>
        </w:rPr>
        <w:t> </w:t>
      </w:r>
      <w:r>
        <w:rPr>
          <w:u w:val="none"/>
        </w:rPr>
        <w:t>guardianship, or adoption.</w:t>
      </w:r>
    </w:p>
    <w:p>
      <w:pPr>
        <w:pStyle w:val="BodyText"/>
        <w:spacing w:line="276" w:lineRule="auto" w:before="241"/>
        <w:ind w:left="483" w:right="341"/>
        <w:jc w:val="both"/>
      </w:pPr>
      <w:r>
        <w:rPr/>
        <w:t>Since 2011, the Commission has issued recommendations to DCF around data collection, policy development, trainings, resources, and structural change to provide more affirming support for LGBTQ youth in the child welfare system. In July of 2021, the Commission published a first-of-its-kind report on the experiences of LGBTQ youth in the child welfare system after the Commission identified pervasive threats to the safety, well-being, and permanency of DCF-involved LGBTQ youth.</w:t>
      </w:r>
    </w:p>
    <w:p>
      <w:pPr>
        <w:pStyle w:val="BodyText"/>
        <w:spacing w:line="276" w:lineRule="auto" w:before="239"/>
        <w:ind w:left="483" w:right="344"/>
        <w:jc w:val="both"/>
      </w:pPr>
      <w:r>
        <w:rPr/>
        <w:t>The Commission appreciates the ongoing commitment of DCF staff to have monthly conversations to address how best the state can support LGBTQ in foster care, and transition-aged youth leaving care.</w:t>
      </w:r>
    </w:p>
    <w:p>
      <w:pPr>
        <w:spacing w:before="240"/>
        <w:ind w:left="483" w:right="0" w:firstLine="0"/>
        <w:jc w:val="both"/>
        <w:rPr>
          <w:sz w:val="28"/>
        </w:rPr>
      </w:pPr>
      <w:r>
        <w:rPr>
          <w:color w:val="365F91"/>
          <w:sz w:val="28"/>
        </w:rPr>
        <w:t>Past</w:t>
      </w:r>
      <w:r>
        <w:rPr>
          <w:color w:val="365F91"/>
          <w:spacing w:val="-7"/>
          <w:sz w:val="28"/>
        </w:rPr>
        <w:t> </w:t>
      </w:r>
      <w:r>
        <w:rPr>
          <w:color w:val="365F91"/>
          <w:sz w:val="28"/>
        </w:rPr>
        <w:t>&amp;</w:t>
      </w:r>
      <w:r>
        <w:rPr>
          <w:color w:val="365F91"/>
          <w:spacing w:val="-7"/>
          <w:sz w:val="28"/>
        </w:rPr>
        <w:t> </w:t>
      </w:r>
      <w:r>
        <w:rPr>
          <w:color w:val="365F91"/>
          <w:sz w:val="28"/>
        </w:rPr>
        <w:t>Ongoing</w:t>
      </w:r>
      <w:r>
        <w:rPr>
          <w:color w:val="365F91"/>
          <w:spacing w:val="-7"/>
          <w:sz w:val="28"/>
        </w:rPr>
        <w:t> </w:t>
      </w:r>
      <w:r>
        <w:rPr>
          <w:color w:val="365F91"/>
          <w:spacing w:val="-4"/>
          <w:sz w:val="28"/>
        </w:rPr>
        <w:t>Work</w:t>
      </w:r>
    </w:p>
    <w:p>
      <w:pPr>
        <w:pStyle w:val="BodyText"/>
        <w:spacing w:line="276" w:lineRule="auto" w:before="292"/>
        <w:ind w:left="483" w:right="343"/>
        <w:jc w:val="both"/>
      </w:pPr>
      <w:r>
        <w:rPr/>
        <w:t>DCF</w:t>
      </w:r>
      <w:r>
        <w:rPr>
          <w:spacing w:val="-8"/>
        </w:rPr>
        <w:t> </w:t>
      </w:r>
      <w:r>
        <w:rPr/>
        <w:t>has</w:t>
      </w:r>
      <w:r>
        <w:rPr>
          <w:spacing w:val="-6"/>
        </w:rPr>
        <w:t> </w:t>
      </w:r>
      <w:r>
        <w:rPr/>
        <w:t>made</w:t>
      </w:r>
      <w:r>
        <w:rPr>
          <w:spacing w:val="-8"/>
        </w:rPr>
        <w:t> </w:t>
      </w:r>
      <w:r>
        <w:rPr/>
        <w:t>progress</w:t>
      </w:r>
      <w:r>
        <w:rPr>
          <w:spacing w:val="-6"/>
        </w:rPr>
        <w:t> </w:t>
      </w:r>
      <w:r>
        <w:rPr/>
        <w:t>in</w:t>
      </w:r>
      <w:r>
        <w:rPr>
          <w:spacing w:val="-6"/>
        </w:rPr>
        <w:t> </w:t>
      </w:r>
      <w:r>
        <w:rPr/>
        <w:t>addressing</w:t>
      </w:r>
      <w:r>
        <w:rPr>
          <w:spacing w:val="-7"/>
        </w:rPr>
        <w:t> </w:t>
      </w:r>
      <w:r>
        <w:rPr/>
        <w:t>many</w:t>
      </w:r>
      <w:r>
        <w:rPr>
          <w:spacing w:val="-8"/>
        </w:rPr>
        <w:t> </w:t>
      </w:r>
      <w:r>
        <w:rPr/>
        <w:t>of</w:t>
      </w:r>
      <w:r>
        <w:rPr>
          <w:spacing w:val="-6"/>
        </w:rPr>
        <w:t> </w:t>
      </w:r>
      <w:r>
        <w:rPr/>
        <w:t>the</w:t>
      </w:r>
      <w:r>
        <w:rPr>
          <w:spacing w:val="-7"/>
        </w:rPr>
        <w:t> </w:t>
      </w:r>
      <w:r>
        <w:rPr/>
        <w:t>recommendations</w:t>
      </w:r>
      <w:r>
        <w:rPr>
          <w:spacing w:val="-7"/>
        </w:rPr>
        <w:t> </w:t>
      </w:r>
      <w:r>
        <w:rPr/>
        <w:t>issued</w:t>
      </w:r>
      <w:r>
        <w:rPr>
          <w:spacing w:val="-7"/>
        </w:rPr>
        <w:t> </w:t>
      </w:r>
      <w:r>
        <w:rPr/>
        <w:t>by</w:t>
      </w:r>
      <w:r>
        <w:rPr>
          <w:spacing w:val="-6"/>
        </w:rPr>
        <w:t> </w:t>
      </w:r>
      <w:r>
        <w:rPr/>
        <w:t>the</w:t>
      </w:r>
      <w:r>
        <w:rPr>
          <w:spacing w:val="-8"/>
        </w:rPr>
        <w:t> </w:t>
      </w:r>
      <w:r>
        <w:rPr/>
        <w:t>Commission</w:t>
      </w:r>
      <w:r>
        <w:rPr>
          <w:spacing w:val="-8"/>
        </w:rPr>
        <w:t> </w:t>
      </w:r>
      <w:r>
        <w:rPr/>
        <w:t>in</w:t>
      </w:r>
      <w:r>
        <w:rPr>
          <w:spacing w:val="-7"/>
        </w:rPr>
        <w:t> </w:t>
      </w:r>
      <w:r>
        <w:rPr/>
        <w:t>the</w:t>
      </w:r>
      <w:r>
        <w:rPr>
          <w:spacing w:val="-7"/>
        </w:rPr>
        <w:t> </w:t>
      </w:r>
      <w:r>
        <w:rPr/>
        <w:t>last couple of years. In September of 2021, DCF released a new </w:t>
      </w:r>
      <w:hyperlink r:id="rId723">
        <w:r>
          <w:rPr>
            <w:color w:val="1153CC"/>
            <w:u w:val="single" w:color="1153CC"/>
          </w:rPr>
          <w:t>gender-affirming care policy</w:t>
        </w:r>
      </w:hyperlink>
      <w:r>
        <w:rPr>
          <w:color w:val="1153CC"/>
          <w:u w:val="none"/>
        </w:rPr>
        <w:t> </w:t>
      </w:r>
      <w:r>
        <w:rPr>
          <w:u w:val="none"/>
        </w:rPr>
        <w:t>outlining the process</w:t>
      </w:r>
      <w:r>
        <w:rPr>
          <w:spacing w:val="-4"/>
          <w:u w:val="none"/>
        </w:rPr>
        <w:t> </w:t>
      </w:r>
      <w:r>
        <w:rPr>
          <w:u w:val="none"/>
        </w:rPr>
        <w:t>for</w:t>
      </w:r>
      <w:r>
        <w:rPr>
          <w:spacing w:val="-4"/>
          <w:u w:val="none"/>
        </w:rPr>
        <w:t> </w:t>
      </w:r>
      <w:r>
        <w:rPr>
          <w:u w:val="none"/>
        </w:rPr>
        <w:t>ensuring</w:t>
      </w:r>
      <w:r>
        <w:rPr>
          <w:spacing w:val="-3"/>
          <w:u w:val="none"/>
        </w:rPr>
        <w:t> </w:t>
      </w:r>
      <w:r>
        <w:rPr>
          <w:u w:val="none"/>
        </w:rPr>
        <w:t>that</w:t>
      </w:r>
      <w:r>
        <w:rPr>
          <w:spacing w:val="-3"/>
          <w:u w:val="none"/>
        </w:rPr>
        <w:t> </w:t>
      </w:r>
      <w:r>
        <w:rPr>
          <w:u w:val="none"/>
        </w:rPr>
        <w:t>LGBTQ</w:t>
      </w:r>
      <w:r>
        <w:rPr>
          <w:spacing w:val="-4"/>
          <w:u w:val="none"/>
        </w:rPr>
        <w:t> </w:t>
      </w:r>
      <w:r>
        <w:rPr>
          <w:u w:val="none"/>
        </w:rPr>
        <w:t>youth</w:t>
      </w:r>
      <w:r>
        <w:rPr>
          <w:spacing w:val="-3"/>
          <w:u w:val="none"/>
        </w:rPr>
        <w:t> </w:t>
      </w:r>
      <w:r>
        <w:rPr>
          <w:u w:val="none"/>
        </w:rPr>
        <w:t>are</w:t>
      </w:r>
      <w:r>
        <w:rPr>
          <w:spacing w:val="-4"/>
          <w:u w:val="none"/>
        </w:rPr>
        <w:t> </w:t>
      </w:r>
      <w:r>
        <w:rPr>
          <w:u w:val="none"/>
        </w:rPr>
        <w:t>able</w:t>
      </w:r>
      <w:r>
        <w:rPr>
          <w:spacing w:val="-4"/>
          <w:u w:val="none"/>
        </w:rPr>
        <w:t> </w:t>
      </w:r>
      <w:r>
        <w:rPr>
          <w:u w:val="none"/>
        </w:rPr>
        <w:t>to</w:t>
      </w:r>
      <w:r>
        <w:rPr>
          <w:spacing w:val="-3"/>
          <w:u w:val="none"/>
        </w:rPr>
        <w:t> </w:t>
      </w:r>
      <w:r>
        <w:rPr>
          <w:u w:val="none"/>
        </w:rPr>
        <w:t>access</w:t>
      </w:r>
      <w:r>
        <w:rPr>
          <w:spacing w:val="-4"/>
          <w:u w:val="none"/>
        </w:rPr>
        <w:t> </w:t>
      </w:r>
      <w:r>
        <w:rPr>
          <w:u w:val="none"/>
        </w:rPr>
        <w:t>affirming</w:t>
      </w:r>
      <w:r>
        <w:rPr>
          <w:spacing w:val="-4"/>
          <w:u w:val="none"/>
        </w:rPr>
        <w:t> </w:t>
      </w:r>
      <w:r>
        <w:rPr>
          <w:u w:val="none"/>
        </w:rPr>
        <w:t>healthcare</w:t>
      </w:r>
      <w:r>
        <w:rPr>
          <w:spacing w:val="-3"/>
          <w:u w:val="none"/>
        </w:rPr>
        <w:t> </w:t>
      </w:r>
      <w:r>
        <w:rPr>
          <w:u w:val="none"/>
        </w:rPr>
        <w:t>-</w:t>
      </w:r>
      <w:r>
        <w:rPr>
          <w:spacing w:val="-2"/>
          <w:u w:val="none"/>
        </w:rPr>
        <w:t> </w:t>
      </w:r>
      <w:r>
        <w:rPr>
          <w:u w:val="none"/>
        </w:rPr>
        <w:t>a</w:t>
      </w:r>
      <w:r>
        <w:rPr>
          <w:spacing w:val="-4"/>
          <w:u w:val="none"/>
        </w:rPr>
        <w:t> </w:t>
      </w:r>
      <w:r>
        <w:rPr>
          <w:u w:val="none"/>
        </w:rPr>
        <w:t>particularly</w:t>
      </w:r>
      <w:r>
        <w:rPr>
          <w:spacing w:val="-3"/>
          <w:u w:val="none"/>
        </w:rPr>
        <w:t> </w:t>
      </w:r>
      <w:r>
        <w:rPr>
          <w:u w:val="none"/>
        </w:rPr>
        <w:t>meaningful change for transgender youth</w:t>
      </w:r>
      <w:r>
        <w:rPr>
          <w:spacing w:val="-1"/>
          <w:u w:val="none"/>
        </w:rPr>
        <w:t> </w:t>
      </w:r>
      <w:r>
        <w:rPr>
          <w:u w:val="none"/>
        </w:rPr>
        <w:t>and</w:t>
      </w:r>
      <w:r>
        <w:rPr>
          <w:spacing w:val="-1"/>
          <w:u w:val="none"/>
        </w:rPr>
        <w:t> </w:t>
      </w:r>
      <w:r>
        <w:rPr>
          <w:u w:val="none"/>
        </w:rPr>
        <w:t>their families.</w:t>
      </w:r>
      <w:r>
        <w:rPr>
          <w:spacing w:val="-1"/>
          <w:u w:val="none"/>
        </w:rPr>
        <w:t> </w:t>
      </w:r>
      <w:r>
        <w:rPr>
          <w:u w:val="none"/>
        </w:rPr>
        <w:t>The Commission</w:t>
      </w:r>
      <w:r>
        <w:rPr>
          <w:spacing w:val="-2"/>
          <w:u w:val="none"/>
        </w:rPr>
        <w:t> </w:t>
      </w:r>
      <w:r>
        <w:rPr>
          <w:u w:val="none"/>
        </w:rPr>
        <w:t>understands that</w:t>
      </w:r>
      <w:r>
        <w:rPr>
          <w:spacing w:val="-1"/>
          <w:u w:val="none"/>
        </w:rPr>
        <w:t> </w:t>
      </w:r>
      <w:r>
        <w:rPr>
          <w:u w:val="none"/>
        </w:rPr>
        <w:t>DCF</w:t>
      </w:r>
      <w:r>
        <w:rPr>
          <w:spacing w:val="-2"/>
          <w:u w:val="none"/>
        </w:rPr>
        <w:t> </w:t>
      </w:r>
      <w:r>
        <w:rPr>
          <w:u w:val="none"/>
        </w:rPr>
        <w:t>is</w:t>
      </w:r>
      <w:r>
        <w:rPr>
          <w:spacing w:val="-1"/>
          <w:u w:val="none"/>
        </w:rPr>
        <w:t> </w:t>
      </w:r>
      <w:r>
        <w:rPr>
          <w:u w:val="none"/>
        </w:rPr>
        <w:t>in</w:t>
      </w:r>
      <w:r>
        <w:rPr>
          <w:spacing w:val="-1"/>
          <w:u w:val="none"/>
        </w:rPr>
        <w:t> </w:t>
      </w:r>
      <w:r>
        <w:rPr>
          <w:u w:val="none"/>
        </w:rPr>
        <w:t>the</w:t>
      </w:r>
      <w:r>
        <w:rPr>
          <w:spacing w:val="-2"/>
          <w:u w:val="none"/>
        </w:rPr>
        <w:t> </w:t>
      </w:r>
      <w:r>
        <w:rPr>
          <w:u w:val="none"/>
        </w:rPr>
        <w:t>process of</w:t>
      </w:r>
      <w:r>
        <w:rPr>
          <w:spacing w:val="40"/>
          <w:u w:val="none"/>
        </w:rPr>
        <w:t> </w:t>
      </w:r>
      <w:r>
        <w:rPr>
          <w:u w:val="none"/>
        </w:rPr>
        <w:t>completing</w:t>
      </w:r>
      <w:r>
        <w:rPr>
          <w:spacing w:val="40"/>
          <w:u w:val="none"/>
        </w:rPr>
        <w:t> </w:t>
      </w:r>
      <w:r>
        <w:rPr>
          <w:u w:val="none"/>
        </w:rPr>
        <w:t>an</w:t>
      </w:r>
      <w:r>
        <w:rPr>
          <w:spacing w:val="40"/>
          <w:u w:val="none"/>
        </w:rPr>
        <w:t> </w:t>
      </w:r>
      <w:r>
        <w:rPr>
          <w:u w:val="none"/>
        </w:rPr>
        <w:t>annual</w:t>
      </w:r>
      <w:r>
        <w:rPr>
          <w:spacing w:val="40"/>
          <w:u w:val="none"/>
        </w:rPr>
        <w:t> </w:t>
      </w:r>
      <w:r>
        <w:rPr>
          <w:u w:val="none"/>
        </w:rPr>
        <w:t>review</w:t>
      </w:r>
      <w:r>
        <w:rPr>
          <w:spacing w:val="40"/>
          <w:u w:val="none"/>
        </w:rPr>
        <w:t> </w:t>
      </w:r>
      <w:r>
        <w:rPr>
          <w:u w:val="none"/>
        </w:rPr>
        <w:t>of</w:t>
      </w:r>
      <w:r>
        <w:rPr>
          <w:spacing w:val="40"/>
          <w:u w:val="none"/>
        </w:rPr>
        <w:t> </w:t>
      </w:r>
      <w:r>
        <w:rPr>
          <w:u w:val="none"/>
        </w:rPr>
        <w:t>this</w:t>
      </w:r>
      <w:r>
        <w:rPr>
          <w:spacing w:val="40"/>
          <w:u w:val="none"/>
        </w:rPr>
        <w:t> </w:t>
      </w:r>
      <w:r>
        <w:rPr>
          <w:u w:val="none"/>
        </w:rPr>
        <w:t>policy,</w:t>
      </w:r>
      <w:r>
        <w:rPr>
          <w:spacing w:val="40"/>
          <w:u w:val="none"/>
        </w:rPr>
        <w:t> </w:t>
      </w:r>
      <w:r>
        <w:rPr>
          <w:u w:val="none"/>
        </w:rPr>
        <w:t>and</w:t>
      </w:r>
      <w:r>
        <w:rPr>
          <w:spacing w:val="40"/>
          <w:u w:val="none"/>
        </w:rPr>
        <w:t> </w:t>
      </w:r>
      <w:r>
        <w:rPr>
          <w:u w:val="none"/>
        </w:rPr>
        <w:t>looks</w:t>
      </w:r>
      <w:r>
        <w:rPr>
          <w:spacing w:val="40"/>
          <w:u w:val="none"/>
        </w:rPr>
        <w:t> </w:t>
      </w:r>
      <w:r>
        <w:rPr>
          <w:u w:val="none"/>
        </w:rPr>
        <w:t>forward</w:t>
      </w:r>
      <w:r>
        <w:rPr>
          <w:spacing w:val="40"/>
          <w:u w:val="none"/>
        </w:rPr>
        <w:t> </w:t>
      </w:r>
      <w:r>
        <w:rPr>
          <w:u w:val="none"/>
        </w:rPr>
        <w:t>to</w:t>
      </w:r>
      <w:r>
        <w:rPr>
          <w:spacing w:val="40"/>
          <w:u w:val="none"/>
        </w:rPr>
        <w:t> </w:t>
      </w:r>
      <w:r>
        <w:rPr>
          <w:u w:val="none"/>
        </w:rPr>
        <w:t>continuing</w:t>
      </w:r>
      <w:r>
        <w:rPr>
          <w:spacing w:val="40"/>
          <w:u w:val="none"/>
        </w:rPr>
        <w:t> </w:t>
      </w:r>
      <w:r>
        <w:rPr>
          <w:u w:val="none"/>
        </w:rPr>
        <w:t>to</w:t>
      </w:r>
      <w:r>
        <w:rPr>
          <w:spacing w:val="40"/>
          <w:u w:val="none"/>
        </w:rPr>
        <w:t> </w:t>
      </w:r>
      <w:r>
        <w:rPr>
          <w:u w:val="none"/>
        </w:rPr>
        <w:t>discuss</w:t>
      </w:r>
      <w:r>
        <w:rPr>
          <w:spacing w:val="40"/>
          <w:u w:val="none"/>
        </w:rPr>
        <w:t> </w:t>
      </w:r>
      <w:r>
        <w:rPr>
          <w:u w:val="none"/>
        </w:rPr>
        <w:t>how</w:t>
      </w:r>
      <w:r>
        <w:rPr>
          <w:spacing w:val="40"/>
          <w:u w:val="none"/>
        </w:rPr>
        <w:t> </w:t>
      </w:r>
      <w:r>
        <w:rPr>
          <w:u w:val="none"/>
        </w:rPr>
        <w:t>to</w:t>
      </w:r>
    </w:p>
    <w:p>
      <w:pPr>
        <w:spacing w:after="0" w:line="276" w:lineRule="auto"/>
        <w:jc w:val="both"/>
        <w:sectPr>
          <w:pgSz w:w="12240" w:h="15840"/>
          <w:pgMar w:header="804" w:footer="1263" w:top="1000" w:bottom="1460" w:left="960" w:right="1100"/>
        </w:sectPr>
      </w:pPr>
    </w:p>
    <w:p>
      <w:pPr>
        <w:pStyle w:val="BodyText"/>
        <w:spacing w:line="276" w:lineRule="auto" w:before="139"/>
        <w:ind w:left="483" w:right="341"/>
        <w:jc w:val="both"/>
      </w:pPr>
      <w:r>
        <w:rPr/>
        <w:t>disseminate</w:t>
      </w:r>
      <w:r>
        <w:rPr>
          <w:spacing w:val="-10"/>
        </w:rPr>
        <w:t> </w:t>
      </w:r>
      <w:r>
        <w:rPr/>
        <w:t>much</w:t>
      </w:r>
      <w:r>
        <w:rPr>
          <w:spacing w:val="-12"/>
        </w:rPr>
        <w:t> </w:t>
      </w:r>
      <w:r>
        <w:rPr/>
        <w:t>needed</w:t>
      </w:r>
      <w:r>
        <w:rPr>
          <w:spacing w:val="-11"/>
        </w:rPr>
        <w:t> </w:t>
      </w:r>
      <w:r>
        <w:rPr/>
        <w:t>resources</w:t>
      </w:r>
      <w:r>
        <w:rPr>
          <w:spacing w:val="-11"/>
        </w:rPr>
        <w:t> </w:t>
      </w:r>
      <w:r>
        <w:rPr/>
        <w:t>and</w:t>
      </w:r>
      <w:r>
        <w:rPr>
          <w:spacing w:val="-12"/>
        </w:rPr>
        <w:t> </w:t>
      </w:r>
      <w:r>
        <w:rPr/>
        <w:t>information</w:t>
      </w:r>
      <w:r>
        <w:rPr>
          <w:spacing w:val="-11"/>
        </w:rPr>
        <w:t> </w:t>
      </w:r>
      <w:r>
        <w:rPr/>
        <w:t>to</w:t>
      </w:r>
      <w:r>
        <w:rPr>
          <w:spacing w:val="-11"/>
        </w:rPr>
        <w:t> </w:t>
      </w:r>
      <w:r>
        <w:rPr/>
        <w:t>youth,</w:t>
      </w:r>
      <w:r>
        <w:rPr>
          <w:spacing w:val="-11"/>
        </w:rPr>
        <w:t> </w:t>
      </w:r>
      <w:r>
        <w:rPr/>
        <w:t>families,</w:t>
      </w:r>
      <w:r>
        <w:rPr>
          <w:spacing w:val="-11"/>
        </w:rPr>
        <w:t> </w:t>
      </w:r>
      <w:r>
        <w:rPr/>
        <w:t>and</w:t>
      </w:r>
      <w:r>
        <w:rPr>
          <w:spacing w:val="-11"/>
        </w:rPr>
        <w:t> </w:t>
      </w:r>
      <w:r>
        <w:rPr/>
        <w:t>staff</w:t>
      </w:r>
      <w:r>
        <w:rPr>
          <w:spacing w:val="-11"/>
        </w:rPr>
        <w:t> </w:t>
      </w:r>
      <w:r>
        <w:rPr/>
        <w:t>on</w:t>
      </w:r>
      <w:r>
        <w:rPr>
          <w:spacing w:val="-12"/>
        </w:rPr>
        <w:t> </w:t>
      </w:r>
      <w:r>
        <w:rPr/>
        <w:t>affirming</w:t>
      </w:r>
      <w:r>
        <w:rPr>
          <w:spacing w:val="-12"/>
        </w:rPr>
        <w:t> </w:t>
      </w:r>
      <w:r>
        <w:rPr/>
        <w:t>health</w:t>
      </w:r>
      <w:r>
        <w:rPr>
          <w:spacing w:val="-11"/>
        </w:rPr>
        <w:t> </w:t>
      </w:r>
      <w:r>
        <w:rPr/>
        <w:t>care resources. Additional policies were disseminated between June of 2022 and February 2023, fulfilling previous recommendations from the Commission, including DCF’s updated </w:t>
      </w:r>
      <w:hyperlink r:id="rId533">
        <w:r>
          <w:rPr>
            <w:color w:val="1153CC"/>
            <w:u w:val="single" w:color="1153CC"/>
          </w:rPr>
          <w:t>nondiscrimination policy</w:t>
        </w:r>
        <w:r>
          <w:rPr>
            <w:u w:val="none"/>
          </w:rPr>
          <w:t>,</w:t>
        </w:r>
      </w:hyperlink>
      <w:r>
        <w:rPr>
          <w:u w:val="none"/>
        </w:rPr>
        <w:t> an updated </w:t>
      </w:r>
      <w:hyperlink r:id="rId724">
        <w:r>
          <w:rPr>
            <w:color w:val="1153CC"/>
            <w:u w:val="single" w:color="1153CC"/>
          </w:rPr>
          <w:t>Safe and Supportive Placements policy</w:t>
        </w:r>
      </w:hyperlink>
      <w:hyperlink r:id="rId724">
        <w:r>
          <w:rPr>
            <w:u w:val="none"/>
          </w:rPr>
          <w:t>,</w:t>
        </w:r>
      </w:hyperlink>
      <w:r>
        <w:rPr>
          <w:u w:val="none"/>
        </w:rPr>
        <w:t> and an updated </w:t>
      </w:r>
      <w:hyperlink r:id="rId725">
        <w:r>
          <w:rPr>
            <w:color w:val="1153CC"/>
            <w:u w:val="single" w:color="1153CC"/>
          </w:rPr>
          <w:t>Licensing of Foster, Pre-Adoptive, and</w:t>
        </w:r>
      </w:hyperlink>
      <w:r>
        <w:rPr>
          <w:color w:val="1153CC"/>
          <w:u w:val="none"/>
        </w:rPr>
        <w:t> </w:t>
      </w:r>
      <w:hyperlink r:id="rId725">
        <w:r>
          <w:rPr>
            <w:color w:val="1153CC"/>
            <w:u w:val="single" w:color="1153CC"/>
          </w:rPr>
          <w:t>Kinship</w:t>
        </w:r>
        <w:r>
          <w:rPr>
            <w:color w:val="1153CC"/>
            <w:spacing w:val="-7"/>
            <w:u w:val="single" w:color="1153CC"/>
          </w:rPr>
          <w:t> </w:t>
        </w:r>
        <w:r>
          <w:rPr>
            <w:color w:val="1153CC"/>
            <w:u w:val="single" w:color="1153CC"/>
          </w:rPr>
          <w:t>Families</w:t>
        </w:r>
        <w:r>
          <w:rPr>
            <w:color w:val="1153CC"/>
            <w:spacing w:val="-6"/>
            <w:u w:val="single" w:color="1153CC"/>
          </w:rPr>
          <w:t> </w:t>
        </w:r>
        <w:r>
          <w:rPr>
            <w:color w:val="1153CC"/>
            <w:u w:val="single" w:color="1153CC"/>
          </w:rPr>
          <w:t>policy</w:t>
        </w:r>
      </w:hyperlink>
      <w:hyperlink r:id="rId725">
        <w:r>
          <w:rPr>
            <w:u w:val="none"/>
          </w:rPr>
          <w:t>.</w:t>
        </w:r>
      </w:hyperlink>
      <w:r>
        <w:rPr>
          <w:spacing w:val="-7"/>
          <w:u w:val="none"/>
        </w:rPr>
        <w:t> </w:t>
      </w:r>
      <w:r>
        <w:rPr>
          <w:u w:val="none"/>
        </w:rPr>
        <w:t>As</w:t>
      </w:r>
      <w:r>
        <w:rPr>
          <w:spacing w:val="-5"/>
          <w:u w:val="none"/>
        </w:rPr>
        <w:t> </w:t>
      </w:r>
      <w:r>
        <w:rPr>
          <w:u w:val="none"/>
        </w:rPr>
        <w:t>discussed</w:t>
      </w:r>
      <w:r>
        <w:rPr>
          <w:spacing w:val="-7"/>
          <w:u w:val="none"/>
        </w:rPr>
        <w:t> </w:t>
      </w:r>
      <w:r>
        <w:rPr>
          <w:u w:val="none"/>
        </w:rPr>
        <w:t>below,</w:t>
      </w:r>
      <w:r>
        <w:rPr>
          <w:spacing w:val="-6"/>
          <w:u w:val="none"/>
        </w:rPr>
        <w:t> </w:t>
      </w:r>
      <w:r>
        <w:rPr>
          <w:u w:val="none"/>
        </w:rPr>
        <w:t>DCF</w:t>
      </w:r>
      <w:r>
        <w:rPr>
          <w:spacing w:val="-7"/>
          <w:u w:val="none"/>
        </w:rPr>
        <w:t> </w:t>
      </w:r>
      <w:r>
        <w:rPr>
          <w:u w:val="none"/>
        </w:rPr>
        <w:t>has</w:t>
      </w:r>
      <w:r>
        <w:rPr>
          <w:spacing w:val="-6"/>
          <w:u w:val="none"/>
        </w:rPr>
        <w:t> </w:t>
      </w:r>
      <w:r>
        <w:rPr>
          <w:u w:val="none"/>
        </w:rPr>
        <w:t>advised</w:t>
      </w:r>
      <w:r>
        <w:rPr>
          <w:spacing w:val="-7"/>
          <w:u w:val="none"/>
        </w:rPr>
        <w:t> </w:t>
      </w:r>
      <w:r>
        <w:rPr>
          <w:u w:val="none"/>
        </w:rPr>
        <w:t>that</w:t>
      </w:r>
      <w:r>
        <w:rPr>
          <w:spacing w:val="-6"/>
          <w:u w:val="none"/>
        </w:rPr>
        <w:t> </w:t>
      </w:r>
      <w:r>
        <w:rPr>
          <w:u w:val="none"/>
        </w:rPr>
        <w:t>the</w:t>
      </w:r>
      <w:r>
        <w:rPr>
          <w:spacing w:val="-7"/>
          <w:u w:val="none"/>
        </w:rPr>
        <w:t> </w:t>
      </w:r>
      <w:r>
        <w:rPr>
          <w:u w:val="none"/>
        </w:rPr>
        <w:t>latter</w:t>
      </w:r>
      <w:r>
        <w:rPr>
          <w:spacing w:val="-6"/>
          <w:u w:val="none"/>
        </w:rPr>
        <w:t> </w:t>
      </w:r>
      <w:r>
        <w:rPr>
          <w:u w:val="none"/>
        </w:rPr>
        <w:t>two</w:t>
      </w:r>
      <w:r>
        <w:rPr>
          <w:spacing w:val="-5"/>
          <w:u w:val="none"/>
        </w:rPr>
        <w:t> </w:t>
      </w:r>
      <w:r>
        <w:rPr>
          <w:u w:val="none"/>
        </w:rPr>
        <w:t>policies</w:t>
      </w:r>
      <w:r>
        <w:rPr>
          <w:spacing w:val="-6"/>
          <w:u w:val="none"/>
        </w:rPr>
        <w:t> </w:t>
      </w:r>
      <w:r>
        <w:rPr>
          <w:u w:val="none"/>
        </w:rPr>
        <w:t>provide</w:t>
      </w:r>
      <w:r>
        <w:rPr>
          <w:spacing w:val="-7"/>
          <w:u w:val="none"/>
        </w:rPr>
        <w:t> </w:t>
      </w:r>
      <w:r>
        <w:rPr>
          <w:u w:val="none"/>
        </w:rPr>
        <w:t>a</w:t>
      </w:r>
      <w:r>
        <w:rPr>
          <w:spacing w:val="-6"/>
          <w:u w:val="none"/>
        </w:rPr>
        <w:t> </w:t>
      </w:r>
      <w:r>
        <w:rPr>
          <w:u w:val="none"/>
        </w:rPr>
        <w:t>basis</w:t>
      </w:r>
      <w:r>
        <w:rPr>
          <w:spacing w:val="-6"/>
          <w:u w:val="none"/>
        </w:rPr>
        <w:t> </w:t>
      </w:r>
      <w:r>
        <w:rPr>
          <w:u w:val="none"/>
        </w:rPr>
        <w:t>to </w:t>
      </w:r>
      <w:r>
        <w:rPr>
          <w:spacing w:val="-2"/>
          <w:u w:val="none"/>
        </w:rPr>
        <w:t>continue to address the Commission’s recommendation around formally identifying and certifying LGBTQ- </w:t>
      </w:r>
      <w:r>
        <w:rPr>
          <w:u w:val="none"/>
        </w:rPr>
        <w:t>affirming placements across the state.</w:t>
      </w:r>
    </w:p>
    <w:p>
      <w:pPr>
        <w:pStyle w:val="BodyText"/>
        <w:spacing w:line="276" w:lineRule="auto" w:before="239"/>
        <w:ind w:left="483" w:right="341"/>
        <w:jc w:val="both"/>
      </w:pPr>
      <w:r>
        <w:rPr/>
        <w:t>DCF has also expanded training opportunities for staff on LGBTQ cultural awareness, though there remains an urgent need for more in-depth training opportunities that reaches all staff, contractors, and foster</w:t>
      </w:r>
      <w:r>
        <w:rPr>
          <w:spacing w:val="-4"/>
        </w:rPr>
        <w:t> </w:t>
      </w:r>
      <w:r>
        <w:rPr/>
        <w:t>parents.</w:t>
      </w:r>
      <w:r>
        <w:rPr>
          <w:spacing w:val="-4"/>
        </w:rPr>
        <w:t> </w:t>
      </w:r>
      <w:r>
        <w:rPr/>
        <w:t>DCF</w:t>
      </w:r>
      <w:r>
        <w:rPr>
          <w:spacing w:val="-4"/>
        </w:rPr>
        <w:t> </w:t>
      </w:r>
      <w:r>
        <w:rPr/>
        <w:t>has</w:t>
      </w:r>
      <w:r>
        <w:rPr>
          <w:spacing w:val="-2"/>
        </w:rPr>
        <w:t> </w:t>
      </w:r>
      <w:r>
        <w:rPr/>
        <w:t>advised</w:t>
      </w:r>
      <w:r>
        <w:rPr>
          <w:spacing w:val="-4"/>
        </w:rPr>
        <w:t> </w:t>
      </w:r>
      <w:r>
        <w:rPr/>
        <w:t>the</w:t>
      </w:r>
      <w:r>
        <w:rPr>
          <w:spacing w:val="-4"/>
        </w:rPr>
        <w:t> </w:t>
      </w:r>
      <w:r>
        <w:rPr/>
        <w:t>Commission</w:t>
      </w:r>
      <w:r>
        <w:rPr>
          <w:spacing w:val="-3"/>
        </w:rPr>
        <w:t> </w:t>
      </w:r>
      <w:r>
        <w:rPr/>
        <w:t>that</w:t>
      </w:r>
      <w:r>
        <w:rPr>
          <w:spacing w:val="-4"/>
        </w:rPr>
        <w:t> </w:t>
      </w:r>
      <w:r>
        <w:rPr/>
        <w:t>all</w:t>
      </w:r>
      <w:r>
        <w:rPr>
          <w:spacing w:val="-3"/>
        </w:rPr>
        <w:t> </w:t>
      </w:r>
      <w:r>
        <w:rPr/>
        <w:t>DCF</w:t>
      </w:r>
      <w:r>
        <w:rPr>
          <w:spacing w:val="-4"/>
        </w:rPr>
        <w:t> </w:t>
      </w:r>
      <w:r>
        <w:rPr/>
        <w:t>social</w:t>
      </w:r>
      <w:r>
        <w:rPr>
          <w:spacing w:val="-4"/>
        </w:rPr>
        <w:t> </w:t>
      </w:r>
      <w:r>
        <w:rPr/>
        <w:t>workers</w:t>
      </w:r>
      <w:r>
        <w:rPr>
          <w:spacing w:val="-4"/>
        </w:rPr>
        <w:t> </w:t>
      </w:r>
      <w:r>
        <w:rPr/>
        <w:t>are</w:t>
      </w:r>
      <w:r>
        <w:rPr>
          <w:spacing w:val="-4"/>
        </w:rPr>
        <w:t> </w:t>
      </w:r>
      <w:r>
        <w:rPr/>
        <w:t>required</w:t>
      </w:r>
      <w:r>
        <w:rPr>
          <w:spacing w:val="-3"/>
        </w:rPr>
        <w:t> </w:t>
      </w:r>
      <w:r>
        <w:rPr/>
        <w:t>to</w:t>
      </w:r>
      <w:r>
        <w:rPr>
          <w:spacing w:val="-1"/>
        </w:rPr>
        <w:t> </w:t>
      </w:r>
      <w:r>
        <w:rPr/>
        <w:t>take</w:t>
      </w:r>
      <w:r>
        <w:rPr>
          <w:spacing w:val="-4"/>
        </w:rPr>
        <w:t> </w:t>
      </w:r>
      <w:r>
        <w:rPr/>
        <w:t>30</w:t>
      </w:r>
      <w:r>
        <w:rPr>
          <w:spacing w:val="-3"/>
        </w:rPr>
        <w:t> </w:t>
      </w:r>
      <w:r>
        <w:rPr/>
        <w:t>hours of training on any topic each year, and trainings on LGBTQ cultural awareness would count - though the topic</w:t>
      </w:r>
      <w:r>
        <w:rPr>
          <w:spacing w:val="-5"/>
        </w:rPr>
        <w:t> </w:t>
      </w:r>
      <w:r>
        <w:rPr/>
        <w:t>is</w:t>
      </w:r>
      <w:r>
        <w:rPr>
          <w:spacing w:val="-5"/>
        </w:rPr>
        <w:t> </w:t>
      </w:r>
      <w:r>
        <w:rPr/>
        <w:t>not</w:t>
      </w:r>
      <w:r>
        <w:rPr>
          <w:spacing w:val="-5"/>
        </w:rPr>
        <w:t> </w:t>
      </w:r>
      <w:r>
        <w:rPr/>
        <w:t>mandated.</w:t>
      </w:r>
      <w:r>
        <w:rPr>
          <w:spacing w:val="-4"/>
        </w:rPr>
        <w:t> </w:t>
      </w:r>
      <w:r>
        <w:rPr/>
        <w:t>Since</w:t>
      </w:r>
      <w:r>
        <w:rPr>
          <w:spacing w:val="-6"/>
        </w:rPr>
        <w:t> </w:t>
      </w:r>
      <w:r>
        <w:rPr/>
        <w:t>the</w:t>
      </w:r>
      <w:r>
        <w:rPr>
          <w:spacing w:val="-6"/>
        </w:rPr>
        <w:t> </w:t>
      </w:r>
      <w:r>
        <w:rPr/>
        <w:t>spring</w:t>
      </w:r>
      <w:r>
        <w:rPr>
          <w:spacing w:val="-6"/>
        </w:rPr>
        <w:t> </w:t>
      </w:r>
      <w:r>
        <w:rPr/>
        <w:t>of</w:t>
      </w:r>
      <w:r>
        <w:rPr>
          <w:spacing w:val="-5"/>
        </w:rPr>
        <w:t> </w:t>
      </w:r>
      <w:r>
        <w:rPr/>
        <w:t>2022,</w:t>
      </w:r>
      <w:r>
        <w:rPr>
          <w:spacing w:val="-5"/>
        </w:rPr>
        <w:t> </w:t>
      </w:r>
      <w:r>
        <w:rPr/>
        <w:t>DCF</w:t>
      </w:r>
      <w:r>
        <w:rPr>
          <w:spacing w:val="-6"/>
        </w:rPr>
        <w:t> </w:t>
      </w:r>
      <w:r>
        <w:rPr/>
        <w:t>has</w:t>
      </w:r>
      <w:r>
        <w:rPr>
          <w:spacing w:val="-5"/>
        </w:rPr>
        <w:t> </w:t>
      </w:r>
      <w:r>
        <w:rPr/>
        <w:t>offered</w:t>
      </w:r>
      <w:r>
        <w:rPr>
          <w:spacing w:val="-6"/>
        </w:rPr>
        <w:t> </w:t>
      </w:r>
      <w:r>
        <w:rPr/>
        <w:t>ten</w:t>
      </w:r>
      <w:r>
        <w:rPr>
          <w:spacing w:val="-6"/>
        </w:rPr>
        <w:t> </w:t>
      </w:r>
      <w:r>
        <w:rPr/>
        <w:t>training</w:t>
      </w:r>
      <w:r>
        <w:rPr>
          <w:spacing w:val="-6"/>
        </w:rPr>
        <w:t> </w:t>
      </w:r>
      <w:r>
        <w:rPr/>
        <w:t>opportunities</w:t>
      </w:r>
      <w:r>
        <w:rPr>
          <w:spacing w:val="-5"/>
        </w:rPr>
        <w:t> </w:t>
      </w:r>
      <w:r>
        <w:rPr/>
        <w:t>to</w:t>
      </w:r>
      <w:r>
        <w:rPr>
          <w:spacing w:val="-4"/>
        </w:rPr>
        <w:t> </w:t>
      </w:r>
      <w:r>
        <w:rPr/>
        <w:t>DCF</w:t>
      </w:r>
      <w:r>
        <w:rPr>
          <w:spacing w:val="-6"/>
        </w:rPr>
        <w:t> </w:t>
      </w:r>
      <w:r>
        <w:rPr/>
        <w:t>staff</w:t>
      </w:r>
      <w:r>
        <w:rPr>
          <w:spacing w:val="-5"/>
        </w:rPr>
        <w:t> </w:t>
      </w:r>
      <w:r>
        <w:rPr/>
        <w:t>in partnership</w:t>
      </w:r>
      <w:r>
        <w:rPr>
          <w:spacing w:val="-1"/>
        </w:rPr>
        <w:t> </w:t>
      </w:r>
      <w:r>
        <w:rPr/>
        <w:t>with</w:t>
      </w:r>
      <w:r>
        <w:rPr>
          <w:spacing w:val="-2"/>
        </w:rPr>
        <w:t> </w:t>
      </w:r>
      <w:r>
        <w:rPr/>
        <w:t>the</w:t>
      </w:r>
      <w:r>
        <w:rPr>
          <w:spacing w:val="-2"/>
        </w:rPr>
        <w:t> </w:t>
      </w:r>
      <w:r>
        <w:rPr/>
        <w:t>Commission</w:t>
      </w:r>
      <w:r>
        <w:rPr>
          <w:spacing w:val="-2"/>
        </w:rPr>
        <w:t> </w:t>
      </w:r>
      <w:r>
        <w:rPr/>
        <w:t>and</w:t>
      </w:r>
      <w:r>
        <w:rPr>
          <w:spacing w:val="-2"/>
        </w:rPr>
        <w:t> </w:t>
      </w:r>
      <w:r>
        <w:rPr/>
        <w:t>EOHHS</w:t>
      </w:r>
      <w:r>
        <w:rPr>
          <w:spacing w:val="-2"/>
        </w:rPr>
        <w:t> </w:t>
      </w:r>
      <w:r>
        <w:rPr/>
        <w:t>on</w:t>
      </w:r>
      <w:r>
        <w:rPr>
          <w:spacing w:val="-2"/>
        </w:rPr>
        <w:t> </w:t>
      </w:r>
      <w:r>
        <w:rPr/>
        <w:t>LGBTQ+</w:t>
      </w:r>
      <w:r>
        <w:rPr>
          <w:spacing w:val="-2"/>
        </w:rPr>
        <w:t> </w:t>
      </w:r>
      <w:r>
        <w:rPr/>
        <w:t>Inclusive Workplaces</w:t>
      </w:r>
      <w:r>
        <w:rPr>
          <w:spacing w:val="-1"/>
        </w:rPr>
        <w:t> </w:t>
      </w:r>
      <w:r>
        <w:rPr/>
        <w:t>(April</w:t>
      </w:r>
      <w:r>
        <w:rPr>
          <w:spacing w:val="-2"/>
        </w:rPr>
        <w:t> </w:t>
      </w:r>
      <w:r>
        <w:rPr/>
        <w:t>and</w:t>
      </w:r>
      <w:r>
        <w:rPr>
          <w:spacing w:val="-2"/>
        </w:rPr>
        <w:t> </w:t>
      </w:r>
      <w:r>
        <w:rPr/>
        <w:t>May</w:t>
      </w:r>
      <w:r>
        <w:rPr>
          <w:spacing w:val="-1"/>
        </w:rPr>
        <w:t> </w:t>
      </w:r>
      <w:r>
        <w:rPr/>
        <w:t>2022)</w:t>
      </w:r>
      <w:r>
        <w:rPr>
          <w:spacing w:val="-1"/>
        </w:rPr>
        <w:t> </w:t>
      </w:r>
      <w:r>
        <w:rPr/>
        <w:t>and “Working</w:t>
      </w:r>
      <w:r>
        <w:rPr>
          <w:spacing w:val="-5"/>
        </w:rPr>
        <w:t> </w:t>
      </w:r>
      <w:r>
        <w:rPr/>
        <w:t>with</w:t>
      </w:r>
      <w:r>
        <w:rPr>
          <w:spacing w:val="-5"/>
        </w:rPr>
        <w:t> </w:t>
      </w:r>
      <w:r>
        <w:rPr/>
        <w:t>Families</w:t>
      </w:r>
      <w:r>
        <w:rPr>
          <w:spacing w:val="-4"/>
        </w:rPr>
        <w:t> </w:t>
      </w:r>
      <w:r>
        <w:rPr/>
        <w:t>to</w:t>
      </w:r>
      <w:r>
        <w:rPr>
          <w:spacing w:val="-3"/>
        </w:rPr>
        <w:t> </w:t>
      </w:r>
      <w:r>
        <w:rPr/>
        <w:t>Support</w:t>
      </w:r>
      <w:r>
        <w:rPr>
          <w:spacing w:val="-4"/>
        </w:rPr>
        <w:t> </w:t>
      </w:r>
      <w:r>
        <w:rPr/>
        <w:t>LGBTQIA+</w:t>
      </w:r>
      <w:r>
        <w:rPr>
          <w:spacing w:val="-4"/>
        </w:rPr>
        <w:t> </w:t>
      </w:r>
      <w:r>
        <w:rPr/>
        <w:t>Youth”</w:t>
      </w:r>
      <w:r>
        <w:rPr>
          <w:spacing w:val="-5"/>
        </w:rPr>
        <w:t> </w:t>
      </w:r>
      <w:r>
        <w:rPr/>
        <w:t>(January</w:t>
      </w:r>
      <w:r>
        <w:rPr>
          <w:spacing w:val="-5"/>
        </w:rPr>
        <w:t> </w:t>
      </w:r>
      <w:r>
        <w:rPr/>
        <w:t>and</w:t>
      </w:r>
      <w:r>
        <w:rPr>
          <w:spacing w:val="-3"/>
        </w:rPr>
        <w:t> </w:t>
      </w:r>
      <w:r>
        <w:rPr/>
        <w:t>December</w:t>
      </w:r>
      <w:r>
        <w:rPr>
          <w:spacing w:val="-5"/>
        </w:rPr>
        <w:t> </w:t>
      </w:r>
      <w:r>
        <w:rPr/>
        <w:t>2022,</w:t>
      </w:r>
      <w:r>
        <w:rPr>
          <w:spacing w:val="-5"/>
        </w:rPr>
        <w:t> </w:t>
      </w:r>
      <w:r>
        <w:rPr/>
        <w:t>May</w:t>
      </w:r>
      <w:r>
        <w:rPr>
          <w:spacing w:val="-5"/>
        </w:rPr>
        <w:t> </w:t>
      </w:r>
      <w:r>
        <w:rPr/>
        <w:t>2023),</w:t>
      </w:r>
      <w:r>
        <w:rPr>
          <w:spacing w:val="-5"/>
        </w:rPr>
        <w:t> </w:t>
      </w:r>
      <w:r>
        <w:rPr/>
        <w:t>as</w:t>
      </w:r>
      <w:r>
        <w:rPr>
          <w:spacing w:val="-5"/>
        </w:rPr>
        <w:t> </w:t>
      </w:r>
      <w:r>
        <w:rPr/>
        <w:t>well</w:t>
      </w:r>
      <w:r>
        <w:rPr>
          <w:spacing w:val="-5"/>
        </w:rPr>
        <w:t> </w:t>
      </w:r>
      <w:r>
        <w:rPr/>
        <w:t>as two</w:t>
      </w:r>
      <w:r>
        <w:rPr>
          <w:spacing w:val="-8"/>
        </w:rPr>
        <w:t> </w:t>
      </w:r>
      <w:r>
        <w:rPr/>
        <w:t>trainings</w:t>
      </w:r>
      <w:r>
        <w:rPr>
          <w:spacing w:val="-7"/>
        </w:rPr>
        <w:t> </w:t>
      </w:r>
      <w:r>
        <w:rPr/>
        <w:t>on</w:t>
      </w:r>
      <w:r>
        <w:rPr>
          <w:spacing w:val="-9"/>
        </w:rPr>
        <w:t> </w:t>
      </w:r>
      <w:r>
        <w:rPr/>
        <w:t>“(SOGIE)</w:t>
      </w:r>
      <w:r>
        <w:rPr>
          <w:spacing w:val="-8"/>
        </w:rPr>
        <w:t> </w:t>
      </w:r>
      <w:r>
        <w:rPr/>
        <w:t>in</w:t>
      </w:r>
      <w:r>
        <w:rPr>
          <w:spacing w:val="-9"/>
        </w:rPr>
        <w:t> </w:t>
      </w:r>
      <w:r>
        <w:rPr/>
        <w:t>Youth</w:t>
      </w:r>
      <w:r>
        <w:rPr>
          <w:spacing w:val="-9"/>
        </w:rPr>
        <w:t> </w:t>
      </w:r>
      <w:r>
        <w:rPr/>
        <w:t>in</w:t>
      </w:r>
      <w:r>
        <w:rPr>
          <w:spacing w:val="-9"/>
        </w:rPr>
        <w:t> </w:t>
      </w:r>
      <w:r>
        <w:rPr/>
        <w:t>Child</w:t>
      </w:r>
      <w:r>
        <w:rPr>
          <w:spacing w:val="-9"/>
        </w:rPr>
        <w:t> </w:t>
      </w:r>
      <w:r>
        <w:rPr/>
        <w:t>Welfare”</w:t>
      </w:r>
      <w:r>
        <w:rPr>
          <w:spacing w:val="-8"/>
        </w:rPr>
        <w:t> </w:t>
      </w:r>
      <w:r>
        <w:rPr/>
        <w:t>in</w:t>
      </w:r>
      <w:r>
        <w:rPr>
          <w:spacing w:val="-8"/>
        </w:rPr>
        <w:t> </w:t>
      </w:r>
      <w:r>
        <w:rPr/>
        <w:t>May</w:t>
      </w:r>
      <w:r>
        <w:rPr>
          <w:spacing w:val="-9"/>
        </w:rPr>
        <w:t> </w:t>
      </w:r>
      <w:r>
        <w:rPr/>
        <w:t>of</w:t>
      </w:r>
      <w:r>
        <w:rPr>
          <w:spacing w:val="-9"/>
        </w:rPr>
        <w:t> </w:t>
      </w:r>
      <w:r>
        <w:rPr/>
        <w:t>2022</w:t>
      </w:r>
      <w:r>
        <w:rPr>
          <w:spacing w:val="-9"/>
        </w:rPr>
        <w:t> </w:t>
      </w:r>
      <w:r>
        <w:rPr/>
        <w:t>and</w:t>
      </w:r>
      <w:r>
        <w:rPr>
          <w:spacing w:val="-9"/>
        </w:rPr>
        <w:t> </w:t>
      </w:r>
      <w:r>
        <w:rPr/>
        <w:t>January</w:t>
      </w:r>
      <w:r>
        <w:rPr>
          <w:spacing w:val="-8"/>
        </w:rPr>
        <w:t> </w:t>
      </w:r>
      <w:r>
        <w:rPr/>
        <w:t>of</w:t>
      </w:r>
      <w:r>
        <w:rPr>
          <w:spacing w:val="-9"/>
        </w:rPr>
        <w:t> </w:t>
      </w:r>
      <w:r>
        <w:rPr/>
        <w:t>2023.</w:t>
      </w:r>
      <w:r>
        <w:rPr>
          <w:spacing w:val="-9"/>
        </w:rPr>
        <w:t> </w:t>
      </w:r>
      <w:r>
        <w:rPr/>
        <w:t>The</w:t>
      </w:r>
      <w:r>
        <w:rPr>
          <w:spacing w:val="-7"/>
        </w:rPr>
        <w:t> </w:t>
      </w:r>
      <w:r>
        <w:rPr/>
        <w:t>Commission notes</w:t>
      </w:r>
      <w:r>
        <w:rPr>
          <w:spacing w:val="-4"/>
        </w:rPr>
        <w:t> </w:t>
      </w:r>
      <w:r>
        <w:rPr/>
        <w:t>below</w:t>
      </w:r>
      <w:r>
        <w:rPr>
          <w:spacing w:val="-3"/>
        </w:rPr>
        <w:t> </w:t>
      </w:r>
      <w:r>
        <w:rPr/>
        <w:t>that</w:t>
      </w:r>
      <w:r>
        <w:rPr>
          <w:spacing w:val="-4"/>
        </w:rPr>
        <w:t> </w:t>
      </w:r>
      <w:r>
        <w:rPr/>
        <w:t>DCF</w:t>
      </w:r>
      <w:r>
        <w:rPr>
          <w:spacing w:val="-3"/>
        </w:rPr>
        <w:t> </w:t>
      </w:r>
      <w:r>
        <w:rPr/>
        <w:t>has</w:t>
      </w:r>
      <w:r>
        <w:rPr>
          <w:spacing w:val="-2"/>
        </w:rPr>
        <w:t> </w:t>
      </w:r>
      <w:r>
        <w:rPr/>
        <w:t>continued</w:t>
      </w:r>
      <w:r>
        <w:rPr>
          <w:spacing w:val="-3"/>
        </w:rPr>
        <w:t> </w:t>
      </w:r>
      <w:r>
        <w:rPr/>
        <w:t>to</w:t>
      </w:r>
      <w:r>
        <w:rPr>
          <w:spacing w:val="-2"/>
        </w:rPr>
        <w:t> </w:t>
      </w:r>
      <w:r>
        <w:rPr/>
        <w:t>participate</w:t>
      </w:r>
      <w:r>
        <w:rPr>
          <w:spacing w:val="-4"/>
        </w:rPr>
        <w:t> </w:t>
      </w:r>
      <w:r>
        <w:rPr/>
        <w:t>in</w:t>
      </w:r>
      <w:r>
        <w:rPr>
          <w:spacing w:val="-3"/>
        </w:rPr>
        <w:t> </w:t>
      </w:r>
      <w:r>
        <w:rPr/>
        <w:t>internal</w:t>
      </w:r>
      <w:r>
        <w:rPr>
          <w:spacing w:val="-3"/>
        </w:rPr>
        <w:t> </w:t>
      </w:r>
      <w:r>
        <w:rPr/>
        <w:t>EOHHS</w:t>
      </w:r>
      <w:r>
        <w:rPr>
          <w:spacing w:val="-4"/>
        </w:rPr>
        <w:t> </w:t>
      </w:r>
      <w:r>
        <w:rPr/>
        <w:t>agency</w:t>
      </w:r>
      <w:r>
        <w:rPr>
          <w:spacing w:val="-3"/>
        </w:rPr>
        <w:t> </w:t>
      </w:r>
      <w:r>
        <w:rPr/>
        <w:t>train-the-trainer</w:t>
      </w:r>
      <w:r>
        <w:rPr>
          <w:spacing w:val="-1"/>
        </w:rPr>
        <w:t> </w:t>
      </w:r>
      <w:r>
        <w:rPr/>
        <w:t>sessions</w:t>
      </w:r>
      <w:r>
        <w:rPr>
          <w:spacing w:val="-4"/>
        </w:rPr>
        <w:t> </w:t>
      </w:r>
      <w:r>
        <w:rPr/>
        <w:t>to build internal capacity to deliver LGBTQ cultural awareness trainings throughout DCF.</w:t>
      </w:r>
    </w:p>
    <w:p>
      <w:pPr>
        <w:pStyle w:val="BodyText"/>
        <w:spacing w:line="276" w:lineRule="auto" w:before="240"/>
        <w:ind w:left="483" w:right="341"/>
        <w:jc w:val="both"/>
      </w:pPr>
      <w:r>
        <w:rPr/>
        <w:t>The Commission appreciates the attention that DCF has been paying to educating DCF staff on the importance</w:t>
      </w:r>
      <w:r>
        <w:rPr>
          <w:spacing w:val="-9"/>
        </w:rPr>
        <w:t> </w:t>
      </w:r>
      <w:r>
        <w:rPr/>
        <w:t>of</w:t>
      </w:r>
      <w:r>
        <w:rPr>
          <w:spacing w:val="-9"/>
        </w:rPr>
        <w:t> </w:t>
      </w:r>
      <w:r>
        <w:rPr/>
        <w:t>SOGI</w:t>
      </w:r>
      <w:r>
        <w:rPr>
          <w:spacing w:val="-8"/>
        </w:rPr>
        <w:t> </w:t>
      </w:r>
      <w:r>
        <w:rPr/>
        <w:t>data</w:t>
      </w:r>
      <w:r>
        <w:rPr>
          <w:spacing w:val="-8"/>
        </w:rPr>
        <w:t> </w:t>
      </w:r>
      <w:r>
        <w:rPr/>
        <w:t>collection.</w:t>
      </w:r>
      <w:r>
        <w:rPr>
          <w:spacing w:val="-8"/>
        </w:rPr>
        <w:t> </w:t>
      </w:r>
      <w:r>
        <w:rPr/>
        <w:t>For</w:t>
      </w:r>
      <w:r>
        <w:rPr>
          <w:spacing w:val="-7"/>
        </w:rPr>
        <w:t> </w:t>
      </w:r>
      <w:r>
        <w:rPr/>
        <w:t>decades,</w:t>
      </w:r>
      <w:r>
        <w:rPr>
          <w:spacing w:val="-8"/>
        </w:rPr>
        <w:t> </w:t>
      </w:r>
      <w:r>
        <w:rPr/>
        <w:t>a</w:t>
      </w:r>
      <w:r>
        <w:rPr>
          <w:spacing w:val="-7"/>
        </w:rPr>
        <w:t> </w:t>
      </w:r>
      <w:r>
        <w:rPr/>
        <w:t>barrier</w:t>
      </w:r>
      <w:r>
        <w:rPr>
          <w:spacing w:val="-9"/>
        </w:rPr>
        <w:t> </w:t>
      </w:r>
      <w:r>
        <w:rPr/>
        <w:t>to</w:t>
      </w:r>
      <w:r>
        <w:rPr>
          <w:spacing w:val="-8"/>
        </w:rPr>
        <w:t> </w:t>
      </w:r>
      <w:r>
        <w:rPr/>
        <w:t>progress</w:t>
      </w:r>
      <w:r>
        <w:rPr>
          <w:spacing w:val="-8"/>
        </w:rPr>
        <w:t> </w:t>
      </w:r>
      <w:r>
        <w:rPr/>
        <w:t>in</w:t>
      </w:r>
      <w:r>
        <w:rPr>
          <w:spacing w:val="-9"/>
        </w:rPr>
        <w:t> </w:t>
      </w:r>
      <w:r>
        <w:rPr/>
        <w:t>Massachusetts</w:t>
      </w:r>
      <w:r>
        <w:rPr>
          <w:spacing w:val="-7"/>
        </w:rPr>
        <w:t> </w:t>
      </w:r>
      <w:r>
        <w:rPr/>
        <w:t>has</w:t>
      </w:r>
      <w:r>
        <w:rPr>
          <w:spacing w:val="-8"/>
        </w:rPr>
        <w:t> </w:t>
      </w:r>
      <w:r>
        <w:rPr/>
        <w:t>been</w:t>
      </w:r>
      <w:r>
        <w:rPr>
          <w:spacing w:val="-8"/>
        </w:rPr>
        <w:t> </w:t>
      </w:r>
      <w:r>
        <w:rPr/>
        <w:t>the</w:t>
      </w:r>
      <w:r>
        <w:rPr>
          <w:spacing w:val="-8"/>
        </w:rPr>
        <w:t> </w:t>
      </w:r>
      <w:r>
        <w:rPr/>
        <w:t>lack of quantitative information on LGBTQ youth across state agencies - as detailed throughout this annual report. Although DCF initially adopted SOGI data fields in 2016, the IT changes were incomplete and remained optional, leading to low completion rates and unreliable data that was later reported in DCF’s FY20 and FY21 annual reports. Done properly, collecting data on sexual orientation and gender identity (SOGI)</w:t>
      </w:r>
      <w:r>
        <w:rPr>
          <w:spacing w:val="-11"/>
        </w:rPr>
        <w:t> </w:t>
      </w:r>
      <w:r>
        <w:rPr/>
        <w:t>not</w:t>
      </w:r>
      <w:r>
        <w:rPr>
          <w:spacing w:val="-12"/>
        </w:rPr>
        <w:t> </w:t>
      </w:r>
      <w:r>
        <w:rPr/>
        <w:t>only</w:t>
      </w:r>
      <w:r>
        <w:rPr>
          <w:spacing w:val="-12"/>
        </w:rPr>
        <w:t> </w:t>
      </w:r>
      <w:r>
        <w:rPr/>
        <w:t>provides</w:t>
      </w:r>
      <w:r>
        <w:rPr>
          <w:spacing w:val="-11"/>
        </w:rPr>
        <w:t> </w:t>
      </w:r>
      <w:r>
        <w:rPr/>
        <w:t>better</w:t>
      </w:r>
      <w:r>
        <w:rPr>
          <w:spacing w:val="-11"/>
        </w:rPr>
        <w:t> </w:t>
      </w:r>
      <w:r>
        <w:rPr/>
        <w:t>information</w:t>
      </w:r>
      <w:r>
        <w:rPr>
          <w:spacing w:val="-13"/>
        </w:rPr>
        <w:t> </w:t>
      </w:r>
      <w:r>
        <w:rPr/>
        <w:t>on</w:t>
      </w:r>
      <w:r>
        <w:rPr>
          <w:spacing w:val="-11"/>
        </w:rPr>
        <w:t> </w:t>
      </w:r>
      <w:r>
        <w:rPr/>
        <w:t>the</w:t>
      </w:r>
      <w:r>
        <w:rPr>
          <w:spacing w:val="-12"/>
        </w:rPr>
        <w:t> </w:t>
      </w:r>
      <w:r>
        <w:rPr/>
        <w:t>experiences</w:t>
      </w:r>
      <w:r>
        <w:rPr>
          <w:spacing w:val="-11"/>
        </w:rPr>
        <w:t> </w:t>
      </w:r>
      <w:r>
        <w:rPr/>
        <w:t>of</w:t>
      </w:r>
      <w:r>
        <w:rPr>
          <w:spacing w:val="-11"/>
        </w:rPr>
        <w:t> </w:t>
      </w:r>
      <w:r>
        <w:rPr/>
        <w:t>LGBTQ</w:t>
      </w:r>
      <w:r>
        <w:rPr>
          <w:spacing w:val="-12"/>
        </w:rPr>
        <w:t> </w:t>
      </w:r>
      <w:r>
        <w:rPr/>
        <w:t>youth</w:t>
      </w:r>
      <w:r>
        <w:rPr>
          <w:spacing w:val="-12"/>
        </w:rPr>
        <w:t> </w:t>
      </w:r>
      <w:r>
        <w:rPr/>
        <w:t>in</w:t>
      </w:r>
      <w:r>
        <w:rPr>
          <w:spacing w:val="-12"/>
        </w:rPr>
        <w:t> </w:t>
      </w:r>
      <w:r>
        <w:rPr/>
        <w:t>care,</w:t>
      </w:r>
      <w:r>
        <w:rPr>
          <w:spacing w:val="-11"/>
        </w:rPr>
        <w:t> </w:t>
      </w:r>
      <w:r>
        <w:rPr/>
        <w:t>but</w:t>
      </w:r>
      <w:r>
        <w:rPr>
          <w:spacing w:val="-12"/>
        </w:rPr>
        <w:t> </w:t>
      </w:r>
      <w:r>
        <w:rPr/>
        <w:t>also</w:t>
      </w:r>
      <w:r>
        <w:rPr>
          <w:spacing w:val="-12"/>
        </w:rPr>
        <w:t> </w:t>
      </w:r>
      <w:r>
        <w:rPr/>
        <w:t>promotes opportunities</w:t>
      </w:r>
      <w:r>
        <w:rPr>
          <w:spacing w:val="-6"/>
        </w:rPr>
        <w:t> </w:t>
      </w:r>
      <w:r>
        <w:rPr/>
        <w:t>for</w:t>
      </w:r>
      <w:r>
        <w:rPr>
          <w:spacing w:val="-5"/>
        </w:rPr>
        <w:t> </w:t>
      </w:r>
      <w:r>
        <w:rPr/>
        <w:t>those</w:t>
      </w:r>
      <w:r>
        <w:rPr>
          <w:spacing w:val="-7"/>
        </w:rPr>
        <w:t> </w:t>
      </w:r>
      <w:r>
        <w:rPr/>
        <w:t>same</w:t>
      </w:r>
      <w:r>
        <w:rPr>
          <w:spacing w:val="-7"/>
        </w:rPr>
        <w:t> </w:t>
      </w:r>
      <w:r>
        <w:rPr/>
        <w:t>youth</w:t>
      </w:r>
      <w:r>
        <w:rPr>
          <w:spacing w:val="-6"/>
        </w:rPr>
        <w:t> </w:t>
      </w:r>
      <w:r>
        <w:rPr/>
        <w:t>to</w:t>
      </w:r>
      <w:r>
        <w:rPr>
          <w:spacing w:val="-4"/>
        </w:rPr>
        <w:t> </w:t>
      </w:r>
      <w:r>
        <w:rPr/>
        <w:t>discuss</w:t>
      </w:r>
      <w:r>
        <w:rPr>
          <w:spacing w:val="-5"/>
        </w:rPr>
        <w:t> </w:t>
      </w:r>
      <w:r>
        <w:rPr/>
        <w:t>their</w:t>
      </w:r>
      <w:r>
        <w:rPr>
          <w:spacing w:val="-5"/>
        </w:rPr>
        <w:t> </w:t>
      </w:r>
      <w:r>
        <w:rPr/>
        <w:t>identities</w:t>
      </w:r>
      <w:r>
        <w:rPr>
          <w:spacing w:val="-5"/>
        </w:rPr>
        <w:t> </w:t>
      </w:r>
      <w:r>
        <w:rPr/>
        <w:t>without</w:t>
      </w:r>
      <w:r>
        <w:rPr>
          <w:spacing w:val="-6"/>
        </w:rPr>
        <w:t> </w:t>
      </w:r>
      <w:r>
        <w:rPr/>
        <w:t>bearing</w:t>
      </w:r>
      <w:r>
        <w:rPr>
          <w:spacing w:val="-6"/>
        </w:rPr>
        <w:t> </w:t>
      </w:r>
      <w:r>
        <w:rPr/>
        <w:t>the</w:t>
      </w:r>
      <w:r>
        <w:rPr>
          <w:spacing w:val="-6"/>
        </w:rPr>
        <w:t> </w:t>
      </w:r>
      <w:r>
        <w:rPr/>
        <w:t>burden</w:t>
      </w:r>
      <w:r>
        <w:rPr>
          <w:spacing w:val="-6"/>
        </w:rPr>
        <w:t> </w:t>
      </w:r>
      <w:r>
        <w:rPr/>
        <w:t>of</w:t>
      </w:r>
      <w:r>
        <w:rPr>
          <w:spacing w:val="-5"/>
        </w:rPr>
        <w:t> </w:t>
      </w:r>
      <w:r>
        <w:rPr/>
        <w:t>initiating</w:t>
      </w:r>
      <w:r>
        <w:rPr>
          <w:spacing w:val="-6"/>
        </w:rPr>
        <w:t> </w:t>
      </w:r>
      <w:r>
        <w:rPr/>
        <w:t>the </w:t>
      </w:r>
      <w:r>
        <w:rPr>
          <w:spacing w:val="-2"/>
        </w:rPr>
        <w:t>conversation.</w:t>
      </w:r>
    </w:p>
    <w:p>
      <w:pPr>
        <w:pStyle w:val="BodyText"/>
        <w:spacing w:line="276" w:lineRule="auto" w:before="239"/>
        <w:ind w:left="483" w:right="341"/>
        <w:jc w:val="both"/>
      </w:pPr>
      <w:r>
        <w:rPr/>
        <w:t>DCF</w:t>
      </w:r>
      <w:r>
        <w:rPr>
          <w:spacing w:val="-6"/>
        </w:rPr>
        <w:t> </w:t>
      </w:r>
      <w:r>
        <w:rPr/>
        <w:t>took</w:t>
      </w:r>
      <w:r>
        <w:rPr>
          <w:spacing w:val="-6"/>
        </w:rPr>
        <w:t> </w:t>
      </w:r>
      <w:r>
        <w:rPr/>
        <w:t>a</w:t>
      </w:r>
      <w:r>
        <w:rPr>
          <w:spacing w:val="-4"/>
        </w:rPr>
        <w:t> </w:t>
      </w:r>
      <w:r>
        <w:rPr/>
        <w:t>significant</w:t>
      </w:r>
      <w:r>
        <w:rPr>
          <w:spacing w:val="-6"/>
        </w:rPr>
        <w:t> </w:t>
      </w:r>
      <w:r>
        <w:rPr/>
        <w:t>step</w:t>
      </w:r>
      <w:r>
        <w:rPr>
          <w:spacing w:val="-4"/>
        </w:rPr>
        <w:t> </w:t>
      </w:r>
      <w:r>
        <w:rPr/>
        <w:t>forward</w:t>
      </w:r>
      <w:r>
        <w:rPr>
          <w:spacing w:val="-6"/>
        </w:rPr>
        <w:t> </w:t>
      </w:r>
      <w:r>
        <w:rPr/>
        <w:t>in</w:t>
      </w:r>
      <w:r>
        <w:rPr>
          <w:spacing w:val="-4"/>
        </w:rPr>
        <w:t> </w:t>
      </w:r>
      <w:r>
        <w:rPr/>
        <w:t>April</w:t>
      </w:r>
      <w:r>
        <w:rPr>
          <w:spacing w:val="-5"/>
        </w:rPr>
        <w:t> </w:t>
      </w:r>
      <w:r>
        <w:rPr/>
        <w:t>2022</w:t>
      </w:r>
      <w:r>
        <w:rPr>
          <w:spacing w:val="-4"/>
        </w:rPr>
        <w:t> </w:t>
      </w:r>
      <w:r>
        <w:rPr/>
        <w:t>by</w:t>
      </w:r>
      <w:r>
        <w:rPr>
          <w:spacing w:val="-4"/>
        </w:rPr>
        <w:t> </w:t>
      </w:r>
      <w:r>
        <w:rPr/>
        <w:t>making</w:t>
      </w:r>
      <w:r>
        <w:rPr>
          <w:spacing w:val="-4"/>
        </w:rPr>
        <w:t> </w:t>
      </w:r>
      <w:r>
        <w:rPr/>
        <w:t>SOGI</w:t>
      </w:r>
      <w:r>
        <w:rPr>
          <w:spacing w:val="-3"/>
        </w:rPr>
        <w:t> </w:t>
      </w:r>
      <w:r>
        <w:rPr/>
        <w:t>data</w:t>
      </w:r>
      <w:r>
        <w:rPr>
          <w:spacing w:val="-5"/>
        </w:rPr>
        <w:t> </w:t>
      </w:r>
      <w:r>
        <w:rPr/>
        <w:t>a</w:t>
      </w:r>
      <w:r>
        <w:rPr>
          <w:spacing w:val="-4"/>
        </w:rPr>
        <w:t> </w:t>
      </w:r>
      <w:r>
        <w:rPr/>
        <w:t>mandatory</w:t>
      </w:r>
      <w:r>
        <w:rPr>
          <w:spacing w:val="-5"/>
        </w:rPr>
        <w:t> </w:t>
      </w:r>
      <w:r>
        <w:rPr/>
        <w:t>part</w:t>
      </w:r>
      <w:r>
        <w:rPr>
          <w:spacing w:val="-5"/>
        </w:rPr>
        <w:t> </w:t>
      </w:r>
      <w:r>
        <w:rPr/>
        <w:t>of</w:t>
      </w:r>
      <w:r>
        <w:rPr>
          <w:spacing w:val="-5"/>
        </w:rPr>
        <w:t> </w:t>
      </w:r>
      <w:r>
        <w:rPr/>
        <w:t>its</w:t>
      </w:r>
      <w:r>
        <w:rPr>
          <w:spacing w:val="-5"/>
        </w:rPr>
        <w:t> </w:t>
      </w:r>
      <w:r>
        <w:rPr/>
        <w:t>i-FamilyNet system,</w:t>
      </w:r>
      <w:r>
        <w:rPr>
          <w:spacing w:val="-4"/>
        </w:rPr>
        <w:t> </w:t>
      </w:r>
      <w:r>
        <w:rPr/>
        <w:t>with</w:t>
      </w:r>
      <w:r>
        <w:rPr>
          <w:spacing w:val="-3"/>
        </w:rPr>
        <w:t> </w:t>
      </w:r>
      <w:r>
        <w:rPr/>
        <w:t>further</w:t>
      </w:r>
      <w:r>
        <w:rPr>
          <w:spacing w:val="-3"/>
        </w:rPr>
        <w:t> </w:t>
      </w:r>
      <w:r>
        <w:rPr/>
        <w:t>updates</w:t>
      </w:r>
      <w:r>
        <w:rPr>
          <w:spacing w:val="-4"/>
        </w:rPr>
        <w:t> </w:t>
      </w:r>
      <w:r>
        <w:rPr/>
        <w:t>occurring</w:t>
      </w:r>
      <w:r>
        <w:rPr>
          <w:spacing w:val="-3"/>
        </w:rPr>
        <w:t> </w:t>
      </w:r>
      <w:r>
        <w:rPr/>
        <w:t>in</w:t>
      </w:r>
      <w:r>
        <w:rPr>
          <w:spacing w:val="-4"/>
        </w:rPr>
        <w:t> </w:t>
      </w:r>
      <w:r>
        <w:rPr/>
        <w:t>September</w:t>
      </w:r>
      <w:r>
        <w:rPr>
          <w:spacing w:val="-2"/>
        </w:rPr>
        <w:t> </w:t>
      </w:r>
      <w:r>
        <w:rPr/>
        <w:t>2022</w:t>
      </w:r>
      <w:r>
        <w:rPr>
          <w:spacing w:val="-4"/>
        </w:rPr>
        <w:t> </w:t>
      </w:r>
      <w:r>
        <w:rPr/>
        <w:t>to</w:t>
      </w:r>
      <w:r>
        <w:rPr>
          <w:spacing w:val="-4"/>
        </w:rPr>
        <w:t> </w:t>
      </w:r>
      <w:r>
        <w:rPr/>
        <w:t>add</w:t>
      </w:r>
      <w:r>
        <w:rPr>
          <w:spacing w:val="-3"/>
        </w:rPr>
        <w:t> </w:t>
      </w:r>
      <w:r>
        <w:rPr/>
        <w:t>fields</w:t>
      </w:r>
      <w:r>
        <w:rPr>
          <w:spacing w:val="-4"/>
        </w:rPr>
        <w:t> </w:t>
      </w:r>
      <w:r>
        <w:rPr/>
        <w:t>for</w:t>
      </w:r>
      <w:r>
        <w:rPr>
          <w:spacing w:val="-4"/>
        </w:rPr>
        <w:t> </w:t>
      </w:r>
      <w:r>
        <w:rPr/>
        <w:t>pronouns</w:t>
      </w:r>
      <w:r>
        <w:rPr>
          <w:spacing w:val="-4"/>
        </w:rPr>
        <w:t> </w:t>
      </w:r>
      <w:r>
        <w:rPr/>
        <w:t>and</w:t>
      </w:r>
      <w:r>
        <w:rPr>
          <w:spacing w:val="-3"/>
        </w:rPr>
        <w:t> </w:t>
      </w:r>
      <w:r>
        <w:rPr/>
        <w:t>chosen</w:t>
      </w:r>
      <w:r>
        <w:rPr>
          <w:spacing w:val="-4"/>
        </w:rPr>
        <w:t> </w:t>
      </w:r>
      <w:r>
        <w:rPr/>
        <w:t>names. DCF</w:t>
      </w:r>
      <w:r>
        <w:rPr>
          <w:spacing w:val="-13"/>
        </w:rPr>
        <w:t> </w:t>
      </w:r>
      <w:r>
        <w:rPr/>
        <w:t>was</w:t>
      </w:r>
      <w:r>
        <w:rPr>
          <w:spacing w:val="-12"/>
        </w:rPr>
        <w:t> </w:t>
      </w:r>
      <w:r>
        <w:rPr/>
        <w:t>able</w:t>
      </w:r>
      <w:r>
        <w:rPr>
          <w:spacing w:val="-13"/>
        </w:rPr>
        <w:t> </w:t>
      </w:r>
      <w:r>
        <w:rPr/>
        <w:t>to</w:t>
      </w:r>
      <w:r>
        <w:rPr>
          <w:spacing w:val="-12"/>
        </w:rPr>
        <w:t> </w:t>
      </w:r>
      <w:r>
        <w:rPr/>
        <w:t>include</w:t>
      </w:r>
      <w:r>
        <w:rPr>
          <w:spacing w:val="-13"/>
        </w:rPr>
        <w:t> </w:t>
      </w:r>
      <w:r>
        <w:rPr/>
        <w:t>its</w:t>
      </w:r>
      <w:r>
        <w:rPr>
          <w:spacing w:val="-12"/>
        </w:rPr>
        <w:t> </w:t>
      </w:r>
      <w:r>
        <w:rPr/>
        <w:t>initial</w:t>
      </w:r>
      <w:r>
        <w:rPr>
          <w:spacing w:val="-13"/>
        </w:rPr>
        <w:t> </w:t>
      </w:r>
      <w:r>
        <w:rPr/>
        <w:t>SOGI</w:t>
      </w:r>
      <w:r>
        <w:rPr>
          <w:spacing w:val="-12"/>
        </w:rPr>
        <w:t> </w:t>
      </w:r>
      <w:r>
        <w:rPr/>
        <w:t>data</w:t>
      </w:r>
      <w:r>
        <w:rPr>
          <w:spacing w:val="-12"/>
        </w:rPr>
        <w:t> </w:t>
      </w:r>
      <w:r>
        <w:rPr/>
        <w:t>from</w:t>
      </w:r>
      <w:r>
        <w:rPr>
          <w:spacing w:val="-13"/>
        </w:rPr>
        <w:t> </w:t>
      </w:r>
      <w:r>
        <w:rPr/>
        <w:t>these</w:t>
      </w:r>
      <w:r>
        <w:rPr>
          <w:spacing w:val="-12"/>
        </w:rPr>
        <w:t> </w:t>
      </w:r>
      <w:r>
        <w:rPr/>
        <w:t>update</w:t>
      </w:r>
      <w:r>
        <w:rPr>
          <w:spacing w:val="-13"/>
        </w:rPr>
        <w:t> </w:t>
      </w:r>
      <w:r>
        <w:rPr/>
        <w:t>in</w:t>
      </w:r>
      <w:r>
        <w:rPr>
          <w:spacing w:val="-12"/>
        </w:rPr>
        <w:t> </w:t>
      </w:r>
      <w:r>
        <w:rPr/>
        <w:t>its</w:t>
      </w:r>
      <w:r>
        <w:rPr>
          <w:spacing w:val="-13"/>
        </w:rPr>
        <w:t> </w:t>
      </w:r>
      <w:r>
        <w:rPr/>
        <w:t>most</w:t>
      </w:r>
      <w:r>
        <w:rPr>
          <w:spacing w:val="-12"/>
        </w:rPr>
        <w:t> </w:t>
      </w:r>
      <w:r>
        <w:rPr/>
        <w:t>recent</w:t>
      </w:r>
      <w:r>
        <w:rPr>
          <w:spacing w:val="-12"/>
        </w:rPr>
        <w:t> </w:t>
      </w:r>
      <w:hyperlink r:id="rId726">
        <w:r>
          <w:rPr>
            <w:color w:val="1154CC"/>
            <w:u w:val="single" w:color="1154CC"/>
          </w:rPr>
          <w:t>FY23Q1</w:t>
        </w:r>
        <w:r>
          <w:rPr>
            <w:color w:val="1154CC"/>
            <w:spacing w:val="-13"/>
            <w:u w:val="single" w:color="1154CC"/>
          </w:rPr>
          <w:t> </w:t>
        </w:r>
        <w:r>
          <w:rPr>
            <w:color w:val="1154CC"/>
            <w:u w:val="single" w:color="1154CC"/>
          </w:rPr>
          <w:t>Quarterly</w:t>
        </w:r>
        <w:r>
          <w:rPr>
            <w:color w:val="1154CC"/>
            <w:spacing w:val="-12"/>
            <w:u w:val="single" w:color="1154CC"/>
          </w:rPr>
          <w:t> </w:t>
        </w:r>
        <w:r>
          <w:rPr>
            <w:color w:val="1154CC"/>
            <w:u w:val="single" w:color="1154CC"/>
          </w:rPr>
          <w:t>Report</w:t>
        </w:r>
        <w:r>
          <w:rPr>
            <w:u w:val="none"/>
          </w:rPr>
          <w:t>,</w:t>
        </w:r>
      </w:hyperlink>
      <w:r>
        <w:rPr>
          <w:u w:val="none"/>
        </w:rPr>
        <w:t> as noted below. To further extend their data transparency, DCF launched an </w:t>
      </w:r>
      <w:hyperlink r:id="rId727">
        <w:r>
          <w:rPr>
            <w:color w:val="1154CC"/>
            <w:u w:val="single" w:color="1154CC"/>
          </w:rPr>
          <w:t>interactive data dashboard</w:t>
        </w:r>
      </w:hyperlink>
      <w:r>
        <w:rPr>
          <w:color w:val="1154CC"/>
          <w:u w:val="none"/>
        </w:rPr>
        <w:t> </w:t>
      </w:r>
      <w:r>
        <w:rPr>
          <w:u w:val="none"/>
        </w:rPr>
        <w:t>that</w:t>
      </w:r>
      <w:r>
        <w:rPr>
          <w:spacing w:val="-6"/>
          <w:u w:val="none"/>
        </w:rPr>
        <w:t> </w:t>
      </w:r>
      <w:r>
        <w:rPr>
          <w:u w:val="none"/>
        </w:rPr>
        <w:t>allows</w:t>
      </w:r>
      <w:r>
        <w:rPr>
          <w:spacing w:val="-6"/>
          <w:u w:val="none"/>
        </w:rPr>
        <w:t> </w:t>
      </w:r>
      <w:r>
        <w:rPr>
          <w:u w:val="none"/>
        </w:rPr>
        <w:t>for</w:t>
      </w:r>
      <w:r>
        <w:rPr>
          <w:spacing w:val="-6"/>
          <w:u w:val="none"/>
        </w:rPr>
        <w:t> </w:t>
      </w:r>
      <w:r>
        <w:rPr>
          <w:u w:val="none"/>
        </w:rPr>
        <w:t>public</w:t>
      </w:r>
      <w:r>
        <w:rPr>
          <w:spacing w:val="-6"/>
          <w:u w:val="none"/>
        </w:rPr>
        <w:t> </w:t>
      </w:r>
      <w:r>
        <w:rPr>
          <w:u w:val="none"/>
        </w:rPr>
        <w:t>engagement</w:t>
      </w:r>
      <w:r>
        <w:rPr>
          <w:spacing w:val="-7"/>
          <w:u w:val="none"/>
        </w:rPr>
        <w:t> </w:t>
      </w:r>
      <w:r>
        <w:rPr>
          <w:u w:val="none"/>
        </w:rPr>
        <w:t>and</w:t>
      </w:r>
      <w:r>
        <w:rPr>
          <w:spacing w:val="-6"/>
          <w:u w:val="none"/>
        </w:rPr>
        <w:t> </w:t>
      </w:r>
      <w:r>
        <w:rPr>
          <w:u w:val="none"/>
        </w:rPr>
        <w:t>reporting.</w:t>
      </w:r>
      <w:r>
        <w:rPr>
          <w:spacing w:val="-6"/>
          <w:u w:val="none"/>
        </w:rPr>
        <w:t> </w:t>
      </w:r>
      <w:r>
        <w:rPr>
          <w:u w:val="none"/>
        </w:rPr>
        <w:t>Finally,</w:t>
      </w:r>
      <w:r>
        <w:rPr>
          <w:spacing w:val="-6"/>
          <w:u w:val="none"/>
        </w:rPr>
        <w:t> </w:t>
      </w:r>
      <w:r>
        <w:rPr>
          <w:u w:val="none"/>
        </w:rPr>
        <w:t>the</w:t>
      </w:r>
      <w:r>
        <w:rPr>
          <w:spacing w:val="-5"/>
          <w:u w:val="none"/>
        </w:rPr>
        <w:t> </w:t>
      </w:r>
      <w:r>
        <w:rPr>
          <w:u w:val="none"/>
        </w:rPr>
        <w:t>Commission</w:t>
      </w:r>
      <w:r>
        <w:rPr>
          <w:spacing w:val="-7"/>
          <w:u w:val="none"/>
        </w:rPr>
        <w:t> </w:t>
      </w:r>
      <w:r>
        <w:rPr>
          <w:u w:val="none"/>
        </w:rPr>
        <w:t>has</w:t>
      </w:r>
      <w:r>
        <w:rPr>
          <w:spacing w:val="-6"/>
          <w:u w:val="none"/>
        </w:rPr>
        <w:t> </w:t>
      </w:r>
      <w:r>
        <w:rPr>
          <w:u w:val="none"/>
        </w:rPr>
        <w:t>been</w:t>
      </w:r>
      <w:r>
        <w:rPr>
          <w:spacing w:val="-6"/>
          <w:u w:val="none"/>
        </w:rPr>
        <w:t> </w:t>
      </w:r>
      <w:r>
        <w:rPr>
          <w:u w:val="none"/>
        </w:rPr>
        <w:t>thrilled</w:t>
      </w:r>
      <w:r>
        <w:rPr>
          <w:spacing w:val="-6"/>
          <w:u w:val="none"/>
        </w:rPr>
        <w:t> </w:t>
      </w:r>
      <w:r>
        <w:rPr>
          <w:u w:val="none"/>
        </w:rPr>
        <w:t>to</w:t>
      </w:r>
      <w:r>
        <w:rPr>
          <w:spacing w:val="-6"/>
          <w:u w:val="none"/>
        </w:rPr>
        <w:t> </w:t>
      </w:r>
      <w:r>
        <w:rPr>
          <w:u w:val="none"/>
        </w:rPr>
        <w:t>collaborate with DCF’s new fully-staffed LGBTQIA+ Office on policy development, data collection, and training in FY </w:t>
      </w:r>
      <w:r>
        <w:rPr>
          <w:spacing w:val="-2"/>
          <w:u w:val="none"/>
        </w:rPr>
        <w:t>2024.</w:t>
      </w:r>
    </w:p>
    <w:p>
      <w:pPr>
        <w:spacing w:before="241"/>
        <w:ind w:left="483" w:right="0" w:firstLine="0"/>
        <w:jc w:val="both"/>
        <w:rPr>
          <w:sz w:val="28"/>
        </w:rPr>
      </w:pPr>
      <w:r>
        <w:rPr>
          <w:color w:val="365F91"/>
          <w:sz w:val="28"/>
        </w:rPr>
        <w:t>FY</w:t>
      </w:r>
      <w:r>
        <w:rPr>
          <w:color w:val="365F91"/>
          <w:spacing w:val="-9"/>
          <w:sz w:val="28"/>
        </w:rPr>
        <w:t> </w:t>
      </w:r>
      <w:r>
        <w:rPr>
          <w:color w:val="365F91"/>
          <w:sz w:val="28"/>
        </w:rPr>
        <w:t>2025</w:t>
      </w:r>
      <w:r>
        <w:rPr>
          <w:color w:val="365F91"/>
          <w:spacing w:val="-8"/>
          <w:sz w:val="28"/>
        </w:rPr>
        <w:t> </w:t>
      </w:r>
      <w:r>
        <w:rPr>
          <w:color w:val="365F91"/>
          <w:sz w:val="28"/>
        </w:rPr>
        <w:t>Expanded</w:t>
      </w:r>
      <w:r>
        <w:rPr>
          <w:color w:val="365F91"/>
          <w:spacing w:val="-9"/>
          <w:sz w:val="28"/>
        </w:rPr>
        <w:t> </w:t>
      </w:r>
      <w:r>
        <w:rPr>
          <w:color w:val="365F91"/>
          <w:sz w:val="28"/>
        </w:rPr>
        <w:t>DCF</w:t>
      </w:r>
      <w:r>
        <w:rPr>
          <w:color w:val="365F91"/>
          <w:spacing w:val="-9"/>
          <w:sz w:val="28"/>
        </w:rPr>
        <w:t> </w:t>
      </w:r>
      <w:r>
        <w:rPr>
          <w:color w:val="365F91"/>
          <w:spacing w:val="-2"/>
          <w:sz w:val="28"/>
        </w:rPr>
        <w:t>Recommendations</w:t>
      </w:r>
    </w:p>
    <w:p>
      <w:pPr>
        <w:pStyle w:val="BodyText"/>
        <w:spacing w:before="9"/>
        <w:rPr>
          <w:sz w:val="3"/>
        </w:rPr>
      </w:pPr>
      <w:r>
        <w:rPr/>
        <mc:AlternateContent>
          <mc:Choice Requires="wps">
            <w:drawing>
              <wp:anchor distT="0" distB="0" distL="0" distR="0" allowOverlap="1" layoutInCell="1" locked="0" behindDoc="1" simplePos="0" relativeHeight="487697408">
                <wp:simplePos x="0" y="0"/>
                <wp:positionH relativeFrom="page">
                  <wp:posOffset>897636</wp:posOffset>
                </wp:positionH>
                <wp:positionV relativeFrom="paragraph">
                  <wp:posOffset>44483</wp:posOffset>
                </wp:positionV>
                <wp:extent cx="5976620" cy="6350"/>
                <wp:effectExtent l="0" t="0" r="0" b="0"/>
                <wp:wrapTopAndBottom/>
                <wp:docPr id="564" name="Graphic 564"/>
                <wp:cNvGraphicFramePr>
                  <a:graphicFrameLocks/>
                </wp:cNvGraphicFramePr>
                <a:graphic>
                  <a:graphicData uri="http://schemas.microsoft.com/office/word/2010/wordprocessingShape">
                    <wps:wsp>
                      <wps:cNvPr id="564" name="Graphic 564"/>
                      <wps:cNvSpPr/>
                      <wps:spPr>
                        <a:xfrm>
                          <a:off x="0" y="0"/>
                          <a:ext cx="5976620" cy="6350"/>
                        </a:xfrm>
                        <a:custGeom>
                          <a:avLst/>
                          <a:gdLst/>
                          <a:ahLst/>
                          <a:cxnLst/>
                          <a:rect l="l" t="t" r="r" b="b"/>
                          <a:pathLst>
                            <a:path w="5976620" h="6350">
                              <a:moveTo>
                                <a:pt x="5976366" y="0"/>
                              </a:moveTo>
                              <a:lnTo>
                                <a:pt x="0" y="0"/>
                              </a:lnTo>
                              <a:lnTo>
                                <a:pt x="0" y="6096"/>
                              </a:lnTo>
                              <a:lnTo>
                                <a:pt x="5976366" y="6096"/>
                              </a:lnTo>
                              <a:lnTo>
                                <a:pt x="5976366" y="0"/>
                              </a:lnTo>
                              <a:close/>
                            </a:path>
                          </a:pathLst>
                        </a:custGeom>
                        <a:solidFill>
                          <a:srgbClr val="4F81BC"/>
                        </a:solidFill>
                      </wps:spPr>
                      <wps:bodyPr wrap="square" lIns="0" tIns="0" rIns="0" bIns="0" rtlCol="0">
                        <a:prstTxWarp prst="textNoShape">
                          <a:avLst/>
                        </a:prstTxWarp>
                        <a:noAutofit/>
                      </wps:bodyPr>
                    </wps:wsp>
                  </a:graphicData>
                </a:graphic>
              </wp:anchor>
            </w:drawing>
          </mc:Choice>
          <mc:Fallback>
            <w:pict>
              <v:rect style="position:absolute;margin-left:70.680pt;margin-top:3.502637pt;width:470.58pt;height:.48pt;mso-position-horizontal-relative:page;mso-position-vertical-relative:paragraph;z-index:-15619072;mso-wrap-distance-left:0;mso-wrap-distance-right:0" id="docshape461" filled="true" fillcolor="#4f81bc" stroked="false">
                <v:fill type="solid"/>
                <w10:wrap type="topAndBottom"/>
              </v:rect>
            </w:pict>
          </mc:Fallback>
        </mc:AlternateContent>
      </w:r>
    </w:p>
    <w:p>
      <w:pPr>
        <w:numPr>
          <w:ilvl w:val="0"/>
          <w:numId w:val="36"/>
        </w:numPr>
        <w:tabs>
          <w:tab w:pos="481" w:val="left" w:leader="none"/>
          <w:tab w:pos="483" w:val="left" w:leader="none"/>
        </w:tabs>
        <w:spacing w:line="276" w:lineRule="auto" w:before="241"/>
        <w:ind w:left="483" w:right="345" w:hanging="360"/>
        <w:jc w:val="left"/>
        <w:rPr>
          <w:b/>
          <w:sz w:val="22"/>
        </w:rPr>
      </w:pPr>
      <w:r>
        <w:rPr>
          <w:b/>
          <w:sz w:val="22"/>
        </w:rPr>
        <w:t>Ensure</w:t>
      </w:r>
      <w:r>
        <w:rPr>
          <w:b/>
          <w:spacing w:val="-13"/>
          <w:sz w:val="22"/>
        </w:rPr>
        <w:t> </w:t>
      </w:r>
      <w:r>
        <w:rPr>
          <w:b/>
          <w:sz w:val="22"/>
        </w:rPr>
        <w:t>thorough</w:t>
      </w:r>
      <w:r>
        <w:rPr>
          <w:b/>
          <w:spacing w:val="-12"/>
          <w:sz w:val="22"/>
        </w:rPr>
        <w:t> </w:t>
      </w:r>
      <w:r>
        <w:rPr>
          <w:b/>
          <w:sz w:val="22"/>
        </w:rPr>
        <w:t>and</w:t>
      </w:r>
      <w:r>
        <w:rPr>
          <w:b/>
          <w:spacing w:val="-13"/>
          <w:sz w:val="22"/>
        </w:rPr>
        <w:t> </w:t>
      </w:r>
      <w:r>
        <w:rPr>
          <w:b/>
          <w:sz w:val="22"/>
        </w:rPr>
        <w:t>accurate</w:t>
      </w:r>
      <w:r>
        <w:rPr>
          <w:b/>
          <w:spacing w:val="-13"/>
          <w:sz w:val="22"/>
        </w:rPr>
        <w:t> </w:t>
      </w:r>
      <w:r>
        <w:rPr>
          <w:b/>
          <w:sz w:val="22"/>
        </w:rPr>
        <w:t>SOGI</w:t>
      </w:r>
      <w:r>
        <w:rPr>
          <w:b/>
          <w:spacing w:val="-13"/>
          <w:sz w:val="22"/>
        </w:rPr>
        <w:t> </w:t>
      </w:r>
      <w:r>
        <w:rPr>
          <w:b/>
          <w:sz w:val="22"/>
        </w:rPr>
        <w:t>data</w:t>
      </w:r>
      <w:r>
        <w:rPr>
          <w:b/>
          <w:spacing w:val="-14"/>
          <w:sz w:val="22"/>
        </w:rPr>
        <w:t> </w:t>
      </w:r>
      <w:r>
        <w:rPr>
          <w:b/>
          <w:sz w:val="22"/>
        </w:rPr>
        <w:t>collection</w:t>
      </w:r>
      <w:r>
        <w:rPr>
          <w:b/>
          <w:spacing w:val="-12"/>
          <w:sz w:val="22"/>
        </w:rPr>
        <w:t> </w:t>
      </w:r>
      <w:r>
        <w:rPr>
          <w:b/>
          <w:sz w:val="22"/>
        </w:rPr>
        <w:t>through</w:t>
      </w:r>
      <w:r>
        <w:rPr>
          <w:b/>
          <w:spacing w:val="-13"/>
          <w:sz w:val="22"/>
        </w:rPr>
        <w:t> </w:t>
      </w:r>
      <w:r>
        <w:rPr>
          <w:b/>
          <w:sz w:val="22"/>
        </w:rPr>
        <w:t>implementation</w:t>
      </w:r>
      <w:r>
        <w:rPr>
          <w:b/>
          <w:spacing w:val="-13"/>
          <w:sz w:val="22"/>
        </w:rPr>
        <w:t> </w:t>
      </w:r>
      <w:r>
        <w:rPr>
          <w:b/>
          <w:sz w:val="22"/>
        </w:rPr>
        <w:t>of</w:t>
      </w:r>
      <w:r>
        <w:rPr>
          <w:b/>
          <w:spacing w:val="-12"/>
          <w:sz w:val="22"/>
        </w:rPr>
        <w:t> </w:t>
      </w:r>
      <w:r>
        <w:rPr>
          <w:b/>
          <w:sz w:val="22"/>
        </w:rPr>
        <w:t>the</w:t>
      </w:r>
      <w:r>
        <w:rPr>
          <w:b/>
          <w:spacing w:val="-13"/>
          <w:sz w:val="22"/>
        </w:rPr>
        <w:t> </w:t>
      </w:r>
      <w:r>
        <w:rPr>
          <w:b/>
          <w:sz w:val="22"/>
        </w:rPr>
        <w:t>new</w:t>
      </w:r>
      <w:r>
        <w:rPr>
          <w:b/>
          <w:spacing w:val="-14"/>
          <w:sz w:val="22"/>
        </w:rPr>
        <w:t> </w:t>
      </w:r>
      <w:r>
        <w:rPr>
          <w:b/>
          <w:sz w:val="22"/>
        </w:rPr>
        <w:t>mandatory</w:t>
      </w:r>
      <w:r>
        <w:rPr>
          <w:b/>
          <w:spacing w:val="-12"/>
          <w:sz w:val="22"/>
        </w:rPr>
        <w:t> </w:t>
      </w:r>
      <w:r>
        <w:rPr>
          <w:b/>
          <w:sz w:val="22"/>
        </w:rPr>
        <w:t>data elements and staff training.</w:t>
      </w:r>
    </w:p>
    <w:p>
      <w:pPr>
        <w:spacing w:after="0" w:line="276" w:lineRule="auto"/>
        <w:jc w:val="left"/>
        <w:rPr>
          <w:sz w:val="22"/>
        </w:rPr>
        <w:sectPr>
          <w:pgSz w:w="12240" w:h="15840"/>
          <w:pgMar w:header="804" w:footer="1263" w:top="1000" w:bottom="1460" w:left="960" w:right="1100"/>
        </w:sectPr>
      </w:pPr>
    </w:p>
    <w:p>
      <w:pPr>
        <w:pStyle w:val="BodyText"/>
        <w:spacing w:line="276" w:lineRule="auto" w:before="139"/>
        <w:ind w:left="483" w:right="339"/>
        <w:jc w:val="both"/>
      </w:pPr>
      <w:r>
        <w:rPr/>
        <w:t>Over the last three years, DCF has made significant progress on its SOGI data collection practices; much of</w:t>
      </w:r>
      <w:r>
        <w:rPr>
          <w:spacing w:val="-10"/>
        </w:rPr>
        <w:t> </w:t>
      </w:r>
      <w:r>
        <w:rPr/>
        <w:t>the</w:t>
      </w:r>
      <w:r>
        <w:rPr>
          <w:spacing w:val="-10"/>
        </w:rPr>
        <w:t> </w:t>
      </w:r>
      <w:r>
        <w:rPr/>
        <w:t>existing</w:t>
      </w:r>
      <w:r>
        <w:rPr>
          <w:spacing w:val="-10"/>
        </w:rPr>
        <w:t> </w:t>
      </w:r>
      <w:r>
        <w:rPr/>
        <w:t>data</w:t>
      </w:r>
      <w:r>
        <w:rPr>
          <w:spacing w:val="-10"/>
        </w:rPr>
        <w:t> </w:t>
      </w:r>
      <w:r>
        <w:rPr/>
        <w:t>has</w:t>
      </w:r>
      <w:r>
        <w:rPr>
          <w:spacing w:val="-10"/>
        </w:rPr>
        <w:t> </w:t>
      </w:r>
      <w:r>
        <w:rPr/>
        <w:t>been</w:t>
      </w:r>
      <w:r>
        <w:rPr>
          <w:spacing w:val="-10"/>
        </w:rPr>
        <w:t> </w:t>
      </w:r>
      <w:r>
        <w:rPr/>
        <w:t>published</w:t>
      </w:r>
      <w:r>
        <w:rPr>
          <w:spacing w:val="-10"/>
        </w:rPr>
        <w:t> </w:t>
      </w:r>
      <w:r>
        <w:rPr/>
        <w:t>in</w:t>
      </w:r>
      <w:r>
        <w:rPr>
          <w:spacing w:val="-10"/>
        </w:rPr>
        <w:t> </w:t>
      </w:r>
      <w:r>
        <w:rPr/>
        <w:t>its</w:t>
      </w:r>
      <w:r>
        <w:rPr>
          <w:spacing w:val="-10"/>
        </w:rPr>
        <w:t> </w:t>
      </w:r>
      <w:r>
        <w:rPr/>
        <w:t>subsequent</w:t>
      </w:r>
      <w:r>
        <w:rPr>
          <w:spacing w:val="-11"/>
        </w:rPr>
        <w:t> </w:t>
      </w:r>
      <w:r>
        <w:rPr/>
        <w:t>quarterly</w:t>
      </w:r>
      <w:r>
        <w:rPr>
          <w:spacing w:val="-10"/>
        </w:rPr>
        <w:t> </w:t>
      </w:r>
      <w:r>
        <w:rPr/>
        <w:t>reports</w:t>
      </w:r>
      <w:r>
        <w:rPr>
          <w:spacing w:val="-10"/>
        </w:rPr>
        <w:t> </w:t>
      </w:r>
      <w:r>
        <w:rPr/>
        <w:t>since</w:t>
      </w:r>
      <w:r>
        <w:rPr>
          <w:spacing w:val="-10"/>
        </w:rPr>
        <w:t> </w:t>
      </w:r>
      <w:r>
        <w:rPr/>
        <w:t>FY</w:t>
      </w:r>
      <w:r>
        <w:rPr>
          <w:spacing w:val="-11"/>
        </w:rPr>
        <w:t> </w:t>
      </w:r>
      <w:r>
        <w:rPr/>
        <w:t>2022.</w:t>
      </w:r>
      <w:r>
        <w:rPr>
          <w:spacing w:val="-11"/>
        </w:rPr>
        <w:t> </w:t>
      </w:r>
      <w:r>
        <w:rPr/>
        <w:t>The</w:t>
      </w:r>
      <w:r>
        <w:rPr>
          <w:spacing w:val="-10"/>
        </w:rPr>
        <w:t> </w:t>
      </w:r>
      <w:r>
        <w:rPr/>
        <w:t>Commission recommends</w:t>
      </w:r>
      <w:r>
        <w:rPr>
          <w:spacing w:val="-7"/>
        </w:rPr>
        <w:t> </w:t>
      </w:r>
      <w:r>
        <w:rPr/>
        <w:t>that</w:t>
      </w:r>
      <w:r>
        <w:rPr>
          <w:spacing w:val="-9"/>
        </w:rPr>
        <w:t> </w:t>
      </w:r>
      <w:r>
        <w:rPr/>
        <w:t>DCF</w:t>
      </w:r>
      <w:r>
        <w:rPr>
          <w:spacing w:val="-9"/>
        </w:rPr>
        <w:t> </w:t>
      </w:r>
      <w:r>
        <w:rPr/>
        <w:t>continue</w:t>
      </w:r>
      <w:r>
        <w:rPr>
          <w:spacing w:val="-9"/>
        </w:rPr>
        <w:t> </w:t>
      </w:r>
      <w:r>
        <w:rPr/>
        <w:t>to</w:t>
      </w:r>
      <w:r>
        <w:rPr>
          <w:spacing w:val="-8"/>
        </w:rPr>
        <w:t> </w:t>
      </w:r>
      <w:r>
        <w:rPr/>
        <w:t>review</w:t>
      </w:r>
      <w:r>
        <w:rPr>
          <w:spacing w:val="-10"/>
        </w:rPr>
        <w:t> </w:t>
      </w:r>
      <w:r>
        <w:rPr/>
        <w:t>its</w:t>
      </w:r>
      <w:r>
        <w:rPr>
          <w:spacing w:val="-8"/>
        </w:rPr>
        <w:t> </w:t>
      </w:r>
      <w:r>
        <w:rPr/>
        <w:t>SOGI</w:t>
      </w:r>
      <w:r>
        <w:rPr>
          <w:spacing w:val="-9"/>
        </w:rPr>
        <w:t> </w:t>
      </w:r>
      <w:r>
        <w:rPr/>
        <w:t>data</w:t>
      </w:r>
      <w:r>
        <w:rPr>
          <w:spacing w:val="-8"/>
        </w:rPr>
        <w:t> </w:t>
      </w:r>
      <w:r>
        <w:rPr/>
        <w:t>collection</w:t>
      </w:r>
      <w:r>
        <w:rPr>
          <w:spacing w:val="-8"/>
        </w:rPr>
        <w:t> </w:t>
      </w:r>
      <w:r>
        <w:rPr/>
        <w:t>efforts,</w:t>
      </w:r>
      <w:r>
        <w:rPr>
          <w:spacing w:val="-10"/>
        </w:rPr>
        <w:t> </w:t>
      </w:r>
      <w:r>
        <w:rPr/>
        <w:t>including</w:t>
      </w:r>
      <w:r>
        <w:rPr>
          <w:spacing w:val="-9"/>
        </w:rPr>
        <w:t> </w:t>
      </w:r>
      <w:r>
        <w:rPr/>
        <w:t>its</w:t>
      </w:r>
      <w:r>
        <w:rPr>
          <w:spacing w:val="-8"/>
        </w:rPr>
        <w:t> </w:t>
      </w:r>
      <w:r>
        <w:rPr/>
        <w:t>existing</w:t>
      </w:r>
      <w:r>
        <w:rPr>
          <w:spacing w:val="-9"/>
        </w:rPr>
        <w:t> </w:t>
      </w:r>
      <w:r>
        <w:rPr/>
        <w:t>data</w:t>
      </w:r>
      <w:r>
        <w:rPr>
          <w:spacing w:val="-8"/>
        </w:rPr>
        <w:t> </w:t>
      </w:r>
      <w:r>
        <w:rPr/>
        <w:t>fields, and ensure that staff are appropriately trained on how to solicit SOGI information. In its February 2024 meeting with DCF, the Commission was informed that the agency is in the process of developing an 8- minute</w:t>
      </w:r>
      <w:r>
        <w:rPr>
          <w:spacing w:val="-1"/>
        </w:rPr>
        <w:t> </w:t>
      </w:r>
      <w:r>
        <w:rPr/>
        <w:t>training</w:t>
      </w:r>
      <w:r>
        <w:rPr>
          <w:spacing w:val="-1"/>
        </w:rPr>
        <w:t> </w:t>
      </w:r>
      <w:r>
        <w:rPr/>
        <w:t>to</w:t>
      </w:r>
      <w:r>
        <w:rPr>
          <w:spacing w:val="-1"/>
        </w:rPr>
        <w:t> </w:t>
      </w:r>
      <w:r>
        <w:rPr/>
        <w:t>be</w:t>
      </w:r>
      <w:r>
        <w:rPr>
          <w:spacing w:val="-1"/>
        </w:rPr>
        <w:t> </w:t>
      </w:r>
      <w:r>
        <w:rPr/>
        <w:t>posted</w:t>
      </w:r>
      <w:r>
        <w:rPr>
          <w:spacing w:val="-2"/>
        </w:rPr>
        <w:t> </w:t>
      </w:r>
      <w:r>
        <w:rPr/>
        <w:t>on</w:t>
      </w:r>
      <w:r>
        <w:rPr>
          <w:spacing w:val="-1"/>
        </w:rPr>
        <w:t> </w:t>
      </w:r>
      <w:r>
        <w:rPr/>
        <w:t>MassAchieve</w:t>
      </w:r>
      <w:r>
        <w:rPr>
          <w:spacing w:val="-1"/>
        </w:rPr>
        <w:t> </w:t>
      </w:r>
      <w:r>
        <w:rPr/>
        <w:t>- the</w:t>
      </w:r>
      <w:r>
        <w:rPr>
          <w:spacing w:val="-2"/>
        </w:rPr>
        <w:t> </w:t>
      </w:r>
      <w:r>
        <w:rPr/>
        <w:t>state</w:t>
      </w:r>
      <w:r>
        <w:rPr>
          <w:spacing w:val="-1"/>
        </w:rPr>
        <w:t> </w:t>
      </w:r>
      <w:r>
        <w:rPr/>
        <w:t>employee</w:t>
      </w:r>
      <w:r>
        <w:rPr>
          <w:spacing w:val="-2"/>
        </w:rPr>
        <w:t> </w:t>
      </w:r>
      <w:r>
        <w:rPr/>
        <w:t>training</w:t>
      </w:r>
      <w:r>
        <w:rPr>
          <w:spacing w:val="-1"/>
        </w:rPr>
        <w:t> </w:t>
      </w:r>
      <w:r>
        <w:rPr/>
        <w:t>platform</w:t>
      </w:r>
      <w:r>
        <w:rPr>
          <w:spacing w:val="-2"/>
        </w:rPr>
        <w:t> </w:t>
      </w:r>
      <w:r>
        <w:rPr/>
        <w:t>-</w:t>
      </w:r>
      <w:r>
        <w:rPr>
          <w:spacing w:val="-1"/>
        </w:rPr>
        <w:t> </w:t>
      </w:r>
      <w:r>
        <w:rPr/>
        <w:t>that will</w:t>
      </w:r>
      <w:r>
        <w:rPr>
          <w:spacing w:val="-2"/>
        </w:rPr>
        <w:t> </w:t>
      </w:r>
      <w:r>
        <w:rPr/>
        <w:t>be</w:t>
      </w:r>
      <w:r>
        <w:rPr>
          <w:spacing w:val="-1"/>
        </w:rPr>
        <w:t> </w:t>
      </w:r>
      <w:r>
        <w:rPr/>
        <w:t>paired with a discussion in all area offices to ensure compliance and comprehension. DCF’s new fully-staff LGBTQIA+ Office will facilitate the conversations in partnership with area office leadership and training </w:t>
      </w:r>
      <w:r>
        <w:rPr>
          <w:spacing w:val="-2"/>
        </w:rPr>
        <w:t>teams.</w:t>
      </w:r>
    </w:p>
    <w:p>
      <w:pPr>
        <w:numPr>
          <w:ilvl w:val="0"/>
          <w:numId w:val="36"/>
        </w:numPr>
        <w:tabs>
          <w:tab w:pos="481" w:val="left" w:leader="none"/>
        </w:tabs>
        <w:spacing w:before="239"/>
        <w:ind w:left="481" w:right="0" w:hanging="358"/>
        <w:jc w:val="left"/>
        <w:rPr>
          <w:b/>
          <w:sz w:val="22"/>
        </w:rPr>
      </w:pPr>
      <w:r>
        <w:rPr>
          <w:b/>
          <w:sz w:val="22"/>
        </w:rPr>
        <w:t>Review</w:t>
      </w:r>
      <w:r>
        <w:rPr>
          <w:b/>
          <w:spacing w:val="-12"/>
          <w:sz w:val="22"/>
        </w:rPr>
        <w:t> </w:t>
      </w:r>
      <w:r>
        <w:rPr>
          <w:b/>
          <w:sz w:val="22"/>
        </w:rPr>
        <w:t>and</w:t>
      </w:r>
      <w:r>
        <w:rPr>
          <w:b/>
          <w:spacing w:val="-11"/>
          <w:sz w:val="22"/>
        </w:rPr>
        <w:t> </w:t>
      </w:r>
      <w:r>
        <w:rPr>
          <w:b/>
          <w:sz w:val="22"/>
        </w:rPr>
        <w:t>continue</w:t>
      </w:r>
      <w:r>
        <w:rPr>
          <w:b/>
          <w:spacing w:val="-12"/>
          <w:sz w:val="22"/>
        </w:rPr>
        <w:t> </w:t>
      </w:r>
      <w:r>
        <w:rPr>
          <w:b/>
          <w:sz w:val="22"/>
        </w:rPr>
        <w:t>implementation</w:t>
      </w:r>
      <w:r>
        <w:rPr>
          <w:b/>
          <w:spacing w:val="-11"/>
          <w:sz w:val="22"/>
        </w:rPr>
        <w:t> </w:t>
      </w:r>
      <w:r>
        <w:rPr>
          <w:b/>
          <w:sz w:val="22"/>
        </w:rPr>
        <w:t>of</w:t>
      </w:r>
      <w:r>
        <w:rPr>
          <w:b/>
          <w:spacing w:val="-11"/>
          <w:sz w:val="22"/>
        </w:rPr>
        <w:t> </w:t>
      </w:r>
      <w:r>
        <w:rPr>
          <w:b/>
          <w:sz w:val="22"/>
        </w:rPr>
        <w:t>LGBTQ-inclusive</w:t>
      </w:r>
      <w:r>
        <w:rPr>
          <w:b/>
          <w:spacing w:val="-12"/>
          <w:sz w:val="22"/>
        </w:rPr>
        <w:t> </w:t>
      </w:r>
      <w:r>
        <w:rPr>
          <w:b/>
          <w:spacing w:val="-2"/>
          <w:sz w:val="22"/>
        </w:rPr>
        <w:t>policies.</w:t>
      </w:r>
    </w:p>
    <w:p>
      <w:pPr>
        <w:pStyle w:val="BodyText"/>
        <w:spacing w:before="11"/>
        <w:rPr>
          <w:b/>
        </w:rPr>
      </w:pPr>
    </w:p>
    <w:p>
      <w:pPr>
        <w:pStyle w:val="BodyText"/>
        <w:spacing w:line="276" w:lineRule="auto"/>
        <w:ind w:left="483" w:right="341"/>
        <w:jc w:val="both"/>
      </w:pPr>
      <w:r>
        <w:rPr/>
        <w:t>As discussed above, DCF has made several strides in advancing LGBTQ-inclusive policies in the last four years</w:t>
      </w:r>
      <w:r>
        <w:rPr>
          <w:spacing w:val="-5"/>
        </w:rPr>
        <w:t> </w:t>
      </w:r>
      <w:r>
        <w:rPr/>
        <w:t>and</w:t>
      </w:r>
      <w:r>
        <w:rPr>
          <w:spacing w:val="-5"/>
        </w:rPr>
        <w:t> </w:t>
      </w:r>
      <w:r>
        <w:rPr/>
        <w:t>has</w:t>
      </w:r>
      <w:r>
        <w:rPr>
          <w:spacing w:val="-5"/>
        </w:rPr>
        <w:t> </w:t>
      </w:r>
      <w:r>
        <w:rPr/>
        <w:t>committed</w:t>
      </w:r>
      <w:r>
        <w:rPr>
          <w:spacing w:val="-5"/>
        </w:rPr>
        <w:t> </w:t>
      </w:r>
      <w:r>
        <w:rPr/>
        <w:t>to</w:t>
      </w:r>
      <w:r>
        <w:rPr>
          <w:spacing w:val="-5"/>
        </w:rPr>
        <w:t> </w:t>
      </w:r>
      <w:r>
        <w:rPr/>
        <w:t>continuing</w:t>
      </w:r>
      <w:r>
        <w:rPr>
          <w:spacing w:val="-5"/>
        </w:rPr>
        <w:t> </w:t>
      </w:r>
      <w:r>
        <w:rPr/>
        <w:t>to</w:t>
      </w:r>
      <w:r>
        <w:rPr>
          <w:spacing w:val="-5"/>
        </w:rPr>
        <w:t> </w:t>
      </w:r>
      <w:r>
        <w:rPr/>
        <w:t>examine</w:t>
      </w:r>
      <w:r>
        <w:rPr>
          <w:spacing w:val="-5"/>
        </w:rPr>
        <w:t> </w:t>
      </w:r>
      <w:r>
        <w:rPr/>
        <w:t>its</w:t>
      </w:r>
      <w:r>
        <w:rPr>
          <w:spacing w:val="-5"/>
        </w:rPr>
        <w:t> </w:t>
      </w:r>
      <w:r>
        <w:rPr/>
        <w:t>existing</w:t>
      </w:r>
      <w:r>
        <w:rPr>
          <w:spacing w:val="-5"/>
        </w:rPr>
        <w:t> </w:t>
      </w:r>
      <w:r>
        <w:rPr/>
        <w:t>policies</w:t>
      </w:r>
      <w:r>
        <w:rPr>
          <w:spacing w:val="-5"/>
        </w:rPr>
        <w:t> </w:t>
      </w:r>
      <w:r>
        <w:rPr/>
        <w:t>to</w:t>
      </w:r>
      <w:r>
        <w:rPr>
          <w:spacing w:val="-5"/>
        </w:rPr>
        <w:t> </w:t>
      </w:r>
      <w:r>
        <w:rPr/>
        <w:t>ensure</w:t>
      </w:r>
      <w:r>
        <w:rPr>
          <w:spacing w:val="-6"/>
        </w:rPr>
        <w:t> </w:t>
      </w:r>
      <w:r>
        <w:rPr/>
        <w:t>effectiveness.</w:t>
      </w:r>
      <w:r>
        <w:rPr>
          <w:spacing w:val="-6"/>
        </w:rPr>
        <w:t> </w:t>
      </w:r>
      <w:r>
        <w:rPr/>
        <w:t>Currently, the agency is in the process of reviewing its </w:t>
      </w:r>
      <w:hyperlink r:id="rId723">
        <w:r>
          <w:rPr>
            <w:u w:val="single"/>
          </w:rPr>
          <w:t>Gender-Affirming Medication Consent Policy</w:t>
        </w:r>
        <w:r>
          <w:rPr>
            <w:u w:val="none"/>
          </w:rPr>
          <w:t>,</w:t>
        </w:r>
      </w:hyperlink>
      <w:r>
        <w:rPr>
          <w:u w:val="none"/>
        </w:rPr>
        <w:t> released in 2021,</w:t>
      </w:r>
      <w:r>
        <w:rPr>
          <w:spacing w:val="-1"/>
          <w:u w:val="none"/>
        </w:rPr>
        <w:t> </w:t>
      </w:r>
      <w:r>
        <w:rPr>
          <w:u w:val="none"/>
        </w:rPr>
        <w:t>to make</w:t>
      </w:r>
      <w:r>
        <w:rPr>
          <w:spacing w:val="-2"/>
          <w:u w:val="none"/>
        </w:rPr>
        <w:t> </w:t>
      </w:r>
      <w:r>
        <w:rPr>
          <w:u w:val="none"/>
        </w:rPr>
        <w:t>amendments</w:t>
      </w:r>
      <w:r>
        <w:rPr>
          <w:spacing w:val="-1"/>
          <w:u w:val="none"/>
        </w:rPr>
        <w:t> </w:t>
      </w:r>
      <w:r>
        <w:rPr>
          <w:u w:val="none"/>
        </w:rPr>
        <w:t>and clarify existing</w:t>
      </w:r>
      <w:r>
        <w:rPr>
          <w:spacing w:val="-1"/>
          <w:u w:val="none"/>
        </w:rPr>
        <w:t> </w:t>
      </w:r>
      <w:r>
        <w:rPr>
          <w:u w:val="none"/>
        </w:rPr>
        <w:t>language</w:t>
      </w:r>
      <w:r>
        <w:rPr>
          <w:spacing w:val="-1"/>
          <w:u w:val="none"/>
        </w:rPr>
        <w:t> </w:t>
      </w:r>
      <w:r>
        <w:rPr>
          <w:u w:val="none"/>
        </w:rPr>
        <w:t>to</w:t>
      </w:r>
      <w:r>
        <w:rPr>
          <w:spacing w:val="-1"/>
          <w:u w:val="none"/>
        </w:rPr>
        <w:t> </w:t>
      </w:r>
      <w:r>
        <w:rPr>
          <w:u w:val="none"/>
        </w:rPr>
        <w:t>help</w:t>
      </w:r>
      <w:r>
        <w:rPr>
          <w:spacing w:val="-1"/>
          <w:u w:val="none"/>
        </w:rPr>
        <w:t> </w:t>
      </w:r>
      <w:r>
        <w:rPr>
          <w:u w:val="none"/>
        </w:rPr>
        <w:t>address</w:t>
      </w:r>
      <w:r>
        <w:rPr>
          <w:spacing w:val="-1"/>
          <w:u w:val="none"/>
        </w:rPr>
        <w:t> </w:t>
      </w:r>
      <w:r>
        <w:rPr>
          <w:u w:val="none"/>
        </w:rPr>
        <w:t>some concerns and</w:t>
      </w:r>
      <w:r>
        <w:rPr>
          <w:spacing w:val="-1"/>
          <w:u w:val="none"/>
        </w:rPr>
        <w:t> </w:t>
      </w:r>
      <w:r>
        <w:rPr>
          <w:u w:val="none"/>
        </w:rPr>
        <w:t>roadblocks that have been occurring from the policy. Advocates have previously shared their concerns with the Commission that there have been significant delays occurring for youth and families on the ground; DCF has shared that - to its understanding - some of this issue is occurring at the hospital level and a conflict between internal policies which results in youth occasionally getting referred elsewhere, which can extend delays. This work is currently being led by DCF’s LGBTQIA+ Office, which has also been collaborating with other offices and agencies to advise on documentation development.</w:t>
      </w:r>
    </w:p>
    <w:p>
      <w:pPr>
        <w:numPr>
          <w:ilvl w:val="0"/>
          <w:numId w:val="36"/>
        </w:numPr>
        <w:tabs>
          <w:tab w:pos="481" w:val="left" w:leader="none"/>
          <w:tab w:pos="483" w:val="left" w:leader="none"/>
        </w:tabs>
        <w:spacing w:line="276" w:lineRule="auto" w:before="241"/>
        <w:ind w:left="483" w:right="345" w:hanging="360"/>
        <w:jc w:val="left"/>
        <w:rPr>
          <w:b/>
          <w:sz w:val="22"/>
        </w:rPr>
      </w:pPr>
      <w:r>
        <w:rPr>
          <w:b/>
          <w:sz w:val="22"/>
        </w:rPr>
        <w:t>Explore the creation of an internal maltreatment coding system that includes specific coding options for LGBTQ youth.</w:t>
      </w:r>
    </w:p>
    <w:p>
      <w:pPr>
        <w:pStyle w:val="BodyText"/>
        <w:spacing w:line="276" w:lineRule="auto" w:before="240"/>
        <w:ind w:left="483" w:right="341"/>
        <w:jc w:val="both"/>
      </w:pPr>
      <w:r>
        <w:rPr/>
        <w:t>The</w:t>
      </w:r>
      <w:r>
        <w:rPr>
          <w:spacing w:val="-2"/>
        </w:rPr>
        <w:t> </w:t>
      </w:r>
      <w:r>
        <w:rPr/>
        <w:t>Commission</w:t>
      </w:r>
      <w:r>
        <w:rPr>
          <w:spacing w:val="-2"/>
        </w:rPr>
        <w:t> </w:t>
      </w:r>
      <w:r>
        <w:rPr/>
        <w:t>recommends</w:t>
      </w:r>
      <w:r>
        <w:rPr>
          <w:spacing w:val="-1"/>
        </w:rPr>
        <w:t> </w:t>
      </w:r>
      <w:r>
        <w:rPr/>
        <w:t>that</w:t>
      </w:r>
      <w:r>
        <w:rPr>
          <w:spacing w:val="-2"/>
        </w:rPr>
        <w:t> </w:t>
      </w:r>
      <w:r>
        <w:rPr/>
        <w:t>the</w:t>
      </w:r>
      <w:r>
        <w:rPr>
          <w:spacing w:val="-2"/>
        </w:rPr>
        <w:t> </w:t>
      </w:r>
      <w:r>
        <w:rPr/>
        <w:t>state</w:t>
      </w:r>
      <w:r>
        <w:rPr>
          <w:spacing w:val="-2"/>
        </w:rPr>
        <w:t> </w:t>
      </w:r>
      <w:r>
        <w:rPr/>
        <w:t>explore</w:t>
      </w:r>
      <w:r>
        <w:rPr>
          <w:spacing w:val="-1"/>
        </w:rPr>
        <w:t> </w:t>
      </w:r>
      <w:r>
        <w:rPr/>
        <w:t>the</w:t>
      </w:r>
      <w:r>
        <w:rPr>
          <w:spacing w:val="-2"/>
        </w:rPr>
        <w:t> </w:t>
      </w:r>
      <w:r>
        <w:rPr/>
        <w:t>creation</w:t>
      </w:r>
      <w:r>
        <w:rPr>
          <w:spacing w:val="-2"/>
        </w:rPr>
        <w:t> </w:t>
      </w:r>
      <w:r>
        <w:rPr/>
        <w:t>of</w:t>
      </w:r>
      <w:r>
        <w:rPr>
          <w:spacing w:val="-2"/>
        </w:rPr>
        <w:t> </w:t>
      </w:r>
      <w:r>
        <w:rPr/>
        <w:t>a</w:t>
      </w:r>
      <w:r>
        <w:rPr>
          <w:spacing w:val="-2"/>
        </w:rPr>
        <w:t> </w:t>
      </w:r>
      <w:r>
        <w:rPr/>
        <w:t>maltreatment</w:t>
      </w:r>
      <w:r>
        <w:rPr>
          <w:spacing w:val="-1"/>
        </w:rPr>
        <w:t> </w:t>
      </w:r>
      <w:r>
        <w:rPr/>
        <w:t>code</w:t>
      </w:r>
      <w:r>
        <w:rPr>
          <w:spacing w:val="-2"/>
        </w:rPr>
        <w:t> </w:t>
      </w:r>
      <w:r>
        <w:rPr/>
        <w:t>system</w:t>
      </w:r>
      <w:r>
        <w:rPr>
          <w:spacing w:val="-2"/>
        </w:rPr>
        <w:t> </w:t>
      </w:r>
      <w:r>
        <w:rPr/>
        <w:t>for</w:t>
      </w:r>
      <w:r>
        <w:rPr>
          <w:spacing w:val="-2"/>
        </w:rPr>
        <w:t> </w:t>
      </w:r>
      <w:r>
        <w:rPr/>
        <w:t>use in the child welfare system to better support social workers in tracking and addressing critical cases and incidents, with a specific maltreatment code being assigned to LGBTQ youth. The Commission understands that there are other states, such as Georgia, that have implemented a maltreatment code system</w:t>
      </w:r>
      <w:r>
        <w:rPr>
          <w:spacing w:val="-13"/>
        </w:rPr>
        <w:t> </w:t>
      </w:r>
      <w:r>
        <w:rPr/>
        <w:t>that</w:t>
      </w:r>
      <w:r>
        <w:rPr>
          <w:spacing w:val="-12"/>
        </w:rPr>
        <w:t> </w:t>
      </w:r>
      <w:r>
        <w:rPr/>
        <w:t>provides</w:t>
      </w:r>
      <w:r>
        <w:rPr>
          <w:spacing w:val="-13"/>
        </w:rPr>
        <w:t> </w:t>
      </w:r>
      <w:r>
        <w:rPr/>
        <w:t>multiple</w:t>
      </w:r>
      <w:r>
        <w:rPr>
          <w:spacing w:val="-12"/>
        </w:rPr>
        <w:t> </w:t>
      </w:r>
      <w:r>
        <w:rPr/>
        <w:t>benefits,</w:t>
      </w:r>
      <w:r>
        <w:rPr>
          <w:spacing w:val="-13"/>
        </w:rPr>
        <w:t> </w:t>
      </w:r>
      <w:r>
        <w:rPr/>
        <w:t>including</w:t>
      </w:r>
      <w:r>
        <w:rPr>
          <w:spacing w:val="-12"/>
        </w:rPr>
        <w:t> </w:t>
      </w:r>
      <w:r>
        <w:rPr/>
        <w:t>indicating</w:t>
      </w:r>
      <w:r>
        <w:rPr>
          <w:spacing w:val="-13"/>
        </w:rPr>
        <w:t> </w:t>
      </w:r>
      <w:r>
        <w:rPr/>
        <w:t>and</w:t>
      </w:r>
      <w:r>
        <w:rPr>
          <w:spacing w:val="-12"/>
        </w:rPr>
        <w:t> </w:t>
      </w:r>
      <w:r>
        <w:rPr/>
        <w:t>categorizing</w:t>
      </w:r>
      <w:r>
        <w:rPr>
          <w:spacing w:val="-12"/>
        </w:rPr>
        <w:t> </w:t>
      </w:r>
      <w:r>
        <w:rPr/>
        <w:t>levels</w:t>
      </w:r>
      <w:r>
        <w:rPr>
          <w:spacing w:val="-13"/>
        </w:rPr>
        <w:t> </w:t>
      </w:r>
      <w:r>
        <w:rPr/>
        <w:t>of</w:t>
      </w:r>
      <w:r>
        <w:rPr>
          <w:spacing w:val="-12"/>
        </w:rPr>
        <w:t> </w:t>
      </w:r>
      <w:r>
        <w:rPr/>
        <w:t>imminent</w:t>
      </w:r>
      <w:r>
        <w:rPr>
          <w:spacing w:val="-13"/>
        </w:rPr>
        <w:t> </w:t>
      </w:r>
      <w:r>
        <w:rPr/>
        <w:t>risk</w:t>
      </w:r>
      <w:r>
        <w:rPr>
          <w:spacing w:val="-12"/>
        </w:rPr>
        <w:t> </w:t>
      </w:r>
      <w:r>
        <w:rPr/>
        <w:t>–</w:t>
      </w:r>
      <w:r>
        <w:rPr>
          <w:spacing w:val="-13"/>
        </w:rPr>
        <w:t> </w:t>
      </w:r>
      <w:r>
        <w:rPr/>
        <w:t>used by</w:t>
      </w:r>
      <w:r>
        <w:rPr>
          <w:spacing w:val="-2"/>
        </w:rPr>
        <w:t> </w:t>
      </w:r>
      <w:r>
        <w:rPr/>
        <w:t>social</w:t>
      </w:r>
      <w:r>
        <w:rPr>
          <w:spacing w:val="-2"/>
        </w:rPr>
        <w:t> </w:t>
      </w:r>
      <w:r>
        <w:rPr/>
        <w:t>workers</w:t>
      </w:r>
      <w:r>
        <w:rPr>
          <w:spacing w:val="-1"/>
        </w:rPr>
        <w:t> </w:t>
      </w:r>
      <w:r>
        <w:rPr/>
        <w:t>to better prepare</w:t>
      </w:r>
      <w:r>
        <w:rPr>
          <w:spacing w:val="-1"/>
        </w:rPr>
        <w:t> </w:t>
      </w:r>
      <w:r>
        <w:rPr/>
        <w:t>and support</w:t>
      </w:r>
      <w:r>
        <w:rPr>
          <w:spacing w:val="-2"/>
        </w:rPr>
        <w:t> </w:t>
      </w:r>
      <w:r>
        <w:rPr/>
        <w:t>youth</w:t>
      </w:r>
      <w:r>
        <w:rPr>
          <w:spacing w:val="-2"/>
        </w:rPr>
        <w:t> </w:t>
      </w:r>
      <w:r>
        <w:rPr/>
        <w:t>in</w:t>
      </w:r>
      <w:r>
        <w:rPr>
          <w:spacing w:val="-1"/>
        </w:rPr>
        <w:t> </w:t>
      </w:r>
      <w:r>
        <w:rPr/>
        <w:t>their caseload</w:t>
      </w:r>
      <w:r>
        <w:rPr>
          <w:spacing w:val="-2"/>
        </w:rPr>
        <w:t> </w:t>
      </w:r>
      <w:r>
        <w:rPr/>
        <w:t>–</w:t>
      </w:r>
      <w:r>
        <w:rPr>
          <w:spacing w:val="-2"/>
        </w:rPr>
        <w:t> </w:t>
      </w:r>
      <w:r>
        <w:rPr/>
        <w:t>as</w:t>
      </w:r>
      <w:r>
        <w:rPr>
          <w:spacing w:val="-1"/>
        </w:rPr>
        <w:t> </w:t>
      </w:r>
      <w:r>
        <w:rPr/>
        <w:t>well</w:t>
      </w:r>
      <w:r>
        <w:rPr>
          <w:spacing w:val="-2"/>
        </w:rPr>
        <w:t> </w:t>
      </w:r>
      <w:r>
        <w:rPr/>
        <w:t>as</w:t>
      </w:r>
      <w:r>
        <w:rPr>
          <w:spacing w:val="-1"/>
        </w:rPr>
        <w:t> </w:t>
      </w:r>
      <w:r>
        <w:rPr/>
        <w:t>better categorizing</w:t>
      </w:r>
      <w:r>
        <w:rPr>
          <w:spacing w:val="-2"/>
        </w:rPr>
        <w:t> </w:t>
      </w:r>
      <w:r>
        <w:rPr/>
        <w:t>a case’s</w:t>
      </w:r>
      <w:r>
        <w:rPr>
          <w:spacing w:val="-12"/>
        </w:rPr>
        <w:t> </w:t>
      </w:r>
      <w:r>
        <w:rPr/>
        <w:t>eligibility</w:t>
      </w:r>
      <w:r>
        <w:rPr>
          <w:spacing w:val="-12"/>
        </w:rPr>
        <w:t> </w:t>
      </w:r>
      <w:r>
        <w:rPr/>
        <w:t>for</w:t>
      </w:r>
      <w:r>
        <w:rPr>
          <w:spacing w:val="-11"/>
        </w:rPr>
        <w:t> </w:t>
      </w:r>
      <w:r>
        <w:rPr/>
        <w:t>family</w:t>
      </w:r>
      <w:r>
        <w:rPr>
          <w:spacing w:val="-11"/>
        </w:rPr>
        <w:t> </w:t>
      </w:r>
      <w:r>
        <w:rPr/>
        <w:t>preservation</w:t>
      </w:r>
      <w:r>
        <w:rPr>
          <w:spacing w:val="-13"/>
        </w:rPr>
        <w:t> </w:t>
      </w:r>
      <w:r>
        <w:rPr/>
        <w:t>services;</w:t>
      </w:r>
      <w:r>
        <w:rPr>
          <w:spacing w:val="-12"/>
        </w:rPr>
        <w:t> </w:t>
      </w:r>
      <w:r>
        <w:rPr/>
        <w:t>and</w:t>
      </w:r>
      <w:r>
        <w:rPr>
          <w:spacing w:val="-12"/>
        </w:rPr>
        <w:t> </w:t>
      </w:r>
      <w:r>
        <w:rPr/>
        <w:t>providing</w:t>
      </w:r>
      <w:r>
        <w:rPr>
          <w:spacing w:val="-12"/>
        </w:rPr>
        <w:t> </w:t>
      </w:r>
      <w:r>
        <w:rPr/>
        <w:t>the</w:t>
      </w:r>
      <w:r>
        <w:rPr>
          <w:spacing w:val="-12"/>
        </w:rPr>
        <w:t> </w:t>
      </w:r>
      <w:r>
        <w:rPr/>
        <w:t>state</w:t>
      </w:r>
      <w:r>
        <w:rPr>
          <w:spacing w:val="-12"/>
        </w:rPr>
        <w:t> </w:t>
      </w:r>
      <w:r>
        <w:rPr/>
        <w:t>and</w:t>
      </w:r>
      <w:r>
        <w:rPr>
          <w:spacing w:val="-12"/>
        </w:rPr>
        <w:t> </w:t>
      </w:r>
      <w:r>
        <w:rPr/>
        <w:t>researchers</w:t>
      </w:r>
      <w:r>
        <w:rPr>
          <w:spacing w:val="-12"/>
        </w:rPr>
        <w:t> </w:t>
      </w:r>
      <w:r>
        <w:rPr/>
        <w:t>with</w:t>
      </w:r>
      <w:r>
        <w:rPr>
          <w:spacing w:val="-11"/>
        </w:rPr>
        <w:t> </w:t>
      </w:r>
      <w:r>
        <w:rPr/>
        <w:t>helpful</w:t>
      </w:r>
      <w:r>
        <w:rPr>
          <w:spacing w:val="-10"/>
        </w:rPr>
        <w:t> </w:t>
      </w:r>
      <w:r>
        <w:rPr/>
        <w:t>data to</w:t>
      </w:r>
      <w:r>
        <w:rPr>
          <w:spacing w:val="-8"/>
        </w:rPr>
        <w:t> </w:t>
      </w:r>
      <w:r>
        <w:rPr/>
        <w:t>better</w:t>
      </w:r>
      <w:r>
        <w:rPr>
          <w:spacing w:val="-9"/>
        </w:rPr>
        <w:t> </w:t>
      </w:r>
      <w:r>
        <w:rPr/>
        <w:t>understand</w:t>
      </w:r>
      <w:r>
        <w:rPr>
          <w:spacing w:val="-9"/>
        </w:rPr>
        <w:t> </w:t>
      </w:r>
      <w:r>
        <w:rPr/>
        <w:t>critical</w:t>
      </w:r>
      <w:r>
        <w:rPr>
          <w:spacing w:val="-9"/>
        </w:rPr>
        <w:t> </w:t>
      </w:r>
      <w:r>
        <w:rPr/>
        <w:t>trends</w:t>
      </w:r>
      <w:r>
        <w:rPr>
          <w:spacing w:val="-8"/>
        </w:rPr>
        <w:t> </w:t>
      </w:r>
      <w:r>
        <w:rPr/>
        <w:t>and</w:t>
      </w:r>
      <w:r>
        <w:rPr>
          <w:spacing w:val="-8"/>
        </w:rPr>
        <w:t> </w:t>
      </w:r>
      <w:r>
        <w:rPr/>
        <w:t>gaps</w:t>
      </w:r>
      <w:r>
        <w:rPr>
          <w:spacing w:val="-8"/>
        </w:rPr>
        <w:t> </w:t>
      </w:r>
      <w:r>
        <w:rPr/>
        <w:t>in</w:t>
      </w:r>
      <w:r>
        <w:rPr>
          <w:spacing w:val="-9"/>
        </w:rPr>
        <w:t> </w:t>
      </w:r>
      <w:r>
        <w:rPr/>
        <w:t>casework.</w:t>
      </w:r>
      <w:r>
        <w:rPr>
          <w:spacing w:val="-9"/>
        </w:rPr>
        <w:t> </w:t>
      </w:r>
      <w:r>
        <w:rPr/>
        <w:t>Furthermore,</w:t>
      </w:r>
      <w:r>
        <w:rPr>
          <w:spacing w:val="-8"/>
        </w:rPr>
        <w:t> </w:t>
      </w:r>
      <w:r>
        <w:rPr/>
        <w:t>proper</w:t>
      </w:r>
      <w:r>
        <w:rPr>
          <w:spacing w:val="-9"/>
        </w:rPr>
        <w:t> </w:t>
      </w:r>
      <w:r>
        <w:rPr/>
        <w:t>coding</w:t>
      </w:r>
      <w:r>
        <w:rPr>
          <w:spacing w:val="-9"/>
        </w:rPr>
        <w:t> </w:t>
      </w:r>
      <w:r>
        <w:rPr/>
        <w:t>of</w:t>
      </w:r>
      <w:r>
        <w:rPr>
          <w:spacing w:val="-9"/>
        </w:rPr>
        <w:t> </w:t>
      </w:r>
      <w:r>
        <w:rPr/>
        <w:t>cases</w:t>
      </w:r>
      <w:r>
        <w:rPr>
          <w:spacing w:val="-8"/>
        </w:rPr>
        <w:t> </w:t>
      </w:r>
      <w:r>
        <w:rPr/>
        <w:t>minimizes child</w:t>
      </w:r>
      <w:r>
        <w:rPr>
          <w:spacing w:val="-9"/>
        </w:rPr>
        <w:t> </w:t>
      </w:r>
      <w:r>
        <w:rPr/>
        <w:t>abuse</w:t>
      </w:r>
      <w:r>
        <w:rPr>
          <w:spacing w:val="-9"/>
        </w:rPr>
        <w:t> </w:t>
      </w:r>
      <w:r>
        <w:rPr/>
        <w:t>and</w:t>
      </w:r>
      <w:r>
        <w:rPr>
          <w:spacing w:val="-10"/>
        </w:rPr>
        <w:t> </w:t>
      </w:r>
      <w:r>
        <w:rPr/>
        <w:t>neglect</w:t>
      </w:r>
      <w:r>
        <w:rPr>
          <w:spacing w:val="-9"/>
        </w:rPr>
        <w:t> </w:t>
      </w:r>
      <w:r>
        <w:rPr/>
        <w:t>(CAN)</w:t>
      </w:r>
      <w:r>
        <w:rPr>
          <w:spacing w:val="-9"/>
        </w:rPr>
        <w:t> </w:t>
      </w:r>
      <w:r>
        <w:rPr/>
        <w:t>registries</w:t>
      </w:r>
      <w:r>
        <w:rPr>
          <w:spacing w:val="-8"/>
        </w:rPr>
        <w:t> </w:t>
      </w:r>
      <w:r>
        <w:rPr/>
        <w:t>for</w:t>
      </w:r>
      <w:r>
        <w:rPr>
          <w:spacing w:val="-10"/>
        </w:rPr>
        <w:t> </w:t>
      </w:r>
      <w:r>
        <w:rPr/>
        <w:t>parents</w:t>
      </w:r>
      <w:r>
        <w:rPr>
          <w:spacing w:val="-9"/>
        </w:rPr>
        <w:t> </w:t>
      </w:r>
      <w:r>
        <w:rPr/>
        <w:t>and</w:t>
      </w:r>
      <w:r>
        <w:rPr>
          <w:spacing w:val="-10"/>
        </w:rPr>
        <w:t> </w:t>
      </w:r>
      <w:r>
        <w:rPr/>
        <w:t>families</w:t>
      </w:r>
      <w:r>
        <w:rPr>
          <w:spacing w:val="-9"/>
        </w:rPr>
        <w:t> </w:t>
      </w:r>
      <w:r>
        <w:rPr/>
        <w:t>by</w:t>
      </w:r>
      <w:r>
        <w:rPr>
          <w:spacing w:val="-10"/>
        </w:rPr>
        <w:t> </w:t>
      </w:r>
      <w:r>
        <w:rPr/>
        <w:t>supporting</w:t>
      </w:r>
      <w:r>
        <w:rPr>
          <w:spacing w:val="-9"/>
        </w:rPr>
        <w:t> </w:t>
      </w:r>
      <w:r>
        <w:rPr/>
        <w:t>service</w:t>
      </w:r>
      <w:r>
        <w:rPr>
          <w:spacing w:val="-10"/>
        </w:rPr>
        <w:t> </w:t>
      </w:r>
      <w:r>
        <w:rPr/>
        <w:t>intervention</w:t>
      </w:r>
      <w:r>
        <w:rPr>
          <w:spacing w:val="-9"/>
        </w:rPr>
        <w:t> </w:t>
      </w:r>
      <w:r>
        <w:rPr/>
        <w:t>rather than a removal, as CAN registry can negatively impact caregivers’ economic status and ability to retain employment. However, despite the unique experiences faced by LGBTQ youth who may be in the child welfare</w:t>
      </w:r>
      <w:r>
        <w:rPr>
          <w:spacing w:val="-9"/>
        </w:rPr>
        <w:t> </w:t>
      </w:r>
      <w:r>
        <w:rPr/>
        <w:t>system,</w:t>
      </w:r>
      <w:r>
        <w:rPr>
          <w:spacing w:val="-9"/>
        </w:rPr>
        <w:t> </w:t>
      </w:r>
      <w:r>
        <w:rPr/>
        <w:t>or</w:t>
      </w:r>
      <w:r>
        <w:rPr>
          <w:spacing w:val="-8"/>
        </w:rPr>
        <w:t> </w:t>
      </w:r>
      <w:r>
        <w:rPr/>
        <w:t>may</w:t>
      </w:r>
      <w:r>
        <w:rPr>
          <w:spacing w:val="-8"/>
        </w:rPr>
        <w:t> </w:t>
      </w:r>
      <w:r>
        <w:rPr/>
        <w:t>potentially</w:t>
      </w:r>
      <w:r>
        <w:rPr>
          <w:spacing w:val="-6"/>
        </w:rPr>
        <w:t> </w:t>
      </w:r>
      <w:r>
        <w:rPr/>
        <w:t>become</w:t>
      </w:r>
      <w:r>
        <w:rPr>
          <w:spacing w:val="-8"/>
        </w:rPr>
        <w:t> </w:t>
      </w:r>
      <w:r>
        <w:rPr/>
        <w:t>involved</w:t>
      </w:r>
      <w:r>
        <w:rPr>
          <w:spacing w:val="-8"/>
        </w:rPr>
        <w:t> </w:t>
      </w:r>
      <w:r>
        <w:rPr/>
        <w:t>in</w:t>
      </w:r>
      <w:r>
        <w:rPr>
          <w:spacing w:val="-8"/>
        </w:rPr>
        <w:t> </w:t>
      </w:r>
      <w:r>
        <w:rPr/>
        <w:t>the</w:t>
      </w:r>
      <w:r>
        <w:rPr>
          <w:spacing w:val="-8"/>
        </w:rPr>
        <w:t> </w:t>
      </w:r>
      <w:r>
        <w:rPr/>
        <w:t>system,</w:t>
      </w:r>
      <w:r>
        <w:rPr>
          <w:spacing w:val="-9"/>
        </w:rPr>
        <w:t> </w:t>
      </w:r>
      <w:r>
        <w:rPr/>
        <w:t>no</w:t>
      </w:r>
      <w:r>
        <w:rPr>
          <w:spacing w:val="-7"/>
        </w:rPr>
        <w:t> </w:t>
      </w:r>
      <w:r>
        <w:rPr/>
        <w:t>state</w:t>
      </w:r>
      <w:r>
        <w:rPr>
          <w:spacing w:val="-7"/>
        </w:rPr>
        <w:t> </w:t>
      </w:r>
      <w:r>
        <w:rPr/>
        <w:t>has</w:t>
      </w:r>
      <w:r>
        <w:rPr>
          <w:spacing w:val="-7"/>
        </w:rPr>
        <w:t> </w:t>
      </w:r>
      <w:r>
        <w:rPr/>
        <w:t>any</w:t>
      </w:r>
      <w:r>
        <w:rPr>
          <w:spacing w:val="-9"/>
        </w:rPr>
        <w:t> </w:t>
      </w:r>
      <w:r>
        <w:rPr/>
        <w:t>LGBTQ-specific</w:t>
      </w:r>
      <w:r>
        <w:rPr>
          <w:spacing w:val="-8"/>
        </w:rPr>
        <w:t> </w:t>
      </w:r>
      <w:r>
        <w:rPr/>
        <w:t>codes to support youth, providers, and families. Without these codes, collecting more comprehensive qualitative and quantitative data on LGBTQ youth maltreatment experiences is incredibly difficult.</w:t>
      </w:r>
    </w:p>
    <w:p>
      <w:pPr>
        <w:spacing w:after="0" w:line="276" w:lineRule="auto"/>
        <w:jc w:val="both"/>
        <w:sectPr>
          <w:pgSz w:w="12240" w:h="15840"/>
          <w:pgMar w:header="804" w:footer="1263" w:top="1000" w:bottom="1460" w:left="960" w:right="1100"/>
        </w:sectPr>
      </w:pPr>
    </w:p>
    <w:p>
      <w:pPr>
        <w:numPr>
          <w:ilvl w:val="0"/>
          <w:numId w:val="36"/>
        </w:numPr>
        <w:tabs>
          <w:tab w:pos="481" w:val="left" w:leader="none"/>
          <w:tab w:pos="483" w:val="left" w:leader="none"/>
        </w:tabs>
        <w:spacing w:line="276" w:lineRule="auto" w:before="139"/>
        <w:ind w:left="483" w:right="343" w:hanging="360"/>
        <w:jc w:val="left"/>
        <w:rPr>
          <w:b/>
          <w:sz w:val="22"/>
        </w:rPr>
      </w:pPr>
      <w:r>
        <w:rPr>
          <w:b/>
          <w:sz w:val="22"/>
        </w:rPr>
        <w:t>Update</w:t>
      </w:r>
      <w:r>
        <w:rPr>
          <w:b/>
          <w:spacing w:val="31"/>
          <w:sz w:val="22"/>
        </w:rPr>
        <w:t> </w:t>
      </w:r>
      <w:r>
        <w:rPr>
          <w:b/>
          <w:sz w:val="22"/>
        </w:rPr>
        <w:t>the</w:t>
      </w:r>
      <w:r>
        <w:rPr>
          <w:b/>
          <w:spacing w:val="31"/>
          <w:sz w:val="22"/>
        </w:rPr>
        <w:t> </w:t>
      </w:r>
      <w:r>
        <w:rPr>
          <w:b/>
          <w:sz w:val="22"/>
        </w:rPr>
        <w:t>LGBTQ</w:t>
      </w:r>
      <w:r>
        <w:rPr>
          <w:b/>
          <w:spacing w:val="30"/>
          <w:sz w:val="22"/>
        </w:rPr>
        <w:t> </w:t>
      </w:r>
      <w:r>
        <w:rPr>
          <w:b/>
          <w:sz w:val="22"/>
        </w:rPr>
        <w:t>Guide</w:t>
      </w:r>
      <w:r>
        <w:rPr>
          <w:b/>
          <w:spacing w:val="30"/>
          <w:sz w:val="22"/>
        </w:rPr>
        <w:t> </w:t>
      </w:r>
      <w:r>
        <w:rPr>
          <w:b/>
          <w:sz w:val="22"/>
        </w:rPr>
        <w:t>and</w:t>
      </w:r>
      <w:r>
        <w:rPr>
          <w:b/>
          <w:spacing w:val="30"/>
          <w:sz w:val="22"/>
        </w:rPr>
        <w:t> </w:t>
      </w:r>
      <w:r>
        <w:rPr>
          <w:b/>
          <w:sz w:val="22"/>
        </w:rPr>
        <w:t>ensure</w:t>
      </w:r>
      <w:r>
        <w:rPr>
          <w:b/>
          <w:spacing w:val="30"/>
          <w:sz w:val="22"/>
        </w:rPr>
        <w:t> </w:t>
      </w:r>
      <w:r>
        <w:rPr>
          <w:b/>
          <w:sz w:val="22"/>
        </w:rPr>
        <w:t>that</w:t>
      </w:r>
      <w:r>
        <w:rPr>
          <w:b/>
          <w:spacing w:val="29"/>
          <w:sz w:val="22"/>
        </w:rPr>
        <w:t> </w:t>
      </w:r>
      <w:r>
        <w:rPr>
          <w:b/>
          <w:sz w:val="22"/>
        </w:rPr>
        <w:t>all</w:t>
      </w:r>
      <w:r>
        <w:rPr>
          <w:b/>
          <w:spacing w:val="31"/>
          <w:sz w:val="22"/>
        </w:rPr>
        <w:t> </w:t>
      </w:r>
      <w:r>
        <w:rPr>
          <w:b/>
          <w:sz w:val="22"/>
        </w:rPr>
        <w:t>staff,</w:t>
      </w:r>
      <w:r>
        <w:rPr>
          <w:b/>
          <w:spacing w:val="30"/>
          <w:sz w:val="22"/>
        </w:rPr>
        <w:t> </w:t>
      </w:r>
      <w:r>
        <w:rPr>
          <w:b/>
          <w:sz w:val="22"/>
        </w:rPr>
        <w:t>providers,</w:t>
      </w:r>
      <w:r>
        <w:rPr>
          <w:b/>
          <w:spacing w:val="30"/>
          <w:sz w:val="22"/>
        </w:rPr>
        <w:t> </w:t>
      </w:r>
      <w:r>
        <w:rPr>
          <w:b/>
          <w:sz w:val="22"/>
        </w:rPr>
        <w:t>youth,</w:t>
      </w:r>
      <w:r>
        <w:rPr>
          <w:b/>
          <w:spacing w:val="30"/>
          <w:sz w:val="22"/>
        </w:rPr>
        <w:t> </w:t>
      </w:r>
      <w:r>
        <w:rPr>
          <w:b/>
          <w:sz w:val="22"/>
        </w:rPr>
        <w:t>and</w:t>
      </w:r>
      <w:r>
        <w:rPr>
          <w:b/>
          <w:spacing w:val="30"/>
          <w:sz w:val="22"/>
        </w:rPr>
        <w:t> </w:t>
      </w:r>
      <w:r>
        <w:rPr>
          <w:b/>
          <w:sz w:val="22"/>
        </w:rPr>
        <w:t>families</w:t>
      </w:r>
      <w:r>
        <w:rPr>
          <w:b/>
          <w:spacing w:val="31"/>
          <w:sz w:val="22"/>
        </w:rPr>
        <w:t> </w:t>
      </w:r>
      <w:r>
        <w:rPr>
          <w:b/>
          <w:sz w:val="22"/>
        </w:rPr>
        <w:t>are</w:t>
      </w:r>
      <w:r>
        <w:rPr>
          <w:b/>
          <w:spacing w:val="30"/>
          <w:sz w:val="22"/>
        </w:rPr>
        <w:t> </w:t>
      </w:r>
      <w:r>
        <w:rPr>
          <w:b/>
          <w:sz w:val="22"/>
        </w:rPr>
        <w:t>aware</w:t>
      </w:r>
      <w:r>
        <w:rPr>
          <w:b/>
          <w:spacing w:val="30"/>
          <w:sz w:val="22"/>
        </w:rPr>
        <w:t> </w:t>
      </w:r>
      <w:r>
        <w:rPr>
          <w:b/>
          <w:sz w:val="22"/>
        </w:rPr>
        <w:t>of</w:t>
      </w:r>
      <w:r>
        <w:rPr>
          <w:b/>
          <w:spacing w:val="31"/>
          <w:sz w:val="22"/>
        </w:rPr>
        <w:t> </w:t>
      </w:r>
      <w:r>
        <w:rPr>
          <w:b/>
          <w:sz w:val="22"/>
        </w:rPr>
        <w:t>its existence and able to access a copy.</w:t>
      </w:r>
    </w:p>
    <w:p>
      <w:pPr>
        <w:pStyle w:val="BodyText"/>
        <w:spacing w:line="276" w:lineRule="auto" w:before="239"/>
        <w:ind w:left="483" w:right="341"/>
        <w:jc w:val="both"/>
      </w:pPr>
      <w:r>
        <w:rPr/>
        <w:t>In</w:t>
      </w:r>
      <w:r>
        <w:rPr>
          <w:spacing w:val="-3"/>
        </w:rPr>
        <w:t> </w:t>
      </w:r>
      <w:r>
        <w:rPr/>
        <w:t>2015,</w:t>
      </w:r>
      <w:r>
        <w:rPr>
          <w:spacing w:val="-3"/>
        </w:rPr>
        <w:t> </w:t>
      </w:r>
      <w:r>
        <w:rPr/>
        <w:t>DCF</w:t>
      </w:r>
      <w:r>
        <w:rPr>
          <w:spacing w:val="-1"/>
        </w:rPr>
        <w:t> </w:t>
      </w:r>
      <w:r>
        <w:rPr/>
        <w:t>released</w:t>
      </w:r>
      <w:r>
        <w:rPr>
          <w:spacing w:val="-3"/>
        </w:rPr>
        <w:t> </w:t>
      </w:r>
      <w:r>
        <w:rPr/>
        <w:t>an</w:t>
      </w:r>
      <w:r>
        <w:rPr>
          <w:spacing w:val="-2"/>
        </w:rPr>
        <w:t> </w:t>
      </w:r>
      <w:r>
        <w:rPr/>
        <w:t>LGBTQ</w:t>
      </w:r>
      <w:r>
        <w:rPr>
          <w:spacing w:val="-2"/>
        </w:rPr>
        <w:t> </w:t>
      </w:r>
      <w:r>
        <w:rPr/>
        <w:t>Guide</w:t>
      </w:r>
      <w:r>
        <w:rPr>
          <w:spacing w:val="-1"/>
        </w:rPr>
        <w:t> </w:t>
      </w:r>
      <w:r>
        <w:rPr/>
        <w:t>on</w:t>
      </w:r>
      <w:r>
        <w:rPr>
          <w:spacing w:val="-3"/>
        </w:rPr>
        <w:t> </w:t>
      </w:r>
      <w:r>
        <w:rPr/>
        <w:t>working</w:t>
      </w:r>
      <w:r>
        <w:rPr>
          <w:spacing w:val="-2"/>
        </w:rPr>
        <w:t> </w:t>
      </w:r>
      <w:r>
        <w:rPr/>
        <w:t>with</w:t>
      </w:r>
      <w:r>
        <w:rPr>
          <w:spacing w:val="-2"/>
        </w:rPr>
        <w:t> </w:t>
      </w:r>
      <w:r>
        <w:rPr/>
        <w:t>LGBTQ</w:t>
      </w:r>
      <w:r>
        <w:rPr>
          <w:spacing w:val="-3"/>
        </w:rPr>
        <w:t> </w:t>
      </w:r>
      <w:r>
        <w:rPr/>
        <w:t>youth</w:t>
      </w:r>
      <w:r>
        <w:rPr>
          <w:spacing w:val="-2"/>
        </w:rPr>
        <w:t> </w:t>
      </w:r>
      <w:r>
        <w:rPr/>
        <w:t>and</w:t>
      </w:r>
      <w:r>
        <w:rPr>
          <w:spacing w:val="-2"/>
        </w:rPr>
        <w:t> </w:t>
      </w:r>
      <w:r>
        <w:rPr/>
        <w:t>families</w:t>
      </w:r>
      <w:r>
        <w:rPr>
          <w:spacing w:val="-3"/>
        </w:rPr>
        <w:t> </w:t>
      </w:r>
      <w:r>
        <w:rPr/>
        <w:t>that</w:t>
      </w:r>
      <w:r>
        <w:rPr>
          <w:spacing w:val="-3"/>
        </w:rPr>
        <w:t> </w:t>
      </w:r>
      <w:r>
        <w:rPr/>
        <w:t>was written</w:t>
      </w:r>
      <w:r>
        <w:rPr>
          <w:spacing w:val="-2"/>
        </w:rPr>
        <w:t> </w:t>
      </w:r>
      <w:r>
        <w:rPr/>
        <w:t>by</w:t>
      </w:r>
      <w:r>
        <w:rPr>
          <w:spacing w:val="-2"/>
        </w:rPr>
        <w:t> </w:t>
      </w:r>
      <w:r>
        <w:rPr/>
        <w:t>its internal LGBTQIA+ Liaisons. Many workers, youth, families, and providers utilized the Guide, leading to the incorporation of the Guide into DCF onboarding materials and staff trainings. Given the significant cultural shifts that have taken place since its previous update in 2018, the Guide requires yet another update, which DCF has been in the process of organizing since FY 2022. The Commission strongly recommends</w:t>
      </w:r>
      <w:r>
        <w:rPr>
          <w:spacing w:val="-3"/>
        </w:rPr>
        <w:t> </w:t>
      </w:r>
      <w:r>
        <w:rPr/>
        <w:t>that</w:t>
      </w:r>
      <w:r>
        <w:rPr>
          <w:spacing w:val="-4"/>
        </w:rPr>
        <w:t> </w:t>
      </w:r>
      <w:r>
        <w:rPr/>
        <w:t>DCF</w:t>
      </w:r>
      <w:r>
        <w:rPr>
          <w:spacing w:val="-4"/>
        </w:rPr>
        <w:t> </w:t>
      </w:r>
      <w:r>
        <w:rPr/>
        <w:t>work</w:t>
      </w:r>
      <w:r>
        <w:rPr>
          <w:spacing w:val="-4"/>
        </w:rPr>
        <w:t> </w:t>
      </w:r>
      <w:r>
        <w:rPr/>
        <w:t>quickly</w:t>
      </w:r>
      <w:r>
        <w:rPr>
          <w:spacing w:val="-3"/>
        </w:rPr>
        <w:t> </w:t>
      </w:r>
      <w:r>
        <w:rPr/>
        <w:t>to</w:t>
      </w:r>
      <w:r>
        <w:rPr>
          <w:spacing w:val="-4"/>
        </w:rPr>
        <w:t> </w:t>
      </w:r>
      <w:r>
        <w:rPr/>
        <w:t>get</w:t>
      </w:r>
      <w:r>
        <w:rPr>
          <w:spacing w:val="-4"/>
        </w:rPr>
        <w:t> </w:t>
      </w:r>
      <w:r>
        <w:rPr/>
        <w:t>the</w:t>
      </w:r>
      <w:r>
        <w:rPr>
          <w:spacing w:val="-4"/>
        </w:rPr>
        <w:t> </w:t>
      </w:r>
      <w:r>
        <w:rPr/>
        <w:t>LGBTQ</w:t>
      </w:r>
      <w:r>
        <w:rPr>
          <w:spacing w:val="-3"/>
        </w:rPr>
        <w:t> </w:t>
      </w:r>
      <w:r>
        <w:rPr/>
        <w:t>Guide</w:t>
      </w:r>
      <w:r>
        <w:rPr>
          <w:spacing w:val="-4"/>
        </w:rPr>
        <w:t> </w:t>
      </w:r>
      <w:r>
        <w:rPr/>
        <w:t>updated</w:t>
      </w:r>
      <w:r>
        <w:rPr>
          <w:spacing w:val="-4"/>
        </w:rPr>
        <w:t> </w:t>
      </w:r>
      <w:r>
        <w:rPr/>
        <w:t>in</w:t>
      </w:r>
      <w:r>
        <w:rPr>
          <w:spacing w:val="-4"/>
        </w:rPr>
        <w:t> </w:t>
      </w:r>
      <w:r>
        <w:rPr/>
        <w:t>FY</w:t>
      </w:r>
      <w:r>
        <w:rPr>
          <w:spacing w:val="-5"/>
        </w:rPr>
        <w:t> </w:t>
      </w:r>
      <w:r>
        <w:rPr/>
        <w:t>2025,</w:t>
      </w:r>
      <w:r>
        <w:rPr>
          <w:spacing w:val="-4"/>
        </w:rPr>
        <w:t> </w:t>
      </w:r>
      <w:r>
        <w:rPr/>
        <w:t>and</w:t>
      </w:r>
      <w:r>
        <w:rPr>
          <w:spacing w:val="-4"/>
        </w:rPr>
        <w:t> </w:t>
      </w:r>
      <w:r>
        <w:rPr/>
        <w:t>ensure</w:t>
      </w:r>
      <w:r>
        <w:rPr>
          <w:spacing w:val="-3"/>
        </w:rPr>
        <w:t> </w:t>
      </w:r>
      <w:r>
        <w:rPr/>
        <w:t>that</w:t>
      </w:r>
      <w:r>
        <w:rPr>
          <w:spacing w:val="-4"/>
        </w:rPr>
        <w:t> </w:t>
      </w:r>
      <w:r>
        <w:rPr/>
        <w:t>all</w:t>
      </w:r>
      <w:r>
        <w:rPr>
          <w:spacing w:val="-4"/>
        </w:rPr>
        <w:t> </w:t>
      </w:r>
      <w:r>
        <w:rPr/>
        <w:t>staff, providers, families, and youth are aware of the updates to the Guide and able to access a copy. In its February 2024 meeting with the Commission, DCF shared that it has established potential categories for what</w:t>
      </w:r>
      <w:r>
        <w:rPr>
          <w:spacing w:val="-13"/>
        </w:rPr>
        <w:t> </w:t>
      </w:r>
      <w:r>
        <w:rPr/>
        <w:t>could</w:t>
      </w:r>
      <w:r>
        <w:rPr>
          <w:spacing w:val="-12"/>
        </w:rPr>
        <w:t> </w:t>
      </w:r>
      <w:r>
        <w:rPr/>
        <w:t>be</w:t>
      </w:r>
      <w:r>
        <w:rPr>
          <w:spacing w:val="-13"/>
        </w:rPr>
        <w:t> </w:t>
      </w:r>
      <w:r>
        <w:rPr/>
        <w:t>included</w:t>
      </w:r>
      <w:r>
        <w:rPr>
          <w:spacing w:val="-12"/>
        </w:rPr>
        <w:t> </w:t>
      </w:r>
      <w:r>
        <w:rPr/>
        <w:t>in</w:t>
      </w:r>
      <w:r>
        <w:rPr>
          <w:spacing w:val="-13"/>
        </w:rPr>
        <w:t> </w:t>
      </w:r>
      <w:r>
        <w:rPr/>
        <w:t>the</w:t>
      </w:r>
      <w:r>
        <w:rPr>
          <w:spacing w:val="-12"/>
        </w:rPr>
        <w:t> </w:t>
      </w:r>
      <w:r>
        <w:rPr/>
        <w:t>Guide,</w:t>
      </w:r>
      <w:r>
        <w:rPr>
          <w:spacing w:val="-13"/>
        </w:rPr>
        <w:t> </w:t>
      </w:r>
      <w:r>
        <w:rPr/>
        <w:t>and</w:t>
      </w:r>
      <w:r>
        <w:rPr>
          <w:spacing w:val="-12"/>
        </w:rPr>
        <w:t> </w:t>
      </w:r>
      <w:r>
        <w:rPr/>
        <w:t>is</w:t>
      </w:r>
      <w:r>
        <w:rPr>
          <w:spacing w:val="-12"/>
        </w:rPr>
        <w:t> </w:t>
      </w:r>
      <w:r>
        <w:rPr/>
        <w:t>beginning</w:t>
      </w:r>
      <w:r>
        <w:rPr>
          <w:spacing w:val="-13"/>
        </w:rPr>
        <w:t> </w:t>
      </w:r>
      <w:r>
        <w:rPr/>
        <w:t>the</w:t>
      </w:r>
      <w:r>
        <w:rPr>
          <w:spacing w:val="-12"/>
        </w:rPr>
        <w:t> </w:t>
      </w:r>
      <w:r>
        <w:rPr/>
        <w:t>research</w:t>
      </w:r>
      <w:r>
        <w:rPr>
          <w:spacing w:val="-13"/>
        </w:rPr>
        <w:t> </w:t>
      </w:r>
      <w:r>
        <w:rPr/>
        <w:t>process</w:t>
      </w:r>
      <w:r>
        <w:rPr>
          <w:spacing w:val="-12"/>
        </w:rPr>
        <w:t> </w:t>
      </w:r>
      <w:r>
        <w:rPr/>
        <w:t>and</w:t>
      </w:r>
      <w:r>
        <w:rPr>
          <w:spacing w:val="-13"/>
        </w:rPr>
        <w:t> </w:t>
      </w:r>
      <w:r>
        <w:rPr/>
        <w:t>working</w:t>
      </w:r>
      <w:r>
        <w:rPr>
          <w:spacing w:val="-12"/>
        </w:rPr>
        <w:t> </w:t>
      </w:r>
      <w:r>
        <w:rPr/>
        <w:t>to</w:t>
      </w:r>
      <w:r>
        <w:rPr>
          <w:spacing w:val="-12"/>
        </w:rPr>
        <w:t> </w:t>
      </w:r>
      <w:r>
        <w:rPr/>
        <w:t>attach</w:t>
      </w:r>
      <w:r>
        <w:rPr>
          <w:spacing w:val="-13"/>
        </w:rPr>
        <w:t> </w:t>
      </w:r>
      <w:r>
        <w:rPr/>
        <w:t>concrete dates to the project milestones. Ideally, once the Guide is complete, DCF should implement a system to encourage annual review and updates of the Guide. To address this, DCF has shared in the past that the Guide will ideally be uploaded to a platform that allows for frequent updates, easy access, ADA compliance, and translation services.</w:t>
      </w:r>
    </w:p>
    <w:p>
      <w:pPr>
        <w:numPr>
          <w:ilvl w:val="0"/>
          <w:numId w:val="36"/>
        </w:numPr>
        <w:tabs>
          <w:tab w:pos="478" w:val="left" w:leader="none"/>
          <w:tab w:pos="483" w:val="left" w:leader="none"/>
        </w:tabs>
        <w:spacing w:line="276" w:lineRule="auto" w:before="239"/>
        <w:ind w:left="483" w:right="343" w:hanging="360"/>
        <w:jc w:val="left"/>
        <w:rPr>
          <w:b/>
          <w:sz w:val="22"/>
        </w:rPr>
      </w:pPr>
      <w:r>
        <w:rPr>
          <w:b/>
          <w:sz w:val="22"/>
        </w:rPr>
        <w:t>Ensure implementation of the updated MAPP training curriculum and establish a system of frequent reviews and updates to assure continued relevance.</w:t>
      </w:r>
    </w:p>
    <w:p>
      <w:pPr>
        <w:pStyle w:val="BodyText"/>
        <w:spacing w:line="276" w:lineRule="auto" w:before="241"/>
        <w:ind w:left="483" w:right="341"/>
        <w:jc w:val="both"/>
      </w:pPr>
      <w:r>
        <w:rPr/>
        <w:t>Over the past several years, DCF has been engaged in a process to update its foster parent training curriculum</w:t>
      </w:r>
      <w:r>
        <w:rPr>
          <w:spacing w:val="-2"/>
        </w:rPr>
        <w:t> </w:t>
      </w:r>
      <w:r>
        <w:rPr/>
        <w:t>-</w:t>
      </w:r>
      <w:r>
        <w:rPr>
          <w:spacing w:val="-1"/>
        </w:rPr>
        <w:t> </w:t>
      </w:r>
      <w:r>
        <w:rPr/>
        <w:t>the</w:t>
      </w:r>
      <w:r>
        <w:rPr>
          <w:spacing w:val="-3"/>
        </w:rPr>
        <w:t> </w:t>
      </w:r>
      <w:r>
        <w:rPr/>
        <w:t>Massachusetts</w:t>
      </w:r>
      <w:r>
        <w:rPr>
          <w:spacing w:val="-2"/>
        </w:rPr>
        <w:t> </w:t>
      </w:r>
      <w:r>
        <w:rPr/>
        <w:t>Approach</w:t>
      </w:r>
      <w:r>
        <w:rPr>
          <w:spacing w:val="-2"/>
        </w:rPr>
        <w:t> </w:t>
      </w:r>
      <w:r>
        <w:rPr/>
        <w:t>to</w:t>
      </w:r>
      <w:r>
        <w:rPr>
          <w:spacing w:val="-1"/>
        </w:rPr>
        <w:t> </w:t>
      </w:r>
      <w:r>
        <w:rPr/>
        <w:t>Partnerships</w:t>
      </w:r>
      <w:r>
        <w:rPr>
          <w:spacing w:val="-2"/>
        </w:rPr>
        <w:t> </w:t>
      </w:r>
      <w:r>
        <w:rPr/>
        <w:t>in</w:t>
      </w:r>
      <w:r>
        <w:rPr>
          <w:spacing w:val="-2"/>
        </w:rPr>
        <w:t> </w:t>
      </w:r>
      <w:r>
        <w:rPr/>
        <w:t>Parenting</w:t>
      </w:r>
      <w:r>
        <w:rPr>
          <w:spacing w:val="-2"/>
        </w:rPr>
        <w:t> </w:t>
      </w:r>
      <w:r>
        <w:rPr/>
        <w:t>(MAPP).</w:t>
      </w:r>
      <w:r>
        <w:rPr>
          <w:spacing w:val="-3"/>
        </w:rPr>
        <w:t> </w:t>
      </w:r>
      <w:r>
        <w:rPr/>
        <w:t>While</w:t>
      </w:r>
      <w:r>
        <w:rPr>
          <w:spacing w:val="-2"/>
        </w:rPr>
        <w:t> </w:t>
      </w:r>
      <w:r>
        <w:rPr/>
        <w:t>the</w:t>
      </w:r>
      <w:r>
        <w:rPr>
          <w:spacing w:val="-2"/>
        </w:rPr>
        <w:t> </w:t>
      </w:r>
      <w:r>
        <w:rPr/>
        <w:t>initial</w:t>
      </w:r>
      <w:r>
        <w:rPr>
          <w:spacing w:val="-2"/>
        </w:rPr>
        <w:t> </w:t>
      </w:r>
      <w:r>
        <w:rPr/>
        <w:t>deadline for</w:t>
      </w:r>
      <w:r>
        <w:rPr>
          <w:spacing w:val="-6"/>
        </w:rPr>
        <w:t> </w:t>
      </w:r>
      <w:r>
        <w:rPr/>
        <w:t>release</w:t>
      </w:r>
      <w:r>
        <w:rPr>
          <w:spacing w:val="-7"/>
        </w:rPr>
        <w:t> </w:t>
      </w:r>
      <w:r>
        <w:rPr/>
        <w:t>was</w:t>
      </w:r>
      <w:r>
        <w:rPr>
          <w:spacing w:val="-6"/>
        </w:rPr>
        <w:t> </w:t>
      </w:r>
      <w:r>
        <w:rPr/>
        <w:t>early</w:t>
      </w:r>
      <w:r>
        <w:rPr>
          <w:spacing w:val="-6"/>
        </w:rPr>
        <w:t> </w:t>
      </w:r>
      <w:r>
        <w:rPr/>
        <w:t>FY</w:t>
      </w:r>
      <w:r>
        <w:rPr>
          <w:spacing w:val="-7"/>
        </w:rPr>
        <w:t> </w:t>
      </w:r>
      <w:r>
        <w:rPr/>
        <w:t>2024,</w:t>
      </w:r>
      <w:r>
        <w:rPr>
          <w:spacing w:val="-6"/>
        </w:rPr>
        <w:t> </w:t>
      </w:r>
      <w:r>
        <w:rPr/>
        <w:t>the</w:t>
      </w:r>
      <w:r>
        <w:rPr>
          <w:spacing w:val="-7"/>
        </w:rPr>
        <w:t> </w:t>
      </w:r>
      <w:r>
        <w:rPr/>
        <w:t>train-the-trainer</w:t>
      </w:r>
      <w:r>
        <w:rPr>
          <w:spacing w:val="-6"/>
        </w:rPr>
        <w:t> </w:t>
      </w:r>
      <w:r>
        <w:rPr/>
        <w:t>model</w:t>
      </w:r>
      <w:r>
        <w:rPr>
          <w:spacing w:val="-7"/>
        </w:rPr>
        <w:t> </w:t>
      </w:r>
      <w:r>
        <w:rPr/>
        <w:t>was</w:t>
      </w:r>
      <w:r>
        <w:rPr>
          <w:spacing w:val="-6"/>
        </w:rPr>
        <w:t> </w:t>
      </w:r>
      <w:r>
        <w:rPr/>
        <w:t>launched</w:t>
      </w:r>
      <w:r>
        <w:rPr>
          <w:spacing w:val="-6"/>
        </w:rPr>
        <w:t> </w:t>
      </w:r>
      <w:r>
        <w:rPr/>
        <w:t>in</w:t>
      </w:r>
      <w:r>
        <w:rPr>
          <w:spacing w:val="-6"/>
        </w:rPr>
        <w:t> </w:t>
      </w:r>
      <w:r>
        <w:rPr/>
        <w:t>January,</w:t>
      </w:r>
      <w:r>
        <w:rPr>
          <w:spacing w:val="-6"/>
        </w:rPr>
        <w:t> </w:t>
      </w:r>
      <w:r>
        <w:rPr/>
        <w:t>with</w:t>
      </w:r>
      <w:r>
        <w:rPr>
          <w:spacing w:val="-7"/>
        </w:rPr>
        <w:t> </w:t>
      </w:r>
      <w:r>
        <w:rPr/>
        <w:t>further</w:t>
      </w:r>
      <w:r>
        <w:rPr>
          <w:spacing w:val="-6"/>
        </w:rPr>
        <w:t> </w:t>
      </w:r>
      <w:r>
        <w:rPr/>
        <w:t>edits</w:t>
      </w:r>
      <w:r>
        <w:rPr>
          <w:spacing w:val="-6"/>
        </w:rPr>
        <w:t> </w:t>
      </w:r>
      <w:r>
        <w:rPr/>
        <w:t>and reviews</w:t>
      </w:r>
      <w:r>
        <w:rPr>
          <w:spacing w:val="-6"/>
        </w:rPr>
        <w:t> </w:t>
      </w:r>
      <w:r>
        <w:rPr/>
        <w:t>needing</w:t>
      </w:r>
      <w:r>
        <w:rPr>
          <w:spacing w:val="-7"/>
        </w:rPr>
        <w:t> </w:t>
      </w:r>
      <w:r>
        <w:rPr/>
        <w:t>to</w:t>
      </w:r>
      <w:r>
        <w:rPr>
          <w:spacing w:val="-5"/>
        </w:rPr>
        <w:t> </w:t>
      </w:r>
      <w:r>
        <w:rPr/>
        <w:t>take</w:t>
      </w:r>
      <w:r>
        <w:rPr>
          <w:spacing w:val="-5"/>
        </w:rPr>
        <w:t> </w:t>
      </w:r>
      <w:r>
        <w:rPr/>
        <w:t>place</w:t>
      </w:r>
      <w:r>
        <w:rPr>
          <w:spacing w:val="-7"/>
        </w:rPr>
        <w:t> </w:t>
      </w:r>
      <w:r>
        <w:rPr/>
        <w:t>before</w:t>
      </w:r>
      <w:r>
        <w:rPr>
          <w:spacing w:val="-5"/>
        </w:rPr>
        <w:t> </w:t>
      </w:r>
      <w:r>
        <w:rPr/>
        <w:t>the</w:t>
      </w:r>
      <w:r>
        <w:rPr>
          <w:spacing w:val="-7"/>
        </w:rPr>
        <w:t> </w:t>
      </w:r>
      <w:r>
        <w:rPr/>
        <w:t>training</w:t>
      </w:r>
      <w:r>
        <w:rPr>
          <w:spacing w:val="-7"/>
        </w:rPr>
        <w:t> </w:t>
      </w:r>
      <w:r>
        <w:rPr/>
        <w:t>goes</w:t>
      </w:r>
      <w:r>
        <w:rPr>
          <w:spacing w:val="-6"/>
        </w:rPr>
        <w:t> </w:t>
      </w:r>
      <w:r>
        <w:rPr/>
        <w:t>public.</w:t>
      </w:r>
      <w:r>
        <w:rPr>
          <w:spacing w:val="-7"/>
        </w:rPr>
        <w:t> </w:t>
      </w:r>
      <w:r>
        <w:rPr/>
        <w:t>As</w:t>
      </w:r>
      <w:r>
        <w:rPr>
          <w:spacing w:val="-6"/>
        </w:rPr>
        <w:t> </w:t>
      </w:r>
      <w:r>
        <w:rPr/>
        <w:t>shared</w:t>
      </w:r>
      <w:r>
        <w:rPr>
          <w:spacing w:val="-7"/>
        </w:rPr>
        <w:t> </w:t>
      </w:r>
      <w:r>
        <w:rPr/>
        <w:t>with</w:t>
      </w:r>
      <w:r>
        <w:rPr>
          <w:spacing w:val="-7"/>
        </w:rPr>
        <w:t> </w:t>
      </w:r>
      <w:r>
        <w:rPr/>
        <w:t>DCF,</w:t>
      </w:r>
      <w:r>
        <w:rPr>
          <w:spacing w:val="-6"/>
        </w:rPr>
        <w:t> </w:t>
      </w:r>
      <w:r>
        <w:rPr/>
        <w:t>the</w:t>
      </w:r>
      <w:r>
        <w:rPr>
          <w:spacing w:val="-7"/>
        </w:rPr>
        <w:t> </w:t>
      </w:r>
      <w:r>
        <w:rPr/>
        <w:t>Commission</w:t>
      </w:r>
      <w:r>
        <w:rPr>
          <w:spacing w:val="-7"/>
        </w:rPr>
        <w:t> </w:t>
      </w:r>
      <w:r>
        <w:rPr/>
        <w:t>hopes to</w:t>
      </w:r>
      <w:r>
        <w:rPr>
          <w:spacing w:val="-12"/>
        </w:rPr>
        <w:t> </w:t>
      </w:r>
      <w:r>
        <w:rPr/>
        <w:t>have</w:t>
      </w:r>
      <w:r>
        <w:rPr>
          <w:spacing w:val="-12"/>
        </w:rPr>
        <w:t> </w:t>
      </w:r>
      <w:r>
        <w:rPr/>
        <w:t>the</w:t>
      </w:r>
      <w:r>
        <w:rPr>
          <w:spacing w:val="-13"/>
        </w:rPr>
        <w:t> </w:t>
      </w:r>
      <w:r>
        <w:rPr/>
        <w:t>opportunity</w:t>
      </w:r>
      <w:r>
        <w:rPr>
          <w:spacing w:val="-10"/>
        </w:rPr>
        <w:t> </w:t>
      </w:r>
      <w:r>
        <w:rPr/>
        <w:t>to</w:t>
      </w:r>
      <w:r>
        <w:rPr>
          <w:spacing w:val="-11"/>
        </w:rPr>
        <w:t> </w:t>
      </w:r>
      <w:r>
        <w:rPr/>
        <w:t>review</w:t>
      </w:r>
      <w:r>
        <w:rPr>
          <w:spacing w:val="-12"/>
        </w:rPr>
        <w:t> </w:t>
      </w:r>
      <w:r>
        <w:rPr/>
        <w:t>and</w:t>
      </w:r>
      <w:r>
        <w:rPr>
          <w:spacing w:val="-10"/>
        </w:rPr>
        <w:t> </w:t>
      </w:r>
      <w:r>
        <w:rPr/>
        <w:t>comment</w:t>
      </w:r>
      <w:r>
        <w:rPr>
          <w:spacing w:val="-13"/>
        </w:rPr>
        <w:t> </w:t>
      </w:r>
      <w:r>
        <w:rPr/>
        <w:t>on</w:t>
      </w:r>
      <w:r>
        <w:rPr>
          <w:spacing w:val="-11"/>
        </w:rPr>
        <w:t> </w:t>
      </w:r>
      <w:r>
        <w:rPr/>
        <w:t>the</w:t>
      </w:r>
      <w:r>
        <w:rPr>
          <w:spacing w:val="-13"/>
        </w:rPr>
        <w:t> </w:t>
      </w:r>
      <w:r>
        <w:rPr/>
        <w:t>MAPP</w:t>
      </w:r>
      <w:r>
        <w:rPr>
          <w:spacing w:val="-10"/>
        </w:rPr>
        <w:t> </w:t>
      </w:r>
      <w:r>
        <w:rPr/>
        <w:t>curriculum</w:t>
      </w:r>
      <w:r>
        <w:rPr>
          <w:spacing w:val="-12"/>
        </w:rPr>
        <w:t> </w:t>
      </w:r>
      <w:r>
        <w:rPr/>
        <w:t>prior</w:t>
      </w:r>
      <w:r>
        <w:rPr>
          <w:spacing w:val="-12"/>
        </w:rPr>
        <w:t> </w:t>
      </w:r>
      <w:r>
        <w:rPr/>
        <w:t>to</w:t>
      </w:r>
      <w:r>
        <w:rPr>
          <w:spacing w:val="-12"/>
        </w:rPr>
        <w:t> </w:t>
      </w:r>
      <w:r>
        <w:rPr/>
        <w:t>the</w:t>
      </w:r>
      <w:r>
        <w:rPr>
          <w:spacing w:val="-12"/>
        </w:rPr>
        <w:t> </w:t>
      </w:r>
      <w:r>
        <w:rPr/>
        <w:t>public</w:t>
      </w:r>
      <w:r>
        <w:rPr>
          <w:spacing w:val="-13"/>
        </w:rPr>
        <w:t> </w:t>
      </w:r>
      <w:r>
        <w:rPr/>
        <w:t>release;</w:t>
      </w:r>
      <w:r>
        <w:rPr>
          <w:spacing w:val="-12"/>
        </w:rPr>
        <w:t> </w:t>
      </w:r>
      <w:r>
        <w:rPr/>
        <w:t>while the</w:t>
      </w:r>
      <w:r>
        <w:rPr>
          <w:spacing w:val="-5"/>
        </w:rPr>
        <w:t> </w:t>
      </w:r>
      <w:r>
        <w:rPr/>
        <w:t>Commission</w:t>
      </w:r>
      <w:r>
        <w:rPr>
          <w:spacing w:val="-7"/>
        </w:rPr>
        <w:t> </w:t>
      </w:r>
      <w:r>
        <w:rPr/>
        <w:t>did</w:t>
      </w:r>
      <w:r>
        <w:rPr>
          <w:spacing w:val="-4"/>
        </w:rPr>
        <w:t> </w:t>
      </w:r>
      <w:r>
        <w:rPr/>
        <w:t>have</w:t>
      </w:r>
      <w:r>
        <w:rPr>
          <w:spacing w:val="-7"/>
        </w:rPr>
        <w:t> </w:t>
      </w:r>
      <w:r>
        <w:rPr/>
        <w:t>such</w:t>
      </w:r>
      <w:r>
        <w:rPr>
          <w:spacing w:val="-6"/>
        </w:rPr>
        <w:t> </w:t>
      </w:r>
      <w:r>
        <w:rPr/>
        <w:t>an</w:t>
      </w:r>
      <w:r>
        <w:rPr>
          <w:spacing w:val="-6"/>
        </w:rPr>
        <w:t> </w:t>
      </w:r>
      <w:r>
        <w:rPr/>
        <w:t>opportunity</w:t>
      </w:r>
      <w:r>
        <w:rPr>
          <w:spacing w:val="-6"/>
        </w:rPr>
        <w:t> </w:t>
      </w:r>
      <w:r>
        <w:rPr/>
        <w:t>in</w:t>
      </w:r>
      <w:r>
        <w:rPr>
          <w:spacing w:val="-6"/>
        </w:rPr>
        <w:t> </w:t>
      </w:r>
      <w:r>
        <w:rPr/>
        <w:t>November</w:t>
      </w:r>
      <w:r>
        <w:rPr>
          <w:spacing w:val="-5"/>
        </w:rPr>
        <w:t> </w:t>
      </w:r>
      <w:r>
        <w:rPr/>
        <w:t>2022</w:t>
      </w:r>
      <w:r>
        <w:rPr>
          <w:spacing w:val="-5"/>
        </w:rPr>
        <w:t> </w:t>
      </w:r>
      <w:r>
        <w:rPr/>
        <w:t>and</w:t>
      </w:r>
      <w:r>
        <w:rPr>
          <w:spacing w:val="-6"/>
        </w:rPr>
        <w:t> </w:t>
      </w:r>
      <w:r>
        <w:rPr/>
        <w:t>had</w:t>
      </w:r>
      <w:r>
        <w:rPr>
          <w:spacing w:val="-7"/>
        </w:rPr>
        <w:t> </w:t>
      </w:r>
      <w:r>
        <w:rPr/>
        <w:t>significant</w:t>
      </w:r>
      <w:r>
        <w:rPr>
          <w:spacing w:val="-6"/>
        </w:rPr>
        <w:t> </w:t>
      </w:r>
      <w:r>
        <w:rPr/>
        <w:t>feedback,</w:t>
      </w:r>
      <w:r>
        <w:rPr>
          <w:spacing w:val="-6"/>
        </w:rPr>
        <w:t> </w:t>
      </w:r>
      <w:r>
        <w:rPr/>
        <w:t>it</w:t>
      </w:r>
      <w:r>
        <w:rPr>
          <w:spacing w:val="-6"/>
        </w:rPr>
        <w:t> </w:t>
      </w:r>
      <w:r>
        <w:rPr/>
        <w:t>remains unaware of how much of this feedback was able to be included. Furthermore, the Commission strongly recommends that</w:t>
      </w:r>
      <w:r>
        <w:rPr>
          <w:spacing w:val="-1"/>
        </w:rPr>
        <w:t> </w:t>
      </w:r>
      <w:r>
        <w:rPr/>
        <w:t>DCF commit to and establish</w:t>
      </w:r>
      <w:r>
        <w:rPr>
          <w:spacing w:val="-1"/>
        </w:rPr>
        <w:t> </w:t>
      </w:r>
      <w:r>
        <w:rPr/>
        <w:t>a system</w:t>
      </w:r>
      <w:r>
        <w:rPr>
          <w:spacing w:val="-1"/>
        </w:rPr>
        <w:t> </w:t>
      </w:r>
      <w:r>
        <w:rPr/>
        <w:t>of frequent</w:t>
      </w:r>
      <w:r>
        <w:rPr>
          <w:spacing w:val="-1"/>
        </w:rPr>
        <w:t> </w:t>
      </w:r>
      <w:r>
        <w:rPr/>
        <w:t>reviews and</w:t>
      </w:r>
      <w:r>
        <w:rPr>
          <w:spacing w:val="-1"/>
        </w:rPr>
        <w:t> </w:t>
      </w:r>
      <w:r>
        <w:rPr/>
        <w:t>updates to ensure</w:t>
      </w:r>
      <w:r>
        <w:rPr>
          <w:spacing w:val="-1"/>
        </w:rPr>
        <w:t> </w:t>
      </w:r>
      <w:r>
        <w:rPr/>
        <w:t>that the training continues to hold relevance, while also soliciting early feedback from internal and external stakeholders - including foster youth and parents.</w:t>
      </w:r>
    </w:p>
    <w:p>
      <w:pPr>
        <w:numPr>
          <w:ilvl w:val="0"/>
          <w:numId w:val="36"/>
        </w:numPr>
        <w:tabs>
          <w:tab w:pos="481" w:val="left" w:leader="none"/>
          <w:tab w:pos="483" w:val="left" w:leader="none"/>
        </w:tabs>
        <w:spacing w:line="276" w:lineRule="auto" w:before="240"/>
        <w:ind w:left="483" w:right="343" w:hanging="360"/>
        <w:jc w:val="left"/>
        <w:rPr>
          <w:b/>
          <w:sz w:val="22"/>
        </w:rPr>
      </w:pPr>
      <w:r>
        <w:rPr>
          <w:b/>
          <w:sz w:val="22"/>
        </w:rPr>
        <w:t>Improve recruitment of LGBTQ-affirming foster parents and create a statewide database of LGBTQ-</w:t>
      </w:r>
      <w:r>
        <w:rPr>
          <w:b/>
          <w:spacing w:val="80"/>
          <w:sz w:val="22"/>
        </w:rPr>
        <w:t> </w:t>
      </w:r>
      <w:r>
        <w:rPr>
          <w:b/>
          <w:sz w:val="22"/>
        </w:rPr>
        <w:t>affirming homes.</w:t>
      </w:r>
    </w:p>
    <w:p>
      <w:pPr>
        <w:pStyle w:val="BodyText"/>
        <w:spacing w:line="276" w:lineRule="auto" w:before="239"/>
        <w:ind w:left="483" w:right="343"/>
        <w:jc w:val="both"/>
      </w:pPr>
      <w:r>
        <w:rPr/>
        <w:t>As it has for several years, the Commission continues to recommend that DCF improves its methods of conducting outreach and recruitment for LGBTQ-affirming foster parents. DCF’s LGBTQIA+ Office has shared with the Commission that there has been a great deal occurring in this area, particularly due to the formation of a recruitment team focusing specifically on LGBTQIA+ recruitment. The LGBTQIA+ Regional Specialists have further shared that they are working within their regions to better understand specific barriers and gaps in practice to ensure that the agency is consistent in its outreach methods, though</w:t>
      </w:r>
      <w:r>
        <w:rPr>
          <w:spacing w:val="-4"/>
        </w:rPr>
        <w:t> </w:t>
      </w:r>
      <w:r>
        <w:rPr/>
        <w:t>still</w:t>
      </w:r>
      <w:r>
        <w:rPr>
          <w:spacing w:val="-4"/>
        </w:rPr>
        <w:t> </w:t>
      </w:r>
      <w:r>
        <w:rPr/>
        <w:t>ensuring</w:t>
      </w:r>
      <w:r>
        <w:rPr>
          <w:spacing w:val="-4"/>
        </w:rPr>
        <w:t> </w:t>
      </w:r>
      <w:r>
        <w:rPr/>
        <w:t>that</w:t>
      </w:r>
      <w:r>
        <w:rPr>
          <w:spacing w:val="-4"/>
        </w:rPr>
        <w:t> </w:t>
      </w:r>
      <w:r>
        <w:rPr/>
        <w:t>the</w:t>
      </w:r>
      <w:r>
        <w:rPr>
          <w:spacing w:val="-5"/>
        </w:rPr>
        <w:t> </w:t>
      </w:r>
      <w:r>
        <w:rPr/>
        <w:t>agency</w:t>
      </w:r>
      <w:r>
        <w:rPr>
          <w:spacing w:val="-5"/>
        </w:rPr>
        <w:t> </w:t>
      </w:r>
      <w:r>
        <w:rPr/>
        <w:t>is</w:t>
      </w:r>
      <w:r>
        <w:rPr>
          <w:spacing w:val="-2"/>
        </w:rPr>
        <w:t> </w:t>
      </w:r>
      <w:r>
        <w:rPr/>
        <w:t>keeping</w:t>
      </w:r>
      <w:r>
        <w:rPr>
          <w:spacing w:val="-5"/>
        </w:rPr>
        <w:t> </w:t>
      </w:r>
      <w:r>
        <w:rPr/>
        <w:t>regional</w:t>
      </w:r>
      <w:r>
        <w:rPr>
          <w:spacing w:val="-5"/>
        </w:rPr>
        <w:t> </w:t>
      </w:r>
      <w:r>
        <w:rPr/>
        <w:t>needs</w:t>
      </w:r>
      <w:r>
        <w:rPr>
          <w:spacing w:val="-5"/>
        </w:rPr>
        <w:t> </w:t>
      </w:r>
      <w:r>
        <w:rPr/>
        <w:t>in</w:t>
      </w:r>
      <w:r>
        <w:rPr>
          <w:spacing w:val="-4"/>
        </w:rPr>
        <w:t> </w:t>
      </w:r>
      <w:r>
        <w:rPr/>
        <w:t>mind.</w:t>
      </w:r>
      <w:r>
        <w:rPr>
          <w:spacing w:val="-4"/>
        </w:rPr>
        <w:t> </w:t>
      </w:r>
      <w:r>
        <w:rPr/>
        <w:t>The</w:t>
      </w:r>
      <w:r>
        <w:rPr>
          <w:spacing w:val="-5"/>
        </w:rPr>
        <w:t> </w:t>
      </w:r>
      <w:r>
        <w:rPr/>
        <w:t>Office</w:t>
      </w:r>
      <w:r>
        <w:rPr>
          <w:spacing w:val="-5"/>
        </w:rPr>
        <w:t> </w:t>
      </w:r>
      <w:r>
        <w:rPr/>
        <w:t>is</w:t>
      </w:r>
      <w:r>
        <w:rPr>
          <w:spacing w:val="-5"/>
        </w:rPr>
        <w:t> </w:t>
      </w:r>
      <w:r>
        <w:rPr/>
        <w:t>additionally</w:t>
      </w:r>
      <w:r>
        <w:rPr>
          <w:spacing w:val="-5"/>
        </w:rPr>
        <w:t> </w:t>
      </w:r>
      <w:r>
        <w:rPr/>
        <w:t>thinking through</w:t>
      </w:r>
      <w:r>
        <w:rPr>
          <w:spacing w:val="-13"/>
        </w:rPr>
        <w:t> </w:t>
      </w:r>
      <w:r>
        <w:rPr/>
        <w:t>solutions</w:t>
      </w:r>
      <w:r>
        <w:rPr>
          <w:spacing w:val="-12"/>
        </w:rPr>
        <w:t> </w:t>
      </w:r>
      <w:r>
        <w:rPr/>
        <w:t>and</w:t>
      </w:r>
      <w:r>
        <w:rPr>
          <w:spacing w:val="-13"/>
        </w:rPr>
        <w:t> </w:t>
      </w:r>
      <w:r>
        <w:rPr/>
        <w:t>structures</w:t>
      </w:r>
      <w:r>
        <w:rPr>
          <w:spacing w:val="-12"/>
        </w:rPr>
        <w:t> </w:t>
      </w:r>
      <w:r>
        <w:rPr/>
        <w:t>for</w:t>
      </w:r>
      <w:r>
        <w:rPr>
          <w:spacing w:val="-13"/>
        </w:rPr>
        <w:t> </w:t>
      </w:r>
      <w:r>
        <w:rPr/>
        <w:t>providing</w:t>
      </w:r>
      <w:r>
        <w:rPr>
          <w:spacing w:val="-12"/>
        </w:rPr>
        <w:t> </w:t>
      </w:r>
      <w:r>
        <w:rPr/>
        <w:t>specialty</w:t>
      </w:r>
      <w:r>
        <w:rPr>
          <w:spacing w:val="-13"/>
        </w:rPr>
        <w:t> </w:t>
      </w:r>
      <w:r>
        <w:rPr/>
        <w:t>licenses</w:t>
      </w:r>
      <w:r>
        <w:rPr>
          <w:spacing w:val="-12"/>
        </w:rPr>
        <w:t> </w:t>
      </w:r>
      <w:r>
        <w:rPr/>
        <w:t>or</w:t>
      </w:r>
      <w:r>
        <w:rPr>
          <w:spacing w:val="-12"/>
        </w:rPr>
        <w:t> </w:t>
      </w:r>
      <w:r>
        <w:rPr/>
        <w:t>certifications</w:t>
      </w:r>
      <w:r>
        <w:rPr>
          <w:spacing w:val="-13"/>
        </w:rPr>
        <w:t> </w:t>
      </w:r>
      <w:r>
        <w:rPr/>
        <w:t>to</w:t>
      </w:r>
      <w:r>
        <w:rPr>
          <w:spacing w:val="-12"/>
        </w:rPr>
        <w:t> </w:t>
      </w:r>
      <w:r>
        <w:rPr/>
        <w:t>foster</w:t>
      </w:r>
      <w:r>
        <w:rPr>
          <w:spacing w:val="-13"/>
        </w:rPr>
        <w:t> </w:t>
      </w:r>
      <w:r>
        <w:rPr/>
        <w:t>parents</w:t>
      </w:r>
      <w:r>
        <w:rPr>
          <w:spacing w:val="-12"/>
        </w:rPr>
        <w:t> </w:t>
      </w:r>
      <w:r>
        <w:rPr/>
        <w:t>to</w:t>
      </w:r>
      <w:r>
        <w:rPr>
          <w:spacing w:val="-13"/>
        </w:rPr>
        <w:t> </w:t>
      </w:r>
      <w:r>
        <w:rPr/>
        <w:t>signal that they are an LGBTQ-affirming home.</w:t>
      </w:r>
    </w:p>
    <w:p>
      <w:pPr>
        <w:spacing w:after="0" w:line="276" w:lineRule="auto"/>
        <w:jc w:val="both"/>
        <w:sectPr>
          <w:pgSz w:w="12240" w:h="15840"/>
          <w:pgMar w:header="804" w:footer="1263" w:top="1000" w:bottom="1460" w:left="960" w:right="1100"/>
        </w:sectPr>
      </w:pPr>
    </w:p>
    <w:p>
      <w:pPr>
        <w:pStyle w:val="BodyText"/>
        <w:spacing w:line="276" w:lineRule="auto" w:before="139"/>
        <w:ind w:left="483" w:right="342"/>
        <w:jc w:val="both"/>
      </w:pPr>
      <w:r>
        <w:rPr/>
        <w:t>In addition to each area office having a recruitment team, DCF shares that it developed a specialized recruitment team during the start of COVID in 2020 to focus specifically on recruitment of LGBTQ foster parents and affirming homes for LGBTQ</w:t>
      </w:r>
      <w:r>
        <w:rPr>
          <w:spacing w:val="-1"/>
        </w:rPr>
        <w:t> </w:t>
      </w:r>
      <w:r>
        <w:rPr/>
        <w:t>youth. The LGBTQIA+ Regional</w:t>
      </w:r>
      <w:r>
        <w:rPr>
          <w:spacing w:val="-1"/>
        </w:rPr>
        <w:t> </w:t>
      </w:r>
      <w:r>
        <w:rPr/>
        <w:t>Specialists have</w:t>
      </w:r>
      <w:r>
        <w:rPr>
          <w:spacing w:val="-1"/>
        </w:rPr>
        <w:t> </w:t>
      </w:r>
      <w:r>
        <w:rPr/>
        <w:t>shared</w:t>
      </w:r>
      <w:r>
        <w:rPr>
          <w:spacing w:val="-1"/>
        </w:rPr>
        <w:t> </w:t>
      </w:r>
      <w:r>
        <w:rPr/>
        <w:t>that they are</w:t>
      </w:r>
      <w:r>
        <w:rPr>
          <w:spacing w:val="-6"/>
        </w:rPr>
        <w:t> </w:t>
      </w:r>
      <w:r>
        <w:rPr/>
        <w:t>working</w:t>
      </w:r>
      <w:r>
        <w:rPr>
          <w:spacing w:val="-4"/>
        </w:rPr>
        <w:t> </w:t>
      </w:r>
      <w:r>
        <w:rPr/>
        <w:t>within</w:t>
      </w:r>
      <w:r>
        <w:rPr>
          <w:spacing w:val="-4"/>
        </w:rPr>
        <w:t> </w:t>
      </w:r>
      <w:r>
        <w:rPr/>
        <w:t>their</w:t>
      </w:r>
      <w:r>
        <w:rPr>
          <w:spacing w:val="-4"/>
        </w:rPr>
        <w:t> </w:t>
      </w:r>
      <w:r>
        <w:rPr/>
        <w:t>regions</w:t>
      </w:r>
      <w:r>
        <w:rPr>
          <w:spacing w:val="-5"/>
        </w:rPr>
        <w:t> </w:t>
      </w:r>
      <w:r>
        <w:rPr/>
        <w:t>to</w:t>
      </w:r>
      <w:r>
        <w:rPr>
          <w:spacing w:val="-5"/>
        </w:rPr>
        <w:t> </w:t>
      </w:r>
      <w:r>
        <w:rPr/>
        <w:t>better</w:t>
      </w:r>
      <w:r>
        <w:rPr>
          <w:spacing w:val="-5"/>
        </w:rPr>
        <w:t> </w:t>
      </w:r>
      <w:r>
        <w:rPr/>
        <w:t>understand</w:t>
      </w:r>
      <w:r>
        <w:rPr>
          <w:spacing w:val="-6"/>
        </w:rPr>
        <w:t> </w:t>
      </w:r>
      <w:r>
        <w:rPr/>
        <w:t>specific</w:t>
      </w:r>
      <w:r>
        <w:rPr>
          <w:spacing w:val="-6"/>
        </w:rPr>
        <w:t> </w:t>
      </w:r>
      <w:r>
        <w:rPr/>
        <w:t>barriers</w:t>
      </w:r>
      <w:r>
        <w:rPr>
          <w:spacing w:val="-5"/>
        </w:rPr>
        <w:t> </w:t>
      </w:r>
      <w:r>
        <w:rPr/>
        <w:t>and</w:t>
      </w:r>
      <w:r>
        <w:rPr>
          <w:spacing w:val="-6"/>
        </w:rPr>
        <w:t> </w:t>
      </w:r>
      <w:r>
        <w:rPr/>
        <w:t>gaps</w:t>
      </w:r>
      <w:r>
        <w:rPr>
          <w:spacing w:val="-5"/>
        </w:rPr>
        <w:t> </w:t>
      </w:r>
      <w:r>
        <w:rPr/>
        <w:t>in</w:t>
      </w:r>
      <w:r>
        <w:rPr>
          <w:spacing w:val="-6"/>
        </w:rPr>
        <w:t> </w:t>
      </w:r>
      <w:r>
        <w:rPr/>
        <w:t>practice</w:t>
      </w:r>
      <w:r>
        <w:rPr>
          <w:spacing w:val="-4"/>
        </w:rPr>
        <w:t> </w:t>
      </w:r>
      <w:r>
        <w:rPr/>
        <w:t>to</w:t>
      </w:r>
      <w:r>
        <w:rPr>
          <w:spacing w:val="-5"/>
        </w:rPr>
        <w:t> </w:t>
      </w:r>
      <w:r>
        <w:rPr/>
        <w:t>ensure</w:t>
      </w:r>
      <w:r>
        <w:rPr>
          <w:spacing w:val="-6"/>
        </w:rPr>
        <w:t> </w:t>
      </w:r>
      <w:r>
        <w:rPr/>
        <w:t>that the</w:t>
      </w:r>
      <w:r>
        <w:rPr>
          <w:spacing w:val="-7"/>
        </w:rPr>
        <w:t> </w:t>
      </w:r>
      <w:r>
        <w:rPr/>
        <w:t>agency</w:t>
      </w:r>
      <w:r>
        <w:rPr>
          <w:spacing w:val="-5"/>
        </w:rPr>
        <w:t> </w:t>
      </w:r>
      <w:r>
        <w:rPr/>
        <w:t>is</w:t>
      </w:r>
      <w:r>
        <w:rPr>
          <w:spacing w:val="-5"/>
        </w:rPr>
        <w:t> </w:t>
      </w:r>
      <w:r>
        <w:rPr/>
        <w:t>consistent</w:t>
      </w:r>
      <w:r>
        <w:rPr>
          <w:spacing w:val="-6"/>
        </w:rPr>
        <w:t> </w:t>
      </w:r>
      <w:r>
        <w:rPr/>
        <w:t>in</w:t>
      </w:r>
      <w:r>
        <w:rPr>
          <w:spacing w:val="-5"/>
        </w:rPr>
        <w:t> </w:t>
      </w:r>
      <w:r>
        <w:rPr/>
        <w:t>its</w:t>
      </w:r>
      <w:r>
        <w:rPr>
          <w:spacing w:val="-6"/>
        </w:rPr>
        <w:t> </w:t>
      </w:r>
      <w:r>
        <w:rPr/>
        <w:t>outreach</w:t>
      </w:r>
      <w:r>
        <w:rPr>
          <w:spacing w:val="-5"/>
        </w:rPr>
        <w:t> </w:t>
      </w:r>
      <w:r>
        <w:rPr/>
        <w:t>methods,</w:t>
      </w:r>
      <w:r>
        <w:rPr>
          <w:spacing w:val="-5"/>
        </w:rPr>
        <w:t> </w:t>
      </w:r>
      <w:r>
        <w:rPr/>
        <w:t>though</w:t>
      </w:r>
      <w:r>
        <w:rPr>
          <w:spacing w:val="-7"/>
        </w:rPr>
        <w:t> </w:t>
      </w:r>
      <w:r>
        <w:rPr/>
        <w:t>still</w:t>
      </w:r>
      <w:r>
        <w:rPr>
          <w:spacing w:val="-6"/>
        </w:rPr>
        <w:t> </w:t>
      </w:r>
      <w:r>
        <w:rPr/>
        <w:t>ensuring</w:t>
      </w:r>
      <w:r>
        <w:rPr>
          <w:spacing w:val="-7"/>
        </w:rPr>
        <w:t> </w:t>
      </w:r>
      <w:r>
        <w:rPr/>
        <w:t>that</w:t>
      </w:r>
      <w:r>
        <w:rPr>
          <w:spacing w:val="-6"/>
        </w:rPr>
        <w:t> </w:t>
      </w:r>
      <w:r>
        <w:rPr/>
        <w:t>the</w:t>
      </w:r>
      <w:r>
        <w:rPr>
          <w:spacing w:val="-4"/>
        </w:rPr>
        <w:t> </w:t>
      </w:r>
      <w:r>
        <w:rPr/>
        <w:t>agency</w:t>
      </w:r>
      <w:r>
        <w:rPr>
          <w:spacing w:val="-5"/>
        </w:rPr>
        <w:t> </w:t>
      </w:r>
      <w:r>
        <w:rPr/>
        <w:t>is</w:t>
      </w:r>
      <w:r>
        <w:rPr>
          <w:spacing w:val="-6"/>
        </w:rPr>
        <w:t> </w:t>
      </w:r>
      <w:r>
        <w:rPr/>
        <w:t>keeping</w:t>
      </w:r>
      <w:r>
        <w:rPr>
          <w:spacing w:val="-7"/>
        </w:rPr>
        <w:t> </w:t>
      </w:r>
      <w:r>
        <w:rPr/>
        <w:t>regional needs in mind. Additionally, DCF shares that its Foster Care and LGBTQIA+ Office are thinking through solutions and structures for providing specialty licenses or certifications to foster parents to signal that they are an LGBTQ-affirming home.</w:t>
      </w:r>
    </w:p>
    <w:p>
      <w:pPr>
        <w:numPr>
          <w:ilvl w:val="0"/>
          <w:numId w:val="36"/>
        </w:numPr>
        <w:tabs>
          <w:tab w:pos="481" w:val="left" w:leader="none"/>
          <w:tab w:pos="483" w:val="left" w:leader="none"/>
        </w:tabs>
        <w:spacing w:line="276" w:lineRule="auto" w:before="239"/>
        <w:ind w:left="483" w:right="345" w:hanging="360"/>
        <w:jc w:val="left"/>
        <w:rPr>
          <w:b/>
          <w:sz w:val="22"/>
        </w:rPr>
      </w:pPr>
      <w:r>
        <w:rPr>
          <w:b/>
          <w:sz w:val="22"/>
        </w:rPr>
        <w:t>Partner with LGBTQ youth and organizations to create and disseminate tangible resources for youth, families, and social workers.</w:t>
      </w:r>
    </w:p>
    <w:p>
      <w:pPr>
        <w:pStyle w:val="BodyText"/>
        <w:spacing w:line="276" w:lineRule="auto" w:before="239"/>
        <w:ind w:left="483" w:right="342"/>
        <w:jc w:val="both"/>
      </w:pPr>
      <w:r>
        <w:rPr/>
        <w:t>For several years, the Commission has received feedback from youth, families, social workers, and providers that there is a desperate need for education and resources on supporting LGBTQ youth under the age of 10, as well as the need for further guidance and resources around finding affirming pediatric health</w:t>
      </w:r>
      <w:r>
        <w:rPr>
          <w:spacing w:val="-11"/>
        </w:rPr>
        <w:t> </w:t>
      </w:r>
      <w:r>
        <w:rPr/>
        <w:t>care</w:t>
      </w:r>
      <w:r>
        <w:rPr>
          <w:spacing w:val="-12"/>
        </w:rPr>
        <w:t> </w:t>
      </w:r>
      <w:r>
        <w:rPr/>
        <w:t>for</w:t>
      </w:r>
      <w:r>
        <w:rPr>
          <w:spacing w:val="-12"/>
        </w:rPr>
        <w:t> </w:t>
      </w:r>
      <w:r>
        <w:rPr/>
        <w:t>youth</w:t>
      </w:r>
      <w:r>
        <w:rPr>
          <w:spacing w:val="-12"/>
        </w:rPr>
        <w:t> </w:t>
      </w:r>
      <w:r>
        <w:rPr/>
        <w:t>in</w:t>
      </w:r>
      <w:r>
        <w:rPr>
          <w:spacing w:val="-11"/>
        </w:rPr>
        <w:t> </w:t>
      </w:r>
      <w:r>
        <w:rPr/>
        <w:t>the</w:t>
      </w:r>
      <w:r>
        <w:rPr>
          <w:spacing w:val="-11"/>
        </w:rPr>
        <w:t> </w:t>
      </w:r>
      <w:r>
        <w:rPr/>
        <w:t>child</w:t>
      </w:r>
      <w:r>
        <w:rPr>
          <w:spacing w:val="-11"/>
        </w:rPr>
        <w:t> </w:t>
      </w:r>
      <w:r>
        <w:rPr/>
        <w:t>welfare</w:t>
      </w:r>
      <w:r>
        <w:rPr>
          <w:spacing w:val="-11"/>
        </w:rPr>
        <w:t> </w:t>
      </w:r>
      <w:r>
        <w:rPr/>
        <w:t>system.</w:t>
      </w:r>
      <w:r>
        <w:rPr>
          <w:spacing w:val="-12"/>
        </w:rPr>
        <w:t> </w:t>
      </w:r>
      <w:r>
        <w:rPr/>
        <w:t>DCF’s</w:t>
      </w:r>
      <w:r>
        <w:rPr>
          <w:spacing w:val="-12"/>
        </w:rPr>
        <w:t> </w:t>
      </w:r>
      <w:r>
        <w:rPr/>
        <w:t>LGBTQIA+</w:t>
      </w:r>
      <w:r>
        <w:rPr>
          <w:spacing w:val="-12"/>
        </w:rPr>
        <w:t> </w:t>
      </w:r>
      <w:r>
        <w:rPr/>
        <w:t>Office</w:t>
      </w:r>
      <w:r>
        <w:rPr>
          <w:spacing w:val="-12"/>
        </w:rPr>
        <w:t> </w:t>
      </w:r>
      <w:r>
        <w:rPr/>
        <w:t>has</w:t>
      </w:r>
      <w:r>
        <w:rPr>
          <w:spacing w:val="-12"/>
        </w:rPr>
        <w:t> </w:t>
      </w:r>
      <w:r>
        <w:rPr/>
        <w:t>begun</w:t>
      </w:r>
      <w:r>
        <w:rPr>
          <w:spacing w:val="-12"/>
        </w:rPr>
        <w:t> </w:t>
      </w:r>
      <w:r>
        <w:rPr/>
        <w:t>working</w:t>
      </w:r>
      <w:r>
        <w:rPr>
          <w:spacing w:val="-12"/>
        </w:rPr>
        <w:t> </w:t>
      </w:r>
      <w:r>
        <w:rPr/>
        <w:t>on</w:t>
      </w:r>
      <w:r>
        <w:rPr>
          <w:spacing w:val="-10"/>
        </w:rPr>
        <w:t> </w:t>
      </w:r>
      <w:r>
        <w:rPr/>
        <w:t>addressing this</w:t>
      </w:r>
      <w:r>
        <w:rPr>
          <w:spacing w:val="-11"/>
        </w:rPr>
        <w:t> </w:t>
      </w:r>
      <w:r>
        <w:rPr/>
        <w:t>feedback</w:t>
      </w:r>
      <w:r>
        <w:rPr>
          <w:spacing w:val="-10"/>
        </w:rPr>
        <w:t> </w:t>
      </w:r>
      <w:r>
        <w:rPr/>
        <w:t>and</w:t>
      </w:r>
      <w:r>
        <w:rPr>
          <w:spacing w:val="-12"/>
        </w:rPr>
        <w:t> </w:t>
      </w:r>
      <w:r>
        <w:rPr/>
        <w:t>gap</w:t>
      </w:r>
      <w:r>
        <w:rPr>
          <w:spacing w:val="-12"/>
        </w:rPr>
        <w:t> </w:t>
      </w:r>
      <w:r>
        <w:rPr/>
        <w:t>in</w:t>
      </w:r>
      <w:r>
        <w:rPr>
          <w:spacing w:val="-12"/>
        </w:rPr>
        <w:t> </w:t>
      </w:r>
      <w:r>
        <w:rPr/>
        <w:t>resources</w:t>
      </w:r>
      <w:r>
        <w:rPr>
          <w:spacing w:val="-11"/>
        </w:rPr>
        <w:t> </w:t>
      </w:r>
      <w:r>
        <w:rPr/>
        <w:t>and</w:t>
      </w:r>
      <w:r>
        <w:rPr>
          <w:spacing w:val="-10"/>
        </w:rPr>
        <w:t> </w:t>
      </w:r>
      <w:r>
        <w:rPr/>
        <w:t>has</w:t>
      </w:r>
      <w:r>
        <w:rPr>
          <w:spacing w:val="-11"/>
        </w:rPr>
        <w:t> </w:t>
      </w:r>
      <w:r>
        <w:rPr/>
        <w:t>plans</w:t>
      </w:r>
      <w:r>
        <w:rPr>
          <w:spacing w:val="-11"/>
        </w:rPr>
        <w:t> </w:t>
      </w:r>
      <w:r>
        <w:rPr/>
        <w:t>to</w:t>
      </w:r>
      <w:r>
        <w:rPr>
          <w:spacing w:val="-10"/>
        </w:rPr>
        <w:t> </w:t>
      </w:r>
      <w:r>
        <w:rPr/>
        <w:t>develop</w:t>
      </w:r>
      <w:r>
        <w:rPr>
          <w:spacing w:val="-12"/>
        </w:rPr>
        <w:t> </w:t>
      </w:r>
      <w:r>
        <w:rPr/>
        <w:t>regional</w:t>
      </w:r>
      <w:r>
        <w:rPr>
          <w:spacing w:val="-11"/>
        </w:rPr>
        <w:t> </w:t>
      </w:r>
      <w:r>
        <w:rPr/>
        <w:t>resource</w:t>
      </w:r>
      <w:r>
        <w:rPr>
          <w:spacing w:val="-10"/>
        </w:rPr>
        <w:t> </w:t>
      </w:r>
      <w:r>
        <w:rPr/>
        <w:t>guides</w:t>
      </w:r>
      <w:r>
        <w:rPr>
          <w:spacing w:val="-11"/>
        </w:rPr>
        <w:t> </w:t>
      </w:r>
      <w:r>
        <w:rPr/>
        <w:t>that</w:t>
      </w:r>
      <w:r>
        <w:rPr>
          <w:spacing w:val="-12"/>
        </w:rPr>
        <w:t> </w:t>
      </w:r>
      <w:r>
        <w:rPr/>
        <w:t>will</w:t>
      </w:r>
      <w:r>
        <w:rPr>
          <w:spacing w:val="-10"/>
        </w:rPr>
        <w:t> </w:t>
      </w:r>
      <w:r>
        <w:rPr/>
        <w:t>be</w:t>
      </w:r>
      <w:r>
        <w:rPr>
          <w:spacing w:val="-12"/>
        </w:rPr>
        <w:t> </w:t>
      </w:r>
      <w:r>
        <w:rPr/>
        <w:t>available to staff, families, and youth; the agency has further stated its interest in planning resource fairs at their regional offices to better build relationships with families and LGBTQ organizations.</w:t>
      </w:r>
    </w:p>
    <w:p>
      <w:pPr>
        <w:numPr>
          <w:ilvl w:val="0"/>
          <w:numId w:val="36"/>
        </w:numPr>
        <w:tabs>
          <w:tab w:pos="481" w:val="left" w:leader="none"/>
          <w:tab w:pos="483" w:val="left" w:leader="none"/>
        </w:tabs>
        <w:spacing w:line="276" w:lineRule="auto" w:before="241"/>
        <w:ind w:left="483" w:right="343" w:hanging="360"/>
        <w:jc w:val="left"/>
        <w:rPr>
          <w:b/>
          <w:sz w:val="22"/>
        </w:rPr>
      </w:pPr>
      <w:r>
        <w:rPr>
          <w:b/>
          <w:sz w:val="22"/>
        </w:rPr>
        <w:t>Investigate</w:t>
      </w:r>
      <w:r>
        <w:rPr>
          <w:b/>
          <w:spacing w:val="-2"/>
          <w:sz w:val="22"/>
        </w:rPr>
        <w:t> </w:t>
      </w:r>
      <w:r>
        <w:rPr>
          <w:b/>
          <w:sz w:val="22"/>
        </w:rPr>
        <w:t>and</w:t>
      </w:r>
      <w:r>
        <w:rPr>
          <w:b/>
          <w:spacing w:val="-3"/>
          <w:sz w:val="22"/>
        </w:rPr>
        <w:t> </w:t>
      </w:r>
      <w:r>
        <w:rPr>
          <w:b/>
          <w:sz w:val="22"/>
        </w:rPr>
        <w:t>address</w:t>
      </w:r>
      <w:r>
        <w:rPr>
          <w:b/>
          <w:spacing w:val="-3"/>
          <w:sz w:val="22"/>
        </w:rPr>
        <w:t> </w:t>
      </w:r>
      <w:r>
        <w:rPr>
          <w:b/>
          <w:sz w:val="22"/>
        </w:rPr>
        <w:t>gaps</w:t>
      </w:r>
      <w:r>
        <w:rPr>
          <w:b/>
          <w:spacing w:val="-2"/>
          <w:sz w:val="22"/>
        </w:rPr>
        <w:t> </w:t>
      </w:r>
      <w:r>
        <w:rPr>
          <w:b/>
          <w:sz w:val="22"/>
        </w:rPr>
        <w:t>and</w:t>
      </w:r>
      <w:r>
        <w:rPr>
          <w:b/>
          <w:spacing w:val="-2"/>
          <w:sz w:val="22"/>
        </w:rPr>
        <w:t> </w:t>
      </w:r>
      <w:r>
        <w:rPr>
          <w:b/>
          <w:sz w:val="22"/>
        </w:rPr>
        <w:t>barriers</w:t>
      </w:r>
      <w:r>
        <w:rPr>
          <w:b/>
          <w:spacing w:val="-3"/>
          <w:sz w:val="22"/>
        </w:rPr>
        <w:t> </w:t>
      </w:r>
      <w:r>
        <w:rPr>
          <w:b/>
          <w:sz w:val="22"/>
        </w:rPr>
        <w:t>to</w:t>
      </w:r>
      <w:r>
        <w:rPr>
          <w:b/>
          <w:spacing w:val="-3"/>
          <w:sz w:val="22"/>
        </w:rPr>
        <w:t> </w:t>
      </w:r>
      <w:r>
        <w:rPr>
          <w:b/>
          <w:sz w:val="22"/>
        </w:rPr>
        <w:t>service</w:t>
      </w:r>
      <w:r>
        <w:rPr>
          <w:b/>
          <w:spacing w:val="-2"/>
          <w:sz w:val="22"/>
        </w:rPr>
        <w:t> </w:t>
      </w:r>
      <w:r>
        <w:rPr>
          <w:b/>
          <w:sz w:val="22"/>
        </w:rPr>
        <w:t>provision</w:t>
      </w:r>
      <w:r>
        <w:rPr>
          <w:b/>
          <w:spacing w:val="-3"/>
          <w:sz w:val="22"/>
        </w:rPr>
        <w:t> </w:t>
      </w:r>
      <w:r>
        <w:rPr>
          <w:b/>
          <w:sz w:val="22"/>
        </w:rPr>
        <w:t>for</w:t>
      </w:r>
      <w:r>
        <w:rPr>
          <w:b/>
          <w:spacing w:val="-2"/>
          <w:sz w:val="22"/>
        </w:rPr>
        <w:t> </w:t>
      </w:r>
      <w:r>
        <w:rPr>
          <w:b/>
          <w:sz w:val="22"/>
        </w:rPr>
        <w:t>immigrant</w:t>
      </w:r>
      <w:r>
        <w:rPr>
          <w:b/>
          <w:spacing w:val="-3"/>
          <w:sz w:val="22"/>
        </w:rPr>
        <w:t> </w:t>
      </w:r>
      <w:r>
        <w:rPr>
          <w:b/>
          <w:sz w:val="22"/>
        </w:rPr>
        <w:t>youth</w:t>
      </w:r>
      <w:r>
        <w:rPr>
          <w:b/>
          <w:spacing w:val="-2"/>
          <w:sz w:val="22"/>
        </w:rPr>
        <w:t> </w:t>
      </w:r>
      <w:r>
        <w:rPr>
          <w:b/>
          <w:sz w:val="22"/>
        </w:rPr>
        <w:t>transitioning</w:t>
      </w:r>
      <w:r>
        <w:rPr>
          <w:b/>
          <w:spacing w:val="-1"/>
          <w:sz w:val="22"/>
        </w:rPr>
        <w:t> </w:t>
      </w:r>
      <w:r>
        <w:rPr>
          <w:b/>
          <w:sz w:val="22"/>
        </w:rPr>
        <w:t>out</w:t>
      </w:r>
      <w:r>
        <w:rPr>
          <w:b/>
          <w:spacing w:val="-2"/>
          <w:sz w:val="22"/>
        </w:rPr>
        <w:t> </w:t>
      </w:r>
      <w:r>
        <w:rPr>
          <w:b/>
          <w:sz w:val="22"/>
        </w:rPr>
        <w:t>of DCF care.</w:t>
      </w:r>
    </w:p>
    <w:p>
      <w:pPr>
        <w:pStyle w:val="BodyText"/>
        <w:spacing w:line="276" w:lineRule="auto" w:before="240"/>
        <w:ind w:left="483" w:right="340"/>
        <w:jc w:val="both"/>
      </w:pPr>
      <w:r>
        <w:rPr/>
        <w:t>The Commission recommends that DCF improve its service provision for LGBTQ immigrant youth in DCF care to ensure that they receive timely services - including all needed documentation, resources, and support - particularly before transitioning out of care. In May 2024, DCF shared that it hired an in-house immigration specialist in June 2023 who assists youth in DCF custody obtain appropriate documentation and</w:t>
      </w:r>
      <w:r>
        <w:rPr>
          <w:spacing w:val="-10"/>
        </w:rPr>
        <w:t> </w:t>
      </w:r>
      <w:r>
        <w:rPr/>
        <w:t>establish</w:t>
      </w:r>
      <w:r>
        <w:rPr>
          <w:spacing w:val="-9"/>
        </w:rPr>
        <w:t> </w:t>
      </w:r>
      <w:r>
        <w:rPr/>
        <w:t>citizenship.</w:t>
      </w:r>
      <w:r>
        <w:rPr>
          <w:spacing w:val="-10"/>
        </w:rPr>
        <w:t> </w:t>
      </w:r>
      <w:r>
        <w:rPr/>
        <w:t>The</w:t>
      </w:r>
      <w:r>
        <w:rPr>
          <w:spacing w:val="-11"/>
        </w:rPr>
        <w:t> </w:t>
      </w:r>
      <w:r>
        <w:rPr/>
        <w:t>Commission</w:t>
      </w:r>
      <w:r>
        <w:rPr>
          <w:spacing w:val="-12"/>
        </w:rPr>
        <w:t> </w:t>
      </w:r>
      <w:r>
        <w:rPr/>
        <w:t>appreciates</w:t>
      </w:r>
      <w:r>
        <w:rPr>
          <w:spacing w:val="-11"/>
        </w:rPr>
        <w:t> </w:t>
      </w:r>
      <w:r>
        <w:rPr/>
        <w:t>this</w:t>
      </w:r>
      <w:r>
        <w:rPr>
          <w:spacing w:val="-11"/>
        </w:rPr>
        <w:t> </w:t>
      </w:r>
      <w:r>
        <w:rPr/>
        <w:t>information,</w:t>
      </w:r>
      <w:r>
        <w:rPr>
          <w:spacing w:val="-11"/>
        </w:rPr>
        <w:t> </w:t>
      </w:r>
      <w:r>
        <w:rPr/>
        <w:t>but</w:t>
      </w:r>
      <w:r>
        <w:rPr>
          <w:spacing w:val="-11"/>
        </w:rPr>
        <w:t> </w:t>
      </w:r>
      <w:r>
        <w:rPr/>
        <w:t>also</w:t>
      </w:r>
      <w:r>
        <w:rPr>
          <w:spacing w:val="-11"/>
        </w:rPr>
        <w:t> </w:t>
      </w:r>
      <w:r>
        <w:rPr/>
        <w:t>notes</w:t>
      </w:r>
      <w:r>
        <w:rPr>
          <w:spacing w:val="-10"/>
        </w:rPr>
        <w:t> </w:t>
      </w:r>
      <w:r>
        <w:rPr/>
        <w:t>that</w:t>
      </w:r>
      <w:r>
        <w:rPr>
          <w:spacing w:val="-11"/>
        </w:rPr>
        <w:t> </w:t>
      </w:r>
      <w:r>
        <w:rPr/>
        <w:t>it</w:t>
      </w:r>
      <w:r>
        <w:rPr>
          <w:spacing w:val="-11"/>
        </w:rPr>
        <w:t> </w:t>
      </w:r>
      <w:r>
        <w:rPr/>
        <w:t>has</w:t>
      </w:r>
      <w:r>
        <w:rPr>
          <w:spacing w:val="-11"/>
        </w:rPr>
        <w:t> </w:t>
      </w:r>
      <w:r>
        <w:rPr/>
        <w:t>received several</w:t>
      </w:r>
      <w:r>
        <w:rPr>
          <w:spacing w:val="-2"/>
        </w:rPr>
        <w:t> </w:t>
      </w:r>
      <w:r>
        <w:rPr/>
        <w:t>reports</w:t>
      </w:r>
      <w:r>
        <w:rPr>
          <w:spacing w:val="-1"/>
        </w:rPr>
        <w:t> </w:t>
      </w:r>
      <w:r>
        <w:rPr/>
        <w:t>from</w:t>
      </w:r>
      <w:r>
        <w:rPr>
          <w:spacing w:val="-2"/>
        </w:rPr>
        <w:t> </w:t>
      </w:r>
      <w:r>
        <w:rPr/>
        <w:t>LGBTQ</w:t>
      </w:r>
      <w:r>
        <w:rPr>
          <w:spacing w:val="-2"/>
        </w:rPr>
        <w:t> </w:t>
      </w:r>
      <w:r>
        <w:rPr/>
        <w:t>youth</w:t>
      </w:r>
      <w:r>
        <w:rPr>
          <w:spacing w:val="-1"/>
        </w:rPr>
        <w:t> </w:t>
      </w:r>
      <w:r>
        <w:rPr/>
        <w:t>who</w:t>
      </w:r>
      <w:r>
        <w:rPr>
          <w:spacing w:val="-1"/>
        </w:rPr>
        <w:t> </w:t>
      </w:r>
      <w:r>
        <w:rPr/>
        <w:t>transitioned</w:t>
      </w:r>
      <w:r>
        <w:rPr>
          <w:spacing w:val="-1"/>
        </w:rPr>
        <w:t> </w:t>
      </w:r>
      <w:r>
        <w:rPr/>
        <w:t>out</w:t>
      </w:r>
      <w:r>
        <w:rPr>
          <w:spacing w:val="-2"/>
        </w:rPr>
        <w:t> </w:t>
      </w:r>
      <w:r>
        <w:rPr/>
        <w:t>of</w:t>
      </w:r>
      <w:r>
        <w:rPr>
          <w:spacing w:val="-2"/>
        </w:rPr>
        <w:t> </w:t>
      </w:r>
      <w:r>
        <w:rPr/>
        <w:t>care</w:t>
      </w:r>
      <w:r>
        <w:rPr>
          <w:spacing w:val="-1"/>
        </w:rPr>
        <w:t> </w:t>
      </w:r>
      <w:r>
        <w:rPr/>
        <w:t>that</w:t>
      </w:r>
      <w:r>
        <w:rPr>
          <w:spacing w:val="-2"/>
        </w:rPr>
        <w:t> </w:t>
      </w:r>
      <w:r>
        <w:rPr/>
        <w:t>they</w:t>
      </w:r>
      <w:r>
        <w:rPr>
          <w:spacing w:val="-1"/>
        </w:rPr>
        <w:t> </w:t>
      </w:r>
      <w:r>
        <w:rPr/>
        <w:t>never</w:t>
      </w:r>
      <w:r>
        <w:rPr>
          <w:spacing w:val="-1"/>
        </w:rPr>
        <w:t> </w:t>
      </w:r>
      <w:r>
        <w:rPr/>
        <w:t>received</w:t>
      </w:r>
      <w:r>
        <w:rPr>
          <w:spacing w:val="-2"/>
        </w:rPr>
        <w:t> </w:t>
      </w:r>
      <w:r>
        <w:rPr/>
        <w:t>assistance</w:t>
      </w:r>
      <w:r>
        <w:rPr>
          <w:spacing w:val="-2"/>
        </w:rPr>
        <w:t> </w:t>
      </w:r>
      <w:r>
        <w:rPr/>
        <w:t>from DCF or their legal representation in obtaining appropriate documentation or access to affirming health care</w:t>
      </w:r>
      <w:r>
        <w:rPr>
          <w:spacing w:val="-8"/>
        </w:rPr>
        <w:t> </w:t>
      </w:r>
      <w:r>
        <w:rPr/>
        <w:t>or</w:t>
      </w:r>
      <w:r>
        <w:rPr>
          <w:spacing w:val="-6"/>
        </w:rPr>
        <w:t> </w:t>
      </w:r>
      <w:r>
        <w:rPr/>
        <w:t>advocacy</w:t>
      </w:r>
      <w:r>
        <w:rPr>
          <w:spacing w:val="-6"/>
        </w:rPr>
        <w:t> </w:t>
      </w:r>
      <w:r>
        <w:rPr/>
        <w:t>to</w:t>
      </w:r>
      <w:r>
        <w:rPr>
          <w:spacing w:val="-7"/>
        </w:rPr>
        <w:t> </w:t>
      </w:r>
      <w:r>
        <w:rPr/>
        <w:t>address</w:t>
      </w:r>
      <w:r>
        <w:rPr>
          <w:spacing w:val="-7"/>
        </w:rPr>
        <w:t> </w:t>
      </w:r>
      <w:r>
        <w:rPr/>
        <w:t>their</w:t>
      </w:r>
      <w:r>
        <w:rPr>
          <w:spacing w:val="-8"/>
        </w:rPr>
        <w:t> </w:t>
      </w:r>
      <w:r>
        <w:rPr/>
        <w:t>visa</w:t>
      </w:r>
      <w:r>
        <w:rPr>
          <w:spacing w:val="-7"/>
        </w:rPr>
        <w:t> </w:t>
      </w:r>
      <w:r>
        <w:rPr/>
        <w:t>status</w:t>
      </w:r>
      <w:r>
        <w:rPr>
          <w:spacing w:val="-7"/>
        </w:rPr>
        <w:t> </w:t>
      </w:r>
      <w:r>
        <w:rPr/>
        <w:t>(which</w:t>
      </w:r>
      <w:r>
        <w:rPr>
          <w:spacing w:val="-7"/>
        </w:rPr>
        <w:t> </w:t>
      </w:r>
      <w:r>
        <w:rPr/>
        <w:t>resulted</w:t>
      </w:r>
      <w:r>
        <w:rPr>
          <w:spacing w:val="-7"/>
        </w:rPr>
        <w:t> </w:t>
      </w:r>
      <w:r>
        <w:rPr/>
        <w:t>in</w:t>
      </w:r>
      <w:r>
        <w:rPr>
          <w:spacing w:val="-7"/>
        </w:rPr>
        <w:t> </w:t>
      </w:r>
      <w:r>
        <w:rPr/>
        <w:t>an</w:t>
      </w:r>
      <w:r>
        <w:rPr>
          <w:spacing w:val="-6"/>
        </w:rPr>
        <w:t> </w:t>
      </w:r>
      <w:r>
        <w:rPr/>
        <w:t>expired</w:t>
      </w:r>
      <w:r>
        <w:rPr>
          <w:spacing w:val="-7"/>
        </w:rPr>
        <w:t> </w:t>
      </w:r>
      <w:r>
        <w:rPr/>
        <w:t>visa).</w:t>
      </w:r>
      <w:r>
        <w:rPr>
          <w:spacing w:val="-7"/>
        </w:rPr>
        <w:t> </w:t>
      </w:r>
      <w:r>
        <w:rPr/>
        <w:t>This</w:t>
      </w:r>
      <w:r>
        <w:rPr>
          <w:spacing w:val="-7"/>
        </w:rPr>
        <w:t> </w:t>
      </w:r>
      <w:r>
        <w:rPr/>
        <w:t>lapse</w:t>
      </w:r>
      <w:r>
        <w:rPr>
          <w:spacing w:val="-7"/>
        </w:rPr>
        <w:t> </w:t>
      </w:r>
      <w:r>
        <w:rPr/>
        <w:t>in</w:t>
      </w:r>
      <w:r>
        <w:rPr>
          <w:spacing w:val="-7"/>
        </w:rPr>
        <w:t> </w:t>
      </w:r>
      <w:r>
        <w:rPr/>
        <w:t>advocacy</w:t>
      </w:r>
      <w:r>
        <w:rPr>
          <w:spacing w:val="-8"/>
        </w:rPr>
        <w:t> </w:t>
      </w:r>
      <w:r>
        <w:rPr/>
        <w:t>for youth transitioning out of care has a directly effect on their ability to gain legal employment, and can become a pipeline to experiencing homelessness, engaging in sex work, or becoming involved with the legal system, and overall leaves youth to navigate already cumbersome state systems by themselves.</w:t>
      </w:r>
    </w:p>
    <w:p>
      <w:pPr>
        <w:numPr>
          <w:ilvl w:val="0"/>
          <w:numId w:val="36"/>
        </w:numPr>
        <w:tabs>
          <w:tab w:pos="481" w:val="left" w:leader="none"/>
          <w:tab w:pos="483" w:val="left" w:leader="none"/>
        </w:tabs>
        <w:spacing w:line="276" w:lineRule="auto" w:before="240"/>
        <w:ind w:left="483" w:right="344" w:hanging="360"/>
        <w:jc w:val="left"/>
        <w:rPr>
          <w:b/>
          <w:sz w:val="22"/>
        </w:rPr>
      </w:pPr>
      <w:r>
        <w:rPr>
          <w:b/>
          <w:sz w:val="22"/>
        </w:rPr>
        <w:t>Expand</w:t>
      </w:r>
      <w:r>
        <w:rPr>
          <w:b/>
          <w:spacing w:val="40"/>
          <w:sz w:val="22"/>
        </w:rPr>
        <w:t> </w:t>
      </w:r>
      <w:r>
        <w:rPr>
          <w:b/>
          <w:sz w:val="22"/>
        </w:rPr>
        <w:t>and</w:t>
      </w:r>
      <w:r>
        <w:rPr>
          <w:b/>
          <w:spacing w:val="40"/>
          <w:sz w:val="22"/>
        </w:rPr>
        <w:t> </w:t>
      </w:r>
      <w:r>
        <w:rPr>
          <w:b/>
          <w:sz w:val="22"/>
        </w:rPr>
        <w:t>mandate</w:t>
      </w:r>
      <w:r>
        <w:rPr>
          <w:b/>
          <w:spacing w:val="40"/>
          <w:sz w:val="22"/>
        </w:rPr>
        <w:t> </w:t>
      </w:r>
      <w:r>
        <w:rPr>
          <w:b/>
          <w:sz w:val="22"/>
        </w:rPr>
        <w:t>LGBTQ</w:t>
      </w:r>
      <w:r>
        <w:rPr>
          <w:b/>
          <w:spacing w:val="40"/>
          <w:sz w:val="22"/>
        </w:rPr>
        <w:t> </w:t>
      </w:r>
      <w:r>
        <w:rPr>
          <w:b/>
          <w:sz w:val="22"/>
        </w:rPr>
        <w:t>cultural</w:t>
      </w:r>
      <w:r>
        <w:rPr>
          <w:b/>
          <w:spacing w:val="40"/>
          <w:sz w:val="22"/>
        </w:rPr>
        <w:t> </w:t>
      </w:r>
      <w:r>
        <w:rPr>
          <w:b/>
          <w:sz w:val="22"/>
        </w:rPr>
        <w:t>engagement</w:t>
      </w:r>
      <w:r>
        <w:rPr>
          <w:b/>
          <w:spacing w:val="40"/>
          <w:sz w:val="22"/>
        </w:rPr>
        <w:t> </w:t>
      </w:r>
      <w:r>
        <w:rPr>
          <w:b/>
          <w:sz w:val="22"/>
        </w:rPr>
        <w:t>trainings,</w:t>
      </w:r>
      <w:r>
        <w:rPr>
          <w:b/>
          <w:spacing w:val="40"/>
          <w:sz w:val="22"/>
        </w:rPr>
        <w:t> </w:t>
      </w:r>
      <w:r>
        <w:rPr>
          <w:b/>
          <w:sz w:val="22"/>
        </w:rPr>
        <w:t>as</w:t>
      </w:r>
      <w:r>
        <w:rPr>
          <w:b/>
          <w:spacing w:val="40"/>
          <w:sz w:val="22"/>
        </w:rPr>
        <w:t> </w:t>
      </w:r>
      <w:r>
        <w:rPr>
          <w:b/>
          <w:sz w:val="22"/>
        </w:rPr>
        <w:t>well</w:t>
      </w:r>
      <w:r>
        <w:rPr>
          <w:b/>
          <w:spacing w:val="40"/>
          <w:sz w:val="22"/>
        </w:rPr>
        <w:t> </w:t>
      </w:r>
      <w:r>
        <w:rPr>
          <w:b/>
          <w:sz w:val="22"/>
        </w:rPr>
        <w:t>as</w:t>
      </w:r>
      <w:r>
        <w:rPr>
          <w:b/>
          <w:spacing w:val="40"/>
          <w:sz w:val="22"/>
        </w:rPr>
        <w:t> </w:t>
      </w:r>
      <w:r>
        <w:rPr>
          <w:b/>
          <w:sz w:val="22"/>
        </w:rPr>
        <w:t>trainings</w:t>
      </w:r>
      <w:r>
        <w:rPr>
          <w:b/>
          <w:spacing w:val="40"/>
          <w:sz w:val="22"/>
        </w:rPr>
        <w:t> </w:t>
      </w:r>
      <w:r>
        <w:rPr>
          <w:b/>
          <w:sz w:val="22"/>
        </w:rPr>
        <w:t>on</w:t>
      </w:r>
      <w:r>
        <w:rPr>
          <w:b/>
          <w:spacing w:val="40"/>
          <w:sz w:val="22"/>
        </w:rPr>
        <w:t> </w:t>
      </w:r>
      <w:r>
        <w:rPr>
          <w:b/>
          <w:sz w:val="22"/>
        </w:rPr>
        <w:t>racial</w:t>
      </w:r>
      <w:r>
        <w:rPr>
          <w:b/>
          <w:spacing w:val="40"/>
          <w:sz w:val="22"/>
        </w:rPr>
        <w:t> </w:t>
      </w:r>
      <w:r>
        <w:rPr>
          <w:b/>
          <w:sz w:val="22"/>
        </w:rPr>
        <w:t>equity, ableism, and adultism.</w:t>
      </w:r>
    </w:p>
    <w:p>
      <w:pPr>
        <w:pStyle w:val="BodyText"/>
        <w:spacing w:line="276" w:lineRule="auto" w:before="239"/>
        <w:ind w:left="483" w:right="342" w:firstLine="49"/>
        <w:jc w:val="both"/>
      </w:pPr>
      <w:r>
        <w:rPr/>
        <w:t>The Commission recommends that DCF continues to expand upon its LGBTQ cultural engagement trainings for all</w:t>
      </w:r>
      <w:r>
        <w:rPr>
          <w:spacing w:val="-1"/>
        </w:rPr>
        <w:t> </w:t>
      </w:r>
      <w:r>
        <w:rPr/>
        <w:t>staff, and ensuring that the trainings are</w:t>
      </w:r>
      <w:r>
        <w:rPr>
          <w:spacing w:val="-1"/>
        </w:rPr>
        <w:t> </w:t>
      </w:r>
      <w:r>
        <w:rPr/>
        <w:t>intersectional</w:t>
      </w:r>
      <w:r>
        <w:rPr>
          <w:spacing w:val="-1"/>
        </w:rPr>
        <w:t> </w:t>
      </w:r>
      <w:r>
        <w:rPr/>
        <w:t>to include conversations on</w:t>
      </w:r>
      <w:r>
        <w:rPr>
          <w:spacing w:val="-1"/>
        </w:rPr>
        <w:t> </w:t>
      </w:r>
      <w:r>
        <w:rPr/>
        <w:t>racial equity, ableism, and adultism, particularly for staff working directly with young people. In FY 2023, DCF shared</w:t>
      </w:r>
      <w:r>
        <w:rPr>
          <w:spacing w:val="-11"/>
        </w:rPr>
        <w:t> </w:t>
      </w:r>
      <w:r>
        <w:rPr/>
        <w:t>that</w:t>
      </w:r>
      <w:r>
        <w:rPr>
          <w:spacing w:val="-12"/>
        </w:rPr>
        <w:t> </w:t>
      </w:r>
      <w:r>
        <w:rPr/>
        <w:t>it</w:t>
      </w:r>
      <w:r>
        <w:rPr>
          <w:spacing w:val="-10"/>
        </w:rPr>
        <w:t> </w:t>
      </w:r>
      <w:r>
        <w:rPr/>
        <w:t>was</w:t>
      </w:r>
      <w:r>
        <w:rPr>
          <w:spacing w:val="-11"/>
        </w:rPr>
        <w:t> </w:t>
      </w:r>
      <w:r>
        <w:rPr/>
        <w:t>in</w:t>
      </w:r>
      <w:r>
        <w:rPr>
          <w:spacing w:val="-11"/>
        </w:rPr>
        <w:t> </w:t>
      </w:r>
      <w:r>
        <w:rPr/>
        <w:t>the</w:t>
      </w:r>
      <w:r>
        <w:rPr>
          <w:spacing w:val="-11"/>
        </w:rPr>
        <w:t> </w:t>
      </w:r>
      <w:r>
        <w:rPr/>
        <w:t>process</w:t>
      </w:r>
      <w:r>
        <w:rPr>
          <w:spacing w:val="-11"/>
        </w:rPr>
        <w:t> </w:t>
      </w:r>
      <w:r>
        <w:rPr/>
        <w:t>of</w:t>
      </w:r>
      <w:r>
        <w:rPr>
          <w:spacing w:val="-11"/>
        </w:rPr>
        <w:t> </w:t>
      </w:r>
      <w:r>
        <w:rPr/>
        <w:t>soliciting</w:t>
      </w:r>
      <w:r>
        <w:rPr>
          <w:spacing w:val="-11"/>
        </w:rPr>
        <w:t> </w:t>
      </w:r>
      <w:r>
        <w:rPr/>
        <w:t>information</w:t>
      </w:r>
      <w:r>
        <w:rPr>
          <w:spacing w:val="-11"/>
        </w:rPr>
        <w:t> </w:t>
      </w:r>
      <w:r>
        <w:rPr/>
        <w:t>for</w:t>
      </w:r>
      <w:r>
        <w:rPr>
          <w:spacing w:val="-11"/>
        </w:rPr>
        <w:t> </w:t>
      </w:r>
      <w:r>
        <w:rPr/>
        <w:t>available</w:t>
      </w:r>
      <w:r>
        <w:rPr>
          <w:spacing w:val="-11"/>
        </w:rPr>
        <w:t> </w:t>
      </w:r>
      <w:r>
        <w:rPr/>
        <w:t>training</w:t>
      </w:r>
      <w:r>
        <w:rPr>
          <w:spacing w:val="-11"/>
        </w:rPr>
        <w:t> </w:t>
      </w:r>
      <w:r>
        <w:rPr/>
        <w:t>opportunities</w:t>
      </w:r>
      <w:r>
        <w:rPr>
          <w:spacing w:val="-11"/>
        </w:rPr>
        <w:t> </w:t>
      </w:r>
      <w:r>
        <w:rPr/>
        <w:t>on</w:t>
      </w:r>
      <w:r>
        <w:rPr>
          <w:spacing w:val="-11"/>
        </w:rPr>
        <w:t> </w:t>
      </w:r>
      <w:r>
        <w:rPr/>
        <w:t>additional topics, which would include ableism. DCF additionally shared that its Specialty Unit Directors of Disabilities,</w:t>
      </w:r>
      <w:r>
        <w:rPr>
          <w:spacing w:val="-10"/>
        </w:rPr>
        <w:t> </w:t>
      </w:r>
      <w:r>
        <w:rPr/>
        <w:t>Mental</w:t>
      </w:r>
      <w:r>
        <w:rPr>
          <w:spacing w:val="-11"/>
        </w:rPr>
        <w:t> </w:t>
      </w:r>
      <w:r>
        <w:rPr/>
        <w:t>Health,</w:t>
      </w:r>
      <w:r>
        <w:rPr>
          <w:spacing w:val="-11"/>
        </w:rPr>
        <w:t> </w:t>
      </w:r>
      <w:r>
        <w:rPr/>
        <w:t>LGBTQIA+,</w:t>
      </w:r>
      <w:r>
        <w:rPr>
          <w:spacing w:val="-8"/>
        </w:rPr>
        <w:t> </w:t>
      </w:r>
      <w:r>
        <w:rPr/>
        <w:t>Substance</w:t>
      </w:r>
      <w:r>
        <w:rPr>
          <w:spacing w:val="-10"/>
        </w:rPr>
        <w:t> </w:t>
      </w:r>
      <w:r>
        <w:rPr/>
        <w:t>Use,</w:t>
      </w:r>
      <w:r>
        <w:rPr>
          <w:spacing w:val="-11"/>
        </w:rPr>
        <w:t> </w:t>
      </w:r>
      <w:r>
        <w:rPr/>
        <w:t>and</w:t>
      </w:r>
      <w:r>
        <w:rPr>
          <w:spacing w:val="-10"/>
        </w:rPr>
        <w:t> </w:t>
      </w:r>
      <w:r>
        <w:rPr/>
        <w:t>Domestic</w:t>
      </w:r>
      <w:r>
        <w:rPr>
          <w:spacing w:val="-11"/>
        </w:rPr>
        <w:t> </w:t>
      </w:r>
      <w:r>
        <w:rPr/>
        <w:t>Violence</w:t>
      </w:r>
      <w:r>
        <w:rPr>
          <w:spacing w:val="-11"/>
        </w:rPr>
        <w:t> </w:t>
      </w:r>
      <w:r>
        <w:rPr/>
        <w:t>recently</w:t>
      </w:r>
      <w:r>
        <w:rPr>
          <w:spacing w:val="-10"/>
        </w:rPr>
        <w:t> </w:t>
      </w:r>
      <w:r>
        <w:rPr/>
        <w:t>provided</w:t>
      </w:r>
      <w:r>
        <w:rPr>
          <w:spacing w:val="-10"/>
        </w:rPr>
        <w:t> </w:t>
      </w:r>
      <w:r>
        <w:rPr/>
        <w:t>a</w:t>
      </w:r>
      <w:r>
        <w:rPr>
          <w:spacing w:val="-11"/>
        </w:rPr>
        <w:t> </w:t>
      </w:r>
      <w:r>
        <w:rPr/>
        <w:t>training</w:t>
      </w:r>
    </w:p>
    <w:p>
      <w:pPr>
        <w:spacing w:after="0" w:line="276" w:lineRule="auto"/>
        <w:jc w:val="both"/>
        <w:sectPr>
          <w:pgSz w:w="12240" w:h="15840"/>
          <w:pgMar w:header="804" w:footer="1263" w:top="1000" w:bottom="1460" w:left="960" w:right="1100"/>
        </w:sectPr>
      </w:pPr>
    </w:p>
    <w:p>
      <w:pPr>
        <w:pStyle w:val="BodyText"/>
        <w:spacing w:line="276" w:lineRule="auto" w:before="139"/>
        <w:ind w:left="483" w:right="343"/>
        <w:jc w:val="both"/>
      </w:pPr>
      <w:r>
        <w:rPr/>
        <w:t>at a statewide manager’s meeting on inclusive practices and addressing biases.</w:t>
      </w:r>
      <w:r>
        <w:rPr>
          <w:spacing w:val="40"/>
        </w:rPr>
        <w:t> </w:t>
      </w:r>
      <w:r>
        <w:rPr/>
        <w:t>The Commission </w:t>
      </w:r>
      <w:r>
        <w:rPr>
          <w:spacing w:val="-2"/>
        </w:rPr>
        <w:t>appreciates this commitment to diversifying knowledge and skills, but further recommends that DCF share </w:t>
      </w:r>
      <w:r>
        <w:rPr/>
        <w:t>publicly its information on the trainings provided to staff, and the compliance rates for each area office. Furthermore, the Commission strongly recommends that DCF partner closely with the OCA and other state agencies to better track and oversee LGBTQ cultural engagement trainings in congregate care </w:t>
      </w:r>
      <w:r>
        <w:rPr>
          <w:spacing w:val="-2"/>
        </w:rPr>
        <w:t>settings.</w:t>
      </w:r>
    </w:p>
    <w:p>
      <w:pPr>
        <w:numPr>
          <w:ilvl w:val="0"/>
          <w:numId w:val="36"/>
        </w:numPr>
        <w:tabs>
          <w:tab w:pos="481" w:val="left" w:leader="none"/>
          <w:tab w:pos="483" w:val="left" w:leader="none"/>
        </w:tabs>
        <w:spacing w:line="276" w:lineRule="auto" w:before="239"/>
        <w:ind w:left="483" w:right="344" w:hanging="360"/>
        <w:jc w:val="both"/>
        <w:rPr>
          <w:b/>
          <w:sz w:val="22"/>
        </w:rPr>
      </w:pPr>
      <w:r>
        <w:rPr>
          <w:b/>
          <w:sz w:val="22"/>
        </w:rPr>
        <w:t>Improve</w:t>
      </w:r>
      <w:r>
        <w:rPr>
          <w:b/>
          <w:spacing w:val="-9"/>
          <w:sz w:val="22"/>
        </w:rPr>
        <w:t> </w:t>
      </w:r>
      <w:r>
        <w:rPr>
          <w:b/>
          <w:sz w:val="22"/>
        </w:rPr>
        <w:t>interagency</w:t>
      </w:r>
      <w:r>
        <w:rPr>
          <w:b/>
          <w:spacing w:val="-8"/>
          <w:sz w:val="22"/>
        </w:rPr>
        <w:t> </w:t>
      </w:r>
      <w:r>
        <w:rPr>
          <w:b/>
          <w:sz w:val="22"/>
        </w:rPr>
        <w:t>work</w:t>
      </w:r>
      <w:r>
        <w:rPr>
          <w:b/>
          <w:spacing w:val="-8"/>
          <w:sz w:val="22"/>
        </w:rPr>
        <w:t> </w:t>
      </w:r>
      <w:r>
        <w:rPr>
          <w:b/>
          <w:sz w:val="22"/>
        </w:rPr>
        <w:t>to</w:t>
      </w:r>
      <w:r>
        <w:rPr>
          <w:b/>
          <w:spacing w:val="-9"/>
          <w:sz w:val="22"/>
        </w:rPr>
        <w:t> </w:t>
      </w:r>
      <w:r>
        <w:rPr>
          <w:b/>
          <w:sz w:val="22"/>
        </w:rPr>
        <w:t>support</w:t>
      </w:r>
      <w:r>
        <w:rPr>
          <w:b/>
          <w:spacing w:val="-9"/>
          <w:sz w:val="22"/>
        </w:rPr>
        <w:t> </w:t>
      </w:r>
      <w:r>
        <w:rPr>
          <w:b/>
          <w:sz w:val="22"/>
        </w:rPr>
        <w:t>“warm</w:t>
      </w:r>
      <w:r>
        <w:rPr>
          <w:b/>
          <w:spacing w:val="-7"/>
          <w:sz w:val="22"/>
        </w:rPr>
        <w:t> </w:t>
      </w:r>
      <w:r>
        <w:rPr>
          <w:b/>
          <w:sz w:val="22"/>
        </w:rPr>
        <w:t>hand-offs”</w:t>
      </w:r>
      <w:r>
        <w:rPr>
          <w:b/>
          <w:spacing w:val="-9"/>
          <w:sz w:val="22"/>
        </w:rPr>
        <w:t> </w:t>
      </w:r>
      <w:r>
        <w:rPr>
          <w:b/>
          <w:sz w:val="22"/>
        </w:rPr>
        <w:t>for</w:t>
      </w:r>
      <w:r>
        <w:rPr>
          <w:b/>
          <w:spacing w:val="-7"/>
          <w:sz w:val="22"/>
        </w:rPr>
        <w:t> </w:t>
      </w:r>
      <w:r>
        <w:rPr>
          <w:b/>
          <w:sz w:val="22"/>
        </w:rPr>
        <w:t>transition-aged</w:t>
      </w:r>
      <w:r>
        <w:rPr>
          <w:b/>
          <w:spacing w:val="-10"/>
          <w:sz w:val="22"/>
        </w:rPr>
        <w:t> </w:t>
      </w:r>
      <w:r>
        <w:rPr>
          <w:b/>
          <w:sz w:val="22"/>
        </w:rPr>
        <w:t>youth</w:t>
      </w:r>
      <w:r>
        <w:rPr>
          <w:b/>
          <w:spacing w:val="-8"/>
          <w:sz w:val="22"/>
        </w:rPr>
        <w:t> </w:t>
      </w:r>
      <w:r>
        <w:rPr>
          <w:b/>
          <w:sz w:val="22"/>
        </w:rPr>
        <w:t>attempting</w:t>
      </w:r>
      <w:r>
        <w:rPr>
          <w:b/>
          <w:spacing w:val="-8"/>
          <w:sz w:val="22"/>
        </w:rPr>
        <w:t> </w:t>
      </w:r>
      <w:r>
        <w:rPr>
          <w:b/>
          <w:sz w:val="22"/>
        </w:rPr>
        <w:t>to</w:t>
      </w:r>
      <w:r>
        <w:rPr>
          <w:b/>
          <w:spacing w:val="-9"/>
          <w:sz w:val="22"/>
        </w:rPr>
        <w:t> </w:t>
      </w:r>
      <w:r>
        <w:rPr>
          <w:b/>
          <w:sz w:val="22"/>
        </w:rPr>
        <w:t>access services, in partnership with the Department of Mental Health, MassHealth, and the Department of Youth Services.</w:t>
      </w:r>
    </w:p>
    <w:p>
      <w:pPr>
        <w:pStyle w:val="BodyText"/>
        <w:spacing w:line="276" w:lineRule="auto" w:before="240"/>
        <w:ind w:left="483" w:right="341"/>
        <w:jc w:val="both"/>
      </w:pPr>
      <w:r>
        <w:rPr/>
        <w:t>As discussed throughout the Commission’s FY 2024 annual report, multisystem-involved transition-aged youth are often the most marginalized and underserved youth across the Commonwealth. Often, when youth transition between agency systems, such as going from DYS to DCF or vice versa, some youth experience little to no direct handoff to new services. Unfortunately, this means that youth often fall between</w:t>
      </w:r>
      <w:r>
        <w:rPr>
          <w:spacing w:val="-9"/>
        </w:rPr>
        <w:t> </w:t>
      </w:r>
      <w:r>
        <w:rPr/>
        <w:t>systemic</w:t>
      </w:r>
      <w:r>
        <w:rPr>
          <w:spacing w:val="-8"/>
        </w:rPr>
        <w:t> </w:t>
      </w:r>
      <w:r>
        <w:rPr/>
        <w:t>cracks</w:t>
      </w:r>
      <w:r>
        <w:rPr>
          <w:spacing w:val="-8"/>
        </w:rPr>
        <w:t> </w:t>
      </w:r>
      <w:r>
        <w:rPr/>
        <w:t>as</w:t>
      </w:r>
      <w:r>
        <w:rPr>
          <w:spacing w:val="-8"/>
        </w:rPr>
        <w:t> </w:t>
      </w:r>
      <w:r>
        <w:rPr/>
        <w:t>agencies</w:t>
      </w:r>
      <w:r>
        <w:rPr>
          <w:spacing w:val="-8"/>
        </w:rPr>
        <w:t> </w:t>
      </w:r>
      <w:r>
        <w:rPr/>
        <w:t>fail</w:t>
      </w:r>
      <w:r>
        <w:rPr>
          <w:spacing w:val="-8"/>
        </w:rPr>
        <w:t> </w:t>
      </w:r>
      <w:r>
        <w:rPr/>
        <w:t>to</w:t>
      </w:r>
      <w:r>
        <w:rPr>
          <w:spacing w:val="-8"/>
        </w:rPr>
        <w:t> </w:t>
      </w:r>
      <w:r>
        <w:rPr/>
        <w:t>collaborate,</w:t>
      </w:r>
      <w:r>
        <w:rPr>
          <w:spacing w:val="-8"/>
        </w:rPr>
        <w:t> </w:t>
      </w:r>
      <w:r>
        <w:rPr/>
        <w:t>leaving</w:t>
      </w:r>
      <w:r>
        <w:rPr>
          <w:spacing w:val="-9"/>
        </w:rPr>
        <w:t> </w:t>
      </w:r>
      <w:r>
        <w:rPr/>
        <w:t>youth</w:t>
      </w:r>
      <w:r>
        <w:rPr>
          <w:spacing w:val="-9"/>
        </w:rPr>
        <w:t> </w:t>
      </w:r>
      <w:r>
        <w:rPr/>
        <w:t>and</w:t>
      </w:r>
      <w:r>
        <w:rPr>
          <w:spacing w:val="-8"/>
        </w:rPr>
        <w:t> </w:t>
      </w:r>
      <w:r>
        <w:rPr/>
        <w:t>their</w:t>
      </w:r>
      <w:r>
        <w:rPr>
          <w:spacing w:val="-9"/>
        </w:rPr>
        <w:t> </w:t>
      </w:r>
      <w:r>
        <w:rPr/>
        <w:t>families</w:t>
      </w:r>
      <w:r>
        <w:rPr>
          <w:spacing w:val="-8"/>
        </w:rPr>
        <w:t> </w:t>
      </w:r>
      <w:r>
        <w:rPr/>
        <w:t>without</w:t>
      </w:r>
      <w:r>
        <w:rPr>
          <w:spacing w:val="-9"/>
        </w:rPr>
        <w:t> </w:t>
      </w:r>
      <w:r>
        <w:rPr/>
        <w:t>any</w:t>
      </w:r>
      <w:r>
        <w:rPr>
          <w:spacing w:val="-8"/>
        </w:rPr>
        <w:t> </w:t>
      </w:r>
      <w:r>
        <w:rPr/>
        <w:t>clear guidance or direction for assistance.</w:t>
      </w:r>
    </w:p>
    <w:p>
      <w:pPr>
        <w:pStyle w:val="BodyText"/>
        <w:spacing w:line="276" w:lineRule="auto" w:before="239"/>
        <w:ind w:left="483" w:right="341"/>
        <w:jc w:val="both"/>
      </w:pPr>
      <w:r>
        <w:rPr/>
        <w:t>The Commission has even received notice from some DCF social workers that agencies have failed to notify</w:t>
      </w:r>
      <w:r>
        <w:rPr>
          <w:spacing w:val="-13"/>
        </w:rPr>
        <w:t> </w:t>
      </w:r>
      <w:r>
        <w:rPr/>
        <w:t>them</w:t>
      </w:r>
      <w:r>
        <w:rPr>
          <w:spacing w:val="-12"/>
        </w:rPr>
        <w:t> </w:t>
      </w:r>
      <w:r>
        <w:rPr/>
        <w:t>when</w:t>
      </w:r>
      <w:r>
        <w:rPr>
          <w:spacing w:val="-13"/>
        </w:rPr>
        <w:t> </w:t>
      </w:r>
      <w:r>
        <w:rPr/>
        <w:t>their</w:t>
      </w:r>
      <w:r>
        <w:rPr>
          <w:spacing w:val="-12"/>
        </w:rPr>
        <w:t> </w:t>
      </w:r>
      <w:r>
        <w:rPr/>
        <w:t>youth</w:t>
      </w:r>
      <w:r>
        <w:rPr>
          <w:spacing w:val="-13"/>
        </w:rPr>
        <w:t> </w:t>
      </w:r>
      <w:r>
        <w:rPr/>
        <w:t>have</w:t>
      </w:r>
      <w:r>
        <w:rPr>
          <w:spacing w:val="-12"/>
        </w:rPr>
        <w:t> </w:t>
      </w:r>
      <w:r>
        <w:rPr/>
        <w:t>been</w:t>
      </w:r>
      <w:r>
        <w:rPr>
          <w:spacing w:val="-13"/>
        </w:rPr>
        <w:t> </w:t>
      </w:r>
      <w:r>
        <w:rPr/>
        <w:t>transferred</w:t>
      </w:r>
      <w:r>
        <w:rPr>
          <w:spacing w:val="-12"/>
        </w:rPr>
        <w:t> </w:t>
      </w:r>
      <w:r>
        <w:rPr/>
        <w:t>into</w:t>
      </w:r>
      <w:r>
        <w:rPr>
          <w:spacing w:val="-12"/>
        </w:rPr>
        <w:t> </w:t>
      </w:r>
      <w:r>
        <w:rPr/>
        <w:t>DYS</w:t>
      </w:r>
      <w:r>
        <w:rPr>
          <w:spacing w:val="-13"/>
        </w:rPr>
        <w:t> </w:t>
      </w:r>
      <w:r>
        <w:rPr/>
        <w:t>custody.</w:t>
      </w:r>
      <w:r>
        <w:rPr>
          <w:spacing w:val="-12"/>
        </w:rPr>
        <w:t> </w:t>
      </w:r>
      <w:r>
        <w:rPr/>
        <w:t>This</w:t>
      </w:r>
      <w:r>
        <w:rPr>
          <w:spacing w:val="-13"/>
        </w:rPr>
        <w:t> </w:t>
      </w:r>
      <w:r>
        <w:rPr/>
        <w:t>is</w:t>
      </w:r>
      <w:r>
        <w:rPr>
          <w:spacing w:val="-12"/>
        </w:rPr>
        <w:t> </w:t>
      </w:r>
      <w:r>
        <w:rPr/>
        <w:t>particularly</w:t>
      </w:r>
      <w:r>
        <w:rPr>
          <w:spacing w:val="-13"/>
        </w:rPr>
        <w:t> </w:t>
      </w:r>
      <w:r>
        <w:rPr/>
        <w:t>concerning</w:t>
      </w:r>
      <w:r>
        <w:rPr>
          <w:spacing w:val="-12"/>
        </w:rPr>
        <w:t> </w:t>
      </w:r>
      <w:r>
        <w:rPr/>
        <w:t>given that cases being monitored by DCF for abuse and neglect are closed if youth are committed by DYS, and also in cases where DCF has custody and care of the youth, which makes DYS the ‘parent’ of the youth. Once</w:t>
      </w:r>
      <w:r>
        <w:rPr>
          <w:spacing w:val="-13"/>
        </w:rPr>
        <w:t> </w:t>
      </w:r>
      <w:r>
        <w:rPr/>
        <w:t>they</w:t>
      </w:r>
      <w:r>
        <w:rPr>
          <w:spacing w:val="-12"/>
        </w:rPr>
        <w:t> </w:t>
      </w:r>
      <w:r>
        <w:rPr/>
        <w:t>leave</w:t>
      </w:r>
      <w:r>
        <w:rPr>
          <w:spacing w:val="-13"/>
        </w:rPr>
        <w:t> </w:t>
      </w:r>
      <w:r>
        <w:rPr/>
        <w:t>DYS</w:t>
      </w:r>
      <w:r>
        <w:rPr>
          <w:spacing w:val="-12"/>
        </w:rPr>
        <w:t> </w:t>
      </w:r>
      <w:r>
        <w:rPr/>
        <w:t>custody,</w:t>
      </w:r>
      <w:r>
        <w:rPr>
          <w:spacing w:val="-13"/>
        </w:rPr>
        <w:t> </w:t>
      </w:r>
      <w:r>
        <w:rPr/>
        <w:t>the</w:t>
      </w:r>
      <w:r>
        <w:rPr>
          <w:spacing w:val="-12"/>
        </w:rPr>
        <w:t> </w:t>
      </w:r>
      <w:r>
        <w:rPr/>
        <w:t>Commission</w:t>
      </w:r>
      <w:r>
        <w:rPr>
          <w:spacing w:val="-13"/>
        </w:rPr>
        <w:t> </w:t>
      </w:r>
      <w:r>
        <w:rPr/>
        <w:t>understands</w:t>
      </w:r>
      <w:r>
        <w:rPr>
          <w:spacing w:val="-12"/>
        </w:rPr>
        <w:t> </w:t>
      </w:r>
      <w:r>
        <w:rPr/>
        <w:t>that</w:t>
      </w:r>
      <w:r>
        <w:rPr>
          <w:spacing w:val="-12"/>
        </w:rPr>
        <w:t> </w:t>
      </w:r>
      <w:r>
        <w:rPr/>
        <w:t>the</w:t>
      </w:r>
      <w:r>
        <w:rPr>
          <w:spacing w:val="-13"/>
        </w:rPr>
        <w:t> </w:t>
      </w:r>
      <w:r>
        <w:rPr/>
        <w:t>youth</w:t>
      </w:r>
      <w:r>
        <w:rPr>
          <w:spacing w:val="-12"/>
        </w:rPr>
        <w:t> </w:t>
      </w:r>
      <w:r>
        <w:rPr/>
        <w:t>are</w:t>
      </w:r>
      <w:r>
        <w:rPr>
          <w:spacing w:val="-13"/>
        </w:rPr>
        <w:t> </w:t>
      </w:r>
      <w:r>
        <w:rPr/>
        <w:t>often</w:t>
      </w:r>
      <w:r>
        <w:rPr>
          <w:spacing w:val="-12"/>
        </w:rPr>
        <w:t> </w:t>
      </w:r>
      <w:r>
        <w:rPr/>
        <w:t>then</w:t>
      </w:r>
      <w:r>
        <w:rPr>
          <w:spacing w:val="-13"/>
        </w:rPr>
        <w:t> </w:t>
      </w:r>
      <w:r>
        <w:rPr/>
        <w:t>returned</w:t>
      </w:r>
      <w:r>
        <w:rPr>
          <w:spacing w:val="-12"/>
        </w:rPr>
        <w:t> </w:t>
      </w:r>
      <w:r>
        <w:rPr/>
        <w:t>to</w:t>
      </w:r>
      <w:r>
        <w:rPr>
          <w:spacing w:val="-12"/>
        </w:rPr>
        <w:t> </w:t>
      </w:r>
      <w:r>
        <w:rPr/>
        <w:t>their family of origin without any further monitoring by DYS or DCF to assess for safety. The Commission is concerned by this process as it does not believe that DYS is equipped with the tools or structures to investigate for safety, permanency, or wellbeing to reunify and reconcile family systems that have been </w:t>
      </w:r>
      <w:r>
        <w:rPr>
          <w:spacing w:val="-2"/>
        </w:rPr>
        <w:t>disrupted.</w:t>
      </w:r>
    </w:p>
    <w:p>
      <w:pPr>
        <w:pStyle w:val="BodyText"/>
        <w:spacing w:line="276" w:lineRule="auto" w:before="240"/>
        <w:ind w:left="483" w:right="340"/>
        <w:jc w:val="both"/>
      </w:pPr>
      <w:r>
        <w:rPr/>
        <w:t>In FY 2023, DCF shared that the agency has multiple points of interagency collaboration, including: the implementation</w:t>
      </w:r>
      <w:r>
        <w:rPr>
          <w:spacing w:val="-13"/>
        </w:rPr>
        <w:t> </w:t>
      </w:r>
      <w:r>
        <w:rPr/>
        <w:t>of</w:t>
      </w:r>
      <w:r>
        <w:rPr>
          <w:spacing w:val="-12"/>
        </w:rPr>
        <w:t> </w:t>
      </w:r>
      <w:r>
        <w:rPr/>
        <w:t>a</w:t>
      </w:r>
      <w:r>
        <w:rPr>
          <w:spacing w:val="-12"/>
        </w:rPr>
        <w:t> </w:t>
      </w:r>
      <w:r>
        <w:rPr/>
        <w:t>new</w:t>
      </w:r>
      <w:r>
        <w:rPr>
          <w:spacing w:val="-11"/>
        </w:rPr>
        <w:t> </w:t>
      </w:r>
      <w:r>
        <w:rPr/>
        <w:t>complex</w:t>
      </w:r>
      <w:r>
        <w:rPr>
          <w:spacing w:val="-12"/>
        </w:rPr>
        <w:t> </w:t>
      </w:r>
      <w:r>
        <w:rPr/>
        <w:t>case</w:t>
      </w:r>
      <w:r>
        <w:rPr>
          <w:spacing w:val="-13"/>
        </w:rPr>
        <w:t> </w:t>
      </w:r>
      <w:r>
        <w:rPr/>
        <w:t>resolution</w:t>
      </w:r>
      <w:r>
        <w:rPr>
          <w:spacing w:val="-12"/>
        </w:rPr>
        <w:t> </w:t>
      </w:r>
      <w:r>
        <w:rPr/>
        <w:t>process</w:t>
      </w:r>
      <w:r>
        <w:rPr>
          <w:spacing w:val="-12"/>
        </w:rPr>
        <w:t> </w:t>
      </w:r>
      <w:r>
        <w:rPr/>
        <w:t>being</w:t>
      </w:r>
      <w:r>
        <w:rPr>
          <w:spacing w:val="-13"/>
        </w:rPr>
        <w:t> </w:t>
      </w:r>
      <w:r>
        <w:rPr/>
        <w:t>developed</w:t>
      </w:r>
      <w:r>
        <w:rPr>
          <w:spacing w:val="-12"/>
        </w:rPr>
        <w:t> </w:t>
      </w:r>
      <w:r>
        <w:rPr/>
        <w:t>by</w:t>
      </w:r>
      <w:r>
        <w:rPr>
          <w:spacing w:val="-12"/>
        </w:rPr>
        <w:t> </w:t>
      </w:r>
      <w:r>
        <w:rPr/>
        <w:t>EOHHS;</w:t>
      </w:r>
      <w:r>
        <w:rPr>
          <w:spacing w:val="-11"/>
        </w:rPr>
        <w:t> </w:t>
      </w:r>
      <w:r>
        <w:rPr/>
        <w:t>transition</w:t>
      </w:r>
      <w:r>
        <w:rPr>
          <w:spacing w:val="-13"/>
        </w:rPr>
        <w:t> </w:t>
      </w:r>
      <w:r>
        <w:rPr/>
        <w:t>planning and the 688 process as required by law to support youth with disabilities; an internal Mental Health Specialist Unit collaboration process with DMH; interagency meetings with youth-serving agencies; and an MOU with DYS for dual-involved youth being detained pretrial. Additionally, if a Care and Protection Petition (C&amp;P) or Child Requiring Assistance (CRA) petition is dismissed in court, and a minor is released from</w:t>
      </w:r>
      <w:r>
        <w:rPr>
          <w:spacing w:val="-13"/>
        </w:rPr>
        <w:t> </w:t>
      </w:r>
      <w:r>
        <w:rPr/>
        <w:t>DYS</w:t>
      </w:r>
      <w:r>
        <w:rPr>
          <w:spacing w:val="-11"/>
        </w:rPr>
        <w:t> </w:t>
      </w:r>
      <w:r>
        <w:rPr/>
        <w:t>custody,</w:t>
      </w:r>
      <w:r>
        <w:rPr>
          <w:spacing w:val="-12"/>
        </w:rPr>
        <w:t> </w:t>
      </w:r>
      <w:r>
        <w:rPr/>
        <w:t>a</w:t>
      </w:r>
      <w:r>
        <w:rPr>
          <w:spacing w:val="-12"/>
        </w:rPr>
        <w:t> </w:t>
      </w:r>
      <w:r>
        <w:rPr/>
        <w:t>new</w:t>
      </w:r>
      <w:r>
        <w:rPr>
          <w:spacing w:val="-11"/>
        </w:rPr>
        <w:t> </w:t>
      </w:r>
      <w:r>
        <w:rPr/>
        <w:t>51A</w:t>
      </w:r>
      <w:r>
        <w:rPr>
          <w:spacing w:val="-13"/>
        </w:rPr>
        <w:t> </w:t>
      </w:r>
      <w:r>
        <w:rPr/>
        <w:t>would</w:t>
      </w:r>
      <w:r>
        <w:rPr>
          <w:spacing w:val="-11"/>
        </w:rPr>
        <w:t> </w:t>
      </w:r>
      <w:r>
        <w:rPr/>
        <w:t>need</w:t>
      </w:r>
      <w:r>
        <w:rPr>
          <w:spacing w:val="-12"/>
        </w:rPr>
        <w:t> </w:t>
      </w:r>
      <w:r>
        <w:rPr/>
        <w:t>to</w:t>
      </w:r>
      <w:r>
        <w:rPr>
          <w:spacing w:val="-12"/>
        </w:rPr>
        <w:t> </w:t>
      </w:r>
      <w:r>
        <w:rPr/>
        <w:t>be</w:t>
      </w:r>
      <w:r>
        <w:rPr>
          <w:spacing w:val="-13"/>
        </w:rPr>
        <w:t> </w:t>
      </w:r>
      <w:r>
        <w:rPr/>
        <w:t>filed</w:t>
      </w:r>
      <w:r>
        <w:rPr>
          <w:spacing w:val="-12"/>
        </w:rPr>
        <w:t> </w:t>
      </w:r>
      <w:r>
        <w:rPr/>
        <w:t>for</w:t>
      </w:r>
      <w:r>
        <w:rPr>
          <w:spacing w:val="-12"/>
        </w:rPr>
        <w:t> </w:t>
      </w:r>
      <w:r>
        <w:rPr/>
        <w:t>DCF</w:t>
      </w:r>
      <w:r>
        <w:rPr>
          <w:spacing w:val="-13"/>
        </w:rPr>
        <w:t> </w:t>
      </w:r>
      <w:r>
        <w:rPr/>
        <w:t>to</w:t>
      </w:r>
      <w:r>
        <w:rPr>
          <w:spacing w:val="-10"/>
        </w:rPr>
        <w:t> </w:t>
      </w:r>
      <w:r>
        <w:rPr/>
        <w:t>become</w:t>
      </w:r>
      <w:r>
        <w:rPr>
          <w:spacing w:val="-13"/>
        </w:rPr>
        <w:t> </w:t>
      </w:r>
      <w:r>
        <w:rPr/>
        <w:t>involved</w:t>
      </w:r>
      <w:r>
        <w:rPr>
          <w:spacing w:val="-11"/>
        </w:rPr>
        <w:t> </w:t>
      </w:r>
      <w:r>
        <w:rPr/>
        <w:t>once</w:t>
      </w:r>
      <w:r>
        <w:rPr>
          <w:spacing w:val="-11"/>
        </w:rPr>
        <w:t> </w:t>
      </w:r>
      <w:r>
        <w:rPr/>
        <w:t>more.</w:t>
      </w:r>
      <w:r>
        <w:rPr>
          <w:spacing w:val="-13"/>
        </w:rPr>
        <w:t> </w:t>
      </w:r>
      <w:r>
        <w:rPr/>
        <w:t>Alternatively, if a youth over 18 is released from DYS, and there was not a dismissed C&amp;P or CRA, then youth may be able to sign back in with DCF depending on federal eligibility.</w:t>
      </w:r>
    </w:p>
    <w:p>
      <w:pPr>
        <w:pStyle w:val="BodyText"/>
        <w:spacing w:line="276" w:lineRule="auto" w:before="240"/>
        <w:ind w:left="483" w:right="344"/>
        <w:jc w:val="both"/>
      </w:pPr>
      <w:r>
        <w:rPr/>
        <w:t>The</w:t>
      </w:r>
      <w:r>
        <w:rPr>
          <w:spacing w:val="-8"/>
        </w:rPr>
        <w:t> </w:t>
      </w:r>
      <w:r>
        <w:rPr/>
        <w:t>Commission</w:t>
      </w:r>
      <w:r>
        <w:rPr>
          <w:spacing w:val="-8"/>
        </w:rPr>
        <w:t> </w:t>
      </w:r>
      <w:r>
        <w:rPr/>
        <w:t>furthers</w:t>
      </w:r>
      <w:r>
        <w:rPr>
          <w:spacing w:val="-7"/>
        </w:rPr>
        <w:t> </w:t>
      </w:r>
      <w:r>
        <w:rPr/>
        <w:t>its</w:t>
      </w:r>
      <w:r>
        <w:rPr>
          <w:spacing w:val="-7"/>
        </w:rPr>
        <w:t> </w:t>
      </w:r>
      <w:r>
        <w:rPr/>
        <w:t>recommendation</w:t>
      </w:r>
      <w:r>
        <w:rPr>
          <w:spacing w:val="-8"/>
        </w:rPr>
        <w:t> </w:t>
      </w:r>
      <w:r>
        <w:rPr/>
        <w:t>to</w:t>
      </w:r>
      <w:r>
        <w:rPr>
          <w:spacing w:val="-7"/>
        </w:rPr>
        <w:t> </w:t>
      </w:r>
      <w:r>
        <w:rPr/>
        <w:t>highlight</w:t>
      </w:r>
      <w:r>
        <w:rPr>
          <w:spacing w:val="-7"/>
        </w:rPr>
        <w:t> </w:t>
      </w:r>
      <w:r>
        <w:rPr/>
        <w:t>the</w:t>
      </w:r>
      <w:r>
        <w:rPr>
          <w:spacing w:val="-6"/>
        </w:rPr>
        <w:t> </w:t>
      </w:r>
      <w:r>
        <w:rPr/>
        <w:t>critical</w:t>
      </w:r>
      <w:r>
        <w:rPr>
          <w:spacing w:val="-8"/>
        </w:rPr>
        <w:t> </w:t>
      </w:r>
      <w:r>
        <w:rPr/>
        <w:t>need</w:t>
      </w:r>
      <w:r>
        <w:rPr>
          <w:spacing w:val="-7"/>
        </w:rPr>
        <w:t> </w:t>
      </w:r>
      <w:r>
        <w:rPr/>
        <w:t>for</w:t>
      </w:r>
      <w:r>
        <w:rPr>
          <w:spacing w:val="-7"/>
        </w:rPr>
        <w:t> </w:t>
      </w:r>
      <w:r>
        <w:rPr/>
        <w:t>agencies,</w:t>
      </w:r>
      <w:r>
        <w:rPr>
          <w:spacing w:val="-7"/>
        </w:rPr>
        <w:t> </w:t>
      </w:r>
      <w:r>
        <w:rPr/>
        <w:t>including</w:t>
      </w:r>
      <w:r>
        <w:rPr>
          <w:spacing w:val="-8"/>
        </w:rPr>
        <w:t> </w:t>
      </w:r>
      <w:r>
        <w:rPr/>
        <w:t>DCF,</w:t>
      </w:r>
      <w:r>
        <w:rPr>
          <w:spacing w:val="-7"/>
        </w:rPr>
        <w:t> </w:t>
      </w:r>
      <w:r>
        <w:rPr/>
        <w:t>to create</w:t>
      </w:r>
      <w:r>
        <w:rPr>
          <w:spacing w:val="-2"/>
        </w:rPr>
        <w:t> </w:t>
      </w:r>
      <w:r>
        <w:rPr/>
        <w:t>clear</w:t>
      </w:r>
      <w:r>
        <w:rPr>
          <w:spacing w:val="-1"/>
        </w:rPr>
        <w:t> </w:t>
      </w:r>
      <w:r>
        <w:rPr/>
        <w:t>implementation</w:t>
      </w:r>
      <w:r>
        <w:rPr>
          <w:spacing w:val="-3"/>
        </w:rPr>
        <w:t> </w:t>
      </w:r>
      <w:r>
        <w:rPr/>
        <w:t>and</w:t>
      </w:r>
      <w:r>
        <w:rPr>
          <w:spacing w:val="-2"/>
        </w:rPr>
        <w:t> </w:t>
      </w:r>
      <w:r>
        <w:rPr/>
        <w:t>process</w:t>
      </w:r>
      <w:r>
        <w:rPr>
          <w:spacing w:val="-2"/>
        </w:rPr>
        <w:t> </w:t>
      </w:r>
      <w:r>
        <w:rPr/>
        <w:t>resources</w:t>
      </w:r>
      <w:r>
        <w:rPr>
          <w:spacing w:val="-2"/>
        </w:rPr>
        <w:t> </w:t>
      </w:r>
      <w:r>
        <w:rPr/>
        <w:t>that</w:t>
      </w:r>
      <w:r>
        <w:rPr>
          <w:spacing w:val="-3"/>
        </w:rPr>
        <w:t> </w:t>
      </w:r>
      <w:r>
        <w:rPr/>
        <w:t>are</w:t>
      </w:r>
      <w:r>
        <w:rPr>
          <w:spacing w:val="-3"/>
        </w:rPr>
        <w:t> </w:t>
      </w:r>
      <w:r>
        <w:rPr/>
        <w:t>accessible</w:t>
      </w:r>
      <w:r>
        <w:rPr>
          <w:spacing w:val="-3"/>
        </w:rPr>
        <w:t> </w:t>
      </w:r>
      <w:r>
        <w:rPr/>
        <w:t>to</w:t>
      </w:r>
      <w:r>
        <w:rPr>
          <w:spacing w:val="-2"/>
        </w:rPr>
        <w:t> </w:t>
      </w:r>
      <w:r>
        <w:rPr/>
        <w:t>staff</w:t>
      </w:r>
      <w:r>
        <w:rPr>
          <w:spacing w:val="-1"/>
        </w:rPr>
        <w:t> </w:t>
      </w:r>
      <w:r>
        <w:rPr/>
        <w:t>who</w:t>
      </w:r>
      <w:r>
        <w:rPr>
          <w:spacing w:val="-2"/>
        </w:rPr>
        <w:t> </w:t>
      </w:r>
      <w:r>
        <w:rPr/>
        <w:t>often</w:t>
      </w:r>
      <w:r>
        <w:rPr>
          <w:spacing w:val="-2"/>
        </w:rPr>
        <w:t> </w:t>
      </w:r>
      <w:r>
        <w:rPr/>
        <w:t>misunderstand</w:t>
      </w:r>
    </w:p>
    <w:p>
      <w:pPr>
        <w:pStyle w:val="BodyText"/>
        <w:spacing w:line="268" w:lineRule="exact"/>
        <w:ind w:left="483"/>
        <w:jc w:val="both"/>
      </w:pPr>
      <w:r>
        <w:rPr/>
        <w:t>-</w:t>
      </w:r>
      <w:r>
        <w:rPr>
          <w:spacing w:val="-7"/>
        </w:rPr>
        <w:t> </w:t>
      </w:r>
      <w:r>
        <w:rPr/>
        <w:t>or</w:t>
      </w:r>
      <w:r>
        <w:rPr>
          <w:spacing w:val="-6"/>
        </w:rPr>
        <w:t> </w:t>
      </w:r>
      <w:r>
        <w:rPr/>
        <w:t>are</w:t>
      </w:r>
      <w:r>
        <w:rPr>
          <w:spacing w:val="-6"/>
        </w:rPr>
        <w:t> </w:t>
      </w:r>
      <w:r>
        <w:rPr/>
        <w:t>simply</w:t>
      </w:r>
      <w:r>
        <w:rPr>
          <w:spacing w:val="-7"/>
        </w:rPr>
        <w:t> </w:t>
      </w:r>
      <w:r>
        <w:rPr/>
        <w:t>unaware</w:t>
      </w:r>
      <w:r>
        <w:rPr>
          <w:spacing w:val="-6"/>
        </w:rPr>
        <w:t> </w:t>
      </w:r>
      <w:r>
        <w:rPr/>
        <w:t>-</w:t>
      </w:r>
      <w:r>
        <w:rPr>
          <w:spacing w:val="-5"/>
        </w:rPr>
        <w:t> </w:t>
      </w:r>
      <w:r>
        <w:rPr/>
        <w:t>of</w:t>
      </w:r>
      <w:r>
        <w:rPr>
          <w:spacing w:val="-6"/>
        </w:rPr>
        <w:t> </w:t>
      </w:r>
      <w:r>
        <w:rPr/>
        <w:t>the</w:t>
      </w:r>
      <w:r>
        <w:rPr>
          <w:spacing w:val="-6"/>
        </w:rPr>
        <w:t> </w:t>
      </w:r>
      <w:r>
        <w:rPr/>
        <w:t>duties,</w:t>
      </w:r>
      <w:r>
        <w:rPr>
          <w:spacing w:val="-6"/>
        </w:rPr>
        <w:t> </w:t>
      </w:r>
      <w:r>
        <w:rPr/>
        <w:t>resources,</w:t>
      </w:r>
      <w:r>
        <w:rPr>
          <w:spacing w:val="-6"/>
        </w:rPr>
        <w:t> </w:t>
      </w:r>
      <w:r>
        <w:rPr/>
        <w:t>and</w:t>
      </w:r>
      <w:r>
        <w:rPr>
          <w:spacing w:val="-7"/>
        </w:rPr>
        <w:t> </w:t>
      </w:r>
      <w:r>
        <w:rPr/>
        <w:t>programs</w:t>
      </w:r>
      <w:r>
        <w:rPr>
          <w:spacing w:val="-6"/>
        </w:rPr>
        <w:t> </w:t>
      </w:r>
      <w:r>
        <w:rPr/>
        <w:t>of</w:t>
      </w:r>
      <w:r>
        <w:rPr>
          <w:spacing w:val="-6"/>
        </w:rPr>
        <w:t> </w:t>
      </w:r>
      <w:r>
        <w:rPr/>
        <w:t>all</w:t>
      </w:r>
      <w:r>
        <w:rPr>
          <w:spacing w:val="-6"/>
        </w:rPr>
        <w:t> </w:t>
      </w:r>
      <w:r>
        <w:rPr/>
        <w:t>child-serving</w:t>
      </w:r>
      <w:r>
        <w:rPr>
          <w:spacing w:val="-7"/>
        </w:rPr>
        <w:t> </w:t>
      </w:r>
      <w:r>
        <w:rPr>
          <w:spacing w:val="-2"/>
        </w:rPr>
        <w:t>agencies.</w:t>
      </w:r>
    </w:p>
    <w:p>
      <w:pPr>
        <w:spacing w:after="0" w:line="268" w:lineRule="exact"/>
        <w:jc w:val="both"/>
        <w:sectPr>
          <w:pgSz w:w="12240" w:h="15840"/>
          <w:pgMar w:header="804" w:footer="1263" w:top="1000" w:bottom="1460" w:left="960" w:right="1100"/>
        </w:sectPr>
      </w:pPr>
    </w:p>
    <w:p>
      <w:pPr>
        <w:numPr>
          <w:ilvl w:val="0"/>
          <w:numId w:val="36"/>
        </w:numPr>
        <w:tabs>
          <w:tab w:pos="481" w:val="left" w:leader="none"/>
          <w:tab w:pos="483" w:val="left" w:leader="none"/>
        </w:tabs>
        <w:spacing w:line="276" w:lineRule="auto" w:before="139"/>
        <w:ind w:left="483" w:right="346" w:hanging="360"/>
        <w:jc w:val="left"/>
        <w:rPr>
          <w:b/>
          <w:sz w:val="22"/>
        </w:rPr>
      </w:pPr>
      <w:r>
        <w:rPr>
          <w:b/>
          <w:sz w:val="22"/>
        </w:rPr>
        <w:t>Improve</w:t>
      </w:r>
      <w:r>
        <w:rPr>
          <w:b/>
          <w:spacing w:val="24"/>
          <w:sz w:val="22"/>
        </w:rPr>
        <w:t> </w:t>
      </w:r>
      <w:r>
        <w:rPr>
          <w:b/>
          <w:sz w:val="22"/>
        </w:rPr>
        <w:t>family</w:t>
      </w:r>
      <w:r>
        <w:rPr>
          <w:b/>
          <w:spacing w:val="23"/>
          <w:sz w:val="22"/>
        </w:rPr>
        <w:t> </w:t>
      </w:r>
      <w:r>
        <w:rPr>
          <w:b/>
          <w:sz w:val="22"/>
        </w:rPr>
        <w:t>preservation</w:t>
      </w:r>
      <w:r>
        <w:rPr>
          <w:b/>
          <w:spacing w:val="24"/>
          <w:sz w:val="22"/>
        </w:rPr>
        <w:t> </w:t>
      </w:r>
      <w:r>
        <w:rPr>
          <w:b/>
          <w:sz w:val="22"/>
        </w:rPr>
        <w:t>services</w:t>
      </w:r>
      <w:r>
        <w:rPr>
          <w:b/>
          <w:spacing w:val="24"/>
          <w:sz w:val="22"/>
        </w:rPr>
        <w:t> </w:t>
      </w:r>
      <w:r>
        <w:rPr>
          <w:b/>
          <w:sz w:val="22"/>
        </w:rPr>
        <w:t>to</w:t>
      </w:r>
      <w:r>
        <w:rPr>
          <w:b/>
          <w:spacing w:val="22"/>
          <w:sz w:val="22"/>
        </w:rPr>
        <w:t> </w:t>
      </w:r>
      <w:r>
        <w:rPr>
          <w:b/>
          <w:sz w:val="22"/>
        </w:rPr>
        <w:t>safely</w:t>
      </w:r>
      <w:r>
        <w:rPr>
          <w:b/>
          <w:spacing w:val="24"/>
          <w:sz w:val="22"/>
        </w:rPr>
        <w:t> </w:t>
      </w:r>
      <w:r>
        <w:rPr>
          <w:b/>
          <w:sz w:val="22"/>
        </w:rPr>
        <w:t>monitor</w:t>
      </w:r>
      <w:r>
        <w:rPr>
          <w:b/>
          <w:spacing w:val="25"/>
          <w:sz w:val="22"/>
        </w:rPr>
        <w:t> </w:t>
      </w:r>
      <w:r>
        <w:rPr>
          <w:b/>
          <w:sz w:val="22"/>
        </w:rPr>
        <w:t>and</w:t>
      </w:r>
      <w:r>
        <w:rPr>
          <w:b/>
          <w:spacing w:val="24"/>
          <w:sz w:val="22"/>
        </w:rPr>
        <w:t> </w:t>
      </w:r>
      <w:r>
        <w:rPr>
          <w:b/>
          <w:sz w:val="22"/>
        </w:rPr>
        <w:t>mitigate</w:t>
      </w:r>
      <w:r>
        <w:rPr>
          <w:b/>
          <w:spacing w:val="24"/>
          <w:sz w:val="22"/>
        </w:rPr>
        <w:t> </w:t>
      </w:r>
      <w:r>
        <w:rPr>
          <w:b/>
          <w:sz w:val="22"/>
        </w:rPr>
        <w:t>concerns</w:t>
      </w:r>
      <w:r>
        <w:rPr>
          <w:b/>
          <w:spacing w:val="23"/>
          <w:sz w:val="22"/>
        </w:rPr>
        <w:t> </w:t>
      </w:r>
      <w:r>
        <w:rPr>
          <w:b/>
          <w:sz w:val="22"/>
        </w:rPr>
        <w:t>that</w:t>
      </w:r>
      <w:r>
        <w:rPr>
          <w:b/>
          <w:spacing w:val="23"/>
          <w:sz w:val="22"/>
        </w:rPr>
        <w:t> </w:t>
      </w:r>
      <w:r>
        <w:rPr>
          <w:b/>
          <w:sz w:val="22"/>
        </w:rPr>
        <w:t>may</w:t>
      </w:r>
      <w:r>
        <w:rPr>
          <w:b/>
          <w:spacing w:val="24"/>
          <w:sz w:val="22"/>
        </w:rPr>
        <w:t> </w:t>
      </w:r>
      <w:r>
        <w:rPr>
          <w:b/>
          <w:sz w:val="22"/>
        </w:rPr>
        <w:t>lead</w:t>
      </w:r>
      <w:r>
        <w:rPr>
          <w:b/>
          <w:spacing w:val="24"/>
          <w:sz w:val="22"/>
        </w:rPr>
        <w:t> </w:t>
      </w:r>
      <w:r>
        <w:rPr>
          <w:b/>
          <w:sz w:val="22"/>
        </w:rPr>
        <w:t>to</w:t>
      </w:r>
      <w:r>
        <w:rPr>
          <w:b/>
          <w:spacing w:val="23"/>
          <w:sz w:val="22"/>
        </w:rPr>
        <w:t> </w:t>
      </w:r>
      <w:r>
        <w:rPr>
          <w:b/>
          <w:sz w:val="22"/>
        </w:rPr>
        <w:t>the removal of a child, with consideration to ensuring de facto parent preservation.</w:t>
      </w:r>
    </w:p>
    <w:p>
      <w:pPr>
        <w:pStyle w:val="BodyText"/>
        <w:spacing w:line="276" w:lineRule="auto" w:before="239"/>
        <w:ind w:left="483" w:right="339"/>
        <w:jc w:val="both"/>
      </w:pPr>
      <w:r>
        <w:rPr/>
        <w:t>As it continues to work with DCF to improve services and programs engaging LGBTQ youth in the child welfare system, the Commission recommends that DCF work to improve its family preservation services to better monitor and address concerns that may lead to the removal of a child. The Commission makes this recommendation with particular attention to mitigating the disparate experiences that many BIPOC families</w:t>
      </w:r>
      <w:r>
        <w:rPr>
          <w:spacing w:val="-10"/>
        </w:rPr>
        <w:t> </w:t>
      </w:r>
      <w:r>
        <w:rPr/>
        <w:t>have</w:t>
      </w:r>
      <w:r>
        <w:rPr>
          <w:spacing w:val="-9"/>
        </w:rPr>
        <w:t> </w:t>
      </w:r>
      <w:r>
        <w:rPr/>
        <w:t>that</w:t>
      </w:r>
      <w:r>
        <w:rPr>
          <w:spacing w:val="-9"/>
        </w:rPr>
        <w:t> </w:t>
      </w:r>
      <w:r>
        <w:rPr/>
        <w:t>might</w:t>
      </w:r>
      <w:r>
        <w:rPr>
          <w:spacing w:val="-11"/>
        </w:rPr>
        <w:t> </w:t>
      </w:r>
      <w:r>
        <w:rPr/>
        <w:t>lead</w:t>
      </w:r>
      <w:r>
        <w:rPr>
          <w:spacing w:val="-10"/>
        </w:rPr>
        <w:t> </w:t>
      </w:r>
      <w:r>
        <w:rPr/>
        <w:t>to</w:t>
      </w:r>
      <w:r>
        <w:rPr>
          <w:spacing w:val="-10"/>
        </w:rPr>
        <w:t> </w:t>
      </w:r>
      <w:r>
        <w:rPr/>
        <w:t>DCF</w:t>
      </w:r>
      <w:r>
        <w:rPr>
          <w:spacing w:val="-10"/>
        </w:rPr>
        <w:t> </w:t>
      </w:r>
      <w:r>
        <w:rPr/>
        <w:t>investigations.</w:t>
      </w:r>
      <w:r>
        <w:rPr>
          <w:spacing w:val="-9"/>
        </w:rPr>
        <w:t> </w:t>
      </w:r>
      <w:r>
        <w:rPr/>
        <w:t>It</w:t>
      </w:r>
      <w:r>
        <w:rPr>
          <w:spacing w:val="-9"/>
        </w:rPr>
        <w:t> </w:t>
      </w:r>
      <w:r>
        <w:rPr/>
        <w:t>is</w:t>
      </w:r>
      <w:r>
        <w:rPr>
          <w:spacing w:val="-10"/>
        </w:rPr>
        <w:t> </w:t>
      </w:r>
      <w:r>
        <w:rPr/>
        <w:t>the</w:t>
      </w:r>
      <w:r>
        <w:rPr>
          <w:spacing w:val="-10"/>
        </w:rPr>
        <w:t> </w:t>
      </w:r>
      <w:r>
        <w:rPr/>
        <w:t>Commission’s</w:t>
      </w:r>
      <w:r>
        <w:rPr>
          <w:spacing w:val="-10"/>
        </w:rPr>
        <w:t> </w:t>
      </w:r>
      <w:r>
        <w:rPr/>
        <w:t>understanding</w:t>
      </w:r>
      <w:r>
        <w:rPr>
          <w:spacing w:val="-9"/>
        </w:rPr>
        <w:t> </w:t>
      </w:r>
      <w:r>
        <w:rPr/>
        <w:t>that</w:t>
      </w:r>
      <w:r>
        <w:rPr>
          <w:spacing w:val="-9"/>
        </w:rPr>
        <w:t> </w:t>
      </w:r>
      <w:r>
        <w:rPr/>
        <w:t>much</w:t>
      </w:r>
      <w:r>
        <w:rPr>
          <w:spacing w:val="-10"/>
        </w:rPr>
        <w:t> </w:t>
      </w:r>
      <w:r>
        <w:rPr/>
        <w:t>of</w:t>
      </w:r>
      <w:r>
        <w:rPr>
          <w:spacing w:val="-10"/>
        </w:rPr>
        <w:t> </w:t>
      </w:r>
      <w:r>
        <w:rPr/>
        <w:t>the existing services DCF provides to support family preservation are housed within the agency’s contracts with</w:t>
      </w:r>
      <w:r>
        <w:rPr>
          <w:spacing w:val="-6"/>
        </w:rPr>
        <w:t> </w:t>
      </w:r>
      <w:r>
        <w:rPr/>
        <w:t>family</w:t>
      </w:r>
      <w:r>
        <w:rPr>
          <w:spacing w:val="-5"/>
        </w:rPr>
        <w:t> </w:t>
      </w:r>
      <w:r>
        <w:rPr/>
        <w:t>resource</w:t>
      </w:r>
      <w:r>
        <w:rPr>
          <w:spacing w:val="-5"/>
        </w:rPr>
        <w:t> </w:t>
      </w:r>
      <w:r>
        <w:rPr/>
        <w:t>centers,</w:t>
      </w:r>
      <w:r>
        <w:rPr>
          <w:spacing w:val="-6"/>
        </w:rPr>
        <w:t> </w:t>
      </w:r>
      <w:r>
        <w:rPr/>
        <w:t>area</w:t>
      </w:r>
      <w:r>
        <w:rPr>
          <w:spacing w:val="-6"/>
        </w:rPr>
        <w:t> </w:t>
      </w:r>
      <w:r>
        <w:rPr/>
        <w:t>resource</w:t>
      </w:r>
      <w:r>
        <w:rPr>
          <w:spacing w:val="-5"/>
        </w:rPr>
        <w:t> </w:t>
      </w:r>
      <w:r>
        <w:rPr/>
        <w:t>coordinators,</w:t>
      </w:r>
      <w:r>
        <w:rPr>
          <w:spacing w:val="-6"/>
        </w:rPr>
        <w:t> </w:t>
      </w:r>
      <w:r>
        <w:rPr/>
        <w:t>and</w:t>
      </w:r>
      <w:r>
        <w:rPr>
          <w:spacing w:val="-7"/>
        </w:rPr>
        <w:t> </w:t>
      </w:r>
      <w:r>
        <w:rPr/>
        <w:t>its</w:t>
      </w:r>
      <w:r>
        <w:rPr>
          <w:spacing w:val="-6"/>
        </w:rPr>
        <w:t> </w:t>
      </w:r>
      <w:r>
        <w:rPr/>
        <w:t>own</w:t>
      </w:r>
      <w:r>
        <w:rPr>
          <w:spacing w:val="-7"/>
        </w:rPr>
        <w:t> </w:t>
      </w:r>
      <w:r>
        <w:rPr/>
        <w:t>single</w:t>
      </w:r>
      <w:r>
        <w:rPr>
          <w:spacing w:val="-7"/>
        </w:rPr>
        <w:t> </w:t>
      </w:r>
      <w:r>
        <w:rPr/>
        <w:t>family</w:t>
      </w:r>
      <w:r>
        <w:rPr>
          <w:spacing w:val="-6"/>
        </w:rPr>
        <w:t> </w:t>
      </w:r>
      <w:r>
        <w:rPr/>
        <w:t>preservation</w:t>
      </w:r>
      <w:r>
        <w:rPr>
          <w:spacing w:val="-7"/>
        </w:rPr>
        <w:t> </w:t>
      </w:r>
      <w:r>
        <w:rPr/>
        <w:t>unit.</w:t>
      </w:r>
      <w:r>
        <w:rPr>
          <w:spacing w:val="-6"/>
        </w:rPr>
        <w:t> </w:t>
      </w:r>
      <w:r>
        <w:rPr/>
        <w:t>The Commission</w:t>
      </w:r>
      <w:r>
        <w:rPr>
          <w:spacing w:val="-13"/>
        </w:rPr>
        <w:t> </w:t>
      </w:r>
      <w:r>
        <w:rPr/>
        <w:t>further</w:t>
      </w:r>
      <w:r>
        <w:rPr>
          <w:spacing w:val="-12"/>
        </w:rPr>
        <w:t> </w:t>
      </w:r>
      <w:r>
        <w:rPr/>
        <w:t>recommends</w:t>
      </w:r>
      <w:r>
        <w:rPr>
          <w:spacing w:val="-13"/>
        </w:rPr>
        <w:t> </w:t>
      </w:r>
      <w:r>
        <w:rPr/>
        <w:t>that</w:t>
      </w:r>
      <w:r>
        <w:rPr>
          <w:spacing w:val="-12"/>
        </w:rPr>
        <w:t> </w:t>
      </w:r>
      <w:r>
        <w:rPr/>
        <w:t>DCF</w:t>
      </w:r>
      <w:r>
        <w:rPr>
          <w:spacing w:val="-13"/>
        </w:rPr>
        <w:t> </w:t>
      </w:r>
      <w:r>
        <w:rPr/>
        <w:t>more</w:t>
      </w:r>
      <w:r>
        <w:rPr>
          <w:spacing w:val="-12"/>
        </w:rPr>
        <w:t> </w:t>
      </w:r>
      <w:r>
        <w:rPr/>
        <w:t>transparently</w:t>
      </w:r>
      <w:r>
        <w:rPr>
          <w:spacing w:val="-13"/>
        </w:rPr>
        <w:t> </w:t>
      </w:r>
      <w:r>
        <w:rPr/>
        <w:t>indicate</w:t>
      </w:r>
      <w:r>
        <w:rPr>
          <w:spacing w:val="-12"/>
        </w:rPr>
        <w:t> </w:t>
      </w:r>
      <w:r>
        <w:rPr/>
        <w:t>the</w:t>
      </w:r>
      <w:r>
        <w:rPr>
          <w:spacing w:val="-12"/>
        </w:rPr>
        <w:t> </w:t>
      </w:r>
      <w:r>
        <w:rPr/>
        <w:t>goals</w:t>
      </w:r>
      <w:r>
        <w:rPr>
          <w:spacing w:val="-13"/>
        </w:rPr>
        <w:t> </w:t>
      </w:r>
      <w:r>
        <w:rPr/>
        <w:t>and</w:t>
      </w:r>
      <w:r>
        <w:rPr>
          <w:spacing w:val="-12"/>
        </w:rPr>
        <w:t> </w:t>
      </w:r>
      <w:r>
        <w:rPr/>
        <w:t>services</w:t>
      </w:r>
      <w:r>
        <w:rPr>
          <w:spacing w:val="-13"/>
        </w:rPr>
        <w:t> </w:t>
      </w:r>
      <w:r>
        <w:rPr/>
        <w:t>of</w:t>
      </w:r>
      <w:r>
        <w:rPr>
          <w:spacing w:val="-12"/>
        </w:rPr>
        <w:t> </w:t>
      </w:r>
      <w:r>
        <w:rPr/>
        <w:t>the</w:t>
      </w:r>
      <w:r>
        <w:rPr>
          <w:spacing w:val="-13"/>
        </w:rPr>
        <w:t> </w:t>
      </w:r>
      <w:r>
        <w:rPr/>
        <w:t>units, and examines the accountability systems that exist within its agency contracts to ensure that its established</w:t>
      </w:r>
      <w:r>
        <w:rPr>
          <w:spacing w:val="-4"/>
        </w:rPr>
        <w:t> </w:t>
      </w:r>
      <w:r>
        <w:rPr/>
        <w:t>partnerships</w:t>
      </w:r>
      <w:r>
        <w:rPr>
          <w:spacing w:val="-5"/>
        </w:rPr>
        <w:t> </w:t>
      </w:r>
      <w:r>
        <w:rPr/>
        <w:t>are</w:t>
      </w:r>
      <w:r>
        <w:rPr>
          <w:spacing w:val="-5"/>
        </w:rPr>
        <w:t> </w:t>
      </w:r>
      <w:r>
        <w:rPr/>
        <w:t>leading</w:t>
      </w:r>
      <w:r>
        <w:rPr>
          <w:spacing w:val="-4"/>
        </w:rPr>
        <w:t> </w:t>
      </w:r>
      <w:r>
        <w:rPr/>
        <w:t>to</w:t>
      </w:r>
      <w:r>
        <w:rPr>
          <w:spacing w:val="-3"/>
        </w:rPr>
        <w:t> </w:t>
      </w:r>
      <w:r>
        <w:rPr/>
        <w:t>increases</w:t>
      </w:r>
      <w:r>
        <w:rPr>
          <w:spacing w:val="-5"/>
        </w:rPr>
        <w:t> </w:t>
      </w:r>
      <w:r>
        <w:rPr/>
        <w:t>in</w:t>
      </w:r>
      <w:r>
        <w:rPr>
          <w:spacing w:val="-5"/>
        </w:rPr>
        <w:t> </w:t>
      </w:r>
      <w:r>
        <w:rPr/>
        <w:t>family</w:t>
      </w:r>
      <w:r>
        <w:rPr>
          <w:spacing w:val="-4"/>
        </w:rPr>
        <w:t> </w:t>
      </w:r>
      <w:r>
        <w:rPr/>
        <w:t>preservation.</w:t>
      </w:r>
      <w:r>
        <w:rPr>
          <w:spacing w:val="-4"/>
        </w:rPr>
        <w:t> </w:t>
      </w:r>
      <w:r>
        <w:rPr/>
        <w:t>Additionally,</w:t>
      </w:r>
      <w:r>
        <w:rPr>
          <w:spacing w:val="-5"/>
        </w:rPr>
        <w:t> </w:t>
      </w:r>
      <w:r>
        <w:rPr/>
        <w:t>DCF</w:t>
      </w:r>
      <w:r>
        <w:rPr>
          <w:spacing w:val="-5"/>
        </w:rPr>
        <w:t> </w:t>
      </w:r>
      <w:r>
        <w:rPr/>
        <w:t>should</w:t>
      </w:r>
      <w:r>
        <w:rPr>
          <w:spacing w:val="-4"/>
        </w:rPr>
        <w:t> </w:t>
      </w:r>
      <w:r>
        <w:rPr/>
        <w:t>explore and transparently report on its own commitment to ensuring family preservation through better consideration of LGBTQ families and de facto parentage.</w:t>
      </w:r>
    </w:p>
    <w:p>
      <w:pPr>
        <w:pStyle w:val="BodyText"/>
        <w:spacing w:line="276" w:lineRule="auto" w:before="240"/>
        <w:ind w:left="483" w:right="338"/>
        <w:jc w:val="both"/>
      </w:pPr>
      <w:r>
        <w:rPr/>
        <w:t>Finally,</w:t>
      </w:r>
      <w:r>
        <w:rPr>
          <w:spacing w:val="-6"/>
        </w:rPr>
        <w:t> </w:t>
      </w:r>
      <w:r>
        <w:rPr/>
        <w:t>the</w:t>
      </w:r>
      <w:r>
        <w:rPr>
          <w:spacing w:val="-7"/>
        </w:rPr>
        <w:t> </w:t>
      </w:r>
      <w:r>
        <w:rPr/>
        <w:t>Commission</w:t>
      </w:r>
      <w:r>
        <w:rPr>
          <w:spacing w:val="-7"/>
        </w:rPr>
        <w:t> </w:t>
      </w:r>
      <w:r>
        <w:rPr/>
        <w:t>advises</w:t>
      </w:r>
      <w:r>
        <w:rPr>
          <w:spacing w:val="-6"/>
        </w:rPr>
        <w:t> </w:t>
      </w:r>
      <w:r>
        <w:rPr/>
        <w:t>that</w:t>
      </w:r>
      <w:r>
        <w:rPr>
          <w:spacing w:val="-7"/>
        </w:rPr>
        <w:t> </w:t>
      </w:r>
      <w:r>
        <w:rPr/>
        <w:t>DCF</w:t>
      </w:r>
      <w:r>
        <w:rPr>
          <w:spacing w:val="-7"/>
        </w:rPr>
        <w:t> </w:t>
      </w:r>
      <w:r>
        <w:rPr/>
        <w:t>should</w:t>
      </w:r>
      <w:r>
        <w:rPr>
          <w:spacing w:val="-7"/>
        </w:rPr>
        <w:t> </w:t>
      </w:r>
      <w:r>
        <w:rPr/>
        <w:t>improve</w:t>
      </w:r>
      <w:r>
        <w:rPr>
          <w:spacing w:val="-7"/>
        </w:rPr>
        <w:t> </w:t>
      </w:r>
      <w:r>
        <w:rPr/>
        <w:t>its</w:t>
      </w:r>
      <w:r>
        <w:rPr>
          <w:spacing w:val="-6"/>
        </w:rPr>
        <w:t> </w:t>
      </w:r>
      <w:r>
        <w:rPr/>
        <w:t>services</w:t>
      </w:r>
      <w:r>
        <w:rPr>
          <w:spacing w:val="-6"/>
        </w:rPr>
        <w:t> </w:t>
      </w:r>
      <w:r>
        <w:rPr/>
        <w:t>to</w:t>
      </w:r>
      <w:r>
        <w:rPr>
          <w:spacing w:val="-6"/>
        </w:rPr>
        <w:t> </w:t>
      </w:r>
      <w:r>
        <w:rPr/>
        <w:t>better</w:t>
      </w:r>
      <w:r>
        <w:rPr>
          <w:spacing w:val="-6"/>
        </w:rPr>
        <w:t> </w:t>
      </w:r>
      <w:r>
        <w:rPr/>
        <w:t>address</w:t>
      </w:r>
      <w:r>
        <w:rPr>
          <w:spacing w:val="-6"/>
        </w:rPr>
        <w:t> </w:t>
      </w:r>
      <w:r>
        <w:rPr/>
        <w:t>situations</w:t>
      </w:r>
      <w:r>
        <w:rPr>
          <w:spacing w:val="-6"/>
        </w:rPr>
        <w:t> </w:t>
      </w:r>
      <w:r>
        <w:rPr/>
        <w:t>in</w:t>
      </w:r>
      <w:r>
        <w:rPr>
          <w:spacing w:val="-7"/>
        </w:rPr>
        <w:t> </w:t>
      </w:r>
      <w:r>
        <w:rPr/>
        <w:t>which LGBTQ youth are reunified with families where there is a risk of repeated maltreatment or removals.</w:t>
      </w:r>
    </w:p>
    <w:p>
      <w:pPr>
        <w:numPr>
          <w:ilvl w:val="0"/>
          <w:numId w:val="36"/>
        </w:numPr>
        <w:tabs>
          <w:tab w:pos="481" w:val="left" w:leader="none"/>
          <w:tab w:pos="483" w:val="left" w:leader="none"/>
        </w:tabs>
        <w:spacing w:line="276" w:lineRule="auto" w:before="239"/>
        <w:ind w:left="483" w:right="344" w:hanging="360"/>
        <w:jc w:val="left"/>
        <w:rPr>
          <w:b/>
          <w:sz w:val="22"/>
        </w:rPr>
      </w:pPr>
      <w:r>
        <w:rPr>
          <w:b/>
          <w:sz w:val="22"/>
        </w:rPr>
        <w:t>Collaborate with the Commission and providers to create an LGBTQ parent education curriculum to</w:t>
      </w:r>
      <w:r>
        <w:rPr>
          <w:b/>
          <w:spacing w:val="40"/>
          <w:sz w:val="22"/>
        </w:rPr>
        <w:t> </w:t>
      </w:r>
      <w:r>
        <w:rPr>
          <w:b/>
          <w:sz w:val="22"/>
        </w:rPr>
        <w:t>better support family preservation services.</w:t>
      </w:r>
    </w:p>
    <w:p>
      <w:pPr>
        <w:pStyle w:val="BodyText"/>
        <w:spacing w:line="276" w:lineRule="auto" w:before="240"/>
        <w:ind w:left="483" w:right="344"/>
        <w:jc w:val="both"/>
      </w:pPr>
      <w:r>
        <w:rPr/>
        <w:t>The Commission strongly recommends that DCF partner with the Commission and other community partners to create an education curriculum for parents of LGBTQ youth to uplift and support youth in need of DCF oversight and services; such a curriculum could work in tandem with existing or new family preservation programs.</w:t>
      </w:r>
    </w:p>
    <w:p>
      <w:pPr>
        <w:numPr>
          <w:ilvl w:val="0"/>
          <w:numId w:val="36"/>
        </w:numPr>
        <w:tabs>
          <w:tab w:pos="481" w:val="left" w:leader="none"/>
          <w:tab w:pos="483" w:val="left" w:leader="none"/>
        </w:tabs>
        <w:spacing w:line="276" w:lineRule="auto" w:before="241"/>
        <w:ind w:left="483" w:right="342" w:hanging="360"/>
        <w:jc w:val="left"/>
        <w:rPr>
          <w:b/>
          <w:sz w:val="22"/>
        </w:rPr>
      </w:pPr>
      <w:r>
        <w:rPr>
          <w:b/>
          <w:sz w:val="22"/>
        </w:rPr>
        <w:t>Improve</w:t>
      </w:r>
      <w:r>
        <w:rPr>
          <w:b/>
          <w:spacing w:val="40"/>
          <w:sz w:val="22"/>
        </w:rPr>
        <w:t> </w:t>
      </w:r>
      <w:r>
        <w:rPr>
          <w:b/>
          <w:sz w:val="22"/>
        </w:rPr>
        <w:t>curriculum</w:t>
      </w:r>
      <w:r>
        <w:rPr>
          <w:b/>
          <w:spacing w:val="40"/>
          <w:sz w:val="22"/>
        </w:rPr>
        <w:t> </w:t>
      </w:r>
      <w:r>
        <w:rPr>
          <w:b/>
          <w:sz w:val="22"/>
        </w:rPr>
        <w:t>offerings,</w:t>
      </w:r>
      <w:r>
        <w:rPr>
          <w:b/>
          <w:spacing w:val="40"/>
          <w:sz w:val="22"/>
        </w:rPr>
        <w:t> </w:t>
      </w:r>
      <w:r>
        <w:rPr>
          <w:b/>
          <w:sz w:val="22"/>
        </w:rPr>
        <w:t>programs,</w:t>
      </w:r>
      <w:r>
        <w:rPr>
          <w:b/>
          <w:spacing w:val="40"/>
          <w:sz w:val="22"/>
        </w:rPr>
        <w:t> </w:t>
      </w:r>
      <w:r>
        <w:rPr>
          <w:b/>
          <w:sz w:val="22"/>
        </w:rPr>
        <w:t>and</w:t>
      </w:r>
      <w:r>
        <w:rPr>
          <w:b/>
          <w:spacing w:val="40"/>
          <w:sz w:val="22"/>
        </w:rPr>
        <w:t> </w:t>
      </w:r>
      <w:r>
        <w:rPr>
          <w:b/>
          <w:sz w:val="22"/>
        </w:rPr>
        <w:t>resources</w:t>
      </w:r>
      <w:r>
        <w:rPr>
          <w:b/>
          <w:spacing w:val="40"/>
          <w:sz w:val="22"/>
        </w:rPr>
        <w:t> </w:t>
      </w:r>
      <w:r>
        <w:rPr>
          <w:b/>
          <w:sz w:val="22"/>
        </w:rPr>
        <w:t>provided</w:t>
      </w:r>
      <w:r>
        <w:rPr>
          <w:b/>
          <w:spacing w:val="40"/>
          <w:sz w:val="22"/>
        </w:rPr>
        <w:t> </w:t>
      </w:r>
      <w:r>
        <w:rPr>
          <w:b/>
          <w:sz w:val="22"/>
        </w:rPr>
        <w:t>to</w:t>
      </w:r>
      <w:r>
        <w:rPr>
          <w:b/>
          <w:spacing w:val="40"/>
          <w:sz w:val="22"/>
        </w:rPr>
        <w:t> </w:t>
      </w:r>
      <w:r>
        <w:rPr>
          <w:b/>
          <w:sz w:val="22"/>
        </w:rPr>
        <w:t>youth,</w:t>
      </w:r>
      <w:r>
        <w:rPr>
          <w:b/>
          <w:spacing w:val="40"/>
          <w:sz w:val="22"/>
        </w:rPr>
        <w:t> </w:t>
      </w:r>
      <w:r>
        <w:rPr>
          <w:b/>
          <w:sz w:val="22"/>
        </w:rPr>
        <w:t>and</w:t>
      </w:r>
      <w:r>
        <w:rPr>
          <w:b/>
          <w:spacing w:val="40"/>
          <w:sz w:val="22"/>
        </w:rPr>
        <w:t> </w:t>
      </w:r>
      <w:r>
        <w:rPr>
          <w:b/>
          <w:sz w:val="22"/>
        </w:rPr>
        <w:t>provide</w:t>
      </w:r>
      <w:r>
        <w:rPr>
          <w:b/>
          <w:spacing w:val="40"/>
          <w:sz w:val="22"/>
        </w:rPr>
        <w:t> </w:t>
      </w:r>
      <w:r>
        <w:rPr>
          <w:b/>
          <w:sz w:val="22"/>
        </w:rPr>
        <w:t>training opportunities for staff and youth on system navigation.</w:t>
      </w:r>
    </w:p>
    <w:p>
      <w:pPr>
        <w:pStyle w:val="BodyText"/>
        <w:spacing w:line="276" w:lineRule="auto" w:before="239"/>
        <w:ind w:left="483" w:right="341"/>
        <w:jc w:val="both"/>
      </w:pPr>
      <w:r>
        <w:rPr/>
        <w:t>Expanding on this recommendation from FY 2024, the Commission continues to recommend that DCF improve</w:t>
      </w:r>
      <w:r>
        <w:rPr>
          <w:spacing w:val="-8"/>
        </w:rPr>
        <w:t> </w:t>
      </w:r>
      <w:r>
        <w:rPr/>
        <w:t>its</w:t>
      </w:r>
      <w:r>
        <w:rPr>
          <w:spacing w:val="-7"/>
        </w:rPr>
        <w:t> </w:t>
      </w:r>
      <w:r>
        <w:rPr/>
        <w:t>approach</w:t>
      </w:r>
      <w:r>
        <w:rPr>
          <w:spacing w:val="-7"/>
        </w:rPr>
        <w:t> </w:t>
      </w:r>
      <w:r>
        <w:rPr/>
        <w:t>to</w:t>
      </w:r>
      <w:r>
        <w:rPr>
          <w:spacing w:val="-6"/>
        </w:rPr>
        <w:t> </w:t>
      </w:r>
      <w:r>
        <w:rPr/>
        <w:t>offering</w:t>
      </w:r>
      <w:r>
        <w:rPr>
          <w:spacing w:val="-7"/>
        </w:rPr>
        <w:t> </w:t>
      </w:r>
      <w:r>
        <w:rPr/>
        <w:t>comprehensive</w:t>
      </w:r>
      <w:r>
        <w:rPr>
          <w:spacing w:val="-6"/>
        </w:rPr>
        <w:t> </w:t>
      </w:r>
      <w:r>
        <w:rPr/>
        <w:t>LGBTQ-inclusive</w:t>
      </w:r>
      <w:r>
        <w:rPr>
          <w:spacing w:val="-6"/>
        </w:rPr>
        <w:t> </w:t>
      </w:r>
      <w:r>
        <w:rPr/>
        <w:t>sexual</w:t>
      </w:r>
      <w:r>
        <w:rPr>
          <w:spacing w:val="-6"/>
        </w:rPr>
        <w:t> </w:t>
      </w:r>
      <w:r>
        <w:rPr/>
        <w:t>health</w:t>
      </w:r>
      <w:r>
        <w:rPr>
          <w:spacing w:val="-5"/>
        </w:rPr>
        <w:t> </w:t>
      </w:r>
      <w:r>
        <w:rPr/>
        <w:t>education,</w:t>
      </w:r>
      <w:r>
        <w:rPr>
          <w:spacing w:val="-6"/>
        </w:rPr>
        <w:t> </w:t>
      </w:r>
      <w:r>
        <w:rPr/>
        <w:t>but</w:t>
      </w:r>
      <w:r>
        <w:rPr>
          <w:spacing w:val="-8"/>
        </w:rPr>
        <w:t> </w:t>
      </w:r>
      <w:r>
        <w:rPr/>
        <w:t>also</w:t>
      </w:r>
      <w:r>
        <w:rPr>
          <w:spacing w:val="-6"/>
        </w:rPr>
        <w:t> </w:t>
      </w:r>
      <w:r>
        <w:rPr/>
        <w:t>that</w:t>
      </w:r>
      <w:r>
        <w:rPr>
          <w:spacing w:val="-7"/>
        </w:rPr>
        <w:t> </w:t>
      </w:r>
      <w:r>
        <w:rPr/>
        <w:t>it works</w:t>
      </w:r>
      <w:r>
        <w:rPr>
          <w:spacing w:val="-13"/>
        </w:rPr>
        <w:t> </w:t>
      </w:r>
      <w:r>
        <w:rPr/>
        <w:t>to</w:t>
      </w:r>
      <w:r>
        <w:rPr>
          <w:spacing w:val="-12"/>
        </w:rPr>
        <w:t> </w:t>
      </w:r>
      <w:r>
        <w:rPr/>
        <w:t>expand</w:t>
      </w:r>
      <w:r>
        <w:rPr>
          <w:spacing w:val="-13"/>
        </w:rPr>
        <w:t> </w:t>
      </w:r>
      <w:r>
        <w:rPr/>
        <w:t>its</w:t>
      </w:r>
      <w:r>
        <w:rPr>
          <w:spacing w:val="-10"/>
        </w:rPr>
        <w:t> </w:t>
      </w:r>
      <w:r>
        <w:rPr/>
        <w:t>curriculum</w:t>
      </w:r>
      <w:r>
        <w:rPr>
          <w:spacing w:val="-12"/>
        </w:rPr>
        <w:t> </w:t>
      </w:r>
      <w:r>
        <w:rPr/>
        <w:t>and</w:t>
      </w:r>
      <w:r>
        <w:rPr>
          <w:spacing w:val="-12"/>
        </w:rPr>
        <w:t> </w:t>
      </w:r>
      <w:r>
        <w:rPr/>
        <w:t>programmatic</w:t>
      </w:r>
      <w:r>
        <w:rPr>
          <w:spacing w:val="-13"/>
        </w:rPr>
        <w:t> </w:t>
      </w:r>
      <w:r>
        <w:rPr/>
        <w:t>offerings</w:t>
      </w:r>
      <w:r>
        <w:rPr>
          <w:spacing w:val="-11"/>
        </w:rPr>
        <w:t> </w:t>
      </w:r>
      <w:r>
        <w:rPr/>
        <w:t>for</w:t>
      </w:r>
      <w:r>
        <w:rPr>
          <w:spacing w:val="-12"/>
        </w:rPr>
        <w:t> </w:t>
      </w:r>
      <w:r>
        <w:rPr/>
        <w:t>youth</w:t>
      </w:r>
      <w:r>
        <w:rPr>
          <w:spacing w:val="-13"/>
        </w:rPr>
        <w:t> </w:t>
      </w:r>
      <w:r>
        <w:rPr/>
        <w:t>who</w:t>
      </w:r>
      <w:r>
        <w:rPr>
          <w:spacing w:val="-12"/>
        </w:rPr>
        <w:t> </w:t>
      </w:r>
      <w:r>
        <w:rPr/>
        <w:t>are</w:t>
      </w:r>
      <w:r>
        <w:rPr>
          <w:spacing w:val="-13"/>
        </w:rPr>
        <w:t> </w:t>
      </w:r>
      <w:r>
        <w:rPr/>
        <w:t>expected</w:t>
      </w:r>
      <w:r>
        <w:rPr>
          <w:spacing w:val="-11"/>
        </w:rPr>
        <w:t> </w:t>
      </w:r>
      <w:r>
        <w:rPr/>
        <w:t>to</w:t>
      </w:r>
      <w:r>
        <w:rPr>
          <w:spacing w:val="-12"/>
        </w:rPr>
        <w:t> </w:t>
      </w:r>
      <w:r>
        <w:rPr/>
        <w:t>age</w:t>
      </w:r>
      <w:r>
        <w:rPr>
          <w:spacing w:val="-13"/>
        </w:rPr>
        <w:t> </w:t>
      </w:r>
      <w:r>
        <w:rPr/>
        <w:t>out</w:t>
      </w:r>
      <w:r>
        <w:rPr>
          <w:spacing w:val="-12"/>
        </w:rPr>
        <w:t> </w:t>
      </w:r>
      <w:r>
        <w:rPr/>
        <w:t>of</w:t>
      </w:r>
      <w:r>
        <w:rPr>
          <w:spacing w:val="-11"/>
        </w:rPr>
        <w:t> </w:t>
      </w:r>
      <w:r>
        <w:rPr/>
        <w:t>care. Far too often, the Commission has heard from youth and community providers that youth are not appropriately prepared to age out of care with the resources and skills needed to thrive. Since FY 2023, the Commission and DCF have been in conversations around DCF’s current skills curriculum being provided to youth, the PAYA program, through DCF’s Adolescent Youth Services Unit. It is the Commission’s understanding that DCF is currently reviewing its current PAYA curriculum, which has not been</w:t>
      </w:r>
      <w:r>
        <w:rPr>
          <w:spacing w:val="-4"/>
        </w:rPr>
        <w:t> </w:t>
      </w:r>
      <w:r>
        <w:rPr/>
        <w:t>updated</w:t>
      </w:r>
      <w:r>
        <w:rPr>
          <w:spacing w:val="-5"/>
        </w:rPr>
        <w:t> </w:t>
      </w:r>
      <w:r>
        <w:rPr/>
        <w:t>for</w:t>
      </w:r>
      <w:r>
        <w:rPr>
          <w:spacing w:val="-5"/>
        </w:rPr>
        <w:t> </w:t>
      </w:r>
      <w:r>
        <w:rPr/>
        <w:t>over</w:t>
      </w:r>
      <w:r>
        <w:rPr>
          <w:spacing w:val="-5"/>
        </w:rPr>
        <w:t> </w:t>
      </w:r>
      <w:r>
        <w:rPr/>
        <w:t>a</w:t>
      </w:r>
      <w:r>
        <w:rPr>
          <w:spacing w:val="-5"/>
        </w:rPr>
        <w:t> </w:t>
      </w:r>
      <w:r>
        <w:rPr/>
        <w:t>decade,</w:t>
      </w:r>
      <w:r>
        <w:rPr>
          <w:spacing w:val="-5"/>
        </w:rPr>
        <w:t> </w:t>
      </w:r>
      <w:r>
        <w:rPr/>
        <w:t>and</w:t>
      </w:r>
      <w:r>
        <w:rPr>
          <w:spacing w:val="-5"/>
        </w:rPr>
        <w:t> </w:t>
      </w:r>
      <w:r>
        <w:rPr/>
        <w:t>is</w:t>
      </w:r>
      <w:r>
        <w:rPr>
          <w:spacing w:val="-4"/>
        </w:rPr>
        <w:t> </w:t>
      </w:r>
      <w:r>
        <w:rPr/>
        <w:t>preparing</w:t>
      </w:r>
      <w:r>
        <w:rPr>
          <w:spacing w:val="-4"/>
        </w:rPr>
        <w:t> </w:t>
      </w:r>
      <w:r>
        <w:rPr/>
        <w:t>to</w:t>
      </w:r>
      <w:r>
        <w:rPr>
          <w:spacing w:val="-5"/>
        </w:rPr>
        <w:t> </w:t>
      </w:r>
      <w:r>
        <w:rPr/>
        <w:t>integrate</w:t>
      </w:r>
      <w:r>
        <w:rPr>
          <w:spacing w:val="-5"/>
        </w:rPr>
        <w:t> </w:t>
      </w:r>
      <w:r>
        <w:rPr/>
        <w:t>comprehensive</w:t>
      </w:r>
      <w:r>
        <w:rPr>
          <w:spacing w:val="-5"/>
        </w:rPr>
        <w:t> </w:t>
      </w:r>
      <w:r>
        <w:rPr/>
        <w:t>LGBTQ-inclusive,</w:t>
      </w:r>
      <w:r>
        <w:rPr>
          <w:spacing w:val="-5"/>
        </w:rPr>
        <w:t> </w:t>
      </w:r>
      <w:r>
        <w:rPr/>
        <w:t>culturally appropriate, and medically-accurate sexual health education into the curriculum. Furthermore, DCF is in the final stages of uploading the curriculum to a new mobile platform which would provide better accessibility for youth and workers, as well as allow the agency to perform more frequent reviews and live updates.</w:t>
      </w:r>
    </w:p>
    <w:p>
      <w:pPr>
        <w:spacing w:after="0" w:line="276" w:lineRule="auto"/>
        <w:jc w:val="both"/>
        <w:sectPr>
          <w:pgSz w:w="12240" w:h="15840"/>
          <w:pgMar w:header="804" w:footer="1263" w:top="1000" w:bottom="1460" w:left="960" w:right="1100"/>
        </w:sectPr>
      </w:pPr>
    </w:p>
    <w:p>
      <w:pPr>
        <w:pStyle w:val="BodyText"/>
        <w:spacing w:line="276" w:lineRule="auto" w:before="139"/>
        <w:ind w:left="483" w:right="343"/>
        <w:jc w:val="both"/>
      </w:pPr>
      <w:r>
        <w:rPr/>
        <w:t>The Commission greatly appreciates this modernizing approach to the program, and also recommends that</w:t>
      </w:r>
      <w:r>
        <w:rPr>
          <w:spacing w:val="-11"/>
        </w:rPr>
        <w:t> </w:t>
      </w:r>
      <w:r>
        <w:rPr/>
        <w:t>DCF</w:t>
      </w:r>
      <w:r>
        <w:rPr>
          <w:spacing w:val="-11"/>
        </w:rPr>
        <w:t> </w:t>
      </w:r>
      <w:r>
        <w:rPr/>
        <w:t>explore</w:t>
      </w:r>
      <w:r>
        <w:rPr>
          <w:spacing w:val="-12"/>
        </w:rPr>
        <w:t> </w:t>
      </w:r>
      <w:r>
        <w:rPr/>
        <w:t>ways</w:t>
      </w:r>
      <w:r>
        <w:rPr>
          <w:spacing w:val="-11"/>
        </w:rPr>
        <w:t> </w:t>
      </w:r>
      <w:r>
        <w:rPr/>
        <w:t>to</w:t>
      </w:r>
      <w:r>
        <w:rPr>
          <w:spacing w:val="-10"/>
        </w:rPr>
        <w:t> </w:t>
      </w:r>
      <w:r>
        <w:rPr/>
        <w:t>provide</w:t>
      </w:r>
      <w:r>
        <w:rPr>
          <w:spacing w:val="-12"/>
        </w:rPr>
        <w:t> </w:t>
      </w:r>
      <w:r>
        <w:rPr/>
        <w:t>youth</w:t>
      </w:r>
      <w:r>
        <w:rPr>
          <w:spacing w:val="-9"/>
        </w:rPr>
        <w:t> </w:t>
      </w:r>
      <w:r>
        <w:rPr/>
        <w:t>with</w:t>
      </w:r>
      <w:r>
        <w:rPr>
          <w:spacing w:val="-12"/>
        </w:rPr>
        <w:t> </w:t>
      </w:r>
      <w:r>
        <w:rPr/>
        <w:t>avenues</w:t>
      </w:r>
      <w:r>
        <w:rPr>
          <w:spacing w:val="-9"/>
        </w:rPr>
        <w:t> </w:t>
      </w:r>
      <w:r>
        <w:rPr/>
        <w:t>to</w:t>
      </w:r>
      <w:r>
        <w:rPr>
          <w:spacing w:val="-11"/>
        </w:rPr>
        <w:t> </w:t>
      </w:r>
      <w:r>
        <w:rPr/>
        <w:t>hold</w:t>
      </w:r>
      <w:r>
        <w:rPr>
          <w:spacing w:val="-10"/>
        </w:rPr>
        <w:t> </w:t>
      </w:r>
      <w:r>
        <w:rPr/>
        <w:t>DCF</w:t>
      </w:r>
      <w:r>
        <w:rPr>
          <w:spacing w:val="-11"/>
        </w:rPr>
        <w:t> </w:t>
      </w:r>
      <w:r>
        <w:rPr/>
        <w:t>accountable</w:t>
      </w:r>
      <w:r>
        <w:rPr>
          <w:spacing w:val="-10"/>
        </w:rPr>
        <w:t> </w:t>
      </w:r>
      <w:r>
        <w:rPr/>
        <w:t>for</w:t>
      </w:r>
      <w:r>
        <w:rPr>
          <w:spacing w:val="-11"/>
        </w:rPr>
        <w:t> </w:t>
      </w:r>
      <w:r>
        <w:rPr/>
        <w:t>ensuring</w:t>
      </w:r>
      <w:r>
        <w:rPr>
          <w:spacing w:val="-10"/>
        </w:rPr>
        <w:t> </w:t>
      </w:r>
      <w:r>
        <w:rPr/>
        <w:t>that</w:t>
      </w:r>
      <w:r>
        <w:rPr>
          <w:spacing w:val="-12"/>
        </w:rPr>
        <w:t> </w:t>
      </w:r>
      <w:r>
        <w:rPr/>
        <w:t>the</w:t>
      </w:r>
      <w:r>
        <w:rPr>
          <w:spacing w:val="-10"/>
        </w:rPr>
        <w:t> </w:t>
      </w:r>
      <w:r>
        <w:rPr/>
        <w:t>needs of</w:t>
      </w:r>
      <w:r>
        <w:rPr>
          <w:spacing w:val="-2"/>
        </w:rPr>
        <w:t> </w:t>
      </w:r>
      <w:r>
        <w:rPr/>
        <w:t>youth</w:t>
      </w:r>
      <w:r>
        <w:rPr>
          <w:spacing w:val="-2"/>
        </w:rPr>
        <w:t> </w:t>
      </w:r>
      <w:r>
        <w:rPr/>
        <w:t>- particularly</w:t>
      </w:r>
      <w:r>
        <w:rPr>
          <w:spacing w:val="-1"/>
        </w:rPr>
        <w:t> </w:t>
      </w:r>
      <w:r>
        <w:rPr/>
        <w:t>around</w:t>
      </w:r>
      <w:r>
        <w:rPr>
          <w:spacing w:val="-2"/>
        </w:rPr>
        <w:t> </w:t>
      </w:r>
      <w:r>
        <w:rPr/>
        <w:t>documentation</w:t>
      </w:r>
      <w:r>
        <w:rPr>
          <w:spacing w:val="-2"/>
        </w:rPr>
        <w:t> </w:t>
      </w:r>
      <w:r>
        <w:rPr/>
        <w:t>-</w:t>
      </w:r>
      <w:r>
        <w:rPr>
          <w:spacing w:val="-1"/>
        </w:rPr>
        <w:t> </w:t>
      </w:r>
      <w:r>
        <w:rPr/>
        <w:t>are</w:t>
      </w:r>
      <w:r>
        <w:rPr>
          <w:spacing w:val="-1"/>
        </w:rPr>
        <w:t> </w:t>
      </w:r>
      <w:r>
        <w:rPr/>
        <w:t>being</w:t>
      </w:r>
      <w:r>
        <w:rPr>
          <w:spacing w:val="-1"/>
        </w:rPr>
        <w:t> </w:t>
      </w:r>
      <w:r>
        <w:rPr/>
        <w:t>met.</w:t>
      </w:r>
      <w:r>
        <w:rPr>
          <w:spacing w:val="-2"/>
        </w:rPr>
        <w:t> </w:t>
      </w:r>
      <w:r>
        <w:rPr/>
        <w:t>In</w:t>
      </w:r>
      <w:r>
        <w:rPr>
          <w:spacing w:val="-2"/>
        </w:rPr>
        <w:t> </w:t>
      </w:r>
      <w:r>
        <w:rPr/>
        <w:t>previous</w:t>
      </w:r>
      <w:r>
        <w:rPr>
          <w:spacing w:val="-1"/>
        </w:rPr>
        <w:t> </w:t>
      </w:r>
      <w:r>
        <w:rPr/>
        <w:t>meetings,</w:t>
      </w:r>
      <w:r>
        <w:rPr>
          <w:spacing w:val="-2"/>
        </w:rPr>
        <w:t> </w:t>
      </w:r>
      <w:r>
        <w:rPr/>
        <w:t>the</w:t>
      </w:r>
      <w:r>
        <w:rPr>
          <w:spacing w:val="-1"/>
        </w:rPr>
        <w:t> </w:t>
      </w:r>
      <w:r>
        <w:rPr/>
        <w:t>Commission</w:t>
      </w:r>
      <w:r>
        <w:rPr>
          <w:spacing w:val="-2"/>
        </w:rPr>
        <w:t> </w:t>
      </w:r>
      <w:r>
        <w:rPr/>
        <w:t>has similarly</w:t>
      </w:r>
      <w:r>
        <w:rPr>
          <w:spacing w:val="-2"/>
        </w:rPr>
        <w:t> </w:t>
      </w:r>
      <w:r>
        <w:rPr/>
        <w:t>recommended</w:t>
      </w:r>
      <w:r>
        <w:rPr>
          <w:spacing w:val="-1"/>
        </w:rPr>
        <w:t> </w:t>
      </w:r>
      <w:r>
        <w:rPr/>
        <w:t>the</w:t>
      </w:r>
      <w:r>
        <w:rPr>
          <w:spacing w:val="-2"/>
        </w:rPr>
        <w:t> </w:t>
      </w:r>
      <w:r>
        <w:rPr/>
        <w:t>development</w:t>
      </w:r>
      <w:r>
        <w:rPr>
          <w:spacing w:val="-2"/>
        </w:rPr>
        <w:t> </w:t>
      </w:r>
      <w:r>
        <w:rPr/>
        <w:t>of</w:t>
      </w:r>
      <w:r>
        <w:rPr>
          <w:spacing w:val="-2"/>
        </w:rPr>
        <w:t> </w:t>
      </w:r>
      <w:r>
        <w:rPr/>
        <w:t>an</w:t>
      </w:r>
      <w:r>
        <w:rPr>
          <w:spacing w:val="-1"/>
        </w:rPr>
        <w:t> </w:t>
      </w:r>
      <w:r>
        <w:rPr/>
        <w:t>app</w:t>
      </w:r>
      <w:r>
        <w:rPr>
          <w:spacing w:val="-1"/>
        </w:rPr>
        <w:t> </w:t>
      </w:r>
      <w:r>
        <w:rPr/>
        <w:t>that</w:t>
      </w:r>
      <w:r>
        <w:rPr>
          <w:spacing w:val="-2"/>
        </w:rPr>
        <w:t> </w:t>
      </w:r>
      <w:r>
        <w:rPr/>
        <w:t>would</w:t>
      </w:r>
      <w:r>
        <w:rPr>
          <w:spacing w:val="-1"/>
        </w:rPr>
        <w:t> </w:t>
      </w:r>
      <w:r>
        <w:rPr/>
        <w:t>be shared</w:t>
      </w:r>
      <w:r>
        <w:rPr>
          <w:spacing w:val="-2"/>
        </w:rPr>
        <w:t> </w:t>
      </w:r>
      <w:r>
        <w:rPr/>
        <w:t>with</w:t>
      </w:r>
      <w:r>
        <w:rPr>
          <w:spacing w:val="-1"/>
        </w:rPr>
        <w:t> </w:t>
      </w:r>
      <w:r>
        <w:rPr/>
        <w:t>DCF</w:t>
      </w:r>
      <w:r>
        <w:rPr>
          <w:spacing w:val="-2"/>
        </w:rPr>
        <w:t> </w:t>
      </w:r>
      <w:r>
        <w:rPr/>
        <w:t>youth</w:t>
      </w:r>
      <w:r>
        <w:rPr>
          <w:spacing w:val="-2"/>
        </w:rPr>
        <w:t> </w:t>
      </w:r>
      <w:r>
        <w:rPr/>
        <w:t>and</w:t>
      </w:r>
      <w:r>
        <w:rPr>
          <w:spacing w:val="-2"/>
        </w:rPr>
        <w:t> </w:t>
      </w:r>
      <w:r>
        <w:rPr/>
        <w:t>families to provide avenues for youth to submit and track requests, complete skills-building programs, and better find resources and information available to them.</w:t>
      </w:r>
    </w:p>
    <w:p>
      <w:pPr>
        <w:spacing w:line="276" w:lineRule="auto" w:before="239"/>
        <w:ind w:left="483" w:right="340" w:firstLine="0"/>
        <w:jc w:val="both"/>
        <w:rPr>
          <w:i/>
          <w:sz w:val="21"/>
        </w:rPr>
      </w:pPr>
      <w:r>
        <w:rPr>
          <w:i/>
          <w:sz w:val="21"/>
        </w:rPr>
        <w:t>Acknowledgments: The Commission sincerely thanks the contributions of its DCF staff liaisons and partners</w:t>
      </w:r>
      <w:r>
        <w:rPr>
          <w:i/>
          <w:sz w:val="21"/>
        </w:rPr>
        <w:t> through the DCF LGBTQIA+ Employee Resource Group.</w:t>
      </w:r>
    </w:p>
    <w:p>
      <w:pPr>
        <w:spacing w:after="0" w:line="276" w:lineRule="auto"/>
        <w:jc w:val="both"/>
        <w:rPr>
          <w:sz w:val="21"/>
        </w:rPr>
        <w:sectPr>
          <w:pgSz w:w="12240" w:h="15840"/>
          <w:pgMar w:header="804" w:footer="1263" w:top="1000" w:bottom="1460" w:left="960" w:right="1100"/>
        </w:sectPr>
      </w:pPr>
    </w:p>
    <w:p>
      <w:pPr>
        <w:pStyle w:val="BodyText"/>
        <w:spacing w:before="137"/>
        <w:rPr>
          <w:i/>
          <w:sz w:val="40"/>
        </w:rPr>
      </w:pPr>
    </w:p>
    <w:p>
      <w:pPr>
        <w:pStyle w:val="Heading7"/>
        <w:spacing w:before="1"/>
      </w:pPr>
      <w:bookmarkStart w:name="_bookmark627" w:id="934"/>
      <w:bookmarkEnd w:id="934"/>
      <w:r>
        <w:rPr/>
      </w:r>
      <w:hyperlink w:history="true" w:anchor="_bookmark6">
        <w:r>
          <w:rPr>
            <w:color w:val="365F91"/>
            <w:spacing w:val="-8"/>
          </w:rPr>
          <w:t>Commission</w:t>
        </w:r>
        <w:r>
          <w:rPr>
            <w:color w:val="365F91"/>
            <w:spacing w:val="-15"/>
          </w:rPr>
          <w:t> </w:t>
        </w:r>
        <w:r>
          <w:rPr>
            <w:color w:val="365F91"/>
            <w:spacing w:val="-8"/>
          </w:rPr>
          <w:t>for</w:t>
        </w:r>
        <w:r>
          <w:rPr>
            <w:color w:val="365F91"/>
            <w:spacing w:val="-15"/>
          </w:rPr>
          <w:t> </w:t>
        </w:r>
        <w:r>
          <w:rPr>
            <w:color w:val="365F91"/>
            <w:spacing w:val="-8"/>
          </w:rPr>
          <w:t>the</w:t>
        </w:r>
        <w:r>
          <w:rPr>
            <w:color w:val="365F91"/>
            <w:spacing w:val="-13"/>
          </w:rPr>
          <w:t> </w:t>
        </w:r>
        <w:r>
          <w:rPr>
            <w:color w:val="365F91"/>
            <w:spacing w:val="-8"/>
          </w:rPr>
          <w:t>Blind</w:t>
        </w:r>
      </w:hyperlink>
    </w:p>
    <w:p>
      <w:pPr>
        <w:spacing w:before="313"/>
        <w:ind w:left="483" w:right="0" w:firstLine="0"/>
        <w:jc w:val="left"/>
        <w:rPr>
          <w:sz w:val="28"/>
        </w:rPr>
      </w:pPr>
      <w:r>
        <w:rPr>
          <w:color w:val="365F91"/>
          <w:sz w:val="28"/>
        </w:rPr>
        <w:t>FY</w:t>
      </w:r>
      <w:r>
        <w:rPr>
          <w:color w:val="365F91"/>
          <w:spacing w:val="-7"/>
          <w:sz w:val="28"/>
        </w:rPr>
        <w:t> </w:t>
      </w:r>
      <w:r>
        <w:rPr>
          <w:color w:val="365F91"/>
          <w:sz w:val="28"/>
        </w:rPr>
        <w:t>2025</w:t>
      </w:r>
      <w:r>
        <w:rPr>
          <w:color w:val="365F91"/>
          <w:spacing w:val="-6"/>
          <w:sz w:val="28"/>
        </w:rPr>
        <w:t> </w:t>
      </w:r>
      <w:r>
        <w:rPr>
          <w:color w:val="365F91"/>
          <w:spacing w:val="-2"/>
          <w:sz w:val="28"/>
        </w:rPr>
        <w:t>Recommendations</w:t>
      </w:r>
    </w:p>
    <w:p>
      <w:pPr>
        <w:pStyle w:val="BodyText"/>
        <w:spacing w:before="9"/>
        <w:rPr>
          <w:sz w:val="3"/>
        </w:rPr>
      </w:pPr>
      <w:r>
        <w:rPr/>
        <mc:AlternateContent>
          <mc:Choice Requires="wps">
            <w:drawing>
              <wp:anchor distT="0" distB="0" distL="0" distR="0" allowOverlap="1" layoutInCell="1" locked="0" behindDoc="1" simplePos="0" relativeHeight="487697920">
                <wp:simplePos x="0" y="0"/>
                <wp:positionH relativeFrom="page">
                  <wp:posOffset>897636</wp:posOffset>
                </wp:positionH>
                <wp:positionV relativeFrom="paragraph">
                  <wp:posOffset>44780</wp:posOffset>
                </wp:positionV>
                <wp:extent cx="5976620" cy="6350"/>
                <wp:effectExtent l="0" t="0" r="0" b="0"/>
                <wp:wrapTopAndBottom/>
                <wp:docPr id="568" name="Graphic 568"/>
                <wp:cNvGraphicFramePr>
                  <a:graphicFrameLocks/>
                </wp:cNvGraphicFramePr>
                <a:graphic>
                  <a:graphicData uri="http://schemas.microsoft.com/office/word/2010/wordprocessingShape">
                    <wps:wsp>
                      <wps:cNvPr id="568" name="Graphic 568"/>
                      <wps:cNvSpPr/>
                      <wps:spPr>
                        <a:xfrm>
                          <a:off x="0" y="0"/>
                          <a:ext cx="5976620" cy="6350"/>
                        </a:xfrm>
                        <a:custGeom>
                          <a:avLst/>
                          <a:gdLst/>
                          <a:ahLst/>
                          <a:cxnLst/>
                          <a:rect l="l" t="t" r="r" b="b"/>
                          <a:pathLst>
                            <a:path w="5976620" h="6350">
                              <a:moveTo>
                                <a:pt x="5976366" y="0"/>
                              </a:moveTo>
                              <a:lnTo>
                                <a:pt x="0" y="0"/>
                              </a:lnTo>
                              <a:lnTo>
                                <a:pt x="0" y="6108"/>
                              </a:lnTo>
                              <a:lnTo>
                                <a:pt x="5976366" y="6108"/>
                              </a:lnTo>
                              <a:lnTo>
                                <a:pt x="5976366" y="0"/>
                              </a:lnTo>
                              <a:close/>
                            </a:path>
                          </a:pathLst>
                        </a:custGeom>
                        <a:solidFill>
                          <a:srgbClr val="4F81BC"/>
                        </a:solidFill>
                      </wps:spPr>
                      <wps:bodyPr wrap="square" lIns="0" tIns="0" rIns="0" bIns="0" rtlCol="0">
                        <a:prstTxWarp prst="textNoShape">
                          <a:avLst/>
                        </a:prstTxWarp>
                        <a:noAutofit/>
                      </wps:bodyPr>
                    </wps:wsp>
                  </a:graphicData>
                </a:graphic>
              </wp:anchor>
            </w:drawing>
          </mc:Choice>
          <mc:Fallback>
            <w:pict>
              <v:rect style="position:absolute;margin-left:70.680pt;margin-top:3.526031pt;width:470.58pt;height:.481pt;mso-position-horizontal-relative:page;mso-position-vertical-relative:paragraph;z-index:-15618560;mso-wrap-distance-left:0;mso-wrap-distance-right:0" id="docshape465" filled="true" fillcolor="#4f81bc" stroked="false">
                <v:fill type="solid"/>
                <w10:wrap type="topAndBottom"/>
              </v:rect>
            </w:pict>
          </mc:Fallback>
        </mc:AlternateContent>
      </w:r>
    </w:p>
    <w:p>
      <w:pPr>
        <w:pStyle w:val="ListParagraph"/>
        <w:numPr>
          <w:ilvl w:val="1"/>
          <w:numId w:val="36"/>
        </w:numPr>
        <w:tabs>
          <w:tab w:pos="1059" w:val="left" w:leader="none"/>
        </w:tabs>
        <w:spacing w:line="276" w:lineRule="auto" w:before="241" w:after="0"/>
        <w:ind w:left="1059" w:right="628" w:hanging="360"/>
        <w:jc w:val="left"/>
        <w:rPr>
          <w:sz w:val="21"/>
        </w:rPr>
      </w:pPr>
      <w:r>
        <w:rPr>
          <w:sz w:val="21"/>
        </w:rPr>
        <w:t>Provide professional development opportunities that prioritize intersectionality and center LGBTQ cultural engagement, racial equity, and adultism training sessions.</w:t>
      </w:r>
    </w:p>
    <w:p>
      <w:pPr>
        <w:pStyle w:val="ListParagraph"/>
        <w:numPr>
          <w:ilvl w:val="1"/>
          <w:numId w:val="36"/>
        </w:numPr>
        <w:tabs>
          <w:tab w:pos="1059" w:val="left" w:leader="none"/>
        </w:tabs>
        <w:spacing w:line="276" w:lineRule="auto" w:before="0" w:after="0"/>
        <w:ind w:left="1059" w:right="628" w:hanging="360"/>
        <w:jc w:val="left"/>
        <w:rPr>
          <w:sz w:val="21"/>
        </w:rPr>
      </w:pPr>
      <w:r>
        <w:rPr>
          <w:sz w:val="21"/>
        </w:rPr>
        <w:t>Revise SOGI data collection standards and data fields to include more expansive gender identity</w:t>
      </w:r>
      <w:r>
        <w:rPr>
          <w:spacing w:val="80"/>
          <w:w w:val="150"/>
          <w:sz w:val="21"/>
        </w:rPr>
        <w:t> </w:t>
      </w:r>
      <w:r>
        <w:rPr>
          <w:spacing w:val="-2"/>
          <w:sz w:val="21"/>
        </w:rPr>
        <w:t>markers.</w:t>
      </w:r>
    </w:p>
    <w:p>
      <w:pPr>
        <w:pStyle w:val="ListParagraph"/>
        <w:numPr>
          <w:ilvl w:val="1"/>
          <w:numId w:val="36"/>
        </w:numPr>
        <w:tabs>
          <w:tab w:pos="1059" w:val="left" w:leader="none"/>
        </w:tabs>
        <w:spacing w:line="276" w:lineRule="auto" w:before="1" w:after="0"/>
        <w:ind w:left="1059" w:right="630" w:hanging="360"/>
        <w:jc w:val="left"/>
        <w:rPr>
          <w:sz w:val="21"/>
        </w:rPr>
      </w:pPr>
      <w:r>
        <w:rPr>
          <w:sz w:val="21"/>
        </w:rPr>
        <w:t>Collaborate</w:t>
      </w:r>
      <w:r>
        <w:rPr>
          <w:spacing w:val="40"/>
          <w:sz w:val="21"/>
        </w:rPr>
        <w:t> </w:t>
      </w:r>
      <w:r>
        <w:rPr>
          <w:sz w:val="21"/>
        </w:rPr>
        <w:t>with</w:t>
      </w:r>
      <w:r>
        <w:rPr>
          <w:spacing w:val="40"/>
          <w:sz w:val="21"/>
        </w:rPr>
        <w:t> </w:t>
      </w:r>
      <w:r>
        <w:rPr>
          <w:sz w:val="21"/>
        </w:rPr>
        <w:t>the</w:t>
      </w:r>
      <w:r>
        <w:rPr>
          <w:spacing w:val="40"/>
          <w:sz w:val="21"/>
        </w:rPr>
        <w:t> </w:t>
      </w:r>
      <w:r>
        <w:rPr>
          <w:sz w:val="21"/>
        </w:rPr>
        <w:t>Commission,</w:t>
      </w:r>
      <w:r>
        <w:rPr>
          <w:spacing w:val="40"/>
          <w:sz w:val="21"/>
        </w:rPr>
        <w:t> </w:t>
      </w:r>
      <w:r>
        <w:rPr>
          <w:sz w:val="21"/>
        </w:rPr>
        <w:t>youth-serving</w:t>
      </w:r>
      <w:r>
        <w:rPr>
          <w:spacing w:val="40"/>
          <w:sz w:val="21"/>
        </w:rPr>
        <w:t> </w:t>
      </w:r>
      <w:r>
        <w:rPr>
          <w:sz w:val="21"/>
        </w:rPr>
        <w:t>agencies,</w:t>
      </w:r>
      <w:r>
        <w:rPr>
          <w:spacing w:val="40"/>
          <w:sz w:val="21"/>
        </w:rPr>
        <w:t> </w:t>
      </w:r>
      <w:r>
        <w:rPr>
          <w:sz w:val="21"/>
        </w:rPr>
        <w:t>and</w:t>
      </w:r>
      <w:r>
        <w:rPr>
          <w:spacing w:val="40"/>
          <w:sz w:val="21"/>
        </w:rPr>
        <w:t> </w:t>
      </w:r>
      <w:r>
        <w:rPr>
          <w:sz w:val="21"/>
        </w:rPr>
        <w:t>other</w:t>
      </w:r>
      <w:r>
        <w:rPr>
          <w:spacing w:val="40"/>
          <w:sz w:val="21"/>
        </w:rPr>
        <w:t> </w:t>
      </w:r>
      <w:r>
        <w:rPr>
          <w:sz w:val="21"/>
        </w:rPr>
        <w:t>community</w:t>
      </w:r>
      <w:r>
        <w:rPr>
          <w:spacing w:val="40"/>
          <w:sz w:val="21"/>
        </w:rPr>
        <w:t> </w:t>
      </w:r>
      <w:r>
        <w:rPr>
          <w:sz w:val="21"/>
        </w:rPr>
        <w:t>partners</w:t>
      </w:r>
      <w:r>
        <w:rPr>
          <w:spacing w:val="40"/>
          <w:sz w:val="21"/>
        </w:rPr>
        <w:t> </w:t>
      </w:r>
      <w:r>
        <w:rPr>
          <w:sz w:val="21"/>
        </w:rPr>
        <w:t>on resource development and community support.</w:t>
      </w:r>
    </w:p>
    <w:p>
      <w:pPr>
        <w:spacing w:before="239"/>
        <w:ind w:left="483" w:right="0" w:firstLine="0"/>
        <w:jc w:val="left"/>
        <w:rPr>
          <w:sz w:val="28"/>
        </w:rPr>
      </w:pPr>
      <w:r>
        <w:rPr>
          <w:color w:val="365F91"/>
          <w:spacing w:val="-2"/>
          <w:sz w:val="28"/>
        </w:rPr>
        <w:t>Introduction</w:t>
      </w:r>
    </w:p>
    <w:p>
      <w:pPr>
        <w:pStyle w:val="BodyText"/>
        <w:spacing w:before="10"/>
        <w:rPr>
          <w:sz w:val="3"/>
        </w:rPr>
      </w:pPr>
      <w:r>
        <w:rPr/>
        <mc:AlternateContent>
          <mc:Choice Requires="wps">
            <w:drawing>
              <wp:anchor distT="0" distB="0" distL="0" distR="0" allowOverlap="1" layoutInCell="1" locked="0" behindDoc="1" simplePos="0" relativeHeight="487698432">
                <wp:simplePos x="0" y="0"/>
                <wp:positionH relativeFrom="page">
                  <wp:posOffset>897636</wp:posOffset>
                </wp:positionH>
                <wp:positionV relativeFrom="paragraph">
                  <wp:posOffset>45214</wp:posOffset>
                </wp:positionV>
                <wp:extent cx="5976620" cy="6350"/>
                <wp:effectExtent l="0" t="0" r="0" b="0"/>
                <wp:wrapTopAndBottom/>
                <wp:docPr id="569" name="Graphic 569"/>
                <wp:cNvGraphicFramePr>
                  <a:graphicFrameLocks/>
                </wp:cNvGraphicFramePr>
                <a:graphic>
                  <a:graphicData uri="http://schemas.microsoft.com/office/word/2010/wordprocessingShape">
                    <wps:wsp>
                      <wps:cNvPr id="569" name="Graphic 569"/>
                      <wps:cNvSpPr/>
                      <wps:spPr>
                        <a:xfrm>
                          <a:off x="0" y="0"/>
                          <a:ext cx="5976620" cy="6350"/>
                        </a:xfrm>
                        <a:custGeom>
                          <a:avLst/>
                          <a:gdLst/>
                          <a:ahLst/>
                          <a:cxnLst/>
                          <a:rect l="l" t="t" r="r" b="b"/>
                          <a:pathLst>
                            <a:path w="5976620" h="6350">
                              <a:moveTo>
                                <a:pt x="5976366" y="0"/>
                              </a:moveTo>
                              <a:lnTo>
                                <a:pt x="0" y="0"/>
                              </a:lnTo>
                              <a:lnTo>
                                <a:pt x="0" y="6096"/>
                              </a:lnTo>
                              <a:lnTo>
                                <a:pt x="5976366" y="6096"/>
                              </a:lnTo>
                              <a:lnTo>
                                <a:pt x="5976366" y="0"/>
                              </a:lnTo>
                              <a:close/>
                            </a:path>
                          </a:pathLst>
                        </a:custGeom>
                        <a:solidFill>
                          <a:srgbClr val="4F81BC"/>
                        </a:solidFill>
                      </wps:spPr>
                      <wps:bodyPr wrap="square" lIns="0" tIns="0" rIns="0" bIns="0" rtlCol="0">
                        <a:prstTxWarp prst="textNoShape">
                          <a:avLst/>
                        </a:prstTxWarp>
                        <a:noAutofit/>
                      </wps:bodyPr>
                    </wps:wsp>
                  </a:graphicData>
                </a:graphic>
              </wp:anchor>
            </w:drawing>
          </mc:Choice>
          <mc:Fallback>
            <w:pict>
              <v:rect style="position:absolute;margin-left:70.680pt;margin-top:3.560215pt;width:470.58pt;height:.48pt;mso-position-horizontal-relative:page;mso-position-vertical-relative:paragraph;z-index:-15618048;mso-wrap-distance-left:0;mso-wrap-distance-right:0" id="docshape466" filled="true" fillcolor="#4f81bc" stroked="false">
                <v:fill type="solid"/>
                <w10:wrap type="topAndBottom"/>
              </v:rect>
            </w:pict>
          </mc:Fallback>
        </mc:AlternateContent>
      </w:r>
    </w:p>
    <w:p>
      <w:pPr>
        <w:spacing w:line="276" w:lineRule="auto" w:before="241"/>
        <w:ind w:left="483" w:right="339" w:firstLine="0"/>
        <w:jc w:val="both"/>
        <w:rPr>
          <w:sz w:val="21"/>
        </w:rPr>
      </w:pPr>
      <w:r>
        <w:rPr>
          <w:sz w:val="21"/>
        </w:rPr>
        <w:t>The Massachusetts Commission for the Blind (MCB) is the principal agency in the Commonwealth that works on behalf of people of all ages who are legally blind. MCB provides access to </w:t>
      </w:r>
      <w:hyperlink r:id="rId730">
        <w:r>
          <w:rPr>
            <w:color w:val="1153CC"/>
            <w:sz w:val="21"/>
            <w:u w:val="single" w:color="1153CC"/>
          </w:rPr>
          <w:t>vocational</w:t>
        </w:r>
      </w:hyperlink>
      <w:r>
        <w:rPr>
          <w:color w:val="1153CC"/>
          <w:sz w:val="21"/>
          <w:u w:val="none"/>
        </w:rPr>
        <w:t> </w:t>
      </w:r>
      <w:hyperlink r:id="rId730">
        <w:r>
          <w:rPr>
            <w:color w:val="1153CC"/>
            <w:sz w:val="21"/>
            <w:u w:val="single" w:color="1153CC"/>
          </w:rPr>
          <w:t>rehabilitation</w:t>
        </w:r>
      </w:hyperlink>
      <w:r>
        <w:rPr>
          <w:color w:val="1153CC"/>
          <w:sz w:val="21"/>
          <w:u w:val="none"/>
        </w:rPr>
        <w:t> </w:t>
      </w:r>
      <w:r>
        <w:rPr>
          <w:sz w:val="21"/>
          <w:u w:val="none"/>
        </w:rPr>
        <w:t>and employment opportunities, as well as </w:t>
      </w:r>
      <w:hyperlink r:id="rId731">
        <w:r>
          <w:rPr>
            <w:color w:val="1153CC"/>
            <w:sz w:val="21"/>
            <w:u w:val="single" w:color="1153CC"/>
          </w:rPr>
          <w:t>social rehabilitation</w:t>
        </w:r>
      </w:hyperlink>
      <w:r>
        <w:rPr>
          <w:color w:val="1153CC"/>
          <w:sz w:val="21"/>
          <w:u w:val="none"/>
        </w:rPr>
        <w:t> </w:t>
      </w:r>
      <w:r>
        <w:rPr>
          <w:sz w:val="21"/>
          <w:u w:val="none"/>
        </w:rPr>
        <w:t>to increase independence and self-empowerment. Regrettably, there exists very little research that examines the experiences of LGBTQ youth who are blind, or the accessibility of needed services. The Commission hopes that future studies and state surveys can provide information on these critical intersections to ensure that the experiences of blind LGBTQ youth in Massachusetts are not being ignored.</w:t>
      </w:r>
    </w:p>
    <w:p>
      <w:pPr>
        <w:spacing w:before="239"/>
        <w:ind w:left="483" w:right="0" w:firstLine="0"/>
        <w:jc w:val="both"/>
        <w:rPr>
          <w:sz w:val="24"/>
        </w:rPr>
      </w:pPr>
      <w:r>
        <w:rPr>
          <w:color w:val="365F91"/>
          <w:sz w:val="24"/>
        </w:rPr>
        <w:t>Past</w:t>
      </w:r>
      <w:r>
        <w:rPr>
          <w:color w:val="365F91"/>
          <w:spacing w:val="-5"/>
          <w:sz w:val="24"/>
        </w:rPr>
        <w:t> </w:t>
      </w:r>
      <w:r>
        <w:rPr>
          <w:color w:val="365F91"/>
          <w:sz w:val="24"/>
        </w:rPr>
        <w:t>&amp;</w:t>
      </w:r>
      <w:r>
        <w:rPr>
          <w:color w:val="365F91"/>
          <w:spacing w:val="-1"/>
          <w:sz w:val="24"/>
        </w:rPr>
        <w:t> </w:t>
      </w:r>
      <w:r>
        <w:rPr>
          <w:color w:val="365F91"/>
          <w:sz w:val="24"/>
        </w:rPr>
        <w:t>Ongoing</w:t>
      </w:r>
      <w:r>
        <w:rPr>
          <w:color w:val="365F91"/>
          <w:spacing w:val="-2"/>
          <w:sz w:val="24"/>
        </w:rPr>
        <w:t> </w:t>
      </w:r>
      <w:r>
        <w:rPr>
          <w:color w:val="365F91"/>
          <w:spacing w:val="-4"/>
          <w:sz w:val="24"/>
        </w:rPr>
        <w:t>Work</w:t>
      </w:r>
    </w:p>
    <w:p>
      <w:pPr>
        <w:spacing w:line="276" w:lineRule="auto" w:before="285"/>
        <w:ind w:left="483" w:right="339" w:firstLine="0"/>
        <w:jc w:val="both"/>
        <w:rPr>
          <w:sz w:val="21"/>
        </w:rPr>
      </w:pPr>
      <w:r>
        <w:rPr>
          <w:sz w:val="21"/>
        </w:rPr>
        <w:t>The Commission and MCB have had an ongoing relationship since FY 2018 that has yielded several positive results.</w:t>
      </w:r>
      <w:r>
        <w:rPr>
          <w:spacing w:val="-5"/>
          <w:sz w:val="21"/>
        </w:rPr>
        <w:t> </w:t>
      </w:r>
      <w:r>
        <w:rPr>
          <w:sz w:val="21"/>
        </w:rPr>
        <w:t>Since</w:t>
      </w:r>
      <w:r>
        <w:rPr>
          <w:spacing w:val="-3"/>
          <w:sz w:val="21"/>
        </w:rPr>
        <w:t> </w:t>
      </w:r>
      <w:r>
        <w:rPr>
          <w:sz w:val="21"/>
        </w:rPr>
        <w:t>2017,</w:t>
      </w:r>
      <w:r>
        <w:rPr>
          <w:spacing w:val="-4"/>
          <w:sz w:val="21"/>
        </w:rPr>
        <w:t> </w:t>
      </w:r>
      <w:r>
        <w:rPr>
          <w:sz w:val="21"/>
        </w:rPr>
        <w:t>MCB</w:t>
      </w:r>
      <w:r>
        <w:rPr>
          <w:spacing w:val="-5"/>
          <w:sz w:val="21"/>
        </w:rPr>
        <w:t> </w:t>
      </w:r>
      <w:r>
        <w:rPr>
          <w:sz w:val="21"/>
        </w:rPr>
        <w:t>has</w:t>
      </w:r>
      <w:r>
        <w:rPr>
          <w:spacing w:val="-5"/>
          <w:sz w:val="21"/>
        </w:rPr>
        <w:t> </w:t>
      </w:r>
      <w:r>
        <w:rPr>
          <w:sz w:val="21"/>
        </w:rPr>
        <w:t>hosted</w:t>
      </w:r>
      <w:r>
        <w:rPr>
          <w:spacing w:val="-4"/>
          <w:sz w:val="21"/>
        </w:rPr>
        <w:t> </w:t>
      </w:r>
      <w:r>
        <w:rPr>
          <w:sz w:val="21"/>
        </w:rPr>
        <w:t>nearly</w:t>
      </w:r>
      <w:r>
        <w:rPr>
          <w:spacing w:val="-5"/>
          <w:sz w:val="21"/>
        </w:rPr>
        <w:t> </w:t>
      </w:r>
      <w:r>
        <w:rPr>
          <w:sz w:val="21"/>
        </w:rPr>
        <w:t>annual</w:t>
      </w:r>
      <w:r>
        <w:rPr>
          <w:spacing w:val="-4"/>
          <w:sz w:val="21"/>
        </w:rPr>
        <w:t> </w:t>
      </w:r>
      <w:r>
        <w:rPr>
          <w:sz w:val="21"/>
        </w:rPr>
        <w:t>optional</w:t>
      </w:r>
      <w:r>
        <w:rPr>
          <w:spacing w:val="-4"/>
          <w:sz w:val="21"/>
        </w:rPr>
        <w:t> </w:t>
      </w:r>
      <w:r>
        <w:rPr>
          <w:sz w:val="21"/>
        </w:rPr>
        <w:t>staff</w:t>
      </w:r>
      <w:r>
        <w:rPr>
          <w:spacing w:val="-5"/>
          <w:sz w:val="21"/>
        </w:rPr>
        <w:t> </w:t>
      </w:r>
      <w:r>
        <w:rPr>
          <w:sz w:val="21"/>
        </w:rPr>
        <w:t>trainings</w:t>
      </w:r>
      <w:r>
        <w:rPr>
          <w:spacing w:val="-5"/>
          <w:sz w:val="21"/>
        </w:rPr>
        <w:t> </w:t>
      </w:r>
      <w:r>
        <w:rPr>
          <w:sz w:val="21"/>
        </w:rPr>
        <w:t>on</w:t>
      </w:r>
      <w:r>
        <w:rPr>
          <w:spacing w:val="-4"/>
          <w:sz w:val="21"/>
        </w:rPr>
        <w:t> </w:t>
      </w:r>
      <w:r>
        <w:rPr>
          <w:sz w:val="21"/>
        </w:rPr>
        <w:t>LGBTQ</w:t>
      </w:r>
      <w:r>
        <w:rPr>
          <w:spacing w:val="-3"/>
          <w:sz w:val="21"/>
        </w:rPr>
        <w:t> </w:t>
      </w:r>
      <w:r>
        <w:rPr>
          <w:sz w:val="21"/>
        </w:rPr>
        <w:t>inclusivity,</w:t>
      </w:r>
      <w:r>
        <w:rPr>
          <w:spacing w:val="-4"/>
          <w:sz w:val="21"/>
        </w:rPr>
        <w:t> </w:t>
      </w:r>
      <w:r>
        <w:rPr>
          <w:sz w:val="21"/>
        </w:rPr>
        <w:t>and</w:t>
      </w:r>
      <w:r>
        <w:rPr>
          <w:spacing w:val="-4"/>
          <w:sz w:val="21"/>
        </w:rPr>
        <w:t> </w:t>
      </w:r>
      <w:r>
        <w:rPr>
          <w:sz w:val="21"/>
        </w:rPr>
        <w:t>in</w:t>
      </w:r>
      <w:r>
        <w:rPr>
          <w:spacing w:val="-4"/>
          <w:sz w:val="21"/>
        </w:rPr>
        <w:t> </w:t>
      </w:r>
      <w:r>
        <w:rPr>
          <w:sz w:val="21"/>
        </w:rPr>
        <w:t>early</w:t>
      </w:r>
      <w:r>
        <w:rPr>
          <w:spacing w:val="-5"/>
          <w:sz w:val="21"/>
        </w:rPr>
        <w:t> </w:t>
      </w:r>
      <w:r>
        <w:rPr>
          <w:sz w:val="21"/>
        </w:rPr>
        <w:t>FY 2023</w:t>
      </w:r>
      <w:r>
        <w:rPr>
          <w:spacing w:val="-5"/>
          <w:sz w:val="21"/>
        </w:rPr>
        <w:t> </w:t>
      </w:r>
      <w:r>
        <w:rPr>
          <w:sz w:val="21"/>
        </w:rPr>
        <w:t>was</w:t>
      </w:r>
      <w:r>
        <w:rPr>
          <w:spacing w:val="-5"/>
          <w:sz w:val="21"/>
        </w:rPr>
        <w:t> </w:t>
      </w:r>
      <w:r>
        <w:rPr>
          <w:sz w:val="21"/>
        </w:rPr>
        <w:t>in</w:t>
      </w:r>
      <w:r>
        <w:rPr>
          <w:spacing w:val="-4"/>
          <w:sz w:val="21"/>
        </w:rPr>
        <w:t> </w:t>
      </w:r>
      <w:r>
        <w:rPr>
          <w:sz w:val="21"/>
        </w:rPr>
        <w:t>conversations</w:t>
      </w:r>
      <w:r>
        <w:rPr>
          <w:spacing w:val="-5"/>
          <w:sz w:val="21"/>
        </w:rPr>
        <w:t> </w:t>
      </w:r>
      <w:r>
        <w:rPr>
          <w:sz w:val="21"/>
        </w:rPr>
        <w:t>to</w:t>
      </w:r>
      <w:r>
        <w:rPr>
          <w:spacing w:val="-5"/>
          <w:sz w:val="21"/>
        </w:rPr>
        <w:t> </w:t>
      </w:r>
      <w:r>
        <w:rPr>
          <w:sz w:val="21"/>
        </w:rPr>
        <w:t>continue</w:t>
      </w:r>
      <w:r>
        <w:rPr>
          <w:spacing w:val="-4"/>
          <w:sz w:val="21"/>
        </w:rPr>
        <w:t> </w:t>
      </w:r>
      <w:r>
        <w:rPr>
          <w:sz w:val="21"/>
        </w:rPr>
        <w:t>these</w:t>
      </w:r>
      <w:r>
        <w:rPr>
          <w:spacing w:val="-5"/>
          <w:sz w:val="21"/>
        </w:rPr>
        <w:t> </w:t>
      </w:r>
      <w:r>
        <w:rPr>
          <w:sz w:val="21"/>
        </w:rPr>
        <w:t>trainings</w:t>
      </w:r>
      <w:r>
        <w:rPr>
          <w:spacing w:val="-5"/>
          <w:sz w:val="21"/>
        </w:rPr>
        <w:t> </w:t>
      </w:r>
      <w:r>
        <w:rPr>
          <w:sz w:val="21"/>
        </w:rPr>
        <w:t>for</w:t>
      </w:r>
      <w:r>
        <w:rPr>
          <w:spacing w:val="-4"/>
          <w:sz w:val="21"/>
        </w:rPr>
        <w:t> </w:t>
      </w:r>
      <w:r>
        <w:rPr>
          <w:sz w:val="21"/>
        </w:rPr>
        <w:t>its</w:t>
      </w:r>
      <w:r>
        <w:rPr>
          <w:spacing w:val="-5"/>
          <w:sz w:val="21"/>
        </w:rPr>
        <w:t> </w:t>
      </w:r>
      <w:r>
        <w:rPr>
          <w:sz w:val="21"/>
        </w:rPr>
        <w:t>child</w:t>
      </w:r>
      <w:r>
        <w:rPr>
          <w:spacing w:val="-4"/>
          <w:sz w:val="21"/>
        </w:rPr>
        <w:t> </w:t>
      </w:r>
      <w:r>
        <w:rPr>
          <w:sz w:val="21"/>
        </w:rPr>
        <w:t>services</w:t>
      </w:r>
      <w:r>
        <w:rPr>
          <w:spacing w:val="-5"/>
          <w:sz w:val="21"/>
        </w:rPr>
        <w:t> </w:t>
      </w:r>
      <w:r>
        <w:rPr>
          <w:sz w:val="21"/>
        </w:rPr>
        <w:t>departments.</w:t>
      </w:r>
      <w:r>
        <w:rPr>
          <w:spacing w:val="-5"/>
          <w:sz w:val="21"/>
        </w:rPr>
        <w:t> </w:t>
      </w:r>
      <w:r>
        <w:rPr>
          <w:sz w:val="21"/>
        </w:rPr>
        <w:t>MCB</w:t>
      </w:r>
      <w:r>
        <w:rPr>
          <w:spacing w:val="-5"/>
          <w:sz w:val="21"/>
        </w:rPr>
        <w:t> </w:t>
      </w:r>
      <w:r>
        <w:rPr>
          <w:sz w:val="21"/>
        </w:rPr>
        <w:t>has</w:t>
      </w:r>
      <w:r>
        <w:rPr>
          <w:spacing w:val="-5"/>
          <w:sz w:val="21"/>
        </w:rPr>
        <w:t> </w:t>
      </w:r>
      <w:r>
        <w:rPr>
          <w:sz w:val="21"/>
        </w:rPr>
        <w:t>also</w:t>
      </w:r>
      <w:r>
        <w:rPr>
          <w:spacing w:val="-5"/>
          <w:sz w:val="21"/>
        </w:rPr>
        <w:t> </w:t>
      </w:r>
      <w:r>
        <w:rPr>
          <w:sz w:val="21"/>
        </w:rPr>
        <w:t>worked to incorporate the collection of pronouns into case notes through its providers, though the Commission currently</w:t>
      </w:r>
      <w:r>
        <w:rPr>
          <w:spacing w:val="-1"/>
          <w:sz w:val="21"/>
        </w:rPr>
        <w:t> </w:t>
      </w:r>
      <w:r>
        <w:rPr>
          <w:sz w:val="21"/>
        </w:rPr>
        <w:t>has</w:t>
      </w:r>
      <w:r>
        <w:rPr>
          <w:spacing w:val="-1"/>
          <w:sz w:val="21"/>
        </w:rPr>
        <w:t> </w:t>
      </w:r>
      <w:r>
        <w:rPr>
          <w:sz w:val="21"/>
        </w:rPr>
        <w:t>no</w:t>
      </w:r>
      <w:r>
        <w:rPr>
          <w:spacing w:val="-1"/>
          <w:sz w:val="21"/>
        </w:rPr>
        <w:t> </w:t>
      </w:r>
      <w:r>
        <w:rPr>
          <w:sz w:val="21"/>
        </w:rPr>
        <w:t>data</w:t>
      </w:r>
      <w:r>
        <w:rPr>
          <w:spacing w:val="-1"/>
          <w:sz w:val="21"/>
        </w:rPr>
        <w:t> </w:t>
      </w:r>
      <w:r>
        <w:rPr>
          <w:sz w:val="21"/>
        </w:rPr>
        <w:t>on</w:t>
      </w:r>
      <w:r>
        <w:rPr>
          <w:spacing w:val="-1"/>
          <w:sz w:val="21"/>
        </w:rPr>
        <w:t> </w:t>
      </w:r>
      <w:r>
        <w:rPr>
          <w:sz w:val="21"/>
        </w:rPr>
        <w:t>how</w:t>
      </w:r>
      <w:r>
        <w:rPr>
          <w:spacing w:val="-1"/>
          <w:sz w:val="21"/>
        </w:rPr>
        <w:t> </w:t>
      </w:r>
      <w:r>
        <w:rPr>
          <w:sz w:val="21"/>
        </w:rPr>
        <w:t>this</w:t>
      </w:r>
      <w:r>
        <w:rPr>
          <w:spacing w:val="-1"/>
          <w:sz w:val="21"/>
        </w:rPr>
        <w:t> </w:t>
      </w:r>
      <w:r>
        <w:rPr>
          <w:sz w:val="21"/>
        </w:rPr>
        <w:t>initiative</w:t>
      </w:r>
      <w:r>
        <w:rPr>
          <w:spacing w:val="-1"/>
          <w:sz w:val="21"/>
        </w:rPr>
        <w:t> </w:t>
      </w:r>
      <w:r>
        <w:rPr>
          <w:sz w:val="21"/>
        </w:rPr>
        <w:t>has</w:t>
      </w:r>
      <w:r>
        <w:rPr>
          <w:spacing w:val="-1"/>
          <w:sz w:val="21"/>
        </w:rPr>
        <w:t> </w:t>
      </w:r>
      <w:r>
        <w:rPr>
          <w:sz w:val="21"/>
        </w:rPr>
        <w:t>gone</w:t>
      </w:r>
      <w:r>
        <w:rPr>
          <w:spacing w:val="-1"/>
          <w:sz w:val="21"/>
        </w:rPr>
        <w:t> </w:t>
      </w:r>
      <w:r>
        <w:rPr>
          <w:sz w:val="21"/>
        </w:rPr>
        <w:t>so far.</w:t>
      </w:r>
      <w:r>
        <w:rPr>
          <w:spacing w:val="-1"/>
          <w:sz w:val="21"/>
        </w:rPr>
        <w:t> </w:t>
      </w:r>
      <w:r>
        <w:rPr>
          <w:sz w:val="21"/>
        </w:rPr>
        <w:t>The</w:t>
      </w:r>
      <w:r>
        <w:rPr>
          <w:spacing w:val="-1"/>
          <w:sz w:val="21"/>
        </w:rPr>
        <w:t> </w:t>
      </w:r>
      <w:r>
        <w:rPr>
          <w:sz w:val="21"/>
        </w:rPr>
        <w:t>Commission</w:t>
      </w:r>
      <w:r>
        <w:rPr>
          <w:spacing w:val="-1"/>
          <w:sz w:val="21"/>
        </w:rPr>
        <w:t> </w:t>
      </w:r>
      <w:r>
        <w:rPr>
          <w:sz w:val="21"/>
        </w:rPr>
        <w:t>hopes to</w:t>
      </w:r>
      <w:r>
        <w:rPr>
          <w:spacing w:val="-1"/>
          <w:sz w:val="21"/>
        </w:rPr>
        <w:t> </w:t>
      </w:r>
      <w:r>
        <w:rPr>
          <w:sz w:val="21"/>
        </w:rPr>
        <w:t>work more</w:t>
      </w:r>
      <w:r>
        <w:rPr>
          <w:spacing w:val="-1"/>
          <w:sz w:val="21"/>
        </w:rPr>
        <w:t> </w:t>
      </w:r>
      <w:r>
        <w:rPr>
          <w:sz w:val="21"/>
        </w:rPr>
        <w:t>closely</w:t>
      </w:r>
      <w:r>
        <w:rPr>
          <w:spacing w:val="-1"/>
          <w:sz w:val="21"/>
        </w:rPr>
        <w:t> </w:t>
      </w:r>
      <w:r>
        <w:rPr>
          <w:sz w:val="21"/>
        </w:rPr>
        <w:t>with MCB in the upcoming fiscal year to identify opportunities for resource development and support for blind LGBTQ youth, with particular attention to Deafblind communities.</w:t>
      </w:r>
    </w:p>
    <w:p>
      <w:pPr>
        <w:spacing w:before="240"/>
        <w:ind w:left="483" w:right="0" w:firstLine="0"/>
        <w:jc w:val="both"/>
        <w:rPr>
          <w:sz w:val="28"/>
        </w:rPr>
      </w:pPr>
      <w:r>
        <w:rPr>
          <w:color w:val="365F91"/>
          <w:sz w:val="28"/>
        </w:rPr>
        <w:t>FY</w:t>
      </w:r>
      <w:r>
        <w:rPr>
          <w:color w:val="365F91"/>
          <w:spacing w:val="-9"/>
          <w:sz w:val="28"/>
        </w:rPr>
        <w:t> </w:t>
      </w:r>
      <w:r>
        <w:rPr>
          <w:color w:val="365F91"/>
          <w:sz w:val="28"/>
        </w:rPr>
        <w:t>2025</w:t>
      </w:r>
      <w:r>
        <w:rPr>
          <w:color w:val="365F91"/>
          <w:spacing w:val="-9"/>
          <w:sz w:val="28"/>
        </w:rPr>
        <w:t> </w:t>
      </w:r>
      <w:r>
        <w:rPr>
          <w:color w:val="365F91"/>
          <w:sz w:val="28"/>
        </w:rPr>
        <w:t>Expanded</w:t>
      </w:r>
      <w:r>
        <w:rPr>
          <w:color w:val="365F91"/>
          <w:spacing w:val="-9"/>
          <w:sz w:val="28"/>
        </w:rPr>
        <w:t> </w:t>
      </w:r>
      <w:r>
        <w:rPr>
          <w:color w:val="365F91"/>
          <w:sz w:val="28"/>
        </w:rPr>
        <w:t>MCB</w:t>
      </w:r>
      <w:r>
        <w:rPr>
          <w:color w:val="365F91"/>
          <w:spacing w:val="-8"/>
          <w:sz w:val="28"/>
        </w:rPr>
        <w:t> </w:t>
      </w:r>
      <w:r>
        <w:rPr>
          <w:color w:val="365F91"/>
          <w:spacing w:val="-2"/>
          <w:sz w:val="28"/>
        </w:rPr>
        <w:t>Recommendations</w:t>
      </w:r>
    </w:p>
    <w:p>
      <w:pPr>
        <w:pStyle w:val="BodyText"/>
        <w:spacing w:before="9"/>
        <w:rPr>
          <w:sz w:val="3"/>
        </w:rPr>
      </w:pPr>
      <w:r>
        <w:rPr/>
        <mc:AlternateContent>
          <mc:Choice Requires="wps">
            <w:drawing>
              <wp:anchor distT="0" distB="0" distL="0" distR="0" allowOverlap="1" layoutInCell="1" locked="0" behindDoc="1" simplePos="0" relativeHeight="487698944">
                <wp:simplePos x="0" y="0"/>
                <wp:positionH relativeFrom="page">
                  <wp:posOffset>897636</wp:posOffset>
                </wp:positionH>
                <wp:positionV relativeFrom="paragraph">
                  <wp:posOffset>44346</wp:posOffset>
                </wp:positionV>
                <wp:extent cx="5976620" cy="6350"/>
                <wp:effectExtent l="0" t="0" r="0" b="0"/>
                <wp:wrapTopAndBottom/>
                <wp:docPr id="570" name="Graphic 570"/>
                <wp:cNvGraphicFramePr>
                  <a:graphicFrameLocks/>
                </wp:cNvGraphicFramePr>
                <a:graphic>
                  <a:graphicData uri="http://schemas.microsoft.com/office/word/2010/wordprocessingShape">
                    <wps:wsp>
                      <wps:cNvPr id="570" name="Graphic 570"/>
                      <wps:cNvSpPr/>
                      <wps:spPr>
                        <a:xfrm>
                          <a:off x="0" y="0"/>
                          <a:ext cx="5976620" cy="6350"/>
                        </a:xfrm>
                        <a:custGeom>
                          <a:avLst/>
                          <a:gdLst/>
                          <a:ahLst/>
                          <a:cxnLst/>
                          <a:rect l="l" t="t" r="r" b="b"/>
                          <a:pathLst>
                            <a:path w="5976620" h="6350">
                              <a:moveTo>
                                <a:pt x="5976366" y="0"/>
                              </a:moveTo>
                              <a:lnTo>
                                <a:pt x="0" y="0"/>
                              </a:lnTo>
                              <a:lnTo>
                                <a:pt x="0" y="6095"/>
                              </a:lnTo>
                              <a:lnTo>
                                <a:pt x="5976366" y="6095"/>
                              </a:lnTo>
                              <a:lnTo>
                                <a:pt x="5976366" y="0"/>
                              </a:lnTo>
                              <a:close/>
                            </a:path>
                          </a:pathLst>
                        </a:custGeom>
                        <a:solidFill>
                          <a:srgbClr val="4F81BC"/>
                        </a:solidFill>
                      </wps:spPr>
                      <wps:bodyPr wrap="square" lIns="0" tIns="0" rIns="0" bIns="0" rtlCol="0">
                        <a:prstTxWarp prst="textNoShape">
                          <a:avLst/>
                        </a:prstTxWarp>
                        <a:noAutofit/>
                      </wps:bodyPr>
                    </wps:wsp>
                  </a:graphicData>
                </a:graphic>
              </wp:anchor>
            </w:drawing>
          </mc:Choice>
          <mc:Fallback>
            <w:pict>
              <v:rect style="position:absolute;margin-left:70.680pt;margin-top:3.491855pt;width:470.58pt;height:.48pt;mso-position-horizontal-relative:page;mso-position-vertical-relative:paragraph;z-index:-15617536;mso-wrap-distance-left:0;mso-wrap-distance-right:0" id="docshape467" filled="true" fillcolor="#4f81bc" stroked="false">
                <v:fill type="solid"/>
                <w10:wrap type="topAndBottom"/>
              </v:rect>
            </w:pict>
          </mc:Fallback>
        </mc:AlternateContent>
      </w:r>
    </w:p>
    <w:p>
      <w:pPr>
        <w:pStyle w:val="ListParagraph"/>
        <w:numPr>
          <w:ilvl w:val="0"/>
          <w:numId w:val="37"/>
        </w:numPr>
        <w:tabs>
          <w:tab w:pos="483" w:val="left" w:leader="none"/>
        </w:tabs>
        <w:spacing w:line="276" w:lineRule="auto" w:before="241" w:after="0"/>
        <w:ind w:left="483" w:right="342" w:hanging="360"/>
        <w:jc w:val="left"/>
        <w:rPr>
          <w:b/>
          <w:sz w:val="21"/>
        </w:rPr>
      </w:pPr>
      <w:r>
        <w:rPr>
          <w:b/>
          <w:sz w:val="21"/>
        </w:rPr>
        <w:t>Provide professional development opportunities that prioritize intersectionality and center LGBTQ cultural engagement, racial equity, and adultism training sessions.</w:t>
      </w:r>
    </w:p>
    <w:p>
      <w:pPr>
        <w:spacing w:line="276" w:lineRule="auto" w:before="241"/>
        <w:ind w:left="483" w:right="339" w:firstLine="0"/>
        <w:jc w:val="both"/>
        <w:rPr>
          <w:sz w:val="21"/>
        </w:rPr>
      </w:pPr>
      <w:r>
        <w:rPr>
          <w:sz w:val="21"/>
        </w:rPr>
        <w:t>As</w:t>
      </w:r>
      <w:r>
        <w:rPr>
          <w:spacing w:val="-10"/>
          <w:sz w:val="21"/>
        </w:rPr>
        <w:t> </w:t>
      </w:r>
      <w:r>
        <w:rPr>
          <w:sz w:val="21"/>
        </w:rPr>
        <w:t>noted</w:t>
      </w:r>
      <w:r>
        <w:rPr>
          <w:spacing w:val="-9"/>
          <w:sz w:val="21"/>
        </w:rPr>
        <w:t> </w:t>
      </w:r>
      <w:r>
        <w:rPr>
          <w:sz w:val="21"/>
        </w:rPr>
        <w:t>above,</w:t>
      </w:r>
      <w:r>
        <w:rPr>
          <w:spacing w:val="-9"/>
          <w:sz w:val="21"/>
        </w:rPr>
        <w:t> </w:t>
      </w:r>
      <w:r>
        <w:rPr>
          <w:sz w:val="21"/>
        </w:rPr>
        <w:t>MCB</w:t>
      </w:r>
      <w:r>
        <w:rPr>
          <w:spacing w:val="-11"/>
          <w:sz w:val="21"/>
        </w:rPr>
        <w:t> </w:t>
      </w:r>
      <w:r>
        <w:rPr>
          <w:sz w:val="21"/>
        </w:rPr>
        <w:t>has</w:t>
      </w:r>
      <w:r>
        <w:rPr>
          <w:spacing w:val="-10"/>
          <w:sz w:val="21"/>
        </w:rPr>
        <w:t> </w:t>
      </w:r>
      <w:r>
        <w:rPr>
          <w:sz w:val="21"/>
        </w:rPr>
        <w:t>a</w:t>
      </w:r>
      <w:r>
        <w:rPr>
          <w:spacing w:val="-10"/>
          <w:sz w:val="21"/>
        </w:rPr>
        <w:t> </w:t>
      </w:r>
      <w:r>
        <w:rPr>
          <w:sz w:val="21"/>
        </w:rPr>
        <w:t>history</w:t>
      </w:r>
      <w:r>
        <w:rPr>
          <w:spacing w:val="-10"/>
          <w:sz w:val="21"/>
        </w:rPr>
        <w:t> </w:t>
      </w:r>
      <w:r>
        <w:rPr>
          <w:sz w:val="21"/>
        </w:rPr>
        <w:t>of</w:t>
      </w:r>
      <w:r>
        <w:rPr>
          <w:spacing w:val="-10"/>
          <w:sz w:val="21"/>
        </w:rPr>
        <w:t> </w:t>
      </w:r>
      <w:r>
        <w:rPr>
          <w:sz w:val="21"/>
        </w:rPr>
        <w:t>consistently</w:t>
      </w:r>
      <w:r>
        <w:rPr>
          <w:spacing w:val="-10"/>
          <w:sz w:val="21"/>
        </w:rPr>
        <w:t> </w:t>
      </w:r>
      <w:r>
        <w:rPr>
          <w:sz w:val="21"/>
        </w:rPr>
        <w:t>providing</w:t>
      </w:r>
      <w:r>
        <w:rPr>
          <w:spacing w:val="-10"/>
          <w:sz w:val="21"/>
        </w:rPr>
        <w:t> </w:t>
      </w:r>
      <w:r>
        <w:rPr>
          <w:sz w:val="21"/>
        </w:rPr>
        <w:t>trainings</w:t>
      </w:r>
      <w:r>
        <w:rPr>
          <w:spacing w:val="-10"/>
          <w:sz w:val="21"/>
        </w:rPr>
        <w:t> </w:t>
      </w:r>
      <w:r>
        <w:rPr>
          <w:sz w:val="21"/>
        </w:rPr>
        <w:t>for</w:t>
      </w:r>
      <w:r>
        <w:rPr>
          <w:spacing w:val="-9"/>
          <w:sz w:val="21"/>
        </w:rPr>
        <w:t> </w:t>
      </w:r>
      <w:r>
        <w:rPr>
          <w:sz w:val="21"/>
        </w:rPr>
        <w:t>its</w:t>
      </w:r>
      <w:r>
        <w:rPr>
          <w:spacing w:val="-10"/>
          <w:sz w:val="21"/>
        </w:rPr>
        <w:t> </w:t>
      </w:r>
      <w:r>
        <w:rPr>
          <w:sz w:val="21"/>
        </w:rPr>
        <w:t>staff</w:t>
      </w:r>
      <w:r>
        <w:rPr>
          <w:spacing w:val="-10"/>
          <w:sz w:val="21"/>
        </w:rPr>
        <w:t> </w:t>
      </w:r>
      <w:r>
        <w:rPr>
          <w:sz w:val="21"/>
        </w:rPr>
        <w:t>on</w:t>
      </w:r>
      <w:r>
        <w:rPr>
          <w:spacing w:val="-10"/>
          <w:sz w:val="21"/>
        </w:rPr>
        <w:t> </w:t>
      </w:r>
      <w:r>
        <w:rPr>
          <w:sz w:val="21"/>
        </w:rPr>
        <w:t>LGBTQ</w:t>
      </w:r>
      <w:r>
        <w:rPr>
          <w:spacing w:val="-9"/>
          <w:sz w:val="21"/>
        </w:rPr>
        <w:t> </w:t>
      </w:r>
      <w:r>
        <w:rPr>
          <w:sz w:val="21"/>
        </w:rPr>
        <w:t>inclusivity</w:t>
      </w:r>
      <w:r>
        <w:rPr>
          <w:spacing w:val="-10"/>
          <w:sz w:val="21"/>
        </w:rPr>
        <w:t> </w:t>
      </w:r>
      <w:r>
        <w:rPr>
          <w:sz w:val="21"/>
        </w:rPr>
        <w:t>and</w:t>
      </w:r>
      <w:r>
        <w:rPr>
          <w:spacing w:val="-10"/>
          <w:sz w:val="21"/>
        </w:rPr>
        <w:t> </w:t>
      </w:r>
      <w:r>
        <w:rPr>
          <w:sz w:val="21"/>
        </w:rPr>
        <w:t>SOGI data</w:t>
      </w:r>
      <w:r>
        <w:rPr>
          <w:spacing w:val="-4"/>
          <w:sz w:val="21"/>
        </w:rPr>
        <w:t> </w:t>
      </w:r>
      <w:r>
        <w:rPr>
          <w:sz w:val="21"/>
        </w:rPr>
        <w:t>collection.</w:t>
      </w:r>
      <w:r>
        <w:rPr>
          <w:spacing w:val="-5"/>
          <w:sz w:val="21"/>
        </w:rPr>
        <w:t> </w:t>
      </w:r>
      <w:r>
        <w:rPr>
          <w:sz w:val="21"/>
        </w:rPr>
        <w:t>In</w:t>
      </w:r>
      <w:r>
        <w:rPr>
          <w:spacing w:val="-4"/>
          <w:sz w:val="21"/>
        </w:rPr>
        <w:t> </w:t>
      </w:r>
      <w:r>
        <w:rPr>
          <w:sz w:val="21"/>
        </w:rPr>
        <w:t>April</w:t>
      </w:r>
      <w:r>
        <w:rPr>
          <w:spacing w:val="-4"/>
          <w:sz w:val="21"/>
        </w:rPr>
        <w:t> </w:t>
      </w:r>
      <w:r>
        <w:rPr>
          <w:sz w:val="21"/>
        </w:rPr>
        <w:t>2024,</w:t>
      </w:r>
      <w:r>
        <w:rPr>
          <w:spacing w:val="-4"/>
          <w:sz w:val="21"/>
        </w:rPr>
        <w:t> </w:t>
      </w:r>
      <w:r>
        <w:rPr>
          <w:sz w:val="21"/>
        </w:rPr>
        <w:t>MCB</w:t>
      </w:r>
      <w:r>
        <w:rPr>
          <w:spacing w:val="-5"/>
          <w:sz w:val="21"/>
        </w:rPr>
        <w:t> </w:t>
      </w:r>
      <w:r>
        <w:rPr>
          <w:sz w:val="21"/>
        </w:rPr>
        <w:t>shared</w:t>
      </w:r>
      <w:r>
        <w:rPr>
          <w:spacing w:val="-4"/>
          <w:sz w:val="21"/>
        </w:rPr>
        <w:t> </w:t>
      </w:r>
      <w:r>
        <w:rPr>
          <w:sz w:val="21"/>
        </w:rPr>
        <w:t>with</w:t>
      </w:r>
      <w:r>
        <w:rPr>
          <w:spacing w:val="-4"/>
          <w:sz w:val="21"/>
        </w:rPr>
        <w:t> </w:t>
      </w:r>
      <w:r>
        <w:rPr>
          <w:sz w:val="21"/>
        </w:rPr>
        <w:t>the</w:t>
      </w:r>
      <w:r>
        <w:rPr>
          <w:spacing w:val="-4"/>
          <w:sz w:val="21"/>
        </w:rPr>
        <w:t> </w:t>
      </w:r>
      <w:r>
        <w:rPr>
          <w:sz w:val="21"/>
        </w:rPr>
        <w:t>Commission</w:t>
      </w:r>
      <w:r>
        <w:rPr>
          <w:spacing w:val="-4"/>
          <w:sz w:val="21"/>
        </w:rPr>
        <w:t> </w:t>
      </w:r>
      <w:r>
        <w:rPr>
          <w:sz w:val="21"/>
        </w:rPr>
        <w:t>that</w:t>
      </w:r>
      <w:r>
        <w:rPr>
          <w:spacing w:val="-4"/>
          <w:sz w:val="21"/>
        </w:rPr>
        <w:t> </w:t>
      </w:r>
      <w:r>
        <w:rPr>
          <w:sz w:val="21"/>
        </w:rPr>
        <w:t>two</w:t>
      </w:r>
      <w:r>
        <w:rPr>
          <w:spacing w:val="-5"/>
          <w:sz w:val="21"/>
        </w:rPr>
        <w:t> </w:t>
      </w:r>
      <w:r>
        <w:rPr>
          <w:sz w:val="21"/>
        </w:rPr>
        <w:t>all-staff</w:t>
      </w:r>
      <w:r>
        <w:rPr>
          <w:spacing w:val="-5"/>
          <w:sz w:val="21"/>
        </w:rPr>
        <w:t> </w:t>
      </w:r>
      <w:r>
        <w:rPr>
          <w:sz w:val="21"/>
        </w:rPr>
        <w:t>trainings</w:t>
      </w:r>
      <w:r>
        <w:rPr>
          <w:spacing w:val="-5"/>
          <w:sz w:val="21"/>
        </w:rPr>
        <w:t> </w:t>
      </w:r>
      <w:r>
        <w:rPr>
          <w:sz w:val="21"/>
        </w:rPr>
        <w:t>occurred</w:t>
      </w:r>
      <w:r>
        <w:rPr>
          <w:spacing w:val="-4"/>
          <w:sz w:val="21"/>
        </w:rPr>
        <w:t> </w:t>
      </w:r>
      <w:r>
        <w:rPr>
          <w:sz w:val="21"/>
        </w:rPr>
        <w:t>on</w:t>
      </w:r>
      <w:r>
        <w:rPr>
          <w:spacing w:val="-4"/>
          <w:sz w:val="21"/>
        </w:rPr>
        <w:t> </w:t>
      </w:r>
      <w:r>
        <w:rPr>
          <w:sz w:val="21"/>
        </w:rPr>
        <w:t>LGBTQ cultural engagement in August and November 2023; some MCB staff have additionally joined the EOHHS/Commission trainings that run frequently throughout the year. Additional trainings have been identified</w:t>
      </w:r>
      <w:r>
        <w:rPr>
          <w:spacing w:val="14"/>
          <w:sz w:val="21"/>
        </w:rPr>
        <w:t> </w:t>
      </w:r>
      <w:r>
        <w:rPr>
          <w:sz w:val="21"/>
        </w:rPr>
        <w:t>by</w:t>
      </w:r>
      <w:r>
        <w:rPr>
          <w:spacing w:val="12"/>
          <w:sz w:val="21"/>
        </w:rPr>
        <w:t> </w:t>
      </w:r>
      <w:r>
        <w:rPr>
          <w:sz w:val="21"/>
        </w:rPr>
        <w:t>MCB</w:t>
      </w:r>
      <w:r>
        <w:rPr>
          <w:spacing w:val="13"/>
          <w:sz w:val="21"/>
        </w:rPr>
        <w:t> </w:t>
      </w:r>
      <w:r>
        <w:rPr>
          <w:sz w:val="21"/>
        </w:rPr>
        <w:t>as</w:t>
      </w:r>
      <w:r>
        <w:rPr>
          <w:spacing w:val="13"/>
          <w:sz w:val="21"/>
        </w:rPr>
        <w:t> </w:t>
      </w:r>
      <w:r>
        <w:rPr>
          <w:sz w:val="21"/>
        </w:rPr>
        <w:t>a</w:t>
      </w:r>
      <w:r>
        <w:rPr>
          <w:spacing w:val="13"/>
          <w:sz w:val="21"/>
        </w:rPr>
        <w:t> </w:t>
      </w:r>
      <w:r>
        <w:rPr>
          <w:sz w:val="21"/>
        </w:rPr>
        <w:t>part</w:t>
      </w:r>
      <w:r>
        <w:rPr>
          <w:spacing w:val="14"/>
          <w:sz w:val="21"/>
        </w:rPr>
        <w:t> </w:t>
      </w:r>
      <w:r>
        <w:rPr>
          <w:sz w:val="21"/>
        </w:rPr>
        <w:t>of</w:t>
      </w:r>
      <w:r>
        <w:rPr>
          <w:spacing w:val="13"/>
          <w:sz w:val="21"/>
        </w:rPr>
        <w:t> </w:t>
      </w:r>
      <w:r>
        <w:rPr>
          <w:sz w:val="21"/>
        </w:rPr>
        <w:t>its</w:t>
      </w:r>
      <w:r>
        <w:rPr>
          <w:spacing w:val="13"/>
          <w:sz w:val="21"/>
        </w:rPr>
        <w:t> </w:t>
      </w:r>
      <w:r>
        <w:rPr>
          <w:sz w:val="21"/>
        </w:rPr>
        <w:t>diversity</w:t>
      </w:r>
      <w:r>
        <w:rPr>
          <w:spacing w:val="13"/>
          <w:sz w:val="21"/>
        </w:rPr>
        <w:t> </w:t>
      </w:r>
      <w:r>
        <w:rPr>
          <w:sz w:val="21"/>
        </w:rPr>
        <w:t>plan.</w:t>
      </w:r>
      <w:r>
        <w:rPr>
          <w:spacing w:val="13"/>
          <w:sz w:val="21"/>
        </w:rPr>
        <w:t> </w:t>
      </w:r>
      <w:r>
        <w:rPr>
          <w:sz w:val="21"/>
        </w:rPr>
        <w:t>Overall,</w:t>
      </w:r>
      <w:r>
        <w:rPr>
          <w:spacing w:val="14"/>
          <w:sz w:val="21"/>
        </w:rPr>
        <w:t> </w:t>
      </w:r>
      <w:r>
        <w:rPr>
          <w:sz w:val="21"/>
        </w:rPr>
        <w:t>the</w:t>
      </w:r>
      <w:r>
        <w:rPr>
          <w:spacing w:val="12"/>
          <w:sz w:val="21"/>
        </w:rPr>
        <w:t> </w:t>
      </w:r>
      <w:r>
        <w:rPr>
          <w:sz w:val="21"/>
        </w:rPr>
        <w:t>Commission</w:t>
      </w:r>
      <w:r>
        <w:rPr>
          <w:spacing w:val="14"/>
          <w:sz w:val="21"/>
        </w:rPr>
        <w:t> </w:t>
      </w:r>
      <w:r>
        <w:rPr>
          <w:sz w:val="21"/>
        </w:rPr>
        <w:t>recommends</w:t>
      </w:r>
      <w:r>
        <w:rPr>
          <w:spacing w:val="13"/>
          <w:sz w:val="21"/>
        </w:rPr>
        <w:t> </w:t>
      </w:r>
      <w:r>
        <w:rPr>
          <w:sz w:val="21"/>
        </w:rPr>
        <w:t>that</w:t>
      </w:r>
      <w:r>
        <w:rPr>
          <w:spacing w:val="13"/>
          <w:sz w:val="21"/>
        </w:rPr>
        <w:t> </w:t>
      </w:r>
      <w:r>
        <w:rPr>
          <w:sz w:val="21"/>
        </w:rPr>
        <w:t>the</w:t>
      </w:r>
      <w:r>
        <w:rPr>
          <w:spacing w:val="12"/>
          <w:sz w:val="21"/>
        </w:rPr>
        <w:t> </w:t>
      </w:r>
      <w:r>
        <w:rPr>
          <w:sz w:val="21"/>
        </w:rPr>
        <w:t>agency,</w:t>
      </w:r>
      <w:r>
        <w:rPr>
          <w:spacing w:val="14"/>
          <w:sz w:val="21"/>
        </w:rPr>
        <w:t> </w:t>
      </w:r>
      <w:r>
        <w:rPr>
          <w:sz w:val="21"/>
        </w:rPr>
        <w:t>like</w:t>
      </w:r>
    </w:p>
    <w:p>
      <w:pPr>
        <w:spacing w:after="0" w:line="276" w:lineRule="auto"/>
        <w:jc w:val="both"/>
        <w:rPr>
          <w:sz w:val="21"/>
        </w:rPr>
        <w:sectPr>
          <w:headerReference w:type="default" r:id="rId728"/>
          <w:footerReference w:type="default" r:id="rId729"/>
          <w:pgSz w:w="12240" w:h="15840"/>
          <w:pgMar w:header="804" w:footer="1263" w:top="1000" w:bottom="1460" w:left="960" w:right="1100"/>
        </w:sectPr>
      </w:pPr>
    </w:p>
    <w:p>
      <w:pPr>
        <w:pStyle w:val="BodyText"/>
        <w:spacing w:before="130"/>
        <w:rPr>
          <w:sz w:val="21"/>
        </w:rPr>
      </w:pPr>
    </w:p>
    <w:p>
      <w:pPr>
        <w:spacing w:line="276" w:lineRule="auto" w:before="1"/>
        <w:ind w:left="483" w:right="340" w:firstLine="0"/>
        <w:jc w:val="both"/>
        <w:rPr>
          <w:sz w:val="21"/>
        </w:rPr>
      </w:pPr>
      <w:r>
        <w:rPr>
          <w:sz w:val="21"/>
        </w:rPr>
        <w:t>many others, expands its approach to its training plan to include sessions that highlight racial equity and </w:t>
      </w:r>
      <w:r>
        <w:rPr>
          <w:spacing w:val="-2"/>
          <w:sz w:val="21"/>
        </w:rPr>
        <w:t>adultism.</w:t>
      </w:r>
    </w:p>
    <w:p>
      <w:pPr>
        <w:pStyle w:val="ListParagraph"/>
        <w:numPr>
          <w:ilvl w:val="0"/>
          <w:numId w:val="37"/>
        </w:numPr>
        <w:tabs>
          <w:tab w:pos="483" w:val="left" w:leader="none"/>
        </w:tabs>
        <w:spacing w:line="276" w:lineRule="auto" w:before="239" w:after="0"/>
        <w:ind w:left="483" w:right="342" w:hanging="360"/>
        <w:jc w:val="left"/>
        <w:rPr>
          <w:b/>
          <w:sz w:val="21"/>
        </w:rPr>
      </w:pPr>
      <w:r>
        <w:rPr>
          <w:b/>
          <w:sz w:val="21"/>
        </w:rPr>
        <w:t>Continue</w:t>
      </w:r>
      <w:r>
        <w:rPr>
          <w:b/>
          <w:spacing w:val="-5"/>
          <w:sz w:val="21"/>
        </w:rPr>
        <w:t> </w:t>
      </w:r>
      <w:r>
        <w:rPr>
          <w:b/>
          <w:sz w:val="21"/>
        </w:rPr>
        <w:t>to</w:t>
      </w:r>
      <w:r>
        <w:rPr>
          <w:b/>
          <w:spacing w:val="-5"/>
          <w:sz w:val="21"/>
        </w:rPr>
        <w:t> </w:t>
      </w:r>
      <w:r>
        <w:rPr>
          <w:b/>
          <w:sz w:val="21"/>
        </w:rPr>
        <w:t>revise</w:t>
      </w:r>
      <w:r>
        <w:rPr>
          <w:b/>
          <w:spacing w:val="-5"/>
          <w:sz w:val="21"/>
        </w:rPr>
        <w:t> </w:t>
      </w:r>
      <w:r>
        <w:rPr>
          <w:b/>
          <w:sz w:val="21"/>
        </w:rPr>
        <w:t>SOGI</w:t>
      </w:r>
      <w:r>
        <w:rPr>
          <w:b/>
          <w:spacing w:val="-4"/>
          <w:sz w:val="21"/>
        </w:rPr>
        <w:t> </w:t>
      </w:r>
      <w:r>
        <w:rPr>
          <w:b/>
          <w:sz w:val="21"/>
        </w:rPr>
        <w:t>data</w:t>
      </w:r>
      <w:r>
        <w:rPr>
          <w:b/>
          <w:spacing w:val="-5"/>
          <w:sz w:val="21"/>
        </w:rPr>
        <w:t> </w:t>
      </w:r>
      <w:r>
        <w:rPr>
          <w:b/>
          <w:sz w:val="21"/>
        </w:rPr>
        <w:t>collection</w:t>
      </w:r>
      <w:r>
        <w:rPr>
          <w:b/>
          <w:spacing w:val="-4"/>
          <w:sz w:val="21"/>
        </w:rPr>
        <w:t> </w:t>
      </w:r>
      <w:r>
        <w:rPr>
          <w:b/>
          <w:sz w:val="21"/>
        </w:rPr>
        <w:t>standards</w:t>
      </w:r>
      <w:r>
        <w:rPr>
          <w:b/>
          <w:spacing w:val="-4"/>
          <w:sz w:val="21"/>
        </w:rPr>
        <w:t> </w:t>
      </w:r>
      <w:r>
        <w:rPr>
          <w:b/>
          <w:sz w:val="21"/>
        </w:rPr>
        <w:t>and</w:t>
      </w:r>
      <w:r>
        <w:rPr>
          <w:b/>
          <w:spacing w:val="-4"/>
          <w:sz w:val="21"/>
        </w:rPr>
        <w:t> </w:t>
      </w:r>
      <w:r>
        <w:rPr>
          <w:b/>
          <w:sz w:val="21"/>
        </w:rPr>
        <w:t>data</w:t>
      </w:r>
      <w:r>
        <w:rPr>
          <w:b/>
          <w:spacing w:val="-5"/>
          <w:sz w:val="21"/>
        </w:rPr>
        <w:t> </w:t>
      </w:r>
      <w:r>
        <w:rPr>
          <w:b/>
          <w:sz w:val="21"/>
        </w:rPr>
        <w:t>fields</w:t>
      </w:r>
      <w:r>
        <w:rPr>
          <w:b/>
          <w:spacing w:val="-4"/>
          <w:sz w:val="21"/>
        </w:rPr>
        <w:t> </w:t>
      </w:r>
      <w:r>
        <w:rPr>
          <w:b/>
          <w:sz w:val="21"/>
        </w:rPr>
        <w:t>to</w:t>
      </w:r>
      <w:r>
        <w:rPr>
          <w:b/>
          <w:spacing w:val="-4"/>
          <w:sz w:val="21"/>
        </w:rPr>
        <w:t> </w:t>
      </w:r>
      <w:r>
        <w:rPr>
          <w:b/>
          <w:sz w:val="21"/>
        </w:rPr>
        <w:t>include</w:t>
      </w:r>
      <w:r>
        <w:rPr>
          <w:b/>
          <w:spacing w:val="-5"/>
          <w:sz w:val="21"/>
        </w:rPr>
        <w:t> </w:t>
      </w:r>
      <w:r>
        <w:rPr>
          <w:b/>
          <w:sz w:val="21"/>
        </w:rPr>
        <w:t>more</w:t>
      </w:r>
      <w:r>
        <w:rPr>
          <w:b/>
          <w:spacing w:val="-5"/>
          <w:sz w:val="21"/>
        </w:rPr>
        <w:t> </w:t>
      </w:r>
      <w:r>
        <w:rPr>
          <w:b/>
          <w:sz w:val="21"/>
        </w:rPr>
        <w:t>expansive</w:t>
      </w:r>
      <w:r>
        <w:rPr>
          <w:b/>
          <w:spacing w:val="-5"/>
          <w:sz w:val="21"/>
        </w:rPr>
        <w:t> </w:t>
      </w:r>
      <w:r>
        <w:rPr>
          <w:b/>
          <w:sz w:val="21"/>
        </w:rPr>
        <w:t>gender</w:t>
      </w:r>
      <w:r>
        <w:rPr>
          <w:b/>
          <w:spacing w:val="-5"/>
          <w:sz w:val="21"/>
        </w:rPr>
        <w:t> </w:t>
      </w:r>
      <w:r>
        <w:rPr>
          <w:b/>
          <w:sz w:val="21"/>
        </w:rPr>
        <w:t>identity markers and provide trainings on the necessity of SOGIE data collection.</w:t>
      </w:r>
    </w:p>
    <w:p>
      <w:pPr>
        <w:spacing w:line="276" w:lineRule="auto" w:before="240"/>
        <w:ind w:left="483" w:right="341" w:firstLine="0"/>
        <w:jc w:val="both"/>
        <w:rPr>
          <w:sz w:val="21"/>
        </w:rPr>
      </w:pPr>
      <w:r>
        <w:rPr>
          <w:sz w:val="21"/>
        </w:rPr>
        <w:t>For</w:t>
      </w:r>
      <w:r>
        <w:rPr>
          <w:spacing w:val="-4"/>
          <w:sz w:val="21"/>
        </w:rPr>
        <w:t> </w:t>
      </w:r>
      <w:r>
        <w:rPr>
          <w:sz w:val="21"/>
        </w:rPr>
        <w:t>several</w:t>
      </w:r>
      <w:r>
        <w:rPr>
          <w:spacing w:val="-4"/>
          <w:sz w:val="21"/>
        </w:rPr>
        <w:t> </w:t>
      </w:r>
      <w:r>
        <w:rPr>
          <w:sz w:val="21"/>
        </w:rPr>
        <w:t>years,</w:t>
      </w:r>
      <w:r>
        <w:rPr>
          <w:spacing w:val="-4"/>
          <w:sz w:val="21"/>
        </w:rPr>
        <w:t> </w:t>
      </w:r>
      <w:r>
        <w:rPr>
          <w:sz w:val="21"/>
        </w:rPr>
        <w:t>the</w:t>
      </w:r>
      <w:r>
        <w:rPr>
          <w:spacing w:val="-4"/>
          <w:sz w:val="21"/>
        </w:rPr>
        <w:t> </w:t>
      </w:r>
      <w:r>
        <w:rPr>
          <w:sz w:val="21"/>
        </w:rPr>
        <w:t>Commission</w:t>
      </w:r>
      <w:r>
        <w:rPr>
          <w:spacing w:val="-4"/>
          <w:sz w:val="21"/>
        </w:rPr>
        <w:t> </w:t>
      </w:r>
      <w:r>
        <w:rPr>
          <w:sz w:val="21"/>
        </w:rPr>
        <w:t>has</w:t>
      </w:r>
      <w:r>
        <w:rPr>
          <w:spacing w:val="-5"/>
          <w:sz w:val="21"/>
        </w:rPr>
        <w:t> </w:t>
      </w:r>
      <w:r>
        <w:rPr>
          <w:sz w:val="21"/>
        </w:rPr>
        <w:t>issued</w:t>
      </w:r>
      <w:r>
        <w:rPr>
          <w:spacing w:val="-4"/>
          <w:sz w:val="21"/>
        </w:rPr>
        <w:t> </w:t>
      </w:r>
      <w:r>
        <w:rPr>
          <w:sz w:val="21"/>
        </w:rPr>
        <w:t>this</w:t>
      </w:r>
      <w:r>
        <w:rPr>
          <w:spacing w:val="-5"/>
          <w:sz w:val="21"/>
        </w:rPr>
        <w:t> </w:t>
      </w:r>
      <w:r>
        <w:rPr>
          <w:sz w:val="21"/>
        </w:rPr>
        <w:t>recommendation</w:t>
      </w:r>
      <w:r>
        <w:rPr>
          <w:spacing w:val="-4"/>
          <w:sz w:val="21"/>
        </w:rPr>
        <w:t> </w:t>
      </w:r>
      <w:r>
        <w:rPr>
          <w:sz w:val="21"/>
        </w:rPr>
        <w:t>to</w:t>
      </w:r>
      <w:r>
        <w:rPr>
          <w:spacing w:val="-4"/>
          <w:sz w:val="21"/>
        </w:rPr>
        <w:t> </w:t>
      </w:r>
      <w:r>
        <w:rPr>
          <w:sz w:val="21"/>
        </w:rPr>
        <w:t>MCB</w:t>
      </w:r>
      <w:r>
        <w:rPr>
          <w:spacing w:val="-4"/>
          <w:sz w:val="21"/>
        </w:rPr>
        <w:t> </w:t>
      </w:r>
      <w:r>
        <w:rPr>
          <w:sz w:val="21"/>
        </w:rPr>
        <w:t>and</w:t>
      </w:r>
      <w:r>
        <w:rPr>
          <w:spacing w:val="-4"/>
          <w:sz w:val="21"/>
        </w:rPr>
        <w:t> </w:t>
      </w:r>
      <w:r>
        <w:rPr>
          <w:sz w:val="21"/>
        </w:rPr>
        <w:t>saw</w:t>
      </w:r>
      <w:r>
        <w:rPr>
          <w:spacing w:val="-4"/>
          <w:sz w:val="21"/>
        </w:rPr>
        <w:t> </w:t>
      </w:r>
      <w:r>
        <w:rPr>
          <w:sz w:val="21"/>
        </w:rPr>
        <w:t>significant</w:t>
      </w:r>
      <w:r>
        <w:rPr>
          <w:spacing w:val="-4"/>
          <w:sz w:val="21"/>
        </w:rPr>
        <w:t> </w:t>
      </w:r>
      <w:r>
        <w:rPr>
          <w:sz w:val="21"/>
        </w:rPr>
        <w:t>progress</w:t>
      </w:r>
      <w:r>
        <w:rPr>
          <w:spacing w:val="-5"/>
          <w:sz w:val="21"/>
        </w:rPr>
        <w:t> </w:t>
      </w:r>
      <w:r>
        <w:rPr>
          <w:sz w:val="21"/>
        </w:rPr>
        <w:t>on</w:t>
      </w:r>
      <w:r>
        <w:rPr>
          <w:spacing w:val="-4"/>
          <w:sz w:val="21"/>
        </w:rPr>
        <w:t> </w:t>
      </w:r>
      <w:r>
        <w:rPr>
          <w:sz w:val="21"/>
        </w:rPr>
        <w:t>its data collection efforts, which have continued. The Commission understands that MCB is in the process of finalizing</w:t>
      </w:r>
      <w:r>
        <w:rPr>
          <w:spacing w:val="-7"/>
          <w:sz w:val="21"/>
        </w:rPr>
        <w:t> </w:t>
      </w:r>
      <w:r>
        <w:rPr>
          <w:sz w:val="21"/>
        </w:rPr>
        <w:t>data</w:t>
      </w:r>
      <w:r>
        <w:rPr>
          <w:spacing w:val="-6"/>
          <w:sz w:val="21"/>
        </w:rPr>
        <w:t> </w:t>
      </w:r>
      <w:r>
        <w:rPr>
          <w:sz w:val="21"/>
        </w:rPr>
        <w:t>fields</w:t>
      </w:r>
      <w:r>
        <w:rPr>
          <w:spacing w:val="-7"/>
          <w:sz w:val="21"/>
        </w:rPr>
        <w:t> </w:t>
      </w:r>
      <w:r>
        <w:rPr>
          <w:sz w:val="21"/>
        </w:rPr>
        <w:t>in</w:t>
      </w:r>
      <w:r>
        <w:rPr>
          <w:spacing w:val="-7"/>
          <w:sz w:val="21"/>
        </w:rPr>
        <w:t> </w:t>
      </w:r>
      <w:r>
        <w:rPr>
          <w:sz w:val="21"/>
        </w:rPr>
        <w:t>its</w:t>
      </w:r>
      <w:r>
        <w:rPr>
          <w:spacing w:val="-8"/>
          <w:sz w:val="21"/>
        </w:rPr>
        <w:t> </w:t>
      </w:r>
      <w:r>
        <w:rPr>
          <w:sz w:val="21"/>
        </w:rPr>
        <w:t>registration</w:t>
      </w:r>
      <w:r>
        <w:rPr>
          <w:spacing w:val="-7"/>
          <w:sz w:val="21"/>
        </w:rPr>
        <w:t> </w:t>
      </w:r>
      <w:r>
        <w:rPr>
          <w:sz w:val="21"/>
        </w:rPr>
        <w:t>software</w:t>
      </w:r>
      <w:r>
        <w:rPr>
          <w:spacing w:val="-7"/>
          <w:sz w:val="21"/>
        </w:rPr>
        <w:t> </w:t>
      </w:r>
      <w:r>
        <w:rPr>
          <w:sz w:val="21"/>
        </w:rPr>
        <w:t>that</w:t>
      </w:r>
      <w:r>
        <w:rPr>
          <w:spacing w:val="-7"/>
          <w:sz w:val="21"/>
        </w:rPr>
        <w:t> </w:t>
      </w:r>
      <w:r>
        <w:rPr>
          <w:sz w:val="21"/>
        </w:rPr>
        <w:t>capture</w:t>
      </w:r>
      <w:r>
        <w:rPr>
          <w:spacing w:val="-7"/>
          <w:sz w:val="21"/>
        </w:rPr>
        <w:t> </w:t>
      </w:r>
      <w:r>
        <w:rPr>
          <w:sz w:val="21"/>
        </w:rPr>
        <w:t>pronouns</w:t>
      </w:r>
      <w:r>
        <w:rPr>
          <w:spacing w:val="-7"/>
          <w:sz w:val="21"/>
        </w:rPr>
        <w:t> </w:t>
      </w:r>
      <w:r>
        <w:rPr>
          <w:sz w:val="21"/>
        </w:rPr>
        <w:t>and</w:t>
      </w:r>
      <w:r>
        <w:rPr>
          <w:spacing w:val="-8"/>
          <w:sz w:val="21"/>
        </w:rPr>
        <w:t> </w:t>
      </w:r>
      <w:r>
        <w:rPr>
          <w:sz w:val="21"/>
        </w:rPr>
        <w:t>SOGI</w:t>
      </w:r>
      <w:r>
        <w:rPr>
          <w:spacing w:val="-7"/>
          <w:sz w:val="21"/>
        </w:rPr>
        <w:t> </w:t>
      </w:r>
      <w:r>
        <w:rPr>
          <w:sz w:val="21"/>
        </w:rPr>
        <w:t>information</w:t>
      </w:r>
      <w:r>
        <w:rPr>
          <w:spacing w:val="-7"/>
          <w:sz w:val="21"/>
        </w:rPr>
        <w:t> </w:t>
      </w:r>
      <w:r>
        <w:rPr>
          <w:sz w:val="21"/>
        </w:rPr>
        <w:t>and</w:t>
      </w:r>
      <w:r>
        <w:rPr>
          <w:spacing w:val="-7"/>
          <w:sz w:val="21"/>
        </w:rPr>
        <w:t> </w:t>
      </w:r>
      <w:r>
        <w:rPr>
          <w:sz w:val="21"/>
        </w:rPr>
        <w:t>ensuring</w:t>
      </w:r>
      <w:r>
        <w:rPr>
          <w:spacing w:val="-7"/>
          <w:sz w:val="21"/>
        </w:rPr>
        <w:t> </w:t>
      </w:r>
      <w:r>
        <w:rPr>
          <w:sz w:val="21"/>
        </w:rPr>
        <w:t>that the data fields are mandatory.</w:t>
      </w:r>
    </w:p>
    <w:p>
      <w:pPr>
        <w:pStyle w:val="ListParagraph"/>
        <w:numPr>
          <w:ilvl w:val="0"/>
          <w:numId w:val="37"/>
        </w:numPr>
        <w:tabs>
          <w:tab w:pos="483" w:val="left" w:leader="none"/>
        </w:tabs>
        <w:spacing w:line="276" w:lineRule="auto" w:before="240" w:after="0"/>
        <w:ind w:left="483" w:right="342" w:hanging="360"/>
        <w:jc w:val="left"/>
        <w:rPr>
          <w:b/>
          <w:sz w:val="21"/>
        </w:rPr>
      </w:pPr>
      <w:r>
        <w:rPr>
          <w:b/>
          <w:sz w:val="21"/>
        </w:rPr>
        <w:t>Collaborate</w:t>
      </w:r>
      <w:r>
        <w:rPr>
          <w:b/>
          <w:spacing w:val="40"/>
          <w:sz w:val="21"/>
        </w:rPr>
        <w:t> </w:t>
      </w:r>
      <w:r>
        <w:rPr>
          <w:b/>
          <w:sz w:val="21"/>
        </w:rPr>
        <w:t>with</w:t>
      </w:r>
      <w:r>
        <w:rPr>
          <w:b/>
          <w:spacing w:val="40"/>
          <w:sz w:val="21"/>
        </w:rPr>
        <w:t> </w:t>
      </w:r>
      <w:r>
        <w:rPr>
          <w:b/>
          <w:sz w:val="21"/>
        </w:rPr>
        <w:t>the</w:t>
      </w:r>
      <w:r>
        <w:rPr>
          <w:b/>
          <w:spacing w:val="40"/>
          <w:sz w:val="21"/>
        </w:rPr>
        <w:t> </w:t>
      </w:r>
      <w:r>
        <w:rPr>
          <w:b/>
          <w:sz w:val="21"/>
        </w:rPr>
        <w:t>Commission,</w:t>
      </w:r>
      <w:r>
        <w:rPr>
          <w:b/>
          <w:spacing w:val="40"/>
          <w:sz w:val="21"/>
        </w:rPr>
        <w:t> </w:t>
      </w:r>
      <w:r>
        <w:rPr>
          <w:b/>
          <w:sz w:val="21"/>
        </w:rPr>
        <w:t>youth-serving</w:t>
      </w:r>
      <w:r>
        <w:rPr>
          <w:b/>
          <w:spacing w:val="40"/>
          <w:sz w:val="21"/>
        </w:rPr>
        <w:t> </w:t>
      </w:r>
      <w:r>
        <w:rPr>
          <w:b/>
          <w:sz w:val="21"/>
        </w:rPr>
        <w:t>agencies,</w:t>
      </w:r>
      <w:r>
        <w:rPr>
          <w:b/>
          <w:spacing w:val="40"/>
          <w:sz w:val="21"/>
        </w:rPr>
        <w:t> </w:t>
      </w:r>
      <w:r>
        <w:rPr>
          <w:b/>
          <w:sz w:val="21"/>
        </w:rPr>
        <w:t>and</w:t>
      </w:r>
      <w:r>
        <w:rPr>
          <w:b/>
          <w:spacing w:val="40"/>
          <w:sz w:val="21"/>
        </w:rPr>
        <w:t> </w:t>
      </w:r>
      <w:r>
        <w:rPr>
          <w:b/>
          <w:sz w:val="21"/>
        </w:rPr>
        <w:t>other</w:t>
      </w:r>
      <w:r>
        <w:rPr>
          <w:b/>
          <w:spacing w:val="40"/>
          <w:sz w:val="21"/>
        </w:rPr>
        <w:t> </w:t>
      </w:r>
      <w:r>
        <w:rPr>
          <w:b/>
          <w:sz w:val="21"/>
        </w:rPr>
        <w:t>community</w:t>
      </w:r>
      <w:r>
        <w:rPr>
          <w:b/>
          <w:spacing w:val="40"/>
          <w:sz w:val="21"/>
        </w:rPr>
        <w:t> </w:t>
      </w:r>
      <w:r>
        <w:rPr>
          <w:b/>
          <w:sz w:val="21"/>
        </w:rPr>
        <w:t>partners</w:t>
      </w:r>
      <w:r>
        <w:rPr>
          <w:b/>
          <w:spacing w:val="40"/>
          <w:sz w:val="21"/>
        </w:rPr>
        <w:t> </w:t>
      </w:r>
      <w:r>
        <w:rPr>
          <w:b/>
          <w:sz w:val="21"/>
        </w:rPr>
        <w:t>on</w:t>
      </w:r>
      <w:r>
        <w:rPr>
          <w:b/>
          <w:spacing w:val="40"/>
          <w:sz w:val="21"/>
        </w:rPr>
        <w:t> </w:t>
      </w:r>
      <w:r>
        <w:rPr>
          <w:b/>
          <w:sz w:val="21"/>
        </w:rPr>
        <w:t>resource development and community support.</w:t>
      </w:r>
    </w:p>
    <w:p>
      <w:pPr>
        <w:spacing w:line="276" w:lineRule="auto" w:before="240"/>
        <w:ind w:left="483" w:right="340" w:firstLine="0"/>
        <w:jc w:val="both"/>
        <w:rPr>
          <w:sz w:val="21"/>
        </w:rPr>
      </w:pPr>
      <w:r>
        <w:rPr>
          <w:sz w:val="21"/>
        </w:rPr>
        <w:t>The Commission has heard from youth frequently that finding accessible spaces for blind LGBTQ youth, similarly to Deaf and hard of hearing youth, can be difficult across the space. The Commission recommends that MCB explore existing and new relationships to better understand existing LGBTQ spaces for blind community members, and to help fill gaps where appropriate.</w:t>
      </w:r>
    </w:p>
    <w:p>
      <w:pPr>
        <w:spacing w:after="0" w:line="276" w:lineRule="auto"/>
        <w:jc w:val="both"/>
        <w:rPr>
          <w:sz w:val="21"/>
        </w:rPr>
        <w:sectPr>
          <w:pgSz w:w="12240" w:h="15840"/>
          <w:pgMar w:header="804" w:footer="1263" w:top="1000" w:bottom="1460" w:left="960" w:right="1100"/>
        </w:sectPr>
      </w:pPr>
    </w:p>
    <w:p>
      <w:pPr>
        <w:pStyle w:val="BodyText"/>
        <w:rPr>
          <w:sz w:val="20"/>
        </w:rPr>
      </w:pPr>
    </w:p>
    <w:p>
      <w:pPr>
        <w:pStyle w:val="BodyText"/>
        <w:rPr>
          <w:sz w:val="20"/>
        </w:rPr>
      </w:pPr>
    </w:p>
    <w:p>
      <w:pPr>
        <w:pStyle w:val="BodyText"/>
        <w:spacing w:before="73" w:after="1"/>
        <w:rPr>
          <w:sz w:val="20"/>
        </w:rPr>
      </w:pPr>
    </w:p>
    <w:p>
      <w:pPr>
        <w:pStyle w:val="BodyText"/>
        <w:spacing w:line="20" w:lineRule="exact"/>
        <w:ind w:left="440"/>
        <w:rPr>
          <w:sz w:val="2"/>
        </w:rPr>
      </w:pPr>
      <w:r>
        <w:rPr>
          <w:sz w:val="2"/>
        </w:rPr>
        <mc:AlternateContent>
          <mc:Choice Requires="wps">
            <w:drawing>
              <wp:inline distT="0" distB="0" distL="0" distR="0">
                <wp:extent cx="6350" cy="12700"/>
                <wp:effectExtent l="0" t="0" r="0" b="0"/>
                <wp:docPr id="574" name="Group 574"/>
                <wp:cNvGraphicFramePr>
                  <a:graphicFrameLocks/>
                </wp:cNvGraphicFramePr>
                <a:graphic>
                  <a:graphicData uri="http://schemas.microsoft.com/office/word/2010/wordprocessingGroup">
                    <wpg:wgp>
                      <wpg:cNvPr id="574" name="Group 574"/>
                      <wpg:cNvGrpSpPr/>
                      <wpg:grpSpPr>
                        <a:xfrm>
                          <a:off x="0" y="0"/>
                          <a:ext cx="6350" cy="12700"/>
                          <a:chExt cx="6350" cy="12700"/>
                        </a:xfrm>
                      </wpg:grpSpPr>
                      <wps:wsp>
                        <wps:cNvPr id="575" name="Graphic 575"/>
                        <wps:cNvSpPr/>
                        <wps:spPr>
                          <a:xfrm>
                            <a:off x="0" y="0"/>
                            <a:ext cx="6350" cy="12700"/>
                          </a:xfrm>
                          <a:custGeom>
                            <a:avLst/>
                            <a:gdLst/>
                            <a:ahLst/>
                            <a:cxnLst/>
                            <a:rect l="l" t="t" r="r" b="b"/>
                            <a:pathLst>
                              <a:path w="6350" h="12700">
                                <a:moveTo>
                                  <a:pt x="6337" y="0"/>
                                </a:moveTo>
                                <a:lnTo>
                                  <a:pt x="0" y="0"/>
                                </a:lnTo>
                                <a:lnTo>
                                  <a:pt x="0" y="12192"/>
                                </a:lnTo>
                                <a:lnTo>
                                  <a:pt x="6337" y="12192"/>
                                </a:lnTo>
                                <a:lnTo>
                                  <a:pt x="6337" y="0"/>
                                </a:lnTo>
                                <a:close/>
                              </a:path>
                            </a:pathLst>
                          </a:custGeom>
                          <a:solidFill>
                            <a:srgbClr val="4F81BB"/>
                          </a:solidFill>
                        </wps:spPr>
                        <wps:bodyPr wrap="square" lIns="0" tIns="0" rIns="0" bIns="0" rtlCol="0">
                          <a:prstTxWarp prst="textNoShape">
                            <a:avLst/>
                          </a:prstTxWarp>
                          <a:noAutofit/>
                        </wps:bodyPr>
                      </wps:wsp>
                    </wpg:wgp>
                  </a:graphicData>
                </a:graphic>
              </wp:inline>
            </w:drawing>
          </mc:Choice>
          <mc:Fallback>
            <w:pict>
              <v:group style="width:.5pt;height:1pt;mso-position-horizontal-relative:char;mso-position-vertical-relative:line" id="docshapegroup471" coordorigin="0,0" coordsize="10,20">
                <v:rect style="position:absolute;left:0;top:0;width:10;height:20" id="docshape472" filled="true" fillcolor="#4f81bb" stroked="false">
                  <v:fill type="solid"/>
                </v:rect>
              </v:group>
            </w:pict>
          </mc:Fallback>
        </mc:AlternateContent>
      </w:r>
      <w:r>
        <w:rPr>
          <w:sz w:val="2"/>
        </w:rPr>
      </w:r>
    </w:p>
    <w:p>
      <w:pPr>
        <w:pStyle w:val="Heading7"/>
      </w:pPr>
      <w:bookmarkStart w:name="_bookmark628" w:id="935"/>
      <w:bookmarkEnd w:id="935"/>
      <w:r>
        <w:rPr/>
      </w:r>
      <w:hyperlink w:history="true" w:anchor="_bookmark6">
        <w:r>
          <w:rPr>
            <w:color w:val="365F91"/>
            <w:spacing w:val="-8"/>
          </w:rPr>
          <w:t>Commission</w:t>
        </w:r>
        <w:r>
          <w:rPr>
            <w:color w:val="365F91"/>
            <w:spacing w:val="-14"/>
          </w:rPr>
          <w:t> </w:t>
        </w:r>
        <w:r>
          <w:rPr>
            <w:color w:val="365F91"/>
            <w:spacing w:val="-8"/>
          </w:rPr>
          <w:t>for</w:t>
        </w:r>
        <w:r>
          <w:rPr>
            <w:color w:val="365F91"/>
            <w:spacing w:val="-13"/>
          </w:rPr>
          <w:t> </w:t>
        </w:r>
        <w:r>
          <w:rPr>
            <w:color w:val="365F91"/>
            <w:spacing w:val="-8"/>
          </w:rPr>
          <w:t>the</w:t>
        </w:r>
        <w:r>
          <w:rPr>
            <w:color w:val="365F91"/>
            <w:spacing w:val="-12"/>
          </w:rPr>
          <w:t> </w:t>
        </w:r>
        <w:r>
          <w:rPr>
            <w:color w:val="365F91"/>
            <w:spacing w:val="-8"/>
          </w:rPr>
          <w:t>Deaf</w:t>
        </w:r>
        <w:r>
          <w:rPr>
            <w:color w:val="365F91"/>
            <w:spacing w:val="-12"/>
          </w:rPr>
          <w:t> </w:t>
        </w:r>
        <w:r>
          <w:rPr>
            <w:color w:val="365F91"/>
            <w:spacing w:val="-8"/>
          </w:rPr>
          <w:t>and</w:t>
        </w:r>
        <w:r>
          <w:rPr>
            <w:color w:val="365F91"/>
            <w:spacing w:val="-12"/>
          </w:rPr>
          <w:t> </w:t>
        </w:r>
        <w:r>
          <w:rPr>
            <w:color w:val="365F91"/>
            <w:spacing w:val="-8"/>
          </w:rPr>
          <w:t>Hard</w:t>
        </w:r>
        <w:r>
          <w:rPr>
            <w:color w:val="365F91"/>
            <w:spacing w:val="-13"/>
          </w:rPr>
          <w:t> </w:t>
        </w:r>
        <w:r>
          <w:rPr>
            <w:color w:val="365F91"/>
            <w:spacing w:val="-8"/>
          </w:rPr>
          <w:t>of</w:t>
        </w:r>
        <w:r>
          <w:rPr>
            <w:color w:val="365F91"/>
            <w:spacing w:val="-12"/>
          </w:rPr>
          <w:t> </w:t>
        </w:r>
        <w:r>
          <w:rPr>
            <w:color w:val="365F91"/>
            <w:spacing w:val="-8"/>
          </w:rPr>
          <w:t>Hearing</w:t>
        </w:r>
      </w:hyperlink>
    </w:p>
    <w:p>
      <w:pPr>
        <w:pStyle w:val="BodyText"/>
        <w:rPr>
          <w:sz w:val="20"/>
        </w:rPr>
      </w:pPr>
    </w:p>
    <w:p>
      <w:pPr>
        <w:pStyle w:val="BodyText"/>
        <w:spacing w:before="140"/>
        <w:rPr>
          <w:sz w:val="20"/>
        </w:rPr>
      </w:pPr>
      <w:r>
        <w:rPr/>
        <mc:AlternateContent>
          <mc:Choice Requires="wps">
            <w:drawing>
              <wp:anchor distT="0" distB="0" distL="0" distR="0" allowOverlap="1" layoutInCell="1" locked="0" behindDoc="1" simplePos="0" relativeHeight="487699968">
                <wp:simplePos x="0" y="0"/>
                <wp:positionH relativeFrom="page">
                  <wp:posOffset>889000</wp:posOffset>
                </wp:positionH>
                <wp:positionV relativeFrom="paragraph">
                  <wp:posOffset>259777</wp:posOffset>
                </wp:positionV>
                <wp:extent cx="6350" cy="12700"/>
                <wp:effectExtent l="0" t="0" r="0" b="0"/>
                <wp:wrapTopAndBottom/>
                <wp:docPr id="576" name="Graphic 576"/>
                <wp:cNvGraphicFramePr>
                  <a:graphicFrameLocks/>
                </wp:cNvGraphicFramePr>
                <a:graphic>
                  <a:graphicData uri="http://schemas.microsoft.com/office/word/2010/wordprocessingShape">
                    <wps:wsp>
                      <wps:cNvPr id="576" name="Graphic 576"/>
                      <wps:cNvSpPr/>
                      <wps:spPr>
                        <a:xfrm>
                          <a:off x="0" y="0"/>
                          <a:ext cx="6350" cy="12700"/>
                        </a:xfrm>
                        <a:custGeom>
                          <a:avLst/>
                          <a:gdLst/>
                          <a:ahLst/>
                          <a:cxnLst/>
                          <a:rect l="l" t="t" r="r" b="b"/>
                          <a:pathLst>
                            <a:path w="6350" h="12700">
                              <a:moveTo>
                                <a:pt x="6337" y="0"/>
                              </a:moveTo>
                              <a:lnTo>
                                <a:pt x="0" y="0"/>
                              </a:lnTo>
                              <a:lnTo>
                                <a:pt x="0" y="12192"/>
                              </a:lnTo>
                              <a:lnTo>
                                <a:pt x="6337" y="12192"/>
                              </a:lnTo>
                              <a:lnTo>
                                <a:pt x="6337" y="0"/>
                              </a:lnTo>
                              <a:close/>
                            </a:path>
                          </a:pathLst>
                        </a:custGeom>
                        <a:solidFill>
                          <a:srgbClr val="4F81BB"/>
                        </a:solidFill>
                      </wps:spPr>
                      <wps:bodyPr wrap="square" lIns="0" tIns="0" rIns="0" bIns="0" rtlCol="0">
                        <a:prstTxWarp prst="textNoShape">
                          <a:avLst/>
                        </a:prstTxWarp>
                        <a:noAutofit/>
                      </wps:bodyPr>
                    </wps:wsp>
                  </a:graphicData>
                </a:graphic>
              </wp:anchor>
            </w:drawing>
          </mc:Choice>
          <mc:Fallback>
            <w:pict>
              <v:rect style="position:absolute;margin-left:70pt;margin-top:20.454906pt;width:.499pt;height:.96pt;mso-position-horizontal-relative:page;mso-position-vertical-relative:paragraph;z-index:-15616512;mso-wrap-distance-left:0;mso-wrap-distance-right:0" id="docshape473" filled="true" fillcolor="#4f81bb" stroked="false">
                <v:fill type="solid"/>
                <w10:wrap type="topAndBottom"/>
              </v:rect>
            </w:pict>
          </mc:Fallback>
        </mc:AlternateContent>
      </w:r>
    </w:p>
    <w:p>
      <w:pPr>
        <w:spacing w:before="0"/>
        <w:ind w:left="483" w:right="0" w:firstLine="0"/>
        <w:jc w:val="left"/>
        <w:rPr>
          <w:sz w:val="28"/>
        </w:rPr>
      </w:pPr>
      <w:r>
        <w:rPr>
          <w:color w:val="365F91"/>
          <w:sz w:val="28"/>
        </w:rPr>
        <w:t>FY2025</w:t>
      </w:r>
      <w:r>
        <w:rPr>
          <w:color w:val="365F91"/>
          <w:spacing w:val="-13"/>
          <w:sz w:val="28"/>
        </w:rPr>
        <w:t> </w:t>
      </w:r>
      <w:r>
        <w:rPr>
          <w:color w:val="365F91"/>
          <w:spacing w:val="-2"/>
          <w:sz w:val="28"/>
        </w:rPr>
        <w:t>Recommendations</w:t>
      </w:r>
    </w:p>
    <w:p>
      <w:pPr>
        <w:pStyle w:val="BodyText"/>
        <w:spacing w:before="10"/>
        <w:rPr>
          <w:sz w:val="3"/>
        </w:rPr>
      </w:pPr>
      <w:r>
        <w:rPr/>
        <mc:AlternateContent>
          <mc:Choice Requires="wps">
            <w:drawing>
              <wp:anchor distT="0" distB="0" distL="0" distR="0" allowOverlap="1" layoutInCell="1" locked="0" behindDoc="1" simplePos="0" relativeHeight="487700480">
                <wp:simplePos x="0" y="0"/>
                <wp:positionH relativeFrom="page">
                  <wp:posOffset>897636</wp:posOffset>
                </wp:positionH>
                <wp:positionV relativeFrom="paragraph">
                  <wp:posOffset>45391</wp:posOffset>
                </wp:positionV>
                <wp:extent cx="5976620" cy="6350"/>
                <wp:effectExtent l="0" t="0" r="0" b="0"/>
                <wp:wrapTopAndBottom/>
                <wp:docPr id="577" name="Graphic 577"/>
                <wp:cNvGraphicFramePr>
                  <a:graphicFrameLocks/>
                </wp:cNvGraphicFramePr>
                <a:graphic>
                  <a:graphicData uri="http://schemas.microsoft.com/office/word/2010/wordprocessingShape">
                    <wps:wsp>
                      <wps:cNvPr id="577" name="Graphic 577"/>
                      <wps:cNvSpPr/>
                      <wps:spPr>
                        <a:xfrm>
                          <a:off x="0" y="0"/>
                          <a:ext cx="5976620" cy="6350"/>
                        </a:xfrm>
                        <a:custGeom>
                          <a:avLst/>
                          <a:gdLst/>
                          <a:ahLst/>
                          <a:cxnLst/>
                          <a:rect l="l" t="t" r="r" b="b"/>
                          <a:pathLst>
                            <a:path w="5976620" h="6350">
                              <a:moveTo>
                                <a:pt x="5976366" y="0"/>
                              </a:moveTo>
                              <a:lnTo>
                                <a:pt x="0" y="0"/>
                              </a:lnTo>
                              <a:lnTo>
                                <a:pt x="0" y="6096"/>
                              </a:lnTo>
                              <a:lnTo>
                                <a:pt x="5976366" y="6096"/>
                              </a:lnTo>
                              <a:lnTo>
                                <a:pt x="5976366" y="0"/>
                              </a:lnTo>
                              <a:close/>
                            </a:path>
                          </a:pathLst>
                        </a:custGeom>
                        <a:solidFill>
                          <a:srgbClr val="4F81BC"/>
                        </a:solidFill>
                      </wps:spPr>
                      <wps:bodyPr wrap="square" lIns="0" tIns="0" rIns="0" bIns="0" rtlCol="0">
                        <a:prstTxWarp prst="textNoShape">
                          <a:avLst/>
                        </a:prstTxWarp>
                        <a:noAutofit/>
                      </wps:bodyPr>
                    </wps:wsp>
                  </a:graphicData>
                </a:graphic>
              </wp:anchor>
            </w:drawing>
          </mc:Choice>
          <mc:Fallback>
            <w:pict>
              <v:rect style="position:absolute;margin-left:70.680pt;margin-top:3.574156pt;width:470.58pt;height:.48pt;mso-position-horizontal-relative:page;mso-position-vertical-relative:paragraph;z-index:-15616000;mso-wrap-distance-left:0;mso-wrap-distance-right:0" id="docshape474" filled="true" fillcolor="#4f81bc" stroked="false">
                <v:fill type="solid"/>
                <w10:wrap type="topAndBottom"/>
              </v:rect>
            </w:pict>
          </mc:Fallback>
        </mc:AlternateContent>
      </w:r>
    </w:p>
    <w:p>
      <w:pPr>
        <w:pStyle w:val="ListParagraph"/>
        <w:numPr>
          <w:ilvl w:val="1"/>
          <w:numId w:val="37"/>
        </w:numPr>
        <w:tabs>
          <w:tab w:pos="1057" w:val="left" w:leader="none"/>
          <w:tab w:pos="1059" w:val="left" w:leader="none"/>
        </w:tabs>
        <w:spacing w:line="264" w:lineRule="auto" w:before="241" w:after="0"/>
        <w:ind w:left="1059" w:right="631" w:hanging="361"/>
        <w:jc w:val="left"/>
        <w:rPr>
          <w:sz w:val="22"/>
        </w:rPr>
      </w:pPr>
      <w:r>
        <w:rPr>
          <w:sz w:val="22"/>
        </w:rPr>
        <w:t>Continue to evaluate how to improve data collection standards to capture SOGI demographic data of clients.</w:t>
      </w:r>
    </w:p>
    <w:p>
      <w:pPr>
        <w:pStyle w:val="ListParagraph"/>
        <w:numPr>
          <w:ilvl w:val="1"/>
          <w:numId w:val="37"/>
        </w:numPr>
        <w:tabs>
          <w:tab w:pos="1057" w:val="left" w:leader="none"/>
          <w:tab w:pos="1059" w:val="left" w:leader="none"/>
        </w:tabs>
        <w:spacing w:line="264" w:lineRule="auto" w:before="0" w:after="0"/>
        <w:ind w:left="1059" w:right="627" w:hanging="361"/>
        <w:jc w:val="left"/>
        <w:rPr>
          <w:sz w:val="22"/>
        </w:rPr>
      </w:pPr>
      <w:r>
        <w:rPr>
          <w:sz w:val="22"/>
        </w:rPr>
        <w:t>Provide</w:t>
      </w:r>
      <w:r>
        <w:rPr>
          <w:spacing w:val="40"/>
          <w:sz w:val="22"/>
        </w:rPr>
        <w:t> </w:t>
      </w:r>
      <w:r>
        <w:rPr>
          <w:sz w:val="22"/>
        </w:rPr>
        <w:t>professional</w:t>
      </w:r>
      <w:r>
        <w:rPr>
          <w:spacing w:val="40"/>
          <w:sz w:val="22"/>
        </w:rPr>
        <w:t> </w:t>
      </w:r>
      <w:r>
        <w:rPr>
          <w:sz w:val="22"/>
        </w:rPr>
        <w:t>development</w:t>
      </w:r>
      <w:r>
        <w:rPr>
          <w:spacing w:val="40"/>
          <w:sz w:val="22"/>
        </w:rPr>
        <w:t> </w:t>
      </w:r>
      <w:r>
        <w:rPr>
          <w:sz w:val="22"/>
        </w:rPr>
        <w:t>opportunities</w:t>
      </w:r>
      <w:r>
        <w:rPr>
          <w:spacing w:val="40"/>
          <w:sz w:val="22"/>
        </w:rPr>
        <w:t> </w:t>
      </w:r>
      <w:r>
        <w:rPr>
          <w:sz w:val="22"/>
        </w:rPr>
        <w:t>that</w:t>
      </w:r>
      <w:r>
        <w:rPr>
          <w:spacing w:val="40"/>
          <w:sz w:val="22"/>
        </w:rPr>
        <w:t> </w:t>
      </w:r>
      <w:r>
        <w:rPr>
          <w:sz w:val="22"/>
        </w:rPr>
        <w:t>prioritize</w:t>
      </w:r>
      <w:r>
        <w:rPr>
          <w:spacing w:val="40"/>
          <w:sz w:val="22"/>
        </w:rPr>
        <w:t> </w:t>
      </w:r>
      <w:r>
        <w:rPr>
          <w:sz w:val="22"/>
        </w:rPr>
        <w:t>intersectionality</w:t>
      </w:r>
      <w:r>
        <w:rPr>
          <w:spacing w:val="40"/>
          <w:sz w:val="22"/>
        </w:rPr>
        <w:t> </w:t>
      </w:r>
      <w:r>
        <w:rPr>
          <w:sz w:val="22"/>
        </w:rPr>
        <w:t>and</w:t>
      </w:r>
      <w:r>
        <w:rPr>
          <w:spacing w:val="40"/>
          <w:sz w:val="22"/>
        </w:rPr>
        <w:t> </w:t>
      </w:r>
      <w:r>
        <w:rPr>
          <w:sz w:val="22"/>
        </w:rPr>
        <w:t>center LGBTQ cultural engagement, adultism, and racial equity.</w:t>
      </w:r>
    </w:p>
    <w:p>
      <w:pPr>
        <w:pStyle w:val="ListParagraph"/>
        <w:numPr>
          <w:ilvl w:val="1"/>
          <w:numId w:val="37"/>
        </w:numPr>
        <w:tabs>
          <w:tab w:pos="1058" w:val="left" w:leader="none"/>
          <w:tab w:pos="1060" w:val="left" w:leader="none"/>
        </w:tabs>
        <w:spacing w:line="264" w:lineRule="auto" w:before="1" w:after="0"/>
        <w:ind w:left="1060" w:right="630" w:hanging="361"/>
        <w:jc w:val="left"/>
        <w:rPr>
          <w:sz w:val="22"/>
        </w:rPr>
      </w:pPr>
      <w:r>
        <w:rPr>
          <w:sz w:val="22"/>
        </w:rPr>
        <w:t>Expand</w:t>
      </w:r>
      <w:r>
        <w:rPr>
          <w:spacing w:val="40"/>
          <w:sz w:val="22"/>
        </w:rPr>
        <w:t> </w:t>
      </w:r>
      <w:r>
        <w:rPr>
          <w:sz w:val="22"/>
        </w:rPr>
        <w:t>resource</w:t>
      </w:r>
      <w:r>
        <w:rPr>
          <w:spacing w:val="40"/>
          <w:sz w:val="22"/>
        </w:rPr>
        <w:t> </w:t>
      </w:r>
      <w:r>
        <w:rPr>
          <w:sz w:val="22"/>
        </w:rPr>
        <w:t>development</w:t>
      </w:r>
      <w:r>
        <w:rPr>
          <w:spacing w:val="40"/>
          <w:sz w:val="22"/>
        </w:rPr>
        <w:t> </w:t>
      </w:r>
      <w:r>
        <w:rPr>
          <w:sz w:val="22"/>
        </w:rPr>
        <w:t>in</w:t>
      </w:r>
      <w:r>
        <w:rPr>
          <w:spacing w:val="40"/>
          <w:sz w:val="22"/>
        </w:rPr>
        <w:t> </w:t>
      </w:r>
      <w:r>
        <w:rPr>
          <w:sz w:val="22"/>
        </w:rPr>
        <w:t>partnership</w:t>
      </w:r>
      <w:r>
        <w:rPr>
          <w:spacing w:val="40"/>
          <w:sz w:val="22"/>
        </w:rPr>
        <w:t> </w:t>
      </w:r>
      <w:r>
        <w:rPr>
          <w:sz w:val="22"/>
        </w:rPr>
        <w:t>with</w:t>
      </w:r>
      <w:r>
        <w:rPr>
          <w:spacing w:val="40"/>
          <w:sz w:val="22"/>
        </w:rPr>
        <w:t> </w:t>
      </w:r>
      <w:r>
        <w:rPr>
          <w:sz w:val="22"/>
        </w:rPr>
        <w:t>youth,</w:t>
      </w:r>
      <w:r>
        <w:rPr>
          <w:spacing w:val="40"/>
          <w:sz w:val="22"/>
        </w:rPr>
        <w:t> </w:t>
      </w:r>
      <w:r>
        <w:rPr>
          <w:sz w:val="22"/>
        </w:rPr>
        <w:t>families,</w:t>
      </w:r>
      <w:r>
        <w:rPr>
          <w:spacing w:val="40"/>
          <w:sz w:val="22"/>
        </w:rPr>
        <w:t> </w:t>
      </w:r>
      <w:r>
        <w:rPr>
          <w:sz w:val="22"/>
        </w:rPr>
        <w:t>and</w:t>
      </w:r>
      <w:r>
        <w:rPr>
          <w:spacing w:val="40"/>
          <w:sz w:val="22"/>
        </w:rPr>
        <w:t> </w:t>
      </w:r>
      <w:r>
        <w:rPr>
          <w:sz w:val="22"/>
        </w:rPr>
        <w:t>LGBTQ</w:t>
      </w:r>
      <w:r>
        <w:rPr>
          <w:spacing w:val="40"/>
          <w:sz w:val="22"/>
        </w:rPr>
        <w:t> </w:t>
      </w:r>
      <w:r>
        <w:rPr>
          <w:sz w:val="22"/>
        </w:rPr>
        <w:t>community organizations across the Commonwealth.</w:t>
      </w:r>
    </w:p>
    <w:p>
      <w:pPr>
        <w:pStyle w:val="BodyText"/>
        <w:spacing w:before="190"/>
        <w:rPr>
          <w:sz w:val="20"/>
        </w:rPr>
      </w:pPr>
      <w:r>
        <w:rPr/>
        <mc:AlternateContent>
          <mc:Choice Requires="wps">
            <w:drawing>
              <wp:anchor distT="0" distB="0" distL="0" distR="0" allowOverlap="1" layoutInCell="1" locked="0" behindDoc="1" simplePos="0" relativeHeight="487700992">
                <wp:simplePos x="0" y="0"/>
                <wp:positionH relativeFrom="page">
                  <wp:posOffset>889000</wp:posOffset>
                </wp:positionH>
                <wp:positionV relativeFrom="paragraph">
                  <wp:posOffset>291464</wp:posOffset>
                </wp:positionV>
                <wp:extent cx="6350" cy="12700"/>
                <wp:effectExtent l="0" t="0" r="0" b="0"/>
                <wp:wrapTopAndBottom/>
                <wp:docPr id="578" name="Graphic 578"/>
                <wp:cNvGraphicFramePr>
                  <a:graphicFrameLocks/>
                </wp:cNvGraphicFramePr>
                <a:graphic>
                  <a:graphicData uri="http://schemas.microsoft.com/office/word/2010/wordprocessingShape">
                    <wps:wsp>
                      <wps:cNvPr id="578" name="Graphic 578"/>
                      <wps:cNvSpPr/>
                      <wps:spPr>
                        <a:xfrm>
                          <a:off x="0" y="0"/>
                          <a:ext cx="6350" cy="12700"/>
                        </a:xfrm>
                        <a:custGeom>
                          <a:avLst/>
                          <a:gdLst/>
                          <a:ahLst/>
                          <a:cxnLst/>
                          <a:rect l="l" t="t" r="r" b="b"/>
                          <a:pathLst>
                            <a:path w="6350" h="12700">
                              <a:moveTo>
                                <a:pt x="6337" y="0"/>
                              </a:moveTo>
                              <a:lnTo>
                                <a:pt x="0" y="0"/>
                              </a:lnTo>
                              <a:lnTo>
                                <a:pt x="0" y="12191"/>
                              </a:lnTo>
                              <a:lnTo>
                                <a:pt x="6337" y="12191"/>
                              </a:lnTo>
                              <a:lnTo>
                                <a:pt x="6337" y="0"/>
                              </a:lnTo>
                              <a:close/>
                            </a:path>
                          </a:pathLst>
                        </a:custGeom>
                        <a:solidFill>
                          <a:srgbClr val="4F81BB"/>
                        </a:solidFill>
                      </wps:spPr>
                      <wps:bodyPr wrap="square" lIns="0" tIns="0" rIns="0" bIns="0" rtlCol="0">
                        <a:prstTxWarp prst="textNoShape">
                          <a:avLst/>
                        </a:prstTxWarp>
                        <a:noAutofit/>
                      </wps:bodyPr>
                    </wps:wsp>
                  </a:graphicData>
                </a:graphic>
              </wp:anchor>
            </w:drawing>
          </mc:Choice>
          <mc:Fallback>
            <w:pict>
              <v:rect style="position:absolute;margin-left:70pt;margin-top:22.949953pt;width:.499pt;height:.96pt;mso-position-horizontal-relative:page;mso-position-vertical-relative:paragraph;z-index:-15615488;mso-wrap-distance-left:0;mso-wrap-distance-right:0" id="docshape475" filled="true" fillcolor="#4f81bb" stroked="false">
                <v:fill type="solid"/>
                <w10:wrap type="topAndBottom"/>
              </v:rect>
            </w:pict>
          </mc:Fallback>
        </mc:AlternateContent>
      </w:r>
    </w:p>
    <w:p>
      <w:pPr>
        <w:spacing w:before="120"/>
        <w:ind w:left="483" w:right="0" w:firstLine="0"/>
        <w:jc w:val="left"/>
        <w:rPr>
          <w:sz w:val="28"/>
        </w:rPr>
      </w:pPr>
      <w:r>
        <w:rPr>
          <w:color w:val="365F91"/>
          <w:spacing w:val="-2"/>
          <w:sz w:val="28"/>
        </w:rPr>
        <w:t>Introduction</w:t>
      </w:r>
    </w:p>
    <w:p>
      <w:pPr>
        <w:pStyle w:val="BodyText"/>
        <w:spacing w:before="10"/>
        <w:rPr>
          <w:sz w:val="3"/>
        </w:rPr>
      </w:pPr>
      <w:r>
        <w:rPr/>
        <mc:AlternateContent>
          <mc:Choice Requires="wps">
            <w:drawing>
              <wp:anchor distT="0" distB="0" distL="0" distR="0" allowOverlap="1" layoutInCell="1" locked="0" behindDoc="1" simplePos="0" relativeHeight="487701504">
                <wp:simplePos x="0" y="0"/>
                <wp:positionH relativeFrom="page">
                  <wp:posOffset>897636</wp:posOffset>
                </wp:positionH>
                <wp:positionV relativeFrom="paragraph">
                  <wp:posOffset>44921</wp:posOffset>
                </wp:positionV>
                <wp:extent cx="5976620" cy="6350"/>
                <wp:effectExtent l="0" t="0" r="0" b="0"/>
                <wp:wrapTopAndBottom/>
                <wp:docPr id="579" name="Graphic 579"/>
                <wp:cNvGraphicFramePr>
                  <a:graphicFrameLocks/>
                </wp:cNvGraphicFramePr>
                <a:graphic>
                  <a:graphicData uri="http://schemas.microsoft.com/office/word/2010/wordprocessingShape">
                    <wps:wsp>
                      <wps:cNvPr id="579" name="Graphic 579"/>
                      <wps:cNvSpPr/>
                      <wps:spPr>
                        <a:xfrm>
                          <a:off x="0" y="0"/>
                          <a:ext cx="5976620" cy="6350"/>
                        </a:xfrm>
                        <a:custGeom>
                          <a:avLst/>
                          <a:gdLst/>
                          <a:ahLst/>
                          <a:cxnLst/>
                          <a:rect l="l" t="t" r="r" b="b"/>
                          <a:pathLst>
                            <a:path w="5976620" h="6350">
                              <a:moveTo>
                                <a:pt x="5976366" y="0"/>
                              </a:moveTo>
                              <a:lnTo>
                                <a:pt x="0" y="0"/>
                              </a:lnTo>
                              <a:lnTo>
                                <a:pt x="0" y="6096"/>
                              </a:lnTo>
                              <a:lnTo>
                                <a:pt x="5976366" y="6096"/>
                              </a:lnTo>
                              <a:lnTo>
                                <a:pt x="5976366" y="0"/>
                              </a:lnTo>
                              <a:close/>
                            </a:path>
                          </a:pathLst>
                        </a:custGeom>
                        <a:solidFill>
                          <a:srgbClr val="4F81BC"/>
                        </a:solidFill>
                      </wps:spPr>
                      <wps:bodyPr wrap="square" lIns="0" tIns="0" rIns="0" bIns="0" rtlCol="0">
                        <a:prstTxWarp prst="textNoShape">
                          <a:avLst/>
                        </a:prstTxWarp>
                        <a:noAutofit/>
                      </wps:bodyPr>
                    </wps:wsp>
                  </a:graphicData>
                </a:graphic>
              </wp:anchor>
            </w:drawing>
          </mc:Choice>
          <mc:Fallback>
            <w:pict>
              <v:rect style="position:absolute;margin-left:70.680pt;margin-top:3.537156pt;width:470.58pt;height:.48pt;mso-position-horizontal-relative:page;mso-position-vertical-relative:paragraph;z-index:-15614976;mso-wrap-distance-left:0;mso-wrap-distance-right:0" id="docshape476" filled="true" fillcolor="#4f81bc" stroked="false">
                <v:fill type="solid"/>
                <w10:wrap type="topAndBottom"/>
              </v:rect>
            </w:pict>
          </mc:Fallback>
        </mc:AlternateContent>
      </w:r>
    </w:p>
    <w:p>
      <w:pPr>
        <w:pStyle w:val="BodyText"/>
        <w:spacing w:line="276" w:lineRule="auto" w:before="241"/>
        <w:ind w:left="483" w:right="340"/>
        <w:jc w:val="both"/>
      </w:pPr>
      <w:r>
        <w:rPr/>
        <w:t>The</w:t>
      </w:r>
      <w:r>
        <w:rPr>
          <w:spacing w:val="-1"/>
        </w:rPr>
        <w:t> </w:t>
      </w:r>
      <w:r>
        <w:rPr/>
        <w:t>Massachusetts Commission</w:t>
      </w:r>
      <w:r>
        <w:rPr>
          <w:spacing w:val="-1"/>
        </w:rPr>
        <w:t> </w:t>
      </w:r>
      <w:r>
        <w:rPr/>
        <w:t>for the Deaf and</w:t>
      </w:r>
      <w:r>
        <w:rPr>
          <w:spacing w:val="-1"/>
        </w:rPr>
        <w:t> </w:t>
      </w:r>
      <w:r>
        <w:rPr/>
        <w:t>Hard</w:t>
      </w:r>
      <w:r>
        <w:rPr>
          <w:spacing w:val="-1"/>
        </w:rPr>
        <w:t> </w:t>
      </w:r>
      <w:r>
        <w:rPr/>
        <w:t>of Hearing</w:t>
      </w:r>
      <w:r>
        <w:rPr>
          <w:spacing w:val="-1"/>
        </w:rPr>
        <w:t> </w:t>
      </w:r>
      <w:r>
        <w:rPr/>
        <w:t>(MCDHH) is the</w:t>
      </w:r>
      <w:r>
        <w:rPr>
          <w:spacing w:val="-1"/>
        </w:rPr>
        <w:t> </w:t>
      </w:r>
      <w:r>
        <w:rPr/>
        <w:t>principal</w:t>
      </w:r>
      <w:r>
        <w:rPr>
          <w:spacing w:val="-1"/>
        </w:rPr>
        <w:t> </w:t>
      </w:r>
      <w:r>
        <w:rPr/>
        <w:t>agency in</w:t>
      </w:r>
      <w:r>
        <w:rPr>
          <w:spacing w:val="-1"/>
        </w:rPr>
        <w:t> </w:t>
      </w:r>
      <w:r>
        <w:rPr/>
        <w:t>the Commonwealth that works on behalf of people of all ages who are Deaf and hard of hearing. MCDHH works to provide accessible communication, education, and advocacy to consumers and private and public entities so that programs, services, and opportunities throughout Massachusetts are fully accessible to persons who are Deaf and hard of hearing.</w:t>
      </w:r>
    </w:p>
    <w:p>
      <w:pPr>
        <w:pStyle w:val="BodyText"/>
        <w:spacing w:line="276" w:lineRule="auto" w:before="241"/>
        <w:ind w:left="483" w:right="341"/>
        <w:jc w:val="both"/>
      </w:pPr>
      <w:r>
        <w:rPr/>
        <w:t>Although</w:t>
      </w:r>
      <w:r>
        <w:rPr>
          <w:spacing w:val="-2"/>
        </w:rPr>
        <w:t> </w:t>
      </w:r>
      <w:r>
        <w:rPr/>
        <w:t>there</w:t>
      </w:r>
      <w:r>
        <w:rPr>
          <w:spacing w:val="-2"/>
        </w:rPr>
        <w:t> </w:t>
      </w:r>
      <w:r>
        <w:rPr/>
        <w:t>is</w:t>
      </w:r>
      <w:r>
        <w:rPr>
          <w:spacing w:val="-2"/>
        </w:rPr>
        <w:t> </w:t>
      </w:r>
      <w:r>
        <w:rPr/>
        <w:t>limited</w:t>
      </w:r>
      <w:r>
        <w:rPr>
          <w:spacing w:val="-2"/>
        </w:rPr>
        <w:t> </w:t>
      </w:r>
      <w:r>
        <w:rPr/>
        <w:t>data</w:t>
      </w:r>
      <w:r>
        <w:rPr>
          <w:spacing w:val="-2"/>
        </w:rPr>
        <w:t> </w:t>
      </w:r>
      <w:r>
        <w:rPr/>
        <w:t>and</w:t>
      </w:r>
      <w:r>
        <w:rPr>
          <w:spacing w:val="-2"/>
        </w:rPr>
        <w:t> </w:t>
      </w:r>
      <w:r>
        <w:rPr/>
        <w:t>research</w:t>
      </w:r>
      <w:r>
        <w:rPr>
          <w:spacing w:val="-2"/>
        </w:rPr>
        <w:t> </w:t>
      </w:r>
      <w:r>
        <w:rPr/>
        <w:t>available</w:t>
      </w:r>
      <w:r>
        <w:rPr>
          <w:spacing w:val="-2"/>
        </w:rPr>
        <w:t> </w:t>
      </w:r>
      <w:r>
        <w:rPr/>
        <w:t>on</w:t>
      </w:r>
      <w:r>
        <w:rPr>
          <w:spacing w:val="-2"/>
        </w:rPr>
        <w:t> </w:t>
      </w:r>
      <w:r>
        <w:rPr/>
        <w:t>the</w:t>
      </w:r>
      <w:r>
        <w:rPr>
          <w:spacing w:val="-2"/>
        </w:rPr>
        <w:t> </w:t>
      </w:r>
      <w:r>
        <w:rPr/>
        <w:t>intersections</w:t>
      </w:r>
      <w:r>
        <w:rPr>
          <w:spacing w:val="-2"/>
        </w:rPr>
        <w:t> </w:t>
      </w:r>
      <w:r>
        <w:rPr/>
        <w:t>of</w:t>
      </w:r>
      <w:r>
        <w:rPr>
          <w:spacing w:val="-2"/>
        </w:rPr>
        <w:t> </w:t>
      </w:r>
      <w:r>
        <w:rPr/>
        <w:t>LGBTQ</w:t>
      </w:r>
      <w:r>
        <w:rPr>
          <w:spacing w:val="-2"/>
        </w:rPr>
        <w:t> </w:t>
      </w:r>
      <w:r>
        <w:rPr/>
        <w:t>youth</w:t>
      </w:r>
      <w:r>
        <w:rPr>
          <w:spacing w:val="-2"/>
        </w:rPr>
        <w:t> </w:t>
      </w:r>
      <w:r>
        <w:rPr/>
        <w:t>identities</w:t>
      </w:r>
      <w:r>
        <w:rPr>
          <w:spacing w:val="-2"/>
        </w:rPr>
        <w:t> </w:t>
      </w:r>
      <w:r>
        <w:rPr/>
        <w:t>with Deaf</w:t>
      </w:r>
      <w:r>
        <w:rPr>
          <w:spacing w:val="-13"/>
        </w:rPr>
        <w:t> </w:t>
      </w:r>
      <w:r>
        <w:rPr/>
        <w:t>and</w:t>
      </w:r>
      <w:r>
        <w:rPr>
          <w:spacing w:val="-11"/>
        </w:rPr>
        <w:t> </w:t>
      </w:r>
      <w:r>
        <w:rPr/>
        <w:t>hard</w:t>
      </w:r>
      <w:r>
        <w:rPr>
          <w:spacing w:val="-13"/>
        </w:rPr>
        <w:t> </w:t>
      </w:r>
      <w:r>
        <w:rPr/>
        <w:t>of</w:t>
      </w:r>
      <w:r>
        <w:rPr>
          <w:spacing w:val="-12"/>
        </w:rPr>
        <w:t> </w:t>
      </w:r>
      <w:r>
        <w:rPr/>
        <w:t>hearing</w:t>
      </w:r>
      <w:r>
        <w:rPr>
          <w:spacing w:val="-12"/>
        </w:rPr>
        <w:t> </w:t>
      </w:r>
      <w:r>
        <w:rPr/>
        <w:t>communities,</w:t>
      </w:r>
      <w:r>
        <w:rPr>
          <w:spacing w:val="-11"/>
        </w:rPr>
        <w:t> </w:t>
      </w:r>
      <w:r>
        <w:rPr/>
        <w:t>the</w:t>
      </w:r>
      <w:r>
        <w:rPr>
          <w:spacing w:val="-13"/>
        </w:rPr>
        <w:t> </w:t>
      </w:r>
      <w:r>
        <w:rPr/>
        <w:t>Commission</w:t>
      </w:r>
      <w:r>
        <w:rPr>
          <w:spacing w:val="-12"/>
        </w:rPr>
        <w:t> </w:t>
      </w:r>
      <w:r>
        <w:rPr/>
        <w:t>understands</w:t>
      </w:r>
      <w:r>
        <w:rPr>
          <w:spacing w:val="-12"/>
        </w:rPr>
        <w:t> </w:t>
      </w:r>
      <w:r>
        <w:rPr/>
        <w:t>that</w:t>
      </w:r>
      <w:r>
        <w:rPr>
          <w:spacing w:val="-11"/>
        </w:rPr>
        <w:t> </w:t>
      </w:r>
      <w:r>
        <w:rPr/>
        <w:t>LGBTQ</w:t>
      </w:r>
      <w:r>
        <w:rPr>
          <w:spacing w:val="-13"/>
        </w:rPr>
        <w:t> </w:t>
      </w:r>
      <w:r>
        <w:rPr/>
        <w:t>Deaf</w:t>
      </w:r>
      <w:r>
        <w:rPr>
          <w:spacing w:val="-12"/>
        </w:rPr>
        <w:t> </w:t>
      </w:r>
      <w:r>
        <w:rPr/>
        <w:t>and</w:t>
      </w:r>
      <w:r>
        <w:rPr>
          <w:spacing w:val="-13"/>
        </w:rPr>
        <w:t> </w:t>
      </w:r>
      <w:r>
        <w:rPr/>
        <w:t>hard</w:t>
      </w:r>
      <w:r>
        <w:rPr>
          <w:spacing w:val="-12"/>
        </w:rPr>
        <w:t> </w:t>
      </w:r>
      <w:r>
        <w:rPr/>
        <w:t>of</w:t>
      </w:r>
      <w:r>
        <w:rPr>
          <w:spacing w:val="-12"/>
        </w:rPr>
        <w:t> </w:t>
      </w:r>
      <w:r>
        <w:rPr/>
        <w:t>hearing youth</w:t>
      </w:r>
      <w:r>
        <w:rPr>
          <w:spacing w:val="-10"/>
        </w:rPr>
        <w:t> </w:t>
      </w:r>
      <w:r>
        <w:rPr/>
        <w:t>experience</w:t>
      </w:r>
      <w:r>
        <w:rPr>
          <w:spacing w:val="-9"/>
        </w:rPr>
        <w:t> </w:t>
      </w:r>
      <w:r>
        <w:rPr/>
        <w:t>unique</w:t>
      </w:r>
      <w:r>
        <w:rPr>
          <w:spacing w:val="-9"/>
        </w:rPr>
        <w:t> </w:t>
      </w:r>
      <w:r>
        <w:rPr/>
        <w:t>challenges</w:t>
      </w:r>
      <w:r>
        <w:rPr>
          <w:spacing w:val="-9"/>
        </w:rPr>
        <w:t> </w:t>
      </w:r>
      <w:r>
        <w:rPr/>
        <w:t>in</w:t>
      </w:r>
      <w:r>
        <w:rPr>
          <w:spacing w:val="-9"/>
        </w:rPr>
        <w:t> </w:t>
      </w:r>
      <w:r>
        <w:rPr/>
        <w:t>schools,</w:t>
      </w:r>
      <w:r>
        <w:rPr>
          <w:spacing w:val="-10"/>
        </w:rPr>
        <w:t> </w:t>
      </w:r>
      <w:r>
        <w:rPr/>
        <w:t>the</w:t>
      </w:r>
      <w:r>
        <w:rPr>
          <w:spacing w:val="-9"/>
        </w:rPr>
        <w:t> </w:t>
      </w:r>
      <w:r>
        <w:rPr/>
        <w:t>workplace,</w:t>
      </w:r>
      <w:r>
        <w:rPr>
          <w:spacing w:val="-10"/>
        </w:rPr>
        <w:t> </w:t>
      </w:r>
      <w:r>
        <w:rPr/>
        <w:t>and</w:t>
      </w:r>
      <w:r>
        <w:rPr>
          <w:spacing w:val="-10"/>
        </w:rPr>
        <w:t> </w:t>
      </w:r>
      <w:r>
        <w:rPr/>
        <w:t>in</w:t>
      </w:r>
      <w:r>
        <w:rPr>
          <w:spacing w:val="-9"/>
        </w:rPr>
        <w:t> </w:t>
      </w:r>
      <w:r>
        <w:rPr/>
        <w:t>the</w:t>
      </w:r>
      <w:r>
        <w:rPr>
          <w:spacing w:val="-9"/>
        </w:rPr>
        <w:t> </w:t>
      </w:r>
      <w:r>
        <w:rPr/>
        <w:t>public.</w:t>
      </w:r>
      <w:r>
        <w:rPr>
          <w:spacing w:val="-10"/>
        </w:rPr>
        <w:t> </w:t>
      </w:r>
      <w:r>
        <w:rPr/>
        <w:t>These</w:t>
      </w:r>
      <w:r>
        <w:rPr>
          <w:spacing w:val="-9"/>
        </w:rPr>
        <w:t> </w:t>
      </w:r>
      <w:r>
        <w:rPr/>
        <w:t>challenges</w:t>
      </w:r>
      <w:r>
        <w:rPr>
          <w:spacing w:val="-9"/>
        </w:rPr>
        <w:t> </w:t>
      </w:r>
      <w:r>
        <w:rPr/>
        <w:t>include a lack of accessible communication (such as sign language interpretation or closed caption devices) in </w:t>
      </w:r>
      <w:r>
        <w:rPr>
          <w:spacing w:val="-2"/>
        </w:rPr>
        <w:t>LGBTQ</w:t>
      </w:r>
      <w:r>
        <w:rPr>
          <w:spacing w:val="-3"/>
        </w:rPr>
        <w:t> </w:t>
      </w:r>
      <w:r>
        <w:rPr>
          <w:spacing w:val="-2"/>
        </w:rPr>
        <w:t>spaces;</w:t>
      </w:r>
      <w:r>
        <w:rPr>
          <w:spacing w:val="-3"/>
        </w:rPr>
        <w:t> </w:t>
      </w:r>
      <w:r>
        <w:rPr>
          <w:spacing w:val="-2"/>
        </w:rPr>
        <w:t>and</w:t>
      </w:r>
      <w:r>
        <w:rPr>
          <w:spacing w:val="-3"/>
        </w:rPr>
        <w:t> </w:t>
      </w:r>
      <w:r>
        <w:rPr>
          <w:spacing w:val="-2"/>
        </w:rPr>
        <w:t>navigating</w:t>
      </w:r>
      <w:r>
        <w:rPr>
          <w:spacing w:val="-3"/>
        </w:rPr>
        <w:t> </w:t>
      </w:r>
      <w:r>
        <w:rPr>
          <w:spacing w:val="-2"/>
        </w:rPr>
        <w:t>being</w:t>
      </w:r>
      <w:r>
        <w:rPr>
          <w:spacing w:val="-3"/>
        </w:rPr>
        <w:t> </w:t>
      </w:r>
      <w:r>
        <w:rPr>
          <w:spacing w:val="-2"/>
        </w:rPr>
        <w:t>open</w:t>
      </w:r>
      <w:r>
        <w:rPr>
          <w:spacing w:val="-3"/>
        </w:rPr>
        <w:t> </w:t>
      </w:r>
      <w:r>
        <w:rPr>
          <w:spacing w:val="-2"/>
        </w:rPr>
        <w:t>about their sexual</w:t>
      </w:r>
      <w:r>
        <w:rPr>
          <w:spacing w:val="-3"/>
        </w:rPr>
        <w:t> </w:t>
      </w:r>
      <w:r>
        <w:rPr>
          <w:spacing w:val="-2"/>
        </w:rPr>
        <w:t>orientation</w:t>
      </w:r>
      <w:r>
        <w:rPr>
          <w:spacing w:val="-3"/>
        </w:rPr>
        <w:t> </w:t>
      </w:r>
      <w:r>
        <w:rPr>
          <w:spacing w:val="-2"/>
        </w:rPr>
        <w:t>and/or</w:t>
      </w:r>
      <w:r>
        <w:rPr>
          <w:spacing w:val="-3"/>
        </w:rPr>
        <w:t> </w:t>
      </w:r>
      <w:r>
        <w:rPr>
          <w:spacing w:val="-2"/>
        </w:rPr>
        <w:t>gender</w:t>
      </w:r>
      <w:r>
        <w:rPr>
          <w:spacing w:val="-3"/>
        </w:rPr>
        <w:t> </w:t>
      </w:r>
      <w:r>
        <w:rPr>
          <w:spacing w:val="-2"/>
        </w:rPr>
        <w:t>identity</w:t>
      </w:r>
      <w:r>
        <w:rPr>
          <w:spacing w:val="-3"/>
        </w:rPr>
        <w:t> </w:t>
      </w:r>
      <w:r>
        <w:rPr>
          <w:spacing w:val="-2"/>
        </w:rPr>
        <w:t>in</w:t>
      </w:r>
      <w:r>
        <w:rPr>
          <w:spacing w:val="-3"/>
        </w:rPr>
        <w:t> </w:t>
      </w:r>
      <w:r>
        <w:rPr>
          <w:spacing w:val="-2"/>
        </w:rPr>
        <w:t>an</w:t>
      </w:r>
      <w:r>
        <w:rPr>
          <w:spacing w:val="-3"/>
        </w:rPr>
        <w:t> </w:t>
      </w:r>
      <w:r>
        <w:rPr>
          <w:spacing w:val="-2"/>
        </w:rPr>
        <w:t>often </w:t>
      </w:r>
      <w:r>
        <w:rPr/>
        <w:t>close-knit Deaf community or with medical providers</w:t>
      </w:r>
      <w:hyperlink w:history="true" w:anchor="_bookmark629">
        <w:r>
          <w:rPr/>
          <w:t>.</w:t>
        </w:r>
        <w:r>
          <w:rPr>
            <w:vertAlign w:val="superscript"/>
          </w:rPr>
          <w:t>1</w:t>
        </w:r>
      </w:hyperlink>
      <w:r>
        <w:rPr>
          <w:vertAlign w:val="baseline"/>
        </w:rPr>
        <w:t> Additionally, finding LGBTQ community spaces within the Deaf community can be a challenge</w:t>
      </w:r>
      <w:hyperlink w:history="true" w:anchor="_bookmark630">
        <w:r>
          <w:rPr>
            <w:vertAlign w:val="superscript"/>
          </w:rPr>
          <w:t>2</w:t>
        </w:r>
      </w:hyperlink>
      <w:r>
        <w:rPr>
          <w:vertAlign w:val="baseline"/>
        </w:rPr>
        <w:t> - particularly for those who are Deafblind - though many Deaf</w:t>
      </w:r>
      <w:r>
        <w:rPr>
          <w:spacing w:val="-3"/>
          <w:vertAlign w:val="baseline"/>
        </w:rPr>
        <w:t> </w:t>
      </w:r>
      <w:r>
        <w:rPr>
          <w:vertAlign w:val="baseline"/>
        </w:rPr>
        <w:t>LGBTQ</w:t>
      </w:r>
      <w:r>
        <w:rPr>
          <w:spacing w:val="-3"/>
          <w:vertAlign w:val="baseline"/>
        </w:rPr>
        <w:t> </w:t>
      </w:r>
      <w:r>
        <w:rPr>
          <w:vertAlign w:val="baseline"/>
        </w:rPr>
        <w:t>people</w:t>
      </w:r>
      <w:r>
        <w:rPr>
          <w:spacing w:val="-3"/>
          <w:vertAlign w:val="baseline"/>
        </w:rPr>
        <w:t> </w:t>
      </w:r>
      <w:r>
        <w:rPr>
          <w:vertAlign w:val="baseline"/>
        </w:rPr>
        <w:t>note</w:t>
      </w:r>
      <w:r>
        <w:rPr>
          <w:spacing w:val="-3"/>
          <w:vertAlign w:val="baseline"/>
        </w:rPr>
        <w:t> </w:t>
      </w:r>
      <w:r>
        <w:rPr>
          <w:vertAlign w:val="baseline"/>
        </w:rPr>
        <w:t>that</w:t>
      </w:r>
      <w:r>
        <w:rPr>
          <w:spacing w:val="-3"/>
          <w:vertAlign w:val="baseline"/>
        </w:rPr>
        <w:t> </w:t>
      </w:r>
      <w:r>
        <w:rPr>
          <w:vertAlign w:val="baseline"/>
        </w:rPr>
        <w:t>Deaf</w:t>
      </w:r>
      <w:r>
        <w:rPr>
          <w:spacing w:val="-3"/>
          <w:vertAlign w:val="baseline"/>
        </w:rPr>
        <w:t> </w:t>
      </w:r>
      <w:r>
        <w:rPr>
          <w:vertAlign w:val="baseline"/>
        </w:rPr>
        <w:t>communities</w:t>
      </w:r>
      <w:r>
        <w:rPr>
          <w:spacing w:val="-3"/>
          <w:vertAlign w:val="baseline"/>
        </w:rPr>
        <w:t> </w:t>
      </w:r>
      <w:r>
        <w:rPr>
          <w:vertAlign w:val="baseline"/>
        </w:rPr>
        <w:t>often</w:t>
      </w:r>
      <w:r>
        <w:rPr>
          <w:spacing w:val="-3"/>
          <w:vertAlign w:val="baseline"/>
        </w:rPr>
        <w:t> </w:t>
      </w:r>
      <w:r>
        <w:rPr>
          <w:vertAlign w:val="baseline"/>
        </w:rPr>
        <w:t>feel</w:t>
      </w:r>
      <w:r>
        <w:rPr>
          <w:spacing w:val="-3"/>
          <w:vertAlign w:val="baseline"/>
        </w:rPr>
        <w:t> </w:t>
      </w:r>
      <w:r>
        <w:rPr>
          <w:vertAlign w:val="baseline"/>
        </w:rPr>
        <w:t>more</w:t>
      </w:r>
      <w:r>
        <w:rPr>
          <w:spacing w:val="-3"/>
          <w:vertAlign w:val="baseline"/>
        </w:rPr>
        <w:t> </w:t>
      </w:r>
      <w:r>
        <w:rPr>
          <w:vertAlign w:val="baseline"/>
        </w:rPr>
        <w:t>supportive</w:t>
      </w:r>
      <w:r>
        <w:rPr>
          <w:spacing w:val="-3"/>
          <w:vertAlign w:val="baseline"/>
        </w:rPr>
        <w:t> </w:t>
      </w:r>
      <w:r>
        <w:rPr>
          <w:vertAlign w:val="baseline"/>
        </w:rPr>
        <w:t>and</w:t>
      </w:r>
      <w:r>
        <w:rPr>
          <w:spacing w:val="-3"/>
          <w:vertAlign w:val="baseline"/>
        </w:rPr>
        <w:t> </w:t>
      </w:r>
      <w:r>
        <w:rPr>
          <w:vertAlign w:val="baseline"/>
        </w:rPr>
        <w:t>welcoming</w:t>
      </w:r>
      <w:r>
        <w:rPr>
          <w:spacing w:val="-3"/>
          <w:vertAlign w:val="baseline"/>
        </w:rPr>
        <w:t> </w:t>
      </w:r>
      <w:r>
        <w:rPr>
          <w:vertAlign w:val="baseline"/>
        </w:rPr>
        <w:t>than</w:t>
      </w:r>
      <w:r>
        <w:rPr>
          <w:spacing w:val="-3"/>
          <w:vertAlign w:val="baseline"/>
        </w:rPr>
        <w:t> </w:t>
      </w:r>
      <w:r>
        <w:rPr>
          <w:vertAlign w:val="baseline"/>
        </w:rPr>
        <w:t>hearing </w:t>
      </w:r>
      <w:r>
        <w:rPr>
          <w:spacing w:val="-2"/>
          <w:vertAlign w:val="baseline"/>
        </w:rPr>
        <w:t>communities</w:t>
      </w:r>
      <w:hyperlink w:history="true" w:anchor="_bookmark631">
        <w:r>
          <w:rPr>
            <w:spacing w:val="-2"/>
            <w:vertAlign w:val="baseline"/>
          </w:rPr>
          <w:t>.</w:t>
        </w:r>
        <w:r>
          <w:rPr>
            <w:spacing w:val="-2"/>
            <w:vertAlign w:val="superscript"/>
          </w:rPr>
          <w:t>3</w:t>
        </w:r>
      </w:hyperlink>
    </w:p>
    <w:p>
      <w:pPr>
        <w:pStyle w:val="BodyText"/>
        <w:spacing w:line="276" w:lineRule="auto" w:before="240"/>
        <w:ind w:left="483" w:right="341"/>
        <w:jc w:val="both"/>
      </w:pPr>
      <w:r>
        <w:rPr/>
        <w:t>Massachusetts census data notes that approximately 1.2 million residents are Deaf and hard of hearing, but there is currently no public information reflecting the number of Deaf and hard of hearing Massachusetts LGBTQ residents. In March of 2022, The Trevor Project released a briefing based off its national</w:t>
      </w:r>
      <w:r>
        <w:rPr>
          <w:spacing w:val="-6"/>
        </w:rPr>
        <w:t> </w:t>
      </w:r>
      <w:r>
        <w:rPr/>
        <w:t>2020</w:t>
      </w:r>
      <w:r>
        <w:rPr>
          <w:spacing w:val="-5"/>
        </w:rPr>
        <w:t> </w:t>
      </w:r>
      <w:r>
        <w:rPr/>
        <w:t>Mental</w:t>
      </w:r>
      <w:r>
        <w:rPr>
          <w:spacing w:val="-5"/>
        </w:rPr>
        <w:t> </w:t>
      </w:r>
      <w:r>
        <w:rPr/>
        <w:t>Health</w:t>
      </w:r>
      <w:r>
        <w:rPr>
          <w:spacing w:val="-7"/>
        </w:rPr>
        <w:t> </w:t>
      </w:r>
      <w:r>
        <w:rPr/>
        <w:t>Survey</w:t>
      </w:r>
      <w:r>
        <w:rPr>
          <w:spacing w:val="-5"/>
        </w:rPr>
        <w:t> </w:t>
      </w:r>
      <w:r>
        <w:rPr/>
        <w:t>that</w:t>
      </w:r>
      <w:r>
        <w:rPr>
          <w:spacing w:val="-6"/>
        </w:rPr>
        <w:t> </w:t>
      </w:r>
      <w:r>
        <w:rPr/>
        <w:t>remains</w:t>
      </w:r>
      <w:r>
        <w:rPr>
          <w:spacing w:val="-6"/>
        </w:rPr>
        <w:t> </w:t>
      </w:r>
      <w:r>
        <w:rPr/>
        <w:t>one</w:t>
      </w:r>
      <w:r>
        <w:rPr>
          <w:spacing w:val="-4"/>
        </w:rPr>
        <w:t> </w:t>
      </w:r>
      <w:r>
        <w:rPr/>
        <w:t>of</w:t>
      </w:r>
      <w:r>
        <w:rPr>
          <w:spacing w:val="-6"/>
        </w:rPr>
        <w:t> </w:t>
      </w:r>
      <w:r>
        <w:rPr/>
        <w:t>the</w:t>
      </w:r>
      <w:r>
        <w:rPr>
          <w:spacing w:val="-5"/>
        </w:rPr>
        <w:t> </w:t>
      </w:r>
      <w:r>
        <w:rPr/>
        <w:t>most</w:t>
      </w:r>
      <w:r>
        <w:rPr>
          <w:spacing w:val="-6"/>
        </w:rPr>
        <w:t> </w:t>
      </w:r>
      <w:r>
        <w:rPr/>
        <w:t>comprehensive</w:t>
      </w:r>
      <w:r>
        <w:rPr>
          <w:spacing w:val="-7"/>
        </w:rPr>
        <w:t> </w:t>
      </w:r>
      <w:r>
        <w:rPr/>
        <w:t>studies</w:t>
      </w:r>
      <w:r>
        <w:rPr>
          <w:spacing w:val="-6"/>
        </w:rPr>
        <w:t> </w:t>
      </w:r>
      <w:r>
        <w:rPr/>
        <w:t>on</w:t>
      </w:r>
      <w:r>
        <w:rPr>
          <w:spacing w:val="-5"/>
        </w:rPr>
        <w:t> </w:t>
      </w:r>
      <w:r>
        <w:rPr/>
        <w:t>Deaf</w:t>
      </w:r>
      <w:r>
        <w:rPr>
          <w:spacing w:val="-6"/>
        </w:rPr>
        <w:t> </w:t>
      </w:r>
      <w:r>
        <w:rPr/>
        <w:t>LGBTQ communities so far. Nationally, 5% of LGBTQ youth (out of a pool of 40,001) identified as experiencing deafness or hard of hearing. Within this percentage, 25% of Deaf LGBTQ youth reported that they struggled,</w:t>
      </w:r>
      <w:r>
        <w:rPr>
          <w:spacing w:val="-5"/>
        </w:rPr>
        <w:t> </w:t>
      </w:r>
      <w:r>
        <w:rPr/>
        <w:t>or</w:t>
      </w:r>
      <w:r>
        <w:rPr>
          <w:spacing w:val="-4"/>
        </w:rPr>
        <w:t> </w:t>
      </w:r>
      <w:r>
        <w:rPr/>
        <w:t>were</w:t>
      </w:r>
      <w:r>
        <w:rPr>
          <w:spacing w:val="-6"/>
        </w:rPr>
        <w:t> </w:t>
      </w:r>
      <w:r>
        <w:rPr/>
        <w:t>unable</w:t>
      </w:r>
      <w:r>
        <w:rPr>
          <w:spacing w:val="-3"/>
        </w:rPr>
        <w:t> </w:t>
      </w:r>
      <w:r>
        <w:rPr/>
        <w:t>to</w:t>
      </w:r>
      <w:r>
        <w:rPr>
          <w:spacing w:val="-5"/>
        </w:rPr>
        <w:t> </w:t>
      </w:r>
      <w:r>
        <w:rPr/>
        <w:t>access,</w:t>
      </w:r>
      <w:r>
        <w:rPr>
          <w:spacing w:val="-5"/>
        </w:rPr>
        <w:t> </w:t>
      </w:r>
      <w:r>
        <w:rPr/>
        <w:t>basic</w:t>
      </w:r>
      <w:r>
        <w:rPr>
          <w:spacing w:val="-6"/>
        </w:rPr>
        <w:t> </w:t>
      </w:r>
      <w:r>
        <w:rPr/>
        <w:t>services</w:t>
      </w:r>
      <w:r>
        <w:rPr>
          <w:spacing w:val="-5"/>
        </w:rPr>
        <w:t> </w:t>
      </w:r>
      <w:r>
        <w:rPr/>
        <w:t>to</w:t>
      </w:r>
      <w:r>
        <w:rPr>
          <w:spacing w:val="-2"/>
        </w:rPr>
        <w:t> </w:t>
      </w:r>
      <w:r>
        <w:rPr/>
        <w:t>meet</w:t>
      </w:r>
      <w:r>
        <w:rPr>
          <w:spacing w:val="-5"/>
        </w:rPr>
        <w:t> </w:t>
      </w:r>
      <w:r>
        <w:rPr/>
        <w:t>their</w:t>
      </w:r>
      <w:r>
        <w:rPr>
          <w:spacing w:val="-4"/>
        </w:rPr>
        <w:t> </w:t>
      </w:r>
      <w:r>
        <w:rPr/>
        <w:t>needs.</w:t>
      </w:r>
      <w:r>
        <w:rPr>
          <w:spacing w:val="-6"/>
        </w:rPr>
        <w:t> </w:t>
      </w:r>
      <w:r>
        <w:rPr/>
        <w:t>Furthermore,</w:t>
      </w:r>
      <w:r>
        <w:rPr>
          <w:spacing w:val="-5"/>
        </w:rPr>
        <w:t> </w:t>
      </w:r>
      <w:r>
        <w:rPr/>
        <w:t>59%</w:t>
      </w:r>
      <w:r>
        <w:rPr>
          <w:spacing w:val="-5"/>
        </w:rPr>
        <w:t> </w:t>
      </w:r>
      <w:r>
        <w:rPr/>
        <w:t>of</w:t>
      </w:r>
      <w:r>
        <w:rPr>
          <w:spacing w:val="-4"/>
        </w:rPr>
        <w:t> </w:t>
      </w:r>
      <w:r>
        <w:rPr/>
        <w:t>Deaf</w:t>
      </w:r>
      <w:r>
        <w:rPr>
          <w:spacing w:val="-5"/>
        </w:rPr>
        <w:t> </w:t>
      </w:r>
      <w:r>
        <w:rPr/>
        <w:t>LGBTQ youth reported incidents of discrimination based on their gender identity or sexual orientation which is</w:t>
      </w:r>
    </w:p>
    <w:p>
      <w:pPr>
        <w:spacing w:after="0" w:line="276" w:lineRule="auto"/>
        <w:jc w:val="both"/>
        <w:sectPr>
          <w:headerReference w:type="default" r:id="rId732"/>
          <w:footerReference w:type="default" r:id="rId733"/>
          <w:pgSz w:w="12240" w:h="15840"/>
          <w:pgMar w:header="804" w:footer="1263" w:top="1000" w:bottom="1460" w:left="960" w:right="1100"/>
        </w:sectPr>
      </w:pPr>
    </w:p>
    <w:p>
      <w:pPr>
        <w:pStyle w:val="BodyText"/>
        <w:spacing w:before="98"/>
      </w:pPr>
    </w:p>
    <w:p>
      <w:pPr>
        <w:pStyle w:val="BodyText"/>
        <w:spacing w:line="276" w:lineRule="auto"/>
        <w:ind w:left="483" w:right="344"/>
        <w:jc w:val="both"/>
        <w:rPr>
          <w:sz w:val="21"/>
        </w:rPr>
      </w:pPr>
      <w:r>
        <w:rPr/>
        <w:t>nearly 20% more than hearing youth; 1 in 2 Deaf LGBTQ youth (55%) reported that they seriously considered suicide in the past year and 1 in 4 (26%) attempted suicide</w:t>
      </w:r>
      <w:r>
        <w:rPr>
          <w:sz w:val="21"/>
        </w:rPr>
        <w:t>.</w:t>
      </w:r>
    </w:p>
    <w:p>
      <w:pPr>
        <w:spacing w:before="239"/>
        <w:ind w:left="483" w:right="0" w:firstLine="0"/>
        <w:jc w:val="both"/>
        <w:rPr>
          <w:sz w:val="24"/>
        </w:rPr>
      </w:pPr>
      <w:r>
        <w:rPr>
          <w:color w:val="365F91"/>
          <w:sz w:val="24"/>
        </w:rPr>
        <w:t>Past</w:t>
      </w:r>
      <w:r>
        <w:rPr>
          <w:color w:val="365F91"/>
          <w:spacing w:val="-5"/>
          <w:sz w:val="24"/>
        </w:rPr>
        <w:t> </w:t>
      </w:r>
      <w:r>
        <w:rPr>
          <w:color w:val="365F91"/>
          <w:sz w:val="24"/>
        </w:rPr>
        <w:t>&amp;</w:t>
      </w:r>
      <w:r>
        <w:rPr>
          <w:color w:val="365F91"/>
          <w:spacing w:val="-1"/>
          <w:sz w:val="24"/>
        </w:rPr>
        <w:t> </w:t>
      </w:r>
      <w:r>
        <w:rPr>
          <w:color w:val="365F91"/>
          <w:sz w:val="24"/>
        </w:rPr>
        <w:t>Ongoing</w:t>
      </w:r>
      <w:r>
        <w:rPr>
          <w:color w:val="365F91"/>
          <w:spacing w:val="-2"/>
          <w:sz w:val="24"/>
        </w:rPr>
        <w:t> </w:t>
      </w:r>
      <w:r>
        <w:rPr>
          <w:color w:val="365F91"/>
          <w:spacing w:val="-4"/>
          <w:sz w:val="24"/>
        </w:rPr>
        <w:t>Work</w:t>
      </w:r>
    </w:p>
    <w:p>
      <w:pPr>
        <w:pStyle w:val="BodyText"/>
        <w:spacing w:line="276" w:lineRule="auto" w:before="284"/>
        <w:ind w:left="483" w:right="342"/>
        <w:jc w:val="both"/>
      </w:pPr>
      <w:r>
        <w:rPr/>
        <w:t>The Commission has been pleased to meet </w:t>
      </w:r>
      <w:r>
        <w:rPr>
          <w:sz w:val="21"/>
        </w:rPr>
        <w:t>twice </w:t>
      </w:r>
      <w:r>
        <w:rPr/>
        <w:t>with MCDHH this past fiscal year to learn more about the</w:t>
      </w:r>
      <w:r>
        <w:rPr>
          <w:spacing w:val="-7"/>
        </w:rPr>
        <w:t> </w:t>
      </w:r>
      <w:r>
        <w:rPr/>
        <w:t>essential</w:t>
      </w:r>
      <w:r>
        <w:rPr>
          <w:spacing w:val="-5"/>
        </w:rPr>
        <w:t> </w:t>
      </w:r>
      <w:r>
        <w:rPr/>
        <w:t>services</w:t>
      </w:r>
      <w:r>
        <w:rPr>
          <w:spacing w:val="-7"/>
        </w:rPr>
        <w:t> </w:t>
      </w:r>
      <w:r>
        <w:rPr/>
        <w:t>it</w:t>
      </w:r>
      <w:r>
        <w:rPr>
          <w:spacing w:val="-7"/>
        </w:rPr>
        <w:t> </w:t>
      </w:r>
      <w:r>
        <w:rPr/>
        <w:t>provides</w:t>
      </w:r>
      <w:r>
        <w:rPr>
          <w:spacing w:val="-7"/>
        </w:rPr>
        <w:t> </w:t>
      </w:r>
      <w:r>
        <w:rPr/>
        <w:t>with</w:t>
      </w:r>
      <w:r>
        <w:rPr>
          <w:spacing w:val="-7"/>
        </w:rPr>
        <w:t> </w:t>
      </w:r>
      <w:r>
        <w:rPr/>
        <w:t>Deaf</w:t>
      </w:r>
      <w:r>
        <w:rPr>
          <w:spacing w:val="-8"/>
        </w:rPr>
        <w:t> </w:t>
      </w:r>
      <w:r>
        <w:rPr/>
        <w:t>and</w:t>
      </w:r>
      <w:r>
        <w:rPr>
          <w:spacing w:val="-7"/>
        </w:rPr>
        <w:t> </w:t>
      </w:r>
      <w:r>
        <w:rPr/>
        <w:t>hard</w:t>
      </w:r>
      <w:r>
        <w:rPr>
          <w:spacing w:val="-6"/>
        </w:rPr>
        <w:t> </w:t>
      </w:r>
      <w:r>
        <w:rPr/>
        <w:t>of</w:t>
      </w:r>
      <w:r>
        <w:rPr>
          <w:spacing w:val="-8"/>
        </w:rPr>
        <w:t> </w:t>
      </w:r>
      <w:r>
        <w:rPr/>
        <w:t>hearing</w:t>
      </w:r>
      <w:r>
        <w:rPr>
          <w:spacing w:val="-7"/>
        </w:rPr>
        <w:t> </w:t>
      </w:r>
      <w:r>
        <w:rPr/>
        <w:t>youth</w:t>
      </w:r>
      <w:r>
        <w:rPr>
          <w:spacing w:val="-7"/>
        </w:rPr>
        <w:t> </w:t>
      </w:r>
      <w:r>
        <w:rPr/>
        <w:t>in</w:t>
      </w:r>
      <w:r>
        <w:rPr>
          <w:spacing w:val="-7"/>
        </w:rPr>
        <w:t> </w:t>
      </w:r>
      <w:r>
        <w:rPr/>
        <w:t>the</w:t>
      </w:r>
      <w:r>
        <w:rPr>
          <w:spacing w:val="-7"/>
        </w:rPr>
        <w:t> </w:t>
      </w:r>
      <w:r>
        <w:rPr/>
        <w:t>Commonwealth.</w:t>
      </w:r>
      <w:r>
        <w:rPr>
          <w:spacing w:val="-8"/>
        </w:rPr>
        <w:t> </w:t>
      </w:r>
      <w:r>
        <w:rPr/>
        <w:t>Commission staff</w:t>
      </w:r>
      <w:r>
        <w:rPr>
          <w:spacing w:val="-8"/>
        </w:rPr>
        <w:t> </w:t>
      </w:r>
      <w:r>
        <w:rPr>
          <w:sz w:val="21"/>
        </w:rPr>
        <w:t>appreciated</w:t>
      </w:r>
      <w:r>
        <w:rPr>
          <w:spacing w:val="-6"/>
          <w:sz w:val="21"/>
        </w:rPr>
        <w:t> </w:t>
      </w:r>
      <w:r>
        <w:rPr/>
        <w:t>the</w:t>
      </w:r>
      <w:r>
        <w:rPr>
          <w:spacing w:val="-8"/>
        </w:rPr>
        <w:t> </w:t>
      </w:r>
      <w:r>
        <w:rPr/>
        <w:t>opportunity</w:t>
      </w:r>
      <w:r>
        <w:rPr>
          <w:spacing w:val="-8"/>
        </w:rPr>
        <w:t> </w:t>
      </w:r>
      <w:r>
        <w:rPr/>
        <w:t>to</w:t>
      </w:r>
      <w:r>
        <w:rPr>
          <w:spacing w:val="-6"/>
        </w:rPr>
        <w:t> </w:t>
      </w:r>
      <w:r>
        <w:rPr/>
        <w:t>meet</w:t>
      </w:r>
      <w:r>
        <w:rPr>
          <w:spacing w:val="-8"/>
        </w:rPr>
        <w:t> </w:t>
      </w:r>
      <w:r>
        <w:rPr/>
        <w:t>with</w:t>
      </w:r>
      <w:r>
        <w:rPr>
          <w:spacing w:val="-8"/>
        </w:rPr>
        <w:t> </w:t>
      </w:r>
      <w:r>
        <w:rPr/>
        <w:t>MCDHH</w:t>
      </w:r>
      <w:r>
        <w:rPr>
          <w:spacing w:val="-8"/>
        </w:rPr>
        <w:t> </w:t>
      </w:r>
      <w:r>
        <w:rPr/>
        <w:t>youth</w:t>
      </w:r>
      <w:r>
        <w:rPr>
          <w:spacing w:val="-8"/>
        </w:rPr>
        <w:t> </w:t>
      </w:r>
      <w:r>
        <w:rPr/>
        <w:t>specialists</w:t>
      </w:r>
      <w:r>
        <w:rPr>
          <w:spacing w:val="-7"/>
        </w:rPr>
        <w:t> </w:t>
      </w:r>
      <w:r>
        <w:rPr/>
        <w:t>in</w:t>
      </w:r>
      <w:r>
        <w:rPr>
          <w:spacing w:val="-8"/>
        </w:rPr>
        <w:t> </w:t>
      </w:r>
      <w:r>
        <w:rPr/>
        <w:t>October</w:t>
      </w:r>
      <w:r>
        <w:rPr>
          <w:spacing w:val="-8"/>
        </w:rPr>
        <w:t> </w:t>
      </w:r>
      <w:r>
        <w:rPr/>
        <w:t>of</w:t>
      </w:r>
      <w:r>
        <w:rPr>
          <w:spacing w:val="-8"/>
        </w:rPr>
        <w:t> </w:t>
      </w:r>
      <w:r>
        <w:rPr/>
        <w:t>2022</w:t>
      </w:r>
      <w:r>
        <w:rPr>
          <w:spacing w:val="-8"/>
        </w:rPr>
        <w:t> </w:t>
      </w:r>
      <w:r>
        <w:rPr/>
        <w:t>to</w:t>
      </w:r>
      <w:r>
        <w:rPr>
          <w:spacing w:val="-7"/>
        </w:rPr>
        <w:t> </w:t>
      </w:r>
      <w:r>
        <w:rPr/>
        <w:t>learn</w:t>
      </w:r>
      <w:r>
        <w:rPr>
          <w:spacing w:val="-8"/>
        </w:rPr>
        <w:t> </w:t>
      </w:r>
      <w:r>
        <w:rPr/>
        <w:t>more about</w:t>
      </w:r>
      <w:r>
        <w:rPr>
          <w:spacing w:val="-2"/>
        </w:rPr>
        <w:t> </w:t>
      </w:r>
      <w:r>
        <w:rPr/>
        <w:t>the</w:t>
      </w:r>
      <w:r>
        <w:rPr>
          <w:spacing w:val="-2"/>
        </w:rPr>
        <w:t> </w:t>
      </w:r>
      <w:r>
        <w:rPr/>
        <w:t>ongoing</w:t>
      </w:r>
      <w:r>
        <w:rPr>
          <w:spacing w:val="-3"/>
        </w:rPr>
        <w:t> </w:t>
      </w:r>
      <w:r>
        <w:rPr/>
        <w:t>work</w:t>
      </w:r>
      <w:r>
        <w:rPr>
          <w:spacing w:val="-2"/>
        </w:rPr>
        <w:t> </w:t>
      </w:r>
      <w:r>
        <w:rPr/>
        <w:t>and</w:t>
      </w:r>
      <w:r>
        <w:rPr>
          <w:spacing w:val="-2"/>
        </w:rPr>
        <w:t> </w:t>
      </w:r>
      <w:r>
        <w:rPr/>
        <w:t>need</w:t>
      </w:r>
      <w:r>
        <w:rPr>
          <w:spacing w:val="-2"/>
        </w:rPr>
        <w:t> </w:t>
      </w:r>
      <w:r>
        <w:rPr/>
        <w:t>for</w:t>
      </w:r>
      <w:r>
        <w:rPr>
          <w:spacing w:val="-3"/>
        </w:rPr>
        <w:t> </w:t>
      </w:r>
      <w:r>
        <w:rPr/>
        <w:t>youth</w:t>
      </w:r>
      <w:r>
        <w:rPr>
          <w:spacing w:val="-2"/>
        </w:rPr>
        <w:t> </w:t>
      </w:r>
      <w:r>
        <w:rPr/>
        <w:t>in</w:t>
      </w:r>
      <w:r>
        <w:rPr>
          <w:spacing w:val="-2"/>
        </w:rPr>
        <w:t> </w:t>
      </w:r>
      <w:r>
        <w:rPr/>
        <w:t>their</w:t>
      </w:r>
      <w:r>
        <w:rPr>
          <w:spacing w:val="-2"/>
        </w:rPr>
        <w:t> </w:t>
      </w:r>
      <w:r>
        <w:rPr/>
        <w:t>care.</w:t>
      </w:r>
      <w:r>
        <w:rPr>
          <w:spacing w:val="-2"/>
        </w:rPr>
        <w:t> </w:t>
      </w:r>
      <w:r>
        <w:rPr/>
        <w:t>The</w:t>
      </w:r>
      <w:r>
        <w:rPr>
          <w:spacing w:val="-2"/>
        </w:rPr>
        <w:t> </w:t>
      </w:r>
      <w:r>
        <w:rPr/>
        <w:t>specialists</w:t>
      </w:r>
      <w:r>
        <w:rPr>
          <w:spacing w:val="-3"/>
        </w:rPr>
        <w:t> </w:t>
      </w:r>
      <w:r>
        <w:rPr/>
        <w:t>work</w:t>
      </w:r>
      <w:r>
        <w:rPr>
          <w:spacing w:val="-2"/>
        </w:rPr>
        <w:t> </w:t>
      </w:r>
      <w:r>
        <w:rPr/>
        <w:t>to</w:t>
      </w:r>
      <w:r>
        <w:rPr>
          <w:spacing w:val="-2"/>
        </w:rPr>
        <w:t> </w:t>
      </w:r>
      <w:r>
        <w:rPr/>
        <w:t>provide</w:t>
      </w:r>
      <w:r>
        <w:rPr>
          <w:spacing w:val="-3"/>
        </w:rPr>
        <w:t> </w:t>
      </w:r>
      <w:r>
        <w:rPr/>
        <w:t>support</w:t>
      </w:r>
      <w:r>
        <w:rPr>
          <w:spacing w:val="-3"/>
        </w:rPr>
        <w:t> </w:t>
      </w:r>
      <w:r>
        <w:rPr/>
        <w:t>around education</w:t>
      </w:r>
      <w:r>
        <w:rPr>
          <w:spacing w:val="-3"/>
        </w:rPr>
        <w:t> </w:t>
      </w:r>
      <w:r>
        <w:rPr/>
        <w:t>and</w:t>
      </w:r>
      <w:r>
        <w:rPr>
          <w:spacing w:val="-3"/>
        </w:rPr>
        <w:t> </w:t>
      </w:r>
      <w:r>
        <w:rPr/>
        <w:t>communication</w:t>
      </w:r>
      <w:r>
        <w:rPr>
          <w:spacing w:val="-3"/>
        </w:rPr>
        <w:t> </w:t>
      </w:r>
      <w:r>
        <w:rPr/>
        <w:t>in</w:t>
      </w:r>
      <w:r>
        <w:rPr>
          <w:spacing w:val="-3"/>
        </w:rPr>
        <w:t> </w:t>
      </w:r>
      <w:r>
        <w:rPr/>
        <w:t>schools</w:t>
      </w:r>
      <w:r>
        <w:rPr>
          <w:spacing w:val="-3"/>
        </w:rPr>
        <w:t> </w:t>
      </w:r>
      <w:r>
        <w:rPr/>
        <w:t>and</w:t>
      </w:r>
      <w:r>
        <w:rPr>
          <w:spacing w:val="-3"/>
        </w:rPr>
        <w:t> </w:t>
      </w:r>
      <w:r>
        <w:rPr/>
        <w:t>hospitals</w:t>
      </w:r>
      <w:r>
        <w:rPr>
          <w:spacing w:val="-3"/>
        </w:rPr>
        <w:t> </w:t>
      </w:r>
      <w:r>
        <w:rPr/>
        <w:t>for</w:t>
      </w:r>
      <w:r>
        <w:rPr>
          <w:spacing w:val="-3"/>
        </w:rPr>
        <w:t> </w:t>
      </w:r>
      <w:r>
        <w:rPr/>
        <w:t>youth</w:t>
      </w:r>
      <w:r>
        <w:rPr>
          <w:spacing w:val="-3"/>
        </w:rPr>
        <w:t> </w:t>
      </w:r>
      <w:r>
        <w:rPr/>
        <w:t>under</w:t>
      </w:r>
      <w:r>
        <w:rPr>
          <w:spacing w:val="-3"/>
        </w:rPr>
        <w:t> </w:t>
      </w:r>
      <w:r>
        <w:rPr/>
        <w:t>the</w:t>
      </w:r>
      <w:r>
        <w:rPr>
          <w:spacing w:val="-3"/>
        </w:rPr>
        <w:t> </w:t>
      </w:r>
      <w:r>
        <w:rPr/>
        <w:t>age</w:t>
      </w:r>
      <w:r>
        <w:rPr>
          <w:spacing w:val="-1"/>
        </w:rPr>
        <w:t> </w:t>
      </w:r>
      <w:r>
        <w:rPr/>
        <w:t>of</w:t>
      </w:r>
      <w:r>
        <w:rPr>
          <w:spacing w:val="-3"/>
        </w:rPr>
        <w:t> </w:t>
      </w:r>
      <w:r>
        <w:rPr/>
        <w:t>23;</w:t>
      </w:r>
      <w:r>
        <w:rPr>
          <w:spacing w:val="-3"/>
        </w:rPr>
        <w:t> </w:t>
      </w:r>
      <w:r>
        <w:rPr/>
        <w:t>MCDHH</w:t>
      </w:r>
      <w:r>
        <w:rPr>
          <w:spacing w:val="-3"/>
        </w:rPr>
        <w:t> </w:t>
      </w:r>
      <w:r>
        <w:rPr/>
        <w:t>specialists also</w:t>
      </w:r>
      <w:r>
        <w:rPr>
          <w:spacing w:val="-9"/>
        </w:rPr>
        <w:t> </w:t>
      </w:r>
      <w:r>
        <w:rPr/>
        <w:t>work</w:t>
      </w:r>
      <w:r>
        <w:rPr>
          <w:spacing w:val="-10"/>
        </w:rPr>
        <w:t> </w:t>
      </w:r>
      <w:r>
        <w:rPr/>
        <w:t>to</w:t>
      </w:r>
      <w:r>
        <w:rPr>
          <w:spacing w:val="-9"/>
        </w:rPr>
        <w:t> </w:t>
      </w:r>
      <w:r>
        <w:rPr/>
        <w:t>provide</w:t>
      </w:r>
      <w:r>
        <w:rPr>
          <w:spacing w:val="-10"/>
        </w:rPr>
        <w:t> </w:t>
      </w:r>
      <w:r>
        <w:rPr/>
        <w:t>support</w:t>
      </w:r>
      <w:r>
        <w:rPr>
          <w:spacing w:val="-10"/>
        </w:rPr>
        <w:t> </w:t>
      </w:r>
      <w:r>
        <w:rPr/>
        <w:t>to</w:t>
      </w:r>
      <w:r>
        <w:rPr>
          <w:spacing w:val="-9"/>
        </w:rPr>
        <w:t> </w:t>
      </w:r>
      <w:r>
        <w:rPr/>
        <w:t>families</w:t>
      </w:r>
      <w:r>
        <w:rPr>
          <w:spacing w:val="-9"/>
        </w:rPr>
        <w:t> </w:t>
      </w:r>
      <w:r>
        <w:rPr/>
        <w:t>and</w:t>
      </w:r>
      <w:r>
        <w:rPr>
          <w:spacing w:val="-10"/>
        </w:rPr>
        <w:t> </w:t>
      </w:r>
      <w:r>
        <w:rPr/>
        <w:t>their</w:t>
      </w:r>
      <w:r>
        <w:rPr>
          <w:spacing w:val="-10"/>
        </w:rPr>
        <w:t> </w:t>
      </w:r>
      <w:r>
        <w:rPr/>
        <w:t>youth.</w:t>
      </w:r>
      <w:r>
        <w:rPr>
          <w:spacing w:val="-9"/>
        </w:rPr>
        <w:t> </w:t>
      </w:r>
      <w:r>
        <w:rPr/>
        <w:t>Overwhelmingly,</w:t>
      </w:r>
      <w:r>
        <w:rPr>
          <w:spacing w:val="-8"/>
        </w:rPr>
        <w:t> </w:t>
      </w:r>
      <w:r>
        <w:rPr/>
        <w:t>the</w:t>
      </w:r>
      <w:r>
        <w:rPr>
          <w:spacing w:val="-10"/>
        </w:rPr>
        <w:t> </w:t>
      </w:r>
      <w:r>
        <w:rPr/>
        <w:t>specialists</w:t>
      </w:r>
      <w:r>
        <w:rPr>
          <w:spacing w:val="-9"/>
        </w:rPr>
        <w:t> </w:t>
      </w:r>
      <w:r>
        <w:rPr/>
        <w:t>noted</w:t>
      </w:r>
      <w:r>
        <w:rPr>
          <w:spacing w:val="-10"/>
        </w:rPr>
        <w:t> </w:t>
      </w:r>
      <w:r>
        <w:rPr/>
        <w:t>that</w:t>
      </w:r>
      <w:r>
        <w:rPr>
          <w:spacing w:val="-10"/>
        </w:rPr>
        <w:t> </w:t>
      </w:r>
      <w:r>
        <w:rPr/>
        <w:t>more resources and support for youth workers, families, and youth themselves is needed in the Commonwealth.</w:t>
      </w:r>
      <w:r>
        <w:rPr>
          <w:spacing w:val="-1"/>
        </w:rPr>
        <w:t> </w:t>
      </w:r>
      <w:r>
        <w:rPr/>
        <w:t>One</w:t>
      </w:r>
      <w:r>
        <w:rPr>
          <w:spacing w:val="-1"/>
        </w:rPr>
        <w:t> </w:t>
      </w:r>
      <w:r>
        <w:rPr/>
        <w:t>area that</w:t>
      </w:r>
      <w:r>
        <w:rPr>
          <w:spacing w:val="-2"/>
        </w:rPr>
        <w:t> </w:t>
      </w:r>
      <w:r>
        <w:rPr/>
        <w:t>was noted</w:t>
      </w:r>
      <w:r>
        <w:rPr>
          <w:spacing w:val="-2"/>
        </w:rPr>
        <w:t> </w:t>
      </w:r>
      <w:r>
        <w:rPr/>
        <w:t>was</w:t>
      </w:r>
      <w:r>
        <w:rPr>
          <w:spacing w:val="-1"/>
        </w:rPr>
        <w:t> </w:t>
      </w:r>
      <w:r>
        <w:rPr/>
        <w:t>the</w:t>
      </w:r>
      <w:r>
        <w:rPr>
          <w:spacing w:val="-1"/>
        </w:rPr>
        <w:t> </w:t>
      </w:r>
      <w:r>
        <w:rPr/>
        <w:t>need</w:t>
      </w:r>
      <w:r>
        <w:rPr>
          <w:spacing w:val="-2"/>
        </w:rPr>
        <w:t> </w:t>
      </w:r>
      <w:r>
        <w:rPr/>
        <w:t>for</w:t>
      </w:r>
      <w:r>
        <w:rPr>
          <w:spacing w:val="-2"/>
        </w:rPr>
        <w:t> </w:t>
      </w:r>
      <w:r>
        <w:rPr/>
        <w:t>LGBTQ</w:t>
      </w:r>
      <w:r>
        <w:rPr>
          <w:spacing w:val="-2"/>
        </w:rPr>
        <w:t> </w:t>
      </w:r>
      <w:r>
        <w:rPr/>
        <w:t>resources</w:t>
      </w:r>
      <w:r>
        <w:rPr>
          <w:spacing w:val="-1"/>
        </w:rPr>
        <w:t> </w:t>
      </w:r>
      <w:r>
        <w:rPr/>
        <w:t>and</w:t>
      </w:r>
      <w:r>
        <w:rPr>
          <w:spacing w:val="-2"/>
        </w:rPr>
        <w:t> </w:t>
      </w:r>
      <w:r>
        <w:rPr/>
        <w:t>support</w:t>
      </w:r>
      <w:r>
        <w:rPr>
          <w:spacing w:val="-2"/>
        </w:rPr>
        <w:t> </w:t>
      </w:r>
      <w:r>
        <w:rPr/>
        <w:t>for</w:t>
      </w:r>
      <w:r>
        <w:rPr>
          <w:spacing w:val="-2"/>
        </w:rPr>
        <w:t> </w:t>
      </w:r>
      <w:r>
        <w:rPr/>
        <w:t>children</w:t>
      </w:r>
      <w:r>
        <w:rPr>
          <w:spacing w:val="-1"/>
        </w:rPr>
        <w:t> </w:t>
      </w:r>
      <w:r>
        <w:rPr/>
        <w:t>of deaf adults (CODAs), who often feel as though they don’t fit in Deaf or hearing communities.</w:t>
      </w:r>
    </w:p>
    <w:p>
      <w:pPr>
        <w:pStyle w:val="BodyText"/>
        <w:spacing w:line="276" w:lineRule="auto" w:before="241"/>
        <w:ind w:left="483" w:right="342"/>
        <w:jc w:val="both"/>
      </w:pPr>
      <w:r>
        <w:rPr/>
        <w:t>The</w:t>
      </w:r>
      <w:r>
        <w:rPr>
          <w:spacing w:val="-11"/>
        </w:rPr>
        <w:t> </w:t>
      </w:r>
      <w:r>
        <w:rPr/>
        <w:t>Commission</w:t>
      </w:r>
      <w:r>
        <w:rPr>
          <w:spacing w:val="-11"/>
        </w:rPr>
        <w:t> </w:t>
      </w:r>
      <w:r>
        <w:rPr/>
        <w:t>looks</w:t>
      </w:r>
      <w:r>
        <w:rPr>
          <w:spacing w:val="-11"/>
        </w:rPr>
        <w:t> </w:t>
      </w:r>
      <w:r>
        <w:rPr/>
        <w:t>forward</w:t>
      </w:r>
      <w:r>
        <w:rPr>
          <w:spacing w:val="-11"/>
        </w:rPr>
        <w:t> </w:t>
      </w:r>
      <w:r>
        <w:rPr/>
        <w:t>to</w:t>
      </w:r>
      <w:r>
        <w:rPr>
          <w:spacing w:val="-11"/>
        </w:rPr>
        <w:t> </w:t>
      </w:r>
      <w:r>
        <w:rPr/>
        <w:t>working</w:t>
      </w:r>
      <w:r>
        <w:rPr>
          <w:spacing w:val="-11"/>
        </w:rPr>
        <w:t> </w:t>
      </w:r>
      <w:r>
        <w:rPr/>
        <w:t>with</w:t>
      </w:r>
      <w:r>
        <w:rPr>
          <w:spacing w:val="-11"/>
        </w:rPr>
        <w:t> </w:t>
      </w:r>
      <w:r>
        <w:rPr/>
        <w:t>MCDHH</w:t>
      </w:r>
      <w:r>
        <w:rPr>
          <w:spacing w:val="-11"/>
        </w:rPr>
        <w:t> </w:t>
      </w:r>
      <w:r>
        <w:rPr/>
        <w:t>to</w:t>
      </w:r>
      <w:r>
        <w:rPr>
          <w:spacing w:val="-11"/>
        </w:rPr>
        <w:t> </w:t>
      </w:r>
      <w:r>
        <w:rPr/>
        <w:t>address</w:t>
      </w:r>
      <w:r>
        <w:rPr>
          <w:spacing w:val="-11"/>
        </w:rPr>
        <w:t> </w:t>
      </w:r>
      <w:r>
        <w:rPr/>
        <w:t>these</w:t>
      </w:r>
      <w:r>
        <w:rPr>
          <w:spacing w:val="-11"/>
        </w:rPr>
        <w:t> </w:t>
      </w:r>
      <w:r>
        <w:rPr/>
        <w:t>concerns</w:t>
      </w:r>
      <w:r>
        <w:rPr>
          <w:spacing w:val="-11"/>
        </w:rPr>
        <w:t> </w:t>
      </w:r>
      <w:r>
        <w:rPr/>
        <w:t>and</w:t>
      </w:r>
      <w:r>
        <w:rPr>
          <w:spacing w:val="-11"/>
        </w:rPr>
        <w:t> </w:t>
      </w:r>
      <w:r>
        <w:rPr/>
        <w:t>to</w:t>
      </w:r>
      <w:r>
        <w:rPr>
          <w:spacing w:val="-11"/>
        </w:rPr>
        <w:t> </w:t>
      </w:r>
      <w:r>
        <w:rPr/>
        <w:t>improve</w:t>
      </w:r>
      <w:r>
        <w:rPr>
          <w:spacing w:val="-11"/>
        </w:rPr>
        <w:t> </w:t>
      </w:r>
      <w:r>
        <w:rPr/>
        <w:t>its</w:t>
      </w:r>
      <w:r>
        <w:rPr>
          <w:spacing w:val="-11"/>
        </w:rPr>
        <w:t> </w:t>
      </w:r>
      <w:r>
        <w:rPr/>
        <w:t>own work in becoming more accessible for all LGBTQ communities in the Commonwealth in FY 202</w:t>
      </w:r>
      <w:r>
        <w:rPr>
          <w:sz w:val="21"/>
        </w:rPr>
        <w:t>5</w:t>
      </w:r>
      <w:r>
        <w:rPr/>
        <w:t>. Given the</w:t>
      </w:r>
      <w:r>
        <w:rPr>
          <w:spacing w:val="-6"/>
        </w:rPr>
        <w:t> </w:t>
      </w:r>
      <w:r>
        <w:rPr/>
        <w:t>serious</w:t>
      </w:r>
      <w:r>
        <w:rPr>
          <w:spacing w:val="-5"/>
        </w:rPr>
        <w:t> </w:t>
      </w:r>
      <w:r>
        <w:rPr/>
        <w:t>lack</w:t>
      </w:r>
      <w:r>
        <w:rPr>
          <w:spacing w:val="-6"/>
        </w:rPr>
        <w:t> </w:t>
      </w:r>
      <w:r>
        <w:rPr/>
        <w:t>of</w:t>
      </w:r>
      <w:r>
        <w:rPr>
          <w:spacing w:val="-5"/>
        </w:rPr>
        <w:t> </w:t>
      </w:r>
      <w:r>
        <w:rPr/>
        <w:t>available</w:t>
      </w:r>
      <w:r>
        <w:rPr>
          <w:spacing w:val="-6"/>
        </w:rPr>
        <w:t> </w:t>
      </w:r>
      <w:r>
        <w:rPr/>
        <w:t>Massachusetts-specific</w:t>
      </w:r>
      <w:r>
        <w:rPr>
          <w:spacing w:val="-5"/>
        </w:rPr>
        <w:t> </w:t>
      </w:r>
      <w:r>
        <w:rPr/>
        <w:t>data</w:t>
      </w:r>
      <w:r>
        <w:rPr>
          <w:spacing w:val="-5"/>
        </w:rPr>
        <w:t> </w:t>
      </w:r>
      <w:r>
        <w:rPr/>
        <w:t>on</w:t>
      </w:r>
      <w:r>
        <w:rPr>
          <w:spacing w:val="-6"/>
        </w:rPr>
        <w:t> </w:t>
      </w:r>
      <w:r>
        <w:rPr/>
        <w:t>the</w:t>
      </w:r>
      <w:r>
        <w:rPr>
          <w:spacing w:val="-4"/>
        </w:rPr>
        <w:t> </w:t>
      </w:r>
      <w:r>
        <w:rPr/>
        <w:t>needs</w:t>
      </w:r>
      <w:r>
        <w:rPr>
          <w:spacing w:val="-5"/>
        </w:rPr>
        <w:t> </w:t>
      </w:r>
      <w:r>
        <w:rPr/>
        <w:t>of</w:t>
      </w:r>
      <w:r>
        <w:rPr>
          <w:spacing w:val="-5"/>
        </w:rPr>
        <w:t> </w:t>
      </w:r>
      <w:r>
        <w:rPr/>
        <w:t>Deaf</w:t>
      </w:r>
      <w:r>
        <w:rPr>
          <w:spacing w:val="-5"/>
        </w:rPr>
        <w:t> </w:t>
      </w:r>
      <w:r>
        <w:rPr/>
        <w:t>and</w:t>
      </w:r>
      <w:r>
        <w:rPr>
          <w:spacing w:val="-6"/>
        </w:rPr>
        <w:t> </w:t>
      </w:r>
      <w:r>
        <w:rPr/>
        <w:t>hard</w:t>
      </w:r>
      <w:r>
        <w:rPr>
          <w:spacing w:val="-6"/>
        </w:rPr>
        <w:t> </w:t>
      </w:r>
      <w:r>
        <w:rPr/>
        <w:t>of</w:t>
      </w:r>
      <w:r>
        <w:rPr>
          <w:spacing w:val="-5"/>
        </w:rPr>
        <w:t> </w:t>
      </w:r>
      <w:r>
        <w:rPr/>
        <w:t>hearing</w:t>
      </w:r>
      <w:r>
        <w:rPr>
          <w:spacing w:val="-6"/>
        </w:rPr>
        <w:t> </w:t>
      </w:r>
      <w:r>
        <w:rPr/>
        <w:t>LGBTQ youth and families, the Commission hopes to partner with MCDHH, organizations, and policymakers to address significant gaps in service provision and support.</w:t>
      </w:r>
    </w:p>
    <w:p>
      <w:pPr>
        <w:pStyle w:val="BodyText"/>
      </w:pPr>
    </w:p>
    <w:p>
      <w:pPr>
        <w:pStyle w:val="BodyText"/>
        <w:spacing w:before="62"/>
      </w:pPr>
    </w:p>
    <w:p>
      <w:pPr>
        <w:spacing w:before="1"/>
        <w:ind w:left="483" w:right="0" w:firstLine="0"/>
        <w:jc w:val="both"/>
        <w:rPr>
          <w:sz w:val="28"/>
        </w:rPr>
      </w:pPr>
      <w:r>
        <w:rPr>
          <w:color w:val="365F91"/>
          <w:sz w:val="28"/>
        </w:rPr>
        <w:t>FY</w:t>
      </w:r>
      <w:r>
        <w:rPr>
          <w:color w:val="365F91"/>
          <w:spacing w:val="-10"/>
          <w:sz w:val="28"/>
        </w:rPr>
        <w:t> </w:t>
      </w:r>
      <w:r>
        <w:rPr>
          <w:color w:val="365F91"/>
          <w:sz w:val="28"/>
        </w:rPr>
        <w:t>2025</w:t>
      </w:r>
      <w:r>
        <w:rPr>
          <w:color w:val="365F91"/>
          <w:spacing w:val="-9"/>
          <w:sz w:val="28"/>
        </w:rPr>
        <w:t> </w:t>
      </w:r>
      <w:r>
        <w:rPr>
          <w:color w:val="365F91"/>
          <w:sz w:val="28"/>
        </w:rPr>
        <w:t>Expanded</w:t>
      </w:r>
      <w:r>
        <w:rPr>
          <w:color w:val="365F91"/>
          <w:spacing w:val="-11"/>
          <w:sz w:val="28"/>
        </w:rPr>
        <w:t> </w:t>
      </w:r>
      <w:r>
        <w:rPr>
          <w:color w:val="365F91"/>
          <w:sz w:val="28"/>
        </w:rPr>
        <w:t>MCDHH</w:t>
      </w:r>
      <w:r>
        <w:rPr>
          <w:color w:val="365F91"/>
          <w:spacing w:val="-10"/>
          <w:sz w:val="28"/>
        </w:rPr>
        <w:t> </w:t>
      </w:r>
      <w:r>
        <w:rPr>
          <w:color w:val="365F91"/>
          <w:spacing w:val="-2"/>
          <w:sz w:val="28"/>
        </w:rPr>
        <w:t>Recommendations</w:t>
      </w:r>
    </w:p>
    <w:p>
      <w:pPr>
        <w:pStyle w:val="BodyText"/>
        <w:spacing w:before="9"/>
        <w:rPr>
          <w:sz w:val="3"/>
        </w:rPr>
      </w:pPr>
      <w:r>
        <w:rPr/>
        <mc:AlternateContent>
          <mc:Choice Requires="wps">
            <w:drawing>
              <wp:anchor distT="0" distB="0" distL="0" distR="0" allowOverlap="1" layoutInCell="1" locked="0" behindDoc="1" simplePos="0" relativeHeight="487702016">
                <wp:simplePos x="0" y="0"/>
                <wp:positionH relativeFrom="page">
                  <wp:posOffset>897636</wp:posOffset>
                </wp:positionH>
                <wp:positionV relativeFrom="paragraph">
                  <wp:posOffset>44350</wp:posOffset>
                </wp:positionV>
                <wp:extent cx="5976620" cy="6350"/>
                <wp:effectExtent l="0" t="0" r="0" b="0"/>
                <wp:wrapTopAndBottom/>
                <wp:docPr id="580" name="Graphic 580"/>
                <wp:cNvGraphicFramePr>
                  <a:graphicFrameLocks/>
                </wp:cNvGraphicFramePr>
                <a:graphic>
                  <a:graphicData uri="http://schemas.microsoft.com/office/word/2010/wordprocessingShape">
                    <wps:wsp>
                      <wps:cNvPr id="580" name="Graphic 580"/>
                      <wps:cNvSpPr/>
                      <wps:spPr>
                        <a:xfrm>
                          <a:off x="0" y="0"/>
                          <a:ext cx="5976620" cy="6350"/>
                        </a:xfrm>
                        <a:custGeom>
                          <a:avLst/>
                          <a:gdLst/>
                          <a:ahLst/>
                          <a:cxnLst/>
                          <a:rect l="l" t="t" r="r" b="b"/>
                          <a:pathLst>
                            <a:path w="5976620" h="6350">
                              <a:moveTo>
                                <a:pt x="5976366" y="0"/>
                              </a:moveTo>
                              <a:lnTo>
                                <a:pt x="0" y="0"/>
                              </a:lnTo>
                              <a:lnTo>
                                <a:pt x="0" y="6108"/>
                              </a:lnTo>
                              <a:lnTo>
                                <a:pt x="5976366" y="6108"/>
                              </a:lnTo>
                              <a:lnTo>
                                <a:pt x="5976366" y="0"/>
                              </a:lnTo>
                              <a:close/>
                            </a:path>
                          </a:pathLst>
                        </a:custGeom>
                        <a:solidFill>
                          <a:srgbClr val="4F81BC"/>
                        </a:solidFill>
                      </wps:spPr>
                      <wps:bodyPr wrap="square" lIns="0" tIns="0" rIns="0" bIns="0" rtlCol="0">
                        <a:prstTxWarp prst="textNoShape">
                          <a:avLst/>
                        </a:prstTxWarp>
                        <a:noAutofit/>
                      </wps:bodyPr>
                    </wps:wsp>
                  </a:graphicData>
                </a:graphic>
              </wp:anchor>
            </w:drawing>
          </mc:Choice>
          <mc:Fallback>
            <w:pict>
              <v:rect style="position:absolute;margin-left:70.680pt;margin-top:3.492203pt;width:470.58pt;height:.481pt;mso-position-horizontal-relative:page;mso-position-vertical-relative:paragraph;z-index:-15614464;mso-wrap-distance-left:0;mso-wrap-distance-right:0" id="docshape477" filled="true" fillcolor="#4f81bc" stroked="false">
                <v:fill type="solid"/>
                <w10:wrap type="topAndBottom"/>
              </v:rect>
            </w:pict>
          </mc:Fallback>
        </mc:AlternateContent>
      </w:r>
    </w:p>
    <w:p>
      <w:pPr>
        <w:numPr>
          <w:ilvl w:val="0"/>
          <w:numId w:val="38"/>
        </w:numPr>
        <w:tabs>
          <w:tab w:pos="481" w:val="left" w:leader="none"/>
          <w:tab w:pos="483" w:val="left" w:leader="none"/>
        </w:tabs>
        <w:spacing w:line="276" w:lineRule="auto" w:before="241"/>
        <w:ind w:left="483" w:right="342" w:hanging="360"/>
        <w:jc w:val="left"/>
        <w:rPr>
          <w:b/>
          <w:sz w:val="22"/>
        </w:rPr>
      </w:pPr>
      <w:r>
        <w:rPr>
          <w:b/>
          <w:sz w:val="22"/>
        </w:rPr>
        <w:t>Continue to evaluate how to improve data collection standards to capture SOGI demographic data of </w:t>
      </w:r>
      <w:r>
        <w:rPr>
          <w:b/>
          <w:spacing w:val="-2"/>
          <w:sz w:val="22"/>
        </w:rPr>
        <w:t>clients.</w:t>
      </w:r>
    </w:p>
    <w:p>
      <w:pPr>
        <w:pStyle w:val="BodyText"/>
        <w:spacing w:line="276" w:lineRule="auto" w:before="241"/>
        <w:ind w:left="483" w:right="342"/>
        <w:jc w:val="both"/>
      </w:pPr>
      <w:r>
        <w:rPr/>
        <w:t>Like</w:t>
      </w:r>
      <w:r>
        <w:rPr>
          <w:spacing w:val="-8"/>
        </w:rPr>
        <w:t> </w:t>
      </w:r>
      <w:r>
        <w:rPr/>
        <w:t>many</w:t>
      </w:r>
      <w:r>
        <w:rPr>
          <w:spacing w:val="-7"/>
        </w:rPr>
        <w:t> </w:t>
      </w:r>
      <w:r>
        <w:rPr/>
        <w:t>other</w:t>
      </w:r>
      <w:r>
        <w:rPr>
          <w:spacing w:val="-9"/>
        </w:rPr>
        <w:t> </w:t>
      </w:r>
      <w:r>
        <w:rPr/>
        <w:t>state</w:t>
      </w:r>
      <w:r>
        <w:rPr>
          <w:spacing w:val="-8"/>
        </w:rPr>
        <w:t> </w:t>
      </w:r>
      <w:r>
        <w:rPr/>
        <w:t>entities,</w:t>
      </w:r>
      <w:r>
        <w:rPr>
          <w:spacing w:val="-8"/>
        </w:rPr>
        <w:t> </w:t>
      </w:r>
      <w:r>
        <w:rPr/>
        <w:t>MCDHH</w:t>
      </w:r>
      <w:r>
        <w:rPr>
          <w:spacing w:val="-6"/>
        </w:rPr>
        <w:t> </w:t>
      </w:r>
      <w:r>
        <w:rPr/>
        <w:t>notes</w:t>
      </w:r>
      <w:r>
        <w:rPr>
          <w:spacing w:val="-7"/>
        </w:rPr>
        <w:t> </w:t>
      </w:r>
      <w:r>
        <w:rPr/>
        <w:t>that</w:t>
      </w:r>
      <w:r>
        <w:rPr>
          <w:spacing w:val="-8"/>
        </w:rPr>
        <w:t> </w:t>
      </w:r>
      <w:r>
        <w:rPr/>
        <w:t>it</w:t>
      </w:r>
      <w:r>
        <w:rPr>
          <w:spacing w:val="-7"/>
        </w:rPr>
        <w:t> </w:t>
      </w:r>
      <w:r>
        <w:rPr/>
        <w:t>experiences</w:t>
      </w:r>
      <w:r>
        <w:rPr>
          <w:spacing w:val="-7"/>
        </w:rPr>
        <w:t> </w:t>
      </w:r>
      <w:r>
        <w:rPr/>
        <w:t>challenges</w:t>
      </w:r>
      <w:r>
        <w:rPr>
          <w:spacing w:val="-7"/>
        </w:rPr>
        <w:t> </w:t>
      </w:r>
      <w:r>
        <w:rPr/>
        <w:t>in</w:t>
      </w:r>
      <w:r>
        <w:rPr>
          <w:spacing w:val="-8"/>
        </w:rPr>
        <w:t> </w:t>
      </w:r>
      <w:r>
        <w:rPr/>
        <w:t>updating</w:t>
      </w:r>
      <w:r>
        <w:rPr>
          <w:spacing w:val="-9"/>
        </w:rPr>
        <w:t> </w:t>
      </w:r>
      <w:r>
        <w:rPr/>
        <w:t>its</w:t>
      </w:r>
      <w:r>
        <w:rPr>
          <w:spacing w:val="-7"/>
        </w:rPr>
        <w:t> </w:t>
      </w:r>
      <w:r>
        <w:rPr/>
        <w:t>data</w:t>
      </w:r>
      <w:r>
        <w:rPr>
          <w:spacing w:val="-7"/>
        </w:rPr>
        <w:t> </w:t>
      </w:r>
      <w:r>
        <w:rPr/>
        <w:t>collection standards to capture more demographic data among its clients. As noted throughout this report, the collection of SOGI data can provide critical information to policymakers and community organizers to better shape effective policy and resources. However, outdated technology often limits the amount of updates that agencies can perform to their client information systems. In 2019, MCDHH was able to include a nonbinary gender ‘X’ marker in their client management database; the Commission recommends</w:t>
      </w:r>
      <w:r>
        <w:rPr>
          <w:spacing w:val="-13"/>
        </w:rPr>
        <w:t> </w:t>
      </w:r>
      <w:r>
        <w:rPr/>
        <w:t>that</w:t>
      </w:r>
      <w:r>
        <w:rPr>
          <w:spacing w:val="-12"/>
        </w:rPr>
        <w:t> </w:t>
      </w:r>
      <w:r>
        <w:rPr/>
        <w:t>the</w:t>
      </w:r>
      <w:r>
        <w:rPr>
          <w:spacing w:val="-13"/>
        </w:rPr>
        <w:t> </w:t>
      </w:r>
      <w:r>
        <w:rPr/>
        <w:t>agency</w:t>
      </w:r>
      <w:r>
        <w:rPr>
          <w:spacing w:val="-12"/>
        </w:rPr>
        <w:t> </w:t>
      </w:r>
      <w:r>
        <w:rPr/>
        <w:t>continue</w:t>
      </w:r>
      <w:r>
        <w:rPr>
          <w:spacing w:val="-13"/>
        </w:rPr>
        <w:t> </w:t>
      </w:r>
      <w:r>
        <w:rPr/>
        <w:t>to</w:t>
      </w:r>
      <w:r>
        <w:rPr>
          <w:spacing w:val="-12"/>
        </w:rPr>
        <w:t> </w:t>
      </w:r>
      <w:r>
        <w:rPr/>
        <w:t>explore</w:t>
      </w:r>
      <w:r>
        <w:rPr>
          <w:spacing w:val="-13"/>
        </w:rPr>
        <w:t> </w:t>
      </w:r>
      <w:r>
        <w:rPr/>
        <w:t>ways</w:t>
      </w:r>
      <w:r>
        <w:rPr>
          <w:spacing w:val="-12"/>
        </w:rPr>
        <w:t> </w:t>
      </w:r>
      <w:r>
        <w:rPr/>
        <w:t>to</w:t>
      </w:r>
      <w:r>
        <w:rPr>
          <w:spacing w:val="-12"/>
        </w:rPr>
        <w:t> </w:t>
      </w:r>
      <w:r>
        <w:rPr/>
        <w:t>expand</w:t>
      </w:r>
      <w:r>
        <w:rPr>
          <w:spacing w:val="-13"/>
        </w:rPr>
        <w:t> </w:t>
      </w:r>
      <w:r>
        <w:rPr/>
        <w:t>data</w:t>
      </w:r>
      <w:r>
        <w:rPr>
          <w:spacing w:val="-12"/>
        </w:rPr>
        <w:t> </w:t>
      </w:r>
      <w:r>
        <w:rPr/>
        <w:t>fields</w:t>
      </w:r>
      <w:r>
        <w:rPr>
          <w:spacing w:val="-13"/>
        </w:rPr>
        <w:t> </w:t>
      </w:r>
      <w:r>
        <w:rPr/>
        <w:t>or</w:t>
      </w:r>
      <w:r>
        <w:rPr>
          <w:spacing w:val="-12"/>
        </w:rPr>
        <w:t> </w:t>
      </w:r>
      <w:r>
        <w:rPr/>
        <w:t>practices</w:t>
      </w:r>
      <w:r>
        <w:rPr>
          <w:spacing w:val="-13"/>
        </w:rPr>
        <w:t> </w:t>
      </w:r>
      <w:r>
        <w:rPr/>
        <w:t>to</w:t>
      </w:r>
      <w:r>
        <w:rPr>
          <w:spacing w:val="-12"/>
        </w:rPr>
        <w:t> </w:t>
      </w:r>
      <w:r>
        <w:rPr/>
        <w:t>better</w:t>
      </w:r>
      <w:r>
        <w:rPr>
          <w:spacing w:val="-12"/>
        </w:rPr>
        <w:t> </w:t>
      </w:r>
      <w:r>
        <w:rPr/>
        <w:t>capture data on LGBTQ Deaf and hard of hearing youth across Massachusetts.</w:t>
      </w:r>
    </w:p>
    <w:p>
      <w:pPr>
        <w:numPr>
          <w:ilvl w:val="0"/>
          <w:numId w:val="38"/>
        </w:numPr>
        <w:tabs>
          <w:tab w:pos="481" w:val="left" w:leader="none"/>
          <w:tab w:pos="483" w:val="left" w:leader="none"/>
        </w:tabs>
        <w:spacing w:line="276" w:lineRule="auto" w:before="240"/>
        <w:ind w:left="483" w:right="344" w:hanging="360"/>
        <w:jc w:val="left"/>
        <w:rPr>
          <w:b/>
          <w:sz w:val="22"/>
        </w:rPr>
      </w:pPr>
      <w:r>
        <w:rPr>
          <w:b/>
          <w:sz w:val="22"/>
        </w:rPr>
        <w:t>Provide</w:t>
      </w:r>
      <w:r>
        <w:rPr>
          <w:b/>
          <w:spacing w:val="36"/>
          <w:sz w:val="22"/>
        </w:rPr>
        <w:t> </w:t>
      </w:r>
      <w:r>
        <w:rPr>
          <w:b/>
          <w:sz w:val="22"/>
        </w:rPr>
        <w:t>professional</w:t>
      </w:r>
      <w:r>
        <w:rPr>
          <w:b/>
          <w:spacing w:val="36"/>
          <w:sz w:val="22"/>
        </w:rPr>
        <w:t> </w:t>
      </w:r>
      <w:r>
        <w:rPr>
          <w:b/>
          <w:sz w:val="22"/>
        </w:rPr>
        <w:t>development</w:t>
      </w:r>
      <w:r>
        <w:rPr>
          <w:b/>
          <w:spacing w:val="36"/>
          <w:sz w:val="22"/>
        </w:rPr>
        <w:t> </w:t>
      </w:r>
      <w:r>
        <w:rPr>
          <w:b/>
          <w:sz w:val="22"/>
        </w:rPr>
        <w:t>opportunities</w:t>
      </w:r>
      <w:r>
        <w:rPr>
          <w:b/>
          <w:spacing w:val="37"/>
          <w:sz w:val="22"/>
        </w:rPr>
        <w:t> </w:t>
      </w:r>
      <w:r>
        <w:rPr>
          <w:b/>
          <w:sz w:val="22"/>
        </w:rPr>
        <w:t>that</w:t>
      </w:r>
      <w:r>
        <w:rPr>
          <w:b/>
          <w:spacing w:val="36"/>
          <w:sz w:val="22"/>
        </w:rPr>
        <w:t> </w:t>
      </w:r>
      <w:r>
        <w:rPr>
          <w:b/>
          <w:sz w:val="22"/>
        </w:rPr>
        <w:t>prioritize</w:t>
      </w:r>
      <w:r>
        <w:rPr>
          <w:b/>
          <w:spacing w:val="36"/>
          <w:sz w:val="22"/>
        </w:rPr>
        <w:t> </w:t>
      </w:r>
      <w:r>
        <w:rPr>
          <w:b/>
          <w:sz w:val="22"/>
        </w:rPr>
        <w:t>intersectionality</w:t>
      </w:r>
      <w:r>
        <w:rPr>
          <w:b/>
          <w:spacing w:val="37"/>
          <w:sz w:val="22"/>
        </w:rPr>
        <w:t> </w:t>
      </w:r>
      <w:r>
        <w:rPr>
          <w:b/>
          <w:sz w:val="22"/>
        </w:rPr>
        <w:t>and</w:t>
      </w:r>
      <w:r>
        <w:rPr>
          <w:b/>
          <w:spacing w:val="35"/>
          <w:sz w:val="22"/>
        </w:rPr>
        <w:t> </w:t>
      </w:r>
      <w:r>
        <w:rPr>
          <w:b/>
          <w:sz w:val="22"/>
        </w:rPr>
        <w:t>center</w:t>
      </w:r>
      <w:r>
        <w:rPr>
          <w:b/>
          <w:spacing w:val="37"/>
          <w:sz w:val="22"/>
        </w:rPr>
        <w:t> </w:t>
      </w:r>
      <w:r>
        <w:rPr>
          <w:b/>
          <w:sz w:val="22"/>
        </w:rPr>
        <w:t>LGBTQ cultural engagement, adultism, and racial equity.</w:t>
      </w:r>
    </w:p>
    <w:p>
      <w:pPr>
        <w:pStyle w:val="BodyText"/>
        <w:spacing w:line="276" w:lineRule="auto" w:before="240"/>
        <w:ind w:left="483" w:right="342"/>
        <w:jc w:val="both"/>
      </w:pPr>
      <w:r>
        <w:rPr/>
        <w:t>The Commission appreciates the recent attention of MCDHH to this recommendation and looks forward to continuing to partner with the agency over the coming fiscal year. In December 2023, MCDHH staff participated in a training hosted in collaboration by EOHHS and the Commission on LGBTQ cultural engagement.</w:t>
      </w:r>
      <w:r>
        <w:rPr>
          <w:spacing w:val="-7"/>
        </w:rPr>
        <w:t> </w:t>
      </w:r>
      <w:r>
        <w:rPr/>
        <w:t>Previous</w:t>
      </w:r>
      <w:r>
        <w:rPr>
          <w:spacing w:val="-8"/>
        </w:rPr>
        <w:t> </w:t>
      </w:r>
      <w:r>
        <w:rPr/>
        <w:t>to</w:t>
      </w:r>
      <w:r>
        <w:rPr>
          <w:spacing w:val="-8"/>
        </w:rPr>
        <w:t> </w:t>
      </w:r>
      <w:r>
        <w:rPr/>
        <w:t>this</w:t>
      </w:r>
      <w:r>
        <w:rPr>
          <w:spacing w:val="-8"/>
        </w:rPr>
        <w:t> </w:t>
      </w:r>
      <w:r>
        <w:rPr/>
        <w:t>training,</w:t>
      </w:r>
      <w:r>
        <w:rPr>
          <w:spacing w:val="-7"/>
        </w:rPr>
        <w:t> </w:t>
      </w:r>
      <w:r>
        <w:rPr/>
        <w:t>the</w:t>
      </w:r>
      <w:r>
        <w:rPr>
          <w:spacing w:val="-9"/>
        </w:rPr>
        <w:t> </w:t>
      </w:r>
      <w:r>
        <w:rPr/>
        <w:t>last</w:t>
      </w:r>
      <w:r>
        <w:rPr>
          <w:spacing w:val="-8"/>
        </w:rPr>
        <w:t> </w:t>
      </w:r>
      <w:r>
        <w:rPr/>
        <w:t>training</w:t>
      </w:r>
      <w:r>
        <w:rPr>
          <w:spacing w:val="-9"/>
        </w:rPr>
        <w:t> </w:t>
      </w:r>
      <w:r>
        <w:rPr/>
        <w:t>opportunity</w:t>
      </w:r>
      <w:r>
        <w:rPr>
          <w:spacing w:val="-8"/>
        </w:rPr>
        <w:t> </w:t>
      </w:r>
      <w:r>
        <w:rPr/>
        <w:t>that</w:t>
      </w:r>
      <w:r>
        <w:rPr>
          <w:spacing w:val="-8"/>
        </w:rPr>
        <w:t> </w:t>
      </w:r>
      <w:r>
        <w:rPr/>
        <w:t>had</w:t>
      </w:r>
      <w:r>
        <w:rPr>
          <w:spacing w:val="-8"/>
        </w:rPr>
        <w:t> </w:t>
      </w:r>
      <w:r>
        <w:rPr/>
        <w:t>been</w:t>
      </w:r>
      <w:r>
        <w:rPr>
          <w:spacing w:val="-9"/>
        </w:rPr>
        <w:t> </w:t>
      </w:r>
      <w:r>
        <w:rPr/>
        <w:t>attended</w:t>
      </w:r>
      <w:r>
        <w:rPr>
          <w:spacing w:val="-8"/>
        </w:rPr>
        <w:t> </w:t>
      </w:r>
      <w:r>
        <w:rPr/>
        <w:t>by</w:t>
      </w:r>
      <w:r>
        <w:rPr>
          <w:spacing w:val="-9"/>
        </w:rPr>
        <w:t> </w:t>
      </w:r>
      <w:r>
        <w:rPr/>
        <w:t>all</w:t>
      </w:r>
      <w:r>
        <w:rPr>
          <w:spacing w:val="-9"/>
        </w:rPr>
        <w:t> </w:t>
      </w:r>
      <w:r>
        <w:rPr/>
        <w:t>MCDHH</w:t>
      </w:r>
    </w:p>
    <w:p>
      <w:pPr>
        <w:spacing w:after="0" w:line="276" w:lineRule="auto"/>
        <w:jc w:val="both"/>
        <w:sectPr>
          <w:pgSz w:w="12240" w:h="15840"/>
          <w:pgMar w:header="804" w:footer="1263" w:top="1000" w:bottom="1460" w:left="960" w:right="1100"/>
        </w:sectPr>
      </w:pPr>
    </w:p>
    <w:p>
      <w:pPr>
        <w:pStyle w:val="BodyText"/>
        <w:spacing w:before="98"/>
      </w:pPr>
    </w:p>
    <w:p>
      <w:pPr>
        <w:pStyle w:val="BodyText"/>
        <w:spacing w:line="276" w:lineRule="auto"/>
        <w:ind w:left="483" w:right="343"/>
        <w:jc w:val="both"/>
      </w:pPr>
      <w:r>
        <w:rPr/>
        <w:t>staff was in 2016. Additionally, in March 2024, the Commission and MCDHH partnered on a training opportunity</w:t>
      </w:r>
      <w:r>
        <w:rPr>
          <w:spacing w:val="-11"/>
        </w:rPr>
        <w:t> </w:t>
      </w:r>
      <w:r>
        <w:rPr/>
        <w:t>that</w:t>
      </w:r>
      <w:r>
        <w:rPr>
          <w:spacing w:val="-13"/>
        </w:rPr>
        <w:t> </w:t>
      </w:r>
      <w:r>
        <w:rPr/>
        <w:t>was</w:t>
      </w:r>
      <w:r>
        <w:rPr>
          <w:spacing w:val="-11"/>
        </w:rPr>
        <w:t> </w:t>
      </w:r>
      <w:r>
        <w:rPr/>
        <w:t>opened</w:t>
      </w:r>
      <w:r>
        <w:rPr>
          <w:spacing w:val="-13"/>
        </w:rPr>
        <w:t> </w:t>
      </w:r>
      <w:r>
        <w:rPr/>
        <w:t>to</w:t>
      </w:r>
      <w:r>
        <w:rPr>
          <w:spacing w:val="-11"/>
        </w:rPr>
        <w:t> </w:t>
      </w:r>
      <w:r>
        <w:rPr/>
        <w:t>MCDHH</w:t>
      </w:r>
      <w:r>
        <w:rPr>
          <w:spacing w:val="-11"/>
        </w:rPr>
        <w:t> </w:t>
      </w:r>
      <w:r>
        <w:rPr/>
        <w:t>school-based</w:t>
      </w:r>
      <w:r>
        <w:rPr>
          <w:spacing w:val="-11"/>
        </w:rPr>
        <w:t> </w:t>
      </w:r>
      <w:r>
        <w:rPr/>
        <w:t>providers</w:t>
      </w:r>
      <w:r>
        <w:rPr>
          <w:spacing w:val="-12"/>
        </w:rPr>
        <w:t> </w:t>
      </w:r>
      <w:r>
        <w:rPr/>
        <w:t>to</w:t>
      </w:r>
      <w:r>
        <w:rPr>
          <w:spacing w:val="-11"/>
        </w:rPr>
        <w:t> </w:t>
      </w:r>
      <w:r>
        <w:rPr/>
        <w:t>provide</w:t>
      </w:r>
      <w:r>
        <w:rPr>
          <w:spacing w:val="-13"/>
        </w:rPr>
        <w:t> </w:t>
      </w:r>
      <w:r>
        <w:rPr/>
        <w:t>support</w:t>
      </w:r>
      <w:r>
        <w:rPr>
          <w:spacing w:val="-12"/>
        </w:rPr>
        <w:t> </w:t>
      </w:r>
      <w:r>
        <w:rPr/>
        <w:t>and</w:t>
      </w:r>
      <w:r>
        <w:rPr>
          <w:spacing w:val="-13"/>
        </w:rPr>
        <w:t> </w:t>
      </w:r>
      <w:r>
        <w:rPr/>
        <w:t>resources</w:t>
      </w:r>
      <w:r>
        <w:rPr>
          <w:spacing w:val="-11"/>
        </w:rPr>
        <w:t> </w:t>
      </w:r>
      <w:r>
        <w:rPr/>
        <w:t>around working with LGBTQ youth. The Commission expands its focus this year to recommend that MCDHH develop</w:t>
      </w:r>
      <w:r>
        <w:rPr>
          <w:spacing w:val="-2"/>
        </w:rPr>
        <w:t> </w:t>
      </w:r>
      <w:r>
        <w:rPr/>
        <w:t>a</w:t>
      </w:r>
      <w:r>
        <w:rPr>
          <w:spacing w:val="-1"/>
        </w:rPr>
        <w:t> </w:t>
      </w:r>
      <w:r>
        <w:rPr/>
        <w:t>training</w:t>
      </w:r>
      <w:r>
        <w:rPr>
          <w:spacing w:val="-1"/>
        </w:rPr>
        <w:t> </w:t>
      </w:r>
      <w:r>
        <w:rPr/>
        <w:t>plan</w:t>
      </w:r>
      <w:r>
        <w:rPr>
          <w:spacing w:val="-1"/>
        </w:rPr>
        <w:t> </w:t>
      </w:r>
      <w:r>
        <w:rPr/>
        <w:t>that</w:t>
      </w:r>
      <w:r>
        <w:rPr>
          <w:spacing w:val="-2"/>
        </w:rPr>
        <w:t> </w:t>
      </w:r>
      <w:r>
        <w:rPr/>
        <w:t>builds</w:t>
      </w:r>
      <w:r>
        <w:rPr>
          <w:spacing w:val="-1"/>
        </w:rPr>
        <w:t> </w:t>
      </w:r>
      <w:r>
        <w:rPr/>
        <w:t>off</w:t>
      </w:r>
      <w:r>
        <w:rPr>
          <w:spacing w:val="-2"/>
        </w:rPr>
        <w:t> </w:t>
      </w:r>
      <w:r>
        <w:rPr/>
        <w:t>of</w:t>
      </w:r>
      <w:r>
        <w:rPr>
          <w:spacing w:val="-1"/>
        </w:rPr>
        <w:t> </w:t>
      </w:r>
      <w:r>
        <w:rPr/>
        <w:t>the</w:t>
      </w:r>
      <w:r>
        <w:rPr>
          <w:spacing w:val="-1"/>
        </w:rPr>
        <w:t> </w:t>
      </w:r>
      <w:r>
        <w:rPr/>
        <w:t>trainings</w:t>
      </w:r>
      <w:r>
        <w:rPr>
          <w:spacing w:val="-1"/>
        </w:rPr>
        <w:t> </w:t>
      </w:r>
      <w:r>
        <w:rPr/>
        <w:t>already</w:t>
      </w:r>
      <w:r>
        <w:rPr>
          <w:spacing w:val="-2"/>
        </w:rPr>
        <w:t> </w:t>
      </w:r>
      <w:r>
        <w:rPr/>
        <w:t>provided</w:t>
      </w:r>
      <w:r>
        <w:rPr>
          <w:spacing w:val="-2"/>
        </w:rPr>
        <w:t> </w:t>
      </w:r>
      <w:r>
        <w:rPr/>
        <w:t>and</w:t>
      </w:r>
      <w:r>
        <w:rPr>
          <w:spacing w:val="-1"/>
        </w:rPr>
        <w:t> </w:t>
      </w:r>
      <w:r>
        <w:rPr/>
        <w:t>continues</w:t>
      </w:r>
      <w:r>
        <w:rPr>
          <w:spacing w:val="-1"/>
        </w:rPr>
        <w:t> </w:t>
      </w:r>
      <w:r>
        <w:rPr/>
        <w:t>to</w:t>
      </w:r>
      <w:r>
        <w:rPr>
          <w:spacing w:val="-1"/>
        </w:rPr>
        <w:t> </w:t>
      </w:r>
      <w:r>
        <w:rPr/>
        <w:t>engage</w:t>
      </w:r>
      <w:r>
        <w:rPr>
          <w:spacing w:val="-2"/>
        </w:rPr>
        <w:t> </w:t>
      </w:r>
      <w:r>
        <w:rPr/>
        <w:t>MCDHH staff and providers in LGBTQ cultural engagement, as well as racial equity and adultism.</w:t>
      </w:r>
    </w:p>
    <w:p>
      <w:pPr>
        <w:numPr>
          <w:ilvl w:val="0"/>
          <w:numId w:val="38"/>
        </w:numPr>
        <w:tabs>
          <w:tab w:pos="481" w:val="left" w:leader="none"/>
          <w:tab w:pos="483" w:val="left" w:leader="none"/>
        </w:tabs>
        <w:spacing w:line="276" w:lineRule="auto" w:before="240"/>
        <w:ind w:left="483" w:right="343" w:hanging="360"/>
        <w:jc w:val="left"/>
        <w:rPr>
          <w:b/>
          <w:sz w:val="22"/>
        </w:rPr>
      </w:pPr>
      <w:r>
        <w:rPr>
          <w:b/>
          <w:sz w:val="22"/>
        </w:rPr>
        <w:t>Expand resource development in partnership with youth and LGBTQ community organizations across the Commonwealth.</w:t>
      </w:r>
    </w:p>
    <w:p>
      <w:pPr>
        <w:pStyle w:val="BodyText"/>
        <w:spacing w:line="276" w:lineRule="auto" w:before="240"/>
        <w:ind w:left="483" w:right="343"/>
        <w:jc w:val="both"/>
      </w:pPr>
      <w:r>
        <w:rPr/>
        <w:t>MCDHH</w:t>
      </w:r>
      <w:r>
        <w:rPr>
          <w:spacing w:val="-1"/>
        </w:rPr>
        <w:t> </w:t>
      </w:r>
      <w:r>
        <w:rPr/>
        <w:t>provides a wide</w:t>
      </w:r>
      <w:r>
        <w:rPr>
          <w:spacing w:val="-1"/>
        </w:rPr>
        <w:t> </w:t>
      </w:r>
      <w:r>
        <w:rPr/>
        <w:t>range</w:t>
      </w:r>
      <w:r>
        <w:rPr>
          <w:spacing w:val="-1"/>
        </w:rPr>
        <w:t> </w:t>
      </w:r>
      <w:r>
        <w:rPr/>
        <w:t>of services and</w:t>
      </w:r>
      <w:r>
        <w:rPr>
          <w:spacing w:val="-1"/>
        </w:rPr>
        <w:t> </w:t>
      </w:r>
      <w:r>
        <w:rPr/>
        <w:t>resources for Deaf and</w:t>
      </w:r>
      <w:r>
        <w:rPr>
          <w:spacing w:val="-1"/>
        </w:rPr>
        <w:t> </w:t>
      </w:r>
      <w:r>
        <w:rPr/>
        <w:t>hard</w:t>
      </w:r>
      <w:r>
        <w:rPr>
          <w:spacing w:val="-1"/>
        </w:rPr>
        <w:t> </w:t>
      </w:r>
      <w:r>
        <w:rPr/>
        <w:t>of hearing</w:t>
      </w:r>
      <w:r>
        <w:rPr>
          <w:spacing w:val="-1"/>
        </w:rPr>
        <w:t> </w:t>
      </w:r>
      <w:r>
        <w:rPr/>
        <w:t>youth</w:t>
      </w:r>
      <w:r>
        <w:rPr>
          <w:spacing w:val="-1"/>
        </w:rPr>
        <w:t> </w:t>
      </w:r>
      <w:r>
        <w:rPr/>
        <w:t>and</w:t>
      </w:r>
      <w:r>
        <w:rPr>
          <w:spacing w:val="-1"/>
        </w:rPr>
        <w:t> </w:t>
      </w:r>
      <w:r>
        <w:rPr/>
        <w:t>families across the Commonwealth. Across the last several years, the Commission and MCDHH have discussed potential</w:t>
      </w:r>
      <w:r>
        <w:rPr>
          <w:spacing w:val="-11"/>
        </w:rPr>
        <w:t> </w:t>
      </w:r>
      <w:r>
        <w:rPr/>
        <w:t>collaborations</w:t>
      </w:r>
      <w:r>
        <w:rPr>
          <w:spacing w:val="-12"/>
        </w:rPr>
        <w:t> </w:t>
      </w:r>
      <w:r>
        <w:rPr/>
        <w:t>around</w:t>
      </w:r>
      <w:r>
        <w:rPr>
          <w:spacing w:val="-13"/>
        </w:rPr>
        <w:t> </w:t>
      </w:r>
      <w:r>
        <w:rPr/>
        <w:t>resource</w:t>
      </w:r>
      <w:r>
        <w:rPr>
          <w:spacing w:val="-12"/>
        </w:rPr>
        <w:t> </w:t>
      </w:r>
      <w:r>
        <w:rPr/>
        <w:t>development</w:t>
      </w:r>
      <w:r>
        <w:rPr>
          <w:spacing w:val="-13"/>
        </w:rPr>
        <w:t> </w:t>
      </w:r>
      <w:r>
        <w:rPr/>
        <w:t>specific</w:t>
      </w:r>
      <w:r>
        <w:rPr>
          <w:spacing w:val="-11"/>
        </w:rPr>
        <w:t> </w:t>
      </w:r>
      <w:r>
        <w:rPr/>
        <w:t>to</w:t>
      </w:r>
      <w:r>
        <w:rPr>
          <w:spacing w:val="-11"/>
        </w:rPr>
        <w:t> </w:t>
      </w:r>
      <w:r>
        <w:rPr/>
        <w:t>LGBTQ</w:t>
      </w:r>
      <w:r>
        <w:rPr>
          <w:spacing w:val="-11"/>
        </w:rPr>
        <w:t> </w:t>
      </w:r>
      <w:r>
        <w:rPr/>
        <w:t>Dead</w:t>
      </w:r>
      <w:r>
        <w:rPr>
          <w:spacing w:val="-10"/>
        </w:rPr>
        <w:t> </w:t>
      </w:r>
      <w:r>
        <w:rPr/>
        <w:t>and</w:t>
      </w:r>
      <w:r>
        <w:rPr>
          <w:spacing w:val="-13"/>
        </w:rPr>
        <w:t> </w:t>
      </w:r>
      <w:r>
        <w:rPr/>
        <w:t>hard</w:t>
      </w:r>
      <w:r>
        <w:rPr>
          <w:spacing w:val="-10"/>
        </w:rPr>
        <w:t> </w:t>
      </w:r>
      <w:r>
        <w:rPr/>
        <w:t>of</w:t>
      </w:r>
      <w:r>
        <w:rPr>
          <w:spacing w:val="-11"/>
        </w:rPr>
        <w:t> </w:t>
      </w:r>
      <w:r>
        <w:rPr/>
        <w:t>hearing</w:t>
      </w:r>
      <w:r>
        <w:rPr>
          <w:spacing w:val="-13"/>
        </w:rPr>
        <w:t> </w:t>
      </w:r>
      <w:r>
        <w:rPr/>
        <w:t>youth, as well as children of deaf adults (CODAs). Much of the resource development that MCDHH has been prioritizing has been focused on providing educational videos that are posted on its website and intentionally feature LGBTQ community members.</w:t>
      </w:r>
    </w:p>
    <w:p>
      <w:pPr>
        <w:pStyle w:val="BodyText"/>
        <w:spacing w:line="276" w:lineRule="auto" w:before="240"/>
        <w:ind w:left="483" w:right="340"/>
        <w:jc w:val="both"/>
      </w:pPr>
      <w:r>
        <w:rPr/>
        <w:t>For many years, the Commonwealth has seen a severe shortage of ASL interpreters across the state; MCDHH</w:t>
      </w:r>
      <w:r>
        <w:rPr>
          <w:spacing w:val="-7"/>
        </w:rPr>
        <w:t> </w:t>
      </w:r>
      <w:r>
        <w:rPr/>
        <w:t>has</w:t>
      </w:r>
      <w:r>
        <w:rPr>
          <w:spacing w:val="-5"/>
        </w:rPr>
        <w:t> </w:t>
      </w:r>
      <w:r>
        <w:rPr/>
        <w:t>been</w:t>
      </w:r>
      <w:r>
        <w:rPr>
          <w:spacing w:val="-6"/>
        </w:rPr>
        <w:t> </w:t>
      </w:r>
      <w:r>
        <w:rPr/>
        <w:t>leading</w:t>
      </w:r>
      <w:r>
        <w:rPr>
          <w:spacing w:val="-4"/>
        </w:rPr>
        <w:t> </w:t>
      </w:r>
      <w:r>
        <w:rPr/>
        <w:t>recruitment</w:t>
      </w:r>
      <w:r>
        <w:rPr>
          <w:spacing w:val="-6"/>
        </w:rPr>
        <w:t> </w:t>
      </w:r>
      <w:r>
        <w:rPr/>
        <w:t>efforts</w:t>
      </w:r>
      <w:r>
        <w:rPr>
          <w:spacing w:val="-6"/>
        </w:rPr>
        <w:t> </w:t>
      </w:r>
      <w:r>
        <w:rPr/>
        <w:t>and</w:t>
      </w:r>
      <w:r>
        <w:rPr>
          <w:spacing w:val="-6"/>
        </w:rPr>
        <w:t> </w:t>
      </w:r>
      <w:r>
        <w:rPr/>
        <w:t>increasing</w:t>
      </w:r>
      <w:r>
        <w:rPr>
          <w:spacing w:val="-7"/>
        </w:rPr>
        <w:t> </w:t>
      </w:r>
      <w:r>
        <w:rPr/>
        <w:t>outreach</w:t>
      </w:r>
      <w:r>
        <w:rPr>
          <w:spacing w:val="-6"/>
        </w:rPr>
        <w:t> </w:t>
      </w:r>
      <w:r>
        <w:rPr/>
        <w:t>to</w:t>
      </w:r>
      <w:r>
        <w:rPr>
          <w:spacing w:val="-6"/>
        </w:rPr>
        <w:t> </w:t>
      </w:r>
      <w:r>
        <w:rPr/>
        <w:t>diversify</w:t>
      </w:r>
      <w:r>
        <w:rPr>
          <w:spacing w:val="-6"/>
        </w:rPr>
        <w:t> </w:t>
      </w:r>
      <w:r>
        <w:rPr/>
        <w:t>its</w:t>
      </w:r>
      <w:r>
        <w:rPr>
          <w:spacing w:val="-5"/>
        </w:rPr>
        <w:t> </w:t>
      </w:r>
      <w:r>
        <w:rPr/>
        <w:t>pool</w:t>
      </w:r>
      <w:r>
        <w:rPr>
          <w:spacing w:val="-7"/>
        </w:rPr>
        <w:t> </w:t>
      </w:r>
      <w:r>
        <w:rPr/>
        <w:t>of</w:t>
      </w:r>
      <w:r>
        <w:rPr>
          <w:spacing w:val="-6"/>
        </w:rPr>
        <w:t> </w:t>
      </w:r>
      <w:r>
        <w:rPr/>
        <w:t>interpreters, specifically for BIPOC ASL interpreters. The Commission strongly recommends that MCDHH increase its intentional</w:t>
      </w:r>
      <w:r>
        <w:rPr>
          <w:spacing w:val="-8"/>
        </w:rPr>
        <w:t> </w:t>
      </w:r>
      <w:r>
        <w:rPr/>
        <w:t>outreach</w:t>
      </w:r>
      <w:r>
        <w:rPr>
          <w:spacing w:val="-8"/>
        </w:rPr>
        <w:t> </w:t>
      </w:r>
      <w:r>
        <w:rPr/>
        <w:t>to</w:t>
      </w:r>
      <w:r>
        <w:rPr>
          <w:spacing w:val="-8"/>
        </w:rPr>
        <w:t> </w:t>
      </w:r>
      <w:r>
        <w:rPr/>
        <w:t>include</w:t>
      </w:r>
      <w:r>
        <w:rPr>
          <w:spacing w:val="-8"/>
        </w:rPr>
        <w:t> </w:t>
      </w:r>
      <w:r>
        <w:rPr/>
        <w:t>recruitment</w:t>
      </w:r>
      <w:r>
        <w:rPr>
          <w:spacing w:val="-8"/>
        </w:rPr>
        <w:t> </w:t>
      </w:r>
      <w:r>
        <w:rPr/>
        <w:t>at</w:t>
      </w:r>
      <w:r>
        <w:rPr>
          <w:spacing w:val="-8"/>
        </w:rPr>
        <w:t> </w:t>
      </w:r>
      <w:r>
        <w:rPr/>
        <w:t>Pride</w:t>
      </w:r>
      <w:r>
        <w:rPr>
          <w:spacing w:val="-8"/>
        </w:rPr>
        <w:t> </w:t>
      </w:r>
      <w:r>
        <w:rPr/>
        <w:t>events</w:t>
      </w:r>
      <w:r>
        <w:rPr>
          <w:spacing w:val="-8"/>
        </w:rPr>
        <w:t> </w:t>
      </w:r>
      <w:r>
        <w:rPr/>
        <w:t>and</w:t>
      </w:r>
      <w:r>
        <w:rPr>
          <w:spacing w:val="-8"/>
        </w:rPr>
        <w:t> </w:t>
      </w:r>
      <w:r>
        <w:rPr/>
        <w:t>through</w:t>
      </w:r>
      <w:r>
        <w:rPr>
          <w:spacing w:val="-8"/>
        </w:rPr>
        <w:t> </w:t>
      </w:r>
      <w:r>
        <w:rPr/>
        <w:t>LGBTQ</w:t>
      </w:r>
      <w:r>
        <w:rPr>
          <w:spacing w:val="-8"/>
        </w:rPr>
        <w:t> </w:t>
      </w:r>
      <w:r>
        <w:rPr/>
        <w:t>community</w:t>
      </w:r>
      <w:r>
        <w:rPr>
          <w:spacing w:val="-7"/>
        </w:rPr>
        <w:t> </w:t>
      </w:r>
      <w:r>
        <w:rPr/>
        <w:t>organizations across the state. To assist with this work, the Commission further recommends that MCDHH conducts community conversations</w:t>
      </w:r>
      <w:r>
        <w:rPr>
          <w:spacing w:val="-1"/>
        </w:rPr>
        <w:t> </w:t>
      </w:r>
      <w:r>
        <w:rPr/>
        <w:t>to</w:t>
      </w:r>
      <w:r>
        <w:rPr>
          <w:spacing w:val="-1"/>
        </w:rPr>
        <w:t> </w:t>
      </w:r>
      <w:r>
        <w:rPr/>
        <w:t>learn</w:t>
      </w:r>
      <w:r>
        <w:rPr>
          <w:spacing w:val="-2"/>
        </w:rPr>
        <w:t> </w:t>
      </w:r>
      <w:r>
        <w:rPr/>
        <w:t>more</w:t>
      </w:r>
      <w:r>
        <w:rPr>
          <w:spacing w:val="-1"/>
        </w:rPr>
        <w:t> </w:t>
      </w:r>
      <w:r>
        <w:rPr/>
        <w:t>from</w:t>
      </w:r>
      <w:r>
        <w:rPr>
          <w:spacing w:val="-2"/>
        </w:rPr>
        <w:t> </w:t>
      </w:r>
      <w:r>
        <w:rPr/>
        <w:t>LGBTQ</w:t>
      </w:r>
      <w:r>
        <w:rPr>
          <w:spacing w:val="-1"/>
        </w:rPr>
        <w:t> </w:t>
      </w:r>
      <w:r>
        <w:rPr/>
        <w:t>Deaf</w:t>
      </w:r>
      <w:r>
        <w:rPr>
          <w:spacing w:val="-2"/>
        </w:rPr>
        <w:t> </w:t>
      </w:r>
      <w:r>
        <w:rPr/>
        <w:t>and</w:t>
      </w:r>
      <w:r>
        <w:rPr>
          <w:spacing w:val="-2"/>
        </w:rPr>
        <w:t> </w:t>
      </w:r>
      <w:r>
        <w:rPr/>
        <w:t>hard</w:t>
      </w:r>
      <w:r>
        <w:rPr>
          <w:spacing w:val="-2"/>
        </w:rPr>
        <w:t> </w:t>
      </w:r>
      <w:r>
        <w:rPr/>
        <w:t>of</w:t>
      </w:r>
      <w:r>
        <w:rPr>
          <w:spacing w:val="-2"/>
        </w:rPr>
        <w:t> </w:t>
      </w:r>
      <w:r>
        <w:rPr/>
        <w:t>hearing</w:t>
      </w:r>
      <w:r>
        <w:rPr>
          <w:spacing w:val="-1"/>
        </w:rPr>
        <w:t> </w:t>
      </w:r>
      <w:r>
        <w:rPr/>
        <w:t>youth</w:t>
      </w:r>
      <w:r>
        <w:rPr>
          <w:spacing w:val="-2"/>
        </w:rPr>
        <w:t> </w:t>
      </w:r>
      <w:r>
        <w:rPr/>
        <w:t>about</w:t>
      </w:r>
      <w:r>
        <w:rPr>
          <w:spacing w:val="-2"/>
        </w:rPr>
        <w:t> </w:t>
      </w:r>
      <w:r>
        <w:rPr/>
        <w:t>their</w:t>
      </w:r>
      <w:r>
        <w:rPr>
          <w:spacing w:val="-2"/>
        </w:rPr>
        <w:t> </w:t>
      </w:r>
      <w:r>
        <w:rPr/>
        <w:t>specific needs across the Commonwealth. Furthermore, the Commission hopes to engage in conversations with MCDHH around potential public campaigns highlighting LGBTQ-affirming Deaf spaces, or potentially creating LGBTQ-specific ASL-learning programs.</w:t>
      </w:r>
    </w:p>
    <w:p>
      <w:pPr>
        <w:pStyle w:val="BodyText"/>
      </w:pPr>
    </w:p>
    <w:p>
      <w:pPr>
        <w:pStyle w:val="BodyText"/>
        <w:spacing w:before="238"/>
      </w:pPr>
    </w:p>
    <w:p>
      <w:pPr>
        <w:spacing w:before="0"/>
        <w:ind w:left="483" w:right="0" w:firstLine="0"/>
        <w:jc w:val="left"/>
        <w:rPr>
          <w:i/>
          <w:sz w:val="21"/>
        </w:rPr>
      </w:pPr>
      <w:r>
        <w:rPr>
          <w:i/>
          <w:sz w:val="21"/>
        </w:rPr>
        <w:t>Acknowledgments:</w:t>
      </w:r>
      <w:r>
        <w:rPr>
          <w:i/>
          <w:spacing w:val="-5"/>
          <w:sz w:val="21"/>
        </w:rPr>
        <w:t> </w:t>
      </w:r>
      <w:r>
        <w:rPr>
          <w:i/>
          <w:sz w:val="21"/>
        </w:rPr>
        <w:t>The</w:t>
      </w:r>
      <w:r>
        <w:rPr>
          <w:i/>
          <w:spacing w:val="-2"/>
          <w:sz w:val="21"/>
        </w:rPr>
        <w:t> </w:t>
      </w:r>
      <w:r>
        <w:rPr>
          <w:i/>
          <w:sz w:val="21"/>
        </w:rPr>
        <w:t>Commission</w:t>
      </w:r>
      <w:r>
        <w:rPr>
          <w:i/>
          <w:spacing w:val="-3"/>
          <w:sz w:val="21"/>
        </w:rPr>
        <w:t> </w:t>
      </w:r>
      <w:r>
        <w:rPr>
          <w:i/>
          <w:sz w:val="21"/>
        </w:rPr>
        <w:t>thanks</w:t>
      </w:r>
      <w:r>
        <w:rPr>
          <w:i/>
          <w:spacing w:val="-2"/>
          <w:sz w:val="21"/>
        </w:rPr>
        <w:t> </w:t>
      </w:r>
      <w:r>
        <w:rPr>
          <w:i/>
          <w:sz w:val="21"/>
        </w:rPr>
        <w:t>the</w:t>
      </w:r>
      <w:r>
        <w:rPr>
          <w:i/>
          <w:spacing w:val="-4"/>
          <w:sz w:val="21"/>
        </w:rPr>
        <w:t> </w:t>
      </w:r>
      <w:r>
        <w:rPr>
          <w:i/>
          <w:sz w:val="21"/>
        </w:rPr>
        <w:t>contributions</w:t>
      </w:r>
      <w:r>
        <w:rPr>
          <w:i/>
          <w:spacing w:val="-3"/>
          <w:sz w:val="21"/>
        </w:rPr>
        <w:t> </w:t>
      </w:r>
      <w:r>
        <w:rPr>
          <w:i/>
          <w:sz w:val="21"/>
        </w:rPr>
        <w:t>of</w:t>
      </w:r>
      <w:r>
        <w:rPr>
          <w:i/>
          <w:spacing w:val="-2"/>
          <w:sz w:val="21"/>
        </w:rPr>
        <w:t> </w:t>
      </w:r>
      <w:r>
        <w:rPr>
          <w:i/>
          <w:sz w:val="21"/>
        </w:rPr>
        <w:t>its</w:t>
      </w:r>
      <w:r>
        <w:rPr>
          <w:i/>
          <w:spacing w:val="-4"/>
          <w:sz w:val="21"/>
        </w:rPr>
        <w:t> </w:t>
      </w:r>
      <w:r>
        <w:rPr>
          <w:i/>
          <w:sz w:val="21"/>
        </w:rPr>
        <w:t>MCDHH</w:t>
      </w:r>
      <w:r>
        <w:rPr>
          <w:i/>
          <w:spacing w:val="-3"/>
          <w:sz w:val="21"/>
        </w:rPr>
        <w:t> </w:t>
      </w:r>
      <w:r>
        <w:rPr>
          <w:i/>
          <w:sz w:val="21"/>
        </w:rPr>
        <w:t>staff</w:t>
      </w:r>
      <w:r>
        <w:rPr>
          <w:i/>
          <w:spacing w:val="-2"/>
          <w:sz w:val="21"/>
        </w:rPr>
        <w:t> liaisons.</w:t>
      </w:r>
    </w:p>
    <w:p>
      <w:pPr>
        <w:pStyle w:val="BodyText"/>
        <w:spacing w:before="21"/>
        <w:rPr>
          <w:i/>
          <w:sz w:val="21"/>
        </w:rPr>
      </w:pPr>
    </w:p>
    <w:p>
      <w:pPr>
        <w:spacing w:before="0"/>
        <w:ind w:left="483" w:right="0" w:firstLine="0"/>
        <w:jc w:val="left"/>
        <w:rPr>
          <w:b/>
          <w:sz w:val="21"/>
        </w:rPr>
      </w:pPr>
      <w:r>
        <w:rPr>
          <w:b/>
          <w:spacing w:val="-2"/>
          <w:sz w:val="21"/>
        </w:rPr>
        <w:t>Citations</w:t>
      </w:r>
    </w:p>
    <w:p>
      <w:pPr>
        <w:pStyle w:val="BodyText"/>
        <w:spacing w:before="22"/>
        <w:rPr>
          <w:b/>
          <w:sz w:val="21"/>
        </w:rPr>
      </w:pPr>
    </w:p>
    <w:p>
      <w:pPr>
        <w:spacing w:before="1"/>
        <w:ind w:left="483" w:right="314" w:hanging="1"/>
        <w:jc w:val="left"/>
        <w:rPr>
          <w:sz w:val="18"/>
        </w:rPr>
      </w:pPr>
      <w:bookmarkStart w:name="_bookmark629" w:id="936"/>
      <w:bookmarkEnd w:id="936"/>
      <w:r>
        <w:rPr/>
      </w:r>
      <w:r>
        <w:rPr>
          <w:sz w:val="18"/>
          <w:vertAlign w:val="superscript"/>
        </w:rPr>
        <w:t>1</w:t>
      </w:r>
      <w:r>
        <w:rPr>
          <w:spacing w:val="-13"/>
          <w:sz w:val="18"/>
          <w:vertAlign w:val="baseline"/>
        </w:rPr>
        <w:t> </w:t>
      </w:r>
      <w:r>
        <w:rPr>
          <w:sz w:val="18"/>
          <w:vertAlign w:val="baseline"/>
        </w:rPr>
        <w:t>Cara</w:t>
      </w:r>
      <w:r>
        <w:rPr>
          <w:spacing w:val="-3"/>
          <w:sz w:val="18"/>
          <w:vertAlign w:val="baseline"/>
        </w:rPr>
        <w:t> </w:t>
      </w:r>
      <w:r>
        <w:rPr>
          <w:sz w:val="18"/>
          <w:vertAlign w:val="baseline"/>
        </w:rPr>
        <w:t>A.</w:t>
      </w:r>
      <w:r>
        <w:rPr>
          <w:spacing w:val="-2"/>
          <w:sz w:val="18"/>
          <w:vertAlign w:val="baseline"/>
        </w:rPr>
        <w:t> </w:t>
      </w:r>
      <w:r>
        <w:rPr>
          <w:sz w:val="18"/>
          <w:vertAlign w:val="baseline"/>
        </w:rPr>
        <w:t>Miller,</w:t>
      </w:r>
      <w:r>
        <w:rPr>
          <w:spacing w:val="-3"/>
          <w:sz w:val="18"/>
          <w:vertAlign w:val="baseline"/>
        </w:rPr>
        <w:t> </w:t>
      </w:r>
      <w:r>
        <w:rPr>
          <w:sz w:val="18"/>
          <w:vertAlign w:val="baseline"/>
        </w:rPr>
        <w:t>Andrew</w:t>
      </w:r>
      <w:r>
        <w:rPr>
          <w:spacing w:val="-3"/>
          <w:sz w:val="18"/>
          <w:vertAlign w:val="baseline"/>
        </w:rPr>
        <w:t> </w:t>
      </w:r>
      <w:r>
        <w:rPr>
          <w:sz w:val="18"/>
          <w:vertAlign w:val="baseline"/>
        </w:rPr>
        <w:t>Biskupiak,</w:t>
      </w:r>
      <w:r>
        <w:rPr>
          <w:spacing w:val="-3"/>
          <w:sz w:val="18"/>
          <w:vertAlign w:val="baseline"/>
        </w:rPr>
        <w:t> </w:t>
      </w:r>
      <w:r>
        <w:rPr>
          <w:sz w:val="18"/>
          <w:vertAlign w:val="baseline"/>
        </w:rPr>
        <w:t>and</w:t>
      </w:r>
      <w:r>
        <w:rPr>
          <w:spacing w:val="-2"/>
          <w:sz w:val="18"/>
          <w:vertAlign w:val="baseline"/>
        </w:rPr>
        <w:t> </w:t>
      </w:r>
      <w:r>
        <w:rPr>
          <w:sz w:val="18"/>
          <w:vertAlign w:val="baseline"/>
        </w:rPr>
        <w:t>Poorna</w:t>
      </w:r>
      <w:r>
        <w:rPr>
          <w:spacing w:val="-2"/>
          <w:sz w:val="18"/>
          <w:vertAlign w:val="baseline"/>
        </w:rPr>
        <w:t> </w:t>
      </w:r>
      <w:r>
        <w:rPr>
          <w:sz w:val="18"/>
          <w:vertAlign w:val="baseline"/>
        </w:rPr>
        <w:t>Kushalnagar,</w:t>
      </w:r>
      <w:r>
        <w:rPr>
          <w:spacing w:val="-3"/>
          <w:sz w:val="18"/>
          <w:vertAlign w:val="baseline"/>
        </w:rPr>
        <w:t> </w:t>
      </w:r>
      <w:r>
        <w:rPr>
          <w:sz w:val="18"/>
          <w:vertAlign w:val="baseline"/>
        </w:rPr>
        <w:t>“Deaf</w:t>
      </w:r>
      <w:r>
        <w:rPr>
          <w:spacing w:val="-2"/>
          <w:sz w:val="18"/>
          <w:vertAlign w:val="baseline"/>
        </w:rPr>
        <w:t> </w:t>
      </w:r>
      <w:r>
        <w:rPr>
          <w:sz w:val="18"/>
          <w:vertAlign w:val="baseline"/>
        </w:rPr>
        <w:t>LGBTQ</w:t>
      </w:r>
      <w:r>
        <w:rPr>
          <w:spacing w:val="-4"/>
          <w:sz w:val="18"/>
          <w:vertAlign w:val="baseline"/>
        </w:rPr>
        <w:t> </w:t>
      </w:r>
      <w:r>
        <w:rPr>
          <w:sz w:val="18"/>
          <w:vertAlign w:val="baseline"/>
        </w:rPr>
        <w:t>Patients’</w:t>
      </w:r>
      <w:r>
        <w:rPr>
          <w:spacing w:val="-3"/>
          <w:sz w:val="18"/>
          <w:vertAlign w:val="baseline"/>
        </w:rPr>
        <w:t> </w:t>
      </w:r>
      <w:r>
        <w:rPr>
          <w:sz w:val="18"/>
          <w:vertAlign w:val="baseline"/>
        </w:rPr>
        <w:t>Disclosure</w:t>
      </w:r>
      <w:r>
        <w:rPr>
          <w:spacing w:val="-2"/>
          <w:sz w:val="18"/>
          <w:vertAlign w:val="baseline"/>
        </w:rPr>
        <w:t> </w:t>
      </w:r>
      <w:r>
        <w:rPr>
          <w:sz w:val="18"/>
          <w:vertAlign w:val="baseline"/>
        </w:rPr>
        <w:t>of</w:t>
      </w:r>
      <w:r>
        <w:rPr>
          <w:spacing w:val="-2"/>
          <w:sz w:val="18"/>
          <w:vertAlign w:val="baseline"/>
        </w:rPr>
        <w:t> </w:t>
      </w:r>
      <w:r>
        <w:rPr>
          <w:sz w:val="18"/>
          <w:vertAlign w:val="baseline"/>
        </w:rPr>
        <w:t>Sexual</w:t>
      </w:r>
      <w:r>
        <w:rPr>
          <w:spacing w:val="-3"/>
          <w:sz w:val="18"/>
          <w:vertAlign w:val="baseline"/>
        </w:rPr>
        <w:t> </w:t>
      </w:r>
      <w:r>
        <w:rPr>
          <w:sz w:val="18"/>
          <w:vertAlign w:val="baseline"/>
        </w:rPr>
        <w:t>Orientation</w:t>
      </w:r>
      <w:r>
        <w:rPr>
          <w:spacing w:val="-2"/>
          <w:sz w:val="18"/>
          <w:vertAlign w:val="baseline"/>
        </w:rPr>
        <w:t> </w:t>
      </w:r>
      <w:r>
        <w:rPr>
          <w:sz w:val="18"/>
          <w:vertAlign w:val="baseline"/>
        </w:rPr>
        <w:t>and</w:t>
      </w:r>
      <w:r>
        <w:rPr>
          <w:spacing w:val="-2"/>
          <w:sz w:val="18"/>
          <w:vertAlign w:val="baseline"/>
        </w:rPr>
        <w:t> </w:t>
      </w:r>
      <w:r>
        <w:rPr>
          <w:sz w:val="18"/>
          <w:vertAlign w:val="baseline"/>
        </w:rPr>
        <w:t>Gender Identity to Health Care Providers,” </w:t>
      </w:r>
      <w:r>
        <w:rPr>
          <w:i/>
          <w:sz w:val="18"/>
          <w:vertAlign w:val="baseline"/>
        </w:rPr>
        <w:t>Psychology of Sexual Orientation and Gender Diversity </w:t>
      </w:r>
      <w:r>
        <w:rPr>
          <w:sz w:val="18"/>
          <w:vertAlign w:val="baseline"/>
        </w:rPr>
        <w:t>62, no. 2 (June 2019): 194–203, </w:t>
      </w:r>
      <w:r>
        <w:rPr>
          <w:spacing w:val="-2"/>
          <w:sz w:val="18"/>
          <w:vertAlign w:val="baseline"/>
        </w:rPr>
        <w:t>https://doi.org/10.1037/sgd0000319.</w:t>
      </w:r>
    </w:p>
    <w:p>
      <w:pPr>
        <w:spacing w:before="0"/>
        <w:ind w:left="483" w:right="2134" w:hanging="1"/>
        <w:jc w:val="left"/>
        <w:rPr>
          <w:sz w:val="18"/>
        </w:rPr>
      </w:pPr>
      <w:bookmarkStart w:name="_bookmark630" w:id="937"/>
      <w:bookmarkEnd w:id="937"/>
      <w:r>
        <w:rPr/>
      </w:r>
      <w:r>
        <w:rPr>
          <w:sz w:val="18"/>
          <w:vertAlign w:val="superscript"/>
        </w:rPr>
        <w:t>2</w:t>
      </w:r>
      <w:r>
        <w:rPr>
          <w:spacing w:val="-13"/>
          <w:sz w:val="18"/>
          <w:vertAlign w:val="baseline"/>
        </w:rPr>
        <w:t> </w:t>
      </w:r>
      <w:r>
        <w:rPr>
          <w:sz w:val="18"/>
          <w:vertAlign w:val="baseline"/>
        </w:rPr>
        <w:t>The</w:t>
      </w:r>
      <w:r>
        <w:rPr>
          <w:spacing w:val="-3"/>
          <w:sz w:val="18"/>
          <w:vertAlign w:val="baseline"/>
        </w:rPr>
        <w:t> </w:t>
      </w:r>
      <w:r>
        <w:rPr>
          <w:sz w:val="18"/>
          <w:vertAlign w:val="baseline"/>
        </w:rPr>
        <w:t>Trevor</w:t>
      </w:r>
      <w:r>
        <w:rPr>
          <w:spacing w:val="-3"/>
          <w:sz w:val="18"/>
          <w:vertAlign w:val="baseline"/>
        </w:rPr>
        <w:t> </w:t>
      </w:r>
      <w:r>
        <w:rPr>
          <w:sz w:val="18"/>
          <w:vertAlign w:val="baseline"/>
        </w:rPr>
        <w:t>Project,</w:t>
      </w:r>
      <w:r>
        <w:rPr>
          <w:spacing w:val="-3"/>
          <w:sz w:val="18"/>
          <w:vertAlign w:val="baseline"/>
        </w:rPr>
        <w:t> </w:t>
      </w:r>
      <w:r>
        <w:rPr>
          <w:sz w:val="18"/>
          <w:vertAlign w:val="baseline"/>
        </w:rPr>
        <w:t>“Mental</w:t>
      </w:r>
      <w:r>
        <w:rPr>
          <w:spacing w:val="-3"/>
          <w:sz w:val="18"/>
          <w:vertAlign w:val="baseline"/>
        </w:rPr>
        <w:t> </w:t>
      </w:r>
      <w:r>
        <w:rPr>
          <w:sz w:val="18"/>
          <w:vertAlign w:val="baseline"/>
        </w:rPr>
        <w:t>Health</w:t>
      </w:r>
      <w:r>
        <w:rPr>
          <w:spacing w:val="-2"/>
          <w:sz w:val="18"/>
          <w:vertAlign w:val="baseline"/>
        </w:rPr>
        <w:t> </w:t>
      </w:r>
      <w:r>
        <w:rPr>
          <w:sz w:val="18"/>
          <w:vertAlign w:val="baseline"/>
        </w:rPr>
        <w:t>of</w:t>
      </w:r>
      <w:r>
        <w:rPr>
          <w:spacing w:val="-2"/>
          <w:sz w:val="18"/>
          <w:vertAlign w:val="baseline"/>
        </w:rPr>
        <w:t> </w:t>
      </w:r>
      <w:r>
        <w:rPr>
          <w:sz w:val="18"/>
          <w:vertAlign w:val="baseline"/>
        </w:rPr>
        <w:t>Deaf*</w:t>
      </w:r>
      <w:r>
        <w:rPr>
          <w:spacing w:val="-2"/>
          <w:sz w:val="18"/>
          <w:vertAlign w:val="baseline"/>
        </w:rPr>
        <w:t> </w:t>
      </w:r>
      <w:r>
        <w:rPr>
          <w:sz w:val="18"/>
          <w:vertAlign w:val="baseline"/>
        </w:rPr>
        <w:t>LGBTQ</w:t>
      </w:r>
      <w:r>
        <w:rPr>
          <w:spacing w:val="-2"/>
          <w:sz w:val="18"/>
          <w:vertAlign w:val="baseline"/>
        </w:rPr>
        <w:t> </w:t>
      </w:r>
      <w:r>
        <w:rPr>
          <w:sz w:val="18"/>
          <w:vertAlign w:val="baseline"/>
        </w:rPr>
        <w:t>Youth,”</w:t>
      </w:r>
      <w:r>
        <w:rPr>
          <w:spacing w:val="-2"/>
          <w:sz w:val="18"/>
          <w:vertAlign w:val="baseline"/>
        </w:rPr>
        <w:t> </w:t>
      </w:r>
      <w:r>
        <w:rPr>
          <w:i/>
          <w:sz w:val="18"/>
          <w:vertAlign w:val="baseline"/>
        </w:rPr>
        <w:t>The</w:t>
      </w:r>
      <w:r>
        <w:rPr>
          <w:i/>
          <w:spacing w:val="-2"/>
          <w:sz w:val="18"/>
          <w:vertAlign w:val="baseline"/>
        </w:rPr>
        <w:t> </w:t>
      </w:r>
      <w:r>
        <w:rPr>
          <w:i/>
          <w:sz w:val="18"/>
          <w:vertAlign w:val="baseline"/>
        </w:rPr>
        <w:t>Trevor</w:t>
      </w:r>
      <w:r>
        <w:rPr>
          <w:i/>
          <w:spacing w:val="-3"/>
          <w:sz w:val="18"/>
          <w:vertAlign w:val="baseline"/>
        </w:rPr>
        <w:t> </w:t>
      </w:r>
      <w:r>
        <w:rPr>
          <w:i/>
          <w:sz w:val="18"/>
          <w:vertAlign w:val="baseline"/>
        </w:rPr>
        <w:t>Project</w:t>
      </w:r>
      <w:r>
        <w:rPr>
          <w:i/>
          <w:spacing w:val="-3"/>
          <w:sz w:val="18"/>
          <w:vertAlign w:val="baseline"/>
        </w:rPr>
        <w:t> </w:t>
      </w:r>
      <w:r>
        <w:rPr>
          <w:sz w:val="18"/>
          <w:vertAlign w:val="baseline"/>
        </w:rPr>
        <w:t>(blog),</w:t>
      </w:r>
      <w:r>
        <w:rPr>
          <w:spacing w:val="-3"/>
          <w:sz w:val="18"/>
          <w:vertAlign w:val="baseline"/>
        </w:rPr>
        <w:t> </w:t>
      </w:r>
      <w:r>
        <w:rPr>
          <w:sz w:val="18"/>
          <w:vertAlign w:val="baseline"/>
        </w:rPr>
        <w:t>March</w:t>
      </w:r>
      <w:r>
        <w:rPr>
          <w:spacing w:val="-2"/>
          <w:sz w:val="18"/>
          <w:vertAlign w:val="baseline"/>
        </w:rPr>
        <w:t> </w:t>
      </w:r>
      <w:r>
        <w:rPr>
          <w:sz w:val="18"/>
          <w:vertAlign w:val="baseline"/>
        </w:rPr>
        <w:t>28,</w:t>
      </w:r>
      <w:r>
        <w:rPr>
          <w:spacing w:val="-2"/>
          <w:sz w:val="18"/>
          <w:vertAlign w:val="baseline"/>
        </w:rPr>
        <w:t> </w:t>
      </w:r>
      <w:r>
        <w:rPr>
          <w:sz w:val="18"/>
          <w:vertAlign w:val="baseline"/>
        </w:rPr>
        <w:t>2022, </w:t>
      </w:r>
      <w:r>
        <w:rPr>
          <w:spacing w:val="-2"/>
          <w:sz w:val="18"/>
          <w:vertAlign w:val="baseline"/>
        </w:rPr>
        <w:t>https://</w:t>
      </w:r>
      <w:hyperlink r:id="rId734">
        <w:r>
          <w:rPr>
            <w:spacing w:val="-2"/>
            <w:sz w:val="18"/>
            <w:vertAlign w:val="baseline"/>
          </w:rPr>
          <w:t>www.thetrevorproject.org/research-briefs/mental-health-of-deaf-lgbtq-youth-mar-2022/.</w:t>
        </w:r>
      </w:hyperlink>
    </w:p>
    <w:p>
      <w:pPr>
        <w:spacing w:before="0"/>
        <w:ind w:left="483" w:right="0" w:firstLine="0"/>
        <w:jc w:val="left"/>
        <w:rPr>
          <w:sz w:val="18"/>
        </w:rPr>
      </w:pPr>
      <w:bookmarkStart w:name="_bookmark631" w:id="938"/>
      <w:bookmarkEnd w:id="938"/>
      <w:r>
        <w:rPr/>
      </w:r>
      <w:r>
        <w:rPr>
          <w:sz w:val="18"/>
          <w:vertAlign w:val="superscript"/>
        </w:rPr>
        <w:t>3</w:t>
      </w:r>
      <w:r>
        <w:rPr>
          <w:spacing w:val="-13"/>
          <w:sz w:val="18"/>
          <w:vertAlign w:val="baseline"/>
        </w:rPr>
        <w:t> </w:t>
      </w:r>
      <w:r>
        <w:rPr>
          <w:spacing w:val="-4"/>
          <w:sz w:val="18"/>
          <w:vertAlign w:val="baseline"/>
        </w:rPr>
        <w:t>Ibid</w:t>
      </w:r>
    </w:p>
    <w:p>
      <w:pPr>
        <w:spacing w:before="0"/>
        <w:ind w:left="483" w:right="0" w:firstLine="0"/>
        <w:jc w:val="left"/>
        <w:rPr>
          <w:sz w:val="18"/>
        </w:rPr>
      </w:pPr>
      <w:r>
        <w:rPr>
          <w:sz w:val="18"/>
          <w:vertAlign w:val="superscript"/>
        </w:rPr>
        <w:t>4</w:t>
      </w:r>
      <w:r>
        <w:rPr>
          <w:spacing w:val="-13"/>
          <w:sz w:val="18"/>
          <w:vertAlign w:val="baseline"/>
        </w:rPr>
        <w:t> </w:t>
      </w:r>
      <w:r>
        <w:rPr>
          <w:spacing w:val="-4"/>
          <w:sz w:val="18"/>
          <w:vertAlign w:val="baseline"/>
        </w:rPr>
        <w:t>Ibid</w:t>
      </w:r>
    </w:p>
    <w:p>
      <w:pPr>
        <w:spacing w:after="0"/>
        <w:jc w:val="left"/>
        <w:rPr>
          <w:sz w:val="18"/>
        </w:rPr>
        <w:sectPr>
          <w:pgSz w:w="12240" w:h="15840"/>
          <w:pgMar w:header="804" w:footer="1263" w:top="1000" w:bottom="1460" w:left="960" w:right="1100"/>
        </w:sectPr>
      </w:pPr>
    </w:p>
    <w:p>
      <w:pPr>
        <w:pStyle w:val="BodyText"/>
        <w:rPr>
          <w:sz w:val="20"/>
        </w:rPr>
      </w:pPr>
    </w:p>
    <w:p>
      <w:pPr>
        <w:pStyle w:val="BodyText"/>
        <w:rPr>
          <w:sz w:val="20"/>
        </w:rPr>
      </w:pPr>
    </w:p>
    <w:p>
      <w:pPr>
        <w:pStyle w:val="BodyText"/>
        <w:spacing w:before="73" w:after="1"/>
        <w:rPr>
          <w:sz w:val="20"/>
        </w:rPr>
      </w:pPr>
    </w:p>
    <w:p>
      <w:pPr>
        <w:pStyle w:val="BodyText"/>
        <w:spacing w:line="20" w:lineRule="exact"/>
        <w:ind w:left="440"/>
        <w:rPr>
          <w:sz w:val="2"/>
        </w:rPr>
      </w:pPr>
      <w:r>
        <w:rPr>
          <w:sz w:val="2"/>
        </w:rPr>
        <mc:AlternateContent>
          <mc:Choice Requires="wps">
            <w:drawing>
              <wp:inline distT="0" distB="0" distL="0" distR="0">
                <wp:extent cx="6350" cy="12700"/>
                <wp:effectExtent l="0" t="0" r="0" b="0"/>
                <wp:docPr id="584" name="Group 584"/>
                <wp:cNvGraphicFramePr>
                  <a:graphicFrameLocks/>
                </wp:cNvGraphicFramePr>
                <a:graphic>
                  <a:graphicData uri="http://schemas.microsoft.com/office/word/2010/wordprocessingGroup">
                    <wpg:wgp>
                      <wpg:cNvPr id="584" name="Group 584"/>
                      <wpg:cNvGrpSpPr/>
                      <wpg:grpSpPr>
                        <a:xfrm>
                          <a:off x="0" y="0"/>
                          <a:ext cx="6350" cy="12700"/>
                          <a:chExt cx="6350" cy="12700"/>
                        </a:xfrm>
                      </wpg:grpSpPr>
                      <wps:wsp>
                        <wps:cNvPr id="585" name="Graphic 585"/>
                        <wps:cNvSpPr/>
                        <wps:spPr>
                          <a:xfrm>
                            <a:off x="0" y="0"/>
                            <a:ext cx="6350" cy="12700"/>
                          </a:xfrm>
                          <a:custGeom>
                            <a:avLst/>
                            <a:gdLst/>
                            <a:ahLst/>
                            <a:cxnLst/>
                            <a:rect l="l" t="t" r="r" b="b"/>
                            <a:pathLst>
                              <a:path w="6350" h="12700">
                                <a:moveTo>
                                  <a:pt x="6337" y="0"/>
                                </a:moveTo>
                                <a:lnTo>
                                  <a:pt x="0" y="0"/>
                                </a:lnTo>
                                <a:lnTo>
                                  <a:pt x="0" y="12192"/>
                                </a:lnTo>
                                <a:lnTo>
                                  <a:pt x="6337" y="12192"/>
                                </a:lnTo>
                                <a:lnTo>
                                  <a:pt x="6337" y="0"/>
                                </a:lnTo>
                                <a:close/>
                              </a:path>
                            </a:pathLst>
                          </a:custGeom>
                          <a:solidFill>
                            <a:srgbClr val="4F81BB"/>
                          </a:solidFill>
                        </wps:spPr>
                        <wps:bodyPr wrap="square" lIns="0" tIns="0" rIns="0" bIns="0" rtlCol="0">
                          <a:prstTxWarp prst="textNoShape">
                            <a:avLst/>
                          </a:prstTxWarp>
                          <a:noAutofit/>
                        </wps:bodyPr>
                      </wps:wsp>
                    </wpg:wgp>
                  </a:graphicData>
                </a:graphic>
              </wp:inline>
            </w:drawing>
          </mc:Choice>
          <mc:Fallback>
            <w:pict>
              <v:group style="width:.5pt;height:1pt;mso-position-horizontal-relative:char;mso-position-vertical-relative:line" id="docshapegroup481" coordorigin="0,0" coordsize="10,20">
                <v:rect style="position:absolute;left:0;top:0;width:10;height:20" id="docshape482" filled="true" fillcolor="#4f81bb" stroked="false">
                  <v:fill type="solid"/>
                </v:rect>
              </v:group>
            </w:pict>
          </mc:Fallback>
        </mc:AlternateContent>
      </w:r>
      <w:r>
        <w:rPr>
          <w:sz w:val="2"/>
        </w:rPr>
      </w:r>
    </w:p>
    <w:p>
      <w:pPr>
        <w:pStyle w:val="Heading7"/>
        <w:ind w:left="464"/>
      </w:pPr>
      <w:bookmarkStart w:name="_bookmark632" w:id="939"/>
      <w:bookmarkEnd w:id="939"/>
      <w:r>
        <w:rPr/>
      </w:r>
      <w:hyperlink w:history="true" w:anchor="_bookmark6">
        <w:r>
          <w:rPr>
            <w:color w:val="365F91"/>
            <w:spacing w:val="-10"/>
          </w:rPr>
          <w:t>Massachusetts</w:t>
        </w:r>
        <w:r>
          <w:rPr>
            <w:color w:val="365F91"/>
            <w:spacing w:val="7"/>
          </w:rPr>
          <w:t> </w:t>
        </w:r>
        <w:r>
          <w:rPr>
            <w:color w:val="365F91"/>
            <w:spacing w:val="-10"/>
          </w:rPr>
          <w:t>Rehabilitation</w:t>
        </w:r>
        <w:r>
          <w:rPr>
            <w:color w:val="365F91"/>
            <w:spacing w:val="7"/>
          </w:rPr>
          <w:t> </w:t>
        </w:r>
        <w:r>
          <w:rPr>
            <w:color w:val="365F91"/>
            <w:spacing w:val="-10"/>
          </w:rPr>
          <w:t>Commission</w:t>
        </w:r>
      </w:hyperlink>
    </w:p>
    <w:p>
      <w:pPr>
        <w:pStyle w:val="BodyText"/>
        <w:rPr>
          <w:sz w:val="20"/>
        </w:rPr>
      </w:pPr>
    </w:p>
    <w:p>
      <w:pPr>
        <w:pStyle w:val="BodyText"/>
        <w:spacing w:before="140"/>
        <w:rPr>
          <w:sz w:val="20"/>
        </w:rPr>
      </w:pPr>
      <w:r>
        <w:rPr/>
        <mc:AlternateContent>
          <mc:Choice Requires="wps">
            <w:drawing>
              <wp:anchor distT="0" distB="0" distL="0" distR="0" allowOverlap="1" layoutInCell="1" locked="0" behindDoc="1" simplePos="0" relativeHeight="487703040">
                <wp:simplePos x="0" y="0"/>
                <wp:positionH relativeFrom="page">
                  <wp:posOffset>889000</wp:posOffset>
                </wp:positionH>
                <wp:positionV relativeFrom="paragraph">
                  <wp:posOffset>259777</wp:posOffset>
                </wp:positionV>
                <wp:extent cx="6350" cy="12700"/>
                <wp:effectExtent l="0" t="0" r="0" b="0"/>
                <wp:wrapTopAndBottom/>
                <wp:docPr id="586" name="Graphic 586"/>
                <wp:cNvGraphicFramePr>
                  <a:graphicFrameLocks/>
                </wp:cNvGraphicFramePr>
                <a:graphic>
                  <a:graphicData uri="http://schemas.microsoft.com/office/word/2010/wordprocessingShape">
                    <wps:wsp>
                      <wps:cNvPr id="586" name="Graphic 586"/>
                      <wps:cNvSpPr/>
                      <wps:spPr>
                        <a:xfrm>
                          <a:off x="0" y="0"/>
                          <a:ext cx="6350" cy="12700"/>
                        </a:xfrm>
                        <a:custGeom>
                          <a:avLst/>
                          <a:gdLst/>
                          <a:ahLst/>
                          <a:cxnLst/>
                          <a:rect l="l" t="t" r="r" b="b"/>
                          <a:pathLst>
                            <a:path w="6350" h="12700">
                              <a:moveTo>
                                <a:pt x="6337" y="0"/>
                              </a:moveTo>
                              <a:lnTo>
                                <a:pt x="0" y="0"/>
                              </a:lnTo>
                              <a:lnTo>
                                <a:pt x="0" y="12217"/>
                              </a:lnTo>
                              <a:lnTo>
                                <a:pt x="6337" y="12217"/>
                              </a:lnTo>
                              <a:lnTo>
                                <a:pt x="6337" y="0"/>
                              </a:lnTo>
                              <a:close/>
                            </a:path>
                          </a:pathLst>
                        </a:custGeom>
                        <a:solidFill>
                          <a:srgbClr val="4F81BB"/>
                        </a:solidFill>
                      </wps:spPr>
                      <wps:bodyPr wrap="square" lIns="0" tIns="0" rIns="0" bIns="0" rtlCol="0">
                        <a:prstTxWarp prst="textNoShape">
                          <a:avLst/>
                        </a:prstTxWarp>
                        <a:noAutofit/>
                      </wps:bodyPr>
                    </wps:wsp>
                  </a:graphicData>
                </a:graphic>
              </wp:anchor>
            </w:drawing>
          </mc:Choice>
          <mc:Fallback>
            <w:pict>
              <v:rect style="position:absolute;margin-left:70pt;margin-top:20.454906pt;width:.499pt;height:.962pt;mso-position-horizontal-relative:page;mso-position-vertical-relative:paragraph;z-index:-15613440;mso-wrap-distance-left:0;mso-wrap-distance-right:0" id="docshape483" filled="true" fillcolor="#4f81bb" stroked="false">
                <v:fill type="solid"/>
                <w10:wrap type="topAndBottom"/>
              </v:rect>
            </w:pict>
          </mc:Fallback>
        </mc:AlternateContent>
      </w:r>
    </w:p>
    <w:p>
      <w:pPr>
        <w:spacing w:before="0"/>
        <w:ind w:left="464" w:right="0" w:firstLine="0"/>
        <w:jc w:val="left"/>
        <w:rPr>
          <w:sz w:val="28"/>
        </w:rPr>
      </w:pPr>
      <w:r>
        <w:rPr>
          <w:color w:val="365F91"/>
          <w:sz w:val="28"/>
        </w:rPr>
        <w:t>FY2025</w:t>
      </w:r>
      <w:r>
        <w:rPr>
          <w:color w:val="365F91"/>
          <w:spacing w:val="-13"/>
          <w:sz w:val="28"/>
        </w:rPr>
        <w:t> </w:t>
      </w:r>
      <w:r>
        <w:rPr>
          <w:color w:val="365F91"/>
          <w:spacing w:val="-2"/>
          <w:sz w:val="28"/>
        </w:rPr>
        <w:t>Recommendations</w:t>
      </w:r>
    </w:p>
    <w:p>
      <w:pPr>
        <w:pStyle w:val="BodyText"/>
        <w:spacing w:before="10"/>
        <w:rPr>
          <w:sz w:val="3"/>
        </w:rPr>
      </w:pPr>
      <w:r>
        <w:rPr/>
        <mc:AlternateContent>
          <mc:Choice Requires="wps">
            <w:drawing>
              <wp:anchor distT="0" distB="0" distL="0" distR="0" allowOverlap="1" layoutInCell="1" locked="0" behindDoc="1" simplePos="0" relativeHeight="487703552">
                <wp:simplePos x="0" y="0"/>
                <wp:positionH relativeFrom="page">
                  <wp:posOffset>885444</wp:posOffset>
                </wp:positionH>
                <wp:positionV relativeFrom="paragraph">
                  <wp:posOffset>45366</wp:posOffset>
                </wp:positionV>
                <wp:extent cx="5989320" cy="6350"/>
                <wp:effectExtent l="0" t="0" r="0" b="0"/>
                <wp:wrapTopAndBottom/>
                <wp:docPr id="587" name="Graphic 587"/>
                <wp:cNvGraphicFramePr>
                  <a:graphicFrameLocks/>
                </wp:cNvGraphicFramePr>
                <a:graphic>
                  <a:graphicData uri="http://schemas.microsoft.com/office/word/2010/wordprocessingShape">
                    <wps:wsp>
                      <wps:cNvPr id="587" name="Graphic 587"/>
                      <wps:cNvSpPr/>
                      <wps:spPr>
                        <a:xfrm>
                          <a:off x="0" y="0"/>
                          <a:ext cx="5989320" cy="6350"/>
                        </a:xfrm>
                        <a:custGeom>
                          <a:avLst/>
                          <a:gdLst/>
                          <a:ahLst/>
                          <a:cxnLst/>
                          <a:rect l="l" t="t" r="r" b="b"/>
                          <a:pathLst>
                            <a:path w="5989320" h="6350">
                              <a:moveTo>
                                <a:pt x="5989320" y="0"/>
                              </a:moveTo>
                              <a:lnTo>
                                <a:pt x="0" y="0"/>
                              </a:lnTo>
                              <a:lnTo>
                                <a:pt x="0" y="6096"/>
                              </a:lnTo>
                              <a:lnTo>
                                <a:pt x="5989320" y="6096"/>
                              </a:lnTo>
                              <a:lnTo>
                                <a:pt x="5989320" y="0"/>
                              </a:lnTo>
                              <a:close/>
                            </a:path>
                          </a:pathLst>
                        </a:custGeom>
                        <a:solidFill>
                          <a:srgbClr val="4F81BC"/>
                        </a:solidFill>
                      </wps:spPr>
                      <wps:bodyPr wrap="square" lIns="0" tIns="0" rIns="0" bIns="0" rtlCol="0">
                        <a:prstTxWarp prst="textNoShape">
                          <a:avLst/>
                        </a:prstTxWarp>
                        <a:noAutofit/>
                      </wps:bodyPr>
                    </wps:wsp>
                  </a:graphicData>
                </a:graphic>
              </wp:anchor>
            </w:drawing>
          </mc:Choice>
          <mc:Fallback>
            <w:pict>
              <v:rect style="position:absolute;margin-left:69.720001pt;margin-top:3.572156pt;width:471.6pt;height:.48pt;mso-position-horizontal-relative:page;mso-position-vertical-relative:paragraph;z-index:-15612928;mso-wrap-distance-left:0;mso-wrap-distance-right:0" id="docshape484" filled="true" fillcolor="#4f81bc" stroked="false">
                <v:fill type="solid"/>
                <w10:wrap type="topAndBottom"/>
              </v:rect>
            </w:pict>
          </mc:Fallback>
        </mc:AlternateContent>
      </w:r>
    </w:p>
    <w:p>
      <w:pPr>
        <w:pStyle w:val="ListParagraph"/>
        <w:numPr>
          <w:ilvl w:val="1"/>
          <w:numId w:val="38"/>
        </w:numPr>
        <w:tabs>
          <w:tab w:pos="1040" w:val="left" w:leader="none"/>
        </w:tabs>
        <w:spacing w:line="240" w:lineRule="auto" w:before="241" w:after="0"/>
        <w:ind w:left="1040" w:right="0" w:hanging="360"/>
        <w:jc w:val="left"/>
        <w:rPr>
          <w:sz w:val="22"/>
        </w:rPr>
      </w:pPr>
      <w:r>
        <w:rPr>
          <w:sz w:val="22"/>
        </w:rPr>
        <w:t>Create</w:t>
      </w:r>
      <w:r>
        <w:rPr>
          <w:spacing w:val="-10"/>
          <w:sz w:val="22"/>
        </w:rPr>
        <w:t> </w:t>
      </w:r>
      <w:r>
        <w:rPr>
          <w:sz w:val="22"/>
        </w:rPr>
        <w:t>a</w:t>
      </w:r>
      <w:r>
        <w:rPr>
          <w:spacing w:val="-7"/>
          <w:sz w:val="22"/>
        </w:rPr>
        <w:t> </w:t>
      </w:r>
      <w:r>
        <w:rPr>
          <w:sz w:val="22"/>
        </w:rPr>
        <w:t>comprehensive</w:t>
      </w:r>
      <w:r>
        <w:rPr>
          <w:spacing w:val="-9"/>
          <w:sz w:val="22"/>
        </w:rPr>
        <w:t> </w:t>
      </w:r>
      <w:r>
        <w:rPr>
          <w:sz w:val="22"/>
        </w:rPr>
        <w:t>nondiscrimination</w:t>
      </w:r>
      <w:r>
        <w:rPr>
          <w:spacing w:val="-9"/>
          <w:sz w:val="22"/>
        </w:rPr>
        <w:t> </w:t>
      </w:r>
      <w:r>
        <w:rPr>
          <w:sz w:val="22"/>
        </w:rPr>
        <w:t>and</w:t>
      </w:r>
      <w:r>
        <w:rPr>
          <w:spacing w:val="-9"/>
          <w:sz w:val="22"/>
        </w:rPr>
        <w:t> </w:t>
      </w:r>
      <w:r>
        <w:rPr>
          <w:sz w:val="22"/>
        </w:rPr>
        <w:t>inclusion</w:t>
      </w:r>
      <w:r>
        <w:rPr>
          <w:spacing w:val="-10"/>
          <w:sz w:val="22"/>
        </w:rPr>
        <w:t> </w:t>
      </w:r>
      <w:r>
        <w:rPr>
          <w:sz w:val="22"/>
        </w:rPr>
        <w:t>policy</w:t>
      </w:r>
      <w:r>
        <w:rPr>
          <w:spacing w:val="-9"/>
          <w:sz w:val="22"/>
        </w:rPr>
        <w:t> </w:t>
      </w:r>
      <w:r>
        <w:rPr>
          <w:sz w:val="22"/>
        </w:rPr>
        <w:t>for</w:t>
      </w:r>
      <w:r>
        <w:rPr>
          <w:spacing w:val="-9"/>
          <w:sz w:val="22"/>
        </w:rPr>
        <w:t> </w:t>
      </w:r>
      <w:r>
        <w:rPr>
          <w:sz w:val="22"/>
        </w:rPr>
        <w:t>LGBTQ</w:t>
      </w:r>
      <w:r>
        <w:rPr>
          <w:spacing w:val="-9"/>
          <w:sz w:val="22"/>
        </w:rPr>
        <w:t> </w:t>
      </w:r>
      <w:r>
        <w:rPr>
          <w:spacing w:val="-2"/>
          <w:sz w:val="22"/>
        </w:rPr>
        <w:t>clients.</w:t>
      </w:r>
    </w:p>
    <w:p>
      <w:pPr>
        <w:pStyle w:val="ListParagraph"/>
        <w:numPr>
          <w:ilvl w:val="1"/>
          <w:numId w:val="38"/>
        </w:numPr>
        <w:tabs>
          <w:tab w:pos="1040" w:val="left" w:leader="none"/>
        </w:tabs>
        <w:spacing w:line="240" w:lineRule="auto" w:before="40" w:after="0"/>
        <w:ind w:left="1040" w:right="0" w:hanging="360"/>
        <w:jc w:val="left"/>
        <w:rPr>
          <w:sz w:val="22"/>
        </w:rPr>
      </w:pPr>
      <w:r>
        <w:rPr>
          <w:sz w:val="21"/>
        </w:rPr>
        <w:t>Continue</w:t>
      </w:r>
      <w:r>
        <w:rPr>
          <w:spacing w:val="-7"/>
          <w:sz w:val="21"/>
        </w:rPr>
        <w:t> </w:t>
      </w:r>
      <w:r>
        <w:rPr>
          <w:sz w:val="21"/>
        </w:rPr>
        <w:t>to</w:t>
      </w:r>
      <w:r>
        <w:rPr>
          <w:spacing w:val="-7"/>
          <w:sz w:val="21"/>
        </w:rPr>
        <w:t> </w:t>
      </w:r>
      <w:r>
        <w:rPr>
          <w:sz w:val="21"/>
        </w:rPr>
        <w:t>r</w:t>
      </w:r>
      <w:r>
        <w:rPr>
          <w:sz w:val="22"/>
        </w:rPr>
        <w:t>eview</w:t>
      </w:r>
      <w:r>
        <w:rPr>
          <w:spacing w:val="-8"/>
          <w:sz w:val="22"/>
        </w:rPr>
        <w:t> </w:t>
      </w:r>
      <w:r>
        <w:rPr>
          <w:sz w:val="22"/>
        </w:rPr>
        <w:t>intake</w:t>
      </w:r>
      <w:r>
        <w:rPr>
          <w:spacing w:val="-7"/>
          <w:sz w:val="22"/>
        </w:rPr>
        <w:t> </w:t>
      </w:r>
      <w:r>
        <w:rPr>
          <w:sz w:val="22"/>
        </w:rPr>
        <w:t>forms</w:t>
      </w:r>
      <w:r>
        <w:rPr>
          <w:spacing w:val="-8"/>
          <w:sz w:val="22"/>
        </w:rPr>
        <w:t> </w:t>
      </w:r>
      <w:r>
        <w:rPr>
          <w:sz w:val="22"/>
        </w:rPr>
        <w:t>and</w:t>
      </w:r>
      <w:r>
        <w:rPr>
          <w:spacing w:val="-7"/>
          <w:sz w:val="22"/>
        </w:rPr>
        <w:t> </w:t>
      </w:r>
      <w:r>
        <w:rPr>
          <w:sz w:val="22"/>
        </w:rPr>
        <w:t>appropriately</w:t>
      </w:r>
      <w:r>
        <w:rPr>
          <w:spacing w:val="-7"/>
          <w:sz w:val="22"/>
        </w:rPr>
        <w:t> </w:t>
      </w:r>
      <w:r>
        <w:rPr>
          <w:sz w:val="22"/>
        </w:rPr>
        <w:t>train</w:t>
      </w:r>
      <w:r>
        <w:rPr>
          <w:spacing w:val="-8"/>
          <w:sz w:val="22"/>
        </w:rPr>
        <w:t> </w:t>
      </w:r>
      <w:r>
        <w:rPr>
          <w:sz w:val="22"/>
        </w:rPr>
        <w:t>staff</w:t>
      </w:r>
      <w:r>
        <w:rPr>
          <w:spacing w:val="-8"/>
          <w:sz w:val="22"/>
        </w:rPr>
        <w:t> </w:t>
      </w:r>
      <w:r>
        <w:rPr>
          <w:sz w:val="22"/>
        </w:rPr>
        <w:t>on</w:t>
      </w:r>
      <w:r>
        <w:rPr>
          <w:spacing w:val="-8"/>
          <w:sz w:val="22"/>
        </w:rPr>
        <w:t> </w:t>
      </w:r>
      <w:r>
        <w:rPr>
          <w:sz w:val="22"/>
        </w:rPr>
        <w:t>implementation</w:t>
      </w:r>
      <w:r>
        <w:rPr>
          <w:spacing w:val="-8"/>
          <w:sz w:val="22"/>
        </w:rPr>
        <w:t> </w:t>
      </w:r>
      <w:r>
        <w:rPr>
          <w:spacing w:val="-2"/>
          <w:sz w:val="22"/>
        </w:rPr>
        <w:t>procedures.</w:t>
      </w:r>
    </w:p>
    <w:p>
      <w:pPr>
        <w:pStyle w:val="ListParagraph"/>
        <w:numPr>
          <w:ilvl w:val="1"/>
          <w:numId w:val="38"/>
        </w:numPr>
        <w:tabs>
          <w:tab w:pos="1040" w:val="left" w:leader="none"/>
        </w:tabs>
        <w:spacing w:line="276" w:lineRule="auto" w:before="41" w:after="0"/>
        <w:ind w:left="1040" w:right="629" w:hanging="361"/>
        <w:jc w:val="left"/>
        <w:rPr>
          <w:sz w:val="22"/>
        </w:rPr>
      </w:pPr>
      <w:r>
        <w:rPr>
          <w:sz w:val="22"/>
        </w:rPr>
        <w:t>Facilitate</w:t>
      </w:r>
      <w:r>
        <w:rPr>
          <w:spacing w:val="37"/>
          <w:sz w:val="22"/>
        </w:rPr>
        <w:t> </w:t>
      </w:r>
      <w:r>
        <w:rPr>
          <w:sz w:val="22"/>
        </w:rPr>
        <w:t>mandatory</w:t>
      </w:r>
      <w:r>
        <w:rPr>
          <w:spacing w:val="36"/>
          <w:sz w:val="22"/>
        </w:rPr>
        <w:t> </w:t>
      </w:r>
      <w:r>
        <w:rPr>
          <w:sz w:val="22"/>
        </w:rPr>
        <w:t>LGBTQ</w:t>
      </w:r>
      <w:r>
        <w:rPr>
          <w:spacing w:val="37"/>
          <w:sz w:val="22"/>
        </w:rPr>
        <w:t> </w:t>
      </w:r>
      <w:r>
        <w:rPr>
          <w:sz w:val="22"/>
        </w:rPr>
        <w:t>cultural</w:t>
      </w:r>
      <w:r>
        <w:rPr>
          <w:spacing w:val="37"/>
          <w:sz w:val="22"/>
        </w:rPr>
        <w:t> </w:t>
      </w:r>
      <w:r>
        <w:rPr>
          <w:sz w:val="22"/>
        </w:rPr>
        <w:t>awareness</w:t>
      </w:r>
      <w:r>
        <w:rPr>
          <w:spacing w:val="37"/>
          <w:sz w:val="22"/>
        </w:rPr>
        <w:t> </w:t>
      </w:r>
      <w:r>
        <w:rPr>
          <w:sz w:val="22"/>
        </w:rPr>
        <w:t>trainings,</w:t>
      </w:r>
      <w:r>
        <w:rPr>
          <w:spacing w:val="36"/>
          <w:sz w:val="22"/>
        </w:rPr>
        <w:t> </w:t>
      </w:r>
      <w:r>
        <w:rPr>
          <w:sz w:val="22"/>
        </w:rPr>
        <w:t>and</w:t>
      </w:r>
      <w:r>
        <w:rPr>
          <w:spacing w:val="36"/>
          <w:sz w:val="22"/>
        </w:rPr>
        <w:t> </w:t>
      </w:r>
      <w:r>
        <w:rPr>
          <w:sz w:val="22"/>
        </w:rPr>
        <w:t>offer</w:t>
      </w:r>
      <w:r>
        <w:rPr>
          <w:spacing w:val="36"/>
          <w:sz w:val="22"/>
        </w:rPr>
        <w:t> </w:t>
      </w:r>
      <w:r>
        <w:rPr>
          <w:sz w:val="22"/>
        </w:rPr>
        <w:t>recurring</w:t>
      </w:r>
      <w:r>
        <w:rPr>
          <w:spacing w:val="36"/>
          <w:sz w:val="22"/>
        </w:rPr>
        <w:t> </w:t>
      </w:r>
      <w:r>
        <w:rPr>
          <w:sz w:val="22"/>
        </w:rPr>
        <w:t>skills</w:t>
      </w:r>
      <w:r>
        <w:rPr>
          <w:spacing w:val="38"/>
          <w:sz w:val="22"/>
        </w:rPr>
        <w:t> </w:t>
      </w:r>
      <w:r>
        <w:rPr>
          <w:sz w:val="22"/>
        </w:rPr>
        <w:t>building opportunities for staff.</w:t>
      </w:r>
    </w:p>
    <w:p>
      <w:pPr>
        <w:pStyle w:val="ListParagraph"/>
        <w:numPr>
          <w:ilvl w:val="1"/>
          <w:numId w:val="38"/>
        </w:numPr>
        <w:tabs>
          <w:tab w:pos="1040" w:val="left" w:leader="none"/>
        </w:tabs>
        <w:spacing w:line="276" w:lineRule="auto" w:before="0" w:after="0"/>
        <w:ind w:left="1040" w:right="629" w:hanging="360"/>
        <w:jc w:val="left"/>
        <w:rPr>
          <w:sz w:val="22"/>
        </w:rPr>
      </w:pPr>
      <w:r>
        <w:rPr>
          <w:sz w:val="22"/>
        </w:rPr>
        <w:t>Partner</w:t>
      </w:r>
      <w:r>
        <w:rPr>
          <w:spacing w:val="40"/>
          <w:sz w:val="22"/>
        </w:rPr>
        <w:t> </w:t>
      </w:r>
      <w:r>
        <w:rPr>
          <w:sz w:val="22"/>
        </w:rPr>
        <w:t>with</w:t>
      </w:r>
      <w:r>
        <w:rPr>
          <w:spacing w:val="40"/>
          <w:sz w:val="22"/>
        </w:rPr>
        <w:t> </w:t>
      </w:r>
      <w:r>
        <w:rPr>
          <w:sz w:val="22"/>
        </w:rPr>
        <w:t>the</w:t>
      </w:r>
      <w:r>
        <w:rPr>
          <w:spacing w:val="40"/>
          <w:sz w:val="22"/>
        </w:rPr>
        <w:t> </w:t>
      </w:r>
      <w:r>
        <w:rPr>
          <w:sz w:val="22"/>
        </w:rPr>
        <w:t>Commission</w:t>
      </w:r>
      <w:r>
        <w:rPr>
          <w:spacing w:val="40"/>
          <w:sz w:val="22"/>
        </w:rPr>
        <w:t> </w:t>
      </w:r>
      <w:r>
        <w:rPr>
          <w:sz w:val="22"/>
        </w:rPr>
        <w:t>to</w:t>
      </w:r>
      <w:r>
        <w:rPr>
          <w:spacing w:val="40"/>
          <w:sz w:val="22"/>
        </w:rPr>
        <w:t> </w:t>
      </w:r>
      <w:r>
        <w:rPr>
          <w:sz w:val="22"/>
        </w:rPr>
        <w:t>develop</w:t>
      </w:r>
      <w:r>
        <w:rPr>
          <w:spacing w:val="40"/>
          <w:sz w:val="22"/>
        </w:rPr>
        <w:t> </w:t>
      </w:r>
      <w:r>
        <w:rPr>
          <w:sz w:val="22"/>
        </w:rPr>
        <w:t>an</w:t>
      </w:r>
      <w:r>
        <w:rPr>
          <w:spacing w:val="40"/>
          <w:sz w:val="22"/>
        </w:rPr>
        <w:t> </w:t>
      </w:r>
      <w:r>
        <w:rPr>
          <w:sz w:val="22"/>
        </w:rPr>
        <w:t>outreach</w:t>
      </w:r>
      <w:r>
        <w:rPr>
          <w:spacing w:val="40"/>
          <w:sz w:val="22"/>
        </w:rPr>
        <w:t> </w:t>
      </w:r>
      <w:r>
        <w:rPr>
          <w:sz w:val="22"/>
        </w:rPr>
        <w:t>plan</w:t>
      </w:r>
      <w:r>
        <w:rPr>
          <w:spacing w:val="40"/>
          <w:sz w:val="22"/>
        </w:rPr>
        <w:t> </w:t>
      </w:r>
      <w:r>
        <w:rPr>
          <w:sz w:val="22"/>
        </w:rPr>
        <w:t>to</w:t>
      </w:r>
      <w:r>
        <w:rPr>
          <w:spacing w:val="40"/>
          <w:sz w:val="22"/>
        </w:rPr>
        <w:t> </w:t>
      </w:r>
      <w:r>
        <w:rPr>
          <w:sz w:val="22"/>
        </w:rPr>
        <w:t>LGBTQ</w:t>
      </w:r>
      <w:r>
        <w:rPr>
          <w:spacing w:val="40"/>
          <w:sz w:val="22"/>
        </w:rPr>
        <w:t> </w:t>
      </w:r>
      <w:r>
        <w:rPr>
          <w:sz w:val="22"/>
        </w:rPr>
        <w:t>youth</w:t>
      </w:r>
      <w:r>
        <w:rPr>
          <w:spacing w:val="40"/>
          <w:sz w:val="22"/>
        </w:rPr>
        <w:t> </w:t>
      </w:r>
      <w:r>
        <w:rPr>
          <w:sz w:val="22"/>
        </w:rPr>
        <w:t>and</w:t>
      </w:r>
      <w:r>
        <w:rPr>
          <w:spacing w:val="40"/>
          <w:sz w:val="22"/>
        </w:rPr>
        <w:t> </w:t>
      </w:r>
      <w:r>
        <w:rPr>
          <w:sz w:val="22"/>
        </w:rPr>
        <w:t>resource </w:t>
      </w:r>
      <w:r>
        <w:rPr>
          <w:spacing w:val="-2"/>
          <w:sz w:val="22"/>
        </w:rPr>
        <w:t>development.</w:t>
      </w:r>
    </w:p>
    <w:p>
      <w:pPr>
        <w:pStyle w:val="ListParagraph"/>
        <w:numPr>
          <w:ilvl w:val="1"/>
          <w:numId w:val="38"/>
        </w:numPr>
        <w:tabs>
          <w:tab w:pos="1040" w:val="left" w:leader="none"/>
        </w:tabs>
        <w:spacing w:line="240" w:lineRule="auto" w:before="0" w:after="0"/>
        <w:ind w:left="1040" w:right="0" w:hanging="360"/>
        <w:jc w:val="left"/>
        <w:rPr>
          <w:sz w:val="22"/>
        </w:rPr>
      </w:pPr>
      <w:r>
        <w:rPr>
          <w:sz w:val="22"/>
        </w:rPr>
        <w:t>Review</w:t>
      </w:r>
      <w:r>
        <w:rPr>
          <w:spacing w:val="-9"/>
          <w:sz w:val="22"/>
        </w:rPr>
        <w:t> </w:t>
      </w:r>
      <w:r>
        <w:rPr>
          <w:sz w:val="22"/>
        </w:rPr>
        <w:t>internal</w:t>
      </w:r>
      <w:r>
        <w:rPr>
          <w:spacing w:val="-9"/>
          <w:sz w:val="22"/>
        </w:rPr>
        <w:t> </w:t>
      </w:r>
      <w:r>
        <w:rPr>
          <w:sz w:val="22"/>
        </w:rPr>
        <w:t>policies</w:t>
      </w:r>
      <w:r>
        <w:rPr>
          <w:spacing w:val="-8"/>
          <w:sz w:val="22"/>
        </w:rPr>
        <w:t> </w:t>
      </w:r>
      <w:r>
        <w:rPr>
          <w:sz w:val="22"/>
        </w:rPr>
        <w:t>to</w:t>
      </w:r>
      <w:r>
        <w:rPr>
          <w:spacing w:val="-8"/>
          <w:sz w:val="22"/>
        </w:rPr>
        <w:t> </w:t>
      </w:r>
      <w:r>
        <w:rPr>
          <w:sz w:val="22"/>
        </w:rPr>
        <w:t>identify</w:t>
      </w:r>
      <w:r>
        <w:rPr>
          <w:spacing w:val="-9"/>
          <w:sz w:val="22"/>
        </w:rPr>
        <w:t> </w:t>
      </w:r>
      <w:r>
        <w:rPr>
          <w:sz w:val="22"/>
        </w:rPr>
        <w:t>opportunities</w:t>
      </w:r>
      <w:r>
        <w:rPr>
          <w:spacing w:val="-8"/>
          <w:sz w:val="22"/>
        </w:rPr>
        <w:t> </w:t>
      </w:r>
      <w:r>
        <w:rPr>
          <w:sz w:val="22"/>
        </w:rPr>
        <w:t>for</w:t>
      </w:r>
      <w:r>
        <w:rPr>
          <w:spacing w:val="-9"/>
          <w:sz w:val="22"/>
        </w:rPr>
        <w:t> </w:t>
      </w:r>
      <w:r>
        <w:rPr>
          <w:spacing w:val="-2"/>
          <w:sz w:val="22"/>
        </w:rPr>
        <w:t>improvement.</w:t>
      </w:r>
    </w:p>
    <w:p>
      <w:pPr>
        <w:pStyle w:val="BodyText"/>
        <w:rPr>
          <w:sz w:val="20"/>
        </w:rPr>
      </w:pPr>
    </w:p>
    <w:p>
      <w:pPr>
        <w:pStyle w:val="BodyText"/>
        <w:spacing w:before="107"/>
        <w:rPr>
          <w:sz w:val="20"/>
        </w:rPr>
      </w:pPr>
      <w:r>
        <w:rPr/>
        <mc:AlternateContent>
          <mc:Choice Requires="wps">
            <w:drawing>
              <wp:anchor distT="0" distB="0" distL="0" distR="0" allowOverlap="1" layoutInCell="1" locked="0" behindDoc="1" simplePos="0" relativeHeight="487704064">
                <wp:simplePos x="0" y="0"/>
                <wp:positionH relativeFrom="page">
                  <wp:posOffset>889000</wp:posOffset>
                </wp:positionH>
                <wp:positionV relativeFrom="paragraph">
                  <wp:posOffset>238571</wp:posOffset>
                </wp:positionV>
                <wp:extent cx="6350" cy="12700"/>
                <wp:effectExtent l="0" t="0" r="0" b="0"/>
                <wp:wrapTopAndBottom/>
                <wp:docPr id="588" name="Graphic 588"/>
                <wp:cNvGraphicFramePr>
                  <a:graphicFrameLocks/>
                </wp:cNvGraphicFramePr>
                <a:graphic>
                  <a:graphicData uri="http://schemas.microsoft.com/office/word/2010/wordprocessingShape">
                    <wps:wsp>
                      <wps:cNvPr id="588" name="Graphic 588"/>
                      <wps:cNvSpPr/>
                      <wps:spPr>
                        <a:xfrm>
                          <a:off x="0" y="0"/>
                          <a:ext cx="6350" cy="12700"/>
                        </a:xfrm>
                        <a:custGeom>
                          <a:avLst/>
                          <a:gdLst/>
                          <a:ahLst/>
                          <a:cxnLst/>
                          <a:rect l="l" t="t" r="r" b="b"/>
                          <a:pathLst>
                            <a:path w="6350" h="12700">
                              <a:moveTo>
                                <a:pt x="6337" y="0"/>
                              </a:moveTo>
                              <a:lnTo>
                                <a:pt x="0" y="0"/>
                              </a:lnTo>
                              <a:lnTo>
                                <a:pt x="0" y="12191"/>
                              </a:lnTo>
                              <a:lnTo>
                                <a:pt x="6337" y="12191"/>
                              </a:lnTo>
                              <a:lnTo>
                                <a:pt x="6337" y="0"/>
                              </a:lnTo>
                              <a:close/>
                            </a:path>
                          </a:pathLst>
                        </a:custGeom>
                        <a:solidFill>
                          <a:srgbClr val="4F81BB"/>
                        </a:solidFill>
                      </wps:spPr>
                      <wps:bodyPr wrap="square" lIns="0" tIns="0" rIns="0" bIns="0" rtlCol="0">
                        <a:prstTxWarp prst="textNoShape">
                          <a:avLst/>
                        </a:prstTxWarp>
                        <a:noAutofit/>
                      </wps:bodyPr>
                    </wps:wsp>
                  </a:graphicData>
                </a:graphic>
              </wp:anchor>
            </w:drawing>
          </mc:Choice>
          <mc:Fallback>
            <w:pict>
              <v:rect style="position:absolute;margin-left:70pt;margin-top:18.785187pt;width:.499pt;height:.96pt;mso-position-horizontal-relative:page;mso-position-vertical-relative:paragraph;z-index:-15612416;mso-wrap-distance-left:0;mso-wrap-distance-right:0" id="docshape485" filled="true" fillcolor="#4f81bb" stroked="false">
                <v:fill type="solid"/>
                <w10:wrap type="topAndBottom"/>
              </v:rect>
            </w:pict>
          </mc:Fallback>
        </mc:AlternateContent>
      </w:r>
    </w:p>
    <w:p>
      <w:pPr>
        <w:spacing w:before="0"/>
        <w:ind w:left="464" w:right="0" w:firstLine="0"/>
        <w:jc w:val="left"/>
        <w:rPr>
          <w:sz w:val="28"/>
        </w:rPr>
      </w:pPr>
      <w:r>
        <w:rPr>
          <w:color w:val="365F91"/>
          <w:spacing w:val="-2"/>
          <w:sz w:val="28"/>
        </w:rPr>
        <w:t>Introduction</w:t>
      </w:r>
    </w:p>
    <w:p>
      <w:pPr>
        <w:pStyle w:val="BodyText"/>
        <w:spacing w:before="10"/>
        <w:rPr>
          <w:sz w:val="3"/>
        </w:rPr>
      </w:pPr>
      <w:r>
        <w:rPr/>
        <mc:AlternateContent>
          <mc:Choice Requires="wps">
            <w:drawing>
              <wp:anchor distT="0" distB="0" distL="0" distR="0" allowOverlap="1" layoutInCell="1" locked="0" behindDoc="1" simplePos="0" relativeHeight="487704576">
                <wp:simplePos x="0" y="0"/>
                <wp:positionH relativeFrom="page">
                  <wp:posOffset>885444</wp:posOffset>
                </wp:positionH>
                <wp:positionV relativeFrom="paragraph">
                  <wp:posOffset>45290</wp:posOffset>
                </wp:positionV>
                <wp:extent cx="5989320" cy="6350"/>
                <wp:effectExtent l="0" t="0" r="0" b="0"/>
                <wp:wrapTopAndBottom/>
                <wp:docPr id="589" name="Graphic 589"/>
                <wp:cNvGraphicFramePr>
                  <a:graphicFrameLocks/>
                </wp:cNvGraphicFramePr>
                <a:graphic>
                  <a:graphicData uri="http://schemas.microsoft.com/office/word/2010/wordprocessingShape">
                    <wps:wsp>
                      <wps:cNvPr id="589" name="Graphic 589"/>
                      <wps:cNvSpPr/>
                      <wps:spPr>
                        <a:xfrm>
                          <a:off x="0" y="0"/>
                          <a:ext cx="5989320" cy="6350"/>
                        </a:xfrm>
                        <a:custGeom>
                          <a:avLst/>
                          <a:gdLst/>
                          <a:ahLst/>
                          <a:cxnLst/>
                          <a:rect l="l" t="t" r="r" b="b"/>
                          <a:pathLst>
                            <a:path w="5989320" h="6350">
                              <a:moveTo>
                                <a:pt x="5989320" y="0"/>
                              </a:moveTo>
                              <a:lnTo>
                                <a:pt x="0" y="0"/>
                              </a:lnTo>
                              <a:lnTo>
                                <a:pt x="0" y="6108"/>
                              </a:lnTo>
                              <a:lnTo>
                                <a:pt x="5989320" y="6108"/>
                              </a:lnTo>
                              <a:lnTo>
                                <a:pt x="5989320" y="0"/>
                              </a:lnTo>
                              <a:close/>
                            </a:path>
                          </a:pathLst>
                        </a:custGeom>
                        <a:solidFill>
                          <a:srgbClr val="4F81BC"/>
                        </a:solidFill>
                      </wps:spPr>
                      <wps:bodyPr wrap="square" lIns="0" tIns="0" rIns="0" bIns="0" rtlCol="0">
                        <a:prstTxWarp prst="textNoShape">
                          <a:avLst/>
                        </a:prstTxWarp>
                        <a:noAutofit/>
                      </wps:bodyPr>
                    </wps:wsp>
                  </a:graphicData>
                </a:graphic>
              </wp:anchor>
            </w:drawing>
          </mc:Choice>
          <mc:Fallback>
            <w:pict>
              <v:rect style="position:absolute;margin-left:69.720001pt;margin-top:3.566156pt;width:471.6pt;height:.481pt;mso-position-horizontal-relative:page;mso-position-vertical-relative:paragraph;z-index:-15611904;mso-wrap-distance-left:0;mso-wrap-distance-right:0" id="docshape486" filled="true" fillcolor="#4f81bc" stroked="false">
                <v:fill type="solid"/>
                <w10:wrap type="topAndBottom"/>
              </v:rect>
            </w:pict>
          </mc:Fallback>
        </mc:AlternateContent>
      </w:r>
    </w:p>
    <w:p>
      <w:pPr>
        <w:pStyle w:val="BodyText"/>
        <w:spacing w:line="276" w:lineRule="auto" w:before="241"/>
        <w:ind w:left="464" w:right="341"/>
        <w:jc w:val="both"/>
      </w:pPr>
      <w:r>
        <w:rPr/>
        <w:t>The Massachusetts Rehabilitation Commission (MRC) promotes equality, empowerment, and independence for individuals with disabilities. MRC provides programs that assist individuals with employment opportunities and training, community living support, and assistance with determining federal benefits eligibility. For youth 14 and older, MRC offers </w:t>
      </w:r>
      <w:hyperlink r:id="rId737">
        <w:r>
          <w:rPr>
            <w:color w:val="1153CC"/>
            <w:u w:val="single" w:color="1153CC"/>
          </w:rPr>
          <w:t>transition services</w:t>
        </w:r>
      </w:hyperlink>
      <w:r>
        <w:rPr>
          <w:color w:val="1153CC"/>
          <w:u w:val="none"/>
        </w:rPr>
        <w:t> </w:t>
      </w:r>
      <w:r>
        <w:rPr>
          <w:u w:val="none"/>
        </w:rPr>
        <w:t>to support high school students with pre-employment support or support for further education after high school.</w:t>
      </w:r>
    </w:p>
    <w:p>
      <w:pPr>
        <w:pStyle w:val="BodyText"/>
        <w:spacing w:line="276" w:lineRule="auto" w:before="241"/>
        <w:ind w:left="464" w:right="339"/>
        <w:jc w:val="both"/>
      </w:pPr>
      <w:r>
        <w:rPr/>
        <w:t>Research suggests that LGBTQ youth are more likely than their heterosexual and cisgender peers to identify as having a physical disability, long-term health problems, or learning disabilities. LGBTQ youth are already disproportionately more likely to face discrimination and exclusion from services and employment; for youth with disabilities these experiences can be compounded by further ableism, discrimination, and stigma. Furthermore, as discussed previously in the MCDHH section, even LGBTQ community spaces are often inaccessible for youth with disabilities, particularly when lacking accessible bathrooms,</w:t>
      </w:r>
      <w:r>
        <w:rPr>
          <w:spacing w:val="-11"/>
        </w:rPr>
        <w:t> </w:t>
      </w:r>
      <w:r>
        <w:rPr/>
        <w:t>translation</w:t>
      </w:r>
      <w:r>
        <w:rPr>
          <w:spacing w:val="-11"/>
        </w:rPr>
        <w:t> </w:t>
      </w:r>
      <w:r>
        <w:rPr/>
        <w:t>and/or</w:t>
      </w:r>
      <w:r>
        <w:rPr>
          <w:spacing w:val="-11"/>
        </w:rPr>
        <w:t> </w:t>
      </w:r>
      <w:r>
        <w:rPr/>
        <w:t>captioning</w:t>
      </w:r>
      <w:r>
        <w:rPr>
          <w:spacing w:val="-11"/>
        </w:rPr>
        <w:t> </w:t>
      </w:r>
      <w:r>
        <w:rPr/>
        <w:t>services,</w:t>
      </w:r>
      <w:r>
        <w:rPr>
          <w:spacing w:val="-11"/>
        </w:rPr>
        <w:t> </w:t>
      </w:r>
      <w:r>
        <w:rPr/>
        <w:t>and</w:t>
      </w:r>
      <w:r>
        <w:rPr>
          <w:spacing w:val="-11"/>
        </w:rPr>
        <w:t> </w:t>
      </w:r>
      <w:r>
        <w:rPr/>
        <w:t>can</w:t>
      </w:r>
      <w:r>
        <w:rPr>
          <w:spacing w:val="-11"/>
        </w:rPr>
        <w:t> </w:t>
      </w:r>
      <w:r>
        <w:rPr/>
        <w:t>be</w:t>
      </w:r>
      <w:r>
        <w:rPr>
          <w:spacing w:val="-11"/>
        </w:rPr>
        <w:t> </w:t>
      </w:r>
      <w:r>
        <w:rPr/>
        <w:t>overly</w:t>
      </w:r>
      <w:r>
        <w:rPr>
          <w:spacing w:val="-11"/>
        </w:rPr>
        <w:t> </w:t>
      </w:r>
      <w:r>
        <w:rPr/>
        <w:t>stimulating</w:t>
      </w:r>
      <w:r>
        <w:rPr>
          <w:spacing w:val="-10"/>
        </w:rPr>
        <w:t> </w:t>
      </w:r>
      <w:r>
        <w:rPr/>
        <w:t>with</w:t>
      </w:r>
      <w:r>
        <w:rPr>
          <w:spacing w:val="-11"/>
        </w:rPr>
        <w:t> </w:t>
      </w:r>
      <w:r>
        <w:rPr/>
        <w:t>little</w:t>
      </w:r>
      <w:r>
        <w:rPr>
          <w:spacing w:val="-11"/>
        </w:rPr>
        <w:t> </w:t>
      </w:r>
      <w:r>
        <w:rPr/>
        <w:t>access</w:t>
      </w:r>
      <w:r>
        <w:rPr>
          <w:spacing w:val="-11"/>
        </w:rPr>
        <w:t> </w:t>
      </w:r>
      <w:r>
        <w:rPr/>
        <w:t>to</w:t>
      </w:r>
      <w:r>
        <w:rPr>
          <w:spacing w:val="-11"/>
        </w:rPr>
        <w:t> </w:t>
      </w:r>
      <w:r>
        <w:rPr/>
        <w:t>quiet </w:t>
      </w:r>
      <w:r>
        <w:rPr>
          <w:spacing w:val="-2"/>
        </w:rPr>
        <w:t>spaces.</w:t>
      </w:r>
      <w:r>
        <w:rPr>
          <w:spacing w:val="-2"/>
          <w:vertAlign w:val="superscript"/>
        </w:rPr>
        <w:t>1</w:t>
      </w:r>
    </w:p>
    <w:p>
      <w:pPr>
        <w:pStyle w:val="BodyText"/>
        <w:spacing w:line="276" w:lineRule="auto" w:before="240"/>
        <w:ind w:left="464" w:right="344"/>
        <w:jc w:val="both"/>
      </w:pPr>
      <w:r>
        <w:rPr/>
        <w:t>Ensuring that MRC services are appropriately inclusive and accessible is critical to making sure that all LGBTQ youth in the Commonwealth have the opportunity to thrive.</w:t>
      </w:r>
    </w:p>
    <w:p>
      <w:pPr>
        <w:spacing w:before="238"/>
        <w:ind w:left="464" w:right="0" w:firstLine="0"/>
        <w:jc w:val="both"/>
        <w:rPr>
          <w:sz w:val="24"/>
        </w:rPr>
      </w:pPr>
      <w:r>
        <w:rPr>
          <w:color w:val="365F91"/>
          <w:sz w:val="24"/>
        </w:rPr>
        <w:t>Past</w:t>
      </w:r>
      <w:r>
        <w:rPr>
          <w:color w:val="365F91"/>
          <w:spacing w:val="-5"/>
          <w:sz w:val="24"/>
        </w:rPr>
        <w:t> </w:t>
      </w:r>
      <w:r>
        <w:rPr>
          <w:color w:val="365F91"/>
          <w:sz w:val="24"/>
        </w:rPr>
        <w:t>&amp;</w:t>
      </w:r>
      <w:r>
        <w:rPr>
          <w:color w:val="365F91"/>
          <w:spacing w:val="-1"/>
          <w:sz w:val="24"/>
        </w:rPr>
        <w:t> </w:t>
      </w:r>
      <w:r>
        <w:rPr>
          <w:color w:val="365F91"/>
          <w:sz w:val="24"/>
        </w:rPr>
        <w:t>Ongoing</w:t>
      </w:r>
      <w:r>
        <w:rPr>
          <w:color w:val="365F91"/>
          <w:spacing w:val="-2"/>
          <w:sz w:val="24"/>
        </w:rPr>
        <w:t> </w:t>
      </w:r>
      <w:r>
        <w:rPr>
          <w:color w:val="365F91"/>
          <w:spacing w:val="-4"/>
          <w:sz w:val="24"/>
        </w:rPr>
        <w:t>Work</w:t>
      </w:r>
    </w:p>
    <w:p>
      <w:pPr>
        <w:pStyle w:val="BodyText"/>
        <w:spacing w:line="276" w:lineRule="auto" w:before="285"/>
        <w:ind w:left="464" w:right="341"/>
        <w:jc w:val="both"/>
      </w:pPr>
      <w:r>
        <w:rPr/>
        <w:t>MRC has accomplished a significant amount of work in recent years to improve its approach to service provision</w:t>
      </w:r>
      <w:r>
        <w:rPr>
          <w:spacing w:val="-2"/>
        </w:rPr>
        <w:t> </w:t>
      </w:r>
      <w:r>
        <w:rPr/>
        <w:t>for</w:t>
      </w:r>
      <w:r>
        <w:rPr>
          <w:spacing w:val="-1"/>
        </w:rPr>
        <w:t> </w:t>
      </w:r>
      <w:r>
        <w:rPr/>
        <w:t>LGBTQ</w:t>
      </w:r>
      <w:r>
        <w:rPr>
          <w:spacing w:val="-1"/>
        </w:rPr>
        <w:t> </w:t>
      </w:r>
      <w:r>
        <w:rPr/>
        <w:t>clients;</w:t>
      </w:r>
      <w:r>
        <w:rPr>
          <w:spacing w:val="-2"/>
        </w:rPr>
        <w:t> </w:t>
      </w:r>
      <w:r>
        <w:rPr/>
        <w:t>MRC</w:t>
      </w:r>
      <w:r>
        <w:rPr>
          <w:spacing w:val="-1"/>
        </w:rPr>
        <w:t> </w:t>
      </w:r>
      <w:r>
        <w:rPr/>
        <w:t>has</w:t>
      </w:r>
      <w:r>
        <w:rPr>
          <w:spacing w:val="-1"/>
        </w:rPr>
        <w:t> </w:t>
      </w:r>
      <w:r>
        <w:rPr/>
        <w:t>offered</w:t>
      </w:r>
      <w:r>
        <w:rPr>
          <w:spacing w:val="-1"/>
        </w:rPr>
        <w:t> </w:t>
      </w:r>
      <w:r>
        <w:rPr/>
        <w:t>multiple</w:t>
      </w:r>
      <w:r>
        <w:rPr>
          <w:spacing w:val="-2"/>
        </w:rPr>
        <w:t> </w:t>
      </w:r>
      <w:r>
        <w:rPr/>
        <w:t>training</w:t>
      </w:r>
      <w:r>
        <w:rPr>
          <w:spacing w:val="-1"/>
        </w:rPr>
        <w:t> </w:t>
      </w:r>
      <w:r>
        <w:rPr/>
        <w:t>opportunities,</w:t>
      </w:r>
      <w:r>
        <w:rPr>
          <w:spacing w:val="-1"/>
        </w:rPr>
        <w:t> </w:t>
      </w:r>
      <w:r>
        <w:rPr/>
        <w:t>conducted</w:t>
      </w:r>
      <w:r>
        <w:rPr>
          <w:spacing w:val="-1"/>
        </w:rPr>
        <w:t> </w:t>
      </w:r>
      <w:r>
        <w:rPr/>
        <w:t>an</w:t>
      </w:r>
      <w:r>
        <w:rPr>
          <w:spacing w:val="-1"/>
        </w:rPr>
        <w:t> </w:t>
      </w:r>
      <w:r>
        <w:rPr/>
        <w:t>internal staff climate survey related to LGBTQ issues, and created an internal LGBTQ working group. In 2020, MRC incorporated</w:t>
      </w:r>
      <w:r>
        <w:rPr>
          <w:spacing w:val="-13"/>
        </w:rPr>
        <w:t> </w:t>
      </w:r>
      <w:r>
        <w:rPr/>
        <w:t>a</w:t>
      </w:r>
      <w:r>
        <w:rPr>
          <w:spacing w:val="-12"/>
        </w:rPr>
        <w:t> </w:t>
      </w:r>
      <w:r>
        <w:rPr/>
        <w:t>nonbinary</w:t>
      </w:r>
      <w:r>
        <w:rPr>
          <w:spacing w:val="-13"/>
        </w:rPr>
        <w:t> </w:t>
      </w:r>
      <w:r>
        <w:rPr/>
        <w:t>gender</w:t>
      </w:r>
      <w:r>
        <w:rPr>
          <w:spacing w:val="-12"/>
        </w:rPr>
        <w:t> </w:t>
      </w:r>
      <w:r>
        <w:rPr/>
        <w:t>marker</w:t>
      </w:r>
      <w:r>
        <w:rPr>
          <w:spacing w:val="-13"/>
        </w:rPr>
        <w:t> </w:t>
      </w:r>
      <w:r>
        <w:rPr/>
        <w:t>option</w:t>
      </w:r>
      <w:r>
        <w:rPr>
          <w:spacing w:val="-12"/>
        </w:rPr>
        <w:t> </w:t>
      </w:r>
      <w:r>
        <w:rPr/>
        <w:t>into</w:t>
      </w:r>
      <w:r>
        <w:rPr>
          <w:spacing w:val="-13"/>
        </w:rPr>
        <w:t> </w:t>
      </w:r>
      <w:r>
        <w:rPr/>
        <w:t>their</w:t>
      </w:r>
      <w:r>
        <w:rPr>
          <w:spacing w:val="-12"/>
        </w:rPr>
        <w:t> </w:t>
      </w:r>
      <w:r>
        <w:rPr/>
        <w:t>MRC</w:t>
      </w:r>
      <w:r>
        <w:rPr>
          <w:spacing w:val="-12"/>
        </w:rPr>
        <w:t> </w:t>
      </w:r>
      <w:r>
        <w:rPr/>
        <w:t>Connect</w:t>
      </w:r>
      <w:r>
        <w:rPr>
          <w:spacing w:val="-13"/>
        </w:rPr>
        <w:t> </w:t>
      </w:r>
      <w:r>
        <w:rPr/>
        <w:t>online</w:t>
      </w:r>
      <w:r>
        <w:rPr>
          <w:spacing w:val="-12"/>
        </w:rPr>
        <w:t> </w:t>
      </w:r>
      <w:r>
        <w:rPr/>
        <w:t>application.</w:t>
      </w:r>
      <w:r>
        <w:rPr>
          <w:spacing w:val="-13"/>
        </w:rPr>
        <w:t> </w:t>
      </w:r>
      <w:r>
        <w:rPr/>
        <w:t>More</w:t>
      </w:r>
      <w:r>
        <w:rPr>
          <w:spacing w:val="-12"/>
        </w:rPr>
        <w:t> </w:t>
      </w:r>
      <w:r>
        <w:rPr/>
        <w:t>recently,</w:t>
      </w:r>
    </w:p>
    <w:p>
      <w:pPr>
        <w:spacing w:after="0" w:line="276" w:lineRule="auto"/>
        <w:jc w:val="both"/>
        <w:sectPr>
          <w:headerReference w:type="default" r:id="rId735"/>
          <w:footerReference w:type="default" r:id="rId736"/>
          <w:pgSz w:w="12240" w:h="15840"/>
          <w:pgMar w:header="804" w:footer="1263" w:top="1000" w:bottom="1460" w:left="960" w:right="1100"/>
        </w:sectPr>
      </w:pPr>
    </w:p>
    <w:p>
      <w:pPr>
        <w:pStyle w:val="BodyText"/>
        <w:spacing w:before="118"/>
      </w:pPr>
    </w:p>
    <w:p>
      <w:pPr>
        <w:pStyle w:val="BodyText"/>
        <w:spacing w:line="276" w:lineRule="auto"/>
        <w:ind w:left="464"/>
      </w:pPr>
      <w:r>
        <w:rPr/>
        <w:t>the</w:t>
      </w:r>
      <w:r>
        <w:rPr>
          <w:spacing w:val="35"/>
        </w:rPr>
        <w:t> </w:t>
      </w:r>
      <w:r>
        <w:rPr/>
        <w:t>internal</w:t>
      </w:r>
      <w:r>
        <w:rPr>
          <w:spacing w:val="36"/>
        </w:rPr>
        <w:t> </w:t>
      </w:r>
      <w:r>
        <w:rPr/>
        <w:t>working</w:t>
      </w:r>
      <w:r>
        <w:rPr>
          <w:spacing w:val="35"/>
        </w:rPr>
        <w:t> </w:t>
      </w:r>
      <w:r>
        <w:rPr/>
        <w:t>group</w:t>
      </w:r>
      <w:r>
        <w:rPr>
          <w:spacing w:val="34"/>
        </w:rPr>
        <w:t> </w:t>
      </w:r>
      <w:r>
        <w:rPr/>
        <w:t>developed</w:t>
      </w:r>
      <w:r>
        <w:rPr>
          <w:spacing w:val="36"/>
        </w:rPr>
        <w:t> </w:t>
      </w:r>
      <w:r>
        <w:rPr/>
        <w:t>and</w:t>
      </w:r>
      <w:r>
        <w:rPr>
          <w:spacing w:val="34"/>
        </w:rPr>
        <w:t> </w:t>
      </w:r>
      <w:r>
        <w:rPr/>
        <w:t>finalized</w:t>
      </w:r>
      <w:r>
        <w:rPr>
          <w:spacing w:val="34"/>
        </w:rPr>
        <w:t> </w:t>
      </w:r>
      <w:r>
        <w:rPr/>
        <w:t>a</w:t>
      </w:r>
      <w:r>
        <w:rPr>
          <w:spacing w:val="35"/>
        </w:rPr>
        <w:t> </w:t>
      </w:r>
      <w:r>
        <w:rPr/>
        <w:t>Unity</w:t>
      </w:r>
      <w:r>
        <w:rPr>
          <w:spacing w:val="35"/>
        </w:rPr>
        <w:t> </w:t>
      </w:r>
      <w:r>
        <w:rPr/>
        <w:t>Statement</w:t>
      </w:r>
      <w:r>
        <w:rPr>
          <w:spacing w:val="34"/>
        </w:rPr>
        <w:t> </w:t>
      </w:r>
      <w:r>
        <w:rPr/>
        <w:t>that</w:t>
      </w:r>
      <w:r>
        <w:rPr>
          <w:spacing w:val="36"/>
        </w:rPr>
        <w:t> </w:t>
      </w:r>
      <w:r>
        <w:rPr/>
        <w:t>the</w:t>
      </w:r>
      <w:r>
        <w:rPr>
          <w:spacing w:val="35"/>
        </w:rPr>
        <w:t> </w:t>
      </w:r>
      <w:r>
        <w:rPr/>
        <w:t>agency</w:t>
      </w:r>
      <w:r>
        <w:rPr>
          <w:spacing w:val="36"/>
        </w:rPr>
        <w:t> </w:t>
      </w:r>
      <w:r>
        <w:rPr/>
        <w:t>is</w:t>
      </w:r>
      <w:r>
        <w:rPr>
          <w:spacing w:val="35"/>
        </w:rPr>
        <w:t> </w:t>
      </w:r>
      <w:r>
        <w:rPr/>
        <w:t>looking</w:t>
      </w:r>
      <w:r>
        <w:rPr>
          <w:spacing w:val="35"/>
        </w:rPr>
        <w:t> </w:t>
      </w:r>
      <w:r>
        <w:rPr/>
        <w:t>at adapting into its more formal nondiscrimination policy.</w:t>
      </w:r>
    </w:p>
    <w:p>
      <w:pPr>
        <w:spacing w:before="239"/>
        <w:ind w:left="464" w:right="0" w:firstLine="0"/>
        <w:jc w:val="left"/>
        <w:rPr>
          <w:sz w:val="28"/>
        </w:rPr>
      </w:pPr>
      <w:r>
        <w:rPr/>
        <mc:AlternateContent>
          <mc:Choice Requires="wps">
            <w:drawing>
              <wp:anchor distT="0" distB="0" distL="0" distR="0" allowOverlap="1" layoutInCell="1" locked="0" behindDoc="1" simplePos="0" relativeHeight="487705088">
                <wp:simplePos x="0" y="0"/>
                <wp:positionH relativeFrom="page">
                  <wp:posOffset>885444</wp:posOffset>
                </wp:positionH>
                <wp:positionV relativeFrom="paragraph">
                  <wp:posOffset>393540</wp:posOffset>
                </wp:positionV>
                <wp:extent cx="5989320" cy="26670"/>
                <wp:effectExtent l="0" t="0" r="0" b="0"/>
                <wp:wrapTopAndBottom/>
                <wp:docPr id="590" name="Group 590"/>
                <wp:cNvGraphicFramePr>
                  <a:graphicFrameLocks/>
                </wp:cNvGraphicFramePr>
                <a:graphic>
                  <a:graphicData uri="http://schemas.microsoft.com/office/word/2010/wordprocessingGroup">
                    <wpg:wgp>
                      <wpg:cNvPr id="590" name="Group 590"/>
                      <wpg:cNvGrpSpPr/>
                      <wpg:grpSpPr>
                        <a:xfrm>
                          <a:off x="0" y="0"/>
                          <a:ext cx="5989320" cy="26670"/>
                          <a:chExt cx="5989320" cy="26670"/>
                        </a:xfrm>
                      </wpg:grpSpPr>
                      <wps:wsp>
                        <wps:cNvPr id="591" name="Graphic 591"/>
                        <wps:cNvSpPr/>
                        <wps:spPr>
                          <a:xfrm>
                            <a:off x="0" y="20510"/>
                            <a:ext cx="5989320" cy="6350"/>
                          </a:xfrm>
                          <a:custGeom>
                            <a:avLst/>
                            <a:gdLst/>
                            <a:ahLst/>
                            <a:cxnLst/>
                            <a:rect l="l" t="t" r="r" b="b"/>
                            <a:pathLst>
                              <a:path w="5989320" h="6350">
                                <a:moveTo>
                                  <a:pt x="5989320" y="0"/>
                                </a:moveTo>
                                <a:lnTo>
                                  <a:pt x="0" y="0"/>
                                </a:lnTo>
                                <a:lnTo>
                                  <a:pt x="0" y="6108"/>
                                </a:lnTo>
                                <a:lnTo>
                                  <a:pt x="5989320" y="6108"/>
                                </a:lnTo>
                                <a:lnTo>
                                  <a:pt x="5989320" y="0"/>
                                </a:lnTo>
                                <a:close/>
                              </a:path>
                            </a:pathLst>
                          </a:custGeom>
                          <a:solidFill>
                            <a:srgbClr val="4F81BC"/>
                          </a:solidFill>
                        </wps:spPr>
                        <wps:bodyPr wrap="square" lIns="0" tIns="0" rIns="0" bIns="0" rtlCol="0">
                          <a:prstTxWarp prst="textNoShape">
                            <a:avLst/>
                          </a:prstTxWarp>
                          <a:noAutofit/>
                        </wps:bodyPr>
                      </wps:wsp>
                      <wps:wsp>
                        <wps:cNvPr id="592" name="Graphic 592"/>
                        <wps:cNvSpPr/>
                        <wps:spPr>
                          <a:xfrm>
                            <a:off x="3556" y="0"/>
                            <a:ext cx="6350" cy="12700"/>
                          </a:xfrm>
                          <a:custGeom>
                            <a:avLst/>
                            <a:gdLst/>
                            <a:ahLst/>
                            <a:cxnLst/>
                            <a:rect l="l" t="t" r="r" b="b"/>
                            <a:pathLst>
                              <a:path w="6350" h="12700">
                                <a:moveTo>
                                  <a:pt x="6337" y="0"/>
                                </a:moveTo>
                                <a:lnTo>
                                  <a:pt x="0" y="0"/>
                                </a:lnTo>
                                <a:lnTo>
                                  <a:pt x="0" y="12204"/>
                                </a:lnTo>
                                <a:lnTo>
                                  <a:pt x="6337" y="12204"/>
                                </a:lnTo>
                                <a:lnTo>
                                  <a:pt x="6337" y="0"/>
                                </a:lnTo>
                                <a:close/>
                              </a:path>
                            </a:pathLst>
                          </a:custGeom>
                          <a:solidFill>
                            <a:srgbClr val="4F81BB"/>
                          </a:solidFill>
                        </wps:spPr>
                        <wps:bodyPr wrap="square" lIns="0" tIns="0" rIns="0" bIns="0" rtlCol="0">
                          <a:prstTxWarp prst="textNoShape">
                            <a:avLst/>
                          </a:prstTxWarp>
                          <a:noAutofit/>
                        </wps:bodyPr>
                      </wps:wsp>
                    </wpg:wgp>
                  </a:graphicData>
                </a:graphic>
              </wp:anchor>
            </w:drawing>
          </mc:Choice>
          <mc:Fallback>
            <w:pict>
              <v:group style="position:absolute;margin-left:69.720001pt;margin-top:30.987476pt;width:471.6pt;height:2.1pt;mso-position-horizontal-relative:page;mso-position-vertical-relative:paragraph;z-index:-15611392;mso-wrap-distance-left:0;mso-wrap-distance-right:0" id="docshapegroup487" coordorigin="1394,620" coordsize="9432,42">
                <v:rect style="position:absolute;left:1394;top:652;width:9432;height:10" id="docshape488" filled="true" fillcolor="#4f81bc" stroked="false">
                  <v:fill type="solid"/>
                </v:rect>
                <v:rect style="position:absolute;left:1400;top:619;width:10;height:20" id="docshape489" filled="true" fillcolor="#4f81bb" stroked="false">
                  <v:fill type="solid"/>
                </v:rect>
                <w10:wrap type="topAndBottom"/>
              </v:group>
            </w:pict>
          </mc:Fallback>
        </mc:AlternateContent>
      </w:r>
      <w:r>
        <w:rPr>
          <w:color w:val="365F91"/>
          <w:sz w:val="28"/>
        </w:rPr>
        <w:t>FY</w:t>
      </w:r>
      <w:r>
        <w:rPr>
          <w:color w:val="365F91"/>
          <w:spacing w:val="-9"/>
          <w:sz w:val="28"/>
        </w:rPr>
        <w:t> </w:t>
      </w:r>
      <w:r>
        <w:rPr>
          <w:color w:val="365F91"/>
          <w:sz w:val="28"/>
        </w:rPr>
        <w:t>2025</w:t>
      </w:r>
      <w:r>
        <w:rPr>
          <w:color w:val="365F91"/>
          <w:spacing w:val="-8"/>
          <w:sz w:val="28"/>
        </w:rPr>
        <w:t> </w:t>
      </w:r>
      <w:r>
        <w:rPr>
          <w:color w:val="365F91"/>
          <w:sz w:val="28"/>
        </w:rPr>
        <w:t>MRC</w:t>
      </w:r>
      <w:r>
        <w:rPr>
          <w:color w:val="365F91"/>
          <w:spacing w:val="-9"/>
          <w:sz w:val="28"/>
        </w:rPr>
        <w:t> </w:t>
      </w:r>
      <w:r>
        <w:rPr>
          <w:color w:val="365F91"/>
          <w:sz w:val="28"/>
        </w:rPr>
        <w:t>Expanded</w:t>
      </w:r>
      <w:r>
        <w:rPr>
          <w:color w:val="365F91"/>
          <w:spacing w:val="-9"/>
          <w:sz w:val="28"/>
        </w:rPr>
        <w:t> </w:t>
      </w:r>
      <w:r>
        <w:rPr>
          <w:color w:val="365F91"/>
          <w:spacing w:val="-2"/>
          <w:sz w:val="28"/>
        </w:rPr>
        <w:t>Recommendations</w:t>
      </w:r>
    </w:p>
    <w:p>
      <w:pPr>
        <w:numPr>
          <w:ilvl w:val="0"/>
          <w:numId w:val="39"/>
        </w:numPr>
        <w:tabs>
          <w:tab w:pos="462" w:val="left" w:leader="none"/>
        </w:tabs>
        <w:spacing w:before="241"/>
        <w:ind w:left="462" w:right="0" w:hanging="358"/>
        <w:jc w:val="left"/>
        <w:rPr>
          <w:b/>
          <w:sz w:val="22"/>
        </w:rPr>
      </w:pPr>
      <w:r>
        <w:rPr>
          <w:b/>
          <w:sz w:val="22"/>
        </w:rPr>
        <w:t>Create</w:t>
      </w:r>
      <w:r>
        <w:rPr>
          <w:b/>
          <w:spacing w:val="-10"/>
          <w:sz w:val="22"/>
        </w:rPr>
        <w:t> </w:t>
      </w:r>
      <w:r>
        <w:rPr>
          <w:b/>
          <w:sz w:val="22"/>
        </w:rPr>
        <w:t>a</w:t>
      </w:r>
      <w:r>
        <w:rPr>
          <w:b/>
          <w:spacing w:val="-9"/>
          <w:sz w:val="22"/>
        </w:rPr>
        <w:t> </w:t>
      </w:r>
      <w:r>
        <w:rPr>
          <w:b/>
          <w:sz w:val="22"/>
        </w:rPr>
        <w:t>comprehensive</w:t>
      </w:r>
      <w:r>
        <w:rPr>
          <w:b/>
          <w:spacing w:val="-9"/>
          <w:sz w:val="22"/>
        </w:rPr>
        <w:t> </w:t>
      </w:r>
      <w:r>
        <w:rPr>
          <w:b/>
          <w:sz w:val="22"/>
        </w:rPr>
        <w:t>nondiscrimination</w:t>
      </w:r>
      <w:r>
        <w:rPr>
          <w:b/>
          <w:spacing w:val="-10"/>
          <w:sz w:val="22"/>
        </w:rPr>
        <w:t> </w:t>
      </w:r>
      <w:r>
        <w:rPr>
          <w:b/>
          <w:sz w:val="22"/>
        </w:rPr>
        <w:t>and</w:t>
      </w:r>
      <w:r>
        <w:rPr>
          <w:b/>
          <w:spacing w:val="-9"/>
          <w:sz w:val="22"/>
        </w:rPr>
        <w:t> </w:t>
      </w:r>
      <w:r>
        <w:rPr>
          <w:b/>
          <w:sz w:val="22"/>
        </w:rPr>
        <w:t>inclusion</w:t>
      </w:r>
      <w:r>
        <w:rPr>
          <w:b/>
          <w:spacing w:val="-9"/>
          <w:sz w:val="22"/>
        </w:rPr>
        <w:t> </w:t>
      </w:r>
      <w:r>
        <w:rPr>
          <w:b/>
          <w:sz w:val="22"/>
        </w:rPr>
        <w:t>policy</w:t>
      </w:r>
      <w:r>
        <w:rPr>
          <w:b/>
          <w:spacing w:val="-10"/>
          <w:sz w:val="22"/>
        </w:rPr>
        <w:t> </w:t>
      </w:r>
      <w:r>
        <w:rPr>
          <w:b/>
          <w:sz w:val="22"/>
        </w:rPr>
        <w:t>for</w:t>
      </w:r>
      <w:r>
        <w:rPr>
          <w:b/>
          <w:spacing w:val="-9"/>
          <w:sz w:val="22"/>
        </w:rPr>
        <w:t> </w:t>
      </w:r>
      <w:r>
        <w:rPr>
          <w:b/>
          <w:sz w:val="22"/>
        </w:rPr>
        <w:t>LGBTQ</w:t>
      </w:r>
      <w:r>
        <w:rPr>
          <w:b/>
          <w:spacing w:val="-9"/>
          <w:sz w:val="22"/>
        </w:rPr>
        <w:t> </w:t>
      </w:r>
      <w:r>
        <w:rPr>
          <w:b/>
          <w:spacing w:val="-2"/>
          <w:sz w:val="22"/>
        </w:rPr>
        <w:t>clients.</w:t>
      </w:r>
    </w:p>
    <w:p>
      <w:pPr>
        <w:pStyle w:val="BodyText"/>
        <w:spacing w:before="11"/>
        <w:rPr>
          <w:b/>
        </w:rPr>
      </w:pPr>
    </w:p>
    <w:p>
      <w:pPr>
        <w:pStyle w:val="BodyText"/>
        <w:spacing w:line="276" w:lineRule="auto" w:before="1"/>
        <w:ind w:left="464" w:right="341"/>
        <w:jc w:val="both"/>
      </w:pPr>
      <w:r>
        <w:rPr/>
        <w:t>The</w:t>
      </w:r>
      <w:r>
        <w:rPr>
          <w:spacing w:val="-6"/>
        </w:rPr>
        <w:t> </w:t>
      </w:r>
      <w:r>
        <w:rPr/>
        <w:t>Commission</w:t>
      </w:r>
      <w:r>
        <w:rPr>
          <w:spacing w:val="-6"/>
        </w:rPr>
        <w:t> </w:t>
      </w:r>
      <w:r>
        <w:rPr/>
        <w:t>commends</w:t>
      </w:r>
      <w:r>
        <w:rPr>
          <w:spacing w:val="-5"/>
        </w:rPr>
        <w:t> </w:t>
      </w:r>
      <w:r>
        <w:rPr/>
        <w:t>the</w:t>
      </w:r>
      <w:r>
        <w:rPr>
          <w:spacing w:val="-6"/>
        </w:rPr>
        <w:t> </w:t>
      </w:r>
      <w:r>
        <w:rPr/>
        <w:t>internal</w:t>
      </w:r>
      <w:r>
        <w:rPr>
          <w:spacing w:val="-6"/>
        </w:rPr>
        <w:t> </w:t>
      </w:r>
      <w:r>
        <w:rPr/>
        <w:t>MRC</w:t>
      </w:r>
      <w:r>
        <w:rPr>
          <w:spacing w:val="-4"/>
        </w:rPr>
        <w:t> </w:t>
      </w:r>
      <w:r>
        <w:rPr/>
        <w:t>Unity</w:t>
      </w:r>
      <w:r>
        <w:rPr>
          <w:spacing w:val="-3"/>
        </w:rPr>
        <w:t> </w:t>
      </w:r>
      <w:r>
        <w:rPr/>
        <w:t>Group’s</w:t>
      </w:r>
      <w:r>
        <w:rPr>
          <w:spacing w:val="-5"/>
        </w:rPr>
        <w:t> </w:t>
      </w:r>
      <w:r>
        <w:rPr/>
        <w:t>release</w:t>
      </w:r>
      <w:r>
        <w:rPr>
          <w:spacing w:val="-6"/>
        </w:rPr>
        <w:t> </w:t>
      </w:r>
      <w:r>
        <w:rPr/>
        <w:t>of</w:t>
      </w:r>
      <w:r>
        <w:rPr>
          <w:spacing w:val="-5"/>
        </w:rPr>
        <w:t> </w:t>
      </w:r>
      <w:r>
        <w:rPr/>
        <w:t>a</w:t>
      </w:r>
      <w:r>
        <w:rPr>
          <w:spacing w:val="-5"/>
        </w:rPr>
        <w:t> </w:t>
      </w:r>
      <w:r>
        <w:rPr/>
        <w:t>nondiscrimination</w:t>
      </w:r>
      <w:r>
        <w:rPr>
          <w:spacing w:val="-6"/>
        </w:rPr>
        <w:t> </w:t>
      </w:r>
      <w:r>
        <w:rPr/>
        <w:t>statement</w:t>
      </w:r>
      <w:r>
        <w:rPr>
          <w:spacing w:val="-5"/>
        </w:rPr>
        <w:t> </w:t>
      </w:r>
      <w:r>
        <w:rPr/>
        <w:t>for its staff, providers, and clients. After the release of the statement, MRC noted to the Commission that it would</w:t>
      </w:r>
      <w:r>
        <w:rPr>
          <w:spacing w:val="-1"/>
        </w:rPr>
        <w:t> </w:t>
      </w:r>
      <w:r>
        <w:rPr/>
        <w:t>begin using</w:t>
      </w:r>
      <w:r>
        <w:rPr>
          <w:spacing w:val="-1"/>
        </w:rPr>
        <w:t> </w:t>
      </w:r>
      <w:r>
        <w:rPr/>
        <w:t>the</w:t>
      </w:r>
      <w:r>
        <w:rPr>
          <w:spacing w:val="-1"/>
        </w:rPr>
        <w:t> </w:t>
      </w:r>
      <w:r>
        <w:rPr/>
        <w:t>statement</w:t>
      </w:r>
      <w:r>
        <w:rPr>
          <w:spacing w:val="-1"/>
        </w:rPr>
        <w:t> </w:t>
      </w:r>
      <w:r>
        <w:rPr/>
        <w:t>to draft</w:t>
      </w:r>
      <w:r>
        <w:rPr>
          <w:spacing w:val="-1"/>
        </w:rPr>
        <w:t> </w:t>
      </w:r>
      <w:r>
        <w:rPr/>
        <w:t>a formal</w:t>
      </w:r>
      <w:r>
        <w:rPr>
          <w:spacing w:val="-1"/>
        </w:rPr>
        <w:t> </w:t>
      </w:r>
      <w:r>
        <w:rPr/>
        <w:t>nondiscrimination</w:t>
      </w:r>
      <w:r>
        <w:rPr>
          <w:spacing w:val="-1"/>
        </w:rPr>
        <w:t> </w:t>
      </w:r>
      <w:r>
        <w:rPr/>
        <w:t>policy for the</w:t>
      </w:r>
      <w:r>
        <w:rPr>
          <w:spacing w:val="-1"/>
        </w:rPr>
        <w:t> </w:t>
      </w:r>
      <w:r>
        <w:rPr/>
        <w:t>agency.</w:t>
      </w:r>
      <w:r>
        <w:rPr>
          <w:spacing w:val="-1"/>
        </w:rPr>
        <w:t> </w:t>
      </w:r>
      <w:r>
        <w:rPr/>
        <w:t>In</w:t>
      </w:r>
      <w:r>
        <w:rPr>
          <w:spacing w:val="-1"/>
        </w:rPr>
        <w:t> </w:t>
      </w:r>
      <w:r>
        <w:rPr/>
        <w:t>its FY 2023 spring meeting, MRC noted that it is - in the meantime - using the nondiscrimination policy put forth by </w:t>
      </w:r>
      <w:r>
        <w:rPr>
          <w:spacing w:val="-2"/>
        </w:rPr>
        <w:t>EOHHS.</w:t>
      </w:r>
    </w:p>
    <w:p>
      <w:pPr>
        <w:numPr>
          <w:ilvl w:val="0"/>
          <w:numId w:val="39"/>
        </w:numPr>
        <w:tabs>
          <w:tab w:pos="462" w:val="left" w:leader="none"/>
        </w:tabs>
        <w:spacing w:before="240"/>
        <w:ind w:left="462" w:right="0" w:hanging="358"/>
        <w:jc w:val="left"/>
        <w:rPr>
          <w:b/>
          <w:sz w:val="22"/>
        </w:rPr>
      </w:pPr>
      <w:r>
        <w:rPr>
          <w:b/>
          <w:sz w:val="22"/>
        </w:rPr>
        <w:t>Review</w:t>
      </w:r>
      <w:r>
        <w:rPr>
          <w:b/>
          <w:spacing w:val="-9"/>
          <w:sz w:val="22"/>
        </w:rPr>
        <w:t> </w:t>
      </w:r>
      <w:r>
        <w:rPr>
          <w:b/>
          <w:sz w:val="22"/>
        </w:rPr>
        <w:t>intake</w:t>
      </w:r>
      <w:r>
        <w:rPr>
          <w:b/>
          <w:spacing w:val="-9"/>
          <w:sz w:val="22"/>
        </w:rPr>
        <w:t> </w:t>
      </w:r>
      <w:r>
        <w:rPr>
          <w:b/>
          <w:sz w:val="22"/>
        </w:rPr>
        <w:t>forms</w:t>
      </w:r>
      <w:r>
        <w:rPr>
          <w:b/>
          <w:spacing w:val="-9"/>
          <w:sz w:val="22"/>
        </w:rPr>
        <w:t> </w:t>
      </w:r>
      <w:r>
        <w:rPr>
          <w:b/>
          <w:sz w:val="22"/>
        </w:rPr>
        <w:t>and</w:t>
      </w:r>
      <w:r>
        <w:rPr>
          <w:b/>
          <w:spacing w:val="-8"/>
          <w:sz w:val="22"/>
        </w:rPr>
        <w:t> </w:t>
      </w:r>
      <w:r>
        <w:rPr>
          <w:b/>
          <w:sz w:val="22"/>
        </w:rPr>
        <w:t>appropriately</w:t>
      </w:r>
      <w:r>
        <w:rPr>
          <w:b/>
          <w:spacing w:val="-9"/>
          <w:sz w:val="22"/>
        </w:rPr>
        <w:t> </w:t>
      </w:r>
      <w:r>
        <w:rPr>
          <w:b/>
          <w:sz w:val="22"/>
        </w:rPr>
        <w:t>train</w:t>
      </w:r>
      <w:r>
        <w:rPr>
          <w:b/>
          <w:spacing w:val="-9"/>
          <w:sz w:val="22"/>
        </w:rPr>
        <w:t> </w:t>
      </w:r>
      <w:r>
        <w:rPr>
          <w:b/>
          <w:sz w:val="22"/>
        </w:rPr>
        <w:t>staff</w:t>
      </w:r>
      <w:r>
        <w:rPr>
          <w:b/>
          <w:spacing w:val="-9"/>
          <w:sz w:val="22"/>
        </w:rPr>
        <w:t> </w:t>
      </w:r>
      <w:r>
        <w:rPr>
          <w:b/>
          <w:sz w:val="22"/>
        </w:rPr>
        <w:t>on</w:t>
      </w:r>
      <w:r>
        <w:rPr>
          <w:b/>
          <w:spacing w:val="-9"/>
          <w:sz w:val="22"/>
        </w:rPr>
        <w:t> </w:t>
      </w:r>
      <w:r>
        <w:rPr>
          <w:b/>
          <w:sz w:val="22"/>
        </w:rPr>
        <w:t>implementation</w:t>
      </w:r>
      <w:r>
        <w:rPr>
          <w:b/>
          <w:spacing w:val="-9"/>
          <w:sz w:val="22"/>
        </w:rPr>
        <w:t> </w:t>
      </w:r>
      <w:r>
        <w:rPr>
          <w:b/>
          <w:spacing w:val="-2"/>
          <w:sz w:val="22"/>
        </w:rPr>
        <w:t>procedures.</w:t>
      </w:r>
    </w:p>
    <w:p>
      <w:pPr>
        <w:pStyle w:val="BodyText"/>
        <w:spacing w:before="12"/>
        <w:rPr>
          <w:b/>
        </w:rPr>
      </w:pPr>
    </w:p>
    <w:p>
      <w:pPr>
        <w:pStyle w:val="BodyText"/>
        <w:spacing w:line="276" w:lineRule="auto"/>
        <w:ind w:left="464" w:right="342"/>
        <w:jc w:val="both"/>
      </w:pPr>
      <w:r>
        <w:rPr/>
        <w:t>In the Commission’s spring 2024 meetings, MRC shared that its intake forms have been reviewed and updated</w:t>
      </w:r>
      <w:r>
        <w:rPr>
          <w:spacing w:val="-4"/>
        </w:rPr>
        <w:t> </w:t>
      </w:r>
      <w:r>
        <w:rPr/>
        <w:t>with</w:t>
      </w:r>
      <w:r>
        <w:rPr>
          <w:spacing w:val="-3"/>
        </w:rPr>
        <w:t> </w:t>
      </w:r>
      <w:r>
        <w:rPr/>
        <w:t>optional</w:t>
      </w:r>
      <w:r>
        <w:rPr>
          <w:spacing w:val="-4"/>
        </w:rPr>
        <w:t> </w:t>
      </w:r>
      <w:r>
        <w:rPr/>
        <w:t>questions</w:t>
      </w:r>
      <w:r>
        <w:rPr>
          <w:spacing w:val="-4"/>
        </w:rPr>
        <w:t> </w:t>
      </w:r>
      <w:r>
        <w:rPr/>
        <w:t>regarding</w:t>
      </w:r>
      <w:r>
        <w:rPr>
          <w:spacing w:val="-4"/>
        </w:rPr>
        <w:t> </w:t>
      </w:r>
      <w:r>
        <w:rPr/>
        <w:t>pronouns,</w:t>
      </w:r>
      <w:r>
        <w:rPr>
          <w:spacing w:val="-4"/>
        </w:rPr>
        <w:t> </w:t>
      </w:r>
      <w:r>
        <w:rPr/>
        <w:t>sexual</w:t>
      </w:r>
      <w:r>
        <w:rPr>
          <w:spacing w:val="-4"/>
        </w:rPr>
        <w:t> </w:t>
      </w:r>
      <w:r>
        <w:rPr/>
        <w:t>orientation,</w:t>
      </w:r>
      <w:r>
        <w:rPr>
          <w:spacing w:val="-4"/>
        </w:rPr>
        <w:t> </w:t>
      </w:r>
      <w:r>
        <w:rPr/>
        <w:t>and</w:t>
      </w:r>
      <w:r>
        <w:rPr>
          <w:spacing w:val="-3"/>
        </w:rPr>
        <w:t> </w:t>
      </w:r>
      <w:r>
        <w:rPr/>
        <w:t>chosen</w:t>
      </w:r>
      <w:r>
        <w:rPr>
          <w:spacing w:val="-4"/>
        </w:rPr>
        <w:t> </w:t>
      </w:r>
      <w:r>
        <w:rPr/>
        <w:t>name</w:t>
      </w:r>
      <w:r>
        <w:rPr>
          <w:spacing w:val="-3"/>
        </w:rPr>
        <w:t> </w:t>
      </w:r>
      <w:r>
        <w:rPr/>
        <w:t>in</w:t>
      </w:r>
      <w:r>
        <w:rPr>
          <w:spacing w:val="-3"/>
        </w:rPr>
        <w:t> </w:t>
      </w:r>
      <w:r>
        <w:rPr/>
        <w:t>addition</w:t>
      </w:r>
      <w:r>
        <w:rPr>
          <w:spacing w:val="-3"/>
        </w:rPr>
        <w:t> </w:t>
      </w:r>
      <w:r>
        <w:rPr/>
        <w:t>to legal name. Staff has also received training regarding LGBTQ+ communities to ensure implementation. The Commission appreciates the attention MRC has paid to this area and recommends that the agency continues</w:t>
      </w:r>
      <w:r>
        <w:rPr>
          <w:spacing w:val="-1"/>
        </w:rPr>
        <w:t> </w:t>
      </w:r>
      <w:r>
        <w:rPr/>
        <w:t>to ensure</w:t>
      </w:r>
      <w:r>
        <w:rPr>
          <w:spacing w:val="-1"/>
        </w:rPr>
        <w:t> </w:t>
      </w:r>
      <w:r>
        <w:rPr/>
        <w:t>that</w:t>
      </w:r>
      <w:r>
        <w:rPr>
          <w:spacing w:val="-2"/>
        </w:rPr>
        <w:t> </w:t>
      </w:r>
      <w:r>
        <w:rPr/>
        <w:t>staff</w:t>
      </w:r>
      <w:r>
        <w:rPr>
          <w:spacing w:val="-2"/>
        </w:rPr>
        <w:t> </w:t>
      </w:r>
      <w:r>
        <w:rPr/>
        <w:t>receive</w:t>
      </w:r>
      <w:r>
        <w:rPr>
          <w:spacing w:val="-1"/>
        </w:rPr>
        <w:t> </w:t>
      </w:r>
      <w:r>
        <w:rPr/>
        <w:t>training</w:t>
      </w:r>
      <w:r>
        <w:rPr>
          <w:spacing w:val="-2"/>
        </w:rPr>
        <w:t> </w:t>
      </w:r>
      <w:r>
        <w:rPr/>
        <w:t>on</w:t>
      </w:r>
      <w:r>
        <w:rPr>
          <w:spacing w:val="-1"/>
        </w:rPr>
        <w:t> </w:t>
      </w:r>
      <w:r>
        <w:rPr/>
        <w:t>the</w:t>
      </w:r>
      <w:r>
        <w:rPr>
          <w:spacing w:val="-1"/>
        </w:rPr>
        <w:t> </w:t>
      </w:r>
      <w:r>
        <w:rPr/>
        <w:t>new</w:t>
      </w:r>
      <w:r>
        <w:rPr>
          <w:spacing w:val="-2"/>
        </w:rPr>
        <w:t> </w:t>
      </w:r>
      <w:r>
        <w:rPr/>
        <w:t>forms</w:t>
      </w:r>
      <w:r>
        <w:rPr>
          <w:spacing w:val="-1"/>
        </w:rPr>
        <w:t> </w:t>
      </w:r>
      <w:r>
        <w:rPr/>
        <w:t>and</w:t>
      </w:r>
      <w:r>
        <w:rPr>
          <w:spacing w:val="-2"/>
        </w:rPr>
        <w:t> </w:t>
      </w:r>
      <w:r>
        <w:rPr/>
        <w:t>its</w:t>
      </w:r>
      <w:r>
        <w:rPr>
          <w:spacing w:val="-1"/>
        </w:rPr>
        <w:t> </w:t>
      </w:r>
      <w:r>
        <w:rPr/>
        <w:t>system</w:t>
      </w:r>
      <w:r>
        <w:rPr>
          <w:spacing w:val="-1"/>
        </w:rPr>
        <w:t> </w:t>
      </w:r>
      <w:r>
        <w:rPr/>
        <w:t>updates that will</w:t>
      </w:r>
      <w:r>
        <w:rPr>
          <w:spacing w:val="-2"/>
        </w:rPr>
        <w:t> </w:t>
      </w:r>
      <w:r>
        <w:rPr/>
        <w:t>occur</w:t>
      </w:r>
      <w:r>
        <w:rPr>
          <w:spacing w:val="-2"/>
        </w:rPr>
        <w:t> </w:t>
      </w:r>
      <w:r>
        <w:rPr/>
        <w:t>in </w:t>
      </w:r>
      <w:r>
        <w:rPr>
          <w:spacing w:val="-2"/>
        </w:rPr>
        <w:t>July.</w:t>
      </w:r>
    </w:p>
    <w:p>
      <w:pPr>
        <w:numPr>
          <w:ilvl w:val="0"/>
          <w:numId w:val="39"/>
        </w:numPr>
        <w:tabs>
          <w:tab w:pos="462" w:val="left" w:leader="none"/>
          <w:tab w:pos="464" w:val="left" w:leader="none"/>
        </w:tabs>
        <w:spacing w:line="276" w:lineRule="auto" w:before="240"/>
        <w:ind w:left="464" w:right="342" w:hanging="360"/>
        <w:jc w:val="left"/>
        <w:rPr>
          <w:b/>
          <w:sz w:val="22"/>
        </w:rPr>
      </w:pPr>
      <w:r>
        <w:rPr>
          <w:b/>
          <w:sz w:val="22"/>
        </w:rPr>
        <w:t>Facilitate</w:t>
      </w:r>
      <w:r>
        <w:rPr>
          <w:b/>
          <w:spacing w:val="80"/>
          <w:sz w:val="22"/>
        </w:rPr>
        <w:t> </w:t>
      </w:r>
      <w:r>
        <w:rPr>
          <w:b/>
          <w:sz w:val="22"/>
        </w:rPr>
        <w:t>mandatory</w:t>
      </w:r>
      <w:r>
        <w:rPr>
          <w:b/>
          <w:spacing w:val="80"/>
          <w:sz w:val="22"/>
        </w:rPr>
        <w:t> </w:t>
      </w:r>
      <w:r>
        <w:rPr>
          <w:b/>
          <w:sz w:val="22"/>
        </w:rPr>
        <w:t>LGBTQ</w:t>
      </w:r>
      <w:r>
        <w:rPr>
          <w:b/>
          <w:spacing w:val="80"/>
          <w:sz w:val="22"/>
        </w:rPr>
        <w:t> </w:t>
      </w:r>
      <w:r>
        <w:rPr>
          <w:b/>
          <w:sz w:val="22"/>
        </w:rPr>
        <w:t>cultural</w:t>
      </w:r>
      <w:r>
        <w:rPr>
          <w:b/>
          <w:spacing w:val="80"/>
          <w:sz w:val="22"/>
        </w:rPr>
        <w:t> </w:t>
      </w:r>
      <w:r>
        <w:rPr>
          <w:b/>
          <w:sz w:val="22"/>
        </w:rPr>
        <w:t>awareness</w:t>
      </w:r>
      <w:r>
        <w:rPr>
          <w:b/>
          <w:spacing w:val="80"/>
          <w:sz w:val="22"/>
        </w:rPr>
        <w:t> </w:t>
      </w:r>
      <w:r>
        <w:rPr>
          <w:b/>
          <w:sz w:val="22"/>
        </w:rPr>
        <w:t>trainings</w:t>
      </w:r>
      <w:r>
        <w:rPr>
          <w:b/>
          <w:spacing w:val="80"/>
          <w:sz w:val="22"/>
        </w:rPr>
        <w:t> </w:t>
      </w:r>
      <w:r>
        <w:rPr>
          <w:b/>
          <w:sz w:val="22"/>
        </w:rPr>
        <w:t>and</w:t>
      </w:r>
      <w:r>
        <w:rPr>
          <w:b/>
          <w:spacing w:val="80"/>
          <w:sz w:val="22"/>
        </w:rPr>
        <w:t> </w:t>
      </w:r>
      <w:r>
        <w:rPr>
          <w:b/>
          <w:sz w:val="22"/>
        </w:rPr>
        <w:t>offer</w:t>
      </w:r>
      <w:r>
        <w:rPr>
          <w:b/>
          <w:spacing w:val="80"/>
          <w:sz w:val="22"/>
        </w:rPr>
        <w:t> </w:t>
      </w:r>
      <w:r>
        <w:rPr>
          <w:b/>
          <w:sz w:val="22"/>
        </w:rPr>
        <w:t>recurring</w:t>
      </w:r>
      <w:r>
        <w:rPr>
          <w:b/>
          <w:spacing w:val="80"/>
          <w:sz w:val="22"/>
        </w:rPr>
        <w:t> </w:t>
      </w:r>
      <w:r>
        <w:rPr>
          <w:b/>
          <w:sz w:val="22"/>
        </w:rPr>
        <w:t>skills</w:t>
      </w:r>
      <w:r>
        <w:rPr>
          <w:b/>
          <w:spacing w:val="80"/>
          <w:sz w:val="22"/>
        </w:rPr>
        <w:t> </w:t>
      </w:r>
      <w:r>
        <w:rPr>
          <w:b/>
          <w:sz w:val="22"/>
        </w:rPr>
        <w:t>building</w:t>
      </w:r>
      <w:r>
        <w:rPr>
          <w:b/>
          <w:spacing w:val="80"/>
          <w:w w:val="150"/>
          <w:sz w:val="22"/>
        </w:rPr>
        <w:t> </w:t>
      </w:r>
      <w:r>
        <w:rPr>
          <w:b/>
          <w:sz w:val="22"/>
        </w:rPr>
        <w:t>opportunities for staff.</w:t>
      </w:r>
    </w:p>
    <w:p>
      <w:pPr>
        <w:pStyle w:val="BodyText"/>
        <w:spacing w:line="276" w:lineRule="auto" w:before="239"/>
        <w:ind w:left="464" w:right="342"/>
        <w:jc w:val="both"/>
      </w:pPr>
      <w:r>
        <w:rPr/>
        <w:t>In FY 2023, MRC committed to partnering with the Commission to participate in an EOHHS cross-agency train-the-trainer series that will continue into FY 2024 to build internal training capacity on LGBTQ trainings.</w:t>
      </w:r>
      <w:r>
        <w:rPr>
          <w:spacing w:val="-4"/>
        </w:rPr>
        <w:t> </w:t>
      </w:r>
      <w:r>
        <w:rPr/>
        <w:t>During</w:t>
      </w:r>
      <w:r>
        <w:rPr>
          <w:spacing w:val="-4"/>
        </w:rPr>
        <w:t> </w:t>
      </w:r>
      <w:r>
        <w:rPr/>
        <w:t>meetings</w:t>
      </w:r>
      <w:r>
        <w:rPr>
          <w:spacing w:val="-4"/>
        </w:rPr>
        <w:t> </w:t>
      </w:r>
      <w:r>
        <w:rPr/>
        <w:t>in</w:t>
      </w:r>
      <w:r>
        <w:rPr>
          <w:spacing w:val="-4"/>
        </w:rPr>
        <w:t> </w:t>
      </w:r>
      <w:r>
        <w:rPr/>
        <w:t>FY</w:t>
      </w:r>
      <w:r>
        <w:rPr>
          <w:spacing w:val="-4"/>
        </w:rPr>
        <w:t> </w:t>
      </w:r>
      <w:r>
        <w:rPr/>
        <w:t>2025,</w:t>
      </w:r>
      <w:r>
        <w:rPr>
          <w:spacing w:val="-4"/>
        </w:rPr>
        <w:t> </w:t>
      </w:r>
      <w:r>
        <w:rPr/>
        <w:t>MRC</w:t>
      </w:r>
      <w:r>
        <w:rPr>
          <w:spacing w:val="-4"/>
        </w:rPr>
        <w:t> </w:t>
      </w:r>
      <w:r>
        <w:rPr/>
        <w:t>noted</w:t>
      </w:r>
      <w:r>
        <w:rPr>
          <w:spacing w:val="-3"/>
        </w:rPr>
        <w:t> </w:t>
      </w:r>
      <w:r>
        <w:rPr/>
        <w:t>that</w:t>
      </w:r>
      <w:r>
        <w:rPr>
          <w:spacing w:val="-4"/>
        </w:rPr>
        <w:t> </w:t>
      </w:r>
      <w:r>
        <w:rPr/>
        <w:t>they</w:t>
      </w:r>
      <w:r>
        <w:rPr>
          <w:spacing w:val="-3"/>
        </w:rPr>
        <w:t> </w:t>
      </w:r>
      <w:r>
        <w:rPr/>
        <w:t>have</w:t>
      </w:r>
      <w:r>
        <w:rPr>
          <w:spacing w:val="-4"/>
        </w:rPr>
        <w:t> </w:t>
      </w:r>
      <w:r>
        <w:rPr/>
        <w:t>completed</w:t>
      </w:r>
      <w:r>
        <w:rPr>
          <w:spacing w:val="-4"/>
        </w:rPr>
        <w:t> </w:t>
      </w:r>
      <w:r>
        <w:rPr/>
        <w:t>multiple</w:t>
      </w:r>
      <w:r>
        <w:rPr>
          <w:spacing w:val="-3"/>
        </w:rPr>
        <w:t> </w:t>
      </w:r>
      <w:r>
        <w:rPr/>
        <w:t>trainings</w:t>
      </w:r>
      <w:r>
        <w:rPr>
          <w:spacing w:val="-4"/>
        </w:rPr>
        <w:t> </w:t>
      </w:r>
      <w:r>
        <w:rPr/>
        <w:t>with</w:t>
      </w:r>
      <w:r>
        <w:rPr>
          <w:spacing w:val="-4"/>
        </w:rPr>
        <w:t> </w:t>
      </w:r>
      <w:r>
        <w:rPr/>
        <w:t>more upcoming, and also expressed further interest in training regarding pronouns and gender identity. The Commission looks forward to working with MRC on these trainings, and further exploring ways to offer skill-building opportunities for MRC employees and providers.</w:t>
      </w:r>
    </w:p>
    <w:p>
      <w:pPr>
        <w:numPr>
          <w:ilvl w:val="0"/>
          <w:numId w:val="39"/>
        </w:numPr>
        <w:tabs>
          <w:tab w:pos="462" w:val="left" w:leader="none"/>
        </w:tabs>
        <w:spacing w:before="241"/>
        <w:ind w:left="462" w:right="0" w:hanging="358"/>
        <w:jc w:val="left"/>
        <w:rPr>
          <w:b/>
          <w:sz w:val="22"/>
        </w:rPr>
      </w:pPr>
      <w:r>
        <w:rPr>
          <w:b/>
          <w:sz w:val="22"/>
        </w:rPr>
        <w:t>Partner</w:t>
      </w:r>
      <w:r>
        <w:rPr>
          <w:b/>
          <w:spacing w:val="-7"/>
          <w:sz w:val="22"/>
        </w:rPr>
        <w:t> </w:t>
      </w:r>
      <w:r>
        <w:rPr>
          <w:b/>
          <w:sz w:val="22"/>
        </w:rPr>
        <w:t>with</w:t>
      </w:r>
      <w:r>
        <w:rPr>
          <w:b/>
          <w:spacing w:val="-7"/>
          <w:sz w:val="22"/>
        </w:rPr>
        <w:t> </w:t>
      </w:r>
      <w:r>
        <w:rPr>
          <w:b/>
          <w:sz w:val="22"/>
        </w:rPr>
        <w:t>the</w:t>
      </w:r>
      <w:r>
        <w:rPr>
          <w:b/>
          <w:spacing w:val="-6"/>
          <w:sz w:val="22"/>
        </w:rPr>
        <w:t> </w:t>
      </w:r>
      <w:r>
        <w:rPr>
          <w:b/>
          <w:sz w:val="22"/>
        </w:rPr>
        <w:t>Commission</w:t>
      </w:r>
      <w:r>
        <w:rPr>
          <w:b/>
          <w:spacing w:val="-7"/>
          <w:sz w:val="22"/>
        </w:rPr>
        <w:t> </w:t>
      </w:r>
      <w:r>
        <w:rPr>
          <w:b/>
          <w:sz w:val="22"/>
        </w:rPr>
        <w:t>to</w:t>
      </w:r>
      <w:r>
        <w:rPr>
          <w:b/>
          <w:spacing w:val="-7"/>
          <w:sz w:val="22"/>
        </w:rPr>
        <w:t> </w:t>
      </w:r>
      <w:r>
        <w:rPr>
          <w:b/>
          <w:sz w:val="22"/>
        </w:rPr>
        <w:t>develop</w:t>
      </w:r>
      <w:r>
        <w:rPr>
          <w:b/>
          <w:spacing w:val="-8"/>
          <w:sz w:val="22"/>
        </w:rPr>
        <w:t> </w:t>
      </w:r>
      <w:r>
        <w:rPr>
          <w:b/>
          <w:sz w:val="22"/>
        </w:rPr>
        <w:t>an</w:t>
      </w:r>
      <w:r>
        <w:rPr>
          <w:b/>
          <w:spacing w:val="-6"/>
          <w:sz w:val="22"/>
        </w:rPr>
        <w:t> </w:t>
      </w:r>
      <w:r>
        <w:rPr>
          <w:b/>
          <w:sz w:val="22"/>
        </w:rPr>
        <w:t>outreach</w:t>
      </w:r>
      <w:r>
        <w:rPr>
          <w:b/>
          <w:spacing w:val="-8"/>
          <w:sz w:val="22"/>
        </w:rPr>
        <w:t> </w:t>
      </w:r>
      <w:r>
        <w:rPr>
          <w:b/>
          <w:sz w:val="22"/>
        </w:rPr>
        <w:t>plan</w:t>
      </w:r>
      <w:r>
        <w:rPr>
          <w:b/>
          <w:spacing w:val="-7"/>
          <w:sz w:val="22"/>
        </w:rPr>
        <w:t> </w:t>
      </w:r>
      <w:r>
        <w:rPr>
          <w:b/>
          <w:sz w:val="22"/>
        </w:rPr>
        <w:t>to</w:t>
      </w:r>
      <w:r>
        <w:rPr>
          <w:b/>
          <w:spacing w:val="-6"/>
          <w:sz w:val="22"/>
        </w:rPr>
        <w:t> </w:t>
      </w:r>
      <w:r>
        <w:rPr>
          <w:b/>
          <w:sz w:val="22"/>
        </w:rPr>
        <w:t>LGBTQ</w:t>
      </w:r>
      <w:r>
        <w:rPr>
          <w:b/>
          <w:spacing w:val="-7"/>
          <w:sz w:val="22"/>
        </w:rPr>
        <w:t> </w:t>
      </w:r>
      <w:r>
        <w:rPr>
          <w:b/>
          <w:sz w:val="22"/>
        </w:rPr>
        <w:t>youth</w:t>
      </w:r>
      <w:r>
        <w:rPr>
          <w:b/>
          <w:spacing w:val="-6"/>
          <w:sz w:val="22"/>
        </w:rPr>
        <w:t> </w:t>
      </w:r>
      <w:r>
        <w:rPr>
          <w:b/>
          <w:sz w:val="22"/>
        </w:rPr>
        <w:t>and</w:t>
      </w:r>
      <w:r>
        <w:rPr>
          <w:b/>
          <w:spacing w:val="-8"/>
          <w:sz w:val="22"/>
        </w:rPr>
        <w:t> </w:t>
      </w:r>
      <w:r>
        <w:rPr>
          <w:b/>
          <w:sz w:val="22"/>
        </w:rPr>
        <w:t>resource</w:t>
      </w:r>
      <w:r>
        <w:rPr>
          <w:b/>
          <w:spacing w:val="-7"/>
          <w:sz w:val="22"/>
        </w:rPr>
        <w:t> </w:t>
      </w:r>
      <w:r>
        <w:rPr>
          <w:b/>
          <w:spacing w:val="-2"/>
          <w:sz w:val="22"/>
        </w:rPr>
        <w:t>development.</w:t>
      </w:r>
    </w:p>
    <w:p>
      <w:pPr>
        <w:pStyle w:val="BodyText"/>
        <w:spacing w:before="11"/>
        <w:rPr>
          <w:b/>
        </w:rPr>
      </w:pPr>
    </w:p>
    <w:p>
      <w:pPr>
        <w:pStyle w:val="BodyText"/>
        <w:spacing w:line="276" w:lineRule="auto"/>
        <w:ind w:left="463" w:right="339"/>
        <w:jc w:val="both"/>
      </w:pPr>
      <w:r>
        <w:rPr/>
        <w:t>The</w:t>
      </w:r>
      <w:r>
        <w:rPr>
          <w:spacing w:val="-10"/>
        </w:rPr>
        <w:t> </w:t>
      </w:r>
      <w:r>
        <w:rPr/>
        <w:t>Commission</w:t>
      </w:r>
      <w:r>
        <w:rPr>
          <w:spacing w:val="-12"/>
        </w:rPr>
        <w:t> </w:t>
      </w:r>
      <w:r>
        <w:rPr/>
        <w:t>recommends</w:t>
      </w:r>
      <w:r>
        <w:rPr>
          <w:spacing w:val="-11"/>
        </w:rPr>
        <w:t> </w:t>
      </w:r>
      <w:r>
        <w:rPr/>
        <w:t>that</w:t>
      </w:r>
      <w:r>
        <w:rPr>
          <w:spacing w:val="-11"/>
        </w:rPr>
        <w:t> </w:t>
      </w:r>
      <w:r>
        <w:rPr/>
        <w:t>MRC</w:t>
      </w:r>
      <w:r>
        <w:rPr>
          <w:spacing w:val="-10"/>
        </w:rPr>
        <w:t> </w:t>
      </w:r>
      <w:r>
        <w:rPr/>
        <w:t>develop</w:t>
      </w:r>
      <w:r>
        <w:rPr>
          <w:spacing w:val="-10"/>
        </w:rPr>
        <w:t> </w:t>
      </w:r>
      <w:r>
        <w:rPr/>
        <w:t>an</w:t>
      </w:r>
      <w:r>
        <w:rPr>
          <w:spacing w:val="-10"/>
        </w:rPr>
        <w:t> </w:t>
      </w:r>
      <w:r>
        <w:rPr/>
        <w:t>outreach</w:t>
      </w:r>
      <w:r>
        <w:rPr>
          <w:spacing w:val="-12"/>
        </w:rPr>
        <w:t> </w:t>
      </w:r>
      <w:r>
        <w:rPr/>
        <w:t>plan</w:t>
      </w:r>
      <w:r>
        <w:rPr>
          <w:spacing w:val="-10"/>
        </w:rPr>
        <w:t> </w:t>
      </w:r>
      <w:r>
        <w:rPr/>
        <w:t>to</w:t>
      </w:r>
      <w:r>
        <w:rPr>
          <w:spacing w:val="-11"/>
        </w:rPr>
        <w:t> </w:t>
      </w:r>
      <w:r>
        <w:rPr/>
        <w:t>LGBTQ</w:t>
      </w:r>
      <w:r>
        <w:rPr>
          <w:spacing w:val="-10"/>
        </w:rPr>
        <w:t> </w:t>
      </w:r>
      <w:r>
        <w:rPr/>
        <w:t>youth</w:t>
      </w:r>
      <w:r>
        <w:rPr>
          <w:spacing w:val="-12"/>
        </w:rPr>
        <w:t> </w:t>
      </w:r>
      <w:r>
        <w:rPr/>
        <w:t>and</w:t>
      </w:r>
      <w:r>
        <w:rPr>
          <w:spacing w:val="-10"/>
        </w:rPr>
        <w:t> </w:t>
      </w:r>
      <w:r>
        <w:rPr/>
        <w:t>to</w:t>
      </w:r>
      <w:r>
        <w:rPr>
          <w:spacing w:val="-11"/>
        </w:rPr>
        <w:t> </w:t>
      </w:r>
      <w:r>
        <w:rPr/>
        <w:t>schools</w:t>
      </w:r>
      <w:r>
        <w:rPr>
          <w:spacing w:val="-11"/>
        </w:rPr>
        <w:t> </w:t>
      </w:r>
      <w:r>
        <w:rPr/>
        <w:t>to</w:t>
      </w:r>
      <w:r>
        <w:rPr>
          <w:spacing w:val="-11"/>
        </w:rPr>
        <w:t> </w:t>
      </w:r>
      <w:r>
        <w:rPr/>
        <w:t>share MRC resources, as well as to receive feedback on how to improve MRC services. MRC has noted the difficulty in reaching out to some regions, particularly the Cape and Plymouth, and intends to further explore these issues with the Commission in FY 2025. One upcoming possibility for MRC to expand its outreach efforts is to participate in statewide Pride events, which the Commission has offered insight on to assist in MRC’s planning efforts. MRC currently plans to attend Worcester Pride in FY 2025, and the LGBTQ ERG co-chair plans to attend the upcoming Provincetown Pride.</w:t>
      </w:r>
    </w:p>
    <w:p>
      <w:pPr>
        <w:spacing w:after="0" w:line="276" w:lineRule="auto"/>
        <w:jc w:val="both"/>
        <w:sectPr>
          <w:pgSz w:w="12240" w:h="15840"/>
          <w:pgMar w:header="804" w:footer="1263" w:top="1000" w:bottom="1460" w:left="960" w:right="1100"/>
        </w:sectPr>
      </w:pPr>
    </w:p>
    <w:p>
      <w:pPr>
        <w:pStyle w:val="BodyText"/>
        <w:spacing w:before="118"/>
      </w:pPr>
    </w:p>
    <w:p>
      <w:pPr>
        <w:numPr>
          <w:ilvl w:val="0"/>
          <w:numId w:val="39"/>
        </w:numPr>
        <w:tabs>
          <w:tab w:pos="462" w:val="left" w:leader="none"/>
        </w:tabs>
        <w:spacing w:before="0"/>
        <w:ind w:left="462" w:right="0" w:hanging="358"/>
        <w:jc w:val="left"/>
        <w:rPr>
          <w:b/>
          <w:sz w:val="22"/>
        </w:rPr>
      </w:pPr>
      <w:r>
        <w:rPr>
          <w:b/>
          <w:sz w:val="22"/>
        </w:rPr>
        <w:t>Review</w:t>
      </w:r>
      <w:r>
        <w:rPr>
          <w:b/>
          <w:spacing w:val="-9"/>
          <w:sz w:val="22"/>
        </w:rPr>
        <w:t> </w:t>
      </w:r>
      <w:r>
        <w:rPr>
          <w:b/>
          <w:sz w:val="22"/>
        </w:rPr>
        <w:t>internal</w:t>
      </w:r>
      <w:r>
        <w:rPr>
          <w:b/>
          <w:spacing w:val="-9"/>
          <w:sz w:val="22"/>
        </w:rPr>
        <w:t> </w:t>
      </w:r>
      <w:r>
        <w:rPr>
          <w:b/>
          <w:sz w:val="22"/>
        </w:rPr>
        <w:t>policies</w:t>
      </w:r>
      <w:r>
        <w:rPr>
          <w:b/>
          <w:spacing w:val="-9"/>
          <w:sz w:val="22"/>
        </w:rPr>
        <w:t> </w:t>
      </w:r>
      <w:r>
        <w:rPr>
          <w:b/>
          <w:sz w:val="22"/>
        </w:rPr>
        <w:t>to</w:t>
      </w:r>
      <w:r>
        <w:rPr>
          <w:b/>
          <w:spacing w:val="-9"/>
          <w:sz w:val="22"/>
        </w:rPr>
        <w:t> </w:t>
      </w:r>
      <w:r>
        <w:rPr>
          <w:b/>
          <w:sz w:val="22"/>
        </w:rPr>
        <w:t>identify</w:t>
      </w:r>
      <w:r>
        <w:rPr>
          <w:b/>
          <w:spacing w:val="-10"/>
          <w:sz w:val="22"/>
        </w:rPr>
        <w:t> </w:t>
      </w:r>
      <w:r>
        <w:rPr>
          <w:b/>
          <w:sz w:val="22"/>
        </w:rPr>
        <w:t>opportunities</w:t>
      </w:r>
      <w:r>
        <w:rPr>
          <w:b/>
          <w:spacing w:val="-9"/>
          <w:sz w:val="22"/>
        </w:rPr>
        <w:t> </w:t>
      </w:r>
      <w:r>
        <w:rPr>
          <w:b/>
          <w:sz w:val="22"/>
        </w:rPr>
        <w:t>for</w:t>
      </w:r>
      <w:r>
        <w:rPr>
          <w:b/>
          <w:spacing w:val="-9"/>
          <w:sz w:val="22"/>
        </w:rPr>
        <w:t> </w:t>
      </w:r>
      <w:r>
        <w:rPr>
          <w:b/>
          <w:spacing w:val="-2"/>
          <w:sz w:val="22"/>
        </w:rPr>
        <w:t>improvement.</w:t>
      </w:r>
    </w:p>
    <w:p>
      <w:pPr>
        <w:pStyle w:val="BodyText"/>
        <w:spacing w:before="11"/>
        <w:rPr>
          <w:b/>
        </w:rPr>
      </w:pPr>
    </w:p>
    <w:p>
      <w:pPr>
        <w:pStyle w:val="BodyText"/>
        <w:spacing w:line="276" w:lineRule="auto" w:before="1"/>
        <w:ind w:left="464" w:right="341"/>
        <w:jc w:val="both"/>
      </w:pPr>
      <w:r>
        <w:rPr/>
        <w:t>Over the last fiscal year, MRC staff have been through a great deal of transition, which has put a hold on some of the ongoing projects that intersect with the Commission’s recommendations. One area of improvement that was noted in a January 2023 meeting was to uplift stronger collaboration with the policy department to ensure that all internal MRC policies are being considered in internal efforts to ensure LGBTQ-inclusivity. The Commission recommends that MRC work with the LGBTQ Allies Working Group</w:t>
      </w:r>
      <w:r>
        <w:rPr>
          <w:spacing w:val="-13"/>
        </w:rPr>
        <w:t> </w:t>
      </w:r>
      <w:r>
        <w:rPr/>
        <w:t>to</w:t>
      </w:r>
      <w:r>
        <w:rPr>
          <w:spacing w:val="-12"/>
        </w:rPr>
        <w:t> </w:t>
      </w:r>
      <w:r>
        <w:rPr/>
        <w:t>undertake</w:t>
      </w:r>
      <w:r>
        <w:rPr>
          <w:spacing w:val="-13"/>
        </w:rPr>
        <w:t> </w:t>
      </w:r>
      <w:r>
        <w:rPr/>
        <w:t>an</w:t>
      </w:r>
      <w:r>
        <w:rPr>
          <w:spacing w:val="-12"/>
        </w:rPr>
        <w:t> </w:t>
      </w:r>
      <w:r>
        <w:rPr/>
        <w:t>agency-wide</w:t>
      </w:r>
      <w:r>
        <w:rPr>
          <w:spacing w:val="-13"/>
        </w:rPr>
        <w:t> </w:t>
      </w:r>
      <w:r>
        <w:rPr/>
        <w:t>policy</w:t>
      </w:r>
      <w:r>
        <w:rPr>
          <w:spacing w:val="-12"/>
        </w:rPr>
        <w:t> </w:t>
      </w:r>
      <w:r>
        <w:rPr/>
        <w:t>review</w:t>
      </w:r>
      <w:r>
        <w:rPr>
          <w:spacing w:val="-13"/>
        </w:rPr>
        <w:t> </w:t>
      </w:r>
      <w:r>
        <w:rPr/>
        <w:t>to</w:t>
      </w:r>
      <w:r>
        <w:rPr>
          <w:spacing w:val="-12"/>
        </w:rPr>
        <w:t> </w:t>
      </w:r>
      <w:r>
        <w:rPr/>
        <w:t>ensure</w:t>
      </w:r>
      <w:r>
        <w:rPr>
          <w:spacing w:val="-12"/>
        </w:rPr>
        <w:t> </w:t>
      </w:r>
      <w:r>
        <w:rPr/>
        <w:t>that</w:t>
      </w:r>
      <w:r>
        <w:rPr>
          <w:spacing w:val="-13"/>
        </w:rPr>
        <w:t> </w:t>
      </w:r>
      <w:r>
        <w:rPr/>
        <w:t>all</w:t>
      </w:r>
      <w:r>
        <w:rPr>
          <w:spacing w:val="-12"/>
        </w:rPr>
        <w:t> </w:t>
      </w:r>
      <w:r>
        <w:rPr/>
        <w:t>MRC</w:t>
      </w:r>
      <w:r>
        <w:rPr>
          <w:spacing w:val="-13"/>
        </w:rPr>
        <w:t> </w:t>
      </w:r>
      <w:r>
        <w:rPr/>
        <w:t>policies</w:t>
      </w:r>
      <w:r>
        <w:rPr>
          <w:spacing w:val="-12"/>
        </w:rPr>
        <w:t> </w:t>
      </w:r>
      <w:r>
        <w:rPr/>
        <w:t>are</w:t>
      </w:r>
      <w:r>
        <w:rPr>
          <w:spacing w:val="-13"/>
        </w:rPr>
        <w:t> </w:t>
      </w:r>
      <w:r>
        <w:rPr/>
        <w:t>meeting</w:t>
      </w:r>
      <w:r>
        <w:rPr>
          <w:spacing w:val="-12"/>
        </w:rPr>
        <w:t> </w:t>
      </w:r>
      <w:r>
        <w:rPr/>
        <w:t>best</w:t>
      </w:r>
      <w:r>
        <w:rPr>
          <w:spacing w:val="-12"/>
        </w:rPr>
        <w:t> </w:t>
      </w:r>
      <w:r>
        <w:rPr/>
        <w:t>practice standards, particularly as it works to explore the creation of a nondiscrimination policy.</w:t>
      </w:r>
    </w:p>
    <w:p>
      <w:pPr>
        <w:pStyle w:val="BodyText"/>
      </w:pPr>
    </w:p>
    <w:p>
      <w:pPr>
        <w:pStyle w:val="BodyText"/>
        <w:spacing w:before="238"/>
      </w:pPr>
    </w:p>
    <w:p>
      <w:pPr>
        <w:spacing w:before="0"/>
        <w:ind w:left="464" w:right="0" w:firstLine="0"/>
        <w:jc w:val="both"/>
        <w:rPr>
          <w:sz w:val="18"/>
        </w:rPr>
      </w:pPr>
      <w:r>
        <w:rPr>
          <w:sz w:val="18"/>
          <w:vertAlign w:val="superscript"/>
        </w:rPr>
        <w:t>1</w:t>
      </w:r>
      <w:r>
        <w:rPr>
          <w:spacing w:val="-15"/>
          <w:sz w:val="18"/>
          <w:vertAlign w:val="baseline"/>
        </w:rPr>
        <w:t> </w:t>
      </w:r>
      <w:r>
        <w:rPr>
          <w:sz w:val="18"/>
          <w:vertAlign w:val="baseline"/>
        </w:rPr>
        <w:t>Movement</w:t>
      </w:r>
      <w:r>
        <w:rPr>
          <w:spacing w:val="-9"/>
          <w:sz w:val="18"/>
          <w:vertAlign w:val="baseline"/>
        </w:rPr>
        <w:t> </w:t>
      </w:r>
      <w:r>
        <w:rPr>
          <w:sz w:val="18"/>
          <w:vertAlign w:val="baseline"/>
        </w:rPr>
        <w:t>Advancement</w:t>
      </w:r>
      <w:r>
        <w:rPr>
          <w:spacing w:val="-5"/>
          <w:sz w:val="18"/>
          <w:vertAlign w:val="baseline"/>
        </w:rPr>
        <w:t> </w:t>
      </w:r>
      <w:r>
        <w:rPr>
          <w:sz w:val="18"/>
          <w:vertAlign w:val="baseline"/>
        </w:rPr>
        <w:t>Project.</w:t>
      </w:r>
      <w:r>
        <w:rPr>
          <w:spacing w:val="-4"/>
          <w:sz w:val="18"/>
          <w:vertAlign w:val="baseline"/>
        </w:rPr>
        <w:t> </w:t>
      </w:r>
      <w:r>
        <w:rPr>
          <w:sz w:val="18"/>
          <w:vertAlign w:val="baseline"/>
        </w:rPr>
        <w:t>July</w:t>
      </w:r>
      <w:r>
        <w:rPr>
          <w:spacing w:val="-4"/>
          <w:sz w:val="18"/>
          <w:vertAlign w:val="baseline"/>
        </w:rPr>
        <w:t> </w:t>
      </w:r>
      <w:r>
        <w:rPr>
          <w:sz w:val="18"/>
          <w:vertAlign w:val="baseline"/>
        </w:rPr>
        <w:t>2019.</w:t>
      </w:r>
      <w:r>
        <w:rPr>
          <w:spacing w:val="-5"/>
          <w:sz w:val="18"/>
          <w:vertAlign w:val="baseline"/>
        </w:rPr>
        <w:t> </w:t>
      </w:r>
      <w:r>
        <w:rPr>
          <w:i/>
          <w:sz w:val="18"/>
          <w:vertAlign w:val="baseline"/>
        </w:rPr>
        <w:t>LGBT</w:t>
      </w:r>
      <w:r>
        <w:rPr>
          <w:i/>
          <w:spacing w:val="-4"/>
          <w:sz w:val="18"/>
          <w:vertAlign w:val="baseline"/>
        </w:rPr>
        <w:t> </w:t>
      </w:r>
      <w:r>
        <w:rPr>
          <w:i/>
          <w:sz w:val="18"/>
          <w:vertAlign w:val="baseline"/>
        </w:rPr>
        <w:t>People</w:t>
      </w:r>
      <w:r>
        <w:rPr>
          <w:i/>
          <w:spacing w:val="-5"/>
          <w:sz w:val="18"/>
          <w:vertAlign w:val="baseline"/>
        </w:rPr>
        <w:t> </w:t>
      </w:r>
      <w:r>
        <w:rPr>
          <w:i/>
          <w:sz w:val="18"/>
          <w:vertAlign w:val="baseline"/>
        </w:rPr>
        <w:t>With</w:t>
      </w:r>
      <w:r>
        <w:rPr>
          <w:i/>
          <w:spacing w:val="-4"/>
          <w:sz w:val="18"/>
          <w:vertAlign w:val="baseline"/>
        </w:rPr>
        <w:t> </w:t>
      </w:r>
      <w:r>
        <w:rPr>
          <w:i/>
          <w:sz w:val="18"/>
          <w:vertAlign w:val="baseline"/>
        </w:rPr>
        <w:t>Disabilities</w:t>
      </w:r>
      <w:r>
        <w:rPr>
          <w:sz w:val="18"/>
          <w:vertAlign w:val="baseline"/>
        </w:rPr>
        <w:t>.</w:t>
      </w:r>
      <w:r>
        <w:rPr>
          <w:spacing w:val="-4"/>
          <w:sz w:val="18"/>
          <w:vertAlign w:val="baseline"/>
        </w:rPr>
        <w:t> </w:t>
      </w:r>
      <w:r>
        <w:rPr>
          <w:color w:val="0000FF"/>
          <w:sz w:val="18"/>
          <w:u w:val="single" w:color="0000FF"/>
          <w:vertAlign w:val="baseline"/>
        </w:rPr>
        <w:t>https://</w:t>
      </w:r>
      <w:hyperlink r:id="rId738">
        <w:r>
          <w:rPr>
            <w:color w:val="0000FF"/>
            <w:sz w:val="18"/>
            <w:u w:val="single" w:color="0000FF"/>
            <w:vertAlign w:val="baseline"/>
          </w:rPr>
          <w:t>www.lgbtmap.org/lgbt-people-</w:t>
        </w:r>
        <w:r>
          <w:rPr>
            <w:color w:val="0000FF"/>
            <w:spacing w:val="-2"/>
            <w:sz w:val="18"/>
            <w:u w:val="single" w:color="0000FF"/>
            <w:vertAlign w:val="baseline"/>
          </w:rPr>
          <w:t>disabilities</w:t>
        </w:r>
      </w:hyperlink>
      <w:hyperlink r:id="rId738">
        <w:r>
          <w:rPr>
            <w:spacing w:val="-2"/>
            <w:sz w:val="18"/>
            <w:u w:val="none"/>
            <w:vertAlign w:val="baseline"/>
          </w:rPr>
          <w:t>.</w:t>
        </w:r>
      </w:hyperlink>
    </w:p>
    <w:p>
      <w:pPr>
        <w:spacing w:after="0"/>
        <w:jc w:val="both"/>
        <w:rPr>
          <w:sz w:val="18"/>
        </w:rPr>
        <w:sectPr>
          <w:pgSz w:w="12240" w:h="15840"/>
          <w:pgMar w:header="804" w:footer="1263" w:top="1000" w:bottom="1460" w:left="960" w:right="1100"/>
        </w:sectPr>
      </w:pPr>
    </w:p>
    <w:p>
      <w:pPr>
        <w:pStyle w:val="Heading7"/>
        <w:spacing w:before="366"/>
      </w:pPr>
      <w:bookmarkStart w:name="_bookmark633" w:id="940"/>
      <w:bookmarkEnd w:id="940"/>
      <w:r>
        <w:rPr/>
      </w:r>
      <w:hyperlink w:history="true" w:anchor="_bookmark6">
        <w:r>
          <w:rPr>
            <w:color w:val="365F91"/>
            <w:spacing w:val="-10"/>
          </w:rPr>
          <w:t>Department</w:t>
        </w:r>
        <w:r>
          <w:rPr>
            <w:color w:val="365F91"/>
            <w:spacing w:val="-4"/>
          </w:rPr>
          <w:t> </w:t>
        </w:r>
        <w:r>
          <w:rPr>
            <w:color w:val="365F91"/>
            <w:spacing w:val="-10"/>
          </w:rPr>
          <w:t>of</w:t>
        </w:r>
        <w:r>
          <w:rPr>
            <w:color w:val="365F91"/>
            <w:spacing w:val="-4"/>
          </w:rPr>
          <w:t> </w:t>
        </w:r>
        <w:r>
          <w:rPr>
            <w:color w:val="365F91"/>
            <w:spacing w:val="-10"/>
          </w:rPr>
          <w:t>Mental</w:t>
        </w:r>
        <w:r>
          <w:rPr>
            <w:color w:val="365F91"/>
            <w:spacing w:val="-4"/>
          </w:rPr>
          <w:t> </w:t>
        </w:r>
        <w:r>
          <w:rPr>
            <w:color w:val="365F91"/>
            <w:spacing w:val="-10"/>
          </w:rPr>
          <w:t>Health</w:t>
        </w:r>
      </w:hyperlink>
    </w:p>
    <w:p>
      <w:pPr>
        <w:spacing w:before="400"/>
        <w:ind w:left="483" w:right="0" w:firstLine="0"/>
        <w:jc w:val="left"/>
        <w:rPr>
          <w:sz w:val="28"/>
        </w:rPr>
      </w:pPr>
      <w:r>
        <w:rPr/>
        <mc:AlternateContent>
          <mc:Choice Requires="wps">
            <w:drawing>
              <wp:anchor distT="0" distB="0" distL="0" distR="0" allowOverlap="1" layoutInCell="1" locked="0" behindDoc="1" simplePos="0" relativeHeight="487705600">
                <wp:simplePos x="0" y="0"/>
                <wp:positionH relativeFrom="page">
                  <wp:posOffset>897636</wp:posOffset>
                </wp:positionH>
                <wp:positionV relativeFrom="paragraph">
                  <wp:posOffset>483373</wp:posOffset>
                </wp:positionV>
                <wp:extent cx="5976620" cy="6350"/>
                <wp:effectExtent l="0" t="0" r="0" b="0"/>
                <wp:wrapTopAndBottom/>
                <wp:docPr id="596" name="Graphic 596"/>
                <wp:cNvGraphicFramePr>
                  <a:graphicFrameLocks/>
                </wp:cNvGraphicFramePr>
                <a:graphic>
                  <a:graphicData uri="http://schemas.microsoft.com/office/word/2010/wordprocessingShape">
                    <wps:wsp>
                      <wps:cNvPr id="596" name="Graphic 596"/>
                      <wps:cNvSpPr/>
                      <wps:spPr>
                        <a:xfrm>
                          <a:off x="0" y="0"/>
                          <a:ext cx="5976620" cy="6350"/>
                        </a:xfrm>
                        <a:custGeom>
                          <a:avLst/>
                          <a:gdLst/>
                          <a:ahLst/>
                          <a:cxnLst/>
                          <a:rect l="l" t="t" r="r" b="b"/>
                          <a:pathLst>
                            <a:path w="5976620" h="6350">
                              <a:moveTo>
                                <a:pt x="5976366" y="0"/>
                              </a:moveTo>
                              <a:lnTo>
                                <a:pt x="0" y="0"/>
                              </a:lnTo>
                              <a:lnTo>
                                <a:pt x="0" y="6096"/>
                              </a:lnTo>
                              <a:lnTo>
                                <a:pt x="5976366" y="6096"/>
                              </a:lnTo>
                              <a:lnTo>
                                <a:pt x="5976366" y="0"/>
                              </a:lnTo>
                              <a:close/>
                            </a:path>
                          </a:pathLst>
                        </a:custGeom>
                        <a:solidFill>
                          <a:srgbClr val="4F81BC"/>
                        </a:solidFill>
                      </wps:spPr>
                      <wps:bodyPr wrap="square" lIns="0" tIns="0" rIns="0" bIns="0" rtlCol="0">
                        <a:prstTxWarp prst="textNoShape">
                          <a:avLst/>
                        </a:prstTxWarp>
                        <a:noAutofit/>
                      </wps:bodyPr>
                    </wps:wsp>
                  </a:graphicData>
                </a:graphic>
              </wp:anchor>
            </w:drawing>
          </mc:Choice>
          <mc:Fallback>
            <w:pict>
              <v:rect style="position:absolute;margin-left:70.680pt;margin-top:38.060936pt;width:470.58pt;height:.48pt;mso-position-horizontal-relative:page;mso-position-vertical-relative:paragraph;z-index:-15610880;mso-wrap-distance-left:0;mso-wrap-distance-right:0" id="docshape493" filled="true" fillcolor="#4f81bc" stroked="false">
                <v:fill type="solid"/>
                <w10:wrap type="topAndBottom"/>
              </v:rect>
            </w:pict>
          </mc:Fallback>
        </mc:AlternateContent>
      </w:r>
      <w:r>
        <w:rPr>
          <w:color w:val="365F91"/>
          <w:sz w:val="28"/>
        </w:rPr>
        <w:t>FY2025</w:t>
      </w:r>
      <w:r>
        <w:rPr>
          <w:color w:val="365F91"/>
          <w:spacing w:val="-13"/>
          <w:sz w:val="28"/>
        </w:rPr>
        <w:t> </w:t>
      </w:r>
      <w:r>
        <w:rPr>
          <w:color w:val="365F91"/>
          <w:spacing w:val="-2"/>
          <w:sz w:val="28"/>
        </w:rPr>
        <w:t>Recommendations</w:t>
      </w:r>
    </w:p>
    <w:p>
      <w:pPr>
        <w:pStyle w:val="BodyText"/>
      </w:pPr>
    </w:p>
    <w:p>
      <w:pPr>
        <w:pStyle w:val="BodyText"/>
        <w:spacing w:before="26"/>
      </w:pPr>
    </w:p>
    <w:p>
      <w:pPr>
        <w:pStyle w:val="ListParagraph"/>
        <w:numPr>
          <w:ilvl w:val="1"/>
          <w:numId w:val="39"/>
        </w:numPr>
        <w:tabs>
          <w:tab w:pos="1057" w:val="left" w:leader="none"/>
          <w:tab w:pos="1059" w:val="left" w:leader="none"/>
        </w:tabs>
        <w:spacing w:line="276" w:lineRule="auto" w:before="0" w:after="0"/>
        <w:ind w:left="1059" w:right="632" w:hanging="361"/>
        <w:jc w:val="both"/>
        <w:rPr>
          <w:sz w:val="22"/>
        </w:rPr>
      </w:pPr>
      <w:r>
        <w:rPr>
          <w:sz w:val="22"/>
        </w:rPr>
        <w:t>Develop</w:t>
      </w:r>
      <w:r>
        <w:rPr>
          <w:spacing w:val="-13"/>
          <w:sz w:val="22"/>
        </w:rPr>
        <w:t> </w:t>
      </w:r>
      <w:r>
        <w:rPr>
          <w:sz w:val="22"/>
        </w:rPr>
        <w:t>accessible,</w:t>
      </w:r>
      <w:r>
        <w:rPr>
          <w:spacing w:val="-12"/>
          <w:sz w:val="22"/>
        </w:rPr>
        <w:t> </w:t>
      </w:r>
      <w:r>
        <w:rPr>
          <w:sz w:val="22"/>
        </w:rPr>
        <w:t>trauma-informed</w:t>
      </w:r>
      <w:r>
        <w:rPr>
          <w:spacing w:val="-13"/>
          <w:sz w:val="22"/>
        </w:rPr>
        <w:t> </w:t>
      </w:r>
      <w:r>
        <w:rPr>
          <w:sz w:val="22"/>
        </w:rPr>
        <w:t>mental</w:t>
      </w:r>
      <w:r>
        <w:rPr>
          <w:spacing w:val="-12"/>
          <w:sz w:val="22"/>
        </w:rPr>
        <w:t> </w:t>
      </w:r>
      <w:r>
        <w:rPr>
          <w:sz w:val="22"/>
        </w:rPr>
        <w:t>health</w:t>
      </w:r>
      <w:r>
        <w:rPr>
          <w:spacing w:val="-13"/>
          <w:sz w:val="22"/>
        </w:rPr>
        <w:t> </w:t>
      </w:r>
      <w:r>
        <w:rPr>
          <w:sz w:val="22"/>
        </w:rPr>
        <w:t>resources</w:t>
      </w:r>
      <w:r>
        <w:rPr>
          <w:spacing w:val="-12"/>
          <w:sz w:val="22"/>
        </w:rPr>
        <w:t> </w:t>
      </w:r>
      <w:r>
        <w:rPr>
          <w:sz w:val="22"/>
        </w:rPr>
        <w:t>and</w:t>
      </w:r>
      <w:r>
        <w:rPr>
          <w:spacing w:val="-13"/>
          <w:sz w:val="22"/>
        </w:rPr>
        <w:t> </w:t>
      </w:r>
      <w:r>
        <w:rPr>
          <w:sz w:val="22"/>
        </w:rPr>
        <w:t>programs</w:t>
      </w:r>
      <w:r>
        <w:rPr>
          <w:spacing w:val="-12"/>
          <w:sz w:val="22"/>
        </w:rPr>
        <w:t> </w:t>
      </w:r>
      <w:r>
        <w:rPr>
          <w:sz w:val="22"/>
        </w:rPr>
        <w:t>for</w:t>
      </w:r>
      <w:r>
        <w:rPr>
          <w:spacing w:val="-12"/>
          <w:sz w:val="22"/>
        </w:rPr>
        <w:t> </w:t>
      </w:r>
      <w:r>
        <w:rPr>
          <w:sz w:val="22"/>
        </w:rPr>
        <w:t>QTBIPOC</w:t>
      </w:r>
      <w:r>
        <w:rPr>
          <w:spacing w:val="-13"/>
          <w:sz w:val="22"/>
        </w:rPr>
        <w:t> </w:t>
      </w:r>
      <w:r>
        <w:rPr>
          <w:sz w:val="22"/>
        </w:rPr>
        <w:t>youth and LGBTQ first-generation youth.</w:t>
      </w:r>
    </w:p>
    <w:p>
      <w:pPr>
        <w:pStyle w:val="ListParagraph"/>
        <w:numPr>
          <w:ilvl w:val="1"/>
          <w:numId w:val="39"/>
        </w:numPr>
        <w:tabs>
          <w:tab w:pos="1057" w:val="left" w:leader="none"/>
          <w:tab w:pos="1059" w:val="left" w:leader="none"/>
        </w:tabs>
        <w:spacing w:line="276" w:lineRule="auto" w:before="0" w:after="0"/>
        <w:ind w:left="1059" w:right="629" w:hanging="361"/>
        <w:jc w:val="both"/>
        <w:rPr>
          <w:sz w:val="22"/>
        </w:rPr>
      </w:pPr>
      <w:r>
        <w:rPr>
          <w:sz w:val="22"/>
        </w:rPr>
        <w:t>Collaborate with youth-serving agencies, including the Department of Children &amp; Families, the Department of Youth Services, MassHealth, the Department of Developmental Services, the Department of Public Health, and the Executive Office of Housing and Livable Communities, to develop clear guidance and instructions on how to ensure that youth transitioning between state systems are receiving needed services and resources.</w:t>
      </w:r>
    </w:p>
    <w:p>
      <w:pPr>
        <w:pStyle w:val="ListParagraph"/>
        <w:numPr>
          <w:ilvl w:val="1"/>
          <w:numId w:val="39"/>
        </w:numPr>
        <w:tabs>
          <w:tab w:pos="1057" w:val="left" w:leader="none"/>
          <w:tab w:pos="1059" w:val="left" w:leader="none"/>
        </w:tabs>
        <w:spacing w:line="276" w:lineRule="auto" w:before="0" w:after="0"/>
        <w:ind w:left="1059" w:right="631" w:hanging="361"/>
        <w:jc w:val="both"/>
        <w:rPr>
          <w:sz w:val="22"/>
        </w:rPr>
      </w:pPr>
      <w:r>
        <w:rPr>
          <w:sz w:val="22"/>
        </w:rPr>
        <w:t>Explore</w:t>
      </w:r>
      <w:r>
        <w:rPr>
          <w:spacing w:val="-5"/>
          <w:sz w:val="22"/>
        </w:rPr>
        <w:t> </w:t>
      </w:r>
      <w:r>
        <w:rPr>
          <w:sz w:val="22"/>
        </w:rPr>
        <w:t>opportunities</w:t>
      </w:r>
      <w:r>
        <w:rPr>
          <w:spacing w:val="-6"/>
          <w:sz w:val="22"/>
        </w:rPr>
        <w:t> </w:t>
      </w:r>
      <w:r>
        <w:rPr>
          <w:sz w:val="22"/>
        </w:rPr>
        <w:t>to</w:t>
      </w:r>
      <w:r>
        <w:rPr>
          <w:spacing w:val="-6"/>
          <w:sz w:val="22"/>
        </w:rPr>
        <w:t> </w:t>
      </w:r>
      <w:r>
        <w:rPr>
          <w:sz w:val="22"/>
        </w:rPr>
        <w:t>implement</w:t>
      </w:r>
      <w:r>
        <w:rPr>
          <w:spacing w:val="-6"/>
          <w:sz w:val="22"/>
        </w:rPr>
        <w:t> </w:t>
      </w:r>
      <w:r>
        <w:rPr>
          <w:sz w:val="22"/>
        </w:rPr>
        <w:t>a</w:t>
      </w:r>
      <w:r>
        <w:rPr>
          <w:spacing w:val="-5"/>
          <w:sz w:val="22"/>
        </w:rPr>
        <w:t> </w:t>
      </w:r>
      <w:r>
        <w:rPr>
          <w:sz w:val="22"/>
        </w:rPr>
        <w:t>caregiver</w:t>
      </w:r>
      <w:r>
        <w:rPr>
          <w:spacing w:val="-6"/>
          <w:sz w:val="22"/>
        </w:rPr>
        <w:t> </w:t>
      </w:r>
      <w:r>
        <w:rPr>
          <w:sz w:val="22"/>
        </w:rPr>
        <w:t>education</w:t>
      </w:r>
      <w:r>
        <w:rPr>
          <w:spacing w:val="-7"/>
          <w:sz w:val="22"/>
        </w:rPr>
        <w:t> </w:t>
      </w:r>
      <w:r>
        <w:rPr>
          <w:sz w:val="22"/>
        </w:rPr>
        <w:t>training</w:t>
      </w:r>
      <w:r>
        <w:rPr>
          <w:spacing w:val="-5"/>
          <w:sz w:val="22"/>
        </w:rPr>
        <w:t> </w:t>
      </w:r>
      <w:r>
        <w:rPr>
          <w:sz w:val="22"/>
        </w:rPr>
        <w:t>to</w:t>
      </w:r>
      <w:r>
        <w:rPr>
          <w:spacing w:val="-6"/>
          <w:sz w:val="22"/>
        </w:rPr>
        <w:t> </w:t>
      </w:r>
      <w:r>
        <w:rPr>
          <w:sz w:val="22"/>
        </w:rPr>
        <w:t>support</w:t>
      </w:r>
      <w:r>
        <w:rPr>
          <w:spacing w:val="-7"/>
          <w:sz w:val="22"/>
        </w:rPr>
        <w:t> </w:t>
      </w:r>
      <w:r>
        <w:rPr>
          <w:sz w:val="22"/>
        </w:rPr>
        <w:t>LGBTQ</w:t>
      </w:r>
      <w:r>
        <w:rPr>
          <w:spacing w:val="-5"/>
          <w:sz w:val="22"/>
        </w:rPr>
        <w:t> </w:t>
      </w:r>
      <w:r>
        <w:rPr>
          <w:sz w:val="22"/>
        </w:rPr>
        <w:t>youth</w:t>
      </w:r>
      <w:r>
        <w:rPr>
          <w:spacing w:val="-4"/>
          <w:sz w:val="22"/>
        </w:rPr>
        <w:t> </w:t>
      </w:r>
      <w:r>
        <w:rPr>
          <w:sz w:val="22"/>
        </w:rPr>
        <w:t>and families involved in DMH services.</w:t>
      </w:r>
    </w:p>
    <w:p>
      <w:pPr>
        <w:pStyle w:val="ListParagraph"/>
        <w:numPr>
          <w:ilvl w:val="1"/>
          <w:numId w:val="39"/>
        </w:numPr>
        <w:tabs>
          <w:tab w:pos="1057" w:val="left" w:leader="none"/>
          <w:tab w:pos="1059" w:val="left" w:leader="none"/>
        </w:tabs>
        <w:spacing w:line="276" w:lineRule="auto" w:before="1" w:after="0"/>
        <w:ind w:left="1059" w:right="631" w:hanging="361"/>
        <w:jc w:val="both"/>
        <w:rPr>
          <w:sz w:val="22"/>
        </w:rPr>
      </w:pPr>
      <w:r>
        <w:rPr>
          <w:sz w:val="22"/>
        </w:rPr>
        <w:t>Explore further SOGIE data collection &amp; IT changes needed to collect comprehensive data on the mental health needs of LGBTQ youth.</w:t>
      </w:r>
    </w:p>
    <w:p>
      <w:pPr>
        <w:pStyle w:val="ListParagraph"/>
        <w:numPr>
          <w:ilvl w:val="1"/>
          <w:numId w:val="39"/>
        </w:numPr>
        <w:tabs>
          <w:tab w:pos="1057" w:val="left" w:leader="none"/>
          <w:tab w:pos="1059" w:val="left" w:leader="none"/>
        </w:tabs>
        <w:spacing w:line="276" w:lineRule="auto" w:before="0" w:after="0"/>
        <w:ind w:left="1059" w:right="629" w:hanging="361"/>
        <w:jc w:val="both"/>
        <w:rPr>
          <w:sz w:val="22"/>
        </w:rPr>
      </w:pPr>
      <w:r>
        <w:rPr>
          <w:sz w:val="22"/>
        </w:rPr>
        <w:t>Facilitate trainings on LGBTQ cultural awareness and racial equity, with particular attention to youth and access to affirming care.</w:t>
      </w:r>
    </w:p>
    <w:p>
      <w:pPr>
        <w:pStyle w:val="ListParagraph"/>
        <w:numPr>
          <w:ilvl w:val="1"/>
          <w:numId w:val="39"/>
        </w:numPr>
        <w:tabs>
          <w:tab w:pos="1058" w:val="left" w:leader="none"/>
          <w:tab w:pos="1060" w:val="left" w:leader="none"/>
        </w:tabs>
        <w:spacing w:line="276" w:lineRule="auto" w:before="0" w:after="0"/>
        <w:ind w:left="1060" w:right="631" w:hanging="361"/>
        <w:jc w:val="both"/>
        <w:rPr>
          <w:sz w:val="22"/>
        </w:rPr>
      </w:pPr>
      <w:r>
        <w:rPr>
          <w:sz w:val="22"/>
        </w:rPr>
        <w:t>Explore and implement opportunities to improve education &amp; workplace training for new mental health workers in the areas of health equity for LGBTQ and QTBIPOC communities.</w:t>
      </w:r>
    </w:p>
    <w:p>
      <w:pPr>
        <w:pStyle w:val="BodyText"/>
      </w:pPr>
    </w:p>
    <w:p>
      <w:pPr>
        <w:pStyle w:val="BodyText"/>
        <w:spacing w:before="221"/>
      </w:pPr>
    </w:p>
    <w:p>
      <w:pPr>
        <w:spacing w:before="0"/>
        <w:ind w:left="483" w:right="0" w:firstLine="0"/>
        <w:jc w:val="left"/>
        <w:rPr>
          <w:sz w:val="28"/>
        </w:rPr>
      </w:pPr>
      <w:r>
        <w:rPr/>
        <mc:AlternateContent>
          <mc:Choice Requires="wps">
            <w:drawing>
              <wp:anchor distT="0" distB="0" distL="0" distR="0" allowOverlap="1" layoutInCell="1" locked="0" behindDoc="1" simplePos="0" relativeHeight="487706112">
                <wp:simplePos x="0" y="0"/>
                <wp:positionH relativeFrom="page">
                  <wp:posOffset>897636</wp:posOffset>
                </wp:positionH>
                <wp:positionV relativeFrom="paragraph">
                  <wp:posOffset>229865</wp:posOffset>
                </wp:positionV>
                <wp:extent cx="5976620" cy="6350"/>
                <wp:effectExtent l="0" t="0" r="0" b="0"/>
                <wp:wrapTopAndBottom/>
                <wp:docPr id="597" name="Graphic 597"/>
                <wp:cNvGraphicFramePr>
                  <a:graphicFrameLocks/>
                </wp:cNvGraphicFramePr>
                <a:graphic>
                  <a:graphicData uri="http://schemas.microsoft.com/office/word/2010/wordprocessingShape">
                    <wps:wsp>
                      <wps:cNvPr id="597" name="Graphic 597"/>
                      <wps:cNvSpPr/>
                      <wps:spPr>
                        <a:xfrm>
                          <a:off x="0" y="0"/>
                          <a:ext cx="5976620" cy="6350"/>
                        </a:xfrm>
                        <a:custGeom>
                          <a:avLst/>
                          <a:gdLst/>
                          <a:ahLst/>
                          <a:cxnLst/>
                          <a:rect l="l" t="t" r="r" b="b"/>
                          <a:pathLst>
                            <a:path w="5976620" h="6350">
                              <a:moveTo>
                                <a:pt x="5976366" y="0"/>
                              </a:moveTo>
                              <a:lnTo>
                                <a:pt x="0" y="0"/>
                              </a:lnTo>
                              <a:lnTo>
                                <a:pt x="0" y="6108"/>
                              </a:lnTo>
                              <a:lnTo>
                                <a:pt x="5976366" y="6108"/>
                              </a:lnTo>
                              <a:lnTo>
                                <a:pt x="5976366" y="0"/>
                              </a:lnTo>
                              <a:close/>
                            </a:path>
                          </a:pathLst>
                        </a:custGeom>
                        <a:solidFill>
                          <a:srgbClr val="4F81BC"/>
                        </a:solidFill>
                      </wps:spPr>
                      <wps:bodyPr wrap="square" lIns="0" tIns="0" rIns="0" bIns="0" rtlCol="0">
                        <a:prstTxWarp prst="textNoShape">
                          <a:avLst/>
                        </a:prstTxWarp>
                        <a:noAutofit/>
                      </wps:bodyPr>
                    </wps:wsp>
                  </a:graphicData>
                </a:graphic>
              </wp:anchor>
            </w:drawing>
          </mc:Choice>
          <mc:Fallback>
            <w:pict>
              <v:rect style="position:absolute;margin-left:70.680pt;margin-top:18.099644pt;width:470.58pt;height:.481pt;mso-position-horizontal-relative:page;mso-position-vertical-relative:paragraph;z-index:-15610368;mso-wrap-distance-left:0;mso-wrap-distance-right:0" id="docshape494" filled="true" fillcolor="#4f81bc" stroked="false">
                <v:fill type="solid"/>
                <w10:wrap type="topAndBottom"/>
              </v:rect>
            </w:pict>
          </mc:Fallback>
        </mc:AlternateContent>
      </w:r>
      <w:r>
        <w:rPr>
          <w:color w:val="365F91"/>
          <w:spacing w:val="-2"/>
          <w:sz w:val="28"/>
        </w:rPr>
        <w:t>Introduction</w:t>
      </w:r>
    </w:p>
    <w:p>
      <w:pPr>
        <w:spacing w:line="276" w:lineRule="auto" w:before="241"/>
        <w:ind w:left="483" w:right="340" w:firstLine="0"/>
        <w:jc w:val="both"/>
        <w:rPr>
          <w:sz w:val="21"/>
        </w:rPr>
      </w:pPr>
      <w:r>
        <w:rPr>
          <w:sz w:val="21"/>
        </w:rPr>
        <w:t>The</w:t>
      </w:r>
      <w:r>
        <w:rPr>
          <w:spacing w:val="-10"/>
          <w:sz w:val="21"/>
        </w:rPr>
        <w:t> </w:t>
      </w:r>
      <w:r>
        <w:rPr>
          <w:sz w:val="21"/>
        </w:rPr>
        <w:t>Department</w:t>
      </w:r>
      <w:r>
        <w:rPr>
          <w:spacing w:val="-10"/>
          <w:sz w:val="21"/>
        </w:rPr>
        <w:t> </w:t>
      </w:r>
      <w:r>
        <w:rPr>
          <w:sz w:val="21"/>
        </w:rPr>
        <w:t>of</w:t>
      </w:r>
      <w:r>
        <w:rPr>
          <w:spacing w:val="-11"/>
          <w:sz w:val="21"/>
        </w:rPr>
        <w:t> </w:t>
      </w:r>
      <w:r>
        <w:rPr>
          <w:sz w:val="21"/>
        </w:rPr>
        <w:t>Mental</w:t>
      </w:r>
      <w:r>
        <w:rPr>
          <w:spacing w:val="-12"/>
          <w:sz w:val="21"/>
        </w:rPr>
        <w:t> </w:t>
      </w:r>
      <w:r>
        <w:rPr>
          <w:sz w:val="21"/>
        </w:rPr>
        <w:t>Health</w:t>
      </w:r>
      <w:r>
        <w:rPr>
          <w:spacing w:val="-10"/>
          <w:sz w:val="21"/>
        </w:rPr>
        <w:t> </w:t>
      </w:r>
      <w:r>
        <w:rPr>
          <w:sz w:val="21"/>
        </w:rPr>
        <w:t>(DMH)</w:t>
      </w:r>
      <w:r>
        <w:rPr>
          <w:spacing w:val="-12"/>
          <w:sz w:val="21"/>
        </w:rPr>
        <w:t> </w:t>
      </w:r>
      <w:r>
        <w:rPr>
          <w:sz w:val="21"/>
        </w:rPr>
        <w:t>is</w:t>
      </w:r>
      <w:r>
        <w:rPr>
          <w:spacing w:val="-11"/>
          <w:sz w:val="21"/>
        </w:rPr>
        <w:t> </w:t>
      </w:r>
      <w:r>
        <w:rPr>
          <w:sz w:val="21"/>
        </w:rPr>
        <w:t>tasked</w:t>
      </w:r>
      <w:r>
        <w:rPr>
          <w:spacing w:val="-10"/>
          <w:sz w:val="21"/>
        </w:rPr>
        <w:t> </w:t>
      </w:r>
      <w:r>
        <w:rPr>
          <w:sz w:val="21"/>
        </w:rPr>
        <w:t>with</w:t>
      </w:r>
      <w:r>
        <w:rPr>
          <w:spacing w:val="-11"/>
          <w:sz w:val="21"/>
        </w:rPr>
        <w:t> </w:t>
      </w:r>
      <w:r>
        <w:rPr>
          <w:sz w:val="21"/>
        </w:rPr>
        <w:t>providing</w:t>
      </w:r>
      <w:r>
        <w:rPr>
          <w:spacing w:val="-11"/>
          <w:sz w:val="21"/>
        </w:rPr>
        <w:t> </w:t>
      </w:r>
      <w:r>
        <w:rPr>
          <w:sz w:val="21"/>
        </w:rPr>
        <w:t>access</w:t>
      </w:r>
      <w:r>
        <w:rPr>
          <w:spacing w:val="-11"/>
          <w:sz w:val="21"/>
        </w:rPr>
        <w:t> </w:t>
      </w:r>
      <w:r>
        <w:rPr>
          <w:sz w:val="21"/>
        </w:rPr>
        <w:t>to</w:t>
      </w:r>
      <w:r>
        <w:rPr>
          <w:spacing w:val="-11"/>
          <w:sz w:val="21"/>
        </w:rPr>
        <w:t> </w:t>
      </w:r>
      <w:r>
        <w:rPr>
          <w:sz w:val="21"/>
        </w:rPr>
        <w:t>services</w:t>
      </w:r>
      <w:r>
        <w:rPr>
          <w:spacing w:val="-11"/>
          <w:sz w:val="21"/>
        </w:rPr>
        <w:t> </w:t>
      </w:r>
      <w:r>
        <w:rPr>
          <w:sz w:val="21"/>
        </w:rPr>
        <w:t>and</w:t>
      </w:r>
      <w:r>
        <w:rPr>
          <w:spacing w:val="-10"/>
          <w:sz w:val="21"/>
        </w:rPr>
        <w:t> </w:t>
      </w:r>
      <w:r>
        <w:rPr>
          <w:sz w:val="21"/>
        </w:rPr>
        <w:t>support</w:t>
      </w:r>
      <w:r>
        <w:rPr>
          <w:spacing w:val="-10"/>
          <w:sz w:val="21"/>
        </w:rPr>
        <w:t> </w:t>
      </w:r>
      <w:r>
        <w:rPr>
          <w:sz w:val="21"/>
        </w:rPr>
        <w:t>for</w:t>
      </w:r>
      <w:r>
        <w:rPr>
          <w:spacing w:val="-10"/>
          <w:sz w:val="21"/>
        </w:rPr>
        <w:t> </w:t>
      </w:r>
      <w:r>
        <w:rPr>
          <w:sz w:val="21"/>
        </w:rPr>
        <w:t>the</w:t>
      </w:r>
      <w:r>
        <w:rPr>
          <w:spacing w:val="-10"/>
          <w:sz w:val="21"/>
        </w:rPr>
        <w:t> </w:t>
      </w:r>
      <w:r>
        <w:rPr>
          <w:sz w:val="21"/>
        </w:rPr>
        <w:t>mental health needs of individuals of all ages in Massachusetts. DMH oversees a number of programs and initiatives that</w:t>
      </w:r>
      <w:r>
        <w:rPr>
          <w:spacing w:val="-12"/>
          <w:sz w:val="21"/>
        </w:rPr>
        <w:t> </w:t>
      </w:r>
      <w:r>
        <w:rPr>
          <w:sz w:val="21"/>
        </w:rPr>
        <w:t>directly</w:t>
      </w:r>
      <w:r>
        <w:rPr>
          <w:spacing w:val="-12"/>
          <w:sz w:val="21"/>
        </w:rPr>
        <w:t> </w:t>
      </w:r>
      <w:r>
        <w:rPr>
          <w:sz w:val="21"/>
        </w:rPr>
        <w:t>and</w:t>
      </w:r>
      <w:r>
        <w:rPr>
          <w:spacing w:val="-12"/>
          <w:sz w:val="21"/>
        </w:rPr>
        <w:t> </w:t>
      </w:r>
      <w:r>
        <w:rPr>
          <w:sz w:val="21"/>
        </w:rPr>
        <w:t>indirectly</w:t>
      </w:r>
      <w:r>
        <w:rPr>
          <w:spacing w:val="-12"/>
          <w:sz w:val="21"/>
        </w:rPr>
        <w:t> </w:t>
      </w:r>
      <w:r>
        <w:rPr>
          <w:sz w:val="21"/>
        </w:rPr>
        <w:t>affect</w:t>
      </w:r>
      <w:r>
        <w:rPr>
          <w:spacing w:val="-12"/>
          <w:sz w:val="21"/>
        </w:rPr>
        <w:t> </w:t>
      </w:r>
      <w:r>
        <w:rPr>
          <w:sz w:val="21"/>
        </w:rPr>
        <w:t>LGBTQ</w:t>
      </w:r>
      <w:r>
        <w:rPr>
          <w:spacing w:val="-12"/>
          <w:sz w:val="21"/>
        </w:rPr>
        <w:t> </w:t>
      </w:r>
      <w:r>
        <w:rPr>
          <w:sz w:val="21"/>
        </w:rPr>
        <w:t>youth,</w:t>
      </w:r>
      <w:r>
        <w:rPr>
          <w:spacing w:val="-12"/>
          <w:sz w:val="21"/>
        </w:rPr>
        <w:t> </w:t>
      </w:r>
      <w:r>
        <w:rPr>
          <w:sz w:val="21"/>
        </w:rPr>
        <w:t>including</w:t>
      </w:r>
      <w:r>
        <w:rPr>
          <w:spacing w:val="-11"/>
          <w:sz w:val="21"/>
        </w:rPr>
        <w:t> </w:t>
      </w:r>
      <w:r>
        <w:rPr>
          <w:sz w:val="21"/>
        </w:rPr>
        <w:t>residential</w:t>
      </w:r>
      <w:r>
        <w:rPr>
          <w:spacing w:val="-12"/>
          <w:sz w:val="21"/>
        </w:rPr>
        <w:t> </w:t>
      </w:r>
      <w:r>
        <w:rPr>
          <w:sz w:val="21"/>
        </w:rPr>
        <w:t>placements</w:t>
      </w:r>
      <w:r>
        <w:rPr>
          <w:spacing w:val="-12"/>
          <w:sz w:val="21"/>
        </w:rPr>
        <w:t> </w:t>
      </w:r>
      <w:r>
        <w:rPr>
          <w:sz w:val="21"/>
        </w:rPr>
        <w:t>and</w:t>
      </w:r>
      <w:r>
        <w:rPr>
          <w:spacing w:val="-12"/>
          <w:sz w:val="21"/>
        </w:rPr>
        <w:t> </w:t>
      </w:r>
      <w:r>
        <w:rPr>
          <w:sz w:val="21"/>
        </w:rPr>
        <w:t>the</w:t>
      </w:r>
      <w:r>
        <w:rPr>
          <w:spacing w:val="-12"/>
          <w:sz w:val="21"/>
        </w:rPr>
        <w:t> </w:t>
      </w:r>
      <w:r>
        <w:rPr>
          <w:sz w:val="21"/>
        </w:rPr>
        <w:t>Transitional</w:t>
      </w:r>
      <w:r>
        <w:rPr>
          <w:spacing w:val="-12"/>
          <w:sz w:val="21"/>
        </w:rPr>
        <w:t> </w:t>
      </w:r>
      <w:r>
        <w:rPr>
          <w:sz w:val="21"/>
        </w:rPr>
        <w:t>Age</w:t>
      </w:r>
      <w:r>
        <w:rPr>
          <w:spacing w:val="-12"/>
          <w:sz w:val="21"/>
        </w:rPr>
        <w:t> </w:t>
      </w:r>
      <w:r>
        <w:rPr>
          <w:sz w:val="21"/>
        </w:rPr>
        <w:t>Youth (TAY) Initiative.</w:t>
      </w:r>
    </w:p>
    <w:p>
      <w:pPr>
        <w:spacing w:line="276" w:lineRule="auto" w:before="240"/>
        <w:ind w:left="483" w:right="339" w:firstLine="0"/>
        <w:jc w:val="both"/>
        <w:rPr>
          <w:sz w:val="21"/>
        </w:rPr>
      </w:pPr>
      <w:r>
        <w:rPr>
          <w:sz w:val="21"/>
        </w:rPr>
        <w:t>As</w:t>
      </w:r>
      <w:r>
        <w:rPr>
          <w:spacing w:val="-2"/>
          <w:sz w:val="21"/>
        </w:rPr>
        <w:t> </w:t>
      </w:r>
      <w:r>
        <w:rPr>
          <w:sz w:val="21"/>
        </w:rPr>
        <w:t>discussed</w:t>
      </w:r>
      <w:r>
        <w:rPr>
          <w:spacing w:val="-2"/>
          <w:sz w:val="21"/>
        </w:rPr>
        <w:t> </w:t>
      </w:r>
      <w:r>
        <w:rPr>
          <w:sz w:val="21"/>
        </w:rPr>
        <w:t>in</w:t>
      </w:r>
      <w:r>
        <w:rPr>
          <w:spacing w:val="-2"/>
          <w:sz w:val="21"/>
        </w:rPr>
        <w:t> </w:t>
      </w:r>
      <w:r>
        <w:rPr>
          <w:sz w:val="21"/>
        </w:rPr>
        <w:t>detail</w:t>
      </w:r>
      <w:r>
        <w:rPr>
          <w:spacing w:val="-2"/>
          <w:sz w:val="21"/>
        </w:rPr>
        <w:t> </w:t>
      </w:r>
      <w:r>
        <w:rPr>
          <w:sz w:val="21"/>
        </w:rPr>
        <w:t>throughout</w:t>
      </w:r>
      <w:r>
        <w:rPr>
          <w:spacing w:val="-2"/>
          <w:sz w:val="21"/>
        </w:rPr>
        <w:t> </w:t>
      </w:r>
      <w:r>
        <w:rPr>
          <w:sz w:val="21"/>
        </w:rPr>
        <w:t>this</w:t>
      </w:r>
      <w:r>
        <w:rPr>
          <w:spacing w:val="-2"/>
          <w:sz w:val="21"/>
        </w:rPr>
        <w:t> </w:t>
      </w:r>
      <w:r>
        <w:rPr>
          <w:sz w:val="21"/>
        </w:rPr>
        <w:t>annual</w:t>
      </w:r>
      <w:r>
        <w:rPr>
          <w:spacing w:val="-2"/>
          <w:sz w:val="21"/>
        </w:rPr>
        <w:t> </w:t>
      </w:r>
      <w:r>
        <w:rPr>
          <w:sz w:val="21"/>
        </w:rPr>
        <w:t>report,</w:t>
      </w:r>
      <w:r>
        <w:rPr>
          <w:spacing w:val="-3"/>
          <w:sz w:val="21"/>
        </w:rPr>
        <w:t> </w:t>
      </w:r>
      <w:r>
        <w:rPr>
          <w:sz w:val="21"/>
        </w:rPr>
        <w:t>LGBTQ</w:t>
      </w:r>
      <w:r>
        <w:rPr>
          <w:spacing w:val="-2"/>
          <w:sz w:val="21"/>
        </w:rPr>
        <w:t> </w:t>
      </w:r>
      <w:r>
        <w:rPr>
          <w:sz w:val="21"/>
        </w:rPr>
        <w:t>youth</w:t>
      </w:r>
      <w:r>
        <w:rPr>
          <w:spacing w:val="-2"/>
          <w:sz w:val="21"/>
        </w:rPr>
        <w:t> </w:t>
      </w:r>
      <w:r>
        <w:rPr>
          <w:sz w:val="21"/>
        </w:rPr>
        <w:t>are</w:t>
      </w:r>
      <w:r>
        <w:rPr>
          <w:spacing w:val="-3"/>
          <w:sz w:val="21"/>
        </w:rPr>
        <w:t> </w:t>
      </w:r>
      <w:r>
        <w:rPr>
          <w:sz w:val="21"/>
        </w:rPr>
        <w:t>in</w:t>
      </w:r>
      <w:r>
        <w:rPr>
          <w:spacing w:val="-2"/>
          <w:sz w:val="21"/>
        </w:rPr>
        <w:t> </w:t>
      </w:r>
      <w:r>
        <w:rPr>
          <w:sz w:val="21"/>
        </w:rPr>
        <w:t>crisis.</w:t>
      </w:r>
      <w:r>
        <w:rPr>
          <w:spacing w:val="-2"/>
          <w:sz w:val="21"/>
        </w:rPr>
        <w:t> </w:t>
      </w:r>
      <w:r>
        <w:rPr>
          <w:sz w:val="21"/>
        </w:rPr>
        <w:t>Across</w:t>
      </w:r>
      <w:r>
        <w:rPr>
          <w:spacing w:val="-3"/>
          <w:sz w:val="21"/>
        </w:rPr>
        <w:t> </w:t>
      </w:r>
      <w:r>
        <w:rPr>
          <w:sz w:val="21"/>
        </w:rPr>
        <w:t>the</w:t>
      </w:r>
      <w:r>
        <w:rPr>
          <w:spacing w:val="-2"/>
          <w:sz w:val="21"/>
        </w:rPr>
        <w:t> </w:t>
      </w:r>
      <w:r>
        <w:rPr>
          <w:sz w:val="21"/>
        </w:rPr>
        <w:t>nation,</w:t>
      </w:r>
      <w:r>
        <w:rPr>
          <w:spacing w:val="-3"/>
          <w:sz w:val="21"/>
        </w:rPr>
        <w:t> </w:t>
      </w:r>
      <w:r>
        <w:rPr>
          <w:sz w:val="21"/>
        </w:rPr>
        <w:t>a</w:t>
      </w:r>
      <w:r>
        <w:rPr>
          <w:spacing w:val="-2"/>
          <w:sz w:val="21"/>
        </w:rPr>
        <w:t> </w:t>
      </w:r>
      <w:r>
        <w:rPr>
          <w:sz w:val="21"/>
        </w:rPr>
        <w:t>barrage</w:t>
      </w:r>
      <w:r>
        <w:rPr>
          <w:spacing w:val="-2"/>
          <w:sz w:val="21"/>
        </w:rPr>
        <w:t> </w:t>
      </w:r>
      <w:r>
        <w:rPr>
          <w:sz w:val="21"/>
        </w:rPr>
        <w:t>of anti-trans and racist policies have critically impacted youths’ well-being, with 90% of LGBTQ youth reporting that the anti-trans rhetoric is significantly impacting their mental health. Unfortunately, for years, access to affirming mental health care has been sparse, and 1 in 2 LGBTQ youth who wanted mental health care in Massachusetts</w:t>
      </w:r>
      <w:r>
        <w:rPr>
          <w:spacing w:val="-9"/>
          <w:sz w:val="21"/>
        </w:rPr>
        <w:t> </w:t>
      </w:r>
      <w:r>
        <w:rPr>
          <w:sz w:val="21"/>
        </w:rPr>
        <w:t>in</w:t>
      </w:r>
      <w:r>
        <w:rPr>
          <w:spacing w:val="-9"/>
          <w:sz w:val="21"/>
        </w:rPr>
        <w:t> </w:t>
      </w:r>
      <w:r>
        <w:rPr>
          <w:sz w:val="21"/>
        </w:rPr>
        <w:t>the</w:t>
      </w:r>
      <w:r>
        <w:rPr>
          <w:spacing w:val="-10"/>
          <w:sz w:val="21"/>
        </w:rPr>
        <w:t> </w:t>
      </w:r>
      <w:r>
        <w:rPr>
          <w:sz w:val="21"/>
        </w:rPr>
        <w:t>past</w:t>
      </w:r>
      <w:r>
        <w:rPr>
          <w:spacing w:val="-10"/>
          <w:sz w:val="21"/>
        </w:rPr>
        <w:t> </w:t>
      </w:r>
      <w:r>
        <w:rPr>
          <w:sz w:val="21"/>
        </w:rPr>
        <w:t>year</w:t>
      </w:r>
      <w:r>
        <w:rPr>
          <w:spacing w:val="-9"/>
          <w:sz w:val="21"/>
        </w:rPr>
        <w:t> </w:t>
      </w:r>
      <w:r>
        <w:rPr>
          <w:sz w:val="21"/>
        </w:rPr>
        <w:t>were</w:t>
      </w:r>
      <w:r>
        <w:rPr>
          <w:spacing w:val="-9"/>
          <w:sz w:val="21"/>
        </w:rPr>
        <w:t> </w:t>
      </w:r>
      <w:r>
        <w:rPr>
          <w:sz w:val="21"/>
        </w:rPr>
        <w:t>unable</w:t>
      </w:r>
      <w:r>
        <w:rPr>
          <w:spacing w:val="-9"/>
          <w:sz w:val="21"/>
        </w:rPr>
        <w:t> </w:t>
      </w:r>
      <w:r>
        <w:rPr>
          <w:sz w:val="21"/>
        </w:rPr>
        <w:t>to</w:t>
      </w:r>
      <w:r>
        <w:rPr>
          <w:spacing w:val="-9"/>
          <w:sz w:val="21"/>
        </w:rPr>
        <w:t> </w:t>
      </w:r>
      <w:r>
        <w:rPr>
          <w:sz w:val="21"/>
        </w:rPr>
        <w:t>access</w:t>
      </w:r>
      <w:r>
        <w:rPr>
          <w:spacing w:val="-9"/>
          <w:sz w:val="21"/>
        </w:rPr>
        <w:t> </w:t>
      </w:r>
      <w:r>
        <w:rPr>
          <w:sz w:val="21"/>
        </w:rPr>
        <w:t>care</w:t>
      </w:r>
      <w:hyperlink w:history="true" w:anchor="_bookmark634">
        <w:r>
          <w:rPr>
            <w:sz w:val="21"/>
          </w:rPr>
          <w:t>.</w:t>
        </w:r>
        <w:r>
          <w:rPr>
            <w:sz w:val="21"/>
            <w:vertAlign w:val="superscript"/>
          </w:rPr>
          <w:t>1</w:t>
        </w:r>
      </w:hyperlink>
      <w:r>
        <w:rPr>
          <w:spacing w:val="-9"/>
          <w:sz w:val="21"/>
          <w:vertAlign w:val="baseline"/>
        </w:rPr>
        <w:t> </w:t>
      </w:r>
      <w:r>
        <w:rPr>
          <w:sz w:val="21"/>
          <w:vertAlign w:val="baseline"/>
        </w:rPr>
        <w:t>The</w:t>
      </w:r>
      <w:r>
        <w:rPr>
          <w:spacing w:val="-9"/>
          <w:sz w:val="21"/>
          <w:vertAlign w:val="baseline"/>
        </w:rPr>
        <w:t> </w:t>
      </w:r>
      <w:r>
        <w:rPr>
          <w:sz w:val="21"/>
          <w:vertAlign w:val="baseline"/>
        </w:rPr>
        <w:t>Commission</w:t>
      </w:r>
      <w:r>
        <w:rPr>
          <w:spacing w:val="-9"/>
          <w:sz w:val="21"/>
          <w:vertAlign w:val="baseline"/>
        </w:rPr>
        <w:t> </w:t>
      </w:r>
      <w:r>
        <w:rPr>
          <w:sz w:val="21"/>
          <w:vertAlign w:val="baseline"/>
        </w:rPr>
        <w:t>is</w:t>
      </w:r>
      <w:r>
        <w:rPr>
          <w:spacing w:val="-9"/>
          <w:sz w:val="21"/>
          <w:vertAlign w:val="baseline"/>
        </w:rPr>
        <w:t> </w:t>
      </w:r>
      <w:r>
        <w:rPr>
          <w:sz w:val="21"/>
          <w:vertAlign w:val="baseline"/>
        </w:rPr>
        <w:t>incredibly</w:t>
      </w:r>
      <w:r>
        <w:rPr>
          <w:spacing w:val="-9"/>
          <w:sz w:val="21"/>
          <w:vertAlign w:val="baseline"/>
        </w:rPr>
        <w:t> </w:t>
      </w:r>
      <w:r>
        <w:rPr>
          <w:sz w:val="21"/>
          <w:vertAlign w:val="baseline"/>
        </w:rPr>
        <w:t>concerned</w:t>
      </w:r>
      <w:r>
        <w:rPr>
          <w:spacing w:val="-9"/>
          <w:sz w:val="21"/>
          <w:vertAlign w:val="baseline"/>
        </w:rPr>
        <w:t> </w:t>
      </w:r>
      <w:r>
        <w:rPr>
          <w:sz w:val="21"/>
          <w:vertAlign w:val="baseline"/>
        </w:rPr>
        <w:t>about</w:t>
      </w:r>
      <w:r>
        <w:rPr>
          <w:spacing w:val="-10"/>
          <w:sz w:val="21"/>
          <w:vertAlign w:val="baseline"/>
        </w:rPr>
        <w:t> </w:t>
      </w:r>
      <w:r>
        <w:rPr>
          <w:sz w:val="21"/>
          <w:vertAlign w:val="baseline"/>
        </w:rPr>
        <w:t>the state</w:t>
      </w:r>
      <w:r>
        <w:rPr>
          <w:spacing w:val="-7"/>
          <w:sz w:val="21"/>
          <w:vertAlign w:val="baseline"/>
        </w:rPr>
        <w:t> </w:t>
      </w:r>
      <w:r>
        <w:rPr>
          <w:sz w:val="21"/>
          <w:vertAlign w:val="baseline"/>
        </w:rPr>
        <w:t>of</w:t>
      </w:r>
      <w:r>
        <w:rPr>
          <w:spacing w:val="-7"/>
          <w:sz w:val="21"/>
          <w:vertAlign w:val="baseline"/>
        </w:rPr>
        <w:t> </w:t>
      </w:r>
      <w:r>
        <w:rPr>
          <w:sz w:val="21"/>
          <w:vertAlign w:val="baseline"/>
        </w:rPr>
        <w:t>well-being</w:t>
      </w:r>
      <w:r>
        <w:rPr>
          <w:spacing w:val="-7"/>
          <w:sz w:val="21"/>
          <w:vertAlign w:val="baseline"/>
        </w:rPr>
        <w:t> </w:t>
      </w:r>
      <w:r>
        <w:rPr>
          <w:sz w:val="21"/>
          <w:vertAlign w:val="baseline"/>
        </w:rPr>
        <w:t>for</w:t>
      </w:r>
      <w:r>
        <w:rPr>
          <w:spacing w:val="-7"/>
          <w:sz w:val="21"/>
          <w:vertAlign w:val="baseline"/>
        </w:rPr>
        <w:t> </w:t>
      </w:r>
      <w:r>
        <w:rPr>
          <w:sz w:val="21"/>
          <w:vertAlign w:val="baseline"/>
        </w:rPr>
        <w:t>youth</w:t>
      </w:r>
      <w:r>
        <w:rPr>
          <w:spacing w:val="-5"/>
          <w:sz w:val="21"/>
          <w:vertAlign w:val="baseline"/>
        </w:rPr>
        <w:t> </w:t>
      </w:r>
      <w:r>
        <w:rPr>
          <w:sz w:val="21"/>
          <w:vertAlign w:val="baseline"/>
        </w:rPr>
        <w:t>in</w:t>
      </w:r>
      <w:r>
        <w:rPr>
          <w:spacing w:val="-7"/>
          <w:sz w:val="21"/>
          <w:vertAlign w:val="baseline"/>
        </w:rPr>
        <w:t> </w:t>
      </w:r>
      <w:r>
        <w:rPr>
          <w:sz w:val="21"/>
          <w:vertAlign w:val="baseline"/>
        </w:rPr>
        <w:t>the</w:t>
      </w:r>
      <w:r>
        <w:rPr>
          <w:spacing w:val="-7"/>
          <w:sz w:val="21"/>
          <w:vertAlign w:val="baseline"/>
        </w:rPr>
        <w:t> </w:t>
      </w:r>
      <w:r>
        <w:rPr>
          <w:sz w:val="21"/>
          <w:vertAlign w:val="baseline"/>
        </w:rPr>
        <w:t>Commonwealth,</w:t>
      </w:r>
      <w:r>
        <w:rPr>
          <w:spacing w:val="-6"/>
          <w:sz w:val="21"/>
          <w:vertAlign w:val="baseline"/>
        </w:rPr>
        <w:t> </w:t>
      </w:r>
      <w:r>
        <w:rPr>
          <w:sz w:val="21"/>
          <w:vertAlign w:val="baseline"/>
        </w:rPr>
        <w:t>particularly</w:t>
      </w:r>
      <w:r>
        <w:rPr>
          <w:spacing w:val="-7"/>
          <w:sz w:val="21"/>
          <w:vertAlign w:val="baseline"/>
        </w:rPr>
        <w:t> </w:t>
      </w:r>
      <w:r>
        <w:rPr>
          <w:sz w:val="21"/>
          <w:vertAlign w:val="baseline"/>
        </w:rPr>
        <w:t>for</w:t>
      </w:r>
      <w:r>
        <w:rPr>
          <w:spacing w:val="-7"/>
          <w:sz w:val="21"/>
          <w:vertAlign w:val="baseline"/>
        </w:rPr>
        <w:t> </w:t>
      </w:r>
      <w:r>
        <w:rPr>
          <w:sz w:val="21"/>
          <w:vertAlign w:val="baseline"/>
        </w:rPr>
        <w:t>often</w:t>
      </w:r>
      <w:r>
        <w:rPr>
          <w:spacing w:val="-7"/>
          <w:sz w:val="21"/>
          <w:vertAlign w:val="baseline"/>
        </w:rPr>
        <w:t> </w:t>
      </w:r>
      <w:r>
        <w:rPr>
          <w:sz w:val="21"/>
          <w:vertAlign w:val="baseline"/>
        </w:rPr>
        <w:t>underserved</w:t>
      </w:r>
      <w:r>
        <w:rPr>
          <w:spacing w:val="-7"/>
          <w:sz w:val="21"/>
          <w:vertAlign w:val="baseline"/>
        </w:rPr>
        <w:t> </w:t>
      </w:r>
      <w:r>
        <w:rPr>
          <w:sz w:val="21"/>
          <w:vertAlign w:val="baseline"/>
        </w:rPr>
        <w:t>QTBIPOC</w:t>
      </w:r>
      <w:r>
        <w:rPr>
          <w:spacing w:val="-7"/>
          <w:sz w:val="21"/>
          <w:vertAlign w:val="baseline"/>
        </w:rPr>
        <w:t> </w:t>
      </w:r>
      <w:r>
        <w:rPr>
          <w:sz w:val="21"/>
          <w:vertAlign w:val="baseline"/>
        </w:rPr>
        <w:t>communities, and</w:t>
      </w:r>
      <w:r>
        <w:rPr>
          <w:spacing w:val="-12"/>
          <w:sz w:val="21"/>
          <w:vertAlign w:val="baseline"/>
        </w:rPr>
        <w:t> </w:t>
      </w:r>
      <w:r>
        <w:rPr>
          <w:sz w:val="21"/>
          <w:vertAlign w:val="baseline"/>
        </w:rPr>
        <w:t>youth</w:t>
      </w:r>
      <w:r>
        <w:rPr>
          <w:spacing w:val="-12"/>
          <w:sz w:val="21"/>
          <w:vertAlign w:val="baseline"/>
        </w:rPr>
        <w:t> </w:t>
      </w:r>
      <w:r>
        <w:rPr>
          <w:sz w:val="21"/>
          <w:vertAlign w:val="baseline"/>
        </w:rPr>
        <w:t>in</w:t>
      </w:r>
      <w:r>
        <w:rPr>
          <w:spacing w:val="-12"/>
          <w:sz w:val="21"/>
          <w:vertAlign w:val="baseline"/>
        </w:rPr>
        <w:t> </w:t>
      </w:r>
      <w:r>
        <w:rPr>
          <w:sz w:val="21"/>
          <w:vertAlign w:val="baseline"/>
        </w:rPr>
        <w:t>state</w:t>
      </w:r>
      <w:r>
        <w:rPr>
          <w:spacing w:val="-12"/>
          <w:sz w:val="21"/>
          <w:vertAlign w:val="baseline"/>
        </w:rPr>
        <w:t> </w:t>
      </w:r>
      <w:r>
        <w:rPr>
          <w:sz w:val="21"/>
          <w:vertAlign w:val="baseline"/>
        </w:rPr>
        <w:t>systems.</w:t>
      </w:r>
      <w:r>
        <w:rPr>
          <w:spacing w:val="-12"/>
          <w:sz w:val="21"/>
          <w:vertAlign w:val="baseline"/>
        </w:rPr>
        <w:t> </w:t>
      </w:r>
      <w:r>
        <w:rPr>
          <w:sz w:val="21"/>
          <w:vertAlign w:val="baseline"/>
        </w:rPr>
        <w:t>The</w:t>
      </w:r>
      <w:r>
        <w:rPr>
          <w:spacing w:val="-12"/>
          <w:sz w:val="21"/>
          <w:vertAlign w:val="baseline"/>
        </w:rPr>
        <w:t> </w:t>
      </w:r>
      <w:r>
        <w:rPr>
          <w:sz w:val="21"/>
          <w:vertAlign w:val="baseline"/>
        </w:rPr>
        <w:t>Commission</w:t>
      </w:r>
      <w:r>
        <w:rPr>
          <w:spacing w:val="-12"/>
          <w:sz w:val="21"/>
          <w:vertAlign w:val="baseline"/>
        </w:rPr>
        <w:t> </w:t>
      </w:r>
      <w:r>
        <w:rPr>
          <w:sz w:val="21"/>
          <w:vertAlign w:val="baseline"/>
        </w:rPr>
        <w:t>sincerely</w:t>
      </w:r>
      <w:r>
        <w:rPr>
          <w:spacing w:val="-11"/>
          <w:sz w:val="21"/>
          <w:vertAlign w:val="baseline"/>
        </w:rPr>
        <w:t> </w:t>
      </w:r>
      <w:r>
        <w:rPr>
          <w:sz w:val="21"/>
          <w:vertAlign w:val="baseline"/>
        </w:rPr>
        <w:t>appreciates</w:t>
      </w:r>
      <w:r>
        <w:rPr>
          <w:spacing w:val="-12"/>
          <w:sz w:val="21"/>
          <w:vertAlign w:val="baseline"/>
        </w:rPr>
        <w:t> </w:t>
      </w:r>
      <w:r>
        <w:rPr>
          <w:sz w:val="21"/>
          <w:vertAlign w:val="baseline"/>
        </w:rPr>
        <w:t>DMH’s</w:t>
      </w:r>
      <w:r>
        <w:rPr>
          <w:spacing w:val="-12"/>
          <w:sz w:val="21"/>
          <w:vertAlign w:val="baseline"/>
        </w:rPr>
        <w:t> </w:t>
      </w:r>
      <w:r>
        <w:rPr>
          <w:sz w:val="21"/>
          <w:vertAlign w:val="baseline"/>
        </w:rPr>
        <w:t>ongoing</w:t>
      </w:r>
      <w:r>
        <w:rPr>
          <w:spacing w:val="-12"/>
          <w:sz w:val="21"/>
          <w:vertAlign w:val="baseline"/>
        </w:rPr>
        <w:t> </w:t>
      </w:r>
      <w:r>
        <w:rPr>
          <w:sz w:val="21"/>
          <w:vertAlign w:val="baseline"/>
        </w:rPr>
        <w:t>commitment</w:t>
      </w:r>
      <w:r>
        <w:rPr>
          <w:spacing w:val="-12"/>
          <w:sz w:val="21"/>
          <w:vertAlign w:val="baseline"/>
        </w:rPr>
        <w:t> </w:t>
      </w:r>
      <w:r>
        <w:rPr>
          <w:sz w:val="21"/>
          <w:vertAlign w:val="baseline"/>
        </w:rPr>
        <w:t>to</w:t>
      </w:r>
      <w:r>
        <w:rPr>
          <w:spacing w:val="-12"/>
          <w:sz w:val="21"/>
          <w:vertAlign w:val="baseline"/>
        </w:rPr>
        <w:t> </w:t>
      </w:r>
      <w:r>
        <w:rPr>
          <w:sz w:val="21"/>
          <w:vertAlign w:val="baseline"/>
        </w:rPr>
        <w:t>offer</w:t>
      </w:r>
      <w:r>
        <w:rPr>
          <w:spacing w:val="-12"/>
          <w:sz w:val="21"/>
          <w:vertAlign w:val="baseline"/>
        </w:rPr>
        <w:t> </w:t>
      </w:r>
      <w:r>
        <w:rPr>
          <w:sz w:val="21"/>
          <w:vertAlign w:val="baseline"/>
        </w:rPr>
        <w:t>greater support</w:t>
      </w:r>
      <w:r>
        <w:rPr>
          <w:spacing w:val="-8"/>
          <w:sz w:val="21"/>
          <w:vertAlign w:val="baseline"/>
        </w:rPr>
        <w:t> </w:t>
      </w:r>
      <w:r>
        <w:rPr>
          <w:sz w:val="21"/>
          <w:vertAlign w:val="baseline"/>
        </w:rPr>
        <w:t>and</w:t>
      </w:r>
      <w:r>
        <w:rPr>
          <w:spacing w:val="-8"/>
          <w:sz w:val="21"/>
          <w:vertAlign w:val="baseline"/>
        </w:rPr>
        <w:t> </w:t>
      </w:r>
      <w:r>
        <w:rPr>
          <w:sz w:val="21"/>
          <w:vertAlign w:val="baseline"/>
        </w:rPr>
        <w:t>services</w:t>
      </w:r>
      <w:r>
        <w:rPr>
          <w:spacing w:val="-9"/>
          <w:sz w:val="21"/>
          <w:vertAlign w:val="baseline"/>
        </w:rPr>
        <w:t> </w:t>
      </w:r>
      <w:r>
        <w:rPr>
          <w:sz w:val="21"/>
          <w:vertAlign w:val="baseline"/>
        </w:rPr>
        <w:t>for</w:t>
      </w:r>
      <w:r>
        <w:rPr>
          <w:spacing w:val="-8"/>
          <w:sz w:val="21"/>
          <w:vertAlign w:val="baseline"/>
        </w:rPr>
        <w:t> </w:t>
      </w:r>
      <w:r>
        <w:rPr>
          <w:sz w:val="21"/>
          <w:vertAlign w:val="baseline"/>
        </w:rPr>
        <w:t>LGBTQ</w:t>
      </w:r>
      <w:r>
        <w:rPr>
          <w:spacing w:val="-8"/>
          <w:sz w:val="21"/>
          <w:vertAlign w:val="baseline"/>
        </w:rPr>
        <w:t> </w:t>
      </w:r>
      <w:r>
        <w:rPr>
          <w:sz w:val="21"/>
          <w:vertAlign w:val="baseline"/>
        </w:rPr>
        <w:t>communities</w:t>
      </w:r>
      <w:r>
        <w:rPr>
          <w:spacing w:val="-8"/>
          <w:sz w:val="21"/>
          <w:vertAlign w:val="baseline"/>
        </w:rPr>
        <w:t> </w:t>
      </w:r>
      <w:r>
        <w:rPr>
          <w:sz w:val="21"/>
          <w:vertAlign w:val="baseline"/>
        </w:rPr>
        <w:t>across</w:t>
      </w:r>
      <w:r>
        <w:rPr>
          <w:spacing w:val="-8"/>
          <w:sz w:val="21"/>
          <w:vertAlign w:val="baseline"/>
        </w:rPr>
        <w:t> </w:t>
      </w:r>
      <w:r>
        <w:rPr>
          <w:sz w:val="21"/>
          <w:vertAlign w:val="baseline"/>
        </w:rPr>
        <w:t>the</w:t>
      </w:r>
      <w:r>
        <w:rPr>
          <w:spacing w:val="-7"/>
          <w:sz w:val="21"/>
          <w:vertAlign w:val="baseline"/>
        </w:rPr>
        <w:t> </w:t>
      </w:r>
      <w:r>
        <w:rPr>
          <w:sz w:val="21"/>
          <w:vertAlign w:val="baseline"/>
        </w:rPr>
        <w:t>state</w:t>
      </w:r>
      <w:r>
        <w:rPr>
          <w:spacing w:val="-8"/>
          <w:sz w:val="21"/>
          <w:vertAlign w:val="baseline"/>
        </w:rPr>
        <w:t> </w:t>
      </w:r>
      <w:r>
        <w:rPr>
          <w:sz w:val="21"/>
          <w:vertAlign w:val="baseline"/>
        </w:rPr>
        <w:t>and</w:t>
      </w:r>
      <w:r>
        <w:rPr>
          <w:spacing w:val="-8"/>
          <w:sz w:val="21"/>
          <w:vertAlign w:val="baseline"/>
        </w:rPr>
        <w:t> </w:t>
      </w:r>
      <w:r>
        <w:rPr>
          <w:sz w:val="21"/>
          <w:vertAlign w:val="baseline"/>
        </w:rPr>
        <w:t>looks</w:t>
      </w:r>
      <w:r>
        <w:rPr>
          <w:spacing w:val="-8"/>
          <w:sz w:val="21"/>
          <w:vertAlign w:val="baseline"/>
        </w:rPr>
        <w:t> </w:t>
      </w:r>
      <w:r>
        <w:rPr>
          <w:sz w:val="21"/>
          <w:vertAlign w:val="baseline"/>
        </w:rPr>
        <w:t>forward</w:t>
      </w:r>
      <w:r>
        <w:rPr>
          <w:spacing w:val="-8"/>
          <w:sz w:val="21"/>
          <w:vertAlign w:val="baseline"/>
        </w:rPr>
        <w:t> </w:t>
      </w:r>
      <w:r>
        <w:rPr>
          <w:sz w:val="21"/>
          <w:vertAlign w:val="baseline"/>
        </w:rPr>
        <w:t>to</w:t>
      </w:r>
      <w:r>
        <w:rPr>
          <w:spacing w:val="-8"/>
          <w:sz w:val="21"/>
          <w:vertAlign w:val="baseline"/>
        </w:rPr>
        <w:t> </w:t>
      </w:r>
      <w:r>
        <w:rPr>
          <w:sz w:val="21"/>
          <w:vertAlign w:val="baseline"/>
        </w:rPr>
        <w:t>continuing</w:t>
      </w:r>
      <w:r>
        <w:rPr>
          <w:spacing w:val="-8"/>
          <w:sz w:val="21"/>
          <w:vertAlign w:val="baseline"/>
        </w:rPr>
        <w:t> </w:t>
      </w:r>
      <w:r>
        <w:rPr>
          <w:sz w:val="21"/>
          <w:vertAlign w:val="baseline"/>
        </w:rPr>
        <w:t>its</w:t>
      </w:r>
      <w:r>
        <w:rPr>
          <w:spacing w:val="-9"/>
          <w:sz w:val="21"/>
          <w:vertAlign w:val="baseline"/>
        </w:rPr>
        <w:t> </w:t>
      </w:r>
      <w:r>
        <w:rPr>
          <w:sz w:val="21"/>
          <w:vertAlign w:val="baseline"/>
        </w:rPr>
        <w:t>collaboration in FY 2025.</w:t>
      </w:r>
    </w:p>
    <w:p>
      <w:pPr>
        <w:spacing w:after="0" w:line="276" w:lineRule="auto"/>
        <w:jc w:val="both"/>
        <w:rPr>
          <w:sz w:val="21"/>
        </w:rPr>
        <w:sectPr>
          <w:headerReference w:type="default" r:id="rId739"/>
          <w:footerReference w:type="default" r:id="rId740"/>
          <w:pgSz w:w="12240" w:h="15840"/>
          <w:pgMar w:header="804" w:footer="1263" w:top="1000" w:bottom="1460" w:left="960" w:right="1100"/>
        </w:sectPr>
      </w:pPr>
    </w:p>
    <w:p>
      <w:pPr>
        <w:pStyle w:val="BodyText"/>
        <w:spacing w:before="72"/>
        <w:rPr>
          <w:sz w:val="24"/>
        </w:rPr>
      </w:pPr>
    </w:p>
    <w:p>
      <w:pPr>
        <w:spacing w:before="1"/>
        <w:ind w:left="483" w:right="0" w:firstLine="0"/>
        <w:jc w:val="both"/>
        <w:rPr>
          <w:sz w:val="24"/>
        </w:rPr>
      </w:pPr>
      <w:r>
        <w:rPr>
          <w:color w:val="365F91"/>
          <w:sz w:val="24"/>
        </w:rPr>
        <w:t>Past</w:t>
      </w:r>
      <w:r>
        <w:rPr>
          <w:color w:val="365F91"/>
          <w:spacing w:val="-5"/>
          <w:sz w:val="24"/>
        </w:rPr>
        <w:t> </w:t>
      </w:r>
      <w:r>
        <w:rPr>
          <w:color w:val="365F91"/>
          <w:sz w:val="24"/>
        </w:rPr>
        <w:t>&amp;</w:t>
      </w:r>
      <w:r>
        <w:rPr>
          <w:color w:val="365F91"/>
          <w:spacing w:val="-1"/>
          <w:sz w:val="24"/>
        </w:rPr>
        <w:t> </w:t>
      </w:r>
      <w:r>
        <w:rPr>
          <w:color w:val="365F91"/>
          <w:sz w:val="24"/>
        </w:rPr>
        <w:t>Ongoing</w:t>
      </w:r>
      <w:r>
        <w:rPr>
          <w:color w:val="365F91"/>
          <w:spacing w:val="-2"/>
          <w:sz w:val="24"/>
        </w:rPr>
        <w:t> </w:t>
      </w:r>
      <w:r>
        <w:rPr>
          <w:color w:val="365F91"/>
          <w:spacing w:val="-4"/>
          <w:sz w:val="24"/>
        </w:rPr>
        <w:t>Work</w:t>
      </w:r>
    </w:p>
    <w:p>
      <w:pPr>
        <w:spacing w:line="276" w:lineRule="auto" w:before="285"/>
        <w:ind w:left="483" w:right="341" w:firstLine="0"/>
        <w:jc w:val="both"/>
        <w:rPr>
          <w:sz w:val="21"/>
        </w:rPr>
      </w:pPr>
      <w:r>
        <w:rPr>
          <w:sz w:val="21"/>
        </w:rPr>
        <w:t>In 2014, former DMH Commissioner Fowler identified LGBTQ individuals as a population needing priority attention,</w:t>
      </w:r>
      <w:r>
        <w:rPr>
          <w:spacing w:val="-4"/>
          <w:sz w:val="21"/>
        </w:rPr>
        <w:t> </w:t>
      </w:r>
      <w:r>
        <w:rPr>
          <w:sz w:val="21"/>
        </w:rPr>
        <w:t>leading</w:t>
      </w:r>
      <w:r>
        <w:rPr>
          <w:spacing w:val="-4"/>
          <w:sz w:val="21"/>
        </w:rPr>
        <w:t> </w:t>
      </w:r>
      <w:r>
        <w:rPr>
          <w:sz w:val="21"/>
        </w:rPr>
        <w:t>to</w:t>
      </w:r>
      <w:r>
        <w:rPr>
          <w:spacing w:val="-3"/>
          <w:sz w:val="21"/>
        </w:rPr>
        <w:t> </w:t>
      </w:r>
      <w:r>
        <w:rPr>
          <w:sz w:val="21"/>
        </w:rPr>
        <w:t>a</w:t>
      </w:r>
      <w:r>
        <w:rPr>
          <w:spacing w:val="-4"/>
          <w:sz w:val="21"/>
        </w:rPr>
        <w:t> </w:t>
      </w:r>
      <w:r>
        <w:rPr>
          <w:sz w:val="21"/>
        </w:rPr>
        <w:t>wide</w:t>
      </w:r>
      <w:r>
        <w:rPr>
          <w:spacing w:val="-4"/>
          <w:sz w:val="21"/>
        </w:rPr>
        <w:t> </w:t>
      </w:r>
      <w:r>
        <w:rPr>
          <w:sz w:val="21"/>
        </w:rPr>
        <w:t>array</w:t>
      </w:r>
      <w:r>
        <w:rPr>
          <w:spacing w:val="-3"/>
          <w:sz w:val="21"/>
        </w:rPr>
        <w:t> </w:t>
      </w:r>
      <w:r>
        <w:rPr>
          <w:sz w:val="21"/>
        </w:rPr>
        <w:t>of</w:t>
      </w:r>
      <w:r>
        <w:rPr>
          <w:spacing w:val="-4"/>
          <w:sz w:val="21"/>
        </w:rPr>
        <w:t> </w:t>
      </w:r>
      <w:r>
        <w:rPr>
          <w:sz w:val="21"/>
        </w:rPr>
        <w:t>service</w:t>
      </w:r>
      <w:r>
        <w:rPr>
          <w:spacing w:val="-3"/>
          <w:sz w:val="21"/>
        </w:rPr>
        <w:t> </w:t>
      </w:r>
      <w:r>
        <w:rPr>
          <w:sz w:val="21"/>
        </w:rPr>
        <w:t>improvements</w:t>
      </w:r>
      <w:r>
        <w:rPr>
          <w:spacing w:val="-4"/>
          <w:sz w:val="21"/>
        </w:rPr>
        <w:t> </w:t>
      </w:r>
      <w:r>
        <w:rPr>
          <w:sz w:val="21"/>
        </w:rPr>
        <w:t>to</w:t>
      </w:r>
      <w:r>
        <w:rPr>
          <w:spacing w:val="-5"/>
          <w:sz w:val="21"/>
        </w:rPr>
        <w:t> </w:t>
      </w:r>
      <w:r>
        <w:rPr>
          <w:sz w:val="21"/>
        </w:rPr>
        <w:t>address</w:t>
      </w:r>
      <w:r>
        <w:rPr>
          <w:spacing w:val="-4"/>
          <w:sz w:val="21"/>
        </w:rPr>
        <w:t> </w:t>
      </w:r>
      <w:r>
        <w:rPr>
          <w:sz w:val="21"/>
        </w:rPr>
        <w:t>the</w:t>
      </w:r>
      <w:r>
        <w:rPr>
          <w:spacing w:val="-4"/>
          <w:sz w:val="21"/>
        </w:rPr>
        <w:t> </w:t>
      </w:r>
      <w:r>
        <w:rPr>
          <w:sz w:val="21"/>
        </w:rPr>
        <w:t>unique</w:t>
      </w:r>
      <w:r>
        <w:rPr>
          <w:spacing w:val="-3"/>
          <w:sz w:val="21"/>
        </w:rPr>
        <w:t> </w:t>
      </w:r>
      <w:r>
        <w:rPr>
          <w:sz w:val="21"/>
        </w:rPr>
        <w:t>needs</w:t>
      </w:r>
      <w:r>
        <w:rPr>
          <w:spacing w:val="-4"/>
          <w:sz w:val="21"/>
        </w:rPr>
        <w:t> </w:t>
      </w:r>
      <w:r>
        <w:rPr>
          <w:sz w:val="21"/>
        </w:rPr>
        <w:t>often</w:t>
      </w:r>
      <w:r>
        <w:rPr>
          <w:spacing w:val="-3"/>
          <w:sz w:val="21"/>
        </w:rPr>
        <w:t> </w:t>
      </w:r>
      <w:r>
        <w:rPr>
          <w:sz w:val="21"/>
        </w:rPr>
        <w:t>faced</w:t>
      </w:r>
      <w:r>
        <w:rPr>
          <w:spacing w:val="-3"/>
          <w:sz w:val="21"/>
        </w:rPr>
        <w:t> </w:t>
      </w:r>
      <w:r>
        <w:rPr>
          <w:sz w:val="21"/>
        </w:rPr>
        <w:t>by</w:t>
      </w:r>
      <w:r>
        <w:rPr>
          <w:spacing w:val="-5"/>
          <w:sz w:val="21"/>
        </w:rPr>
        <w:t> </w:t>
      </w:r>
      <w:r>
        <w:rPr>
          <w:sz w:val="21"/>
        </w:rPr>
        <w:t>LGBTQ youth.</w:t>
      </w:r>
      <w:r>
        <w:rPr>
          <w:spacing w:val="-12"/>
          <w:sz w:val="21"/>
        </w:rPr>
        <w:t> </w:t>
      </w:r>
      <w:r>
        <w:rPr>
          <w:sz w:val="21"/>
        </w:rPr>
        <w:t>Over</w:t>
      </w:r>
      <w:r>
        <w:rPr>
          <w:spacing w:val="-12"/>
          <w:sz w:val="21"/>
        </w:rPr>
        <w:t> </w:t>
      </w:r>
      <w:r>
        <w:rPr>
          <w:sz w:val="21"/>
        </w:rPr>
        <w:t>the</w:t>
      </w:r>
      <w:r>
        <w:rPr>
          <w:spacing w:val="-12"/>
          <w:sz w:val="21"/>
        </w:rPr>
        <w:t> </w:t>
      </w:r>
      <w:r>
        <w:rPr>
          <w:sz w:val="21"/>
        </w:rPr>
        <w:t>past</w:t>
      </w:r>
      <w:r>
        <w:rPr>
          <w:spacing w:val="-12"/>
          <w:sz w:val="21"/>
        </w:rPr>
        <w:t> </w:t>
      </w:r>
      <w:r>
        <w:rPr>
          <w:sz w:val="21"/>
        </w:rPr>
        <w:t>few</w:t>
      </w:r>
      <w:r>
        <w:rPr>
          <w:spacing w:val="-12"/>
          <w:sz w:val="21"/>
        </w:rPr>
        <w:t> </w:t>
      </w:r>
      <w:r>
        <w:rPr>
          <w:sz w:val="21"/>
        </w:rPr>
        <w:t>years,</w:t>
      </w:r>
      <w:r>
        <w:rPr>
          <w:spacing w:val="-12"/>
          <w:sz w:val="21"/>
        </w:rPr>
        <w:t> </w:t>
      </w:r>
      <w:r>
        <w:rPr>
          <w:sz w:val="21"/>
        </w:rPr>
        <w:t>DMH</w:t>
      </w:r>
      <w:r>
        <w:rPr>
          <w:spacing w:val="-12"/>
          <w:sz w:val="21"/>
        </w:rPr>
        <w:t> </w:t>
      </w:r>
      <w:r>
        <w:rPr>
          <w:sz w:val="21"/>
        </w:rPr>
        <w:t>has</w:t>
      </w:r>
      <w:r>
        <w:rPr>
          <w:spacing w:val="-11"/>
          <w:sz w:val="21"/>
        </w:rPr>
        <w:t> </w:t>
      </w:r>
      <w:r>
        <w:rPr>
          <w:sz w:val="21"/>
        </w:rPr>
        <w:t>conducted</w:t>
      </w:r>
      <w:r>
        <w:rPr>
          <w:spacing w:val="-12"/>
          <w:sz w:val="21"/>
        </w:rPr>
        <w:t> </w:t>
      </w:r>
      <w:r>
        <w:rPr>
          <w:sz w:val="21"/>
        </w:rPr>
        <w:t>several</w:t>
      </w:r>
      <w:r>
        <w:rPr>
          <w:spacing w:val="-12"/>
          <w:sz w:val="21"/>
        </w:rPr>
        <w:t> </w:t>
      </w:r>
      <w:r>
        <w:rPr>
          <w:sz w:val="21"/>
        </w:rPr>
        <w:t>needs</w:t>
      </w:r>
      <w:r>
        <w:rPr>
          <w:spacing w:val="-12"/>
          <w:sz w:val="21"/>
        </w:rPr>
        <w:t> </w:t>
      </w:r>
      <w:r>
        <w:rPr>
          <w:sz w:val="21"/>
        </w:rPr>
        <w:t>assessments,</w:t>
      </w:r>
      <w:r>
        <w:rPr>
          <w:spacing w:val="-12"/>
          <w:sz w:val="21"/>
        </w:rPr>
        <w:t> </w:t>
      </w:r>
      <w:r>
        <w:rPr>
          <w:sz w:val="21"/>
        </w:rPr>
        <w:t>and</w:t>
      </w:r>
      <w:r>
        <w:rPr>
          <w:spacing w:val="-12"/>
          <w:sz w:val="21"/>
        </w:rPr>
        <w:t> </w:t>
      </w:r>
      <w:r>
        <w:rPr>
          <w:sz w:val="21"/>
        </w:rPr>
        <w:t>has</w:t>
      </w:r>
      <w:r>
        <w:rPr>
          <w:spacing w:val="-12"/>
          <w:sz w:val="21"/>
        </w:rPr>
        <w:t> </w:t>
      </w:r>
      <w:r>
        <w:rPr>
          <w:sz w:val="21"/>
        </w:rPr>
        <w:t>identified</w:t>
      </w:r>
      <w:r>
        <w:rPr>
          <w:spacing w:val="-12"/>
          <w:sz w:val="21"/>
        </w:rPr>
        <w:t> </w:t>
      </w:r>
      <w:r>
        <w:rPr>
          <w:sz w:val="21"/>
        </w:rPr>
        <w:t>areas</w:t>
      </w:r>
      <w:r>
        <w:rPr>
          <w:spacing w:val="-11"/>
          <w:sz w:val="21"/>
        </w:rPr>
        <w:t> </w:t>
      </w:r>
      <w:r>
        <w:rPr>
          <w:sz w:val="21"/>
        </w:rPr>
        <w:t>where its services and support are strongest and other areas where DMH employees need further training and </w:t>
      </w:r>
      <w:r>
        <w:rPr>
          <w:spacing w:val="-2"/>
          <w:sz w:val="21"/>
        </w:rPr>
        <w:t>assistance.</w:t>
      </w:r>
    </w:p>
    <w:p>
      <w:pPr>
        <w:spacing w:line="276" w:lineRule="auto" w:before="240"/>
        <w:ind w:left="483" w:right="339" w:firstLine="0"/>
        <w:jc w:val="both"/>
        <w:rPr>
          <w:sz w:val="21"/>
        </w:rPr>
      </w:pPr>
      <w:r>
        <w:rPr>
          <w:sz w:val="21"/>
        </w:rPr>
        <w:t>In</w:t>
      </w:r>
      <w:r>
        <w:rPr>
          <w:spacing w:val="-4"/>
          <w:sz w:val="21"/>
        </w:rPr>
        <w:t> </w:t>
      </w:r>
      <w:r>
        <w:rPr>
          <w:sz w:val="21"/>
        </w:rPr>
        <w:t>2021,</w:t>
      </w:r>
      <w:r>
        <w:rPr>
          <w:spacing w:val="-4"/>
          <w:sz w:val="21"/>
        </w:rPr>
        <w:t> </w:t>
      </w:r>
      <w:r>
        <w:rPr>
          <w:sz w:val="21"/>
        </w:rPr>
        <w:t>DMH</w:t>
      </w:r>
      <w:r>
        <w:rPr>
          <w:spacing w:val="-4"/>
          <w:sz w:val="21"/>
        </w:rPr>
        <w:t> </w:t>
      </w:r>
      <w:r>
        <w:rPr>
          <w:sz w:val="21"/>
        </w:rPr>
        <w:t>released</w:t>
      </w:r>
      <w:r>
        <w:rPr>
          <w:spacing w:val="-4"/>
          <w:sz w:val="21"/>
        </w:rPr>
        <w:t> </w:t>
      </w:r>
      <w:r>
        <w:rPr>
          <w:sz w:val="21"/>
        </w:rPr>
        <w:t>a</w:t>
      </w:r>
      <w:r>
        <w:rPr>
          <w:spacing w:val="-4"/>
          <w:sz w:val="21"/>
        </w:rPr>
        <w:t> </w:t>
      </w:r>
      <w:r>
        <w:rPr>
          <w:sz w:val="21"/>
        </w:rPr>
        <w:t>comprehensive</w:t>
      </w:r>
      <w:r>
        <w:rPr>
          <w:spacing w:val="-4"/>
          <w:sz w:val="21"/>
        </w:rPr>
        <w:t> </w:t>
      </w:r>
      <w:r>
        <w:rPr>
          <w:sz w:val="21"/>
        </w:rPr>
        <w:t>nondiscrimination</w:t>
      </w:r>
      <w:r>
        <w:rPr>
          <w:spacing w:val="-4"/>
          <w:sz w:val="21"/>
        </w:rPr>
        <w:t> </w:t>
      </w:r>
      <w:r>
        <w:rPr>
          <w:sz w:val="21"/>
        </w:rPr>
        <w:t>policy</w:t>
      </w:r>
      <w:r>
        <w:rPr>
          <w:spacing w:val="-4"/>
          <w:sz w:val="21"/>
        </w:rPr>
        <w:t> </w:t>
      </w:r>
      <w:r>
        <w:rPr>
          <w:sz w:val="21"/>
        </w:rPr>
        <w:t>and</w:t>
      </w:r>
      <w:r>
        <w:rPr>
          <w:spacing w:val="-4"/>
          <w:sz w:val="21"/>
        </w:rPr>
        <w:t> </w:t>
      </w:r>
      <w:r>
        <w:rPr>
          <w:sz w:val="21"/>
        </w:rPr>
        <w:t>accompanying</w:t>
      </w:r>
      <w:r>
        <w:rPr>
          <w:spacing w:val="-4"/>
          <w:sz w:val="21"/>
        </w:rPr>
        <w:t> </w:t>
      </w:r>
      <w:r>
        <w:rPr>
          <w:sz w:val="21"/>
        </w:rPr>
        <w:t>guidance,</w:t>
      </w:r>
      <w:r>
        <w:rPr>
          <w:spacing w:val="-4"/>
          <w:sz w:val="21"/>
        </w:rPr>
        <w:t> </w:t>
      </w:r>
      <w:r>
        <w:rPr>
          <w:sz w:val="21"/>
        </w:rPr>
        <w:t>and</w:t>
      </w:r>
      <w:r>
        <w:rPr>
          <w:spacing w:val="-4"/>
          <w:sz w:val="21"/>
        </w:rPr>
        <w:t> </w:t>
      </w:r>
      <w:r>
        <w:rPr>
          <w:sz w:val="21"/>
        </w:rPr>
        <w:t>has</w:t>
      </w:r>
      <w:r>
        <w:rPr>
          <w:spacing w:val="-4"/>
          <w:sz w:val="21"/>
        </w:rPr>
        <w:t> </w:t>
      </w:r>
      <w:r>
        <w:rPr>
          <w:sz w:val="21"/>
        </w:rPr>
        <w:t>made significant progress in training their providers on LGBTQ cultural awareness, fulfilling previous Commission recommendations. In FY 2023, the Commission and DMH have continued to engage in conversations around training - noting that DMH holds high compliance rates among its staff at all area levels, with exception of somewhat lower compliance</w:t>
      </w:r>
      <w:r>
        <w:rPr>
          <w:spacing w:val="-1"/>
          <w:sz w:val="21"/>
        </w:rPr>
        <w:t> </w:t>
      </w:r>
      <w:r>
        <w:rPr>
          <w:sz w:val="21"/>
        </w:rPr>
        <w:t>rates</w:t>
      </w:r>
      <w:r>
        <w:rPr>
          <w:spacing w:val="-2"/>
          <w:sz w:val="21"/>
        </w:rPr>
        <w:t> </w:t>
      </w:r>
      <w:r>
        <w:rPr>
          <w:sz w:val="21"/>
        </w:rPr>
        <w:t>for overnight staff.</w:t>
      </w:r>
      <w:r>
        <w:rPr>
          <w:spacing w:val="-2"/>
          <w:sz w:val="21"/>
        </w:rPr>
        <w:t> </w:t>
      </w:r>
      <w:r>
        <w:rPr>
          <w:sz w:val="21"/>
        </w:rPr>
        <w:t>DMH</w:t>
      </w:r>
      <w:r>
        <w:rPr>
          <w:spacing w:val="-2"/>
          <w:sz w:val="21"/>
        </w:rPr>
        <w:t> </w:t>
      </w:r>
      <w:r>
        <w:rPr>
          <w:sz w:val="21"/>
        </w:rPr>
        <w:t>and</w:t>
      </w:r>
      <w:r>
        <w:rPr>
          <w:spacing w:val="-2"/>
          <w:sz w:val="21"/>
        </w:rPr>
        <w:t> </w:t>
      </w:r>
      <w:r>
        <w:rPr>
          <w:sz w:val="21"/>
        </w:rPr>
        <w:t>the</w:t>
      </w:r>
      <w:r>
        <w:rPr>
          <w:spacing w:val="-3"/>
          <w:sz w:val="21"/>
        </w:rPr>
        <w:t> </w:t>
      </w:r>
      <w:r>
        <w:rPr>
          <w:sz w:val="21"/>
        </w:rPr>
        <w:t>Commission</w:t>
      </w:r>
      <w:r>
        <w:rPr>
          <w:spacing w:val="-1"/>
          <w:sz w:val="21"/>
        </w:rPr>
        <w:t> </w:t>
      </w:r>
      <w:r>
        <w:rPr>
          <w:sz w:val="21"/>
        </w:rPr>
        <w:t>hope</w:t>
      </w:r>
      <w:r>
        <w:rPr>
          <w:spacing w:val="-1"/>
          <w:sz w:val="21"/>
        </w:rPr>
        <w:t> </w:t>
      </w:r>
      <w:r>
        <w:rPr>
          <w:sz w:val="21"/>
        </w:rPr>
        <w:t>to</w:t>
      </w:r>
      <w:r>
        <w:rPr>
          <w:spacing w:val="-1"/>
          <w:sz w:val="21"/>
        </w:rPr>
        <w:t> </w:t>
      </w:r>
      <w:r>
        <w:rPr>
          <w:sz w:val="21"/>
        </w:rPr>
        <w:t>partner through</w:t>
      </w:r>
      <w:r>
        <w:rPr>
          <w:spacing w:val="-2"/>
          <w:sz w:val="21"/>
        </w:rPr>
        <w:t> </w:t>
      </w:r>
      <w:r>
        <w:rPr>
          <w:sz w:val="21"/>
        </w:rPr>
        <w:t>the Commission’s agency training system to help support trainings for overnight staff in FY 2025.</w:t>
      </w:r>
    </w:p>
    <w:p>
      <w:pPr>
        <w:spacing w:line="276" w:lineRule="auto" w:before="240"/>
        <w:ind w:left="483" w:right="338" w:firstLine="0"/>
        <w:jc w:val="both"/>
        <w:rPr>
          <w:sz w:val="21"/>
        </w:rPr>
      </w:pPr>
      <w:r>
        <w:rPr>
          <w:sz w:val="21"/>
        </w:rPr>
        <w:t>In early 2023, DMH’s new </w:t>
      </w:r>
      <w:hyperlink r:id="rId741">
        <w:r>
          <w:rPr>
            <w:color w:val="1153CC"/>
            <w:sz w:val="21"/>
            <w:u w:val="single" w:color="1153CC"/>
          </w:rPr>
          <w:t>24/7 behavioral health helpline</w:t>
        </w:r>
      </w:hyperlink>
      <w:r>
        <w:rPr>
          <w:color w:val="1153CC"/>
          <w:sz w:val="21"/>
          <w:u w:val="none"/>
        </w:rPr>
        <w:t> </w:t>
      </w:r>
      <w:r>
        <w:rPr>
          <w:sz w:val="21"/>
          <w:u w:val="none"/>
        </w:rPr>
        <w:t>which works to provide free, confidential, and accessible support for individuals seeking clinical help. The Commission appreciates DMH’s explicit commitment to ensuring that the helpline provides affirming services for individuals who identify as LGBTQ, BIPOC, and/or Deaf and hard of hearing, as well as individuals with disabilities or who have limited English proficiency.</w:t>
      </w:r>
      <w:r>
        <w:rPr>
          <w:spacing w:val="-12"/>
          <w:sz w:val="21"/>
          <w:u w:val="none"/>
        </w:rPr>
        <w:t> </w:t>
      </w:r>
      <w:r>
        <w:rPr>
          <w:sz w:val="21"/>
          <w:u w:val="none"/>
        </w:rPr>
        <w:t>Additionally,</w:t>
      </w:r>
      <w:r>
        <w:rPr>
          <w:spacing w:val="-12"/>
          <w:sz w:val="21"/>
          <w:u w:val="none"/>
        </w:rPr>
        <w:t> </w:t>
      </w:r>
      <w:r>
        <w:rPr>
          <w:sz w:val="21"/>
          <w:u w:val="none"/>
        </w:rPr>
        <w:t>DMH</w:t>
      </w:r>
      <w:r>
        <w:rPr>
          <w:spacing w:val="-12"/>
          <w:sz w:val="21"/>
          <w:u w:val="none"/>
        </w:rPr>
        <w:t> </w:t>
      </w:r>
      <w:r>
        <w:rPr>
          <w:sz w:val="21"/>
          <w:u w:val="none"/>
        </w:rPr>
        <w:t>supports</w:t>
      </w:r>
      <w:r>
        <w:rPr>
          <w:spacing w:val="-12"/>
          <w:sz w:val="21"/>
          <w:u w:val="none"/>
        </w:rPr>
        <w:t> </w:t>
      </w:r>
      <w:r>
        <w:rPr>
          <w:sz w:val="21"/>
          <w:u w:val="none"/>
        </w:rPr>
        <w:t>a</w:t>
      </w:r>
      <w:r>
        <w:rPr>
          <w:spacing w:val="-12"/>
          <w:sz w:val="21"/>
          <w:u w:val="none"/>
        </w:rPr>
        <w:t> </w:t>
      </w:r>
      <w:r>
        <w:rPr>
          <w:sz w:val="21"/>
          <w:u w:val="none"/>
        </w:rPr>
        <w:t>wide</w:t>
      </w:r>
      <w:r>
        <w:rPr>
          <w:spacing w:val="-12"/>
          <w:sz w:val="21"/>
          <w:u w:val="none"/>
        </w:rPr>
        <w:t> </w:t>
      </w:r>
      <w:r>
        <w:rPr>
          <w:sz w:val="21"/>
          <w:u w:val="none"/>
        </w:rPr>
        <w:t>array</w:t>
      </w:r>
      <w:r>
        <w:rPr>
          <w:spacing w:val="-12"/>
          <w:sz w:val="21"/>
          <w:u w:val="none"/>
        </w:rPr>
        <w:t> </w:t>
      </w:r>
      <w:r>
        <w:rPr>
          <w:sz w:val="21"/>
          <w:u w:val="none"/>
        </w:rPr>
        <w:t>of</w:t>
      </w:r>
      <w:r>
        <w:rPr>
          <w:spacing w:val="-11"/>
          <w:sz w:val="21"/>
          <w:u w:val="none"/>
        </w:rPr>
        <w:t> </w:t>
      </w:r>
      <w:r>
        <w:rPr>
          <w:sz w:val="21"/>
          <w:u w:val="none"/>
        </w:rPr>
        <w:t>community</w:t>
      </w:r>
      <w:r>
        <w:rPr>
          <w:spacing w:val="-12"/>
          <w:sz w:val="21"/>
          <w:u w:val="none"/>
        </w:rPr>
        <w:t> </w:t>
      </w:r>
      <w:r>
        <w:rPr>
          <w:sz w:val="21"/>
          <w:u w:val="none"/>
        </w:rPr>
        <w:t>behavioral</w:t>
      </w:r>
      <w:r>
        <w:rPr>
          <w:spacing w:val="-12"/>
          <w:sz w:val="21"/>
          <w:u w:val="none"/>
        </w:rPr>
        <w:t> </w:t>
      </w:r>
      <w:r>
        <w:rPr>
          <w:sz w:val="21"/>
          <w:u w:val="none"/>
        </w:rPr>
        <w:t>health</w:t>
      </w:r>
      <w:r>
        <w:rPr>
          <w:spacing w:val="-12"/>
          <w:sz w:val="21"/>
          <w:u w:val="none"/>
        </w:rPr>
        <w:t> </w:t>
      </w:r>
      <w:r>
        <w:rPr>
          <w:sz w:val="21"/>
          <w:u w:val="none"/>
        </w:rPr>
        <w:t>centers</w:t>
      </w:r>
      <w:r>
        <w:rPr>
          <w:spacing w:val="-12"/>
          <w:sz w:val="21"/>
          <w:u w:val="none"/>
        </w:rPr>
        <w:t> </w:t>
      </w:r>
      <w:r>
        <w:rPr>
          <w:sz w:val="21"/>
          <w:u w:val="none"/>
        </w:rPr>
        <w:t>that</w:t>
      </w:r>
      <w:r>
        <w:rPr>
          <w:spacing w:val="-11"/>
          <w:sz w:val="21"/>
          <w:u w:val="none"/>
        </w:rPr>
        <w:t> </w:t>
      </w:r>
      <w:r>
        <w:rPr>
          <w:sz w:val="21"/>
          <w:u w:val="none"/>
        </w:rPr>
        <w:t>provide</w:t>
      </w:r>
      <w:r>
        <w:rPr>
          <w:spacing w:val="-12"/>
          <w:sz w:val="21"/>
          <w:u w:val="none"/>
        </w:rPr>
        <w:t> </w:t>
      </w:r>
      <w:r>
        <w:rPr>
          <w:sz w:val="21"/>
          <w:u w:val="none"/>
        </w:rPr>
        <w:t>core clinic services, crisis services, and adult and youth community crisis stabilization services across the state.</w:t>
      </w:r>
    </w:p>
    <w:p>
      <w:pPr>
        <w:spacing w:line="276" w:lineRule="auto" w:before="239"/>
        <w:ind w:left="483" w:right="341" w:firstLine="0"/>
        <w:jc w:val="both"/>
        <w:rPr>
          <w:sz w:val="21"/>
        </w:rPr>
      </w:pPr>
      <w:r>
        <w:rPr>
          <w:sz w:val="21"/>
        </w:rPr>
        <w:t>Furthermore,</w:t>
      </w:r>
      <w:r>
        <w:rPr>
          <w:spacing w:val="-3"/>
          <w:sz w:val="21"/>
        </w:rPr>
        <w:t> </w:t>
      </w:r>
      <w:r>
        <w:rPr>
          <w:sz w:val="21"/>
        </w:rPr>
        <w:t>DMH</w:t>
      </w:r>
      <w:r>
        <w:rPr>
          <w:spacing w:val="-2"/>
          <w:sz w:val="21"/>
        </w:rPr>
        <w:t> </w:t>
      </w:r>
      <w:r>
        <w:rPr>
          <w:sz w:val="21"/>
        </w:rPr>
        <w:t>further</w:t>
      </w:r>
      <w:r>
        <w:rPr>
          <w:spacing w:val="-2"/>
          <w:sz w:val="21"/>
        </w:rPr>
        <w:t> </w:t>
      </w:r>
      <w:r>
        <w:rPr>
          <w:sz w:val="21"/>
        </w:rPr>
        <w:t>released</w:t>
      </w:r>
      <w:r>
        <w:rPr>
          <w:spacing w:val="-2"/>
          <w:sz w:val="21"/>
        </w:rPr>
        <w:t> </w:t>
      </w:r>
      <w:r>
        <w:rPr>
          <w:sz w:val="21"/>
        </w:rPr>
        <w:t>guidance</w:t>
      </w:r>
      <w:r>
        <w:rPr>
          <w:spacing w:val="-2"/>
          <w:sz w:val="21"/>
        </w:rPr>
        <w:t> </w:t>
      </w:r>
      <w:r>
        <w:rPr>
          <w:sz w:val="21"/>
        </w:rPr>
        <w:t>on</w:t>
      </w:r>
      <w:r>
        <w:rPr>
          <w:spacing w:val="-2"/>
          <w:sz w:val="21"/>
        </w:rPr>
        <w:t> </w:t>
      </w:r>
      <w:r>
        <w:rPr>
          <w:sz w:val="21"/>
        </w:rPr>
        <w:t>pronouns</w:t>
      </w:r>
      <w:r>
        <w:rPr>
          <w:spacing w:val="-2"/>
          <w:sz w:val="21"/>
        </w:rPr>
        <w:t> </w:t>
      </w:r>
      <w:r>
        <w:rPr>
          <w:sz w:val="21"/>
        </w:rPr>
        <w:t>in</w:t>
      </w:r>
      <w:r>
        <w:rPr>
          <w:spacing w:val="-2"/>
          <w:sz w:val="21"/>
        </w:rPr>
        <w:t> </w:t>
      </w:r>
      <w:r>
        <w:rPr>
          <w:sz w:val="21"/>
        </w:rPr>
        <w:t>February</w:t>
      </w:r>
      <w:r>
        <w:rPr>
          <w:spacing w:val="-2"/>
          <w:sz w:val="21"/>
        </w:rPr>
        <w:t> </w:t>
      </w:r>
      <w:r>
        <w:rPr>
          <w:sz w:val="21"/>
        </w:rPr>
        <w:t>of</w:t>
      </w:r>
      <w:r>
        <w:rPr>
          <w:spacing w:val="-2"/>
          <w:sz w:val="21"/>
        </w:rPr>
        <w:t> </w:t>
      </w:r>
      <w:r>
        <w:rPr>
          <w:sz w:val="21"/>
        </w:rPr>
        <w:t>2023</w:t>
      </w:r>
      <w:r>
        <w:rPr>
          <w:spacing w:val="-3"/>
          <w:sz w:val="21"/>
        </w:rPr>
        <w:t> </w:t>
      </w:r>
      <w:r>
        <w:rPr>
          <w:sz w:val="21"/>
        </w:rPr>
        <w:t>which</w:t>
      </w:r>
      <w:r>
        <w:rPr>
          <w:spacing w:val="-2"/>
          <w:sz w:val="21"/>
        </w:rPr>
        <w:t> </w:t>
      </w:r>
      <w:r>
        <w:rPr>
          <w:sz w:val="21"/>
        </w:rPr>
        <w:t>provided</w:t>
      </w:r>
      <w:r>
        <w:rPr>
          <w:spacing w:val="-2"/>
          <w:sz w:val="21"/>
        </w:rPr>
        <w:t> </w:t>
      </w:r>
      <w:r>
        <w:rPr>
          <w:sz w:val="21"/>
        </w:rPr>
        <w:t>resources</w:t>
      </w:r>
      <w:r>
        <w:rPr>
          <w:spacing w:val="-2"/>
          <w:sz w:val="21"/>
        </w:rPr>
        <w:t> </w:t>
      </w:r>
      <w:r>
        <w:rPr>
          <w:sz w:val="21"/>
        </w:rPr>
        <w:t>and encouraged</w:t>
      </w:r>
      <w:r>
        <w:rPr>
          <w:spacing w:val="-8"/>
          <w:sz w:val="21"/>
        </w:rPr>
        <w:t> </w:t>
      </w:r>
      <w:r>
        <w:rPr>
          <w:sz w:val="21"/>
        </w:rPr>
        <w:t>DMH</w:t>
      </w:r>
      <w:r>
        <w:rPr>
          <w:spacing w:val="-8"/>
          <w:sz w:val="21"/>
        </w:rPr>
        <w:t> </w:t>
      </w:r>
      <w:r>
        <w:rPr>
          <w:sz w:val="21"/>
        </w:rPr>
        <w:t>staff</w:t>
      </w:r>
      <w:r>
        <w:rPr>
          <w:spacing w:val="-9"/>
          <w:sz w:val="21"/>
        </w:rPr>
        <w:t> </w:t>
      </w:r>
      <w:r>
        <w:rPr>
          <w:sz w:val="21"/>
        </w:rPr>
        <w:t>to</w:t>
      </w:r>
      <w:r>
        <w:rPr>
          <w:spacing w:val="-8"/>
          <w:sz w:val="21"/>
        </w:rPr>
        <w:t> </w:t>
      </w:r>
      <w:r>
        <w:rPr>
          <w:sz w:val="21"/>
        </w:rPr>
        <w:t>uphold</w:t>
      </w:r>
      <w:r>
        <w:rPr>
          <w:spacing w:val="-8"/>
          <w:sz w:val="21"/>
        </w:rPr>
        <w:t> </w:t>
      </w:r>
      <w:r>
        <w:rPr>
          <w:sz w:val="21"/>
        </w:rPr>
        <w:t>cultures</w:t>
      </w:r>
      <w:r>
        <w:rPr>
          <w:spacing w:val="-9"/>
          <w:sz w:val="21"/>
        </w:rPr>
        <w:t> </w:t>
      </w:r>
      <w:r>
        <w:rPr>
          <w:sz w:val="21"/>
        </w:rPr>
        <w:t>of</w:t>
      </w:r>
      <w:r>
        <w:rPr>
          <w:spacing w:val="-8"/>
          <w:sz w:val="21"/>
        </w:rPr>
        <w:t> </w:t>
      </w:r>
      <w:r>
        <w:rPr>
          <w:sz w:val="21"/>
        </w:rPr>
        <w:t>inclusion</w:t>
      </w:r>
      <w:r>
        <w:rPr>
          <w:spacing w:val="-8"/>
          <w:sz w:val="21"/>
        </w:rPr>
        <w:t> </w:t>
      </w:r>
      <w:r>
        <w:rPr>
          <w:sz w:val="21"/>
        </w:rPr>
        <w:t>for</w:t>
      </w:r>
      <w:r>
        <w:rPr>
          <w:spacing w:val="-8"/>
          <w:sz w:val="21"/>
        </w:rPr>
        <w:t> </w:t>
      </w:r>
      <w:r>
        <w:rPr>
          <w:sz w:val="21"/>
        </w:rPr>
        <w:t>LGBTQ</w:t>
      </w:r>
      <w:r>
        <w:rPr>
          <w:spacing w:val="-9"/>
          <w:sz w:val="21"/>
        </w:rPr>
        <w:t> </w:t>
      </w:r>
      <w:r>
        <w:rPr>
          <w:sz w:val="21"/>
        </w:rPr>
        <w:t>employees</w:t>
      </w:r>
      <w:r>
        <w:rPr>
          <w:spacing w:val="-8"/>
          <w:sz w:val="21"/>
        </w:rPr>
        <w:t> </w:t>
      </w:r>
      <w:r>
        <w:rPr>
          <w:sz w:val="21"/>
        </w:rPr>
        <w:t>and</w:t>
      </w:r>
      <w:r>
        <w:rPr>
          <w:spacing w:val="-8"/>
          <w:sz w:val="21"/>
        </w:rPr>
        <w:t> </w:t>
      </w:r>
      <w:r>
        <w:rPr>
          <w:sz w:val="21"/>
        </w:rPr>
        <w:t>clients</w:t>
      </w:r>
      <w:r>
        <w:rPr>
          <w:spacing w:val="-8"/>
          <w:sz w:val="21"/>
        </w:rPr>
        <w:t> </w:t>
      </w:r>
      <w:r>
        <w:rPr>
          <w:sz w:val="21"/>
        </w:rPr>
        <w:t>by</w:t>
      </w:r>
      <w:r>
        <w:rPr>
          <w:spacing w:val="-9"/>
          <w:sz w:val="21"/>
        </w:rPr>
        <w:t> </w:t>
      </w:r>
      <w:r>
        <w:rPr>
          <w:sz w:val="21"/>
        </w:rPr>
        <w:t>openly</w:t>
      </w:r>
      <w:r>
        <w:rPr>
          <w:spacing w:val="-9"/>
          <w:sz w:val="21"/>
        </w:rPr>
        <w:t> </w:t>
      </w:r>
      <w:r>
        <w:rPr>
          <w:sz w:val="21"/>
        </w:rPr>
        <w:t>sharing</w:t>
      </w:r>
      <w:r>
        <w:rPr>
          <w:spacing w:val="-8"/>
          <w:sz w:val="21"/>
        </w:rPr>
        <w:t> </w:t>
      </w:r>
      <w:r>
        <w:rPr>
          <w:sz w:val="21"/>
        </w:rPr>
        <w:t>their pronouns wherever possible.</w:t>
      </w:r>
    </w:p>
    <w:p>
      <w:pPr>
        <w:spacing w:line="276" w:lineRule="auto" w:before="240"/>
        <w:ind w:left="483" w:right="339" w:firstLine="0"/>
        <w:jc w:val="both"/>
        <w:rPr>
          <w:sz w:val="21"/>
        </w:rPr>
      </w:pPr>
      <w:r>
        <w:rPr>
          <w:sz w:val="21"/>
        </w:rPr>
        <w:t>Finally,</w:t>
      </w:r>
      <w:r>
        <w:rPr>
          <w:spacing w:val="-6"/>
          <w:sz w:val="21"/>
        </w:rPr>
        <w:t> </w:t>
      </w:r>
      <w:r>
        <w:rPr>
          <w:sz w:val="21"/>
        </w:rPr>
        <w:t>the</w:t>
      </w:r>
      <w:r>
        <w:rPr>
          <w:spacing w:val="-7"/>
          <w:sz w:val="21"/>
        </w:rPr>
        <w:t> </w:t>
      </w:r>
      <w:r>
        <w:rPr>
          <w:sz w:val="21"/>
        </w:rPr>
        <w:t>Commission</w:t>
      </w:r>
      <w:r>
        <w:rPr>
          <w:spacing w:val="-7"/>
          <w:sz w:val="21"/>
        </w:rPr>
        <w:t> </w:t>
      </w:r>
      <w:r>
        <w:rPr>
          <w:sz w:val="21"/>
        </w:rPr>
        <w:t>was</w:t>
      </w:r>
      <w:r>
        <w:rPr>
          <w:spacing w:val="-6"/>
          <w:sz w:val="21"/>
        </w:rPr>
        <w:t> </w:t>
      </w:r>
      <w:r>
        <w:rPr>
          <w:sz w:val="21"/>
        </w:rPr>
        <w:t>pleased</w:t>
      </w:r>
      <w:r>
        <w:rPr>
          <w:spacing w:val="-7"/>
          <w:sz w:val="21"/>
        </w:rPr>
        <w:t> </w:t>
      </w:r>
      <w:r>
        <w:rPr>
          <w:sz w:val="21"/>
        </w:rPr>
        <w:t>to</w:t>
      </w:r>
      <w:r>
        <w:rPr>
          <w:spacing w:val="-7"/>
          <w:sz w:val="21"/>
        </w:rPr>
        <w:t> </w:t>
      </w:r>
      <w:r>
        <w:rPr>
          <w:sz w:val="21"/>
        </w:rPr>
        <w:t>learn</w:t>
      </w:r>
      <w:r>
        <w:rPr>
          <w:spacing w:val="-7"/>
          <w:sz w:val="21"/>
        </w:rPr>
        <w:t> </w:t>
      </w:r>
      <w:r>
        <w:rPr>
          <w:sz w:val="21"/>
        </w:rPr>
        <w:t>about</w:t>
      </w:r>
      <w:r>
        <w:rPr>
          <w:spacing w:val="-7"/>
          <w:sz w:val="21"/>
        </w:rPr>
        <w:t> </w:t>
      </w:r>
      <w:r>
        <w:rPr>
          <w:sz w:val="21"/>
        </w:rPr>
        <w:t>the</w:t>
      </w:r>
      <w:r>
        <w:rPr>
          <w:spacing w:val="-7"/>
          <w:sz w:val="21"/>
        </w:rPr>
        <w:t> </w:t>
      </w:r>
      <w:r>
        <w:rPr>
          <w:sz w:val="21"/>
        </w:rPr>
        <w:t>ten</w:t>
      </w:r>
      <w:r>
        <w:rPr>
          <w:spacing w:val="-7"/>
          <w:sz w:val="21"/>
        </w:rPr>
        <w:t> </w:t>
      </w:r>
      <w:r>
        <w:rPr>
          <w:sz w:val="21"/>
        </w:rPr>
        <w:t>new</w:t>
      </w:r>
      <w:r>
        <w:rPr>
          <w:spacing w:val="-7"/>
          <w:sz w:val="21"/>
        </w:rPr>
        <w:t> </w:t>
      </w:r>
      <w:r>
        <w:rPr>
          <w:sz w:val="21"/>
        </w:rPr>
        <w:t>Young</w:t>
      </w:r>
      <w:r>
        <w:rPr>
          <w:spacing w:val="-7"/>
          <w:sz w:val="21"/>
        </w:rPr>
        <w:t> </w:t>
      </w:r>
      <w:r>
        <w:rPr>
          <w:sz w:val="21"/>
        </w:rPr>
        <w:t>Adult</w:t>
      </w:r>
      <w:r>
        <w:rPr>
          <w:spacing w:val="-6"/>
          <w:sz w:val="21"/>
        </w:rPr>
        <w:t> </w:t>
      </w:r>
      <w:r>
        <w:rPr>
          <w:sz w:val="21"/>
        </w:rPr>
        <w:t>Access</w:t>
      </w:r>
      <w:r>
        <w:rPr>
          <w:spacing w:val="-7"/>
          <w:sz w:val="21"/>
        </w:rPr>
        <w:t> </w:t>
      </w:r>
      <w:r>
        <w:rPr>
          <w:sz w:val="21"/>
        </w:rPr>
        <w:t>Centers</w:t>
      </w:r>
      <w:r>
        <w:rPr>
          <w:spacing w:val="-7"/>
          <w:sz w:val="21"/>
        </w:rPr>
        <w:t> </w:t>
      </w:r>
      <w:r>
        <w:rPr>
          <w:sz w:val="21"/>
        </w:rPr>
        <w:t>that</w:t>
      </w:r>
      <w:r>
        <w:rPr>
          <w:spacing w:val="-8"/>
          <w:sz w:val="21"/>
        </w:rPr>
        <w:t> </w:t>
      </w:r>
      <w:r>
        <w:rPr>
          <w:sz w:val="21"/>
        </w:rPr>
        <w:t>were</w:t>
      </w:r>
      <w:r>
        <w:rPr>
          <w:spacing w:val="-7"/>
          <w:sz w:val="21"/>
        </w:rPr>
        <w:t> </w:t>
      </w:r>
      <w:r>
        <w:rPr>
          <w:sz w:val="21"/>
        </w:rPr>
        <w:t>opened in</w:t>
      </w:r>
      <w:r>
        <w:rPr>
          <w:spacing w:val="-7"/>
          <w:sz w:val="21"/>
        </w:rPr>
        <w:t> </w:t>
      </w:r>
      <w:r>
        <w:rPr>
          <w:sz w:val="21"/>
        </w:rPr>
        <w:t>FY</w:t>
      </w:r>
      <w:r>
        <w:rPr>
          <w:spacing w:val="-7"/>
          <w:sz w:val="21"/>
        </w:rPr>
        <w:t> </w:t>
      </w:r>
      <w:r>
        <w:rPr>
          <w:sz w:val="21"/>
        </w:rPr>
        <w:t>2022</w:t>
      </w:r>
      <w:r>
        <w:rPr>
          <w:spacing w:val="-8"/>
          <w:sz w:val="21"/>
        </w:rPr>
        <w:t> </w:t>
      </w:r>
      <w:r>
        <w:rPr>
          <w:sz w:val="21"/>
        </w:rPr>
        <w:t>and</w:t>
      </w:r>
      <w:r>
        <w:rPr>
          <w:spacing w:val="-7"/>
          <w:sz w:val="21"/>
        </w:rPr>
        <w:t> </w:t>
      </w:r>
      <w:r>
        <w:rPr>
          <w:sz w:val="21"/>
        </w:rPr>
        <w:t>FY</w:t>
      </w:r>
      <w:r>
        <w:rPr>
          <w:spacing w:val="-7"/>
          <w:sz w:val="21"/>
        </w:rPr>
        <w:t> </w:t>
      </w:r>
      <w:r>
        <w:rPr>
          <w:sz w:val="21"/>
        </w:rPr>
        <w:t>2023;</w:t>
      </w:r>
      <w:r>
        <w:rPr>
          <w:spacing w:val="-8"/>
          <w:sz w:val="21"/>
        </w:rPr>
        <w:t> </w:t>
      </w:r>
      <w:r>
        <w:rPr>
          <w:sz w:val="21"/>
        </w:rPr>
        <w:t>Commission</w:t>
      </w:r>
      <w:r>
        <w:rPr>
          <w:spacing w:val="-7"/>
          <w:sz w:val="21"/>
        </w:rPr>
        <w:t> </w:t>
      </w:r>
      <w:r>
        <w:rPr>
          <w:sz w:val="21"/>
        </w:rPr>
        <w:t>staff</w:t>
      </w:r>
      <w:r>
        <w:rPr>
          <w:spacing w:val="-7"/>
          <w:sz w:val="21"/>
        </w:rPr>
        <w:t> </w:t>
      </w:r>
      <w:r>
        <w:rPr>
          <w:sz w:val="21"/>
        </w:rPr>
        <w:t>had</w:t>
      </w:r>
      <w:r>
        <w:rPr>
          <w:spacing w:val="-8"/>
          <w:sz w:val="21"/>
        </w:rPr>
        <w:t> </w:t>
      </w:r>
      <w:r>
        <w:rPr>
          <w:sz w:val="21"/>
        </w:rPr>
        <w:t>the</w:t>
      </w:r>
      <w:r>
        <w:rPr>
          <w:spacing w:val="-8"/>
          <w:sz w:val="21"/>
        </w:rPr>
        <w:t> </w:t>
      </w:r>
      <w:r>
        <w:rPr>
          <w:sz w:val="21"/>
        </w:rPr>
        <w:t>pleasure</w:t>
      </w:r>
      <w:r>
        <w:rPr>
          <w:spacing w:val="-7"/>
          <w:sz w:val="21"/>
        </w:rPr>
        <w:t> </w:t>
      </w:r>
      <w:r>
        <w:rPr>
          <w:sz w:val="21"/>
        </w:rPr>
        <w:t>to</w:t>
      </w:r>
      <w:r>
        <w:rPr>
          <w:spacing w:val="-7"/>
          <w:sz w:val="21"/>
        </w:rPr>
        <w:t> </w:t>
      </w:r>
      <w:r>
        <w:rPr>
          <w:sz w:val="21"/>
        </w:rPr>
        <w:t>visit</w:t>
      </w:r>
      <w:r>
        <w:rPr>
          <w:spacing w:val="-7"/>
          <w:sz w:val="21"/>
        </w:rPr>
        <w:t> </w:t>
      </w:r>
      <w:r>
        <w:rPr>
          <w:sz w:val="21"/>
        </w:rPr>
        <w:t>DMH’s</w:t>
      </w:r>
      <w:r>
        <w:rPr>
          <w:spacing w:val="-7"/>
          <w:sz w:val="21"/>
        </w:rPr>
        <w:t> </w:t>
      </w:r>
      <w:r>
        <w:rPr>
          <w:sz w:val="21"/>
        </w:rPr>
        <w:t>first</w:t>
      </w:r>
      <w:r>
        <w:rPr>
          <w:spacing w:val="-6"/>
          <w:sz w:val="21"/>
        </w:rPr>
        <w:t> </w:t>
      </w:r>
      <w:r>
        <w:rPr>
          <w:sz w:val="21"/>
        </w:rPr>
        <w:t>center</w:t>
      </w:r>
      <w:r>
        <w:rPr>
          <w:spacing w:val="-7"/>
          <w:sz w:val="21"/>
        </w:rPr>
        <w:t> </w:t>
      </w:r>
      <w:r>
        <w:rPr>
          <w:sz w:val="21"/>
        </w:rPr>
        <w:t>in</w:t>
      </w:r>
      <w:r>
        <w:rPr>
          <w:spacing w:val="-8"/>
          <w:sz w:val="21"/>
        </w:rPr>
        <w:t> </w:t>
      </w:r>
      <w:r>
        <w:rPr>
          <w:sz w:val="21"/>
        </w:rPr>
        <w:t>Boston</w:t>
      </w:r>
      <w:r>
        <w:rPr>
          <w:spacing w:val="-8"/>
          <w:sz w:val="21"/>
        </w:rPr>
        <w:t> </w:t>
      </w:r>
      <w:r>
        <w:rPr>
          <w:sz w:val="21"/>
        </w:rPr>
        <w:t>and</w:t>
      </w:r>
      <w:r>
        <w:rPr>
          <w:spacing w:val="-7"/>
          <w:sz w:val="21"/>
        </w:rPr>
        <w:t> </w:t>
      </w:r>
      <w:r>
        <w:rPr>
          <w:sz w:val="21"/>
        </w:rPr>
        <w:t>learn</w:t>
      </w:r>
      <w:r>
        <w:rPr>
          <w:spacing w:val="-8"/>
          <w:sz w:val="21"/>
        </w:rPr>
        <w:t> </w:t>
      </w:r>
      <w:r>
        <w:rPr>
          <w:sz w:val="21"/>
        </w:rPr>
        <w:t>more from</w:t>
      </w:r>
      <w:r>
        <w:rPr>
          <w:spacing w:val="-12"/>
          <w:sz w:val="21"/>
        </w:rPr>
        <w:t> </w:t>
      </w:r>
      <w:r>
        <w:rPr>
          <w:sz w:val="21"/>
        </w:rPr>
        <w:t>staff</w:t>
      </w:r>
      <w:r>
        <w:rPr>
          <w:spacing w:val="-12"/>
          <w:sz w:val="21"/>
        </w:rPr>
        <w:t> </w:t>
      </w:r>
      <w:r>
        <w:rPr>
          <w:sz w:val="21"/>
        </w:rPr>
        <w:t>about</w:t>
      </w:r>
      <w:r>
        <w:rPr>
          <w:spacing w:val="-12"/>
          <w:sz w:val="21"/>
        </w:rPr>
        <w:t> </w:t>
      </w:r>
      <w:r>
        <w:rPr>
          <w:sz w:val="21"/>
        </w:rPr>
        <w:t>their</w:t>
      </w:r>
      <w:r>
        <w:rPr>
          <w:spacing w:val="-12"/>
          <w:sz w:val="21"/>
        </w:rPr>
        <w:t> </w:t>
      </w:r>
      <w:r>
        <w:rPr>
          <w:sz w:val="21"/>
        </w:rPr>
        <w:t>work</w:t>
      </w:r>
      <w:r>
        <w:rPr>
          <w:spacing w:val="-12"/>
          <w:sz w:val="21"/>
        </w:rPr>
        <w:t> </w:t>
      </w:r>
      <w:r>
        <w:rPr>
          <w:sz w:val="21"/>
        </w:rPr>
        <w:t>creating</w:t>
      </w:r>
      <w:r>
        <w:rPr>
          <w:spacing w:val="-12"/>
          <w:sz w:val="21"/>
        </w:rPr>
        <w:t> </w:t>
      </w:r>
      <w:r>
        <w:rPr>
          <w:sz w:val="21"/>
        </w:rPr>
        <w:t>low-barrier,</w:t>
      </w:r>
      <w:r>
        <w:rPr>
          <w:spacing w:val="-12"/>
          <w:sz w:val="21"/>
        </w:rPr>
        <w:t> </w:t>
      </w:r>
      <w:r>
        <w:rPr>
          <w:sz w:val="21"/>
        </w:rPr>
        <w:t>safe,</w:t>
      </w:r>
      <w:r>
        <w:rPr>
          <w:spacing w:val="-11"/>
          <w:sz w:val="21"/>
        </w:rPr>
        <w:t> </w:t>
      </w:r>
      <w:r>
        <w:rPr>
          <w:sz w:val="21"/>
        </w:rPr>
        <w:t>and</w:t>
      </w:r>
      <w:r>
        <w:rPr>
          <w:spacing w:val="-12"/>
          <w:sz w:val="21"/>
        </w:rPr>
        <w:t> </w:t>
      </w:r>
      <w:r>
        <w:rPr>
          <w:sz w:val="21"/>
        </w:rPr>
        <w:t>affirming</w:t>
      </w:r>
      <w:r>
        <w:rPr>
          <w:spacing w:val="-12"/>
          <w:sz w:val="21"/>
        </w:rPr>
        <w:t> </w:t>
      </w:r>
      <w:r>
        <w:rPr>
          <w:sz w:val="21"/>
        </w:rPr>
        <w:t>spaces</w:t>
      </w:r>
      <w:r>
        <w:rPr>
          <w:spacing w:val="-12"/>
          <w:sz w:val="21"/>
        </w:rPr>
        <w:t> </w:t>
      </w:r>
      <w:r>
        <w:rPr>
          <w:sz w:val="21"/>
        </w:rPr>
        <w:t>for</w:t>
      </w:r>
      <w:r>
        <w:rPr>
          <w:spacing w:val="-12"/>
          <w:sz w:val="21"/>
        </w:rPr>
        <w:t> </w:t>
      </w:r>
      <w:r>
        <w:rPr>
          <w:sz w:val="21"/>
        </w:rPr>
        <w:t>youth</w:t>
      </w:r>
      <w:r>
        <w:rPr>
          <w:spacing w:val="-12"/>
          <w:sz w:val="21"/>
        </w:rPr>
        <w:t> </w:t>
      </w:r>
      <w:r>
        <w:rPr>
          <w:sz w:val="21"/>
        </w:rPr>
        <w:t>in</w:t>
      </w:r>
      <w:r>
        <w:rPr>
          <w:spacing w:val="-12"/>
          <w:sz w:val="21"/>
        </w:rPr>
        <w:t> </w:t>
      </w:r>
      <w:r>
        <w:rPr>
          <w:sz w:val="21"/>
        </w:rPr>
        <w:t>their</w:t>
      </w:r>
      <w:r>
        <w:rPr>
          <w:spacing w:val="-12"/>
          <w:sz w:val="21"/>
        </w:rPr>
        <w:t> </w:t>
      </w:r>
      <w:r>
        <w:rPr>
          <w:sz w:val="21"/>
        </w:rPr>
        <w:t>own</w:t>
      </w:r>
      <w:r>
        <w:rPr>
          <w:spacing w:val="-11"/>
          <w:sz w:val="21"/>
        </w:rPr>
        <w:t> </w:t>
      </w:r>
      <w:r>
        <w:rPr>
          <w:sz w:val="21"/>
        </w:rPr>
        <w:t>communities. DMH notes that several of the access centers have begun their own LGBTQ support groups and are designed to be peer-focused and trauma-informed, as well as have majority BIPOC, LGBTQ, and bilingual staff. The spaces</w:t>
      </w:r>
      <w:r>
        <w:rPr>
          <w:spacing w:val="-12"/>
          <w:sz w:val="21"/>
        </w:rPr>
        <w:t> </w:t>
      </w:r>
      <w:r>
        <w:rPr>
          <w:sz w:val="21"/>
        </w:rPr>
        <w:t>work</w:t>
      </w:r>
      <w:r>
        <w:rPr>
          <w:spacing w:val="-12"/>
          <w:sz w:val="21"/>
        </w:rPr>
        <w:t> </w:t>
      </w:r>
      <w:r>
        <w:rPr>
          <w:sz w:val="21"/>
        </w:rPr>
        <w:t>to</w:t>
      </w:r>
      <w:r>
        <w:rPr>
          <w:spacing w:val="-12"/>
          <w:sz w:val="21"/>
        </w:rPr>
        <w:t> </w:t>
      </w:r>
      <w:r>
        <w:rPr>
          <w:sz w:val="21"/>
        </w:rPr>
        <w:t>connect</w:t>
      </w:r>
      <w:r>
        <w:rPr>
          <w:spacing w:val="-12"/>
          <w:sz w:val="21"/>
        </w:rPr>
        <w:t> </w:t>
      </w:r>
      <w:r>
        <w:rPr>
          <w:sz w:val="21"/>
        </w:rPr>
        <w:t>youth</w:t>
      </w:r>
      <w:r>
        <w:rPr>
          <w:spacing w:val="-11"/>
          <w:sz w:val="21"/>
        </w:rPr>
        <w:t> </w:t>
      </w:r>
      <w:r>
        <w:rPr>
          <w:sz w:val="21"/>
        </w:rPr>
        <w:t>with</w:t>
      </w:r>
      <w:r>
        <w:rPr>
          <w:spacing w:val="-12"/>
          <w:sz w:val="21"/>
        </w:rPr>
        <w:t> </w:t>
      </w:r>
      <w:r>
        <w:rPr>
          <w:sz w:val="21"/>
        </w:rPr>
        <w:t>need</w:t>
      </w:r>
      <w:r>
        <w:rPr>
          <w:spacing w:val="-11"/>
          <w:sz w:val="21"/>
        </w:rPr>
        <w:t> </w:t>
      </w:r>
      <w:r>
        <w:rPr>
          <w:sz w:val="21"/>
        </w:rPr>
        <w:t>services,</w:t>
      </w:r>
      <w:r>
        <w:rPr>
          <w:spacing w:val="-12"/>
          <w:sz w:val="21"/>
        </w:rPr>
        <w:t> </w:t>
      </w:r>
      <w:r>
        <w:rPr>
          <w:sz w:val="21"/>
        </w:rPr>
        <w:t>promote</w:t>
      </w:r>
      <w:r>
        <w:rPr>
          <w:spacing w:val="-12"/>
          <w:sz w:val="21"/>
        </w:rPr>
        <w:t> </w:t>
      </w:r>
      <w:r>
        <w:rPr>
          <w:sz w:val="21"/>
        </w:rPr>
        <w:t>leadership</w:t>
      </w:r>
      <w:r>
        <w:rPr>
          <w:spacing w:val="-10"/>
          <w:sz w:val="21"/>
        </w:rPr>
        <w:t> </w:t>
      </w:r>
      <w:r>
        <w:rPr>
          <w:sz w:val="21"/>
        </w:rPr>
        <w:t>opportunities,</w:t>
      </w:r>
      <w:r>
        <w:rPr>
          <w:spacing w:val="-12"/>
          <w:sz w:val="21"/>
        </w:rPr>
        <w:t> </w:t>
      </w:r>
      <w:r>
        <w:rPr>
          <w:sz w:val="21"/>
        </w:rPr>
        <w:t>and</w:t>
      </w:r>
      <w:r>
        <w:rPr>
          <w:spacing w:val="-11"/>
          <w:sz w:val="21"/>
        </w:rPr>
        <w:t> </w:t>
      </w:r>
      <w:r>
        <w:rPr>
          <w:sz w:val="21"/>
        </w:rPr>
        <w:t>provide</w:t>
      </w:r>
      <w:r>
        <w:rPr>
          <w:spacing w:val="-12"/>
          <w:sz w:val="21"/>
        </w:rPr>
        <w:t> </w:t>
      </w:r>
      <w:r>
        <w:rPr>
          <w:sz w:val="21"/>
        </w:rPr>
        <w:t>skills</w:t>
      </w:r>
      <w:r>
        <w:rPr>
          <w:spacing w:val="-12"/>
          <w:sz w:val="21"/>
        </w:rPr>
        <w:t> </w:t>
      </w:r>
      <w:r>
        <w:rPr>
          <w:sz w:val="21"/>
        </w:rPr>
        <w:t>building and community support. The Commission looks forward to exploring ways to partner with DMH further to support these much-needed centers across the state.</w:t>
      </w:r>
    </w:p>
    <w:p>
      <w:pPr>
        <w:pStyle w:val="BodyText"/>
        <w:spacing w:before="144"/>
        <w:rPr>
          <w:sz w:val="21"/>
        </w:rPr>
      </w:pPr>
    </w:p>
    <w:p>
      <w:pPr>
        <w:tabs>
          <w:tab w:pos="9865" w:val="left" w:leader="none"/>
        </w:tabs>
        <w:spacing w:before="0"/>
        <w:ind w:left="453" w:right="0" w:firstLine="0"/>
        <w:jc w:val="both"/>
        <w:rPr>
          <w:rFonts w:ascii="Cambria"/>
          <w:sz w:val="28"/>
        </w:rPr>
      </w:pPr>
      <w:r>
        <w:rPr>
          <w:rFonts w:ascii="Cambria"/>
          <w:color w:val="365F91"/>
          <w:spacing w:val="-33"/>
          <w:sz w:val="28"/>
          <w:u w:val="single" w:color="4F81BC"/>
        </w:rPr>
        <w:t> </w:t>
      </w:r>
      <w:r>
        <w:rPr>
          <w:rFonts w:ascii="Cambria"/>
          <w:color w:val="365F91"/>
          <w:sz w:val="28"/>
          <w:u w:val="single" w:color="4F81BC"/>
        </w:rPr>
        <w:t>FY</w:t>
      </w:r>
      <w:r>
        <w:rPr>
          <w:rFonts w:ascii="Cambria"/>
          <w:color w:val="365F91"/>
          <w:spacing w:val="-12"/>
          <w:sz w:val="28"/>
          <w:u w:val="single" w:color="4F81BC"/>
        </w:rPr>
        <w:t> </w:t>
      </w:r>
      <w:r>
        <w:rPr>
          <w:rFonts w:ascii="Cambria"/>
          <w:color w:val="365F91"/>
          <w:sz w:val="28"/>
          <w:u w:val="single" w:color="4F81BC"/>
        </w:rPr>
        <w:t>2025</w:t>
      </w:r>
      <w:r>
        <w:rPr>
          <w:rFonts w:ascii="Cambria"/>
          <w:color w:val="365F91"/>
          <w:spacing w:val="-7"/>
          <w:sz w:val="28"/>
          <w:u w:val="single" w:color="4F81BC"/>
        </w:rPr>
        <w:t> </w:t>
      </w:r>
      <w:r>
        <w:rPr>
          <w:rFonts w:ascii="Cambria"/>
          <w:color w:val="365F91"/>
          <w:sz w:val="28"/>
          <w:u w:val="single" w:color="4F81BC"/>
        </w:rPr>
        <w:t>Expanded</w:t>
      </w:r>
      <w:r>
        <w:rPr>
          <w:rFonts w:ascii="Cambria"/>
          <w:color w:val="365F91"/>
          <w:spacing w:val="-7"/>
          <w:sz w:val="28"/>
          <w:u w:val="single" w:color="4F81BC"/>
        </w:rPr>
        <w:t> </w:t>
      </w:r>
      <w:r>
        <w:rPr>
          <w:rFonts w:ascii="Cambria"/>
          <w:color w:val="365F91"/>
          <w:sz w:val="28"/>
          <w:u w:val="single" w:color="4F81BC"/>
        </w:rPr>
        <w:t>DMH</w:t>
      </w:r>
      <w:r>
        <w:rPr>
          <w:rFonts w:ascii="Cambria"/>
          <w:color w:val="365F91"/>
          <w:spacing w:val="-8"/>
          <w:sz w:val="28"/>
          <w:u w:val="single" w:color="4F81BC"/>
        </w:rPr>
        <w:t> </w:t>
      </w:r>
      <w:r>
        <w:rPr>
          <w:rFonts w:ascii="Cambria"/>
          <w:color w:val="365F91"/>
          <w:spacing w:val="-2"/>
          <w:sz w:val="28"/>
          <w:u w:val="single" w:color="4F81BC"/>
        </w:rPr>
        <w:t>Recommendations</w:t>
      </w:r>
      <w:r>
        <w:rPr>
          <w:rFonts w:ascii="Cambria"/>
          <w:color w:val="365F91"/>
          <w:sz w:val="28"/>
          <w:u w:val="single" w:color="4F81BC"/>
        </w:rPr>
        <w:tab/>
      </w:r>
    </w:p>
    <w:p>
      <w:pPr>
        <w:pStyle w:val="BodyText"/>
        <w:spacing w:before="13"/>
        <w:rPr>
          <w:rFonts w:ascii="Cambria"/>
        </w:rPr>
      </w:pPr>
    </w:p>
    <w:p>
      <w:pPr>
        <w:numPr>
          <w:ilvl w:val="0"/>
          <w:numId w:val="40"/>
        </w:numPr>
        <w:tabs>
          <w:tab w:pos="481" w:val="left" w:leader="none"/>
          <w:tab w:pos="483" w:val="left" w:leader="none"/>
        </w:tabs>
        <w:spacing w:line="276" w:lineRule="auto" w:before="0"/>
        <w:ind w:left="483" w:right="343" w:hanging="360"/>
        <w:jc w:val="left"/>
        <w:rPr>
          <w:b/>
          <w:sz w:val="22"/>
        </w:rPr>
      </w:pPr>
      <w:r>
        <w:rPr>
          <w:b/>
          <w:sz w:val="22"/>
        </w:rPr>
        <w:t>Develop accessible, trauma-informed mental health resources and programs for QTBIPOC youth and LGBTQ first-generation youth.</w:t>
      </w:r>
    </w:p>
    <w:p>
      <w:pPr>
        <w:pStyle w:val="BodyText"/>
        <w:spacing w:line="276" w:lineRule="auto" w:before="239"/>
        <w:ind w:left="483" w:right="342"/>
        <w:jc w:val="both"/>
      </w:pPr>
      <w:r>
        <w:rPr/>
        <w:t>As discussed in the Commission’s core sections above, the need for trauma-informed mental health resources</w:t>
      </w:r>
      <w:r>
        <w:rPr>
          <w:spacing w:val="-5"/>
        </w:rPr>
        <w:t> </w:t>
      </w:r>
      <w:r>
        <w:rPr/>
        <w:t>and</w:t>
      </w:r>
      <w:r>
        <w:rPr>
          <w:spacing w:val="-6"/>
        </w:rPr>
        <w:t> </w:t>
      </w:r>
      <w:r>
        <w:rPr/>
        <w:t>programs</w:t>
      </w:r>
      <w:r>
        <w:rPr>
          <w:spacing w:val="-5"/>
        </w:rPr>
        <w:t> </w:t>
      </w:r>
      <w:r>
        <w:rPr/>
        <w:t>for</w:t>
      </w:r>
      <w:r>
        <w:rPr>
          <w:spacing w:val="-5"/>
        </w:rPr>
        <w:t> </w:t>
      </w:r>
      <w:r>
        <w:rPr/>
        <w:t>LGBTQ</w:t>
      </w:r>
      <w:r>
        <w:rPr>
          <w:spacing w:val="-6"/>
        </w:rPr>
        <w:t> </w:t>
      </w:r>
      <w:r>
        <w:rPr/>
        <w:t>foreign-born</w:t>
      </w:r>
      <w:r>
        <w:rPr>
          <w:spacing w:val="-4"/>
        </w:rPr>
        <w:t> </w:t>
      </w:r>
      <w:r>
        <w:rPr/>
        <w:t>youth</w:t>
      </w:r>
      <w:r>
        <w:rPr>
          <w:spacing w:val="-4"/>
        </w:rPr>
        <w:t> </w:t>
      </w:r>
      <w:r>
        <w:rPr/>
        <w:t>is</w:t>
      </w:r>
      <w:r>
        <w:rPr>
          <w:spacing w:val="-4"/>
        </w:rPr>
        <w:t> </w:t>
      </w:r>
      <w:r>
        <w:rPr/>
        <w:t>immense.</w:t>
      </w:r>
      <w:r>
        <w:rPr>
          <w:spacing w:val="-6"/>
        </w:rPr>
        <w:t> </w:t>
      </w:r>
      <w:r>
        <w:rPr/>
        <w:t>First</w:t>
      </w:r>
      <w:r>
        <w:rPr>
          <w:spacing w:val="-5"/>
        </w:rPr>
        <w:t> </w:t>
      </w:r>
      <w:r>
        <w:rPr/>
        <w:t>offered</w:t>
      </w:r>
      <w:r>
        <w:rPr>
          <w:spacing w:val="-6"/>
        </w:rPr>
        <w:t> </w:t>
      </w:r>
      <w:r>
        <w:rPr/>
        <w:t>in</w:t>
      </w:r>
      <w:r>
        <w:rPr>
          <w:spacing w:val="-4"/>
        </w:rPr>
        <w:t> </w:t>
      </w:r>
      <w:r>
        <w:rPr/>
        <w:t>FY24,</w:t>
      </w:r>
      <w:r>
        <w:rPr>
          <w:spacing w:val="-4"/>
        </w:rPr>
        <w:t> </w:t>
      </w:r>
      <w:r>
        <w:rPr/>
        <w:t>the</w:t>
      </w:r>
      <w:r>
        <w:rPr>
          <w:spacing w:val="-6"/>
        </w:rPr>
        <w:t> </w:t>
      </w:r>
      <w:r>
        <w:rPr/>
        <w:t>Commission continues</w:t>
      </w:r>
      <w:r>
        <w:rPr>
          <w:spacing w:val="-13"/>
        </w:rPr>
        <w:t> </w:t>
      </w:r>
      <w:r>
        <w:rPr/>
        <w:t>to</w:t>
      </w:r>
      <w:r>
        <w:rPr>
          <w:spacing w:val="-12"/>
        </w:rPr>
        <w:t> </w:t>
      </w:r>
      <w:r>
        <w:rPr/>
        <w:t>strongly</w:t>
      </w:r>
      <w:r>
        <w:rPr>
          <w:spacing w:val="-13"/>
        </w:rPr>
        <w:t> </w:t>
      </w:r>
      <w:r>
        <w:rPr/>
        <w:t>recommend</w:t>
      </w:r>
      <w:r>
        <w:rPr>
          <w:spacing w:val="-12"/>
        </w:rPr>
        <w:t> </w:t>
      </w:r>
      <w:r>
        <w:rPr/>
        <w:t>that</w:t>
      </w:r>
      <w:r>
        <w:rPr>
          <w:spacing w:val="-13"/>
        </w:rPr>
        <w:t> </w:t>
      </w:r>
      <w:r>
        <w:rPr/>
        <w:t>DMH</w:t>
      </w:r>
      <w:r>
        <w:rPr>
          <w:spacing w:val="-12"/>
        </w:rPr>
        <w:t> </w:t>
      </w:r>
      <w:r>
        <w:rPr/>
        <w:t>partner</w:t>
      </w:r>
      <w:r>
        <w:rPr>
          <w:spacing w:val="-13"/>
        </w:rPr>
        <w:t> </w:t>
      </w:r>
      <w:r>
        <w:rPr/>
        <w:t>with</w:t>
      </w:r>
      <w:r>
        <w:rPr>
          <w:spacing w:val="-12"/>
        </w:rPr>
        <w:t> </w:t>
      </w:r>
      <w:r>
        <w:rPr/>
        <w:t>ORI</w:t>
      </w:r>
      <w:r>
        <w:rPr>
          <w:spacing w:val="-12"/>
        </w:rPr>
        <w:t> </w:t>
      </w:r>
      <w:r>
        <w:rPr/>
        <w:t>and</w:t>
      </w:r>
      <w:r>
        <w:rPr>
          <w:spacing w:val="-13"/>
        </w:rPr>
        <w:t> </w:t>
      </w:r>
      <w:r>
        <w:rPr/>
        <w:t>community-based</w:t>
      </w:r>
      <w:r>
        <w:rPr>
          <w:spacing w:val="-12"/>
        </w:rPr>
        <w:t> </w:t>
      </w:r>
      <w:r>
        <w:rPr/>
        <w:t>organizations</w:t>
      </w:r>
      <w:r>
        <w:rPr>
          <w:spacing w:val="-13"/>
        </w:rPr>
        <w:t> </w:t>
      </w:r>
      <w:r>
        <w:rPr/>
        <w:t>serving these populations of youth to address the significant gaps in service provision often seen for youth who</w:t>
      </w:r>
    </w:p>
    <w:p>
      <w:pPr>
        <w:spacing w:after="0" w:line="276" w:lineRule="auto"/>
        <w:jc w:val="both"/>
        <w:sectPr>
          <w:pgSz w:w="12240" w:h="15840"/>
          <w:pgMar w:header="804" w:footer="1263" w:top="1000" w:bottom="1460" w:left="960" w:right="1100"/>
        </w:sectPr>
      </w:pPr>
    </w:p>
    <w:p>
      <w:pPr>
        <w:pStyle w:val="BodyText"/>
        <w:spacing w:before="98"/>
      </w:pPr>
    </w:p>
    <w:p>
      <w:pPr>
        <w:pStyle w:val="BodyText"/>
        <w:spacing w:line="276" w:lineRule="auto"/>
        <w:ind w:left="483" w:right="345"/>
        <w:jc w:val="both"/>
      </w:pPr>
      <w:r>
        <w:rPr/>
        <w:t>do not have English as a first language, are undocumented, or do not overall have the same access to mental health resources.</w:t>
      </w:r>
    </w:p>
    <w:p>
      <w:pPr>
        <w:pStyle w:val="BodyText"/>
        <w:spacing w:line="276" w:lineRule="auto" w:before="240"/>
        <w:ind w:left="483" w:right="343"/>
        <w:jc w:val="both"/>
      </w:pPr>
      <w:r>
        <w:rPr/>
        <w:t>As previously established throughout this report, culturally competent mental health care for QTBIPOC youth</w:t>
      </w:r>
      <w:r>
        <w:rPr>
          <w:spacing w:val="-7"/>
        </w:rPr>
        <w:t> </w:t>
      </w:r>
      <w:r>
        <w:rPr/>
        <w:t>is</w:t>
      </w:r>
      <w:r>
        <w:rPr>
          <w:spacing w:val="-7"/>
        </w:rPr>
        <w:t> </w:t>
      </w:r>
      <w:r>
        <w:rPr/>
        <w:t>sparse.</w:t>
      </w:r>
      <w:r>
        <w:rPr>
          <w:spacing w:val="-8"/>
        </w:rPr>
        <w:t> </w:t>
      </w:r>
      <w:r>
        <w:rPr/>
        <w:t>As</w:t>
      </w:r>
      <w:r>
        <w:rPr>
          <w:spacing w:val="-6"/>
        </w:rPr>
        <w:t> </w:t>
      </w:r>
      <w:r>
        <w:rPr/>
        <w:t>of</w:t>
      </w:r>
      <w:r>
        <w:rPr>
          <w:spacing w:val="-6"/>
        </w:rPr>
        <w:t> </w:t>
      </w:r>
      <w:r>
        <w:rPr/>
        <w:t>the</w:t>
      </w:r>
      <w:r>
        <w:rPr>
          <w:spacing w:val="-7"/>
        </w:rPr>
        <w:t> </w:t>
      </w:r>
      <w:r>
        <w:rPr/>
        <w:t>spring</w:t>
      </w:r>
      <w:r>
        <w:rPr>
          <w:spacing w:val="-7"/>
        </w:rPr>
        <w:t> </w:t>
      </w:r>
      <w:r>
        <w:rPr/>
        <w:t>of</w:t>
      </w:r>
      <w:r>
        <w:rPr>
          <w:spacing w:val="-8"/>
        </w:rPr>
        <w:t> </w:t>
      </w:r>
      <w:r>
        <w:rPr/>
        <w:t>2023,</w:t>
      </w:r>
      <w:r>
        <w:rPr>
          <w:spacing w:val="-7"/>
        </w:rPr>
        <w:t> </w:t>
      </w:r>
      <w:r>
        <w:rPr/>
        <w:t>DMH</w:t>
      </w:r>
      <w:r>
        <w:rPr>
          <w:spacing w:val="-8"/>
        </w:rPr>
        <w:t> </w:t>
      </w:r>
      <w:r>
        <w:rPr/>
        <w:t>has</w:t>
      </w:r>
      <w:r>
        <w:rPr>
          <w:spacing w:val="-6"/>
        </w:rPr>
        <w:t> </w:t>
      </w:r>
      <w:r>
        <w:rPr/>
        <w:t>made</w:t>
      </w:r>
      <w:r>
        <w:rPr>
          <w:spacing w:val="-8"/>
        </w:rPr>
        <w:t> </w:t>
      </w:r>
      <w:r>
        <w:rPr/>
        <w:t>excellent</w:t>
      </w:r>
      <w:r>
        <w:rPr>
          <w:spacing w:val="-7"/>
        </w:rPr>
        <w:t> </w:t>
      </w:r>
      <w:r>
        <w:rPr/>
        <w:t>strides</w:t>
      </w:r>
      <w:r>
        <w:rPr>
          <w:spacing w:val="-7"/>
        </w:rPr>
        <w:t> </w:t>
      </w:r>
      <w:r>
        <w:rPr/>
        <w:t>in</w:t>
      </w:r>
      <w:r>
        <w:rPr>
          <w:spacing w:val="-7"/>
        </w:rPr>
        <w:t> </w:t>
      </w:r>
      <w:r>
        <w:rPr/>
        <w:t>opening</w:t>
      </w:r>
      <w:r>
        <w:rPr>
          <w:spacing w:val="-7"/>
        </w:rPr>
        <w:t> </w:t>
      </w:r>
      <w:r>
        <w:rPr/>
        <w:t>a</w:t>
      </w:r>
      <w:r>
        <w:rPr>
          <w:spacing w:val="-7"/>
        </w:rPr>
        <w:t> </w:t>
      </w:r>
      <w:r>
        <w:rPr/>
        <w:t>series</w:t>
      </w:r>
      <w:r>
        <w:rPr>
          <w:spacing w:val="-5"/>
        </w:rPr>
        <w:t> </w:t>
      </w:r>
      <w:r>
        <w:rPr/>
        <w:t>of</w:t>
      </w:r>
      <w:r>
        <w:rPr>
          <w:spacing w:val="-8"/>
        </w:rPr>
        <w:t> </w:t>
      </w:r>
      <w:r>
        <w:rPr/>
        <w:t>ten</w:t>
      </w:r>
      <w:r>
        <w:rPr>
          <w:spacing w:val="-7"/>
        </w:rPr>
        <w:t> </w:t>
      </w:r>
      <w:r>
        <w:rPr/>
        <w:t>young adult access centers designed to provide low-barrier spaces for LGBTQ &amp; BIPOC youth to receive access to</w:t>
      </w:r>
      <w:r>
        <w:rPr>
          <w:spacing w:val="-8"/>
        </w:rPr>
        <w:t> </w:t>
      </w:r>
      <w:r>
        <w:rPr/>
        <w:t>community-based</w:t>
      </w:r>
      <w:r>
        <w:rPr>
          <w:spacing w:val="-8"/>
        </w:rPr>
        <w:t> </w:t>
      </w:r>
      <w:r>
        <w:rPr/>
        <w:t>mental</w:t>
      </w:r>
      <w:r>
        <w:rPr>
          <w:spacing w:val="-9"/>
        </w:rPr>
        <w:t> </w:t>
      </w:r>
      <w:r>
        <w:rPr/>
        <w:t>&amp;</w:t>
      </w:r>
      <w:r>
        <w:rPr>
          <w:spacing w:val="-7"/>
        </w:rPr>
        <w:t> </w:t>
      </w:r>
      <w:r>
        <w:rPr/>
        <w:t>public</w:t>
      </w:r>
      <w:r>
        <w:rPr>
          <w:spacing w:val="-8"/>
        </w:rPr>
        <w:t> </w:t>
      </w:r>
      <w:r>
        <w:rPr/>
        <w:t>health</w:t>
      </w:r>
      <w:r>
        <w:rPr>
          <w:spacing w:val="-9"/>
        </w:rPr>
        <w:t> </w:t>
      </w:r>
      <w:r>
        <w:rPr/>
        <w:t>services,</w:t>
      </w:r>
      <w:r>
        <w:rPr>
          <w:spacing w:val="-7"/>
        </w:rPr>
        <w:t> </w:t>
      </w:r>
      <w:r>
        <w:rPr/>
        <w:t>skill-building,</w:t>
      </w:r>
      <w:r>
        <w:rPr>
          <w:spacing w:val="-6"/>
        </w:rPr>
        <w:t> </w:t>
      </w:r>
      <w:r>
        <w:rPr/>
        <w:t>and</w:t>
      </w:r>
      <w:r>
        <w:rPr>
          <w:spacing w:val="-9"/>
        </w:rPr>
        <w:t> </w:t>
      </w:r>
      <w:r>
        <w:rPr/>
        <w:t>peer</w:t>
      </w:r>
      <w:r>
        <w:rPr>
          <w:spacing w:val="-9"/>
        </w:rPr>
        <w:t> </w:t>
      </w:r>
      <w:r>
        <w:rPr/>
        <w:t>support.</w:t>
      </w:r>
      <w:r>
        <w:rPr>
          <w:spacing w:val="-9"/>
        </w:rPr>
        <w:t> </w:t>
      </w:r>
      <w:r>
        <w:rPr/>
        <w:t>However,</w:t>
      </w:r>
      <w:r>
        <w:rPr>
          <w:spacing w:val="-8"/>
        </w:rPr>
        <w:t> </w:t>
      </w:r>
      <w:r>
        <w:rPr/>
        <w:t>based</w:t>
      </w:r>
      <w:r>
        <w:rPr>
          <w:spacing w:val="-9"/>
        </w:rPr>
        <w:t> </w:t>
      </w:r>
      <w:r>
        <w:rPr/>
        <w:t>on conversations with DMH liaisons, LGBTQ youth, and state-based surveys on mental health needs, the Commission recommends that DMH develop stronger partnerships and opportunities to engage on the ground with youth-serving organizations and youth themselves to better understand the barriers to mental</w:t>
      </w:r>
      <w:r>
        <w:rPr>
          <w:spacing w:val="-13"/>
        </w:rPr>
        <w:t> </w:t>
      </w:r>
      <w:r>
        <w:rPr/>
        <w:t>health</w:t>
      </w:r>
      <w:r>
        <w:rPr>
          <w:spacing w:val="-12"/>
        </w:rPr>
        <w:t> </w:t>
      </w:r>
      <w:r>
        <w:rPr/>
        <w:t>care.</w:t>
      </w:r>
      <w:r>
        <w:rPr>
          <w:spacing w:val="-13"/>
        </w:rPr>
        <w:t> </w:t>
      </w:r>
      <w:r>
        <w:rPr/>
        <w:t>Such</w:t>
      </w:r>
      <w:r>
        <w:rPr>
          <w:spacing w:val="-12"/>
        </w:rPr>
        <w:t> </w:t>
      </w:r>
      <w:r>
        <w:rPr/>
        <w:t>engagement</w:t>
      </w:r>
      <w:r>
        <w:rPr>
          <w:spacing w:val="-13"/>
        </w:rPr>
        <w:t> </w:t>
      </w:r>
      <w:r>
        <w:rPr/>
        <w:t>should</w:t>
      </w:r>
      <w:r>
        <w:rPr>
          <w:spacing w:val="-12"/>
        </w:rPr>
        <w:t> </w:t>
      </w:r>
      <w:r>
        <w:rPr/>
        <w:t>take</w:t>
      </w:r>
      <w:r>
        <w:rPr>
          <w:spacing w:val="-13"/>
        </w:rPr>
        <w:t> </w:t>
      </w:r>
      <w:r>
        <w:rPr/>
        <w:t>particular</w:t>
      </w:r>
      <w:r>
        <w:rPr>
          <w:spacing w:val="-12"/>
        </w:rPr>
        <w:t> </w:t>
      </w:r>
      <w:r>
        <w:rPr/>
        <w:t>care</w:t>
      </w:r>
      <w:r>
        <w:rPr>
          <w:spacing w:val="-12"/>
        </w:rPr>
        <w:t> </w:t>
      </w:r>
      <w:r>
        <w:rPr/>
        <w:t>to</w:t>
      </w:r>
      <w:r>
        <w:rPr>
          <w:spacing w:val="-13"/>
        </w:rPr>
        <w:t> </w:t>
      </w:r>
      <w:r>
        <w:rPr/>
        <w:t>engage</w:t>
      </w:r>
      <w:r>
        <w:rPr>
          <w:spacing w:val="-12"/>
        </w:rPr>
        <w:t> </w:t>
      </w:r>
      <w:r>
        <w:rPr/>
        <w:t>in</w:t>
      </w:r>
      <w:r>
        <w:rPr>
          <w:spacing w:val="-13"/>
        </w:rPr>
        <w:t> </w:t>
      </w:r>
      <w:r>
        <w:rPr/>
        <w:t>the</w:t>
      </w:r>
      <w:r>
        <w:rPr>
          <w:spacing w:val="-12"/>
        </w:rPr>
        <w:t> </w:t>
      </w:r>
      <w:r>
        <w:rPr/>
        <w:t>Western</w:t>
      </w:r>
      <w:r>
        <w:rPr>
          <w:spacing w:val="-13"/>
        </w:rPr>
        <w:t> </w:t>
      </w:r>
      <w:r>
        <w:rPr/>
        <w:t>Massachusetts and Cape Cod regions as rural areas are even less likely to have appropriate access to mental health </w:t>
      </w:r>
      <w:r>
        <w:rPr>
          <w:spacing w:val="-2"/>
        </w:rPr>
        <w:t>services.</w:t>
      </w:r>
    </w:p>
    <w:p>
      <w:pPr>
        <w:pStyle w:val="BodyText"/>
        <w:spacing w:line="276" w:lineRule="auto" w:before="240"/>
        <w:ind w:left="483" w:right="340" w:hanging="1"/>
        <w:jc w:val="both"/>
      </w:pPr>
      <w:r>
        <w:rPr/>
        <w:t>Much of this work is already being done through DMH’s ten </w:t>
      </w:r>
      <w:hyperlink r:id="rId742">
        <w:r>
          <w:rPr>
            <w:u w:val="single"/>
          </w:rPr>
          <w:t>young adult access centers</w:t>
        </w:r>
      </w:hyperlink>
      <w:r>
        <w:rPr>
          <w:u w:val="none"/>
        </w:rPr>
        <w:t> across the Commonwealth; the locations in Springfield, Brockton, Roxbury, Worcester, Framingham, New Bedford, Everett, Lawrence, Gloucester, Chelsea, and Lowell are primarily visited by Latinx youth, but also see increasing populations of Black and AAPI youth. DMH notes that much of the staff in the centers are reflective of the QTBIPOC communities they are serving, and many are bilingual and multicultural which allows</w:t>
      </w:r>
      <w:r>
        <w:rPr>
          <w:spacing w:val="-11"/>
          <w:u w:val="none"/>
        </w:rPr>
        <w:t> </w:t>
      </w:r>
      <w:r>
        <w:rPr>
          <w:u w:val="none"/>
        </w:rPr>
        <w:t>them</w:t>
      </w:r>
      <w:r>
        <w:rPr>
          <w:spacing w:val="-10"/>
          <w:u w:val="none"/>
        </w:rPr>
        <w:t> </w:t>
      </w:r>
      <w:r>
        <w:rPr>
          <w:u w:val="none"/>
        </w:rPr>
        <w:t>to</w:t>
      </w:r>
      <w:r>
        <w:rPr>
          <w:spacing w:val="-11"/>
          <w:u w:val="none"/>
        </w:rPr>
        <w:t> </w:t>
      </w:r>
      <w:r>
        <w:rPr>
          <w:u w:val="none"/>
        </w:rPr>
        <w:t>engage</w:t>
      </w:r>
      <w:r>
        <w:rPr>
          <w:spacing w:val="-10"/>
          <w:u w:val="none"/>
        </w:rPr>
        <w:t> </w:t>
      </w:r>
      <w:r>
        <w:rPr>
          <w:u w:val="none"/>
        </w:rPr>
        <w:t>more</w:t>
      </w:r>
      <w:r>
        <w:rPr>
          <w:spacing w:val="-11"/>
          <w:u w:val="none"/>
        </w:rPr>
        <w:t> </w:t>
      </w:r>
      <w:r>
        <w:rPr>
          <w:u w:val="none"/>
        </w:rPr>
        <w:t>with</w:t>
      </w:r>
      <w:r>
        <w:rPr>
          <w:spacing w:val="-10"/>
          <w:u w:val="none"/>
        </w:rPr>
        <w:t> </w:t>
      </w:r>
      <w:r>
        <w:rPr>
          <w:u w:val="none"/>
        </w:rPr>
        <w:t>first-generation</w:t>
      </w:r>
      <w:r>
        <w:rPr>
          <w:spacing w:val="-12"/>
          <w:u w:val="none"/>
        </w:rPr>
        <w:t> </w:t>
      </w:r>
      <w:r>
        <w:rPr>
          <w:u w:val="none"/>
        </w:rPr>
        <w:t>youth.</w:t>
      </w:r>
      <w:r>
        <w:rPr>
          <w:spacing w:val="-12"/>
          <w:u w:val="none"/>
        </w:rPr>
        <w:t> </w:t>
      </w:r>
      <w:r>
        <w:rPr>
          <w:u w:val="none"/>
        </w:rPr>
        <w:t>In</w:t>
      </w:r>
      <w:r>
        <w:rPr>
          <w:spacing w:val="-10"/>
          <w:u w:val="none"/>
        </w:rPr>
        <w:t> </w:t>
      </w:r>
      <w:r>
        <w:rPr>
          <w:u w:val="none"/>
        </w:rPr>
        <w:t>the</w:t>
      </w:r>
      <w:r>
        <w:rPr>
          <w:spacing w:val="-12"/>
          <w:u w:val="none"/>
        </w:rPr>
        <w:t> </w:t>
      </w:r>
      <w:r>
        <w:rPr>
          <w:u w:val="none"/>
        </w:rPr>
        <w:t>remainder</w:t>
      </w:r>
      <w:r>
        <w:rPr>
          <w:spacing w:val="-11"/>
          <w:u w:val="none"/>
        </w:rPr>
        <w:t> </w:t>
      </w:r>
      <w:r>
        <w:rPr>
          <w:u w:val="none"/>
        </w:rPr>
        <w:t>of</w:t>
      </w:r>
      <w:r>
        <w:rPr>
          <w:spacing w:val="-11"/>
          <w:u w:val="none"/>
        </w:rPr>
        <w:t> </w:t>
      </w:r>
      <w:r>
        <w:rPr>
          <w:u w:val="none"/>
        </w:rPr>
        <w:t>FY</w:t>
      </w:r>
      <w:r>
        <w:rPr>
          <w:spacing w:val="-10"/>
          <w:u w:val="none"/>
        </w:rPr>
        <w:t> </w:t>
      </w:r>
      <w:r>
        <w:rPr>
          <w:u w:val="none"/>
        </w:rPr>
        <w:t>2024</w:t>
      </w:r>
      <w:r>
        <w:rPr>
          <w:spacing w:val="-11"/>
          <w:u w:val="none"/>
        </w:rPr>
        <w:t> </w:t>
      </w:r>
      <w:r>
        <w:rPr>
          <w:u w:val="none"/>
        </w:rPr>
        <w:t>and</w:t>
      </w:r>
      <w:r>
        <w:rPr>
          <w:spacing w:val="-12"/>
          <w:u w:val="none"/>
        </w:rPr>
        <w:t> </w:t>
      </w:r>
      <w:r>
        <w:rPr>
          <w:u w:val="none"/>
        </w:rPr>
        <w:t>start</w:t>
      </w:r>
      <w:r>
        <w:rPr>
          <w:spacing w:val="-11"/>
          <w:u w:val="none"/>
        </w:rPr>
        <w:t> </w:t>
      </w:r>
      <w:r>
        <w:rPr>
          <w:u w:val="none"/>
        </w:rPr>
        <w:t>of</w:t>
      </w:r>
      <w:r>
        <w:rPr>
          <w:spacing w:val="-11"/>
          <w:u w:val="none"/>
        </w:rPr>
        <w:t> </w:t>
      </w:r>
      <w:r>
        <w:rPr>
          <w:u w:val="none"/>
        </w:rPr>
        <w:t>FY</w:t>
      </w:r>
      <w:r>
        <w:rPr>
          <w:spacing w:val="-12"/>
          <w:u w:val="none"/>
        </w:rPr>
        <w:t> </w:t>
      </w:r>
      <w:r>
        <w:rPr>
          <w:u w:val="none"/>
        </w:rPr>
        <w:t>2025, DMH</w:t>
      </w:r>
      <w:r>
        <w:rPr>
          <w:spacing w:val="-10"/>
          <w:u w:val="none"/>
        </w:rPr>
        <w:t> </w:t>
      </w:r>
      <w:r>
        <w:rPr>
          <w:u w:val="none"/>
        </w:rPr>
        <w:t>shared</w:t>
      </w:r>
      <w:r>
        <w:rPr>
          <w:spacing w:val="-10"/>
          <w:u w:val="none"/>
        </w:rPr>
        <w:t> </w:t>
      </w:r>
      <w:r>
        <w:rPr>
          <w:u w:val="none"/>
        </w:rPr>
        <w:t>with</w:t>
      </w:r>
      <w:r>
        <w:rPr>
          <w:spacing w:val="-10"/>
          <w:u w:val="none"/>
        </w:rPr>
        <w:t> </w:t>
      </w:r>
      <w:r>
        <w:rPr>
          <w:u w:val="none"/>
        </w:rPr>
        <w:t>the</w:t>
      </w:r>
      <w:r>
        <w:rPr>
          <w:spacing w:val="-10"/>
          <w:u w:val="none"/>
        </w:rPr>
        <w:t> </w:t>
      </w:r>
      <w:r>
        <w:rPr>
          <w:u w:val="none"/>
        </w:rPr>
        <w:t>Commission</w:t>
      </w:r>
      <w:r>
        <w:rPr>
          <w:spacing w:val="-10"/>
          <w:u w:val="none"/>
        </w:rPr>
        <w:t> </w:t>
      </w:r>
      <w:r>
        <w:rPr>
          <w:u w:val="none"/>
        </w:rPr>
        <w:t>that</w:t>
      </w:r>
      <w:r>
        <w:rPr>
          <w:spacing w:val="-11"/>
          <w:u w:val="none"/>
        </w:rPr>
        <w:t> </w:t>
      </w:r>
      <w:r>
        <w:rPr>
          <w:u w:val="none"/>
        </w:rPr>
        <w:t>it</w:t>
      </w:r>
      <w:r>
        <w:rPr>
          <w:spacing w:val="-11"/>
          <w:u w:val="none"/>
        </w:rPr>
        <w:t> </w:t>
      </w:r>
      <w:r>
        <w:rPr>
          <w:u w:val="none"/>
        </w:rPr>
        <w:t>is</w:t>
      </w:r>
      <w:r>
        <w:rPr>
          <w:spacing w:val="-10"/>
          <w:u w:val="none"/>
        </w:rPr>
        <w:t> </w:t>
      </w:r>
      <w:r>
        <w:rPr>
          <w:u w:val="none"/>
        </w:rPr>
        <w:t>hoping</w:t>
      </w:r>
      <w:r>
        <w:rPr>
          <w:spacing w:val="-10"/>
          <w:u w:val="none"/>
        </w:rPr>
        <w:t> </w:t>
      </w:r>
      <w:r>
        <w:rPr>
          <w:u w:val="none"/>
        </w:rPr>
        <w:t>to</w:t>
      </w:r>
      <w:r>
        <w:rPr>
          <w:spacing w:val="-8"/>
          <w:u w:val="none"/>
        </w:rPr>
        <w:t> </w:t>
      </w:r>
      <w:r>
        <w:rPr>
          <w:u w:val="none"/>
        </w:rPr>
        <w:t>engage</w:t>
      </w:r>
      <w:r>
        <w:rPr>
          <w:spacing w:val="-10"/>
          <w:u w:val="none"/>
        </w:rPr>
        <w:t> </w:t>
      </w:r>
      <w:r>
        <w:rPr>
          <w:u w:val="none"/>
        </w:rPr>
        <w:t>soon</w:t>
      </w:r>
      <w:r>
        <w:rPr>
          <w:spacing w:val="-9"/>
          <w:u w:val="none"/>
        </w:rPr>
        <w:t> </w:t>
      </w:r>
      <w:r>
        <w:rPr>
          <w:u w:val="none"/>
        </w:rPr>
        <w:t>with</w:t>
      </w:r>
      <w:r>
        <w:rPr>
          <w:spacing w:val="-10"/>
          <w:u w:val="none"/>
        </w:rPr>
        <w:t> </w:t>
      </w:r>
      <w:r>
        <w:rPr>
          <w:u w:val="none"/>
        </w:rPr>
        <w:t>the</w:t>
      </w:r>
      <w:r>
        <w:rPr>
          <w:spacing w:val="-10"/>
          <w:u w:val="none"/>
        </w:rPr>
        <w:t> </w:t>
      </w:r>
      <w:r>
        <w:rPr>
          <w:u w:val="none"/>
        </w:rPr>
        <w:t>AGLY</w:t>
      </w:r>
      <w:r>
        <w:rPr>
          <w:spacing w:val="-11"/>
          <w:u w:val="none"/>
        </w:rPr>
        <w:t> </w:t>
      </w:r>
      <w:r>
        <w:rPr>
          <w:u w:val="none"/>
        </w:rPr>
        <w:t>network</w:t>
      </w:r>
      <w:r>
        <w:rPr>
          <w:spacing w:val="-11"/>
          <w:u w:val="none"/>
        </w:rPr>
        <w:t> </w:t>
      </w:r>
      <w:r>
        <w:rPr>
          <w:u w:val="none"/>
        </w:rPr>
        <w:t>across</w:t>
      </w:r>
      <w:r>
        <w:rPr>
          <w:spacing w:val="-10"/>
          <w:u w:val="none"/>
        </w:rPr>
        <w:t> </w:t>
      </w:r>
      <w:r>
        <w:rPr>
          <w:u w:val="none"/>
        </w:rPr>
        <w:t>the</w:t>
      </w:r>
      <w:r>
        <w:rPr>
          <w:spacing w:val="-10"/>
          <w:u w:val="none"/>
        </w:rPr>
        <w:t> </w:t>
      </w:r>
      <w:r>
        <w:rPr>
          <w:u w:val="none"/>
        </w:rPr>
        <w:t>state to learn more about potential ways of collaborating with LGBTQ partners and youth.</w:t>
      </w:r>
    </w:p>
    <w:p>
      <w:pPr>
        <w:numPr>
          <w:ilvl w:val="0"/>
          <w:numId w:val="40"/>
        </w:numPr>
        <w:tabs>
          <w:tab w:pos="481" w:val="left" w:leader="none"/>
          <w:tab w:pos="483" w:val="left" w:leader="none"/>
        </w:tabs>
        <w:spacing w:line="276" w:lineRule="auto" w:before="240"/>
        <w:ind w:left="483" w:right="343" w:hanging="360"/>
        <w:jc w:val="both"/>
        <w:rPr>
          <w:b/>
          <w:sz w:val="22"/>
        </w:rPr>
      </w:pPr>
      <w:r>
        <w:rPr>
          <w:b/>
          <w:sz w:val="22"/>
        </w:rPr>
        <w:t>Collaborate with youth-serving agencies, including the Department of Children &amp; Families, the Department of Youth Services, MassHealth, the Department of Developmental Services, the Department</w:t>
      </w:r>
      <w:r>
        <w:rPr>
          <w:b/>
          <w:spacing w:val="-6"/>
          <w:sz w:val="22"/>
        </w:rPr>
        <w:t> </w:t>
      </w:r>
      <w:r>
        <w:rPr>
          <w:b/>
          <w:sz w:val="22"/>
        </w:rPr>
        <w:t>of</w:t>
      </w:r>
      <w:r>
        <w:rPr>
          <w:b/>
          <w:spacing w:val="-6"/>
          <w:sz w:val="22"/>
        </w:rPr>
        <w:t> </w:t>
      </w:r>
      <w:r>
        <w:rPr>
          <w:b/>
          <w:sz w:val="22"/>
        </w:rPr>
        <w:t>Public</w:t>
      </w:r>
      <w:r>
        <w:rPr>
          <w:b/>
          <w:spacing w:val="-6"/>
          <w:sz w:val="22"/>
        </w:rPr>
        <w:t> </w:t>
      </w:r>
      <w:r>
        <w:rPr>
          <w:b/>
          <w:sz w:val="22"/>
        </w:rPr>
        <w:t>Health,</w:t>
      </w:r>
      <w:r>
        <w:rPr>
          <w:b/>
          <w:spacing w:val="-5"/>
          <w:sz w:val="22"/>
        </w:rPr>
        <w:t> </w:t>
      </w:r>
      <w:r>
        <w:rPr>
          <w:b/>
          <w:sz w:val="22"/>
        </w:rPr>
        <w:t>and</w:t>
      </w:r>
      <w:r>
        <w:rPr>
          <w:b/>
          <w:spacing w:val="-5"/>
          <w:sz w:val="22"/>
        </w:rPr>
        <w:t> </w:t>
      </w:r>
      <w:r>
        <w:rPr>
          <w:b/>
          <w:sz w:val="22"/>
        </w:rPr>
        <w:t>the</w:t>
      </w:r>
      <w:r>
        <w:rPr>
          <w:b/>
          <w:spacing w:val="-5"/>
          <w:sz w:val="22"/>
        </w:rPr>
        <w:t> </w:t>
      </w:r>
      <w:r>
        <w:rPr>
          <w:b/>
          <w:sz w:val="22"/>
        </w:rPr>
        <w:t>Executive</w:t>
      </w:r>
      <w:r>
        <w:rPr>
          <w:b/>
          <w:spacing w:val="-7"/>
          <w:sz w:val="22"/>
        </w:rPr>
        <w:t> </w:t>
      </w:r>
      <w:r>
        <w:rPr>
          <w:b/>
          <w:sz w:val="22"/>
        </w:rPr>
        <w:t>Office</w:t>
      </w:r>
      <w:r>
        <w:rPr>
          <w:b/>
          <w:spacing w:val="-8"/>
          <w:sz w:val="22"/>
        </w:rPr>
        <w:t> </w:t>
      </w:r>
      <w:r>
        <w:rPr>
          <w:b/>
          <w:sz w:val="22"/>
        </w:rPr>
        <w:t>of</w:t>
      </w:r>
      <w:r>
        <w:rPr>
          <w:b/>
          <w:spacing w:val="-5"/>
          <w:sz w:val="22"/>
        </w:rPr>
        <w:t> </w:t>
      </w:r>
      <w:r>
        <w:rPr>
          <w:b/>
          <w:sz w:val="22"/>
        </w:rPr>
        <w:t>Housing</w:t>
      </w:r>
      <w:r>
        <w:rPr>
          <w:b/>
          <w:spacing w:val="-6"/>
          <w:sz w:val="22"/>
        </w:rPr>
        <w:t> </w:t>
      </w:r>
      <w:r>
        <w:rPr>
          <w:b/>
          <w:sz w:val="22"/>
        </w:rPr>
        <w:t>and</w:t>
      </w:r>
      <w:r>
        <w:rPr>
          <w:b/>
          <w:spacing w:val="-7"/>
          <w:sz w:val="22"/>
        </w:rPr>
        <w:t> </w:t>
      </w:r>
      <w:r>
        <w:rPr>
          <w:b/>
          <w:sz w:val="22"/>
        </w:rPr>
        <w:t>Livable</w:t>
      </w:r>
      <w:r>
        <w:rPr>
          <w:b/>
          <w:spacing w:val="-5"/>
          <w:sz w:val="22"/>
        </w:rPr>
        <w:t> </w:t>
      </w:r>
      <w:r>
        <w:rPr>
          <w:b/>
          <w:sz w:val="22"/>
        </w:rPr>
        <w:t>Communities,</w:t>
      </w:r>
      <w:r>
        <w:rPr>
          <w:b/>
          <w:spacing w:val="-7"/>
          <w:sz w:val="22"/>
        </w:rPr>
        <w:t> </w:t>
      </w:r>
      <w:r>
        <w:rPr>
          <w:b/>
          <w:sz w:val="22"/>
        </w:rPr>
        <w:t>to</w:t>
      </w:r>
      <w:r>
        <w:rPr>
          <w:b/>
          <w:spacing w:val="-7"/>
          <w:sz w:val="22"/>
        </w:rPr>
        <w:t> </w:t>
      </w:r>
      <w:r>
        <w:rPr>
          <w:b/>
          <w:sz w:val="22"/>
        </w:rPr>
        <w:t>develop clear guidance and instructions on how to ensure that youth transitioning between state systems are receiving needed services and resources.</w:t>
      </w:r>
    </w:p>
    <w:p>
      <w:pPr>
        <w:pStyle w:val="BodyText"/>
        <w:spacing w:line="276" w:lineRule="auto" w:before="240"/>
        <w:ind w:left="483" w:right="342"/>
        <w:jc w:val="both"/>
      </w:pPr>
      <w:r>
        <w:rPr/>
        <w:t>As</w:t>
      </w:r>
      <w:r>
        <w:rPr>
          <w:spacing w:val="-6"/>
        </w:rPr>
        <w:t> </w:t>
      </w:r>
      <w:r>
        <w:rPr/>
        <w:t>noted</w:t>
      </w:r>
      <w:r>
        <w:rPr>
          <w:spacing w:val="-7"/>
        </w:rPr>
        <w:t> </w:t>
      </w:r>
      <w:r>
        <w:rPr/>
        <w:t>throughout</w:t>
      </w:r>
      <w:r>
        <w:rPr>
          <w:spacing w:val="-6"/>
        </w:rPr>
        <w:t> </w:t>
      </w:r>
      <w:r>
        <w:rPr/>
        <w:t>this</w:t>
      </w:r>
      <w:r>
        <w:rPr>
          <w:spacing w:val="-6"/>
        </w:rPr>
        <w:t> </w:t>
      </w:r>
      <w:r>
        <w:rPr/>
        <w:t>report</w:t>
      </w:r>
      <w:r>
        <w:rPr>
          <w:spacing w:val="-7"/>
        </w:rPr>
        <w:t> </w:t>
      </w:r>
      <w:r>
        <w:rPr/>
        <w:t>and</w:t>
      </w:r>
      <w:r>
        <w:rPr>
          <w:spacing w:val="-7"/>
        </w:rPr>
        <w:t> </w:t>
      </w:r>
      <w:r>
        <w:rPr/>
        <w:t>first</w:t>
      </w:r>
      <w:r>
        <w:rPr>
          <w:spacing w:val="-7"/>
        </w:rPr>
        <w:t> </w:t>
      </w:r>
      <w:r>
        <w:rPr/>
        <w:t>introduced</w:t>
      </w:r>
      <w:r>
        <w:rPr>
          <w:spacing w:val="-7"/>
        </w:rPr>
        <w:t> </w:t>
      </w:r>
      <w:r>
        <w:rPr/>
        <w:t>in</w:t>
      </w:r>
      <w:r>
        <w:rPr>
          <w:spacing w:val="-7"/>
        </w:rPr>
        <w:t> </w:t>
      </w:r>
      <w:r>
        <w:rPr/>
        <w:t>FY</w:t>
      </w:r>
      <w:r>
        <w:rPr>
          <w:spacing w:val="-7"/>
        </w:rPr>
        <w:t> </w:t>
      </w:r>
      <w:r>
        <w:rPr/>
        <w:t>2024,</w:t>
      </w:r>
      <w:r>
        <w:rPr>
          <w:spacing w:val="-6"/>
        </w:rPr>
        <w:t> </w:t>
      </w:r>
      <w:r>
        <w:rPr/>
        <w:t>the</w:t>
      </w:r>
      <w:r>
        <w:rPr>
          <w:spacing w:val="-7"/>
        </w:rPr>
        <w:t> </w:t>
      </w:r>
      <w:r>
        <w:rPr/>
        <w:t>Commission</w:t>
      </w:r>
      <w:r>
        <w:rPr>
          <w:spacing w:val="-7"/>
        </w:rPr>
        <w:t> </w:t>
      </w:r>
      <w:r>
        <w:rPr/>
        <w:t>understands</w:t>
      </w:r>
      <w:r>
        <w:rPr>
          <w:spacing w:val="-6"/>
        </w:rPr>
        <w:t> </w:t>
      </w:r>
      <w:r>
        <w:rPr/>
        <w:t>from</w:t>
      </w:r>
      <w:r>
        <w:rPr>
          <w:spacing w:val="-7"/>
        </w:rPr>
        <w:t> </w:t>
      </w:r>
      <w:r>
        <w:rPr/>
        <w:t>youth and</w:t>
      </w:r>
      <w:r>
        <w:rPr>
          <w:spacing w:val="-9"/>
        </w:rPr>
        <w:t> </w:t>
      </w:r>
      <w:r>
        <w:rPr/>
        <w:t>providers</w:t>
      </w:r>
      <w:r>
        <w:rPr>
          <w:spacing w:val="-7"/>
        </w:rPr>
        <w:t> </w:t>
      </w:r>
      <w:r>
        <w:rPr/>
        <w:t>that</w:t>
      </w:r>
      <w:r>
        <w:rPr>
          <w:spacing w:val="-8"/>
        </w:rPr>
        <w:t> </w:t>
      </w:r>
      <w:r>
        <w:rPr/>
        <w:t>there</w:t>
      </w:r>
      <w:r>
        <w:rPr>
          <w:spacing w:val="-8"/>
        </w:rPr>
        <w:t> </w:t>
      </w:r>
      <w:r>
        <w:rPr/>
        <w:t>remain</w:t>
      </w:r>
      <w:r>
        <w:rPr>
          <w:spacing w:val="-9"/>
        </w:rPr>
        <w:t> </w:t>
      </w:r>
      <w:r>
        <w:rPr/>
        <w:t>some</w:t>
      </w:r>
      <w:r>
        <w:rPr>
          <w:spacing w:val="-8"/>
        </w:rPr>
        <w:t> </w:t>
      </w:r>
      <w:r>
        <w:rPr/>
        <w:t>critical</w:t>
      </w:r>
      <w:r>
        <w:rPr>
          <w:spacing w:val="-9"/>
        </w:rPr>
        <w:t> </w:t>
      </w:r>
      <w:r>
        <w:rPr/>
        <w:t>gaps</w:t>
      </w:r>
      <w:r>
        <w:rPr>
          <w:spacing w:val="-8"/>
        </w:rPr>
        <w:t> </w:t>
      </w:r>
      <w:r>
        <w:rPr/>
        <w:t>in</w:t>
      </w:r>
      <w:r>
        <w:rPr>
          <w:spacing w:val="-9"/>
        </w:rPr>
        <w:t> </w:t>
      </w:r>
      <w:r>
        <w:rPr/>
        <w:t>service</w:t>
      </w:r>
      <w:r>
        <w:rPr>
          <w:spacing w:val="-9"/>
        </w:rPr>
        <w:t> </w:t>
      </w:r>
      <w:r>
        <w:rPr/>
        <w:t>provision</w:t>
      </w:r>
      <w:r>
        <w:rPr>
          <w:spacing w:val="-9"/>
        </w:rPr>
        <w:t> </w:t>
      </w:r>
      <w:r>
        <w:rPr/>
        <w:t>for</w:t>
      </w:r>
      <w:r>
        <w:rPr>
          <w:spacing w:val="-9"/>
        </w:rPr>
        <w:t> </w:t>
      </w:r>
      <w:r>
        <w:rPr/>
        <w:t>transition-aged</w:t>
      </w:r>
      <w:r>
        <w:rPr>
          <w:spacing w:val="-9"/>
        </w:rPr>
        <w:t> </w:t>
      </w:r>
      <w:r>
        <w:rPr/>
        <w:t>youth,</w:t>
      </w:r>
      <w:r>
        <w:rPr>
          <w:spacing w:val="-8"/>
        </w:rPr>
        <w:t> </w:t>
      </w:r>
      <w:r>
        <w:rPr/>
        <w:t>and</w:t>
      </w:r>
      <w:r>
        <w:rPr>
          <w:spacing w:val="-9"/>
        </w:rPr>
        <w:t> </w:t>
      </w:r>
      <w:r>
        <w:rPr/>
        <w:t>that QTBIPOC youth seem to be among the most underserved populations. DMH is not solely responsible for the failures of agencies to appropriately support transition- aged youth, and the Commission notes that the one of the only ways to fully address these inequities are to improve cross-agency collaboration among youth-serving agencies in partnership with community providers, families, and youth.</w:t>
      </w:r>
    </w:p>
    <w:p>
      <w:pPr>
        <w:pStyle w:val="BodyText"/>
        <w:spacing w:line="276" w:lineRule="auto" w:before="239"/>
        <w:ind w:left="483" w:right="338"/>
        <w:jc w:val="both"/>
      </w:pPr>
      <w:r>
        <w:rPr/>
        <w:t>The Commission appreciates DMH’s commitment to ensuring successful transitions for LGBTQ youth within</w:t>
      </w:r>
      <w:r>
        <w:rPr>
          <w:spacing w:val="-6"/>
        </w:rPr>
        <w:t> </w:t>
      </w:r>
      <w:r>
        <w:rPr/>
        <w:t>and</w:t>
      </w:r>
      <w:r>
        <w:rPr>
          <w:spacing w:val="-6"/>
        </w:rPr>
        <w:t> </w:t>
      </w:r>
      <w:r>
        <w:rPr/>
        <w:t>between</w:t>
      </w:r>
      <w:r>
        <w:rPr>
          <w:spacing w:val="-6"/>
        </w:rPr>
        <w:t> </w:t>
      </w:r>
      <w:r>
        <w:rPr/>
        <w:t>agency</w:t>
      </w:r>
      <w:r>
        <w:rPr>
          <w:spacing w:val="-5"/>
        </w:rPr>
        <w:t> </w:t>
      </w:r>
      <w:r>
        <w:rPr/>
        <w:t>services.</w:t>
      </w:r>
      <w:r>
        <w:rPr>
          <w:spacing w:val="-6"/>
        </w:rPr>
        <w:t> </w:t>
      </w:r>
      <w:r>
        <w:rPr/>
        <w:t>The</w:t>
      </w:r>
      <w:r>
        <w:rPr>
          <w:spacing w:val="-6"/>
        </w:rPr>
        <w:t> </w:t>
      </w:r>
      <w:r>
        <w:rPr/>
        <w:t>Commission</w:t>
      </w:r>
      <w:r>
        <w:rPr>
          <w:spacing w:val="-6"/>
        </w:rPr>
        <w:t> </w:t>
      </w:r>
      <w:r>
        <w:rPr/>
        <w:t>understands</w:t>
      </w:r>
      <w:r>
        <w:rPr>
          <w:spacing w:val="-5"/>
        </w:rPr>
        <w:t> </w:t>
      </w:r>
      <w:r>
        <w:rPr/>
        <w:t>that</w:t>
      </w:r>
      <w:r>
        <w:rPr>
          <w:spacing w:val="-6"/>
        </w:rPr>
        <w:t> </w:t>
      </w:r>
      <w:r>
        <w:rPr/>
        <w:t>DMH</w:t>
      </w:r>
      <w:r>
        <w:rPr>
          <w:spacing w:val="-5"/>
        </w:rPr>
        <w:t> </w:t>
      </w:r>
      <w:r>
        <w:rPr/>
        <w:t>implements</w:t>
      </w:r>
      <w:r>
        <w:rPr>
          <w:spacing w:val="-5"/>
        </w:rPr>
        <w:t> </w:t>
      </w:r>
      <w:r>
        <w:rPr/>
        <w:t>a</w:t>
      </w:r>
      <w:r>
        <w:rPr>
          <w:spacing w:val="-4"/>
        </w:rPr>
        <w:t> </w:t>
      </w:r>
      <w:r>
        <w:rPr/>
        <w:t>wide</w:t>
      </w:r>
      <w:r>
        <w:rPr>
          <w:spacing w:val="-6"/>
        </w:rPr>
        <w:t> </w:t>
      </w:r>
      <w:r>
        <w:rPr/>
        <w:t>array</w:t>
      </w:r>
      <w:r>
        <w:rPr>
          <w:spacing w:val="-5"/>
        </w:rPr>
        <w:t> </w:t>
      </w:r>
      <w:r>
        <w:rPr/>
        <w:t>of collaborations across the state to support youth and families; DMH notes that its efforts include participation</w:t>
      </w:r>
      <w:r>
        <w:rPr>
          <w:spacing w:val="-4"/>
        </w:rPr>
        <w:t> </w:t>
      </w:r>
      <w:r>
        <w:rPr/>
        <w:t>in</w:t>
      </w:r>
      <w:r>
        <w:rPr>
          <w:spacing w:val="-5"/>
        </w:rPr>
        <w:t> </w:t>
      </w:r>
      <w:r>
        <w:rPr/>
        <w:t>interagency</w:t>
      </w:r>
      <w:r>
        <w:rPr>
          <w:spacing w:val="-5"/>
        </w:rPr>
        <w:t> </w:t>
      </w:r>
      <w:r>
        <w:rPr/>
        <w:t>working</w:t>
      </w:r>
      <w:r>
        <w:rPr>
          <w:spacing w:val="-5"/>
        </w:rPr>
        <w:t> </w:t>
      </w:r>
      <w:r>
        <w:rPr/>
        <w:t>groups;</w:t>
      </w:r>
      <w:r>
        <w:rPr>
          <w:spacing w:val="-5"/>
        </w:rPr>
        <w:t> </w:t>
      </w:r>
      <w:r>
        <w:rPr/>
        <w:t>cross-agency</w:t>
      </w:r>
      <w:r>
        <w:rPr>
          <w:spacing w:val="-5"/>
        </w:rPr>
        <w:t> </w:t>
      </w:r>
      <w:r>
        <w:rPr/>
        <w:t>forums</w:t>
      </w:r>
      <w:r>
        <w:rPr>
          <w:spacing w:val="-4"/>
        </w:rPr>
        <w:t> </w:t>
      </w:r>
      <w:r>
        <w:rPr/>
        <w:t>and</w:t>
      </w:r>
      <w:r>
        <w:rPr>
          <w:spacing w:val="-5"/>
        </w:rPr>
        <w:t> </w:t>
      </w:r>
      <w:r>
        <w:rPr/>
        <w:t>individual</w:t>
      </w:r>
      <w:r>
        <w:rPr>
          <w:spacing w:val="-5"/>
        </w:rPr>
        <w:t> </w:t>
      </w:r>
      <w:r>
        <w:rPr/>
        <w:t>transition</w:t>
      </w:r>
      <w:r>
        <w:rPr>
          <w:spacing w:val="-5"/>
        </w:rPr>
        <w:t> </w:t>
      </w:r>
      <w:r>
        <w:rPr/>
        <w:t>plan</w:t>
      </w:r>
      <w:r>
        <w:rPr>
          <w:spacing w:val="-5"/>
        </w:rPr>
        <w:t> </w:t>
      </w:r>
      <w:r>
        <w:rPr/>
        <w:t>meetings around specific youth, including area level consultations; and the creation of a new role in 2022 of the Director of Young Adult Transitional Services to review transition processes and identify gaps in systems and policies. Many of these processes already involve other state agencies, including DYS, MassHealth,</w:t>
      </w:r>
    </w:p>
    <w:p>
      <w:pPr>
        <w:spacing w:after="0" w:line="276" w:lineRule="auto"/>
        <w:jc w:val="both"/>
        <w:sectPr>
          <w:pgSz w:w="12240" w:h="15840"/>
          <w:pgMar w:header="804" w:footer="1263" w:top="1000" w:bottom="1460" w:left="960" w:right="1100"/>
        </w:sectPr>
      </w:pPr>
    </w:p>
    <w:p>
      <w:pPr>
        <w:pStyle w:val="BodyText"/>
        <w:spacing w:before="98"/>
      </w:pPr>
    </w:p>
    <w:p>
      <w:pPr>
        <w:pStyle w:val="BodyText"/>
        <w:spacing w:line="276" w:lineRule="auto"/>
        <w:ind w:left="483" w:right="345"/>
        <w:jc w:val="both"/>
      </w:pPr>
      <w:r>
        <w:rPr/>
        <w:t>and</w:t>
      </w:r>
      <w:r>
        <w:rPr>
          <w:spacing w:val="-8"/>
        </w:rPr>
        <w:t> </w:t>
      </w:r>
      <w:r>
        <w:rPr/>
        <w:t>DCF.</w:t>
      </w:r>
      <w:r>
        <w:rPr>
          <w:spacing w:val="-6"/>
        </w:rPr>
        <w:t> </w:t>
      </w:r>
      <w:r>
        <w:rPr/>
        <w:t>However,</w:t>
      </w:r>
      <w:r>
        <w:rPr>
          <w:spacing w:val="-7"/>
        </w:rPr>
        <w:t> </w:t>
      </w:r>
      <w:r>
        <w:rPr/>
        <w:t>the</w:t>
      </w:r>
      <w:r>
        <w:rPr>
          <w:spacing w:val="-7"/>
        </w:rPr>
        <w:t> </w:t>
      </w:r>
      <w:r>
        <w:rPr/>
        <w:t>Commission</w:t>
      </w:r>
      <w:r>
        <w:rPr>
          <w:spacing w:val="-8"/>
        </w:rPr>
        <w:t> </w:t>
      </w:r>
      <w:r>
        <w:rPr/>
        <w:t>and</w:t>
      </w:r>
      <w:r>
        <w:rPr>
          <w:spacing w:val="-7"/>
        </w:rPr>
        <w:t> </w:t>
      </w:r>
      <w:r>
        <w:rPr/>
        <w:t>DMH</w:t>
      </w:r>
      <w:r>
        <w:rPr>
          <w:spacing w:val="-8"/>
        </w:rPr>
        <w:t> </w:t>
      </w:r>
      <w:r>
        <w:rPr/>
        <w:t>agree</w:t>
      </w:r>
      <w:r>
        <w:rPr>
          <w:spacing w:val="-7"/>
        </w:rPr>
        <w:t> </w:t>
      </w:r>
      <w:r>
        <w:rPr/>
        <w:t>that</w:t>
      </w:r>
      <w:r>
        <w:rPr>
          <w:spacing w:val="-7"/>
        </w:rPr>
        <w:t> </w:t>
      </w:r>
      <w:r>
        <w:rPr/>
        <w:t>processes</w:t>
      </w:r>
      <w:r>
        <w:rPr>
          <w:spacing w:val="-7"/>
        </w:rPr>
        <w:t> </w:t>
      </w:r>
      <w:r>
        <w:rPr/>
        <w:t>can</w:t>
      </w:r>
      <w:r>
        <w:rPr>
          <w:spacing w:val="-7"/>
        </w:rPr>
        <w:t> </w:t>
      </w:r>
      <w:r>
        <w:rPr/>
        <w:t>be</w:t>
      </w:r>
      <w:r>
        <w:rPr>
          <w:spacing w:val="-7"/>
        </w:rPr>
        <w:t> </w:t>
      </w:r>
      <w:r>
        <w:rPr/>
        <w:t>further</w:t>
      </w:r>
      <w:r>
        <w:rPr>
          <w:spacing w:val="-6"/>
        </w:rPr>
        <w:t> </w:t>
      </w:r>
      <w:r>
        <w:rPr/>
        <w:t>strengthened</w:t>
      </w:r>
      <w:r>
        <w:rPr>
          <w:spacing w:val="-7"/>
        </w:rPr>
        <w:t> </w:t>
      </w:r>
      <w:r>
        <w:rPr/>
        <w:t>to</w:t>
      </w:r>
      <w:r>
        <w:rPr>
          <w:spacing w:val="-6"/>
        </w:rPr>
        <w:t> </w:t>
      </w:r>
      <w:r>
        <w:rPr/>
        <w:t>better support the needs of multisystem-involved youth.</w:t>
      </w:r>
    </w:p>
    <w:p>
      <w:pPr>
        <w:pStyle w:val="BodyText"/>
        <w:spacing w:line="276" w:lineRule="auto" w:before="240"/>
        <w:ind w:left="483" w:right="342"/>
        <w:jc w:val="both"/>
      </w:pPr>
      <w:r>
        <w:rPr/>
        <w:t>In numerous conversations with its state agency partners, providers, caregivers, and youth, the Commission sees a clear need for more transparent instruction from agencies to their workers and to youth on policies, processes, and the rights of youth and families in state systems. Often, while agencies may have</w:t>
      </w:r>
      <w:r>
        <w:rPr>
          <w:spacing w:val="-1"/>
        </w:rPr>
        <w:t> </w:t>
      </w:r>
      <w:r>
        <w:rPr/>
        <w:t>a policy or process that</w:t>
      </w:r>
      <w:r>
        <w:rPr>
          <w:spacing w:val="-1"/>
        </w:rPr>
        <w:t> </w:t>
      </w:r>
      <w:r>
        <w:rPr/>
        <w:t>could address issues happening on</w:t>
      </w:r>
      <w:r>
        <w:rPr>
          <w:spacing w:val="-1"/>
        </w:rPr>
        <w:t> </w:t>
      </w:r>
      <w:r>
        <w:rPr/>
        <w:t>the</w:t>
      </w:r>
      <w:r>
        <w:rPr>
          <w:spacing w:val="-1"/>
        </w:rPr>
        <w:t> </w:t>
      </w:r>
      <w:r>
        <w:rPr/>
        <w:t>ground, these</w:t>
      </w:r>
      <w:r>
        <w:rPr>
          <w:spacing w:val="-1"/>
        </w:rPr>
        <w:t> </w:t>
      </w:r>
      <w:r>
        <w:rPr/>
        <w:t>practices are</w:t>
      </w:r>
      <w:r>
        <w:rPr>
          <w:spacing w:val="-1"/>
        </w:rPr>
        <w:t> </w:t>
      </w:r>
      <w:r>
        <w:rPr/>
        <w:t>not clear to</w:t>
      </w:r>
      <w:r>
        <w:rPr>
          <w:spacing w:val="-1"/>
        </w:rPr>
        <w:t> </w:t>
      </w:r>
      <w:r>
        <w:rPr/>
        <w:t>workers</w:t>
      </w:r>
      <w:r>
        <w:rPr>
          <w:spacing w:val="-1"/>
        </w:rPr>
        <w:t> </w:t>
      </w:r>
      <w:r>
        <w:rPr/>
        <w:t>or</w:t>
      </w:r>
      <w:r>
        <w:rPr>
          <w:spacing w:val="-2"/>
        </w:rPr>
        <w:t> </w:t>
      </w:r>
      <w:r>
        <w:rPr/>
        <w:t>youth</w:t>
      </w:r>
      <w:r>
        <w:rPr>
          <w:spacing w:val="-2"/>
        </w:rPr>
        <w:t> </w:t>
      </w:r>
      <w:r>
        <w:rPr/>
        <w:t>in</w:t>
      </w:r>
      <w:r>
        <w:rPr>
          <w:spacing w:val="-2"/>
        </w:rPr>
        <w:t> </w:t>
      </w:r>
      <w:r>
        <w:rPr/>
        <w:t>their day-to-day</w:t>
      </w:r>
      <w:r>
        <w:rPr>
          <w:spacing w:val="-2"/>
        </w:rPr>
        <w:t> </w:t>
      </w:r>
      <w:r>
        <w:rPr/>
        <w:t>lives.</w:t>
      </w:r>
      <w:r>
        <w:rPr>
          <w:spacing w:val="-1"/>
        </w:rPr>
        <w:t> </w:t>
      </w:r>
      <w:r>
        <w:rPr/>
        <w:t>Additionally, the</w:t>
      </w:r>
      <w:r>
        <w:rPr>
          <w:spacing w:val="-2"/>
        </w:rPr>
        <w:t> </w:t>
      </w:r>
      <w:r>
        <w:rPr/>
        <w:t>level</w:t>
      </w:r>
      <w:r>
        <w:rPr>
          <w:spacing w:val="-1"/>
        </w:rPr>
        <w:t> </w:t>
      </w:r>
      <w:r>
        <w:rPr/>
        <w:t>of misinformation</w:t>
      </w:r>
      <w:r>
        <w:rPr>
          <w:spacing w:val="-1"/>
        </w:rPr>
        <w:t> </w:t>
      </w:r>
      <w:r>
        <w:rPr/>
        <w:t>that</w:t>
      </w:r>
      <w:r>
        <w:rPr>
          <w:spacing w:val="-1"/>
        </w:rPr>
        <w:t> </w:t>
      </w:r>
      <w:r>
        <w:rPr/>
        <w:t>critically affects the experiences of young people is unacceptable and calls for agencies to intentionally create a transparent system of accountability that is accessible for youth, families, and workers.</w:t>
      </w:r>
    </w:p>
    <w:p>
      <w:pPr>
        <w:numPr>
          <w:ilvl w:val="0"/>
          <w:numId w:val="40"/>
        </w:numPr>
        <w:tabs>
          <w:tab w:pos="481" w:val="left" w:leader="none"/>
          <w:tab w:pos="483" w:val="left" w:leader="none"/>
        </w:tabs>
        <w:spacing w:line="276" w:lineRule="auto" w:before="239"/>
        <w:ind w:left="483" w:right="344" w:hanging="360"/>
        <w:jc w:val="left"/>
        <w:rPr>
          <w:b/>
          <w:sz w:val="22"/>
        </w:rPr>
      </w:pPr>
      <w:r>
        <w:rPr>
          <w:b/>
          <w:sz w:val="22"/>
        </w:rPr>
        <w:t>Explore</w:t>
      </w:r>
      <w:r>
        <w:rPr>
          <w:b/>
          <w:spacing w:val="-13"/>
          <w:sz w:val="22"/>
        </w:rPr>
        <w:t> </w:t>
      </w:r>
      <w:r>
        <w:rPr>
          <w:b/>
          <w:sz w:val="22"/>
        </w:rPr>
        <w:t>opportunities</w:t>
      </w:r>
      <w:r>
        <w:rPr>
          <w:b/>
          <w:spacing w:val="-11"/>
          <w:sz w:val="22"/>
        </w:rPr>
        <w:t> </w:t>
      </w:r>
      <w:r>
        <w:rPr>
          <w:b/>
          <w:sz w:val="22"/>
        </w:rPr>
        <w:t>to</w:t>
      </w:r>
      <w:r>
        <w:rPr>
          <w:b/>
          <w:spacing w:val="-13"/>
          <w:sz w:val="22"/>
        </w:rPr>
        <w:t> </w:t>
      </w:r>
      <w:r>
        <w:rPr>
          <w:b/>
          <w:sz w:val="22"/>
        </w:rPr>
        <w:t>implement</w:t>
      </w:r>
      <w:r>
        <w:rPr>
          <w:b/>
          <w:spacing w:val="-12"/>
          <w:sz w:val="22"/>
        </w:rPr>
        <w:t> </w:t>
      </w:r>
      <w:r>
        <w:rPr>
          <w:b/>
          <w:sz w:val="22"/>
        </w:rPr>
        <w:t>a</w:t>
      </w:r>
      <w:r>
        <w:rPr>
          <w:b/>
          <w:spacing w:val="-13"/>
          <w:sz w:val="22"/>
        </w:rPr>
        <w:t> </w:t>
      </w:r>
      <w:r>
        <w:rPr>
          <w:b/>
          <w:sz w:val="22"/>
        </w:rPr>
        <w:t>caregiver</w:t>
      </w:r>
      <w:r>
        <w:rPr>
          <w:b/>
          <w:spacing w:val="-12"/>
          <w:sz w:val="22"/>
        </w:rPr>
        <w:t> </w:t>
      </w:r>
      <w:r>
        <w:rPr>
          <w:b/>
          <w:sz w:val="22"/>
        </w:rPr>
        <w:t>education</w:t>
      </w:r>
      <w:r>
        <w:rPr>
          <w:b/>
          <w:spacing w:val="-13"/>
          <w:sz w:val="22"/>
        </w:rPr>
        <w:t> </w:t>
      </w:r>
      <w:r>
        <w:rPr>
          <w:b/>
          <w:sz w:val="22"/>
        </w:rPr>
        <w:t>training</w:t>
      </w:r>
      <w:r>
        <w:rPr>
          <w:b/>
          <w:spacing w:val="-12"/>
          <w:sz w:val="22"/>
        </w:rPr>
        <w:t> </w:t>
      </w:r>
      <w:r>
        <w:rPr>
          <w:b/>
          <w:sz w:val="22"/>
        </w:rPr>
        <w:t>to</w:t>
      </w:r>
      <w:r>
        <w:rPr>
          <w:b/>
          <w:spacing w:val="-12"/>
          <w:sz w:val="22"/>
        </w:rPr>
        <w:t> </w:t>
      </w:r>
      <w:r>
        <w:rPr>
          <w:b/>
          <w:sz w:val="22"/>
        </w:rPr>
        <w:t>support</w:t>
      </w:r>
      <w:r>
        <w:rPr>
          <w:b/>
          <w:spacing w:val="-13"/>
          <w:sz w:val="22"/>
        </w:rPr>
        <w:t> </w:t>
      </w:r>
      <w:r>
        <w:rPr>
          <w:b/>
          <w:sz w:val="22"/>
        </w:rPr>
        <w:t>LGBTQ</w:t>
      </w:r>
      <w:r>
        <w:rPr>
          <w:b/>
          <w:spacing w:val="-12"/>
          <w:sz w:val="22"/>
        </w:rPr>
        <w:t> </w:t>
      </w:r>
      <w:r>
        <w:rPr>
          <w:b/>
          <w:sz w:val="22"/>
        </w:rPr>
        <w:t>youth</w:t>
      </w:r>
      <w:r>
        <w:rPr>
          <w:b/>
          <w:spacing w:val="-11"/>
          <w:sz w:val="22"/>
        </w:rPr>
        <w:t> </w:t>
      </w:r>
      <w:r>
        <w:rPr>
          <w:b/>
          <w:sz w:val="22"/>
        </w:rPr>
        <w:t>and</w:t>
      </w:r>
      <w:r>
        <w:rPr>
          <w:b/>
          <w:spacing w:val="-13"/>
          <w:sz w:val="22"/>
        </w:rPr>
        <w:t> </w:t>
      </w:r>
      <w:r>
        <w:rPr>
          <w:b/>
          <w:sz w:val="22"/>
        </w:rPr>
        <w:t>families involved in DMH services.</w:t>
      </w:r>
    </w:p>
    <w:p>
      <w:pPr>
        <w:pStyle w:val="BodyText"/>
        <w:spacing w:line="276" w:lineRule="auto" w:before="241"/>
        <w:ind w:left="483" w:right="342"/>
        <w:jc w:val="both"/>
      </w:pPr>
      <w:r>
        <w:rPr/>
        <w:t>LGBTQ</w:t>
      </w:r>
      <w:r>
        <w:rPr>
          <w:spacing w:val="-13"/>
        </w:rPr>
        <w:t> </w:t>
      </w:r>
      <w:r>
        <w:rPr/>
        <w:t>youth</w:t>
      </w:r>
      <w:r>
        <w:rPr>
          <w:spacing w:val="-10"/>
        </w:rPr>
        <w:t> </w:t>
      </w:r>
      <w:r>
        <w:rPr/>
        <w:t>in</w:t>
      </w:r>
      <w:r>
        <w:rPr>
          <w:spacing w:val="-13"/>
        </w:rPr>
        <w:t> </w:t>
      </w:r>
      <w:r>
        <w:rPr/>
        <w:t>unsupportive</w:t>
      </w:r>
      <w:r>
        <w:rPr>
          <w:spacing w:val="-12"/>
        </w:rPr>
        <w:t> </w:t>
      </w:r>
      <w:r>
        <w:rPr/>
        <w:t>households</w:t>
      </w:r>
      <w:r>
        <w:rPr>
          <w:spacing w:val="-11"/>
        </w:rPr>
        <w:t> </w:t>
      </w:r>
      <w:r>
        <w:rPr/>
        <w:t>are</w:t>
      </w:r>
      <w:r>
        <w:rPr>
          <w:spacing w:val="-13"/>
        </w:rPr>
        <w:t> </w:t>
      </w:r>
      <w:r>
        <w:rPr/>
        <w:t>much</w:t>
      </w:r>
      <w:r>
        <w:rPr>
          <w:spacing w:val="-10"/>
        </w:rPr>
        <w:t> </w:t>
      </w:r>
      <w:r>
        <w:rPr/>
        <w:t>more</w:t>
      </w:r>
      <w:r>
        <w:rPr>
          <w:spacing w:val="-13"/>
        </w:rPr>
        <w:t> </w:t>
      </w:r>
      <w:r>
        <w:rPr/>
        <w:t>likely</w:t>
      </w:r>
      <w:r>
        <w:rPr>
          <w:spacing w:val="-10"/>
        </w:rPr>
        <w:t> </w:t>
      </w:r>
      <w:r>
        <w:rPr/>
        <w:t>to</w:t>
      </w:r>
      <w:r>
        <w:rPr>
          <w:spacing w:val="-12"/>
        </w:rPr>
        <w:t> </w:t>
      </w:r>
      <w:r>
        <w:rPr/>
        <w:t>face</w:t>
      </w:r>
      <w:r>
        <w:rPr>
          <w:spacing w:val="-13"/>
        </w:rPr>
        <w:t> </w:t>
      </w:r>
      <w:r>
        <w:rPr/>
        <w:t>significant</w:t>
      </w:r>
      <w:r>
        <w:rPr>
          <w:spacing w:val="-12"/>
        </w:rPr>
        <w:t> </w:t>
      </w:r>
      <w:r>
        <w:rPr/>
        <w:t>mental</w:t>
      </w:r>
      <w:r>
        <w:rPr>
          <w:spacing w:val="-11"/>
        </w:rPr>
        <w:t> </w:t>
      </w:r>
      <w:r>
        <w:rPr/>
        <w:t>health</w:t>
      </w:r>
      <w:r>
        <w:rPr>
          <w:spacing w:val="-11"/>
        </w:rPr>
        <w:t> </w:t>
      </w:r>
      <w:r>
        <w:rPr/>
        <w:t>concerns, abuse, and housing instability. For youth receiving treatment for mental health needs, being ‘outed’ by providers or educators - whether intentionally or unintentionally - to unsupportive caregivers can often put</w:t>
      </w:r>
      <w:r>
        <w:rPr>
          <w:spacing w:val="-8"/>
        </w:rPr>
        <w:t> </w:t>
      </w:r>
      <w:r>
        <w:rPr/>
        <w:t>LGBTQ</w:t>
      </w:r>
      <w:r>
        <w:rPr>
          <w:spacing w:val="-8"/>
        </w:rPr>
        <w:t> </w:t>
      </w:r>
      <w:r>
        <w:rPr/>
        <w:t>youth</w:t>
      </w:r>
      <w:r>
        <w:rPr>
          <w:spacing w:val="-8"/>
        </w:rPr>
        <w:t> </w:t>
      </w:r>
      <w:r>
        <w:rPr/>
        <w:t>in</w:t>
      </w:r>
      <w:r>
        <w:rPr>
          <w:spacing w:val="-8"/>
        </w:rPr>
        <w:t> </w:t>
      </w:r>
      <w:r>
        <w:rPr/>
        <w:t>danger.</w:t>
      </w:r>
      <w:r>
        <w:rPr>
          <w:spacing w:val="-8"/>
        </w:rPr>
        <w:t> </w:t>
      </w:r>
      <w:r>
        <w:rPr/>
        <w:t>However,</w:t>
      </w:r>
      <w:r>
        <w:rPr>
          <w:spacing w:val="-7"/>
        </w:rPr>
        <w:t> </w:t>
      </w:r>
      <w:r>
        <w:rPr/>
        <w:t>the</w:t>
      </w:r>
      <w:r>
        <w:rPr>
          <w:spacing w:val="-8"/>
        </w:rPr>
        <w:t> </w:t>
      </w:r>
      <w:r>
        <w:rPr/>
        <w:t>support</w:t>
      </w:r>
      <w:r>
        <w:rPr>
          <w:spacing w:val="-7"/>
        </w:rPr>
        <w:t> </w:t>
      </w:r>
      <w:r>
        <w:rPr/>
        <w:t>of</w:t>
      </w:r>
      <w:r>
        <w:rPr>
          <w:spacing w:val="-6"/>
        </w:rPr>
        <w:t> </w:t>
      </w:r>
      <w:r>
        <w:rPr/>
        <w:t>mental</w:t>
      </w:r>
      <w:r>
        <w:rPr>
          <w:spacing w:val="-7"/>
        </w:rPr>
        <w:t> </w:t>
      </w:r>
      <w:r>
        <w:rPr/>
        <w:t>health</w:t>
      </w:r>
      <w:r>
        <w:rPr>
          <w:spacing w:val="-8"/>
        </w:rPr>
        <w:t> </w:t>
      </w:r>
      <w:r>
        <w:rPr/>
        <w:t>providers</w:t>
      </w:r>
      <w:r>
        <w:rPr>
          <w:spacing w:val="-7"/>
        </w:rPr>
        <w:t> </w:t>
      </w:r>
      <w:r>
        <w:rPr/>
        <w:t>and</w:t>
      </w:r>
      <w:r>
        <w:rPr>
          <w:spacing w:val="-8"/>
        </w:rPr>
        <w:t> </w:t>
      </w:r>
      <w:r>
        <w:rPr/>
        <w:t>the</w:t>
      </w:r>
      <w:r>
        <w:rPr>
          <w:spacing w:val="-8"/>
        </w:rPr>
        <w:t> </w:t>
      </w:r>
      <w:r>
        <w:rPr/>
        <w:t>space</w:t>
      </w:r>
      <w:r>
        <w:rPr>
          <w:spacing w:val="-7"/>
        </w:rPr>
        <w:t> </w:t>
      </w:r>
      <w:r>
        <w:rPr/>
        <w:t>to</w:t>
      </w:r>
      <w:r>
        <w:rPr>
          <w:spacing w:val="-7"/>
        </w:rPr>
        <w:t> </w:t>
      </w:r>
      <w:r>
        <w:rPr/>
        <w:t>bring</w:t>
      </w:r>
      <w:r>
        <w:rPr>
          <w:spacing w:val="-7"/>
        </w:rPr>
        <w:t> </w:t>
      </w:r>
      <w:r>
        <w:rPr/>
        <w:t>their whole selves to their treatment is essential for LGBTQ youths’ wellbeing. Unfortunately, DMH has noted that</w:t>
      </w:r>
      <w:r>
        <w:rPr>
          <w:spacing w:val="-13"/>
        </w:rPr>
        <w:t> </w:t>
      </w:r>
      <w:r>
        <w:rPr/>
        <w:t>privacy</w:t>
      </w:r>
      <w:r>
        <w:rPr>
          <w:spacing w:val="-11"/>
        </w:rPr>
        <w:t> </w:t>
      </w:r>
      <w:r>
        <w:rPr/>
        <w:t>concerns</w:t>
      </w:r>
      <w:r>
        <w:rPr>
          <w:spacing w:val="-12"/>
        </w:rPr>
        <w:t> </w:t>
      </w:r>
      <w:r>
        <w:rPr/>
        <w:t>can</w:t>
      </w:r>
      <w:r>
        <w:rPr>
          <w:spacing w:val="-11"/>
        </w:rPr>
        <w:t> </w:t>
      </w:r>
      <w:r>
        <w:rPr/>
        <w:t>sometimes</w:t>
      </w:r>
      <w:r>
        <w:rPr>
          <w:spacing w:val="-11"/>
        </w:rPr>
        <w:t> </w:t>
      </w:r>
      <w:r>
        <w:rPr/>
        <w:t>conflict</w:t>
      </w:r>
      <w:r>
        <w:rPr>
          <w:spacing w:val="-12"/>
        </w:rPr>
        <w:t> </w:t>
      </w:r>
      <w:r>
        <w:rPr/>
        <w:t>with</w:t>
      </w:r>
      <w:r>
        <w:rPr>
          <w:spacing w:val="-13"/>
        </w:rPr>
        <w:t> </w:t>
      </w:r>
      <w:r>
        <w:rPr/>
        <w:t>a</w:t>
      </w:r>
      <w:r>
        <w:rPr>
          <w:spacing w:val="-10"/>
        </w:rPr>
        <w:t> </w:t>
      </w:r>
      <w:r>
        <w:rPr/>
        <w:t>guardian’s</w:t>
      </w:r>
      <w:r>
        <w:rPr>
          <w:spacing w:val="-12"/>
        </w:rPr>
        <w:t> </w:t>
      </w:r>
      <w:r>
        <w:rPr/>
        <w:t>legal</w:t>
      </w:r>
      <w:r>
        <w:rPr>
          <w:spacing w:val="-12"/>
        </w:rPr>
        <w:t> </w:t>
      </w:r>
      <w:r>
        <w:rPr/>
        <w:t>rights</w:t>
      </w:r>
      <w:r>
        <w:rPr>
          <w:spacing w:val="-12"/>
        </w:rPr>
        <w:t> </w:t>
      </w:r>
      <w:r>
        <w:rPr/>
        <w:t>to</w:t>
      </w:r>
      <w:r>
        <w:rPr>
          <w:spacing w:val="-12"/>
        </w:rPr>
        <w:t> </w:t>
      </w:r>
      <w:r>
        <w:rPr/>
        <w:t>their</w:t>
      </w:r>
      <w:r>
        <w:rPr>
          <w:spacing w:val="-12"/>
        </w:rPr>
        <w:t> </w:t>
      </w:r>
      <w:r>
        <w:rPr/>
        <w:t>child’s</w:t>
      </w:r>
      <w:r>
        <w:rPr>
          <w:spacing w:val="-12"/>
        </w:rPr>
        <w:t> </w:t>
      </w:r>
      <w:r>
        <w:rPr/>
        <w:t>medical</w:t>
      </w:r>
      <w:r>
        <w:rPr>
          <w:spacing w:val="-12"/>
        </w:rPr>
        <w:t> </w:t>
      </w:r>
      <w:r>
        <w:rPr/>
        <w:t>records, which</w:t>
      </w:r>
      <w:r>
        <w:rPr>
          <w:spacing w:val="-10"/>
        </w:rPr>
        <w:t> </w:t>
      </w:r>
      <w:r>
        <w:rPr/>
        <w:t>can</w:t>
      </w:r>
      <w:r>
        <w:rPr>
          <w:spacing w:val="-10"/>
        </w:rPr>
        <w:t> </w:t>
      </w:r>
      <w:r>
        <w:rPr/>
        <w:t>contain</w:t>
      </w:r>
      <w:r>
        <w:rPr>
          <w:spacing w:val="-11"/>
        </w:rPr>
        <w:t> </w:t>
      </w:r>
      <w:r>
        <w:rPr/>
        <w:t>information</w:t>
      </w:r>
      <w:r>
        <w:rPr>
          <w:spacing w:val="-11"/>
        </w:rPr>
        <w:t> </w:t>
      </w:r>
      <w:r>
        <w:rPr/>
        <w:t>about</w:t>
      </w:r>
      <w:r>
        <w:rPr>
          <w:spacing w:val="-10"/>
        </w:rPr>
        <w:t> </w:t>
      </w:r>
      <w:r>
        <w:rPr/>
        <w:t>chosen</w:t>
      </w:r>
      <w:r>
        <w:rPr>
          <w:spacing w:val="-11"/>
        </w:rPr>
        <w:t> </w:t>
      </w:r>
      <w:r>
        <w:rPr/>
        <w:t>names,</w:t>
      </w:r>
      <w:r>
        <w:rPr>
          <w:spacing w:val="-10"/>
        </w:rPr>
        <w:t> </w:t>
      </w:r>
      <w:r>
        <w:rPr/>
        <w:t>pronouns,</w:t>
      </w:r>
      <w:r>
        <w:rPr>
          <w:spacing w:val="-11"/>
        </w:rPr>
        <w:t> </w:t>
      </w:r>
      <w:r>
        <w:rPr/>
        <w:t>sexual</w:t>
      </w:r>
      <w:r>
        <w:rPr>
          <w:spacing w:val="-11"/>
        </w:rPr>
        <w:t> </w:t>
      </w:r>
      <w:r>
        <w:rPr/>
        <w:t>orientation,</w:t>
      </w:r>
      <w:r>
        <w:rPr>
          <w:spacing w:val="-11"/>
        </w:rPr>
        <w:t> </w:t>
      </w:r>
      <w:r>
        <w:rPr/>
        <w:t>or</w:t>
      </w:r>
      <w:r>
        <w:rPr>
          <w:spacing w:val="-11"/>
        </w:rPr>
        <w:t> </w:t>
      </w:r>
      <w:r>
        <w:rPr/>
        <w:t>gender</w:t>
      </w:r>
      <w:r>
        <w:rPr>
          <w:spacing w:val="-10"/>
        </w:rPr>
        <w:t> </w:t>
      </w:r>
      <w:r>
        <w:rPr/>
        <w:t>identity</w:t>
      </w:r>
      <w:r>
        <w:rPr>
          <w:spacing w:val="-10"/>
        </w:rPr>
        <w:t> </w:t>
      </w:r>
      <w:r>
        <w:rPr/>
        <w:t>that youth</w:t>
      </w:r>
      <w:r>
        <w:rPr>
          <w:spacing w:val="-13"/>
        </w:rPr>
        <w:t> </w:t>
      </w:r>
      <w:r>
        <w:rPr/>
        <w:t>may</w:t>
      </w:r>
      <w:r>
        <w:rPr>
          <w:spacing w:val="-12"/>
        </w:rPr>
        <w:t> </w:t>
      </w:r>
      <w:r>
        <w:rPr/>
        <w:t>not</w:t>
      </w:r>
      <w:r>
        <w:rPr>
          <w:spacing w:val="-13"/>
        </w:rPr>
        <w:t> </w:t>
      </w:r>
      <w:r>
        <w:rPr/>
        <w:t>wish</w:t>
      </w:r>
      <w:r>
        <w:rPr>
          <w:spacing w:val="-12"/>
        </w:rPr>
        <w:t> </w:t>
      </w:r>
      <w:r>
        <w:rPr/>
        <w:t>their</w:t>
      </w:r>
      <w:r>
        <w:rPr>
          <w:spacing w:val="-13"/>
        </w:rPr>
        <w:t> </w:t>
      </w:r>
      <w:r>
        <w:rPr/>
        <w:t>caregivers</w:t>
      </w:r>
      <w:r>
        <w:rPr>
          <w:spacing w:val="-12"/>
        </w:rPr>
        <w:t> </w:t>
      </w:r>
      <w:r>
        <w:rPr/>
        <w:t>to</w:t>
      </w:r>
      <w:r>
        <w:rPr>
          <w:spacing w:val="-13"/>
        </w:rPr>
        <w:t> </w:t>
      </w:r>
      <w:r>
        <w:rPr/>
        <w:t>see.</w:t>
      </w:r>
      <w:r>
        <w:rPr>
          <w:spacing w:val="-12"/>
        </w:rPr>
        <w:t> </w:t>
      </w:r>
      <w:r>
        <w:rPr/>
        <w:t>However,</w:t>
      </w:r>
      <w:r>
        <w:rPr>
          <w:spacing w:val="-12"/>
        </w:rPr>
        <w:t> </w:t>
      </w:r>
      <w:r>
        <w:rPr/>
        <w:t>since</w:t>
      </w:r>
      <w:r>
        <w:rPr>
          <w:spacing w:val="-13"/>
        </w:rPr>
        <w:t> </w:t>
      </w:r>
      <w:r>
        <w:rPr/>
        <w:t>the</w:t>
      </w:r>
      <w:r>
        <w:rPr>
          <w:spacing w:val="-12"/>
        </w:rPr>
        <w:t> </w:t>
      </w:r>
      <w:r>
        <w:rPr/>
        <w:t>Commission</w:t>
      </w:r>
      <w:r>
        <w:rPr>
          <w:spacing w:val="-13"/>
        </w:rPr>
        <w:t> </w:t>
      </w:r>
      <w:r>
        <w:rPr/>
        <w:t>first</w:t>
      </w:r>
      <w:r>
        <w:rPr>
          <w:spacing w:val="-12"/>
        </w:rPr>
        <w:t> </w:t>
      </w:r>
      <w:r>
        <w:rPr/>
        <w:t>issued</w:t>
      </w:r>
      <w:r>
        <w:rPr>
          <w:spacing w:val="-13"/>
        </w:rPr>
        <w:t> </w:t>
      </w:r>
      <w:r>
        <w:rPr/>
        <w:t>a</w:t>
      </w:r>
      <w:r>
        <w:rPr>
          <w:spacing w:val="-12"/>
        </w:rPr>
        <w:t> </w:t>
      </w:r>
      <w:r>
        <w:rPr/>
        <w:t>recommendation highlighting</w:t>
      </w:r>
      <w:r>
        <w:rPr>
          <w:spacing w:val="-6"/>
        </w:rPr>
        <w:t> </w:t>
      </w:r>
      <w:r>
        <w:rPr/>
        <w:t>the</w:t>
      </w:r>
      <w:r>
        <w:rPr>
          <w:spacing w:val="-7"/>
        </w:rPr>
        <w:t> </w:t>
      </w:r>
      <w:r>
        <w:rPr/>
        <w:t>need</w:t>
      </w:r>
      <w:r>
        <w:rPr>
          <w:spacing w:val="-7"/>
        </w:rPr>
        <w:t> </w:t>
      </w:r>
      <w:r>
        <w:rPr/>
        <w:t>for</w:t>
      </w:r>
      <w:r>
        <w:rPr>
          <w:spacing w:val="-5"/>
        </w:rPr>
        <w:t> </w:t>
      </w:r>
      <w:r>
        <w:rPr/>
        <w:t>the</w:t>
      </w:r>
      <w:r>
        <w:rPr>
          <w:spacing w:val="-7"/>
        </w:rPr>
        <w:t> </w:t>
      </w:r>
      <w:r>
        <w:rPr/>
        <w:t>agency</w:t>
      </w:r>
      <w:r>
        <w:rPr>
          <w:spacing w:val="-5"/>
        </w:rPr>
        <w:t> </w:t>
      </w:r>
      <w:r>
        <w:rPr/>
        <w:t>to</w:t>
      </w:r>
      <w:r>
        <w:rPr>
          <w:spacing w:val="-5"/>
        </w:rPr>
        <w:t> </w:t>
      </w:r>
      <w:r>
        <w:rPr/>
        <w:t>better</w:t>
      </w:r>
      <w:r>
        <w:rPr>
          <w:spacing w:val="-6"/>
        </w:rPr>
        <w:t> </w:t>
      </w:r>
      <w:r>
        <w:rPr/>
        <w:t>support</w:t>
      </w:r>
      <w:r>
        <w:rPr>
          <w:spacing w:val="-7"/>
        </w:rPr>
        <w:t> </w:t>
      </w:r>
      <w:r>
        <w:rPr/>
        <w:t>LGBTQ</w:t>
      </w:r>
      <w:r>
        <w:rPr>
          <w:spacing w:val="-7"/>
        </w:rPr>
        <w:t> </w:t>
      </w:r>
      <w:r>
        <w:rPr/>
        <w:t>youth</w:t>
      </w:r>
      <w:r>
        <w:rPr>
          <w:spacing w:val="-7"/>
        </w:rPr>
        <w:t> </w:t>
      </w:r>
      <w:r>
        <w:rPr/>
        <w:t>with</w:t>
      </w:r>
      <w:r>
        <w:rPr>
          <w:spacing w:val="-6"/>
        </w:rPr>
        <w:t> </w:t>
      </w:r>
      <w:r>
        <w:rPr/>
        <w:t>unsupportive</w:t>
      </w:r>
      <w:r>
        <w:rPr>
          <w:spacing w:val="-7"/>
        </w:rPr>
        <w:t> </w:t>
      </w:r>
      <w:r>
        <w:rPr/>
        <w:t>families,</w:t>
      </w:r>
      <w:r>
        <w:rPr>
          <w:spacing w:val="-6"/>
        </w:rPr>
        <w:t> </w:t>
      </w:r>
      <w:r>
        <w:rPr/>
        <w:t>DMH</w:t>
      </w:r>
      <w:r>
        <w:rPr>
          <w:spacing w:val="-7"/>
        </w:rPr>
        <w:t> </w:t>
      </w:r>
      <w:r>
        <w:rPr/>
        <w:t>has shared</w:t>
      </w:r>
      <w:r>
        <w:rPr>
          <w:spacing w:val="-7"/>
        </w:rPr>
        <w:t> </w:t>
      </w:r>
      <w:r>
        <w:rPr/>
        <w:t>that</w:t>
      </w:r>
      <w:r>
        <w:rPr>
          <w:spacing w:val="-7"/>
        </w:rPr>
        <w:t> </w:t>
      </w:r>
      <w:r>
        <w:rPr/>
        <w:t>is</w:t>
      </w:r>
      <w:r>
        <w:rPr>
          <w:spacing w:val="-5"/>
        </w:rPr>
        <w:t> </w:t>
      </w:r>
      <w:r>
        <w:rPr/>
        <w:t>is</w:t>
      </w:r>
      <w:r>
        <w:rPr>
          <w:spacing w:val="-6"/>
        </w:rPr>
        <w:t> </w:t>
      </w:r>
      <w:r>
        <w:rPr/>
        <w:t>making</w:t>
      </w:r>
      <w:r>
        <w:rPr>
          <w:spacing w:val="-5"/>
        </w:rPr>
        <w:t> </w:t>
      </w:r>
      <w:r>
        <w:rPr/>
        <w:t>minor</w:t>
      </w:r>
      <w:r>
        <w:rPr>
          <w:spacing w:val="-6"/>
        </w:rPr>
        <w:t> </w:t>
      </w:r>
      <w:r>
        <w:rPr/>
        <w:t>updates</w:t>
      </w:r>
      <w:r>
        <w:rPr>
          <w:spacing w:val="-6"/>
        </w:rPr>
        <w:t> </w:t>
      </w:r>
      <w:r>
        <w:rPr/>
        <w:t>to</w:t>
      </w:r>
      <w:r>
        <w:rPr>
          <w:spacing w:val="-6"/>
        </w:rPr>
        <w:t> </w:t>
      </w:r>
      <w:r>
        <w:rPr/>
        <w:t>its</w:t>
      </w:r>
      <w:r>
        <w:rPr>
          <w:spacing w:val="-6"/>
        </w:rPr>
        <w:t> </w:t>
      </w:r>
      <w:r>
        <w:rPr/>
        <w:t>nondiscrimination</w:t>
      </w:r>
      <w:r>
        <w:rPr>
          <w:spacing w:val="-5"/>
        </w:rPr>
        <w:t> </w:t>
      </w:r>
      <w:r>
        <w:rPr/>
        <w:t>policy</w:t>
      </w:r>
      <w:r>
        <w:rPr>
          <w:spacing w:val="-6"/>
        </w:rPr>
        <w:t> </w:t>
      </w:r>
      <w:r>
        <w:rPr/>
        <w:t>to</w:t>
      </w:r>
      <w:r>
        <w:rPr>
          <w:spacing w:val="-5"/>
        </w:rPr>
        <w:t> </w:t>
      </w:r>
      <w:r>
        <w:rPr/>
        <w:t>provide</w:t>
      </w:r>
      <w:r>
        <w:rPr>
          <w:spacing w:val="-5"/>
        </w:rPr>
        <w:t> </w:t>
      </w:r>
      <w:r>
        <w:rPr/>
        <w:t>clearer</w:t>
      </w:r>
      <w:r>
        <w:rPr>
          <w:spacing w:val="-5"/>
        </w:rPr>
        <w:t> </w:t>
      </w:r>
      <w:r>
        <w:rPr/>
        <w:t>guidance</w:t>
      </w:r>
      <w:r>
        <w:rPr>
          <w:spacing w:val="-5"/>
        </w:rPr>
        <w:t> </w:t>
      </w:r>
      <w:r>
        <w:rPr/>
        <w:t>to</w:t>
      </w:r>
      <w:r>
        <w:rPr>
          <w:spacing w:val="-6"/>
        </w:rPr>
        <w:t> </w:t>
      </w:r>
      <w:r>
        <w:rPr/>
        <w:t>staff in this area. To further its recommendation, the Commission advises that DMH should explore potential opportunities</w:t>
      </w:r>
      <w:r>
        <w:rPr>
          <w:spacing w:val="-1"/>
        </w:rPr>
        <w:t> </w:t>
      </w:r>
      <w:r>
        <w:rPr/>
        <w:t>to</w:t>
      </w:r>
      <w:r>
        <w:rPr>
          <w:spacing w:val="-1"/>
        </w:rPr>
        <w:t> </w:t>
      </w:r>
      <w:r>
        <w:rPr/>
        <w:t>implement</w:t>
      </w:r>
      <w:r>
        <w:rPr>
          <w:spacing w:val="-1"/>
        </w:rPr>
        <w:t> </w:t>
      </w:r>
      <w:r>
        <w:rPr/>
        <w:t>an</w:t>
      </w:r>
      <w:r>
        <w:rPr>
          <w:spacing w:val="-1"/>
        </w:rPr>
        <w:t> </w:t>
      </w:r>
      <w:r>
        <w:rPr/>
        <w:t>LGBTQ</w:t>
      </w:r>
      <w:r>
        <w:rPr>
          <w:spacing w:val="-1"/>
        </w:rPr>
        <w:t> </w:t>
      </w:r>
      <w:r>
        <w:rPr/>
        <w:t>caregiver</w:t>
      </w:r>
      <w:r>
        <w:rPr>
          <w:spacing w:val="-1"/>
        </w:rPr>
        <w:t> </w:t>
      </w:r>
      <w:r>
        <w:rPr/>
        <w:t>acceptance</w:t>
      </w:r>
      <w:r>
        <w:rPr>
          <w:spacing w:val="-1"/>
        </w:rPr>
        <w:t> </w:t>
      </w:r>
      <w:r>
        <w:rPr/>
        <w:t>training</w:t>
      </w:r>
      <w:r>
        <w:rPr>
          <w:spacing w:val="-1"/>
        </w:rPr>
        <w:t> </w:t>
      </w:r>
      <w:r>
        <w:rPr/>
        <w:t>to</w:t>
      </w:r>
      <w:r>
        <w:rPr>
          <w:spacing w:val="-1"/>
        </w:rPr>
        <w:t> </w:t>
      </w:r>
      <w:r>
        <w:rPr/>
        <w:t>support</w:t>
      </w:r>
      <w:r>
        <w:rPr>
          <w:spacing w:val="-1"/>
        </w:rPr>
        <w:t> </w:t>
      </w:r>
      <w:r>
        <w:rPr/>
        <w:t>LGBTQ</w:t>
      </w:r>
      <w:r>
        <w:rPr>
          <w:spacing w:val="-1"/>
        </w:rPr>
        <w:t> </w:t>
      </w:r>
      <w:r>
        <w:rPr/>
        <w:t>youth</w:t>
      </w:r>
      <w:r>
        <w:rPr>
          <w:spacing w:val="-1"/>
        </w:rPr>
        <w:t> </w:t>
      </w:r>
      <w:r>
        <w:rPr/>
        <w:t>involved</w:t>
      </w:r>
      <w:r>
        <w:rPr>
          <w:spacing w:val="-1"/>
        </w:rPr>
        <w:t> </w:t>
      </w:r>
      <w:r>
        <w:rPr/>
        <w:t>in DMH services.</w:t>
      </w:r>
    </w:p>
    <w:p>
      <w:pPr>
        <w:numPr>
          <w:ilvl w:val="0"/>
          <w:numId w:val="40"/>
        </w:numPr>
        <w:tabs>
          <w:tab w:pos="481" w:val="left" w:leader="none"/>
          <w:tab w:pos="483" w:val="left" w:leader="none"/>
        </w:tabs>
        <w:spacing w:line="276" w:lineRule="auto" w:before="239"/>
        <w:ind w:left="483" w:right="343" w:hanging="360"/>
        <w:jc w:val="left"/>
        <w:rPr>
          <w:b/>
          <w:sz w:val="22"/>
        </w:rPr>
      </w:pPr>
      <w:r>
        <w:rPr>
          <w:b/>
          <w:sz w:val="22"/>
        </w:rPr>
        <w:t>Explore</w:t>
      </w:r>
      <w:r>
        <w:rPr>
          <w:b/>
          <w:spacing w:val="-12"/>
          <w:sz w:val="22"/>
        </w:rPr>
        <w:t> </w:t>
      </w:r>
      <w:r>
        <w:rPr>
          <w:b/>
          <w:sz w:val="22"/>
        </w:rPr>
        <w:t>further</w:t>
      </w:r>
      <w:r>
        <w:rPr>
          <w:b/>
          <w:spacing w:val="-11"/>
          <w:sz w:val="22"/>
        </w:rPr>
        <w:t> </w:t>
      </w:r>
      <w:r>
        <w:rPr>
          <w:b/>
          <w:sz w:val="22"/>
        </w:rPr>
        <w:t>SOGIE</w:t>
      </w:r>
      <w:r>
        <w:rPr>
          <w:b/>
          <w:spacing w:val="-12"/>
          <w:sz w:val="22"/>
        </w:rPr>
        <w:t> </w:t>
      </w:r>
      <w:r>
        <w:rPr>
          <w:b/>
          <w:sz w:val="22"/>
        </w:rPr>
        <w:t>data</w:t>
      </w:r>
      <w:r>
        <w:rPr>
          <w:b/>
          <w:spacing w:val="-12"/>
          <w:sz w:val="22"/>
        </w:rPr>
        <w:t> </w:t>
      </w:r>
      <w:r>
        <w:rPr>
          <w:b/>
          <w:sz w:val="22"/>
        </w:rPr>
        <w:t>collection</w:t>
      </w:r>
      <w:r>
        <w:rPr>
          <w:b/>
          <w:spacing w:val="-10"/>
          <w:sz w:val="22"/>
        </w:rPr>
        <w:t> </w:t>
      </w:r>
      <w:r>
        <w:rPr>
          <w:b/>
          <w:sz w:val="22"/>
        </w:rPr>
        <w:t>&amp;</w:t>
      </w:r>
      <w:r>
        <w:rPr>
          <w:b/>
          <w:spacing w:val="-11"/>
          <w:sz w:val="22"/>
        </w:rPr>
        <w:t> </w:t>
      </w:r>
      <w:r>
        <w:rPr>
          <w:b/>
          <w:sz w:val="22"/>
        </w:rPr>
        <w:t>IT</w:t>
      </w:r>
      <w:r>
        <w:rPr>
          <w:b/>
          <w:spacing w:val="-11"/>
          <w:sz w:val="22"/>
        </w:rPr>
        <w:t> </w:t>
      </w:r>
      <w:r>
        <w:rPr>
          <w:b/>
          <w:sz w:val="22"/>
        </w:rPr>
        <w:t>changes</w:t>
      </w:r>
      <w:r>
        <w:rPr>
          <w:b/>
          <w:spacing w:val="-10"/>
          <w:sz w:val="22"/>
        </w:rPr>
        <w:t> </w:t>
      </w:r>
      <w:r>
        <w:rPr>
          <w:b/>
          <w:sz w:val="22"/>
        </w:rPr>
        <w:t>needed</w:t>
      </w:r>
      <w:r>
        <w:rPr>
          <w:b/>
          <w:spacing w:val="-10"/>
          <w:sz w:val="22"/>
        </w:rPr>
        <w:t> </w:t>
      </w:r>
      <w:r>
        <w:rPr>
          <w:b/>
          <w:sz w:val="22"/>
        </w:rPr>
        <w:t>to</w:t>
      </w:r>
      <w:r>
        <w:rPr>
          <w:b/>
          <w:spacing w:val="-11"/>
          <w:sz w:val="22"/>
        </w:rPr>
        <w:t> </w:t>
      </w:r>
      <w:r>
        <w:rPr>
          <w:b/>
          <w:sz w:val="22"/>
        </w:rPr>
        <w:t>collect</w:t>
      </w:r>
      <w:r>
        <w:rPr>
          <w:b/>
          <w:spacing w:val="-12"/>
          <w:sz w:val="22"/>
        </w:rPr>
        <w:t> </w:t>
      </w:r>
      <w:r>
        <w:rPr>
          <w:b/>
          <w:sz w:val="22"/>
        </w:rPr>
        <w:t>comprehensive</w:t>
      </w:r>
      <w:r>
        <w:rPr>
          <w:b/>
          <w:spacing w:val="-12"/>
          <w:sz w:val="22"/>
        </w:rPr>
        <w:t> </w:t>
      </w:r>
      <w:r>
        <w:rPr>
          <w:b/>
          <w:sz w:val="22"/>
        </w:rPr>
        <w:t>data</w:t>
      </w:r>
      <w:r>
        <w:rPr>
          <w:b/>
          <w:spacing w:val="-11"/>
          <w:sz w:val="22"/>
        </w:rPr>
        <w:t> </w:t>
      </w:r>
      <w:r>
        <w:rPr>
          <w:b/>
          <w:sz w:val="22"/>
        </w:rPr>
        <w:t>on</w:t>
      </w:r>
      <w:r>
        <w:rPr>
          <w:b/>
          <w:spacing w:val="-12"/>
          <w:sz w:val="22"/>
        </w:rPr>
        <w:t> </w:t>
      </w:r>
      <w:r>
        <w:rPr>
          <w:b/>
          <w:sz w:val="22"/>
        </w:rPr>
        <w:t>the</w:t>
      </w:r>
      <w:r>
        <w:rPr>
          <w:b/>
          <w:spacing w:val="-12"/>
          <w:sz w:val="22"/>
        </w:rPr>
        <w:t> </w:t>
      </w:r>
      <w:r>
        <w:rPr>
          <w:b/>
          <w:sz w:val="22"/>
        </w:rPr>
        <w:t>mental health needs of LGBTQ youth.</w:t>
      </w:r>
    </w:p>
    <w:p>
      <w:pPr>
        <w:pStyle w:val="BodyText"/>
        <w:spacing w:line="276" w:lineRule="auto" w:before="239"/>
        <w:ind w:left="483" w:right="341"/>
        <w:jc w:val="both"/>
      </w:pPr>
      <w:r>
        <w:rPr/>
        <w:t>For</w:t>
      </w:r>
      <w:r>
        <w:rPr>
          <w:spacing w:val="-3"/>
        </w:rPr>
        <w:t> </w:t>
      </w:r>
      <w:r>
        <w:rPr/>
        <w:t>several</w:t>
      </w:r>
      <w:r>
        <w:rPr>
          <w:spacing w:val="-3"/>
        </w:rPr>
        <w:t> </w:t>
      </w:r>
      <w:r>
        <w:rPr/>
        <w:t>years,</w:t>
      </w:r>
      <w:r>
        <w:rPr>
          <w:spacing w:val="-3"/>
        </w:rPr>
        <w:t> </w:t>
      </w:r>
      <w:r>
        <w:rPr/>
        <w:t>DMH</w:t>
      </w:r>
      <w:r>
        <w:rPr>
          <w:spacing w:val="-3"/>
        </w:rPr>
        <w:t> </w:t>
      </w:r>
      <w:r>
        <w:rPr/>
        <w:t>has</w:t>
      </w:r>
      <w:r>
        <w:rPr>
          <w:spacing w:val="-3"/>
        </w:rPr>
        <w:t> </w:t>
      </w:r>
      <w:r>
        <w:rPr/>
        <w:t>been</w:t>
      </w:r>
      <w:r>
        <w:rPr>
          <w:spacing w:val="-2"/>
        </w:rPr>
        <w:t> </w:t>
      </w:r>
      <w:r>
        <w:rPr/>
        <w:t>exploring</w:t>
      </w:r>
      <w:r>
        <w:rPr>
          <w:spacing w:val="-3"/>
        </w:rPr>
        <w:t> </w:t>
      </w:r>
      <w:r>
        <w:rPr/>
        <w:t>opportunities</w:t>
      </w:r>
      <w:r>
        <w:rPr>
          <w:spacing w:val="-3"/>
        </w:rPr>
        <w:t> </w:t>
      </w:r>
      <w:r>
        <w:rPr/>
        <w:t>to</w:t>
      </w:r>
      <w:r>
        <w:rPr>
          <w:spacing w:val="-1"/>
        </w:rPr>
        <w:t> </w:t>
      </w:r>
      <w:r>
        <w:rPr/>
        <w:t>collect</w:t>
      </w:r>
      <w:r>
        <w:rPr>
          <w:spacing w:val="-2"/>
        </w:rPr>
        <w:t> </w:t>
      </w:r>
      <w:r>
        <w:rPr/>
        <w:t>comprehensive</w:t>
      </w:r>
      <w:r>
        <w:rPr>
          <w:spacing w:val="-3"/>
        </w:rPr>
        <w:t> </w:t>
      </w:r>
      <w:r>
        <w:rPr/>
        <w:t>SOGIE</w:t>
      </w:r>
      <w:r>
        <w:rPr>
          <w:spacing w:val="-3"/>
        </w:rPr>
        <w:t> </w:t>
      </w:r>
      <w:r>
        <w:rPr/>
        <w:t>data.</w:t>
      </w:r>
      <w:r>
        <w:rPr>
          <w:spacing w:val="-3"/>
        </w:rPr>
        <w:t> </w:t>
      </w:r>
      <w:r>
        <w:rPr/>
        <w:t>In</w:t>
      </w:r>
      <w:r>
        <w:rPr>
          <w:spacing w:val="-2"/>
        </w:rPr>
        <w:t> </w:t>
      </w:r>
      <w:r>
        <w:rPr/>
        <w:t>a</w:t>
      </w:r>
      <w:r>
        <w:rPr>
          <w:spacing w:val="-3"/>
        </w:rPr>
        <w:t> </w:t>
      </w:r>
      <w:r>
        <w:rPr/>
        <w:t>2021 audit of its current data collection measures, DMH relayed to the Commission that there are existing issues with the data collection field. These issues include the fields being difficult to find and not being mandatory;</w:t>
      </w:r>
      <w:r>
        <w:rPr>
          <w:spacing w:val="-5"/>
        </w:rPr>
        <w:t> </w:t>
      </w:r>
      <w:r>
        <w:rPr/>
        <w:t>to</w:t>
      </w:r>
      <w:r>
        <w:rPr>
          <w:spacing w:val="-6"/>
        </w:rPr>
        <w:t> </w:t>
      </w:r>
      <w:r>
        <w:rPr/>
        <w:t>resolve</w:t>
      </w:r>
      <w:r>
        <w:rPr>
          <w:spacing w:val="-7"/>
        </w:rPr>
        <w:t> </w:t>
      </w:r>
      <w:r>
        <w:rPr/>
        <w:t>these</w:t>
      </w:r>
      <w:r>
        <w:rPr>
          <w:spacing w:val="-7"/>
        </w:rPr>
        <w:t> </w:t>
      </w:r>
      <w:r>
        <w:rPr/>
        <w:t>issues</w:t>
      </w:r>
      <w:r>
        <w:rPr>
          <w:spacing w:val="-6"/>
        </w:rPr>
        <w:t> </w:t>
      </w:r>
      <w:r>
        <w:rPr/>
        <w:t>would</w:t>
      </w:r>
      <w:r>
        <w:rPr>
          <w:spacing w:val="-7"/>
        </w:rPr>
        <w:t> </w:t>
      </w:r>
      <w:r>
        <w:rPr/>
        <w:t>require</w:t>
      </w:r>
      <w:r>
        <w:rPr>
          <w:spacing w:val="-5"/>
        </w:rPr>
        <w:t> </w:t>
      </w:r>
      <w:r>
        <w:rPr/>
        <w:t>a</w:t>
      </w:r>
      <w:r>
        <w:rPr>
          <w:spacing w:val="-5"/>
        </w:rPr>
        <w:t> </w:t>
      </w:r>
      <w:r>
        <w:rPr/>
        <w:t>thorough</w:t>
      </w:r>
      <w:r>
        <w:rPr>
          <w:spacing w:val="-6"/>
        </w:rPr>
        <w:t> </w:t>
      </w:r>
      <w:r>
        <w:rPr/>
        <w:t>technology</w:t>
      </w:r>
      <w:r>
        <w:rPr>
          <w:spacing w:val="-6"/>
        </w:rPr>
        <w:t> </w:t>
      </w:r>
      <w:r>
        <w:rPr/>
        <w:t>update,</w:t>
      </w:r>
      <w:r>
        <w:rPr>
          <w:spacing w:val="-6"/>
        </w:rPr>
        <w:t> </w:t>
      </w:r>
      <w:r>
        <w:rPr/>
        <w:t>which</w:t>
      </w:r>
      <w:r>
        <w:rPr>
          <w:spacing w:val="-6"/>
        </w:rPr>
        <w:t> </w:t>
      </w:r>
      <w:r>
        <w:rPr/>
        <w:t>can</w:t>
      </w:r>
      <w:r>
        <w:rPr>
          <w:spacing w:val="-6"/>
        </w:rPr>
        <w:t> </w:t>
      </w:r>
      <w:r>
        <w:rPr/>
        <w:t>typically</w:t>
      </w:r>
      <w:r>
        <w:rPr>
          <w:spacing w:val="-5"/>
        </w:rPr>
        <w:t> </w:t>
      </w:r>
      <w:r>
        <w:rPr/>
        <w:t>be</w:t>
      </w:r>
      <w:r>
        <w:rPr>
          <w:spacing w:val="-5"/>
        </w:rPr>
        <w:t> </w:t>
      </w:r>
      <w:r>
        <w:rPr/>
        <w:t>a large haul for any state agency’s IT departments. The Commission understands that DMH did recently receive a small wave of SOGIE data but encourages the agency to prioritize the needed IT updates to address</w:t>
      </w:r>
      <w:r>
        <w:rPr>
          <w:spacing w:val="-10"/>
        </w:rPr>
        <w:t> </w:t>
      </w:r>
      <w:r>
        <w:rPr/>
        <w:t>the</w:t>
      </w:r>
      <w:r>
        <w:rPr>
          <w:spacing w:val="-9"/>
        </w:rPr>
        <w:t> </w:t>
      </w:r>
      <w:r>
        <w:rPr/>
        <w:t>reference</w:t>
      </w:r>
      <w:r>
        <w:rPr>
          <w:spacing w:val="-9"/>
        </w:rPr>
        <w:t> </w:t>
      </w:r>
      <w:r>
        <w:rPr/>
        <w:t>data</w:t>
      </w:r>
      <w:r>
        <w:rPr>
          <w:spacing w:val="-10"/>
        </w:rPr>
        <w:t> </w:t>
      </w:r>
      <w:r>
        <w:rPr/>
        <w:t>field</w:t>
      </w:r>
      <w:r>
        <w:rPr>
          <w:spacing w:val="-9"/>
        </w:rPr>
        <w:t> </w:t>
      </w:r>
      <w:r>
        <w:rPr/>
        <w:t>issues.</w:t>
      </w:r>
      <w:r>
        <w:rPr>
          <w:spacing w:val="-8"/>
        </w:rPr>
        <w:t> </w:t>
      </w:r>
      <w:r>
        <w:rPr/>
        <w:t>In</w:t>
      </w:r>
      <w:r>
        <w:rPr>
          <w:spacing w:val="-9"/>
        </w:rPr>
        <w:t> </w:t>
      </w:r>
      <w:r>
        <w:rPr/>
        <w:t>its</w:t>
      </w:r>
      <w:r>
        <w:rPr>
          <w:spacing w:val="-9"/>
        </w:rPr>
        <w:t> </w:t>
      </w:r>
      <w:r>
        <w:rPr/>
        <w:t>winter</w:t>
      </w:r>
      <w:r>
        <w:rPr>
          <w:spacing w:val="-9"/>
        </w:rPr>
        <w:t> </w:t>
      </w:r>
      <w:r>
        <w:rPr/>
        <w:t>FY24</w:t>
      </w:r>
      <w:r>
        <w:rPr>
          <w:spacing w:val="-9"/>
        </w:rPr>
        <w:t> </w:t>
      </w:r>
      <w:r>
        <w:rPr/>
        <w:t>meetings</w:t>
      </w:r>
      <w:r>
        <w:rPr>
          <w:spacing w:val="-9"/>
        </w:rPr>
        <w:t> </w:t>
      </w:r>
      <w:r>
        <w:rPr/>
        <w:t>with</w:t>
      </w:r>
      <w:r>
        <w:rPr>
          <w:spacing w:val="-9"/>
        </w:rPr>
        <w:t> </w:t>
      </w:r>
      <w:r>
        <w:rPr/>
        <w:t>the</w:t>
      </w:r>
      <w:r>
        <w:rPr>
          <w:spacing w:val="-9"/>
        </w:rPr>
        <w:t> </w:t>
      </w:r>
      <w:r>
        <w:rPr/>
        <w:t>Commission,</w:t>
      </w:r>
      <w:r>
        <w:rPr>
          <w:spacing w:val="-10"/>
        </w:rPr>
        <w:t> </w:t>
      </w:r>
      <w:r>
        <w:rPr/>
        <w:t>DMH</w:t>
      </w:r>
      <w:r>
        <w:rPr>
          <w:spacing w:val="-10"/>
        </w:rPr>
        <w:t> </w:t>
      </w:r>
      <w:r>
        <w:rPr/>
        <w:t>noted</w:t>
      </w:r>
      <w:r>
        <w:rPr>
          <w:spacing w:val="-9"/>
        </w:rPr>
        <w:t> </w:t>
      </w:r>
      <w:r>
        <w:rPr/>
        <w:t>that it has developed a curriculum and training plan to begin engaging DMH employees on how to appropriately collect SOGIE data.</w:t>
      </w:r>
    </w:p>
    <w:p>
      <w:pPr>
        <w:pStyle w:val="BodyText"/>
        <w:spacing w:line="276" w:lineRule="auto" w:before="241"/>
        <w:ind w:left="483" w:right="341" w:hanging="1"/>
        <w:jc w:val="both"/>
      </w:pPr>
      <w:r>
        <w:rPr/>
        <w:t>Furthermore, DMH - along with several other agencies - have noted the difficulties of appropriately collecting</w:t>
      </w:r>
      <w:r>
        <w:rPr>
          <w:spacing w:val="14"/>
        </w:rPr>
        <w:t> </w:t>
      </w:r>
      <w:r>
        <w:rPr/>
        <w:t>SOGIE</w:t>
      </w:r>
      <w:r>
        <w:rPr>
          <w:spacing w:val="14"/>
        </w:rPr>
        <w:t> </w:t>
      </w:r>
      <w:r>
        <w:rPr/>
        <w:t>data,</w:t>
      </w:r>
      <w:r>
        <w:rPr>
          <w:spacing w:val="13"/>
        </w:rPr>
        <w:t> </w:t>
      </w:r>
      <w:r>
        <w:rPr/>
        <w:t>or</w:t>
      </w:r>
      <w:r>
        <w:rPr>
          <w:spacing w:val="13"/>
        </w:rPr>
        <w:t> </w:t>
      </w:r>
      <w:r>
        <w:rPr/>
        <w:t>ensuring</w:t>
      </w:r>
      <w:r>
        <w:rPr>
          <w:spacing w:val="14"/>
        </w:rPr>
        <w:t> </w:t>
      </w:r>
      <w:r>
        <w:rPr/>
        <w:t>that</w:t>
      </w:r>
      <w:r>
        <w:rPr>
          <w:spacing w:val="14"/>
        </w:rPr>
        <w:t> </w:t>
      </w:r>
      <w:r>
        <w:rPr/>
        <w:t>their</w:t>
      </w:r>
      <w:r>
        <w:rPr>
          <w:spacing w:val="13"/>
        </w:rPr>
        <w:t> </w:t>
      </w:r>
      <w:r>
        <w:rPr/>
        <w:t>forms</w:t>
      </w:r>
      <w:r>
        <w:rPr>
          <w:spacing w:val="14"/>
        </w:rPr>
        <w:t> </w:t>
      </w:r>
      <w:r>
        <w:rPr/>
        <w:t>and</w:t>
      </w:r>
      <w:r>
        <w:rPr>
          <w:spacing w:val="13"/>
        </w:rPr>
        <w:t> </w:t>
      </w:r>
      <w:r>
        <w:rPr/>
        <w:t>policies</w:t>
      </w:r>
      <w:r>
        <w:rPr>
          <w:spacing w:val="13"/>
        </w:rPr>
        <w:t> </w:t>
      </w:r>
      <w:r>
        <w:rPr/>
        <w:t>are</w:t>
      </w:r>
      <w:r>
        <w:rPr>
          <w:spacing w:val="13"/>
        </w:rPr>
        <w:t> </w:t>
      </w:r>
      <w:r>
        <w:rPr/>
        <w:t>inclusive,</w:t>
      </w:r>
      <w:r>
        <w:rPr>
          <w:spacing w:val="14"/>
        </w:rPr>
        <w:t> </w:t>
      </w:r>
      <w:r>
        <w:rPr/>
        <w:t>due</w:t>
      </w:r>
      <w:r>
        <w:rPr>
          <w:spacing w:val="14"/>
        </w:rPr>
        <w:t> </w:t>
      </w:r>
      <w:r>
        <w:rPr/>
        <w:t>to</w:t>
      </w:r>
      <w:r>
        <w:rPr>
          <w:spacing w:val="13"/>
        </w:rPr>
        <w:t> </w:t>
      </w:r>
      <w:r>
        <w:rPr/>
        <w:t>conflicting</w:t>
      </w:r>
      <w:r>
        <w:rPr>
          <w:spacing w:val="13"/>
        </w:rPr>
        <w:t> </w:t>
      </w:r>
      <w:r>
        <w:rPr/>
        <w:t>federal</w:t>
      </w:r>
    </w:p>
    <w:p>
      <w:pPr>
        <w:spacing w:after="0" w:line="276" w:lineRule="auto"/>
        <w:jc w:val="both"/>
        <w:sectPr>
          <w:pgSz w:w="12240" w:h="15840"/>
          <w:pgMar w:header="804" w:footer="1263" w:top="1000" w:bottom="1460" w:left="960" w:right="1100"/>
        </w:sectPr>
      </w:pPr>
    </w:p>
    <w:p>
      <w:pPr>
        <w:pStyle w:val="BodyText"/>
        <w:spacing w:before="98"/>
      </w:pPr>
    </w:p>
    <w:p>
      <w:pPr>
        <w:pStyle w:val="BodyText"/>
        <w:spacing w:line="276" w:lineRule="auto"/>
        <w:ind w:left="483" w:right="342"/>
        <w:jc w:val="both"/>
      </w:pPr>
      <w:r>
        <w:rPr/>
        <w:t>requirements.</w:t>
      </w:r>
      <w:r>
        <w:rPr>
          <w:spacing w:val="-10"/>
        </w:rPr>
        <w:t> </w:t>
      </w:r>
      <w:r>
        <w:rPr/>
        <w:t>For</w:t>
      </w:r>
      <w:r>
        <w:rPr>
          <w:spacing w:val="-9"/>
        </w:rPr>
        <w:t> </w:t>
      </w:r>
      <w:r>
        <w:rPr/>
        <w:t>DMH,</w:t>
      </w:r>
      <w:r>
        <w:rPr>
          <w:spacing w:val="-10"/>
        </w:rPr>
        <w:t> </w:t>
      </w:r>
      <w:r>
        <w:rPr/>
        <w:t>MassHealth,</w:t>
      </w:r>
      <w:r>
        <w:rPr>
          <w:spacing w:val="-10"/>
        </w:rPr>
        <w:t> </w:t>
      </w:r>
      <w:r>
        <w:rPr/>
        <w:t>and</w:t>
      </w:r>
      <w:r>
        <w:rPr>
          <w:spacing w:val="-10"/>
        </w:rPr>
        <w:t> </w:t>
      </w:r>
      <w:r>
        <w:rPr/>
        <w:t>DPH,</w:t>
      </w:r>
      <w:r>
        <w:rPr>
          <w:spacing w:val="-8"/>
        </w:rPr>
        <w:t> </w:t>
      </w:r>
      <w:r>
        <w:rPr/>
        <w:t>there</w:t>
      </w:r>
      <w:r>
        <w:rPr>
          <w:spacing w:val="-8"/>
        </w:rPr>
        <w:t> </w:t>
      </w:r>
      <w:r>
        <w:rPr/>
        <w:t>are</w:t>
      </w:r>
      <w:r>
        <w:rPr>
          <w:spacing w:val="-10"/>
        </w:rPr>
        <w:t> </w:t>
      </w:r>
      <w:r>
        <w:rPr/>
        <w:t>medical</w:t>
      </w:r>
      <w:r>
        <w:rPr>
          <w:spacing w:val="-9"/>
        </w:rPr>
        <w:t> </w:t>
      </w:r>
      <w:r>
        <w:rPr/>
        <w:t>codes</w:t>
      </w:r>
      <w:r>
        <w:rPr>
          <w:spacing w:val="-10"/>
        </w:rPr>
        <w:t> </w:t>
      </w:r>
      <w:r>
        <w:rPr/>
        <w:t>in</w:t>
      </w:r>
      <w:r>
        <w:rPr>
          <w:spacing w:val="-9"/>
        </w:rPr>
        <w:t> </w:t>
      </w:r>
      <w:r>
        <w:rPr/>
        <w:t>place</w:t>
      </w:r>
      <w:r>
        <w:rPr>
          <w:spacing w:val="-8"/>
        </w:rPr>
        <w:t> </w:t>
      </w:r>
      <w:r>
        <w:rPr/>
        <w:t>that</w:t>
      </w:r>
      <w:r>
        <w:rPr>
          <w:spacing w:val="-9"/>
        </w:rPr>
        <w:t> </w:t>
      </w:r>
      <w:r>
        <w:rPr/>
        <w:t>prevent</w:t>
      </w:r>
      <w:r>
        <w:rPr>
          <w:spacing w:val="-8"/>
        </w:rPr>
        <w:t> </w:t>
      </w:r>
      <w:r>
        <w:rPr/>
        <w:t>appropriate inclusive SOGIE data collection. The Commission recommends that DMH, MassHealth, and DPH form a collaborative attempt to address these barriers at the federal level.</w:t>
      </w:r>
    </w:p>
    <w:p>
      <w:pPr>
        <w:numPr>
          <w:ilvl w:val="0"/>
          <w:numId w:val="40"/>
        </w:numPr>
        <w:tabs>
          <w:tab w:pos="481" w:val="left" w:leader="none"/>
          <w:tab w:pos="483" w:val="left" w:leader="none"/>
        </w:tabs>
        <w:spacing w:line="276" w:lineRule="auto" w:before="240"/>
        <w:ind w:left="483" w:right="344" w:hanging="360"/>
        <w:jc w:val="left"/>
        <w:rPr>
          <w:b/>
          <w:sz w:val="22"/>
        </w:rPr>
      </w:pPr>
      <w:r>
        <w:rPr>
          <w:b/>
          <w:sz w:val="22"/>
        </w:rPr>
        <w:t>Facilitate trainings on LGBTQ cultural awareness and racial equity, with particular attention to youth and access to affirming care.</w:t>
      </w:r>
    </w:p>
    <w:p>
      <w:pPr>
        <w:pStyle w:val="BodyText"/>
        <w:spacing w:line="276" w:lineRule="auto" w:before="240"/>
        <w:ind w:left="483" w:right="342"/>
        <w:jc w:val="both"/>
      </w:pPr>
      <w:bookmarkStart w:name="_bookmark634" w:id="941"/>
      <w:bookmarkEnd w:id="941"/>
      <w:r>
        <w:rPr/>
      </w:r>
      <w:r>
        <w:rPr/>
        <w:t>The Commission appreciates DMH’s commitment to and progress in ensuring that its staff are creating LGBTQ-affirming</w:t>
      </w:r>
      <w:r>
        <w:rPr>
          <w:spacing w:val="-8"/>
        </w:rPr>
        <w:t> </w:t>
      </w:r>
      <w:r>
        <w:rPr/>
        <w:t>spaces</w:t>
      </w:r>
      <w:r>
        <w:rPr>
          <w:spacing w:val="-8"/>
        </w:rPr>
        <w:t> </w:t>
      </w:r>
      <w:r>
        <w:rPr/>
        <w:t>when</w:t>
      </w:r>
      <w:r>
        <w:rPr>
          <w:spacing w:val="-8"/>
        </w:rPr>
        <w:t> </w:t>
      </w:r>
      <w:r>
        <w:rPr/>
        <w:t>interacting</w:t>
      </w:r>
      <w:r>
        <w:rPr>
          <w:spacing w:val="-8"/>
        </w:rPr>
        <w:t> </w:t>
      </w:r>
      <w:r>
        <w:rPr/>
        <w:t>with</w:t>
      </w:r>
      <w:r>
        <w:rPr>
          <w:spacing w:val="-8"/>
        </w:rPr>
        <w:t> </w:t>
      </w:r>
      <w:r>
        <w:rPr/>
        <w:t>clients.</w:t>
      </w:r>
      <w:r>
        <w:rPr>
          <w:spacing w:val="-8"/>
        </w:rPr>
        <w:t> </w:t>
      </w:r>
      <w:r>
        <w:rPr/>
        <w:t>Continuing</w:t>
      </w:r>
      <w:r>
        <w:rPr>
          <w:spacing w:val="-8"/>
        </w:rPr>
        <w:t> </w:t>
      </w:r>
      <w:r>
        <w:rPr/>
        <w:t>to</w:t>
      </w:r>
      <w:r>
        <w:rPr>
          <w:spacing w:val="-8"/>
        </w:rPr>
        <w:t> </w:t>
      </w:r>
      <w:r>
        <w:rPr/>
        <w:t>build</w:t>
      </w:r>
      <w:r>
        <w:rPr>
          <w:spacing w:val="-8"/>
        </w:rPr>
        <w:t> </w:t>
      </w:r>
      <w:r>
        <w:rPr/>
        <w:t>on</w:t>
      </w:r>
      <w:r>
        <w:rPr>
          <w:spacing w:val="-8"/>
        </w:rPr>
        <w:t> </w:t>
      </w:r>
      <w:r>
        <w:rPr/>
        <w:t>this</w:t>
      </w:r>
      <w:r>
        <w:rPr>
          <w:spacing w:val="-8"/>
        </w:rPr>
        <w:t> </w:t>
      </w:r>
      <w:r>
        <w:rPr/>
        <w:t>success</w:t>
      </w:r>
      <w:r>
        <w:rPr>
          <w:spacing w:val="-8"/>
        </w:rPr>
        <w:t> </w:t>
      </w:r>
      <w:r>
        <w:rPr/>
        <w:t>for</w:t>
      </w:r>
      <w:r>
        <w:rPr>
          <w:spacing w:val="-7"/>
        </w:rPr>
        <w:t> </w:t>
      </w:r>
      <w:r>
        <w:rPr/>
        <w:t>old</w:t>
      </w:r>
      <w:r>
        <w:rPr>
          <w:spacing w:val="-8"/>
        </w:rPr>
        <w:t> </w:t>
      </w:r>
      <w:r>
        <w:rPr/>
        <w:t>and</w:t>
      </w:r>
      <w:r>
        <w:rPr>
          <w:spacing w:val="-8"/>
        </w:rPr>
        <w:t> </w:t>
      </w:r>
      <w:r>
        <w:rPr/>
        <w:t>new staff</w:t>
      </w:r>
      <w:r>
        <w:rPr>
          <w:spacing w:val="-11"/>
        </w:rPr>
        <w:t> </w:t>
      </w:r>
      <w:r>
        <w:rPr/>
        <w:t>is</w:t>
      </w:r>
      <w:r>
        <w:rPr>
          <w:spacing w:val="-11"/>
        </w:rPr>
        <w:t> </w:t>
      </w:r>
      <w:r>
        <w:rPr/>
        <w:t>critical,</w:t>
      </w:r>
      <w:r>
        <w:rPr>
          <w:spacing w:val="-11"/>
        </w:rPr>
        <w:t> </w:t>
      </w:r>
      <w:r>
        <w:rPr/>
        <w:t>and</w:t>
      </w:r>
      <w:r>
        <w:rPr>
          <w:spacing w:val="-12"/>
        </w:rPr>
        <w:t> </w:t>
      </w:r>
      <w:r>
        <w:rPr/>
        <w:t>the</w:t>
      </w:r>
      <w:r>
        <w:rPr>
          <w:spacing w:val="-12"/>
        </w:rPr>
        <w:t> </w:t>
      </w:r>
      <w:r>
        <w:rPr/>
        <w:t>Commission</w:t>
      </w:r>
      <w:r>
        <w:rPr>
          <w:spacing w:val="-12"/>
        </w:rPr>
        <w:t> </w:t>
      </w:r>
      <w:r>
        <w:rPr/>
        <w:t>recommends</w:t>
      </w:r>
      <w:r>
        <w:rPr>
          <w:spacing w:val="-11"/>
        </w:rPr>
        <w:t> </w:t>
      </w:r>
      <w:r>
        <w:rPr/>
        <w:t>that</w:t>
      </w:r>
      <w:r>
        <w:rPr>
          <w:spacing w:val="-11"/>
        </w:rPr>
        <w:t> </w:t>
      </w:r>
      <w:r>
        <w:rPr/>
        <w:t>DMH</w:t>
      </w:r>
      <w:r>
        <w:rPr>
          <w:spacing w:val="-11"/>
        </w:rPr>
        <w:t> </w:t>
      </w:r>
      <w:r>
        <w:rPr/>
        <w:t>offer</w:t>
      </w:r>
      <w:r>
        <w:rPr>
          <w:spacing w:val="27"/>
        </w:rPr>
        <w:t> </w:t>
      </w:r>
      <w:r>
        <w:rPr/>
        <w:t>further</w:t>
      </w:r>
      <w:r>
        <w:rPr>
          <w:spacing w:val="-11"/>
        </w:rPr>
        <w:t> </w:t>
      </w:r>
      <w:r>
        <w:rPr/>
        <w:t>opportunities</w:t>
      </w:r>
      <w:r>
        <w:rPr>
          <w:spacing w:val="-11"/>
        </w:rPr>
        <w:t> </w:t>
      </w:r>
      <w:r>
        <w:rPr/>
        <w:t>for</w:t>
      </w:r>
      <w:r>
        <w:rPr>
          <w:spacing w:val="-11"/>
        </w:rPr>
        <w:t> </w:t>
      </w:r>
      <w:r>
        <w:rPr/>
        <w:t>staff</w:t>
      </w:r>
      <w:r>
        <w:rPr>
          <w:spacing w:val="-11"/>
        </w:rPr>
        <w:t> </w:t>
      </w:r>
      <w:r>
        <w:rPr/>
        <w:t>to</w:t>
      </w:r>
      <w:r>
        <w:rPr>
          <w:spacing w:val="-11"/>
        </w:rPr>
        <w:t> </w:t>
      </w:r>
      <w:r>
        <w:rPr/>
        <w:t>engage in not only LGBTQ cultural trainings, but also trainings around racial equity and adultism. DMH has informed the Commission that its new strategic plan focuses on equity and inclusion, and that it is currently also reviewing language for its procurement process of providers to ensure that DMH contractors are also committed to LGBTQ-affirming trainings.</w:t>
      </w:r>
    </w:p>
    <w:p>
      <w:pPr>
        <w:numPr>
          <w:ilvl w:val="0"/>
          <w:numId w:val="40"/>
        </w:numPr>
        <w:tabs>
          <w:tab w:pos="481" w:val="left" w:leader="none"/>
          <w:tab w:pos="483" w:val="left" w:leader="none"/>
        </w:tabs>
        <w:spacing w:line="276" w:lineRule="auto" w:before="239"/>
        <w:ind w:left="483" w:right="343" w:hanging="360"/>
        <w:jc w:val="left"/>
        <w:rPr>
          <w:b/>
          <w:sz w:val="22"/>
        </w:rPr>
      </w:pPr>
      <w:r>
        <w:rPr>
          <w:b/>
          <w:sz w:val="22"/>
        </w:rPr>
        <w:t>Explore</w:t>
      </w:r>
      <w:r>
        <w:rPr>
          <w:b/>
          <w:spacing w:val="-13"/>
          <w:sz w:val="22"/>
        </w:rPr>
        <w:t> </w:t>
      </w:r>
      <w:r>
        <w:rPr>
          <w:b/>
          <w:sz w:val="22"/>
        </w:rPr>
        <w:t>and</w:t>
      </w:r>
      <w:r>
        <w:rPr>
          <w:b/>
          <w:spacing w:val="-12"/>
          <w:sz w:val="22"/>
        </w:rPr>
        <w:t> </w:t>
      </w:r>
      <w:r>
        <w:rPr>
          <w:b/>
          <w:sz w:val="22"/>
        </w:rPr>
        <w:t>implement</w:t>
      </w:r>
      <w:r>
        <w:rPr>
          <w:b/>
          <w:spacing w:val="-13"/>
          <w:sz w:val="22"/>
        </w:rPr>
        <w:t> </w:t>
      </w:r>
      <w:r>
        <w:rPr>
          <w:b/>
          <w:sz w:val="22"/>
        </w:rPr>
        <w:t>opportunities</w:t>
      </w:r>
      <w:r>
        <w:rPr>
          <w:b/>
          <w:spacing w:val="-12"/>
          <w:sz w:val="22"/>
        </w:rPr>
        <w:t> </w:t>
      </w:r>
      <w:r>
        <w:rPr>
          <w:b/>
          <w:sz w:val="22"/>
        </w:rPr>
        <w:t>to</w:t>
      </w:r>
      <w:r>
        <w:rPr>
          <w:b/>
          <w:spacing w:val="-14"/>
          <w:sz w:val="22"/>
        </w:rPr>
        <w:t> </w:t>
      </w:r>
      <w:r>
        <w:rPr>
          <w:b/>
          <w:sz w:val="22"/>
        </w:rPr>
        <w:t>improve</w:t>
      </w:r>
      <w:r>
        <w:rPr>
          <w:b/>
          <w:spacing w:val="-13"/>
          <w:sz w:val="22"/>
        </w:rPr>
        <w:t> </w:t>
      </w:r>
      <w:r>
        <w:rPr>
          <w:b/>
          <w:sz w:val="22"/>
        </w:rPr>
        <w:t>education</w:t>
      </w:r>
      <w:r>
        <w:rPr>
          <w:b/>
          <w:spacing w:val="-12"/>
          <w:sz w:val="22"/>
        </w:rPr>
        <w:t> </w:t>
      </w:r>
      <w:r>
        <w:rPr>
          <w:b/>
          <w:sz w:val="22"/>
        </w:rPr>
        <w:t>&amp;</w:t>
      </w:r>
      <w:r>
        <w:rPr>
          <w:b/>
          <w:spacing w:val="-13"/>
          <w:sz w:val="22"/>
        </w:rPr>
        <w:t> </w:t>
      </w:r>
      <w:r>
        <w:rPr>
          <w:b/>
          <w:sz w:val="22"/>
        </w:rPr>
        <w:t>workplace</w:t>
      </w:r>
      <w:r>
        <w:rPr>
          <w:b/>
          <w:spacing w:val="-12"/>
          <w:sz w:val="22"/>
        </w:rPr>
        <w:t> </w:t>
      </w:r>
      <w:r>
        <w:rPr>
          <w:b/>
          <w:sz w:val="22"/>
        </w:rPr>
        <w:t>training</w:t>
      </w:r>
      <w:r>
        <w:rPr>
          <w:b/>
          <w:spacing w:val="-13"/>
          <w:sz w:val="22"/>
        </w:rPr>
        <w:t> </w:t>
      </w:r>
      <w:r>
        <w:rPr>
          <w:b/>
          <w:sz w:val="22"/>
        </w:rPr>
        <w:t>for</w:t>
      </w:r>
      <w:r>
        <w:rPr>
          <w:b/>
          <w:spacing w:val="-12"/>
          <w:sz w:val="22"/>
        </w:rPr>
        <w:t> </w:t>
      </w:r>
      <w:r>
        <w:rPr>
          <w:b/>
          <w:sz w:val="22"/>
        </w:rPr>
        <w:t>new</w:t>
      </w:r>
      <w:r>
        <w:rPr>
          <w:b/>
          <w:spacing w:val="-13"/>
          <w:sz w:val="22"/>
        </w:rPr>
        <w:t> </w:t>
      </w:r>
      <w:r>
        <w:rPr>
          <w:b/>
          <w:sz w:val="22"/>
        </w:rPr>
        <w:t>mental</w:t>
      </w:r>
      <w:r>
        <w:rPr>
          <w:b/>
          <w:spacing w:val="-12"/>
          <w:sz w:val="22"/>
        </w:rPr>
        <w:t> </w:t>
      </w:r>
      <w:r>
        <w:rPr>
          <w:b/>
          <w:sz w:val="22"/>
        </w:rPr>
        <w:t>health workers in the areas of health equity for LGBTQ and QTBIPOC communities.</w:t>
      </w:r>
    </w:p>
    <w:p>
      <w:pPr>
        <w:pStyle w:val="BodyText"/>
        <w:spacing w:line="276" w:lineRule="auto" w:before="240"/>
        <w:ind w:left="483" w:right="340"/>
        <w:jc w:val="both"/>
      </w:pPr>
      <w:r>
        <w:rPr/>
        <w:t>A</w:t>
      </w:r>
      <w:r>
        <w:rPr>
          <w:spacing w:val="-6"/>
        </w:rPr>
        <w:t> </w:t>
      </w:r>
      <w:r>
        <w:rPr/>
        <w:t>comprehensive</w:t>
      </w:r>
      <w:r>
        <w:rPr>
          <w:spacing w:val="-6"/>
        </w:rPr>
        <w:t> </w:t>
      </w:r>
      <w:r>
        <w:rPr/>
        <w:t>way</w:t>
      </w:r>
      <w:r>
        <w:rPr>
          <w:spacing w:val="-6"/>
        </w:rPr>
        <w:t> </w:t>
      </w:r>
      <w:r>
        <w:rPr/>
        <w:t>to</w:t>
      </w:r>
      <w:r>
        <w:rPr>
          <w:spacing w:val="-6"/>
        </w:rPr>
        <w:t> </w:t>
      </w:r>
      <w:r>
        <w:rPr/>
        <w:t>ensure</w:t>
      </w:r>
      <w:r>
        <w:rPr>
          <w:spacing w:val="-6"/>
        </w:rPr>
        <w:t> </w:t>
      </w:r>
      <w:r>
        <w:rPr/>
        <w:t>the</w:t>
      </w:r>
      <w:r>
        <w:rPr>
          <w:spacing w:val="-6"/>
        </w:rPr>
        <w:t> </w:t>
      </w:r>
      <w:r>
        <w:rPr/>
        <w:t>expansion</w:t>
      </w:r>
      <w:r>
        <w:rPr>
          <w:spacing w:val="-6"/>
        </w:rPr>
        <w:t> </w:t>
      </w:r>
      <w:r>
        <w:rPr/>
        <w:t>of</w:t>
      </w:r>
      <w:r>
        <w:rPr>
          <w:spacing w:val="-6"/>
        </w:rPr>
        <w:t> </w:t>
      </w:r>
      <w:r>
        <w:rPr/>
        <w:t>access</w:t>
      </w:r>
      <w:r>
        <w:rPr>
          <w:spacing w:val="-6"/>
        </w:rPr>
        <w:t> </w:t>
      </w:r>
      <w:r>
        <w:rPr/>
        <w:t>to</w:t>
      </w:r>
      <w:r>
        <w:rPr>
          <w:spacing w:val="-6"/>
        </w:rPr>
        <w:t> </w:t>
      </w:r>
      <w:r>
        <w:rPr/>
        <w:t>trauma-informed</w:t>
      </w:r>
      <w:r>
        <w:rPr>
          <w:spacing w:val="-5"/>
        </w:rPr>
        <w:t> </w:t>
      </w:r>
      <w:r>
        <w:rPr/>
        <w:t>mental</w:t>
      </w:r>
      <w:r>
        <w:rPr>
          <w:spacing w:val="-6"/>
        </w:rPr>
        <w:t> </w:t>
      </w:r>
      <w:r>
        <w:rPr/>
        <w:t>health</w:t>
      </w:r>
      <w:r>
        <w:rPr>
          <w:spacing w:val="-6"/>
        </w:rPr>
        <w:t> </w:t>
      </w:r>
      <w:r>
        <w:rPr/>
        <w:t>resources</w:t>
      </w:r>
      <w:r>
        <w:rPr>
          <w:spacing w:val="-6"/>
        </w:rPr>
        <w:t> </w:t>
      </w:r>
      <w:r>
        <w:rPr/>
        <w:t>for LGBTQ youth is to equip new mental health workers with the skills and knowledge they need to appropriately serve LGBTQ and BIPOC communities. The Commission recommends that DMH explore opportunities to improve education and workplace training for new mental health workers and collaborate with other agencies and education programs in this area. DMH recently shared with the Commission</w:t>
      </w:r>
      <w:r>
        <w:rPr>
          <w:spacing w:val="-12"/>
        </w:rPr>
        <w:t> </w:t>
      </w:r>
      <w:r>
        <w:rPr/>
        <w:t>that</w:t>
      </w:r>
      <w:r>
        <w:rPr>
          <w:spacing w:val="-12"/>
        </w:rPr>
        <w:t> </w:t>
      </w:r>
      <w:r>
        <w:rPr/>
        <w:t>its</w:t>
      </w:r>
      <w:r>
        <w:rPr>
          <w:spacing w:val="-11"/>
        </w:rPr>
        <w:t> </w:t>
      </w:r>
      <w:r>
        <w:rPr/>
        <w:t>Learning</w:t>
      </w:r>
      <w:r>
        <w:rPr>
          <w:spacing w:val="-12"/>
        </w:rPr>
        <w:t> </w:t>
      </w:r>
      <w:r>
        <w:rPr/>
        <w:t>&amp;</w:t>
      </w:r>
      <w:r>
        <w:rPr>
          <w:spacing w:val="-10"/>
        </w:rPr>
        <w:t> </w:t>
      </w:r>
      <w:r>
        <w:rPr/>
        <w:t>Development</w:t>
      </w:r>
      <w:r>
        <w:rPr>
          <w:spacing w:val="-11"/>
        </w:rPr>
        <w:t> </w:t>
      </w:r>
      <w:r>
        <w:rPr/>
        <w:t>department</w:t>
      </w:r>
      <w:r>
        <w:rPr>
          <w:spacing w:val="-11"/>
        </w:rPr>
        <w:t> </w:t>
      </w:r>
      <w:r>
        <w:rPr/>
        <w:t>is</w:t>
      </w:r>
      <w:r>
        <w:rPr>
          <w:spacing w:val="-10"/>
        </w:rPr>
        <w:t> </w:t>
      </w:r>
      <w:r>
        <w:rPr/>
        <w:t>currently</w:t>
      </w:r>
      <w:r>
        <w:rPr>
          <w:spacing w:val="-11"/>
        </w:rPr>
        <w:t> </w:t>
      </w:r>
      <w:r>
        <w:rPr/>
        <w:t>looking</w:t>
      </w:r>
      <w:r>
        <w:rPr>
          <w:spacing w:val="-12"/>
        </w:rPr>
        <w:t> </w:t>
      </w:r>
      <w:r>
        <w:rPr/>
        <w:t>into</w:t>
      </w:r>
      <w:r>
        <w:rPr>
          <w:spacing w:val="-11"/>
        </w:rPr>
        <w:t> </w:t>
      </w:r>
      <w:r>
        <w:rPr/>
        <w:t>its</w:t>
      </w:r>
      <w:r>
        <w:rPr>
          <w:spacing w:val="-10"/>
        </w:rPr>
        <w:t> </w:t>
      </w:r>
      <w:r>
        <w:rPr/>
        <w:t>new</w:t>
      </w:r>
      <w:r>
        <w:rPr>
          <w:spacing w:val="-10"/>
        </w:rPr>
        <w:t> </w:t>
      </w:r>
      <w:r>
        <w:rPr/>
        <w:t>hire</w:t>
      </w:r>
      <w:r>
        <w:rPr>
          <w:spacing w:val="-12"/>
        </w:rPr>
        <w:t> </w:t>
      </w:r>
      <w:r>
        <w:rPr/>
        <w:t>orientation process</w:t>
      </w:r>
      <w:r>
        <w:rPr>
          <w:spacing w:val="-6"/>
        </w:rPr>
        <w:t> </w:t>
      </w:r>
      <w:r>
        <w:rPr/>
        <w:t>to</w:t>
      </w:r>
      <w:r>
        <w:rPr>
          <w:spacing w:val="-6"/>
        </w:rPr>
        <w:t> </w:t>
      </w:r>
      <w:r>
        <w:rPr/>
        <w:t>see</w:t>
      </w:r>
      <w:r>
        <w:rPr>
          <w:spacing w:val="-7"/>
        </w:rPr>
        <w:t> </w:t>
      </w:r>
      <w:r>
        <w:rPr/>
        <w:t>what</w:t>
      </w:r>
      <w:r>
        <w:rPr>
          <w:spacing w:val="-6"/>
        </w:rPr>
        <w:t> </w:t>
      </w:r>
      <w:r>
        <w:rPr/>
        <w:t>can</w:t>
      </w:r>
      <w:r>
        <w:rPr>
          <w:spacing w:val="-6"/>
        </w:rPr>
        <w:t> </w:t>
      </w:r>
      <w:r>
        <w:rPr/>
        <w:t>be</w:t>
      </w:r>
      <w:r>
        <w:rPr>
          <w:spacing w:val="-7"/>
        </w:rPr>
        <w:t> </w:t>
      </w:r>
      <w:r>
        <w:rPr/>
        <w:t>updated</w:t>
      </w:r>
      <w:r>
        <w:rPr>
          <w:spacing w:val="-6"/>
        </w:rPr>
        <w:t> </w:t>
      </w:r>
      <w:r>
        <w:rPr/>
        <w:t>as</w:t>
      </w:r>
      <w:r>
        <w:rPr>
          <w:spacing w:val="-5"/>
        </w:rPr>
        <w:t> </w:t>
      </w:r>
      <w:r>
        <w:rPr/>
        <w:t>a</w:t>
      </w:r>
      <w:r>
        <w:rPr>
          <w:spacing w:val="-6"/>
        </w:rPr>
        <w:t> </w:t>
      </w:r>
      <w:r>
        <w:rPr/>
        <w:t>part</w:t>
      </w:r>
      <w:r>
        <w:rPr>
          <w:spacing w:val="-7"/>
        </w:rPr>
        <w:t> </w:t>
      </w:r>
      <w:r>
        <w:rPr/>
        <w:t>of</w:t>
      </w:r>
      <w:r>
        <w:rPr>
          <w:spacing w:val="-5"/>
        </w:rPr>
        <w:t> </w:t>
      </w:r>
      <w:r>
        <w:rPr/>
        <w:t>its</w:t>
      </w:r>
      <w:r>
        <w:rPr>
          <w:spacing w:val="-6"/>
        </w:rPr>
        <w:t> </w:t>
      </w:r>
      <w:r>
        <w:rPr/>
        <w:t>strategic</w:t>
      </w:r>
      <w:r>
        <w:rPr>
          <w:spacing w:val="-6"/>
        </w:rPr>
        <w:t> </w:t>
      </w:r>
      <w:r>
        <w:rPr/>
        <w:t>plan</w:t>
      </w:r>
      <w:r>
        <w:rPr>
          <w:spacing w:val="-6"/>
        </w:rPr>
        <w:t> </w:t>
      </w:r>
      <w:r>
        <w:rPr/>
        <w:t>for</w:t>
      </w:r>
      <w:r>
        <w:rPr>
          <w:spacing w:val="-6"/>
        </w:rPr>
        <w:t> </w:t>
      </w:r>
      <w:r>
        <w:rPr/>
        <w:t>the</w:t>
      </w:r>
      <w:r>
        <w:rPr>
          <w:spacing w:val="-5"/>
        </w:rPr>
        <w:t> </w:t>
      </w:r>
      <w:r>
        <w:rPr/>
        <w:t>upcoming</w:t>
      </w:r>
      <w:r>
        <w:rPr>
          <w:spacing w:val="-7"/>
        </w:rPr>
        <w:t> </w:t>
      </w:r>
      <w:r>
        <w:rPr/>
        <w:t>fiscal</w:t>
      </w:r>
      <w:r>
        <w:rPr>
          <w:spacing w:val="-5"/>
        </w:rPr>
        <w:t> </w:t>
      </w:r>
      <w:r>
        <w:rPr/>
        <w:t>years.</w:t>
      </w:r>
      <w:r>
        <w:rPr>
          <w:spacing w:val="-7"/>
        </w:rPr>
        <w:t> </w:t>
      </w:r>
      <w:r>
        <w:rPr/>
        <w:t>To</w:t>
      </w:r>
      <w:r>
        <w:rPr>
          <w:spacing w:val="-6"/>
        </w:rPr>
        <w:t> </w:t>
      </w:r>
      <w:r>
        <w:rPr/>
        <w:t>further expand upon this recommendation, the Commission notes the importance of engaging with universities and colleges as mental health-oriented students approach entering the workforce and hopes to discuss this work with DMH in FY25.</w:t>
      </w:r>
    </w:p>
    <w:p>
      <w:pPr>
        <w:pStyle w:val="BodyText"/>
      </w:pPr>
    </w:p>
    <w:p>
      <w:pPr>
        <w:pStyle w:val="BodyText"/>
        <w:spacing w:before="78"/>
      </w:pPr>
    </w:p>
    <w:p>
      <w:pPr>
        <w:spacing w:before="0"/>
        <w:ind w:left="483" w:right="0" w:firstLine="0"/>
        <w:jc w:val="left"/>
        <w:rPr>
          <w:i/>
          <w:sz w:val="21"/>
        </w:rPr>
      </w:pPr>
      <w:r>
        <w:rPr>
          <w:i/>
          <w:sz w:val="21"/>
        </w:rPr>
        <w:t>Acknowledgments:</w:t>
      </w:r>
      <w:r>
        <w:rPr>
          <w:i/>
          <w:spacing w:val="-5"/>
          <w:sz w:val="21"/>
        </w:rPr>
        <w:t> </w:t>
      </w:r>
      <w:r>
        <w:rPr>
          <w:i/>
          <w:sz w:val="21"/>
        </w:rPr>
        <w:t>The</w:t>
      </w:r>
      <w:r>
        <w:rPr>
          <w:i/>
          <w:spacing w:val="-2"/>
          <w:sz w:val="21"/>
        </w:rPr>
        <w:t> </w:t>
      </w:r>
      <w:r>
        <w:rPr>
          <w:i/>
          <w:sz w:val="21"/>
        </w:rPr>
        <w:t>Commission</w:t>
      </w:r>
      <w:r>
        <w:rPr>
          <w:i/>
          <w:spacing w:val="-3"/>
          <w:sz w:val="21"/>
        </w:rPr>
        <w:t> </w:t>
      </w:r>
      <w:r>
        <w:rPr>
          <w:i/>
          <w:sz w:val="21"/>
        </w:rPr>
        <w:t>thanks</w:t>
      </w:r>
      <w:r>
        <w:rPr>
          <w:i/>
          <w:spacing w:val="-3"/>
          <w:sz w:val="21"/>
        </w:rPr>
        <w:t> </w:t>
      </w:r>
      <w:r>
        <w:rPr>
          <w:i/>
          <w:sz w:val="21"/>
        </w:rPr>
        <w:t>the</w:t>
      </w:r>
      <w:r>
        <w:rPr>
          <w:i/>
          <w:spacing w:val="-4"/>
          <w:sz w:val="21"/>
        </w:rPr>
        <w:t> </w:t>
      </w:r>
      <w:r>
        <w:rPr>
          <w:i/>
          <w:sz w:val="21"/>
        </w:rPr>
        <w:t>contributions</w:t>
      </w:r>
      <w:r>
        <w:rPr>
          <w:i/>
          <w:spacing w:val="-2"/>
          <w:sz w:val="21"/>
        </w:rPr>
        <w:t> </w:t>
      </w:r>
      <w:r>
        <w:rPr>
          <w:i/>
          <w:sz w:val="21"/>
        </w:rPr>
        <w:t>of</w:t>
      </w:r>
      <w:r>
        <w:rPr>
          <w:i/>
          <w:spacing w:val="-3"/>
          <w:sz w:val="21"/>
        </w:rPr>
        <w:t> </w:t>
      </w:r>
      <w:r>
        <w:rPr>
          <w:i/>
          <w:sz w:val="21"/>
        </w:rPr>
        <w:t>its</w:t>
      </w:r>
      <w:r>
        <w:rPr>
          <w:i/>
          <w:spacing w:val="-4"/>
          <w:sz w:val="21"/>
        </w:rPr>
        <w:t> </w:t>
      </w:r>
      <w:r>
        <w:rPr>
          <w:i/>
          <w:sz w:val="21"/>
        </w:rPr>
        <w:t>internal</w:t>
      </w:r>
      <w:r>
        <w:rPr>
          <w:i/>
          <w:spacing w:val="-3"/>
          <w:sz w:val="21"/>
        </w:rPr>
        <w:t> </w:t>
      </w:r>
      <w:r>
        <w:rPr>
          <w:i/>
          <w:sz w:val="21"/>
        </w:rPr>
        <w:t>DMH</w:t>
      </w:r>
      <w:r>
        <w:rPr>
          <w:i/>
          <w:spacing w:val="-3"/>
          <w:sz w:val="21"/>
        </w:rPr>
        <w:t> </w:t>
      </w:r>
      <w:r>
        <w:rPr>
          <w:i/>
          <w:sz w:val="21"/>
        </w:rPr>
        <w:t>agency</w:t>
      </w:r>
      <w:r>
        <w:rPr>
          <w:i/>
          <w:spacing w:val="-2"/>
          <w:sz w:val="21"/>
        </w:rPr>
        <w:t> liaisons.</w:t>
      </w:r>
    </w:p>
    <w:p>
      <w:pPr>
        <w:spacing w:before="238"/>
        <w:ind w:left="483" w:right="0" w:firstLine="0"/>
        <w:jc w:val="left"/>
        <w:rPr>
          <w:b/>
          <w:sz w:val="21"/>
        </w:rPr>
      </w:pPr>
      <w:r>
        <w:rPr>
          <w:b/>
          <w:spacing w:val="-2"/>
          <w:sz w:val="21"/>
        </w:rPr>
        <w:t>Citations</w:t>
      </w:r>
    </w:p>
    <w:p>
      <w:pPr>
        <w:spacing w:before="240"/>
        <w:ind w:left="483" w:right="467" w:hanging="1"/>
        <w:jc w:val="left"/>
        <w:rPr>
          <w:sz w:val="18"/>
        </w:rPr>
      </w:pPr>
      <w:r>
        <w:rPr>
          <w:sz w:val="18"/>
          <w:vertAlign w:val="superscript"/>
        </w:rPr>
        <w:t>1</w:t>
      </w:r>
      <w:r>
        <w:rPr>
          <w:spacing w:val="-7"/>
          <w:sz w:val="18"/>
          <w:vertAlign w:val="baseline"/>
        </w:rPr>
        <w:t> </w:t>
      </w:r>
      <w:r>
        <w:rPr>
          <w:sz w:val="18"/>
          <w:vertAlign w:val="baseline"/>
        </w:rPr>
        <w:t>The Trevor Project, “2022 National Survey on LGBTQ Youth Mental Health Massachusetts,” 2022, https://</w:t>
      </w:r>
      <w:hyperlink r:id="rId743">
        <w:r>
          <w:rPr>
            <w:sz w:val="18"/>
            <w:vertAlign w:val="baseline"/>
          </w:rPr>
          <w:t>www.thetrevorproject.org/wp-content/uploads/2022/12/The-Trevor-Project-2022-National-</w:t>
        </w:r>
      </w:hyperlink>
      <w:r>
        <w:rPr>
          <w:spacing w:val="-11"/>
          <w:sz w:val="18"/>
          <w:vertAlign w:val="baseline"/>
        </w:rPr>
        <w:t> </w:t>
      </w:r>
      <w:r>
        <w:rPr>
          <w:sz w:val="18"/>
          <w:vertAlign w:val="baseline"/>
        </w:rPr>
        <w:t>Survey-on-LGBTQ-Youth- Mental-Health-by-State-Massachusetts.pdf2022 National Survey on LGBTQ Youth Mental Health Massachusetts.</w:t>
      </w:r>
    </w:p>
    <w:p>
      <w:pPr>
        <w:spacing w:after="0"/>
        <w:jc w:val="left"/>
        <w:rPr>
          <w:sz w:val="18"/>
        </w:rPr>
        <w:sectPr>
          <w:pgSz w:w="12240" w:h="15840"/>
          <w:pgMar w:header="804" w:footer="1263" w:top="1000" w:bottom="1460" w:left="960" w:right="1100"/>
        </w:sectPr>
      </w:pPr>
    </w:p>
    <w:p>
      <w:pPr>
        <w:pStyle w:val="BodyText"/>
        <w:spacing w:before="182"/>
        <w:rPr>
          <w:sz w:val="20"/>
        </w:rPr>
      </w:pPr>
    </w:p>
    <w:p>
      <w:pPr>
        <w:pStyle w:val="BodyText"/>
        <w:spacing w:line="20" w:lineRule="exact"/>
        <w:ind w:left="440"/>
        <w:rPr>
          <w:sz w:val="2"/>
        </w:rPr>
      </w:pPr>
      <w:r>
        <w:rPr>
          <w:sz w:val="2"/>
        </w:rPr>
        <mc:AlternateContent>
          <mc:Choice Requires="wps">
            <w:drawing>
              <wp:inline distT="0" distB="0" distL="0" distR="0">
                <wp:extent cx="6350" cy="12700"/>
                <wp:effectExtent l="0" t="0" r="0" b="0"/>
                <wp:docPr id="601" name="Group 601"/>
                <wp:cNvGraphicFramePr>
                  <a:graphicFrameLocks/>
                </wp:cNvGraphicFramePr>
                <a:graphic>
                  <a:graphicData uri="http://schemas.microsoft.com/office/word/2010/wordprocessingGroup">
                    <wpg:wgp>
                      <wpg:cNvPr id="601" name="Group 601"/>
                      <wpg:cNvGrpSpPr/>
                      <wpg:grpSpPr>
                        <a:xfrm>
                          <a:off x="0" y="0"/>
                          <a:ext cx="6350" cy="12700"/>
                          <a:chExt cx="6350" cy="12700"/>
                        </a:xfrm>
                      </wpg:grpSpPr>
                      <wps:wsp>
                        <wps:cNvPr id="602" name="Graphic 602"/>
                        <wps:cNvSpPr/>
                        <wps:spPr>
                          <a:xfrm>
                            <a:off x="0" y="0"/>
                            <a:ext cx="6350" cy="12700"/>
                          </a:xfrm>
                          <a:custGeom>
                            <a:avLst/>
                            <a:gdLst/>
                            <a:ahLst/>
                            <a:cxnLst/>
                            <a:rect l="l" t="t" r="r" b="b"/>
                            <a:pathLst>
                              <a:path w="6350" h="12700">
                                <a:moveTo>
                                  <a:pt x="6337" y="0"/>
                                </a:moveTo>
                                <a:lnTo>
                                  <a:pt x="0" y="0"/>
                                </a:lnTo>
                                <a:lnTo>
                                  <a:pt x="0" y="12192"/>
                                </a:lnTo>
                                <a:lnTo>
                                  <a:pt x="6337" y="12192"/>
                                </a:lnTo>
                                <a:lnTo>
                                  <a:pt x="6337" y="0"/>
                                </a:lnTo>
                                <a:close/>
                              </a:path>
                            </a:pathLst>
                          </a:custGeom>
                          <a:solidFill>
                            <a:srgbClr val="4F81BB"/>
                          </a:solidFill>
                        </wps:spPr>
                        <wps:bodyPr wrap="square" lIns="0" tIns="0" rIns="0" bIns="0" rtlCol="0">
                          <a:prstTxWarp prst="textNoShape">
                            <a:avLst/>
                          </a:prstTxWarp>
                          <a:noAutofit/>
                        </wps:bodyPr>
                      </wps:wsp>
                    </wpg:wgp>
                  </a:graphicData>
                </a:graphic>
              </wp:inline>
            </w:drawing>
          </mc:Choice>
          <mc:Fallback>
            <w:pict>
              <v:group style="width:.5pt;height:1pt;mso-position-horizontal-relative:char;mso-position-vertical-relative:line" id="docshapegroup498" coordorigin="0,0" coordsize="10,20">
                <v:rect style="position:absolute;left:0;top:0;width:10;height:20" id="docshape499" filled="true" fillcolor="#4f81bb" stroked="false">
                  <v:fill type="solid"/>
                </v:rect>
              </v:group>
            </w:pict>
          </mc:Fallback>
        </mc:AlternateContent>
      </w:r>
      <w:r>
        <w:rPr>
          <w:sz w:val="2"/>
        </w:rPr>
      </w:r>
    </w:p>
    <w:p>
      <w:pPr>
        <w:pStyle w:val="Heading7"/>
        <w:spacing w:before="240"/>
      </w:pPr>
      <w:bookmarkStart w:name="_bookmark635" w:id="942"/>
      <w:bookmarkEnd w:id="942"/>
      <w:r>
        <w:rPr/>
      </w:r>
      <w:hyperlink w:history="true" w:anchor="_bookmark6">
        <w:r>
          <w:rPr>
            <w:color w:val="365F91"/>
            <w:spacing w:val="-10"/>
          </w:rPr>
          <w:t>Department</w:t>
        </w:r>
        <w:r>
          <w:rPr>
            <w:color w:val="365F91"/>
            <w:spacing w:val="-4"/>
          </w:rPr>
          <w:t> </w:t>
        </w:r>
        <w:r>
          <w:rPr>
            <w:color w:val="365F91"/>
            <w:spacing w:val="-10"/>
          </w:rPr>
          <w:t>of</w:t>
        </w:r>
        <w:r>
          <w:rPr>
            <w:color w:val="365F91"/>
            <w:spacing w:val="-3"/>
          </w:rPr>
          <w:t> </w:t>
        </w:r>
        <w:r>
          <w:rPr>
            <w:color w:val="365F91"/>
            <w:spacing w:val="-10"/>
          </w:rPr>
          <w:t>Public</w:t>
        </w:r>
        <w:r>
          <w:rPr>
            <w:color w:val="365F91"/>
            <w:spacing w:val="-2"/>
          </w:rPr>
          <w:t> </w:t>
        </w:r>
        <w:r>
          <w:rPr>
            <w:color w:val="365F91"/>
            <w:spacing w:val="-10"/>
          </w:rPr>
          <w:t>Health</w:t>
        </w:r>
      </w:hyperlink>
    </w:p>
    <w:p>
      <w:pPr>
        <w:spacing w:before="313"/>
        <w:ind w:left="483" w:right="0" w:firstLine="0"/>
        <w:jc w:val="left"/>
        <w:rPr>
          <w:sz w:val="28"/>
        </w:rPr>
      </w:pPr>
      <w:r>
        <w:rPr>
          <w:color w:val="365F91"/>
          <w:sz w:val="28"/>
        </w:rPr>
        <w:t>FY</w:t>
      </w:r>
      <w:r>
        <w:rPr>
          <w:color w:val="365F91"/>
          <w:spacing w:val="-7"/>
          <w:sz w:val="28"/>
        </w:rPr>
        <w:t> </w:t>
      </w:r>
      <w:r>
        <w:rPr>
          <w:color w:val="365F91"/>
          <w:sz w:val="28"/>
        </w:rPr>
        <w:t>2025</w:t>
      </w:r>
      <w:r>
        <w:rPr>
          <w:color w:val="365F91"/>
          <w:spacing w:val="-6"/>
          <w:sz w:val="28"/>
        </w:rPr>
        <w:t> </w:t>
      </w:r>
      <w:r>
        <w:rPr>
          <w:color w:val="365F91"/>
          <w:spacing w:val="-2"/>
          <w:sz w:val="28"/>
        </w:rPr>
        <w:t>Recommendations</w:t>
      </w:r>
    </w:p>
    <w:p>
      <w:pPr>
        <w:pStyle w:val="BodyText"/>
        <w:spacing w:before="9"/>
        <w:rPr>
          <w:sz w:val="3"/>
        </w:rPr>
      </w:pPr>
      <w:r>
        <w:rPr/>
        <mc:AlternateContent>
          <mc:Choice Requires="wps">
            <w:drawing>
              <wp:anchor distT="0" distB="0" distL="0" distR="0" allowOverlap="1" layoutInCell="1" locked="0" behindDoc="1" simplePos="0" relativeHeight="487707136">
                <wp:simplePos x="0" y="0"/>
                <wp:positionH relativeFrom="page">
                  <wp:posOffset>897636</wp:posOffset>
                </wp:positionH>
                <wp:positionV relativeFrom="paragraph">
                  <wp:posOffset>44781</wp:posOffset>
                </wp:positionV>
                <wp:extent cx="5976620" cy="6350"/>
                <wp:effectExtent l="0" t="0" r="0" b="0"/>
                <wp:wrapTopAndBottom/>
                <wp:docPr id="603" name="Graphic 603"/>
                <wp:cNvGraphicFramePr>
                  <a:graphicFrameLocks/>
                </wp:cNvGraphicFramePr>
                <a:graphic>
                  <a:graphicData uri="http://schemas.microsoft.com/office/word/2010/wordprocessingShape">
                    <wps:wsp>
                      <wps:cNvPr id="603" name="Graphic 603"/>
                      <wps:cNvSpPr/>
                      <wps:spPr>
                        <a:xfrm>
                          <a:off x="0" y="0"/>
                          <a:ext cx="5976620" cy="6350"/>
                        </a:xfrm>
                        <a:custGeom>
                          <a:avLst/>
                          <a:gdLst/>
                          <a:ahLst/>
                          <a:cxnLst/>
                          <a:rect l="l" t="t" r="r" b="b"/>
                          <a:pathLst>
                            <a:path w="5976620" h="6350">
                              <a:moveTo>
                                <a:pt x="5976366" y="0"/>
                              </a:moveTo>
                              <a:lnTo>
                                <a:pt x="0" y="0"/>
                              </a:lnTo>
                              <a:lnTo>
                                <a:pt x="0" y="6096"/>
                              </a:lnTo>
                              <a:lnTo>
                                <a:pt x="5976366" y="6096"/>
                              </a:lnTo>
                              <a:lnTo>
                                <a:pt x="5976366" y="0"/>
                              </a:lnTo>
                              <a:close/>
                            </a:path>
                          </a:pathLst>
                        </a:custGeom>
                        <a:solidFill>
                          <a:srgbClr val="4F81BC"/>
                        </a:solidFill>
                      </wps:spPr>
                      <wps:bodyPr wrap="square" lIns="0" tIns="0" rIns="0" bIns="0" rtlCol="0">
                        <a:prstTxWarp prst="textNoShape">
                          <a:avLst/>
                        </a:prstTxWarp>
                        <a:noAutofit/>
                      </wps:bodyPr>
                    </wps:wsp>
                  </a:graphicData>
                </a:graphic>
              </wp:anchor>
            </w:drawing>
          </mc:Choice>
          <mc:Fallback>
            <w:pict>
              <v:rect style="position:absolute;margin-left:70.680pt;margin-top:3.526094pt;width:470.58pt;height:.48pt;mso-position-horizontal-relative:page;mso-position-vertical-relative:paragraph;z-index:-15609344;mso-wrap-distance-left:0;mso-wrap-distance-right:0" id="docshape500" filled="true" fillcolor="#4f81bc" stroked="false">
                <v:fill type="solid"/>
                <w10:wrap type="topAndBottom"/>
              </v:rect>
            </w:pict>
          </mc:Fallback>
        </mc:AlternateContent>
      </w:r>
      <w:r>
        <w:rPr/>
        <mc:AlternateContent>
          <mc:Choice Requires="wps">
            <w:drawing>
              <wp:anchor distT="0" distB="0" distL="0" distR="0" allowOverlap="1" layoutInCell="1" locked="0" behindDoc="1" simplePos="0" relativeHeight="487707648">
                <wp:simplePos x="0" y="0"/>
                <wp:positionH relativeFrom="page">
                  <wp:posOffset>889000</wp:posOffset>
                </wp:positionH>
                <wp:positionV relativeFrom="paragraph">
                  <wp:posOffset>229566</wp:posOffset>
                </wp:positionV>
                <wp:extent cx="6350" cy="12700"/>
                <wp:effectExtent l="0" t="0" r="0" b="0"/>
                <wp:wrapTopAndBottom/>
                <wp:docPr id="604" name="Graphic 604"/>
                <wp:cNvGraphicFramePr>
                  <a:graphicFrameLocks/>
                </wp:cNvGraphicFramePr>
                <a:graphic>
                  <a:graphicData uri="http://schemas.microsoft.com/office/word/2010/wordprocessingShape">
                    <wps:wsp>
                      <wps:cNvPr id="604" name="Graphic 604"/>
                      <wps:cNvSpPr/>
                      <wps:spPr>
                        <a:xfrm>
                          <a:off x="0" y="0"/>
                          <a:ext cx="6350" cy="12700"/>
                        </a:xfrm>
                        <a:custGeom>
                          <a:avLst/>
                          <a:gdLst/>
                          <a:ahLst/>
                          <a:cxnLst/>
                          <a:rect l="l" t="t" r="r" b="b"/>
                          <a:pathLst>
                            <a:path w="6350" h="12700">
                              <a:moveTo>
                                <a:pt x="6337" y="0"/>
                              </a:moveTo>
                              <a:lnTo>
                                <a:pt x="0" y="0"/>
                              </a:lnTo>
                              <a:lnTo>
                                <a:pt x="0" y="12179"/>
                              </a:lnTo>
                              <a:lnTo>
                                <a:pt x="6337" y="12179"/>
                              </a:lnTo>
                              <a:lnTo>
                                <a:pt x="6337" y="0"/>
                              </a:lnTo>
                              <a:close/>
                            </a:path>
                          </a:pathLst>
                        </a:custGeom>
                        <a:solidFill>
                          <a:srgbClr val="4F81BB"/>
                        </a:solidFill>
                      </wps:spPr>
                      <wps:bodyPr wrap="square" lIns="0" tIns="0" rIns="0" bIns="0" rtlCol="0">
                        <a:prstTxWarp prst="textNoShape">
                          <a:avLst/>
                        </a:prstTxWarp>
                        <a:noAutofit/>
                      </wps:bodyPr>
                    </wps:wsp>
                  </a:graphicData>
                </a:graphic>
              </wp:anchor>
            </w:drawing>
          </mc:Choice>
          <mc:Fallback>
            <w:pict>
              <v:rect style="position:absolute;margin-left:70pt;margin-top:18.076094pt;width:.499pt;height:.959pt;mso-position-horizontal-relative:page;mso-position-vertical-relative:paragraph;z-index:-15608832;mso-wrap-distance-left:0;mso-wrap-distance-right:0" id="docshape501" filled="true" fillcolor="#4f81bb" stroked="false">
                <v:fill type="solid"/>
                <w10:wrap type="topAndBottom"/>
              </v:rect>
            </w:pict>
          </mc:Fallback>
        </mc:AlternateContent>
      </w:r>
    </w:p>
    <w:p>
      <w:pPr>
        <w:pStyle w:val="BodyText"/>
        <w:spacing w:before="13"/>
        <w:rPr>
          <w:sz w:val="20"/>
        </w:rPr>
      </w:pPr>
    </w:p>
    <w:p>
      <w:pPr>
        <w:pStyle w:val="ListParagraph"/>
        <w:numPr>
          <w:ilvl w:val="1"/>
          <w:numId w:val="40"/>
        </w:numPr>
        <w:tabs>
          <w:tab w:pos="1059" w:val="left" w:leader="none"/>
        </w:tabs>
        <w:spacing w:line="276" w:lineRule="auto" w:before="223" w:after="0"/>
        <w:ind w:left="1059" w:right="632" w:hanging="360"/>
        <w:jc w:val="both"/>
        <w:rPr>
          <w:sz w:val="22"/>
        </w:rPr>
      </w:pPr>
      <w:r>
        <w:rPr>
          <w:sz w:val="22"/>
        </w:rPr>
        <w:t>Expand training opportunities for staff and contracting organizations on LGBTQ cultural engagement, racial equity, and adultism.</w:t>
      </w:r>
    </w:p>
    <w:p>
      <w:pPr>
        <w:pStyle w:val="ListParagraph"/>
        <w:numPr>
          <w:ilvl w:val="1"/>
          <w:numId w:val="40"/>
        </w:numPr>
        <w:tabs>
          <w:tab w:pos="1059" w:val="left" w:leader="none"/>
        </w:tabs>
        <w:spacing w:line="276" w:lineRule="auto" w:before="0" w:after="0"/>
        <w:ind w:left="1059" w:right="633" w:hanging="360"/>
        <w:jc w:val="both"/>
        <w:rPr>
          <w:sz w:val="22"/>
        </w:rPr>
      </w:pPr>
      <w:r>
        <w:rPr>
          <w:sz w:val="22"/>
        </w:rPr>
        <w:t>Develop new strategic partnerships to diversify connections and investment into LGBTQ </w:t>
      </w:r>
      <w:r>
        <w:rPr>
          <w:spacing w:val="-2"/>
          <w:sz w:val="22"/>
        </w:rPr>
        <w:t>communities.</w:t>
      </w:r>
    </w:p>
    <w:p>
      <w:pPr>
        <w:pStyle w:val="ListParagraph"/>
        <w:numPr>
          <w:ilvl w:val="1"/>
          <w:numId w:val="40"/>
        </w:numPr>
        <w:tabs>
          <w:tab w:pos="1057" w:val="left" w:leader="none"/>
          <w:tab w:pos="1059" w:val="left" w:leader="none"/>
        </w:tabs>
        <w:spacing w:line="276" w:lineRule="auto" w:before="0" w:after="0"/>
        <w:ind w:left="1059" w:right="629" w:hanging="361"/>
        <w:jc w:val="both"/>
        <w:rPr>
          <w:sz w:val="22"/>
        </w:rPr>
      </w:pPr>
      <w:r>
        <w:rPr>
          <w:sz w:val="22"/>
        </w:rPr>
        <w:t>Explore</w:t>
      </w:r>
      <w:r>
        <w:rPr>
          <w:spacing w:val="-3"/>
          <w:sz w:val="22"/>
        </w:rPr>
        <w:t> </w:t>
      </w:r>
      <w:r>
        <w:rPr>
          <w:sz w:val="22"/>
        </w:rPr>
        <w:t>ways</w:t>
      </w:r>
      <w:r>
        <w:rPr>
          <w:spacing w:val="-2"/>
          <w:sz w:val="22"/>
        </w:rPr>
        <w:t> </w:t>
      </w:r>
      <w:r>
        <w:rPr>
          <w:sz w:val="22"/>
        </w:rPr>
        <w:t>to</w:t>
      </w:r>
      <w:r>
        <w:rPr>
          <w:spacing w:val="-3"/>
          <w:sz w:val="22"/>
        </w:rPr>
        <w:t> </w:t>
      </w:r>
      <w:r>
        <w:rPr>
          <w:sz w:val="22"/>
        </w:rPr>
        <w:t>expand</w:t>
      </w:r>
      <w:r>
        <w:rPr>
          <w:spacing w:val="-3"/>
          <w:sz w:val="22"/>
        </w:rPr>
        <w:t> </w:t>
      </w:r>
      <w:r>
        <w:rPr>
          <w:sz w:val="22"/>
        </w:rPr>
        <w:t>SOGIE</w:t>
      </w:r>
      <w:r>
        <w:rPr>
          <w:spacing w:val="-3"/>
          <w:sz w:val="22"/>
        </w:rPr>
        <w:t> </w:t>
      </w:r>
      <w:r>
        <w:rPr>
          <w:sz w:val="22"/>
        </w:rPr>
        <w:t>data</w:t>
      </w:r>
      <w:r>
        <w:rPr>
          <w:spacing w:val="-2"/>
          <w:sz w:val="22"/>
        </w:rPr>
        <w:t> </w:t>
      </w:r>
      <w:r>
        <w:rPr>
          <w:sz w:val="22"/>
        </w:rPr>
        <w:t>collection</w:t>
      </w:r>
      <w:r>
        <w:rPr>
          <w:spacing w:val="-3"/>
          <w:sz w:val="22"/>
        </w:rPr>
        <w:t> </w:t>
      </w:r>
      <w:r>
        <w:rPr>
          <w:sz w:val="22"/>
        </w:rPr>
        <w:t>through</w:t>
      </w:r>
      <w:r>
        <w:rPr>
          <w:spacing w:val="-3"/>
          <w:sz w:val="22"/>
        </w:rPr>
        <w:t> </w:t>
      </w:r>
      <w:r>
        <w:rPr>
          <w:sz w:val="22"/>
        </w:rPr>
        <w:t>DPH</w:t>
      </w:r>
      <w:r>
        <w:rPr>
          <w:spacing w:val="-4"/>
          <w:sz w:val="22"/>
        </w:rPr>
        <w:t> </w:t>
      </w:r>
      <w:r>
        <w:rPr>
          <w:sz w:val="22"/>
        </w:rPr>
        <w:t>programs,</w:t>
      </w:r>
      <w:r>
        <w:rPr>
          <w:spacing w:val="-4"/>
          <w:sz w:val="22"/>
        </w:rPr>
        <w:t> </w:t>
      </w:r>
      <w:r>
        <w:rPr>
          <w:sz w:val="22"/>
        </w:rPr>
        <w:t>with</w:t>
      </w:r>
      <w:r>
        <w:rPr>
          <w:spacing w:val="-3"/>
          <w:sz w:val="22"/>
        </w:rPr>
        <w:t> </w:t>
      </w:r>
      <w:r>
        <w:rPr>
          <w:sz w:val="22"/>
        </w:rPr>
        <w:t>particular</w:t>
      </w:r>
      <w:r>
        <w:rPr>
          <w:spacing w:val="-4"/>
          <w:sz w:val="22"/>
        </w:rPr>
        <w:t> </w:t>
      </w:r>
      <w:r>
        <w:rPr>
          <w:sz w:val="22"/>
        </w:rPr>
        <w:t>attention to pregnancy, parental mortality, and gender-affirming care services, and make data publicly </w:t>
      </w:r>
      <w:r>
        <w:rPr>
          <w:spacing w:val="-2"/>
          <w:sz w:val="22"/>
        </w:rPr>
        <w:t>available.</w:t>
      </w:r>
    </w:p>
    <w:p>
      <w:pPr>
        <w:pStyle w:val="ListParagraph"/>
        <w:numPr>
          <w:ilvl w:val="1"/>
          <w:numId w:val="40"/>
        </w:numPr>
        <w:tabs>
          <w:tab w:pos="1057" w:val="left" w:leader="none"/>
          <w:tab w:pos="1059" w:val="left" w:leader="none"/>
        </w:tabs>
        <w:spacing w:line="276" w:lineRule="auto" w:before="0" w:after="0"/>
        <w:ind w:left="1059" w:right="631" w:hanging="361"/>
        <w:jc w:val="both"/>
        <w:rPr>
          <w:sz w:val="22"/>
        </w:rPr>
      </w:pPr>
      <w:r>
        <w:rPr>
          <w:sz w:val="22"/>
        </w:rPr>
        <w:t>Partner with the Commission to research the needs of LGBTQ transition-aged youth with </w:t>
      </w:r>
      <w:r>
        <w:rPr>
          <w:spacing w:val="-2"/>
          <w:sz w:val="22"/>
        </w:rPr>
        <w:t>multisystem-involvement.</w:t>
      </w:r>
    </w:p>
    <w:p>
      <w:pPr>
        <w:pStyle w:val="ListParagraph"/>
        <w:numPr>
          <w:ilvl w:val="1"/>
          <w:numId w:val="40"/>
        </w:numPr>
        <w:tabs>
          <w:tab w:pos="1058" w:val="left" w:leader="none"/>
        </w:tabs>
        <w:spacing w:line="240" w:lineRule="auto" w:before="1" w:after="0"/>
        <w:ind w:left="1058" w:right="0" w:hanging="359"/>
        <w:jc w:val="both"/>
        <w:rPr>
          <w:sz w:val="21"/>
        </w:rPr>
      </w:pPr>
      <w:r>
        <w:rPr>
          <w:sz w:val="21"/>
        </w:rPr>
        <w:t>Increase</w:t>
      </w:r>
      <w:r>
        <w:rPr>
          <w:spacing w:val="-5"/>
          <w:sz w:val="21"/>
        </w:rPr>
        <w:t> </w:t>
      </w:r>
      <w:r>
        <w:rPr>
          <w:sz w:val="21"/>
        </w:rPr>
        <w:t>community</w:t>
      </w:r>
      <w:r>
        <w:rPr>
          <w:spacing w:val="-3"/>
          <w:sz w:val="21"/>
        </w:rPr>
        <w:t> </w:t>
      </w:r>
      <w:r>
        <w:rPr>
          <w:sz w:val="21"/>
        </w:rPr>
        <w:t>research</w:t>
      </w:r>
      <w:r>
        <w:rPr>
          <w:spacing w:val="-3"/>
          <w:sz w:val="21"/>
        </w:rPr>
        <w:t> </w:t>
      </w:r>
      <w:r>
        <w:rPr>
          <w:sz w:val="21"/>
        </w:rPr>
        <w:t>initiatives</w:t>
      </w:r>
      <w:r>
        <w:rPr>
          <w:spacing w:val="-4"/>
          <w:sz w:val="21"/>
        </w:rPr>
        <w:t> </w:t>
      </w:r>
      <w:r>
        <w:rPr>
          <w:sz w:val="21"/>
        </w:rPr>
        <w:t>to</w:t>
      </w:r>
      <w:r>
        <w:rPr>
          <w:spacing w:val="-3"/>
          <w:sz w:val="21"/>
        </w:rPr>
        <w:t> </w:t>
      </w:r>
      <w:r>
        <w:rPr>
          <w:sz w:val="21"/>
        </w:rPr>
        <w:t>better</w:t>
      </w:r>
      <w:r>
        <w:rPr>
          <w:spacing w:val="-3"/>
          <w:sz w:val="21"/>
        </w:rPr>
        <w:t> </w:t>
      </w:r>
      <w:r>
        <w:rPr>
          <w:sz w:val="21"/>
        </w:rPr>
        <w:t>address</w:t>
      </w:r>
      <w:r>
        <w:rPr>
          <w:spacing w:val="-3"/>
          <w:sz w:val="21"/>
        </w:rPr>
        <w:t> </w:t>
      </w:r>
      <w:r>
        <w:rPr>
          <w:sz w:val="21"/>
        </w:rPr>
        <w:t>health</w:t>
      </w:r>
      <w:r>
        <w:rPr>
          <w:spacing w:val="-2"/>
          <w:sz w:val="21"/>
        </w:rPr>
        <w:t> inequities.</w:t>
      </w:r>
    </w:p>
    <w:p>
      <w:pPr>
        <w:pStyle w:val="BodyText"/>
        <w:rPr>
          <w:sz w:val="20"/>
        </w:rPr>
      </w:pPr>
    </w:p>
    <w:p>
      <w:pPr>
        <w:pStyle w:val="BodyText"/>
        <w:spacing w:before="105"/>
        <w:rPr>
          <w:sz w:val="20"/>
        </w:rPr>
      </w:pPr>
      <w:r>
        <w:rPr/>
        <mc:AlternateContent>
          <mc:Choice Requires="wps">
            <w:drawing>
              <wp:anchor distT="0" distB="0" distL="0" distR="0" allowOverlap="1" layoutInCell="1" locked="0" behindDoc="1" simplePos="0" relativeHeight="487708160">
                <wp:simplePos x="0" y="0"/>
                <wp:positionH relativeFrom="page">
                  <wp:posOffset>889000</wp:posOffset>
                </wp:positionH>
                <wp:positionV relativeFrom="paragraph">
                  <wp:posOffset>237014</wp:posOffset>
                </wp:positionV>
                <wp:extent cx="6350" cy="12700"/>
                <wp:effectExtent l="0" t="0" r="0" b="0"/>
                <wp:wrapTopAndBottom/>
                <wp:docPr id="605" name="Graphic 605"/>
                <wp:cNvGraphicFramePr>
                  <a:graphicFrameLocks/>
                </wp:cNvGraphicFramePr>
                <a:graphic>
                  <a:graphicData uri="http://schemas.microsoft.com/office/word/2010/wordprocessingShape">
                    <wps:wsp>
                      <wps:cNvPr id="605" name="Graphic 605"/>
                      <wps:cNvSpPr/>
                      <wps:spPr>
                        <a:xfrm>
                          <a:off x="0" y="0"/>
                          <a:ext cx="6350" cy="12700"/>
                        </a:xfrm>
                        <a:custGeom>
                          <a:avLst/>
                          <a:gdLst/>
                          <a:ahLst/>
                          <a:cxnLst/>
                          <a:rect l="l" t="t" r="r" b="b"/>
                          <a:pathLst>
                            <a:path w="6350" h="12700">
                              <a:moveTo>
                                <a:pt x="6337" y="0"/>
                              </a:moveTo>
                              <a:lnTo>
                                <a:pt x="0" y="0"/>
                              </a:lnTo>
                              <a:lnTo>
                                <a:pt x="0" y="12179"/>
                              </a:lnTo>
                              <a:lnTo>
                                <a:pt x="6337" y="12179"/>
                              </a:lnTo>
                              <a:lnTo>
                                <a:pt x="6337" y="0"/>
                              </a:lnTo>
                              <a:close/>
                            </a:path>
                          </a:pathLst>
                        </a:custGeom>
                        <a:solidFill>
                          <a:srgbClr val="4F81BB"/>
                        </a:solidFill>
                      </wps:spPr>
                      <wps:bodyPr wrap="square" lIns="0" tIns="0" rIns="0" bIns="0" rtlCol="0">
                        <a:prstTxWarp prst="textNoShape">
                          <a:avLst/>
                        </a:prstTxWarp>
                        <a:noAutofit/>
                      </wps:bodyPr>
                    </wps:wsp>
                  </a:graphicData>
                </a:graphic>
              </wp:anchor>
            </w:drawing>
          </mc:Choice>
          <mc:Fallback>
            <w:pict>
              <v:rect style="position:absolute;margin-left:70pt;margin-top:18.662535pt;width:.499pt;height:.959pt;mso-position-horizontal-relative:page;mso-position-vertical-relative:paragraph;z-index:-15608320;mso-wrap-distance-left:0;mso-wrap-distance-right:0" id="docshape502" filled="true" fillcolor="#4f81bb" stroked="false">
                <v:fill type="solid"/>
                <w10:wrap type="topAndBottom"/>
              </v:rect>
            </w:pict>
          </mc:Fallback>
        </mc:AlternateContent>
      </w:r>
    </w:p>
    <w:p>
      <w:pPr>
        <w:spacing w:before="0"/>
        <w:ind w:left="483" w:right="0" w:firstLine="0"/>
        <w:jc w:val="left"/>
        <w:rPr>
          <w:sz w:val="28"/>
        </w:rPr>
      </w:pPr>
      <w:r>
        <w:rPr>
          <w:color w:val="365F91"/>
          <w:spacing w:val="-2"/>
          <w:sz w:val="28"/>
        </w:rPr>
        <w:t>Introduction</w:t>
      </w:r>
    </w:p>
    <w:p>
      <w:pPr>
        <w:pStyle w:val="BodyText"/>
        <w:spacing w:before="10"/>
        <w:rPr>
          <w:sz w:val="3"/>
        </w:rPr>
      </w:pPr>
      <w:r>
        <w:rPr/>
        <mc:AlternateContent>
          <mc:Choice Requires="wps">
            <w:drawing>
              <wp:anchor distT="0" distB="0" distL="0" distR="0" allowOverlap="1" layoutInCell="1" locked="0" behindDoc="1" simplePos="0" relativeHeight="487708672">
                <wp:simplePos x="0" y="0"/>
                <wp:positionH relativeFrom="page">
                  <wp:posOffset>897636</wp:posOffset>
                </wp:positionH>
                <wp:positionV relativeFrom="paragraph">
                  <wp:posOffset>45429</wp:posOffset>
                </wp:positionV>
                <wp:extent cx="5976620" cy="6350"/>
                <wp:effectExtent l="0" t="0" r="0" b="0"/>
                <wp:wrapTopAndBottom/>
                <wp:docPr id="606" name="Graphic 606"/>
                <wp:cNvGraphicFramePr>
                  <a:graphicFrameLocks/>
                </wp:cNvGraphicFramePr>
                <a:graphic>
                  <a:graphicData uri="http://schemas.microsoft.com/office/word/2010/wordprocessingShape">
                    <wps:wsp>
                      <wps:cNvPr id="606" name="Graphic 606"/>
                      <wps:cNvSpPr/>
                      <wps:spPr>
                        <a:xfrm>
                          <a:off x="0" y="0"/>
                          <a:ext cx="5976620" cy="6350"/>
                        </a:xfrm>
                        <a:custGeom>
                          <a:avLst/>
                          <a:gdLst/>
                          <a:ahLst/>
                          <a:cxnLst/>
                          <a:rect l="l" t="t" r="r" b="b"/>
                          <a:pathLst>
                            <a:path w="5976620" h="6350">
                              <a:moveTo>
                                <a:pt x="5976366" y="0"/>
                              </a:moveTo>
                              <a:lnTo>
                                <a:pt x="0" y="0"/>
                              </a:lnTo>
                              <a:lnTo>
                                <a:pt x="0" y="6108"/>
                              </a:lnTo>
                              <a:lnTo>
                                <a:pt x="5976366" y="6108"/>
                              </a:lnTo>
                              <a:lnTo>
                                <a:pt x="5976366" y="0"/>
                              </a:lnTo>
                              <a:close/>
                            </a:path>
                          </a:pathLst>
                        </a:custGeom>
                        <a:solidFill>
                          <a:srgbClr val="4F81BC"/>
                        </a:solidFill>
                      </wps:spPr>
                      <wps:bodyPr wrap="square" lIns="0" tIns="0" rIns="0" bIns="0" rtlCol="0">
                        <a:prstTxWarp prst="textNoShape">
                          <a:avLst/>
                        </a:prstTxWarp>
                        <a:noAutofit/>
                      </wps:bodyPr>
                    </wps:wsp>
                  </a:graphicData>
                </a:graphic>
              </wp:anchor>
            </w:drawing>
          </mc:Choice>
          <mc:Fallback>
            <w:pict>
              <v:rect style="position:absolute;margin-left:70.680pt;margin-top:3.577156pt;width:470.58pt;height:.481pt;mso-position-horizontal-relative:page;mso-position-vertical-relative:paragraph;z-index:-15607808;mso-wrap-distance-left:0;mso-wrap-distance-right:0" id="docshape503" filled="true" fillcolor="#4f81bc" stroked="false">
                <v:fill type="solid"/>
                <w10:wrap type="topAndBottom"/>
              </v:rect>
            </w:pict>
          </mc:Fallback>
        </mc:AlternateContent>
      </w:r>
    </w:p>
    <w:p>
      <w:pPr>
        <w:pStyle w:val="BodyText"/>
        <w:spacing w:line="276" w:lineRule="auto" w:before="241"/>
        <w:ind w:left="483" w:right="341"/>
        <w:jc w:val="both"/>
      </w:pPr>
      <w:r>
        <w:rPr/>
        <w:t>The Massachusetts Department of Public Health (DPH) is a state agency dedicated to promoting and ensuring</w:t>
      </w:r>
      <w:r>
        <w:rPr>
          <w:spacing w:val="-9"/>
        </w:rPr>
        <w:t> </w:t>
      </w:r>
      <w:r>
        <w:rPr/>
        <w:t>access</w:t>
      </w:r>
      <w:r>
        <w:rPr>
          <w:spacing w:val="-8"/>
        </w:rPr>
        <w:t> </w:t>
      </w:r>
      <w:r>
        <w:rPr/>
        <w:t>to</w:t>
      </w:r>
      <w:r>
        <w:rPr>
          <w:spacing w:val="-8"/>
        </w:rPr>
        <w:t> </w:t>
      </w:r>
      <w:r>
        <w:rPr/>
        <w:t>health</w:t>
      </w:r>
      <w:r>
        <w:rPr>
          <w:spacing w:val="-9"/>
        </w:rPr>
        <w:t> </w:t>
      </w:r>
      <w:r>
        <w:rPr/>
        <w:t>services,</w:t>
      </w:r>
      <w:r>
        <w:rPr>
          <w:spacing w:val="-8"/>
        </w:rPr>
        <w:t> </w:t>
      </w:r>
      <w:r>
        <w:rPr/>
        <w:t>with</w:t>
      </w:r>
      <w:r>
        <w:rPr>
          <w:spacing w:val="-8"/>
        </w:rPr>
        <w:t> </w:t>
      </w:r>
      <w:r>
        <w:rPr/>
        <w:t>a</w:t>
      </w:r>
      <w:r>
        <w:rPr>
          <w:spacing w:val="-8"/>
        </w:rPr>
        <w:t> </w:t>
      </w:r>
      <w:r>
        <w:rPr/>
        <w:t>specific</w:t>
      </w:r>
      <w:r>
        <w:rPr>
          <w:spacing w:val="-9"/>
        </w:rPr>
        <w:t> </w:t>
      </w:r>
      <w:r>
        <w:rPr/>
        <w:t>focus</w:t>
      </w:r>
      <w:r>
        <w:rPr>
          <w:spacing w:val="-8"/>
        </w:rPr>
        <w:t> </w:t>
      </w:r>
      <w:r>
        <w:rPr/>
        <w:t>on</w:t>
      </w:r>
      <w:r>
        <w:rPr>
          <w:spacing w:val="-9"/>
        </w:rPr>
        <w:t> </w:t>
      </w:r>
      <w:r>
        <w:rPr/>
        <w:t>prevention,</w:t>
      </w:r>
      <w:r>
        <w:rPr>
          <w:spacing w:val="-8"/>
        </w:rPr>
        <w:t> </w:t>
      </w:r>
      <w:r>
        <w:rPr/>
        <w:t>overall</w:t>
      </w:r>
      <w:r>
        <w:rPr>
          <w:spacing w:val="-9"/>
        </w:rPr>
        <w:t> </w:t>
      </w:r>
      <w:r>
        <w:rPr/>
        <w:t>wellness,</w:t>
      </w:r>
      <w:r>
        <w:rPr>
          <w:spacing w:val="-8"/>
        </w:rPr>
        <w:t> </w:t>
      </w:r>
      <w:r>
        <w:rPr/>
        <w:t>and</w:t>
      </w:r>
      <w:r>
        <w:rPr>
          <w:spacing w:val="-9"/>
        </w:rPr>
        <w:t> </w:t>
      </w:r>
      <w:r>
        <w:rPr/>
        <w:t>health</w:t>
      </w:r>
      <w:r>
        <w:rPr>
          <w:spacing w:val="-9"/>
        </w:rPr>
        <w:t> </w:t>
      </w:r>
      <w:r>
        <w:rPr/>
        <w:t>equity for all communities. The Commission and DPH have had a longstanding supportive relationship, and the Commission is grateful for DPH’s continued support and collaboration looking into FY 202</w:t>
      </w:r>
      <w:r>
        <w:rPr>
          <w:sz w:val="21"/>
        </w:rPr>
        <w:t>5</w:t>
      </w:r>
      <w:r>
        <w:rPr/>
        <w:t>. Prior to the COVID pandemic, DPH provided vital administrative and operational support, including housing its staff, and it has continued to offer support, including through funding and provision of meeting spaces. The Commission</w:t>
      </w:r>
      <w:r>
        <w:rPr>
          <w:spacing w:val="-12"/>
        </w:rPr>
        <w:t> </w:t>
      </w:r>
      <w:r>
        <w:rPr/>
        <w:t>is</w:t>
      </w:r>
      <w:r>
        <w:rPr>
          <w:spacing w:val="-11"/>
        </w:rPr>
        <w:t> </w:t>
      </w:r>
      <w:r>
        <w:rPr/>
        <w:t>confident</w:t>
      </w:r>
      <w:r>
        <w:rPr>
          <w:spacing w:val="-11"/>
        </w:rPr>
        <w:t> </w:t>
      </w:r>
      <w:r>
        <w:rPr/>
        <w:t>that</w:t>
      </w:r>
      <w:r>
        <w:rPr>
          <w:spacing w:val="-12"/>
        </w:rPr>
        <w:t> </w:t>
      </w:r>
      <w:r>
        <w:rPr/>
        <w:t>DPH</w:t>
      </w:r>
      <w:r>
        <w:rPr>
          <w:spacing w:val="-11"/>
        </w:rPr>
        <w:t> </w:t>
      </w:r>
      <w:r>
        <w:rPr/>
        <w:t>recognizes</w:t>
      </w:r>
      <w:r>
        <w:rPr>
          <w:spacing w:val="-10"/>
        </w:rPr>
        <w:t> </w:t>
      </w:r>
      <w:r>
        <w:rPr/>
        <w:t>the</w:t>
      </w:r>
      <w:r>
        <w:rPr>
          <w:spacing w:val="-10"/>
        </w:rPr>
        <w:t> </w:t>
      </w:r>
      <w:r>
        <w:rPr/>
        <w:t>long-term</w:t>
      </w:r>
      <w:r>
        <w:rPr>
          <w:spacing w:val="-10"/>
        </w:rPr>
        <w:t> </w:t>
      </w:r>
      <w:r>
        <w:rPr/>
        <w:t>health</w:t>
      </w:r>
      <w:r>
        <w:rPr>
          <w:spacing w:val="-9"/>
        </w:rPr>
        <w:t> </w:t>
      </w:r>
      <w:r>
        <w:rPr/>
        <w:t>and</w:t>
      </w:r>
      <w:r>
        <w:rPr>
          <w:spacing w:val="-12"/>
        </w:rPr>
        <w:t> </w:t>
      </w:r>
      <w:r>
        <w:rPr/>
        <w:t>economic</w:t>
      </w:r>
      <w:r>
        <w:rPr>
          <w:spacing w:val="-11"/>
        </w:rPr>
        <w:t> </w:t>
      </w:r>
      <w:r>
        <w:rPr/>
        <w:t>benefits</w:t>
      </w:r>
      <w:r>
        <w:rPr>
          <w:spacing w:val="-11"/>
        </w:rPr>
        <w:t> </w:t>
      </w:r>
      <w:r>
        <w:rPr/>
        <w:t>of</w:t>
      </w:r>
      <w:r>
        <w:rPr>
          <w:spacing w:val="-10"/>
        </w:rPr>
        <w:t> </w:t>
      </w:r>
      <w:r>
        <w:rPr/>
        <w:t>public</w:t>
      </w:r>
      <w:r>
        <w:rPr>
          <w:spacing w:val="-11"/>
        </w:rPr>
        <w:t> </w:t>
      </w:r>
      <w:r>
        <w:rPr/>
        <w:t>health interventions with youth. Additionally, the Commission appreciates the significant strides DPH has continued</w:t>
      </w:r>
      <w:r>
        <w:rPr>
          <w:spacing w:val="-3"/>
        </w:rPr>
        <w:t> </w:t>
      </w:r>
      <w:r>
        <w:rPr/>
        <w:t>to</w:t>
      </w:r>
      <w:r>
        <w:rPr>
          <w:spacing w:val="-2"/>
        </w:rPr>
        <w:t> </w:t>
      </w:r>
      <w:r>
        <w:rPr/>
        <w:t>take</w:t>
      </w:r>
      <w:r>
        <w:rPr>
          <w:spacing w:val="-3"/>
        </w:rPr>
        <w:t> </w:t>
      </w:r>
      <w:r>
        <w:rPr/>
        <w:t>to</w:t>
      </w:r>
      <w:r>
        <w:rPr>
          <w:spacing w:val="-3"/>
        </w:rPr>
        <w:t> </w:t>
      </w:r>
      <w:r>
        <w:rPr/>
        <w:t>impact</w:t>
      </w:r>
      <w:r>
        <w:rPr>
          <w:spacing w:val="-4"/>
        </w:rPr>
        <w:t> </w:t>
      </w:r>
      <w:r>
        <w:rPr/>
        <w:t>the</w:t>
      </w:r>
      <w:r>
        <w:rPr>
          <w:spacing w:val="-4"/>
        </w:rPr>
        <w:t> </w:t>
      </w:r>
      <w:r>
        <w:rPr/>
        <w:t>intersecting</w:t>
      </w:r>
      <w:r>
        <w:rPr>
          <w:spacing w:val="-3"/>
        </w:rPr>
        <w:t> </w:t>
      </w:r>
      <w:r>
        <w:rPr/>
        <w:t>systems</w:t>
      </w:r>
      <w:r>
        <w:rPr>
          <w:spacing w:val="-2"/>
        </w:rPr>
        <w:t> </w:t>
      </w:r>
      <w:r>
        <w:rPr/>
        <w:t>of</w:t>
      </w:r>
      <w:r>
        <w:rPr>
          <w:spacing w:val="-4"/>
        </w:rPr>
        <w:t> </w:t>
      </w:r>
      <w:r>
        <w:rPr/>
        <w:t>oppression</w:t>
      </w:r>
      <w:r>
        <w:rPr>
          <w:spacing w:val="-4"/>
        </w:rPr>
        <w:t> </w:t>
      </w:r>
      <w:r>
        <w:rPr/>
        <w:t>that</w:t>
      </w:r>
      <w:r>
        <w:rPr>
          <w:spacing w:val="-3"/>
        </w:rPr>
        <w:t> </w:t>
      </w:r>
      <w:r>
        <w:rPr/>
        <w:t>provide</w:t>
      </w:r>
      <w:r>
        <w:rPr>
          <w:spacing w:val="-2"/>
        </w:rPr>
        <w:t> </w:t>
      </w:r>
      <w:r>
        <w:rPr/>
        <w:t>and</w:t>
      </w:r>
      <w:r>
        <w:rPr>
          <w:spacing w:val="-4"/>
        </w:rPr>
        <w:t> </w:t>
      </w:r>
      <w:r>
        <w:rPr/>
        <w:t>compound</w:t>
      </w:r>
      <w:r>
        <w:rPr>
          <w:spacing w:val="-4"/>
        </w:rPr>
        <w:t> </w:t>
      </w:r>
      <w:r>
        <w:rPr/>
        <w:t>systemic barriers to health and wellness for QTBIPOC communities.</w:t>
      </w:r>
    </w:p>
    <w:p>
      <w:pPr>
        <w:pStyle w:val="BodyText"/>
        <w:spacing w:line="276" w:lineRule="auto" w:before="240"/>
        <w:ind w:left="483" w:right="341"/>
        <w:jc w:val="both"/>
      </w:pPr>
      <w:r>
        <w:rPr/>
        <w:t>As highlighted in the above public health section, a wide array of issues contributes to the significant health disparities affecting LGBTQ youth, families, and communities, including violence and abuse, sexually- transmitted infections, bullying, and substance use. However, despite these disparities, LGBTQ youth</w:t>
      </w:r>
      <w:r>
        <w:rPr>
          <w:spacing w:val="-12"/>
        </w:rPr>
        <w:t> </w:t>
      </w:r>
      <w:r>
        <w:rPr/>
        <w:t>consistently</w:t>
      </w:r>
      <w:r>
        <w:rPr>
          <w:spacing w:val="-12"/>
        </w:rPr>
        <w:t> </w:t>
      </w:r>
      <w:r>
        <w:rPr/>
        <w:t>face</w:t>
      </w:r>
      <w:r>
        <w:rPr>
          <w:spacing w:val="-12"/>
        </w:rPr>
        <w:t> </w:t>
      </w:r>
      <w:r>
        <w:rPr/>
        <w:t>barriers</w:t>
      </w:r>
      <w:r>
        <w:rPr>
          <w:spacing w:val="-13"/>
        </w:rPr>
        <w:t> </w:t>
      </w:r>
      <w:r>
        <w:rPr/>
        <w:t>to</w:t>
      </w:r>
      <w:r>
        <w:rPr>
          <w:spacing w:val="-11"/>
        </w:rPr>
        <w:t> </w:t>
      </w:r>
      <w:r>
        <w:rPr/>
        <w:t>accessing</w:t>
      </w:r>
      <w:r>
        <w:rPr>
          <w:spacing w:val="-13"/>
        </w:rPr>
        <w:t> </w:t>
      </w:r>
      <w:r>
        <w:rPr/>
        <w:t>essential</w:t>
      </w:r>
      <w:r>
        <w:rPr>
          <w:spacing w:val="-10"/>
        </w:rPr>
        <w:t> </w:t>
      </w:r>
      <w:r>
        <w:rPr/>
        <w:t>programs</w:t>
      </w:r>
      <w:r>
        <w:rPr>
          <w:spacing w:val="-12"/>
        </w:rPr>
        <w:t> </w:t>
      </w:r>
      <w:r>
        <w:rPr/>
        <w:t>and</w:t>
      </w:r>
      <w:r>
        <w:rPr>
          <w:spacing w:val="-13"/>
        </w:rPr>
        <w:t> </w:t>
      </w:r>
      <w:r>
        <w:rPr/>
        <w:t>services,</w:t>
      </w:r>
      <w:r>
        <w:rPr>
          <w:spacing w:val="-11"/>
        </w:rPr>
        <w:t> </w:t>
      </w:r>
      <w:r>
        <w:rPr/>
        <w:t>such</w:t>
      </w:r>
      <w:r>
        <w:rPr>
          <w:spacing w:val="-13"/>
        </w:rPr>
        <w:t> </w:t>
      </w:r>
      <w:r>
        <w:rPr/>
        <w:t>as</w:t>
      </w:r>
      <w:r>
        <w:rPr>
          <w:spacing w:val="-11"/>
        </w:rPr>
        <w:t> </w:t>
      </w:r>
      <w:r>
        <w:rPr/>
        <w:t>transportation,</w:t>
      </w:r>
      <w:r>
        <w:rPr>
          <w:spacing w:val="-12"/>
        </w:rPr>
        <w:t> </w:t>
      </w:r>
      <w:r>
        <w:rPr/>
        <w:t>cost, and fear of stigmatization and discrimination. The Commission looks forward to continuing to work with DPH</w:t>
      </w:r>
      <w:r>
        <w:rPr>
          <w:spacing w:val="-6"/>
        </w:rPr>
        <w:t> </w:t>
      </w:r>
      <w:r>
        <w:rPr/>
        <w:t>on</w:t>
      </w:r>
      <w:r>
        <w:rPr>
          <w:spacing w:val="-7"/>
        </w:rPr>
        <w:t> </w:t>
      </w:r>
      <w:r>
        <w:rPr/>
        <w:t>these</w:t>
      </w:r>
      <w:r>
        <w:rPr>
          <w:spacing w:val="-5"/>
        </w:rPr>
        <w:t> </w:t>
      </w:r>
      <w:r>
        <w:rPr/>
        <w:t>issues,</w:t>
      </w:r>
      <w:r>
        <w:rPr>
          <w:spacing w:val="-6"/>
        </w:rPr>
        <w:t> </w:t>
      </w:r>
      <w:r>
        <w:rPr/>
        <w:t>and</w:t>
      </w:r>
      <w:r>
        <w:rPr>
          <w:spacing w:val="-7"/>
        </w:rPr>
        <w:t> </w:t>
      </w:r>
      <w:r>
        <w:rPr/>
        <w:t>understanding</w:t>
      </w:r>
      <w:r>
        <w:rPr>
          <w:spacing w:val="-5"/>
        </w:rPr>
        <w:t> </w:t>
      </w:r>
      <w:r>
        <w:rPr/>
        <w:t>ways</w:t>
      </w:r>
      <w:r>
        <w:rPr>
          <w:spacing w:val="-6"/>
        </w:rPr>
        <w:t> </w:t>
      </w:r>
      <w:r>
        <w:rPr/>
        <w:t>to</w:t>
      </w:r>
      <w:r>
        <w:rPr>
          <w:spacing w:val="-6"/>
        </w:rPr>
        <w:t> </w:t>
      </w:r>
      <w:r>
        <w:rPr/>
        <w:t>create,</w:t>
      </w:r>
      <w:r>
        <w:rPr>
          <w:spacing w:val="-6"/>
        </w:rPr>
        <w:t> </w:t>
      </w:r>
      <w:r>
        <w:rPr/>
        <w:t>improve,</w:t>
      </w:r>
      <w:r>
        <w:rPr>
          <w:spacing w:val="-5"/>
        </w:rPr>
        <w:t> </w:t>
      </w:r>
      <w:r>
        <w:rPr/>
        <w:t>and</w:t>
      </w:r>
      <w:r>
        <w:rPr>
          <w:spacing w:val="-7"/>
        </w:rPr>
        <w:t> </w:t>
      </w:r>
      <w:r>
        <w:rPr/>
        <w:t>broaden</w:t>
      </w:r>
      <w:r>
        <w:rPr>
          <w:spacing w:val="-4"/>
        </w:rPr>
        <w:t> </w:t>
      </w:r>
      <w:r>
        <w:rPr/>
        <w:t>programs</w:t>
      </w:r>
      <w:r>
        <w:rPr>
          <w:spacing w:val="-6"/>
        </w:rPr>
        <w:t> </w:t>
      </w:r>
      <w:r>
        <w:rPr/>
        <w:t>and</w:t>
      </w:r>
      <w:r>
        <w:rPr>
          <w:spacing w:val="-7"/>
        </w:rPr>
        <w:t> </w:t>
      </w:r>
      <w:r>
        <w:rPr/>
        <w:t>services</w:t>
      </w:r>
      <w:r>
        <w:rPr>
          <w:spacing w:val="-6"/>
        </w:rPr>
        <w:t> </w:t>
      </w:r>
      <w:r>
        <w:rPr/>
        <w:t>for LGBTQ communities across the state.</w:t>
      </w:r>
    </w:p>
    <w:p>
      <w:pPr>
        <w:spacing w:after="0" w:line="276" w:lineRule="auto"/>
        <w:jc w:val="both"/>
        <w:sectPr>
          <w:headerReference w:type="default" r:id="rId744"/>
          <w:footerReference w:type="default" r:id="rId745"/>
          <w:pgSz w:w="12240" w:h="15840"/>
          <w:pgMar w:header="804" w:footer="1263" w:top="1000" w:bottom="1460" w:left="960" w:right="1100"/>
        </w:sectPr>
      </w:pPr>
    </w:p>
    <w:p>
      <w:pPr>
        <w:pStyle w:val="BodyText"/>
        <w:spacing w:before="24"/>
        <w:rPr>
          <w:sz w:val="28"/>
        </w:rPr>
      </w:pPr>
    </w:p>
    <w:p>
      <w:pPr>
        <w:spacing w:before="0"/>
        <w:ind w:left="483" w:right="0" w:firstLine="0"/>
        <w:jc w:val="both"/>
        <w:rPr>
          <w:sz w:val="28"/>
        </w:rPr>
      </w:pPr>
      <w:r>
        <w:rPr>
          <w:color w:val="365F91"/>
          <w:sz w:val="28"/>
        </w:rPr>
        <w:t>Past</w:t>
      </w:r>
      <w:r>
        <w:rPr>
          <w:color w:val="365F91"/>
          <w:spacing w:val="-7"/>
          <w:sz w:val="28"/>
        </w:rPr>
        <w:t> </w:t>
      </w:r>
      <w:r>
        <w:rPr>
          <w:color w:val="365F91"/>
          <w:sz w:val="28"/>
        </w:rPr>
        <w:t>&amp;</w:t>
      </w:r>
      <w:r>
        <w:rPr>
          <w:color w:val="365F91"/>
          <w:spacing w:val="-7"/>
          <w:sz w:val="28"/>
        </w:rPr>
        <w:t> </w:t>
      </w:r>
      <w:r>
        <w:rPr>
          <w:color w:val="365F91"/>
          <w:sz w:val="28"/>
        </w:rPr>
        <w:t>Ongoing</w:t>
      </w:r>
      <w:r>
        <w:rPr>
          <w:color w:val="365F91"/>
          <w:spacing w:val="-7"/>
          <w:sz w:val="28"/>
        </w:rPr>
        <w:t> </w:t>
      </w:r>
      <w:r>
        <w:rPr>
          <w:color w:val="365F91"/>
          <w:spacing w:val="-4"/>
          <w:sz w:val="28"/>
        </w:rPr>
        <w:t>Work</w:t>
      </w:r>
    </w:p>
    <w:p>
      <w:pPr>
        <w:pStyle w:val="BodyText"/>
        <w:spacing w:line="276" w:lineRule="auto" w:before="293"/>
        <w:ind w:left="483" w:right="343"/>
        <w:jc w:val="both"/>
      </w:pPr>
      <w:r>
        <w:rPr/>
        <w:t>DPH has long been committed to developing consistent policies and practices for working with LGBTQ populations, as well as expanding its services and support for effective programs across the Commonwealth.</w:t>
      </w:r>
      <w:r>
        <w:rPr>
          <w:spacing w:val="-13"/>
        </w:rPr>
        <w:t> </w:t>
      </w:r>
      <w:r>
        <w:rPr/>
        <w:t>Notably,</w:t>
      </w:r>
      <w:r>
        <w:rPr>
          <w:spacing w:val="-12"/>
        </w:rPr>
        <w:t> </w:t>
      </w:r>
      <w:r>
        <w:rPr/>
        <w:t>through</w:t>
      </w:r>
      <w:r>
        <w:rPr>
          <w:spacing w:val="-13"/>
        </w:rPr>
        <w:t> </w:t>
      </w:r>
      <w:r>
        <w:rPr/>
        <w:t>its</w:t>
      </w:r>
      <w:r>
        <w:rPr>
          <w:spacing w:val="-12"/>
        </w:rPr>
        <w:t> </w:t>
      </w:r>
      <w:r>
        <w:rPr/>
        <w:t>Division</w:t>
      </w:r>
      <w:r>
        <w:rPr>
          <w:spacing w:val="-12"/>
        </w:rPr>
        <w:t> </w:t>
      </w:r>
      <w:r>
        <w:rPr/>
        <w:t>of</w:t>
      </w:r>
      <w:r>
        <w:rPr>
          <w:spacing w:val="-12"/>
        </w:rPr>
        <w:t> </w:t>
      </w:r>
      <w:r>
        <w:rPr/>
        <w:t>Violence</w:t>
      </w:r>
      <w:r>
        <w:rPr>
          <w:spacing w:val="-13"/>
        </w:rPr>
        <w:t> </w:t>
      </w:r>
      <w:r>
        <w:rPr/>
        <w:t>and</w:t>
      </w:r>
      <w:r>
        <w:rPr>
          <w:spacing w:val="-12"/>
        </w:rPr>
        <w:t> </w:t>
      </w:r>
      <w:r>
        <w:rPr/>
        <w:t>Injury</w:t>
      </w:r>
      <w:r>
        <w:rPr>
          <w:spacing w:val="-13"/>
        </w:rPr>
        <w:t> </w:t>
      </w:r>
      <w:r>
        <w:rPr/>
        <w:t>Prevention,</w:t>
      </w:r>
      <w:r>
        <w:rPr>
          <w:spacing w:val="-10"/>
        </w:rPr>
        <w:t> </w:t>
      </w:r>
      <w:r>
        <w:rPr/>
        <w:t>DPH</w:t>
      </w:r>
      <w:r>
        <w:rPr>
          <w:spacing w:val="-13"/>
        </w:rPr>
        <w:t> </w:t>
      </w:r>
      <w:r>
        <w:rPr/>
        <w:t>administers</w:t>
      </w:r>
      <w:r>
        <w:rPr>
          <w:spacing w:val="-12"/>
        </w:rPr>
        <w:t> </w:t>
      </w:r>
      <w:r>
        <w:rPr/>
        <w:t>the</w:t>
      </w:r>
      <w:r>
        <w:rPr>
          <w:spacing w:val="-12"/>
        </w:rPr>
        <w:t> </w:t>
      </w:r>
      <w:hyperlink r:id="rId746">
        <w:r>
          <w:rPr>
            <w:color w:val="1153CC"/>
            <w:u w:val="single" w:color="1153CC"/>
          </w:rPr>
          <w:t>Safe</w:t>
        </w:r>
      </w:hyperlink>
      <w:r>
        <w:rPr>
          <w:color w:val="1153CC"/>
          <w:u w:val="none"/>
        </w:rPr>
        <w:t> </w:t>
      </w:r>
      <w:hyperlink r:id="rId746">
        <w:r>
          <w:rPr>
            <w:color w:val="1153CC"/>
            <w:u w:val="single" w:color="1153CC"/>
          </w:rPr>
          <w:t>Spaces for LGBTQIA+ Youth Programs</w:t>
        </w:r>
      </w:hyperlink>
      <w:hyperlink r:id="rId746">
        <w:r>
          <w:rPr>
            <w:u w:val="none"/>
          </w:rPr>
          <w:t>,</w:t>
        </w:r>
      </w:hyperlink>
      <w:r>
        <w:rPr>
          <w:u w:val="none"/>
        </w:rPr>
        <w:t> which provides a variety of services, including an accessible community drop-in space, peer-led, adult-supported support groups, and services for transition-aged LGBTQ youth.</w:t>
      </w:r>
    </w:p>
    <w:p>
      <w:pPr>
        <w:pStyle w:val="BodyText"/>
        <w:spacing w:line="276" w:lineRule="auto" w:before="239"/>
        <w:ind w:left="483" w:right="339"/>
        <w:jc w:val="both"/>
      </w:pPr>
      <w:r>
        <w:rPr/>
        <w:t>The</w:t>
      </w:r>
      <w:r>
        <w:rPr>
          <w:spacing w:val="-4"/>
        </w:rPr>
        <w:t> </w:t>
      </w:r>
      <w:r>
        <w:rPr/>
        <w:t>Commission</w:t>
      </w:r>
      <w:r>
        <w:rPr>
          <w:spacing w:val="-4"/>
        </w:rPr>
        <w:t> </w:t>
      </w:r>
      <w:r>
        <w:rPr/>
        <w:t>has</w:t>
      </w:r>
      <w:r>
        <w:rPr>
          <w:spacing w:val="-4"/>
        </w:rPr>
        <w:t> </w:t>
      </w:r>
      <w:r>
        <w:rPr/>
        <w:t>been</w:t>
      </w:r>
      <w:r>
        <w:rPr>
          <w:spacing w:val="-3"/>
        </w:rPr>
        <w:t> </w:t>
      </w:r>
      <w:r>
        <w:rPr/>
        <w:t>pleased</w:t>
      </w:r>
      <w:r>
        <w:rPr>
          <w:spacing w:val="-4"/>
        </w:rPr>
        <w:t> </w:t>
      </w:r>
      <w:r>
        <w:rPr/>
        <w:t>to</w:t>
      </w:r>
      <w:r>
        <w:rPr>
          <w:spacing w:val="-2"/>
        </w:rPr>
        <w:t> </w:t>
      </w:r>
      <w:r>
        <w:rPr/>
        <w:t>work</w:t>
      </w:r>
      <w:r>
        <w:rPr>
          <w:spacing w:val="-4"/>
        </w:rPr>
        <w:t> </w:t>
      </w:r>
      <w:r>
        <w:rPr/>
        <w:t>with</w:t>
      </w:r>
      <w:r>
        <w:rPr>
          <w:spacing w:val="-3"/>
        </w:rPr>
        <w:t> </w:t>
      </w:r>
      <w:r>
        <w:rPr/>
        <w:t>DPH’s</w:t>
      </w:r>
      <w:r>
        <w:rPr>
          <w:spacing w:val="-4"/>
        </w:rPr>
        <w:t> </w:t>
      </w:r>
      <w:r>
        <w:rPr/>
        <w:t>Bureau</w:t>
      </w:r>
      <w:r>
        <w:rPr>
          <w:spacing w:val="-4"/>
        </w:rPr>
        <w:t> </w:t>
      </w:r>
      <w:r>
        <w:rPr/>
        <w:t>of</w:t>
      </w:r>
      <w:r>
        <w:rPr>
          <w:spacing w:val="-4"/>
        </w:rPr>
        <w:t> </w:t>
      </w:r>
      <w:r>
        <w:rPr/>
        <w:t>Substance</w:t>
      </w:r>
      <w:r>
        <w:rPr>
          <w:spacing w:val="-4"/>
        </w:rPr>
        <w:t> </w:t>
      </w:r>
      <w:r>
        <w:rPr/>
        <w:t>Abuse</w:t>
      </w:r>
      <w:r>
        <w:rPr>
          <w:spacing w:val="-4"/>
        </w:rPr>
        <w:t> </w:t>
      </w:r>
      <w:r>
        <w:rPr/>
        <w:t>Services</w:t>
      </w:r>
      <w:r>
        <w:rPr>
          <w:spacing w:val="-4"/>
        </w:rPr>
        <w:t> </w:t>
      </w:r>
      <w:r>
        <w:rPr/>
        <w:t>(BSAS),</w:t>
      </w:r>
      <w:r>
        <w:rPr>
          <w:spacing w:val="-4"/>
        </w:rPr>
        <w:t> </w:t>
      </w:r>
      <w:r>
        <w:rPr/>
        <w:t>which has extended efforts through its Office of Youth and Young Adult Services (OYYAS) to review documents and data collection standards to ensure that LGBTQ youth are affirmed through DPH outreach and services. The Commission has further partnered with DPH’s SOGI Data Standards Working Group, and in April 2023 provided input on the agency’s upcoming COVID Community Impact Survey (CCIS) 2.0. The Commission looks forward to continuing to collaborate with DPH on these data collection efforts in the upcoming fiscal year.</w:t>
      </w:r>
    </w:p>
    <w:p>
      <w:pPr>
        <w:pStyle w:val="BodyText"/>
        <w:spacing w:line="276" w:lineRule="auto" w:before="240"/>
        <w:ind w:left="483" w:right="342"/>
        <w:jc w:val="both"/>
      </w:pPr>
      <w:r>
        <w:rPr/>
        <w:t>The</w:t>
      </w:r>
      <w:r>
        <w:rPr>
          <w:spacing w:val="-9"/>
        </w:rPr>
        <w:t> </w:t>
      </w:r>
      <w:r>
        <w:rPr/>
        <w:t>Commission</w:t>
      </w:r>
      <w:r>
        <w:rPr>
          <w:spacing w:val="-10"/>
        </w:rPr>
        <w:t> </w:t>
      </w:r>
      <w:r>
        <w:rPr/>
        <w:t>commends</w:t>
      </w:r>
      <w:r>
        <w:rPr>
          <w:spacing w:val="-10"/>
        </w:rPr>
        <w:t> </w:t>
      </w:r>
      <w:r>
        <w:rPr/>
        <w:t>DPH</w:t>
      </w:r>
      <w:r>
        <w:rPr>
          <w:spacing w:val="-10"/>
        </w:rPr>
        <w:t> </w:t>
      </w:r>
      <w:r>
        <w:rPr/>
        <w:t>for</w:t>
      </w:r>
      <w:r>
        <w:rPr>
          <w:spacing w:val="-10"/>
        </w:rPr>
        <w:t> </w:t>
      </w:r>
      <w:r>
        <w:rPr/>
        <w:t>its</w:t>
      </w:r>
      <w:r>
        <w:rPr>
          <w:spacing w:val="-7"/>
        </w:rPr>
        <w:t> </w:t>
      </w:r>
      <w:r>
        <w:rPr/>
        <w:t>work</w:t>
      </w:r>
      <w:r>
        <w:rPr>
          <w:spacing w:val="-11"/>
        </w:rPr>
        <w:t> </w:t>
      </w:r>
      <w:r>
        <w:rPr/>
        <w:t>on</w:t>
      </w:r>
      <w:r>
        <w:rPr>
          <w:spacing w:val="-10"/>
        </w:rPr>
        <w:t> </w:t>
      </w:r>
      <w:r>
        <w:rPr/>
        <w:t>racial</w:t>
      </w:r>
      <w:r>
        <w:rPr>
          <w:spacing w:val="-10"/>
        </w:rPr>
        <w:t> </w:t>
      </w:r>
      <w:r>
        <w:rPr/>
        <w:t>justice</w:t>
      </w:r>
      <w:r>
        <w:rPr>
          <w:spacing w:val="-9"/>
        </w:rPr>
        <w:t> </w:t>
      </w:r>
      <w:r>
        <w:rPr/>
        <w:t>initiatives,</w:t>
      </w:r>
      <w:r>
        <w:rPr>
          <w:spacing w:val="-10"/>
        </w:rPr>
        <w:t> </w:t>
      </w:r>
      <w:r>
        <w:rPr/>
        <w:t>including</w:t>
      </w:r>
      <w:r>
        <w:rPr>
          <w:spacing w:val="-10"/>
        </w:rPr>
        <w:t> </w:t>
      </w:r>
      <w:r>
        <w:rPr/>
        <w:t>by</w:t>
      </w:r>
      <w:r>
        <w:rPr>
          <w:spacing w:val="-9"/>
        </w:rPr>
        <w:t> </w:t>
      </w:r>
      <w:r>
        <w:rPr/>
        <w:t>its</w:t>
      </w:r>
      <w:r>
        <w:rPr>
          <w:spacing w:val="-9"/>
        </w:rPr>
        <w:t> </w:t>
      </w:r>
      <w:r>
        <w:rPr/>
        <w:t>release</w:t>
      </w:r>
      <w:r>
        <w:rPr>
          <w:spacing w:val="-10"/>
        </w:rPr>
        <w:t> </w:t>
      </w:r>
      <w:r>
        <w:rPr/>
        <w:t>of</w:t>
      </w:r>
      <w:r>
        <w:rPr>
          <w:spacing w:val="-10"/>
        </w:rPr>
        <w:t> </w:t>
      </w:r>
      <w:r>
        <w:rPr/>
        <w:t>a</w:t>
      </w:r>
      <w:r>
        <w:rPr>
          <w:spacing w:val="-9"/>
        </w:rPr>
        <w:t> </w:t>
      </w:r>
      <w:r>
        <w:rPr/>
        <w:t>Racial Equity Data Road Map in October of 2020 which provides “a suggested methodology for programs to assess their progress in addressing racial inequities in service delivery and health outcomes.”</w:t>
      </w:r>
      <w:hyperlink w:history="true" w:anchor="_bookmark636">
        <w:r>
          <w:rPr>
            <w:vertAlign w:val="superscript"/>
          </w:rPr>
          <w:t>1</w:t>
        </w:r>
      </w:hyperlink>
      <w:r>
        <w:rPr>
          <w:vertAlign w:val="baseline"/>
        </w:rPr>
        <w:t> In May of 2022, DPH noted that the agency had secured The Racial Equity Institute to provide a two-day training session to DPH leaders and staff which focused on anti-racism and capacity-building, which it intends to continue to offer to staff as requested.</w:t>
      </w:r>
    </w:p>
    <w:p>
      <w:pPr>
        <w:pStyle w:val="BodyText"/>
        <w:spacing w:line="276" w:lineRule="auto" w:before="239"/>
        <w:ind w:left="483" w:right="340"/>
        <w:jc w:val="both"/>
      </w:pPr>
      <w:r>
        <w:rPr/>
        <w:t>Ongoing</w:t>
      </w:r>
      <w:r>
        <w:rPr>
          <w:spacing w:val="-12"/>
        </w:rPr>
        <w:t> </w:t>
      </w:r>
      <w:r>
        <w:rPr/>
        <w:t>work</w:t>
      </w:r>
      <w:r>
        <w:rPr>
          <w:spacing w:val="-13"/>
        </w:rPr>
        <w:t> </w:t>
      </w:r>
      <w:r>
        <w:rPr/>
        <w:t>from</w:t>
      </w:r>
      <w:r>
        <w:rPr>
          <w:spacing w:val="-11"/>
        </w:rPr>
        <w:t> </w:t>
      </w:r>
      <w:r>
        <w:rPr/>
        <w:t>DPH</w:t>
      </w:r>
      <w:r>
        <w:rPr>
          <w:spacing w:val="-13"/>
        </w:rPr>
        <w:t> </w:t>
      </w:r>
      <w:r>
        <w:rPr/>
        <w:t>further</w:t>
      </w:r>
      <w:r>
        <w:rPr>
          <w:spacing w:val="-10"/>
        </w:rPr>
        <w:t> </w:t>
      </w:r>
      <w:r>
        <w:rPr/>
        <w:t>includes</w:t>
      </w:r>
      <w:r>
        <w:rPr>
          <w:spacing w:val="-12"/>
        </w:rPr>
        <w:t> </w:t>
      </w:r>
      <w:r>
        <w:rPr/>
        <w:t>the</w:t>
      </w:r>
      <w:r>
        <w:rPr>
          <w:spacing w:val="-10"/>
        </w:rPr>
        <w:t> </w:t>
      </w:r>
      <w:r>
        <w:rPr/>
        <w:t>prioritization</w:t>
      </w:r>
      <w:r>
        <w:rPr>
          <w:spacing w:val="-13"/>
        </w:rPr>
        <w:t> </w:t>
      </w:r>
      <w:r>
        <w:rPr/>
        <w:t>of</w:t>
      </w:r>
      <w:r>
        <w:rPr>
          <w:spacing w:val="-10"/>
        </w:rPr>
        <w:t> </w:t>
      </w:r>
      <w:r>
        <w:rPr/>
        <w:t>LGBTQ</w:t>
      </w:r>
      <w:r>
        <w:rPr>
          <w:spacing w:val="-13"/>
        </w:rPr>
        <w:t> </w:t>
      </w:r>
      <w:r>
        <w:rPr/>
        <w:t>youth</w:t>
      </w:r>
      <w:r>
        <w:rPr>
          <w:spacing w:val="-11"/>
        </w:rPr>
        <w:t> </w:t>
      </w:r>
      <w:r>
        <w:rPr/>
        <w:t>in</w:t>
      </w:r>
      <w:r>
        <w:rPr>
          <w:spacing w:val="-12"/>
        </w:rPr>
        <w:t> </w:t>
      </w:r>
      <w:r>
        <w:rPr/>
        <w:t>its</w:t>
      </w:r>
      <w:r>
        <w:rPr>
          <w:spacing w:val="-10"/>
        </w:rPr>
        <w:t> </w:t>
      </w:r>
      <w:r>
        <w:rPr/>
        <w:t>strategic</w:t>
      </w:r>
      <w:r>
        <w:rPr>
          <w:spacing w:val="-12"/>
        </w:rPr>
        <w:t> </w:t>
      </w:r>
      <w:r>
        <w:rPr/>
        <w:t>plan</w:t>
      </w:r>
      <w:r>
        <w:rPr>
          <w:spacing w:val="-12"/>
        </w:rPr>
        <w:t> </w:t>
      </w:r>
      <w:r>
        <w:rPr/>
        <w:t>for</w:t>
      </w:r>
      <w:r>
        <w:rPr>
          <w:spacing w:val="-12"/>
        </w:rPr>
        <w:t> </w:t>
      </w:r>
      <w:r>
        <w:rPr/>
        <w:t>smoking prevention, and continued resource provision to programs focused on suicide prevention and HIV prevention.</w:t>
      </w:r>
      <w:r>
        <w:rPr>
          <w:spacing w:val="-8"/>
        </w:rPr>
        <w:t> </w:t>
      </w:r>
      <w:r>
        <w:rPr/>
        <w:t>In</w:t>
      </w:r>
      <w:r>
        <w:rPr>
          <w:spacing w:val="-8"/>
        </w:rPr>
        <w:t> </w:t>
      </w:r>
      <w:r>
        <w:rPr/>
        <w:t>FY</w:t>
      </w:r>
      <w:r>
        <w:rPr>
          <w:spacing w:val="-8"/>
        </w:rPr>
        <w:t> </w:t>
      </w:r>
      <w:r>
        <w:rPr/>
        <w:t>2023,</w:t>
      </w:r>
      <w:r>
        <w:rPr>
          <w:spacing w:val="-6"/>
        </w:rPr>
        <w:t> </w:t>
      </w:r>
      <w:r>
        <w:rPr/>
        <w:t>the</w:t>
      </w:r>
      <w:r>
        <w:rPr>
          <w:spacing w:val="-8"/>
        </w:rPr>
        <w:t> </w:t>
      </w:r>
      <w:r>
        <w:rPr/>
        <w:t>Commission</w:t>
      </w:r>
      <w:r>
        <w:rPr>
          <w:spacing w:val="-8"/>
        </w:rPr>
        <w:t> </w:t>
      </w:r>
      <w:r>
        <w:rPr/>
        <w:t>and</w:t>
      </w:r>
      <w:r>
        <w:rPr>
          <w:spacing w:val="-8"/>
        </w:rPr>
        <w:t> </w:t>
      </w:r>
      <w:r>
        <w:rPr/>
        <w:t>DPH</w:t>
      </w:r>
      <w:r>
        <w:rPr>
          <w:spacing w:val="-7"/>
        </w:rPr>
        <w:t> </w:t>
      </w:r>
      <w:r>
        <w:rPr/>
        <w:t>discussed</w:t>
      </w:r>
      <w:r>
        <w:rPr>
          <w:spacing w:val="-7"/>
        </w:rPr>
        <w:t> </w:t>
      </w:r>
      <w:r>
        <w:rPr/>
        <w:t>further</w:t>
      </w:r>
      <w:r>
        <w:rPr>
          <w:spacing w:val="-8"/>
        </w:rPr>
        <w:t> </w:t>
      </w:r>
      <w:r>
        <w:rPr/>
        <w:t>areas</w:t>
      </w:r>
      <w:r>
        <w:rPr>
          <w:spacing w:val="-7"/>
        </w:rPr>
        <w:t> </w:t>
      </w:r>
      <w:r>
        <w:rPr/>
        <w:t>of</w:t>
      </w:r>
      <w:r>
        <w:rPr>
          <w:spacing w:val="-6"/>
        </w:rPr>
        <w:t> </w:t>
      </w:r>
      <w:r>
        <w:rPr/>
        <w:t>collaboration</w:t>
      </w:r>
      <w:r>
        <w:rPr>
          <w:spacing w:val="-8"/>
        </w:rPr>
        <w:t> </w:t>
      </w:r>
      <w:r>
        <w:rPr/>
        <w:t>and</w:t>
      </w:r>
      <w:r>
        <w:rPr>
          <w:spacing w:val="-8"/>
        </w:rPr>
        <w:t> </w:t>
      </w:r>
      <w:r>
        <w:rPr/>
        <w:t>investment into community-based public health and advocacy programs to build capacity and education efforts in local communities. Additionally, in 2021, DPH’s Bureau of Infectious Disease and Laboratory Sciences (BIDLS) provided its partner organizations with LGBTQ-inclusive guidance on using social media to promote health and disease prevention, as well as has continued to support innovative ways to engage LGBTQ communities in sexual health services.</w:t>
      </w:r>
    </w:p>
    <w:p>
      <w:pPr>
        <w:pStyle w:val="BodyText"/>
      </w:pPr>
    </w:p>
    <w:p>
      <w:pPr>
        <w:pStyle w:val="BodyText"/>
        <w:spacing w:before="62"/>
      </w:pPr>
    </w:p>
    <w:p>
      <w:pPr>
        <w:spacing w:before="1"/>
        <w:ind w:left="483" w:right="0" w:firstLine="0"/>
        <w:jc w:val="both"/>
        <w:rPr>
          <w:sz w:val="28"/>
        </w:rPr>
      </w:pPr>
      <w:r>
        <w:rPr>
          <w:color w:val="365F91"/>
          <w:sz w:val="28"/>
        </w:rPr>
        <w:t>FY</w:t>
      </w:r>
      <w:r>
        <w:rPr>
          <w:color w:val="365F91"/>
          <w:spacing w:val="-9"/>
          <w:sz w:val="28"/>
        </w:rPr>
        <w:t> </w:t>
      </w:r>
      <w:r>
        <w:rPr>
          <w:color w:val="365F91"/>
          <w:sz w:val="28"/>
        </w:rPr>
        <w:t>2025</w:t>
      </w:r>
      <w:r>
        <w:rPr>
          <w:color w:val="365F91"/>
          <w:spacing w:val="-8"/>
          <w:sz w:val="28"/>
        </w:rPr>
        <w:t> </w:t>
      </w:r>
      <w:r>
        <w:rPr>
          <w:color w:val="365F91"/>
          <w:sz w:val="28"/>
        </w:rPr>
        <w:t>Expanded</w:t>
      </w:r>
      <w:r>
        <w:rPr>
          <w:color w:val="365F91"/>
          <w:spacing w:val="-10"/>
          <w:sz w:val="28"/>
        </w:rPr>
        <w:t> </w:t>
      </w:r>
      <w:r>
        <w:rPr>
          <w:color w:val="365F91"/>
          <w:sz w:val="28"/>
        </w:rPr>
        <w:t>DPH</w:t>
      </w:r>
      <w:r>
        <w:rPr>
          <w:color w:val="365F91"/>
          <w:spacing w:val="-9"/>
          <w:sz w:val="28"/>
        </w:rPr>
        <w:t> </w:t>
      </w:r>
      <w:r>
        <w:rPr>
          <w:color w:val="365F91"/>
          <w:spacing w:val="-2"/>
          <w:sz w:val="28"/>
        </w:rPr>
        <w:t>Recommendations</w:t>
      </w:r>
    </w:p>
    <w:p>
      <w:pPr>
        <w:pStyle w:val="BodyText"/>
        <w:spacing w:before="10"/>
        <w:rPr>
          <w:sz w:val="3"/>
        </w:rPr>
      </w:pPr>
      <w:r>
        <w:rPr/>
        <mc:AlternateContent>
          <mc:Choice Requires="wps">
            <w:drawing>
              <wp:anchor distT="0" distB="0" distL="0" distR="0" allowOverlap="1" layoutInCell="1" locked="0" behindDoc="1" simplePos="0" relativeHeight="487709184">
                <wp:simplePos x="0" y="0"/>
                <wp:positionH relativeFrom="page">
                  <wp:posOffset>897636</wp:posOffset>
                </wp:positionH>
                <wp:positionV relativeFrom="paragraph">
                  <wp:posOffset>45184</wp:posOffset>
                </wp:positionV>
                <wp:extent cx="5976620" cy="6350"/>
                <wp:effectExtent l="0" t="0" r="0" b="0"/>
                <wp:wrapTopAndBottom/>
                <wp:docPr id="607" name="Graphic 607"/>
                <wp:cNvGraphicFramePr>
                  <a:graphicFrameLocks/>
                </wp:cNvGraphicFramePr>
                <a:graphic>
                  <a:graphicData uri="http://schemas.microsoft.com/office/word/2010/wordprocessingShape">
                    <wps:wsp>
                      <wps:cNvPr id="607" name="Graphic 607"/>
                      <wps:cNvSpPr/>
                      <wps:spPr>
                        <a:xfrm>
                          <a:off x="0" y="0"/>
                          <a:ext cx="5976620" cy="6350"/>
                        </a:xfrm>
                        <a:custGeom>
                          <a:avLst/>
                          <a:gdLst/>
                          <a:ahLst/>
                          <a:cxnLst/>
                          <a:rect l="l" t="t" r="r" b="b"/>
                          <a:pathLst>
                            <a:path w="5976620" h="6350">
                              <a:moveTo>
                                <a:pt x="5976366" y="0"/>
                              </a:moveTo>
                              <a:lnTo>
                                <a:pt x="0" y="0"/>
                              </a:lnTo>
                              <a:lnTo>
                                <a:pt x="0" y="6108"/>
                              </a:lnTo>
                              <a:lnTo>
                                <a:pt x="5976366" y="6108"/>
                              </a:lnTo>
                              <a:lnTo>
                                <a:pt x="5976366" y="0"/>
                              </a:lnTo>
                              <a:close/>
                            </a:path>
                          </a:pathLst>
                        </a:custGeom>
                        <a:solidFill>
                          <a:srgbClr val="4F81BC"/>
                        </a:solidFill>
                      </wps:spPr>
                      <wps:bodyPr wrap="square" lIns="0" tIns="0" rIns="0" bIns="0" rtlCol="0">
                        <a:prstTxWarp prst="textNoShape">
                          <a:avLst/>
                        </a:prstTxWarp>
                        <a:noAutofit/>
                      </wps:bodyPr>
                    </wps:wsp>
                  </a:graphicData>
                </a:graphic>
              </wp:anchor>
            </w:drawing>
          </mc:Choice>
          <mc:Fallback>
            <w:pict>
              <v:rect style="position:absolute;margin-left:70.680pt;margin-top:3.557848pt;width:470.58pt;height:.481pt;mso-position-horizontal-relative:page;mso-position-vertical-relative:paragraph;z-index:-15607296;mso-wrap-distance-left:0;mso-wrap-distance-right:0" id="docshape504" filled="true" fillcolor="#4f81bc" stroked="false">
                <v:fill type="solid"/>
                <w10:wrap type="topAndBottom"/>
              </v:rect>
            </w:pict>
          </mc:Fallback>
        </mc:AlternateContent>
      </w:r>
    </w:p>
    <w:p>
      <w:pPr>
        <w:numPr>
          <w:ilvl w:val="0"/>
          <w:numId w:val="41"/>
        </w:numPr>
        <w:tabs>
          <w:tab w:pos="481" w:val="left" w:leader="none"/>
          <w:tab w:pos="483" w:val="left" w:leader="none"/>
        </w:tabs>
        <w:spacing w:line="276" w:lineRule="auto" w:before="241"/>
        <w:ind w:left="483" w:right="345" w:hanging="360"/>
        <w:jc w:val="left"/>
        <w:rPr>
          <w:b/>
          <w:sz w:val="22"/>
        </w:rPr>
      </w:pPr>
      <w:r>
        <w:rPr>
          <w:b/>
          <w:sz w:val="22"/>
        </w:rPr>
        <w:t>Expand training opportunities for staff and contracting organizations on LGBTQ cultural engagement, racial equity, and adultism.</w:t>
      </w:r>
    </w:p>
    <w:p>
      <w:pPr>
        <w:pStyle w:val="BodyText"/>
        <w:spacing w:line="276" w:lineRule="auto" w:before="241"/>
        <w:ind w:left="483" w:right="342"/>
        <w:jc w:val="both"/>
      </w:pPr>
      <w:r>
        <w:rPr/>
        <w:t>The</w:t>
      </w:r>
      <w:r>
        <w:rPr>
          <w:spacing w:val="-4"/>
        </w:rPr>
        <w:t> </w:t>
      </w:r>
      <w:r>
        <w:rPr/>
        <w:t>Commission</w:t>
      </w:r>
      <w:r>
        <w:rPr>
          <w:spacing w:val="-6"/>
        </w:rPr>
        <w:t> </w:t>
      </w:r>
      <w:r>
        <w:rPr/>
        <w:t>has</w:t>
      </w:r>
      <w:r>
        <w:rPr>
          <w:spacing w:val="-4"/>
        </w:rPr>
        <w:t> </w:t>
      </w:r>
      <w:r>
        <w:rPr/>
        <w:t>been</w:t>
      </w:r>
      <w:r>
        <w:rPr>
          <w:spacing w:val="-3"/>
        </w:rPr>
        <w:t> </w:t>
      </w:r>
      <w:r>
        <w:rPr/>
        <w:t>pleased</w:t>
      </w:r>
      <w:r>
        <w:rPr>
          <w:spacing w:val="-4"/>
        </w:rPr>
        <w:t> </w:t>
      </w:r>
      <w:r>
        <w:rPr/>
        <w:t>to</w:t>
      </w:r>
      <w:r>
        <w:rPr>
          <w:spacing w:val="-5"/>
        </w:rPr>
        <w:t> </w:t>
      </w:r>
      <w:r>
        <w:rPr/>
        <w:t>work</w:t>
      </w:r>
      <w:r>
        <w:rPr>
          <w:spacing w:val="-6"/>
        </w:rPr>
        <w:t> </w:t>
      </w:r>
      <w:r>
        <w:rPr/>
        <w:t>with</w:t>
      </w:r>
      <w:r>
        <w:rPr>
          <w:spacing w:val="-4"/>
        </w:rPr>
        <w:t> </w:t>
      </w:r>
      <w:r>
        <w:rPr/>
        <w:t>DPH</w:t>
      </w:r>
      <w:r>
        <w:rPr>
          <w:spacing w:val="-3"/>
        </w:rPr>
        <w:t> </w:t>
      </w:r>
      <w:r>
        <w:rPr/>
        <w:t>for</w:t>
      </w:r>
      <w:r>
        <w:rPr>
          <w:spacing w:val="-5"/>
        </w:rPr>
        <w:t> </w:t>
      </w:r>
      <w:r>
        <w:rPr/>
        <w:t>many</w:t>
      </w:r>
      <w:r>
        <w:rPr>
          <w:spacing w:val="-4"/>
        </w:rPr>
        <w:t> </w:t>
      </w:r>
      <w:r>
        <w:rPr/>
        <w:t>years</w:t>
      </w:r>
      <w:r>
        <w:rPr>
          <w:spacing w:val="-5"/>
        </w:rPr>
        <w:t> </w:t>
      </w:r>
      <w:r>
        <w:rPr/>
        <w:t>in</w:t>
      </w:r>
      <w:r>
        <w:rPr>
          <w:spacing w:val="-4"/>
        </w:rPr>
        <w:t> </w:t>
      </w:r>
      <w:r>
        <w:rPr/>
        <w:t>its</w:t>
      </w:r>
      <w:r>
        <w:rPr>
          <w:spacing w:val="-4"/>
        </w:rPr>
        <w:t> </w:t>
      </w:r>
      <w:r>
        <w:rPr/>
        <w:t>training</w:t>
      </w:r>
      <w:r>
        <w:rPr>
          <w:spacing w:val="-4"/>
        </w:rPr>
        <w:t> </w:t>
      </w:r>
      <w:r>
        <w:rPr/>
        <w:t>efforts.</w:t>
      </w:r>
      <w:r>
        <w:rPr>
          <w:spacing w:val="-6"/>
        </w:rPr>
        <w:t> </w:t>
      </w:r>
      <w:r>
        <w:rPr/>
        <w:t>The</w:t>
      </w:r>
      <w:r>
        <w:rPr>
          <w:spacing w:val="-6"/>
        </w:rPr>
        <w:t> </w:t>
      </w:r>
      <w:r>
        <w:rPr/>
        <w:t>curriculum used</w:t>
      </w:r>
      <w:r>
        <w:rPr>
          <w:spacing w:val="-13"/>
        </w:rPr>
        <w:t> </w:t>
      </w:r>
      <w:r>
        <w:rPr/>
        <w:t>within</w:t>
      </w:r>
      <w:r>
        <w:rPr>
          <w:spacing w:val="-12"/>
        </w:rPr>
        <w:t> </w:t>
      </w:r>
      <w:r>
        <w:rPr/>
        <w:t>this</w:t>
      </w:r>
      <w:r>
        <w:rPr>
          <w:spacing w:val="-13"/>
        </w:rPr>
        <w:t> </w:t>
      </w:r>
      <w:r>
        <w:rPr/>
        <w:t>series</w:t>
      </w:r>
      <w:r>
        <w:rPr>
          <w:spacing w:val="-12"/>
        </w:rPr>
        <w:t> </w:t>
      </w:r>
      <w:r>
        <w:rPr/>
        <w:t>was</w:t>
      </w:r>
      <w:r>
        <w:rPr>
          <w:spacing w:val="-13"/>
        </w:rPr>
        <w:t> </w:t>
      </w:r>
      <w:r>
        <w:rPr/>
        <w:t>heavily</w:t>
      </w:r>
      <w:r>
        <w:rPr>
          <w:spacing w:val="-12"/>
        </w:rPr>
        <w:t> </w:t>
      </w:r>
      <w:r>
        <w:rPr/>
        <w:t>contributed</w:t>
      </w:r>
      <w:r>
        <w:rPr>
          <w:spacing w:val="-13"/>
        </w:rPr>
        <w:t> </w:t>
      </w:r>
      <w:r>
        <w:rPr/>
        <w:t>to</w:t>
      </w:r>
      <w:r>
        <w:rPr>
          <w:spacing w:val="-12"/>
        </w:rPr>
        <w:t> </w:t>
      </w:r>
      <w:r>
        <w:rPr/>
        <w:t>by</w:t>
      </w:r>
      <w:r>
        <w:rPr>
          <w:spacing w:val="-12"/>
        </w:rPr>
        <w:t> </w:t>
      </w:r>
      <w:r>
        <w:rPr/>
        <w:t>DPH,</w:t>
      </w:r>
      <w:r>
        <w:rPr>
          <w:spacing w:val="-13"/>
        </w:rPr>
        <w:t> </w:t>
      </w:r>
      <w:r>
        <w:rPr/>
        <w:t>and</w:t>
      </w:r>
      <w:r>
        <w:rPr>
          <w:spacing w:val="-12"/>
        </w:rPr>
        <w:t> </w:t>
      </w:r>
      <w:r>
        <w:rPr/>
        <w:t>the</w:t>
      </w:r>
      <w:r>
        <w:rPr>
          <w:spacing w:val="-13"/>
        </w:rPr>
        <w:t> </w:t>
      </w:r>
      <w:r>
        <w:rPr/>
        <w:t>Commission</w:t>
      </w:r>
      <w:r>
        <w:rPr>
          <w:spacing w:val="-12"/>
        </w:rPr>
        <w:t> </w:t>
      </w:r>
      <w:r>
        <w:rPr/>
        <w:t>is</w:t>
      </w:r>
      <w:r>
        <w:rPr>
          <w:spacing w:val="-13"/>
        </w:rPr>
        <w:t> </w:t>
      </w:r>
      <w:r>
        <w:rPr/>
        <w:t>looking</w:t>
      </w:r>
      <w:r>
        <w:rPr>
          <w:spacing w:val="-12"/>
        </w:rPr>
        <w:t> </w:t>
      </w:r>
      <w:r>
        <w:rPr/>
        <w:t>forward</w:t>
      </w:r>
      <w:r>
        <w:rPr>
          <w:spacing w:val="-12"/>
        </w:rPr>
        <w:t> </w:t>
      </w:r>
      <w:r>
        <w:rPr/>
        <w:t>to</w:t>
      </w:r>
      <w:r>
        <w:rPr>
          <w:spacing w:val="-13"/>
        </w:rPr>
        <w:t> </w:t>
      </w:r>
      <w:r>
        <w:rPr/>
        <w:t>future opportunities to develop new curriculum in partnership with DPH on other topics. In February of 2023,</w:t>
      </w:r>
    </w:p>
    <w:p>
      <w:pPr>
        <w:spacing w:after="0" w:line="276" w:lineRule="auto"/>
        <w:jc w:val="both"/>
        <w:sectPr>
          <w:pgSz w:w="12240" w:h="15840"/>
          <w:pgMar w:header="804" w:footer="1263" w:top="1000" w:bottom="1460" w:left="960" w:right="1100"/>
        </w:sectPr>
      </w:pPr>
    </w:p>
    <w:p>
      <w:pPr>
        <w:pStyle w:val="BodyText"/>
        <w:spacing w:before="98"/>
      </w:pPr>
    </w:p>
    <w:p>
      <w:pPr>
        <w:pStyle w:val="BodyText"/>
        <w:spacing w:line="276" w:lineRule="auto"/>
        <w:ind w:left="483" w:right="341"/>
        <w:jc w:val="both"/>
      </w:pPr>
      <w:r>
        <w:rPr/>
        <w:t>the</w:t>
      </w:r>
      <w:r>
        <w:rPr>
          <w:spacing w:val="-6"/>
        </w:rPr>
        <w:t> </w:t>
      </w:r>
      <w:r>
        <w:rPr/>
        <w:t>Commission</w:t>
      </w:r>
      <w:r>
        <w:rPr>
          <w:spacing w:val="-6"/>
        </w:rPr>
        <w:t> </w:t>
      </w:r>
      <w:r>
        <w:rPr/>
        <w:t>met</w:t>
      </w:r>
      <w:r>
        <w:rPr>
          <w:spacing w:val="-6"/>
        </w:rPr>
        <w:t> </w:t>
      </w:r>
      <w:r>
        <w:rPr/>
        <w:t>with</w:t>
      </w:r>
      <w:r>
        <w:rPr>
          <w:spacing w:val="-6"/>
        </w:rPr>
        <w:t> </w:t>
      </w:r>
      <w:r>
        <w:rPr/>
        <w:t>representatives</w:t>
      </w:r>
      <w:r>
        <w:rPr>
          <w:spacing w:val="-5"/>
        </w:rPr>
        <w:t> </w:t>
      </w:r>
      <w:r>
        <w:rPr/>
        <w:t>from</w:t>
      </w:r>
      <w:r>
        <w:rPr>
          <w:spacing w:val="-6"/>
        </w:rPr>
        <w:t> </w:t>
      </w:r>
      <w:r>
        <w:rPr/>
        <w:t>DPH</w:t>
      </w:r>
      <w:r>
        <w:rPr>
          <w:spacing w:val="-4"/>
        </w:rPr>
        <w:t> </w:t>
      </w:r>
      <w:r>
        <w:rPr/>
        <w:t>to</w:t>
      </w:r>
      <w:r>
        <w:rPr>
          <w:spacing w:val="-5"/>
        </w:rPr>
        <w:t> </w:t>
      </w:r>
      <w:r>
        <w:rPr/>
        <w:t>discuss</w:t>
      </w:r>
      <w:r>
        <w:rPr>
          <w:spacing w:val="-4"/>
        </w:rPr>
        <w:t> </w:t>
      </w:r>
      <w:r>
        <w:rPr/>
        <w:t>the</w:t>
      </w:r>
      <w:r>
        <w:rPr>
          <w:spacing w:val="-4"/>
        </w:rPr>
        <w:t> </w:t>
      </w:r>
      <w:r>
        <w:rPr/>
        <w:t>possibility</w:t>
      </w:r>
      <w:r>
        <w:rPr>
          <w:spacing w:val="-5"/>
        </w:rPr>
        <w:t> </w:t>
      </w:r>
      <w:r>
        <w:rPr/>
        <w:t>of</w:t>
      </w:r>
      <w:r>
        <w:rPr>
          <w:spacing w:val="-4"/>
        </w:rPr>
        <w:t> </w:t>
      </w:r>
      <w:r>
        <w:rPr/>
        <w:t>developing</w:t>
      </w:r>
      <w:r>
        <w:rPr>
          <w:spacing w:val="-4"/>
        </w:rPr>
        <w:t> </w:t>
      </w:r>
      <w:r>
        <w:rPr/>
        <w:t>a</w:t>
      </w:r>
      <w:r>
        <w:rPr>
          <w:spacing w:val="-4"/>
        </w:rPr>
        <w:t> </w:t>
      </w:r>
      <w:r>
        <w:rPr/>
        <w:t>new</w:t>
      </w:r>
      <w:r>
        <w:rPr>
          <w:spacing w:val="-5"/>
        </w:rPr>
        <w:t> </w:t>
      </w:r>
      <w:r>
        <w:rPr/>
        <w:t>LGBTQ health-based curriculum to be delivered to medical providers and facilities across the state. The Commission</w:t>
      </w:r>
      <w:r>
        <w:rPr>
          <w:spacing w:val="-4"/>
        </w:rPr>
        <w:t> </w:t>
      </w:r>
      <w:r>
        <w:rPr/>
        <w:t>recommends</w:t>
      </w:r>
      <w:r>
        <w:rPr>
          <w:spacing w:val="-4"/>
        </w:rPr>
        <w:t> </w:t>
      </w:r>
      <w:r>
        <w:rPr/>
        <w:t>that</w:t>
      </w:r>
      <w:r>
        <w:rPr>
          <w:spacing w:val="-4"/>
        </w:rPr>
        <w:t> </w:t>
      </w:r>
      <w:r>
        <w:rPr/>
        <w:t>DPH</w:t>
      </w:r>
      <w:r>
        <w:rPr>
          <w:spacing w:val="-4"/>
        </w:rPr>
        <w:t> </w:t>
      </w:r>
      <w:r>
        <w:rPr/>
        <w:t>continue</w:t>
      </w:r>
      <w:r>
        <w:rPr>
          <w:spacing w:val="-3"/>
        </w:rPr>
        <w:t> </w:t>
      </w:r>
      <w:r>
        <w:rPr/>
        <w:t>to</w:t>
      </w:r>
      <w:r>
        <w:rPr>
          <w:spacing w:val="-3"/>
        </w:rPr>
        <w:t> </w:t>
      </w:r>
      <w:r>
        <w:rPr/>
        <w:t>examine</w:t>
      </w:r>
      <w:r>
        <w:rPr>
          <w:spacing w:val="-4"/>
        </w:rPr>
        <w:t> </w:t>
      </w:r>
      <w:r>
        <w:rPr/>
        <w:t>its</w:t>
      </w:r>
      <w:r>
        <w:rPr>
          <w:spacing w:val="-2"/>
        </w:rPr>
        <w:t> </w:t>
      </w:r>
      <w:r>
        <w:rPr/>
        <w:t>training</w:t>
      </w:r>
      <w:r>
        <w:rPr>
          <w:spacing w:val="-3"/>
        </w:rPr>
        <w:t> </w:t>
      </w:r>
      <w:r>
        <w:rPr/>
        <w:t>efforts</w:t>
      </w:r>
      <w:r>
        <w:rPr>
          <w:spacing w:val="-4"/>
        </w:rPr>
        <w:t> </w:t>
      </w:r>
      <w:r>
        <w:rPr/>
        <w:t>to</w:t>
      </w:r>
      <w:r>
        <w:rPr>
          <w:spacing w:val="-3"/>
        </w:rPr>
        <w:t> </w:t>
      </w:r>
      <w:r>
        <w:rPr/>
        <w:t>ensure</w:t>
      </w:r>
      <w:r>
        <w:rPr>
          <w:spacing w:val="-4"/>
        </w:rPr>
        <w:t> </w:t>
      </w:r>
      <w:r>
        <w:rPr/>
        <w:t>that</w:t>
      </w:r>
      <w:r>
        <w:rPr>
          <w:spacing w:val="-3"/>
        </w:rPr>
        <w:t> </w:t>
      </w:r>
      <w:r>
        <w:rPr/>
        <w:t>all</w:t>
      </w:r>
      <w:r>
        <w:rPr>
          <w:spacing w:val="-4"/>
        </w:rPr>
        <w:t> </w:t>
      </w:r>
      <w:r>
        <w:rPr/>
        <w:t>employees, particularly those directly interfacing with youth, are given the tools needed to build upon their base understanding</w:t>
      </w:r>
      <w:r>
        <w:rPr>
          <w:spacing w:val="-4"/>
        </w:rPr>
        <w:t> </w:t>
      </w:r>
      <w:r>
        <w:rPr/>
        <w:t>of</w:t>
      </w:r>
      <w:r>
        <w:rPr>
          <w:spacing w:val="-4"/>
        </w:rPr>
        <w:t> </w:t>
      </w:r>
      <w:r>
        <w:rPr/>
        <w:t>LGBTQ</w:t>
      </w:r>
      <w:r>
        <w:rPr>
          <w:spacing w:val="-3"/>
        </w:rPr>
        <w:t> </w:t>
      </w:r>
      <w:r>
        <w:rPr/>
        <w:t>communities.</w:t>
      </w:r>
      <w:r>
        <w:rPr>
          <w:spacing w:val="-2"/>
        </w:rPr>
        <w:t> </w:t>
      </w:r>
      <w:r>
        <w:rPr/>
        <w:t>Furthermore,</w:t>
      </w:r>
      <w:r>
        <w:rPr>
          <w:spacing w:val="-4"/>
        </w:rPr>
        <w:t> </w:t>
      </w:r>
      <w:r>
        <w:rPr/>
        <w:t>the</w:t>
      </w:r>
      <w:r>
        <w:rPr>
          <w:spacing w:val="-4"/>
        </w:rPr>
        <w:t> </w:t>
      </w:r>
      <w:r>
        <w:rPr/>
        <w:t>Commission</w:t>
      </w:r>
      <w:r>
        <w:rPr>
          <w:spacing w:val="-4"/>
        </w:rPr>
        <w:t> </w:t>
      </w:r>
      <w:r>
        <w:rPr/>
        <w:t>recommends</w:t>
      </w:r>
      <w:r>
        <w:rPr>
          <w:spacing w:val="-4"/>
        </w:rPr>
        <w:t> </w:t>
      </w:r>
      <w:r>
        <w:rPr/>
        <w:t>that</w:t>
      </w:r>
      <w:r>
        <w:rPr>
          <w:spacing w:val="-3"/>
        </w:rPr>
        <w:t> </w:t>
      </w:r>
      <w:r>
        <w:rPr/>
        <w:t>DPH</w:t>
      </w:r>
      <w:r>
        <w:rPr>
          <w:spacing w:val="-3"/>
        </w:rPr>
        <w:t> </w:t>
      </w:r>
      <w:r>
        <w:rPr/>
        <w:t>continue</w:t>
      </w:r>
      <w:r>
        <w:rPr>
          <w:spacing w:val="-3"/>
        </w:rPr>
        <w:t> </w:t>
      </w:r>
      <w:r>
        <w:rPr/>
        <w:t>to review its training efforts to ensure that the intersections of LGBTQ youth are captured through racial equity trainings, as well as trainings on adultism. In April 2024, DPH released a trailblazing strategic plan centering</w:t>
      </w:r>
      <w:r>
        <w:rPr>
          <w:spacing w:val="-9"/>
        </w:rPr>
        <w:t> </w:t>
      </w:r>
      <w:r>
        <w:rPr/>
        <w:t>racial</w:t>
      </w:r>
      <w:r>
        <w:rPr>
          <w:spacing w:val="-9"/>
        </w:rPr>
        <w:t> </w:t>
      </w:r>
      <w:r>
        <w:rPr/>
        <w:t>equity</w:t>
      </w:r>
      <w:r>
        <w:rPr>
          <w:spacing w:val="-7"/>
        </w:rPr>
        <w:t> </w:t>
      </w:r>
      <w:r>
        <w:rPr/>
        <w:t>in</w:t>
      </w:r>
      <w:r>
        <w:rPr>
          <w:spacing w:val="-9"/>
        </w:rPr>
        <w:t> </w:t>
      </w:r>
      <w:r>
        <w:rPr/>
        <w:t>public</w:t>
      </w:r>
      <w:r>
        <w:rPr>
          <w:spacing w:val="-8"/>
        </w:rPr>
        <w:t> </w:t>
      </w:r>
      <w:r>
        <w:rPr/>
        <w:t>health</w:t>
      </w:r>
      <w:r>
        <w:rPr>
          <w:spacing w:val="-9"/>
        </w:rPr>
        <w:t> </w:t>
      </w:r>
      <w:r>
        <w:rPr/>
        <w:t>services,</w:t>
      </w:r>
      <w:r>
        <w:rPr>
          <w:spacing w:val="-8"/>
        </w:rPr>
        <w:t> </w:t>
      </w:r>
      <w:r>
        <w:rPr/>
        <w:t>which</w:t>
      </w:r>
      <w:r>
        <w:rPr>
          <w:spacing w:val="-9"/>
        </w:rPr>
        <w:t> </w:t>
      </w:r>
      <w:r>
        <w:rPr/>
        <w:t>includes</w:t>
      </w:r>
      <w:r>
        <w:rPr>
          <w:spacing w:val="-8"/>
        </w:rPr>
        <w:t> </w:t>
      </w:r>
      <w:r>
        <w:rPr/>
        <w:t>an</w:t>
      </w:r>
      <w:r>
        <w:rPr>
          <w:spacing w:val="-8"/>
        </w:rPr>
        <w:t> </w:t>
      </w:r>
      <w:r>
        <w:rPr/>
        <w:t>intersectional</w:t>
      </w:r>
      <w:r>
        <w:rPr>
          <w:spacing w:val="-8"/>
        </w:rPr>
        <w:t> </w:t>
      </w:r>
      <w:r>
        <w:rPr/>
        <w:t>lens</w:t>
      </w:r>
      <w:r>
        <w:rPr>
          <w:spacing w:val="-8"/>
        </w:rPr>
        <w:t> </w:t>
      </w:r>
      <w:r>
        <w:rPr/>
        <w:t>on</w:t>
      </w:r>
      <w:r>
        <w:rPr>
          <w:spacing w:val="-9"/>
        </w:rPr>
        <w:t> </w:t>
      </w:r>
      <w:r>
        <w:rPr/>
        <w:t>LGBTQ</w:t>
      </w:r>
      <w:r>
        <w:rPr>
          <w:spacing w:val="-9"/>
        </w:rPr>
        <w:t> </w:t>
      </w:r>
      <w:r>
        <w:rPr/>
        <w:t>equity.</w:t>
      </w:r>
      <w:r>
        <w:rPr>
          <w:spacing w:val="-9"/>
        </w:rPr>
        <w:t> </w:t>
      </w:r>
      <w:r>
        <w:rPr/>
        <w:t>As part</w:t>
      </w:r>
      <w:r>
        <w:rPr>
          <w:spacing w:val="-13"/>
        </w:rPr>
        <w:t> </w:t>
      </w:r>
      <w:r>
        <w:rPr/>
        <w:t>of</w:t>
      </w:r>
      <w:r>
        <w:rPr>
          <w:spacing w:val="-12"/>
        </w:rPr>
        <w:t> </w:t>
      </w:r>
      <w:r>
        <w:rPr/>
        <w:t>this</w:t>
      </w:r>
      <w:r>
        <w:rPr>
          <w:spacing w:val="-13"/>
        </w:rPr>
        <w:t> </w:t>
      </w:r>
      <w:r>
        <w:rPr/>
        <w:t>strategic</w:t>
      </w:r>
      <w:r>
        <w:rPr>
          <w:spacing w:val="-12"/>
        </w:rPr>
        <w:t> </w:t>
      </w:r>
      <w:r>
        <w:rPr/>
        <w:t>plan,</w:t>
      </w:r>
      <w:r>
        <w:rPr>
          <w:spacing w:val="-13"/>
        </w:rPr>
        <w:t> </w:t>
      </w:r>
      <w:r>
        <w:rPr/>
        <w:t>DPH</w:t>
      </w:r>
      <w:r>
        <w:rPr>
          <w:spacing w:val="-12"/>
        </w:rPr>
        <w:t> </w:t>
      </w:r>
      <w:r>
        <w:rPr/>
        <w:t>will</w:t>
      </w:r>
      <w:r>
        <w:rPr>
          <w:spacing w:val="-13"/>
        </w:rPr>
        <w:t> </w:t>
      </w:r>
      <w:r>
        <w:rPr/>
        <w:t>continue</w:t>
      </w:r>
      <w:r>
        <w:rPr>
          <w:spacing w:val="-12"/>
        </w:rPr>
        <w:t> </w:t>
      </w:r>
      <w:r>
        <w:rPr/>
        <w:t>to</w:t>
      </w:r>
      <w:r>
        <w:rPr>
          <w:spacing w:val="-12"/>
        </w:rPr>
        <w:t> </w:t>
      </w:r>
      <w:r>
        <w:rPr/>
        <w:t>offer</w:t>
      </w:r>
      <w:r>
        <w:rPr>
          <w:spacing w:val="-13"/>
        </w:rPr>
        <w:t> </w:t>
      </w:r>
      <w:r>
        <w:rPr/>
        <w:t>targeted</w:t>
      </w:r>
      <w:r>
        <w:rPr>
          <w:spacing w:val="-12"/>
        </w:rPr>
        <w:t> </w:t>
      </w:r>
      <w:r>
        <w:rPr/>
        <w:t>training,</w:t>
      </w:r>
      <w:r>
        <w:rPr>
          <w:spacing w:val="-13"/>
        </w:rPr>
        <w:t> </w:t>
      </w:r>
      <w:r>
        <w:rPr/>
        <w:t>capacity</w:t>
      </w:r>
      <w:r>
        <w:rPr>
          <w:spacing w:val="-12"/>
        </w:rPr>
        <w:t> </w:t>
      </w:r>
      <w:r>
        <w:rPr/>
        <w:t>building,</w:t>
      </w:r>
      <w:r>
        <w:rPr>
          <w:spacing w:val="-13"/>
        </w:rPr>
        <w:t> </w:t>
      </w:r>
      <w:r>
        <w:rPr/>
        <w:t>and</w:t>
      </w:r>
      <w:r>
        <w:rPr>
          <w:spacing w:val="-12"/>
        </w:rPr>
        <w:t> </w:t>
      </w:r>
      <w:r>
        <w:rPr/>
        <w:t>affinity</w:t>
      </w:r>
      <w:r>
        <w:rPr>
          <w:spacing w:val="-12"/>
        </w:rPr>
        <w:t> </w:t>
      </w:r>
      <w:r>
        <w:rPr/>
        <w:t>group opportunities to support the agency and its programs.</w:t>
      </w:r>
    </w:p>
    <w:p>
      <w:pPr>
        <w:pStyle w:val="BodyText"/>
      </w:pPr>
    </w:p>
    <w:p>
      <w:pPr>
        <w:pStyle w:val="BodyText"/>
        <w:spacing w:before="251"/>
      </w:pPr>
    </w:p>
    <w:p>
      <w:pPr>
        <w:numPr>
          <w:ilvl w:val="0"/>
          <w:numId w:val="41"/>
        </w:numPr>
        <w:tabs>
          <w:tab w:pos="481" w:val="left" w:leader="none"/>
        </w:tabs>
        <w:spacing w:before="0"/>
        <w:ind w:left="481" w:right="0" w:hanging="358"/>
        <w:jc w:val="left"/>
        <w:rPr>
          <w:b/>
          <w:sz w:val="22"/>
        </w:rPr>
      </w:pPr>
      <w:bookmarkStart w:name="_bookmark636" w:id="943"/>
      <w:bookmarkEnd w:id="943"/>
      <w:r>
        <w:rPr>
          <w:b/>
          <w:sz w:val="22"/>
        </w:rPr>
        <w:t>D</w:t>
      </w:r>
      <w:r>
        <w:rPr>
          <w:b/>
          <w:sz w:val="22"/>
        </w:rPr>
        <w:t>evelop</w:t>
      </w:r>
      <w:r>
        <w:rPr>
          <w:b/>
          <w:spacing w:val="-9"/>
          <w:sz w:val="22"/>
        </w:rPr>
        <w:t> </w:t>
      </w:r>
      <w:r>
        <w:rPr>
          <w:b/>
          <w:sz w:val="22"/>
        </w:rPr>
        <w:t>new</w:t>
      </w:r>
      <w:r>
        <w:rPr>
          <w:b/>
          <w:spacing w:val="-9"/>
          <w:sz w:val="22"/>
        </w:rPr>
        <w:t> </w:t>
      </w:r>
      <w:r>
        <w:rPr>
          <w:b/>
          <w:sz w:val="22"/>
        </w:rPr>
        <w:t>strategic</w:t>
      </w:r>
      <w:r>
        <w:rPr>
          <w:b/>
          <w:spacing w:val="-10"/>
          <w:sz w:val="22"/>
        </w:rPr>
        <w:t> </w:t>
      </w:r>
      <w:r>
        <w:rPr>
          <w:b/>
          <w:sz w:val="22"/>
        </w:rPr>
        <w:t>partnerships</w:t>
      </w:r>
      <w:r>
        <w:rPr>
          <w:b/>
          <w:spacing w:val="-9"/>
          <w:sz w:val="22"/>
        </w:rPr>
        <w:t> </w:t>
      </w:r>
      <w:r>
        <w:rPr>
          <w:b/>
          <w:sz w:val="22"/>
        </w:rPr>
        <w:t>to</w:t>
      </w:r>
      <w:r>
        <w:rPr>
          <w:b/>
          <w:spacing w:val="-9"/>
          <w:sz w:val="22"/>
        </w:rPr>
        <w:t> </w:t>
      </w:r>
      <w:r>
        <w:rPr>
          <w:b/>
          <w:sz w:val="22"/>
        </w:rPr>
        <w:t>diversify</w:t>
      </w:r>
      <w:r>
        <w:rPr>
          <w:b/>
          <w:spacing w:val="-10"/>
          <w:sz w:val="22"/>
        </w:rPr>
        <w:t> </w:t>
      </w:r>
      <w:r>
        <w:rPr>
          <w:b/>
          <w:sz w:val="22"/>
        </w:rPr>
        <w:t>connections</w:t>
      </w:r>
      <w:r>
        <w:rPr>
          <w:b/>
          <w:spacing w:val="-9"/>
          <w:sz w:val="22"/>
        </w:rPr>
        <w:t> </w:t>
      </w:r>
      <w:r>
        <w:rPr>
          <w:b/>
          <w:sz w:val="22"/>
        </w:rPr>
        <w:t>and</w:t>
      </w:r>
      <w:r>
        <w:rPr>
          <w:b/>
          <w:spacing w:val="-9"/>
          <w:sz w:val="22"/>
        </w:rPr>
        <w:t> </w:t>
      </w:r>
      <w:r>
        <w:rPr>
          <w:b/>
          <w:sz w:val="22"/>
        </w:rPr>
        <w:t>investment</w:t>
      </w:r>
      <w:r>
        <w:rPr>
          <w:b/>
          <w:spacing w:val="-9"/>
          <w:sz w:val="22"/>
        </w:rPr>
        <w:t> </w:t>
      </w:r>
      <w:r>
        <w:rPr>
          <w:b/>
          <w:sz w:val="22"/>
        </w:rPr>
        <w:t>into</w:t>
      </w:r>
      <w:r>
        <w:rPr>
          <w:b/>
          <w:spacing w:val="-9"/>
          <w:sz w:val="22"/>
        </w:rPr>
        <w:t> </w:t>
      </w:r>
      <w:r>
        <w:rPr>
          <w:b/>
          <w:sz w:val="22"/>
        </w:rPr>
        <w:t>LGBTQ</w:t>
      </w:r>
      <w:r>
        <w:rPr>
          <w:b/>
          <w:spacing w:val="-9"/>
          <w:sz w:val="22"/>
        </w:rPr>
        <w:t> </w:t>
      </w:r>
      <w:r>
        <w:rPr>
          <w:b/>
          <w:spacing w:val="-2"/>
          <w:sz w:val="22"/>
        </w:rPr>
        <w:t>communities.</w:t>
      </w:r>
    </w:p>
    <w:p>
      <w:pPr>
        <w:pStyle w:val="BodyText"/>
        <w:spacing w:before="11"/>
        <w:rPr>
          <w:b/>
        </w:rPr>
      </w:pPr>
    </w:p>
    <w:p>
      <w:pPr>
        <w:pStyle w:val="BodyText"/>
        <w:spacing w:line="276" w:lineRule="auto" w:before="1"/>
        <w:ind w:left="483" w:right="341"/>
        <w:jc w:val="both"/>
      </w:pPr>
      <w:r>
        <w:rPr/>
        <w:t>Over the course of FY 2024, the Commission has engaged in numerous conversations with DPH partners on ways to continue to engage LGBTQ communities in public health education and health services. The Commission recommends that DPH develop new strategic outreach plans to diversify its connections within LGBTQ communities, with particular attention to QTBIPOC communities and organizations in underserved</w:t>
      </w:r>
      <w:r>
        <w:rPr>
          <w:spacing w:val="-4"/>
        </w:rPr>
        <w:t> </w:t>
      </w:r>
      <w:r>
        <w:rPr/>
        <w:t>regions.</w:t>
      </w:r>
      <w:r>
        <w:rPr>
          <w:spacing w:val="-7"/>
        </w:rPr>
        <w:t> </w:t>
      </w:r>
      <w:r>
        <w:rPr/>
        <w:t>In</w:t>
      </w:r>
      <w:r>
        <w:rPr>
          <w:spacing w:val="-5"/>
        </w:rPr>
        <w:t> </w:t>
      </w:r>
      <w:r>
        <w:rPr/>
        <w:t>meetings</w:t>
      </w:r>
      <w:r>
        <w:rPr>
          <w:spacing w:val="-6"/>
        </w:rPr>
        <w:t> </w:t>
      </w:r>
      <w:r>
        <w:rPr/>
        <w:t>during</w:t>
      </w:r>
      <w:r>
        <w:rPr>
          <w:spacing w:val="-7"/>
        </w:rPr>
        <w:t> </w:t>
      </w:r>
      <w:r>
        <w:rPr/>
        <w:t>FY</w:t>
      </w:r>
      <w:r>
        <w:rPr>
          <w:spacing w:val="-5"/>
        </w:rPr>
        <w:t> </w:t>
      </w:r>
      <w:r>
        <w:rPr/>
        <w:t>2025,</w:t>
      </w:r>
      <w:r>
        <w:rPr>
          <w:spacing w:val="-6"/>
        </w:rPr>
        <w:t> </w:t>
      </w:r>
      <w:r>
        <w:rPr/>
        <w:t>DPH</w:t>
      </w:r>
      <w:r>
        <w:rPr>
          <w:spacing w:val="-6"/>
        </w:rPr>
        <w:t> </w:t>
      </w:r>
      <w:r>
        <w:rPr/>
        <w:t>has</w:t>
      </w:r>
      <w:r>
        <w:rPr>
          <w:spacing w:val="-6"/>
        </w:rPr>
        <w:t> </w:t>
      </w:r>
      <w:r>
        <w:rPr/>
        <w:t>shared</w:t>
      </w:r>
      <w:r>
        <w:rPr>
          <w:spacing w:val="-5"/>
        </w:rPr>
        <w:t> </w:t>
      </w:r>
      <w:r>
        <w:rPr/>
        <w:t>that</w:t>
      </w:r>
      <w:r>
        <w:rPr>
          <w:spacing w:val="-6"/>
        </w:rPr>
        <w:t> </w:t>
      </w:r>
      <w:r>
        <w:rPr/>
        <w:t>they</w:t>
      </w:r>
      <w:r>
        <w:rPr>
          <w:spacing w:val="-5"/>
        </w:rPr>
        <w:t> </w:t>
      </w:r>
      <w:r>
        <w:rPr/>
        <w:t>have</w:t>
      </w:r>
      <w:r>
        <w:rPr>
          <w:spacing w:val="-7"/>
        </w:rPr>
        <w:t> </w:t>
      </w:r>
      <w:r>
        <w:rPr/>
        <w:t>developed</w:t>
      </w:r>
      <w:r>
        <w:rPr>
          <w:spacing w:val="-5"/>
        </w:rPr>
        <w:t> </w:t>
      </w:r>
      <w:r>
        <w:rPr/>
        <w:t>partnerships regarding</w:t>
      </w:r>
      <w:r>
        <w:rPr>
          <w:spacing w:val="-2"/>
        </w:rPr>
        <w:t> </w:t>
      </w:r>
      <w:r>
        <w:rPr/>
        <w:t>sexual</w:t>
      </w:r>
      <w:r>
        <w:rPr>
          <w:spacing w:val="-3"/>
        </w:rPr>
        <w:t> </w:t>
      </w:r>
      <w:r>
        <w:rPr/>
        <w:t>&amp;</w:t>
      </w:r>
      <w:r>
        <w:rPr>
          <w:spacing w:val="-2"/>
        </w:rPr>
        <w:t> </w:t>
      </w:r>
      <w:r>
        <w:rPr/>
        <w:t>reproductive</w:t>
      </w:r>
      <w:r>
        <w:rPr>
          <w:spacing w:val="-2"/>
        </w:rPr>
        <w:t> </w:t>
      </w:r>
      <w:r>
        <w:rPr/>
        <w:t>health</w:t>
      </w:r>
      <w:r>
        <w:rPr>
          <w:spacing w:val="-1"/>
        </w:rPr>
        <w:t> </w:t>
      </w:r>
      <w:r>
        <w:rPr/>
        <w:t>and</w:t>
      </w:r>
      <w:r>
        <w:rPr>
          <w:spacing w:val="-3"/>
        </w:rPr>
        <w:t> </w:t>
      </w:r>
      <w:r>
        <w:rPr/>
        <w:t>sexual</w:t>
      </w:r>
      <w:r>
        <w:rPr>
          <w:spacing w:val="-3"/>
        </w:rPr>
        <w:t> </w:t>
      </w:r>
      <w:r>
        <w:rPr/>
        <w:t>and</w:t>
      </w:r>
      <w:r>
        <w:rPr>
          <w:spacing w:val="-3"/>
        </w:rPr>
        <w:t> </w:t>
      </w:r>
      <w:r>
        <w:rPr/>
        <w:t>domestic</w:t>
      </w:r>
      <w:r>
        <w:rPr>
          <w:spacing w:val="-2"/>
        </w:rPr>
        <w:t> </w:t>
      </w:r>
      <w:r>
        <w:rPr/>
        <w:t>violence,</w:t>
      </w:r>
      <w:r>
        <w:rPr>
          <w:spacing w:val="-3"/>
        </w:rPr>
        <w:t> </w:t>
      </w:r>
      <w:r>
        <w:rPr/>
        <w:t>and</w:t>
      </w:r>
      <w:r>
        <w:rPr>
          <w:spacing w:val="-3"/>
        </w:rPr>
        <w:t> </w:t>
      </w:r>
      <w:r>
        <w:rPr/>
        <w:t>is</w:t>
      </w:r>
      <w:r>
        <w:rPr>
          <w:spacing w:val="-1"/>
        </w:rPr>
        <w:t> </w:t>
      </w:r>
      <w:r>
        <w:rPr/>
        <w:t>continuing</w:t>
      </w:r>
      <w:r>
        <w:rPr>
          <w:spacing w:val="-2"/>
        </w:rPr>
        <w:t> </w:t>
      </w:r>
      <w:r>
        <w:rPr/>
        <w:t>to</w:t>
      </w:r>
      <w:r>
        <w:rPr>
          <w:spacing w:val="-2"/>
        </w:rPr>
        <w:t> </w:t>
      </w:r>
      <w:r>
        <w:rPr/>
        <w:t>search</w:t>
      </w:r>
      <w:r>
        <w:rPr>
          <w:spacing w:val="-3"/>
        </w:rPr>
        <w:t> </w:t>
      </w:r>
      <w:r>
        <w:rPr/>
        <w:t>for new opportunities to partner with communities. While reviewing its current partnerships, DPH should connect with LGBTQ community members to identify gaps in its outreach, and also work to improve its internal collaboration to minimize duplicated efforts across departments.</w:t>
      </w:r>
    </w:p>
    <w:p>
      <w:pPr>
        <w:pStyle w:val="BodyText"/>
      </w:pPr>
    </w:p>
    <w:p>
      <w:pPr>
        <w:pStyle w:val="BodyText"/>
        <w:spacing w:before="251"/>
      </w:pPr>
    </w:p>
    <w:p>
      <w:pPr>
        <w:numPr>
          <w:ilvl w:val="0"/>
          <w:numId w:val="41"/>
        </w:numPr>
        <w:tabs>
          <w:tab w:pos="481" w:val="left" w:leader="none"/>
          <w:tab w:pos="483" w:val="left" w:leader="none"/>
        </w:tabs>
        <w:spacing w:line="276" w:lineRule="auto" w:before="0"/>
        <w:ind w:left="483" w:right="344" w:hanging="360"/>
        <w:jc w:val="left"/>
        <w:rPr>
          <w:b/>
          <w:sz w:val="22"/>
        </w:rPr>
      </w:pPr>
      <w:r>
        <w:rPr>
          <w:b/>
          <w:sz w:val="22"/>
        </w:rPr>
        <w:t>Explore</w:t>
      </w:r>
      <w:r>
        <w:rPr>
          <w:b/>
          <w:spacing w:val="29"/>
          <w:sz w:val="22"/>
        </w:rPr>
        <w:t> </w:t>
      </w:r>
      <w:r>
        <w:rPr>
          <w:b/>
          <w:sz w:val="22"/>
        </w:rPr>
        <w:t>ways</w:t>
      </w:r>
      <w:r>
        <w:rPr>
          <w:b/>
          <w:spacing w:val="28"/>
          <w:sz w:val="22"/>
        </w:rPr>
        <w:t> </w:t>
      </w:r>
      <w:r>
        <w:rPr>
          <w:b/>
          <w:sz w:val="22"/>
        </w:rPr>
        <w:t>to</w:t>
      </w:r>
      <w:r>
        <w:rPr>
          <w:b/>
          <w:spacing w:val="27"/>
          <w:sz w:val="22"/>
        </w:rPr>
        <w:t> </w:t>
      </w:r>
      <w:r>
        <w:rPr>
          <w:b/>
          <w:sz w:val="22"/>
        </w:rPr>
        <w:t>expand</w:t>
      </w:r>
      <w:r>
        <w:rPr>
          <w:b/>
          <w:spacing w:val="30"/>
          <w:sz w:val="22"/>
        </w:rPr>
        <w:t> </w:t>
      </w:r>
      <w:r>
        <w:rPr>
          <w:b/>
          <w:sz w:val="22"/>
        </w:rPr>
        <w:t>SOGIE</w:t>
      </w:r>
      <w:r>
        <w:rPr>
          <w:b/>
          <w:spacing w:val="27"/>
          <w:sz w:val="22"/>
        </w:rPr>
        <w:t> </w:t>
      </w:r>
      <w:r>
        <w:rPr>
          <w:b/>
          <w:sz w:val="22"/>
        </w:rPr>
        <w:t>data</w:t>
      </w:r>
      <w:r>
        <w:rPr>
          <w:b/>
          <w:spacing w:val="29"/>
          <w:sz w:val="22"/>
        </w:rPr>
        <w:t> </w:t>
      </w:r>
      <w:r>
        <w:rPr>
          <w:b/>
          <w:sz w:val="22"/>
        </w:rPr>
        <w:t>collection</w:t>
      </w:r>
      <w:r>
        <w:rPr>
          <w:b/>
          <w:spacing w:val="29"/>
          <w:sz w:val="22"/>
        </w:rPr>
        <w:t> </w:t>
      </w:r>
      <w:r>
        <w:rPr>
          <w:b/>
          <w:sz w:val="22"/>
        </w:rPr>
        <w:t>through</w:t>
      </w:r>
      <w:r>
        <w:rPr>
          <w:b/>
          <w:spacing w:val="29"/>
          <w:sz w:val="22"/>
        </w:rPr>
        <w:t> </w:t>
      </w:r>
      <w:r>
        <w:rPr>
          <w:b/>
          <w:sz w:val="22"/>
        </w:rPr>
        <w:t>DPH</w:t>
      </w:r>
      <w:r>
        <w:rPr>
          <w:b/>
          <w:spacing w:val="28"/>
          <w:sz w:val="22"/>
        </w:rPr>
        <w:t> </w:t>
      </w:r>
      <w:r>
        <w:rPr>
          <w:b/>
          <w:sz w:val="22"/>
        </w:rPr>
        <w:t>programs,</w:t>
      </w:r>
      <w:r>
        <w:rPr>
          <w:b/>
          <w:spacing w:val="29"/>
          <w:sz w:val="22"/>
        </w:rPr>
        <w:t> </w:t>
      </w:r>
      <w:r>
        <w:rPr>
          <w:b/>
          <w:sz w:val="22"/>
        </w:rPr>
        <w:t>with</w:t>
      </w:r>
      <w:r>
        <w:rPr>
          <w:b/>
          <w:spacing w:val="29"/>
          <w:sz w:val="22"/>
        </w:rPr>
        <w:t> </w:t>
      </w:r>
      <w:r>
        <w:rPr>
          <w:b/>
          <w:sz w:val="22"/>
        </w:rPr>
        <w:t>particular</w:t>
      </w:r>
      <w:r>
        <w:rPr>
          <w:b/>
          <w:spacing w:val="29"/>
          <w:sz w:val="22"/>
        </w:rPr>
        <w:t> </w:t>
      </w:r>
      <w:r>
        <w:rPr>
          <w:b/>
          <w:sz w:val="22"/>
        </w:rPr>
        <w:t>attention</w:t>
      </w:r>
      <w:r>
        <w:rPr>
          <w:b/>
          <w:spacing w:val="29"/>
          <w:sz w:val="22"/>
        </w:rPr>
        <w:t> </w:t>
      </w:r>
      <w:r>
        <w:rPr>
          <w:b/>
          <w:sz w:val="22"/>
        </w:rPr>
        <w:t>to pregnancy, parental mortality, and gender-affirming care services, and make data publicly available.</w:t>
      </w:r>
    </w:p>
    <w:p>
      <w:pPr>
        <w:pStyle w:val="BodyText"/>
        <w:spacing w:line="276" w:lineRule="auto" w:before="241"/>
        <w:ind w:left="483" w:right="341"/>
        <w:jc w:val="both"/>
      </w:pPr>
      <w:r>
        <w:rPr/>
        <w:t>For several years, DPH has been involved in robust efforts to ensure that its SOGIE data collection standards appropriately capture the experiences of LGBTQ communities. Over the last couple of years, the Commission has partnered with DPH’s internal SOGIE Data Working Group to help advise on a new set of data standards, which were completed in early 2024 and are up for leadership review. These data standards</w:t>
      </w:r>
      <w:r>
        <w:rPr>
          <w:spacing w:val="40"/>
        </w:rPr>
        <w:t> </w:t>
      </w:r>
      <w:r>
        <w:rPr/>
        <w:t>The Commission looks forward to continuing to work with DPH to ensure that all areas the agency collects data are reflective of these standards. One possible area of improvement is to examine any and all data collection related to pregnancy, maternal/parental</w:t>
      </w:r>
      <w:r>
        <w:rPr>
          <w:spacing w:val="-1"/>
        </w:rPr>
        <w:t> </w:t>
      </w:r>
      <w:r>
        <w:rPr/>
        <w:t>mortality, and</w:t>
      </w:r>
      <w:r>
        <w:rPr>
          <w:spacing w:val="-1"/>
        </w:rPr>
        <w:t> </w:t>
      </w:r>
      <w:r>
        <w:rPr/>
        <w:t>gender-affirming care services to ensure that it is LGBTQ- inclusive. As discussed in the Commission’s FY 2024 Pregnancy &amp; Gynecological</w:t>
      </w:r>
      <w:r>
        <w:rPr>
          <w:spacing w:val="-1"/>
        </w:rPr>
        <w:t> </w:t>
      </w:r>
      <w:r>
        <w:rPr/>
        <w:t>Health</w:t>
      </w:r>
      <w:r>
        <w:rPr>
          <w:spacing w:val="-1"/>
        </w:rPr>
        <w:t> </w:t>
      </w:r>
      <w:r>
        <w:rPr/>
        <w:t>report, little to no state data exists that is inclusive</w:t>
      </w:r>
      <w:r>
        <w:rPr>
          <w:spacing w:val="-1"/>
        </w:rPr>
        <w:t> </w:t>
      </w:r>
      <w:r>
        <w:rPr/>
        <w:t>of LGBTQ</w:t>
      </w:r>
      <w:r>
        <w:rPr>
          <w:spacing w:val="-1"/>
        </w:rPr>
        <w:t> </w:t>
      </w:r>
      <w:r>
        <w:rPr/>
        <w:t>identities as it</w:t>
      </w:r>
      <w:r>
        <w:rPr>
          <w:spacing w:val="-1"/>
        </w:rPr>
        <w:t> </w:t>
      </w:r>
      <w:r>
        <w:rPr/>
        <w:t>relates to</w:t>
      </w:r>
      <w:r>
        <w:rPr>
          <w:spacing w:val="-9"/>
        </w:rPr>
        <w:t> </w:t>
      </w:r>
      <w:r>
        <w:rPr/>
        <w:t>pregnancy</w:t>
      </w:r>
      <w:r>
        <w:rPr>
          <w:spacing w:val="-7"/>
        </w:rPr>
        <w:t> </w:t>
      </w:r>
      <w:r>
        <w:rPr/>
        <w:t>and</w:t>
      </w:r>
      <w:r>
        <w:rPr>
          <w:spacing w:val="-9"/>
        </w:rPr>
        <w:t> </w:t>
      </w:r>
      <w:r>
        <w:rPr/>
        <w:t>parental</w:t>
      </w:r>
      <w:r>
        <w:rPr>
          <w:spacing w:val="-8"/>
        </w:rPr>
        <w:t> </w:t>
      </w:r>
      <w:r>
        <w:rPr/>
        <w:t>mortality.</w:t>
      </w:r>
      <w:r>
        <w:rPr>
          <w:spacing w:val="-9"/>
        </w:rPr>
        <w:t> </w:t>
      </w:r>
      <w:r>
        <w:rPr/>
        <w:t>The</w:t>
      </w:r>
      <w:r>
        <w:rPr>
          <w:spacing w:val="-9"/>
        </w:rPr>
        <w:t> </w:t>
      </w:r>
      <w:r>
        <w:rPr/>
        <w:t>Commission</w:t>
      </w:r>
      <w:r>
        <w:rPr>
          <w:spacing w:val="-9"/>
        </w:rPr>
        <w:t> </w:t>
      </w:r>
      <w:r>
        <w:rPr/>
        <w:t>hopes</w:t>
      </w:r>
      <w:r>
        <w:rPr>
          <w:spacing w:val="-9"/>
        </w:rPr>
        <w:t> </w:t>
      </w:r>
      <w:r>
        <w:rPr/>
        <w:t>to</w:t>
      </w:r>
      <w:r>
        <w:rPr>
          <w:spacing w:val="-8"/>
        </w:rPr>
        <w:t> </w:t>
      </w:r>
      <w:r>
        <w:rPr/>
        <w:t>work</w:t>
      </w:r>
      <w:r>
        <w:rPr>
          <w:spacing w:val="-9"/>
        </w:rPr>
        <w:t> </w:t>
      </w:r>
      <w:r>
        <w:rPr/>
        <w:t>with</w:t>
      </w:r>
      <w:r>
        <w:rPr>
          <w:spacing w:val="-9"/>
        </w:rPr>
        <w:t> </w:t>
      </w:r>
      <w:r>
        <w:rPr/>
        <w:t>DPH</w:t>
      </w:r>
      <w:r>
        <w:rPr>
          <w:spacing w:val="-8"/>
        </w:rPr>
        <w:t> </w:t>
      </w:r>
      <w:r>
        <w:rPr/>
        <w:t>and</w:t>
      </w:r>
      <w:r>
        <w:rPr>
          <w:spacing w:val="-9"/>
        </w:rPr>
        <w:t> </w:t>
      </w:r>
      <w:r>
        <w:rPr/>
        <w:t>other</w:t>
      </w:r>
      <w:r>
        <w:rPr>
          <w:spacing w:val="-9"/>
        </w:rPr>
        <w:t> </w:t>
      </w:r>
      <w:r>
        <w:rPr/>
        <w:t>agency</w:t>
      </w:r>
      <w:r>
        <w:rPr>
          <w:spacing w:val="-9"/>
        </w:rPr>
        <w:t> </w:t>
      </w:r>
      <w:r>
        <w:rPr/>
        <w:t>partners in FY 2025 to examine how to improve this data to capture disparities and experiences.</w:t>
      </w:r>
    </w:p>
    <w:p>
      <w:pPr>
        <w:spacing w:after="0" w:line="276" w:lineRule="auto"/>
        <w:jc w:val="both"/>
        <w:sectPr>
          <w:pgSz w:w="12240" w:h="15840"/>
          <w:pgMar w:header="804" w:footer="1263" w:top="1000" w:bottom="1460" w:left="960" w:right="1100"/>
        </w:sectPr>
      </w:pPr>
    </w:p>
    <w:p>
      <w:pPr>
        <w:pStyle w:val="BodyText"/>
        <w:spacing w:before="98"/>
      </w:pPr>
    </w:p>
    <w:p>
      <w:pPr>
        <w:numPr>
          <w:ilvl w:val="0"/>
          <w:numId w:val="41"/>
        </w:numPr>
        <w:tabs>
          <w:tab w:pos="480" w:val="left" w:leader="none"/>
          <w:tab w:pos="483" w:val="left" w:leader="none"/>
        </w:tabs>
        <w:spacing w:line="276" w:lineRule="auto" w:before="0"/>
        <w:ind w:left="483" w:right="343" w:hanging="361"/>
        <w:jc w:val="left"/>
        <w:rPr>
          <w:b/>
          <w:sz w:val="22"/>
        </w:rPr>
      </w:pPr>
      <w:r>
        <w:rPr>
          <w:b/>
          <w:sz w:val="22"/>
        </w:rPr>
        <w:t>Partner</w:t>
      </w:r>
      <w:r>
        <w:rPr>
          <w:b/>
          <w:spacing w:val="-2"/>
          <w:sz w:val="22"/>
        </w:rPr>
        <w:t> </w:t>
      </w:r>
      <w:r>
        <w:rPr>
          <w:b/>
          <w:sz w:val="22"/>
        </w:rPr>
        <w:t>with</w:t>
      </w:r>
      <w:r>
        <w:rPr>
          <w:b/>
          <w:spacing w:val="-2"/>
          <w:sz w:val="22"/>
        </w:rPr>
        <w:t> </w:t>
      </w:r>
      <w:r>
        <w:rPr>
          <w:b/>
          <w:sz w:val="22"/>
        </w:rPr>
        <w:t>the</w:t>
      </w:r>
      <w:r>
        <w:rPr>
          <w:b/>
          <w:spacing w:val="-2"/>
          <w:sz w:val="22"/>
        </w:rPr>
        <w:t> </w:t>
      </w:r>
      <w:r>
        <w:rPr>
          <w:b/>
          <w:sz w:val="22"/>
        </w:rPr>
        <w:t>Commission</w:t>
      </w:r>
      <w:r>
        <w:rPr>
          <w:b/>
          <w:spacing w:val="-2"/>
          <w:sz w:val="22"/>
        </w:rPr>
        <w:t> </w:t>
      </w:r>
      <w:r>
        <w:rPr>
          <w:b/>
          <w:sz w:val="22"/>
        </w:rPr>
        <w:t>to</w:t>
      </w:r>
      <w:r>
        <w:rPr>
          <w:b/>
          <w:spacing w:val="-2"/>
          <w:sz w:val="22"/>
        </w:rPr>
        <w:t> </w:t>
      </w:r>
      <w:r>
        <w:rPr>
          <w:b/>
          <w:sz w:val="22"/>
        </w:rPr>
        <w:t>research</w:t>
      </w:r>
      <w:r>
        <w:rPr>
          <w:b/>
          <w:spacing w:val="-3"/>
          <w:sz w:val="22"/>
        </w:rPr>
        <w:t> </w:t>
      </w:r>
      <w:r>
        <w:rPr>
          <w:b/>
          <w:sz w:val="22"/>
        </w:rPr>
        <w:t>the</w:t>
      </w:r>
      <w:r>
        <w:rPr>
          <w:b/>
          <w:spacing w:val="-3"/>
          <w:sz w:val="22"/>
        </w:rPr>
        <w:t> </w:t>
      </w:r>
      <w:r>
        <w:rPr>
          <w:b/>
          <w:sz w:val="22"/>
        </w:rPr>
        <w:t>needs</w:t>
      </w:r>
      <w:r>
        <w:rPr>
          <w:b/>
          <w:spacing w:val="-2"/>
          <w:sz w:val="22"/>
        </w:rPr>
        <w:t> </w:t>
      </w:r>
      <w:r>
        <w:rPr>
          <w:b/>
          <w:sz w:val="22"/>
        </w:rPr>
        <w:t>of</w:t>
      </w:r>
      <w:r>
        <w:rPr>
          <w:b/>
          <w:spacing w:val="-3"/>
          <w:sz w:val="22"/>
        </w:rPr>
        <w:t> </w:t>
      </w:r>
      <w:r>
        <w:rPr>
          <w:b/>
          <w:sz w:val="22"/>
        </w:rPr>
        <w:t>LGBTQ</w:t>
      </w:r>
      <w:r>
        <w:rPr>
          <w:b/>
          <w:spacing w:val="-2"/>
          <w:sz w:val="22"/>
        </w:rPr>
        <w:t> </w:t>
      </w:r>
      <w:r>
        <w:rPr>
          <w:b/>
          <w:sz w:val="22"/>
        </w:rPr>
        <w:t>transition-aged</w:t>
      </w:r>
      <w:r>
        <w:rPr>
          <w:b/>
          <w:spacing w:val="-1"/>
          <w:sz w:val="22"/>
        </w:rPr>
        <w:t> </w:t>
      </w:r>
      <w:r>
        <w:rPr>
          <w:b/>
          <w:sz w:val="22"/>
        </w:rPr>
        <w:t>youth</w:t>
      </w:r>
      <w:r>
        <w:rPr>
          <w:b/>
          <w:spacing w:val="-2"/>
          <w:sz w:val="22"/>
        </w:rPr>
        <w:t> </w:t>
      </w:r>
      <w:r>
        <w:rPr>
          <w:b/>
          <w:sz w:val="22"/>
        </w:rPr>
        <w:t>with</w:t>
      </w:r>
      <w:r>
        <w:rPr>
          <w:b/>
          <w:spacing w:val="-3"/>
          <w:sz w:val="22"/>
        </w:rPr>
        <w:t> </w:t>
      </w:r>
      <w:r>
        <w:rPr>
          <w:b/>
          <w:sz w:val="22"/>
        </w:rPr>
        <w:t>multisystem- </w:t>
      </w:r>
      <w:r>
        <w:rPr>
          <w:b/>
          <w:spacing w:val="-2"/>
          <w:sz w:val="22"/>
        </w:rPr>
        <w:t>involvement.</w:t>
      </w:r>
    </w:p>
    <w:p>
      <w:pPr>
        <w:pStyle w:val="BodyText"/>
        <w:spacing w:line="276" w:lineRule="auto" w:before="240"/>
        <w:ind w:left="483" w:right="342"/>
        <w:jc w:val="both"/>
      </w:pPr>
      <w:r>
        <w:rPr/>
        <w:t>Over the course of this annual report, the Commission has detailed the necessity of youth-serving state entities</w:t>
      </w:r>
      <w:r>
        <w:rPr>
          <w:spacing w:val="-4"/>
        </w:rPr>
        <w:t> </w:t>
      </w:r>
      <w:r>
        <w:rPr/>
        <w:t>collaborating</w:t>
      </w:r>
      <w:r>
        <w:rPr>
          <w:spacing w:val="-5"/>
        </w:rPr>
        <w:t> </w:t>
      </w:r>
      <w:r>
        <w:rPr/>
        <w:t>on</w:t>
      </w:r>
      <w:r>
        <w:rPr>
          <w:spacing w:val="-4"/>
        </w:rPr>
        <w:t> </w:t>
      </w:r>
      <w:r>
        <w:rPr/>
        <w:t>a</w:t>
      </w:r>
      <w:r>
        <w:rPr>
          <w:spacing w:val="-4"/>
        </w:rPr>
        <w:t> </w:t>
      </w:r>
      <w:r>
        <w:rPr/>
        <w:t>macro-level</w:t>
      </w:r>
      <w:r>
        <w:rPr>
          <w:spacing w:val="-3"/>
        </w:rPr>
        <w:t> </w:t>
      </w:r>
      <w:r>
        <w:rPr/>
        <w:t>to</w:t>
      </w:r>
      <w:r>
        <w:rPr>
          <w:spacing w:val="-5"/>
        </w:rPr>
        <w:t> </w:t>
      </w:r>
      <w:r>
        <w:rPr/>
        <w:t>ensure</w:t>
      </w:r>
      <w:r>
        <w:rPr>
          <w:spacing w:val="-4"/>
        </w:rPr>
        <w:t> </w:t>
      </w:r>
      <w:r>
        <w:rPr/>
        <w:t>that</w:t>
      </w:r>
      <w:r>
        <w:rPr>
          <w:spacing w:val="-4"/>
        </w:rPr>
        <w:t> </w:t>
      </w:r>
      <w:r>
        <w:rPr/>
        <w:t>the</w:t>
      </w:r>
      <w:r>
        <w:rPr>
          <w:spacing w:val="-4"/>
        </w:rPr>
        <w:t> </w:t>
      </w:r>
      <w:r>
        <w:rPr/>
        <w:t>needs</w:t>
      </w:r>
      <w:r>
        <w:rPr>
          <w:spacing w:val="-3"/>
        </w:rPr>
        <w:t> </w:t>
      </w:r>
      <w:r>
        <w:rPr/>
        <w:t>of</w:t>
      </w:r>
      <w:r>
        <w:rPr>
          <w:spacing w:val="-4"/>
        </w:rPr>
        <w:t> </w:t>
      </w:r>
      <w:r>
        <w:rPr/>
        <w:t>youth</w:t>
      </w:r>
      <w:r>
        <w:rPr>
          <w:spacing w:val="-5"/>
        </w:rPr>
        <w:t> </w:t>
      </w:r>
      <w:r>
        <w:rPr/>
        <w:t>are</w:t>
      </w:r>
      <w:r>
        <w:rPr>
          <w:spacing w:val="-4"/>
        </w:rPr>
        <w:t> </w:t>
      </w:r>
      <w:r>
        <w:rPr/>
        <w:t>not</w:t>
      </w:r>
      <w:r>
        <w:rPr>
          <w:spacing w:val="-4"/>
        </w:rPr>
        <w:t> </w:t>
      </w:r>
      <w:r>
        <w:rPr/>
        <w:t>falling</w:t>
      </w:r>
      <w:r>
        <w:rPr>
          <w:spacing w:val="-4"/>
        </w:rPr>
        <w:t> </w:t>
      </w:r>
      <w:r>
        <w:rPr/>
        <w:t>through</w:t>
      </w:r>
      <w:r>
        <w:rPr>
          <w:spacing w:val="-5"/>
        </w:rPr>
        <w:t> </w:t>
      </w:r>
      <w:r>
        <w:rPr/>
        <w:t>systemic cracks. However, little research currently exists that examines the widespread experiences of transition- aged youth with multisystem-involvement in Massachusetts, which the Commission hopes to resolve in the upcoming fiscal year. DPH often contracts out services, so understanding who engages with which services and systems may not always be feasible. However, the Commission notes that there could be a potential avenue through DPH’s contract quality assurance areas to add in. The Commission hopes to collaborate with DPH on this research initiative to better understand where gaps in state agency service provision are occurring, and potential solutions.</w:t>
      </w:r>
    </w:p>
    <w:p>
      <w:pPr>
        <w:numPr>
          <w:ilvl w:val="0"/>
          <w:numId w:val="41"/>
        </w:numPr>
        <w:tabs>
          <w:tab w:pos="481" w:val="left" w:leader="none"/>
        </w:tabs>
        <w:spacing w:before="240"/>
        <w:ind w:left="481" w:right="0" w:hanging="358"/>
        <w:jc w:val="left"/>
        <w:rPr>
          <w:b/>
          <w:sz w:val="22"/>
        </w:rPr>
      </w:pPr>
      <w:r>
        <w:rPr>
          <w:b/>
          <w:sz w:val="22"/>
        </w:rPr>
        <w:t>Increase</w:t>
      </w:r>
      <w:r>
        <w:rPr>
          <w:b/>
          <w:spacing w:val="-10"/>
          <w:sz w:val="22"/>
        </w:rPr>
        <w:t> </w:t>
      </w:r>
      <w:r>
        <w:rPr>
          <w:b/>
          <w:sz w:val="22"/>
        </w:rPr>
        <w:t>community</w:t>
      </w:r>
      <w:r>
        <w:rPr>
          <w:b/>
          <w:spacing w:val="-9"/>
          <w:sz w:val="22"/>
        </w:rPr>
        <w:t> </w:t>
      </w:r>
      <w:r>
        <w:rPr>
          <w:b/>
          <w:sz w:val="22"/>
        </w:rPr>
        <w:t>research</w:t>
      </w:r>
      <w:r>
        <w:rPr>
          <w:b/>
          <w:spacing w:val="-10"/>
          <w:sz w:val="22"/>
        </w:rPr>
        <w:t> </w:t>
      </w:r>
      <w:r>
        <w:rPr>
          <w:b/>
          <w:sz w:val="22"/>
        </w:rPr>
        <w:t>initiatives</w:t>
      </w:r>
      <w:r>
        <w:rPr>
          <w:b/>
          <w:spacing w:val="-10"/>
          <w:sz w:val="22"/>
        </w:rPr>
        <w:t> </w:t>
      </w:r>
      <w:r>
        <w:rPr>
          <w:b/>
          <w:sz w:val="22"/>
        </w:rPr>
        <w:t>to</w:t>
      </w:r>
      <w:r>
        <w:rPr>
          <w:b/>
          <w:spacing w:val="-10"/>
          <w:sz w:val="22"/>
        </w:rPr>
        <w:t> </w:t>
      </w:r>
      <w:r>
        <w:rPr>
          <w:b/>
          <w:sz w:val="22"/>
        </w:rPr>
        <w:t>better</w:t>
      </w:r>
      <w:r>
        <w:rPr>
          <w:b/>
          <w:spacing w:val="-9"/>
          <w:sz w:val="22"/>
        </w:rPr>
        <w:t> </w:t>
      </w:r>
      <w:r>
        <w:rPr>
          <w:b/>
          <w:sz w:val="22"/>
        </w:rPr>
        <w:t>address</w:t>
      </w:r>
      <w:r>
        <w:rPr>
          <w:b/>
          <w:spacing w:val="-10"/>
          <w:sz w:val="22"/>
        </w:rPr>
        <w:t> </w:t>
      </w:r>
      <w:r>
        <w:rPr>
          <w:b/>
          <w:sz w:val="22"/>
        </w:rPr>
        <w:t>health</w:t>
      </w:r>
      <w:r>
        <w:rPr>
          <w:b/>
          <w:spacing w:val="-10"/>
          <w:sz w:val="22"/>
        </w:rPr>
        <w:t> </w:t>
      </w:r>
      <w:r>
        <w:rPr>
          <w:b/>
          <w:spacing w:val="-2"/>
          <w:sz w:val="22"/>
        </w:rPr>
        <w:t>inequities.</w:t>
      </w:r>
    </w:p>
    <w:p>
      <w:pPr>
        <w:pStyle w:val="BodyText"/>
        <w:spacing w:before="11"/>
        <w:rPr>
          <w:b/>
        </w:rPr>
      </w:pPr>
    </w:p>
    <w:p>
      <w:pPr>
        <w:pStyle w:val="BodyText"/>
        <w:spacing w:line="276" w:lineRule="auto"/>
        <w:ind w:left="483" w:right="341"/>
        <w:jc w:val="both"/>
      </w:pPr>
      <w:r>
        <w:rPr/>
        <w:t>Of the many strengths of the Department of Public Health, its research initiatives, particularly its Community Health Equity Survey, are some of the most critical work to addressing LGBTQ health inequities in Massachusetts. The Commission sincerely appreciates the attention that DPH has paid to filling significant gaps in Black maternal health research, and its continuing review of its SOGIE data standards.</w:t>
      </w:r>
      <w:r>
        <w:rPr>
          <w:spacing w:val="-7"/>
        </w:rPr>
        <w:t> </w:t>
      </w:r>
      <w:r>
        <w:rPr/>
        <w:t>As</w:t>
      </w:r>
      <w:r>
        <w:rPr>
          <w:spacing w:val="-5"/>
        </w:rPr>
        <w:t> </w:t>
      </w:r>
      <w:r>
        <w:rPr/>
        <w:t>data</w:t>
      </w:r>
      <w:r>
        <w:rPr>
          <w:spacing w:val="-5"/>
        </w:rPr>
        <w:t> </w:t>
      </w:r>
      <w:r>
        <w:rPr/>
        <w:t>trends</w:t>
      </w:r>
      <w:r>
        <w:rPr>
          <w:spacing w:val="-5"/>
        </w:rPr>
        <w:t> </w:t>
      </w:r>
      <w:r>
        <w:rPr/>
        <w:t>become</w:t>
      </w:r>
      <w:r>
        <w:rPr>
          <w:spacing w:val="-5"/>
        </w:rPr>
        <w:t> </w:t>
      </w:r>
      <w:r>
        <w:rPr/>
        <w:t>apparent</w:t>
      </w:r>
      <w:r>
        <w:rPr>
          <w:spacing w:val="-7"/>
        </w:rPr>
        <w:t> </w:t>
      </w:r>
      <w:r>
        <w:rPr/>
        <w:t>in</w:t>
      </w:r>
      <w:r>
        <w:rPr>
          <w:spacing w:val="-7"/>
        </w:rPr>
        <w:t> </w:t>
      </w:r>
      <w:r>
        <w:rPr/>
        <w:t>DPH’s</w:t>
      </w:r>
      <w:r>
        <w:rPr>
          <w:spacing w:val="-5"/>
        </w:rPr>
        <w:t> </w:t>
      </w:r>
      <w:r>
        <w:rPr/>
        <w:t>recent</w:t>
      </w:r>
      <w:r>
        <w:rPr>
          <w:spacing w:val="-7"/>
        </w:rPr>
        <w:t> </w:t>
      </w:r>
      <w:r>
        <w:rPr/>
        <w:t>CHES,</w:t>
      </w:r>
      <w:r>
        <w:rPr>
          <w:spacing w:val="-5"/>
        </w:rPr>
        <w:t> </w:t>
      </w:r>
      <w:r>
        <w:rPr/>
        <w:t>the</w:t>
      </w:r>
      <w:r>
        <w:rPr>
          <w:spacing w:val="-5"/>
        </w:rPr>
        <w:t> </w:t>
      </w:r>
      <w:r>
        <w:rPr/>
        <w:t>Commission</w:t>
      </w:r>
      <w:r>
        <w:rPr>
          <w:spacing w:val="-7"/>
        </w:rPr>
        <w:t> </w:t>
      </w:r>
      <w:r>
        <w:rPr/>
        <w:t>strongly</w:t>
      </w:r>
      <w:r>
        <w:rPr>
          <w:spacing w:val="-6"/>
        </w:rPr>
        <w:t> </w:t>
      </w:r>
      <w:r>
        <w:rPr/>
        <w:t>recommends that</w:t>
      </w:r>
      <w:r>
        <w:rPr>
          <w:spacing w:val="-12"/>
        </w:rPr>
        <w:t> </w:t>
      </w:r>
      <w:r>
        <w:rPr/>
        <w:t>DPH</w:t>
      </w:r>
      <w:r>
        <w:rPr>
          <w:spacing w:val="-11"/>
        </w:rPr>
        <w:t> </w:t>
      </w:r>
      <w:r>
        <w:rPr/>
        <w:t>utilize</w:t>
      </w:r>
      <w:r>
        <w:rPr>
          <w:spacing w:val="-11"/>
        </w:rPr>
        <w:t> </w:t>
      </w:r>
      <w:r>
        <w:rPr/>
        <w:t>this</w:t>
      </w:r>
      <w:r>
        <w:rPr>
          <w:spacing w:val="-11"/>
        </w:rPr>
        <w:t> </w:t>
      </w:r>
      <w:r>
        <w:rPr/>
        <w:t>information</w:t>
      </w:r>
      <w:r>
        <w:rPr>
          <w:spacing w:val="-11"/>
        </w:rPr>
        <w:t> </w:t>
      </w:r>
      <w:r>
        <w:rPr/>
        <w:t>to</w:t>
      </w:r>
      <w:r>
        <w:rPr>
          <w:spacing w:val="-12"/>
        </w:rPr>
        <w:t> </w:t>
      </w:r>
      <w:r>
        <w:rPr/>
        <w:t>better</w:t>
      </w:r>
      <w:r>
        <w:rPr>
          <w:spacing w:val="-12"/>
        </w:rPr>
        <w:t> </w:t>
      </w:r>
      <w:r>
        <w:rPr/>
        <w:t>identify</w:t>
      </w:r>
      <w:r>
        <w:rPr>
          <w:spacing w:val="-11"/>
        </w:rPr>
        <w:t> </w:t>
      </w:r>
      <w:r>
        <w:rPr/>
        <w:t>health</w:t>
      </w:r>
      <w:r>
        <w:rPr>
          <w:spacing w:val="-11"/>
        </w:rPr>
        <w:t> </w:t>
      </w:r>
      <w:r>
        <w:rPr/>
        <w:t>inequity</w:t>
      </w:r>
      <w:r>
        <w:rPr>
          <w:spacing w:val="-11"/>
        </w:rPr>
        <w:t> </w:t>
      </w:r>
      <w:r>
        <w:rPr/>
        <w:t>priorities,</w:t>
      </w:r>
      <w:r>
        <w:rPr>
          <w:spacing w:val="-12"/>
        </w:rPr>
        <w:t> </w:t>
      </w:r>
      <w:r>
        <w:rPr/>
        <w:t>particularly</w:t>
      </w:r>
      <w:r>
        <w:rPr>
          <w:spacing w:val="-12"/>
        </w:rPr>
        <w:t> </w:t>
      </w:r>
      <w:r>
        <w:rPr/>
        <w:t>relating</w:t>
      </w:r>
      <w:r>
        <w:rPr>
          <w:spacing w:val="-11"/>
        </w:rPr>
        <w:t> </w:t>
      </w:r>
      <w:r>
        <w:rPr/>
        <w:t>to</w:t>
      </w:r>
      <w:r>
        <w:rPr>
          <w:spacing w:val="-11"/>
        </w:rPr>
        <w:t> </w:t>
      </w:r>
      <w:r>
        <w:rPr/>
        <w:t>LGBTQ health concerns.</w:t>
      </w:r>
    </w:p>
    <w:p>
      <w:pPr>
        <w:pStyle w:val="BodyText"/>
      </w:pPr>
    </w:p>
    <w:p>
      <w:pPr>
        <w:pStyle w:val="BodyText"/>
        <w:spacing w:before="239"/>
      </w:pPr>
    </w:p>
    <w:p>
      <w:pPr>
        <w:spacing w:before="0"/>
        <w:ind w:left="483" w:right="0" w:firstLine="0"/>
        <w:jc w:val="left"/>
        <w:rPr>
          <w:i/>
          <w:sz w:val="21"/>
        </w:rPr>
      </w:pPr>
      <w:r>
        <w:rPr>
          <w:i/>
          <w:sz w:val="21"/>
        </w:rPr>
        <w:t>Acknowledgments:</w:t>
      </w:r>
      <w:r>
        <w:rPr>
          <w:i/>
          <w:spacing w:val="-5"/>
          <w:sz w:val="21"/>
        </w:rPr>
        <w:t> </w:t>
      </w:r>
      <w:r>
        <w:rPr>
          <w:i/>
          <w:sz w:val="21"/>
        </w:rPr>
        <w:t>The</w:t>
      </w:r>
      <w:r>
        <w:rPr>
          <w:i/>
          <w:spacing w:val="-2"/>
          <w:sz w:val="21"/>
        </w:rPr>
        <w:t> </w:t>
      </w:r>
      <w:r>
        <w:rPr>
          <w:i/>
          <w:sz w:val="21"/>
        </w:rPr>
        <w:t>Commission</w:t>
      </w:r>
      <w:r>
        <w:rPr>
          <w:i/>
          <w:spacing w:val="-2"/>
          <w:sz w:val="21"/>
        </w:rPr>
        <w:t> </w:t>
      </w:r>
      <w:r>
        <w:rPr>
          <w:i/>
          <w:sz w:val="21"/>
        </w:rPr>
        <w:t>sincerely</w:t>
      </w:r>
      <w:r>
        <w:rPr>
          <w:i/>
          <w:spacing w:val="-3"/>
          <w:sz w:val="21"/>
        </w:rPr>
        <w:t> </w:t>
      </w:r>
      <w:r>
        <w:rPr>
          <w:i/>
          <w:sz w:val="21"/>
        </w:rPr>
        <w:t>thanks</w:t>
      </w:r>
      <w:r>
        <w:rPr>
          <w:i/>
          <w:spacing w:val="-4"/>
          <w:sz w:val="21"/>
        </w:rPr>
        <w:t> </w:t>
      </w:r>
      <w:r>
        <w:rPr>
          <w:i/>
          <w:sz w:val="21"/>
        </w:rPr>
        <w:t>the</w:t>
      </w:r>
      <w:r>
        <w:rPr>
          <w:i/>
          <w:spacing w:val="-3"/>
          <w:sz w:val="21"/>
        </w:rPr>
        <w:t> </w:t>
      </w:r>
      <w:r>
        <w:rPr>
          <w:i/>
          <w:sz w:val="21"/>
        </w:rPr>
        <w:t>contributions</w:t>
      </w:r>
      <w:r>
        <w:rPr>
          <w:i/>
          <w:spacing w:val="-4"/>
          <w:sz w:val="21"/>
        </w:rPr>
        <w:t> </w:t>
      </w:r>
      <w:r>
        <w:rPr>
          <w:i/>
          <w:sz w:val="21"/>
        </w:rPr>
        <w:t>of</w:t>
      </w:r>
      <w:r>
        <w:rPr>
          <w:i/>
          <w:spacing w:val="-3"/>
          <w:sz w:val="21"/>
        </w:rPr>
        <w:t> </w:t>
      </w:r>
      <w:r>
        <w:rPr>
          <w:i/>
          <w:sz w:val="21"/>
        </w:rPr>
        <w:t>its</w:t>
      </w:r>
      <w:r>
        <w:rPr>
          <w:i/>
          <w:spacing w:val="-2"/>
          <w:sz w:val="21"/>
        </w:rPr>
        <w:t> </w:t>
      </w:r>
      <w:r>
        <w:rPr>
          <w:i/>
          <w:sz w:val="21"/>
        </w:rPr>
        <w:t>DPH</w:t>
      </w:r>
      <w:r>
        <w:rPr>
          <w:i/>
          <w:spacing w:val="-3"/>
          <w:sz w:val="21"/>
        </w:rPr>
        <w:t> </w:t>
      </w:r>
      <w:r>
        <w:rPr>
          <w:i/>
          <w:sz w:val="21"/>
        </w:rPr>
        <w:t>agency</w:t>
      </w:r>
      <w:r>
        <w:rPr>
          <w:i/>
          <w:spacing w:val="-2"/>
          <w:sz w:val="21"/>
        </w:rPr>
        <w:t> liaisons.</w:t>
      </w:r>
    </w:p>
    <w:p>
      <w:pPr>
        <w:pStyle w:val="BodyText"/>
        <w:spacing w:before="21"/>
        <w:rPr>
          <w:i/>
          <w:sz w:val="21"/>
        </w:rPr>
      </w:pPr>
    </w:p>
    <w:p>
      <w:pPr>
        <w:spacing w:before="0"/>
        <w:ind w:left="483" w:right="0" w:firstLine="0"/>
        <w:jc w:val="left"/>
        <w:rPr>
          <w:b/>
          <w:sz w:val="21"/>
        </w:rPr>
      </w:pPr>
      <w:r>
        <w:rPr>
          <w:b/>
          <w:spacing w:val="-2"/>
          <w:sz w:val="21"/>
        </w:rPr>
        <w:t>Citations</w:t>
      </w:r>
    </w:p>
    <w:p>
      <w:pPr>
        <w:pStyle w:val="BodyText"/>
        <w:spacing w:before="41"/>
        <w:rPr>
          <w:b/>
          <w:sz w:val="21"/>
        </w:rPr>
      </w:pPr>
    </w:p>
    <w:p>
      <w:pPr>
        <w:spacing w:line="288" w:lineRule="auto" w:before="1"/>
        <w:ind w:left="483" w:right="342" w:firstLine="0"/>
        <w:jc w:val="both"/>
        <w:rPr>
          <w:sz w:val="18"/>
        </w:rPr>
      </w:pPr>
      <w:r>
        <w:rPr>
          <w:sz w:val="18"/>
          <w:vertAlign w:val="superscript"/>
        </w:rPr>
        <w:t>1</w:t>
      </w:r>
      <w:r>
        <w:rPr>
          <w:spacing w:val="-4"/>
          <w:sz w:val="18"/>
          <w:vertAlign w:val="baseline"/>
        </w:rPr>
        <w:t> </w:t>
      </w:r>
      <w:r>
        <w:rPr>
          <w:sz w:val="18"/>
          <w:vertAlign w:val="baseline"/>
        </w:rPr>
        <w:t>Department of Public Health, “Racial Equity Data Road Map: Data as a Tool Towards Ending Structural Racism,” October 12, 2020,</w:t>
      </w:r>
      <w:r>
        <w:rPr>
          <w:spacing w:val="-2"/>
          <w:sz w:val="18"/>
          <w:vertAlign w:val="baseline"/>
        </w:rPr>
        <w:t> </w:t>
      </w:r>
      <w:r>
        <w:rPr>
          <w:sz w:val="18"/>
          <w:vertAlign w:val="baseline"/>
        </w:rPr>
        <w:t>https://</w:t>
      </w:r>
      <w:hyperlink r:id="rId747">
        <w:r>
          <w:rPr>
            <w:sz w:val="18"/>
            <w:vertAlign w:val="baseline"/>
          </w:rPr>
          <w:t>www.mass.gov/doc/racial-equity-data-road-map-pdf/download.</w:t>
        </w:r>
      </w:hyperlink>
    </w:p>
    <w:p>
      <w:pPr>
        <w:spacing w:after="0" w:line="288" w:lineRule="auto"/>
        <w:jc w:val="both"/>
        <w:rPr>
          <w:sz w:val="18"/>
        </w:rPr>
        <w:sectPr>
          <w:pgSz w:w="12240" w:h="15840"/>
          <w:pgMar w:header="804" w:footer="1263" w:top="1000" w:bottom="1460" w:left="960" w:right="1100"/>
        </w:sectPr>
      </w:pPr>
    </w:p>
    <w:p>
      <w:pPr>
        <w:pStyle w:val="BodyText"/>
        <w:rPr>
          <w:sz w:val="20"/>
        </w:rPr>
      </w:pPr>
    </w:p>
    <w:p>
      <w:pPr>
        <w:pStyle w:val="BodyText"/>
        <w:rPr>
          <w:sz w:val="20"/>
        </w:rPr>
      </w:pPr>
    </w:p>
    <w:p>
      <w:pPr>
        <w:pStyle w:val="BodyText"/>
        <w:spacing w:before="73" w:after="1"/>
        <w:rPr>
          <w:sz w:val="20"/>
        </w:rPr>
      </w:pPr>
    </w:p>
    <w:p>
      <w:pPr>
        <w:pStyle w:val="BodyText"/>
        <w:spacing w:line="20" w:lineRule="exact"/>
        <w:ind w:left="440"/>
        <w:rPr>
          <w:sz w:val="2"/>
        </w:rPr>
      </w:pPr>
      <w:r>
        <w:rPr>
          <w:sz w:val="2"/>
        </w:rPr>
        <mc:AlternateContent>
          <mc:Choice Requires="wps">
            <w:drawing>
              <wp:inline distT="0" distB="0" distL="0" distR="0">
                <wp:extent cx="6350" cy="12700"/>
                <wp:effectExtent l="0" t="0" r="0" b="0"/>
                <wp:docPr id="611" name="Group 611"/>
                <wp:cNvGraphicFramePr>
                  <a:graphicFrameLocks/>
                </wp:cNvGraphicFramePr>
                <a:graphic>
                  <a:graphicData uri="http://schemas.microsoft.com/office/word/2010/wordprocessingGroup">
                    <wpg:wgp>
                      <wpg:cNvPr id="611" name="Group 611"/>
                      <wpg:cNvGrpSpPr/>
                      <wpg:grpSpPr>
                        <a:xfrm>
                          <a:off x="0" y="0"/>
                          <a:ext cx="6350" cy="12700"/>
                          <a:chExt cx="6350" cy="12700"/>
                        </a:xfrm>
                      </wpg:grpSpPr>
                      <wps:wsp>
                        <wps:cNvPr id="612" name="Graphic 612"/>
                        <wps:cNvSpPr/>
                        <wps:spPr>
                          <a:xfrm>
                            <a:off x="0" y="0"/>
                            <a:ext cx="6350" cy="12700"/>
                          </a:xfrm>
                          <a:custGeom>
                            <a:avLst/>
                            <a:gdLst/>
                            <a:ahLst/>
                            <a:cxnLst/>
                            <a:rect l="l" t="t" r="r" b="b"/>
                            <a:pathLst>
                              <a:path w="6350" h="12700">
                                <a:moveTo>
                                  <a:pt x="6337" y="0"/>
                                </a:moveTo>
                                <a:lnTo>
                                  <a:pt x="0" y="0"/>
                                </a:lnTo>
                                <a:lnTo>
                                  <a:pt x="0" y="12192"/>
                                </a:lnTo>
                                <a:lnTo>
                                  <a:pt x="6337" y="12192"/>
                                </a:lnTo>
                                <a:lnTo>
                                  <a:pt x="6337" y="0"/>
                                </a:lnTo>
                                <a:close/>
                              </a:path>
                            </a:pathLst>
                          </a:custGeom>
                          <a:solidFill>
                            <a:srgbClr val="4F81BB"/>
                          </a:solidFill>
                        </wps:spPr>
                        <wps:bodyPr wrap="square" lIns="0" tIns="0" rIns="0" bIns="0" rtlCol="0">
                          <a:prstTxWarp prst="textNoShape">
                            <a:avLst/>
                          </a:prstTxWarp>
                          <a:noAutofit/>
                        </wps:bodyPr>
                      </wps:wsp>
                    </wpg:wgp>
                  </a:graphicData>
                </a:graphic>
              </wp:inline>
            </w:drawing>
          </mc:Choice>
          <mc:Fallback>
            <w:pict>
              <v:group style="width:.5pt;height:1pt;mso-position-horizontal-relative:char;mso-position-vertical-relative:line" id="docshapegroup508" coordorigin="0,0" coordsize="10,20">
                <v:rect style="position:absolute;left:0;top:0;width:10;height:20" id="docshape509" filled="true" fillcolor="#4f81bb" stroked="false">
                  <v:fill type="solid"/>
                </v:rect>
              </v:group>
            </w:pict>
          </mc:Fallback>
        </mc:AlternateContent>
      </w:r>
      <w:r>
        <w:rPr>
          <w:sz w:val="2"/>
        </w:rPr>
      </w:r>
    </w:p>
    <w:p>
      <w:pPr>
        <w:pStyle w:val="Heading7"/>
      </w:pPr>
      <w:bookmarkStart w:name="_bookmark637" w:id="944"/>
      <w:bookmarkEnd w:id="944"/>
      <w:r>
        <w:rPr/>
      </w:r>
      <w:hyperlink w:history="true" w:anchor="_bookmark6">
        <w:r>
          <w:rPr>
            <w:color w:val="365F91"/>
            <w:spacing w:val="-2"/>
          </w:rPr>
          <w:t>MassHealth</w:t>
        </w:r>
      </w:hyperlink>
    </w:p>
    <w:p>
      <w:pPr>
        <w:pStyle w:val="BodyText"/>
        <w:spacing w:before="145"/>
        <w:rPr>
          <w:sz w:val="20"/>
        </w:rPr>
      </w:pPr>
      <w:r>
        <w:rPr/>
        <mc:AlternateContent>
          <mc:Choice Requires="wps">
            <w:drawing>
              <wp:anchor distT="0" distB="0" distL="0" distR="0" allowOverlap="1" layoutInCell="1" locked="0" behindDoc="1" simplePos="0" relativeHeight="487710208">
                <wp:simplePos x="0" y="0"/>
                <wp:positionH relativeFrom="page">
                  <wp:posOffset>889000</wp:posOffset>
                </wp:positionH>
                <wp:positionV relativeFrom="paragraph">
                  <wp:posOffset>262419</wp:posOffset>
                </wp:positionV>
                <wp:extent cx="6350" cy="12700"/>
                <wp:effectExtent l="0" t="0" r="0" b="0"/>
                <wp:wrapTopAndBottom/>
                <wp:docPr id="613" name="Graphic 613"/>
                <wp:cNvGraphicFramePr>
                  <a:graphicFrameLocks/>
                </wp:cNvGraphicFramePr>
                <a:graphic>
                  <a:graphicData uri="http://schemas.microsoft.com/office/word/2010/wordprocessingShape">
                    <wps:wsp>
                      <wps:cNvPr id="613" name="Graphic 613"/>
                      <wps:cNvSpPr/>
                      <wps:spPr>
                        <a:xfrm>
                          <a:off x="0" y="0"/>
                          <a:ext cx="6350" cy="12700"/>
                        </a:xfrm>
                        <a:custGeom>
                          <a:avLst/>
                          <a:gdLst/>
                          <a:ahLst/>
                          <a:cxnLst/>
                          <a:rect l="l" t="t" r="r" b="b"/>
                          <a:pathLst>
                            <a:path w="6350" h="12700">
                              <a:moveTo>
                                <a:pt x="6337" y="0"/>
                              </a:moveTo>
                              <a:lnTo>
                                <a:pt x="0" y="0"/>
                              </a:lnTo>
                              <a:lnTo>
                                <a:pt x="0" y="12192"/>
                              </a:lnTo>
                              <a:lnTo>
                                <a:pt x="6337" y="12192"/>
                              </a:lnTo>
                              <a:lnTo>
                                <a:pt x="6337" y="0"/>
                              </a:lnTo>
                              <a:close/>
                            </a:path>
                          </a:pathLst>
                        </a:custGeom>
                        <a:solidFill>
                          <a:srgbClr val="4F81BB"/>
                        </a:solidFill>
                      </wps:spPr>
                      <wps:bodyPr wrap="square" lIns="0" tIns="0" rIns="0" bIns="0" rtlCol="0">
                        <a:prstTxWarp prst="textNoShape">
                          <a:avLst/>
                        </a:prstTxWarp>
                        <a:noAutofit/>
                      </wps:bodyPr>
                    </wps:wsp>
                  </a:graphicData>
                </a:graphic>
              </wp:anchor>
            </w:drawing>
          </mc:Choice>
          <mc:Fallback>
            <w:pict>
              <v:rect style="position:absolute;margin-left:70pt;margin-top:20.662937pt;width:.499pt;height:.96pt;mso-position-horizontal-relative:page;mso-position-vertical-relative:paragraph;z-index:-15606272;mso-wrap-distance-left:0;mso-wrap-distance-right:0" id="docshape510" filled="true" fillcolor="#4f81bb" stroked="false">
                <v:fill type="solid"/>
                <w10:wrap type="topAndBottom"/>
              </v:rect>
            </w:pict>
          </mc:Fallback>
        </mc:AlternateContent>
      </w:r>
    </w:p>
    <w:p>
      <w:pPr>
        <w:spacing w:before="0"/>
        <w:ind w:left="483" w:right="0" w:firstLine="0"/>
        <w:jc w:val="left"/>
        <w:rPr>
          <w:sz w:val="28"/>
        </w:rPr>
      </w:pPr>
      <w:r>
        <w:rPr>
          <w:color w:val="365F91"/>
          <w:sz w:val="28"/>
        </w:rPr>
        <w:t>FY</w:t>
      </w:r>
      <w:r>
        <w:rPr>
          <w:color w:val="365F91"/>
          <w:spacing w:val="-7"/>
          <w:sz w:val="28"/>
        </w:rPr>
        <w:t> </w:t>
      </w:r>
      <w:r>
        <w:rPr>
          <w:color w:val="365F91"/>
          <w:sz w:val="28"/>
        </w:rPr>
        <w:t>2025</w:t>
      </w:r>
      <w:r>
        <w:rPr>
          <w:color w:val="365F91"/>
          <w:spacing w:val="-6"/>
          <w:sz w:val="28"/>
        </w:rPr>
        <w:t> </w:t>
      </w:r>
      <w:r>
        <w:rPr>
          <w:color w:val="365F91"/>
          <w:spacing w:val="-2"/>
          <w:sz w:val="28"/>
        </w:rPr>
        <w:t>Recommendations</w:t>
      </w:r>
    </w:p>
    <w:p>
      <w:pPr>
        <w:pStyle w:val="BodyText"/>
        <w:spacing w:before="10"/>
        <w:rPr>
          <w:sz w:val="3"/>
        </w:rPr>
      </w:pPr>
      <w:r>
        <w:rPr/>
        <mc:AlternateContent>
          <mc:Choice Requires="wps">
            <w:drawing>
              <wp:anchor distT="0" distB="0" distL="0" distR="0" allowOverlap="1" layoutInCell="1" locked="0" behindDoc="1" simplePos="0" relativeHeight="487710720">
                <wp:simplePos x="0" y="0"/>
                <wp:positionH relativeFrom="page">
                  <wp:posOffset>897636</wp:posOffset>
                </wp:positionH>
                <wp:positionV relativeFrom="paragraph">
                  <wp:posOffset>45366</wp:posOffset>
                </wp:positionV>
                <wp:extent cx="5976620" cy="6350"/>
                <wp:effectExtent l="0" t="0" r="0" b="0"/>
                <wp:wrapTopAndBottom/>
                <wp:docPr id="614" name="Graphic 614"/>
                <wp:cNvGraphicFramePr>
                  <a:graphicFrameLocks/>
                </wp:cNvGraphicFramePr>
                <a:graphic>
                  <a:graphicData uri="http://schemas.microsoft.com/office/word/2010/wordprocessingShape">
                    <wps:wsp>
                      <wps:cNvPr id="614" name="Graphic 614"/>
                      <wps:cNvSpPr/>
                      <wps:spPr>
                        <a:xfrm>
                          <a:off x="0" y="0"/>
                          <a:ext cx="5976620" cy="6350"/>
                        </a:xfrm>
                        <a:custGeom>
                          <a:avLst/>
                          <a:gdLst/>
                          <a:ahLst/>
                          <a:cxnLst/>
                          <a:rect l="l" t="t" r="r" b="b"/>
                          <a:pathLst>
                            <a:path w="5976620" h="6350">
                              <a:moveTo>
                                <a:pt x="5976366" y="0"/>
                              </a:moveTo>
                              <a:lnTo>
                                <a:pt x="0" y="0"/>
                              </a:lnTo>
                              <a:lnTo>
                                <a:pt x="0" y="6108"/>
                              </a:lnTo>
                              <a:lnTo>
                                <a:pt x="5976366" y="6108"/>
                              </a:lnTo>
                              <a:lnTo>
                                <a:pt x="5976366" y="0"/>
                              </a:lnTo>
                              <a:close/>
                            </a:path>
                          </a:pathLst>
                        </a:custGeom>
                        <a:solidFill>
                          <a:srgbClr val="4F81BC"/>
                        </a:solidFill>
                      </wps:spPr>
                      <wps:bodyPr wrap="square" lIns="0" tIns="0" rIns="0" bIns="0" rtlCol="0">
                        <a:prstTxWarp prst="textNoShape">
                          <a:avLst/>
                        </a:prstTxWarp>
                        <a:noAutofit/>
                      </wps:bodyPr>
                    </wps:wsp>
                  </a:graphicData>
                </a:graphic>
              </wp:anchor>
            </w:drawing>
          </mc:Choice>
          <mc:Fallback>
            <w:pict>
              <v:rect style="position:absolute;margin-left:70.680pt;margin-top:3.572156pt;width:470.58pt;height:.481pt;mso-position-horizontal-relative:page;mso-position-vertical-relative:paragraph;z-index:-15605760;mso-wrap-distance-left:0;mso-wrap-distance-right:0" id="docshape511" filled="true" fillcolor="#4f81bc" stroked="false">
                <v:fill type="solid"/>
                <w10:wrap type="topAndBottom"/>
              </v:rect>
            </w:pict>
          </mc:Fallback>
        </mc:AlternateContent>
      </w:r>
    </w:p>
    <w:p>
      <w:pPr>
        <w:pStyle w:val="ListParagraph"/>
        <w:numPr>
          <w:ilvl w:val="1"/>
          <w:numId w:val="41"/>
        </w:numPr>
        <w:tabs>
          <w:tab w:pos="1059" w:val="left" w:leader="none"/>
        </w:tabs>
        <w:spacing w:line="276" w:lineRule="auto" w:before="241" w:after="0"/>
        <w:ind w:left="1059" w:right="631" w:hanging="360"/>
        <w:jc w:val="both"/>
        <w:rPr>
          <w:sz w:val="22"/>
        </w:rPr>
      </w:pPr>
      <w:r>
        <w:rPr>
          <w:sz w:val="22"/>
        </w:rPr>
        <w:t>Review MassHealth policies and guidelines to increase access to gender-affirming care and reduce health disparities among LGBTQ+ communities and communities of color.</w:t>
      </w:r>
    </w:p>
    <w:p>
      <w:pPr>
        <w:pStyle w:val="ListParagraph"/>
        <w:numPr>
          <w:ilvl w:val="1"/>
          <w:numId w:val="41"/>
        </w:numPr>
        <w:tabs>
          <w:tab w:pos="1059" w:val="left" w:leader="none"/>
        </w:tabs>
        <w:spacing w:line="276" w:lineRule="auto" w:before="1" w:after="0"/>
        <w:ind w:left="1059" w:right="632" w:hanging="360"/>
        <w:jc w:val="both"/>
        <w:rPr>
          <w:sz w:val="22"/>
        </w:rPr>
      </w:pPr>
      <w:r>
        <w:rPr>
          <w:sz w:val="22"/>
        </w:rPr>
        <w:t>Expand</w:t>
      </w:r>
      <w:r>
        <w:rPr>
          <w:spacing w:val="-13"/>
          <w:sz w:val="22"/>
        </w:rPr>
        <w:t> </w:t>
      </w:r>
      <w:r>
        <w:rPr>
          <w:sz w:val="22"/>
        </w:rPr>
        <w:t>data</w:t>
      </w:r>
      <w:r>
        <w:rPr>
          <w:spacing w:val="-12"/>
          <w:sz w:val="22"/>
        </w:rPr>
        <w:t> </w:t>
      </w:r>
      <w:r>
        <w:rPr>
          <w:sz w:val="22"/>
        </w:rPr>
        <w:t>collection</w:t>
      </w:r>
      <w:r>
        <w:rPr>
          <w:spacing w:val="-13"/>
          <w:sz w:val="22"/>
        </w:rPr>
        <w:t> </w:t>
      </w:r>
      <w:r>
        <w:rPr>
          <w:sz w:val="22"/>
        </w:rPr>
        <w:t>efforts</w:t>
      </w:r>
      <w:r>
        <w:rPr>
          <w:spacing w:val="-12"/>
          <w:sz w:val="22"/>
        </w:rPr>
        <w:t> </w:t>
      </w:r>
      <w:r>
        <w:rPr>
          <w:sz w:val="22"/>
        </w:rPr>
        <w:t>beyond</w:t>
      </w:r>
      <w:r>
        <w:rPr>
          <w:spacing w:val="-13"/>
          <w:sz w:val="22"/>
        </w:rPr>
        <w:t> </w:t>
      </w:r>
      <w:r>
        <w:rPr>
          <w:sz w:val="22"/>
        </w:rPr>
        <w:t>federal</w:t>
      </w:r>
      <w:r>
        <w:rPr>
          <w:spacing w:val="-12"/>
          <w:sz w:val="22"/>
        </w:rPr>
        <w:t> </w:t>
      </w:r>
      <w:r>
        <w:rPr>
          <w:sz w:val="22"/>
        </w:rPr>
        <w:t>requirements</w:t>
      </w:r>
      <w:r>
        <w:rPr>
          <w:spacing w:val="-13"/>
          <w:sz w:val="22"/>
        </w:rPr>
        <w:t> </w:t>
      </w:r>
      <w:r>
        <w:rPr>
          <w:sz w:val="22"/>
        </w:rPr>
        <w:t>to</w:t>
      </w:r>
      <w:r>
        <w:rPr>
          <w:spacing w:val="-12"/>
          <w:sz w:val="22"/>
        </w:rPr>
        <w:t> </w:t>
      </w:r>
      <w:r>
        <w:rPr>
          <w:sz w:val="22"/>
        </w:rPr>
        <w:t>collect</w:t>
      </w:r>
      <w:r>
        <w:rPr>
          <w:spacing w:val="-12"/>
          <w:sz w:val="22"/>
        </w:rPr>
        <w:t> </w:t>
      </w:r>
      <w:r>
        <w:rPr>
          <w:sz w:val="22"/>
        </w:rPr>
        <w:t>data</w:t>
      </w:r>
      <w:r>
        <w:rPr>
          <w:spacing w:val="-13"/>
          <w:sz w:val="22"/>
        </w:rPr>
        <w:t> </w:t>
      </w:r>
      <w:r>
        <w:rPr>
          <w:sz w:val="22"/>
        </w:rPr>
        <w:t>on</w:t>
      </w:r>
      <w:r>
        <w:rPr>
          <w:spacing w:val="-12"/>
          <w:sz w:val="22"/>
        </w:rPr>
        <w:t> </w:t>
      </w:r>
      <w:r>
        <w:rPr>
          <w:sz w:val="22"/>
        </w:rPr>
        <w:t>sexual</w:t>
      </w:r>
      <w:r>
        <w:rPr>
          <w:spacing w:val="-13"/>
          <w:sz w:val="22"/>
        </w:rPr>
        <w:t> </w:t>
      </w:r>
      <w:r>
        <w:rPr>
          <w:sz w:val="22"/>
        </w:rPr>
        <w:t>orientation and gender identity and expression (SOGIE).</w:t>
      </w:r>
    </w:p>
    <w:p>
      <w:pPr>
        <w:pStyle w:val="ListParagraph"/>
        <w:numPr>
          <w:ilvl w:val="1"/>
          <w:numId w:val="41"/>
        </w:numPr>
        <w:tabs>
          <w:tab w:pos="1057" w:val="left" w:leader="none"/>
          <w:tab w:pos="1059" w:val="left" w:leader="none"/>
        </w:tabs>
        <w:spacing w:line="276" w:lineRule="auto" w:before="0" w:after="0"/>
        <w:ind w:left="1059" w:right="631" w:hanging="361"/>
        <w:jc w:val="both"/>
        <w:rPr>
          <w:sz w:val="22"/>
        </w:rPr>
      </w:pPr>
      <w:r>
        <w:rPr>
          <w:sz w:val="22"/>
        </w:rPr>
        <w:t>Collaborate</w:t>
      </w:r>
      <w:r>
        <w:rPr>
          <w:spacing w:val="-10"/>
          <w:sz w:val="22"/>
        </w:rPr>
        <w:t> </w:t>
      </w:r>
      <w:r>
        <w:rPr>
          <w:sz w:val="22"/>
        </w:rPr>
        <w:t>with</w:t>
      </w:r>
      <w:r>
        <w:rPr>
          <w:spacing w:val="-9"/>
          <w:sz w:val="22"/>
        </w:rPr>
        <w:t> </w:t>
      </w:r>
      <w:r>
        <w:rPr>
          <w:sz w:val="22"/>
        </w:rPr>
        <w:t>the</w:t>
      </w:r>
      <w:r>
        <w:rPr>
          <w:spacing w:val="-9"/>
          <w:sz w:val="22"/>
        </w:rPr>
        <w:t> </w:t>
      </w:r>
      <w:r>
        <w:rPr>
          <w:sz w:val="22"/>
        </w:rPr>
        <w:t>Commission</w:t>
      </w:r>
      <w:r>
        <w:rPr>
          <w:spacing w:val="-10"/>
          <w:sz w:val="22"/>
        </w:rPr>
        <w:t> </w:t>
      </w:r>
      <w:r>
        <w:rPr>
          <w:sz w:val="22"/>
        </w:rPr>
        <w:t>to</w:t>
      </w:r>
      <w:r>
        <w:rPr>
          <w:spacing w:val="-9"/>
          <w:sz w:val="22"/>
        </w:rPr>
        <w:t> </w:t>
      </w:r>
      <w:r>
        <w:rPr>
          <w:sz w:val="22"/>
        </w:rPr>
        <w:t>expand</w:t>
      </w:r>
      <w:r>
        <w:rPr>
          <w:spacing w:val="-9"/>
          <w:sz w:val="22"/>
        </w:rPr>
        <w:t> </w:t>
      </w:r>
      <w:r>
        <w:rPr>
          <w:sz w:val="22"/>
        </w:rPr>
        <w:t>training</w:t>
      </w:r>
      <w:r>
        <w:rPr>
          <w:spacing w:val="-9"/>
          <w:sz w:val="22"/>
        </w:rPr>
        <w:t> </w:t>
      </w:r>
      <w:r>
        <w:rPr>
          <w:sz w:val="22"/>
        </w:rPr>
        <w:t>programs</w:t>
      </w:r>
      <w:r>
        <w:rPr>
          <w:spacing w:val="-9"/>
          <w:sz w:val="22"/>
        </w:rPr>
        <w:t> </w:t>
      </w:r>
      <w:r>
        <w:rPr>
          <w:sz w:val="22"/>
        </w:rPr>
        <w:t>to</w:t>
      </w:r>
      <w:r>
        <w:rPr>
          <w:spacing w:val="-8"/>
          <w:sz w:val="22"/>
        </w:rPr>
        <w:t> </w:t>
      </w:r>
      <w:r>
        <w:rPr>
          <w:sz w:val="22"/>
        </w:rPr>
        <w:t>all</w:t>
      </w:r>
      <w:r>
        <w:rPr>
          <w:spacing w:val="-10"/>
          <w:sz w:val="22"/>
        </w:rPr>
        <w:t> </w:t>
      </w:r>
      <w:r>
        <w:rPr>
          <w:sz w:val="22"/>
        </w:rPr>
        <w:t>workers</w:t>
      </w:r>
      <w:r>
        <w:rPr>
          <w:spacing w:val="-9"/>
          <w:sz w:val="22"/>
        </w:rPr>
        <w:t> </w:t>
      </w:r>
      <w:r>
        <w:rPr>
          <w:sz w:val="22"/>
        </w:rPr>
        <w:t>and</w:t>
      </w:r>
      <w:r>
        <w:rPr>
          <w:spacing w:val="-10"/>
          <w:sz w:val="22"/>
        </w:rPr>
        <w:t> </w:t>
      </w:r>
      <w:r>
        <w:rPr>
          <w:sz w:val="22"/>
        </w:rPr>
        <w:t>supervisors</w:t>
      </w:r>
      <w:r>
        <w:rPr>
          <w:spacing w:val="-9"/>
          <w:sz w:val="22"/>
        </w:rPr>
        <w:t> </w:t>
      </w:r>
      <w:r>
        <w:rPr>
          <w:sz w:val="22"/>
        </w:rPr>
        <w:t>on issues that affect LGBTQ youth and young adults.</w:t>
      </w:r>
    </w:p>
    <w:p>
      <w:pPr>
        <w:pStyle w:val="ListParagraph"/>
        <w:numPr>
          <w:ilvl w:val="1"/>
          <w:numId w:val="41"/>
        </w:numPr>
        <w:tabs>
          <w:tab w:pos="1057" w:val="left" w:leader="none"/>
          <w:tab w:pos="1059" w:val="left" w:leader="none"/>
        </w:tabs>
        <w:spacing w:line="276" w:lineRule="auto" w:before="0" w:after="0"/>
        <w:ind w:left="1059" w:right="632" w:hanging="361"/>
        <w:jc w:val="both"/>
        <w:rPr>
          <w:sz w:val="22"/>
        </w:rPr>
      </w:pPr>
      <w:r>
        <w:rPr>
          <w:sz w:val="22"/>
        </w:rPr>
        <w:t>Improve interagency work to support “warm hand-offs” for transition-aged youth attempting to access services in partnership with other youth-serving state agencies to ensure that the health needs of LGBTQ youth are being met.</w:t>
      </w:r>
    </w:p>
    <w:p>
      <w:pPr>
        <w:pStyle w:val="BodyText"/>
        <w:rPr>
          <w:sz w:val="20"/>
        </w:rPr>
      </w:pPr>
    </w:p>
    <w:p>
      <w:pPr>
        <w:pStyle w:val="BodyText"/>
        <w:spacing w:before="66"/>
        <w:rPr>
          <w:sz w:val="20"/>
        </w:rPr>
      </w:pPr>
      <w:r>
        <w:rPr/>
        <mc:AlternateContent>
          <mc:Choice Requires="wps">
            <w:drawing>
              <wp:anchor distT="0" distB="0" distL="0" distR="0" allowOverlap="1" layoutInCell="1" locked="0" behindDoc="1" simplePos="0" relativeHeight="487711232">
                <wp:simplePos x="0" y="0"/>
                <wp:positionH relativeFrom="page">
                  <wp:posOffset>889000</wp:posOffset>
                </wp:positionH>
                <wp:positionV relativeFrom="paragraph">
                  <wp:posOffset>212635</wp:posOffset>
                </wp:positionV>
                <wp:extent cx="6350" cy="12700"/>
                <wp:effectExtent l="0" t="0" r="0" b="0"/>
                <wp:wrapTopAndBottom/>
                <wp:docPr id="615" name="Graphic 615"/>
                <wp:cNvGraphicFramePr>
                  <a:graphicFrameLocks/>
                </wp:cNvGraphicFramePr>
                <a:graphic>
                  <a:graphicData uri="http://schemas.microsoft.com/office/word/2010/wordprocessingShape">
                    <wps:wsp>
                      <wps:cNvPr id="615" name="Graphic 615"/>
                      <wps:cNvSpPr/>
                      <wps:spPr>
                        <a:xfrm>
                          <a:off x="0" y="0"/>
                          <a:ext cx="6350" cy="12700"/>
                        </a:xfrm>
                        <a:custGeom>
                          <a:avLst/>
                          <a:gdLst/>
                          <a:ahLst/>
                          <a:cxnLst/>
                          <a:rect l="l" t="t" r="r" b="b"/>
                          <a:pathLst>
                            <a:path w="6350" h="12700">
                              <a:moveTo>
                                <a:pt x="6337" y="0"/>
                              </a:moveTo>
                              <a:lnTo>
                                <a:pt x="0" y="0"/>
                              </a:lnTo>
                              <a:lnTo>
                                <a:pt x="0" y="12191"/>
                              </a:lnTo>
                              <a:lnTo>
                                <a:pt x="6337" y="12191"/>
                              </a:lnTo>
                              <a:lnTo>
                                <a:pt x="6337" y="0"/>
                              </a:lnTo>
                              <a:close/>
                            </a:path>
                          </a:pathLst>
                        </a:custGeom>
                        <a:solidFill>
                          <a:srgbClr val="4F81BB"/>
                        </a:solidFill>
                      </wps:spPr>
                      <wps:bodyPr wrap="square" lIns="0" tIns="0" rIns="0" bIns="0" rtlCol="0">
                        <a:prstTxWarp prst="textNoShape">
                          <a:avLst/>
                        </a:prstTxWarp>
                        <a:noAutofit/>
                      </wps:bodyPr>
                    </wps:wsp>
                  </a:graphicData>
                </a:graphic>
              </wp:anchor>
            </w:drawing>
          </mc:Choice>
          <mc:Fallback>
            <w:pict>
              <v:rect style="position:absolute;margin-left:70pt;margin-top:16.742918pt;width:.499pt;height:.96pt;mso-position-horizontal-relative:page;mso-position-vertical-relative:paragraph;z-index:-15605248;mso-wrap-distance-left:0;mso-wrap-distance-right:0" id="docshape512" filled="true" fillcolor="#4f81bb" stroked="false">
                <v:fill type="solid"/>
                <w10:wrap type="topAndBottom"/>
              </v:rect>
            </w:pict>
          </mc:Fallback>
        </mc:AlternateContent>
      </w:r>
    </w:p>
    <w:p>
      <w:pPr>
        <w:spacing w:before="0"/>
        <w:ind w:left="483" w:right="0" w:firstLine="0"/>
        <w:jc w:val="left"/>
        <w:rPr>
          <w:sz w:val="28"/>
        </w:rPr>
      </w:pPr>
      <w:r>
        <w:rPr>
          <w:color w:val="365F91"/>
          <w:spacing w:val="-2"/>
          <w:sz w:val="28"/>
        </w:rPr>
        <w:t>Introduction</w:t>
      </w:r>
    </w:p>
    <w:p>
      <w:pPr>
        <w:pStyle w:val="BodyText"/>
        <w:spacing w:before="11"/>
        <w:rPr>
          <w:sz w:val="3"/>
        </w:rPr>
      </w:pPr>
      <w:r>
        <w:rPr/>
        <mc:AlternateContent>
          <mc:Choice Requires="wps">
            <w:drawing>
              <wp:anchor distT="0" distB="0" distL="0" distR="0" allowOverlap="1" layoutInCell="1" locked="0" behindDoc="1" simplePos="0" relativeHeight="487711744">
                <wp:simplePos x="0" y="0"/>
                <wp:positionH relativeFrom="page">
                  <wp:posOffset>897636</wp:posOffset>
                </wp:positionH>
                <wp:positionV relativeFrom="paragraph">
                  <wp:posOffset>45493</wp:posOffset>
                </wp:positionV>
                <wp:extent cx="5976620" cy="6350"/>
                <wp:effectExtent l="0" t="0" r="0" b="0"/>
                <wp:wrapTopAndBottom/>
                <wp:docPr id="616" name="Graphic 616"/>
                <wp:cNvGraphicFramePr>
                  <a:graphicFrameLocks/>
                </wp:cNvGraphicFramePr>
                <a:graphic>
                  <a:graphicData uri="http://schemas.microsoft.com/office/word/2010/wordprocessingShape">
                    <wps:wsp>
                      <wps:cNvPr id="616" name="Graphic 616"/>
                      <wps:cNvSpPr/>
                      <wps:spPr>
                        <a:xfrm>
                          <a:off x="0" y="0"/>
                          <a:ext cx="5976620" cy="6350"/>
                        </a:xfrm>
                        <a:custGeom>
                          <a:avLst/>
                          <a:gdLst/>
                          <a:ahLst/>
                          <a:cxnLst/>
                          <a:rect l="l" t="t" r="r" b="b"/>
                          <a:pathLst>
                            <a:path w="5976620" h="6350">
                              <a:moveTo>
                                <a:pt x="5976366" y="0"/>
                              </a:moveTo>
                              <a:lnTo>
                                <a:pt x="0" y="0"/>
                              </a:lnTo>
                              <a:lnTo>
                                <a:pt x="0" y="6108"/>
                              </a:lnTo>
                              <a:lnTo>
                                <a:pt x="5976366" y="6108"/>
                              </a:lnTo>
                              <a:lnTo>
                                <a:pt x="5976366" y="0"/>
                              </a:lnTo>
                              <a:close/>
                            </a:path>
                          </a:pathLst>
                        </a:custGeom>
                        <a:solidFill>
                          <a:srgbClr val="4F81BC"/>
                        </a:solidFill>
                      </wps:spPr>
                      <wps:bodyPr wrap="square" lIns="0" tIns="0" rIns="0" bIns="0" rtlCol="0">
                        <a:prstTxWarp prst="textNoShape">
                          <a:avLst/>
                        </a:prstTxWarp>
                        <a:noAutofit/>
                      </wps:bodyPr>
                    </wps:wsp>
                  </a:graphicData>
                </a:graphic>
              </wp:anchor>
            </w:drawing>
          </mc:Choice>
          <mc:Fallback>
            <w:pict>
              <v:rect style="position:absolute;margin-left:70.680pt;margin-top:3.582156pt;width:470.58pt;height:.481pt;mso-position-horizontal-relative:page;mso-position-vertical-relative:paragraph;z-index:-15604736;mso-wrap-distance-left:0;mso-wrap-distance-right:0" id="docshape513" filled="true" fillcolor="#4f81bc" stroked="false">
                <v:fill type="solid"/>
                <w10:wrap type="topAndBottom"/>
              </v:rect>
            </w:pict>
          </mc:Fallback>
        </mc:AlternateContent>
      </w:r>
    </w:p>
    <w:p>
      <w:pPr>
        <w:pStyle w:val="BodyText"/>
        <w:spacing w:line="276" w:lineRule="auto" w:before="241"/>
        <w:ind w:left="483" w:right="341"/>
        <w:jc w:val="both"/>
      </w:pPr>
      <w:r>
        <w:rPr>
          <w:spacing w:val="-2"/>
        </w:rPr>
        <w:t>MassHealth works to provide health and dental benefits and financial support for Massachusetts residents </w:t>
      </w:r>
      <w:r>
        <w:rPr/>
        <w:t>and</w:t>
      </w:r>
      <w:r>
        <w:rPr>
          <w:spacing w:val="-5"/>
        </w:rPr>
        <w:t> </w:t>
      </w:r>
      <w:r>
        <w:rPr/>
        <w:t>combines</w:t>
      </w:r>
      <w:r>
        <w:rPr>
          <w:spacing w:val="-6"/>
        </w:rPr>
        <w:t> </w:t>
      </w:r>
      <w:r>
        <w:rPr/>
        <w:t>Medicaid</w:t>
      </w:r>
      <w:r>
        <w:rPr>
          <w:spacing w:val="-5"/>
        </w:rPr>
        <w:t> </w:t>
      </w:r>
      <w:r>
        <w:rPr/>
        <w:t>and</w:t>
      </w:r>
      <w:r>
        <w:rPr>
          <w:spacing w:val="-5"/>
        </w:rPr>
        <w:t> </w:t>
      </w:r>
      <w:r>
        <w:rPr/>
        <w:t>the</w:t>
      </w:r>
      <w:r>
        <w:rPr>
          <w:spacing w:val="-5"/>
        </w:rPr>
        <w:t> </w:t>
      </w:r>
      <w:r>
        <w:rPr/>
        <w:t>Children’s</w:t>
      </w:r>
      <w:r>
        <w:rPr>
          <w:spacing w:val="-6"/>
        </w:rPr>
        <w:t> </w:t>
      </w:r>
      <w:r>
        <w:rPr/>
        <w:t>Health</w:t>
      </w:r>
      <w:r>
        <w:rPr>
          <w:spacing w:val="-5"/>
        </w:rPr>
        <w:t> </w:t>
      </w:r>
      <w:r>
        <w:rPr/>
        <w:t>Insurance</w:t>
      </w:r>
      <w:r>
        <w:rPr>
          <w:spacing w:val="-5"/>
        </w:rPr>
        <w:t> </w:t>
      </w:r>
      <w:r>
        <w:rPr/>
        <w:t>Program</w:t>
      </w:r>
      <w:r>
        <w:rPr>
          <w:spacing w:val="-7"/>
        </w:rPr>
        <w:t> </w:t>
      </w:r>
      <w:r>
        <w:rPr/>
        <w:t>into</w:t>
      </w:r>
      <w:r>
        <w:rPr>
          <w:spacing w:val="-6"/>
        </w:rPr>
        <w:t> </w:t>
      </w:r>
      <w:r>
        <w:rPr/>
        <w:t>one</w:t>
      </w:r>
      <w:r>
        <w:rPr>
          <w:spacing w:val="-5"/>
        </w:rPr>
        <w:t> </w:t>
      </w:r>
      <w:r>
        <w:rPr/>
        <w:t>program.</w:t>
      </w:r>
      <w:r>
        <w:rPr>
          <w:spacing w:val="-5"/>
        </w:rPr>
        <w:t> </w:t>
      </w:r>
      <w:r>
        <w:rPr/>
        <w:t>The</w:t>
      </w:r>
      <w:r>
        <w:rPr>
          <w:spacing w:val="-5"/>
        </w:rPr>
        <w:t> </w:t>
      </w:r>
      <w:r>
        <w:rPr/>
        <w:t>Commission began issuing recommendations to MassHealth for the first time in FY 2022 on issues impacting LGBTQ youth in healthcare spaces. MassHealth provides vital resources to underserved communities, and the Commission</w:t>
      </w:r>
      <w:r>
        <w:rPr>
          <w:spacing w:val="-1"/>
        </w:rPr>
        <w:t> </w:t>
      </w:r>
      <w:r>
        <w:rPr/>
        <w:t>is extremely</w:t>
      </w:r>
      <w:r>
        <w:rPr>
          <w:spacing w:val="-1"/>
        </w:rPr>
        <w:t> </w:t>
      </w:r>
      <w:r>
        <w:rPr/>
        <w:t>grateful</w:t>
      </w:r>
      <w:r>
        <w:rPr>
          <w:spacing w:val="-1"/>
        </w:rPr>
        <w:t> </w:t>
      </w:r>
      <w:r>
        <w:rPr/>
        <w:t>for its services, which</w:t>
      </w:r>
      <w:r>
        <w:rPr>
          <w:spacing w:val="-1"/>
        </w:rPr>
        <w:t> </w:t>
      </w:r>
      <w:r>
        <w:rPr/>
        <w:t>continue</w:t>
      </w:r>
      <w:r>
        <w:rPr>
          <w:spacing w:val="-1"/>
        </w:rPr>
        <w:t> </w:t>
      </w:r>
      <w:r>
        <w:rPr/>
        <w:t>to play</w:t>
      </w:r>
      <w:r>
        <w:rPr>
          <w:spacing w:val="-1"/>
        </w:rPr>
        <w:t> </w:t>
      </w:r>
      <w:r>
        <w:rPr/>
        <w:t>an</w:t>
      </w:r>
      <w:r>
        <w:rPr>
          <w:spacing w:val="-1"/>
        </w:rPr>
        <w:t> </w:t>
      </w:r>
      <w:r>
        <w:rPr/>
        <w:t>important</w:t>
      </w:r>
      <w:r>
        <w:rPr>
          <w:spacing w:val="-1"/>
        </w:rPr>
        <w:t> </w:t>
      </w:r>
      <w:r>
        <w:rPr/>
        <w:t>part</w:t>
      </w:r>
      <w:r>
        <w:rPr>
          <w:spacing w:val="-1"/>
        </w:rPr>
        <w:t> </w:t>
      </w:r>
      <w:r>
        <w:rPr/>
        <w:t>in supporting LGBTQ</w:t>
      </w:r>
      <w:r>
        <w:rPr>
          <w:spacing w:val="-13"/>
        </w:rPr>
        <w:t> </w:t>
      </w:r>
      <w:r>
        <w:rPr/>
        <w:t>life.</w:t>
      </w:r>
      <w:r>
        <w:rPr>
          <w:spacing w:val="-12"/>
        </w:rPr>
        <w:t> </w:t>
      </w:r>
      <w:r>
        <w:rPr/>
        <w:t>As</w:t>
      </w:r>
      <w:r>
        <w:rPr>
          <w:spacing w:val="-13"/>
        </w:rPr>
        <w:t> </w:t>
      </w:r>
      <w:r>
        <w:rPr/>
        <w:t>discussed</w:t>
      </w:r>
      <w:r>
        <w:rPr>
          <w:spacing w:val="-12"/>
        </w:rPr>
        <w:t> </w:t>
      </w:r>
      <w:r>
        <w:rPr/>
        <w:t>throughout</w:t>
      </w:r>
      <w:r>
        <w:rPr>
          <w:spacing w:val="-13"/>
        </w:rPr>
        <w:t> </w:t>
      </w:r>
      <w:r>
        <w:rPr/>
        <w:t>this</w:t>
      </w:r>
      <w:r>
        <w:rPr>
          <w:spacing w:val="-12"/>
        </w:rPr>
        <w:t> </w:t>
      </w:r>
      <w:r>
        <w:rPr/>
        <w:t>annual</w:t>
      </w:r>
      <w:r>
        <w:rPr>
          <w:spacing w:val="-13"/>
        </w:rPr>
        <w:t> </w:t>
      </w:r>
      <w:r>
        <w:rPr/>
        <w:t>report,</w:t>
      </w:r>
      <w:r>
        <w:rPr>
          <w:spacing w:val="-12"/>
        </w:rPr>
        <w:t> </w:t>
      </w:r>
      <w:r>
        <w:rPr/>
        <w:t>LGBTQ</w:t>
      </w:r>
      <w:r>
        <w:rPr>
          <w:spacing w:val="-12"/>
        </w:rPr>
        <w:t> </w:t>
      </w:r>
      <w:r>
        <w:rPr/>
        <w:t>youth</w:t>
      </w:r>
      <w:r>
        <w:rPr>
          <w:spacing w:val="-13"/>
        </w:rPr>
        <w:t> </w:t>
      </w:r>
      <w:r>
        <w:rPr/>
        <w:t>experience</w:t>
      </w:r>
      <w:r>
        <w:rPr>
          <w:spacing w:val="-12"/>
        </w:rPr>
        <w:t> </w:t>
      </w:r>
      <w:r>
        <w:rPr/>
        <w:t>numerous</w:t>
      </w:r>
      <w:r>
        <w:rPr>
          <w:spacing w:val="-13"/>
        </w:rPr>
        <w:t> </w:t>
      </w:r>
      <w:r>
        <w:rPr/>
        <w:t>health-related inequities, particularly including access to affirming-care.</w:t>
      </w:r>
    </w:p>
    <w:p>
      <w:pPr>
        <w:pStyle w:val="BodyText"/>
        <w:spacing w:line="276" w:lineRule="auto" w:before="240"/>
        <w:ind w:left="483" w:right="344"/>
        <w:jc w:val="both"/>
      </w:pPr>
      <w:r>
        <w:rPr/>
        <w:t>As</w:t>
      </w:r>
      <w:r>
        <w:rPr>
          <w:spacing w:val="-2"/>
        </w:rPr>
        <w:t> </w:t>
      </w:r>
      <w:r>
        <w:rPr/>
        <w:t>MassHealth</w:t>
      </w:r>
      <w:r>
        <w:rPr>
          <w:spacing w:val="-2"/>
        </w:rPr>
        <w:t> </w:t>
      </w:r>
      <w:r>
        <w:rPr/>
        <w:t>seeks</w:t>
      </w:r>
      <w:r>
        <w:rPr>
          <w:spacing w:val="-2"/>
        </w:rPr>
        <w:t> </w:t>
      </w:r>
      <w:r>
        <w:rPr/>
        <w:t>to</w:t>
      </w:r>
      <w:r>
        <w:rPr>
          <w:spacing w:val="-1"/>
        </w:rPr>
        <w:t> </w:t>
      </w:r>
      <w:r>
        <w:rPr/>
        <w:t>elevate</w:t>
      </w:r>
      <w:r>
        <w:rPr>
          <w:spacing w:val="-2"/>
        </w:rPr>
        <w:t> </w:t>
      </w:r>
      <w:r>
        <w:rPr/>
        <w:t>LGBTQ</w:t>
      </w:r>
      <w:r>
        <w:rPr>
          <w:spacing w:val="-2"/>
        </w:rPr>
        <w:t> </w:t>
      </w:r>
      <w:r>
        <w:rPr/>
        <w:t>health</w:t>
      </w:r>
      <w:r>
        <w:rPr>
          <w:spacing w:val="-2"/>
        </w:rPr>
        <w:t> </w:t>
      </w:r>
      <w:r>
        <w:rPr/>
        <w:t>as</w:t>
      </w:r>
      <w:r>
        <w:rPr>
          <w:spacing w:val="-2"/>
        </w:rPr>
        <w:t> </w:t>
      </w:r>
      <w:r>
        <w:rPr/>
        <w:t>a</w:t>
      </w:r>
      <w:r>
        <w:rPr>
          <w:spacing w:val="-1"/>
        </w:rPr>
        <w:t> </w:t>
      </w:r>
      <w:r>
        <w:rPr/>
        <w:t>priority</w:t>
      </w:r>
      <w:r>
        <w:rPr>
          <w:spacing w:val="-2"/>
        </w:rPr>
        <w:t> </w:t>
      </w:r>
      <w:r>
        <w:rPr/>
        <w:t>within</w:t>
      </w:r>
      <w:r>
        <w:rPr>
          <w:spacing w:val="-1"/>
        </w:rPr>
        <w:t> </w:t>
      </w:r>
      <w:r>
        <w:rPr/>
        <w:t>the</w:t>
      </w:r>
      <w:r>
        <w:rPr>
          <w:spacing w:val="-2"/>
        </w:rPr>
        <w:t> </w:t>
      </w:r>
      <w:r>
        <w:rPr/>
        <w:t>agency,</w:t>
      </w:r>
      <w:r>
        <w:rPr>
          <w:spacing w:val="-2"/>
        </w:rPr>
        <w:t> </w:t>
      </w:r>
      <w:r>
        <w:rPr/>
        <w:t>the</w:t>
      </w:r>
      <w:r>
        <w:rPr>
          <w:spacing w:val="-2"/>
        </w:rPr>
        <w:t> </w:t>
      </w:r>
      <w:r>
        <w:rPr/>
        <w:t>Commission</w:t>
      </w:r>
      <w:r>
        <w:rPr>
          <w:spacing w:val="-2"/>
        </w:rPr>
        <w:t> </w:t>
      </w:r>
      <w:r>
        <w:rPr/>
        <w:t>notes</w:t>
      </w:r>
      <w:r>
        <w:rPr>
          <w:spacing w:val="-2"/>
        </w:rPr>
        <w:t> </w:t>
      </w:r>
      <w:r>
        <w:rPr/>
        <w:t>that agency leadership must take steps to expand these services and understand the current landscape of LGBTQ</w:t>
      </w:r>
      <w:r>
        <w:rPr>
          <w:spacing w:val="-5"/>
        </w:rPr>
        <w:t> </w:t>
      </w:r>
      <w:r>
        <w:rPr/>
        <w:t>health.</w:t>
      </w:r>
      <w:r>
        <w:rPr>
          <w:spacing w:val="-5"/>
        </w:rPr>
        <w:t> </w:t>
      </w:r>
      <w:r>
        <w:rPr/>
        <w:t>The</w:t>
      </w:r>
      <w:r>
        <w:rPr>
          <w:spacing w:val="-5"/>
        </w:rPr>
        <w:t> </w:t>
      </w:r>
      <w:r>
        <w:rPr/>
        <w:t>Commission</w:t>
      </w:r>
      <w:r>
        <w:rPr>
          <w:spacing w:val="-7"/>
        </w:rPr>
        <w:t> </w:t>
      </w:r>
      <w:r>
        <w:rPr/>
        <w:t>recommends</w:t>
      </w:r>
      <w:r>
        <w:rPr>
          <w:spacing w:val="-6"/>
        </w:rPr>
        <w:t> </w:t>
      </w:r>
      <w:r>
        <w:rPr/>
        <w:t>several</w:t>
      </w:r>
      <w:r>
        <w:rPr>
          <w:spacing w:val="-5"/>
        </w:rPr>
        <w:t> </w:t>
      </w:r>
      <w:r>
        <w:rPr/>
        <w:t>initiatives</w:t>
      </w:r>
      <w:r>
        <w:rPr>
          <w:spacing w:val="-5"/>
        </w:rPr>
        <w:t> </w:t>
      </w:r>
      <w:r>
        <w:rPr/>
        <w:t>that</w:t>
      </w:r>
      <w:r>
        <w:rPr>
          <w:spacing w:val="-7"/>
        </w:rPr>
        <w:t> </w:t>
      </w:r>
      <w:r>
        <w:rPr/>
        <w:t>involve</w:t>
      </w:r>
      <w:r>
        <w:rPr>
          <w:spacing w:val="-5"/>
        </w:rPr>
        <w:t> </w:t>
      </w:r>
      <w:r>
        <w:rPr/>
        <w:t>not</w:t>
      </w:r>
      <w:r>
        <w:rPr>
          <w:spacing w:val="-6"/>
        </w:rPr>
        <w:t> </w:t>
      </w:r>
      <w:r>
        <w:rPr/>
        <w:t>just</w:t>
      </w:r>
      <w:r>
        <w:rPr>
          <w:spacing w:val="-7"/>
        </w:rPr>
        <w:t> </w:t>
      </w:r>
      <w:r>
        <w:rPr/>
        <w:t>a</w:t>
      </w:r>
      <w:r>
        <w:rPr>
          <w:spacing w:val="-5"/>
        </w:rPr>
        <w:t> </w:t>
      </w:r>
      <w:r>
        <w:rPr/>
        <w:t>systematic</w:t>
      </w:r>
      <w:r>
        <w:rPr>
          <w:spacing w:val="-6"/>
        </w:rPr>
        <w:t> </w:t>
      </w:r>
      <w:r>
        <w:rPr/>
        <w:t>analysis and</w:t>
      </w:r>
      <w:r>
        <w:rPr>
          <w:spacing w:val="-13"/>
        </w:rPr>
        <w:t> </w:t>
      </w:r>
      <w:r>
        <w:rPr/>
        <w:t>revamping</w:t>
      </w:r>
      <w:r>
        <w:rPr>
          <w:spacing w:val="-12"/>
        </w:rPr>
        <w:t> </w:t>
      </w:r>
      <w:r>
        <w:rPr/>
        <w:t>of</w:t>
      </w:r>
      <w:r>
        <w:rPr>
          <w:spacing w:val="-13"/>
        </w:rPr>
        <w:t> </w:t>
      </w:r>
      <w:r>
        <w:rPr/>
        <w:t>what</w:t>
      </w:r>
      <w:r>
        <w:rPr>
          <w:spacing w:val="-12"/>
        </w:rPr>
        <w:t> </w:t>
      </w:r>
      <w:r>
        <w:rPr/>
        <w:t>MassHealth</w:t>
      </w:r>
      <w:r>
        <w:rPr>
          <w:spacing w:val="-13"/>
        </w:rPr>
        <w:t> </w:t>
      </w:r>
      <w:r>
        <w:rPr/>
        <w:t>covers,</w:t>
      </w:r>
      <w:r>
        <w:rPr>
          <w:spacing w:val="-12"/>
        </w:rPr>
        <w:t> </w:t>
      </w:r>
      <w:r>
        <w:rPr/>
        <w:t>but</w:t>
      </w:r>
      <w:r>
        <w:rPr>
          <w:spacing w:val="-13"/>
        </w:rPr>
        <w:t> </w:t>
      </w:r>
      <w:r>
        <w:rPr/>
        <w:t>also</w:t>
      </w:r>
      <w:r>
        <w:rPr>
          <w:spacing w:val="-12"/>
        </w:rPr>
        <w:t> </w:t>
      </w:r>
      <w:r>
        <w:rPr/>
        <w:t>discerning</w:t>
      </w:r>
      <w:r>
        <w:rPr>
          <w:spacing w:val="-12"/>
        </w:rPr>
        <w:t> </w:t>
      </w:r>
      <w:r>
        <w:rPr/>
        <w:t>how</w:t>
      </w:r>
      <w:r>
        <w:rPr>
          <w:spacing w:val="-13"/>
        </w:rPr>
        <w:t> </w:t>
      </w:r>
      <w:r>
        <w:rPr/>
        <w:t>to</w:t>
      </w:r>
      <w:r>
        <w:rPr>
          <w:spacing w:val="-12"/>
        </w:rPr>
        <w:t> </w:t>
      </w:r>
      <w:r>
        <w:rPr/>
        <w:t>make</w:t>
      </w:r>
      <w:r>
        <w:rPr>
          <w:spacing w:val="-13"/>
        </w:rPr>
        <w:t> </w:t>
      </w:r>
      <w:r>
        <w:rPr/>
        <w:t>this</w:t>
      </w:r>
      <w:r>
        <w:rPr>
          <w:spacing w:val="-12"/>
        </w:rPr>
        <w:t> </w:t>
      </w:r>
      <w:r>
        <w:rPr/>
        <w:t>coverage</w:t>
      </w:r>
      <w:r>
        <w:rPr>
          <w:spacing w:val="-13"/>
        </w:rPr>
        <w:t> </w:t>
      </w:r>
      <w:r>
        <w:rPr/>
        <w:t>more</w:t>
      </w:r>
      <w:r>
        <w:rPr>
          <w:spacing w:val="-12"/>
        </w:rPr>
        <w:t> </w:t>
      </w:r>
      <w:r>
        <w:rPr/>
        <w:t>accessible to all LGBTQ populations.</w:t>
      </w:r>
    </w:p>
    <w:p>
      <w:pPr>
        <w:spacing w:before="239"/>
        <w:ind w:left="483" w:right="0" w:firstLine="0"/>
        <w:jc w:val="both"/>
        <w:rPr>
          <w:sz w:val="24"/>
        </w:rPr>
      </w:pPr>
      <w:r>
        <w:rPr>
          <w:color w:val="365F91"/>
          <w:sz w:val="24"/>
        </w:rPr>
        <w:t>Past</w:t>
      </w:r>
      <w:r>
        <w:rPr>
          <w:color w:val="365F91"/>
          <w:spacing w:val="-5"/>
          <w:sz w:val="24"/>
        </w:rPr>
        <w:t> </w:t>
      </w:r>
      <w:r>
        <w:rPr>
          <w:color w:val="365F91"/>
          <w:sz w:val="24"/>
        </w:rPr>
        <w:t>&amp;</w:t>
      </w:r>
      <w:r>
        <w:rPr>
          <w:color w:val="365F91"/>
          <w:spacing w:val="-1"/>
          <w:sz w:val="24"/>
        </w:rPr>
        <w:t> </w:t>
      </w:r>
      <w:r>
        <w:rPr>
          <w:color w:val="365F91"/>
          <w:sz w:val="24"/>
        </w:rPr>
        <w:t>Ongoing</w:t>
      </w:r>
      <w:r>
        <w:rPr>
          <w:color w:val="365F91"/>
          <w:spacing w:val="-2"/>
          <w:sz w:val="24"/>
        </w:rPr>
        <w:t> </w:t>
      </w:r>
      <w:r>
        <w:rPr>
          <w:color w:val="365F91"/>
          <w:spacing w:val="-4"/>
          <w:sz w:val="24"/>
        </w:rPr>
        <w:t>Work</w:t>
      </w:r>
    </w:p>
    <w:p>
      <w:pPr>
        <w:pStyle w:val="BodyText"/>
        <w:spacing w:line="276" w:lineRule="auto" w:before="285"/>
        <w:ind w:left="483" w:right="342"/>
        <w:jc w:val="both"/>
        <w:rPr>
          <w:sz w:val="21"/>
        </w:rPr>
      </w:pPr>
      <w:r>
        <w:rPr/>
        <w:t>The Commission commends MassHealth for the steps it has took to fill the Commission’s FY 2022 recommendations,</w:t>
      </w:r>
      <w:r>
        <w:rPr>
          <w:spacing w:val="-5"/>
        </w:rPr>
        <w:t> </w:t>
      </w:r>
      <w:r>
        <w:rPr/>
        <w:t>including</w:t>
      </w:r>
      <w:r>
        <w:rPr>
          <w:spacing w:val="-5"/>
        </w:rPr>
        <w:t> </w:t>
      </w:r>
      <w:r>
        <w:rPr/>
        <w:t>establishing</w:t>
      </w:r>
      <w:r>
        <w:rPr>
          <w:spacing w:val="-5"/>
        </w:rPr>
        <w:t> </w:t>
      </w:r>
      <w:r>
        <w:rPr/>
        <w:t>a</w:t>
      </w:r>
      <w:r>
        <w:rPr>
          <w:spacing w:val="-5"/>
        </w:rPr>
        <w:t> </w:t>
      </w:r>
      <w:r>
        <w:rPr/>
        <w:t>permanent</w:t>
      </w:r>
      <w:r>
        <w:rPr>
          <w:spacing w:val="-5"/>
        </w:rPr>
        <w:t> </w:t>
      </w:r>
      <w:r>
        <w:rPr/>
        <w:t>liaison</w:t>
      </w:r>
      <w:r>
        <w:rPr>
          <w:spacing w:val="-5"/>
        </w:rPr>
        <w:t> </w:t>
      </w:r>
      <w:r>
        <w:rPr/>
        <w:t>to</w:t>
      </w:r>
      <w:r>
        <w:rPr>
          <w:spacing w:val="-5"/>
        </w:rPr>
        <w:t> </w:t>
      </w:r>
      <w:r>
        <w:rPr/>
        <w:t>the</w:t>
      </w:r>
      <w:r>
        <w:rPr>
          <w:spacing w:val="-5"/>
        </w:rPr>
        <w:t> </w:t>
      </w:r>
      <w:r>
        <w:rPr/>
        <w:t>Commission;</w:t>
      </w:r>
      <w:r>
        <w:rPr>
          <w:spacing w:val="-5"/>
        </w:rPr>
        <w:t> </w:t>
      </w:r>
      <w:r>
        <w:rPr/>
        <w:t>expanding</w:t>
      </w:r>
      <w:r>
        <w:rPr>
          <w:spacing w:val="-5"/>
        </w:rPr>
        <w:t> </w:t>
      </w:r>
      <w:r>
        <w:rPr/>
        <w:t>access</w:t>
      </w:r>
      <w:r>
        <w:rPr>
          <w:spacing w:val="-5"/>
        </w:rPr>
        <w:t> </w:t>
      </w:r>
      <w:r>
        <w:rPr/>
        <w:t>to</w:t>
      </w:r>
      <w:r>
        <w:rPr>
          <w:spacing w:val="-5"/>
        </w:rPr>
        <w:t> </w:t>
      </w:r>
      <w:r>
        <w:rPr/>
        <w:t>its gender-affirming services; and establishing a commitment to internal trainings on LGBTQ affirming-care in its facilities. The Commission looks forward to its continued work with MassHealth in FY 202</w:t>
      </w:r>
      <w:r>
        <w:rPr>
          <w:sz w:val="21"/>
        </w:rPr>
        <w:t>5.</w:t>
      </w:r>
    </w:p>
    <w:p>
      <w:pPr>
        <w:spacing w:after="0" w:line="276" w:lineRule="auto"/>
        <w:jc w:val="both"/>
        <w:rPr>
          <w:sz w:val="21"/>
        </w:rPr>
        <w:sectPr>
          <w:headerReference w:type="default" r:id="rId748"/>
          <w:footerReference w:type="default" r:id="rId749"/>
          <w:pgSz w:w="12240" w:h="15840"/>
          <w:pgMar w:header="804" w:footer="1263" w:top="1000" w:bottom="1460" w:left="960" w:right="1100"/>
        </w:sectPr>
      </w:pPr>
    </w:p>
    <w:p>
      <w:pPr>
        <w:pStyle w:val="BodyText"/>
        <w:spacing w:before="24"/>
        <w:rPr>
          <w:sz w:val="28"/>
        </w:rPr>
      </w:pPr>
    </w:p>
    <w:p>
      <w:pPr>
        <w:spacing w:before="0"/>
        <w:ind w:left="483" w:right="0" w:firstLine="0"/>
        <w:jc w:val="left"/>
        <w:rPr>
          <w:sz w:val="28"/>
        </w:rPr>
      </w:pPr>
      <w:r>
        <w:rPr/>
        <mc:AlternateContent>
          <mc:Choice Requires="wps">
            <w:drawing>
              <wp:anchor distT="0" distB="0" distL="0" distR="0" allowOverlap="1" layoutInCell="1" locked="0" behindDoc="1" simplePos="0" relativeHeight="487712256">
                <wp:simplePos x="0" y="0"/>
                <wp:positionH relativeFrom="page">
                  <wp:posOffset>889000</wp:posOffset>
                </wp:positionH>
                <wp:positionV relativeFrom="paragraph">
                  <wp:posOffset>241619</wp:posOffset>
                </wp:positionV>
                <wp:extent cx="5985510" cy="27305"/>
                <wp:effectExtent l="0" t="0" r="0" b="0"/>
                <wp:wrapTopAndBottom/>
                <wp:docPr id="617" name="Group 617"/>
                <wp:cNvGraphicFramePr>
                  <a:graphicFrameLocks/>
                </wp:cNvGraphicFramePr>
                <a:graphic>
                  <a:graphicData uri="http://schemas.microsoft.com/office/word/2010/wordprocessingGroup">
                    <wpg:wgp>
                      <wpg:cNvPr id="617" name="Group 617"/>
                      <wpg:cNvGrpSpPr/>
                      <wpg:grpSpPr>
                        <a:xfrm>
                          <a:off x="0" y="0"/>
                          <a:ext cx="5985510" cy="27305"/>
                          <a:chExt cx="5985510" cy="27305"/>
                        </a:xfrm>
                      </wpg:grpSpPr>
                      <wps:wsp>
                        <wps:cNvPr id="618" name="Graphic 618"/>
                        <wps:cNvSpPr/>
                        <wps:spPr>
                          <a:xfrm>
                            <a:off x="8636" y="20827"/>
                            <a:ext cx="5976620" cy="6350"/>
                          </a:xfrm>
                          <a:custGeom>
                            <a:avLst/>
                            <a:gdLst/>
                            <a:ahLst/>
                            <a:cxnLst/>
                            <a:rect l="l" t="t" r="r" b="b"/>
                            <a:pathLst>
                              <a:path w="5976620" h="6350">
                                <a:moveTo>
                                  <a:pt x="5976366" y="0"/>
                                </a:moveTo>
                                <a:lnTo>
                                  <a:pt x="0" y="0"/>
                                </a:lnTo>
                                <a:lnTo>
                                  <a:pt x="0" y="6096"/>
                                </a:lnTo>
                                <a:lnTo>
                                  <a:pt x="5976366" y="6096"/>
                                </a:lnTo>
                                <a:lnTo>
                                  <a:pt x="5976366" y="0"/>
                                </a:lnTo>
                                <a:close/>
                              </a:path>
                            </a:pathLst>
                          </a:custGeom>
                          <a:solidFill>
                            <a:srgbClr val="4F81BC"/>
                          </a:solidFill>
                        </wps:spPr>
                        <wps:bodyPr wrap="square" lIns="0" tIns="0" rIns="0" bIns="0" rtlCol="0">
                          <a:prstTxWarp prst="textNoShape">
                            <a:avLst/>
                          </a:prstTxWarp>
                          <a:noAutofit/>
                        </wps:bodyPr>
                      </wps:wsp>
                      <wps:wsp>
                        <wps:cNvPr id="619" name="Graphic 619"/>
                        <wps:cNvSpPr/>
                        <wps:spPr>
                          <a:xfrm>
                            <a:off x="0" y="0"/>
                            <a:ext cx="6350" cy="12700"/>
                          </a:xfrm>
                          <a:custGeom>
                            <a:avLst/>
                            <a:gdLst/>
                            <a:ahLst/>
                            <a:cxnLst/>
                            <a:rect l="l" t="t" r="r" b="b"/>
                            <a:pathLst>
                              <a:path w="6350" h="12700">
                                <a:moveTo>
                                  <a:pt x="6337" y="0"/>
                                </a:moveTo>
                                <a:lnTo>
                                  <a:pt x="0" y="0"/>
                                </a:lnTo>
                                <a:lnTo>
                                  <a:pt x="0" y="12217"/>
                                </a:lnTo>
                                <a:lnTo>
                                  <a:pt x="6337" y="12217"/>
                                </a:lnTo>
                                <a:lnTo>
                                  <a:pt x="6337" y="0"/>
                                </a:lnTo>
                                <a:close/>
                              </a:path>
                            </a:pathLst>
                          </a:custGeom>
                          <a:solidFill>
                            <a:srgbClr val="4F81BB"/>
                          </a:solidFill>
                        </wps:spPr>
                        <wps:bodyPr wrap="square" lIns="0" tIns="0" rIns="0" bIns="0" rtlCol="0">
                          <a:prstTxWarp prst="textNoShape">
                            <a:avLst/>
                          </a:prstTxWarp>
                          <a:noAutofit/>
                        </wps:bodyPr>
                      </wps:wsp>
                    </wpg:wgp>
                  </a:graphicData>
                </a:graphic>
              </wp:anchor>
            </w:drawing>
          </mc:Choice>
          <mc:Fallback>
            <w:pict>
              <v:group style="position:absolute;margin-left:70pt;margin-top:19.025156pt;width:471.3pt;height:2.15pt;mso-position-horizontal-relative:page;mso-position-vertical-relative:paragraph;z-index:-15604224;mso-wrap-distance-left:0;mso-wrap-distance-right:0" id="docshapegroup514" coordorigin="1400,381" coordsize="9426,43">
                <v:rect style="position:absolute;left:1413;top:413;width:9412;height:10" id="docshape515" filled="true" fillcolor="#4f81bc" stroked="false">
                  <v:fill type="solid"/>
                </v:rect>
                <v:rect style="position:absolute;left:1400;top:380;width:10;height:20" id="docshape516" filled="true" fillcolor="#4f81bb" stroked="false">
                  <v:fill type="solid"/>
                </v:rect>
                <w10:wrap type="topAndBottom"/>
              </v:group>
            </w:pict>
          </mc:Fallback>
        </mc:AlternateContent>
      </w:r>
      <w:r>
        <w:rPr>
          <w:color w:val="365F91"/>
          <w:sz w:val="28"/>
        </w:rPr>
        <w:t>FY</w:t>
      </w:r>
      <w:r>
        <w:rPr>
          <w:color w:val="365F91"/>
          <w:spacing w:val="-12"/>
          <w:sz w:val="28"/>
        </w:rPr>
        <w:t> </w:t>
      </w:r>
      <w:r>
        <w:rPr>
          <w:color w:val="365F91"/>
          <w:sz w:val="28"/>
        </w:rPr>
        <w:t>2025</w:t>
      </w:r>
      <w:r>
        <w:rPr>
          <w:color w:val="365F91"/>
          <w:spacing w:val="-11"/>
          <w:sz w:val="28"/>
        </w:rPr>
        <w:t> </w:t>
      </w:r>
      <w:r>
        <w:rPr>
          <w:color w:val="365F91"/>
          <w:sz w:val="28"/>
        </w:rPr>
        <w:t>Expanded</w:t>
      </w:r>
      <w:r>
        <w:rPr>
          <w:color w:val="365F91"/>
          <w:spacing w:val="-12"/>
          <w:sz w:val="28"/>
        </w:rPr>
        <w:t> </w:t>
      </w:r>
      <w:r>
        <w:rPr>
          <w:color w:val="365F91"/>
          <w:sz w:val="28"/>
        </w:rPr>
        <w:t>MassHealth</w:t>
      </w:r>
      <w:r>
        <w:rPr>
          <w:color w:val="365F91"/>
          <w:spacing w:val="-11"/>
          <w:sz w:val="28"/>
        </w:rPr>
        <w:t> </w:t>
      </w:r>
      <w:r>
        <w:rPr>
          <w:color w:val="365F91"/>
          <w:spacing w:val="-2"/>
          <w:sz w:val="28"/>
        </w:rPr>
        <w:t>Recommendations</w:t>
      </w:r>
    </w:p>
    <w:p>
      <w:pPr>
        <w:numPr>
          <w:ilvl w:val="0"/>
          <w:numId w:val="42"/>
        </w:numPr>
        <w:tabs>
          <w:tab w:pos="481" w:val="left" w:leader="none"/>
          <w:tab w:pos="483" w:val="left" w:leader="none"/>
        </w:tabs>
        <w:spacing w:line="276" w:lineRule="auto" w:before="241"/>
        <w:ind w:left="483" w:right="344" w:hanging="360"/>
        <w:jc w:val="left"/>
        <w:rPr>
          <w:b/>
          <w:sz w:val="22"/>
        </w:rPr>
      </w:pPr>
      <w:r>
        <w:rPr>
          <w:b/>
          <w:sz w:val="22"/>
        </w:rPr>
        <w:t>Review</w:t>
      </w:r>
      <w:r>
        <w:rPr>
          <w:b/>
          <w:spacing w:val="30"/>
          <w:sz w:val="22"/>
        </w:rPr>
        <w:t> </w:t>
      </w:r>
      <w:r>
        <w:rPr>
          <w:b/>
          <w:sz w:val="22"/>
        </w:rPr>
        <w:t>MassHealth</w:t>
      </w:r>
      <w:r>
        <w:rPr>
          <w:b/>
          <w:spacing w:val="31"/>
          <w:sz w:val="22"/>
        </w:rPr>
        <w:t> </w:t>
      </w:r>
      <w:r>
        <w:rPr>
          <w:b/>
          <w:sz w:val="22"/>
        </w:rPr>
        <w:t>policies</w:t>
      </w:r>
      <w:r>
        <w:rPr>
          <w:b/>
          <w:spacing w:val="30"/>
          <w:sz w:val="22"/>
        </w:rPr>
        <w:t> </w:t>
      </w:r>
      <w:r>
        <w:rPr>
          <w:b/>
          <w:sz w:val="22"/>
        </w:rPr>
        <w:t>and</w:t>
      </w:r>
      <w:r>
        <w:rPr>
          <w:b/>
          <w:spacing w:val="30"/>
          <w:sz w:val="22"/>
        </w:rPr>
        <w:t> </w:t>
      </w:r>
      <w:r>
        <w:rPr>
          <w:b/>
          <w:sz w:val="22"/>
        </w:rPr>
        <w:t>guidelines</w:t>
      </w:r>
      <w:r>
        <w:rPr>
          <w:b/>
          <w:spacing w:val="30"/>
          <w:sz w:val="22"/>
        </w:rPr>
        <w:t> </w:t>
      </w:r>
      <w:r>
        <w:rPr>
          <w:b/>
          <w:sz w:val="22"/>
        </w:rPr>
        <w:t>to</w:t>
      </w:r>
      <w:r>
        <w:rPr>
          <w:b/>
          <w:spacing w:val="30"/>
          <w:sz w:val="22"/>
        </w:rPr>
        <w:t> </w:t>
      </w:r>
      <w:r>
        <w:rPr>
          <w:b/>
          <w:sz w:val="22"/>
        </w:rPr>
        <w:t>increase</w:t>
      </w:r>
      <w:r>
        <w:rPr>
          <w:b/>
          <w:spacing w:val="30"/>
          <w:sz w:val="22"/>
        </w:rPr>
        <w:t> </w:t>
      </w:r>
      <w:r>
        <w:rPr>
          <w:b/>
          <w:sz w:val="22"/>
        </w:rPr>
        <w:t>access</w:t>
      </w:r>
      <w:r>
        <w:rPr>
          <w:b/>
          <w:spacing w:val="31"/>
          <w:sz w:val="22"/>
        </w:rPr>
        <w:t> </w:t>
      </w:r>
      <w:r>
        <w:rPr>
          <w:b/>
          <w:sz w:val="22"/>
        </w:rPr>
        <w:t>to</w:t>
      </w:r>
      <w:r>
        <w:rPr>
          <w:b/>
          <w:spacing w:val="30"/>
          <w:sz w:val="22"/>
        </w:rPr>
        <w:t> </w:t>
      </w:r>
      <w:r>
        <w:rPr>
          <w:b/>
          <w:sz w:val="22"/>
        </w:rPr>
        <w:t>gender-affirming</w:t>
      </w:r>
      <w:r>
        <w:rPr>
          <w:b/>
          <w:spacing w:val="29"/>
          <w:sz w:val="22"/>
        </w:rPr>
        <w:t> </w:t>
      </w:r>
      <w:r>
        <w:rPr>
          <w:b/>
          <w:sz w:val="22"/>
        </w:rPr>
        <w:t>care</w:t>
      </w:r>
      <w:r>
        <w:rPr>
          <w:b/>
          <w:spacing w:val="31"/>
          <w:sz w:val="22"/>
        </w:rPr>
        <w:t> </w:t>
      </w:r>
      <w:r>
        <w:rPr>
          <w:b/>
          <w:sz w:val="22"/>
        </w:rPr>
        <w:t>and</w:t>
      </w:r>
      <w:r>
        <w:rPr>
          <w:b/>
          <w:spacing w:val="30"/>
          <w:sz w:val="22"/>
        </w:rPr>
        <w:t> </w:t>
      </w:r>
      <w:r>
        <w:rPr>
          <w:b/>
          <w:sz w:val="22"/>
        </w:rPr>
        <w:t>reduce health disparities among LGBTQ communities and communities of color.</w:t>
      </w:r>
    </w:p>
    <w:p>
      <w:pPr>
        <w:pStyle w:val="BodyText"/>
        <w:spacing w:line="276" w:lineRule="auto" w:before="239"/>
        <w:ind w:left="482" w:right="340"/>
        <w:jc w:val="both"/>
      </w:pPr>
      <w:r>
        <w:rPr/>
        <w:t>The Commission recommends that MassHealth continue to review policies and guidelines to increase access</w:t>
      </w:r>
      <w:r>
        <w:rPr>
          <w:spacing w:val="-1"/>
        </w:rPr>
        <w:t> </w:t>
      </w:r>
      <w:r>
        <w:rPr/>
        <w:t>to</w:t>
      </w:r>
      <w:r>
        <w:rPr>
          <w:spacing w:val="-1"/>
        </w:rPr>
        <w:t> </w:t>
      </w:r>
      <w:r>
        <w:rPr/>
        <w:t>gender-affirming</w:t>
      </w:r>
      <w:r>
        <w:rPr>
          <w:spacing w:val="-1"/>
        </w:rPr>
        <w:t> </w:t>
      </w:r>
      <w:r>
        <w:rPr/>
        <w:t>care,</w:t>
      </w:r>
      <w:r>
        <w:rPr>
          <w:spacing w:val="-1"/>
        </w:rPr>
        <w:t> </w:t>
      </w:r>
      <w:r>
        <w:rPr/>
        <w:t>and</w:t>
      </w:r>
      <w:r>
        <w:rPr>
          <w:spacing w:val="-1"/>
        </w:rPr>
        <w:t> </w:t>
      </w:r>
      <w:r>
        <w:rPr/>
        <w:t>to reduce</w:t>
      </w:r>
      <w:r>
        <w:rPr>
          <w:spacing w:val="-2"/>
        </w:rPr>
        <w:t> </w:t>
      </w:r>
      <w:r>
        <w:rPr/>
        <w:t>health</w:t>
      </w:r>
      <w:r>
        <w:rPr>
          <w:spacing w:val="-2"/>
        </w:rPr>
        <w:t> </w:t>
      </w:r>
      <w:r>
        <w:rPr/>
        <w:t>disparities among</w:t>
      </w:r>
      <w:r>
        <w:rPr>
          <w:spacing w:val="-2"/>
        </w:rPr>
        <w:t> </w:t>
      </w:r>
      <w:r>
        <w:rPr/>
        <w:t>LGBTQ</w:t>
      </w:r>
      <w:r>
        <w:rPr>
          <w:spacing w:val="-2"/>
        </w:rPr>
        <w:t> </w:t>
      </w:r>
      <w:r>
        <w:rPr/>
        <w:t>and</w:t>
      </w:r>
      <w:r>
        <w:rPr>
          <w:spacing w:val="-2"/>
        </w:rPr>
        <w:t> </w:t>
      </w:r>
      <w:r>
        <w:rPr/>
        <w:t>BIPOC communities. Furthermore,</w:t>
      </w:r>
      <w:r>
        <w:rPr>
          <w:spacing w:val="-1"/>
        </w:rPr>
        <w:t> </w:t>
      </w:r>
      <w:r>
        <w:rPr/>
        <w:t>the</w:t>
      </w:r>
      <w:r>
        <w:rPr>
          <w:spacing w:val="-2"/>
        </w:rPr>
        <w:t> </w:t>
      </w:r>
      <w:r>
        <w:rPr/>
        <w:t>Commission</w:t>
      </w:r>
      <w:r>
        <w:rPr>
          <w:spacing w:val="-2"/>
        </w:rPr>
        <w:t> </w:t>
      </w:r>
      <w:r>
        <w:rPr/>
        <w:t>continues to</w:t>
      </w:r>
      <w:r>
        <w:rPr>
          <w:spacing w:val="-1"/>
        </w:rPr>
        <w:t> </w:t>
      </w:r>
      <w:r>
        <w:rPr/>
        <w:t>recommend</w:t>
      </w:r>
      <w:r>
        <w:rPr>
          <w:spacing w:val="-2"/>
        </w:rPr>
        <w:t> </w:t>
      </w:r>
      <w:r>
        <w:rPr/>
        <w:t>that</w:t>
      </w:r>
      <w:r>
        <w:rPr>
          <w:spacing w:val="-2"/>
        </w:rPr>
        <w:t> </w:t>
      </w:r>
      <w:r>
        <w:rPr/>
        <w:t>MassHealth</w:t>
      </w:r>
      <w:r>
        <w:rPr>
          <w:spacing w:val="-2"/>
        </w:rPr>
        <w:t> </w:t>
      </w:r>
      <w:r>
        <w:rPr/>
        <w:t>adopts</w:t>
      </w:r>
      <w:r>
        <w:rPr>
          <w:spacing w:val="-1"/>
        </w:rPr>
        <w:t> </w:t>
      </w:r>
      <w:r>
        <w:rPr/>
        <w:t>a</w:t>
      </w:r>
      <w:r>
        <w:rPr>
          <w:spacing w:val="-1"/>
        </w:rPr>
        <w:t> </w:t>
      </w:r>
      <w:r>
        <w:rPr/>
        <w:t>comprehensive</w:t>
      </w:r>
      <w:r>
        <w:rPr>
          <w:spacing w:val="-2"/>
        </w:rPr>
        <w:t> </w:t>
      </w:r>
      <w:r>
        <w:rPr/>
        <w:t>policy on</w:t>
      </w:r>
      <w:r>
        <w:rPr>
          <w:spacing w:val="-13"/>
        </w:rPr>
        <w:t> </w:t>
      </w:r>
      <w:r>
        <w:rPr/>
        <w:t>expanding</w:t>
      </w:r>
      <w:r>
        <w:rPr>
          <w:spacing w:val="-12"/>
        </w:rPr>
        <w:t> </w:t>
      </w:r>
      <w:r>
        <w:rPr/>
        <w:t>healthcare</w:t>
      </w:r>
      <w:r>
        <w:rPr>
          <w:spacing w:val="-13"/>
        </w:rPr>
        <w:t> </w:t>
      </w:r>
      <w:r>
        <w:rPr/>
        <w:t>access</w:t>
      </w:r>
      <w:r>
        <w:rPr>
          <w:spacing w:val="-12"/>
        </w:rPr>
        <w:t> </w:t>
      </w:r>
      <w:r>
        <w:rPr/>
        <w:t>and</w:t>
      </w:r>
      <w:r>
        <w:rPr>
          <w:spacing w:val="-13"/>
        </w:rPr>
        <w:t> </w:t>
      </w:r>
      <w:r>
        <w:rPr/>
        <w:t>trauma-informed</w:t>
      </w:r>
      <w:r>
        <w:rPr>
          <w:spacing w:val="-12"/>
        </w:rPr>
        <w:t> </w:t>
      </w:r>
      <w:r>
        <w:rPr/>
        <w:t>care</w:t>
      </w:r>
      <w:r>
        <w:rPr>
          <w:spacing w:val="-13"/>
        </w:rPr>
        <w:t> </w:t>
      </w:r>
      <w:r>
        <w:rPr/>
        <w:t>to</w:t>
      </w:r>
      <w:r>
        <w:rPr>
          <w:spacing w:val="-12"/>
        </w:rPr>
        <w:t> </w:t>
      </w:r>
      <w:r>
        <w:rPr/>
        <w:t>transgender</w:t>
      </w:r>
      <w:r>
        <w:rPr>
          <w:spacing w:val="-12"/>
        </w:rPr>
        <w:t> </w:t>
      </w:r>
      <w:r>
        <w:rPr/>
        <w:t>communities.</w:t>
      </w:r>
      <w:r>
        <w:rPr>
          <w:spacing w:val="-13"/>
        </w:rPr>
        <w:t> </w:t>
      </w:r>
      <w:r>
        <w:rPr/>
        <w:t>It</w:t>
      </w:r>
      <w:r>
        <w:rPr>
          <w:spacing w:val="-12"/>
        </w:rPr>
        <w:t> </w:t>
      </w:r>
      <w:r>
        <w:rPr/>
        <w:t>should</w:t>
      </w:r>
      <w:r>
        <w:rPr>
          <w:spacing w:val="-13"/>
        </w:rPr>
        <w:t> </w:t>
      </w:r>
      <w:r>
        <w:rPr/>
        <w:t>address eliminating anti- LGBTQ discrimination from healthcare and benefits practices, as well as mandate trainings for LGBTQ competency, and the creation of an employee handbook on LGBTQ resources and </w:t>
      </w:r>
      <w:r>
        <w:rPr>
          <w:spacing w:val="-2"/>
        </w:rPr>
        <w:t>topics.</w:t>
      </w:r>
    </w:p>
    <w:p>
      <w:pPr>
        <w:numPr>
          <w:ilvl w:val="0"/>
          <w:numId w:val="42"/>
        </w:numPr>
        <w:tabs>
          <w:tab w:pos="480" w:val="left" w:leader="none"/>
          <w:tab w:pos="482" w:val="left" w:leader="none"/>
        </w:tabs>
        <w:spacing w:line="276" w:lineRule="auto" w:before="241"/>
        <w:ind w:left="482" w:right="344" w:hanging="360"/>
        <w:jc w:val="left"/>
        <w:rPr>
          <w:b/>
          <w:sz w:val="22"/>
        </w:rPr>
      </w:pPr>
      <w:r>
        <w:rPr>
          <w:b/>
          <w:sz w:val="22"/>
        </w:rPr>
        <w:t>Expand data collection efforts beyond federal requirements to collect data on sexual orientation and gender identity and expression (SOGIE).</w:t>
      </w:r>
    </w:p>
    <w:p>
      <w:pPr>
        <w:pStyle w:val="BodyText"/>
        <w:spacing w:line="276" w:lineRule="auto" w:before="240"/>
        <w:ind w:left="482" w:right="340"/>
        <w:jc w:val="both"/>
      </w:pPr>
      <w:r>
        <w:rPr/>
        <w:t>A majority of data at MassHealth is currently dependent on diagnoses of gender dysphoria, making comprehensive gender-affirming care difficult to come by for many transgender individuals, especially those who are not open about their identities. As SOGIE data is often collected only through community partner programs or member surveys, there is still a large gap in accurate information, which harms the efficient and inclusive provision of healthcare services. The Commission recommends the urgent application</w:t>
      </w:r>
      <w:r>
        <w:rPr>
          <w:spacing w:val="-9"/>
        </w:rPr>
        <w:t> </w:t>
      </w:r>
      <w:r>
        <w:rPr/>
        <w:t>of</w:t>
      </w:r>
      <w:r>
        <w:rPr>
          <w:spacing w:val="-9"/>
        </w:rPr>
        <w:t> </w:t>
      </w:r>
      <w:r>
        <w:rPr/>
        <w:t>data</w:t>
      </w:r>
      <w:r>
        <w:rPr>
          <w:spacing w:val="-9"/>
        </w:rPr>
        <w:t> </w:t>
      </w:r>
      <w:r>
        <w:rPr/>
        <w:t>collection</w:t>
      </w:r>
      <w:r>
        <w:rPr>
          <w:spacing w:val="-10"/>
        </w:rPr>
        <w:t> </w:t>
      </w:r>
      <w:r>
        <w:rPr/>
        <w:t>services</w:t>
      </w:r>
      <w:r>
        <w:rPr>
          <w:spacing w:val="-9"/>
        </w:rPr>
        <w:t> </w:t>
      </w:r>
      <w:r>
        <w:rPr/>
        <w:t>that</w:t>
      </w:r>
      <w:r>
        <w:rPr>
          <w:spacing w:val="-11"/>
        </w:rPr>
        <w:t> </w:t>
      </w:r>
      <w:r>
        <w:rPr/>
        <w:t>include</w:t>
      </w:r>
      <w:r>
        <w:rPr>
          <w:spacing w:val="-9"/>
        </w:rPr>
        <w:t> </w:t>
      </w:r>
      <w:r>
        <w:rPr/>
        <w:t>questions</w:t>
      </w:r>
      <w:r>
        <w:rPr>
          <w:spacing w:val="-10"/>
        </w:rPr>
        <w:t> </w:t>
      </w:r>
      <w:r>
        <w:rPr/>
        <w:t>on</w:t>
      </w:r>
      <w:r>
        <w:rPr>
          <w:spacing w:val="-9"/>
        </w:rPr>
        <w:t> </w:t>
      </w:r>
      <w:r>
        <w:rPr/>
        <w:t>gender</w:t>
      </w:r>
      <w:r>
        <w:rPr>
          <w:spacing w:val="-10"/>
        </w:rPr>
        <w:t> </w:t>
      </w:r>
      <w:r>
        <w:rPr/>
        <w:t>identity,</w:t>
      </w:r>
      <w:r>
        <w:rPr>
          <w:spacing w:val="-9"/>
        </w:rPr>
        <w:t> </w:t>
      </w:r>
      <w:r>
        <w:rPr/>
        <w:t>sex</w:t>
      </w:r>
      <w:r>
        <w:rPr>
          <w:spacing w:val="-11"/>
        </w:rPr>
        <w:t> </w:t>
      </w:r>
      <w:r>
        <w:rPr/>
        <w:t>assigned</w:t>
      </w:r>
      <w:r>
        <w:rPr>
          <w:spacing w:val="-9"/>
        </w:rPr>
        <w:t> </w:t>
      </w:r>
      <w:r>
        <w:rPr/>
        <w:t>at</w:t>
      </w:r>
      <w:r>
        <w:rPr>
          <w:spacing w:val="-11"/>
        </w:rPr>
        <w:t> </w:t>
      </w:r>
      <w:r>
        <w:rPr/>
        <w:t>birth,</w:t>
      </w:r>
      <w:r>
        <w:rPr>
          <w:spacing w:val="-10"/>
        </w:rPr>
        <w:t> </w:t>
      </w:r>
      <w:r>
        <w:rPr/>
        <w:t>and sexual</w:t>
      </w:r>
      <w:r>
        <w:rPr>
          <w:spacing w:val="-4"/>
        </w:rPr>
        <w:t> </w:t>
      </w:r>
      <w:r>
        <w:rPr/>
        <w:t>orientation</w:t>
      </w:r>
      <w:r>
        <w:rPr>
          <w:spacing w:val="-4"/>
        </w:rPr>
        <w:t> </w:t>
      </w:r>
      <w:r>
        <w:rPr/>
        <w:t>which</w:t>
      </w:r>
      <w:r>
        <w:rPr>
          <w:spacing w:val="-3"/>
        </w:rPr>
        <w:t> </w:t>
      </w:r>
      <w:r>
        <w:rPr/>
        <w:t>should</w:t>
      </w:r>
      <w:r>
        <w:rPr>
          <w:spacing w:val="-3"/>
        </w:rPr>
        <w:t> </w:t>
      </w:r>
      <w:r>
        <w:rPr/>
        <w:t>be</w:t>
      </w:r>
      <w:r>
        <w:rPr>
          <w:spacing w:val="-3"/>
        </w:rPr>
        <w:t> </w:t>
      </w:r>
      <w:r>
        <w:rPr/>
        <w:t>reinforced</w:t>
      </w:r>
      <w:r>
        <w:rPr>
          <w:spacing w:val="-3"/>
        </w:rPr>
        <w:t> </w:t>
      </w:r>
      <w:r>
        <w:rPr/>
        <w:t>by</w:t>
      </w:r>
      <w:r>
        <w:rPr>
          <w:spacing w:val="-3"/>
        </w:rPr>
        <w:t> </w:t>
      </w:r>
      <w:r>
        <w:rPr/>
        <w:t>proper</w:t>
      </w:r>
      <w:r>
        <w:rPr>
          <w:spacing w:val="-3"/>
        </w:rPr>
        <w:t> </w:t>
      </w:r>
      <w:r>
        <w:rPr/>
        <w:t>training</w:t>
      </w:r>
      <w:r>
        <w:rPr>
          <w:spacing w:val="-4"/>
        </w:rPr>
        <w:t> </w:t>
      </w:r>
      <w:r>
        <w:rPr/>
        <w:t>of</w:t>
      </w:r>
      <w:r>
        <w:rPr>
          <w:spacing w:val="-4"/>
        </w:rPr>
        <w:t> </w:t>
      </w:r>
      <w:r>
        <w:rPr/>
        <w:t>healthcare</w:t>
      </w:r>
      <w:r>
        <w:rPr>
          <w:spacing w:val="-2"/>
        </w:rPr>
        <w:t> </w:t>
      </w:r>
      <w:r>
        <w:rPr/>
        <w:t>providers</w:t>
      </w:r>
      <w:r>
        <w:rPr>
          <w:spacing w:val="-4"/>
        </w:rPr>
        <w:t> </w:t>
      </w:r>
      <w:r>
        <w:rPr/>
        <w:t>on</w:t>
      </w:r>
      <w:r>
        <w:rPr>
          <w:spacing w:val="-2"/>
        </w:rPr>
        <w:t> </w:t>
      </w:r>
      <w:r>
        <w:rPr/>
        <w:t>the</w:t>
      </w:r>
      <w:r>
        <w:rPr>
          <w:spacing w:val="-3"/>
        </w:rPr>
        <w:t> </w:t>
      </w:r>
      <w:r>
        <w:rPr/>
        <w:t>uses</w:t>
      </w:r>
      <w:r>
        <w:rPr>
          <w:spacing w:val="-3"/>
        </w:rPr>
        <w:t> </w:t>
      </w:r>
      <w:r>
        <w:rPr/>
        <w:t>and importance of these questions. The Commission also recommends updating MassHealth computer systems to include the option of ‘non-binary’ under ‘sex’.</w:t>
      </w:r>
    </w:p>
    <w:p>
      <w:pPr>
        <w:pStyle w:val="BodyText"/>
        <w:spacing w:line="276" w:lineRule="auto" w:before="239"/>
        <w:ind w:left="482" w:right="340"/>
        <w:jc w:val="both"/>
      </w:pPr>
      <w:r>
        <w:rPr/>
        <w:t>As</w:t>
      </w:r>
      <w:r>
        <w:rPr>
          <w:spacing w:val="-8"/>
        </w:rPr>
        <w:t> </w:t>
      </w:r>
      <w:r>
        <w:rPr/>
        <w:t>reporting</w:t>
      </w:r>
      <w:r>
        <w:rPr>
          <w:spacing w:val="-8"/>
        </w:rPr>
        <w:t> </w:t>
      </w:r>
      <w:r>
        <w:rPr/>
        <w:t>laws</w:t>
      </w:r>
      <w:r>
        <w:rPr>
          <w:spacing w:val="-8"/>
        </w:rPr>
        <w:t> </w:t>
      </w:r>
      <w:r>
        <w:rPr/>
        <w:t>require</w:t>
      </w:r>
      <w:r>
        <w:rPr>
          <w:spacing w:val="-8"/>
        </w:rPr>
        <w:t> </w:t>
      </w:r>
      <w:r>
        <w:rPr/>
        <w:t>data</w:t>
      </w:r>
      <w:r>
        <w:rPr>
          <w:spacing w:val="-9"/>
        </w:rPr>
        <w:t> </w:t>
      </w:r>
      <w:r>
        <w:rPr/>
        <w:t>to</w:t>
      </w:r>
      <w:r>
        <w:rPr>
          <w:spacing w:val="-8"/>
        </w:rPr>
        <w:t> </w:t>
      </w:r>
      <w:r>
        <w:rPr/>
        <w:t>be</w:t>
      </w:r>
      <w:r>
        <w:rPr>
          <w:spacing w:val="-8"/>
        </w:rPr>
        <w:t> </w:t>
      </w:r>
      <w:r>
        <w:rPr/>
        <w:t>sent</w:t>
      </w:r>
      <w:r>
        <w:rPr>
          <w:spacing w:val="-8"/>
        </w:rPr>
        <w:t> </w:t>
      </w:r>
      <w:r>
        <w:rPr/>
        <w:t>to</w:t>
      </w:r>
      <w:r>
        <w:rPr>
          <w:spacing w:val="-8"/>
        </w:rPr>
        <w:t> </w:t>
      </w:r>
      <w:r>
        <w:rPr/>
        <w:t>the</w:t>
      </w:r>
      <w:r>
        <w:rPr>
          <w:spacing w:val="-9"/>
        </w:rPr>
        <w:t> </w:t>
      </w:r>
      <w:r>
        <w:rPr/>
        <w:t>federal</w:t>
      </w:r>
      <w:r>
        <w:rPr>
          <w:spacing w:val="-9"/>
        </w:rPr>
        <w:t> </w:t>
      </w:r>
      <w:r>
        <w:rPr/>
        <w:t>government,</w:t>
      </w:r>
      <w:r>
        <w:rPr>
          <w:spacing w:val="-9"/>
        </w:rPr>
        <w:t> </w:t>
      </w:r>
      <w:r>
        <w:rPr/>
        <w:t>there</w:t>
      </w:r>
      <w:r>
        <w:rPr>
          <w:spacing w:val="-8"/>
        </w:rPr>
        <w:t> </w:t>
      </w:r>
      <w:r>
        <w:rPr/>
        <w:t>is</w:t>
      </w:r>
      <w:r>
        <w:rPr>
          <w:spacing w:val="-8"/>
        </w:rPr>
        <w:t> </w:t>
      </w:r>
      <w:r>
        <w:rPr/>
        <w:t>the</w:t>
      </w:r>
      <w:r>
        <w:rPr>
          <w:spacing w:val="-8"/>
        </w:rPr>
        <w:t> </w:t>
      </w:r>
      <w:r>
        <w:rPr/>
        <w:t>challenge</w:t>
      </w:r>
      <w:r>
        <w:rPr>
          <w:spacing w:val="-9"/>
        </w:rPr>
        <w:t> </w:t>
      </w:r>
      <w:r>
        <w:rPr/>
        <w:t>of</w:t>
      </w:r>
      <w:r>
        <w:rPr>
          <w:spacing w:val="-9"/>
        </w:rPr>
        <w:t> </w:t>
      </w:r>
      <w:r>
        <w:rPr/>
        <w:t>federal</w:t>
      </w:r>
      <w:r>
        <w:rPr>
          <w:spacing w:val="-9"/>
        </w:rPr>
        <w:t> </w:t>
      </w:r>
      <w:r>
        <w:rPr/>
        <w:t>laws that allow only binary Male/Female categorical selections for sex. In order to support the counting and inclusion of LGBTQ identities in the healthcare system, the Commission strongly recommends that MassHealth add a disclaimer or explanation to all data collection efforts to clarify that federal guidelines require</w:t>
      </w:r>
      <w:r>
        <w:rPr>
          <w:spacing w:val="-6"/>
        </w:rPr>
        <w:t> </w:t>
      </w:r>
      <w:r>
        <w:rPr/>
        <w:t>this</w:t>
      </w:r>
      <w:r>
        <w:rPr>
          <w:spacing w:val="-6"/>
        </w:rPr>
        <w:t> </w:t>
      </w:r>
      <w:r>
        <w:rPr/>
        <w:t>information</w:t>
      </w:r>
      <w:r>
        <w:rPr>
          <w:spacing w:val="-8"/>
        </w:rPr>
        <w:t> </w:t>
      </w:r>
      <w:r>
        <w:rPr/>
        <w:t>and</w:t>
      </w:r>
      <w:r>
        <w:rPr>
          <w:spacing w:val="-7"/>
        </w:rPr>
        <w:t> </w:t>
      </w:r>
      <w:r>
        <w:rPr/>
        <w:t>that</w:t>
      </w:r>
      <w:r>
        <w:rPr>
          <w:spacing w:val="-7"/>
        </w:rPr>
        <w:t> </w:t>
      </w:r>
      <w:r>
        <w:rPr/>
        <w:t>MassHealth</w:t>
      </w:r>
      <w:r>
        <w:rPr>
          <w:spacing w:val="-7"/>
        </w:rPr>
        <w:t> </w:t>
      </w:r>
      <w:r>
        <w:rPr/>
        <w:t>recognizes</w:t>
      </w:r>
      <w:r>
        <w:rPr>
          <w:spacing w:val="-6"/>
        </w:rPr>
        <w:t> </w:t>
      </w:r>
      <w:r>
        <w:rPr/>
        <w:t>the</w:t>
      </w:r>
      <w:r>
        <w:rPr>
          <w:spacing w:val="-6"/>
        </w:rPr>
        <w:t> </w:t>
      </w:r>
      <w:r>
        <w:rPr/>
        <w:t>need</w:t>
      </w:r>
      <w:r>
        <w:rPr>
          <w:spacing w:val="-8"/>
        </w:rPr>
        <w:t> </w:t>
      </w:r>
      <w:r>
        <w:rPr/>
        <w:t>for</w:t>
      </w:r>
      <w:r>
        <w:rPr>
          <w:spacing w:val="-6"/>
        </w:rPr>
        <w:t> </w:t>
      </w:r>
      <w:r>
        <w:rPr/>
        <w:t>better</w:t>
      </w:r>
      <w:r>
        <w:rPr>
          <w:spacing w:val="-6"/>
        </w:rPr>
        <w:t> </w:t>
      </w:r>
      <w:r>
        <w:rPr/>
        <w:t>categorizations.</w:t>
      </w:r>
      <w:r>
        <w:rPr>
          <w:spacing w:val="-8"/>
        </w:rPr>
        <w:t> </w:t>
      </w:r>
      <w:r>
        <w:rPr/>
        <w:t>MassHealth noted in its May 2022 report that additional challenges lie in determining applicable best practices for SOGIE data collection and working with existing IT barriers. However, it additionally noted that this recommendation is a top priority for the MassHealth Health Equity Alignment Team.</w:t>
      </w:r>
    </w:p>
    <w:p>
      <w:pPr>
        <w:pStyle w:val="BodyText"/>
        <w:spacing w:line="276" w:lineRule="auto" w:before="240"/>
        <w:ind w:left="482" w:right="342"/>
        <w:jc w:val="both"/>
      </w:pPr>
      <w:r>
        <w:rPr/>
        <w:t>The</w:t>
      </w:r>
      <w:r>
        <w:rPr>
          <w:spacing w:val="-1"/>
        </w:rPr>
        <w:t> </w:t>
      </w:r>
      <w:r>
        <w:rPr/>
        <w:t>Commission</w:t>
      </w:r>
      <w:r>
        <w:rPr>
          <w:spacing w:val="-1"/>
        </w:rPr>
        <w:t> </w:t>
      </w:r>
      <w:r>
        <w:rPr/>
        <w:t>further recommends that</w:t>
      </w:r>
      <w:r>
        <w:rPr>
          <w:spacing w:val="-1"/>
        </w:rPr>
        <w:t> </w:t>
      </w:r>
      <w:r>
        <w:rPr/>
        <w:t>MassHealth</w:t>
      </w:r>
      <w:r>
        <w:rPr>
          <w:spacing w:val="-1"/>
        </w:rPr>
        <w:t> </w:t>
      </w:r>
      <w:r>
        <w:rPr/>
        <w:t>partner with</w:t>
      </w:r>
      <w:r>
        <w:rPr>
          <w:spacing w:val="-1"/>
        </w:rPr>
        <w:t> </w:t>
      </w:r>
      <w:r>
        <w:rPr/>
        <w:t>community organizations and</w:t>
      </w:r>
      <w:r>
        <w:rPr>
          <w:spacing w:val="-1"/>
        </w:rPr>
        <w:t> </w:t>
      </w:r>
      <w:r>
        <w:rPr/>
        <w:t>other state</w:t>
      </w:r>
      <w:r>
        <w:rPr>
          <w:spacing w:val="-2"/>
        </w:rPr>
        <w:t> </w:t>
      </w:r>
      <w:r>
        <w:rPr/>
        <w:t>agencies</w:t>
      </w:r>
      <w:r>
        <w:rPr>
          <w:spacing w:val="-2"/>
        </w:rPr>
        <w:t> </w:t>
      </w:r>
      <w:r>
        <w:rPr/>
        <w:t>-</w:t>
      </w:r>
      <w:r>
        <w:rPr>
          <w:spacing w:val="-2"/>
        </w:rPr>
        <w:t> </w:t>
      </w:r>
      <w:r>
        <w:rPr/>
        <w:t>particularly</w:t>
      </w:r>
      <w:r>
        <w:rPr>
          <w:spacing w:val="-2"/>
        </w:rPr>
        <w:t> </w:t>
      </w:r>
      <w:r>
        <w:rPr/>
        <w:t>DMH</w:t>
      </w:r>
      <w:r>
        <w:rPr>
          <w:spacing w:val="-2"/>
        </w:rPr>
        <w:t> </w:t>
      </w:r>
      <w:r>
        <w:rPr/>
        <w:t>-</w:t>
      </w:r>
      <w:r>
        <w:rPr>
          <w:spacing w:val="-1"/>
        </w:rPr>
        <w:t> </w:t>
      </w:r>
      <w:r>
        <w:rPr/>
        <w:t>to</w:t>
      </w:r>
      <w:r>
        <w:rPr>
          <w:spacing w:val="-1"/>
        </w:rPr>
        <w:t> </w:t>
      </w:r>
      <w:r>
        <w:rPr/>
        <w:t>develop</w:t>
      </w:r>
      <w:r>
        <w:rPr>
          <w:spacing w:val="-2"/>
        </w:rPr>
        <w:t> </w:t>
      </w:r>
      <w:r>
        <w:rPr/>
        <w:t>guidelines</w:t>
      </w:r>
      <w:r>
        <w:rPr>
          <w:spacing w:val="-1"/>
        </w:rPr>
        <w:t> </w:t>
      </w:r>
      <w:r>
        <w:rPr/>
        <w:t>for</w:t>
      </w:r>
      <w:r>
        <w:rPr>
          <w:spacing w:val="-2"/>
        </w:rPr>
        <w:t> </w:t>
      </w:r>
      <w:r>
        <w:rPr/>
        <w:t>pediatric</w:t>
      </w:r>
      <w:r>
        <w:rPr>
          <w:spacing w:val="-1"/>
        </w:rPr>
        <w:t> </w:t>
      </w:r>
      <w:r>
        <w:rPr/>
        <w:t>providers</w:t>
      </w:r>
      <w:r>
        <w:rPr>
          <w:spacing w:val="-1"/>
        </w:rPr>
        <w:t> </w:t>
      </w:r>
      <w:r>
        <w:rPr/>
        <w:t>on</w:t>
      </w:r>
      <w:r>
        <w:rPr>
          <w:spacing w:val="-2"/>
        </w:rPr>
        <w:t> </w:t>
      </w:r>
      <w:r>
        <w:rPr/>
        <w:t>SOGIE</w:t>
      </w:r>
      <w:r>
        <w:rPr>
          <w:spacing w:val="-1"/>
        </w:rPr>
        <w:t> </w:t>
      </w:r>
      <w:r>
        <w:rPr/>
        <w:t>data</w:t>
      </w:r>
      <w:r>
        <w:rPr>
          <w:spacing w:val="-2"/>
        </w:rPr>
        <w:t> </w:t>
      </w:r>
      <w:r>
        <w:rPr/>
        <w:t>collection practices where there is a risk of outing youth, or caregivers are answering on behalf of youth.</w:t>
      </w:r>
    </w:p>
    <w:p>
      <w:pPr>
        <w:spacing w:after="0" w:line="276" w:lineRule="auto"/>
        <w:jc w:val="both"/>
        <w:sectPr>
          <w:pgSz w:w="12240" w:h="15840"/>
          <w:pgMar w:header="804" w:footer="1263" w:top="1000" w:bottom="1460" w:left="960" w:right="1100"/>
        </w:sectPr>
      </w:pPr>
    </w:p>
    <w:p>
      <w:pPr>
        <w:pStyle w:val="BodyText"/>
        <w:spacing w:before="98"/>
      </w:pPr>
    </w:p>
    <w:p>
      <w:pPr>
        <w:numPr>
          <w:ilvl w:val="0"/>
          <w:numId w:val="42"/>
        </w:numPr>
        <w:tabs>
          <w:tab w:pos="481" w:val="left" w:leader="none"/>
          <w:tab w:pos="483" w:val="left" w:leader="none"/>
        </w:tabs>
        <w:spacing w:line="276" w:lineRule="auto" w:before="0"/>
        <w:ind w:left="483" w:right="340" w:hanging="360"/>
        <w:jc w:val="both"/>
        <w:rPr>
          <w:b/>
          <w:sz w:val="22"/>
        </w:rPr>
      </w:pPr>
      <w:r>
        <w:rPr>
          <w:b/>
          <w:sz w:val="22"/>
        </w:rPr>
        <w:t>Collaborate</w:t>
      </w:r>
      <w:r>
        <w:rPr>
          <w:b/>
          <w:spacing w:val="-4"/>
          <w:sz w:val="22"/>
        </w:rPr>
        <w:t> </w:t>
      </w:r>
      <w:r>
        <w:rPr>
          <w:b/>
          <w:sz w:val="22"/>
        </w:rPr>
        <w:t>with</w:t>
      </w:r>
      <w:r>
        <w:rPr>
          <w:b/>
          <w:spacing w:val="-4"/>
          <w:sz w:val="22"/>
        </w:rPr>
        <w:t> </w:t>
      </w:r>
      <w:r>
        <w:rPr>
          <w:b/>
          <w:sz w:val="22"/>
        </w:rPr>
        <w:t>the</w:t>
      </w:r>
      <w:r>
        <w:rPr>
          <w:b/>
          <w:spacing w:val="-4"/>
          <w:sz w:val="22"/>
        </w:rPr>
        <w:t> </w:t>
      </w:r>
      <w:r>
        <w:rPr>
          <w:b/>
          <w:sz w:val="22"/>
        </w:rPr>
        <w:t>Commission</w:t>
      </w:r>
      <w:r>
        <w:rPr>
          <w:b/>
          <w:spacing w:val="-4"/>
          <w:sz w:val="22"/>
        </w:rPr>
        <w:t> </w:t>
      </w:r>
      <w:r>
        <w:rPr>
          <w:b/>
          <w:sz w:val="22"/>
        </w:rPr>
        <w:t>to</w:t>
      </w:r>
      <w:r>
        <w:rPr>
          <w:b/>
          <w:spacing w:val="-3"/>
          <w:sz w:val="22"/>
        </w:rPr>
        <w:t> </w:t>
      </w:r>
      <w:r>
        <w:rPr>
          <w:b/>
          <w:sz w:val="22"/>
        </w:rPr>
        <w:t>expand</w:t>
      </w:r>
      <w:r>
        <w:rPr>
          <w:b/>
          <w:spacing w:val="-4"/>
          <w:sz w:val="22"/>
        </w:rPr>
        <w:t> </w:t>
      </w:r>
      <w:r>
        <w:rPr>
          <w:b/>
          <w:sz w:val="22"/>
        </w:rPr>
        <w:t>training</w:t>
      </w:r>
      <w:r>
        <w:rPr>
          <w:b/>
          <w:spacing w:val="-5"/>
          <w:sz w:val="22"/>
        </w:rPr>
        <w:t> </w:t>
      </w:r>
      <w:r>
        <w:rPr>
          <w:b/>
          <w:sz w:val="22"/>
        </w:rPr>
        <w:t>programs</w:t>
      </w:r>
      <w:r>
        <w:rPr>
          <w:b/>
          <w:spacing w:val="-3"/>
          <w:sz w:val="22"/>
        </w:rPr>
        <w:t> </w:t>
      </w:r>
      <w:r>
        <w:rPr>
          <w:b/>
          <w:sz w:val="22"/>
        </w:rPr>
        <w:t>to</w:t>
      </w:r>
      <w:r>
        <w:rPr>
          <w:b/>
          <w:spacing w:val="-4"/>
          <w:sz w:val="22"/>
        </w:rPr>
        <w:t> </w:t>
      </w:r>
      <w:r>
        <w:rPr>
          <w:b/>
          <w:sz w:val="22"/>
        </w:rPr>
        <w:t>all</w:t>
      </w:r>
      <w:r>
        <w:rPr>
          <w:b/>
          <w:spacing w:val="-3"/>
          <w:sz w:val="22"/>
        </w:rPr>
        <w:t> </w:t>
      </w:r>
      <w:r>
        <w:rPr>
          <w:b/>
          <w:sz w:val="22"/>
        </w:rPr>
        <w:t>workers</w:t>
      </w:r>
      <w:r>
        <w:rPr>
          <w:b/>
          <w:spacing w:val="-5"/>
          <w:sz w:val="22"/>
        </w:rPr>
        <w:t> </w:t>
      </w:r>
      <w:r>
        <w:rPr>
          <w:b/>
          <w:sz w:val="22"/>
        </w:rPr>
        <w:t>and</w:t>
      </w:r>
      <w:r>
        <w:rPr>
          <w:b/>
          <w:spacing w:val="-4"/>
          <w:sz w:val="22"/>
        </w:rPr>
        <w:t> </w:t>
      </w:r>
      <w:r>
        <w:rPr>
          <w:b/>
          <w:sz w:val="22"/>
        </w:rPr>
        <w:t>supervisors</w:t>
      </w:r>
      <w:r>
        <w:rPr>
          <w:b/>
          <w:spacing w:val="-4"/>
          <w:sz w:val="22"/>
        </w:rPr>
        <w:t> </w:t>
      </w:r>
      <w:r>
        <w:rPr>
          <w:b/>
          <w:sz w:val="22"/>
        </w:rPr>
        <w:t>on</w:t>
      </w:r>
      <w:r>
        <w:rPr>
          <w:b/>
          <w:spacing w:val="-5"/>
          <w:sz w:val="22"/>
        </w:rPr>
        <w:t> </w:t>
      </w:r>
      <w:r>
        <w:rPr>
          <w:b/>
          <w:sz w:val="22"/>
        </w:rPr>
        <w:t>issues that affect LGBTQ youth and young adults.</w:t>
      </w:r>
    </w:p>
    <w:p>
      <w:pPr>
        <w:pStyle w:val="BodyText"/>
        <w:spacing w:line="276" w:lineRule="auto" w:before="240"/>
        <w:ind w:left="483" w:right="343"/>
        <w:jc w:val="both"/>
      </w:pPr>
      <w:r>
        <w:rPr/>
        <w:t>The Commission strongly believes LGBTQ cultural humility trainings, especially concerning transgender and gender expansive youth amidst rising violence and health disparities, would be highly beneficial for MassHealth</w:t>
      </w:r>
      <w:r>
        <w:rPr>
          <w:spacing w:val="-2"/>
        </w:rPr>
        <w:t> </w:t>
      </w:r>
      <w:r>
        <w:rPr/>
        <w:t>to</w:t>
      </w:r>
      <w:r>
        <w:rPr>
          <w:spacing w:val="-1"/>
        </w:rPr>
        <w:t> </w:t>
      </w:r>
      <w:r>
        <w:rPr/>
        <w:t>establish</w:t>
      </w:r>
      <w:r>
        <w:rPr>
          <w:spacing w:val="-2"/>
        </w:rPr>
        <w:t> </w:t>
      </w:r>
      <w:r>
        <w:rPr/>
        <w:t>across</w:t>
      </w:r>
      <w:r>
        <w:rPr>
          <w:spacing w:val="-1"/>
        </w:rPr>
        <w:t> </w:t>
      </w:r>
      <w:r>
        <w:rPr/>
        <w:t>the</w:t>
      </w:r>
      <w:r>
        <w:rPr>
          <w:spacing w:val="-2"/>
        </w:rPr>
        <w:t> </w:t>
      </w:r>
      <w:r>
        <w:rPr/>
        <w:t>agency</w:t>
      </w:r>
      <w:r>
        <w:rPr>
          <w:spacing w:val="-1"/>
        </w:rPr>
        <w:t> </w:t>
      </w:r>
      <w:r>
        <w:rPr/>
        <w:t>and</w:t>
      </w:r>
      <w:r>
        <w:rPr>
          <w:spacing w:val="-2"/>
        </w:rPr>
        <w:t> </w:t>
      </w:r>
      <w:r>
        <w:rPr/>
        <w:t>all operational</w:t>
      </w:r>
      <w:r>
        <w:rPr>
          <w:spacing w:val="-2"/>
        </w:rPr>
        <w:t> </w:t>
      </w:r>
      <w:r>
        <w:rPr/>
        <w:t>regions.</w:t>
      </w:r>
      <w:r>
        <w:rPr>
          <w:spacing w:val="-2"/>
        </w:rPr>
        <w:t> </w:t>
      </w:r>
      <w:r>
        <w:rPr/>
        <w:t>Monthly staff</w:t>
      </w:r>
      <w:r>
        <w:rPr>
          <w:spacing w:val="-1"/>
        </w:rPr>
        <w:t> </w:t>
      </w:r>
      <w:r>
        <w:rPr/>
        <w:t>meetings</w:t>
      </w:r>
      <w:r>
        <w:rPr>
          <w:spacing w:val="-1"/>
        </w:rPr>
        <w:t> </w:t>
      </w:r>
      <w:r>
        <w:rPr/>
        <w:t>should</w:t>
      </w:r>
      <w:r>
        <w:rPr>
          <w:spacing w:val="-2"/>
        </w:rPr>
        <w:t> </w:t>
      </w:r>
      <w:r>
        <w:rPr/>
        <w:t>be conducted</w:t>
      </w:r>
      <w:r>
        <w:rPr>
          <w:spacing w:val="-9"/>
        </w:rPr>
        <w:t> </w:t>
      </w:r>
      <w:r>
        <w:rPr/>
        <w:t>to</w:t>
      </w:r>
      <w:r>
        <w:rPr>
          <w:spacing w:val="-7"/>
        </w:rPr>
        <w:t> </w:t>
      </w:r>
      <w:r>
        <w:rPr/>
        <w:t>review</w:t>
      </w:r>
      <w:r>
        <w:rPr>
          <w:spacing w:val="-9"/>
        </w:rPr>
        <w:t> </w:t>
      </w:r>
      <w:r>
        <w:rPr/>
        <w:t>LGBTQ</w:t>
      </w:r>
      <w:r>
        <w:rPr>
          <w:spacing w:val="-9"/>
        </w:rPr>
        <w:t> </w:t>
      </w:r>
      <w:r>
        <w:rPr/>
        <w:t>content</w:t>
      </w:r>
      <w:r>
        <w:rPr>
          <w:spacing w:val="-8"/>
        </w:rPr>
        <w:t> </w:t>
      </w:r>
      <w:r>
        <w:rPr/>
        <w:t>and</w:t>
      </w:r>
      <w:r>
        <w:rPr>
          <w:spacing w:val="-9"/>
        </w:rPr>
        <w:t> </w:t>
      </w:r>
      <w:r>
        <w:rPr/>
        <w:t>knowledge</w:t>
      </w:r>
      <w:r>
        <w:rPr>
          <w:spacing w:val="-8"/>
        </w:rPr>
        <w:t> </w:t>
      </w:r>
      <w:r>
        <w:rPr/>
        <w:t>of</w:t>
      </w:r>
      <w:r>
        <w:rPr>
          <w:spacing w:val="-9"/>
        </w:rPr>
        <w:t> </w:t>
      </w:r>
      <w:r>
        <w:rPr/>
        <w:t>resource</w:t>
      </w:r>
      <w:r>
        <w:rPr>
          <w:spacing w:val="-9"/>
        </w:rPr>
        <w:t> </w:t>
      </w:r>
      <w:r>
        <w:rPr/>
        <w:t>access,</w:t>
      </w:r>
      <w:r>
        <w:rPr>
          <w:spacing w:val="-8"/>
        </w:rPr>
        <w:t> </w:t>
      </w:r>
      <w:r>
        <w:rPr/>
        <w:t>and</w:t>
      </w:r>
      <w:r>
        <w:rPr>
          <w:spacing w:val="-8"/>
        </w:rPr>
        <w:t> </w:t>
      </w:r>
      <w:r>
        <w:rPr/>
        <w:t>training</w:t>
      </w:r>
      <w:r>
        <w:rPr>
          <w:spacing w:val="-9"/>
        </w:rPr>
        <w:t> </w:t>
      </w:r>
      <w:r>
        <w:rPr/>
        <w:t>should</w:t>
      </w:r>
      <w:r>
        <w:rPr>
          <w:spacing w:val="-8"/>
        </w:rPr>
        <w:t> </w:t>
      </w:r>
      <w:r>
        <w:rPr/>
        <w:t>be</w:t>
      </w:r>
      <w:r>
        <w:rPr>
          <w:spacing w:val="-9"/>
        </w:rPr>
        <w:t> </w:t>
      </w:r>
      <w:r>
        <w:rPr/>
        <w:t>prioritized for both MassHealth staff and its affiliate provider agencies.</w:t>
      </w:r>
    </w:p>
    <w:p>
      <w:pPr>
        <w:pStyle w:val="BodyText"/>
        <w:spacing w:line="276" w:lineRule="auto" w:before="240"/>
        <w:ind w:left="483" w:right="339"/>
        <w:jc w:val="both"/>
      </w:pPr>
      <w:r>
        <w:rPr/>
        <w:t>When examining current healthcare provider practices, MassHealth should focus on a range of topics impacting LGBTQ students in the Commonwealth. Faculty, counselors, mental health providers, and school-based clinical staff should be required to complete competency training in LGBTQ health (and particularly trans health). MassHealth</w:t>
      </w:r>
      <w:r>
        <w:rPr>
          <w:spacing w:val="-1"/>
        </w:rPr>
        <w:t> </w:t>
      </w:r>
      <w:r>
        <w:rPr/>
        <w:t>notes that</w:t>
      </w:r>
      <w:r>
        <w:rPr>
          <w:spacing w:val="-1"/>
        </w:rPr>
        <w:t> </w:t>
      </w:r>
      <w:r>
        <w:rPr/>
        <w:t>it</w:t>
      </w:r>
      <w:r>
        <w:rPr>
          <w:spacing w:val="-1"/>
        </w:rPr>
        <w:t> </w:t>
      </w:r>
      <w:r>
        <w:rPr/>
        <w:t>has been</w:t>
      </w:r>
      <w:r>
        <w:rPr>
          <w:spacing w:val="-1"/>
        </w:rPr>
        <w:t> </w:t>
      </w:r>
      <w:r>
        <w:rPr/>
        <w:t>facilitating internal</w:t>
      </w:r>
      <w:r>
        <w:rPr>
          <w:spacing w:val="-1"/>
        </w:rPr>
        <w:t> </w:t>
      </w:r>
      <w:r>
        <w:rPr/>
        <w:t>trainings for staff on</w:t>
      </w:r>
      <w:r>
        <w:rPr>
          <w:spacing w:val="-1"/>
        </w:rPr>
        <w:t> </w:t>
      </w:r>
      <w:r>
        <w:rPr/>
        <w:t>the healthcare needs of LGBTQ communities. However, the Commission continues to recommend that MassHealth should work with the Commission to address how these trainings are currently, if at all, provided and whether they are administered at the state or local level, through the Executive Office of Education, or another state agency.</w:t>
      </w:r>
    </w:p>
    <w:p>
      <w:pPr>
        <w:pStyle w:val="BodyText"/>
        <w:spacing w:line="276" w:lineRule="auto" w:before="239"/>
        <w:ind w:left="483" w:right="343"/>
        <w:jc w:val="both"/>
      </w:pPr>
      <w:r>
        <w:rPr/>
        <w:t>The</w:t>
      </w:r>
      <w:r>
        <w:rPr>
          <w:spacing w:val="-4"/>
        </w:rPr>
        <w:t> </w:t>
      </w:r>
      <w:r>
        <w:rPr/>
        <w:t>Commission</w:t>
      </w:r>
      <w:r>
        <w:rPr>
          <w:spacing w:val="-4"/>
        </w:rPr>
        <w:t> </w:t>
      </w:r>
      <w:r>
        <w:rPr/>
        <w:t>further</w:t>
      </w:r>
      <w:r>
        <w:rPr>
          <w:spacing w:val="-4"/>
        </w:rPr>
        <w:t> </w:t>
      </w:r>
      <w:r>
        <w:rPr/>
        <w:t>recommends</w:t>
      </w:r>
      <w:r>
        <w:rPr>
          <w:spacing w:val="-2"/>
        </w:rPr>
        <w:t> </w:t>
      </w:r>
      <w:r>
        <w:rPr/>
        <w:t>that</w:t>
      </w:r>
      <w:r>
        <w:rPr>
          <w:spacing w:val="-4"/>
        </w:rPr>
        <w:t> </w:t>
      </w:r>
      <w:r>
        <w:rPr/>
        <w:t>MassHealth</w:t>
      </w:r>
      <w:r>
        <w:rPr>
          <w:spacing w:val="-4"/>
        </w:rPr>
        <w:t> </w:t>
      </w:r>
      <w:r>
        <w:rPr/>
        <w:t>implement</w:t>
      </w:r>
      <w:r>
        <w:rPr>
          <w:spacing w:val="-2"/>
        </w:rPr>
        <w:t> </w:t>
      </w:r>
      <w:r>
        <w:rPr/>
        <w:t>guidance</w:t>
      </w:r>
      <w:r>
        <w:rPr>
          <w:spacing w:val="-4"/>
        </w:rPr>
        <w:t> </w:t>
      </w:r>
      <w:r>
        <w:rPr/>
        <w:t>for</w:t>
      </w:r>
      <w:r>
        <w:rPr>
          <w:spacing w:val="-2"/>
        </w:rPr>
        <w:t> </w:t>
      </w:r>
      <w:r>
        <w:rPr/>
        <w:t>school-based</w:t>
      </w:r>
      <w:r>
        <w:rPr>
          <w:spacing w:val="-3"/>
        </w:rPr>
        <w:t> </w:t>
      </w:r>
      <w:r>
        <w:rPr/>
        <w:t>counselors and mental health clinicians to provide support to students as well as their families, including on how to assist families in supporting their trans children. School-based providers can play a large role in creating safe school environments, and they should be guided in best practices for referring children or making recommendations for gender-affirming care, depending on student needs. Additionally, there is ample room for MassHealth to spearhead and/or support initiatives around gender inclusivity and trans health awareness for students, staff, families, and communities.</w:t>
      </w:r>
    </w:p>
    <w:p>
      <w:pPr>
        <w:numPr>
          <w:ilvl w:val="0"/>
          <w:numId w:val="42"/>
        </w:numPr>
        <w:tabs>
          <w:tab w:pos="481" w:val="left" w:leader="none"/>
          <w:tab w:pos="483" w:val="left" w:leader="none"/>
        </w:tabs>
        <w:spacing w:line="276" w:lineRule="auto" w:before="240"/>
        <w:ind w:left="483" w:right="344" w:hanging="360"/>
        <w:jc w:val="both"/>
        <w:rPr>
          <w:b/>
          <w:sz w:val="22"/>
        </w:rPr>
      </w:pPr>
      <w:r>
        <w:rPr>
          <w:b/>
          <w:sz w:val="22"/>
        </w:rPr>
        <w:t>Improve</w:t>
      </w:r>
      <w:r>
        <w:rPr>
          <w:b/>
          <w:spacing w:val="-9"/>
          <w:sz w:val="22"/>
        </w:rPr>
        <w:t> </w:t>
      </w:r>
      <w:r>
        <w:rPr>
          <w:b/>
          <w:sz w:val="22"/>
        </w:rPr>
        <w:t>interagency</w:t>
      </w:r>
      <w:r>
        <w:rPr>
          <w:b/>
          <w:spacing w:val="-8"/>
          <w:sz w:val="22"/>
        </w:rPr>
        <w:t> </w:t>
      </w:r>
      <w:r>
        <w:rPr>
          <w:b/>
          <w:sz w:val="22"/>
        </w:rPr>
        <w:t>work</w:t>
      </w:r>
      <w:r>
        <w:rPr>
          <w:b/>
          <w:spacing w:val="-8"/>
          <w:sz w:val="22"/>
        </w:rPr>
        <w:t> </w:t>
      </w:r>
      <w:r>
        <w:rPr>
          <w:b/>
          <w:sz w:val="22"/>
        </w:rPr>
        <w:t>to</w:t>
      </w:r>
      <w:r>
        <w:rPr>
          <w:b/>
          <w:spacing w:val="-9"/>
          <w:sz w:val="22"/>
        </w:rPr>
        <w:t> </w:t>
      </w:r>
      <w:r>
        <w:rPr>
          <w:b/>
          <w:sz w:val="22"/>
        </w:rPr>
        <w:t>support</w:t>
      </w:r>
      <w:r>
        <w:rPr>
          <w:b/>
          <w:spacing w:val="-9"/>
          <w:sz w:val="22"/>
        </w:rPr>
        <w:t> </w:t>
      </w:r>
      <w:r>
        <w:rPr>
          <w:b/>
          <w:sz w:val="22"/>
        </w:rPr>
        <w:t>“warm</w:t>
      </w:r>
      <w:r>
        <w:rPr>
          <w:b/>
          <w:spacing w:val="-7"/>
          <w:sz w:val="22"/>
        </w:rPr>
        <w:t> </w:t>
      </w:r>
      <w:r>
        <w:rPr>
          <w:b/>
          <w:sz w:val="22"/>
        </w:rPr>
        <w:t>hand-offs”</w:t>
      </w:r>
      <w:r>
        <w:rPr>
          <w:b/>
          <w:spacing w:val="-9"/>
          <w:sz w:val="22"/>
        </w:rPr>
        <w:t> </w:t>
      </w:r>
      <w:r>
        <w:rPr>
          <w:b/>
          <w:sz w:val="22"/>
        </w:rPr>
        <w:t>for</w:t>
      </w:r>
      <w:r>
        <w:rPr>
          <w:b/>
          <w:spacing w:val="-6"/>
          <w:sz w:val="22"/>
        </w:rPr>
        <w:t> </w:t>
      </w:r>
      <w:r>
        <w:rPr>
          <w:b/>
          <w:sz w:val="22"/>
        </w:rPr>
        <w:t>transition-aged</w:t>
      </w:r>
      <w:r>
        <w:rPr>
          <w:b/>
          <w:spacing w:val="-10"/>
          <w:sz w:val="22"/>
        </w:rPr>
        <w:t> </w:t>
      </w:r>
      <w:r>
        <w:rPr>
          <w:b/>
          <w:sz w:val="22"/>
        </w:rPr>
        <w:t>youth</w:t>
      </w:r>
      <w:r>
        <w:rPr>
          <w:b/>
          <w:spacing w:val="-8"/>
          <w:sz w:val="22"/>
        </w:rPr>
        <w:t> </w:t>
      </w:r>
      <w:r>
        <w:rPr>
          <w:b/>
          <w:sz w:val="22"/>
        </w:rPr>
        <w:t>attempting</w:t>
      </w:r>
      <w:r>
        <w:rPr>
          <w:b/>
          <w:spacing w:val="-8"/>
          <w:sz w:val="22"/>
        </w:rPr>
        <w:t> </w:t>
      </w:r>
      <w:r>
        <w:rPr>
          <w:b/>
          <w:sz w:val="22"/>
        </w:rPr>
        <w:t>to</w:t>
      </w:r>
      <w:r>
        <w:rPr>
          <w:b/>
          <w:spacing w:val="-9"/>
          <w:sz w:val="22"/>
        </w:rPr>
        <w:t> </w:t>
      </w:r>
      <w:r>
        <w:rPr>
          <w:b/>
          <w:sz w:val="22"/>
        </w:rPr>
        <w:t>access services in partnership with other youth-serving state agencies to ensure that the health needs of LGBTQ youth are being met.</w:t>
      </w:r>
    </w:p>
    <w:p>
      <w:pPr>
        <w:pStyle w:val="BodyText"/>
        <w:spacing w:line="276" w:lineRule="auto" w:before="240"/>
        <w:ind w:left="483" w:right="343"/>
        <w:jc w:val="both"/>
      </w:pPr>
      <w:r>
        <w:rPr/>
        <w:t>Over the course of this annual report, the Commission has detailed the necessity of youth-serving state entities collaborating on a macro-level to ensure that the needs of youth are not following through systemic</w:t>
      </w:r>
      <w:r>
        <w:rPr>
          <w:spacing w:val="-4"/>
        </w:rPr>
        <w:t> </w:t>
      </w:r>
      <w:r>
        <w:rPr/>
        <w:t>cracks.</w:t>
      </w:r>
      <w:r>
        <w:rPr>
          <w:spacing w:val="-5"/>
        </w:rPr>
        <w:t> </w:t>
      </w:r>
      <w:r>
        <w:rPr/>
        <w:t>MassHealth</w:t>
      </w:r>
      <w:r>
        <w:rPr>
          <w:spacing w:val="-5"/>
        </w:rPr>
        <w:t> </w:t>
      </w:r>
      <w:r>
        <w:rPr/>
        <w:t>notes</w:t>
      </w:r>
      <w:r>
        <w:rPr>
          <w:spacing w:val="-5"/>
        </w:rPr>
        <w:t> </w:t>
      </w:r>
      <w:r>
        <w:rPr/>
        <w:t>that</w:t>
      </w:r>
      <w:r>
        <w:rPr>
          <w:spacing w:val="-4"/>
        </w:rPr>
        <w:t> </w:t>
      </w:r>
      <w:r>
        <w:rPr/>
        <w:t>it</w:t>
      </w:r>
      <w:r>
        <w:rPr>
          <w:spacing w:val="-5"/>
        </w:rPr>
        <w:t> </w:t>
      </w:r>
      <w:r>
        <w:rPr/>
        <w:t>has</w:t>
      </w:r>
      <w:r>
        <w:rPr>
          <w:spacing w:val="-5"/>
        </w:rPr>
        <w:t> </w:t>
      </w:r>
      <w:r>
        <w:rPr/>
        <w:t>previously</w:t>
      </w:r>
      <w:r>
        <w:rPr>
          <w:spacing w:val="-5"/>
        </w:rPr>
        <w:t> </w:t>
      </w:r>
      <w:r>
        <w:rPr/>
        <w:t>collaborated</w:t>
      </w:r>
      <w:r>
        <w:rPr>
          <w:spacing w:val="-5"/>
        </w:rPr>
        <w:t> </w:t>
      </w:r>
      <w:r>
        <w:rPr/>
        <w:t>with</w:t>
      </w:r>
      <w:r>
        <w:rPr>
          <w:spacing w:val="-5"/>
        </w:rPr>
        <w:t> </w:t>
      </w:r>
      <w:r>
        <w:rPr/>
        <w:t>numerous</w:t>
      </w:r>
      <w:r>
        <w:rPr>
          <w:spacing w:val="-5"/>
        </w:rPr>
        <w:t> </w:t>
      </w:r>
      <w:r>
        <w:rPr/>
        <w:t>youth-serving</w:t>
      </w:r>
      <w:r>
        <w:rPr>
          <w:spacing w:val="-5"/>
        </w:rPr>
        <w:t> </w:t>
      </w:r>
      <w:r>
        <w:rPr/>
        <w:t>state agencies, including DCF, DMH, DTA, and DYS, to develop a Housing Stabilization and Support Program (HSSP) for DCF-Involved Youth and Young Adults, which works to provide youth-centered strategies to support transition-aged youth gain access to services. Within this program, MassHealth notes that approximately 13-15% of the youth being served by the program so far have identified as LGBTQ.</w:t>
      </w:r>
    </w:p>
    <w:p>
      <w:pPr>
        <w:pStyle w:val="BodyText"/>
        <w:spacing w:line="276" w:lineRule="auto" w:before="240"/>
        <w:ind w:left="483" w:right="342"/>
        <w:jc w:val="both"/>
      </w:pPr>
      <w:r>
        <w:rPr/>
        <w:t>However,</w:t>
      </w:r>
      <w:r>
        <w:rPr>
          <w:spacing w:val="-1"/>
        </w:rPr>
        <w:t> </w:t>
      </w:r>
      <w:r>
        <w:rPr/>
        <w:t>MassHealth</w:t>
      </w:r>
      <w:r>
        <w:rPr>
          <w:spacing w:val="-1"/>
        </w:rPr>
        <w:t> </w:t>
      </w:r>
      <w:r>
        <w:rPr/>
        <w:t>notes</w:t>
      </w:r>
      <w:r>
        <w:rPr>
          <w:spacing w:val="-1"/>
        </w:rPr>
        <w:t> </w:t>
      </w:r>
      <w:r>
        <w:rPr/>
        <w:t>that</w:t>
      </w:r>
      <w:r>
        <w:rPr>
          <w:spacing w:val="-2"/>
        </w:rPr>
        <w:t> </w:t>
      </w:r>
      <w:r>
        <w:rPr/>
        <w:t>it</w:t>
      </w:r>
      <w:r>
        <w:rPr>
          <w:spacing w:val="-1"/>
        </w:rPr>
        <w:t> </w:t>
      </w:r>
      <w:r>
        <w:rPr/>
        <w:t>does</w:t>
      </w:r>
      <w:r>
        <w:rPr>
          <w:spacing w:val="-1"/>
        </w:rPr>
        <w:t> </w:t>
      </w:r>
      <w:r>
        <w:rPr/>
        <w:t>not</w:t>
      </w:r>
      <w:r>
        <w:rPr>
          <w:spacing w:val="-1"/>
        </w:rPr>
        <w:t> </w:t>
      </w:r>
      <w:r>
        <w:rPr/>
        <w:t>currently</w:t>
      </w:r>
      <w:r>
        <w:rPr>
          <w:spacing w:val="-1"/>
        </w:rPr>
        <w:t> </w:t>
      </w:r>
      <w:r>
        <w:rPr/>
        <w:t>have any other cross-agency partnerships,</w:t>
      </w:r>
      <w:r>
        <w:rPr>
          <w:spacing w:val="-1"/>
        </w:rPr>
        <w:t> </w:t>
      </w:r>
      <w:r>
        <w:rPr/>
        <w:t>though plans to coordinate further discussions in this area as part of the office’s equity and inclusion strategic planning.</w:t>
      </w:r>
      <w:r>
        <w:rPr>
          <w:spacing w:val="-10"/>
        </w:rPr>
        <w:t> </w:t>
      </w:r>
      <w:r>
        <w:rPr/>
        <w:t>Overall,</w:t>
      </w:r>
      <w:r>
        <w:rPr>
          <w:spacing w:val="-11"/>
        </w:rPr>
        <w:t> </w:t>
      </w:r>
      <w:r>
        <w:rPr/>
        <w:t>the</w:t>
      </w:r>
      <w:r>
        <w:rPr>
          <w:spacing w:val="-10"/>
        </w:rPr>
        <w:t> </w:t>
      </w:r>
      <w:r>
        <w:rPr/>
        <w:t>Commission</w:t>
      </w:r>
      <w:r>
        <w:rPr>
          <w:spacing w:val="-11"/>
        </w:rPr>
        <w:t> </w:t>
      </w:r>
      <w:r>
        <w:rPr/>
        <w:t>recommends</w:t>
      </w:r>
      <w:r>
        <w:rPr>
          <w:spacing w:val="-10"/>
        </w:rPr>
        <w:t> </w:t>
      </w:r>
      <w:r>
        <w:rPr/>
        <w:t>that</w:t>
      </w:r>
      <w:r>
        <w:rPr>
          <w:spacing w:val="-10"/>
        </w:rPr>
        <w:t> </w:t>
      </w:r>
      <w:r>
        <w:rPr/>
        <w:t>MassHealth</w:t>
      </w:r>
      <w:r>
        <w:rPr>
          <w:spacing w:val="-9"/>
        </w:rPr>
        <w:t> </w:t>
      </w:r>
      <w:r>
        <w:rPr/>
        <w:t>explore</w:t>
      </w:r>
      <w:r>
        <w:rPr>
          <w:spacing w:val="-10"/>
        </w:rPr>
        <w:t> </w:t>
      </w:r>
      <w:r>
        <w:rPr/>
        <w:t>increasing</w:t>
      </w:r>
      <w:r>
        <w:rPr>
          <w:spacing w:val="-11"/>
        </w:rPr>
        <w:t> </w:t>
      </w:r>
      <w:r>
        <w:rPr/>
        <w:t>its</w:t>
      </w:r>
      <w:r>
        <w:rPr>
          <w:spacing w:val="-10"/>
        </w:rPr>
        <w:t> </w:t>
      </w:r>
      <w:r>
        <w:rPr/>
        <w:t>collaboration</w:t>
      </w:r>
      <w:r>
        <w:rPr>
          <w:spacing w:val="-11"/>
        </w:rPr>
        <w:t> </w:t>
      </w:r>
      <w:r>
        <w:rPr/>
        <w:t>with other</w:t>
      </w:r>
      <w:r>
        <w:rPr>
          <w:spacing w:val="30"/>
        </w:rPr>
        <w:t> </w:t>
      </w:r>
      <w:r>
        <w:rPr/>
        <w:t>youth-serving</w:t>
      </w:r>
      <w:r>
        <w:rPr>
          <w:spacing w:val="30"/>
        </w:rPr>
        <w:t> </w:t>
      </w:r>
      <w:r>
        <w:rPr/>
        <w:t>state</w:t>
      </w:r>
      <w:r>
        <w:rPr>
          <w:spacing w:val="31"/>
        </w:rPr>
        <w:t> </w:t>
      </w:r>
      <w:r>
        <w:rPr/>
        <w:t>agencies</w:t>
      </w:r>
      <w:r>
        <w:rPr>
          <w:spacing w:val="32"/>
        </w:rPr>
        <w:t> </w:t>
      </w:r>
      <w:r>
        <w:rPr/>
        <w:t>to</w:t>
      </w:r>
      <w:r>
        <w:rPr>
          <w:spacing w:val="33"/>
        </w:rPr>
        <w:t> </w:t>
      </w:r>
      <w:r>
        <w:rPr/>
        <w:t>better</w:t>
      </w:r>
      <w:r>
        <w:rPr>
          <w:spacing w:val="31"/>
        </w:rPr>
        <w:t> </w:t>
      </w:r>
      <w:r>
        <w:rPr/>
        <w:t>understand</w:t>
      </w:r>
      <w:r>
        <w:rPr>
          <w:spacing w:val="31"/>
        </w:rPr>
        <w:t> </w:t>
      </w:r>
      <w:r>
        <w:rPr/>
        <w:t>the</w:t>
      </w:r>
      <w:r>
        <w:rPr>
          <w:spacing w:val="32"/>
        </w:rPr>
        <w:t> </w:t>
      </w:r>
      <w:r>
        <w:rPr/>
        <w:t>needs</w:t>
      </w:r>
      <w:r>
        <w:rPr>
          <w:spacing w:val="30"/>
        </w:rPr>
        <w:t> </w:t>
      </w:r>
      <w:r>
        <w:rPr/>
        <w:t>and</w:t>
      </w:r>
      <w:r>
        <w:rPr>
          <w:spacing w:val="31"/>
        </w:rPr>
        <w:t> </w:t>
      </w:r>
      <w:r>
        <w:rPr/>
        <w:t>gaps</w:t>
      </w:r>
      <w:r>
        <w:rPr>
          <w:spacing w:val="32"/>
        </w:rPr>
        <w:t> </w:t>
      </w:r>
      <w:r>
        <w:rPr/>
        <w:t>in</w:t>
      </w:r>
      <w:r>
        <w:rPr>
          <w:spacing w:val="31"/>
        </w:rPr>
        <w:t> </w:t>
      </w:r>
      <w:r>
        <w:rPr/>
        <w:t>service</w:t>
      </w:r>
      <w:r>
        <w:rPr>
          <w:spacing w:val="31"/>
        </w:rPr>
        <w:t> </w:t>
      </w:r>
      <w:r>
        <w:rPr/>
        <w:t>provision</w:t>
      </w:r>
      <w:r>
        <w:rPr>
          <w:spacing w:val="30"/>
        </w:rPr>
        <w:t> </w:t>
      </w:r>
      <w:r>
        <w:rPr/>
        <w:t>for</w:t>
      </w:r>
    </w:p>
    <w:p>
      <w:pPr>
        <w:spacing w:after="0" w:line="276" w:lineRule="auto"/>
        <w:jc w:val="both"/>
        <w:sectPr>
          <w:pgSz w:w="12240" w:h="15840"/>
          <w:pgMar w:header="804" w:footer="1263" w:top="1000" w:bottom="1460" w:left="960" w:right="1100"/>
        </w:sectPr>
      </w:pPr>
    </w:p>
    <w:p>
      <w:pPr>
        <w:pStyle w:val="BodyText"/>
        <w:spacing w:before="98"/>
      </w:pPr>
    </w:p>
    <w:p>
      <w:pPr>
        <w:pStyle w:val="BodyText"/>
        <w:spacing w:line="276" w:lineRule="auto"/>
        <w:ind w:left="483" w:right="314"/>
      </w:pPr>
      <w:r>
        <w:rPr/>
        <w:t>transition-aged</w:t>
      </w:r>
      <w:r>
        <w:rPr>
          <w:spacing w:val="40"/>
        </w:rPr>
        <w:t> </w:t>
      </w:r>
      <w:r>
        <w:rPr/>
        <w:t>youth</w:t>
      </w:r>
      <w:r>
        <w:rPr>
          <w:spacing w:val="40"/>
        </w:rPr>
        <w:t> </w:t>
      </w:r>
      <w:r>
        <w:rPr/>
        <w:t>in</w:t>
      </w:r>
      <w:r>
        <w:rPr>
          <w:spacing w:val="40"/>
        </w:rPr>
        <w:t> </w:t>
      </w:r>
      <w:r>
        <w:rPr/>
        <w:t>a</w:t>
      </w:r>
      <w:r>
        <w:rPr>
          <w:spacing w:val="40"/>
        </w:rPr>
        <w:t> </w:t>
      </w:r>
      <w:r>
        <w:rPr/>
        <w:t>way</w:t>
      </w:r>
      <w:r>
        <w:rPr>
          <w:spacing w:val="40"/>
        </w:rPr>
        <w:t> </w:t>
      </w:r>
      <w:r>
        <w:rPr/>
        <w:t>that</w:t>
      </w:r>
      <w:r>
        <w:rPr>
          <w:spacing w:val="40"/>
        </w:rPr>
        <w:t> </w:t>
      </w:r>
      <w:r>
        <w:rPr/>
        <w:t>solicits</w:t>
      </w:r>
      <w:r>
        <w:rPr>
          <w:spacing w:val="40"/>
        </w:rPr>
        <w:t> </w:t>
      </w:r>
      <w:r>
        <w:rPr/>
        <w:t>feedback</w:t>
      </w:r>
      <w:r>
        <w:rPr>
          <w:spacing w:val="40"/>
        </w:rPr>
        <w:t> </w:t>
      </w:r>
      <w:r>
        <w:rPr/>
        <w:t>and</w:t>
      </w:r>
      <w:r>
        <w:rPr>
          <w:spacing w:val="40"/>
        </w:rPr>
        <w:t> </w:t>
      </w:r>
      <w:r>
        <w:rPr/>
        <w:t>engages</w:t>
      </w:r>
      <w:r>
        <w:rPr>
          <w:spacing w:val="40"/>
        </w:rPr>
        <w:t> </w:t>
      </w:r>
      <w:r>
        <w:rPr/>
        <w:t>with</w:t>
      </w:r>
      <w:r>
        <w:rPr>
          <w:spacing w:val="40"/>
        </w:rPr>
        <w:t> </w:t>
      </w:r>
      <w:r>
        <w:rPr/>
        <w:t>youth</w:t>
      </w:r>
      <w:r>
        <w:rPr>
          <w:spacing w:val="40"/>
        </w:rPr>
        <w:t> </w:t>
      </w:r>
      <w:r>
        <w:rPr/>
        <w:t>and</w:t>
      </w:r>
      <w:r>
        <w:rPr>
          <w:spacing w:val="40"/>
        </w:rPr>
        <w:t> </w:t>
      </w:r>
      <w:r>
        <w:rPr/>
        <w:t>providers,</w:t>
      </w:r>
      <w:r>
        <w:rPr>
          <w:spacing w:val="40"/>
        </w:rPr>
        <w:t> </w:t>
      </w:r>
      <w:r>
        <w:rPr/>
        <w:t>with particular attention to Western Massachusetts and Cape regions.</w:t>
      </w:r>
    </w:p>
    <w:p>
      <w:pPr>
        <w:spacing w:after="0" w:line="276" w:lineRule="auto"/>
        <w:sectPr>
          <w:pgSz w:w="12240" w:h="15840"/>
          <w:pgMar w:header="804" w:footer="1263" w:top="1000" w:bottom="1460" w:left="960" w:right="1100"/>
        </w:sectPr>
      </w:pPr>
    </w:p>
    <w:p>
      <w:pPr>
        <w:pStyle w:val="BodyText"/>
        <w:rPr>
          <w:sz w:val="20"/>
        </w:rPr>
      </w:pPr>
    </w:p>
    <w:p>
      <w:pPr>
        <w:pStyle w:val="BodyText"/>
        <w:spacing w:before="89"/>
        <w:rPr>
          <w:sz w:val="20"/>
        </w:rPr>
      </w:pPr>
    </w:p>
    <w:p>
      <w:pPr>
        <w:pStyle w:val="BodyText"/>
        <w:spacing w:line="20" w:lineRule="exact"/>
        <w:ind w:left="440"/>
        <w:rPr>
          <w:sz w:val="2"/>
        </w:rPr>
      </w:pPr>
      <w:r>
        <w:rPr>
          <w:sz w:val="2"/>
        </w:rPr>
        <mc:AlternateContent>
          <mc:Choice Requires="wps">
            <w:drawing>
              <wp:inline distT="0" distB="0" distL="0" distR="0">
                <wp:extent cx="6350" cy="12700"/>
                <wp:effectExtent l="0" t="0" r="0" b="0"/>
                <wp:docPr id="623" name="Group 623"/>
                <wp:cNvGraphicFramePr>
                  <a:graphicFrameLocks/>
                </wp:cNvGraphicFramePr>
                <a:graphic>
                  <a:graphicData uri="http://schemas.microsoft.com/office/word/2010/wordprocessingGroup">
                    <wpg:wgp>
                      <wpg:cNvPr id="623" name="Group 623"/>
                      <wpg:cNvGrpSpPr/>
                      <wpg:grpSpPr>
                        <a:xfrm>
                          <a:off x="0" y="0"/>
                          <a:ext cx="6350" cy="12700"/>
                          <a:chExt cx="6350" cy="12700"/>
                        </a:xfrm>
                      </wpg:grpSpPr>
                      <wps:wsp>
                        <wps:cNvPr id="624" name="Graphic 624"/>
                        <wps:cNvSpPr/>
                        <wps:spPr>
                          <a:xfrm>
                            <a:off x="0" y="0"/>
                            <a:ext cx="6350" cy="12700"/>
                          </a:xfrm>
                          <a:custGeom>
                            <a:avLst/>
                            <a:gdLst/>
                            <a:ahLst/>
                            <a:cxnLst/>
                            <a:rect l="l" t="t" r="r" b="b"/>
                            <a:pathLst>
                              <a:path w="6350" h="12700">
                                <a:moveTo>
                                  <a:pt x="6337" y="0"/>
                                </a:moveTo>
                                <a:lnTo>
                                  <a:pt x="0" y="0"/>
                                </a:lnTo>
                                <a:lnTo>
                                  <a:pt x="0" y="12179"/>
                                </a:lnTo>
                                <a:lnTo>
                                  <a:pt x="6337" y="12179"/>
                                </a:lnTo>
                                <a:lnTo>
                                  <a:pt x="6337" y="0"/>
                                </a:lnTo>
                                <a:close/>
                              </a:path>
                            </a:pathLst>
                          </a:custGeom>
                          <a:solidFill>
                            <a:srgbClr val="4F81BB"/>
                          </a:solidFill>
                        </wps:spPr>
                        <wps:bodyPr wrap="square" lIns="0" tIns="0" rIns="0" bIns="0" rtlCol="0">
                          <a:prstTxWarp prst="textNoShape">
                            <a:avLst/>
                          </a:prstTxWarp>
                          <a:noAutofit/>
                        </wps:bodyPr>
                      </wps:wsp>
                    </wpg:wgp>
                  </a:graphicData>
                </a:graphic>
              </wp:inline>
            </w:drawing>
          </mc:Choice>
          <mc:Fallback>
            <w:pict>
              <v:group style="width:.5pt;height:1pt;mso-position-horizontal-relative:char;mso-position-vertical-relative:line" id="docshapegroup520" coordorigin="0,0" coordsize="10,20">
                <v:rect style="position:absolute;left:0;top:0;width:10;height:20" id="docshape521" filled="true" fillcolor="#4f81bb" stroked="false">
                  <v:fill type="solid"/>
                </v:rect>
              </v:group>
            </w:pict>
          </mc:Fallback>
        </mc:AlternateContent>
      </w:r>
      <w:r>
        <w:rPr>
          <w:sz w:val="2"/>
        </w:rPr>
      </w:r>
    </w:p>
    <w:p>
      <w:pPr>
        <w:pStyle w:val="Heading7"/>
        <w:spacing w:before="239"/>
        <w:ind w:left="480"/>
      </w:pPr>
      <w:bookmarkStart w:name="_bookmark638" w:id="945"/>
      <w:bookmarkEnd w:id="945"/>
      <w:r>
        <w:rPr/>
      </w:r>
      <w:hyperlink w:history="true" w:anchor="_bookmark6">
        <w:r>
          <w:rPr>
            <w:color w:val="365F91"/>
            <w:spacing w:val="-8"/>
          </w:rPr>
          <w:t>Office</w:t>
        </w:r>
        <w:r>
          <w:rPr>
            <w:color w:val="365F91"/>
            <w:spacing w:val="-12"/>
          </w:rPr>
          <w:t> </w:t>
        </w:r>
        <w:r>
          <w:rPr>
            <w:color w:val="365F91"/>
            <w:spacing w:val="-8"/>
          </w:rPr>
          <w:t>of</w:t>
        </w:r>
        <w:r>
          <w:rPr>
            <w:color w:val="365F91"/>
            <w:spacing w:val="-11"/>
          </w:rPr>
          <w:t> </w:t>
        </w:r>
        <w:r>
          <w:rPr>
            <w:color w:val="365F91"/>
            <w:spacing w:val="-8"/>
          </w:rPr>
          <w:t>Refugees</w:t>
        </w:r>
        <w:r>
          <w:rPr>
            <w:color w:val="365F91"/>
            <w:spacing w:val="-11"/>
          </w:rPr>
          <w:t> </w:t>
        </w:r>
        <w:r>
          <w:rPr>
            <w:color w:val="365F91"/>
            <w:spacing w:val="-8"/>
          </w:rPr>
          <w:t>&amp;</w:t>
        </w:r>
        <w:r>
          <w:rPr>
            <w:color w:val="365F91"/>
            <w:spacing w:val="-12"/>
          </w:rPr>
          <w:t> </w:t>
        </w:r>
        <w:r>
          <w:rPr>
            <w:color w:val="365F91"/>
            <w:spacing w:val="-8"/>
          </w:rPr>
          <w:t>Immigrants</w:t>
        </w:r>
      </w:hyperlink>
    </w:p>
    <w:p>
      <w:pPr>
        <w:pStyle w:val="BodyText"/>
        <w:rPr>
          <w:sz w:val="20"/>
        </w:rPr>
      </w:pPr>
    </w:p>
    <w:p>
      <w:pPr>
        <w:pStyle w:val="BodyText"/>
        <w:spacing w:before="141"/>
        <w:rPr>
          <w:sz w:val="20"/>
        </w:rPr>
      </w:pPr>
      <w:r>
        <w:rPr/>
        <mc:AlternateContent>
          <mc:Choice Requires="wps">
            <w:drawing>
              <wp:anchor distT="0" distB="0" distL="0" distR="0" allowOverlap="1" layoutInCell="1" locked="0" behindDoc="1" simplePos="0" relativeHeight="487713280">
                <wp:simplePos x="0" y="0"/>
                <wp:positionH relativeFrom="page">
                  <wp:posOffset>889000</wp:posOffset>
                </wp:positionH>
                <wp:positionV relativeFrom="paragraph">
                  <wp:posOffset>260412</wp:posOffset>
                </wp:positionV>
                <wp:extent cx="6350" cy="12700"/>
                <wp:effectExtent l="0" t="0" r="0" b="0"/>
                <wp:wrapTopAndBottom/>
                <wp:docPr id="625" name="Graphic 625"/>
                <wp:cNvGraphicFramePr>
                  <a:graphicFrameLocks/>
                </wp:cNvGraphicFramePr>
                <a:graphic>
                  <a:graphicData uri="http://schemas.microsoft.com/office/word/2010/wordprocessingShape">
                    <wps:wsp>
                      <wps:cNvPr id="625" name="Graphic 625"/>
                      <wps:cNvSpPr/>
                      <wps:spPr>
                        <a:xfrm>
                          <a:off x="0" y="0"/>
                          <a:ext cx="6350" cy="12700"/>
                        </a:xfrm>
                        <a:custGeom>
                          <a:avLst/>
                          <a:gdLst/>
                          <a:ahLst/>
                          <a:cxnLst/>
                          <a:rect l="l" t="t" r="r" b="b"/>
                          <a:pathLst>
                            <a:path w="6350" h="12700">
                              <a:moveTo>
                                <a:pt x="6337" y="0"/>
                              </a:moveTo>
                              <a:lnTo>
                                <a:pt x="0" y="0"/>
                              </a:lnTo>
                              <a:lnTo>
                                <a:pt x="0" y="12192"/>
                              </a:lnTo>
                              <a:lnTo>
                                <a:pt x="6337" y="12192"/>
                              </a:lnTo>
                              <a:lnTo>
                                <a:pt x="6337" y="0"/>
                              </a:lnTo>
                              <a:close/>
                            </a:path>
                          </a:pathLst>
                        </a:custGeom>
                        <a:solidFill>
                          <a:srgbClr val="4F81BB"/>
                        </a:solidFill>
                      </wps:spPr>
                      <wps:bodyPr wrap="square" lIns="0" tIns="0" rIns="0" bIns="0" rtlCol="0">
                        <a:prstTxWarp prst="textNoShape">
                          <a:avLst/>
                        </a:prstTxWarp>
                        <a:noAutofit/>
                      </wps:bodyPr>
                    </wps:wsp>
                  </a:graphicData>
                </a:graphic>
              </wp:anchor>
            </w:drawing>
          </mc:Choice>
          <mc:Fallback>
            <w:pict>
              <v:rect style="position:absolute;margin-left:70pt;margin-top:20.504906pt;width:.499pt;height:.96pt;mso-position-horizontal-relative:page;mso-position-vertical-relative:paragraph;z-index:-15603200;mso-wrap-distance-left:0;mso-wrap-distance-right:0" id="docshape522" filled="true" fillcolor="#4f81bb" stroked="false">
                <v:fill type="solid"/>
                <w10:wrap type="topAndBottom"/>
              </v:rect>
            </w:pict>
          </mc:Fallback>
        </mc:AlternateContent>
      </w:r>
    </w:p>
    <w:p>
      <w:pPr>
        <w:spacing w:before="0"/>
        <w:ind w:left="483" w:right="0" w:firstLine="0"/>
        <w:jc w:val="left"/>
        <w:rPr>
          <w:sz w:val="28"/>
        </w:rPr>
      </w:pPr>
      <w:r>
        <w:rPr>
          <w:color w:val="365F91"/>
          <w:sz w:val="28"/>
        </w:rPr>
        <w:t>FY</w:t>
      </w:r>
      <w:r>
        <w:rPr>
          <w:color w:val="365F91"/>
          <w:spacing w:val="-7"/>
          <w:sz w:val="28"/>
        </w:rPr>
        <w:t> </w:t>
      </w:r>
      <w:r>
        <w:rPr>
          <w:color w:val="365F91"/>
          <w:sz w:val="28"/>
        </w:rPr>
        <w:t>2025</w:t>
      </w:r>
      <w:r>
        <w:rPr>
          <w:color w:val="365F91"/>
          <w:spacing w:val="-6"/>
          <w:sz w:val="28"/>
        </w:rPr>
        <w:t> </w:t>
      </w:r>
      <w:r>
        <w:rPr>
          <w:color w:val="365F91"/>
          <w:spacing w:val="-2"/>
          <w:sz w:val="28"/>
        </w:rPr>
        <w:t>Recommendations</w:t>
      </w:r>
    </w:p>
    <w:p>
      <w:pPr>
        <w:pStyle w:val="BodyText"/>
        <w:spacing w:before="10"/>
        <w:rPr>
          <w:sz w:val="3"/>
        </w:rPr>
      </w:pPr>
      <w:r>
        <w:rPr/>
        <mc:AlternateContent>
          <mc:Choice Requires="wps">
            <w:drawing>
              <wp:anchor distT="0" distB="0" distL="0" distR="0" allowOverlap="1" layoutInCell="1" locked="0" behindDoc="1" simplePos="0" relativeHeight="487713792">
                <wp:simplePos x="0" y="0"/>
                <wp:positionH relativeFrom="page">
                  <wp:posOffset>897636</wp:posOffset>
                </wp:positionH>
                <wp:positionV relativeFrom="paragraph">
                  <wp:posOffset>44883</wp:posOffset>
                </wp:positionV>
                <wp:extent cx="5976620" cy="6350"/>
                <wp:effectExtent l="0" t="0" r="0" b="0"/>
                <wp:wrapTopAndBottom/>
                <wp:docPr id="626" name="Graphic 626"/>
                <wp:cNvGraphicFramePr>
                  <a:graphicFrameLocks/>
                </wp:cNvGraphicFramePr>
                <a:graphic>
                  <a:graphicData uri="http://schemas.microsoft.com/office/word/2010/wordprocessingShape">
                    <wps:wsp>
                      <wps:cNvPr id="626" name="Graphic 626"/>
                      <wps:cNvSpPr/>
                      <wps:spPr>
                        <a:xfrm>
                          <a:off x="0" y="0"/>
                          <a:ext cx="5976620" cy="6350"/>
                        </a:xfrm>
                        <a:custGeom>
                          <a:avLst/>
                          <a:gdLst/>
                          <a:ahLst/>
                          <a:cxnLst/>
                          <a:rect l="l" t="t" r="r" b="b"/>
                          <a:pathLst>
                            <a:path w="5976620" h="6350">
                              <a:moveTo>
                                <a:pt x="5976366" y="0"/>
                              </a:moveTo>
                              <a:lnTo>
                                <a:pt x="0" y="0"/>
                              </a:lnTo>
                              <a:lnTo>
                                <a:pt x="0" y="6096"/>
                              </a:lnTo>
                              <a:lnTo>
                                <a:pt x="5976366" y="6096"/>
                              </a:lnTo>
                              <a:lnTo>
                                <a:pt x="5976366" y="0"/>
                              </a:lnTo>
                              <a:close/>
                            </a:path>
                          </a:pathLst>
                        </a:custGeom>
                        <a:solidFill>
                          <a:srgbClr val="4F81BC"/>
                        </a:solidFill>
                      </wps:spPr>
                      <wps:bodyPr wrap="square" lIns="0" tIns="0" rIns="0" bIns="0" rtlCol="0">
                        <a:prstTxWarp prst="textNoShape">
                          <a:avLst/>
                        </a:prstTxWarp>
                        <a:noAutofit/>
                      </wps:bodyPr>
                    </wps:wsp>
                  </a:graphicData>
                </a:graphic>
              </wp:anchor>
            </w:drawing>
          </mc:Choice>
          <mc:Fallback>
            <w:pict>
              <v:rect style="position:absolute;margin-left:70.680pt;margin-top:3.534156pt;width:470.58pt;height:.48pt;mso-position-horizontal-relative:page;mso-position-vertical-relative:paragraph;z-index:-15602688;mso-wrap-distance-left:0;mso-wrap-distance-right:0" id="docshape523" filled="true" fillcolor="#4f81bc" stroked="false">
                <v:fill type="solid"/>
                <w10:wrap type="topAndBottom"/>
              </v:rect>
            </w:pict>
          </mc:Fallback>
        </mc:AlternateContent>
      </w:r>
    </w:p>
    <w:p>
      <w:pPr>
        <w:pStyle w:val="ListParagraph"/>
        <w:numPr>
          <w:ilvl w:val="1"/>
          <w:numId w:val="42"/>
        </w:numPr>
        <w:tabs>
          <w:tab w:pos="1201" w:val="left" w:leader="none"/>
          <w:tab w:pos="1203" w:val="left" w:leader="none"/>
        </w:tabs>
        <w:spacing w:line="276" w:lineRule="auto" w:before="241" w:after="0"/>
        <w:ind w:left="1203" w:right="345" w:hanging="361"/>
        <w:jc w:val="both"/>
        <w:rPr>
          <w:sz w:val="22"/>
        </w:rPr>
      </w:pPr>
      <w:r>
        <w:rPr>
          <w:sz w:val="22"/>
        </w:rPr>
        <w:t>Develop and execute a strategic plan to conduct direct outreach to LGBTQ immigrant youth and families across the Commonwealth.</w:t>
      </w:r>
    </w:p>
    <w:p>
      <w:pPr>
        <w:pStyle w:val="ListParagraph"/>
        <w:numPr>
          <w:ilvl w:val="1"/>
          <w:numId w:val="42"/>
        </w:numPr>
        <w:tabs>
          <w:tab w:pos="1201" w:val="left" w:leader="none"/>
          <w:tab w:pos="1203" w:val="left" w:leader="none"/>
        </w:tabs>
        <w:spacing w:line="276" w:lineRule="auto" w:before="1" w:after="0"/>
        <w:ind w:left="1203" w:right="344" w:hanging="361"/>
        <w:jc w:val="both"/>
        <w:rPr>
          <w:sz w:val="22"/>
        </w:rPr>
      </w:pPr>
      <w:r>
        <w:rPr>
          <w:sz w:val="22"/>
        </w:rPr>
        <w:t>Establish relationships with LGBTQ community partners and organizations across the Commonwealth</w:t>
      </w:r>
      <w:r>
        <w:rPr>
          <w:spacing w:val="-11"/>
          <w:sz w:val="22"/>
        </w:rPr>
        <w:t> </w:t>
      </w:r>
      <w:r>
        <w:rPr>
          <w:sz w:val="22"/>
        </w:rPr>
        <w:t>to</w:t>
      </w:r>
      <w:r>
        <w:rPr>
          <w:spacing w:val="-10"/>
          <w:sz w:val="22"/>
        </w:rPr>
        <w:t> </w:t>
      </w:r>
      <w:r>
        <w:rPr>
          <w:sz w:val="22"/>
        </w:rPr>
        <w:t>ensure</w:t>
      </w:r>
      <w:r>
        <w:rPr>
          <w:spacing w:val="-10"/>
          <w:sz w:val="22"/>
        </w:rPr>
        <w:t> </w:t>
      </w:r>
      <w:r>
        <w:rPr>
          <w:sz w:val="22"/>
        </w:rPr>
        <w:t>that</w:t>
      </w:r>
      <w:r>
        <w:rPr>
          <w:spacing w:val="-11"/>
          <w:sz w:val="22"/>
        </w:rPr>
        <w:t> </w:t>
      </w:r>
      <w:r>
        <w:rPr>
          <w:sz w:val="22"/>
        </w:rPr>
        <w:t>all</w:t>
      </w:r>
      <w:r>
        <w:rPr>
          <w:spacing w:val="-10"/>
          <w:sz w:val="22"/>
        </w:rPr>
        <w:t> </w:t>
      </w:r>
      <w:r>
        <w:rPr>
          <w:sz w:val="22"/>
        </w:rPr>
        <w:t>ORI</w:t>
      </w:r>
      <w:r>
        <w:rPr>
          <w:spacing w:val="-11"/>
          <w:sz w:val="22"/>
        </w:rPr>
        <w:t> </w:t>
      </w:r>
      <w:r>
        <w:rPr>
          <w:sz w:val="22"/>
        </w:rPr>
        <w:t>service</w:t>
      </w:r>
      <w:r>
        <w:rPr>
          <w:spacing w:val="-11"/>
          <w:sz w:val="22"/>
        </w:rPr>
        <w:t> </w:t>
      </w:r>
      <w:r>
        <w:rPr>
          <w:sz w:val="22"/>
        </w:rPr>
        <w:t>providers</w:t>
      </w:r>
      <w:r>
        <w:rPr>
          <w:spacing w:val="-10"/>
          <w:sz w:val="22"/>
        </w:rPr>
        <w:t> </w:t>
      </w:r>
      <w:r>
        <w:rPr>
          <w:sz w:val="22"/>
        </w:rPr>
        <w:t>have</w:t>
      </w:r>
      <w:r>
        <w:rPr>
          <w:spacing w:val="-11"/>
          <w:sz w:val="22"/>
        </w:rPr>
        <w:t> </w:t>
      </w:r>
      <w:r>
        <w:rPr>
          <w:sz w:val="22"/>
        </w:rPr>
        <w:t>multicultural,</w:t>
      </w:r>
      <w:r>
        <w:rPr>
          <w:spacing w:val="-11"/>
          <w:sz w:val="22"/>
        </w:rPr>
        <w:t> </w:t>
      </w:r>
      <w:r>
        <w:rPr>
          <w:sz w:val="22"/>
        </w:rPr>
        <w:t>multilingual</w:t>
      </w:r>
      <w:r>
        <w:rPr>
          <w:spacing w:val="-11"/>
          <w:sz w:val="22"/>
        </w:rPr>
        <w:t> </w:t>
      </w:r>
      <w:r>
        <w:rPr>
          <w:sz w:val="22"/>
        </w:rPr>
        <w:t>resources available on site that are regionally appropriate.</w:t>
      </w:r>
    </w:p>
    <w:p>
      <w:pPr>
        <w:pStyle w:val="ListParagraph"/>
        <w:numPr>
          <w:ilvl w:val="1"/>
          <w:numId w:val="42"/>
        </w:numPr>
        <w:tabs>
          <w:tab w:pos="1202" w:val="left" w:leader="none"/>
          <w:tab w:pos="1204" w:val="left" w:leader="none"/>
        </w:tabs>
        <w:spacing w:line="276" w:lineRule="auto" w:before="0" w:after="0"/>
        <w:ind w:left="1204" w:right="342" w:hanging="361"/>
        <w:jc w:val="both"/>
        <w:rPr>
          <w:sz w:val="22"/>
        </w:rPr>
      </w:pPr>
      <w:r>
        <w:rPr>
          <w:sz w:val="22"/>
        </w:rPr>
        <w:t>Provide consistent professional development opportunities that prioritize intersectionality and center</w:t>
      </w:r>
      <w:r>
        <w:rPr>
          <w:spacing w:val="-11"/>
          <w:sz w:val="22"/>
        </w:rPr>
        <w:t> </w:t>
      </w:r>
      <w:r>
        <w:rPr>
          <w:sz w:val="22"/>
        </w:rPr>
        <w:t>LGBTQ</w:t>
      </w:r>
      <w:r>
        <w:rPr>
          <w:spacing w:val="-10"/>
          <w:sz w:val="22"/>
        </w:rPr>
        <w:t> </w:t>
      </w:r>
      <w:r>
        <w:rPr>
          <w:sz w:val="22"/>
        </w:rPr>
        <w:t>cultural</w:t>
      </w:r>
      <w:r>
        <w:rPr>
          <w:spacing w:val="-10"/>
          <w:sz w:val="22"/>
        </w:rPr>
        <w:t> </w:t>
      </w:r>
      <w:r>
        <w:rPr>
          <w:sz w:val="22"/>
        </w:rPr>
        <w:t>engagement,</w:t>
      </w:r>
      <w:r>
        <w:rPr>
          <w:spacing w:val="-11"/>
          <w:sz w:val="22"/>
        </w:rPr>
        <w:t> </w:t>
      </w:r>
      <w:r>
        <w:rPr>
          <w:sz w:val="22"/>
        </w:rPr>
        <w:t>racial</w:t>
      </w:r>
      <w:r>
        <w:rPr>
          <w:spacing w:val="-11"/>
          <w:sz w:val="22"/>
        </w:rPr>
        <w:t> </w:t>
      </w:r>
      <w:r>
        <w:rPr>
          <w:sz w:val="22"/>
        </w:rPr>
        <w:t>equity,</w:t>
      </w:r>
      <w:r>
        <w:rPr>
          <w:spacing w:val="-11"/>
          <w:sz w:val="22"/>
        </w:rPr>
        <w:t> </w:t>
      </w:r>
      <w:r>
        <w:rPr>
          <w:sz w:val="22"/>
        </w:rPr>
        <w:t>and</w:t>
      </w:r>
      <w:r>
        <w:rPr>
          <w:spacing w:val="-10"/>
          <w:sz w:val="22"/>
        </w:rPr>
        <w:t> </w:t>
      </w:r>
      <w:r>
        <w:rPr>
          <w:sz w:val="22"/>
        </w:rPr>
        <w:t>adultism</w:t>
      </w:r>
      <w:r>
        <w:rPr>
          <w:spacing w:val="-10"/>
          <w:sz w:val="22"/>
        </w:rPr>
        <w:t> </w:t>
      </w:r>
      <w:r>
        <w:rPr>
          <w:sz w:val="22"/>
        </w:rPr>
        <w:t>for</w:t>
      </w:r>
      <w:r>
        <w:rPr>
          <w:spacing w:val="-11"/>
          <w:sz w:val="22"/>
        </w:rPr>
        <w:t> </w:t>
      </w:r>
      <w:r>
        <w:rPr>
          <w:sz w:val="22"/>
        </w:rPr>
        <w:t>staff</w:t>
      </w:r>
      <w:r>
        <w:rPr>
          <w:spacing w:val="-11"/>
          <w:sz w:val="22"/>
        </w:rPr>
        <w:t> </w:t>
      </w:r>
      <w:r>
        <w:rPr>
          <w:sz w:val="22"/>
        </w:rPr>
        <w:t>and</w:t>
      </w:r>
      <w:r>
        <w:rPr>
          <w:spacing w:val="-10"/>
          <w:sz w:val="22"/>
        </w:rPr>
        <w:t> </w:t>
      </w:r>
      <w:r>
        <w:rPr>
          <w:sz w:val="22"/>
        </w:rPr>
        <w:t>contracted</w:t>
      </w:r>
      <w:r>
        <w:rPr>
          <w:spacing w:val="-10"/>
          <w:sz w:val="22"/>
        </w:rPr>
        <w:t> </w:t>
      </w:r>
      <w:r>
        <w:rPr>
          <w:sz w:val="22"/>
        </w:rPr>
        <w:t>providers.</w:t>
      </w:r>
    </w:p>
    <w:p>
      <w:pPr>
        <w:pStyle w:val="ListParagraph"/>
        <w:numPr>
          <w:ilvl w:val="1"/>
          <w:numId w:val="42"/>
        </w:numPr>
        <w:tabs>
          <w:tab w:pos="1202" w:val="left" w:leader="none"/>
          <w:tab w:pos="1204" w:val="left" w:leader="none"/>
        </w:tabs>
        <w:spacing w:line="276" w:lineRule="auto" w:before="0" w:after="0"/>
        <w:ind w:left="1204" w:right="339" w:hanging="361"/>
        <w:jc w:val="both"/>
        <w:rPr>
          <w:sz w:val="22"/>
        </w:rPr>
      </w:pPr>
      <w:r>
        <w:rPr>
          <w:sz w:val="22"/>
        </w:rPr>
        <w:t>Establish</w:t>
      </w:r>
      <w:r>
        <w:rPr>
          <w:spacing w:val="-6"/>
          <w:sz w:val="22"/>
        </w:rPr>
        <w:t> </w:t>
      </w:r>
      <w:r>
        <w:rPr>
          <w:sz w:val="22"/>
        </w:rPr>
        <w:t>an</w:t>
      </w:r>
      <w:r>
        <w:rPr>
          <w:spacing w:val="-7"/>
          <w:sz w:val="22"/>
        </w:rPr>
        <w:t> </w:t>
      </w:r>
      <w:r>
        <w:rPr>
          <w:sz w:val="22"/>
        </w:rPr>
        <w:t>interagency</w:t>
      </w:r>
      <w:r>
        <w:rPr>
          <w:spacing w:val="-5"/>
          <w:sz w:val="22"/>
        </w:rPr>
        <w:t> </w:t>
      </w:r>
      <w:r>
        <w:rPr>
          <w:sz w:val="22"/>
        </w:rPr>
        <w:t>collaboration</w:t>
      </w:r>
      <w:r>
        <w:rPr>
          <w:spacing w:val="-6"/>
          <w:sz w:val="22"/>
        </w:rPr>
        <w:t> </w:t>
      </w:r>
      <w:r>
        <w:rPr>
          <w:sz w:val="22"/>
        </w:rPr>
        <w:t>to</w:t>
      </w:r>
      <w:r>
        <w:rPr>
          <w:spacing w:val="-6"/>
          <w:sz w:val="22"/>
        </w:rPr>
        <w:t> </w:t>
      </w:r>
      <w:r>
        <w:rPr>
          <w:sz w:val="22"/>
        </w:rPr>
        <w:t>investigate</w:t>
      </w:r>
      <w:r>
        <w:rPr>
          <w:spacing w:val="-4"/>
          <w:sz w:val="22"/>
        </w:rPr>
        <w:t> </w:t>
      </w:r>
      <w:r>
        <w:rPr>
          <w:sz w:val="22"/>
        </w:rPr>
        <w:t>and</w:t>
      </w:r>
      <w:r>
        <w:rPr>
          <w:spacing w:val="-6"/>
          <w:sz w:val="22"/>
        </w:rPr>
        <w:t> </w:t>
      </w:r>
      <w:r>
        <w:rPr>
          <w:sz w:val="22"/>
        </w:rPr>
        <w:t>improve</w:t>
      </w:r>
      <w:r>
        <w:rPr>
          <w:spacing w:val="-5"/>
          <w:sz w:val="22"/>
        </w:rPr>
        <w:t> </w:t>
      </w:r>
      <w:r>
        <w:rPr>
          <w:sz w:val="22"/>
        </w:rPr>
        <w:t>the</w:t>
      </w:r>
      <w:r>
        <w:rPr>
          <w:spacing w:val="-6"/>
          <w:sz w:val="22"/>
        </w:rPr>
        <w:t> </w:t>
      </w:r>
      <w:r>
        <w:rPr>
          <w:sz w:val="22"/>
        </w:rPr>
        <w:t>availability</w:t>
      </w:r>
      <w:r>
        <w:rPr>
          <w:spacing w:val="-6"/>
          <w:sz w:val="22"/>
        </w:rPr>
        <w:t> </w:t>
      </w:r>
      <w:r>
        <w:rPr>
          <w:sz w:val="22"/>
        </w:rPr>
        <w:t>of</w:t>
      </w:r>
      <w:r>
        <w:rPr>
          <w:spacing w:val="-6"/>
          <w:sz w:val="22"/>
        </w:rPr>
        <w:t> </w:t>
      </w:r>
      <w:r>
        <w:rPr>
          <w:sz w:val="22"/>
        </w:rPr>
        <w:t>resources</w:t>
      </w:r>
      <w:r>
        <w:rPr>
          <w:spacing w:val="-6"/>
          <w:sz w:val="22"/>
        </w:rPr>
        <w:t> </w:t>
      </w:r>
      <w:r>
        <w:rPr>
          <w:sz w:val="22"/>
        </w:rPr>
        <w:t>for LGBTQ refugee and immigrant youth.</w:t>
      </w:r>
    </w:p>
    <w:p>
      <w:pPr>
        <w:pStyle w:val="ListParagraph"/>
        <w:numPr>
          <w:ilvl w:val="1"/>
          <w:numId w:val="42"/>
        </w:numPr>
        <w:tabs>
          <w:tab w:pos="1202" w:val="left" w:leader="none"/>
          <w:tab w:pos="1204" w:val="left" w:leader="none"/>
        </w:tabs>
        <w:spacing w:line="276" w:lineRule="auto" w:before="0" w:after="0"/>
        <w:ind w:left="1204" w:right="342" w:hanging="361"/>
        <w:jc w:val="both"/>
        <w:rPr>
          <w:sz w:val="22"/>
        </w:rPr>
      </w:pPr>
      <w:r>
        <w:rPr>
          <w:sz w:val="22"/>
        </w:rPr>
        <w:t>Review and improve data collection efforts to capture sexual orientation and gender identity demographic information.</w:t>
      </w:r>
    </w:p>
    <w:p>
      <w:pPr>
        <w:pStyle w:val="ListParagraph"/>
        <w:numPr>
          <w:ilvl w:val="1"/>
          <w:numId w:val="42"/>
        </w:numPr>
        <w:tabs>
          <w:tab w:pos="1203" w:val="left" w:leader="none"/>
        </w:tabs>
        <w:spacing w:line="268" w:lineRule="exact" w:before="0" w:after="0"/>
        <w:ind w:left="1203" w:right="0" w:hanging="359"/>
        <w:jc w:val="both"/>
        <w:rPr>
          <w:sz w:val="22"/>
        </w:rPr>
      </w:pPr>
      <w:r>
        <w:rPr>
          <w:sz w:val="22"/>
        </w:rPr>
        <w:t>Implement</w:t>
      </w:r>
      <w:r>
        <w:rPr>
          <w:spacing w:val="-10"/>
          <w:sz w:val="22"/>
        </w:rPr>
        <w:t> </w:t>
      </w:r>
      <w:r>
        <w:rPr>
          <w:sz w:val="22"/>
        </w:rPr>
        <w:t>a</w:t>
      </w:r>
      <w:r>
        <w:rPr>
          <w:spacing w:val="-8"/>
          <w:sz w:val="22"/>
        </w:rPr>
        <w:t> </w:t>
      </w:r>
      <w:r>
        <w:rPr>
          <w:sz w:val="22"/>
        </w:rPr>
        <w:t>nondiscrimination</w:t>
      </w:r>
      <w:r>
        <w:rPr>
          <w:spacing w:val="-10"/>
          <w:sz w:val="22"/>
        </w:rPr>
        <w:t> </w:t>
      </w:r>
      <w:r>
        <w:rPr>
          <w:sz w:val="22"/>
        </w:rPr>
        <w:t>policy</w:t>
      </w:r>
      <w:r>
        <w:rPr>
          <w:spacing w:val="-8"/>
          <w:sz w:val="22"/>
        </w:rPr>
        <w:t> </w:t>
      </w:r>
      <w:r>
        <w:rPr>
          <w:sz w:val="22"/>
        </w:rPr>
        <w:t>and</w:t>
      </w:r>
      <w:r>
        <w:rPr>
          <w:spacing w:val="-9"/>
          <w:sz w:val="22"/>
        </w:rPr>
        <w:t> </w:t>
      </w:r>
      <w:r>
        <w:rPr>
          <w:sz w:val="22"/>
        </w:rPr>
        <w:t>disseminate</w:t>
      </w:r>
      <w:r>
        <w:rPr>
          <w:spacing w:val="-10"/>
          <w:sz w:val="22"/>
        </w:rPr>
        <w:t> </w:t>
      </w:r>
      <w:r>
        <w:rPr>
          <w:sz w:val="22"/>
        </w:rPr>
        <w:t>to</w:t>
      </w:r>
      <w:r>
        <w:rPr>
          <w:spacing w:val="-8"/>
          <w:sz w:val="22"/>
        </w:rPr>
        <w:t> </w:t>
      </w:r>
      <w:r>
        <w:rPr>
          <w:sz w:val="22"/>
        </w:rPr>
        <w:t>employees</w:t>
      </w:r>
      <w:r>
        <w:rPr>
          <w:spacing w:val="-9"/>
          <w:sz w:val="22"/>
        </w:rPr>
        <w:t> </w:t>
      </w:r>
      <w:r>
        <w:rPr>
          <w:sz w:val="22"/>
        </w:rPr>
        <w:t>and</w:t>
      </w:r>
      <w:r>
        <w:rPr>
          <w:spacing w:val="-9"/>
          <w:sz w:val="22"/>
        </w:rPr>
        <w:t> </w:t>
      </w:r>
      <w:r>
        <w:rPr>
          <w:spacing w:val="-2"/>
          <w:sz w:val="22"/>
        </w:rPr>
        <w:t>clients.</w:t>
      </w:r>
    </w:p>
    <w:p>
      <w:pPr>
        <w:pStyle w:val="BodyText"/>
        <w:spacing w:before="112"/>
        <w:rPr>
          <w:sz w:val="20"/>
        </w:rPr>
      </w:pPr>
      <w:r>
        <w:rPr/>
        <mc:AlternateContent>
          <mc:Choice Requires="wps">
            <w:drawing>
              <wp:anchor distT="0" distB="0" distL="0" distR="0" allowOverlap="1" layoutInCell="1" locked="0" behindDoc="1" simplePos="0" relativeHeight="487714304">
                <wp:simplePos x="0" y="0"/>
                <wp:positionH relativeFrom="page">
                  <wp:posOffset>889000</wp:posOffset>
                </wp:positionH>
                <wp:positionV relativeFrom="paragraph">
                  <wp:posOffset>242003</wp:posOffset>
                </wp:positionV>
                <wp:extent cx="6350" cy="12700"/>
                <wp:effectExtent l="0" t="0" r="0" b="0"/>
                <wp:wrapTopAndBottom/>
                <wp:docPr id="627" name="Graphic 627"/>
                <wp:cNvGraphicFramePr>
                  <a:graphicFrameLocks/>
                </wp:cNvGraphicFramePr>
                <a:graphic>
                  <a:graphicData uri="http://schemas.microsoft.com/office/word/2010/wordprocessingShape">
                    <wps:wsp>
                      <wps:cNvPr id="627" name="Graphic 627"/>
                      <wps:cNvSpPr/>
                      <wps:spPr>
                        <a:xfrm>
                          <a:off x="0" y="0"/>
                          <a:ext cx="6350" cy="12700"/>
                        </a:xfrm>
                        <a:custGeom>
                          <a:avLst/>
                          <a:gdLst/>
                          <a:ahLst/>
                          <a:cxnLst/>
                          <a:rect l="l" t="t" r="r" b="b"/>
                          <a:pathLst>
                            <a:path w="6350" h="12700">
                              <a:moveTo>
                                <a:pt x="6337" y="0"/>
                              </a:moveTo>
                              <a:lnTo>
                                <a:pt x="0" y="0"/>
                              </a:lnTo>
                              <a:lnTo>
                                <a:pt x="0" y="12191"/>
                              </a:lnTo>
                              <a:lnTo>
                                <a:pt x="6337" y="12191"/>
                              </a:lnTo>
                              <a:lnTo>
                                <a:pt x="6337" y="0"/>
                              </a:lnTo>
                              <a:close/>
                            </a:path>
                          </a:pathLst>
                        </a:custGeom>
                        <a:solidFill>
                          <a:srgbClr val="4F81BB"/>
                        </a:solidFill>
                      </wps:spPr>
                      <wps:bodyPr wrap="square" lIns="0" tIns="0" rIns="0" bIns="0" rtlCol="0">
                        <a:prstTxWarp prst="textNoShape">
                          <a:avLst/>
                        </a:prstTxWarp>
                        <a:noAutofit/>
                      </wps:bodyPr>
                    </wps:wsp>
                  </a:graphicData>
                </a:graphic>
              </wp:anchor>
            </w:drawing>
          </mc:Choice>
          <mc:Fallback>
            <w:pict>
              <v:rect style="position:absolute;margin-left:70pt;margin-top:19.055367pt;width:.499pt;height:.96pt;mso-position-horizontal-relative:page;mso-position-vertical-relative:paragraph;z-index:-15602176;mso-wrap-distance-left:0;mso-wrap-distance-right:0" id="docshape524" filled="true" fillcolor="#4f81bb" stroked="false">
                <v:fill type="solid"/>
                <w10:wrap type="topAndBottom"/>
              </v:rect>
            </w:pict>
          </mc:Fallback>
        </mc:AlternateContent>
      </w:r>
    </w:p>
    <w:p>
      <w:pPr>
        <w:spacing w:before="240"/>
        <w:ind w:left="483" w:right="0" w:firstLine="0"/>
        <w:jc w:val="left"/>
        <w:rPr>
          <w:sz w:val="28"/>
        </w:rPr>
      </w:pPr>
      <w:r>
        <w:rPr>
          <w:color w:val="365F91"/>
          <w:spacing w:val="-2"/>
          <w:sz w:val="28"/>
        </w:rPr>
        <w:t>Introduction</w:t>
      </w:r>
    </w:p>
    <w:p>
      <w:pPr>
        <w:pStyle w:val="BodyText"/>
        <w:spacing w:before="10"/>
        <w:rPr>
          <w:sz w:val="3"/>
        </w:rPr>
      </w:pPr>
      <w:r>
        <w:rPr/>
        <mc:AlternateContent>
          <mc:Choice Requires="wps">
            <w:drawing>
              <wp:anchor distT="0" distB="0" distL="0" distR="0" allowOverlap="1" layoutInCell="1" locked="0" behindDoc="1" simplePos="0" relativeHeight="487714816">
                <wp:simplePos x="0" y="0"/>
                <wp:positionH relativeFrom="page">
                  <wp:posOffset>897636</wp:posOffset>
                </wp:positionH>
                <wp:positionV relativeFrom="paragraph">
                  <wp:posOffset>44921</wp:posOffset>
                </wp:positionV>
                <wp:extent cx="5976620" cy="6350"/>
                <wp:effectExtent l="0" t="0" r="0" b="0"/>
                <wp:wrapTopAndBottom/>
                <wp:docPr id="628" name="Graphic 628"/>
                <wp:cNvGraphicFramePr>
                  <a:graphicFrameLocks/>
                </wp:cNvGraphicFramePr>
                <a:graphic>
                  <a:graphicData uri="http://schemas.microsoft.com/office/word/2010/wordprocessingShape">
                    <wps:wsp>
                      <wps:cNvPr id="628" name="Graphic 628"/>
                      <wps:cNvSpPr/>
                      <wps:spPr>
                        <a:xfrm>
                          <a:off x="0" y="0"/>
                          <a:ext cx="5976620" cy="6350"/>
                        </a:xfrm>
                        <a:custGeom>
                          <a:avLst/>
                          <a:gdLst/>
                          <a:ahLst/>
                          <a:cxnLst/>
                          <a:rect l="l" t="t" r="r" b="b"/>
                          <a:pathLst>
                            <a:path w="5976620" h="6350">
                              <a:moveTo>
                                <a:pt x="5976366" y="0"/>
                              </a:moveTo>
                              <a:lnTo>
                                <a:pt x="0" y="0"/>
                              </a:lnTo>
                              <a:lnTo>
                                <a:pt x="0" y="6108"/>
                              </a:lnTo>
                              <a:lnTo>
                                <a:pt x="5976366" y="6108"/>
                              </a:lnTo>
                              <a:lnTo>
                                <a:pt x="5976366" y="0"/>
                              </a:lnTo>
                              <a:close/>
                            </a:path>
                          </a:pathLst>
                        </a:custGeom>
                        <a:solidFill>
                          <a:srgbClr val="4F81BC"/>
                        </a:solidFill>
                      </wps:spPr>
                      <wps:bodyPr wrap="square" lIns="0" tIns="0" rIns="0" bIns="0" rtlCol="0">
                        <a:prstTxWarp prst="textNoShape">
                          <a:avLst/>
                        </a:prstTxWarp>
                        <a:noAutofit/>
                      </wps:bodyPr>
                    </wps:wsp>
                  </a:graphicData>
                </a:graphic>
              </wp:anchor>
            </w:drawing>
          </mc:Choice>
          <mc:Fallback>
            <w:pict>
              <v:rect style="position:absolute;margin-left:70.680pt;margin-top:3.537156pt;width:470.58pt;height:.481pt;mso-position-horizontal-relative:page;mso-position-vertical-relative:paragraph;z-index:-15601664;mso-wrap-distance-left:0;mso-wrap-distance-right:0" id="docshape525" filled="true" fillcolor="#4f81bc" stroked="false">
                <v:fill type="solid"/>
                <w10:wrap type="topAndBottom"/>
              </v:rect>
            </w:pict>
          </mc:Fallback>
        </mc:AlternateContent>
      </w:r>
    </w:p>
    <w:p>
      <w:pPr>
        <w:pStyle w:val="BodyText"/>
        <w:spacing w:line="276" w:lineRule="auto" w:before="241"/>
        <w:ind w:left="483" w:right="341"/>
        <w:jc w:val="both"/>
      </w:pPr>
      <w:r>
        <w:rPr/>
        <w:t>The</w:t>
      </w:r>
      <w:r>
        <w:rPr>
          <w:spacing w:val="-7"/>
        </w:rPr>
        <w:t> </w:t>
      </w:r>
      <w:r>
        <w:rPr/>
        <w:t>Massachusetts</w:t>
      </w:r>
      <w:r>
        <w:rPr>
          <w:spacing w:val="-6"/>
        </w:rPr>
        <w:t> </w:t>
      </w:r>
      <w:r>
        <w:rPr/>
        <w:t>Office</w:t>
      </w:r>
      <w:r>
        <w:rPr>
          <w:spacing w:val="-5"/>
        </w:rPr>
        <w:t> </w:t>
      </w:r>
      <w:r>
        <w:rPr/>
        <w:t>for</w:t>
      </w:r>
      <w:r>
        <w:rPr>
          <w:spacing w:val="-6"/>
        </w:rPr>
        <w:t> </w:t>
      </w:r>
      <w:r>
        <w:rPr/>
        <w:t>Refugees</w:t>
      </w:r>
      <w:r>
        <w:rPr>
          <w:spacing w:val="-5"/>
        </w:rPr>
        <w:t> </w:t>
      </w:r>
      <w:r>
        <w:rPr/>
        <w:t>and</w:t>
      </w:r>
      <w:r>
        <w:rPr>
          <w:spacing w:val="-7"/>
        </w:rPr>
        <w:t> </w:t>
      </w:r>
      <w:r>
        <w:rPr/>
        <w:t>Immigrants</w:t>
      </w:r>
      <w:r>
        <w:rPr>
          <w:spacing w:val="-6"/>
        </w:rPr>
        <w:t> </w:t>
      </w:r>
      <w:r>
        <w:rPr/>
        <w:t>(ORI)</w:t>
      </w:r>
      <w:r>
        <w:rPr>
          <w:spacing w:val="-6"/>
        </w:rPr>
        <w:t> </w:t>
      </w:r>
      <w:r>
        <w:rPr/>
        <w:t>operates</w:t>
      </w:r>
      <w:r>
        <w:rPr>
          <w:spacing w:val="-6"/>
        </w:rPr>
        <w:t> </w:t>
      </w:r>
      <w:r>
        <w:rPr/>
        <w:t>to</w:t>
      </w:r>
      <w:r>
        <w:rPr>
          <w:spacing w:val="-6"/>
        </w:rPr>
        <w:t> </w:t>
      </w:r>
      <w:r>
        <w:rPr/>
        <w:t>support</w:t>
      </w:r>
      <w:r>
        <w:rPr>
          <w:spacing w:val="-7"/>
        </w:rPr>
        <w:t> </w:t>
      </w:r>
      <w:r>
        <w:rPr/>
        <w:t>“services</w:t>
      </w:r>
      <w:r>
        <w:rPr>
          <w:spacing w:val="-6"/>
        </w:rPr>
        <w:t> </w:t>
      </w:r>
      <w:r>
        <w:rPr/>
        <w:t>that</w:t>
      </w:r>
      <w:r>
        <w:rPr>
          <w:spacing w:val="-7"/>
        </w:rPr>
        <w:t> </w:t>
      </w:r>
      <w:r>
        <w:rPr/>
        <w:t>meet</w:t>
      </w:r>
      <w:r>
        <w:rPr>
          <w:spacing w:val="-6"/>
        </w:rPr>
        <w:t> </w:t>
      </w:r>
      <w:r>
        <w:rPr/>
        <w:t>the cultural and linguistic needs of refugees and immigrants through a network of service providers in Massachusetts.”</w:t>
      </w:r>
      <w:r>
        <w:rPr>
          <w:spacing w:val="-13"/>
        </w:rPr>
        <w:t> </w:t>
      </w:r>
      <w:r>
        <w:rPr/>
        <w:t>Largely</w:t>
      </w:r>
      <w:r>
        <w:rPr>
          <w:spacing w:val="-12"/>
        </w:rPr>
        <w:t> </w:t>
      </w:r>
      <w:r>
        <w:rPr/>
        <w:t>funded</w:t>
      </w:r>
      <w:r>
        <w:rPr>
          <w:spacing w:val="-13"/>
        </w:rPr>
        <w:t> </w:t>
      </w:r>
      <w:r>
        <w:rPr/>
        <w:t>through</w:t>
      </w:r>
      <w:r>
        <w:rPr>
          <w:spacing w:val="-12"/>
        </w:rPr>
        <w:t> </w:t>
      </w:r>
      <w:r>
        <w:rPr/>
        <w:t>the</w:t>
      </w:r>
      <w:r>
        <w:rPr>
          <w:spacing w:val="-13"/>
        </w:rPr>
        <w:t> </w:t>
      </w:r>
      <w:r>
        <w:rPr/>
        <w:t>federal</w:t>
      </w:r>
      <w:r>
        <w:rPr>
          <w:spacing w:val="-12"/>
        </w:rPr>
        <w:t> </w:t>
      </w:r>
      <w:r>
        <w:rPr/>
        <w:t>Office</w:t>
      </w:r>
      <w:r>
        <w:rPr>
          <w:spacing w:val="-13"/>
        </w:rPr>
        <w:t> </w:t>
      </w:r>
      <w:r>
        <w:rPr/>
        <w:t>of</w:t>
      </w:r>
      <w:r>
        <w:rPr>
          <w:spacing w:val="-12"/>
        </w:rPr>
        <w:t> </w:t>
      </w:r>
      <w:r>
        <w:rPr/>
        <w:t>Refugee</w:t>
      </w:r>
      <w:r>
        <w:rPr>
          <w:spacing w:val="-12"/>
        </w:rPr>
        <w:t> </w:t>
      </w:r>
      <w:r>
        <w:rPr/>
        <w:t>Resettlement,</w:t>
      </w:r>
      <w:r>
        <w:rPr>
          <w:spacing w:val="-13"/>
        </w:rPr>
        <w:t> </w:t>
      </w:r>
      <w:r>
        <w:rPr/>
        <w:t>ORI</w:t>
      </w:r>
      <w:r>
        <w:rPr>
          <w:spacing w:val="-12"/>
        </w:rPr>
        <w:t> </w:t>
      </w:r>
      <w:r>
        <w:rPr/>
        <w:t>provides</w:t>
      </w:r>
      <w:r>
        <w:rPr>
          <w:spacing w:val="-13"/>
        </w:rPr>
        <w:t> </w:t>
      </w:r>
      <w:r>
        <w:rPr/>
        <w:t>funding and administers direct service programs to support groups that include Afghan and Iraqi Special Immigrant Visa Holders, Amerasians, Cuban/Haitian Entrants, asylees, human trafficking victims, legal permanent residents, and refugees.</w:t>
      </w:r>
    </w:p>
    <w:p>
      <w:pPr>
        <w:spacing w:line="276" w:lineRule="auto" w:before="241"/>
        <w:ind w:left="483" w:right="342" w:hanging="1"/>
        <w:jc w:val="both"/>
        <w:rPr>
          <w:sz w:val="21"/>
        </w:rPr>
      </w:pPr>
      <w:r>
        <w:rPr>
          <w:sz w:val="22"/>
        </w:rPr>
        <w:t>The Commission remains concerned that ORI has yet to take </w:t>
      </w:r>
      <w:r>
        <w:rPr>
          <w:sz w:val="21"/>
        </w:rPr>
        <w:t>s</w:t>
      </w:r>
      <w:r>
        <w:rPr>
          <w:sz w:val="22"/>
        </w:rPr>
        <w:t>ignificant steps to better understand or meet the unique needs of LGBTQ immigrants, refugees, and asylees in Massachusetts. However, i</w:t>
      </w:r>
      <w:r>
        <w:rPr>
          <w:sz w:val="21"/>
        </w:rPr>
        <w:t>t is optimistic</w:t>
      </w:r>
      <w:r>
        <w:rPr>
          <w:spacing w:val="-3"/>
          <w:sz w:val="21"/>
        </w:rPr>
        <w:t> </w:t>
      </w:r>
      <w:r>
        <w:rPr>
          <w:sz w:val="21"/>
        </w:rPr>
        <w:t>for</w:t>
      </w:r>
      <w:r>
        <w:rPr>
          <w:spacing w:val="-4"/>
          <w:sz w:val="21"/>
        </w:rPr>
        <w:t> </w:t>
      </w:r>
      <w:r>
        <w:rPr>
          <w:sz w:val="21"/>
        </w:rPr>
        <w:t>more</w:t>
      </w:r>
      <w:r>
        <w:rPr>
          <w:spacing w:val="-3"/>
          <w:sz w:val="21"/>
        </w:rPr>
        <w:t> </w:t>
      </w:r>
      <w:r>
        <w:rPr>
          <w:sz w:val="21"/>
        </w:rPr>
        <w:t>progress</w:t>
      </w:r>
      <w:r>
        <w:rPr>
          <w:spacing w:val="-3"/>
          <w:sz w:val="21"/>
        </w:rPr>
        <w:t> </w:t>
      </w:r>
      <w:r>
        <w:rPr>
          <w:sz w:val="21"/>
        </w:rPr>
        <w:t>given</w:t>
      </w:r>
      <w:r>
        <w:rPr>
          <w:spacing w:val="-3"/>
          <w:sz w:val="21"/>
        </w:rPr>
        <w:t> </w:t>
      </w:r>
      <w:r>
        <w:rPr>
          <w:sz w:val="21"/>
        </w:rPr>
        <w:t>that</w:t>
      </w:r>
      <w:r>
        <w:rPr>
          <w:spacing w:val="-4"/>
          <w:sz w:val="21"/>
        </w:rPr>
        <w:t> </w:t>
      </w:r>
      <w:r>
        <w:rPr>
          <w:sz w:val="21"/>
        </w:rPr>
        <w:t>the</w:t>
      </w:r>
      <w:r>
        <w:rPr>
          <w:spacing w:val="-3"/>
          <w:sz w:val="21"/>
        </w:rPr>
        <w:t> </w:t>
      </w:r>
      <w:r>
        <w:rPr>
          <w:sz w:val="21"/>
        </w:rPr>
        <w:t>agency</w:t>
      </w:r>
      <w:r>
        <w:rPr>
          <w:spacing w:val="-3"/>
          <w:sz w:val="21"/>
        </w:rPr>
        <w:t> </w:t>
      </w:r>
      <w:r>
        <w:rPr>
          <w:sz w:val="21"/>
        </w:rPr>
        <w:t>has</w:t>
      </w:r>
      <w:r>
        <w:rPr>
          <w:spacing w:val="-3"/>
          <w:sz w:val="21"/>
        </w:rPr>
        <w:t> </w:t>
      </w:r>
      <w:r>
        <w:rPr>
          <w:sz w:val="21"/>
        </w:rPr>
        <w:t>recently</w:t>
      </w:r>
      <w:r>
        <w:rPr>
          <w:spacing w:val="-3"/>
          <w:sz w:val="21"/>
        </w:rPr>
        <w:t> </w:t>
      </w:r>
      <w:r>
        <w:rPr>
          <w:sz w:val="21"/>
        </w:rPr>
        <w:t>begun</w:t>
      </w:r>
      <w:r>
        <w:rPr>
          <w:spacing w:val="-4"/>
          <w:sz w:val="21"/>
        </w:rPr>
        <w:t> </w:t>
      </w:r>
      <w:r>
        <w:rPr>
          <w:sz w:val="21"/>
        </w:rPr>
        <w:t>to</w:t>
      </w:r>
      <w:r>
        <w:rPr>
          <w:spacing w:val="-5"/>
          <w:sz w:val="21"/>
        </w:rPr>
        <w:t> </w:t>
      </w:r>
      <w:r>
        <w:rPr>
          <w:sz w:val="21"/>
        </w:rPr>
        <w:t>engage</w:t>
      </w:r>
      <w:r>
        <w:rPr>
          <w:spacing w:val="-3"/>
          <w:sz w:val="21"/>
        </w:rPr>
        <w:t> </w:t>
      </w:r>
      <w:r>
        <w:rPr>
          <w:sz w:val="21"/>
        </w:rPr>
        <w:t>more</w:t>
      </w:r>
      <w:r>
        <w:rPr>
          <w:spacing w:val="-3"/>
          <w:sz w:val="21"/>
        </w:rPr>
        <w:t> </w:t>
      </w:r>
      <w:r>
        <w:rPr>
          <w:sz w:val="21"/>
        </w:rPr>
        <w:t>in</w:t>
      </w:r>
      <w:r>
        <w:rPr>
          <w:spacing w:val="-4"/>
          <w:sz w:val="21"/>
        </w:rPr>
        <w:t> </w:t>
      </w:r>
      <w:r>
        <w:rPr>
          <w:sz w:val="21"/>
        </w:rPr>
        <w:t>conversations</w:t>
      </w:r>
      <w:r>
        <w:rPr>
          <w:spacing w:val="-3"/>
          <w:sz w:val="21"/>
        </w:rPr>
        <w:t> </w:t>
      </w:r>
      <w:r>
        <w:rPr>
          <w:sz w:val="21"/>
        </w:rPr>
        <w:t>about the Commission’s recommendations and how it might move forward to address them in FY 2025.</w:t>
      </w:r>
    </w:p>
    <w:p>
      <w:pPr>
        <w:pStyle w:val="BodyText"/>
        <w:spacing w:line="276" w:lineRule="auto" w:before="240"/>
        <w:ind w:left="483" w:right="342"/>
        <w:jc w:val="both"/>
      </w:pPr>
      <w:r>
        <w:rPr/>
        <w:t>Little to no accessible data currently exists on the number of LGBTQ immigrant, asylee, and refugee residents in Massachusetts, let alone youth populations. ORI’s most recent published FY 2021 annual report,</w:t>
      </w:r>
      <w:r>
        <w:rPr>
          <w:spacing w:val="-7"/>
        </w:rPr>
        <w:t> </w:t>
      </w:r>
      <w:r>
        <w:rPr/>
        <w:t>it</w:t>
      </w:r>
      <w:r>
        <w:rPr>
          <w:spacing w:val="-8"/>
        </w:rPr>
        <w:t> </w:t>
      </w:r>
      <w:r>
        <w:rPr/>
        <w:t>was</w:t>
      </w:r>
      <w:r>
        <w:rPr>
          <w:spacing w:val="-7"/>
        </w:rPr>
        <w:t> </w:t>
      </w:r>
      <w:r>
        <w:rPr/>
        <w:t>reported</w:t>
      </w:r>
      <w:r>
        <w:rPr>
          <w:spacing w:val="-8"/>
        </w:rPr>
        <w:t> </w:t>
      </w:r>
      <w:r>
        <w:rPr/>
        <w:t>that</w:t>
      </w:r>
      <w:r>
        <w:rPr>
          <w:spacing w:val="-8"/>
        </w:rPr>
        <w:t> </w:t>
      </w:r>
      <w:r>
        <w:rPr/>
        <w:t>Massachusetts</w:t>
      </w:r>
      <w:r>
        <w:rPr>
          <w:spacing w:val="-7"/>
        </w:rPr>
        <w:t> </w:t>
      </w:r>
      <w:r>
        <w:rPr/>
        <w:t>welcomed</w:t>
      </w:r>
      <w:r>
        <w:rPr>
          <w:spacing w:val="-7"/>
        </w:rPr>
        <w:t> </w:t>
      </w:r>
      <w:r>
        <w:rPr/>
        <w:t>1,018</w:t>
      </w:r>
      <w:r>
        <w:rPr>
          <w:spacing w:val="-7"/>
        </w:rPr>
        <w:t> </w:t>
      </w:r>
      <w:r>
        <w:rPr/>
        <w:t>new</w:t>
      </w:r>
      <w:r>
        <w:rPr>
          <w:spacing w:val="-7"/>
        </w:rPr>
        <w:t> </w:t>
      </w:r>
      <w:r>
        <w:rPr/>
        <w:t>refugees</w:t>
      </w:r>
      <w:r>
        <w:rPr>
          <w:spacing w:val="-7"/>
        </w:rPr>
        <w:t> </w:t>
      </w:r>
      <w:r>
        <w:rPr/>
        <w:t>in</w:t>
      </w:r>
      <w:r>
        <w:rPr>
          <w:spacing w:val="-8"/>
        </w:rPr>
        <w:t> </w:t>
      </w:r>
      <w:r>
        <w:rPr/>
        <w:t>FY</w:t>
      </w:r>
      <w:r>
        <w:rPr>
          <w:spacing w:val="-8"/>
        </w:rPr>
        <w:t> </w:t>
      </w:r>
      <w:r>
        <w:rPr/>
        <w:t>2021,</w:t>
      </w:r>
      <w:r>
        <w:rPr>
          <w:spacing w:val="-7"/>
        </w:rPr>
        <w:t> </w:t>
      </w:r>
      <w:r>
        <w:rPr/>
        <w:t>though</w:t>
      </w:r>
      <w:r>
        <w:rPr>
          <w:spacing w:val="-7"/>
        </w:rPr>
        <w:t> </w:t>
      </w:r>
      <w:r>
        <w:rPr/>
        <w:t>none</w:t>
      </w:r>
      <w:r>
        <w:rPr>
          <w:spacing w:val="-8"/>
        </w:rPr>
        <w:t> </w:t>
      </w:r>
      <w:r>
        <w:rPr/>
        <w:t>of</w:t>
      </w:r>
      <w:r>
        <w:rPr>
          <w:spacing w:val="-7"/>
        </w:rPr>
        <w:t> </w:t>
      </w:r>
      <w:r>
        <w:rPr/>
        <w:t>the reported information reflects any LGBTQ-specific services.</w:t>
      </w:r>
      <w:r>
        <w:rPr>
          <w:vertAlign w:val="superscript"/>
        </w:rPr>
        <w:t>1</w:t>
      </w:r>
      <w:r>
        <w:rPr>
          <w:vertAlign w:val="baseline"/>
        </w:rPr>
        <w:t> As discussed in the above Inclusive Service Provision</w:t>
      </w:r>
      <w:r>
        <w:rPr>
          <w:spacing w:val="-10"/>
          <w:vertAlign w:val="baseline"/>
        </w:rPr>
        <w:t> </w:t>
      </w:r>
      <w:r>
        <w:rPr>
          <w:vertAlign w:val="baseline"/>
        </w:rPr>
        <w:t>section,</w:t>
      </w:r>
      <w:r>
        <w:rPr>
          <w:spacing w:val="-11"/>
          <w:vertAlign w:val="baseline"/>
        </w:rPr>
        <w:t> </w:t>
      </w:r>
      <w:r>
        <w:rPr>
          <w:vertAlign w:val="baseline"/>
        </w:rPr>
        <w:t>research</w:t>
      </w:r>
      <w:r>
        <w:rPr>
          <w:spacing w:val="-10"/>
          <w:vertAlign w:val="baseline"/>
        </w:rPr>
        <w:t> </w:t>
      </w:r>
      <w:r>
        <w:rPr>
          <w:vertAlign w:val="baseline"/>
        </w:rPr>
        <w:t>has</w:t>
      </w:r>
      <w:r>
        <w:rPr>
          <w:spacing w:val="-10"/>
          <w:vertAlign w:val="baseline"/>
        </w:rPr>
        <w:t> </w:t>
      </w:r>
      <w:r>
        <w:rPr>
          <w:vertAlign w:val="baseline"/>
        </w:rPr>
        <w:t>indicated</w:t>
      </w:r>
      <w:r>
        <w:rPr>
          <w:spacing w:val="-10"/>
          <w:vertAlign w:val="baseline"/>
        </w:rPr>
        <w:t> </w:t>
      </w:r>
      <w:r>
        <w:rPr>
          <w:vertAlign w:val="baseline"/>
        </w:rPr>
        <w:t>that</w:t>
      </w:r>
      <w:r>
        <w:rPr>
          <w:spacing w:val="-10"/>
          <w:vertAlign w:val="baseline"/>
        </w:rPr>
        <w:t> </w:t>
      </w:r>
      <w:r>
        <w:rPr>
          <w:vertAlign w:val="baseline"/>
        </w:rPr>
        <w:t>the</w:t>
      </w:r>
      <w:r>
        <w:rPr>
          <w:spacing w:val="-9"/>
          <w:vertAlign w:val="baseline"/>
        </w:rPr>
        <w:t> </w:t>
      </w:r>
      <w:r>
        <w:rPr>
          <w:vertAlign w:val="baseline"/>
        </w:rPr>
        <w:t>number</w:t>
      </w:r>
      <w:r>
        <w:rPr>
          <w:spacing w:val="-10"/>
          <w:vertAlign w:val="baseline"/>
        </w:rPr>
        <w:t> </w:t>
      </w:r>
      <w:r>
        <w:rPr>
          <w:vertAlign w:val="baseline"/>
        </w:rPr>
        <w:t>of</w:t>
      </w:r>
      <w:r>
        <w:rPr>
          <w:spacing w:val="-10"/>
          <w:vertAlign w:val="baseline"/>
        </w:rPr>
        <w:t> </w:t>
      </w:r>
      <w:r>
        <w:rPr>
          <w:vertAlign w:val="baseline"/>
        </w:rPr>
        <w:t>undocumented</w:t>
      </w:r>
      <w:r>
        <w:rPr>
          <w:spacing w:val="-10"/>
          <w:vertAlign w:val="baseline"/>
        </w:rPr>
        <w:t> </w:t>
      </w:r>
      <w:r>
        <w:rPr>
          <w:vertAlign w:val="baseline"/>
        </w:rPr>
        <w:t>youth</w:t>
      </w:r>
      <w:r>
        <w:rPr>
          <w:spacing w:val="-10"/>
          <w:vertAlign w:val="baseline"/>
        </w:rPr>
        <w:t> </w:t>
      </w:r>
      <w:r>
        <w:rPr>
          <w:vertAlign w:val="baseline"/>
        </w:rPr>
        <w:t>who</w:t>
      </w:r>
      <w:r>
        <w:rPr>
          <w:spacing w:val="-10"/>
          <w:vertAlign w:val="baseline"/>
        </w:rPr>
        <w:t> </w:t>
      </w:r>
      <w:r>
        <w:rPr>
          <w:vertAlign w:val="baseline"/>
        </w:rPr>
        <w:t>identify</w:t>
      </w:r>
      <w:r>
        <w:rPr>
          <w:spacing w:val="-11"/>
          <w:vertAlign w:val="baseline"/>
        </w:rPr>
        <w:t> </w:t>
      </w:r>
      <w:r>
        <w:rPr>
          <w:vertAlign w:val="baseline"/>
        </w:rPr>
        <w:t>as</w:t>
      </w:r>
      <w:r>
        <w:rPr>
          <w:spacing w:val="-10"/>
          <w:vertAlign w:val="baseline"/>
        </w:rPr>
        <w:t> </w:t>
      </w:r>
      <w:r>
        <w:rPr>
          <w:vertAlign w:val="baseline"/>
        </w:rPr>
        <w:t>LGBTQ across the nation is estimated as high as 1 in 4.</w:t>
      </w:r>
      <w:r>
        <w:rPr>
          <w:vertAlign w:val="superscript"/>
        </w:rPr>
        <w:t>2</w:t>
      </w:r>
      <w:r>
        <w:rPr>
          <w:vertAlign w:val="baseline"/>
        </w:rPr>
        <w:t> The Commission hopes that ORI, as well as other Massachusetts</w:t>
      </w:r>
      <w:r>
        <w:rPr>
          <w:spacing w:val="40"/>
          <w:vertAlign w:val="baseline"/>
        </w:rPr>
        <w:t> </w:t>
      </w:r>
      <w:r>
        <w:rPr>
          <w:vertAlign w:val="baseline"/>
        </w:rPr>
        <w:t>agencies,</w:t>
      </w:r>
      <w:r>
        <w:rPr>
          <w:spacing w:val="40"/>
          <w:vertAlign w:val="baseline"/>
        </w:rPr>
        <w:t> </w:t>
      </w:r>
      <w:r>
        <w:rPr>
          <w:vertAlign w:val="baseline"/>
        </w:rPr>
        <w:t>narrows</w:t>
      </w:r>
      <w:r>
        <w:rPr>
          <w:spacing w:val="40"/>
          <w:vertAlign w:val="baseline"/>
        </w:rPr>
        <w:t> </w:t>
      </w:r>
      <w:r>
        <w:rPr>
          <w:vertAlign w:val="baseline"/>
        </w:rPr>
        <w:t>in</w:t>
      </w:r>
      <w:r>
        <w:rPr>
          <w:spacing w:val="40"/>
          <w:vertAlign w:val="baseline"/>
        </w:rPr>
        <w:t> </w:t>
      </w:r>
      <w:r>
        <w:rPr>
          <w:vertAlign w:val="baseline"/>
        </w:rPr>
        <w:t>on</w:t>
      </w:r>
      <w:r>
        <w:rPr>
          <w:spacing w:val="40"/>
          <w:vertAlign w:val="baseline"/>
        </w:rPr>
        <w:t> </w:t>
      </w:r>
      <w:r>
        <w:rPr>
          <w:vertAlign w:val="baseline"/>
        </w:rPr>
        <w:t>these</w:t>
      </w:r>
      <w:r>
        <w:rPr>
          <w:spacing w:val="40"/>
          <w:vertAlign w:val="baseline"/>
        </w:rPr>
        <w:t> </w:t>
      </w:r>
      <w:r>
        <w:rPr>
          <w:vertAlign w:val="baseline"/>
        </w:rPr>
        <w:t>potentially</w:t>
      </w:r>
      <w:r>
        <w:rPr>
          <w:spacing w:val="40"/>
          <w:vertAlign w:val="baseline"/>
        </w:rPr>
        <w:t> </w:t>
      </w:r>
      <w:r>
        <w:rPr>
          <w:vertAlign w:val="baseline"/>
        </w:rPr>
        <w:t>severely</w:t>
      </w:r>
      <w:r>
        <w:rPr>
          <w:spacing w:val="40"/>
          <w:vertAlign w:val="baseline"/>
        </w:rPr>
        <w:t> </w:t>
      </w:r>
      <w:r>
        <w:rPr>
          <w:vertAlign w:val="baseline"/>
        </w:rPr>
        <w:t>underserved</w:t>
      </w:r>
      <w:r>
        <w:rPr>
          <w:spacing w:val="40"/>
          <w:vertAlign w:val="baseline"/>
        </w:rPr>
        <w:t> </w:t>
      </w:r>
      <w:r>
        <w:rPr>
          <w:vertAlign w:val="baseline"/>
        </w:rPr>
        <w:t>communities</w:t>
      </w:r>
      <w:r>
        <w:rPr>
          <w:spacing w:val="40"/>
          <w:vertAlign w:val="baseline"/>
        </w:rPr>
        <w:t> </w:t>
      </w:r>
      <w:r>
        <w:rPr>
          <w:vertAlign w:val="baseline"/>
        </w:rPr>
        <w:t>in</w:t>
      </w:r>
      <w:r>
        <w:rPr>
          <w:spacing w:val="40"/>
          <w:vertAlign w:val="baseline"/>
        </w:rPr>
        <w:t> </w:t>
      </w:r>
      <w:r>
        <w:rPr>
          <w:vertAlign w:val="baseline"/>
        </w:rPr>
        <w:t>the</w:t>
      </w:r>
    </w:p>
    <w:p>
      <w:pPr>
        <w:spacing w:after="0" w:line="276" w:lineRule="auto"/>
        <w:jc w:val="both"/>
        <w:sectPr>
          <w:headerReference w:type="default" r:id="rId750"/>
          <w:footerReference w:type="default" r:id="rId751"/>
          <w:pgSz w:w="12240" w:h="15840"/>
          <w:pgMar w:header="804" w:footer="1256" w:top="1000" w:bottom="1440" w:left="960" w:right="1100"/>
        </w:sectPr>
      </w:pPr>
    </w:p>
    <w:p>
      <w:pPr>
        <w:pStyle w:val="BodyText"/>
        <w:spacing w:line="276" w:lineRule="auto" w:before="139"/>
        <w:ind w:left="483" w:right="343"/>
        <w:jc w:val="both"/>
      </w:pPr>
      <w:r>
        <w:rPr/>
        <w:t>upcoming FY 2025. LGBTQ refugees, asylees, and migrants face unique challenges as they work to establish themselves in the United States, often with few LGBTQ-specific resources.</w:t>
      </w:r>
    </w:p>
    <w:p>
      <w:pPr>
        <w:spacing w:line="276" w:lineRule="auto" w:before="239"/>
        <w:ind w:left="483" w:right="341" w:firstLine="0"/>
        <w:jc w:val="both"/>
        <w:rPr>
          <w:sz w:val="21"/>
        </w:rPr>
      </w:pPr>
      <w:r>
        <w:rPr>
          <w:sz w:val="22"/>
        </w:rPr>
        <w:t>Sixty-nine countries around the world criminalize LGBTQ communities, and at least 11 countries have legalized</w:t>
      </w:r>
      <w:r>
        <w:rPr>
          <w:spacing w:val="-13"/>
          <w:sz w:val="22"/>
        </w:rPr>
        <w:t> </w:t>
      </w:r>
      <w:r>
        <w:rPr>
          <w:sz w:val="22"/>
        </w:rPr>
        <w:t>the</w:t>
      </w:r>
      <w:r>
        <w:rPr>
          <w:spacing w:val="-12"/>
          <w:sz w:val="22"/>
        </w:rPr>
        <w:t> </w:t>
      </w:r>
      <w:r>
        <w:rPr>
          <w:sz w:val="22"/>
        </w:rPr>
        <w:t>death</w:t>
      </w:r>
      <w:r>
        <w:rPr>
          <w:spacing w:val="-13"/>
          <w:sz w:val="22"/>
        </w:rPr>
        <w:t> </w:t>
      </w:r>
      <w:r>
        <w:rPr>
          <w:sz w:val="22"/>
        </w:rPr>
        <w:t>penalty</w:t>
      </w:r>
      <w:r>
        <w:rPr>
          <w:spacing w:val="-12"/>
          <w:sz w:val="22"/>
        </w:rPr>
        <w:t> </w:t>
      </w:r>
      <w:r>
        <w:rPr>
          <w:sz w:val="22"/>
        </w:rPr>
        <w:t>for</w:t>
      </w:r>
      <w:r>
        <w:rPr>
          <w:spacing w:val="-13"/>
          <w:sz w:val="22"/>
        </w:rPr>
        <w:t> </w:t>
      </w:r>
      <w:r>
        <w:rPr>
          <w:sz w:val="22"/>
        </w:rPr>
        <w:t>homosexuality.</w:t>
      </w:r>
      <w:r>
        <w:rPr>
          <w:spacing w:val="-12"/>
          <w:sz w:val="22"/>
        </w:rPr>
        <w:t> </w:t>
      </w:r>
      <w:r>
        <w:rPr>
          <w:sz w:val="22"/>
        </w:rPr>
        <w:t>In</w:t>
      </w:r>
      <w:r>
        <w:rPr>
          <w:spacing w:val="-13"/>
          <w:sz w:val="22"/>
        </w:rPr>
        <w:t> </w:t>
      </w:r>
      <w:r>
        <w:rPr>
          <w:sz w:val="22"/>
        </w:rPr>
        <w:t>some</w:t>
      </w:r>
      <w:r>
        <w:rPr>
          <w:spacing w:val="-12"/>
          <w:sz w:val="22"/>
        </w:rPr>
        <w:t> </w:t>
      </w:r>
      <w:r>
        <w:rPr>
          <w:sz w:val="22"/>
        </w:rPr>
        <w:t>instances,</w:t>
      </w:r>
      <w:r>
        <w:rPr>
          <w:spacing w:val="-12"/>
          <w:sz w:val="22"/>
        </w:rPr>
        <w:t> </w:t>
      </w:r>
      <w:r>
        <w:rPr>
          <w:sz w:val="22"/>
        </w:rPr>
        <w:t>LGBTQ</w:t>
      </w:r>
      <w:r>
        <w:rPr>
          <w:spacing w:val="-13"/>
          <w:sz w:val="22"/>
        </w:rPr>
        <w:t> </w:t>
      </w:r>
      <w:r>
        <w:rPr>
          <w:sz w:val="22"/>
        </w:rPr>
        <w:t>youth</w:t>
      </w:r>
      <w:r>
        <w:rPr>
          <w:spacing w:val="-12"/>
          <w:sz w:val="22"/>
        </w:rPr>
        <w:t> </w:t>
      </w:r>
      <w:r>
        <w:rPr>
          <w:sz w:val="22"/>
        </w:rPr>
        <w:t>migrate</w:t>
      </w:r>
      <w:r>
        <w:rPr>
          <w:spacing w:val="-13"/>
          <w:sz w:val="22"/>
        </w:rPr>
        <w:t> </w:t>
      </w:r>
      <w:r>
        <w:rPr>
          <w:sz w:val="22"/>
        </w:rPr>
        <w:t>to</w:t>
      </w:r>
      <w:r>
        <w:rPr>
          <w:spacing w:val="-12"/>
          <w:sz w:val="22"/>
        </w:rPr>
        <w:t> </w:t>
      </w:r>
      <w:r>
        <w:rPr>
          <w:sz w:val="22"/>
        </w:rPr>
        <w:t>the</w:t>
      </w:r>
      <w:r>
        <w:rPr>
          <w:spacing w:val="-13"/>
          <w:sz w:val="22"/>
        </w:rPr>
        <w:t> </w:t>
      </w:r>
      <w:r>
        <w:rPr>
          <w:sz w:val="22"/>
        </w:rPr>
        <w:t>U.S.</w:t>
      </w:r>
      <w:r>
        <w:rPr>
          <w:spacing w:val="-12"/>
          <w:sz w:val="22"/>
        </w:rPr>
        <w:t> </w:t>
      </w:r>
      <w:r>
        <w:rPr>
          <w:sz w:val="22"/>
        </w:rPr>
        <w:t>seeking to</w:t>
      </w:r>
      <w:r>
        <w:rPr>
          <w:spacing w:val="-13"/>
          <w:sz w:val="22"/>
        </w:rPr>
        <w:t> </w:t>
      </w:r>
      <w:r>
        <w:rPr>
          <w:sz w:val="22"/>
        </w:rPr>
        <w:t>escape</w:t>
      </w:r>
      <w:r>
        <w:rPr>
          <w:spacing w:val="-12"/>
          <w:sz w:val="22"/>
        </w:rPr>
        <w:t> </w:t>
      </w:r>
      <w:r>
        <w:rPr>
          <w:sz w:val="22"/>
        </w:rPr>
        <w:t>persecution</w:t>
      </w:r>
      <w:r>
        <w:rPr>
          <w:spacing w:val="-13"/>
          <w:sz w:val="22"/>
        </w:rPr>
        <w:t> </w:t>
      </w:r>
      <w:r>
        <w:rPr>
          <w:sz w:val="22"/>
        </w:rPr>
        <w:t>and</w:t>
      </w:r>
      <w:r>
        <w:rPr>
          <w:spacing w:val="-12"/>
          <w:sz w:val="22"/>
        </w:rPr>
        <w:t> </w:t>
      </w:r>
      <w:r>
        <w:rPr>
          <w:sz w:val="22"/>
        </w:rPr>
        <w:t>violence</w:t>
      </w:r>
      <w:r>
        <w:rPr>
          <w:spacing w:val="-13"/>
          <w:sz w:val="22"/>
        </w:rPr>
        <w:t> </w:t>
      </w:r>
      <w:r>
        <w:rPr>
          <w:sz w:val="22"/>
        </w:rPr>
        <w:t>based</w:t>
      </w:r>
      <w:r>
        <w:rPr>
          <w:spacing w:val="-12"/>
          <w:sz w:val="22"/>
        </w:rPr>
        <w:t> </w:t>
      </w:r>
      <w:r>
        <w:rPr>
          <w:sz w:val="22"/>
        </w:rPr>
        <w:t>on</w:t>
      </w:r>
      <w:r>
        <w:rPr>
          <w:spacing w:val="-13"/>
          <w:sz w:val="22"/>
        </w:rPr>
        <w:t> </w:t>
      </w:r>
      <w:r>
        <w:rPr>
          <w:sz w:val="22"/>
        </w:rPr>
        <w:t>their</w:t>
      </w:r>
      <w:r>
        <w:rPr>
          <w:spacing w:val="-12"/>
          <w:sz w:val="22"/>
        </w:rPr>
        <w:t> </w:t>
      </w:r>
      <w:r>
        <w:rPr>
          <w:sz w:val="22"/>
        </w:rPr>
        <w:t>sexual</w:t>
      </w:r>
      <w:r>
        <w:rPr>
          <w:spacing w:val="-12"/>
          <w:sz w:val="22"/>
        </w:rPr>
        <w:t> </w:t>
      </w:r>
      <w:r>
        <w:rPr>
          <w:sz w:val="22"/>
        </w:rPr>
        <w:t>orientation</w:t>
      </w:r>
      <w:r>
        <w:rPr>
          <w:spacing w:val="-13"/>
          <w:sz w:val="22"/>
        </w:rPr>
        <w:t> </w:t>
      </w:r>
      <w:r>
        <w:rPr>
          <w:sz w:val="22"/>
        </w:rPr>
        <w:t>and/or</w:t>
      </w:r>
      <w:r>
        <w:rPr>
          <w:spacing w:val="-12"/>
          <w:sz w:val="22"/>
        </w:rPr>
        <w:t> </w:t>
      </w:r>
      <w:r>
        <w:rPr>
          <w:sz w:val="22"/>
        </w:rPr>
        <w:t>gender</w:t>
      </w:r>
      <w:r>
        <w:rPr>
          <w:spacing w:val="-13"/>
          <w:sz w:val="22"/>
        </w:rPr>
        <w:t> </w:t>
      </w:r>
      <w:r>
        <w:rPr>
          <w:sz w:val="22"/>
        </w:rPr>
        <w:t>identity.</w:t>
      </w:r>
      <w:r>
        <w:rPr>
          <w:spacing w:val="-12"/>
          <w:sz w:val="22"/>
        </w:rPr>
        <w:t> </w:t>
      </w:r>
      <w:r>
        <w:rPr>
          <w:sz w:val="22"/>
        </w:rPr>
        <w:t>A</w:t>
      </w:r>
      <w:r>
        <w:rPr>
          <w:spacing w:val="-13"/>
          <w:sz w:val="22"/>
        </w:rPr>
        <w:t> </w:t>
      </w:r>
      <w:r>
        <w:rPr>
          <w:sz w:val="22"/>
        </w:rPr>
        <w:t>2021</w:t>
      </w:r>
      <w:r>
        <w:rPr>
          <w:spacing w:val="-12"/>
          <w:sz w:val="22"/>
        </w:rPr>
        <w:t> </w:t>
      </w:r>
      <w:r>
        <w:rPr>
          <w:sz w:val="22"/>
        </w:rPr>
        <w:t>study </w:t>
      </w:r>
      <w:r>
        <w:rPr>
          <w:sz w:val="21"/>
        </w:rPr>
        <w:t>on</w:t>
      </w:r>
      <w:r>
        <w:rPr>
          <w:spacing w:val="-6"/>
          <w:sz w:val="21"/>
        </w:rPr>
        <w:t> </w:t>
      </w:r>
      <w:r>
        <w:rPr>
          <w:sz w:val="21"/>
        </w:rPr>
        <w:t>asylum</w:t>
      </w:r>
      <w:r>
        <w:rPr>
          <w:spacing w:val="-5"/>
          <w:sz w:val="21"/>
        </w:rPr>
        <w:t> </w:t>
      </w:r>
      <w:r>
        <w:rPr>
          <w:sz w:val="21"/>
        </w:rPr>
        <w:t>claims</w:t>
      </w:r>
      <w:r>
        <w:rPr>
          <w:spacing w:val="-6"/>
          <w:sz w:val="21"/>
        </w:rPr>
        <w:t> </w:t>
      </w:r>
      <w:r>
        <w:rPr>
          <w:sz w:val="21"/>
        </w:rPr>
        <w:t>in</w:t>
      </w:r>
      <w:r>
        <w:rPr>
          <w:spacing w:val="-7"/>
          <w:sz w:val="21"/>
        </w:rPr>
        <w:t> </w:t>
      </w:r>
      <w:r>
        <w:rPr>
          <w:sz w:val="21"/>
        </w:rPr>
        <w:t>the</w:t>
      </w:r>
      <w:r>
        <w:rPr>
          <w:spacing w:val="-6"/>
          <w:sz w:val="21"/>
        </w:rPr>
        <w:t> </w:t>
      </w:r>
      <w:r>
        <w:rPr>
          <w:sz w:val="21"/>
        </w:rPr>
        <w:t>U.S.</w:t>
      </w:r>
      <w:r>
        <w:rPr>
          <w:spacing w:val="-7"/>
          <w:sz w:val="21"/>
        </w:rPr>
        <w:t> </w:t>
      </w:r>
      <w:r>
        <w:rPr>
          <w:sz w:val="21"/>
        </w:rPr>
        <w:t>between</w:t>
      </w:r>
      <w:r>
        <w:rPr>
          <w:spacing w:val="-6"/>
          <w:sz w:val="21"/>
        </w:rPr>
        <w:t> </w:t>
      </w:r>
      <w:r>
        <w:rPr>
          <w:sz w:val="21"/>
        </w:rPr>
        <w:t>2007</w:t>
      </w:r>
      <w:r>
        <w:rPr>
          <w:spacing w:val="-6"/>
          <w:sz w:val="21"/>
        </w:rPr>
        <w:t> </w:t>
      </w:r>
      <w:r>
        <w:rPr>
          <w:sz w:val="21"/>
        </w:rPr>
        <w:t>and</w:t>
      </w:r>
      <w:r>
        <w:rPr>
          <w:spacing w:val="-7"/>
          <w:sz w:val="21"/>
        </w:rPr>
        <w:t> </w:t>
      </w:r>
      <w:r>
        <w:rPr>
          <w:sz w:val="21"/>
        </w:rPr>
        <w:t>2017</w:t>
      </w:r>
      <w:r>
        <w:rPr>
          <w:spacing w:val="-6"/>
          <w:sz w:val="21"/>
        </w:rPr>
        <w:t> </w:t>
      </w:r>
      <w:r>
        <w:rPr>
          <w:sz w:val="21"/>
        </w:rPr>
        <w:t>yielded</w:t>
      </w:r>
      <w:r>
        <w:rPr>
          <w:spacing w:val="-6"/>
          <w:sz w:val="21"/>
        </w:rPr>
        <w:t> </w:t>
      </w:r>
      <w:r>
        <w:rPr>
          <w:sz w:val="21"/>
        </w:rPr>
        <w:t>information</w:t>
      </w:r>
      <w:r>
        <w:rPr>
          <w:spacing w:val="-6"/>
          <w:sz w:val="21"/>
        </w:rPr>
        <w:t> </w:t>
      </w:r>
      <w:r>
        <w:rPr>
          <w:sz w:val="21"/>
        </w:rPr>
        <w:t>that</w:t>
      </w:r>
      <w:r>
        <w:rPr>
          <w:spacing w:val="-6"/>
          <w:sz w:val="21"/>
        </w:rPr>
        <w:t> </w:t>
      </w:r>
      <w:r>
        <w:rPr>
          <w:sz w:val="21"/>
        </w:rPr>
        <w:t>4,385</w:t>
      </w:r>
      <w:r>
        <w:rPr>
          <w:spacing w:val="-8"/>
          <w:sz w:val="21"/>
        </w:rPr>
        <w:t> </w:t>
      </w:r>
      <w:r>
        <w:rPr>
          <w:sz w:val="21"/>
        </w:rPr>
        <w:t>asylum</w:t>
      </w:r>
      <w:r>
        <w:rPr>
          <w:spacing w:val="-5"/>
          <w:sz w:val="21"/>
        </w:rPr>
        <w:t> </w:t>
      </w:r>
      <w:r>
        <w:rPr>
          <w:sz w:val="21"/>
        </w:rPr>
        <w:t>claims</w:t>
      </w:r>
      <w:r>
        <w:rPr>
          <w:spacing w:val="-7"/>
          <w:sz w:val="21"/>
        </w:rPr>
        <w:t> </w:t>
      </w:r>
      <w:r>
        <w:rPr>
          <w:sz w:val="21"/>
        </w:rPr>
        <w:t>that</w:t>
      </w:r>
      <w:r>
        <w:rPr>
          <w:spacing w:val="-6"/>
          <w:sz w:val="21"/>
        </w:rPr>
        <w:t> </w:t>
      </w:r>
      <w:r>
        <w:rPr>
          <w:sz w:val="21"/>
        </w:rPr>
        <w:t>lead</w:t>
      </w:r>
      <w:r>
        <w:rPr>
          <w:spacing w:val="-7"/>
          <w:sz w:val="21"/>
        </w:rPr>
        <w:t> </w:t>
      </w:r>
      <w:r>
        <w:rPr>
          <w:sz w:val="21"/>
        </w:rPr>
        <w:t>to fear interviews (an interview that occurs with asylum officers when a migrant expresses fears of persecution or</w:t>
      </w:r>
      <w:r>
        <w:rPr>
          <w:spacing w:val="-6"/>
          <w:sz w:val="21"/>
        </w:rPr>
        <w:t> </w:t>
      </w:r>
      <w:r>
        <w:rPr>
          <w:sz w:val="21"/>
        </w:rPr>
        <w:t>torture</w:t>
      </w:r>
      <w:r>
        <w:rPr>
          <w:spacing w:val="-6"/>
          <w:sz w:val="21"/>
        </w:rPr>
        <w:t> </w:t>
      </w:r>
      <w:r>
        <w:rPr>
          <w:sz w:val="21"/>
        </w:rPr>
        <w:t>in</w:t>
      </w:r>
      <w:r>
        <w:rPr>
          <w:spacing w:val="-7"/>
          <w:sz w:val="21"/>
        </w:rPr>
        <w:t> </w:t>
      </w:r>
      <w:r>
        <w:rPr>
          <w:sz w:val="21"/>
        </w:rPr>
        <w:t>their</w:t>
      </w:r>
      <w:r>
        <w:rPr>
          <w:spacing w:val="-6"/>
          <w:sz w:val="21"/>
        </w:rPr>
        <w:t> </w:t>
      </w:r>
      <w:r>
        <w:rPr>
          <w:sz w:val="21"/>
        </w:rPr>
        <w:t>country</w:t>
      </w:r>
      <w:r>
        <w:rPr>
          <w:spacing w:val="-6"/>
          <w:sz w:val="21"/>
        </w:rPr>
        <w:t> </w:t>
      </w:r>
      <w:r>
        <w:rPr>
          <w:sz w:val="21"/>
        </w:rPr>
        <w:t>of</w:t>
      </w:r>
      <w:r>
        <w:rPr>
          <w:spacing w:val="-6"/>
          <w:sz w:val="21"/>
        </w:rPr>
        <w:t> </w:t>
      </w:r>
      <w:r>
        <w:rPr>
          <w:sz w:val="21"/>
        </w:rPr>
        <w:t>origin)</w:t>
      </w:r>
      <w:r>
        <w:rPr>
          <w:spacing w:val="-6"/>
          <w:sz w:val="21"/>
        </w:rPr>
        <w:t> </w:t>
      </w:r>
      <w:r>
        <w:rPr>
          <w:sz w:val="21"/>
        </w:rPr>
        <w:t>were</w:t>
      </w:r>
      <w:r>
        <w:rPr>
          <w:spacing w:val="-6"/>
          <w:sz w:val="21"/>
        </w:rPr>
        <w:t> </w:t>
      </w:r>
      <w:r>
        <w:rPr>
          <w:sz w:val="21"/>
        </w:rPr>
        <w:t>related</w:t>
      </w:r>
      <w:r>
        <w:rPr>
          <w:spacing w:val="-6"/>
          <w:sz w:val="21"/>
        </w:rPr>
        <w:t> </w:t>
      </w:r>
      <w:r>
        <w:rPr>
          <w:sz w:val="21"/>
        </w:rPr>
        <w:t>to</w:t>
      </w:r>
      <w:r>
        <w:rPr>
          <w:spacing w:val="-6"/>
          <w:sz w:val="21"/>
        </w:rPr>
        <w:t> </w:t>
      </w:r>
      <w:r>
        <w:rPr>
          <w:sz w:val="21"/>
        </w:rPr>
        <w:t>sexual</w:t>
      </w:r>
      <w:r>
        <w:rPr>
          <w:spacing w:val="-6"/>
          <w:sz w:val="21"/>
        </w:rPr>
        <w:t> </w:t>
      </w:r>
      <w:r>
        <w:rPr>
          <w:sz w:val="21"/>
        </w:rPr>
        <w:t>orientation</w:t>
      </w:r>
      <w:r>
        <w:rPr>
          <w:spacing w:val="-6"/>
          <w:sz w:val="21"/>
        </w:rPr>
        <w:t> </w:t>
      </w:r>
      <w:r>
        <w:rPr>
          <w:sz w:val="21"/>
        </w:rPr>
        <w:t>or</w:t>
      </w:r>
      <w:r>
        <w:rPr>
          <w:spacing w:val="-6"/>
          <w:sz w:val="21"/>
        </w:rPr>
        <w:t> </w:t>
      </w:r>
      <w:r>
        <w:rPr>
          <w:sz w:val="21"/>
        </w:rPr>
        <w:t>gender</w:t>
      </w:r>
      <w:r>
        <w:rPr>
          <w:spacing w:val="-6"/>
          <w:sz w:val="21"/>
        </w:rPr>
        <w:t> </w:t>
      </w:r>
      <w:r>
        <w:rPr>
          <w:sz w:val="21"/>
        </w:rPr>
        <w:t>identity.</w:t>
      </w:r>
      <w:r>
        <w:rPr>
          <w:sz w:val="21"/>
          <w:vertAlign w:val="superscript"/>
        </w:rPr>
        <w:t>3</w:t>
      </w:r>
      <w:r>
        <w:rPr>
          <w:spacing w:val="-6"/>
          <w:sz w:val="21"/>
          <w:vertAlign w:val="baseline"/>
        </w:rPr>
        <w:t> </w:t>
      </w:r>
      <w:r>
        <w:rPr>
          <w:sz w:val="21"/>
          <w:vertAlign w:val="baseline"/>
        </w:rPr>
        <w:t>Other</w:t>
      </w:r>
      <w:r>
        <w:rPr>
          <w:spacing w:val="-8"/>
          <w:sz w:val="21"/>
          <w:vertAlign w:val="baseline"/>
        </w:rPr>
        <w:t> </w:t>
      </w:r>
      <w:r>
        <w:rPr>
          <w:sz w:val="21"/>
          <w:vertAlign w:val="baseline"/>
        </w:rPr>
        <w:t>LGBTQ</w:t>
      </w:r>
      <w:r>
        <w:rPr>
          <w:spacing w:val="-5"/>
          <w:sz w:val="21"/>
          <w:vertAlign w:val="baseline"/>
        </w:rPr>
        <w:t> </w:t>
      </w:r>
      <w:r>
        <w:rPr>
          <w:sz w:val="21"/>
          <w:vertAlign w:val="baseline"/>
        </w:rPr>
        <w:t>youth may migrate to the U.S. for unrelated reasons, but may have experiences in the U.S. related to their sexual orientation</w:t>
      </w:r>
      <w:r>
        <w:rPr>
          <w:spacing w:val="-12"/>
          <w:sz w:val="21"/>
          <w:vertAlign w:val="baseline"/>
        </w:rPr>
        <w:t> </w:t>
      </w:r>
      <w:r>
        <w:rPr>
          <w:sz w:val="21"/>
          <w:vertAlign w:val="baseline"/>
        </w:rPr>
        <w:t>and/or</w:t>
      </w:r>
      <w:r>
        <w:rPr>
          <w:spacing w:val="-12"/>
          <w:sz w:val="21"/>
          <w:vertAlign w:val="baseline"/>
        </w:rPr>
        <w:t> </w:t>
      </w:r>
      <w:r>
        <w:rPr>
          <w:sz w:val="21"/>
          <w:vertAlign w:val="baseline"/>
        </w:rPr>
        <w:t>gender</w:t>
      </w:r>
      <w:r>
        <w:rPr>
          <w:spacing w:val="-12"/>
          <w:sz w:val="21"/>
          <w:vertAlign w:val="baseline"/>
        </w:rPr>
        <w:t> </w:t>
      </w:r>
      <w:r>
        <w:rPr>
          <w:sz w:val="21"/>
          <w:vertAlign w:val="baseline"/>
        </w:rPr>
        <w:t>identity</w:t>
      </w:r>
      <w:r>
        <w:rPr>
          <w:spacing w:val="-12"/>
          <w:sz w:val="21"/>
          <w:vertAlign w:val="baseline"/>
        </w:rPr>
        <w:t> </w:t>
      </w:r>
      <w:r>
        <w:rPr>
          <w:sz w:val="21"/>
          <w:vertAlign w:val="baseline"/>
        </w:rPr>
        <w:t>that</w:t>
      </w:r>
      <w:r>
        <w:rPr>
          <w:spacing w:val="-12"/>
          <w:sz w:val="21"/>
          <w:vertAlign w:val="baseline"/>
        </w:rPr>
        <w:t> </w:t>
      </w:r>
      <w:r>
        <w:rPr>
          <w:sz w:val="21"/>
          <w:vertAlign w:val="baseline"/>
        </w:rPr>
        <w:t>compounds</w:t>
      </w:r>
      <w:r>
        <w:rPr>
          <w:spacing w:val="-12"/>
          <w:sz w:val="21"/>
          <w:vertAlign w:val="baseline"/>
        </w:rPr>
        <w:t> </w:t>
      </w:r>
      <w:r>
        <w:rPr>
          <w:sz w:val="21"/>
          <w:vertAlign w:val="baseline"/>
        </w:rPr>
        <w:t>their</w:t>
      </w:r>
      <w:r>
        <w:rPr>
          <w:spacing w:val="-12"/>
          <w:sz w:val="21"/>
          <w:vertAlign w:val="baseline"/>
        </w:rPr>
        <w:t> </w:t>
      </w:r>
      <w:r>
        <w:rPr>
          <w:sz w:val="21"/>
          <w:vertAlign w:val="baseline"/>
        </w:rPr>
        <w:t>difficulty</w:t>
      </w:r>
      <w:r>
        <w:rPr>
          <w:spacing w:val="-11"/>
          <w:sz w:val="21"/>
          <w:vertAlign w:val="baseline"/>
        </w:rPr>
        <w:t> </w:t>
      </w:r>
      <w:r>
        <w:rPr>
          <w:sz w:val="21"/>
          <w:vertAlign w:val="baseline"/>
        </w:rPr>
        <w:t>in</w:t>
      </w:r>
      <w:r>
        <w:rPr>
          <w:spacing w:val="-12"/>
          <w:sz w:val="21"/>
          <w:vertAlign w:val="baseline"/>
        </w:rPr>
        <w:t> </w:t>
      </w:r>
      <w:r>
        <w:rPr>
          <w:sz w:val="21"/>
          <w:vertAlign w:val="baseline"/>
        </w:rPr>
        <w:t>accessing</w:t>
      </w:r>
      <w:r>
        <w:rPr>
          <w:spacing w:val="-12"/>
          <w:sz w:val="21"/>
          <w:vertAlign w:val="baseline"/>
        </w:rPr>
        <w:t> </w:t>
      </w:r>
      <w:r>
        <w:rPr>
          <w:sz w:val="21"/>
          <w:vertAlign w:val="baseline"/>
        </w:rPr>
        <w:t>appropriate</w:t>
      </w:r>
      <w:r>
        <w:rPr>
          <w:spacing w:val="-12"/>
          <w:sz w:val="21"/>
          <w:vertAlign w:val="baseline"/>
        </w:rPr>
        <w:t> </w:t>
      </w:r>
      <w:r>
        <w:rPr>
          <w:sz w:val="21"/>
          <w:vertAlign w:val="baseline"/>
        </w:rPr>
        <w:t>services.</w:t>
      </w:r>
      <w:r>
        <w:rPr>
          <w:spacing w:val="-12"/>
          <w:sz w:val="21"/>
          <w:vertAlign w:val="baseline"/>
        </w:rPr>
        <w:t> </w:t>
      </w:r>
      <w:r>
        <w:rPr>
          <w:sz w:val="21"/>
          <w:vertAlign w:val="baseline"/>
        </w:rPr>
        <w:t>Dual-layer minority statuses often create obstacles to accessing resources and support; often LGBTQ immigrants report high</w:t>
      </w:r>
      <w:r>
        <w:rPr>
          <w:spacing w:val="-8"/>
          <w:sz w:val="21"/>
          <w:vertAlign w:val="baseline"/>
        </w:rPr>
        <w:t> </w:t>
      </w:r>
      <w:r>
        <w:rPr>
          <w:sz w:val="21"/>
          <w:vertAlign w:val="baseline"/>
        </w:rPr>
        <w:t>rates</w:t>
      </w:r>
      <w:r>
        <w:rPr>
          <w:spacing w:val="-8"/>
          <w:sz w:val="21"/>
          <w:vertAlign w:val="baseline"/>
        </w:rPr>
        <w:t> </w:t>
      </w:r>
      <w:r>
        <w:rPr>
          <w:sz w:val="21"/>
          <w:vertAlign w:val="baseline"/>
        </w:rPr>
        <w:t>of</w:t>
      </w:r>
      <w:r>
        <w:rPr>
          <w:spacing w:val="-8"/>
          <w:sz w:val="21"/>
          <w:vertAlign w:val="baseline"/>
        </w:rPr>
        <w:t> </w:t>
      </w:r>
      <w:r>
        <w:rPr>
          <w:sz w:val="21"/>
          <w:vertAlign w:val="baseline"/>
        </w:rPr>
        <w:t>discrimination</w:t>
      </w:r>
      <w:r>
        <w:rPr>
          <w:spacing w:val="-8"/>
          <w:sz w:val="21"/>
          <w:vertAlign w:val="baseline"/>
        </w:rPr>
        <w:t> </w:t>
      </w:r>
      <w:r>
        <w:rPr>
          <w:sz w:val="21"/>
          <w:vertAlign w:val="baseline"/>
        </w:rPr>
        <w:t>related</w:t>
      </w:r>
      <w:r>
        <w:rPr>
          <w:spacing w:val="-8"/>
          <w:sz w:val="21"/>
          <w:vertAlign w:val="baseline"/>
        </w:rPr>
        <w:t> </w:t>
      </w:r>
      <w:r>
        <w:rPr>
          <w:sz w:val="21"/>
          <w:vertAlign w:val="baseline"/>
        </w:rPr>
        <w:t>to</w:t>
      </w:r>
      <w:r>
        <w:rPr>
          <w:spacing w:val="-8"/>
          <w:sz w:val="21"/>
          <w:vertAlign w:val="baseline"/>
        </w:rPr>
        <w:t> </w:t>
      </w:r>
      <w:r>
        <w:rPr>
          <w:sz w:val="21"/>
          <w:vertAlign w:val="baseline"/>
        </w:rPr>
        <w:t>their</w:t>
      </w:r>
      <w:r>
        <w:rPr>
          <w:spacing w:val="-9"/>
          <w:sz w:val="21"/>
          <w:vertAlign w:val="baseline"/>
        </w:rPr>
        <w:t> </w:t>
      </w:r>
      <w:r>
        <w:rPr>
          <w:sz w:val="21"/>
          <w:vertAlign w:val="baseline"/>
        </w:rPr>
        <w:t>sexual</w:t>
      </w:r>
      <w:r>
        <w:rPr>
          <w:spacing w:val="-8"/>
          <w:sz w:val="21"/>
          <w:vertAlign w:val="baseline"/>
        </w:rPr>
        <w:t> </w:t>
      </w:r>
      <w:r>
        <w:rPr>
          <w:sz w:val="21"/>
          <w:vertAlign w:val="baseline"/>
        </w:rPr>
        <w:t>orientation</w:t>
      </w:r>
      <w:r>
        <w:rPr>
          <w:spacing w:val="-8"/>
          <w:sz w:val="21"/>
          <w:vertAlign w:val="baseline"/>
        </w:rPr>
        <w:t> </w:t>
      </w:r>
      <w:r>
        <w:rPr>
          <w:sz w:val="21"/>
          <w:vertAlign w:val="baseline"/>
        </w:rPr>
        <w:t>and</w:t>
      </w:r>
      <w:r>
        <w:rPr>
          <w:spacing w:val="-8"/>
          <w:sz w:val="21"/>
          <w:vertAlign w:val="baseline"/>
        </w:rPr>
        <w:t> </w:t>
      </w:r>
      <w:r>
        <w:rPr>
          <w:sz w:val="21"/>
          <w:vertAlign w:val="baseline"/>
        </w:rPr>
        <w:t>gender</w:t>
      </w:r>
      <w:r>
        <w:rPr>
          <w:spacing w:val="-8"/>
          <w:sz w:val="21"/>
          <w:vertAlign w:val="baseline"/>
        </w:rPr>
        <w:t> </w:t>
      </w:r>
      <w:r>
        <w:rPr>
          <w:sz w:val="21"/>
          <w:vertAlign w:val="baseline"/>
        </w:rPr>
        <w:t>identity,</w:t>
      </w:r>
      <w:r>
        <w:rPr>
          <w:spacing w:val="-8"/>
          <w:sz w:val="21"/>
          <w:vertAlign w:val="baseline"/>
        </w:rPr>
        <w:t> </w:t>
      </w:r>
      <w:r>
        <w:rPr>
          <w:sz w:val="21"/>
          <w:vertAlign w:val="baseline"/>
        </w:rPr>
        <w:t>as</w:t>
      </w:r>
      <w:r>
        <w:rPr>
          <w:spacing w:val="-8"/>
          <w:sz w:val="21"/>
          <w:vertAlign w:val="baseline"/>
        </w:rPr>
        <w:t> </w:t>
      </w:r>
      <w:r>
        <w:rPr>
          <w:sz w:val="21"/>
          <w:vertAlign w:val="baseline"/>
        </w:rPr>
        <w:t>well</w:t>
      </w:r>
      <w:r>
        <w:rPr>
          <w:spacing w:val="-8"/>
          <w:sz w:val="21"/>
          <w:vertAlign w:val="baseline"/>
        </w:rPr>
        <w:t> </w:t>
      </w:r>
      <w:r>
        <w:rPr>
          <w:sz w:val="21"/>
          <w:vertAlign w:val="baseline"/>
        </w:rPr>
        <w:t>as</w:t>
      </w:r>
      <w:r>
        <w:rPr>
          <w:spacing w:val="-8"/>
          <w:sz w:val="21"/>
          <w:vertAlign w:val="baseline"/>
        </w:rPr>
        <w:t> </w:t>
      </w:r>
      <w:r>
        <w:rPr>
          <w:sz w:val="21"/>
          <w:vertAlign w:val="baseline"/>
        </w:rPr>
        <w:t>their</w:t>
      </w:r>
      <w:r>
        <w:rPr>
          <w:spacing w:val="-8"/>
          <w:sz w:val="21"/>
          <w:vertAlign w:val="baseline"/>
        </w:rPr>
        <w:t> </w:t>
      </w:r>
      <w:r>
        <w:rPr>
          <w:sz w:val="21"/>
          <w:vertAlign w:val="baseline"/>
        </w:rPr>
        <w:t>immigration status or the immigration status of their families.</w:t>
      </w:r>
    </w:p>
    <w:p>
      <w:pPr>
        <w:spacing w:before="240"/>
        <w:ind w:left="483" w:right="0" w:firstLine="0"/>
        <w:jc w:val="both"/>
        <w:rPr>
          <w:sz w:val="28"/>
        </w:rPr>
      </w:pPr>
      <w:r>
        <w:rPr>
          <w:color w:val="365F91"/>
          <w:sz w:val="28"/>
        </w:rPr>
        <w:t>Past</w:t>
      </w:r>
      <w:r>
        <w:rPr>
          <w:color w:val="365F91"/>
          <w:spacing w:val="-7"/>
          <w:sz w:val="28"/>
        </w:rPr>
        <w:t> </w:t>
      </w:r>
      <w:r>
        <w:rPr>
          <w:color w:val="365F91"/>
          <w:sz w:val="28"/>
        </w:rPr>
        <w:t>&amp;</w:t>
      </w:r>
      <w:r>
        <w:rPr>
          <w:color w:val="365F91"/>
          <w:spacing w:val="-7"/>
          <w:sz w:val="28"/>
        </w:rPr>
        <w:t> </w:t>
      </w:r>
      <w:r>
        <w:rPr>
          <w:color w:val="365F91"/>
          <w:sz w:val="28"/>
        </w:rPr>
        <w:t>Ongoing</w:t>
      </w:r>
      <w:r>
        <w:rPr>
          <w:color w:val="365F91"/>
          <w:spacing w:val="-7"/>
          <w:sz w:val="28"/>
        </w:rPr>
        <w:t> </w:t>
      </w:r>
      <w:r>
        <w:rPr>
          <w:color w:val="365F91"/>
          <w:spacing w:val="-4"/>
          <w:sz w:val="28"/>
        </w:rPr>
        <w:t>Work</w:t>
      </w:r>
    </w:p>
    <w:p>
      <w:pPr>
        <w:spacing w:line="276" w:lineRule="auto" w:before="291"/>
        <w:ind w:left="483" w:right="340" w:firstLine="0"/>
        <w:jc w:val="both"/>
        <w:rPr>
          <w:sz w:val="21"/>
        </w:rPr>
      </w:pPr>
      <w:r>
        <w:rPr>
          <w:sz w:val="21"/>
        </w:rPr>
        <w:t>The</w:t>
      </w:r>
      <w:r>
        <w:rPr>
          <w:spacing w:val="-2"/>
          <w:sz w:val="21"/>
        </w:rPr>
        <w:t> </w:t>
      </w:r>
      <w:r>
        <w:rPr>
          <w:sz w:val="21"/>
        </w:rPr>
        <w:t>Commission</w:t>
      </w:r>
      <w:r>
        <w:rPr>
          <w:spacing w:val="-2"/>
          <w:sz w:val="21"/>
        </w:rPr>
        <w:t> </w:t>
      </w:r>
      <w:r>
        <w:rPr>
          <w:sz w:val="21"/>
        </w:rPr>
        <w:t>appreciates</w:t>
      </w:r>
      <w:r>
        <w:rPr>
          <w:spacing w:val="-2"/>
          <w:sz w:val="21"/>
        </w:rPr>
        <w:t> </w:t>
      </w:r>
      <w:r>
        <w:rPr>
          <w:sz w:val="21"/>
        </w:rPr>
        <w:t>the</w:t>
      </w:r>
      <w:r>
        <w:rPr>
          <w:spacing w:val="-3"/>
          <w:sz w:val="21"/>
        </w:rPr>
        <w:t> </w:t>
      </w:r>
      <w:r>
        <w:rPr>
          <w:sz w:val="21"/>
        </w:rPr>
        <w:t>new</w:t>
      </w:r>
      <w:r>
        <w:rPr>
          <w:spacing w:val="-2"/>
          <w:sz w:val="21"/>
        </w:rPr>
        <w:t> </w:t>
      </w:r>
      <w:r>
        <w:rPr>
          <w:sz w:val="21"/>
        </w:rPr>
        <w:t>energy</w:t>
      </w:r>
      <w:r>
        <w:rPr>
          <w:spacing w:val="-2"/>
          <w:sz w:val="21"/>
        </w:rPr>
        <w:t> </w:t>
      </w:r>
      <w:r>
        <w:rPr>
          <w:sz w:val="21"/>
        </w:rPr>
        <w:t>that</w:t>
      </w:r>
      <w:r>
        <w:rPr>
          <w:spacing w:val="-3"/>
          <w:sz w:val="21"/>
        </w:rPr>
        <w:t> </w:t>
      </w:r>
      <w:r>
        <w:rPr>
          <w:sz w:val="21"/>
        </w:rPr>
        <w:t>ORI</w:t>
      </w:r>
      <w:r>
        <w:rPr>
          <w:spacing w:val="-3"/>
          <w:sz w:val="21"/>
        </w:rPr>
        <w:t> </w:t>
      </w:r>
      <w:r>
        <w:rPr>
          <w:sz w:val="21"/>
        </w:rPr>
        <w:t>has</w:t>
      </w:r>
      <w:r>
        <w:rPr>
          <w:spacing w:val="-2"/>
          <w:sz w:val="21"/>
        </w:rPr>
        <w:t> </w:t>
      </w:r>
      <w:r>
        <w:rPr>
          <w:sz w:val="21"/>
        </w:rPr>
        <w:t>brought</w:t>
      </w:r>
      <w:r>
        <w:rPr>
          <w:spacing w:val="-2"/>
          <w:sz w:val="21"/>
        </w:rPr>
        <w:t> </w:t>
      </w:r>
      <w:r>
        <w:rPr>
          <w:sz w:val="21"/>
        </w:rPr>
        <w:t>to</w:t>
      </w:r>
      <w:r>
        <w:rPr>
          <w:spacing w:val="-3"/>
          <w:sz w:val="21"/>
        </w:rPr>
        <w:t> </w:t>
      </w:r>
      <w:r>
        <w:rPr>
          <w:sz w:val="21"/>
        </w:rPr>
        <w:t>its</w:t>
      </w:r>
      <w:r>
        <w:rPr>
          <w:spacing w:val="-2"/>
          <w:sz w:val="21"/>
        </w:rPr>
        <w:t> </w:t>
      </w:r>
      <w:r>
        <w:rPr>
          <w:sz w:val="21"/>
        </w:rPr>
        <w:t>collaborative</w:t>
      </w:r>
      <w:r>
        <w:rPr>
          <w:spacing w:val="-2"/>
          <w:sz w:val="21"/>
        </w:rPr>
        <w:t> </w:t>
      </w:r>
      <w:r>
        <w:rPr>
          <w:sz w:val="21"/>
        </w:rPr>
        <w:t>conversations</w:t>
      </w:r>
      <w:r>
        <w:rPr>
          <w:spacing w:val="-2"/>
          <w:sz w:val="21"/>
        </w:rPr>
        <w:t> </w:t>
      </w:r>
      <w:r>
        <w:rPr>
          <w:sz w:val="21"/>
        </w:rPr>
        <w:t>in</w:t>
      </w:r>
      <w:r>
        <w:rPr>
          <w:spacing w:val="-2"/>
          <w:sz w:val="21"/>
        </w:rPr>
        <w:t> </w:t>
      </w:r>
      <w:r>
        <w:rPr>
          <w:sz w:val="21"/>
        </w:rPr>
        <w:t>late</w:t>
      </w:r>
      <w:r>
        <w:rPr>
          <w:spacing w:val="-3"/>
          <w:sz w:val="21"/>
        </w:rPr>
        <w:t> </w:t>
      </w:r>
      <w:r>
        <w:rPr>
          <w:sz w:val="21"/>
        </w:rPr>
        <w:t>FY 2024 and understands that the agency is hoping to do more concrete work in this area in the upcoming fiscal year. Over FY 2024, the agency has begun engaging its service providers more to solicit data and feedback on how</w:t>
      </w:r>
      <w:r>
        <w:rPr>
          <w:spacing w:val="-6"/>
          <w:sz w:val="21"/>
        </w:rPr>
        <w:t> </w:t>
      </w:r>
      <w:r>
        <w:rPr>
          <w:sz w:val="21"/>
        </w:rPr>
        <w:t>the</w:t>
      </w:r>
      <w:r>
        <w:rPr>
          <w:spacing w:val="-5"/>
          <w:sz w:val="21"/>
        </w:rPr>
        <w:t> </w:t>
      </w:r>
      <w:r>
        <w:rPr>
          <w:sz w:val="21"/>
        </w:rPr>
        <w:t>agency</w:t>
      </w:r>
      <w:r>
        <w:rPr>
          <w:spacing w:val="-6"/>
          <w:sz w:val="21"/>
        </w:rPr>
        <w:t> </w:t>
      </w:r>
      <w:r>
        <w:rPr>
          <w:sz w:val="21"/>
        </w:rPr>
        <w:t>can</w:t>
      </w:r>
      <w:r>
        <w:rPr>
          <w:spacing w:val="-5"/>
          <w:sz w:val="21"/>
        </w:rPr>
        <w:t> </w:t>
      </w:r>
      <w:r>
        <w:rPr>
          <w:sz w:val="21"/>
        </w:rPr>
        <w:t>better</w:t>
      </w:r>
      <w:r>
        <w:rPr>
          <w:spacing w:val="-6"/>
          <w:sz w:val="21"/>
        </w:rPr>
        <w:t> </w:t>
      </w:r>
      <w:r>
        <w:rPr>
          <w:sz w:val="21"/>
        </w:rPr>
        <w:t>support</w:t>
      </w:r>
      <w:r>
        <w:rPr>
          <w:spacing w:val="-5"/>
          <w:sz w:val="21"/>
        </w:rPr>
        <w:t> </w:t>
      </w:r>
      <w:r>
        <w:rPr>
          <w:sz w:val="21"/>
        </w:rPr>
        <w:t>service</w:t>
      </w:r>
      <w:r>
        <w:rPr>
          <w:spacing w:val="-5"/>
          <w:sz w:val="21"/>
        </w:rPr>
        <w:t> </w:t>
      </w:r>
      <w:r>
        <w:rPr>
          <w:sz w:val="21"/>
        </w:rPr>
        <w:t>provision.</w:t>
      </w:r>
      <w:r>
        <w:rPr>
          <w:spacing w:val="-6"/>
          <w:sz w:val="21"/>
        </w:rPr>
        <w:t> </w:t>
      </w:r>
      <w:r>
        <w:rPr>
          <w:sz w:val="21"/>
        </w:rPr>
        <w:t>Additionally,</w:t>
      </w:r>
      <w:r>
        <w:rPr>
          <w:spacing w:val="-5"/>
          <w:sz w:val="21"/>
        </w:rPr>
        <w:t> </w:t>
      </w:r>
      <w:r>
        <w:rPr>
          <w:sz w:val="21"/>
        </w:rPr>
        <w:t>ORI</w:t>
      </w:r>
      <w:r>
        <w:rPr>
          <w:spacing w:val="-5"/>
          <w:sz w:val="21"/>
        </w:rPr>
        <w:t> </w:t>
      </w:r>
      <w:r>
        <w:rPr>
          <w:sz w:val="21"/>
        </w:rPr>
        <w:t>notes</w:t>
      </w:r>
      <w:r>
        <w:rPr>
          <w:spacing w:val="-6"/>
          <w:sz w:val="21"/>
        </w:rPr>
        <w:t> </w:t>
      </w:r>
      <w:r>
        <w:rPr>
          <w:sz w:val="21"/>
        </w:rPr>
        <w:t>that</w:t>
      </w:r>
      <w:r>
        <w:rPr>
          <w:spacing w:val="-7"/>
          <w:sz w:val="21"/>
        </w:rPr>
        <w:t> </w:t>
      </w:r>
      <w:r>
        <w:rPr>
          <w:sz w:val="21"/>
        </w:rPr>
        <w:t>all</w:t>
      </w:r>
      <w:r>
        <w:rPr>
          <w:spacing w:val="-5"/>
          <w:sz w:val="21"/>
        </w:rPr>
        <w:t> </w:t>
      </w:r>
      <w:r>
        <w:rPr>
          <w:sz w:val="21"/>
        </w:rPr>
        <w:t>contracted</w:t>
      </w:r>
      <w:r>
        <w:rPr>
          <w:spacing w:val="-6"/>
          <w:sz w:val="21"/>
        </w:rPr>
        <w:t> </w:t>
      </w:r>
      <w:r>
        <w:rPr>
          <w:sz w:val="21"/>
        </w:rPr>
        <w:t>agencies</w:t>
      </w:r>
      <w:r>
        <w:rPr>
          <w:spacing w:val="-6"/>
          <w:sz w:val="21"/>
        </w:rPr>
        <w:t> </w:t>
      </w:r>
      <w:r>
        <w:rPr>
          <w:sz w:val="21"/>
        </w:rPr>
        <w:t>have the</w:t>
      </w:r>
      <w:r>
        <w:rPr>
          <w:spacing w:val="-4"/>
          <w:sz w:val="21"/>
        </w:rPr>
        <w:t> </w:t>
      </w:r>
      <w:r>
        <w:rPr>
          <w:sz w:val="21"/>
        </w:rPr>
        <w:t>option</w:t>
      </w:r>
      <w:r>
        <w:rPr>
          <w:spacing w:val="-4"/>
          <w:sz w:val="21"/>
        </w:rPr>
        <w:t> </w:t>
      </w:r>
      <w:r>
        <w:rPr>
          <w:sz w:val="21"/>
        </w:rPr>
        <w:t>of</w:t>
      </w:r>
      <w:r>
        <w:rPr>
          <w:spacing w:val="-5"/>
          <w:sz w:val="21"/>
        </w:rPr>
        <w:t> </w:t>
      </w:r>
      <w:r>
        <w:rPr>
          <w:sz w:val="21"/>
        </w:rPr>
        <w:t>including</w:t>
      </w:r>
      <w:r>
        <w:rPr>
          <w:spacing w:val="-5"/>
          <w:sz w:val="21"/>
        </w:rPr>
        <w:t> </w:t>
      </w:r>
      <w:r>
        <w:rPr>
          <w:sz w:val="21"/>
        </w:rPr>
        <w:t>information</w:t>
      </w:r>
      <w:r>
        <w:rPr>
          <w:spacing w:val="-4"/>
          <w:sz w:val="21"/>
        </w:rPr>
        <w:t> </w:t>
      </w:r>
      <w:r>
        <w:rPr>
          <w:sz w:val="21"/>
        </w:rPr>
        <w:t>regarding</w:t>
      </w:r>
      <w:r>
        <w:rPr>
          <w:spacing w:val="-5"/>
          <w:sz w:val="21"/>
        </w:rPr>
        <w:t> </w:t>
      </w:r>
      <w:r>
        <w:rPr>
          <w:sz w:val="21"/>
        </w:rPr>
        <w:t>services</w:t>
      </w:r>
      <w:r>
        <w:rPr>
          <w:spacing w:val="-5"/>
          <w:sz w:val="21"/>
        </w:rPr>
        <w:t> </w:t>
      </w:r>
      <w:r>
        <w:rPr>
          <w:sz w:val="21"/>
        </w:rPr>
        <w:t>provided</w:t>
      </w:r>
      <w:r>
        <w:rPr>
          <w:spacing w:val="-4"/>
          <w:sz w:val="21"/>
        </w:rPr>
        <w:t> </w:t>
      </w:r>
      <w:r>
        <w:rPr>
          <w:sz w:val="21"/>
        </w:rPr>
        <w:t>to</w:t>
      </w:r>
      <w:r>
        <w:rPr>
          <w:spacing w:val="-4"/>
          <w:sz w:val="21"/>
        </w:rPr>
        <w:t> </w:t>
      </w:r>
      <w:r>
        <w:rPr>
          <w:sz w:val="21"/>
        </w:rPr>
        <w:t>LGBTQ</w:t>
      </w:r>
      <w:r>
        <w:rPr>
          <w:spacing w:val="-4"/>
          <w:sz w:val="21"/>
        </w:rPr>
        <w:t> </w:t>
      </w:r>
      <w:r>
        <w:rPr>
          <w:sz w:val="21"/>
        </w:rPr>
        <w:t>refugees</w:t>
      </w:r>
      <w:r>
        <w:rPr>
          <w:spacing w:val="-5"/>
          <w:sz w:val="21"/>
        </w:rPr>
        <w:t> </w:t>
      </w:r>
      <w:r>
        <w:rPr>
          <w:sz w:val="21"/>
        </w:rPr>
        <w:t>in</w:t>
      </w:r>
      <w:r>
        <w:rPr>
          <w:spacing w:val="-4"/>
          <w:sz w:val="21"/>
        </w:rPr>
        <w:t> </w:t>
      </w:r>
      <w:r>
        <w:rPr>
          <w:sz w:val="21"/>
        </w:rPr>
        <w:t>their</w:t>
      </w:r>
      <w:r>
        <w:rPr>
          <w:spacing w:val="-4"/>
          <w:sz w:val="21"/>
        </w:rPr>
        <w:t> </w:t>
      </w:r>
      <w:r>
        <w:rPr>
          <w:sz w:val="21"/>
        </w:rPr>
        <w:t>reporting,</w:t>
      </w:r>
      <w:r>
        <w:rPr>
          <w:spacing w:val="-4"/>
          <w:sz w:val="21"/>
        </w:rPr>
        <w:t> </w:t>
      </w:r>
      <w:r>
        <w:rPr>
          <w:sz w:val="21"/>
        </w:rPr>
        <w:t>and</w:t>
      </w:r>
      <w:r>
        <w:rPr>
          <w:spacing w:val="-5"/>
          <w:sz w:val="21"/>
        </w:rPr>
        <w:t> </w:t>
      </w:r>
      <w:r>
        <w:rPr>
          <w:sz w:val="21"/>
        </w:rPr>
        <w:t>that it includes language in its procurement and contracts around quality services for underserved populations.</w:t>
      </w:r>
    </w:p>
    <w:p>
      <w:pPr>
        <w:spacing w:line="276" w:lineRule="auto" w:before="240"/>
        <w:ind w:left="483" w:right="340" w:firstLine="0"/>
        <w:jc w:val="both"/>
        <w:rPr>
          <w:sz w:val="21"/>
        </w:rPr>
      </w:pPr>
      <w:r>
        <w:rPr>
          <w:sz w:val="21"/>
        </w:rPr>
        <w:t>As noted below, the Commission continues to recommend that ORI offers mandatory LGBTQ cultural engagement to all staff and offers similar trainings for direct service providers - and examine the policies and practices</w:t>
      </w:r>
      <w:r>
        <w:rPr>
          <w:spacing w:val="-10"/>
          <w:sz w:val="21"/>
        </w:rPr>
        <w:t> </w:t>
      </w:r>
      <w:r>
        <w:rPr>
          <w:sz w:val="21"/>
        </w:rPr>
        <w:t>of</w:t>
      </w:r>
      <w:r>
        <w:rPr>
          <w:spacing w:val="-10"/>
          <w:sz w:val="21"/>
        </w:rPr>
        <w:t> </w:t>
      </w:r>
      <w:r>
        <w:rPr>
          <w:sz w:val="21"/>
        </w:rPr>
        <w:t>each</w:t>
      </w:r>
      <w:r>
        <w:rPr>
          <w:spacing w:val="-9"/>
          <w:sz w:val="21"/>
        </w:rPr>
        <w:t> </w:t>
      </w:r>
      <w:r>
        <w:rPr>
          <w:sz w:val="21"/>
        </w:rPr>
        <w:t>program</w:t>
      </w:r>
      <w:r>
        <w:rPr>
          <w:spacing w:val="-10"/>
          <w:sz w:val="21"/>
        </w:rPr>
        <w:t> </w:t>
      </w:r>
      <w:r>
        <w:rPr>
          <w:sz w:val="21"/>
        </w:rPr>
        <w:t>that</w:t>
      </w:r>
      <w:r>
        <w:rPr>
          <w:spacing w:val="-9"/>
          <w:sz w:val="21"/>
        </w:rPr>
        <w:t> </w:t>
      </w:r>
      <w:r>
        <w:rPr>
          <w:sz w:val="21"/>
        </w:rPr>
        <w:t>ORI</w:t>
      </w:r>
      <w:r>
        <w:rPr>
          <w:spacing w:val="-11"/>
          <w:sz w:val="21"/>
        </w:rPr>
        <w:t> </w:t>
      </w:r>
      <w:r>
        <w:rPr>
          <w:sz w:val="21"/>
        </w:rPr>
        <w:t>refers</w:t>
      </w:r>
      <w:r>
        <w:rPr>
          <w:spacing w:val="-10"/>
          <w:sz w:val="21"/>
        </w:rPr>
        <w:t> </w:t>
      </w:r>
      <w:r>
        <w:rPr>
          <w:sz w:val="21"/>
        </w:rPr>
        <w:t>its</w:t>
      </w:r>
      <w:r>
        <w:rPr>
          <w:spacing w:val="-10"/>
          <w:sz w:val="21"/>
        </w:rPr>
        <w:t> </w:t>
      </w:r>
      <w:r>
        <w:rPr>
          <w:sz w:val="21"/>
        </w:rPr>
        <w:t>clients</w:t>
      </w:r>
      <w:r>
        <w:rPr>
          <w:spacing w:val="-10"/>
          <w:sz w:val="21"/>
        </w:rPr>
        <w:t> </w:t>
      </w:r>
      <w:r>
        <w:rPr>
          <w:sz w:val="21"/>
        </w:rPr>
        <w:t>to</w:t>
      </w:r>
      <w:r>
        <w:rPr>
          <w:spacing w:val="-11"/>
          <w:sz w:val="21"/>
        </w:rPr>
        <w:t> </w:t>
      </w:r>
      <w:r>
        <w:rPr>
          <w:sz w:val="21"/>
        </w:rPr>
        <w:t>for</w:t>
      </w:r>
      <w:r>
        <w:rPr>
          <w:spacing w:val="-10"/>
          <w:sz w:val="21"/>
        </w:rPr>
        <w:t> </w:t>
      </w:r>
      <w:r>
        <w:rPr>
          <w:sz w:val="21"/>
        </w:rPr>
        <w:t>services.</w:t>
      </w:r>
      <w:r>
        <w:rPr>
          <w:spacing w:val="-9"/>
          <w:sz w:val="21"/>
        </w:rPr>
        <w:t> </w:t>
      </w:r>
      <w:r>
        <w:rPr>
          <w:sz w:val="21"/>
        </w:rPr>
        <w:t>ORI</w:t>
      </w:r>
      <w:r>
        <w:rPr>
          <w:spacing w:val="-9"/>
          <w:sz w:val="21"/>
        </w:rPr>
        <w:t> </w:t>
      </w:r>
      <w:r>
        <w:rPr>
          <w:sz w:val="21"/>
        </w:rPr>
        <w:t>has</w:t>
      </w:r>
      <w:r>
        <w:rPr>
          <w:spacing w:val="-10"/>
          <w:sz w:val="21"/>
        </w:rPr>
        <w:t> </w:t>
      </w:r>
      <w:r>
        <w:rPr>
          <w:sz w:val="21"/>
        </w:rPr>
        <w:t>not</w:t>
      </w:r>
      <w:r>
        <w:rPr>
          <w:spacing w:val="-9"/>
          <w:sz w:val="21"/>
        </w:rPr>
        <w:t> </w:t>
      </w:r>
      <w:r>
        <w:rPr>
          <w:sz w:val="21"/>
        </w:rPr>
        <w:t>undertaken</w:t>
      </w:r>
      <w:r>
        <w:rPr>
          <w:spacing w:val="-10"/>
          <w:sz w:val="21"/>
        </w:rPr>
        <w:t> </w:t>
      </w:r>
      <w:r>
        <w:rPr>
          <w:sz w:val="21"/>
        </w:rPr>
        <w:t>a</w:t>
      </w:r>
      <w:r>
        <w:rPr>
          <w:spacing w:val="-10"/>
          <w:sz w:val="21"/>
        </w:rPr>
        <w:t> </w:t>
      </w:r>
      <w:r>
        <w:rPr>
          <w:sz w:val="21"/>
        </w:rPr>
        <w:t>training</w:t>
      </w:r>
      <w:r>
        <w:rPr>
          <w:spacing w:val="-10"/>
          <w:sz w:val="21"/>
        </w:rPr>
        <w:t> </w:t>
      </w:r>
      <w:r>
        <w:rPr>
          <w:sz w:val="21"/>
        </w:rPr>
        <w:t>on</w:t>
      </w:r>
      <w:r>
        <w:rPr>
          <w:spacing w:val="-9"/>
          <w:sz w:val="21"/>
        </w:rPr>
        <w:t> </w:t>
      </w:r>
      <w:r>
        <w:rPr>
          <w:sz w:val="21"/>
        </w:rPr>
        <w:t>LGBTQ cultural engagement since 2016. While the Commission understands that ORI, like many state agencies, struggles</w:t>
      </w:r>
      <w:r>
        <w:rPr>
          <w:spacing w:val="-12"/>
          <w:sz w:val="21"/>
        </w:rPr>
        <w:t> </w:t>
      </w:r>
      <w:r>
        <w:rPr>
          <w:sz w:val="21"/>
        </w:rPr>
        <w:t>with</w:t>
      </w:r>
      <w:r>
        <w:rPr>
          <w:spacing w:val="-12"/>
          <w:sz w:val="21"/>
        </w:rPr>
        <w:t> </w:t>
      </w:r>
      <w:r>
        <w:rPr>
          <w:sz w:val="21"/>
        </w:rPr>
        <w:t>limited</w:t>
      </w:r>
      <w:r>
        <w:rPr>
          <w:spacing w:val="-12"/>
          <w:sz w:val="21"/>
        </w:rPr>
        <w:t> </w:t>
      </w:r>
      <w:r>
        <w:rPr>
          <w:sz w:val="21"/>
        </w:rPr>
        <w:t>staffing</w:t>
      </w:r>
      <w:r>
        <w:rPr>
          <w:spacing w:val="-12"/>
          <w:sz w:val="21"/>
        </w:rPr>
        <w:t> </w:t>
      </w:r>
      <w:r>
        <w:rPr>
          <w:sz w:val="21"/>
        </w:rPr>
        <w:t>and</w:t>
      </w:r>
      <w:r>
        <w:rPr>
          <w:spacing w:val="-12"/>
          <w:sz w:val="21"/>
        </w:rPr>
        <w:t> </w:t>
      </w:r>
      <w:r>
        <w:rPr>
          <w:sz w:val="21"/>
        </w:rPr>
        <w:t>capacity,</w:t>
      </w:r>
      <w:r>
        <w:rPr>
          <w:spacing w:val="-12"/>
          <w:sz w:val="21"/>
        </w:rPr>
        <w:t> </w:t>
      </w:r>
      <w:r>
        <w:rPr>
          <w:sz w:val="21"/>
        </w:rPr>
        <w:t>it</w:t>
      </w:r>
      <w:r>
        <w:rPr>
          <w:spacing w:val="-12"/>
          <w:sz w:val="21"/>
        </w:rPr>
        <w:t> </w:t>
      </w:r>
      <w:r>
        <w:rPr>
          <w:sz w:val="21"/>
        </w:rPr>
        <w:t>is</w:t>
      </w:r>
      <w:r>
        <w:rPr>
          <w:spacing w:val="-11"/>
          <w:sz w:val="21"/>
        </w:rPr>
        <w:t> </w:t>
      </w:r>
      <w:r>
        <w:rPr>
          <w:sz w:val="21"/>
        </w:rPr>
        <w:t>essential</w:t>
      </w:r>
      <w:r>
        <w:rPr>
          <w:spacing w:val="-12"/>
          <w:sz w:val="21"/>
        </w:rPr>
        <w:t> </w:t>
      </w:r>
      <w:r>
        <w:rPr>
          <w:sz w:val="21"/>
        </w:rPr>
        <w:t>that</w:t>
      </w:r>
      <w:r>
        <w:rPr>
          <w:spacing w:val="-12"/>
          <w:sz w:val="21"/>
        </w:rPr>
        <w:t> </w:t>
      </w:r>
      <w:r>
        <w:rPr>
          <w:sz w:val="21"/>
        </w:rPr>
        <w:t>all</w:t>
      </w:r>
      <w:r>
        <w:rPr>
          <w:spacing w:val="-12"/>
          <w:sz w:val="21"/>
        </w:rPr>
        <w:t> </w:t>
      </w:r>
      <w:r>
        <w:rPr>
          <w:sz w:val="21"/>
        </w:rPr>
        <w:t>Massachusetts</w:t>
      </w:r>
      <w:r>
        <w:rPr>
          <w:spacing w:val="-12"/>
          <w:sz w:val="21"/>
        </w:rPr>
        <w:t> </w:t>
      </w:r>
      <w:r>
        <w:rPr>
          <w:sz w:val="21"/>
        </w:rPr>
        <w:t>agencies</w:t>
      </w:r>
      <w:r>
        <w:rPr>
          <w:spacing w:val="-12"/>
          <w:sz w:val="21"/>
        </w:rPr>
        <w:t> </w:t>
      </w:r>
      <w:r>
        <w:rPr>
          <w:sz w:val="21"/>
        </w:rPr>
        <w:t>take</w:t>
      </w:r>
      <w:r>
        <w:rPr>
          <w:spacing w:val="-12"/>
          <w:sz w:val="21"/>
        </w:rPr>
        <w:t> </w:t>
      </w:r>
      <w:r>
        <w:rPr>
          <w:sz w:val="21"/>
        </w:rPr>
        <w:t>meaningful</w:t>
      </w:r>
      <w:r>
        <w:rPr>
          <w:spacing w:val="-12"/>
          <w:sz w:val="21"/>
        </w:rPr>
        <w:t> </w:t>
      </w:r>
      <w:r>
        <w:rPr>
          <w:sz w:val="21"/>
        </w:rPr>
        <w:t>steps towards inclusive service provision for LGBTQ youth.</w:t>
      </w:r>
    </w:p>
    <w:p>
      <w:pPr>
        <w:spacing w:before="239"/>
        <w:ind w:left="483" w:right="0" w:firstLine="0"/>
        <w:jc w:val="both"/>
        <w:rPr>
          <w:sz w:val="28"/>
        </w:rPr>
      </w:pPr>
      <w:r>
        <w:rPr>
          <w:color w:val="365F91"/>
          <w:sz w:val="28"/>
        </w:rPr>
        <w:t>FY</w:t>
      </w:r>
      <w:r>
        <w:rPr>
          <w:color w:val="365F91"/>
          <w:spacing w:val="-8"/>
          <w:sz w:val="28"/>
        </w:rPr>
        <w:t> </w:t>
      </w:r>
      <w:r>
        <w:rPr>
          <w:color w:val="365F91"/>
          <w:sz w:val="28"/>
        </w:rPr>
        <w:t>2025</w:t>
      </w:r>
      <w:r>
        <w:rPr>
          <w:color w:val="365F91"/>
          <w:spacing w:val="-8"/>
          <w:sz w:val="28"/>
        </w:rPr>
        <w:t> </w:t>
      </w:r>
      <w:r>
        <w:rPr>
          <w:color w:val="365F91"/>
          <w:sz w:val="28"/>
        </w:rPr>
        <w:t>Expanded</w:t>
      </w:r>
      <w:r>
        <w:rPr>
          <w:color w:val="365F91"/>
          <w:spacing w:val="-9"/>
          <w:sz w:val="28"/>
        </w:rPr>
        <w:t> </w:t>
      </w:r>
      <w:r>
        <w:rPr>
          <w:color w:val="365F91"/>
          <w:sz w:val="28"/>
        </w:rPr>
        <w:t>ORI</w:t>
      </w:r>
      <w:r>
        <w:rPr>
          <w:color w:val="365F91"/>
          <w:spacing w:val="-8"/>
          <w:sz w:val="28"/>
        </w:rPr>
        <w:t> </w:t>
      </w:r>
      <w:r>
        <w:rPr>
          <w:color w:val="365F91"/>
          <w:spacing w:val="-2"/>
          <w:sz w:val="28"/>
        </w:rPr>
        <w:t>Recommendations</w:t>
      </w:r>
    </w:p>
    <w:p>
      <w:pPr>
        <w:pStyle w:val="BodyText"/>
        <w:spacing w:before="11"/>
        <w:rPr>
          <w:sz w:val="3"/>
        </w:rPr>
      </w:pPr>
      <w:r>
        <w:rPr/>
        <mc:AlternateContent>
          <mc:Choice Requires="wps">
            <w:drawing>
              <wp:anchor distT="0" distB="0" distL="0" distR="0" allowOverlap="1" layoutInCell="1" locked="0" behindDoc="1" simplePos="0" relativeHeight="487715328">
                <wp:simplePos x="0" y="0"/>
                <wp:positionH relativeFrom="page">
                  <wp:posOffset>897636</wp:posOffset>
                </wp:positionH>
                <wp:positionV relativeFrom="paragraph">
                  <wp:posOffset>45529</wp:posOffset>
                </wp:positionV>
                <wp:extent cx="5976620" cy="6350"/>
                <wp:effectExtent l="0" t="0" r="0" b="0"/>
                <wp:wrapTopAndBottom/>
                <wp:docPr id="629" name="Graphic 629"/>
                <wp:cNvGraphicFramePr>
                  <a:graphicFrameLocks/>
                </wp:cNvGraphicFramePr>
                <a:graphic>
                  <a:graphicData uri="http://schemas.microsoft.com/office/word/2010/wordprocessingShape">
                    <wps:wsp>
                      <wps:cNvPr id="629" name="Graphic 629"/>
                      <wps:cNvSpPr/>
                      <wps:spPr>
                        <a:xfrm>
                          <a:off x="0" y="0"/>
                          <a:ext cx="5976620" cy="6350"/>
                        </a:xfrm>
                        <a:custGeom>
                          <a:avLst/>
                          <a:gdLst/>
                          <a:ahLst/>
                          <a:cxnLst/>
                          <a:rect l="l" t="t" r="r" b="b"/>
                          <a:pathLst>
                            <a:path w="5976620" h="6350">
                              <a:moveTo>
                                <a:pt x="5976366" y="0"/>
                              </a:moveTo>
                              <a:lnTo>
                                <a:pt x="0" y="0"/>
                              </a:lnTo>
                              <a:lnTo>
                                <a:pt x="0" y="6108"/>
                              </a:lnTo>
                              <a:lnTo>
                                <a:pt x="5976366" y="6108"/>
                              </a:lnTo>
                              <a:lnTo>
                                <a:pt x="5976366" y="0"/>
                              </a:lnTo>
                              <a:close/>
                            </a:path>
                          </a:pathLst>
                        </a:custGeom>
                        <a:solidFill>
                          <a:srgbClr val="4F81BC"/>
                        </a:solidFill>
                      </wps:spPr>
                      <wps:bodyPr wrap="square" lIns="0" tIns="0" rIns="0" bIns="0" rtlCol="0">
                        <a:prstTxWarp prst="textNoShape">
                          <a:avLst/>
                        </a:prstTxWarp>
                        <a:noAutofit/>
                      </wps:bodyPr>
                    </wps:wsp>
                  </a:graphicData>
                </a:graphic>
              </wp:anchor>
            </w:drawing>
          </mc:Choice>
          <mc:Fallback>
            <w:pict>
              <v:rect style="position:absolute;margin-left:70.680pt;margin-top:3.585035pt;width:470.58pt;height:.481pt;mso-position-horizontal-relative:page;mso-position-vertical-relative:paragraph;z-index:-15601152;mso-wrap-distance-left:0;mso-wrap-distance-right:0" id="docshape526" filled="true" fillcolor="#4f81bc" stroked="false">
                <v:fill type="solid"/>
                <w10:wrap type="topAndBottom"/>
              </v:rect>
            </w:pict>
          </mc:Fallback>
        </mc:AlternateContent>
      </w:r>
    </w:p>
    <w:p>
      <w:pPr>
        <w:numPr>
          <w:ilvl w:val="0"/>
          <w:numId w:val="43"/>
        </w:numPr>
        <w:tabs>
          <w:tab w:pos="481" w:val="left" w:leader="none"/>
          <w:tab w:pos="483" w:val="left" w:leader="none"/>
        </w:tabs>
        <w:spacing w:line="276" w:lineRule="auto" w:before="241"/>
        <w:ind w:left="483" w:right="344" w:hanging="360"/>
        <w:jc w:val="left"/>
        <w:rPr>
          <w:b/>
          <w:sz w:val="22"/>
        </w:rPr>
      </w:pPr>
      <w:r>
        <w:rPr>
          <w:b/>
          <w:sz w:val="22"/>
        </w:rPr>
        <w:t>Develop</w:t>
      </w:r>
      <w:r>
        <w:rPr>
          <w:b/>
          <w:spacing w:val="-13"/>
          <w:sz w:val="22"/>
        </w:rPr>
        <w:t> </w:t>
      </w:r>
      <w:r>
        <w:rPr>
          <w:b/>
          <w:sz w:val="22"/>
        </w:rPr>
        <w:t>and</w:t>
      </w:r>
      <w:r>
        <w:rPr>
          <w:b/>
          <w:spacing w:val="-12"/>
          <w:sz w:val="22"/>
        </w:rPr>
        <w:t> </w:t>
      </w:r>
      <w:r>
        <w:rPr>
          <w:b/>
          <w:sz w:val="22"/>
        </w:rPr>
        <w:t>execute</w:t>
      </w:r>
      <w:r>
        <w:rPr>
          <w:b/>
          <w:spacing w:val="-12"/>
          <w:sz w:val="22"/>
        </w:rPr>
        <w:t> </w:t>
      </w:r>
      <w:r>
        <w:rPr>
          <w:b/>
          <w:sz w:val="22"/>
        </w:rPr>
        <w:t>a</w:t>
      </w:r>
      <w:r>
        <w:rPr>
          <w:b/>
          <w:spacing w:val="-13"/>
          <w:sz w:val="22"/>
        </w:rPr>
        <w:t> </w:t>
      </w:r>
      <w:r>
        <w:rPr>
          <w:b/>
          <w:sz w:val="22"/>
        </w:rPr>
        <w:t>strategic</w:t>
      </w:r>
      <w:r>
        <w:rPr>
          <w:b/>
          <w:spacing w:val="-11"/>
          <w:sz w:val="22"/>
        </w:rPr>
        <w:t> </w:t>
      </w:r>
      <w:r>
        <w:rPr>
          <w:b/>
          <w:sz w:val="22"/>
        </w:rPr>
        <w:t>plan</w:t>
      </w:r>
      <w:r>
        <w:rPr>
          <w:b/>
          <w:spacing w:val="-12"/>
          <w:sz w:val="22"/>
        </w:rPr>
        <w:t> </w:t>
      </w:r>
      <w:r>
        <w:rPr>
          <w:b/>
          <w:sz w:val="22"/>
        </w:rPr>
        <w:t>to</w:t>
      </w:r>
      <w:r>
        <w:rPr>
          <w:b/>
          <w:spacing w:val="-13"/>
          <w:sz w:val="22"/>
        </w:rPr>
        <w:t> </w:t>
      </w:r>
      <w:r>
        <w:rPr>
          <w:b/>
          <w:sz w:val="22"/>
        </w:rPr>
        <w:t>conduct</w:t>
      </w:r>
      <w:r>
        <w:rPr>
          <w:b/>
          <w:spacing w:val="-12"/>
          <w:sz w:val="22"/>
        </w:rPr>
        <w:t> </w:t>
      </w:r>
      <w:r>
        <w:rPr>
          <w:b/>
          <w:sz w:val="22"/>
        </w:rPr>
        <w:t>direct</w:t>
      </w:r>
      <w:r>
        <w:rPr>
          <w:b/>
          <w:spacing w:val="-13"/>
          <w:sz w:val="22"/>
        </w:rPr>
        <w:t> </w:t>
      </w:r>
      <w:r>
        <w:rPr>
          <w:b/>
          <w:sz w:val="22"/>
        </w:rPr>
        <w:t>outreach</w:t>
      </w:r>
      <w:r>
        <w:rPr>
          <w:b/>
          <w:spacing w:val="-12"/>
          <w:sz w:val="22"/>
        </w:rPr>
        <w:t> </w:t>
      </w:r>
      <w:r>
        <w:rPr>
          <w:b/>
          <w:sz w:val="22"/>
        </w:rPr>
        <w:t>to</w:t>
      </w:r>
      <w:r>
        <w:rPr>
          <w:b/>
          <w:spacing w:val="-12"/>
          <w:sz w:val="22"/>
        </w:rPr>
        <w:t> </w:t>
      </w:r>
      <w:r>
        <w:rPr>
          <w:b/>
          <w:sz w:val="22"/>
        </w:rPr>
        <w:t>LGBTQ</w:t>
      </w:r>
      <w:r>
        <w:rPr>
          <w:b/>
          <w:spacing w:val="-13"/>
          <w:sz w:val="22"/>
        </w:rPr>
        <w:t> </w:t>
      </w:r>
      <w:r>
        <w:rPr>
          <w:b/>
          <w:sz w:val="22"/>
        </w:rPr>
        <w:t>immigrant</w:t>
      </w:r>
      <w:r>
        <w:rPr>
          <w:b/>
          <w:spacing w:val="-12"/>
          <w:sz w:val="22"/>
        </w:rPr>
        <w:t> </w:t>
      </w:r>
      <w:r>
        <w:rPr>
          <w:b/>
          <w:sz w:val="22"/>
        </w:rPr>
        <w:t>youth</w:t>
      </w:r>
      <w:r>
        <w:rPr>
          <w:b/>
          <w:spacing w:val="-12"/>
          <w:sz w:val="22"/>
        </w:rPr>
        <w:t> </w:t>
      </w:r>
      <w:r>
        <w:rPr>
          <w:b/>
          <w:sz w:val="22"/>
        </w:rPr>
        <w:t>and</w:t>
      </w:r>
      <w:r>
        <w:rPr>
          <w:b/>
          <w:spacing w:val="-13"/>
          <w:sz w:val="22"/>
        </w:rPr>
        <w:t> </w:t>
      </w:r>
      <w:r>
        <w:rPr>
          <w:b/>
          <w:sz w:val="22"/>
        </w:rPr>
        <w:t>families across the Commonwealth.</w:t>
      </w:r>
    </w:p>
    <w:p>
      <w:pPr>
        <w:pStyle w:val="BodyText"/>
        <w:spacing w:line="276" w:lineRule="auto" w:before="241"/>
        <w:ind w:left="483" w:right="342"/>
        <w:jc w:val="both"/>
      </w:pPr>
      <w:r>
        <w:rPr/>
        <w:t>As noted throughout this annual report, the Commission has increasingly heard about the significant barriers to resources for LGBTQ immigrant community members, particularly for those in the Western and Central regions, for the last several years. Furthermore, the Commission highlights the concerning lack of explicit conversations from key policymakers and agencies about how to support LGBTQ communities as they work to better serve new arrivals to the country. The Commission strongly recommends</w:t>
      </w:r>
      <w:r>
        <w:rPr>
          <w:spacing w:val="-13"/>
        </w:rPr>
        <w:t> </w:t>
      </w:r>
      <w:r>
        <w:rPr/>
        <w:t>that</w:t>
      </w:r>
      <w:r>
        <w:rPr>
          <w:spacing w:val="-12"/>
        </w:rPr>
        <w:t> </w:t>
      </w:r>
      <w:r>
        <w:rPr/>
        <w:t>ORI</w:t>
      </w:r>
      <w:r>
        <w:rPr>
          <w:spacing w:val="-13"/>
        </w:rPr>
        <w:t> </w:t>
      </w:r>
      <w:r>
        <w:rPr/>
        <w:t>develops</w:t>
      </w:r>
      <w:r>
        <w:rPr>
          <w:spacing w:val="-12"/>
        </w:rPr>
        <w:t> </w:t>
      </w:r>
      <w:r>
        <w:rPr/>
        <w:t>a</w:t>
      </w:r>
      <w:r>
        <w:rPr>
          <w:spacing w:val="-13"/>
        </w:rPr>
        <w:t> </w:t>
      </w:r>
      <w:r>
        <w:rPr/>
        <w:t>strategic</w:t>
      </w:r>
      <w:r>
        <w:rPr>
          <w:spacing w:val="-12"/>
        </w:rPr>
        <w:t> </w:t>
      </w:r>
      <w:r>
        <w:rPr/>
        <w:t>plan</w:t>
      </w:r>
      <w:r>
        <w:rPr>
          <w:spacing w:val="-13"/>
        </w:rPr>
        <w:t> </w:t>
      </w:r>
      <w:r>
        <w:rPr/>
        <w:t>to</w:t>
      </w:r>
      <w:r>
        <w:rPr>
          <w:spacing w:val="-12"/>
        </w:rPr>
        <w:t> </w:t>
      </w:r>
      <w:r>
        <w:rPr/>
        <w:t>directly</w:t>
      </w:r>
      <w:r>
        <w:rPr>
          <w:spacing w:val="-12"/>
        </w:rPr>
        <w:t> </w:t>
      </w:r>
      <w:r>
        <w:rPr/>
        <w:t>connect</w:t>
      </w:r>
      <w:r>
        <w:rPr>
          <w:spacing w:val="-13"/>
        </w:rPr>
        <w:t> </w:t>
      </w:r>
      <w:r>
        <w:rPr/>
        <w:t>with</w:t>
      </w:r>
      <w:r>
        <w:rPr>
          <w:spacing w:val="-12"/>
        </w:rPr>
        <w:t> </w:t>
      </w:r>
      <w:r>
        <w:rPr/>
        <w:t>LGBTQ</w:t>
      </w:r>
      <w:r>
        <w:rPr>
          <w:spacing w:val="-13"/>
        </w:rPr>
        <w:t> </w:t>
      </w:r>
      <w:r>
        <w:rPr/>
        <w:t>youth</w:t>
      </w:r>
      <w:r>
        <w:rPr>
          <w:spacing w:val="-12"/>
        </w:rPr>
        <w:t> </w:t>
      </w:r>
      <w:r>
        <w:rPr/>
        <w:t>and</w:t>
      </w:r>
      <w:r>
        <w:rPr>
          <w:spacing w:val="-13"/>
        </w:rPr>
        <w:t> </w:t>
      </w:r>
      <w:r>
        <w:rPr/>
        <w:t>families</w:t>
      </w:r>
      <w:r>
        <w:rPr>
          <w:spacing w:val="-12"/>
        </w:rPr>
        <w:t> </w:t>
      </w:r>
      <w:r>
        <w:rPr/>
        <w:t>in</w:t>
      </w:r>
      <w:r>
        <w:rPr>
          <w:spacing w:val="-12"/>
        </w:rPr>
        <w:t> </w:t>
      </w:r>
      <w:r>
        <w:rPr/>
        <w:t>every region of the state. Such a plan should incorporate tangible and transparent goals of how ORI plans to respond to the needs of community members.</w:t>
      </w:r>
    </w:p>
    <w:p>
      <w:pPr>
        <w:spacing w:after="0" w:line="276" w:lineRule="auto"/>
        <w:jc w:val="both"/>
        <w:sectPr>
          <w:pgSz w:w="12240" w:h="15840"/>
          <w:pgMar w:header="804" w:footer="1256" w:top="1000" w:bottom="1460" w:left="960" w:right="1100"/>
        </w:sectPr>
      </w:pPr>
    </w:p>
    <w:p>
      <w:pPr>
        <w:numPr>
          <w:ilvl w:val="0"/>
          <w:numId w:val="43"/>
        </w:numPr>
        <w:tabs>
          <w:tab w:pos="481" w:val="left" w:leader="none"/>
          <w:tab w:pos="483" w:val="left" w:leader="none"/>
        </w:tabs>
        <w:spacing w:line="276" w:lineRule="auto" w:before="139"/>
        <w:ind w:left="483" w:right="340" w:hanging="360"/>
        <w:jc w:val="both"/>
        <w:rPr>
          <w:b/>
          <w:sz w:val="22"/>
        </w:rPr>
      </w:pPr>
      <w:r>
        <w:rPr>
          <w:b/>
          <w:sz w:val="22"/>
        </w:rPr>
        <w:t>Establish relationships with LGBTQ community partners and organizations across the Commonwealth to</w:t>
      </w:r>
      <w:r>
        <w:rPr>
          <w:b/>
          <w:spacing w:val="-4"/>
          <w:sz w:val="22"/>
        </w:rPr>
        <w:t> </w:t>
      </w:r>
      <w:r>
        <w:rPr>
          <w:b/>
          <w:sz w:val="22"/>
        </w:rPr>
        <w:t>ensure</w:t>
      </w:r>
      <w:r>
        <w:rPr>
          <w:b/>
          <w:spacing w:val="-3"/>
          <w:sz w:val="22"/>
        </w:rPr>
        <w:t> </w:t>
      </w:r>
      <w:r>
        <w:rPr>
          <w:b/>
          <w:sz w:val="22"/>
        </w:rPr>
        <w:t>that</w:t>
      </w:r>
      <w:r>
        <w:rPr>
          <w:b/>
          <w:spacing w:val="-5"/>
          <w:sz w:val="22"/>
        </w:rPr>
        <w:t> </w:t>
      </w:r>
      <w:r>
        <w:rPr>
          <w:b/>
          <w:sz w:val="22"/>
        </w:rPr>
        <w:t>all</w:t>
      </w:r>
      <w:r>
        <w:rPr>
          <w:b/>
          <w:spacing w:val="-5"/>
          <w:sz w:val="22"/>
        </w:rPr>
        <w:t> </w:t>
      </w:r>
      <w:r>
        <w:rPr>
          <w:b/>
          <w:sz w:val="22"/>
        </w:rPr>
        <w:t>ORI</w:t>
      </w:r>
      <w:r>
        <w:rPr>
          <w:b/>
          <w:spacing w:val="-5"/>
          <w:sz w:val="22"/>
        </w:rPr>
        <w:t> </w:t>
      </w:r>
      <w:r>
        <w:rPr>
          <w:b/>
          <w:sz w:val="22"/>
        </w:rPr>
        <w:t>service</w:t>
      </w:r>
      <w:r>
        <w:rPr>
          <w:b/>
          <w:spacing w:val="-5"/>
          <w:sz w:val="22"/>
        </w:rPr>
        <w:t> </w:t>
      </w:r>
      <w:r>
        <w:rPr>
          <w:b/>
          <w:sz w:val="22"/>
        </w:rPr>
        <w:t>providers</w:t>
      </w:r>
      <w:r>
        <w:rPr>
          <w:b/>
          <w:spacing w:val="-4"/>
          <w:sz w:val="22"/>
        </w:rPr>
        <w:t> </w:t>
      </w:r>
      <w:r>
        <w:rPr>
          <w:b/>
          <w:sz w:val="22"/>
        </w:rPr>
        <w:t>have</w:t>
      </w:r>
      <w:r>
        <w:rPr>
          <w:b/>
          <w:spacing w:val="-4"/>
          <w:sz w:val="22"/>
        </w:rPr>
        <w:t> </w:t>
      </w:r>
      <w:r>
        <w:rPr>
          <w:b/>
          <w:sz w:val="22"/>
        </w:rPr>
        <w:t>multicultural,</w:t>
      </w:r>
      <w:r>
        <w:rPr>
          <w:b/>
          <w:spacing w:val="-4"/>
          <w:sz w:val="22"/>
        </w:rPr>
        <w:t> </w:t>
      </w:r>
      <w:r>
        <w:rPr>
          <w:b/>
          <w:sz w:val="22"/>
        </w:rPr>
        <w:t>multilingual</w:t>
      </w:r>
      <w:r>
        <w:rPr>
          <w:b/>
          <w:spacing w:val="-4"/>
          <w:sz w:val="22"/>
        </w:rPr>
        <w:t> </w:t>
      </w:r>
      <w:r>
        <w:rPr>
          <w:b/>
          <w:sz w:val="22"/>
        </w:rPr>
        <w:t>resources</w:t>
      </w:r>
      <w:r>
        <w:rPr>
          <w:b/>
          <w:spacing w:val="-5"/>
          <w:sz w:val="22"/>
        </w:rPr>
        <w:t> </w:t>
      </w:r>
      <w:r>
        <w:rPr>
          <w:b/>
          <w:sz w:val="22"/>
        </w:rPr>
        <w:t>available</w:t>
      </w:r>
      <w:r>
        <w:rPr>
          <w:b/>
          <w:spacing w:val="-4"/>
          <w:sz w:val="22"/>
        </w:rPr>
        <w:t> </w:t>
      </w:r>
      <w:r>
        <w:rPr>
          <w:b/>
          <w:sz w:val="22"/>
        </w:rPr>
        <w:t>on</w:t>
      </w:r>
      <w:r>
        <w:rPr>
          <w:b/>
          <w:spacing w:val="-4"/>
          <w:sz w:val="22"/>
        </w:rPr>
        <w:t> </w:t>
      </w:r>
      <w:r>
        <w:rPr>
          <w:b/>
          <w:sz w:val="22"/>
        </w:rPr>
        <w:t>site</w:t>
      </w:r>
      <w:r>
        <w:rPr>
          <w:b/>
          <w:spacing w:val="-4"/>
          <w:sz w:val="22"/>
        </w:rPr>
        <w:t> </w:t>
      </w:r>
      <w:r>
        <w:rPr>
          <w:b/>
          <w:sz w:val="22"/>
        </w:rPr>
        <w:t>that are regionally appropriate.</w:t>
      </w:r>
    </w:p>
    <w:p>
      <w:pPr>
        <w:pStyle w:val="BodyText"/>
        <w:spacing w:line="276" w:lineRule="auto" w:before="239"/>
        <w:ind w:left="483" w:right="340"/>
        <w:jc w:val="both"/>
      </w:pPr>
      <w:r>
        <w:rPr/>
        <w:t>Building off the above recommendation, the Commission further recommends that ORI incorporate an intentional plan to build lasting partnerships with LGBTQ community organizations and programs that serve LGBTQ immigrants, refugees, and asylum seekers in the Commonwealth. ORI has noted to the Commission in the past that it is often unaware of where to refer the occasional LGBTQ client that does approach their agency for assistance, while community partners have often lamented over the lack of multicultural,</w:t>
      </w:r>
      <w:r>
        <w:rPr>
          <w:spacing w:val="-13"/>
        </w:rPr>
        <w:t> </w:t>
      </w:r>
      <w:r>
        <w:rPr/>
        <w:t>multilingual</w:t>
      </w:r>
      <w:r>
        <w:rPr>
          <w:spacing w:val="-12"/>
        </w:rPr>
        <w:t> </w:t>
      </w:r>
      <w:r>
        <w:rPr/>
        <w:t>resources</w:t>
      </w:r>
      <w:r>
        <w:rPr>
          <w:spacing w:val="-13"/>
        </w:rPr>
        <w:t> </w:t>
      </w:r>
      <w:r>
        <w:rPr/>
        <w:t>and</w:t>
      </w:r>
      <w:r>
        <w:rPr>
          <w:spacing w:val="-12"/>
        </w:rPr>
        <w:t> </w:t>
      </w:r>
      <w:r>
        <w:rPr/>
        <w:t>programs</w:t>
      </w:r>
      <w:r>
        <w:rPr>
          <w:spacing w:val="-13"/>
        </w:rPr>
        <w:t> </w:t>
      </w:r>
      <w:r>
        <w:rPr/>
        <w:t>in</w:t>
      </w:r>
      <w:r>
        <w:rPr>
          <w:spacing w:val="-12"/>
        </w:rPr>
        <w:t> </w:t>
      </w:r>
      <w:r>
        <w:rPr/>
        <w:t>Massachusetts.</w:t>
      </w:r>
      <w:r>
        <w:rPr>
          <w:spacing w:val="-13"/>
        </w:rPr>
        <w:t> </w:t>
      </w:r>
      <w:r>
        <w:rPr/>
        <w:t>By</w:t>
      </w:r>
      <w:r>
        <w:rPr>
          <w:spacing w:val="-12"/>
        </w:rPr>
        <w:t> </w:t>
      </w:r>
      <w:r>
        <w:rPr/>
        <w:t>recommending</w:t>
      </w:r>
      <w:r>
        <w:rPr>
          <w:spacing w:val="-12"/>
        </w:rPr>
        <w:t> </w:t>
      </w:r>
      <w:r>
        <w:rPr/>
        <w:t>that</w:t>
      </w:r>
      <w:r>
        <w:rPr>
          <w:spacing w:val="-13"/>
        </w:rPr>
        <w:t> </w:t>
      </w:r>
      <w:r>
        <w:rPr/>
        <w:t>ORI</w:t>
      </w:r>
      <w:r>
        <w:rPr>
          <w:spacing w:val="-12"/>
        </w:rPr>
        <w:t> </w:t>
      </w:r>
      <w:r>
        <w:rPr/>
        <w:t>establish collaborative relationships with LGBTQ partners across the state, the Commission hopes to see a desperately needed funding increase to existing programs, as well as the funding of new programs to better</w:t>
      </w:r>
      <w:r>
        <w:rPr>
          <w:spacing w:val="-9"/>
        </w:rPr>
        <w:t> </w:t>
      </w:r>
      <w:r>
        <w:rPr/>
        <w:t>serve</w:t>
      </w:r>
      <w:r>
        <w:rPr>
          <w:spacing w:val="-8"/>
        </w:rPr>
        <w:t> </w:t>
      </w:r>
      <w:r>
        <w:rPr/>
        <w:t>communities.</w:t>
      </w:r>
      <w:r>
        <w:rPr>
          <w:spacing w:val="-8"/>
        </w:rPr>
        <w:t> </w:t>
      </w:r>
      <w:r>
        <w:rPr/>
        <w:t>The</w:t>
      </w:r>
      <w:r>
        <w:rPr>
          <w:spacing w:val="-9"/>
        </w:rPr>
        <w:t> </w:t>
      </w:r>
      <w:r>
        <w:rPr/>
        <w:t>Commission</w:t>
      </w:r>
      <w:r>
        <w:rPr>
          <w:spacing w:val="-9"/>
        </w:rPr>
        <w:t> </w:t>
      </w:r>
      <w:r>
        <w:rPr/>
        <w:t>notes</w:t>
      </w:r>
      <w:r>
        <w:rPr>
          <w:spacing w:val="-7"/>
        </w:rPr>
        <w:t> </w:t>
      </w:r>
      <w:r>
        <w:rPr/>
        <w:t>that</w:t>
      </w:r>
      <w:r>
        <w:rPr>
          <w:spacing w:val="-9"/>
        </w:rPr>
        <w:t> </w:t>
      </w:r>
      <w:r>
        <w:rPr/>
        <w:t>one</w:t>
      </w:r>
      <w:r>
        <w:rPr>
          <w:spacing w:val="-9"/>
        </w:rPr>
        <w:t> </w:t>
      </w:r>
      <w:r>
        <w:rPr/>
        <w:t>avenue</w:t>
      </w:r>
      <w:r>
        <w:rPr>
          <w:spacing w:val="-8"/>
        </w:rPr>
        <w:t> </w:t>
      </w:r>
      <w:r>
        <w:rPr/>
        <w:t>to</w:t>
      </w:r>
      <w:r>
        <w:rPr>
          <w:spacing w:val="-8"/>
        </w:rPr>
        <w:t> </w:t>
      </w:r>
      <w:r>
        <w:rPr/>
        <w:t>pursue</w:t>
      </w:r>
      <w:r>
        <w:rPr>
          <w:spacing w:val="-8"/>
        </w:rPr>
        <w:t> </w:t>
      </w:r>
      <w:r>
        <w:rPr/>
        <w:t>more</w:t>
      </w:r>
      <w:r>
        <w:rPr>
          <w:spacing w:val="-9"/>
        </w:rPr>
        <w:t> </w:t>
      </w:r>
      <w:r>
        <w:rPr/>
        <w:t>concrete</w:t>
      </w:r>
      <w:r>
        <w:rPr>
          <w:spacing w:val="-8"/>
        </w:rPr>
        <w:t> </w:t>
      </w:r>
      <w:r>
        <w:rPr/>
        <w:t>relationships with LGBTQ organizations would be to do explicit outreach across the state to invite leaders to the recurring community conversation meetings it has been virtually hosting.</w:t>
      </w:r>
    </w:p>
    <w:p>
      <w:pPr>
        <w:numPr>
          <w:ilvl w:val="0"/>
          <w:numId w:val="43"/>
        </w:numPr>
        <w:tabs>
          <w:tab w:pos="481" w:val="left" w:leader="none"/>
          <w:tab w:pos="483" w:val="left" w:leader="none"/>
        </w:tabs>
        <w:spacing w:line="276" w:lineRule="auto" w:before="240"/>
        <w:ind w:left="483" w:right="343" w:hanging="360"/>
        <w:jc w:val="both"/>
        <w:rPr>
          <w:b/>
          <w:sz w:val="22"/>
        </w:rPr>
      </w:pPr>
      <w:r>
        <w:rPr>
          <w:b/>
          <w:sz w:val="22"/>
        </w:rPr>
        <w:t>Provide consistent professional development opportunities that prioritize intersectionality and center LGBTQ cultural engagement, racial equity, and adultism for staff and contracted providers.</w:t>
      </w:r>
    </w:p>
    <w:p>
      <w:pPr>
        <w:pStyle w:val="BodyText"/>
        <w:spacing w:line="276" w:lineRule="auto" w:before="239"/>
        <w:ind w:left="483" w:right="344"/>
        <w:jc w:val="both"/>
      </w:pPr>
      <w:r>
        <w:rPr/>
        <w:t>Given</w:t>
      </w:r>
      <w:r>
        <w:rPr>
          <w:spacing w:val="-1"/>
        </w:rPr>
        <w:t> </w:t>
      </w:r>
      <w:r>
        <w:rPr/>
        <w:t>the</w:t>
      </w:r>
      <w:r>
        <w:rPr>
          <w:spacing w:val="-1"/>
        </w:rPr>
        <w:t> </w:t>
      </w:r>
      <w:r>
        <w:rPr/>
        <w:t>ongoing</w:t>
      </w:r>
      <w:r>
        <w:rPr>
          <w:spacing w:val="-1"/>
        </w:rPr>
        <w:t> </w:t>
      </w:r>
      <w:r>
        <w:rPr/>
        <w:t>and</w:t>
      </w:r>
      <w:r>
        <w:rPr>
          <w:spacing w:val="-1"/>
        </w:rPr>
        <w:t> </w:t>
      </w:r>
      <w:r>
        <w:rPr/>
        <w:t>increased</w:t>
      </w:r>
      <w:r>
        <w:rPr>
          <w:spacing w:val="-2"/>
        </w:rPr>
        <w:t> </w:t>
      </w:r>
      <w:r>
        <w:rPr/>
        <w:t>arrival</w:t>
      </w:r>
      <w:r>
        <w:rPr>
          <w:spacing w:val="-2"/>
        </w:rPr>
        <w:t> </w:t>
      </w:r>
      <w:r>
        <w:rPr/>
        <w:t>of new</w:t>
      </w:r>
      <w:r>
        <w:rPr>
          <w:spacing w:val="-1"/>
        </w:rPr>
        <w:t> </w:t>
      </w:r>
      <w:r>
        <w:rPr/>
        <w:t>persons</w:t>
      </w:r>
      <w:r>
        <w:rPr>
          <w:spacing w:val="-2"/>
        </w:rPr>
        <w:t> </w:t>
      </w:r>
      <w:r>
        <w:rPr/>
        <w:t>into</w:t>
      </w:r>
      <w:r>
        <w:rPr>
          <w:spacing w:val="-1"/>
        </w:rPr>
        <w:t> </w:t>
      </w:r>
      <w:r>
        <w:rPr/>
        <w:t>Massachusetts</w:t>
      </w:r>
      <w:r>
        <w:rPr>
          <w:spacing w:val="-2"/>
        </w:rPr>
        <w:t> </w:t>
      </w:r>
      <w:r>
        <w:rPr/>
        <w:t>- many</w:t>
      </w:r>
      <w:r>
        <w:rPr>
          <w:spacing w:val="-2"/>
        </w:rPr>
        <w:t> </w:t>
      </w:r>
      <w:r>
        <w:rPr/>
        <w:t>of</w:t>
      </w:r>
      <w:r>
        <w:rPr>
          <w:spacing w:val="-1"/>
        </w:rPr>
        <w:t> </w:t>
      </w:r>
      <w:r>
        <w:rPr/>
        <w:t>whom are</w:t>
      </w:r>
      <w:r>
        <w:rPr>
          <w:spacing w:val="-2"/>
        </w:rPr>
        <w:t> </w:t>
      </w:r>
      <w:r>
        <w:rPr/>
        <w:t>arriving from countries with extreme anti-LGBTQ cultures and laws - the Commission strongly recommends that ORI</w:t>
      </w:r>
      <w:r>
        <w:rPr>
          <w:spacing w:val="-5"/>
        </w:rPr>
        <w:t> </w:t>
      </w:r>
      <w:r>
        <w:rPr/>
        <w:t>staff</w:t>
      </w:r>
      <w:r>
        <w:rPr>
          <w:spacing w:val="-6"/>
        </w:rPr>
        <w:t> </w:t>
      </w:r>
      <w:r>
        <w:rPr/>
        <w:t>and</w:t>
      </w:r>
      <w:r>
        <w:rPr>
          <w:spacing w:val="-5"/>
        </w:rPr>
        <w:t> </w:t>
      </w:r>
      <w:r>
        <w:rPr/>
        <w:t>providers</w:t>
      </w:r>
      <w:r>
        <w:rPr>
          <w:spacing w:val="-6"/>
        </w:rPr>
        <w:t> </w:t>
      </w:r>
      <w:r>
        <w:rPr/>
        <w:t>engage</w:t>
      </w:r>
      <w:r>
        <w:rPr>
          <w:spacing w:val="-7"/>
        </w:rPr>
        <w:t> </w:t>
      </w:r>
      <w:r>
        <w:rPr/>
        <w:t>in</w:t>
      </w:r>
      <w:r>
        <w:rPr>
          <w:spacing w:val="-5"/>
        </w:rPr>
        <w:t> </w:t>
      </w:r>
      <w:r>
        <w:rPr/>
        <w:t>mandatory</w:t>
      </w:r>
      <w:r>
        <w:rPr>
          <w:spacing w:val="-6"/>
        </w:rPr>
        <w:t> </w:t>
      </w:r>
      <w:r>
        <w:rPr/>
        <w:t>training</w:t>
      </w:r>
      <w:r>
        <w:rPr>
          <w:spacing w:val="-5"/>
        </w:rPr>
        <w:t> </w:t>
      </w:r>
      <w:r>
        <w:rPr/>
        <w:t>opportunities</w:t>
      </w:r>
      <w:r>
        <w:rPr>
          <w:spacing w:val="-6"/>
        </w:rPr>
        <w:t> </w:t>
      </w:r>
      <w:r>
        <w:rPr/>
        <w:t>that</w:t>
      </w:r>
      <w:r>
        <w:rPr>
          <w:spacing w:val="-7"/>
        </w:rPr>
        <w:t> </w:t>
      </w:r>
      <w:r>
        <w:rPr/>
        <w:t>highlight</w:t>
      </w:r>
      <w:r>
        <w:rPr>
          <w:spacing w:val="-7"/>
        </w:rPr>
        <w:t> </w:t>
      </w:r>
      <w:r>
        <w:rPr/>
        <w:t>the</w:t>
      </w:r>
      <w:r>
        <w:rPr>
          <w:spacing w:val="-5"/>
        </w:rPr>
        <w:t> </w:t>
      </w:r>
      <w:r>
        <w:rPr/>
        <w:t>multicultural</w:t>
      </w:r>
      <w:r>
        <w:rPr>
          <w:spacing w:val="-6"/>
        </w:rPr>
        <w:t> </w:t>
      </w:r>
      <w:r>
        <w:rPr/>
        <w:t>needs and experience of LGBTQ immigrant community members. In the winter of 2024, the Commission met with</w:t>
      </w:r>
      <w:r>
        <w:rPr>
          <w:spacing w:val="-10"/>
        </w:rPr>
        <w:t> </w:t>
      </w:r>
      <w:r>
        <w:rPr/>
        <w:t>ORI</w:t>
      </w:r>
      <w:r>
        <w:rPr>
          <w:spacing w:val="-10"/>
        </w:rPr>
        <w:t> </w:t>
      </w:r>
      <w:r>
        <w:rPr/>
        <w:t>liaisons</w:t>
      </w:r>
      <w:r>
        <w:rPr>
          <w:spacing w:val="-11"/>
        </w:rPr>
        <w:t> </w:t>
      </w:r>
      <w:r>
        <w:rPr/>
        <w:t>to</w:t>
      </w:r>
      <w:r>
        <w:rPr>
          <w:spacing w:val="-9"/>
        </w:rPr>
        <w:t> </w:t>
      </w:r>
      <w:r>
        <w:rPr/>
        <w:t>discuss</w:t>
      </w:r>
      <w:r>
        <w:rPr>
          <w:spacing w:val="-10"/>
        </w:rPr>
        <w:t> </w:t>
      </w:r>
      <w:r>
        <w:rPr/>
        <w:t>potential</w:t>
      </w:r>
      <w:r>
        <w:rPr>
          <w:spacing w:val="-10"/>
        </w:rPr>
        <w:t> </w:t>
      </w:r>
      <w:r>
        <w:rPr/>
        <w:t>training</w:t>
      </w:r>
      <w:r>
        <w:rPr>
          <w:spacing w:val="-10"/>
        </w:rPr>
        <w:t> </w:t>
      </w:r>
      <w:r>
        <w:rPr/>
        <w:t>opportunities,</w:t>
      </w:r>
      <w:r>
        <w:rPr>
          <w:spacing w:val="-11"/>
        </w:rPr>
        <w:t> </w:t>
      </w:r>
      <w:r>
        <w:rPr/>
        <w:t>where</w:t>
      </w:r>
      <w:r>
        <w:rPr>
          <w:spacing w:val="-9"/>
        </w:rPr>
        <w:t> </w:t>
      </w:r>
      <w:r>
        <w:rPr/>
        <w:t>the</w:t>
      </w:r>
      <w:r>
        <w:rPr>
          <w:spacing w:val="-10"/>
        </w:rPr>
        <w:t> </w:t>
      </w:r>
      <w:r>
        <w:rPr/>
        <w:t>Commission</w:t>
      </w:r>
      <w:r>
        <w:rPr>
          <w:spacing w:val="-11"/>
        </w:rPr>
        <w:t> </w:t>
      </w:r>
      <w:r>
        <w:rPr/>
        <w:t>offered</w:t>
      </w:r>
      <w:r>
        <w:rPr>
          <w:spacing w:val="-10"/>
        </w:rPr>
        <w:t> </w:t>
      </w:r>
      <w:r>
        <w:rPr/>
        <w:t>to</w:t>
      </w:r>
      <w:r>
        <w:rPr>
          <w:spacing w:val="-8"/>
        </w:rPr>
        <w:t> </w:t>
      </w:r>
      <w:r>
        <w:rPr/>
        <w:t>collaborate with</w:t>
      </w:r>
      <w:r>
        <w:rPr>
          <w:spacing w:val="-12"/>
        </w:rPr>
        <w:t> </w:t>
      </w:r>
      <w:r>
        <w:rPr/>
        <w:t>ORI</w:t>
      </w:r>
      <w:r>
        <w:rPr>
          <w:spacing w:val="-12"/>
        </w:rPr>
        <w:t> </w:t>
      </w:r>
      <w:r>
        <w:rPr/>
        <w:t>on</w:t>
      </w:r>
      <w:r>
        <w:rPr>
          <w:spacing w:val="-12"/>
        </w:rPr>
        <w:t> </w:t>
      </w:r>
      <w:r>
        <w:rPr/>
        <w:t>developing</w:t>
      </w:r>
      <w:r>
        <w:rPr>
          <w:spacing w:val="-12"/>
        </w:rPr>
        <w:t> </w:t>
      </w:r>
      <w:r>
        <w:rPr/>
        <w:t>a</w:t>
      </w:r>
      <w:r>
        <w:rPr>
          <w:spacing w:val="-12"/>
        </w:rPr>
        <w:t> </w:t>
      </w:r>
      <w:r>
        <w:rPr/>
        <w:t>free</w:t>
      </w:r>
      <w:r>
        <w:rPr>
          <w:spacing w:val="-12"/>
        </w:rPr>
        <w:t> </w:t>
      </w:r>
      <w:r>
        <w:rPr/>
        <w:t>training</w:t>
      </w:r>
      <w:r>
        <w:rPr>
          <w:spacing w:val="-12"/>
        </w:rPr>
        <w:t> </w:t>
      </w:r>
      <w:r>
        <w:rPr/>
        <w:t>series</w:t>
      </w:r>
      <w:r>
        <w:rPr>
          <w:spacing w:val="-12"/>
        </w:rPr>
        <w:t> </w:t>
      </w:r>
      <w:r>
        <w:rPr/>
        <w:t>in</w:t>
      </w:r>
      <w:r>
        <w:rPr>
          <w:spacing w:val="-12"/>
        </w:rPr>
        <w:t> </w:t>
      </w:r>
      <w:r>
        <w:rPr/>
        <w:t>FY</w:t>
      </w:r>
      <w:r>
        <w:rPr>
          <w:spacing w:val="-13"/>
        </w:rPr>
        <w:t> </w:t>
      </w:r>
      <w:r>
        <w:rPr/>
        <w:t>2025.</w:t>
      </w:r>
      <w:r>
        <w:rPr>
          <w:spacing w:val="-12"/>
        </w:rPr>
        <w:t> </w:t>
      </w:r>
      <w:r>
        <w:rPr/>
        <w:t>The</w:t>
      </w:r>
      <w:r>
        <w:rPr>
          <w:spacing w:val="-12"/>
        </w:rPr>
        <w:t> </w:t>
      </w:r>
      <w:r>
        <w:rPr/>
        <w:t>Commission</w:t>
      </w:r>
      <w:r>
        <w:rPr>
          <w:spacing w:val="-13"/>
        </w:rPr>
        <w:t> </w:t>
      </w:r>
      <w:r>
        <w:rPr/>
        <w:t>understands</w:t>
      </w:r>
      <w:r>
        <w:rPr>
          <w:spacing w:val="-11"/>
        </w:rPr>
        <w:t> </w:t>
      </w:r>
      <w:r>
        <w:rPr/>
        <w:t>that</w:t>
      </w:r>
      <w:r>
        <w:rPr>
          <w:spacing w:val="-12"/>
        </w:rPr>
        <w:t> </w:t>
      </w:r>
      <w:r>
        <w:rPr/>
        <w:t>ORI</w:t>
      </w:r>
      <w:r>
        <w:rPr>
          <w:spacing w:val="-12"/>
        </w:rPr>
        <w:t> </w:t>
      </w:r>
      <w:r>
        <w:rPr/>
        <w:t>is</w:t>
      </w:r>
      <w:r>
        <w:rPr>
          <w:spacing w:val="-11"/>
        </w:rPr>
        <w:t> </w:t>
      </w:r>
      <w:r>
        <w:rPr/>
        <w:t>currently in</w:t>
      </w:r>
      <w:r>
        <w:rPr>
          <w:spacing w:val="-1"/>
        </w:rPr>
        <w:t> </w:t>
      </w:r>
      <w:r>
        <w:rPr/>
        <w:t>the process of searching</w:t>
      </w:r>
      <w:r>
        <w:rPr>
          <w:spacing w:val="-1"/>
        </w:rPr>
        <w:t> </w:t>
      </w:r>
      <w:r>
        <w:rPr/>
        <w:t>for facilitators for such</w:t>
      </w:r>
      <w:r>
        <w:rPr>
          <w:spacing w:val="-1"/>
        </w:rPr>
        <w:t> </w:t>
      </w:r>
      <w:r>
        <w:rPr/>
        <w:t>a training experience</w:t>
      </w:r>
      <w:r>
        <w:rPr>
          <w:spacing w:val="-1"/>
        </w:rPr>
        <w:t> </w:t>
      </w:r>
      <w:r>
        <w:rPr/>
        <w:t>and</w:t>
      </w:r>
      <w:r>
        <w:rPr>
          <w:spacing w:val="-1"/>
        </w:rPr>
        <w:t> </w:t>
      </w:r>
      <w:r>
        <w:rPr/>
        <w:t>looks forward</w:t>
      </w:r>
      <w:r>
        <w:rPr>
          <w:spacing w:val="-1"/>
        </w:rPr>
        <w:t> </w:t>
      </w:r>
      <w:r>
        <w:rPr/>
        <w:t>to continuing these conversations in the new fiscal year.</w:t>
      </w:r>
    </w:p>
    <w:p>
      <w:pPr>
        <w:numPr>
          <w:ilvl w:val="0"/>
          <w:numId w:val="43"/>
        </w:numPr>
        <w:tabs>
          <w:tab w:pos="481" w:val="left" w:leader="none"/>
          <w:tab w:pos="483" w:val="left" w:leader="none"/>
        </w:tabs>
        <w:spacing w:line="276" w:lineRule="auto" w:before="240"/>
        <w:ind w:left="483" w:right="344" w:hanging="360"/>
        <w:jc w:val="both"/>
        <w:rPr>
          <w:b/>
          <w:sz w:val="22"/>
        </w:rPr>
      </w:pPr>
      <w:r>
        <w:rPr>
          <w:b/>
          <w:sz w:val="22"/>
        </w:rPr>
        <w:t>Establish an interagency collaboration to investigate and improve the availability of resources for LGBTQ refugee and immigrant youth.</w:t>
      </w:r>
    </w:p>
    <w:p>
      <w:pPr>
        <w:pStyle w:val="BodyText"/>
        <w:spacing w:line="276" w:lineRule="auto" w:before="240"/>
        <w:ind w:left="483" w:right="340"/>
        <w:jc w:val="both"/>
      </w:pPr>
      <w:r>
        <w:rPr/>
        <w:t>To better understand the specific needs of LGBTQ refugees and immigrants in Massachusetts, the Commission recommends that ORI establish an interagency collaboration with youth-serving organizations and agencies. In a memo distributed to the Commission, ORI notes that it does engage in several interagency collaborations with DCF, DESE, and DPH that LGBTQ youth receive the services of through the Unaccompanied Refugee Minors Program (URMP); the Afghan Refugee School Impact: Support</w:t>
      </w:r>
      <w:r>
        <w:rPr>
          <w:spacing w:val="-5"/>
        </w:rPr>
        <w:t> </w:t>
      </w:r>
      <w:r>
        <w:rPr/>
        <w:t>to</w:t>
      </w:r>
      <w:r>
        <w:rPr>
          <w:spacing w:val="-6"/>
        </w:rPr>
        <w:t> </w:t>
      </w:r>
      <w:r>
        <w:rPr/>
        <w:t>Schools</w:t>
      </w:r>
      <w:r>
        <w:rPr>
          <w:spacing w:val="-6"/>
        </w:rPr>
        <w:t> </w:t>
      </w:r>
      <w:r>
        <w:rPr/>
        <w:t>Initiative;</w:t>
      </w:r>
      <w:r>
        <w:rPr>
          <w:spacing w:val="-6"/>
        </w:rPr>
        <w:t> </w:t>
      </w:r>
      <w:r>
        <w:rPr/>
        <w:t>the</w:t>
      </w:r>
      <w:r>
        <w:rPr>
          <w:spacing w:val="-5"/>
        </w:rPr>
        <w:t> </w:t>
      </w:r>
      <w:r>
        <w:rPr/>
        <w:t>Refugee</w:t>
      </w:r>
      <w:r>
        <w:rPr>
          <w:spacing w:val="-6"/>
        </w:rPr>
        <w:t> </w:t>
      </w:r>
      <w:r>
        <w:rPr/>
        <w:t>Medical</w:t>
      </w:r>
      <w:r>
        <w:rPr>
          <w:spacing w:val="-5"/>
        </w:rPr>
        <w:t> </w:t>
      </w:r>
      <w:r>
        <w:rPr/>
        <w:t>Screening</w:t>
      </w:r>
      <w:r>
        <w:rPr>
          <w:spacing w:val="-5"/>
        </w:rPr>
        <w:t> </w:t>
      </w:r>
      <w:r>
        <w:rPr/>
        <w:t>(RMS)/Refugee</w:t>
      </w:r>
      <w:r>
        <w:rPr>
          <w:spacing w:val="-6"/>
        </w:rPr>
        <w:t> </w:t>
      </w:r>
      <w:r>
        <w:rPr/>
        <w:t>Health</w:t>
      </w:r>
      <w:r>
        <w:rPr>
          <w:spacing w:val="-6"/>
        </w:rPr>
        <w:t> </w:t>
      </w:r>
      <w:r>
        <w:rPr/>
        <w:t>Assessment</w:t>
      </w:r>
      <w:r>
        <w:rPr>
          <w:spacing w:val="-6"/>
        </w:rPr>
        <w:t> </w:t>
      </w:r>
      <w:r>
        <w:rPr/>
        <w:t>Program (RHAP); the MA Refugee Health Promotion Program (MRHPP); and the Refugee Mental Health Initiative </w:t>
      </w:r>
      <w:r>
        <w:rPr>
          <w:spacing w:val="-2"/>
        </w:rPr>
        <w:t>(ReMHI).</w:t>
      </w:r>
    </w:p>
    <w:p>
      <w:pPr>
        <w:pStyle w:val="BodyText"/>
        <w:spacing w:line="276" w:lineRule="auto" w:before="240"/>
        <w:ind w:left="483" w:right="341"/>
        <w:jc w:val="both"/>
      </w:pPr>
      <w:r>
        <w:rPr/>
        <w:t>However, while the Commission appreciates the breadth of services offered by ORI for refugee populations, the Commission further notes that none of these programs appear to directly or explicitly address or incorporate the unique needs faced by LGBTQ youth. Additionally, as previously noted, ORI does</w:t>
      </w:r>
      <w:r>
        <w:rPr>
          <w:spacing w:val="27"/>
        </w:rPr>
        <w:t> </w:t>
      </w:r>
      <w:r>
        <w:rPr/>
        <w:t>not</w:t>
      </w:r>
      <w:r>
        <w:rPr>
          <w:spacing w:val="27"/>
        </w:rPr>
        <w:t> </w:t>
      </w:r>
      <w:r>
        <w:rPr/>
        <w:t>collect</w:t>
      </w:r>
      <w:r>
        <w:rPr>
          <w:spacing w:val="27"/>
        </w:rPr>
        <w:t> </w:t>
      </w:r>
      <w:r>
        <w:rPr/>
        <w:t>SOGIE</w:t>
      </w:r>
      <w:r>
        <w:rPr>
          <w:spacing w:val="27"/>
        </w:rPr>
        <w:t> </w:t>
      </w:r>
      <w:r>
        <w:rPr/>
        <w:t>data</w:t>
      </w:r>
      <w:r>
        <w:rPr>
          <w:spacing w:val="27"/>
        </w:rPr>
        <w:t> </w:t>
      </w:r>
      <w:r>
        <w:rPr/>
        <w:t>on</w:t>
      </w:r>
      <w:r>
        <w:rPr>
          <w:spacing w:val="26"/>
        </w:rPr>
        <w:t> </w:t>
      </w:r>
      <w:r>
        <w:rPr/>
        <w:t>its</w:t>
      </w:r>
      <w:r>
        <w:rPr>
          <w:spacing w:val="28"/>
        </w:rPr>
        <w:t> </w:t>
      </w:r>
      <w:r>
        <w:rPr/>
        <w:t>clients</w:t>
      </w:r>
      <w:r>
        <w:rPr>
          <w:spacing w:val="27"/>
        </w:rPr>
        <w:t> </w:t>
      </w:r>
      <w:r>
        <w:rPr/>
        <w:t>nor</w:t>
      </w:r>
      <w:r>
        <w:rPr>
          <w:spacing w:val="27"/>
        </w:rPr>
        <w:t> </w:t>
      </w:r>
      <w:r>
        <w:rPr/>
        <w:t>does</w:t>
      </w:r>
      <w:r>
        <w:rPr>
          <w:spacing w:val="28"/>
        </w:rPr>
        <w:t> </w:t>
      </w:r>
      <w:r>
        <w:rPr/>
        <w:t>it</w:t>
      </w:r>
      <w:r>
        <w:rPr>
          <w:spacing w:val="26"/>
        </w:rPr>
        <w:t> </w:t>
      </w:r>
      <w:r>
        <w:rPr/>
        <w:t>solicit</w:t>
      </w:r>
      <w:r>
        <w:rPr>
          <w:spacing w:val="26"/>
        </w:rPr>
        <w:t> </w:t>
      </w:r>
      <w:r>
        <w:rPr/>
        <w:t>feedback</w:t>
      </w:r>
      <w:r>
        <w:rPr>
          <w:spacing w:val="27"/>
        </w:rPr>
        <w:t> </w:t>
      </w:r>
      <w:r>
        <w:rPr/>
        <w:t>from</w:t>
      </w:r>
      <w:r>
        <w:rPr>
          <w:spacing w:val="26"/>
        </w:rPr>
        <w:t> </w:t>
      </w:r>
      <w:r>
        <w:rPr/>
        <w:t>LGBTQ</w:t>
      </w:r>
      <w:r>
        <w:rPr>
          <w:spacing w:val="27"/>
        </w:rPr>
        <w:t> </w:t>
      </w:r>
      <w:r>
        <w:rPr/>
        <w:t>communities,</w:t>
      </w:r>
      <w:r>
        <w:rPr>
          <w:spacing w:val="27"/>
        </w:rPr>
        <w:t> </w:t>
      </w:r>
      <w:r>
        <w:rPr/>
        <w:t>and</w:t>
      </w:r>
    </w:p>
    <w:p>
      <w:pPr>
        <w:spacing w:after="0" w:line="276" w:lineRule="auto"/>
        <w:jc w:val="both"/>
        <w:sectPr>
          <w:pgSz w:w="12240" w:h="15840"/>
          <w:pgMar w:header="804" w:footer="1256" w:top="1000" w:bottom="1460" w:left="960" w:right="1100"/>
        </w:sectPr>
      </w:pPr>
    </w:p>
    <w:p>
      <w:pPr>
        <w:pStyle w:val="BodyText"/>
        <w:spacing w:line="276" w:lineRule="auto" w:before="139"/>
        <w:ind w:left="483" w:right="340"/>
        <w:jc w:val="both"/>
      </w:pPr>
      <w:r>
        <w:rPr/>
        <w:t>therefore cannot definitively state that LGBTQ youth are appropriately receiving affirming services in ORI’s</w:t>
      </w:r>
      <w:r>
        <w:rPr>
          <w:spacing w:val="-13"/>
        </w:rPr>
        <w:t> </w:t>
      </w:r>
      <w:r>
        <w:rPr/>
        <w:t>current</w:t>
      </w:r>
      <w:r>
        <w:rPr>
          <w:spacing w:val="-12"/>
        </w:rPr>
        <w:t> </w:t>
      </w:r>
      <w:r>
        <w:rPr/>
        <w:t>programs.</w:t>
      </w:r>
      <w:r>
        <w:rPr>
          <w:spacing w:val="-12"/>
        </w:rPr>
        <w:t> </w:t>
      </w:r>
      <w:r>
        <w:rPr/>
        <w:t>Furthermore,</w:t>
      </w:r>
      <w:r>
        <w:rPr>
          <w:spacing w:val="-12"/>
        </w:rPr>
        <w:t> </w:t>
      </w:r>
      <w:r>
        <w:rPr/>
        <w:t>the</w:t>
      </w:r>
      <w:r>
        <w:rPr>
          <w:spacing w:val="-12"/>
        </w:rPr>
        <w:t> </w:t>
      </w:r>
      <w:r>
        <w:rPr/>
        <w:t>Commission</w:t>
      </w:r>
      <w:r>
        <w:rPr>
          <w:spacing w:val="-13"/>
        </w:rPr>
        <w:t> </w:t>
      </w:r>
      <w:r>
        <w:rPr/>
        <w:t>strongly</w:t>
      </w:r>
      <w:r>
        <w:rPr>
          <w:spacing w:val="-11"/>
        </w:rPr>
        <w:t> </w:t>
      </w:r>
      <w:r>
        <w:rPr/>
        <w:t>recommends</w:t>
      </w:r>
      <w:r>
        <w:rPr>
          <w:spacing w:val="-12"/>
        </w:rPr>
        <w:t> </w:t>
      </w:r>
      <w:r>
        <w:rPr/>
        <w:t>that</w:t>
      </w:r>
      <w:r>
        <w:rPr>
          <w:spacing w:val="-13"/>
        </w:rPr>
        <w:t> </w:t>
      </w:r>
      <w:r>
        <w:rPr/>
        <w:t>ORI</w:t>
      </w:r>
      <w:r>
        <w:rPr>
          <w:spacing w:val="-12"/>
        </w:rPr>
        <w:t> </w:t>
      </w:r>
      <w:r>
        <w:rPr/>
        <w:t>examine</w:t>
      </w:r>
      <w:r>
        <w:rPr>
          <w:spacing w:val="-12"/>
        </w:rPr>
        <w:t> </w:t>
      </w:r>
      <w:r>
        <w:rPr/>
        <w:t>its</w:t>
      </w:r>
      <w:r>
        <w:rPr>
          <w:spacing w:val="-12"/>
        </w:rPr>
        <w:t> </w:t>
      </w:r>
      <w:r>
        <w:rPr/>
        <w:t>existing contracts and partnerships to ensure that there is an existing system of accountability to ensure that contracted providers are providing LGBTQ-affirming services.</w:t>
      </w:r>
    </w:p>
    <w:p>
      <w:pPr>
        <w:numPr>
          <w:ilvl w:val="0"/>
          <w:numId w:val="43"/>
        </w:numPr>
        <w:tabs>
          <w:tab w:pos="481" w:val="left" w:leader="none"/>
          <w:tab w:pos="483" w:val="left" w:leader="none"/>
        </w:tabs>
        <w:spacing w:line="276" w:lineRule="auto" w:before="239"/>
        <w:ind w:left="483" w:right="342" w:hanging="360"/>
        <w:jc w:val="left"/>
        <w:rPr>
          <w:b/>
          <w:sz w:val="22"/>
        </w:rPr>
      </w:pPr>
      <w:r>
        <w:rPr>
          <w:b/>
          <w:sz w:val="22"/>
        </w:rPr>
        <w:t>Review</w:t>
      </w:r>
      <w:r>
        <w:rPr>
          <w:b/>
          <w:spacing w:val="69"/>
          <w:sz w:val="22"/>
        </w:rPr>
        <w:t> </w:t>
      </w:r>
      <w:r>
        <w:rPr>
          <w:b/>
          <w:sz w:val="22"/>
        </w:rPr>
        <w:t>and</w:t>
      </w:r>
      <w:r>
        <w:rPr>
          <w:b/>
          <w:spacing w:val="69"/>
          <w:sz w:val="22"/>
        </w:rPr>
        <w:t> </w:t>
      </w:r>
      <w:r>
        <w:rPr>
          <w:b/>
          <w:sz w:val="22"/>
        </w:rPr>
        <w:t>improve</w:t>
      </w:r>
      <w:r>
        <w:rPr>
          <w:b/>
          <w:spacing w:val="69"/>
          <w:sz w:val="22"/>
        </w:rPr>
        <w:t> </w:t>
      </w:r>
      <w:r>
        <w:rPr>
          <w:b/>
          <w:sz w:val="22"/>
        </w:rPr>
        <w:t>data</w:t>
      </w:r>
      <w:r>
        <w:rPr>
          <w:b/>
          <w:spacing w:val="68"/>
          <w:sz w:val="22"/>
        </w:rPr>
        <w:t> </w:t>
      </w:r>
      <w:r>
        <w:rPr>
          <w:b/>
          <w:sz w:val="22"/>
        </w:rPr>
        <w:t>collection</w:t>
      </w:r>
      <w:r>
        <w:rPr>
          <w:b/>
          <w:spacing w:val="68"/>
          <w:sz w:val="22"/>
        </w:rPr>
        <w:t> </w:t>
      </w:r>
      <w:r>
        <w:rPr>
          <w:b/>
          <w:sz w:val="22"/>
        </w:rPr>
        <w:t>efforts</w:t>
      </w:r>
      <w:r>
        <w:rPr>
          <w:b/>
          <w:spacing w:val="69"/>
          <w:sz w:val="22"/>
        </w:rPr>
        <w:t> </w:t>
      </w:r>
      <w:r>
        <w:rPr>
          <w:b/>
          <w:sz w:val="22"/>
        </w:rPr>
        <w:t>to</w:t>
      </w:r>
      <w:r>
        <w:rPr>
          <w:b/>
          <w:spacing w:val="69"/>
          <w:sz w:val="22"/>
        </w:rPr>
        <w:t> </w:t>
      </w:r>
      <w:r>
        <w:rPr>
          <w:b/>
          <w:sz w:val="22"/>
        </w:rPr>
        <w:t>capture</w:t>
      </w:r>
      <w:r>
        <w:rPr>
          <w:b/>
          <w:spacing w:val="68"/>
          <w:sz w:val="22"/>
        </w:rPr>
        <w:t> </w:t>
      </w:r>
      <w:r>
        <w:rPr>
          <w:b/>
          <w:sz w:val="22"/>
        </w:rPr>
        <w:t>sexual</w:t>
      </w:r>
      <w:r>
        <w:rPr>
          <w:b/>
          <w:spacing w:val="70"/>
          <w:sz w:val="22"/>
        </w:rPr>
        <w:t> </w:t>
      </w:r>
      <w:r>
        <w:rPr>
          <w:b/>
          <w:sz w:val="22"/>
        </w:rPr>
        <w:t>orientation</w:t>
      </w:r>
      <w:r>
        <w:rPr>
          <w:b/>
          <w:spacing w:val="69"/>
          <w:sz w:val="22"/>
        </w:rPr>
        <w:t> </w:t>
      </w:r>
      <w:r>
        <w:rPr>
          <w:b/>
          <w:sz w:val="22"/>
        </w:rPr>
        <w:t>and</w:t>
      </w:r>
      <w:r>
        <w:rPr>
          <w:b/>
          <w:spacing w:val="69"/>
          <w:sz w:val="22"/>
        </w:rPr>
        <w:t> </w:t>
      </w:r>
      <w:r>
        <w:rPr>
          <w:b/>
          <w:sz w:val="22"/>
        </w:rPr>
        <w:t>gender</w:t>
      </w:r>
      <w:r>
        <w:rPr>
          <w:b/>
          <w:spacing w:val="69"/>
          <w:sz w:val="22"/>
        </w:rPr>
        <w:t> </w:t>
      </w:r>
      <w:r>
        <w:rPr>
          <w:b/>
          <w:sz w:val="22"/>
        </w:rPr>
        <w:t>identity demographic information.</w:t>
      </w:r>
    </w:p>
    <w:p>
      <w:pPr>
        <w:pStyle w:val="BodyText"/>
        <w:spacing w:line="276" w:lineRule="auto" w:before="240"/>
        <w:ind w:left="483" w:right="343"/>
        <w:jc w:val="both"/>
      </w:pPr>
      <w:r>
        <w:rPr/>
        <w:t>The Commission has appreciated the couple of opportunities it has had in FY 2024 to engage with ORI around data collection and looks forward to continuing these conversations in FY 2025. While the Commission recognizes that language differences and federal mandates are existing barriers to standardized SOGI data collection practices for ORI, it continues to recommend that ORI collect and review what data it can. Such data should be made publicly available in its annual reports, as well as information on its current efforts around LGBTQ cultural engagement.</w:t>
      </w:r>
    </w:p>
    <w:p>
      <w:pPr>
        <w:numPr>
          <w:ilvl w:val="0"/>
          <w:numId w:val="43"/>
        </w:numPr>
        <w:tabs>
          <w:tab w:pos="481" w:val="left" w:leader="none"/>
        </w:tabs>
        <w:spacing w:before="240"/>
        <w:ind w:left="481" w:right="0" w:hanging="358"/>
        <w:jc w:val="left"/>
        <w:rPr>
          <w:b/>
          <w:sz w:val="22"/>
        </w:rPr>
      </w:pPr>
      <w:r>
        <w:rPr>
          <w:b/>
          <w:sz w:val="22"/>
        </w:rPr>
        <w:t>Implement</w:t>
      </w:r>
      <w:r>
        <w:rPr>
          <w:b/>
          <w:spacing w:val="-10"/>
          <w:sz w:val="22"/>
        </w:rPr>
        <w:t> </w:t>
      </w:r>
      <w:r>
        <w:rPr>
          <w:b/>
          <w:sz w:val="22"/>
        </w:rPr>
        <w:t>a</w:t>
      </w:r>
      <w:r>
        <w:rPr>
          <w:b/>
          <w:spacing w:val="-9"/>
          <w:sz w:val="22"/>
        </w:rPr>
        <w:t> </w:t>
      </w:r>
      <w:r>
        <w:rPr>
          <w:b/>
          <w:sz w:val="22"/>
        </w:rPr>
        <w:t>nondiscrimination</w:t>
      </w:r>
      <w:r>
        <w:rPr>
          <w:b/>
          <w:spacing w:val="-9"/>
          <w:sz w:val="22"/>
        </w:rPr>
        <w:t> </w:t>
      </w:r>
      <w:r>
        <w:rPr>
          <w:b/>
          <w:sz w:val="22"/>
        </w:rPr>
        <w:t>policy</w:t>
      </w:r>
      <w:r>
        <w:rPr>
          <w:b/>
          <w:spacing w:val="-10"/>
          <w:sz w:val="22"/>
        </w:rPr>
        <w:t> </w:t>
      </w:r>
      <w:r>
        <w:rPr>
          <w:b/>
          <w:sz w:val="22"/>
        </w:rPr>
        <w:t>and</w:t>
      </w:r>
      <w:r>
        <w:rPr>
          <w:b/>
          <w:spacing w:val="-9"/>
          <w:sz w:val="22"/>
        </w:rPr>
        <w:t> </w:t>
      </w:r>
      <w:r>
        <w:rPr>
          <w:b/>
          <w:sz w:val="22"/>
        </w:rPr>
        <w:t>disseminate</w:t>
      </w:r>
      <w:r>
        <w:rPr>
          <w:b/>
          <w:spacing w:val="-9"/>
          <w:sz w:val="22"/>
        </w:rPr>
        <w:t> </w:t>
      </w:r>
      <w:r>
        <w:rPr>
          <w:b/>
          <w:sz w:val="22"/>
        </w:rPr>
        <w:t>to</w:t>
      </w:r>
      <w:r>
        <w:rPr>
          <w:b/>
          <w:spacing w:val="-10"/>
          <w:sz w:val="22"/>
        </w:rPr>
        <w:t> </w:t>
      </w:r>
      <w:r>
        <w:rPr>
          <w:b/>
          <w:sz w:val="22"/>
        </w:rPr>
        <w:t>employees</w:t>
      </w:r>
      <w:r>
        <w:rPr>
          <w:b/>
          <w:spacing w:val="-9"/>
          <w:sz w:val="22"/>
        </w:rPr>
        <w:t> </w:t>
      </w:r>
      <w:r>
        <w:rPr>
          <w:b/>
          <w:sz w:val="22"/>
        </w:rPr>
        <w:t>and</w:t>
      </w:r>
      <w:r>
        <w:rPr>
          <w:b/>
          <w:spacing w:val="-10"/>
          <w:sz w:val="22"/>
        </w:rPr>
        <w:t> </w:t>
      </w:r>
      <w:r>
        <w:rPr>
          <w:b/>
          <w:spacing w:val="-2"/>
          <w:sz w:val="22"/>
        </w:rPr>
        <w:t>clients.</w:t>
      </w:r>
    </w:p>
    <w:p>
      <w:pPr>
        <w:pStyle w:val="BodyText"/>
        <w:spacing w:before="11"/>
        <w:rPr>
          <w:b/>
        </w:rPr>
      </w:pPr>
    </w:p>
    <w:p>
      <w:pPr>
        <w:pStyle w:val="BodyText"/>
        <w:spacing w:line="276" w:lineRule="auto"/>
        <w:ind w:left="483" w:right="342"/>
        <w:jc w:val="both"/>
      </w:pPr>
      <w:r>
        <w:rPr/>
        <w:t>As it has for several years, the Commission continues to recommend that ORI implement a nondiscrimination</w:t>
      </w:r>
      <w:r>
        <w:rPr>
          <w:spacing w:val="-8"/>
        </w:rPr>
        <w:t> </w:t>
      </w:r>
      <w:r>
        <w:rPr/>
        <w:t>policy.</w:t>
      </w:r>
      <w:r>
        <w:rPr>
          <w:spacing w:val="-8"/>
        </w:rPr>
        <w:t> </w:t>
      </w:r>
      <w:r>
        <w:rPr/>
        <w:t>In</w:t>
      </w:r>
      <w:r>
        <w:rPr>
          <w:spacing w:val="-8"/>
        </w:rPr>
        <w:t> </w:t>
      </w:r>
      <w:r>
        <w:rPr/>
        <w:t>FY</w:t>
      </w:r>
      <w:r>
        <w:rPr>
          <w:spacing w:val="-8"/>
        </w:rPr>
        <w:t> </w:t>
      </w:r>
      <w:r>
        <w:rPr/>
        <w:t>2022,</w:t>
      </w:r>
      <w:r>
        <w:rPr>
          <w:spacing w:val="-6"/>
        </w:rPr>
        <w:t> </w:t>
      </w:r>
      <w:r>
        <w:rPr/>
        <w:t>the</w:t>
      </w:r>
      <w:r>
        <w:rPr>
          <w:spacing w:val="-8"/>
        </w:rPr>
        <w:t> </w:t>
      </w:r>
      <w:r>
        <w:rPr/>
        <w:t>Commission</w:t>
      </w:r>
      <w:r>
        <w:rPr>
          <w:spacing w:val="-8"/>
        </w:rPr>
        <w:t> </w:t>
      </w:r>
      <w:r>
        <w:rPr/>
        <w:t>was</w:t>
      </w:r>
      <w:r>
        <w:rPr>
          <w:spacing w:val="-7"/>
        </w:rPr>
        <w:t> </w:t>
      </w:r>
      <w:r>
        <w:rPr/>
        <w:t>made</w:t>
      </w:r>
      <w:r>
        <w:rPr>
          <w:spacing w:val="-7"/>
        </w:rPr>
        <w:t> </w:t>
      </w:r>
      <w:r>
        <w:rPr/>
        <w:t>aware</w:t>
      </w:r>
      <w:r>
        <w:rPr>
          <w:spacing w:val="-8"/>
        </w:rPr>
        <w:t> </w:t>
      </w:r>
      <w:r>
        <w:rPr/>
        <w:t>of</w:t>
      </w:r>
      <w:r>
        <w:rPr>
          <w:spacing w:val="-8"/>
        </w:rPr>
        <w:t> </w:t>
      </w:r>
      <w:r>
        <w:rPr/>
        <w:t>a</w:t>
      </w:r>
      <w:r>
        <w:rPr>
          <w:spacing w:val="-7"/>
        </w:rPr>
        <w:t> </w:t>
      </w:r>
      <w:r>
        <w:rPr/>
        <w:t>delay</w:t>
      </w:r>
      <w:r>
        <w:rPr>
          <w:spacing w:val="-8"/>
        </w:rPr>
        <w:t> </w:t>
      </w:r>
      <w:r>
        <w:rPr/>
        <w:t>within</w:t>
      </w:r>
      <w:r>
        <w:rPr>
          <w:spacing w:val="-7"/>
        </w:rPr>
        <w:t> </w:t>
      </w:r>
      <w:r>
        <w:rPr/>
        <w:t>EOHHS’</w:t>
      </w:r>
      <w:r>
        <w:rPr>
          <w:spacing w:val="-7"/>
        </w:rPr>
        <w:t> </w:t>
      </w:r>
      <w:r>
        <w:rPr/>
        <w:t>approval system, and received notification from EOHHS that the already existing EOHHS nondiscrimination policy should suffice. The Commission disagrees with this opinion from EOHHS and continues to recommend that ORI pursue a publicly available nondiscrimination statement at minimum, particularly given that many LGBTQ immigrants and refugees come to the United States due to anti-LGBTQ violence from their home country. Such a policy or statement should incorporate an intersectional, multilingual approach that provides clients with clear avenues for accountability. Further, as noted above, the Commission recommends</w:t>
      </w:r>
      <w:r>
        <w:rPr>
          <w:spacing w:val="-8"/>
        </w:rPr>
        <w:t> </w:t>
      </w:r>
      <w:r>
        <w:rPr/>
        <w:t>that</w:t>
      </w:r>
      <w:r>
        <w:rPr>
          <w:spacing w:val="-10"/>
        </w:rPr>
        <w:t> </w:t>
      </w:r>
      <w:r>
        <w:rPr/>
        <w:t>ORI</w:t>
      </w:r>
      <w:r>
        <w:rPr>
          <w:spacing w:val="-10"/>
        </w:rPr>
        <w:t> </w:t>
      </w:r>
      <w:r>
        <w:rPr/>
        <w:t>and</w:t>
      </w:r>
      <w:r>
        <w:rPr>
          <w:spacing w:val="-9"/>
        </w:rPr>
        <w:t> </w:t>
      </w:r>
      <w:r>
        <w:rPr/>
        <w:t>EOHHS</w:t>
      </w:r>
      <w:r>
        <w:rPr>
          <w:spacing w:val="-10"/>
        </w:rPr>
        <w:t> </w:t>
      </w:r>
      <w:r>
        <w:rPr/>
        <w:t>review</w:t>
      </w:r>
      <w:r>
        <w:rPr>
          <w:spacing w:val="-10"/>
        </w:rPr>
        <w:t> </w:t>
      </w:r>
      <w:r>
        <w:rPr/>
        <w:t>the</w:t>
      </w:r>
      <w:r>
        <w:rPr>
          <w:spacing w:val="-10"/>
        </w:rPr>
        <w:t> </w:t>
      </w:r>
      <w:r>
        <w:rPr/>
        <w:t>already</w:t>
      </w:r>
      <w:r>
        <w:rPr>
          <w:spacing w:val="-9"/>
        </w:rPr>
        <w:t> </w:t>
      </w:r>
      <w:r>
        <w:rPr/>
        <w:t>drafted</w:t>
      </w:r>
      <w:r>
        <w:rPr>
          <w:spacing w:val="-10"/>
        </w:rPr>
        <w:t> </w:t>
      </w:r>
      <w:r>
        <w:rPr/>
        <w:t>policy</w:t>
      </w:r>
      <w:r>
        <w:rPr>
          <w:spacing w:val="-10"/>
        </w:rPr>
        <w:t> </w:t>
      </w:r>
      <w:r>
        <w:rPr/>
        <w:t>to</w:t>
      </w:r>
      <w:r>
        <w:rPr>
          <w:spacing w:val="-9"/>
        </w:rPr>
        <w:t> </w:t>
      </w:r>
      <w:r>
        <w:rPr/>
        <w:t>better</w:t>
      </w:r>
      <w:r>
        <w:rPr>
          <w:spacing w:val="-10"/>
        </w:rPr>
        <w:t> </w:t>
      </w:r>
      <w:r>
        <w:rPr/>
        <w:t>understand</w:t>
      </w:r>
      <w:r>
        <w:rPr>
          <w:spacing w:val="-10"/>
        </w:rPr>
        <w:t> </w:t>
      </w:r>
      <w:r>
        <w:rPr/>
        <w:t>why</w:t>
      </w:r>
      <w:r>
        <w:rPr>
          <w:spacing w:val="-9"/>
        </w:rPr>
        <w:t> </w:t>
      </w:r>
      <w:r>
        <w:rPr/>
        <w:t>ORI</w:t>
      </w:r>
      <w:r>
        <w:rPr>
          <w:spacing w:val="-10"/>
        </w:rPr>
        <w:t> </w:t>
      </w:r>
      <w:r>
        <w:rPr/>
        <w:t>-</w:t>
      </w:r>
      <w:r>
        <w:rPr>
          <w:spacing w:val="-9"/>
        </w:rPr>
        <w:t> </w:t>
      </w:r>
      <w:r>
        <w:rPr/>
        <w:t>unlike many</w:t>
      </w:r>
      <w:r>
        <w:rPr>
          <w:spacing w:val="-3"/>
        </w:rPr>
        <w:t> </w:t>
      </w:r>
      <w:r>
        <w:rPr/>
        <w:t>other</w:t>
      </w:r>
      <w:r>
        <w:rPr>
          <w:spacing w:val="-3"/>
        </w:rPr>
        <w:t> </w:t>
      </w:r>
      <w:r>
        <w:rPr/>
        <w:t>state</w:t>
      </w:r>
      <w:r>
        <w:rPr>
          <w:spacing w:val="-3"/>
        </w:rPr>
        <w:t> </w:t>
      </w:r>
      <w:r>
        <w:rPr/>
        <w:t>agencies</w:t>
      </w:r>
      <w:r>
        <w:rPr>
          <w:spacing w:val="-1"/>
        </w:rPr>
        <w:t> </w:t>
      </w:r>
      <w:r>
        <w:rPr/>
        <w:t>that</w:t>
      </w:r>
      <w:r>
        <w:rPr>
          <w:spacing w:val="-3"/>
        </w:rPr>
        <w:t> </w:t>
      </w:r>
      <w:r>
        <w:rPr/>
        <w:t>fall</w:t>
      </w:r>
      <w:r>
        <w:rPr>
          <w:spacing w:val="-3"/>
        </w:rPr>
        <w:t> </w:t>
      </w:r>
      <w:r>
        <w:rPr/>
        <w:t>under</w:t>
      </w:r>
      <w:r>
        <w:rPr>
          <w:spacing w:val="-3"/>
        </w:rPr>
        <w:t> </w:t>
      </w:r>
      <w:r>
        <w:rPr/>
        <w:t>EOHHS</w:t>
      </w:r>
      <w:r>
        <w:rPr>
          <w:spacing w:val="-3"/>
        </w:rPr>
        <w:t> </w:t>
      </w:r>
      <w:r>
        <w:rPr/>
        <w:t>-</w:t>
      </w:r>
      <w:r>
        <w:rPr>
          <w:spacing w:val="-3"/>
        </w:rPr>
        <w:t> </w:t>
      </w:r>
      <w:r>
        <w:rPr/>
        <w:t>cannot</w:t>
      </w:r>
      <w:r>
        <w:rPr>
          <w:spacing w:val="-3"/>
        </w:rPr>
        <w:t> </w:t>
      </w:r>
      <w:r>
        <w:rPr/>
        <w:t>have</w:t>
      </w:r>
      <w:r>
        <w:rPr>
          <w:spacing w:val="-3"/>
        </w:rPr>
        <w:t> </w:t>
      </w:r>
      <w:r>
        <w:rPr/>
        <w:t>its</w:t>
      </w:r>
      <w:r>
        <w:rPr>
          <w:spacing w:val="-2"/>
        </w:rPr>
        <w:t> </w:t>
      </w:r>
      <w:r>
        <w:rPr/>
        <w:t>own</w:t>
      </w:r>
      <w:r>
        <w:rPr>
          <w:spacing w:val="-3"/>
        </w:rPr>
        <w:t> </w:t>
      </w:r>
      <w:r>
        <w:rPr/>
        <w:t>specific</w:t>
      </w:r>
      <w:r>
        <w:rPr>
          <w:spacing w:val="-3"/>
        </w:rPr>
        <w:t> </w:t>
      </w:r>
      <w:r>
        <w:rPr/>
        <w:t>nondiscrimination</w:t>
      </w:r>
      <w:r>
        <w:rPr>
          <w:spacing w:val="-3"/>
        </w:rPr>
        <w:t> </w:t>
      </w:r>
      <w:r>
        <w:rPr/>
        <w:t>policy. Should</w:t>
      </w:r>
      <w:r>
        <w:rPr>
          <w:spacing w:val="-11"/>
        </w:rPr>
        <w:t> </w:t>
      </w:r>
      <w:r>
        <w:rPr/>
        <w:t>the</w:t>
      </w:r>
      <w:r>
        <w:rPr>
          <w:spacing w:val="-11"/>
        </w:rPr>
        <w:t> </w:t>
      </w:r>
      <w:r>
        <w:rPr/>
        <w:t>policy</w:t>
      </w:r>
      <w:r>
        <w:rPr>
          <w:spacing w:val="-11"/>
        </w:rPr>
        <w:t> </w:t>
      </w:r>
      <w:r>
        <w:rPr/>
        <w:t>need</w:t>
      </w:r>
      <w:r>
        <w:rPr>
          <w:spacing w:val="-11"/>
        </w:rPr>
        <w:t> </w:t>
      </w:r>
      <w:r>
        <w:rPr/>
        <w:t>to</w:t>
      </w:r>
      <w:r>
        <w:rPr>
          <w:spacing w:val="-10"/>
        </w:rPr>
        <w:t> </w:t>
      </w:r>
      <w:r>
        <w:rPr/>
        <w:t>be</w:t>
      </w:r>
      <w:r>
        <w:rPr>
          <w:spacing w:val="-13"/>
        </w:rPr>
        <w:t> </w:t>
      </w:r>
      <w:r>
        <w:rPr/>
        <w:t>updated</w:t>
      </w:r>
      <w:r>
        <w:rPr>
          <w:spacing w:val="-10"/>
        </w:rPr>
        <w:t> </w:t>
      </w:r>
      <w:r>
        <w:rPr/>
        <w:t>and</w:t>
      </w:r>
      <w:r>
        <w:rPr>
          <w:spacing w:val="-13"/>
        </w:rPr>
        <w:t> </w:t>
      </w:r>
      <w:r>
        <w:rPr/>
        <w:t>revised,</w:t>
      </w:r>
      <w:r>
        <w:rPr>
          <w:spacing w:val="-10"/>
        </w:rPr>
        <w:t> </w:t>
      </w:r>
      <w:r>
        <w:rPr/>
        <w:t>the</w:t>
      </w:r>
      <w:r>
        <w:rPr>
          <w:spacing w:val="-11"/>
        </w:rPr>
        <w:t> </w:t>
      </w:r>
      <w:r>
        <w:rPr/>
        <w:t>Commission</w:t>
      </w:r>
      <w:r>
        <w:rPr>
          <w:spacing w:val="-11"/>
        </w:rPr>
        <w:t> </w:t>
      </w:r>
      <w:r>
        <w:rPr/>
        <w:t>recommends</w:t>
      </w:r>
      <w:r>
        <w:rPr>
          <w:spacing w:val="-11"/>
        </w:rPr>
        <w:t> </w:t>
      </w:r>
      <w:r>
        <w:rPr/>
        <w:t>that</w:t>
      </w:r>
      <w:r>
        <w:rPr>
          <w:spacing w:val="-12"/>
        </w:rPr>
        <w:t> </w:t>
      </w:r>
      <w:r>
        <w:rPr/>
        <w:t>ORI</w:t>
      </w:r>
      <w:r>
        <w:rPr>
          <w:spacing w:val="-11"/>
        </w:rPr>
        <w:t> </w:t>
      </w:r>
      <w:r>
        <w:rPr/>
        <w:t>prioritizes</w:t>
      </w:r>
      <w:r>
        <w:rPr>
          <w:spacing w:val="-11"/>
        </w:rPr>
        <w:t> </w:t>
      </w:r>
      <w:r>
        <w:rPr/>
        <w:t>these revisions in partnership with EOHHS.</w:t>
      </w:r>
    </w:p>
    <w:p>
      <w:pPr>
        <w:spacing w:before="241"/>
        <w:ind w:left="483" w:right="0" w:firstLine="0"/>
        <w:jc w:val="left"/>
        <w:rPr>
          <w:sz w:val="21"/>
        </w:rPr>
      </w:pPr>
      <w:r>
        <w:rPr>
          <w:i/>
          <w:sz w:val="21"/>
        </w:rPr>
        <w:t>Acknowledgments:</w:t>
      </w:r>
      <w:r>
        <w:rPr>
          <w:i/>
          <w:spacing w:val="-5"/>
          <w:sz w:val="21"/>
        </w:rPr>
        <w:t> </w:t>
      </w:r>
      <w:r>
        <w:rPr>
          <w:i/>
          <w:sz w:val="21"/>
        </w:rPr>
        <w:t>The</w:t>
      </w:r>
      <w:r>
        <w:rPr>
          <w:i/>
          <w:spacing w:val="-2"/>
          <w:sz w:val="21"/>
        </w:rPr>
        <w:t> </w:t>
      </w:r>
      <w:r>
        <w:rPr>
          <w:i/>
          <w:sz w:val="21"/>
        </w:rPr>
        <w:t>Commission</w:t>
      </w:r>
      <w:r>
        <w:rPr>
          <w:i/>
          <w:spacing w:val="-3"/>
          <w:sz w:val="21"/>
        </w:rPr>
        <w:t> </w:t>
      </w:r>
      <w:r>
        <w:rPr>
          <w:i/>
          <w:sz w:val="21"/>
        </w:rPr>
        <w:t>thanks</w:t>
      </w:r>
      <w:r>
        <w:rPr>
          <w:i/>
          <w:spacing w:val="-3"/>
          <w:sz w:val="21"/>
        </w:rPr>
        <w:t> </w:t>
      </w:r>
      <w:r>
        <w:rPr>
          <w:i/>
          <w:sz w:val="21"/>
        </w:rPr>
        <w:t>the</w:t>
      </w:r>
      <w:r>
        <w:rPr>
          <w:i/>
          <w:spacing w:val="-4"/>
          <w:sz w:val="21"/>
        </w:rPr>
        <w:t> </w:t>
      </w:r>
      <w:r>
        <w:rPr>
          <w:i/>
          <w:sz w:val="21"/>
        </w:rPr>
        <w:t>contributions</w:t>
      </w:r>
      <w:r>
        <w:rPr>
          <w:i/>
          <w:spacing w:val="-2"/>
          <w:sz w:val="21"/>
        </w:rPr>
        <w:t> </w:t>
      </w:r>
      <w:r>
        <w:rPr>
          <w:i/>
          <w:sz w:val="21"/>
        </w:rPr>
        <w:t>of</w:t>
      </w:r>
      <w:r>
        <w:rPr>
          <w:i/>
          <w:spacing w:val="-3"/>
          <w:sz w:val="21"/>
        </w:rPr>
        <w:t> </w:t>
      </w:r>
      <w:r>
        <w:rPr>
          <w:i/>
          <w:sz w:val="21"/>
        </w:rPr>
        <w:t>its</w:t>
      </w:r>
      <w:r>
        <w:rPr>
          <w:i/>
          <w:spacing w:val="-4"/>
          <w:sz w:val="21"/>
        </w:rPr>
        <w:t> </w:t>
      </w:r>
      <w:r>
        <w:rPr>
          <w:i/>
          <w:sz w:val="21"/>
        </w:rPr>
        <w:t>ORI</w:t>
      </w:r>
      <w:r>
        <w:rPr>
          <w:i/>
          <w:spacing w:val="-3"/>
          <w:sz w:val="21"/>
        </w:rPr>
        <w:t> </w:t>
      </w:r>
      <w:r>
        <w:rPr>
          <w:i/>
          <w:sz w:val="21"/>
        </w:rPr>
        <w:t>staff</w:t>
      </w:r>
      <w:r>
        <w:rPr>
          <w:i/>
          <w:spacing w:val="-2"/>
          <w:sz w:val="21"/>
        </w:rPr>
        <w:t> liaisons</w:t>
      </w:r>
      <w:r>
        <w:rPr>
          <w:spacing w:val="-2"/>
          <w:sz w:val="21"/>
        </w:rPr>
        <w:t>.</w:t>
      </w:r>
    </w:p>
    <w:p>
      <w:pPr>
        <w:pStyle w:val="BodyText"/>
        <w:rPr>
          <w:sz w:val="21"/>
        </w:rPr>
      </w:pPr>
    </w:p>
    <w:p>
      <w:pPr>
        <w:pStyle w:val="BodyText"/>
        <w:rPr>
          <w:sz w:val="21"/>
        </w:rPr>
      </w:pPr>
    </w:p>
    <w:p>
      <w:pPr>
        <w:pStyle w:val="BodyText"/>
        <w:spacing w:before="43"/>
        <w:rPr>
          <w:sz w:val="21"/>
        </w:rPr>
      </w:pPr>
    </w:p>
    <w:p>
      <w:pPr>
        <w:spacing w:before="1"/>
        <w:ind w:left="483" w:right="528" w:hanging="1"/>
        <w:jc w:val="left"/>
        <w:rPr>
          <w:sz w:val="18"/>
        </w:rPr>
      </w:pPr>
      <w:r>
        <w:rPr>
          <w:sz w:val="18"/>
          <w:vertAlign w:val="superscript"/>
        </w:rPr>
        <w:t>1</w:t>
      </w:r>
      <w:r>
        <w:rPr>
          <w:spacing w:val="-13"/>
          <w:sz w:val="18"/>
          <w:vertAlign w:val="baseline"/>
        </w:rPr>
        <w:t> </w:t>
      </w:r>
      <w:r>
        <w:rPr>
          <w:sz w:val="18"/>
          <w:vertAlign w:val="baseline"/>
        </w:rPr>
        <w:t>Office</w:t>
      </w:r>
      <w:r>
        <w:rPr>
          <w:spacing w:val="-6"/>
          <w:sz w:val="18"/>
          <w:vertAlign w:val="baseline"/>
        </w:rPr>
        <w:t> </w:t>
      </w:r>
      <w:r>
        <w:rPr>
          <w:sz w:val="18"/>
          <w:vertAlign w:val="baseline"/>
        </w:rPr>
        <w:t>of</w:t>
      </w:r>
      <w:r>
        <w:rPr>
          <w:spacing w:val="-4"/>
          <w:sz w:val="18"/>
          <w:vertAlign w:val="baseline"/>
        </w:rPr>
        <w:t> </w:t>
      </w:r>
      <w:r>
        <w:rPr>
          <w:sz w:val="18"/>
          <w:vertAlign w:val="baseline"/>
        </w:rPr>
        <w:t>Refugees</w:t>
      </w:r>
      <w:r>
        <w:rPr>
          <w:spacing w:val="-4"/>
          <w:sz w:val="18"/>
          <w:vertAlign w:val="baseline"/>
        </w:rPr>
        <w:t> </w:t>
      </w:r>
      <w:r>
        <w:rPr>
          <w:sz w:val="18"/>
          <w:vertAlign w:val="baseline"/>
        </w:rPr>
        <w:t>and</w:t>
      </w:r>
      <w:r>
        <w:rPr>
          <w:spacing w:val="-4"/>
          <w:sz w:val="18"/>
          <w:vertAlign w:val="baseline"/>
        </w:rPr>
        <w:t> </w:t>
      </w:r>
      <w:r>
        <w:rPr>
          <w:sz w:val="18"/>
          <w:vertAlign w:val="baseline"/>
        </w:rPr>
        <w:t>Immigrants,</w:t>
      </w:r>
      <w:r>
        <w:rPr>
          <w:spacing w:val="-5"/>
          <w:sz w:val="18"/>
          <w:vertAlign w:val="baseline"/>
        </w:rPr>
        <w:t> </w:t>
      </w:r>
      <w:r>
        <w:rPr>
          <w:sz w:val="18"/>
          <w:vertAlign w:val="baseline"/>
        </w:rPr>
        <w:t>“Annual</w:t>
      </w:r>
      <w:r>
        <w:rPr>
          <w:spacing w:val="-5"/>
          <w:sz w:val="18"/>
          <w:vertAlign w:val="baseline"/>
        </w:rPr>
        <w:t> </w:t>
      </w:r>
      <w:r>
        <w:rPr>
          <w:sz w:val="18"/>
          <w:vertAlign w:val="baseline"/>
        </w:rPr>
        <w:t>Report</w:t>
      </w:r>
      <w:r>
        <w:rPr>
          <w:spacing w:val="-5"/>
          <w:sz w:val="18"/>
          <w:vertAlign w:val="baseline"/>
        </w:rPr>
        <w:t> </w:t>
      </w:r>
      <w:r>
        <w:rPr>
          <w:sz w:val="18"/>
          <w:vertAlign w:val="baseline"/>
        </w:rPr>
        <w:t>2021,”</w:t>
      </w:r>
      <w:r>
        <w:rPr>
          <w:spacing w:val="-4"/>
          <w:sz w:val="18"/>
          <w:vertAlign w:val="baseline"/>
        </w:rPr>
        <w:t> </w:t>
      </w:r>
      <w:r>
        <w:rPr>
          <w:sz w:val="18"/>
          <w:vertAlign w:val="baseline"/>
        </w:rPr>
        <w:t>2022,</w:t>
      </w:r>
      <w:r>
        <w:rPr>
          <w:spacing w:val="-4"/>
          <w:sz w:val="18"/>
          <w:vertAlign w:val="baseline"/>
        </w:rPr>
        <w:t> </w:t>
      </w:r>
      <w:r>
        <w:rPr>
          <w:sz w:val="18"/>
          <w:vertAlign w:val="baseline"/>
        </w:rPr>
        <w:t>https://</w:t>
      </w:r>
      <w:hyperlink r:id="rId752">
        <w:r>
          <w:rPr>
            <w:sz w:val="18"/>
            <w:vertAlign w:val="baseline"/>
          </w:rPr>
          <w:t>www.mass.gov/doc/2021-ori-annual-</w:t>
        </w:r>
      </w:hyperlink>
      <w:r>
        <w:rPr>
          <w:sz w:val="18"/>
          <w:vertAlign w:val="baseline"/>
        </w:rPr>
        <w:t> </w:t>
      </w:r>
      <w:r>
        <w:rPr>
          <w:spacing w:val="-2"/>
          <w:sz w:val="18"/>
          <w:vertAlign w:val="baseline"/>
        </w:rPr>
        <w:t>report/download.</w:t>
      </w:r>
    </w:p>
    <w:p>
      <w:pPr>
        <w:spacing w:before="0"/>
        <w:ind w:left="483" w:right="840" w:hanging="1"/>
        <w:jc w:val="left"/>
        <w:rPr>
          <w:sz w:val="18"/>
        </w:rPr>
      </w:pPr>
      <w:r>
        <w:rPr>
          <w:sz w:val="18"/>
          <w:vertAlign w:val="superscript"/>
        </w:rPr>
        <w:t>2</w:t>
      </w:r>
      <w:r>
        <w:rPr>
          <w:spacing w:val="-13"/>
          <w:sz w:val="18"/>
          <w:vertAlign w:val="baseline"/>
        </w:rPr>
        <w:t> </w:t>
      </w:r>
      <w:r>
        <w:rPr>
          <w:sz w:val="18"/>
          <w:vertAlign w:val="baseline"/>
        </w:rPr>
        <w:t>Shoshana</w:t>
      </w:r>
      <w:r>
        <w:rPr>
          <w:spacing w:val="-4"/>
          <w:sz w:val="18"/>
          <w:vertAlign w:val="baseline"/>
        </w:rPr>
        <w:t> </w:t>
      </w:r>
      <w:r>
        <w:rPr>
          <w:sz w:val="18"/>
          <w:vertAlign w:val="baseline"/>
        </w:rPr>
        <w:t>Goldberg</w:t>
      </w:r>
      <w:r>
        <w:rPr>
          <w:spacing w:val="-3"/>
          <w:sz w:val="18"/>
          <w:vertAlign w:val="baseline"/>
        </w:rPr>
        <w:t> </w:t>
      </w:r>
      <w:r>
        <w:rPr>
          <w:sz w:val="18"/>
          <w:vertAlign w:val="baseline"/>
        </w:rPr>
        <w:t>and</w:t>
      </w:r>
      <w:r>
        <w:rPr>
          <w:spacing w:val="-3"/>
          <w:sz w:val="18"/>
          <w:vertAlign w:val="baseline"/>
        </w:rPr>
        <w:t> </w:t>
      </w:r>
      <w:r>
        <w:rPr>
          <w:sz w:val="18"/>
          <w:vertAlign w:val="baseline"/>
        </w:rPr>
        <w:t>Kerith</w:t>
      </w:r>
      <w:r>
        <w:rPr>
          <w:spacing w:val="-3"/>
          <w:sz w:val="18"/>
          <w:vertAlign w:val="baseline"/>
        </w:rPr>
        <w:t> </w:t>
      </w:r>
      <w:r>
        <w:rPr>
          <w:sz w:val="18"/>
          <w:vertAlign w:val="baseline"/>
        </w:rPr>
        <w:t>Conron,</w:t>
      </w:r>
      <w:r>
        <w:rPr>
          <w:spacing w:val="-4"/>
          <w:sz w:val="18"/>
          <w:vertAlign w:val="baseline"/>
        </w:rPr>
        <w:t> </w:t>
      </w:r>
      <w:r>
        <w:rPr>
          <w:sz w:val="18"/>
          <w:vertAlign w:val="baseline"/>
        </w:rPr>
        <w:t>“LGBT</w:t>
      </w:r>
      <w:r>
        <w:rPr>
          <w:spacing w:val="-3"/>
          <w:sz w:val="18"/>
          <w:vertAlign w:val="baseline"/>
        </w:rPr>
        <w:t> </w:t>
      </w:r>
      <w:r>
        <w:rPr>
          <w:sz w:val="18"/>
          <w:vertAlign w:val="baseline"/>
        </w:rPr>
        <w:t>Adult</w:t>
      </w:r>
      <w:r>
        <w:rPr>
          <w:spacing w:val="-4"/>
          <w:sz w:val="18"/>
          <w:vertAlign w:val="baseline"/>
        </w:rPr>
        <w:t> </w:t>
      </w:r>
      <w:r>
        <w:rPr>
          <w:sz w:val="18"/>
          <w:vertAlign w:val="baseline"/>
        </w:rPr>
        <w:t>Immigrants</w:t>
      </w:r>
      <w:r>
        <w:rPr>
          <w:spacing w:val="-4"/>
          <w:sz w:val="18"/>
          <w:vertAlign w:val="baseline"/>
        </w:rPr>
        <w:t> </w:t>
      </w:r>
      <w:r>
        <w:rPr>
          <w:sz w:val="18"/>
          <w:vertAlign w:val="baseline"/>
        </w:rPr>
        <w:t>in</w:t>
      </w:r>
      <w:r>
        <w:rPr>
          <w:spacing w:val="-3"/>
          <w:sz w:val="18"/>
          <w:vertAlign w:val="baseline"/>
        </w:rPr>
        <w:t> </w:t>
      </w:r>
      <w:r>
        <w:rPr>
          <w:sz w:val="18"/>
          <w:vertAlign w:val="baseline"/>
        </w:rPr>
        <w:t>the</w:t>
      </w:r>
      <w:r>
        <w:rPr>
          <w:spacing w:val="-3"/>
          <w:sz w:val="18"/>
          <w:vertAlign w:val="baseline"/>
        </w:rPr>
        <w:t> </w:t>
      </w:r>
      <w:r>
        <w:rPr>
          <w:sz w:val="18"/>
          <w:vertAlign w:val="baseline"/>
        </w:rPr>
        <w:t>United</w:t>
      </w:r>
      <w:r>
        <w:rPr>
          <w:spacing w:val="-3"/>
          <w:sz w:val="18"/>
          <w:vertAlign w:val="baseline"/>
        </w:rPr>
        <w:t> </w:t>
      </w:r>
      <w:r>
        <w:rPr>
          <w:sz w:val="18"/>
          <w:vertAlign w:val="baseline"/>
        </w:rPr>
        <w:t>States,”</w:t>
      </w:r>
      <w:r>
        <w:rPr>
          <w:spacing w:val="-3"/>
          <w:sz w:val="18"/>
          <w:vertAlign w:val="baseline"/>
        </w:rPr>
        <w:t> </w:t>
      </w:r>
      <w:r>
        <w:rPr>
          <w:sz w:val="18"/>
          <w:vertAlign w:val="baseline"/>
        </w:rPr>
        <w:t>Williams</w:t>
      </w:r>
      <w:r>
        <w:rPr>
          <w:spacing w:val="-3"/>
          <w:sz w:val="18"/>
          <w:vertAlign w:val="baseline"/>
        </w:rPr>
        <w:t> </w:t>
      </w:r>
      <w:r>
        <w:rPr>
          <w:sz w:val="18"/>
          <w:vertAlign w:val="baseline"/>
        </w:rPr>
        <w:t>Institute,</w:t>
      </w:r>
      <w:r>
        <w:rPr>
          <w:spacing w:val="-4"/>
          <w:sz w:val="18"/>
          <w:vertAlign w:val="baseline"/>
        </w:rPr>
        <w:t> </w:t>
      </w:r>
      <w:r>
        <w:rPr>
          <w:sz w:val="18"/>
          <w:vertAlign w:val="baseline"/>
        </w:rPr>
        <w:t>February</w:t>
      </w:r>
      <w:r>
        <w:rPr>
          <w:spacing w:val="-3"/>
          <w:sz w:val="18"/>
          <w:vertAlign w:val="baseline"/>
        </w:rPr>
        <w:t> </w:t>
      </w:r>
      <w:r>
        <w:rPr>
          <w:sz w:val="18"/>
          <w:vertAlign w:val="baseline"/>
        </w:rPr>
        <w:t>2021, </w:t>
      </w:r>
      <w:r>
        <w:rPr>
          <w:spacing w:val="-2"/>
          <w:sz w:val="18"/>
          <w:vertAlign w:val="baseline"/>
        </w:rPr>
        <w:t>https://williamsinstitute.law.ucla.edu/publications/lgbt-immigrants-in-the-us/.</w:t>
      </w:r>
    </w:p>
    <w:p>
      <w:pPr>
        <w:spacing w:before="0"/>
        <w:ind w:left="483" w:right="2986" w:hanging="1"/>
        <w:jc w:val="left"/>
        <w:rPr>
          <w:sz w:val="18"/>
        </w:rPr>
      </w:pPr>
      <w:r>
        <w:rPr>
          <w:sz w:val="18"/>
          <w:vertAlign w:val="superscript"/>
        </w:rPr>
        <w:t>3</w:t>
      </w:r>
      <w:r>
        <w:rPr>
          <w:spacing w:val="-13"/>
          <w:sz w:val="18"/>
          <w:vertAlign w:val="baseline"/>
        </w:rPr>
        <w:t> </w:t>
      </w:r>
      <w:r>
        <w:rPr>
          <w:sz w:val="18"/>
          <w:vertAlign w:val="baseline"/>
        </w:rPr>
        <w:t>Ari</w:t>
      </w:r>
      <w:r>
        <w:rPr>
          <w:spacing w:val="-5"/>
          <w:sz w:val="18"/>
          <w:vertAlign w:val="baseline"/>
        </w:rPr>
        <w:t> </w:t>
      </w:r>
      <w:r>
        <w:rPr>
          <w:sz w:val="18"/>
          <w:vertAlign w:val="baseline"/>
        </w:rPr>
        <w:t>Shaw</w:t>
      </w:r>
      <w:r>
        <w:rPr>
          <w:spacing w:val="-4"/>
          <w:sz w:val="18"/>
          <w:vertAlign w:val="baseline"/>
        </w:rPr>
        <w:t> </w:t>
      </w:r>
      <w:r>
        <w:rPr>
          <w:sz w:val="18"/>
          <w:vertAlign w:val="baseline"/>
        </w:rPr>
        <w:t>et</w:t>
      </w:r>
      <w:r>
        <w:rPr>
          <w:spacing w:val="-4"/>
          <w:sz w:val="18"/>
          <w:vertAlign w:val="baseline"/>
        </w:rPr>
        <w:t> </w:t>
      </w:r>
      <w:r>
        <w:rPr>
          <w:sz w:val="18"/>
          <w:vertAlign w:val="baseline"/>
        </w:rPr>
        <w:t>al.,</w:t>
      </w:r>
      <w:r>
        <w:rPr>
          <w:spacing w:val="-4"/>
          <w:sz w:val="18"/>
          <w:vertAlign w:val="baseline"/>
        </w:rPr>
        <w:t> </w:t>
      </w:r>
      <w:r>
        <w:rPr>
          <w:sz w:val="18"/>
          <w:vertAlign w:val="baseline"/>
        </w:rPr>
        <w:t>“LGBT</w:t>
      </w:r>
      <w:r>
        <w:rPr>
          <w:spacing w:val="-3"/>
          <w:sz w:val="18"/>
          <w:vertAlign w:val="baseline"/>
        </w:rPr>
        <w:t> </w:t>
      </w:r>
      <w:r>
        <w:rPr>
          <w:sz w:val="18"/>
          <w:vertAlign w:val="baseline"/>
        </w:rPr>
        <w:t>Asylum</w:t>
      </w:r>
      <w:r>
        <w:rPr>
          <w:spacing w:val="-3"/>
          <w:sz w:val="18"/>
          <w:vertAlign w:val="baseline"/>
        </w:rPr>
        <w:t> </w:t>
      </w:r>
      <w:r>
        <w:rPr>
          <w:sz w:val="18"/>
          <w:vertAlign w:val="baseline"/>
        </w:rPr>
        <w:t>Claims</w:t>
      </w:r>
      <w:r>
        <w:rPr>
          <w:spacing w:val="-3"/>
          <w:sz w:val="18"/>
          <w:vertAlign w:val="baseline"/>
        </w:rPr>
        <w:t> </w:t>
      </w:r>
      <w:r>
        <w:rPr>
          <w:sz w:val="18"/>
          <w:vertAlign w:val="baseline"/>
        </w:rPr>
        <w:t>in</w:t>
      </w:r>
      <w:r>
        <w:rPr>
          <w:spacing w:val="-3"/>
          <w:sz w:val="18"/>
          <w:vertAlign w:val="baseline"/>
        </w:rPr>
        <w:t> </w:t>
      </w:r>
      <w:r>
        <w:rPr>
          <w:sz w:val="18"/>
          <w:vertAlign w:val="baseline"/>
        </w:rPr>
        <w:t>the</w:t>
      </w:r>
      <w:r>
        <w:rPr>
          <w:spacing w:val="-3"/>
          <w:sz w:val="18"/>
          <w:vertAlign w:val="baseline"/>
        </w:rPr>
        <w:t> </w:t>
      </w:r>
      <w:r>
        <w:rPr>
          <w:sz w:val="18"/>
          <w:vertAlign w:val="baseline"/>
        </w:rPr>
        <w:t>United</w:t>
      </w:r>
      <w:r>
        <w:rPr>
          <w:spacing w:val="-3"/>
          <w:sz w:val="18"/>
          <w:vertAlign w:val="baseline"/>
        </w:rPr>
        <w:t> </w:t>
      </w:r>
      <w:r>
        <w:rPr>
          <w:sz w:val="18"/>
          <w:vertAlign w:val="baseline"/>
        </w:rPr>
        <w:t>States,”</w:t>
      </w:r>
      <w:r>
        <w:rPr>
          <w:spacing w:val="-3"/>
          <w:sz w:val="18"/>
          <w:vertAlign w:val="baseline"/>
        </w:rPr>
        <w:t> </w:t>
      </w:r>
      <w:r>
        <w:rPr>
          <w:sz w:val="18"/>
          <w:vertAlign w:val="baseline"/>
        </w:rPr>
        <w:t>Williams</w:t>
      </w:r>
      <w:r>
        <w:rPr>
          <w:spacing w:val="-3"/>
          <w:sz w:val="18"/>
          <w:vertAlign w:val="baseline"/>
        </w:rPr>
        <w:t> </w:t>
      </w:r>
      <w:r>
        <w:rPr>
          <w:sz w:val="18"/>
          <w:vertAlign w:val="baseline"/>
        </w:rPr>
        <w:t>Institute,</w:t>
      </w:r>
      <w:r>
        <w:rPr>
          <w:spacing w:val="-4"/>
          <w:sz w:val="18"/>
          <w:vertAlign w:val="baseline"/>
        </w:rPr>
        <w:t> </w:t>
      </w:r>
      <w:r>
        <w:rPr>
          <w:sz w:val="18"/>
          <w:vertAlign w:val="baseline"/>
        </w:rPr>
        <w:t>March</w:t>
      </w:r>
      <w:r>
        <w:rPr>
          <w:spacing w:val="-3"/>
          <w:sz w:val="18"/>
          <w:vertAlign w:val="baseline"/>
        </w:rPr>
        <w:t> </w:t>
      </w:r>
      <w:r>
        <w:rPr>
          <w:sz w:val="18"/>
          <w:vertAlign w:val="baseline"/>
        </w:rPr>
        <w:t>2021, </w:t>
      </w:r>
      <w:r>
        <w:rPr>
          <w:spacing w:val="-2"/>
          <w:sz w:val="18"/>
          <w:vertAlign w:val="baseline"/>
        </w:rPr>
        <w:t>https://williamsinstitute.law.ucla.edu/publications/lgbt-asylum-claims/.</w:t>
      </w:r>
    </w:p>
    <w:p>
      <w:pPr>
        <w:spacing w:before="0"/>
        <w:ind w:left="483" w:right="599" w:hanging="1"/>
        <w:jc w:val="left"/>
        <w:rPr>
          <w:sz w:val="18"/>
        </w:rPr>
      </w:pPr>
      <w:r>
        <w:rPr>
          <w:sz w:val="18"/>
          <w:vertAlign w:val="superscript"/>
        </w:rPr>
        <w:t>4</w:t>
      </w:r>
      <w:r>
        <w:rPr>
          <w:spacing w:val="-11"/>
          <w:sz w:val="18"/>
          <w:vertAlign w:val="baseline"/>
        </w:rPr>
        <w:t> </w:t>
      </w:r>
      <w:r>
        <w:rPr>
          <w:sz w:val="18"/>
          <w:vertAlign w:val="baseline"/>
        </w:rPr>
        <w:t>Sharita Gruberg, Caitlin Rooney, and Ashe McGovern, “Serving LGBTQ Immigrants and Building Welcoming Communities,” </w:t>
      </w:r>
      <w:r>
        <w:rPr>
          <w:i/>
          <w:sz w:val="18"/>
          <w:vertAlign w:val="baseline"/>
        </w:rPr>
        <w:t>Center</w:t>
      </w:r>
      <w:r>
        <w:rPr>
          <w:i/>
          <w:spacing w:val="-5"/>
          <w:sz w:val="18"/>
          <w:vertAlign w:val="baseline"/>
        </w:rPr>
        <w:t> </w:t>
      </w:r>
      <w:r>
        <w:rPr>
          <w:i/>
          <w:sz w:val="18"/>
          <w:vertAlign w:val="baseline"/>
        </w:rPr>
        <w:t>for</w:t>
      </w:r>
      <w:r>
        <w:rPr>
          <w:i/>
          <w:spacing w:val="-5"/>
          <w:sz w:val="18"/>
          <w:vertAlign w:val="baseline"/>
        </w:rPr>
        <w:t> </w:t>
      </w:r>
      <w:r>
        <w:rPr>
          <w:i/>
          <w:sz w:val="18"/>
          <w:vertAlign w:val="baseline"/>
        </w:rPr>
        <w:t>American</w:t>
      </w:r>
      <w:r>
        <w:rPr>
          <w:i/>
          <w:spacing w:val="-5"/>
          <w:sz w:val="18"/>
          <w:vertAlign w:val="baseline"/>
        </w:rPr>
        <w:t> </w:t>
      </w:r>
      <w:r>
        <w:rPr>
          <w:i/>
          <w:sz w:val="18"/>
          <w:vertAlign w:val="baseline"/>
        </w:rPr>
        <w:t>Progress</w:t>
      </w:r>
      <w:r>
        <w:rPr>
          <w:i/>
          <w:spacing w:val="-5"/>
          <w:sz w:val="18"/>
          <w:vertAlign w:val="baseline"/>
        </w:rPr>
        <w:t> </w:t>
      </w:r>
      <w:r>
        <w:rPr>
          <w:sz w:val="18"/>
          <w:vertAlign w:val="baseline"/>
        </w:rPr>
        <w:t>(blog),</w:t>
      </w:r>
      <w:r>
        <w:rPr>
          <w:spacing w:val="-5"/>
          <w:sz w:val="18"/>
          <w:vertAlign w:val="baseline"/>
        </w:rPr>
        <w:t> </w:t>
      </w:r>
      <w:r>
        <w:rPr>
          <w:sz w:val="18"/>
          <w:vertAlign w:val="baseline"/>
        </w:rPr>
        <w:t>January</w:t>
      </w:r>
      <w:r>
        <w:rPr>
          <w:spacing w:val="-5"/>
          <w:sz w:val="18"/>
          <w:vertAlign w:val="baseline"/>
        </w:rPr>
        <w:t> </w:t>
      </w:r>
      <w:r>
        <w:rPr>
          <w:sz w:val="18"/>
          <w:vertAlign w:val="baseline"/>
        </w:rPr>
        <w:t>24,</w:t>
      </w:r>
      <w:r>
        <w:rPr>
          <w:spacing w:val="-6"/>
          <w:sz w:val="18"/>
          <w:vertAlign w:val="baseline"/>
        </w:rPr>
        <w:t> </w:t>
      </w:r>
      <w:r>
        <w:rPr>
          <w:sz w:val="18"/>
          <w:vertAlign w:val="baseline"/>
        </w:rPr>
        <w:t>2018,</w:t>
      </w:r>
      <w:r>
        <w:rPr>
          <w:spacing w:val="-5"/>
          <w:sz w:val="18"/>
          <w:vertAlign w:val="baseline"/>
        </w:rPr>
        <w:t> </w:t>
      </w:r>
      <w:r>
        <w:rPr>
          <w:sz w:val="18"/>
          <w:vertAlign w:val="baseline"/>
        </w:rPr>
        <w:t>https://</w:t>
      </w:r>
      <w:hyperlink r:id="rId587">
        <w:r>
          <w:rPr>
            <w:sz w:val="18"/>
            <w:vertAlign w:val="baseline"/>
          </w:rPr>
          <w:t>www.americanprogress.org/article/serving-lgbtq-immigrants-</w:t>
        </w:r>
      </w:hyperlink>
      <w:r>
        <w:rPr>
          <w:sz w:val="18"/>
          <w:vertAlign w:val="baseline"/>
        </w:rPr>
        <w:t> </w:t>
      </w:r>
      <w:r>
        <w:rPr>
          <w:spacing w:val="-2"/>
          <w:sz w:val="18"/>
          <w:vertAlign w:val="baseline"/>
        </w:rPr>
        <w:t>building-welcoming-communities/.</w:t>
      </w:r>
    </w:p>
    <w:p>
      <w:pPr>
        <w:spacing w:after="0"/>
        <w:jc w:val="left"/>
        <w:rPr>
          <w:sz w:val="18"/>
        </w:rPr>
        <w:sectPr>
          <w:pgSz w:w="12240" w:h="15840"/>
          <w:pgMar w:header="804" w:footer="1256" w:top="1000" w:bottom="1460" w:left="960" w:right="1100"/>
        </w:sectPr>
      </w:pPr>
    </w:p>
    <w:p>
      <w:pPr>
        <w:pStyle w:val="Heading7"/>
        <w:spacing w:before="366"/>
      </w:pPr>
      <w:bookmarkStart w:name="_bookmark639" w:id="946"/>
      <w:bookmarkEnd w:id="946"/>
      <w:r>
        <w:rPr/>
      </w:r>
      <w:hyperlink w:history="true" w:anchor="_bookmark6">
        <w:r>
          <w:rPr>
            <w:color w:val="365F91"/>
            <w:spacing w:val="-10"/>
          </w:rPr>
          <w:t>Department</w:t>
        </w:r>
        <w:r>
          <w:rPr>
            <w:color w:val="365F91"/>
            <w:spacing w:val="-1"/>
          </w:rPr>
          <w:t> </w:t>
        </w:r>
        <w:r>
          <w:rPr>
            <w:color w:val="365F91"/>
            <w:spacing w:val="-10"/>
          </w:rPr>
          <w:t>of</w:t>
        </w:r>
        <w:r>
          <w:rPr>
            <w:color w:val="365F91"/>
            <w:spacing w:val="-1"/>
          </w:rPr>
          <w:t> </w:t>
        </w:r>
        <w:r>
          <w:rPr>
            <w:color w:val="365F91"/>
            <w:spacing w:val="-10"/>
          </w:rPr>
          <w:t>Transitional</w:t>
        </w:r>
        <w:r>
          <w:rPr>
            <w:color w:val="365F91"/>
            <w:spacing w:val="-1"/>
          </w:rPr>
          <w:t> </w:t>
        </w:r>
        <w:r>
          <w:rPr>
            <w:color w:val="365F91"/>
            <w:spacing w:val="-10"/>
          </w:rPr>
          <w:t>Assistance</w:t>
        </w:r>
      </w:hyperlink>
    </w:p>
    <w:p>
      <w:pPr>
        <w:spacing w:before="400"/>
        <w:ind w:left="483" w:right="0" w:firstLine="0"/>
        <w:jc w:val="left"/>
        <w:rPr>
          <w:sz w:val="28"/>
        </w:rPr>
      </w:pPr>
      <w:r>
        <w:rPr/>
        <mc:AlternateContent>
          <mc:Choice Requires="wps">
            <w:drawing>
              <wp:anchor distT="0" distB="0" distL="0" distR="0" allowOverlap="1" layoutInCell="1" locked="0" behindDoc="1" simplePos="0" relativeHeight="487715840">
                <wp:simplePos x="0" y="0"/>
                <wp:positionH relativeFrom="page">
                  <wp:posOffset>897636</wp:posOffset>
                </wp:positionH>
                <wp:positionV relativeFrom="paragraph">
                  <wp:posOffset>483373</wp:posOffset>
                </wp:positionV>
                <wp:extent cx="6028055" cy="6350"/>
                <wp:effectExtent l="0" t="0" r="0" b="0"/>
                <wp:wrapTopAndBottom/>
                <wp:docPr id="633" name="Graphic 633"/>
                <wp:cNvGraphicFramePr>
                  <a:graphicFrameLocks/>
                </wp:cNvGraphicFramePr>
                <a:graphic>
                  <a:graphicData uri="http://schemas.microsoft.com/office/word/2010/wordprocessingShape">
                    <wps:wsp>
                      <wps:cNvPr id="633" name="Graphic 633"/>
                      <wps:cNvSpPr/>
                      <wps:spPr>
                        <a:xfrm>
                          <a:off x="0" y="0"/>
                          <a:ext cx="6028055" cy="6350"/>
                        </a:xfrm>
                        <a:custGeom>
                          <a:avLst/>
                          <a:gdLst/>
                          <a:ahLst/>
                          <a:cxnLst/>
                          <a:rect l="l" t="t" r="r" b="b"/>
                          <a:pathLst>
                            <a:path w="6028055" h="6350">
                              <a:moveTo>
                                <a:pt x="6027432" y="0"/>
                              </a:moveTo>
                              <a:lnTo>
                                <a:pt x="0" y="0"/>
                              </a:lnTo>
                              <a:lnTo>
                                <a:pt x="0" y="6096"/>
                              </a:lnTo>
                              <a:lnTo>
                                <a:pt x="6027432" y="6096"/>
                              </a:lnTo>
                              <a:lnTo>
                                <a:pt x="6027432" y="0"/>
                              </a:lnTo>
                              <a:close/>
                            </a:path>
                          </a:pathLst>
                        </a:custGeom>
                        <a:solidFill>
                          <a:srgbClr val="4F81BC"/>
                        </a:solidFill>
                      </wps:spPr>
                      <wps:bodyPr wrap="square" lIns="0" tIns="0" rIns="0" bIns="0" rtlCol="0">
                        <a:prstTxWarp prst="textNoShape">
                          <a:avLst/>
                        </a:prstTxWarp>
                        <a:noAutofit/>
                      </wps:bodyPr>
                    </wps:wsp>
                  </a:graphicData>
                </a:graphic>
              </wp:anchor>
            </w:drawing>
          </mc:Choice>
          <mc:Fallback>
            <w:pict>
              <v:rect style="position:absolute;margin-left:70.680pt;margin-top:38.060936pt;width:474.601pt;height:.48pt;mso-position-horizontal-relative:page;mso-position-vertical-relative:paragraph;z-index:-15600640;mso-wrap-distance-left:0;mso-wrap-distance-right:0" id="docshape530" filled="true" fillcolor="#4f81bc" stroked="false">
                <v:fill type="solid"/>
                <w10:wrap type="topAndBottom"/>
              </v:rect>
            </w:pict>
          </mc:Fallback>
        </mc:AlternateContent>
      </w:r>
      <w:r>
        <w:rPr>
          <w:color w:val="365F91"/>
          <w:sz w:val="28"/>
        </w:rPr>
        <w:t>FY</w:t>
      </w:r>
      <w:r>
        <w:rPr>
          <w:color w:val="365F91"/>
          <w:spacing w:val="-7"/>
          <w:sz w:val="28"/>
        </w:rPr>
        <w:t> </w:t>
      </w:r>
      <w:r>
        <w:rPr>
          <w:color w:val="365F91"/>
          <w:sz w:val="28"/>
        </w:rPr>
        <w:t>2025</w:t>
      </w:r>
      <w:r>
        <w:rPr>
          <w:color w:val="365F91"/>
          <w:spacing w:val="-6"/>
          <w:sz w:val="28"/>
        </w:rPr>
        <w:t> </w:t>
      </w:r>
      <w:r>
        <w:rPr>
          <w:color w:val="365F91"/>
          <w:spacing w:val="-2"/>
          <w:sz w:val="28"/>
        </w:rPr>
        <w:t>Recommendations</w:t>
      </w:r>
    </w:p>
    <w:p>
      <w:pPr>
        <w:pStyle w:val="ListParagraph"/>
        <w:numPr>
          <w:ilvl w:val="1"/>
          <w:numId w:val="43"/>
        </w:numPr>
        <w:tabs>
          <w:tab w:pos="842" w:val="left" w:leader="none"/>
        </w:tabs>
        <w:spacing w:line="240" w:lineRule="auto" w:before="241" w:after="0"/>
        <w:ind w:left="842" w:right="0" w:hanging="359"/>
        <w:jc w:val="left"/>
        <w:rPr>
          <w:sz w:val="22"/>
        </w:rPr>
      </w:pPr>
      <w:r>
        <w:rPr>
          <w:sz w:val="22"/>
        </w:rPr>
        <w:t>Explore</w:t>
      </w:r>
      <w:r>
        <w:rPr>
          <w:spacing w:val="-8"/>
          <w:sz w:val="22"/>
        </w:rPr>
        <w:t> </w:t>
      </w:r>
      <w:r>
        <w:rPr>
          <w:sz w:val="22"/>
        </w:rPr>
        <w:t>the</w:t>
      </w:r>
      <w:r>
        <w:rPr>
          <w:spacing w:val="-7"/>
          <w:sz w:val="22"/>
        </w:rPr>
        <w:t> </w:t>
      </w:r>
      <w:r>
        <w:rPr>
          <w:sz w:val="22"/>
        </w:rPr>
        <w:t>creation</w:t>
      </w:r>
      <w:r>
        <w:rPr>
          <w:spacing w:val="-8"/>
          <w:sz w:val="22"/>
        </w:rPr>
        <w:t> </w:t>
      </w:r>
      <w:r>
        <w:rPr>
          <w:sz w:val="22"/>
        </w:rPr>
        <w:t>and</w:t>
      </w:r>
      <w:r>
        <w:rPr>
          <w:spacing w:val="-7"/>
          <w:sz w:val="22"/>
        </w:rPr>
        <w:t> </w:t>
      </w:r>
      <w:r>
        <w:rPr>
          <w:sz w:val="22"/>
        </w:rPr>
        <w:t>hiring</w:t>
      </w:r>
      <w:r>
        <w:rPr>
          <w:spacing w:val="-9"/>
          <w:sz w:val="22"/>
        </w:rPr>
        <w:t> </w:t>
      </w:r>
      <w:r>
        <w:rPr>
          <w:sz w:val="22"/>
        </w:rPr>
        <w:t>of</w:t>
      </w:r>
      <w:r>
        <w:rPr>
          <w:spacing w:val="-8"/>
          <w:sz w:val="22"/>
        </w:rPr>
        <w:t> </w:t>
      </w:r>
      <w:r>
        <w:rPr>
          <w:sz w:val="22"/>
        </w:rPr>
        <w:t>a</w:t>
      </w:r>
      <w:r>
        <w:rPr>
          <w:spacing w:val="-8"/>
          <w:sz w:val="22"/>
        </w:rPr>
        <w:t> </w:t>
      </w:r>
      <w:r>
        <w:rPr>
          <w:sz w:val="22"/>
        </w:rPr>
        <w:t>full-time</w:t>
      </w:r>
      <w:r>
        <w:rPr>
          <w:spacing w:val="-7"/>
          <w:sz w:val="22"/>
        </w:rPr>
        <w:t> </w:t>
      </w:r>
      <w:r>
        <w:rPr>
          <w:sz w:val="22"/>
        </w:rPr>
        <w:t>DTA-specific</w:t>
      </w:r>
      <w:r>
        <w:rPr>
          <w:spacing w:val="-7"/>
          <w:sz w:val="22"/>
        </w:rPr>
        <w:t> </w:t>
      </w:r>
      <w:r>
        <w:rPr>
          <w:sz w:val="22"/>
        </w:rPr>
        <w:t>LGBTQ</w:t>
      </w:r>
      <w:r>
        <w:rPr>
          <w:spacing w:val="-9"/>
          <w:sz w:val="22"/>
        </w:rPr>
        <w:t> </w:t>
      </w:r>
      <w:r>
        <w:rPr>
          <w:sz w:val="22"/>
        </w:rPr>
        <w:t>outreach</w:t>
      </w:r>
      <w:r>
        <w:rPr>
          <w:spacing w:val="-8"/>
          <w:sz w:val="22"/>
        </w:rPr>
        <w:t> </w:t>
      </w:r>
      <w:r>
        <w:rPr>
          <w:sz w:val="22"/>
        </w:rPr>
        <w:t>specialist</w:t>
      </w:r>
      <w:r>
        <w:rPr>
          <w:spacing w:val="-8"/>
          <w:sz w:val="22"/>
        </w:rPr>
        <w:t> </w:t>
      </w:r>
      <w:r>
        <w:rPr>
          <w:spacing w:val="-2"/>
          <w:sz w:val="22"/>
        </w:rPr>
        <w:t>position.</w:t>
      </w:r>
    </w:p>
    <w:p>
      <w:pPr>
        <w:pStyle w:val="ListParagraph"/>
        <w:numPr>
          <w:ilvl w:val="1"/>
          <w:numId w:val="43"/>
        </w:numPr>
        <w:tabs>
          <w:tab w:pos="841" w:val="left" w:leader="none"/>
          <w:tab w:pos="843" w:val="left" w:leader="none"/>
        </w:tabs>
        <w:spacing w:line="360" w:lineRule="auto" w:before="135" w:after="0"/>
        <w:ind w:left="843" w:right="552" w:hanging="361"/>
        <w:jc w:val="left"/>
        <w:rPr>
          <w:sz w:val="22"/>
        </w:rPr>
      </w:pPr>
      <w:r>
        <w:rPr>
          <w:sz w:val="22"/>
        </w:rPr>
        <w:t>Continue</w:t>
      </w:r>
      <w:r>
        <w:rPr>
          <w:spacing w:val="-13"/>
          <w:sz w:val="22"/>
        </w:rPr>
        <w:t> </w:t>
      </w:r>
      <w:r>
        <w:rPr>
          <w:sz w:val="22"/>
        </w:rPr>
        <w:t>to</w:t>
      </w:r>
      <w:r>
        <w:rPr>
          <w:spacing w:val="-12"/>
          <w:sz w:val="22"/>
        </w:rPr>
        <w:t> </w:t>
      </w:r>
      <w:r>
        <w:rPr>
          <w:sz w:val="22"/>
        </w:rPr>
        <w:t>review</w:t>
      </w:r>
      <w:r>
        <w:rPr>
          <w:spacing w:val="-13"/>
          <w:sz w:val="22"/>
        </w:rPr>
        <w:t> </w:t>
      </w:r>
      <w:r>
        <w:rPr>
          <w:sz w:val="22"/>
        </w:rPr>
        <w:t>opportunities</w:t>
      </w:r>
      <w:r>
        <w:rPr>
          <w:spacing w:val="-12"/>
          <w:sz w:val="22"/>
        </w:rPr>
        <w:t> </w:t>
      </w:r>
      <w:r>
        <w:rPr>
          <w:sz w:val="22"/>
        </w:rPr>
        <w:t>to</w:t>
      </w:r>
      <w:r>
        <w:rPr>
          <w:spacing w:val="-13"/>
          <w:sz w:val="22"/>
        </w:rPr>
        <w:t> </w:t>
      </w:r>
      <w:r>
        <w:rPr>
          <w:sz w:val="22"/>
        </w:rPr>
        <w:t>collect</w:t>
      </w:r>
      <w:r>
        <w:rPr>
          <w:spacing w:val="-12"/>
          <w:sz w:val="22"/>
        </w:rPr>
        <w:t> </w:t>
      </w:r>
      <w:r>
        <w:rPr>
          <w:sz w:val="22"/>
        </w:rPr>
        <w:t>inclusive</w:t>
      </w:r>
      <w:r>
        <w:rPr>
          <w:spacing w:val="-13"/>
          <w:sz w:val="22"/>
        </w:rPr>
        <w:t> </w:t>
      </w:r>
      <w:r>
        <w:rPr>
          <w:sz w:val="22"/>
        </w:rPr>
        <w:t>SOGIE</w:t>
      </w:r>
      <w:r>
        <w:rPr>
          <w:spacing w:val="-12"/>
          <w:sz w:val="22"/>
        </w:rPr>
        <w:t> </w:t>
      </w:r>
      <w:r>
        <w:rPr>
          <w:sz w:val="22"/>
        </w:rPr>
        <w:t>data</w:t>
      </w:r>
      <w:r>
        <w:rPr>
          <w:spacing w:val="-12"/>
          <w:sz w:val="22"/>
        </w:rPr>
        <w:t> </w:t>
      </w:r>
      <w:r>
        <w:rPr>
          <w:sz w:val="22"/>
        </w:rPr>
        <w:t>information,</w:t>
      </w:r>
      <w:r>
        <w:rPr>
          <w:spacing w:val="-13"/>
          <w:sz w:val="22"/>
        </w:rPr>
        <w:t> </w:t>
      </w:r>
      <w:r>
        <w:rPr>
          <w:sz w:val="22"/>
        </w:rPr>
        <w:t>and</w:t>
      </w:r>
      <w:r>
        <w:rPr>
          <w:spacing w:val="-12"/>
          <w:sz w:val="22"/>
        </w:rPr>
        <w:t> </w:t>
      </w:r>
      <w:r>
        <w:rPr>
          <w:sz w:val="22"/>
        </w:rPr>
        <w:t>update</w:t>
      </w:r>
      <w:r>
        <w:rPr>
          <w:spacing w:val="-13"/>
          <w:sz w:val="22"/>
        </w:rPr>
        <w:t> </w:t>
      </w:r>
      <w:r>
        <w:rPr>
          <w:sz w:val="22"/>
        </w:rPr>
        <w:t>IT</w:t>
      </w:r>
      <w:r>
        <w:rPr>
          <w:spacing w:val="-12"/>
          <w:sz w:val="22"/>
        </w:rPr>
        <w:t> </w:t>
      </w:r>
      <w:r>
        <w:rPr>
          <w:sz w:val="22"/>
        </w:rPr>
        <w:t>systems to include new data fields where appropriate.</w:t>
      </w:r>
    </w:p>
    <w:p>
      <w:pPr>
        <w:pStyle w:val="ListParagraph"/>
        <w:numPr>
          <w:ilvl w:val="1"/>
          <w:numId w:val="43"/>
        </w:numPr>
        <w:tabs>
          <w:tab w:pos="842" w:val="left" w:leader="none"/>
          <w:tab w:pos="844" w:val="left" w:leader="none"/>
        </w:tabs>
        <w:spacing w:line="360" w:lineRule="auto" w:before="0" w:after="0"/>
        <w:ind w:left="844" w:right="551" w:hanging="361"/>
        <w:jc w:val="left"/>
        <w:rPr>
          <w:sz w:val="22"/>
        </w:rPr>
      </w:pPr>
      <w:r>
        <w:rPr>
          <w:sz w:val="22"/>
        </w:rPr>
        <w:t>Expand</w:t>
      </w:r>
      <w:r>
        <w:rPr>
          <w:spacing w:val="40"/>
          <w:sz w:val="22"/>
        </w:rPr>
        <w:t> </w:t>
      </w:r>
      <w:r>
        <w:rPr>
          <w:sz w:val="22"/>
        </w:rPr>
        <w:t>intersectional</w:t>
      </w:r>
      <w:r>
        <w:rPr>
          <w:spacing w:val="40"/>
          <w:sz w:val="22"/>
        </w:rPr>
        <w:t> </w:t>
      </w:r>
      <w:r>
        <w:rPr>
          <w:sz w:val="22"/>
        </w:rPr>
        <w:t>LGBTQ</w:t>
      </w:r>
      <w:r>
        <w:rPr>
          <w:spacing w:val="40"/>
          <w:sz w:val="22"/>
        </w:rPr>
        <w:t> </w:t>
      </w:r>
      <w:r>
        <w:rPr>
          <w:sz w:val="22"/>
        </w:rPr>
        <w:t>training</w:t>
      </w:r>
      <w:r>
        <w:rPr>
          <w:spacing w:val="40"/>
          <w:sz w:val="22"/>
        </w:rPr>
        <w:t> </w:t>
      </w:r>
      <w:r>
        <w:rPr>
          <w:sz w:val="22"/>
        </w:rPr>
        <w:t>efforts</w:t>
      </w:r>
      <w:r>
        <w:rPr>
          <w:spacing w:val="40"/>
          <w:sz w:val="22"/>
        </w:rPr>
        <w:t> </w:t>
      </w:r>
      <w:r>
        <w:rPr>
          <w:sz w:val="22"/>
        </w:rPr>
        <w:t>and</w:t>
      </w:r>
      <w:r>
        <w:rPr>
          <w:spacing w:val="40"/>
          <w:sz w:val="22"/>
        </w:rPr>
        <w:t> </w:t>
      </w:r>
      <w:r>
        <w:rPr>
          <w:sz w:val="22"/>
        </w:rPr>
        <w:t>mandate</w:t>
      </w:r>
      <w:r>
        <w:rPr>
          <w:spacing w:val="40"/>
          <w:sz w:val="22"/>
        </w:rPr>
        <w:t> </w:t>
      </w:r>
      <w:r>
        <w:rPr>
          <w:sz w:val="22"/>
        </w:rPr>
        <w:t>racial</w:t>
      </w:r>
      <w:r>
        <w:rPr>
          <w:spacing w:val="40"/>
          <w:sz w:val="22"/>
        </w:rPr>
        <w:t> </w:t>
      </w:r>
      <w:r>
        <w:rPr>
          <w:sz w:val="22"/>
        </w:rPr>
        <w:t>equity</w:t>
      </w:r>
      <w:r>
        <w:rPr>
          <w:spacing w:val="40"/>
          <w:sz w:val="22"/>
        </w:rPr>
        <w:t> </w:t>
      </w:r>
      <w:r>
        <w:rPr>
          <w:sz w:val="22"/>
        </w:rPr>
        <w:t>trainings</w:t>
      </w:r>
      <w:r>
        <w:rPr>
          <w:spacing w:val="40"/>
          <w:sz w:val="22"/>
        </w:rPr>
        <w:t> </w:t>
      </w:r>
      <w:r>
        <w:rPr>
          <w:sz w:val="22"/>
        </w:rPr>
        <w:t>for</w:t>
      </w:r>
      <w:r>
        <w:rPr>
          <w:spacing w:val="40"/>
          <w:sz w:val="22"/>
        </w:rPr>
        <w:t> </w:t>
      </w:r>
      <w:r>
        <w:rPr>
          <w:sz w:val="22"/>
        </w:rPr>
        <w:t>all</w:t>
      </w:r>
      <w:r>
        <w:rPr>
          <w:spacing w:val="40"/>
          <w:sz w:val="22"/>
        </w:rPr>
        <w:t> </w:t>
      </w:r>
      <w:r>
        <w:rPr>
          <w:sz w:val="22"/>
        </w:rPr>
        <w:t>DTA </w:t>
      </w:r>
      <w:r>
        <w:rPr>
          <w:spacing w:val="-2"/>
          <w:sz w:val="22"/>
        </w:rPr>
        <w:t>employees.</w:t>
      </w:r>
    </w:p>
    <w:p>
      <w:pPr>
        <w:pStyle w:val="ListParagraph"/>
        <w:numPr>
          <w:ilvl w:val="1"/>
          <w:numId w:val="43"/>
        </w:numPr>
        <w:tabs>
          <w:tab w:pos="842" w:val="left" w:leader="none"/>
          <w:tab w:pos="844" w:val="left" w:leader="none"/>
        </w:tabs>
        <w:spacing w:line="360" w:lineRule="auto" w:before="0" w:after="0"/>
        <w:ind w:left="844" w:right="551" w:hanging="361"/>
        <w:jc w:val="left"/>
        <w:rPr>
          <w:sz w:val="22"/>
        </w:rPr>
      </w:pPr>
      <w:r>
        <w:rPr>
          <w:sz w:val="22"/>
        </w:rPr>
        <w:t>Support</w:t>
      </w:r>
      <w:r>
        <w:rPr>
          <w:spacing w:val="40"/>
          <w:sz w:val="22"/>
        </w:rPr>
        <w:t> </w:t>
      </w:r>
      <w:r>
        <w:rPr>
          <w:sz w:val="22"/>
        </w:rPr>
        <w:t>internal</w:t>
      </w:r>
      <w:r>
        <w:rPr>
          <w:spacing w:val="40"/>
          <w:sz w:val="22"/>
        </w:rPr>
        <w:t> </w:t>
      </w:r>
      <w:r>
        <w:rPr>
          <w:sz w:val="22"/>
        </w:rPr>
        <w:t>working</w:t>
      </w:r>
      <w:r>
        <w:rPr>
          <w:spacing w:val="40"/>
          <w:sz w:val="22"/>
        </w:rPr>
        <w:t> </w:t>
      </w:r>
      <w:r>
        <w:rPr>
          <w:sz w:val="22"/>
        </w:rPr>
        <w:t>groups</w:t>
      </w:r>
      <w:r>
        <w:rPr>
          <w:spacing w:val="40"/>
          <w:sz w:val="22"/>
        </w:rPr>
        <w:t> </w:t>
      </w:r>
      <w:r>
        <w:rPr>
          <w:sz w:val="22"/>
        </w:rPr>
        <w:t>to</w:t>
      </w:r>
      <w:r>
        <w:rPr>
          <w:spacing w:val="40"/>
          <w:sz w:val="22"/>
        </w:rPr>
        <w:t> </w:t>
      </w:r>
      <w:r>
        <w:rPr>
          <w:sz w:val="22"/>
        </w:rPr>
        <w:t>uplift</w:t>
      </w:r>
      <w:r>
        <w:rPr>
          <w:spacing w:val="40"/>
          <w:sz w:val="22"/>
        </w:rPr>
        <w:t> </w:t>
      </w:r>
      <w:r>
        <w:rPr>
          <w:sz w:val="22"/>
        </w:rPr>
        <w:t>conversations</w:t>
      </w:r>
      <w:r>
        <w:rPr>
          <w:spacing w:val="40"/>
          <w:sz w:val="22"/>
        </w:rPr>
        <w:t> </w:t>
      </w:r>
      <w:r>
        <w:rPr>
          <w:sz w:val="22"/>
        </w:rPr>
        <w:t>&amp;</w:t>
      </w:r>
      <w:r>
        <w:rPr>
          <w:spacing w:val="40"/>
          <w:sz w:val="22"/>
        </w:rPr>
        <w:t> </w:t>
      </w:r>
      <w:r>
        <w:rPr>
          <w:sz w:val="22"/>
        </w:rPr>
        <w:t>events</w:t>
      </w:r>
      <w:r>
        <w:rPr>
          <w:spacing w:val="40"/>
          <w:sz w:val="22"/>
        </w:rPr>
        <w:t> </w:t>
      </w:r>
      <w:r>
        <w:rPr>
          <w:sz w:val="22"/>
        </w:rPr>
        <w:t>on</w:t>
      </w:r>
      <w:r>
        <w:rPr>
          <w:spacing w:val="40"/>
          <w:sz w:val="22"/>
        </w:rPr>
        <w:t> </w:t>
      </w:r>
      <w:r>
        <w:rPr>
          <w:sz w:val="22"/>
        </w:rPr>
        <w:t>intersectionality</w:t>
      </w:r>
      <w:r>
        <w:rPr>
          <w:spacing w:val="40"/>
          <w:sz w:val="22"/>
        </w:rPr>
        <w:t> </w:t>
      </w:r>
      <w:r>
        <w:rPr>
          <w:sz w:val="22"/>
        </w:rPr>
        <w:t>in</w:t>
      </w:r>
      <w:r>
        <w:rPr>
          <w:spacing w:val="40"/>
          <w:sz w:val="22"/>
        </w:rPr>
        <w:t> </w:t>
      </w:r>
      <w:r>
        <w:rPr>
          <w:sz w:val="22"/>
        </w:rPr>
        <w:t>the </w:t>
      </w:r>
      <w:r>
        <w:rPr>
          <w:spacing w:val="-2"/>
          <w:sz w:val="22"/>
        </w:rPr>
        <w:t>workplace.</w:t>
      </w:r>
    </w:p>
    <w:p>
      <w:pPr>
        <w:pStyle w:val="ListParagraph"/>
        <w:numPr>
          <w:ilvl w:val="1"/>
          <w:numId w:val="43"/>
        </w:numPr>
        <w:tabs>
          <w:tab w:pos="842" w:val="left" w:leader="none"/>
          <w:tab w:pos="844" w:val="left" w:leader="none"/>
        </w:tabs>
        <w:spacing w:line="360" w:lineRule="auto" w:before="0" w:after="0"/>
        <w:ind w:left="844" w:right="553" w:hanging="361"/>
        <w:jc w:val="left"/>
        <w:rPr>
          <w:sz w:val="22"/>
        </w:rPr>
      </w:pPr>
      <w:r>
        <w:rPr>
          <w:sz w:val="22"/>
        </w:rPr>
        <w:t>In partnership with youth, develop resources and outreach materials targeted towards LGBTQ &amp; BIPOC youth to raise awareness about services &amp; programs available.</w:t>
      </w:r>
    </w:p>
    <w:p>
      <w:pPr>
        <w:pStyle w:val="BodyText"/>
        <w:spacing w:before="130"/>
      </w:pPr>
    </w:p>
    <w:p>
      <w:pPr>
        <w:spacing w:before="0"/>
        <w:ind w:left="483" w:right="0" w:firstLine="0"/>
        <w:jc w:val="left"/>
        <w:rPr>
          <w:sz w:val="28"/>
        </w:rPr>
      </w:pPr>
      <w:r>
        <w:rPr/>
        <mc:AlternateContent>
          <mc:Choice Requires="wps">
            <w:drawing>
              <wp:anchor distT="0" distB="0" distL="0" distR="0" allowOverlap="1" layoutInCell="1" locked="0" behindDoc="1" simplePos="0" relativeHeight="487716352">
                <wp:simplePos x="0" y="0"/>
                <wp:positionH relativeFrom="page">
                  <wp:posOffset>897636</wp:posOffset>
                </wp:positionH>
                <wp:positionV relativeFrom="paragraph">
                  <wp:posOffset>230260</wp:posOffset>
                </wp:positionV>
                <wp:extent cx="6028055" cy="6350"/>
                <wp:effectExtent l="0" t="0" r="0" b="0"/>
                <wp:wrapTopAndBottom/>
                <wp:docPr id="634" name="Graphic 634"/>
                <wp:cNvGraphicFramePr>
                  <a:graphicFrameLocks/>
                </wp:cNvGraphicFramePr>
                <a:graphic>
                  <a:graphicData uri="http://schemas.microsoft.com/office/word/2010/wordprocessingShape">
                    <wps:wsp>
                      <wps:cNvPr id="634" name="Graphic 634"/>
                      <wps:cNvSpPr/>
                      <wps:spPr>
                        <a:xfrm>
                          <a:off x="0" y="0"/>
                          <a:ext cx="6028055" cy="6350"/>
                        </a:xfrm>
                        <a:custGeom>
                          <a:avLst/>
                          <a:gdLst/>
                          <a:ahLst/>
                          <a:cxnLst/>
                          <a:rect l="l" t="t" r="r" b="b"/>
                          <a:pathLst>
                            <a:path w="6028055" h="6350">
                              <a:moveTo>
                                <a:pt x="6027432" y="0"/>
                              </a:moveTo>
                              <a:lnTo>
                                <a:pt x="0" y="0"/>
                              </a:lnTo>
                              <a:lnTo>
                                <a:pt x="0" y="6108"/>
                              </a:lnTo>
                              <a:lnTo>
                                <a:pt x="6027432" y="6108"/>
                              </a:lnTo>
                              <a:lnTo>
                                <a:pt x="6027432" y="0"/>
                              </a:lnTo>
                              <a:close/>
                            </a:path>
                          </a:pathLst>
                        </a:custGeom>
                        <a:solidFill>
                          <a:srgbClr val="4F81BC"/>
                        </a:solidFill>
                      </wps:spPr>
                      <wps:bodyPr wrap="square" lIns="0" tIns="0" rIns="0" bIns="0" rtlCol="0">
                        <a:prstTxWarp prst="textNoShape">
                          <a:avLst/>
                        </a:prstTxWarp>
                        <a:noAutofit/>
                      </wps:bodyPr>
                    </wps:wsp>
                  </a:graphicData>
                </a:graphic>
              </wp:anchor>
            </w:drawing>
          </mc:Choice>
          <mc:Fallback>
            <w:pict>
              <v:rect style="position:absolute;margin-left:70.680pt;margin-top:18.130718pt;width:474.601pt;height:.481pt;mso-position-horizontal-relative:page;mso-position-vertical-relative:paragraph;z-index:-15600128;mso-wrap-distance-left:0;mso-wrap-distance-right:0" id="docshape531" filled="true" fillcolor="#4f81bc" stroked="false">
                <v:fill type="solid"/>
                <w10:wrap type="topAndBottom"/>
              </v:rect>
            </w:pict>
          </mc:Fallback>
        </mc:AlternateContent>
      </w:r>
      <w:r>
        <w:rPr>
          <w:color w:val="365F91"/>
          <w:spacing w:val="-2"/>
          <w:sz w:val="28"/>
        </w:rPr>
        <w:t>Introduction</w:t>
      </w:r>
    </w:p>
    <w:p>
      <w:pPr>
        <w:pStyle w:val="BodyText"/>
        <w:spacing w:line="360" w:lineRule="auto" w:before="241"/>
        <w:ind w:left="483" w:right="261"/>
        <w:jc w:val="both"/>
      </w:pPr>
      <w:r>
        <w:rPr/>
        <w:t>The</w:t>
      </w:r>
      <w:r>
        <w:rPr>
          <w:spacing w:val="-4"/>
        </w:rPr>
        <w:t> </w:t>
      </w:r>
      <w:r>
        <w:rPr/>
        <w:t>Department</w:t>
      </w:r>
      <w:r>
        <w:rPr>
          <w:spacing w:val="-4"/>
        </w:rPr>
        <w:t> </w:t>
      </w:r>
      <w:r>
        <w:rPr/>
        <w:t>of</w:t>
      </w:r>
      <w:r>
        <w:rPr>
          <w:spacing w:val="-4"/>
        </w:rPr>
        <w:t> </w:t>
      </w:r>
      <w:r>
        <w:rPr/>
        <w:t>Transitional</w:t>
      </w:r>
      <w:r>
        <w:rPr>
          <w:spacing w:val="-4"/>
        </w:rPr>
        <w:t> </w:t>
      </w:r>
      <w:r>
        <w:rPr/>
        <w:t>Assistance</w:t>
      </w:r>
      <w:r>
        <w:rPr>
          <w:spacing w:val="-4"/>
        </w:rPr>
        <w:t> </w:t>
      </w:r>
      <w:r>
        <w:rPr/>
        <w:t>(DTA)</w:t>
      </w:r>
      <w:r>
        <w:rPr>
          <w:spacing w:val="-3"/>
        </w:rPr>
        <w:t> </w:t>
      </w:r>
      <w:r>
        <w:rPr/>
        <w:t>assists</w:t>
      </w:r>
      <w:r>
        <w:rPr>
          <w:spacing w:val="-4"/>
        </w:rPr>
        <w:t> </w:t>
      </w:r>
      <w:r>
        <w:rPr/>
        <w:t>low-income</w:t>
      </w:r>
      <w:r>
        <w:rPr>
          <w:spacing w:val="-4"/>
        </w:rPr>
        <w:t> </w:t>
      </w:r>
      <w:r>
        <w:rPr/>
        <w:t>individuals</w:t>
      </w:r>
      <w:r>
        <w:rPr>
          <w:spacing w:val="-4"/>
        </w:rPr>
        <w:t> </w:t>
      </w:r>
      <w:r>
        <w:rPr/>
        <w:t>and</w:t>
      </w:r>
      <w:r>
        <w:rPr>
          <w:spacing w:val="-4"/>
        </w:rPr>
        <w:t> </w:t>
      </w:r>
      <w:r>
        <w:rPr/>
        <w:t>their</w:t>
      </w:r>
      <w:r>
        <w:rPr>
          <w:spacing w:val="-4"/>
        </w:rPr>
        <w:t> </w:t>
      </w:r>
      <w:r>
        <w:rPr/>
        <w:t>families</w:t>
      </w:r>
      <w:r>
        <w:rPr>
          <w:spacing w:val="-4"/>
        </w:rPr>
        <w:t> </w:t>
      </w:r>
      <w:r>
        <w:rPr/>
        <w:t>to</w:t>
      </w:r>
      <w:r>
        <w:rPr>
          <w:spacing w:val="-3"/>
        </w:rPr>
        <w:t> </w:t>
      </w:r>
      <w:r>
        <w:rPr/>
        <w:t>meet their</w:t>
      </w:r>
      <w:r>
        <w:rPr>
          <w:spacing w:val="-9"/>
        </w:rPr>
        <w:t> </w:t>
      </w:r>
      <w:r>
        <w:rPr/>
        <w:t>basic</w:t>
      </w:r>
      <w:r>
        <w:rPr>
          <w:spacing w:val="-10"/>
        </w:rPr>
        <w:t> </w:t>
      </w:r>
      <w:r>
        <w:rPr/>
        <w:t>needs,</w:t>
      </w:r>
      <w:r>
        <w:rPr>
          <w:spacing w:val="-10"/>
        </w:rPr>
        <w:t> </w:t>
      </w:r>
      <w:r>
        <w:rPr/>
        <w:t>increase</w:t>
      </w:r>
      <w:r>
        <w:rPr>
          <w:spacing w:val="-9"/>
        </w:rPr>
        <w:t> </w:t>
      </w:r>
      <w:r>
        <w:rPr/>
        <w:t>their</w:t>
      </w:r>
      <w:r>
        <w:rPr>
          <w:spacing w:val="-9"/>
        </w:rPr>
        <w:t> </w:t>
      </w:r>
      <w:r>
        <w:rPr/>
        <w:t>incomes,</w:t>
      </w:r>
      <w:r>
        <w:rPr>
          <w:spacing w:val="-10"/>
        </w:rPr>
        <w:t> </w:t>
      </w:r>
      <w:r>
        <w:rPr/>
        <w:t>and</w:t>
      </w:r>
      <w:r>
        <w:rPr>
          <w:spacing w:val="-10"/>
        </w:rPr>
        <w:t> </w:t>
      </w:r>
      <w:r>
        <w:rPr/>
        <w:t>improve</w:t>
      </w:r>
      <w:r>
        <w:rPr>
          <w:spacing w:val="-9"/>
        </w:rPr>
        <w:t> </w:t>
      </w:r>
      <w:r>
        <w:rPr/>
        <w:t>overall</w:t>
      </w:r>
      <w:r>
        <w:rPr>
          <w:spacing w:val="-10"/>
        </w:rPr>
        <w:t> </w:t>
      </w:r>
      <w:r>
        <w:rPr/>
        <w:t>quality</w:t>
      </w:r>
      <w:r>
        <w:rPr>
          <w:spacing w:val="-10"/>
        </w:rPr>
        <w:t> </w:t>
      </w:r>
      <w:r>
        <w:rPr/>
        <w:t>of</w:t>
      </w:r>
      <w:r>
        <w:rPr>
          <w:spacing w:val="-10"/>
        </w:rPr>
        <w:t> </w:t>
      </w:r>
      <w:r>
        <w:rPr/>
        <w:t>life.</w:t>
      </w:r>
      <w:r>
        <w:rPr>
          <w:spacing w:val="-9"/>
        </w:rPr>
        <w:t> </w:t>
      </w:r>
      <w:r>
        <w:rPr/>
        <w:t>Per</w:t>
      </w:r>
      <w:r>
        <w:rPr>
          <w:spacing w:val="-10"/>
        </w:rPr>
        <w:t> </w:t>
      </w:r>
      <w:r>
        <w:rPr/>
        <w:t>DTA’s</w:t>
      </w:r>
      <w:r>
        <w:rPr>
          <w:spacing w:val="-10"/>
        </w:rPr>
        <w:t> </w:t>
      </w:r>
      <w:r>
        <w:rPr/>
        <w:t>website,</w:t>
      </w:r>
      <w:r>
        <w:rPr>
          <w:spacing w:val="-7"/>
        </w:rPr>
        <w:t> </w:t>
      </w:r>
      <w:r>
        <w:rPr/>
        <w:t>the</w:t>
      </w:r>
      <w:r>
        <w:rPr>
          <w:spacing w:val="-9"/>
        </w:rPr>
        <w:t> </w:t>
      </w:r>
      <w:r>
        <w:rPr/>
        <w:t>agency services 1 in 7 Massachusetts families every year with direct assistance through cash benefits, food assistance,</w:t>
      </w:r>
      <w:r>
        <w:rPr>
          <w:spacing w:val="-4"/>
        </w:rPr>
        <w:t> </w:t>
      </w:r>
      <w:r>
        <w:rPr/>
        <w:t>and</w:t>
      </w:r>
      <w:r>
        <w:rPr>
          <w:spacing w:val="-4"/>
        </w:rPr>
        <w:t> </w:t>
      </w:r>
      <w:r>
        <w:rPr/>
        <w:t>workplace</w:t>
      </w:r>
      <w:r>
        <w:rPr>
          <w:spacing w:val="-3"/>
        </w:rPr>
        <w:t> </w:t>
      </w:r>
      <w:r>
        <w:rPr/>
        <w:t>training</w:t>
      </w:r>
      <w:r>
        <w:rPr>
          <w:spacing w:val="-4"/>
        </w:rPr>
        <w:t> </w:t>
      </w:r>
      <w:r>
        <w:rPr/>
        <w:t>opportunities.</w:t>
      </w:r>
      <w:r>
        <w:rPr>
          <w:spacing w:val="-3"/>
        </w:rPr>
        <w:t> </w:t>
      </w:r>
      <w:r>
        <w:rPr/>
        <w:t>Like</w:t>
      </w:r>
      <w:r>
        <w:rPr>
          <w:spacing w:val="-4"/>
        </w:rPr>
        <w:t> </w:t>
      </w:r>
      <w:r>
        <w:rPr/>
        <w:t>many</w:t>
      </w:r>
      <w:r>
        <w:rPr>
          <w:spacing w:val="-3"/>
        </w:rPr>
        <w:t> </w:t>
      </w:r>
      <w:r>
        <w:rPr/>
        <w:t>agencies</w:t>
      </w:r>
      <w:r>
        <w:rPr>
          <w:spacing w:val="-4"/>
        </w:rPr>
        <w:t> </w:t>
      </w:r>
      <w:r>
        <w:rPr/>
        <w:t>and</w:t>
      </w:r>
      <w:r>
        <w:rPr>
          <w:spacing w:val="-3"/>
        </w:rPr>
        <w:t> </w:t>
      </w:r>
      <w:r>
        <w:rPr/>
        <w:t>programs,</w:t>
      </w:r>
      <w:r>
        <w:rPr>
          <w:spacing w:val="-4"/>
        </w:rPr>
        <w:t> </w:t>
      </w:r>
      <w:r>
        <w:rPr/>
        <w:t>DTA</w:t>
      </w:r>
      <w:r>
        <w:rPr>
          <w:spacing w:val="-4"/>
        </w:rPr>
        <w:t> </w:t>
      </w:r>
      <w:r>
        <w:rPr/>
        <w:t>has</w:t>
      </w:r>
      <w:r>
        <w:rPr>
          <w:spacing w:val="-4"/>
        </w:rPr>
        <w:t> </w:t>
      </w:r>
      <w:r>
        <w:rPr/>
        <w:t>experienced a significant growth in the demand for its services during the COVID pandemic.</w:t>
      </w:r>
    </w:p>
    <w:p>
      <w:pPr>
        <w:pStyle w:val="BodyText"/>
        <w:spacing w:line="360" w:lineRule="auto" w:before="240"/>
        <w:ind w:left="483" w:right="261"/>
        <w:jc w:val="both"/>
      </w:pPr>
      <w:r>
        <w:rPr/>
        <w:t>It is difficult to capture specific experiences of Massachusetts LGBTQ residents as DTA does not currently collect</w:t>
      </w:r>
      <w:r>
        <w:rPr>
          <w:spacing w:val="-12"/>
        </w:rPr>
        <w:t> </w:t>
      </w:r>
      <w:r>
        <w:rPr/>
        <w:t>SOGIE</w:t>
      </w:r>
      <w:r>
        <w:rPr>
          <w:spacing w:val="-12"/>
        </w:rPr>
        <w:t> </w:t>
      </w:r>
      <w:r>
        <w:rPr/>
        <w:t>data</w:t>
      </w:r>
      <w:r>
        <w:rPr>
          <w:spacing w:val="-12"/>
        </w:rPr>
        <w:t> </w:t>
      </w:r>
      <w:r>
        <w:rPr/>
        <w:t>from</w:t>
      </w:r>
      <w:r>
        <w:rPr>
          <w:spacing w:val="-13"/>
        </w:rPr>
        <w:t> </w:t>
      </w:r>
      <w:r>
        <w:rPr/>
        <w:t>clients.</w:t>
      </w:r>
      <w:r>
        <w:rPr>
          <w:spacing w:val="-12"/>
        </w:rPr>
        <w:t> </w:t>
      </w:r>
      <w:r>
        <w:rPr/>
        <w:t>However,</w:t>
      </w:r>
      <w:r>
        <w:rPr>
          <w:spacing w:val="-12"/>
        </w:rPr>
        <w:t> </w:t>
      </w:r>
      <w:r>
        <w:rPr/>
        <w:t>research</w:t>
      </w:r>
      <w:r>
        <w:rPr>
          <w:spacing w:val="-12"/>
        </w:rPr>
        <w:t> </w:t>
      </w:r>
      <w:r>
        <w:rPr/>
        <w:t>indicates</w:t>
      </w:r>
      <w:r>
        <w:rPr>
          <w:spacing w:val="-12"/>
        </w:rPr>
        <w:t> </w:t>
      </w:r>
      <w:r>
        <w:rPr/>
        <w:t>that</w:t>
      </w:r>
      <w:r>
        <w:rPr>
          <w:spacing w:val="-13"/>
        </w:rPr>
        <w:t> </w:t>
      </w:r>
      <w:r>
        <w:rPr/>
        <w:t>LGBTQ</w:t>
      </w:r>
      <w:r>
        <w:rPr>
          <w:spacing w:val="-12"/>
        </w:rPr>
        <w:t> </w:t>
      </w:r>
      <w:r>
        <w:rPr/>
        <w:t>youth</w:t>
      </w:r>
      <w:r>
        <w:rPr>
          <w:spacing w:val="-12"/>
        </w:rPr>
        <w:t> </w:t>
      </w:r>
      <w:r>
        <w:rPr/>
        <w:t>are</w:t>
      </w:r>
      <w:r>
        <w:rPr>
          <w:spacing w:val="-12"/>
        </w:rPr>
        <w:t> </w:t>
      </w:r>
      <w:r>
        <w:rPr/>
        <w:t>disproportionately</w:t>
      </w:r>
      <w:r>
        <w:rPr>
          <w:spacing w:val="-12"/>
        </w:rPr>
        <w:t> </w:t>
      </w:r>
      <w:r>
        <w:rPr/>
        <w:t>food insecure</w:t>
      </w:r>
      <w:r>
        <w:rPr>
          <w:spacing w:val="-9"/>
        </w:rPr>
        <w:t> </w:t>
      </w:r>
      <w:r>
        <w:rPr/>
        <w:t>as</w:t>
      </w:r>
      <w:r>
        <w:rPr>
          <w:spacing w:val="-7"/>
        </w:rPr>
        <w:t> </w:t>
      </w:r>
      <w:r>
        <w:rPr/>
        <w:t>compared</w:t>
      </w:r>
      <w:r>
        <w:rPr>
          <w:spacing w:val="-9"/>
        </w:rPr>
        <w:t> </w:t>
      </w:r>
      <w:r>
        <w:rPr/>
        <w:t>to</w:t>
      </w:r>
      <w:r>
        <w:rPr>
          <w:spacing w:val="-8"/>
        </w:rPr>
        <w:t> </w:t>
      </w:r>
      <w:r>
        <w:rPr/>
        <w:t>their</w:t>
      </w:r>
      <w:r>
        <w:rPr>
          <w:spacing w:val="-9"/>
        </w:rPr>
        <w:t> </w:t>
      </w:r>
      <w:r>
        <w:rPr/>
        <w:t>heterosexual</w:t>
      </w:r>
      <w:r>
        <w:rPr>
          <w:spacing w:val="-9"/>
        </w:rPr>
        <w:t> </w:t>
      </w:r>
      <w:r>
        <w:rPr/>
        <w:t>and</w:t>
      </w:r>
      <w:r>
        <w:rPr>
          <w:spacing w:val="-8"/>
        </w:rPr>
        <w:t> </w:t>
      </w:r>
      <w:r>
        <w:rPr/>
        <w:t>cisgender</w:t>
      </w:r>
      <w:r>
        <w:rPr>
          <w:spacing w:val="-9"/>
        </w:rPr>
        <w:t> </w:t>
      </w:r>
      <w:r>
        <w:rPr/>
        <w:t>peers.</w:t>
      </w:r>
      <w:r>
        <w:rPr>
          <w:spacing w:val="-8"/>
        </w:rPr>
        <w:t> </w:t>
      </w:r>
      <w:r>
        <w:rPr/>
        <w:t>To</w:t>
      </w:r>
      <w:r>
        <w:rPr>
          <w:spacing w:val="-8"/>
        </w:rPr>
        <w:t> </w:t>
      </w:r>
      <w:r>
        <w:rPr/>
        <w:t>begin,</w:t>
      </w:r>
      <w:r>
        <w:rPr>
          <w:spacing w:val="-7"/>
        </w:rPr>
        <w:t> </w:t>
      </w:r>
      <w:r>
        <w:rPr/>
        <w:t>the</w:t>
      </w:r>
      <w:r>
        <w:rPr>
          <w:spacing w:val="-8"/>
        </w:rPr>
        <w:t> </w:t>
      </w:r>
      <w:r>
        <w:rPr/>
        <w:t>most</w:t>
      </w:r>
      <w:r>
        <w:rPr>
          <w:spacing w:val="-9"/>
        </w:rPr>
        <w:t> </w:t>
      </w:r>
      <w:r>
        <w:rPr/>
        <w:t>recent</w:t>
      </w:r>
      <w:r>
        <w:rPr>
          <w:spacing w:val="-8"/>
        </w:rPr>
        <w:t> </w:t>
      </w:r>
      <w:r>
        <w:rPr/>
        <w:t>Massachusetts 202</w:t>
      </w:r>
      <w:r>
        <w:rPr>
          <w:sz w:val="21"/>
        </w:rPr>
        <w:t>2 </w:t>
      </w:r>
      <w:r>
        <w:rPr/>
        <w:t>Youth</w:t>
      </w:r>
      <w:r>
        <w:rPr>
          <w:spacing w:val="-1"/>
        </w:rPr>
        <w:t> </w:t>
      </w:r>
      <w:r>
        <w:rPr/>
        <w:t>Count, noted that</w:t>
      </w:r>
      <w:r>
        <w:rPr>
          <w:spacing w:val="-1"/>
        </w:rPr>
        <w:t> </w:t>
      </w:r>
      <w:r>
        <w:rPr/>
        <w:t>3</w:t>
      </w:r>
      <w:r>
        <w:rPr>
          <w:sz w:val="21"/>
        </w:rPr>
        <w:t>0</w:t>
      </w:r>
      <w:r>
        <w:rPr/>
        <w:t>% of youth</w:t>
      </w:r>
      <w:r>
        <w:rPr>
          <w:spacing w:val="-1"/>
        </w:rPr>
        <w:t> </w:t>
      </w:r>
      <w:r>
        <w:rPr/>
        <w:t>experiencing homelessness identified</w:t>
      </w:r>
      <w:r>
        <w:rPr>
          <w:spacing w:val="-1"/>
        </w:rPr>
        <w:t> </w:t>
      </w:r>
      <w:r>
        <w:rPr/>
        <w:t>as LGBTQ and</w:t>
      </w:r>
      <w:r>
        <w:rPr>
          <w:spacing w:val="-1"/>
        </w:rPr>
        <w:t> </w:t>
      </w:r>
      <w:r>
        <w:rPr/>
        <w:t>6</w:t>
      </w:r>
      <w:r>
        <w:rPr>
          <w:sz w:val="21"/>
        </w:rPr>
        <w:t>0.2</w:t>
      </w:r>
      <w:r>
        <w:rPr/>
        <w:t>% of all youth experiencing homelessness identified as BIPOC</w:t>
      </w:r>
      <w:hyperlink w:history="true" w:anchor="_bookmark640">
        <w:r>
          <w:rPr/>
          <w:t>.</w:t>
        </w:r>
        <w:r>
          <w:rPr>
            <w:vertAlign w:val="superscript"/>
          </w:rPr>
          <w:t>1</w:t>
        </w:r>
      </w:hyperlink>
    </w:p>
    <w:p>
      <w:pPr>
        <w:pStyle w:val="BodyText"/>
        <w:spacing w:line="360" w:lineRule="auto" w:before="239"/>
        <w:ind w:left="483" w:right="261"/>
        <w:jc w:val="both"/>
      </w:pPr>
      <w:r>
        <w:rPr/>
        <w:t>A national study in 2014 found that LGB adults raising children are nearly twice as likely to receive SNAP benefits as their heterosexual counterparts. Additionally, 26% of LGB youth aged 18 to 24 received SNAP benefits compared</w:t>
      </w:r>
      <w:r>
        <w:rPr>
          <w:spacing w:val="-1"/>
        </w:rPr>
        <w:t> </w:t>
      </w:r>
      <w:r>
        <w:rPr/>
        <w:t>to 17% of heterosexual</w:t>
      </w:r>
      <w:r>
        <w:rPr>
          <w:spacing w:val="-1"/>
        </w:rPr>
        <w:t> </w:t>
      </w:r>
      <w:r>
        <w:rPr/>
        <w:t>and</w:t>
      </w:r>
      <w:r>
        <w:rPr>
          <w:spacing w:val="-1"/>
        </w:rPr>
        <w:t> </w:t>
      </w:r>
      <w:r>
        <w:rPr/>
        <w:t>cisgender youth</w:t>
      </w:r>
      <w:hyperlink w:history="true" w:anchor="_bookmark641">
        <w:r>
          <w:rPr/>
          <w:t>.</w:t>
        </w:r>
        <w:r>
          <w:rPr>
            <w:vertAlign w:val="superscript"/>
          </w:rPr>
          <w:t>2</w:t>
        </w:r>
      </w:hyperlink>
      <w:r>
        <w:rPr>
          <w:spacing w:val="-1"/>
          <w:vertAlign w:val="baseline"/>
        </w:rPr>
        <w:t> </w:t>
      </w:r>
      <w:r>
        <w:rPr>
          <w:vertAlign w:val="baseline"/>
        </w:rPr>
        <w:t>In</w:t>
      </w:r>
      <w:r>
        <w:rPr>
          <w:spacing w:val="-1"/>
          <w:vertAlign w:val="baseline"/>
        </w:rPr>
        <w:t> </w:t>
      </w:r>
      <w:r>
        <w:rPr>
          <w:vertAlign w:val="baseline"/>
        </w:rPr>
        <w:t>the</w:t>
      </w:r>
      <w:r>
        <w:rPr>
          <w:spacing w:val="-1"/>
          <w:vertAlign w:val="baseline"/>
        </w:rPr>
        <w:t> </w:t>
      </w:r>
      <w:r>
        <w:rPr>
          <w:vertAlign w:val="baseline"/>
        </w:rPr>
        <w:t>first</w:t>
      </w:r>
      <w:r>
        <w:rPr>
          <w:spacing w:val="-1"/>
          <w:vertAlign w:val="baseline"/>
        </w:rPr>
        <w:t> </w:t>
      </w:r>
      <w:r>
        <w:rPr>
          <w:vertAlign w:val="baseline"/>
        </w:rPr>
        <w:t>year of the</w:t>
      </w:r>
      <w:r>
        <w:rPr>
          <w:spacing w:val="-1"/>
          <w:vertAlign w:val="baseline"/>
        </w:rPr>
        <w:t> </w:t>
      </w:r>
      <w:r>
        <w:rPr>
          <w:vertAlign w:val="baseline"/>
        </w:rPr>
        <w:t>COVID pandemic, a</w:t>
      </w:r>
      <w:r>
        <w:rPr>
          <w:spacing w:val="-1"/>
          <w:vertAlign w:val="baseline"/>
        </w:rPr>
        <w:t> </w:t>
      </w:r>
      <w:r>
        <w:rPr>
          <w:vertAlign w:val="baseline"/>
        </w:rPr>
        <w:t>SNAP</w:t>
      </w:r>
      <w:r>
        <w:rPr>
          <w:spacing w:val="-1"/>
          <w:vertAlign w:val="baseline"/>
        </w:rPr>
        <w:t> </w:t>
      </w:r>
      <w:r>
        <w:rPr>
          <w:vertAlign w:val="baseline"/>
        </w:rPr>
        <w:t>participation</w:t>
      </w:r>
      <w:r>
        <w:rPr>
          <w:spacing w:val="-2"/>
          <w:vertAlign w:val="baseline"/>
        </w:rPr>
        <w:t> </w:t>
      </w:r>
      <w:r>
        <w:rPr>
          <w:vertAlign w:val="baseline"/>
        </w:rPr>
        <w:t>study noted</w:t>
      </w:r>
      <w:r>
        <w:rPr>
          <w:spacing w:val="-1"/>
          <w:vertAlign w:val="baseline"/>
        </w:rPr>
        <w:t> </w:t>
      </w:r>
      <w:r>
        <w:rPr>
          <w:vertAlign w:val="baseline"/>
        </w:rPr>
        <w:t>that</w:t>
      </w:r>
      <w:r>
        <w:rPr>
          <w:spacing w:val="-1"/>
          <w:vertAlign w:val="baseline"/>
        </w:rPr>
        <w:t> </w:t>
      </w:r>
      <w:r>
        <w:rPr>
          <w:vertAlign w:val="baseline"/>
        </w:rPr>
        <w:t>18%</w:t>
      </w:r>
      <w:r>
        <w:rPr>
          <w:spacing w:val="-1"/>
          <w:vertAlign w:val="baseline"/>
        </w:rPr>
        <w:t> </w:t>
      </w:r>
      <w:r>
        <w:rPr>
          <w:vertAlign w:val="baseline"/>
        </w:rPr>
        <w:t>of</w:t>
      </w:r>
      <w:r>
        <w:rPr>
          <w:spacing w:val="-1"/>
          <w:vertAlign w:val="baseline"/>
        </w:rPr>
        <w:t> </w:t>
      </w:r>
      <w:r>
        <w:rPr>
          <w:vertAlign w:val="baseline"/>
        </w:rPr>
        <w:t>LGBTQ women</w:t>
      </w:r>
      <w:r>
        <w:rPr>
          <w:spacing w:val="-2"/>
          <w:vertAlign w:val="baseline"/>
        </w:rPr>
        <w:t> </w:t>
      </w:r>
      <w:r>
        <w:rPr>
          <w:vertAlign w:val="baseline"/>
        </w:rPr>
        <w:t>received</w:t>
      </w:r>
      <w:r>
        <w:rPr>
          <w:spacing w:val="-2"/>
          <w:vertAlign w:val="baseline"/>
        </w:rPr>
        <w:t> </w:t>
      </w:r>
      <w:r>
        <w:rPr>
          <w:vertAlign w:val="baseline"/>
        </w:rPr>
        <w:t>SNAP benefits compared</w:t>
      </w:r>
      <w:r>
        <w:rPr>
          <w:spacing w:val="-2"/>
          <w:vertAlign w:val="baseline"/>
        </w:rPr>
        <w:t> </w:t>
      </w:r>
      <w:r>
        <w:rPr>
          <w:vertAlign w:val="baseline"/>
        </w:rPr>
        <w:t>to</w:t>
      </w:r>
      <w:r>
        <w:rPr>
          <w:spacing w:val="-1"/>
          <w:vertAlign w:val="baseline"/>
        </w:rPr>
        <w:t> </w:t>
      </w:r>
      <w:r>
        <w:rPr>
          <w:vertAlign w:val="baseline"/>
        </w:rPr>
        <w:t>10%</w:t>
      </w:r>
      <w:r>
        <w:rPr>
          <w:spacing w:val="-1"/>
          <w:vertAlign w:val="baseline"/>
        </w:rPr>
        <w:t> </w:t>
      </w:r>
      <w:r>
        <w:rPr>
          <w:vertAlign w:val="baseline"/>
        </w:rPr>
        <w:t>of heterosexual and</w:t>
      </w:r>
      <w:r>
        <w:rPr>
          <w:spacing w:val="-2"/>
          <w:vertAlign w:val="baseline"/>
        </w:rPr>
        <w:t> </w:t>
      </w:r>
      <w:r>
        <w:rPr>
          <w:vertAlign w:val="baseline"/>
        </w:rPr>
        <w:t>cisgender</w:t>
      </w:r>
      <w:r>
        <w:rPr>
          <w:spacing w:val="-2"/>
          <w:vertAlign w:val="baseline"/>
        </w:rPr>
        <w:t> </w:t>
      </w:r>
      <w:r>
        <w:rPr>
          <w:vertAlign w:val="baseline"/>
        </w:rPr>
        <w:t>women</w:t>
      </w:r>
      <w:hyperlink w:history="true" w:anchor="_bookmark642">
        <w:r>
          <w:rPr>
            <w:vertAlign w:val="baseline"/>
          </w:rPr>
          <w:t>.</w:t>
        </w:r>
        <w:r>
          <w:rPr>
            <w:vertAlign w:val="superscript"/>
          </w:rPr>
          <w:t>3</w:t>
        </w:r>
      </w:hyperlink>
      <w:r>
        <w:rPr>
          <w:spacing w:val="-1"/>
          <w:vertAlign w:val="baseline"/>
        </w:rPr>
        <w:t> </w:t>
      </w:r>
      <w:r>
        <w:rPr>
          <w:vertAlign w:val="baseline"/>
        </w:rPr>
        <w:t>Overall,</w:t>
      </w:r>
      <w:r>
        <w:rPr>
          <w:spacing w:val="-2"/>
          <w:vertAlign w:val="baseline"/>
        </w:rPr>
        <w:t> </w:t>
      </w:r>
      <w:r>
        <w:rPr>
          <w:vertAlign w:val="baseline"/>
        </w:rPr>
        <w:t>as</w:t>
      </w:r>
      <w:r>
        <w:rPr>
          <w:spacing w:val="-2"/>
          <w:vertAlign w:val="baseline"/>
        </w:rPr>
        <w:t> </w:t>
      </w:r>
      <w:r>
        <w:rPr>
          <w:vertAlign w:val="baseline"/>
        </w:rPr>
        <w:t>discussed</w:t>
      </w:r>
      <w:r>
        <w:rPr>
          <w:spacing w:val="-2"/>
          <w:vertAlign w:val="baseline"/>
        </w:rPr>
        <w:t> </w:t>
      </w:r>
      <w:r>
        <w:rPr>
          <w:vertAlign w:val="baseline"/>
        </w:rPr>
        <w:t>in</w:t>
      </w:r>
      <w:r>
        <w:rPr>
          <w:spacing w:val="-2"/>
          <w:vertAlign w:val="baseline"/>
        </w:rPr>
        <w:t> </w:t>
      </w:r>
      <w:r>
        <w:rPr>
          <w:vertAlign w:val="baseline"/>
        </w:rPr>
        <w:t>several</w:t>
      </w:r>
      <w:r>
        <w:rPr>
          <w:spacing w:val="-2"/>
          <w:vertAlign w:val="baseline"/>
        </w:rPr>
        <w:t> </w:t>
      </w:r>
      <w:r>
        <w:rPr>
          <w:vertAlign w:val="baseline"/>
        </w:rPr>
        <w:t>above</w:t>
      </w:r>
      <w:r>
        <w:rPr>
          <w:spacing w:val="-2"/>
          <w:vertAlign w:val="baseline"/>
        </w:rPr>
        <w:t> </w:t>
      </w:r>
      <w:r>
        <w:rPr>
          <w:vertAlign w:val="baseline"/>
        </w:rPr>
        <w:t>sections</w:t>
      </w:r>
      <w:r>
        <w:rPr>
          <w:spacing w:val="-2"/>
          <w:vertAlign w:val="baseline"/>
        </w:rPr>
        <w:t> </w:t>
      </w:r>
      <w:r>
        <w:rPr>
          <w:vertAlign w:val="baseline"/>
        </w:rPr>
        <w:t>of</w:t>
      </w:r>
      <w:r>
        <w:rPr>
          <w:spacing w:val="-2"/>
          <w:vertAlign w:val="baseline"/>
        </w:rPr>
        <w:t> </w:t>
      </w:r>
      <w:r>
        <w:rPr>
          <w:vertAlign w:val="baseline"/>
        </w:rPr>
        <w:t>this</w:t>
      </w:r>
      <w:r>
        <w:rPr>
          <w:spacing w:val="-2"/>
          <w:vertAlign w:val="baseline"/>
        </w:rPr>
        <w:t> </w:t>
      </w:r>
      <w:r>
        <w:rPr>
          <w:vertAlign w:val="baseline"/>
        </w:rPr>
        <w:t>annual</w:t>
      </w:r>
      <w:r>
        <w:rPr>
          <w:spacing w:val="-2"/>
          <w:vertAlign w:val="baseline"/>
        </w:rPr>
        <w:t> </w:t>
      </w:r>
      <w:r>
        <w:rPr>
          <w:vertAlign w:val="baseline"/>
        </w:rPr>
        <w:t>report,</w:t>
      </w:r>
    </w:p>
    <w:p>
      <w:pPr>
        <w:spacing w:after="0" w:line="360" w:lineRule="auto"/>
        <w:jc w:val="both"/>
        <w:sectPr>
          <w:headerReference w:type="default" r:id="rId753"/>
          <w:footerReference w:type="default" r:id="rId754"/>
          <w:pgSz w:w="12240" w:h="15840"/>
          <w:pgMar w:header="804" w:footer="1263" w:top="1000" w:bottom="1460" w:left="960" w:right="1100"/>
        </w:sectPr>
      </w:pPr>
    </w:p>
    <w:p>
      <w:pPr>
        <w:pStyle w:val="BodyText"/>
        <w:spacing w:before="98"/>
      </w:pPr>
    </w:p>
    <w:p>
      <w:pPr>
        <w:pStyle w:val="BodyText"/>
        <w:spacing w:line="360" w:lineRule="auto"/>
        <w:ind w:left="483" w:right="260"/>
        <w:jc w:val="both"/>
      </w:pPr>
      <w:r>
        <w:rPr/>
        <w:t>LGBTQ communities - especially QTBIPOC communities - are particularly vulnerable to poverty due to stigma, lack of accessibility, employment discrimination, systemic barriers, and more.</w:t>
      </w:r>
    </w:p>
    <w:p>
      <w:pPr>
        <w:spacing w:before="238"/>
        <w:ind w:left="483" w:right="0" w:firstLine="0"/>
        <w:jc w:val="both"/>
        <w:rPr>
          <w:sz w:val="24"/>
        </w:rPr>
      </w:pPr>
      <w:r>
        <w:rPr>
          <w:color w:val="365F91"/>
          <w:sz w:val="24"/>
        </w:rPr>
        <w:t>Past</w:t>
      </w:r>
      <w:r>
        <w:rPr>
          <w:color w:val="365F91"/>
          <w:spacing w:val="-5"/>
          <w:sz w:val="24"/>
        </w:rPr>
        <w:t> </w:t>
      </w:r>
      <w:r>
        <w:rPr>
          <w:color w:val="365F91"/>
          <w:sz w:val="24"/>
        </w:rPr>
        <w:t>&amp;</w:t>
      </w:r>
      <w:r>
        <w:rPr>
          <w:color w:val="365F91"/>
          <w:spacing w:val="-1"/>
          <w:sz w:val="24"/>
        </w:rPr>
        <w:t> </w:t>
      </w:r>
      <w:r>
        <w:rPr>
          <w:color w:val="365F91"/>
          <w:sz w:val="24"/>
        </w:rPr>
        <w:t>Ongoing</w:t>
      </w:r>
      <w:r>
        <w:rPr>
          <w:color w:val="365F91"/>
          <w:spacing w:val="-2"/>
          <w:sz w:val="24"/>
        </w:rPr>
        <w:t> </w:t>
      </w:r>
      <w:r>
        <w:rPr>
          <w:color w:val="365F91"/>
          <w:spacing w:val="-4"/>
          <w:sz w:val="24"/>
        </w:rPr>
        <w:t>Work</w:t>
      </w:r>
    </w:p>
    <w:p>
      <w:pPr>
        <w:pStyle w:val="BodyText"/>
        <w:spacing w:before="96"/>
        <w:rPr>
          <w:sz w:val="24"/>
        </w:rPr>
      </w:pPr>
    </w:p>
    <w:p>
      <w:pPr>
        <w:spacing w:line="360" w:lineRule="auto" w:before="0"/>
        <w:ind w:left="483" w:right="259" w:firstLine="0"/>
        <w:jc w:val="both"/>
        <w:rPr>
          <w:sz w:val="21"/>
        </w:rPr>
      </w:pPr>
      <w:r>
        <w:rPr>
          <w:sz w:val="22"/>
        </w:rPr>
        <w:t>For many years, the Commission has appreciated the opportunity to collaborate with DTA to support internal efforts to help offices become more affirming for LGBTQ youth, families, and employees. </w:t>
      </w:r>
      <w:r>
        <w:rPr>
          <w:sz w:val="21"/>
        </w:rPr>
        <w:t>Several years</w:t>
      </w:r>
      <w:r>
        <w:rPr>
          <w:spacing w:val="-5"/>
          <w:sz w:val="21"/>
        </w:rPr>
        <w:t> </w:t>
      </w:r>
      <w:r>
        <w:rPr>
          <w:sz w:val="21"/>
        </w:rPr>
        <w:t>ago,</w:t>
      </w:r>
      <w:r>
        <w:rPr>
          <w:spacing w:val="-4"/>
          <w:sz w:val="21"/>
        </w:rPr>
        <w:t> </w:t>
      </w:r>
      <w:r>
        <w:rPr>
          <w:sz w:val="22"/>
        </w:rPr>
        <w:t>DTA</w:t>
      </w:r>
      <w:r>
        <w:rPr>
          <w:spacing w:val="-6"/>
          <w:sz w:val="22"/>
        </w:rPr>
        <w:t> </w:t>
      </w:r>
      <w:r>
        <w:rPr>
          <w:sz w:val="22"/>
        </w:rPr>
        <w:t>released</w:t>
      </w:r>
      <w:r>
        <w:rPr>
          <w:spacing w:val="-6"/>
          <w:sz w:val="22"/>
        </w:rPr>
        <w:t> </w:t>
      </w:r>
      <w:r>
        <w:rPr>
          <w:sz w:val="22"/>
        </w:rPr>
        <w:t>an</w:t>
      </w:r>
      <w:r>
        <w:rPr>
          <w:spacing w:val="-6"/>
          <w:sz w:val="22"/>
        </w:rPr>
        <w:t> </w:t>
      </w:r>
      <w:r>
        <w:rPr>
          <w:sz w:val="22"/>
        </w:rPr>
        <w:t>LGBTQ-inclusive</w:t>
      </w:r>
      <w:r>
        <w:rPr>
          <w:spacing w:val="-7"/>
          <w:sz w:val="22"/>
        </w:rPr>
        <w:t> </w:t>
      </w:r>
      <w:r>
        <w:rPr>
          <w:sz w:val="22"/>
        </w:rPr>
        <w:t>nondiscrimination</w:t>
      </w:r>
      <w:r>
        <w:rPr>
          <w:spacing w:val="-6"/>
          <w:sz w:val="22"/>
        </w:rPr>
        <w:t> </w:t>
      </w:r>
      <w:r>
        <w:rPr>
          <w:sz w:val="22"/>
        </w:rPr>
        <w:t>policy</w:t>
      </w:r>
      <w:r>
        <w:rPr>
          <w:spacing w:val="-6"/>
          <w:sz w:val="22"/>
        </w:rPr>
        <w:t> </w:t>
      </w:r>
      <w:r>
        <w:rPr>
          <w:sz w:val="22"/>
        </w:rPr>
        <w:t>and</w:t>
      </w:r>
      <w:r>
        <w:rPr>
          <w:spacing w:val="-6"/>
          <w:sz w:val="22"/>
        </w:rPr>
        <w:t> </w:t>
      </w:r>
      <w:r>
        <w:rPr>
          <w:sz w:val="22"/>
        </w:rPr>
        <w:t>guidance</w:t>
      </w:r>
      <w:r>
        <w:rPr>
          <w:spacing w:val="-5"/>
          <w:sz w:val="22"/>
        </w:rPr>
        <w:t> </w:t>
      </w:r>
      <w:r>
        <w:rPr>
          <w:sz w:val="22"/>
        </w:rPr>
        <w:t>that</w:t>
      </w:r>
      <w:r>
        <w:rPr>
          <w:spacing w:val="-6"/>
          <w:sz w:val="22"/>
        </w:rPr>
        <w:t> </w:t>
      </w:r>
      <w:r>
        <w:rPr>
          <w:sz w:val="22"/>
        </w:rPr>
        <w:t>fulfilled</w:t>
      </w:r>
      <w:r>
        <w:rPr>
          <w:spacing w:val="-7"/>
          <w:sz w:val="22"/>
        </w:rPr>
        <w:t> </w:t>
      </w:r>
      <w:r>
        <w:rPr>
          <w:sz w:val="22"/>
        </w:rPr>
        <w:t>a</w:t>
      </w:r>
      <w:r>
        <w:rPr>
          <w:spacing w:val="-5"/>
          <w:sz w:val="22"/>
        </w:rPr>
        <w:t> </w:t>
      </w:r>
      <w:r>
        <w:rPr>
          <w:sz w:val="22"/>
        </w:rPr>
        <w:t>previous Commission recommendation. </w:t>
      </w:r>
      <w:r>
        <w:rPr>
          <w:sz w:val="21"/>
        </w:rPr>
        <w:t>To build on this policy, DTA has consistently been engaging its employees in training opportunities to center both LGBTQ-inclusivity and racial equity. In late 2022, DTA managers were mandated</w:t>
      </w:r>
      <w:r>
        <w:rPr>
          <w:spacing w:val="-3"/>
          <w:sz w:val="21"/>
        </w:rPr>
        <w:t> </w:t>
      </w:r>
      <w:r>
        <w:rPr>
          <w:sz w:val="21"/>
        </w:rPr>
        <w:t>to</w:t>
      </w:r>
      <w:r>
        <w:rPr>
          <w:spacing w:val="-3"/>
          <w:sz w:val="21"/>
        </w:rPr>
        <w:t> </w:t>
      </w:r>
      <w:r>
        <w:rPr>
          <w:sz w:val="21"/>
        </w:rPr>
        <w:t>attend</w:t>
      </w:r>
      <w:r>
        <w:rPr>
          <w:spacing w:val="-3"/>
          <w:sz w:val="21"/>
        </w:rPr>
        <w:t> </w:t>
      </w:r>
      <w:r>
        <w:rPr>
          <w:sz w:val="21"/>
        </w:rPr>
        <w:t>a</w:t>
      </w:r>
      <w:r>
        <w:rPr>
          <w:spacing w:val="-2"/>
          <w:sz w:val="21"/>
        </w:rPr>
        <w:t> </w:t>
      </w:r>
      <w:r>
        <w:rPr>
          <w:sz w:val="21"/>
        </w:rPr>
        <w:t>two-day</w:t>
      </w:r>
      <w:r>
        <w:rPr>
          <w:spacing w:val="-2"/>
          <w:sz w:val="21"/>
        </w:rPr>
        <w:t> </w:t>
      </w:r>
      <w:r>
        <w:rPr>
          <w:sz w:val="21"/>
        </w:rPr>
        <w:t>intensive</w:t>
      </w:r>
      <w:r>
        <w:rPr>
          <w:spacing w:val="-2"/>
          <w:sz w:val="21"/>
        </w:rPr>
        <w:t> </w:t>
      </w:r>
      <w:r>
        <w:rPr>
          <w:sz w:val="21"/>
        </w:rPr>
        <w:t>racial</w:t>
      </w:r>
      <w:r>
        <w:rPr>
          <w:spacing w:val="-2"/>
          <w:sz w:val="21"/>
        </w:rPr>
        <w:t> </w:t>
      </w:r>
      <w:r>
        <w:rPr>
          <w:sz w:val="21"/>
        </w:rPr>
        <w:t>equity</w:t>
      </w:r>
      <w:r>
        <w:rPr>
          <w:spacing w:val="-2"/>
          <w:sz w:val="21"/>
        </w:rPr>
        <w:t> </w:t>
      </w:r>
      <w:r>
        <w:rPr>
          <w:sz w:val="21"/>
        </w:rPr>
        <w:t>training,</w:t>
      </w:r>
      <w:r>
        <w:rPr>
          <w:spacing w:val="-2"/>
          <w:sz w:val="21"/>
        </w:rPr>
        <w:t> </w:t>
      </w:r>
      <w:r>
        <w:rPr>
          <w:sz w:val="21"/>
        </w:rPr>
        <w:t>which</w:t>
      </w:r>
      <w:r>
        <w:rPr>
          <w:spacing w:val="-2"/>
          <w:sz w:val="21"/>
        </w:rPr>
        <w:t> </w:t>
      </w:r>
      <w:r>
        <w:rPr>
          <w:sz w:val="21"/>
        </w:rPr>
        <w:t>DTA</w:t>
      </w:r>
      <w:r>
        <w:rPr>
          <w:spacing w:val="-2"/>
          <w:sz w:val="21"/>
        </w:rPr>
        <w:t> </w:t>
      </w:r>
      <w:r>
        <w:rPr>
          <w:sz w:val="21"/>
        </w:rPr>
        <w:t>is</w:t>
      </w:r>
      <w:r>
        <w:rPr>
          <w:spacing w:val="-2"/>
          <w:sz w:val="21"/>
        </w:rPr>
        <w:t> </w:t>
      </w:r>
      <w:r>
        <w:rPr>
          <w:sz w:val="21"/>
        </w:rPr>
        <w:t>beginning</w:t>
      </w:r>
      <w:r>
        <w:rPr>
          <w:spacing w:val="-2"/>
          <w:sz w:val="21"/>
        </w:rPr>
        <w:t> </w:t>
      </w:r>
      <w:r>
        <w:rPr>
          <w:sz w:val="21"/>
        </w:rPr>
        <w:t>to</w:t>
      </w:r>
      <w:r>
        <w:rPr>
          <w:spacing w:val="-2"/>
          <w:sz w:val="21"/>
        </w:rPr>
        <w:t> </w:t>
      </w:r>
      <w:r>
        <w:rPr>
          <w:sz w:val="21"/>
        </w:rPr>
        <w:t>roll</w:t>
      </w:r>
      <w:r>
        <w:rPr>
          <w:spacing w:val="-2"/>
          <w:sz w:val="21"/>
        </w:rPr>
        <w:t> </w:t>
      </w:r>
      <w:r>
        <w:rPr>
          <w:sz w:val="21"/>
        </w:rPr>
        <w:t>out</w:t>
      </w:r>
      <w:r>
        <w:rPr>
          <w:spacing w:val="-3"/>
          <w:sz w:val="21"/>
        </w:rPr>
        <w:t> </w:t>
      </w:r>
      <w:r>
        <w:rPr>
          <w:sz w:val="21"/>
        </w:rPr>
        <w:t>in</w:t>
      </w:r>
      <w:r>
        <w:rPr>
          <w:spacing w:val="-2"/>
          <w:sz w:val="21"/>
        </w:rPr>
        <w:t> </w:t>
      </w:r>
      <w:r>
        <w:rPr>
          <w:sz w:val="21"/>
        </w:rPr>
        <w:t>June</w:t>
      </w:r>
      <w:r>
        <w:rPr>
          <w:spacing w:val="-2"/>
          <w:sz w:val="21"/>
        </w:rPr>
        <w:t> </w:t>
      </w:r>
      <w:r>
        <w:rPr>
          <w:sz w:val="21"/>
        </w:rPr>
        <w:t>of</w:t>
      </w:r>
      <w:r>
        <w:rPr>
          <w:spacing w:val="-2"/>
          <w:sz w:val="21"/>
        </w:rPr>
        <w:t> </w:t>
      </w:r>
      <w:r>
        <w:rPr>
          <w:sz w:val="21"/>
        </w:rPr>
        <w:t>this year</w:t>
      </w:r>
      <w:r>
        <w:rPr>
          <w:spacing w:val="-1"/>
          <w:sz w:val="21"/>
        </w:rPr>
        <w:t> </w:t>
      </w:r>
      <w:r>
        <w:rPr>
          <w:sz w:val="21"/>
        </w:rPr>
        <w:t>and</w:t>
      </w:r>
      <w:r>
        <w:rPr>
          <w:spacing w:val="-2"/>
          <w:sz w:val="21"/>
        </w:rPr>
        <w:t> </w:t>
      </w:r>
      <w:r>
        <w:rPr>
          <w:sz w:val="21"/>
        </w:rPr>
        <w:t>continue</w:t>
      </w:r>
      <w:r>
        <w:rPr>
          <w:spacing w:val="-1"/>
          <w:sz w:val="21"/>
        </w:rPr>
        <w:t> </w:t>
      </w:r>
      <w:r>
        <w:rPr>
          <w:sz w:val="21"/>
        </w:rPr>
        <w:t>through</w:t>
      </w:r>
      <w:r>
        <w:rPr>
          <w:spacing w:val="-2"/>
          <w:sz w:val="21"/>
        </w:rPr>
        <w:t> </w:t>
      </w:r>
      <w:r>
        <w:rPr>
          <w:sz w:val="21"/>
        </w:rPr>
        <w:t>the</w:t>
      </w:r>
      <w:r>
        <w:rPr>
          <w:spacing w:val="-1"/>
          <w:sz w:val="21"/>
        </w:rPr>
        <w:t> </w:t>
      </w:r>
      <w:r>
        <w:rPr>
          <w:sz w:val="21"/>
        </w:rPr>
        <w:t>upcoming</w:t>
      </w:r>
      <w:r>
        <w:rPr>
          <w:spacing w:val="-1"/>
          <w:sz w:val="21"/>
        </w:rPr>
        <w:t> </w:t>
      </w:r>
      <w:r>
        <w:rPr>
          <w:sz w:val="21"/>
        </w:rPr>
        <w:t>fiscal</w:t>
      </w:r>
      <w:r>
        <w:rPr>
          <w:spacing w:val="-1"/>
          <w:sz w:val="21"/>
        </w:rPr>
        <w:t> </w:t>
      </w:r>
      <w:r>
        <w:rPr>
          <w:sz w:val="21"/>
        </w:rPr>
        <w:t>year.</w:t>
      </w:r>
      <w:r>
        <w:rPr>
          <w:spacing w:val="-1"/>
          <w:sz w:val="21"/>
        </w:rPr>
        <w:t> </w:t>
      </w:r>
      <w:r>
        <w:rPr>
          <w:sz w:val="21"/>
        </w:rPr>
        <w:t>Over</w:t>
      </w:r>
      <w:r>
        <w:rPr>
          <w:spacing w:val="-1"/>
          <w:sz w:val="21"/>
        </w:rPr>
        <w:t> </w:t>
      </w:r>
      <w:r>
        <w:rPr>
          <w:sz w:val="21"/>
        </w:rPr>
        <w:t>the</w:t>
      </w:r>
      <w:r>
        <w:rPr>
          <w:spacing w:val="-2"/>
          <w:sz w:val="21"/>
        </w:rPr>
        <w:t> </w:t>
      </w:r>
      <w:r>
        <w:rPr>
          <w:sz w:val="21"/>
        </w:rPr>
        <w:t>latter</w:t>
      </w:r>
      <w:r>
        <w:rPr>
          <w:spacing w:val="-1"/>
          <w:sz w:val="21"/>
        </w:rPr>
        <w:t> </w:t>
      </w:r>
      <w:r>
        <w:rPr>
          <w:sz w:val="21"/>
        </w:rPr>
        <w:t>half</w:t>
      </w:r>
      <w:r>
        <w:rPr>
          <w:spacing w:val="-1"/>
          <w:sz w:val="21"/>
        </w:rPr>
        <w:t> </w:t>
      </w:r>
      <w:r>
        <w:rPr>
          <w:sz w:val="21"/>
        </w:rPr>
        <w:t>of</w:t>
      </w:r>
      <w:r>
        <w:rPr>
          <w:spacing w:val="-1"/>
          <w:sz w:val="21"/>
        </w:rPr>
        <w:t> </w:t>
      </w:r>
      <w:r>
        <w:rPr>
          <w:sz w:val="21"/>
        </w:rPr>
        <w:t>the</w:t>
      </w:r>
      <w:r>
        <w:rPr>
          <w:spacing w:val="-2"/>
          <w:sz w:val="21"/>
        </w:rPr>
        <w:t> </w:t>
      </w:r>
      <w:r>
        <w:rPr>
          <w:sz w:val="21"/>
        </w:rPr>
        <w:t>2023 fiscal</w:t>
      </w:r>
      <w:r>
        <w:rPr>
          <w:spacing w:val="-1"/>
          <w:sz w:val="21"/>
        </w:rPr>
        <w:t> </w:t>
      </w:r>
      <w:r>
        <w:rPr>
          <w:sz w:val="21"/>
        </w:rPr>
        <w:t>year,</w:t>
      </w:r>
      <w:r>
        <w:rPr>
          <w:spacing w:val="-3"/>
          <w:sz w:val="21"/>
        </w:rPr>
        <w:t> </w:t>
      </w:r>
      <w:r>
        <w:rPr>
          <w:sz w:val="21"/>
        </w:rPr>
        <w:t>DTA</w:t>
      </w:r>
      <w:r>
        <w:rPr>
          <w:spacing w:val="-1"/>
          <w:sz w:val="21"/>
        </w:rPr>
        <w:t> </w:t>
      </w:r>
      <w:r>
        <w:rPr>
          <w:sz w:val="21"/>
        </w:rPr>
        <w:t>partnered with</w:t>
      </w:r>
      <w:r>
        <w:rPr>
          <w:spacing w:val="-11"/>
          <w:sz w:val="21"/>
        </w:rPr>
        <w:t> </w:t>
      </w:r>
      <w:r>
        <w:rPr>
          <w:sz w:val="21"/>
        </w:rPr>
        <w:t>the</w:t>
      </w:r>
      <w:r>
        <w:rPr>
          <w:spacing w:val="-12"/>
          <w:sz w:val="21"/>
        </w:rPr>
        <w:t> </w:t>
      </w:r>
      <w:r>
        <w:rPr>
          <w:sz w:val="21"/>
        </w:rPr>
        <w:t>Commission</w:t>
      </w:r>
      <w:r>
        <w:rPr>
          <w:spacing w:val="-11"/>
          <w:sz w:val="21"/>
        </w:rPr>
        <w:t> </w:t>
      </w:r>
      <w:r>
        <w:rPr>
          <w:sz w:val="21"/>
        </w:rPr>
        <w:t>and</w:t>
      </w:r>
      <w:r>
        <w:rPr>
          <w:spacing w:val="-11"/>
          <w:sz w:val="21"/>
        </w:rPr>
        <w:t> </w:t>
      </w:r>
      <w:r>
        <w:rPr>
          <w:sz w:val="21"/>
        </w:rPr>
        <w:t>EOHHS</w:t>
      </w:r>
      <w:r>
        <w:rPr>
          <w:spacing w:val="-12"/>
          <w:sz w:val="21"/>
        </w:rPr>
        <w:t> </w:t>
      </w:r>
      <w:r>
        <w:rPr>
          <w:sz w:val="21"/>
        </w:rPr>
        <w:t>DEI</w:t>
      </w:r>
      <w:r>
        <w:rPr>
          <w:spacing w:val="-11"/>
          <w:sz w:val="21"/>
        </w:rPr>
        <w:t> </w:t>
      </w:r>
      <w:r>
        <w:rPr>
          <w:sz w:val="21"/>
        </w:rPr>
        <w:t>staff</w:t>
      </w:r>
      <w:r>
        <w:rPr>
          <w:spacing w:val="-12"/>
          <w:sz w:val="21"/>
        </w:rPr>
        <w:t> </w:t>
      </w:r>
      <w:r>
        <w:rPr>
          <w:sz w:val="21"/>
        </w:rPr>
        <w:t>to</w:t>
      </w:r>
      <w:r>
        <w:rPr>
          <w:spacing w:val="-12"/>
          <w:sz w:val="21"/>
        </w:rPr>
        <w:t> </w:t>
      </w:r>
      <w:r>
        <w:rPr>
          <w:sz w:val="21"/>
        </w:rPr>
        <w:t>participate</w:t>
      </w:r>
      <w:r>
        <w:rPr>
          <w:spacing w:val="-11"/>
          <w:sz w:val="21"/>
        </w:rPr>
        <w:t> </w:t>
      </w:r>
      <w:r>
        <w:rPr>
          <w:sz w:val="21"/>
        </w:rPr>
        <w:t>in</w:t>
      </w:r>
      <w:r>
        <w:rPr>
          <w:spacing w:val="-12"/>
          <w:sz w:val="21"/>
        </w:rPr>
        <w:t> </w:t>
      </w:r>
      <w:r>
        <w:rPr>
          <w:sz w:val="21"/>
        </w:rPr>
        <w:t>the</w:t>
      </w:r>
      <w:r>
        <w:rPr>
          <w:spacing w:val="-11"/>
          <w:sz w:val="21"/>
        </w:rPr>
        <w:t> </w:t>
      </w:r>
      <w:r>
        <w:rPr>
          <w:sz w:val="21"/>
        </w:rPr>
        <w:t>internal</w:t>
      </w:r>
      <w:r>
        <w:rPr>
          <w:spacing w:val="-11"/>
          <w:sz w:val="21"/>
        </w:rPr>
        <w:t> </w:t>
      </w:r>
      <w:r>
        <w:rPr>
          <w:sz w:val="21"/>
        </w:rPr>
        <w:t>train-the-trainer</w:t>
      </w:r>
      <w:r>
        <w:rPr>
          <w:spacing w:val="-11"/>
          <w:sz w:val="21"/>
        </w:rPr>
        <w:t> </w:t>
      </w:r>
      <w:r>
        <w:rPr>
          <w:sz w:val="21"/>
        </w:rPr>
        <w:t>model</w:t>
      </w:r>
      <w:r>
        <w:rPr>
          <w:spacing w:val="-11"/>
          <w:sz w:val="21"/>
        </w:rPr>
        <w:t> </w:t>
      </w:r>
      <w:r>
        <w:rPr>
          <w:sz w:val="21"/>
        </w:rPr>
        <w:t>to</w:t>
      </w:r>
      <w:r>
        <w:rPr>
          <w:spacing w:val="-12"/>
          <w:sz w:val="21"/>
        </w:rPr>
        <w:t> </w:t>
      </w:r>
      <w:r>
        <w:rPr>
          <w:sz w:val="21"/>
        </w:rPr>
        <w:t>develop</w:t>
      </w:r>
      <w:r>
        <w:rPr>
          <w:spacing w:val="-11"/>
          <w:sz w:val="21"/>
        </w:rPr>
        <w:t> </w:t>
      </w:r>
      <w:r>
        <w:rPr>
          <w:sz w:val="21"/>
        </w:rPr>
        <w:t>cross- agency</w:t>
      </w:r>
      <w:r>
        <w:rPr>
          <w:spacing w:val="-3"/>
          <w:sz w:val="21"/>
        </w:rPr>
        <w:t> </w:t>
      </w:r>
      <w:r>
        <w:rPr>
          <w:sz w:val="21"/>
        </w:rPr>
        <w:t>capacity,</w:t>
      </w:r>
      <w:r>
        <w:rPr>
          <w:spacing w:val="-3"/>
          <w:sz w:val="21"/>
        </w:rPr>
        <w:t> </w:t>
      </w:r>
      <w:r>
        <w:rPr>
          <w:sz w:val="21"/>
        </w:rPr>
        <w:t>which</w:t>
      </w:r>
      <w:r>
        <w:rPr>
          <w:spacing w:val="-4"/>
          <w:sz w:val="21"/>
        </w:rPr>
        <w:t> </w:t>
      </w:r>
      <w:r>
        <w:rPr>
          <w:sz w:val="21"/>
        </w:rPr>
        <w:t>continued</w:t>
      </w:r>
      <w:r>
        <w:rPr>
          <w:spacing w:val="-3"/>
          <w:sz w:val="21"/>
        </w:rPr>
        <w:t> </w:t>
      </w:r>
      <w:r>
        <w:rPr>
          <w:sz w:val="21"/>
        </w:rPr>
        <w:t>into</w:t>
      </w:r>
      <w:r>
        <w:rPr>
          <w:spacing w:val="-3"/>
          <w:sz w:val="21"/>
        </w:rPr>
        <w:t> </w:t>
      </w:r>
      <w:r>
        <w:rPr>
          <w:sz w:val="21"/>
        </w:rPr>
        <w:t>FY</w:t>
      </w:r>
      <w:r>
        <w:rPr>
          <w:spacing w:val="-4"/>
          <w:sz w:val="21"/>
        </w:rPr>
        <w:t> </w:t>
      </w:r>
      <w:r>
        <w:rPr>
          <w:sz w:val="21"/>
        </w:rPr>
        <w:t>2024,</w:t>
      </w:r>
      <w:r>
        <w:rPr>
          <w:spacing w:val="-3"/>
          <w:sz w:val="21"/>
        </w:rPr>
        <w:t> </w:t>
      </w:r>
      <w:r>
        <w:rPr>
          <w:sz w:val="21"/>
        </w:rPr>
        <w:t>and</w:t>
      </w:r>
      <w:r>
        <w:rPr>
          <w:spacing w:val="-3"/>
          <w:sz w:val="21"/>
        </w:rPr>
        <w:t> </w:t>
      </w:r>
      <w:r>
        <w:rPr>
          <w:sz w:val="21"/>
        </w:rPr>
        <w:t>is</w:t>
      </w:r>
      <w:r>
        <w:rPr>
          <w:spacing w:val="-4"/>
          <w:sz w:val="21"/>
        </w:rPr>
        <w:t> </w:t>
      </w:r>
      <w:r>
        <w:rPr>
          <w:sz w:val="21"/>
        </w:rPr>
        <w:t>expected</w:t>
      </w:r>
      <w:r>
        <w:rPr>
          <w:spacing w:val="-4"/>
          <w:sz w:val="21"/>
        </w:rPr>
        <w:t> </w:t>
      </w:r>
      <w:r>
        <w:rPr>
          <w:sz w:val="21"/>
        </w:rPr>
        <w:t>to</w:t>
      </w:r>
      <w:r>
        <w:rPr>
          <w:spacing w:val="-3"/>
          <w:sz w:val="21"/>
        </w:rPr>
        <w:t> </w:t>
      </w:r>
      <w:r>
        <w:rPr>
          <w:sz w:val="21"/>
        </w:rPr>
        <w:t>continue</w:t>
      </w:r>
      <w:r>
        <w:rPr>
          <w:spacing w:val="-3"/>
          <w:sz w:val="21"/>
        </w:rPr>
        <w:t> </w:t>
      </w:r>
      <w:r>
        <w:rPr>
          <w:sz w:val="21"/>
        </w:rPr>
        <w:t>in</w:t>
      </w:r>
      <w:r>
        <w:rPr>
          <w:spacing w:val="-4"/>
          <w:sz w:val="21"/>
        </w:rPr>
        <w:t> </w:t>
      </w:r>
      <w:r>
        <w:rPr>
          <w:sz w:val="21"/>
        </w:rPr>
        <w:t>FY</w:t>
      </w:r>
      <w:r>
        <w:rPr>
          <w:spacing w:val="-3"/>
          <w:sz w:val="21"/>
        </w:rPr>
        <w:t> </w:t>
      </w:r>
      <w:r>
        <w:rPr>
          <w:sz w:val="21"/>
        </w:rPr>
        <w:t>2025.</w:t>
      </w:r>
      <w:r>
        <w:rPr>
          <w:spacing w:val="-3"/>
          <w:sz w:val="21"/>
        </w:rPr>
        <w:t> </w:t>
      </w:r>
      <w:r>
        <w:rPr>
          <w:sz w:val="21"/>
        </w:rPr>
        <w:t>Additionally,</w:t>
      </w:r>
      <w:r>
        <w:rPr>
          <w:spacing w:val="-2"/>
          <w:sz w:val="21"/>
        </w:rPr>
        <w:t> </w:t>
      </w:r>
      <w:r>
        <w:rPr>
          <w:sz w:val="21"/>
        </w:rPr>
        <w:t>the</w:t>
      </w:r>
      <w:r>
        <w:rPr>
          <w:spacing w:val="-4"/>
          <w:sz w:val="21"/>
        </w:rPr>
        <w:t> </w:t>
      </w:r>
      <w:r>
        <w:rPr>
          <w:sz w:val="21"/>
        </w:rPr>
        <w:t>spring of FY 2023, DTA hosted a panel discussion titled “Who</w:t>
      </w:r>
      <w:r>
        <w:rPr>
          <w:spacing w:val="-1"/>
          <w:sz w:val="21"/>
        </w:rPr>
        <w:t> </w:t>
      </w:r>
      <w:r>
        <w:rPr>
          <w:sz w:val="21"/>
        </w:rPr>
        <w:t>We Are: Elevating the Voices &amp; Experiences of LGBTQI+ Staff”, in support of Transgender Day of Visibility, and Gender Equality Month, attended by 80 DTA staff </w:t>
      </w:r>
      <w:r>
        <w:rPr>
          <w:spacing w:val="-2"/>
          <w:sz w:val="21"/>
        </w:rPr>
        <w:t>members.</w:t>
      </w:r>
    </w:p>
    <w:p>
      <w:pPr>
        <w:pStyle w:val="BodyText"/>
        <w:spacing w:line="360" w:lineRule="auto" w:before="240"/>
        <w:ind w:left="483" w:right="261" w:hanging="1"/>
        <w:jc w:val="both"/>
      </w:pPr>
      <w:r>
        <w:rPr>
          <w:sz w:val="21"/>
        </w:rPr>
        <w:t>Finally</w:t>
      </w:r>
      <w:r>
        <w:rPr/>
        <w:t>,</w:t>
      </w:r>
      <w:r>
        <w:rPr>
          <w:spacing w:val="-7"/>
        </w:rPr>
        <w:t> </w:t>
      </w:r>
      <w:r>
        <w:rPr/>
        <w:t>the</w:t>
      </w:r>
      <w:r>
        <w:rPr>
          <w:spacing w:val="-8"/>
        </w:rPr>
        <w:t> </w:t>
      </w:r>
      <w:r>
        <w:rPr/>
        <w:t>Commission</w:t>
      </w:r>
      <w:r>
        <w:rPr>
          <w:spacing w:val="-9"/>
        </w:rPr>
        <w:t> </w:t>
      </w:r>
      <w:r>
        <w:rPr/>
        <w:t>and</w:t>
      </w:r>
      <w:r>
        <w:rPr>
          <w:spacing w:val="-9"/>
        </w:rPr>
        <w:t> </w:t>
      </w:r>
      <w:r>
        <w:rPr/>
        <w:t>DTA</w:t>
      </w:r>
      <w:r>
        <w:rPr>
          <w:spacing w:val="-8"/>
        </w:rPr>
        <w:t> </w:t>
      </w:r>
      <w:r>
        <w:rPr/>
        <w:t>have</w:t>
      </w:r>
      <w:r>
        <w:rPr>
          <w:spacing w:val="-8"/>
        </w:rPr>
        <w:t> </w:t>
      </w:r>
      <w:r>
        <w:rPr/>
        <w:t>been</w:t>
      </w:r>
      <w:r>
        <w:rPr>
          <w:spacing w:val="-9"/>
        </w:rPr>
        <w:t> </w:t>
      </w:r>
      <w:r>
        <w:rPr/>
        <w:t>engaged</w:t>
      </w:r>
      <w:r>
        <w:rPr>
          <w:spacing w:val="-8"/>
        </w:rPr>
        <w:t> </w:t>
      </w:r>
      <w:r>
        <w:rPr/>
        <w:t>in</w:t>
      </w:r>
      <w:r>
        <w:rPr>
          <w:spacing w:val="-9"/>
        </w:rPr>
        <w:t> </w:t>
      </w:r>
      <w:r>
        <w:rPr/>
        <w:t>conversations</w:t>
      </w:r>
      <w:r>
        <w:rPr>
          <w:spacing w:val="-8"/>
        </w:rPr>
        <w:t> </w:t>
      </w:r>
      <w:r>
        <w:rPr/>
        <w:t>for</w:t>
      </w:r>
      <w:r>
        <w:rPr>
          <w:spacing w:val="-9"/>
        </w:rPr>
        <w:t> </w:t>
      </w:r>
      <w:r>
        <w:rPr/>
        <w:t>several</w:t>
      </w:r>
      <w:r>
        <w:rPr>
          <w:spacing w:val="-9"/>
        </w:rPr>
        <w:t> </w:t>
      </w:r>
      <w:r>
        <w:rPr/>
        <w:t>years</w:t>
      </w:r>
      <w:r>
        <w:rPr>
          <w:spacing w:val="-8"/>
        </w:rPr>
        <w:t> </w:t>
      </w:r>
      <w:r>
        <w:rPr/>
        <w:t>around</w:t>
      </w:r>
      <w:r>
        <w:rPr>
          <w:spacing w:val="-9"/>
        </w:rPr>
        <w:t> </w:t>
      </w:r>
      <w:r>
        <w:rPr/>
        <w:t>how</w:t>
      </w:r>
      <w:r>
        <w:rPr>
          <w:spacing w:val="-8"/>
        </w:rPr>
        <w:t> </w:t>
      </w:r>
      <w:r>
        <w:rPr/>
        <w:t>to</w:t>
      </w:r>
      <w:r>
        <w:rPr>
          <w:spacing w:val="-7"/>
        </w:rPr>
        <w:t> </w:t>
      </w:r>
      <w:r>
        <w:rPr/>
        <w:t>best capture</w:t>
      </w:r>
      <w:r>
        <w:rPr>
          <w:spacing w:val="-1"/>
        </w:rPr>
        <w:t> </w:t>
      </w:r>
      <w:r>
        <w:rPr/>
        <w:t>SOGIE</w:t>
      </w:r>
      <w:r>
        <w:rPr>
          <w:spacing w:val="-1"/>
        </w:rPr>
        <w:t> </w:t>
      </w:r>
      <w:r>
        <w:rPr/>
        <w:t>information;</w:t>
      </w:r>
      <w:r>
        <w:rPr>
          <w:spacing w:val="-1"/>
        </w:rPr>
        <w:t> </w:t>
      </w:r>
      <w:r>
        <w:rPr/>
        <w:t>such an</w:t>
      </w:r>
      <w:r>
        <w:rPr>
          <w:spacing w:val="-1"/>
        </w:rPr>
        <w:t> </w:t>
      </w:r>
      <w:r>
        <w:rPr/>
        <w:t>opportunity would</w:t>
      </w:r>
      <w:r>
        <w:rPr>
          <w:spacing w:val="-1"/>
        </w:rPr>
        <w:t> </w:t>
      </w:r>
      <w:r>
        <w:rPr/>
        <w:t>likely be provided</w:t>
      </w:r>
      <w:r>
        <w:rPr>
          <w:spacing w:val="-1"/>
        </w:rPr>
        <w:t> </w:t>
      </w:r>
      <w:r>
        <w:rPr/>
        <w:t>through</w:t>
      </w:r>
      <w:r>
        <w:rPr>
          <w:spacing w:val="-1"/>
        </w:rPr>
        <w:t> </w:t>
      </w:r>
      <w:r>
        <w:rPr/>
        <w:t>the</w:t>
      </w:r>
      <w:r>
        <w:rPr>
          <w:spacing w:val="-1"/>
        </w:rPr>
        <w:t> </w:t>
      </w:r>
      <w:r>
        <w:rPr/>
        <w:t>SNAP program</w:t>
      </w:r>
      <w:r>
        <w:rPr>
          <w:spacing w:val="-1"/>
        </w:rPr>
        <w:t> </w:t>
      </w:r>
      <w:r>
        <w:rPr/>
        <w:t>and be added on to demographic information already collected (like biological sex, race, and ethnicity). Unfortunately, like many other agencies, DTA is unsure the extent to which it is able to improve its data collection as SNAP is heavily regulated by the federal government. The Commission looks forward to continuing this conversation with DTA in FY 202</w:t>
      </w:r>
      <w:r>
        <w:rPr>
          <w:sz w:val="21"/>
        </w:rPr>
        <w:t>5</w:t>
      </w:r>
      <w:r>
        <w:rPr/>
        <w:t>.</w:t>
      </w:r>
    </w:p>
    <w:p>
      <w:pPr>
        <w:pStyle w:val="BodyText"/>
        <w:spacing w:before="130"/>
      </w:pPr>
    </w:p>
    <w:p>
      <w:pPr>
        <w:pStyle w:val="Heading8"/>
        <w:ind w:left="339"/>
      </w:pPr>
      <w:r>
        <w:rPr/>
        <mc:AlternateContent>
          <mc:Choice Requires="wps">
            <w:drawing>
              <wp:anchor distT="0" distB="0" distL="0" distR="0" allowOverlap="1" layoutInCell="1" locked="0" behindDoc="1" simplePos="0" relativeHeight="487716864">
                <wp:simplePos x="0" y="0"/>
                <wp:positionH relativeFrom="page">
                  <wp:posOffset>806195</wp:posOffset>
                </wp:positionH>
                <wp:positionV relativeFrom="paragraph">
                  <wp:posOffset>292034</wp:posOffset>
                </wp:positionV>
                <wp:extent cx="6210935" cy="6350"/>
                <wp:effectExtent l="0" t="0" r="0" b="0"/>
                <wp:wrapTopAndBottom/>
                <wp:docPr id="635" name="Graphic 635"/>
                <wp:cNvGraphicFramePr>
                  <a:graphicFrameLocks/>
                </wp:cNvGraphicFramePr>
                <a:graphic>
                  <a:graphicData uri="http://schemas.microsoft.com/office/word/2010/wordprocessingShape">
                    <wps:wsp>
                      <wps:cNvPr id="635" name="Graphic 635"/>
                      <wps:cNvSpPr/>
                      <wps:spPr>
                        <a:xfrm>
                          <a:off x="0" y="0"/>
                          <a:ext cx="6210935" cy="6350"/>
                        </a:xfrm>
                        <a:custGeom>
                          <a:avLst/>
                          <a:gdLst/>
                          <a:ahLst/>
                          <a:cxnLst/>
                          <a:rect l="l" t="t" r="r" b="b"/>
                          <a:pathLst>
                            <a:path w="6210935" h="6350">
                              <a:moveTo>
                                <a:pt x="6210312" y="0"/>
                              </a:moveTo>
                              <a:lnTo>
                                <a:pt x="0" y="0"/>
                              </a:lnTo>
                              <a:lnTo>
                                <a:pt x="0" y="6095"/>
                              </a:lnTo>
                              <a:lnTo>
                                <a:pt x="6210312" y="6095"/>
                              </a:lnTo>
                              <a:lnTo>
                                <a:pt x="6210312" y="0"/>
                              </a:lnTo>
                              <a:close/>
                            </a:path>
                          </a:pathLst>
                        </a:custGeom>
                        <a:solidFill>
                          <a:srgbClr val="4F81BC"/>
                        </a:solidFill>
                      </wps:spPr>
                      <wps:bodyPr wrap="square" lIns="0" tIns="0" rIns="0" bIns="0" rtlCol="0">
                        <a:prstTxWarp prst="textNoShape">
                          <a:avLst/>
                        </a:prstTxWarp>
                        <a:noAutofit/>
                      </wps:bodyPr>
                    </wps:wsp>
                  </a:graphicData>
                </a:graphic>
              </wp:anchor>
            </w:drawing>
          </mc:Choice>
          <mc:Fallback>
            <w:pict>
              <v:rect style="position:absolute;margin-left:63.48pt;margin-top:22.994844pt;width:489.001pt;height:.48pt;mso-position-horizontal-relative:page;mso-position-vertical-relative:paragraph;z-index:-15599616;mso-wrap-distance-left:0;mso-wrap-distance-right:0" id="docshape532" filled="true" fillcolor="#4f81bc" stroked="false">
                <v:fill type="solid"/>
                <w10:wrap type="topAndBottom"/>
              </v:rect>
            </w:pict>
          </mc:Fallback>
        </mc:AlternateContent>
      </w:r>
      <w:r>
        <w:rPr>
          <w:color w:val="365F91"/>
        </w:rPr>
        <w:t>FY</w:t>
      </w:r>
      <w:r>
        <w:rPr>
          <w:color w:val="365F91"/>
          <w:spacing w:val="-4"/>
        </w:rPr>
        <w:t> </w:t>
      </w:r>
      <w:r>
        <w:rPr>
          <w:color w:val="365F91"/>
        </w:rPr>
        <w:t>2025</w:t>
      </w:r>
      <w:r>
        <w:rPr>
          <w:color w:val="365F91"/>
          <w:spacing w:val="-2"/>
        </w:rPr>
        <w:t> </w:t>
      </w:r>
      <w:r>
        <w:rPr>
          <w:color w:val="365F91"/>
        </w:rPr>
        <w:t>Expanded</w:t>
      </w:r>
      <w:r>
        <w:rPr>
          <w:color w:val="365F91"/>
          <w:spacing w:val="-2"/>
        </w:rPr>
        <w:t> </w:t>
      </w:r>
      <w:r>
        <w:rPr>
          <w:color w:val="365F91"/>
        </w:rPr>
        <w:t>DTA</w:t>
      </w:r>
      <w:r>
        <w:rPr>
          <w:color w:val="365F91"/>
          <w:spacing w:val="-2"/>
        </w:rPr>
        <w:t> Recommendations</w:t>
      </w:r>
    </w:p>
    <w:p>
      <w:pPr>
        <w:numPr>
          <w:ilvl w:val="2"/>
          <w:numId w:val="43"/>
        </w:numPr>
        <w:tabs>
          <w:tab w:pos="982" w:val="left" w:leader="none"/>
        </w:tabs>
        <w:spacing w:before="241"/>
        <w:ind w:left="982" w:right="0" w:hanging="358"/>
        <w:jc w:val="left"/>
        <w:rPr>
          <w:b/>
          <w:sz w:val="22"/>
        </w:rPr>
      </w:pPr>
      <w:r>
        <w:rPr>
          <w:b/>
          <w:sz w:val="22"/>
        </w:rPr>
        <w:t>Explore</w:t>
      </w:r>
      <w:r>
        <w:rPr>
          <w:b/>
          <w:spacing w:val="-8"/>
          <w:sz w:val="22"/>
        </w:rPr>
        <w:t> </w:t>
      </w:r>
      <w:r>
        <w:rPr>
          <w:b/>
          <w:sz w:val="22"/>
        </w:rPr>
        <w:t>the</w:t>
      </w:r>
      <w:r>
        <w:rPr>
          <w:b/>
          <w:spacing w:val="-8"/>
          <w:sz w:val="22"/>
        </w:rPr>
        <w:t> </w:t>
      </w:r>
      <w:r>
        <w:rPr>
          <w:b/>
          <w:sz w:val="22"/>
        </w:rPr>
        <w:t>creation</w:t>
      </w:r>
      <w:r>
        <w:rPr>
          <w:b/>
          <w:spacing w:val="-8"/>
          <w:sz w:val="22"/>
        </w:rPr>
        <w:t> </w:t>
      </w:r>
      <w:r>
        <w:rPr>
          <w:b/>
          <w:sz w:val="22"/>
        </w:rPr>
        <w:t>and</w:t>
      </w:r>
      <w:r>
        <w:rPr>
          <w:b/>
          <w:spacing w:val="-7"/>
          <w:sz w:val="22"/>
        </w:rPr>
        <w:t> </w:t>
      </w:r>
      <w:r>
        <w:rPr>
          <w:b/>
          <w:sz w:val="22"/>
        </w:rPr>
        <w:t>hiring</w:t>
      </w:r>
      <w:r>
        <w:rPr>
          <w:b/>
          <w:spacing w:val="-7"/>
          <w:sz w:val="22"/>
        </w:rPr>
        <w:t> </w:t>
      </w:r>
      <w:r>
        <w:rPr>
          <w:b/>
          <w:sz w:val="22"/>
        </w:rPr>
        <w:t>of</w:t>
      </w:r>
      <w:r>
        <w:rPr>
          <w:b/>
          <w:spacing w:val="-9"/>
          <w:sz w:val="22"/>
        </w:rPr>
        <w:t> </w:t>
      </w:r>
      <w:r>
        <w:rPr>
          <w:b/>
          <w:sz w:val="22"/>
        </w:rPr>
        <w:t>a</w:t>
      </w:r>
      <w:r>
        <w:rPr>
          <w:b/>
          <w:spacing w:val="-7"/>
          <w:sz w:val="22"/>
        </w:rPr>
        <w:t> </w:t>
      </w:r>
      <w:r>
        <w:rPr>
          <w:b/>
          <w:sz w:val="22"/>
        </w:rPr>
        <w:t>full-time</w:t>
      </w:r>
      <w:r>
        <w:rPr>
          <w:b/>
          <w:spacing w:val="-7"/>
          <w:sz w:val="22"/>
        </w:rPr>
        <w:t> </w:t>
      </w:r>
      <w:r>
        <w:rPr>
          <w:b/>
          <w:sz w:val="22"/>
        </w:rPr>
        <w:t>DTA-specific</w:t>
      </w:r>
      <w:r>
        <w:rPr>
          <w:b/>
          <w:spacing w:val="-9"/>
          <w:sz w:val="22"/>
        </w:rPr>
        <w:t> </w:t>
      </w:r>
      <w:r>
        <w:rPr>
          <w:b/>
          <w:sz w:val="22"/>
        </w:rPr>
        <w:t>LGBTQ</w:t>
      </w:r>
      <w:r>
        <w:rPr>
          <w:b/>
          <w:spacing w:val="-7"/>
          <w:sz w:val="22"/>
        </w:rPr>
        <w:t> </w:t>
      </w:r>
      <w:r>
        <w:rPr>
          <w:b/>
          <w:sz w:val="22"/>
        </w:rPr>
        <w:t>outreach</w:t>
      </w:r>
      <w:r>
        <w:rPr>
          <w:b/>
          <w:spacing w:val="-8"/>
          <w:sz w:val="22"/>
        </w:rPr>
        <w:t> </w:t>
      </w:r>
      <w:r>
        <w:rPr>
          <w:b/>
          <w:sz w:val="22"/>
        </w:rPr>
        <w:t>specialist</w:t>
      </w:r>
      <w:r>
        <w:rPr>
          <w:b/>
          <w:spacing w:val="-8"/>
          <w:sz w:val="22"/>
        </w:rPr>
        <w:t> </w:t>
      </w:r>
      <w:r>
        <w:rPr>
          <w:b/>
          <w:spacing w:val="-2"/>
          <w:sz w:val="22"/>
        </w:rPr>
        <w:t>position.</w:t>
      </w:r>
    </w:p>
    <w:p>
      <w:pPr>
        <w:pStyle w:val="BodyText"/>
        <w:spacing w:before="105"/>
        <w:rPr>
          <w:b/>
        </w:rPr>
      </w:pPr>
    </w:p>
    <w:p>
      <w:pPr>
        <w:pStyle w:val="BodyText"/>
        <w:spacing w:line="360" w:lineRule="auto"/>
        <w:ind w:left="483" w:right="261" w:hanging="1"/>
        <w:jc w:val="both"/>
      </w:pPr>
      <w:r>
        <w:rPr/>
        <w:t>Over the past few years, the Commission has been pleased to see Massachusetts state agencies take seriously the unique needs of LGBTQ youth in the Commonwealth by creating specific LGBTQ-oriented positions as outreach &amp; community specialists, program directors, and more within their agencies. In FY 2024,</w:t>
      </w:r>
      <w:r>
        <w:rPr>
          <w:spacing w:val="-2"/>
        </w:rPr>
        <w:t> </w:t>
      </w:r>
      <w:r>
        <w:rPr/>
        <w:t>the</w:t>
      </w:r>
      <w:r>
        <w:rPr>
          <w:spacing w:val="-2"/>
        </w:rPr>
        <w:t> </w:t>
      </w:r>
      <w:r>
        <w:rPr/>
        <w:t>Commission</w:t>
      </w:r>
      <w:r>
        <w:rPr>
          <w:spacing w:val="-2"/>
        </w:rPr>
        <w:t> </w:t>
      </w:r>
      <w:r>
        <w:rPr/>
        <w:t>created</w:t>
      </w:r>
      <w:r>
        <w:rPr>
          <w:spacing w:val="-2"/>
        </w:rPr>
        <w:t> </w:t>
      </w:r>
      <w:r>
        <w:rPr/>
        <w:t>a</w:t>
      </w:r>
      <w:r>
        <w:rPr>
          <w:spacing w:val="-1"/>
        </w:rPr>
        <w:t> </w:t>
      </w:r>
      <w:r>
        <w:rPr/>
        <w:t>recommendation</w:t>
      </w:r>
      <w:r>
        <w:rPr>
          <w:spacing w:val="-2"/>
        </w:rPr>
        <w:t> </w:t>
      </w:r>
      <w:r>
        <w:rPr/>
        <w:t>for</w:t>
      </w:r>
      <w:r>
        <w:rPr>
          <w:spacing w:val="-2"/>
        </w:rPr>
        <w:t> </w:t>
      </w:r>
      <w:r>
        <w:rPr/>
        <w:t>DTA</w:t>
      </w:r>
      <w:r>
        <w:rPr>
          <w:spacing w:val="-2"/>
        </w:rPr>
        <w:t> </w:t>
      </w:r>
      <w:r>
        <w:rPr/>
        <w:t>to</w:t>
      </w:r>
      <w:r>
        <w:rPr>
          <w:spacing w:val="-1"/>
        </w:rPr>
        <w:t> </w:t>
      </w:r>
      <w:r>
        <w:rPr/>
        <w:t>create</w:t>
      </w:r>
      <w:r>
        <w:rPr>
          <w:spacing w:val="-2"/>
        </w:rPr>
        <w:t> </w:t>
      </w:r>
      <w:r>
        <w:rPr/>
        <w:t>a</w:t>
      </w:r>
      <w:r>
        <w:rPr>
          <w:spacing w:val="-1"/>
        </w:rPr>
        <w:t> </w:t>
      </w:r>
      <w:r>
        <w:rPr/>
        <w:t>specific</w:t>
      </w:r>
      <w:r>
        <w:rPr>
          <w:spacing w:val="-1"/>
        </w:rPr>
        <w:t> </w:t>
      </w:r>
      <w:r>
        <w:rPr/>
        <w:t>position</w:t>
      </w:r>
      <w:r>
        <w:rPr>
          <w:spacing w:val="-2"/>
        </w:rPr>
        <w:t> </w:t>
      </w:r>
      <w:r>
        <w:rPr/>
        <w:t>for</w:t>
      </w:r>
      <w:r>
        <w:rPr>
          <w:spacing w:val="-2"/>
        </w:rPr>
        <w:t> </w:t>
      </w:r>
      <w:r>
        <w:rPr/>
        <w:t>LGBTQ</w:t>
      </w:r>
      <w:r>
        <w:rPr>
          <w:spacing w:val="-2"/>
        </w:rPr>
        <w:t> </w:t>
      </w:r>
      <w:r>
        <w:rPr/>
        <w:t>internal and</w:t>
      </w:r>
      <w:r>
        <w:rPr>
          <w:spacing w:val="39"/>
        </w:rPr>
        <w:t> </w:t>
      </w:r>
      <w:r>
        <w:rPr/>
        <w:t>external</w:t>
      </w:r>
      <w:r>
        <w:rPr>
          <w:spacing w:val="39"/>
        </w:rPr>
        <w:t> </w:t>
      </w:r>
      <w:r>
        <w:rPr/>
        <w:t>work.</w:t>
      </w:r>
      <w:r>
        <w:rPr>
          <w:spacing w:val="40"/>
        </w:rPr>
        <w:t> </w:t>
      </w:r>
      <w:r>
        <w:rPr/>
        <w:t>These</w:t>
      </w:r>
      <w:r>
        <w:rPr>
          <w:spacing w:val="40"/>
        </w:rPr>
        <w:t> </w:t>
      </w:r>
      <w:r>
        <w:rPr/>
        <w:t>positions</w:t>
      </w:r>
      <w:r>
        <w:rPr>
          <w:spacing w:val="40"/>
        </w:rPr>
        <w:t> </w:t>
      </w:r>
      <w:r>
        <w:rPr/>
        <w:t>are</w:t>
      </w:r>
      <w:r>
        <w:rPr>
          <w:spacing w:val="39"/>
        </w:rPr>
        <w:t> </w:t>
      </w:r>
      <w:r>
        <w:rPr/>
        <w:t>often</w:t>
      </w:r>
      <w:r>
        <w:rPr>
          <w:spacing w:val="40"/>
        </w:rPr>
        <w:t> </w:t>
      </w:r>
      <w:r>
        <w:rPr/>
        <w:t>tasked</w:t>
      </w:r>
      <w:r>
        <w:rPr>
          <w:spacing w:val="39"/>
        </w:rPr>
        <w:t> </w:t>
      </w:r>
      <w:r>
        <w:rPr/>
        <w:t>with</w:t>
      </w:r>
      <w:r>
        <w:rPr>
          <w:spacing w:val="40"/>
        </w:rPr>
        <w:t> </w:t>
      </w:r>
      <w:r>
        <w:rPr/>
        <w:t>overseeing</w:t>
      </w:r>
      <w:r>
        <w:rPr>
          <w:spacing w:val="39"/>
        </w:rPr>
        <w:t> </w:t>
      </w:r>
      <w:r>
        <w:rPr/>
        <w:t>DEI</w:t>
      </w:r>
      <w:r>
        <w:rPr>
          <w:spacing w:val="40"/>
        </w:rPr>
        <w:t> </w:t>
      </w:r>
      <w:r>
        <w:rPr/>
        <w:t>&amp;</w:t>
      </w:r>
      <w:r>
        <w:rPr>
          <w:spacing w:val="40"/>
        </w:rPr>
        <w:t> </w:t>
      </w:r>
      <w:r>
        <w:rPr/>
        <w:t>training</w:t>
      </w:r>
      <w:r>
        <w:rPr>
          <w:spacing w:val="39"/>
        </w:rPr>
        <w:t> </w:t>
      </w:r>
      <w:r>
        <w:rPr/>
        <w:t>work</w:t>
      </w:r>
      <w:r>
        <w:rPr>
          <w:spacing w:val="39"/>
        </w:rPr>
        <w:t> </w:t>
      </w:r>
      <w:r>
        <w:rPr/>
        <w:t>internally,</w:t>
      </w:r>
    </w:p>
    <w:p>
      <w:pPr>
        <w:spacing w:after="0" w:line="360" w:lineRule="auto"/>
        <w:jc w:val="both"/>
        <w:sectPr>
          <w:pgSz w:w="12240" w:h="15840"/>
          <w:pgMar w:header="804" w:footer="1263" w:top="1000" w:bottom="1460" w:left="960" w:right="1100"/>
        </w:sectPr>
      </w:pPr>
    </w:p>
    <w:p>
      <w:pPr>
        <w:pStyle w:val="BodyText"/>
        <w:spacing w:before="98"/>
      </w:pPr>
    </w:p>
    <w:p>
      <w:pPr>
        <w:pStyle w:val="BodyText"/>
        <w:spacing w:line="360" w:lineRule="auto"/>
        <w:ind w:left="483" w:right="259"/>
        <w:jc w:val="both"/>
      </w:pPr>
      <w:r>
        <w:rPr/>
        <w:t>external outreach, and resource development. While this is a great deal of work for one staff person to oversee,</w:t>
      </w:r>
      <w:r>
        <w:rPr>
          <w:spacing w:val="-13"/>
        </w:rPr>
        <w:t> </w:t>
      </w:r>
      <w:r>
        <w:rPr/>
        <w:t>the</w:t>
      </w:r>
      <w:r>
        <w:rPr>
          <w:spacing w:val="-12"/>
        </w:rPr>
        <w:t> </w:t>
      </w:r>
      <w:r>
        <w:rPr/>
        <w:t>Commission</w:t>
      </w:r>
      <w:r>
        <w:rPr>
          <w:spacing w:val="-13"/>
        </w:rPr>
        <w:t> </w:t>
      </w:r>
      <w:r>
        <w:rPr/>
        <w:t>hopes</w:t>
      </w:r>
      <w:r>
        <w:rPr>
          <w:spacing w:val="-12"/>
        </w:rPr>
        <w:t> </w:t>
      </w:r>
      <w:r>
        <w:rPr/>
        <w:t>that</w:t>
      </w:r>
      <w:r>
        <w:rPr>
          <w:spacing w:val="-13"/>
        </w:rPr>
        <w:t> </w:t>
      </w:r>
      <w:r>
        <w:rPr/>
        <w:t>agencies</w:t>
      </w:r>
      <w:r>
        <w:rPr>
          <w:spacing w:val="-12"/>
        </w:rPr>
        <w:t> </w:t>
      </w:r>
      <w:r>
        <w:rPr/>
        <w:t>continue</w:t>
      </w:r>
      <w:r>
        <w:rPr>
          <w:spacing w:val="-13"/>
        </w:rPr>
        <w:t> </w:t>
      </w:r>
      <w:r>
        <w:rPr/>
        <w:t>to</w:t>
      </w:r>
      <w:r>
        <w:rPr>
          <w:spacing w:val="-12"/>
        </w:rPr>
        <w:t> </w:t>
      </w:r>
      <w:r>
        <w:rPr/>
        <w:t>develop</w:t>
      </w:r>
      <w:r>
        <w:rPr>
          <w:spacing w:val="-12"/>
        </w:rPr>
        <w:t> </w:t>
      </w:r>
      <w:r>
        <w:rPr/>
        <w:t>these</w:t>
      </w:r>
      <w:r>
        <w:rPr>
          <w:spacing w:val="-13"/>
        </w:rPr>
        <w:t> </w:t>
      </w:r>
      <w:r>
        <w:rPr/>
        <w:t>offices</w:t>
      </w:r>
      <w:r>
        <w:rPr>
          <w:spacing w:val="-12"/>
        </w:rPr>
        <w:t> </w:t>
      </w:r>
      <w:r>
        <w:rPr/>
        <w:t>internally</w:t>
      </w:r>
      <w:r>
        <w:rPr>
          <w:spacing w:val="-13"/>
        </w:rPr>
        <w:t> </w:t>
      </w:r>
      <w:r>
        <w:rPr/>
        <w:t>to</w:t>
      </w:r>
      <w:r>
        <w:rPr>
          <w:spacing w:val="-12"/>
        </w:rPr>
        <w:t> </w:t>
      </w:r>
      <w:r>
        <w:rPr/>
        <w:t>build</w:t>
      </w:r>
      <w:r>
        <w:rPr>
          <w:spacing w:val="-13"/>
        </w:rPr>
        <w:t> </w:t>
      </w:r>
      <w:r>
        <w:rPr/>
        <w:t>capacity, and</w:t>
      </w:r>
      <w:r>
        <w:rPr>
          <w:spacing w:val="-5"/>
        </w:rPr>
        <w:t> </w:t>
      </w:r>
      <w:r>
        <w:rPr/>
        <w:t>more</w:t>
      </w:r>
      <w:r>
        <w:rPr>
          <w:spacing w:val="-4"/>
        </w:rPr>
        <w:t> </w:t>
      </w:r>
      <w:r>
        <w:rPr/>
        <w:t>community-based</w:t>
      </w:r>
      <w:r>
        <w:rPr>
          <w:spacing w:val="-5"/>
        </w:rPr>
        <w:t> </w:t>
      </w:r>
      <w:r>
        <w:rPr/>
        <w:t>outreach</w:t>
      </w:r>
      <w:r>
        <w:rPr>
          <w:spacing w:val="-4"/>
        </w:rPr>
        <w:t> </w:t>
      </w:r>
      <w:r>
        <w:rPr/>
        <w:t>efforts.</w:t>
      </w:r>
      <w:r>
        <w:rPr>
          <w:spacing w:val="-5"/>
        </w:rPr>
        <w:t> </w:t>
      </w:r>
      <w:r>
        <w:rPr/>
        <w:t>While</w:t>
      </w:r>
      <w:r>
        <w:rPr>
          <w:spacing w:val="-4"/>
        </w:rPr>
        <w:t> </w:t>
      </w:r>
      <w:r>
        <w:rPr/>
        <w:t>DTA</w:t>
      </w:r>
      <w:r>
        <w:rPr>
          <w:spacing w:val="-5"/>
        </w:rPr>
        <w:t> </w:t>
      </w:r>
      <w:r>
        <w:rPr/>
        <w:t>has</w:t>
      </w:r>
      <w:r>
        <w:rPr>
          <w:spacing w:val="-5"/>
        </w:rPr>
        <w:t> </w:t>
      </w:r>
      <w:r>
        <w:rPr/>
        <w:t>been</w:t>
      </w:r>
      <w:r>
        <w:rPr>
          <w:spacing w:val="-5"/>
        </w:rPr>
        <w:t> </w:t>
      </w:r>
      <w:r>
        <w:rPr/>
        <w:t>unable</w:t>
      </w:r>
      <w:r>
        <w:rPr>
          <w:spacing w:val="-5"/>
        </w:rPr>
        <w:t> </w:t>
      </w:r>
      <w:r>
        <w:rPr/>
        <w:t>to</w:t>
      </w:r>
      <w:r>
        <w:rPr>
          <w:spacing w:val="-3"/>
        </w:rPr>
        <w:t> </w:t>
      </w:r>
      <w:r>
        <w:rPr/>
        <w:t>establish</w:t>
      </w:r>
      <w:r>
        <w:rPr>
          <w:spacing w:val="-5"/>
        </w:rPr>
        <w:t> </w:t>
      </w:r>
      <w:r>
        <w:rPr/>
        <w:t>such</w:t>
      </w:r>
      <w:r>
        <w:rPr>
          <w:spacing w:val="-4"/>
        </w:rPr>
        <w:t> </w:t>
      </w:r>
      <w:r>
        <w:rPr/>
        <w:t>a</w:t>
      </w:r>
      <w:r>
        <w:rPr>
          <w:spacing w:val="-5"/>
        </w:rPr>
        <w:t> </w:t>
      </w:r>
      <w:r>
        <w:rPr/>
        <w:t>position</w:t>
      </w:r>
      <w:r>
        <w:rPr>
          <w:spacing w:val="-5"/>
        </w:rPr>
        <w:t> </w:t>
      </w:r>
      <w:r>
        <w:rPr/>
        <w:t>yet, the</w:t>
      </w:r>
      <w:r>
        <w:rPr>
          <w:spacing w:val="-3"/>
        </w:rPr>
        <w:t> </w:t>
      </w:r>
      <w:r>
        <w:rPr/>
        <w:t>Commission</w:t>
      </w:r>
      <w:r>
        <w:rPr>
          <w:spacing w:val="-3"/>
        </w:rPr>
        <w:t> </w:t>
      </w:r>
      <w:r>
        <w:rPr/>
        <w:t>understands</w:t>
      </w:r>
      <w:r>
        <w:rPr>
          <w:spacing w:val="-3"/>
        </w:rPr>
        <w:t> </w:t>
      </w:r>
      <w:r>
        <w:rPr/>
        <w:t>the</w:t>
      </w:r>
      <w:r>
        <w:rPr>
          <w:spacing w:val="-3"/>
        </w:rPr>
        <w:t> </w:t>
      </w:r>
      <w:r>
        <w:rPr/>
        <w:t>various</w:t>
      </w:r>
      <w:r>
        <w:rPr>
          <w:spacing w:val="-3"/>
        </w:rPr>
        <w:t> </w:t>
      </w:r>
      <w:r>
        <w:rPr/>
        <w:t>challenges</w:t>
      </w:r>
      <w:r>
        <w:rPr>
          <w:spacing w:val="-2"/>
        </w:rPr>
        <w:t> </w:t>
      </w:r>
      <w:r>
        <w:rPr/>
        <w:t>that</w:t>
      </w:r>
      <w:r>
        <w:rPr>
          <w:spacing w:val="-3"/>
        </w:rPr>
        <w:t> </w:t>
      </w:r>
      <w:r>
        <w:rPr/>
        <w:t>have</w:t>
      </w:r>
      <w:r>
        <w:rPr>
          <w:spacing w:val="-3"/>
        </w:rPr>
        <w:t> </w:t>
      </w:r>
      <w:r>
        <w:rPr/>
        <w:t>popped</w:t>
      </w:r>
      <w:r>
        <w:rPr>
          <w:spacing w:val="-3"/>
        </w:rPr>
        <w:t> </w:t>
      </w:r>
      <w:r>
        <w:rPr/>
        <w:t>up</w:t>
      </w:r>
      <w:r>
        <w:rPr>
          <w:spacing w:val="-3"/>
        </w:rPr>
        <w:t> </w:t>
      </w:r>
      <w:r>
        <w:rPr/>
        <w:t>that</w:t>
      </w:r>
      <w:r>
        <w:rPr>
          <w:spacing w:val="-3"/>
        </w:rPr>
        <w:t> </w:t>
      </w:r>
      <w:r>
        <w:rPr/>
        <w:t>have</w:t>
      </w:r>
      <w:r>
        <w:rPr>
          <w:spacing w:val="-3"/>
        </w:rPr>
        <w:t> </w:t>
      </w:r>
      <w:r>
        <w:rPr/>
        <w:t>delayed</w:t>
      </w:r>
      <w:r>
        <w:rPr>
          <w:spacing w:val="-2"/>
        </w:rPr>
        <w:t> </w:t>
      </w:r>
      <w:r>
        <w:rPr/>
        <w:t>many</w:t>
      </w:r>
      <w:r>
        <w:rPr>
          <w:spacing w:val="-3"/>
        </w:rPr>
        <w:t> </w:t>
      </w:r>
      <w:r>
        <w:rPr/>
        <w:t>agency initiatives and is encouraged by its conversations over FY 2024 about next steps for FY 2025.</w:t>
      </w:r>
    </w:p>
    <w:p>
      <w:pPr>
        <w:numPr>
          <w:ilvl w:val="2"/>
          <w:numId w:val="43"/>
        </w:numPr>
        <w:tabs>
          <w:tab w:pos="981" w:val="left" w:leader="none"/>
          <w:tab w:pos="983" w:val="left" w:leader="none"/>
        </w:tabs>
        <w:spacing w:line="360" w:lineRule="auto" w:before="240"/>
        <w:ind w:left="983" w:right="263" w:hanging="360"/>
        <w:jc w:val="left"/>
        <w:rPr>
          <w:b/>
          <w:sz w:val="22"/>
        </w:rPr>
      </w:pPr>
      <w:r>
        <w:rPr>
          <w:b/>
          <w:sz w:val="22"/>
        </w:rPr>
        <w:t>Continue</w:t>
      </w:r>
      <w:r>
        <w:rPr>
          <w:b/>
          <w:spacing w:val="40"/>
          <w:sz w:val="22"/>
        </w:rPr>
        <w:t> </w:t>
      </w:r>
      <w:r>
        <w:rPr>
          <w:b/>
          <w:sz w:val="22"/>
        </w:rPr>
        <w:t>to</w:t>
      </w:r>
      <w:r>
        <w:rPr>
          <w:b/>
          <w:spacing w:val="40"/>
          <w:sz w:val="22"/>
        </w:rPr>
        <w:t> </w:t>
      </w:r>
      <w:r>
        <w:rPr>
          <w:b/>
          <w:sz w:val="22"/>
        </w:rPr>
        <w:t>review</w:t>
      </w:r>
      <w:r>
        <w:rPr>
          <w:b/>
          <w:spacing w:val="40"/>
          <w:sz w:val="22"/>
        </w:rPr>
        <w:t> </w:t>
      </w:r>
      <w:r>
        <w:rPr>
          <w:b/>
          <w:sz w:val="22"/>
        </w:rPr>
        <w:t>opportunities</w:t>
      </w:r>
      <w:r>
        <w:rPr>
          <w:b/>
          <w:spacing w:val="40"/>
          <w:sz w:val="22"/>
        </w:rPr>
        <w:t> </w:t>
      </w:r>
      <w:r>
        <w:rPr>
          <w:b/>
          <w:sz w:val="22"/>
        </w:rPr>
        <w:t>to</w:t>
      </w:r>
      <w:r>
        <w:rPr>
          <w:b/>
          <w:spacing w:val="40"/>
          <w:sz w:val="22"/>
        </w:rPr>
        <w:t> </w:t>
      </w:r>
      <w:r>
        <w:rPr>
          <w:b/>
          <w:sz w:val="22"/>
        </w:rPr>
        <w:t>collect</w:t>
      </w:r>
      <w:r>
        <w:rPr>
          <w:b/>
          <w:spacing w:val="40"/>
          <w:sz w:val="22"/>
        </w:rPr>
        <w:t> </w:t>
      </w:r>
      <w:r>
        <w:rPr>
          <w:b/>
          <w:sz w:val="22"/>
        </w:rPr>
        <w:t>inclusive</w:t>
      </w:r>
      <w:r>
        <w:rPr>
          <w:b/>
          <w:spacing w:val="40"/>
          <w:sz w:val="22"/>
        </w:rPr>
        <w:t> </w:t>
      </w:r>
      <w:r>
        <w:rPr>
          <w:b/>
          <w:sz w:val="22"/>
        </w:rPr>
        <w:t>SOGIE</w:t>
      </w:r>
      <w:r>
        <w:rPr>
          <w:b/>
          <w:spacing w:val="40"/>
          <w:sz w:val="22"/>
        </w:rPr>
        <w:t> </w:t>
      </w:r>
      <w:r>
        <w:rPr>
          <w:b/>
          <w:sz w:val="22"/>
        </w:rPr>
        <w:t>data</w:t>
      </w:r>
      <w:r>
        <w:rPr>
          <w:b/>
          <w:spacing w:val="40"/>
          <w:sz w:val="22"/>
        </w:rPr>
        <w:t> </w:t>
      </w:r>
      <w:r>
        <w:rPr>
          <w:b/>
          <w:sz w:val="22"/>
        </w:rPr>
        <w:t>information,</w:t>
      </w:r>
      <w:r>
        <w:rPr>
          <w:b/>
          <w:spacing w:val="40"/>
          <w:sz w:val="22"/>
        </w:rPr>
        <w:t> </w:t>
      </w:r>
      <w:r>
        <w:rPr>
          <w:b/>
          <w:sz w:val="22"/>
        </w:rPr>
        <w:t>and</w:t>
      </w:r>
      <w:r>
        <w:rPr>
          <w:b/>
          <w:spacing w:val="40"/>
          <w:sz w:val="22"/>
        </w:rPr>
        <w:t> </w:t>
      </w:r>
      <w:r>
        <w:rPr>
          <w:b/>
          <w:sz w:val="22"/>
        </w:rPr>
        <w:t>update</w:t>
      </w:r>
      <w:r>
        <w:rPr>
          <w:b/>
          <w:spacing w:val="40"/>
          <w:sz w:val="22"/>
        </w:rPr>
        <w:t> </w:t>
      </w:r>
      <w:r>
        <w:rPr>
          <w:b/>
          <w:sz w:val="22"/>
        </w:rPr>
        <w:t>IT systems to include new data fields where appropriate.</w:t>
      </w:r>
    </w:p>
    <w:p>
      <w:pPr>
        <w:pStyle w:val="BodyText"/>
        <w:spacing w:line="360" w:lineRule="auto" w:before="240"/>
        <w:ind w:left="483" w:right="262"/>
        <w:jc w:val="both"/>
      </w:pPr>
      <w:r>
        <w:rPr/>
        <w:t>The Commission has been working with DTA for several years to examine areas where inclusive data on SOGI</w:t>
      </w:r>
      <w:r>
        <w:rPr>
          <w:spacing w:val="-13"/>
        </w:rPr>
        <w:t> </w:t>
      </w:r>
      <w:r>
        <w:rPr/>
        <w:t>can</w:t>
      </w:r>
      <w:r>
        <w:rPr>
          <w:spacing w:val="-12"/>
        </w:rPr>
        <w:t> </w:t>
      </w:r>
      <w:r>
        <w:rPr/>
        <w:t>be</w:t>
      </w:r>
      <w:r>
        <w:rPr>
          <w:spacing w:val="-13"/>
        </w:rPr>
        <w:t> </w:t>
      </w:r>
      <w:r>
        <w:rPr/>
        <w:t>collected.</w:t>
      </w:r>
      <w:r>
        <w:rPr>
          <w:spacing w:val="-12"/>
        </w:rPr>
        <w:t> </w:t>
      </w:r>
      <w:r>
        <w:rPr/>
        <w:t>Currently,</w:t>
      </w:r>
      <w:r>
        <w:rPr>
          <w:spacing w:val="-13"/>
        </w:rPr>
        <w:t> </w:t>
      </w:r>
      <w:r>
        <w:rPr/>
        <w:t>DTA’s</w:t>
      </w:r>
      <w:r>
        <w:rPr>
          <w:spacing w:val="-12"/>
        </w:rPr>
        <w:t> </w:t>
      </w:r>
      <w:r>
        <w:rPr/>
        <w:t>data</w:t>
      </w:r>
      <w:r>
        <w:rPr>
          <w:spacing w:val="-13"/>
        </w:rPr>
        <w:t> </w:t>
      </w:r>
      <w:r>
        <w:rPr/>
        <w:t>collection</w:t>
      </w:r>
      <w:r>
        <w:rPr>
          <w:spacing w:val="-12"/>
        </w:rPr>
        <w:t> </w:t>
      </w:r>
      <w:r>
        <w:rPr/>
        <w:t>is</w:t>
      </w:r>
      <w:r>
        <w:rPr>
          <w:spacing w:val="-12"/>
        </w:rPr>
        <w:t> </w:t>
      </w:r>
      <w:r>
        <w:rPr/>
        <w:t>limited</w:t>
      </w:r>
      <w:r>
        <w:rPr>
          <w:spacing w:val="-13"/>
        </w:rPr>
        <w:t> </w:t>
      </w:r>
      <w:r>
        <w:rPr/>
        <w:t>to</w:t>
      </w:r>
      <w:r>
        <w:rPr>
          <w:spacing w:val="-12"/>
        </w:rPr>
        <w:t> </w:t>
      </w:r>
      <w:r>
        <w:rPr/>
        <w:t>demographic</w:t>
      </w:r>
      <w:r>
        <w:rPr>
          <w:spacing w:val="-13"/>
        </w:rPr>
        <w:t> </w:t>
      </w:r>
      <w:r>
        <w:rPr/>
        <w:t>info</w:t>
      </w:r>
      <w:r>
        <w:rPr>
          <w:spacing w:val="-12"/>
        </w:rPr>
        <w:t> </w:t>
      </w:r>
      <w:r>
        <w:rPr/>
        <w:t>on</w:t>
      </w:r>
      <w:r>
        <w:rPr>
          <w:spacing w:val="-13"/>
        </w:rPr>
        <w:t> </w:t>
      </w:r>
      <w:r>
        <w:rPr/>
        <w:t>race</w:t>
      </w:r>
      <w:r>
        <w:rPr>
          <w:spacing w:val="-12"/>
        </w:rPr>
        <w:t> </w:t>
      </w:r>
      <w:r>
        <w:rPr/>
        <w:t>and</w:t>
      </w:r>
      <w:r>
        <w:rPr>
          <w:spacing w:val="-12"/>
        </w:rPr>
        <w:t> </w:t>
      </w:r>
      <w:r>
        <w:rPr/>
        <w:t>biological sex. DTA notes that the vast majority of its data collection happens through the SNAP program which is heavily regulated by the federal government; as noted in the Eliminating Barriers to Services section, federal forms often inhibit inclusive data collection efforts at the state level. Additionally, outdated IT systems often take an enormous amount of effort and time to update to include better data fields or tracking. However, without the appropriate information, agencies cannot ensure that their services are reaching target populations, like LGBTQ youth, particularly if they are only tracking sex-assigned-at-birth markers</w:t>
      </w:r>
      <w:r>
        <w:rPr>
          <w:spacing w:val="-6"/>
        </w:rPr>
        <w:t> </w:t>
      </w:r>
      <w:r>
        <w:rPr/>
        <w:t>rather</w:t>
      </w:r>
      <w:r>
        <w:rPr>
          <w:spacing w:val="-6"/>
        </w:rPr>
        <w:t> </w:t>
      </w:r>
      <w:r>
        <w:rPr/>
        <w:t>than</w:t>
      </w:r>
      <w:r>
        <w:rPr>
          <w:spacing w:val="-5"/>
        </w:rPr>
        <w:t> </w:t>
      </w:r>
      <w:r>
        <w:rPr/>
        <w:t>gender</w:t>
      </w:r>
      <w:r>
        <w:rPr>
          <w:spacing w:val="-6"/>
        </w:rPr>
        <w:t> </w:t>
      </w:r>
      <w:r>
        <w:rPr/>
        <w:t>identity/expression</w:t>
      </w:r>
      <w:r>
        <w:rPr>
          <w:spacing w:val="-7"/>
        </w:rPr>
        <w:t> </w:t>
      </w:r>
      <w:r>
        <w:rPr/>
        <w:t>markers.</w:t>
      </w:r>
      <w:r>
        <w:rPr>
          <w:spacing w:val="-7"/>
        </w:rPr>
        <w:t> </w:t>
      </w:r>
      <w:r>
        <w:rPr/>
        <w:t>The</w:t>
      </w:r>
      <w:r>
        <w:rPr>
          <w:spacing w:val="-7"/>
        </w:rPr>
        <w:t> </w:t>
      </w:r>
      <w:r>
        <w:rPr/>
        <w:t>Commission</w:t>
      </w:r>
      <w:r>
        <w:rPr>
          <w:spacing w:val="-7"/>
        </w:rPr>
        <w:t> </w:t>
      </w:r>
      <w:r>
        <w:rPr/>
        <w:t>has</w:t>
      </w:r>
      <w:r>
        <w:rPr>
          <w:spacing w:val="-6"/>
        </w:rPr>
        <w:t> </w:t>
      </w:r>
      <w:r>
        <w:rPr/>
        <w:t>received</w:t>
      </w:r>
      <w:r>
        <w:rPr>
          <w:spacing w:val="-7"/>
        </w:rPr>
        <w:t> </w:t>
      </w:r>
      <w:r>
        <w:rPr/>
        <w:t>updates</w:t>
      </w:r>
      <w:r>
        <w:rPr>
          <w:spacing w:val="-6"/>
        </w:rPr>
        <w:t> </w:t>
      </w:r>
      <w:r>
        <w:rPr/>
        <w:t>from</w:t>
      </w:r>
      <w:r>
        <w:rPr>
          <w:spacing w:val="-7"/>
        </w:rPr>
        <w:t> </w:t>
      </w:r>
      <w:r>
        <w:rPr/>
        <w:t>DTA noting that there is a need for the agency to hire a new chief technology officer to oversee IT updates. Additionally,</w:t>
      </w:r>
      <w:r>
        <w:rPr>
          <w:spacing w:val="-6"/>
        </w:rPr>
        <w:t> </w:t>
      </w:r>
      <w:r>
        <w:rPr/>
        <w:t>much</w:t>
      </w:r>
      <w:r>
        <w:rPr>
          <w:spacing w:val="-8"/>
        </w:rPr>
        <w:t> </w:t>
      </w:r>
      <w:r>
        <w:rPr/>
        <w:t>of</w:t>
      </w:r>
      <w:r>
        <w:rPr>
          <w:spacing w:val="-8"/>
        </w:rPr>
        <w:t> </w:t>
      </w:r>
      <w:r>
        <w:rPr/>
        <w:t>the</w:t>
      </w:r>
      <w:r>
        <w:rPr>
          <w:spacing w:val="-8"/>
        </w:rPr>
        <w:t> </w:t>
      </w:r>
      <w:r>
        <w:rPr/>
        <w:t>focus</w:t>
      </w:r>
      <w:r>
        <w:rPr>
          <w:spacing w:val="-7"/>
        </w:rPr>
        <w:t> </w:t>
      </w:r>
      <w:r>
        <w:rPr/>
        <w:t>of</w:t>
      </w:r>
      <w:r>
        <w:rPr>
          <w:spacing w:val="-8"/>
        </w:rPr>
        <w:t> </w:t>
      </w:r>
      <w:r>
        <w:rPr/>
        <w:t>the</w:t>
      </w:r>
      <w:r>
        <w:rPr>
          <w:spacing w:val="-8"/>
        </w:rPr>
        <w:t> </w:t>
      </w:r>
      <w:r>
        <w:rPr/>
        <w:t>SNAP</w:t>
      </w:r>
      <w:r>
        <w:rPr>
          <w:spacing w:val="-7"/>
        </w:rPr>
        <w:t> </w:t>
      </w:r>
      <w:r>
        <w:rPr/>
        <w:t>program</w:t>
      </w:r>
      <w:r>
        <w:rPr>
          <w:spacing w:val="-7"/>
        </w:rPr>
        <w:t> </w:t>
      </w:r>
      <w:r>
        <w:rPr/>
        <w:t>has</w:t>
      </w:r>
      <w:r>
        <w:rPr>
          <w:spacing w:val="-7"/>
        </w:rPr>
        <w:t> </w:t>
      </w:r>
      <w:r>
        <w:rPr/>
        <w:t>focused</w:t>
      </w:r>
      <w:r>
        <w:rPr>
          <w:spacing w:val="-6"/>
        </w:rPr>
        <w:t> </w:t>
      </w:r>
      <w:r>
        <w:rPr/>
        <w:t>on</w:t>
      </w:r>
      <w:r>
        <w:rPr>
          <w:spacing w:val="-8"/>
        </w:rPr>
        <w:t> </w:t>
      </w:r>
      <w:r>
        <w:rPr/>
        <w:t>ensuring</w:t>
      </w:r>
      <w:r>
        <w:rPr>
          <w:spacing w:val="-8"/>
        </w:rPr>
        <w:t> </w:t>
      </w:r>
      <w:r>
        <w:rPr/>
        <w:t>that</w:t>
      </w:r>
      <w:r>
        <w:rPr>
          <w:spacing w:val="-8"/>
        </w:rPr>
        <w:t> </w:t>
      </w:r>
      <w:r>
        <w:rPr/>
        <w:t>resources</w:t>
      </w:r>
      <w:r>
        <w:rPr>
          <w:spacing w:val="-6"/>
        </w:rPr>
        <w:t> </w:t>
      </w:r>
      <w:r>
        <w:rPr/>
        <w:t>are</w:t>
      </w:r>
      <w:r>
        <w:rPr>
          <w:spacing w:val="-8"/>
        </w:rPr>
        <w:t> </w:t>
      </w:r>
      <w:r>
        <w:rPr/>
        <w:t>set</w:t>
      </w:r>
      <w:r>
        <w:rPr>
          <w:spacing w:val="-7"/>
        </w:rPr>
        <w:t> </w:t>
      </w:r>
      <w:r>
        <w:rPr/>
        <w:t>up</w:t>
      </w:r>
      <w:r>
        <w:rPr>
          <w:spacing w:val="-8"/>
        </w:rPr>
        <w:t> </w:t>
      </w:r>
      <w:r>
        <w:rPr/>
        <w:t>for new arrivals in the state, leaving little capacity for other areas of work. The Commission looks forward to continuing conversations around improving data collecting with DTA in FY 2025.</w:t>
      </w:r>
    </w:p>
    <w:p>
      <w:pPr>
        <w:numPr>
          <w:ilvl w:val="2"/>
          <w:numId w:val="43"/>
        </w:numPr>
        <w:tabs>
          <w:tab w:pos="981" w:val="left" w:leader="none"/>
          <w:tab w:pos="983" w:val="left" w:leader="none"/>
        </w:tabs>
        <w:spacing w:line="360" w:lineRule="auto" w:before="241"/>
        <w:ind w:left="983" w:right="262" w:hanging="360"/>
        <w:jc w:val="left"/>
        <w:rPr>
          <w:b/>
          <w:sz w:val="22"/>
        </w:rPr>
      </w:pPr>
      <w:r>
        <w:rPr>
          <w:b/>
          <w:sz w:val="22"/>
        </w:rPr>
        <w:t>Expand</w:t>
      </w:r>
      <w:r>
        <w:rPr>
          <w:b/>
          <w:spacing w:val="40"/>
          <w:sz w:val="22"/>
        </w:rPr>
        <w:t> </w:t>
      </w:r>
      <w:r>
        <w:rPr>
          <w:b/>
          <w:sz w:val="22"/>
        </w:rPr>
        <w:t>intersectional</w:t>
      </w:r>
      <w:r>
        <w:rPr>
          <w:b/>
          <w:spacing w:val="40"/>
          <w:sz w:val="22"/>
        </w:rPr>
        <w:t> </w:t>
      </w:r>
      <w:r>
        <w:rPr>
          <w:b/>
          <w:sz w:val="22"/>
        </w:rPr>
        <w:t>LGBTQ</w:t>
      </w:r>
      <w:r>
        <w:rPr>
          <w:b/>
          <w:spacing w:val="40"/>
          <w:sz w:val="22"/>
        </w:rPr>
        <w:t> </w:t>
      </w:r>
      <w:r>
        <w:rPr>
          <w:b/>
          <w:sz w:val="22"/>
        </w:rPr>
        <w:t>training</w:t>
      </w:r>
      <w:r>
        <w:rPr>
          <w:b/>
          <w:spacing w:val="40"/>
          <w:sz w:val="22"/>
        </w:rPr>
        <w:t> </w:t>
      </w:r>
      <w:r>
        <w:rPr>
          <w:b/>
          <w:sz w:val="22"/>
        </w:rPr>
        <w:t>efforts</w:t>
      </w:r>
      <w:r>
        <w:rPr>
          <w:b/>
          <w:spacing w:val="40"/>
          <w:sz w:val="22"/>
        </w:rPr>
        <w:t> </w:t>
      </w:r>
      <w:r>
        <w:rPr>
          <w:b/>
          <w:sz w:val="22"/>
        </w:rPr>
        <w:t>and</w:t>
      </w:r>
      <w:r>
        <w:rPr>
          <w:b/>
          <w:spacing w:val="40"/>
          <w:sz w:val="22"/>
        </w:rPr>
        <w:t> </w:t>
      </w:r>
      <w:r>
        <w:rPr>
          <w:b/>
          <w:sz w:val="22"/>
        </w:rPr>
        <w:t>mandate</w:t>
      </w:r>
      <w:r>
        <w:rPr>
          <w:b/>
          <w:spacing w:val="40"/>
          <w:sz w:val="22"/>
        </w:rPr>
        <w:t> </w:t>
      </w:r>
      <w:r>
        <w:rPr>
          <w:b/>
          <w:sz w:val="22"/>
        </w:rPr>
        <w:t>racial</w:t>
      </w:r>
      <w:r>
        <w:rPr>
          <w:b/>
          <w:spacing w:val="40"/>
          <w:sz w:val="22"/>
        </w:rPr>
        <w:t> </w:t>
      </w:r>
      <w:r>
        <w:rPr>
          <w:b/>
          <w:sz w:val="22"/>
        </w:rPr>
        <w:t>equity</w:t>
      </w:r>
      <w:r>
        <w:rPr>
          <w:b/>
          <w:spacing w:val="40"/>
          <w:sz w:val="22"/>
        </w:rPr>
        <w:t> </w:t>
      </w:r>
      <w:r>
        <w:rPr>
          <w:b/>
          <w:sz w:val="22"/>
        </w:rPr>
        <w:t>trainings</w:t>
      </w:r>
      <w:r>
        <w:rPr>
          <w:b/>
          <w:spacing w:val="40"/>
          <w:sz w:val="22"/>
        </w:rPr>
        <w:t> </w:t>
      </w:r>
      <w:r>
        <w:rPr>
          <w:b/>
          <w:sz w:val="22"/>
        </w:rPr>
        <w:t>for</w:t>
      </w:r>
      <w:r>
        <w:rPr>
          <w:b/>
          <w:spacing w:val="40"/>
          <w:sz w:val="22"/>
        </w:rPr>
        <w:t> </w:t>
      </w:r>
      <w:r>
        <w:rPr>
          <w:b/>
          <w:sz w:val="22"/>
        </w:rPr>
        <w:t>all</w:t>
      </w:r>
      <w:r>
        <w:rPr>
          <w:b/>
          <w:spacing w:val="40"/>
          <w:sz w:val="22"/>
        </w:rPr>
        <w:t> </w:t>
      </w:r>
      <w:r>
        <w:rPr>
          <w:b/>
          <w:sz w:val="22"/>
        </w:rPr>
        <w:t>DTA </w:t>
      </w:r>
      <w:r>
        <w:rPr>
          <w:b/>
          <w:spacing w:val="-2"/>
          <w:sz w:val="22"/>
        </w:rPr>
        <w:t>employees.</w:t>
      </w:r>
    </w:p>
    <w:p>
      <w:pPr>
        <w:pStyle w:val="BodyText"/>
        <w:spacing w:line="360" w:lineRule="auto" w:before="199"/>
        <w:ind w:left="483" w:right="260" w:hanging="1"/>
        <w:jc w:val="both"/>
      </w:pPr>
      <w:r>
        <w:rPr/>
        <w:t>Training</w:t>
      </w:r>
      <w:r>
        <w:rPr>
          <w:spacing w:val="-3"/>
        </w:rPr>
        <w:t> </w:t>
      </w:r>
      <w:r>
        <w:rPr/>
        <w:t>on</w:t>
      </w:r>
      <w:r>
        <w:rPr>
          <w:spacing w:val="-3"/>
        </w:rPr>
        <w:t> </w:t>
      </w:r>
      <w:r>
        <w:rPr/>
        <w:t>LGBTQ</w:t>
      </w:r>
      <w:r>
        <w:rPr>
          <w:spacing w:val="-3"/>
        </w:rPr>
        <w:t> </w:t>
      </w:r>
      <w:r>
        <w:rPr/>
        <w:t>culture</w:t>
      </w:r>
      <w:r>
        <w:rPr>
          <w:spacing w:val="-3"/>
        </w:rPr>
        <w:t> </w:t>
      </w:r>
      <w:r>
        <w:rPr/>
        <w:t>and</w:t>
      </w:r>
      <w:r>
        <w:rPr>
          <w:spacing w:val="-3"/>
        </w:rPr>
        <w:t> </w:t>
      </w:r>
      <w:r>
        <w:rPr/>
        <w:t>experiences</w:t>
      </w:r>
      <w:r>
        <w:rPr>
          <w:spacing w:val="-4"/>
        </w:rPr>
        <w:t> </w:t>
      </w:r>
      <w:r>
        <w:rPr/>
        <w:t>is</w:t>
      </w:r>
      <w:r>
        <w:rPr>
          <w:spacing w:val="-2"/>
        </w:rPr>
        <w:t> </w:t>
      </w:r>
      <w:r>
        <w:rPr/>
        <w:t>essential</w:t>
      </w:r>
      <w:r>
        <w:rPr>
          <w:spacing w:val="-4"/>
        </w:rPr>
        <w:t> </w:t>
      </w:r>
      <w:r>
        <w:rPr/>
        <w:t>for</w:t>
      </w:r>
      <w:r>
        <w:rPr>
          <w:spacing w:val="-4"/>
        </w:rPr>
        <w:t> </w:t>
      </w:r>
      <w:r>
        <w:rPr/>
        <w:t>every</w:t>
      </w:r>
      <w:r>
        <w:rPr>
          <w:spacing w:val="-3"/>
        </w:rPr>
        <w:t> </w:t>
      </w:r>
      <w:r>
        <w:rPr/>
        <w:t>state</w:t>
      </w:r>
      <w:r>
        <w:rPr>
          <w:spacing w:val="-4"/>
        </w:rPr>
        <w:t> </w:t>
      </w:r>
      <w:r>
        <w:rPr/>
        <w:t>agency</w:t>
      </w:r>
      <w:r>
        <w:rPr>
          <w:spacing w:val="-3"/>
        </w:rPr>
        <w:t> </w:t>
      </w:r>
      <w:r>
        <w:rPr/>
        <w:t>employee</w:t>
      </w:r>
      <w:r>
        <w:rPr>
          <w:spacing w:val="-3"/>
        </w:rPr>
        <w:t> </w:t>
      </w:r>
      <w:r>
        <w:rPr/>
        <w:t>-</w:t>
      </w:r>
      <w:r>
        <w:rPr>
          <w:spacing w:val="-5"/>
        </w:rPr>
        <w:t> </w:t>
      </w:r>
      <w:r>
        <w:rPr/>
        <w:t>those</w:t>
      </w:r>
      <w:r>
        <w:rPr>
          <w:spacing w:val="-4"/>
        </w:rPr>
        <w:t> </w:t>
      </w:r>
      <w:r>
        <w:rPr/>
        <w:t>who</w:t>
      </w:r>
      <w:r>
        <w:rPr>
          <w:spacing w:val="-4"/>
        </w:rPr>
        <w:t> </w:t>
      </w:r>
      <w:r>
        <w:rPr/>
        <w:t>work on</w:t>
      </w:r>
      <w:r>
        <w:rPr>
          <w:spacing w:val="-13"/>
        </w:rPr>
        <w:t> </w:t>
      </w:r>
      <w:r>
        <w:rPr/>
        <w:t>the</w:t>
      </w:r>
      <w:r>
        <w:rPr>
          <w:spacing w:val="-12"/>
        </w:rPr>
        <w:t> </w:t>
      </w:r>
      <w:r>
        <w:rPr/>
        <w:t>ground</w:t>
      </w:r>
      <w:r>
        <w:rPr>
          <w:spacing w:val="-13"/>
        </w:rPr>
        <w:t> </w:t>
      </w:r>
      <w:r>
        <w:rPr/>
        <w:t>in</w:t>
      </w:r>
      <w:r>
        <w:rPr>
          <w:spacing w:val="-12"/>
        </w:rPr>
        <w:t> </w:t>
      </w:r>
      <w:r>
        <w:rPr/>
        <w:t>direct</w:t>
      </w:r>
      <w:r>
        <w:rPr>
          <w:spacing w:val="-13"/>
        </w:rPr>
        <w:t> </w:t>
      </w:r>
      <w:r>
        <w:rPr/>
        <w:t>contact</w:t>
      </w:r>
      <w:r>
        <w:rPr>
          <w:spacing w:val="-12"/>
        </w:rPr>
        <w:t> </w:t>
      </w:r>
      <w:r>
        <w:rPr/>
        <w:t>with</w:t>
      </w:r>
      <w:r>
        <w:rPr>
          <w:spacing w:val="-13"/>
        </w:rPr>
        <w:t> </w:t>
      </w:r>
      <w:r>
        <w:rPr/>
        <w:t>communities,</w:t>
      </w:r>
      <w:r>
        <w:rPr>
          <w:spacing w:val="-12"/>
        </w:rPr>
        <w:t> </w:t>
      </w:r>
      <w:r>
        <w:rPr/>
        <w:t>and</w:t>
      </w:r>
      <w:r>
        <w:rPr>
          <w:spacing w:val="-12"/>
        </w:rPr>
        <w:t> </w:t>
      </w:r>
      <w:r>
        <w:rPr/>
        <w:t>internal</w:t>
      </w:r>
      <w:r>
        <w:rPr>
          <w:spacing w:val="-13"/>
        </w:rPr>
        <w:t> </w:t>
      </w:r>
      <w:r>
        <w:rPr/>
        <w:t>employees</w:t>
      </w:r>
      <w:r>
        <w:rPr>
          <w:spacing w:val="-12"/>
        </w:rPr>
        <w:t> </w:t>
      </w:r>
      <w:r>
        <w:rPr/>
        <w:t>who</w:t>
      </w:r>
      <w:r>
        <w:rPr>
          <w:spacing w:val="-13"/>
        </w:rPr>
        <w:t> </w:t>
      </w:r>
      <w:r>
        <w:rPr/>
        <w:t>create</w:t>
      </w:r>
      <w:r>
        <w:rPr>
          <w:spacing w:val="-12"/>
        </w:rPr>
        <w:t> </w:t>
      </w:r>
      <w:r>
        <w:rPr/>
        <w:t>policies,</w:t>
      </w:r>
      <w:r>
        <w:rPr>
          <w:spacing w:val="-13"/>
        </w:rPr>
        <w:t> </w:t>
      </w:r>
      <w:r>
        <w:rPr/>
        <w:t>procedures, and systems to serve communities. Furthermore, it is essential that all of these trainings incorporate an intersectional approach that highlights racial equity, among other areas. The Commission continues to recommend</w:t>
      </w:r>
      <w:r>
        <w:rPr>
          <w:spacing w:val="-13"/>
        </w:rPr>
        <w:t> </w:t>
      </w:r>
      <w:r>
        <w:rPr/>
        <w:t>that</w:t>
      </w:r>
      <w:r>
        <w:rPr>
          <w:spacing w:val="-12"/>
        </w:rPr>
        <w:t> </w:t>
      </w:r>
      <w:r>
        <w:rPr/>
        <w:t>DTA</w:t>
      </w:r>
      <w:r>
        <w:rPr>
          <w:spacing w:val="-13"/>
        </w:rPr>
        <w:t> </w:t>
      </w:r>
      <w:r>
        <w:rPr/>
        <w:t>mandate</w:t>
      </w:r>
      <w:r>
        <w:rPr>
          <w:spacing w:val="-12"/>
        </w:rPr>
        <w:t> </w:t>
      </w:r>
      <w:r>
        <w:rPr/>
        <w:t>trainings</w:t>
      </w:r>
      <w:r>
        <w:rPr>
          <w:spacing w:val="-13"/>
        </w:rPr>
        <w:t> </w:t>
      </w:r>
      <w:r>
        <w:rPr/>
        <w:t>for</w:t>
      </w:r>
      <w:r>
        <w:rPr>
          <w:spacing w:val="-12"/>
        </w:rPr>
        <w:t> </w:t>
      </w:r>
      <w:r>
        <w:rPr/>
        <w:t>all</w:t>
      </w:r>
      <w:r>
        <w:rPr>
          <w:spacing w:val="-13"/>
        </w:rPr>
        <w:t> </w:t>
      </w:r>
      <w:r>
        <w:rPr/>
        <w:t>employees</w:t>
      </w:r>
      <w:r>
        <w:rPr>
          <w:spacing w:val="-12"/>
        </w:rPr>
        <w:t> </w:t>
      </w:r>
      <w:r>
        <w:rPr/>
        <w:t>that</w:t>
      </w:r>
      <w:r>
        <w:rPr>
          <w:spacing w:val="-12"/>
        </w:rPr>
        <w:t> </w:t>
      </w:r>
      <w:r>
        <w:rPr/>
        <w:t>center</w:t>
      </w:r>
      <w:r>
        <w:rPr>
          <w:spacing w:val="-13"/>
        </w:rPr>
        <w:t> </w:t>
      </w:r>
      <w:r>
        <w:rPr/>
        <w:t>an</w:t>
      </w:r>
      <w:r>
        <w:rPr>
          <w:spacing w:val="-12"/>
        </w:rPr>
        <w:t> </w:t>
      </w:r>
      <w:r>
        <w:rPr/>
        <w:t>intersectional</w:t>
      </w:r>
      <w:r>
        <w:rPr>
          <w:spacing w:val="-13"/>
        </w:rPr>
        <w:t> </w:t>
      </w:r>
      <w:r>
        <w:rPr/>
        <w:t>approach</w:t>
      </w:r>
      <w:r>
        <w:rPr>
          <w:spacing w:val="-12"/>
        </w:rPr>
        <w:t> </w:t>
      </w:r>
      <w:r>
        <w:rPr/>
        <w:t>to</w:t>
      </w:r>
      <w:r>
        <w:rPr>
          <w:spacing w:val="-12"/>
        </w:rPr>
        <w:t> </w:t>
      </w:r>
      <w:r>
        <w:rPr/>
        <w:t>LGBTQ and</w:t>
      </w:r>
      <w:r>
        <w:rPr>
          <w:spacing w:val="-6"/>
        </w:rPr>
        <w:t> </w:t>
      </w:r>
      <w:r>
        <w:rPr/>
        <w:t>racial</w:t>
      </w:r>
      <w:r>
        <w:rPr>
          <w:spacing w:val="-6"/>
        </w:rPr>
        <w:t> </w:t>
      </w:r>
      <w:r>
        <w:rPr/>
        <w:t>equity,</w:t>
      </w:r>
      <w:r>
        <w:rPr>
          <w:spacing w:val="-5"/>
        </w:rPr>
        <w:t> </w:t>
      </w:r>
      <w:r>
        <w:rPr/>
        <w:t>which</w:t>
      </w:r>
      <w:r>
        <w:rPr>
          <w:spacing w:val="-4"/>
        </w:rPr>
        <w:t> </w:t>
      </w:r>
      <w:r>
        <w:rPr/>
        <w:t>has</w:t>
      </w:r>
      <w:r>
        <w:rPr>
          <w:spacing w:val="-5"/>
        </w:rPr>
        <w:t> </w:t>
      </w:r>
      <w:r>
        <w:rPr/>
        <w:t>similarly</w:t>
      </w:r>
      <w:r>
        <w:rPr>
          <w:spacing w:val="-4"/>
        </w:rPr>
        <w:t> </w:t>
      </w:r>
      <w:r>
        <w:rPr/>
        <w:t>been</w:t>
      </w:r>
      <w:r>
        <w:rPr>
          <w:spacing w:val="-4"/>
        </w:rPr>
        <w:t> </w:t>
      </w:r>
      <w:r>
        <w:rPr/>
        <w:t>recommended</w:t>
      </w:r>
      <w:r>
        <w:rPr>
          <w:spacing w:val="-4"/>
        </w:rPr>
        <w:t> </w:t>
      </w:r>
      <w:r>
        <w:rPr/>
        <w:t>by</w:t>
      </w:r>
      <w:r>
        <w:rPr>
          <w:spacing w:val="-4"/>
        </w:rPr>
        <w:t> </w:t>
      </w:r>
      <w:r>
        <w:rPr/>
        <w:t>DTA’s</w:t>
      </w:r>
      <w:r>
        <w:rPr>
          <w:spacing w:val="-5"/>
        </w:rPr>
        <w:t> </w:t>
      </w:r>
      <w:r>
        <w:rPr/>
        <w:t>Diversity</w:t>
      </w:r>
      <w:r>
        <w:rPr>
          <w:spacing w:val="-4"/>
        </w:rPr>
        <w:t> </w:t>
      </w:r>
      <w:r>
        <w:rPr/>
        <w:t>Council.</w:t>
      </w:r>
      <w:r>
        <w:rPr>
          <w:spacing w:val="-4"/>
        </w:rPr>
        <w:t> </w:t>
      </w:r>
      <w:r>
        <w:rPr/>
        <w:t>For</w:t>
      </w:r>
      <w:r>
        <w:rPr>
          <w:spacing w:val="-4"/>
        </w:rPr>
        <w:t> </w:t>
      </w:r>
      <w:r>
        <w:rPr/>
        <w:t>the</w:t>
      </w:r>
      <w:r>
        <w:rPr>
          <w:spacing w:val="-6"/>
        </w:rPr>
        <w:t> </w:t>
      </w:r>
      <w:r>
        <w:rPr/>
        <w:t>remainder</w:t>
      </w:r>
      <w:r>
        <w:rPr>
          <w:spacing w:val="-4"/>
        </w:rPr>
        <w:t> </w:t>
      </w:r>
      <w:r>
        <w:rPr/>
        <w:t>of FY 2024 and moving into FY 2025, the Commission is aware that DTA’s DEI plan contains intentions to continue to attend the ongoing train-the-trainer sessions through EOHHS.</w:t>
      </w:r>
    </w:p>
    <w:p>
      <w:pPr>
        <w:spacing w:after="0" w:line="360" w:lineRule="auto"/>
        <w:jc w:val="both"/>
        <w:sectPr>
          <w:pgSz w:w="12240" w:h="15840"/>
          <w:pgMar w:header="804" w:footer="1263" w:top="1000" w:bottom="1460" w:left="960" w:right="1100"/>
        </w:sectPr>
      </w:pPr>
    </w:p>
    <w:p>
      <w:pPr>
        <w:pStyle w:val="BodyText"/>
        <w:spacing w:before="98"/>
      </w:pPr>
    </w:p>
    <w:p>
      <w:pPr>
        <w:numPr>
          <w:ilvl w:val="2"/>
          <w:numId w:val="43"/>
        </w:numPr>
        <w:tabs>
          <w:tab w:pos="981" w:val="left" w:leader="none"/>
          <w:tab w:pos="983" w:val="left" w:leader="none"/>
        </w:tabs>
        <w:spacing w:line="360" w:lineRule="auto" w:before="0"/>
        <w:ind w:left="983" w:right="263" w:hanging="360"/>
        <w:jc w:val="left"/>
        <w:rPr>
          <w:b/>
          <w:sz w:val="22"/>
        </w:rPr>
      </w:pPr>
      <w:r>
        <w:rPr>
          <w:b/>
          <w:sz w:val="22"/>
        </w:rPr>
        <w:t>Support</w:t>
      </w:r>
      <w:r>
        <w:rPr>
          <w:b/>
          <w:spacing w:val="40"/>
          <w:sz w:val="22"/>
        </w:rPr>
        <w:t> </w:t>
      </w:r>
      <w:r>
        <w:rPr>
          <w:b/>
          <w:sz w:val="22"/>
        </w:rPr>
        <w:t>internal</w:t>
      </w:r>
      <w:r>
        <w:rPr>
          <w:b/>
          <w:spacing w:val="40"/>
          <w:sz w:val="22"/>
        </w:rPr>
        <w:t> </w:t>
      </w:r>
      <w:r>
        <w:rPr>
          <w:b/>
          <w:sz w:val="22"/>
        </w:rPr>
        <w:t>working</w:t>
      </w:r>
      <w:r>
        <w:rPr>
          <w:b/>
          <w:spacing w:val="40"/>
          <w:sz w:val="22"/>
        </w:rPr>
        <w:t> </w:t>
      </w:r>
      <w:r>
        <w:rPr>
          <w:b/>
          <w:sz w:val="22"/>
        </w:rPr>
        <w:t>groups</w:t>
      </w:r>
      <w:r>
        <w:rPr>
          <w:b/>
          <w:spacing w:val="40"/>
          <w:sz w:val="22"/>
        </w:rPr>
        <w:t> </w:t>
      </w:r>
      <w:r>
        <w:rPr>
          <w:b/>
          <w:sz w:val="22"/>
        </w:rPr>
        <w:t>to</w:t>
      </w:r>
      <w:r>
        <w:rPr>
          <w:b/>
          <w:spacing w:val="40"/>
          <w:sz w:val="22"/>
        </w:rPr>
        <w:t> </w:t>
      </w:r>
      <w:r>
        <w:rPr>
          <w:b/>
          <w:sz w:val="22"/>
        </w:rPr>
        <w:t>uplift</w:t>
      </w:r>
      <w:r>
        <w:rPr>
          <w:b/>
          <w:spacing w:val="40"/>
          <w:sz w:val="22"/>
        </w:rPr>
        <w:t> </w:t>
      </w:r>
      <w:r>
        <w:rPr>
          <w:b/>
          <w:sz w:val="22"/>
        </w:rPr>
        <w:t>conversations</w:t>
      </w:r>
      <w:r>
        <w:rPr>
          <w:b/>
          <w:spacing w:val="40"/>
          <w:sz w:val="22"/>
        </w:rPr>
        <w:t> </w:t>
      </w:r>
      <w:r>
        <w:rPr>
          <w:b/>
          <w:sz w:val="22"/>
        </w:rPr>
        <w:t>&amp;</w:t>
      </w:r>
      <w:r>
        <w:rPr>
          <w:b/>
          <w:spacing w:val="40"/>
          <w:sz w:val="22"/>
        </w:rPr>
        <w:t> </w:t>
      </w:r>
      <w:r>
        <w:rPr>
          <w:b/>
          <w:sz w:val="22"/>
        </w:rPr>
        <w:t>events</w:t>
      </w:r>
      <w:r>
        <w:rPr>
          <w:b/>
          <w:spacing w:val="40"/>
          <w:sz w:val="22"/>
        </w:rPr>
        <w:t> </w:t>
      </w:r>
      <w:r>
        <w:rPr>
          <w:b/>
          <w:sz w:val="22"/>
        </w:rPr>
        <w:t>on</w:t>
      </w:r>
      <w:r>
        <w:rPr>
          <w:b/>
          <w:spacing w:val="40"/>
          <w:sz w:val="22"/>
        </w:rPr>
        <w:t> </w:t>
      </w:r>
      <w:r>
        <w:rPr>
          <w:b/>
          <w:sz w:val="22"/>
        </w:rPr>
        <w:t>intersectionality</w:t>
      </w:r>
      <w:r>
        <w:rPr>
          <w:b/>
          <w:spacing w:val="40"/>
          <w:sz w:val="22"/>
        </w:rPr>
        <w:t> </w:t>
      </w:r>
      <w:r>
        <w:rPr>
          <w:b/>
          <w:sz w:val="22"/>
        </w:rPr>
        <w:t>in</w:t>
      </w:r>
      <w:r>
        <w:rPr>
          <w:b/>
          <w:spacing w:val="40"/>
          <w:sz w:val="22"/>
        </w:rPr>
        <w:t> </w:t>
      </w:r>
      <w:r>
        <w:rPr>
          <w:b/>
          <w:sz w:val="22"/>
        </w:rPr>
        <w:t>the </w:t>
      </w:r>
      <w:r>
        <w:rPr>
          <w:b/>
          <w:spacing w:val="-2"/>
          <w:sz w:val="22"/>
        </w:rPr>
        <w:t>workplace.</w:t>
      </w:r>
    </w:p>
    <w:p>
      <w:pPr>
        <w:pStyle w:val="BodyText"/>
        <w:spacing w:line="360" w:lineRule="auto" w:before="240"/>
        <w:ind w:left="483" w:right="261"/>
        <w:jc w:val="both"/>
      </w:pPr>
      <w:r>
        <w:rPr/>
        <w:t>Over the last year, DTA internal working groups within the Diversity Council have made great strides in extending internal conversations on intersectionality and LGBTQ resources. The Commission appreciates the dedication that DTA has shown in uplifting the voices and experiences of LGBTQ and BIPOC staff members internally. The Commission recommends that DTA continue to expand efforts to uplift conversations</w:t>
      </w:r>
      <w:r>
        <w:rPr>
          <w:spacing w:val="-13"/>
        </w:rPr>
        <w:t> </w:t>
      </w:r>
      <w:r>
        <w:rPr/>
        <w:t>on</w:t>
      </w:r>
      <w:r>
        <w:rPr>
          <w:spacing w:val="-12"/>
        </w:rPr>
        <w:t> </w:t>
      </w:r>
      <w:r>
        <w:rPr/>
        <w:t>intersecting</w:t>
      </w:r>
      <w:r>
        <w:rPr>
          <w:spacing w:val="-13"/>
        </w:rPr>
        <w:t> </w:t>
      </w:r>
      <w:r>
        <w:rPr/>
        <w:t>identities</w:t>
      </w:r>
      <w:r>
        <w:rPr>
          <w:spacing w:val="-12"/>
        </w:rPr>
        <w:t> </w:t>
      </w:r>
      <w:r>
        <w:rPr/>
        <w:t>within</w:t>
      </w:r>
      <w:r>
        <w:rPr>
          <w:spacing w:val="-13"/>
        </w:rPr>
        <w:t> </w:t>
      </w:r>
      <w:r>
        <w:rPr/>
        <w:t>the</w:t>
      </w:r>
      <w:r>
        <w:rPr>
          <w:spacing w:val="-12"/>
        </w:rPr>
        <w:t> </w:t>
      </w:r>
      <w:r>
        <w:rPr/>
        <w:t>workplace,</w:t>
      </w:r>
      <w:r>
        <w:rPr>
          <w:spacing w:val="-13"/>
        </w:rPr>
        <w:t> </w:t>
      </w:r>
      <w:r>
        <w:rPr/>
        <w:t>particularly</w:t>
      </w:r>
      <w:r>
        <w:rPr>
          <w:spacing w:val="-12"/>
        </w:rPr>
        <w:t> </w:t>
      </w:r>
      <w:r>
        <w:rPr/>
        <w:t>around</w:t>
      </w:r>
      <w:r>
        <w:rPr>
          <w:spacing w:val="-12"/>
        </w:rPr>
        <w:t> </w:t>
      </w:r>
      <w:r>
        <w:rPr/>
        <w:t>LGBTQ</w:t>
      </w:r>
      <w:r>
        <w:rPr>
          <w:spacing w:val="-13"/>
        </w:rPr>
        <w:t> </w:t>
      </w:r>
      <w:r>
        <w:rPr/>
        <w:t>&amp;</w:t>
      </w:r>
      <w:r>
        <w:rPr>
          <w:spacing w:val="-12"/>
        </w:rPr>
        <w:t> </w:t>
      </w:r>
      <w:r>
        <w:rPr/>
        <w:t>BIPOC-inclusive workplace environments. The Commission further recommends that DTA examine its own internal demographics to ensure that LGBTQ and BIPOC employees feel supported in the workplace.</w:t>
      </w:r>
    </w:p>
    <w:p>
      <w:pPr>
        <w:numPr>
          <w:ilvl w:val="2"/>
          <w:numId w:val="43"/>
        </w:numPr>
        <w:tabs>
          <w:tab w:pos="981" w:val="left" w:leader="none"/>
          <w:tab w:pos="983" w:val="left" w:leader="none"/>
        </w:tabs>
        <w:spacing w:line="360" w:lineRule="auto" w:before="240"/>
        <w:ind w:left="983" w:right="260" w:hanging="360"/>
        <w:jc w:val="left"/>
        <w:rPr>
          <w:b/>
          <w:sz w:val="22"/>
        </w:rPr>
      </w:pPr>
      <w:r>
        <w:rPr>
          <w:b/>
          <w:sz w:val="22"/>
        </w:rPr>
        <w:t>In partnership with youth, develop resources and outreach materials targeted towards LGBTQ &amp; BIPOC youth to raise awareness about services &amp; programs available.</w:t>
      </w:r>
    </w:p>
    <w:p>
      <w:pPr>
        <w:pStyle w:val="BodyText"/>
        <w:spacing w:line="360" w:lineRule="auto" w:before="241"/>
        <w:ind w:left="483" w:right="261"/>
        <w:jc w:val="both"/>
      </w:pPr>
      <w:r>
        <w:rPr/>
        <w:t>As</w:t>
      </w:r>
      <w:r>
        <w:rPr>
          <w:spacing w:val="-1"/>
        </w:rPr>
        <w:t> </w:t>
      </w:r>
      <w:r>
        <w:rPr/>
        <w:t>noted</w:t>
      </w:r>
      <w:r>
        <w:rPr>
          <w:spacing w:val="-2"/>
        </w:rPr>
        <w:t> </w:t>
      </w:r>
      <w:r>
        <w:rPr/>
        <w:t>in</w:t>
      </w:r>
      <w:r>
        <w:rPr>
          <w:spacing w:val="-1"/>
        </w:rPr>
        <w:t> </w:t>
      </w:r>
      <w:r>
        <w:rPr/>
        <w:t>the</w:t>
      </w:r>
      <w:r>
        <w:rPr>
          <w:spacing w:val="-2"/>
        </w:rPr>
        <w:t> </w:t>
      </w:r>
      <w:r>
        <w:rPr/>
        <w:t>above</w:t>
      </w:r>
      <w:r>
        <w:rPr>
          <w:spacing w:val="-2"/>
        </w:rPr>
        <w:t> </w:t>
      </w:r>
      <w:r>
        <w:rPr/>
        <w:t>research</w:t>
      </w:r>
      <w:r>
        <w:rPr>
          <w:spacing w:val="-2"/>
        </w:rPr>
        <w:t> </w:t>
      </w:r>
      <w:r>
        <w:rPr/>
        <w:t>section,</w:t>
      </w:r>
      <w:r>
        <w:rPr>
          <w:spacing w:val="-2"/>
        </w:rPr>
        <w:t> </w:t>
      </w:r>
      <w:r>
        <w:rPr/>
        <w:t>QTBIPOC</w:t>
      </w:r>
      <w:r>
        <w:rPr>
          <w:spacing w:val="-1"/>
        </w:rPr>
        <w:t> </w:t>
      </w:r>
      <w:r>
        <w:rPr/>
        <w:t>youth</w:t>
      </w:r>
      <w:r>
        <w:rPr>
          <w:spacing w:val="-2"/>
        </w:rPr>
        <w:t> </w:t>
      </w:r>
      <w:r>
        <w:rPr/>
        <w:t>are</w:t>
      </w:r>
      <w:r>
        <w:rPr>
          <w:spacing w:val="-1"/>
        </w:rPr>
        <w:t> </w:t>
      </w:r>
      <w:r>
        <w:rPr/>
        <w:t>more</w:t>
      </w:r>
      <w:r>
        <w:rPr>
          <w:spacing w:val="-1"/>
        </w:rPr>
        <w:t> </w:t>
      </w:r>
      <w:r>
        <w:rPr/>
        <w:t>likely</w:t>
      </w:r>
      <w:r>
        <w:rPr>
          <w:spacing w:val="-2"/>
        </w:rPr>
        <w:t> </w:t>
      </w:r>
      <w:r>
        <w:rPr/>
        <w:t>to</w:t>
      </w:r>
      <w:r>
        <w:rPr>
          <w:spacing w:val="-1"/>
        </w:rPr>
        <w:t> </w:t>
      </w:r>
      <w:r>
        <w:rPr/>
        <w:t>need</w:t>
      </w:r>
      <w:r>
        <w:rPr>
          <w:spacing w:val="-1"/>
        </w:rPr>
        <w:t> </w:t>
      </w:r>
      <w:r>
        <w:rPr/>
        <w:t>services</w:t>
      </w:r>
      <w:r>
        <w:rPr>
          <w:spacing w:val="-1"/>
        </w:rPr>
        <w:t> </w:t>
      </w:r>
      <w:r>
        <w:rPr/>
        <w:t>provided</w:t>
      </w:r>
      <w:r>
        <w:rPr>
          <w:spacing w:val="-2"/>
        </w:rPr>
        <w:t> </w:t>
      </w:r>
      <w:r>
        <w:rPr/>
        <w:t>by</w:t>
      </w:r>
      <w:r>
        <w:rPr>
          <w:spacing w:val="-2"/>
        </w:rPr>
        <w:t> </w:t>
      </w:r>
      <w:r>
        <w:rPr/>
        <w:t>DTA, and, as we are seeing now, are very needed for new arrivals into our community. However, government systems can often be difficult to navigate, or not visible in some communities. The Commission recommends that DTA develop resources and do targeted outreach to LGBTQ &amp; BIPOC communities to raise</w:t>
      </w:r>
      <w:r>
        <w:rPr>
          <w:spacing w:val="-13"/>
        </w:rPr>
        <w:t> </w:t>
      </w:r>
      <w:r>
        <w:rPr/>
        <w:t>awareness</w:t>
      </w:r>
      <w:r>
        <w:rPr>
          <w:spacing w:val="-12"/>
        </w:rPr>
        <w:t> </w:t>
      </w:r>
      <w:r>
        <w:rPr/>
        <w:t>about</w:t>
      </w:r>
      <w:r>
        <w:rPr>
          <w:spacing w:val="-13"/>
        </w:rPr>
        <w:t> </w:t>
      </w:r>
      <w:r>
        <w:rPr/>
        <w:t>DTA</w:t>
      </w:r>
      <w:r>
        <w:rPr>
          <w:spacing w:val="-12"/>
        </w:rPr>
        <w:t> </w:t>
      </w:r>
      <w:r>
        <w:rPr/>
        <w:t>services.</w:t>
      </w:r>
      <w:r>
        <w:rPr>
          <w:spacing w:val="-13"/>
        </w:rPr>
        <w:t> </w:t>
      </w:r>
      <w:r>
        <w:rPr/>
        <w:t>The</w:t>
      </w:r>
      <w:r>
        <w:rPr>
          <w:spacing w:val="-12"/>
        </w:rPr>
        <w:t> </w:t>
      </w:r>
      <w:r>
        <w:rPr/>
        <w:t>Commission</w:t>
      </w:r>
      <w:r>
        <w:rPr>
          <w:spacing w:val="-13"/>
        </w:rPr>
        <w:t> </w:t>
      </w:r>
      <w:r>
        <w:rPr/>
        <w:t>understands</w:t>
      </w:r>
      <w:r>
        <w:rPr>
          <w:spacing w:val="-12"/>
        </w:rPr>
        <w:t> </w:t>
      </w:r>
      <w:r>
        <w:rPr/>
        <w:t>that</w:t>
      </w:r>
      <w:r>
        <w:rPr>
          <w:spacing w:val="-12"/>
        </w:rPr>
        <w:t> </w:t>
      </w:r>
      <w:r>
        <w:rPr/>
        <w:t>the</w:t>
      </w:r>
      <w:r>
        <w:rPr>
          <w:spacing w:val="-13"/>
        </w:rPr>
        <w:t> </w:t>
      </w:r>
      <w:r>
        <w:rPr/>
        <w:t>SNAP</w:t>
      </w:r>
      <w:r>
        <w:rPr>
          <w:spacing w:val="-12"/>
        </w:rPr>
        <w:t> </w:t>
      </w:r>
      <w:r>
        <w:rPr/>
        <w:t>program’s</w:t>
      </w:r>
      <w:r>
        <w:rPr>
          <w:spacing w:val="-12"/>
        </w:rPr>
        <w:t> </w:t>
      </w:r>
      <w:r>
        <w:rPr/>
        <w:t>outreach</w:t>
      </w:r>
      <w:r>
        <w:rPr>
          <w:spacing w:val="-12"/>
        </w:rPr>
        <w:t> </w:t>
      </w:r>
      <w:r>
        <w:rPr/>
        <w:t>team has been consistently attending Pride and other LGBTQ community events across the Commonwealth, which is a great way to boost awareness among community members. Additionally, in early FY 2024, the Commission provided a list of recommendations to DTA for the SNAP team to collaborate with to place kiosks in community organizations frequented by LGBTQ youth to assist them in signing up for SNAP benefits. The Commission looks forward to continuing to hear updates and partner with DTA to educate communities across the Commonwealth on DTA benefits available to them.</w:t>
      </w:r>
    </w:p>
    <w:p>
      <w:pPr>
        <w:spacing w:before="239"/>
        <w:ind w:left="483" w:right="0" w:firstLine="0"/>
        <w:jc w:val="left"/>
        <w:rPr>
          <w:sz w:val="22"/>
        </w:rPr>
      </w:pPr>
      <w:r>
        <w:rPr>
          <w:i/>
          <w:sz w:val="22"/>
        </w:rPr>
        <w:t>Acknowledgments:</w:t>
      </w:r>
      <w:r>
        <w:rPr>
          <w:i/>
          <w:spacing w:val="-10"/>
          <w:sz w:val="22"/>
        </w:rPr>
        <w:t> </w:t>
      </w:r>
      <w:r>
        <w:rPr>
          <w:i/>
          <w:sz w:val="22"/>
        </w:rPr>
        <w:t>The</w:t>
      </w:r>
      <w:r>
        <w:rPr>
          <w:i/>
          <w:spacing w:val="-8"/>
          <w:sz w:val="22"/>
        </w:rPr>
        <w:t> </w:t>
      </w:r>
      <w:r>
        <w:rPr>
          <w:i/>
          <w:sz w:val="22"/>
        </w:rPr>
        <w:t>Commission</w:t>
      </w:r>
      <w:r>
        <w:rPr>
          <w:i/>
          <w:spacing w:val="-9"/>
          <w:sz w:val="22"/>
        </w:rPr>
        <w:t> </w:t>
      </w:r>
      <w:r>
        <w:rPr>
          <w:i/>
          <w:sz w:val="22"/>
        </w:rPr>
        <w:t>sincerely</w:t>
      </w:r>
      <w:r>
        <w:rPr>
          <w:i/>
          <w:spacing w:val="-9"/>
          <w:sz w:val="22"/>
        </w:rPr>
        <w:t> </w:t>
      </w:r>
      <w:r>
        <w:rPr>
          <w:i/>
          <w:sz w:val="22"/>
        </w:rPr>
        <w:t>thanks</w:t>
      </w:r>
      <w:r>
        <w:rPr>
          <w:i/>
          <w:spacing w:val="-9"/>
          <w:sz w:val="22"/>
        </w:rPr>
        <w:t> </w:t>
      </w:r>
      <w:r>
        <w:rPr>
          <w:i/>
          <w:sz w:val="22"/>
        </w:rPr>
        <w:t>the</w:t>
      </w:r>
      <w:r>
        <w:rPr>
          <w:i/>
          <w:spacing w:val="-8"/>
          <w:sz w:val="22"/>
        </w:rPr>
        <w:t> </w:t>
      </w:r>
      <w:r>
        <w:rPr>
          <w:i/>
          <w:sz w:val="22"/>
        </w:rPr>
        <w:t>contributions</w:t>
      </w:r>
      <w:r>
        <w:rPr>
          <w:i/>
          <w:spacing w:val="-9"/>
          <w:sz w:val="22"/>
        </w:rPr>
        <w:t> </w:t>
      </w:r>
      <w:r>
        <w:rPr>
          <w:i/>
          <w:sz w:val="22"/>
        </w:rPr>
        <w:t>of</w:t>
      </w:r>
      <w:r>
        <w:rPr>
          <w:i/>
          <w:spacing w:val="-9"/>
          <w:sz w:val="22"/>
        </w:rPr>
        <w:t> </w:t>
      </w:r>
      <w:r>
        <w:rPr>
          <w:i/>
          <w:sz w:val="22"/>
        </w:rPr>
        <w:t>its</w:t>
      </w:r>
      <w:r>
        <w:rPr>
          <w:i/>
          <w:spacing w:val="-9"/>
          <w:sz w:val="22"/>
        </w:rPr>
        <w:t> </w:t>
      </w:r>
      <w:r>
        <w:rPr>
          <w:i/>
          <w:sz w:val="22"/>
        </w:rPr>
        <w:t>DTA</w:t>
      </w:r>
      <w:r>
        <w:rPr>
          <w:i/>
          <w:spacing w:val="-9"/>
          <w:sz w:val="22"/>
        </w:rPr>
        <w:t> </w:t>
      </w:r>
      <w:r>
        <w:rPr>
          <w:i/>
          <w:sz w:val="22"/>
        </w:rPr>
        <w:t>agency</w:t>
      </w:r>
      <w:r>
        <w:rPr>
          <w:i/>
          <w:spacing w:val="-9"/>
          <w:sz w:val="22"/>
        </w:rPr>
        <w:t> </w:t>
      </w:r>
      <w:r>
        <w:rPr>
          <w:i/>
          <w:spacing w:val="-2"/>
          <w:sz w:val="22"/>
        </w:rPr>
        <w:t>liaisons</w:t>
      </w:r>
      <w:r>
        <w:rPr>
          <w:spacing w:val="-2"/>
          <w:sz w:val="22"/>
        </w:rPr>
        <w:t>.</w:t>
      </w:r>
    </w:p>
    <w:p>
      <w:pPr>
        <w:pStyle w:val="BodyText"/>
        <w:spacing w:before="106"/>
      </w:pPr>
    </w:p>
    <w:p>
      <w:pPr>
        <w:spacing w:before="0"/>
        <w:ind w:left="483" w:right="0" w:firstLine="0"/>
        <w:jc w:val="left"/>
        <w:rPr>
          <w:b/>
          <w:sz w:val="22"/>
        </w:rPr>
      </w:pPr>
      <w:r>
        <w:rPr>
          <w:b/>
          <w:spacing w:val="-2"/>
          <w:sz w:val="22"/>
        </w:rPr>
        <w:t>Citations</w:t>
      </w:r>
    </w:p>
    <w:p>
      <w:pPr>
        <w:pStyle w:val="BodyText"/>
        <w:spacing w:before="105"/>
        <w:rPr>
          <w:b/>
        </w:rPr>
      </w:pPr>
    </w:p>
    <w:p>
      <w:pPr>
        <w:spacing w:before="1"/>
        <w:ind w:left="483" w:right="0" w:firstLine="0"/>
        <w:jc w:val="left"/>
        <w:rPr>
          <w:sz w:val="18"/>
        </w:rPr>
      </w:pPr>
      <w:bookmarkStart w:name="_bookmark640" w:id="947"/>
      <w:bookmarkEnd w:id="947"/>
      <w:r>
        <w:rPr/>
      </w:r>
      <w:r>
        <w:rPr>
          <w:sz w:val="18"/>
          <w:vertAlign w:val="superscript"/>
        </w:rPr>
        <w:t>1</w:t>
      </w:r>
      <w:r>
        <w:rPr>
          <w:spacing w:val="-15"/>
          <w:sz w:val="18"/>
          <w:vertAlign w:val="baseline"/>
        </w:rPr>
        <w:t> </w:t>
      </w:r>
      <w:bookmarkStart w:name="_bookmark641" w:id="948"/>
      <w:bookmarkEnd w:id="948"/>
      <w:r>
        <w:rPr>
          <w:sz w:val="18"/>
          <w:vertAlign w:val="baseline"/>
        </w:rPr>
        <w:t>L</w:t>
      </w:r>
      <w:r>
        <w:rPr>
          <w:sz w:val="18"/>
          <w:vertAlign w:val="baseline"/>
        </w:rPr>
        <w:t>aurie</w:t>
      </w:r>
      <w:r>
        <w:rPr>
          <w:spacing w:val="-10"/>
          <w:sz w:val="18"/>
          <w:vertAlign w:val="baseline"/>
        </w:rPr>
        <w:t> </w:t>
      </w:r>
      <w:r>
        <w:rPr>
          <w:sz w:val="18"/>
          <w:vertAlign w:val="baseline"/>
        </w:rPr>
        <w:t>Ross,</w:t>
      </w:r>
      <w:r>
        <w:rPr>
          <w:spacing w:val="-7"/>
          <w:sz w:val="18"/>
          <w:vertAlign w:val="baseline"/>
        </w:rPr>
        <w:t> </w:t>
      </w:r>
      <w:r>
        <w:rPr>
          <w:sz w:val="18"/>
          <w:vertAlign w:val="baseline"/>
        </w:rPr>
        <w:t>“Massachusetts</w:t>
      </w:r>
      <w:r>
        <w:rPr>
          <w:spacing w:val="-6"/>
          <w:sz w:val="18"/>
          <w:vertAlign w:val="baseline"/>
        </w:rPr>
        <w:t> </w:t>
      </w:r>
      <w:r>
        <w:rPr>
          <w:sz w:val="18"/>
          <w:vertAlign w:val="baseline"/>
        </w:rPr>
        <w:t>2022</w:t>
      </w:r>
      <w:r>
        <w:rPr>
          <w:spacing w:val="-6"/>
          <w:sz w:val="18"/>
          <w:vertAlign w:val="baseline"/>
        </w:rPr>
        <w:t> </w:t>
      </w:r>
      <w:r>
        <w:rPr>
          <w:sz w:val="18"/>
          <w:vertAlign w:val="baseline"/>
        </w:rPr>
        <w:t>Youth</w:t>
      </w:r>
      <w:r>
        <w:rPr>
          <w:spacing w:val="-6"/>
          <w:sz w:val="18"/>
          <w:vertAlign w:val="baseline"/>
        </w:rPr>
        <w:t> </w:t>
      </w:r>
      <w:r>
        <w:rPr>
          <w:sz w:val="18"/>
          <w:vertAlign w:val="baseline"/>
        </w:rPr>
        <w:t>Count,”</w:t>
      </w:r>
      <w:r>
        <w:rPr>
          <w:spacing w:val="-6"/>
          <w:sz w:val="18"/>
          <w:vertAlign w:val="baseline"/>
        </w:rPr>
        <w:t> </w:t>
      </w:r>
      <w:r>
        <w:rPr>
          <w:sz w:val="18"/>
          <w:vertAlign w:val="baseline"/>
        </w:rPr>
        <w:t>2022,</w:t>
      </w:r>
      <w:r>
        <w:rPr>
          <w:spacing w:val="-6"/>
          <w:sz w:val="18"/>
          <w:vertAlign w:val="baseline"/>
        </w:rPr>
        <w:t> </w:t>
      </w:r>
      <w:r>
        <w:rPr>
          <w:sz w:val="18"/>
          <w:vertAlign w:val="baseline"/>
        </w:rPr>
        <w:t>https://</w:t>
      </w:r>
      <w:hyperlink r:id="rId755">
        <w:r>
          <w:rPr>
            <w:sz w:val="18"/>
            <w:vertAlign w:val="baseline"/>
          </w:rPr>
          <w:t>www.mass.gov/doc/2022-youth-count-</w:t>
        </w:r>
        <w:r>
          <w:rPr>
            <w:spacing w:val="-2"/>
            <w:sz w:val="18"/>
            <w:vertAlign w:val="baseline"/>
          </w:rPr>
          <w:t>report/download.</w:t>
        </w:r>
      </w:hyperlink>
    </w:p>
    <w:p>
      <w:pPr>
        <w:spacing w:before="0"/>
        <w:ind w:left="483" w:right="254" w:hanging="1"/>
        <w:jc w:val="left"/>
        <w:rPr>
          <w:sz w:val="18"/>
        </w:rPr>
      </w:pPr>
      <w:r>
        <w:rPr>
          <w:sz w:val="18"/>
          <w:vertAlign w:val="superscript"/>
        </w:rPr>
        <w:t>2</w:t>
      </w:r>
      <w:r>
        <w:rPr>
          <w:spacing w:val="-20"/>
          <w:sz w:val="18"/>
          <w:vertAlign w:val="baseline"/>
        </w:rPr>
        <w:t> </w:t>
      </w:r>
      <w:r>
        <w:rPr>
          <w:sz w:val="18"/>
          <w:vertAlign w:val="baseline"/>
        </w:rPr>
        <w:t>Taylor</w:t>
      </w:r>
      <w:r>
        <w:rPr>
          <w:spacing w:val="-11"/>
          <w:sz w:val="18"/>
          <w:vertAlign w:val="baseline"/>
        </w:rPr>
        <w:t> </w:t>
      </w:r>
      <w:r>
        <w:rPr>
          <w:sz w:val="18"/>
          <w:vertAlign w:val="baseline"/>
        </w:rPr>
        <w:t>N.T.</w:t>
      </w:r>
      <w:r>
        <w:rPr>
          <w:spacing w:val="-11"/>
          <w:sz w:val="18"/>
          <w:vertAlign w:val="baseline"/>
        </w:rPr>
        <w:t> </w:t>
      </w:r>
      <w:r>
        <w:rPr>
          <w:sz w:val="18"/>
          <w:vertAlign w:val="baseline"/>
        </w:rPr>
        <w:t>Brown,</w:t>
      </w:r>
      <w:r>
        <w:rPr>
          <w:spacing w:val="-11"/>
          <w:sz w:val="18"/>
          <w:vertAlign w:val="baseline"/>
        </w:rPr>
        <w:t> </w:t>
      </w:r>
      <w:r>
        <w:rPr>
          <w:sz w:val="18"/>
          <w:vertAlign w:val="baseline"/>
        </w:rPr>
        <w:t>Adam</w:t>
      </w:r>
      <w:r>
        <w:rPr>
          <w:spacing w:val="-11"/>
          <w:sz w:val="18"/>
          <w:vertAlign w:val="baseline"/>
        </w:rPr>
        <w:t> </w:t>
      </w:r>
      <w:r>
        <w:rPr>
          <w:sz w:val="18"/>
          <w:vertAlign w:val="baseline"/>
        </w:rPr>
        <w:t>P.</w:t>
      </w:r>
      <w:r>
        <w:rPr>
          <w:spacing w:val="-11"/>
          <w:sz w:val="18"/>
          <w:vertAlign w:val="baseline"/>
        </w:rPr>
        <w:t> </w:t>
      </w:r>
      <w:r>
        <w:rPr>
          <w:sz w:val="18"/>
          <w:vertAlign w:val="baseline"/>
        </w:rPr>
        <w:t>Romero,</w:t>
      </w:r>
      <w:r>
        <w:rPr>
          <w:spacing w:val="-11"/>
          <w:sz w:val="18"/>
          <w:vertAlign w:val="baseline"/>
        </w:rPr>
        <w:t> </w:t>
      </w:r>
      <w:r>
        <w:rPr>
          <w:sz w:val="18"/>
          <w:vertAlign w:val="baseline"/>
        </w:rPr>
        <w:t>and</w:t>
      </w:r>
      <w:r>
        <w:rPr>
          <w:spacing w:val="-11"/>
          <w:sz w:val="18"/>
          <w:vertAlign w:val="baseline"/>
        </w:rPr>
        <w:t> </w:t>
      </w:r>
      <w:r>
        <w:rPr>
          <w:sz w:val="18"/>
          <w:vertAlign w:val="baseline"/>
        </w:rPr>
        <w:t>Gary</w:t>
      </w:r>
      <w:r>
        <w:rPr>
          <w:spacing w:val="-10"/>
          <w:sz w:val="18"/>
          <w:vertAlign w:val="baseline"/>
        </w:rPr>
        <w:t> </w:t>
      </w:r>
      <w:r>
        <w:rPr>
          <w:sz w:val="18"/>
          <w:vertAlign w:val="baseline"/>
        </w:rPr>
        <w:t>J.</w:t>
      </w:r>
      <w:r>
        <w:rPr>
          <w:spacing w:val="-10"/>
          <w:sz w:val="18"/>
          <w:vertAlign w:val="baseline"/>
        </w:rPr>
        <w:t> </w:t>
      </w:r>
      <w:r>
        <w:rPr>
          <w:sz w:val="18"/>
          <w:vertAlign w:val="baseline"/>
        </w:rPr>
        <w:t>Gates,</w:t>
      </w:r>
      <w:r>
        <w:rPr>
          <w:spacing w:val="-11"/>
          <w:sz w:val="18"/>
          <w:vertAlign w:val="baseline"/>
        </w:rPr>
        <w:t> </w:t>
      </w:r>
      <w:r>
        <w:rPr>
          <w:sz w:val="18"/>
          <w:vertAlign w:val="baseline"/>
        </w:rPr>
        <w:t>“Food</w:t>
      </w:r>
      <w:r>
        <w:rPr>
          <w:spacing w:val="-11"/>
          <w:sz w:val="18"/>
          <w:vertAlign w:val="baseline"/>
        </w:rPr>
        <w:t> </w:t>
      </w:r>
      <w:r>
        <w:rPr>
          <w:sz w:val="18"/>
          <w:vertAlign w:val="baseline"/>
        </w:rPr>
        <w:t>Insecurity</w:t>
      </w:r>
      <w:r>
        <w:rPr>
          <w:spacing w:val="-10"/>
          <w:sz w:val="18"/>
          <w:vertAlign w:val="baseline"/>
        </w:rPr>
        <w:t> </w:t>
      </w:r>
      <w:r>
        <w:rPr>
          <w:sz w:val="18"/>
          <w:vertAlign w:val="baseline"/>
        </w:rPr>
        <w:t>and</w:t>
      </w:r>
      <w:r>
        <w:rPr>
          <w:spacing w:val="-10"/>
          <w:sz w:val="18"/>
          <w:vertAlign w:val="baseline"/>
        </w:rPr>
        <w:t> </w:t>
      </w:r>
      <w:r>
        <w:rPr>
          <w:sz w:val="18"/>
          <w:vertAlign w:val="baseline"/>
        </w:rPr>
        <w:t>SNAP</w:t>
      </w:r>
      <w:r>
        <w:rPr>
          <w:spacing w:val="-11"/>
          <w:sz w:val="18"/>
          <w:vertAlign w:val="baseline"/>
        </w:rPr>
        <w:t> </w:t>
      </w:r>
      <w:r>
        <w:rPr>
          <w:sz w:val="18"/>
          <w:vertAlign w:val="baseline"/>
        </w:rPr>
        <w:t>Participation</w:t>
      </w:r>
      <w:r>
        <w:rPr>
          <w:spacing w:val="-11"/>
          <w:sz w:val="18"/>
          <w:vertAlign w:val="baseline"/>
        </w:rPr>
        <w:t> </w:t>
      </w:r>
      <w:r>
        <w:rPr>
          <w:sz w:val="18"/>
          <w:vertAlign w:val="baseline"/>
        </w:rPr>
        <w:t>in</w:t>
      </w:r>
      <w:r>
        <w:rPr>
          <w:spacing w:val="-10"/>
          <w:sz w:val="18"/>
          <w:vertAlign w:val="baseline"/>
        </w:rPr>
        <w:t> </w:t>
      </w:r>
      <w:r>
        <w:rPr>
          <w:sz w:val="18"/>
          <w:vertAlign w:val="baseline"/>
        </w:rPr>
        <w:t>the</w:t>
      </w:r>
      <w:r>
        <w:rPr>
          <w:spacing w:val="-10"/>
          <w:sz w:val="18"/>
          <w:vertAlign w:val="baseline"/>
        </w:rPr>
        <w:t> </w:t>
      </w:r>
      <w:r>
        <w:rPr>
          <w:sz w:val="18"/>
          <w:vertAlign w:val="baseline"/>
        </w:rPr>
        <w:t>LGBT</w:t>
      </w:r>
      <w:r>
        <w:rPr>
          <w:spacing w:val="-11"/>
          <w:sz w:val="18"/>
          <w:vertAlign w:val="baseline"/>
        </w:rPr>
        <w:t> </w:t>
      </w:r>
      <w:r>
        <w:rPr>
          <w:sz w:val="18"/>
          <w:vertAlign w:val="baseline"/>
        </w:rPr>
        <w:t>Community,”</w:t>
      </w:r>
      <w:r>
        <w:rPr>
          <w:spacing w:val="-10"/>
          <w:sz w:val="18"/>
          <w:vertAlign w:val="baseline"/>
        </w:rPr>
        <w:t> </w:t>
      </w:r>
      <w:r>
        <w:rPr>
          <w:sz w:val="18"/>
          <w:vertAlign w:val="baseline"/>
        </w:rPr>
        <w:t>Williams </w:t>
      </w:r>
      <w:bookmarkStart w:name="_bookmark642" w:id="949"/>
      <w:bookmarkEnd w:id="949"/>
      <w:r>
        <w:rPr>
          <w:sz w:val="18"/>
          <w:vertAlign w:val="baseline"/>
        </w:rPr>
        <w:t>Ins</w:t>
      </w:r>
      <w:r>
        <w:rPr>
          <w:sz w:val="18"/>
          <w:vertAlign w:val="baseline"/>
        </w:rPr>
        <w:t>titute, July 2016, https://williamsinstitute.law.ucla.edu/publications/lgbt-food-insecurity-snap/.</w:t>
      </w:r>
    </w:p>
    <w:p>
      <w:pPr>
        <w:spacing w:line="219" w:lineRule="exact" w:before="0"/>
        <w:ind w:left="483" w:right="0" w:firstLine="0"/>
        <w:jc w:val="left"/>
        <w:rPr>
          <w:sz w:val="18"/>
        </w:rPr>
      </w:pPr>
      <w:r>
        <w:rPr>
          <w:sz w:val="18"/>
          <w:vertAlign w:val="superscript"/>
        </w:rPr>
        <w:t>3</w:t>
      </w:r>
      <w:r>
        <w:rPr>
          <w:spacing w:val="-15"/>
          <w:sz w:val="18"/>
          <w:vertAlign w:val="baseline"/>
        </w:rPr>
        <w:t> </w:t>
      </w:r>
      <w:r>
        <w:rPr>
          <w:sz w:val="18"/>
          <w:vertAlign w:val="baseline"/>
        </w:rPr>
        <w:t>Margaux</w:t>
      </w:r>
      <w:r>
        <w:rPr>
          <w:spacing w:val="-4"/>
          <w:sz w:val="18"/>
          <w:vertAlign w:val="baseline"/>
        </w:rPr>
        <w:t> </w:t>
      </w:r>
      <w:r>
        <w:rPr>
          <w:sz w:val="18"/>
          <w:vertAlign w:val="baseline"/>
        </w:rPr>
        <w:t>Johnson-Green</w:t>
      </w:r>
      <w:r>
        <w:rPr>
          <w:spacing w:val="-2"/>
          <w:sz w:val="18"/>
          <w:vertAlign w:val="baseline"/>
        </w:rPr>
        <w:t> </w:t>
      </w:r>
      <w:r>
        <w:rPr>
          <w:sz w:val="18"/>
          <w:vertAlign w:val="baseline"/>
        </w:rPr>
        <w:t>and</w:t>
      </w:r>
      <w:r>
        <w:rPr>
          <w:spacing w:val="-2"/>
          <w:sz w:val="18"/>
          <w:vertAlign w:val="baseline"/>
        </w:rPr>
        <w:t> </w:t>
      </w:r>
      <w:r>
        <w:rPr>
          <w:sz w:val="18"/>
          <w:vertAlign w:val="baseline"/>
        </w:rPr>
        <w:t>Cara</w:t>
      </w:r>
      <w:r>
        <w:rPr>
          <w:spacing w:val="-2"/>
          <w:sz w:val="18"/>
          <w:vertAlign w:val="baseline"/>
        </w:rPr>
        <w:t> </w:t>
      </w:r>
      <w:r>
        <w:rPr>
          <w:sz w:val="18"/>
          <w:vertAlign w:val="baseline"/>
        </w:rPr>
        <w:t>Claflin,</w:t>
      </w:r>
      <w:r>
        <w:rPr>
          <w:spacing w:val="-3"/>
          <w:sz w:val="18"/>
          <w:vertAlign w:val="baseline"/>
        </w:rPr>
        <w:t> </w:t>
      </w:r>
      <w:r>
        <w:rPr>
          <w:sz w:val="18"/>
          <w:vertAlign w:val="baseline"/>
        </w:rPr>
        <w:t>“Gender</w:t>
      </w:r>
      <w:r>
        <w:rPr>
          <w:spacing w:val="-4"/>
          <w:sz w:val="18"/>
          <w:vertAlign w:val="baseline"/>
        </w:rPr>
        <w:t> </w:t>
      </w:r>
      <w:r>
        <w:rPr>
          <w:sz w:val="18"/>
          <w:vertAlign w:val="baseline"/>
        </w:rPr>
        <w:t>and</w:t>
      </w:r>
      <w:r>
        <w:rPr>
          <w:spacing w:val="-2"/>
          <w:sz w:val="18"/>
          <w:vertAlign w:val="baseline"/>
        </w:rPr>
        <w:t> </w:t>
      </w:r>
      <w:r>
        <w:rPr>
          <w:sz w:val="18"/>
          <w:vertAlign w:val="baseline"/>
        </w:rPr>
        <w:t>Racial</w:t>
      </w:r>
      <w:r>
        <w:rPr>
          <w:spacing w:val="-3"/>
          <w:sz w:val="18"/>
          <w:vertAlign w:val="baseline"/>
        </w:rPr>
        <w:t> </w:t>
      </w:r>
      <w:r>
        <w:rPr>
          <w:sz w:val="18"/>
          <w:vertAlign w:val="baseline"/>
        </w:rPr>
        <w:t>Justice</w:t>
      </w:r>
      <w:r>
        <w:rPr>
          <w:spacing w:val="-2"/>
          <w:sz w:val="18"/>
          <w:vertAlign w:val="baseline"/>
        </w:rPr>
        <w:t> </w:t>
      </w:r>
      <w:r>
        <w:rPr>
          <w:sz w:val="18"/>
          <w:vertAlign w:val="baseline"/>
        </w:rPr>
        <w:t>in</w:t>
      </w:r>
      <w:r>
        <w:rPr>
          <w:spacing w:val="-2"/>
          <w:sz w:val="18"/>
          <w:vertAlign w:val="baseline"/>
        </w:rPr>
        <w:t> </w:t>
      </w:r>
      <w:r>
        <w:rPr>
          <w:sz w:val="18"/>
          <w:vertAlign w:val="baseline"/>
        </w:rPr>
        <w:t>SNAP,”</w:t>
      </w:r>
      <w:r>
        <w:rPr>
          <w:spacing w:val="-2"/>
          <w:sz w:val="18"/>
          <w:vertAlign w:val="baseline"/>
        </w:rPr>
        <w:t> </w:t>
      </w:r>
      <w:r>
        <w:rPr>
          <w:i/>
          <w:sz w:val="18"/>
          <w:vertAlign w:val="baseline"/>
        </w:rPr>
        <w:t>National</w:t>
      </w:r>
      <w:r>
        <w:rPr>
          <w:i/>
          <w:spacing w:val="-3"/>
          <w:sz w:val="18"/>
          <w:vertAlign w:val="baseline"/>
        </w:rPr>
        <w:t> </w:t>
      </w:r>
      <w:r>
        <w:rPr>
          <w:i/>
          <w:sz w:val="18"/>
          <w:vertAlign w:val="baseline"/>
        </w:rPr>
        <w:t>Women’s</w:t>
      </w:r>
      <w:r>
        <w:rPr>
          <w:i/>
          <w:spacing w:val="-3"/>
          <w:sz w:val="18"/>
          <w:vertAlign w:val="baseline"/>
        </w:rPr>
        <w:t> </w:t>
      </w:r>
      <w:r>
        <w:rPr>
          <w:i/>
          <w:sz w:val="18"/>
          <w:vertAlign w:val="baseline"/>
        </w:rPr>
        <w:t>Law</w:t>
      </w:r>
      <w:r>
        <w:rPr>
          <w:i/>
          <w:spacing w:val="-3"/>
          <w:sz w:val="18"/>
          <w:vertAlign w:val="baseline"/>
        </w:rPr>
        <w:t> </w:t>
      </w:r>
      <w:r>
        <w:rPr>
          <w:i/>
          <w:sz w:val="18"/>
          <w:vertAlign w:val="baseline"/>
        </w:rPr>
        <w:t>Center</w:t>
      </w:r>
      <w:r>
        <w:rPr>
          <w:sz w:val="18"/>
          <w:vertAlign w:val="baseline"/>
        </w:rPr>
        <w:t>,</w:t>
      </w:r>
      <w:r>
        <w:rPr>
          <w:spacing w:val="-3"/>
          <w:sz w:val="18"/>
          <w:vertAlign w:val="baseline"/>
        </w:rPr>
        <w:t> </w:t>
      </w:r>
      <w:r>
        <w:rPr>
          <w:sz w:val="18"/>
          <w:vertAlign w:val="baseline"/>
        </w:rPr>
        <w:t>July</w:t>
      </w:r>
      <w:r>
        <w:rPr>
          <w:spacing w:val="-2"/>
          <w:sz w:val="18"/>
          <w:vertAlign w:val="baseline"/>
        </w:rPr>
        <w:t> </w:t>
      </w:r>
      <w:r>
        <w:rPr>
          <w:sz w:val="18"/>
          <w:vertAlign w:val="baseline"/>
        </w:rPr>
        <w:t>2021,</w:t>
      </w:r>
      <w:r>
        <w:rPr>
          <w:spacing w:val="-3"/>
          <w:sz w:val="18"/>
          <w:vertAlign w:val="baseline"/>
        </w:rPr>
        <w:t> </w:t>
      </w:r>
      <w:r>
        <w:rPr>
          <w:spacing w:val="-5"/>
          <w:sz w:val="18"/>
          <w:vertAlign w:val="baseline"/>
        </w:rPr>
        <w:t>14</w:t>
      </w:r>
    </w:p>
    <w:p>
      <w:pPr>
        <w:spacing w:after="0" w:line="219" w:lineRule="exact"/>
        <w:jc w:val="left"/>
        <w:rPr>
          <w:sz w:val="18"/>
        </w:rPr>
        <w:sectPr>
          <w:pgSz w:w="12240" w:h="15840"/>
          <w:pgMar w:header="804" w:footer="1263" w:top="1000" w:bottom="1460" w:left="960" w:right="1100"/>
        </w:sectPr>
      </w:pPr>
    </w:p>
    <w:p>
      <w:pPr>
        <w:pStyle w:val="BodyText"/>
        <w:rPr>
          <w:sz w:val="20"/>
        </w:rPr>
      </w:pPr>
    </w:p>
    <w:p>
      <w:pPr>
        <w:pStyle w:val="BodyText"/>
        <w:spacing w:before="89"/>
        <w:rPr>
          <w:sz w:val="20"/>
        </w:rPr>
      </w:pPr>
    </w:p>
    <w:p>
      <w:pPr>
        <w:pStyle w:val="BodyText"/>
        <w:spacing w:line="20" w:lineRule="exact"/>
        <w:ind w:left="440"/>
        <w:rPr>
          <w:sz w:val="2"/>
        </w:rPr>
      </w:pPr>
      <w:r>
        <w:rPr>
          <w:sz w:val="2"/>
        </w:rPr>
        <mc:AlternateContent>
          <mc:Choice Requires="wps">
            <w:drawing>
              <wp:inline distT="0" distB="0" distL="0" distR="0">
                <wp:extent cx="6350" cy="12700"/>
                <wp:effectExtent l="0" t="0" r="0" b="0"/>
                <wp:docPr id="639" name="Group 639"/>
                <wp:cNvGraphicFramePr>
                  <a:graphicFrameLocks/>
                </wp:cNvGraphicFramePr>
                <a:graphic>
                  <a:graphicData uri="http://schemas.microsoft.com/office/word/2010/wordprocessingGroup">
                    <wpg:wgp>
                      <wpg:cNvPr id="639" name="Group 639"/>
                      <wpg:cNvGrpSpPr/>
                      <wpg:grpSpPr>
                        <a:xfrm>
                          <a:off x="0" y="0"/>
                          <a:ext cx="6350" cy="12700"/>
                          <a:chExt cx="6350" cy="12700"/>
                        </a:xfrm>
                      </wpg:grpSpPr>
                      <wps:wsp>
                        <wps:cNvPr id="640" name="Graphic 640"/>
                        <wps:cNvSpPr/>
                        <wps:spPr>
                          <a:xfrm>
                            <a:off x="0" y="0"/>
                            <a:ext cx="6350" cy="12700"/>
                          </a:xfrm>
                          <a:custGeom>
                            <a:avLst/>
                            <a:gdLst/>
                            <a:ahLst/>
                            <a:cxnLst/>
                            <a:rect l="l" t="t" r="r" b="b"/>
                            <a:pathLst>
                              <a:path w="6350" h="12700">
                                <a:moveTo>
                                  <a:pt x="6337" y="0"/>
                                </a:moveTo>
                                <a:lnTo>
                                  <a:pt x="0" y="0"/>
                                </a:lnTo>
                                <a:lnTo>
                                  <a:pt x="0" y="12179"/>
                                </a:lnTo>
                                <a:lnTo>
                                  <a:pt x="6337" y="12179"/>
                                </a:lnTo>
                                <a:lnTo>
                                  <a:pt x="6337" y="0"/>
                                </a:lnTo>
                                <a:close/>
                              </a:path>
                            </a:pathLst>
                          </a:custGeom>
                          <a:solidFill>
                            <a:srgbClr val="4F81BB"/>
                          </a:solidFill>
                        </wps:spPr>
                        <wps:bodyPr wrap="square" lIns="0" tIns="0" rIns="0" bIns="0" rtlCol="0">
                          <a:prstTxWarp prst="textNoShape">
                            <a:avLst/>
                          </a:prstTxWarp>
                          <a:noAutofit/>
                        </wps:bodyPr>
                      </wps:wsp>
                    </wpg:wgp>
                  </a:graphicData>
                </a:graphic>
              </wp:inline>
            </w:drawing>
          </mc:Choice>
          <mc:Fallback>
            <w:pict>
              <v:group style="width:.5pt;height:1pt;mso-position-horizontal-relative:char;mso-position-vertical-relative:line" id="docshapegroup536" coordorigin="0,0" coordsize="10,20">
                <v:rect style="position:absolute;left:0;top:0;width:10;height:20" id="docshape537" filled="true" fillcolor="#4f81bb" stroked="false">
                  <v:fill type="solid"/>
                </v:rect>
              </v:group>
            </w:pict>
          </mc:Fallback>
        </mc:AlternateContent>
      </w:r>
      <w:r>
        <w:rPr>
          <w:sz w:val="2"/>
        </w:rPr>
      </w:r>
    </w:p>
    <w:p>
      <w:pPr>
        <w:pStyle w:val="Heading7"/>
      </w:pPr>
      <w:bookmarkStart w:name="_bookmark643" w:id="950"/>
      <w:bookmarkEnd w:id="950"/>
      <w:r>
        <w:rPr/>
      </w:r>
      <w:hyperlink w:history="true" w:anchor="_bookmark6">
        <w:r>
          <w:rPr>
            <w:color w:val="365F91"/>
            <w:spacing w:val="-10"/>
          </w:rPr>
          <w:t>Department</w:t>
        </w:r>
        <w:r>
          <w:rPr>
            <w:color w:val="365F91"/>
            <w:spacing w:val="-5"/>
          </w:rPr>
          <w:t> </w:t>
        </w:r>
        <w:r>
          <w:rPr>
            <w:color w:val="365F91"/>
            <w:spacing w:val="-10"/>
          </w:rPr>
          <w:t>of</w:t>
        </w:r>
        <w:r>
          <w:rPr>
            <w:color w:val="365F91"/>
            <w:spacing w:val="-4"/>
          </w:rPr>
          <w:t> </w:t>
        </w:r>
        <w:r>
          <w:rPr>
            <w:color w:val="365F91"/>
            <w:spacing w:val="-10"/>
          </w:rPr>
          <w:t>Youth</w:t>
        </w:r>
        <w:r>
          <w:rPr>
            <w:color w:val="365F91"/>
            <w:spacing w:val="-2"/>
          </w:rPr>
          <w:t> </w:t>
        </w:r>
        <w:r>
          <w:rPr>
            <w:color w:val="365F91"/>
            <w:spacing w:val="-10"/>
          </w:rPr>
          <w:t>Services</w:t>
        </w:r>
      </w:hyperlink>
    </w:p>
    <w:p>
      <w:pPr>
        <w:pStyle w:val="BodyText"/>
        <w:rPr>
          <w:sz w:val="20"/>
        </w:rPr>
      </w:pPr>
    </w:p>
    <w:p>
      <w:pPr>
        <w:pStyle w:val="BodyText"/>
        <w:spacing w:before="140"/>
        <w:rPr>
          <w:sz w:val="20"/>
        </w:rPr>
      </w:pPr>
      <w:r>
        <w:rPr/>
        <mc:AlternateContent>
          <mc:Choice Requires="wps">
            <w:drawing>
              <wp:anchor distT="0" distB="0" distL="0" distR="0" allowOverlap="1" layoutInCell="1" locked="0" behindDoc="1" simplePos="0" relativeHeight="487717888">
                <wp:simplePos x="0" y="0"/>
                <wp:positionH relativeFrom="page">
                  <wp:posOffset>889000</wp:posOffset>
                </wp:positionH>
                <wp:positionV relativeFrom="paragraph">
                  <wp:posOffset>259777</wp:posOffset>
                </wp:positionV>
                <wp:extent cx="6350" cy="12700"/>
                <wp:effectExtent l="0" t="0" r="0" b="0"/>
                <wp:wrapTopAndBottom/>
                <wp:docPr id="641" name="Graphic 641"/>
                <wp:cNvGraphicFramePr>
                  <a:graphicFrameLocks/>
                </wp:cNvGraphicFramePr>
                <a:graphic>
                  <a:graphicData uri="http://schemas.microsoft.com/office/word/2010/wordprocessingShape">
                    <wps:wsp>
                      <wps:cNvPr id="641" name="Graphic 641"/>
                      <wps:cNvSpPr/>
                      <wps:spPr>
                        <a:xfrm>
                          <a:off x="0" y="0"/>
                          <a:ext cx="6350" cy="12700"/>
                        </a:xfrm>
                        <a:custGeom>
                          <a:avLst/>
                          <a:gdLst/>
                          <a:ahLst/>
                          <a:cxnLst/>
                          <a:rect l="l" t="t" r="r" b="b"/>
                          <a:pathLst>
                            <a:path w="6350" h="12700">
                              <a:moveTo>
                                <a:pt x="6337" y="0"/>
                              </a:moveTo>
                              <a:lnTo>
                                <a:pt x="0" y="0"/>
                              </a:lnTo>
                              <a:lnTo>
                                <a:pt x="0" y="12192"/>
                              </a:lnTo>
                              <a:lnTo>
                                <a:pt x="6337" y="12192"/>
                              </a:lnTo>
                              <a:lnTo>
                                <a:pt x="6337" y="0"/>
                              </a:lnTo>
                              <a:close/>
                            </a:path>
                          </a:pathLst>
                        </a:custGeom>
                        <a:solidFill>
                          <a:srgbClr val="4F81BB"/>
                        </a:solidFill>
                      </wps:spPr>
                      <wps:bodyPr wrap="square" lIns="0" tIns="0" rIns="0" bIns="0" rtlCol="0">
                        <a:prstTxWarp prst="textNoShape">
                          <a:avLst/>
                        </a:prstTxWarp>
                        <a:noAutofit/>
                      </wps:bodyPr>
                    </wps:wsp>
                  </a:graphicData>
                </a:graphic>
              </wp:anchor>
            </w:drawing>
          </mc:Choice>
          <mc:Fallback>
            <w:pict>
              <v:rect style="position:absolute;margin-left:70pt;margin-top:20.454906pt;width:.499pt;height:.96pt;mso-position-horizontal-relative:page;mso-position-vertical-relative:paragraph;z-index:-15598592;mso-wrap-distance-left:0;mso-wrap-distance-right:0" id="docshape538" filled="true" fillcolor="#4f81bb" stroked="false">
                <v:fill type="solid"/>
                <w10:wrap type="topAndBottom"/>
              </v:rect>
            </w:pict>
          </mc:Fallback>
        </mc:AlternateContent>
      </w:r>
    </w:p>
    <w:p>
      <w:pPr>
        <w:spacing w:before="0"/>
        <w:ind w:left="483" w:right="0" w:firstLine="0"/>
        <w:jc w:val="left"/>
        <w:rPr>
          <w:sz w:val="28"/>
        </w:rPr>
      </w:pPr>
      <w:r>
        <w:rPr>
          <w:color w:val="365F91"/>
          <w:sz w:val="28"/>
        </w:rPr>
        <w:t>FY</w:t>
      </w:r>
      <w:r>
        <w:rPr>
          <w:color w:val="365F91"/>
          <w:spacing w:val="-7"/>
          <w:sz w:val="28"/>
        </w:rPr>
        <w:t> </w:t>
      </w:r>
      <w:r>
        <w:rPr>
          <w:color w:val="365F91"/>
          <w:sz w:val="28"/>
        </w:rPr>
        <w:t>2025</w:t>
      </w:r>
      <w:r>
        <w:rPr>
          <w:color w:val="365F91"/>
          <w:spacing w:val="-6"/>
          <w:sz w:val="28"/>
        </w:rPr>
        <w:t> </w:t>
      </w:r>
      <w:r>
        <w:rPr>
          <w:color w:val="365F91"/>
          <w:spacing w:val="-2"/>
          <w:sz w:val="28"/>
        </w:rPr>
        <w:t>Recommendations</w:t>
      </w:r>
    </w:p>
    <w:p>
      <w:pPr>
        <w:pStyle w:val="BodyText"/>
        <w:spacing w:before="10"/>
        <w:rPr>
          <w:sz w:val="3"/>
        </w:rPr>
      </w:pPr>
      <w:r>
        <w:rPr/>
        <mc:AlternateContent>
          <mc:Choice Requires="wps">
            <w:drawing>
              <wp:anchor distT="0" distB="0" distL="0" distR="0" allowOverlap="1" layoutInCell="1" locked="0" behindDoc="1" simplePos="0" relativeHeight="487718400">
                <wp:simplePos x="0" y="0"/>
                <wp:positionH relativeFrom="page">
                  <wp:posOffset>897636</wp:posOffset>
                </wp:positionH>
                <wp:positionV relativeFrom="paragraph">
                  <wp:posOffset>44871</wp:posOffset>
                </wp:positionV>
                <wp:extent cx="5976620" cy="6350"/>
                <wp:effectExtent l="0" t="0" r="0" b="0"/>
                <wp:wrapTopAndBottom/>
                <wp:docPr id="642" name="Graphic 642"/>
                <wp:cNvGraphicFramePr>
                  <a:graphicFrameLocks/>
                </wp:cNvGraphicFramePr>
                <a:graphic>
                  <a:graphicData uri="http://schemas.microsoft.com/office/word/2010/wordprocessingShape">
                    <wps:wsp>
                      <wps:cNvPr id="642" name="Graphic 642"/>
                      <wps:cNvSpPr/>
                      <wps:spPr>
                        <a:xfrm>
                          <a:off x="0" y="0"/>
                          <a:ext cx="5976620" cy="6350"/>
                        </a:xfrm>
                        <a:custGeom>
                          <a:avLst/>
                          <a:gdLst/>
                          <a:ahLst/>
                          <a:cxnLst/>
                          <a:rect l="l" t="t" r="r" b="b"/>
                          <a:pathLst>
                            <a:path w="5976620" h="6350">
                              <a:moveTo>
                                <a:pt x="5976366" y="0"/>
                              </a:moveTo>
                              <a:lnTo>
                                <a:pt x="0" y="0"/>
                              </a:lnTo>
                              <a:lnTo>
                                <a:pt x="0" y="6108"/>
                              </a:lnTo>
                              <a:lnTo>
                                <a:pt x="5976366" y="6108"/>
                              </a:lnTo>
                              <a:lnTo>
                                <a:pt x="5976366" y="0"/>
                              </a:lnTo>
                              <a:close/>
                            </a:path>
                          </a:pathLst>
                        </a:custGeom>
                        <a:solidFill>
                          <a:srgbClr val="4F81BC"/>
                        </a:solidFill>
                      </wps:spPr>
                      <wps:bodyPr wrap="square" lIns="0" tIns="0" rIns="0" bIns="0" rtlCol="0">
                        <a:prstTxWarp prst="textNoShape">
                          <a:avLst/>
                        </a:prstTxWarp>
                        <a:noAutofit/>
                      </wps:bodyPr>
                    </wps:wsp>
                  </a:graphicData>
                </a:graphic>
              </wp:anchor>
            </w:drawing>
          </mc:Choice>
          <mc:Fallback>
            <w:pict>
              <v:rect style="position:absolute;margin-left:70.680pt;margin-top:3.533156pt;width:470.58pt;height:.481pt;mso-position-horizontal-relative:page;mso-position-vertical-relative:paragraph;z-index:-15598080;mso-wrap-distance-left:0;mso-wrap-distance-right:0" id="docshape539" filled="true" fillcolor="#4f81bc" stroked="false">
                <v:fill type="solid"/>
                <w10:wrap type="topAndBottom"/>
              </v:rect>
            </w:pict>
          </mc:Fallback>
        </mc:AlternateContent>
      </w:r>
    </w:p>
    <w:p>
      <w:pPr>
        <w:pStyle w:val="ListParagraph"/>
        <w:numPr>
          <w:ilvl w:val="3"/>
          <w:numId w:val="43"/>
        </w:numPr>
        <w:tabs>
          <w:tab w:pos="1419" w:val="left" w:leader="none"/>
        </w:tabs>
        <w:spacing w:line="276" w:lineRule="auto" w:before="241" w:after="0"/>
        <w:ind w:left="1419" w:right="343" w:hanging="360"/>
        <w:jc w:val="both"/>
        <w:rPr>
          <w:sz w:val="22"/>
        </w:rPr>
      </w:pPr>
      <w:r>
        <w:rPr>
          <w:sz w:val="22"/>
        </w:rPr>
        <w:t>Update</w:t>
      </w:r>
      <w:r>
        <w:rPr>
          <w:spacing w:val="-2"/>
          <w:sz w:val="22"/>
        </w:rPr>
        <w:t> </w:t>
      </w:r>
      <w:r>
        <w:rPr>
          <w:sz w:val="22"/>
        </w:rPr>
        <w:t>DYS</w:t>
      </w:r>
      <w:r>
        <w:rPr>
          <w:spacing w:val="-2"/>
          <w:sz w:val="22"/>
        </w:rPr>
        <w:t> </w:t>
      </w:r>
      <w:r>
        <w:rPr>
          <w:sz w:val="22"/>
        </w:rPr>
        <w:t>SOGIE</w:t>
      </w:r>
      <w:r>
        <w:rPr>
          <w:spacing w:val="-2"/>
          <w:sz w:val="22"/>
        </w:rPr>
        <w:t> </w:t>
      </w:r>
      <w:r>
        <w:rPr>
          <w:sz w:val="22"/>
        </w:rPr>
        <w:t>data</w:t>
      </w:r>
      <w:r>
        <w:rPr>
          <w:spacing w:val="-1"/>
          <w:sz w:val="22"/>
        </w:rPr>
        <w:t> </w:t>
      </w:r>
      <w:r>
        <w:rPr>
          <w:sz w:val="22"/>
        </w:rPr>
        <w:t>collection</w:t>
      </w:r>
      <w:r>
        <w:rPr>
          <w:spacing w:val="-2"/>
          <w:sz w:val="22"/>
        </w:rPr>
        <w:t> </w:t>
      </w:r>
      <w:r>
        <w:rPr>
          <w:sz w:val="22"/>
        </w:rPr>
        <w:t>standards,</w:t>
      </w:r>
      <w:r>
        <w:rPr>
          <w:spacing w:val="-3"/>
          <w:sz w:val="22"/>
        </w:rPr>
        <w:t> </w:t>
      </w:r>
      <w:r>
        <w:rPr>
          <w:sz w:val="22"/>
        </w:rPr>
        <w:t>and</w:t>
      </w:r>
      <w:r>
        <w:rPr>
          <w:spacing w:val="-2"/>
          <w:sz w:val="22"/>
        </w:rPr>
        <w:t> </w:t>
      </w:r>
      <w:r>
        <w:rPr>
          <w:sz w:val="22"/>
        </w:rPr>
        <w:t>publish</w:t>
      </w:r>
      <w:r>
        <w:rPr>
          <w:spacing w:val="-2"/>
          <w:sz w:val="22"/>
        </w:rPr>
        <w:t> </w:t>
      </w:r>
      <w:r>
        <w:rPr>
          <w:sz w:val="22"/>
        </w:rPr>
        <w:t>more</w:t>
      </w:r>
      <w:r>
        <w:rPr>
          <w:spacing w:val="-3"/>
          <w:sz w:val="22"/>
        </w:rPr>
        <w:t> </w:t>
      </w:r>
      <w:r>
        <w:rPr>
          <w:sz w:val="22"/>
        </w:rPr>
        <w:t>in-depth</w:t>
      </w:r>
      <w:r>
        <w:rPr>
          <w:spacing w:val="-2"/>
          <w:sz w:val="22"/>
        </w:rPr>
        <w:t> </w:t>
      </w:r>
      <w:r>
        <w:rPr>
          <w:sz w:val="22"/>
        </w:rPr>
        <w:t>information</w:t>
      </w:r>
      <w:r>
        <w:rPr>
          <w:spacing w:val="-3"/>
          <w:sz w:val="22"/>
        </w:rPr>
        <w:t> </w:t>
      </w:r>
      <w:r>
        <w:rPr>
          <w:sz w:val="22"/>
        </w:rPr>
        <w:t>on</w:t>
      </w:r>
      <w:r>
        <w:rPr>
          <w:spacing w:val="-2"/>
          <w:sz w:val="22"/>
        </w:rPr>
        <w:t> </w:t>
      </w:r>
      <w:r>
        <w:rPr>
          <w:sz w:val="22"/>
        </w:rPr>
        <w:t>youth in DYS services.</w:t>
      </w:r>
    </w:p>
    <w:p>
      <w:pPr>
        <w:pStyle w:val="ListParagraph"/>
        <w:numPr>
          <w:ilvl w:val="3"/>
          <w:numId w:val="43"/>
        </w:numPr>
        <w:tabs>
          <w:tab w:pos="1418" w:val="left" w:leader="none"/>
        </w:tabs>
        <w:spacing w:line="240" w:lineRule="auto" w:before="1" w:after="0"/>
        <w:ind w:left="1418" w:right="0" w:hanging="359"/>
        <w:jc w:val="both"/>
        <w:rPr>
          <w:sz w:val="22"/>
        </w:rPr>
      </w:pPr>
      <w:r>
        <w:rPr>
          <w:sz w:val="22"/>
        </w:rPr>
        <w:t>Provide</w:t>
      </w:r>
      <w:r>
        <w:rPr>
          <w:spacing w:val="-9"/>
          <w:sz w:val="22"/>
        </w:rPr>
        <w:t> </w:t>
      </w:r>
      <w:r>
        <w:rPr>
          <w:sz w:val="22"/>
        </w:rPr>
        <w:t>annual</w:t>
      </w:r>
      <w:r>
        <w:rPr>
          <w:spacing w:val="-8"/>
          <w:sz w:val="22"/>
        </w:rPr>
        <w:t> </w:t>
      </w:r>
      <w:r>
        <w:rPr>
          <w:sz w:val="22"/>
        </w:rPr>
        <w:t>mandatory</w:t>
      </w:r>
      <w:r>
        <w:rPr>
          <w:spacing w:val="-7"/>
          <w:sz w:val="22"/>
        </w:rPr>
        <w:t> </w:t>
      </w:r>
      <w:r>
        <w:rPr>
          <w:sz w:val="22"/>
        </w:rPr>
        <w:t>trainings</w:t>
      </w:r>
      <w:r>
        <w:rPr>
          <w:spacing w:val="-8"/>
          <w:sz w:val="22"/>
        </w:rPr>
        <w:t> </w:t>
      </w:r>
      <w:r>
        <w:rPr>
          <w:sz w:val="22"/>
        </w:rPr>
        <w:t>to</w:t>
      </w:r>
      <w:r>
        <w:rPr>
          <w:spacing w:val="-8"/>
          <w:sz w:val="22"/>
        </w:rPr>
        <w:t> </w:t>
      </w:r>
      <w:r>
        <w:rPr>
          <w:sz w:val="22"/>
        </w:rPr>
        <w:t>all</w:t>
      </w:r>
      <w:r>
        <w:rPr>
          <w:spacing w:val="-8"/>
          <w:sz w:val="22"/>
        </w:rPr>
        <w:t> </w:t>
      </w:r>
      <w:r>
        <w:rPr>
          <w:sz w:val="22"/>
        </w:rPr>
        <w:t>DYS</w:t>
      </w:r>
      <w:r>
        <w:rPr>
          <w:spacing w:val="-8"/>
          <w:sz w:val="22"/>
        </w:rPr>
        <w:t> </w:t>
      </w:r>
      <w:r>
        <w:rPr>
          <w:sz w:val="22"/>
        </w:rPr>
        <w:t>state</w:t>
      </w:r>
      <w:r>
        <w:rPr>
          <w:spacing w:val="-8"/>
          <w:sz w:val="22"/>
        </w:rPr>
        <w:t> </w:t>
      </w:r>
      <w:r>
        <w:rPr>
          <w:sz w:val="22"/>
        </w:rPr>
        <w:t>and</w:t>
      </w:r>
      <w:r>
        <w:rPr>
          <w:spacing w:val="-7"/>
          <w:sz w:val="22"/>
        </w:rPr>
        <w:t> </w:t>
      </w:r>
      <w:r>
        <w:rPr>
          <w:sz w:val="22"/>
        </w:rPr>
        <w:t>contracted</w:t>
      </w:r>
      <w:r>
        <w:rPr>
          <w:spacing w:val="-8"/>
          <w:sz w:val="22"/>
        </w:rPr>
        <w:t> </w:t>
      </w:r>
      <w:r>
        <w:rPr>
          <w:sz w:val="22"/>
        </w:rPr>
        <w:t>provider</w:t>
      </w:r>
      <w:r>
        <w:rPr>
          <w:spacing w:val="-9"/>
          <w:sz w:val="22"/>
        </w:rPr>
        <w:t> </w:t>
      </w:r>
      <w:r>
        <w:rPr>
          <w:spacing w:val="-2"/>
          <w:sz w:val="22"/>
        </w:rPr>
        <w:t>staff.</w:t>
      </w:r>
    </w:p>
    <w:p>
      <w:pPr>
        <w:pStyle w:val="ListParagraph"/>
        <w:numPr>
          <w:ilvl w:val="3"/>
          <w:numId w:val="43"/>
        </w:numPr>
        <w:tabs>
          <w:tab w:pos="1419" w:val="left" w:leader="none"/>
        </w:tabs>
        <w:spacing w:line="276" w:lineRule="auto" w:before="41" w:after="0"/>
        <w:ind w:left="1419" w:right="344" w:hanging="360"/>
        <w:jc w:val="both"/>
        <w:rPr>
          <w:sz w:val="22"/>
        </w:rPr>
      </w:pPr>
      <w:r>
        <w:rPr>
          <w:sz w:val="22"/>
        </w:rPr>
        <w:t>Ensure implementation of LGBTQ-affirming material into existing curricula and programming provided to youth and families in its services.</w:t>
      </w:r>
    </w:p>
    <w:p>
      <w:pPr>
        <w:pStyle w:val="ListParagraph"/>
        <w:numPr>
          <w:ilvl w:val="3"/>
          <w:numId w:val="43"/>
        </w:numPr>
        <w:tabs>
          <w:tab w:pos="1419" w:val="left" w:leader="none"/>
        </w:tabs>
        <w:spacing w:line="276" w:lineRule="auto" w:before="0" w:after="0"/>
        <w:ind w:left="1419" w:right="339" w:hanging="360"/>
        <w:jc w:val="both"/>
        <w:rPr>
          <w:sz w:val="22"/>
        </w:rPr>
      </w:pPr>
      <w:r>
        <w:rPr>
          <w:sz w:val="22"/>
        </w:rPr>
        <w:t>Improve interagency work to support “warm hand-offs” for transition-aged youth attempting to</w:t>
      </w:r>
      <w:r>
        <w:rPr>
          <w:spacing w:val="-4"/>
          <w:sz w:val="22"/>
        </w:rPr>
        <w:t> </w:t>
      </w:r>
      <w:r>
        <w:rPr>
          <w:sz w:val="22"/>
        </w:rPr>
        <w:t>access</w:t>
      </w:r>
      <w:r>
        <w:rPr>
          <w:spacing w:val="-4"/>
          <w:sz w:val="22"/>
        </w:rPr>
        <w:t> </w:t>
      </w:r>
      <w:r>
        <w:rPr>
          <w:sz w:val="22"/>
        </w:rPr>
        <w:t>services,</w:t>
      </w:r>
      <w:r>
        <w:rPr>
          <w:spacing w:val="-4"/>
          <w:sz w:val="22"/>
        </w:rPr>
        <w:t> </w:t>
      </w:r>
      <w:r>
        <w:rPr>
          <w:sz w:val="22"/>
        </w:rPr>
        <w:t>in</w:t>
      </w:r>
      <w:r>
        <w:rPr>
          <w:spacing w:val="-4"/>
          <w:sz w:val="22"/>
        </w:rPr>
        <w:t> </w:t>
      </w:r>
      <w:r>
        <w:rPr>
          <w:sz w:val="22"/>
        </w:rPr>
        <w:t>partnership</w:t>
      </w:r>
      <w:r>
        <w:rPr>
          <w:spacing w:val="-4"/>
          <w:sz w:val="22"/>
        </w:rPr>
        <w:t> </w:t>
      </w:r>
      <w:r>
        <w:rPr>
          <w:sz w:val="22"/>
        </w:rPr>
        <w:t>with</w:t>
      </w:r>
      <w:r>
        <w:rPr>
          <w:spacing w:val="-4"/>
          <w:sz w:val="22"/>
        </w:rPr>
        <w:t> </w:t>
      </w:r>
      <w:r>
        <w:rPr>
          <w:sz w:val="22"/>
        </w:rPr>
        <w:t>the</w:t>
      </w:r>
      <w:r>
        <w:rPr>
          <w:spacing w:val="-4"/>
          <w:sz w:val="22"/>
        </w:rPr>
        <w:t> </w:t>
      </w:r>
      <w:r>
        <w:rPr>
          <w:sz w:val="22"/>
        </w:rPr>
        <w:t>Department</w:t>
      </w:r>
      <w:r>
        <w:rPr>
          <w:spacing w:val="-4"/>
          <w:sz w:val="22"/>
        </w:rPr>
        <w:t> </w:t>
      </w:r>
      <w:r>
        <w:rPr>
          <w:sz w:val="22"/>
        </w:rPr>
        <w:t>of</w:t>
      </w:r>
      <w:r>
        <w:rPr>
          <w:spacing w:val="-4"/>
          <w:sz w:val="22"/>
        </w:rPr>
        <w:t> </w:t>
      </w:r>
      <w:r>
        <w:rPr>
          <w:sz w:val="22"/>
        </w:rPr>
        <w:t>Children</w:t>
      </w:r>
      <w:r>
        <w:rPr>
          <w:spacing w:val="-4"/>
          <w:sz w:val="22"/>
        </w:rPr>
        <w:t> </w:t>
      </w:r>
      <w:r>
        <w:rPr>
          <w:sz w:val="22"/>
        </w:rPr>
        <w:t>&amp;</w:t>
      </w:r>
      <w:r>
        <w:rPr>
          <w:spacing w:val="-4"/>
          <w:sz w:val="22"/>
        </w:rPr>
        <w:t> </w:t>
      </w:r>
      <w:r>
        <w:rPr>
          <w:sz w:val="22"/>
        </w:rPr>
        <w:t>Families,</w:t>
      </w:r>
      <w:r>
        <w:rPr>
          <w:spacing w:val="-4"/>
          <w:sz w:val="22"/>
        </w:rPr>
        <w:t> </w:t>
      </w:r>
      <w:r>
        <w:rPr>
          <w:sz w:val="22"/>
        </w:rPr>
        <w:t>the</w:t>
      </w:r>
      <w:r>
        <w:rPr>
          <w:spacing w:val="-4"/>
          <w:sz w:val="22"/>
        </w:rPr>
        <w:t> </w:t>
      </w:r>
      <w:r>
        <w:rPr>
          <w:sz w:val="22"/>
        </w:rPr>
        <w:t>Department of Mental Health, and MassHealth.</w:t>
      </w:r>
    </w:p>
    <w:p>
      <w:pPr>
        <w:pStyle w:val="ListParagraph"/>
        <w:numPr>
          <w:ilvl w:val="3"/>
          <w:numId w:val="43"/>
        </w:numPr>
        <w:tabs>
          <w:tab w:pos="1419" w:val="left" w:leader="none"/>
        </w:tabs>
        <w:spacing w:line="276" w:lineRule="auto" w:before="0" w:after="0"/>
        <w:ind w:left="1419" w:right="343" w:hanging="360"/>
        <w:jc w:val="both"/>
        <w:rPr>
          <w:sz w:val="22"/>
        </w:rPr>
      </w:pPr>
      <w:r>
        <w:rPr>
          <w:sz w:val="22"/>
        </w:rPr>
        <w:t>Collaborate with the Commission to establish an LGBTQ parent education curriculum within juvenile diversion programs.</w:t>
      </w:r>
    </w:p>
    <w:p>
      <w:pPr>
        <w:pStyle w:val="BodyText"/>
        <w:rPr>
          <w:sz w:val="20"/>
        </w:rPr>
      </w:pPr>
    </w:p>
    <w:p>
      <w:pPr>
        <w:pStyle w:val="BodyText"/>
        <w:spacing w:before="66"/>
        <w:rPr>
          <w:sz w:val="20"/>
        </w:rPr>
      </w:pPr>
      <w:r>
        <w:rPr/>
        <mc:AlternateContent>
          <mc:Choice Requires="wps">
            <w:drawing>
              <wp:anchor distT="0" distB="0" distL="0" distR="0" allowOverlap="1" layoutInCell="1" locked="0" behindDoc="1" simplePos="0" relativeHeight="487718912">
                <wp:simplePos x="0" y="0"/>
                <wp:positionH relativeFrom="page">
                  <wp:posOffset>889000</wp:posOffset>
                </wp:positionH>
                <wp:positionV relativeFrom="paragraph">
                  <wp:posOffset>212689</wp:posOffset>
                </wp:positionV>
                <wp:extent cx="6350" cy="12700"/>
                <wp:effectExtent l="0" t="0" r="0" b="0"/>
                <wp:wrapTopAndBottom/>
                <wp:docPr id="643" name="Graphic 643"/>
                <wp:cNvGraphicFramePr>
                  <a:graphicFrameLocks/>
                </wp:cNvGraphicFramePr>
                <a:graphic>
                  <a:graphicData uri="http://schemas.microsoft.com/office/word/2010/wordprocessingShape">
                    <wps:wsp>
                      <wps:cNvPr id="643" name="Graphic 643"/>
                      <wps:cNvSpPr/>
                      <wps:spPr>
                        <a:xfrm>
                          <a:off x="0" y="0"/>
                          <a:ext cx="6350" cy="12700"/>
                        </a:xfrm>
                        <a:custGeom>
                          <a:avLst/>
                          <a:gdLst/>
                          <a:ahLst/>
                          <a:cxnLst/>
                          <a:rect l="l" t="t" r="r" b="b"/>
                          <a:pathLst>
                            <a:path w="6350" h="12700">
                              <a:moveTo>
                                <a:pt x="6337" y="0"/>
                              </a:moveTo>
                              <a:lnTo>
                                <a:pt x="0" y="0"/>
                              </a:lnTo>
                              <a:lnTo>
                                <a:pt x="0" y="12179"/>
                              </a:lnTo>
                              <a:lnTo>
                                <a:pt x="6337" y="12179"/>
                              </a:lnTo>
                              <a:lnTo>
                                <a:pt x="6337" y="0"/>
                              </a:lnTo>
                              <a:close/>
                            </a:path>
                          </a:pathLst>
                        </a:custGeom>
                        <a:solidFill>
                          <a:srgbClr val="4F81BB"/>
                        </a:solidFill>
                      </wps:spPr>
                      <wps:bodyPr wrap="square" lIns="0" tIns="0" rIns="0" bIns="0" rtlCol="0">
                        <a:prstTxWarp prst="textNoShape">
                          <a:avLst/>
                        </a:prstTxWarp>
                        <a:noAutofit/>
                      </wps:bodyPr>
                    </wps:wsp>
                  </a:graphicData>
                </a:graphic>
              </wp:anchor>
            </w:drawing>
          </mc:Choice>
          <mc:Fallback>
            <w:pict>
              <v:rect style="position:absolute;margin-left:70pt;margin-top:16.747183pt;width:.499pt;height:.959pt;mso-position-horizontal-relative:page;mso-position-vertical-relative:paragraph;z-index:-15597568;mso-wrap-distance-left:0;mso-wrap-distance-right:0" id="docshape540" filled="true" fillcolor="#4f81bb" stroked="false">
                <v:fill type="solid"/>
                <w10:wrap type="topAndBottom"/>
              </v:rect>
            </w:pict>
          </mc:Fallback>
        </mc:AlternateContent>
      </w:r>
    </w:p>
    <w:p>
      <w:pPr>
        <w:spacing w:before="0"/>
        <w:ind w:left="483" w:right="0" w:firstLine="0"/>
        <w:jc w:val="left"/>
        <w:rPr>
          <w:sz w:val="28"/>
        </w:rPr>
      </w:pPr>
      <w:r>
        <w:rPr>
          <w:color w:val="365F91"/>
          <w:spacing w:val="-2"/>
          <w:sz w:val="28"/>
        </w:rPr>
        <w:t>Introduction</w:t>
      </w:r>
    </w:p>
    <w:p>
      <w:pPr>
        <w:pStyle w:val="BodyText"/>
        <w:spacing w:before="11"/>
        <w:rPr>
          <w:sz w:val="3"/>
        </w:rPr>
      </w:pPr>
      <w:r>
        <w:rPr/>
        <mc:AlternateContent>
          <mc:Choice Requires="wps">
            <w:drawing>
              <wp:anchor distT="0" distB="0" distL="0" distR="0" allowOverlap="1" layoutInCell="1" locked="0" behindDoc="1" simplePos="0" relativeHeight="487719424">
                <wp:simplePos x="0" y="0"/>
                <wp:positionH relativeFrom="page">
                  <wp:posOffset>897636</wp:posOffset>
                </wp:positionH>
                <wp:positionV relativeFrom="paragraph">
                  <wp:posOffset>45480</wp:posOffset>
                </wp:positionV>
                <wp:extent cx="5976620" cy="6350"/>
                <wp:effectExtent l="0" t="0" r="0" b="0"/>
                <wp:wrapTopAndBottom/>
                <wp:docPr id="644" name="Graphic 644"/>
                <wp:cNvGraphicFramePr>
                  <a:graphicFrameLocks/>
                </wp:cNvGraphicFramePr>
                <a:graphic>
                  <a:graphicData uri="http://schemas.microsoft.com/office/word/2010/wordprocessingShape">
                    <wps:wsp>
                      <wps:cNvPr id="644" name="Graphic 644"/>
                      <wps:cNvSpPr/>
                      <wps:spPr>
                        <a:xfrm>
                          <a:off x="0" y="0"/>
                          <a:ext cx="5976620" cy="6350"/>
                        </a:xfrm>
                        <a:custGeom>
                          <a:avLst/>
                          <a:gdLst/>
                          <a:ahLst/>
                          <a:cxnLst/>
                          <a:rect l="l" t="t" r="r" b="b"/>
                          <a:pathLst>
                            <a:path w="5976620" h="6350">
                              <a:moveTo>
                                <a:pt x="5976366" y="0"/>
                              </a:moveTo>
                              <a:lnTo>
                                <a:pt x="0" y="0"/>
                              </a:lnTo>
                              <a:lnTo>
                                <a:pt x="0" y="6108"/>
                              </a:lnTo>
                              <a:lnTo>
                                <a:pt x="5976366" y="6108"/>
                              </a:lnTo>
                              <a:lnTo>
                                <a:pt x="5976366" y="0"/>
                              </a:lnTo>
                              <a:close/>
                            </a:path>
                          </a:pathLst>
                        </a:custGeom>
                        <a:solidFill>
                          <a:srgbClr val="4F81BC"/>
                        </a:solidFill>
                      </wps:spPr>
                      <wps:bodyPr wrap="square" lIns="0" tIns="0" rIns="0" bIns="0" rtlCol="0">
                        <a:prstTxWarp prst="textNoShape">
                          <a:avLst/>
                        </a:prstTxWarp>
                        <a:noAutofit/>
                      </wps:bodyPr>
                    </wps:wsp>
                  </a:graphicData>
                </a:graphic>
              </wp:anchor>
            </w:drawing>
          </mc:Choice>
          <mc:Fallback>
            <w:pict>
              <v:rect style="position:absolute;margin-left:70.680pt;margin-top:3.581156pt;width:470.58pt;height:.481pt;mso-position-horizontal-relative:page;mso-position-vertical-relative:paragraph;z-index:-15597056;mso-wrap-distance-left:0;mso-wrap-distance-right:0" id="docshape541" filled="true" fillcolor="#4f81bc" stroked="false">
                <v:fill type="solid"/>
                <w10:wrap type="topAndBottom"/>
              </v:rect>
            </w:pict>
          </mc:Fallback>
        </mc:AlternateContent>
      </w:r>
    </w:p>
    <w:p>
      <w:pPr>
        <w:spacing w:line="276" w:lineRule="auto" w:before="241"/>
        <w:ind w:left="483" w:right="341" w:hanging="1"/>
        <w:jc w:val="both"/>
        <w:rPr>
          <w:sz w:val="21"/>
        </w:rPr>
      </w:pPr>
      <w:r>
        <w:rPr>
          <w:sz w:val="22"/>
        </w:rPr>
        <w:t>The </w:t>
      </w:r>
      <w:r>
        <w:rPr>
          <w:sz w:val="21"/>
        </w:rPr>
        <w:t>Massachusetts </w:t>
      </w:r>
      <w:r>
        <w:rPr>
          <w:sz w:val="22"/>
        </w:rPr>
        <w:t>Department of Youth Services (DYS) is the state agency </w:t>
      </w:r>
      <w:r>
        <w:rPr>
          <w:sz w:val="21"/>
        </w:rPr>
        <w:t>that serves five primary populations of young people ranging in age from 12 to 22 dependent on the services provided:</w:t>
      </w:r>
    </w:p>
    <w:p>
      <w:pPr>
        <w:pStyle w:val="ListParagraph"/>
        <w:numPr>
          <w:ilvl w:val="4"/>
          <w:numId w:val="43"/>
        </w:numPr>
        <w:tabs>
          <w:tab w:pos="1419" w:val="left" w:leader="none"/>
        </w:tabs>
        <w:spacing w:line="276" w:lineRule="auto" w:before="240" w:after="0"/>
        <w:ind w:left="1419" w:right="341" w:hanging="360"/>
        <w:jc w:val="left"/>
        <w:rPr>
          <w:sz w:val="21"/>
        </w:rPr>
      </w:pPr>
      <w:r>
        <w:rPr>
          <w:sz w:val="21"/>
        </w:rPr>
        <w:t>Diversion</w:t>
      </w:r>
      <w:r>
        <w:rPr>
          <w:spacing w:val="28"/>
          <w:sz w:val="21"/>
        </w:rPr>
        <w:t> </w:t>
      </w:r>
      <w:r>
        <w:rPr>
          <w:sz w:val="21"/>
        </w:rPr>
        <w:t>Young</w:t>
      </w:r>
      <w:r>
        <w:rPr>
          <w:spacing w:val="27"/>
          <w:sz w:val="21"/>
        </w:rPr>
        <w:t> </w:t>
      </w:r>
      <w:r>
        <w:rPr>
          <w:sz w:val="21"/>
        </w:rPr>
        <w:t>People,</w:t>
      </w:r>
      <w:r>
        <w:rPr>
          <w:spacing w:val="28"/>
          <w:sz w:val="21"/>
        </w:rPr>
        <w:t> </w:t>
      </w:r>
      <w:r>
        <w:rPr>
          <w:sz w:val="21"/>
        </w:rPr>
        <w:t>who</w:t>
      </w:r>
      <w:r>
        <w:rPr>
          <w:spacing w:val="27"/>
          <w:sz w:val="21"/>
        </w:rPr>
        <w:t> </w:t>
      </w:r>
      <w:r>
        <w:rPr>
          <w:sz w:val="21"/>
        </w:rPr>
        <w:t>are</w:t>
      </w:r>
      <w:r>
        <w:rPr>
          <w:spacing w:val="28"/>
          <w:sz w:val="21"/>
        </w:rPr>
        <w:t> </w:t>
      </w:r>
      <w:r>
        <w:rPr>
          <w:sz w:val="21"/>
        </w:rPr>
        <w:t>youth</w:t>
      </w:r>
      <w:r>
        <w:rPr>
          <w:spacing w:val="27"/>
          <w:sz w:val="21"/>
        </w:rPr>
        <w:t> </w:t>
      </w:r>
      <w:r>
        <w:rPr>
          <w:sz w:val="21"/>
        </w:rPr>
        <w:t>facing</w:t>
      </w:r>
      <w:r>
        <w:rPr>
          <w:spacing w:val="27"/>
          <w:sz w:val="21"/>
        </w:rPr>
        <w:t> </w:t>
      </w:r>
      <w:r>
        <w:rPr>
          <w:sz w:val="21"/>
        </w:rPr>
        <w:t>arrest</w:t>
      </w:r>
      <w:r>
        <w:rPr>
          <w:spacing w:val="27"/>
          <w:sz w:val="21"/>
        </w:rPr>
        <w:t> </w:t>
      </w:r>
      <w:r>
        <w:rPr>
          <w:sz w:val="21"/>
        </w:rPr>
        <w:t>or</w:t>
      </w:r>
      <w:r>
        <w:rPr>
          <w:spacing w:val="28"/>
          <w:sz w:val="21"/>
        </w:rPr>
        <w:t> </w:t>
      </w:r>
      <w:r>
        <w:rPr>
          <w:sz w:val="21"/>
        </w:rPr>
        <w:t>prosecution</w:t>
      </w:r>
      <w:r>
        <w:rPr>
          <w:spacing w:val="28"/>
          <w:sz w:val="21"/>
        </w:rPr>
        <w:t> </w:t>
      </w:r>
      <w:r>
        <w:rPr>
          <w:sz w:val="21"/>
        </w:rPr>
        <w:t>for</w:t>
      </w:r>
      <w:r>
        <w:rPr>
          <w:spacing w:val="28"/>
          <w:sz w:val="21"/>
        </w:rPr>
        <w:t> </w:t>
      </w:r>
      <w:r>
        <w:rPr>
          <w:sz w:val="21"/>
        </w:rPr>
        <w:t>a</w:t>
      </w:r>
      <w:r>
        <w:rPr>
          <w:spacing w:val="27"/>
          <w:sz w:val="21"/>
        </w:rPr>
        <w:t> </w:t>
      </w:r>
      <w:r>
        <w:rPr>
          <w:sz w:val="21"/>
        </w:rPr>
        <w:t>juvenile</w:t>
      </w:r>
      <w:r>
        <w:rPr>
          <w:spacing w:val="28"/>
          <w:sz w:val="21"/>
        </w:rPr>
        <w:t> </w:t>
      </w:r>
      <w:r>
        <w:rPr>
          <w:sz w:val="21"/>
        </w:rPr>
        <w:t>offense</w:t>
      </w:r>
      <w:r>
        <w:rPr>
          <w:spacing w:val="28"/>
          <w:sz w:val="21"/>
        </w:rPr>
        <w:t> </w:t>
      </w:r>
      <w:r>
        <w:rPr>
          <w:sz w:val="21"/>
        </w:rPr>
        <w:t>and instead are referred to the Department for supportive community-based services</w:t>
      </w:r>
    </w:p>
    <w:p>
      <w:pPr>
        <w:pStyle w:val="ListParagraph"/>
        <w:numPr>
          <w:ilvl w:val="4"/>
          <w:numId w:val="43"/>
        </w:numPr>
        <w:tabs>
          <w:tab w:pos="1419" w:val="left" w:leader="none"/>
        </w:tabs>
        <w:spacing w:line="276" w:lineRule="auto" w:before="0" w:after="0"/>
        <w:ind w:left="1419" w:right="343" w:hanging="360"/>
        <w:jc w:val="left"/>
        <w:rPr>
          <w:sz w:val="21"/>
        </w:rPr>
      </w:pPr>
      <w:r>
        <w:rPr>
          <w:sz w:val="21"/>
        </w:rPr>
        <w:t>Overnight</w:t>
      </w:r>
      <w:r>
        <w:rPr>
          <w:spacing w:val="-5"/>
          <w:sz w:val="21"/>
        </w:rPr>
        <w:t> </w:t>
      </w:r>
      <w:r>
        <w:rPr>
          <w:sz w:val="21"/>
        </w:rPr>
        <w:t>Arrest</w:t>
      </w:r>
      <w:r>
        <w:rPr>
          <w:spacing w:val="-5"/>
          <w:sz w:val="21"/>
        </w:rPr>
        <w:t> </w:t>
      </w:r>
      <w:r>
        <w:rPr>
          <w:sz w:val="21"/>
        </w:rPr>
        <w:t>Young</w:t>
      </w:r>
      <w:r>
        <w:rPr>
          <w:spacing w:val="-6"/>
          <w:sz w:val="21"/>
        </w:rPr>
        <w:t> </w:t>
      </w:r>
      <w:r>
        <w:rPr>
          <w:sz w:val="21"/>
        </w:rPr>
        <w:t>People</w:t>
      </w:r>
      <w:r>
        <w:rPr>
          <w:spacing w:val="-5"/>
          <w:sz w:val="21"/>
        </w:rPr>
        <w:t> </w:t>
      </w:r>
      <w:r>
        <w:rPr>
          <w:sz w:val="21"/>
        </w:rPr>
        <w:t>(ONA),</w:t>
      </w:r>
      <w:r>
        <w:rPr>
          <w:spacing w:val="-5"/>
          <w:sz w:val="21"/>
        </w:rPr>
        <w:t> </w:t>
      </w:r>
      <w:r>
        <w:rPr>
          <w:sz w:val="21"/>
        </w:rPr>
        <w:t>who</w:t>
      </w:r>
      <w:r>
        <w:rPr>
          <w:spacing w:val="-6"/>
          <w:sz w:val="21"/>
        </w:rPr>
        <w:t> </w:t>
      </w:r>
      <w:r>
        <w:rPr>
          <w:sz w:val="21"/>
        </w:rPr>
        <w:t>are</w:t>
      </w:r>
      <w:r>
        <w:rPr>
          <w:spacing w:val="-5"/>
          <w:sz w:val="21"/>
        </w:rPr>
        <w:t> </w:t>
      </w:r>
      <w:r>
        <w:rPr>
          <w:sz w:val="21"/>
        </w:rPr>
        <w:t>youth</w:t>
      </w:r>
      <w:r>
        <w:rPr>
          <w:spacing w:val="-7"/>
          <w:sz w:val="21"/>
        </w:rPr>
        <w:t> </w:t>
      </w:r>
      <w:r>
        <w:rPr>
          <w:sz w:val="21"/>
        </w:rPr>
        <w:t>arrested</w:t>
      </w:r>
      <w:r>
        <w:rPr>
          <w:spacing w:val="-5"/>
          <w:sz w:val="21"/>
        </w:rPr>
        <w:t> </w:t>
      </w:r>
      <w:r>
        <w:rPr>
          <w:sz w:val="21"/>
        </w:rPr>
        <w:t>outside</w:t>
      </w:r>
      <w:r>
        <w:rPr>
          <w:spacing w:val="-5"/>
          <w:sz w:val="21"/>
        </w:rPr>
        <w:t> </w:t>
      </w:r>
      <w:r>
        <w:rPr>
          <w:sz w:val="21"/>
        </w:rPr>
        <w:t>of</w:t>
      </w:r>
      <w:r>
        <w:rPr>
          <w:spacing w:val="-6"/>
          <w:sz w:val="21"/>
        </w:rPr>
        <w:t> </w:t>
      </w:r>
      <w:r>
        <w:rPr>
          <w:sz w:val="21"/>
        </w:rPr>
        <w:t>court</w:t>
      </w:r>
      <w:r>
        <w:rPr>
          <w:spacing w:val="-5"/>
          <w:sz w:val="21"/>
        </w:rPr>
        <w:t> </w:t>
      </w:r>
      <w:r>
        <w:rPr>
          <w:sz w:val="21"/>
        </w:rPr>
        <w:t>business</w:t>
      </w:r>
      <w:r>
        <w:rPr>
          <w:spacing w:val="-6"/>
          <w:sz w:val="21"/>
        </w:rPr>
        <w:t> </w:t>
      </w:r>
      <w:r>
        <w:rPr>
          <w:sz w:val="21"/>
        </w:rPr>
        <w:t>hours</w:t>
      </w:r>
      <w:r>
        <w:rPr>
          <w:spacing w:val="-6"/>
          <w:sz w:val="21"/>
        </w:rPr>
        <w:t> </w:t>
      </w:r>
      <w:r>
        <w:rPr>
          <w:sz w:val="21"/>
        </w:rPr>
        <w:t>who require overnight placement;</w:t>
      </w:r>
    </w:p>
    <w:p>
      <w:pPr>
        <w:pStyle w:val="ListParagraph"/>
        <w:numPr>
          <w:ilvl w:val="4"/>
          <w:numId w:val="43"/>
        </w:numPr>
        <w:tabs>
          <w:tab w:pos="1419" w:val="left" w:leader="none"/>
        </w:tabs>
        <w:spacing w:line="276" w:lineRule="auto" w:before="0" w:after="0"/>
        <w:ind w:left="1419" w:right="343" w:hanging="360"/>
        <w:jc w:val="left"/>
        <w:rPr>
          <w:sz w:val="21"/>
        </w:rPr>
      </w:pPr>
      <w:r>
        <w:rPr>
          <w:sz w:val="21"/>
        </w:rPr>
        <w:t>Detained Young People, who are youth committed to DYS’ care by the juvenile courts during the pendency of their juvenile cases;</w:t>
      </w:r>
    </w:p>
    <w:p>
      <w:pPr>
        <w:pStyle w:val="ListParagraph"/>
        <w:numPr>
          <w:ilvl w:val="4"/>
          <w:numId w:val="43"/>
        </w:numPr>
        <w:tabs>
          <w:tab w:pos="1419" w:val="left" w:leader="none"/>
        </w:tabs>
        <w:spacing w:line="276" w:lineRule="auto" w:before="0" w:after="0"/>
        <w:ind w:left="1419" w:right="342" w:hanging="360"/>
        <w:jc w:val="left"/>
        <w:rPr>
          <w:sz w:val="21"/>
        </w:rPr>
      </w:pPr>
      <w:r>
        <w:rPr>
          <w:sz w:val="21"/>
        </w:rPr>
        <w:t>Committed Young People, who are youth committed to DYS’ custody in resolution of a pending</w:t>
      </w:r>
      <w:r>
        <w:rPr>
          <w:spacing w:val="80"/>
          <w:sz w:val="21"/>
        </w:rPr>
        <w:t> </w:t>
      </w:r>
      <w:r>
        <w:rPr>
          <w:sz w:val="21"/>
        </w:rPr>
        <w:t>delinquency or youthful offender matter; and</w:t>
      </w:r>
    </w:p>
    <w:p>
      <w:pPr>
        <w:pStyle w:val="ListParagraph"/>
        <w:numPr>
          <w:ilvl w:val="4"/>
          <w:numId w:val="43"/>
        </w:numPr>
        <w:tabs>
          <w:tab w:pos="1419" w:val="left" w:leader="none"/>
        </w:tabs>
        <w:spacing w:line="276" w:lineRule="auto" w:before="0" w:after="0"/>
        <w:ind w:left="1419" w:right="342" w:hanging="360"/>
        <w:jc w:val="left"/>
        <w:rPr>
          <w:sz w:val="21"/>
        </w:rPr>
      </w:pPr>
      <w:r>
        <w:rPr>
          <w:sz w:val="21"/>
        </w:rPr>
        <w:t>Youth</w:t>
      </w:r>
      <w:r>
        <w:rPr>
          <w:spacing w:val="40"/>
          <w:sz w:val="21"/>
        </w:rPr>
        <w:t> </w:t>
      </w:r>
      <w:r>
        <w:rPr>
          <w:sz w:val="21"/>
        </w:rPr>
        <w:t>Engaged</w:t>
      </w:r>
      <w:r>
        <w:rPr>
          <w:spacing w:val="40"/>
          <w:sz w:val="21"/>
        </w:rPr>
        <w:t> </w:t>
      </w:r>
      <w:r>
        <w:rPr>
          <w:sz w:val="21"/>
        </w:rPr>
        <w:t>in</w:t>
      </w:r>
      <w:r>
        <w:rPr>
          <w:spacing w:val="40"/>
          <w:sz w:val="21"/>
        </w:rPr>
        <w:t> </w:t>
      </w:r>
      <w:r>
        <w:rPr>
          <w:sz w:val="21"/>
        </w:rPr>
        <w:t>Services</w:t>
      </w:r>
      <w:r>
        <w:rPr>
          <w:spacing w:val="40"/>
          <w:sz w:val="21"/>
        </w:rPr>
        <w:t> </w:t>
      </w:r>
      <w:r>
        <w:rPr>
          <w:sz w:val="21"/>
        </w:rPr>
        <w:t>(YES),</w:t>
      </w:r>
      <w:r>
        <w:rPr>
          <w:spacing w:val="40"/>
          <w:sz w:val="21"/>
        </w:rPr>
        <w:t> </w:t>
      </w:r>
      <w:r>
        <w:rPr>
          <w:sz w:val="21"/>
        </w:rPr>
        <w:t>who</w:t>
      </w:r>
      <w:r>
        <w:rPr>
          <w:spacing w:val="40"/>
          <w:sz w:val="21"/>
        </w:rPr>
        <w:t> </w:t>
      </w:r>
      <w:r>
        <w:rPr>
          <w:sz w:val="21"/>
        </w:rPr>
        <w:t>are</w:t>
      </w:r>
      <w:r>
        <w:rPr>
          <w:spacing w:val="40"/>
          <w:sz w:val="21"/>
        </w:rPr>
        <w:t> </w:t>
      </w:r>
      <w:r>
        <w:rPr>
          <w:sz w:val="21"/>
        </w:rPr>
        <w:t>youth</w:t>
      </w:r>
      <w:r>
        <w:rPr>
          <w:spacing w:val="40"/>
          <w:sz w:val="21"/>
        </w:rPr>
        <w:t> </w:t>
      </w:r>
      <w:r>
        <w:rPr>
          <w:sz w:val="21"/>
        </w:rPr>
        <w:t>receiving</w:t>
      </w:r>
      <w:r>
        <w:rPr>
          <w:spacing w:val="40"/>
          <w:sz w:val="21"/>
        </w:rPr>
        <w:t> </w:t>
      </w:r>
      <w:r>
        <w:rPr>
          <w:sz w:val="21"/>
        </w:rPr>
        <w:t>voluntary</w:t>
      </w:r>
      <w:r>
        <w:rPr>
          <w:spacing w:val="40"/>
          <w:sz w:val="21"/>
        </w:rPr>
        <w:t> </w:t>
      </w:r>
      <w:r>
        <w:rPr>
          <w:sz w:val="21"/>
        </w:rPr>
        <w:t>services</w:t>
      </w:r>
      <w:r>
        <w:rPr>
          <w:spacing w:val="40"/>
          <w:sz w:val="21"/>
        </w:rPr>
        <w:t> </w:t>
      </w:r>
      <w:r>
        <w:rPr>
          <w:sz w:val="21"/>
        </w:rPr>
        <w:t>from</w:t>
      </w:r>
      <w:r>
        <w:rPr>
          <w:spacing w:val="40"/>
          <w:sz w:val="21"/>
        </w:rPr>
        <w:t> </w:t>
      </w:r>
      <w:r>
        <w:rPr>
          <w:sz w:val="21"/>
        </w:rPr>
        <w:t>DYS</w:t>
      </w:r>
      <w:r>
        <w:rPr>
          <w:spacing w:val="40"/>
          <w:sz w:val="21"/>
        </w:rPr>
        <w:t> </w:t>
      </w:r>
      <w:r>
        <w:rPr>
          <w:sz w:val="21"/>
        </w:rPr>
        <w:t>post- </w:t>
      </w:r>
      <w:r>
        <w:rPr>
          <w:spacing w:val="-2"/>
          <w:sz w:val="21"/>
        </w:rPr>
        <w:t>discharge.</w:t>
      </w:r>
    </w:p>
    <w:p>
      <w:pPr>
        <w:pStyle w:val="BodyText"/>
        <w:spacing w:line="276" w:lineRule="auto" w:before="239"/>
        <w:ind w:left="483" w:right="343"/>
        <w:jc w:val="both"/>
      </w:pPr>
      <w:r>
        <w:rPr/>
        <w:t>For a decade, DYS has led the nation in developing and implementing policies and guidelines to prohibit discrimination and harassment against LGBTQ youth. The DYS policy and guidelines, which became effective in July 2014, were developed through collaboration with community advocates, including members of the Commission. DYS has received state and national recognition for its work on behalf of youth in the juvenile justice system.</w:t>
      </w:r>
    </w:p>
    <w:p>
      <w:pPr>
        <w:pStyle w:val="BodyText"/>
        <w:spacing w:line="276" w:lineRule="auto" w:before="241"/>
        <w:ind w:left="483" w:right="342"/>
        <w:jc w:val="both"/>
      </w:pPr>
      <w:r>
        <w:rPr/>
        <w:t>For many years, national research has suggested that LGBTQ youth - particularly QTBIPOC youth - are overrepresented within the juvenile justice system, as discussed in the above Advancing Justice section.</w:t>
      </w:r>
    </w:p>
    <w:p>
      <w:pPr>
        <w:spacing w:after="0" w:line="276" w:lineRule="auto"/>
        <w:jc w:val="both"/>
        <w:sectPr>
          <w:headerReference w:type="default" r:id="rId756"/>
          <w:footerReference w:type="default" r:id="rId757"/>
          <w:pgSz w:w="12240" w:h="15840"/>
          <w:pgMar w:header="804" w:footer="1231" w:top="1000" w:bottom="1420" w:left="960" w:right="1100"/>
        </w:sectPr>
      </w:pPr>
    </w:p>
    <w:p>
      <w:pPr>
        <w:pStyle w:val="BodyText"/>
        <w:spacing w:line="276" w:lineRule="auto" w:before="139"/>
        <w:ind w:left="483" w:right="342"/>
        <w:jc w:val="both"/>
      </w:pPr>
      <w:r>
        <w:rPr/>
        <w:t>However, DYS data indicates that only 7.1% of youth in DYS services identify as LGBTQ, though 83% of youth in its service identify as BIPOC. The Commission has worked with DYS for many years to explore ways</w:t>
      </w:r>
      <w:r>
        <w:rPr>
          <w:spacing w:val="-13"/>
        </w:rPr>
        <w:t> </w:t>
      </w:r>
      <w:r>
        <w:rPr/>
        <w:t>to</w:t>
      </w:r>
      <w:r>
        <w:rPr>
          <w:spacing w:val="-12"/>
        </w:rPr>
        <w:t> </w:t>
      </w:r>
      <w:r>
        <w:rPr/>
        <w:t>improve</w:t>
      </w:r>
      <w:r>
        <w:rPr>
          <w:spacing w:val="-13"/>
        </w:rPr>
        <w:t> </w:t>
      </w:r>
      <w:r>
        <w:rPr/>
        <w:t>DYS</w:t>
      </w:r>
      <w:r>
        <w:rPr>
          <w:spacing w:val="-12"/>
        </w:rPr>
        <w:t> </w:t>
      </w:r>
      <w:r>
        <w:rPr/>
        <w:t>services</w:t>
      </w:r>
      <w:r>
        <w:rPr>
          <w:spacing w:val="-13"/>
        </w:rPr>
        <w:t> </w:t>
      </w:r>
      <w:r>
        <w:rPr/>
        <w:t>through</w:t>
      </w:r>
      <w:r>
        <w:rPr>
          <w:spacing w:val="-12"/>
        </w:rPr>
        <w:t> </w:t>
      </w:r>
      <w:r>
        <w:rPr/>
        <w:t>policy</w:t>
      </w:r>
      <w:r>
        <w:rPr>
          <w:spacing w:val="-13"/>
        </w:rPr>
        <w:t> </w:t>
      </w:r>
      <w:r>
        <w:rPr/>
        <w:t>development,</w:t>
      </w:r>
      <w:r>
        <w:rPr>
          <w:spacing w:val="-12"/>
        </w:rPr>
        <w:t> </w:t>
      </w:r>
      <w:r>
        <w:rPr/>
        <w:t>trainings,</w:t>
      </w:r>
      <w:r>
        <w:rPr>
          <w:spacing w:val="-12"/>
        </w:rPr>
        <w:t> </w:t>
      </w:r>
      <w:r>
        <w:rPr/>
        <w:t>and</w:t>
      </w:r>
      <w:r>
        <w:rPr>
          <w:spacing w:val="-13"/>
        </w:rPr>
        <w:t> </w:t>
      </w:r>
      <w:r>
        <w:rPr/>
        <w:t>data</w:t>
      </w:r>
      <w:r>
        <w:rPr>
          <w:spacing w:val="-12"/>
        </w:rPr>
        <w:t> </w:t>
      </w:r>
      <w:r>
        <w:rPr/>
        <w:t>collection.</w:t>
      </w:r>
      <w:r>
        <w:rPr>
          <w:spacing w:val="-13"/>
        </w:rPr>
        <w:t> </w:t>
      </w:r>
      <w:r>
        <w:rPr/>
        <w:t>The</w:t>
      </w:r>
      <w:r>
        <w:rPr>
          <w:spacing w:val="-12"/>
        </w:rPr>
        <w:t> </w:t>
      </w:r>
      <w:r>
        <w:rPr/>
        <w:t>Commission looks forward to continuing this work in FY 2025.</w:t>
      </w:r>
    </w:p>
    <w:p>
      <w:pPr>
        <w:spacing w:before="238"/>
        <w:ind w:left="483" w:right="0" w:firstLine="0"/>
        <w:jc w:val="both"/>
        <w:rPr>
          <w:sz w:val="28"/>
        </w:rPr>
      </w:pPr>
      <w:r>
        <w:rPr>
          <w:color w:val="365F91"/>
          <w:sz w:val="28"/>
        </w:rPr>
        <w:t>FY</w:t>
      </w:r>
      <w:r>
        <w:rPr>
          <w:color w:val="365F91"/>
          <w:spacing w:val="-8"/>
          <w:sz w:val="28"/>
        </w:rPr>
        <w:t> </w:t>
      </w:r>
      <w:r>
        <w:rPr>
          <w:color w:val="365F91"/>
          <w:sz w:val="28"/>
        </w:rPr>
        <w:t>2025</w:t>
      </w:r>
      <w:r>
        <w:rPr>
          <w:color w:val="365F91"/>
          <w:spacing w:val="-9"/>
          <w:sz w:val="28"/>
        </w:rPr>
        <w:t> </w:t>
      </w:r>
      <w:r>
        <w:rPr>
          <w:color w:val="365F91"/>
          <w:sz w:val="28"/>
        </w:rPr>
        <w:t>Expanded</w:t>
      </w:r>
      <w:r>
        <w:rPr>
          <w:color w:val="365F91"/>
          <w:spacing w:val="-8"/>
          <w:sz w:val="28"/>
        </w:rPr>
        <w:t> </w:t>
      </w:r>
      <w:r>
        <w:rPr>
          <w:color w:val="365F91"/>
          <w:sz w:val="28"/>
        </w:rPr>
        <w:t>DYS</w:t>
      </w:r>
      <w:r>
        <w:rPr>
          <w:color w:val="365F91"/>
          <w:spacing w:val="-8"/>
          <w:sz w:val="28"/>
        </w:rPr>
        <w:t> </w:t>
      </w:r>
      <w:r>
        <w:rPr>
          <w:color w:val="365F91"/>
          <w:spacing w:val="-2"/>
          <w:sz w:val="28"/>
        </w:rPr>
        <w:t>Recommendations</w:t>
      </w:r>
    </w:p>
    <w:p>
      <w:pPr>
        <w:pStyle w:val="BodyText"/>
        <w:spacing w:before="11"/>
        <w:rPr>
          <w:sz w:val="3"/>
        </w:rPr>
      </w:pPr>
      <w:r>
        <w:rPr/>
        <mc:AlternateContent>
          <mc:Choice Requires="wps">
            <w:drawing>
              <wp:anchor distT="0" distB="0" distL="0" distR="0" allowOverlap="1" layoutInCell="1" locked="0" behindDoc="1" simplePos="0" relativeHeight="487719936">
                <wp:simplePos x="0" y="0"/>
                <wp:positionH relativeFrom="page">
                  <wp:posOffset>897636</wp:posOffset>
                </wp:positionH>
                <wp:positionV relativeFrom="paragraph">
                  <wp:posOffset>45562</wp:posOffset>
                </wp:positionV>
                <wp:extent cx="5976620" cy="6350"/>
                <wp:effectExtent l="0" t="0" r="0" b="0"/>
                <wp:wrapTopAndBottom/>
                <wp:docPr id="645" name="Graphic 645"/>
                <wp:cNvGraphicFramePr>
                  <a:graphicFrameLocks/>
                </wp:cNvGraphicFramePr>
                <a:graphic>
                  <a:graphicData uri="http://schemas.microsoft.com/office/word/2010/wordprocessingShape">
                    <wps:wsp>
                      <wps:cNvPr id="645" name="Graphic 645"/>
                      <wps:cNvSpPr/>
                      <wps:spPr>
                        <a:xfrm>
                          <a:off x="0" y="0"/>
                          <a:ext cx="5976620" cy="6350"/>
                        </a:xfrm>
                        <a:custGeom>
                          <a:avLst/>
                          <a:gdLst/>
                          <a:ahLst/>
                          <a:cxnLst/>
                          <a:rect l="l" t="t" r="r" b="b"/>
                          <a:pathLst>
                            <a:path w="5976620" h="6350">
                              <a:moveTo>
                                <a:pt x="5976366" y="0"/>
                              </a:moveTo>
                              <a:lnTo>
                                <a:pt x="0" y="0"/>
                              </a:lnTo>
                              <a:lnTo>
                                <a:pt x="0" y="6096"/>
                              </a:lnTo>
                              <a:lnTo>
                                <a:pt x="5976366" y="6096"/>
                              </a:lnTo>
                              <a:lnTo>
                                <a:pt x="5976366" y="0"/>
                              </a:lnTo>
                              <a:close/>
                            </a:path>
                          </a:pathLst>
                        </a:custGeom>
                        <a:solidFill>
                          <a:srgbClr val="4F81BC"/>
                        </a:solidFill>
                      </wps:spPr>
                      <wps:bodyPr wrap="square" lIns="0" tIns="0" rIns="0" bIns="0" rtlCol="0">
                        <a:prstTxWarp prst="textNoShape">
                          <a:avLst/>
                        </a:prstTxWarp>
                        <a:noAutofit/>
                      </wps:bodyPr>
                    </wps:wsp>
                  </a:graphicData>
                </a:graphic>
              </wp:anchor>
            </w:drawing>
          </mc:Choice>
          <mc:Fallback>
            <w:pict>
              <v:rect style="position:absolute;margin-left:70.680pt;margin-top:3.587578pt;width:470.58pt;height:.48pt;mso-position-horizontal-relative:page;mso-position-vertical-relative:paragraph;z-index:-15596544;mso-wrap-distance-left:0;mso-wrap-distance-right:0" id="docshape542" filled="true" fillcolor="#4f81bc" stroked="false">
                <v:fill type="solid"/>
                <w10:wrap type="topAndBottom"/>
              </v:rect>
            </w:pict>
          </mc:Fallback>
        </mc:AlternateContent>
      </w:r>
    </w:p>
    <w:p>
      <w:pPr>
        <w:numPr>
          <w:ilvl w:val="0"/>
          <w:numId w:val="44"/>
        </w:numPr>
        <w:tabs>
          <w:tab w:pos="481" w:val="left" w:leader="none"/>
          <w:tab w:pos="483" w:val="left" w:leader="none"/>
        </w:tabs>
        <w:spacing w:line="276" w:lineRule="auto" w:before="241"/>
        <w:ind w:left="483" w:right="343" w:hanging="360"/>
        <w:jc w:val="left"/>
        <w:rPr>
          <w:b/>
          <w:sz w:val="22"/>
        </w:rPr>
      </w:pPr>
      <w:r>
        <w:rPr>
          <w:b/>
          <w:sz w:val="22"/>
        </w:rPr>
        <w:t>Update SOGIE data standards, and continue to publish a critical analysis of data obtained on LGBTQ</w:t>
      </w:r>
      <w:r>
        <w:rPr>
          <w:b/>
          <w:spacing w:val="40"/>
          <w:sz w:val="22"/>
        </w:rPr>
        <w:t> </w:t>
      </w:r>
      <w:r>
        <w:rPr>
          <w:b/>
          <w:sz w:val="22"/>
        </w:rPr>
        <w:t>youth in DYS services.</w:t>
      </w:r>
    </w:p>
    <w:p>
      <w:pPr>
        <w:pStyle w:val="BodyText"/>
        <w:spacing w:line="276" w:lineRule="auto" w:before="239"/>
        <w:ind w:left="483" w:right="342"/>
        <w:jc w:val="both"/>
      </w:pPr>
      <w:r>
        <w:rPr/>
        <w:t>The Commission has previously noted the need for DYS to establish a more formal process for ensuring that its SOGIE data collection standards are routinely reviewed, which DYS has committed to doing, to better capture the actual number of LGBTQ youth within DYS programs and their experiences. The Commission</w:t>
      </w:r>
      <w:r>
        <w:rPr>
          <w:spacing w:val="-7"/>
        </w:rPr>
        <w:t> </w:t>
      </w:r>
      <w:r>
        <w:rPr/>
        <w:t>further</w:t>
      </w:r>
      <w:r>
        <w:rPr>
          <w:spacing w:val="-6"/>
        </w:rPr>
        <w:t> </w:t>
      </w:r>
      <w:r>
        <w:rPr/>
        <w:t>recommends</w:t>
      </w:r>
      <w:r>
        <w:rPr>
          <w:spacing w:val="-5"/>
        </w:rPr>
        <w:t> </w:t>
      </w:r>
      <w:r>
        <w:rPr/>
        <w:t>that</w:t>
      </w:r>
      <w:r>
        <w:rPr>
          <w:spacing w:val="-6"/>
        </w:rPr>
        <w:t> </w:t>
      </w:r>
      <w:r>
        <w:rPr/>
        <w:t>DYS</w:t>
      </w:r>
      <w:r>
        <w:rPr>
          <w:spacing w:val="-7"/>
        </w:rPr>
        <w:t> </w:t>
      </w:r>
      <w:r>
        <w:rPr/>
        <w:t>make</w:t>
      </w:r>
      <w:r>
        <w:rPr>
          <w:spacing w:val="-7"/>
        </w:rPr>
        <w:t> </w:t>
      </w:r>
      <w:r>
        <w:rPr/>
        <w:t>this</w:t>
      </w:r>
      <w:r>
        <w:rPr>
          <w:spacing w:val="-5"/>
        </w:rPr>
        <w:t> </w:t>
      </w:r>
      <w:r>
        <w:rPr/>
        <w:t>process</w:t>
      </w:r>
      <w:r>
        <w:rPr>
          <w:spacing w:val="-6"/>
        </w:rPr>
        <w:t> </w:t>
      </w:r>
      <w:r>
        <w:rPr/>
        <w:t>publicly</w:t>
      </w:r>
      <w:r>
        <w:rPr>
          <w:spacing w:val="-6"/>
        </w:rPr>
        <w:t> </w:t>
      </w:r>
      <w:r>
        <w:rPr/>
        <w:t>available</w:t>
      </w:r>
      <w:r>
        <w:rPr>
          <w:spacing w:val="-5"/>
        </w:rPr>
        <w:t> </w:t>
      </w:r>
      <w:r>
        <w:rPr/>
        <w:t>to</w:t>
      </w:r>
      <w:r>
        <w:rPr>
          <w:spacing w:val="-6"/>
        </w:rPr>
        <w:t> </w:t>
      </w:r>
      <w:r>
        <w:rPr/>
        <w:t>increase</w:t>
      </w:r>
      <w:r>
        <w:rPr>
          <w:spacing w:val="-7"/>
        </w:rPr>
        <w:t> </w:t>
      </w:r>
      <w:r>
        <w:rPr/>
        <w:t>accountability for</w:t>
      </w:r>
      <w:r>
        <w:rPr>
          <w:spacing w:val="-10"/>
        </w:rPr>
        <w:t> </w:t>
      </w:r>
      <w:r>
        <w:rPr/>
        <w:t>the</w:t>
      </w:r>
      <w:r>
        <w:rPr>
          <w:spacing w:val="-9"/>
        </w:rPr>
        <w:t> </w:t>
      </w:r>
      <w:r>
        <w:rPr/>
        <w:t>agency.</w:t>
      </w:r>
      <w:r>
        <w:rPr>
          <w:spacing w:val="-11"/>
        </w:rPr>
        <w:t> </w:t>
      </w:r>
      <w:r>
        <w:rPr/>
        <w:t>In</w:t>
      </w:r>
      <w:r>
        <w:rPr>
          <w:spacing w:val="-9"/>
        </w:rPr>
        <w:t> </w:t>
      </w:r>
      <w:r>
        <w:rPr/>
        <w:t>answer,</w:t>
      </w:r>
      <w:r>
        <w:rPr>
          <w:spacing w:val="-9"/>
        </w:rPr>
        <w:t> </w:t>
      </w:r>
      <w:r>
        <w:rPr/>
        <w:t>DYS</w:t>
      </w:r>
      <w:r>
        <w:rPr>
          <w:spacing w:val="-10"/>
        </w:rPr>
        <w:t> </w:t>
      </w:r>
      <w:r>
        <w:rPr/>
        <w:t>shared</w:t>
      </w:r>
      <w:r>
        <w:rPr>
          <w:spacing w:val="-10"/>
        </w:rPr>
        <w:t> </w:t>
      </w:r>
      <w:r>
        <w:rPr/>
        <w:t>a</w:t>
      </w:r>
      <w:r>
        <w:rPr>
          <w:spacing w:val="-7"/>
        </w:rPr>
        <w:t> </w:t>
      </w:r>
      <w:r>
        <w:rPr/>
        <w:t>number</w:t>
      </w:r>
      <w:r>
        <w:rPr>
          <w:spacing w:val="-10"/>
        </w:rPr>
        <w:t> </w:t>
      </w:r>
      <w:r>
        <w:rPr/>
        <w:t>of</w:t>
      </w:r>
      <w:r>
        <w:rPr>
          <w:spacing w:val="-9"/>
        </w:rPr>
        <w:t> </w:t>
      </w:r>
      <w:r>
        <w:rPr/>
        <w:t>updates</w:t>
      </w:r>
      <w:r>
        <w:rPr>
          <w:spacing w:val="-10"/>
        </w:rPr>
        <w:t> </w:t>
      </w:r>
      <w:r>
        <w:rPr/>
        <w:t>in</w:t>
      </w:r>
      <w:r>
        <w:rPr>
          <w:spacing w:val="-9"/>
        </w:rPr>
        <w:t> </w:t>
      </w:r>
      <w:r>
        <w:rPr/>
        <w:t>April</w:t>
      </w:r>
      <w:r>
        <w:rPr>
          <w:spacing w:val="-8"/>
        </w:rPr>
        <w:t> </w:t>
      </w:r>
      <w:r>
        <w:rPr/>
        <w:t>2024</w:t>
      </w:r>
      <w:r>
        <w:rPr>
          <w:spacing w:val="-10"/>
        </w:rPr>
        <w:t> </w:t>
      </w:r>
      <w:r>
        <w:rPr/>
        <w:t>on</w:t>
      </w:r>
      <w:r>
        <w:rPr>
          <w:spacing w:val="-9"/>
        </w:rPr>
        <w:t> </w:t>
      </w:r>
      <w:r>
        <w:rPr/>
        <w:t>their</w:t>
      </w:r>
      <w:r>
        <w:rPr>
          <w:spacing w:val="-9"/>
        </w:rPr>
        <w:t> </w:t>
      </w:r>
      <w:r>
        <w:rPr/>
        <w:t>ongoing</w:t>
      </w:r>
      <w:r>
        <w:rPr>
          <w:spacing w:val="-10"/>
        </w:rPr>
        <w:t> </w:t>
      </w:r>
      <w:r>
        <w:rPr/>
        <w:t>work</w:t>
      </w:r>
      <w:r>
        <w:rPr>
          <w:spacing w:val="-9"/>
        </w:rPr>
        <w:t> </w:t>
      </w:r>
      <w:r>
        <w:rPr/>
        <w:t>to</w:t>
      </w:r>
      <w:r>
        <w:rPr>
          <w:spacing w:val="-10"/>
        </w:rPr>
        <w:t> </w:t>
      </w:r>
      <w:r>
        <w:rPr/>
        <w:t>address the Commission’s recommendations.</w:t>
      </w:r>
    </w:p>
    <w:p>
      <w:pPr>
        <w:pStyle w:val="BodyText"/>
        <w:spacing w:line="276" w:lineRule="auto" w:before="241"/>
        <w:ind w:left="483" w:right="343"/>
        <w:jc w:val="both"/>
      </w:pPr>
      <w:r>
        <w:rPr/>
        <w:t>Regarding this SOGIE data recommendation, DYS shared that it</w:t>
      </w:r>
      <w:r>
        <w:rPr>
          <w:spacing w:val="-1"/>
        </w:rPr>
        <w:t> </w:t>
      </w:r>
      <w:r>
        <w:rPr/>
        <w:t>reviews it LGBTQ+ youth intake data and other significant data points on a quarterly basis to review the impact of its practices and ensure appropriate services. In FY 2024, the DYS SOGIE Data Collection Subcommittee identified some errors in its data management system that was leading to some data irregularities; this has been addressed with follow-up</w:t>
      </w:r>
      <w:r>
        <w:rPr>
          <w:spacing w:val="-4"/>
        </w:rPr>
        <w:t> </w:t>
      </w:r>
      <w:r>
        <w:rPr/>
        <w:t>plans</w:t>
      </w:r>
      <w:r>
        <w:rPr>
          <w:spacing w:val="-4"/>
        </w:rPr>
        <w:t> </w:t>
      </w:r>
      <w:r>
        <w:rPr/>
        <w:t>in</w:t>
      </w:r>
      <w:r>
        <w:rPr>
          <w:spacing w:val="-4"/>
        </w:rPr>
        <w:t> </w:t>
      </w:r>
      <w:r>
        <w:rPr/>
        <w:t>place</w:t>
      </w:r>
      <w:r>
        <w:rPr>
          <w:spacing w:val="-4"/>
        </w:rPr>
        <w:t> </w:t>
      </w:r>
      <w:r>
        <w:rPr/>
        <w:t>to</w:t>
      </w:r>
      <w:r>
        <w:rPr>
          <w:spacing w:val="-2"/>
        </w:rPr>
        <w:t> </w:t>
      </w:r>
      <w:r>
        <w:rPr/>
        <w:t>ensure</w:t>
      </w:r>
      <w:r>
        <w:rPr>
          <w:spacing w:val="-3"/>
        </w:rPr>
        <w:t> </w:t>
      </w:r>
      <w:r>
        <w:rPr/>
        <w:t>that</w:t>
      </w:r>
      <w:r>
        <w:rPr>
          <w:spacing w:val="-3"/>
        </w:rPr>
        <w:t> </w:t>
      </w:r>
      <w:r>
        <w:rPr/>
        <w:t>data</w:t>
      </w:r>
      <w:r>
        <w:rPr>
          <w:spacing w:val="-4"/>
        </w:rPr>
        <w:t> </w:t>
      </w:r>
      <w:r>
        <w:rPr/>
        <w:t>is</w:t>
      </w:r>
      <w:r>
        <w:rPr>
          <w:spacing w:val="-4"/>
        </w:rPr>
        <w:t> </w:t>
      </w:r>
      <w:r>
        <w:rPr/>
        <w:t>correctly</w:t>
      </w:r>
      <w:r>
        <w:rPr>
          <w:spacing w:val="-4"/>
        </w:rPr>
        <w:t> </w:t>
      </w:r>
      <w:r>
        <w:rPr/>
        <w:t>entered</w:t>
      </w:r>
      <w:r>
        <w:rPr>
          <w:spacing w:val="-3"/>
        </w:rPr>
        <w:t> </w:t>
      </w:r>
      <w:r>
        <w:rPr/>
        <w:t>into</w:t>
      </w:r>
      <w:r>
        <w:rPr>
          <w:spacing w:val="-3"/>
        </w:rPr>
        <w:t> </w:t>
      </w:r>
      <w:r>
        <w:rPr/>
        <w:t>the</w:t>
      </w:r>
      <w:r>
        <w:rPr>
          <w:spacing w:val="-3"/>
        </w:rPr>
        <w:t> </w:t>
      </w:r>
      <w:r>
        <w:rPr/>
        <w:t>system</w:t>
      </w:r>
      <w:r>
        <w:rPr>
          <w:spacing w:val="-3"/>
        </w:rPr>
        <w:t> </w:t>
      </w:r>
      <w:r>
        <w:rPr/>
        <w:t>moving</w:t>
      </w:r>
      <w:r>
        <w:rPr>
          <w:spacing w:val="-4"/>
        </w:rPr>
        <w:t> </w:t>
      </w:r>
      <w:r>
        <w:rPr/>
        <w:t>forward.</w:t>
      </w:r>
      <w:r>
        <w:rPr>
          <w:spacing w:val="-4"/>
        </w:rPr>
        <w:t> </w:t>
      </w:r>
      <w:r>
        <w:rPr/>
        <w:t>Further updates to the</w:t>
      </w:r>
      <w:r>
        <w:rPr>
          <w:spacing w:val="-1"/>
        </w:rPr>
        <w:t> </w:t>
      </w:r>
      <w:r>
        <w:rPr/>
        <w:t>data management</w:t>
      </w:r>
      <w:r>
        <w:rPr>
          <w:spacing w:val="-1"/>
        </w:rPr>
        <w:t> </w:t>
      </w:r>
      <w:r>
        <w:rPr/>
        <w:t>system</w:t>
      </w:r>
      <w:r>
        <w:rPr>
          <w:spacing w:val="-1"/>
        </w:rPr>
        <w:t> </w:t>
      </w:r>
      <w:r>
        <w:rPr/>
        <w:t>(JJEMS) are</w:t>
      </w:r>
      <w:r>
        <w:rPr>
          <w:spacing w:val="-1"/>
        </w:rPr>
        <w:t> </w:t>
      </w:r>
      <w:r>
        <w:rPr/>
        <w:t>expected to occur in the coming months, including data fields to better show youth’s chosen name and pronouns.</w:t>
      </w:r>
    </w:p>
    <w:p>
      <w:pPr>
        <w:pStyle w:val="BodyText"/>
        <w:spacing w:line="276" w:lineRule="auto" w:before="239"/>
        <w:ind w:left="483" w:right="342"/>
        <w:jc w:val="both"/>
      </w:pPr>
      <w:r>
        <w:rPr/>
        <w:t>As</w:t>
      </w:r>
      <w:r>
        <w:rPr>
          <w:spacing w:val="-9"/>
        </w:rPr>
        <w:t> </w:t>
      </w:r>
      <w:r>
        <w:rPr/>
        <w:t>has</w:t>
      </w:r>
      <w:r>
        <w:rPr>
          <w:spacing w:val="-9"/>
        </w:rPr>
        <w:t> </w:t>
      </w:r>
      <w:r>
        <w:rPr/>
        <w:t>been</w:t>
      </w:r>
      <w:r>
        <w:rPr>
          <w:spacing w:val="-8"/>
        </w:rPr>
        <w:t> </w:t>
      </w:r>
      <w:r>
        <w:rPr/>
        <w:t>previously</w:t>
      </w:r>
      <w:r>
        <w:rPr>
          <w:spacing w:val="-9"/>
        </w:rPr>
        <w:t> </w:t>
      </w:r>
      <w:r>
        <w:rPr/>
        <w:t>shared</w:t>
      </w:r>
      <w:r>
        <w:rPr>
          <w:spacing w:val="-9"/>
        </w:rPr>
        <w:t> </w:t>
      </w:r>
      <w:r>
        <w:rPr/>
        <w:t>with</w:t>
      </w:r>
      <w:r>
        <w:rPr>
          <w:spacing w:val="-8"/>
        </w:rPr>
        <w:t> </w:t>
      </w:r>
      <w:r>
        <w:rPr/>
        <w:t>the</w:t>
      </w:r>
      <w:r>
        <w:rPr>
          <w:spacing w:val="-8"/>
        </w:rPr>
        <w:t> </w:t>
      </w:r>
      <w:r>
        <w:rPr/>
        <w:t>Commission,</w:t>
      </w:r>
      <w:r>
        <w:rPr>
          <w:spacing w:val="-9"/>
        </w:rPr>
        <w:t> </w:t>
      </w:r>
      <w:r>
        <w:rPr/>
        <w:t>roughly</w:t>
      </w:r>
      <w:r>
        <w:rPr>
          <w:spacing w:val="-9"/>
        </w:rPr>
        <w:t> </w:t>
      </w:r>
      <w:r>
        <w:rPr/>
        <w:t>a</w:t>
      </w:r>
      <w:r>
        <w:rPr>
          <w:spacing w:val="-7"/>
        </w:rPr>
        <w:t> </w:t>
      </w:r>
      <w:r>
        <w:rPr/>
        <w:t>quarter</w:t>
      </w:r>
      <w:r>
        <w:rPr>
          <w:spacing w:val="-9"/>
        </w:rPr>
        <w:t> </w:t>
      </w:r>
      <w:r>
        <w:rPr/>
        <w:t>of</w:t>
      </w:r>
      <w:r>
        <w:rPr>
          <w:spacing w:val="-8"/>
        </w:rPr>
        <w:t> </w:t>
      </w:r>
      <w:r>
        <w:rPr/>
        <w:t>DYS</w:t>
      </w:r>
      <w:r>
        <w:rPr>
          <w:spacing w:val="-8"/>
        </w:rPr>
        <w:t> </w:t>
      </w:r>
      <w:r>
        <w:rPr/>
        <w:t>youth</w:t>
      </w:r>
      <w:r>
        <w:rPr>
          <w:spacing w:val="-8"/>
        </w:rPr>
        <w:t> </w:t>
      </w:r>
      <w:r>
        <w:rPr/>
        <w:t>have</w:t>
      </w:r>
      <w:r>
        <w:rPr>
          <w:spacing w:val="-8"/>
        </w:rPr>
        <w:t> </w:t>
      </w:r>
      <w:r>
        <w:rPr/>
        <w:t>stated</w:t>
      </w:r>
      <w:r>
        <w:rPr>
          <w:spacing w:val="-8"/>
        </w:rPr>
        <w:t> </w:t>
      </w:r>
      <w:r>
        <w:rPr/>
        <w:t>that</w:t>
      </w:r>
      <w:r>
        <w:rPr>
          <w:spacing w:val="-8"/>
        </w:rPr>
        <w:t> </w:t>
      </w:r>
      <w:r>
        <w:rPr/>
        <w:t>they have a fear of being at DYS, with the vast majority of these youth - per DYS - identifying as LGBTQ+. However, as noted by DYS and agreed with by the Commission, the current question structure does not allow</w:t>
      </w:r>
      <w:r>
        <w:rPr>
          <w:spacing w:val="-5"/>
        </w:rPr>
        <w:t> </w:t>
      </w:r>
      <w:r>
        <w:rPr/>
        <w:t>for</w:t>
      </w:r>
      <w:r>
        <w:rPr>
          <w:spacing w:val="-5"/>
        </w:rPr>
        <w:t> </w:t>
      </w:r>
      <w:r>
        <w:rPr/>
        <w:t>a</w:t>
      </w:r>
      <w:r>
        <w:rPr>
          <w:spacing w:val="-4"/>
        </w:rPr>
        <w:t> </w:t>
      </w:r>
      <w:r>
        <w:rPr/>
        <w:t>nuanced</w:t>
      </w:r>
      <w:r>
        <w:rPr>
          <w:spacing w:val="-4"/>
        </w:rPr>
        <w:t> </w:t>
      </w:r>
      <w:r>
        <w:rPr/>
        <w:t>understanding</w:t>
      </w:r>
      <w:r>
        <w:rPr>
          <w:spacing w:val="-6"/>
        </w:rPr>
        <w:t> </w:t>
      </w:r>
      <w:r>
        <w:rPr/>
        <w:t>of</w:t>
      </w:r>
      <w:r>
        <w:rPr>
          <w:spacing w:val="-4"/>
        </w:rPr>
        <w:t> </w:t>
      </w:r>
      <w:r>
        <w:rPr/>
        <w:t>why</w:t>
      </w:r>
      <w:r>
        <w:rPr>
          <w:spacing w:val="-5"/>
        </w:rPr>
        <w:t> </w:t>
      </w:r>
      <w:r>
        <w:rPr/>
        <w:t>the</w:t>
      </w:r>
      <w:r>
        <w:rPr>
          <w:spacing w:val="-4"/>
        </w:rPr>
        <w:t> </w:t>
      </w:r>
      <w:r>
        <w:rPr/>
        <w:t>youth</w:t>
      </w:r>
      <w:r>
        <w:rPr>
          <w:spacing w:val="-3"/>
        </w:rPr>
        <w:t> </w:t>
      </w:r>
      <w:r>
        <w:rPr/>
        <w:t>are</w:t>
      </w:r>
      <w:r>
        <w:rPr>
          <w:spacing w:val="-6"/>
        </w:rPr>
        <w:t> </w:t>
      </w:r>
      <w:r>
        <w:rPr/>
        <w:t>fearful</w:t>
      </w:r>
      <w:r>
        <w:rPr>
          <w:spacing w:val="-4"/>
        </w:rPr>
        <w:t> </w:t>
      </w:r>
      <w:r>
        <w:rPr/>
        <w:t>of</w:t>
      </w:r>
      <w:r>
        <w:rPr>
          <w:spacing w:val="-4"/>
        </w:rPr>
        <w:t> </w:t>
      </w:r>
      <w:r>
        <w:rPr/>
        <w:t>engaging</w:t>
      </w:r>
      <w:r>
        <w:rPr>
          <w:spacing w:val="-6"/>
        </w:rPr>
        <w:t> </w:t>
      </w:r>
      <w:r>
        <w:rPr/>
        <w:t>with</w:t>
      </w:r>
      <w:r>
        <w:rPr>
          <w:spacing w:val="-6"/>
        </w:rPr>
        <w:t> </w:t>
      </w:r>
      <w:r>
        <w:rPr/>
        <w:t>DYS;</w:t>
      </w:r>
      <w:r>
        <w:rPr>
          <w:spacing w:val="-4"/>
        </w:rPr>
        <w:t> </w:t>
      </w:r>
      <w:r>
        <w:rPr/>
        <w:t>DYS</w:t>
      </w:r>
      <w:r>
        <w:rPr>
          <w:spacing w:val="-6"/>
        </w:rPr>
        <w:t> </w:t>
      </w:r>
      <w:r>
        <w:rPr/>
        <w:t>shared</w:t>
      </w:r>
      <w:r>
        <w:rPr>
          <w:spacing w:val="-6"/>
        </w:rPr>
        <w:t> </w:t>
      </w:r>
      <w:r>
        <w:rPr/>
        <w:t>that</w:t>
      </w:r>
      <w:r>
        <w:rPr>
          <w:spacing w:val="-5"/>
        </w:rPr>
        <w:t> </w:t>
      </w:r>
      <w:r>
        <w:rPr/>
        <w:t>its data</w:t>
      </w:r>
      <w:r>
        <w:rPr>
          <w:spacing w:val="-8"/>
        </w:rPr>
        <w:t> </w:t>
      </w:r>
      <w:r>
        <w:rPr/>
        <w:t>subcommittee</w:t>
      </w:r>
      <w:r>
        <w:rPr>
          <w:spacing w:val="-8"/>
        </w:rPr>
        <w:t> </w:t>
      </w:r>
      <w:r>
        <w:rPr/>
        <w:t>is</w:t>
      </w:r>
      <w:r>
        <w:rPr>
          <w:spacing w:val="-7"/>
        </w:rPr>
        <w:t> </w:t>
      </w:r>
      <w:r>
        <w:rPr/>
        <w:t>currently</w:t>
      </w:r>
      <w:r>
        <w:rPr>
          <w:spacing w:val="-7"/>
        </w:rPr>
        <w:t> </w:t>
      </w:r>
      <w:r>
        <w:rPr/>
        <w:t>reviewing</w:t>
      </w:r>
      <w:r>
        <w:rPr>
          <w:spacing w:val="-8"/>
        </w:rPr>
        <w:t> </w:t>
      </w:r>
      <w:r>
        <w:rPr/>
        <w:t>its</w:t>
      </w:r>
      <w:r>
        <w:rPr>
          <w:spacing w:val="-7"/>
        </w:rPr>
        <w:t> </w:t>
      </w:r>
      <w:r>
        <w:rPr/>
        <w:t>intake</w:t>
      </w:r>
      <w:r>
        <w:rPr>
          <w:spacing w:val="-6"/>
        </w:rPr>
        <w:t> </w:t>
      </w:r>
      <w:r>
        <w:rPr/>
        <w:t>questions</w:t>
      </w:r>
      <w:r>
        <w:rPr>
          <w:spacing w:val="-7"/>
        </w:rPr>
        <w:t> </w:t>
      </w:r>
      <w:r>
        <w:rPr/>
        <w:t>and</w:t>
      </w:r>
      <w:r>
        <w:rPr>
          <w:spacing w:val="-9"/>
        </w:rPr>
        <w:t> </w:t>
      </w:r>
      <w:r>
        <w:rPr/>
        <w:t>will</w:t>
      </w:r>
      <w:r>
        <w:rPr>
          <w:spacing w:val="-6"/>
        </w:rPr>
        <w:t> </w:t>
      </w:r>
      <w:r>
        <w:rPr/>
        <w:t>be</w:t>
      </w:r>
      <w:r>
        <w:rPr>
          <w:spacing w:val="-8"/>
        </w:rPr>
        <w:t> </w:t>
      </w:r>
      <w:r>
        <w:rPr/>
        <w:t>updating</w:t>
      </w:r>
      <w:r>
        <w:rPr>
          <w:spacing w:val="-8"/>
        </w:rPr>
        <w:t> </w:t>
      </w:r>
      <w:r>
        <w:rPr/>
        <w:t>the</w:t>
      </w:r>
      <w:r>
        <w:rPr>
          <w:spacing w:val="-8"/>
        </w:rPr>
        <w:t> </w:t>
      </w:r>
      <w:r>
        <w:rPr/>
        <w:t>language</w:t>
      </w:r>
      <w:r>
        <w:rPr>
          <w:spacing w:val="-8"/>
        </w:rPr>
        <w:t> </w:t>
      </w:r>
      <w:r>
        <w:rPr/>
        <w:t>to</w:t>
      </w:r>
      <w:r>
        <w:rPr>
          <w:spacing w:val="-7"/>
        </w:rPr>
        <w:t> </w:t>
      </w:r>
      <w:r>
        <w:rPr/>
        <w:t>better capture this information. The Commission further recommends that DYS share more information about the</w:t>
      </w:r>
      <w:r>
        <w:rPr>
          <w:spacing w:val="-1"/>
        </w:rPr>
        <w:t> </w:t>
      </w:r>
      <w:r>
        <w:rPr/>
        <w:t>experiences</w:t>
      </w:r>
      <w:r>
        <w:rPr>
          <w:spacing w:val="-1"/>
        </w:rPr>
        <w:t> </w:t>
      </w:r>
      <w:r>
        <w:rPr/>
        <w:t>of</w:t>
      </w:r>
      <w:r>
        <w:rPr>
          <w:spacing w:val="-2"/>
        </w:rPr>
        <w:t> </w:t>
      </w:r>
      <w:r>
        <w:rPr/>
        <w:t>DYS</w:t>
      </w:r>
      <w:r>
        <w:rPr>
          <w:spacing w:val="-1"/>
        </w:rPr>
        <w:t> </w:t>
      </w:r>
      <w:r>
        <w:rPr/>
        <w:t>youth</w:t>
      </w:r>
      <w:r>
        <w:rPr>
          <w:spacing w:val="-1"/>
        </w:rPr>
        <w:t> </w:t>
      </w:r>
      <w:r>
        <w:rPr/>
        <w:t>in</w:t>
      </w:r>
      <w:r>
        <w:rPr>
          <w:spacing w:val="-1"/>
        </w:rPr>
        <w:t> </w:t>
      </w:r>
      <w:r>
        <w:rPr/>
        <w:t>DYS</w:t>
      </w:r>
      <w:r>
        <w:rPr>
          <w:spacing w:val="-1"/>
        </w:rPr>
        <w:t> </w:t>
      </w:r>
      <w:r>
        <w:rPr/>
        <w:t>custody</w:t>
      </w:r>
      <w:r>
        <w:rPr>
          <w:spacing w:val="-2"/>
        </w:rPr>
        <w:t> </w:t>
      </w:r>
      <w:r>
        <w:rPr/>
        <w:t>beyond</w:t>
      </w:r>
      <w:r>
        <w:rPr>
          <w:spacing w:val="-1"/>
        </w:rPr>
        <w:t> </w:t>
      </w:r>
      <w:r>
        <w:rPr/>
        <w:t>the</w:t>
      </w:r>
      <w:r>
        <w:rPr>
          <w:spacing w:val="-1"/>
        </w:rPr>
        <w:t> </w:t>
      </w:r>
      <w:r>
        <w:rPr/>
        <w:t>data</w:t>
      </w:r>
      <w:r>
        <w:rPr>
          <w:spacing w:val="-2"/>
        </w:rPr>
        <w:t> </w:t>
      </w:r>
      <w:r>
        <w:rPr/>
        <w:t>received</w:t>
      </w:r>
      <w:r>
        <w:rPr>
          <w:spacing w:val="-2"/>
        </w:rPr>
        <w:t> </w:t>
      </w:r>
      <w:r>
        <w:rPr/>
        <w:t>at</w:t>
      </w:r>
      <w:r>
        <w:rPr>
          <w:spacing w:val="-1"/>
        </w:rPr>
        <w:t> </w:t>
      </w:r>
      <w:r>
        <w:rPr/>
        <w:t>intake -</w:t>
      </w:r>
      <w:r>
        <w:rPr>
          <w:spacing w:val="-2"/>
        </w:rPr>
        <w:t> </w:t>
      </w:r>
      <w:r>
        <w:rPr/>
        <w:t>perhaps through</w:t>
      </w:r>
      <w:r>
        <w:rPr>
          <w:spacing w:val="-2"/>
        </w:rPr>
        <w:t> </w:t>
      </w:r>
      <w:r>
        <w:rPr/>
        <w:t>focus groups or recurring conversations throughout the year.</w:t>
      </w:r>
    </w:p>
    <w:p>
      <w:pPr>
        <w:pStyle w:val="BodyText"/>
        <w:spacing w:line="276" w:lineRule="auto" w:before="240"/>
        <w:ind w:left="483" w:right="343"/>
        <w:jc w:val="both"/>
      </w:pPr>
      <w:r>
        <w:rPr/>
        <w:t>Overall, the agency has committed to ensuring that its work is more transparent and public-facing. In its upcoming FY 2023 Annual Report, DYS notes that the report will feature a new section on its work with the Commission and the ongoing work that the agency does to support LGBTQ youth. While the Commission</w:t>
      </w:r>
      <w:r>
        <w:rPr>
          <w:spacing w:val="-9"/>
        </w:rPr>
        <w:t> </w:t>
      </w:r>
      <w:r>
        <w:rPr/>
        <w:t>has</w:t>
      </w:r>
      <w:r>
        <w:rPr>
          <w:spacing w:val="-9"/>
        </w:rPr>
        <w:t> </w:t>
      </w:r>
      <w:r>
        <w:rPr/>
        <w:t>yet</w:t>
      </w:r>
      <w:r>
        <w:rPr>
          <w:spacing w:val="-9"/>
        </w:rPr>
        <w:t> </w:t>
      </w:r>
      <w:r>
        <w:rPr/>
        <w:t>to</w:t>
      </w:r>
      <w:r>
        <w:rPr>
          <w:spacing w:val="-8"/>
        </w:rPr>
        <w:t> </w:t>
      </w:r>
      <w:r>
        <w:rPr/>
        <w:t>see</w:t>
      </w:r>
      <w:r>
        <w:rPr>
          <w:spacing w:val="-9"/>
        </w:rPr>
        <w:t> </w:t>
      </w:r>
      <w:r>
        <w:rPr/>
        <w:t>DYS’</w:t>
      </w:r>
      <w:r>
        <w:rPr>
          <w:spacing w:val="-8"/>
        </w:rPr>
        <w:t> </w:t>
      </w:r>
      <w:r>
        <w:rPr/>
        <w:t>most</w:t>
      </w:r>
      <w:r>
        <w:rPr>
          <w:spacing w:val="-9"/>
        </w:rPr>
        <w:t> </w:t>
      </w:r>
      <w:r>
        <w:rPr/>
        <w:t>recent</w:t>
      </w:r>
      <w:r>
        <w:rPr>
          <w:spacing w:val="-9"/>
        </w:rPr>
        <w:t> </w:t>
      </w:r>
      <w:r>
        <w:rPr/>
        <w:t>annual</w:t>
      </w:r>
      <w:r>
        <w:rPr>
          <w:spacing w:val="-9"/>
        </w:rPr>
        <w:t> </w:t>
      </w:r>
      <w:r>
        <w:rPr/>
        <w:t>report,</w:t>
      </w:r>
      <w:r>
        <w:rPr>
          <w:spacing w:val="-9"/>
        </w:rPr>
        <w:t> </w:t>
      </w:r>
      <w:r>
        <w:rPr/>
        <w:t>it</w:t>
      </w:r>
      <w:r>
        <w:rPr>
          <w:spacing w:val="-9"/>
        </w:rPr>
        <w:t> </w:t>
      </w:r>
      <w:r>
        <w:rPr/>
        <w:t>appreciates</w:t>
      </w:r>
      <w:r>
        <w:rPr>
          <w:spacing w:val="-8"/>
        </w:rPr>
        <w:t> </w:t>
      </w:r>
      <w:r>
        <w:rPr/>
        <w:t>DYS’</w:t>
      </w:r>
      <w:r>
        <w:rPr>
          <w:spacing w:val="-8"/>
        </w:rPr>
        <w:t> </w:t>
      </w:r>
      <w:r>
        <w:rPr/>
        <w:t>commitment</w:t>
      </w:r>
      <w:r>
        <w:rPr>
          <w:spacing w:val="-9"/>
        </w:rPr>
        <w:t> </w:t>
      </w:r>
      <w:r>
        <w:rPr/>
        <w:t>from</w:t>
      </w:r>
      <w:r>
        <w:rPr>
          <w:spacing w:val="-9"/>
        </w:rPr>
        <w:t> </w:t>
      </w:r>
      <w:r>
        <w:rPr/>
        <w:t>FY</w:t>
      </w:r>
      <w:r>
        <w:rPr>
          <w:spacing w:val="-9"/>
        </w:rPr>
        <w:t> </w:t>
      </w:r>
      <w:r>
        <w:rPr/>
        <w:t>2023 to ensure that more data on LGBTQ youth in DYS programs will be published.</w:t>
      </w:r>
    </w:p>
    <w:p>
      <w:pPr>
        <w:pStyle w:val="BodyText"/>
        <w:spacing w:line="276" w:lineRule="auto" w:before="241"/>
        <w:ind w:left="483" w:right="342"/>
        <w:jc w:val="both"/>
      </w:pPr>
      <w:r>
        <w:rPr/>
        <w:t>The Commission appreciates the </w:t>
      </w:r>
      <w:hyperlink r:id="rId758">
        <w:r>
          <w:rPr>
            <w:u w:val="single"/>
          </w:rPr>
          <w:t>analysis of recidivism rates</w:t>
        </w:r>
      </w:hyperlink>
      <w:r>
        <w:rPr>
          <w:u w:val="none"/>
        </w:rPr>
        <w:t> for its 2018 cohort of youth that was published in August 2023; this data showed that LGBTQ youth had a 27.8% recidivism rate compared to 19.3%</w:t>
      </w:r>
      <w:r>
        <w:rPr>
          <w:spacing w:val="-13"/>
          <w:u w:val="none"/>
        </w:rPr>
        <w:t> </w:t>
      </w:r>
      <w:r>
        <w:rPr>
          <w:u w:val="none"/>
        </w:rPr>
        <w:t>for</w:t>
      </w:r>
      <w:r>
        <w:rPr>
          <w:spacing w:val="-12"/>
          <w:u w:val="none"/>
        </w:rPr>
        <w:t> </w:t>
      </w:r>
      <w:r>
        <w:rPr>
          <w:u w:val="none"/>
        </w:rPr>
        <w:t>non-LGBTQ</w:t>
      </w:r>
      <w:r>
        <w:rPr>
          <w:spacing w:val="-13"/>
          <w:u w:val="none"/>
        </w:rPr>
        <w:t> </w:t>
      </w:r>
      <w:r>
        <w:rPr>
          <w:u w:val="none"/>
        </w:rPr>
        <w:t>youth.</w:t>
      </w:r>
      <w:r>
        <w:rPr>
          <w:spacing w:val="-12"/>
          <w:u w:val="none"/>
        </w:rPr>
        <w:t> </w:t>
      </w:r>
      <w:r>
        <w:rPr>
          <w:u w:val="none"/>
        </w:rPr>
        <w:t>At</w:t>
      </w:r>
      <w:r>
        <w:rPr>
          <w:spacing w:val="-12"/>
          <w:u w:val="none"/>
        </w:rPr>
        <w:t> </w:t>
      </w:r>
      <w:r>
        <w:rPr>
          <w:u w:val="none"/>
        </w:rPr>
        <w:t>the</w:t>
      </w:r>
      <w:r>
        <w:rPr>
          <w:spacing w:val="-13"/>
          <w:u w:val="none"/>
        </w:rPr>
        <w:t> </w:t>
      </w:r>
      <w:r>
        <w:rPr>
          <w:u w:val="none"/>
        </w:rPr>
        <w:t>time,</w:t>
      </w:r>
      <w:r>
        <w:rPr>
          <w:spacing w:val="-11"/>
          <w:u w:val="none"/>
        </w:rPr>
        <w:t> </w:t>
      </w:r>
      <w:r>
        <w:rPr>
          <w:u w:val="none"/>
        </w:rPr>
        <w:t>LGBTQ</w:t>
      </w:r>
      <w:r>
        <w:rPr>
          <w:spacing w:val="-13"/>
          <w:u w:val="none"/>
        </w:rPr>
        <w:t> </w:t>
      </w:r>
      <w:r>
        <w:rPr>
          <w:u w:val="none"/>
        </w:rPr>
        <w:t>youth</w:t>
      </w:r>
      <w:r>
        <w:rPr>
          <w:spacing w:val="-12"/>
          <w:u w:val="none"/>
        </w:rPr>
        <w:t> </w:t>
      </w:r>
      <w:r>
        <w:rPr>
          <w:u w:val="none"/>
        </w:rPr>
        <w:t>made</w:t>
      </w:r>
      <w:r>
        <w:rPr>
          <w:spacing w:val="-13"/>
          <w:u w:val="none"/>
        </w:rPr>
        <w:t> </w:t>
      </w:r>
      <w:r>
        <w:rPr>
          <w:u w:val="none"/>
        </w:rPr>
        <w:t>up</w:t>
      </w:r>
      <w:r>
        <w:rPr>
          <w:spacing w:val="-11"/>
          <w:u w:val="none"/>
        </w:rPr>
        <w:t> </w:t>
      </w:r>
      <w:r>
        <w:rPr>
          <w:u w:val="none"/>
        </w:rPr>
        <w:t>only</w:t>
      </w:r>
      <w:r>
        <w:rPr>
          <w:spacing w:val="-12"/>
          <w:u w:val="none"/>
        </w:rPr>
        <w:t> </w:t>
      </w:r>
      <w:r>
        <w:rPr>
          <w:u w:val="none"/>
        </w:rPr>
        <w:t>5.2%</w:t>
      </w:r>
      <w:r>
        <w:rPr>
          <w:spacing w:val="-12"/>
          <w:u w:val="none"/>
        </w:rPr>
        <w:t> </w:t>
      </w:r>
      <w:r>
        <w:rPr>
          <w:u w:val="none"/>
        </w:rPr>
        <w:t>of</w:t>
      </w:r>
      <w:r>
        <w:rPr>
          <w:spacing w:val="-13"/>
          <w:u w:val="none"/>
        </w:rPr>
        <w:t> </w:t>
      </w:r>
      <w:r>
        <w:rPr>
          <w:u w:val="none"/>
        </w:rPr>
        <w:t>DYS’</w:t>
      </w:r>
      <w:r>
        <w:rPr>
          <w:spacing w:val="-11"/>
          <w:u w:val="none"/>
        </w:rPr>
        <w:t> </w:t>
      </w:r>
      <w:r>
        <w:rPr>
          <w:u w:val="none"/>
        </w:rPr>
        <w:t>population</w:t>
      </w:r>
      <w:r>
        <w:rPr>
          <w:spacing w:val="-13"/>
          <w:u w:val="none"/>
        </w:rPr>
        <w:t> </w:t>
      </w:r>
      <w:r>
        <w:rPr>
          <w:u w:val="none"/>
        </w:rPr>
        <w:t>which,</w:t>
      </w:r>
      <w:r>
        <w:rPr>
          <w:spacing w:val="-12"/>
          <w:u w:val="none"/>
        </w:rPr>
        <w:t> </w:t>
      </w:r>
      <w:r>
        <w:rPr>
          <w:u w:val="none"/>
        </w:rPr>
        <w:t>while potentially</w:t>
      </w:r>
      <w:r>
        <w:rPr>
          <w:spacing w:val="19"/>
          <w:u w:val="none"/>
        </w:rPr>
        <w:t> </w:t>
      </w:r>
      <w:r>
        <w:rPr>
          <w:u w:val="none"/>
        </w:rPr>
        <w:t>meaning</w:t>
      </w:r>
      <w:r>
        <w:rPr>
          <w:spacing w:val="17"/>
          <w:u w:val="none"/>
        </w:rPr>
        <w:t> </w:t>
      </w:r>
      <w:r>
        <w:rPr>
          <w:u w:val="none"/>
        </w:rPr>
        <w:t>that</w:t>
      </w:r>
      <w:r>
        <w:rPr>
          <w:spacing w:val="17"/>
          <w:u w:val="none"/>
        </w:rPr>
        <w:t> </w:t>
      </w:r>
      <w:r>
        <w:rPr>
          <w:u w:val="none"/>
        </w:rPr>
        <w:t>the</w:t>
      </w:r>
      <w:r>
        <w:rPr>
          <w:spacing w:val="17"/>
          <w:u w:val="none"/>
        </w:rPr>
        <w:t> </w:t>
      </w:r>
      <w:r>
        <w:rPr>
          <w:u w:val="none"/>
        </w:rPr>
        <w:t>data</w:t>
      </w:r>
      <w:r>
        <w:rPr>
          <w:spacing w:val="18"/>
          <w:u w:val="none"/>
        </w:rPr>
        <w:t> </w:t>
      </w:r>
      <w:r>
        <w:rPr>
          <w:u w:val="none"/>
        </w:rPr>
        <w:t>is</w:t>
      </w:r>
      <w:r>
        <w:rPr>
          <w:spacing w:val="17"/>
          <w:u w:val="none"/>
        </w:rPr>
        <w:t> </w:t>
      </w:r>
      <w:r>
        <w:rPr>
          <w:u w:val="none"/>
        </w:rPr>
        <w:t>somewhat</w:t>
      </w:r>
      <w:r>
        <w:rPr>
          <w:spacing w:val="17"/>
          <w:u w:val="none"/>
        </w:rPr>
        <w:t> </w:t>
      </w:r>
      <w:r>
        <w:rPr>
          <w:u w:val="none"/>
        </w:rPr>
        <w:t>skewed,</w:t>
      </w:r>
      <w:r>
        <w:rPr>
          <w:spacing w:val="17"/>
          <w:u w:val="none"/>
        </w:rPr>
        <w:t> </w:t>
      </w:r>
      <w:r>
        <w:rPr>
          <w:u w:val="none"/>
        </w:rPr>
        <w:t>still</w:t>
      </w:r>
      <w:r>
        <w:rPr>
          <w:spacing w:val="18"/>
          <w:u w:val="none"/>
        </w:rPr>
        <w:t> </w:t>
      </w:r>
      <w:r>
        <w:rPr>
          <w:u w:val="none"/>
        </w:rPr>
        <w:t>suggests</w:t>
      </w:r>
      <w:r>
        <w:rPr>
          <w:spacing w:val="17"/>
          <w:u w:val="none"/>
        </w:rPr>
        <w:t> </w:t>
      </w:r>
      <w:r>
        <w:rPr>
          <w:u w:val="none"/>
        </w:rPr>
        <w:t>some</w:t>
      </w:r>
      <w:r>
        <w:rPr>
          <w:spacing w:val="19"/>
          <w:u w:val="none"/>
        </w:rPr>
        <w:t> </w:t>
      </w:r>
      <w:r>
        <w:rPr>
          <w:u w:val="none"/>
        </w:rPr>
        <w:t>concern</w:t>
      </w:r>
      <w:r>
        <w:rPr>
          <w:spacing w:val="17"/>
          <w:u w:val="none"/>
        </w:rPr>
        <w:t> </w:t>
      </w:r>
      <w:r>
        <w:rPr>
          <w:u w:val="none"/>
        </w:rPr>
        <w:t>about</w:t>
      </w:r>
      <w:r>
        <w:rPr>
          <w:spacing w:val="17"/>
          <w:u w:val="none"/>
        </w:rPr>
        <w:t> </w:t>
      </w:r>
      <w:r>
        <w:rPr>
          <w:u w:val="none"/>
        </w:rPr>
        <w:t>what</w:t>
      </w:r>
      <w:r>
        <w:rPr>
          <w:spacing w:val="17"/>
          <w:u w:val="none"/>
        </w:rPr>
        <w:t> </w:t>
      </w:r>
      <w:r>
        <w:rPr>
          <w:u w:val="none"/>
        </w:rPr>
        <w:t>other</w:t>
      </w:r>
    </w:p>
    <w:p>
      <w:pPr>
        <w:spacing w:after="0" w:line="276" w:lineRule="auto"/>
        <w:jc w:val="both"/>
        <w:sectPr>
          <w:pgSz w:w="12240" w:h="15840"/>
          <w:pgMar w:header="804" w:footer="1231" w:top="1000" w:bottom="1420" w:left="960" w:right="1100"/>
        </w:sectPr>
      </w:pPr>
    </w:p>
    <w:p>
      <w:pPr>
        <w:pStyle w:val="BodyText"/>
        <w:spacing w:line="276" w:lineRule="auto" w:before="139"/>
        <w:ind w:left="483" w:right="343"/>
        <w:jc w:val="both"/>
      </w:pPr>
      <w:r>
        <w:rPr/>
        <w:t>reasons may be leading to such a disparity. In its conclusion of this report, DYS noted that its LGBTQ+ Taskforce is interested in examining how the group’s efforts impact LGBTQ youth outcomes in future studies.</w:t>
      </w:r>
      <w:r>
        <w:rPr>
          <w:spacing w:val="-10"/>
        </w:rPr>
        <w:t> </w:t>
      </w:r>
      <w:r>
        <w:rPr/>
        <w:t>In</w:t>
      </w:r>
      <w:r>
        <w:rPr>
          <w:spacing w:val="-10"/>
        </w:rPr>
        <w:t> </w:t>
      </w:r>
      <w:r>
        <w:rPr/>
        <w:t>these</w:t>
      </w:r>
      <w:r>
        <w:rPr>
          <w:spacing w:val="-11"/>
        </w:rPr>
        <w:t> </w:t>
      </w:r>
      <w:r>
        <w:rPr/>
        <w:t>future</w:t>
      </w:r>
      <w:r>
        <w:rPr>
          <w:spacing w:val="-11"/>
        </w:rPr>
        <w:t> </w:t>
      </w:r>
      <w:r>
        <w:rPr/>
        <w:t>studies,</w:t>
      </w:r>
      <w:r>
        <w:rPr>
          <w:spacing w:val="-11"/>
        </w:rPr>
        <w:t> </w:t>
      </w:r>
      <w:r>
        <w:rPr/>
        <w:t>the</w:t>
      </w:r>
      <w:r>
        <w:rPr>
          <w:spacing w:val="-10"/>
        </w:rPr>
        <w:t> </w:t>
      </w:r>
      <w:r>
        <w:rPr/>
        <w:t>Commission</w:t>
      </w:r>
      <w:r>
        <w:rPr>
          <w:spacing w:val="-11"/>
        </w:rPr>
        <w:t> </w:t>
      </w:r>
      <w:r>
        <w:rPr/>
        <w:t>recommends</w:t>
      </w:r>
      <w:r>
        <w:rPr>
          <w:spacing w:val="-11"/>
        </w:rPr>
        <w:t> </w:t>
      </w:r>
      <w:r>
        <w:rPr/>
        <w:t>that</w:t>
      </w:r>
      <w:r>
        <w:rPr>
          <w:spacing w:val="-10"/>
        </w:rPr>
        <w:t> </w:t>
      </w:r>
      <w:r>
        <w:rPr/>
        <w:t>DYS</w:t>
      </w:r>
      <w:r>
        <w:rPr>
          <w:spacing w:val="-11"/>
        </w:rPr>
        <w:t> </w:t>
      </w:r>
      <w:r>
        <w:rPr/>
        <w:t>provides</w:t>
      </w:r>
      <w:r>
        <w:rPr>
          <w:spacing w:val="-10"/>
        </w:rPr>
        <w:t> </w:t>
      </w:r>
      <w:r>
        <w:rPr/>
        <w:t>more</w:t>
      </w:r>
      <w:r>
        <w:rPr>
          <w:spacing w:val="-11"/>
        </w:rPr>
        <w:t> </w:t>
      </w:r>
      <w:r>
        <w:rPr/>
        <w:t>of</w:t>
      </w:r>
      <w:r>
        <w:rPr>
          <w:spacing w:val="-11"/>
        </w:rPr>
        <w:t> </w:t>
      </w:r>
      <w:r>
        <w:rPr/>
        <w:t>an</w:t>
      </w:r>
      <w:r>
        <w:rPr>
          <w:spacing w:val="-11"/>
        </w:rPr>
        <w:t> </w:t>
      </w:r>
      <w:r>
        <w:rPr/>
        <w:t>intersectional analysis on available data, particularly around race, gender, and region. Finally the Commission recommends</w:t>
      </w:r>
      <w:r>
        <w:rPr>
          <w:spacing w:val="-5"/>
        </w:rPr>
        <w:t> </w:t>
      </w:r>
      <w:r>
        <w:rPr/>
        <w:t>that</w:t>
      </w:r>
      <w:r>
        <w:rPr>
          <w:spacing w:val="-6"/>
        </w:rPr>
        <w:t> </w:t>
      </w:r>
      <w:r>
        <w:rPr/>
        <w:t>DYS</w:t>
      </w:r>
      <w:r>
        <w:rPr>
          <w:spacing w:val="-7"/>
        </w:rPr>
        <w:t> </w:t>
      </w:r>
      <w:r>
        <w:rPr/>
        <w:t>report</w:t>
      </w:r>
      <w:r>
        <w:rPr>
          <w:spacing w:val="-6"/>
        </w:rPr>
        <w:t> </w:t>
      </w:r>
      <w:r>
        <w:rPr/>
        <w:t>on</w:t>
      </w:r>
      <w:r>
        <w:rPr>
          <w:spacing w:val="-7"/>
        </w:rPr>
        <w:t> </w:t>
      </w:r>
      <w:r>
        <w:rPr/>
        <w:t>its</w:t>
      </w:r>
      <w:r>
        <w:rPr>
          <w:spacing w:val="-6"/>
        </w:rPr>
        <w:t> </w:t>
      </w:r>
      <w:r>
        <w:rPr/>
        <w:t>work</w:t>
      </w:r>
      <w:r>
        <w:rPr>
          <w:spacing w:val="-5"/>
        </w:rPr>
        <w:t> </w:t>
      </w:r>
      <w:r>
        <w:rPr/>
        <w:t>to</w:t>
      </w:r>
      <w:r>
        <w:rPr>
          <w:spacing w:val="-6"/>
        </w:rPr>
        <w:t> </w:t>
      </w:r>
      <w:r>
        <w:rPr/>
        <w:t>address</w:t>
      </w:r>
      <w:r>
        <w:rPr>
          <w:spacing w:val="-6"/>
        </w:rPr>
        <w:t> </w:t>
      </w:r>
      <w:r>
        <w:rPr/>
        <w:t>compounded</w:t>
      </w:r>
      <w:r>
        <w:rPr>
          <w:spacing w:val="-6"/>
        </w:rPr>
        <w:t> </w:t>
      </w:r>
      <w:r>
        <w:rPr/>
        <w:t>trauma</w:t>
      </w:r>
      <w:r>
        <w:rPr>
          <w:spacing w:val="-6"/>
        </w:rPr>
        <w:t> </w:t>
      </w:r>
      <w:r>
        <w:rPr/>
        <w:t>for</w:t>
      </w:r>
      <w:r>
        <w:rPr>
          <w:spacing w:val="-6"/>
        </w:rPr>
        <w:t> </w:t>
      </w:r>
      <w:r>
        <w:rPr/>
        <w:t>DYS</w:t>
      </w:r>
      <w:r>
        <w:rPr>
          <w:spacing w:val="-6"/>
        </w:rPr>
        <w:t> </w:t>
      </w:r>
      <w:r>
        <w:rPr/>
        <w:t>youth</w:t>
      </w:r>
      <w:r>
        <w:rPr>
          <w:spacing w:val="-7"/>
        </w:rPr>
        <w:t> </w:t>
      </w:r>
      <w:r>
        <w:rPr/>
        <w:t>with</w:t>
      </w:r>
      <w:r>
        <w:rPr>
          <w:spacing w:val="-6"/>
        </w:rPr>
        <w:t> </w:t>
      </w:r>
      <w:r>
        <w:rPr/>
        <w:t>intersecting identities and the intersections of trauma and recidivism.</w:t>
      </w:r>
    </w:p>
    <w:p>
      <w:pPr>
        <w:numPr>
          <w:ilvl w:val="0"/>
          <w:numId w:val="44"/>
        </w:numPr>
        <w:tabs>
          <w:tab w:pos="481" w:val="left" w:leader="none"/>
          <w:tab w:pos="483" w:val="left" w:leader="none"/>
        </w:tabs>
        <w:spacing w:line="276" w:lineRule="auto" w:before="239"/>
        <w:ind w:left="483" w:right="342" w:hanging="360"/>
        <w:jc w:val="left"/>
        <w:rPr>
          <w:b/>
          <w:sz w:val="22"/>
        </w:rPr>
      </w:pPr>
      <w:r>
        <w:rPr>
          <w:b/>
          <w:sz w:val="22"/>
        </w:rPr>
        <w:t>Review existing curricula, programming, and supplemental materials to ensure availability of LGBTQ- affirming materials for youth and families.</w:t>
      </w:r>
    </w:p>
    <w:p>
      <w:pPr>
        <w:pStyle w:val="BodyText"/>
        <w:spacing w:line="276" w:lineRule="auto" w:before="240"/>
        <w:ind w:left="483" w:right="339"/>
        <w:jc w:val="both"/>
      </w:pPr>
      <w:r>
        <w:rPr/>
        <w:t>The</w:t>
      </w:r>
      <w:r>
        <w:rPr>
          <w:spacing w:val="-13"/>
        </w:rPr>
        <w:t> </w:t>
      </w:r>
      <w:r>
        <w:rPr/>
        <w:t>Commission</w:t>
      </w:r>
      <w:r>
        <w:rPr>
          <w:spacing w:val="-12"/>
        </w:rPr>
        <w:t> </w:t>
      </w:r>
      <w:r>
        <w:rPr/>
        <w:t>appreciates</w:t>
      </w:r>
      <w:r>
        <w:rPr>
          <w:spacing w:val="-12"/>
        </w:rPr>
        <w:t> </w:t>
      </w:r>
      <w:r>
        <w:rPr/>
        <w:t>the</w:t>
      </w:r>
      <w:r>
        <w:rPr>
          <w:spacing w:val="-12"/>
        </w:rPr>
        <w:t> </w:t>
      </w:r>
      <w:r>
        <w:rPr/>
        <w:t>opportunity</w:t>
      </w:r>
      <w:r>
        <w:rPr>
          <w:spacing w:val="-11"/>
        </w:rPr>
        <w:t> </w:t>
      </w:r>
      <w:r>
        <w:rPr/>
        <w:t>it</w:t>
      </w:r>
      <w:r>
        <w:rPr>
          <w:spacing w:val="-12"/>
        </w:rPr>
        <w:t> </w:t>
      </w:r>
      <w:r>
        <w:rPr/>
        <w:t>had</w:t>
      </w:r>
      <w:r>
        <w:rPr>
          <w:spacing w:val="-13"/>
        </w:rPr>
        <w:t> </w:t>
      </w:r>
      <w:r>
        <w:rPr/>
        <w:t>to</w:t>
      </w:r>
      <w:r>
        <w:rPr>
          <w:spacing w:val="-10"/>
        </w:rPr>
        <w:t> </w:t>
      </w:r>
      <w:r>
        <w:rPr/>
        <w:t>visit</w:t>
      </w:r>
      <w:r>
        <w:rPr>
          <w:spacing w:val="-13"/>
        </w:rPr>
        <w:t> </w:t>
      </w:r>
      <w:r>
        <w:rPr/>
        <w:t>one</w:t>
      </w:r>
      <w:r>
        <w:rPr>
          <w:spacing w:val="-12"/>
        </w:rPr>
        <w:t> </w:t>
      </w:r>
      <w:r>
        <w:rPr/>
        <w:t>of</w:t>
      </w:r>
      <w:r>
        <w:rPr>
          <w:spacing w:val="-11"/>
        </w:rPr>
        <w:t> </w:t>
      </w:r>
      <w:r>
        <w:rPr/>
        <w:t>the</w:t>
      </w:r>
      <w:r>
        <w:rPr>
          <w:spacing w:val="-13"/>
        </w:rPr>
        <w:t> </w:t>
      </w:r>
      <w:r>
        <w:rPr/>
        <w:t>DYS</w:t>
      </w:r>
      <w:r>
        <w:rPr>
          <w:spacing w:val="-11"/>
        </w:rPr>
        <w:t> </w:t>
      </w:r>
      <w:r>
        <w:rPr/>
        <w:t>facilities</w:t>
      </w:r>
      <w:r>
        <w:rPr>
          <w:spacing w:val="-12"/>
        </w:rPr>
        <w:t> </w:t>
      </w:r>
      <w:r>
        <w:rPr/>
        <w:t>in</w:t>
      </w:r>
      <w:r>
        <w:rPr>
          <w:spacing w:val="-13"/>
        </w:rPr>
        <w:t> </w:t>
      </w:r>
      <w:r>
        <w:rPr/>
        <w:t>the</w:t>
      </w:r>
      <w:r>
        <w:rPr>
          <w:spacing w:val="-12"/>
        </w:rPr>
        <w:t> </w:t>
      </w:r>
      <w:r>
        <w:rPr/>
        <w:t>summer</w:t>
      </w:r>
      <w:r>
        <w:rPr>
          <w:spacing w:val="-12"/>
        </w:rPr>
        <w:t> </w:t>
      </w:r>
      <w:r>
        <w:rPr/>
        <w:t>of</w:t>
      </w:r>
      <w:r>
        <w:rPr>
          <w:spacing w:val="-12"/>
        </w:rPr>
        <w:t> </w:t>
      </w:r>
      <w:r>
        <w:rPr/>
        <w:t>2023, and the wide array of services that the agency provides to youth and their families. A large prioritization of</w:t>
      </w:r>
      <w:r>
        <w:rPr>
          <w:spacing w:val="-3"/>
        </w:rPr>
        <w:t> </w:t>
      </w:r>
      <w:r>
        <w:rPr/>
        <w:t>DYS</w:t>
      </w:r>
      <w:r>
        <w:rPr>
          <w:spacing w:val="-3"/>
        </w:rPr>
        <w:t> </w:t>
      </w:r>
      <w:r>
        <w:rPr/>
        <w:t>is</w:t>
      </w:r>
      <w:r>
        <w:rPr>
          <w:spacing w:val="-3"/>
        </w:rPr>
        <w:t> </w:t>
      </w:r>
      <w:r>
        <w:rPr/>
        <w:t>its</w:t>
      </w:r>
      <w:r>
        <w:rPr>
          <w:spacing w:val="-3"/>
        </w:rPr>
        <w:t> </w:t>
      </w:r>
      <w:r>
        <w:rPr/>
        <w:t>educational</w:t>
      </w:r>
      <w:r>
        <w:rPr>
          <w:spacing w:val="-2"/>
        </w:rPr>
        <w:t> </w:t>
      </w:r>
      <w:r>
        <w:rPr/>
        <w:t>programming</w:t>
      </w:r>
      <w:r>
        <w:rPr>
          <w:spacing w:val="-2"/>
        </w:rPr>
        <w:t> </w:t>
      </w:r>
      <w:r>
        <w:rPr/>
        <w:t>and</w:t>
      </w:r>
      <w:r>
        <w:rPr>
          <w:spacing w:val="-3"/>
        </w:rPr>
        <w:t> </w:t>
      </w:r>
      <w:r>
        <w:rPr/>
        <w:t>ensuring</w:t>
      </w:r>
      <w:r>
        <w:rPr>
          <w:spacing w:val="-2"/>
        </w:rPr>
        <w:t> </w:t>
      </w:r>
      <w:r>
        <w:rPr/>
        <w:t>that</w:t>
      </w:r>
      <w:r>
        <w:rPr>
          <w:spacing w:val="-3"/>
        </w:rPr>
        <w:t> </w:t>
      </w:r>
      <w:r>
        <w:rPr/>
        <w:t>the</w:t>
      </w:r>
      <w:r>
        <w:rPr>
          <w:spacing w:val="-2"/>
        </w:rPr>
        <w:t> </w:t>
      </w:r>
      <w:r>
        <w:rPr/>
        <w:t>content</w:t>
      </w:r>
      <w:r>
        <w:rPr>
          <w:spacing w:val="-3"/>
        </w:rPr>
        <w:t> </w:t>
      </w:r>
      <w:r>
        <w:rPr/>
        <w:t>is</w:t>
      </w:r>
      <w:r>
        <w:rPr>
          <w:spacing w:val="-1"/>
        </w:rPr>
        <w:t> </w:t>
      </w:r>
      <w:r>
        <w:rPr/>
        <w:t>inclusive,</w:t>
      </w:r>
      <w:r>
        <w:rPr>
          <w:spacing w:val="-3"/>
        </w:rPr>
        <w:t> </w:t>
      </w:r>
      <w:r>
        <w:rPr/>
        <w:t>while</w:t>
      </w:r>
      <w:r>
        <w:rPr>
          <w:spacing w:val="-3"/>
        </w:rPr>
        <w:t> </w:t>
      </w:r>
      <w:r>
        <w:rPr/>
        <w:t>still</w:t>
      </w:r>
      <w:r>
        <w:rPr>
          <w:spacing w:val="-2"/>
        </w:rPr>
        <w:t> </w:t>
      </w:r>
      <w:r>
        <w:rPr/>
        <w:t>meeting</w:t>
      </w:r>
      <w:r>
        <w:rPr>
          <w:spacing w:val="-3"/>
        </w:rPr>
        <w:t> </w:t>
      </w:r>
      <w:r>
        <w:rPr/>
        <w:t>state requirements to ensure that DYS youth receive credit for all the work done to achieve their high school degree. As recommended to DYS throughout the last few years, the Commission encourages DYS to continue to review all of its curriculum being presented both to youth, but also their families, to ensure that LGBTQ affirming-material is appropriately embedded into all areas. DYS shares that it has identified several areas to offer professional development opportunities on LGBTQ-inclusive curriculum guidance, and has been conducting reviews and updates for outdated instructional materials.</w:t>
      </w:r>
    </w:p>
    <w:p>
      <w:pPr>
        <w:pStyle w:val="BodyText"/>
        <w:spacing w:line="276" w:lineRule="auto" w:before="240"/>
        <w:ind w:left="483" w:right="340"/>
        <w:jc w:val="both"/>
      </w:pPr>
      <w:r>
        <w:rPr/>
        <w:t>Furthermore, the Commission recommends that DYS review supplemental materials, such as brochures provided in the medical areas and books in the libraries, to ensure that LGBTQ-inclusive materials are consistently available. It is the Commission’s understanding that DYS’ Education and Programming Subcommittees</w:t>
      </w:r>
      <w:r>
        <w:rPr>
          <w:spacing w:val="-8"/>
        </w:rPr>
        <w:t> </w:t>
      </w:r>
      <w:r>
        <w:rPr/>
        <w:t>are</w:t>
      </w:r>
      <w:r>
        <w:rPr>
          <w:spacing w:val="-9"/>
        </w:rPr>
        <w:t> </w:t>
      </w:r>
      <w:r>
        <w:rPr/>
        <w:t>work</w:t>
      </w:r>
      <w:r>
        <w:rPr>
          <w:spacing w:val="-8"/>
        </w:rPr>
        <w:t> </w:t>
      </w:r>
      <w:r>
        <w:rPr/>
        <w:t>to</w:t>
      </w:r>
      <w:r>
        <w:rPr>
          <w:spacing w:val="-8"/>
        </w:rPr>
        <w:t> </w:t>
      </w:r>
      <w:r>
        <w:rPr/>
        <w:t>review</w:t>
      </w:r>
      <w:r>
        <w:rPr>
          <w:spacing w:val="-9"/>
        </w:rPr>
        <w:t> </w:t>
      </w:r>
      <w:r>
        <w:rPr/>
        <w:t>and</w:t>
      </w:r>
      <w:r>
        <w:rPr>
          <w:spacing w:val="-8"/>
        </w:rPr>
        <w:t> </w:t>
      </w:r>
      <w:r>
        <w:rPr/>
        <w:t>update</w:t>
      </w:r>
      <w:r>
        <w:rPr>
          <w:spacing w:val="-8"/>
        </w:rPr>
        <w:t> </w:t>
      </w:r>
      <w:r>
        <w:rPr/>
        <w:t>DYS’</w:t>
      </w:r>
      <w:r>
        <w:rPr>
          <w:spacing w:val="-7"/>
        </w:rPr>
        <w:t> </w:t>
      </w:r>
      <w:r>
        <w:rPr/>
        <w:t>LGBTQ+</w:t>
      </w:r>
      <w:r>
        <w:rPr>
          <w:spacing w:val="-8"/>
        </w:rPr>
        <w:t> </w:t>
      </w:r>
      <w:r>
        <w:rPr/>
        <w:t>resource</w:t>
      </w:r>
      <w:r>
        <w:rPr>
          <w:spacing w:val="-9"/>
        </w:rPr>
        <w:t> </w:t>
      </w:r>
      <w:r>
        <w:rPr/>
        <w:t>list</w:t>
      </w:r>
      <w:r>
        <w:rPr>
          <w:spacing w:val="-8"/>
        </w:rPr>
        <w:t> </w:t>
      </w:r>
      <w:r>
        <w:rPr/>
        <w:t>and</w:t>
      </w:r>
      <w:r>
        <w:rPr>
          <w:spacing w:val="-8"/>
        </w:rPr>
        <w:t> </w:t>
      </w:r>
      <w:r>
        <w:rPr/>
        <w:t>library</w:t>
      </w:r>
      <w:r>
        <w:rPr>
          <w:spacing w:val="-9"/>
        </w:rPr>
        <w:t> </w:t>
      </w:r>
      <w:r>
        <w:rPr/>
        <w:t>resources</w:t>
      </w:r>
      <w:r>
        <w:rPr>
          <w:spacing w:val="-8"/>
        </w:rPr>
        <w:t> </w:t>
      </w:r>
      <w:r>
        <w:rPr/>
        <w:t>for</w:t>
      </w:r>
      <w:r>
        <w:rPr>
          <w:spacing w:val="-9"/>
        </w:rPr>
        <w:t> </w:t>
      </w:r>
      <w:r>
        <w:rPr/>
        <w:t>all</w:t>
      </w:r>
      <w:r>
        <w:rPr>
          <w:spacing w:val="-9"/>
        </w:rPr>
        <w:t> </w:t>
      </w:r>
      <w:r>
        <w:rPr/>
        <w:t>DYS locations.</w:t>
      </w:r>
      <w:r>
        <w:rPr>
          <w:spacing w:val="-2"/>
        </w:rPr>
        <w:t> </w:t>
      </w:r>
      <w:r>
        <w:rPr/>
        <w:t>Additionally,</w:t>
      </w:r>
      <w:r>
        <w:rPr>
          <w:spacing w:val="-2"/>
        </w:rPr>
        <w:t> </w:t>
      </w:r>
      <w:r>
        <w:rPr/>
        <w:t>LGBTQ</w:t>
      </w:r>
      <w:r>
        <w:rPr>
          <w:spacing w:val="-2"/>
        </w:rPr>
        <w:t> </w:t>
      </w:r>
      <w:r>
        <w:rPr/>
        <w:t>positivity</w:t>
      </w:r>
      <w:r>
        <w:rPr>
          <w:spacing w:val="-2"/>
        </w:rPr>
        <w:t> </w:t>
      </w:r>
      <w:r>
        <w:rPr/>
        <w:t>and</w:t>
      </w:r>
      <w:r>
        <w:rPr>
          <w:spacing w:val="-1"/>
        </w:rPr>
        <w:t> </w:t>
      </w:r>
      <w:r>
        <w:rPr/>
        <w:t>acceptance</w:t>
      </w:r>
      <w:r>
        <w:rPr>
          <w:spacing w:val="-2"/>
        </w:rPr>
        <w:t> </w:t>
      </w:r>
      <w:r>
        <w:rPr/>
        <w:t>signage is</w:t>
      </w:r>
      <w:r>
        <w:rPr>
          <w:spacing w:val="-1"/>
        </w:rPr>
        <w:t> </w:t>
      </w:r>
      <w:r>
        <w:rPr/>
        <w:t>currently under</w:t>
      </w:r>
      <w:r>
        <w:rPr>
          <w:spacing w:val="-2"/>
        </w:rPr>
        <w:t> </w:t>
      </w:r>
      <w:r>
        <w:rPr/>
        <w:t>review</w:t>
      </w:r>
      <w:r>
        <w:rPr>
          <w:spacing w:val="-2"/>
        </w:rPr>
        <w:t> </w:t>
      </w:r>
      <w:r>
        <w:rPr/>
        <w:t>for</w:t>
      </w:r>
      <w:r>
        <w:rPr>
          <w:spacing w:val="-2"/>
        </w:rPr>
        <w:t> </w:t>
      </w:r>
      <w:r>
        <w:rPr/>
        <w:t>updates</w:t>
      </w:r>
      <w:r>
        <w:rPr>
          <w:spacing w:val="-1"/>
        </w:rPr>
        <w:t> </w:t>
      </w:r>
      <w:r>
        <w:rPr/>
        <w:t>to ensure that existing signage remains culturally relevant. DYS also shared that it is in the process of exploring</w:t>
      </w:r>
      <w:r>
        <w:rPr>
          <w:spacing w:val="-1"/>
        </w:rPr>
        <w:t> </w:t>
      </w:r>
      <w:r>
        <w:rPr/>
        <w:t>the</w:t>
      </w:r>
      <w:r>
        <w:rPr>
          <w:spacing w:val="-1"/>
        </w:rPr>
        <w:t> </w:t>
      </w:r>
      <w:r>
        <w:rPr/>
        <w:t>creation</w:t>
      </w:r>
      <w:r>
        <w:rPr>
          <w:spacing w:val="-2"/>
        </w:rPr>
        <w:t> </w:t>
      </w:r>
      <w:r>
        <w:rPr/>
        <w:t>of</w:t>
      </w:r>
      <w:r>
        <w:rPr>
          <w:spacing w:val="-2"/>
        </w:rPr>
        <w:t> </w:t>
      </w:r>
      <w:r>
        <w:rPr/>
        <w:t>DYS</w:t>
      </w:r>
      <w:r>
        <w:rPr>
          <w:spacing w:val="-2"/>
        </w:rPr>
        <w:t> </w:t>
      </w:r>
      <w:r>
        <w:rPr/>
        <w:t>Regional</w:t>
      </w:r>
      <w:r>
        <w:rPr>
          <w:spacing w:val="-2"/>
        </w:rPr>
        <w:t> </w:t>
      </w:r>
      <w:r>
        <w:rPr/>
        <w:t>Equity</w:t>
      </w:r>
      <w:r>
        <w:rPr>
          <w:spacing w:val="-2"/>
        </w:rPr>
        <w:t> </w:t>
      </w:r>
      <w:r>
        <w:rPr/>
        <w:t>Affinity</w:t>
      </w:r>
      <w:r>
        <w:rPr>
          <w:spacing w:val="-1"/>
        </w:rPr>
        <w:t> </w:t>
      </w:r>
      <w:r>
        <w:rPr/>
        <w:t>Groups</w:t>
      </w:r>
      <w:r>
        <w:rPr>
          <w:spacing w:val="-1"/>
        </w:rPr>
        <w:t> </w:t>
      </w:r>
      <w:r>
        <w:rPr/>
        <w:t>for</w:t>
      </w:r>
      <w:r>
        <w:rPr>
          <w:spacing w:val="-2"/>
        </w:rPr>
        <w:t> </w:t>
      </w:r>
      <w:r>
        <w:rPr/>
        <w:t>all</w:t>
      </w:r>
      <w:r>
        <w:rPr>
          <w:spacing w:val="-2"/>
        </w:rPr>
        <w:t> </w:t>
      </w:r>
      <w:r>
        <w:rPr/>
        <w:t>staff</w:t>
      </w:r>
      <w:r>
        <w:rPr>
          <w:spacing w:val="-2"/>
        </w:rPr>
        <w:t> </w:t>
      </w:r>
      <w:r>
        <w:rPr/>
        <w:t>and</w:t>
      </w:r>
      <w:r>
        <w:rPr>
          <w:spacing w:val="-2"/>
        </w:rPr>
        <w:t> </w:t>
      </w:r>
      <w:r>
        <w:rPr/>
        <w:t>youth,</w:t>
      </w:r>
      <w:r>
        <w:rPr>
          <w:spacing w:val="-1"/>
        </w:rPr>
        <w:t> </w:t>
      </w:r>
      <w:r>
        <w:rPr/>
        <w:t>which</w:t>
      </w:r>
      <w:r>
        <w:rPr>
          <w:spacing w:val="-2"/>
        </w:rPr>
        <w:t> </w:t>
      </w:r>
      <w:r>
        <w:rPr/>
        <w:t>would</w:t>
      </w:r>
      <w:r>
        <w:rPr>
          <w:spacing w:val="-2"/>
        </w:rPr>
        <w:t> </w:t>
      </w:r>
      <w:r>
        <w:rPr/>
        <w:t>include a</w:t>
      </w:r>
      <w:r>
        <w:rPr>
          <w:spacing w:val="-12"/>
        </w:rPr>
        <w:t> </w:t>
      </w:r>
      <w:r>
        <w:rPr/>
        <w:t>Youth</w:t>
      </w:r>
      <w:r>
        <w:rPr>
          <w:spacing w:val="-12"/>
        </w:rPr>
        <w:t> </w:t>
      </w:r>
      <w:r>
        <w:rPr/>
        <w:t>GSA</w:t>
      </w:r>
      <w:r>
        <w:rPr>
          <w:spacing w:val="-11"/>
        </w:rPr>
        <w:t> </w:t>
      </w:r>
      <w:r>
        <w:rPr/>
        <w:t>that</w:t>
      </w:r>
      <w:r>
        <w:rPr>
          <w:spacing w:val="-13"/>
        </w:rPr>
        <w:t> </w:t>
      </w:r>
      <w:r>
        <w:rPr/>
        <w:t>would</w:t>
      </w:r>
      <w:r>
        <w:rPr>
          <w:spacing w:val="-11"/>
        </w:rPr>
        <w:t> </w:t>
      </w:r>
      <w:r>
        <w:rPr/>
        <w:t>support</w:t>
      </w:r>
      <w:r>
        <w:rPr>
          <w:spacing w:val="-12"/>
        </w:rPr>
        <w:t> </w:t>
      </w:r>
      <w:r>
        <w:rPr/>
        <w:t>youth</w:t>
      </w:r>
      <w:r>
        <w:rPr>
          <w:spacing w:val="-12"/>
        </w:rPr>
        <w:t> </w:t>
      </w:r>
      <w:r>
        <w:rPr/>
        <w:t>and</w:t>
      </w:r>
      <w:r>
        <w:rPr>
          <w:spacing w:val="-12"/>
        </w:rPr>
        <w:t> </w:t>
      </w:r>
      <w:r>
        <w:rPr/>
        <w:t>family</w:t>
      </w:r>
      <w:r>
        <w:rPr>
          <w:spacing w:val="-11"/>
        </w:rPr>
        <w:t> </w:t>
      </w:r>
      <w:r>
        <w:rPr/>
        <w:t>voices</w:t>
      </w:r>
      <w:r>
        <w:rPr>
          <w:spacing w:val="-12"/>
        </w:rPr>
        <w:t> </w:t>
      </w:r>
      <w:r>
        <w:rPr/>
        <w:t>in</w:t>
      </w:r>
      <w:r>
        <w:rPr>
          <w:spacing w:val="-12"/>
        </w:rPr>
        <w:t> </w:t>
      </w:r>
      <w:r>
        <w:rPr/>
        <w:t>DYS</w:t>
      </w:r>
      <w:r>
        <w:rPr>
          <w:spacing w:val="-12"/>
        </w:rPr>
        <w:t> </w:t>
      </w:r>
      <w:r>
        <w:rPr/>
        <w:t>-</w:t>
      </w:r>
      <w:r>
        <w:rPr>
          <w:spacing w:val="-10"/>
        </w:rPr>
        <w:t> </w:t>
      </w:r>
      <w:r>
        <w:rPr/>
        <w:t>each</w:t>
      </w:r>
      <w:r>
        <w:rPr>
          <w:spacing w:val="-12"/>
        </w:rPr>
        <w:t> </w:t>
      </w:r>
      <w:r>
        <w:rPr/>
        <w:t>of</w:t>
      </w:r>
      <w:r>
        <w:rPr>
          <w:spacing w:val="-11"/>
        </w:rPr>
        <w:t> </w:t>
      </w:r>
      <w:r>
        <w:rPr/>
        <w:t>these</w:t>
      </w:r>
      <w:r>
        <w:rPr>
          <w:spacing w:val="-12"/>
        </w:rPr>
        <w:t> </w:t>
      </w:r>
      <w:r>
        <w:rPr/>
        <w:t>groups</w:t>
      </w:r>
      <w:r>
        <w:rPr>
          <w:spacing w:val="-12"/>
        </w:rPr>
        <w:t> </w:t>
      </w:r>
      <w:r>
        <w:rPr/>
        <w:t>would</w:t>
      </w:r>
      <w:r>
        <w:rPr>
          <w:spacing w:val="-10"/>
        </w:rPr>
        <w:t> </w:t>
      </w:r>
      <w:r>
        <w:rPr/>
        <w:t>be</w:t>
      </w:r>
      <w:r>
        <w:rPr>
          <w:spacing w:val="-13"/>
        </w:rPr>
        <w:t> </w:t>
      </w:r>
      <w:r>
        <w:rPr/>
        <w:t>supported by DYS trauma response specialists.</w:t>
      </w:r>
    </w:p>
    <w:p>
      <w:pPr>
        <w:pStyle w:val="BodyText"/>
        <w:spacing w:line="276" w:lineRule="auto" w:before="239"/>
        <w:ind w:left="483" w:right="341"/>
        <w:jc w:val="both"/>
      </w:pPr>
      <w:r>
        <w:rPr/>
        <w:t>Finally, the Commission appreciates the opportunity to collaborate with DYS on its sexual health education</w:t>
      </w:r>
      <w:r>
        <w:rPr>
          <w:spacing w:val="-1"/>
        </w:rPr>
        <w:t> </w:t>
      </w:r>
      <w:r>
        <w:rPr/>
        <w:t>curriculum</w:t>
      </w:r>
      <w:r>
        <w:rPr>
          <w:spacing w:val="-2"/>
        </w:rPr>
        <w:t> </w:t>
      </w:r>
      <w:r>
        <w:rPr/>
        <w:t>and looks</w:t>
      </w:r>
      <w:r>
        <w:rPr>
          <w:spacing w:val="-1"/>
        </w:rPr>
        <w:t> </w:t>
      </w:r>
      <w:r>
        <w:rPr/>
        <w:t>forward</w:t>
      </w:r>
      <w:r>
        <w:rPr>
          <w:spacing w:val="-1"/>
        </w:rPr>
        <w:t> </w:t>
      </w:r>
      <w:r>
        <w:rPr/>
        <w:t>to continuing</w:t>
      </w:r>
      <w:r>
        <w:rPr>
          <w:spacing w:val="-1"/>
        </w:rPr>
        <w:t> </w:t>
      </w:r>
      <w:r>
        <w:rPr/>
        <w:t>this conversation</w:t>
      </w:r>
      <w:r>
        <w:rPr>
          <w:spacing w:val="-2"/>
        </w:rPr>
        <w:t> </w:t>
      </w:r>
      <w:r>
        <w:rPr/>
        <w:t>with</w:t>
      </w:r>
      <w:r>
        <w:rPr>
          <w:spacing w:val="-1"/>
        </w:rPr>
        <w:t> </w:t>
      </w:r>
      <w:r>
        <w:rPr/>
        <w:t>the</w:t>
      </w:r>
      <w:r>
        <w:rPr>
          <w:spacing w:val="-1"/>
        </w:rPr>
        <w:t> </w:t>
      </w:r>
      <w:r>
        <w:rPr/>
        <w:t>hopes</w:t>
      </w:r>
      <w:r>
        <w:rPr>
          <w:spacing w:val="-1"/>
        </w:rPr>
        <w:t> </w:t>
      </w:r>
      <w:r>
        <w:rPr/>
        <w:t>of implementing new materials by the fall of 2024.</w:t>
      </w:r>
    </w:p>
    <w:p>
      <w:pPr>
        <w:numPr>
          <w:ilvl w:val="0"/>
          <w:numId w:val="44"/>
        </w:numPr>
        <w:tabs>
          <w:tab w:pos="481" w:val="left" w:leader="none"/>
          <w:tab w:pos="483" w:val="left" w:leader="none"/>
        </w:tabs>
        <w:spacing w:line="276" w:lineRule="auto" w:before="240"/>
        <w:ind w:left="483" w:right="346" w:hanging="360"/>
        <w:jc w:val="left"/>
        <w:rPr>
          <w:b/>
          <w:sz w:val="22"/>
        </w:rPr>
      </w:pPr>
      <w:r>
        <w:rPr>
          <w:b/>
          <w:sz w:val="22"/>
        </w:rPr>
        <w:t>Continue</w:t>
      </w:r>
      <w:r>
        <w:rPr>
          <w:b/>
          <w:spacing w:val="78"/>
          <w:sz w:val="22"/>
        </w:rPr>
        <w:t> </w:t>
      </w:r>
      <w:r>
        <w:rPr>
          <w:b/>
          <w:sz w:val="22"/>
        </w:rPr>
        <w:t>to</w:t>
      </w:r>
      <w:r>
        <w:rPr>
          <w:b/>
          <w:spacing w:val="78"/>
          <w:sz w:val="22"/>
        </w:rPr>
        <w:t> </w:t>
      </w:r>
      <w:r>
        <w:rPr>
          <w:b/>
          <w:sz w:val="22"/>
        </w:rPr>
        <w:t>provide</w:t>
      </w:r>
      <w:r>
        <w:rPr>
          <w:b/>
          <w:spacing w:val="78"/>
          <w:sz w:val="22"/>
        </w:rPr>
        <w:t> </w:t>
      </w:r>
      <w:r>
        <w:rPr>
          <w:b/>
          <w:sz w:val="22"/>
        </w:rPr>
        <w:t>mandatory</w:t>
      </w:r>
      <w:r>
        <w:rPr>
          <w:b/>
          <w:spacing w:val="79"/>
          <w:sz w:val="22"/>
        </w:rPr>
        <w:t> </w:t>
      </w:r>
      <w:r>
        <w:rPr>
          <w:b/>
          <w:sz w:val="22"/>
        </w:rPr>
        <w:t>annual</w:t>
      </w:r>
      <w:r>
        <w:rPr>
          <w:b/>
          <w:spacing w:val="79"/>
          <w:sz w:val="22"/>
        </w:rPr>
        <w:t> </w:t>
      </w:r>
      <w:r>
        <w:rPr>
          <w:b/>
          <w:sz w:val="22"/>
        </w:rPr>
        <w:t>professional</w:t>
      </w:r>
      <w:r>
        <w:rPr>
          <w:b/>
          <w:spacing w:val="80"/>
          <w:sz w:val="22"/>
        </w:rPr>
        <w:t> </w:t>
      </w:r>
      <w:r>
        <w:rPr>
          <w:b/>
          <w:sz w:val="22"/>
        </w:rPr>
        <w:t>development</w:t>
      </w:r>
      <w:r>
        <w:rPr>
          <w:b/>
          <w:spacing w:val="78"/>
          <w:sz w:val="22"/>
        </w:rPr>
        <w:t> </w:t>
      </w:r>
      <w:r>
        <w:rPr>
          <w:b/>
          <w:sz w:val="22"/>
        </w:rPr>
        <w:t>opportunities</w:t>
      </w:r>
      <w:r>
        <w:rPr>
          <w:b/>
          <w:spacing w:val="79"/>
          <w:sz w:val="22"/>
        </w:rPr>
        <w:t> </w:t>
      </w:r>
      <w:r>
        <w:rPr>
          <w:b/>
          <w:sz w:val="22"/>
        </w:rPr>
        <w:t>that</w:t>
      </w:r>
      <w:r>
        <w:rPr>
          <w:b/>
          <w:spacing w:val="78"/>
          <w:sz w:val="22"/>
        </w:rPr>
        <w:t> </w:t>
      </w:r>
      <w:r>
        <w:rPr>
          <w:b/>
          <w:sz w:val="22"/>
        </w:rPr>
        <w:t>prioritize intersectionality and center LGBTQ youth and family engagement.</w:t>
      </w:r>
    </w:p>
    <w:p>
      <w:pPr>
        <w:pStyle w:val="BodyText"/>
        <w:spacing w:line="276" w:lineRule="auto" w:before="240"/>
        <w:ind w:left="483" w:right="340"/>
        <w:jc w:val="both"/>
      </w:pPr>
      <w:r>
        <w:rPr/>
        <w:t>DYS’ has previously noted to the Commission that all DYS staff are engaged in basic LGBTQ cultural awareness</w:t>
      </w:r>
      <w:r>
        <w:rPr>
          <w:spacing w:val="-3"/>
        </w:rPr>
        <w:t> </w:t>
      </w:r>
      <w:r>
        <w:rPr/>
        <w:t>trainings</w:t>
      </w:r>
      <w:r>
        <w:rPr>
          <w:spacing w:val="-3"/>
        </w:rPr>
        <w:t> </w:t>
      </w:r>
      <w:r>
        <w:rPr/>
        <w:t>at</w:t>
      </w:r>
      <w:r>
        <w:rPr>
          <w:spacing w:val="-2"/>
        </w:rPr>
        <w:t> </w:t>
      </w:r>
      <w:r>
        <w:rPr/>
        <w:t>the</w:t>
      </w:r>
      <w:r>
        <w:rPr>
          <w:spacing w:val="-2"/>
        </w:rPr>
        <w:t> </w:t>
      </w:r>
      <w:r>
        <w:rPr/>
        <w:t>time</w:t>
      </w:r>
      <w:r>
        <w:rPr>
          <w:spacing w:val="-2"/>
        </w:rPr>
        <w:t> </w:t>
      </w:r>
      <w:r>
        <w:rPr/>
        <w:t>of</w:t>
      </w:r>
      <w:r>
        <w:rPr>
          <w:spacing w:val="-3"/>
        </w:rPr>
        <w:t> </w:t>
      </w:r>
      <w:r>
        <w:rPr/>
        <w:t>onboarding,</w:t>
      </w:r>
      <w:r>
        <w:rPr>
          <w:spacing w:val="-3"/>
        </w:rPr>
        <w:t> </w:t>
      </w:r>
      <w:r>
        <w:rPr/>
        <w:t>and</w:t>
      </w:r>
      <w:r>
        <w:rPr>
          <w:spacing w:val="-2"/>
        </w:rPr>
        <w:t> </w:t>
      </w:r>
      <w:r>
        <w:rPr/>
        <w:t>that</w:t>
      </w:r>
      <w:r>
        <w:rPr>
          <w:spacing w:val="-3"/>
        </w:rPr>
        <w:t> </w:t>
      </w:r>
      <w:r>
        <w:rPr/>
        <w:t>it</w:t>
      </w:r>
      <w:r>
        <w:rPr>
          <w:spacing w:val="-2"/>
        </w:rPr>
        <w:t> </w:t>
      </w:r>
      <w:r>
        <w:rPr/>
        <w:t>includes</w:t>
      </w:r>
      <w:r>
        <w:rPr>
          <w:spacing w:val="-3"/>
        </w:rPr>
        <w:t> </w:t>
      </w:r>
      <w:r>
        <w:rPr/>
        <w:t>guidelines</w:t>
      </w:r>
      <w:r>
        <w:rPr>
          <w:spacing w:val="-1"/>
        </w:rPr>
        <w:t> </w:t>
      </w:r>
      <w:r>
        <w:rPr/>
        <w:t>on</w:t>
      </w:r>
      <w:r>
        <w:rPr>
          <w:spacing w:val="-3"/>
        </w:rPr>
        <w:t> </w:t>
      </w:r>
      <w:r>
        <w:rPr/>
        <w:t>LGBTQ</w:t>
      </w:r>
      <w:r>
        <w:rPr>
          <w:spacing w:val="-2"/>
        </w:rPr>
        <w:t> </w:t>
      </w:r>
      <w:r>
        <w:rPr/>
        <w:t>best</w:t>
      </w:r>
      <w:r>
        <w:rPr>
          <w:spacing w:val="-2"/>
        </w:rPr>
        <w:t> </w:t>
      </w:r>
      <w:r>
        <w:rPr/>
        <w:t>practices</w:t>
      </w:r>
      <w:r>
        <w:rPr>
          <w:spacing w:val="-3"/>
        </w:rPr>
        <w:t> </w:t>
      </w:r>
      <w:r>
        <w:rPr/>
        <w:t>in its annual review trainings with all direct care state and contracted provider employees. In FY 2024, DYS shared with the Commission that a new manager/supervisor training course has begun, and new additional training modules on LGBTQ cultural awareness will be available for all staff in FY 2025. The Commission looks forward to continuing to engage with DYS around these training opportunities, and expresses its interest in attending some of the available trainings in the upcoming fiscal year.</w:t>
      </w:r>
    </w:p>
    <w:p>
      <w:pPr>
        <w:spacing w:after="0" w:line="276" w:lineRule="auto"/>
        <w:jc w:val="both"/>
        <w:sectPr>
          <w:pgSz w:w="12240" w:h="15840"/>
          <w:pgMar w:header="804" w:footer="1231" w:top="1000" w:bottom="1460" w:left="960" w:right="1100"/>
        </w:sectPr>
      </w:pPr>
    </w:p>
    <w:p>
      <w:pPr>
        <w:numPr>
          <w:ilvl w:val="0"/>
          <w:numId w:val="44"/>
        </w:numPr>
        <w:tabs>
          <w:tab w:pos="481" w:val="left" w:leader="none"/>
          <w:tab w:pos="483" w:val="left" w:leader="none"/>
        </w:tabs>
        <w:spacing w:line="276" w:lineRule="auto" w:before="139"/>
        <w:ind w:left="483" w:right="343" w:hanging="360"/>
        <w:jc w:val="both"/>
        <w:rPr>
          <w:b/>
          <w:sz w:val="22"/>
        </w:rPr>
      </w:pPr>
      <w:r>
        <w:rPr>
          <w:b/>
          <w:sz w:val="22"/>
        </w:rPr>
        <w:t>Collaborate with the Commission to establish an LGBTQ parent education curriculum within juvenile diversion programs.</w:t>
      </w:r>
    </w:p>
    <w:p>
      <w:pPr>
        <w:pStyle w:val="BodyText"/>
        <w:spacing w:line="276" w:lineRule="auto" w:before="239"/>
        <w:ind w:left="483" w:right="342"/>
        <w:jc w:val="both"/>
      </w:pPr>
      <w:r>
        <w:rPr/>
        <w:t>Part</w:t>
      </w:r>
      <w:r>
        <w:rPr>
          <w:spacing w:val="-8"/>
        </w:rPr>
        <w:t> </w:t>
      </w:r>
      <w:r>
        <w:rPr/>
        <w:t>of</w:t>
      </w:r>
      <w:r>
        <w:rPr>
          <w:spacing w:val="-8"/>
        </w:rPr>
        <w:t> </w:t>
      </w:r>
      <w:r>
        <w:rPr/>
        <w:t>the</w:t>
      </w:r>
      <w:r>
        <w:rPr>
          <w:spacing w:val="-7"/>
        </w:rPr>
        <w:t> </w:t>
      </w:r>
      <w:r>
        <w:rPr/>
        <w:t>work</w:t>
      </w:r>
      <w:r>
        <w:rPr>
          <w:spacing w:val="-8"/>
        </w:rPr>
        <w:t> </w:t>
      </w:r>
      <w:r>
        <w:rPr/>
        <w:t>of</w:t>
      </w:r>
      <w:r>
        <w:rPr>
          <w:spacing w:val="-8"/>
        </w:rPr>
        <w:t> </w:t>
      </w:r>
      <w:r>
        <w:rPr/>
        <w:t>DYS</w:t>
      </w:r>
      <w:r>
        <w:rPr>
          <w:spacing w:val="-7"/>
        </w:rPr>
        <w:t> </w:t>
      </w:r>
      <w:r>
        <w:rPr/>
        <w:t>is</w:t>
      </w:r>
      <w:r>
        <w:rPr>
          <w:spacing w:val="-7"/>
        </w:rPr>
        <w:t> </w:t>
      </w:r>
      <w:r>
        <w:rPr/>
        <w:t>to</w:t>
      </w:r>
      <w:r>
        <w:rPr>
          <w:spacing w:val="-7"/>
        </w:rPr>
        <w:t> </w:t>
      </w:r>
      <w:r>
        <w:rPr/>
        <w:t>support</w:t>
      </w:r>
      <w:r>
        <w:rPr>
          <w:spacing w:val="-8"/>
        </w:rPr>
        <w:t> </w:t>
      </w:r>
      <w:r>
        <w:rPr/>
        <w:t>juvenile</w:t>
      </w:r>
      <w:r>
        <w:rPr>
          <w:spacing w:val="-7"/>
        </w:rPr>
        <w:t> </w:t>
      </w:r>
      <w:r>
        <w:rPr/>
        <w:t>diversion,</w:t>
      </w:r>
      <w:r>
        <w:rPr>
          <w:spacing w:val="-7"/>
        </w:rPr>
        <w:t> </w:t>
      </w:r>
      <w:r>
        <w:rPr/>
        <w:t>and</w:t>
      </w:r>
      <w:r>
        <w:rPr>
          <w:spacing w:val="-7"/>
        </w:rPr>
        <w:t> </w:t>
      </w:r>
      <w:r>
        <w:rPr/>
        <w:t>in</w:t>
      </w:r>
      <w:r>
        <w:rPr>
          <w:spacing w:val="-8"/>
        </w:rPr>
        <w:t> </w:t>
      </w:r>
      <w:r>
        <w:rPr/>
        <w:t>2021,</w:t>
      </w:r>
      <w:r>
        <w:rPr>
          <w:spacing w:val="-7"/>
        </w:rPr>
        <w:t> </w:t>
      </w:r>
      <w:r>
        <w:rPr/>
        <w:t>DYS</w:t>
      </w:r>
      <w:r>
        <w:rPr>
          <w:spacing w:val="-8"/>
        </w:rPr>
        <w:t> </w:t>
      </w:r>
      <w:r>
        <w:rPr/>
        <w:t>and</w:t>
      </w:r>
      <w:r>
        <w:rPr>
          <w:spacing w:val="-8"/>
        </w:rPr>
        <w:t> </w:t>
      </w:r>
      <w:r>
        <w:rPr/>
        <w:t>the</w:t>
      </w:r>
      <w:r>
        <w:rPr>
          <w:spacing w:val="-8"/>
        </w:rPr>
        <w:t> </w:t>
      </w:r>
      <w:r>
        <w:rPr/>
        <w:t>OCA</w:t>
      </w:r>
      <w:r>
        <w:rPr>
          <w:spacing w:val="-6"/>
        </w:rPr>
        <w:t> </w:t>
      </w:r>
      <w:r>
        <w:rPr/>
        <w:t>launched</w:t>
      </w:r>
      <w:r>
        <w:rPr>
          <w:spacing w:val="-8"/>
        </w:rPr>
        <w:t> </w:t>
      </w:r>
      <w:r>
        <w:rPr/>
        <w:t>the</w:t>
      </w:r>
      <w:r>
        <w:rPr>
          <w:spacing w:val="-7"/>
        </w:rPr>
        <w:t> </w:t>
      </w:r>
      <w:r>
        <w:rPr/>
        <w:t>Youth Diversion Initiative which works to support positive and equitable youth development. Within these diversion</w:t>
      </w:r>
      <w:r>
        <w:rPr>
          <w:spacing w:val="-8"/>
        </w:rPr>
        <w:t> </w:t>
      </w:r>
      <w:r>
        <w:rPr/>
        <w:t>programs,</w:t>
      </w:r>
      <w:r>
        <w:rPr>
          <w:spacing w:val="-8"/>
        </w:rPr>
        <w:t> </w:t>
      </w:r>
      <w:r>
        <w:rPr/>
        <w:t>DYS</w:t>
      </w:r>
      <w:r>
        <w:rPr>
          <w:spacing w:val="-7"/>
        </w:rPr>
        <w:t> </w:t>
      </w:r>
      <w:r>
        <w:rPr/>
        <w:t>partners</w:t>
      </w:r>
      <w:r>
        <w:rPr>
          <w:spacing w:val="-7"/>
        </w:rPr>
        <w:t> </w:t>
      </w:r>
      <w:r>
        <w:rPr/>
        <w:t>with</w:t>
      </w:r>
      <w:r>
        <w:rPr>
          <w:spacing w:val="-8"/>
        </w:rPr>
        <w:t> </w:t>
      </w:r>
      <w:r>
        <w:rPr/>
        <w:t>referred</w:t>
      </w:r>
      <w:r>
        <w:rPr>
          <w:spacing w:val="-8"/>
        </w:rPr>
        <w:t> </w:t>
      </w:r>
      <w:r>
        <w:rPr/>
        <w:t>youth</w:t>
      </w:r>
      <w:r>
        <w:rPr>
          <w:spacing w:val="-8"/>
        </w:rPr>
        <w:t> </w:t>
      </w:r>
      <w:r>
        <w:rPr/>
        <w:t>and</w:t>
      </w:r>
      <w:r>
        <w:rPr>
          <w:spacing w:val="-6"/>
        </w:rPr>
        <w:t> </w:t>
      </w:r>
      <w:r>
        <w:rPr/>
        <w:t>their</w:t>
      </w:r>
      <w:r>
        <w:rPr>
          <w:spacing w:val="-6"/>
        </w:rPr>
        <w:t> </w:t>
      </w:r>
      <w:r>
        <w:rPr/>
        <w:t>families</w:t>
      </w:r>
      <w:r>
        <w:rPr>
          <w:spacing w:val="-6"/>
        </w:rPr>
        <w:t> </w:t>
      </w:r>
      <w:r>
        <w:rPr/>
        <w:t>to</w:t>
      </w:r>
      <w:r>
        <w:rPr>
          <w:spacing w:val="-7"/>
        </w:rPr>
        <w:t> </w:t>
      </w:r>
      <w:r>
        <w:rPr/>
        <w:t>reduce</w:t>
      </w:r>
      <w:r>
        <w:rPr>
          <w:spacing w:val="-7"/>
        </w:rPr>
        <w:t> </w:t>
      </w:r>
      <w:r>
        <w:rPr/>
        <w:t>the</w:t>
      </w:r>
      <w:r>
        <w:rPr>
          <w:spacing w:val="-7"/>
        </w:rPr>
        <w:t> </w:t>
      </w:r>
      <w:r>
        <w:rPr/>
        <w:t>likelihood</w:t>
      </w:r>
      <w:r>
        <w:rPr>
          <w:spacing w:val="-8"/>
        </w:rPr>
        <w:t> </w:t>
      </w:r>
      <w:r>
        <w:rPr/>
        <w:t>of</w:t>
      </w:r>
      <w:r>
        <w:rPr>
          <w:spacing w:val="-8"/>
        </w:rPr>
        <w:t> </w:t>
      </w:r>
      <w:r>
        <w:rPr/>
        <w:t>future contact with the juvenile justice system. However, in cases where families fail to support the youth’s sexual orientation and/or gender identity, this may lead to further strife and increase the likelihood of some youths continued interaction with the juvenile justice system. In FY 2025, DYS and the OCA should partner with the Commission to discuss providing a parent education curriculum that works to uplift, educate, and support parents with LGBTQ youth.</w:t>
      </w:r>
    </w:p>
    <w:p>
      <w:pPr>
        <w:pStyle w:val="BodyText"/>
        <w:spacing w:line="276" w:lineRule="auto" w:before="239"/>
        <w:ind w:left="483" w:right="340"/>
        <w:jc w:val="both"/>
      </w:pPr>
      <w:r>
        <w:rPr/>
        <w:t>In</w:t>
      </w:r>
      <w:r>
        <w:rPr>
          <w:spacing w:val="-7"/>
        </w:rPr>
        <w:t> </w:t>
      </w:r>
      <w:r>
        <w:rPr/>
        <w:t>its</w:t>
      </w:r>
      <w:r>
        <w:rPr>
          <w:spacing w:val="-6"/>
        </w:rPr>
        <w:t> </w:t>
      </w:r>
      <w:r>
        <w:rPr/>
        <w:t>FY</w:t>
      </w:r>
      <w:r>
        <w:rPr>
          <w:spacing w:val="-7"/>
        </w:rPr>
        <w:t> </w:t>
      </w:r>
      <w:r>
        <w:rPr/>
        <w:t>2024</w:t>
      </w:r>
      <w:r>
        <w:rPr>
          <w:spacing w:val="-5"/>
        </w:rPr>
        <w:t> </w:t>
      </w:r>
      <w:r>
        <w:rPr/>
        <w:t>updates</w:t>
      </w:r>
      <w:r>
        <w:rPr>
          <w:spacing w:val="-5"/>
        </w:rPr>
        <w:t> </w:t>
      </w:r>
      <w:r>
        <w:rPr/>
        <w:t>to</w:t>
      </w:r>
      <w:r>
        <w:rPr>
          <w:spacing w:val="-6"/>
        </w:rPr>
        <w:t> </w:t>
      </w:r>
      <w:r>
        <w:rPr/>
        <w:t>the</w:t>
      </w:r>
      <w:r>
        <w:rPr>
          <w:spacing w:val="-7"/>
        </w:rPr>
        <w:t> </w:t>
      </w:r>
      <w:r>
        <w:rPr/>
        <w:t>Commission,</w:t>
      </w:r>
      <w:r>
        <w:rPr>
          <w:spacing w:val="-6"/>
        </w:rPr>
        <w:t> </w:t>
      </w:r>
      <w:r>
        <w:rPr/>
        <w:t>DYS</w:t>
      </w:r>
      <w:r>
        <w:rPr>
          <w:spacing w:val="-7"/>
        </w:rPr>
        <w:t> </w:t>
      </w:r>
      <w:r>
        <w:rPr/>
        <w:t>shared</w:t>
      </w:r>
      <w:r>
        <w:rPr>
          <w:spacing w:val="-6"/>
        </w:rPr>
        <w:t> </w:t>
      </w:r>
      <w:r>
        <w:rPr/>
        <w:t>that</w:t>
      </w:r>
      <w:r>
        <w:rPr>
          <w:spacing w:val="-7"/>
        </w:rPr>
        <w:t> </w:t>
      </w:r>
      <w:r>
        <w:rPr/>
        <w:t>it</w:t>
      </w:r>
      <w:r>
        <w:rPr>
          <w:spacing w:val="-7"/>
        </w:rPr>
        <w:t> </w:t>
      </w:r>
      <w:r>
        <w:rPr/>
        <w:t>has</w:t>
      </w:r>
      <w:r>
        <w:rPr>
          <w:spacing w:val="-6"/>
        </w:rPr>
        <w:t> </w:t>
      </w:r>
      <w:r>
        <w:rPr/>
        <w:t>recently</w:t>
      </w:r>
      <w:r>
        <w:rPr>
          <w:spacing w:val="-6"/>
        </w:rPr>
        <w:t> </w:t>
      </w:r>
      <w:r>
        <w:rPr/>
        <w:t>added</w:t>
      </w:r>
      <w:r>
        <w:rPr>
          <w:spacing w:val="-6"/>
        </w:rPr>
        <w:t> </w:t>
      </w:r>
      <w:r>
        <w:rPr/>
        <w:t>a</w:t>
      </w:r>
      <w:r>
        <w:rPr>
          <w:spacing w:val="-6"/>
        </w:rPr>
        <w:t> </w:t>
      </w:r>
      <w:r>
        <w:rPr/>
        <w:t>parent</w:t>
      </w:r>
      <w:r>
        <w:rPr>
          <w:spacing w:val="-7"/>
        </w:rPr>
        <w:t> </w:t>
      </w:r>
      <w:r>
        <w:rPr/>
        <w:t>partner</w:t>
      </w:r>
      <w:r>
        <w:rPr>
          <w:spacing w:val="-6"/>
        </w:rPr>
        <w:t> </w:t>
      </w:r>
      <w:r>
        <w:rPr/>
        <w:t>position in</w:t>
      </w:r>
      <w:r>
        <w:rPr>
          <w:spacing w:val="-11"/>
        </w:rPr>
        <w:t> </w:t>
      </w:r>
      <w:r>
        <w:rPr/>
        <w:t>each</w:t>
      </w:r>
      <w:r>
        <w:rPr>
          <w:spacing w:val="-11"/>
        </w:rPr>
        <w:t> </w:t>
      </w:r>
      <w:r>
        <w:rPr/>
        <w:t>of</w:t>
      </w:r>
      <w:r>
        <w:rPr>
          <w:spacing w:val="-11"/>
        </w:rPr>
        <w:t> </w:t>
      </w:r>
      <w:r>
        <w:rPr/>
        <w:t>its</w:t>
      </w:r>
      <w:r>
        <w:rPr>
          <w:spacing w:val="-11"/>
        </w:rPr>
        <w:t> </w:t>
      </w:r>
      <w:r>
        <w:rPr/>
        <w:t>five</w:t>
      </w:r>
      <w:r>
        <w:rPr>
          <w:spacing w:val="-11"/>
        </w:rPr>
        <w:t> </w:t>
      </w:r>
      <w:r>
        <w:rPr/>
        <w:t>regions;</w:t>
      </w:r>
      <w:r>
        <w:rPr>
          <w:spacing w:val="-10"/>
        </w:rPr>
        <w:t> </w:t>
      </w:r>
      <w:r>
        <w:rPr/>
        <w:t>these</w:t>
      </w:r>
      <w:r>
        <w:rPr>
          <w:spacing w:val="-11"/>
        </w:rPr>
        <w:t> </w:t>
      </w:r>
      <w:r>
        <w:rPr/>
        <w:t>specialists</w:t>
      </w:r>
      <w:r>
        <w:rPr>
          <w:spacing w:val="-11"/>
        </w:rPr>
        <w:t> </w:t>
      </w:r>
      <w:r>
        <w:rPr/>
        <w:t>are</w:t>
      </w:r>
      <w:r>
        <w:rPr>
          <w:spacing w:val="-11"/>
        </w:rPr>
        <w:t> </w:t>
      </w:r>
      <w:r>
        <w:rPr/>
        <w:t>specifically</w:t>
      </w:r>
      <w:r>
        <w:rPr>
          <w:spacing w:val="-11"/>
        </w:rPr>
        <w:t> </w:t>
      </w:r>
      <w:r>
        <w:rPr/>
        <w:t>tasked</w:t>
      </w:r>
      <w:r>
        <w:rPr>
          <w:spacing w:val="-10"/>
        </w:rPr>
        <w:t> </w:t>
      </w:r>
      <w:r>
        <w:rPr/>
        <w:t>with</w:t>
      </w:r>
      <w:r>
        <w:rPr>
          <w:spacing w:val="-11"/>
        </w:rPr>
        <w:t> </w:t>
      </w:r>
      <w:r>
        <w:rPr/>
        <w:t>providing</w:t>
      </w:r>
      <w:r>
        <w:rPr>
          <w:spacing w:val="-12"/>
        </w:rPr>
        <w:t> </w:t>
      </w:r>
      <w:r>
        <w:rPr/>
        <w:t>support</w:t>
      </w:r>
      <w:r>
        <w:rPr>
          <w:spacing w:val="-11"/>
        </w:rPr>
        <w:t> </w:t>
      </w:r>
      <w:r>
        <w:rPr/>
        <w:t>to</w:t>
      </w:r>
      <w:r>
        <w:rPr>
          <w:spacing w:val="-11"/>
        </w:rPr>
        <w:t> </w:t>
      </w:r>
      <w:r>
        <w:rPr/>
        <w:t>families,</w:t>
      </w:r>
      <w:r>
        <w:rPr>
          <w:spacing w:val="-11"/>
        </w:rPr>
        <w:t> </w:t>
      </w:r>
      <w:r>
        <w:rPr/>
        <w:t>which includes providing education, support, and resource sharing. DYS notes that it began a subcommittee to focus</w:t>
      </w:r>
      <w:r>
        <w:rPr>
          <w:spacing w:val="-10"/>
        </w:rPr>
        <w:t> </w:t>
      </w:r>
      <w:r>
        <w:rPr/>
        <w:t>on</w:t>
      </w:r>
      <w:r>
        <w:rPr>
          <w:spacing w:val="-9"/>
        </w:rPr>
        <w:t> </w:t>
      </w:r>
      <w:r>
        <w:rPr/>
        <w:t>this</w:t>
      </w:r>
      <w:r>
        <w:rPr>
          <w:spacing w:val="-9"/>
        </w:rPr>
        <w:t> </w:t>
      </w:r>
      <w:r>
        <w:rPr/>
        <w:t>work</w:t>
      </w:r>
      <w:r>
        <w:rPr>
          <w:spacing w:val="-10"/>
        </w:rPr>
        <w:t> </w:t>
      </w:r>
      <w:r>
        <w:rPr/>
        <w:t>which</w:t>
      </w:r>
      <w:r>
        <w:rPr>
          <w:spacing w:val="-9"/>
        </w:rPr>
        <w:t> </w:t>
      </w:r>
      <w:r>
        <w:rPr/>
        <w:t>includes</w:t>
      </w:r>
      <w:r>
        <w:rPr>
          <w:spacing w:val="-9"/>
        </w:rPr>
        <w:t> </w:t>
      </w:r>
      <w:r>
        <w:rPr/>
        <w:t>members</w:t>
      </w:r>
      <w:r>
        <w:rPr>
          <w:spacing w:val="-10"/>
        </w:rPr>
        <w:t> </w:t>
      </w:r>
      <w:r>
        <w:rPr/>
        <w:t>from</w:t>
      </w:r>
      <w:r>
        <w:rPr>
          <w:spacing w:val="-9"/>
        </w:rPr>
        <w:t> </w:t>
      </w:r>
      <w:r>
        <w:rPr/>
        <w:t>PPAL,</w:t>
      </w:r>
      <w:r>
        <w:rPr>
          <w:spacing w:val="-10"/>
        </w:rPr>
        <w:t> </w:t>
      </w:r>
      <w:r>
        <w:rPr/>
        <w:t>the</w:t>
      </w:r>
      <w:r>
        <w:rPr>
          <w:spacing w:val="-9"/>
        </w:rPr>
        <w:t> </w:t>
      </w:r>
      <w:r>
        <w:rPr/>
        <w:t>Mass</w:t>
      </w:r>
      <w:r>
        <w:rPr>
          <w:spacing w:val="-9"/>
        </w:rPr>
        <w:t> </w:t>
      </w:r>
      <w:r>
        <w:rPr/>
        <w:t>Youth</w:t>
      </w:r>
      <w:r>
        <w:rPr>
          <w:spacing w:val="-9"/>
        </w:rPr>
        <w:t> </w:t>
      </w:r>
      <w:r>
        <w:rPr/>
        <w:t>Diversion</w:t>
      </w:r>
      <w:r>
        <w:rPr>
          <w:spacing w:val="-10"/>
        </w:rPr>
        <w:t> </w:t>
      </w:r>
      <w:r>
        <w:rPr/>
        <w:t>Program,</w:t>
      </w:r>
      <w:r>
        <w:rPr>
          <w:spacing w:val="-9"/>
        </w:rPr>
        <w:t> </w:t>
      </w:r>
      <w:r>
        <w:rPr/>
        <w:t>and</w:t>
      </w:r>
      <w:r>
        <w:rPr>
          <w:spacing w:val="-9"/>
        </w:rPr>
        <w:t> </w:t>
      </w:r>
      <w:r>
        <w:rPr/>
        <w:t>the</w:t>
      </w:r>
      <w:r>
        <w:rPr>
          <w:spacing w:val="-8"/>
        </w:rPr>
        <w:t> </w:t>
      </w:r>
      <w:r>
        <w:rPr/>
        <w:t>Office of</w:t>
      </w:r>
      <w:r>
        <w:rPr>
          <w:spacing w:val="-6"/>
        </w:rPr>
        <w:t> </w:t>
      </w:r>
      <w:r>
        <w:rPr/>
        <w:t>the</w:t>
      </w:r>
      <w:r>
        <w:rPr>
          <w:spacing w:val="-7"/>
        </w:rPr>
        <w:t> </w:t>
      </w:r>
      <w:r>
        <w:rPr/>
        <w:t>Child</w:t>
      </w:r>
      <w:r>
        <w:rPr>
          <w:spacing w:val="-7"/>
        </w:rPr>
        <w:t> </w:t>
      </w:r>
      <w:r>
        <w:rPr/>
        <w:t>Advocate;</w:t>
      </w:r>
      <w:r>
        <w:rPr>
          <w:spacing w:val="-7"/>
        </w:rPr>
        <w:t> </w:t>
      </w:r>
      <w:r>
        <w:rPr/>
        <w:t>the</w:t>
      </w:r>
      <w:r>
        <w:rPr>
          <w:spacing w:val="-6"/>
        </w:rPr>
        <w:t> </w:t>
      </w:r>
      <w:r>
        <w:rPr/>
        <w:t>subcommittee</w:t>
      </w:r>
      <w:r>
        <w:rPr>
          <w:spacing w:val="-7"/>
        </w:rPr>
        <w:t> </w:t>
      </w:r>
      <w:r>
        <w:rPr/>
        <w:t>has</w:t>
      </w:r>
      <w:r>
        <w:rPr>
          <w:spacing w:val="-6"/>
        </w:rPr>
        <w:t> </w:t>
      </w:r>
      <w:r>
        <w:rPr/>
        <w:t>since</w:t>
      </w:r>
      <w:r>
        <w:rPr>
          <w:spacing w:val="-6"/>
        </w:rPr>
        <w:t> </w:t>
      </w:r>
      <w:r>
        <w:rPr/>
        <w:t>begun</w:t>
      </w:r>
      <w:r>
        <w:rPr>
          <w:spacing w:val="-6"/>
        </w:rPr>
        <w:t> </w:t>
      </w:r>
      <w:r>
        <w:rPr/>
        <w:t>exploring</w:t>
      </w:r>
      <w:r>
        <w:rPr>
          <w:spacing w:val="-7"/>
        </w:rPr>
        <w:t> </w:t>
      </w:r>
      <w:r>
        <w:rPr/>
        <w:t>curriculum</w:t>
      </w:r>
      <w:r>
        <w:rPr>
          <w:spacing w:val="-6"/>
        </w:rPr>
        <w:t> </w:t>
      </w:r>
      <w:r>
        <w:rPr/>
        <w:t>options</w:t>
      </w:r>
      <w:r>
        <w:rPr>
          <w:spacing w:val="-6"/>
        </w:rPr>
        <w:t> </w:t>
      </w:r>
      <w:r>
        <w:rPr/>
        <w:t>to</w:t>
      </w:r>
      <w:r>
        <w:rPr>
          <w:spacing w:val="-7"/>
        </w:rPr>
        <w:t> </w:t>
      </w:r>
      <w:r>
        <w:rPr/>
        <w:t>support</w:t>
      </w:r>
      <w:r>
        <w:rPr>
          <w:spacing w:val="-7"/>
        </w:rPr>
        <w:t> </w:t>
      </w:r>
      <w:r>
        <w:rPr/>
        <w:t>LGBTQ parent engagement, and has begun creating brochures to provide information LGBTQ acceptance, and also how to navigate the court system. The Commission appreciates the attention of DYS to this recommendation, and also expresses its interest in joining the collaboration with these agencies on this work in FY 2025.</w:t>
      </w:r>
    </w:p>
    <w:p>
      <w:pPr>
        <w:numPr>
          <w:ilvl w:val="0"/>
          <w:numId w:val="44"/>
        </w:numPr>
        <w:tabs>
          <w:tab w:pos="481" w:val="left" w:leader="none"/>
          <w:tab w:pos="483" w:val="left" w:leader="none"/>
        </w:tabs>
        <w:spacing w:line="276" w:lineRule="auto" w:before="241"/>
        <w:ind w:left="483" w:right="343" w:hanging="360"/>
        <w:jc w:val="both"/>
        <w:rPr>
          <w:b/>
          <w:sz w:val="22"/>
        </w:rPr>
      </w:pPr>
      <w:r>
        <w:rPr>
          <w:b/>
          <w:sz w:val="22"/>
        </w:rPr>
        <w:t>Improve</w:t>
      </w:r>
      <w:r>
        <w:rPr>
          <w:b/>
          <w:spacing w:val="-9"/>
          <w:sz w:val="22"/>
        </w:rPr>
        <w:t> </w:t>
      </w:r>
      <w:r>
        <w:rPr>
          <w:b/>
          <w:sz w:val="22"/>
        </w:rPr>
        <w:t>interagency</w:t>
      </w:r>
      <w:r>
        <w:rPr>
          <w:b/>
          <w:spacing w:val="-8"/>
          <w:sz w:val="22"/>
        </w:rPr>
        <w:t> </w:t>
      </w:r>
      <w:r>
        <w:rPr>
          <w:b/>
          <w:sz w:val="22"/>
        </w:rPr>
        <w:t>work</w:t>
      </w:r>
      <w:r>
        <w:rPr>
          <w:b/>
          <w:spacing w:val="-8"/>
          <w:sz w:val="22"/>
        </w:rPr>
        <w:t> </w:t>
      </w:r>
      <w:r>
        <w:rPr>
          <w:b/>
          <w:sz w:val="22"/>
        </w:rPr>
        <w:t>to</w:t>
      </w:r>
      <w:r>
        <w:rPr>
          <w:b/>
          <w:spacing w:val="-9"/>
          <w:sz w:val="22"/>
        </w:rPr>
        <w:t> </w:t>
      </w:r>
      <w:r>
        <w:rPr>
          <w:b/>
          <w:sz w:val="22"/>
        </w:rPr>
        <w:t>support</w:t>
      </w:r>
      <w:r>
        <w:rPr>
          <w:b/>
          <w:spacing w:val="-9"/>
          <w:sz w:val="22"/>
        </w:rPr>
        <w:t> </w:t>
      </w:r>
      <w:r>
        <w:rPr>
          <w:b/>
          <w:sz w:val="22"/>
        </w:rPr>
        <w:t>“warm</w:t>
      </w:r>
      <w:r>
        <w:rPr>
          <w:b/>
          <w:spacing w:val="-7"/>
          <w:sz w:val="22"/>
        </w:rPr>
        <w:t> </w:t>
      </w:r>
      <w:r>
        <w:rPr>
          <w:b/>
          <w:sz w:val="22"/>
        </w:rPr>
        <w:t>hand-offs”</w:t>
      </w:r>
      <w:r>
        <w:rPr>
          <w:b/>
          <w:spacing w:val="-9"/>
          <w:sz w:val="22"/>
        </w:rPr>
        <w:t> </w:t>
      </w:r>
      <w:r>
        <w:rPr>
          <w:b/>
          <w:sz w:val="22"/>
        </w:rPr>
        <w:t>for</w:t>
      </w:r>
      <w:r>
        <w:rPr>
          <w:b/>
          <w:spacing w:val="-7"/>
          <w:sz w:val="22"/>
        </w:rPr>
        <w:t> </w:t>
      </w:r>
      <w:r>
        <w:rPr>
          <w:b/>
          <w:sz w:val="22"/>
        </w:rPr>
        <w:t>transition-aged</w:t>
      </w:r>
      <w:r>
        <w:rPr>
          <w:b/>
          <w:spacing w:val="-9"/>
          <w:sz w:val="22"/>
        </w:rPr>
        <w:t> </w:t>
      </w:r>
      <w:r>
        <w:rPr>
          <w:b/>
          <w:sz w:val="22"/>
        </w:rPr>
        <w:t>youth</w:t>
      </w:r>
      <w:r>
        <w:rPr>
          <w:b/>
          <w:spacing w:val="-8"/>
          <w:sz w:val="22"/>
        </w:rPr>
        <w:t> </w:t>
      </w:r>
      <w:r>
        <w:rPr>
          <w:b/>
          <w:sz w:val="22"/>
        </w:rPr>
        <w:t>attempting</w:t>
      </w:r>
      <w:r>
        <w:rPr>
          <w:b/>
          <w:spacing w:val="-8"/>
          <w:sz w:val="22"/>
        </w:rPr>
        <w:t> </w:t>
      </w:r>
      <w:r>
        <w:rPr>
          <w:b/>
          <w:sz w:val="22"/>
        </w:rPr>
        <w:t>to</w:t>
      </w:r>
      <w:r>
        <w:rPr>
          <w:b/>
          <w:spacing w:val="-9"/>
          <w:sz w:val="22"/>
        </w:rPr>
        <w:t> </w:t>
      </w:r>
      <w:r>
        <w:rPr>
          <w:b/>
          <w:sz w:val="22"/>
        </w:rPr>
        <w:t>access services,</w:t>
      </w:r>
      <w:r>
        <w:rPr>
          <w:b/>
          <w:spacing w:val="-7"/>
          <w:sz w:val="22"/>
        </w:rPr>
        <w:t> </w:t>
      </w:r>
      <w:r>
        <w:rPr>
          <w:b/>
          <w:sz w:val="22"/>
        </w:rPr>
        <w:t>in</w:t>
      </w:r>
      <w:r>
        <w:rPr>
          <w:b/>
          <w:spacing w:val="-7"/>
          <w:sz w:val="22"/>
        </w:rPr>
        <w:t> </w:t>
      </w:r>
      <w:r>
        <w:rPr>
          <w:b/>
          <w:sz w:val="22"/>
        </w:rPr>
        <w:t>partnership</w:t>
      </w:r>
      <w:r>
        <w:rPr>
          <w:b/>
          <w:spacing w:val="-7"/>
          <w:sz w:val="22"/>
        </w:rPr>
        <w:t> </w:t>
      </w:r>
      <w:r>
        <w:rPr>
          <w:b/>
          <w:sz w:val="22"/>
        </w:rPr>
        <w:t>with</w:t>
      </w:r>
      <w:r>
        <w:rPr>
          <w:b/>
          <w:spacing w:val="-7"/>
          <w:sz w:val="22"/>
        </w:rPr>
        <w:t> </w:t>
      </w:r>
      <w:r>
        <w:rPr>
          <w:b/>
          <w:sz w:val="22"/>
        </w:rPr>
        <w:t>the</w:t>
      </w:r>
      <w:r>
        <w:rPr>
          <w:b/>
          <w:spacing w:val="-6"/>
          <w:sz w:val="22"/>
        </w:rPr>
        <w:t> </w:t>
      </w:r>
      <w:r>
        <w:rPr>
          <w:b/>
          <w:sz w:val="22"/>
        </w:rPr>
        <w:t>Department</w:t>
      </w:r>
      <w:r>
        <w:rPr>
          <w:b/>
          <w:spacing w:val="-6"/>
          <w:sz w:val="22"/>
        </w:rPr>
        <w:t> </w:t>
      </w:r>
      <w:r>
        <w:rPr>
          <w:b/>
          <w:sz w:val="22"/>
        </w:rPr>
        <w:t>of</w:t>
      </w:r>
      <w:r>
        <w:rPr>
          <w:b/>
          <w:spacing w:val="-6"/>
          <w:sz w:val="22"/>
        </w:rPr>
        <w:t> </w:t>
      </w:r>
      <w:r>
        <w:rPr>
          <w:b/>
          <w:sz w:val="22"/>
        </w:rPr>
        <w:t>Children</w:t>
      </w:r>
      <w:r>
        <w:rPr>
          <w:b/>
          <w:spacing w:val="-7"/>
          <w:sz w:val="22"/>
        </w:rPr>
        <w:t> </w:t>
      </w:r>
      <w:r>
        <w:rPr>
          <w:b/>
          <w:sz w:val="22"/>
        </w:rPr>
        <w:t>&amp;</w:t>
      </w:r>
      <w:r>
        <w:rPr>
          <w:b/>
          <w:spacing w:val="-6"/>
          <w:sz w:val="22"/>
        </w:rPr>
        <w:t> </w:t>
      </w:r>
      <w:r>
        <w:rPr>
          <w:b/>
          <w:sz w:val="22"/>
        </w:rPr>
        <w:t>Families,</w:t>
      </w:r>
      <w:r>
        <w:rPr>
          <w:b/>
          <w:spacing w:val="-7"/>
          <w:sz w:val="22"/>
        </w:rPr>
        <w:t> </w:t>
      </w:r>
      <w:r>
        <w:rPr>
          <w:b/>
          <w:sz w:val="22"/>
        </w:rPr>
        <w:t>the</w:t>
      </w:r>
      <w:r>
        <w:rPr>
          <w:b/>
          <w:spacing w:val="-5"/>
          <w:sz w:val="22"/>
        </w:rPr>
        <w:t> </w:t>
      </w:r>
      <w:r>
        <w:rPr>
          <w:b/>
          <w:sz w:val="22"/>
        </w:rPr>
        <w:t>Department</w:t>
      </w:r>
      <w:r>
        <w:rPr>
          <w:b/>
          <w:spacing w:val="-6"/>
          <w:sz w:val="22"/>
        </w:rPr>
        <w:t> </w:t>
      </w:r>
      <w:r>
        <w:rPr>
          <w:b/>
          <w:sz w:val="22"/>
        </w:rPr>
        <w:t>of</w:t>
      </w:r>
      <w:r>
        <w:rPr>
          <w:b/>
          <w:spacing w:val="-6"/>
          <w:sz w:val="22"/>
        </w:rPr>
        <w:t> </w:t>
      </w:r>
      <w:r>
        <w:rPr>
          <w:b/>
          <w:sz w:val="22"/>
        </w:rPr>
        <w:t>Mental</w:t>
      </w:r>
      <w:r>
        <w:rPr>
          <w:b/>
          <w:spacing w:val="-5"/>
          <w:sz w:val="22"/>
        </w:rPr>
        <w:t> </w:t>
      </w:r>
      <w:r>
        <w:rPr>
          <w:b/>
          <w:sz w:val="22"/>
        </w:rPr>
        <w:t>Health, and MassHealth.</w:t>
      </w:r>
    </w:p>
    <w:p>
      <w:pPr>
        <w:pStyle w:val="BodyText"/>
        <w:spacing w:line="276" w:lineRule="auto" w:before="240"/>
        <w:ind w:left="483" w:right="344"/>
        <w:jc w:val="both"/>
      </w:pPr>
      <w:r>
        <w:rPr/>
        <w:t>As</w:t>
      </w:r>
      <w:r>
        <w:rPr>
          <w:spacing w:val="-3"/>
        </w:rPr>
        <w:t> </w:t>
      </w:r>
      <w:r>
        <w:rPr/>
        <w:t>discussed</w:t>
      </w:r>
      <w:r>
        <w:rPr>
          <w:spacing w:val="-3"/>
        </w:rPr>
        <w:t> </w:t>
      </w:r>
      <w:r>
        <w:rPr/>
        <w:t>throughout</w:t>
      </w:r>
      <w:r>
        <w:rPr>
          <w:spacing w:val="-3"/>
        </w:rPr>
        <w:t> </w:t>
      </w:r>
      <w:r>
        <w:rPr/>
        <w:t>the</w:t>
      </w:r>
      <w:r>
        <w:rPr>
          <w:spacing w:val="-3"/>
        </w:rPr>
        <w:t> </w:t>
      </w:r>
      <w:r>
        <w:rPr/>
        <w:t>Commission’s</w:t>
      </w:r>
      <w:r>
        <w:rPr>
          <w:spacing w:val="-3"/>
        </w:rPr>
        <w:t> </w:t>
      </w:r>
      <w:r>
        <w:rPr/>
        <w:t>FY</w:t>
      </w:r>
      <w:r>
        <w:rPr>
          <w:spacing w:val="-3"/>
        </w:rPr>
        <w:t> </w:t>
      </w:r>
      <w:r>
        <w:rPr/>
        <w:t>2024</w:t>
      </w:r>
      <w:r>
        <w:rPr>
          <w:spacing w:val="-2"/>
        </w:rPr>
        <w:t> </w:t>
      </w:r>
      <w:r>
        <w:rPr/>
        <w:t>annual</w:t>
      </w:r>
      <w:r>
        <w:rPr>
          <w:spacing w:val="-3"/>
        </w:rPr>
        <w:t> </w:t>
      </w:r>
      <w:r>
        <w:rPr/>
        <w:t>report,</w:t>
      </w:r>
      <w:r>
        <w:rPr>
          <w:spacing w:val="-3"/>
        </w:rPr>
        <w:t> </w:t>
      </w:r>
      <w:r>
        <w:rPr/>
        <w:t>multi-system</w:t>
      </w:r>
      <w:r>
        <w:rPr>
          <w:spacing w:val="-3"/>
        </w:rPr>
        <w:t> </w:t>
      </w:r>
      <w:r>
        <w:rPr/>
        <w:t>involved</w:t>
      </w:r>
      <w:r>
        <w:rPr>
          <w:spacing w:val="-3"/>
        </w:rPr>
        <w:t> </w:t>
      </w:r>
      <w:r>
        <w:rPr/>
        <w:t>transition-aged youth are often the most marginalized and underserved youth across the Commonwealth. Often, when youth transition between agency systems, such as going from DYS to DCF or vice versa, some youth are experiencing</w:t>
      </w:r>
      <w:r>
        <w:rPr>
          <w:spacing w:val="-7"/>
        </w:rPr>
        <w:t> </w:t>
      </w:r>
      <w:r>
        <w:rPr/>
        <w:t>little</w:t>
      </w:r>
      <w:r>
        <w:rPr>
          <w:spacing w:val="-7"/>
        </w:rPr>
        <w:t> </w:t>
      </w:r>
      <w:r>
        <w:rPr/>
        <w:t>to</w:t>
      </w:r>
      <w:r>
        <w:rPr>
          <w:spacing w:val="-8"/>
        </w:rPr>
        <w:t> </w:t>
      </w:r>
      <w:r>
        <w:rPr/>
        <w:t>no</w:t>
      </w:r>
      <w:r>
        <w:rPr>
          <w:spacing w:val="-7"/>
        </w:rPr>
        <w:t> </w:t>
      </w:r>
      <w:r>
        <w:rPr/>
        <w:t>direct</w:t>
      </w:r>
      <w:r>
        <w:rPr>
          <w:spacing w:val="-8"/>
        </w:rPr>
        <w:t> </w:t>
      </w:r>
      <w:r>
        <w:rPr/>
        <w:t>handoffs</w:t>
      </w:r>
      <w:r>
        <w:rPr>
          <w:spacing w:val="-7"/>
        </w:rPr>
        <w:t> </w:t>
      </w:r>
      <w:r>
        <w:rPr/>
        <w:t>between</w:t>
      </w:r>
      <w:r>
        <w:rPr>
          <w:spacing w:val="-8"/>
        </w:rPr>
        <w:t> </w:t>
      </w:r>
      <w:r>
        <w:rPr/>
        <w:t>services.</w:t>
      </w:r>
      <w:r>
        <w:rPr>
          <w:spacing w:val="-8"/>
        </w:rPr>
        <w:t> </w:t>
      </w:r>
      <w:r>
        <w:rPr/>
        <w:t>Unfortunately,</w:t>
      </w:r>
      <w:r>
        <w:rPr>
          <w:spacing w:val="-7"/>
        </w:rPr>
        <w:t> </w:t>
      </w:r>
      <w:r>
        <w:rPr/>
        <w:t>this</w:t>
      </w:r>
      <w:r>
        <w:rPr>
          <w:spacing w:val="-7"/>
        </w:rPr>
        <w:t> </w:t>
      </w:r>
      <w:r>
        <w:rPr/>
        <w:t>means</w:t>
      </w:r>
      <w:r>
        <w:rPr>
          <w:spacing w:val="-8"/>
        </w:rPr>
        <w:t> </w:t>
      </w:r>
      <w:r>
        <w:rPr/>
        <w:t>that</w:t>
      </w:r>
      <w:r>
        <w:rPr>
          <w:spacing w:val="-8"/>
        </w:rPr>
        <w:t> </w:t>
      </w:r>
      <w:r>
        <w:rPr/>
        <w:t>youth</w:t>
      </w:r>
      <w:r>
        <w:rPr>
          <w:spacing w:val="-8"/>
        </w:rPr>
        <w:t> </w:t>
      </w:r>
      <w:r>
        <w:rPr/>
        <w:t>often</w:t>
      </w:r>
      <w:r>
        <w:rPr>
          <w:spacing w:val="-8"/>
        </w:rPr>
        <w:t> </w:t>
      </w:r>
      <w:r>
        <w:rPr/>
        <w:t>fall between systemic cracks as agencies fail to collaborate and sometimes can even fail to transfer official custody of a youth between systems, leaving youth and their families without any clear guidance or direction for assistance.</w:t>
      </w:r>
    </w:p>
    <w:p>
      <w:pPr>
        <w:pStyle w:val="BodyText"/>
        <w:spacing w:line="276" w:lineRule="auto" w:before="239"/>
        <w:ind w:left="483" w:right="340"/>
        <w:jc w:val="both"/>
      </w:pPr>
      <w:r>
        <w:rPr/>
        <w:t>As first discussed in its FY 2024 recommendations, the Commission has even received notice from some DCF</w:t>
      </w:r>
      <w:r>
        <w:rPr>
          <w:spacing w:val="-1"/>
        </w:rPr>
        <w:t> </w:t>
      </w:r>
      <w:r>
        <w:rPr/>
        <w:t>social</w:t>
      </w:r>
      <w:r>
        <w:rPr>
          <w:spacing w:val="-1"/>
        </w:rPr>
        <w:t> </w:t>
      </w:r>
      <w:r>
        <w:rPr/>
        <w:t>workers that</w:t>
      </w:r>
      <w:r>
        <w:rPr>
          <w:spacing w:val="-1"/>
        </w:rPr>
        <w:t> </w:t>
      </w:r>
      <w:r>
        <w:rPr/>
        <w:t>agencies have failed</w:t>
      </w:r>
      <w:r>
        <w:rPr>
          <w:spacing w:val="-1"/>
        </w:rPr>
        <w:t> </w:t>
      </w:r>
      <w:r>
        <w:rPr/>
        <w:t>to notify them</w:t>
      </w:r>
      <w:r>
        <w:rPr>
          <w:spacing w:val="-1"/>
        </w:rPr>
        <w:t> </w:t>
      </w:r>
      <w:r>
        <w:rPr/>
        <w:t>when their youth</w:t>
      </w:r>
      <w:r>
        <w:rPr>
          <w:spacing w:val="-1"/>
        </w:rPr>
        <w:t> </w:t>
      </w:r>
      <w:r>
        <w:rPr/>
        <w:t>have</w:t>
      </w:r>
      <w:r>
        <w:rPr>
          <w:spacing w:val="-1"/>
        </w:rPr>
        <w:t> </w:t>
      </w:r>
      <w:r>
        <w:rPr/>
        <w:t>been</w:t>
      </w:r>
      <w:r>
        <w:rPr>
          <w:spacing w:val="-1"/>
        </w:rPr>
        <w:t> </w:t>
      </w:r>
      <w:r>
        <w:rPr/>
        <w:t>transferred</w:t>
      </w:r>
      <w:r>
        <w:rPr>
          <w:spacing w:val="-1"/>
        </w:rPr>
        <w:t> </w:t>
      </w:r>
      <w:r>
        <w:rPr/>
        <w:t>into DYS</w:t>
      </w:r>
      <w:r>
        <w:rPr>
          <w:spacing w:val="-13"/>
        </w:rPr>
        <w:t> </w:t>
      </w:r>
      <w:r>
        <w:rPr/>
        <w:t>custody.</w:t>
      </w:r>
      <w:r>
        <w:rPr>
          <w:spacing w:val="-12"/>
        </w:rPr>
        <w:t> </w:t>
      </w:r>
      <w:r>
        <w:rPr/>
        <w:t>This</w:t>
      </w:r>
      <w:r>
        <w:rPr>
          <w:spacing w:val="-13"/>
        </w:rPr>
        <w:t> </w:t>
      </w:r>
      <w:r>
        <w:rPr/>
        <w:t>is</w:t>
      </w:r>
      <w:r>
        <w:rPr>
          <w:spacing w:val="-12"/>
        </w:rPr>
        <w:t> </w:t>
      </w:r>
      <w:r>
        <w:rPr/>
        <w:t>particularly</w:t>
      </w:r>
      <w:r>
        <w:rPr>
          <w:spacing w:val="-13"/>
        </w:rPr>
        <w:t> </w:t>
      </w:r>
      <w:r>
        <w:rPr/>
        <w:t>concerning</w:t>
      </w:r>
      <w:r>
        <w:rPr>
          <w:spacing w:val="-12"/>
        </w:rPr>
        <w:t> </w:t>
      </w:r>
      <w:r>
        <w:rPr/>
        <w:t>given</w:t>
      </w:r>
      <w:r>
        <w:rPr>
          <w:spacing w:val="-13"/>
        </w:rPr>
        <w:t> </w:t>
      </w:r>
      <w:r>
        <w:rPr/>
        <w:t>that</w:t>
      </w:r>
      <w:r>
        <w:rPr>
          <w:spacing w:val="-12"/>
        </w:rPr>
        <w:t> </w:t>
      </w:r>
      <w:r>
        <w:rPr/>
        <w:t>cases</w:t>
      </w:r>
      <w:r>
        <w:rPr>
          <w:spacing w:val="-12"/>
        </w:rPr>
        <w:t> </w:t>
      </w:r>
      <w:r>
        <w:rPr/>
        <w:t>being</w:t>
      </w:r>
      <w:r>
        <w:rPr>
          <w:spacing w:val="-13"/>
        </w:rPr>
        <w:t> </w:t>
      </w:r>
      <w:r>
        <w:rPr/>
        <w:t>monitored</w:t>
      </w:r>
      <w:r>
        <w:rPr>
          <w:spacing w:val="-12"/>
        </w:rPr>
        <w:t> </w:t>
      </w:r>
      <w:r>
        <w:rPr/>
        <w:t>by</w:t>
      </w:r>
      <w:r>
        <w:rPr>
          <w:spacing w:val="-13"/>
        </w:rPr>
        <w:t> </w:t>
      </w:r>
      <w:r>
        <w:rPr/>
        <w:t>DCF</w:t>
      </w:r>
      <w:r>
        <w:rPr>
          <w:spacing w:val="-12"/>
        </w:rPr>
        <w:t> </w:t>
      </w:r>
      <w:r>
        <w:rPr/>
        <w:t>for</w:t>
      </w:r>
      <w:r>
        <w:rPr>
          <w:spacing w:val="-13"/>
        </w:rPr>
        <w:t> </w:t>
      </w:r>
      <w:r>
        <w:rPr/>
        <w:t>abuse</w:t>
      </w:r>
      <w:r>
        <w:rPr>
          <w:spacing w:val="-12"/>
        </w:rPr>
        <w:t> </w:t>
      </w:r>
      <w:r>
        <w:rPr/>
        <w:t>and</w:t>
      </w:r>
      <w:r>
        <w:rPr>
          <w:spacing w:val="-12"/>
        </w:rPr>
        <w:t> </w:t>
      </w:r>
      <w:r>
        <w:rPr/>
        <w:t>neglect are</w:t>
      </w:r>
      <w:r>
        <w:rPr>
          <w:spacing w:val="-5"/>
        </w:rPr>
        <w:t> </w:t>
      </w:r>
      <w:r>
        <w:rPr/>
        <w:t>closed</w:t>
      </w:r>
      <w:r>
        <w:rPr>
          <w:spacing w:val="-5"/>
        </w:rPr>
        <w:t> </w:t>
      </w:r>
      <w:r>
        <w:rPr/>
        <w:t>if</w:t>
      </w:r>
      <w:r>
        <w:rPr>
          <w:spacing w:val="-5"/>
        </w:rPr>
        <w:t> </w:t>
      </w:r>
      <w:r>
        <w:rPr/>
        <w:t>youth</w:t>
      </w:r>
      <w:r>
        <w:rPr>
          <w:spacing w:val="-5"/>
        </w:rPr>
        <w:t> </w:t>
      </w:r>
      <w:r>
        <w:rPr/>
        <w:t>are</w:t>
      </w:r>
      <w:r>
        <w:rPr>
          <w:spacing w:val="-4"/>
        </w:rPr>
        <w:t> </w:t>
      </w:r>
      <w:r>
        <w:rPr/>
        <w:t>committed</w:t>
      </w:r>
      <w:r>
        <w:rPr>
          <w:spacing w:val="-5"/>
        </w:rPr>
        <w:t> </w:t>
      </w:r>
      <w:r>
        <w:rPr/>
        <w:t>to</w:t>
      </w:r>
      <w:r>
        <w:rPr>
          <w:spacing w:val="-5"/>
        </w:rPr>
        <w:t> </w:t>
      </w:r>
      <w:r>
        <w:rPr/>
        <w:t>DYS,</w:t>
      </w:r>
      <w:r>
        <w:rPr>
          <w:spacing w:val="-5"/>
        </w:rPr>
        <w:t> </w:t>
      </w:r>
      <w:r>
        <w:rPr/>
        <w:t>and</w:t>
      </w:r>
      <w:r>
        <w:rPr>
          <w:spacing w:val="-5"/>
        </w:rPr>
        <w:t> </w:t>
      </w:r>
      <w:r>
        <w:rPr/>
        <w:t>also</w:t>
      </w:r>
      <w:r>
        <w:rPr>
          <w:spacing w:val="-5"/>
        </w:rPr>
        <w:t> </w:t>
      </w:r>
      <w:r>
        <w:rPr/>
        <w:t>in</w:t>
      </w:r>
      <w:r>
        <w:rPr>
          <w:spacing w:val="-5"/>
        </w:rPr>
        <w:t> </w:t>
      </w:r>
      <w:r>
        <w:rPr/>
        <w:t>cases</w:t>
      </w:r>
      <w:r>
        <w:rPr>
          <w:spacing w:val="-5"/>
        </w:rPr>
        <w:t> </w:t>
      </w:r>
      <w:r>
        <w:rPr/>
        <w:t>where</w:t>
      </w:r>
      <w:r>
        <w:rPr>
          <w:spacing w:val="-5"/>
        </w:rPr>
        <w:t> </w:t>
      </w:r>
      <w:r>
        <w:rPr/>
        <w:t>DCF</w:t>
      </w:r>
      <w:r>
        <w:rPr>
          <w:spacing w:val="-5"/>
        </w:rPr>
        <w:t> </w:t>
      </w:r>
      <w:r>
        <w:rPr/>
        <w:t>has</w:t>
      </w:r>
      <w:r>
        <w:rPr>
          <w:spacing w:val="-5"/>
        </w:rPr>
        <w:t> </w:t>
      </w:r>
      <w:r>
        <w:rPr/>
        <w:t>custody</w:t>
      </w:r>
      <w:r>
        <w:rPr>
          <w:spacing w:val="-5"/>
        </w:rPr>
        <w:t> </w:t>
      </w:r>
      <w:r>
        <w:rPr/>
        <w:t>and</w:t>
      </w:r>
      <w:r>
        <w:rPr>
          <w:spacing w:val="-5"/>
        </w:rPr>
        <w:t> </w:t>
      </w:r>
      <w:r>
        <w:rPr/>
        <w:t>care</w:t>
      </w:r>
      <w:r>
        <w:rPr>
          <w:spacing w:val="-5"/>
        </w:rPr>
        <w:t> </w:t>
      </w:r>
      <w:r>
        <w:rPr/>
        <w:t>of</w:t>
      </w:r>
      <w:r>
        <w:rPr>
          <w:spacing w:val="-4"/>
        </w:rPr>
        <w:t> </w:t>
      </w:r>
      <w:r>
        <w:rPr/>
        <w:t>the</w:t>
      </w:r>
      <w:r>
        <w:rPr>
          <w:spacing w:val="-5"/>
        </w:rPr>
        <w:t> </w:t>
      </w:r>
      <w:r>
        <w:rPr/>
        <w:t>youth, making DYS for the oversight of the youth. Once they leave DYS custody, the Commission understands that</w:t>
      </w:r>
      <w:r>
        <w:rPr>
          <w:spacing w:val="-1"/>
        </w:rPr>
        <w:t> </w:t>
      </w:r>
      <w:r>
        <w:rPr/>
        <w:t>the</w:t>
      </w:r>
      <w:r>
        <w:rPr>
          <w:spacing w:val="-1"/>
        </w:rPr>
        <w:t> </w:t>
      </w:r>
      <w:r>
        <w:rPr/>
        <w:t>youth</w:t>
      </w:r>
      <w:r>
        <w:rPr>
          <w:spacing w:val="-2"/>
        </w:rPr>
        <w:t> </w:t>
      </w:r>
      <w:r>
        <w:rPr/>
        <w:t>are</w:t>
      </w:r>
      <w:r>
        <w:rPr>
          <w:spacing w:val="-2"/>
        </w:rPr>
        <w:t> </w:t>
      </w:r>
      <w:r>
        <w:rPr/>
        <w:t>often</w:t>
      </w:r>
      <w:r>
        <w:rPr>
          <w:spacing w:val="-1"/>
        </w:rPr>
        <w:t> </w:t>
      </w:r>
      <w:r>
        <w:rPr/>
        <w:t>then</w:t>
      </w:r>
      <w:r>
        <w:rPr>
          <w:spacing w:val="-2"/>
        </w:rPr>
        <w:t> </w:t>
      </w:r>
      <w:r>
        <w:rPr/>
        <w:t>returned</w:t>
      </w:r>
      <w:r>
        <w:rPr>
          <w:spacing w:val="-1"/>
        </w:rPr>
        <w:t> </w:t>
      </w:r>
      <w:r>
        <w:rPr/>
        <w:t>to their family</w:t>
      </w:r>
      <w:r>
        <w:rPr>
          <w:spacing w:val="-2"/>
        </w:rPr>
        <w:t> </w:t>
      </w:r>
      <w:r>
        <w:rPr/>
        <w:t>of</w:t>
      </w:r>
      <w:r>
        <w:rPr>
          <w:spacing w:val="-2"/>
        </w:rPr>
        <w:t> </w:t>
      </w:r>
      <w:r>
        <w:rPr/>
        <w:t>origin</w:t>
      </w:r>
      <w:r>
        <w:rPr>
          <w:spacing w:val="-1"/>
        </w:rPr>
        <w:t> </w:t>
      </w:r>
      <w:r>
        <w:rPr/>
        <w:t>without</w:t>
      </w:r>
      <w:r>
        <w:rPr>
          <w:spacing w:val="-1"/>
        </w:rPr>
        <w:t> </w:t>
      </w:r>
      <w:r>
        <w:rPr/>
        <w:t>any</w:t>
      </w:r>
      <w:r>
        <w:rPr>
          <w:spacing w:val="-2"/>
        </w:rPr>
        <w:t> </w:t>
      </w:r>
      <w:r>
        <w:rPr/>
        <w:t>further monitoring</w:t>
      </w:r>
      <w:r>
        <w:rPr>
          <w:spacing w:val="-1"/>
        </w:rPr>
        <w:t> </w:t>
      </w:r>
      <w:r>
        <w:rPr/>
        <w:t>by</w:t>
      </w:r>
      <w:r>
        <w:rPr>
          <w:spacing w:val="-2"/>
        </w:rPr>
        <w:t> </w:t>
      </w:r>
      <w:r>
        <w:rPr/>
        <w:t>DYS</w:t>
      </w:r>
      <w:r>
        <w:rPr>
          <w:spacing w:val="-1"/>
        </w:rPr>
        <w:t> </w:t>
      </w:r>
      <w:r>
        <w:rPr/>
        <w:t>or DCF to assess for safety. The Commission is concerned by this process as it does not believe that DYS is equipped with the tools or structures to investigate for safety, permanency, or wellbeing to reunify and reconcile family systems that have been disrupted.</w:t>
      </w:r>
    </w:p>
    <w:p>
      <w:pPr>
        <w:spacing w:after="0" w:line="276" w:lineRule="auto"/>
        <w:jc w:val="both"/>
        <w:sectPr>
          <w:pgSz w:w="12240" w:h="15840"/>
          <w:pgMar w:header="804" w:footer="1231" w:top="1000" w:bottom="1460" w:left="960" w:right="1100"/>
        </w:sectPr>
      </w:pPr>
    </w:p>
    <w:p>
      <w:pPr>
        <w:pStyle w:val="BodyText"/>
        <w:spacing w:line="276" w:lineRule="auto" w:before="139"/>
        <w:ind w:left="483" w:right="341"/>
        <w:jc w:val="both"/>
      </w:pPr>
      <w:r>
        <w:rPr/>
        <w:t>In FY 2023, DYS shared that there are multiple existing points of collaboration between other youth- serving agencies, including with DCF: an expedited medical record request and review process; a Data Utilization Agreement since 2018 to notify agencies of overnight arrests of youth in DCF custody; a 2019 MOU</w:t>
      </w:r>
      <w:r>
        <w:rPr>
          <w:spacing w:val="-5"/>
        </w:rPr>
        <w:t> </w:t>
      </w:r>
      <w:r>
        <w:rPr/>
        <w:t>to</w:t>
      </w:r>
      <w:r>
        <w:rPr>
          <w:spacing w:val="-5"/>
        </w:rPr>
        <w:t> </w:t>
      </w:r>
      <w:r>
        <w:rPr/>
        <w:t>facilitate</w:t>
      </w:r>
      <w:r>
        <w:rPr>
          <w:spacing w:val="-4"/>
        </w:rPr>
        <w:t> </w:t>
      </w:r>
      <w:r>
        <w:rPr/>
        <w:t>data</w:t>
      </w:r>
      <w:r>
        <w:rPr>
          <w:spacing w:val="-4"/>
        </w:rPr>
        <w:t> </w:t>
      </w:r>
      <w:r>
        <w:rPr/>
        <w:t>exchange,</w:t>
      </w:r>
      <w:r>
        <w:rPr>
          <w:spacing w:val="-5"/>
        </w:rPr>
        <w:t> </w:t>
      </w:r>
      <w:r>
        <w:rPr/>
        <w:t>streamlined</w:t>
      </w:r>
      <w:r>
        <w:rPr>
          <w:spacing w:val="-4"/>
        </w:rPr>
        <w:t> </w:t>
      </w:r>
      <w:r>
        <w:rPr/>
        <w:t>notification</w:t>
      </w:r>
      <w:r>
        <w:rPr>
          <w:spacing w:val="-4"/>
        </w:rPr>
        <w:t> </w:t>
      </w:r>
      <w:r>
        <w:rPr/>
        <w:t>processes,</w:t>
      </w:r>
      <w:r>
        <w:rPr>
          <w:spacing w:val="-5"/>
        </w:rPr>
        <w:t> </w:t>
      </w:r>
      <w:r>
        <w:rPr/>
        <w:t>collaboration</w:t>
      </w:r>
      <w:r>
        <w:rPr>
          <w:spacing w:val="-4"/>
        </w:rPr>
        <w:t> </w:t>
      </w:r>
      <w:r>
        <w:rPr/>
        <w:t>between</w:t>
      </w:r>
      <w:r>
        <w:rPr>
          <w:spacing w:val="-4"/>
        </w:rPr>
        <w:t> </w:t>
      </w:r>
      <w:r>
        <w:rPr/>
        <w:t>clinical</w:t>
      </w:r>
      <w:r>
        <w:rPr>
          <w:spacing w:val="-4"/>
        </w:rPr>
        <w:t> </w:t>
      </w:r>
      <w:r>
        <w:rPr/>
        <w:t>staff, and weekly interagency meetings around individual cases. And with DMH: routine coordination communications</w:t>
      </w:r>
      <w:r>
        <w:rPr>
          <w:spacing w:val="-7"/>
        </w:rPr>
        <w:t> </w:t>
      </w:r>
      <w:r>
        <w:rPr/>
        <w:t>around</w:t>
      </w:r>
      <w:r>
        <w:rPr>
          <w:spacing w:val="-8"/>
        </w:rPr>
        <w:t> </w:t>
      </w:r>
      <w:r>
        <w:rPr/>
        <w:t>DMH-involved</w:t>
      </w:r>
      <w:r>
        <w:rPr>
          <w:spacing w:val="-7"/>
        </w:rPr>
        <w:t> </w:t>
      </w:r>
      <w:r>
        <w:rPr/>
        <w:t>youth;</w:t>
      </w:r>
      <w:r>
        <w:rPr>
          <w:spacing w:val="-8"/>
        </w:rPr>
        <w:t> </w:t>
      </w:r>
      <w:r>
        <w:rPr/>
        <w:t>family</w:t>
      </w:r>
      <w:r>
        <w:rPr>
          <w:spacing w:val="-6"/>
        </w:rPr>
        <w:t> </w:t>
      </w:r>
      <w:r>
        <w:rPr/>
        <w:t>and</w:t>
      </w:r>
      <w:r>
        <w:rPr>
          <w:spacing w:val="-8"/>
        </w:rPr>
        <w:t> </w:t>
      </w:r>
      <w:r>
        <w:rPr/>
        <w:t>youth</w:t>
      </w:r>
      <w:r>
        <w:rPr>
          <w:spacing w:val="-8"/>
        </w:rPr>
        <w:t> </w:t>
      </w:r>
      <w:r>
        <w:rPr/>
        <w:t>support</w:t>
      </w:r>
      <w:r>
        <w:rPr>
          <w:spacing w:val="-8"/>
        </w:rPr>
        <w:t> </w:t>
      </w:r>
      <w:r>
        <w:rPr/>
        <w:t>with</w:t>
      </w:r>
      <w:r>
        <w:rPr>
          <w:spacing w:val="-8"/>
        </w:rPr>
        <w:t> </w:t>
      </w:r>
      <w:r>
        <w:rPr/>
        <w:t>DMH</w:t>
      </w:r>
      <w:r>
        <w:rPr>
          <w:spacing w:val="-8"/>
        </w:rPr>
        <w:t> </w:t>
      </w:r>
      <w:r>
        <w:rPr/>
        <w:t>referrals,</w:t>
      </w:r>
      <w:r>
        <w:rPr>
          <w:spacing w:val="-7"/>
        </w:rPr>
        <w:t> </w:t>
      </w:r>
      <w:r>
        <w:rPr/>
        <w:t>applications and</w:t>
      </w:r>
      <w:r>
        <w:rPr>
          <w:spacing w:val="-12"/>
        </w:rPr>
        <w:t> </w:t>
      </w:r>
      <w:r>
        <w:rPr/>
        <w:t>appeals;</w:t>
      </w:r>
      <w:r>
        <w:rPr>
          <w:spacing w:val="-11"/>
        </w:rPr>
        <w:t> </w:t>
      </w:r>
      <w:r>
        <w:rPr/>
        <w:t>cross-agency</w:t>
      </w:r>
      <w:r>
        <w:rPr>
          <w:spacing w:val="-10"/>
        </w:rPr>
        <w:t> </w:t>
      </w:r>
      <w:r>
        <w:rPr/>
        <w:t>meetings;</w:t>
      </w:r>
      <w:r>
        <w:rPr>
          <w:spacing w:val="-11"/>
        </w:rPr>
        <w:t> </w:t>
      </w:r>
      <w:r>
        <w:rPr/>
        <w:t>behavioral</w:t>
      </w:r>
      <w:r>
        <w:rPr>
          <w:spacing w:val="-12"/>
        </w:rPr>
        <w:t> </w:t>
      </w:r>
      <w:r>
        <w:rPr/>
        <w:t>health</w:t>
      </w:r>
      <w:r>
        <w:rPr>
          <w:spacing w:val="-12"/>
        </w:rPr>
        <w:t> </w:t>
      </w:r>
      <w:r>
        <w:rPr/>
        <w:t>supports</w:t>
      </w:r>
      <w:r>
        <w:rPr>
          <w:spacing w:val="-12"/>
        </w:rPr>
        <w:t> </w:t>
      </w:r>
      <w:r>
        <w:rPr/>
        <w:t>for</w:t>
      </w:r>
      <w:r>
        <w:rPr>
          <w:spacing w:val="-12"/>
        </w:rPr>
        <w:t> </w:t>
      </w:r>
      <w:r>
        <w:rPr/>
        <w:t>individual</w:t>
      </w:r>
      <w:r>
        <w:rPr>
          <w:spacing w:val="-11"/>
        </w:rPr>
        <w:t> </w:t>
      </w:r>
      <w:r>
        <w:rPr/>
        <w:t>youth</w:t>
      </w:r>
      <w:r>
        <w:rPr>
          <w:spacing w:val="-11"/>
        </w:rPr>
        <w:t> </w:t>
      </w:r>
      <w:r>
        <w:rPr/>
        <w:t>in</w:t>
      </w:r>
      <w:r>
        <w:rPr>
          <w:spacing w:val="-11"/>
        </w:rPr>
        <w:t> </w:t>
      </w:r>
      <w:r>
        <w:rPr/>
        <w:t>crisis;</w:t>
      </w:r>
      <w:r>
        <w:rPr>
          <w:spacing w:val="-10"/>
        </w:rPr>
        <w:t> </w:t>
      </w:r>
      <w:r>
        <w:rPr/>
        <w:t>and</w:t>
      </w:r>
      <w:r>
        <w:rPr>
          <w:spacing w:val="-12"/>
        </w:rPr>
        <w:t> </w:t>
      </w:r>
      <w:r>
        <w:rPr/>
        <w:t>an</w:t>
      </w:r>
      <w:r>
        <w:rPr>
          <w:spacing w:val="-11"/>
        </w:rPr>
        <w:t> </w:t>
      </w:r>
      <w:r>
        <w:rPr/>
        <w:t>MOU to support referral of DYS youth for behavioral health services through the Intensive Residential Treatment Program.</w:t>
      </w:r>
    </w:p>
    <w:p>
      <w:pPr>
        <w:pStyle w:val="BodyText"/>
        <w:spacing w:line="276" w:lineRule="auto" w:before="239"/>
        <w:ind w:left="483" w:right="341"/>
        <w:jc w:val="both"/>
      </w:pPr>
      <w:r>
        <w:rPr/>
        <w:t>In its FY 2024 updates, DYS added that it has this year created additional collaborations with DMH, MassHealth,</w:t>
      </w:r>
      <w:r>
        <w:rPr>
          <w:spacing w:val="-13"/>
        </w:rPr>
        <w:t> </w:t>
      </w:r>
      <w:r>
        <w:rPr/>
        <w:t>DCF,</w:t>
      </w:r>
      <w:r>
        <w:rPr>
          <w:spacing w:val="-12"/>
        </w:rPr>
        <w:t> </w:t>
      </w:r>
      <w:r>
        <w:rPr/>
        <w:t>and</w:t>
      </w:r>
      <w:r>
        <w:rPr>
          <w:spacing w:val="-13"/>
        </w:rPr>
        <w:t> </w:t>
      </w:r>
      <w:r>
        <w:rPr/>
        <w:t>other</w:t>
      </w:r>
      <w:r>
        <w:rPr>
          <w:spacing w:val="-12"/>
        </w:rPr>
        <w:t> </w:t>
      </w:r>
      <w:r>
        <w:rPr/>
        <w:t>state</w:t>
      </w:r>
      <w:r>
        <w:rPr>
          <w:spacing w:val="-13"/>
        </w:rPr>
        <w:t> </w:t>
      </w:r>
      <w:r>
        <w:rPr/>
        <w:t>youth-serving</w:t>
      </w:r>
      <w:r>
        <w:rPr>
          <w:spacing w:val="-12"/>
        </w:rPr>
        <w:t> </w:t>
      </w:r>
      <w:r>
        <w:rPr/>
        <w:t>partners</w:t>
      </w:r>
      <w:r>
        <w:rPr>
          <w:spacing w:val="-13"/>
        </w:rPr>
        <w:t> </w:t>
      </w:r>
      <w:r>
        <w:rPr/>
        <w:t>with</w:t>
      </w:r>
      <w:r>
        <w:rPr>
          <w:spacing w:val="-12"/>
        </w:rPr>
        <w:t> </w:t>
      </w:r>
      <w:r>
        <w:rPr/>
        <w:t>a</w:t>
      </w:r>
      <w:r>
        <w:rPr>
          <w:spacing w:val="-12"/>
        </w:rPr>
        <w:t> </w:t>
      </w:r>
      <w:r>
        <w:rPr/>
        <w:t>focus</w:t>
      </w:r>
      <w:r>
        <w:rPr>
          <w:spacing w:val="-13"/>
        </w:rPr>
        <w:t> </w:t>
      </w:r>
      <w:r>
        <w:rPr/>
        <w:t>on</w:t>
      </w:r>
      <w:r>
        <w:rPr>
          <w:spacing w:val="-12"/>
        </w:rPr>
        <w:t> </w:t>
      </w:r>
      <w:r>
        <w:rPr/>
        <w:t>finding</w:t>
      </w:r>
      <w:r>
        <w:rPr>
          <w:spacing w:val="-13"/>
        </w:rPr>
        <w:t> </w:t>
      </w:r>
      <w:r>
        <w:rPr/>
        <w:t>structured</w:t>
      </w:r>
      <w:r>
        <w:rPr>
          <w:spacing w:val="-12"/>
        </w:rPr>
        <w:t> </w:t>
      </w:r>
      <w:r>
        <w:rPr/>
        <w:t>and</w:t>
      </w:r>
      <w:r>
        <w:rPr>
          <w:spacing w:val="-13"/>
        </w:rPr>
        <w:t> </w:t>
      </w:r>
      <w:r>
        <w:rPr/>
        <w:t>consistent communication systems at the central and regional levels. It has additionally noted that has consistently brought on MaeBright for consultation services around individual cases to advise on clinical and medical support, appropriate placement decisions, and youth engagement. Overall, as shared in other agency recommendations,</w:t>
      </w:r>
      <w:r>
        <w:rPr>
          <w:spacing w:val="-5"/>
        </w:rPr>
        <w:t> </w:t>
      </w:r>
      <w:r>
        <w:rPr/>
        <w:t>the</w:t>
      </w:r>
      <w:r>
        <w:rPr>
          <w:spacing w:val="-5"/>
        </w:rPr>
        <w:t> </w:t>
      </w:r>
      <w:r>
        <w:rPr/>
        <w:t>Commission</w:t>
      </w:r>
      <w:r>
        <w:rPr>
          <w:spacing w:val="-5"/>
        </w:rPr>
        <w:t> </w:t>
      </w:r>
      <w:r>
        <w:rPr/>
        <w:t>advises</w:t>
      </w:r>
      <w:r>
        <w:rPr>
          <w:spacing w:val="-5"/>
        </w:rPr>
        <w:t> </w:t>
      </w:r>
      <w:r>
        <w:rPr/>
        <w:t>that</w:t>
      </w:r>
      <w:r>
        <w:rPr>
          <w:spacing w:val="-4"/>
        </w:rPr>
        <w:t> </w:t>
      </w:r>
      <w:r>
        <w:rPr/>
        <w:t>DYS</w:t>
      </w:r>
      <w:r>
        <w:rPr>
          <w:spacing w:val="-4"/>
        </w:rPr>
        <w:t> </w:t>
      </w:r>
      <w:r>
        <w:rPr/>
        <w:t>provide</w:t>
      </w:r>
      <w:r>
        <w:rPr>
          <w:spacing w:val="-4"/>
        </w:rPr>
        <w:t> </w:t>
      </w:r>
      <w:r>
        <w:rPr/>
        <w:t>clear</w:t>
      </w:r>
      <w:r>
        <w:rPr>
          <w:spacing w:val="-4"/>
        </w:rPr>
        <w:t> </w:t>
      </w:r>
      <w:r>
        <w:rPr/>
        <w:t>communication</w:t>
      </w:r>
      <w:r>
        <w:rPr>
          <w:spacing w:val="-5"/>
        </w:rPr>
        <w:t> </w:t>
      </w:r>
      <w:r>
        <w:rPr/>
        <w:t>with</w:t>
      </w:r>
      <w:r>
        <w:rPr>
          <w:spacing w:val="-5"/>
        </w:rPr>
        <w:t> </w:t>
      </w:r>
      <w:r>
        <w:rPr/>
        <w:t>all</w:t>
      </w:r>
      <w:r>
        <w:rPr>
          <w:spacing w:val="-4"/>
        </w:rPr>
        <w:t> </w:t>
      </w:r>
      <w:r>
        <w:rPr/>
        <w:t>staff,</w:t>
      </w:r>
      <w:r>
        <w:rPr>
          <w:spacing w:val="-5"/>
        </w:rPr>
        <w:t> </w:t>
      </w:r>
      <w:r>
        <w:rPr/>
        <w:t>families, and youth that conveys direct and transparent explanations of interagency processes and policies. Furthermore, the Commission recommends that DYS – as it is doing so with other state agencies – to examine its established contracts to potentially include explicit language around supporting transition- aged youth and accountability to ensuring that youth are receiving appropriate, affirming services.</w:t>
      </w:r>
    </w:p>
    <w:p>
      <w:pPr>
        <w:pStyle w:val="BodyText"/>
      </w:pPr>
    </w:p>
    <w:p>
      <w:pPr>
        <w:pStyle w:val="BodyText"/>
        <w:spacing w:before="237"/>
      </w:pPr>
    </w:p>
    <w:p>
      <w:pPr>
        <w:spacing w:before="0"/>
        <w:ind w:left="483" w:right="0" w:firstLine="0"/>
        <w:jc w:val="both"/>
        <w:rPr>
          <w:i/>
          <w:sz w:val="21"/>
        </w:rPr>
      </w:pPr>
      <w:r>
        <w:rPr>
          <w:i/>
          <w:sz w:val="21"/>
        </w:rPr>
        <w:t>Acknowledgments:</w:t>
      </w:r>
      <w:r>
        <w:rPr>
          <w:i/>
          <w:spacing w:val="-5"/>
          <w:sz w:val="21"/>
        </w:rPr>
        <w:t> </w:t>
      </w:r>
      <w:r>
        <w:rPr>
          <w:i/>
          <w:sz w:val="21"/>
        </w:rPr>
        <w:t>The</w:t>
      </w:r>
      <w:r>
        <w:rPr>
          <w:i/>
          <w:spacing w:val="-2"/>
          <w:sz w:val="21"/>
        </w:rPr>
        <w:t> </w:t>
      </w:r>
      <w:r>
        <w:rPr>
          <w:i/>
          <w:sz w:val="21"/>
        </w:rPr>
        <w:t>Commission</w:t>
      </w:r>
      <w:r>
        <w:rPr>
          <w:i/>
          <w:spacing w:val="-2"/>
          <w:sz w:val="21"/>
        </w:rPr>
        <w:t> </w:t>
      </w:r>
      <w:r>
        <w:rPr>
          <w:i/>
          <w:sz w:val="21"/>
        </w:rPr>
        <w:t>appreciates</w:t>
      </w:r>
      <w:r>
        <w:rPr>
          <w:i/>
          <w:spacing w:val="-4"/>
          <w:sz w:val="21"/>
        </w:rPr>
        <w:t> </w:t>
      </w:r>
      <w:r>
        <w:rPr>
          <w:i/>
          <w:sz w:val="21"/>
        </w:rPr>
        <w:t>the</w:t>
      </w:r>
      <w:r>
        <w:rPr>
          <w:i/>
          <w:spacing w:val="-3"/>
          <w:sz w:val="21"/>
        </w:rPr>
        <w:t> </w:t>
      </w:r>
      <w:r>
        <w:rPr>
          <w:i/>
          <w:sz w:val="21"/>
        </w:rPr>
        <w:t>contributions</w:t>
      </w:r>
      <w:r>
        <w:rPr>
          <w:i/>
          <w:spacing w:val="-3"/>
          <w:sz w:val="21"/>
        </w:rPr>
        <w:t> </w:t>
      </w:r>
      <w:r>
        <w:rPr>
          <w:i/>
          <w:sz w:val="21"/>
        </w:rPr>
        <w:t>of</w:t>
      </w:r>
      <w:r>
        <w:rPr>
          <w:i/>
          <w:spacing w:val="-3"/>
          <w:sz w:val="21"/>
        </w:rPr>
        <w:t> </w:t>
      </w:r>
      <w:r>
        <w:rPr>
          <w:i/>
          <w:sz w:val="21"/>
        </w:rPr>
        <w:t>its</w:t>
      </w:r>
      <w:r>
        <w:rPr>
          <w:i/>
          <w:spacing w:val="-2"/>
          <w:sz w:val="21"/>
        </w:rPr>
        <w:t> </w:t>
      </w:r>
      <w:r>
        <w:rPr>
          <w:i/>
          <w:sz w:val="21"/>
        </w:rPr>
        <w:t>DYS</w:t>
      </w:r>
      <w:r>
        <w:rPr>
          <w:i/>
          <w:spacing w:val="-3"/>
          <w:sz w:val="21"/>
        </w:rPr>
        <w:t> </w:t>
      </w:r>
      <w:r>
        <w:rPr>
          <w:i/>
          <w:sz w:val="21"/>
        </w:rPr>
        <w:t>staff</w:t>
      </w:r>
      <w:r>
        <w:rPr>
          <w:i/>
          <w:spacing w:val="-2"/>
          <w:sz w:val="21"/>
        </w:rPr>
        <w:t> liaisons.</w:t>
      </w:r>
    </w:p>
    <w:p>
      <w:pPr>
        <w:spacing w:after="0"/>
        <w:jc w:val="both"/>
        <w:rPr>
          <w:sz w:val="21"/>
        </w:rPr>
        <w:sectPr>
          <w:pgSz w:w="12240" w:h="15840"/>
          <w:pgMar w:header="804" w:footer="1231" w:top="1000" w:bottom="1460" w:left="960" w:right="1100"/>
        </w:sectPr>
      </w:pPr>
    </w:p>
    <w:p>
      <w:pPr>
        <w:pStyle w:val="BodyText"/>
        <w:rPr>
          <w:i/>
          <w:sz w:val="20"/>
        </w:rPr>
      </w:pPr>
    </w:p>
    <w:p>
      <w:pPr>
        <w:pStyle w:val="BodyText"/>
        <w:spacing w:before="89"/>
        <w:rPr>
          <w:i/>
          <w:sz w:val="20"/>
        </w:rPr>
      </w:pPr>
    </w:p>
    <w:p>
      <w:pPr>
        <w:pStyle w:val="BodyText"/>
        <w:spacing w:line="20" w:lineRule="exact"/>
        <w:ind w:left="440"/>
        <w:rPr>
          <w:sz w:val="2"/>
        </w:rPr>
      </w:pPr>
      <w:r>
        <w:rPr>
          <w:sz w:val="2"/>
        </w:rPr>
        <mc:AlternateContent>
          <mc:Choice Requires="wps">
            <w:drawing>
              <wp:inline distT="0" distB="0" distL="0" distR="0">
                <wp:extent cx="6350" cy="12700"/>
                <wp:effectExtent l="0" t="0" r="0" b="0"/>
                <wp:docPr id="649" name="Group 649"/>
                <wp:cNvGraphicFramePr>
                  <a:graphicFrameLocks/>
                </wp:cNvGraphicFramePr>
                <a:graphic>
                  <a:graphicData uri="http://schemas.microsoft.com/office/word/2010/wordprocessingGroup">
                    <wpg:wgp>
                      <wpg:cNvPr id="649" name="Group 649"/>
                      <wpg:cNvGrpSpPr/>
                      <wpg:grpSpPr>
                        <a:xfrm>
                          <a:off x="0" y="0"/>
                          <a:ext cx="6350" cy="12700"/>
                          <a:chExt cx="6350" cy="12700"/>
                        </a:xfrm>
                      </wpg:grpSpPr>
                      <wps:wsp>
                        <wps:cNvPr id="650" name="Graphic 650"/>
                        <wps:cNvSpPr/>
                        <wps:spPr>
                          <a:xfrm>
                            <a:off x="0" y="0"/>
                            <a:ext cx="6350" cy="12700"/>
                          </a:xfrm>
                          <a:custGeom>
                            <a:avLst/>
                            <a:gdLst/>
                            <a:ahLst/>
                            <a:cxnLst/>
                            <a:rect l="l" t="t" r="r" b="b"/>
                            <a:pathLst>
                              <a:path w="6350" h="12700">
                                <a:moveTo>
                                  <a:pt x="6337" y="0"/>
                                </a:moveTo>
                                <a:lnTo>
                                  <a:pt x="0" y="0"/>
                                </a:lnTo>
                                <a:lnTo>
                                  <a:pt x="0" y="12179"/>
                                </a:lnTo>
                                <a:lnTo>
                                  <a:pt x="6337" y="12179"/>
                                </a:lnTo>
                                <a:lnTo>
                                  <a:pt x="6337" y="0"/>
                                </a:lnTo>
                                <a:close/>
                              </a:path>
                            </a:pathLst>
                          </a:custGeom>
                          <a:solidFill>
                            <a:srgbClr val="4F81BB"/>
                          </a:solidFill>
                        </wps:spPr>
                        <wps:bodyPr wrap="square" lIns="0" tIns="0" rIns="0" bIns="0" rtlCol="0">
                          <a:prstTxWarp prst="textNoShape">
                            <a:avLst/>
                          </a:prstTxWarp>
                          <a:noAutofit/>
                        </wps:bodyPr>
                      </wps:wsp>
                    </wpg:wgp>
                  </a:graphicData>
                </a:graphic>
              </wp:inline>
            </w:drawing>
          </mc:Choice>
          <mc:Fallback>
            <w:pict>
              <v:group style="width:.5pt;height:1pt;mso-position-horizontal-relative:char;mso-position-vertical-relative:line" id="docshapegroup546" coordorigin="0,0" coordsize="10,20">
                <v:rect style="position:absolute;left:0;top:0;width:10;height:20" id="docshape547" filled="true" fillcolor="#4f81bb" stroked="false">
                  <v:fill type="solid"/>
                </v:rect>
              </v:group>
            </w:pict>
          </mc:Fallback>
        </mc:AlternateContent>
      </w:r>
      <w:r>
        <w:rPr>
          <w:sz w:val="2"/>
        </w:rPr>
      </w:r>
    </w:p>
    <w:p>
      <w:pPr>
        <w:pStyle w:val="Heading7"/>
        <w:ind w:left="339"/>
      </w:pPr>
      <w:bookmarkStart w:name="_bookmark644" w:id="951"/>
      <w:bookmarkEnd w:id="951"/>
      <w:r>
        <w:rPr/>
      </w:r>
      <w:hyperlink w:history="true" w:anchor="_bookmark6">
        <w:r>
          <w:rPr>
            <w:color w:val="365F91"/>
            <w:spacing w:val="-10"/>
          </w:rPr>
          <w:t>Additional</w:t>
        </w:r>
        <w:r>
          <w:rPr>
            <w:color w:val="365F91"/>
            <w:spacing w:val="-1"/>
          </w:rPr>
          <w:t> </w:t>
        </w:r>
        <w:r>
          <w:rPr>
            <w:color w:val="365F91"/>
            <w:spacing w:val="-10"/>
          </w:rPr>
          <w:t>State</w:t>
        </w:r>
        <w:r>
          <w:rPr>
            <w:color w:val="365F91"/>
          </w:rPr>
          <w:t> </w:t>
        </w:r>
        <w:r>
          <w:rPr>
            <w:color w:val="365F91"/>
            <w:spacing w:val="-10"/>
          </w:rPr>
          <w:t>Entities</w:t>
        </w:r>
      </w:hyperlink>
    </w:p>
    <w:p>
      <w:pPr>
        <w:pStyle w:val="BodyText"/>
        <w:spacing w:before="205"/>
        <w:rPr>
          <w:sz w:val="20"/>
        </w:rPr>
      </w:pPr>
      <w:r>
        <w:rPr/>
        <mc:AlternateContent>
          <mc:Choice Requires="wps">
            <w:drawing>
              <wp:anchor distT="0" distB="0" distL="0" distR="0" allowOverlap="1" layoutInCell="1" locked="0" behindDoc="1" simplePos="0" relativeHeight="487720960">
                <wp:simplePos x="0" y="0"/>
                <wp:positionH relativeFrom="page">
                  <wp:posOffset>889000</wp:posOffset>
                </wp:positionH>
                <wp:positionV relativeFrom="paragraph">
                  <wp:posOffset>300506</wp:posOffset>
                </wp:positionV>
                <wp:extent cx="6350" cy="12700"/>
                <wp:effectExtent l="0" t="0" r="0" b="0"/>
                <wp:wrapTopAndBottom/>
                <wp:docPr id="651" name="Graphic 651"/>
                <wp:cNvGraphicFramePr>
                  <a:graphicFrameLocks/>
                </wp:cNvGraphicFramePr>
                <a:graphic>
                  <a:graphicData uri="http://schemas.microsoft.com/office/word/2010/wordprocessingShape">
                    <wps:wsp>
                      <wps:cNvPr id="651" name="Graphic 651"/>
                      <wps:cNvSpPr/>
                      <wps:spPr>
                        <a:xfrm>
                          <a:off x="0" y="0"/>
                          <a:ext cx="6350" cy="12700"/>
                        </a:xfrm>
                        <a:custGeom>
                          <a:avLst/>
                          <a:gdLst/>
                          <a:ahLst/>
                          <a:cxnLst/>
                          <a:rect l="l" t="t" r="r" b="b"/>
                          <a:pathLst>
                            <a:path w="6350" h="12700">
                              <a:moveTo>
                                <a:pt x="6337" y="0"/>
                              </a:moveTo>
                              <a:lnTo>
                                <a:pt x="0" y="0"/>
                              </a:lnTo>
                              <a:lnTo>
                                <a:pt x="0" y="12192"/>
                              </a:lnTo>
                              <a:lnTo>
                                <a:pt x="6337" y="12192"/>
                              </a:lnTo>
                              <a:lnTo>
                                <a:pt x="6337" y="0"/>
                              </a:lnTo>
                              <a:close/>
                            </a:path>
                          </a:pathLst>
                        </a:custGeom>
                        <a:solidFill>
                          <a:srgbClr val="4F81BB"/>
                        </a:solidFill>
                      </wps:spPr>
                      <wps:bodyPr wrap="square" lIns="0" tIns="0" rIns="0" bIns="0" rtlCol="0">
                        <a:prstTxWarp prst="textNoShape">
                          <a:avLst/>
                        </a:prstTxWarp>
                        <a:noAutofit/>
                      </wps:bodyPr>
                    </wps:wsp>
                  </a:graphicData>
                </a:graphic>
              </wp:anchor>
            </w:drawing>
          </mc:Choice>
          <mc:Fallback>
            <w:pict>
              <v:rect style="position:absolute;margin-left:70pt;margin-top:23.661938pt;width:.499pt;height:.96pt;mso-position-horizontal-relative:page;mso-position-vertical-relative:paragraph;z-index:-15595520;mso-wrap-distance-left:0;mso-wrap-distance-right:0" id="docshape548" filled="true" fillcolor="#4f81bb" stroked="false">
                <v:fill type="solid"/>
                <w10:wrap type="topAndBottom"/>
              </v:rect>
            </w:pict>
          </mc:Fallback>
        </mc:AlternateContent>
      </w:r>
    </w:p>
    <w:p>
      <w:pPr>
        <w:spacing w:before="0"/>
        <w:ind w:left="339" w:right="0" w:firstLine="0"/>
        <w:jc w:val="left"/>
        <w:rPr>
          <w:sz w:val="40"/>
        </w:rPr>
      </w:pPr>
      <w:r>
        <w:rPr>
          <w:color w:val="365F91"/>
          <w:spacing w:val="-8"/>
          <w:sz w:val="40"/>
        </w:rPr>
        <w:t>Executive</w:t>
      </w:r>
      <w:r>
        <w:rPr>
          <w:color w:val="365F91"/>
          <w:spacing w:val="-13"/>
          <w:sz w:val="40"/>
        </w:rPr>
        <w:t> </w:t>
      </w:r>
      <w:r>
        <w:rPr>
          <w:color w:val="365F91"/>
          <w:spacing w:val="-8"/>
          <w:sz w:val="40"/>
        </w:rPr>
        <w:t>Office</w:t>
      </w:r>
      <w:r>
        <w:rPr>
          <w:color w:val="365F91"/>
          <w:spacing w:val="-13"/>
          <w:sz w:val="40"/>
        </w:rPr>
        <w:t> </w:t>
      </w:r>
      <w:r>
        <w:rPr>
          <w:color w:val="365F91"/>
          <w:spacing w:val="-8"/>
          <w:sz w:val="40"/>
        </w:rPr>
        <w:t>of</w:t>
      </w:r>
      <w:r>
        <w:rPr>
          <w:color w:val="365F91"/>
          <w:spacing w:val="-12"/>
          <w:sz w:val="40"/>
        </w:rPr>
        <w:t> </w:t>
      </w:r>
      <w:r>
        <w:rPr>
          <w:color w:val="365F91"/>
          <w:spacing w:val="-8"/>
          <w:sz w:val="40"/>
        </w:rPr>
        <w:t>Public</w:t>
      </w:r>
      <w:r>
        <w:rPr>
          <w:color w:val="365F91"/>
          <w:spacing w:val="-12"/>
          <w:sz w:val="40"/>
        </w:rPr>
        <w:t> </w:t>
      </w:r>
      <w:r>
        <w:rPr>
          <w:color w:val="365F91"/>
          <w:spacing w:val="-8"/>
          <w:sz w:val="40"/>
        </w:rPr>
        <w:t>Safety</w:t>
      </w:r>
      <w:r>
        <w:rPr>
          <w:color w:val="365F91"/>
          <w:spacing w:val="-12"/>
          <w:sz w:val="40"/>
        </w:rPr>
        <w:t> </w:t>
      </w:r>
      <w:r>
        <w:rPr>
          <w:color w:val="365F91"/>
          <w:spacing w:val="-8"/>
          <w:sz w:val="40"/>
        </w:rPr>
        <w:t>and</w:t>
      </w:r>
      <w:r>
        <w:rPr>
          <w:color w:val="365F91"/>
          <w:spacing w:val="-12"/>
          <w:sz w:val="40"/>
        </w:rPr>
        <w:t> </w:t>
      </w:r>
      <w:r>
        <w:rPr>
          <w:color w:val="365F91"/>
          <w:spacing w:val="-8"/>
          <w:sz w:val="40"/>
        </w:rPr>
        <w:t>Security</w:t>
      </w:r>
    </w:p>
    <w:p>
      <w:pPr>
        <w:pStyle w:val="BodyText"/>
        <w:spacing w:before="145"/>
        <w:rPr>
          <w:sz w:val="20"/>
        </w:rPr>
      </w:pPr>
      <w:r>
        <w:rPr/>
        <mc:AlternateContent>
          <mc:Choice Requires="wps">
            <w:drawing>
              <wp:anchor distT="0" distB="0" distL="0" distR="0" allowOverlap="1" layoutInCell="1" locked="0" behindDoc="1" simplePos="0" relativeHeight="487721472">
                <wp:simplePos x="0" y="0"/>
                <wp:positionH relativeFrom="page">
                  <wp:posOffset>889000</wp:posOffset>
                </wp:positionH>
                <wp:positionV relativeFrom="paragraph">
                  <wp:posOffset>262927</wp:posOffset>
                </wp:positionV>
                <wp:extent cx="6350" cy="12700"/>
                <wp:effectExtent l="0" t="0" r="0" b="0"/>
                <wp:wrapTopAndBottom/>
                <wp:docPr id="652" name="Graphic 652"/>
                <wp:cNvGraphicFramePr>
                  <a:graphicFrameLocks/>
                </wp:cNvGraphicFramePr>
                <a:graphic>
                  <a:graphicData uri="http://schemas.microsoft.com/office/word/2010/wordprocessingShape">
                    <wps:wsp>
                      <wps:cNvPr id="652" name="Graphic 652"/>
                      <wps:cNvSpPr/>
                      <wps:spPr>
                        <a:xfrm>
                          <a:off x="0" y="0"/>
                          <a:ext cx="6350" cy="12700"/>
                        </a:xfrm>
                        <a:custGeom>
                          <a:avLst/>
                          <a:gdLst/>
                          <a:ahLst/>
                          <a:cxnLst/>
                          <a:rect l="l" t="t" r="r" b="b"/>
                          <a:pathLst>
                            <a:path w="6350" h="12700">
                              <a:moveTo>
                                <a:pt x="6337" y="0"/>
                              </a:moveTo>
                              <a:lnTo>
                                <a:pt x="0" y="0"/>
                              </a:lnTo>
                              <a:lnTo>
                                <a:pt x="0" y="12179"/>
                              </a:lnTo>
                              <a:lnTo>
                                <a:pt x="6337" y="12179"/>
                              </a:lnTo>
                              <a:lnTo>
                                <a:pt x="6337" y="0"/>
                              </a:lnTo>
                              <a:close/>
                            </a:path>
                          </a:pathLst>
                        </a:custGeom>
                        <a:solidFill>
                          <a:srgbClr val="4F81BB"/>
                        </a:solidFill>
                      </wps:spPr>
                      <wps:bodyPr wrap="square" lIns="0" tIns="0" rIns="0" bIns="0" rtlCol="0">
                        <a:prstTxWarp prst="textNoShape">
                          <a:avLst/>
                        </a:prstTxWarp>
                        <a:noAutofit/>
                      </wps:bodyPr>
                    </wps:wsp>
                  </a:graphicData>
                </a:graphic>
              </wp:anchor>
            </w:drawing>
          </mc:Choice>
          <mc:Fallback>
            <w:pict>
              <v:rect style="position:absolute;margin-left:70pt;margin-top:20.702938pt;width:.499pt;height:.959pt;mso-position-horizontal-relative:page;mso-position-vertical-relative:paragraph;z-index:-15595008;mso-wrap-distance-left:0;mso-wrap-distance-right:0" id="docshape549" filled="true" fillcolor="#4f81bb" stroked="false">
                <v:fill type="solid"/>
                <w10:wrap type="topAndBottom"/>
              </v:rect>
            </w:pict>
          </mc:Fallback>
        </mc:AlternateContent>
      </w:r>
    </w:p>
    <w:p>
      <w:pPr>
        <w:spacing w:before="0"/>
        <w:ind w:left="339" w:right="0" w:firstLine="0"/>
        <w:jc w:val="left"/>
        <w:rPr>
          <w:sz w:val="28"/>
        </w:rPr>
      </w:pPr>
      <w:r>
        <w:rPr>
          <w:color w:val="365F91"/>
          <w:sz w:val="28"/>
        </w:rPr>
        <w:t>FY</w:t>
      </w:r>
      <w:r>
        <w:rPr>
          <w:color w:val="365F91"/>
          <w:spacing w:val="-7"/>
          <w:sz w:val="28"/>
        </w:rPr>
        <w:t> </w:t>
      </w:r>
      <w:r>
        <w:rPr>
          <w:color w:val="365F91"/>
          <w:sz w:val="28"/>
        </w:rPr>
        <w:t>2025</w:t>
      </w:r>
      <w:r>
        <w:rPr>
          <w:color w:val="365F91"/>
          <w:spacing w:val="-6"/>
          <w:sz w:val="28"/>
        </w:rPr>
        <w:t> </w:t>
      </w:r>
      <w:r>
        <w:rPr>
          <w:color w:val="365F91"/>
          <w:spacing w:val="-2"/>
          <w:sz w:val="28"/>
        </w:rPr>
        <w:t>Recommendations</w:t>
      </w:r>
    </w:p>
    <w:p>
      <w:pPr>
        <w:pStyle w:val="BodyText"/>
        <w:spacing w:before="10"/>
        <w:rPr>
          <w:sz w:val="3"/>
        </w:rPr>
      </w:pPr>
      <w:r>
        <w:rPr/>
        <mc:AlternateContent>
          <mc:Choice Requires="wps">
            <w:drawing>
              <wp:anchor distT="0" distB="0" distL="0" distR="0" allowOverlap="1" layoutInCell="1" locked="0" behindDoc="1" simplePos="0" relativeHeight="487721984">
                <wp:simplePos x="0" y="0"/>
                <wp:positionH relativeFrom="page">
                  <wp:posOffset>806195</wp:posOffset>
                </wp:positionH>
                <wp:positionV relativeFrom="paragraph">
                  <wp:posOffset>44921</wp:posOffset>
                </wp:positionV>
                <wp:extent cx="6197600" cy="6350"/>
                <wp:effectExtent l="0" t="0" r="0" b="0"/>
                <wp:wrapTopAndBottom/>
                <wp:docPr id="653" name="Graphic 653"/>
                <wp:cNvGraphicFramePr>
                  <a:graphicFrameLocks/>
                </wp:cNvGraphicFramePr>
                <a:graphic>
                  <a:graphicData uri="http://schemas.microsoft.com/office/word/2010/wordprocessingShape">
                    <wps:wsp>
                      <wps:cNvPr id="653" name="Graphic 653"/>
                      <wps:cNvSpPr/>
                      <wps:spPr>
                        <a:xfrm>
                          <a:off x="0" y="0"/>
                          <a:ext cx="6197600" cy="6350"/>
                        </a:xfrm>
                        <a:custGeom>
                          <a:avLst/>
                          <a:gdLst/>
                          <a:ahLst/>
                          <a:cxnLst/>
                          <a:rect l="l" t="t" r="r" b="b"/>
                          <a:pathLst>
                            <a:path w="6197600" h="6350">
                              <a:moveTo>
                                <a:pt x="6197346" y="0"/>
                              </a:moveTo>
                              <a:lnTo>
                                <a:pt x="0" y="0"/>
                              </a:lnTo>
                              <a:lnTo>
                                <a:pt x="0" y="6108"/>
                              </a:lnTo>
                              <a:lnTo>
                                <a:pt x="6197346" y="6108"/>
                              </a:lnTo>
                              <a:lnTo>
                                <a:pt x="6197346" y="0"/>
                              </a:lnTo>
                              <a:close/>
                            </a:path>
                          </a:pathLst>
                        </a:custGeom>
                        <a:solidFill>
                          <a:srgbClr val="4F81BC"/>
                        </a:solidFill>
                      </wps:spPr>
                      <wps:bodyPr wrap="square" lIns="0" tIns="0" rIns="0" bIns="0" rtlCol="0">
                        <a:prstTxWarp prst="textNoShape">
                          <a:avLst/>
                        </a:prstTxWarp>
                        <a:noAutofit/>
                      </wps:bodyPr>
                    </wps:wsp>
                  </a:graphicData>
                </a:graphic>
              </wp:anchor>
            </w:drawing>
          </mc:Choice>
          <mc:Fallback>
            <w:pict>
              <v:rect style="position:absolute;margin-left:63.48pt;margin-top:3.537156pt;width:487.98pt;height:.481pt;mso-position-horizontal-relative:page;mso-position-vertical-relative:paragraph;z-index:-15594496;mso-wrap-distance-left:0;mso-wrap-distance-right:0" id="docshape550" filled="true" fillcolor="#4f81bc" stroked="false">
                <v:fill type="solid"/>
                <w10:wrap type="topAndBottom"/>
              </v:rect>
            </w:pict>
          </mc:Fallback>
        </mc:AlternateContent>
      </w:r>
    </w:p>
    <w:p>
      <w:pPr>
        <w:pStyle w:val="ListParagraph"/>
        <w:numPr>
          <w:ilvl w:val="1"/>
          <w:numId w:val="44"/>
        </w:numPr>
        <w:tabs>
          <w:tab w:pos="1194" w:val="left" w:leader="none"/>
          <w:tab w:pos="1200" w:val="left" w:leader="none"/>
        </w:tabs>
        <w:spacing w:line="276" w:lineRule="auto" w:before="241" w:after="0"/>
        <w:ind w:left="1200" w:right="336" w:hanging="362"/>
        <w:jc w:val="left"/>
        <w:rPr>
          <w:sz w:val="22"/>
        </w:rPr>
      </w:pPr>
      <w:r>
        <w:rPr>
          <w:sz w:val="22"/>
        </w:rPr>
        <w:t>Convene an interagency committee to discuss the needs of LGBTQ young people encountering EOPSS agencies, and explore options for improving data collection, training, and policies.</w:t>
      </w:r>
    </w:p>
    <w:p>
      <w:pPr>
        <w:pStyle w:val="ListParagraph"/>
        <w:numPr>
          <w:ilvl w:val="1"/>
          <w:numId w:val="44"/>
        </w:numPr>
        <w:tabs>
          <w:tab w:pos="1196" w:val="left" w:leader="none"/>
        </w:tabs>
        <w:spacing w:line="240" w:lineRule="auto" w:before="241" w:after="0"/>
        <w:ind w:left="1196" w:right="0" w:hanging="356"/>
        <w:jc w:val="left"/>
        <w:rPr>
          <w:sz w:val="22"/>
        </w:rPr>
      </w:pPr>
      <w:r>
        <w:rPr>
          <w:sz w:val="22"/>
        </w:rPr>
        <w:t>Provide</w:t>
      </w:r>
      <w:r>
        <w:rPr>
          <w:spacing w:val="-8"/>
          <w:sz w:val="22"/>
        </w:rPr>
        <w:t> </w:t>
      </w:r>
      <w:r>
        <w:rPr>
          <w:sz w:val="22"/>
        </w:rPr>
        <w:t>LGBTQ</w:t>
      </w:r>
      <w:r>
        <w:rPr>
          <w:spacing w:val="-8"/>
          <w:sz w:val="22"/>
        </w:rPr>
        <w:t> </w:t>
      </w:r>
      <w:r>
        <w:rPr>
          <w:sz w:val="22"/>
        </w:rPr>
        <w:t>cultural</w:t>
      </w:r>
      <w:r>
        <w:rPr>
          <w:spacing w:val="-7"/>
          <w:sz w:val="22"/>
        </w:rPr>
        <w:t> </w:t>
      </w:r>
      <w:r>
        <w:rPr>
          <w:sz w:val="22"/>
        </w:rPr>
        <w:t>awareness</w:t>
      </w:r>
      <w:r>
        <w:rPr>
          <w:spacing w:val="-8"/>
          <w:sz w:val="22"/>
        </w:rPr>
        <w:t> </w:t>
      </w:r>
      <w:r>
        <w:rPr>
          <w:sz w:val="22"/>
        </w:rPr>
        <w:t>trainings</w:t>
      </w:r>
      <w:r>
        <w:rPr>
          <w:spacing w:val="-8"/>
          <w:sz w:val="22"/>
        </w:rPr>
        <w:t> </w:t>
      </w:r>
      <w:r>
        <w:rPr>
          <w:sz w:val="22"/>
        </w:rPr>
        <w:t>to</w:t>
      </w:r>
      <w:r>
        <w:rPr>
          <w:spacing w:val="-7"/>
          <w:sz w:val="22"/>
        </w:rPr>
        <w:t> </w:t>
      </w:r>
      <w:r>
        <w:rPr>
          <w:sz w:val="22"/>
        </w:rPr>
        <w:t>all</w:t>
      </w:r>
      <w:r>
        <w:rPr>
          <w:spacing w:val="-7"/>
          <w:sz w:val="22"/>
        </w:rPr>
        <w:t> </w:t>
      </w:r>
      <w:r>
        <w:rPr>
          <w:sz w:val="22"/>
        </w:rPr>
        <w:t>EOPSS</w:t>
      </w:r>
      <w:r>
        <w:rPr>
          <w:spacing w:val="-8"/>
          <w:sz w:val="22"/>
        </w:rPr>
        <w:t> </w:t>
      </w:r>
      <w:r>
        <w:rPr>
          <w:sz w:val="22"/>
        </w:rPr>
        <w:t>agency</w:t>
      </w:r>
      <w:r>
        <w:rPr>
          <w:spacing w:val="-8"/>
          <w:sz w:val="22"/>
        </w:rPr>
        <w:t> </w:t>
      </w:r>
      <w:r>
        <w:rPr>
          <w:sz w:val="22"/>
        </w:rPr>
        <w:t>staff</w:t>
      </w:r>
      <w:r>
        <w:rPr>
          <w:spacing w:val="-8"/>
          <w:sz w:val="22"/>
        </w:rPr>
        <w:t> </w:t>
      </w:r>
      <w:r>
        <w:rPr>
          <w:sz w:val="22"/>
        </w:rPr>
        <w:t>and</w:t>
      </w:r>
      <w:r>
        <w:rPr>
          <w:spacing w:val="-7"/>
          <w:sz w:val="22"/>
        </w:rPr>
        <w:t> </w:t>
      </w:r>
      <w:r>
        <w:rPr>
          <w:spacing w:val="-2"/>
          <w:sz w:val="22"/>
        </w:rPr>
        <w:t>providers.</w:t>
      </w:r>
    </w:p>
    <w:p>
      <w:pPr>
        <w:pStyle w:val="BodyText"/>
        <w:rPr>
          <w:sz w:val="20"/>
        </w:rPr>
      </w:pPr>
    </w:p>
    <w:p>
      <w:pPr>
        <w:pStyle w:val="BodyText"/>
        <w:spacing w:before="107"/>
        <w:rPr>
          <w:sz w:val="20"/>
        </w:rPr>
      </w:pPr>
      <w:r>
        <w:rPr/>
        <mc:AlternateContent>
          <mc:Choice Requires="wps">
            <w:drawing>
              <wp:anchor distT="0" distB="0" distL="0" distR="0" allowOverlap="1" layoutInCell="1" locked="0" behindDoc="1" simplePos="0" relativeHeight="487722496">
                <wp:simplePos x="0" y="0"/>
                <wp:positionH relativeFrom="page">
                  <wp:posOffset>889000</wp:posOffset>
                </wp:positionH>
                <wp:positionV relativeFrom="paragraph">
                  <wp:posOffset>238664</wp:posOffset>
                </wp:positionV>
                <wp:extent cx="6350" cy="12700"/>
                <wp:effectExtent l="0" t="0" r="0" b="0"/>
                <wp:wrapTopAndBottom/>
                <wp:docPr id="654" name="Graphic 654"/>
                <wp:cNvGraphicFramePr>
                  <a:graphicFrameLocks/>
                </wp:cNvGraphicFramePr>
                <a:graphic>
                  <a:graphicData uri="http://schemas.microsoft.com/office/word/2010/wordprocessingShape">
                    <wps:wsp>
                      <wps:cNvPr id="654" name="Graphic 654"/>
                      <wps:cNvSpPr/>
                      <wps:spPr>
                        <a:xfrm>
                          <a:off x="0" y="0"/>
                          <a:ext cx="6350" cy="12700"/>
                        </a:xfrm>
                        <a:custGeom>
                          <a:avLst/>
                          <a:gdLst/>
                          <a:ahLst/>
                          <a:cxnLst/>
                          <a:rect l="l" t="t" r="r" b="b"/>
                          <a:pathLst>
                            <a:path w="6350" h="12700">
                              <a:moveTo>
                                <a:pt x="6337" y="0"/>
                              </a:moveTo>
                              <a:lnTo>
                                <a:pt x="0" y="0"/>
                              </a:lnTo>
                              <a:lnTo>
                                <a:pt x="0" y="12217"/>
                              </a:lnTo>
                              <a:lnTo>
                                <a:pt x="6337" y="12217"/>
                              </a:lnTo>
                              <a:lnTo>
                                <a:pt x="6337" y="0"/>
                              </a:lnTo>
                              <a:close/>
                            </a:path>
                          </a:pathLst>
                        </a:custGeom>
                        <a:solidFill>
                          <a:srgbClr val="4F81BB"/>
                        </a:solidFill>
                      </wps:spPr>
                      <wps:bodyPr wrap="square" lIns="0" tIns="0" rIns="0" bIns="0" rtlCol="0">
                        <a:prstTxWarp prst="textNoShape">
                          <a:avLst/>
                        </a:prstTxWarp>
                        <a:noAutofit/>
                      </wps:bodyPr>
                    </wps:wsp>
                  </a:graphicData>
                </a:graphic>
              </wp:anchor>
            </w:drawing>
          </mc:Choice>
          <mc:Fallback>
            <w:pict>
              <v:rect style="position:absolute;margin-left:70pt;margin-top:18.792446pt;width:.499pt;height:.962pt;mso-position-horizontal-relative:page;mso-position-vertical-relative:paragraph;z-index:-15593984;mso-wrap-distance-left:0;mso-wrap-distance-right:0" id="docshape551" filled="true" fillcolor="#4f81bb" stroked="false">
                <v:fill type="solid"/>
                <w10:wrap type="topAndBottom"/>
              </v:rect>
            </w:pict>
          </mc:Fallback>
        </mc:AlternateContent>
      </w:r>
    </w:p>
    <w:p>
      <w:pPr>
        <w:spacing w:before="1"/>
        <w:ind w:left="339" w:right="0" w:firstLine="0"/>
        <w:jc w:val="left"/>
        <w:rPr>
          <w:sz w:val="28"/>
        </w:rPr>
      </w:pPr>
      <w:r>
        <w:rPr>
          <w:color w:val="365F91"/>
          <w:spacing w:val="-2"/>
          <w:sz w:val="28"/>
        </w:rPr>
        <w:t>Introduction</w:t>
      </w:r>
    </w:p>
    <w:p>
      <w:pPr>
        <w:pStyle w:val="BodyText"/>
        <w:spacing w:before="9"/>
        <w:rPr>
          <w:sz w:val="3"/>
        </w:rPr>
      </w:pPr>
      <w:r>
        <w:rPr/>
        <mc:AlternateContent>
          <mc:Choice Requires="wps">
            <w:drawing>
              <wp:anchor distT="0" distB="0" distL="0" distR="0" allowOverlap="1" layoutInCell="1" locked="0" behindDoc="1" simplePos="0" relativeHeight="487723008">
                <wp:simplePos x="0" y="0"/>
                <wp:positionH relativeFrom="page">
                  <wp:posOffset>806195</wp:posOffset>
                </wp:positionH>
                <wp:positionV relativeFrom="paragraph">
                  <wp:posOffset>44528</wp:posOffset>
                </wp:positionV>
                <wp:extent cx="6197600" cy="6350"/>
                <wp:effectExtent l="0" t="0" r="0" b="0"/>
                <wp:wrapTopAndBottom/>
                <wp:docPr id="655" name="Graphic 655"/>
                <wp:cNvGraphicFramePr>
                  <a:graphicFrameLocks/>
                </wp:cNvGraphicFramePr>
                <a:graphic>
                  <a:graphicData uri="http://schemas.microsoft.com/office/word/2010/wordprocessingShape">
                    <wps:wsp>
                      <wps:cNvPr id="655" name="Graphic 655"/>
                      <wps:cNvSpPr/>
                      <wps:spPr>
                        <a:xfrm>
                          <a:off x="0" y="0"/>
                          <a:ext cx="6197600" cy="6350"/>
                        </a:xfrm>
                        <a:custGeom>
                          <a:avLst/>
                          <a:gdLst/>
                          <a:ahLst/>
                          <a:cxnLst/>
                          <a:rect l="l" t="t" r="r" b="b"/>
                          <a:pathLst>
                            <a:path w="6197600" h="6350">
                              <a:moveTo>
                                <a:pt x="6197346" y="0"/>
                              </a:moveTo>
                              <a:lnTo>
                                <a:pt x="0" y="0"/>
                              </a:lnTo>
                              <a:lnTo>
                                <a:pt x="0" y="6108"/>
                              </a:lnTo>
                              <a:lnTo>
                                <a:pt x="6197346" y="6108"/>
                              </a:lnTo>
                              <a:lnTo>
                                <a:pt x="6197346" y="0"/>
                              </a:lnTo>
                              <a:close/>
                            </a:path>
                          </a:pathLst>
                        </a:custGeom>
                        <a:solidFill>
                          <a:srgbClr val="4F81BC"/>
                        </a:solidFill>
                      </wps:spPr>
                      <wps:bodyPr wrap="square" lIns="0" tIns="0" rIns="0" bIns="0" rtlCol="0">
                        <a:prstTxWarp prst="textNoShape">
                          <a:avLst/>
                        </a:prstTxWarp>
                        <a:noAutofit/>
                      </wps:bodyPr>
                    </wps:wsp>
                  </a:graphicData>
                </a:graphic>
              </wp:anchor>
            </w:drawing>
          </mc:Choice>
          <mc:Fallback>
            <w:pict>
              <v:rect style="position:absolute;margin-left:63.48pt;margin-top:3.506156pt;width:487.98pt;height:.481pt;mso-position-horizontal-relative:page;mso-position-vertical-relative:paragraph;z-index:-15593472;mso-wrap-distance-left:0;mso-wrap-distance-right:0" id="docshape552" filled="true" fillcolor="#4f81bc" stroked="false">
                <v:fill type="solid"/>
                <w10:wrap type="topAndBottom"/>
              </v:rect>
            </w:pict>
          </mc:Fallback>
        </mc:AlternateContent>
      </w:r>
    </w:p>
    <w:p>
      <w:pPr>
        <w:pStyle w:val="BodyText"/>
        <w:spacing w:line="276" w:lineRule="auto" w:before="241"/>
        <w:ind w:left="480" w:right="328"/>
        <w:jc w:val="both"/>
      </w:pPr>
      <w:r>
        <w:rPr/>
        <w:t>The Executive Office of Public Safety and Security (EOPSS) provides oversight and development for agencies, boards, and commissions in the areas of criminal justice, law enforcement, homeland security, and emergency preparedness and response. These agencies include the Massachusetts State Police, Sex Offender Registry Board, Department of Correction (DOC), and the Municipal Police Training Committee (MPTC). The Commission began issuing recommendations to EOPSS in FY 2018 to address the needs of LGBTQ youth, particularly QTBIPOC youth, who are impacted by these agencies.</w:t>
      </w:r>
    </w:p>
    <w:p>
      <w:pPr>
        <w:spacing w:line="276" w:lineRule="auto" w:before="240"/>
        <w:ind w:left="479" w:right="331" w:firstLine="0"/>
        <w:jc w:val="both"/>
        <w:rPr>
          <w:sz w:val="21"/>
        </w:rPr>
      </w:pPr>
      <w:r>
        <w:rPr>
          <w:sz w:val="22"/>
        </w:rPr>
        <w:t>As</w:t>
      </w:r>
      <w:r>
        <w:rPr>
          <w:spacing w:val="-12"/>
          <w:sz w:val="22"/>
        </w:rPr>
        <w:t> </w:t>
      </w:r>
      <w:r>
        <w:rPr>
          <w:sz w:val="22"/>
        </w:rPr>
        <w:t>discussed</w:t>
      </w:r>
      <w:r>
        <w:rPr>
          <w:spacing w:val="-11"/>
          <w:sz w:val="22"/>
        </w:rPr>
        <w:t> </w:t>
      </w:r>
      <w:r>
        <w:rPr>
          <w:sz w:val="22"/>
        </w:rPr>
        <w:t>throughout</w:t>
      </w:r>
      <w:r>
        <w:rPr>
          <w:spacing w:val="-12"/>
          <w:sz w:val="22"/>
        </w:rPr>
        <w:t> </w:t>
      </w:r>
      <w:r>
        <w:rPr>
          <w:sz w:val="22"/>
        </w:rPr>
        <w:t>this</w:t>
      </w:r>
      <w:r>
        <w:rPr>
          <w:spacing w:val="-12"/>
          <w:sz w:val="22"/>
        </w:rPr>
        <w:t> </w:t>
      </w:r>
      <w:r>
        <w:rPr>
          <w:sz w:val="22"/>
        </w:rPr>
        <w:t>annual</w:t>
      </w:r>
      <w:r>
        <w:rPr>
          <w:spacing w:val="-12"/>
          <w:sz w:val="22"/>
        </w:rPr>
        <w:t> </w:t>
      </w:r>
      <w:r>
        <w:rPr>
          <w:sz w:val="22"/>
        </w:rPr>
        <w:t>report,</w:t>
      </w:r>
      <w:r>
        <w:rPr>
          <w:spacing w:val="-12"/>
          <w:sz w:val="22"/>
        </w:rPr>
        <w:t> </w:t>
      </w:r>
      <w:r>
        <w:rPr>
          <w:sz w:val="22"/>
        </w:rPr>
        <w:t>there</w:t>
      </w:r>
      <w:r>
        <w:rPr>
          <w:spacing w:val="-11"/>
          <w:sz w:val="22"/>
        </w:rPr>
        <w:t> </w:t>
      </w:r>
      <w:r>
        <w:rPr>
          <w:sz w:val="22"/>
        </w:rPr>
        <w:t>are</w:t>
      </w:r>
      <w:r>
        <w:rPr>
          <w:spacing w:val="-11"/>
          <w:sz w:val="22"/>
        </w:rPr>
        <w:t> </w:t>
      </w:r>
      <w:r>
        <w:rPr>
          <w:sz w:val="22"/>
        </w:rPr>
        <w:t>numerous</w:t>
      </w:r>
      <w:r>
        <w:rPr>
          <w:spacing w:val="-12"/>
          <w:sz w:val="22"/>
        </w:rPr>
        <w:t> </w:t>
      </w:r>
      <w:r>
        <w:rPr>
          <w:sz w:val="22"/>
        </w:rPr>
        <w:t>factors</w:t>
      </w:r>
      <w:r>
        <w:rPr>
          <w:spacing w:val="-12"/>
          <w:sz w:val="22"/>
        </w:rPr>
        <w:t> </w:t>
      </w:r>
      <w:r>
        <w:rPr>
          <w:sz w:val="22"/>
        </w:rPr>
        <w:t>that</w:t>
      </w:r>
      <w:r>
        <w:rPr>
          <w:spacing w:val="-12"/>
          <w:sz w:val="22"/>
        </w:rPr>
        <w:t> </w:t>
      </w:r>
      <w:r>
        <w:rPr>
          <w:sz w:val="22"/>
        </w:rPr>
        <w:t>impact</w:t>
      </w:r>
      <w:r>
        <w:rPr>
          <w:spacing w:val="-12"/>
          <w:sz w:val="22"/>
        </w:rPr>
        <w:t> </w:t>
      </w:r>
      <w:r>
        <w:rPr>
          <w:sz w:val="22"/>
        </w:rPr>
        <w:t>LGBTQ</w:t>
      </w:r>
      <w:r>
        <w:rPr>
          <w:spacing w:val="-11"/>
          <w:sz w:val="22"/>
        </w:rPr>
        <w:t> </w:t>
      </w:r>
      <w:r>
        <w:rPr>
          <w:sz w:val="22"/>
        </w:rPr>
        <w:t>youth</w:t>
      </w:r>
      <w:r>
        <w:rPr>
          <w:spacing w:val="-11"/>
          <w:sz w:val="22"/>
        </w:rPr>
        <w:t> </w:t>
      </w:r>
      <w:r>
        <w:rPr>
          <w:sz w:val="22"/>
        </w:rPr>
        <w:t>to</w:t>
      </w:r>
      <w:r>
        <w:rPr>
          <w:spacing w:val="-11"/>
          <w:sz w:val="22"/>
        </w:rPr>
        <w:t> </w:t>
      </w:r>
      <w:r>
        <w:rPr>
          <w:sz w:val="22"/>
        </w:rPr>
        <w:t>make them more likely to encounter the public safety and criminal legal systems, such as homelessness, financial insecurity, family rejection, and poor school climates. While Massachusetts has accomplished much</w:t>
      </w:r>
      <w:r>
        <w:rPr>
          <w:spacing w:val="-7"/>
          <w:sz w:val="22"/>
        </w:rPr>
        <w:t> </w:t>
      </w:r>
      <w:r>
        <w:rPr>
          <w:sz w:val="22"/>
        </w:rPr>
        <w:t>in</w:t>
      </w:r>
      <w:r>
        <w:rPr>
          <w:spacing w:val="-7"/>
          <w:sz w:val="22"/>
        </w:rPr>
        <w:t> </w:t>
      </w:r>
      <w:r>
        <w:rPr>
          <w:sz w:val="22"/>
        </w:rPr>
        <w:t>improving</w:t>
      </w:r>
      <w:r>
        <w:rPr>
          <w:spacing w:val="-7"/>
          <w:sz w:val="22"/>
        </w:rPr>
        <w:t> </w:t>
      </w:r>
      <w:r>
        <w:rPr>
          <w:sz w:val="22"/>
        </w:rPr>
        <w:t>the</w:t>
      </w:r>
      <w:r>
        <w:rPr>
          <w:spacing w:val="-6"/>
          <w:sz w:val="22"/>
        </w:rPr>
        <w:t> </w:t>
      </w:r>
      <w:r>
        <w:rPr>
          <w:sz w:val="22"/>
        </w:rPr>
        <w:t>experiences</w:t>
      </w:r>
      <w:r>
        <w:rPr>
          <w:spacing w:val="-6"/>
          <w:sz w:val="22"/>
        </w:rPr>
        <w:t> </w:t>
      </w:r>
      <w:r>
        <w:rPr>
          <w:sz w:val="22"/>
        </w:rPr>
        <w:t>of</w:t>
      </w:r>
      <w:r>
        <w:rPr>
          <w:spacing w:val="-6"/>
          <w:sz w:val="22"/>
        </w:rPr>
        <w:t> </w:t>
      </w:r>
      <w:r>
        <w:rPr>
          <w:sz w:val="22"/>
        </w:rPr>
        <w:t>youth</w:t>
      </w:r>
      <w:r>
        <w:rPr>
          <w:spacing w:val="-7"/>
          <w:sz w:val="22"/>
        </w:rPr>
        <w:t> </w:t>
      </w:r>
      <w:r>
        <w:rPr>
          <w:sz w:val="22"/>
        </w:rPr>
        <w:t>in</w:t>
      </w:r>
      <w:r>
        <w:rPr>
          <w:spacing w:val="-6"/>
          <w:sz w:val="22"/>
        </w:rPr>
        <w:t> </w:t>
      </w:r>
      <w:r>
        <w:rPr>
          <w:sz w:val="22"/>
        </w:rPr>
        <w:t>the</w:t>
      </w:r>
      <w:r>
        <w:rPr>
          <w:spacing w:val="-5"/>
          <w:sz w:val="22"/>
        </w:rPr>
        <w:t> </w:t>
      </w:r>
      <w:r>
        <w:rPr>
          <w:sz w:val="22"/>
        </w:rPr>
        <w:t>juvenile</w:t>
      </w:r>
      <w:r>
        <w:rPr>
          <w:spacing w:val="-7"/>
          <w:sz w:val="22"/>
        </w:rPr>
        <w:t> </w:t>
      </w:r>
      <w:r>
        <w:rPr>
          <w:sz w:val="22"/>
        </w:rPr>
        <w:t>justice</w:t>
      </w:r>
      <w:r>
        <w:rPr>
          <w:spacing w:val="-6"/>
          <w:sz w:val="22"/>
        </w:rPr>
        <w:t> </w:t>
      </w:r>
      <w:r>
        <w:rPr>
          <w:sz w:val="22"/>
        </w:rPr>
        <w:t>system</w:t>
      </w:r>
      <w:r>
        <w:rPr>
          <w:spacing w:val="-7"/>
          <w:sz w:val="22"/>
        </w:rPr>
        <w:t> </w:t>
      </w:r>
      <w:r>
        <w:rPr>
          <w:sz w:val="22"/>
        </w:rPr>
        <w:t>overseen</w:t>
      </w:r>
      <w:r>
        <w:rPr>
          <w:spacing w:val="-7"/>
          <w:sz w:val="22"/>
        </w:rPr>
        <w:t> </w:t>
      </w:r>
      <w:r>
        <w:rPr>
          <w:sz w:val="22"/>
        </w:rPr>
        <w:t>by</w:t>
      </w:r>
      <w:r>
        <w:rPr>
          <w:spacing w:val="-5"/>
          <w:sz w:val="22"/>
        </w:rPr>
        <w:t> </w:t>
      </w:r>
      <w:r>
        <w:rPr>
          <w:sz w:val="22"/>
        </w:rPr>
        <w:t>the</w:t>
      </w:r>
      <w:r>
        <w:rPr>
          <w:spacing w:val="-5"/>
          <w:sz w:val="22"/>
        </w:rPr>
        <w:t> </w:t>
      </w:r>
      <w:r>
        <w:rPr>
          <w:sz w:val="22"/>
        </w:rPr>
        <w:t>Department</w:t>
      </w:r>
      <w:r>
        <w:rPr>
          <w:spacing w:val="-7"/>
          <w:sz w:val="22"/>
        </w:rPr>
        <w:t> </w:t>
      </w:r>
      <w:r>
        <w:rPr>
          <w:sz w:val="22"/>
        </w:rPr>
        <w:t>of Youth</w:t>
      </w:r>
      <w:r>
        <w:rPr>
          <w:spacing w:val="-6"/>
          <w:sz w:val="22"/>
        </w:rPr>
        <w:t> </w:t>
      </w:r>
      <w:r>
        <w:rPr>
          <w:sz w:val="22"/>
        </w:rPr>
        <w:t>Services</w:t>
      </w:r>
      <w:r>
        <w:rPr>
          <w:spacing w:val="-6"/>
          <w:sz w:val="22"/>
        </w:rPr>
        <w:t> </w:t>
      </w:r>
      <w:r>
        <w:rPr>
          <w:sz w:val="22"/>
        </w:rPr>
        <w:t>under</w:t>
      </w:r>
      <w:r>
        <w:rPr>
          <w:spacing w:val="-5"/>
          <w:sz w:val="22"/>
        </w:rPr>
        <w:t> </w:t>
      </w:r>
      <w:r>
        <w:rPr>
          <w:sz w:val="22"/>
        </w:rPr>
        <w:t>the</w:t>
      </w:r>
      <w:r>
        <w:rPr>
          <w:spacing w:val="-5"/>
          <w:sz w:val="22"/>
        </w:rPr>
        <w:t> </w:t>
      </w:r>
      <w:r>
        <w:rPr>
          <w:sz w:val="22"/>
        </w:rPr>
        <w:t>Executive</w:t>
      </w:r>
      <w:r>
        <w:rPr>
          <w:spacing w:val="-5"/>
          <w:sz w:val="22"/>
        </w:rPr>
        <w:t> </w:t>
      </w:r>
      <w:r>
        <w:rPr>
          <w:sz w:val="22"/>
        </w:rPr>
        <w:t>Office</w:t>
      </w:r>
      <w:r>
        <w:rPr>
          <w:spacing w:val="-7"/>
          <w:sz w:val="22"/>
        </w:rPr>
        <w:t> </w:t>
      </w:r>
      <w:r>
        <w:rPr>
          <w:sz w:val="22"/>
        </w:rPr>
        <w:t>of</w:t>
      </w:r>
      <w:r>
        <w:rPr>
          <w:spacing w:val="-5"/>
          <w:sz w:val="22"/>
        </w:rPr>
        <w:t> </w:t>
      </w:r>
      <w:r>
        <w:rPr>
          <w:sz w:val="22"/>
        </w:rPr>
        <w:t>Health</w:t>
      </w:r>
      <w:r>
        <w:rPr>
          <w:spacing w:val="-6"/>
          <w:sz w:val="22"/>
        </w:rPr>
        <w:t> </w:t>
      </w:r>
      <w:r>
        <w:rPr>
          <w:sz w:val="22"/>
        </w:rPr>
        <w:t>and</w:t>
      </w:r>
      <w:r>
        <w:rPr>
          <w:spacing w:val="-6"/>
          <w:sz w:val="22"/>
        </w:rPr>
        <w:t> </w:t>
      </w:r>
      <w:r>
        <w:rPr>
          <w:sz w:val="22"/>
        </w:rPr>
        <w:t>Human</w:t>
      </w:r>
      <w:r>
        <w:rPr>
          <w:spacing w:val="-6"/>
          <w:sz w:val="22"/>
        </w:rPr>
        <w:t> </w:t>
      </w:r>
      <w:r>
        <w:rPr>
          <w:sz w:val="22"/>
        </w:rPr>
        <w:t>Services,</w:t>
      </w:r>
      <w:r>
        <w:rPr>
          <w:spacing w:val="-6"/>
          <w:sz w:val="22"/>
        </w:rPr>
        <w:t> </w:t>
      </w:r>
      <w:r>
        <w:rPr>
          <w:sz w:val="22"/>
        </w:rPr>
        <w:t>the</w:t>
      </w:r>
      <w:r>
        <w:rPr>
          <w:spacing w:val="-7"/>
          <w:sz w:val="22"/>
        </w:rPr>
        <w:t> </w:t>
      </w:r>
      <w:r>
        <w:rPr>
          <w:sz w:val="22"/>
        </w:rPr>
        <w:t>Commission</w:t>
      </w:r>
      <w:r>
        <w:rPr>
          <w:spacing w:val="-8"/>
          <w:sz w:val="22"/>
        </w:rPr>
        <w:t> </w:t>
      </w:r>
      <w:r>
        <w:rPr>
          <w:sz w:val="21"/>
        </w:rPr>
        <w:t>has</w:t>
      </w:r>
      <w:r>
        <w:rPr>
          <w:spacing w:val="-5"/>
          <w:sz w:val="21"/>
        </w:rPr>
        <w:t> </w:t>
      </w:r>
      <w:r>
        <w:rPr>
          <w:sz w:val="21"/>
        </w:rPr>
        <w:t>appreciated the opportunity to work more closely with EOPSS agencies in FY 2024 and looks forward to expanding its partnerships in FY 2025.</w:t>
      </w:r>
    </w:p>
    <w:p>
      <w:pPr>
        <w:pStyle w:val="BodyText"/>
        <w:rPr>
          <w:sz w:val="20"/>
        </w:rPr>
      </w:pPr>
    </w:p>
    <w:p>
      <w:pPr>
        <w:pStyle w:val="BodyText"/>
        <w:spacing w:before="68"/>
        <w:rPr>
          <w:sz w:val="20"/>
        </w:rPr>
      </w:pPr>
      <w:r>
        <w:rPr/>
        <mc:AlternateContent>
          <mc:Choice Requires="wps">
            <w:drawing>
              <wp:anchor distT="0" distB="0" distL="0" distR="0" allowOverlap="1" layoutInCell="1" locked="0" behindDoc="1" simplePos="0" relativeHeight="487723520">
                <wp:simplePos x="0" y="0"/>
                <wp:positionH relativeFrom="page">
                  <wp:posOffset>889000</wp:posOffset>
                </wp:positionH>
                <wp:positionV relativeFrom="paragraph">
                  <wp:posOffset>213463</wp:posOffset>
                </wp:positionV>
                <wp:extent cx="6350" cy="12700"/>
                <wp:effectExtent l="0" t="0" r="0" b="0"/>
                <wp:wrapTopAndBottom/>
                <wp:docPr id="656" name="Graphic 656"/>
                <wp:cNvGraphicFramePr>
                  <a:graphicFrameLocks/>
                </wp:cNvGraphicFramePr>
                <a:graphic>
                  <a:graphicData uri="http://schemas.microsoft.com/office/word/2010/wordprocessingShape">
                    <wps:wsp>
                      <wps:cNvPr id="656" name="Graphic 656"/>
                      <wps:cNvSpPr/>
                      <wps:spPr>
                        <a:xfrm>
                          <a:off x="0" y="0"/>
                          <a:ext cx="6350" cy="12700"/>
                        </a:xfrm>
                        <a:custGeom>
                          <a:avLst/>
                          <a:gdLst/>
                          <a:ahLst/>
                          <a:cxnLst/>
                          <a:rect l="l" t="t" r="r" b="b"/>
                          <a:pathLst>
                            <a:path w="6350" h="12700">
                              <a:moveTo>
                                <a:pt x="6337" y="0"/>
                              </a:moveTo>
                              <a:lnTo>
                                <a:pt x="0" y="0"/>
                              </a:lnTo>
                              <a:lnTo>
                                <a:pt x="0" y="12204"/>
                              </a:lnTo>
                              <a:lnTo>
                                <a:pt x="6337" y="12204"/>
                              </a:lnTo>
                              <a:lnTo>
                                <a:pt x="6337" y="0"/>
                              </a:lnTo>
                              <a:close/>
                            </a:path>
                          </a:pathLst>
                        </a:custGeom>
                        <a:solidFill>
                          <a:srgbClr val="4F81BB"/>
                        </a:solidFill>
                      </wps:spPr>
                      <wps:bodyPr wrap="square" lIns="0" tIns="0" rIns="0" bIns="0" rtlCol="0">
                        <a:prstTxWarp prst="textNoShape">
                          <a:avLst/>
                        </a:prstTxWarp>
                        <a:noAutofit/>
                      </wps:bodyPr>
                    </wps:wsp>
                  </a:graphicData>
                </a:graphic>
              </wp:anchor>
            </w:drawing>
          </mc:Choice>
          <mc:Fallback>
            <w:pict>
              <v:rect style="position:absolute;margin-left:70pt;margin-top:16.808149pt;width:.499pt;height:.961pt;mso-position-horizontal-relative:page;mso-position-vertical-relative:paragraph;z-index:-15592960;mso-wrap-distance-left:0;mso-wrap-distance-right:0" id="docshape553" filled="true" fillcolor="#4f81bb" stroked="false">
                <v:fill type="solid"/>
                <w10:wrap type="topAndBottom"/>
              </v:rect>
            </w:pict>
          </mc:Fallback>
        </mc:AlternateContent>
      </w:r>
    </w:p>
    <w:p>
      <w:pPr>
        <w:spacing w:before="0"/>
        <w:ind w:left="339" w:right="0" w:firstLine="0"/>
        <w:jc w:val="left"/>
        <w:rPr>
          <w:sz w:val="28"/>
        </w:rPr>
      </w:pPr>
      <w:r>
        <w:rPr>
          <w:color w:val="365F91"/>
          <w:sz w:val="28"/>
        </w:rPr>
        <w:t>FY</w:t>
      </w:r>
      <w:r>
        <w:rPr>
          <w:color w:val="365F91"/>
          <w:spacing w:val="-10"/>
          <w:sz w:val="28"/>
        </w:rPr>
        <w:t> </w:t>
      </w:r>
      <w:r>
        <w:rPr>
          <w:color w:val="365F91"/>
          <w:sz w:val="28"/>
        </w:rPr>
        <w:t>2025</w:t>
      </w:r>
      <w:r>
        <w:rPr>
          <w:color w:val="365F91"/>
          <w:spacing w:val="-9"/>
          <w:sz w:val="28"/>
        </w:rPr>
        <w:t> </w:t>
      </w:r>
      <w:r>
        <w:rPr>
          <w:color w:val="365F91"/>
          <w:sz w:val="28"/>
        </w:rPr>
        <w:t>Expanded</w:t>
      </w:r>
      <w:r>
        <w:rPr>
          <w:color w:val="365F91"/>
          <w:spacing w:val="-10"/>
          <w:sz w:val="28"/>
        </w:rPr>
        <w:t> </w:t>
      </w:r>
      <w:r>
        <w:rPr>
          <w:color w:val="365F91"/>
          <w:sz w:val="28"/>
        </w:rPr>
        <w:t>EOPSS</w:t>
      </w:r>
      <w:r>
        <w:rPr>
          <w:color w:val="365F91"/>
          <w:spacing w:val="-9"/>
          <w:sz w:val="28"/>
        </w:rPr>
        <w:t> </w:t>
      </w:r>
      <w:r>
        <w:rPr>
          <w:color w:val="365F91"/>
          <w:spacing w:val="-2"/>
          <w:sz w:val="28"/>
        </w:rPr>
        <w:t>Recommendations</w:t>
      </w:r>
    </w:p>
    <w:p>
      <w:pPr>
        <w:pStyle w:val="BodyText"/>
        <w:spacing w:before="10"/>
        <w:rPr>
          <w:sz w:val="3"/>
        </w:rPr>
      </w:pPr>
      <w:r>
        <w:rPr/>
        <mc:AlternateContent>
          <mc:Choice Requires="wps">
            <w:drawing>
              <wp:anchor distT="0" distB="0" distL="0" distR="0" allowOverlap="1" layoutInCell="1" locked="0" behindDoc="1" simplePos="0" relativeHeight="487724032">
                <wp:simplePos x="0" y="0"/>
                <wp:positionH relativeFrom="page">
                  <wp:posOffset>806195</wp:posOffset>
                </wp:positionH>
                <wp:positionV relativeFrom="paragraph">
                  <wp:posOffset>45239</wp:posOffset>
                </wp:positionV>
                <wp:extent cx="6197600" cy="6350"/>
                <wp:effectExtent l="0" t="0" r="0" b="0"/>
                <wp:wrapTopAndBottom/>
                <wp:docPr id="657" name="Graphic 657"/>
                <wp:cNvGraphicFramePr>
                  <a:graphicFrameLocks/>
                </wp:cNvGraphicFramePr>
                <a:graphic>
                  <a:graphicData uri="http://schemas.microsoft.com/office/word/2010/wordprocessingShape">
                    <wps:wsp>
                      <wps:cNvPr id="657" name="Graphic 657"/>
                      <wps:cNvSpPr/>
                      <wps:spPr>
                        <a:xfrm>
                          <a:off x="0" y="0"/>
                          <a:ext cx="6197600" cy="6350"/>
                        </a:xfrm>
                        <a:custGeom>
                          <a:avLst/>
                          <a:gdLst/>
                          <a:ahLst/>
                          <a:cxnLst/>
                          <a:rect l="l" t="t" r="r" b="b"/>
                          <a:pathLst>
                            <a:path w="6197600" h="6350">
                              <a:moveTo>
                                <a:pt x="6197346" y="0"/>
                              </a:moveTo>
                              <a:lnTo>
                                <a:pt x="0" y="0"/>
                              </a:lnTo>
                              <a:lnTo>
                                <a:pt x="0" y="6108"/>
                              </a:lnTo>
                              <a:lnTo>
                                <a:pt x="6197346" y="6108"/>
                              </a:lnTo>
                              <a:lnTo>
                                <a:pt x="6197346" y="0"/>
                              </a:lnTo>
                              <a:close/>
                            </a:path>
                          </a:pathLst>
                        </a:custGeom>
                        <a:solidFill>
                          <a:srgbClr val="4F81BC"/>
                        </a:solidFill>
                      </wps:spPr>
                      <wps:bodyPr wrap="square" lIns="0" tIns="0" rIns="0" bIns="0" rtlCol="0">
                        <a:prstTxWarp prst="textNoShape">
                          <a:avLst/>
                        </a:prstTxWarp>
                        <a:noAutofit/>
                      </wps:bodyPr>
                    </wps:wsp>
                  </a:graphicData>
                </a:graphic>
              </wp:anchor>
            </w:drawing>
          </mc:Choice>
          <mc:Fallback>
            <w:pict>
              <v:rect style="position:absolute;margin-left:63.48pt;margin-top:3.562156pt;width:487.98pt;height:.481pt;mso-position-horizontal-relative:page;mso-position-vertical-relative:paragraph;z-index:-15592448;mso-wrap-distance-left:0;mso-wrap-distance-right:0" id="docshape554" filled="true" fillcolor="#4f81bc" stroked="false">
                <v:fill type="solid"/>
                <w10:wrap type="topAndBottom"/>
              </v:rect>
            </w:pict>
          </mc:Fallback>
        </mc:AlternateContent>
      </w:r>
    </w:p>
    <w:p>
      <w:pPr>
        <w:pStyle w:val="BodyText"/>
      </w:pPr>
    </w:p>
    <w:p>
      <w:pPr>
        <w:pStyle w:val="BodyText"/>
        <w:spacing w:before="239"/>
      </w:pPr>
    </w:p>
    <w:p>
      <w:pPr>
        <w:numPr>
          <w:ilvl w:val="0"/>
          <w:numId w:val="45"/>
        </w:numPr>
        <w:tabs>
          <w:tab w:pos="1197" w:val="left" w:leader="none"/>
          <w:tab w:pos="1199" w:val="left" w:leader="none"/>
        </w:tabs>
        <w:spacing w:line="276" w:lineRule="auto" w:before="1"/>
        <w:ind w:left="1199" w:right="332" w:hanging="360"/>
        <w:jc w:val="left"/>
        <w:rPr>
          <w:b/>
          <w:sz w:val="22"/>
        </w:rPr>
      </w:pPr>
      <w:r>
        <w:rPr>
          <w:b/>
          <w:sz w:val="22"/>
        </w:rPr>
        <w:t>Convene an interagency committee to discuss the needs of LGBTQ young people encountering EOPSS agencies, and explore options for improving data collection, training, and policies.</w:t>
      </w:r>
    </w:p>
    <w:p>
      <w:pPr>
        <w:pStyle w:val="BodyText"/>
        <w:spacing w:line="276" w:lineRule="auto" w:before="239"/>
        <w:ind w:left="479" w:right="136"/>
        <w:jc w:val="both"/>
      </w:pPr>
      <w:r>
        <w:rPr/>
        <w:t>The Commission continues to recommend that EOPSS explore the creation of an interagency committee model</w:t>
      </w:r>
      <w:r>
        <w:rPr>
          <w:spacing w:val="-13"/>
        </w:rPr>
        <w:t> </w:t>
      </w:r>
      <w:r>
        <w:rPr/>
        <w:t>to</w:t>
      </w:r>
      <w:r>
        <w:rPr>
          <w:spacing w:val="-12"/>
        </w:rPr>
        <w:t> </w:t>
      </w:r>
      <w:r>
        <w:rPr/>
        <w:t>better</w:t>
      </w:r>
      <w:r>
        <w:rPr>
          <w:spacing w:val="-13"/>
        </w:rPr>
        <w:t> </w:t>
      </w:r>
      <w:r>
        <w:rPr/>
        <w:t>support</w:t>
      </w:r>
      <w:r>
        <w:rPr>
          <w:spacing w:val="-12"/>
        </w:rPr>
        <w:t> </w:t>
      </w:r>
      <w:r>
        <w:rPr/>
        <w:t>and</w:t>
      </w:r>
      <w:r>
        <w:rPr>
          <w:spacing w:val="-13"/>
        </w:rPr>
        <w:t> </w:t>
      </w:r>
      <w:r>
        <w:rPr/>
        <w:t>coordinate</w:t>
      </w:r>
      <w:r>
        <w:rPr>
          <w:spacing w:val="-12"/>
        </w:rPr>
        <w:t> </w:t>
      </w:r>
      <w:r>
        <w:rPr/>
        <w:t>its</w:t>
      </w:r>
      <w:r>
        <w:rPr>
          <w:spacing w:val="-13"/>
        </w:rPr>
        <w:t> </w:t>
      </w:r>
      <w:r>
        <w:rPr/>
        <w:t>efforts</w:t>
      </w:r>
      <w:r>
        <w:rPr>
          <w:spacing w:val="-12"/>
        </w:rPr>
        <w:t> </w:t>
      </w:r>
      <w:r>
        <w:rPr/>
        <w:t>to</w:t>
      </w:r>
      <w:r>
        <w:rPr>
          <w:spacing w:val="-12"/>
        </w:rPr>
        <w:t> </w:t>
      </w:r>
      <w:r>
        <w:rPr/>
        <w:t>be</w:t>
      </w:r>
      <w:r>
        <w:rPr>
          <w:spacing w:val="-13"/>
        </w:rPr>
        <w:t> </w:t>
      </w:r>
      <w:r>
        <w:rPr/>
        <w:t>more</w:t>
      </w:r>
      <w:r>
        <w:rPr>
          <w:spacing w:val="-12"/>
        </w:rPr>
        <w:t> </w:t>
      </w:r>
      <w:r>
        <w:rPr/>
        <w:t>inclusive</w:t>
      </w:r>
      <w:r>
        <w:rPr>
          <w:spacing w:val="-13"/>
        </w:rPr>
        <w:t> </w:t>
      </w:r>
      <w:r>
        <w:rPr/>
        <w:t>and</w:t>
      </w:r>
      <w:r>
        <w:rPr>
          <w:spacing w:val="-12"/>
        </w:rPr>
        <w:t> </w:t>
      </w:r>
      <w:r>
        <w:rPr/>
        <w:t>affirming</w:t>
      </w:r>
      <w:r>
        <w:rPr>
          <w:spacing w:val="-13"/>
        </w:rPr>
        <w:t> </w:t>
      </w:r>
      <w:r>
        <w:rPr/>
        <w:t>of</w:t>
      </w:r>
      <w:r>
        <w:rPr>
          <w:spacing w:val="-12"/>
        </w:rPr>
        <w:t> </w:t>
      </w:r>
      <w:r>
        <w:rPr/>
        <w:t>LGBTQ</w:t>
      </w:r>
      <w:r>
        <w:rPr>
          <w:spacing w:val="-12"/>
        </w:rPr>
        <w:t> </w:t>
      </w:r>
      <w:r>
        <w:rPr/>
        <w:t>communities, particularly</w:t>
      </w:r>
      <w:r>
        <w:rPr>
          <w:spacing w:val="19"/>
        </w:rPr>
        <w:t> </w:t>
      </w:r>
      <w:r>
        <w:rPr/>
        <w:t>given</w:t>
      </w:r>
      <w:r>
        <w:rPr>
          <w:spacing w:val="18"/>
        </w:rPr>
        <w:t> </w:t>
      </w:r>
      <w:r>
        <w:rPr/>
        <w:t>that</w:t>
      </w:r>
      <w:r>
        <w:rPr>
          <w:spacing w:val="18"/>
        </w:rPr>
        <w:t> </w:t>
      </w:r>
      <w:r>
        <w:rPr/>
        <w:t>topics</w:t>
      </w:r>
      <w:r>
        <w:rPr>
          <w:spacing w:val="18"/>
        </w:rPr>
        <w:t> </w:t>
      </w:r>
      <w:r>
        <w:rPr/>
        <w:t>like</w:t>
      </w:r>
      <w:r>
        <w:rPr>
          <w:spacing w:val="19"/>
        </w:rPr>
        <w:t> </w:t>
      </w:r>
      <w:r>
        <w:rPr/>
        <w:t>data</w:t>
      </w:r>
      <w:r>
        <w:rPr>
          <w:spacing w:val="19"/>
        </w:rPr>
        <w:t> </w:t>
      </w:r>
      <w:r>
        <w:rPr/>
        <w:t>collection</w:t>
      </w:r>
      <w:r>
        <w:rPr>
          <w:spacing w:val="17"/>
        </w:rPr>
        <w:t> </w:t>
      </w:r>
      <w:r>
        <w:rPr/>
        <w:t>and</w:t>
      </w:r>
      <w:r>
        <w:rPr>
          <w:spacing w:val="17"/>
        </w:rPr>
        <w:t> </w:t>
      </w:r>
      <w:r>
        <w:rPr/>
        <w:t>nondiscrimination</w:t>
      </w:r>
      <w:r>
        <w:rPr>
          <w:spacing w:val="18"/>
        </w:rPr>
        <w:t> </w:t>
      </w:r>
      <w:r>
        <w:rPr/>
        <w:t>policies</w:t>
      </w:r>
      <w:r>
        <w:rPr>
          <w:spacing w:val="18"/>
        </w:rPr>
        <w:t> </w:t>
      </w:r>
      <w:r>
        <w:rPr/>
        <w:t>may</w:t>
      </w:r>
      <w:r>
        <w:rPr>
          <w:spacing w:val="19"/>
        </w:rPr>
        <w:t> </w:t>
      </w:r>
      <w:r>
        <w:rPr/>
        <w:t>not</w:t>
      </w:r>
      <w:r>
        <w:rPr>
          <w:spacing w:val="18"/>
        </w:rPr>
        <w:t> </w:t>
      </w:r>
      <w:r>
        <w:rPr/>
        <w:t>function</w:t>
      </w:r>
      <w:r>
        <w:rPr>
          <w:spacing w:val="18"/>
        </w:rPr>
        <w:t> </w:t>
      </w:r>
      <w:r>
        <w:rPr/>
        <w:t>well</w:t>
      </w:r>
      <w:r>
        <w:rPr>
          <w:spacing w:val="19"/>
        </w:rPr>
        <w:t> </w:t>
      </w:r>
      <w:r>
        <w:rPr/>
        <w:t>in</w:t>
      </w:r>
    </w:p>
    <w:p>
      <w:pPr>
        <w:spacing w:after="0" w:line="276" w:lineRule="auto"/>
        <w:jc w:val="both"/>
        <w:sectPr>
          <w:headerReference w:type="default" r:id="rId759"/>
          <w:footerReference w:type="default" r:id="rId760"/>
          <w:pgSz w:w="12240" w:h="15840"/>
          <w:pgMar w:header="804" w:footer="1188" w:top="1000" w:bottom="1380" w:left="960" w:right="1100"/>
        </w:sectPr>
      </w:pPr>
    </w:p>
    <w:p>
      <w:pPr>
        <w:pStyle w:val="BodyText"/>
        <w:spacing w:line="276" w:lineRule="auto" w:before="139"/>
        <w:ind w:left="480" w:right="137"/>
        <w:jc w:val="both"/>
      </w:pPr>
      <w:r>
        <w:rPr/>
        <w:t>isolation within the larger EOPSS system. The Commission further recommends that EOPSS continue to explore areas in which its agencies can expand the collection and reporting of data on sexual orientation and</w:t>
      </w:r>
      <w:r>
        <w:rPr>
          <w:spacing w:val="-2"/>
        </w:rPr>
        <w:t> </w:t>
      </w:r>
      <w:r>
        <w:rPr/>
        <w:t>gender</w:t>
      </w:r>
      <w:r>
        <w:rPr>
          <w:spacing w:val="-1"/>
        </w:rPr>
        <w:t> </w:t>
      </w:r>
      <w:r>
        <w:rPr/>
        <w:t>identity</w:t>
      </w:r>
      <w:r>
        <w:rPr>
          <w:spacing w:val="-1"/>
        </w:rPr>
        <w:t> </w:t>
      </w:r>
      <w:r>
        <w:rPr/>
        <w:t>(SOGI)</w:t>
      </w:r>
      <w:r>
        <w:rPr>
          <w:spacing w:val="-1"/>
        </w:rPr>
        <w:t> </w:t>
      </w:r>
      <w:r>
        <w:rPr/>
        <w:t>to</w:t>
      </w:r>
      <w:r>
        <w:rPr>
          <w:spacing w:val="-1"/>
        </w:rPr>
        <w:t> </w:t>
      </w:r>
      <w:r>
        <w:rPr/>
        <w:t>address</w:t>
      </w:r>
      <w:r>
        <w:rPr>
          <w:spacing w:val="-1"/>
        </w:rPr>
        <w:t> </w:t>
      </w:r>
      <w:r>
        <w:rPr/>
        <w:t>disparities</w:t>
      </w:r>
      <w:r>
        <w:rPr>
          <w:spacing w:val="-1"/>
        </w:rPr>
        <w:t> </w:t>
      </w:r>
      <w:r>
        <w:rPr/>
        <w:t>facing</w:t>
      </w:r>
      <w:r>
        <w:rPr>
          <w:spacing w:val="-2"/>
        </w:rPr>
        <w:t> </w:t>
      </w:r>
      <w:r>
        <w:rPr/>
        <w:t>LGBTQ</w:t>
      </w:r>
      <w:r>
        <w:rPr>
          <w:spacing w:val="-2"/>
        </w:rPr>
        <w:t> </w:t>
      </w:r>
      <w:r>
        <w:rPr/>
        <w:t>youth</w:t>
      </w:r>
      <w:r>
        <w:rPr>
          <w:spacing w:val="-2"/>
        </w:rPr>
        <w:t> </w:t>
      </w:r>
      <w:r>
        <w:rPr/>
        <w:t>across</w:t>
      </w:r>
      <w:r>
        <w:rPr>
          <w:spacing w:val="-1"/>
        </w:rPr>
        <w:t> </w:t>
      </w:r>
      <w:r>
        <w:rPr/>
        <w:t>the</w:t>
      </w:r>
      <w:r>
        <w:rPr>
          <w:spacing w:val="-2"/>
        </w:rPr>
        <w:t> </w:t>
      </w:r>
      <w:r>
        <w:rPr/>
        <w:t>multiple</w:t>
      </w:r>
      <w:r>
        <w:rPr>
          <w:spacing w:val="-2"/>
        </w:rPr>
        <w:t> </w:t>
      </w:r>
      <w:r>
        <w:rPr/>
        <w:t>systems</w:t>
      </w:r>
      <w:r>
        <w:rPr>
          <w:spacing w:val="-1"/>
        </w:rPr>
        <w:t> </w:t>
      </w:r>
      <w:r>
        <w:rPr/>
        <w:t>overseen by EOPSS.</w:t>
      </w:r>
    </w:p>
    <w:p>
      <w:pPr>
        <w:numPr>
          <w:ilvl w:val="0"/>
          <w:numId w:val="45"/>
        </w:numPr>
        <w:tabs>
          <w:tab w:pos="1197" w:val="left" w:leader="none"/>
        </w:tabs>
        <w:spacing w:before="239"/>
        <w:ind w:left="1197" w:right="0" w:hanging="358"/>
        <w:jc w:val="left"/>
        <w:rPr>
          <w:b/>
          <w:sz w:val="22"/>
        </w:rPr>
      </w:pPr>
      <w:r>
        <w:rPr>
          <w:b/>
          <w:sz w:val="22"/>
        </w:rPr>
        <w:t>Provide</w:t>
      </w:r>
      <w:r>
        <w:rPr>
          <w:b/>
          <w:spacing w:val="-8"/>
          <w:sz w:val="22"/>
        </w:rPr>
        <w:t> </w:t>
      </w:r>
      <w:r>
        <w:rPr>
          <w:b/>
          <w:sz w:val="22"/>
        </w:rPr>
        <w:t>LGBTQ</w:t>
      </w:r>
      <w:r>
        <w:rPr>
          <w:b/>
          <w:spacing w:val="-8"/>
          <w:sz w:val="22"/>
        </w:rPr>
        <w:t> </w:t>
      </w:r>
      <w:r>
        <w:rPr>
          <w:b/>
          <w:sz w:val="22"/>
        </w:rPr>
        <w:t>cultural</w:t>
      </w:r>
      <w:r>
        <w:rPr>
          <w:b/>
          <w:spacing w:val="-7"/>
          <w:sz w:val="22"/>
        </w:rPr>
        <w:t> </w:t>
      </w:r>
      <w:r>
        <w:rPr>
          <w:b/>
          <w:sz w:val="22"/>
        </w:rPr>
        <w:t>awareness</w:t>
      </w:r>
      <w:r>
        <w:rPr>
          <w:b/>
          <w:spacing w:val="-8"/>
          <w:sz w:val="22"/>
        </w:rPr>
        <w:t> </w:t>
      </w:r>
      <w:r>
        <w:rPr>
          <w:b/>
          <w:sz w:val="22"/>
        </w:rPr>
        <w:t>trainings</w:t>
      </w:r>
      <w:r>
        <w:rPr>
          <w:b/>
          <w:spacing w:val="-8"/>
          <w:sz w:val="22"/>
        </w:rPr>
        <w:t> </w:t>
      </w:r>
      <w:r>
        <w:rPr>
          <w:b/>
          <w:sz w:val="22"/>
        </w:rPr>
        <w:t>to</w:t>
      </w:r>
      <w:r>
        <w:rPr>
          <w:b/>
          <w:spacing w:val="-8"/>
          <w:sz w:val="22"/>
        </w:rPr>
        <w:t> </w:t>
      </w:r>
      <w:r>
        <w:rPr>
          <w:b/>
          <w:sz w:val="22"/>
        </w:rPr>
        <w:t>all</w:t>
      </w:r>
      <w:r>
        <w:rPr>
          <w:b/>
          <w:spacing w:val="-7"/>
          <w:sz w:val="22"/>
        </w:rPr>
        <w:t> </w:t>
      </w:r>
      <w:r>
        <w:rPr>
          <w:b/>
          <w:sz w:val="22"/>
        </w:rPr>
        <w:t>EOPSS</w:t>
      </w:r>
      <w:r>
        <w:rPr>
          <w:b/>
          <w:spacing w:val="-8"/>
          <w:sz w:val="22"/>
        </w:rPr>
        <w:t> </w:t>
      </w:r>
      <w:r>
        <w:rPr>
          <w:b/>
          <w:sz w:val="22"/>
        </w:rPr>
        <w:t>agency</w:t>
      </w:r>
      <w:r>
        <w:rPr>
          <w:b/>
          <w:spacing w:val="-7"/>
          <w:sz w:val="22"/>
        </w:rPr>
        <w:t> </w:t>
      </w:r>
      <w:r>
        <w:rPr>
          <w:b/>
          <w:sz w:val="22"/>
        </w:rPr>
        <w:t>staff</w:t>
      </w:r>
      <w:r>
        <w:rPr>
          <w:b/>
          <w:spacing w:val="-9"/>
          <w:sz w:val="22"/>
        </w:rPr>
        <w:t> </w:t>
      </w:r>
      <w:r>
        <w:rPr>
          <w:b/>
          <w:sz w:val="22"/>
        </w:rPr>
        <w:t>and</w:t>
      </w:r>
      <w:r>
        <w:rPr>
          <w:b/>
          <w:spacing w:val="-7"/>
          <w:sz w:val="22"/>
        </w:rPr>
        <w:t> </w:t>
      </w:r>
      <w:r>
        <w:rPr>
          <w:b/>
          <w:spacing w:val="-2"/>
          <w:sz w:val="22"/>
        </w:rPr>
        <w:t>providers.</w:t>
      </w:r>
    </w:p>
    <w:p>
      <w:pPr>
        <w:pStyle w:val="BodyText"/>
        <w:spacing w:before="11"/>
        <w:rPr>
          <w:b/>
        </w:rPr>
      </w:pPr>
    </w:p>
    <w:p>
      <w:pPr>
        <w:pStyle w:val="BodyText"/>
        <w:spacing w:line="276" w:lineRule="auto"/>
        <w:ind w:left="478" w:right="139"/>
        <w:jc w:val="both"/>
      </w:pPr>
      <w:r>
        <w:rPr/>
        <w:t>For</w:t>
      </w:r>
      <w:r>
        <w:rPr>
          <w:spacing w:val="-2"/>
        </w:rPr>
        <w:t> </w:t>
      </w:r>
      <w:r>
        <w:rPr/>
        <w:t>several</w:t>
      </w:r>
      <w:r>
        <w:rPr>
          <w:spacing w:val="-2"/>
        </w:rPr>
        <w:t> </w:t>
      </w:r>
      <w:r>
        <w:rPr/>
        <w:t>years,</w:t>
      </w:r>
      <w:r>
        <w:rPr>
          <w:spacing w:val="-2"/>
        </w:rPr>
        <w:t> </w:t>
      </w:r>
      <w:r>
        <w:rPr/>
        <w:t>the</w:t>
      </w:r>
      <w:r>
        <w:rPr>
          <w:spacing w:val="-1"/>
        </w:rPr>
        <w:t> </w:t>
      </w:r>
      <w:r>
        <w:rPr/>
        <w:t>Commission</w:t>
      </w:r>
      <w:r>
        <w:rPr>
          <w:spacing w:val="-1"/>
        </w:rPr>
        <w:t> </w:t>
      </w:r>
      <w:r>
        <w:rPr/>
        <w:t>has</w:t>
      </w:r>
      <w:r>
        <w:rPr>
          <w:spacing w:val="-2"/>
        </w:rPr>
        <w:t> </w:t>
      </w:r>
      <w:r>
        <w:rPr/>
        <w:t>been</w:t>
      </w:r>
      <w:r>
        <w:rPr>
          <w:spacing w:val="-1"/>
        </w:rPr>
        <w:t> </w:t>
      </w:r>
      <w:r>
        <w:rPr/>
        <w:t>engaged</w:t>
      </w:r>
      <w:r>
        <w:rPr>
          <w:spacing w:val="-2"/>
        </w:rPr>
        <w:t> </w:t>
      </w:r>
      <w:r>
        <w:rPr/>
        <w:t>in conversations</w:t>
      </w:r>
      <w:r>
        <w:rPr>
          <w:spacing w:val="-1"/>
        </w:rPr>
        <w:t> </w:t>
      </w:r>
      <w:r>
        <w:rPr/>
        <w:t>with</w:t>
      </w:r>
      <w:r>
        <w:rPr>
          <w:spacing w:val="-1"/>
        </w:rPr>
        <w:t> </w:t>
      </w:r>
      <w:r>
        <w:rPr/>
        <w:t>EOPSS</w:t>
      </w:r>
      <w:r>
        <w:rPr>
          <w:spacing w:val="-2"/>
        </w:rPr>
        <w:t> </w:t>
      </w:r>
      <w:r>
        <w:rPr/>
        <w:t>around providing</w:t>
      </w:r>
      <w:r>
        <w:rPr>
          <w:spacing w:val="-2"/>
        </w:rPr>
        <w:t> </w:t>
      </w:r>
      <w:r>
        <w:rPr/>
        <w:t>LGBTQ cultural awareness trainings, and identified MPTC, DOC, the State Police, and the Massachusetts National Guard</w:t>
      </w:r>
      <w:r>
        <w:rPr>
          <w:spacing w:val="-6"/>
        </w:rPr>
        <w:t> </w:t>
      </w:r>
      <w:r>
        <w:rPr/>
        <w:t>as</w:t>
      </w:r>
      <w:r>
        <w:rPr>
          <w:spacing w:val="-6"/>
        </w:rPr>
        <w:t> </w:t>
      </w:r>
      <w:r>
        <w:rPr/>
        <w:t>key</w:t>
      </w:r>
      <w:r>
        <w:rPr>
          <w:spacing w:val="-4"/>
        </w:rPr>
        <w:t> </w:t>
      </w:r>
      <w:r>
        <w:rPr/>
        <w:t>agencies</w:t>
      </w:r>
      <w:r>
        <w:rPr>
          <w:spacing w:val="-5"/>
        </w:rPr>
        <w:t> </w:t>
      </w:r>
      <w:r>
        <w:rPr/>
        <w:t>to</w:t>
      </w:r>
      <w:r>
        <w:rPr>
          <w:spacing w:val="-5"/>
        </w:rPr>
        <w:t> </w:t>
      </w:r>
      <w:r>
        <w:rPr/>
        <w:t>begin</w:t>
      </w:r>
      <w:r>
        <w:rPr>
          <w:spacing w:val="-6"/>
        </w:rPr>
        <w:t> </w:t>
      </w:r>
      <w:r>
        <w:rPr/>
        <w:t>this</w:t>
      </w:r>
      <w:r>
        <w:rPr>
          <w:spacing w:val="-5"/>
        </w:rPr>
        <w:t> </w:t>
      </w:r>
      <w:r>
        <w:rPr/>
        <w:t>process</w:t>
      </w:r>
      <w:r>
        <w:rPr>
          <w:spacing w:val="-6"/>
        </w:rPr>
        <w:t> </w:t>
      </w:r>
      <w:r>
        <w:rPr/>
        <w:t>with.</w:t>
      </w:r>
      <w:r>
        <w:rPr>
          <w:spacing w:val="-6"/>
        </w:rPr>
        <w:t> </w:t>
      </w:r>
      <w:r>
        <w:rPr/>
        <w:t>In</w:t>
      </w:r>
      <w:r>
        <w:rPr>
          <w:spacing w:val="-6"/>
        </w:rPr>
        <w:t> </w:t>
      </w:r>
      <w:r>
        <w:rPr/>
        <w:t>FY</w:t>
      </w:r>
      <w:r>
        <w:rPr>
          <w:spacing w:val="-7"/>
        </w:rPr>
        <w:t> </w:t>
      </w:r>
      <w:r>
        <w:rPr/>
        <w:t>2024,</w:t>
      </w:r>
      <w:r>
        <w:rPr>
          <w:spacing w:val="-6"/>
        </w:rPr>
        <w:t> </w:t>
      </w:r>
      <w:r>
        <w:rPr/>
        <w:t>the</w:t>
      </w:r>
      <w:r>
        <w:rPr>
          <w:spacing w:val="-7"/>
        </w:rPr>
        <w:t> </w:t>
      </w:r>
      <w:r>
        <w:rPr/>
        <w:t>Commission</w:t>
      </w:r>
      <w:r>
        <w:rPr>
          <w:spacing w:val="-7"/>
        </w:rPr>
        <w:t> </w:t>
      </w:r>
      <w:r>
        <w:rPr/>
        <w:t>received</w:t>
      </w:r>
      <w:r>
        <w:rPr>
          <w:spacing w:val="-6"/>
        </w:rPr>
        <w:t> </w:t>
      </w:r>
      <w:r>
        <w:rPr/>
        <w:t>connections</w:t>
      </w:r>
      <w:r>
        <w:rPr>
          <w:spacing w:val="-5"/>
        </w:rPr>
        <w:t> </w:t>
      </w:r>
      <w:r>
        <w:rPr/>
        <w:t>to</w:t>
      </w:r>
      <w:r>
        <w:rPr>
          <w:spacing w:val="-6"/>
        </w:rPr>
        <w:t> </w:t>
      </w:r>
      <w:r>
        <w:rPr/>
        <w:t>many of these agencies, and had the opportunity to work with DOC staff to present a train-the-trainer series in fall</w:t>
      </w:r>
      <w:r>
        <w:rPr>
          <w:spacing w:val="-4"/>
        </w:rPr>
        <w:t> </w:t>
      </w:r>
      <w:r>
        <w:rPr/>
        <w:t>2024.</w:t>
      </w:r>
      <w:r>
        <w:rPr>
          <w:spacing w:val="-4"/>
        </w:rPr>
        <w:t> </w:t>
      </w:r>
      <w:r>
        <w:rPr/>
        <w:t>The</w:t>
      </w:r>
      <w:r>
        <w:rPr>
          <w:spacing w:val="-3"/>
        </w:rPr>
        <w:t> </w:t>
      </w:r>
      <w:r>
        <w:rPr/>
        <w:t>Commission</w:t>
      </w:r>
      <w:r>
        <w:rPr>
          <w:spacing w:val="-4"/>
        </w:rPr>
        <w:t> </w:t>
      </w:r>
      <w:r>
        <w:rPr/>
        <w:t>looks</w:t>
      </w:r>
      <w:r>
        <w:rPr>
          <w:spacing w:val="-4"/>
        </w:rPr>
        <w:t> </w:t>
      </w:r>
      <w:r>
        <w:rPr/>
        <w:t>forward</w:t>
      </w:r>
      <w:r>
        <w:rPr>
          <w:spacing w:val="-4"/>
        </w:rPr>
        <w:t> </w:t>
      </w:r>
      <w:r>
        <w:rPr/>
        <w:t>to</w:t>
      </w:r>
      <w:r>
        <w:rPr>
          <w:spacing w:val="-3"/>
        </w:rPr>
        <w:t> </w:t>
      </w:r>
      <w:r>
        <w:rPr/>
        <w:t>continuing</w:t>
      </w:r>
      <w:r>
        <w:rPr>
          <w:spacing w:val="-4"/>
        </w:rPr>
        <w:t> </w:t>
      </w:r>
      <w:r>
        <w:rPr/>
        <w:t>to</w:t>
      </w:r>
      <w:r>
        <w:rPr>
          <w:spacing w:val="-3"/>
        </w:rPr>
        <w:t> </w:t>
      </w:r>
      <w:r>
        <w:rPr/>
        <w:t>expand</w:t>
      </w:r>
      <w:r>
        <w:rPr>
          <w:spacing w:val="-3"/>
        </w:rPr>
        <w:t> </w:t>
      </w:r>
      <w:r>
        <w:rPr/>
        <w:t>upon</w:t>
      </w:r>
      <w:r>
        <w:rPr>
          <w:spacing w:val="-4"/>
        </w:rPr>
        <w:t> </w:t>
      </w:r>
      <w:r>
        <w:rPr/>
        <w:t>its</w:t>
      </w:r>
      <w:r>
        <w:rPr>
          <w:spacing w:val="-4"/>
        </w:rPr>
        <w:t> </w:t>
      </w:r>
      <w:r>
        <w:rPr/>
        <w:t>training</w:t>
      </w:r>
      <w:r>
        <w:rPr>
          <w:spacing w:val="-4"/>
        </w:rPr>
        <w:t> </w:t>
      </w:r>
      <w:r>
        <w:rPr/>
        <w:t>partnerships</w:t>
      </w:r>
      <w:r>
        <w:rPr>
          <w:spacing w:val="-4"/>
        </w:rPr>
        <w:t> </w:t>
      </w:r>
      <w:r>
        <w:rPr/>
        <w:t>with</w:t>
      </w:r>
      <w:r>
        <w:rPr>
          <w:spacing w:val="-4"/>
        </w:rPr>
        <w:t> </w:t>
      </w:r>
      <w:r>
        <w:rPr/>
        <w:t>EOPSS agencies in FY 2025.</w:t>
      </w:r>
    </w:p>
    <w:p>
      <w:pPr>
        <w:pStyle w:val="BodyText"/>
      </w:pPr>
    </w:p>
    <w:p>
      <w:pPr>
        <w:pStyle w:val="BodyText"/>
        <w:spacing w:before="238"/>
      </w:pPr>
    </w:p>
    <w:p>
      <w:pPr>
        <w:spacing w:before="0"/>
        <w:ind w:left="478" w:right="0" w:firstLine="0"/>
        <w:jc w:val="both"/>
        <w:rPr>
          <w:i/>
          <w:sz w:val="21"/>
        </w:rPr>
      </w:pPr>
      <w:r>
        <w:rPr>
          <w:i/>
          <w:sz w:val="21"/>
        </w:rPr>
        <w:t>Acknowledgments:</w:t>
      </w:r>
      <w:r>
        <w:rPr>
          <w:i/>
          <w:spacing w:val="-3"/>
          <w:sz w:val="21"/>
        </w:rPr>
        <w:t> </w:t>
      </w:r>
      <w:r>
        <w:rPr>
          <w:i/>
          <w:sz w:val="21"/>
        </w:rPr>
        <w:t>The</w:t>
      </w:r>
      <w:r>
        <w:rPr>
          <w:i/>
          <w:spacing w:val="-3"/>
          <w:sz w:val="21"/>
        </w:rPr>
        <w:t> </w:t>
      </w:r>
      <w:r>
        <w:rPr>
          <w:i/>
          <w:sz w:val="21"/>
        </w:rPr>
        <w:t>Commission</w:t>
      </w:r>
      <w:r>
        <w:rPr>
          <w:i/>
          <w:spacing w:val="-3"/>
          <w:sz w:val="21"/>
        </w:rPr>
        <w:t> </w:t>
      </w:r>
      <w:r>
        <w:rPr>
          <w:i/>
          <w:sz w:val="21"/>
        </w:rPr>
        <w:t>thanks</w:t>
      </w:r>
      <w:r>
        <w:rPr>
          <w:i/>
          <w:spacing w:val="-3"/>
          <w:sz w:val="21"/>
        </w:rPr>
        <w:t> </w:t>
      </w:r>
      <w:r>
        <w:rPr>
          <w:i/>
          <w:sz w:val="21"/>
        </w:rPr>
        <w:t>its</w:t>
      </w:r>
      <w:r>
        <w:rPr>
          <w:i/>
          <w:spacing w:val="-3"/>
          <w:sz w:val="21"/>
        </w:rPr>
        <w:t> </w:t>
      </w:r>
      <w:r>
        <w:rPr>
          <w:i/>
          <w:sz w:val="21"/>
        </w:rPr>
        <w:t>EOPSS</w:t>
      </w:r>
      <w:r>
        <w:rPr>
          <w:i/>
          <w:spacing w:val="-3"/>
          <w:sz w:val="21"/>
        </w:rPr>
        <w:t> </w:t>
      </w:r>
      <w:r>
        <w:rPr>
          <w:i/>
          <w:sz w:val="21"/>
        </w:rPr>
        <w:t>agency</w:t>
      </w:r>
      <w:r>
        <w:rPr>
          <w:i/>
          <w:spacing w:val="-2"/>
          <w:sz w:val="21"/>
        </w:rPr>
        <w:t> </w:t>
      </w:r>
      <w:r>
        <w:rPr>
          <w:i/>
          <w:sz w:val="21"/>
        </w:rPr>
        <w:t>staff</w:t>
      </w:r>
      <w:r>
        <w:rPr>
          <w:i/>
          <w:spacing w:val="-3"/>
          <w:sz w:val="21"/>
        </w:rPr>
        <w:t> </w:t>
      </w:r>
      <w:r>
        <w:rPr>
          <w:i/>
          <w:spacing w:val="-2"/>
          <w:sz w:val="21"/>
        </w:rPr>
        <w:t>liaisons.</w:t>
      </w:r>
    </w:p>
    <w:p>
      <w:pPr>
        <w:spacing w:after="0"/>
        <w:jc w:val="both"/>
        <w:rPr>
          <w:sz w:val="21"/>
        </w:rPr>
        <w:sectPr>
          <w:pgSz w:w="12240" w:h="15840"/>
          <w:pgMar w:header="804" w:footer="1188" w:top="1000" w:bottom="1460" w:left="960" w:right="1100"/>
        </w:sectPr>
      </w:pPr>
    </w:p>
    <w:p>
      <w:pPr>
        <w:pStyle w:val="BodyText"/>
        <w:rPr>
          <w:i/>
          <w:sz w:val="20"/>
        </w:rPr>
      </w:pPr>
    </w:p>
    <w:p>
      <w:pPr>
        <w:pStyle w:val="BodyText"/>
        <w:spacing w:before="89"/>
        <w:rPr>
          <w:i/>
          <w:sz w:val="20"/>
        </w:rPr>
      </w:pPr>
    </w:p>
    <w:p>
      <w:pPr>
        <w:pStyle w:val="BodyText"/>
        <w:spacing w:line="20" w:lineRule="exact"/>
        <w:ind w:left="440"/>
        <w:rPr>
          <w:sz w:val="2"/>
        </w:rPr>
      </w:pPr>
      <w:r>
        <w:rPr>
          <w:sz w:val="2"/>
        </w:rPr>
        <mc:AlternateContent>
          <mc:Choice Requires="wps">
            <w:drawing>
              <wp:inline distT="0" distB="0" distL="0" distR="0">
                <wp:extent cx="6350" cy="12700"/>
                <wp:effectExtent l="0" t="0" r="0" b="0"/>
                <wp:docPr id="660" name="Group 660"/>
                <wp:cNvGraphicFramePr>
                  <a:graphicFrameLocks/>
                </wp:cNvGraphicFramePr>
                <a:graphic>
                  <a:graphicData uri="http://schemas.microsoft.com/office/word/2010/wordprocessingGroup">
                    <wpg:wgp>
                      <wpg:cNvPr id="660" name="Group 660"/>
                      <wpg:cNvGrpSpPr/>
                      <wpg:grpSpPr>
                        <a:xfrm>
                          <a:off x="0" y="0"/>
                          <a:ext cx="6350" cy="12700"/>
                          <a:chExt cx="6350" cy="12700"/>
                        </a:xfrm>
                      </wpg:grpSpPr>
                      <wps:wsp>
                        <wps:cNvPr id="661" name="Graphic 661"/>
                        <wps:cNvSpPr/>
                        <wps:spPr>
                          <a:xfrm>
                            <a:off x="0" y="0"/>
                            <a:ext cx="6350" cy="12700"/>
                          </a:xfrm>
                          <a:custGeom>
                            <a:avLst/>
                            <a:gdLst/>
                            <a:ahLst/>
                            <a:cxnLst/>
                            <a:rect l="l" t="t" r="r" b="b"/>
                            <a:pathLst>
                              <a:path w="6350" h="12700">
                                <a:moveTo>
                                  <a:pt x="6337" y="0"/>
                                </a:moveTo>
                                <a:lnTo>
                                  <a:pt x="0" y="0"/>
                                </a:lnTo>
                                <a:lnTo>
                                  <a:pt x="0" y="12179"/>
                                </a:lnTo>
                                <a:lnTo>
                                  <a:pt x="6337" y="12179"/>
                                </a:lnTo>
                                <a:lnTo>
                                  <a:pt x="6337" y="0"/>
                                </a:lnTo>
                                <a:close/>
                              </a:path>
                            </a:pathLst>
                          </a:custGeom>
                          <a:solidFill>
                            <a:srgbClr val="4F81BB"/>
                          </a:solidFill>
                        </wps:spPr>
                        <wps:bodyPr wrap="square" lIns="0" tIns="0" rIns="0" bIns="0" rtlCol="0">
                          <a:prstTxWarp prst="textNoShape">
                            <a:avLst/>
                          </a:prstTxWarp>
                          <a:noAutofit/>
                        </wps:bodyPr>
                      </wps:wsp>
                    </wpg:wgp>
                  </a:graphicData>
                </a:graphic>
              </wp:inline>
            </w:drawing>
          </mc:Choice>
          <mc:Fallback>
            <w:pict>
              <v:group style="width:.5pt;height:1pt;mso-position-horizontal-relative:char;mso-position-vertical-relative:line" id="docshapegroup557" coordorigin="0,0" coordsize="10,20">
                <v:rect style="position:absolute;left:0;top:0;width:10;height:20" id="docshape558" filled="true" fillcolor="#4f81bb" stroked="false">
                  <v:fill type="solid"/>
                </v:rect>
              </v:group>
            </w:pict>
          </mc:Fallback>
        </mc:AlternateContent>
      </w:r>
      <w:r>
        <w:rPr>
          <w:sz w:val="2"/>
        </w:rPr>
      </w:r>
    </w:p>
    <w:p>
      <w:pPr>
        <w:pStyle w:val="Heading7"/>
      </w:pPr>
      <w:bookmarkStart w:name="_bookmark645" w:id="952"/>
      <w:bookmarkEnd w:id="952"/>
      <w:r>
        <w:rPr/>
      </w:r>
      <w:hyperlink w:history="true" w:anchor="_bookmark7">
        <w:r>
          <w:rPr>
            <w:color w:val="365F91"/>
            <w:spacing w:val="-8"/>
          </w:rPr>
          <w:t>Executive</w:t>
        </w:r>
        <w:r>
          <w:rPr>
            <w:color w:val="365F91"/>
            <w:spacing w:val="-14"/>
          </w:rPr>
          <w:t> </w:t>
        </w:r>
        <w:r>
          <w:rPr>
            <w:color w:val="365F91"/>
            <w:spacing w:val="-8"/>
          </w:rPr>
          <w:t>Office</w:t>
        </w:r>
        <w:r>
          <w:rPr>
            <w:color w:val="365F91"/>
            <w:spacing w:val="-13"/>
          </w:rPr>
          <w:t> </w:t>
        </w:r>
        <w:r>
          <w:rPr>
            <w:color w:val="365F91"/>
            <w:spacing w:val="-8"/>
          </w:rPr>
          <w:t>of</w:t>
        </w:r>
        <w:r>
          <w:rPr>
            <w:color w:val="365F91"/>
            <w:spacing w:val="-13"/>
          </w:rPr>
          <w:t> </w:t>
        </w:r>
        <w:r>
          <w:rPr>
            <w:color w:val="365F91"/>
            <w:spacing w:val="-8"/>
          </w:rPr>
          <w:t>Housing</w:t>
        </w:r>
        <w:r>
          <w:rPr>
            <w:color w:val="365F91"/>
            <w:spacing w:val="-13"/>
          </w:rPr>
          <w:t> </w:t>
        </w:r>
        <w:r>
          <w:rPr>
            <w:color w:val="365F91"/>
            <w:spacing w:val="-8"/>
          </w:rPr>
          <w:t>and</w:t>
        </w:r>
        <w:r>
          <w:rPr>
            <w:color w:val="365F91"/>
            <w:spacing w:val="-13"/>
          </w:rPr>
          <w:t> </w:t>
        </w:r>
        <w:r>
          <w:rPr>
            <w:color w:val="365F91"/>
            <w:spacing w:val="-8"/>
          </w:rPr>
          <w:t>Livable</w:t>
        </w:r>
        <w:r>
          <w:rPr>
            <w:color w:val="365F91"/>
            <w:spacing w:val="-13"/>
          </w:rPr>
          <w:t> </w:t>
        </w:r>
        <w:r>
          <w:rPr>
            <w:color w:val="365F91"/>
            <w:spacing w:val="-8"/>
          </w:rPr>
          <w:t>Communities</w:t>
        </w:r>
      </w:hyperlink>
    </w:p>
    <w:p>
      <w:pPr>
        <w:pStyle w:val="BodyText"/>
        <w:spacing w:before="145"/>
        <w:rPr>
          <w:sz w:val="20"/>
        </w:rPr>
      </w:pPr>
      <w:r>
        <w:rPr/>
        <mc:AlternateContent>
          <mc:Choice Requires="wps">
            <w:drawing>
              <wp:anchor distT="0" distB="0" distL="0" distR="0" allowOverlap="1" layoutInCell="1" locked="0" behindDoc="1" simplePos="0" relativeHeight="487725056">
                <wp:simplePos x="0" y="0"/>
                <wp:positionH relativeFrom="page">
                  <wp:posOffset>889000</wp:posOffset>
                </wp:positionH>
                <wp:positionV relativeFrom="paragraph">
                  <wp:posOffset>262419</wp:posOffset>
                </wp:positionV>
                <wp:extent cx="6350" cy="12700"/>
                <wp:effectExtent l="0" t="0" r="0" b="0"/>
                <wp:wrapTopAndBottom/>
                <wp:docPr id="662" name="Graphic 662"/>
                <wp:cNvGraphicFramePr>
                  <a:graphicFrameLocks/>
                </wp:cNvGraphicFramePr>
                <a:graphic>
                  <a:graphicData uri="http://schemas.microsoft.com/office/word/2010/wordprocessingShape">
                    <wps:wsp>
                      <wps:cNvPr id="662" name="Graphic 662"/>
                      <wps:cNvSpPr/>
                      <wps:spPr>
                        <a:xfrm>
                          <a:off x="0" y="0"/>
                          <a:ext cx="6350" cy="12700"/>
                        </a:xfrm>
                        <a:custGeom>
                          <a:avLst/>
                          <a:gdLst/>
                          <a:ahLst/>
                          <a:cxnLst/>
                          <a:rect l="l" t="t" r="r" b="b"/>
                          <a:pathLst>
                            <a:path w="6350" h="12700">
                              <a:moveTo>
                                <a:pt x="6337" y="0"/>
                              </a:moveTo>
                              <a:lnTo>
                                <a:pt x="0" y="0"/>
                              </a:lnTo>
                              <a:lnTo>
                                <a:pt x="0" y="12179"/>
                              </a:lnTo>
                              <a:lnTo>
                                <a:pt x="6337" y="12179"/>
                              </a:lnTo>
                              <a:lnTo>
                                <a:pt x="6337" y="0"/>
                              </a:lnTo>
                              <a:close/>
                            </a:path>
                          </a:pathLst>
                        </a:custGeom>
                        <a:solidFill>
                          <a:srgbClr val="4F81BB"/>
                        </a:solidFill>
                      </wps:spPr>
                      <wps:bodyPr wrap="square" lIns="0" tIns="0" rIns="0" bIns="0" rtlCol="0">
                        <a:prstTxWarp prst="textNoShape">
                          <a:avLst/>
                        </a:prstTxWarp>
                        <a:noAutofit/>
                      </wps:bodyPr>
                    </wps:wsp>
                  </a:graphicData>
                </a:graphic>
              </wp:anchor>
            </w:drawing>
          </mc:Choice>
          <mc:Fallback>
            <w:pict>
              <v:rect style="position:absolute;margin-left:70pt;margin-top:20.662937pt;width:.499pt;height:.959pt;mso-position-horizontal-relative:page;mso-position-vertical-relative:paragraph;z-index:-15591424;mso-wrap-distance-left:0;mso-wrap-distance-right:0" id="docshape559" filled="true" fillcolor="#4f81bb" stroked="false">
                <v:fill type="solid"/>
                <w10:wrap type="topAndBottom"/>
              </v:rect>
            </w:pict>
          </mc:Fallback>
        </mc:AlternateContent>
      </w:r>
    </w:p>
    <w:p>
      <w:pPr>
        <w:spacing w:before="0"/>
        <w:ind w:left="483" w:right="0" w:firstLine="0"/>
        <w:jc w:val="left"/>
        <w:rPr>
          <w:sz w:val="28"/>
        </w:rPr>
      </w:pPr>
      <w:r>
        <w:rPr>
          <w:color w:val="365F91"/>
          <w:sz w:val="28"/>
        </w:rPr>
        <w:t>FY2025</w:t>
      </w:r>
      <w:r>
        <w:rPr>
          <w:color w:val="365F91"/>
          <w:spacing w:val="-13"/>
          <w:sz w:val="28"/>
        </w:rPr>
        <w:t> </w:t>
      </w:r>
      <w:r>
        <w:rPr>
          <w:color w:val="365F91"/>
          <w:spacing w:val="-2"/>
          <w:sz w:val="28"/>
        </w:rPr>
        <w:t>Recommendations</w:t>
      </w:r>
    </w:p>
    <w:p>
      <w:pPr>
        <w:pStyle w:val="BodyText"/>
        <w:spacing w:before="11"/>
        <w:rPr>
          <w:sz w:val="3"/>
        </w:rPr>
      </w:pPr>
      <w:r>
        <w:rPr/>
        <mc:AlternateContent>
          <mc:Choice Requires="wps">
            <w:drawing>
              <wp:anchor distT="0" distB="0" distL="0" distR="0" allowOverlap="1" layoutInCell="1" locked="0" behindDoc="1" simplePos="0" relativeHeight="487725568">
                <wp:simplePos x="0" y="0"/>
                <wp:positionH relativeFrom="page">
                  <wp:posOffset>897636</wp:posOffset>
                </wp:positionH>
                <wp:positionV relativeFrom="paragraph">
                  <wp:posOffset>45645</wp:posOffset>
                </wp:positionV>
                <wp:extent cx="5976620" cy="6350"/>
                <wp:effectExtent l="0" t="0" r="0" b="0"/>
                <wp:wrapTopAndBottom/>
                <wp:docPr id="663" name="Graphic 663"/>
                <wp:cNvGraphicFramePr>
                  <a:graphicFrameLocks/>
                </wp:cNvGraphicFramePr>
                <a:graphic>
                  <a:graphicData uri="http://schemas.microsoft.com/office/word/2010/wordprocessingShape">
                    <wps:wsp>
                      <wps:cNvPr id="663" name="Graphic 663"/>
                      <wps:cNvSpPr/>
                      <wps:spPr>
                        <a:xfrm>
                          <a:off x="0" y="0"/>
                          <a:ext cx="5976620" cy="6350"/>
                        </a:xfrm>
                        <a:custGeom>
                          <a:avLst/>
                          <a:gdLst/>
                          <a:ahLst/>
                          <a:cxnLst/>
                          <a:rect l="l" t="t" r="r" b="b"/>
                          <a:pathLst>
                            <a:path w="5976620" h="6350">
                              <a:moveTo>
                                <a:pt x="5976366" y="0"/>
                              </a:moveTo>
                              <a:lnTo>
                                <a:pt x="0" y="0"/>
                              </a:lnTo>
                              <a:lnTo>
                                <a:pt x="0" y="6096"/>
                              </a:lnTo>
                              <a:lnTo>
                                <a:pt x="5976366" y="6096"/>
                              </a:lnTo>
                              <a:lnTo>
                                <a:pt x="5976366" y="0"/>
                              </a:lnTo>
                              <a:close/>
                            </a:path>
                          </a:pathLst>
                        </a:custGeom>
                        <a:solidFill>
                          <a:srgbClr val="4F81BC"/>
                        </a:solidFill>
                      </wps:spPr>
                      <wps:bodyPr wrap="square" lIns="0" tIns="0" rIns="0" bIns="0" rtlCol="0">
                        <a:prstTxWarp prst="textNoShape">
                          <a:avLst/>
                        </a:prstTxWarp>
                        <a:noAutofit/>
                      </wps:bodyPr>
                    </wps:wsp>
                  </a:graphicData>
                </a:graphic>
              </wp:anchor>
            </w:drawing>
          </mc:Choice>
          <mc:Fallback>
            <w:pict>
              <v:rect style="position:absolute;margin-left:70.680pt;margin-top:3.594156pt;width:470.58pt;height:.48pt;mso-position-horizontal-relative:page;mso-position-vertical-relative:paragraph;z-index:-15590912;mso-wrap-distance-left:0;mso-wrap-distance-right:0" id="docshape560" filled="true" fillcolor="#4f81bc" stroked="false">
                <v:fill type="solid"/>
                <w10:wrap type="topAndBottom"/>
              </v:rect>
            </w:pict>
          </mc:Fallback>
        </mc:AlternateContent>
      </w:r>
    </w:p>
    <w:p>
      <w:pPr>
        <w:pStyle w:val="ListParagraph"/>
        <w:numPr>
          <w:ilvl w:val="1"/>
          <w:numId w:val="45"/>
        </w:numPr>
        <w:tabs>
          <w:tab w:pos="1418" w:val="left" w:leader="none"/>
        </w:tabs>
        <w:spacing w:line="240" w:lineRule="auto" w:before="241" w:after="0"/>
        <w:ind w:left="1418" w:right="0" w:hanging="359"/>
        <w:jc w:val="both"/>
        <w:rPr>
          <w:sz w:val="22"/>
        </w:rPr>
      </w:pPr>
      <w:r>
        <w:rPr>
          <w:sz w:val="22"/>
        </w:rPr>
        <w:t>Develop</w:t>
      </w:r>
      <w:r>
        <w:rPr>
          <w:spacing w:val="-12"/>
          <w:sz w:val="22"/>
        </w:rPr>
        <w:t> </w:t>
      </w:r>
      <w:r>
        <w:rPr>
          <w:sz w:val="22"/>
        </w:rPr>
        <w:t>and</w:t>
      </w:r>
      <w:r>
        <w:rPr>
          <w:spacing w:val="-12"/>
          <w:sz w:val="22"/>
        </w:rPr>
        <w:t> </w:t>
      </w:r>
      <w:r>
        <w:rPr>
          <w:sz w:val="22"/>
        </w:rPr>
        <w:t>implement</w:t>
      </w:r>
      <w:r>
        <w:rPr>
          <w:spacing w:val="-10"/>
          <w:sz w:val="22"/>
        </w:rPr>
        <w:t> </w:t>
      </w:r>
      <w:r>
        <w:rPr>
          <w:sz w:val="22"/>
        </w:rPr>
        <w:t>an</w:t>
      </w:r>
      <w:r>
        <w:rPr>
          <w:spacing w:val="-11"/>
          <w:sz w:val="22"/>
        </w:rPr>
        <w:t> </w:t>
      </w:r>
      <w:r>
        <w:rPr>
          <w:sz w:val="22"/>
        </w:rPr>
        <w:t>agency-wide</w:t>
      </w:r>
      <w:r>
        <w:rPr>
          <w:spacing w:val="-10"/>
          <w:sz w:val="22"/>
        </w:rPr>
        <w:t> </w:t>
      </w:r>
      <w:r>
        <w:rPr>
          <w:sz w:val="22"/>
        </w:rPr>
        <w:t>nondiscrimination</w:t>
      </w:r>
      <w:r>
        <w:rPr>
          <w:spacing w:val="-12"/>
          <w:sz w:val="22"/>
        </w:rPr>
        <w:t> </w:t>
      </w:r>
      <w:r>
        <w:rPr>
          <w:spacing w:val="-2"/>
          <w:sz w:val="22"/>
        </w:rPr>
        <w:t>policy.</w:t>
      </w:r>
    </w:p>
    <w:p>
      <w:pPr>
        <w:pStyle w:val="ListParagraph"/>
        <w:numPr>
          <w:ilvl w:val="1"/>
          <w:numId w:val="45"/>
        </w:numPr>
        <w:tabs>
          <w:tab w:pos="1419" w:val="left" w:leader="none"/>
        </w:tabs>
        <w:spacing w:line="276" w:lineRule="auto" w:before="40" w:after="0"/>
        <w:ind w:left="1419" w:right="341" w:hanging="360"/>
        <w:jc w:val="both"/>
        <w:rPr>
          <w:sz w:val="21"/>
        </w:rPr>
      </w:pPr>
      <w:r>
        <w:rPr>
          <w:sz w:val="21"/>
        </w:rPr>
        <w:t>Develop and execute a plan to canvass shelters across the state and report out on internal policy and practice to support trans and nonbinary clients.</w:t>
      </w:r>
    </w:p>
    <w:p>
      <w:pPr>
        <w:pStyle w:val="ListParagraph"/>
        <w:numPr>
          <w:ilvl w:val="1"/>
          <w:numId w:val="45"/>
        </w:numPr>
        <w:tabs>
          <w:tab w:pos="1419" w:val="left" w:leader="none"/>
        </w:tabs>
        <w:spacing w:line="276" w:lineRule="auto" w:before="0" w:after="0"/>
        <w:ind w:left="1419" w:right="341" w:hanging="360"/>
        <w:jc w:val="both"/>
        <w:rPr>
          <w:sz w:val="21"/>
        </w:rPr>
      </w:pPr>
      <w:r>
        <w:rPr>
          <w:sz w:val="21"/>
        </w:rPr>
        <w:t>Improve interagency collaboration to support LGBTQ youth experiencing homelessness, with particular attention to supporting LGBTQ immigrant youth and youth transitioning out of the child welfare system.</w:t>
      </w:r>
    </w:p>
    <w:p>
      <w:pPr>
        <w:pStyle w:val="ListParagraph"/>
        <w:numPr>
          <w:ilvl w:val="1"/>
          <w:numId w:val="45"/>
        </w:numPr>
        <w:tabs>
          <w:tab w:pos="1419" w:val="left" w:leader="none"/>
        </w:tabs>
        <w:spacing w:line="276" w:lineRule="auto" w:before="0" w:after="0"/>
        <w:ind w:left="1419" w:right="342" w:hanging="360"/>
        <w:jc w:val="both"/>
        <w:rPr>
          <w:sz w:val="21"/>
        </w:rPr>
      </w:pPr>
      <w:r>
        <w:rPr>
          <w:sz w:val="21"/>
        </w:rPr>
        <w:t>Investigate with Continuums of Care and community providers to ensure that youth can travel between CoCs without facing systemic barriers to accessing appropriate housing services.</w:t>
      </w:r>
    </w:p>
    <w:p>
      <w:pPr>
        <w:pStyle w:val="ListParagraph"/>
        <w:numPr>
          <w:ilvl w:val="1"/>
          <w:numId w:val="45"/>
        </w:numPr>
        <w:tabs>
          <w:tab w:pos="1419" w:val="left" w:leader="none"/>
        </w:tabs>
        <w:spacing w:line="276" w:lineRule="auto" w:before="1" w:after="0"/>
        <w:ind w:left="1419" w:right="343" w:hanging="360"/>
        <w:jc w:val="both"/>
        <w:rPr>
          <w:sz w:val="22"/>
        </w:rPr>
      </w:pPr>
      <w:r>
        <w:rPr>
          <w:sz w:val="22"/>
        </w:rPr>
        <w:t>Explore ways to encourage the development and funding of LGBTQ-specific and safe shelters for youth, and alternative ways to address the housing crisis for youth.</w:t>
      </w:r>
    </w:p>
    <w:p>
      <w:pPr>
        <w:pStyle w:val="ListParagraph"/>
        <w:numPr>
          <w:ilvl w:val="1"/>
          <w:numId w:val="45"/>
        </w:numPr>
        <w:tabs>
          <w:tab w:pos="1417" w:val="left" w:leader="none"/>
          <w:tab w:pos="1419" w:val="left" w:leader="none"/>
        </w:tabs>
        <w:spacing w:line="276" w:lineRule="auto" w:before="0" w:after="0"/>
        <w:ind w:left="1419" w:right="343" w:hanging="361"/>
        <w:jc w:val="both"/>
        <w:rPr>
          <w:sz w:val="22"/>
        </w:rPr>
      </w:pPr>
      <w:r>
        <w:rPr>
          <w:sz w:val="22"/>
        </w:rPr>
        <w:t>Provide LGBTQ cultural engagement and racial equity trainings for </w:t>
      </w:r>
      <w:r>
        <w:rPr>
          <w:sz w:val="21"/>
        </w:rPr>
        <w:t>EOHLC </w:t>
      </w:r>
      <w:r>
        <w:rPr>
          <w:sz w:val="22"/>
        </w:rPr>
        <w:t>employees and shelter providers.</w:t>
      </w:r>
    </w:p>
    <w:p>
      <w:pPr>
        <w:pStyle w:val="BodyText"/>
        <w:spacing w:before="70"/>
        <w:rPr>
          <w:sz w:val="20"/>
        </w:rPr>
      </w:pPr>
      <w:r>
        <w:rPr/>
        <mc:AlternateContent>
          <mc:Choice Requires="wps">
            <w:drawing>
              <wp:anchor distT="0" distB="0" distL="0" distR="0" allowOverlap="1" layoutInCell="1" locked="0" behindDoc="1" simplePos="0" relativeHeight="487726080">
                <wp:simplePos x="0" y="0"/>
                <wp:positionH relativeFrom="page">
                  <wp:posOffset>889000</wp:posOffset>
                </wp:positionH>
                <wp:positionV relativeFrom="paragraph">
                  <wp:posOffset>215173</wp:posOffset>
                </wp:positionV>
                <wp:extent cx="6350" cy="12700"/>
                <wp:effectExtent l="0" t="0" r="0" b="0"/>
                <wp:wrapTopAndBottom/>
                <wp:docPr id="664" name="Graphic 664"/>
                <wp:cNvGraphicFramePr>
                  <a:graphicFrameLocks/>
                </wp:cNvGraphicFramePr>
                <a:graphic>
                  <a:graphicData uri="http://schemas.microsoft.com/office/word/2010/wordprocessingShape">
                    <wps:wsp>
                      <wps:cNvPr id="664" name="Graphic 664"/>
                      <wps:cNvSpPr/>
                      <wps:spPr>
                        <a:xfrm>
                          <a:off x="0" y="0"/>
                          <a:ext cx="6350" cy="12700"/>
                        </a:xfrm>
                        <a:custGeom>
                          <a:avLst/>
                          <a:gdLst/>
                          <a:ahLst/>
                          <a:cxnLst/>
                          <a:rect l="l" t="t" r="r" b="b"/>
                          <a:pathLst>
                            <a:path w="6350" h="12700">
                              <a:moveTo>
                                <a:pt x="6337" y="0"/>
                              </a:moveTo>
                              <a:lnTo>
                                <a:pt x="0" y="0"/>
                              </a:lnTo>
                              <a:lnTo>
                                <a:pt x="0" y="12217"/>
                              </a:lnTo>
                              <a:lnTo>
                                <a:pt x="6337" y="12217"/>
                              </a:lnTo>
                              <a:lnTo>
                                <a:pt x="6337" y="0"/>
                              </a:lnTo>
                              <a:close/>
                            </a:path>
                          </a:pathLst>
                        </a:custGeom>
                        <a:solidFill>
                          <a:srgbClr val="4F81BB"/>
                        </a:solidFill>
                      </wps:spPr>
                      <wps:bodyPr wrap="square" lIns="0" tIns="0" rIns="0" bIns="0" rtlCol="0">
                        <a:prstTxWarp prst="textNoShape">
                          <a:avLst/>
                        </a:prstTxWarp>
                        <a:noAutofit/>
                      </wps:bodyPr>
                    </wps:wsp>
                  </a:graphicData>
                </a:graphic>
              </wp:anchor>
            </w:drawing>
          </mc:Choice>
          <mc:Fallback>
            <w:pict>
              <v:rect style="position:absolute;margin-left:70pt;margin-top:16.942757pt;width:.499pt;height:.962pt;mso-position-horizontal-relative:page;mso-position-vertical-relative:paragraph;z-index:-15590400;mso-wrap-distance-left:0;mso-wrap-distance-right:0" id="docshape561" filled="true" fillcolor="#4f81bb" stroked="false">
                <v:fill type="solid"/>
                <w10:wrap type="topAndBottom"/>
              </v:rect>
            </w:pict>
          </mc:Fallback>
        </mc:AlternateContent>
      </w:r>
    </w:p>
    <w:p>
      <w:pPr>
        <w:spacing w:before="0"/>
        <w:ind w:left="339" w:right="0" w:firstLine="0"/>
        <w:jc w:val="left"/>
        <w:rPr>
          <w:sz w:val="28"/>
        </w:rPr>
      </w:pPr>
      <w:r>
        <w:rPr>
          <w:color w:val="365F91"/>
          <w:spacing w:val="-2"/>
          <w:sz w:val="28"/>
        </w:rPr>
        <w:t>Introduction</w:t>
      </w:r>
    </w:p>
    <w:p>
      <w:pPr>
        <w:pStyle w:val="BodyText"/>
        <w:spacing w:before="11"/>
        <w:rPr>
          <w:sz w:val="3"/>
        </w:rPr>
      </w:pPr>
      <w:r>
        <w:rPr/>
        <mc:AlternateContent>
          <mc:Choice Requires="wps">
            <w:drawing>
              <wp:anchor distT="0" distB="0" distL="0" distR="0" allowOverlap="1" layoutInCell="1" locked="0" behindDoc="1" simplePos="0" relativeHeight="487726592">
                <wp:simplePos x="0" y="0"/>
                <wp:positionH relativeFrom="page">
                  <wp:posOffset>806195</wp:posOffset>
                </wp:positionH>
                <wp:positionV relativeFrom="paragraph">
                  <wp:posOffset>45582</wp:posOffset>
                </wp:positionV>
                <wp:extent cx="6068060" cy="6350"/>
                <wp:effectExtent l="0" t="0" r="0" b="0"/>
                <wp:wrapTopAndBottom/>
                <wp:docPr id="665" name="Graphic 665"/>
                <wp:cNvGraphicFramePr>
                  <a:graphicFrameLocks/>
                </wp:cNvGraphicFramePr>
                <a:graphic>
                  <a:graphicData uri="http://schemas.microsoft.com/office/word/2010/wordprocessingShape">
                    <wps:wsp>
                      <wps:cNvPr id="665" name="Graphic 665"/>
                      <wps:cNvSpPr/>
                      <wps:spPr>
                        <a:xfrm>
                          <a:off x="0" y="0"/>
                          <a:ext cx="6068060" cy="6350"/>
                        </a:xfrm>
                        <a:custGeom>
                          <a:avLst/>
                          <a:gdLst/>
                          <a:ahLst/>
                          <a:cxnLst/>
                          <a:rect l="l" t="t" r="r" b="b"/>
                          <a:pathLst>
                            <a:path w="6068060" h="6350">
                              <a:moveTo>
                                <a:pt x="6067806" y="0"/>
                              </a:moveTo>
                              <a:lnTo>
                                <a:pt x="0" y="0"/>
                              </a:lnTo>
                              <a:lnTo>
                                <a:pt x="0" y="6108"/>
                              </a:lnTo>
                              <a:lnTo>
                                <a:pt x="6067806" y="6108"/>
                              </a:lnTo>
                              <a:lnTo>
                                <a:pt x="6067806" y="0"/>
                              </a:lnTo>
                              <a:close/>
                            </a:path>
                          </a:pathLst>
                        </a:custGeom>
                        <a:solidFill>
                          <a:srgbClr val="4F81BC"/>
                        </a:solidFill>
                      </wps:spPr>
                      <wps:bodyPr wrap="square" lIns="0" tIns="0" rIns="0" bIns="0" rtlCol="0">
                        <a:prstTxWarp prst="textNoShape">
                          <a:avLst/>
                        </a:prstTxWarp>
                        <a:noAutofit/>
                      </wps:bodyPr>
                    </wps:wsp>
                  </a:graphicData>
                </a:graphic>
              </wp:anchor>
            </w:drawing>
          </mc:Choice>
          <mc:Fallback>
            <w:pict>
              <v:rect style="position:absolute;margin-left:63.48pt;margin-top:3.589156pt;width:477.78pt;height:.481pt;mso-position-horizontal-relative:page;mso-position-vertical-relative:paragraph;z-index:-15589888;mso-wrap-distance-left:0;mso-wrap-distance-right:0" id="docshape562" filled="true" fillcolor="#4f81bc" stroked="false">
                <v:fill type="solid"/>
                <w10:wrap type="topAndBottom"/>
              </v:rect>
            </w:pict>
          </mc:Fallback>
        </mc:AlternateContent>
      </w:r>
    </w:p>
    <w:p>
      <w:pPr>
        <w:spacing w:line="276" w:lineRule="auto" w:before="241"/>
        <w:ind w:left="483" w:right="341" w:firstLine="0"/>
        <w:jc w:val="both"/>
        <w:rPr>
          <w:sz w:val="21"/>
        </w:rPr>
      </w:pPr>
      <w:r>
        <w:rPr>
          <w:sz w:val="22"/>
        </w:rPr>
        <w:t>The newly-elevated Executive Office of Housing and Livable Communities was established in 2023 (elevating </w:t>
      </w:r>
      <w:r>
        <w:rPr>
          <w:sz w:val="21"/>
        </w:rPr>
        <w:t>the Department of Housing and Community Development to a secretariat) to create more homes and lower housing costs for Massachusetts residents. Through this work, EOHLC also distributes funding to municipalities, oversees the state-aided public housing portfolio, and operates the state’s Emergency Family Shelter (EA) program. For years, Massachusetts LGBTQ youth and young adults have often named housing access as their number one priority.</w:t>
      </w:r>
    </w:p>
    <w:p>
      <w:pPr>
        <w:pStyle w:val="BodyText"/>
        <w:spacing w:line="276" w:lineRule="auto" w:before="240"/>
        <w:ind w:left="483" w:right="340"/>
        <w:jc w:val="both"/>
        <w:rPr>
          <w:sz w:val="21"/>
        </w:rPr>
      </w:pPr>
      <w:r>
        <w:rPr/>
        <w:t>2022 Massachusetts Youth Count noted that 30% of unaccompanied youth respondents identified as LGBTQ, and 5.6% identified as transgender, nonbinary, or Two-Spirit. Of these youth, 52.9% reported being in a shelter the night before, 35.1% couch-surfing, and 12% being unsheltered</w:t>
      </w:r>
      <w:hyperlink w:history="true" w:anchor="_bookmark646">
        <w:r>
          <w:rPr/>
          <w:t>.</w:t>
        </w:r>
        <w:r>
          <w:rPr>
            <w:vertAlign w:val="superscript"/>
          </w:rPr>
          <w:t>i</w:t>
        </w:r>
      </w:hyperlink>
      <w:r>
        <w:rPr>
          <w:vertAlign w:val="baseline"/>
        </w:rPr>
        <w:t> This data clearly indicates the critical need of LGBTQ-affirming services for youth experiencing homelessness or housing instability</w:t>
      </w:r>
      <w:r>
        <w:rPr>
          <w:spacing w:val="-11"/>
          <w:vertAlign w:val="baseline"/>
        </w:rPr>
        <w:t> </w:t>
      </w:r>
      <w:r>
        <w:rPr>
          <w:vertAlign w:val="baseline"/>
        </w:rPr>
        <w:t>in</w:t>
      </w:r>
      <w:r>
        <w:rPr>
          <w:spacing w:val="-11"/>
          <w:vertAlign w:val="baseline"/>
        </w:rPr>
        <w:t> </w:t>
      </w:r>
      <w:r>
        <w:rPr>
          <w:vertAlign w:val="baseline"/>
        </w:rPr>
        <w:t>the</w:t>
      </w:r>
      <w:r>
        <w:rPr>
          <w:spacing w:val="-11"/>
          <w:vertAlign w:val="baseline"/>
        </w:rPr>
        <w:t> </w:t>
      </w:r>
      <w:r>
        <w:rPr>
          <w:vertAlign w:val="baseline"/>
        </w:rPr>
        <w:t>Commonwealth</w:t>
      </w:r>
      <w:r>
        <w:rPr>
          <w:spacing w:val="-11"/>
          <w:vertAlign w:val="baseline"/>
        </w:rPr>
        <w:t> </w:t>
      </w:r>
      <w:r>
        <w:rPr>
          <w:vertAlign w:val="baseline"/>
        </w:rPr>
        <w:t>for</w:t>
      </w:r>
      <w:r>
        <w:rPr>
          <w:spacing w:val="-11"/>
          <w:vertAlign w:val="baseline"/>
        </w:rPr>
        <w:t> </w:t>
      </w:r>
      <w:r>
        <w:rPr>
          <w:vertAlign w:val="baseline"/>
        </w:rPr>
        <w:t>shelter</w:t>
      </w:r>
      <w:r>
        <w:rPr>
          <w:spacing w:val="-11"/>
          <w:vertAlign w:val="baseline"/>
        </w:rPr>
        <w:t> </w:t>
      </w:r>
      <w:r>
        <w:rPr>
          <w:vertAlign w:val="baseline"/>
        </w:rPr>
        <w:t>spaces</w:t>
      </w:r>
      <w:r>
        <w:rPr>
          <w:spacing w:val="-11"/>
          <w:vertAlign w:val="baseline"/>
        </w:rPr>
        <w:t> </w:t>
      </w:r>
      <w:r>
        <w:rPr>
          <w:vertAlign w:val="baseline"/>
        </w:rPr>
        <w:t>and</w:t>
      </w:r>
      <w:r>
        <w:rPr>
          <w:spacing w:val="-11"/>
          <w:vertAlign w:val="baseline"/>
        </w:rPr>
        <w:t> </w:t>
      </w:r>
      <w:r>
        <w:rPr>
          <w:vertAlign w:val="baseline"/>
        </w:rPr>
        <w:t>housing</w:t>
      </w:r>
      <w:r>
        <w:rPr>
          <w:spacing w:val="-10"/>
          <w:vertAlign w:val="baseline"/>
        </w:rPr>
        <w:t> </w:t>
      </w:r>
      <w:r>
        <w:rPr>
          <w:vertAlign w:val="baseline"/>
        </w:rPr>
        <w:t>services.</w:t>
      </w:r>
      <w:r>
        <w:rPr>
          <w:spacing w:val="-12"/>
          <w:vertAlign w:val="baseline"/>
        </w:rPr>
        <w:t> </w:t>
      </w:r>
      <w:r>
        <w:rPr>
          <w:vertAlign w:val="baseline"/>
        </w:rPr>
        <w:t>Additionally,</w:t>
      </w:r>
      <w:r>
        <w:rPr>
          <w:spacing w:val="-11"/>
          <w:vertAlign w:val="baseline"/>
        </w:rPr>
        <w:t> </w:t>
      </w:r>
      <w:r>
        <w:rPr>
          <w:vertAlign w:val="baseline"/>
        </w:rPr>
        <w:t>homelessness</w:t>
      </w:r>
      <w:r>
        <w:rPr>
          <w:spacing w:val="-11"/>
          <w:vertAlign w:val="baseline"/>
        </w:rPr>
        <w:t> </w:t>
      </w:r>
      <w:r>
        <w:rPr>
          <w:vertAlign w:val="baseline"/>
        </w:rPr>
        <w:t>does not</w:t>
      </w:r>
      <w:r>
        <w:rPr>
          <w:spacing w:val="-12"/>
          <w:vertAlign w:val="baseline"/>
        </w:rPr>
        <w:t> </w:t>
      </w:r>
      <w:r>
        <w:rPr>
          <w:vertAlign w:val="baseline"/>
        </w:rPr>
        <w:t>only</w:t>
      </w:r>
      <w:r>
        <w:rPr>
          <w:spacing w:val="-11"/>
          <w:vertAlign w:val="baseline"/>
        </w:rPr>
        <w:t> </w:t>
      </w:r>
      <w:r>
        <w:rPr>
          <w:vertAlign w:val="baseline"/>
        </w:rPr>
        <w:t>impact</w:t>
      </w:r>
      <w:r>
        <w:rPr>
          <w:spacing w:val="-12"/>
          <w:vertAlign w:val="baseline"/>
        </w:rPr>
        <w:t> </w:t>
      </w:r>
      <w:r>
        <w:rPr>
          <w:vertAlign w:val="baseline"/>
        </w:rPr>
        <w:t>unaccompanied</w:t>
      </w:r>
      <w:r>
        <w:rPr>
          <w:spacing w:val="-11"/>
          <w:vertAlign w:val="baseline"/>
        </w:rPr>
        <w:t> </w:t>
      </w:r>
      <w:r>
        <w:rPr>
          <w:vertAlign w:val="baseline"/>
        </w:rPr>
        <w:t>LGBTQ</w:t>
      </w:r>
      <w:r>
        <w:rPr>
          <w:spacing w:val="-10"/>
          <w:vertAlign w:val="baseline"/>
        </w:rPr>
        <w:t> </w:t>
      </w:r>
      <w:r>
        <w:rPr>
          <w:vertAlign w:val="baseline"/>
        </w:rPr>
        <w:t>youth,</w:t>
      </w:r>
      <w:r>
        <w:rPr>
          <w:spacing w:val="-11"/>
          <w:vertAlign w:val="baseline"/>
        </w:rPr>
        <w:t> </w:t>
      </w:r>
      <w:r>
        <w:rPr>
          <w:vertAlign w:val="baseline"/>
        </w:rPr>
        <w:t>but</w:t>
      </w:r>
      <w:r>
        <w:rPr>
          <w:spacing w:val="-12"/>
          <w:vertAlign w:val="baseline"/>
        </w:rPr>
        <w:t> </w:t>
      </w:r>
      <w:r>
        <w:rPr>
          <w:vertAlign w:val="baseline"/>
        </w:rPr>
        <w:t>also</w:t>
      </w:r>
      <w:r>
        <w:rPr>
          <w:spacing w:val="-11"/>
          <w:vertAlign w:val="baseline"/>
        </w:rPr>
        <w:t> </w:t>
      </w:r>
      <w:r>
        <w:rPr>
          <w:vertAlign w:val="baseline"/>
        </w:rPr>
        <w:t>youth</w:t>
      </w:r>
      <w:r>
        <w:rPr>
          <w:spacing w:val="-12"/>
          <w:vertAlign w:val="baseline"/>
        </w:rPr>
        <w:t> </w:t>
      </w:r>
      <w:r>
        <w:rPr>
          <w:vertAlign w:val="baseline"/>
        </w:rPr>
        <w:t>who</w:t>
      </w:r>
      <w:r>
        <w:rPr>
          <w:spacing w:val="-10"/>
          <w:vertAlign w:val="baseline"/>
        </w:rPr>
        <w:t> </w:t>
      </w:r>
      <w:r>
        <w:rPr>
          <w:vertAlign w:val="baseline"/>
        </w:rPr>
        <w:t>are</w:t>
      </w:r>
      <w:r>
        <w:rPr>
          <w:spacing w:val="-12"/>
          <w:vertAlign w:val="baseline"/>
        </w:rPr>
        <w:t> </w:t>
      </w:r>
      <w:r>
        <w:rPr>
          <w:vertAlign w:val="baseline"/>
        </w:rPr>
        <w:t>living</w:t>
      </w:r>
      <w:r>
        <w:rPr>
          <w:spacing w:val="-12"/>
          <w:vertAlign w:val="baseline"/>
        </w:rPr>
        <w:t> </w:t>
      </w:r>
      <w:r>
        <w:rPr>
          <w:vertAlign w:val="baseline"/>
        </w:rPr>
        <w:t>with</w:t>
      </w:r>
      <w:r>
        <w:rPr>
          <w:spacing w:val="-12"/>
          <w:vertAlign w:val="baseline"/>
        </w:rPr>
        <w:t> </w:t>
      </w:r>
      <w:r>
        <w:rPr>
          <w:vertAlign w:val="baseline"/>
        </w:rPr>
        <w:t>their</w:t>
      </w:r>
      <w:r>
        <w:rPr>
          <w:spacing w:val="-11"/>
          <w:vertAlign w:val="baseline"/>
        </w:rPr>
        <w:t> </w:t>
      </w:r>
      <w:r>
        <w:rPr>
          <w:vertAlign w:val="baseline"/>
        </w:rPr>
        <w:t>families</w:t>
      </w:r>
      <w:r>
        <w:rPr>
          <w:spacing w:val="-11"/>
          <w:vertAlign w:val="baseline"/>
        </w:rPr>
        <w:t> </w:t>
      </w:r>
      <w:r>
        <w:rPr>
          <w:vertAlign w:val="baseline"/>
        </w:rPr>
        <w:t>in</w:t>
      </w:r>
      <w:r>
        <w:rPr>
          <w:spacing w:val="-12"/>
          <w:vertAlign w:val="baseline"/>
        </w:rPr>
        <w:t> </w:t>
      </w:r>
      <w:r>
        <w:rPr>
          <w:vertAlign w:val="baseline"/>
        </w:rPr>
        <w:t>unstable or unsheltered situations. Parents who are struggling to </w:t>
      </w:r>
      <w:r>
        <w:rPr>
          <w:sz w:val="21"/>
          <w:vertAlign w:val="baseline"/>
        </w:rPr>
        <w:t>navigate homelessness or housing instability may be particularly in need of assistance from state agencies or providers in locating resources for their LGBTQ </w:t>
      </w:r>
      <w:r>
        <w:rPr>
          <w:spacing w:val="-2"/>
          <w:sz w:val="21"/>
          <w:vertAlign w:val="baseline"/>
        </w:rPr>
        <w:t>children.</w:t>
      </w:r>
    </w:p>
    <w:p>
      <w:pPr>
        <w:spacing w:before="239"/>
        <w:ind w:left="483" w:right="0" w:firstLine="0"/>
        <w:jc w:val="both"/>
        <w:rPr>
          <w:sz w:val="28"/>
        </w:rPr>
      </w:pPr>
      <w:r>
        <w:rPr>
          <w:color w:val="365F91"/>
          <w:sz w:val="28"/>
        </w:rPr>
        <w:t>Past</w:t>
      </w:r>
      <w:r>
        <w:rPr>
          <w:color w:val="365F91"/>
          <w:spacing w:val="-7"/>
          <w:sz w:val="28"/>
        </w:rPr>
        <w:t> </w:t>
      </w:r>
      <w:r>
        <w:rPr>
          <w:color w:val="365F91"/>
          <w:sz w:val="28"/>
        </w:rPr>
        <w:t>&amp;</w:t>
      </w:r>
      <w:r>
        <w:rPr>
          <w:color w:val="365F91"/>
          <w:spacing w:val="-7"/>
          <w:sz w:val="28"/>
        </w:rPr>
        <w:t> </w:t>
      </w:r>
      <w:r>
        <w:rPr>
          <w:color w:val="365F91"/>
          <w:sz w:val="28"/>
        </w:rPr>
        <w:t>Ongoing</w:t>
      </w:r>
      <w:r>
        <w:rPr>
          <w:color w:val="365F91"/>
          <w:spacing w:val="-7"/>
          <w:sz w:val="28"/>
        </w:rPr>
        <w:t> </w:t>
      </w:r>
      <w:r>
        <w:rPr>
          <w:color w:val="365F91"/>
          <w:spacing w:val="-4"/>
          <w:sz w:val="28"/>
        </w:rPr>
        <w:t>Work</w:t>
      </w:r>
    </w:p>
    <w:p>
      <w:pPr>
        <w:pStyle w:val="BodyText"/>
        <w:spacing w:line="276" w:lineRule="auto" w:before="292"/>
        <w:ind w:left="483" w:right="342"/>
        <w:jc w:val="center"/>
      </w:pPr>
      <w:r>
        <w:rPr/>
        <w:t>The</w:t>
      </w:r>
      <w:r>
        <w:rPr>
          <w:spacing w:val="40"/>
        </w:rPr>
        <w:t> </w:t>
      </w:r>
      <w:r>
        <w:rPr/>
        <w:t>Commission</w:t>
      </w:r>
      <w:r>
        <w:rPr>
          <w:spacing w:val="40"/>
        </w:rPr>
        <w:t> </w:t>
      </w:r>
      <w:r>
        <w:rPr/>
        <w:t>has</w:t>
      </w:r>
      <w:r>
        <w:rPr>
          <w:spacing w:val="40"/>
        </w:rPr>
        <w:t> </w:t>
      </w:r>
      <w:r>
        <w:rPr/>
        <w:t>worked</w:t>
      </w:r>
      <w:r>
        <w:rPr>
          <w:spacing w:val="40"/>
        </w:rPr>
        <w:t> </w:t>
      </w:r>
      <w:r>
        <w:rPr/>
        <w:t>with</w:t>
      </w:r>
      <w:r>
        <w:rPr>
          <w:spacing w:val="40"/>
        </w:rPr>
        <w:t> </w:t>
      </w:r>
      <w:r>
        <w:rPr/>
        <w:t>EOHLC</w:t>
      </w:r>
      <w:r>
        <w:rPr>
          <w:spacing w:val="40"/>
        </w:rPr>
        <w:t> </w:t>
      </w:r>
      <w:r>
        <w:rPr/>
        <w:t>(then-DHCD)</w:t>
      </w:r>
      <w:r>
        <w:rPr>
          <w:spacing w:val="40"/>
        </w:rPr>
        <w:t> </w:t>
      </w:r>
      <w:r>
        <w:rPr/>
        <w:t>for</w:t>
      </w:r>
      <w:r>
        <w:rPr>
          <w:spacing w:val="40"/>
        </w:rPr>
        <w:t> </w:t>
      </w:r>
      <w:r>
        <w:rPr/>
        <w:t>many</w:t>
      </w:r>
      <w:r>
        <w:rPr>
          <w:spacing w:val="40"/>
        </w:rPr>
        <w:t> </w:t>
      </w:r>
      <w:r>
        <w:rPr/>
        <w:t>years</w:t>
      </w:r>
      <w:r>
        <w:rPr>
          <w:spacing w:val="40"/>
        </w:rPr>
        <w:t> </w:t>
      </w:r>
      <w:r>
        <w:rPr/>
        <w:t>to</w:t>
      </w:r>
      <w:r>
        <w:rPr>
          <w:spacing w:val="40"/>
        </w:rPr>
        <w:t> </w:t>
      </w:r>
      <w:r>
        <w:rPr/>
        <w:t>address</w:t>
      </w:r>
      <w:r>
        <w:rPr>
          <w:spacing w:val="40"/>
        </w:rPr>
        <w:t> </w:t>
      </w:r>
      <w:r>
        <w:rPr/>
        <w:t>improve</w:t>
      </w:r>
      <w:r>
        <w:rPr>
          <w:spacing w:val="40"/>
        </w:rPr>
        <w:t> </w:t>
      </w:r>
      <w:r>
        <w:rPr/>
        <w:t>LGBTQ- affirming</w:t>
      </w:r>
      <w:r>
        <w:rPr>
          <w:spacing w:val="23"/>
        </w:rPr>
        <w:t> </w:t>
      </w:r>
      <w:r>
        <w:rPr/>
        <w:t>housing</w:t>
      </w:r>
      <w:r>
        <w:rPr>
          <w:spacing w:val="23"/>
        </w:rPr>
        <w:t> </w:t>
      </w:r>
      <w:r>
        <w:rPr/>
        <w:t>and</w:t>
      </w:r>
      <w:r>
        <w:rPr>
          <w:spacing w:val="22"/>
        </w:rPr>
        <w:t> </w:t>
      </w:r>
      <w:r>
        <w:rPr/>
        <w:t>shelter</w:t>
      </w:r>
      <w:r>
        <w:rPr>
          <w:spacing w:val="23"/>
        </w:rPr>
        <w:t> </w:t>
      </w:r>
      <w:r>
        <w:rPr/>
        <w:t>services</w:t>
      </w:r>
      <w:r>
        <w:rPr>
          <w:spacing w:val="23"/>
        </w:rPr>
        <w:t> </w:t>
      </w:r>
      <w:r>
        <w:rPr/>
        <w:t>across</w:t>
      </w:r>
      <w:r>
        <w:rPr>
          <w:spacing w:val="22"/>
        </w:rPr>
        <w:t> </w:t>
      </w:r>
      <w:r>
        <w:rPr/>
        <w:t>the</w:t>
      </w:r>
      <w:r>
        <w:rPr>
          <w:spacing w:val="25"/>
        </w:rPr>
        <w:t> </w:t>
      </w:r>
      <w:r>
        <w:rPr/>
        <w:t>Commonwealth.</w:t>
      </w:r>
      <w:r>
        <w:rPr>
          <w:spacing w:val="23"/>
        </w:rPr>
        <w:t> </w:t>
      </w:r>
      <w:r>
        <w:rPr/>
        <w:t>The</w:t>
      </w:r>
      <w:r>
        <w:rPr>
          <w:spacing w:val="24"/>
        </w:rPr>
        <w:t> </w:t>
      </w:r>
      <w:r>
        <w:rPr/>
        <w:t>Commission</w:t>
      </w:r>
      <w:r>
        <w:rPr>
          <w:spacing w:val="22"/>
        </w:rPr>
        <w:t> </w:t>
      </w:r>
      <w:r>
        <w:rPr/>
        <w:t>understands</w:t>
      </w:r>
      <w:r>
        <w:rPr>
          <w:spacing w:val="23"/>
        </w:rPr>
        <w:t> </w:t>
      </w:r>
      <w:r>
        <w:rPr>
          <w:spacing w:val="-4"/>
        </w:rPr>
        <w:t>that</w:t>
      </w:r>
    </w:p>
    <w:p>
      <w:pPr>
        <w:pStyle w:val="BodyText"/>
        <w:ind w:left="138"/>
        <w:jc w:val="center"/>
      </w:pPr>
      <w:r>
        <w:rPr>
          <w:spacing w:val="27"/>
          <w:u w:val="single" w:color="D9D9D9"/>
        </w:rPr>
        <w:t>  </w:t>
      </w:r>
      <w:r>
        <w:rPr>
          <w:u w:val="single" w:color="D9D9D9"/>
        </w:rPr>
        <w:t>EOHLC,</w:t>
      </w:r>
      <w:r>
        <w:rPr>
          <w:spacing w:val="-3"/>
          <w:u w:val="single" w:color="D9D9D9"/>
        </w:rPr>
        <w:t> </w:t>
      </w:r>
      <w:r>
        <w:rPr>
          <w:u w:val="single" w:color="D9D9D9"/>
        </w:rPr>
        <w:t>like</w:t>
      </w:r>
      <w:r>
        <w:rPr>
          <w:spacing w:val="-4"/>
          <w:u w:val="single" w:color="D9D9D9"/>
        </w:rPr>
        <w:t> </w:t>
      </w:r>
      <w:r>
        <w:rPr>
          <w:u w:val="single" w:color="D9D9D9"/>
        </w:rPr>
        <w:t>many</w:t>
      </w:r>
      <w:r>
        <w:rPr>
          <w:spacing w:val="-5"/>
          <w:u w:val="single" w:color="D9D9D9"/>
        </w:rPr>
        <w:t> </w:t>
      </w:r>
      <w:r>
        <w:rPr>
          <w:u w:val="single" w:color="D9D9D9"/>
        </w:rPr>
        <w:t>other</w:t>
      </w:r>
      <w:r>
        <w:rPr>
          <w:spacing w:val="-5"/>
          <w:u w:val="single" w:color="D9D9D9"/>
        </w:rPr>
        <w:t> </w:t>
      </w:r>
      <w:r>
        <w:rPr>
          <w:u w:val="single" w:color="D9D9D9"/>
        </w:rPr>
        <w:t>state</w:t>
      </w:r>
      <w:r>
        <w:rPr>
          <w:spacing w:val="-4"/>
          <w:u w:val="single" w:color="D9D9D9"/>
        </w:rPr>
        <w:t> </w:t>
      </w:r>
      <w:r>
        <w:rPr>
          <w:u w:val="single" w:color="D9D9D9"/>
        </w:rPr>
        <w:t>entities,</w:t>
      </w:r>
      <w:r>
        <w:rPr>
          <w:spacing w:val="-3"/>
          <w:u w:val="single" w:color="D9D9D9"/>
        </w:rPr>
        <w:t> </w:t>
      </w:r>
      <w:r>
        <w:rPr>
          <w:u w:val="single" w:color="D9D9D9"/>
        </w:rPr>
        <w:t>can</w:t>
      </w:r>
      <w:r>
        <w:rPr>
          <w:spacing w:val="-5"/>
          <w:u w:val="single" w:color="D9D9D9"/>
        </w:rPr>
        <w:t> </w:t>
      </w:r>
      <w:r>
        <w:rPr>
          <w:u w:val="single" w:color="D9D9D9"/>
        </w:rPr>
        <w:t>sometimes</w:t>
      </w:r>
      <w:r>
        <w:rPr>
          <w:spacing w:val="-4"/>
          <w:u w:val="single" w:color="D9D9D9"/>
        </w:rPr>
        <w:t> </w:t>
      </w:r>
      <w:r>
        <w:rPr>
          <w:u w:val="single" w:color="D9D9D9"/>
        </w:rPr>
        <w:t>be</w:t>
      </w:r>
      <w:r>
        <w:rPr>
          <w:spacing w:val="-4"/>
          <w:u w:val="single" w:color="D9D9D9"/>
        </w:rPr>
        <w:t> </w:t>
      </w:r>
      <w:r>
        <w:rPr>
          <w:u w:val="single" w:color="D9D9D9"/>
        </w:rPr>
        <w:t>limited</w:t>
      </w:r>
      <w:r>
        <w:rPr>
          <w:spacing w:val="-4"/>
          <w:u w:val="single" w:color="D9D9D9"/>
        </w:rPr>
        <w:t> </w:t>
      </w:r>
      <w:r>
        <w:rPr>
          <w:u w:val="single" w:color="D9D9D9"/>
        </w:rPr>
        <w:t>in</w:t>
      </w:r>
      <w:r>
        <w:rPr>
          <w:spacing w:val="-5"/>
          <w:u w:val="single" w:color="D9D9D9"/>
        </w:rPr>
        <w:t> </w:t>
      </w:r>
      <w:r>
        <w:rPr>
          <w:u w:val="single" w:color="D9D9D9"/>
        </w:rPr>
        <w:t>its</w:t>
      </w:r>
      <w:r>
        <w:rPr>
          <w:spacing w:val="-4"/>
          <w:u w:val="single" w:color="D9D9D9"/>
        </w:rPr>
        <w:t> </w:t>
      </w:r>
      <w:r>
        <w:rPr>
          <w:u w:val="single" w:color="D9D9D9"/>
        </w:rPr>
        <w:t>ability</w:t>
      </w:r>
      <w:r>
        <w:rPr>
          <w:spacing w:val="-3"/>
          <w:u w:val="single" w:color="D9D9D9"/>
        </w:rPr>
        <w:t> </w:t>
      </w:r>
      <w:r>
        <w:rPr>
          <w:u w:val="single" w:color="D9D9D9"/>
        </w:rPr>
        <w:t>to</w:t>
      </w:r>
      <w:r>
        <w:rPr>
          <w:spacing w:val="-4"/>
          <w:u w:val="single" w:color="D9D9D9"/>
        </w:rPr>
        <w:t> </w:t>
      </w:r>
      <w:r>
        <w:rPr>
          <w:u w:val="single" w:color="D9D9D9"/>
        </w:rPr>
        <w:t>address</w:t>
      </w:r>
      <w:r>
        <w:rPr>
          <w:spacing w:val="-4"/>
          <w:u w:val="single" w:color="D9D9D9"/>
        </w:rPr>
        <w:t> </w:t>
      </w:r>
      <w:r>
        <w:rPr>
          <w:u w:val="single" w:color="D9D9D9"/>
        </w:rPr>
        <w:t>all</w:t>
      </w:r>
      <w:r>
        <w:rPr>
          <w:spacing w:val="-4"/>
          <w:u w:val="single" w:color="D9D9D9"/>
        </w:rPr>
        <w:t> </w:t>
      </w:r>
      <w:r>
        <w:rPr>
          <w:u w:val="single" w:color="D9D9D9"/>
        </w:rPr>
        <w:t>aspects</w:t>
      </w:r>
      <w:r>
        <w:rPr>
          <w:spacing w:val="-5"/>
          <w:u w:val="single" w:color="D9D9D9"/>
        </w:rPr>
        <w:t> </w:t>
      </w:r>
      <w:r>
        <w:rPr>
          <w:u w:val="single" w:color="D9D9D9"/>
        </w:rPr>
        <w:t>of</w:t>
      </w:r>
      <w:r>
        <w:rPr>
          <w:spacing w:val="-5"/>
          <w:u w:val="single" w:color="D9D9D9"/>
        </w:rPr>
        <w:t> the</w:t>
      </w:r>
      <w:r>
        <w:rPr>
          <w:spacing w:val="40"/>
          <w:u w:val="single" w:color="D9D9D9"/>
        </w:rPr>
        <w:t> </w:t>
      </w:r>
    </w:p>
    <w:p>
      <w:pPr>
        <w:spacing w:after="0"/>
        <w:jc w:val="center"/>
        <w:sectPr>
          <w:headerReference w:type="default" r:id="rId761"/>
          <w:footerReference w:type="default" r:id="rId762"/>
          <w:pgSz w:w="12240" w:h="15840"/>
          <w:pgMar w:header="804" w:footer="1189" w:top="1000" w:bottom="1380" w:left="960" w:right="1100"/>
        </w:sectPr>
      </w:pPr>
    </w:p>
    <w:p>
      <w:pPr>
        <w:pStyle w:val="BodyText"/>
        <w:spacing w:line="276" w:lineRule="auto" w:before="139"/>
        <w:ind w:left="483" w:right="345"/>
        <w:jc w:val="both"/>
      </w:pPr>
      <w:r>
        <w:rPr/>
        <w:t>Commission’s recommendations due to state and federal requirements, but appreciates its attention to the areas it can address on its own.</w:t>
      </w:r>
    </w:p>
    <w:p>
      <w:pPr>
        <w:pStyle w:val="BodyText"/>
        <w:spacing w:line="276" w:lineRule="auto" w:before="239"/>
        <w:ind w:left="483" w:right="339"/>
        <w:jc w:val="both"/>
      </w:pPr>
      <w:r>
        <w:rPr/>
        <w:t>EOHLC has made progress in a few areas since the Commission began issuing recommendations to its agency.</w:t>
      </w:r>
      <w:r>
        <w:rPr>
          <w:spacing w:val="-13"/>
        </w:rPr>
        <w:t> </w:t>
      </w:r>
      <w:r>
        <w:rPr/>
        <w:t>In</w:t>
      </w:r>
      <w:r>
        <w:rPr>
          <w:spacing w:val="-12"/>
        </w:rPr>
        <w:t> </w:t>
      </w:r>
      <w:r>
        <w:rPr/>
        <w:t>FY</w:t>
      </w:r>
      <w:r>
        <w:rPr>
          <w:spacing w:val="-13"/>
        </w:rPr>
        <w:t> </w:t>
      </w:r>
      <w:r>
        <w:rPr/>
        <w:t>2022,</w:t>
      </w:r>
      <w:r>
        <w:rPr>
          <w:spacing w:val="-12"/>
        </w:rPr>
        <w:t> </w:t>
      </w:r>
      <w:r>
        <w:rPr/>
        <w:t>the</w:t>
      </w:r>
      <w:r>
        <w:rPr>
          <w:spacing w:val="-13"/>
        </w:rPr>
        <w:t> </w:t>
      </w:r>
      <w:r>
        <w:rPr/>
        <w:t>Commission</w:t>
      </w:r>
      <w:r>
        <w:rPr>
          <w:spacing w:val="-12"/>
        </w:rPr>
        <w:t> </w:t>
      </w:r>
      <w:r>
        <w:rPr/>
        <w:t>noted</w:t>
      </w:r>
      <w:r>
        <w:rPr>
          <w:spacing w:val="-13"/>
        </w:rPr>
        <w:t> </w:t>
      </w:r>
      <w:r>
        <w:rPr/>
        <w:t>that</w:t>
      </w:r>
      <w:r>
        <w:rPr>
          <w:spacing w:val="-12"/>
        </w:rPr>
        <w:t> </w:t>
      </w:r>
      <w:r>
        <w:rPr/>
        <w:t>the</w:t>
      </w:r>
      <w:r>
        <w:rPr>
          <w:spacing w:val="-12"/>
        </w:rPr>
        <w:t> </w:t>
      </w:r>
      <w:r>
        <w:rPr/>
        <w:t>Common</w:t>
      </w:r>
      <w:r>
        <w:rPr>
          <w:spacing w:val="-13"/>
        </w:rPr>
        <w:t> </w:t>
      </w:r>
      <w:r>
        <w:rPr/>
        <w:t>Housing</w:t>
      </w:r>
      <w:r>
        <w:rPr>
          <w:spacing w:val="-12"/>
        </w:rPr>
        <w:t> </w:t>
      </w:r>
      <w:r>
        <w:rPr/>
        <w:t>Application</w:t>
      </w:r>
      <w:r>
        <w:rPr>
          <w:spacing w:val="-13"/>
        </w:rPr>
        <w:t> </w:t>
      </w:r>
      <w:r>
        <w:rPr/>
        <w:t>for</w:t>
      </w:r>
      <w:r>
        <w:rPr>
          <w:spacing w:val="-12"/>
        </w:rPr>
        <w:t> </w:t>
      </w:r>
      <w:r>
        <w:rPr/>
        <w:t>Massachusetts</w:t>
      </w:r>
      <w:r>
        <w:rPr>
          <w:spacing w:val="-13"/>
        </w:rPr>
        <w:t> </w:t>
      </w:r>
      <w:r>
        <w:rPr/>
        <w:t>state- aided</w:t>
      </w:r>
      <w:r>
        <w:rPr>
          <w:spacing w:val="-8"/>
        </w:rPr>
        <w:t> </w:t>
      </w:r>
      <w:r>
        <w:rPr/>
        <w:t>public</w:t>
      </w:r>
      <w:r>
        <w:rPr>
          <w:spacing w:val="-8"/>
        </w:rPr>
        <w:t> </w:t>
      </w:r>
      <w:r>
        <w:rPr/>
        <w:t>housing</w:t>
      </w:r>
      <w:r>
        <w:rPr>
          <w:spacing w:val="-8"/>
        </w:rPr>
        <w:t> </w:t>
      </w:r>
      <w:r>
        <w:rPr/>
        <w:t>and</w:t>
      </w:r>
      <w:r>
        <w:rPr>
          <w:spacing w:val="-9"/>
        </w:rPr>
        <w:t> </w:t>
      </w:r>
      <w:r>
        <w:rPr/>
        <w:t>state</w:t>
      </w:r>
      <w:r>
        <w:rPr>
          <w:spacing w:val="-8"/>
        </w:rPr>
        <w:t> </w:t>
      </w:r>
      <w:r>
        <w:rPr/>
        <w:t>rental</w:t>
      </w:r>
      <w:r>
        <w:rPr>
          <w:spacing w:val="-9"/>
        </w:rPr>
        <w:t> </w:t>
      </w:r>
      <w:r>
        <w:rPr/>
        <w:t>assistance</w:t>
      </w:r>
      <w:r>
        <w:rPr>
          <w:spacing w:val="-8"/>
        </w:rPr>
        <w:t> </w:t>
      </w:r>
      <w:r>
        <w:rPr/>
        <w:t>(CHAMP)</w:t>
      </w:r>
      <w:r>
        <w:rPr>
          <w:spacing w:val="-8"/>
        </w:rPr>
        <w:t> </w:t>
      </w:r>
      <w:r>
        <w:rPr/>
        <w:t>is</w:t>
      </w:r>
      <w:r>
        <w:rPr>
          <w:spacing w:val="-8"/>
        </w:rPr>
        <w:t> </w:t>
      </w:r>
      <w:r>
        <w:rPr/>
        <w:t>inclusive</w:t>
      </w:r>
      <w:r>
        <w:rPr>
          <w:spacing w:val="-8"/>
        </w:rPr>
        <w:t> </w:t>
      </w:r>
      <w:r>
        <w:rPr/>
        <w:t>of</w:t>
      </w:r>
      <w:r>
        <w:rPr>
          <w:spacing w:val="-9"/>
        </w:rPr>
        <w:t> </w:t>
      </w:r>
      <w:r>
        <w:rPr/>
        <w:t>transgender</w:t>
      </w:r>
      <w:r>
        <w:rPr>
          <w:spacing w:val="-8"/>
        </w:rPr>
        <w:t> </w:t>
      </w:r>
      <w:r>
        <w:rPr/>
        <w:t>and</w:t>
      </w:r>
      <w:r>
        <w:rPr>
          <w:spacing w:val="-8"/>
        </w:rPr>
        <w:t> </w:t>
      </w:r>
      <w:r>
        <w:rPr/>
        <w:t>nonbinary</w:t>
      </w:r>
      <w:r>
        <w:rPr>
          <w:spacing w:val="-8"/>
        </w:rPr>
        <w:t> </w:t>
      </w:r>
      <w:r>
        <w:rPr/>
        <w:t>youth gender markers. EOHLC has previously noted to the Commission</w:t>
      </w:r>
      <w:r>
        <w:rPr>
          <w:spacing w:val="-1"/>
        </w:rPr>
        <w:t> </w:t>
      </w:r>
      <w:r>
        <w:rPr/>
        <w:t>that its current data collection</w:t>
      </w:r>
      <w:r>
        <w:rPr>
          <w:spacing w:val="-1"/>
        </w:rPr>
        <w:t> </w:t>
      </w:r>
      <w:r>
        <w:rPr/>
        <w:t>is driven by two external forces - the state legislature and the Department of Housing and Urban Development (HUD) requirements. In FY 2022, HUD’s Homeless Management Information System (HMIS) standards were revised to ensure that questions regarding gender were not binary and provided a drop-down list for individuals to choose from; shelters are required to use HMIS. For other programs, EOHLC shares, gender responses are not required and/or nonbinary responses can be provided.</w:t>
      </w:r>
    </w:p>
    <w:p>
      <w:pPr>
        <w:spacing w:before="240"/>
        <w:ind w:left="483" w:right="0" w:firstLine="0"/>
        <w:jc w:val="both"/>
        <w:rPr>
          <w:sz w:val="28"/>
        </w:rPr>
      </w:pPr>
      <w:r>
        <w:rPr>
          <w:color w:val="365F91"/>
          <w:sz w:val="28"/>
        </w:rPr>
        <w:t>FY</w:t>
      </w:r>
      <w:r>
        <w:rPr>
          <w:color w:val="365F91"/>
          <w:spacing w:val="-10"/>
          <w:sz w:val="28"/>
        </w:rPr>
        <w:t> </w:t>
      </w:r>
      <w:r>
        <w:rPr>
          <w:color w:val="365F91"/>
          <w:sz w:val="28"/>
        </w:rPr>
        <w:t>2025</w:t>
      </w:r>
      <w:r>
        <w:rPr>
          <w:color w:val="365F91"/>
          <w:spacing w:val="-9"/>
          <w:sz w:val="28"/>
        </w:rPr>
        <w:t> </w:t>
      </w:r>
      <w:r>
        <w:rPr>
          <w:color w:val="365F91"/>
          <w:sz w:val="28"/>
        </w:rPr>
        <w:t>Expanded</w:t>
      </w:r>
      <w:r>
        <w:rPr>
          <w:color w:val="365F91"/>
          <w:spacing w:val="-10"/>
          <w:sz w:val="28"/>
        </w:rPr>
        <w:t> </w:t>
      </w:r>
      <w:r>
        <w:rPr>
          <w:color w:val="365F91"/>
          <w:sz w:val="28"/>
        </w:rPr>
        <w:t>EOHLC</w:t>
      </w:r>
      <w:r>
        <w:rPr>
          <w:color w:val="365F91"/>
          <w:spacing w:val="-10"/>
          <w:sz w:val="28"/>
        </w:rPr>
        <w:t> </w:t>
      </w:r>
      <w:r>
        <w:rPr>
          <w:color w:val="365F91"/>
          <w:spacing w:val="-2"/>
          <w:sz w:val="28"/>
        </w:rPr>
        <w:t>Recommendations</w:t>
      </w:r>
    </w:p>
    <w:p>
      <w:pPr>
        <w:pStyle w:val="BodyText"/>
        <w:spacing w:before="9"/>
        <w:rPr>
          <w:sz w:val="3"/>
        </w:rPr>
      </w:pPr>
      <w:r>
        <w:rPr/>
        <mc:AlternateContent>
          <mc:Choice Requires="wps">
            <w:drawing>
              <wp:anchor distT="0" distB="0" distL="0" distR="0" allowOverlap="1" layoutInCell="1" locked="0" behindDoc="1" simplePos="0" relativeHeight="487727104">
                <wp:simplePos x="0" y="0"/>
                <wp:positionH relativeFrom="page">
                  <wp:posOffset>897636</wp:posOffset>
                </wp:positionH>
                <wp:positionV relativeFrom="paragraph">
                  <wp:posOffset>44504</wp:posOffset>
                </wp:positionV>
                <wp:extent cx="5976620" cy="6350"/>
                <wp:effectExtent l="0" t="0" r="0" b="0"/>
                <wp:wrapTopAndBottom/>
                <wp:docPr id="669" name="Graphic 669"/>
                <wp:cNvGraphicFramePr>
                  <a:graphicFrameLocks/>
                </wp:cNvGraphicFramePr>
                <a:graphic>
                  <a:graphicData uri="http://schemas.microsoft.com/office/word/2010/wordprocessingShape">
                    <wps:wsp>
                      <wps:cNvPr id="669" name="Graphic 669"/>
                      <wps:cNvSpPr/>
                      <wps:spPr>
                        <a:xfrm>
                          <a:off x="0" y="0"/>
                          <a:ext cx="5976620" cy="6350"/>
                        </a:xfrm>
                        <a:custGeom>
                          <a:avLst/>
                          <a:gdLst/>
                          <a:ahLst/>
                          <a:cxnLst/>
                          <a:rect l="l" t="t" r="r" b="b"/>
                          <a:pathLst>
                            <a:path w="5976620" h="6350">
                              <a:moveTo>
                                <a:pt x="5976366" y="0"/>
                              </a:moveTo>
                              <a:lnTo>
                                <a:pt x="0" y="0"/>
                              </a:lnTo>
                              <a:lnTo>
                                <a:pt x="0" y="6096"/>
                              </a:lnTo>
                              <a:lnTo>
                                <a:pt x="5976366" y="6096"/>
                              </a:lnTo>
                              <a:lnTo>
                                <a:pt x="5976366" y="0"/>
                              </a:lnTo>
                              <a:close/>
                            </a:path>
                          </a:pathLst>
                        </a:custGeom>
                        <a:solidFill>
                          <a:srgbClr val="4F81BC"/>
                        </a:solidFill>
                      </wps:spPr>
                      <wps:bodyPr wrap="square" lIns="0" tIns="0" rIns="0" bIns="0" rtlCol="0">
                        <a:prstTxWarp prst="textNoShape">
                          <a:avLst/>
                        </a:prstTxWarp>
                        <a:noAutofit/>
                      </wps:bodyPr>
                    </wps:wsp>
                  </a:graphicData>
                </a:graphic>
              </wp:anchor>
            </w:drawing>
          </mc:Choice>
          <mc:Fallback>
            <w:pict>
              <v:rect style="position:absolute;margin-left:70.680pt;margin-top:3.504316pt;width:470.58pt;height:.48pt;mso-position-horizontal-relative:page;mso-position-vertical-relative:paragraph;z-index:-15589376;mso-wrap-distance-left:0;mso-wrap-distance-right:0" id="docshape566" filled="true" fillcolor="#4f81bc" stroked="false">
                <v:fill type="solid"/>
                <w10:wrap type="topAndBottom"/>
              </v:rect>
            </w:pict>
          </mc:Fallback>
        </mc:AlternateContent>
      </w:r>
    </w:p>
    <w:p>
      <w:pPr>
        <w:numPr>
          <w:ilvl w:val="0"/>
          <w:numId w:val="46"/>
        </w:numPr>
        <w:tabs>
          <w:tab w:pos="481" w:val="left" w:leader="none"/>
        </w:tabs>
        <w:spacing w:before="241"/>
        <w:ind w:left="481" w:right="0" w:hanging="358"/>
        <w:jc w:val="left"/>
        <w:rPr>
          <w:b/>
          <w:sz w:val="22"/>
        </w:rPr>
      </w:pPr>
      <w:r>
        <w:rPr>
          <w:b/>
          <w:sz w:val="22"/>
        </w:rPr>
        <w:t>Develop</w:t>
      </w:r>
      <w:r>
        <w:rPr>
          <w:b/>
          <w:spacing w:val="-11"/>
          <w:sz w:val="22"/>
        </w:rPr>
        <w:t> </w:t>
      </w:r>
      <w:r>
        <w:rPr>
          <w:b/>
          <w:sz w:val="22"/>
        </w:rPr>
        <w:t>and</w:t>
      </w:r>
      <w:r>
        <w:rPr>
          <w:b/>
          <w:spacing w:val="-11"/>
          <w:sz w:val="22"/>
        </w:rPr>
        <w:t> </w:t>
      </w:r>
      <w:r>
        <w:rPr>
          <w:b/>
          <w:sz w:val="22"/>
        </w:rPr>
        <w:t>implement</w:t>
      </w:r>
      <w:r>
        <w:rPr>
          <w:b/>
          <w:spacing w:val="-11"/>
          <w:sz w:val="22"/>
        </w:rPr>
        <w:t> </w:t>
      </w:r>
      <w:r>
        <w:rPr>
          <w:b/>
          <w:sz w:val="22"/>
        </w:rPr>
        <w:t>an</w:t>
      </w:r>
      <w:r>
        <w:rPr>
          <w:b/>
          <w:spacing w:val="-12"/>
          <w:sz w:val="22"/>
        </w:rPr>
        <w:t> </w:t>
      </w:r>
      <w:r>
        <w:rPr>
          <w:b/>
          <w:sz w:val="22"/>
        </w:rPr>
        <w:t>agency-wide</w:t>
      </w:r>
      <w:r>
        <w:rPr>
          <w:b/>
          <w:spacing w:val="-12"/>
          <w:sz w:val="22"/>
        </w:rPr>
        <w:t> </w:t>
      </w:r>
      <w:r>
        <w:rPr>
          <w:b/>
          <w:sz w:val="22"/>
        </w:rPr>
        <w:t>nondiscrimination</w:t>
      </w:r>
      <w:r>
        <w:rPr>
          <w:b/>
          <w:spacing w:val="-11"/>
          <w:sz w:val="22"/>
        </w:rPr>
        <w:t> </w:t>
      </w:r>
      <w:r>
        <w:rPr>
          <w:b/>
          <w:spacing w:val="-2"/>
          <w:sz w:val="22"/>
        </w:rPr>
        <w:t>policy.</w:t>
      </w:r>
    </w:p>
    <w:p>
      <w:pPr>
        <w:pStyle w:val="BodyText"/>
        <w:spacing w:before="13"/>
        <w:rPr>
          <w:b/>
        </w:rPr>
      </w:pPr>
    </w:p>
    <w:p>
      <w:pPr>
        <w:pStyle w:val="BodyText"/>
        <w:spacing w:line="276" w:lineRule="auto"/>
        <w:ind w:left="483" w:right="342"/>
        <w:jc w:val="both"/>
      </w:pPr>
      <w:r>
        <w:rPr/>
        <w:t>The Commission continues to recommend that EOHLC finalize and implement an agency-wide nondiscrimination policy to incorporate gender identity and LGBTQ-affirming language. In its February 2024 meeting, EOHLC reported that it is currently working on a shorter policy that captures recent HUD guidance which it is hoping to share with the Commission soon.</w:t>
      </w:r>
    </w:p>
    <w:p>
      <w:pPr>
        <w:numPr>
          <w:ilvl w:val="0"/>
          <w:numId w:val="46"/>
        </w:numPr>
        <w:tabs>
          <w:tab w:pos="481" w:val="left" w:leader="none"/>
          <w:tab w:pos="483" w:val="left" w:leader="none"/>
        </w:tabs>
        <w:spacing w:line="276" w:lineRule="auto" w:before="239"/>
        <w:ind w:left="483" w:right="344" w:hanging="360"/>
        <w:jc w:val="left"/>
        <w:rPr>
          <w:b/>
          <w:sz w:val="22"/>
        </w:rPr>
      </w:pPr>
      <w:r>
        <w:rPr>
          <w:b/>
          <w:sz w:val="22"/>
        </w:rPr>
        <w:t>Develop and execute a plan to canvass shelters across the state and report out on internal policy and practice to support trans and nonbinary clients.</w:t>
      </w:r>
    </w:p>
    <w:p>
      <w:pPr>
        <w:pStyle w:val="BodyText"/>
        <w:spacing w:before="241"/>
        <w:ind w:left="483"/>
        <w:jc w:val="both"/>
      </w:pPr>
      <w:r>
        <w:rPr>
          <w:spacing w:val="-2"/>
        </w:rPr>
        <w:t>Discrimination</w:t>
      </w:r>
      <w:r>
        <w:rPr>
          <w:spacing w:val="-8"/>
        </w:rPr>
        <w:t> </w:t>
      </w:r>
      <w:r>
        <w:rPr>
          <w:spacing w:val="-2"/>
        </w:rPr>
        <w:t>and</w:t>
      </w:r>
      <w:r>
        <w:rPr>
          <w:spacing w:val="-7"/>
        </w:rPr>
        <w:t> </w:t>
      </w:r>
      <w:r>
        <w:rPr>
          <w:spacing w:val="-2"/>
        </w:rPr>
        <w:t>safety</w:t>
      </w:r>
      <w:r>
        <w:rPr>
          <w:spacing w:val="-5"/>
        </w:rPr>
        <w:t> </w:t>
      </w:r>
      <w:r>
        <w:rPr>
          <w:spacing w:val="-2"/>
        </w:rPr>
        <w:t>at</w:t>
      </w:r>
      <w:r>
        <w:rPr>
          <w:spacing w:val="-8"/>
        </w:rPr>
        <w:t> </w:t>
      </w:r>
      <w:r>
        <w:rPr>
          <w:spacing w:val="-2"/>
        </w:rPr>
        <w:t>shelters</w:t>
      </w:r>
      <w:r>
        <w:rPr>
          <w:spacing w:val="-6"/>
        </w:rPr>
        <w:t> </w:t>
      </w:r>
      <w:r>
        <w:rPr>
          <w:spacing w:val="-2"/>
        </w:rPr>
        <w:t>for</w:t>
      </w:r>
      <w:r>
        <w:rPr>
          <w:spacing w:val="-6"/>
        </w:rPr>
        <w:t> </w:t>
      </w:r>
      <w:r>
        <w:rPr>
          <w:spacing w:val="-2"/>
        </w:rPr>
        <w:t>LGBTQ</w:t>
      </w:r>
      <w:r>
        <w:rPr>
          <w:spacing w:val="-6"/>
        </w:rPr>
        <w:t> </w:t>
      </w:r>
      <w:r>
        <w:rPr>
          <w:spacing w:val="-2"/>
        </w:rPr>
        <w:t>community</w:t>
      </w:r>
      <w:r>
        <w:rPr>
          <w:spacing w:val="-6"/>
        </w:rPr>
        <w:t> </w:t>
      </w:r>
      <w:r>
        <w:rPr>
          <w:spacing w:val="-2"/>
        </w:rPr>
        <w:t>members</w:t>
      </w:r>
      <w:r>
        <w:rPr>
          <w:spacing w:val="-6"/>
        </w:rPr>
        <w:t> </w:t>
      </w:r>
      <w:r>
        <w:rPr>
          <w:spacing w:val="-2"/>
        </w:rPr>
        <w:t>-</w:t>
      </w:r>
      <w:r>
        <w:rPr>
          <w:spacing w:val="-8"/>
        </w:rPr>
        <w:t> </w:t>
      </w:r>
      <w:r>
        <w:rPr>
          <w:spacing w:val="-2"/>
        </w:rPr>
        <w:t>particularly</w:t>
      </w:r>
      <w:r>
        <w:rPr>
          <w:spacing w:val="-8"/>
        </w:rPr>
        <w:t> </w:t>
      </w:r>
      <w:r>
        <w:rPr>
          <w:spacing w:val="-2"/>
        </w:rPr>
        <w:t>QTBIPOC</w:t>
      </w:r>
      <w:r>
        <w:rPr>
          <w:spacing w:val="-5"/>
        </w:rPr>
        <w:t> </w:t>
      </w:r>
      <w:r>
        <w:rPr>
          <w:spacing w:val="-2"/>
        </w:rPr>
        <w:t>young</w:t>
      </w:r>
      <w:r>
        <w:rPr>
          <w:spacing w:val="-7"/>
        </w:rPr>
        <w:t> </w:t>
      </w:r>
      <w:r>
        <w:rPr>
          <w:spacing w:val="-2"/>
        </w:rPr>
        <w:t>people</w:t>
      </w:r>
    </w:p>
    <w:p>
      <w:pPr>
        <w:pStyle w:val="BodyText"/>
        <w:spacing w:line="276" w:lineRule="auto" w:before="39"/>
        <w:ind w:left="483" w:right="342"/>
        <w:jc w:val="both"/>
      </w:pPr>
      <w:r>
        <w:rPr/>
        <w:t>-</w:t>
      </w:r>
      <w:r>
        <w:rPr>
          <w:spacing w:val="-11"/>
        </w:rPr>
        <w:t> </w:t>
      </w:r>
      <w:r>
        <w:rPr/>
        <w:t>is</w:t>
      </w:r>
      <w:r>
        <w:rPr>
          <w:spacing w:val="-11"/>
        </w:rPr>
        <w:t> </w:t>
      </w:r>
      <w:r>
        <w:rPr/>
        <w:t>a</w:t>
      </w:r>
      <w:r>
        <w:rPr>
          <w:spacing w:val="-11"/>
        </w:rPr>
        <w:t> </w:t>
      </w:r>
      <w:r>
        <w:rPr/>
        <w:t>critical</w:t>
      </w:r>
      <w:r>
        <w:rPr>
          <w:spacing w:val="-11"/>
        </w:rPr>
        <w:t> </w:t>
      </w:r>
      <w:r>
        <w:rPr/>
        <w:t>issue</w:t>
      </w:r>
      <w:r>
        <w:rPr>
          <w:spacing w:val="-11"/>
        </w:rPr>
        <w:t> </w:t>
      </w:r>
      <w:r>
        <w:rPr/>
        <w:t>that</w:t>
      </w:r>
      <w:r>
        <w:rPr>
          <w:spacing w:val="-12"/>
        </w:rPr>
        <w:t> </w:t>
      </w:r>
      <w:r>
        <w:rPr/>
        <w:t>Massachusetts</w:t>
      </w:r>
      <w:r>
        <w:rPr>
          <w:spacing w:val="-11"/>
        </w:rPr>
        <w:t> </w:t>
      </w:r>
      <w:r>
        <w:rPr/>
        <w:t>has</w:t>
      </w:r>
      <w:r>
        <w:rPr>
          <w:spacing w:val="-10"/>
        </w:rPr>
        <w:t> </w:t>
      </w:r>
      <w:r>
        <w:rPr/>
        <w:t>struggled</w:t>
      </w:r>
      <w:r>
        <w:rPr>
          <w:spacing w:val="-10"/>
        </w:rPr>
        <w:t> </w:t>
      </w:r>
      <w:r>
        <w:rPr/>
        <w:t>to</w:t>
      </w:r>
      <w:r>
        <w:rPr>
          <w:spacing w:val="-10"/>
        </w:rPr>
        <w:t> </w:t>
      </w:r>
      <w:r>
        <w:rPr/>
        <w:t>address</w:t>
      </w:r>
      <w:r>
        <w:rPr>
          <w:spacing w:val="-11"/>
        </w:rPr>
        <w:t> </w:t>
      </w:r>
      <w:r>
        <w:rPr/>
        <w:t>for</w:t>
      </w:r>
      <w:r>
        <w:rPr>
          <w:spacing w:val="-11"/>
        </w:rPr>
        <w:t> </w:t>
      </w:r>
      <w:r>
        <w:rPr/>
        <w:t>years.</w:t>
      </w:r>
      <w:r>
        <w:rPr>
          <w:spacing w:val="-12"/>
        </w:rPr>
        <w:t> </w:t>
      </w:r>
      <w:r>
        <w:rPr/>
        <w:t>While</w:t>
      </w:r>
      <w:r>
        <w:rPr>
          <w:spacing w:val="-10"/>
        </w:rPr>
        <w:t> </w:t>
      </w:r>
      <w:r>
        <w:rPr/>
        <w:t>the</w:t>
      </w:r>
      <w:r>
        <w:rPr>
          <w:spacing w:val="-11"/>
        </w:rPr>
        <w:t> </w:t>
      </w:r>
      <w:r>
        <w:rPr/>
        <w:t>Commonwealth</w:t>
      </w:r>
      <w:r>
        <w:rPr>
          <w:spacing w:val="-12"/>
        </w:rPr>
        <w:t> </w:t>
      </w:r>
      <w:r>
        <w:rPr/>
        <w:t>boasts a number of legal protections around anti-discrimination and access to services, in practice these protections do not prevent many transgender and nonbinary community members from facing discrimination and violence in shelter spaces from staff and other residents. In numerous conversations with</w:t>
      </w:r>
      <w:r>
        <w:rPr>
          <w:spacing w:val="-4"/>
        </w:rPr>
        <w:t> </w:t>
      </w:r>
      <w:r>
        <w:rPr/>
        <w:t>LGBTQ</w:t>
      </w:r>
      <w:r>
        <w:rPr>
          <w:spacing w:val="-4"/>
        </w:rPr>
        <w:t> </w:t>
      </w:r>
      <w:r>
        <w:rPr/>
        <w:t>community</w:t>
      </w:r>
      <w:r>
        <w:rPr>
          <w:spacing w:val="-4"/>
        </w:rPr>
        <w:t> </w:t>
      </w:r>
      <w:r>
        <w:rPr/>
        <w:t>providers</w:t>
      </w:r>
      <w:r>
        <w:rPr>
          <w:spacing w:val="-5"/>
        </w:rPr>
        <w:t> </w:t>
      </w:r>
      <w:r>
        <w:rPr/>
        <w:t>across</w:t>
      </w:r>
      <w:r>
        <w:rPr>
          <w:spacing w:val="-5"/>
        </w:rPr>
        <w:t> </w:t>
      </w:r>
      <w:r>
        <w:rPr/>
        <w:t>the</w:t>
      </w:r>
      <w:r>
        <w:rPr>
          <w:spacing w:val="-4"/>
        </w:rPr>
        <w:t> </w:t>
      </w:r>
      <w:r>
        <w:rPr/>
        <w:t>state,</w:t>
      </w:r>
      <w:r>
        <w:rPr>
          <w:spacing w:val="-4"/>
        </w:rPr>
        <w:t> </w:t>
      </w:r>
      <w:r>
        <w:rPr/>
        <w:t>most</w:t>
      </w:r>
      <w:r>
        <w:rPr>
          <w:spacing w:val="-5"/>
        </w:rPr>
        <w:t> </w:t>
      </w:r>
      <w:r>
        <w:rPr/>
        <w:t>providers</w:t>
      </w:r>
      <w:r>
        <w:rPr>
          <w:spacing w:val="-4"/>
        </w:rPr>
        <w:t> </w:t>
      </w:r>
      <w:r>
        <w:rPr/>
        <w:t>shared</w:t>
      </w:r>
      <w:r>
        <w:rPr>
          <w:spacing w:val="-5"/>
        </w:rPr>
        <w:t> </w:t>
      </w:r>
      <w:r>
        <w:rPr/>
        <w:t>that</w:t>
      </w:r>
      <w:r>
        <w:rPr>
          <w:spacing w:val="-4"/>
        </w:rPr>
        <w:t> </w:t>
      </w:r>
      <w:r>
        <w:rPr/>
        <w:t>there</w:t>
      </w:r>
      <w:r>
        <w:rPr>
          <w:spacing w:val="-5"/>
        </w:rPr>
        <w:t> </w:t>
      </w:r>
      <w:r>
        <w:rPr/>
        <w:t>are</w:t>
      </w:r>
      <w:r>
        <w:rPr>
          <w:spacing w:val="-4"/>
        </w:rPr>
        <w:t> </w:t>
      </w:r>
      <w:r>
        <w:rPr/>
        <w:t>very</w:t>
      </w:r>
      <w:r>
        <w:rPr>
          <w:spacing w:val="-4"/>
        </w:rPr>
        <w:t> </w:t>
      </w:r>
      <w:r>
        <w:rPr/>
        <w:t>few</w:t>
      </w:r>
      <w:r>
        <w:rPr>
          <w:spacing w:val="-5"/>
        </w:rPr>
        <w:t> </w:t>
      </w:r>
      <w:r>
        <w:rPr/>
        <w:t>shelter spaces that provide LGBTQ-affirming support and safety, especially for young people.</w:t>
      </w:r>
    </w:p>
    <w:p>
      <w:pPr>
        <w:pStyle w:val="BodyText"/>
        <w:spacing w:line="276" w:lineRule="auto" w:before="240"/>
        <w:ind w:left="483" w:right="342"/>
        <w:jc w:val="both"/>
      </w:pPr>
      <w:r>
        <w:rPr/>
        <w:t>While guidance on how to appropriately serve LGBTQ youth clients has previously been distributed to shelters, there remains a gap in knowledge at the state level of what exactly the internal shelter policies and processes are across the state, and the frequency of discrimination against LGBTQ clients. It is clear to</w:t>
      </w:r>
      <w:r>
        <w:rPr>
          <w:spacing w:val="-13"/>
        </w:rPr>
        <w:t> </w:t>
      </w:r>
      <w:r>
        <w:rPr/>
        <w:t>the</w:t>
      </w:r>
      <w:r>
        <w:rPr>
          <w:spacing w:val="-12"/>
        </w:rPr>
        <w:t> </w:t>
      </w:r>
      <w:r>
        <w:rPr/>
        <w:t>Commission</w:t>
      </w:r>
      <w:r>
        <w:rPr>
          <w:spacing w:val="-13"/>
        </w:rPr>
        <w:t> </w:t>
      </w:r>
      <w:r>
        <w:rPr/>
        <w:t>and</w:t>
      </w:r>
      <w:r>
        <w:rPr>
          <w:spacing w:val="-12"/>
        </w:rPr>
        <w:t> </w:t>
      </w:r>
      <w:r>
        <w:rPr/>
        <w:t>LGBTQ</w:t>
      </w:r>
      <w:r>
        <w:rPr>
          <w:spacing w:val="-13"/>
        </w:rPr>
        <w:t> </w:t>
      </w:r>
      <w:r>
        <w:rPr/>
        <w:t>youth</w:t>
      </w:r>
      <w:r>
        <w:rPr>
          <w:spacing w:val="-12"/>
        </w:rPr>
        <w:t> </w:t>
      </w:r>
      <w:r>
        <w:rPr/>
        <w:t>and</w:t>
      </w:r>
      <w:r>
        <w:rPr>
          <w:spacing w:val="-13"/>
        </w:rPr>
        <w:t> </w:t>
      </w:r>
      <w:r>
        <w:rPr/>
        <w:t>providers</w:t>
      </w:r>
      <w:r>
        <w:rPr>
          <w:spacing w:val="-12"/>
        </w:rPr>
        <w:t> </w:t>
      </w:r>
      <w:r>
        <w:rPr/>
        <w:t>serving</w:t>
      </w:r>
      <w:r>
        <w:rPr>
          <w:spacing w:val="-12"/>
        </w:rPr>
        <w:t> </w:t>
      </w:r>
      <w:r>
        <w:rPr/>
        <w:t>this</w:t>
      </w:r>
      <w:r>
        <w:rPr>
          <w:spacing w:val="-13"/>
        </w:rPr>
        <w:t> </w:t>
      </w:r>
      <w:r>
        <w:rPr/>
        <w:t>population</w:t>
      </w:r>
      <w:r>
        <w:rPr>
          <w:spacing w:val="-12"/>
        </w:rPr>
        <w:t> </w:t>
      </w:r>
      <w:r>
        <w:rPr/>
        <w:t>that</w:t>
      </w:r>
      <w:r>
        <w:rPr>
          <w:spacing w:val="-13"/>
        </w:rPr>
        <w:t> </w:t>
      </w:r>
      <w:r>
        <w:rPr/>
        <w:t>there</w:t>
      </w:r>
      <w:r>
        <w:rPr>
          <w:spacing w:val="-12"/>
        </w:rPr>
        <w:t> </w:t>
      </w:r>
      <w:r>
        <w:rPr/>
        <w:t>remains</w:t>
      </w:r>
      <w:r>
        <w:rPr>
          <w:spacing w:val="-13"/>
        </w:rPr>
        <w:t> </w:t>
      </w:r>
      <w:r>
        <w:rPr/>
        <w:t>a</w:t>
      </w:r>
      <w:r>
        <w:rPr>
          <w:spacing w:val="-12"/>
        </w:rPr>
        <w:t> </w:t>
      </w:r>
      <w:r>
        <w:rPr/>
        <w:t>clear</w:t>
      </w:r>
      <w:r>
        <w:rPr>
          <w:spacing w:val="-12"/>
        </w:rPr>
        <w:t> </w:t>
      </w:r>
      <w:r>
        <w:rPr/>
        <w:t>issue in the implementation of such guidance and any other policies at the shelter level.</w:t>
      </w:r>
    </w:p>
    <w:p>
      <w:pPr>
        <w:pStyle w:val="BodyText"/>
        <w:spacing w:line="276" w:lineRule="auto" w:before="240"/>
        <w:ind w:left="483" w:right="340"/>
        <w:jc w:val="both"/>
      </w:pPr>
      <w:r>
        <w:rPr/>
        <w:t>In May 2024, EOHLC noted that it requires shelter grievance procedures to be posted in public areas of the</w:t>
      </w:r>
      <w:r>
        <w:rPr>
          <w:spacing w:val="-13"/>
        </w:rPr>
        <w:t> </w:t>
      </w:r>
      <w:r>
        <w:rPr/>
        <w:t>shelter;</w:t>
      </w:r>
      <w:r>
        <w:rPr>
          <w:spacing w:val="-12"/>
        </w:rPr>
        <w:t> </w:t>
      </w:r>
      <w:r>
        <w:rPr/>
        <w:t>that</w:t>
      </w:r>
      <w:r>
        <w:rPr>
          <w:spacing w:val="-13"/>
        </w:rPr>
        <w:t> </w:t>
      </w:r>
      <w:r>
        <w:rPr/>
        <w:t>those</w:t>
      </w:r>
      <w:r>
        <w:rPr>
          <w:spacing w:val="-12"/>
        </w:rPr>
        <w:t> </w:t>
      </w:r>
      <w:r>
        <w:rPr/>
        <w:t>procedures</w:t>
      </w:r>
      <w:r>
        <w:rPr>
          <w:spacing w:val="-13"/>
        </w:rPr>
        <w:t> </w:t>
      </w:r>
      <w:r>
        <w:rPr/>
        <w:t>must</w:t>
      </w:r>
      <w:r>
        <w:rPr>
          <w:spacing w:val="-12"/>
        </w:rPr>
        <w:t> </w:t>
      </w:r>
      <w:r>
        <w:rPr/>
        <w:t>include</w:t>
      </w:r>
      <w:r>
        <w:rPr>
          <w:spacing w:val="-13"/>
        </w:rPr>
        <w:t> </w:t>
      </w:r>
      <w:r>
        <w:rPr/>
        <w:t>the</w:t>
      </w:r>
      <w:r>
        <w:rPr>
          <w:spacing w:val="-12"/>
        </w:rPr>
        <w:t> </w:t>
      </w:r>
      <w:r>
        <w:rPr/>
        <w:t>name</w:t>
      </w:r>
      <w:r>
        <w:rPr>
          <w:spacing w:val="-12"/>
        </w:rPr>
        <w:t> </w:t>
      </w:r>
      <w:r>
        <w:rPr/>
        <w:t>and</w:t>
      </w:r>
      <w:r>
        <w:rPr>
          <w:spacing w:val="-13"/>
        </w:rPr>
        <w:t> </w:t>
      </w:r>
      <w:r>
        <w:rPr/>
        <w:t>contact</w:t>
      </w:r>
      <w:r>
        <w:rPr>
          <w:spacing w:val="-12"/>
        </w:rPr>
        <w:t> </w:t>
      </w:r>
      <w:r>
        <w:rPr/>
        <w:t>information</w:t>
      </w:r>
      <w:r>
        <w:rPr>
          <w:spacing w:val="-13"/>
        </w:rPr>
        <w:t> </w:t>
      </w:r>
      <w:r>
        <w:rPr/>
        <w:t>for</w:t>
      </w:r>
      <w:r>
        <w:rPr>
          <w:spacing w:val="-12"/>
        </w:rPr>
        <w:t> </w:t>
      </w:r>
      <w:r>
        <w:rPr/>
        <w:t>the</w:t>
      </w:r>
      <w:r>
        <w:rPr>
          <w:spacing w:val="-13"/>
        </w:rPr>
        <w:t> </w:t>
      </w:r>
      <w:r>
        <w:rPr/>
        <w:t>shelter’s</w:t>
      </w:r>
      <w:r>
        <w:rPr>
          <w:spacing w:val="-12"/>
        </w:rPr>
        <w:t> </w:t>
      </w:r>
      <w:r>
        <w:rPr/>
        <w:t>EOHLC contract manager should the constituent be dissatisfied with the shelter’s response; and that EOHLC promptly follows up with shelter providers to facilitate a resolution to issues when they are brought to the</w:t>
      </w:r>
      <w:r>
        <w:rPr>
          <w:spacing w:val="32"/>
        </w:rPr>
        <w:t> </w:t>
      </w:r>
      <w:r>
        <w:rPr/>
        <w:t>attention</w:t>
      </w:r>
      <w:r>
        <w:rPr>
          <w:spacing w:val="33"/>
        </w:rPr>
        <w:t> </w:t>
      </w:r>
      <w:r>
        <w:rPr/>
        <w:t>of</w:t>
      </w:r>
      <w:r>
        <w:rPr>
          <w:spacing w:val="32"/>
        </w:rPr>
        <w:t> </w:t>
      </w:r>
      <w:r>
        <w:rPr/>
        <w:t>EOHLC.</w:t>
      </w:r>
      <w:r>
        <w:rPr>
          <w:spacing w:val="32"/>
        </w:rPr>
        <w:t> </w:t>
      </w:r>
      <w:r>
        <w:rPr/>
        <w:t>EOHLC</w:t>
      </w:r>
      <w:r>
        <w:rPr>
          <w:spacing w:val="33"/>
        </w:rPr>
        <w:t> </w:t>
      </w:r>
      <w:r>
        <w:rPr/>
        <w:t>and</w:t>
      </w:r>
      <w:r>
        <w:rPr>
          <w:spacing w:val="32"/>
        </w:rPr>
        <w:t> </w:t>
      </w:r>
      <w:r>
        <w:rPr/>
        <w:t>the</w:t>
      </w:r>
      <w:r>
        <w:rPr>
          <w:spacing w:val="32"/>
        </w:rPr>
        <w:t> </w:t>
      </w:r>
      <w:r>
        <w:rPr/>
        <w:t>Commission</w:t>
      </w:r>
      <w:r>
        <w:rPr>
          <w:spacing w:val="32"/>
        </w:rPr>
        <w:t> </w:t>
      </w:r>
      <w:r>
        <w:rPr/>
        <w:t>are</w:t>
      </w:r>
      <w:r>
        <w:rPr>
          <w:spacing w:val="32"/>
        </w:rPr>
        <w:t> </w:t>
      </w:r>
      <w:r>
        <w:rPr/>
        <w:t>currently</w:t>
      </w:r>
      <w:r>
        <w:rPr>
          <w:spacing w:val="32"/>
        </w:rPr>
        <w:t> </w:t>
      </w:r>
      <w:r>
        <w:rPr/>
        <w:t>discussing</w:t>
      </w:r>
      <w:r>
        <w:rPr>
          <w:spacing w:val="33"/>
        </w:rPr>
        <w:t> </w:t>
      </w:r>
      <w:r>
        <w:rPr/>
        <w:t>additional</w:t>
      </w:r>
      <w:r>
        <w:rPr>
          <w:spacing w:val="32"/>
        </w:rPr>
        <w:t> </w:t>
      </w:r>
      <w:r>
        <w:rPr/>
        <w:t>information-</w:t>
      </w:r>
    </w:p>
    <w:p>
      <w:pPr>
        <w:spacing w:after="0" w:line="276" w:lineRule="auto"/>
        <w:jc w:val="both"/>
        <w:sectPr>
          <w:headerReference w:type="default" r:id="rId763"/>
          <w:footerReference w:type="default" r:id="rId764"/>
          <w:pgSz w:w="12240" w:h="15840"/>
          <w:pgMar w:header="804" w:footer="1263" w:top="1000" w:bottom="1460" w:left="960" w:right="1100"/>
        </w:sectPr>
      </w:pPr>
    </w:p>
    <w:p>
      <w:pPr>
        <w:pStyle w:val="BodyText"/>
        <w:spacing w:line="276" w:lineRule="auto" w:before="139"/>
        <w:ind w:left="483" w:right="343"/>
        <w:jc w:val="both"/>
      </w:pPr>
      <w:r>
        <w:rPr/>
        <w:t>sharing channels by which organizations serving LGBTQ homeless youth can notify EOHLC of matters of concern that may not otherwise be reported to EOHLC, as well as methods of anonymous complaint reporting to EOHLC.</w:t>
      </w:r>
    </w:p>
    <w:p>
      <w:pPr>
        <w:pStyle w:val="BodyText"/>
        <w:spacing w:line="276" w:lineRule="auto" w:before="239"/>
        <w:ind w:left="483" w:right="342"/>
        <w:jc w:val="both"/>
      </w:pPr>
      <w:r>
        <w:rPr/>
        <w:t>The Commission strongly recommends that EOHLC develops and executes a plan in FY 2025 to canvass shelters</w:t>
      </w:r>
      <w:r>
        <w:rPr>
          <w:spacing w:val="-5"/>
        </w:rPr>
        <w:t> </w:t>
      </w:r>
      <w:r>
        <w:rPr/>
        <w:t>across</w:t>
      </w:r>
      <w:r>
        <w:rPr>
          <w:spacing w:val="-5"/>
        </w:rPr>
        <w:t> </w:t>
      </w:r>
      <w:r>
        <w:rPr/>
        <w:t>the</w:t>
      </w:r>
      <w:r>
        <w:rPr>
          <w:spacing w:val="-6"/>
        </w:rPr>
        <w:t> </w:t>
      </w:r>
      <w:r>
        <w:rPr/>
        <w:t>state</w:t>
      </w:r>
      <w:r>
        <w:rPr>
          <w:spacing w:val="-6"/>
        </w:rPr>
        <w:t> </w:t>
      </w:r>
      <w:r>
        <w:rPr/>
        <w:t>to</w:t>
      </w:r>
      <w:r>
        <w:rPr>
          <w:spacing w:val="-5"/>
        </w:rPr>
        <w:t> </w:t>
      </w:r>
      <w:r>
        <w:rPr/>
        <w:t>learn</w:t>
      </w:r>
      <w:r>
        <w:rPr>
          <w:spacing w:val="-6"/>
        </w:rPr>
        <w:t> </w:t>
      </w:r>
      <w:r>
        <w:rPr/>
        <w:t>more</w:t>
      </w:r>
      <w:r>
        <w:rPr>
          <w:spacing w:val="-4"/>
        </w:rPr>
        <w:t> </w:t>
      </w:r>
      <w:r>
        <w:rPr/>
        <w:t>about</w:t>
      </w:r>
      <w:r>
        <w:rPr>
          <w:spacing w:val="-6"/>
        </w:rPr>
        <w:t> </w:t>
      </w:r>
      <w:r>
        <w:rPr/>
        <w:t>internal</w:t>
      </w:r>
      <w:r>
        <w:rPr>
          <w:spacing w:val="-6"/>
        </w:rPr>
        <w:t> </w:t>
      </w:r>
      <w:r>
        <w:rPr/>
        <w:t>policies</w:t>
      </w:r>
      <w:r>
        <w:rPr>
          <w:spacing w:val="-4"/>
        </w:rPr>
        <w:t> </w:t>
      </w:r>
      <w:r>
        <w:rPr/>
        <w:t>and</w:t>
      </w:r>
      <w:r>
        <w:rPr>
          <w:spacing w:val="-4"/>
        </w:rPr>
        <w:t> </w:t>
      </w:r>
      <w:r>
        <w:rPr/>
        <w:t>process</w:t>
      </w:r>
      <w:r>
        <w:rPr>
          <w:spacing w:val="-5"/>
        </w:rPr>
        <w:t> </w:t>
      </w:r>
      <w:r>
        <w:rPr/>
        <w:t>for</w:t>
      </w:r>
      <w:r>
        <w:rPr>
          <w:spacing w:val="-5"/>
        </w:rPr>
        <w:t> </w:t>
      </w:r>
      <w:r>
        <w:rPr/>
        <w:t>serving</w:t>
      </w:r>
      <w:r>
        <w:rPr>
          <w:spacing w:val="-6"/>
        </w:rPr>
        <w:t> </w:t>
      </w:r>
      <w:r>
        <w:rPr/>
        <w:t>LGBTQ</w:t>
      </w:r>
      <w:r>
        <w:rPr>
          <w:spacing w:val="-4"/>
        </w:rPr>
        <w:t> </w:t>
      </w:r>
      <w:r>
        <w:rPr/>
        <w:t>clients,</w:t>
      </w:r>
      <w:r>
        <w:rPr>
          <w:spacing w:val="-5"/>
        </w:rPr>
        <w:t> </w:t>
      </w:r>
      <w:r>
        <w:rPr/>
        <w:t>with a particular emphasis on culturally appropriate services for QTBIPOC young people. Additionally, such a plan</w:t>
      </w:r>
      <w:r>
        <w:rPr>
          <w:spacing w:val="-8"/>
        </w:rPr>
        <w:t> </w:t>
      </w:r>
      <w:r>
        <w:rPr/>
        <w:t>should</w:t>
      </w:r>
      <w:r>
        <w:rPr>
          <w:spacing w:val="-8"/>
        </w:rPr>
        <w:t> </w:t>
      </w:r>
      <w:r>
        <w:rPr/>
        <w:t>include</w:t>
      </w:r>
      <w:r>
        <w:rPr>
          <w:spacing w:val="-8"/>
        </w:rPr>
        <w:t> </w:t>
      </w:r>
      <w:r>
        <w:rPr/>
        <w:t>transparent</w:t>
      </w:r>
      <w:r>
        <w:rPr>
          <w:spacing w:val="-8"/>
        </w:rPr>
        <w:t> </w:t>
      </w:r>
      <w:r>
        <w:rPr/>
        <w:t>reporting</w:t>
      </w:r>
      <w:r>
        <w:rPr>
          <w:spacing w:val="-8"/>
        </w:rPr>
        <w:t> </w:t>
      </w:r>
      <w:r>
        <w:rPr/>
        <w:t>to</w:t>
      </w:r>
      <w:r>
        <w:rPr>
          <w:spacing w:val="-7"/>
        </w:rPr>
        <w:t> </w:t>
      </w:r>
      <w:r>
        <w:rPr/>
        <w:t>the</w:t>
      </w:r>
      <w:r>
        <w:rPr>
          <w:spacing w:val="-8"/>
        </w:rPr>
        <w:t> </w:t>
      </w:r>
      <w:r>
        <w:rPr/>
        <w:t>public</w:t>
      </w:r>
      <w:r>
        <w:rPr>
          <w:spacing w:val="-8"/>
        </w:rPr>
        <w:t> </w:t>
      </w:r>
      <w:r>
        <w:rPr/>
        <w:t>on</w:t>
      </w:r>
      <w:r>
        <w:rPr>
          <w:spacing w:val="-8"/>
        </w:rPr>
        <w:t> </w:t>
      </w:r>
      <w:r>
        <w:rPr/>
        <w:t>the</w:t>
      </w:r>
      <w:r>
        <w:rPr>
          <w:spacing w:val="-8"/>
        </w:rPr>
        <w:t> </w:t>
      </w:r>
      <w:r>
        <w:rPr/>
        <w:t>outcomes</w:t>
      </w:r>
      <w:r>
        <w:rPr>
          <w:spacing w:val="-8"/>
        </w:rPr>
        <w:t> </w:t>
      </w:r>
      <w:r>
        <w:rPr/>
        <w:t>of</w:t>
      </w:r>
      <w:r>
        <w:rPr>
          <w:spacing w:val="-8"/>
        </w:rPr>
        <w:t> </w:t>
      </w:r>
      <w:r>
        <w:rPr/>
        <w:t>these</w:t>
      </w:r>
      <w:r>
        <w:rPr>
          <w:spacing w:val="-8"/>
        </w:rPr>
        <w:t> </w:t>
      </w:r>
      <w:r>
        <w:rPr/>
        <w:t>conversations</w:t>
      </w:r>
      <w:r>
        <w:rPr>
          <w:spacing w:val="-8"/>
        </w:rPr>
        <w:t> </w:t>
      </w:r>
      <w:r>
        <w:rPr/>
        <w:t>and</w:t>
      </w:r>
      <w:r>
        <w:rPr>
          <w:spacing w:val="-8"/>
        </w:rPr>
        <w:t> </w:t>
      </w:r>
      <w:r>
        <w:rPr/>
        <w:t>must incorporate intentional community conversations with LGBTQ young people experiencing homelessness and</w:t>
      </w:r>
      <w:r>
        <w:rPr>
          <w:spacing w:val="-5"/>
        </w:rPr>
        <w:t> </w:t>
      </w:r>
      <w:r>
        <w:rPr/>
        <w:t>community</w:t>
      </w:r>
      <w:r>
        <w:rPr>
          <w:spacing w:val="-5"/>
        </w:rPr>
        <w:t> </w:t>
      </w:r>
      <w:r>
        <w:rPr/>
        <w:t>providers.</w:t>
      </w:r>
      <w:r>
        <w:rPr>
          <w:spacing w:val="-4"/>
        </w:rPr>
        <w:t> </w:t>
      </w:r>
      <w:r>
        <w:rPr/>
        <w:t>EOHLC</w:t>
      </w:r>
      <w:r>
        <w:rPr>
          <w:spacing w:val="-5"/>
        </w:rPr>
        <w:t> </w:t>
      </w:r>
      <w:r>
        <w:rPr/>
        <w:t>has</w:t>
      </w:r>
      <w:r>
        <w:rPr>
          <w:spacing w:val="-5"/>
        </w:rPr>
        <w:t> </w:t>
      </w:r>
      <w:r>
        <w:rPr/>
        <w:t>noted</w:t>
      </w:r>
      <w:r>
        <w:rPr>
          <w:spacing w:val="-5"/>
        </w:rPr>
        <w:t> </w:t>
      </w:r>
      <w:r>
        <w:rPr/>
        <w:t>to</w:t>
      </w:r>
      <w:r>
        <w:rPr>
          <w:spacing w:val="-3"/>
        </w:rPr>
        <w:t> </w:t>
      </w:r>
      <w:r>
        <w:rPr/>
        <w:t>the</w:t>
      </w:r>
      <w:r>
        <w:rPr>
          <w:spacing w:val="-5"/>
        </w:rPr>
        <w:t> </w:t>
      </w:r>
      <w:r>
        <w:rPr/>
        <w:t>Commission</w:t>
      </w:r>
      <w:r>
        <w:rPr>
          <w:spacing w:val="-5"/>
        </w:rPr>
        <w:t> </w:t>
      </w:r>
      <w:r>
        <w:rPr/>
        <w:t>that</w:t>
      </w:r>
      <w:r>
        <w:rPr>
          <w:spacing w:val="-5"/>
        </w:rPr>
        <w:t> </w:t>
      </w:r>
      <w:r>
        <w:rPr/>
        <w:t>its</w:t>
      </w:r>
      <w:r>
        <w:rPr>
          <w:spacing w:val="-5"/>
        </w:rPr>
        <w:t> </w:t>
      </w:r>
      <w:r>
        <w:rPr/>
        <w:t>shelter</w:t>
      </w:r>
      <w:r>
        <w:rPr>
          <w:spacing w:val="-4"/>
        </w:rPr>
        <w:t> </w:t>
      </w:r>
      <w:r>
        <w:rPr/>
        <w:t>policy</w:t>
      </w:r>
      <w:r>
        <w:rPr>
          <w:spacing w:val="-5"/>
        </w:rPr>
        <w:t> </w:t>
      </w:r>
      <w:r>
        <w:rPr/>
        <w:t>review</w:t>
      </w:r>
      <w:r>
        <w:rPr>
          <w:spacing w:val="-4"/>
        </w:rPr>
        <w:t> </w:t>
      </w:r>
      <w:r>
        <w:rPr/>
        <w:t>is</w:t>
      </w:r>
      <w:r>
        <w:rPr>
          <w:spacing w:val="-5"/>
        </w:rPr>
        <w:t> </w:t>
      </w:r>
      <w:r>
        <w:rPr/>
        <w:t>underway and that it will coordinate with the Unaccompanied Homeless Youth Commission (UHYC) and others in receiving further feedback and recommendations from community providers and LGBTQ youth experiencing homelessness.</w:t>
      </w:r>
    </w:p>
    <w:p>
      <w:pPr>
        <w:numPr>
          <w:ilvl w:val="0"/>
          <w:numId w:val="46"/>
        </w:numPr>
        <w:tabs>
          <w:tab w:pos="481" w:val="left" w:leader="none"/>
          <w:tab w:pos="483" w:val="left" w:leader="none"/>
        </w:tabs>
        <w:spacing w:line="276" w:lineRule="auto" w:before="240"/>
        <w:ind w:left="483" w:right="343" w:hanging="360"/>
        <w:jc w:val="both"/>
        <w:rPr>
          <w:b/>
          <w:sz w:val="22"/>
        </w:rPr>
      </w:pPr>
      <w:r>
        <w:rPr>
          <w:b/>
          <w:sz w:val="22"/>
        </w:rPr>
        <w:t>Improve</w:t>
      </w:r>
      <w:r>
        <w:rPr>
          <w:b/>
          <w:spacing w:val="-10"/>
          <w:sz w:val="22"/>
        </w:rPr>
        <w:t> </w:t>
      </w:r>
      <w:r>
        <w:rPr>
          <w:b/>
          <w:sz w:val="22"/>
        </w:rPr>
        <w:t>interagency</w:t>
      </w:r>
      <w:r>
        <w:rPr>
          <w:b/>
          <w:spacing w:val="-11"/>
          <w:sz w:val="22"/>
        </w:rPr>
        <w:t> </w:t>
      </w:r>
      <w:r>
        <w:rPr>
          <w:b/>
          <w:sz w:val="22"/>
        </w:rPr>
        <w:t>collaboration</w:t>
      </w:r>
      <w:r>
        <w:rPr>
          <w:b/>
          <w:spacing w:val="-10"/>
          <w:sz w:val="22"/>
        </w:rPr>
        <w:t> </w:t>
      </w:r>
      <w:r>
        <w:rPr>
          <w:b/>
          <w:sz w:val="22"/>
        </w:rPr>
        <w:t>to</w:t>
      </w:r>
      <w:r>
        <w:rPr>
          <w:b/>
          <w:spacing w:val="-11"/>
          <w:sz w:val="22"/>
        </w:rPr>
        <w:t> </w:t>
      </w:r>
      <w:r>
        <w:rPr>
          <w:b/>
          <w:sz w:val="22"/>
        </w:rPr>
        <w:t>support</w:t>
      </w:r>
      <w:r>
        <w:rPr>
          <w:b/>
          <w:spacing w:val="-10"/>
          <w:sz w:val="22"/>
        </w:rPr>
        <w:t> </w:t>
      </w:r>
      <w:r>
        <w:rPr>
          <w:b/>
          <w:sz w:val="22"/>
        </w:rPr>
        <w:t>LGBTQ</w:t>
      </w:r>
      <w:r>
        <w:rPr>
          <w:b/>
          <w:spacing w:val="-10"/>
          <w:sz w:val="22"/>
        </w:rPr>
        <w:t> </w:t>
      </w:r>
      <w:r>
        <w:rPr>
          <w:b/>
          <w:sz w:val="22"/>
        </w:rPr>
        <w:t>youth</w:t>
      </w:r>
      <w:r>
        <w:rPr>
          <w:b/>
          <w:spacing w:val="-10"/>
          <w:sz w:val="22"/>
        </w:rPr>
        <w:t> </w:t>
      </w:r>
      <w:r>
        <w:rPr>
          <w:b/>
          <w:sz w:val="22"/>
        </w:rPr>
        <w:t>experiencing</w:t>
      </w:r>
      <w:r>
        <w:rPr>
          <w:b/>
          <w:spacing w:val="-10"/>
          <w:sz w:val="22"/>
        </w:rPr>
        <w:t> </w:t>
      </w:r>
      <w:r>
        <w:rPr>
          <w:b/>
          <w:sz w:val="22"/>
        </w:rPr>
        <w:t>homelessness,</w:t>
      </w:r>
      <w:r>
        <w:rPr>
          <w:b/>
          <w:spacing w:val="-10"/>
          <w:sz w:val="22"/>
        </w:rPr>
        <w:t> </w:t>
      </w:r>
      <w:r>
        <w:rPr>
          <w:b/>
          <w:sz w:val="22"/>
        </w:rPr>
        <w:t>with</w:t>
      </w:r>
      <w:r>
        <w:rPr>
          <w:b/>
          <w:spacing w:val="-10"/>
          <w:sz w:val="22"/>
        </w:rPr>
        <w:t> </w:t>
      </w:r>
      <w:r>
        <w:rPr>
          <w:b/>
          <w:sz w:val="22"/>
        </w:rPr>
        <w:t>particular attention to supporting LGBTQ immigrant youth and youth transitioning out of the child welfare </w:t>
      </w:r>
      <w:r>
        <w:rPr>
          <w:b/>
          <w:spacing w:val="-2"/>
          <w:sz w:val="22"/>
        </w:rPr>
        <w:t>system.</w:t>
      </w:r>
    </w:p>
    <w:p>
      <w:pPr>
        <w:pStyle w:val="BodyText"/>
        <w:spacing w:line="276" w:lineRule="auto" w:before="239"/>
        <w:ind w:left="483" w:right="341"/>
        <w:jc w:val="both"/>
      </w:pPr>
      <w:r>
        <w:rPr/>
        <w:t>As</w:t>
      </w:r>
      <w:r>
        <w:rPr>
          <w:spacing w:val="-11"/>
        </w:rPr>
        <w:t> </w:t>
      </w:r>
      <w:r>
        <w:rPr/>
        <w:t>discussed</w:t>
      </w:r>
      <w:r>
        <w:rPr>
          <w:spacing w:val="-12"/>
        </w:rPr>
        <w:t> </w:t>
      </w:r>
      <w:r>
        <w:rPr/>
        <w:t>throughout</w:t>
      </w:r>
      <w:r>
        <w:rPr>
          <w:spacing w:val="-11"/>
        </w:rPr>
        <w:t> </w:t>
      </w:r>
      <w:r>
        <w:rPr/>
        <w:t>the</w:t>
      </w:r>
      <w:r>
        <w:rPr>
          <w:spacing w:val="-12"/>
        </w:rPr>
        <w:t> </w:t>
      </w:r>
      <w:r>
        <w:rPr/>
        <w:t>Commission’s</w:t>
      </w:r>
      <w:r>
        <w:rPr>
          <w:spacing w:val="-11"/>
        </w:rPr>
        <w:t> </w:t>
      </w:r>
      <w:r>
        <w:rPr/>
        <w:t>report</w:t>
      </w:r>
      <w:r>
        <w:rPr>
          <w:spacing w:val="-12"/>
        </w:rPr>
        <w:t> </w:t>
      </w:r>
      <w:r>
        <w:rPr/>
        <w:t>for</w:t>
      </w:r>
      <w:r>
        <w:rPr>
          <w:spacing w:val="-11"/>
        </w:rPr>
        <w:t> </w:t>
      </w:r>
      <w:r>
        <w:rPr/>
        <w:t>the</w:t>
      </w:r>
      <w:r>
        <w:rPr>
          <w:spacing w:val="-12"/>
        </w:rPr>
        <w:t> </w:t>
      </w:r>
      <w:r>
        <w:rPr/>
        <w:t>last</w:t>
      </w:r>
      <w:r>
        <w:rPr>
          <w:spacing w:val="-12"/>
        </w:rPr>
        <w:t> </w:t>
      </w:r>
      <w:r>
        <w:rPr/>
        <w:t>few</w:t>
      </w:r>
      <w:r>
        <w:rPr>
          <w:spacing w:val="-11"/>
        </w:rPr>
        <w:t> </w:t>
      </w:r>
      <w:r>
        <w:rPr/>
        <w:t>years,</w:t>
      </w:r>
      <w:r>
        <w:rPr>
          <w:spacing w:val="-11"/>
        </w:rPr>
        <w:t> </w:t>
      </w:r>
      <w:r>
        <w:rPr/>
        <w:t>often</w:t>
      </w:r>
      <w:r>
        <w:rPr>
          <w:spacing w:val="-12"/>
        </w:rPr>
        <w:t> </w:t>
      </w:r>
      <w:r>
        <w:rPr/>
        <w:t>many</w:t>
      </w:r>
      <w:r>
        <w:rPr>
          <w:spacing w:val="-11"/>
        </w:rPr>
        <w:t> </w:t>
      </w:r>
      <w:r>
        <w:rPr/>
        <w:t>of</w:t>
      </w:r>
      <w:r>
        <w:rPr>
          <w:spacing w:val="-11"/>
        </w:rPr>
        <w:t> </w:t>
      </w:r>
      <w:r>
        <w:rPr/>
        <w:t>the</w:t>
      </w:r>
      <w:r>
        <w:rPr>
          <w:spacing w:val="-12"/>
        </w:rPr>
        <w:t> </w:t>
      </w:r>
      <w:r>
        <w:rPr/>
        <w:t>systemic</w:t>
      </w:r>
      <w:r>
        <w:rPr>
          <w:spacing w:val="-12"/>
        </w:rPr>
        <w:t> </w:t>
      </w:r>
      <w:r>
        <w:rPr/>
        <w:t>issues that young people face when attempting to access state services occur due to a lack of communication between state agencies. While EOHLC has several established relationships throughout the state, particularly with the UHYC, the Commission strongly recommends that the secretariat work to examine its</w:t>
      </w:r>
      <w:r>
        <w:rPr>
          <w:spacing w:val="-8"/>
        </w:rPr>
        <w:t> </w:t>
      </w:r>
      <w:r>
        <w:rPr/>
        <w:t>potential</w:t>
      </w:r>
      <w:r>
        <w:rPr>
          <w:spacing w:val="-8"/>
        </w:rPr>
        <w:t> </w:t>
      </w:r>
      <w:r>
        <w:rPr/>
        <w:t>programs</w:t>
      </w:r>
      <w:r>
        <w:rPr>
          <w:spacing w:val="-8"/>
        </w:rPr>
        <w:t> </w:t>
      </w:r>
      <w:r>
        <w:rPr/>
        <w:t>and</w:t>
      </w:r>
      <w:r>
        <w:rPr>
          <w:spacing w:val="-8"/>
        </w:rPr>
        <w:t> </w:t>
      </w:r>
      <w:r>
        <w:rPr/>
        <w:t>relationships</w:t>
      </w:r>
      <w:r>
        <w:rPr>
          <w:spacing w:val="-8"/>
        </w:rPr>
        <w:t> </w:t>
      </w:r>
      <w:r>
        <w:rPr/>
        <w:t>with</w:t>
      </w:r>
      <w:r>
        <w:rPr>
          <w:spacing w:val="-9"/>
        </w:rPr>
        <w:t> </w:t>
      </w:r>
      <w:r>
        <w:rPr/>
        <w:t>agencies</w:t>
      </w:r>
      <w:r>
        <w:rPr>
          <w:spacing w:val="-8"/>
        </w:rPr>
        <w:t> </w:t>
      </w:r>
      <w:r>
        <w:rPr/>
        <w:t>such</w:t>
      </w:r>
      <w:r>
        <w:rPr>
          <w:spacing w:val="-8"/>
        </w:rPr>
        <w:t> </w:t>
      </w:r>
      <w:r>
        <w:rPr/>
        <w:t>as</w:t>
      </w:r>
      <w:r>
        <w:rPr>
          <w:spacing w:val="-8"/>
        </w:rPr>
        <w:t> </w:t>
      </w:r>
      <w:r>
        <w:rPr/>
        <w:t>DCF,</w:t>
      </w:r>
      <w:r>
        <w:rPr>
          <w:spacing w:val="-8"/>
        </w:rPr>
        <w:t> </w:t>
      </w:r>
      <w:r>
        <w:rPr/>
        <w:t>DYS,</w:t>
      </w:r>
      <w:r>
        <w:rPr>
          <w:spacing w:val="-9"/>
        </w:rPr>
        <w:t> </w:t>
      </w:r>
      <w:r>
        <w:rPr/>
        <w:t>and</w:t>
      </w:r>
      <w:r>
        <w:rPr>
          <w:spacing w:val="-8"/>
        </w:rPr>
        <w:t> </w:t>
      </w:r>
      <w:r>
        <w:rPr/>
        <w:t>ORI</w:t>
      </w:r>
      <w:r>
        <w:rPr>
          <w:spacing w:val="-8"/>
        </w:rPr>
        <w:t> </w:t>
      </w:r>
      <w:r>
        <w:rPr/>
        <w:t>to</w:t>
      </w:r>
      <w:r>
        <w:rPr>
          <w:spacing w:val="-8"/>
        </w:rPr>
        <w:t> </w:t>
      </w:r>
      <w:r>
        <w:rPr/>
        <w:t>ensure</w:t>
      </w:r>
      <w:r>
        <w:rPr>
          <w:spacing w:val="-8"/>
        </w:rPr>
        <w:t> </w:t>
      </w:r>
      <w:r>
        <w:rPr/>
        <w:t>that</w:t>
      </w:r>
      <w:r>
        <w:rPr>
          <w:spacing w:val="-9"/>
        </w:rPr>
        <w:t> </w:t>
      </w:r>
      <w:r>
        <w:rPr/>
        <w:t>the</w:t>
      </w:r>
      <w:r>
        <w:rPr>
          <w:spacing w:val="-8"/>
        </w:rPr>
        <w:t> </w:t>
      </w:r>
      <w:r>
        <w:rPr/>
        <w:t>needs of</w:t>
      </w:r>
      <w:r>
        <w:rPr>
          <w:spacing w:val="-5"/>
        </w:rPr>
        <w:t> </w:t>
      </w:r>
      <w:r>
        <w:rPr/>
        <w:t>youth</w:t>
      </w:r>
      <w:r>
        <w:rPr>
          <w:spacing w:val="-6"/>
        </w:rPr>
        <w:t> </w:t>
      </w:r>
      <w:r>
        <w:rPr/>
        <w:t>-</w:t>
      </w:r>
      <w:r>
        <w:rPr>
          <w:spacing w:val="-4"/>
        </w:rPr>
        <w:t> </w:t>
      </w:r>
      <w:r>
        <w:rPr/>
        <w:t>particularly</w:t>
      </w:r>
      <w:r>
        <w:rPr>
          <w:spacing w:val="-4"/>
        </w:rPr>
        <w:t> </w:t>
      </w:r>
      <w:r>
        <w:rPr/>
        <w:t>transition-aged</w:t>
      </w:r>
      <w:r>
        <w:rPr>
          <w:spacing w:val="-4"/>
        </w:rPr>
        <w:t> </w:t>
      </w:r>
      <w:r>
        <w:rPr/>
        <w:t>youth</w:t>
      </w:r>
      <w:r>
        <w:rPr>
          <w:spacing w:val="-6"/>
        </w:rPr>
        <w:t> </w:t>
      </w:r>
      <w:r>
        <w:rPr/>
        <w:t>and</w:t>
      </w:r>
      <w:r>
        <w:rPr>
          <w:spacing w:val="-6"/>
        </w:rPr>
        <w:t> </w:t>
      </w:r>
      <w:r>
        <w:rPr/>
        <w:t>immigrant</w:t>
      </w:r>
      <w:r>
        <w:rPr>
          <w:spacing w:val="-6"/>
        </w:rPr>
        <w:t> </w:t>
      </w:r>
      <w:r>
        <w:rPr/>
        <w:t>youth</w:t>
      </w:r>
      <w:r>
        <w:rPr>
          <w:spacing w:val="-6"/>
        </w:rPr>
        <w:t> </w:t>
      </w:r>
      <w:r>
        <w:rPr/>
        <w:t>-</w:t>
      </w:r>
      <w:r>
        <w:rPr>
          <w:spacing w:val="-4"/>
        </w:rPr>
        <w:t> </w:t>
      </w:r>
      <w:r>
        <w:rPr/>
        <w:t>are</w:t>
      </w:r>
      <w:r>
        <w:rPr>
          <w:spacing w:val="-6"/>
        </w:rPr>
        <w:t> </w:t>
      </w:r>
      <w:r>
        <w:rPr/>
        <w:t>being</w:t>
      </w:r>
      <w:r>
        <w:rPr>
          <w:spacing w:val="-4"/>
        </w:rPr>
        <w:t> </w:t>
      </w:r>
      <w:r>
        <w:rPr/>
        <w:t>met.</w:t>
      </w:r>
      <w:r>
        <w:rPr>
          <w:spacing w:val="-6"/>
        </w:rPr>
        <w:t> </w:t>
      </w:r>
      <w:r>
        <w:rPr/>
        <w:t>Furthermore,</w:t>
      </w:r>
      <w:r>
        <w:rPr>
          <w:spacing w:val="-5"/>
        </w:rPr>
        <w:t> </w:t>
      </w:r>
      <w:r>
        <w:rPr/>
        <w:t>as</w:t>
      </w:r>
      <w:r>
        <w:rPr>
          <w:spacing w:val="-5"/>
        </w:rPr>
        <w:t> </w:t>
      </w:r>
      <w:r>
        <w:rPr/>
        <w:t>noted above, hosting or participating with the UHYC in community conversations or listening sessions with community partners in the homelessness space</w:t>
      </w:r>
      <w:r>
        <w:rPr>
          <w:spacing w:val="-1"/>
        </w:rPr>
        <w:t> </w:t>
      </w:r>
      <w:r>
        <w:rPr/>
        <w:t>who actively work with</w:t>
      </w:r>
      <w:r>
        <w:rPr>
          <w:spacing w:val="-1"/>
        </w:rPr>
        <w:t> </w:t>
      </w:r>
      <w:r>
        <w:rPr/>
        <w:t>LGBTQ young</w:t>
      </w:r>
      <w:r>
        <w:rPr>
          <w:spacing w:val="-1"/>
        </w:rPr>
        <w:t> </w:t>
      </w:r>
      <w:r>
        <w:rPr/>
        <w:t>people is essential </w:t>
      </w:r>
      <w:r>
        <w:rPr>
          <w:spacing w:val="-2"/>
        </w:rPr>
        <w:t>in</w:t>
      </w:r>
      <w:r>
        <w:rPr>
          <w:spacing w:val="-4"/>
        </w:rPr>
        <w:t> </w:t>
      </w:r>
      <w:r>
        <w:rPr>
          <w:spacing w:val="-2"/>
        </w:rPr>
        <w:t>ensuring</w:t>
      </w:r>
      <w:r>
        <w:rPr>
          <w:spacing w:val="-3"/>
        </w:rPr>
        <w:t> </w:t>
      </w:r>
      <w:r>
        <w:rPr>
          <w:spacing w:val="-2"/>
        </w:rPr>
        <w:t>that</w:t>
      </w:r>
      <w:r>
        <w:rPr>
          <w:spacing w:val="-4"/>
        </w:rPr>
        <w:t> </w:t>
      </w:r>
      <w:r>
        <w:rPr>
          <w:spacing w:val="-2"/>
        </w:rPr>
        <w:t>its state</w:t>
      </w:r>
      <w:r>
        <w:rPr>
          <w:spacing w:val="-3"/>
        </w:rPr>
        <w:t> </w:t>
      </w:r>
      <w:r>
        <w:rPr>
          <w:spacing w:val="-2"/>
        </w:rPr>
        <w:t>services</w:t>
      </w:r>
      <w:r>
        <w:rPr>
          <w:spacing w:val="-3"/>
        </w:rPr>
        <w:t> </w:t>
      </w:r>
      <w:r>
        <w:rPr>
          <w:spacing w:val="-2"/>
        </w:rPr>
        <w:t>are</w:t>
      </w:r>
      <w:r>
        <w:rPr>
          <w:spacing w:val="-3"/>
        </w:rPr>
        <w:t> </w:t>
      </w:r>
      <w:r>
        <w:rPr>
          <w:spacing w:val="-2"/>
        </w:rPr>
        <w:t>reaching</w:t>
      </w:r>
      <w:r>
        <w:rPr>
          <w:spacing w:val="-3"/>
        </w:rPr>
        <w:t> </w:t>
      </w:r>
      <w:r>
        <w:rPr>
          <w:spacing w:val="-2"/>
        </w:rPr>
        <w:t>among</w:t>
      </w:r>
      <w:r>
        <w:rPr>
          <w:spacing w:val="-3"/>
        </w:rPr>
        <w:t> </w:t>
      </w:r>
      <w:r>
        <w:rPr>
          <w:spacing w:val="-2"/>
        </w:rPr>
        <w:t>the</w:t>
      </w:r>
      <w:r>
        <w:rPr>
          <w:spacing w:val="-3"/>
        </w:rPr>
        <w:t> </w:t>
      </w:r>
      <w:r>
        <w:rPr>
          <w:spacing w:val="-2"/>
        </w:rPr>
        <w:t>most underserved</w:t>
      </w:r>
      <w:r>
        <w:rPr>
          <w:spacing w:val="-4"/>
        </w:rPr>
        <w:t> </w:t>
      </w:r>
      <w:r>
        <w:rPr>
          <w:spacing w:val="-2"/>
        </w:rPr>
        <w:t>youth</w:t>
      </w:r>
      <w:r>
        <w:rPr>
          <w:spacing w:val="-3"/>
        </w:rPr>
        <w:t> </w:t>
      </w:r>
      <w:r>
        <w:rPr>
          <w:spacing w:val="-2"/>
        </w:rPr>
        <w:t>in the</w:t>
      </w:r>
      <w:r>
        <w:rPr>
          <w:spacing w:val="-4"/>
        </w:rPr>
        <w:t> </w:t>
      </w:r>
      <w:r>
        <w:rPr>
          <w:spacing w:val="-2"/>
        </w:rPr>
        <w:t>Commonwealth.</w:t>
      </w:r>
    </w:p>
    <w:p>
      <w:pPr>
        <w:numPr>
          <w:ilvl w:val="0"/>
          <w:numId w:val="46"/>
        </w:numPr>
        <w:tabs>
          <w:tab w:pos="481" w:val="left" w:leader="none"/>
          <w:tab w:pos="483" w:val="left" w:leader="none"/>
        </w:tabs>
        <w:spacing w:line="276" w:lineRule="auto" w:before="240"/>
        <w:ind w:left="483" w:right="348" w:hanging="360"/>
        <w:jc w:val="both"/>
        <w:rPr>
          <w:b/>
          <w:sz w:val="22"/>
        </w:rPr>
      </w:pPr>
      <w:r>
        <w:rPr>
          <w:b/>
          <w:sz w:val="22"/>
        </w:rPr>
        <w:t>Investigate with Continuums of Care and community providers to ensure that youth are able to travel between CoCs without facing systemic barriers to accessing appropriate housing services.</w:t>
      </w:r>
    </w:p>
    <w:p>
      <w:pPr>
        <w:pStyle w:val="BodyText"/>
        <w:spacing w:line="276" w:lineRule="auto" w:before="240"/>
        <w:ind w:left="482" w:right="341"/>
        <w:jc w:val="both"/>
      </w:pPr>
      <w:r>
        <w:rPr/>
        <w:t>In its FY 2024 recommendations report, the Commission first highlighted its concerns with an issue that came to its attention in early 2023 around youth transitioning between CoCs who fall down the housing voucher</w:t>
      </w:r>
      <w:r>
        <w:rPr>
          <w:spacing w:val="-9"/>
        </w:rPr>
        <w:t> </w:t>
      </w:r>
      <w:r>
        <w:rPr/>
        <w:t>priority</w:t>
      </w:r>
      <w:r>
        <w:rPr>
          <w:spacing w:val="-9"/>
        </w:rPr>
        <w:t> </w:t>
      </w:r>
      <w:r>
        <w:rPr/>
        <w:t>list.</w:t>
      </w:r>
      <w:r>
        <w:rPr>
          <w:spacing w:val="-9"/>
        </w:rPr>
        <w:t> </w:t>
      </w:r>
      <w:r>
        <w:rPr/>
        <w:t>The</w:t>
      </w:r>
      <w:r>
        <w:rPr>
          <w:spacing w:val="-9"/>
        </w:rPr>
        <w:t> </w:t>
      </w:r>
      <w:r>
        <w:rPr/>
        <w:t>Commission</w:t>
      </w:r>
      <w:r>
        <w:rPr>
          <w:spacing w:val="-9"/>
        </w:rPr>
        <w:t> </w:t>
      </w:r>
      <w:r>
        <w:rPr/>
        <w:t>appreciates</w:t>
      </w:r>
      <w:r>
        <w:rPr>
          <w:spacing w:val="-9"/>
        </w:rPr>
        <w:t> </w:t>
      </w:r>
      <w:r>
        <w:rPr/>
        <w:t>the</w:t>
      </w:r>
      <w:r>
        <w:rPr>
          <w:spacing w:val="-9"/>
        </w:rPr>
        <w:t> </w:t>
      </w:r>
      <w:r>
        <w:rPr/>
        <w:t>information</w:t>
      </w:r>
      <w:r>
        <w:rPr>
          <w:spacing w:val="-9"/>
        </w:rPr>
        <w:t> </w:t>
      </w:r>
      <w:r>
        <w:rPr/>
        <w:t>that</w:t>
      </w:r>
      <w:r>
        <w:rPr>
          <w:spacing w:val="-9"/>
        </w:rPr>
        <w:t> </w:t>
      </w:r>
      <w:r>
        <w:rPr/>
        <w:t>EOHLC</w:t>
      </w:r>
      <w:r>
        <w:rPr>
          <w:spacing w:val="-9"/>
        </w:rPr>
        <w:t> </w:t>
      </w:r>
      <w:r>
        <w:rPr/>
        <w:t>has</w:t>
      </w:r>
      <w:r>
        <w:rPr>
          <w:spacing w:val="-9"/>
        </w:rPr>
        <w:t> </w:t>
      </w:r>
      <w:r>
        <w:rPr/>
        <w:t>shared</w:t>
      </w:r>
      <w:r>
        <w:rPr>
          <w:spacing w:val="-9"/>
        </w:rPr>
        <w:t> </w:t>
      </w:r>
      <w:r>
        <w:rPr/>
        <w:t>in</w:t>
      </w:r>
      <w:r>
        <w:rPr>
          <w:spacing w:val="-9"/>
        </w:rPr>
        <w:t> </w:t>
      </w:r>
      <w:r>
        <w:rPr/>
        <w:t>this</w:t>
      </w:r>
      <w:r>
        <w:rPr>
          <w:spacing w:val="-9"/>
        </w:rPr>
        <w:t> </w:t>
      </w:r>
      <w:r>
        <w:rPr/>
        <w:t>area</w:t>
      </w:r>
      <w:r>
        <w:rPr>
          <w:spacing w:val="-9"/>
        </w:rPr>
        <w:t> </w:t>
      </w:r>
      <w:r>
        <w:rPr/>
        <w:t>over the</w:t>
      </w:r>
      <w:r>
        <w:rPr>
          <w:spacing w:val="-8"/>
        </w:rPr>
        <w:t> </w:t>
      </w:r>
      <w:r>
        <w:rPr/>
        <w:t>past</w:t>
      </w:r>
      <w:r>
        <w:rPr>
          <w:spacing w:val="-7"/>
        </w:rPr>
        <w:t> </w:t>
      </w:r>
      <w:r>
        <w:rPr/>
        <w:t>year</w:t>
      </w:r>
      <w:r>
        <w:rPr>
          <w:spacing w:val="-6"/>
        </w:rPr>
        <w:t> </w:t>
      </w:r>
      <w:r>
        <w:rPr/>
        <w:t>and</w:t>
      </w:r>
      <w:r>
        <w:rPr>
          <w:spacing w:val="-8"/>
        </w:rPr>
        <w:t> </w:t>
      </w:r>
      <w:r>
        <w:rPr/>
        <w:t>understands</w:t>
      </w:r>
      <w:r>
        <w:rPr>
          <w:spacing w:val="-7"/>
        </w:rPr>
        <w:t> </w:t>
      </w:r>
      <w:r>
        <w:rPr/>
        <w:t>that</w:t>
      </w:r>
      <w:r>
        <w:rPr>
          <w:spacing w:val="-7"/>
        </w:rPr>
        <w:t> </w:t>
      </w:r>
      <w:r>
        <w:rPr/>
        <w:t>EOHLC</w:t>
      </w:r>
      <w:r>
        <w:rPr>
          <w:spacing w:val="-7"/>
        </w:rPr>
        <w:t> </w:t>
      </w:r>
      <w:r>
        <w:rPr/>
        <w:t>has</w:t>
      </w:r>
      <w:r>
        <w:rPr>
          <w:spacing w:val="-7"/>
        </w:rPr>
        <w:t> </w:t>
      </w:r>
      <w:r>
        <w:rPr/>
        <w:t>no</w:t>
      </w:r>
      <w:r>
        <w:rPr>
          <w:spacing w:val="-7"/>
        </w:rPr>
        <w:t> </w:t>
      </w:r>
      <w:r>
        <w:rPr/>
        <w:t>jurisdiction</w:t>
      </w:r>
      <w:r>
        <w:rPr>
          <w:spacing w:val="-8"/>
        </w:rPr>
        <w:t> </w:t>
      </w:r>
      <w:r>
        <w:rPr/>
        <w:t>over</w:t>
      </w:r>
      <w:r>
        <w:rPr>
          <w:spacing w:val="-6"/>
        </w:rPr>
        <w:t> </w:t>
      </w:r>
      <w:r>
        <w:rPr/>
        <w:t>CoCs</w:t>
      </w:r>
      <w:r>
        <w:rPr>
          <w:spacing w:val="-7"/>
        </w:rPr>
        <w:t> </w:t>
      </w:r>
      <w:r>
        <w:rPr/>
        <w:t>other</w:t>
      </w:r>
      <w:r>
        <w:rPr>
          <w:spacing w:val="-8"/>
        </w:rPr>
        <w:t> </w:t>
      </w:r>
      <w:r>
        <w:rPr/>
        <w:t>than</w:t>
      </w:r>
      <w:r>
        <w:rPr>
          <w:spacing w:val="-8"/>
        </w:rPr>
        <w:t> </w:t>
      </w:r>
      <w:r>
        <w:rPr/>
        <w:t>the</w:t>
      </w:r>
      <w:r>
        <w:rPr>
          <w:spacing w:val="-8"/>
        </w:rPr>
        <w:t> </w:t>
      </w:r>
      <w:r>
        <w:rPr/>
        <w:t>“Balance</w:t>
      </w:r>
      <w:r>
        <w:rPr>
          <w:spacing w:val="-8"/>
        </w:rPr>
        <w:t> </w:t>
      </w:r>
      <w:r>
        <w:rPr/>
        <w:t>of</w:t>
      </w:r>
      <w:r>
        <w:rPr>
          <w:spacing w:val="-8"/>
        </w:rPr>
        <w:t> </w:t>
      </w:r>
      <w:r>
        <w:rPr/>
        <w:t>State” CoC that EOHLC oversees. The Commission further understands that a new coordinated care data integration system has been released to CoCs that should resolve this issue. The idea of the new system element is that it should better track and share the information of youth who travel between CoCs. However, in</w:t>
      </w:r>
      <w:r>
        <w:rPr>
          <w:spacing w:val="-1"/>
        </w:rPr>
        <w:t> </w:t>
      </w:r>
      <w:r>
        <w:rPr/>
        <w:t>its February 2024 meeting, EOHLC noted</w:t>
      </w:r>
      <w:r>
        <w:rPr>
          <w:spacing w:val="-1"/>
        </w:rPr>
        <w:t> </w:t>
      </w:r>
      <w:r>
        <w:rPr/>
        <w:t>that</w:t>
      </w:r>
      <w:r>
        <w:rPr>
          <w:spacing w:val="-1"/>
        </w:rPr>
        <w:t> </w:t>
      </w:r>
      <w:r>
        <w:rPr/>
        <w:t>this component</w:t>
      </w:r>
      <w:r>
        <w:rPr>
          <w:spacing w:val="-1"/>
        </w:rPr>
        <w:t> </w:t>
      </w:r>
      <w:r>
        <w:rPr/>
        <w:t>is not</w:t>
      </w:r>
      <w:r>
        <w:rPr>
          <w:spacing w:val="-1"/>
        </w:rPr>
        <w:t> </w:t>
      </w:r>
      <w:r>
        <w:rPr/>
        <w:t>yet</w:t>
      </w:r>
      <w:r>
        <w:rPr>
          <w:spacing w:val="-1"/>
        </w:rPr>
        <w:t> </w:t>
      </w:r>
      <w:r>
        <w:rPr/>
        <w:t>as widely utilized</w:t>
      </w:r>
      <w:r>
        <w:rPr>
          <w:spacing w:val="-1"/>
        </w:rPr>
        <w:t> </w:t>
      </w:r>
      <w:r>
        <w:rPr/>
        <w:t>as it should be - though it is growing. As a result, the Commission recommends that EOHLC do outreach to CoCs, community providers, and youth experiencing homelessness to better understand if the issue has been successfully resolved, and if there are any other systemic issues occurring for young people experiencing homelessness.</w:t>
      </w:r>
    </w:p>
    <w:p>
      <w:pPr>
        <w:spacing w:after="0" w:line="276" w:lineRule="auto"/>
        <w:jc w:val="both"/>
        <w:sectPr>
          <w:pgSz w:w="12240" w:h="15840"/>
          <w:pgMar w:header="804" w:footer="1263" w:top="1000" w:bottom="1460" w:left="960" w:right="1100"/>
        </w:sectPr>
      </w:pPr>
    </w:p>
    <w:p>
      <w:pPr>
        <w:numPr>
          <w:ilvl w:val="0"/>
          <w:numId w:val="46"/>
        </w:numPr>
        <w:tabs>
          <w:tab w:pos="481" w:val="left" w:leader="none"/>
          <w:tab w:pos="483" w:val="left" w:leader="none"/>
        </w:tabs>
        <w:spacing w:line="276" w:lineRule="auto" w:before="139"/>
        <w:ind w:left="483" w:right="344" w:hanging="360"/>
        <w:jc w:val="left"/>
        <w:rPr>
          <w:b/>
          <w:sz w:val="22"/>
        </w:rPr>
      </w:pPr>
      <w:r>
        <w:rPr>
          <w:b/>
          <w:sz w:val="22"/>
        </w:rPr>
        <w:t>Explore</w:t>
      </w:r>
      <w:r>
        <w:rPr>
          <w:b/>
          <w:spacing w:val="-8"/>
          <w:sz w:val="22"/>
        </w:rPr>
        <w:t> </w:t>
      </w:r>
      <w:r>
        <w:rPr>
          <w:b/>
          <w:sz w:val="22"/>
        </w:rPr>
        <w:t>ways</w:t>
      </w:r>
      <w:r>
        <w:rPr>
          <w:b/>
          <w:spacing w:val="-8"/>
          <w:sz w:val="22"/>
        </w:rPr>
        <w:t> </w:t>
      </w:r>
      <w:r>
        <w:rPr>
          <w:b/>
          <w:sz w:val="22"/>
        </w:rPr>
        <w:t>to</w:t>
      </w:r>
      <w:r>
        <w:rPr>
          <w:b/>
          <w:spacing w:val="-8"/>
          <w:sz w:val="22"/>
        </w:rPr>
        <w:t> </w:t>
      </w:r>
      <w:r>
        <w:rPr>
          <w:b/>
          <w:sz w:val="22"/>
        </w:rPr>
        <w:t>encourage</w:t>
      </w:r>
      <w:r>
        <w:rPr>
          <w:b/>
          <w:spacing w:val="-9"/>
          <w:sz w:val="22"/>
        </w:rPr>
        <w:t> </w:t>
      </w:r>
      <w:r>
        <w:rPr>
          <w:b/>
          <w:sz w:val="22"/>
        </w:rPr>
        <w:t>the</w:t>
      </w:r>
      <w:r>
        <w:rPr>
          <w:b/>
          <w:spacing w:val="-9"/>
          <w:sz w:val="22"/>
        </w:rPr>
        <w:t> </w:t>
      </w:r>
      <w:r>
        <w:rPr>
          <w:b/>
          <w:sz w:val="22"/>
        </w:rPr>
        <w:t>development</w:t>
      </w:r>
      <w:r>
        <w:rPr>
          <w:b/>
          <w:spacing w:val="-9"/>
          <w:sz w:val="22"/>
        </w:rPr>
        <w:t> </w:t>
      </w:r>
      <w:r>
        <w:rPr>
          <w:b/>
          <w:sz w:val="22"/>
        </w:rPr>
        <w:t>and</w:t>
      </w:r>
      <w:r>
        <w:rPr>
          <w:b/>
          <w:spacing w:val="-9"/>
          <w:sz w:val="22"/>
        </w:rPr>
        <w:t> </w:t>
      </w:r>
      <w:r>
        <w:rPr>
          <w:b/>
          <w:sz w:val="22"/>
        </w:rPr>
        <w:t>funding</w:t>
      </w:r>
      <w:r>
        <w:rPr>
          <w:b/>
          <w:spacing w:val="-7"/>
          <w:sz w:val="22"/>
        </w:rPr>
        <w:t> </w:t>
      </w:r>
      <w:r>
        <w:rPr>
          <w:b/>
          <w:sz w:val="22"/>
        </w:rPr>
        <w:t>of</w:t>
      </w:r>
      <w:r>
        <w:rPr>
          <w:b/>
          <w:spacing w:val="-8"/>
          <w:sz w:val="22"/>
        </w:rPr>
        <w:t> </w:t>
      </w:r>
      <w:r>
        <w:rPr>
          <w:b/>
          <w:sz w:val="22"/>
        </w:rPr>
        <w:t>LGBTQ-specific</w:t>
      </w:r>
      <w:r>
        <w:rPr>
          <w:b/>
          <w:spacing w:val="-8"/>
          <w:sz w:val="22"/>
        </w:rPr>
        <w:t> </w:t>
      </w:r>
      <w:r>
        <w:rPr>
          <w:b/>
          <w:sz w:val="22"/>
        </w:rPr>
        <w:t>and</w:t>
      </w:r>
      <w:r>
        <w:rPr>
          <w:b/>
          <w:spacing w:val="-9"/>
          <w:sz w:val="22"/>
        </w:rPr>
        <w:t> </w:t>
      </w:r>
      <w:r>
        <w:rPr>
          <w:b/>
          <w:sz w:val="22"/>
        </w:rPr>
        <w:t>safe</w:t>
      </w:r>
      <w:r>
        <w:rPr>
          <w:b/>
          <w:spacing w:val="-9"/>
          <w:sz w:val="22"/>
        </w:rPr>
        <w:t> </w:t>
      </w:r>
      <w:r>
        <w:rPr>
          <w:b/>
          <w:sz w:val="22"/>
        </w:rPr>
        <w:t>shelters</w:t>
      </w:r>
      <w:r>
        <w:rPr>
          <w:b/>
          <w:spacing w:val="-9"/>
          <w:sz w:val="22"/>
        </w:rPr>
        <w:t> </w:t>
      </w:r>
      <w:r>
        <w:rPr>
          <w:b/>
          <w:sz w:val="22"/>
        </w:rPr>
        <w:t>for</w:t>
      </w:r>
      <w:r>
        <w:rPr>
          <w:b/>
          <w:spacing w:val="-9"/>
          <w:sz w:val="22"/>
        </w:rPr>
        <w:t> </w:t>
      </w:r>
      <w:r>
        <w:rPr>
          <w:b/>
          <w:sz w:val="22"/>
        </w:rPr>
        <w:t>youth, and alternative ways to address the housing crisis for youth.</w:t>
      </w:r>
    </w:p>
    <w:p>
      <w:pPr>
        <w:pStyle w:val="BodyText"/>
        <w:spacing w:line="276" w:lineRule="auto" w:before="239"/>
        <w:ind w:left="483" w:right="342"/>
        <w:jc w:val="both"/>
      </w:pPr>
      <w:r>
        <w:rPr/>
        <w:t>Massachusetts is in the midst of a severe housing and shelter crisis, but for LGBTQ youth the situation is even more severe due to the distinct lack of youth shelters and beds within existing shelters. The Commission</w:t>
      </w:r>
      <w:r>
        <w:rPr>
          <w:spacing w:val="-13"/>
        </w:rPr>
        <w:t> </w:t>
      </w:r>
      <w:r>
        <w:rPr/>
        <w:t>understands</w:t>
      </w:r>
      <w:r>
        <w:rPr>
          <w:spacing w:val="-12"/>
        </w:rPr>
        <w:t> </w:t>
      </w:r>
      <w:r>
        <w:rPr/>
        <w:t>that</w:t>
      </w:r>
      <w:r>
        <w:rPr>
          <w:spacing w:val="-13"/>
        </w:rPr>
        <w:t> </w:t>
      </w:r>
      <w:r>
        <w:rPr/>
        <w:t>EOHLC</w:t>
      </w:r>
      <w:r>
        <w:rPr>
          <w:spacing w:val="-12"/>
        </w:rPr>
        <w:t> </w:t>
      </w:r>
      <w:r>
        <w:rPr/>
        <w:t>is</w:t>
      </w:r>
      <w:r>
        <w:rPr>
          <w:spacing w:val="-13"/>
        </w:rPr>
        <w:t> </w:t>
      </w:r>
      <w:r>
        <w:rPr/>
        <w:t>limited</w:t>
      </w:r>
      <w:r>
        <w:rPr>
          <w:spacing w:val="-12"/>
        </w:rPr>
        <w:t> </w:t>
      </w:r>
      <w:r>
        <w:rPr/>
        <w:t>in</w:t>
      </w:r>
      <w:r>
        <w:rPr>
          <w:spacing w:val="-13"/>
        </w:rPr>
        <w:t> </w:t>
      </w:r>
      <w:r>
        <w:rPr/>
        <w:t>its</w:t>
      </w:r>
      <w:r>
        <w:rPr>
          <w:spacing w:val="-12"/>
        </w:rPr>
        <w:t> </w:t>
      </w:r>
      <w:r>
        <w:rPr/>
        <w:t>ability</w:t>
      </w:r>
      <w:r>
        <w:rPr>
          <w:spacing w:val="-12"/>
        </w:rPr>
        <w:t> </w:t>
      </w:r>
      <w:r>
        <w:rPr/>
        <w:t>to</w:t>
      </w:r>
      <w:r>
        <w:rPr>
          <w:spacing w:val="-13"/>
        </w:rPr>
        <w:t> </w:t>
      </w:r>
      <w:r>
        <w:rPr/>
        <w:t>encourage</w:t>
      </w:r>
      <w:r>
        <w:rPr>
          <w:spacing w:val="-12"/>
        </w:rPr>
        <w:t> </w:t>
      </w:r>
      <w:r>
        <w:rPr/>
        <w:t>the</w:t>
      </w:r>
      <w:r>
        <w:rPr>
          <w:spacing w:val="-13"/>
        </w:rPr>
        <w:t> </w:t>
      </w:r>
      <w:r>
        <w:rPr/>
        <w:t>development</w:t>
      </w:r>
      <w:r>
        <w:rPr>
          <w:spacing w:val="-12"/>
        </w:rPr>
        <w:t> </w:t>
      </w:r>
      <w:r>
        <w:rPr/>
        <w:t>of</w:t>
      </w:r>
      <w:r>
        <w:rPr>
          <w:spacing w:val="-12"/>
        </w:rPr>
        <w:t> </w:t>
      </w:r>
      <w:r>
        <w:rPr/>
        <w:t>new</w:t>
      </w:r>
      <w:r>
        <w:rPr>
          <w:spacing w:val="-12"/>
        </w:rPr>
        <w:t> </w:t>
      </w:r>
      <w:r>
        <w:rPr/>
        <w:t>shelters and</w:t>
      </w:r>
      <w:r>
        <w:rPr>
          <w:spacing w:val="-1"/>
        </w:rPr>
        <w:t> </w:t>
      </w:r>
      <w:r>
        <w:rPr/>
        <w:t>housing projects and</w:t>
      </w:r>
      <w:r>
        <w:rPr>
          <w:spacing w:val="-1"/>
        </w:rPr>
        <w:t> </w:t>
      </w:r>
      <w:r>
        <w:rPr/>
        <w:t>is constrained by Federal</w:t>
      </w:r>
      <w:r>
        <w:rPr>
          <w:spacing w:val="-1"/>
        </w:rPr>
        <w:t> </w:t>
      </w:r>
      <w:r>
        <w:rPr/>
        <w:t>and</w:t>
      </w:r>
      <w:r>
        <w:rPr>
          <w:spacing w:val="-1"/>
        </w:rPr>
        <w:t> </w:t>
      </w:r>
      <w:r>
        <w:rPr/>
        <w:t>State law in</w:t>
      </w:r>
      <w:r>
        <w:rPr>
          <w:spacing w:val="-1"/>
        </w:rPr>
        <w:t> </w:t>
      </w:r>
      <w:r>
        <w:rPr/>
        <w:t>establishing</w:t>
      </w:r>
      <w:r>
        <w:rPr>
          <w:spacing w:val="-1"/>
        </w:rPr>
        <w:t> </w:t>
      </w:r>
      <w:r>
        <w:rPr/>
        <w:t>LGBTQ-specific shelters, but encourages the agency to explore potential solutions in partnership with external stakeholders and youth. The Commission further understands that EOHLC is constrained by procurement rules from soliciting proposals from specific providers who would then seek funding through a competitive funding round.</w:t>
      </w:r>
      <w:r>
        <w:rPr>
          <w:spacing w:val="-12"/>
        </w:rPr>
        <w:t> </w:t>
      </w:r>
      <w:r>
        <w:rPr/>
        <w:t>EOHLC</w:t>
      </w:r>
      <w:r>
        <w:rPr>
          <w:spacing w:val="-12"/>
        </w:rPr>
        <w:t> </w:t>
      </w:r>
      <w:r>
        <w:rPr/>
        <w:t>has</w:t>
      </w:r>
      <w:r>
        <w:rPr>
          <w:spacing w:val="-12"/>
        </w:rPr>
        <w:t> </w:t>
      </w:r>
      <w:r>
        <w:rPr/>
        <w:t>further</w:t>
      </w:r>
      <w:r>
        <w:rPr>
          <w:spacing w:val="-11"/>
        </w:rPr>
        <w:t> </w:t>
      </w:r>
      <w:r>
        <w:rPr/>
        <w:t>noted</w:t>
      </w:r>
      <w:r>
        <w:rPr>
          <w:spacing w:val="-11"/>
        </w:rPr>
        <w:t> </w:t>
      </w:r>
      <w:r>
        <w:rPr/>
        <w:t>that</w:t>
      </w:r>
      <w:r>
        <w:rPr>
          <w:spacing w:val="-12"/>
        </w:rPr>
        <w:t> </w:t>
      </w:r>
      <w:r>
        <w:rPr/>
        <w:t>other</w:t>
      </w:r>
      <w:r>
        <w:rPr>
          <w:spacing w:val="-12"/>
        </w:rPr>
        <w:t> </w:t>
      </w:r>
      <w:r>
        <w:rPr/>
        <w:t>agencies</w:t>
      </w:r>
      <w:r>
        <w:rPr>
          <w:spacing w:val="-9"/>
        </w:rPr>
        <w:t> </w:t>
      </w:r>
      <w:r>
        <w:rPr/>
        <w:t>need</w:t>
      </w:r>
      <w:r>
        <w:rPr>
          <w:spacing w:val="-11"/>
        </w:rPr>
        <w:t> </w:t>
      </w:r>
      <w:r>
        <w:rPr/>
        <w:t>to</w:t>
      </w:r>
      <w:r>
        <w:rPr>
          <w:spacing w:val="-11"/>
        </w:rPr>
        <w:t> </w:t>
      </w:r>
      <w:r>
        <w:rPr/>
        <w:t>be</w:t>
      </w:r>
      <w:r>
        <w:rPr>
          <w:spacing w:val="-11"/>
        </w:rPr>
        <w:t> </w:t>
      </w:r>
      <w:r>
        <w:rPr/>
        <w:t>engaged</w:t>
      </w:r>
      <w:r>
        <w:rPr>
          <w:spacing w:val="-11"/>
        </w:rPr>
        <w:t> </w:t>
      </w:r>
      <w:r>
        <w:rPr/>
        <w:t>where</w:t>
      </w:r>
      <w:r>
        <w:rPr>
          <w:spacing w:val="-10"/>
        </w:rPr>
        <w:t> </w:t>
      </w:r>
      <w:r>
        <w:rPr/>
        <w:t>unaccompanied</w:t>
      </w:r>
      <w:r>
        <w:rPr>
          <w:spacing w:val="-13"/>
        </w:rPr>
        <w:t> </w:t>
      </w:r>
      <w:r>
        <w:rPr/>
        <w:t>homeless youth are minors.</w:t>
      </w:r>
    </w:p>
    <w:p>
      <w:pPr>
        <w:pStyle w:val="BodyText"/>
        <w:spacing w:line="276" w:lineRule="auto" w:before="240"/>
        <w:ind w:left="483" w:right="341"/>
        <w:jc w:val="both"/>
      </w:pPr>
      <w:r>
        <w:rPr/>
        <w:t>In FY 2024, the Commission and EOHLC engaged in numerous conversations with community partners and</w:t>
      </w:r>
      <w:r>
        <w:rPr>
          <w:spacing w:val="-2"/>
        </w:rPr>
        <w:t> </w:t>
      </w:r>
      <w:r>
        <w:rPr/>
        <w:t>other</w:t>
      </w:r>
      <w:r>
        <w:rPr>
          <w:spacing w:val="-2"/>
        </w:rPr>
        <w:t> </w:t>
      </w:r>
      <w:r>
        <w:rPr/>
        <w:t>agencies,</w:t>
      </w:r>
      <w:r>
        <w:rPr>
          <w:spacing w:val="-2"/>
        </w:rPr>
        <w:t> </w:t>
      </w:r>
      <w:r>
        <w:rPr/>
        <w:t>such as</w:t>
      </w:r>
      <w:r>
        <w:rPr>
          <w:spacing w:val="-1"/>
        </w:rPr>
        <w:t> </w:t>
      </w:r>
      <w:r>
        <w:rPr/>
        <w:t>UHYC,</w:t>
      </w:r>
      <w:r>
        <w:rPr>
          <w:spacing w:val="-2"/>
        </w:rPr>
        <w:t> </w:t>
      </w:r>
      <w:r>
        <w:rPr/>
        <w:t>about</w:t>
      </w:r>
      <w:r>
        <w:rPr>
          <w:spacing w:val="-2"/>
        </w:rPr>
        <w:t> </w:t>
      </w:r>
      <w:r>
        <w:rPr/>
        <w:t>youth</w:t>
      </w:r>
      <w:r>
        <w:rPr>
          <w:spacing w:val="-1"/>
        </w:rPr>
        <w:t> </w:t>
      </w:r>
      <w:r>
        <w:rPr/>
        <w:t>shelter</w:t>
      </w:r>
      <w:r>
        <w:rPr>
          <w:spacing w:val="-2"/>
        </w:rPr>
        <w:t> </w:t>
      </w:r>
      <w:r>
        <w:rPr/>
        <w:t>needs.</w:t>
      </w:r>
      <w:r>
        <w:rPr>
          <w:spacing w:val="-1"/>
        </w:rPr>
        <w:t> </w:t>
      </w:r>
      <w:r>
        <w:rPr/>
        <w:t>In the</w:t>
      </w:r>
      <w:r>
        <w:rPr>
          <w:spacing w:val="-1"/>
        </w:rPr>
        <w:t> </w:t>
      </w:r>
      <w:r>
        <w:rPr/>
        <w:t>fall</w:t>
      </w:r>
      <w:r>
        <w:rPr>
          <w:spacing w:val="-2"/>
        </w:rPr>
        <w:t> </w:t>
      </w:r>
      <w:r>
        <w:rPr/>
        <w:t>of</w:t>
      </w:r>
      <w:r>
        <w:rPr>
          <w:spacing w:val="-2"/>
        </w:rPr>
        <w:t> </w:t>
      </w:r>
      <w:r>
        <w:rPr/>
        <w:t>2023,</w:t>
      </w:r>
      <w:r>
        <w:rPr>
          <w:spacing w:val="-2"/>
        </w:rPr>
        <w:t> </w:t>
      </w:r>
      <w:r>
        <w:rPr/>
        <w:t>UHYC noted</w:t>
      </w:r>
      <w:r>
        <w:rPr>
          <w:spacing w:val="-2"/>
        </w:rPr>
        <w:t> </w:t>
      </w:r>
      <w:r>
        <w:rPr/>
        <w:t>that</w:t>
      </w:r>
      <w:r>
        <w:rPr>
          <w:spacing w:val="-1"/>
        </w:rPr>
        <w:t> </w:t>
      </w:r>
      <w:r>
        <w:rPr/>
        <w:t>it</w:t>
      </w:r>
      <w:r>
        <w:rPr>
          <w:spacing w:val="-1"/>
        </w:rPr>
        <w:t> </w:t>
      </w:r>
      <w:r>
        <w:rPr/>
        <w:t>is</w:t>
      </w:r>
      <w:r>
        <w:rPr>
          <w:spacing w:val="-1"/>
        </w:rPr>
        <w:t> </w:t>
      </w:r>
      <w:r>
        <w:rPr/>
        <w:t>in the</w:t>
      </w:r>
      <w:r>
        <w:rPr>
          <w:spacing w:val="-11"/>
        </w:rPr>
        <w:t> </w:t>
      </w:r>
      <w:r>
        <w:rPr/>
        <w:t>process</w:t>
      </w:r>
      <w:r>
        <w:rPr>
          <w:spacing w:val="-11"/>
        </w:rPr>
        <w:t> </w:t>
      </w:r>
      <w:r>
        <w:rPr/>
        <w:t>of</w:t>
      </w:r>
      <w:r>
        <w:rPr>
          <w:spacing w:val="-11"/>
        </w:rPr>
        <w:t> </w:t>
      </w:r>
      <w:r>
        <w:rPr/>
        <w:t>creating</w:t>
      </w:r>
      <w:r>
        <w:rPr>
          <w:spacing w:val="-11"/>
        </w:rPr>
        <w:t> </w:t>
      </w:r>
      <w:r>
        <w:rPr/>
        <w:t>a</w:t>
      </w:r>
      <w:r>
        <w:rPr>
          <w:spacing w:val="-11"/>
        </w:rPr>
        <w:t> </w:t>
      </w:r>
      <w:r>
        <w:rPr/>
        <w:t>two-part</w:t>
      </w:r>
      <w:r>
        <w:rPr>
          <w:spacing w:val="-12"/>
        </w:rPr>
        <w:t> </w:t>
      </w:r>
      <w:r>
        <w:rPr/>
        <w:t>document</w:t>
      </w:r>
      <w:r>
        <w:rPr>
          <w:spacing w:val="-10"/>
        </w:rPr>
        <w:t> </w:t>
      </w:r>
      <w:r>
        <w:rPr/>
        <w:t>that</w:t>
      </w:r>
      <w:r>
        <w:rPr>
          <w:spacing w:val="-10"/>
        </w:rPr>
        <w:t> </w:t>
      </w:r>
      <w:r>
        <w:rPr/>
        <w:t>would</w:t>
      </w:r>
      <w:r>
        <w:rPr>
          <w:spacing w:val="-11"/>
        </w:rPr>
        <w:t> </w:t>
      </w:r>
      <w:r>
        <w:rPr/>
        <w:t>include</w:t>
      </w:r>
      <w:r>
        <w:rPr>
          <w:spacing w:val="-11"/>
        </w:rPr>
        <w:t> </w:t>
      </w:r>
      <w:r>
        <w:rPr/>
        <w:t>guidance</w:t>
      </w:r>
      <w:r>
        <w:rPr>
          <w:spacing w:val="-11"/>
        </w:rPr>
        <w:t> </w:t>
      </w:r>
      <w:r>
        <w:rPr/>
        <w:t>on</w:t>
      </w:r>
      <w:r>
        <w:rPr>
          <w:spacing w:val="-11"/>
        </w:rPr>
        <w:t> </w:t>
      </w:r>
      <w:r>
        <w:rPr/>
        <w:t>creating</w:t>
      </w:r>
      <w:r>
        <w:rPr>
          <w:spacing w:val="-11"/>
        </w:rPr>
        <w:t> </w:t>
      </w:r>
      <w:r>
        <w:rPr/>
        <w:t>youth</w:t>
      </w:r>
      <w:r>
        <w:rPr>
          <w:spacing w:val="-10"/>
        </w:rPr>
        <w:t> </w:t>
      </w:r>
      <w:r>
        <w:rPr/>
        <w:t>shelters,</w:t>
      </w:r>
      <w:r>
        <w:rPr>
          <w:spacing w:val="-11"/>
        </w:rPr>
        <w:t> </w:t>
      </w:r>
      <w:r>
        <w:rPr/>
        <w:t>with a particular focus on non-fixed shelter sites and multi-functional spaces. EOHLC also noted that there is currently no dedicated funding source for unaccompanied homeless youth shelter allocated to EOHLC, and that despite recent procurement efforts, EOHLC did not receive responses from shelter providers seeking to expand shelter capacity for unaccompanied homeless youth only. Considering these limitations,</w:t>
      </w:r>
      <w:r>
        <w:rPr>
          <w:spacing w:val="-12"/>
        </w:rPr>
        <w:t> </w:t>
      </w:r>
      <w:r>
        <w:rPr/>
        <w:t>EOHLC,</w:t>
      </w:r>
      <w:r>
        <w:rPr>
          <w:spacing w:val="26"/>
        </w:rPr>
        <w:t> </w:t>
      </w:r>
      <w:r>
        <w:rPr/>
        <w:t>CoCs,</w:t>
      </w:r>
      <w:r>
        <w:rPr>
          <w:spacing w:val="-13"/>
        </w:rPr>
        <w:t> </w:t>
      </w:r>
      <w:r>
        <w:rPr/>
        <w:t>and</w:t>
      </w:r>
      <w:r>
        <w:rPr>
          <w:spacing w:val="-12"/>
        </w:rPr>
        <w:t> </w:t>
      </w:r>
      <w:r>
        <w:rPr/>
        <w:t>UHYC</w:t>
      </w:r>
      <w:r>
        <w:rPr>
          <w:spacing w:val="-12"/>
        </w:rPr>
        <w:t> </w:t>
      </w:r>
      <w:r>
        <w:rPr/>
        <w:t>recently</w:t>
      </w:r>
      <w:r>
        <w:rPr>
          <w:spacing w:val="-12"/>
        </w:rPr>
        <w:t> </w:t>
      </w:r>
      <w:r>
        <w:rPr/>
        <w:t>collaborated</w:t>
      </w:r>
      <w:r>
        <w:rPr>
          <w:spacing w:val="-13"/>
        </w:rPr>
        <w:t> </w:t>
      </w:r>
      <w:r>
        <w:rPr/>
        <w:t>to</w:t>
      </w:r>
      <w:r>
        <w:rPr>
          <w:spacing w:val="-11"/>
        </w:rPr>
        <w:t> </w:t>
      </w:r>
      <w:r>
        <w:rPr/>
        <w:t>apply</w:t>
      </w:r>
      <w:r>
        <w:rPr>
          <w:spacing w:val="-11"/>
        </w:rPr>
        <w:t> </w:t>
      </w:r>
      <w:r>
        <w:rPr/>
        <w:t>for</w:t>
      </w:r>
      <w:r>
        <w:rPr>
          <w:spacing w:val="-12"/>
        </w:rPr>
        <w:t> </w:t>
      </w:r>
      <w:r>
        <w:rPr/>
        <w:t>a</w:t>
      </w:r>
      <w:r>
        <w:rPr>
          <w:spacing w:val="-12"/>
        </w:rPr>
        <w:t> </w:t>
      </w:r>
      <w:r>
        <w:rPr/>
        <w:t>HUD</w:t>
      </w:r>
      <w:r>
        <w:rPr>
          <w:spacing w:val="-12"/>
        </w:rPr>
        <w:t> </w:t>
      </w:r>
      <w:r>
        <w:rPr/>
        <w:t>Youth</w:t>
      </w:r>
      <w:r>
        <w:rPr>
          <w:spacing w:val="-12"/>
        </w:rPr>
        <w:t> </w:t>
      </w:r>
      <w:r>
        <w:rPr/>
        <w:t>Homelessness</w:t>
      </w:r>
      <w:r>
        <w:rPr>
          <w:spacing w:val="-12"/>
        </w:rPr>
        <w:t> </w:t>
      </w:r>
      <w:r>
        <w:rPr/>
        <w:t>System Improvement (YHSI) grant to receive assistance in developing strategies that will better serve youth. Overall, the Commission recommends that EOHLC partner with state agencies and community-centered organizations to explore opportunities for improved temporary emergency shelter options for youth.</w:t>
      </w:r>
    </w:p>
    <w:p>
      <w:pPr>
        <w:numPr>
          <w:ilvl w:val="0"/>
          <w:numId w:val="46"/>
        </w:numPr>
        <w:tabs>
          <w:tab w:pos="481" w:val="left" w:leader="none"/>
          <w:tab w:pos="483" w:val="left" w:leader="none"/>
        </w:tabs>
        <w:spacing w:line="276" w:lineRule="auto" w:before="240"/>
        <w:ind w:left="483" w:right="343" w:hanging="360"/>
        <w:jc w:val="left"/>
        <w:rPr>
          <w:b/>
          <w:sz w:val="22"/>
        </w:rPr>
      </w:pPr>
      <w:r>
        <w:rPr>
          <w:b/>
          <w:sz w:val="22"/>
        </w:rPr>
        <w:t>Provide</w:t>
      </w:r>
      <w:r>
        <w:rPr>
          <w:b/>
          <w:spacing w:val="40"/>
          <w:sz w:val="22"/>
        </w:rPr>
        <w:t> </w:t>
      </w:r>
      <w:r>
        <w:rPr>
          <w:b/>
          <w:sz w:val="22"/>
        </w:rPr>
        <w:t>LGBTQ</w:t>
      </w:r>
      <w:r>
        <w:rPr>
          <w:b/>
          <w:spacing w:val="40"/>
          <w:sz w:val="22"/>
        </w:rPr>
        <w:t> </w:t>
      </w:r>
      <w:r>
        <w:rPr>
          <w:b/>
          <w:sz w:val="22"/>
        </w:rPr>
        <w:t>cultural</w:t>
      </w:r>
      <w:r>
        <w:rPr>
          <w:b/>
          <w:spacing w:val="40"/>
          <w:sz w:val="22"/>
        </w:rPr>
        <w:t> </w:t>
      </w:r>
      <w:r>
        <w:rPr>
          <w:b/>
          <w:sz w:val="22"/>
        </w:rPr>
        <w:t>engagement</w:t>
      </w:r>
      <w:r>
        <w:rPr>
          <w:b/>
          <w:spacing w:val="40"/>
          <w:sz w:val="22"/>
        </w:rPr>
        <w:t> </w:t>
      </w:r>
      <w:r>
        <w:rPr>
          <w:b/>
          <w:sz w:val="22"/>
        </w:rPr>
        <w:t>and</w:t>
      </w:r>
      <w:r>
        <w:rPr>
          <w:b/>
          <w:spacing w:val="40"/>
          <w:sz w:val="22"/>
        </w:rPr>
        <w:t> </w:t>
      </w:r>
      <w:r>
        <w:rPr>
          <w:b/>
          <w:sz w:val="22"/>
        </w:rPr>
        <w:t>racial</w:t>
      </w:r>
      <w:r>
        <w:rPr>
          <w:b/>
          <w:spacing w:val="40"/>
          <w:sz w:val="22"/>
        </w:rPr>
        <w:t> </w:t>
      </w:r>
      <w:r>
        <w:rPr>
          <w:b/>
          <w:sz w:val="22"/>
        </w:rPr>
        <w:t>equity</w:t>
      </w:r>
      <w:r>
        <w:rPr>
          <w:b/>
          <w:spacing w:val="40"/>
          <w:sz w:val="22"/>
        </w:rPr>
        <w:t> </w:t>
      </w:r>
      <w:r>
        <w:rPr>
          <w:b/>
          <w:sz w:val="22"/>
        </w:rPr>
        <w:t>trainings</w:t>
      </w:r>
      <w:r>
        <w:rPr>
          <w:b/>
          <w:spacing w:val="40"/>
          <w:sz w:val="22"/>
        </w:rPr>
        <w:t> </w:t>
      </w:r>
      <w:r>
        <w:rPr>
          <w:b/>
          <w:sz w:val="22"/>
        </w:rPr>
        <w:t>for</w:t>
      </w:r>
      <w:r>
        <w:rPr>
          <w:b/>
          <w:spacing w:val="40"/>
          <w:sz w:val="22"/>
        </w:rPr>
        <w:t> </w:t>
      </w:r>
      <w:r>
        <w:rPr>
          <w:b/>
          <w:sz w:val="22"/>
        </w:rPr>
        <w:t>EOHLC</w:t>
      </w:r>
      <w:r>
        <w:rPr>
          <w:b/>
          <w:spacing w:val="40"/>
          <w:sz w:val="22"/>
        </w:rPr>
        <w:t> </w:t>
      </w:r>
      <w:r>
        <w:rPr>
          <w:b/>
          <w:sz w:val="22"/>
        </w:rPr>
        <w:t>employees</w:t>
      </w:r>
      <w:r>
        <w:rPr>
          <w:b/>
          <w:spacing w:val="40"/>
          <w:sz w:val="22"/>
        </w:rPr>
        <w:t> </w:t>
      </w:r>
      <w:r>
        <w:rPr>
          <w:b/>
          <w:sz w:val="22"/>
        </w:rPr>
        <w:t>and</w:t>
      </w:r>
      <w:r>
        <w:rPr>
          <w:b/>
          <w:spacing w:val="40"/>
          <w:sz w:val="22"/>
        </w:rPr>
        <w:t> </w:t>
      </w:r>
      <w:r>
        <w:rPr>
          <w:b/>
          <w:sz w:val="22"/>
        </w:rPr>
        <w:t>shelter </w:t>
      </w:r>
      <w:r>
        <w:rPr>
          <w:b/>
          <w:spacing w:val="-2"/>
          <w:sz w:val="22"/>
        </w:rPr>
        <w:t>providers.</w:t>
      </w:r>
    </w:p>
    <w:p>
      <w:pPr>
        <w:pStyle w:val="BodyText"/>
        <w:spacing w:line="276" w:lineRule="auto" w:before="239"/>
        <w:ind w:left="483" w:right="342"/>
        <w:jc w:val="both"/>
      </w:pPr>
      <w:r>
        <w:rPr/>
        <w:t>Having informed and knowledgeable staff working with homeless or unstably housed LGBTQ youth is essential,</w:t>
      </w:r>
      <w:r>
        <w:rPr>
          <w:spacing w:val="-5"/>
        </w:rPr>
        <w:t> </w:t>
      </w:r>
      <w:r>
        <w:rPr/>
        <w:t>particularly</w:t>
      </w:r>
      <w:r>
        <w:rPr>
          <w:spacing w:val="-4"/>
        </w:rPr>
        <w:t> </w:t>
      </w:r>
      <w:r>
        <w:rPr/>
        <w:t>with</w:t>
      </w:r>
      <w:r>
        <w:rPr>
          <w:spacing w:val="-3"/>
        </w:rPr>
        <w:t> </w:t>
      </w:r>
      <w:r>
        <w:rPr/>
        <w:t>attention</w:t>
      </w:r>
      <w:r>
        <w:rPr>
          <w:spacing w:val="-5"/>
        </w:rPr>
        <w:t> </w:t>
      </w:r>
      <w:r>
        <w:rPr/>
        <w:t>to</w:t>
      </w:r>
      <w:r>
        <w:rPr>
          <w:spacing w:val="-3"/>
        </w:rPr>
        <w:t> </w:t>
      </w:r>
      <w:r>
        <w:rPr/>
        <w:t>intersections</w:t>
      </w:r>
      <w:r>
        <w:rPr>
          <w:spacing w:val="-4"/>
        </w:rPr>
        <w:t> </w:t>
      </w:r>
      <w:r>
        <w:rPr/>
        <w:t>of</w:t>
      </w:r>
      <w:r>
        <w:rPr>
          <w:spacing w:val="-5"/>
        </w:rPr>
        <w:t> </w:t>
      </w:r>
      <w:r>
        <w:rPr/>
        <w:t>race,</w:t>
      </w:r>
      <w:r>
        <w:rPr>
          <w:spacing w:val="-5"/>
        </w:rPr>
        <w:t> </w:t>
      </w:r>
      <w:r>
        <w:rPr/>
        <w:t>ethnicity,</w:t>
      </w:r>
      <w:r>
        <w:rPr>
          <w:spacing w:val="-5"/>
        </w:rPr>
        <w:t> </w:t>
      </w:r>
      <w:r>
        <w:rPr/>
        <w:t>immigration</w:t>
      </w:r>
      <w:r>
        <w:rPr>
          <w:spacing w:val="-5"/>
        </w:rPr>
        <w:t> </w:t>
      </w:r>
      <w:r>
        <w:rPr/>
        <w:t>status,</w:t>
      </w:r>
      <w:r>
        <w:rPr>
          <w:spacing w:val="-5"/>
        </w:rPr>
        <w:t> </w:t>
      </w:r>
      <w:r>
        <w:rPr/>
        <w:t>and</w:t>
      </w:r>
      <w:r>
        <w:rPr>
          <w:spacing w:val="-5"/>
        </w:rPr>
        <w:t> </w:t>
      </w:r>
      <w:r>
        <w:rPr/>
        <w:t>disability. In 2021, EOHLC sponsored an online training by the Commission for shelter program and provider staff. The Commission has appreciated the opportunity to partner with EOHLC on developing a training series for</w:t>
      </w:r>
      <w:r>
        <w:rPr>
          <w:spacing w:val="-8"/>
        </w:rPr>
        <w:t> </w:t>
      </w:r>
      <w:r>
        <w:rPr/>
        <w:t>staff</w:t>
      </w:r>
      <w:r>
        <w:rPr>
          <w:spacing w:val="-8"/>
        </w:rPr>
        <w:t> </w:t>
      </w:r>
      <w:r>
        <w:rPr/>
        <w:t>that</w:t>
      </w:r>
      <w:r>
        <w:rPr>
          <w:spacing w:val="-6"/>
        </w:rPr>
        <w:t> </w:t>
      </w:r>
      <w:r>
        <w:rPr/>
        <w:t>began</w:t>
      </w:r>
      <w:r>
        <w:rPr>
          <w:spacing w:val="-7"/>
        </w:rPr>
        <w:t> </w:t>
      </w:r>
      <w:r>
        <w:rPr/>
        <w:t>in</w:t>
      </w:r>
      <w:r>
        <w:rPr>
          <w:spacing w:val="-7"/>
        </w:rPr>
        <w:t> </w:t>
      </w:r>
      <w:r>
        <w:rPr/>
        <w:t>May</w:t>
      </w:r>
      <w:r>
        <w:rPr>
          <w:spacing w:val="-8"/>
        </w:rPr>
        <w:t> </w:t>
      </w:r>
      <w:r>
        <w:rPr/>
        <w:t>2024</w:t>
      </w:r>
      <w:r>
        <w:rPr>
          <w:spacing w:val="-8"/>
        </w:rPr>
        <w:t> </w:t>
      </w:r>
      <w:r>
        <w:rPr/>
        <w:t>and</w:t>
      </w:r>
      <w:r>
        <w:rPr>
          <w:spacing w:val="-8"/>
        </w:rPr>
        <w:t> </w:t>
      </w:r>
      <w:r>
        <w:rPr/>
        <w:t>will</w:t>
      </w:r>
      <w:r>
        <w:rPr>
          <w:spacing w:val="-7"/>
        </w:rPr>
        <w:t> </w:t>
      </w:r>
      <w:r>
        <w:rPr/>
        <w:t>continue</w:t>
      </w:r>
      <w:r>
        <w:rPr>
          <w:spacing w:val="-7"/>
        </w:rPr>
        <w:t> </w:t>
      </w:r>
      <w:r>
        <w:rPr/>
        <w:t>through</w:t>
      </w:r>
      <w:r>
        <w:rPr>
          <w:spacing w:val="-7"/>
        </w:rPr>
        <w:t> </w:t>
      </w:r>
      <w:r>
        <w:rPr/>
        <w:t>the</w:t>
      </w:r>
      <w:r>
        <w:rPr>
          <w:spacing w:val="-7"/>
        </w:rPr>
        <w:t> </w:t>
      </w:r>
      <w:r>
        <w:rPr/>
        <w:t>summer.</w:t>
      </w:r>
      <w:r>
        <w:rPr>
          <w:spacing w:val="-7"/>
        </w:rPr>
        <w:t> </w:t>
      </w:r>
      <w:r>
        <w:rPr/>
        <w:t>The</w:t>
      </w:r>
      <w:r>
        <w:rPr>
          <w:spacing w:val="-7"/>
        </w:rPr>
        <w:t> </w:t>
      </w:r>
      <w:r>
        <w:rPr/>
        <w:t>Commission</w:t>
      </w:r>
      <w:r>
        <w:rPr>
          <w:spacing w:val="-8"/>
        </w:rPr>
        <w:t> </w:t>
      </w:r>
      <w:r>
        <w:rPr/>
        <w:t>further</w:t>
      </w:r>
      <w:r>
        <w:rPr>
          <w:spacing w:val="-6"/>
        </w:rPr>
        <w:t> </w:t>
      </w:r>
      <w:r>
        <w:rPr/>
        <w:t>expands its recommendation to highlight the critical need for LGBTQ cultural engagement trainings for shelter providers. The Commission strongly recommends that EOHLC partner with other state agencies and community partners to better understand the existing training plans or efforts being undertaken by shelters across the state.</w:t>
      </w:r>
    </w:p>
    <w:p>
      <w:pPr>
        <w:pStyle w:val="BodyText"/>
      </w:pPr>
    </w:p>
    <w:p>
      <w:pPr>
        <w:pStyle w:val="BodyText"/>
        <w:spacing w:before="238"/>
      </w:pPr>
    </w:p>
    <w:p>
      <w:pPr>
        <w:spacing w:before="0"/>
        <w:ind w:left="483" w:right="0" w:firstLine="0"/>
        <w:jc w:val="both"/>
        <w:rPr>
          <w:i/>
          <w:sz w:val="21"/>
        </w:rPr>
      </w:pPr>
      <w:r>
        <w:rPr>
          <w:i/>
          <w:sz w:val="21"/>
        </w:rPr>
        <w:t>Acknowledgments:</w:t>
      </w:r>
      <w:r>
        <w:rPr>
          <w:i/>
          <w:spacing w:val="-5"/>
          <w:sz w:val="21"/>
        </w:rPr>
        <w:t> </w:t>
      </w:r>
      <w:r>
        <w:rPr>
          <w:i/>
          <w:sz w:val="21"/>
        </w:rPr>
        <w:t>The</w:t>
      </w:r>
      <w:r>
        <w:rPr>
          <w:i/>
          <w:spacing w:val="-2"/>
          <w:sz w:val="21"/>
        </w:rPr>
        <w:t> </w:t>
      </w:r>
      <w:r>
        <w:rPr>
          <w:i/>
          <w:sz w:val="21"/>
        </w:rPr>
        <w:t>Commission</w:t>
      </w:r>
      <w:r>
        <w:rPr>
          <w:i/>
          <w:spacing w:val="-2"/>
          <w:sz w:val="21"/>
        </w:rPr>
        <w:t> </w:t>
      </w:r>
      <w:r>
        <w:rPr>
          <w:i/>
          <w:sz w:val="21"/>
        </w:rPr>
        <w:t>thanks</w:t>
      </w:r>
      <w:r>
        <w:rPr>
          <w:i/>
          <w:spacing w:val="-3"/>
          <w:sz w:val="21"/>
        </w:rPr>
        <w:t> </w:t>
      </w:r>
      <w:r>
        <w:rPr>
          <w:i/>
          <w:sz w:val="21"/>
        </w:rPr>
        <w:t>the</w:t>
      </w:r>
      <w:r>
        <w:rPr>
          <w:i/>
          <w:spacing w:val="-4"/>
          <w:sz w:val="21"/>
        </w:rPr>
        <w:t> </w:t>
      </w:r>
      <w:r>
        <w:rPr>
          <w:i/>
          <w:sz w:val="21"/>
        </w:rPr>
        <w:t>contributions</w:t>
      </w:r>
      <w:r>
        <w:rPr>
          <w:i/>
          <w:spacing w:val="-2"/>
          <w:sz w:val="21"/>
        </w:rPr>
        <w:t> </w:t>
      </w:r>
      <w:r>
        <w:rPr>
          <w:i/>
          <w:sz w:val="21"/>
        </w:rPr>
        <w:t>of</w:t>
      </w:r>
      <w:r>
        <w:rPr>
          <w:i/>
          <w:spacing w:val="-3"/>
          <w:sz w:val="21"/>
        </w:rPr>
        <w:t> </w:t>
      </w:r>
      <w:r>
        <w:rPr>
          <w:i/>
          <w:sz w:val="21"/>
        </w:rPr>
        <w:t>its</w:t>
      </w:r>
      <w:r>
        <w:rPr>
          <w:i/>
          <w:spacing w:val="-3"/>
          <w:sz w:val="21"/>
        </w:rPr>
        <w:t> </w:t>
      </w:r>
      <w:r>
        <w:rPr>
          <w:i/>
          <w:sz w:val="21"/>
        </w:rPr>
        <w:t>EOHLC</w:t>
      </w:r>
      <w:r>
        <w:rPr>
          <w:i/>
          <w:spacing w:val="-3"/>
          <w:sz w:val="21"/>
        </w:rPr>
        <w:t> </w:t>
      </w:r>
      <w:r>
        <w:rPr>
          <w:i/>
          <w:sz w:val="21"/>
        </w:rPr>
        <w:t>agency</w:t>
      </w:r>
      <w:r>
        <w:rPr>
          <w:i/>
          <w:spacing w:val="-2"/>
          <w:sz w:val="21"/>
        </w:rPr>
        <w:t> liaisons.</w:t>
      </w:r>
    </w:p>
    <w:p>
      <w:pPr>
        <w:spacing w:after="0"/>
        <w:jc w:val="both"/>
        <w:rPr>
          <w:sz w:val="21"/>
        </w:rPr>
        <w:sectPr>
          <w:pgSz w:w="12240" w:h="15840"/>
          <w:pgMar w:header="804" w:footer="1263" w:top="1000" w:bottom="1460" w:left="960" w:right="1100"/>
        </w:sectPr>
      </w:pPr>
    </w:p>
    <w:p>
      <w:pPr>
        <w:spacing w:before="157"/>
        <w:ind w:left="483" w:right="0" w:firstLine="0"/>
        <w:jc w:val="left"/>
        <w:rPr>
          <w:sz w:val="18"/>
        </w:rPr>
      </w:pPr>
      <w:bookmarkStart w:name="_bookmark646" w:id="953"/>
      <w:bookmarkEnd w:id="953"/>
      <w:r>
        <w:rPr/>
      </w:r>
      <w:r>
        <w:rPr>
          <w:sz w:val="18"/>
          <w:vertAlign w:val="superscript"/>
        </w:rPr>
        <w:t>i</w:t>
      </w:r>
      <w:r>
        <w:rPr>
          <w:spacing w:val="-12"/>
          <w:sz w:val="18"/>
          <w:vertAlign w:val="baseline"/>
        </w:rPr>
        <w:t> </w:t>
      </w:r>
      <w:r>
        <w:rPr>
          <w:sz w:val="18"/>
          <w:vertAlign w:val="baseline"/>
        </w:rPr>
        <w:t>Laurie</w:t>
      </w:r>
      <w:r>
        <w:rPr>
          <w:spacing w:val="-10"/>
          <w:sz w:val="18"/>
          <w:vertAlign w:val="baseline"/>
        </w:rPr>
        <w:t> </w:t>
      </w:r>
      <w:r>
        <w:rPr>
          <w:sz w:val="18"/>
          <w:vertAlign w:val="baseline"/>
        </w:rPr>
        <w:t>Ross,</w:t>
      </w:r>
      <w:r>
        <w:rPr>
          <w:spacing w:val="-6"/>
          <w:sz w:val="18"/>
          <w:vertAlign w:val="baseline"/>
        </w:rPr>
        <w:t> </w:t>
      </w:r>
      <w:r>
        <w:rPr>
          <w:sz w:val="18"/>
          <w:vertAlign w:val="baseline"/>
        </w:rPr>
        <w:t>“Massachusetts</w:t>
      </w:r>
      <w:r>
        <w:rPr>
          <w:spacing w:val="-5"/>
          <w:sz w:val="18"/>
          <w:vertAlign w:val="baseline"/>
        </w:rPr>
        <w:t> </w:t>
      </w:r>
      <w:r>
        <w:rPr>
          <w:sz w:val="18"/>
          <w:vertAlign w:val="baseline"/>
        </w:rPr>
        <w:t>2022</w:t>
      </w:r>
      <w:r>
        <w:rPr>
          <w:spacing w:val="-6"/>
          <w:sz w:val="18"/>
          <w:vertAlign w:val="baseline"/>
        </w:rPr>
        <w:t> </w:t>
      </w:r>
      <w:r>
        <w:rPr>
          <w:sz w:val="18"/>
          <w:vertAlign w:val="baseline"/>
        </w:rPr>
        <w:t>Youth</w:t>
      </w:r>
      <w:r>
        <w:rPr>
          <w:spacing w:val="-5"/>
          <w:sz w:val="18"/>
          <w:vertAlign w:val="baseline"/>
        </w:rPr>
        <w:t> </w:t>
      </w:r>
      <w:r>
        <w:rPr>
          <w:sz w:val="18"/>
          <w:vertAlign w:val="baseline"/>
        </w:rPr>
        <w:t>Count,”</w:t>
      </w:r>
      <w:r>
        <w:rPr>
          <w:spacing w:val="-5"/>
          <w:sz w:val="18"/>
          <w:vertAlign w:val="baseline"/>
        </w:rPr>
        <w:t> </w:t>
      </w:r>
      <w:r>
        <w:rPr>
          <w:sz w:val="18"/>
          <w:vertAlign w:val="baseline"/>
        </w:rPr>
        <w:t>2022,</w:t>
      </w:r>
      <w:r>
        <w:rPr>
          <w:spacing w:val="-7"/>
          <w:sz w:val="18"/>
          <w:vertAlign w:val="baseline"/>
        </w:rPr>
        <w:t> </w:t>
      </w:r>
      <w:r>
        <w:rPr>
          <w:sz w:val="18"/>
          <w:vertAlign w:val="baseline"/>
        </w:rPr>
        <w:t>https://</w:t>
      </w:r>
      <w:hyperlink r:id="rId755">
        <w:r>
          <w:rPr>
            <w:sz w:val="18"/>
            <w:vertAlign w:val="baseline"/>
          </w:rPr>
          <w:t>www.mass.gov/doc/2022-youth-count-</w:t>
        </w:r>
        <w:r>
          <w:rPr>
            <w:spacing w:val="-2"/>
            <w:sz w:val="18"/>
            <w:vertAlign w:val="baseline"/>
          </w:rPr>
          <w:t>report/download.</w:t>
        </w:r>
      </w:hyperlink>
    </w:p>
    <w:p>
      <w:pPr>
        <w:spacing w:after="0"/>
        <w:jc w:val="left"/>
        <w:rPr>
          <w:sz w:val="18"/>
        </w:rPr>
        <w:sectPr>
          <w:pgSz w:w="12240" w:h="15840"/>
          <w:pgMar w:header="804" w:footer="1263" w:top="1000" w:bottom="1460" w:left="960" w:right="1100"/>
        </w:sectPr>
      </w:pPr>
    </w:p>
    <w:p>
      <w:pPr>
        <w:pStyle w:val="BodyText"/>
        <w:rPr>
          <w:sz w:val="20"/>
        </w:rPr>
      </w:pPr>
    </w:p>
    <w:p>
      <w:pPr>
        <w:pStyle w:val="BodyText"/>
        <w:rPr>
          <w:sz w:val="20"/>
        </w:rPr>
      </w:pPr>
    </w:p>
    <w:p>
      <w:pPr>
        <w:pStyle w:val="BodyText"/>
        <w:spacing w:before="73" w:after="1"/>
        <w:rPr>
          <w:sz w:val="20"/>
        </w:rPr>
      </w:pPr>
    </w:p>
    <w:p>
      <w:pPr>
        <w:pStyle w:val="BodyText"/>
        <w:spacing w:line="20" w:lineRule="exact"/>
        <w:ind w:left="440"/>
        <w:rPr>
          <w:sz w:val="2"/>
        </w:rPr>
      </w:pPr>
      <w:r>
        <w:rPr>
          <w:sz w:val="2"/>
        </w:rPr>
        <mc:AlternateContent>
          <mc:Choice Requires="wps">
            <w:drawing>
              <wp:inline distT="0" distB="0" distL="0" distR="0">
                <wp:extent cx="6350" cy="12700"/>
                <wp:effectExtent l="0" t="0" r="0" b="0"/>
                <wp:docPr id="673" name="Group 673"/>
                <wp:cNvGraphicFramePr>
                  <a:graphicFrameLocks/>
                </wp:cNvGraphicFramePr>
                <a:graphic>
                  <a:graphicData uri="http://schemas.microsoft.com/office/word/2010/wordprocessingGroup">
                    <wpg:wgp>
                      <wpg:cNvPr id="673" name="Group 673"/>
                      <wpg:cNvGrpSpPr/>
                      <wpg:grpSpPr>
                        <a:xfrm>
                          <a:off x="0" y="0"/>
                          <a:ext cx="6350" cy="12700"/>
                          <a:chExt cx="6350" cy="12700"/>
                        </a:xfrm>
                      </wpg:grpSpPr>
                      <wps:wsp>
                        <wps:cNvPr id="674" name="Graphic 674"/>
                        <wps:cNvSpPr/>
                        <wps:spPr>
                          <a:xfrm>
                            <a:off x="0" y="0"/>
                            <a:ext cx="6350" cy="12700"/>
                          </a:xfrm>
                          <a:custGeom>
                            <a:avLst/>
                            <a:gdLst/>
                            <a:ahLst/>
                            <a:cxnLst/>
                            <a:rect l="l" t="t" r="r" b="b"/>
                            <a:pathLst>
                              <a:path w="6350" h="12700">
                                <a:moveTo>
                                  <a:pt x="6337" y="0"/>
                                </a:moveTo>
                                <a:lnTo>
                                  <a:pt x="0" y="0"/>
                                </a:lnTo>
                                <a:lnTo>
                                  <a:pt x="0" y="12192"/>
                                </a:lnTo>
                                <a:lnTo>
                                  <a:pt x="6337" y="12192"/>
                                </a:lnTo>
                                <a:lnTo>
                                  <a:pt x="6337" y="0"/>
                                </a:lnTo>
                                <a:close/>
                              </a:path>
                            </a:pathLst>
                          </a:custGeom>
                          <a:solidFill>
                            <a:srgbClr val="4F81BB"/>
                          </a:solidFill>
                        </wps:spPr>
                        <wps:bodyPr wrap="square" lIns="0" tIns="0" rIns="0" bIns="0" rtlCol="0">
                          <a:prstTxWarp prst="textNoShape">
                            <a:avLst/>
                          </a:prstTxWarp>
                          <a:noAutofit/>
                        </wps:bodyPr>
                      </wps:wsp>
                    </wpg:wgp>
                  </a:graphicData>
                </a:graphic>
              </wp:inline>
            </w:drawing>
          </mc:Choice>
          <mc:Fallback>
            <w:pict>
              <v:group style="width:.5pt;height:1pt;mso-position-horizontal-relative:char;mso-position-vertical-relative:line" id="docshapegroup570" coordorigin="0,0" coordsize="10,20">
                <v:rect style="position:absolute;left:0;top:0;width:10;height:20" id="docshape571" filled="true" fillcolor="#4f81bb" stroked="false">
                  <v:fill type="solid"/>
                </v:rect>
              </v:group>
            </w:pict>
          </mc:Fallback>
        </mc:AlternateContent>
      </w:r>
      <w:r>
        <w:rPr>
          <w:sz w:val="2"/>
        </w:rPr>
      </w:r>
    </w:p>
    <w:p>
      <w:pPr>
        <w:pStyle w:val="Heading7"/>
      </w:pPr>
      <w:bookmarkStart w:name="_bookmark647" w:id="954"/>
      <w:bookmarkEnd w:id="954"/>
      <w:r>
        <w:rPr/>
      </w:r>
      <w:hyperlink w:history="true" w:anchor="_bookmark7">
        <w:r>
          <w:rPr>
            <w:color w:val="365F91"/>
            <w:spacing w:val="-8"/>
          </w:rPr>
          <w:t>Board</w:t>
        </w:r>
        <w:r>
          <w:rPr>
            <w:color w:val="365F91"/>
            <w:spacing w:val="-13"/>
          </w:rPr>
          <w:t> </w:t>
        </w:r>
        <w:r>
          <w:rPr>
            <w:color w:val="365F91"/>
            <w:spacing w:val="-8"/>
          </w:rPr>
          <w:t>of</w:t>
        </w:r>
        <w:r>
          <w:rPr>
            <w:color w:val="365F91"/>
            <w:spacing w:val="-13"/>
          </w:rPr>
          <w:t> </w:t>
        </w:r>
        <w:r>
          <w:rPr>
            <w:color w:val="365F91"/>
            <w:spacing w:val="-8"/>
          </w:rPr>
          <w:t>Library</w:t>
        </w:r>
        <w:r>
          <w:rPr>
            <w:color w:val="365F91"/>
            <w:spacing w:val="-13"/>
          </w:rPr>
          <w:t> </w:t>
        </w:r>
        <w:r>
          <w:rPr>
            <w:color w:val="365F91"/>
            <w:spacing w:val="-8"/>
          </w:rPr>
          <w:t>Commissioners</w:t>
        </w:r>
      </w:hyperlink>
    </w:p>
    <w:p>
      <w:pPr>
        <w:pStyle w:val="BodyText"/>
        <w:rPr>
          <w:sz w:val="20"/>
        </w:rPr>
      </w:pPr>
    </w:p>
    <w:p>
      <w:pPr>
        <w:pStyle w:val="BodyText"/>
        <w:spacing w:before="67"/>
        <w:rPr>
          <w:sz w:val="20"/>
        </w:rPr>
      </w:pPr>
      <w:r>
        <w:rPr/>
        <mc:AlternateContent>
          <mc:Choice Requires="wps">
            <w:drawing>
              <wp:anchor distT="0" distB="0" distL="0" distR="0" allowOverlap="1" layoutInCell="1" locked="0" behindDoc="1" simplePos="0" relativeHeight="487728128">
                <wp:simplePos x="0" y="0"/>
                <wp:positionH relativeFrom="page">
                  <wp:posOffset>889000</wp:posOffset>
                </wp:positionH>
                <wp:positionV relativeFrom="paragraph">
                  <wp:posOffset>213269</wp:posOffset>
                </wp:positionV>
                <wp:extent cx="6350" cy="12700"/>
                <wp:effectExtent l="0" t="0" r="0" b="0"/>
                <wp:wrapTopAndBottom/>
                <wp:docPr id="675" name="Graphic 675"/>
                <wp:cNvGraphicFramePr>
                  <a:graphicFrameLocks/>
                </wp:cNvGraphicFramePr>
                <a:graphic>
                  <a:graphicData uri="http://schemas.microsoft.com/office/word/2010/wordprocessingShape">
                    <wps:wsp>
                      <wps:cNvPr id="675" name="Graphic 675"/>
                      <wps:cNvSpPr/>
                      <wps:spPr>
                        <a:xfrm>
                          <a:off x="0" y="0"/>
                          <a:ext cx="6350" cy="12700"/>
                        </a:xfrm>
                        <a:custGeom>
                          <a:avLst/>
                          <a:gdLst/>
                          <a:ahLst/>
                          <a:cxnLst/>
                          <a:rect l="l" t="t" r="r" b="b"/>
                          <a:pathLst>
                            <a:path w="6350" h="12700">
                              <a:moveTo>
                                <a:pt x="6337" y="0"/>
                              </a:moveTo>
                              <a:lnTo>
                                <a:pt x="0" y="0"/>
                              </a:lnTo>
                              <a:lnTo>
                                <a:pt x="0" y="12192"/>
                              </a:lnTo>
                              <a:lnTo>
                                <a:pt x="6337" y="12192"/>
                              </a:lnTo>
                              <a:lnTo>
                                <a:pt x="6337" y="0"/>
                              </a:lnTo>
                              <a:close/>
                            </a:path>
                          </a:pathLst>
                        </a:custGeom>
                        <a:solidFill>
                          <a:srgbClr val="4F81BB"/>
                        </a:solidFill>
                      </wps:spPr>
                      <wps:bodyPr wrap="square" lIns="0" tIns="0" rIns="0" bIns="0" rtlCol="0">
                        <a:prstTxWarp prst="textNoShape">
                          <a:avLst/>
                        </a:prstTxWarp>
                        <a:noAutofit/>
                      </wps:bodyPr>
                    </wps:wsp>
                  </a:graphicData>
                </a:graphic>
              </wp:anchor>
            </w:drawing>
          </mc:Choice>
          <mc:Fallback>
            <w:pict>
              <v:rect style="position:absolute;margin-left:70pt;margin-top:16.792906pt;width:.499pt;height:.96pt;mso-position-horizontal-relative:page;mso-position-vertical-relative:paragraph;z-index:-15588352;mso-wrap-distance-left:0;mso-wrap-distance-right:0" id="docshape572" filled="true" fillcolor="#4f81bb" stroked="false">
                <v:fill type="solid"/>
                <w10:wrap type="topAndBottom"/>
              </v:rect>
            </w:pict>
          </mc:Fallback>
        </mc:AlternateContent>
      </w:r>
    </w:p>
    <w:p>
      <w:pPr>
        <w:spacing w:before="0" w:after="20"/>
        <w:ind w:left="483" w:right="0" w:firstLine="0"/>
        <w:jc w:val="left"/>
        <w:rPr>
          <w:sz w:val="28"/>
        </w:rPr>
      </w:pPr>
      <w:r>
        <w:rPr>
          <w:color w:val="365F91"/>
          <w:sz w:val="28"/>
        </w:rPr>
        <w:t>FY</w:t>
      </w:r>
      <w:r>
        <w:rPr>
          <w:color w:val="365F91"/>
          <w:spacing w:val="-7"/>
          <w:sz w:val="28"/>
        </w:rPr>
        <w:t> </w:t>
      </w:r>
      <w:r>
        <w:rPr>
          <w:color w:val="365F91"/>
          <w:sz w:val="28"/>
        </w:rPr>
        <w:t>2025</w:t>
      </w:r>
      <w:r>
        <w:rPr>
          <w:color w:val="365F91"/>
          <w:spacing w:val="-6"/>
          <w:sz w:val="28"/>
        </w:rPr>
        <w:t> </w:t>
      </w:r>
      <w:r>
        <w:rPr>
          <w:color w:val="365F91"/>
          <w:spacing w:val="-2"/>
          <w:sz w:val="28"/>
        </w:rPr>
        <w:t>Recommendations</w:t>
      </w:r>
    </w:p>
    <w:p>
      <w:pPr>
        <w:pStyle w:val="BodyText"/>
        <w:spacing w:line="20" w:lineRule="exact"/>
        <w:ind w:left="453"/>
        <w:rPr>
          <w:sz w:val="2"/>
        </w:rPr>
      </w:pPr>
      <w:r>
        <w:rPr>
          <w:sz w:val="2"/>
        </w:rPr>
        <mc:AlternateContent>
          <mc:Choice Requires="wps">
            <w:drawing>
              <wp:inline distT="0" distB="0" distL="0" distR="0">
                <wp:extent cx="5976620" cy="6350"/>
                <wp:effectExtent l="0" t="0" r="0" b="0"/>
                <wp:docPr id="676" name="Group 676"/>
                <wp:cNvGraphicFramePr>
                  <a:graphicFrameLocks/>
                </wp:cNvGraphicFramePr>
                <a:graphic>
                  <a:graphicData uri="http://schemas.microsoft.com/office/word/2010/wordprocessingGroup">
                    <wpg:wgp>
                      <wpg:cNvPr id="676" name="Group 676"/>
                      <wpg:cNvGrpSpPr/>
                      <wpg:grpSpPr>
                        <a:xfrm>
                          <a:off x="0" y="0"/>
                          <a:ext cx="5976620" cy="6350"/>
                          <a:chExt cx="5976620" cy="6350"/>
                        </a:xfrm>
                      </wpg:grpSpPr>
                      <wps:wsp>
                        <wps:cNvPr id="677" name="Graphic 677"/>
                        <wps:cNvSpPr/>
                        <wps:spPr>
                          <a:xfrm>
                            <a:off x="0" y="0"/>
                            <a:ext cx="5976620" cy="6350"/>
                          </a:xfrm>
                          <a:custGeom>
                            <a:avLst/>
                            <a:gdLst/>
                            <a:ahLst/>
                            <a:cxnLst/>
                            <a:rect l="l" t="t" r="r" b="b"/>
                            <a:pathLst>
                              <a:path w="5976620" h="6350">
                                <a:moveTo>
                                  <a:pt x="5976366" y="0"/>
                                </a:moveTo>
                                <a:lnTo>
                                  <a:pt x="0" y="0"/>
                                </a:lnTo>
                                <a:lnTo>
                                  <a:pt x="0" y="6108"/>
                                </a:lnTo>
                                <a:lnTo>
                                  <a:pt x="5976366" y="6108"/>
                                </a:lnTo>
                                <a:lnTo>
                                  <a:pt x="5976366" y="0"/>
                                </a:lnTo>
                                <a:close/>
                              </a:path>
                            </a:pathLst>
                          </a:custGeom>
                          <a:solidFill>
                            <a:srgbClr val="4F81BC"/>
                          </a:solidFill>
                        </wps:spPr>
                        <wps:bodyPr wrap="square" lIns="0" tIns="0" rIns="0" bIns="0" rtlCol="0">
                          <a:prstTxWarp prst="textNoShape">
                            <a:avLst/>
                          </a:prstTxWarp>
                          <a:noAutofit/>
                        </wps:bodyPr>
                      </wps:wsp>
                    </wpg:wgp>
                  </a:graphicData>
                </a:graphic>
              </wp:inline>
            </w:drawing>
          </mc:Choice>
          <mc:Fallback>
            <w:pict>
              <v:group style="width:470.6pt;height:.5pt;mso-position-horizontal-relative:char;mso-position-vertical-relative:line" id="docshapegroup573" coordorigin="0,0" coordsize="9412,10">
                <v:rect style="position:absolute;left:0;top:0;width:9412;height:10" id="docshape574" filled="true" fillcolor="#4f81bc" stroked="false">
                  <v:fill type="solid"/>
                </v:rect>
              </v:group>
            </w:pict>
          </mc:Fallback>
        </mc:AlternateContent>
      </w:r>
      <w:r>
        <w:rPr>
          <w:sz w:val="2"/>
        </w:rPr>
      </w:r>
    </w:p>
    <w:p>
      <w:pPr>
        <w:pStyle w:val="ListParagraph"/>
        <w:numPr>
          <w:ilvl w:val="1"/>
          <w:numId w:val="46"/>
        </w:numPr>
        <w:tabs>
          <w:tab w:pos="1059" w:val="left" w:leader="none"/>
        </w:tabs>
        <w:spacing w:line="276" w:lineRule="auto" w:before="231" w:after="0"/>
        <w:ind w:left="1059" w:right="633" w:hanging="360"/>
        <w:jc w:val="both"/>
        <w:rPr>
          <w:sz w:val="22"/>
        </w:rPr>
      </w:pPr>
      <w:r>
        <w:rPr>
          <w:sz w:val="22"/>
        </w:rPr>
        <w:t>Develop and disseminate a new recommended LGBTQ book list in partnership with the Safe Schools Program for all libraries in Massachusetts.</w:t>
      </w:r>
    </w:p>
    <w:p>
      <w:pPr>
        <w:pStyle w:val="ListParagraph"/>
        <w:numPr>
          <w:ilvl w:val="1"/>
          <w:numId w:val="46"/>
        </w:numPr>
        <w:tabs>
          <w:tab w:pos="1059" w:val="left" w:leader="none"/>
        </w:tabs>
        <w:spacing w:line="276" w:lineRule="auto" w:before="0" w:after="0"/>
        <w:ind w:left="1059" w:right="630" w:hanging="360"/>
        <w:jc w:val="both"/>
        <w:rPr>
          <w:sz w:val="22"/>
        </w:rPr>
      </w:pPr>
      <w:r>
        <w:rPr>
          <w:sz w:val="22"/>
        </w:rPr>
        <w:t>Partner with the Commission and communities to equip Massachusetts librarians with conflict resolution</w:t>
      </w:r>
      <w:r>
        <w:rPr>
          <w:spacing w:val="-3"/>
          <w:sz w:val="22"/>
        </w:rPr>
        <w:t> </w:t>
      </w:r>
      <w:r>
        <w:rPr>
          <w:sz w:val="22"/>
        </w:rPr>
        <w:t>skills,</w:t>
      </w:r>
      <w:r>
        <w:rPr>
          <w:spacing w:val="-3"/>
          <w:sz w:val="22"/>
        </w:rPr>
        <w:t> </w:t>
      </w:r>
      <w:r>
        <w:rPr>
          <w:sz w:val="22"/>
        </w:rPr>
        <w:t>talking</w:t>
      </w:r>
      <w:r>
        <w:rPr>
          <w:spacing w:val="-2"/>
          <w:sz w:val="22"/>
        </w:rPr>
        <w:t> </w:t>
      </w:r>
      <w:r>
        <w:rPr>
          <w:sz w:val="22"/>
        </w:rPr>
        <w:t>points,</w:t>
      </w:r>
      <w:r>
        <w:rPr>
          <w:spacing w:val="-3"/>
          <w:sz w:val="22"/>
        </w:rPr>
        <w:t> </w:t>
      </w:r>
      <w:r>
        <w:rPr>
          <w:sz w:val="22"/>
        </w:rPr>
        <w:t>and</w:t>
      </w:r>
      <w:r>
        <w:rPr>
          <w:spacing w:val="-3"/>
          <w:sz w:val="22"/>
        </w:rPr>
        <w:t> </w:t>
      </w:r>
      <w:r>
        <w:rPr>
          <w:sz w:val="22"/>
        </w:rPr>
        <w:t>protection</w:t>
      </w:r>
      <w:r>
        <w:rPr>
          <w:spacing w:val="-2"/>
          <w:sz w:val="22"/>
        </w:rPr>
        <w:t> </w:t>
      </w:r>
      <w:r>
        <w:rPr>
          <w:sz w:val="22"/>
        </w:rPr>
        <w:t>to</w:t>
      </w:r>
      <w:r>
        <w:rPr>
          <w:spacing w:val="-2"/>
          <w:sz w:val="22"/>
        </w:rPr>
        <w:t> </w:t>
      </w:r>
      <w:r>
        <w:rPr>
          <w:sz w:val="22"/>
        </w:rPr>
        <w:t>handle</w:t>
      </w:r>
      <w:r>
        <w:rPr>
          <w:spacing w:val="-3"/>
          <w:sz w:val="22"/>
        </w:rPr>
        <w:t> </w:t>
      </w:r>
      <w:r>
        <w:rPr>
          <w:sz w:val="22"/>
        </w:rPr>
        <w:t>anti-LGBTQ</w:t>
      </w:r>
      <w:r>
        <w:rPr>
          <w:spacing w:val="-3"/>
          <w:sz w:val="22"/>
        </w:rPr>
        <w:t> </w:t>
      </w:r>
      <w:r>
        <w:rPr>
          <w:sz w:val="22"/>
        </w:rPr>
        <w:t>protests</w:t>
      </w:r>
      <w:r>
        <w:rPr>
          <w:spacing w:val="-3"/>
          <w:sz w:val="22"/>
        </w:rPr>
        <w:t> </w:t>
      </w:r>
      <w:r>
        <w:rPr>
          <w:sz w:val="22"/>
        </w:rPr>
        <w:t>against</w:t>
      </w:r>
      <w:r>
        <w:rPr>
          <w:spacing w:val="-3"/>
          <w:sz w:val="22"/>
        </w:rPr>
        <w:t> </w:t>
      </w:r>
      <w:r>
        <w:rPr>
          <w:sz w:val="22"/>
        </w:rPr>
        <w:t>programs and book challenges.</w:t>
      </w:r>
    </w:p>
    <w:p>
      <w:pPr>
        <w:pStyle w:val="ListParagraph"/>
        <w:numPr>
          <w:ilvl w:val="1"/>
          <w:numId w:val="46"/>
        </w:numPr>
        <w:tabs>
          <w:tab w:pos="1058" w:val="left" w:leader="none"/>
        </w:tabs>
        <w:spacing w:line="240" w:lineRule="auto" w:before="0" w:after="0"/>
        <w:ind w:left="1058" w:right="0" w:hanging="359"/>
        <w:jc w:val="both"/>
        <w:rPr>
          <w:sz w:val="22"/>
        </w:rPr>
      </w:pPr>
      <w:r>
        <w:rPr>
          <w:sz w:val="22"/>
        </w:rPr>
        <w:t>Support</w:t>
      </w:r>
      <w:r>
        <w:rPr>
          <w:spacing w:val="-11"/>
          <w:sz w:val="22"/>
        </w:rPr>
        <w:t> </w:t>
      </w:r>
      <w:r>
        <w:rPr>
          <w:sz w:val="22"/>
        </w:rPr>
        <w:t>libraries</w:t>
      </w:r>
      <w:r>
        <w:rPr>
          <w:spacing w:val="-12"/>
          <w:sz w:val="22"/>
        </w:rPr>
        <w:t> </w:t>
      </w:r>
      <w:r>
        <w:rPr>
          <w:sz w:val="22"/>
        </w:rPr>
        <w:t>with</w:t>
      </w:r>
      <w:r>
        <w:rPr>
          <w:spacing w:val="-11"/>
          <w:sz w:val="22"/>
        </w:rPr>
        <w:t> </w:t>
      </w:r>
      <w:r>
        <w:rPr>
          <w:sz w:val="22"/>
        </w:rPr>
        <w:t>LGBTQ-inclusive</w:t>
      </w:r>
      <w:r>
        <w:rPr>
          <w:spacing w:val="-10"/>
          <w:sz w:val="22"/>
        </w:rPr>
        <w:t> </w:t>
      </w:r>
      <w:r>
        <w:rPr>
          <w:spacing w:val="-2"/>
          <w:sz w:val="22"/>
        </w:rPr>
        <w:t>programming.</w:t>
      </w:r>
    </w:p>
    <w:p>
      <w:pPr>
        <w:pStyle w:val="ListParagraph"/>
        <w:numPr>
          <w:ilvl w:val="1"/>
          <w:numId w:val="46"/>
        </w:numPr>
        <w:tabs>
          <w:tab w:pos="1059" w:val="left" w:leader="none"/>
        </w:tabs>
        <w:spacing w:line="276" w:lineRule="auto" w:before="40" w:after="0"/>
        <w:ind w:left="1059" w:right="631" w:hanging="360"/>
        <w:jc w:val="both"/>
        <w:rPr>
          <w:sz w:val="22"/>
        </w:rPr>
      </w:pPr>
      <w:r>
        <w:rPr>
          <w:sz w:val="22"/>
        </w:rPr>
        <w:t>Collaborate with the Department of Elementary and Secondary Education to align efforts on addressing book challenges, protests, and hate crimes against state and school libraries and </w:t>
      </w:r>
      <w:r>
        <w:rPr>
          <w:spacing w:val="-2"/>
          <w:sz w:val="22"/>
        </w:rPr>
        <w:t>staff.</w:t>
      </w:r>
    </w:p>
    <w:p>
      <w:pPr>
        <w:pStyle w:val="BodyText"/>
        <w:rPr>
          <w:sz w:val="20"/>
        </w:rPr>
      </w:pPr>
    </w:p>
    <w:p>
      <w:pPr>
        <w:pStyle w:val="BodyText"/>
        <w:spacing w:before="67"/>
        <w:rPr>
          <w:sz w:val="20"/>
        </w:rPr>
      </w:pPr>
      <w:r>
        <w:rPr/>
        <mc:AlternateContent>
          <mc:Choice Requires="wps">
            <w:drawing>
              <wp:anchor distT="0" distB="0" distL="0" distR="0" allowOverlap="1" layoutInCell="1" locked="0" behindDoc="1" simplePos="0" relativeHeight="487729152">
                <wp:simplePos x="0" y="0"/>
                <wp:positionH relativeFrom="page">
                  <wp:posOffset>889000</wp:posOffset>
                </wp:positionH>
                <wp:positionV relativeFrom="paragraph">
                  <wp:posOffset>213386</wp:posOffset>
                </wp:positionV>
                <wp:extent cx="6350" cy="12700"/>
                <wp:effectExtent l="0" t="0" r="0" b="0"/>
                <wp:wrapTopAndBottom/>
                <wp:docPr id="678" name="Graphic 678"/>
                <wp:cNvGraphicFramePr>
                  <a:graphicFrameLocks/>
                </wp:cNvGraphicFramePr>
                <a:graphic>
                  <a:graphicData uri="http://schemas.microsoft.com/office/word/2010/wordprocessingShape">
                    <wps:wsp>
                      <wps:cNvPr id="678" name="Graphic 678"/>
                      <wps:cNvSpPr/>
                      <wps:spPr>
                        <a:xfrm>
                          <a:off x="0" y="0"/>
                          <a:ext cx="6350" cy="12700"/>
                        </a:xfrm>
                        <a:custGeom>
                          <a:avLst/>
                          <a:gdLst/>
                          <a:ahLst/>
                          <a:cxnLst/>
                          <a:rect l="l" t="t" r="r" b="b"/>
                          <a:pathLst>
                            <a:path w="6350" h="12700">
                              <a:moveTo>
                                <a:pt x="6337" y="0"/>
                              </a:moveTo>
                              <a:lnTo>
                                <a:pt x="0" y="0"/>
                              </a:lnTo>
                              <a:lnTo>
                                <a:pt x="0" y="12191"/>
                              </a:lnTo>
                              <a:lnTo>
                                <a:pt x="6337" y="12191"/>
                              </a:lnTo>
                              <a:lnTo>
                                <a:pt x="6337" y="0"/>
                              </a:lnTo>
                              <a:close/>
                            </a:path>
                          </a:pathLst>
                        </a:custGeom>
                        <a:solidFill>
                          <a:srgbClr val="4F81BB"/>
                        </a:solidFill>
                      </wps:spPr>
                      <wps:bodyPr wrap="square" lIns="0" tIns="0" rIns="0" bIns="0" rtlCol="0">
                        <a:prstTxWarp prst="textNoShape">
                          <a:avLst/>
                        </a:prstTxWarp>
                        <a:noAutofit/>
                      </wps:bodyPr>
                    </wps:wsp>
                  </a:graphicData>
                </a:graphic>
              </wp:anchor>
            </w:drawing>
          </mc:Choice>
          <mc:Fallback>
            <w:pict>
              <v:rect style="position:absolute;margin-left:70pt;margin-top:16.802078pt;width:.499pt;height:.96pt;mso-position-horizontal-relative:page;mso-position-vertical-relative:paragraph;z-index:-15587328;mso-wrap-distance-left:0;mso-wrap-distance-right:0" id="docshape575" filled="true" fillcolor="#4f81bb" stroked="false">
                <v:fill type="solid"/>
                <w10:wrap type="topAndBottom"/>
              </v:rect>
            </w:pict>
          </mc:Fallback>
        </mc:AlternateContent>
      </w:r>
    </w:p>
    <w:p>
      <w:pPr>
        <w:spacing w:before="0"/>
        <w:ind w:left="483" w:right="0" w:firstLine="0"/>
        <w:jc w:val="left"/>
        <w:rPr>
          <w:sz w:val="28"/>
        </w:rPr>
      </w:pPr>
      <w:r>
        <w:rPr>
          <w:color w:val="365F91"/>
          <w:spacing w:val="-2"/>
          <w:sz w:val="28"/>
        </w:rPr>
        <w:t>Introduction</w:t>
      </w:r>
    </w:p>
    <w:p>
      <w:pPr>
        <w:pStyle w:val="BodyText"/>
        <w:spacing w:before="10"/>
        <w:rPr>
          <w:sz w:val="3"/>
        </w:rPr>
      </w:pPr>
      <w:r>
        <w:rPr/>
        <mc:AlternateContent>
          <mc:Choice Requires="wps">
            <w:drawing>
              <wp:anchor distT="0" distB="0" distL="0" distR="0" allowOverlap="1" layoutInCell="1" locked="0" behindDoc="1" simplePos="0" relativeHeight="487729664">
                <wp:simplePos x="0" y="0"/>
                <wp:positionH relativeFrom="page">
                  <wp:posOffset>897636</wp:posOffset>
                </wp:positionH>
                <wp:positionV relativeFrom="paragraph">
                  <wp:posOffset>45315</wp:posOffset>
                </wp:positionV>
                <wp:extent cx="5976620" cy="6350"/>
                <wp:effectExtent l="0" t="0" r="0" b="0"/>
                <wp:wrapTopAndBottom/>
                <wp:docPr id="679" name="Graphic 679"/>
                <wp:cNvGraphicFramePr>
                  <a:graphicFrameLocks/>
                </wp:cNvGraphicFramePr>
                <a:graphic>
                  <a:graphicData uri="http://schemas.microsoft.com/office/word/2010/wordprocessingShape">
                    <wps:wsp>
                      <wps:cNvPr id="679" name="Graphic 679"/>
                      <wps:cNvSpPr/>
                      <wps:spPr>
                        <a:xfrm>
                          <a:off x="0" y="0"/>
                          <a:ext cx="5976620" cy="6350"/>
                        </a:xfrm>
                        <a:custGeom>
                          <a:avLst/>
                          <a:gdLst/>
                          <a:ahLst/>
                          <a:cxnLst/>
                          <a:rect l="l" t="t" r="r" b="b"/>
                          <a:pathLst>
                            <a:path w="5976620" h="6350">
                              <a:moveTo>
                                <a:pt x="5976366" y="0"/>
                              </a:moveTo>
                              <a:lnTo>
                                <a:pt x="0" y="0"/>
                              </a:lnTo>
                              <a:lnTo>
                                <a:pt x="0" y="6108"/>
                              </a:lnTo>
                              <a:lnTo>
                                <a:pt x="5976366" y="6108"/>
                              </a:lnTo>
                              <a:lnTo>
                                <a:pt x="5976366" y="0"/>
                              </a:lnTo>
                              <a:close/>
                            </a:path>
                          </a:pathLst>
                        </a:custGeom>
                        <a:solidFill>
                          <a:srgbClr val="4F81BC"/>
                        </a:solidFill>
                      </wps:spPr>
                      <wps:bodyPr wrap="square" lIns="0" tIns="0" rIns="0" bIns="0" rtlCol="0">
                        <a:prstTxWarp prst="textNoShape">
                          <a:avLst/>
                        </a:prstTxWarp>
                        <a:noAutofit/>
                      </wps:bodyPr>
                    </wps:wsp>
                  </a:graphicData>
                </a:graphic>
              </wp:anchor>
            </w:drawing>
          </mc:Choice>
          <mc:Fallback>
            <w:pict>
              <v:rect style="position:absolute;margin-left:70.680pt;margin-top:3.568156pt;width:470.58pt;height:.481pt;mso-position-horizontal-relative:page;mso-position-vertical-relative:paragraph;z-index:-15586816;mso-wrap-distance-left:0;mso-wrap-distance-right:0" id="docshape576" filled="true" fillcolor="#4f81bc" stroked="false">
                <v:fill type="solid"/>
                <w10:wrap type="topAndBottom"/>
              </v:rect>
            </w:pict>
          </mc:Fallback>
        </mc:AlternateContent>
      </w:r>
    </w:p>
    <w:p>
      <w:pPr>
        <w:pStyle w:val="BodyText"/>
        <w:spacing w:line="276" w:lineRule="auto" w:before="241"/>
        <w:ind w:left="483" w:right="341"/>
        <w:jc w:val="both"/>
      </w:pPr>
      <w:r>
        <w:rPr/>
        <w:t>The</w:t>
      </w:r>
      <w:r>
        <w:rPr>
          <w:spacing w:val="-10"/>
        </w:rPr>
        <w:t> </w:t>
      </w:r>
      <w:r>
        <w:rPr/>
        <w:t>Massachusetts</w:t>
      </w:r>
      <w:r>
        <w:rPr>
          <w:spacing w:val="-10"/>
        </w:rPr>
        <w:t> </w:t>
      </w:r>
      <w:r>
        <w:rPr/>
        <w:t>Board</w:t>
      </w:r>
      <w:r>
        <w:rPr>
          <w:spacing w:val="-9"/>
        </w:rPr>
        <w:t> </w:t>
      </w:r>
      <w:r>
        <w:rPr/>
        <w:t>of</w:t>
      </w:r>
      <w:r>
        <w:rPr>
          <w:spacing w:val="-10"/>
        </w:rPr>
        <w:t> </w:t>
      </w:r>
      <w:r>
        <w:rPr/>
        <w:t>Library</w:t>
      </w:r>
      <w:r>
        <w:rPr>
          <w:spacing w:val="-10"/>
        </w:rPr>
        <w:t> </w:t>
      </w:r>
      <w:r>
        <w:rPr/>
        <w:t>Commissioners</w:t>
      </w:r>
      <w:r>
        <w:rPr>
          <w:spacing w:val="-8"/>
        </w:rPr>
        <w:t> </w:t>
      </w:r>
      <w:r>
        <w:rPr/>
        <w:t>(MBLC)</w:t>
      </w:r>
      <w:r>
        <w:rPr>
          <w:spacing w:val="-9"/>
        </w:rPr>
        <w:t> </w:t>
      </w:r>
      <w:r>
        <w:rPr/>
        <w:t>is</w:t>
      </w:r>
      <w:r>
        <w:rPr>
          <w:spacing w:val="-10"/>
        </w:rPr>
        <w:t> </w:t>
      </w:r>
      <w:r>
        <w:rPr/>
        <w:t>the</w:t>
      </w:r>
      <w:r>
        <w:rPr>
          <w:spacing w:val="-8"/>
        </w:rPr>
        <w:t> </w:t>
      </w:r>
      <w:r>
        <w:rPr/>
        <w:t>state</w:t>
      </w:r>
      <w:r>
        <w:rPr>
          <w:spacing w:val="-10"/>
        </w:rPr>
        <w:t> </w:t>
      </w:r>
      <w:r>
        <w:rPr/>
        <w:t>agency</w:t>
      </w:r>
      <w:r>
        <w:rPr>
          <w:spacing w:val="-7"/>
        </w:rPr>
        <w:t> </w:t>
      </w:r>
      <w:r>
        <w:rPr/>
        <w:t>responsible</w:t>
      </w:r>
      <w:r>
        <w:rPr>
          <w:spacing w:val="-10"/>
        </w:rPr>
        <w:t> </w:t>
      </w:r>
      <w:r>
        <w:rPr/>
        <w:t>for</w:t>
      </w:r>
      <w:r>
        <w:rPr>
          <w:spacing w:val="-10"/>
        </w:rPr>
        <w:t> </w:t>
      </w:r>
      <w:r>
        <w:rPr/>
        <w:t>organizing, developing, coordinating, and improving library services throughout the Commonwealth. Its commissioners and staff work to develop policy and provide local and statewide programming and services for libraries and residents. Libraries are a vital resource for LGBTQ youth, caregivers, and educators</w:t>
      </w:r>
      <w:r>
        <w:rPr>
          <w:spacing w:val="-13"/>
        </w:rPr>
        <w:t> </w:t>
      </w:r>
      <w:r>
        <w:rPr/>
        <w:t>for</w:t>
      </w:r>
      <w:r>
        <w:rPr>
          <w:spacing w:val="-12"/>
        </w:rPr>
        <w:t> </w:t>
      </w:r>
      <w:r>
        <w:rPr/>
        <w:t>culturally-inclusive</w:t>
      </w:r>
      <w:r>
        <w:rPr>
          <w:spacing w:val="-13"/>
        </w:rPr>
        <w:t> </w:t>
      </w:r>
      <w:r>
        <w:rPr/>
        <w:t>books,</w:t>
      </w:r>
      <w:r>
        <w:rPr>
          <w:spacing w:val="-12"/>
        </w:rPr>
        <w:t> </w:t>
      </w:r>
      <w:r>
        <w:rPr/>
        <w:t>community</w:t>
      </w:r>
      <w:r>
        <w:rPr>
          <w:spacing w:val="-13"/>
        </w:rPr>
        <w:t> </w:t>
      </w:r>
      <w:r>
        <w:rPr/>
        <w:t>programming,</w:t>
      </w:r>
      <w:r>
        <w:rPr>
          <w:spacing w:val="-12"/>
        </w:rPr>
        <w:t> </w:t>
      </w:r>
      <w:r>
        <w:rPr/>
        <w:t>and</w:t>
      </w:r>
      <w:r>
        <w:rPr>
          <w:spacing w:val="-13"/>
        </w:rPr>
        <w:t> </w:t>
      </w:r>
      <w:r>
        <w:rPr/>
        <w:t>information</w:t>
      </w:r>
      <w:r>
        <w:rPr>
          <w:spacing w:val="-12"/>
        </w:rPr>
        <w:t> </w:t>
      </w:r>
      <w:r>
        <w:rPr/>
        <w:t>technology.</w:t>
      </w:r>
      <w:r>
        <w:rPr>
          <w:spacing w:val="-12"/>
        </w:rPr>
        <w:t> </w:t>
      </w:r>
      <w:r>
        <w:rPr/>
        <w:t>While</w:t>
      </w:r>
      <w:r>
        <w:rPr>
          <w:spacing w:val="-13"/>
        </w:rPr>
        <w:t> </w:t>
      </w:r>
      <w:r>
        <w:rPr/>
        <w:t>the number of LGBTQ youth accessing library services is difficult to capture, libraries often cultivate a wide array of diverse books that center queer joy and belonging.</w:t>
      </w:r>
    </w:p>
    <w:p>
      <w:pPr>
        <w:pStyle w:val="BodyText"/>
        <w:spacing w:line="276" w:lineRule="auto" w:before="240"/>
        <w:ind w:left="483" w:right="341"/>
        <w:jc w:val="both"/>
      </w:pPr>
      <w:r>
        <w:rPr/>
        <w:t>Libraries</w:t>
      </w:r>
      <w:r>
        <w:rPr>
          <w:spacing w:val="-5"/>
        </w:rPr>
        <w:t> </w:t>
      </w:r>
      <w:r>
        <w:rPr/>
        <w:t>provide</w:t>
      </w:r>
      <w:r>
        <w:rPr>
          <w:spacing w:val="-4"/>
        </w:rPr>
        <w:t> </w:t>
      </w:r>
      <w:r>
        <w:rPr/>
        <w:t>essential</w:t>
      </w:r>
      <w:r>
        <w:rPr>
          <w:spacing w:val="-3"/>
        </w:rPr>
        <w:t> </w:t>
      </w:r>
      <w:r>
        <w:rPr/>
        <w:t>access</w:t>
      </w:r>
      <w:r>
        <w:rPr>
          <w:spacing w:val="-4"/>
        </w:rPr>
        <w:t> </w:t>
      </w:r>
      <w:r>
        <w:rPr/>
        <w:t>to</w:t>
      </w:r>
      <w:r>
        <w:rPr>
          <w:spacing w:val="-5"/>
        </w:rPr>
        <w:t> </w:t>
      </w:r>
      <w:r>
        <w:rPr/>
        <w:t>knowledge,</w:t>
      </w:r>
      <w:r>
        <w:rPr>
          <w:spacing w:val="-4"/>
        </w:rPr>
        <w:t> </w:t>
      </w:r>
      <w:r>
        <w:rPr/>
        <w:t>and</w:t>
      </w:r>
      <w:r>
        <w:rPr>
          <w:spacing w:val="-3"/>
        </w:rPr>
        <w:t> </w:t>
      </w:r>
      <w:r>
        <w:rPr/>
        <w:t>often</w:t>
      </w:r>
      <w:r>
        <w:rPr>
          <w:spacing w:val="-6"/>
        </w:rPr>
        <w:t> </w:t>
      </w:r>
      <w:r>
        <w:rPr/>
        <w:t>act</w:t>
      </w:r>
      <w:r>
        <w:rPr>
          <w:spacing w:val="-5"/>
        </w:rPr>
        <w:t> </w:t>
      </w:r>
      <w:r>
        <w:rPr/>
        <w:t>as</w:t>
      </w:r>
      <w:r>
        <w:rPr>
          <w:spacing w:val="-5"/>
        </w:rPr>
        <w:t> </w:t>
      </w:r>
      <w:r>
        <w:rPr/>
        <w:t>a</w:t>
      </w:r>
      <w:r>
        <w:rPr>
          <w:spacing w:val="-4"/>
        </w:rPr>
        <w:t> </w:t>
      </w:r>
      <w:r>
        <w:rPr/>
        <w:t>safe</w:t>
      </w:r>
      <w:r>
        <w:rPr>
          <w:spacing w:val="-4"/>
        </w:rPr>
        <w:t> </w:t>
      </w:r>
      <w:r>
        <w:rPr/>
        <w:t>haven</w:t>
      </w:r>
      <w:r>
        <w:rPr>
          <w:spacing w:val="-6"/>
        </w:rPr>
        <w:t> </w:t>
      </w:r>
      <w:r>
        <w:rPr/>
        <w:t>for</w:t>
      </w:r>
      <w:r>
        <w:rPr>
          <w:spacing w:val="-5"/>
        </w:rPr>
        <w:t> </w:t>
      </w:r>
      <w:r>
        <w:rPr/>
        <w:t>LGBTQ</w:t>
      </w:r>
      <w:r>
        <w:rPr>
          <w:spacing w:val="-4"/>
        </w:rPr>
        <w:t> </w:t>
      </w:r>
      <w:r>
        <w:rPr/>
        <w:t>youth</w:t>
      </w:r>
      <w:r>
        <w:rPr>
          <w:spacing w:val="-6"/>
        </w:rPr>
        <w:t> </w:t>
      </w:r>
      <w:r>
        <w:rPr/>
        <w:t>-</w:t>
      </w:r>
      <w:r>
        <w:rPr>
          <w:spacing w:val="-5"/>
        </w:rPr>
        <w:t> </w:t>
      </w:r>
      <w:r>
        <w:rPr/>
        <w:t>whether it be a school or public library - and a place of community. By providing a space where youth can find LGBTQ-themed books or materials, librarians facilitate a learning environment where LGBTQ youth feel affirmed and welcome, and straight, cisgender youth can find literature to better understand LGBTQ history and culture</w:t>
      </w:r>
      <w:hyperlink w:history="true" w:anchor="_bookmark648">
        <w:r>
          <w:rPr/>
          <w:t>.</w:t>
        </w:r>
        <w:r>
          <w:rPr>
            <w:vertAlign w:val="superscript"/>
          </w:rPr>
          <w:t>1</w:t>
        </w:r>
      </w:hyperlink>
      <w:r>
        <w:rPr>
          <w:vertAlign w:val="baseline"/>
        </w:rPr>
        <w:t> Programs, like drag queen story hours or Pride celebrations, are increasingly being offered</w:t>
      </w:r>
      <w:r>
        <w:rPr>
          <w:spacing w:val="-10"/>
          <w:vertAlign w:val="baseline"/>
        </w:rPr>
        <w:t> </w:t>
      </w:r>
      <w:r>
        <w:rPr>
          <w:vertAlign w:val="baseline"/>
        </w:rPr>
        <w:t>across</w:t>
      </w:r>
      <w:r>
        <w:rPr>
          <w:spacing w:val="-10"/>
          <w:vertAlign w:val="baseline"/>
        </w:rPr>
        <w:t> </w:t>
      </w:r>
      <w:r>
        <w:rPr>
          <w:vertAlign w:val="baseline"/>
        </w:rPr>
        <w:t>the</w:t>
      </w:r>
      <w:r>
        <w:rPr>
          <w:spacing w:val="-9"/>
          <w:vertAlign w:val="baseline"/>
        </w:rPr>
        <w:t> </w:t>
      </w:r>
      <w:r>
        <w:rPr>
          <w:vertAlign w:val="baseline"/>
        </w:rPr>
        <w:t>state,</w:t>
      </w:r>
      <w:r>
        <w:rPr>
          <w:spacing w:val="-10"/>
          <w:vertAlign w:val="baseline"/>
        </w:rPr>
        <w:t> </w:t>
      </w:r>
      <w:r>
        <w:rPr>
          <w:vertAlign w:val="baseline"/>
        </w:rPr>
        <w:t>and</w:t>
      </w:r>
      <w:r>
        <w:rPr>
          <w:spacing w:val="-9"/>
          <w:vertAlign w:val="baseline"/>
        </w:rPr>
        <w:t> </w:t>
      </w:r>
      <w:r>
        <w:rPr>
          <w:vertAlign w:val="baseline"/>
        </w:rPr>
        <w:t>can</w:t>
      </w:r>
      <w:r>
        <w:rPr>
          <w:spacing w:val="-9"/>
          <w:vertAlign w:val="baseline"/>
        </w:rPr>
        <w:t> </w:t>
      </w:r>
      <w:r>
        <w:rPr>
          <w:vertAlign w:val="baseline"/>
        </w:rPr>
        <w:t>further</w:t>
      </w:r>
      <w:r>
        <w:rPr>
          <w:spacing w:val="-10"/>
          <w:vertAlign w:val="baseline"/>
        </w:rPr>
        <w:t> </w:t>
      </w:r>
      <w:r>
        <w:rPr>
          <w:vertAlign w:val="baseline"/>
        </w:rPr>
        <w:t>provide</w:t>
      </w:r>
      <w:r>
        <w:rPr>
          <w:spacing w:val="-9"/>
          <w:vertAlign w:val="baseline"/>
        </w:rPr>
        <w:t> </w:t>
      </w:r>
      <w:r>
        <w:rPr>
          <w:vertAlign w:val="baseline"/>
        </w:rPr>
        <w:t>a</w:t>
      </w:r>
      <w:r>
        <w:rPr>
          <w:spacing w:val="-10"/>
          <w:vertAlign w:val="baseline"/>
        </w:rPr>
        <w:t> </w:t>
      </w:r>
      <w:r>
        <w:rPr>
          <w:vertAlign w:val="baseline"/>
        </w:rPr>
        <w:t>space</w:t>
      </w:r>
      <w:r>
        <w:rPr>
          <w:spacing w:val="-10"/>
          <w:vertAlign w:val="baseline"/>
        </w:rPr>
        <w:t> </w:t>
      </w:r>
      <w:r>
        <w:rPr>
          <w:vertAlign w:val="baseline"/>
        </w:rPr>
        <w:t>for</w:t>
      </w:r>
      <w:r>
        <w:rPr>
          <w:spacing w:val="-9"/>
          <w:vertAlign w:val="baseline"/>
        </w:rPr>
        <w:t> </w:t>
      </w:r>
      <w:r>
        <w:rPr>
          <w:vertAlign w:val="baseline"/>
        </w:rPr>
        <w:t>LGBTQ</w:t>
      </w:r>
      <w:r>
        <w:rPr>
          <w:spacing w:val="-9"/>
          <w:vertAlign w:val="baseline"/>
        </w:rPr>
        <w:t> </w:t>
      </w:r>
      <w:r>
        <w:rPr>
          <w:vertAlign w:val="baseline"/>
        </w:rPr>
        <w:t>community</w:t>
      </w:r>
      <w:r>
        <w:rPr>
          <w:spacing w:val="-9"/>
          <w:vertAlign w:val="baseline"/>
        </w:rPr>
        <w:t> </w:t>
      </w:r>
      <w:r>
        <w:rPr>
          <w:vertAlign w:val="baseline"/>
        </w:rPr>
        <w:t>for</w:t>
      </w:r>
      <w:r>
        <w:rPr>
          <w:spacing w:val="-10"/>
          <w:vertAlign w:val="baseline"/>
        </w:rPr>
        <w:t> </w:t>
      </w:r>
      <w:r>
        <w:rPr>
          <w:vertAlign w:val="baseline"/>
        </w:rPr>
        <w:t>youth</w:t>
      </w:r>
      <w:r>
        <w:rPr>
          <w:spacing w:val="-9"/>
          <w:vertAlign w:val="baseline"/>
        </w:rPr>
        <w:t> </w:t>
      </w:r>
      <w:r>
        <w:rPr>
          <w:vertAlign w:val="baseline"/>
        </w:rPr>
        <w:t>to</w:t>
      </w:r>
      <w:r>
        <w:rPr>
          <w:spacing w:val="-8"/>
          <w:vertAlign w:val="baseline"/>
        </w:rPr>
        <w:t> </w:t>
      </w:r>
      <w:r>
        <w:rPr>
          <w:vertAlign w:val="baseline"/>
        </w:rPr>
        <w:t>feel</w:t>
      </w:r>
      <w:r>
        <w:rPr>
          <w:spacing w:val="-10"/>
          <w:vertAlign w:val="baseline"/>
        </w:rPr>
        <w:t> </w:t>
      </w:r>
      <w:r>
        <w:rPr>
          <w:vertAlign w:val="baseline"/>
        </w:rPr>
        <w:t>affirmed.</w:t>
      </w:r>
    </w:p>
    <w:p>
      <w:pPr>
        <w:pStyle w:val="BodyText"/>
        <w:spacing w:line="276" w:lineRule="auto" w:before="241"/>
        <w:ind w:left="483" w:right="342"/>
        <w:jc w:val="both"/>
      </w:pPr>
      <w:r>
        <w:rPr/>
        <w:t>Additionally,</w:t>
      </w:r>
      <w:r>
        <w:rPr>
          <w:spacing w:val="-1"/>
        </w:rPr>
        <w:t> </w:t>
      </w:r>
      <w:r>
        <w:rPr/>
        <w:t>public</w:t>
      </w:r>
      <w:r>
        <w:rPr>
          <w:spacing w:val="-3"/>
        </w:rPr>
        <w:t> </w:t>
      </w:r>
      <w:r>
        <w:rPr/>
        <w:t>libraries</w:t>
      </w:r>
      <w:r>
        <w:rPr>
          <w:spacing w:val="-2"/>
        </w:rPr>
        <w:t> </w:t>
      </w:r>
      <w:r>
        <w:rPr/>
        <w:t>can</w:t>
      </w:r>
      <w:r>
        <w:rPr>
          <w:spacing w:val="-3"/>
        </w:rPr>
        <w:t> </w:t>
      </w:r>
      <w:r>
        <w:rPr/>
        <w:t>also</w:t>
      </w:r>
      <w:r>
        <w:rPr>
          <w:spacing w:val="-2"/>
        </w:rPr>
        <w:t> </w:t>
      </w:r>
      <w:r>
        <w:rPr/>
        <w:t>be a</w:t>
      </w:r>
      <w:r>
        <w:rPr>
          <w:spacing w:val="-3"/>
        </w:rPr>
        <w:t> </w:t>
      </w:r>
      <w:r>
        <w:rPr/>
        <w:t>key</w:t>
      </w:r>
      <w:r>
        <w:rPr>
          <w:spacing w:val="-3"/>
        </w:rPr>
        <w:t> </w:t>
      </w:r>
      <w:r>
        <w:rPr/>
        <w:t>resource</w:t>
      </w:r>
      <w:r>
        <w:rPr>
          <w:spacing w:val="-3"/>
        </w:rPr>
        <w:t> </w:t>
      </w:r>
      <w:r>
        <w:rPr/>
        <w:t>for</w:t>
      </w:r>
      <w:r>
        <w:rPr>
          <w:spacing w:val="-3"/>
        </w:rPr>
        <w:t> </w:t>
      </w:r>
      <w:r>
        <w:rPr/>
        <w:t>youth</w:t>
      </w:r>
      <w:r>
        <w:rPr>
          <w:spacing w:val="-2"/>
        </w:rPr>
        <w:t> </w:t>
      </w:r>
      <w:r>
        <w:rPr/>
        <w:t>experiencing</w:t>
      </w:r>
      <w:r>
        <w:rPr>
          <w:spacing w:val="-3"/>
        </w:rPr>
        <w:t> </w:t>
      </w:r>
      <w:r>
        <w:rPr/>
        <w:t>homelessness,</w:t>
      </w:r>
      <w:r>
        <w:rPr>
          <w:spacing w:val="-2"/>
        </w:rPr>
        <w:t> </w:t>
      </w:r>
      <w:r>
        <w:rPr/>
        <w:t>as</w:t>
      </w:r>
      <w:r>
        <w:rPr>
          <w:spacing w:val="-2"/>
        </w:rPr>
        <w:t> </w:t>
      </w:r>
      <w:r>
        <w:rPr/>
        <w:t>they</w:t>
      </w:r>
      <w:r>
        <w:rPr>
          <w:spacing w:val="-2"/>
        </w:rPr>
        <w:t> </w:t>
      </w:r>
      <w:r>
        <w:rPr/>
        <w:t>are open during the day when shelters are often closed and may provide free and accessible programming for underserved populations. For example, the American Library Association (ALA) notes that library programming including computer courses, arts and crafts, and educational workshops on rental assistance</w:t>
      </w:r>
      <w:r>
        <w:rPr>
          <w:spacing w:val="-9"/>
        </w:rPr>
        <w:t> </w:t>
      </w:r>
      <w:r>
        <w:rPr/>
        <w:t>and</w:t>
      </w:r>
      <w:r>
        <w:rPr>
          <w:spacing w:val="-9"/>
        </w:rPr>
        <w:t> </w:t>
      </w:r>
      <w:r>
        <w:rPr/>
        <w:t>applying</w:t>
      </w:r>
      <w:r>
        <w:rPr>
          <w:spacing w:val="-9"/>
        </w:rPr>
        <w:t> </w:t>
      </w:r>
      <w:r>
        <w:rPr/>
        <w:t>for</w:t>
      </w:r>
      <w:r>
        <w:rPr>
          <w:spacing w:val="-9"/>
        </w:rPr>
        <w:t> </w:t>
      </w:r>
      <w:r>
        <w:rPr/>
        <w:t>government</w:t>
      </w:r>
      <w:r>
        <w:rPr>
          <w:spacing w:val="-8"/>
        </w:rPr>
        <w:t> </w:t>
      </w:r>
      <w:r>
        <w:rPr/>
        <w:t>benefits</w:t>
      </w:r>
      <w:r>
        <w:rPr>
          <w:spacing w:val="-7"/>
        </w:rPr>
        <w:t> </w:t>
      </w:r>
      <w:r>
        <w:rPr/>
        <w:t>can</w:t>
      </w:r>
      <w:r>
        <w:rPr>
          <w:spacing w:val="-8"/>
        </w:rPr>
        <w:t> </w:t>
      </w:r>
      <w:r>
        <w:rPr/>
        <w:t>be</w:t>
      </w:r>
      <w:r>
        <w:rPr>
          <w:spacing w:val="-9"/>
        </w:rPr>
        <w:t> </w:t>
      </w:r>
      <w:r>
        <w:rPr/>
        <w:t>beneficial</w:t>
      </w:r>
      <w:r>
        <w:rPr>
          <w:spacing w:val="-7"/>
        </w:rPr>
        <w:t> </w:t>
      </w:r>
      <w:r>
        <w:rPr/>
        <w:t>to</w:t>
      </w:r>
      <w:r>
        <w:rPr>
          <w:spacing w:val="-8"/>
        </w:rPr>
        <w:t> </w:t>
      </w:r>
      <w:r>
        <w:rPr/>
        <w:t>people</w:t>
      </w:r>
      <w:r>
        <w:rPr>
          <w:spacing w:val="-8"/>
        </w:rPr>
        <w:t> </w:t>
      </w:r>
      <w:r>
        <w:rPr/>
        <w:t>experiencing</w:t>
      </w:r>
      <w:r>
        <w:rPr>
          <w:spacing w:val="-9"/>
        </w:rPr>
        <w:t> </w:t>
      </w:r>
      <w:r>
        <w:rPr/>
        <w:t>homelessness</w:t>
      </w:r>
      <w:hyperlink w:history="true" w:anchor="_bookmark649">
        <w:r>
          <w:rPr/>
          <w:t>.</w:t>
        </w:r>
        <w:r>
          <w:rPr>
            <w:vertAlign w:val="superscript"/>
          </w:rPr>
          <w:t>2</w:t>
        </w:r>
      </w:hyperlink>
      <w:r>
        <w:rPr>
          <w:vertAlign w:val="baseline"/>
        </w:rPr>
        <w:t> Libraries</w:t>
      </w:r>
      <w:r>
        <w:rPr>
          <w:spacing w:val="-4"/>
          <w:vertAlign w:val="baseline"/>
        </w:rPr>
        <w:t> </w:t>
      </w:r>
      <w:r>
        <w:rPr>
          <w:vertAlign w:val="baseline"/>
        </w:rPr>
        <w:t>can</w:t>
      </w:r>
      <w:r>
        <w:rPr>
          <w:spacing w:val="-2"/>
          <w:vertAlign w:val="baseline"/>
        </w:rPr>
        <w:t> </w:t>
      </w:r>
      <w:r>
        <w:rPr>
          <w:vertAlign w:val="baseline"/>
        </w:rPr>
        <w:t>also</w:t>
      </w:r>
      <w:r>
        <w:rPr>
          <w:spacing w:val="-3"/>
          <w:vertAlign w:val="baseline"/>
        </w:rPr>
        <w:t> </w:t>
      </w:r>
      <w:r>
        <w:rPr>
          <w:vertAlign w:val="baseline"/>
        </w:rPr>
        <w:t>connect</w:t>
      </w:r>
      <w:r>
        <w:rPr>
          <w:spacing w:val="-3"/>
          <w:vertAlign w:val="baseline"/>
        </w:rPr>
        <w:t> </w:t>
      </w:r>
      <w:r>
        <w:rPr>
          <w:vertAlign w:val="baseline"/>
        </w:rPr>
        <w:t>youth</w:t>
      </w:r>
      <w:r>
        <w:rPr>
          <w:spacing w:val="-4"/>
          <w:vertAlign w:val="baseline"/>
        </w:rPr>
        <w:t> </w:t>
      </w:r>
      <w:r>
        <w:rPr>
          <w:vertAlign w:val="baseline"/>
        </w:rPr>
        <w:t>experiencing</w:t>
      </w:r>
      <w:r>
        <w:rPr>
          <w:spacing w:val="-3"/>
          <w:vertAlign w:val="baseline"/>
        </w:rPr>
        <w:t> </w:t>
      </w:r>
      <w:r>
        <w:rPr>
          <w:vertAlign w:val="baseline"/>
        </w:rPr>
        <w:t>homelessness</w:t>
      </w:r>
      <w:r>
        <w:rPr>
          <w:spacing w:val="-4"/>
          <w:vertAlign w:val="baseline"/>
        </w:rPr>
        <w:t> </w:t>
      </w:r>
      <w:r>
        <w:rPr>
          <w:vertAlign w:val="baseline"/>
        </w:rPr>
        <w:t>or</w:t>
      </w:r>
      <w:r>
        <w:rPr>
          <w:spacing w:val="-4"/>
          <w:vertAlign w:val="baseline"/>
        </w:rPr>
        <w:t> </w:t>
      </w:r>
      <w:r>
        <w:rPr>
          <w:vertAlign w:val="baseline"/>
        </w:rPr>
        <w:t>housing</w:t>
      </w:r>
      <w:r>
        <w:rPr>
          <w:spacing w:val="-4"/>
          <w:vertAlign w:val="baseline"/>
        </w:rPr>
        <w:t> </w:t>
      </w:r>
      <w:r>
        <w:rPr>
          <w:vertAlign w:val="baseline"/>
        </w:rPr>
        <w:t>instability</w:t>
      </w:r>
      <w:r>
        <w:rPr>
          <w:spacing w:val="-4"/>
          <w:vertAlign w:val="baseline"/>
        </w:rPr>
        <w:t> </w:t>
      </w:r>
      <w:r>
        <w:rPr>
          <w:vertAlign w:val="baseline"/>
        </w:rPr>
        <w:t>with</w:t>
      </w:r>
      <w:r>
        <w:rPr>
          <w:spacing w:val="-4"/>
          <w:vertAlign w:val="baseline"/>
        </w:rPr>
        <w:t> </w:t>
      </w:r>
      <w:r>
        <w:rPr>
          <w:vertAlign w:val="baseline"/>
        </w:rPr>
        <w:t>local</w:t>
      </w:r>
      <w:r>
        <w:rPr>
          <w:spacing w:val="-4"/>
          <w:vertAlign w:val="baseline"/>
        </w:rPr>
        <w:t> </w:t>
      </w:r>
      <w:r>
        <w:rPr>
          <w:vertAlign w:val="baseline"/>
        </w:rPr>
        <w:t>resources</w:t>
      </w:r>
      <w:r>
        <w:rPr>
          <w:spacing w:val="-4"/>
          <w:vertAlign w:val="baseline"/>
        </w:rPr>
        <w:t> </w:t>
      </w:r>
      <w:r>
        <w:rPr>
          <w:vertAlign w:val="baseline"/>
        </w:rPr>
        <w:t>or opportunities through flyer handouts or online.</w:t>
      </w:r>
      <w:hyperlink w:history="true" w:anchor="_bookmark650">
        <w:r>
          <w:rPr>
            <w:vertAlign w:val="superscript"/>
          </w:rPr>
          <w:t>3</w:t>
        </w:r>
      </w:hyperlink>
    </w:p>
    <w:p>
      <w:pPr>
        <w:spacing w:after="0" w:line="276" w:lineRule="auto"/>
        <w:jc w:val="both"/>
        <w:sectPr>
          <w:headerReference w:type="default" r:id="rId765"/>
          <w:footerReference w:type="default" r:id="rId766"/>
          <w:pgSz w:w="12240" w:h="15840"/>
          <w:pgMar w:header="804" w:footer="1260" w:top="1000" w:bottom="1460" w:left="960" w:right="1100"/>
        </w:sectPr>
      </w:pPr>
    </w:p>
    <w:p>
      <w:pPr>
        <w:pStyle w:val="BodyText"/>
        <w:spacing w:before="98"/>
      </w:pPr>
    </w:p>
    <w:p>
      <w:pPr>
        <w:pStyle w:val="BodyText"/>
        <w:spacing w:line="276" w:lineRule="auto"/>
        <w:ind w:left="483" w:right="342"/>
        <w:jc w:val="both"/>
      </w:pPr>
      <w:r>
        <w:rPr/>
        <w:t>Over</w:t>
      </w:r>
      <w:r>
        <w:rPr>
          <w:spacing w:val="-9"/>
        </w:rPr>
        <w:t> </w:t>
      </w:r>
      <w:r>
        <w:rPr/>
        <w:t>the</w:t>
      </w:r>
      <w:r>
        <w:rPr>
          <w:spacing w:val="-9"/>
        </w:rPr>
        <w:t> </w:t>
      </w:r>
      <w:r>
        <w:rPr/>
        <w:t>last</w:t>
      </w:r>
      <w:r>
        <w:rPr>
          <w:spacing w:val="-7"/>
        </w:rPr>
        <w:t> </w:t>
      </w:r>
      <w:r>
        <w:rPr/>
        <w:t>several</w:t>
      </w:r>
      <w:r>
        <w:rPr>
          <w:spacing w:val="-9"/>
        </w:rPr>
        <w:t> </w:t>
      </w:r>
      <w:r>
        <w:rPr/>
        <w:t>years,</w:t>
      </w:r>
      <w:r>
        <w:rPr>
          <w:spacing w:val="-9"/>
        </w:rPr>
        <w:t> </w:t>
      </w:r>
      <w:r>
        <w:rPr/>
        <w:t>school</w:t>
      </w:r>
      <w:r>
        <w:rPr>
          <w:spacing w:val="-9"/>
        </w:rPr>
        <w:t> </w:t>
      </w:r>
      <w:r>
        <w:rPr/>
        <w:t>and</w:t>
      </w:r>
      <w:r>
        <w:rPr>
          <w:spacing w:val="-9"/>
        </w:rPr>
        <w:t> </w:t>
      </w:r>
      <w:r>
        <w:rPr/>
        <w:t>public</w:t>
      </w:r>
      <w:r>
        <w:rPr>
          <w:spacing w:val="-8"/>
        </w:rPr>
        <w:t> </w:t>
      </w:r>
      <w:r>
        <w:rPr/>
        <w:t>libraries</w:t>
      </w:r>
      <w:r>
        <w:rPr>
          <w:spacing w:val="-7"/>
        </w:rPr>
        <w:t> </w:t>
      </w:r>
      <w:r>
        <w:rPr/>
        <w:t>have</w:t>
      </w:r>
      <w:r>
        <w:rPr>
          <w:spacing w:val="-9"/>
        </w:rPr>
        <w:t> </w:t>
      </w:r>
      <w:r>
        <w:rPr/>
        <w:t>seen</w:t>
      </w:r>
      <w:r>
        <w:rPr>
          <w:spacing w:val="-9"/>
        </w:rPr>
        <w:t> </w:t>
      </w:r>
      <w:r>
        <w:rPr/>
        <w:t>a</w:t>
      </w:r>
      <w:r>
        <w:rPr>
          <w:spacing w:val="-7"/>
        </w:rPr>
        <w:t> </w:t>
      </w:r>
      <w:r>
        <w:rPr/>
        <w:t>significant</w:t>
      </w:r>
      <w:r>
        <w:rPr>
          <w:spacing w:val="-9"/>
        </w:rPr>
        <w:t> </w:t>
      </w:r>
      <w:r>
        <w:rPr/>
        <w:t>rise</w:t>
      </w:r>
      <w:r>
        <w:rPr>
          <w:spacing w:val="-8"/>
        </w:rPr>
        <w:t> </w:t>
      </w:r>
      <w:r>
        <w:rPr/>
        <w:t>in</w:t>
      </w:r>
      <w:r>
        <w:rPr>
          <w:spacing w:val="-8"/>
        </w:rPr>
        <w:t> </w:t>
      </w:r>
      <w:r>
        <w:rPr/>
        <w:t>censorship</w:t>
      </w:r>
      <w:r>
        <w:rPr>
          <w:spacing w:val="-9"/>
        </w:rPr>
        <w:t> </w:t>
      </w:r>
      <w:r>
        <w:rPr/>
        <w:t>challenges against</w:t>
      </w:r>
      <w:r>
        <w:rPr>
          <w:spacing w:val="-3"/>
        </w:rPr>
        <w:t> </w:t>
      </w:r>
      <w:r>
        <w:rPr/>
        <w:t>LGBTQ</w:t>
      </w:r>
      <w:r>
        <w:rPr>
          <w:spacing w:val="-3"/>
        </w:rPr>
        <w:t> </w:t>
      </w:r>
      <w:r>
        <w:rPr/>
        <w:t>and</w:t>
      </w:r>
      <w:r>
        <w:rPr>
          <w:spacing w:val="-2"/>
        </w:rPr>
        <w:t> </w:t>
      </w:r>
      <w:r>
        <w:rPr/>
        <w:t>BIPOC</w:t>
      </w:r>
      <w:r>
        <w:rPr>
          <w:spacing w:val="-1"/>
        </w:rPr>
        <w:t> </w:t>
      </w:r>
      <w:r>
        <w:rPr/>
        <w:t>books</w:t>
      </w:r>
      <w:r>
        <w:rPr>
          <w:spacing w:val="-3"/>
        </w:rPr>
        <w:t> </w:t>
      </w:r>
      <w:r>
        <w:rPr/>
        <w:t>and</w:t>
      </w:r>
      <w:r>
        <w:rPr>
          <w:spacing w:val="-2"/>
        </w:rPr>
        <w:t> </w:t>
      </w:r>
      <w:r>
        <w:rPr/>
        <w:t>materials.</w:t>
      </w:r>
      <w:r>
        <w:rPr>
          <w:spacing w:val="-3"/>
        </w:rPr>
        <w:t> </w:t>
      </w:r>
      <w:r>
        <w:rPr/>
        <w:t>In</w:t>
      </w:r>
      <w:r>
        <w:rPr>
          <w:spacing w:val="-2"/>
        </w:rPr>
        <w:t> </w:t>
      </w:r>
      <w:r>
        <w:rPr/>
        <w:t>March</w:t>
      </w:r>
      <w:r>
        <w:rPr>
          <w:spacing w:val="-3"/>
        </w:rPr>
        <w:t> </w:t>
      </w:r>
      <w:r>
        <w:rPr/>
        <w:t>of</w:t>
      </w:r>
      <w:r>
        <w:rPr>
          <w:spacing w:val="-3"/>
        </w:rPr>
        <w:t> </w:t>
      </w:r>
      <w:r>
        <w:rPr/>
        <w:t>2023,</w:t>
      </w:r>
      <w:r>
        <w:rPr>
          <w:spacing w:val="-1"/>
        </w:rPr>
        <w:t> </w:t>
      </w:r>
      <w:r>
        <w:rPr/>
        <w:t>the</w:t>
      </w:r>
      <w:r>
        <w:rPr>
          <w:spacing w:val="-2"/>
        </w:rPr>
        <w:t> </w:t>
      </w:r>
      <w:r>
        <w:rPr/>
        <w:t>ALA</w:t>
      </w:r>
      <w:r>
        <w:rPr>
          <w:spacing w:val="-2"/>
        </w:rPr>
        <w:t> </w:t>
      </w:r>
      <w:r>
        <w:rPr/>
        <w:t>noted</w:t>
      </w:r>
      <w:r>
        <w:rPr>
          <w:spacing w:val="-3"/>
        </w:rPr>
        <w:t> </w:t>
      </w:r>
      <w:r>
        <w:rPr/>
        <w:t>an</w:t>
      </w:r>
      <w:r>
        <w:rPr>
          <w:spacing w:val="-2"/>
        </w:rPr>
        <w:t> </w:t>
      </w:r>
      <w:r>
        <w:rPr/>
        <w:t>unparalleled</w:t>
      </w:r>
      <w:r>
        <w:rPr>
          <w:spacing w:val="-2"/>
        </w:rPr>
        <w:t> </w:t>
      </w:r>
      <w:r>
        <w:rPr/>
        <w:t>number of</w:t>
      </w:r>
      <w:r>
        <w:rPr>
          <w:spacing w:val="-13"/>
        </w:rPr>
        <w:t> </w:t>
      </w:r>
      <w:r>
        <w:rPr/>
        <w:t>reported</w:t>
      </w:r>
      <w:r>
        <w:rPr>
          <w:spacing w:val="-12"/>
        </w:rPr>
        <w:t> </w:t>
      </w:r>
      <w:r>
        <w:rPr/>
        <w:t>book</w:t>
      </w:r>
      <w:r>
        <w:rPr>
          <w:spacing w:val="-13"/>
        </w:rPr>
        <w:t> </w:t>
      </w:r>
      <w:r>
        <w:rPr/>
        <w:t>challenges</w:t>
      </w:r>
      <w:r>
        <w:rPr>
          <w:spacing w:val="-12"/>
        </w:rPr>
        <w:t> </w:t>
      </w:r>
      <w:r>
        <w:rPr/>
        <w:t>in</w:t>
      </w:r>
      <w:r>
        <w:rPr>
          <w:spacing w:val="-13"/>
        </w:rPr>
        <w:t> </w:t>
      </w:r>
      <w:r>
        <w:rPr/>
        <w:t>2022</w:t>
      </w:r>
      <w:r>
        <w:rPr>
          <w:spacing w:val="-12"/>
        </w:rPr>
        <w:t> </w:t>
      </w:r>
      <w:r>
        <w:rPr/>
        <w:t>reached</w:t>
      </w:r>
      <w:r>
        <w:rPr>
          <w:spacing w:val="-13"/>
        </w:rPr>
        <w:t> </w:t>
      </w:r>
      <w:r>
        <w:rPr/>
        <w:t>1,269,</w:t>
      </w:r>
      <w:r>
        <w:rPr>
          <w:spacing w:val="-12"/>
        </w:rPr>
        <w:t> </w:t>
      </w:r>
      <w:r>
        <w:rPr/>
        <w:t>with</w:t>
      </w:r>
      <w:r>
        <w:rPr>
          <w:spacing w:val="-12"/>
        </w:rPr>
        <w:t> </w:t>
      </w:r>
      <w:r>
        <w:rPr/>
        <w:t>2,571</w:t>
      </w:r>
      <w:r>
        <w:rPr>
          <w:spacing w:val="-13"/>
        </w:rPr>
        <w:t> </w:t>
      </w:r>
      <w:r>
        <w:rPr/>
        <w:t>unique</w:t>
      </w:r>
      <w:r>
        <w:rPr>
          <w:spacing w:val="-12"/>
        </w:rPr>
        <w:t> </w:t>
      </w:r>
      <w:r>
        <w:rPr/>
        <w:t>titles</w:t>
      </w:r>
      <w:r>
        <w:rPr>
          <w:spacing w:val="-13"/>
        </w:rPr>
        <w:t> </w:t>
      </w:r>
      <w:r>
        <w:rPr/>
        <w:t>being</w:t>
      </w:r>
      <w:r>
        <w:rPr>
          <w:spacing w:val="-12"/>
        </w:rPr>
        <w:t> </w:t>
      </w:r>
      <w:r>
        <w:rPr/>
        <w:t>targeted</w:t>
      </w:r>
      <w:r>
        <w:rPr>
          <w:spacing w:val="-13"/>
        </w:rPr>
        <w:t> </w:t>
      </w:r>
      <w:r>
        <w:rPr/>
        <w:t>for</w:t>
      </w:r>
      <w:r>
        <w:rPr>
          <w:spacing w:val="-12"/>
        </w:rPr>
        <w:t> </w:t>
      </w:r>
      <w:r>
        <w:rPr/>
        <w:t>censorship; the</w:t>
      </w:r>
      <w:r>
        <w:rPr>
          <w:spacing w:val="-4"/>
        </w:rPr>
        <w:t> </w:t>
      </w:r>
      <w:r>
        <w:rPr/>
        <w:t>vast</w:t>
      </w:r>
      <w:r>
        <w:rPr>
          <w:spacing w:val="-4"/>
        </w:rPr>
        <w:t> </w:t>
      </w:r>
      <w:r>
        <w:rPr/>
        <w:t>majority</w:t>
      </w:r>
      <w:r>
        <w:rPr>
          <w:spacing w:val="-4"/>
        </w:rPr>
        <w:t> </w:t>
      </w:r>
      <w:r>
        <w:rPr/>
        <w:t>of</w:t>
      </w:r>
      <w:r>
        <w:rPr>
          <w:spacing w:val="-4"/>
        </w:rPr>
        <w:t> </w:t>
      </w:r>
      <w:r>
        <w:rPr/>
        <w:t>these</w:t>
      </w:r>
      <w:r>
        <w:rPr>
          <w:spacing w:val="-4"/>
        </w:rPr>
        <w:t> </w:t>
      </w:r>
      <w:r>
        <w:rPr/>
        <w:t>titles</w:t>
      </w:r>
      <w:r>
        <w:rPr>
          <w:spacing w:val="-4"/>
        </w:rPr>
        <w:t> </w:t>
      </w:r>
      <w:r>
        <w:rPr/>
        <w:t>being</w:t>
      </w:r>
      <w:r>
        <w:rPr>
          <w:spacing w:val="-4"/>
        </w:rPr>
        <w:t> </w:t>
      </w:r>
      <w:r>
        <w:rPr/>
        <w:t>challenged</w:t>
      </w:r>
      <w:r>
        <w:rPr>
          <w:spacing w:val="-3"/>
        </w:rPr>
        <w:t> </w:t>
      </w:r>
      <w:r>
        <w:rPr/>
        <w:t>centered</w:t>
      </w:r>
      <w:r>
        <w:rPr>
          <w:spacing w:val="-4"/>
        </w:rPr>
        <w:t> </w:t>
      </w:r>
      <w:r>
        <w:rPr/>
        <w:t>around</w:t>
      </w:r>
      <w:r>
        <w:rPr>
          <w:spacing w:val="-3"/>
        </w:rPr>
        <w:t> </w:t>
      </w:r>
      <w:r>
        <w:rPr/>
        <w:t>LGBTQ</w:t>
      </w:r>
      <w:r>
        <w:rPr>
          <w:spacing w:val="-3"/>
        </w:rPr>
        <w:t> </w:t>
      </w:r>
      <w:r>
        <w:rPr/>
        <w:t>communities</w:t>
      </w:r>
      <w:r>
        <w:rPr>
          <w:spacing w:val="-4"/>
        </w:rPr>
        <w:t> </w:t>
      </w:r>
      <w:r>
        <w:rPr/>
        <w:t>and</w:t>
      </w:r>
      <w:r>
        <w:rPr>
          <w:spacing w:val="-4"/>
        </w:rPr>
        <w:t> </w:t>
      </w:r>
      <w:r>
        <w:rPr/>
        <w:t>communities of color, with 90% of the challenges attempts to censor multiple titles at one time</w:t>
      </w:r>
      <w:hyperlink w:history="true" w:anchor="_bookmark651">
        <w:r>
          <w:rPr/>
          <w:t>.</w:t>
        </w:r>
        <w:r>
          <w:rPr>
            <w:vertAlign w:val="superscript"/>
          </w:rPr>
          <w:t>4</w:t>
        </w:r>
      </w:hyperlink>
      <w:r>
        <w:rPr>
          <w:vertAlign w:val="baseline"/>
        </w:rPr>
        <w:t> In the ALA’s list of “Top 10 Most Challenged Books of 2022” 7 of the books were challenged due to LGBTQ content, with </w:t>
      </w:r>
      <w:r>
        <w:rPr>
          <w:i/>
          <w:vertAlign w:val="baseline"/>
        </w:rPr>
        <w:t>Gender</w:t>
      </w:r>
      <w:r>
        <w:rPr>
          <w:i/>
          <w:spacing w:val="-3"/>
          <w:vertAlign w:val="baseline"/>
        </w:rPr>
        <w:t> </w:t>
      </w:r>
      <w:r>
        <w:rPr>
          <w:i/>
          <w:vertAlign w:val="baseline"/>
        </w:rPr>
        <w:t>Queer</w:t>
      </w:r>
      <w:r>
        <w:rPr>
          <w:i/>
          <w:spacing w:val="-3"/>
          <w:vertAlign w:val="baseline"/>
        </w:rPr>
        <w:t> </w:t>
      </w:r>
      <w:r>
        <w:rPr>
          <w:vertAlign w:val="baseline"/>
        </w:rPr>
        <w:t>by</w:t>
      </w:r>
      <w:r>
        <w:rPr>
          <w:spacing w:val="-3"/>
          <w:vertAlign w:val="baseline"/>
        </w:rPr>
        <w:t> </w:t>
      </w:r>
      <w:r>
        <w:rPr>
          <w:vertAlign w:val="baseline"/>
        </w:rPr>
        <w:t>Maia</w:t>
      </w:r>
      <w:r>
        <w:rPr>
          <w:spacing w:val="-3"/>
          <w:vertAlign w:val="baseline"/>
        </w:rPr>
        <w:t> </w:t>
      </w:r>
      <w:r>
        <w:rPr>
          <w:vertAlign w:val="baseline"/>
        </w:rPr>
        <w:t>Kobabe</w:t>
      </w:r>
      <w:r>
        <w:rPr>
          <w:spacing w:val="-3"/>
          <w:vertAlign w:val="baseline"/>
        </w:rPr>
        <w:t> </w:t>
      </w:r>
      <w:r>
        <w:rPr>
          <w:vertAlign w:val="baseline"/>
        </w:rPr>
        <w:t>being</w:t>
      </w:r>
      <w:r>
        <w:rPr>
          <w:spacing w:val="-3"/>
          <w:vertAlign w:val="baseline"/>
        </w:rPr>
        <w:t> </w:t>
      </w:r>
      <w:r>
        <w:rPr>
          <w:vertAlign w:val="baseline"/>
        </w:rPr>
        <w:t>the</w:t>
      </w:r>
      <w:r>
        <w:rPr>
          <w:spacing w:val="-3"/>
          <w:vertAlign w:val="baseline"/>
        </w:rPr>
        <w:t> </w:t>
      </w:r>
      <w:r>
        <w:rPr>
          <w:vertAlign w:val="baseline"/>
        </w:rPr>
        <w:t>most</w:t>
      </w:r>
      <w:r>
        <w:rPr>
          <w:spacing w:val="-3"/>
          <w:vertAlign w:val="baseline"/>
        </w:rPr>
        <w:t> </w:t>
      </w:r>
      <w:r>
        <w:rPr>
          <w:vertAlign w:val="baseline"/>
        </w:rPr>
        <w:t>banned</w:t>
      </w:r>
      <w:r>
        <w:rPr>
          <w:spacing w:val="-3"/>
          <w:vertAlign w:val="baseline"/>
        </w:rPr>
        <w:t> </w:t>
      </w:r>
      <w:r>
        <w:rPr>
          <w:vertAlign w:val="baseline"/>
        </w:rPr>
        <w:t>book</w:t>
      </w:r>
      <w:r>
        <w:rPr>
          <w:spacing w:val="-3"/>
          <w:vertAlign w:val="baseline"/>
        </w:rPr>
        <w:t> </w:t>
      </w:r>
      <w:r>
        <w:rPr>
          <w:vertAlign w:val="baseline"/>
        </w:rPr>
        <w:t>in</w:t>
      </w:r>
      <w:r>
        <w:rPr>
          <w:spacing w:val="-3"/>
          <w:vertAlign w:val="baseline"/>
        </w:rPr>
        <w:t> </w:t>
      </w:r>
      <w:r>
        <w:rPr>
          <w:vertAlign w:val="baseline"/>
        </w:rPr>
        <w:t>the</w:t>
      </w:r>
      <w:r>
        <w:rPr>
          <w:spacing w:val="-3"/>
          <w:vertAlign w:val="baseline"/>
        </w:rPr>
        <w:t> </w:t>
      </w:r>
      <w:r>
        <w:rPr>
          <w:vertAlign w:val="baseline"/>
        </w:rPr>
        <w:t>U.S</w:t>
      </w:r>
      <w:hyperlink w:history="true" w:anchor="_bookmark652">
        <w:r>
          <w:rPr>
            <w:vertAlign w:val="baseline"/>
          </w:rPr>
          <w:t>.</w:t>
        </w:r>
        <w:r>
          <w:rPr>
            <w:vertAlign w:val="superscript"/>
          </w:rPr>
          <w:t>5</w:t>
        </w:r>
      </w:hyperlink>
      <w:r>
        <w:rPr>
          <w:spacing w:val="-3"/>
          <w:vertAlign w:val="baseline"/>
        </w:rPr>
        <w:t> </w:t>
      </w:r>
      <w:r>
        <w:rPr>
          <w:vertAlign w:val="baseline"/>
        </w:rPr>
        <w:t>The</w:t>
      </w:r>
      <w:r>
        <w:rPr>
          <w:spacing w:val="-3"/>
          <w:vertAlign w:val="baseline"/>
        </w:rPr>
        <w:t> </w:t>
      </w:r>
      <w:r>
        <w:rPr>
          <w:vertAlign w:val="baseline"/>
        </w:rPr>
        <w:t>Commonwealth</w:t>
      </w:r>
      <w:r>
        <w:rPr>
          <w:spacing w:val="-3"/>
          <w:vertAlign w:val="baseline"/>
        </w:rPr>
        <w:t> </w:t>
      </w:r>
      <w:r>
        <w:rPr>
          <w:vertAlign w:val="baseline"/>
        </w:rPr>
        <w:t>has</w:t>
      </w:r>
      <w:r>
        <w:rPr>
          <w:spacing w:val="-3"/>
          <w:vertAlign w:val="baseline"/>
        </w:rPr>
        <w:t> </w:t>
      </w:r>
      <w:r>
        <w:rPr>
          <w:vertAlign w:val="baseline"/>
        </w:rPr>
        <w:t>seen</w:t>
      </w:r>
      <w:r>
        <w:rPr>
          <w:spacing w:val="-3"/>
          <w:vertAlign w:val="baseline"/>
        </w:rPr>
        <w:t> </w:t>
      </w:r>
      <w:r>
        <w:rPr>
          <w:vertAlign w:val="baseline"/>
        </w:rPr>
        <w:t>no exceptions</w:t>
      </w:r>
      <w:r>
        <w:rPr>
          <w:spacing w:val="-5"/>
          <w:vertAlign w:val="baseline"/>
        </w:rPr>
        <w:t> </w:t>
      </w:r>
      <w:r>
        <w:rPr>
          <w:vertAlign w:val="baseline"/>
        </w:rPr>
        <w:t>to</w:t>
      </w:r>
      <w:r>
        <w:rPr>
          <w:spacing w:val="-6"/>
          <w:vertAlign w:val="baseline"/>
        </w:rPr>
        <w:t> </w:t>
      </w:r>
      <w:r>
        <w:rPr>
          <w:vertAlign w:val="baseline"/>
        </w:rPr>
        <w:t>these</w:t>
      </w:r>
      <w:r>
        <w:rPr>
          <w:spacing w:val="-5"/>
          <w:vertAlign w:val="baseline"/>
        </w:rPr>
        <w:t> </w:t>
      </w:r>
      <w:r>
        <w:rPr>
          <w:vertAlign w:val="baseline"/>
        </w:rPr>
        <w:t>challenges,</w:t>
      </w:r>
      <w:r>
        <w:rPr>
          <w:spacing w:val="-6"/>
          <w:vertAlign w:val="baseline"/>
        </w:rPr>
        <w:t> </w:t>
      </w:r>
      <w:r>
        <w:rPr>
          <w:vertAlign w:val="baseline"/>
        </w:rPr>
        <w:t>with</w:t>
      </w:r>
      <w:r>
        <w:rPr>
          <w:spacing w:val="-6"/>
          <w:vertAlign w:val="baseline"/>
        </w:rPr>
        <w:t> </w:t>
      </w:r>
      <w:r>
        <w:rPr>
          <w:vertAlign w:val="baseline"/>
        </w:rPr>
        <w:t>the</w:t>
      </w:r>
      <w:r>
        <w:rPr>
          <w:spacing w:val="-6"/>
          <w:vertAlign w:val="baseline"/>
        </w:rPr>
        <w:t> </w:t>
      </w:r>
      <w:r>
        <w:rPr>
          <w:vertAlign w:val="baseline"/>
        </w:rPr>
        <w:t>ACLU</w:t>
      </w:r>
      <w:r>
        <w:rPr>
          <w:spacing w:val="-7"/>
          <w:vertAlign w:val="baseline"/>
        </w:rPr>
        <w:t> </w:t>
      </w:r>
      <w:r>
        <w:rPr>
          <w:vertAlign w:val="baseline"/>
        </w:rPr>
        <w:t>&amp;</w:t>
      </w:r>
      <w:r>
        <w:rPr>
          <w:spacing w:val="-5"/>
          <w:vertAlign w:val="baseline"/>
        </w:rPr>
        <w:t> </w:t>
      </w:r>
      <w:r>
        <w:rPr>
          <w:vertAlign w:val="baseline"/>
        </w:rPr>
        <w:t>GLAD</w:t>
      </w:r>
      <w:r>
        <w:rPr>
          <w:spacing w:val="-5"/>
          <w:vertAlign w:val="baseline"/>
        </w:rPr>
        <w:t> </w:t>
      </w:r>
      <w:r>
        <w:rPr>
          <w:vertAlign w:val="baseline"/>
        </w:rPr>
        <w:t>releasing</w:t>
      </w:r>
      <w:r>
        <w:rPr>
          <w:spacing w:val="-6"/>
          <w:vertAlign w:val="baseline"/>
        </w:rPr>
        <w:t> </w:t>
      </w:r>
      <w:r>
        <w:rPr>
          <w:vertAlign w:val="baseline"/>
        </w:rPr>
        <w:t>a</w:t>
      </w:r>
      <w:r>
        <w:rPr>
          <w:spacing w:val="-6"/>
          <w:vertAlign w:val="baseline"/>
        </w:rPr>
        <w:t> </w:t>
      </w:r>
      <w:r>
        <w:rPr>
          <w:vertAlign w:val="baseline"/>
        </w:rPr>
        <w:t>letter</w:t>
      </w:r>
      <w:r>
        <w:rPr>
          <w:spacing w:val="-6"/>
          <w:vertAlign w:val="baseline"/>
        </w:rPr>
        <w:t> </w:t>
      </w:r>
      <w:r>
        <w:rPr>
          <w:vertAlign w:val="baseline"/>
        </w:rPr>
        <w:t>in</w:t>
      </w:r>
      <w:r>
        <w:rPr>
          <w:spacing w:val="-6"/>
          <w:vertAlign w:val="baseline"/>
        </w:rPr>
        <w:t> </w:t>
      </w:r>
      <w:r>
        <w:rPr>
          <w:vertAlign w:val="baseline"/>
        </w:rPr>
        <w:t>January</w:t>
      </w:r>
      <w:r>
        <w:rPr>
          <w:spacing w:val="-6"/>
          <w:vertAlign w:val="baseline"/>
        </w:rPr>
        <w:t> </w:t>
      </w:r>
      <w:r>
        <w:rPr>
          <w:vertAlign w:val="baseline"/>
        </w:rPr>
        <w:t>of</w:t>
      </w:r>
      <w:r>
        <w:rPr>
          <w:spacing w:val="-6"/>
          <w:vertAlign w:val="baseline"/>
        </w:rPr>
        <w:t> </w:t>
      </w:r>
      <w:r>
        <w:rPr>
          <w:vertAlign w:val="baseline"/>
        </w:rPr>
        <w:t>2023</w:t>
      </w:r>
      <w:r>
        <w:rPr>
          <w:spacing w:val="-6"/>
          <w:vertAlign w:val="baseline"/>
        </w:rPr>
        <w:t> </w:t>
      </w:r>
      <w:r>
        <w:rPr>
          <w:vertAlign w:val="baseline"/>
        </w:rPr>
        <w:t>in</w:t>
      </w:r>
      <w:r>
        <w:rPr>
          <w:spacing w:val="-6"/>
          <w:vertAlign w:val="baseline"/>
        </w:rPr>
        <w:t> </w:t>
      </w:r>
      <w:r>
        <w:rPr>
          <w:vertAlign w:val="baseline"/>
        </w:rPr>
        <w:t>response</w:t>
      </w:r>
      <w:r>
        <w:rPr>
          <w:spacing w:val="-7"/>
          <w:vertAlign w:val="baseline"/>
        </w:rPr>
        <w:t> </w:t>
      </w:r>
      <w:r>
        <w:rPr>
          <w:vertAlign w:val="baseline"/>
        </w:rPr>
        <w:t>to the continued attacks seen by LGBTQ youth, families, and advocates across the state</w:t>
      </w:r>
      <w:hyperlink w:history="true" w:anchor="_bookmark653">
        <w:r>
          <w:rPr>
            <w:vertAlign w:val="baseline"/>
          </w:rPr>
          <w:t>.</w:t>
        </w:r>
        <w:r>
          <w:rPr>
            <w:vertAlign w:val="superscript"/>
          </w:rPr>
          <w:t>6</w:t>
        </w:r>
      </w:hyperlink>
    </w:p>
    <w:p>
      <w:pPr>
        <w:spacing w:before="239"/>
        <w:ind w:left="483" w:right="0" w:firstLine="0"/>
        <w:jc w:val="both"/>
        <w:rPr>
          <w:sz w:val="28"/>
        </w:rPr>
      </w:pPr>
      <w:r>
        <w:rPr>
          <w:color w:val="365F91"/>
          <w:sz w:val="28"/>
        </w:rPr>
        <w:t>Past</w:t>
      </w:r>
      <w:r>
        <w:rPr>
          <w:color w:val="365F91"/>
          <w:spacing w:val="-7"/>
          <w:sz w:val="28"/>
        </w:rPr>
        <w:t> </w:t>
      </w:r>
      <w:r>
        <w:rPr>
          <w:color w:val="365F91"/>
          <w:sz w:val="28"/>
        </w:rPr>
        <w:t>&amp;</w:t>
      </w:r>
      <w:r>
        <w:rPr>
          <w:color w:val="365F91"/>
          <w:spacing w:val="-6"/>
          <w:sz w:val="28"/>
        </w:rPr>
        <w:t> </w:t>
      </w:r>
      <w:r>
        <w:rPr>
          <w:color w:val="365F91"/>
          <w:sz w:val="28"/>
        </w:rPr>
        <w:t>Future</w:t>
      </w:r>
      <w:r>
        <w:rPr>
          <w:color w:val="365F91"/>
          <w:spacing w:val="-7"/>
          <w:sz w:val="28"/>
        </w:rPr>
        <w:t> </w:t>
      </w:r>
      <w:r>
        <w:rPr>
          <w:color w:val="365F91"/>
          <w:spacing w:val="-4"/>
          <w:sz w:val="28"/>
        </w:rPr>
        <w:t>Work</w:t>
      </w:r>
    </w:p>
    <w:p>
      <w:pPr>
        <w:pStyle w:val="BodyText"/>
        <w:spacing w:line="276" w:lineRule="auto" w:before="241"/>
        <w:ind w:left="483" w:right="343"/>
        <w:jc w:val="both"/>
      </w:pPr>
      <w:r>
        <w:rPr/>
        <w:t>The Commission has been pleased to work with MBLC for several years to collaborate on supporting librarians and LGBTQ youth receiving Massachusetts library services. Over the last fiscal year, the Commission</w:t>
      </w:r>
      <w:r>
        <w:rPr>
          <w:spacing w:val="-2"/>
        </w:rPr>
        <w:t> </w:t>
      </w:r>
      <w:r>
        <w:rPr/>
        <w:t>has</w:t>
      </w:r>
      <w:r>
        <w:rPr>
          <w:spacing w:val="-3"/>
        </w:rPr>
        <w:t> </w:t>
      </w:r>
      <w:r>
        <w:rPr/>
        <w:t>been</w:t>
      </w:r>
      <w:r>
        <w:rPr>
          <w:spacing w:val="-3"/>
        </w:rPr>
        <w:t> </w:t>
      </w:r>
      <w:r>
        <w:rPr/>
        <w:t>involved</w:t>
      </w:r>
      <w:r>
        <w:rPr>
          <w:spacing w:val="-3"/>
        </w:rPr>
        <w:t> </w:t>
      </w:r>
      <w:r>
        <w:rPr/>
        <w:t>in</w:t>
      </w:r>
      <w:r>
        <w:rPr>
          <w:spacing w:val="-2"/>
        </w:rPr>
        <w:t> </w:t>
      </w:r>
      <w:r>
        <w:rPr/>
        <w:t>numerous</w:t>
      </w:r>
      <w:r>
        <w:rPr>
          <w:spacing w:val="-3"/>
        </w:rPr>
        <w:t> </w:t>
      </w:r>
      <w:r>
        <w:rPr/>
        <w:t>conversations</w:t>
      </w:r>
      <w:r>
        <w:rPr>
          <w:spacing w:val="-3"/>
        </w:rPr>
        <w:t> </w:t>
      </w:r>
      <w:r>
        <w:rPr/>
        <w:t>with MBLC</w:t>
      </w:r>
      <w:r>
        <w:rPr>
          <w:spacing w:val="-3"/>
        </w:rPr>
        <w:t> </w:t>
      </w:r>
      <w:r>
        <w:rPr/>
        <w:t>staff</w:t>
      </w:r>
      <w:r>
        <w:rPr>
          <w:spacing w:val="-3"/>
        </w:rPr>
        <w:t> </w:t>
      </w:r>
      <w:r>
        <w:rPr/>
        <w:t>and</w:t>
      </w:r>
      <w:r>
        <w:rPr>
          <w:spacing w:val="-3"/>
        </w:rPr>
        <w:t> </w:t>
      </w:r>
      <w:r>
        <w:rPr/>
        <w:t>librarians</w:t>
      </w:r>
      <w:r>
        <w:rPr>
          <w:spacing w:val="-1"/>
        </w:rPr>
        <w:t> </w:t>
      </w:r>
      <w:r>
        <w:rPr/>
        <w:t>on</w:t>
      </w:r>
      <w:r>
        <w:rPr>
          <w:spacing w:val="-3"/>
        </w:rPr>
        <w:t> </w:t>
      </w:r>
      <w:r>
        <w:rPr/>
        <w:t>how</w:t>
      </w:r>
      <w:r>
        <w:rPr>
          <w:spacing w:val="-2"/>
        </w:rPr>
        <w:t> </w:t>
      </w:r>
      <w:r>
        <w:rPr/>
        <w:t>best</w:t>
      </w:r>
      <w:r>
        <w:rPr>
          <w:spacing w:val="-1"/>
        </w:rPr>
        <w:t> </w:t>
      </w:r>
      <w:r>
        <w:rPr/>
        <w:t>to support libraries seeing an influx of book challenges and protests across the state. The Commission anticipates continuing these conversations in FY 2024 and implementing events and actionable items to help support library communities.</w:t>
      </w:r>
    </w:p>
    <w:p>
      <w:pPr>
        <w:pStyle w:val="BodyText"/>
      </w:pPr>
    </w:p>
    <w:p>
      <w:pPr>
        <w:pStyle w:val="BodyText"/>
        <w:spacing w:before="62"/>
      </w:pPr>
    </w:p>
    <w:p>
      <w:pPr>
        <w:spacing w:before="0"/>
        <w:ind w:left="483" w:right="0" w:firstLine="0"/>
        <w:jc w:val="both"/>
        <w:rPr>
          <w:sz w:val="28"/>
        </w:rPr>
      </w:pPr>
      <w:r>
        <w:rPr>
          <w:color w:val="365F91"/>
          <w:sz w:val="28"/>
        </w:rPr>
        <w:t>FY</w:t>
      </w:r>
      <w:r>
        <w:rPr>
          <w:color w:val="365F91"/>
          <w:spacing w:val="-9"/>
          <w:sz w:val="28"/>
        </w:rPr>
        <w:t> </w:t>
      </w:r>
      <w:r>
        <w:rPr>
          <w:color w:val="365F91"/>
          <w:sz w:val="28"/>
        </w:rPr>
        <w:t>2025</w:t>
      </w:r>
      <w:r>
        <w:rPr>
          <w:color w:val="365F91"/>
          <w:spacing w:val="-9"/>
          <w:sz w:val="28"/>
        </w:rPr>
        <w:t> </w:t>
      </w:r>
      <w:r>
        <w:rPr>
          <w:color w:val="365F91"/>
          <w:sz w:val="28"/>
        </w:rPr>
        <w:t>Expanded</w:t>
      </w:r>
      <w:r>
        <w:rPr>
          <w:color w:val="365F91"/>
          <w:spacing w:val="-9"/>
          <w:sz w:val="28"/>
        </w:rPr>
        <w:t> </w:t>
      </w:r>
      <w:r>
        <w:rPr>
          <w:color w:val="365F91"/>
          <w:sz w:val="28"/>
        </w:rPr>
        <w:t>MBLC</w:t>
      </w:r>
      <w:r>
        <w:rPr>
          <w:color w:val="365F91"/>
          <w:spacing w:val="-10"/>
          <w:sz w:val="28"/>
        </w:rPr>
        <w:t> </w:t>
      </w:r>
      <w:r>
        <w:rPr>
          <w:color w:val="365F91"/>
          <w:spacing w:val="-2"/>
          <w:sz w:val="28"/>
        </w:rPr>
        <w:t>Recommendations</w:t>
      </w:r>
    </w:p>
    <w:p>
      <w:pPr>
        <w:pStyle w:val="BodyText"/>
        <w:spacing w:before="10"/>
        <w:rPr>
          <w:sz w:val="3"/>
        </w:rPr>
      </w:pPr>
      <w:r>
        <w:rPr/>
        <mc:AlternateContent>
          <mc:Choice Requires="wps">
            <w:drawing>
              <wp:anchor distT="0" distB="0" distL="0" distR="0" allowOverlap="1" layoutInCell="1" locked="0" behindDoc="1" simplePos="0" relativeHeight="487730176">
                <wp:simplePos x="0" y="0"/>
                <wp:positionH relativeFrom="page">
                  <wp:posOffset>897636</wp:posOffset>
                </wp:positionH>
                <wp:positionV relativeFrom="paragraph">
                  <wp:posOffset>45246</wp:posOffset>
                </wp:positionV>
                <wp:extent cx="5976620" cy="6350"/>
                <wp:effectExtent l="0" t="0" r="0" b="0"/>
                <wp:wrapTopAndBottom/>
                <wp:docPr id="680" name="Graphic 680"/>
                <wp:cNvGraphicFramePr>
                  <a:graphicFrameLocks/>
                </wp:cNvGraphicFramePr>
                <a:graphic>
                  <a:graphicData uri="http://schemas.microsoft.com/office/word/2010/wordprocessingShape">
                    <wps:wsp>
                      <wps:cNvPr id="680" name="Graphic 680"/>
                      <wps:cNvSpPr/>
                      <wps:spPr>
                        <a:xfrm>
                          <a:off x="0" y="0"/>
                          <a:ext cx="5976620" cy="6350"/>
                        </a:xfrm>
                        <a:custGeom>
                          <a:avLst/>
                          <a:gdLst/>
                          <a:ahLst/>
                          <a:cxnLst/>
                          <a:rect l="l" t="t" r="r" b="b"/>
                          <a:pathLst>
                            <a:path w="5976620" h="6350">
                              <a:moveTo>
                                <a:pt x="5976366" y="0"/>
                              </a:moveTo>
                              <a:lnTo>
                                <a:pt x="0" y="0"/>
                              </a:lnTo>
                              <a:lnTo>
                                <a:pt x="0" y="6108"/>
                              </a:lnTo>
                              <a:lnTo>
                                <a:pt x="5976366" y="6108"/>
                              </a:lnTo>
                              <a:lnTo>
                                <a:pt x="5976366" y="0"/>
                              </a:lnTo>
                              <a:close/>
                            </a:path>
                          </a:pathLst>
                        </a:custGeom>
                        <a:solidFill>
                          <a:srgbClr val="4F81BC"/>
                        </a:solidFill>
                      </wps:spPr>
                      <wps:bodyPr wrap="square" lIns="0" tIns="0" rIns="0" bIns="0" rtlCol="0">
                        <a:prstTxWarp prst="textNoShape">
                          <a:avLst/>
                        </a:prstTxWarp>
                        <a:noAutofit/>
                      </wps:bodyPr>
                    </wps:wsp>
                  </a:graphicData>
                </a:graphic>
              </wp:anchor>
            </w:drawing>
          </mc:Choice>
          <mc:Fallback>
            <w:pict>
              <v:rect style="position:absolute;margin-left:70.680pt;margin-top:3.562691pt;width:470.58pt;height:.481pt;mso-position-horizontal-relative:page;mso-position-vertical-relative:paragraph;z-index:-15586304;mso-wrap-distance-left:0;mso-wrap-distance-right:0" id="docshape577" filled="true" fillcolor="#4f81bc" stroked="false">
                <v:fill type="solid"/>
                <w10:wrap type="topAndBottom"/>
              </v:rect>
            </w:pict>
          </mc:Fallback>
        </mc:AlternateContent>
      </w:r>
    </w:p>
    <w:p>
      <w:pPr>
        <w:numPr>
          <w:ilvl w:val="0"/>
          <w:numId w:val="47"/>
        </w:numPr>
        <w:tabs>
          <w:tab w:pos="481" w:val="left" w:leader="none"/>
          <w:tab w:pos="483" w:val="left" w:leader="none"/>
        </w:tabs>
        <w:spacing w:line="276" w:lineRule="auto" w:before="241"/>
        <w:ind w:left="483" w:right="344" w:hanging="360"/>
        <w:jc w:val="both"/>
        <w:rPr>
          <w:b/>
          <w:sz w:val="22"/>
        </w:rPr>
      </w:pPr>
      <w:r>
        <w:rPr>
          <w:b/>
          <w:sz w:val="22"/>
        </w:rPr>
        <w:t>Develop and disseminate a new recommended LGBTQ book list in partnership with the Safe Schools Program for all libraries in Massachusetts.</w:t>
      </w:r>
    </w:p>
    <w:p>
      <w:pPr>
        <w:pStyle w:val="BodyText"/>
        <w:spacing w:line="276" w:lineRule="auto" w:before="241"/>
        <w:ind w:left="483" w:right="343"/>
        <w:jc w:val="both"/>
      </w:pPr>
      <w:r>
        <w:rPr/>
        <w:t>In</w:t>
      </w:r>
      <w:r>
        <w:rPr>
          <w:spacing w:val="-2"/>
        </w:rPr>
        <w:t> </w:t>
      </w:r>
      <w:r>
        <w:rPr/>
        <w:t>2019,</w:t>
      </w:r>
      <w:r>
        <w:rPr>
          <w:spacing w:val="-1"/>
        </w:rPr>
        <w:t> </w:t>
      </w:r>
      <w:r>
        <w:rPr/>
        <w:t>the</w:t>
      </w:r>
      <w:r>
        <w:rPr>
          <w:spacing w:val="-1"/>
        </w:rPr>
        <w:t> </w:t>
      </w:r>
      <w:r>
        <w:rPr/>
        <w:t>Commission</w:t>
      </w:r>
      <w:r>
        <w:rPr>
          <w:spacing w:val="-2"/>
        </w:rPr>
        <w:t> </w:t>
      </w:r>
      <w:r>
        <w:rPr/>
        <w:t>developed</w:t>
      </w:r>
      <w:r>
        <w:rPr>
          <w:spacing w:val="-2"/>
        </w:rPr>
        <w:t> </w:t>
      </w:r>
      <w:r>
        <w:rPr/>
        <w:t>a</w:t>
      </w:r>
      <w:r>
        <w:rPr>
          <w:spacing w:val="-1"/>
        </w:rPr>
        <w:t> </w:t>
      </w:r>
      <w:r>
        <w:rPr/>
        <w:t>recommended</w:t>
      </w:r>
      <w:r>
        <w:rPr>
          <w:spacing w:val="-2"/>
        </w:rPr>
        <w:t> </w:t>
      </w:r>
      <w:r>
        <w:rPr/>
        <w:t>LGBTQ</w:t>
      </w:r>
      <w:r>
        <w:rPr>
          <w:spacing w:val="-2"/>
        </w:rPr>
        <w:t> </w:t>
      </w:r>
      <w:r>
        <w:rPr/>
        <w:t>book</w:t>
      </w:r>
      <w:r>
        <w:rPr>
          <w:spacing w:val="-2"/>
        </w:rPr>
        <w:t> </w:t>
      </w:r>
      <w:r>
        <w:rPr/>
        <w:t>list</w:t>
      </w:r>
      <w:r>
        <w:rPr>
          <w:spacing w:val="-2"/>
        </w:rPr>
        <w:t> </w:t>
      </w:r>
      <w:r>
        <w:rPr/>
        <w:t>which</w:t>
      </w:r>
      <w:r>
        <w:rPr>
          <w:spacing w:val="-1"/>
        </w:rPr>
        <w:t> </w:t>
      </w:r>
      <w:r>
        <w:rPr/>
        <w:t>has</w:t>
      </w:r>
      <w:r>
        <w:rPr>
          <w:spacing w:val="-1"/>
        </w:rPr>
        <w:t> </w:t>
      </w:r>
      <w:r>
        <w:rPr/>
        <w:t>since</w:t>
      </w:r>
      <w:r>
        <w:rPr>
          <w:spacing w:val="-2"/>
        </w:rPr>
        <w:t> </w:t>
      </w:r>
      <w:r>
        <w:rPr/>
        <w:t>become</w:t>
      </w:r>
      <w:r>
        <w:rPr>
          <w:spacing w:val="-2"/>
        </w:rPr>
        <w:t> </w:t>
      </w:r>
      <w:r>
        <w:rPr/>
        <w:t>outdated. As</w:t>
      </w:r>
      <w:r>
        <w:rPr>
          <w:spacing w:val="-5"/>
        </w:rPr>
        <w:t> </w:t>
      </w:r>
      <w:r>
        <w:rPr/>
        <w:t>of</w:t>
      </w:r>
      <w:r>
        <w:rPr>
          <w:spacing w:val="-5"/>
        </w:rPr>
        <w:t> </w:t>
      </w:r>
      <w:r>
        <w:rPr/>
        <w:t>spring</w:t>
      </w:r>
      <w:r>
        <w:rPr>
          <w:spacing w:val="-6"/>
        </w:rPr>
        <w:t> </w:t>
      </w:r>
      <w:r>
        <w:rPr/>
        <w:t>of</w:t>
      </w:r>
      <w:r>
        <w:rPr>
          <w:spacing w:val="-5"/>
        </w:rPr>
        <w:t> </w:t>
      </w:r>
      <w:r>
        <w:rPr/>
        <w:t>2023,</w:t>
      </w:r>
      <w:r>
        <w:rPr>
          <w:spacing w:val="-5"/>
        </w:rPr>
        <w:t> </w:t>
      </w:r>
      <w:r>
        <w:rPr/>
        <w:t>the</w:t>
      </w:r>
      <w:r>
        <w:rPr>
          <w:spacing w:val="-6"/>
        </w:rPr>
        <w:t> </w:t>
      </w:r>
      <w:r>
        <w:rPr/>
        <w:t>Commission</w:t>
      </w:r>
      <w:r>
        <w:rPr>
          <w:spacing w:val="-6"/>
        </w:rPr>
        <w:t> </w:t>
      </w:r>
      <w:r>
        <w:rPr/>
        <w:t>is</w:t>
      </w:r>
      <w:r>
        <w:rPr>
          <w:spacing w:val="-5"/>
        </w:rPr>
        <w:t> </w:t>
      </w:r>
      <w:r>
        <w:rPr/>
        <w:t>in</w:t>
      </w:r>
      <w:r>
        <w:rPr>
          <w:spacing w:val="-6"/>
        </w:rPr>
        <w:t> </w:t>
      </w:r>
      <w:r>
        <w:rPr/>
        <w:t>the</w:t>
      </w:r>
      <w:r>
        <w:rPr>
          <w:spacing w:val="-4"/>
        </w:rPr>
        <w:t> </w:t>
      </w:r>
      <w:r>
        <w:rPr/>
        <w:t>process</w:t>
      </w:r>
      <w:r>
        <w:rPr>
          <w:spacing w:val="-5"/>
        </w:rPr>
        <w:t> </w:t>
      </w:r>
      <w:r>
        <w:rPr/>
        <w:t>of</w:t>
      </w:r>
      <w:r>
        <w:rPr>
          <w:spacing w:val="-5"/>
        </w:rPr>
        <w:t> </w:t>
      </w:r>
      <w:r>
        <w:rPr/>
        <w:t>developing</w:t>
      </w:r>
      <w:r>
        <w:rPr>
          <w:spacing w:val="-6"/>
        </w:rPr>
        <w:t> </w:t>
      </w:r>
      <w:r>
        <w:rPr/>
        <w:t>a</w:t>
      </w:r>
      <w:r>
        <w:rPr>
          <w:spacing w:val="-5"/>
        </w:rPr>
        <w:t> </w:t>
      </w:r>
      <w:r>
        <w:rPr/>
        <w:t>new</w:t>
      </w:r>
      <w:r>
        <w:rPr>
          <w:spacing w:val="-5"/>
        </w:rPr>
        <w:t> </w:t>
      </w:r>
      <w:r>
        <w:rPr/>
        <w:t>LGBTQ</w:t>
      </w:r>
      <w:r>
        <w:rPr>
          <w:spacing w:val="-6"/>
        </w:rPr>
        <w:t> </w:t>
      </w:r>
      <w:r>
        <w:rPr/>
        <w:t>book</w:t>
      </w:r>
      <w:r>
        <w:rPr>
          <w:spacing w:val="-6"/>
        </w:rPr>
        <w:t> </w:t>
      </w:r>
      <w:r>
        <w:rPr/>
        <w:t>list</w:t>
      </w:r>
      <w:r>
        <w:rPr>
          <w:spacing w:val="-5"/>
        </w:rPr>
        <w:t> </w:t>
      </w:r>
      <w:r>
        <w:rPr/>
        <w:t>with</w:t>
      </w:r>
      <w:r>
        <w:rPr>
          <w:spacing w:val="-6"/>
        </w:rPr>
        <w:t> </w:t>
      </w:r>
      <w:r>
        <w:rPr/>
        <w:t>the</w:t>
      </w:r>
      <w:r>
        <w:rPr>
          <w:spacing w:val="-6"/>
        </w:rPr>
        <w:t> </w:t>
      </w:r>
      <w:r>
        <w:rPr/>
        <w:t>state library system to be made widely available to educators, parents, librarians, and youth. The Commission hopes</w:t>
      </w:r>
      <w:r>
        <w:rPr>
          <w:spacing w:val="-1"/>
        </w:rPr>
        <w:t> </w:t>
      </w:r>
      <w:r>
        <w:rPr/>
        <w:t>to continue</w:t>
      </w:r>
      <w:r>
        <w:rPr>
          <w:spacing w:val="-1"/>
        </w:rPr>
        <w:t> </w:t>
      </w:r>
      <w:r>
        <w:rPr/>
        <w:t>to partner</w:t>
      </w:r>
      <w:r>
        <w:rPr>
          <w:spacing w:val="-2"/>
        </w:rPr>
        <w:t> </w:t>
      </w:r>
      <w:r>
        <w:rPr/>
        <w:t>with</w:t>
      </w:r>
      <w:r>
        <w:rPr>
          <w:spacing w:val="-1"/>
        </w:rPr>
        <w:t> </w:t>
      </w:r>
      <w:r>
        <w:rPr/>
        <w:t>MBLC</w:t>
      </w:r>
      <w:r>
        <w:rPr>
          <w:spacing w:val="-1"/>
        </w:rPr>
        <w:t> </w:t>
      </w:r>
      <w:r>
        <w:rPr/>
        <w:t>and</w:t>
      </w:r>
      <w:r>
        <w:rPr>
          <w:spacing w:val="-1"/>
        </w:rPr>
        <w:t> </w:t>
      </w:r>
      <w:r>
        <w:rPr/>
        <w:t>librarians</w:t>
      </w:r>
      <w:r>
        <w:rPr>
          <w:spacing w:val="-1"/>
        </w:rPr>
        <w:t> </w:t>
      </w:r>
      <w:r>
        <w:rPr/>
        <w:t>across</w:t>
      </w:r>
      <w:r>
        <w:rPr>
          <w:spacing w:val="-1"/>
        </w:rPr>
        <w:t> </w:t>
      </w:r>
      <w:r>
        <w:rPr/>
        <w:t>the state</w:t>
      </w:r>
      <w:r>
        <w:rPr>
          <w:spacing w:val="-1"/>
        </w:rPr>
        <w:t> </w:t>
      </w:r>
      <w:r>
        <w:rPr/>
        <w:t>to</w:t>
      </w:r>
      <w:r>
        <w:rPr>
          <w:spacing w:val="-1"/>
        </w:rPr>
        <w:t> </w:t>
      </w:r>
      <w:r>
        <w:rPr/>
        <w:t>ensure</w:t>
      </w:r>
      <w:r>
        <w:rPr>
          <w:spacing w:val="-2"/>
        </w:rPr>
        <w:t> </w:t>
      </w:r>
      <w:r>
        <w:rPr/>
        <w:t>more</w:t>
      </w:r>
      <w:r>
        <w:rPr>
          <w:spacing w:val="-1"/>
        </w:rPr>
        <w:t> </w:t>
      </w:r>
      <w:r>
        <w:rPr/>
        <w:t>frequent</w:t>
      </w:r>
      <w:r>
        <w:rPr>
          <w:spacing w:val="-1"/>
        </w:rPr>
        <w:t> </w:t>
      </w:r>
      <w:r>
        <w:rPr/>
        <w:t>reviews and updates to the list as more LGBTQ titles are released over the coming years.</w:t>
      </w:r>
    </w:p>
    <w:p>
      <w:pPr>
        <w:pStyle w:val="BodyText"/>
        <w:spacing w:line="276" w:lineRule="auto" w:before="238"/>
        <w:ind w:left="483" w:right="343"/>
        <w:jc w:val="both"/>
      </w:pPr>
      <w:r>
        <w:rPr/>
        <w:t>With the significant rise in anti-LGBTQ &amp; racist book challenges, the Commission recognizes the importance</w:t>
      </w:r>
      <w:r>
        <w:rPr>
          <w:spacing w:val="-8"/>
        </w:rPr>
        <w:t> </w:t>
      </w:r>
      <w:r>
        <w:rPr/>
        <w:t>of</w:t>
      </w:r>
      <w:r>
        <w:rPr>
          <w:spacing w:val="-7"/>
        </w:rPr>
        <w:t> </w:t>
      </w:r>
      <w:r>
        <w:rPr/>
        <w:t>ensuring</w:t>
      </w:r>
      <w:r>
        <w:rPr>
          <w:spacing w:val="-7"/>
        </w:rPr>
        <w:t> </w:t>
      </w:r>
      <w:r>
        <w:rPr/>
        <w:t>equitable</w:t>
      </w:r>
      <w:r>
        <w:rPr>
          <w:spacing w:val="-6"/>
        </w:rPr>
        <w:t> </w:t>
      </w:r>
      <w:r>
        <w:rPr/>
        <w:t>access</w:t>
      </w:r>
      <w:r>
        <w:rPr>
          <w:spacing w:val="-7"/>
        </w:rPr>
        <w:t> </w:t>
      </w:r>
      <w:r>
        <w:rPr/>
        <w:t>across</w:t>
      </w:r>
      <w:r>
        <w:rPr>
          <w:spacing w:val="-7"/>
        </w:rPr>
        <w:t> </w:t>
      </w:r>
      <w:r>
        <w:rPr/>
        <w:t>the</w:t>
      </w:r>
      <w:r>
        <w:rPr>
          <w:spacing w:val="-6"/>
        </w:rPr>
        <w:t> </w:t>
      </w:r>
      <w:r>
        <w:rPr/>
        <w:t>Commonwealth</w:t>
      </w:r>
      <w:r>
        <w:rPr>
          <w:spacing w:val="-8"/>
        </w:rPr>
        <w:t> </w:t>
      </w:r>
      <w:r>
        <w:rPr/>
        <w:t>to</w:t>
      </w:r>
      <w:r>
        <w:rPr>
          <w:spacing w:val="-6"/>
        </w:rPr>
        <w:t> </w:t>
      </w:r>
      <w:r>
        <w:rPr/>
        <w:t>these</w:t>
      </w:r>
      <w:r>
        <w:rPr>
          <w:spacing w:val="-7"/>
        </w:rPr>
        <w:t> </w:t>
      </w:r>
      <w:r>
        <w:rPr/>
        <w:t>titles.</w:t>
      </w:r>
      <w:r>
        <w:rPr>
          <w:spacing w:val="-8"/>
        </w:rPr>
        <w:t> </w:t>
      </w:r>
      <w:r>
        <w:rPr/>
        <w:t>Thus,</w:t>
      </w:r>
      <w:r>
        <w:rPr>
          <w:spacing w:val="-7"/>
        </w:rPr>
        <w:t> </w:t>
      </w:r>
      <w:r>
        <w:rPr/>
        <w:t>the</w:t>
      </w:r>
      <w:r>
        <w:rPr>
          <w:spacing w:val="-5"/>
        </w:rPr>
        <w:t> </w:t>
      </w:r>
      <w:r>
        <w:rPr/>
        <w:t>Commission recommends that MBLC work with libraries, the Massachusetts Library Association, and the Massachusetts</w:t>
      </w:r>
      <w:r>
        <w:rPr>
          <w:spacing w:val="-13"/>
        </w:rPr>
        <w:t> </w:t>
      </w:r>
      <w:r>
        <w:rPr/>
        <w:t>Library</w:t>
      </w:r>
      <w:r>
        <w:rPr>
          <w:spacing w:val="-12"/>
        </w:rPr>
        <w:t> </w:t>
      </w:r>
      <w:r>
        <w:rPr/>
        <w:t>System</w:t>
      </w:r>
      <w:r>
        <w:rPr>
          <w:spacing w:val="-13"/>
        </w:rPr>
        <w:t> </w:t>
      </w:r>
      <w:r>
        <w:rPr/>
        <w:t>to</w:t>
      </w:r>
      <w:r>
        <w:rPr>
          <w:spacing w:val="-12"/>
        </w:rPr>
        <w:t> </w:t>
      </w:r>
      <w:r>
        <w:rPr/>
        <w:t>ensure</w:t>
      </w:r>
      <w:r>
        <w:rPr>
          <w:spacing w:val="-13"/>
        </w:rPr>
        <w:t> </w:t>
      </w:r>
      <w:r>
        <w:rPr/>
        <w:t>that</w:t>
      </w:r>
      <w:r>
        <w:rPr>
          <w:spacing w:val="-12"/>
        </w:rPr>
        <w:t> </w:t>
      </w:r>
      <w:r>
        <w:rPr/>
        <w:t>youth</w:t>
      </w:r>
      <w:r>
        <w:rPr>
          <w:spacing w:val="-13"/>
        </w:rPr>
        <w:t> </w:t>
      </w:r>
      <w:r>
        <w:rPr/>
        <w:t>consistently</w:t>
      </w:r>
      <w:r>
        <w:rPr>
          <w:spacing w:val="-12"/>
        </w:rPr>
        <w:t> </w:t>
      </w:r>
      <w:r>
        <w:rPr/>
        <w:t>are</w:t>
      </w:r>
      <w:r>
        <w:rPr>
          <w:spacing w:val="-12"/>
        </w:rPr>
        <w:t> </w:t>
      </w:r>
      <w:r>
        <w:rPr/>
        <w:t>able</w:t>
      </w:r>
      <w:r>
        <w:rPr>
          <w:spacing w:val="-13"/>
        </w:rPr>
        <w:t> </w:t>
      </w:r>
      <w:r>
        <w:rPr/>
        <w:t>to</w:t>
      </w:r>
      <w:r>
        <w:rPr>
          <w:spacing w:val="-12"/>
        </w:rPr>
        <w:t> </w:t>
      </w:r>
      <w:r>
        <w:rPr/>
        <w:t>gain</w:t>
      </w:r>
      <w:r>
        <w:rPr>
          <w:spacing w:val="-13"/>
        </w:rPr>
        <w:t> </w:t>
      </w:r>
      <w:r>
        <w:rPr/>
        <w:t>access</w:t>
      </w:r>
      <w:r>
        <w:rPr>
          <w:spacing w:val="-12"/>
        </w:rPr>
        <w:t> </w:t>
      </w:r>
      <w:r>
        <w:rPr/>
        <w:t>to</w:t>
      </w:r>
      <w:r>
        <w:rPr>
          <w:spacing w:val="-13"/>
        </w:rPr>
        <w:t> </w:t>
      </w:r>
      <w:r>
        <w:rPr/>
        <w:t>LGBTQ-inclusive and anti-racist books.</w:t>
      </w:r>
    </w:p>
    <w:p>
      <w:pPr>
        <w:numPr>
          <w:ilvl w:val="0"/>
          <w:numId w:val="47"/>
        </w:numPr>
        <w:tabs>
          <w:tab w:pos="481" w:val="left" w:leader="none"/>
          <w:tab w:pos="483" w:val="left" w:leader="none"/>
        </w:tabs>
        <w:spacing w:line="276" w:lineRule="auto" w:before="241"/>
        <w:ind w:left="483" w:right="346" w:hanging="360"/>
        <w:jc w:val="both"/>
        <w:rPr>
          <w:b/>
          <w:sz w:val="22"/>
        </w:rPr>
      </w:pPr>
      <w:r>
        <w:rPr>
          <w:b/>
          <w:sz w:val="22"/>
        </w:rPr>
        <w:t>Partner with the Commission and communities to equip Massachusetts librarians with conflict resolution skills, talking points, and protection to handle anti-LGBTQ protests against programs and book challenges.</w:t>
      </w:r>
    </w:p>
    <w:p>
      <w:pPr>
        <w:pStyle w:val="BodyText"/>
        <w:spacing w:line="276" w:lineRule="auto" w:before="239"/>
        <w:ind w:left="483" w:right="342"/>
        <w:jc w:val="both"/>
      </w:pPr>
      <w:r>
        <w:rPr/>
        <w:t>As</w:t>
      </w:r>
      <w:r>
        <w:rPr>
          <w:spacing w:val="-1"/>
        </w:rPr>
        <w:t> </w:t>
      </w:r>
      <w:r>
        <w:rPr/>
        <w:t>discussed</w:t>
      </w:r>
      <w:r>
        <w:rPr>
          <w:spacing w:val="-2"/>
        </w:rPr>
        <w:t> </w:t>
      </w:r>
      <w:r>
        <w:rPr/>
        <w:t>in</w:t>
      </w:r>
      <w:r>
        <w:rPr>
          <w:spacing w:val="-2"/>
        </w:rPr>
        <w:t> </w:t>
      </w:r>
      <w:r>
        <w:rPr/>
        <w:t>above</w:t>
      </w:r>
      <w:r>
        <w:rPr>
          <w:spacing w:val="-2"/>
        </w:rPr>
        <w:t> </w:t>
      </w:r>
      <w:r>
        <w:rPr/>
        <w:t>sections,</w:t>
      </w:r>
      <w:r>
        <w:rPr>
          <w:spacing w:val="-1"/>
        </w:rPr>
        <w:t> </w:t>
      </w:r>
      <w:r>
        <w:rPr/>
        <w:t>the</w:t>
      </w:r>
      <w:r>
        <w:rPr>
          <w:spacing w:val="-2"/>
        </w:rPr>
        <w:t> </w:t>
      </w:r>
      <w:r>
        <w:rPr/>
        <w:t>Commission</w:t>
      </w:r>
      <w:r>
        <w:rPr>
          <w:spacing w:val="-2"/>
        </w:rPr>
        <w:t> </w:t>
      </w:r>
      <w:r>
        <w:rPr/>
        <w:t>is</w:t>
      </w:r>
      <w:r>
        <w:rPr>
          <w:spacing w:val="-1"/>
        </w:rPr>
        <w:t> </w:t>
      </w:r>
      <w:r>
        <w:rPr/>
        <w:t>actively</w:t>
      </w:r>
      <w:r>
        <w:rPr>
          <w:spacing w:val="-1"/>
        </w:rPr>
        <w:t> </w:t>
      </w:r>
      <w:r>
        <w:rPr/>
        <w:t>working</w:t>
      </w:r>
      <w:r>
        <w:rPr>
          <w:spacing w:val="-1"/>
        </w:rPr>
        <w:t> </w:t>
      </w:r>
      <w:r>
        <w:rPr/>
        <w:t>with</w:t>
      </w:r>
      <w:r>
        <w:rPr>
          <w:spacing w:val="-2"/>
        </w:rPr>
        <w:t> </w:t>
      </w:r>
      <w:r>
        <w:rPr/>
        <w:t>community</w:t>
      </w:r>
      <w:r>
        <w:rPr>
          <w:spacing w:val="-1"/>
        </w:rPr>
        <w:t> </w:t>
      </w:r>
      <w:r>
        <w:rPr/>
        <w:t>and</w:t>
      </w:r>
      <w:r>
        <w:rPr>
          <w:spacing w:val="-2"/>
        </w:rPr>
        <w:t> </w:t>
      </w:r>
      <w:r>
        <w:rPr/>
        <w:t>agency</w:t>
      </w:r>
      <w:r>
        <w:rPr>
          <w:spacing w:val="-1"/>
        </w:rPr>
        <w:t> </w:t>
      </w:r>
      <w:r>
        <w:rPr/>
        <w:t>partners to address the alarming rise in anti-LGBTQ and racist attacks across the Commonwealth in schools and</w:t>
      </w:r>
    </w:p>
    <w:p>
      <w:pPr>
        <w:spacing w:after="0" w:line="276" w:lineRule="auto"/>
        <w:jc w:val="both"/>
        <w:sectPr>
          <w:pgSz w:w="12240" w:h="15840"/>
          <w:pgMar w:header="804" w:footer="1260" w:top="1000" w:bottom="1460" w:left="960" w:right="1100"/>
        </w:sectPr>
      </w:pPr>
    </w:p>
    <w:p>
      <w:pPr>
        <w:pStyle w:val="BodyText"/>
        <w:spacing w:before="98"/>
      </w:pPr>
    </w:p>
    <w:p>
      <w:pPr>
        <w:pStyle w:val="BodyText"/>
        <w:spacing w:line="276" w:lineRule="auto"/>
        <w:ind w:left="483" w:right="342"/>
        <w:jc w:val="both"/>
      </w:pPr>
      <w:r>
        <w:rPr/>
        <w:t>libraries.</w:t>
      </w:r>
      <w:r>
        <w:rPr>
          <w:spacing w:val="-9"/>
        </w:rPr>
        <w:t> </w:t>
      </w:r>
      <w:r>
        <w:rPr/>
        <w:t>Unfortunately,</w:t>
      </w:r>
      <w:r>
        <w:rPr>
          <w:spacing w:val="-7"/>
        </w:rPr>
        <w:t> </w:t>
      </w:r>
      <w:r>
        <w:rPr/>
        <w:t>the</w:t>
      </w:r>
      <w:r>
        <w:rPr>
          <w:spacing w:val="-9"/>
        </w:rPr>
        <w:t> </w:t>
      </w:r>
      <w:r>
        <w:rPr/>
        <w:t>rise</w:t>
      </w:r>
      <w:r>
        <w:rPr>
          <w:spacing w:val="-9"/>
        </w:rPr>
        <w:t> </w:t>
      </w:r>
      <w:r>
        <w:rPr/>
        <w:t>in</w:t>
      </w:r>
      <w:r>
        <w:rPr>
          <w:spacing w:val="-9"/>
        </w:rPr>
        <w:t> </w:t>
      </w:r>
      <w:r>
        <w:rPr/>
        <w:t>violent</w:t>
      </w:r>
      <w:r>
        <w:rPr>
          <w:spacing w:val="-9"/>
        </w:rPr>
        <w:t> </w:t>
      </w:r>
      <w:r>
        <w:rPr/>
        <w:t>attacks</w:t>
      </w:r>
      <w:r>
        <w:rPr>
          <w:spacing w:val="-9"/>
        </w:rPr>
        <w:t> </w:t>
      </w:r>
      <w:r>
        <w:rPr/>
        <w:t>-</w:t>
      </w:r>
      <w:r>
        <w:rPr>
          <w:spacing w:val="-9"/>
        </w:rPr>
        <w:t> </w:t>
      </w:r>
      <w:r>
        <w:rPr/>
        <w:t>verbal</w:t>
      </w:r>
      <w:r>
        <w:rPr>
          <w:spacing w:val="-9"/>
        </w:rPr>
        <w:t> </w:t>
      </w:r>
      <w:r>
        <w:rPr/>
        <w:t>and</w:t>
      </w:r>
      <w:r>
        <w:rPr>
          <w:spacing w:val="-8"/>
        </w:rPr>
        <w:t> </w:t>
      </w:r>
      <w:r>
        <w:rPr/>
        <w:t>physical</w:t>
      </w:r>
      <w:r>
        <w:rPr>
          <w:spacing w:val="-9"/>
        </w:rPr>
        <w:t> </w:t>
      </w:r>
      <w:r>
        <w:rPr/>
        <w:t>-</w:t>
      </w:r>
      <w:r>
        <w:rPr>
          <w:spacing w:val="-9"/>
        </w:rPr>
        <w:t> </w:t>
      </w:r>
      <w:r>
        <w:rPr/>
        <w:t>has</w:t>
      </w:r>
      <w:r>
        <w:rPr>
          <w:spacing w:val="-9"/>
        </w:rPr>
        <w:t> </w:t>
      </w:r>
      <w:r>
        <w:rPr/>
        <w:t>left</w:t>
      </w:r>
      <w:r>
        <w:rPr>
          <w:spacing w:val="-8"/>
        </w:rPr>
        <w:t> </w:t>
      </w:r>
      <w:r>
        <w:rPr/>
        <w:t>educators,</w:t>
      </w:r>
      <w:r>
        <w:rPr>
          <w:spacing w:val="-9"/>
        </w:rPr>
        <w:t> </w:t>
      </w:r>
      <w:r>
        <w:rPr/>
        <w:t>librarians,</w:t>
      </w:r>
      <w:r>
        <w:rPr>
          <w:spacing w:val="-9"/>
        </w:rPr>
        <w:t> </w:t>
      </w:r>
      <w:r>
        <w:rPr/>
        <w:t>and advocates</w:t>
      </w:r>
      <w:r>
        <w:rPr>
          <w:spacing w:val="-11"/>
        </w:rPr>
        <w:t> </w:t>
      </w:r>
      <w:r>
        <w:rPr/>
        <w:t>in</w:t>
      </w:r>
      <w:r>
        <w:rPr>
          <w:spacing w:val="-9"/>
        </w:rPr>
        <w:t> </w:t>
      </w:r>
      <w:r>
        <w:rPr/>
        <w:t>need</w:t>
      </w:r>
      <w:r>
        <w:rPr>
          <w:spacing w:val="-10"/>
        </w:rPr>
        <w:t> </w:t>
      </w:r>
      <w:r>
        <w:rPr/>
        <w:t>of</w:t>
      </w:r>
      <w:r>
        <w:rPr>
          <w:spacing w:val="-11"/>
        </w:rPr>
        <w:t> </w:t>
      </w:r>
      <w:r>
        <w:rPr/>
        <w:t>significant</w:t>
      </w:r>
      <w:r>
        <w:rPr>
          <w:spacing w:val="-10"/>
        </w:rPr>
        <w:t> </w:t>
      </w:r>
      <w:r>
        <w:rPr/>
        <w:t>support</w:t>
      </w:r>
      <w:r>
        <w:rPr>
          <w:spacing w:val="-9"/>
        </w:rPr>
        <w:t> </w:t>
      </w:r>
      <w:r>
        <w:rPr/>
        <w:t>from</w:t>
      </w:r>
      <w:r>
        <w:rPr>
          <w:spacing w:val="-11"/>
        </w:rPr>
        <w:t> </w:t>
      </w:r>
      <w:r>
        <w:rPr/>
        <w:t>the</w:t>
      </w:r>
      <w:r>
        <w:rPr>
          <w:spacing w:val="-10"/>
        </w:rPr>
        <w:t> </w:t>
      </w:r>
      <w:r>
        <w:rPr/>
        <w:t>state.</w:t>
      </w:r>
      <w:r>
        <w:rPr>
          <w:spacing w:val="-12"/>
        </w:rPr>
        <w:t> </w:t>
      </w:r>
      <w:r>
        <w:rPr/>
        <w:t>The</w:t>
      </w:r>
      <w:r>
        <w:rPr>
          <w:spacing w:val="-11"/>
        </w:rPr>
        <w:t> </w:t>
      </w:r>
      <w:r>
        <w:rPr/>
        <w:t>Commission</w:t>
      </w:r>
      <w:r>
        <w:rPr>
          <w:spacing w:val="-11"/>
        </w:rPr>
        <w:t> </w:t>
      </w:r>
      <w:r>
        <w:rPr/>
        <w:t>strongly</w:t>
      </w:r>
      <w:r>
        <w:rPr>
          <w:spacing w:val="-11"/>
        </w:rPr>
        <w:t> </w:t>
      </w:r>
      <w:r>
        <w:rPr/>
        <w:t>recommends</w:t>
      </w:r>
      <w:r>
        <w:rPr>
          <w:spacing w:val="-11"/>
        </w:rPr>
        <w:t> </w:t>
      </w:r>
      <w:r>
        <w:rPr/>
        <w:t>that</w:t>
      </w:r>
      <w:r>
        <w:rPr>
          <w:spacing w:val="-10"/>
        </w:rPr>
        <w:t> </w:t>
      </w:r>
      <w:r>
        <w:rPr/>
        <w:t>MBLC continue</w:t>
      </w:r>
      <w:r>
        <w:rPr>
          <w:spacing w:val="-4"/>
        </w:rPr>
        <w:t> </w:t>
      </w:r>
      <w:r>
        <w:rPr/>
        <w:t>to</w:t>
      </w:r>
      <w:r>
        <w:rPr>
          <w:spacing w:val="-3"/>
        </w:rPr>
        <w:t> </w:t>
      </w:r>
      <w:r>
        <w:rPr/>
        <w:t>partner</w:t>
      </w:r>
      <w:r>
        <w:rPr>
          <w:spacing w:val="-5"/>
        </w:rPr>
        <w:t> </w:t>
      </w:r>
      <w:r>
        <w:rPr/>
        <w:t>with</w:t>
      </w:r>
      <w:r>
        <w:rPr>
          <w:spacing w:val="-4"/>
        </w:rPr>
        <w:t> </w:t>
      </w:r>
      <w:r>
        <w:rPr/>
        <w:t>the</w:t>
      </w:r>
      <w:r>
        <w:rPr>
          <w:spacing w:val="-5"/>
        </w:rPr>
        <w:t> </w:t>
      </w:r>
      <w:r>
        <w:rPr/>
        <w:t>Commission</w:t>
      </w:r>
      <w:r>
        <w:rPr>
          <w:spacing w:val="-5"/>
        </w:rPr>
        <w:t> </w:t>
      </w:r>
      <w:r>
        <w:rPr/>
        <w:t>to</w:t>
      </w:r>
      <w:r>
        <w:rPr>
          <w:spacing w:val="-3"/>
        </w:rPr>
        <w:t> </w:t>
      </w:r>
      <w:r>
        <w:rPr/>
        <w:t>identify</w:t>
      </w:r>
      <w:r>
        <w:rPr>
          <w:spacing w:val="-4"/>
        </w:rPr>
        <w:t> </w:t>
      </w:r>
      <w:r>
        <w:rPr/>
        <w:t>ways</w:t>
      </w:r>
      <w:r>
        <w:rPr>
          <w:spacing w:val="-5"/>
        </w:rPr>
        <w:t> </w:t>
      </w:r>
      <w:r>
        <w:rPr/>
        <w:t>to</w:t>
      </w:r>
      <w:r>
        <w:rPr>
          <w:spacing w:val="-3"/>
        </w:rPr>
        <w:t> </w:t>
      </w:r>
      <w:r>
        <w:rPr/>
        <w:t>equip</w:t>
      </w:r>
      <w:r>
        <w:rPr>
          <w:spacing w:val="-5"/>
        </w:rPr>
        <w:t> </w:t>
      </w:r>
      <w:r>
        <w:rPr/>
        <w:t>Massachusetts</w:t>
      </w:r>
      <w:r>
        <w:rPr>
          <w:spacing w:val="-4"/>
        </w:rPr>
        <w:t> </w:t>
      </w:r>
      <w:r>
        <w:rPr/>
        <w:t>librarians</w:t>
      </w:r>
      <w:r>
        <w:rPr>
          <w:spacing w:val="-5"/>
        </w:rPr>
        <w:t> </w:t>
      </w:r>
      <w:r>
        <w:rPr/>
        <w:t>with</w:t>
      </w:r>
      <w:r>
        <w:rPr>
          <w:spacing w:val="-4"/>
        </w:rPr>
        <w:t> </w:t>
      </w:r>
      <w:r>
        <w:rPr/>
        <w:t>conflict resolution</w:t>
      </w:r>
      <w:r>
        <w:rPr>
          <w:spacing w:val="-5"/>
        </w:rPr>
        <w:t> </w:t>
      </w:r>
      <w:r>
        <w:rPr/>
        <w:t>skills,</w:t>
      </w:r>
      <w:r>
        <w:rPr>
          <w:spacing w:val="-5"/>
        </w:rPr>
        <w:t> </w:t>
      </w:r>
      <w:r>
        <w:rPr/>
        <w:t>talking</w:t>
      </w:r>
      <w:r>
        <w:rPr>
          <w:spacing w:val="-4"/>
        </w:rPr>
        <w:t> </w:t>
      </w:r>
      <w:r>
        <w:rPr/>
        <w:t>points,</w:t>
      </w:r>
      <w:r>
        <w:rPr>
          <w:spacing w:val="-5"/>
        </w:rPr>
        <w:t> </w:t>
      </w:r>
      <w:r>
        <w:rPr/>
        <w:t>and</w:t>
      </w:r>
      <w:r>
        <w:rPr>
          <w:spacing w:val="-3"/>
        </w:rPr>
        <w:t> </w:t>
      </w:r>
      <w:r>
        <w:rPr/>
        <w:t>protection</w:t>
      </w:r>
      <w:r>
        <w:rPr>
          <w:spacing w:val="-4"/>
        </w:rPr>
        <w:t> </w:t>
      </w:r>
      <w:r>
        <w:rPr/>
        <w:t>to</w:t>
      </w:r>
      <w:r>
        <w:rPr>
          <w:spacing w:val="-3"/>
        </w:rPr>
        <w:t> </w:t>
      </w:r>
      <w:r>
        <w:rPr/>
        <w:t>handle</w:t>
      </w:r>
      <w:r>
        <w:rPr>
          <w:spacing w:val="-5"/>
        </w:rPr>
        <w:t> </w:t>
      </w:r>
      <w:r>
        <w:rPr/>
        <w:t>anti-LGBTQ</w:t>
      </w:r>
      <w:r>
        <w:rPr>
          <w:spacing w:val="-4"/>
        </w:rPr>
        <w:t> </w:t>
      </w:r>
      <w:r>
        <w:rPr/>
        <w:t>protests</w:t>
      </w:r>
      <w:r>
        <w:rPr>
          <w:spacing w:val="-5"/>
        </w:rPr>
        <w:t> </w:t>
      </w:r>
      <w:r>
        <w:rPr/>
        <w:t>against</w:t>
      </w:r>
      <w:r>
        <w:rPr>
          <w:spacing w:val="-5"/>
        </w:rPr>
        <w:t> </w:t>
      </w:r>
      <w:r>
        <w:rPr/>
        <w:t>programs</w:t>
      </w:r>
      <w:r>
        <w:rPr>
          <w:spacing w:val="-5"/>
        </w:rPr>
        <w:t> </w:t>
      </w:r>
      <w:r>
        <w:rPr/>
        <w:t>and</w:t>
      </w:r>
      <w:r>
        <w:rPr>
          <w:spacing w:val="-3"/>
        </w:rPr>
        <w:t> </w:t>
      </w:r>
      <w:r>
        <w:rPr/>
        <w:t>book </w:t>
      </w:r>
      <w:r>
        <w:rPr>
          <w:spacing w:val="-2"/>
        </w:rPr>
        <w:t>challenges.</w:t>
      </w:r>
    </w:p>
    <w:p>
      <w:pPr>
        <w:numPr>
          <w:ilvl w:val="0"/>
          <w:numId w:val="47"/>
        </w:numPr>
        <w:tabs>
          <w:tab w:pos="481" w:val="left" w:leader="none"/>
        </w:tabs>
        <w:spacing w:before="240"/>
        <w:ind w:left="481" w:right="0" w:hanging="358"/>
        <w:jc w:val="left"/>
        <w:rPr>
          <w:b/>
          <w:sz w:val="22"/>
        </w:rPr>
      </w:pPr>
      <w:r>
        <w:rPr>
          <w:b/>
          <w:sz w:val="22"/>
        </w:rPr>
        <w:t>Support</w:t>
      </w:r>
      <w:r>
        <w:rPr>
          <w:b/>
          <w:spacing w:val="-11"/>
          <w:sz w:val="22"/>
        </w:rPr>
        <w:t> </w:t>
      </w:r>
      <w:r>
        <w:rPr>
          <w:b/>
          <w:sz w:val="22"/>
        </w:rPr>
        <w:t>libraries</w:t>
      </w:r>
      <w:r>
        <w:rPr>
          <w:b/>
          <w:spacing w:val="-11"/>
          <w:sz w:val="22"/>
        </w:rPr>
        <w:t> </w:t>
      </w:r>
      <w:r>
        <w:rPr>
          <w:b/>
          <w:sz w:val="22"/>
        </w:rPr>
        <w:t>with</w:t>
      </w:r>
      <w:r>
        <w:rPr>
          <w:b/>
          <w:spacing w:val="-11"/>
          <w:sz w:val="22"/>
        </w:rPr>
        <w:t> </w:t>
      </w:r>
      <w:r>
        <w:rPr>
          <w:b/>
          <w:sz w:val="22"/>
        </w:rPr>
        <w:t>LGBTQ-inclusive</w:t>
      </w:r>
      <w:r>
        <w:rPr>
          <w:b/>
          <w:spacing w:val="-11"/>
          <w:sz w:val="22"/>
        </w:rPr>
        <w:t> </w:t>
      </w:r>
      <w:r>
        <w:rPr>
          <w:b/>
          <w:spacing w:val="-2"/>
          <w:sz w:val="22"/>
        </w:rPr>
        <w:t>programming.</w:t>
      </w:r>
    </w:p>
    <w:p>
      <w:pPr>
        <w:pStyle w:val="BodyText"/>
        <w:spacing w:before="11"/>
        <w:rPr>
          <w:b/>
        </w:rPr>
      </w:pPr>
    </w:p>
    <w:p>
      <w:pPr>
        <w:pStyle w:val="BodyText"/>
        <w:spacing w:line="276" w:lineRule="auto"/>
        <w:ind w:left="483" w:right="343"/>
        <w:jc w:val="both"/>
      </w:pPr>
      <w:r>
        <w:rPr/>
        <w:t>Now</w:t>
      </w:r>
      <w:r>
        <w:rPr>
          <w:spacing w:val="-8"/>
        </w:rPr>
        <w:t> </w:t>
      </w:r>
      <w:r>
        <w:rPr/>
        <w:t>more</w:t>
      </w:r>
      <w:r>
        <w:rPr>
          <w:spacing w:val="-8"/>
        </w:rPr>
        <w:t> </w:t>
      </w:r>
      <w:r>
        <w:rPr/>
        <w:t>than</w:t>
      </w:r>
      <w:r>
        <w:rPr>
          <w:spacing w:val="-8"/>
        </w:rPr>
        <w:t> </w:t>
      </w:r>
      <w:r>
        <w:rPr/>
        <w:t>ever,</w:t>
      </w:r>
      <w:r>
        <w:rPr>
          <w:spacing w:val="-7"/>
        </w:rPr>
        <w:t> </w:t>
      </w:r>
      <w:r>
        <w:rPr/>
        <w:t>it</w:t>
      </w:r>
      <w:r>
        <w:rPr>
          <w:spacing w:val="-8"/>
        </w:rPr>
        <w:t> </w:t>
      </w:r>
      <w:r>
        <w:rPr/>
        <w:t>is</w:t>
      </w:r>
      <w:r>
        <w:rPr>
          <w:spacing w:val="-7"/>
        </w:rPr>
        <w:t> </w:t>
      </w:r>
      <w:r>
        <w:rPr/>
        <w:t>essential</w:t>
      </w:r>
      <w:r>
        <w:rPr>
          <w:spacing w:val="-8"/>
        </w:rPr>
        <w:t> </w:t>
      </w:r>
      <w:r>
        <w:rPr/>
        <w:t>that</w:t>
      </w:r>
      <w:r>
        <w:rPr>
          <w:spacing w:val="-7"/>
        </w:rPr>
        <w:t> </w:t>
      </w:r>
      <w:r>
        <w:rPr/>
        <w:t>youth</w:t>
      </w:r>
      <w:r>
        <w:rPr>
          <w:spacing w:val="-8"/>
        </w:rPr>
        <w:t> </w:t>
      </w:r>
      <w:r>
        <w:rPr/>
        <w:t>have</w:t>
      </w:r>
      <w:r>
        <w:rPr>
          <w:spacing w:val="-8"/>
        </w:rPr>
        <w:t> </w:t>
      </w:r>
      <w:r>
        <w:rPr/>
        <w:t>visible</w:t>
      </w:r>
      <w:r>
        <w:rPr>
          <w:spacing w:val="-8"/>
        </w:rPr>
        <w:t> </w:t>
      </w:r>
      <w:r>
        <w:rPr/>
        <w:t>and</w:t>
      </w:r>
      <w:r>
        <w:rPr>
          <w:spacing w:val="-8"/>
        </w:rPr>
        <w:t> </w:t>
      </w:r>
      <w:r>
        <w:rPr/>
        <w:t>safe</w:t>
      </w:r>
      <w:r>
        <w:rPr>
          <w:spacing w:val="-7"/>
        </w:rPr>
        <w:t> </w:t>
      </w:r>
      <w:r>
        <w:rPr/>
        <w:t>opportunities</w:t>
      </w:r>
      <w:r>
        <w:rPr>
          <w:spacing w:val="-7"/>
        </w:rPr>
        <w:t> </w:t>
      </w:r>
      <w:r>
        <w:rPr/>
        <w:t>to</w:t>
      </w:r>
      <w:r>
        <w:rPr>
          <w:spacing w:val="-7"/>
        </w:rPr>
        <w:t> </w:t>
      </w:r>
      <w:r>
        <w:rPr/>
        <w:t>learn</w:t>
      </w:r>
      <w:r>
        <w:rPr>
          <w:spacing w:val="-8"/>
        </w:rPr>
        <w:t> </w:t>
      </w:r>
      <w:r>
        <w:rPr/>
        <w:t>more</w:t>
      </w:r>
      <w:r>
        <w:rPr>
          <w:spacing w:val="-8"/>
        </w:rPr>
        <w:t> </w:t>
      </w:r>
      <w:r>
        <w:rPr/>
        <w:t>about</w:t>
      </w:r>
      <w:r>
        <w:rPr>
          <w:spacing w:val="-8"/>
        </w:rPr>
        <w:t> </w:t>
      </w:r>
      <w:r>
        <w:rPr/>
        <w:t>the LGBTQ community, and for LGBTQ youth to have spaces to connect with other LGBTQ youth in their communities. The Commission recommends that MBLC continue to support libraries across the Commonwealth to hold safe and accessible programs for LGBTQ youth.</w:t>
      </w:r>
    </w:p>
    <w:p>
      <w:pPr>
        <w:numPr>
          <w:ilvl w:val="0"/>
          <w:numId w:val="47"/>
        </w:numPr>
        <w:tabs>
          <w:tab w:pos="481" w:val="left" w:leader="none"/>
          <w:tab w:pos="483" w:val="left" w:leader="none"/>
        </w:tabs>
        <w:spacing w:line="276" w:lineRule="auto" w:before="241"/>
        <w:ind w:left="483" w:right="344" w:hanging="360"/>
        <w:jc w:val="left"/>
        <w:rPr>
          <w:b/>
          <w:sz w:val="22"/>
        </w:rPr>
      </w:pPr>
      <w:r>
        <w:rPr>
          <w:b/>
          <w:sz w:val="22"/>
        </w:rPr>
        <w:t>Collaborate</w:t>
      </w:r>
      <w:r>
        <w:rPr>
          <w:b/>
          <w:spacing w:val="-10"/>
          <w:sz w:val="22"/>
        </w:rPr>
        <w:t> </w:t>
      </w:r>
      <w:r>
        <w:rPr>
          <w:b/>
          <w:sz w:val="22"/>
        </w:rPr>
        <w:t>with</w:t>
      </w:r>
      <w:r>
        <w:rPr>
          <w:b/>
          <w:spacing w:val="-12"/>
          <w:sz w:val="22"/>
        </w:rPr>
        <w:t> </w:t>
      </w:r>
      <w:r>
        <w:rPr>
          <w:b/>
          <w:sz w:val="22"/>
        </w:rPr>
        <w:t>the</w:t>
      </w:r>
      <w:r>
        <w:rPr>
          <w:b/>
          <w:spacing w:val="-10"/>
          <w:sz w:val="22"/>
        </w:rPr>
        <w:t> </w:t>
      </w:r>
      <w:r>
        <w:rPr>
          <w:b/>
          <w:sz w:val="22"/>
        </w:rPr>
        <w:t>Department</w:t>
      </w:r>
      <w:r>
        <w:rPr>
          <w:b/>
          <w:spacing w:val="-12"/>
          <w:sz w:val="22"/>
        </w:rPr>
        <w:t> </w:t>
      </w:r>
      <w:r>
        <w:rPr>
          <w:b/>
          <w:sz w:val="22"/>
        </w:rPr>
        <w:t>of</w:t>
      </w:r>
      <w:r>
        <w:rPr>
          <w:b/>
          <w:spacing w:val="-10"/>
          <w:sz w:val="22"/>
        </w:rPr>
        <w:t> </w:t>
      </w:r>
      <w:r>
        <w:rPr>
          <w:b/>
          <w:sz w:val="22"/>
        </w:rPr>
        <w:t>Elementary</w:t>
      </w:r>
      <w:r>
        <w:rPr>
          <w:b/>
          <w:spacing w:val="-10"/>
          <w:sz w:val="22"/>
        </w:rPr>
        <w:t> </w:t>
      </w:r>
      <w:r>
        <w:rPr>
          <w:b/>
          <w:sz w:val="22"/>
        </w:rPr>
        <w:t>and</w:t>
      </w:r>
      <w:r>
        <w:rPr>
          <w:b/>
          <w:spacing w:val="-12"/>
          <w:sz w:val="22"/>
        </w:rPr>
        <w:t> </w:t>
      </w:r>
      <w:r>
        <w:rPr>
          <w:b/>
          <w:sz w:val="22"/>
        </w:rPr>
        <w:t>Secondary</w:t>
      </w:r>
      <w:r>
        <w:rPr>
          <w:b/>
          <w:spacing w:val="-10"/>
          <w:sz w:val="22"/>
        </w:rPr>
        <w:t> </w:t>
      </w:r>
      <w:r>
        <w:rPr>
          <w:b/>
          <w:sz w:val="22"/>
        </w:rPr>
        <w:t>Education</w:t>
      </w:r>
      <w:r>
        <w:rPr>
          <w:b/>
          <w:spacing w:val="-10"/>
          <w:sz w:val="22"/>
        </w:rPr>
        <w:t> </w:t>
      </w:r>
      <w:r>
        <w:rPr>
          <w:b/>
          <w:sz w:val="22"/>
        </w:rPr>
        <w:t>to</w:t>
      </w:r>
      <w:r>
        <w:rPr>
          <w:b/>
          <w:spacing w:val="-9"/>
          <w:sz w:val="22"/>
        </w:rPr>
        <w:t> </w:t>
      </w:r>
      <w:r>
        <w:rPr>
          <w:b/>
          <w:sz w:val="22"/>
        </w:rPr>
        <w:t>align</w:t>
      </w:r>
      <w:r>
        <w:rPr>
          <w:b/>
          <w:spacing w:val="-12"/>
          <w:sz w:val="22"/>
        </w:rPr>
        <w:t> </w:t>
      </w:r>
      <w:r>
        <w:rPr>
          <w:b/>
          <w:sz w:val="22"/>
        </w:rPr>
        <w:t>efforts</w:t>
      </w:r>
      <w:r>
        <w:rPr>
          <w:b/>
          <w:spacing w:val="-10"/>
          <w:sz w:val="22"/>
        </w:rPr>
        <w:t> </w:t>
      </w:r>
      <w:r>
        <w:rPr>
          <w:b/>
          <w:sz w:val="22"/>
        </w:rPr>
        <w:t>on</w:t>
      </w:r>
      <w:r>
        <w:rPr>
          <w:b/>
          <w:spacing w:val="-10"/>
          <w:sz w:val="22"/>
        </w:rPr>
        <w:t> </w:t>
      </w:r>
      <w:r>
        <w:rPr>
          <w:b/>
          <w:sz w:val="22"/>
        </w:rPr>
        <w:t>addressing book challenges, protests, and hate crimes against state and school libraries and staff.</w:t>
      </w:r>
    </w:p>
    <w:p>
      <w:pPr>
        <w:pStyle w:val="BodyText"/>
        <w:spacing w:line="276" w:lineRule="auto" w:before="239"/>
        <w:ind w:left="483" w:right="341"/>
        <w:jc w:val="both"/>
      </w:pPr>
      <w:r>
        <w:rPr/>
        <w:t>One of the major problems with addressing anti-LGBTQ attacks across the state of Massachusetts is the lack of collaboration between state agencies and community organizations to support ongoing work across institutions. In particular, as both schools and libraries are attacked, collaboration between the Department of Elementary and Secondary Education (DESE), the Massachusetts School Library Association, and MBLC is essential to align on efforts to address book challenges, and support educators and librarians.</w:t>
      </w:r>
    </w:p>
    <w:p>
      <w:pPr>
        <w:pStyle w:val="BodyText"/>
      </w:pPr>
    </w:p>
    <w:p>
      <w:pPr>
        <w:pStyle w:val="BodyText"/>
        <w:spacing w:before="252"/>
      </w:pPr>
    </w:p>
    <w:p>
      <w:pPr>
        <w:spacing w:before="0"/>
        <w:ind w:left="483" w:right="0" w:firstLine="0"/>
        <w:jc w:val="left"/>
        <w:rPr>
          <w:i/>
          <w:sz w:val="22"/>
        </w:rPr>
      </w:pPr>
      <w:r>
        <w:rPr>
          <w:i/>
          <w:sz w:val="22"/>
        </w:rPr>
        <w:t>Acknowledgments:</w:t>
      </w:r>
      <w:r>
        <w:rPr>
          <w:i/>
          <w:spacing w:val="-10"/>
          <w:sz w:val="22"/>
        </w:rPr>
        <w:t> </w:t>
      </w:r>
      <w:r>
        <w:rPr>
          <w:i/>
          <w:sz w:val="22"/>
        </w:rPr>
        <w:t>The</w:t>
      </w:r>
      <w:r>
        <w:rPr>
          <w:i/>
          <w:spacing w:val="-8"/>
          <w:sz w:val="22"/>
        </w:rPr>
        <w:t> </w:t>
      </w:r>
      <w:r>
        <w:rPr>
          <w:i/>
          <w:sz w:val="22"/>
        </w:rPr>
        <w:t>Commission</w:t>
      </w:r>
      <w:r>
        <w:rPr>
          <w:i/>
          <w:spacing w:val="-8"/>
          <w:sz w:val="22"/>
        </w:rPr>
        <w:t> </w:t>
      </w:r>
      <w:r>
        <w:rPr>
          <w:i/>
          <w:sz w:val="22"/>
        </w:rPr>
        <w:t>appreciates</w:t>
      </w:r>
      <w:r>
        <w:rPr>
          <w:i/>
          <w:spacing w:val="-8"/>
          <w:sz w:val="22"/>
        </w:rPr>
        <w:t> </w:t>
      </w:r>
      <w:r>
        <w:rPr>
          <w:i/>
          <w:sz w:val="22"/>
        </w:rPr>
        <w:t>the</w:t>
      </w:r>
      <w:r>
        <w:rPr>
          <w:i/>
          <w:spacing w:val="-10"/>
          <w:sz w:val="22"/>
        </w:rPr>
        <w:t> </w:t>
      </w:r>
      <w:r>
        <w:rPr>
          <w:i/>
          <w:sz w:val="22"/>
        </w:rPr>
        <w:t>contributions</w:t>
      </w:r>
      <w:r>
        <w:rPr>
          <w:i/>
          <w:spacing w:val="-9"/>
          <w:sz w:val="22"/>
        </w:rPr>
        <w:t> </w:t>
      </w:r>
      <w:r>
        <w:rPr>
          <w:i/>
          <w:sz w:val="22"/>
        </w:rPr>
        <w:t>of</w:t>
      </w:r>
      <w:r>
        <w:rPr>
          <w:i/>
          <w:spacing w:val="-9"/>
          <w:sz w:val="22"/>
        </w:rPr>
        <w:t> </w:t>
      </w:r>
      <w:r>
        <w:rPr>
          <w:i/>
          <w:sz w:val="22"/>
        </w:rPr>
        <w:t>its</w:t>
      </w:r>
      <w:r>
        <w:rPr>
          <w:i/>
          <w:spacing w:val="-8"/>
          <w:sz w:val="22"/>
        </w:rPr>
        <w:t> </w:t>
      </w:r>
      <w:r>
        <w:rPr>
          <w:i/>
          <w:sz w:val="22"/>
        </w:rPr>
        <w:t>librarian</w:t>
      </w:r>
      <w:r>
        <w:rPr>
          <w:i/>
          <w:spacing w:val="-9"/>
          <w:sz w:val="22"/>
        </w:rPr>
        <w:t> </w:t>
      </w:r>
      <w:r>
        <w:rPr>
          <w:i/>
          <w:sz w:val="22"/>
        </w:rPr>
        <w:t>and</w:t>
      </w:r>
      <w:r>
        <w:rPr>
          <w:i/>
          <w:spacing w:val="-9"/>
          <w:sz w:val="22"/>
        </w:rPr>
        <w:t> </w:t>
      </w:r>
      <w:r>
        <w:rPr>
          <w:i/>
          <w:sz w:val="22"/>
        </w:rPr>
        <w:t>MBLC</w:t>
      </w:r>
      <w:r>
        <w:rPr>
          <w:i/>
          <w:spacing w:val="-9"/>
          <w:sz w:val="22"/>
        </w:rPr>
        <w:t> </w:t>
      </w:r>
      <w:r>
        <w:rPr>
          <w:i/>
          <w:sz w:val="22"/>
        </w:rPr>
        <w:t>staff</w:t>
      </w:r>
      <w:r>
        <w:rPr>
          <w:i/>
          <w:spacing w:val="-9"/>
          <w:sz w:val="22"/>
        </w:rPr>
        <w:t> </w:t>
      </w:r>
      <w:r>
        <w:rPr>
          <w:i/>
          <w:spacing w:val="-2"/>
          <w:sz w:val="22"/>
        </w:rPr>
        <w:t>liaisons.</w:t>
      </w:r>
    </w:p>
    <w:p>
      <w:pPr>
        <w:pStyle w:val="BodyText"/>
        <w:spacing w:before="11"/>
        <w:rPr>
          <w:i/>
        </w:rPr>
      </w:pPr>
    </w:p>
    <w:p>
      <w:pPr>
        <w:spacing w:before="0"/>
        <w:ind w:left="483" w:right="0" w:firstLine="0"/>
        <w:jc w:val="left"/>
        <w:rPr>
          <w:b/>
          <w:sz w:val="22"/>
        </w:rPr>
      </w:pPr>
      <w:r>
        <w:rPr>
          <w:b/>
          <w:spacing w:val="-2"/>
          <w:sz w:val="22"/>
        </w:rPr>
        <w:t>Citations</w:t>
      </w:r>
    </w:p>
    <w:p>
      <w:pPr>
        <w:pStyle w:val="BodyText"/>
        <w:spacing w:before="13"/>
        <w:rPr>
          <w:b/>
        </w:rPr>
      </w:pPr>
    </w:p>
    <w:p>
      <w:pPr>
        <w:spacing w:before="0"/>
        <w:ind w:left="483" w:right="342" w:hanging="1"/>
        <w:jc w:val="both"/>
        <w:rPr>
          <w:sz w:val="18"/>
        </w:rPr>
      </w:pPr>
      <w:bookmarkStart w:name="_bookmark648" w:id="955"/>
      <w:bookmarkEnd w:id="955"/>
      <w:r>
        <w:rPr/>
      </w:r>
      <w:r>
        <w:rPr>
          <w:sz w:val="18"/>
          <w:vertAlign w:val="superscript"/>
        </w:rPr>
        <w:t>1</w:t>
      </w:r>
      <w:r>
        <w:rPr>
          <w:spacing w:val="-11"/>
          <w:sz w:val="18"/>
          <w:vertAlign w:val="baseline"/>
        </w:rPr>
        <w:t> </w:t>
      </w:r>
      <w:r>
        <w:rPr>
          <w:sz w:val="18"/>
          <w:vertAlign w:val="baseline"/>
        </w:rPr>
        <w:t>Yalsa</w:t>
      </w:r>
      <w:r>
        <w:rPr>
          <w:spacing w:val="-10"/>
          <w:sz w:val="18"/>
          <w:vertAlign w:val="baseline"/>
        </w:rPr>
        <w:t> </w:t>
      </w:r>
      <w:r>
        <w:rPr>
          <w:sz w:val="18"/>
          <w:vertAlign w:val="baseline"/>
        </w:rPr>
        <w:t>Projects,</w:t>
      </w:r>
      <w:r>
        <w:rPr>
          <w:spacing w:val="-10"/>
          <w:sz w:val="18"/>
          <w:vertAlign w:val="baseline"/>
        </w:rPr>
        <w:t> </w:t>
      </w:r>
      <w:r>
        <w:rPr>
          <w:sz w:val="18"/>
          <w:vertAlign w:val="baseline"/>
        </w:rPr>
        <w:t>“‘They</w:t>
      </w:r>
      <w:r>
        <w:rPr>
          <w:spacing w:val="-9"/>
          <w:sz w:val="18"/>
          <w:vertAlign w:val="baseline"/>
        </w:rPr>
        <w:t> </w:t>
      </w:r>
      <w:r>
        <w:rPr>
          <w:sz w:val="18"/>
          <w:vertAlign w:val="baseline"/>
        </w:rPr>
        <w:t>Kind</w:t>
      </w:r>
      <w:r>
        <w:rPr>
          <w:spacing w:val="-7"/>
          <w:sz w:val="18"/>
          <w:vertAlign w:val="baseline"/>
        </w:rPr>
        <w:t> </w:t>
      </w:r>
      <w:r>
        <w:rPr>
          <w:sz w:val="18"/>
          <w:vertAlign w:val="baseline"/>
        </w:rPr>
        <w:t>of</w:t>
      </w:r>
      <w:r>
        <w:rPr>
          <w:spacing w:val="-7"/>
          <w:sz w:val="18"/>
          <w:vertAlign w:val="baseline"/>
        </w:rPr>
        <w:t> </w:t>
      </w:r>
      <w:r>
        <w:rPr>
          <w:sz w:val="18"/>
          <w:vertAlign w:val="baseline"/>
        </w:rPr>
        <w:t>Rely</w:t>
      </w:r>
      <w:r>
        <w:rPr>
          <w:spacing w:val="-7"/>
          <w:sz w:val="18"/>
          <w:vertAlign w:val="baseline"/>
        </w:rPr>
        <w:t> </w:t>
      </w:r>
      <w:r>
        <w:rPr>
          <w:sz w:val="18"/>
          <w:vertAlign w:val="baseline"/>
        </w:rPr>
        <w:t>on</w:t>
      </w:r>
      <w:r>
        <w:rPr>
          <w:spacing w:val="-7"/>
          <w:sz w:val="18"/>
          <w:vertAlign w:val="baseline"/>
        </w:rPr>
        <w:t> </w:t>
      </w:r>
      <w:r>
        <w:rPr>
          <w:sz w:val="18"/>
          <w:vertAlign w:val="baseline"/>
        </w:rPr>
        <w:t>the</w:t>
      </w:r>
      <w:r>
        <w:rPr>
          <w:spacing w:val="-7"/>
          <w:sz w:val="18"/>
          <w:vertAlign w:val="baseline"/>
        </w:rPr>
        <w:t> </w:t>
      </w:r>
      <w:r>
        <w:rPr>
          <w:sz w:val="18"/>
          <w:vertAlign w:val="baseline"/>
        </w:rPr>
        <w:t>Library’:</w:t>
      </w:r>
      <w:r>
        <w:rPr>
          <w:spacing w:val="-7"/>
          <w:sz w:val="18"/>
          <w:vertAlign w:val="baseline"/>
        </w:rPr>
        <w:t> </w:t>
      </w:r>
      <w:r>
        <w:rPr>
          <w:sz w:val="18"/>
          <w:vertAlign w:val="baseline"/>
        </w:rPr>
        <w:t>School</w:t>
      </w:r>
      <w:r>
        <w:rPr>
          <w:spacing w:val="-8"/>
          <w:sz w:val="18"/>
          <w:vertAlign w:val="baseline"/>
        </w:rPr>
        <w:t> </w:t>
      </w:r>
      <w:r>
        <w:rPr>
          <w:sz w:val="18"/>
          <w:vertAlign w:val="baseline"/>
        </w:rPr>
        <w:t>Librarians</w:t>
      </w:r>
      <w:r>
        <w:rPr>
          <w:spacing w:val="-7"/>
          <w:sz w:val="18"/>
          <w:vertAlign w:val="baseline"/>
        </w:rPr>
        <w:t> </w:t>
      </w:r>
      <w:r>
        <w:rPr>
          <w:sz w:val="18"/>
          <w:vertAlign w:val="baseline"/>
        </w:rPr>
        <w:t>Serving</w:t>
      </w:r>
      <w:r>
        <w:rPr>
          <w:spacing w:val="-8"/>
          <w:sz w:val="18"/>
          <w:vertAlign w:val="baseline"/>
        </w:rPr>
        <w:t> </w:t>
      </w:r>
      <w:r>
        <w:rPr>
          <w:sz w:val="18"/>
          <w:vertAlign w:val="baseline"/>
        </w:rPr>
        <w:t>LGBT</w:t>
      </w:r>
      <w:r>
        <w:rPr>
          <w:spacing w:val="-7"/>
          <w:sz w:val="18"/>
          <w:vertAlign w:val="baseline"/>
        </w:rPr>
        <w:t> </w:t>
      </w:r>
      <w:r>
        <w:rPr>
          <w:sz w:val="18"/>
          <w:vertAlign w:val="baseline"/>
        </w:rPr>
        <w:t>Students,”</w:t>
      </w:r>
      <w:r>
        <w:rPr>
          <w:spacing w:val="-7"/>
          <w:sz w:val="18"/>
          <w:vertAlign w:val="baseline"/>
        </w:rPr>
        <w:t> </w:t>
      </w:r>
      <w:r>
        <w:rPr>
          <w:i/>
          <w:sz w:val="18"/>
          <w:vertAlign w:val="baseline"/>
        </w:rPr>
        <w:t>The</w:t>
      </w:r>
      <w:r>
        <w:rPr>
          <w:i/>
          <w:spacing w:val="-8"/>
          <w:sz w:val="18"/>
          <w:vertAlign w:val="baseline"/>
        </w:rPr>
        <w:t> </w:t>
      </w:r>
      <w:r>
        <w:rPr>
          <w:i/>
          <w:sz w:val="18"/>
          <w:vertAlign w:val="baseline"/>
        </w:rPr>
        <w:t>Journal</w:t>
      </w:r>
      <w:r>
        <w:rPr>
          <w:i/>
          <w:spacing w:val="-8"/>
          <w:sz w:val="18"/>
          <w:vertAlign w:val="baseline"/>
        </w:rPr>
        <w:t> </w:t>
      </w:r>
      <w:r>
        <w:rPr>
          <w:i/>
          <w:sz w:val="18"/>
          <w:vertAlign w:val="baseline"/>
        </w:rPr>
        <w:t>of</w:t>
      </w:r>
      <w:r>
        <w:rPr>
          <w:i/>
          <w:spacing w:val="-7"/>
          <w:sz w:val="18"/>
          <w:vertAlign w:val="baseline"/>
        </w:rPr>
        <w:t> </w:t>
      </w:r>
      <w:r>
        <w:rPr>
          <w:i/>
          <w:sz w:val="18"/>
          <w:vertAlign w:val="baseline"/>
        </w:rPr>
        <w:t>Research</w:t>
      </w:r>
      <w:r>
        <w:rPr>
          <w:i/>
          <w:spacing w:val="-7"/>
          <w:sz w:val="18"/>
          <w:vertAlign w:val="baseline"/>
        </w:rPr>
        <w:t> </w:t>
      </w:r>
      <w:r>
        <w:rPr>
          <w:i/>
          <w:sz w:val="18"/>
          <w:vertAlign w:val="baseline"/>
        </w:rPr>
        <w:t>on</w:t>
      </w:r>
      <w:r>
        <w:rPr>
          <w:i/>
          <w:spacing w:val="-7"/>
          <w:sz w:val="18"/>
          <w:vertAlign w:val="baseline"/>
        </w:rPr>
        <w:t> </w:t>
      </w:r>
      <w:r>
        <w:rPr>
          <w:i/>
          <w:sz w:val="18"/>
          <w:vertAlign w:val="baseline"/>
        </w:rPr>
        <w:t>Libraries</w:t>
      </w:r>
      <w:r>
        <w:rPr>
          <w:i/>
          <w:sz w:val="18"/>
          <w:vertAlign w:val="baseline"/>
        </w:rPr>
        <w:t> and Young Adults </w:t>
      </w:r>
      <w:r>
        <w:rPr>
          <w:sz w:val="18"/>
          <w:vertAlign w:val="baseline"/>
        </w:rPr>
        <w:t>(blog), March 18, 2016, https://</w:t>
      </w:r>
      <w:hyperlink r:id="rId767">
        <w:r>
          <w:rPr>
            <w:sz w:val="18"/>
            <w:vertAlign w:val="baseline"/>
          </w:rPr>
          <w:t>www.yalsa.ala.org/jrlya/2016/03/they-kind-of-rely-on-the-library-</w:t>
        </w:r>
      </w:hyperlink>
      <w:r>
        <w:rPr>
          <w:sz w:val="18"/>
          <w:vertAlign w:val="baseline"/>
        </w:rPr>
        <w:t> school- </w:t>
      </w:r>
      <w:bookmarkStart w:name="_bookmark649" w:id="956"/>
      <w:bookmarkEnd w:id="956"/>
      <w:r>
        <w:rPr>
          <w:spacing w:val="-2"/>
          <w:sz w:val="18"/>
          <w:vertAlign w:val="baseline"/>
        </w:rPr>
        <w:t>l</w:t>
      </w:r>
      <w:r>
        <w:rPr>
          <w:spacing w:val="-2"/>
          <w:sz w:val="18"/>
          <w:vertAlign w:val="baseline"/>
        </w:rPr>
        <w:t>ibrarians-serving-lgbt-students/.</w:t>
      </w:r>
    </w:p>
    <w:p>
      <w:pPr>
        <w:spacing w:before="0"/>
        <w:ind w:left="483" w:right="342" w:hanging="1"/>
        <w:jc w:val="both"/>
        <w:rPr>
          <w:sz w:val="18"/>
        </w:rPr>
      </w:pPr>
      <w:r>
        <w:rPr>
          <w:sz w:val="18"/>
          <w:vertAlign w:val="superscript"/>
        </w:rPr>
        <w:t>2</w:t>
      </w:r>
      <w:r>
        <w:rPr>
          <w:spacing w:val="-11"/>
          <w:sz w:val="18"/>
          <w:vertAlign w:val="baseline"/>
        </w:rPr>
        <w:t> </w:t>
      </w:r>
      <w:r>
        <w:rPr>
          <w:sz w:val="18"/>
          <w:vertAlign w:val="baseline"/>
        </w:rPr>
        <w:t>American Library Association, “Extending Our Reach: Reducing Homelessness Through Library Engagement,” Text, About ALA, October 8, 2012, https://</w:t>
      </w:r>
      <w:hyperlink r:id="rId768">
        <w:r>
          <w:rPr>
            <w:sz w:val="18"/>
            <w:vertAlign w:val="baseline"/>
          </w:rPr>
          <w:t>www.ala.org/aboutala/offices/extending-our-reach-reducing-homelessness-through-library-</w:t>
        </w:r>
      </w:hyperlink>
      <w:r>
        <w:rPr>
          <w:sz w:val="18"/>
          <w:vertAlign w:val="baseline"/>
        </w:rPr>
        <w:t> </w:t>
      </w:r>
      <w:bookmarkStart w:name="_bookmark650" w:id="957"/>
      <w:bookmarkEnd w:id="957"/>
      <w:r>
        <w:rPr>
          <w:spacing w:val="-2"/>
          <w:sz w:val="18"/>
          <w:vertAlign w:val="baseline"/>
        </w:rPr>
        <w:t>eng</w:t>
      </w:r>
      <w:r>
        <w:rPr>
          <w:spacing w:val="-2"/>
          <w:sz w:val="18"/>
          <w:vertAlign w:val="baseline"/>
        </w:rPr>
        <w:t>agement-3.</w:t>
      </w:r>
    </w:p>
    <w:p>
      <w:pPr>
        <w:spacing w:before="0"/>
        <w:ind w:left="483" w:right="342" w:hanging="1"/>
        <w:jc w:val="both"/>
        <w:rPr>
          <w:sz w:val="18"/>
        </w:rPr>
      </w:pPr>
      <w:r>
        <w:rPr>
          <w:sz w:val="18"/>
          <w:vertAlign w:val="superscript"/>
        </w:rPr>
        <w:t>3</w:t>
      </w:r>
      <w:r>
        <w:rPr>
          <w:sz w:val="18"/>
          <w:vertAlign w:val="baseline"/>
        </w:rPr>
        <w:t> Boston Public Library, “Resources for Youth Experiencing Housing Insecurity,” accessed April 25, 2023, </w:t>
      </w:r>
      <w:r>
        <w:rPr>
          <w:spacing w:val="-2"/>
          <w:sz w:val="18"/>
          <w:vertAlign w:val="baseline"/>
        </w:rPr>
        <w:t>https://</w:t>
      </w:r>
      <w:hyperlink r:id="rId769">
        <w:r>
          <w:rPr>
            <w:spacing w:val="-2"/>
            <w:sz w:val="18"/>
            <w:vertAlign w:val="baseline"/>
          </w:rPr>
          <w:t>www.bpl.org/resources-for-youth-experiencing-housing-insecurity.</w:t>
        </w:r>
      </w:hyperlink>
    </w:p>
    <w:p>
      <w:pPr>
        <w:spacing w:before="0"/>
        <w:ind w:left="483" w:right="341" w:firstLine="0"/>
        <w:jc w:val="both"/>
        <w:rPr>
          <w:sz w:val="18"/>
        </w:rPr>
      </w:pPr>
      <w:bookmarkStart w:name="_bookmark651" w:id="958"/>
      <w:bookmarkEnd w:id="958"/>
      <w:r>
        <w:rPr/>
      </w:r>
      <w:r>
        <w:rPr>
          <w:sz w:val="18"/>
          <w:vertAlign w:val="superscript"/>
        </w:rPr>
        <w:t>4</w:t>
      </w:r>
      <w:r>
        <w:rPr>
          <w:spacing w:val="-11"/>
          <w:sz w:val="18"/>
          <w:vertAlign w:val="baseline"/>
        </w:rPr>
        <w:t> </w:t>
      </w:r>
      <w:r>
        <w:rPr>
          <w:sz w:val="18"/>
          <w:vertAlign w:val="baseline"/>
        </w:rPr>
        <w:t>American</w:t>
      </w:r>
      <w:r>
        <w:rPr>
          <w:spacing w:val="-1"/>
          <w:sz w:val="18"/>
          <w:vertAlign w:val="baseline"/>
        </w:rPr>
        <w:t> </w:t>
      </w:r>
      <w:r>
        <w:rPr>
          <w:sz w:val="18"/>
          <w:vertAlign w:val="baseline"/>
        </w:rPr>
        <w:t>Library Association, “American Library Association Reports Record Number of</w:t>
      </w:r>
      <w:r>
        <w:rPr>
          <w:spacing w:val="-1"/>
          <w:sz w:val="18"/>
          <w:vertAlign w:val="baseline"/>
        </w:rPr>
        <w:t> </w:t>
      </w:r>
      <w:r>
        <w:rPr>
          <w:sz w:val="18"/>
          <w:vertAlign w:val="baseline"/>
        </w:rPr>
        <w:t>Demands to Censor Library Books and Materials in 2022,” Text, News and Press Center, March 22, 2023, https://</w:t>
      </w:r>
      <w:hyperlink r:id="rId770">
        <w:r>
          <w:rPr>
            <w:sz w:val="18"/>
            <w:vertAlign w:val="baseline"/>
          </w:rPr>
          <w:t>www.ala.org/news/press-releases/2023/03/record-</w:t>
        </w:r>
      </w:hyperlink>
      <w:r>
        <w:rPr>
          <w:sz w:val="18"/>
          <w:vertAlign w:val="baseline"/>
        </w:rPr>
        <w:t> </w:t>
      </w:r>
      <w:r>
        <w:rPr>
          <w:spacing w:val="-2"/>
          <w:sz w:val="18"/>
          <w:vertAlign w:val="baseline"/>
        </w:rPr>
        <w:t>book-bans-2022.</w:t>
      </w:r>
    </w:p>
    <w:p>
      <w:pPr>
        <w:spacing w:before="0"/>
        <w:ind w:left="483" w:right="345" w:firstLine="0"/>
        <w:jc w:val="both"/>
        <w:rPr>
          <w:sz w:val="18"/>
        </w:rPr>
      </w:pPr>
      <w:bookmarkStart w:name="_bookmark652" w:id="959"/>
      <w:bookmarkEnd w:id="959"/>
      <w:r>
        <w:rPr/>
      </w:r>
      <w:r>
        <w:rPr>
          <w:sz w:val="18"/>
          <w:vertAlign w:val="superscript"/>
        </w:rPr>
        <w:t>5</w:t>
      </w:r>
      <w:r>
        <w:rPr>
          <w:spacing w:val="-7"/>
          <w:sz w:val="18"/>
          <w:vertAlign w:val="baseline"/>
        </w:rPr>
        <w:t> </w:t>
      </w:r>
      <w:r>
        <w:rPr>
          <w:sz w:val="18"/>
          <w:vertAlign w:val="baseline"/>
        </w:rPr>
        <w:t>American Library Association, “Top 13 Most Challenged Books of 2022,” Text, Advocacy, Legislation &amp; Issues, April 21, 2023, </w:t>
      </w:r>
      <w:r>
        <w:rPr>
          <w:spacing w:val="-2"/>
          <w:sz w:val="18"/>
          <w:vertAlign w:val="baseline"/>
        </w:rPr>
        <w:t>https://</w:t>
      </w:r>
      <w:hyperlink r:id="rId771">
        <w:r>
          <w:rPr>
            <w:spacing w:val="-2"/>
            <w:sz w:val="18"/>
            <w:vertAlign w:val="baseline"/>
          </w:rPr>
          <w:t>www.ala.org/advocacy/bbooks/frequentlychallengedbooks/top10.</w:t>
        </w:r>
      </w:hyperlink>
    </w:p>
    <w:p>
      <w:pPr>
        <w:spacing w:before="0"/>
        <w:ind w:left="483" w:right="342" w:hanging="1"/>
        <w:jc w:val="both"/>
        <w:rPr>
          <w:sz w:val="18"/>
        </w:rPr>
      </w:pPr>
      <w:bookmarkStart w:name="_bookmark653" w:id="960"/>
      <w:bookmarkEnd w:id="960"/>
      <w:r>
        <w:rPr/>
      </w:r>
      <w:r>
        <w:rPr>
          <w:sz w:val="18"/>
          <w:vertAlign w:val="superscript"/>
        </w:rPr>
        <w:t>6</w:t>
      </w:r>
      <w:r>
        <w:rPr>
          <w:spacing w:val="-11"/>
          <w:sz w:val="18"/>
          <w:vertAlign w:val="baseline"/>
        </w:rPr>
        <w:t> </w:t>
      </w:r>
      <w:r>
        <w:rPr>
          <w:sz w:val="18"/>
          <w:vertAlign w:val="baseline"/>
        </w:rPr>
        <w:t>GLAD</w:t>
      </w:r>
      <w:r>
        <w:rPr>
          <w:spacing w:val="-10"/>
          <w:sz w:val="18"/>
          <w:vertAlign w:val="baseline"/>
        </w:rPr>
        <w:t> </w:t>
      </w:r>
      <w:r>
        <w:rPr>
          <w:sz w:val="18"/>
          <w:vertAlign w:val="baseline"/>
        </w:rPr>
        <w:t>and</w:t>
      </w:r>
      <w:r>
        <w:rPr>
          <w:spacing w:val="-10"/>
          <w:sz w:val="18"/>
          <w:vertAlign w:val="baseline"/>
        </w:rPr>
        <w:t> </w:t>
      </w:r>
      <w:r>
        <w:rPr>
          <w:sz w:val="18"/>
          <w:vertAlign w:val="baseline"/>
        </w:rPr>
        <w:t>ACLU</w:t>
      </w:r>
      <w:r>
        <w:rPr>
          <w:spacing w:val="-10"/>
          <w:sz w:val="18"/>
          <w:vertAlign w:val="baseline"/>
        </w:rPr>
        <w:t> </w:t>
      </w:r>
      <w:r>
        <w:rPr>
          <w:sz w:val="18"/>
          <w:vertAlign w:val="baseline"/>
        </w:rPr>
        <w:t>Massachusetts,</w:t>
      </w:r>
      <w:r>
        <w:rPr>
          <w:spacing w:val="-8"/>
          <w:sz w:val="18"/>
          <w:vertAlign w:val="baseline"/>
        </w:rPr>
        <w:t> </w:t>
      </w:r>
      <w:r>
        <w:rPr>
          <w:sz w:val="18"/>
          <w:vertAlign w:val="baseline"/>
        </w:rPr>
        <w:t>“ACLU,</w:t>
      </w:r>
      <w:r>
        <w:rPr>
          <w:spacing w:val="-8"/>
          <w:sz w:val="18"/>
          <w:vertAlign w:val="baseline"/>
        </w:rPr>
        <w:t> </w:t>
      </w:r>
      <w:r>
        <w:rPr>
          <w:sz w:val="18"/>
          <w:vertAlign w:val="baseline"/>
        </w:rPr>
        <w:t>GLAD</w:t>
      </w:r>
      <w:r>
        <w:rPr>
          <w:spacing w:val="-8"/>
          <w:sz w:val="18"/>
          <w:vertAlign w:val="baseline"/>
        </w:rPr>
        <w:t> </w:t>
      </w:r>
      <w:r>
        <w:rPr>
          <w:sz w:val="18"/>
          <w:vertAlign w:val="baseline"/>
        </w:rPr>
        <w:t>Urge</w:t>
      </w:r>
      <w:r>
        <w:rPr>
          <w:spacing w:val="-7"/>
          <w:sz w:val="18"/>
          <w:vertAlign w:val="baseline"/>
        </w:rPr>
        <w:t> </w:t>
      </w:r>
      <w:r>
        <w:rPr>
          <w:sz w:val="18"/>
          <w:vertAlign w:val="baseline"/>
        </w:rPr>
        <w:t>Massachusetts</w:t>
      </w:r>
      <w:r>
        <w:rPr>
          <w:spacing w:val="-7"/>
          <w:sz w:val="18"/>
          <w:vertAlign w:val="baseline"/>
        </w:rPr>
        <w:t> </w:t>
      </w:r>
      <w:r>
        <w:rPr>
          <w:sz w:val="18"/>
          <w:vertAlign w:val="baseline"/>
        </w:rPr>
        <w:t>Schools</w:t>
      </w:r>
      <w:r>
        <w:rPr>
          <w:spacing w:val="-7"/>
          <w:sz w:val="18"/>
          <w:vertAlign w:val="baseline"/>
        </w:rPr>
        <w:t> </w:t>
      </w:r>
      <w:r>
        <w:rPr>
          <w:sz w:val="18"/>
          <w:vertAlign w:val="baseline"/>
        </w:rPr>
        <w:t>to</w:t>
      </w:r>
      <w:r>
        <w:rPr>
          <w:spacing w:val="-7"/>
          <w:sz w:val="18"/>
          <w:vertAlign w:val="baseline"/>
        </w:rPr>
        <w:t> </w:t>
      </w:r>
      <w:r>
        <w:rPr>
          <w:sz w:val="18"/>
          <w:vertAlign w:val="baseline"/>
        </w:rPr>
        <w:t>Reject</w:t>
      </w:r>
      <w:r>
        <w:rPr>
          <w:spacing w:val="-7"/>
          <w:sz w:val="18"/>
          <w:vertAlign w:val="baseline"/>
        </w:rPr>
        <w:t> </w:t>
      </w:r>
      <w:r>
        <w:rPr>
          <w:sz w:val="18"/>
          <w:vertAlign w:val="baseline"/>
        </w:rPr>
        <w:t>Calls</w:t>
      </w:r>
      <w:r>
        <w:rPr>
          <w:spacing w:val="-7"/>
          <w:sz w:val="18"/>
          <w:vertAlign w:val="baseline"/>
        </w:rPr>
        <w:t> </w:t>
      </w:r>
      <w:r>
        <w:rPr>
          <w:sz w:val="18"/>
          <w:vertAlign w:val="baseline"/>
        </w:rPr>
        <w:t>for</w:t>
      </w:r>
      <w:r>
        <w:rPr>
          <w:spacing w:val="-8"/>
          <w:sz w:val="18"/>
          <w:vertAlign w:val="baseline"/>
        </w:rPr>
        <w:t> </w:t>
      </w:r>
      <w:r>
        <w:rPr>
          <w:sz w:val="18"/>
          <w:vertAlign w:val="baseline"/>
        </w:rPr>
        <w:t>Book</w:t>
      </w:r>
      <w:r>
        <w:rPr>
          <w:spacing w:val="-7"/>
          <w:sz w:val="18"/>
          <w:vertAlign w:val="baseline"/>
        </w:rPr>
        <w:t> </w:t>
      </w:r>
      <w:r>
        <w:rPr>
          <w:sz w:val="18"/>
          <w:vertAlign w:val="baseline"/>
        </w:rPr>
        <w:t>Bans</w:t>
      </w:r>
      <w:r>
        <w:rPr>
          <w:spacing w:val="-7"/>
          <w:sz w:val="18"/>
          <w:vertAlign w:val="baseline"/>
        </w:rPr>
        <w:t> </w:t>
      </w:r>
      <w:r>
        <w:rPr>
          <w:sz w:val="18"/>
          <w:vertAlign w:val="baseline"/>
        </w:rPr>
        <w:t>|</w:t>
      </w:r>
      <w:r>
        <w:rPr>
          <w:spacing w:val="-8"/>
          <w:sz w:val="18"/>
          <w:vertAlign w:val="baseline"/>
        </w:rPr>
        <w:t> </w:t>
      </w:r>
      <w:r>
        <w:rPr>
          <w:sz w:val="18"/>
          <w:vertAlign w:val="baseline"/>
        </w:rPr>
        <w:t>ACLU</w:t>
      </w:r>
      <w:r>
        <w:rPr>
          <w:spacing w:val="-7"/>
          <w:sz w:val="18"/>
          <w:vertAlign w:val="baseline"/>
        </w:rPr>
        <w:t> </w:t>
      </w:r>
      <w:r>
        <w:rPr>
          <w:sz w:val="18"/>
          <w:vertAlign w:val="baseline"/>
        </w:rPr>
        <w:t>Massachusetts,” January 23, 2023, https</w:t>
      </w:r>
      <w:hyperlink r:id="rId772">
        <w:r>
          <w:rPr>
            <w:sz w:val="18"/>
            <w:vertAlign w:val="baseline"/>
          </w:rPr>
          <w:t>://w</w:t>
        </w:r>
      </w:hyperlink>
      <w:r>
        <w:rPr>
          <w:sz w:val="18"/>
          <w:vertAlign w:val="baseline"/>
        </w:rPr>
        <w:t>ww</w:t>
      </w:r>
      <w:hyperlink r:id="rId772">
        <w:r>
          <w:rPr>
            <w:sz w:val="18"/>
            <w:vertAlign w:val="baseline"/>
          </w:rPr>
          <w:t>.aclum.org/en/news/aclu-glad-urge-massachusetts-schools-reject-calls-book-</w:t>
        </w:r>
      </w:hyperlink>
      <w:r>
        <w:rPr>
          <w:sz w:val="18"/>
          <w:vertAlign w:val="baseline"/>
        </w:rPr>
        <w:t> bans.</w:t>
      </w:r>
    </w:p>
    <w:p>
      <w:pPr>
        <w:spacing w:after="0"/>
        <w:jc w:val="both"/>
        <w:rPr>
          <w:sz w:val="18"/>
        </w:rPr>
        <w:sectPr>
          <w:pgSz w:w="12240" w:h="15840"/>
          <w:pgMar w:header="804" w:footer="1260" w:top="1000" w:bottom="1460" w:left="960" w:right="1100"/>
        </w:sectPr>
      </w:pPr>
    </w:p>
    <w:p>
      <w:pPr>
        <w:pStyle w:val="BodyText"/>
        <w:rPr>
          <w:sz w:val="20"/>
        </w:rPr>
      </w:pPr>
    </w:p>
    <w:p>
      <w:pPr>
        <w:pStyle w:val="BodyText"/>
        <w:spacing w:before="29"/>
        <w:rPr>
          <w:sz w:val="20"/>
        </w:rPr>
      </w:pPr>
    </w:p>
    <w:p>
      <w:pPr>
        <w:pStyle w:val="BodyText"/>
        <w:spacing w:line="20" w:lineRule="exact"/>
        <w:ind w:left="440"/>
        <w:rPr>
          <w:sz w:val="2"/>
        </w:rPr>
      </w:pPr>
      <w:r>
        <w:rPr>
          <w:sz w:val="2"/>
        </w:rPr>
        <mc:AlternateContent>
          <mc:Choice Requires="wps">
            <w:drawing>
              <wp:inline distT="0" distB="0" distL="0" distR="0">
                <wp:extent cx="6350" cy="12700"/>
                <wp:effectExtent l="0" t="0" r="0" b="0"/>
                <wp:docPr id="684" name="Group 684"/>
                <wp:cNvGraphicFramePr>
                  <a:graphicFrameLocks/>
                </wp:cNvGraphicFramePr>
                <a:graphic>
                  <a:graphicData uri="http://schemas.microsoft.com/office/word/2010/wordprocessingGroup">
                    <wpg:wgp>
                      <wpg:cNvPr id="684" name="Group 684"/>
                      <wpg:cNvGrpSpPr/>
                      <wpg:grpSpPr>
                        <a:xfrm>
                          <a:off x="0" y="0"/>
                          <a:ext cx="6350" cy="12700"/>
                          <a:chExt cx="6350" cy="12700"/>
                        </a:xfrm>
                      </wpg:grpSpPr>
                      <wps:wsp>
                        <wps:cNvPr id="685" name="Graphic 685"/>
                        <wps:cNvSpPr/>
                        <wps:spPr>
                          <a:xfrm>
                            <a:off x="0" y="0"/>
                            <a:ext cx="6350" cy="12700"/>
                          </a:xfrm>
                          <a:custGeom>
                            <a:avLst/>
                            <a:gdLst/>
                            <a:ahLst/>
                            <a:cxnLst/>
                            <a:rect l="l" t="t" r="r" b="b"/>
                            <a:pathLst>
                              <a:path w="6350" h="12700">
                                <a:moveTo>
                                  <a:pt x="6337" y="0"/>
                                </a:moveTo>
                                <a:lnTo>
                                  <a:pt x="0" y="0"/>
                                </a:lnTo>
                                <a:lnTo>
                                  <a:pt x="0" y="12217"/>
                                </a:lnTo>
                                <a:lnTo>
                                  <a:pt x="6337" y="12217"/>
                                </a:lnTo>
                                <a:lnTo>
                                  <a:pt x="6337" y="0"/>
                                </a:lnTo>
                                <a:close/>
                              </a:path>
                            </a:pathLst>
                          </a:custGeom>
                          <a:solidFill>
                            <a:srgbClr val="4F81BB"/>
                          </a:solidFill>
                        </wps:spPr>
                        <wps:bodyPr wrap="square" lIns="0" tIns="0" rIns="0" bIns="0" rtlCol="0">
                          <a:prstTxWarp prst="textNoShape">
                            <a:avLst/>
                          </a:prstTxWarp>
                          <a:noAutofit/>
                        </wps:bodyPr>
                      </wps:wsp>
                    </wpg:wgp>
                  </a:graphicData>
                </a:graphic>
              </wp:inline>
            </w:drawing>
          </mc:Choice>
          <mc:Fallback>
            <w:pict>
              <v:group style="width:.5pt;height:1pt;mso-position-horizontal-relative:char;mso-position-vertical-relative:line" id="docshapegroup581" coordorigin="0,0" coordsize="10,20">
                <v:rect style="position:absolute;left:0;top:0;width:10;height:20" id="docshape582" filled="true" fillcolor="#4f81bb" stroked="false">
                  <v:fill type="solid"/>
                </v:rect>
              </v:group>
            </w:pict>
          </mc:Fallback>
        </mc:AlternateContent>
      </w:r>
      <w:r>
        <w:rPr>
          <w:sz w:val="2"/>
        </w:rPr>
      </w:r>
    </w:p>
    <w:p>
      <w:pPr>
        <w:pStyle w:val="Heading7"/>
        <w:spacing w:before="239"/>
      </w:pPr>
      <w:bookmarkStart w:name="_bookmark654" w:id="961"/>
      <w:bookmarkEnd w:id="961"/>
      <w:r>
        <w:rPr/>
      </w:r>
      <w:hyperlink w:history="true" w:anchor="_bookmark7">
        <w:r>
          <w:rPr>
            <w:color w:val="365F91"/>
            <w:spacing w:val="-8"/>
          </w:rPr>
          <w:t>Committee</w:t>
        </w:r>
        <w:r>
          <w:rPr>
            <w:color w:val="365F91"/>
            <w:spacing w:val="-15"/>
          </w:rPr>
          <w:t> </w:t>
        </w:r>
        <w:r>
          <w:rPr>
            <w:color w:val="365F91"/>
            <w:spacing w:val="-8"/>
          </w:rPr>
          <w:t>for</w:t>
        </w:r>
        <w:r>
          <w:rPr>
            <w:color w:val="365F91"/>
            <w:spacing w:val="-16"/>
          </w:rPr>
          <w:t> </w:t>
        </w:r>
        <w:r>
          <w:rPr>
            <w:color w:val="365F91"/>
            <w:spacing w:val="-8"/>
          </w:rPr>
          <w:t>Public</w:t>
        </w:r>
        <w:r>
          <w:rPr>
            <w:color w:val="365F91"/>
            <w:spacing w:val="-13"/>
          </w:rPr>
          <w:t> </w:t>
        </w:r>
        <w:r>
          <w:rPr>
            <w:color w:val="365F91"/>
            <w:spacing w:val="-8"/>
          </w:rPr>
          <w:t>Counsel</w:t>
        </w:r>
        <w:r>
          <w:rPr>
            <w:color w:val="365F91"/>
            <w:spacing w:val="-16"/>
          </w:rPr>
          <w:t> </w:t>
        </w:r>
        <w:r>
          <w:rPr>
            <w:color w:val="365F91"/>
            <w:spacing w:val="-8"/>
          </w:rPr>
          <w:t>Services</w:t>
        </w:r>
      </w:hyperlink>
    </w:p>
    <w:p>
      <w:pPr>
        <w:pStyle w:val="BodyText"/>
        <w:rPr>
          <w:sz w:val="20"/>
        </w:rPr>
      </w:pPr>
    </w:p>
    <w:p>
      <w:pPr>
        <w:pStyle w:val="BodyText"/>
        <w:spacing w:before="141"/>
        <w:rPr>
          <w:sz w:val="20"/>
        </w:rPr>
      </w:pPr>
      <w:r>
        <w:rPr/>
        <mc:AlternateContent>
          <mc:Choice Requires="wps">
            <w:drawing>
              <wp:anchor distT="0" distB="0" distL="0" distR="0" allowOverlap="1" layoutInCell="1" locked="0" behindDoc="1" simplePos="0" relativeHeight="487731200">
                <wp:simplePos x="0" y="0"/>
                <wp:positionH relativeFrom="page">
                  <wp:posOffset>889000</wp:posOffset>
                </wp:positionH>
                <wp:positionV relativeFrom="paragraph">
                  <wp:posOffset>260425</wp:posOffset>
                </wp:positionV>
                <wp:extent cx="6350" cy="12700"/>
                <wp:effectExtent l="0" t="0" r="0" b="0"/>
                <wp:wrapTopAndBottom/>
                <wp:docPr id="686" name="Graphic 686"/>
                <wp:cNvGraphicFramePr>
                  <a:graphicFrameLocks/>
                </wp:cNvGraphicFramePr>
                <a:graphic>
                  <a:graphicData uri="http://schemas.microsoft.com/office/word/2010/wordprocessingShape">
                    <wps:wsp>
                      <wps:cNvPr id="686" name="Graphic 686"/>
                      <wps:cNvSpPr/>
                      <wps:spPr>
                        <a:xfrm>
                          <a:off x="0" y="0"/>
                          <a:ext cx="6350" cy="12700"/>
                        </a:xfrm>
                        <a:custGeom>
                          <a:avLst/>
                          <a:gdLst/>
                          <a:ahLst/>
                          <a:cxnLst/>
                          <a:rect l="l" t="t" r="r" b="b"/>
                          <a:pathLst>
                            <a:path w="6350" h="12700">
                              <a:moveTo>
                                <a:pt x="6337" y="0"/>
                              </a:moveTo>
                              <a:lnTo>
                                <a:pt x="0" y="0"/>
                              </a:lnTo>
                              <a:lnTo>
                                <a:pt x="0" y="12217"/>
                              </a:lnTo>
                              <a:lnTo>
                                <a:pt x="6337" y="12217"/>
                              </a:lnTo>
                              <a:lnTo>
                                <a:pt x="6337" y="0"/>
                              </a:lnTo>
                              <a:close/>
                            </a:path>
                          </a:pathLst>
                        </a:custGeom>
                        <a:solidFill>
                          <a:srgbClr val="4F81BB"/>
                        </a:solidFill>
                      </wps:spPr>
                      <wps:bodyPr wrap="square" lIns="0" tIns="0" rIns="0" bIns="0" rtlCol="0">
                        <a:prstTxWarp prst="textNoShape">
                          <a:avLst/>
                        </a:prstTxWarp>
                        <a:noAutofit/>
                      </wps:bodyPr>
                    </wps:wsp>
                  </a:graphicData>
                </a:graphic>
              </wp:anchor>
            </w:drawing>
          </mc:Choice>
          <mc:Fallback>
            <w:pict>
              <v:rect style="position:absolute;margin-left:70pt;margin-top:20.505907pt;width:.499pt;height:.962pt;mso-position-horizontal-relative:page;mso-position-vertical-relative:paragraph;z-index:-15585280;mso-wrap-distance-left:0;mso-wrap-distance-right:0" id="docshape583" filled="true" fillcolor="#4f81bb" stroked="false">
                <v:fill type="solid"/>
                <w10:wrap type="topAndBottom"/>
              </v:rect>
            </w:pict>
          </mc:Fallback>
        </mc:AlternateContent>
      </w:r>
    </w:p>
    <w:p>
      <w:pPr>
        <w:spacing w:before="0"/>
        <w:ind w:left="483" w:right="0" w:firstLine="0"/>
        <w:jc w:val="left"/>
        <w:rPr>
          <w:sz w:val="28"/>
        </w:rPr>
      </w:pPr>
      <w:r>
        <w:rPr>
          <w:color w:val="365F91"/>
          <w:sz w:val="28"/>
        </w:rPr>
        <w:t>FY</w:t>
      </w:r>
      <w:r>
        <w:rPr>
          <w:color w:val="365F91"/>
          <w:spacing w:val="-7"/>
          <w:sz w:val="28"/>
        </w:rPr>
        <w:t> </w:t>
      </w:r>
      <w:r>
        <w:rPr>
          <w:color w:val="365F91"/>
          <w:sz w:val="28"/>
        </w:rPr>
        <w:t>2025</w:t>
      </w:r>
      <w:r>
        <w:rPr>
          <w:color w:val="365F91"/>
          <w:spacing w:val="-6"/>
          <w:sz w:val="28"/>
        </w:rPr>
        <w:t> </w:t>
      </w:r>
      <w:r>
        <w:rPr>
          <w:color w:val="365F91"/>
          <w:spacing w:val="-2"/>
          <w:sz w:val="28"/>
        </w:rPr>
        <w:t>Recommendations</w:t>
      </w:r>
    </w:p>
    <w:p>
      <w:pPr>
        <w:pStyle w:val="BodyText"/>
        <w:spacing w:before="10"/>
        <w:rPr>
          <w:sz w:val="3"/>
        </w:rPr>
      </w:pPr>
      <w:r>
        <w:rPr/>
        <mc:AlternateContent>
          <mc:Choice Requires="wps">
            <w:drawing>
              <wp:anchor distT="0" distB="0" distL="0" distR="0" allowOverlap="1" layoutInCell="1" locked="0" behindDoc="1" simplePos="0" relativeHeight="487731712">
                <wp:simplePos x="0" y="0"/>
                <wp:positionH relativeFrom="page">
                  <wp:posOffset>897636</wp:posOffset>
                </wp:positionH>
                <wp:positionV relativeFrom="paragraph">
                  <wp:posOffset>44845</wp:posOffset>
                </wp:positionV>
                <wp:extent cx="5976620" cy="6350"/>
                <wp:effectExtent l="0" t="0" r="0" b="0"/>
                <wp:wrapTopAndBottom/>
                <wp:docPr id="687" name="Graphic 687"/>
                <wp:cNvGraphicFramePr>
                  <a:graphicFrameLocks/>
                </wp:cNvGraphicFramePr>
                <a:graphic>
                  <a:graphicData uri="http://schemas.microsoft.com/office/word/2010/wordprocessingShape">
                    <wps:wsp>
                      <wps:cNvPr id="687" name="Graphic 687"/>
                      <wps:cNvSpPr/>
                      <wps:spPr>
                        <a:xfrm>
                          <a:off x="0" y="0"/>
                          <a:ext cx="5976620" cy="6350"/>
                        </a:xfrm>
                        <a:custGeom>
                          <a:avLst/>
                          <a:gdLst/>
                          <a:ahLst/>
                          <a:cxnLst/>
                          <a:rect l="l" t="t" r="r" b="b"/>
                          <a:pathLst>
                            <a:path w="5976620" h="6350">
                              <a:moveTo>
                                <a:pt x="5976366" y="0"/>
                              </a:moveTo>
                              <a:lnTo>
                                <a:pt x="0" y="0"/>
                              </a:lnTo>
                              <a:lnTo>
                                <a:pt x="0" y="6108"/>
                              </a:lnTo>
                              <a:lnTo>
                                <a:pt x="5976366" y="6108"/>
                              </a:lnTo>
                              <a:lnTo>
                                <a:pt x="5976366" y="0"/>
                              </a:lnTo>
                              <a:close/>
                            </a:path>
                          </a:pathLst>
                        </a:custGeom>
                        <a:solidFill>
                          <a:srgbClr val="4F81BC"/>
                        </a:solidFill>
                      </wps:spPr>
                      <wps:bodyPr wrap="square" lIns="0" tIns="0" rIns="0" bIns="0" rtlCol="0">
                        <a:prstTxWarp prst="textNoShape">
                          <a:avLst/>
                        </a:prstTxWarp>
                        <a:noAutofit/>
                      </wps:bodyPr>
                    </wps:wsp>
                  </a:graphicData>
                </a:graphic>
              </wp:anchor>
            </w:drawing>
          </mc:Choice>
          <mc:Fallback>
            <w:pict>
              <v:rect style="position:absolute;margin-left:70.680pt;margin-top:3.531156pt;width:470.58pt;height:.481pt;mso-position-horizontal-relative:page;mso-position-vertical-relative:paragraph;z-index:-15584768;mso-wrap-distance-left:0;mso-wrap-distance-right:0" id="docshape584" filled="true" fillcolor="#4f81bc" stroked="false">
                <v:fill type="solid"/>
                <w10:wrap type="topAndBottom"/>
              </v:rect>
            </w:pict>
          </mc:Fallback>
        </mc:AlternateContent>
      </w:r>
    </w:p>
    <w:p>
      <w:pPr>
        <w:pStyle w:val="ListParagraph"/>
        <w:numPr>
          <w:ilvl w:val="1"/>
          <w:numId w:val="47"/>
        </w:numPr>
        <w:tabs>
          <w:tab w:pos="1059" w:val="left" w:leader="none"/>
        </w:tabs>
        <w:spacing w:line="240" w:lineRule="auto" w:before="241" w:after="0"/>
        <w:ind w:left="1059" w:right="0" w:hanging="360"/>
        <w:jc w:val="left"/>
        <w:rPr>
          <w:sz w:val="22"/>
        </w:rPr>
      </w:pPr>
      <w:r>
        <w:rPr>
          <w:sz w:val="22"/>
        </w:rPr>
        <w:t>Address</w:t>
      </w:r>
      <w:r>
        <w:rPr>
          <w:spacing w:val="-10"/>
          <w:sz w:val="22"/>
        </w:rPr>
        <w:t> </w:t>
      </w:r>
      <w:r>
        <w:rPr>
          <w:sz w:val="22"/>
        </w:rPr>
        <w:t>expectations</w:t>
      </w:r>
      <w:r>
        <w:rPr>
          <w:spacing w:val="-10"/>
          <w:sz w:val="22"/>
        </w:rPr>
        <w:t> </w:t>
      </w:r>
      <w:r>
        <w:rPr>
          <w:sz w:val="22"/>
        </w:rPr>
        <w:t>for</w:t>
      </w:r>
      <w:r>
        <w:rPr>
          <w:spacing w:val="-10"/>
          <w:sz w:val="22"/>
        </w:rPr>
        <w:t> </w:t>
      </w:r>
      <w:r>
        <w:rPr>
          <w:sz w:val="22"/>
        </w:rPr>
        <w:t>representing</w:t>
      </w:r>
      <w:r>
        <w:rPr>
          <w:spacing w:val="-9"/>
          <w:sz w:val="22"/>
        </w:rPr>
        <w:t> </w:t>
      </w:r>
      <w:r>
        <w:rPr>
          <w:sz w:val="22"/>
        </w:rPr>
        <w:t>LGBTQ</w:t>
      </w:r>
      <w:r>
        <w:rPr>
          <w:spacing w:val="-9"/>
          <w:sz w:val="22"/>
        </w:rPr>
        <w:t> </w:t>
      </w:r>
      <w:r>
        <w:rPr>
          <w:sz w:val="22"/>
        </w:rPr>
        <w:t>clients</w:t>
      </w:r>
      <w:r>
        <w:rPr>
          <w:spacing w:val="-8"/>
          <w:sz w:val="22"/>
        </w:rPr>
        <w:t> </w:t>
      </w:r>
      <w:r>
        <w:rPr>
          <w:sz w:val="22"/>
        </w:rPr>
        <w:t>within</w:t>
      </w:r>
      <w:r>
        <w:rPr>
          <w:spacing w:val="-9"/>
          <w:sz w:val="22"/>
        </w:rPr>
        <w:t> </w:t>
      </w:r>
      <w:r>
        <w:rPr>
          <w:sz w:val="22"/>
        </w:rPr>
        <w:t>the</w:t>
      </w:r>
      <w:r>
        <w:rPr>
          <w:spacing w:val="-10"/>
          <w:sz w:val="22"/>
        </w:rPr>
        <w:t> </w:t>
      </w:r>
      <w:r>
        <w:rPr>
          <w:sz w:val="22"/>
        </w:rPr>
        <w:t>CAFL</w:t>
      </w:r>
      <w:r>
        <w:rPr>
          <w:spacing w:val="-10"/>
          <w:sz w:val="22"/>
        </w:rPr>
        <w:t> </w:t>
      </w:r>
      <w:r>
        <w:rPr>
          <w:sz w:val="22"/>
        </w:rPr>
        <w:t>Performance</w:t>
      </w:r>
      <w:r>
        <w:rPr>
          <w:spacing w:val="-10"/>
          <w:sz w:val="22"/>
        </w:rPr>
        <w:t> </w:t>
      </w:r>
      <w:r>
        <w:rPr>
          <w:spacing w:val="-2"/>
          <w:sz w:val="22"/>
        </w:rPr>
        <w:t>Standards.</w:t>
      </w:r>
    </w:p>
    <w:p>
      <w:pPr>
        <w:pStyle w:val="ListParagraph"/>
        <w:numPr>
          <w:ilvl w:val="1"/>
          <w:numId w:val="47"/>
        </w:numPr>
        <w:tabs>
          <w:tab w:pos="1059" w:val="left" w:leader="none"/>
        </w:tabs>
        <w:spacing w:line="240" w:lineRule="auto" w:before="41" w:after="0"/>
        <w:ind w:left="1059" w:right="0" w:hanging="360"/>
        <w:jc w:val="left"/>
        <w:rPr>
          <w:sz w:val="22"/>
        </w:rPr>
      </w:pPr>
      <w:r>
        <w:rPr>
          <w:sz w:val="22"/>
        </w:rPr>
        <w:t>Provide</w:t>
      </w:r>
      <w:r>
        <w:rPr>
          <w:spacing w:val="-9"/>
          <w:sz w:val="22"/>
        </w:rPr>
        <w:t> </w:t>
      </w:r>
      <w:r>
        <w:rPr>
          <w:sz w:val="22"/>
        </w:rPr>
        <w:t>consistent</w:t>
      </w:r>
      <w:r>
        <w:rPr>
          <w:spacing w:val="-9"/>
          <w:sz w:val="22"/>
        </w:rPr>
        <w:t> </w:t>
      </w:r>
      <w:r>
        <w:rPr>
          <w:sz w:val="22"/>
        </w:rPr>
        <w:t>and</w:t>
      </w:r>
      <w:r>
        <w:rPr>
          <w:spacing w:val="-8"/>
          <w:sz w:val="22"/>
        </w:rPr>
        <w:t> </w:t>
      </w:r>
      <w:r>
        <w:rPr>
          <w:sz w:val="22"/>
        </w:rPr>
        <w:t>high-quality</w:t>
      </w:r>
      <w:r>
        <w:rPr>
          <w:spacing w:val="-7"/>
          <w:sz w:val="22"/>
        </w:rPr>
        <w:t> </w:t>
      </w:r>
      <w:r>
        <w:rPr>
          <w:sz w:val="22"/>
        </w:rPr>
        <w:t>training</w:t>
      </w:r>
      <w:r>
        <w:rPr>
          <w:spacing w:val="-9"/>
          <w:sz w:val="22"/>
        </w:rPr>
        <w:t> </w:t>
      </w:r>
      <w:r>
        <w:rPr>
          <w:sz w:val="22"/>
        </w:rPr>
        <w:t>on</w:t>
      </w:r>
      <w:r>
        <w:rPr>
          <w:spacing w:val="-8"/>
          <w:sz w:val="22"/>
        </w:rPr>
        <w:t> </w:t>
      </w:r>
      <w:r>
        <w:rPr>
          <w:sz w:val="22"/>
        </w:rPr>
        <w:t>working</w:t>
      </w:r>
      <w:r>
        <w:rPr>
          <w:spacing w:val="-9"/>
          <w:sz w:val="22"/>
        </w:rPr>
        <w:t> </w:t>
      </w:r>
      <w:r>
        <w:rPr>
          <w:sz w:val="22"/>
        </w:rPr>
        <w:t>with</w:t>
      </w:r>
      <w:r>
        <w:rPr>
          <w:spacing w:val="-8"/>
          <w:sz w:val="22"/>
        </w:rPr>
        <w:t> </w:t>
      </w:r>
      <w:r>
        <w:rPr>
          <w:sz w:val="22"/>
        </w:rPr>
        <w:t>LGBTQ</w:t>
      </w:r>
      <w:r>
        <w:rPr>
          <w:spacing w:val="-9"/>
          <w:sz w:val="22"/>
        </w:rPr>
        <w:t> </w:t>
      </w:r>
      <w:r>
        <w:rPr>
          <w:spacing w:val="-2"/>
          <w:sz w:val="22"/>
        </w:rPr>
        <w:t>clients.</w:t>
      </w:r>
    </w:p>
    <w:p>
      <w:pPr>
        <w:pStyle w:val="ListParagraph"/>
        <w:numPr>
          <w:ilvl w:val="1"/>
          <w:numId w:val="47"/>
        </w:numPr>
        <w:tabs>
          <w:tab w:pos="1059" w:val="left" w:leader="none"/>
        </w:tabs>
        <w:spacing w:line="240" w:lineRule="auto" w:before="40" w:after="0"/>
        <w:ind w:left="1059" w:right="0" w:hanging="360"/>
        <w:jc w:val="left"/>
        <w:rPr>
          <w:sz w:val="22"/>
        </w:rPr>
      </w:pPr>
      <w:r>
        <w:rPr>
          <w:sz w:val="22"/>
        </w:rPr>
        <w:t>Designate</w:t>
      </w:r>
      <w:r>
        <w:rPr>
          <w:spacing w:val="-7"/>
          <w:sz w:val="22"/>
        </w:rPr>
        <w:t> </w:t>
      </w:r>
      <w:r>
        <w:rPr>
          <w:sz w:val="22"/>
        </w:rPr>
        <w:t>one</w:t>
      </w:r>
      <w:r>
        <w:rPr>
          <w:spacing w:val="-7"/>
          <w:sz w:val="22"/>
        </w:rPr>
        <w:t> </w:t>
      </w:r>
      <w:r>
        <w:rPr>
          <w:sz w:val="22"/>
        </w:rPr>
        <w:t>or</w:t>
      </w:r>
      <w:r>
        <w:rPr>
          <w:spacing w:val="-7"/>
          <w:sz w:val="22"/>
        </w:rPr>
        <w:t> </w:t>
      </w:r>
      <w:r>
        <w:rPr>
          <w:sz w:val="22"/>
        </w:rPr>
        <w:t>more</w:t>
      </w:r>
      <w:r>
        <w:rPr>
          <w:spacing w:val="-6"/>
          <w:sz w:val="22"/>
        </w:rPr>
        <w:t> </w:t>
      </w:r>
      <w:r>
        <w:rPr>
          <w:sz w:val="22"/>
        </w:rPr>
        <w:t>point</w:t>
      </w:r>
      <w:r>
        <w:rPr>
          <w:spacing w:val="-6"/>
          <w:sz w:val="22"/>
        </w:rPr>
        <w:t> </w:t>
      </w:r>
      <w:r>
        <w:rPr>
          <w:sz w:val="22"/>
        </w:rPr>
        <w:t>people</w:t>
      </w:r>
      <w:r>
        <w:rPr>
          <w:spacing w:val="-7"/>
          <w:sz w:val="22"/>
        </w:rPr>
        <w:t> </w:t>
      </w:r>
      <w:r>
        <w:rPr>
          <w:sz w:val="22"/>
        </w:rPr>
        <w:t>on</w:t>
      </w:r>
      <w:r>
        <w:rPr>
          <w:spacing w:val="-5"/>
          <w:sz w:val="22"/>
        </w:rPr>
        <w:t> </w:t>
      </w:r>
      <w:r>
        <w:rPr>
          <w:sz w:val="22"/>
        </w:rPr>
        <w:t>LGBTQ</w:t>
      </w:r>
      <w:r>
        <w:rPr>
          <w:spacing w:val="-6"/>
          <w:sz w:val="22"/>
        </w:rPr>
        <w:t> </w:t>
      </w:r>
      <w:r>
        <w:rPr>
          <w:spacing w:val="-2"/>
          <w:sz w:val="22"/>
        </w:rPr>
        <w:t>issues.</w:t>
      </w:r>
    </w:p>
    <w:p>
      <w:pPr>
        <w:pStyle w:val="ListParagraph"/>
        <w:numPr>
          <w:ilvl w:val="1"/>
          <w:numId w:val="47"/>
        </w:numPr>
        <w:tabs>
          <w:tab w:pos="1059" w:val="left" w:leader="none"/>
        </w:tabs>
        <w:spacing w:line="276" w:lineRule="auto" w:before="41" w:after="0"/>
        <w:ind w:left="1059" w:right="344" w:hanging="361"/>
        <w:jc w:val="left"/>
        <w:rPr>
          <w:sz w:val="22"/>
        </w:rPr>
      </w:pPr>
      <w:r>
        <w:rPr>
          <w:sz w:val="22"/>
        </w:rPr>
        <w:t>Ensure that legal case management systems include a field for chosen names and pronouns, and provide support on collecting sexual orientation, gender identity (SOGI), and other demographics.</w:t>
      </w:r>
    </w:p>
    <w:p>
      <w:pPr>
        <w:pStyle w:val="ListParagraph"/>
        <w:numPr>
          <w:ilvl w:val="1"/>
          <w:numId w:val="47"/>
        </w:numPr>
        <w:tabs>
          <w:tab w:pos="1059" w:val="left" w:leader="none"/>
        </w:tabs>
        <w:spacing w:line="255" w:lineRule="exact" w:before="0" w:after="0"/>
        <w:ind w:left="1059" w:right="0" w:hanging="360"/>
        <w:jc w:val="left"/>
        <w:rPr>
          <w:sz w:val="21"/>
        </w:rPr>
      </w:pPr>
      <w:r>
        <w:rPr>
          <w:sz w:val="21"/>
        </w:rPr>
        <w:t>Investigate</w:t>
      </w:r>
      <w:r>
        <w:rPr>
          <w:spacing w:val="-3"/>
          <w:sz w:val="21"/>
        </w:rPr>
        <w:t> </w:t>
      </w:r>
      <w:r>
        <w:rPr>
          <w:sz w:val="21"/>
        </w:rPr>
        <w:t>and</w:t>
      </w:r>
      <w:r>
        <w:rPr>
          <w:spacing w:val="-3"/>
          <w:sz w:val="21"/>
        </w:rPr>
        <w:t> </w:t>
      </w:r>
      <w:r>
        <w:rPr>
          <w:sz w:val="21"/>
        </w:rPr>
        <w:t>address</w:t>
      </w:r>
      <w:r>
        <w:rPr>
          <w:spacing w:val="-2"/>
          <w:sz w:val="21"/>
        </w:rPr>
        <w:t> </w:t>
      </w:r>
      <w:r>
        <w:rPr>
          <w:sz w:val="21"/>
        </w:rPr>
        <w:t>gaps</w:t>
      </w:r>
      <w:r>
        <w:rPr>
          <w:spacing w:val="-3"/>
          <w:sz w:val="21"/>
        </w:rPr>
        <w:t> </w:t>
      </w:r>
      <w:r>
        <w:rPr>
          <w:sz w:val="21"/>
        </w:rPr>
        <w:t>in</w:t>
      </w:r>
      <w:r>
        <w:rPr>
          <w:spacing w:val="-2"/>
          <w:sz w:val="21"/>
        </w:rPr>
        <w:t> </w:t>
      </w:r>
      <w:r>
        <w:rPr>
          <w:sz w:val="21"/>
        </w:rPr>
        <w:t>service</w:t>
      </w:r>
      <w:r>
        <w:rPr>
          <w:spacing w:val="-3"/>
          <w:sz w:val="21"/>
        </w:rPr>
        <w:t> </w:t>
      </w:r>
      <w:r>
        <w:rPr>
          <w:sz w:val="21"/>
        </w:rPr>
        <w:t>provision</w:t>
      </w:r>
      <w:r>
        <w:rPr>
          <w:spacing w:val="-2"/>
          <w:sz w:val="21"/>
        </w:rPr>
        <w:t> </w:t>
      </w:r>
      <w:r>
        <w:rPr>
          <w:sz w:val="21"/>
        </w:rPr>
        <w:t>for</w:t>
      </w:r>
      <w:r>
        <w:rPr>
          <w:spacing w:val="-3"/>
          <w:sz w:val="21"/>
        </w:rPr>
        <w:t> </w:t>
      </w:r>
      <w:r>
        <w:rPr>
          <w:sz w:val="21"/>
        </w:rPr>
        <w:t>immigrant</w:t>
      </w:r>
      <w:r>
        <w:rPr>
          <w:spacing w:val="-1"/>
          <w:sz w:val="21"/>
        </w:rPr>
        <w:t> </w:t>
      </w:r>
      <w:r>
        <w:rPr>
          <w:spacing w:val="-2"/>
          <w:sz w:val="21"/>
        </w:rPr>
        <w:t>youth.</w:t>
      </w:r>
    </w:p>
    <w:p>
      <w:pPr>
        <w:pStyle w:val="BodyText"/>
        <w:rPr>
          <w:sz w:val="20"/>
        </w:rPr>
      </w:pPr>
    </w:p>
    <w:p>
      <w:pPr>
        <w:pStyle w:val="BodyText"/>
        <w:spacing w:before="106"/>
        <w:rPr>
          <w:sz w:val="20"/>
        </w:rPr>
      </w:pPr>
      <w:r>
        <w:rPr/>
        <mc:AlternateContent>
          <mc:Choice Requires="wps">
            <w:drawing>
              <wp:anchor distT="0" distB="0" distL="0" distR="0" allowOverlap="1" layoutInCell="1" locked="0" behindDoc="1" simplePos="0" relativeHeight="487732224">
                <wp:simplePos x="0" y="0"/>
                <wp:positionH relativeFrom="page">
                  <wp:posOffset>889000</wp:posOffset>
                </wp:positionH>
                <wp:positionV relativeFrom="paragraph">
                  <wp:posOffset>237995</wp:posOffset>
                </wp:positionV>
                <wp:extent cx="6350" cy="12700"/>
                <wp:effectExtent l="0" t="0" r="0" b="0"/>
                <wp:wrapTopAndBottom/>
                <wp:docPr id="688" name="Graphic 688"/>
                <wp:cNvGraphicFramePr>
                  <a:graphicFrameLocks/>
                </wp:cNvGraphicFramePr>
                <a:graphic>
                  <a:graphicData uri="http://schemas.microsoft.com/office/word/2010/wordprocessingShape">
                    <wps:wsp>
                      <wps:cNvPr id="688" name="Graphic 688"/>
                      <wps:cNvSpPr/>
                      <wps:spPr>
                        <a:xfrm>
                          <a:off x="0" y="0"/>
                          <a:ext cx="6350" cy="12700"/>
                        </a:xfrm>
                        <a:custGeom>
                          <a:avLst/>
                          <a:gdLst/>
                          <a:ahLst/>
                          <a:cxnLst/>
                          <a:rect l="l" t="t" r="r" b="b"/>
                          <a:pathLst>
                            <a:path w="6350" h="12700">
                              <a:moveTo>
                                <a:pt x="6337" y="0"/>
                              </a:moveTo>
                              <a:lnTo>
                                <a:pt x="0" y="0"/>
                              </a:lnTo>
                              <a:lnTo>
                                <a:pt x="0" y="12217"/>
                              </a:lnTo>
                              <a:lnTo>
                                <a:pt x="6337" y="12217"/>
                              </a:lnTo>
                              <a:lnTo>
                                <a:pt x="6337" y="0"/>
                              </a:lnTo>
                              <a:close/>
                            </a:path>
                          </a:pathLst>
                        </a:custGeom>
                        <a:solidFill>
                          <a:srgbClr val="4F81BB"/>
                        </a:solidFill>
                      </wps:spPr>
                      <wps:bodyPr wrap="square" lIns="0" tIns="0" rIns="0" bIns="0" rtlCol="0">
                        <a:prstTxWarp prst="textNoShape">
                          <a:avLst/>
                        </a:prstTxWarp>
                        <a:noAutofit/>
                      </wps:bodyPr>
                    </wps:wsp>
                  </a:graphicData>
                </a:graphic>
              </wp:anchor>
            </w:drawing>
          </mc:Choice>
          <mc:Fallback>
            <w:pict>
              <v:rect style="position:absolute;margin-left:70pt;margin-top:18.739807pt;width:.499pt;height:.962pt;mso-position-horizontal-relative:page;mso-position-vertical-relative:paragraph;z-index:-15584256;mso-wrap-distance-left:0;mso-wrap-distance-right:0" id="docshape585" filled="true" fillcolor="#4f81bb" stroked="false">
                <v:fill type="solid"/>
                <w10:wrap type="topAndBottom"/>
              </v:rect>
            </w:pict>
          </mc:Fallback>
        </mc:AlternateContent>
      </w:r>
    </w:p>
    <w:p>
      <w:pPr>
        <w:spacing w:before="0"/>
        <w:ind w:left="483" w:right="0" w:firstLine="0"/>
        <w:jc w:val="left"/>
        <w:rPr>
          <w:sz w:val="28"/>
        </w:rPr>
      </w:pPr>
      <w:r>
        <w:rPr>
          <w:color w:val="365F91"/>
          <w:spacing w:val="-2"/>
          <w:sz w:val="28"/>
        </w:rPr>
        <w:t>Introduction</w:t>
      </w:r>
    </w:p>
    <w:p>
      <w:pPr>
        <w:pStyle w:val="BodyText"/>
        <w:spacing w:before="11"/>
        <w:rPr>
          <w:sz w:val="3"/>
        </w:rPr>
      </w:pPr>
      <w:r>
        <w:rPr/>
        <mc:AlternateContent>
          <mc:Choice Requires="wps">
            <w:drawing>
              <wp:anchor distT="0" distB="0" distL="0" distR="0" allowOverlap="1" layoutInCell="1" locked="0" behindDoc="1" simplePos="0" relativeHeight="487732736">
                <wp:simplePos x="0" y="0"/>
                <wp:positionH relativeFrom="page">
                  <wp:posOffset>897636</wp:posOffset>
                </wp:positionH>
                <wp:positionV relativeFrom="paragraph">
                  <wp:posOffset>45582</wp:posOffset>
                </wp:positionV>
                <wp:extent cx="5976620" cy="6350"/>
                <wp:effectExtent l="0" t="0" r="0" b="0"/>
                <wp:wrapTopAndBottom/>
                <wp:docPr id="689" name="Graphic 689"/>
                <wp:cNvGraphicFramePr>
                  <a:graphicFrameLocks/>
                </wp:cNvGraphicFramePr>
                <a:graphic>
                  <a:graphicData uri="http://schemas.microsoft.com/office/word/2010/wordprocessingShape">
                    <wps:wsp>
                      <wps:cNvPr id="689" name="Graphic 689"/>
                      <wps:cNvSpPr/>
                      <wps:spPr>
                        <a:xfrm>
                          <a:off x="0" y="0"/>
                          <a:ext cx="5976620" cy="6350"/>
                        </a:xfrm>
                        <a:custGeom>
                          <a:avLst/>
                          <a:gdLst/>
                          <a:ahLst/>
                          <a:cxnLst/>
                          <a:rect l="l" t="t" r="r" b="b"/>
                          <a:pathLst>
                            <a:path w="5976620" h="6350">
                              <a:moveTo>
                                <a:pt x="5976366" y="0"/>
                              </a:moveTo>
                              <a:lnTo>
                                <a:pt x="0" y="0"/>
                              </a:lnTo>
                              <a:lnTo>
                                <a:pt x="0" y="6108"/>
                              </a:lnTo>
                              <a:lnTo>
                                <a:pt x="5976366" y="6108"/>
                              </a:lnTo>
                              <a:lnTo>
                                <a:pt x="5976366" y="0"/>
                              </a:lnTo>
                              <a:close/>
                            </a:path>
                          </a:pathLst>
                        </a:custGeom>
                        <a:solidFill>
                          <a:srgbClr val="4F81BC"/>
                        </a:solidFill>
                      </wps:spPr>
                      <wps:bodyPr wrap="square" lIns="0" tIns="0" rIns="0" bIns="0" rtlCol="0">
                        <a:prstTxWarp prst="textNoShape">
                          <a:avLst/>
                        </a:prstTxWarp>
                        <a:noAutofit/>
                      </wps:bodyPr>
                    </wps:wsp>
                  </a:graphicData>
                </a:graphic>
              </wp:anchor>
            </w:drawing>
          </mc:Choice>
          <mc:Fallback>
            <w:pict>
              <v:rect style="position:absolute;margin-left:70.680pt;margin-top:3.589156pt;width:470.58pt;height:.481pt;mso-position-horizontal-relative:page;mso-position-vertical-relative:paragraph;z-index:-15583744;mso-wrap-distance-left:0;mso-wrap-distance-right:0" id="docshape586" filled="true" fillcolor="#4f81bc" stroked="false">
                <v:fill type="solid"/>
                <w10:wrap type="topAndBottom"/>
              </v:rect>
            </w:pict>
          </mc:Fallback>
        </mc:AlternateContent>
      </w:r>
    </w:p>
    <w:p>
      <w:pPr>
        <w:spacing w:line="276" w:lineRule="auto" w:before="241"/>
        <w:ind w:left="483" w:right="341" w:hanging="1"/>
        <w:jc w:val="both"/>
        <w:rPr>
          <w:sz w:val="21"/>
        </w:rPr>
      </w:pPr>
      <w:r>
        <w:rPr>
          <w:sz w:val="21"/>
        </w:rPr>
        <w:t>In FY 2024, the </w:t>
      </w:r>
      <w:r>
        <w:rPr>
          <w:sz w:val="22"/>
        </w:rPr>
        <w:t>Commission </w:t>
      </w:r>
      <w:r>
        <w:rPr>
          <w:sz w:val="21"/>
        </w:rPr>
        <w:t>was </w:t>
      </w:r>
      <w:r>
        <w:rPr>
          <w:sz w:val="22"/>
        </w:rPr>
        <w:t>pleased to </w:t>
      </w:r>
      <w:r>
        <w:rPr>
          <w:sz w:val="21"/>
        </w:rPr>
        <w:t>make </w:t>
      </w:r>
      <w:r>
        <w:rPr>
          <w:sz w:val="22"/>
        </w:rPr>
        <w:t>its first set of recommendations to the Committee for Public</w:t>
      </w:r>
      <w:r>
        <w:rPr>
          <w:spacing w:val="-6"/>
          <w:sz w:val="22"/>
        </w:rPr>
        <w:t> </w:t>
      </w:r>
      <w:r>
        <w:rPr>
          <w:sz w:val="22"/>
        </w:rPr>
        <w:t>Counsel</w:t>
      </w:r>
      <w:r>
        <w:rPr>
          <w:spacing w:val="-6"/>
          <w:sz w:val="22"/>
        </w:rPr>
        <w:t> </w:t>
      </w:r>
      <w:r>
        <w:rPr>
          <w:sz w:val="22"/>
        </w:rPr>
        <w:t>Services</w:t>
      </w:r>
      <w:r>
        <w:rPr>
          <w:spacing w:val="-5"/>
          <w:sz w:val="22"/>
        </w:rPr>
        <w:t> </w:t>
      </w:r>
      <w:r>
        <w:rPr>
          <w:sz w:val="22"/>
        </w:rPr>
        <w:t>(CPCS)</w:t>
      </w:r>
      <w:r>
        <w:rPr>
          <w:spacing w:val="-5"/>
          <w:sz w:val="22"/>
        </w:rPr>
        <w:t> </w:t>
      </w:r>
      <w:r>
        <w:rPr>
          <w:sz w:val="22"/>
        </w:rPr>
        <w:t>for</w:t>
      </w:r>
      <w:r>
        <w:rPr>
          <w:spacing w:val="-5"/>
          <w:sz w:val="22"/>
        </w:rPr>
        <w:t> </w:t>
      </w:r>
      <w:r>
        <w:rPr>
          <w:sz w:val="22"/>
        </w:rPr>
        <w:t>the</w:t>
      </w:r>
      <w:r>
        <w:rPr>
          <w:spacing w:val="-6"/>
          <w:sz w:val="22"/>
        </w:rPr>
        <w:t> </w:t>
      </w:r>
      <w:r>
        <w:rPr>
          <w:sz w:val="22"/>
        </w:rPr>
        <w:t>Children</w:t>
      </w:r>
      <w:r>
        <w:rPr>
          <w:spacing w:val="-6"/>
          <w:sz w:val="22"/>
        </w:rPr>
        <w:t> </w:t>
      </w:r>
      <w:r>
        <w:rPr>
          <w:sz w:val="22"/>
        </w:rPr>
        <w:t>and</w:t>
      </w:r>
      <w:r>
        <w:rPr>
          <w:spacing w:val="-6"/>
          <w:sz w:val="22"/>
        </w:rPr>
        <w:t> </w:t>
      </w:r>
      <w:r>
        <w:rPr>
          <w:sz w:val="22"/>
        </w:rPr>
        <w:t>Family</w:t>
      </w:r>
      <w:r>
        <w:rPr>
          <w:spacing w:val="-5"/>
          <w:sz w:val="22"/>
        </w:rPr>
        <w:t> </w:t>
      </w:r>
      <w:r>
        <w:rPr>
          <w:sz w:val="22"/>
        </w:rPr>
        <w:t>Law</w:t>
      </w:r>
      <w:r>
        <w:rPr>
          <w:spacing w:val="-5"/>
          <w:sz w:val="22"/>
        </w:rPr>
        <w:t> </w:t>
      </w:r>
      <w:r>
        <w:rPr>
          <w:sz w:val="22"/>
        </w:rPr>
        <w:t>Division</w:t>
      </w:r>
      <w:r>
        <w:rPr>
          <w:spacing w:val="-6"/>
          <w:sz w:val="22"/>
        </w:rPr>
        <w:t> </w:t>
      </w:r>
      <w:r>
        <w:rPr>
          <w:sz w:val="22"/>
        </w:rPr>
        <w:t>(CAFL).</w:t>
      </w:r>
      <w:r>
        <w:rPr>
          <w:spacing w:val="-7"/>
          <w:sz w:val="22"/>
        </w:rPr>
        <w:t> </w:t>
      </w:r>
      <w:r>
        <w:rPr>
          <w:sz w:val="22"/>
        </w:rPr>
        <w:t>This</w:t>
      </w:r>
      <w:r>
        <w:rPr>
          <w:spacing w:val="-5"/>
          <w:sz w:val="22"/>
        </w:rPr>
        <w:t> </w:t>
      </w:r>
      <w:r>
        <w:rPr>
          <w:sz w:val="22"/>
        </w:rPr>
        <w:t>year,</w:t>
      </w:r>
      <w:r>
        <w:rPr>
          <w:spacing w:val="-5"/>
          <w:sz w:val="22"/>
        </w:rPr>
        <w:t> </w:t>
      </w:r>
      <w:r>
        <w:rPr>
          <w:sz w:val="22"/>
        </w:rPr>
        <w:t>the</w:t>
      </w:r>
      <w:r>
        <w:rPr>
          <w:spacing w:val="-4"/>
          <w:sz w:val="22"/>
        </w:rPr>
        <w:t> </w:t>
      </w:r>
      <w:r>
        <w:rPr>
          <w:sz w:val="22"/>
        </w:rPr>
        <w:t>Commis</w:t>
      </w:r>
      <w:r>
        <w:rPr>
          <w:sz w:val="21"/>
        </w:rPr>
        <w:t>sion provides information on CPCS’ progress towards advancing these recommendations, as well as an additional recommendation to emphasize the needs of LGBTQ immigrant youth in state services.</w:t>
      </w:r>
    </w:p>
    <w:p>
      <w:pPr>
        <w:pStyle w:val="BodyText"/>
        <w:spacing w:line="276" w:lineRule="auto" w:before="240"/>
        <w:ind w:left="483" w:right="341"/>
        <w:jc w:val="both"/>
      </w:pPr>
      <w:r>
        <w:rPr/>
        <w:t>CAFL represents children and parents in care and protection cases in which the Department of Children and</w:t>
      </w:r>
      <w:r>
        <w:rPr>
          <w:spacing w:val="-7"/>
        </w:rPr>
        <w:t> </w:t>
      </w:r>
      <w:r>
        <w:rPr/>
        <w:t>Families</w:t>
      </w:r>
      <w:r>
        <w:rPr>
          <w:spacing w:val="-6"/>
        </w:rPr>
        <w:t> </w:t>
      </w:r>
      <w:r>
        <w:rPr/>
        <w:t>(DCF)</w:t>
      </w:r>
      <w:r>
        <w:rPr>
          <w:spacing w:val="-6"/>
        </w:rPr>
        <w:t> </w:t>
      </w:r>
      <w:r>
        <w:rPr/>
        <w:t>removes</w:t>
      </w:r>
      <w:r>
        <w:rPr>
          <w:spacing w:val="-6"/>
        </w:rPr>
        <w:t> </w:t>
      </w:r>
      <w:r>
        <w:rPr/>
        <w:t>children</w:t>
      </w:r>
      <w:r>
        <w:rPr>
          <w:spacing w:val="-7"/>
        </w:rPr>
        <w:t> </w:t>
      </w:r>
      <w:r>
        <w:rPr/>
        <w:t>from</w:t>
      </w:r>
      <w:r>
        <w:rPr>
          <w:spacing w:val="-7"/>
        </w:rPr>
        <w:t> </w:t>
      </w:r>
      <w:r>
        <w:rPr/>
        <w:t>their</w:t>
      </w:r>
      <w:r>
        <w:rPr>
          <w:spacing w:val="-6"/>
        </w:rPr>
        <w:t> </w:t>
      </w:r>
      <w:r>
        <w:rPr/>
        <w:t>homes</w:t>
      </w:r>
      <w:r>
        <w:rPr>
          <w:spacing w:val="-6"/>
        </w:rPr>
        <w:t> </w:t>
      </w:r>
      <w:r>
        <w:rPr/>
        <w:t>in</w:t>
      </w:r>
      <w:r>
        <w:rPr>
          <w:spacing w:val="-7"/>
        </w:rPr>
        <w:t> </w:t>
      </w:r>
      <w:r>
        <w:rPr/>
        <w:t>connection</w:t>
      </w:r>
      <w:r>
        <w:rPr>
          <w:spacing w:val="-7"/>
        </w:rPr>
        <w:t> </w:t>
      </w:r>
      <w:r>
        <w:rPr/>
        <w:t>with</w:t>
      </w:r>
      <w:r>
        <w:rPr>
          <w:spacing w:val="-6"/>
        </w:rPr>
        <w:t> </w:t>
      </w:r>
      <w:r>
        <w:rPr/>
        <w:t>allegations</w:t>
      </w:r>
      <w:r>
        <w:rPr>
          <w:spacing w:val="-6"/>
        </w:rPr>
        <w:t> </w:t>
      </w:r>
      <w:r>
        <w:rPr/>
        <w:t>of</w:t>
      </w:r>
      <w:r>
        <w:rPr>
          <w:spacing w:val="-6"/>
        </w:rPr>
        <w:t> </w:t>
      </w:r>
      <w:r>
        <w:rPr/>
        <w:t>neglect</w:t>
      </w:r>
      <w:r>
        <w:rPr>
          <w:spacing w:val="-7"/>
        </w:rPr>
        <w:t> </w:t>
      </w:r>
      <w:r>
        <w:rPr/>
        <w:t>or</w:t>
      </w:r>
      <w:r>
        <w:rPr>
          <w:spacing w:val="-6"/>
        </w:rPr>
        <w:t> </w:t>
      </w:r>
      <w:r>
        <w:rPr/>
        <w:t>abuse. CAFL</w:t>
      </w:r>
      <w:r>
        <w:rPr>
          <w:spacing w:val="-2"/>
        </w:rPr>
        <w:t> </w:t>
      </w:r>
      <w:r>
        <w:rPr/>
        <w:t>also</w:t>
      </w:r>
      <w:r>
        <w:rPr>
          <w:spacing w:val="-1"/>
        </w:rPr>
        <w:t> </w:t>
      </w:r>
      <w:r>
        <w:rPr/>
        <w:t>represents children</w:t>
      </w:r>
      <w:r>
        <w:rPr>
          <w:spacing w:val="-2"/>
        </w:rPr>
        <w:t> </w:t>
      </w:r>
      <w:r>
        <w:rPr/>
        <w:t>and</w:t>
      </w:r>
      <w:r>
        <w:rPr>
          <w:spacing w:val="-1"/>
        </w:rPr>
        <w:t> </w:t>
      </w:r>
      <w:r>
        <w:rPr/>
        <w:t>parents</w:t>
      </w:r>
      <w:r>
        <w:rPr>
          <w:spacing w:val="-1"/>
        </w:rPr>
        <w:t> </w:t>
      </w:r>
      <w:r>
        <w:rPr/>
        <w:t>in</w:t>
      </w:r>
      <w:r>
        <w:rPr>
          <w:spacing w:val="-1"/>
        </w:rPr>
        <w:t> </w:t>
      </w:r>
      <w:r>
        <w:rPr/>
        <w:t>Child</w:t>
      </w:r>
      <w:r>
        <w:rPr>
          <w:spacing w:val="-1"/>
        </w:rPr>
        <w:t> </w:t>
      </w:r>
      <w:r>
        <w:rPr/>
        <w:t>Requiring</w:t>
      </w:r>
      <w:r>
        <w:rPr>
          <w:spacing w:val="-1"/>
        </w:rPr>
        <w:t> </w:t>
      </w:r>
      <w:r>
        <w:rPr/>
        <w:t>Assistance</w:t>
      </w:r>
      <w:r>
        <w:rPr>
          <w:spacing w:val="-1"/>
        </w:rPr>
        <w:t> </w:t>
      </w:r>
      <w:r>
        <w:rPr/>
        <w:t>cases.</w:t>
      </w:r>
      <w:r>
        <w:rPr>
          <w:spacing w:val="-2"/>
        </w:rPr>
        <w:t> </w:t>
      </w:r>
      <w:r>
        <w:rPr/>
        <w:t>CAFL</w:t>
      </w:r>
      <w:r>
        <w:rPr>
          <w:spacing w:val="-2"/>
        </w:rPr>
        <w:t> </w:t>
      </w:r>
      <w:r>
        <w:rPr/>
        <w:t>lawyers</w:t>
      </w:r>
      <w:r>
        <w:rPr>
          <w:spacing w:val="-1"/>
        </w:rPr>
        <w:t> </w:t>
      </w:r>
      <w:r>
        <w:rPr/>
        <w:t>include</w:t>
      </w:r>
      <w:r>
        <w:rPr>
          <w:spacing w:val="-1"/>
        </w:rPr>
        <w:t> </w:t>
      </w:r>
      <w:r>
        <w:rPr/>
        <w:t>both private attorneys and CPCS staff members.</w:t>
      </w:r>
    </w:p>
    <w:p>
      <w:pPr>
        <w:pStyle w:val="BodyText"/>
        <w:spacing w:line="276" w:lineRule="auto" w:before="240"/>
        <w:ind w:left="483" w:right="342"/>
        <w:jc w:val="both"/>
      </w:pPr>
      <w:r>
        <w:rPr/>
        <w:t>LGBTQ</w:t>
      </w:r>
      <w:r>
        <w:rPr>
          <w:spacing w:val="-2"/>
        </w:rPr>
        <w:t> </w:t>
      </w:r>
      <w:r>
        <w:rPr/>
        <w:t>youth</w:t>
      </w:r>
      <w:r>
        <w:rPr>
          <w:spacing w:val="-2"/>
        </w:rPr>
        <w:t> </w:t>
      </w:r>
      <w:r>
        <w:rPr/>
        <w:t>in</w:t>
      </w:r>
      <w:r>
        <w:rPr>
          <w:spacing w:val="-3"/>
        </w:rPr>
        <w:t> </w:t>
      </w:r>
      <w:r>
        <w:rPr/>
        <w:t>foster</w:t>
      </w:r>
      <w:r>
        <w:rPr>
          <w:spacing w:val="-1"/>
        </w:rPr>
        <w:t> </w:t>
      </w:r>
      <w:r>
        <w:rPr/>
        <w:t>care</w:t>
      </w:r>
      <w:r>
        <w:rPr>
          <w:spacing w:val="-3"/>
        </w:rPr>
        <w:t> </w:t>
      </w:r>
      <w:r>
        <w:rPr/>
        <w:t>routinely</w:t>
      </w:r>
      <w:r>
        <w:rPr>
          <w:spacing w:val="-3"/>
        </w:rPr>
        <w:t> </w:t>
      </w:r>
      <w:r>
        <w:rPr/>
        <w:t>face</w:t>
      </w:r>
      <w:r>
        <w:rPr>
          <w:spacing w:val="-3"/>
        </w:rPr>
        <w:t> </w:t>
      </w:r>
      <w:r>
        <w:rPr/>
        <w:t>violence,</w:t>
      </w:r>
      <w:r>
        <w:rPr>
          <w:spacing w:val="-1"/>
        </w:rPr>
        <w:t> </w:t>
      </w:r>
      <w:r>
        <w:rPr/>
        <w:t>harassment,</w:t>
      </w:r>
      <w:r>
        <w:rPr>
          <w:spacing w:val="-2"/>
        </w:rPr>
        <w:t> </w:t>
      </w:r>
      <w:r>
        <w:rPr/>
        <w:t>and</w:t>
      </w:r>
      <w:r>
        <w:rPr>
          <w:spacing w:val="-3"/>
        </w:rPr>
        <w:t> </w:t>
      </w:r>
      <w:r>
        <w:rPr/>
        <w:t>discrimination.</w:t>
      </w:r>
      <w:r>
        <w:rPr>
          <w:spacing w:val="-2"/>
        </w:rPr>
        <w:t> </w:t>
      </w:r>
      <w:r>
        <w:rPr/>
        <w:t>The</w:t>
      </w:r>
      <w:r>
        <w:rPr>
          <w:spacing w:val="-2"/>
        </w:rPr>
        <w:t> </w:t>
      </w:r>
      <w:r>
        <w:rPr/>
        <w:t>Commission</w:t>
      </w:r>
      <w:r>
        <w:rPr>
          <w:spacing w:val="-3"/>
        </w:rPr>
        <w:t> </w:t>
      </w:r>
      <w:r>
        <w:rPr/>
        <w:t>has received numerous reports from youth, advocates, and providers about LGBTQ youth who have been abused in congregate care and misgendered and bullied in foster homes</w:t>
      </w:r>
      <w:hyperlink w:history="true" w:anchor="_bookmark655">
        <w:r>
          <w:rPr/>
          <w:t>.</w:t>
        </w:r>
        <w:r>
          <w:rPr>
            <w:vertAlign w:val="superscript"/>
          </w:rPr>
          <w:t>1</w:t>
        </w:r>
      </w:hyperlink>
      <w:r>
        <w:rPr>
          <w:vertAlign w:val="baseline"/>
        </w:rPr>
        <w:t> Many LGBTQ youth in foster care</w:t>
      </w:r>
      <w:r>
        <w:rPr>
          <w:spacing w:val="-10"/>
          <w:vertAlign w:val="baseline"/>
        </w:rPr>
        <w:t> </w:t>
      </w:r>
      <w:r>
        <w:rPr>
          <w:vertAlign w:val="baseline"/>
        </w:rPr>
        <w:t>also</w:t>
      </w:r>
      <w:r>
        <w:rPr>
          <w:spacing w:val="-9"/>
          <w:vertAlign w:val="baseline"/>
        </w:rPr>
        <w:t> </w:t>
      </w:r>
      <w:r>
        <w:rPr>
          <w:vertAlign w:val="baseline"/>
        </w:rPr>
        <w:t>face</w:t>
      </w:r>
      <w:r>
        <w:rPr>
          <w:spacing w:val="-9"/>
          <w:vertAlign w:val="baseline"/>
        </w:rPr>
        <w:t> </w:t>
      </w:r>
      <w:r>
        <w:rPr>
          <w:vertAlign w:val="baseline"/>
        </w:rPr>
        <w:t>harassment,</w:t>
      </w:r>
      <w:r>
        <w:rPr>
          <w:spacing w:val="-8"/>
          <w:vertAlign w:val="baseline"/>
        </w:rPr>
        <w:t> </w:t>
      </w:r>
      <w:r>
        <w:rPr>
          <w:vertAlign w:val="baseline"/>
        </w:rPr>
        <w:t>discrimination,</w:t>
      </w:r>
      <w:r>
        <w:rPr>
          <w:spacing w:val="-10"/>
          <w:vertAlign w:val="baseline"/>
        </w:rPr>
        <w:t> </w:t>
      </w:r>
      <w:r>
        <w:rPr>
          <w:vertAlign w:val="baseline"/>
        </w:rPr>
        <w:t>and</w:t>
      </w:r>
      <w:r>
        <w:rPr>
          <w:spacing w:val="-10"/>
          <w:vertAlign w:val="baseline"/>
        </w:rPr>
        <w:t> </w:t>
      </w:r>
      <w:r>
        <w:rPr>
          <w:vertAlign w:val="baseline"/>
        </w:rPr>
        <w:t>unfair</w:t>
      </w:r>
      <w:r>
        <w:rPr>
          <w:spacing w:val="-9"/>
          <w:vertAlign w:val="baseline"/>
        </w:rPr>
        <w:t> </w:t>
      </w:r>
      <w:r>
        <w:rPr>
          <w:vertAlign w:val="baseline"/>
        </w:rPr>
        <w:t>disciplinary</w:t>
      </w:r>
      <w:r>
        <w:rPr>
          <w:spacing w:val="-9"/>
          <w:vertAlign w:val="baseline"/>
        </w:rPr>
        <w:t> </w:t>
      </w:r>
      <w:r>
        <w:rPr>
          <w:vertAlign w:val="baseline"/>
        </w:rPr>
        <w:t>practices</w:t>
      </w:r>
      <w:r>
        <w:rPr>
          <w:spacing w:val="-10"/>
          <w:vertAlign w:val="baseline"/>
        </w:rPr>
        <w:t> </w:t>
      </w:r>
      <w:r>
        <w:rPr>
          <w:vertAlign w:val="baseline"/>
        </w:rPr>
        <w:t>at</w:t>
      </w:r>
      <w:r>
        <w:rPr>
          <w:spacing w:val="-10"/>
          <w:vertAlign w:val="baseline"/>
        </w:rPr>
        <w:t> </w:t>
      </w:r>
      <w:r>
        <w:rPr>
          <w:vertAlign w:val="baseline"/>
        </w:rPr>
        <w:t>school</w:t>
      </w:r>
      <w:hyperlink w:history="true" w:anchor="_bookmark655">
        <w:r>
          <w:rPr>
            <w:vertAlign w:val="baseline"/>
          </w:rPr>
          <w:t>.</w:t>
        </w:r>
        <w:r>
          <w:rPr>
            <w:vertAlign w:val="superscript"/>
          </w:rPr>
          <w:t>2</w:t>
        </w:r>
      </w:hyperlink>
      <w:r>
        <w:rPr>
          <w:spacing w:val="-10"/>
          <w:vertAlign w:val="baseline"/>
        </w:rPr>
        <w:t> </w:t>
      </w:r>
      <w:r>
        <w:rPr>
          <w:vertAlign w:val="baseline"/>
        </w:rPr>
        <w:t>In</w:t>
      </w:r>
      <w:r>
        <w:rPr>
          <w:spacing w:val="-9"/>
          <w:vertAlign w:val="baseline"/>
        </w:rPr>
        <w:t> </w:t>
      </w:r>
      <w:r>
        <w:rPr>
          <w:vertAlign w:val="baseline"/>
        </w:rPr>
        <w:t>many</w:t>
      </w:r>
      <w:r>
        <w:rPr>
          <w:spacing w:val="-10"/>
          <w:vertAlign w:val="baseline"/>
        </w:rPr>
        <w:t> </w:t>
      </w:r>
      <w:r>
        <w:rPr>
          <w:vertAlign w:val="baseline"/>
        </w:rPr>
        <w:t>cases,</w:t>
      </w:r>
      <w:r>
        <w:rPr>
          <w:spacing w:val="-10"/>
          <w:vertAlign w:val="baseline"/>
        </w:rPr>
        <w:t> </w:t>
      </w:r>
      <w:r>
        <w:rPr>
          <w:vertAlign w:val="baseline"/>
        </w:rPr>
        <w:t>their parents and other caregivers don’t receive support on how to affirm LGBTQ young people or meet their healthcare needs; and, youth who want a legal name change but age out without one face difficulty in getting identity documents consistent with their name and gender identity - a situation that creates challenges</w:t>
      </w:r>
      <w:r>
        <w:rPr>
          <w:spacing w:val="-4"/>
          <w:vertAlign w:val="baseline"/>
        </w:rPr>
        <w:t> </w:t>
      </w:r>
      <w:r>
        <w:rPr>
          <w:vertAlign w:val="baseline"/>
        </w:rPr>
        <w:t>in</w:t>
      </w:r>
      <w:r>
        <w:rPr>
          <w:spacing w:val="-3"/>
          <w:vertAlign w:val="baseline"/>
        </w:rPr>
        <w:t> </w:t>
      </w:r>
      <w:r>
        <w:rPr>
          <w:vertAlign w:val="baseline"/>
        </w:rPr>
        <w:t>obtaining</w:t>
      </w:r>
      <w:r>
        <w:rPr>
          <w:spacing w:val="-4"/>
          <w:vertAlign w:val="baseline"/>
        </w:rPr>
        <w:t> </w:t>
      </w:r>
      <w:r>
        <w:rPr>
          <w:vertAlign w:val="baseline"/>
        </w:rPr>
        <w:t>employment,</w:t>
      </w:r>
      <w:r>
        <w:rPr>
          <w:spacing w:val="-3"/>
          <w:vertAlign w:val="baseline"/>
        </w:rPr>
        <w:t> </w:t>
      </w:r>
      <w:r>
        <w:rPr>
          <w:vertAlign w:val="baseline"/>
        </w:rPr>
        <w:t>engaging</w:t>
      </w:r>
      <w:r>
        <w:rPr>
          <w:spacing w:val="-4"/>
          <w:vertAlign w:val="baseline"/>
        </w:rPr>
        <w:t> </w:t>
      </w:r>
      <w:r>
        <w:rPr>
          <w:vertAlign w:val="baseline"/>
        </w:rPr>
        <w:t>in</w:t>
      </w:r>
      <w:r>
        <w:rPr>
          <w:spacing w:val="-4"/>
          <w:vertAlign w:val="baseline"/>
        </w:rPr>
        <w:t> </w:t>
      </w:r>
      <w:r>
        <w:rPr>
          <w:vertAlign w:val="baseline"/>
        </w:rPr>
        <w:t>educational</w:t>
      </w:r>
      <w:r>
        <w:rPr>
          <w:spacing w:val="-4"/>
          <w:vertAlign w:val="baseline"/>
        </w:rPr>
        <w:t> </w:t>
      </w:r>
      <w:r>
        <w:rPr>
          <w:vertAlign w:val="baseline"/>
        </w:rPr>
        <w:t>programs,</w:t>
      </w:r>
      <w:r>
        <w:rPr>
          <w:spacing w:val="-5"/>
          <w:vertAlign w:val="baseline"/>
        </w:rPr>
        <w:t> </w:t>
      </w:r>
      <w:r>
        <w:rPr>
          <w:vertAlign w:val="baseline"/>
        </w:rPr>
        <w:t>accessing</w:t>
      </w:r>
      <w:r>
        <w:rPr>
          <w:spacing w:val="-4"/>
          <w:vertAlign w:val="baseline"/>
        </w:rPr>
        <w:t> </w:t>
      </w:r>
      <w:r>
        <w:rPr>
          <w:vertAlign w:val="baseline"/>
        </w:rPr>
        <w:t>services,</w:t>
      </w:r>
      <w:r>
        <w:rPr>
          <w:spacing w:val="-4"/>
          <w:vertAlign w:val="baseline"/>
        </w:rPr>
        <w:t> </w:t>
      </w:r>
      <w:r>
        <w:rPr>
          <w:vertAlign w:val="baseline"/>
        </w:rPr>
        <w:t>and</w:t>
      </w:r>
      <w:r>
        <w:rPr>
          <w:spacing w:val="-5"/>
          <w:vertAlign w:val="baseline"/>
        </w:rPr>
        <w:t> </w:t>
      </w:r>
      <w:r>
        <w:rPr>
          <w:vertAlign w:val="baseline"/>
        </w:rPr>
        <w:t>pursuing other opportunities.</w:t>
      </w:r>
    </w:p>
    <w:p>
      <w:pPr>
        <w:pStyle w:val="BodyText"/>
        <w:spacing w:line="276" w:lineRule="auto" w:before="239"/>
        <w:ind w:left="483" w:right="340"/>
        <w:jc w:val="both"/>
      </w:pPr>
      <w:r>
        <w:rPr/>
        <w:t>CAFL lawyers have a critical role to ensure that LGBTQ youth have their rights respected while in foster care and that there is appropriate support for them in reunifying with their families, integrating into a new home, or aging out of the system.</w:t>
      </w:r>
    </w:p>
    <w:p>
      <w:pPr>
        <w:spacing w:after="0" w:line="276" w:lineRule="auto"/>
        <w:jc w:val="both"/>
        <w:sectPr>
          <w:headerReference w:type="default" r:id="rId773"/>
          <w:footerReference w:type="default" r:id="rId774"/>
          <w:pgSz w:w="12240" w:h="15840"/>
          <w:pgMar w:header="804" w:footer="1263" w:top="1000" w:bottom="1460" w:left="960" w:right="1100"/>
        </w:sectPr>
      </w:pPr>
    </w:p>
    <w:p>
      <w:pPr>
        <w:spacing w:before="138"/>
        <w:ind w:left="483" w:right="0" w:firstLine="0"/>
        <w:jc w:val="left"/>
        <w:rPr>
          <w:sz w:val="28"/>
        </w:rPr>
      </w:pPr>
      <w:r>
        <w:rPr>
          <w:color w:val="365F91"/>
          <w:sz w:val="28"/>
        </w:rPr>
        <w:t>FY</w:t>
      </w:r>
      <w:r>
        <w:rPr>
          <w:color w:val="365F91"/>
          <w:spacing w:val="-9"/>
          <w:sz w:val="28"/>
        </w:rPr>
        <w:t> </w:t>
      </w:r>
      <w:r>
        <w:rPr>
          <w:color w:val="365F91"/>
          <w:sz w:val="28"/>
        </w:rPr>
        <w:t>2025</w:t>
      </w:r>
      <w:r>
        <w:rPr>
          <w:color w:val="365F91"/>
          <w:spacing w:val="-9"/>
          <w:sz w:val="28"/>
        </w:rPr>
        <w:t> </w:t>
      </w:r>
      <w:r>
        <w:rPr>
          <w:color w:val="365F91"/>
          <w:sz w:val="28"/>
        </w:rPr>
        <w:t>Expanded</w:t>
      </w:r>
      <w:r>
        <w:rPr>
          <w:color w:val="365F91"/>
          <w:spacing w:val="-9"/>
          <w:sz w:val="28"/>
        </w:rPr>
        <w:t> </w:t>
      </w:r>
      <w:r>
        <w:rPr>
          <w:color w:val="365F91"/>
          <w:sz w:val="28"/>
        </w:rPr>
        <w:t>CPCS</w:t>
      </w:r>
      <w:r>
        <w:rPr>
          <w:color w:val="365F91"/>
          <w:spacing w:val="-9"/>
          <w:sz w:val="28"/>
        </w:rPr>
        <w:t> </w:t>
      </w:r>
      <w:r>
        <w:rPr>
          <w:color w:val="365F91"/>
          <w:spacing w:val="-2"/>
          <w:sz w:val="28"/>
        </w:rPr>
        <w:t>Recommendations</w:t>
      </w:r>
    </w:p>
    <w:p>
      <w:pPr>
        <w:pStyle w:val="BodyText"/>
        <w:spacing w:before="9"/>
        <w:rPr>
          <w:sz w:val="3"/>
        </w:rPr>
      </w:pPr>
      <w:r>
        <w:rPr/>
        <mc:AlternateContent>
          <mc:Choice Requires="wps">
            <w:drawing>
              <wp:anchor distT="0" distB="0" distL="0" distR="0" allowOverlap="1" layoutInCell="1" locked="0" behindDoc="1" simplePos="0" relativeHeight="487733248">
                <wp:simplePos x="0" y="0"/>
                <wp:positionH relativeFrom="page">
                  <wp:posOffset>897636</wp:posOffset>
                </wp:positionH>
                <wp:positionV relativeFrom="paragraph">
                  <wp:posOffset>44515</wp:posOffset>
                </wp:positionV>
                <wp:extent cx="5976620" cy="6350"/>
                <wp:effectExtent l="0" t="0" r="0" b="0"/>
                <wp:wrapTopAndBottom/>
                <wp:docPr id="690" name="Graphic 690"/>
                <wp:cNvGraphicFramePr>
                  <a:graphicFrameLocks/>
                </wp:cNvGraphicFramePr>
                <a:graphic>
                  <a:graphicData uri="http://schemas.microsoft.com/office/word/2010/wordprocessingShape">
                    <wps:wsp>
                      <wps:cNvPr id="690" name="Graphic 690"/>
                      <wps:cNvSpPr/>
                      <wps:spPr>
                        <a:xfrm>
                          <a:off x="0" y="0"/>
                          <a:ext cx="5976620" cy="6350"/>
                        </a:xfrm>
                        <a:custGeom>
                          <a:avLst/>
                          <a:gdLst/>
                          <a:ahLst/>
                          <a:cxnLst/>
                          <a:rect l="l" t="t" r="r" b="b"/>
                          <a:pathLst>
                            <a:path w="5976620" h="6350">
                              <a:moveTo>
                                <a:pt x="5976366" y="0"/>
                              </a:moveTo>
                              <a:lnTo>
                                <a:pt x="0" y="0"/>
                              </a:lnTo>
                              <a:lnTo>
                                <a:pt x="0" y="6096"/>
                              </a:lnTo>
                              <a:lnTo>
                                <a:pt x="5976366" y="6096"/>
                              </a:lnTo>
                              <a:lnTo>
                                <a:pt x="5976366" y="0"/>
                              </a:lnTo>
                              <a:close/>
                            </a:path>
                          </a:pathLst>
                        </a:custGeom>
                        <a:solidFill>
                          <a:srgbClr val="4F81BC"/>
                        </a:solidFill>
                      </wps:spPr>
                      <wps:bodyPr wrap="square" lIns="0" tIns="0" rIns="0" bIns="0" rtlCol="0">
                        <a:prstTxWarp prst="textNoShape">
                          <a:avLst/>
                        </a:prstTxWarp>
                        <a:noAutofit/>
                      </wps:bodyPr>
                    </wps:wsp>
                  </a:graphicData>
                </a:graphic>
              </wp:anchor>
            </w:drawing>
          </mc:Choice>
          <mc:Fallback>
            <w:pict>
              <v:rect style="position:absolute;margin-left:70.680pt;margin-top:3.505156pt;width:470.58pt;height:.48pt;mso-position-horizontal-relative:page;mso-position-vertical-relative:paragraph;z-index:-15583232;mso-wrap-distance-left:0;mso-wrap-distance-right:0" id="docshape587" filled="true" fillcolor="#4f81bc" stroked="false">
                <v:fill type="solid"/>
                <w10:wrap type="topAndBottom"/>
              </v:rect>
            </w:pict>
          </mc:Fallback>
        </mc:AlternateContent>
      </w:r>
    </w:p>
    <w:p>
      <w:pPr>
        <w:numPr>
          <w:ilvl w:val="0"/>
          <w:numId w:val="48"/>
        </w:numPr>
        <w:tabs>
          <w:tab w:pos="481" w:val="left" w:leader="none"/>
        </w:tabs>
        <w:spacing w:before="241"/>
        <w:ind w:left="481" w:right="0" w:hanging="358"/>
        <w:jc w:val="left"/>
        <w:rPr>
          <w:b/>
          <w:sz w:val="22"/>
        </w:rPr>
      </w:pPr>
      <w:r>
        <w:rPr>
          <w:b/>
          <w:sz w:val="22"/>
        </w:rPr>
        <w:t>Address</w:t>
      </w:r>
      <w:r>
        <w:rPr>
          <w:b/>
          <w:spacing w:val="-11"/>
          <w:sz w:val="22"/>
        </w:rPr>
        <w:t> </w:t>
      </w:r>
      <w:r>
        <w:rPr>
          <w:b/>
          <w:sz w:val="22"/>
        </w:rPr>
        <w:t>expectations</w:t>
      </w:r>
      <w:r>
        <w:rPr>
          <w:b/>
          <w:spacing w:val="-9"/>
          <w:sz w:val="22"/>
        </w:rPr>
        <w:t> </w:t>
      </w:r>
      <w:r>
        <w:rPr>
          <w:b/>
          <w:sz w:val="22"/>
        </w:rPr>
        <w:t>for</w:t>
      </w:r>
      <w:r>
        <w:rPr>
          <w:b/>
          <w:spacing w:val="-10"/>
          <w:sz w:val="22"/>
        </w:rPr>
        <w:t> </w:t>
      </w:r>
      <w:r>
        <w:rPr>
          <w:b/>
          <w:sz w:val="22"/>
        </w:rPr>
        <w:t>representing</w:t>
      </w:r>
      <w:r>
        <w:rPr>
          <w:b/>
          <w:spacing w:val="-9"/>
          <w:sz w:val="22"/>
        </w:rPr>
        <w:t> </w:t>
      </w:r>
      <w:r>
        <w:rPr>
          <w:b/>
          <w:sz w:val="22"/>
        </w:rPr>
        <w:t>LGBTQ</w:t>
      </w:r>
      <w:r>
        <w:rPr>
          <w:b/>
          <w:spacing w:val="-10"/>
          <w:sz w:val="22"/>
        </w:rPr>
        <w:t> </w:t>
      </w:r>
      <w:r>
        <w:rPr>
          <w:b/>
          <w:sz w:val="22"/>
        </w:rPr>
        <w:t>clients</w:t>
      </w:r>
      <w:r>
        <w:rPr>
          <w:b/>
          <w:spacing w:val="-10"/>
          <w:sz w:val="22"/>
        </w:rPr>
        <w:t> </w:t>
      </w:r>
      <w:r>
        <w:rPr>
          <w:b/>
          <w:sz w:val="22"/>
        </w:rPr>
        <w:t>within</w:t>
      </w:r>
      <w:r>
        <w:rPr>
          <w:b/>
          <w:spacing w:val="-9"/>
          <w:sz w:val="22"/>
        </w:rPr>
        <w:t> </w:t>
      </w:r>
      <w:r>
        <w:rPr>
          <w:b/>
          <w:sz w:val="22"/>
        </w:rPr>
        <w:t>the</w:t>
      </w:r>
      <w:r>
        <w:rPr>
          <w:b/>
          <w:spacing w:val="-9"/>
          <w:sz w:val="22"/>
        </w:rPr>
        <w:t> </w:t>
      </w:r>
      <w:r>
        <w:rPr>
          <w:b/>
          <w:sz w:val="22"/>
        </w:rPr>
        <w:t>CAFL</w:t>
      </w:r>
      <w:r>
        <w:rPr>
          <w:b/>
          <w:spacing w:val="-9"/>
          <w:sz w:val="22"/>
        </w:rPr>
        <w:t> </w:t>
      </w:r>
      <w:r>
        <w:rPr>
          <w:b/>
          <w:sz w:val="22"/>
        </w:rPr>
        <w:t>Performance</w:t>
      </w:r>
      <w:r>
        <w:rPr>
          <w:b/>
          <w:spacing w:val="-10"/>
          <w:sz w:val="22"/>
        </w:rPr>
        <w:t> </w:t>
      </w:r>
      <w:r>
        <w:rPr>
          <w:b/>
          <w:spacing w:val="-2"/>
          <w:sz w:val="22"/>
        </w:rPr>
        <w:t>Standards.</w:t>
      </w:r>
    </w:p>
    <w:p>
      <w:pPr>
        <w:pStyle w:val="BodyText"/>
        <w:spacing w:before="13"/>
        <w:rPr>
          <w:b/>
        </w:rPr>
      </w:pPr>
    </w:p>
    <w:p>
      <w:pPr>
        <w:pStyle w:val="BodyText"/>
        <w:spacing w:line="276" w:lineRule="auto"/>
        <w:ind w:left="483" w:right="342"/>
        <w:jc w:val="both"/>
      </w:pPr>
      <w:r>
        <w:rPr/>
        <w:t>The Commission recommends that CAFL include in its Performance Standards expectations around providing services free from discrimination and bias on the basis of sexual orientation, gender identity, race, and ethnicity. The Commission encourages CAFL to continue to illustrate what such expectations include - for example, using the appropriate names and pronouns for clients, addressing needs such as name</w:t>
      </w:r>
      <w:r>
        <w:rPr>
          <w:spacing w:val="-13"/>
        </w:rPr>
        <w:t> </w:t>
      </w:r>
      <w:r>
        <w:rPr/>
        <w:t>and</w:t>
      </w:r>
      <w:r>
        <w:rPr>
          <w:spacing w:val="-12"/>
        </w:rPr>
        <w:t> </w:t>
      </w:r>
      <w:r>
        <w:rPr/>
        <w:t>gender</w:t>
      </w:r>
      <w:r>
        <w:rPr>
          <w:spacing w:val="-13"/>
        </w:rPr>
        <w:t> </w:t>
      </w:r>
      <w:r>
        <w:rPr/>
        <w:t>marker</w:t>
      </w:r>
      <w:r>
        <w:rPr>
          <w:spacing w:val="-12"/>
        </w:rPr>
        <w:t> </w:t>
      </w:r>
      <w:r>
        <w:rPr/>
        <w:t>changes,</w:t>
      </w:r>
      <w:r>
        <w:rPr>
          <w:spacing w:val="-13"/>
        </w:rPr>
        <w:t> </w:t>
      </w:r>
      <w:r>
        <w:rPr/>
        <w:t>and</w:t>
      </w:r>
      <w:r>
        <w:rPr>
          <w:spacing w:val="-11"/>
        </w:rPr>
        <w:t> </w:t>
      </w:r>
      <w:r>
        <w:rPr/>
        <w:t>engaging</w:t>
      </w:r>
      <w:r>
        <w:rPr>
          <w:spacing w:val="-12"/>
        </w:rPr>
        <w:t> </w:t>
      </w:r>
      <w:r>
        <w:rPr/>
        <w:t>in</w:t>
      </w:r>
      <w:r>
        <w:rPr>
          <w:spacing w:val="-13"/>
        </w:rPr>
        <w:t> </w:t>
      </w:r>
      <w:r>
        <w:rPr/>
        <w:t>training,</w:t>
      </w:r>
      <w:r>
        <w:rPr>
          <w:spacing w:val="-11"/>
        </w:rPr>
        <w:t> </w:t>
      </w:r>
      <w:r>
        <w:rPr/>
        <w:t>continuing</w:t>
      </w:r>
      <w:r>
        <w:rPr>
          <w:spacing w:val="-13"/>
        </w:rPr>
        <w:t> </w:t>
      </w:r>
      <w:r>
        <w:rPr/>
        <w:t>legal</w:t>
      </w:r>
      <w:r>
        <w:rPr>
          <w:spacing w:val="-12"/>
        </w:rPr>
        <w:t> </w:t>
      </w:r>
      <w:r>
        <w:rPr/>
        <w:t>education</w:t>
      </w:r>
      <w:r>
        <w:rPr>
          <w:spacing w:val="-12"/>
        </w:rPr>
        <w:t> </w:t>
      </w:r>
      <w:r>
        <w:rPr/>
        <w:t>programming,</w:t>
      </w:r>
      <w:r>
        <w:rPr>
          <w:spacing w:val="-13"/>
        </w:rPr>
        <w:t> </w:t>
      </w:r>
      <w:r>
        <w:rPr/>
        <w:t>and other opportunities to increase cultural competency. In its March 2024 meeting with the Commission, CAFL indicated that they have made strides to make their language more gender-neutral by removing gendered language from their documentation and ensuring that attorneys are checking in with clients around pronouns.</w:t>
      </w:r>
    </w:p>
    <w:p>
      <w:pPr>
        <w:pStyle w:val="BodyText"/>
        <w:spacing w:line="276" w:lineRule="auto" w:before="239"/>
        <w:ind w:left="483" w:right="341"/>
        <w:jc w:val="both"/>
      </w:pPr>
      <w:r>
        <w:rPr/>
        <w:t>As part of this work, the Commission encourages CAFL to identify how it will evaluate attorney performance in this area and how it will respond when attorneys are not meeting expectations. That should include ensuring youth clients (and their adult allies) have easy access to CAFL’s complaint forms or</w:t>
      </w:r>
      <w:r>
        <w:rPr>
          <w:spacing w:val="-13"/>
        </w:rPr>
        <w:t> </w:t>
      </w:r>
      <w:r>
        <w:rPr/>
        <w:t>other</w:t>
      </w:r>
      <w:r>
        <w:rPr>
          <w:spacing w:val="-12"/>
        </w:rPr>
        <w:t> </w:t>
      </w:r>
      <w:r>
        <w:rPr/>
        <w:t>mechanisms</w:t>
      </w:r>
      <w:r>
        <w:rPr>
          <w:spacing w:val="-13"/>
        </w:rPr>
        <w:t> </w:t>
      </w:r>
      <w:r>
        <w:rPr/>
        <w:t>for</w:t>
      </w:r>
      <w:r>
        <w:rPr>
          <w:spacing w:val="-12"/>
        </w:rPr>
        <w:t> </w:t>
      </w:r>
      <w:r>
        <w:rPr/>
        <w:t>reporting</w:t>
      </w:r>
      <w:r>
        <w:rPr>
          <w:spacing w:val="-13"/>
        </w:rPr>
        <w:t> </w:t>
      </w:r>
      <w:r>
        <w:rPr/>
        <w:t>when</w:t>
      </w:r>
      <w:r>
        <w:rPr>
          <w:spacing w:val="-12"/>
        </w:rPr>
        <w:t> </w:t>
      </w:r>
      <w:r>
        <w:rPr/>
        <w:t>attorneys</w:t>
      </w:r>
      <w:r>
        <w:rPr>
          <w:spacing w:val="-13"/>
        </w:rPr>
        <w:t> </w:t>
      </w:r>
      <w:r>
        <w:rPr/>
        <w:t>contribute</w:t>
      </w:r>
      <w:r>
        <w:rPr>
          <w:spacing w:val="-12"/>
        </w:rPr>
        <w:t> </w:t>
      </w:r>
      <w:r>
        <w:rPr/>
        <w:t>to</w:t>
      </w:r>
      <w:r>
        <w:rPr>
          <w:spacing w:val="-12"/>
        </w:rPr>
        <w:t> </w:t>
      </w:r>
      <w:r>
        <w:rPr/>
        <w:t>bias</w:t>
      </w:r>
      <w:r>
        <w:rPr>
          <w:spacing w:val="-13"/>
        </w:rPr>
        <w:t> </w:t>
      </w:r>
      <w:r>
        <w:rPr/>
        <w:t>or</w:t>
      </w:r>
      <w:r>
        <w:rPr>
          <w:spacing w:val="-12"/>
        </w:rPr>
        <w:t> </w:t>
      </w:r>
      <w:r>
        <w:rPr/>
        <w:t>discrimination</w:t>
      </w:r>
      <w:r>
        <w:rPr>
          <w:spacing w:val="-13"/>
        </w:rPr>
        <w:t> </w:t>
      </w:r>
      <w:r>
        <w:rPr/>
        <w:t>in</w:t>
      </w:r>
      <w:r>
        <w:rPr>
          <w:spacing w:val="-12"/>
        </w:rPr>
        <w:t> </w:t>
      </w:r>
      <w:r>
        <w:rPr/>
        <w:t>the</w:t>
      </w:r>
      <w:r>
        <w:rPr>
          <w:spacing w:val="-13"/>
        </w:rPr>
        <w:t> </w:t>
      </w:r>
      <w:r>
        <w:rPr/>
        <w:t>court</w:t>
      </w:r>
      <w:r>
        <w:rPr>
          <w:spacing w:val="-12"/>
        </w:rPr>
        <w:t> </w:t>
      </w:r>
      <w:r>
        <w:rPr/>
        <w:t>system or fail to advocate for LGBTQ young people’s needs. In answer to this recommendation, CAFL liaisons shared</w:t>
      </w:r>
      <w:r>
        <w:rPr>
          <w:spacing w:val="-4"/>
        </w:rPr>
        <w:t> </w:t>
      </w:r>
      <w:r>
        <w:rPr/>
        <w:t>in</w:t>
      </w:r>
      <w:r>
        <w:rPr>
          <w:spacing w:val="-3"/>
        </w:rPr>
        <w:t> </w:t>
      </w:r>
      <w:r>
        <w:rPr/>
        <w:t>March</w:t>
      </w:r>
      <w:r>
        <w:rPr>
          <w:spacing w:val="-4"/>
        </w:rPr>
        <w:t> </w:t>
      </w:r>
      <w:r>
        <w:rPr/>
        <w:t>2024</w:t>
      </w:r>
      <w:r>
        <w:rPr>
          <w:spacing w:val="-3"/>
        </w:rPr>
        <w:t> </w:t>
      </w:r>
      <w:r>
        <w:rPr/>
        <w:t>that</w:t>
      </w:r>
      <w:r>
        <w:rPr>
          <w:spacing w:val="-3"/>
        </w:rPr>
        <w:t> </w:t>
      </w:r>
      <w:r>
        <w:rPr/>
        <w:t>the</w:t>
      </w:r>
      <w:r>
        <w:rPr>
          <w:spacing w:val="-3"/>
        </w:rPr>
        <w:t> </w:t>
      </w:r>
      <w:r>
        <w:rPr/>
        <w:t>division</w:t>
      </w:r>
      <w:r>
        <w:rPr>
          <w:spacing w:val="-3"/>
        </w:rPr>
        <w:t> </w:t>
      </w:r>
      <w:r>
        <w:rPr/>
        <w:t>is</w:t>
      </w:r>
      <w:r>
        <w:rPr>
          <w:spacing w:val="-4"/>
        </w:rPr>
        <w:t> </w:t>
      </w:r>
      <w:r>
        <w:rPr/>
        <w:t>in</w:t>
      </w:r>
      <w:r>
        <w:rPr>
          <w:spacing w:val="-3"/>
        </w:rPr>
        <w:t> </w:t>
      </w:r>
      <w:r>
        <w:rPr/>
        <w:t>the</w:t>
      </w:r>
      <w:r>
        <w:rPr>
          <w:spacing w:val="-3"/>
        </w:rPr>
        <w:t> </w:t>
      </w:r>
      <w:r>
        <w:rPr/>
        <w:t>process</w:t>
      </w:r>
      <w:r>
        <w:rPr>
          <w:spacing w:val="-4"/>
        </w:rPr>
        <w:t> </w:t>
      </w:r>
      <w:r>
        <w:rPr/>
        <w:t>of</w:t>
      </w:r>
      <w:r>
        <w:rPr>
          <w:spacing w:val="-4"/>
        </w:rPr>
        <w:t> </w:t>
      </w:r>
      <w:r>
        <w:rPr/>
        <w:t>developing</w:t>
      </w:r>
      <w:r>
        <w:rPr>
          <w:spacing w:val="-4"/>
        </w:rPr>
        <w:t> </w:t>
      </w:r>
      <w:r>
        <w:rPr/>
        <w:t>a</w:t>
      </w:r>
      <w:r>
        <w:rPr>
          <w:spacing w:val="-4"/>
        </w:rPr>
        <w:t> </w:t>
      </w:r>
      <w:r>
        <w:rPr/>
        <w:t>fact</w:t>
      </w:r>
      <w:r>
        <w:rPr>
          <w:spacing w:val="-3"/>
        </w:rPr>
        <w:t> </w:t>
      </w:r>
      <w:r>
        <w:rPr/>
        <w:t>sheet</w:t>
      </w:r>
      <w:r>
        <w:rPr>
          <w:spacing w:val="-3"/>
        </w:rPr>
        <w:t> </w:t>
      </w:r>
      <w:r>
        <w:rPr/>
        <w:t>that</w:t>
      </w:r>
      <w:r>
        <w:rPr>
          <w:spacing w:val="-3"/>
        </w:rPr>
        <w:t> </w:t>
      </w:r>
      <w:r>
        <w:rPr/>
        <w:t>will</w:t>
      </w:r>
      <w:r>
        <w:rPr>
          <w:spacing w:val="-3"/>
        </w:rPr>
        <w:t> </w:t>
      </w:r>
      <w:r>
        <w:rPr/>
        <w:t>be</w:t>
      </w:r>
      <w:r>
        <w:rPr>
          <w:spacing w:val="-4"/>
        </w:rPr>
        <w:t> </w:t>
      </w:r>
      <w:r>
        <w:rPr/>
        <w:t>distributed to clients on their rights while receiving CAFL services.</w:t>
      </w:r>
    </w:p>
    <w:p>
      <w:pPr>
        <w:pStyle w:val="BodyText"/>
        <w:spacing w:line="276" w:lineRule="auto" w:before="239"/>
        <w:ind w:left="483" w:right="340"/>
        <w:jc w:val="both"/>
      </w:pPr>
      <w:r>
        <w:rPr/>
        <w:t>The</w:t>
      </w:r>
      <w:r>
        <w:rPr>
          <w:spacing w:val="-3"/>
        </w:rPr>
        <w:t> </w:t>
      </w:r>
      <w:r>
        <w:rPr/>
        <w:t>Commission</w:t>
      </w:r>
      <w:r>
        <w:rPr>
          <w:spacing w:val="-3"/>
        </w:rPr>
        <w:t> </w:t>
      </w:r>
      <w:r>
        <w:rPr/>
        <w:t>continues</w:t>
      </w:r>
      <w:r>
        <w:rPr>
          <w:spacing w:val="-1"/>
        </w:rPr>
        <w:t> </w:t>
      </w:r>
      <w:r>
        <w:rPr/>
        <w:t>to</w:t>
      </w:r>
      <w:r>
        <w:rPr>
          <w:spacing w:val="-2"/>
        </w:rPr>
        <w:t> </w:t>
      </w:r>
      <w:r>
        <w:rPr/>
        <w:t>recommend</w:t>
      </w:r>
      <w:r>
        <w:rPr>
          <w:spacing w:val="-3"/>
        </w:rPr>
        <w:t> </w:t>
      </w:r>
      <w:r>
        <w:rPr/>
        <w:t>that</w:t>
      </w:r>
      <w:r>
        <w:rPr>
          <w:spacing w:val="-3"/>
        </w:rPr>
        <w:t> </w:t>
      </w:r>
      <w:r>
        <w:rPr/>
        <w:t>CAFL</w:t>
      </w:r>
      <w:r>
        <w:rPr>
          <w:spacing w:val="-2"/>
        </w:rPr>
        <w:t> </w:t>
      </w:r>
      <w:r>
        <w:rPr/>
        <w:t>needs</w:t>
      </w:r>
      <w:r>
        <w:rPr>
          <w:spacing w:val="-2"/>
        </w:rPr>
        <w:t> </w:t>
      </w:r>
      <w:r>
        <w:rPr/>
        <w:t>a</w:t>
      </w:r>
      <w:r>
        <w:rPr>
          <w:spacing w:val="-3"/>
        </w:rPr>
        <w:t> </w:t>
      </w:r>
      <w:r>
        <w:rPr/>
        <w:t>strong,</w:t>
      </w:r>
      <w:r>
        <w:rPr>
          <w:spacing w:val="-3"/>
        </w:rPr>
        <w:t> </w:t>
      </w:r>
      <w:r>
        <w:rPr/>
        <w:t>transparent,</w:t>
      </w:r>
      <w:r>
        <w:rPr>
          <w:spacing w:val="-3"/>
        </w:rPr>
        <w:t> </w:t>
      </w:r>
      <w:r>
        <w:rPr/>
        <w:t>and</w:t>
      </w:r>
      <w:r>
        <w:rPr>
          <w:spacing w:val="-3"/>
        </w:rPr>
        <w:t> </w:t>
      </w:r>
      <w:r>
        <w:rPr/>
        <w:t>consistent</w:t>
      </w:r>
      <w:r>
        <w:rPr>
          <w:spacing w:val="-3"/>
        </w:rPr>
        <w:t> </w:t>
      </w:r>
      <w:r>
        <w:rPr/>
        <w:t>process for investigating and responding to those complaints, holding attorneys accountable for deficient representation of LGBTQ clients, and taking steps to resolve the unmet needs of LGBTQ clients (e.g. by providing</w:t>
      </w:r>
      <w:r>
        <w:rPr>
          <w:spacing w:val="-6"/>
        </w:rPr>
        <w:t> </w:t>
      </w:r>
      <w:r>
        <w:rPr/>
        <w:t>additional</w:t>
      </w:r>
      <w:r>
        <w:rPr>
          <w:spacing w:val="-5"/>
        </w:rPr>
        <w:t> </w:t>
      </w:r>
      <w:r>
        <w:rPr/>
        <w:t>support</w:t>
      </w:r>
      <w:r>
        <w:rPr>
          <w:spacing w:val="-6"/>
        </w:rPr>
        <w:t> </w:t>
      </w:r>
      <w:r>
        <w:rPr/>
        <w:t>or</w:t>
      </w:r>
      <w:r>
        <w:rPr>
          <w:spacing w:val="-5"/>
        </w:rPr>
        <w:t> </w:t>
      </w:r>
      <w:r>
        <w:rPr/>
        <w:t>oversight,</w:t>
      </w:r>
      <w:r>
        <w:rPr>
          <w:spacing w:val="-5"/>
        </w:rPr>
        <w:t> </w:t>
      </w:r>
      <w:r>
        <w:rPr/>
        <w:t>or</w:t>
      </w:r>
      <w:r>
        <w:rPr>
          <w:spacing w:val="-5"/>
        </w:rPr>
        <w:t> </w:t>
      </w:r>
      <w:r>
        <w:rPr/>
        <w:t>assigning</w:t>
      </w:r>
      <w:r>
        <w:rPr>
          <w:spacing w:val="-6"/>
        </w:rPr>
        <w:t> </w:t>
      </w:r>
      <w:r>
        <w:rPr/>
        <w:t>a</w:t>
      </w:r>
      <w:r>
        <w:rPr>
          <w:spacing w:val="-5"/>
        </w:rPr>
        <w:t> </w:t>
      </w:r>
      <w:r>
        <w:rPr/>
        <w:t>new</w:t>
      </w:r>
      <w:r>
        <w:rPr>
          <w:spacing w:val="-4"/>
        </w:rPr>
        <w:t> </w:t>
      </w:r>
      <w:r>
        <w:rPr/>
        <w:t>lawyer</w:t>
      </w:r>
      <w:r>
        <w:rPr>
          <w:spacing w:val="-5"/>
        </w:rPr>
        <w:t> </w:t>
      </w:r>
      <w:r>
        <w:rPr/>
        <w:t>or</w:t>
      </w:r>
      <w:r>
        <w:rPr>
          <w:spacing w:val="-5"/>
        </w:rPr>
        <w:t> </w:t>
      </w:r>
      <w:r>
        <w:rPr/>
        <w:t>co-counsel).</w:t>
      </w:r>
      <w:r>
        <w:rPr>
          <w:spacing w:val="38"/>
        </w:rPr>
        <w:t> </w:t>
      </w:r>
      <w:r>
        <w:rPr/>
        <w:t>Such</w:t>
      </w:r>
      <w:r>
        <w:rPr>
          <w:spacing w:val="-6"/>
        </w:rPr>
        <w:t> </w:t>
      </w:r>
      <w:r>
        <w:rPr/>
        <w:t>a</w:t>
      </w:r>
      <w:r>
        <w:rPr>
          <w:spacing w:val="-4"/>
        </w:rPr>
        <w:t> </w:t>
      </w:r>
      <w:r>
        <w:rPr/>
        <w:t>process</w:t>
      </w:r>
      <w:r>
        <w:rPr>
          <w:spacing w:val="-5"/>
        </w:rPr>
        <w:t> </w:t>
      </w:r>
      <w:r>
        <w:rPr/>
        <w:t>could begin by looking at the certification process for private attorneys, and establishing a nondiscrimination clause</w:t>
      </w:r>
      <w:r>
        <w:rPr>
          <w:spacing w:val="-8"/>
        </w:rPr>
        <w:t> </w:t>
      </w:r>
      <w:r>
        <w:rPr/>
        <w:t>or</w:t>
      </w:r>
      <w:r>
        <w:rPr>
          <w:spacing w:val="-8"/>
        </w:rPr>
        <w:t> </w:t>
      </w:r>
      <w:r>
        <w:rPr/>
        <w:t>code</w:t>
      </w:r>
      <w:r>
        <w:rPr>
          <w:spacing w:val="-8"/>
        </w:rPr>
        <w:t> </w:t>
      </w:r>
      <w:r>
        <w:rPr/>
        <w:t>of</w:t>
      </w:r>
      <w:r>
        <w:rPr>
          <w:spacing w:val="-8"/>
        </w:rPr>
        <w:t> </w:t>
      </w:r>
      <w:r>
        <w:rPr/>
        <w:t>ethics</w:t>
      </w:r>
      <w:r>
        <w:rPr>
          <w:spacing w:val="-6"/>
        </w:rPr>
        <w:t> </w:t>
      </w:r>
      <w:r>
        <w:rPr/>
        <w:t>that</w:t>
      </w:r>
      <w:r>
        <w:rPr>
          <w:spacing w:val="-8"/>
        </w:rPr>
        <w:t> </w:t>
      </w:r>
      <w:r>
        <w:rPr/>
        <w:t>all</w:t>
      </w:r>
      <w:r>
        <w:rPr>
          <w:spacing w:val="-8"/>
        </w:rPr>
        <w:t> </w:t>
      </w:r>
      <w:r>
        <w:rPr/>
        <w:t>attorneys</w:t>
      </w:r>
      <w:r>
        <w:rPr>
          <w:spacing w:val="-7"/>
        </w:rPr>
        <w:t> </w:t>
      </w:r>
      <w:r>
        <w:rPr/>
        <w:t>must</w:t>
      </w:r>
      <w:r>
        <w:rPr>
          <w:spacing w:val="-8"/>
        </w:rPr>
        <w:t> </w:t>
      </w:r>
      <w:r>
        <w:rPr/>
        <w:t>adhere</w:t>
      </w:r>
      <w:r>
        <w:rPr>
          <w:spacing w:val="-8"/>
        </w:rPr>
        <w:t> </w:t>
      </w:r>
      <w:r>
        <w:rPr/>
        <w:t>to</w:t>
      </w:r>
      <w:r>
        <w:rPr>
          <w:spacing w:val="-7"/>
        </w:rPr>
        <w:t> </w:t>
      </w:r>
      <w:r>
        <w:rPr/>
        <w:t>while</w:t>
      </w:r>
      <w:r>
        <w:rPr>
          <w:spacing w:val="-7"/>
        </w:rPr>
        <w:t> </w:t>
      </w:r>
      <w:r>
        <w:rPr/>
        <w:t>certified</w:t>
      </w:r>
      <w:r>
        <w:rPr>
          <w:spacing w:val="-8"/>
        </w:rPr>
        <w:t> </w:t>
      </w:r>
      <w:r>
        <w:rPr/>
        <w:t>as</w:t>
      </w:r>
      <w:r>
        <w:rPr>
          <w:spacing w:val="-7"/>
        </w:rPr>
        <w:t> </w:t>
      </w:r>
      <w:r>
        <w:rPr/>
        <w:t>a</w:t>
      </w:r>
      <w:r>
        <w:rPr>
          <w:spacing w:val="-7"/>
        </w:rPr>
        <w:t> </w:t>
      </w:r>
      <w:r>
        <w:rPr/>
        <w:t>CAFL</w:t>
      </w:r>
      <w:r>
        <w:rPr>
          <w:spacing w:val="-8"/>
        </w:rPr>
        <w:t> </w:t>
      </w:r>
      <w:r>
        <w:rPr/>
        <w:t>attorney.</w:t>
      </w:r>
      <w:r>
        <w:rPr>
          <w:spacing w:val="-8"/>
        </w:rPr>
        <w:t> </w:t>
      </w:r>
      <w:r>
        <w:rPr/>
        <w:t>To</w:t>
      </w:r>
      <w:r>
        <w:rPr>
          <w:spacing w:val="-7"/>
        </w:rPr>
        <w:t> </w:t>
      </w:r>
      <w:r>
        <w:rPr/>
        <w:t>assist</w:t>
      </w:r>
      <w:r>
        <w:rPr>
          <w:spacing w:val="-8"/>
        </w:rPr>
        <w:t> </w:t>
      </w:r>
      <w:r>
        <w:rPr/>
        <w:t>with better</w:t>
      </w:r>
      <w:r>
        <w:rPr>
          <w:spacing w:val="-9"/>
        </w:rPr>
        <w:t> </w:t>
      </w:r>
      <w:r>
        <w:rPr/>
        <w:t>understanding</w:t>
      </w:r>
      <w:r>
        <w:rPr>
          <w:spacing w:val="-9"/>
        </w:rPr>
        <w:t> </w:t>
      </w:r>
      <w:r>
        <w:rPr/>
        <w:t>the</w:t>
      </w:r>
      <w:r>
        <w:rPr>
          <w:spacing w:val="-8"/>
        </w:rPr>
        <w:t> </w:t>
      </w:r>
      <w:r>
        <w:rPr/>
        <w:t>needs</w:t>
      </w:r>
      <w:r>
        <w:rPr>
          <w:spacing w:val="-8"/>
        </w:rPr>
        <w:t> </w:t>
      </w:r>
      <w:r>
        <w:rPr/>
        <w:t>of</w:t>
      </w:r>
      <w:r>
        <w:rPr>
          <w:spacing w:val="-9"/>
        </w:rPr>
        <w:t> </w:t>
      </w:r>
      <w:r>
        <w:rPr/>
        <w:t>clients,</w:t>
      </w:r>
      <w:r>
        <w:rPr>
          <w:spacing w:val="-9"/>
        </w:rPr>
        <w:t> </w:t>
      </w:r>
      <w:r>
        <w:rPr/>
        <w:t>CAFL</w:t>
      </w:r>
      <w:r>
        <w:rPr>
          <w:spacing w:val="-9"/>
        </w:rPr>
        <w:t> </w:t>
      </w:r>
      <w:r>
        <w:rPr/>
        <w:t>has</w:t>
      </w:r>
      <w:r>
        <w:rPr>
          <w:spacing w:val="-8"/>
        </w:rPr>
        <w:t> </w:t>
      </w:r>
      <w:r>
        <w:rPr/>
        <w:t>recently</w:t>
      </w:r>
      <w:r>
        <w:rPr>
          <w:spacing w:val="-9"/>
        </w:rPr>
        <w:t> </w:t>
      </w:r>
      <w:r>
        <w:rPr/>
        <w:t>created</w:t>
      </w:r>
      <w:r>
        <w:rPr>
          <w:spacing w:val="-9"/>
        </w:rPr>
        <w:t> </w:t>
      </w:r>
      <w:r>
        <w:rPr/>
        <w:t>a</w:t>
      </w:r>
      <w:r>
        <w:rPr>
          <w:spacing w:val="-9"/>
        </w:rPr>
        <w:t> </w:t>
      </w:r>
      <w:r>
        <w:rPr/>
        <w:t>Client</w:t>
      </w:r>
      <w:r>
        <w:rPr>
          <w:spacing w:val="-9"/>
        </w:rPr>
        <w:t> </w:t>
      </w:r>
      <w:r>
        <w:rPr/>
        <w:t>Advisory</w:t>
      </w:r>
      <w:r>
        <w:rPr>
          <w:spacing w:val="-9"/>
        </w:rPr>
        <w:t> </w:t>
      </w:r>
      <w:r>
        <w:rPr/>
        <w:t>Board</w:t>
      </w:r>
      <w:r>
        <w:rPr>
          <w:spacing w:val="-9"/>
        </w:rPr>
        <w:t> </w:t>
      </w:r>
      <w:r>
        <w:rPr/>
        <w:t>that</w:t>
      </w:r>
      <w:r>
        <w:rPr>
          <w:spacing w:val="-9"/>
        </w:rPr>
        <w:t> </w:t>
      </w:r>
      <w:r>
        <w:rPr/>
        <w:t>includes youth</w:t>
      </w:r>
      <w:r>
        <w:rPr>
          <w:spacing w:val="-6"/>
        </w:rPr>
        <w:t> </w:t>
      </w:r>
      <w:r>
        <w:rPr/>
        <w:t>members.</w:t>
      </w:r>
      <w:r>
        <w:rPr>
          <w:spacing w:val="-7"/>
        </w:rPr>
        <w:t> </w:t>
      </w:r>
      <w:r>
        <w:rPr/>
        <w:t>However,</w:t>
      </w:r>
      <w:r>
        <w:rPr>
          <w:spacing w:val="-6"/>
        </w:rPr>
        <w:t> </w:t>
      </w:r>
      <w:r>
        <w:rPr/>
        <w:t>as</w:t>
      </w:r>
      <w:r>
        <w:rPr>
          <w:spacing w:val="-6"/>
        </w:rPr>
        <w:t> </w:t>
      </w:r>
      <w:r>
        <w:rPr/>
        <w:t>noted</w:t>
      </w:r>
      <w:r>
        <w:rPr>
          <w:spacing w:val="-6"/>
        </w:rPr>
        <w:t> </w:t>
      </w:r>
      <w:r>
        <w:rPr/>
        <w:t>in</w:t>
      </w:r>
      <w:r>
        <w:rPr>
          <w:spacing w:val="-6"/>
        </w:rPr>
        <w:t> </w:t>
      </w:r>
      <w:r>
        <w:rPr/>
        <w:t>its</w:t>
      </w:r>
      <w:r>
        <w:rPr>
          <w:spacing w:val="-6"/>
        </w:rPr>
        <w:t> </w:t>
      </w:r>
      <w:r>
        <w:rPr/>
        <w:t>spring</w:t>
      </w:r>
      <w:r>
        <w:rPr>
          <w:spacing w:val="-4"/>
        </w:rPr>
        <w:t> </w:t>
      </w:r>
      <w:r>
        <w:rPr/>
        <w:t>meeting,</w:t>
      </w:r>
      <w:r>
        <w:rPr>
          <w:spacing w:val="-5"/>
        </w:rPr>
        <w:t> </w:t>
      </w:r>
      <w:r>
        <w:rPr/>
        <w:t>the</w:t>
      </w:r>
      <w:r>
        <w:rPr>
          <w:spacing w:val="-7"/>
        </w:rPr>
        <w:t> </w:t>
      </w:r>
      <w:r>
        <w:rPr/>
        <w:t>Commission</w:t>
      </w:r>
      <w:r>
        <w:rPr>
          <w:spacing w:val="-7"/>
        </w:rPr>
        <w:t> </w:t>
      </w:r>
      <w:r>
        <w:rPr/>
        <w:t>highly</w:t>
      </w:r>
      <w:r>
        <w:rPr>
          <w:spacing w:val="-6"/>
        </w:rPr>
        <w:t> </w:t>
      </w:r>
      <w:r>
        <w:rPr/>
        <w:t>recommends</w:t>
      </w:r>
      <w:r>
        <w:rPr>
          <w:spacing w:val="-6"/>
        </w:rPr>
        <w:t> </w:t>
      </w:r>
      <w:r>
        <w:rPr/>
        <w:t>expanding the board to include LGBTQ perspectives, with particular attention to ensuring representation of youth with multiple marginalized identities.</w:t>
      </w:r>
    </w:p>
    <w:p>
      <w:pPr>
        <w:numPr>
          <w:ilvl w:val="0"/>
          <w:numId w:val="48"/>
        </w:numPr>
        <w:tabs>
          <w:tab w:pos="481" w:val="left" w:leader="none"/>
        </w:tabs>
        <w:spacing w:before="240"/>
        <w:ind w:left="481" w:right="0" w:hanging="358"/>
        <w:jc w:val="left"/>
        <w:rPr>
          <w:b/>
          <w:sz w:val="22"/>
        </w:rPr>
      </w:pPr>
      <w:r>
        <w:rPr>
          <w:b/>
          <w:sz w:val="22"/>
        </w:rPr>
        <w:t>Provide</w:t>
      </w:r>
      <w:r>
        <w:rPr>
          <w:b/>
          <w:spacing w:val="-10"/>
          <w:sz w:val="22"/>
        </w:rPr>
        <w:t> </w:t>
      </w:r>
      <w:r>
        <w:rPr>
          <w:b/>
          <w:sz w:val="22"/>
        </w:rPr>
        <w:t>consistent</w:t>
      </w:r>
      <w:r>
        <w:rPr>
          <w:b/>
          <w:spacing w:val="-8"/>
          <w:sz w:val="22"/>
        </w:rPr>
        <w:t> </w:t>
      </w:r>
      <w:r>
        <w:rPr>
          <w:b/>
          <w:sz w:val="22"/>
        </w:rPr>
        <w:t>and</w:t>
      </w:r>
      <w:r>
        <w:rPr>
          <w:b/>
          <w:spacing w:val="-9"/>
          <w:sz w:val="22"/>
        </w:rPr>
        <w:t> </w:t>
      </w:r>
      <w:r>
        <w:rPr>
          <w:b/>
          <w:sz w:val="22"/>
        </w:rPr>
        <w:t>high-quality</w:t>
      </w:r>
      <w:r>
        <w:rPr>
          <w:b/>
          <w:spacing w:val="-8"/>
          <w:sz w:val="22"/>
        </w:rPr>
        <w:t> </w:t>
      </w:r>
      <w:r>
        <w:rPr>
          <w:b/>
          <w:sz w:val="22"/>
        </w:rPr>
        <w:t>training</w:t>
      </w:r>
      <w:r>
        <w:rPr>
          <w:b/>
          <w:spacing w:val="-8"/>
          <w:sz w:val="22"/>
        </w:rPr>
        <w:t> </w:t>
      </w:r>
      <w:r>
        <w:rPr>
          <w:b/>
          <w:sz w:val="22"/>
        </w:rPr>
        <w:t>on</w:t>
      </w:r>
      <w:r>
        <w:rPr>
          <w:b/>
          <w:spacing w:val="-9"/>
          <w:sz w:val="22"/>
        </w:rPr>
        <w:t> </w:t>
      </w:r>
      <w:r>
        <w:rPr>
          <w:b/>
          <w:sz w:val="22"/>
        </w:rPr>
        <w:t>working</w:t>
      </w:r>
      <w:r>
        <w:rPr>
          <w:b/>
          <w:spacing w:val="-9"/>
          <w:sz w:val="22"/>
        </w:rPr>
        <w:t> </w:t>
      </w:r>
      <w:r>
        <w:rPr>
          <w:b/>
          <w:sz w:val="22"/>
        </w:rPr>
        <w:t>with</w:t>
      </w:r>
      <w:r>
        <w:rPr>
          <w:b/>
          <w:spacing w:val="-8"/>
          <w:sz w:val="22"/>
        </w:rPr>
        <w:t> </w:t>
      </w:r>
      <w:r>
        <w:rPr>
          <w:b/>
          <w:sz w:val="22"/>
        </w:rPr>
        <w:t>LGBTQ</w:t>
      </w:r>
      <w:r>
        <w:rPr>
          <w:b/>
          <w:spacing w:val="-8"/>
          <w:sz w:val="22"/>
        </w:rPr>
        <w:t> </w:t>
      </w:r>
      <w:r>
        <w:rPr>
          <w:b/>
          <w:spacing w:val="-2"/>
          <w:sz w:val="22"/>
        </w:rPr>
        <w:t>clients.</w:t>
      </w:r>
    </w:p>
    <w:p>
      <w:pPr>
        <w:pStyle w:val="BodyText"/>
        <w:spacing w:before="11"/>
        <w:rPr>
          <w:b/>
        </w:rPr>
      </w:pPr>
    </w:p>
    <w:p>
      <w:pPr>
        <w:pStyle w:val="BodyText"/>
        <w:spacing w:line="276" w:lineRule="auto" w:before="1"/>
        <w:ind w:left="483" w:right="342"/>
        <w:jc w:val="both"/>
      </w:pPr>
      <w:r>
        <w:rPr/>
        <w:t>The Commission urges CAFL to continue expanding training for both CAFL staff and private attorneys on working</w:t>
      </w:r>
      <w:r>
        <w:rPr>
          <w:spacing w:val="-13"/>
        </w:rPr>
        <w:t> </w:t>
      </w:r>
      <w:r>
        <w:rPr/>
        <w:t>with</w:t>
      </w:r>
      <w:r>
        <w:rPr>
          <w:spacing w:val="-12"/>
        </w:rPr>
        <w:t> </w:t>
      </w:r>
      <w:r>
        <w:rPr/>
        <w:t>LGBTQ</w:t>
      </w:r>
      <w:r>
        <w:rPr>
          <w:spacing w:val="-13"/>
        </w:rPr>
        <w:t> </w:t>
      </w:r>
      <w:r>
        <w:rPr/>
        <w:t>clients.</w:t>
      </w:r>
      <w:r>
        <w:rPr>
          <w:spacing w:val="-12"/>
        </w:rPr>
        <w:t> </w:t>
      </w:r>
      <w:r>
        <w:rPr/>
        <w:t>Training</w:t>
      </w:r>
      <w:r>
        <w:rPr>
          <w:spacing w:val="-13"/>
        </w:rPr>
        <w:t> </w:t>
      </w:r>
      <w:r>
        <w:rPr/>
        <w:t>opportunities</w:t>
      </w:r>
      <w:r>
        <w:rPr>
          <w:spacing w:val="-12"/>
        </w:rPr>
        <w:t> </w:t>
      </w:r>
      <w:r>
        <w:rPr/>
        <w:t>should</w:t>
      </w:r>
      <w:r>
        <w:rPr>
          <w:spacing w:val="-13"/>
        </w:rPr>
        <w:t> </w:t>
      </w:r>
      <w:r>
        <w:rPr/>
        <w:t>include</w:t>
      </w:r>
      <w:r>
        <w:rPr>
          <w:spacing w:val="-12"/>
        </w:rPr>
        <w:t> </w:t>
      </w:r>
      <w:r>
        <w:rPr/>
        <w:t>both</w:t>
      </w:r>
      <w:r>
        <w:rPr>
          <w:spacing w:val="-12"/>
        </w:rPr>
        <w:t> </w:t>
      </w:r>
      <w:r>
        <w:rPr/>
        <w:t>introductory</w:t>
      </w:r>
      <w:r>
        <w:rPr>
          <w:spacing w:val="-13"/>
        </w:rPr>
        <w:t> </w:t>
      </w:r>
      <w:r>
        <w:rPr/>
        <w:t>materials</w:t>
      </w:r>
      <w:r>
        <w:rPr>
          <w:spacing w:val="-12"/>
        </w:rPr>
        <w:t> </w:t>
      </w:r>
      <w:r>
        <w:rPr/>
        <w:t>on</w:t>
      </w:r>
      <w:r>
        <w:rPr>
          <w:spacing w:val="-13"/>
        </w:rPr>
        <w:t> </w:t>
      </w:r>
      <w:r>
        <w:rPr/>
        <w:t>working with LGBTQ communities and specialized training on topics such as name changes, gender-affirming healthcare,</w:t>
      </w:r>
      <w:r>
        <w:rPr>
          <w:spacing w:val="-6"/>
        </w:rPr>
        <w:t> </w:t>
      </w:r>
      <w:r>
        <w:rPr/>
        <w:t>advocating</w:t>
      </w:r>
      <w:r>
        <w:rPr>
          <w:spacing w:val="-6"/>
        </w:rPr>
        <w:t> </w:t>
      </w:r>
      <w:r>
        <w:rPr/>
        <w:t>for</w:t>
      </w:r>
      <w:r>
        <w:rPr>
          <w:spacing w:val="-5"/>
        </w:rPr>
        <w:t> </w:t>
      </w:r>
      <w:r>
        <w:rPr/>
        <w:t>LGBTQ</w:t>
      </w:r>
      <w:r>
        <w:rPr>
          <w:spacing w:val="-6"/>
        </w:rPr>
        <w:t> </w:t>
      </w:r>
      <w:r>
        <w:rPr/>
        <w:t>young</w:t>
      </w:r>
      <w:r>
        <w:rPr>
          <w:spacing w:val="-5"/>
        </w:rPr>
        <w:t> </w:t>
      </w:r>
      <w:r>
        <w:rPr/>
        <w:t>people</w:t>
      </w:r>
      <w:r>
        <w:rPr>
          <w:spacing w:val="-5"/>
        </w:rPr>
        <w:t> </w:t>
      </w:r>
      <w:r>
        <w:rPr/>
        <w:t>in</w:t>
      </w:r>
      <w:r>
        <w:rPr>
          <w:spacing w:val="-6"/>
        </w:rPr>
        <w:t> </w:t>
      </w:r>
      <w:r>
        <w:rPr/>
        <w:t>schools,</w:t>
      </w:r>
      <w:r>
        <w:rPr>
          <w:spacing w:val="-6"/>
        </w:rPr>
        <w:t> </w:t>
      </w:r>
      <w:r>
        <w:rPr/>
        <w:t>DCF</w:t>
      </w:r>
      <w:r>
        <w:rPr>
          <w:spacing w:val="-7"/>
        </w:rPr>
        <w:t> </w:t>
      </w:r>
      <w:r>
        <w:rPr/>
        <w:t>policies</w:t>
      </w:r>
      <w:r>
        <w:rPr>
          <w:spacing w:val="-6"/>
        </w:rPr>
        <w:t> </w:t>
      </w:r>
      <w:r>
        <w:rPr/>
        <w:t>and</w:t>
      </w:r>
      <w:r>
        <w:rPr>
          <w:spacing w:val="-6"/>
        </w:rPr>
        <w:t> </w:t>
      </w:r>
      <w:r>
        <w:rPr/>
        <w:t>internal</w:t>
      </w:r>
      <w:r>
        <w:rPr>
          <w:spacing w:val="-7"/>
        </w:rPr>
        <w:t> </w:t>
      </w:r>
      <w:r>
        <w:rPr/>
        <w:t>resources</w:t>
      </w:r>
      <w:r>
        <w:rPr>
          <w:spacing w:val="-6"/>
        </w:rPr>
        <w:t> </w:t>
      </w:r>
      <w:r>
        <w:rPr/>
        <w:t>for</w:t>
      </w:r>
      <w:r>
        <w:rPr>
          <w:spacing w:val="-6"/>
        </w:rPr>
        <w:t> </w:t>
      </w:r>
      <w:r>
        <w:rPr/>
        <w:t>LGBTQ individuals, and resources to promote family acceptance. Importantly, there must be a mechanism to require that all CAFL attorneys - whether staff or private - receive regular, up-to- date training on the needs of LGBTQ youth clients. The Commission is particularly concerned that attorneys who have been practicing long enough to have received no LGBTQ content in their initial certification training may not</w:t>
      </w:r>
    </w:p>
    <w:p>
      <w:pPr>
        <w:spacing w:after="0" w:line="276" w:lineRule="auto"/>
        <w:jc w:val="both"/>
        <w:sectPr>
          <w:pgSz w:w="12240" w:h="15840"/>
          <w:pgMar w:header="804" w:footer="1263" w:top="1000" w:bottom="1460" w:left="960" w:right="1100"/>
        </w:sectPr>
      </w:pPr>
    </w:p>
    <w:p>
      <w:pPr>
        <w:pStyle w:val="BodyText"/>
        <w:spacing w:line="276" w:lineRule="auto" w:before="139"/>
        <w:ind w:left="483" w:right="342"/>
        <w:jc w:val="both"/>
      </w:pPr>
      <w:r>
        <w:rPr/>
        <w:t>opt into voluntary LGBTQ trainings and may in fact </w:t>
      </w:r>
      <w:r>
        <w:rPr>
          <w:i/>
        </w:rPr>
        <w:t>never </w:t>
      </w:r>
      <w:r>
        <w:rPr/>
        <w:t>have received training on working with LGBTQ clients.</w:t>
      </w:r>
      <w:r>
        <w:rPr>
          <w:spacing w:val="-9"/>
        </w:rPr>
        <w:t> </w:t>
      </w:r>
      <w:r>
        <w:rPr/>
        <w:t>CAFL</w:t>
      </w:r>
      <w:r>
        <w:rPr>
          <w:spacing w:val="-7"/>
        </w:rPr>
        <w:t> </w:t>
      </w:r>
      <w:r>
        <w:rPr/>
        <w:t>noted</w:t>
      </w:r>
      <w:r>
        <w:rPr>
          <w:spacing w:val="-8"/>
        </w:rPr>
        <w:t> </w:t>
      </w:r>
      <w:r>
        <w:rPr/>
        <w:t>in</w:t>
      </w:r>
      <w:r>
        <w:rPr>
          <w:spacing w:val="-9"/>
        </w:rPr>
        <w:t> </w:t>
      </w:r>
      <w:r>
        <w:rPr/>
        <w:t>its</w:t>
      </w:r>
      <w:r>
        <w:rPr>
          <w:spacing w:val="-8"/>
        </w:rPr>
        <w:t> </w:t>
      </w:r>
      <w:r>
        <w:rPr/>
        <w:t>spring</w:t>
      </w:r>
      <w:r>
        <w:rPr>
          <w:spacing w:val="-9"/>
        </w:rPr>
        <w:t> </w:t>
      </w:r>
      <w:r>
        <w:rPr/>
        <w:t>2024</w:t>
      </w:r>
      <w:r>
        <w:rPr>
          <w:spacing w:val="-7"/>
        </w:rPr>
        <w:t> </w:t>
      </w:r>
      <w:r>
        <w:rPr/>
        <w:t>meeting</w:t>
      </w:r>
      <w:r>
        <w:rPr>
          <w:spacing w:val="-9"/>
        </w:rPr>
        <w:t> </w:t>
      </w:r>
      <w:r>
        <w:rPr/>
        <w:t>with</w:t>
      </w:r>
      <w:r>
        <w:rPr>
          <w:spacing w:val="-8"/>
        </w:rPr>
        <w:t> </w:t>
      </w:r>
      <w:r>
        <w:rPr/>
        <w:t>the</w:t>
      </w:r>
      <w:r>
        <w:rPr>
          <w:spacing w:val="-9"/>
        </w:rPr>
        <w:t> </w:t>
      </w:r>
      <w:r>
        <w:rPr/>
        <w:t>Commission</w:t>
      </w:r>
      <w:r>
        <w:rPr>
          <w:spacing w:val="-9"/>
        </w:rPr>
        <w:t> </w:t>
      </w:r>
      <w:r>
        <w:rPr/>
        <w:t>that</w:t>
      </w:r>
      <w:r>
        <w:rPr>
          <w:spacing w:val="-8"/>
        </w:rPr>
        <w:t> </w:t>
      </w:r>
      <w:r>
        <w:rPr/>
        <w:t>it</w:t>
      </w:r>
      <w:r>
        <w:rPr>
          <w:spacing w:val="-8"/>
        </w:rPr>
        <w:t> </w:t>
      </w:r>
      <w:r>
        <w:rPr/>
        <w:t>is</w:t>
      </w:r>
      <w:r>
        <w:rPr>
          <w:spacing w:val="-7"/>
        </w:rPr>
        <w:t> </w:t>
      </w:r>
      <w:r>
        <w:rPr/>
        <w:t>currently</w:t>
      </w:r>
      <w:r>
        <w:rPr>
          <w:spacing w:val="-8"/>
        </w:rPr>
        <w:t> </w:t>
      </w:r>
      <w:r>
        <w:rPr/>
        <w:t>engaging</w:t>
      </w:r>
      <w:r>
        <w:rPr>
          <w:spacing w:val="-8"/>
        </w:rPr>
        <w:t> </w:t>
      </w:r>
      <w:r>
        <w:rPr/>
        <w:t>in</w:t>
      </w:r>
      <w:r>
        <w:rPr>
          <w:spacing w:val="-9"/>
        </w:rPr>
        <w:t> </w:t>
      </w:r>
      <w:r>
        <w:rPr/>
        <w:t>internal conversations</w:t>
      </w:r>
      <w:r>
        <w:rPr>
          <w:spacing w:val="-9"/>
        </w:rPr>
        <w:t> </w:t>
      </w:r>
      <w:r>
        <w:rPr/>
        <w:t>on</w:t>
      </w:r>
      <w:r>
        <w:rPr>
          <w:spacing w:val="-10"/>
        </w:rPr>
        <w:t> </w:t>
      </w:r>
      <w:r>
        <w:rPr/>
        <w:t>whether</w:t>
      </w:r>
      <w:r>
        <w:rPr>
          <w:spacing w:val="-9"/>
        </w:rPr>
        <w:t> </w:t>
      </w:r>
      <w:r>
        <w:rPr/>
        <w:t>it</w:t>
      </w:r>
      <w:r>
        <w:rPr>
          <w:spacing w:val="-10"/>
        </w:rPr>
        <w:t> </w:t>
      </w:r>
      <w:r>
        <w:rPr/>
        <w:t>can</w:t>
      </w:r>
      <w:r>
        <w:rPr>
          <w:spacing w:val="-9"/>
        </w:rPr>
        <w:t> </w:t>
      </w:r>
      <w:r>
        <w:rPr/>
        <w:t>mandate</w:t>
      </w:r>
      <w:r>
        <w:rPr>
          <w:spacing w:val="-10"/>
        </w:rPr>
        <w:t> </w:t>
      </w:r>
      <w:r>
        <w:rPr/>
        <w:t>trainings</w:t>
      </w:r>
      <w:r>
        <w:rPr>
          <w:spacing w:val="-9"/>
        </w:rPr>
        <w:t> </w:t>
      </w:r>
      <w:r>
        <w:rPr/>
        <w:t>for</w:t>
      </w:r>
      <w:r>
        <w:rPr>
          <w:spacing w:val="-10"/>
        </w:rPr>
        <w:t> </w:t>
      </w:r>
      <w:r>
        <w:rPr/>
        <w:t>attorneys</w:t>
      </w:r>
      <w:r>
        <w:rPr>
          <w:spacing w:val="-9"/>
        </w:rPr>
        <w:t> </w:t>
      </w:r>
      <w:r>
        <w:rPr/>
        <w:t>that</w:t>
      </w:r>
      <w:r>
        <w:rPr>
          <w:spacing w:val="-10"/>
        </w:rPr>
        <w:t> </w:t>
      </w:r>
      <w:r>
        <w:rPr/>
        <w:t>have</w:t>
      </w:r>
      <w:r>
        <w:rPr>
          <w:spacing w:val="-10"/>
        </w:rPr>
        <w:t> </w:t>
      </w:r>
      <w:r>
        <w:rPr/>
        <w:t>been</w:t>
      </w:r>
      <w:r>
        <w:rPr>
          <w:spacing w:val="-9"/>
        </w:rPr>
        <w:t> </w:t>
      </w:r>
      <w:r>
        <w:rPr/>
        <w:t>practicing</w:t>
      </w:r>
      <w:r>
        <w:rPr>
          <w:spacing w:val="-10"/>
        </w:rPr>
        <w:t> </w:t>
      </w:r>
      <w:r>
        <w:rPr/>
        <w:t>for</w:t>
      </w:r>
      <w:r>
        <w:rPr>
          <w:spacing w:val="-9"/>
        </w:rPr>
        <w:t> </w:t>
      </w:r>
      <w:r>
        <w:rPr/>
        <w:t>some</w:t>
      </w:r>
      <w:r>
        <w:rPr>
          <w:spacing w:val="-10"/>
        </w:rPr>
        <w:t> </w:t>
      </w:r>
      <w:r>
        <w:rPr/>
        <w:t>time. It further shared that it has had the opportunity to provide 4-hour trainings on medical treatment decisions for DCF-involved youth, which included conversations on DCF’s Gender-Affirming Medication Consent</w:t>
      </w:r>
      <w:r>
        <w:rPr>
          <w:spacing w:val="-5"/>
        </w:rPr>
        <w:t> </w:t>
      </w:r>
      <w:r>
        <w:rPr/>
        <w:t>Policy,</w:t>
      </w:r>
      <w:r>
        <w:rPr>
          <w:spacing w:val="-5"/>
        </w:rPr>
        <w:t> </w:t>
      </w:r>
      <w:r>
        <w:rPr/>
        <w:t>and</w:t>
      </w:r>
      <w:r>
        <w:rPr>
          <w:spacing w:val="-5"/>
        </w:rPr>
        <w:t> </w:t>
      </w:r>
      <w:r>
        <w:rPr/>
        <w:t>an</w:t>
      </w:r>
      <w:r>
        <w:rPr>
          <w:spacing w:val="-4"/>
        </w:rPr>
        <w:t> </w:t>
      </w:r>
      <w:r>
        <w:rPr/>
        <w:t>additional</w:t>
      </w:r>
      <w:r>
        <w:rPr>
          <w:spacing w:val="-5"/>
        </w:rPr>
        <w:t> </w:t>
      </w:r>
      <w:r>
        <w:rPr/>
        <w:t>6-hour</w:t>
      </w:r>
      <w:r>
        <w:rPr>
          <w:spacing w:val="-4"/>
        </w:rPr>
        <w:t> </w:t>
      </w:r>
      <w:r>
        <w:rPr/>
        <w:t>training</w:t>
      </w:r>
      <w:r>
        <w:rPr>
          <w:spacing w:val="-5"/>
        </w:rPr>
        <w:t> </w:t>
      </w:r>
      <w:r>
        <w:rPr/>
        <w:t>on</w:t>
      </w:r>
      <w:r>
        <w:rPr>
          <w:spacing w:val="-4"/>
        </w:rPr>
        <w:t> </w:t>
      </w:r>
      <w:r>
        <w:rPr/>
        <w:t>gender-affirming</w:t>
      </w:r>
      <w:r>
        <w:rPr>
          <w:spacing w:val="-4"/>
        </w:rPr>
        <w:t> </w:t>
      </w:r>
      <w:r>
        <w:rPr/>
        <w:t>care,</w:t>
      </w:r>
      <w:r>
        <w:rPr>
          <w:spacing w:val="-5"/>
        </w:rPr>
        <w:t> </w:t>
      </w:r>
      <w:r>
        <w:rPr/>
        <w:t>DCF</w:t>
      </w:r>
      <w:r>
        <w:rPr>
          <w:spacing w:val="-4"/>
        </w:rPr>
        <w:t> </w:t>
      </w:r>
      <w:r>
        <w:rPr/>
        <w:t>responsibilities,</w:t>
      </w:r>
      <w:r>
        <w:rPr>
          <w:spacing w:val="-5"/>
        </w:rPr>
        <w:t> </w:t>
      </w:r>
      <w:r>
        <w:rPr/>
        <w:t>and</w:t>
      </w:r>
      <w:r>
        <w:rPr>
          <w:spacing w:val="-5"/>
        </w:rPr>
        <w:t> </w:t>
      </w:r>
      <w:r>
        <w:rPr/>
        <w:t>how to</w:t>
      </w:r>
      <w:r>
        <w:rPr>
          <w:spacing w:val="-5"/>
        </w:rPr>
        <w:t> </w:t>
      </w:r>
      <w:r>
        <w:rPr/>
        <w:t>talk</w:t>
      </w:r>
      <w:r>
        <w:rPr>
          <w:spacing w:val="-4"/>
        </w:rPr>
        <w:t> </w:t>
      </w:r>
      <w:r>
        <w:rPr/>
        <w:t>with</w:t>
      </w:r>
      <w:r>
        <w:rPr>
          <w:spacing w:val="-4"/>
        </w:rPr>
        <w:t> </w:t>
      </w:r>
      <w:r>
        <w:rPr/>
        <w:t>youth</w:t>
      </w:r>
      <w:r>
        <w:rPr>
          <w:spacing w:val="-5"/>
        </w:rPr>
        <w:t> </w:t>
      </w:r>
      <w:r>
        <w:rPr/>
        <w:t>about</w:t>
      </w:r>
      <w:r>
        <w:rPr>
          <w:spacing w:val="-4"/>
        </w:rPr>
        <w:t> </w:t>
      </w:r>
      <w:r>
        <w:rPr/>
        <w:t>their</w:t>
      </w:r>
      <w:r>
        <w:rPr>
          <w:spacing w:val="-5"/>
        </w:rPr>
        <w:t> </w:t>
      </w:r>
      <w:r>
        <w:rPr/>
        <w:t>identity</w:t>
      </w:r>
      <w:r>
        <w:rPr>
          <w:spacing w:val="-4"/>
        </w:rPr>
        <w:t> </w:t>
      </w:r>
      <w:r>
        <w:rPr/>
        <w:t>and</w:t>
      </w:r>
      <w:r>
        <w:rPr>
          <w:spacing w:val="-5"/>
        </w:rPr>
        <w:t> </w:t>
      </w:r>
      <w:r>
        <w:rPr/>
        <w:t>provide</w:t>
      </w:r>
      <w:r>
        <w:rPr>
          <w:spacing w:val="-4"/>
        </w:rPr>
        <w:t> </w:t>
      </w:r>
      <w:r>
        <w:rPr/>
        <w:t>affirming</w:t>
      </w:r>
      <w:r>
        <w:rPr>
          <w:spacing w:val="-5"/>
        </w:rPr>
        <w:t> </w:t>
      </w:r>
      <w:r>
        <w:rPr/>
        <w:t>services.</w:t>
      </w:r>
      <w:r>
        <w:rPr>
          <w:spacing w:val="-4"/>
        </w:rPr>
        <w:t> </w:t>
      </w:r>
      <w:r>
        <w:rPr/>
        <w:t>The</w:t>
      </w:r>
      <w:r>
        <w:rPr>
          <w:spacing w:val="-5"/>
        </w:rPr>
        <w:t> </w:t>
      </w:r>
      <w:r>
        <w:rPr/>
        <w:t>former</w:t>
      </w:r>
      <w:r>
        <w:rPr>
          <w:spacing w:val="-5"/>
        </w:rPr>
        <w:t> </w:t>
      </w:r>
      <w:r>
        <w:rPr/>
        <w:t>two</w:t>
      </w:r>
      <w:r>
        <w:rPr>
          <w:spacing w:val="-3"/>
        </w:rPr>
        <w:t> </w:t>
      </w:r>
      <w:r>
        <w:rPr/>
        <w:t>components</w:t>
      </w:r>
      <w:r>
        <w:rPr>
          <w:spacing w:val="-5"/>
        </w:rPr>
        <w:t> </w:t>
      </w:r>
      <w:r>
        <w:rPr/>
        <w:t>of</w:t>
      </w:r>
      <w:r>
        <w:rPr>
          <w:spacing w:val="-4"/>
        </w:rPr>
        <w:t> </w:t>
      </w:r>
      <w:r>
        <w:rPr/>
        <w:t>the training</w:t>
      </w:r>
      <w:r>
        <w:rPr>
          <w:spacing w:val="-3"/>
        </w:rPr>
        <w:t> </w:t>
      </w:r>
      <w:r>
        <w:rPr/>
        <w:t>were</w:t>
      </w:r>
      <w:r>
        <w:rPr>
          <w:spacing w:val="-3"/>
        </w:rPr>
        <w:t> </w:t>
      </w:r>
      <w:r>
        <w:rPr/>
        <w:t>recorded</w:t>
      </w:r>
      <w:r>
        <w:rPr>
          <w:spacing w:val="-4"/>
        </w:rPr>
        <w:t> </w:t>
      </w:r>
      <w:r>
        <w:rPr/>
        <w:t>and</w:t>
      </w:r>
      <w:r>
        <w:rPr>
          <w:spacing w:val="-4"/>
        </w:rPr>
        <w:t> </w:t>
      </w:r>
      <w:r>
        <w:rPr/>
        <w:t>are</w:t>
      </w:r>
      <w:r>
        <w:rPr>
          <w:spacing w:val="-3"/>
        </w:rPr>
        <w:t> </w:t>
      </w:r>
      <w:r>
        <w:rPr/>
        <w:t>provided</w:t>
      </w:r>
      <w:r>
        <w:rPr>
          <w:spacing w:val="-4"/>
        </w:rPr>
        <w:t> </w:t>
      </w:r>
      <w:r>
        <w:rPr/>
        <w:t>as</w:t>
      </w:r>
      <w:r>
        <w:rPr>
          <w:spacing w:val="-4"/>
        </w:rPr>
        <w:t> </w:t>
      </w:r>
      <w:r>
        <w:rPr/>
        <w:t>a</w:t>
      </w:r>
      <w:r>
        <w:rPr>
          <w:spacing w:val="-3"/>
        </w:rPr>
        <w:t> </w:t>
      </w:r>
      <w:r>
        <w:rPr/>
        <w:t>resource</w:t>
      </w:r>
      <w:r>
        <w:rPr>
          <w:spacing w:val="-3"/>
        </w:rPr>
        <w:t> </w:t>
      </w:r>
      <w:r>
        <w:rPr/>
        <w:t>to</w:t>
      </w:r>
      <w:r>
        <w:rPr>
          <w:spacing w:val="-4"/>
        </w:rPr>
        <w:t> </w:t>
      </w:r>
      <w:r>
        <w:rPr/>
        <w:t>CAFL</w:t>
      </w:r>
      <w:r>
        <w:rPr>
          <w:spacing w:val="-3"/>
        </w:rPr>
        <w:t> </w:t>
      </w:r>
      <w:r>
        <w:rPr/>
        <w:t>attorneys.</w:t>
      </w:r>
      <w:r>
        <w:rPr>
          <w:spacing w:val="-4"/>
        </w:rPr>
        <w:t> </w:t>
      </w:r>
      <w:r>
        <w:rPr/>
        <w:t>Furthermore,</w:t>
      </w:r>
      <w:r>
        <w:rPr>
          <w:spacing w:val="-4"/>
        </w:rPr>
        <w:t> </w:t>
      </w:r>
      <w:r>
        <w:rPr/>
        <w:t>CAFL</w:t>
      </w:r>
      <w:r>
        <w:rPr>
          <w:spacing w:val="-4"/>
        </w:rPr>
        <w:t> </w:t>
      </w:r>
      <w:r>
        <w:rPr/>
        <w:t>shared</w:t>
      </w:r>
      <w:r>
        <w:rPr>
          <w:spacing w:val="-3"/>
        </w:rPr>
        <w:t> </w:t>
      </w:r>
      <w:r>
        <w:rPr/>
        <w:t>that it also frequently provides access to written resources such as manuals and practice advisories which include information on working with LGBTQ youth.</w:t>
      </w:r>
    </w:p>
    <w:p>
      <w:pPr>
        <w:numPr>
          <w:ilvl w:val="0"/>
          <w:numId w:val="48"/>
        </w:numPr>
        <w:tabs>
          <w:tab w:pos="481" w:val="left" w:leader="none"/>
        </w:tabs>
        <w:spacing w:before="238"/>
        <w:ind w:left="481" w:right="0" w:hanging="358"/>
        <w:jc w:val="left"/>
        <w:rPr>
          <w:b/>
          <w:sz w:val="22"/>
        </w:rPr>
      </w:pPr>
      <w:r>
        <w:rPr>
          <w:b/>
          <w:sz w:val="22"/>
        </w:rPr>
        <w:t>Designate</w:t>
      </w:r>
      <w:r>
        <w:rPr>
          <w:b/>
          <w:spacing w:val="-7"/>
          <w:sz w:val="22"/>
        </w:rPr>
        <w:t> </w:t>
      </w:r>
      <w:r>
        <w:rPr>
          <w:b/>
          <w:sz w:val="22"/>
        </w:rPr>
        <w:t>one</w:t>
      </w:r>
      <w:r>
        <w:rPr>
          <w:b/>
          <w:spacing w:val="-7"/>
          <w:sz w:val="22"/>
        </w:rPr>
        <w:t> </w:t>
      </w:r>
      <w:r>
        <w:rPr>
          <w:b/>
          <w:sz w:val="22"/>
        </w:rPr>
        <w:t>or</w:t>
      </w:r>
      <w:r>
        <w:rPr>
          <w:b/>
          <w:spacing w:val="-6"/>
          <w:sz w:val="22"/>
        </w:rPr>
        <w:t> </w:t>
      </w:r>
      <w:r>
        <w:rPr>
          <w:b/>
          <w:sz w:val="22"/>
        </w:rPr>
        <w:t>more</w:t>
      </w:r>
      <w:r>
        <w:rPr>
          <w:b/>
          <w:spacing w:val="-6"/>
          <w:sz w:val="22"/>
        </w:rPr>
        <w:t> </w:t>
      </w:r>
      <w:r>
        <w:rPr>
          <w:b/>
          <w:sz w:val="22"/>
        </w:rPr>
        <w:t>point</w:t>
      </w:r>
      <w:r>
        <w:rPr>
          <w:b/>
          <w:spacing w:val="-7"/>
          <w:sz w:val="22"/>
        </w:rPr>
        <w:t> </w:t>
      </w:r>
      <w:r>
        <w:rPr>
          <w:b/>
          <w:sz w:val="22"/>
        </w:rPr>
        <w:t>people</w:t>
      </w:r>
      <w:r>
        <w:rPr>
          <w:b/>
          <w:spacing w:val="-6"/>
          <w:sz w:val="22"/>
        </w:rPr>
        <w:t> </w:t>
      </w:r>
      <w:r>
        <w:rPr>
          <w:b/>
          <w:sz w:val="22"/>
        </w:rPr>
        <w:t>on</w:t>
      </w:r>
      <w:r>
        <w:rPr>
          <w:b/>
          <w:spacing w:val="-6"/>
          <w:sz w:val="22"/>
        </w:rPr>
        <w:t> </w:t>
      </w:r>
      <w:r>
        <w:rPr>
          <w:b/>
          <w:sz w:val="22"/>
        </w:rPr>
        <w:t>LGBTQ</w:t>
      </w:r>
      <w:r>
        <w:rPr>
          <w:b/>
          <w:spacing w:val="-7"/>
          <w:sz w:val="22"/>
        </w:rPr>
        <w:t> </w:t>
      </w:r>
      <w:r>
        <w:rPr>
          <w:b/>
          <w:spacing w:val="-2"/>
          <w:sz w:val="22"/>
        </w:rPr>
        <w:t>issues.</w:t>
      </w:r>
    </w:p>
    <w:p>
      <w:pPr>
        <w:pStyle w:val="BodyText"/>
        <w:spacing w:before="13"/>
        <w:rPr>
          <w:b/>
        </w:rPr>
      </w:pPr>
    </w:p>
    <w:p>
      <w:pPr>
        <w:pStyle w:val="BodyText"/>
        <w:spacing w:line="276" w:lineRule="auto"/>
        <w:ind w:left="483" w:right="341"/>
        <w:jc w:val="both"/>
      </w:pPr>
      <w:r>
        <w:rPr/>
        <w:t>Having</w:t>
      </w:r>
      <w:r>
        <w:rPr>
          <w:spacing w:val="-13"/>
        </w:rPr>
        <w:t> </w:t>
      </w:r>
      <w:r>
        <w:rPr/>
        <w:t>at</w:t>
      </w:r>
      <w:r>
        <w:rPr>
          <w:spacing w:val="-12"/>
        </w:rPr>
        <w:t> </w:t>
      </w:r>
      <w:r>
        <w:rPr/>
        <w:t>least</w:t>
      </w:r>
      <w:r>
        <w:rPr>
          <w:spacing w:val="-13"/>
        </w:rPr>
        <w:t> </w:t>
      </w:r>
      <w:r>
        <w:rPr/>
        <w:t>one</w:t>
      </w:r>
      <w:r>
        <w:rPr>
          <w:spacing w:val="-12"/>
        </w:rPr>
        <w:t> </w:t>
      </w:r>
      <w:r>
        <w:rPr/>
        <w:t>designated</w:t>
      </w:r>
      <w:r>
        <w:rPr>
          <w:spacing w:val="-13"/>
        </w:rPr>
        <w:t> </w:t>
      </w:r>
      <w:r>
        <w:rPr/>
        <w:t>subject-matter</w:t>
      </w:r>
      <w:r>
        <w:rPr>
          <w:spacing w:val="-12"/>
        </w:rPr>
        <w:t> </w:t>
      </w:r>
      <w:r>
        <w:rPr/>
        <w:t>expert</w:t>
      </w:r>
      <w:r>
        <w:rPr>
          <w:spacing w:val="-13"/>
        </w:rPr>
        <w:t> </w:t>
      </w:r>
      <w:r>
        <w:rPr/>
        <w:t>provides</w:t>
      </w:r>
      <w:r>
        <w:rPr>
          <w:spacing w:val="-12"/>
        </w:rPr>
        <w:t> </w:t>
      </w:r>
      <w:r>
        <w:rPr/>
        <w:t>a</w:t>
      </w:r>
      <w:r>
        <w:rPr>
          <w:spacing w:val="-12"/>
        </w:rPr>
        <w:t> </w:t>
      </w:r>
      <w:r>
        <w:rPr/>
        <w:t>consistent</w:t>
      </w:r>
      <w:r>
        <w:rPr>
          <w:spacing w:val="-13"/>
        </w:rPr>
        <w:t> </w:t>
      </w:r>
      <w:r>
        <w:rPr/>
        <w:t>resource</w:t>
      </w:r>
      <w:r>
        <w:rPr>
          <w:spacing w:val="-12"/>
        </w:rPr>
        <w:t> </w:t>
      </w:r>
      <w:r>
        <w:rPr/>
        <w:t>for</w:t>
      </w:r>
      <w:r>
        <w:rPr>
          <w:spacing w:val="-13"/>
        </w:rPr>
        <w:t> </w:t>
      </w:r>
      <w:r>
        <w:rPr/>
        <w:t>colleagues</w:t>
      </w:r>
      <w:r>
        <w:rPr>
          <w:spacing w:val="-12"/>
        </w:rPr>
        <w:t> </w:t>
      </w:r>
      <w:r>
        <w:rPr/>
        <w:t>to</w:t>
      </w:r>
      <w:r>
        <w:rPr>
          <w:spacing w:val="-13"/>
        </w:rPr>
        <w:t> </w:t>
      </w:r>
      <w:r>
        <w:rPr/>
        <w:t>turn to</w:t>
      </w:r>
      <w:r>
        <w:rPr>
          <w:spacing w:val="-10"/>
        </w:rPr>
        <w:t> </w:t>
      </w:r>
      <w:r>
        <w:rPr/>
        <w:t>for</w:t>
      </w:r>
      <w:r>
        <w:rPr>
          <w:spacing w:val="-10"/>
        </w:rPr>
        <w:t> </w:t>
      </w:r>
      <w:r>
        <w:rPr/>
        <w:t>questions</w:t>
      </w:r>
      <w:r>
        <w:rPr>
          <w:spacing w:val="-10"/>
        </w:rPr>
        <w:t> </w:t>
      </w:r>
      <w:r>
        <w:rPr/>
        <w:t>or</w:t>
      </w:r>
      <w:r>
        <w:rPr>
          <w:spacing w:val="-10"/>
        </w:rPr>
        <w:t> </w:t>
      </w:r>
      <w:r>
        <w:rPr/>
        <w:t>advice</w:t>
      </w:r>
      <w:r>
        <w:rPr>
          <w:spacing w:val="-10"/>
        </w:rPr>
        <w:t> </w:t>
      </w:r>
      <w:r>
        <w:rPr/>
        <w:t>on</w:t>
      </w:r>
      <w:r>
        <w:rPr>
          <w:spacing w:val="-10"/>
        </w:rPr>
        <w:t> </w:t>
      </w:r>
      <w:r>
        <w:rPr/>
        <w:t>advocating</w:t>
      </w:r>
      <w:r>
        <w:rPr>
          <w:spacing w:val="-9"/>
        </w:rPr>
        <w:t> </w:t>
      </w:r>
      <w:r>
        <w:rPr/>
        <w:t>for</w:t>
      </w:r>
      <w:r>
        <w:rPr>
          <w:spacing w:val="-10"/>
        </w:rPr>
        <w:t> </w:t>
      </w:r>
      <w:r>
        <w:rPr/>
        <w:t>LGBTQ</w:t>
      </w:r>
      <w:r>
        <w:rPr>
          <w:spacing w:val="-10"/>
        </w:rPr>
        <w:t> </w:t>
      </w:r>
      <w:r>
        <w:rPr/>
        <w:t>clients.</w:t>
      </w:r>
      <w:r>
        <w:rPr>
          <w:spacing w:val="-11"/>
        </w:rPr>
        <w:t> </w:t>
      </w:r>
      <w:r>
        <w:rPr/>
        <w:t>Currently,</w:t>
      </w:r>
      <w:r>
        <w:rPr>
          <w:spacing w:val="-10"/>
        </w:rPr>
        <w:t> </w:t>
      </w:r>
      <w:r>
        <w:rPr/>
        <w:t>CAFL</w:t>
      </w:r>
      <w:r>
        <w:rPr>
          <w:spacing w:val="-10"/>
        </w:rPr>
        <w:t> </w:t>
      </w:r>
      <w:r>
        <w:rPr/>
        <w:t>plans</w:t>
      </w:r>
      <w:r>
        <w:rPr>
          <w:spacing w:val="-10"/>
        </w:rPr>
        <w:t> </w:t>
      </w:r>
      <w:r>
        <w:rPr/>
        <w:t>to</w:t>
      </w:r>
      <w:r>
        <w:rPr>
          <w:spacing w:val="-10"/>
        </w:rPr>
        <w:t> </w:t>
      </w:r>
      <w:r>
        <w:rPr/>
        <w:t>house</w:t>
      </w:r>
      <w:r>
        <w:rPr>
          <w:spacing w:val="-10"/>
        </w:rPr>
        <w:t> </w:t>
      </w:r>
      <w:r>
        <w:rPr/>
        <w:t>this</w:t>
      </w:r>
      <w:r>
        <w:rPr>
          <w:spacing w:val="-9"/>
        </w:rPr>
        <w:t> </w:t>
      </w:r>
      <w:r>
        <w:rPr/>
        <w:t>work</w:t>
      </w:r>
      <w:r>
        <w:rPr>
          <w:spacing w:val="-11"/>
        </w:rPr>
        <w:t> </w:t>
      </w:r>
      <w:r>
        <w:rPr/>
        <w:t>under the</w:t>
      </w:r>
      <w:r>
        <w:rPr>
          <w:spacing w:val="-8"/>
        </w:rPr>
        <w:t> </w:t>
      </w:r>
      <w:r>
        <w:rPr/>
        <w:t>forthcoming</w:t>
      </w:r>
      <w:r>
        <w:rPr>
          <w:spacing w:val="-8"/>
        </w:rPr>
        <w:t> </w:t>
      </w:r>
      <w:r>
        <w:rPr/>
        <w:t>TAY</w:t>
      </w:r>
      <w:r>
        <w:rPr>
          <w:spacing w:val="-7"/>
        </w:rPr>
        <w:t> </w:t>
      </w:r>
      <w:r>
        <w:rPr/>
        <w:t>unit,</w:t>
      </w:r>
      <w:r>
        <w:rPr>
          <w:spacing w:val="-6"/>
        </w:rPr>
        <w:t> </w:t>
      </w:r>
      <w:r>
        <w:rPr/>
        <w:t>but</w:t>
      </w:r>
      <w:r>
        <w:rPr>
          <w:spacing w:val="-7"/>
        </w:rPr>
        <w:t> </w:t>
      </w:r>
      <w:r>
        <w:rPr/>
        <w:t>the</w:t>
      </w:r>
      <w:r>
        <w:rPr>
          <w:spacing w:val="-7"/>
        </w:rPr>
        <w:t> </w:t>
      </w:r>
      <w:r>
        <w:rPr/>
        <w:t>Commission</w:t>
      </w:r>
      <w:r>
        <w:rPr>
          <w:spacing w:val="-8"/>
        </w:rPr>
        <w:t> </w:t>
      </w:r>
      <w:r>
        <w:rPr/>
        <w:t>continues</w:t>
      </w:r>
      <w:r>
        <w:rPr>
          <w:spacing w:val="-7"/>
        </w:rPr>
        <w:t> </w:t>
      </w:r>
      <w:r>
        <w:rPr/>
        <w:t>to</w:t>
      </w:r>
      <w:r>
        <w:rPr>
          <w:spacing w:val="-7"/>
        </w:rPr>
        <w:t> </w:t>
      </w:r>
      <w:r>
        <w:rPr/>
        <w:t>recommend</w:t>
      </w:r>
      <w:r>
        <w:rPr>
          <w:spacing w:val="-7"/>
        </w:rPr>
        <w:t> </w:t>
      </w:r>
      <w:r>
        <w:rPr/>
        <w:t>that</w:t>
      </w:r>
      <w:r>
        <w:rPr>
          <w:spacing w:val="-7"/>
        </w:rPr>
        <w:t> </w:t>
      </w:r>
      <w:r>
        <w:rPr/>
        <w:t>a</w:t>
      </w:r>
      <w:r>
        <w:rPr>
          <w:spacing w:val="-7"/>
        </w:rPr>
        <w:t> </w:t>
      </w:r>
      <w:r>
        <w:rPr/>
        <w:t>dedicated</w:t>
      </w:r>
      <w:r>
        <w:rPr>
          <w:spacing w:val="-8"/>
        </w:rPr>
        <w:t> </w:t>
      </w:r>
      <w:r>
        <w:rPr/>
        <w:t>point</w:t>
      </w:r>
      <w:r>
        <w:rPr>
          <w:spacing w:val="-7"/>
        </w:rPr>
        <w:t> </w:t>
      </w:r>
      <w:r>
        <w:rPr/>
        <w:t>person</w:t>
      </w:r>
      <w:r>
        <w:rPr>
          <w:spacing w:val="-8"/>
        </w:rPr>
        <w:t> </w:t>
      </w:r>
      <w:r>
        <w:rPr/>
        <w:t>be appointed</w:t>
      </w:r>
      <w:r>
        <w:rPr>
          <w:spacing w:val="-4"/>
        </w:rPr>
        <w:t> </w:t>
      </w:r>
      <w:r>
        <w:rPr/>
        <w:t>to</w:t>
      </w:r>
      <w:r>
        <w:rPr>
          <w:spacing w:val="-5"/>
        </w:rPr>
        <w:t> </w:t>
      </w:r>
      <w:r>
        <w:rPr/>
        <w:t>work</w:t>
      </w:r>
      <w:r>
        <w:rPr>
          <w:spacing w:val="-5"/>
        </w:rPr>
        <w:t> </w:t>
      </w:r>
      <w:r>
        <w:rPr/>
        <w:t>on</w:t>
      </w:r>
      <w:r>
        <w:rPr>
          <w:spacing w:val="-5"/>
        </w:rPr>
        <w:t> </w:t>
      </w:r>
      <w:r>
        <w:rPr/>
        <w:t>these</w:t>
      </w:r>
      <w:r>
        <w:rPr>
          <w:spacing w:val="-5"/>
        </w:rPr>
        <w:t> </w:t>
      </w:r>
      <w:r>
        <w:rPr/>
        <w:t>recommendations</w:t>
      </w:r>
      <w:r>
        <w:rPr>
          <w:spacing w:val="-5"/>
        </w:rPr>
        <w:t> </w:t>
      </w:r>
      <w:r>
        <w:rPr/>
        <w:t>(and</w:t>
      </w:r>
      <w:r>
        <w:rPr>
          <w:spacing w:val="-5"/>
        </w:rPr>
        <w:t> </w:t>
      </w:r>
      <w:r>
        <w:rPr/>
        <w:t>beyond).</w:t>
      </w:r>
      <w:r>
        <w:rPr>
          <w:spacing w:val="-5"/>
        </w:rPr>
        <w:t> </w:t>
      </w:r>
      <w:r>
        <w:rPr/>
        <w:t>The</w:t>
      </w:r>
      <w:r>
        <w:rPr>
          <w:spacing w:val="-4"/>
        </w:rPr>
        <w:t> </w:t>
      </w:r>
      <w:r>
        <w:rPr/>
        <w:t>Commission</w:t>
      </w:r>
      <w:r>
        <w:rPr>
          <w:spacing w:val="-5"/>
        </w:rPr>
        <w:t> </w:t>
      </w:r>
      <w:r>
        <w:rPr/>
        <w:t>has</w:t>
      </w:r>
      <w:r>
        <w:rPr>
          <w:spacing w:val="-5"/>
        </w:rPr>
        <w:t> </w:t>
      </w:r>
      <w:r>
        <w:rPr/>
        <w:t>seen</w:t>
      </w:r>
      <w:r>
        <w:rPr>
          <w:spacing w:val="-5"/>
        </w:rPr>
        <w:t> </w:t>
      </w:r>
      <w:r>
        <w:rPr/>
        <w:t>similar</w:t>
      </w:r>
      <w:r>
        <w:rPr>
          <w:spacing w:val="-5"/>
        </w:rPr>
        <w:t> </w:t>
      </w:r>
      <w:r>
        <w:rPr/>
        <w:t>resources</w:t>
      </w:r>
    </w:p>
    <w:p>
      <w:pPr>
        <w:pStyle w:val="BodyText"/>
        <w:spacing w:line="276" w:lineRule="auto"/>
        <w:ind w:left="483" w:right="341"/>
        <w:jc w:val="both"/>
      </w:pPr>
      <w:r>
        <w:rPr/>
        <w:t>- such as DCF’s internal group of LGBTQ “liaisons” and dedicated LGBTQ outreach staff positions - be effective at other agencies. In order for such a resource to be most impactful, the job description of a subject-matter</w:t>
      </w:r>
      <w:r>
        <w:rPr>
          <w:spacing w:val="-11"/>
        </w:rPr>
        <w:t> </w:t>
      </w:r>
      <w:r>
        <w:rPr/>
        <w:t>expert</w:t>
      </w:r>
      <w:r>
        <w:rPr>
          <w:spacing w:val="-11"/>
        </w:rPr>
        <w:t> </w:t>
      </w:r>
      <w:r>
        <w:rPr/>
        <w:t>should</w:t>
      </w:r>
      <w:r>
        <w:rPr>
          <w:spacing w:val="-11"/>
        </w:rPr>
        <w:t> </w:t>
      </w:r>
      <w:r>
        <w:rPr/>
        <w:t>explicitly</w:t>
      </w:r>
      <w:r>
        <w:rPr>
          <w:spacing w:val="-11"/>
        </w:rPr>
        <w:t> </w:t>
      </w:r>
      <w:r>
        <w:rPr/>
        <w:t>include</w:t>
      </w:r>
      <w:r>
        <w:rPr>
          <w:spacing w:val="-10"/>
        </w:rPr>
        <w:t> </w:t>
      </w:r>
      <w:r>
        <w:rPr/>
        <w:t>this</w:t>
      </w:r>
      <w:r>
        <w:rPr>
          <w:spacing w:val="-10"/>
        </w:rPr>
        <w:t> </w:t>
      </w:r>
      <w:r>
        <w:rPr/>
        <w:t>work</w:t>
      </w:r>
      <w:r>
        <w:rPr>
          <w:spacing w:val="-12"/>
        </w:rPr>
        <w:t> </w:t>
      </w:r>
      <w:r>
        <w:rPr/>
        <w:t>-</w:t>
      </w:r>
      <w:r>
        <w:rPr>
          <w:spacing w:val="-11"/>
        </w:rPr>
        <w:t> </w:t>
      </w:r>
      <w:r>
        <w:rPr/>
        <w:t>for</w:t>
      </w:r>
      <w:r>
        <w:rPr>
          <w:spacing w:val="-10"/>
        </w:rPr>
        <w:t> </w:t>
      </w:r>
      <w:r>
        <w:rPr/>
        <w:t>instance,</w:t>
      </w:r>
      <w:r>
        <w:rPr>
          <w:spacing w:val="-10"/>
        </w:rPr>
        <w:t> </w:t>
      </w:r>
      <w:r>
        <w:rPr/>
        <w:t>by</w:t>
      </w:r>
      <w:r>
        <w:rPr>
          <w:spacing w:val="-10"/>
        </w:rPr>
        <w:t> </w:t>
      </w:r>
      <w:r>
        <w:rPr/>
        <w:t>ensuring</w:t>
      </w:r>
      <w:r>
        <w:rPr>
          <w:spacing w:val="-12"/>
        </w:rPr>
        <w:t> </w:t>
      </w:r>
      <w:r>
        <w:rPr/>
        <w:t>a</w:t>
      </w:r>
      <w:r>
        <w:rPr>
          <w:spacing w:val="-10"/>
        </w:rPr>
        <w:t> </w:t>
      </w:r>
      <w:r>
        <w:rPr/>
        <w:t>low</w:t>
      </w:r>
      <w:r>
        <w:rPr>
          <w:spacing w:val="-11"/>
        </w:rPr>
        <w:t> </w:t>
      </w:r>
      <w:r>
        <w:rPr/>
        <w:t>enough</w:t>
      </w:r>
      <w:r>
        <w:rPr>
          <w:spacing w:val="-10"/>
        </w:rPr>
        <w:t> </w:t>
      </w:r>
      <w:r>
        <w:rPr/>
        <w:t>caseload to</w:t>
      </w:r>
      <w:r>
        <w:rPr>
          <w:spacing w:val="-6"/>
        </w:rPr>
        <w:t> </w:t>
      </w:r>
      <w:r>
        <w:rPr/>
        <w:t>accommodate</w:t>
      </w:r>
      <w:r>
        <w:rPr>
          <w:spacing w:val="-5"/>
        </w:rPr>
        <w:t> </w:t>
      </w:r>
      <w:r>
        <w:rPr/>
        <w:t>consultations</w:t>
      </w:r>
      <w:r>
        <w:rPr>
          <w:spacing w:val="-6"/>
        </w:rPr>
        <w:t> </w:t>
      </w:r>
      <w:r>
        <w:rPr/>
        <w:t>with</w:t>
      </w:r>
      <w:r>
        <w:rPr>
          <w:spacing w:val="-4"/>
        </w:rPr>
        <w:t> </w:t>
      </w:r>
      <w:r>
        <w:rPr/>
        <w:t>colleagues</w:t>
      </w:r>
      <w:r>
        <w:rPr>
          <w:spacing w:val="-6"/>
        </w:rPr>
        <w:t> </w:t>
      </w:r>
      <w:r>
        <w:rPr/>
        <w:t>and</w:t>
      </w:r>
      <w:r>
        <w:rPr>
          <w:spacing w:val="-5"/>
        </w:rPr>
        <w:t> </w:t>
      </w:r>
      <w:r>
        <w:rPr/>
        <w:t>participating</w:t>
      </w:r>
      <w:r>
        <w:rPr>
          <w:spacing w:val="-5"/>
        </w:rPr>
        <w:t> </w:t>
      </w:r>
      <w:r>
        <w:rPr/>
        <w:t>in</w:t>
      </w:r>
      <w:r>
        <w:rPr>
          <w:spacing w:val="-5"/>
        </w:rPr>
        <w:t> </w:t>
      </w:r>
      <w:r>
        <w:rPr/>
        <w:t>internal</w:t>
      </w:r>
      <w:r>
        <w:rPr>
          <w:spacing w:val="-5"/>
        </w:rPr>
        <w:t> </w:t>
      </w:r>
      <w:r>
        <w:rPr/>
        <w:t>policy,</w:t>
      </w:r>
      <w:r>
        <w:rPr>
          <w:spacing w:val="-6"/>
        </w:rPr>
        <w:t> </w:t>
      </w:r>
      <w:r>
        <w:rPr/>
        <w:t>training,</w:t>
      </w:r>
      <w:r>
        <w:rPr>
          <w:spacing w:val="-6"/>
        </w:rPr>
        <w:t> </w:t>
      </w:r>
      <w:r>
        <w:rPr/>
        <w:t>and</w:t>
      </w:r>
      <w:r>
        <w:rPr>
          <w:spacing w:val="-7"/>
        </w:rPr>
        <w:t> </w:t>
      </w:r>
      <w:r>
        <w:rPr/>
        <w:t>resource development work. The Commission recommends that CAFL create such a position and ensure that it is filled by someone with expertise in LGBTQ cultural competency. While such a position would ideally be occupied by someone with previous experience representing children or parents, to the extent that funding</w:t>
      </w:r>
      <w:r>
        <w:rPr>
          <w:spacing w:val="-13"/>
        </w:rPr>
        <w:t> </w:t>
      </w:r>
      <w:r>
        <w:rPr/>
        <w:t>is</w:t>
      </w:r>
      <w:r>
        <w:rPr>
          <w:spacing w:val="-12"/>
        </w:rPr>
        <w:t> </w:t>
      </w:r>
      <w:r>
        <w:rPr/>
        <w:t>not</w:t>
      </w:r>
      <w:r>
        <w:rPr>
          <w:spacing w:val="-13"/>
        </w:rPr>
        <w:t> </w:t>
      </w:r>
      <w:r>
        <w:rPr/>
        <w:t>immediately</w:t>
      </w:r>
      <w:r>
        <w:rPr>
          <w:spacing w:val="-12"/>
        </w:rPr>
        <w:t> </w:t>
      </w:r>
      <w:r>
        <w:rPr/>
        <w:t>available,</w:t>
      </w:r>
      <w:r>
        <w:rPr>
          <w:spacing w:val="-13"/>
        </w:rPr>
        <w:t> </w:t>
      </w:r>
      <w:r>
        <w:rPr/>
        <w:t>the</w:t>
      </w:r>
      <w:r>
        <w:rPr>
          <w:spacing w:val="-12"/>
        </w:rPr>
        <w:t> </w:t>
      </w:r>
      <w:r>
        <w:rPr/>
        <w:t>Commission</w:t>
      </w:r>
      <w:r>
        <w:rPr>
          <w:spacing w:val="-13"/>
        </w:rPr>
        <w:t> </w:t>
      </w:r>
      <w:r>
        <w:rPr/>
        <w:t>notes</w:t>
      </w:r>
      <w:r>
        <w:rPr>
          <w:spacing w:val="-12"/>
        </w:rPr>
        <w:t> </w:t>
      </w:r>
      <w:r>
        <w:rPr/>
        <w:t>that</w:t>
      </w:r>
      <w:r>
        <w:rPr>
          <w:spacing w:val="-12"/>
        </w:rPr>
        <w:t> </w:t>
      </w:r>
      <w:r>
        <w:rPr/>
        <w:t>CAFL</w:t>
      </w:r>
      <w:r>
        <w:rPr>
          <w:spacing w:val="-13"/>
        </w:rPr>
        <w:t> </w:t>
      </w:r>
      <w:r>
        <w:rPr/>
        <w:t>may</w:t>
      </w:r>
      <w:r>
        <w:rPr>
          <w:spacing w:val="-12"/>
        </w:rPr>
        <w:t> </w:t>
      </w:r>
      <w:r>
        <w:rPr/>
        <w:t>be</w:t>
      </w:r>
      <w:r>
        <w:rPr>
          <w:spacing w:val="-13"/>
        </w:rPr>
        <w:t> </w:t>
      </w:r>
      <w:r>
        <w:rPr/>
        <w:t>eligible</w:t>
      </w:r>
      <w:r>
        <w:rPr>
          <w:spacing w:val="-12"/>
        </w:rPr>
        <w:t> </w:t>
      </w:r>
      <w:r>
        <w:rPr/>
        <w:t>to</w:t>
      </w:r>
      <w:r>
        <w:rPr>
          <w:spacing w:val="-13"/>
        </w:rPr>
        <w:t> </w:t>
      </w:r>
      <w:r>
        <w:rPr/>
        <w:t>host</w:t>
      </w:r>
      <w:r>
        <w:rPr>
          <w:spacing w:val="-12"/>
        </w:rPr>
        <w:t> </w:t>
      </w:r>
      <w:r>
        <w:rPr/>
        <w:t>a</w:t>
      </w:r>
      <w:r>
        <w:rPr>
          <w:spacing w:val="-12"/>
        </w:rPr>
        <w:t> </w:t>
      </w:r>
      <w:r>
        <w:rPr/>
        <w:t>legal</w:t>
      </w:r>
      <w:r>
        <w:rPr>
          <w:spacing w:val="-13"/>
        </w:rPr>
        <w:t> </w:t>
      </w:r>
      <w:r>
        <w:rPr/>
        <w:t>fellow with an eye toward creating a permanent role after fellowship funding ends</w:t>
      </w:r>
      <w:hyperlink w:history="true" w:anchor="_bookmark656">
        <w:r>
          <w:rPr/>
          <w:t>.</w:t>
        </w:r>
        <w:r>
          <w:rPr>
            <w:vertAlign w:val="superscript"/>
          </w:rPr>
          <w:t>3</w:t>
        </w:r>
      </w:hyperlink>
    </w:p>
    <w:p>
      <w:pPr>
        <w:numPr>
          <w:ilvl w:val="0"/>
          <w:numId w:val="48"/>
        </w:numPr>
        <w:tabs>
          <w:tab w:pos="481" w:val="left" w:leader="none"/>
          <w:tab w:pos="483" w:val="left" w:leader="none"/>
        </w:tabs>
        <w:spacing w:line="276" w:lineRule="auto" w:before="239"/>
        <w:ind w:left="483" w:right="344" w:hanging="360"/>
        <w:jc w:val="left"/>
        <w:rPr>
          <w:b/>
          <w:sz w:val="22"/>
        </w:rPr>
      </w:pPr>
      <w:r>
        <w:rPr>
          <w:b/>
          <w:sz w:val="22"/>
        </w:rPr>
        <w:t>Ensure</w:t>
      </w:r>
      <w:r>
        <w:rPr>
          <w:b/>
          <w:spacing w:val="37"/>
          <w:sz w:val="22"/>
        </w:rPr>
        <w:t> </w:t>
      </w:r>
      <w:r>
        <w:rPr>
          <w:b/>
          <w:sz w:val="22"/>
        </w:rPr>
        <w:t>that</w:t>
      </w:r>
      <w:r>
        <w:rPr>
          <w:b/>
          <w:spacing w:val="38"/>
          <w:sz w:val="22"/>
        </w:rPr>
        <w:t> </w:t>
      </w:r>
      <w:r>
        <w:rPr>
          <w:b/>
          <w:sz w:val="22"/>
        </w:rPr>
        <w:t>legal</w:t>
      </w:r>
      <w:r>
        <w:rPr>
          <w:b/>
          <w:spacing w:val="37"/>
          <w:sz w:val="22"/>
        </w:rPr>
        <w:t> </w:t>
      </w:r>
      <w:r>
        <w:rPr>
          <w:b/>
          <w:sz w:val="22"/>
        </w:rPr>
        <w:t>case</w:t>
      </w:r>
      <w:r>
        <w:rPr>
          <w:b/>
          <w:spacing w:val="37"/>
          <w:sz w:val="22"/>
        </w:rPr>
        <w:t> </w:t>
      </w:r>
      <w:r>
        <w:rPr>
          <w:b/>
          <w:sz w:val="22"/>
        </w:rPr>
        <w:t>management</w:t>
      </w:r>
      <w:r>
        <w:rPr>
          <w:b/>
          <w:spacing w:val="36"/>
          <w:sz w:val="22"/>
        </w:rPr>
        <w:t> </w:t>
      </w:r>
      <w:r>
        <w:rPr>
          <w:b/>
          <w:sz w:val="22"/>
        </w:rPr>
        <w:t>systems</w:t>
      </w:r>
      <w:r>
        <w:rPr>
          <w:b/>
          <w:spacing w:val="37"/>
          <w:sz w:val="22"/>
        </w:rPr>
        <w:t> </w:t>
      </w:r>
      <w:r>
        <w:rPr>
          <w:b/>
          <w:sz w:val="22"/>
        </w:rPr>
        <w:t>include</w:t>
      </w:r>
      <w:r>
        <w:rPr>
          <w:b/>
          <w:spacing w:val="37"/>
          <w:sz w:val="22"/>
        </w:rPr>
        <w:t> </w:t>
      </w:r>
      <w:r>
        <w:rPr>
          <w:b/>
          <w:sz w:val="22"/>
        </w:rPr>
        <w:t>a</w:t>
      </w:r>
      <w:r>
        <w:rPr>
          <w:b/>
          <w:spacing w:val="37"/>
          <w:sz w:val="22"/>
        </w:rPr>
        <w:t> </w:t>
      </w:r>
      <w:r>
        <w:rPr>
          <w:b/>
          <w:sz w:val="22"/>
        </w:rPr>
        <w:t>field</w:t>
      </w:r>
      <w:r>
        <w:rPr>
          <w:b/>
          <w:spacing w:val="37"/>
          <w:sz w:val="22"/>
        </w:rPr>
        <w:t> </w:t>
      </w:r>
      <w:r>
        <w:rPr>
          <w:b/>
          <w:sz w:val="22"/>
        </w:rPr>
        <w:t>for</w:t>
      </w:r>
      <w:r>
        <w:rPr>
          <w:b/>
          <w:spacing w:val="36"/>
          <w:sz w:val="22"/>
        </w:rPr>
        <w:t> </w:t>
      </w:r>
      <w:r>
        <w:rPr>
          <w:b/>
          <w:sz w:val="22"/>
        </w:rPr>
        <w:t>chosen</w:t>
      </w:r>
      <w:r>
        <w:rPr>
          <w:b/>
          <w:spacing w:val="37"/>
          <w:sz w:val="22"/>
        </w:rPr>
        <w:t> </w:t>
      </w:r>
      <w:r>
        <w:rPr>
          <w:b/>
          <w:sz w:val="22"/>
        </w:rPr>
        <w:t>names</w:t>
      </w:r>
      <w:r>
        <w:rPr>
          <w:b/>
          <w:spacing w:val="37"/>
          <w:sz w:val="22"/>
        </w:rPr>
        <w:t> </w:t>
      </w:r>
      <w:r>
        <w:rPr>
          <w:b/>
          <w:sz w:val="22"/>
        </w:rPr>
        <w:t>and</w:t>
      </w:r>
      <w:r>
        <w:rPr>
          <w:b/>
          <w:spacing w:val="37"/>
          <w:sz w:val="22"/>
        </w:rPr>
        <w:t> </w:t>
      </w:r>
      <w:r>
        <w:rPr>
          <w:b/>
          <w:sz w:val="22"/>
        </w:rPr>
        <w:t>pronouns,</w:t>
      </w:r>
      <w:r>
        <w:rPr>
          <w:b/>
          <w:spacing w:val="38"/>
          <w:sz w:val="22"/>
        </w:rPr>
        <w:t> </w:t>
      </w:r>
      <w:r>
        <w:rPr>
          <w:b/>
          <w:sz w:val="22"/>
        </w:rPr>
        <w:t>and provide support on collecting sexual orientation, gender identity (SOGI), and other demographics.</w:t>
      </w:r>
    </w:p>
    <w:p>
      <w:pPr>
        <w:pStyle w:val="BodyText"/>
        <w:spacing w:line="276" w:lineRule="auto" w:before="241"/>
        <w:ind w:left="483" w:right="340"/>
        <w:jc w:val="both"/>
      </w:pPr>
      <w:r>
        <w:rPr/>
        <w:t>Since last year’s report, CAFL has updated their case system so that attorneys and other staff members can</w:t>
      </w:r>
      <w:r>
        <w:rPr>
          <w:spacing w:val="-13"/>
        </w:rPr>
        <w:t> </w:t>
      </w:r>
      <w:r>
        <w:rPr/>
        <w:t>indicate</w:t>
      </w:r>
      <w:r>
        <w:rPr>
          <w:spacing w:val="-12"/>
        </w:rPr>
        <w:t> </w:t>
      </w:r>
      <w:r>
        <w:rPr/>
        <w:t>gender</w:t>
      </w:r>
      <w:r>
        <w:rPr>
          <w:spacing w:val="-13"/>
        </w:rPr>
        <w:t> </w:t>
      </w:r>
      <w:r>
        <w:rPr/>
        <w:t>identity,</w:t>
      </w:r>
      <w:r>
        <w:rPr>
          <w:spacing w:val="-12"/>
        </w:rPr>
        <w:t> </w:t>
      </w:r>
      <w:r>
        <w:rPr/>
        <w:t>pronouns,</w:t>
      </w:r>
      <w:r>
        <w:rPr>
          <w:spacing w:val="-13"/>
        </w:rPr>
        <w:t> </w:t>
      </w:r>
      <w:r>
        <w:rPr/>
        <w:t>and</w:t>
      </w:r>
      <w:r>
        <w:rPr>
          <w:spacing w:val="-12"/>
        </w:rPr>
        <w:t> </w:t>
      </w:r>
      <w:r>
        <w:rPr/>
        <w:t>chosen</w:t>
      </w:r>
      <w:r>
        <w:rPr>
          <w:spacing w:val="-13"/>
        </w:rPr>
        <w:t> </w:t>
      </w:r>
      <w:r>
        <w:rPr/>
        <w:t>name.</w:t>
      </w:r>
      <w:r>
        <w:rPr>
          <w:spacing w:val="-12"/>
        </w:rPr>
        <w:t> </w:t>
      </w:r>
      <w:r>
        <w:rPr/>
        <w:t>To</w:t>
      </w:r>
      <w:r>
        <w:rPr>
          <w:spacing w:val="-12"/>
        </w:rPr>
        <w:t> </w:t>
      </w:r>
      <w:r>
        <w:rPr/>
        <w:t>avoid</w:t>
      </w:r>
      <w:r>
        <w:rPr>
          <w:spacing w:val="-13"/>
        </w:rPr>
        <w:t> </w:t>
      </w:r>
      <w:r>
        <w:rPr/>
        <w:t>unwanted</w:t>
      </w:r>
      <w:r>
        <w:rPr>
          <w:spacing w:val="-12"/>
        </w:rPr>
        <w:t> </w:t>
      </w:r>
      <w:r>
        <w:rPr/>
        <w:t>disclosures,</w:t>
      </w:r>
      <w:r>
        <w:rPr>
          <w:spacing w:val="-13"/>
        </w:rPr>
        <w:t> </w:t>
      </w:r>
      <w:r>
        <w:rPr/>
        <w:t>this</w:t>
      </w:r>
      <w:r>
        <w:rPr>
          <w:spacing w:val="-12"/>
        </w:rPr>
        <w:t> </w:t>
      </w:r>
      <w:r>
        <w:rPr/>
        <w:t>field</w:t>
      </w:r>
      <w:r>
        <w:rPr>
          <w:spacing w:val="-13"/>
        </w:rPr>
        <w:t> </w:t>
      </w:r>
      <w:r>
        <w:rPr/>
        <w:t>should also</w:t>
      </w:r>
      <w:r>
        <w:rPr>
          <w:spacing w:val="-8"/>
        </w:rPr>
        <w:t> </w:t>
      </w:r>
      <w:r>
        <w:rPr/>
        <w:t>include</w:t>
      </w:r>
      <w:r>
        <w:rPr>
          <w:spacing w:val="-8"/>
        </w:rPr>
        <w:t> </w:t>
      </w:r>
      <w:r>
        <w:rPr/>
        <w:t>a</w:t>
      </w:r>
      <w:r>
        <w:rPr>
          <w:spacing w:val="-9"/>
        </w:rPr>
        <w:t> </w:t>
      </w:r>
      <w:r>
        <w:rPr/>
        <w:t>mechanism</w:t>
      </w:r>
      <w:r>
        <w:rPr>
          <w:spacing w:val="-8"/>
        </w:rPr>
        <w:t> </w:t>
      </w:r>
      <w:r>
        <w:rPr/>
        <w:t>to</w:t>
      </w:r>
      <w:r>
        <w:rPr>
          <w:spacing w:val="-8"/>
        </w:rPr>
        <w:t> </w:t>
      </w:r>
      <w:r>
        <w:rPr/>
        <w:t>indicate</w:t>
      </w:r>
      <w:r>
        <w:rPr>
          <w:spacing w:val="-8"/>
        </w:rPr>
        <w:t> </w:t>
      </w:r>
      <w:r>
        <w:rPr/>
        <w:t>whether</w:t>
      </w:r>
      <w:r>
        <w:rPr>
          <w:spacing w:val="-8"/>
        </w:rPr>
        <w:t> </w:t>
      </w:r>
      <w:r>
        <w:rPr/>
        <w:t>there</w:t>
      </w:r>
      <w:r>
        <w:rPr>
          <w:spacing w:val="-8"/>
        </w:rPr>
        <w:t> </w:t>
      </w:r>
      <w:r>
        <w:rPr/>
        <w:t>are</w:t>
      </w:r>
      <w:r>
        <w:rPr>
          <w:spacing w:val="-9"/>
        </w:rPr>
        <w:t> </w:t>
      </w:r>
      <w:r>
        <w:rPr/>
        <w:t>spaces</w:t>
      </w:r>
      <w:r>
        <w:rPr>
          <w:spacing w:val="-7"/>
        </w:rPr>
        <w:t> </w:t>
      </w:r>
      <w:r>
        <w:rPr/>
        <w:t>in</w:t>
      </w:r>
      <w:r>
        <w:rPr>
          <w:spacing w:val="-7"/>
        </w:rPr>
        <w:t> </w:t>
      </w:r>
      <w:r>
        <w:rPr/>
        <w:t>which</w:t>
      </w:r>
      <w:r>
        <w:rPr>
          <w:spacing w:val="-8"/>
        </w:rPr>
        <w:t> </w:t>
      </w:r>
      <w:r>
        <w:rPr/>
        <w:t>the</w:t>
      </w:r>
      <w:r>
        <w:rPr>
          <w:spacing w:val="-8"/>
        </w:rPr>
        <w:t> </w:t>
      </w:r>
      <w:r>
        <w:rPr/>
        <w:t>client</w:t>
      </w:r>
      <w:r>
        <w:rPr>
          <w:spacing w:val="-8"/>
        </w:rPr>
        <w:t> </w:t>
      </w:r>
      <w:r>
        <w:rPr/>
        <w:t>is</w:t>
      </w:r>
      <w:r>
        <w:rPr>
          <w:spacing w:val="-8"/>
        </w:rPr>
        <w:t> </w:t>
      </w:r>
      <w:r>
        <w:rPr/>
        <w:t>not</w:t>
      </w:r>
      <w:r>
        <w:rPr>
          <w:spacing w:val="-7"/>
        </w:rPr>
        <w:t> </w:t>
      </w:r>
      <w:r>
        <w:rPr/>
        <w:t>comfortable</w:t>
      </w:r>
      <w:r>
        <w:rPr>
          <w:spacing w:val="-9"/>
        </w:rPr>
        <w:t> </w:t>
      </w:r>
      <w:r>
        <w:rPr/>
        <w:t>with their pronouns being used - e.g. with DCF staff, their judge, specific service providers, foster parents, or family members. The Commission also recommends that CAFL encourage private attorneys to adopt similar practices within their own law offices, particularly in offices where more than one attorney or other professional may interact with the case file. Finally, the Commission notes the importance of collecting demographic data as part of evaluating the needs of, outcomes for, and service delivery to LGBTQ youth, including the needs of, outcomes for, and service delivery to LGBTQ youth of color and LGBTQ</w:t>
      </w:r>
      <w:r>
        <w:rPr>
          <w:spacing w:val="-4"/>
        </w:rPr>
        <w:t> </w:t>
      </w:r>
      <w:r>
        <w:rPr/>
        <w:t>youth</w:t>
      </w:r>
      <w:r>
        <w:rPr>
          <w:spacing w:val="-3"/>
        </w:rPr>
        <w:t> </w:t>
      </w:r>
      <w:r>
        <w:rPr/>
        <w:t>with</w:t>
      </w:r>
      <w:r>
        <w:rPr>
          <w:spacing w:val="-4"/>
        </w:rPr>
        <w:t> </w:t>
      </w:r>
      <w:r>
        <w:rPr/>
        <w:t>disabilities.</w:t>
      </w:r>
      <w:r>
        <w:rPr>
          <w:spacing w:val="-4"/>
        </w:rPr>
        <w:t> </w:t>
      </w:r>
      <w:r>
        <w:rPr/>
        <w:t>The</w:t>
      </w:r>
      <w:r>
        <w:rPr>
          <w:spacing w:val="-4"/>
        </w:rPr>
        <w:t> </w:t>
      </w:r>
      <w:r>
        <w:rPr/>
        <w:t>Commission</w:t>
      </w:r>
      <w:r>
        <w:rPr>
          <w:spacing w:val="-4"/>
        </w:rPr>
        <w:t> </w:t>
      </w:r>
      <w:r>
        <w:rPr/>
        <w:t>recommends</w:t>
      </w:r>
      <w:r>
        <w:rPr>
          <w:spacing w:val="-4"/>
        </w:rPr>
        <w:t> </w:t>
      </w:r>
      <w:r>
        <w:rPr/>
        <w:t>CAFL</w:t>
      </w:r>
      <w:r>
        <w:rPr>
          <w:spacing w:val="-4"/>
        </w:rPr>
        <w:t> </w:t>
      </w:r>
      <w:r>
        <w:rPr/>
        <w:t>provide</w:t>
      </w:r>
      <w:r>
        <w:rPr>
          <w:spacing w:val="-4"/>
        </w:rPr>
        <w:t> </w:t>
      </w:r>
      <w:r>
        <w:rPr/>
        <w:t>support</w:t>
      </w:r>
      <w:r>
        <w:rPr>
          <w:spacing w:val="-4"/>
        </w:rPr>
        <w:t> </w:t>
      </w:r>
      <w:r>
        <w:rPr/>
        <w:t>to</w:t>
      </w:r>
      <w:r>
        <w:rPr>
          <w:spacing w:val="-4"/>
        </w:rPr>
        <w:t> </w:t>
      </w:r>
      <w:r>
        <w:rPr/>
        <w:t>attorneys</w:t>
      </w:r>
      <w:r>
        <w:rPr>
          <w:spacing w:val="-4"/>
        </w:rPr>
        <w:t> </w:t>
      </w:r>
      <w:r>
        <w:rPr/>
        <w:t>on</w:t>
      </w:r>
      <w:r>
        <w:rPr>
          <w:spacing w:val="-4"/>
        </w:rPr>
        <w:t> </w:t>
      </w:r>
      <w:r>
        <w:rPr/>
        <w:t>when and</w:t>
      </w:r>
      <w:r>
        <w:rPr>
          <w:spacing w:val="-7"/>
        </w:rPr>
        <w:t> </w:t>
      </w:r>
      <w:r>
        <w:rPr/>
        <w:t>how</w:t>
      </w:r>
      <w:r>
        <w:rPr>
          <w:spacing w:val="-5"/>
        </w:rPr>
        <w:t> </w:t>
      </w:r>
      <w:r>
        <w:rPr/>
        <w:t>to</w:t>
      </w:r>
      <w:r>
        <w:rPr>
          <w:spacing w:val="-6"/>
        </w:rPr>
        <w:t> </w:t>
      </w:r>
      <w:r>
        <w:rPr/>
        <w:t>collect</w:t>
      </w:r>
      <w:r>
        <w:rPr>
          <w:spacing w:val="-7"/>
        </w:rPr>
        <w:t> </w:t>
      </w:r>
      <w:r>
        <w:rPr/>
        <w:t>and</w:t>
      </w:r>
      <w:r>
        <w:rPr>
          <w:spacing w:val="-7"/>
        </w:rPr>
        <w:t> </w:t>
      </w:r>
      <w:r>
        <w:rPr/>
        <w:t>report</w:t>
      </w:r>
      <w:r>
        <w:rPr>
          <w:spacing w:val="-7"/>
        </w:rPr>
        <w:t> </w:t>
      </w:r>
      <w:r>
        <w:rPr/>
        <w:t>such</w:t>
      </w:r>
      <w:r>
        <w:rPr>
          <w:spacing w:val="-6"/>
        </w:rPr>
        <w:t> </w:t>
      </w:r>
      <w:r>
        <w:rPr/>
        <w:t>data.</w:t>
      </w:r>
      <w:r>
        <w:rPr>
          <w:spacing w:val="-6"/>
        </w:rPr>
        <w:t> </w:t>
      </w:r>
      <w:r>
        <w:rPr/>
        <w:t>The</w:t>
      </w:r>
      <w:r>
        <w:rPr>
          <w:spacing w:val="-5"/>
        </w:rPr>
        <w:t> </w:t>
      </w:r>
      <w:r>
        <w:rPr/>
        <w:t>Commission</w:t>
      </w:r>
      <w:r>
        <w:rPr>
          <w:spacing w:val="-7"/>
        </w:rPr>
        <w:t> </w:t>
      </w:r>
      <w:r>
        <w:rPr/>
        <w:t>has</w:t>
      </w:r>
      <w:r>
        <w:rPr>
          <w:spacing w:val="-6"/>
        </w:rPr>
        <w:t> </w:t>
      </w:r>
      <w:r>
        <w:rPr/>
        <w:t>worked</w:t>
      </w:r>
      <w:r>
        <w:rPr>
          <w:spacing w:val="-7"/>
        </w:rPr>
        <w:t> </w:t>
      </w:r>
      <w:r>
        <w:rPr/>
        <w:t>with</w:t>
      </w:r>
      <w:r>
        <w:rPr>
          <w:spacing w:val="-7"/>
        </w:rPr>
        <w:t> </w:t>
      </w:r>
      <w:r>
        <w:rPr/>
        <w:t>a</w:t>
      </w:r>
      <w:r>
        <w:rPr>
          <w:spacing w:val="-5"/>
        </w:rPr>
        <w:t> </w:t>
      </w:r>
      <w:r>
        <w:rPr/>
        <w:t>number</w:t>
      </w:r>
      <w:r>
        <w:rPr>
          <w:spacing w:val="-6"/>
        </w:rPr>
        <w:t> </w:t>
      </w:r>
      <w:r>
        <w:rPr/>
        <w:t>of</w:t>
      </w:r>
      <w:r>
        <w:rPr>
          <w:spacing w:val="-6"/>
        </w:rPr>
        <w:t> </w:t>
      </w:r>
      <w:r>
        <w:rPr/>
        <w:t>other</w:t>
      </w:r>
      <w:r>
        <w:rPr>
          <w:spacing w:val="-6"/>
        </w:rPr>
        <w:t> </w:t>
      </w:r>
      <w:r>
        <w:rPr/>
        <w:t>agencies</w:t>
      </w:r>
      <w:r>
        <w:rPr>
          <w:spacing w:val="-6"/>
        </w:rPr>
        <w:t> </w:t>
      </w:r>
      <w:r>
        <w:rPr/>
        <w:t>to improve SOGI data collection and is available as a resource to CAFL in designing and implementing data collection policies, procedures, and training that work for both attorneys and clients.</w:t>
      </w:r>
    </w:p>
    <w:p>
      <w:pPr>
        <w:spacing w:after="0" w:line="276" w:lineRule="auto"/>
        <w:jc w:val="both"/>
        <w:sectPr>
          <w:pgSz w:w="12240" w:h="15840"/>
          <w:pgMar w:header="804" w:footer="1263" w:top="1000" w:bottom="1460" w:left="960" w:right="1100"/>
        </w:sectPr>
      </w:pPr>
    </w:p>
    <w:p>
      <w:pPr>
        <w:numPr>
          <w:ilvl w:val="0"/>
          <w:numId w:val="48"/>
        </w:numPr>
        <w:tabs>
          <w:tab w:pos="481" w:val="left" w:leader="none"/>
        </w:tabs>
        <w:spacing w:before="139"/>
        <w:ind w:left="481" w:right="0" w:hanging="358"/>
        <w:jc w:val="left"/>
        <w:rPr>
          <w:b/>
          <w:sz w:val="22"/>
        </w:rPr>
      </w:pPr>
      <w:r>
        <w:rPr>
          <w:b/>
          <w:sz w:val="22"/>
        </w:rPr>
        <w:t>Investigate</w:t>
      </w:r>
      <w:r>
        <w:rPr>
          <w:b/>
          <w:spacing w:val="-8"/>
          <w:sz w:val="22"/>
        </w:rPr>
        <w:t> </w:t>
      </w:r>
      <w:r>
        <w:rPr>
          <w:b/>
          <w:sz w:val="22"/>
        </w:rPr>
        <w:t>and</w:t>
      </w:r>
      <w:r>
        <w:rPr>
          <w:b/>
          <w:spacing w:val="-8"/>
          <w:sz w:val="22"/>
        </w:rPr>
        <w:t> </w:t>
      </w:r>
      <w:r>
        <w:rPr>
          <w:b/>
          <w:sz w:val="22"/>
        </w:rPr>
        <w:t>address</w:t>
      </w:r>
      <w:r>
        <w:rPr>
          <w:b/>
          <w:spacing w:val="-7"/>
          <w:sz w:val="22"/>
        </w:rPr>
        <w:t> </w:t>
      </w:r>
      <w:r>
        <w:rPr>
          <w:b/>
          <w:sz w:val="22"/>
        </w:rPr>
        <w:t>gaps</w:t>
      </w:r>
      <w:r>
        <w:rPr>
          <w:b/>
          <w:spacing w:val="-9"/>
          <w:sz w:val="22"/>
        </w:rPr>
        <w:t> </w:t>
      </w:r>
      <w:r>
        <w:rPr>
          <w:b/>
          <w:sz w:val="22"/>
        </w:rPr>
        <w:t>in</w:t>
      </w:r>
      <w:r>
        <w:rPr>
          <w:b/>
          <w:spacing w:val="-8"/>
          <w:sz w:val="22"/>
        </w:rPr>
        <w:t> </w:t>
      </w:r>
      <w:r>
        <w:rPr>
          <w:b/>
          <w:sz w:val="22"/>
        </w:rPr>
        <w:t>service</w:t>
      </w:r>
      <w:r>
        <w:rPr>
          <w:b/>
          <w:spacing w:val="-7"/>
          <w:sz w:val="22"/>
        </w:rPr>
        <w:t> </w:t>
      </w:r>
      <w:r>
        <w:rPr>
          <w:b/>
          <w:sz w:val="22"/>
        </w:rPr>
        <w:t>provision</w:t>
      </w:r>
      <w:r>
        <w:rPr>
          <w:b/>
          <w:spacing w:val="-8"/>
          <w:sz w:val="22"/>
        </w:rPr>
        <w:t> </w:t>
      </w:r>
      <w:r>
        <w:rPr>
          <w:b/>
          <w:sz w:val="22"/>
        </w:rPr>
        <w:t>for</w:t>
      </w:r>
      <w:r>
        <w:rPr>
          <w:b/>
          <w:spacing w:val="-8"/>
          <w:sz w:val="22"/>
        </w:rPr>
        <w:t> </w:t>
      </w:r>
      <w:r>
        <w:rPr>
          <w:b/>
          <w:sz w:val="22"/>
        </w:rPr>
        <w:t>immigrant</w:t>
      </w:r>
      <w:r>
        <w:rPr>
          <w:b/>
          <w:spacing w:val="-7"/>
          <w:sz w:val="22"/>
        </w:rPr>
        <w:t> </w:t>
      </w:r>
      <w:r>
        <w:rPr>
          <w:b/>
          <w:spacing w:val="-2"/>
          <w:sz w:val="22"/>
        </w:rPr>
        <w:t>youth.</w:t>
      </w:r>
    </w:p>
    <w:p>
      <w:pPr>
        <w:pStyle w:val="BodyText"/>
        <w:spacing w:before="11"/>
        <w:rPr>
          <w:b/>
        </w:rPr>
      </w:pPr>
    </w:p>
    <w:p>
      <w:pPr>
        <w:pStyle w:val="BodyText"/>
        <w:spacing w:line="276" w:lineRule="auto"/>
        <w:ind w:left="483" w:right="344"/>
        <w:jc w:val="both"/>
      </w:pPr>
      <w:r>
        <w:rPr/>
        <w:t>The</w:t>
      </w:r>
      <w:r>
        <w:rPr>
          <w:spacing w:val="-4"/>
        </w:rPr>
        <w:t> </w:t>
      </w:r>
      <w:r>
        <w:rPr/>
        <w:t>Commission</w:t>
      </w:r>
      <w:r>
        <w:rPr>
          <w:spacing w:val="-4"/>
        </w:rPr>
        <w:t> </w:t>
      </w:r>
      <w:r>
        <w:rPr/>
        <w:t>recommends</w:t>
      </w:r>
      <w:r>
        <w:rPr>
          <w:spacing w:val="-4"/>
        </w:rPr>
        <w:t> </w:t>
      </w:r>
      <w:r>
        <w:rPr/>
        <w:t>that</w:t>
      </w:r>
      <w:r>
        <w:rPr>
          <w:spacing w:val="-4"/>
        </w:rPr>
        <w:t> </w:t>
      </w:r>
      <w:r>
        <w:rPr/>
        <w:t>CPCS</w:t>
      </w:r>
      <w:r>
        <w:rPr>
          <w:spacing w:val="-4"/>
        </w:rPr>
        <w:t> </w:t>
      </w:r>
      <w:r>
        <w:rPr/>
        <w:t>strengthen</w:t>
      </w:r>
      <w:r>
        <w:rPr>
          <w:spacing w:val="-3"/>
        </w:rPr>
        <w:t> </w:t>
      </w:r>
      <w:r>
        <w:rPr/>
        <w:t>its</w:t>
      </w:r>
      <w:r>
        <w:rPr>
          <w:spacing w:val="-4"/>
        </w:rPr>
        <w:t> </w:t>
      </w:r>
      <w:r>
        <w:rPr/>
        <w:t>commitment</w:t>
      </w:r>
      <w:r>
        <w:rPr>
          <w:spacing w:val="-3"/>
        </w:rPr>
        <w:t> </w:t>
      </w:r>
      <w:r>
        <w:rPr/>
        <w:t>to</w:t>
      </w:r>
      <w:r>
        <w:rPr>
          <w:spacing w:val="-3"/>
        </w:rPr>
        <w:t> </w:t>
      </w:r>
      <w:r>
        <w:rPr/>
        <w:t>ensuring</w:t>
      </w:r>
      <w:r>
        <w:rPr>
          <w:spacing w:val="-4"/>
        </w:rPr>
        <w:t> </w:t>
      </w:r>
      <w:r>
        <w:rPr/>
        <w:t>that</w:t>
      </w:r>
      <w:r>
        <w:rPr>
          <w:spacing w:val="-4"/>
        </w:rPr>
        <w:t> </w:t>
      </w:r>
      <w:r>
        <w:rPr/>
        <w:t>immigrant</w:t>
      </w:r>
      <w:r>
        <w:rPr>
          <w:spacing w:val="-4"/>
        </w:rPr>
        <w:t> </w:t>
      </w:r>
      <w:r>
        <w:rPr/>
        <w:t>youth</w:t>
      </w:r>
      <w:r>
        <w:rPr>
          <w:spacing w:val="-4"/>
        </w:rPr>
        <w:t> </w:t>
      </w:r>
      <w:r>
        <w:rPr/>
        <w:t>in receive timely services - including all needed documentation, resources, and support. Far too often, the Commission</w:t>
      </w:r>
      <w:r>
        <w:rPr>
          <w:spacing w:val="-13"/>
        </w:rPr>
        <w:t> </w:t>
      </w:r>
      <w:r>
        <w:rPr/>
        <w:t>hears</w:t>
      </w:r>
      <w:r>
        <w:rPr>
          <w:spacing w:val="-11"/>
        </w:rPr>
        <w:t> </w:t>
      </w:r>
      <w:r>
        <w:rPr/>
        <w:t>from</w:t>
      </w:r>
      <w:r>
        <w:rPr>
          <w:spacing w:val="-13"/>
        </w:rPr>
        <w:t> </w:t>
      </w:r>
      <w:r>
        <w:rPr/>
        <w:t>youth,</w:t>
      </w:r>
      <w:r>
        <w:rPr>
          <w:spacing w:val="-10"/>
        </w:rPr>
        <w:t> </w:t>
      </w:r>
      <w:r>
        <w:rPr/>
        <w:t>caregivers,</w:t>
      </w:r>
      <w:r>
        <w:rPr>
          <w:spacing w:val="-12"/>
        </w:rPr>
        <w:t> </w:t>
      </w:r>
      <w:r>
        <w:rPr/>
        <w:t>and</w:t>
      </w:r>
      <w:r>
        <w:rPr>
          <w:spacing w:val="-13"/>
        </w:rPr>
        <w:t> </w:t>
      </w:r>
      <w:r>
        <w:rPr/>
        <w:t>social</w:t>
      </w:r>
      <w:r>
        <w:rPr>
          <w:spacing w:val="-10"/>
        </w:rPr>
        <w:t> </w:t>
      </w:r>
      <w:r>
        <w:rPr/>
        <w:t>workers</w:t>
      </w:r>
      <w:r>
        <w:rPr>
          <w:spacing w:val="-12"/>
        </w:rPr>
        <w:t> </w:t>
      </w:r>
      <w:r>
        <w:rPr/>
        <w:t>that</w:t>
      </w:r>
      <w:r>
        <w:rPr>
          <w:spacing w:val="-12"/>
        </w:rPr>
        <w:t> </w:t>
      </w:r>
      <w:r>
        <w:rPr/>
        <w:t>children</w:t>
      </w:r>
      <w:r>
        <w:rPr>
          <w:spacing w:val="-13"/>
        </w:rPr>
        <w:t> </w:t>
      </w:r>
      <w:r>
        <w:rPr/>
        <w:t>who</w:t>
      </w:r>
      <w:r>
        <w:rPr>
          <w:spacing w:val="-10"/>
        </w:rPr>
        <w:t> </w:t>
      </w:r>
      <w:r>
        <w:rPr/>
        <w:t>have</w:t>
      </w:r>
      <w:r>
        <w:rPr>
          <w:spacing w:val="-13"/>
        </w:rPr>
        <w:t> </w:t>
      </w:r>
      <w:r>
        <w:rPr/>
        <w:t>emigrated</w:t>
      </w:r>
      <w:r>
        <w:rPr>
          <w:spacing w:val="-12"/>
        </w:rPr>
        <w:t> </w:t>
      </w:r>
      <w:r>
        <w:rPr/>
        <w:t>with</w:t>
      </w:r>
      <w:r>
        <w:rPr>
          <w:spacing w:val="-12"/>
        </w:rPr>
        <w:t> </w:t>
      </w:r>
      <w:r>
        <w:rPr/>
        <w:t>their parents,</w:t>
      </w:r>
      <w:r>
        <w:rPr>
          <w:spacing w:val="-13"/>
        </w:rPr>
        <w:t> </w:t>
      </w:r>
      <w:r>
        <w:rPr/>
        <w:t>only</w:t>
      </w:r>
      <w:r>
        <w:rPr>
          <w:spacing w:val="-12"/>
        </w:rPr>
        <w:t> </w:t>
      </w:r>
      <w:r>
        <w:rPr/>
        <w:t>for</w:t>
      </w:r>
      <w:r>
        <w:rPr>
          <w:spacing w:val="-13"/>
        </w:rPr>
        <w:t> </w:t>
      </w:r>
      <w:r>
        <w:rPr/>
        <w:t>those</w:t>
      </w:r>
      <w:r>
        <w:rPr>
          <w:spacing w:val="-12"/>
        </w:rPr>
        <w:t> </w:t>
      </w:r>
      <w:r>
        <w:rPr/>
        <w:t>parental</w:t>
      </w:r>
      <w:r>
        <w:rPr>
          <w:spacing w:val="-13"/>
        </w:rPr>
        <w:t> </w:t>
      </w:r>
      <w:r>
        <w:rPr/>
        <w:t>rights</w:t>
      </w:r>
      <w:r>
        <w:rPr>
          <w:spacing w:val="-12"/>
        </w:rPr>
        <w:t> </w:t>
      </w:r>
      <w:r>
        <w:rPr/>
        <w:t>to</w:t>
      </w:r>
      <w:r>
        <w:rPr>
          <w:spacing w:val="-13"/>
        </w:rPr>
        <w:t> </w:t>
      </w:r>
      <w:r>
        <w:rPr/>
        <w:t>be</w:t>
      </w:r>
      <w:r>
        <w:rPr>
          <w:spacing w:val="-12"/>
        </w:rPr>
        <w:t> </w:t>
      </w:r>
      <w:r>
        <w:rPr/>
        <w:t>terminated</w:t>
      </w:r>
      <w:r>
        <w:rPr>
          <w:spacing w:val="-12"/>
        </w:rPr>
        <w:t> </w:t>
      </w:r>
      <w:r>
        <w:rPr/>
        <w:t>and</w:t>
      </w:r>
      <w:r>
        <w:rPr>
          <w:spacing w:val="-13"/>
        </w:rPr>
        <w:t> </w:t>
      </w:r>
      <w:r>
        <w:rPr/>
        <w:t>the</w:t>
      </w:r>
      <w:r>
        <w:rPr>
          <w:spacing w:val="-12"/>
        </w:rPr>
        <w:t> </w:t>
      </w:r>
      <w:r>
        <w:rPr/>
        <w:t>parent</w:t>
      </w:r>
      <w:r>
        <w:rPr>
          <w:spacing w:val="-13"/>
        </w:rPr>
        <w:t> </w:t>
      </w:r>
      <w:r>
        <w:rPr/>
        <w:t>deported,</w:t>
      </w:r>
      <w:r>
        <w:rPr>
          <w:spacing w:val="-12"/>
        </w:rPr>
        <w:t> </w:t>
      </w:r>
      <w:r>
        <w:rPr/>
        <w:t>often</w:t>
      </w:r>
      <w:r>
        <w:rPr>
          <w:spacing w:val="-13"/>
        </w:rPr>
        <w:t> </w:t>
      </w:r>
      <w:r>
        <w:rPr/>
        <w:t>struggle</w:t>
      </w:r>
      <w:r>
        <w:rPr>
          <w:spacing w:val="-12"/>
        </w:rPr>
        <w:t> </w:t>
      </w:r>
      <w:r>
        <w:rPr/>
        <w:t>to</w:t>
      </w:r>
      <w:r>
        <w:rPr>
          <w:spacing w:val="-12"/>
        </w:rPr>
        <w:t> </w:t>
      </w:r>
      <w:r>
        <w:rPr/>
        <w:t>receive appropriate services from DCF or advocacy from their legal representation, particularly LGBTQ youth.</w:t>
      </w:r>
    </w:p>
    <w:p>
      <w:pPr>
        <w:spacing w:before="240"/>
        <w:ind w:left="483" w:right="0" w:firstLine="0"/>
        <w:jc w:val="left"/>
        <w:rPr>
          <w:i/>
          <w:sz w:val="22"/>
        </w:rPr>
      </w:pPr>
      <w:r>
        <w:rPr>
          <w:i/>
          <w:sz w:val="22"/>
        </w:rPr>
        <w:t>Acknowledgments:</w:t>
      </w:r>
      <w:r>
        <w:rPr>
          <w:i/>
          <w:spacing w:val="-11"/>
          <w:sz w:val="22"/>
        </w:rPr>
        <w:t> </w:t>
      </w:r>
      <w:r>
        <w:rPr>
          <w:i/>
          <w:sz w:val="22"/>
        </w:rPr>
        <w:t>The</w:t>
      </w:r>
      <w:r>
        <w:rPr>
          <w:i/>
          <w:spacing w:val="-9"/>
          <w:sz w:val="22"/>
        </w:rPr>
        <w:t> </w:t>
      </w:r>
      <w:r>
        <w:rPr>
          <w:i/>
          <w:sz w:val="22"/>
        </w:rPr>
        <w:t>Commission</w:t>
      </w:r>
      <w:r>
        <w:rPr>
          <w:i/>
          <w:spacing w:val="-10"/>
          <w:sz w:val="22"/>
        </w:rPr>
        <w:t> </w:t>
      </w:r>
      <w:r>
        <w:rPr>
          <w:i/>
          <w:sz w:val="22"/>
        </w:rPr>
        <w:t>sincerely</w:t>
      </w:r>
      <w:r>
        <w:rPr>
          <w:i/>
          <w:spacing w:val="-10"/>
          <w:sz w:val="22"/>
        </w:rPr>
        <w:t> </w:t>
      </w:r>
      <w:r>
        <w:rPr>
          <w:i/>
          <w:sz w:val="22"/>
        </w:rPr>
        <w:t>appreciates</w:t>
      </w:r>
      <w:r>
        <w:rPr>
          <w:i/>
          <w:spacing w:val="-10"/>
          <w:sz w:val="22"/>
        </w:rPr>
        <w:t> </w:t>
      </w:r>
      <w:r>
        <w:rPr>
          <w:i/>
          <w:sz w:val="22"/>
        </w:rPr>
        <w:t>the</w:t>
      </w:r>
      <w:r>
        <w:rPr>
          <w:i/>
          <w:spacing w:val="-11"/>
          <w:sz w:val="22"/>
        </w:rPr>
        <w:t> </w:t>
      </w:r>
      <w:r>
        <w:rPr>
          <w:i/>
          <w:sz w:val="22"/>
        </w:rPr>
        <w:t>contributions</w:t>
      </w:r>
      <w:r>
        <w:rPr>
          <w:i/>
          <w:spacing w:val="-9"/>
          <w:sz w:val="22"/>
        </w:rPr>
        <w:t> </w:t>
      </w:r>
      <w:r>
        <w:rPr>
          <w:i/>
          <w:sz w:val="22"/>
        </w:rPr>
        <w:t>of</w:t>
      </w:r>
      <w:r>
        <w:rPr>
          <w:i/>
          <w:spacing w:val="-10"/>
          <w:sz w:val="22"/>
        </w:rPr>
        <w:t> </w:t>
      </w:r>
      <w:r>
        <w:rPr>
          <w:i/>
          <w:sz w:val="22"/>
        </w:rPr>
        <w:t>its</w:t>
      </w:r>
      <w:r>
        <w:rPr>
          <w:i/>
          <w:spacing w:val="-9"/>
          <w:sz w:val="22"/>
        </w:rPr>
        <w:t> </w:t>
      </w:r>
      <w:r>
        <w:rPr>
          <w:i/>
          <w:sz w:val="22"/>
        </w:rPr>
        <w:t>CAFL</w:t>
      </w:r>
      <w:r>
        <w:rPr>
          <w:i/>
          <w:spacing w:val="-11"/>
          <w:sz w:val="22"/>
        </w:rPr>
        <w:t> </w:t>
      </w:r>
      <w:r>
        <w:rPr>
          <w:i/>
          <w:spacing w:val="-2"/>
          <w:sz w:val="22"/>
        </w:rPr>
        <w:t>liaisons.</w:t>
      </w:r>
    </w:p>
    <w:p>
      <w:pPr>
        <w:pStyle w:val="BodyText"/>
        <w:spacing w:before="11"/>
        <w:rPr>
          <w:i/>
        </w:rPr>
      </w:pPr>
    </w:p>
    <w:p>
      <w:pPr>
        <w:spacing w:before="0"/>
        <w:ind w:left="483" w:right="0" w:firstLine="0"/>
        <w:jc w:val="left"/>
        <w:rPr>
          <w:b/>
          <w:sz w:val="21"/>
        </w:rPr>
      </w:pPr>
      <w:r>
        <w:rPr>
          <w:b/>
          <w:spacing w:val="-2"/>
          <w:sz w:val="21"/>
        </w:rPr>
        <w:t>Citations</w:t>
      </w:r>
    </w:p>
    <w:p>
      <w:pPr>
        <w:pStyle w:val="BodyText"/>
        <w:spacing w:before="40"/>
        <w:rPr>
          <w:b/>
          <w:sz w:val="21"/>
        </w:rPr>
      </w:pPr>
    </w:p>
    <w:p>
      <w:pPr>
        <w:spacing w:line="242" w:lineRule="auto" w:before="1"/>
        <w:ind w:left="483" w:right="342" w:firstLine="0"/>
        <w:jc w:val="both"/>
        <w:rPr>
          <w:sz w:val="18"/>
        </w:rPr>
      </w:pPr>
      <w:bookmarkStart w:name="_bookmark655" w:id="962"/>
      <w:bookmarkEnd w:id="962"/>
      <w:r>
        <w:rPr/>
      </w:r>
      <w:r>
        <w:rPr>
          <w:sz w:val="18"/>
          <w:vertAlign w:val="superscript"/>
        </w:rPr>
        <w:t>1</w:t>
      </w:r>
      <w:r>
        <w:rPr>
          <w:sz w:val="18"/>
          <w:vertAlign w:val="baseline"/>
        </w:rPr>
        <w:t> Hannah Hussey. (2021). </w:t>
      </w:r>
      <w:r>
        <w:rPr>
          <w:i/>
          <w:sz w:val="18"/>
          <w:vertAlign w:val="baseline"/>
        </w:rPr>
        <w:t>LGBTQ Youth in the Massachusetts Child Welfare System: A Report on Pervasive Threats to Safety,</w:t>
      </w:r>
      <w:r>
        <w:rPr>
          <w:i/>
          <w:sz w:val="18"/>
          <w:vertAlign w:val="baseline"/>
        </w:rPr>
        <w:t> Wellbeing, and Permanency</w:t>
      </w:r>
      <w:r>
        <w:rPr>
          <w:sz w:val="18"/>
          <w:vertAlign w:val="baseline"/>
        </w:rPr>
        <w:t>. Massachusetts Commission on LGBTQ Youth. https://</w:t>
      </w:r>
      <w:hyperlink r:id="rId775">
        <w:r>
          <w:rPr>
            <w:sz w:val="18"/>
            <w:vertAlign w:val="baseline"/>
          </w:rPr>
          <w:t>www.mass.gov/doc/commission-report-on-</w:t>
        </w:r>
      </w:hyperlink>
      <w:r>
        <w:rPr>
          <w:sz w:val="18"/>
          <w:vertAlign w:val="baseline"/>
        </w:rPr>
        <w:t> </w:t>
      </w:r>
      <w:r>
        <w:rPr>
          <w:spacing w:val="-2"/>
          <w:sz w:val="18"/>
          <w:vertAlign w:val="baseline"/>
        </w:rPr>
        <w:t>dcf/download</w:t>
      </w:r>
    </w:p>
    <w:p>
      <w:pPr>
        <w:spacing w:before="18"/>
        <w:ind w:left="483" w:right="0" w:firstLine="0"/>
        <w:jc w:val="left"/>
        <w:rPr>
          <w:sz w:val="18"/>
        </w:rPr>
      </w:pPr>
      <w:bookmarkStart w:name="_bookmark656" w:id="963"/>
      <w:bookmarkEnd w:id="963"/>
      <w:r>
        <w:rPr/>
      </w:r>
      <w:r>
        <w:rPr>
          <w:w w:val="105"/>
          <w:sz w:val="18"/>
          <w:vertAlign w:val="superscript"/>
        </w:rPr>
        <w:t>2</w:t>
      </w:r>
      <w:r>
        <w:rPr>
          <w:spacing w:val="-13"/>
          <w:w w:val="105"/>
          <w:sz w:val="18"/>
          <w:vertAlign w:val="baseline"/>
        </w:rPr>
        <w:t> </w:t>
      </w:r>
      <w:r>
        <w:rPr>
          <w:i/>
          <w:spacing w:val="-5"/>
          <w:w w:val="105"/>
          <w:sz w:val="18"/>
          <w:vertAlign w:val="baseline"/>
        </w:rPr>
        <w:t>Id</w:t>
      </w:r>
      <w:r>
        <w:rPr>
          <w:spacing w:val="-5"/>
          <w:w w:val="105"/>
          <w:sz w:val="18"/>
          <w:vertAlign w:val="baseline"/>
        </w:rPr>
        <w:t>.</w:t>
      </w:r>
    </w:p>
    <w:p>
      <w:pPr>
        <w:spacing w:before="24"/>
        <w:ind w:left="483" w:right="0" w:firstLine="0"/>
        <w:jc w:val="left"/>
        <w:rPr>
          <w:i/>
          <w:sz w:val="18"/>
        </w:rPr>
      </w:pPr>
      <w:r>
        <w:rPr>
          <w:sz w:val="18"/>
          <w:vertAlign w:val="superscript"/>
        </w:rPr>
        <w:t>3</w:t>
      </w:r>
      <w:r>
        <w:rPr>
          <w:spacing w:val="-12"/>
          <w:sz w:val="18"/>
          <w:vertAlign w:val="baseline"/>
        </w:rPr>
        <w:t> </w:t>
      </w:r>
      <w:r>
        <w:rPr>
          <w:sz w:val="18"/>
          <w:vertAlign w:val="baseline"/>
        </w:rPr>
        <w:t>For</w:t>
      </w:r>
      <w:r>
        <w:rPr>
          <w:spacing w:val="-5"/>
          <w:sz w:val="18"/>
          <w:vertAlign w:val="baseline"/>
        </w:rPr>
        <w:t> </w:t>
      </w:r>
      <w:r>
        <w:rPr>
          <w:sz w:val="18"/>
          <w:vertAlign w:val="baseline"/>
        </w:rPr>
        <w:t>example,</w:t>
      </w:r>
      <w:r>
        <w:rPr>
          <w:spacing w:val="-3"/>
          <w:sz w:val="18"/>
          <w:vertAlign w:val="baseline"/>
        </w:rPr>
        <w:t> </w:t>
      </w:r>
      <w:r>
        <w:rPr>
          <w:sz w:val="18"/>
          <w:vertAlign w:val="baseline"/>
        </w:rPr>
        <w:t>the</w:t>
      </w:r>
      <w:r>
        <w:rPr>
          <w:spacing w:val="-2"/>
          <w:sz w:val="18"/>
          <w:vertAlign w:val="baseline"/>
        </w:rPr>
        <w:t> </w:t>
      </w:r>
      <w:r>
        <w:rPr>
          <w:sz w:val="18"/>
          <w:vertAlign w:val="baseline"/>
        </w:rPr>
        <w:t>Justice</w:t>
      </w:r>
      <w:r>
        <w:rPr>
          <w:spacing w:val="-2"/>
          <w:sz w:val="18"/>
          <w:vertAlign w:val="baseline"/>
        </w:rPr>
        <w:t> </w:t>
      </w:r>
      <w:r>
        <w:rPr>
          <w:sz w:val="18"/>
          <w:vertAlign w:val="baseline"/>
        </w:rPr>
        <w:t>Catalyst</w:t>
      </w:r>
      <w:r>
        <w:rPr>
          <w:spacing w:val="-3"/>
          <w:sz w:val="18"/>
          <w:vertAlign w:val="baseline"/>
        </w:rPr>
        <w:t> </w:t>
      </w:r>
      <w:r>
        <w:rPr>
          <w:sz w:val="18"/>
          <w:vertAlign w:val="baseline"/>
        </w:rPr>
        <w:t>fellowship</w:t>
      </w:r>
      <w:r>
        <w:rPr>
          <w:spacing w:val="-2"/>
          <w:sz w:val="18"/>
          <w:vertAlign w:val="baseline"/>
        </w:rPr>
        <w:t> </w:t>
      </w:r>
      <w:r>
        <w:rPr>
          <w:sz w:val="18"/>
          <w:vertAlign w:val="baseline"/>
        </w:rPr>
        <w:t>permits</w:t>
      </w:r>
      <w:r>
        <w:rPr>
          <w:spacing w:val="-2"/>
          <w:sz w:val="18"/>
          <w:vertAlign w:val="baseline"/>
        </w:rPr>
        <w:t> </w:t>
      </w:r>
      <w:r>
        <w:rPr>
          <w:sz w:val="18"/>
          <w:vertAlign w:val="baseline"/>
        </w:rPr>
        <w:t>government</w:t>
      </w:r>
      <w:r>
        <w:rPr>
          <w:spacing w:val="-3"/>
          <w:sz w:val="18"/>
          <w:vertAlign w:val="baseline"/>
        </w:rPr>
        <w:t> </w:t>
      </w:r>
      <w:r>
        <w:rPr>
          <w:sz w:val="18"/>
          <w:vertAlign w:val="baseline"/>
        </w:rPr>
        <w:t>agencies</w:t>
      </w:r>
      <w:r>
        <w:rPr>
          <w:spacing w:val="-2"/>
          <w:sz w:val="18"/>
          <w:vertAlign w:val="baseline"/>
        </w:rPr>
        <w:t> </w:t>
      </w:r>
      <w:r>
        <w:rPr>
          <w:sz w:val="18"/>
          <w:vertAlign w:val="baseline"/>
        </w:rPr>
        <w:t>to</w:t>
      </w:r>
      <w:r>
        <w:rPr>
          <w:spacing w:val="-2"/>
          <w:sz w:val="18"/>
          <w:vertAlign w:val="baseline"/>
        </w:rPr>
        <w:t> </w:t>
      </w:r>
      <w:r>
        <w:rPr>
          <w:sz w:val="18"/>
          <w:vertAlign w:val="baseline"/>
        </w:rPr>
        <w:t>serve</w:t>
      </w:r>
      <w:r>
        <w:rPr>
          <w:spacing w:val="-2"/>
          <w:sz w:val="18"/>
          <w:vertAlign w:val="baseline"/>
        </w:rPr>
        <w:t> </w:t>
      </w:r>
      <w:r>
        <w:rPr>
          <w:sz w:val="18"/>
          <w:vertAlign w:val="baseline"/>
        </w:rPr>
        <w:t>as</w:t>
      </w:r>
      <w:r>
        <w:rPr>
          <w:spacing w:val="-1"/>
          <w:sz w:val="18"/>
          <w:vertAlign w:val="baseline"/>
        </w:rPr>
        <w:t> </w:t>
      </w:r>
      <w:r>
        <w:rPr>
          <w:sz w:val="18"/>
          <w:vertAlign w:val="baseline"/>
        </w:rPr>
        <w:t>host</w:t>
      </w:r>
      <w:r>
        <w:rPr>
          <w:spacing w:val="-3"/>
          <w:sz w:val="18"/>
          <w:vertAlign w:val="baseline"/>
        </w:rPr>
        <w:t> </w:t>
      </w:r>
      <w:r>
        <w:rPr>
          <w:sz w:val="18"/>
          <w:vertAlign w:val="baseline"/>
        </w:rPr>
        <w:t>organizations</w:t>
      </w:r>
      <w:r>
        <w:rPr>
          <w:spacing w:val="-2"/>
          <w:sz w:val="18"/>
          <w:vertAlign w:val="baseline"/>
        </w:rPr>
        <w:t> </w:t>
      </w:r>
      <w:r>
        <w:rPr>
          <w:sz w:val="18"/>
          <w:vertAlign w:val="baseline"/>
        </w:rPr>
        <w:t>for</w:t>
      </w:r>
      <w:r>
        <w:rPr>
          <w:spacing w:val="-3"/>
          <w:sz w:val="18"/>
          <w:vertAlign w:val="baseline"/>
        </w:rPr>
        <w:t> </w:t>
      </w:r>
      <w:r>
        <w:rPr>
          <w:sz w:val="18"/>
          <w:vertAlign w:val="baseline"/>
        </w:rPr>
        <w:t>a</w:t>
      </w:r>
      <w:r>
        <w:rPr>
          <w:spacing w:val="-2"/>
          <w:sz w:val="18"/>
          <w:vertAlign w:val="baseline"/>
        </w:rPr>
        <w:t> </w:t>
      </w:r>
      <w:r>
        <w:rPr>
          <w:sz w:val="18"/>
          <w:vertAlign w:val="baseline"/>
        </w:rPr>
        <w:t>legal</w:t>
      </w:r>
      <w:r>
        <w:rPr>
          <w:spacing w:val="-3"/>
          <w:sz w:val="18"/>
          <w:vertAlign w:val="baseline"/>
        </w:rPr>
        <w:t> </w:t>
      </w:r>
      <w:r>
        <w:rPr>
          <w:sz w:val="18"/>
          <w:vertAlign w:val="baseline"/>
        </w:rPr>
        <w:t>fellow.</w:t>
      </w:r>
      <w:r>
        <w:rPr>
          <w:spacing w:val="-2"/>
          <w:sz w:val="18"/>
          <w:vertAlign w:val="baseline"/>
        </w:rPr>
        <w:t> </w:t>
      </w:r>
      <w:r>
        <w:rPr>
          <w:i/>
          <w:spacing w:val="-5"/>
          <w:sz w:val="18"/>
          <w:vertAlign w:val="baseline"/>
        </w:rPr>
        <w:t>See</w:t>
      </w:r>
    </w:p>
    <w:p>
      <w:pPr>
        <w:spacing w:before="5"/>
        <w:ind w:left="483" w:right="0" w:firstLine="0"/>
        <w:jc w:val="left"/>
        <w:rPr>
          <w:sz w:val="18"/>
        </w:rPr>
      </w:pPr>
      <w:r>
        <w:rPr>
          <w:spacing w:val="-2"/>
          <w:sz w:val="18"/>
        </w:rPr>
        <w:t>https://catalystfellowships.org/fellowship/jc-fellowship/</w:t>
      </w:r>
    </w:p>
    <w:p>
      <w:pPr>
        <w:spacing w:after="0"/>
        <w:jc w:val="left"/>
        <w:rPr>
          <w:sz w:val="18"/>
        </w:rPr>
        <w:sectPr>
          <w:pgSz w:w="12240" w:h="15840"/>
          <w:pgMar w:header="804" w:footer="1263" w:top="1000" w:bottom="1460" w:left="960" w:right="1100"/>
        </w:sectPr>
      </w:pPr>
    </w:p>
    <w:p>
      <w:pPr>
        <w:pStyle w:val="BodyText"/>
        <w:spacing w:before="160" w:after="1"/>
        <w:rPr>
          <w:sz w:val="20"/>
        </w:rPr>
      </w:pPr>
    </w:p>
    <w:p>
      <w:pPr>
        <w:pStyle w:val="BodyText"/>
        <w:spacing w:line="20" w:lineRule="exact"/>
        <w:ind w:left="440"/>
        <w:rPr>
          <w:sz w:val="2"/>
        </w:rPr>
      </w:pPr>
      <w:r>
        <w:rPr>
          <w:sz w:val="2"/>
        </w:rPr>
        <mc:AlternateContent>
          <mc:Choice Requires="wps">
            <w:drawing>
              <wp:inline distT="0" distB="0" distL="0" distR="0">
                <wp:extent cx="6350" cy="12700"/>
                <wp:effectExtent l="0" t="0" r="0" b="0"/>
                <wp:docPr id="694" name="Group 694"/>
                <wp:cNvGraphicFramePr>
                  <a:graphicFrameLocks/>
                </wp:cNvGraphicFramePr>
                <a:graphic>
                  <a:graphicData uri="http://schemas.microsoft.com/office/word/2010/wordprocessingGroup">
                    <wpg:wgp>
                      <wpg:cNvPr id="694" name="Group 694"/>
                      <wpg:cNvGrpSpPr/>
                      <wpg:grpSpPr>
                        <a:xfrm>
                          <a:off x="0" y="0"/>
                          <a:ext cx="6350" cy="12700"/>
                          <a:chExt cx="6350" cy="12700"/>
                        </a:xfrm>
                      </wpg:grpSpPr>
                      <wps:wsp>
                        <wps:cNvPr id="695" name="Graphic 695"/>
                        <wps:cNvSpPr/>
                        <wps:spPr>
                          <a:xfrm>
                            <a:off x="0" y="0"/>
                            <a:ext cx="6350" cy="12700"/>
                          </a:xfrm>
                          <a:custGeom>
                            <a:avLst/>
                            <a:gdLst/>
                            <a:ahLst/>
                            <a:cxnLst/>
                            <a:rect l="l" t="t" r="r" b="b"/>
                            <a:pathLst>
                              <a:path w="6350" h="12700">
                                <a:moveTo>
                                  <a:pt x="6337" y="0"/>
                                </a:moveTo>
                                <a:lnTo>
                                  <a:pt x="0" y="0"/>
                                </a:lnTo>
                                <a:lnTo>
                                  <a:pt x="0" y="12217"/>
                                </a:lnTo>
                                <a:lnTo>
                                  <a:pt x="6337" y="12217"/>
                                </a:lnTo>
                                <a:lnTo>
                                  <a:pt x="6337" y="0"/>
                                </a:lnTo>
                                <a:close/>
                              </a:path>
                            </a:pathLst>
                          </a:custGeom>
                          <a:solidFill>
                            <a:srgbClr val="4F81BB"/>
                          </a:solidFill>
                        </wps:spPr>
                        <wps:bodyPr wrap="square" lIns="0" tIns="0" rIns="0" bIns="0" rtlCol="0">
                          <a:prstTxWarp prst="textNoShape">
                            <a:avLst/>
                          </a:prstTxWarp>
                          <a:noAutofit/>
                        </wps:bodyPr>
                      </wps:wsp>
                    </wpg:wgp>
                  </a:graphicData>
                </a:graphic>
              </wp:inline>
            </w:drawing>
          </mc:Choice>
          <mc:Fallback>
            <w:pict>
              <v:group style="width:.5pt;height:1pt;mso-position-horizontal-relative:char;mso-position-vertical-relative:line" id="docshapegroup591" coordorigin="0,0" coordsize="10,20">
                <v:rect style="position:absolute;left:0;top:0;width:10;height:20" id="docshape592" filled="true" fillcolor="#4f81bb" stroked="false">
                  <v:fill type="solid"/>
                </v:rect>
              </v:group>
            </w:pict>
          </mc:Fallback>
        </mc:AlternateContent>
      </w:r>
      <w:r>
        <w:rPr>
          <w:sz w:val="2"/>
        </w:rPr>
      </w:r>
    </w:p>
    <w:p>
      <w:pPr>
        <w:pStyle w:val="Heading7"/>
        <w:spacing w:before="239"/>
      </w:pPr>
      <w:bookmarkStart w:name="_bookmark657" w:id="964"/>
      <w:bookmarkEnd w:id="964"/>
      <w:r>
        <w:rPr/>
      </w:r>
      <w:hyperlink w:history="true" w:anchor="_bookmark7">
        <w:r>
          <w:rPr>
            <w:color w:val="365F91"/>
            <w:spacing w:val="-8"/>
          </w:rPr>
          <w:t>Department</w:t>
        </w:r>
        <w:r>
          <w:rPr>
            <w:color w:val="365F91"/>
            <w:spacing w:val="-15"/>
          </w:rPr>
          <w:t> </w:t>
        </w:r>
        <w:r>
          <w:rPr>
            <w:color w:val="365F91"/>
            <w:spacing w:val="-8"/>
          </w:rPr>
          <w:t>of</w:t>
        </w:r>
        <w:r>
          <w:rPr>
            <w:color w:val="365F91"/>
            <w:spacing w:val="-14"/>
          </w:rPr>
          <w:t> </w:t>
        </w:r>
        <w:r>
          <w:rPr>
            <w:color w:val="365F91"/>
            <w:spacing w:val="-8"/>
          </w:rPr>
          <w:t>Career</w:t>
        </w:r>
        <w:r>
          <w:rPr>
            <w:color w:val="365F91"/>
            <w:spacing w:val="-15"/>
          </w:rPr>
          <w:t> </w:t>
        </w:r>
        <w:r>
          <w:rPr>
            <w:color w:val="365F91"/>
            <w:spacing w:val="-8"/>
          </w:rPr>
          <w:t>Services</w:t>
        </w:r>
        <w:r>
          <w:rPr>
            <w:color w:val="365F91"/>
            <w:spacing w:val="-15"/>
          </w:rPr>
          <w:t> </w:t>
        </w:r>
        <w:r>
          <w:rPr>
            <w:color w:val="365F91"/>
            <w:spacing w:val="-8"/>
          </w:rPr>
          <w:t>–</w:t>
        </w:r>
        <w:r>
          <w:rPr>
            <w:color w:val="365F91"/>
            <w:spacing w:val="-11"/>
          </w:rPr>
          <w:t> </w:t>
        </w:r>
        <w:r>
          <w:rPr>
            <w:color w:val="365F91"/>
            <w:spacing w:val="-8"/>
          </w:rPr>
          <w:t>MassHire</w:t>
        </w:r>
      </w:hyperlink>
    </w:p>
    <w:p>
      <w:pPr>
        <w:pStyle w:val="BodyText"/>
        <w:rPr>
          <w:sz w:val="20"/>
        </w:rPr>
      </w:pPr>
    </w:p>
    <w:p>
      <w:pPr>
        <w:pStyle w:val="BodyText"/>
        <w:spacing w:before="141"/>
        <w:rPr>
          <w:sz w:val="20"/>
        </w:rPr>
      </w:pPr>
      <w:r>
        <w:rPr/>
        <mc:AlternateContent>
          <mc:Choice Requires="wps">
            <w:drawing>
              <wp:anchor distT="0" distB="0" distL="0" distR="0" allowOverlap="1" layoutInCell="1" locked="0" behindDoc="1" simplePos="0" relativeHeight="487734272">
                <wp:simplePos x="0" y="0"/>
                <wp:positionH relativeFrom="page">
                  <wp:posOffset>889000</wp:posOffset>
                </wp:positionH>
                <wp:positionV relativeFrom="paragraph">
                  <wp:posOffset>260412</wp:posOffset>
                </wp:positionV>
                <wp:extent cx="6350" cy="12700"/>
                <wp:effectExtent l="0" t="0" r="0" b="0"/>
                <wp:wrapTopAndBottom/>
                <wp:docPr id="696" name="Graphic 696"/>
                <wp:cNvGraphicFramePr>
                  <a:graphicFrameLocks/>
                </wp:cNvGraphicFramePr>
                <a:graphic>
                  <a:graphicData uri="http://schemas.microsoft.com/office/word/2010/wordprocessingShape">
                    <wps:wsp>
                      <wps:cNvPr id="696" name="Graphic 696"/>
                      <wps:cNvSpPr/>
                      <wps:spPr>
                        <a:xfrm>
                          <a:off x="0" y="0"/>
                          <a:ext cx="6350" cy="12700"/>
                        </a:xfrm>
                        <a:custGeom>
                          <a:avLst/>
                          <a:gdLst/>
                          <a:ahLst/>
                          <a:cxnLst/>
                          <a:rect l="l" t="t" r="r" b="b"/>
                          <a:pathLst>
                            <a:path w="6350" h="12700">
                              <a:moveTo>
                                <a:pt x="6337" y="0"/>
                              </a:moveTo>
                              <a:lnTo>
                                <a:pt x="0" y="0"/>
                              </a:lnTo>
                              <a:lnTo>
                                <a:pt x="0" y="12192"/>
                              </a:lnTo>
                              <a:lnTo>
                                <a:pt x="6337" y="12192"/>
                              </a:lnTo>
                              <a:lnTo>
                                <a:pt x="6337" y="0"/>
                              </a:lnTo>
                              <a:close/>
                            </a:path>
                          </a:pathLst>
                        </a:custGeom>
                        <a:solidFill>
                          <a:srgbClr val="4F81BB"/>
                        </a:solidFill>
                      </wps:spPr>
                      <wps:bodyPr wrap="square" lIns="0" tIns="0" rIns="0" bIns="0" rtlCol="0">
                        <a:prstTxWarp prst="textNoShape">
                          <a:avLst/>
                        </a:prstTxWarp>
                        <a:noAutofit/>
                      </wps:bodyPr>
                    </wps:wsp>
                  </a:graphicData>
                </a:graphic>
              </wp:anchor>
            </w:drawing>
          </mc:Choice>
          <mc:Fallback>
            <w:pict>
              <v:rect style="position:absolute;margin-left:70pt;margin-top:20.504906pt;width:.499pt;height:.96pt;mso-position-horizontal-relative:page;mso-position-vertical-relative:paragraph;z-index:-15582208;mso-wrap-distance-left:0;mso-wrap-distance-right:0" id="docshape593" filled="true" fillcolor="#4f81bb" stroked="false">
                <v:fill type="solid"/>
                <w10:wrap type="topAndBottom"/>
              </v:rect>
            </w:pict>
          </mc:Fallback>
        </mc:AlternateContent>
      </w:r>
    </w:p>
    <w:p>
      <w:pPr>
        <w:spacing w:before="0"/>
        <w:ind w:left="483" w:right="0" w:firstLine="0"/>
        <w:jc w:val="left"/>
        <w:rPr>
          <w:sz w:val="28"/>
        </w:rPr>
      </w:pPr>
      <w:r>
        <w:rPr>
          <w:color w:val="365F91"/>
          <w:sz w:val="28"/>
        </w:rPr>
        <w:t>FY</w:t>
      </w:r>
      <w:r>
        <w:rPr>
          <w:color w:val="365F91"/>
          <w:spacing w:val="-7"/>
          <w:sz w:val="28"/>
        </w:rPr>
        <w:t> </w:t>
      </w:r>
      <w:r>
        <w:rPr>
          <w:color w:val="365F91"/>
          <w:sz w:val="28"/>
        </w:rPr>
        <w:t>2025</w:t>
      </w:r>
      <w:r>
        <w:rPr>
          <w:color w:val="365F91"/>
          <w:spacing w:val="-6"/>
          <w:sz w:val="28"/>
        </w:rPr>
        <w:t> </w:t>
      </w:r>
      <w:r>
        <w:rPr>
          <w:color w:val="365F91"/>
          <w:spacing w:val="-2"/>
          <w:sz w:val="28"/>
        </w:rPr>
        <w:t>Recommendations</w:t>
      </w:r>
    </w:p>
    <w:p>
      <w:pPr>
        <w:pStyle w:val="BodyText"/>
        <w:spacing w:before="10"/>
        <w:rPr>
          <w:sz w:val="3"/>
        </w:rPr>
      </w:pPr>
      <w:r>
        <w:rPr/>
        <mc:AlternateContent>
          <mc:Choice Requires="wps">
            <w:drawing>
              <wp:anchor distT="0" distB="0" distL="0" distR="0" allowOverlap="1" layoutInCell="1" locked="0" behindDoc="1" simplePos="0" relativeHeight="487734784">
                <wp:simplePos x="0" y="0"/>
                <wp:positionH relativeFrom="page">
                  <wp:posOffset>897636</wp:posOffset>
                </wp:positionH>
                <wp:positionV relativeFrom="paragraph">
                  <wp:posOffset>44871</wp:posOffset>
                </wp:positionV>
                <wp:extent cx="5976620" cy="6350"/>
                <wp:effectExtent l="0" t="0" r="0" b="0"/>
                <wp:wrapTopAndBottom/>
                <wp:docPr id="697" name="Graphic 697"/>
                <wp:cNvGraphicFramePr>
                  <a:graphicFrameLocks/>
                </wp:cNvGraphicFramePr>
                <a:graphic>
                  <a:graphicData uri="http://schemas.microsoft.com/office/word/2010/wordprocessingShape">
                    <wps:wsp>
                      <wps:cNvPr id="697" name="Graphic 697"/>
                      <wps:cNvSpPr/>
                      <wps:spPr>
                        <a:xfrm>
                          <a:off x="0" y="0"/>
                          <a:ext cx="5976620" cy="6350"/>
                        </a:xfrm>
                        <a:custGeom>
                          <a:avLst/>
                          <a:gdLst/>
                          <a:ahLst/>
                          <a:cxnLst/>
                          <a:rect l="l" t="t" r="r" b="b"/>
                          <a:pathLst>
                            <a:path w="5976620" h="6350">
                              <a:moveTo>
                                <a:pt x="5976366" y="0"/>
                              </a:moveTo>
                              <a:lnTo>
                                <a:pt x="0" y="0"/>
                              </a:lnTo>
                              <a:lnTo>
                                <a:pt x="0" y="6108"/>
                              </a:lnTo>
                              <a:lnTo>
                                <a:pt x="5976366" y="6108"/>
                              </a:lnTo>
                              <a:lnTo>
                                <a:pt x="5976366" y="0"/>
                              </a:lnTo>
                              <a:close/>
                            </a:path>
                          </a:pathLst>
                        </a:custGeom>
                        <a:solidFill>
                          <a:srgbClr val="4F81BC"/>
                        </a:solidFill>
                      </wps:spPr>
                      <wps:bodyPr wrap="square" lIns="0" tIns="0" rIns="0" bIns="0" rtlCol="0">
                        <a:prstTxWarp prst="textNoShape">
                          <a:avLst/>
                        </a:prstTxWarp>
                        <a:noAutofit/>
                      </wps:bodyPr>
                    </wps:wsp>
                  </a:graphicData>
                </a:graphic>
              </wp:anchor>
            </w:drawing>
          </mc:Choice>
          <mc:Fallback>
            <w:pict>
              <v:rect style="position:absolute;margin-left:70.680pt;margin-top:3.533156pt;width:470.58pt;height:.481pt;mso-position-horizontal-relative:page;mso-position-vertical-relative:paragraph;z-index:-15581696;mso-wrap-distance-left:0;mso-wrap-distance-right:0" id="docshape594" filled="true" fillcolor="#4f81bc" stroked="false">
                <v:fill type="solid"/>
                <w10:wrap type="topAndBottom"/>
              </v:rect>
            </w:pict>
          </mc:Fallback>
        </mc:AlternateContent>
      </w:r>
    </w:p>
    <w:p>
      <w:pPr>
        <w:pStyle w:val="ListParagraph"/>
        <w:numPr>
          <w:ilvl w:val="1"/>
          <w:numId w:val="48"/>
        </w:numPr>
        <w:tabs>
          <w:tab w:pos="1059" w:val="left" w:leader="none"/>
        </w:tabs>
        <w:spacing w:line="240" w:lineRule="auto" w:before="241" w:after="0"/>
        <w:ind w:left="1059" w:right="0" w:hanging="360"/>
        <w:jc w:val="left"/>
        <w:rPr>
          <w:sz w:val="22"/>
        </w:rPr>
      </w:pPr>
      <w:r>
        <w:rPr>
          <w:sz w:val="22"/>
        </w:rPr>
        <w:t>Promote</w:t>
      </w:r>
      <w:r>
        <w:rPr>
          <w:spacing w:val="-10"/>
          <w:sz w:val="22"/>
        </w:rPr>
        <w:t> </w:t>
      </w:r>
      <w:r>
        <w:rPr>
          <w:sz w:val="22"/>
        </w:rPr>
        <w:t>job</w:t>
      </w:r>
      <w:r>
        <w:rPr>
          <w:spacing w:val="-8"/>
          <w:sz w:val="22"/>
        </w:rPr>
        <w:t> </w:t>
      </w:r>
      <w:r>
        <w:rPr>
          <w:sz w:val="22"/>
        </w:rPr>
        <w:t>opportunities</w:t>
      </w:r>
      <w:r>
        <w:rPr>
          <w:spacing w:val="-9"/>
          <w:sz w:val="22"/>
        </w:rPr>
        <w:t> </w:t>
      </w:r>
      <w:r>
        <w:rPr>
          <w:sz w:val="22"/>
        </w:rPr>
        <w:t>to</w:t>
      </w:r>
      <w:r>
        <w:rPr>
          <w:spacing w:val="-8"/>
          <w:sz w:val="22"/>
        </w:rPr>
        <w:t> </w:t>
      </w:r>
      <w:r>
        <w:rPr>
          <w:sz w:val="22"/>
        </w:rPr>
        <w:t>LGBTQ</w:t>
      </w:r>
      <w:r>
        <w:rPr>
          <w:spacing w:val="-8"/>
          <w:sz w:val="22"/>
        </w:rPr>
        <w:t> </w:t>
      </w:r>
      <w:r>
        <w:rPr>
          <w:spacing w:val="-2"/>
          <w:sz w:val="22"/>
        </w:rPr>
        <w:t>youth.</w:t>
      </w:r>
    </w:p>
    <w:p>
      <w:pPr>
        <w:pStyle w:val="ListParagraph"/>
        <w:numPr>
          <w:ilvl w:val="1"/>
          <w:numId w:val="48"/>
        </w:numPr>
        <w:tabs>
          <w:tab w:pos="1059" w:val="left" w:leader="none"/>
        </w:tabs>
        <w:spacing w:line="276" w:lineRule="auto" w:before="41" w:after="0"/>
        <w:ind w:left="1059" w:right="632" w:hanging="361"/>
        <w:jc w:val="left"/>
        <w:rPr>
          <w:sz w:val="22"/>
        </w:rPr>
      </w:pPr>
      <w:r>
        <w:rPr>
          <w:sz w:val="22"/>
        </w:rPr>
        <w:t>Review</w:t>
      </w:r>
      <w:r>
        <w:rPr>
          <w:spacing w:val="29"/>
          <w:sz w:val="22"/>
        </w:rPr>
        <w:t> </w:t>
      </w:r>
      <w:r>
        <w:rPr>
          <w:sz w:val="22"/>
        </w:rPr>
        <w:t>SOGIE</w:t>
      </w:r>
      <w:r>
        <w:rPr>
          <w:spacing w:val="28"/>
          <w:sz w:val="22"/>
        </w:rPr>
        <w:t> </w:t>
      </w:r>
      <w:r>
        <w:rPr>
          <w:sz w:val="22"/>
        </w:rPr>
        <w:t>data</w:t>
      </w:r>
      <w:r>
        <w:rPr>
          <w:spacing w:val="29"/>
          <w:sz w:val="22"/>
        </w:rPr>
        <w:t> </w:t>
      </w:r>
      <w:r>
        <w:rPr>
          <w:sz w:val="22"/>
        </w:rPr>
        <w:t>collection</w:t>
      </w:r>
      <w:r>
        <w:rPr>
          <w:spacing w:val="29"/>
          <w:sz w:val="22"/>
        </w:rPr>
        <w:t> </w:t>
      </w:r>
      <w:r>
        <w:rPr>
          <w:sz w:val="22"/>
        </w:rPr>
        <w:t>methods</w:t>
      </w:r>
      <w:r>
        <w:rPr>
          <w:spacing w:val="29"/>
          <w:sz w:val="22"/>
        </w:rPr>
        <w:t> </w:t>
      </w:r>
      <w:r>
        <w:rPr>
          <w:sz w:val="22"/>
        </w:rPr>
        <w:t>to</w:t>
      </w:r>
      <w:r>
        <w:rPr>
          <w:spacing w:val="29"/>
          <w:sz w:val="22"/>
        </w:rPr>
        <w:t> </w:t>
      </w:r>
      <w:r>
        <w:rPr>
          <w:sz w:val="22"/>
        </w:rPr>
        <w:t>reflect</w:t>
      </w:r>
      <w:r>
        <w:rPr>
          <w:spacing w:val="28"/>
          <w:sz w:val="22"/>
        </w:rPr>
        <w:t> </w:t>
      </w:r>
      <w:r>
        <w:rPr>
          <w:sz w:val="22"/>
        </w:rPr>
        <w:t>best</w:t>
      </w:r>
      <w:r>
        <w:rPr>
          <w:spacing w:val="28"/>
          <w:sz w:val="22"/>
        </w:rPr>
        <w:t> </w:t>
      </w:r>
      <w:r>
        <w:rPr>
          <w:sz w:val="22"/>
        </w:rPr>
        <w:t>practices</w:t>
      </w:r>
      <w:r>
        <w:rPr>
          <w:spacing w:val="31"/>
          <w:sz w:val="22"/>
        </w:rPr>
        <w:t> </w:t>
      </w:r>
      <w:r>
        <w:rPr>
          <w:sz w:val="22"/>
        </w:rPr>
        <w:t>on</w:t>
      </w:r>
      <w:r>
        <w:rPr>
          <w:spacing w:val="29"/>
          <w:sz w:val="22"/>
        </w:rPr>
        <w:t> </w:t>
      </w:r>
      <w:r>
        <w:rPr>
          <w:sz w:val="22"/>
        </w:rPr>
        <w:t>LGBTQ-related</w:t>
      </w:r>
      <w:r>
        <w:rPr>
          <w:spacing w:val="29"/>
          <w:sz w:val="22"/>
        </w:rPr>
        <w:t> </w:t>
      </w:r>
      <w:r>
        <w:rPr>
          <w:sz w:val="22"/>
        </w:rPr>
        <w:t>data</w:t>
      </w:r>
      <w:r>
        <w:rPr>
          <w:spacing w:val="29"/>
          <w:sz w:val="22"/>
        </w:rPr>
        <w:t> </w:t>
      </w:r>
      <w:r>
        <w:rPr>
          <w:sz w:val="22"/>
        </w:rPr>
        <w:t>and evaluate that data to improve LGBTQ client experiences.</w:t>
      </w:r>
    </w:p>
    <w:p>
      <w:pPr>
        <w:pStyle w:val="ListParagraph"/>
        <w:numPr>
          <w:ilvl w:val="1"/>
          <w:numId w:val="48"/>
        </w:numPr>
        <w:tabs>
          <w:tab w:pos="1059" w:val="left" w:leader="none"/>
        </w:tabs>
        <w:spacing w:line="240" w:lineRule="auto" w:before="1" w:after="0"/>
        <w:ind w:left="1059" w:right="0" w:hanging="360"/>
        <w:jc w:val="left"/>
        <w:rPr>
          <w:sz w:val="22"/>
        </w:rPr>
      </w:pPr>
      <w:r>
        <w:rPr>
          <w:sz w:val="22"/>
        </w:rPr>
        <w:t>Facilitate</w:t>
      </w:r>
      <w:r>
        <w:rPr>
          <w:spacing w:val="-8"/>
          <w:sz w:val="22"/>
        </w:rPr>
        <w:t> </w:t>
      </w:r>
      <w:r>
        <w:rPr>
          <w:sz w:val="22"/>
        </w:rPr>
        <w:t>mandatory</w:t>
      </w:r>
      <w:r>
        <w:rPr>
          <w:spacing w:val="-9"/>
          <w:sz w:val="22"/>
        </w:rPr>
        <w:t> </w:t>
      </w:r>
      <w:r>
        <w:rPr>
          <w:sz w:val="22"/>
        </w:rPr>
        <w:t>LGBTQ</w:t>
      </w:r>
      <w:r>
        <w:rPr>
          <w:spacing w:val="-9"/>
          <w:sz w:val="22"/>
        </w:rPr>
        <w:t> </w:t>
      </w:r>
      <w:r>
        <w:rPr>
          <w:sz w:val="22"/>
        </w:rPr>
        <w:t>cultural</w:t>
      </w:r>
      <w:r>
        <w:rPr>
          <w:spacing w:val="-7"/>
          <w:sz w:val="22"/>
        </w:rPr>
        <w:t> </w:t>
      </w:r>
      <w:r>
        <w:rPr>
          <w:sz w:val="22"/>
        </w:rPr>
        <w:t>awareness</w:t>
      </w:r>
      <w:r>
        <w:rPr>
          <w:spacing w:val="-9"/>
          <w:sz w:val="22"/>
        </w:rPr>
        <w:t> </w:t>
      </w:r>
      <w:r>
        <w:rPr>
          <w:sz w:val="22"/>
        </w:rPr>
        <w:t>and</w:t>
      </w:r>
      <w:r>
        <w:rPr>
          <w:spacing w:val="-9"/>
          <w:sz w:val="22"/>
        </w:rPr>
        <w:t> </w:t>
      </w:r>
      <w:r>
        <w:rPr>
          <w:sz w:val="22"/>
        </w:rPr>
        <w:t>racial</w:t>
      </w:r>
      <w:r>
        <w:rPr>
          <w:spacing w:val="-8"/>
          <w:sz w:val="22"/>
        </w:rPr>
        <w:t> </w:t>
      </w:r>
      <w:r>
        <w:rPr>
          <w:sz w:val="22"/>
        </w:rPr>
        <w:t>equity</w:t>
      </w:r>
      <w:r>
        <w:rPr>
          <w:spacing w:val="-8"/>
          <w:sz w:val="22"/>
        </w:rPr>
        <w:t> </w:t>
      </w:r>
      <w:r>
        <w:rPr>
          <w:sz w:val="22"/>
        </w:rPr>
        <w:t>trainings</w:t>
      </w:r>
      <w:r>
        <w:rPr>
          <w:spacing w:val="-9"/>
          <w:sz w:val="22"/>
        </w:rPr>
        <w:t> </w:t>
      </w:r>
      <w:r>
        <w:rPr>
          <w:sz w:val="22"/>
        </w:rPr>
        <w:t>for</w:t>
      </w:r>
      <w:r>
        <w:rPr>
          <w:spacing w:val="-8"/>
          <w:sz w:val="22"/>
        </w:rPr>
        <w:t> </w:t>
      </w:r>
      <w:r>
        <w:rPr>
          <w:sz w:val="22"/>
        </w:rPr>
        <w:t>all</w:t>
      </w:r>
      <w:r>
        <w:rPr>
          <w:spacing w:val="-8"/>
          <w:sz w:val="22"/>
        </w:rPr>
        <w:t> </w:t>
      </w:r>
      <w:r>
        <w:rPr>
          <w:spacing w:val="-2"/>
          <w:sz w:val="22"/>
        </w:rPr>
        <w:t>staff.</w:t>
      </w:r>
    </w:p>
    <w:p>
      <w:pPr>
        <w:pStyle w:val="ListParagraph"/>
        <w:numPr>
          <w:ilvl w:val="1"/>
          <w:numId w:val="48"/>
        </w:numPr>
        <w:tabs>
          <w:tab w:pos="1059" w:val="left" w:leader="none"/>
        </w:tabs>
        <w:spacing w:line="240" w:lineRule="auto" w:before="40" w:after="0"/>
        <w:ind w:left="1059" w:right="0" w:hanging="360"/>
        <w:jc w:val="left"/>
        <w:rPr>
          <w:sz w:val="22"/>
        </w:rPr>
      </w:pPr>
      <w:r>
        <w:rPr>
          <w:sz w:val="22"/>
        </w:rPr>
        <w:t>Create</w:t>
      </w:r>
      <w:r>
        <w:rPr>
          <w:spacing w:val="-8"/>
          <w:sz w:val="22"/>
        </w:rPr>
        <w:t> </w:t>
      </w:r>
      <w:r>
        <w:rPr>
          <w:sz w:val="22"/>
        </w:rPr>
        <w:t>and</w:t>
      </w:r>
      <w:r>
        <w:rPr>
          <w:spacing w:val="-8"/>
          <w:sz w:val="22"/>
        </w:rPr>
        <w:t> </w:t>
      </w:r>
      <w:r>
        <w:rPr>
          <w:sz w:val="22"/>
        </w:rPr>
        <w:t>hire</w:t>
      </w:r>
      <w:r>
        <w:rPr>
          <w:spacing w:val="-8"/>
          <w:sz w:val="22"/>
        </w:rPr>
        <w:t> </w:t>
      </w:r>
      <w:r>
        <w:rPr>
          <w:sz w:val="22"/>
        </w:rPr>
        <w:t>a</w:t>
      </w:r>
      <w:r>
        <w:rPr>
          <w:spacing w:val="-8"/>
          <w:sz w:val="22"/>
        </w:rPr>
        <w:t> </w:t>
      </w:r>
      <w:r>
        <w:rPr>
          <w:sz w:val="22"/>
        </w:rPr>
        <w:t>dedicated</w:t>
      </w:r>
      <w:r>
        <w:rPr>
          <w:spacing w:val="-8"/>
          <w:sz w:val="22"/>
        </w:rPr>
        <w:t> </w:t>
      </w:r>
      <w:r>
        <w:rPr>
          <w:sz w:val="22"/>
        </w:rPr>
        <w:t>LGBTQ-specific</w:t>
      </w:r>
      <w:r>
        <w:rPr>
          <w:spacing w:val="-7"/>
          <w:sz w:val="22"/>
        </w:rPr>
        <w:t> </w:t>
      </w:r>
      <w:r>
        <w:rPr>
          <w:sz w:val="22"/>
        </w:rPr>
        <w:t>staff</w:t>
      </w:r>
      <w:r>
        <w:rPr>
          <w:spacing w:val="-8"/>
          <w:sz w:val="22"/>
        </w:rPr>
        <w:t> </w:t>
      </w:r>
      <w:r>
        <w:rPr>
          <w:spacing w:val="-2"/>
          <w:sz w:val="22"/>
        </w:rPr>
        <w:t>person.</w:t>
      </w:r>
    </w:p>
    <w:p>
      <w:pPr>
        <w:pStyle w:val="BodyText"/>
        <w:rPr>
          <w:sz w:val="20"/>
        </w:rPr>
      </w:pPr>
    </w:p>
    <w:p>
      <w:pPr>
        <w:pStyle w:val="BodyText"/>
        <w:spacing w:before="107"/>
        <w:rPr>
          <w:sz w:val="20"/>
        </w:rPr>
      </w:pPr>
      <w:r>
        <w:rPr/>
        <mc:AlternateContent>
          <mc:Choice Requires="wps">
            <w:drawing>
              <wp:anchor distT="0" distB="0" distL="0" distR="0" allowOverlap="1" layoutInCell="1" locked="0" behindDoc="1" simplePos="0" relativeHeight="487735296">
                <wp:simplePos x="0" y="0"/>
                <wp:positionH relativeFrom="page">
                  <wp:posOffset>889000</wp:posOffset>
                </wp:positionH>
                <wp:positionV relativeFrom="paragraph">
                  <wp:posOffset>238442</wp:posOffset>
                </wp:positionV>
                <wp:extent cx="6350" cy="12700"/>
                <wp:effectExtent l="0" t="0" r="0" b="0"/>
                <wp:wrapTopAndBottom/>
                <wp:docPr id="698" name="Graphic 698"/>
                <wp:cNvGraphicFramePr>
                  <a:graphicFrameLocks/>
                </wp:cNvGraphicFramePr>
                <a:graphic>
                  <a:graphicData uri="http://schemas.microsoft.com/office/word/2010/wordprocessingShape">
                    <wps:wsp>
                      <wps:cNvPr id="698" name="Graphic 698"/>
                      <wps:cNvSpPr/>
                      <wps:spPr>
                        <a:xfrm>
                          <a:off x="0" y="0"/>
                          <a:ext cx="6350" cy="12700"/>
                        </a:xfrm>
                        <a:custGeom>
                          <a:avLst/>
                          <a:gdLst/>
                          <a:ahLst/>
                          <a:cxnLst/>
                          <a:rect l="l" t="t" r="r" b="b"/>
                          <a:pathLst>
                            <a:path w="6350" h="12700">
                              <a:moveTo>
                                <a:pt x="6337" y="0"/>
                              </a:moveTo>
                              <a:lnTo>
                                <a:pt x="0" y="0"/>
                              </a:lnTo>
                              <a:lnTo>
                                <a:pt x="0" y="12191"/>
                              </a:lnTo>
                              <a:lnTo>
                                <a:pt x="6337" y="12191"/>
                              </a:lnTo>
                              <a:lnTo>
                                <a:pt x="6337" y="0"/>
                              </a:lnTo>
                              <a:close/>
                            </a:path>
                          </a:pathLst>
                        </a:custGeom>
                        <a:solidFill>
                          <a:srgbClr val="4F81BB"/>
                        </a:solidFill>
                      </wps:spPr>
                      <wps:bodyPr wrap="square" lIns="0" tIns="0" rIns="0" bIns="0" rtlCol="0">
                        <a:prstTxWarp prst="textNoShape">
                          <a:avLst/>
                        </a:prstTxWarp>
                        <a:noAutofit/>
                      </wps:bodyPr>
                    </wps:wsp>
                  </a:graphicData>
                </a:graphic>
              </wp:anchor>
            </w:drawing>
          </mc:Choice>
          <mc:Fallback>
            <w:pict>
              <v:rect style="position:absolute;margin-left:70pt;margin-top:18.774977pt;width:.499pt;height:.96pt;mso-position-horizontal-relative:page;mso-position-vertical-relative:paragraph;z-index:-15581184;mso-wrap-distance-left:0;mso-wrap-distance-right:0" id="docshape595" filled="true" fillcolor="#4f81bb" stroked="false">
                <v:fill type="solid"/>
                <w10:wrap type="topAndBottom"/>
              </v:rect>
            </w:pict>
          </mc:Fallback>
        </mc:AlternateContent>
      </w:r>
    </w:p>
    <w:p>
      <w:pPr>
        <w:spacing w:before="0"/>
        <w:ind w:left="483" w:right="0" w:firstLine="0"/>
        <w:jc w:val="left"/>
        <w:rPr>
          <w:sz w:val="28"/>
        </w:rPr>
      </w:pPr>
      <w:r>
        <w:rPr>
          <w:color w:val="365F91"/>
          <w:spacing w:val="-2"/>
          <w:sz w:val="28"/>
        </w:rPr>
        <w:t>Introduction</w:t>
      </w:r>
    </w:p>
    <w:p>
      <w:pPr>
        <w:pStyle w:val="BodyText"/>
        <w:spacing w:before="10"/>
        <w:rPr>
          <w:sz w:val="3"/>
        </w:rPr>
      </w:pPr>
      <w:r>
        <w:rPr/>
        <mc:AlternateContent>
          <mc:Choice Requires="wps">
            <w:drawing>
              <wp:anchor distT="0" distB="0" distL="0" distR="0" allowOverlap="1" layoutInCell="1" locked="0" behindDoc="1" simplePos="0" relativeHeight="487735808">
                <wp:simplePos x="0" y="0"/>
                <wp:positionH relativeFrom="page">
                  <wp:posOffset>897636</wp:posOffset>
                </wp:positionH>
                <wp:positionV relativeFrom="paragraph">
                  <wp:posOffset>45340</wp:posOffset>
                </wp:positionV>
                <wp:extent cx="5976620" cy="6350"/>
                <wp:effectExtent l="0" t="0" r="0" b="0"/>
                <wp:wrapTopAndBottom/>
                <wp:docPr id="699" name="Graphic 699"/>
                <wp:cNvGraphicFramePr>
                  <a:graphicFrameLocks/>
                </wp:cNvGraphicFramePr>
                <a:graphic>
                  <a:graphicData uri="http://schemas.microsoft.com/office/word/2010/wordprocessingShape">
                    <wps:wsp>
                      <wps:cNvPr id="699" name="Graphic 699"/>
                      <wps:cNvSpPr/>
                      <wps:spPr>
                        <a:xfrm>
                          <a:off x="0" y="0"/>
                          <a:ext cx="5976620" cy="6350"/>
                        </a:xfrm>
                        <a:custGeom>
                          <a:avLst/>
                          <a:gdLst/>
                          <a:ahLst/>
                          <a:cxnLst/>
                          <a:rect l="l" t="t" r="r" b="b"/>
                          <a:pathLst>
                            <a:path w="5976620" h="6350">
                              <a:moveTo>
                                <a:pt x="5976366" y="0"/>
                              </a:moveTo>
                              <a:lnTo>
                                <a:pt x="0" y="0"/>
                              </a:lnTo>
                              <a:lnTo>
                                <a:pt x="0" y="6108"/>
                              </a:lnTo>
                              <a:lnTo>
                                <a:pt x="5976366" y="6108"/>
                              </a:lnTo>
                              <a:lnTo>
                                <a:pt x="5976366" y="0"/>
                              </a:lnTo>
                              <a:close/>
                            </a:path>
                          </a:pathLst>
                        </a:custGeom>
                        <a:solidFill>
                          <a:srgbClr val="4F81BC"/>
                        </a:solidFill>
                      </wps:spPr>
                      <wps:bodyPr wrap="square" lIns="0" tIns="0" rIns="0" bIns="0" rtlCol="0">
                        <a:prstTxWarp prst="textNoShape">
                          <a:avLst/>
                        </a:prstTxWarp>
                        <a:noAutofit/>
                      </wps:bodyPr>
                    </wps:wsp>
                  </a:graphicData>
                </a:graphic>
              </wp:anchor>
            </w:drawing>
          </mc:Choice>
          <mc:Fallback>
            <w:pict>
              <v:rect style="position:absolute;margin-left:70.680pt;margin-top:3.570156pt;width:470.58pt;height:.481pt;mso-position-horizontal-relative:page;mso-position-vertical-relative:paragraph;z-index:-15580672;mso-wrap-distance-left:0;mso-wrap-distance-right:0" id="docshape596" filled="true" fillcolor="#4f81bc" stroked="false">
                <v:fill type="solid"/>
                <w10:wrap type="topAndBottom"/>
              </v:rect>
            </w:pict>
          </mc:Fallback>
        </mc:AlternateContent>
      </w:r>
    </w:p>
    <w:p>
      <w:pPr>
        <w:pStyle w:val="BodyText"/>
        <w:spacing w:line="276" w:lineRule="auto" w:before="241"/>
        <w:ind w:left="483" w:right="342"/>
        <w:jc w:val="both"/>
      </w:pPr>
      <w:r>
        <w:rPr/>
        <w:t>The</w:t>
      </w:r>
      <w:r>
        <w:rPr>
          <w:spacing w:val="-2"/>
        </w:rPr>
        <w:t> </w:t>
      </w:r>
      <w:r>
        <w:rPr/>
        <w:t>MassHire Department of</w:t>
      </w:r>
      <w:r>
        <w:rPr>
          <w:spacing w:val="-1"/>
        </w:rPr>
        <w:t> </w:t>
      </w:r>
      <w:r>
        <w:rPr/>
        <w:t>Career</w:t>
      </w:r>
      <w:r>
        <w:rPr>
          <w:spacing w:val="-1"/>
        </w:rPr>
        <w:t> </w:t>
      </w:r>
      <w:r>
        <w:rPr/>
        <w:t>Services</w:t>
      </w:r>
      <w:r>
        <w:rPr>
          <w:spacing w:val="-1"/>
        </w:rPr>
        <w:t> </w:t>
      </w:r>
      <w:r>
        <w:rPr/>
        <w:t>oversees</w:t>
      </w:r>
      <w:r>
        <w:rPr>
          <w:spacing w:val="-1"/>
        </w:rPr>
        <w:t> </w:t>
      </w:r>
      <w:r>
        <w:rPr/>
        <w:t>workforce</w:t>
      </w:r>
      <w:r>
        <w:rPr>
          <w:spacing w:val="-2"/>
        </w:rPr>
        <w:t> </w:t>
      </w:r>
      <w:r>
        <w:rPr/>
        <w:t>development</w:t>
      </w:r>
      <w:r>
        <w:rPr>
          <w:spacing w:val="-1"/>
        </w:rPr>
        <w:t> </w:t>
      </w:r>
      <w:r>
        <w:rPr/>
        <w:t>activities,</w:t>
      </w:r>
      <w:r>
        <w:rPr>
          <w:spacing w:val="-1"/>
        </w:rPr>
        <w:t> </w:t>
      </w:r>
      <w:r>
        <w:rPr/>
        <w:t>which</w:t>
      </w:r>
      <w:r>
        <w:rPr>
          <w:spacing w:val="-1"/>
        </w:rPr>
        <w:t> </w:t>
      </w:r>
      <w:r>
        <w:rPr/>
        <w:t>includes providing access to quality education, skills training, and employment opportunities for job seekers. Through its statewide network of 29 </w:t>
      </w:r>
      <w:hyperlink r:id="rId778">
        <w:r>
          <w:rPr>
            <w:color w:val="1153CC"/>
            <w:u w:val="single" w:color="1153CC"/>
          </w:rPr>
          <w:t>MassHire Career Centers</w:t>
        </w:r>
      </w:hyperlink>
      <w:r>
        <w:rPr>
          <w:color w:val="1153CC"/>
          <w:u w:val="none"/>
        </w:rPr>
        <w:t> </w:t>
      </w:r>
      <w:r>
        <w:rPr>
          <w:u w:val="none"/>
        </w:rPr>
        <w:t>and </w:t>
      </w:r>
      <w:hyperlink r:id="rId779">
        <w:r>
          <w:rPr>
            <w:color w:val="1153CC"/>
            <w:u w:val="single" w:color="1153CC"/>
          </w:rPr>
          <w:t>17 MassHire Workforce Boards</w:t>
        </w:r>
      </w:hyperlink>
      <w:hyperlink r:id="rId779">
        <w:r>
          <w:rPr>
            <w:u w:val="none"/>
          </w:rPr>
          <w:t>,</w:t>
        </w:r>
      </w:hyperlink>
      <w:r>
        <w:rPr>
          <w:u w:val="none"/>
        </w:rPr>
        <w:t> MassHire works to build connections between businesses and job seekers by helping residents and employers with resources, job matching, tax credit programs, and labor market information.</w:t>
      </w:r>
    </w:p>
    <w:p>
      <w:pPr>
        <w:pStyle w:val="BodyText"/>
        <w:spacing w:line="276" w:lineRule="auto" w:before="241"/>
        <w:ind w:left="483" w:right="341"/>
        <w:jc w:val="both"/>
      </w:pPr>
      <w:r>
        <w:rPr/>
        <w:t>Despite Massachusetts’ nondiscrimination protections, LGBTQ youth continue to experience systemic barriers</w:t>
      </w:r>
      <w:r>
        <w:rPr>
          <w:spacing w:val="-4"/>
        </w:rPr>
        <w:t> </w:t>
      </w:r>
      <w:r>
        <w:rPr/>
        <w:t>that</w:t>
      </w:r>
      <w:r>
        <w:rPr>
          <w:spacing w:val="-3"/>
        </w:rPr>
        <w:t> </w:t>
      </w:r>
      <w:r>
        <w:rPr/>
        <w:t>make</w:t>
      </w:r>
      <w:r>
        <w:rPr>
          <w:spacing w:val="-4"/>
        </w:rPr>
        <w:t> </w:t>
      </w:r>
      <w:r>
        <w:rPr/>
        <w:t>obtaining</w:t>
      </w:r>
      <w:r>
        <w:rPr>
          <w:spacing w:val="-4"/>
        </w:rPr>
        <w:t> </w:t>
      </w:r>
      <w:r>
        <w:rPr/>
        <w:t>employment</w:t>
      </w:r>
      <w:r>
        <w:rPr>
          <w:spacing w:val="-4"/>
        </w:rPr>
        <w:t> </w:t>
      </w:r>
      <w:r>
        <w:rPr/>
        <w:t>more</w:t>
      </w:r>
      <w:r>
        <w:rPr>
          <w:spacing w:val="-3"/>
        </w:rPr>
        <w:t> </w:t>
      </w:r>
      <w:r>
        <w:rPr/>
        <w:t>difficult,</w:t>
      </w:r>
      <w:r>
        <w:rPr>
          <w:spacing w:val="-4"/>
        </w:rPr>
        <w:t> </w:t>
      </w:r>
      <w:r>
        <w:rPr/>
        <w:t>including</w:t>
      </w:r>
      <w:r>
        <w:rPr>
          <w:spacing w:val="-3"/>
        </w:rPr>
        <w:t> </w:t>
      </w:r>
      <w:r>
        <w:rPr/>
        <w:t>discrimination,</w:t>
      </w:r>
      <w:r>
        <w:rPr>
          <w:spacing w:val="-4"/>
        </w:rPr>
        <w:t> </w:t>
      </w:r>
      <w:r>
        <w:rPr/>
        <w:t>low</w:t>
      </w:r>
      <w:r>
        <w:rPr>
          <w:spacing w:val="-4"/>
        </w:rPr>
        <w:t> </w:t>
      </w:r>
      <w:r>
        <w:rPr/>
        <w:t>wages,</w:t>
      </w:r>
      <w:r>
        <w:rPr>
          <w:spacing w:val="-4"/>
        </w:rPr>
        <w:t> </w:t>
      </w:r>
      <w:r>
        <w:rPr/>
        <w:t>and</w:t>
      </w:r>
      <w:r>
        <w:rPr>
          <w:spacing w:val="-4"/>
        </w:rPr>
        <w:t> </w:t>
      </w:r>
      <w:r>
        <w:rPr/>
        <w:t>lack</w:t>
      </w:r>
      <w:r>
        <w:rPr>
          <w:spacing w:val="-4"/>
        </w:rPr>
        <w:t> </w:t>
      </w:r>
      <w:r>
        <w:rPr/>
        <w:t>of appropriate professional development opportunities. Additionally, as discussed throughout this annual report, LGBTQ youth are more likely to experience housing insecurity or homelessness, unsafe educational environments, lack of proper identification documents (like social security cards with their chosen name), and involvement in the criminal legal system. QTBIPOC youth are more likely to attend unsafe</w:t>
      </w:r>
      <w:r>
        <w:rPr>
          <w:spacing w:val="-9"/>
        </w:rPr>
        <w:t> </w:t>
      </w:r>
      <w:r>
        <w:rPr/>
        <w:t>or</w:t>
      </w:r>
      <w:r>
        <w:rPr>
          <w:spacing w:val="-8"/>
        </w:rPr>
        <w:t> </w:t>
      </w:r>
      <w:r>
        <w:rPr/>
        <w:t>underserved</w:t>
      </w:r>
      <w:r>
        <w:rPr>
          <w:spacing w:val="-9"/>
        </w:rPr>
        <w:t> </w:t>
      </w:r>
      <w:r>
        <w:rPr/>
        <w:t>schools,</w:t>
      </w:r>
      <w:r>
        <w:rPr>
          <w:spacing w:val="-9"/>
        </w:rPr>
        <w:t> </w:t>
      </w:r>
      <w:r>
        <w:rPr/>
        <w:t>as</w:t>
      </w:r>
      <w:r>
        <w:rPr>
          <w:spacing w:val="-9"/>
        </w:rPr>
        <w:t> </w:t>
      </w:r>
      <w:r>
        <w:rPr/>
        <w:t>well</w:t>
      </w:r>
      <w:r>
        <w:rPr>
          <w:spacing w:val="-9"/>
        </w:rPr>
        <w:t> </w:t>
      </w:r>
      <w:r>
        <w:rPr/>
        <w:t>as</w:t>
      </w:r>
      <w:r>
        <w:rPr>
          <w:spacing w:val="-9"/>
        </w:rPr>
        <w:t> </w:t>
      </w:r>
      <w:r>
        <w:rPr/>
        <w:t>disproportionate</w:t>
      </w:r>
      <w:r>
        <w:rPr>
          <w:spacing w:val="-9"/>
        </w:rPr>
        <w:t> </w:t>
      </w:r>
      <w:r>
        <w:rPr/>
        <w:t>rates</w:t>
      </w:r>
      <w:r>
        <w:rPr>
          <w:spacing w:val="-9"/>
        </w:rPr>
        <w:t> </w:t>
      </w:r>
      <w:r>
        <w:rPr/>
        <w:t>of</w:t>
      </w:r>
      <w:r>
        <w:rPr>
          <w:spacing w:val="-9"/>
        </w:rPr>
        <w:t> </w:t>
      </w:r>
      <w:r>
        <w:rPr/>
        <w:t>school</w:t>
      </w:r>
      <w:r>
        <w:rPr>
          <w:spacing w:val="-9"/>
        </w:rPr>
        <w:t> </w:t>
      </w:r>
      <w:r>
        <w:rPr/>
        <w:t>suspensions</w:t>
      </w:r>
      <w:r>
        <w:rPr>
          <w:spacing w:val="-9"/>
        </w:rPr>
        <w:t> </w:t>
      </w:r>
      <w:r>
        <w:rPr/>
        <w:t>and</w:t>
      </w:r>
      <w:r>
        <w:rPr>
          <w:spacing w:val="-8"/>
        </w:rPr>
        <w:t> </w:t>
      </w:r>
      <w:r>
        <w:rPr/>
        <w:t>arrests,</w:t>
      </w:r>
      <w:r>
        <w:rPr>
          <w:spacing w:val="-9"/>
        </w:rPr>
        <w:t> </w:t>
      </w:r>
      <w:r>
        <w:rPr/>
        <w:t>which put them at a distinct disadvantage when entering the workforce. It is essential to note that QTBIPOC youth face the additional burdens of social stigma and discrimination on the basis of race, ethnicity, and language.</w:t>
      </w:r>
      <w:hyperlink w:history="true" w:anchor="_bookmark658">
        <w:r>
          <w:rPr>
            <w:vertAlign w:val="superscript"/>
          </w:rPr>
          <w:t>1</w:t>
        </w:r>
      </w:hyperlink>
      <w:r>
        <w:rPr>
          <w:vertAlign w:val="baseline"/>
        </w:rPr>
        <w:t> Furthermore, QTBIPOC adults have significantly higher rates of unemployment than the national</w:t>
      </w:r>
      <w:r>
        <w:rPr>
          <w:spacing w:val="-3"/>
          <w:vertAlign w:val="baseline"/>
        </w:rPr>
        <w:t> </w:t>
      </w:r>
      <w:r>
        <w:rPr>
          <w:vertAlign w:val="baseline"/>
        </w:rPr>
        <w:t>average,</w:t>
      </w:r>
      <w:r>
        <w:rPr>
          <w:spacing w:val="-3"/>
          <w:vertAlign w:val="baseline"/>
        </w:rPr>
        <w:t> </w:t>
      </w:r>
      <w:r>
        <w:rPr>
          <w:vertAlign w:val="baseline"/>
        </w:rPr>
        <w:t>suggesting</w:t>
      </w:r>
      <w:r>
        <w:rPr>
          <w:spacing w:val="-2"/>
          <w:vertAlign w:val="baseline"/>
        </w:rPr>
        <w:t> </w:t>
      </w:r>
      <w:r>
        <w:rPr>
          <w:vertAlign w:val="baseline"/>
        </w:rPr>
        <w:t>that</w:t>
      </w:r>
      <w:r>
        <w:rPr>
          <w:spacing w:val="-1"/>
          <w:vertAlign w:val="baseline"/>
        </w:rPr>
        <w:t> </w:t>
      </w:r>
      <w:r>
        <w:rPr>
          <w:vertAlign w:val="baseline"/>
        </w:rPr>
        <w:t>the</w:t>
      </w:r>
      <w:r>
        <w:rPr>
          <w:spacing w:val="-2"/>
          <w:vertAlign w:val="baseline"/>
        </w:rPr>
        <w:t> </w:t>
      </w:r>
      <w:r>
        <w:rPr>
          <w:vertAlign w:val="baseline"/>
        </w:rPr>
        <w:t>obstacles</w:t>
      </w:r>
      <w:r>
        <w:rPr>
          <w:spacing w:val="-1"/>
          <w:vertAlign w:val="baseline"/>
        </w:rPr>
        <w:t> </w:t>
      </w:r>
      <w:r>
        <w:rPr>
          <w:vertAlign w:val="baseline"/>
        </w:rPr>
        <w:t>QTBIPOC</w:t>
      </w:r>
      <w:r>
        <w:rPr>
          <w:spacing w:val="-2"/>
          <w:vertAlign w:val="baseline"/>
        </w:rPr>
        <w:t> </w:t>
      </w:r>
      <w:r>
        <w:rPr>
          <w:vertAlign w:val="baseline"/>
        </w:rPr>
        <w:t>youth</w:t>
      </w:r>
      <w:r>
        <w:rPr>
          <w:spacing w:val="-2"/>
          <w:vertAlign w:val="baseline"/>
        </w:rPr>
        <w:t> </w:t>
      </w:r>
      <w:r>
        <w:rPr>
          <w:vertAlign w:val="baseline"/>
        </w:rPr>
        <w:t>face</w:t>
      </w:r>
      <w:r>
        <w:rPr>
          <w:spacing w:val="-2"/>
          <w:vertAlign w:val="baseline"/>
        </w:rPr>
        <w:t> </w:t>
      </w:r>
      <w:r>
        <w:rPr>
          <w:vertAlign w:val="baseline"/>
        </w:rPr>
        <w:t>continue to</w:t>
      </w:r>
      <w:r>
        <w:rPr>
          <w:spacing w:val="-2"/>
          <w:vertAlign w:val="baseline"/>
        </w:rPr>
        <w:t> </w:t>
      </w:r>
      <w:r>
        <w:rPr>
          <w:vertAlign w:val="baseline"/>
        </w:rPr>
        <w:t>follow</w:t>
      </w:r>
      <w:r>
        <w:rPr>
          <w:spacing w:val="-3"/>
          <w:vertAlign w:val="baseline"/>
        </w:rPr>
        <w:t> </w:t>
      </w:r>
      <w:r>
        <w:rPr>
          <w:vertAlign w:val="baseline"/>
        </w:rPr>
        <w:t>them</w:t>
      </w:r>
      <w:r>
        <w:rPr>
          <w:spacing w:val="-2"/>
          <w:vertAlign w:val="baseline"/>
        </w:rPr>
        <w:t> </w:t>
      </w:r>
      <w:r>
        <w:rPr>
          <w:vertAlign w:val="baseline"/>
        </w:rPr>
        <w:t>throughout their lifespans</w:t>
      </w:r>
      <w:hyperlink w:history="true" w:anchor="_bookmark659">
        <w:r>
          <w:rPr>
            <w:vertAlign w:val="baseline"/>
          </w:rPr>
          <w:t>.</w:t>
        </w:r>
        <w:r>
          <w:rPr>
            <w:vertAlign w:val="superscript"/>
          </w:rPr>
          <w:t>2</w:t>
        </w:r>
      </w:hyperlink>
    </w:p>
    <w:p>
      <w:pPr>
        <w:spacing w:before="238"/>
        <w:ind w:left="483" w:right="0" w:firstLine="0"/>
        <w:jc w:val="both"/>
        <w:rPr>
          <w:sz w:val="24"/>
        </w:rPr>
      </w:pPr>
      <w:r>
        <w:rPr>
          <w:color w:val="365F91"/>
          <w:sz w:val="24"/>
        </w:rPr>
        <w:t>Past</w:t>
      </w:r>
      <w:r>
        <w:rPr>
          <w:color w:val="365F91"/>
          <w:spacing w:val="-5"/>
          <w:sz w:val="24"/>
        </w:rPr>
        <w:t> </w:t>
      </w:r>
      <w:r>
        <w:rPr>
          <w:color w:val="365F91"/>
          <w:sz w:val="24"/>
        </w:rPr>
        <w:t>&amp;</w:t>
      </w:r>
      <w:r>
        <w:rPr>
          <w:color w:val="365F91"/>
          <w:spacing w:val="-1"/>
          <w:sz w:val="24"/>
        </w:rPr>
        <w:t> </w:t>
      </w:r>
      <w:r>
        <w:rPr>
          <w:color w:val="365F91"/>
          <w:sz w:val="24"/>
        </w:rPr>
        <w:t>Ongoing</w:t>
      </w:r>
      <w:r>
        <w:rPr>
          <w:color w:val="365F91"/>
          <w:spacing w:val="-2"/>
          <w:sz w:val="24"/>
        </w:rPr>
        <w:t> </w:t>
      </w:r>
      <w:r>
        <w:rPr>
          <w:color w:val="365F91"/>
          <w:spacing w:val="-4"/>
          <w:sz w:val="24"/>
        </w:rPr>
        <w:t>Work</w:t>
      </w:r>
    </w:p>
    <w:p>
      <w:pPr>
        <w:pStyle w:val="BodyText"/>
        <w:spacing w:line="276" w:lineRule="auto" w:before="285"/>
        <w:ind w:left="483" w:right="343"/>
        <w:jc w:val="both"/>
      </w:pPr>
      <w:r>
        <w:rPr/>
        <w:t>Since</w:t>
      </w:r>
      <w:r>
        <w:rPr>
          <w:spacing w:val="-5"/>
        </w:rPr>
        <w:t> </w:t>
      </w:r>
      <w:r>
        <w:rPr/>
        <w:t>the</w:t>
      </w:r>
      <w:r>
        <w:rPr>
          <w:spacing w:val="-7"/>
        </w:rPr>
        <w:t> </w:t>
      </w:r>
      <w:r>
        <w:rPr/>
        <w:t>Commission</w:t>
      </w:r>
      <w:r>
        <w:rPr>
          <w:spacing w:val="-7"/>
        </w:rPr>
        <w:t> </w:t>
      </w:r>
      <w:r>
        <w:rPr/>
        <w:t>has</w:t>
      </w:r>
      <w:r>
        <w:rPr>
          <w:spacing w:val="-5"/>
        </w:rPr>
        <w:t> </w:t>
      </w:r>
      <w:r>
        <w:rPr/>
        <w:t>begun</w:t>
      </w:r>
      <w:r>
        <w:rPr>
          <w:spacing w:val="-7"/>
        </w:rPr>
        <w:t> </w:t>
      </w:r>
      <w:r>
        <w:rPr/>
        <w:t>working</w:t>
      </w:r>
      <w:r>
        <w:rPr>
          <w:spacing w:val="-7"/>
        </w:rPr>
        <w:t> </w:t>
      </w:r>
      <w:r>
        <w:rPr/>
        <w:t>with</w:t>
      </w:r>
      <w:r>
        <w:rPr>
          <w:spacing w:val="-7"/>
        </w:rPr>
        <w:t> </w:t>
      </w:r>
      <w:r>
        <w:rPr/>
        <w:t>MassHire,</w:t>
      </w:r>
      <w:r>
        <w:rPr>
          <w:spacing w:val="-6"/>
        </w:rPr>
        <w:t> </w:t>
      </w:r>
      <w:r>
        <w:rPr/>
        <w:t>the</w:t>
      </w:r>
      <w:r>
        <w:rPr>
          <w:spacing w:val="-5"/>
        </w:rPr>
        <w:t> </w:t>
      </w:r>
      <w:r>
        <w:rPr/>
        <w:t>agency</w:t>
      </w:r>
      <w:r>
        <w:rPr>
          <w:spacing w:val="-6"/>
        </w:rPr>
        <w:t> </w:t>
      </w:r>
      <w:r>
        <w:rPr/>
        <w:t>has</w:t>
      </w:r>
      <w:r>
        <w:rPr>
          <w:spacing w:val="-5"/>
        </w:rPr>
        <w:t> </w:t>
      </w:r>
      <w:r>
        <w:rPr/>
        <w:t>made</w:t>
      </w:r>
      <w:r>
        <w:rPr>
          <w:spacing w:val="-5"/>
        </w:rPr>
        <w:t> </w:t>
      </w:r>
      <w:r>
        <w:rPr/>
        <w:t>commendable</w:t>
      </w:r>
      <w:r>
        <w:rPr>
          <w:spacing w:val="-7"/>
        </w:rPr>
        <w:t> </w:t>
      </w:r>
      <w:r>
        <w:rPr/>
        <w:t>progress</w:t>
      </w:r>
      <w:r>
        <w:rPr>
          <w:spacing w:val="-6"/>
        </w:rPr>
        <w:t> </w:t>
      </w:r>
      <w:r>
        <w:rPr/>
        <w:t>in a few areas of the Commission’s recommendations. In 2021, MassHire updated its intake and data collection procedures to include a nonbinary gender marker, and further allows clients to self-select whether they had registered with the selective service (more colloquially known as the military draft),</w:t>
      </w:r>
    </w:p>
    <w:p>
      <w:pPr>
        <w:spacing w:after="0" w:line="276" w:lineRule="auto"/>
        <w:jc w:val="both"/>
        <w:sectPr>
          <w:headerReference w:type="default" r:id="rId776"/>
          <w:footerReference w:type="default" r:id="rId777"/>
          <w:pgSz w:w="12240" w:h="15840"/>
          <w:pgMar w:header="805" w:footer="1263" w:top="1000" w:bottom="1460" w:left="960" w:right="1100"/>
        </w:sectPr>
      </w:pPr>
    </w:p>
    <w:p>
      <w:pPr>
        <w:pStyle w:val="BodyText"/>
        <w:spacing w:before="97"/>
      </w:pPr>
    </w:p>
    <w:p>
      <w:pPr>
        <w:pStyle w:val="BodyText"/>
        <w:spacing w:line="276" w:lineRule="auto"/>
        <w:ind w:left="483"/>
      </w:pPr>
      <w:r>
        <w:rPr/>
        <w:t>which</w:t>
      </w:r>
      <w:r>
        <w:rPr>
          <w:spacing w:val="40"/>
        </w:rPr>
        <w:t> </w:t>
      </w:r>
      <w:r>
        <w:rPr/>
        <w:t>is</w:t>
      </w:r>
      <w:r>
        <w:rPr>
          <w:spacing w:val="40"/>
        </w:rPr>
        <w:t> </w:t>
      </w:r>
      <w:r>
        <w:rPr/>
        <w:t>a</w:t>
      </w:r>
      <w:r>
        <w:rPr>
          <w:spacing w:val="40"/>
        </w:rPr>
        <w:t> </w:t>
      </w:r>
      <w:r>
        <w:rPr/>
        <w:t>federal</w:t>
      </w:r>
      <w:r>
        <w:rPr>
          <w:spacing w:val="40"/>
        </w:rPr>
        <w:t> </w:t>
      </w:r>
      <w:r>
        <w:rPr/>
        <w:t>requirement</w:t>
      </w:r>
      <w:r>
        <w:rPr>
          <w:spacing w:val="40"/>
        </w:rPr>
        <w:t> </w:t>
      </w:r>
      <w:r>
        <w:rPr/>
        <w:t>only</w:t>
      </w:r>
      <w:r>
        <w:rPr>
          <w:spacing w:val="40"/>
        </w:rPr>
        <w:t> </w:t>
      </w:r>
      <w:r>
        <w:rPr/>
        <w:t>for</w:t>
      </w:r>
      <w:r>
        <w:rPr>
          <w:spacing w:val="40"/>
        </w:rPr>
        <w:t> </w:t>
      </w:r>
      <w:r>
        <w:rPr/>
        <w:t>those</w:t>
      </w:r>
      <w:r>
        <w:rPr>
          <w:spacing w:val="40"/>
        </w:rPr>
        <w:t> </w:t>
      </w:r>
      <w:r>
        <w:rPr/>
        <w:t>assigned-male-at-birth.</w:t>
      </w:r>
      <w:r>
        <w:rPr>
          <w:spacing w:val="40"/>
        </w:rPr>
        <w:t> </w:t>
      </w:r>
      <w:r>
        <w:rPr/>
        <w:t>Additionally,</w:t>
      </w:r>
      <w:r>
        <w:rPr>
          <w:spacing w:val="40"/>
        </w:rPr>
        <w:t> </w:t>
      </w:r>
      <w:r>
        <w:rPr/>
        <w:t>the</w:t>
      </w:r>
      <w:r>
        <w:rPr>
          <w:spacing w:val="40"/>
        </w:rPr>
        <w:t> </w:t>
      </w:r>
      <w:r>
        <w:rPr/>
        <w:t>Commission worked with MassHire in 2017 to update and revise its nondiscrimination policy to be LGBTQ-inclusive.</w:t>
      </w:r>
    </w:p>
    <w:p>
      <w:pPr>
        <w:pStyle w:val="BodyText"/>
      </w:pPr>
    </w:p>
    <w:p>
      <w:pPr>
        <w:pStyle w:val="BodyText"/>
        <w:spacing w:before="62"/>
      </w:pPr>
    </w:p>
    <w:p>
      <w:pPr>
        <w:spacing w:before="0"/>
        <w:ind w:left="483" w:right="0" w:firstLine="0"/>
        <w:jc w:val="left"/>
        <w:rPr>
          <w:sz w:val="28"/>
        </w:rPr>
      </w:pPr>
      <w:r>
        <w:rPr>
          <w:color w:val="365F91"/>
          <w:sz w:val="28"/>
        </w:rPr>
        <w:t>FY</w:t>
      </w:r>
      <w:r>
        <w:rPr>
          <w:color w:val="365F91"/>
          <w:spacing w:val="-11"/>
          <w:sz w:val="28"/>
        </w:rPr>
        <w:t> </w:t>
      </w:r>
      <w:r>
        <w:rPr>
          <w:color w:val="365F91"/>
          <w:sz w:val="28"/>
        </w:rPr>
        <w:t>2025</w:t>
      </w:r>
      <w:r>
        <w:rPr>
          <w:color w:val="365F91"/>
          <w:spacing w:val="-11"/>
          <w:sz w:val="28"/>
        </w:rPr>
        <w:t> </w:t>
      </w:r>
      <w:r>
        <w:rPr>
          <w:color w:val="365F91"/>
          <w:sz w:val="28"/>
        </w:rPr>
        <w:t>Expanded</w:t>
      </w:r>
      <w:r>
        <w:rPr>
          <w:color w:val="365F91"/>
          <w:spacing w:val="-11"/>
          <w:sz w:val="28"/>
        </w:rPr>
        <w:t> </w:t>
      </w:r>
      <w:r>
        <w:rPr>
          <w:color w:val="365F91"/>
          <w:sz w:val="28"/>
        </w:rPr>
        <w:t>MassHire</w:t>
      </w:r>
      <w:r>
        <w:rPr>
          <w:color w:val="365F91"/>
          <w:spacing w:val="-11"/>
          <w:sz w:val="28"/>
        </w:rPr>
        <w:t> </w:t>
      </w:r>
      <w:r>
        <w:rPr>
          <w:color w:val="365F91"/>
          <w:spacing w:val="-2"/>
          <w:sz w:val="28"/>
        </w:rPr>
        <w:t>Recommendations</w:t>
      </w:r>
    </w:p>
    <w:p>
      <w:pPr>
        <w:pStyle w:val="BodyText"/>
        <w:spacing w:before="9"/>
        <w:rPr>
          <w:sz w:val="3"/>
        </w:rPr>
      </w:pPr>
      <w:r>
        <w:rPr/>
        <mc:AlternateContent>
          <mc:Choice Requires="wps">
            <w:drawing>
              <wp:anchor distT="0" distB="0" distL="0" distR="0" allowOverlap="1" layoutInCell="1" locked="0" behindDoc="1" simplePos="0" relativeHeight="487736320">
                <wp:simplePos x="0" y="0"/>
                <wp:positionH relativeFrom="page">
                  <wp:posOffset>897636</wp:posOffset>
                </wp:positionH>
                <wp:positionV relativeFrom="paragraph">
                  <wp:posOffset>44807</wp:posOffset>
                </wp:positionV>
                <wp:extent cx="5976620" cy="6350"/>
                <wp:effectExtent l="0" t="0" r="0" b="0"/>
                <wp:wrapTopAndBottom/>
                <wp:docPr id="700" name="Graphic 700"/>
                <wp:cNvGraphicFramePr>
                  <a:graphicFrameLocks/>
                </wp:cNvGraphicFramePr>
                <a:graphic>
                  <a:graphicData uri="http://schemas.microsoft.com/office/word/2010/wordprocessingShape">
                    <wps:wsp>
                      <wps:cNvPr id="700" name="Graphic 700"/>
                      <wps:cNvSpPr/>
                      <wps:spPr>
                        <a:xfrm>
                          <a:off x="0" y="0"/>
                          <a:ext cx="5976620" cy="6350"/>
                        </a:xfrm>
                        <a:custGeom>
                          <a:avLst/>
                          <a:gdLst/>
                          <a:ahLst/>
                          <a:cxnLst/>
                          <a:rect l="l" t="t" r="r" b="b"/>
                          <a:pathLst>
                            <a:path w="5976620" h="6350">
                              <a:moveTo>
                                <a:pt x="5976366" y="0"/>
                              </a:moveTo>
                              <a:lnTo>
                                <a:pt x="0" y="0"/>
                              </a:lnTo>
                              <a:lnTo>
                                <a:pt x="0" y="6096"/>
                              </a:lnTo>
                              <a:lnTo>
                                <a:pt x="5976366" y="6096"/>
                              </a:lnTo>
                              <a:lnTo>
                                <a:pt x="5976366" y="0"/>
                              </a:lnTo>
                              <a:close/>
                            </a:path>
                          </a:pathLst>
                        </a:custGeom>
                        <a:solidFill>
                          <a:srgbClr val="4F81BC"/>
                        </a:solidFill>
                      </wps:spPr>
                      <wps:bodyPr wrap="square" lIns="0" tIns="0" rIns="0" bIns="0" rtlCol="0">
                        <a:prstTxWarp prst="textNoShape">
                          <a:avLst/>
                        </a:prstTxWarp>
                        <a:noAutofit/>
                      </wps:bodyPr>
                    </wps:wsp>
                  </a:graphicData>
                </a:graphic>
              </wp:anchor>
            </w:drawing>
          </mc:Choice>
          <mc:Fallback>
            <w:pict>
              <v:rect style="position:absolute;margin-left:70.680pt;margin-top:3.528164pt;width:470.58pt;height:.48pt;mso-position-horizontal-relative:page;mso-position-vertical-relative:paragraph;z-index:-15580160;mso-wrap-distance-left:0;mso-wrap-distance-right:0" id="docshape597" filled="true" fillcolor="#4f81bc" stroked="false">
                <v:fill type="solid"/>
                <w10:wrap type="topAndBottom"/>
              </v:rect>
            </w:pict>
          </mc:Fallback>
        </mc:AlternateContent>
      </w:r>
    </w:p>
    <w:p>
      <w:pPr>
        <w:numPr>
          <w:ilvl w:val="0"/>
          <w:numId w:val="49"/>
        </w:numPr>
        <w:tabs>
          <w:tab w:pos="481" w:val="left" w:leader="none"/>
        </w:tabs>
        <w:spacing w:before="241"/>
        <w:ind w:left="481" w:right="0" w:hanging="358"/>
        <w:jc w:val="left"/>
        <w:rPr>
          <w:b/>
          <w:sz w:val="22"/>
        </w:rPr>
      </w:pPr>
      <w:r>
        <w:rPr>
          <w:b/>
          <w:sz w:val="22"/>
        </w:rPr>
        <w:t>Promote</w:t>
      </w:r>
      <w:r>
        <w:rPr>
          <w:b/>
          <w:spacing w:val="-9"/>
          <w:sz w:val="22"/>
        </w:rPr>
        <w:t> </w:t>
      </w:r>
      <w:r>
        <w:rPr>
          <w:b/>
          <w:sz w:val="22"/>
        </w:rPr>
        <w:t>job</w:t>
      </w:r>
      <w:r>
        <w:rPr>
          <w:b/>
          <w:spacing w:val="-8"/>
          <w:sz w:val="22"/>
        </w:rPr>
        <w:t> </w:t>
      </w:r>
      <w:r>
        <w:rPr>
          <w:b/>
          <w:sz w:val="22"/>
        </w:rPr>
        <w:t>opportunities</w:t>
      </w:r>
      <w:r>
        <w:rPr>
          <w:b/>
          <w:spacing w:val="-9"/>
          <w:sz w:val="22"/>
        </w:rPr>
        <w:t> </w:t>
      </w:r>
      <w:r>
        <w:rPr>
          <w:b/>
          <w:sz w:val="22"/>
        </w:rPr>
        <w:t>to</w:t>
      </w:r>
      <w:r>
        <w:rPr>
          <w:b/>
          <w:spacing w:val="-8"/>
          <w:sz w:val="22"/>
        </w:rPr>
        <w:t> </w:t>
      </w:r>
      <w:r>
        <w:rPr>
          <w:b/>
          <w:sz w:val="22"/>
        </w:rPr>
        <w:t>LGBTQ</w:t>
      </w:r>
      <w:r>
        <w:rPr>
          <w:b/>
          <w:spacing w:val="-8"/>
          <w:sz w:val="22"/>
        </w:rPr>
        <w:t> </w:t>
      </w:r>
      <w:r>
        <w:rPr>
          <w:b/>
          <w:spacing w:val="-2"/>
          <w:sz w:val="22"/>
        </w:rPr>
        <w:t>youth.</w:t>
      </w:r>
    </w:p>
    <w:p>
      <w:pPr>
        <w:pStyle w:val="BodyText"/>
        <w:spacing w:before="13"/>
        <w:rPr>
          <w:b/>
        </w:rPr>
      </w:pPr>
    </w:p>
    <w:p>
      <w:pPr>
        <w:pStyle w:val="BodyText"/>
        <w:spacing w:line="276" w:lineRule="auto"/>
        <w:ind w:left="483" w:right="342"/>
        <w:jc w:val="both"/>
      </w:pPr>
      <w:r>
        <w:rPr/>
        <w:t>In the fall of 2023, the Safe Schools Program and Commission staff hosted a panel for LGBTQ youth on being ‘out’ in the workplace and career readiness. One of the standout questions that staff members received</w:t>
      </w:r>
      <w:r>
        <w:rPr>
          <w:spacing w:val="-2"/>
        </w:rPr>
        <w:t> </w:t>
      </w:r>
      <w:r>
        <w:rPr/>
        <w:t>was how</w:t>
      </w:r>
      <w:r>
        <w:rPr>
          <w:spacing w:val="-3"/>
        </w:rPr>
        <w:t> </w:t>
      </w:r>
      <w:r>
        <w:rPr/>
        <w:t>they</w:t>
      </w:r>
      <w:r>
        <w:rPr>
          <w:spacing w:val="-2"/>
        </w:rPr>
        <w:t> </w:t>
      </w:r>
      <w:r>
        <w:rPr/>
        <w:t>found</w:t>
      </w:r>
      <w:r>
        <w:rPr>
          <w:spacing w:val="-2"/>
        </w:rPr>
        <w:t> </w:t>
      </w:r>
      <w:r>
        <w:rPr/>
        <w:t>LGBTQ-inclusive</w:t>
      </w:r>
      <w:r>
        <w:rPr>
          <w:spacing w:val="-3"/>
        </w:rPr>
        <w:t> </w:t>
      </w:r>
      <w:r>
        <w:rPr/>
        <w:t>jobs,</w:t>
      </w:r>
      <w:r>
        <w:rPr>
          <w:spacing w:val="-3"/>
        </w:rPr>
        <w:t> </w:t>
      </w:r>
      <w:r>
        <w:rPr/>
        <w:t>and</w:t>
      </w:r>
      <w:r>
        <w:rPr>
          <w:spacing w:val="-2"/>
        </w:rPr>
        <w:t> </w:t>
      </w:r>
      <w:r>
        <w:rPr/>
        <w:t>whether</w:t>
      </w:r>
      <w:r>
        <w:rPr>
          <w:spacing w:val="-1"/>
        </w:rPr>
        <w:t> </w:t>
      </w:r>
      <w:r>
        <w:rPr/>
        <w:t>they</w:t>
      </w:r>
      <w:r>
        <w:rPr>
          <w:spacing w:val="-1"/>
        </w:rPr>
        <w:t> </w:t>
      </w:r>
      <w:r>
        <w:rPr/>
        <w:t>had</w:t>
      </w:r>
      <w:r>
        <w:rPr>
          <w:spacing w:val="-1"/>
        </w:rPr>
        <w:t> </w:t>
      </w:r>
      <w:r>
        <w:rPr/>
        <w:t>experienced</w:t>
      </w:r>
      <w:r>
        <w:rPr>
          <w:spacing w:val="-2"/>
        </w:rPr>
        <w:t> </w:t>
      </w:r>
      <w:r>
        <w:rPr/>
        <w:t>discrimination</w:t>
      </w:r>
      <w:r>
        <w:rPr>
          <w:spacing w:val="-2"/>
        </w:rPr>
        <w:t> </w:t>
      </w:r>
      <w:r>
        <w:rPr/>
        <w:t>at work in the last several years.</w:t>
      </w:r>
    </w:p>
    <w:p>
      <w:pPr>
        <w:pStyle w:val="BodyText"/>
        <w:spacing w:line="276" w:lineRule="auto" w:before="239"/>
        <w:ind w:left="483" w:right="340"/>
        <w:jc w:val="both"/>
      </w:pPr>
      <w:r>
        <w:rPr/>
        <w:t>Overwhelmingly, LGBTQ youth are beginning to make up large factions of the workforce as nearly a quarter of youth identify within the LGBTQ communities. However, dedicated resources to promoting LGBTQ-inclusive</w:t>
      </w:r>
      <w:r>
        <w:rPr>
          <w:spacing w:val="-13"/>
        </w:rPr>
        <w:t> </w:t>
      </w:r>
      <w:r>
        <w:rPr/>
        <w:t>job</w:t>
      </w:r>
      <w:r>
        <w:rPr>
          <w:spacing w:val="-12"/>
        </w:rPr>
        <w:t> </w:t>
      </w:r>
      <w:r>
        <w:rPr/>
        <w:t>opportunities</w:t>
      </w:r>
      <w:r>
        <w:rPr>
          <w:spacing w:val="-12"/>
        </w:rPr>
        <w:t> </w:t>
      </w:r>
      <w:r>
        <w:rPr/>
        <w:t>are</w:t>
      </w:r>
      <w:r>
        <w:rPr>
          <w:spacing w:val="-13"/>
        </w:rPr>
        <w:t> </w:t>
      </w:r>
      <w:r>
        <w:rPr/>
        <w:t>scarce,</w:t>
      </w:r>
      <w:r>
        <w:rPr>
          <w:spacing w:val="-11"/>
        </w:rPr>
        <w:t> </w:t>
      </w:r>
      <w:r>
        <w:rPr/>
        <w:t>and</w:t>
      </w:r>
      <w:r>
        <w:rPr>
          <w:spacing w:val="-13"/>
        </w:rPr>
        <w:t> </w:t>
      </w:r>
      <w:r>
        <w:rPr/>
        <w:t>few</w:t>
      </w:r>
      <w:r>
        <w:rPr>
          <w:spacing w:val="-10"/>
        </w:rPr>
        <w:t> </w:t>
      </w:r>
      <w:r>
        <w:rPr/>
        <w:t>companies</w:t>
      </w:r>
      <w:r>
        <w:rPr>
          <w:spacing w:val="-11"/>
        </w:rPr>
        <w:t> </w:t>
      </w:r>
      <w:r>
        <w:rPr/>
        <w:t>make</w:t>
      </w:r>
      <w:r>
        <w:rPr>
          <w:spacing w:val="-12"/>
        </w:rPr>
        <w:t> </w:t>
      </w:r>
      <w:r>
        <w:rPr/>
        <w:t>clear</w:t>
      </w:r>
      <w:r>
        <w:rPr>
          <w:spacing w:val="-12"/>
        </w:rPr>
        <w:t> </w:t>
      </w:r>
      <w:r>
        <w:rPr/>
        <w:t>their</w:t>
      </w:r>
      <w:r>
        <w:rPr>
          <w:spacing w:val="-12"/>
        </w:rPr>
        <w:t> </w:t>
      </w:r>
      <w:r>
        <w:rPr/>
        <w:t>dedication</w:t>
      </w:r>
      <w:r>
        <w:rPr>
          <w:spacing w:val="-12"/>
        </w:rPr>
        <w:t> </w:t>
      </w:r>
      <w:r>
        <w:rPr/>
        <w:t>to</w:t>
      </w:r>
      <w:r>
        <w:rPr>
          <w:spacing w:val="-12"/>
        </w:rPr>
        <w:t> </w:t>
      </w:r>
      <w:r>
        <w:rPr/>
        <w:t>providing a</w:t>
      </w:r>
      <w:r>
        <w:rPr>
          <w:spacing w:val="-4"/>
        </w:rPr>
        <w:t> </w:t>
      </w:r>
      <w:r>
        <w:rPr/>
        <w:t>safe</w:t>
      </w:r>
      <w:r>
        <w:rPr>
          <w:spacing w:val="-4"/>
        </w:rPr>
        <w:t> </w:t>
      </w:r>
      <w:r>
        <w:rPr/>
        <w:t>and</w:t>
      </w:r>
      <w:r>
        <w:rPr>
          <w:spacing w:val="-3"/>
        </w:rPr>
        <w:t> </w:t>
      </w:r>
      <w:r>
        <w:rPr/>
        <w:t>inclusive</w:t>
      </w:r>
      <w:r>
        <w:rPr>
          <w:spacing w:val="-4"/>
        </w:rPr>
        <w:t> </w:t>
      </w:r>
      <w:r>
        <w:rPr/>
        <w:t>work</w:t>
      </w:r>
      <w:r>
        <w:rPr>
          <w:spacing w:val="-3"/>
        </w:rPr>
        <w:t> </w:t>
      </w:r>
      <w:r>
        <w:rPr/>
        <w:t>environment.</w:t>
      </w:r>
      <w:r>
        <w:rPr>
          <w:spacing w:val="-2"/>
        </w:rPr>
        <w:t> </w:t>
      </w:r>
      <w:r>
        <w:rPr/>
        <w:t>As</w:t>
      </w:r>
      <w:r>
        <w:rPr>
          <w:spacing w:val="-4"/>
        </w:rPr>
        <w:t> </w:t>
      </w:r>
      <w:r>
        <w:rPr/>
        <w:t>MassHire</w:t>
      </w:r>
      <w:r>
        <w:rPr>
          <w:spacing w:val="-3"/>
        </w:rPr>
        <w:t> </w:t>
      </w:r>
      <w:r>
        <w:rPr/>
        <w:t>connects</w:t>
      </w:r>
      <w:r>
        <w:rPr>
          <w:spacing w:val="-2"/>
        </w:rPr>
        <w:t> </w:t>
      </w:r>
      <w:r>
        <w:rPr/>
        <w:t>LGBTQ</w:t>
      </w:r>
      <w:r>
        <w:rPr>
          <w:spacing w:val="-3"/>
        </w:rPr>
        <w:t> </w:t>
      </w:r>
      <w:r>
        <w:rPr/>
        <w:t>youth</w:t>
      </w:r>
      <w:r>
        <w:rPr>
          <w:spacing w:val="-3"/>
        </w:rPr>
        <w:t> </w:t>
      </w:r>
      <w:r>
        <w:rPr/>
        <w:t>to</w:t>
      </w:r>
      <w:r>
        <w:rPr>
          <w:spacing w:val="-2"/>
        </w:rPr>
        <w:t> </w:t>
      </w:r>
      <w:r>
        <w:rPr/>
        <w:t>jobs</w:t>
      </w:r>
      <w:r>
        <w:rPr>
          <w:spacing w:val="-4"/>
        </w:rPr>
        <w:t> </w:t>
      </w:r>
      <w:r>
        <w:rPr/>
        <w:t>and</w:t>
      </w:r>
      <w:r>
        <w:rPr>
          <w:spacing w:val="-3"/>
        </w:rPr>
        <w:t> </w:t>
      </w:r>
      <w:r>
        <w:rPr/>
        <w:t>career</w:t>
      </w:r>
      <w:r>
        <w:rPr>
          <w:spacing w:val="-4"/>
        </w:rPr>
        <w:t> </w:t>
      </w:r>
      <w:r>
        <w:rPr/>
        <w:t>resources, it</w:t>
      </w:r>
      <w:r>
        <w:rPr>
          <w:spacing w:val="-1"/>
        </w:rPr>
        <w:t> </w:t>
      </w:r>
      <w:r>
        <w:rPr/>
        <w:t>is essential that it keeps in mind the unique fears many LGBTQ youth face in their workplace. One way to improve career services for LGBTQ youth is by planning and creating career fairs specifically targeted toward</w:t>
      </w:r>
      <w:r>
        <w:rPr>
          <w:spacing w:val="-8"/>
        </w:rPr>
        <w:t> </w:t>
      </w:r>
      <w:r>
        <w:rPr/>
        <w:t>LGBTQ</w:t>
      </w:r>
      <w:r>
        <w:rPr>
          <w:spacing w:val="-8"/>
        </w:rPr>
        <w:t> </w:t>
      </w:r>
      <w:r>
        <w:rPr/>
        <w:t>youth,</w:t>
      </w:r>
      <w:r>
        <w:rPr>
          <w:spacing w:val="-7"/>
        </w:rPr>
        <w:t> </w:t>
      </w:r>
      <w:r>
        <w:rPr/>
        <w:t>such</w:t>
      </w:r>
      <w:r>
        <w:rPr>
          <w:spacing w:val="-7"/>
        </w:rPr>
        <w:t> </w:t>
      </w:r>
      <w:r>
        <w:rPr/>
        <w:t>as</w:t>
      </w:r>
      <w:r>
        <w:rPr>
          <w:spacing w:val="-7"/>
        </w:rPr>
        <w:t> </w:t>
      </w:r>
      <w:r>
        <w:rPr/>
        <w:t>the</w:t>
      </w:r>
      <w:r>
        <w:rPr>
          <w:spacing w:val="-8"/>
        </w:rPr>
        <w:t> </w:t>
      </w:r>
      <w:r>
        <w:rPr/>
        <w:t>career</w:t>
      </w:r>
      <w:r>
        <w:rPr>
          <w:spacing w:val="-6"/>
        </w:rPr>
        <w:t> </w:t>
      </w:r>
      <w:r>
        <w:rPr/>
        <w:t>fairs</w:t>
      </w:r>
      <w:r>
        <w:rPr>
          <w:spacing w:val="-7"/>
        </w:rPr>
        <w:t> </w:t>
      </w:r>
      <w:r>
        <w:rPr/>
        <w:t>offered</w:t>
      </w:r>
      <w:r>
        <w:rPr>
          <w:spacing w:val="-8"/>
        </w:rPr>
        <w:t> </w:t>
      </w:r>
      <w:r>
        <w:rPr/>
        <w:t>by</w:t>
      </w:r>
      <w:r>
        <w:rPr>
          <w:spacing w:val="-7"/>
        </w:rPr>
        <w:t> </w:t>
      </w:r>
      <w:r>
        <w:rPr/>
        <w:t>the</w:t>
      </w:r>
      <w:r>
        <w:rPr>
          <w:spacing w:val="-8"/>
        </w:rPr>
        <w:t> </w:t>
      </w:r>
      <w:r>
        <w:rPr/>
        <w:t>Massachusetts</w:t>
      </w:r>
      <w:r>
        <w:rPr>
          <w:spacing w:val="-7"/>
        </w:rPr>
        <w:t> </w:t>
      </w:r>
      <w:r>
        <w:rPr/>
        <w:t>LGBT</w:t>
      </w:r>
      <w:r>
        <w:rPr>
          <w:spacing w:val="-8"/>
        </w:rPr>
        <w:t> </w:t>
      </w:r>
      <w:r>
        <w:rPr/>
        <w:t>Chamber</w:t>
      </w:r>
      <w:r>
        <w:rPr>
          <w:spacing w:val="-7"/>
        </w:rPr>
        <w:t> </w:t>
      </w:r>
      <w:r>
        <w:rPr/>
        <w:t>of</w:t>
      </w:r>
      <w:r>
        <w:rPr>
          <w:spacing w:val="-6"/>
        </w:rPr>
        <w:t> </w:t>
      </w:r>
      <w:r>
        <w:rPr/>
        <w:t>Commerce. The</w:t>
      </w:r>
      <w:r>
        <w:rPr>
          <w:spacing w:val="-13"/>
        </w:rPr>
        <w:t> </w:t>
      </w:r>
      <w:r>
        <w:rPr/>
        <w:t>Commission</w:t>
      </w:r>
      <w:r>
        <w:rPr>
          <w:spacing w:val="-12"/>
        </w:rPr>
        <w:t> </w:t>
      </w:r>
      <w:r>
        <w:rPr/>
        <w:t>strongly</w:t>
      </w:r>
      <w:r>
        <w:rPr>
          <w:spacing w:val="-13"/>
        </w:rPr>
        <w:t> </w:t>
      </w:r>
      <w:r>
        <w:rPr/>
        <w:t>recommends</w:t>
      </w:r>
      <w:r>
        <w:rPr>
          <w:spacing w:val="-12"/>
        </w:rPr>
        <w:t> </w:t>
      </w:r>
      <w:r>
        <w:rPr/>
        <w:t>that</w:t>
      </w:r>
      <w:r>
        <w:rPr>
          <w:spacing w:val="-13"/>
        </w:rPr>
        <w:t> </w:t>
      </w:r>
      <w:r>
        <w:rPr/>
        <w:t>MassHire</w:t>
      </w:r>
      <w:r>
        <w:rPr>
          <w:spacing w:val="-12"/>
        </w:rPr>
        <w:t> </w:t>
      </w:r>
      <w:r>
        <w:rPr/>
        <w:t>work</w:t>
      </w:r>
      <w:r>
        <w:rPr>
          <w:spacing w:val="-13"/>
        </w:rPr>
        <w:t> </w:t>
      </w:r>
      <w:r>
        <w:rPr/>
        <w:t>to</w:t>
      </w:r>
      <w:r>
        <w:rPr>
          <w:spacing w:val="-12"/>
        </w:rPr>
        <w:t> </w:t>
      </w:r>
      <w:r>
        <w:rPr/>
        <w:t>establish</w:t>
      </w:r>
      <w:r>
        <w:rPr>
          <w:spacing w:val="-12"/>
        </w:rPr>
        <w:t> </w:t>
      </w:r>
      <w:r>
        <w:rPr/>
        <w:t>a</w:t>
      </w:r>
      <w:r>
        <w:rPr>
          <w:spacing w:val="-13"/>
        </w:rPr>
        <w:t> </w:t>
      </w:r>
      <w:r>
        <w:rPr/>
        <w:t>review</w:t>
      </w:r>
      <w:r>
        <w:rPr>
          <w:spacing w:val="-12"/>
        </w:rPr>
        <w:t> </w:t>
      </w:r>
      <w:r>
        <w:rPr/>
        <w:t>system</w:t>
      </w:r>
      <w:r>
        <w:rPr>
          <w:spacing w:val="-13"/>
        </w:rPr>
        <w:t> </w:t>
      </w:r>
      <w:r>
        <w:rPr/>
        <w:t>to</w:t>
      </w:r>
      <w:r>
        <w:rPr>
          <w:spacing w:val="-12"/>
        </w:rPr>
        <w:t> </w:t>
      </w:r>
      <w:r>
        <w:rPr/>
        <w:t>connect</w:t>
      </w:r>
      <w:r>
        <w:rPr>
          <w:spacing w:val="-13"/>
        </w:rPr>
        <w:t> </w:t>
      </w:r>
      <w:r>
        <w:rPr/>
        <w:t>LGBTQ youth with LGBTQ-inclusive workplaces; partnering with community organizations such as the Massachusetts LGBT Chamber of Commerce will likely aid such an endeavor.</w:t>
      </w:r>
    </w:p>
    <w:p>
      <w:pPr>
        <w:numPr>
          <w:ilvl w:val="0"/>
          <w:numId w:val="49"/>
        </w:numPr>
        <w:tabs>
          <w:tab w:pos="481" w:val="left" w:leader="none"/>
          <w:tab w:pos="483" w:val="left" w:leader="none"/>
        </w:tabs>
        <w:spacing w:line="276" w:lineRule="auto" w:before="240"/>
        <w:ind w:left="483" w:right="343" w:hanging="360"/>
        <w:jc w:val="left"/>
        <w:rPr>
          <w:b/>
          <w:sz w:val="22"/>
        </w:rPr>
      </w:pPr>
      <w:r>
        <w:rPr>
          <w:b/>
          <w:sz w:val="22"/>
        </w:rPr>
        <w:t>Review</w:t>
      </w:r>
      <w:r>
        <w:rPr>
          <w:b/>
          <w:spacing w:val="-6"/>
          <w:sz w:val="22"/>
        </w:rPr>
        <w:t> </w:t>
      </w:r>
      <w:r>
        <w:rPr>
          <w:b/>
          <w:sz w:val="22"/>
        </w:rPr>
        <w:t>data</w:t>
      </w:r>
      <w:r>
        <w:rPr>
          <w:b/>
          <w:spacing w:val="-6"/>
          <w:sz w:val="22"/>
        </w:rPr>
        <w:t> </w:t>
      </w:r>
      <w:r>
        <w:rPr>
          <w:b/>
          <w:sz w:val="22"/>
        </w:rPr>
        <w:t>collection</w:t>
      </w:r>
      <w:r>
        <w:rPr>
          <w:b/>
          <w:spacing w:val="-6"/>
          <w:sz w:val="22"/>
        </w:rPr>
        <w:t> </w:t>
      </w:r>
      <w:r>
        <w:rPr>
          <w:b/>
          <w:sz w:val="22"/>
        </w:rPr>
        <w:t>methods</w:t>
      </w:r>
      <w:r>
        <w:rPr>
          <w:b/>
          <w:spacing w:val="-5"/>
          <w:sz w:val="22"/>
        </w:rPr>
        <w:t> </w:t>
      </w:r>
      <w:r>
        <w:rPr>
          <w:b/>
          <w:sz w:val="22"/>
        </w:rPr>
        <w:t>to</w:t>
      </w:r>
      <w:r>
        <w:rPr>
          <w:b/>
          <w:spacing w:val="-7"/>
          <w:sz w:val="22"/>
        </w:rPr>
        <w:t> </w:t>
      </w:r>
      <w:r>
        <w:rPr>
          <w:b/>
          <w:sz w:val="22"/>
        </w:rPr>
        <w:t>reflect</w:t>
      </w:r>
      <w:r>
        <w:rPr>
          <w:b/>
          <w:spacing w:val="-6"/>
          <w:sz w:val="22"/>
        </w:rPr>
        <w:t> </w:t>
      </w:r>
      <w:r>
        <w:rPr>
          <w:b/>
          <w:sz w:val="22"/>
        </w:rPr>
        <w:t>best</w:t>
      </w:r>
      <w:r>
        <w:rPr>
          <w:b/>
          <w:spacing w:val="-7"/>
          <w:sz w:val="22"/>
        </w:rPr>
        <w:t> </w:t>
      </w:r>
      <w:r>
        <w:rPr>
          <w:b/>
          <w:sz w:val="22"/>
        </w:rPr>
        <w:t>practices</w:t>
      </w:r>
      <w:r>
        <w:rPr>
          <w:b/>
          <w:spacing w:val="-5"/>
          <w:sz w:val="22"/>
        </w:rPr>
        <w:t> </w:t>
      </w:r>
      <w:r>
        <w:rPr>
          <w:b/>
          <w:sz w:val="22"/>
        </w:rPr>
        <w:t>on</w:t>
      </w:r>
      <w:r>
        <w:rPr>
          <w:b/>
          <w:spacing w:val="-5"/>
          <w:sz w:val="22"/>
        </w:rPr>
        <w:t> </w:t>
      </w:r>
      <w:r>
        <w:rPr>
          <w:b/>
          <w:sz w:val="22"/>
        </w:rPr>
        <w:t>LGBTQ-related</w:t>
      </w:r>
      <w:r>
        <w:rPr>
          <w:b/>
          <w:spacing w:val="-5"/>
          <w:sz w:val="22"/>
        </w:rPr>
        <w:t> </w:t>
      </w:r>
      <w:r>
        <w:rPr>
          <w:b/>
          <w:sz w:val="22"/>
        </w:rPr>
        <w:t>data</w:t>
      </w:r>
      <w:r>
        <w:rPr>
          <w:b/>
          <w:spacing w:val="-6"/>
          <w:sz w:val="22"/>
        </w:rPr>
        <w:t> </w:t>
      </w:r>
      <w:r>
        <w:rPr>
          <w:b/>
          <w:sz w:val="22"/>
        </w:rPr>
        <w:t>and</w:t>
      </w:r>
      <w:r>
        <w:rPr>
          <w:b/>
          <w:spacing w:val="-5"/>
          <w:sz w:val="22"/>
        </w:rPr>
        <w:t> </w:t>
      </w:r>
      <w:r>
        <w:rPr>
          <w:b/>
          <w:sz w:val="22"/>
        </w:rPr>
        <w:t>evaluate</w:t>
      </w:r>
      <w:r>
        <w:rPr>
          <w:b/>
          <w:spacing w:val="-5"/>
          <w:sz w:val="22"/>
        </w:rPr>
        <w:t> </w:t>
      </w:r>
      <w:r>
        <w:rPr>
          <w:b/>
          <w:sz w:val="22"/>
        </w:rPr>
        <w:t>that</w:t>
      </w:r>
      <w:r>
        <w:rPr>
          <w:b/>
          <w:spacing w:val="-6"/>
          <w:sz w:val="22"/>
        </w:rPr>
        <w:t> </w:t>
      </w:r>
      <w:r>
        <w:rPr>
          <w:b/>
          <w:sz w:val="22"/>
        </w:rPr>
        <w:t>data to improve LGBTQ client experiences.</w:t>
      </w:r>
    </w:p>
    <w:p>
      <w:pPr>
        <w:pStyle w:val="BodyText"/>
        <w:spacing w:line="276" w:lineRule="auto" w:before="239"/>
        <w:ind w:left="483" w:right="341"/>
        <w:jc w:val="both"/>
      </w:pPr>
      <w:r>
        <w:rPr/>
        <w:t>The Commission recommends that MassHire review their SOGIE data collection methods to ensure that they reflect current best practices on LGBTQ-related data, and that they continue to evaluate the data already</w:t>
      </w:r>
      <w:r>
        <w:rPr>
          <w:spacing w:val="-4"/>
        </w:rPr>
        <w:t> </w:t>
      </w:r>
      <w:r>
        <w:rPr/>
        <w:t>received</w:t>
      </w:r>
      <w:r>
        <w:rPr>
          <w:spacing w:val="-3"/>
        </w:rPr>
        <w:t> </w:t>
      </w:r>
      <w:r>
        <w:rPr/>
        <w:t>to</w:t>
      </w:r>
      <w:r>
        <w:rPr>
          <w:spacing w:val="-3"/>
        </w:rPr>
        <w:t> </w:t>
      </w:r>
      <w:r>
        <w:rPr/>
        <w:t>adjust</w:t>
      </w:r>
      <w:r>
        <w:rPr>
          <w:spacing w:val="-2"/>
        </w:rPr>
        <w:t> </w:t>
      </w:r>
      <w:r>
        <w:rPr/>
        <w:t>services</w:t>
      </w:r>
      <w:r>
        <w:rPr>
          <w:spacing w:val="-4"/>
        </w:rPr>
        <w:t> </w:t>
      </w:r>
      <w:r>
        <w:rPr/>
        <w:t>as</w:t>
      </w:r>
      <w:r>
        <w:rPr>
          <w:spacing w:val="-2"/>
        </w:rPr>
        <w:t> </w:t>
      </w:r>
      <w:r>
        <w:rPr/>
        <w:t>needed.</w:t>
      </w:r>
      <w:r>
        <w:rPr>
          <w:spacing w:val="-3"/>
        </w:rPr>
        <w:t> </w:t>
      </w:r>
      <w:r>
        <w:rPr/>
        <w:t>Furthermore,</w:t>
      </w:r>
      <w:r>
        <w:rPr>
          <w:spacing w:val="-4"/>
        </w:rPr>
        <w:t> </w:t>
      </w:r>
      <w:r>
        <w:rPr/>
        <w:t>MassHire</w:t>
      </w:r>
      <w:r>
        <w:rPr>
          <w:spacing w:val="-4"/>
        </w:rPr>
        <w:t> </w:t>
      </w:r>
      <w:r>
        <w:rPr/>
        <w:t>should</w:t>
      </w:r>
      <w:r>
        <w:rPr>
          <w:spacing w:val="-3"/>
        </w:rPr>
        <w:t> </w:t>
      </w:r>
      <w:r>
        <w:rPr/>
        <w:t>ensure</w:t>
      </w:r>
      <w:r>
        <w:rPr>
          <w:spacing w:val="-4"/>
        </w:rPr>
        <w:t> </w:t>
      </w:r>
      <w:r>
        <w:rPr/>
        <w:t>that</w:t>
      </w:r>
      <w:r>
        <w:rPr>
          <w:spacing w:val="-3"/>
        </w:rPr>
        <w:t> </w:t>
      </w:r>
      <w:r>
        <w:rPr/>
        <w:t>the</w:t>
      </w:r>
      <w:r>
        <w:rPr>
          <w:spacing w:val="-3"/>
        </w:rPr>
        <w:t> </w:t>
      </w:r>
      <w:r>
        <w:rPr/>
        <w:t>complaints system</w:t>
      </w:r>
      <w:r>
        <w:rPr>
          <w:spacing w:val="-10"/>
        </w:rPr>
        <w:t> </w:t>
      </w:r>
      <w:r>
        <w:rPr/>
        <w:t>provided</w:t>
      </w:r>
      <w:r>
        <w:rPr>
          <w:spacing w:val="-9"/>
        </w:rPr>
        <w:t> </w:t>
      </w:r>
      <w:r>
        <w:rPr/>
        <w:t>by</w:t>
      </w:r>
      <w:r>
        <w:rPr>
          <w:spacing w:val="-9"/>
        </w:rPr>
        <w:t> </w:t>
      </w:r>
      <w:r>
        <w:rPr/>
        <w:t>MassHire</w:t>
      </w:r>
      <w:r>
        <w:rPr>
          <w:spacing w:val="-9"/>
        </w:rPr>
        <w:t> </w:t>
      </w:r>
      <w:r>
        <w:rPr/>
        <w:t>career</w:t>
      </w:r>
      <w:r>
        <w:rPr>
          <w:spacing w:val="-9"/>
        </w:rPr>
        <w:t> </w:t>
      </w:r>
      <w:r>
        <w:rPr/>
        <w:t>centers</w:t>
      </w:r>
      <w:r>
        <w:rPr>
          <w:spacing w:val="-9"/>
        </w:rPr>
        <w:t> </w:t>
      </w:r>
      <w:r>
        <w:rPr/>
        <w:t>is</w:t>
      </w:r>
      <w:r>
        <w:rPr>
          <w:spacing w:val="-10"/>
        </w:rPr>
        <w:t> </w:t>
      </w:r>
      <w:r>
        <w:rPr/>
        <w:t>inclusive</w:t>
      </w:r>
      <w:r>
        <w:rPr>
          <w:spacing w:val="-10"/>
        </w:rPr>
        <w:t> </w:t>
      </w:r>
      <w:r>
        <w:rPr/>
        <w:t>of</w:t>
      </w:r>
      <w:r>
        <w:rPr>
          <w:spacing w:val="-10"/>
        </w:rPr>
        <w:t> </w:t>
      </w:r>
      <w:r>
        <w:rPr/>
        <w:t>SOGIE</w:t>
      </w:r>
      <w:r>
        <w:rPr>
          <w:spacing w:val="-9"/>
        </w:rPr>
        <w:t> </w:t>
      </w:r>
      <w:r>
        <w:rPr/>
        <w:t>data</w:t>
      </w:r>
      <w:r>
        <w:rPr>
          <w:spacing w:val="-9"/>
        </w:rPr>
        <w:t> </w:t>
      </w:r>
      <w:r>
        <w:rPr/>
        <w:t>collection</w:t>
      </w:r>
      <w:r>
        <w:rPr>
          <w:spacing w:val="-10"/>
        </w:rPr>
        <w:t> </w:t>
      </w:r>
      <w:r>
        <w:rPr/>
        <w:t>to</w:t>
      </w:r>
      <w:r>
        <w:rPr>
          <w:spacing w:val="-8"/>
        </w:rPr>
        <w:t> </w:t>
      </w:r>
      <w:r>
        <w:rPr/>
        <w:t>ensure</w:t>
      </w:r>
      <w:r>
        <w:rPr>
          <w:spacing w:val="-8"/>
        </w:rPr>
        <w:t> </w:t>
      </w:r>
      <w:r>
        <w:rPr/>
        <w:t>that</w:t>
      </w:r>
      <w:r>
        <w:rPr>
          <w:spacing w:val="-9"/>
        </w:rPr>
        <w:t> </w:t>
      </w:r>
      <w:r>
        <w:rPr/>
        <w:t>clients</w:t>
      </w:r>
      <w:r>
        <w:rPr>
          <w:spacing w:val="-10"/>
        </w:rPr>
        <w:t> </w:t>
      </w:r>
      <w:r>
        <w:rPr/>
        <w:t>are not disproportionately facing discrimination in MassHire services.</w:t>
      </w:r>
    </w:p>
    <w:p>
      <w:pPr>
        <w:numPr>
          <w:ilvl w:val="0"/>
          <w:numId w:val="49"/>
        </w:numPr>
        <w:tabs>
          <w:tab w:pos="481" w:val="left" w:leader="none"/>
        </w:tabs>
        <w:spacing w:before="240"/>
        <w:ind w:left="481" w:right="0" w:hanging="358"/>
        <w:jc w:val="left"/>
        <w:rPr>
          <w:b/>
          <w:sz w:val="22"/>
        </w:rPr>
      </w:pPr>
      <w:r>
        <w:rPr>
          <w:b/>
          <w:sz w:val="22"/>
        </w:rPr>
        <w:t>Facilitate</w:t>
      </w:r>
      <w:r>
        <w:rPr>
          <w:b/>
          <w:spacing w:val="-8"/>
          <w:sz w:val="22"/>
        </w:rPr>
        <w:t> </w:t>
      </w:r>
      <w:r>
        <w:rPr>
          <w:b/>
          <w:sz w:val="22"/>
        </w:rPr>
        <w:t>mandatory</w:t>
      </w:r>
      <w:r>
        <w:rPr>
          <w:b/>
          <w:spacing w:val="-9"/>
          <w:sz w:val="22"/>
        </w:rPr>
        <w:t> </w:t>
      </w:r>
      <w:r>
        <w:rPr>
          <w:b/>
          <w:sz w:val="22"/>
        </w:rPr>
        <w:t>LGBTQ</w:t>
      </w:r>
      <w:r>
        <w:rPr>
          <w:b/>
          <w:spacing w:val="-8"/>
          <w:sz w:val="22"/>
        </w:rPr>
        <w:t> </w:t>
      </w:r>
      <w:r>
        <w:rPr>
          <w:b/>
          <w:sz w:val="22"/>
        </w:rPr>
        <w:t>cultural</w:t>
      </w:r>
      <w:r>
        <w:rPr>
          <w:b/>
          <w:spacing w:val="-7"/>
          <w:sz w:val="22"/>
        </w:rPr>
        <w:t> </w:t>
      </w:r>
      <w:r>
        <w:rPr>
          <w:b/>
          <w:sz w:val="22"/>
        </w:rPr>
        <w:t>awareness</w:t>
      </w:r>
      <w:r>
        <w:rPr>
          <w:b/>
          <w:spacing w:val="-8"/>
          <w:sz w:val="22"/>
        </w:rPr>
        <w:t> </w:t>
      </w:r>
      <w:r>
        <w:rPr>
          <w:b/>
          <w:sz w:val="22"/>
        </w:rPr>
        <w:t>and</w:t>
      </w:r>
      <w:r>
        <w:rPr>
          <w:b/>
          <w:spacing w:val="-9"/>
          <w:sz w:val="22"/>
        </w:rPr>
        <w:t> </w:t>
      </w:r>
      <w:r>
        <w:rPr>
          <w:b/>
          <w:sz w:val="22"/>
        </w:rPr>
        <w:t>racial</w:t>
      </w:r>
      <w:r>
        <w:rPr>
          <w:b/>
          <w:spacing w:val="-8"/>
          <w:sz w:val="22"/>
        </w:rPr>
        <w:t> </w:t>
      </w:r>
      <w:r>
        <w:rPr>
          <w:b/>
          <w:sz w:val="22"/>
        </w:rPr>
        <w:t>equity</w:t>
      </w:r>
      <w:r>
        <w:rPr>
          <w:b/>
          <w:spacing w:val="-9"/>
          <w:sz w:val="22"/>
        </w:rPr>
        <w:t> </w:t>
      </w:r>
      <w:r>
        <w:rPr>
          <w:b/>
          <w:sz w:val="22"/>
        </w:rPr>
        <w:t>trainings</w:t>
      </w:r>
      <w:r>
        <w:rPr>
          <w:b/>
          <w:spacing w:val="-8"/>
          <w:sz w:val="22"/>
        </w:rPr>
        <w:t> </w:t>
      </w:r>
      <w:r>
        <w:rPr>
          <w:b/>
          <w:sz w:val="22"/>
        </w:rPr>
        <w:t>for</w:t>
      </w:r>
      <w:r>
        <w:rPr>
          <w:b/>
          <w:spacing w:val="-8"/>
          <w:sz w:val="22"/>
        </w:rPr>
        <w:t> </w:t>
      </w:r>
      <w:r>
        <w:rPr>
          <w:b/>
          <w:sz w:val="22"/>
        </w:rPr>
        <w:t>all</w:t>
      </w:r>
      <w:r>
        <w:rPr>
          <w:b/>
          <w:spacing w:val="-8"/>
          <w:sz w:val="22"/>
        </w:rPr>
        <w:t> </w:t>
      </w:r>
      <w:r>
        <w:rPr>
          <w:b/>
          <w:spacing w:val="-2"/>
          <w:sz w:val="22"/>
        </w:rPr>
        <w:t>staff.</w:t>
      </w:r>
    </w:p>
    <w:p>
      <w:pPr>
        <w:pStyle w:val="BodyText"/>
        <w:spacing w:before="13"/>
        <w:rPr>
          <w:b/>
        </w:rPr>
      </w:pPr>
    </w:p>
    <w:p>
      <w:pPr>
        <w:pStyle w:val="BodyText"/>
        <w:spacing w:line="276" w:lineRule="auto"/>
        <w:ind w:left="483" w:right="339"/>
        <w:jc w:val="both"/>
      </w:pPr>
      <w:r>
        <w:rPr/>
        <w:t>For several years, the Commission has engaged in conversations with MassHire on offering trainings on LGBTQ cultural engagement to uplift the unique needs of LGBTQ youth in MassHire services. In FY 2022, MassHire staff participated in a training offered by PFLAG on how to be more inclusive in its service provision. The Commission has offered to partner with MassHire through its agency training curriculum and hopes to set up a series of trainings for all MassHire staff in the coming fiscal year. The Commission additionally recommends that MassHire ensure that racial equity trainings are provided to all staff that highlights the intersectional identities LGBTQ youth often carry with them in the workplace.</w:t>
      </w:r>
    </w:p>
    <w:p>
      <w:pPr>
        <w:spacing w:after="0" w:line="276" w:lineRule="auto"/>
        <w:jc w:val="both"/>
        <w:sectPr>
          <w:pgSz w:w="12240" w:h="15840"/>
          <w:pgMar w:header="805" w:footer="1263" w:top="1000" w:bottom="1460" w:left="960" w:right="1100"/>
        </w:sectPr>
      </w:pPr>
    </w:p>
    <w:p>
      <w:pPr>
        <w:pStyle w:val="BodyText"/>
        <w:spacing w:before="97"/>
      </w:pPr>
    </w:p>
    <w:p>
      <w:pPr>
        <w:numPr>
          <w:ilvl w:val="0"/>
          <w:numId w:val="49"/>
        </w:numPr>
        <w:tabs>
          <w:tab w:pos="481" w:val="left" w:leader="none"/>
        </w:tabs>
        <w:spacing w:before="0"/>
        <w:ind w:left="481" w:right="0" w:hanging="358"/>
        <w:jc w:val="left"/>
        <w:rPr>
          <w:b/>
          <w:sz w:val="22"/>
        </w:rPr>
      </w:pPr>
      <w:r>
        <w:rPr>
          <w:b/>
          <w:sz w:val="22"/>
        </w:rPr>
        <w:t>Create</w:t>
      </w:r>
      <w:r>
        <w:rPr>
          <w:b/>
          <w:spacing w:val="-8"/>
          <w:sz w:val="22"/>
        </w:rPr>
        <w:t> </w:t>
      </w:r>
      <w:r>
        <w:rPr>
          <w:b/>
          <w:sz w:val="22"/>
        </w:rPr>
        <w:t>and</w:t>
      </w:r>
      <w:r>
        <w:rPr>
          <w:b/>
          <w:spacing w:val="-9"/>
          <w:sz w:val="22"/>
        </w:rPr>
        <w:t> </w:t>
      </w:r>
      <w:r>
        <w:rPr>
          <w:b/>
          <w:sz w:val="22"/>
        </w:rPr>
        <w:t>hire</w:t>
      </w:r>
      <w:r>
        <w:rPr>
          <w:b/>
          <w:spacing w:val="-9"/>
          <w:sz w:val="22"/>
        </w:rPr>
        <w:t> </w:t>
      </w:r>
      <w:r>
        <w:rPr>
          <w:b/>
          <w:sz w:val="22"/>
        </w:rPr>
        <w:t>a</w:t>
      </w:r>
      <w:r>
        <w:rPr>
          <w:b/>
          <w:spacing w:val="-7"/>
          <w:sz w:val="22"/>
        </w:rPr>
        <w:t> </w:t>
      </w:r>
      <w:r>
        <w:rPr>
          <w:b/>
          <w:sz w:val="22"/>
        </w:rPr>
        <w:t>dedicated</w:t>
      </w:r>
      <w:r>
        <w:rPr>
          <w:b/>
          <w:spacing w:val="-9"/>
          <w:sz w:val="22"/>
        </w:rPr>
        <w:t> </w:t>
      </w:r>
      <w:r>
        <w:rPr>
          <w:b/>
          <w:sz w:val="22"/>
        </w:rPr>
        <w:t>LGBTQ-specific</w:t>
      </w:r>
      <w:r>
        <w:rPr>
          <w:b/>
          <w:spacing w:val="-9"/>
          <w:sz w:val="22"/>
        </w:rPr>
        <w:t> </w:t>
      </w:r>
      <w:r>
        <w:rPr>
          <w:b/>
          <w:sz w:val="22"/>
        </w:rPr>
        <w:t>staff</w:t>
      </w:r>
      <w:r>
        <w:rPr>
          <w:b/>
          <w:spacing w:val="-7"/>
          <w:sz w:val="22"/>
        </w:rPr>
        <w:t> </w:t>
      </w:r>
      <w:r>
        <w:rPr>
          <w:b/>
          <w:spacing w:val="-2"/>
          <w:sz w:val="22"/>
        </w:rPr>
        <w:t>person.</w:t>
      </w:r>
    </w:p>
    <w:p>
      <w:pPr>
        <w:pStyle w:val="BodyText"/>
        <w:spacing w:before="11"/>
        <w:rPr>
          <w:b/>
        </w:rPr>
      </w:pPr>
    </w:p>
    <w:p>
      <w:pPr>
        <w:pStyle w:val="BodyText"/>
        <w:spacing w:line="276" w:lineRule="auto"/>
        <w:ind w:left="483" w:right="342"/>
        <w:jc w:val="both"/>
      </w:pPr>
      <w:r>
        <w:rPr/>
        <w:t>Over the last couple of years, the Commission has been pleased to see a number of state agencies, such as the Department of Children &amp; Families and the Department of Public Health, create LGBTQ-specific staff positions dedicated to ensuring that the needs of LGBTQ youth are being met by the agency. The Commission strongly recommends that MassHire follow this model to create positions dedicated to overseeing the outreach &amp; resource development to LGBTQ youth.</w:t>
      </w:r>
    </w:p>
    <w:p>
      <w:pPr>
        <w:pStyle w:val="BodyText"/>
      </w:pPr>
    </w:p>
    <w:p>
      <w:pPr>
        <w:pStyle w:val="BodyText"/>
        <w:spacing w:before="238"/>
      </w:pPr>
    </w:p>
    <w:p>
      <w:pPr>
        <w:spacing w:before="0"/>
        <w:ind w:left="483" w:right="0" w:firstLine="0"/>
        <w:jc w:val="left"/>
        <w:rPr>
          <w:b/>
          <w:sz w:val="21"/>
        </w:rPr>
      </w:pPr>
      <w:r>
        <w:rPr>
          <w:b/>
          <w:spacing w:val="-2"/>
          <w:sz w:val="21"/>
        </w:rPr>
        <w:t>Citations</w:t>
      </w:r>
    </w:p>
    <w:p>
      <w:pPr>
        <w:pStyle w:val="BodyText"/>
        <w:spacing w:before="22"/>
        <w:rPr>
          <w:b/>
          <w:sz w:val="21"/>
        </w:rPr>
      </w:pPr>
    </w:p>
    <w:p>
      <w:pPr>
        <w:spacing w:before="1"/>
        <w:ind w:left="483" w:right="341" w:firstLine="0"/>
        <w:jc w:val="both"/>
        <w:rPr>
          <w:sz w:val="18"/>
        </w:rPr>
      </w:pPr>
      <w:bookmarkStart w:name="_bookmark658" w:id="965"/>
      <w:bookmarkEnd w:id="965"/>
      <w:r>
        <w:rPr/>
      </w:r>
      <w:r>
        <w:rPr>
          <w:sz w:val="18"/>
          <w:vertAlign w:val="superscript"/>
        </w:rPr>
        <w:t>1</w:t>
      </w:r>
      <w:r>
        <w:rPr>
          <w:sz w:val="18"/>
          <w:vertAlign w:val="baseline"/>
        </w:rPr>
        <w:t> Movement Advancement Project, “Movement Advancement Project | LGBT Workers of Color Are Among the Most Disadvantaged in the U.S. Workforce,” accessed April 25, 2023, https://</w:t>
      </w:r>
      <w:hyperlink r:id="rId780">
        <w:r>
          <w:rPr>
            <w:sz w:val="18"/>
            <w:vertAlign w:val="baseline"/>
          </w:rPr>
          <w:t>www.lgbtmap.org/news/broken-bargain-lgbt-workers-</w:t>
        </w:r>
      </w:hyperlink>
      <w:r>
        <w:rPr>
          <w:sz w:val="18"/>
          <w:vertAlign w:val="baseline"/>
        </w:rPr>
        <w:t> </w:t>
      </w:r>
      <w:r>
        <w:rPr>
          <w:spacing w:val="-2"/>
          <w:sz w:val="18"/>
          <w:vertAlign w:val="baseline"/>
        </w:rPr>
        <w:t>of-color-release.</w:t>
      </w:r>
    </w:p>
    <w:p>
      <w:pPr>
        <w:spacing w:line="219" w:lineRule="exact" w:before="0"/>
        <w:ind w:left="483" w:right="0" w:firstLine="0"/>
        <w:jc w:val="both"/>
        <w:rPr>
          <w:sz w:val="18"/>
        </w:rPr>
      </w:pPr>
      <w:bookmarkStart w:name="_bookmark659" w:id="966"/>
      <w:bookmarkEnd w:id="966"/>
      <w:r>
        <w:rPr/>
      </w:r>
      <w:r>
        <w:rPr>
          <w:sz w:val="18"/>
          <w:vertAlign w:val="superscript"/>
        </w:rPr>
        <w:t>2</w:t>
      </w:r>
      <w:r>
        <w:rPr>
          <w:spacing w:val="-13"/>
          <w:sz w:val="18"/>
          <w:vertAlign w:val="baseline"/>
        </w:rPr>
        <w:t> </w:t>
      </w:r>
      <w:r>
        <w:rPr>
          <w:spacing w:val="-4"/>
          <w:sz w:val="18"/>
          <w:vertAlign w:val="baseline"/>
        </w:rPr>
        <w:t>Ibid.</w:t>
      </w:r>
    </w:p>
    <w:p>
      <w:pPr>
        <w:spacing w:after="0" w:line="219" w:lineRule="exact"/>
        <w:jc w:val="both"/>
        <w:rPr>
          <w:sz w:val="18"/>
        </w:rPr>
        <w:sectPr>
          <w:pgSz w:w="12240" w:h="15840"/>
          <w:pgMar w:header="805" w:footer="1263" w:top="1000" w:bottom="1460" w:left="960" w:right="1100"/>
        </w:sectPr>
      </w:pPr>
    </w:p>
    <w:p>
      <w:pPr>
        <w:pStyle w:val="BodyText"/>
        <w:spacing w:before="162"/>
        <w:rPr>
          <w:sz w:val="20"/>
        </w:rPr>
      </w:pPr>
    </w:p>
    <w:p>
      <w:pPr>
        <w:pStyle w:val="BodyText"/>
        <w:spacing w:line="20" w:lineRule="exact"/>
        <w:ind w:left="440"/>
        <w:rPr>
          <w:sz w:val="2"/>
        </w:rPr>
      </w:pPr>
      <w:r>
        <w:rPr>
          <w:sz w:val="2"/>
        </w:rPr>
        <mc:AlternateContent>
          <mc:Choice Requires="wps">
            <w:drawing>
              <wp:inline distT="0" distB="0" distL="0" distR="0">
                <wp:extent cx="6350" cy="12700"/>
                <wp:effectExtent l="0" t="0" r="0" b="0"/>
                <wp:docPr id="704" name="Group 704"/>
                <wp:cNvGraphicFramePr>
                  <a:graphicFrameLocks/>
                </wp:cNvGraphicFramePr>
                <a:graphic>
                  <a:graphicData uri="http://schemas.microsoft.com/office/word/2010/wordprocessingGroup">
                    <wpg:wgp>
                      <wpg:cNvPr id="704" name="Group 704"/>
                      <wpg:cNvGrpSpPr/>
                      <wpg:grpSpPr>
                        <a:xfrm>
                          <a:off x="0" y="0"/>
                          <a:ext cx="6350" cy="12700"/>
                          <a:chExt cx="6350" cy="12700"/>
                        </a:xfrm>
                      </wpg:grpSpPr>
                      <wps:wsp>
                        <wps:cNvPr id="705" name="Graphic 705"/>
                        <wps:cNvSpPr/>
                        <wps:spPr>
                          <a:xfrm>
                            <a:off x="0" y="0"/>
                            <a:ext cx="6350" cy="12700"/>
                          </a:xfrm>
                          <a:custGeom>
                            <a:avLst/>
                            <a:gdLst/>
                            <a:ahLst/>
                            <a:cxnLst/>
                            <a:rect l="l" t="t" r="r" b="b"/>
                            <a:pathLst>
                              <a:path w="6350" h="12700">
                                <a:moveTo>
                                  <a:pt x="6337" y="0"/>
                                </a:moveTo>
                                <a:lnTo>
                                  <a:pt x="0" y="0"/>
                                </a:lnTo>
                                <a:lnTo>
                                  <a:pt x="0" y="12217"/>
                                </a:lnTo>
                                <a:lnTo>
                                  <a:pt x="6337" y="12217"/>
                                </a:lnTo>
                                <a:lnTo>
                                  <a:pt x="6337" y="0"/>
                                </a:lnTo>
                                <a:close/>
                              </a:path>
                            </a:pathLst>
                          </a:custGeom>
                          <a:solidFill>
                            <a:srgbClr val="4F81BB"/>
                          </a:solidFill>
                        </wps:spPr>
                        <wps:bodyPr wrap="square" lIns="0" tIns="0" rIns="0" bIns="0" rtlCol="0">
                          <a:prstTxWarp prst="textNoShape">
                            <a:avLst/>
                          </a:prstTxWarp>
                          <a:noAutofit/>
                        </wps:bodyPr>
                      </wps:wsp>
                    </wpg:wgp>
                  </a:graphicData>
                </a:graphic>
              </wp:inline>
            </w:drawing>
          </mc:Choice>
          <mc:Fallback>
            <w:pict>
              <v:group style="width:.5pt;height:1pt;mso-position-horizontal-relative:char;mso-position-vertical-relative:line" id="docshapegroup601" coordorigin="0,0" coordsize="10,20">
                <v:rect style="position:absolute;left:0;top:0;width:10;height:20" id="docshape602" filled="true" fillcolor="#4f81bb" stroked="false">
                  <v:fill type="solid"/>
                </v:rect>
              </v:group>
            </w:pict>
          </mc:Fallback>
        </mc:AlternateContent>
      </w:r>
      <w:r>
        <w:rPr>
          <w:sz w:val="2"/>
        </w:rPr>
      </w:r>
    </w:p>
    <w:p>
      <w:pPr>
        <w:pStyle w:val="Heading7"/>
      </w:pPr>
      <w:bookmarkStart w:name="_bookmark660" w:id="967"/>
      <w:bookmarkEnd w:id="967"/>
      <w:r>
        <w:rPr/>
      </w:r>
      <w:hyperlink w:history="true" w:anchor="_bookmark7">
        <w:r>
          <w:rPr>
            <w:color w:val="365F91"/>
            <w:spacing w:val="-8"/>
          </w:rPr>
          <w:t>Office</w:t>
        </w:r>
        <w:r>
          <w:rPr>
            <w:color w:val="365F91"/>
            <w:spacing w:val="-11"/>
          </w:rPr>
          <w:t> </w:t>
        </w:r>
        <w:r>
          <w:rPr>
            <w:color w:val="365F91"/>
            <w:spacing w:val="-8"/>
          </w:rPr>
          <w:t>of</w:t>
        </w:r>
        <w:r>
          <w:rPr>
            <w:color w:val="365F91"/>
            <w:spacing w:val="-11"/>
          </w:rPr>
          <w:t> </w:t>
        </w:r>
        <w:r>
          <w:rPr>
            <w:color w:val="365F91"/>
            <w:spacing w:val="-8"/>
          </w:rPr>
          <w:t>the</w:t>
        </w:r>
        <w:r>
          <w:rPr>
            <w:color w:val="365F91"/>
            <w:spacing w:val="-11"/>
          </w:rPr>
          <w:t> </w:t>
        </w:r>
        <w:r>
          <w:rPr>
            <w:color w:val="365F91"/>
            <w:spacing w:val="-8"/>
          </w:rPr>
          <w:t>Child</w:t>
        </w:r>
        <w:r>
          <w:rPr>
            <w:color w:val="365F91"/>
            <w:spacing w:val="-11"/>
          </w:rPr>
          <w:t> </w:t>
        </w:r>
        <w:r>
          <w:rPr>
            <w:color w:val="365F91"/>
            <w:spacing w:val="-8"/>
          </w:rPr>
          <w:t>Advocate</w:t>
        </w:r>
      </w:hyperlink>
    </w:p>
    <w:p>
      <w:pPr>
        <w:pStyle w:val="BodyText"/>
        <w:spacing w:before="85"/>
        <w:rPr>
          <w:sz w:val="20"/>
        </w:rPr>
      </w:pPr>
      <w:r>
        <w:rPr/>
        <mc:AlternateContent>
          <mc:Choice Requires="wps">
            <w:drawing>
              <wp:anchor distT="0" distB="0" distL="0" distR="0" allowOverlap="1" layoutInCell="1" locked="0" behindDoc="1" simplePos="0" relativeHeight="487737344">
                <wp:simplePos x="0" y="0"/>
                <wp:positionH relativeFrom="page">
                  <wp:posOffset>889000</wp:posOffset>
                </wp:positionH>
                <wp:positionV relativeFrom="paragraph">
                  <wp:posOffset>224306</wp:posOffset>
                </wp:positionV>
                <wp:extent cx="6350" cy="12700"/>
                <wp:effectExtent l="0" t="0" r="0" b="0"/>
                <wp:wrapTopAndBottom/>
                <wp:docPr id="706" name="Graphic 706"/>
                <wp:cNvGraphicFramePr>
                  <a:graphicFrameLocks/>
                </wp:cNvGraphicFramePr>
                <a:graphic>
                  <a:graphicData uri="http://schemas.microsoft.com/office/word/2010/wordprocessingShape">
                    <wps:wsp>
                      <wps:cNvPr id="706" name="Graphic 706"/>
                      <wps:cNvSpPr/>
                      <wps:spPr>
                        <a:xfrm>
                          <a:off x="0" y="0"/>
                          <a:ext cx="6350" cy="12700"/>
                        </a:xfrm>
                        <a:custGeom>
                          <a:avLst/>
                          <a:gdLst/>
                          <a:ahLst/>
                          <a:cxnLst/>
                          <a:rect l="l" t="t" r="r" b="b"/>
                          <a:pathLst>
                            <a:path w="6350" h="12700">
                              <a:moveTo>
                                <a:pt x="6337" y="0"/>
                              </a:moveTo>
                              <a:lnTo>
                                <a:pt x="0" y="0"/>
                              </a:lnTo>
                              <a:lnTo>
                                <a:pt x="0" y="12217"/>
                              </a:lnTo>
                              <a:lnTo>
                                <a:pt x="6337" y="12217"/>
                              </a:lnTo>
                              <a:lnTo>
                                <a:pt x="6337" y="0"/>
                              </a:lnTo>
                              <a:close/>
                            </a:path>
                          </a:pathLst>
                        </a:custGeom>
                        <a:solidFill>
                          <a:srgbClr val="4F81BB"/>
                        </a:solidFill>
                      </wps:spPr>
                      <wps:bodyPr wrap="square" lIns="0" tIns="0" rIns="0" bIns="0" rtlCol="0">
                        <a:prstTxWarp prst="textNoShape">
                          <a:avLst/>
                        </a:prstTxWarp>
                        <a:noAutofit/>
                      </wps:bodyPr>
                    </wps:wsp>
                  </a:graphicData>
                </a:graphic>
              </wp:anchor>
            </w:drawing>
          </mc:Choice>
          <mc:Fallback>
            <w:pict>
              <v:rect style="position:absolute;margin-left:70pt;margin-top:17.661938pt;width:.499pt;height:.962pt;mso-position-horizontal-relative:page;mso-position-vertical-relative:paragraph;z-index:-15579136;mso-wrap-distance-left:0;mso-wrap-distance-right:0" id="docshape603" filled="true" fillcolor="#4f81bb" stroked="false">
                <v:fill type="solid"/>
                <w10:wrap type="topAndBottom"/>
              </v:rect>
            </w:pict>
          </mc:Fallback>
        </mc:AlternateContent>
      </w:r>
    </w:p>
    <w:p>
      <w:pPr>
        <w:spacing w:before="0"/>
        <w:ind w:left="483" w:right="0" w:firstLine="0"/>
        <w:jc w:val="left"/>
        <w:rPr>
          <w:sz w:val="28"/>
        </w:rPr>
      </w:pPr>
      <w:r>
        <w:rPr>
          <w:color w:val="365F91"/>
          <w:sz w:val="28"/>
        </w:rPr>
        <w:t>FY</w:t>
      </w:r>
      <w:r>
        <w:rPr>
          <w:color w:val="365F91"/>
          <w:spacing w:val="-7"/>
          <w:sz w:val="28"/>
        </w:rPr>
        <w:t> </w:t>
      </w:r>
      <w:r>
        <w:rPr>
          <w:color w:val="365F91"/>
          <w:sz w:val="28"/>
        </w:rPr>
        <w:t>2025</w:t>
      </w:r>
      <w:r>
        <w:rPr>
          <w:color w:val="365F91"/>
          <w:spacing w:val="-6"/>
          <w:sz w:val="28"/>
        </w:rPr>
        <w:t> </w:t>
      </w:r>
      <w:r>
        <w:rPr>
          <w:color w:val="365F91"/>
          <w:spacing w:val="-2"/>
          <w:sz w:val="28"/>
        </w:rPr>
        <w:t>Recommendations</w:t>
      </w:r>
    </w:p>
    <w:p>
      <w:pPr>
        <w:pStyle w:val="BodyText"/>
        <w:spacing w:before="10"/>
        <w:rPr>
          <w:sz w:val="3"/>
        </w:rPr>
      </w:pPr>
      <w:r>
        <w:rPr/>
        <mc:AlternateContent>
          <mc:Choice Requires="wps">
            <w:drawing>
              <wp:anchor distT="0" distB="0" distL="0" distR="0" allowOverlap="1" layoutInCell="1" locked="0" behindDoc="1" simplePos="0" relativeHeight="487737856">
                <wp:simplePos x="0" y="0"/>
                <wp:positionH relativeFrom="page">
                  <wp:posOffset>897636</wp:posOffset>
                </wp:positionH>
                <wp:positionV relativeFrom="paragraph">
                  <wp:posOffset>44845</wp:posOffset>
                </wp:positionV>
                <wp:extent cx="5976620" cy="6350"/>
                <wp:effectExtent l="0" t="0" r="0" b="0"/>
                <wp:wrapTopAndBottom/>
                <wp:docPr id="707" name="Graphic 707"/>
                <wp:cNvGraphicFramePr>
                  <a:graphicFrameLocks/>
                </wp:cNvGraphicFramePr>
                <a:graphic>
                  <a:graphicData uri="http://schemas.microsoft.com/office/word/2010/wordprocessingShape">
                    <wps:wsp>
                      <wps:cNvPr id="707" name="Graphic 707"/>
                      <wps:cNvSpPr/>
                      <wps:spPr>
                        <a:xfrm>
                          <a:off x="0" y="0"/>
                          <a:ext cx="5976620" cy="6350"/>
                        </a:xfrm>
                        <a:custGeom>
                          <a:avLst/>
                          <a:gdLst/>
                          <a:ahLst/>
                          <a:cxnLst/>
                          <a:rect l="l" t="t" r="r" b="b"/>
                          <a:pathLst>
                            <a:path w="5976620" h="6350">
                              <a:moveTo>
                                <a:pt x="5976366" y="0"/>
                              </a:moveTo>
                              <a:lnTo>
                                <a:pt x="0" y="0"/>
                              </a:lnTo>
                              <a:lnTo>
                                <a:pt x="0" y="6108"/>
                              </a:lnTo>
                              <a:lnTo>
                                <a:pt x="5976366" y="6108"/>
                              </a:lnTo>
                              <a:lnTo>
                                <a:pt x="5976366" y="0"/>
                              </a:lnTo>
                              <a:close/>
                            </a:path>
                          </a:pathLst>
                        </a:custGeom>
                        <a:solidFill>
                          <a:srgbClr val="4F81BC"/>
                        </a:solidFill>
                      </wps:spPr>
                      <wps:bodyPr wrap="square" lIns="0" tIns="0" rIns="0" bIns="0" rtlCol="0">
                        <a:prstTxWarp prst="textNoShape">
                          <a:avLst/>
                        </a:prstTxWarp>
                        <a:noAutofit/>
                      </wps:bodyPr>
                    </wps:wsp>
                  </a:graphicData>
                </a:graphic>
              </wp:anchor>
            </w:drawing>
          </mc:Choice>
          <mc:Fallback>
            <w:pict>
              <v:rect style="position:absolute;margin-left:70.680pt;margin-top:3.531156pt;width:470.58pt;height:.481pt;mso-position-horizontal-relative:page;mso-position-vertical-relative:paragraph;z-index:-15578624;mso-wrap-distance-left:0;mso-wrap-distance-right:0" id="docshape604" filled="true" fillcolor="#4f81bc" stroked="false">
                <v:fill type="solid"/>
                <w10:wrap type="topAndBottom"/>
              </v:rect>
            </w:pict>
          </mc:Fallback>
        </mc:AlternateContent>
      </w:r>
    </w:p>
    <w:p>
      <w:pPr>
        <w:pStyle w:val="ListParagraph"/>
        <w:numPr>
          <w:ilvl w:val="1"/>
          <w:numId w:val="49"/>
        </w:numPr>
        <w:tabs>
          <w:tab w:pos="1417" w:val="left" w:leader="none"/>
          <w:tab w:pos="1419" w:val="left" w:leader="none"/>
        </w:tabs>
        <w:spacing w:line="276" w:lineRule="auto" w:before="241" w:after="0"/>
        <w:ind w:left="1419" w:right="343" w:hanging="361"/>
        <w:jc w:val="left"/>
        <w:rPr>
          <w:sz w:val="22"/>
        </w:rPr>
      </w:pPr>
      <w:r>
        <w:rPr>
          <w:sz w:val="22"/>
        </w:rPr>
        <w:t>Improve</w:t>
      </w:r>
      <w:r>
        <w:rPr>
          <w:spacing w:val="-5"/>
          <w:sz w:val="22"/>
        </w:rPr>
        <w:t> </w:t>
      </w:r>
      <w:r>
        <w:rPr>
          <w:sz w:val="22"/>
        </w:rPr>
        <w:t>SOGIE</w:t>
      </w:r>
      <w:r>
        <w:rPr>
          <w:spacing w:val="-6"/>
          <w:sz w:val="22"/>
        </w:rPr>
        <w:t> </w:t>
      </w:r>
      <w:r>
        <w:rPr>
          <w:sz w:val="22"/>
        </w:rPr>
        <w:t>data</w:t>
      </w:r>
      <w:r>
        <w:rPr>
          <w:spacing w:val="-5"/>
          <w:sz w:val="22"/>
        </w:rPr>
        <w:t> </w:t>
      </w:r>
      <w:r>
        <w:rPr>
          <w:sz w:val="22"/>
        </w:rPr>
        <w:t>collection</w:t>
      </w:r>
      <w:r>
        <w:rPr>
          <w:spacing w:val="-5"/>
          <w:sz w:val="22"/>
        </w:rPr>
        <w:t> </w:t>
      </w:r>
      <w:r>
        <w:rPr>
          <w:sz w:val="22"/>
        </w:rPr>
        <w:t>practices</w:t>
      </w:r>
      <w:r>
        <w:rPr>
          <w:spacing w:val="-5"/>
          <w:sz w:val="22"/>
        </w:rPr>
        <w:t> </w:t>
      </w:r>
      <w:r>
        <w:rPr>
          <w:sz w:val="22"/>
        </w:rPr>
        <w:t>for</w:t>
      </w:r>
      <w:r>
        <w:rPr>
          <w:spacing w:val="-5"/>
          <w:sz w:val="22"/>
        </w:rPr>
        <w:t> </w:t>
      </w:r>
      <w:r>
        <w:rPr>
          <w:sz w:val="22"/>
        </w:rPr>
        <w:t>the</w:t>
      </w:r>
      <w:r>
        <w:rPr>
          <w:spacing w:val="-5"/>
          <w:sz w:val="22"/>
        </w:rPr>
        <w:t> </w:t>
      </w:r>
      <w:r>
        <w:rPr>
          <w:sz w:val="22"/>
        </w:rPr>
        <w:t>Complaint</w:t>
      </w:r>
      <w:r>
        <w:rPr>
          <w:spacing w:val="-6"/>
          <w:sz w:val="22"/>
        </w:rPr>
        <w:t> </w:t>
      </w:r>
      <w:r>
        <w:rPr>
          <w:sz w:val="22"/>
        </w:rPr>
        <w:t>Line</w:t>
      </w:r>
      <w:r>
        <w:rPr>
          <w:spacing w:val="-5"/>
          <w:sz w:val="22"/>
        </w:rPr>
        <w:t> </w:t>
      </w:r>
      <w:r>
        <w:rPr>
          <w:sz w:val="22"/>
        </w:rPr>
        <w:t>and</w:t>
      </w:r>
      <w:r>
        <w:rPr>
          <w:spacing w:val="-5"/>
          <w:sz w:val="22"/>
        </w:rPr>
        <w:t> </w:t>
      </w:r>
      <w:r>
        <w:rPr>
          <w:sz w:val="22"/>
        </w:rPr>
        <w:t>provide</w:t>
      </w:r>
      <w:r>
        <w:rPr>
          <w:spacing w:val="-4"/>
          <w:sz w:val="22"/>
        </w:rPr>
        <w:t> </w:t>
      </w:r>
      <w:r>
        <w:rPr>
          <w:sz w:val="22"/>
        </w:rPr>
        <w:t>trainings</w:t>
      </w:r>
      <w:r>
        <w:rPr>
          <w:spacing w:val="-6"/>
          <w:sz w:val="22"/>
        </w:rPr>
        <w:t> </w:t>
      </w:r>
      <w:r>
        <w:rPr>
          <w:sz w:val="22"/>
        </w:rPr>
        <w:t>for</w:t>
      </w:r>
      <w:r>
        <w:rPr>
          <w:spacing w:val="-5"/>
          <w:sz w:val="22"/>
        </w:rPr>
        <w:t> </w:t>
      </w:r>
      <w:r>
        <w:rPr>
          <w:sz w:val="22"/>
        </w:rPr>
        <w:t>youth and staff on the Complaint Line process.</w:t>
      </w:r>
    </w:p>
    <w:p>
      <w:pPr>
        <w:pStyle w:val="ListParagraph"/>
        <w:numPr>
          <w:ilvl w:val="1"/>
          <w:numId w:val="49"/>
        </w:numPr>
        <w:tabs>
          <w:tab w:pos="1418" w:val="left" w:leader="none"/>
        </w:tabs>
        <w:spacing w:line="240" w:lineRule="auto" w:before="1" w:after="0"/>
        <w:ind w:left="1418" w:right="0" w:hanging="359"/>
        <w:jc w:val="left"/>
        <w:rPr>
          <w:sz w:val="22"/>
        </w:rPr>
      </w:pPr>
      <w:r>
        <w:rPr>
          <w:sz w:val="22"/>
        </w:rPr>
        <w:t>Visit,</w:t>
      </w:r>
      <w:r>
        <w:rPr>
          <w:spacing w:val="-9"/>
          <w:sz w:val="22"/>
        </w:rPr>
        <w:t> </w:t>
      </w:r>
      <w:r>
        <w:rPr>
          <w:sz w:val="22"/>
        </w:rPr>
        <w:t>investigate,</w:t>
      </w:r>
      <w:r>
        <w:rPr>
          <w:spacing w:val="-8"/>
          <w:sz w:val="22"/>
        </w:rPr>
        <w:t> </w:t>
      </w:r>
      <w:r>
        <w:rPr>
          <w:sz w:val="22"/>
        </w:rPr>
        <w:t>and</w:t>
      </w:r>
      <w:r>
        <w:rPr>
          <w:spacing w:val="-7"/>
          <w:sz w:val="22"/>
        </w:rPr>
        <w:t> </w:t>
      </w:r>
      <w:r>
        <w:rPr>
          <w:sz w:val="22"/>
        </w:rPr>
        <w:t>report</w:t>
      </w:r>
      <w:r>
        <w:rPr>
          <w:spacing w:val="-9"/>
          <w:sz w:val="22"/>
        </w:rPr>
        <w:t> </w:t>
      </w:r>
      <w:r>
        <w:rPr>
          <w:sz w:val="22"/>
        </w:rPr>
        <w:t>on</w:t>
      </w:r>
      <w:r>
        <w:rPr>
          <w:spacing w:val="-7"/>
          <w:sz w:val="22"/>
        </w:rPr>
        <w:t> </w:t>
      </w:r>
      <w:r>
        <w:rPr>
          <w:sz w:val="22"/>
        </w:rPr>
        <w:t>congregate</w:t>
      </w:r>
      <w:r>
        <w:rPr>
          <w:spacing w:val="-8"/>
          <w:sz w:val="22"/>
        </w:rPr>
        <w:t> </w:t>
      </w:r>
      <w:r>
        <w:rPr>
          <w:sz w:val="22"/>
        </w:rPr>
        <w:t>care</w:t>
      </w:r>
      <w:r>
        <w:rPr>
          <w:spacing w:val="-7"/>
          <w:sz w:val="22"/>
        </w:rPr>
        <w:t> </w:t>
      </w:r>
      <w:r>
        <w:rPr>
          <w:spacing w:val="-2"/>
          <w:sz w:val="22"/>
        </w:rPr>
        <w:t>facilities.</w:t>
      </w:r>
    </w:p>
    <w:p>
      <w:pPr>
        <w:pStyle w:val="ListParagraph"/>
        <w:numPr>
          <w:ilvl w:val="1"/>
          <w:numId w:val="49"/>
        </w:numPr>
        <w:tabs>
          <w:tab w:pos="1418" w:val="left" w:leader="none"/>
        </w:tabs>
        <w:spacing w:line="240" w:lineRule="auto" w:before="41" w:after="0"/>
        <w:ind w:left="1418" w:right="0" w:hanging="359"/>
        <w:jc w:val="left"/>
        <w:rPr>
          <w:sz w:val="22"/>
        </w:rPr>
      </w:pPr>
      <w:r>
        <w:rPr>
          <w:sz w:val="22"/>
        </w:rPr>
        <w:t>Conduct</w:t>
      </w:r>
      <w:r>
        <w:rPr>
          <w:spacing w:val="-8"/>
          <w:sz w:val="22"/>
        </w:rPr>
        <w:t> </w:t>
      </w:r>
      <w:r>
        <w:rPr>
          <w:sz w:val="22"/>
        </w:rPr>
        <w:t>a</w:t>
      </w:r>
      <w:r>
        <w:rPr>
          <w:spacing w:val="-8"/>
          <w:sz w:val="22"/>
        </w:rPr>
        <w:t> </w:t>
      </w:r>
      <w:r>
        <w:rPr>
          <w:sz w:val="22"/>
        </w:rPr>
        <w:t>LGBTQ</w:t>
      </w:r>
      <w:r>
        <w:rPr>
          <w:spacing w:val="-8"/>
          <w:sz w:val="22"/>
        </w:rPr>
        <w:t> </w:t>
      </w:r>
      <w:r>
        <w:rPr>
          <w:sz w:val="22"/>
        </w:rPr>
        <w:t>training</w:t>
      </w:r>
      <w:r>
        <w:rPr>
          <w:spacing w:val="-6"/>
          <w:sz w:val="22"/>
        </w:rPr>
        <w:t> </w:t>
      </w:r>
      <w:r>
        <w:rPr>
          <w:sz w:val="22"/>
        </w:rPr>
        <w:t>audit</w:t>
      </w:r>
      <w:r>
        <w:rPr>
          <w:spacing w:val="-8"/>
          <w:sz w:val="22"/>
        </w:rPr>
        <w:t> </w:t>
      </w:r>
      <w:r>
        <w:rPr>
          <w:sz w:val="22"/>
        </w:rPr>
        <w:t>of</w:t>
      </w:r>
      <w:r>
        <w:rPr>
          <w:spacing w:val="-9"/>
          <w:sz w:val="22"/>
        </w:rPr>
        <w:t> </w:t>
      </w:r>
      <w:r>
        <w:rPr>
          <w:sz w:val="22"/>
        </w:rPr>
        <w:t>youth-serving</w:t>
      </w:r>
      <w:r>
        <w:rPr>
          <w:spacing w:val="-8"/>
          <w:sz w:val="22"/>
        </w:rPr>
        <w:t> </w:t>
      </w:r>
      <w:r>
        <w:rPr>
          <w:spacing w:val="-2"/>
          <w:sz w:val="22"/>
        </w:rPr>
        <w:t>facilities.</w:t>
      </w:r>
    </w:p>
    <w:p>
      <w:pPr>
        <w:pStyle w:val="ListParagraph"/>
        <w:numPr>
          <w:ilvl w:val="1"/>
          <w:numId w:val="49"/>
        </w:numPr>
        <w:tabs>
          <w:tab w:pos="1419" w:val="left" w:leader="none"/>
        </w:tabs>
        <w:spacing w:line="240" w:lineRule="auto" w:before="40" w:after="0"/>
        <w:ind w:left="1419" w:right="0" w:hanging="359"/>
        <w:jc w:val="left"/>
        <w:rPr>
          <w:sz w:val="22"/>
        </w:rPr>
      </w:pPr>
      <w:r>
        <w:rPr>
          <w:sz w:val="22"/>
        </w:rPr>
        <w:t>Address</w:t>
      </w:r>
      <w:r>
        <w:rPr>
          <w:spacing w:val="-8"/>
          <w:sz w:val="22"/>
        </w:rPr>
        <w:t> </w:t>
      </w:r>
      <w:r>
        <w:rPr>
          <w:sz w:val="22"/>
        </w:rPr>
        <w:t>LGBTQ</w:t>
      </w:r>
      <w:r>
        <w:rPr>
          <w:spacing w:val="-7"/>
          <w:sz w:val="22"/>
        </w:rPr>
        <w:t> </w:t>
      </w:r>
      <w:r>
        <w:rPr>
          <w:sz w:val="22"/>
        </w:rPr>
        <w:t>youth</w:t>
      </w:r>
      <w:r>
        <w:rPr>
          <w:spacing w:val="-6"/>
          <w:sz w:val="22"/>
        </w:rPr>
        <w:t> </w:t>
      </w:r>
      <w:r>
        <w:rPr>
          <w:sz w:val="22"/>
        </w:rPr>
        <w:t>in</w:t>
      </w:r>
      <w:r>
        <w:rPr>
          <w:spacing w:val="-6"/>
          <w:sz w:val="22"/>
        </w:rPr>
        <w:t> </w:t>
      </w:r>
      <w:r>
        <w:rPr>
          <w:sz w:val="22"/>
        </w:rPr>
        <w:t>public</w:t>
      </w:r>
      <w:r>
        <w:rPr>
          <w:spacing w:val="-8"/>
          <w:sz w:val="22"/>
        </w:rPr>
        <w:t> </w:t>
      </w:r>
      <w:r>
        <w:rPr>
          <w:sz w:val="22"/>
        </w:rPr>
        <w:t>affairs</w:t>
      </w:r>
      <w:r>
        <w:rPr>
          <w:spacing w:val="-8"/>
          <w:sz w:val="22"/>
        </w:rPr>
        <w:t> </w:t>
      </w:r>
      <w:r>
        <w:rPr>
          <w:spacing w:val="-4"/>
          <w:sz w:val="22"/>
        </w:rPr>
        <w:t>work.</w:t>
      </w:r>
    </w:p>
    <w:p>
      <w:pPr>
        <w:pStyle w:val="ListParagraph"/>
        <w:numPr>
          <w:ilvl w:val="1"/>
          <w:numId w:val="49"/>
        </w:numPr>
        <w:tabs>
          <w:tab w:pos="1419" w:val="left" w:leader="none"/>
        </w:tabs>
        <w:spacing w:line="240" w:lineRule="auto" w:before="39" w:after="0"/>
        <w:ind w:left="1419" w:right="0" w:hanging="359"/>
        <w:jc w:val="left"/>
        <w:rPr>
          <w:sz w:val="22"/>
        </w:rPr>
      </w:pPr>
      <w:r>
        <w:rPr>
          <w:sz w:val="22"/>
        </w:rPr>
        <w:t>Ensure</w:t>
      </w:r>
      <w:r>
        <w:rPr>
          <w:spacing w:val="-8"/>
          <w:sz w:val="22"/>
        </w:rPr>
        <w:t> </w:t>
      </w:r>
      <w:r>
        <w:rPr>
          <w:sz w:val="22"/>
        </w:rPr>
        <w:t>meaningful</w:t>
      </w:r>
      <w:r>
        <w:rPr>
          <w:spacing w:val="-9"/>
          <w:sz w:val="22"/>
        </w:rPr>
        <w:t> </w:t>
      </w:r>
      <w:r>
        <w:rPr>
          <w:sz w:val="22"/>
        </w:rPr>
        <w:t>LGBTQ</w:t>
      </w:r>
      <w:r>
        <w:rPr>
          <w:spacing w:val="-8"/>
          <w:sz w:val="22"/>
        </w:rPr>
        <w:t> </w:t>
      </w:r>
      <w:r>
        <w:rPr>
          <w:sz w:val="22"/>
        </w:rPr>
        <w:t>community</w:t>
      </w:r>
      <w:r>
        <w:rPr>
          <w:spacing w:val="-7"/>
          <w:sz w:val="22"/>
        </w:rPr>
        <w:t> </w:t>
      </w:r>
      <w:r>
        <w:rPr>
          <w:sz w:val="22"/>
        </w:rPr>
        <w:t>participation</w:t>
      </w:r>
      <w:r>
        <w:rPr>
          <w:spacing w:val="-8"/>
          <w:sz w:val="22"/>
        </w:rPr>
        <w:t> </w:t>
      </w:r>
      <w:r>
        <w:rPr>
          <w:sz w:val="22"/>
        </w:rPr>
        <w:t>and</w:t>
      </w:r>
      <w:r>
        <w:rPr>
          <w:spacing w:val="-9"/>
          <w:sz w:val="22"/>
        </w:rPr>
        <w:t> </w:t>
      </w:r>
      <w:r>
        <w:rPr>
          <w:sz w:val="22"/>
        </w:rPr>
        <w:t>input</w:t>
      </w:r>
      <w:r>
        <w:rPr>
          <w:spacing w:val="-8"/>
          <w:sz w:val="22"/>
        </w:rPr>
        <w:t> </w:t>
      </w:r>
      <w:r>
        <w:rPr>
          <w:sz w:val="22"/>
        </w:rPr>
        <w:t>in</w:t>
      </w:r>
      <w:r>
        <w:rPr>
          <w:spacing w:val="-8"/>
          <w:sz w:val="22"/>
        </w:rPr>
        <w:t> </w:t>
      </w:r>
      <w:r>
        <w:rPr>
          <w:sz w:val="22"/>
        </w:rPr>
        <w:t>all</w:t>
      </w:r>
      <w:r>
        <w:rPr>
          <w:spacing w:val="-8"/>
          <w:sz w:val="22"/>
        </w:rPr>
        <w:t> </w:t>
      </w:r>
      <w:r>
        <w:rPr>
          <w:sz w:val="22"/>
        </w:rPr>
        <w:t>projects</w:t>
      </w:r>
      <w:r>
        <w:rPr>
          <w:spacing w:val="-7"/>
          <w:sz w:val="22"/>
        </w:rPr>
        <w:t> </w:t>
      </w:r>
      <w:r>
        <w:rPr>
          <w:sz w:val="22"/>
        </w:rPr>
        <w:t>and</w:t>
      </w:r>
      <w:r>
        <w:rPr>
          <w:spacing w:val="-8"/>
          <w:sz w:val="22"/>
        </w:rPr>
        <w:t> </w:t>
      </w:r>
      <w:r>
        <w:rPr>
          <w:spacing w:val="-2"/>
          <w:sz w:val="22"/>
        </w:rPr>
        <w:t>initiatives.</w:t>
      </w:r>
    </w:p>
    <w:p>
      <w:pPr>
        <w:pStyle w:val="ListParagraph"/>
        <w:numPr>
          <w:ilvl w:val="1"/>
          <w:numId w:val="49"/>
        </w:numPr>
        <w:tabs>
          <w:tab w:pos="1419" w:val="left" w:leader="none"/>
        </w:tabs>
        <w:spacing w:line="240" w:lineRule="auto" w:before="41" w:after="0"/>
        <w:ind w:left="1419" w:right="0" w:hanging="359"/>
        <w:jc w:val="left"/>
        <w:rPr>
          <w:sz w:val="22"/>
        </w:rPr>
      </w:pPr>
      <w:r>
        <w:rPr>
          <w:sz w:val="22"/>
        </w:rPr>
        <w:t>Address</w:t>
      </w:r>
      <w:r>
        <w:rPr>
          <w:spacing w:val="-10"/>
          <w:sz w:val="22"/>
        </w:rPr>
        <w:t> </w:t>
      </w:r>
      <w:r>
        <w:rPr>
          <w:sz w:val="22"/>
        </w:rPr>
        <w:t>the</w:t>
      </w:r>
      <w:r>
        <w:rPr>
          <w:spacing w:val="-8"/>
          <w:sz w:val="22"/>
        </w:rPr>
        <w:t> </w:t>
      </w:r>
      <w:r>
        <w:rPr>
          <w:sz w:val="22"/>
        </w:rPr>
        <w:t>needs</w:t>
      </w:r>
      <w:r>
        <w:rPr>
          <w:spacing w:val="-9"/>
          <w:sz w:val="22"/>
        </w:rPr>
        <w:t> </w:t>
      </w:r>
      <w:r>
        <w:rPr>
          <w:sz w:val="22"/>
        </w:rPr>
        <w:t>of</w:t>
      </w:r>
      <w:r>
        <w:rPr>
          <w:spacing w:val="-9"/>
          <w:sz w:val="22"/>
        </w:rPr>
        <w:t> </w:t>
      </w:r>
      <w:r>
        <w:rPr>
          <w:sz w:val="22"/>
        </w:rPr>
        <w:t>LGBTQ</w:t>
      </w:r>
      <w:r>
        <w:rPr>
          <w:spacing w:val="-8"/>
          <w:sz w:val="22"/>
        </w:rPr>
        <w:t> </w:t>
      </w:r>
      <w:r>
        <w:rPr>
          <w:sz w:val="22"/>
        </w:rPr>
        <w:t>transition-aged</w:t>
      </w:r>
      <w:r>
        <w:rPr>
          <w:spacing w:val="-10"/>
          <w:sz w:val="22"/>
        </w:rPr>
        <w:t> </w:t>
      </w:r>
      <w:r>
        <w:rPr>
          <w:spacing w:val="-2"/>
          <w:sz w:val="22"/>
        </w:rPr>
        <w:t>youth.</w:t>
      </w:r>
    </w:p>
    <w:p>
      <w:pPr>
        <w:pStyle w:val="ListParagraph"/>
        <w:numPr>
          <w:ilvl w:val="1"/>
          <w:numId w:val="49"/>
        </w:numPr>
        <w:tabs>
          <w:tab w:pos="1418" w:val="left" w:leader="none"/>
          <w:tab w:pos="1420" w:val="left" w:leader="none"/>
        </w:tabs>
        <w:spacing w:line="276" w:lineRule="auto" w:before="40" w:after="0"/>
        <w:ind w:left="1420" w:right="342" w:hanging="361"/>
        <w:jc w:val="left"/>
        <w:rPr>
          <w:sz w:val="22"/>
        </w:rPr>
      </w:pPr>
      <w:r>
        <w:rPr>
          <w:sz w:val="22"/>
        </w:rPr>
        <w:t>Continue</w:t>
      </w:r>
      <w:r>
        <w:rPr>
          <w:spacing w:val="39"/>
          <w:sz w:val="22"/>
        </w:rPr>
        <w:t> </w:t>
      </w:r>
      <w:r>
        <w:rPr>
          <w:sz w:val="22"/>
        </w:rPr>
        <w:t>to</w:t>
      </w:r>
      <w:r>
        <w:rPr>
          <w:spacing w:val="39"/>
          <w:sz w:val="22"/>
        </w:rPr>
        <w:t> </w:t>
      </w:r>
      <w:r>
        <w:rPr>
          <w:sz w:val="22"/>
        </w:rPr>
        <w:t>report</w:t>
      </w:r>
      <w:r>
        <w:rPr>
          <w:spacing w:val="38"/>
          <w:sz w:val="22"/>
        </w:rPr>
        <w:t> </w:t>
      </w:r>
      <w:r>
        <w:rPr>
          <w:sz w:val="22"/>
        </w:rPr>
        <w:t>on</w:t>
      </w:r>
      <w:r>
        <w:rPr>
          <w:spacing w:val="38"/>
          <w:sz w:val="22"/>
        </w:rPr>
        <w:t> </w:t>
      </w:r>
      <w:r>
        <w:rPr>
          <w:sz w:val="22"/>
        </w:rPr>
        <w:t>available</w:t>
      </w:r>
      <w:r>
        <w:rPr>
          <w:spacing w:val="38"/>
          <w:sz w:val="22"/>
        </w:rPr>
        <w:t> </w:t>
      </w:r>
      <w:r>
        <w:rPr>
          <w:sz w:val="22"/>
        </w:rPr>
        <w:t>SOGI</w:t>
      </w:r>
      <w:r>
        <w:rPr>
          <w:spacing w:val="38"/>
          <w:sz w:val="22"/>
        </w:rPr>
        <w:t> </w:t>
      </w:r>
      <w:r>
        <w:rPr>
          <w:sz w:val="22"/>
        </w:rPr>
        <w:t>data</w:t>
      </w:r>
      <w:r>
        <w:rPr>
          <w:spacing w:val="39"/>
          <w:sz w:val="22"/>
        </w:rPr>
        <w:t> </w:t>
      </w:r>
      <w:r>
        <w:rPr>
          <w:sz w:val="22"/>
        </w:rPr>
        <w:t>and</w:t>
      </w:r>
      <w:r>
        <w:rPr>
          <w:spacing w:val="38"/>
          <w:sz w:val="22"/>
        </w:rPr>
        <w:t> </w:t>
      </w:r>
      <w:r>
        <w:rPr>
          <w:sz w:val="22"/>
        </w:rPr>
        <w:t>collaborate</w:t>
      </w:r>
      <w:r>
        <w:rPr>
          <w:spacing w:val="38"/>
          <w:sz w:val="22"/>
        </w:rPr>
        <w:t> </w:t>
      </w:r>
      <w:r>
        <w:rPr>
          <w:sz w:val="22"/>
        </w:rPr>
        <w:t>with</w:t>
      </w:r>
      <w:r>
        <w:rPr>
          <w:spacing w:val="38"/>
          <w:sz w:val="22"/>
        </w:rPr>
        <w:t> </w:t>
      </w:r>
      <w:r>
        <w:rPr>
          <w:sz w:val="22"/>
        </w:rPr>
        <w:t>child-serving</w:t>
      </w:r>
      <w:r>
        <w:rPr>
          <w:spacing w:val="38"/>
          <w:sz w:val="22"/>
        </w:rPr>
        <w:t> </w:t>
      </w:r>
      <w:r>
        <w:rPr>
          <w:sz w:val="22"/>
        </w:rPr>
        <w:t>agencies</w:t>
      </w:r>
      <w:r>
        <w:rPr>
          <w:spacing w:val="40"/>
          <w:sz w:val="22"/>
        </w:rPr>
        <w:t> </w:t>
      </w:r>
      <w:r>
        <w:rPr>
          <w:sz w:val="22"/>
        </w:rPr>
        <w:t>on consistent reporting and intersectional data analysis.</w:t>
      </w:r>
    </w:p>
    <w:p>
      <w:pPr>
        <w:pStyle w:val="ListParagraph"/>
        <w:numPr>
          <w:ilvl w:val="1"/>
          <w:numId w:val="49"/>
        </w:numPr>
        <w:tabs>
          <w:tab w:pos="1418" w:val="left" w:leader="none"/>
          <w:tab w:pos="1420" w:val="left" w:leader="none"/>
        </w:tabs>
        <w:spacing w:line="276" w:lineRule="auto" w:before="0" w:after="0"/>
        <w:ind w:left="1420" w:right="343" w:hanging="361"/>
        <w:jc w:val="left"/>
        <w:rPr>
          <w:sz w:val="22"/>
        </w:rPr>
      </w:pPr>
      <w:r>
        <w:rPr>
          <w:sz w:val="22"/>
        </w:rPr>
        <w:t>Examine</w:t>
      </w:r>
      <w:r>
        <w:rPr>
          <w:spacing w:val="-3"/>
          <w:sz w:val="22"/>
        </w:rPr>
        <w:t> </w:t>
      </w:r>
      <w:r>
        <w:rPr>
          <w:sz w:val="22"/>
        </w:rPr>
        <w:t>needs</w:t>
      </w:r>
      <w:r>
        <w:rPr>
          <w:spacing w:val="-4"/>
          <w:sz w:val="22"/>
        </w:rPr>
        <w:t> </w:t>
      </w:r>
      <w:r>
        <w:rPr>
          <w:sz w:val="22"/>
        </w:rPr>
        <w:t>of</w:t>
      </w:r>
      <w:r>
        <w:rPr>
          <w:spacing w:val="-4"/>
          <w:sz w:val="22"/>
        </w:rPr>
        <w:t> </w:t>
      </w:r>
      <w:r>
        <w:rPr>
          <w:sz w:val="22"/>
        </w:rPr>
        <w:t>LGBTQ</w:t>
      </w:r>
      <w:r>
        <w:rPr>
          <w:spacing w:val="-2"/>
          <w:sz w:val="22"/>
        </w:rPr>
        <w:t> </w:t>
      </w:r>
      <w:r>
        <w:rPr>
          <w:sz w:val="22"/>
        </w:rPr>
        <w:t>youth</w:t>
      </w:r>
      <w:r>
        <w:rPr>
          <w:spacing w:val="-3"/>
          <w:sz w:val="22"/>
        </w:rPr>
        <w:t> </w:t>
      </w:r>
      <w:r>
        <w:rPr>
          <w:sz w:val="22"/>
        </w:rPr>
        <w:t>in</w:t>
      </w:r>
      <w:r>
        <w:rPr>
          <w:spacing w:val="-3"/>
          <w:sz w:val="22"/>
        </w:rPr>
        <w:t> </w:t>
      </w:r>
      <w:r>
        <w:rPr>
          <w:sz w:val="22"/>
        </w:rPr>
        <w:t>residential</w:t>
      </w:r>
      <w:r>
        <w:rPr>
          <w:spacing w:val="-3"/>
          <w:sz w:val="22"/>
        </w:rPr>
        <w:t> </w:t>
      </w:r>
      <w:r>
        <w:rPr>
          <w:sz w:val="22"/>
        </w:rPr>
        <w:t>schools</w:t>
      </w:r>
      <w:r>
        <w:rPr>
          <w:spacing w:val="-4"/>
          <w:sz w:val="22"/>
        </w:rPr>
        <w:t> </w:t>
      </w:r>
      <w:r>
        <w:rPr>
          <w:sz w:val="22"/>
        </w:rPr>
        <w:t>and</w:t>
      </w:r>
      <w:r>
        <w:rPr>
          <w:spacing w:val="-3"/>
          <w:sz w:val="22"/>
        </w:rPr>
        <w:t> </w:t>
      </w:r>
      <w:r>
        <w:rPr>
          <w:sz w:val="22"/>
        </w:rPr>
        <w:t>identify</w:t>
      </w:r>
      <w:r>
        <w:rPr>
          <w:spacing w:val="-3"/>
          <w:sz w:val="22"/>
        </w:rPr>
        <w:t> </w:t>
      </w:r>
      <w:r>
        <w:rPr>
          <w:sz w:val="22"/>
        </w:rPr>
        <w:t>opportunities</w:t>
      </w:r>
      <w:r>
        <w:rPr>
          <w:spacing w:val="-4"/>
          <w:sz w:val="22"/>
        </w:rPr>
        <w:t> </w:t>
      </w:r>
      <w:r>
        <w:rPr>
          <w:sz w:val="22"/>
        </w:rPr>
        <w:t>to</w:t>
      </w:r>
      <w:r>
        <w:rPr>
          <w:spacing w:val="-2"/>
          <w:sz w:val="22"/>
        </w:rPr>
        <w:t> </w:t>
      </w:r>
      <w:r>
        <w:rPr>
          <w:sz w:val="22"/>
        </w:rPr>
        <w:t>collaborate with the Commission’s Safe Schools Program.</w:t>
      </w:r>
    </w:p>
    <w:p>
      <w:pPr>
        <w:pStyle w:val="ListParagraph"/>
        <w:numPr>
          <w:ilvl w:val="1"/>
          <w:numId w:val="49"/>
        </w:numPr>
        <w:tabs>
          <w:tab w:pos="1419" w:val="left" w:leader="none"/>
          <w:tab w:pos="1421" w:val="left" w:leader="none"/>
        </w:tabs>
        <w:spacing w:line="276" w:lineRule="auto" w:before="1" w:after="0"/>
        <w:ind w:left="1421" w:right="343" w:hanging="361"/>
        <w:jc w:val="left"/>
        <w:rPr>
          <w:sz w:val="22"/>
        </w:rPr>
      </w:pPr>
      <w:r>
        <w:rPr>
          <w:sz w:val="22"/>
        </w:rPr>
        <w:t>Continue</w:t>
      </w:r>
      <w:r>
        <w:rPr>
          <w:spacing w:val="-13"/>
          <w:sz w:val="22"/>
        </w:rPr>
        <w:t> </w:t>
      </w:r>
      <w:r>
        <w:rPr>
          <w:sz w:val="22"/>
        </w:rPr>
        <w:t>to</w:t>
      </w:r>
      <w:r>
        <w:rPr>
          <w:spacing w:val="-13"/>
          <w:sz w:val="22"/>
        </w:rPr>
        <w:t> </w:t>
      </w:r>
      <w:r>
        <w:rPr>
          <w:sz w:val="22"/>
        </w:rPr>
        <w:t>identify</w:t>
      </w:r>
      <w:r>
        <w:rPr>
          <w:spacing w:val="-12"/>
          <w:sz w:val="22"/>
        </w:rPr>
        <w:t> </w:t>
      </w:r>
      <w:r>
        <w:rPr>
          <w:sz w:val="22"/>
        </w:rPr>
        <w:t>opportunities</w:t>
      </w:r>
      <w:r>
        <w:rPr>
          <w:spacing w:val="-13"/>
          <w:sz w:val="22"/>
        </w:rPr>
        <w:t> </w:t>
      </w:r>
      <w:r>
        <w:rPr>
          <w:sz w:val="22"/>
        </w:rPr>
        <w:t>to</w:t>
      </w:r>
      <w:r>
        <w:rPr>
          <w:spacing w:val="-13"/>
          <w:sz w:val="22"/>
        </w:rPr>
        <w:t> </w:t>
      </w:r>
      <w:r>
        <w:rPr>
          <w:sz w:val="22"/>
        </w:rPr>
        <w:t>address</w:t>
      </w:r>
      <w:r>
        <w:rPr>
          <w:spacing w:val="-13"/>
          <w:sz w:val="22"/>
        </w:rPr>
        <w:t> </w:t>
      </w:r>
      <w:r>
        <w:rPr>
          <w:sz w:val="22"/>
        </w:rPr>
        <w:t>suicidality</w:t>
      </w:r>
      <w:r>
        <w:rPr>
          <w:spacing w:val="-13"/>
          <w:sz w:val="22"/>
        </w:rPr>
        <w:t> </w:t>
      </w:r>
      <w:r>
        <w:rPr>
          <w:sz w:val="22"/>
        </w:rPr>
        <w:t>among</w:t>
      </w:r>
      <w:r>
        <w:rPr>
          <w:spacing w:val="-12"/>
          <w:sz w:val="22"/>
        </w:rPr>
        <w:t> </w:t>
      </w:r>
      <w:r>
        <w:rPr>
          <w:sz w:val="22"/>
        </w:rPr>
        <w:t>LGBTQ</w:t>
      </w:r>
      <w:r>
        <w:rPr>
          <w:spacing w:val="-13"/>
          <w:sz w:val="22"/>
        </w:rPr>
        <w:t> </w:t>
      </w:r>
      <w:r>
        <w:rPr>
          <w:sz w:val="22"/>
        </w:rPr>
        <w:t>youth,</w:t>
      </w:r>
      <w:r>
        <w:rPr>
          <w:spacing w:val="-13"/>
          <w:sz w:val="22"/>
        </w:rPr>
        <w:t> </w:t>
      </w:r>
      <w:r>
        <w:rPr>
          <w:sz w:val="22"/>
        </w:rPr>
        <w:t>including</w:t>
      </w:r>
      <w:r>
        <w:rPr>
          <w:spacing w:val="-13"/>
          <w:sz w:val="22"/>
        </w:rPr>
        <w:t> </w:t>
      </w:r>
      <w:r>
        <w:rPr>
          <w:sz w:val="22"/>
        </w:rPr>
        <w:t>through collaboration with the Commission.</w:t>
      </w:r>
    </w:p>
    <w:p>
      <w:pPr>
        <w:pStyle w:val="BodyText"/>
        <w:spacing w:before="71"/>
        <w:rPr>
          <w:sz w:val="20"/>
        </w:rPr>
      </w:pPr>
      <w:r>
        <w:rPr/>
        <mc:AlternateContent>
          <mc:Choice Requires="wps">
            <w:drawing>
              <wp:anchor distT="0" distB="0" distL="0" distR="0" allowOverlap="1" layoutInCell="1" locked="0" behindDoc="1" simplePos="0" relativeHeight="487738368">
                <wp:simplePos x="0" y="0"/>
                <wp:positionH relativeFrom="page">
                  <wp:posOffset>889000</wp:posOffset>
                </wp:positionH>
                <wp:positionV relativeFrom="paragraph">
                  <wp:posOffset>215394</wp:posOffset>
                </wp:positionV>
                <wp:extent cx="6350" cy="12700"/>
                <wp:effectExtent l="0" t="0" r="0" b="0"/>
                <wp:wrapTopAndBottom/>
                <wp:docPr id="708" name="Graphic 708"/>
                <wp:cNvGraphicFramePr>
                  <a:graphicFrameLocks/>
                </wp:cNvGraphicFramePr>
                <a:graphic>
                  <a:graphicData uri="http://schemas.microsoft.com/office/word/2010/wordprocessingShape">
                    <wps:wsp>
                      <wps:cNvPr id="708" name="Graphic 708"/>
                      <wps:cNvSpPr/>
                      <wps:spPr>
                        <a:xfrm>
                          <a:off x="0" y="0"/>
                          <a:ext cx="6350" cy="12700"/>
                        </a:xfrm>
                        <a:custGeom>
                          <a:avLst/>
                          <a:gdLst/>
                          <a:ahLst/>
                          <a:cxnLst/>
                          <a:rect l="l" t="t" r="r" b="b"/>
                          <a:pathLst>
                            <a:path w="6350" h="12700">
                              <a:moveTo>
                                <a:pt x="6337" y="0"/>
                              </a:moveTo>
                              <a:lnTo>
                                <a:pt x="0" y="0"/>
                              </a:lnTo>
                              <a:lnTo>
                                <a:pt x="0" y="12217"/>
                              </a:lnTo>
                              <a:lnTo>
                                <a:pt x="6337" y="12217"/>
                              </a:lnTo>
                              <a:lnTo>
                                <a:pt x="6337" y="0"/>
                              </a:lnTo>
                              <a:close/>
                            </a:path>
                          </a:pathLst>
                        </a:custGeom>
                        <a:solidFill>
                          <a:srgbClr val="4F81BB"/>
                        </a:solidFill>
                      </wps:spPr>
                      <wps:bodyPr wrap="square" lIns="0" tIns="0" rIns="0" bIns="0" rtlCol="0">
                        <a:prstTxWarp prst="textNoShape">
                          <a:avLst/>
                        </a:prstTxWarp>
                        <a:noAutofit/>
                      </wps:bodyPr>
                    </wps:wsp>
                  </a:graphicData>
                </a:graphic>
              </wp:anchor>
            </w:drawing>
          </mc:Choice>
          <mc:Fallback>
            <w:pict>
              <v:rect style="position:absolute;margin-left:70pt;margin-top:16.960173pt;width:.499pt;height:.962pt;mso-position-horizontal-relative:page;mso-position-vertical-relative:paragraph;z-index:-15578112;mso-wrap-distance-left:0;mso-wrap-distance-right:0" id="docshape605" filled="true" fillcolor="#4f81bb" stroked="false">
                <v:fill type="solid"/>
                <w10:wrap type="topAndBottom"/>
              </v:rect>
            </w:pict>
          </mc:Fallback>
        </mc:AlternateContent>
      </w:r>
    </w:p>
    <w:p>
      <w:pPr>
        <w:spacing w:before="0"/>
        <w:ind w:left="483" w:right="0" w:firstLine="0"/>
        <w:jc w:val="left"/>
        <w:rPr>
          <w:sz w:val="28"/>
        </w:rPr>
      </w:pPr>
      <w:r>
        <w:rPr>
          <w:color w:val="365F91"/>
          <w:spacing w:val="-2"/>
          <w:sz w:val="28"/>
        </w:rPr>
        <w:t>Introduction</w:t>
      </w:r>
    </w:p>
    <w:p>
      <w:pPr>
        <w:pStyle w:val="BodyText"/>
        <w:spacing w:before="10"/>
        <w:rPr>
          <w:sz w:val="3"/>
        </w:rPr>
      </w:pPr>
      <w:r>
        <w:rPr/>
        <mc:AlternateContent>
          <mc:Choice Requires="wps">
            <w:drawing>
              <wp:anchor distT="0" distB="0" distL="0" distR="0" allowOverlap="1" layoutInCell="1" locked="0" behindDoc="1" simplePos="0" relativeHeight="487738880">
                <wp:simplePos x="0" y="0"/>
                <wp:positionH relativeFrom="page">
                  <wp:posOffset>897636</wp:posOffset>
                </wp:positionH>
                <wp:positionV relativeFrom="paragraph">
                  <wp:posOffset>45391</wp:posOffset>
                </wp:positionV>
                <wp:extent cx="5976620" cy="6350"/>
                <wp:effectExtent l="0" t="0" r="0" b="0"/>
                <wp:wrapTopAndBottom/>
                <wp:docPr id="709" name="Graphic 709"/>
                <wp:cNvGraphicFramePr>
                  <a:graphicFrameLocks/>
                </wp:cNvGraphicFramePr>
                <a:graphic>
                  <a:graphicData uri="http://schemas.microsoft.com/office/word/2010/wordprocessingShape">
                    <wps:wsp>
                      <wps:cNvPr id="709" name="Graphic 709"/>
                      <wps:cNvSpPr/>
                      <wps:spPr>
                        <a:xfrm>
                          <a:off x="0" y="0"/>
                          <a:ext cx="5976620" cy="6350"/>
                        </a:xfrm>
                        <a:custGeom>
                          <a:avLst/>
                          <a:gdLst/>
                          <a:ahLst/>
                          <a:cxnLst/>
                          <a:rect l="l" t="t" r="r" b="b"/>
                          <a:pathLst>
                            <a:path w="5976620" h="6350">
                              <a:moveTo>
                                <a:pt x="5976366" y="0"/>
                              </a:moveTo>
                              <a:lnTo>
                                <a:pt x="0" y="0"/>
                              </a:lnTo>
                              <a:lnTo>
                                <a:pt x="0" y="6096"/>
                              </a:lnTo>
                              <a:lnTo>
                                <a:pt x="5976366" y="6096"/>
                              </a:lnTo>
                              <a:lnTo>
                                <a:pt x="5976366" y="0"/>
                              </a:lnTo>
                              <a:close/>
                            </a:path>
                          </a:pathLst>
                        </a:custGeom>
                        <a:solidFill>
                          <a:srgbClr val="4F81BC"/>
                        </a:solidFill>
                      </wps:spPr>
                      <wps:bodyPr wrap="square" lIns="0" tIns="0" rIns="0" bIns="0" rtlCol="0">
                        <a:prstTxWarp prst="textNoShape">
                          <a:avLst/>
                        </a:prstTxWarp>
                        <a:noAutofit/>
                      </wps:bodyPr>
                    </wps:wsp>
                  </a:graphicData>
                </a:graphic>
              </wp:anchor>
            </w:drawing>
          </mc:Choice>
          <mc:Fallback>
            <w:pict>
              <v:rect style="position:absolute;margin-left:70.680pt;margin-top:3.574156pt;width:470.58pt;height:.48pt;mso-position-horizontal-relative:page;mso-position-vertical-relative:paragraph;z-index:-15577600;mso-wrap-distance-left:0;mso-wrap-distance-right:0" id="docshape606" filled="true" fillcolor="#4f81bc" stroked="false">
                <v:fill type="solid"/>
                <w10:wrap type="topAndBottom"/>
              </v:rect>
            </w:pict>
          </mc:Fallback>
        </mc:AlternateContent>
      </w:r>
    </w:p>
    <w:p>
      <w:pPr>
        <w:spacing w:line="276" w:lineRule="auto" w:before="241"/>
        <w:ind w:left="483" w:right="340" w:firstLine="0"/>
        <w:jc w:val="both"/>
        <w:rPr>
          <w:sz w:val="21"/>
        </w:rPr>
      </w:pPr>
      <w:r>
        <w:rPr>
          <w:sz w:val="21"/>
        </w:rPr>
        <w:t>The Commission first issued recommendations to the OCA in FY 2023, focusing on better understanding the experiences</w:t>
      </w:r>
      <w:r>
        <w:rPr>
          <w:spacing w:val="-10"/>
          <w:sz w:val="21"/>
        </w:rPr>
        <w:t> </w:t>
      </w:r>
      <w:r>
        <w:rPr>
          <w:sz w:val="21"/>
        </w:rPr>
        <w:t>of</w:t>
      </w:r>
      <w:r>
        <w:rPr>
          <w:spacing w:val="-10"/>
          <w:sz w:val="21"/>
        </w:rPr>
        <w:t> </w:t>
      </w:r>
      <w:r>
        <w:rPr>
          <w:sz w:val="21"/>
        </w:rPr>
        <w:t>LGBTQ</w:t>
      </w:r>
      <w:r>
        <w:rPr>
          <w:spacing w:val="-9"/>
          <w:sz w:val="21"/>
        </w:rPr>
        <w:t> </w:t>
      </w:r>
      <w:r>
        <w:rPr>
          <w:sz w:val="21"/>
        </w:rPr>
        <w:t>youth</w:t>
      </w:r>
      <w:r>
        <w:rPr>
          <w:spacing w:val="-9"/>
          <w:sz w:val="21"/>
        </w:rPr>
        <w:t> </w:t>
      </w:r>
      <w:r>
        <w:rPr>
          <w:sz w:val="21"/>
        </w:rPr>
        <w:t>in</w:t>
      </w:r>
      <w:r>
        <w:rPr>
          <w:spacing w:val="-9"/>
          <w:sz w:val="21"/>
        </w:rPr>
        <w:t> </w:t>
      </w:r>
      <w:r>
        <w:rPr>
          <w:sz w:val="21"/>
        </w:rPr>
        <w:t>state</w:t>
      </w:r>
      <w:r>
        <w:rPr>
          <w:spacing w:val="-11"/>
          <w:sz w:val="21"/>
        </w:rPr>
        <w:t> </w:t>
      </w:r>
      <w:r>
        <w:rPr>
          <w:sz w:val="21"/>
        </w:rPr>
        <w:t>systems,</w:t>
      </w:r>
      <w:r>
        <w:rPr>
          <w:spacing w:val="-9"/>
          <w:sz w:val="21"/>
        </w:rPr>
        <w:t> </w:t>
      </w:r>
      <w:r>
        <w:rPr>
          <w:sz w:val="21"/>
        </w:rPr>
        <w:t>as</w:t>
      </w:r>
      <w:r>
        <w:rPr>
          <w:spacing w:val="-10"/>
          <w:sz w:val="21"/>
        </w:rPr>
        <w:t> </w:t>
      </w:r>
      <w:r>
        <w:rPr>
          <w:sz w:val="21"/>
        </w:rPr>
        <w:t>well</w:t>
      </w:r>
      <w:r>
        <w:rPr>
          <w:spacing w:val="-9"/>
          <w:sz w:val="21"/>
        </w:rPr>
        <w:t> </w:t>
      </w:r>
      <w:r>
        <w:rPr>
          <w:sz w:val="21"/>
        </w:rPr>
        <w:t>as</w:t>
      </w:r>
      <w:r>
        <w:rPr>
          <w:spacing w:val="-11"/>
          <w:sz w:val="21"/>
        </w:rPr>
        <w:t> </w:t>
      </w:r>
      <w:r>
        <w:rPr>
          <w:sz w:val="21"/>
        </w:rPr>
        <w:t>better</w:t>
      </w:r>
      <w:r>
        <w:rPr>
          <w:spacing w:val="-9"/>
          <w:sz w:val="21"/>
        </w:rPr>
        <w:t> </w:t>
      </w:r>
      <w:r>
        <w:rPr>
          <w:sz w:val="21"/>
        </w:rPr>
        <w:t>data</w:t>
      </w:r>
      <w:r>
        <w:rPr>
          <w:spacing w:val="-9"/>
          <w:sz w:val="21"/>
        </w:rPr>
        <w:t> </w:t>
      </w:r>
      <w:r>
        <w:rPr>
          <w:sz w:val="21"/>
        </w:rPr>
        <w:t>collection</w:t>
      </w:r>
      <w:r>
        <w:rPr>
          <w:spacing w:val="-9"/>
          <w:sz w:val="21"/>
        </w:rPr>
        <w:t> </w:t>
      </w:r>
      <w:r>
        <w:rPr>
          <w:sz w:val="21"/>
        </w:rPr>
        <w:t>and</w:t>
      </w:r>
      <w:r>
        <w:rPr>
          <w:spacing w:val="-9"/>
          <w:sz w:val="21"/>
        </w:rPr>
        <w:t> </w:t>
      </w:r>
      <w:r>
        <w:rPr>
          <w:sz w:val="21"/>
        </w:rPr>
        <w:t>reporting.</w:t>
      </w:r>
      <w:r>
        <w:rPr>
          <w:spacing w:val="-9"/>
          <w:sz w:val="21"/>
        </w:rPr>
        <w:t> </w:t>
      </w:r>
      <w:r>
        <w:rPr>
          <w:sz w:val="21"/>
        </w:rPr>
        <w:t>Since</w:t>
      </w:r>
      <w:r>
        <w:rPr>
          <w:spacing w:val="-9"/>
          <w:sz w:val="21"/>
        </w:rPr>
        <w:t> </w:t>
      </w:r>
      <w:r>
        <w:rPr>
          <w:sz w:val="21"/>
        </w:rPr>
        <w:t>the</w:t>
      </w:r>
      <w:r>
        <w:rPr>
          <w:spacing w:val="-9"/>
          <w:sz w:val="21"/>
        </w:rPr>
        <w:t> </w:t>
      </w:r>
      <w:r>
        <w:rPr>
          <w:sz w:val="21"/>
        </w:rPr>
        <w:t>summer of FY 2024, the Commission has engaged in regular conversations with the OCA to address the recommendations issued.</w:t>
      </w:r>
    </w:p>
    <w:p>
      <w:pPr>
        <w:spacing w:line="276" w:lineRule="auto" w:before="240"/>
        <w:ind w:left="483" w:right="339" w:firstLine="0"/>
        <w:jc w:val="both"/>
        <w:rPr>
          <w:sz w:val="21"/>
        </w:rPr>
      </w:pPr>
      <w:r>
        <w:rPr>
          <w:sz w:val="21"/>
        </w:rPr>
        <w:t>As has been shared by the Commission in past reports, sustained and meaningful change for youth in state systems requires multisystem collaboration that is overseen by an active and attentive watchdog agency. Far too often, efforts to hold state systems, particularly the Department of Children &amp; Families, accountable for the</w:t>
      </w:r>
      <w:r>
        <w:rPr>
          <w:spacing w:val="-12"/>
          <w:sz w:val="21"/>
        </w:rPr>
        <w:t> </w:t>
      </w:r>
      <w:r>
        <w:rPr>
          <w:sz w:val="21"/>
        </w:rPr>
        <w:t>experiences</w:t>
      </w:r>
      <w:r>
        <w:rPr>
          <w:spacing w:val="-12"/>
          <w:sz w:val="21"/>
        </w:rPr>
        <w:t> </w:t>
      </w:r>
      <w:r>
        <w:rPr>
          <w:sz w:val="21"/>
        </w:rPr>
        <w:t>of</w:t>
      </w:r>
      <w:r>
        <w:rPr>
          <w:spacing w:val="-12"/>
          <w:sz w:val="21"/>
        </w:rPr>
        <w:t> </w:t>
      </w:r>
      <w:r>
        <w:rPr>
          <w:sz w:val="21"/>
        </w:rPr>
        <w:t>LGBTQ</w:t>
      </w:r>
      <w:r>
        <w:rPr>
          <w:spacing w:val="-11"/>
          <w:sz w:val="21"/>
        </w:rPr>
        <w:t> </w:t>
      </w:r>
      <w:r>
        <w:rPr>
          <w:sz w:val="21"/>
        </w:rPr>
        <w:t>youth</w:t>
      </w:r>
      <w:r>
        <w:rPr>
          <w:spacing w:val="-11"/>
          <w:sz w:val="21"/>
        </w:rPr>
        <w:t> </w:t>
      </w:r>
      <w:r>
        <w:rPr>
          <w:sz w:val="21"/>
        </w:rPr>
        <w:t>who</w:t>
      </w:r>
      <w:r>
        <w:rPr>
          <w:spacing w:val="-12"/>
          <w:sz w:val="21"/>
        </w:rPr>
        <w:t> </w:t>
      </w:r>
      <w:r>
        <w:rPr>
          <w:sz w:val="21"/>
        </w:rPr>
        <w:t>interact</w:t>
      </w:r>
      <w:r>
        <w:rPr>
          <w:spacing w:val="-11"/>
          <w:sz w:val="21"/>
        </w:rPr>
        <w:t> </w:t>
      </w:r>
      <w:r>
        <w:rPr>
          <w:sz w:val="21"/>
        </w:rPr>
        <w:t>with</w:t>
      </w:r>
      <w:r>
        <w:rPr>
          <w:spacing w:val="-11"/>
          <w:sz w:val="21"/>
        </w:rPr>
        <w:t> </w:t>
      </w:r>
      <w:r>
        <w:rPr>
          <w:sz w:val="21"/>
        </w:rPr>
        <w:t>them</w:t>
      </w:r>
      <w:r>
        <w:rPr>
          <w:spacing w:val="-11"/>
          <w:sz w:val="21"/>
        </w:rPr>
        <w:t> </w:t>
      </w:r>
      <w:r>
        <w:rPr>
          <w:sz w:val="21"/>
        </w:rPr>
        <w:t>have</w:t>
      </w:r>
      <w:r>
        <w:rPr>
          <w:spacing w:val="-12"/>
          <w:sz w:val="21"/>
        </w:rPr>
        <w:t> </w:t>
      </w:r>
      <w:r>
        <w:rPr>
          <w:sz w:val="21"/>
        </w:rPr>
        <w:t>largely</w:t>
      </w:r>
      <w:r>
        <w:rPr>
          <w:spacing w:val="-11"/>
          <w:sz w:val="21"/>
        </w:rPr>
        <w:t> </w:t>
      </w:r>
      <w:r>
        <w:rPr>
          <w:sz w:val="21"/>
        </w:rPr>
        <w:t>fallen</w:t>
      </w:r>
      <w:r>
        <w:rPr>
          <w:spacing w:val="-11"/>
          <w:sz w:val="21"/>
        </w:rPr>
        <w:t> </w:t>
      </w:r>
      <w:r>
        <w:rPr>
          <w:sz w:val="21"/>
        </w:rPr>
        <w:t>to</w:t>
      </w:r>
      <w:r>
        <w:rPr>
          <w:spacing w:val="-12"/>
          <w:sz w:val="21"/>
        </w:rPr>
        <w:t> </w:t>
      </w:r>
      <w:r>
        <w:rPr>
          <w:sz w:val="21"/>
        </w:rPr>
        <w:t>the</w:t>
      </w:r>
      <w:r>
        <w:rPr>
          <w:spacing w:val="-12"/>
          <w:sz w:val="21"/>
        </w:rPr>
        <w:t> </w:t>
      </w:r>
      <w:r>
        <w:rPr>
          <w:sz w:val="21"/>
        </w:rPr>
        <w:t>Commission</w:t>
      </w:r>
      <w:r>
        <w:rPr>
          <w:spacing w:val="-11"/>
          <w:sz w:val="21"/>
        </w:rPr>
        <w:t> </w:t>
      </w:r>
      <w:r>
        <w:rPr>
          <w:sz w:val="21"/>
        </w:rPr>
        <w:t>and</w:t>
      </w:r>
      <w:r>
        <w:rPr>
          <w:spacing w:val="-11"/>
          <w:sz w:val="21"/>
        </w:rPr>
        <w:t> </w:t>
      </w:r>
      <w:r>
        <w:rPr>
          <w:sz w:val="21"/>
        </w:rPr>
        <w:t>to</w:t>
      </w:r>
      <w:r>
        <w:rPr>
          <w:spacing w:val="-12"/>
          <w:sz w:val="21"/>
        </w:rPr>
        <w:t> </w:t>
      </w:r>
      <w:r>
        <w:rPr>
          <w:sz w:val="21"/>
        </w:rPr>
        <w:t>nonprofit organizations, none of whom have the authority or capacity to exercise the powers given to the OCA under state law - leaving a significant oversight gap. With these FY 2025 recommendations, the Commission emphasizes the necessity of the OCA to use its authority to the fullest extent to investigate mistreatment of youth by state systems, and to hold</w:t>
      </w:r>
      <w:r>
        <w:rPr>
          <w:spacing w:val="-1"/>
          <w:sz w:val="21"/>
        </w:rPr>
        <w:t> </w:t>
      </w:r>
      <w:r>
        <w:rPr>
          <w:sz w:val="21"/>
        </w:rPr>
        <w:t>these entities and</w:t>
      </w:r>
      <w:r>
        <w:rPr>
          <w:spacing w:val="-2"/>
          <w:sz w:val="21"/>
        </w:rPr>
        <w:t> </w:t>
      </w:r>
      <w:r>
        <w:rPr>
          <w:sz w:val="21"/>
        </w:rPr>
        <w:t>policymakers accountable for the numerous failures of the system to support the safety and well-being of all youth.</w:t>
      </w:r>
    </w:p>
    <w:p>
      <w:pPr>
        <w:spacing w:after="0" w:line="276" w:lineRule="auto"/>
        <w:jc w:val="both"/>
        <w:rPr>
          <w:sz w:val="21"/>
        </w:rPr>
        <w:sectPr>
          <w:headerReference w:type="default" r:id="rId781"/>
          <w:footerReference w:type="default" r:id="rId782"/>
          <w:pgSz w:w="12240" w:h="15840"/>
          <w:pgMar w:header="804" w:footer="1281" w:top="1000" w:bottom="1480" w:left="960" w:right="1100"/>
        </w:sectPr>
      </w:pPr>
    </w:p>
    <w:p>
      <w:pPr>
        <w:pStyle w:val="BodyText"/>
        <w:spacing w:before="3"/>
        <w:rPr>
          <w:sz w:val="28"/>
        </w:rPr>
      </w:pPr>
    </w:p>
    <w:p>
      <w:pPr>
        <w:spacing w:before="1"/>
        <w:ind w:left="483" w:right="0" w:firstLine="0"/>
        <w:jc w:val="left"/>
        <w:rPr>
          <w:sz w:val="28"/>
        </w:rPr>
      </w:pPr>
      <w:r>
        <w:rPr>
          <w:color w:val="365F91"/>
          <w:sz w:val="28"/>
        </w:rPr>
        <w:t>FY</w:t>
      </w:r>
      <w:r>
        <w:rPr>
          <w:color w:val="365F91"/>
          <w:spacing w:val="-9"/>
          <w:sz w:val="28"/>
        </w:rPr>
        <w:t> </w:t>
      </w:r>
      <w:r>
        <w:rPr>
          <w:color w:val="365F91"/>
          <w:sz w:val="28"/>
        </w:rPr>
        <w:t>2025</w:t>
      </w:r>
      <w:r>
        <w:rPr>
          <w:color w:val="365F91"/>
          <w:spacing w:val="-8"/>
          <w:sz w:val="28"/>
        </w:rPr>
        <w:t> </w:t>
      </w:r>
      <w:r>
        <w:rPr>
          <w:color w:val="365F91"/>
          <w:sz w:val="28"/>
        </w:rPr>
        <w:t>Expanded</w:t>
      </w:r>
      <w:r>
        <w:rPr>
          <w:color w:val="365F91"/>
          <w:spacing w:val="-10"/>
          <w:sz w:val="28"/>
        </w:rPr>
        <w:t> </w:t>
      </w:r>
      <w:r>
        <w:rPr>
          <w:color w:val="365F91"/>
          <w:sz w:val="28"/>
        </w:rPr>
        <w:t>OCA</w:t>
      </w:r>
      <w:r>
        <w:rPr>
          <w:color w:val="365F91"/>
          <w:spacing w:val="-8"/>
          <w:sz w:val="28"/>
        </w:rPr>
        <w:t> </w:t>
      </w:r>
      <w:r>
        <w:rPr>
          <w:color w:val="365F91"/>
          <w:spacing w:val="-2"/>
          <w:sz w:val="28"/>
        </w:rPr>
        <w:t>Recommendations</w:t>
      </w:r>
    </w:p>
    <w:p>
      <w:pPr>
        <w:pStyle w:val="BodyText"/>
        <w:spacing w:before="10"/>
        <w:rPr>
          <w:sz w:val="3"/>
        </w:rPr>
      </w:pPr>
      <w:r>
        <w:rPr/>
        <mc:AlternateContent>
          <mc:Choice Requires="wps">
            <w:drawing>
              <wp:anchor distT="0" distB="0" distL="0" distR="0" allowOverlap="1" layoutInCell="1" locked="0" behindDoc="1" simplePos="0" relativeHeight="487739392">
                <wp:simplePos x="0" y="0"/>
                <wp:positionH relativeFrom="page">
                  <wp:posOffset>897636</wp:posOffset>
                </wp:positionH>
                <wp:positionV relativeFrom="paragraph">
                  <wp:posOffset>45152</wp:posOffset>
                </wp:positionV>
                <wp:extent cx="5976620" cy="6350"/>
                <wp:effectExtent l="0" t="0" r="0" b="0"/>
                <wp:wrapTopAndBottom/>
                <wp:docPr id="710" name="Graphic 710"/>
                <wp:cNvGraphicFramePr>
                  <a:graphicFrameLocks/>
                </wp:cNvGraphicFramePr>
                <a:graphic>
                  <a:graphicData uri="http://schemas.microsoft.com/office/word/2010/wordprocessingShape">
                    <wps:wsp>
                      <wps:cNvPr id="710" name="Graphic 710"/>
                      <wps:cNvSpPr/>
                      <wps:spPr>
                        <a:xfrm>
                          <a:off x="0" y="0"/>
                          <a:ext cx="5976620" cy="6350"/>
                        </a:xfrm>
                        <a:custGeom>
                          <a:avLst/>
                          <a:gdLst/>
                          <a:ahLst/>
                          <a:cxnLst/>
                          <a:rect l="l" t="t" r="r" b="b"/>
                          <a:pathLst>
                            <a:path w="5976620" h="6350">
                              <a:moveTo>
                                <a:pt x="5976366" y="0"/>
                              </a:moveTo>
                              <a:lnTo>
                                <a:pt x="0" y="0"/>
                              </a:lnTo>
                              <a:lnTo>
                                <a:pt x="0" y="6096"/>
                              </a:lnTo>
                              <a:lnTo>
                                <a:pt x="5976366" y="6096"/>
                              </a:lnTo>
                              <a:lnTo>
                                <a:pt x="5976366" y="0"/>
                              </a:lnTo>
                              <a:close/>
                            </a:path>
                          </a:pathLst>
                        </a:custGeom>
                        <a:solidFill>
                          <a:srgbClr val="4F81BC"/>
                        </a:solidFill>
                      </wps:spPr>
                      <wps:bodyPr wrap="square" lIns="0" tIns="0" rIns="0" bIns="0" rtlCol="0">
                        <a:prstTxWarp prst="textNoShape">
                          <a:avLst/>
                        </a:prstTxWarp>
                        <a:noAutofit/>
                      </wps:bodyPr>
                    </wps:wsp>
                  </a:graphicData>
                </a:graphic>
              </wp:anchor>
            </w:drawing>
          </mc:Choice>
          <mc:Fallback>
            <w:pict>
              <v:rect style="position:absolute;margin-left:70.680pt;margin-top:3.555312pt;width:470.58pt;height:.48pt;mso-position-horizontal-relative:page;mso-position-vertical-relative:paragraph;z-index:-15577088;mso-wrap-distance-left:0;mso-wrap-distance-right:0" id="docshape607" filled="true" fillcolor="#4f81bc" stroked="false">
                <v:fill type="solid"/>
                <w10:wrap type="topAndBottom"/>
              </v:rect>
            </w:pict>
          </mc:Fallback>
        </mc:AlternateContent>
      </w:r>
    </w:p>
    <w:p>
      <w:pPr>
        <w:numPr>
          <w:ilvl w:val="0"/>
          <w:numId w:val="50"/>
        </w:numPr>
        <w:tabs>
          <w:tab w:pos="481" w:val="left" w:leader="none"/>
          <w:tab w:pos="483" w:val="left" w:leader="none"/>
        </w:tabs>
        <w:spacing w:line="276" w:lineRule="auto" w:before="241"/>
        <w:ind w:left="483" w:right="345" w:hanging="360"/>
        <w:jc w:val="left"/>
        <w:rPr>
          <w:b/>
          <w:sz w:val="22"/>
        </w:rPr>
      </w:pPr>
      <w:r>
        <w:rPr>
          <w:b/>
          <w:sz w:val="22"/>
        </w:rPr>
        <w:t>Improve</w:t>
      </w:r>
      <w:r>
        <w:rPr>
          <w:b/>
          <w:spacing w:val="-13"/>
          <w:sz w:val="22"/>
        </w:rPr>
        <w:t> </w:t>
      </w:r>
      <w:r>
        <w:rPr>
          <w:b/>
          <w:sz w:val="22"/>
        </w:rPr>
        <w:t>SOGIE</w:t>
      </w:r>
      <w:r>
        <w:rPr>
          <w:b/>
          <w:spacing w:val="-12"/>
          <w:sz w:val="22"/>
        </w:rPr>
        <w:t> </w:t>
      </w:r>
      <w:r>
        <w:rPr>
          <w:b/>
          <w:sz w:val="22"/>
        </w:rPr>
        <w:t>data</w:t>
      </w:r>
      <w:r>
        <w:rPr>
          <w:b/>
          <w:spacing w:val="-12"/>
          <w:sz w:val="22"/>
        </w:rPr>
        <w:t> </w:t>
      </w:r>
      <w:r>
        <w:rPr>
          <w:b/>
          <w:sz w:val="22"/>
        </w:rPr>
        <w:t>collection</w:t>
      </w:r>
      <w:r>
        <w:rPr>
          <w:b/>
          <w:spacing w:val="-13"/>
          <w:sz w:val="22"/>
        </w:rPr>
        <w:t> </w:t>
      </w:r>
      <w:r>
        <w:rPr>
          <w:b/>
          <w:sz w:val="22"/>
        </w:rPr>
        <w:t>practices</w:t>
      </w:r>
      <w:r>
        <w:rPr>
          <w:b/>
          <w:spacing w:val="-10"/>
          <w:sz w:val="22"/>
        </w:rPr>
        <w:t> </w:t>
      </w:r>
      <w:r>
        <w:rPr>
          <w:b/>
          <w:sz w:val="22"/>
        </w:rPr>
        <w:t>for</w:t>
      </w:r>
      <w:r>
        <w:rPr>
          <w:b/>
          <w:spacing w:val="-11"/>
          <w:sz w:val="22"/>
        </w:rPr>
        <w:t> </w:t>
      </w:r>
      <w:r>
        <w:rPr>
          <w:b/>
          <w:sz w:val="22"/>
        </w:rPr>
        <w:t>the</w:t>
      </w:r>
      <w:r>
        <w:rPr>
          <w:b/>
          <w:spacing w:val="-11"/>
          <w:sz w:val="22"/>
        </w:rPr>
        <w:t> </w:t>
      </w:r>
      <w:r>
        <w:rPr>
          <w:b/>
          <w:sz w:val="22"/>
        </w:rPr>
        <w:t>Complaint</w:t>
      </w:r>
      <w:r>
        <w:rPr>
          <w:b/>
          <w:spacing w:val="-12"/>
          <w:sz w:val="22"/>
        </w:rPr>
        <w:t> </w:t>
      </w:r>
      <w:r>
        <w:rPr>
          <w:b/>
          <w:sz w:val="22"/>
        </w:rPr>
        <w:t>Line</w:t>
      </w:r>
      <w:r>
        <w:rPr>
          <w:b/>
          <w:spacing w:val="-11"/>
          <w:sz w:val="22"/>
        </w:rPr>
        <w:t> </w:t>
      </w:r>
      <w:r>
        <w:rPr>
          <w:b/>
          <w:sz w:val="22"/>
        </w:rPr>
        <w:t>and</w:t>
      </w:r>
      <w:r>
        <w:rPr>
          <w:b/>
          <w:spacing w:val="-11"/>
          <w:sz w:val="22"/>
        </w:rPr>
        <w:t> </w:t>
      </w:r>
      <w:r>
        <w:rPr>
          <w:b/>
          <w:sz w:val="22"/>
        </w:rPr>
        <w:t>provide</w:t>
      </w:r>
      <w:r>
        <w:rPr>
          <w:b/>
          <w:spacing w:val="-11"/>
          <w:sz w:val="22"/>
        </w:rPr>
        <w:t> </w:t>
      </w:r>
      <w:r>
        <w:rPr>
          <w:b/>
          <w:sz w:val="22"/>
        </w:rPr>
        <w:t>trainings</w:t>
      </w:r>
      <w:r>
        <w:rPr>
          <w:b/>
          <w:spacing w:val="-12"/>
          <w:sz w:val="22"/>
        </w:rPr>
        <w:t> </w:t>
      </w:r>
      <w:r>
        <w:rPr>
          <w:b/>
          <w:sz w:val="22"/>
        </w:rPr>
        <w:t>for</w:t>
      </w:r>
      <w:r>
        <w:rPr>
          <w:b/>
          <w:spacing w:val="-11"/>
          <w:sz w:val="22"/>
        </w:rPr>
        <w:t> </w:t>
      </w:r>
      <w:r>
        <w:rPr>
          <w:b/>
          <w:sz w:val="22"/>
        </w:rPr>
        <w:t>youth</w:t>
      </w:r>
      <w:r>
        <w:rPr>
          <w:b/>
          <w:spacing w:val="-13"/>
          <w:sz w:val="22"/>
        </w:rPr>
        <w:t> </w:t>
      </w:r>
      <w:r>
        <w:rPr>
          <w:b/>
          <w:sz w:val="22"/>
        </w:rPr>
        <w:t>and</w:t>
      </w:r>
      <w:r>
        <w:rPr>
          <w:b/>
          <w:spacing w:val="-12"/>
          <w:sz w:val="22"/>
        </w:rPr>
        <w:t> </w:t>
      </w:r>
      <w:r>
        <w:rPr>
          <w:b/>
          <w:sz w:val="22"/>
        </w:rPr>
        <w:t>staff on the Complaint Line process.</w:t>
      </w:r>
    </w:p>
    <w:p>
      <w:pPr>
        <w:pStyle w:val="BodyText"/>
        <w:spacing w:line="276" w:lineRule="auto" w:before="241"/>
        <w:ind w:left="483" w:right="340"/>
        <w:jc w:val="both"/>
      </w:pPr>
      <w:r>
        <w:rPr/>
        <w:t>In its November 2023 meeting with the Commission, the OCA noted that collecting demographic data is an issue that is understandably a struggle across the nation, and few resources exist on how to appropriately collect SOGIE information on a complaint line naturally. The Commission and the OCA discussed potential training opportunities for OCA staff, as well as potential statewide ombudsman trainings to provide spaces for staff to practice and brainstorm how to solicit this essential information. The OCA also noted in its October 2023 meeting that it was not actively collecting SOGIE data, however provided</w:t>
      </w:r>
      <w:r>
        <w:rPr>
          <w:spacing w:val="-10"/>
        </w:rPr>
        <w:t> </w:t>
      </w:r>
      <w:r>
        <w:rPr/>
        <w:t>an</w:t>
      </w:r>
      <w:r>
        <w:rPr>
          <w:spacing w:val="-9"/>
        </w:rPr>
        <w:t> </w:t>
      </w:r>
      <w:r>
        <w:rPr/>
        <w:t>update</w:t>
      </w:r>
      <w:r>
        <w:rPr>
          <w:spacing w:val="-9"/>
        </w:rPr>
        <w:t> </w:t>
      </w:r>
      <w:r>
        <w:rPr/>
        <w:t>in</w:t>
      </w:r>
      <w:r>
        <w:rPr>
          <w:spacing w:val="-9"/>
        </w:rPr>
        <w:t> </w:t>
      </w:r>
      <w:r>
        <w:rPr/>
        <w:t>May</w:t>
      </w:r>
      <w:r>
        <w:rPr>
          <w:spacing w:val="-9"/>
        </w:rPr>
        <w:t> </w:t>
      </w:r>
      <w:r>
        <w:rPr/>
        <w:t>2024</w:t>
      </w:r>
      <w:r>
        <w:rPr>
          <w:spacing w:val="-10"/>
        </w:rPr>
        <w:t> </w:t>
      </w:r>
      <w:r>
        <w:rPr/>
        <w:t>sharing</w:t>
      </w:r>
      <w:r>
        <w:rPr>
          <w:spacing w:val="-9"/>
        </w:rPr>
        <w:t> </w:t>
      </w:r>
      <w:r>
        <w:rPr/>
        <w:t>that</w:t>
      </w:r>
      <w:r>
        <w:rPr>
          <w:spacing w:val="-9"/>
        </w:rPr>
        <w:t> </w:t>
      </w:r>
      <w:r>
        <w:rPr/>
        <w:t>it</w:t>
      </w:r>
      <w:r>
        <w:rPr>
          <w:spacing w:val="-9"/>
        </w:rPr>
        <w:t> </w:t>
      </w:r>
      <w:r>
        <w:rPr/>
        <w:t>is</w:t>
      </w:r>
      <w:r>
        <w:rPr>
          <w:spacing w:val="-10"/>
        </w:rPr>
        <w:t> </w:t>
      </w:r>
      <w:r>
        <w:rPr/>
        <w:t>now</w:t>
      </w:r>
      <w:r>
        <w:rPr>
          <w:spacing w:val="-9"/>
        </w:rPr>
        <w:t> </w:t>
      </w:r>
      <w:r>
        <w:rPr/>
        <w:t>encouraging</w:t>
      </w:r>
      <w:r>
        <w:rPr>
          <w:spacing w:val="-10"/>
        </w:rPr>
        <w:t> </w:t>
      </w:r>
      <w:r>
        <w:rPr/>
        <w:t>individuals</w:t>
      </w:r>
      <w:r>
        <w:rPr>
          <w:spacing w:val="-10"/>
        </w:rPr>
        <w:t> </w:t>
      </w:r>
      <w:r>
        <w:rPr/>
        <w:t>who</w:t>
      </w:r>
      <w:r>
        <w:rPr>
          <w:spacing w:val="-10"/>
        </w:rPr>
        <w:t> </w:t>
      </w:r>
      <w:r>
        <w:rPr/>
        <w:t>contact</w:t>
      </w:r>
      <w:r>
        <w:rPr>
          <w:spacing w:val="-9"/>
        </w:rPr>
        <w:t> </w:t>
      </w:r>
      <w:r>
        <w:rPr/>
        <w:t>the</w:t>
      </w:r>
      <w:r>
        <w:rPr>
          <w:spacing w:val="-9"/>
        </w:rPr>
        <w:t> </w:t>
      </w:r>
      <w:r>
        <w:rPr/>
        <w:t>Complaint Line to self-report demographic information, including sexual orientation and gender identity. The OCA notes that it does not ask callers - if they are not a youth themselves - to report the SOGI information of the child they are calling about in order to limit assumptions and misrepresentations, though it would collect</w:t>
      </w:r>
      <w:r>
        <w:rPr>
          <w:spacing w:val="-2"/>
        </w:rPr>
        <w:t> </w:t>
      </w:r>
      <w:r>
        <w:rPr/>
        <w:t>the</w:t>
      </w:r>
      <w:r>
        <w:rPr>
          <w:spacing w:val="-3"/>
        </w:rPr>
        <w:t> </w:t>
      </w:r>
      <w:r>
        <w:rPr/>
        <w:t>information</w:t>
      </w:r>
      <w:r>
        <w:rPr>
          <w:spacing w:val="-3"/>
        </w:rPr>
        <w:t> </w:t>
      </w:r>
      <w:r>
        <w:rPr/>
        <w:t>if</w:t>
      </w:r>
      <w:r>
        <w:rPr>
          <w:spacing w:val="-3"/>
        </w:rPr>
        <w:t> </w:t>
      </w:r>
      <w:r>
        <w:rPr/>
        <w:t>it</w:t>
      </w:r>
      <w:r>
        <w:rPr>
          <w:spacing w:val="-2"/>
        </w:rPr>
        <w:t> </w:t>
      </w:r>
      <w:r>
        <w:rPr/>
        <w:t>was</w:t>
      </w:r>
      <w:r>
        <w:rPr>
          <w:spacing w:val="-3"/>
        </w:rPr>
        <w:t> </w:t>
      </w:r>
      <w:r>
        <w:rPr/>
        <w:t>shared</w:t>
      </w:r>
      <w:r>
        <w:rPr>
          <w:spacing w:val="-3"/>
        </w:rPr>
        <w:t> </w:t>
      </w:r>
      <w:r>
        <w:rPr/>
        <w:t>and</w:t>
      </w:r>
      <w:r>
        <w:rPr>
          <w:spacing w:val="-2"/>
        </w:rPr>
        <w:t> </w:t>
      </w:r>
      <w:r>
        <w:rPr/>
        <w:t>considered</w:t>
      </w:r>
      <w:r>
        <w:rPr>
          <w:spacing w:val="-3"/>
        </w:rPr>
        <w:t> </w:t>
      </w:r>
      <w:r>
        <w:rPr/>
        <w:t>relevant</w:t>
      </w:r>
      <w:r>
        <w:rPr>
          <w:spacing w:val="-2"/>
        </w:rPr>
        <w:t> </w:t>
      </w:r>
      <w:r>
        <w:rPr/>
        <w:t>to</w:t>
      </w:r>
      <w:r>
        <w:rPr>
          <w:spacing w:val="-1"/>
        </w:rPr>
        <w:t> </w:t>
      </w:r>
      <w:r>
        <w:rPr/>
        <w:t>the</w:t>
      </w:r>
      <w:r>
        <w:rPr>
          <w:spacing w:val="-2"/>
        </w:rPr>
        <w:t> </w:t>
      </w:r>
      <w:r>
        <w:rPr/>
        <w:t>case</w:t>
      </w:r>
      <w:r>
        <w:rPr>
          <w:spacing w:val="-3"/>
        </w:rPr>
        <w:t> </w:t>
      </w:r>
      <w:r>
        <w:rPr/>
        <w:t>being</w:t>
      </w:r>
      <w:r>
        <w:rPr>
          <w:spacing w:val="-3"/>
        </w:rPr>
        <w:t> </w:t>
      </w:r>
      <w:r>
        <w:rPr/>
        <w:t>reported.</w:t>
      </w:r>
      <w:r>
        <w:rPr>
          <w:spacing w:val="-2"/>
        </w:rPr>
        <w:t> </w:t>
      </w:r>
      <w:r>
        <w:rPr/>
        <w:t>However,</w:t>
      </w:r>
      <w:r>
        <w:rPr>
          <w:spacing w:val="-3"/>
        </w:rPr>
        <w:t> </w:t>
      </w:r>
      <w:r>
        <w:rPr/>
        <w:t>for the Complaint Line, as well as for other data collection processes, the OCA shared that it will add demographic</w:t>
      </w:r>
      <w:r>
        <w:rPr>
          <w:spacing w:val="-6"/>
        </w:rPr>
        <w:t> </w:t>
      </w:r>
      <w:r>
        <w:rPr/>
        <w:t>data</w:t>
      </w:r>
      <w:r>
        <w:rPr>
          <w:spacing w:val="-7"/>
        </w:rPr>
        <w:t> </w:t>
      </w:r>
      <w:r>
        <w:rPr/>
        <w:t>about</w:t>
      </w:r>
      <w:r>
        <w:rPr>
          <w:spacing w:val="-7"/>
        </w:rPr>
        <w:t> </w:t>
      </w:r>
      <w:r>
        <w:rPr/>
        <w:t>the</w:t>
      </w:r>
      <w:r>
        <w:rPr>
          <w:spacing w:val="-8"/>
        </w:rPr>
        <w:t> </w:t>
      </w:r>
      <w:r>
        <w:rPr/>
        <w:t>child</w:t>
      </w:r>
      <w:r>
        <w:rPr>
          <w:spacing w:val="-7"/>
        </w:rPr>
        <w:t> </w:t>
      </w:r>
      <w:r>
        <w:rPr/>
        <w:t>who</w:t>
      </w:r>
      <w:r>
        <w:rPr>
          <w:spacing w:val="-6"/>
        </w:rPr>
        <w:t> </w:t>
      </w:r>
      <w:r>
        <w:rPr/>
        <w:t>is</w:t>
      </w:r>
      <w:r>
        <w:rPr>
          <w:spacing w:val="-6"/>
        </w:rPr>
        <w:t> </w:t>
      </w:r>
      <w:r>
        <w:rPr/>
        <w:t>the</w:t>
      </w:r>
      <w:r>
        <w:rPr>
          <w:spacing w:val="-8"/>
        </w:rPr>
        <w:t> </w:t>
      </w:r>
      <w:r>
        <w:rPr/>
        <w:t>subject</w:t>
      </w:r>
      <w:r>
        <w:rPr>
          <w:spacing w:val="-8"/>
        </w:rPr>
        <w:t> </w:t>
      </w:r>
      <w:r>
        <w:rPr/>
        <w:t>of</w:t>
      </w:r>
      <w:r>
        <w:rPr>
          <w:spacing w:val="-8"/>
        </w:rPr>
        <w:t> </w:t>
      </w:r>
      <w:r>
        <w:rPr/>
        <w:t>the</w:t>
      </w:r>
      <w:r>
        <w:rPr>
          <w:spacing w:val="-8"/>
        </w:rPr>
        <w:t> </w:t>
      </w:r>
      <w:r>
        <w:rPr/>
        <w:t>review</w:t>
      </w:r>
      <w:r>
        <w:rPr>
          <w:spacing w:val="-8"/>
        </w:rPr>
        <w:t> </w:t>
      </w:r>
      <w:r>
        <w:rPr/>
        <w:t>if</w:t>
      </w:r>
      <w:r>
        <w:rPr>
          <w:spacing w:val="-7"/>
        </w:rPr>
        <w:t> </w:t>
      </w:r>
      <w:r>
        <w:rPr/>
        <w:t>that</w:t>
      </w:r>
      <w:r>
        <w:rPr>
          <w:spacing w:val="-7"/>
        </w:rPr>
        <w:t> </w:t>
      </w:r>
      <w:r>
        <w:rPr/>
        <w:t>data</w:t>
      </w:r>
      <w:r>
        <w:rPr>
          <w:spacing w:val="-6"/>
        </w:rPr>
        <w:t> </w:t>
      </w:r>
      <w:r>
        <w:rPr/>
        <w:t>becomes</w:t>
      </w:r>
      <w:r>
        <w:rPr>
          <w:spacing w:val="-7"/>
        </w:rPr>
        <w:t> </w:t>
      </w:r>
      <w:r>
        <w:rPr/>
        <w:t>available</w:t>
      </w:r>
      <w:r>
        <w:rPr>
          <w:spacing w:val="-8"/>
        </w:rPr>
        <w:t> </w:t>
      </w:r>
      <w:r>
        <w:rPr/>
        <w:t>through DCF’s iFamilyNet or is otherwise reported.</w:t>
      </w:r>
    </w:p>
    <w:p>
      <w:pPr>
        <w:pStyle w:val="BodyText"/>
        <w:spacing w:line="276" w:lineRule="auto" w:before="239"/>
        <w:ind w:left="483" w:right="341"/>
        <w:jc w:val="both"/>
      </w:pPr>
      <w:r>
        <w:rPr/>
        <w:t>For</w:t>
      </w:r>
      <w:r>
        <w:rPr>
          <w:spacing w:val="-5"/>
        </w:rPr>
        <w:t> </w:t>
      </w:r>
      <w:r>
        <w:rPr/>
        <w:t>years,</w:t>
      </w:r>
      <w:r>
        <w:rPr>
          <w:spacing w:val="-5"/>
        </w:rPr>
        <w:t> </w:t>
      </w:r>
      <w:r>
        <w:rPr/>
        <w:t>the</w:t>
      </w:r>
      <w:r>
        <w:rPr>
          <w:spacing w:val="-4"/>
        </w:rPr>
        <w:t> </w:t>
      </w:r>
      <w:r>
        <w:rPr/>
        <w:t>Commission</w:t>
      </w:r>
      <w:r>
        <w:rPr>
          <w:spacing w:val="-4"/>
        </w:rPr>
        <w:t> </w:t>
      </w:r>
      <w:r>
        <w:rPr/>
        <w:t>has</w:t>
      </w:r>
      <w:r>
        <w:rPr>
          <w:spacing w:val="-5"/>
        </w:rPr>
        <w:t> </w:t>
      </w:r>
      <w:r>
        <w:rPr/>
        <w:t>heard</w:t>
      </w:r>
      <w:r>
        <w:rPr>
          <w:spacing w:val="-4"/>
        </w:rPr>
        <w:t> </w:t>
      </w:r>
      <w:r>
        <w:rPr/>
        <w:t>concerns</w:t>
      </w:r>
      <w:r>
        <w:rPr>
          <w:spacing w:val="-4"/>
        </w:rPr>
        <w:t> </w:t>
      </w:r>
      <w:r>
        <w:rPr/>
        <w:t>involving</w:t>
      </w:r>
      <w:r>
        <w:rPr>
          <w:spacing w:val="-6"/>
        </w:rPr>
        <w:t> </w:t>
      </w:r>
      <w:r>
        <w:rPr/>
        <w:t>LGBTQ</w:t>
      </w:r>
      <w:r>
        <w:rPr>
          <w:spacing w:val="-4"/>
        </w:rPr>
        <w:t> </w:t>
      </w:r>
      <w:r>
        <w:rPr/>
        <w:t>youth</w:t>
      </w:r>
      <w:r>
        <w:rPr>
          <w:spacing w:val="-4"/>
        </w:rPr>
        <w:t> </w:t>
      </w:r>
      <w:r>
        <w:rPr/>
        <w:t>interacting</w:t>
      </w:r>
      <w:r>
        <w:rPr>
          <w:spacing w:val="-6"/>
        </w:rPr>
        <w:t> </w:t>
      </w:r>
      <w:r>
        <w:rPr/>
        <w:t>with</w:t>
      </w:r>
      <w:r>
        <w:rPr>
          <w:spacing w:val="-4"/>
        </w:rPr>
        <w:t> </w:t>
      </w:r>
      <w:r>
        <w:rPr/>
        <w:t>state</w:t>
      </w:r>
      <w:r>
        <w:rPr>
          <w:spacing w:val="-4"/>
        </w:rPr>
        <w:t> </w:t>
      </w:r>
      <w:r>
        <w:rPr/>
        <w:t>services</w:t>
      </w:r>
      <w:r>
        <w:rPr>
          <w:spacing w:val="-5"/>
        </w:rPr>
        <w:t> </w:t>
      </w:r>
      <w:r>
        <w:rPr/>
        <w:t>on</w:t>
      </w:r>
      <w:r>
        <w:rPr>
          <w:spacing w:val="-4"/>
        </w:rPr>
        <w:t> </w:t>
      </w:r>
      <w:r>
        <w:rPr/>
        <w:t>a regular basis, indicating significant systemic issues that require collaboration from all child-serving agencies</w:t>
      </w:r>
      <w:r>
        <w:rPr>
          <w:spacing w:val="-10"/>
        </w:rPr>
        <w:t> </w:t>
      </w:r>
      <w:r>
        <w:rPr/>
        <w:t>to</w:t>
      </w:r>
      <w:r>
        <w:rPr>
          <w:spacing w:val="-10"/>
        </w:rPr>
        <w:t> </w:t>
      </w:r>
      <w:r>
        <w:rPr/>
        <w:t>address.</w:t>
      </w:r>
      <w:r>
        <w:rPr>
          <w:spacing w:val="-12"/>
        </w:rPr>
        <w:t> </w:t>
      </w:r>
      <w:r>
        <w:rPr/>
        <w:t>As</w:t>
      </w:r>
      <w:r>
        <w:rPr>
          <w:spacing w:val="-10"/>
        </w:rPr>
        <w:t> </w:t>
      </w:r>
      <w:r>
        <w:rPr/>
        <w:t>previously</w:t>
      </w:r>
      <w:r>
        <w:rPr>
          <w:spacing w:val="-11"/>
        </w:rPr>
        <w:t> </w:t>
      </w:r>
      <w:r>
        <w:rPr/>
        <w:t>noted,</w:t>
      </w:r>
      <w:r>
        <w:rPr>
          <w:spacing w:val="-11"/>
        </w:rPr>
        <w:t> </w:t>
      </w:r>
      <w:r>
        <w:rPr/>
        <w:t>if</w:t>
      </w:r>
      <w:r>
        <w:rPr>
          <w:spacing w:val="-10"/>
        </w:rPr>
        <w:t> </w:t>
      </w:r>
      <w:r>
        <w:rPr/>
        <w:t>the</w:t>
      </w:r>
      <w:r>
        <w:rPr>
          <w:spacing w:val="-10"/>
        </w:rPr>
        <w:t> </w:t>
      </w:r>
      <w:r>
        <w:rPr/>
        <w:t>OCA</w:t>
      </w:r>
      <w:r>
        <w:rPr>
          <w:spacing w:val="-10"/>
        </w:rPr>
        <w:t> </w:t>
      </w:r>
      <w:r>
        <w:rPr/>
        <w:t>is</w:t>
      </w:r>
      <w:r>
        <w:rPr>
          <w:spacing w:val="-11"/>
        </w:rPr>
        <w:t> </w:t>
      </w:r>
      <w:r>
        <w:rPr/>
        <w:t>not</w:t>
      </w:r>
      <w:r>
        <w:rPr>
          <w:spacing w:val="-11"/>
        </w:rPr>
        <w:t> </w:t>
      </w:r>
      <w:r>
        <w:rPr/>
        <w:t>receiving</w:t>
      </w:r>
      <w:r>
        <w:rPr>
          <w:spacing w:val="-12"/>
        </w:rPr>
        <w:t> </w:t>
      </w:r>
      <w:r>
        <w:rPr/>
        <w:t>similar</w:t>
      </w:r>
      <w:r>
        <w:rPr>
          <w:spacing w:val="-10"/>
        </w:rPr>
        <w:t> </w:t>
      </w:r>
      <w:r>
        <w:rPr/>
        <w:t>complaints</w:t>
      </w:r>
      <w:r>
        <w:rPr>
          <w:spacing w:val="-10"/>
        </w:rPr>
        <w:t> </w:t>
      </w:r>
      <w:r>
        <w:rPr/>
        <w:t>from</w:t>
      </w:r>
      <w:r>
        <w:rPr>
          <w:spacing w:val="-10"/>
        </w:rPr>
        <w:t> </w:t>
      </w:r>
      <w:r>
        <w:rPr/>
        <w:t>LGBTQ</w:t>
      </w:r>
      <w:r>
        <w:rPr>
          <w:spacing w:val="-10"/>
        </w:rPr>
        <w:t> </w:t>
      </w:r>
      <w:r>
        <w:rPr/>
        <w:t>youth, families,</w:t>
      </w:r>
      <w:r>
        <w:rPr>
          <w:spacing w:val="-12"/>
        </w:rPr>
        <w:t> </w:t>
      </w:r>
      <w:r>
        <w:rPr/>
        <w:t>and</w:t>
      </w:r>
      <w:r>
        <w:rPr>
          <w:spacing w:val="-11"/>
        </w:rPr>
        <w:t> </w:t>
      </w:r>
      <w:r>
        <w:rPr/>
        <w:t>community</w:t>
      </w:r>
      <w:r>
        <w:rPr>
          <w:spacing w:val="-12"/>
        </w:rPr>
        <w:t> </w:t>
      </w:r>
      <w:r>
        <w:rPr/>
        <w:t>organizations</w:t>
      </w:r>
      <w:r>
        <w:rPr>
          <w:spacing w:val="-11"/>
        </w:rPr>
        <w:t> </w:t>
      </w:r>
      <w:r>
        <w:rPr/>
        <w:t>or</w:t>
      </w:r>
      <w:r>
        <w:rPr>
          <w:spacing w:val="-12"/>
        </w:rPr>
        <w:t> </w:t>
      </w:r>
      <w:r>
        <w:rPr/>
        <w:t>providers,</w:t>
      </w:r>
      <w:r>
        <w:rPr>
          <w:spacing w:val="-13"/>
        </w:rPr>
        <w:t> </w:t>
      </w:r>
      <w:r>
        <w:rPr/>
        <w:t>then</w:t>
      </w:r>
      <w:r>
        <w:rPr>
          <w:spacing w:val="-10"/>
        </w:rPr>
        <w:t> </w:t>
      </w:r>
      <w:r>
        <w:rPr/>
        <w:t>the</w:t>
      </w:r>
      <w:r>
        <w:rPr>
          <w:spacing w:val="-13"/>
        </w:rPr>
        <w:t> </w:t>
      </w:r>
      <w:r>
        <w:rPr/>
        <w:t>agency</w:t>
      </w:r>
      <w:r>
        <w:rPr>
          <w:spacing w:val="-11"/>
        </w:rPr>
        <w:t> </w:t>
      </w:r>
      <w:r>
        <w:rPr/>
        <w:t>must</w:t>
      </w:r>
      <w:r>
        <w:rPr>
          <w:spacing w:val="-13"/>
        </w:rPr>
        <w:t> </w:t>
      </w:r>
      <w:r>
        <w:rPr/>
        <w:t>do</w:t>
      </w:r>
      <w:r>
        <w:rPr>
          <w:spacing w:val="-11"/>
        </w:rPr>
        <w:t> </w:t>
      </w:r>
      <w:r>
        <w:rPr/>
        <w:t>further</w:t>
      </w:r>
      <w:r>
        <w:rPr>
          <w:spacing w:val="-12"/>
        </w:rPr>
        <w:t> </w:t>
      </w:r>
      <w:r>
        <w:rPr/>
        <w:t>work</w:t>
      </w:r>
      <w:r>
        <w:rPr>
          <w:spacing w:val="-11"/>
        </w:rPr>
        <w:t> </w:t>
      </w:r>
      <w:r>
        <w:rPr/>
        <w:t>to</w:t>
      </w:r>
      <w:r>
        <w:rPr>
          <w:spacing w:val="-12"/>
        </w:rPr>
        <w:t> </w:t>
      </w:r>
      <w:r>
        <w:rPr/>
        <w:t>engage</w:t>
      </w:r>
      <w:r>
        <w:rPr>
          <w:spacing w:val="-13"/>
        </w:rPr>
        <w:t> </w:t>
      </w:r>
      <w:r>
        <w:rPr/>
        <w:t>with LGBTQ youth communities and their allies. The Commission’s intent with this recommendation is to highlight</w:t>
      </w:r>
      <w:r>
        <w:rPr>
          <w:spacing w:val="-1"/>
        </w:rPr>
        <w:t> </w:t>
      </w:r>
      <w:r>
        <w:rPr/>
        <w:t>the</w:t>
      </w:r>
      <w:r>
        <w:rPr>
          <w:spacing w:val="-1"/>
        </w:rPr>
        <w:t> </w:t>
      </w:r>
      <w:r>
        <w:rPr/>
        <w:t>broader</w:t>
      </w:r>
      <w:r>
        <w:rPr>
          <w:spacing w:val="-2"/>
        </w:rPr>
        <w:t> </w:t>
      </w:r>
      <w:r>
        <w:rPr/>
        <w:t>context</w:t>
      </w:r>
      <w:r>
        <w:rPr>
          <w:spacing w:val="-1"/>
        </w:rPr>
        <w:t> </w:t>
      </w:r>
      <w:r>
        <w:rPr/>
        <w:t>of</w:t>
      </w:r>
      <w:r>
        <w:rPr>
          <w:spacing w:val="-2"/>
        </w:rPr>
        <w:t> </w:t>
      </w:r>
      <w:r>
        <w:rPr/>
        <w:t>the</w:t>
      </w:r>
      <w:r>
        <w:rPr>
          <w:spacing w:val="-1"/>
        </w:rPr>
        <w:t> </w:t>
      </w:r>
      <w:r>
        <w:rPr/>
        <w:t>gaps</w:t>
      </w:r>
      <w:r>
        <w:rPr>
          <w:spacing w:val="-1"/>
        </w:rPr>
        <w:t> </w:t>
      </w:r>
      <w:r>
        <w:rPr/>
        <w:t>in</w:t>
      </w:r>
      <w:r>
        <w:rPr>
          <w:spacing w:val="-1"/>
        </w:rPr>
        <w:t> </w:t>
      </w:r>
      <w:r>
        <w:rPr/>
        <w:t>information</w:t>
      </w:r>
      <w:r>
        <w:rPr>
          <w:spacing w:val="-1"/>
        </w:rPr>
        <w:t> </w:t>
      </w:r>
      <w:r>
        <w:rPr/>
        <w:t>that</w:t>
      </w:r>
      <w:r>
        <w:rPr>
          <w:spacing w:val="-1"/>
        </w:rPr>
        <w:t> </w:t>
      </w:r>
      <w:r>
        <w:rPr/>
        <w:t>the</w:t>
      </w:r>
      <w:r>
        <w:rPr>
          <w:spacing w:val="-1"/>
        </w:rPr>
        <w:t> </w:t>
      </w:r>
      <w:r>
        <w:rPr/>
        <w:t>OCA</w:t>
      </w:r>
      <w:r>
        <w:rPr>
          <w:spacing w:val="-2"/>
        </w:rPr>
        <w:t> </w:t>
      </w:r>
      <w:r>
        <w:rPr/>
        <w:t>is capturing</w:t>
      </w:r>
      <w:r>
        <w:rPr>
          <w:spacing w:val="-2"/>
        </w:rPr>
        <w:t> </w:t>
      </w:r>
      <w:r>
        <w:rPr/>
        <w:t>or receiving</w:t>
      </w:r>
      <w:r>
        <w:rPr>
          <w:spacing w:val="-2"/>
        </w:rPr>
        <w:t> </w:t>
      </w:r>
      <w:r>
        <w:rPr/>
        <w:t>which</w:t>
      </w:r>
      <w:r>
        <w:rPr>
          <w:spacing w:val="-1"/>
        </w:rPr>
        <w:t> </w:t>
      </w:r>
      <w:r>
        <w:rPr/>
        <w:t>can limit</w:t>
      </w:r>
      <w:r>
        <w:rPr>
          <w:spacing w:val="-6"/>
        </w:rPr>
        <w:t> </w:t>
      </w:r>
      <w:r>
        <w:rPr/>
        <w:t>its</w:t>
      </w:r>
      <w:r>
        <w:rPr>
          <w:spacing w:val="-5"/>
        </w:rPr>
        <w:t> </w:t>
      </w:r>
      <w:r>
        <w:rPr/>
        <w:t>ability</w:t>
      </w:r>
      <w:r>
        <w:rPr>
          <w:spacing w:val="-6"/>
        </w:rPr>
        <w:t> </w:t>
      </w:r>
      <w:r>
        <w:rPr/>
        <w:t>to</w:t>
      </w:r>
      <w:r>
        <w:rPr>
          <w:spacing w:val="-5"/>
        </w:rPr>
        <w:t> </w:t>
      </w:r>
      <w:r>
        <w:rPr/>
        <w:t>fully</w:t>
      </w:r>
      <w:r>
        <w:rPr>
          <w:spacing w:val="-5"/>
        </w:rPr>
        <w:t> </w:t>
      </w:r>
      <w:r>
        <w:rPr/>
        <w:t>address</w:t>
      </w:r>
      <w:r>
        <w:rPr>
          <w:spacing w:val="-6"/>
        </w:rPr>
        <w:t> </w:t>
      </w:r>
      <w:r>
        <w:rPr/>
        <w:t>systemic</w:t>
      </w:r>
      <w:r>
        <w:rPr>
          <w:spacing w:val="-5"/>
        </w:rPr>
        <w:t> </w:t>
      </w:r>
      <w:r>
        <w:rPr/>
        <w:t>gaps</w:t>
      </w:r>
      <w:r>
        <w:rPr>
          <w:spacing w:val="-6"/>
        </w:rPr>
        <w:t> </w:t>
      </w:r>
      <w:r>
        <w:rPr/>
        <w:t>in</w:t>
      </w:r>
      <w:r>
        <w:rPr>
          <w:spacing w:val="-6"/>
        </w:rPr>
        <w:t> </w:t>
      </w:r>
      <w:r>
        <w:rPr/>
        <w:t>service</w:t>
      </w:r>
      <w:r>
        <w:rPr>
          <w:spacing w:val="-7"/>
        </w:rPr>
        <w:t> </w:t>
      </w:r>
      <w:r>
        <w:rPr/>
        <w:t>provision.</w:t>
      </w:r>
      <w:r>
        <w:rPr>
          <w:spacing w:val="-6"/>
        </w:rPr>
        <w:t> </w:t>
      </w:r>
      <w:r>
        <w:rPr/>
        <w:t>As</w:t>
      </w:r>
      <w:r>
        <w:rPr>
          <w:spacing w:val="-6"/>
        </w:rPr>
        <w:t> </w:t>
      </w:r>
      <w:r>
        <w:rPr/>
        <w:t>discussed</w:t>
      </w:r>
      <w:r>
        <w:rPr>
          <w:spacing w:val="-6"/>
        </w:rPr>
        <w:t> </w:t>
      </w:r>
      <w:r>
        <w:rPr/>
        <w:t>below,</w:t>
      </w:r>
      <w:r>
        <w:rPr>
          <w:spacing w:val="-6"/>
        </w:rPr>
        <w:t> </w:t>
      </w:r>
      <w:r>
        <w:rPr/>
        <w:t>the</w:t>
      </w:r>
      <w:r>
        <w:rPr>
          <w:spacing w:val="-4"/>
        </w:rPr>
        <w:t> </w:t>
      </w:r>
      <w:r>
        <w:rPr/>
        <w:t>OCA</w:t>
      </w:r>
      <w:r>
        <w:rPr>
          <w:spacing w:val="-6"/>
        </w:rPr>
        <w:t> </w:t>
      </w:r>
      <w:r>
        <w:rPr/>
        <w:t>has</w:t>
      </w:r>
      <w:r>
        <w:rPr>
          <w:spacing w:val="-6"/>
        </w:rPr>
        <w:t> </w:t>
      </w:r>
      <w:r>
        <w:rPr/>
        <w:t>shared its intent to improve its youth engagement work, beginning with youth in DCF congregate care facilities, to educate youth on their rights and how to use the complaint line. The Commission recommends that this</w:t>
      </w:r>
      <w:r>
        <w:rPr>
          <w:spacing w:val="-11"/>
        </w:rPr>
        <w:t> </w:t>
      </w:r>
      <w:r>
        <w:rPr/>
        <w:t>training</w:t>
      </w:r>
      <w:r>
        <w:rPr>
          <w:spacing w:val="-12"/>
        </w:rPr>
        <w:t> </w:t>
      </w:r>
      <w:r>
        <w:rPr/>
        <w:t>extend</w:t>
      </w:r>
      <w:r>
        <w:rPr>
          <w:spacing w:val="-12"/>
        </w:rPr>
        <w:t> </w:t>
      </w:r>
      <w:r>
        <w:rPr/>
        <w:t>to</w:t>
      </w:r>
      <w:r>
        <w:rPr>
          <w:spacing w:val="-12"/>
        </w:rPr>
        <w:t> </w:t>
      </w:r>
      <w:r>
        <w:rPr/>
        <w:t>DCF</w:t>
      </w:r>
      <w:r>
        <w:rPr>
          <w:spacing w:val="-10"/>
        </w:rPr>
        <w:t> </w:t>
      </w:r>
      <w:r>
        <w:rPr/>
        <w:t>staff,</w:t>
      </w:r>
      <w:r>
        <w:rPr>
          <w:spacing w:val="-12"/>
        </w:rPr>
        <w:t> </w:t>
      </w:r>
      <w:r>
        <w:rPr/>
        <w:t>as</w:t>
      </w:r>
      <w:r>
        <w:rPr>
          <w:spacing w:val="-12"/>
        </w:rPr>
        <w:t> </w:t>
      </w:r>
      <w:r>
        <w:rPr/>
        <w:t>well,</w:t>
      </w:r>
      <w:r>
        <w:rPr>
          <w:spacing w:val="-10"/>
        </w:rPr>
        <w:t> </w:t>
      </w:r>
      <w:r>
        <w:rPr/>
        <w:t>to</w:t>
      </w:r>
      <w:r>
        <w:rPr>
          <w:spacing w:val="-12"/>
        </w:rPr>
        <w:t> </w:t>
      </w:r>
      <w:r>
        <w:rPr/>
        <w:t>ensure</w:t>
      </w:r>
      <w:r>
        <w:rPr>
          <w:spacing w:val="-12"/>
        </w:rPr>
        <w:t> </w:t>
      </w:r>
      <w:r>
        <w:rPr/>
        <w:t>that</w:t>
      </w:r>
      <w:r>
        <w:rPr>
          <w:spacing w:val="-13"/>
        </w:rPr>
        <w:t> </w:t>
      </w:r>
      <w:r>
        <w:rPr/>
        <w:t>all</w:t>
      </w:r>
      <w:r>
        <w:rPr>
          <w:spacing w:val="-11"/>
        </w:rPr>
        <w:t> </w:t>
      </w:r>
      <w:r>
        <w:rPr/>
        <w:t>staff</w:t>
      </w:r>
      <w:r>
        <w:rPr>
          <w:spacing w:val="-11"/>
        </w:rPr>
        <w:t> </w:t>
      </w:r>
      <w:r>
        <w:rPr/>
        <w:t>understand</w:t>
      </w:r>
      <w:r>
        <w:rPr>
          <w:spacing w:val="-12"/>
        </w:rPr>
        <w:t> </w:t>
      </w:r>
      <w:r>
        <w:rPr/>
        <w:t>the</w:t>
      </w:r>
      <w:r>
        <w:rPr>
          <w:spacing w:val="-10"/>
        </w:rPr>
        <w:t> </w:t>
      </w:r>
      <w:r>
        <w:rPr/>
        <w:t>process</w:t>
      </w:r>
      <w:r>
        <w:rPr>
          <w:spacing w:val="-12"/>
        </w:rPr>
        <w:t> </w:t>
      </w:r>
      <w:r>
        <w:rPr/>
        <w:t>and</w:t>
      </w:r>
      <w:r>
        <w:rPr>
          <w:spacing w:val="-12"/>
        </w:rPr>
        <w:t> </w:t>
      </w:r>
      <w:r>
        <w:rPr/>
        <w:t>rights</w:t>
      </w:r>
      <w:r>
        <w:rPr>
          <w:spacing w:val="-12"/>
        </w:rPr>
        <w:t> </w:t>
      </w:r>
      <w:r>
        <w:rPr/>
        <w:t>of</w:t>
      </w:r>
      <w:r>
        <w:rPr>
          <w:spacing w:val="-11"/>
        </w:rPr>
        <w:t> </w:t>
      </w:r>
      <w:r>
        <w:rPr/>
        <w:t>youth in their care.</w:t>
      </w:r>
    </w:p>
    <w:p>
      <w:pPr>
        <w:numPr>
          <w:ilvl w:val="0"/>
          <w:numId w:val="50"/>
        </w:numPr>
        <w:tabs>
          <w:tab w:pos="481" w:val="left" w:leader="none"/>
        </w:tabs>
        <w:spacing w:before="240"/>
        <w:ind w:left="481" w:right="0" w:hanging="358"/>
        <w:jc w:val="left"/>
        <w:rPr>
          <w:b/>
          <w:sz w:val="22"/>
        </w:rPr>
      </w:pPr>
      <w:r>
        <w:rPr>
          <w:b/>
          <w:sz w:val="22"/>
        </w:rPr>
        <w:t>Visit,</w:t>
      </w:r>
      <w:r>
        <w:rPr>
          <w:b/>
          <w:spacing w:val="-8"/>
          <w:sz w:val="22"/>
        </w:rPr>
        <w:t> </w:t>
      </w:r>
      <w:r>
        <w:rPr>
          <w:b/>
          <w:sz w:val="22"/>
        </w:rPr>
        <w:t>investigate,</w:t>
      </w:r>
      <w:r>
        <w:rPr>
          <w:b/>
          <w:spacing w:val="-8"/>
          <w:sz w:val="22"/>
        </w:rPr>
        <w:t> </w:t>
      </w:r>
      <w:r>
        <w:rPr>
          <w:b/>
          <w:sz w:val="22"/>
        </w:rPr>
        <w:t>and</w:t>
      </w:r>
      <w:r>
        <w:rPr>
          <w:b/>
          <w:spacing w:val="-8"/>
          <w:sz w:val="22"/>
        </w:rPr>
        <w:t> </w:t>
      </w:r>
      <w:r>
        <w:rPr>
          <w:b/>
          <w:sz w:val="22"/>
        </w:rPr>
        <w:t>report</w:t>
      </w:r>
      <w:r>
        <w:rPr>
          <w:b/>
          <w:spacing w:val="-8"/>
          <w:sz w:val="22"/>
        </w:rPr>
        <w:t> </w:t>
      </w:r>
      <w:r>
        <w:rPr>
          <w:b/>
          <w:sz w:val="22"/>
        </w:rPr>
        <w:t>on</w:t>
      </w:r>
      <w:r>
        <w:rPr>
          <w:b/>
          <w:spacing w:val="-8"/>
          <w:sz w:val="22"/>
        </w:rPr>
        <w:t> </w:t>
      </w:r>
      <w:r>
        <w:rPr>
          <w:b/>
          <w:sz w:val="22"/>
        </w:rPr>
        <w:t>congregate</w:t>
      </w:r>
      <w:r>
        <w:rPr>
          <w:b/>
          <w:spacing w:val="-8"/>
          <w:sz w:val="22"/>
        </w:rPr>
        <w:t> </w:t>
      </w:r>
      <w:r>
        <w:rPr>
          <w:b/>
          <w:sz w:val="22"/>
        </w:rPr>
        <w:t>care</w:t>
      </w:r>
      <w:r>
        <w:rPr>
          <w:b/>
          <w:spacing w:val="-8"/>
          <w:sz w:val="22"/>
        </w:rPr>
        <w:t> </w:t>
      </w:r>
      <w:r>
        <w:rPr>
          <w:b/>
          <w:spacing w:val="-2"/>
          <w:sz w:val="22"/>
        </w:rPr>
        <w:t>facilities.</w:t>
      </w:r>
    </w:p>
    <w:p>
      <w:pPr>
        <w:pStyle w:val="BodyText"/>
        <w:spacing w:before="11"/>
        <w:rPr>
          <w:b/>
        </w:rPr>
      </w:pPr>
    </w:p>
    <w:p>
      <w:pPr>
        <w:pStyle w:val="BodyText"/>
        <w:spacing w:line="276" w:lineRule="auto"/>
        <w:ind w:left="483" w:right="341"/>
        <w:jc w:val="both"/>
      </w:pPr>
      <w:r>
        <w:rPr/>
        <w:t>As initially noted in the OCA’s FY 2024 recommendations, the Commission’s 2021 report on experiences of DCF-involved LGBTQ youth revealed alarming safety concerns for LGBTQ youth in group homes, particularly Black and transgender youth. Incidents described by informants included one in which a worker asked relatives to beat</w:t>
      </w:r>
      <w:r>
        <w:rPr>
          <w:spacing w:val="-1"/>
        </w:rPr>
        <w:t> </w:t>
      </w:r>
      <w:r>
        <w:rPr/>
        <w:t>up a youth</w:t>
      </w:r>
      <w:r>
        <w:rPr>
          <w:spacing w:val="-1"/>
        </w:rPr>
        <w:t> </w:t>
      </w:r>
      <w:r>
        <w:rPr/>
        <w:t>at</w:t>
      </w:r>
      <w:r>
        <w:rPr>
          <w:spacing w:val="-1"/>
        </w:rPr>
        <w:t> </w:t>
      </w:r>
      <w:r>
        <w:rPr/>
        <w:t>a group home, a young</w:t>
      </w:r>
      <w:r>
        <w:rPr>
          <w:spacing w:val="-1"/>
        </w:rPr>
        <w:t> </w:t>
      </w:r>
      <w:r>
        <w:rPr/>
        <w:t>person</w:t>
      </w:r>
      <w:r>
        <w:rPr>
          <w:spacing w:val="-1"/>
        </w:rPr>
        <w:t> </w:t>
      </w:r>
      <w:r>
        <w:rPr/>
        <w:t>who attempted</w:t>
      </w:r>
      <w:r>
        <w:rPr>
          <w:spacing w:val="-1"/>
        </w:rPr>
        <w:t> </w:t>
      </w:r>
      <w:r>
        <w:rPr/>
        <w:t>suicide</w:t>
      </w:r>
      <w:r>
        <w:rPr>
          <w:spacing w:val="-1"/>
        </w:rPr>
        <w:t> </w:t>
      </w:r>
      <w:r>
        <w:rPr/>
        <w:t>after their</w:t>
      </w:r>
      <w:r>
        <w:rPr>
          <w:spacing w:val="-10"/>
        </w:rPr>
        <w:t> </w:t>
      </w:r>
      <w:r>
        <w:rPr/>
        <w:t>program</w:t>
      </w:r>
      <w:r>
        <w:rPr>
          <w:spacing w:val="-10"/>
        </w:rPr>
        <w:t> </w:t>
      </w:r>
      <w:r>
        <w:rPr/>
        <w:t>director</w:t>
      </w:r>
      <w:r>
        <w:rPr>
          <w:spacing w:val="-10"/>
        </w:rPr>
        <w:t> </w:t>
      </w:r>
      <w:r>
        <w:rPr/>
        <w:t>responded</w:t>
      </w:r>
      <w:r>
        <w:rPr>
          <w:spacing w:val="-10"/>
        </w:rPr>
        <w:t> </w:t>
      </w:r>
      <w:r>
        <w:rPr/>
        <w:t>poorly</w:t>
      </w:r>
      <w:r>
        <w:rPr>
          <w:spacing w:val="-10"/>
        </w:rPr>
        <w:t> </w:t>
      </w:r>
      <w:r>
        <w:rPr/>
        <w:t>during</w:t>
      </w:r>
      <w:r>
        <w:rPr>
          <w:spacing w:val="-10"/>
        </w:rPr>
        <w:t> </w:t>
      </w:r>
      <w:r>
        <w:rPr/>
        <w:t>a</w:t>
      </w:r>
      <w:r>
        <w:rPr>
          <w:spacing w:val="-8"/>
        </w:rPr>
        <w:t> </w:t>
      </w:r>
      <w:r>
        <w:rPr/>
        <w:t>conversation</w:t>
      </w:r>
      <w:r>
        <w:rPr>
          <w:spacing w:val="-10"/>
        </w:rPr>
        <w:t> </w:t>
      </w:r>
      <w:r>
        <w:rPr/>
        <w:t>about</w:t>
      </w:r>
      <w:r>
        <w:rPr>
          <w:spacing w:val="-10"/>
        </w:rPr>
        <w:t> </w:t>
      </w:r>
      <w:r>
        <w:rPr/>
        <w:t>using</w:t>
      </w:r>
      <w:r>
        <w:rPr>
          <w:spacing w:val="-9"/>
        </w:rPr>
        <w:t> </w:t>
      </w:r>
      <w:r>
        <w:rPr/>
        <w:t>the</w:t>
      </w:r>
      <w:r>
        <w:rPr>
          <w:spacing w:val="-10"/>
        </w:rPr>
        <w:t> </w:t>
      </w:r>
      <w:r>
        <w:rPr/>
        <w:t>youth’s</w:t>
      </w:r>
      <w:r>
        <w:rPr>
          <w:spacing w:val="-9"/>
        </w:rPr>
        <w:t> </w:t>
      </w:r>
      <w:r>
        <w:rPr/>
        <w:t>correct</w:t>
      </w:r>
      <w:r>
        <w:rPr>
          <w:spacing w:val="-10"/>
        </w:rPr>
        <w:t> </w:t>
      </w:r>
      <w:r>
        <w:rPr/>
        <w:t>pronouns, a</w:t>
      </w:r>
      <w:r>
        <w:rPr>
          <w:spacing w:val="-4"/>
        </w:rPr>
        <w:t> </w:t>
      </w:r>
      <w:r>
        <w:rPr/>
        <w:t>worker</w:t>
      </w:r>
      <w:r>
        <w:rPr>
          <w:spacing w:val="-4"/>
        </w:rPr>
        <w:t> </w:t>
      </w:r>
      <w:r>
        <w:rPr/>
        <w:t>dismissively</w:t>
      </w:r>
      <w:r>
        <w:rPr>
          <w:spacing w:val="-4"/>
        </w:rPr>
        <w:t> </w:t>
      </w:r>
      <w:r>
        <w:rPr/>
        <w:t>responding</w:t>
      </w:r>
      <w:r>
        <w:rPr>
          <w:spacing w:val="-3"/>
        </w:rPr>
        <w:t> </w:t>
      </w:r>
      <w:r>
        <w:rPr/>
        <w:t>to</w:t>
      </w:r>
      <w:r>
        <w:rPr>
          <w:spacing w:val="-4"/>
        </w:rPr>
        <w:t> </w:t>
      </w:r>
      <w:r>
        <w:rPr/>
        <w:t>abuse</w:t>
      </w:r>
      <w:r>
        <w:rPr>
          <w:spacing w:val="-4"/>
        </w:rPr>
        <w:t> </w:t>
      </w:r>
      <w:r>
        <w:rPr/>
        <w:t>against</w:t>
      </w:r>
      <w:r>
        <w:rPr>
          <w:spacing w:val="-3"/>
        </w:rPr>
        <w:t> </w:t>
      </w:r>
      <w:r>
        <w:rPr/>
        <w:t>a</w:t>
      </w:r>
      <w:r>
        <w:rPr>
          <w:spacing w:val="-4"/>
        </w:rPr>
        <w:t> </w:t>
      </w:r>
      <w:r>
        <w:rPr/>
        <w:t>boy</w:t>
      </w:r>
      <w:r>
        <w:rPr>
          <w:spacing w:val="-4"/>
        </w:rPr>
        <w:t> </w:t>
      </w:r>
      <w:r>
        <w:rPr/>
        <w:t>in</w:t>
      </w:r>
      <w:r>
        <w:rPr>
          <w:spacing w:val="-4"/>
        </w:rPr>
        <w:t> </w:t>
      </w:r>
      <w:r>
        <w:rPr/>
        <w:t>a</w:t>
      </w:r>
      <w:r>
        <w:rPr>
          <w:spacing w:val="-4"/>
        </w:rPr>
        <w:t> </w:t>
      </w:r>
      <w:r>
        <w:rPr/>
        <w:t>group</w:t>
      </w:r>
      <w:r>
        <w:rPr>
          <w:spacing w:val="-4"/>
        </w:rPr>
        <w:t> </w:t>
      </w:r>
      <w:r>
        <w:rPr/>
        <w:t>home</w:t>
      </w:r>
      <w:r>
        <w:rPr>
          <w:spacing w:val="-4"/>
        </w:rPr>
        <w:t> </w:t>
      </w:r>
      <w:r>
        <w:rPr/>
        <w:t>by</w:t>
      </w:r>
      <w:r>
        <w:rPr>
          <w:spacing w:val="-4"/>
        </w:rPr>
        <w:t> </w:t>
      </w:r>
      <w:r>
        <w:rPr/>
        <w:t>referring</w:t>
      </w:r>
      <w:r>
        <w:rPr>
          <w:spacing w:val="-3"/>
        </w:rPr>
        <w:t> </w:t>
      </w:r>
      <w:r>
        <w:rPr/>
        <w:t>to</w:t>
      </w:r>
      <w:r>
        <w:rPr>
          <w:spacing w:val="-4"/>
        </w:rPr>
        <w:t> </w:t>
      </w:r>
      <w:r>
        <w:rPr/>
        <w:t>the</w:t>
      </w:r>
      <w:r>
        <w:rPr>
          <w:spacing w:val="-4"/>
        </w:rPr>
        <w:t> </w:t>
      </w:r>
      <w:r>
        <w:rPr/>
        <w:t>boy</w:t>
      </w:r>
      <w:r>
        <w:rPr>
          <w:spacing w:val="-4"/>
        </w:rPr>
        <w:t> </w:t>
      </w:r>
      <w:r>
        <w:rPr/>
        <w:t>as</w:t>
      </w:r>
      <w:r>
        <w:rPr>
          <w:spacing w:val="-4"/>
        </w:rPr>
        <w:t> </w:t>
      </w:r>
      <w:r>
        <w:rPr/>
        <w:t>“such a</w:t>
      </w:r>
      <w:r>
        <w:rPr>
          <w:spacing w:val="-7"/>
        </w:rPr>
        <w:t> </w:t>
      </w:r>
      <w:r>
        <w:rPr/>
        <w:t>queen,”</w:t>
      </w:r>
      <w:r>
        <w:rPr>
          <w:spacing w:val="-7"/>
        </w:rPr>
        <w:t> </w:t>
      </w:r>
      <w:r>
        <w:rPr/>
        <w:t>and</w:t>
      </w:r>
      <w:r>
        <w:rPr>
          <w:spacing w:val="-8"/>
        </w:rPr>
        <w:t> </w:t>
      </w:r>
      <w:r>
        <w:rPr/>
        <w:t>exploitation</w:t>
      </w:r>
      <w:r>
        <w:rPr>
          <w:spacing w:val="-8"/>
        </w:rPr>
        <w:t> </w:t>
      </w:r>
      <w:r>
        <w:rPr/>
        <w:t>of</w:t>
      </w:r>
      <w:r>
        <w:rPr>
          <w:spacing w:val="-8"/>
        </w:rPr>
        <w:t> </w:t>
      </w:r>
      <w:r>
        <w:rPr/>
        <w:t>a</w:t>
      </w:r>
      <w:r>
        <w:rPr>
          <w:spacing w:val="-7"/>
        </w:rPr>
        <w:t> </w:t>
      </w:r>
      <w:r>
        <w:rPr/>
        <w:t>transgender</w:t>
      </w:r>
      <w:r>
        <w:rPr>
          <w:spacing w:val="-8"/>
        </w:rPr>
        <w:t> </w:t>
      </w:r>
      <w:r>
        <w:rPr/>
        <w:t>girl</w:t>
      </w:r>
      <w:r>
        <w:rPr>
          <w:spacing w:val="-7"/>
        </w:rPr>
        <w:t> </w:t>
      </w:r>
      <w:r>
        <w:rPr/>
        <w:t>by</w:t>
      </w:r>
      <w:r>
        <w:rPr>
          <w:spacing w:val="-8"/>
        </w:rPr>
        <w:t> </w:t>
      </w:r>
      <w:r>
        <w:rPr/>
        <w:t>other</w:t>
      </w:r>
      <w:r>
        <w:rPr>
          <w:spacing w:val="-8"/>
        </w:rPr>
        <w:t> </w:t>
      </w:r>
      <w:r>
        <w:rPr/>
        <w:t>youth</w:t>
      </w:r>
      <w:r>
        <w:rPr>
          <w:spacing w:val="-8"/>
        </w:rPr>
        <w:t> </w:t>
      </w:r>
      <w:r>
        <w:rPr/>
        <w:t>in</w:t>
      </w:r>
      <w:r>
        <w:rPr>
          <w:spacing w:val="-7"/>
        </w:rPr>
        <w:t> </w:t>
      </w:r>
      <w:r>
        <w:rPr/>
        <w:t>her</w:t>
      </w:r>
      <w:r>
        <w:rPr>
          <w:spacing w:val="-8"/>
        </w:rPr>
        <w:t> </w:t>
      </w:r>
      <w:r>
        <w:rPr/>
        <w:t>group</w:t>
      </w:r>
      <w:r>
        <w:rPr>
          <w:spacing w:val="-7"/>
        </w:rPr>
        <w:t> </w:t>
      </w:r>
      <w:r>
        <w:rPr/>
        <w:t>home</w:t>
      </w:r>
      <w:r>
        <w:rPr>
          <w:spacing w:val="-8"/>
        </w:rPr>
        <w:t> </w:t>
      </w:r>
      <w:r>
        <w:rPr/>
        <w:t>that</w:t>
      </w:r>
      <w:r>
        <w:rPr>
          <w:spacing w:val="-8"/>
        </w:rPr>
        <w:t> </w:t>
      </w:r>
      <w:r>
        <w:rPr/>
        <w:t>was</w:t>
      </w:r>
      <w:r>
        <w:rPr>
          <w:spacing w:val="-7"/>
        </w:rPr>
        <w:t> </w:t>
      </w:r>
      <w:r>
        <w:rPr/>
        <w:t>so</w:t>
      </w:r>
      <w:r>
        <w:rPr>
          <w:spacing w:val="-7"/>
        </w:rPr>
        <w:t> </w:t>
      </w:r>
      <w:r>
        <w:rPr/>
        <w:t>severe</w:t>
      </w:r>
      <w:r>
        <w:rPr>
          <w:spacing w:val="-8"/>
        </w:rPr>
        <w:t> </w:t>
      </w:r>
      <w:r>
        <w:rPr/>
        <w:t>that her subsequent caretaker filed a 51A.</w:t>
      </w:r>
    </w:p>
    <w:p>
      <w:pPr>
        <w:spacing w:after="0" w:line="276" w:lineRule="auto"/>
        <w:jc w:val="both"/>
        <w:sectPr>
          <w:pgSz w:w="12240" w:h="15840"/>
          <w:pgMar w:header="804" w:footer="1281" w:top="1000" w:bottom="1480" w:left="960" w:right="1100"/>
        </w:sectPr>
      </w:pPr>
    </w:p>
    <w:p>
      <w:pPr>
        <w:pStyle w:val="BodyText"/>
        <w:spacing w:before="77"/>
      </w:pPr>
    </w:p>
    <w:p>
      <w:pPr>
        <w:pStyle w:val="BodyText"/>
        <w:spacing w:line="276" w:lineRule="auto" w:before="1"/>
        <w:ind w:left="483" w:right="340"/>
        <w:jc w:val="both"/>
      </w:pPr>
      <w:r>
        <w:rPr/>
        <w:t>Massachusetts law gives the Child Advocate or their designee access to all facilities operated, licensed, and funded by an executive agency</w:t>
      </w:r>
      <w:hyperlink w:history="true" w:anchor="_bookmark661">
        <w:r>
          <w:rPr/>
          <w:t>.</w:t>
        </w:r>
        <w:r>
          <w:rPr>
            <w:vertAlign w:val="superscript"/>
          </w:rPr>
          <w:t>xi</w:t>
        </w:r>
      </w:hyperlink>
      <w:r>
        <w:rPr>
          <w:vertAlign w:val="baseline"/>
        </w:rPr>
        <w:t> Massachusetts law also tasks the OCA to “investigate and ensure that the highest quality of services and supports are provided to safeguard the health, safety and well- being of all children receiving services.” In its FY 2023 annual recommendations report, the Commission recommended</w:t>
      </w:r>
      <w:r>
        <w:rPr>
          <w:spacing w:val="-7"/>
          <w:vertAlign w:val="baseline"/>
        </w:rPr>
        <w:t> </w:t>
      </w:r>
      <w:r>
        <w:rPr>
          <w:vertAlign w:val="baseline"/>
        </w:rPr>
        <w:t>that</w:t>
      </w:r>
      <w:r>
        <w:rPr>
          <w:spacing w:val="-6"/>
          <w:vertAlign w:val="baseline"/>
        </w:rPr>
        <w:t> </w:t>
      </w:r>
      <w:r>
        <w:rPr>
          <w:vertAlign w:val="baseline"/>
        </w:rPr>
        <w:t>OCA</w:t>
      </w:r>
      <w:r>
        <w:rPr>
          <w:spacing w:val="-6"/>
          <w:vertAlign w:val="baseline"/>
        </w:rPr>
        <w:t> </w:t>
      </w:r>
      <w:r>
        <w:rPr>
          <w:vertAlign w:val="baseline"/>
        </w:rPr>
        <w:t>play</w:t>
      </w:r>
      <w:r>
        <w:rPr>
          <w:spacing w:val="-6"/>
          <w:vertAlign w:val="baseline"/>
        </w:rPr>
        <w:t> </w:t>
      </w:r>
      <w:r>
        <w:rPr>
          <w:vertAlign w:val="baseline"/>
        </w:rPr>
        <w:t>a</w:t>
      </w:r>
      <w:r>
        <w:rPr>
          <w:spacing w:val="-6"/>
          <w:vertAlign w:val="baseline"/>
        </w:rPr>
        <w:t> </w:t>
      </w:r>
      <w:r>
        <w:rPr>
          <w:vertAlign w:val="baseline"/>
        </w:rPr>
        <w:t>more</w:t>
      </w:r>
      <w:r>
        <w:rPr>
          <w:spacing w:val="-7"/>
          <w:vertAlign w:val="baseline"/>
        </w:rPr>
        <w:t> </w:t>
      </w:r>
      <w:r>
        <w:rPr>
          <w:vertAlign w:val="baseline"/>
        </w:rPr>
        <w:t>active</w:t>
      </w:r>
      <w:r>
        <w:rPr>
          <w:spacing w:val="-7"/>
          <w:vertAlign w:val="baseline"/>
        </w:rPr>
        <w:t> </w:t>
      </w:r>
      <w:r>
        <w:rPr>
          <w:vertAlign w:val="baseline"/>
        </w:rPr>
        <w:t>role</w:t>
      </w:r>
      <w:r>
        <w:rPr>
          <w:spacing w:val="-7"/>
          <w:vertAlign w:val="baseline"/>
        </w:rPr>
        <w:t> </w:t>
      </w:r>
      <w:r>
        <w:rPr>
          <w:vertAlign w:val="baseline"/>
        </w:rPr>
        <w:t>in</w:t>
      </w:r>
      <w:r>
        <w:rPr>
          <w:spacing w:val="-7"/>
          <w:vertAlign w:val="baseline"/>
        </w:rPr>
        <w:t> </w:t>
      </w:r>
      <w:r>
        <w:rPr>
          <w:vertAlign w:val="baseline"/>
        </w:rPr>
        <w:t>providing</w:t>
      </w:r>
      <w:r>
        <w:rPr>
          <w:spacing w:val="-7"/>
          <w:vertAlign w:val="baseline"/>
        </w:rPr>
        <w:t> </w:t>
      </w:r>
      <w:r>
        <w:rPr>
          <w:vertAlign w:val="baseline"/>
        </w:rPr>
        <w:t>oversight</w:t>
      </w:r>
      <w:r>
        <w:rPr>
          <w:spacing w:val="-7"/>
          <w:vertAlign w:val="baseline"/>
        </w:rPr>
        <w:t> </w:t>
      </w:r>
      <w:r>
        <w:rPr>
          <w:vertAlign w:val="baseline"/>
        </w:rPr>
        <w:t>of</w:t>
      </w:r>
      <w:r>
        <w:rPr>
          <w:spacing w:val="-6"/>
          <w:vertAlign w:val="baseline"/>
        </w:rPr>
        <w:t> </w:t>
      </w:r>
      <w:r>
        <w:rPr>
          <w:vertAlign w:val="baseline"/>
        </w:rPr>
        <w:t>congregate</w:t>
      </w:r>
      <w:r>
        <w:rPr>
          <w:spacing w:val="-7"/>
          <w:vertAlign w:val="baseline"/>
        </w:rPr>
        <w:t> </w:t>
      </w:r>
      <w:r>
        <w:rPr>
          <w:vertAlign w:val="baseline"/>
        </w:rPr>
        <w:t>care</w:t>
      </w:r>
      <w:r>
        <w:rPr>
          <w:spacing w:val="-7"/>
          <w:vertAlign w:val="baseline"/>
        </w:rPr>
        <w:t> </w:t>
      </w:r>
      <w:r>
        <w:rPr>
          <w:vertAlign w:val="baseline"/>
        </w:rPr>
        <w:t>facilities,</w:t>
      </w:r>
      <w:r>
        <w:rPr>
          <w:spacing w:val="-6"/>
          <w:vertAlign w:val="baseline"/>
        </w:rPr>
        <w:t> </w:t>
      </w:r>
      <w:r>
        <w:rPr>
          <w:vertAlign w:val="baseline"/>
        </w:rPr>
        <w:t>and</w:t>
      </w:r>
      <w:r>
        <w:rPr>
          <w:spacing w:val="-7"/>
          <w:vertAlign w:val="baseline"/>
        </w:rPr>
        <w:t> </w:t>
      </w:r>
      <w:r>
        <w:rPr>
          <w:vertAlign w:val="baseline"/>
        </w:rPr>
        <w:t>in FY</w:t>
      </w:r>
      <w:r>
        <w:rPr>
          <w:spacing w:val="-12"/>
          <w:vertAlign w:val="baseline"/>
        </w:rPr>
        <w:t> </w:t>
      </w:r>
      <w:r>
        <w:rPr>
          <w:vertAlign w:val="baseline"/>
        </w:rPr>
        <w:t>2024</w:t>
      </w:r>
      <w:r>
        <w:rPr>
          <w:spacing w:val="-10"/>
          <w:vertAlign w:val="baseline"/>
        </w:rPr>
        <w:t> </w:t>
      </w:r>
      <w:r>
        <w:rPr>
          <w:vertAlign w:val="baseline"/>
        </w:rPr>
        <w:t>recommended</w:t>
      </w:r>
      <w:r>
        <w:rPr>
          <w:spacing w:val="-9"/>
          <w:vertAlign w:val="baseline"/>
        </w:rPr>
        <w:t> </w:t>
      </w:r>
      <w:r>
        <w:rPr>
          <w:vertAlign w:val="baseline"/>
        </w:rPr>
        <w:t>that</w:t>
      </w:r>
      <w:r>
        <w:rPr>
          <w:spacing w:val="-12"/>
          <w:vertAlign w:val="baseline"/>
        </w:rPr>
        <w:t> </w:t>
      </w:r>
      <w:r>
        <w:rPr>
          <w:vertAlign w:val="baseline"/>
        </w:rPr>
        <w:t>the</w:t>
      </w:r>
      <w:r>
        <w:rPr>
          <w:spacing w:val="-10"/>
          <w:vertAlign w:val="baseline"/>
        </w:rPr>
        <w:t> </w:t>
      </w:r>
      <w:r>
        <w:rPr>
          <w:vertAlign w:val="baseline"/>
        </w:rPr>
        <w:t>OCA</w:t>
      </w:r>
      <w:r>
        <w:rPr>
          <w:spacing w:val="-10"/>
          <w:vertAlign w:val="baseline"/>
        </w:rPr>
        <w:t> </w:t>
      </w:r>
      <w:r>
        <w:rPr>
          <w:vertAlign w:val="baseline"/>
        </w:rPr>
        <w:t>implement</w:t>
      </w:r>
      <w:r>
        <w:rPr>
          <w:spacing w:val="-11"/>
          <w:vertAlign w:val="baseline"/>
        </w:rPr>
        <w:t> </w:t>
      </w:r>
      <w:r>
        <w:rPr>
          <w:vertAlign w:val="baseline"/>
        </w:rPr>
        <w:t>a</w:t>
      </w:r>
      <w:r>
        <w:rPr>
          <w:spacing w:val="-10"/>
          <w:vertAlign w:val="baseline"/>
        </w:rPr>
        <w:t> </w:t>
      </w:r>
      <w:r>
        <w:rPr>
          <w:vertAlign w:val="baseline"/>
        </w:rPr>
        <w:t>plan</w:t>
      </w:r>
      <w:r>
        <w:rPr>
          <w:spacing w:val="-11"/>
          <w:vertAlign w:val="baseline"/>
        </w:rPr>
        <w:t> </w:t>
      </w:r>
      <w:r>
        <w:rPr>
          <w:vertAlign w:val="baseline"/>
        </w:rPr>
        <w:t>for</w:t>
      </w:r>
      <w:r>
        <w:rPr>
          <w:spacing w:val="-10"/>
          <w:vertAlign w:val="baseline"/>
        </w:rPr>
        <w:t> </w:t>
      </w:r>
      <w:r>
        <w:rPr>
          <w:vertAlign w:val="baseline"/>
        </w:rPr>
        <w:t>visits</w:t>
      </w:r>
      <w:r>
        <w:rPr>
          <w:spacing w:val="-10"/>
          <w:vertAlign w:val="baseline"/>
        </w:rPr>
        <w:t> </w:t>
      </w:r>
      <w:r>
        <w:rPr>
          <w:vertAlign w:val="baseline"/>
        </w:rPr>
        <w:t>to</w:t>
      </w:r>
      <w:r>
        <w:rPr>
          <w:spacing w:val="-10"/>
          <w:vertAlign w:val="baseline"/>
        </w:rPr>
        <w:t> </w:t>
      </w:r>
      <w:r>
        <w:rPr>
          <w:vertAlign w:val="baseline"/>
        </w:rPr>
        <w:t>congregate</w:t>
      </w:r>
      <w:r>
        <w:rPr>
          <w:spacing w:val="-10"/>
          <w:vertAlign w:val="baseline"/>
        </w:rPr>
        <w:t> </w:t>
      </w:r>
      <w:r>
        <w:rPr>
          <w:vertAlign w:val="baseline"/>
        </w:rPr>
        <w:t>care</w:t>
      </w:r>
      <w:r>
        <w:rPr>
          <w:spacing w:val="-11"/>
          <w:vertAlign w:val="baseline"/>
        </w:rPr>
        <w:t> </w:t>
      </w:r>
      <w:r>
        <w:rPr>
          <w:vertAlign w:val="baseline"/>
        </w:rPr>
        <w:t>facilities</w:t>
      </w:r>
      <w:r>
        <w:rPr>
          <w:spacing w:val="-10"/>
          <w:vertAlign w:val="baseline"/>
        </w:rPr>
        <w:t> </w:t>
      </w:r>
      <w:r>
        <w:rPr>
          <w:vertAlign w:val="baseline"/>
        </w:rPr>
        <w:t>to</w:t>
      </w:r>
      <w:r>
        <w:rPr>
          <w:spacing w:val="-11"/>
          <w:vertAlign w:val="baseline"/>
        </w:rPr>
        <w:t> </w:t>
      </w:r>
      <w:r>
        <w:rPr>
          <w:vertAlign w:val="baseline"/>
        </w:rPr>
        <w:t>investigate the policies and practices of each facility. In May and September 2023, the OCA expressed its disagreement</w:t>
      </w:r>
      <w:r>
        <w:rPr>
          <w:spacing w:val="-13"/>
          <w:vertAlign w:val="baseline"/>
        </w:rPr>
        <w:t> </w:t>
      </w:r>
      <w:r>
        <w:rPr>
          <w:vertAlign w:val="baseline"/>
        </w:rPr>
        <w:t>with</w:t>
      </w:r>
      <w:r>
        <w:rPr>
          <w:spacing w:val="-12"/>
          <w:vertAlign w:val="baseline"/>
        </w:rPr>
        <w:t> </w:t>
      </w:r>
      <w:r>
        <w:rPr>
          <w:vertAlign w:val="baseline"/>
        </w:rPr>
        <w:t>this</w:t>
      </w:r>
      <w:r>
        <w:rPr>
          <w:spacing w:val="-13"/>
          <w:vertAlign w:val="baseline"/>
        </w:rPr>
        <w:t> </w:t>
      </w:r>
      <w:r>
        <w:rPr>
          <w:vertAlign w:val="baseline"/>
        </w:rPr>
        <w:t>recommendation</w:t>
      </w:r>
      <w:r>
        <w:rPr>
          <w:spacing w:val="-12"/>
          <w:vertAlign w:val="baseline"/>
        </w:rPr>
        <w:t> </w:t>
      </w:r>
      <w:r>
        <w:rPr>
          <w:vertAlign w:val="baseline"/>
        </w:rPr>
        <w:t>and</w:t>
      </w:r>
      <w:r>
        <w:rPr>
          <w:spacing w:val="-13"/>
          <w:vertAlign w:val="baseline"/>
        </w:rPr>
        <w:t> </w:t>
      </w:r>
      <w:r>
        <w:rPr>
          <w:vertAlign w:val="baseline"/>
        </w:rPr>
        <w:t>shared</w:t>
      </w:r>
      <w:r>
        <w:rPr>
          <w:spacing w:val="-12"/>
          <w:vertAlign w:val="baseline"/>
        </w:rPr>
        <w:t> </w:t>
      </w:r>
      <w:r>
        <w:rPr>
          <w:vertAlign w:val="baseline"/>
        </w:rPr>
        <w:t>that</w:t>
      </w:r>
      <w:r>
        <w:rPr>
          <w:spacing w:val="-13"/>
          <w:vertAlign w:val="baseline"/>
        </w:rPr>
        <w:t> </w:t>
      </w:r>
      <w:r>
        <w:rPr>
          <w:vertAlign w:val="baseline"/>
        </w:rPr>
        <w:t>it</w:t>
      </w:r>
      <w:r>
        <w:rPr>
          <w:spacing w:val="-12"/>
          <w:vertAlign w:val="baseline"/>
        </w:rPr>
        <w:t> </w:t>
      </w:r>
      <w:r>
        <w:rPr>
          <w:vertAlign w:val="baseline"/>
        </w:rPr>
        <w:t>does</w:t>
      </w:r>
      <w:r>
        <w:rPr>
          <w:spacing w:val="-12"/>
          <w:vertAlign w:val="baseline"/>
        </w:rPr>
        <w:t> </w:t>
      </w:r>
      <w:r>
        <w:rPr>
          <w:vertAlign w:val="baseline"/>
        </w:rPr>
        <w:t>not</w:t>
      </w:r>
      <w:r>
        <w:rPr>
          <w:spacing w:val="-13"/>
          <w:vertAlign w:val="baseline"/>
        </w:rPr>
        <w:t> </w:t>
      </w:r>
      <w:r>
        <w:rPr>
          <w:vertAlign w:val="baseline"/>
        </w:rPr>
        <w:t>believe</w:t>
      </w:r>
      <w:r>
        <w:rPr>
          <w:spacing w:val="-12"/>
          <w:vertAlign w:val="baseline"/>
        </w:rPr>
        <w:t> </w:t>
      </w:r>
      <w:r>
        <w:rPr>
          <w:vertAlign w:val="baseline"/>
        </w:rPr>
        <w:t>that</w:t>
      </w:r>
      <w:r>
        <w:rPr>
          <w:spacing w:val="-13"/>
          <w:vertAlign w:val="baseline"/>
        </w:rPr>
        <w:t> </w:t>
      </w:r>
      <w:r>
        <w:rPr>
          <w:vertAlign w:val="baseline"/>
        </w:rPr>
        <w:t>it</w:t>
      </w:r>
      <w:r>
        <w:rPr>
          <w:spacing w:val="-12"/>
          <w:vertAlign w:val="baseline"/>
        </w:rPr>
        <w:t> </w:t>
      </w:r>
      <w:r>
        <w:rPr>
          <w:vertAlign w:val="baseline"/>
        </w:rPr>
        <w:t>is</w:t>
      </w:r>
      <w:r>
        <w:rPr>
          <w:spacing w:val="-13"/>
          <w:vertAlign w:val="baseline"/>
        </w:rPr>
        <w:t> </w:t>
      </w:r>
      <w:r>
        <w:rPr>
          <w:vertAlign w:val="baseline"/>
        </w:rPr>
        <w:t>statutorily</w:t>
      </w:r>
      <w:r>
        <w:rPr>
          <w:spacing w:val="-12"/>
          <w:vertAlign w:val="baseline"/>
        </w:rPr>
        <w:t> </w:t>
      </w:r>
      <w:r>
        <w:rPr>
          <w:vertAlign w:val="baseline"/>
        </w:rPr>
        <w:t>mandated to</w:t>
      </w:r>
      <w:r>
        <w:rPr>
          <w:spacing w:val="-7"/>
          <w:vertAlign w:val="baseline"/>
        </w:rPr>
        <w:t> </w:t>
      </w:r>
      <w:r>
        <w:rPr>
          <w:vertAlign w:val="baseline"/>
        </w:rPr>
        <w:t>visit</w:t>
      </w:r>
      <w:r>
        <w:rPr>
          <w:spacing w:val="-8"/>
          <w:vertAlign w:val="baseline"/>
        </w:rPr>
        <w:t> </w:t>
      </w:r>
      <w:r>
        <w:rPr>
          <w:vertAlign w:val="baseline"/>
        </w:rPr>
        <w:t>facilities</w:t>
      </w:r>
      <w:r>
        <w:rPr>
          <w:spacing w:val="-7"/>
          <w:vertAlign w:val="baseline"/>
        </w:rPr>
        <w:t> </w:t>
      </w:r>
      <w:r>
        <w:rPr>
          <w:vertAlign w:val="baseline"/>
        </w:rPr>
        <w:t>in</w:t>
      </w:r>
      <w:r>
        <w:rPr>
          <w:spacing w:val="-8"/>
          <w:vertAlign w:val="baseline"/>
        </w:rPr>
        <w:t> </w:t>
      </w:r>
      <w:r>
        <w:rPr>
          <w:vertAlign w:val="baseline"/>
        </w:rPr>
        <w:t>order</w:t>
      </w:r>
      <w:r>
        <w:rPr>
          <w:spacing w:val="-8"/>
          <w:vertAlign w:val="baseline"/>
        </w:rPr>
        <w:t> </w:t>
      </w:r>
      <w:r>
        <w:rPr>
          <w:vertAlign w:val="baseline"/>
        </w:rPr>
        <w:t>to</w:t>
      </w:r>
      <w:r>
        <w:rPr>
          <w:spacing w:val="-5"/>
          <w:vertAlign w:val="baseline"/>
        </w:rPr>
        <w:t> </w:t>
      </w:r>
      <w:r>
        <w:rPr>
          <w:vertAlign w:val="baseline"/>
        </w:rPr>
        <w:t>fulfill</w:t>
      </w:r>
      <w:r>
        <w:rPr>
          <w:spacing w:val="-8"/>
          <w:vertAlign w:val="baseline"/>
        </w:rPr>
        <w:t> </w:t>
      </w:r>
      <w:r>
        <w:rPr>
          <w:vertAlign w:val="baseline"/>
        </w:rPr>
        <w:t>its</w:t>
      </w:r>
      <w:r>
        <w:rPr>
          <w:spacing w:val="-7"/>
          <w:vertAlign w:val="baseline"/>
        </w:rPr>
        <w:t> </w:t>
      </w:r>
      <w:r>
        <w:rPr>
          <w:vertAlign w:val="baseline"/>
        </w:rPr>
        <w:t>statutory</w:t>
      </w:r>
      <w:r>
        <w:rPr>
          <w:spacing w:val="-8"/>
          <w:vertAlign w:val="baseline"/>
        </w:rPr>
        <w:t> </w:t>
      </w:r>
      <w:r>
        <w:rPr>
          <w:vertAlign w:val="baseline"/>
        </w:rPr>
        <w:t>obligations.</w:t>
      </w:r>
      <w:r>
        <w:rPr>
          <w:spacing w:val="-8"/>
          <w:vertAlign w:val="baseline"/>
        </w:rPr>
        <w:t> </w:t>
      </w:r>
      <w:r>
        <w:rPr>
          <w:vertAlign w:val="baseline"/>
        </w:rPr>
        <w:t>While</w:t>
      </w:r>
      <w:r>
        <w:rPr>
          <w:spacing w:val="-7"/>
          <w:vertAlign w:val="baseline"/>
        </w:rPr>
        <w:t> </w:t>
      </w:r>
      <w:r>
        <w:rPr>
          <w:vertAlign w:val="baseline"/>
        </w:rPr>
        <w:t>OCA</w:t>
      </w:r>
      <w:r>
        <w:rPr>
          <w:spacing w:val="-8"/>
          <w:vertAlign w:val="baseline"/>
        </w:rPr>
        <w:t> </w:t>
      </w:r>
      <w:r>
        <w:rPr>
          <w:vertAlign w:val="baseline"/>
        </w:rPr>
        <w:t>acknowledges</w:t>
      </w:r>
      <w:r>
        <w:rPr>
          <w:spacing w:val="-7"/>
          <w:vertAlign w:val="baseline"/>
        </w:rPr>
        <w:t> </w:t>
      </w:r>
      <w:r>
        <w:rPr>
          <w:vertAlign w:val="baseline"/>
        </w:rPr>
        <w:t>that</w:t>
      </w:r>
      <w:r>
        <w:rPr>
          <w:spacing w:val="-7"/>
          <w:vertAlign w:val="baseline"/>
        </w:rPr>
        <w:t> </w:t>
      </w:r>
      <w:r>
        <w:rPr>
          <w:vertAlign w:val="baseline"/>
        </w:rPr>
        <w:t>they</w:t>
      </w:r>
      <w:r>
        <w:rPr>
          <w:spacing w:val="-5"/>
          <w:vertAlign w:val="baseline"/>
        </w:rPr>
        <w:t> </w:t>
      </w:r>
      <w:r>
        <w:rPr>
          <w:vertAlign w:val="baseline"/>
        </w:rPr>
        <w:t>do</w:t>
      </w:r>
      <w:r>
        <w:rPr>
          <w:spacing w:val="-7"/>
          <w:vertAlign w:val="baseline"/>
        </w:rPr>
        <w:t> </w:t>
      </w:r>
      <w:r>
        <w:rPr>
          <w:vertAlign w:val="baseline"/>
        </w:rPr>
        <w:t>have</w:t>
      </w:r>
      <w:r>
        <w:rPr>
          <w:spacing w:val="-7"/>
          <w:vertAlign w:val="baseline"/>
        </w:rPr>
        <w:t> </w:t>
      </w:r>
      <w:r>
        <w:rPr>
          <w:vertAlign w:val="baseline"/>
        </w:rPr>
        <w:t>this authority</w:t>
      </w:r>
      <w:r>
        <w:rPr>
          <w:spacing w:val="-2"/>
          <w:vertAlign w:val="baseline"/>
        </w:rPr>
        <w:t> </w:t>
      </w:r>
      <w:r>
        <w:rPr>
          <w:vertAlign w:val="baseline"/>
        </w:rPr>
        <w:t>to</w:t>
      </w:r>
      <w:r>
        <w:rPr>
          <w:spacing w:val="-1"/>
          <w:vertAlign w:val="baseline"/>
        </w:rPr>
        <w:t> </w:t>
      </w:r>
      <w:r>
        <w:rPr>
          <w:vertAlign w:val="baseline"/>
        </w:rPr>
        <w:t>visit</w:t>
      </w:r>
      <w:r>
        <w:rPr>
          <w:spacing w:val="-2"/>
          <w:vertAlign w:val="baseline"/>
        </w:rPr>
        <w:t> </w:t>
      </w:r>
      <w:r>
        <w:rPr>
          <w:vertAlign w:val="baseline"/>
        </w:rPr>
        <w:t>congregate</w:t>
      </w:r>
      <w:r>
        <w:rPr>
          <w:spacing w:val="-2"/>
          <w:vertAlign w:val="baseline"/>
        </w:rPr>
        <w:t> </w:t>
      </w:r>
      <w:r>
        <w:rPr>
          <w:vertAlign w:val="baseline"/>
        </w:rPr>
        <w:t>care</w:t>
      </w:r>
      <w:r>
        <w:rPr>
          <w:spacing w:val="-2"/>
          <w:vertAlign w:val="baseline"/>
        </w:rPr>
        <w:t> </w:t>
      </w:r>
      <w:r>
        <w:rPr>
          <w:vertAlign w:val="baseline"/>
        </w:rPr>
        <w:t>facilities,</w:t>
      </w:r>
      <w:r>
        <w:rPr>
          <w:spacing w:val="-2"/>
          <w:vertAlign w:val="baseline"/>
        </w:rPr>
        <w:t> </w:t>
      </w:r>
      <w:r>
        <w:rPr>
          <w:vertAlign w:val="baseline"/>
        </w:rPr>
        <w:t>it</w:t>
      </w:r>
      <w:r>
        <w:rPr>
          <w:spacing w:val="-2"/>
          <w:vertAlign w:val="baseline"/>
        </w:rPr>
        <w:t> </w:t>
      </w:r>
      <w:r>
        <w:rPr>
          <w:vertAlign w:val="baseline"/>
        </w:rPr>
        <w:t>notes</w:t>
      </w:r>
      <w:r>
        <w:rPr>
          <w:spacing w:val="-1"/>
          <w:vertAlign w:val="baseline"/>
        </w:rPr>
        <w:t> </w:t>
      </w:r>
      <w:r>
        <w:rPr>
          <w:vertAlign w:val="baseline"/>
        </w:rPr>
        <w:t>that</w:t>
      </w:r>
      <w:r>
        <w:rPr>
          <w:spacing w:val="-2"/>
          <w:vertAlign w:val="baseline"/>
        </w:rPr>
        <w:t> </w:t>
      </w:r>
      <w:r>
        <w:rPr>
          <w:vertAlign w:val="baseline"/>
        </w:rPr>
        <w:t>it</w:t>
      </w:r>
      <w:r>
        <w:rPr>
          <w:spacing w:val="-2"/>
          <w:vertAlign w:val="baseline"/>
        </w:rPr>
        <w:t> </w:t>
      </w:r>
      <w:r>
        <w:rPr>
          <w:vertAlign w:val="baseline"/>
        </w:rPr>
        <w:t>reserves this</w:t>
      </w:r>
      <w:r>
        <w:rPr>
          <w:spacing w:val="-1"/>
          <w:vertAlign w:val="baseline"/>
        </w:rPr>
        <w:t> </w:t>
      </w:r>
      <w:r>
        <w:rPr>
          <w:vertAlign w:val="baseline"/>
        </w:rPr>
        <w:t>ability for</w:t>
      </w:r>
      <w:r>
        <w:rPr>
          <w:spacing w:val="-2"/>
          <w:vertAlign w:val="baseline"/>
        </w:rPr>
        <w:t> </w:t>
      </w:r>
      <w:r>
        <w:rPr>
          <w:vertAlign w:val="baseline"/>
        </w:rPr>
        <w:t>situations</w:t>
      </w:r>
      <w:r>
        <w:rPr>
          <w:spacing w:val="-1"/>
          <w:vertAlign w:val="baseline"/>
        </w:rPr>
        <w:t> </w:t>
      </w:r>
      <w:r>
        <w:rPr>
          <w:vertAlign w:val="baseline"/>
        </w:rPr>
        <w:t>that</w:t>
      </w:r>
      <w:r>
        <w:rPr>
          <w:spacing w:val="-2"/>
          <w:vertAlign w:val="baseline"/>
        </w:rPr>
        <w:t> </w:t>
      </w:r>
      <w:r>
        <w:rPr>
          <w:vertAlign w:val="baseline"/>
        </w:rPr>
        <w:t>the</w:t>
      </w:r>
      <w:r>
        <w:rPr>
          <w:spacing w:val="-2"/>
          <w:vertAlign w:val="baseline"/>
        </w:rPr>
        <w:t> </w:t>
      </w:r>
      <w:r>
        <w:rPr>
          <w:vertAlign w:val="baseline"/>
        </w:rPr>
        <w:t>OCA believes</w:t>
      </w:r>
      <w:r>
        <w:rPr>
          <w:spacing w:val="-5"/>
          <w:vertAlign w:val="baseline"/>
        </w:rPr>
        <w:t> </w:t>
      </w:r>
      <w:r>
        <w:rPr>
          <w:vertAlign w:val="baseline"/>
        </w:rPr>
        <w:t>would</w:t>
      </w:r>
      <w:r>
        <w:rPr>
          <w:spacing w:val="-6"/>
          <w:vertAlign w:val="baseline"/>
        </w:rPr>
        <w:t> </w:t>
      </w:r>
      <w:r>
        <w:rPr>
          <w:vertAlign w:val="baseline"/>
        </w:rPr>
        <w:t>be</w:t>
      </w:r>
      <w:r>
        <w:rPr>
          <w:spacing w:val="-6"/>
          <w:vertAlign w:val="baseline"/>
        </w:rPr>
        <w:t> </w:t>
      </w:r>
      <w:r>
        <w:rPr>
          <w:vertAlign w:val="baseline"/>
        </w:rPr>
        <w:t>appropriate</w:t>
      </w:r>
      <w:r>
        <w:rPr>
          <w:spacing w:val="-6"/>
          <w:vertAlign w:val="baseline"/>
        </w:rPr>
        <w:t> </w:t>
      </w:r>
      <w:r>
        <w:rPr>
          <w:vertAlign w:val="baseline"/>
        </w:rPr>
        <w:t>and</w:t>
      </w:r>
      <w:r>
        <w:rPr>
          <w:spacing w:val="-4"/>
          <w:vertAlign w:val="baseline"/>
        </w:rPr>
        <w:t> </w:t>
      </w:r>
      <w:r>
        <w:rPr>
          <w:vertAlign w:val="baseline"/>
        </w:rPr>
        <w:t>effective.</w:t>
      </w:r>
      <w:r>
        <w:rPr>
          <w:spacing w:val="-6"/>
          <w:vertAlign w:val="baseline"/>
        </w:rPr>
        <w:t> </w:t>
      </w:r>
      <w:r>
        <w:rPr>
          <w:vertAlign w:val="baseline"/>
        </w:rPr>
        <w:t>In</w:t>
      </w:r>
      <w:r>
        <w:rPr>
          <w:spacing w:val="-6"/>
          <w:vertAlign w:val="baseline"/>
        </w:rPr>
        <w:t> </w:t>
      </w:r>
      <w:r>
        <w:rPr>
          <w:vertAlign w:val="baseline"/>
        </w:rPr>
        <w:t>its</w:t>
      </w:r>
      <w:r>
        <w:rPr>
          <w:spacing w:val="-5"/>
          <w:vertAlign w:val="baseline"/>
        </w:rPr>
        <w:t> </w:t>
      </w:r>
      <w:r>
        <w:rPr>
          <w:vertAlign w:val="baseline"/>
        </w:rPr>
        <w:t>letter</w:t>
      </w:r>
      <w:r>
        <w:rPr>
          <w:spacing w:val="-5"/>
          <w:vertAlign w:val="baseline"/>
        </w:rPr>
        <w:t> </w:t>
      </w:r>
      <w:r>
        <w:rPr>
          <w:vertAlign w:val="baseline"/>
        </w:rPr>
        <w:t>of</w:t>
      </w:r>
      <w:r>
        <w:rPr>
          <w:spacing w:val="-5"/>
          <w:vertAlign w:val="baseline"/>
        </w:rPr>
        <w:t> </w:t>
      </w:r>
      <w:r>
        <w:rPr>
          <w:vertAlign w:val="baseline"/>
        </w:rPr>
        <w:t>response</w:t>
      </w:r>
      <w:r>
        <w:rPr>
          <w:spacing w:val="-6"/>
          <w:vertAlign w:val="baseline"/>
        </w:rPr>
        <w:t> </w:t>
      </w:r>
      <w:r>
        <w:rPr>
          <w:vertAlign w:val="baseline"/>
        </w:rPr>
        <w:t>to</w:t>
      </w:r>
      <w:r>
        <w:rPr>
          <w:spacing w:val="-5"/>
          <w:vertAlign w:val="baseline"/>
        </w:rPr>
        <w:t> </w:t>
      </w:r>
      <w:r>
        <w:rPr>
          <w:vertAlign w:val="baseline"/>
        </w:rPr>
        <w:t>the</w:t>
      </w:r>
      <w:r>
        <w:rPr>
          <w:spacing w:val="-6"/>
          <w:vertAlign w:val="baseline"/>
        </w:rPr>
        <w:t> </w:t>
      </w:r>
      <w:r>
        <w:rPr>
          <w:vertAlign w:val="baseline"/>
        </w:rPr>
        <w:t>Commission</w:t>
      </w:r>
      <w:r>
        <w:rPr>
          <w:spacing w:val="-6"/>
          <w:vertAlign w:val="baseline"/>
        </w:rPr>
        <w:t> </w:t>
      </w:r>
      <w:r>
        <w:rPr>
          <w:vertAlign w:val="baseline"/>
        </w:rPr>
        <w:t>in</w:t>
      </w:r>
      <w:r>
        <w:rPr>
          <w:spacing w:val="-6"/>
          <w:vertAlign w:val="baseline"/>
        </w:rPr>
        <w:t> </w:t>
      </w:r>
      <w:r>
        <w:rPr>
          <w:vertAlign w:val="baseline"/>
        </w:rPr>
        <w:t>May</w:t>
      </w:r>
      <w:r>
        <w:rPr>
          <w:spacing w:val="-5"/>
          <w:vertAlign w:val="baseline"/>
        </w:rPr>
        <w:t> </w:t>
      </w:r>
      <w:r>
        <w:rPr>
          <w:vertAlign w:val="baseline"/>
        </w:rPr>
        <w:t>2023,</w:t>
      </w:r>
      <w:r>
        <w:rPr>
          <w:spacing w:val="-5"/>
          <w:vertAlign w:val="baseline"/>
        </w:rPr>
        <w:t> </w:t>
      </w:r>
      <w:r>
        <w:rPr>
          <w:vertAlign w:val="baseline"/>
        </w:rPr>
        <w:t>the OCA noted that it does not believe that - given there are over 300 programs - visiting every congregate care program would be an effective use of the OCA’s staff time and resources, and could potentially do more</w:t>
      </w:r>
      <w:r>
        <w:rPr>
          <w:spacing w:val="-5"/>
          <w:vertAlign w:val="baseline"/>
        </w:rPr>
        <w:t> </w:t>
      </w:r>
      <w:r>
        <w:rPr>
          <w:vertAlign w:val="baseline"/>
        </w:rPr>
        <w:t>harm</w:t>
      </w:r>
      <w:r>
        <w:rPr>
          <w:spacing w:val="-5"/>
          <w:vertAlign w:val="baseline"/>
        </w:rPr>
        <w:t> </w:t>
      </w:r>
      <w:r>
        <w:rPr>
          <w:vertAlign w:val="baseline"/>
        </w:rPr>
        <w:t>than</w:t>
      </w:r>
      <w:r>
        <w:rPr>
          <w:spacing w:val="-5"/>
          <w:vertAlign w:val="baseline"/>
        </w:rPr>
        <w:t> </w:t>
      </w:r>
      <w:r>
        <w:rPr>
          <w:vertAlign w:val="baseline"/>
        </w:rPr>
        <w:t>good,</w:t>
      </w:r>
      <w:r>
        <w:rPr>
          <w:spacing w:val="-5"/>
          <w:vertAlign w:val="baseline"/>
        </w:rPr>
        <w:t> </w:t>
      </w:r>
      <w:r>
        <w:rPr>
          <w:vertAlign w:val="baseline"/>
        </w:rPr>
        <w:t>particularly</w:t>
      </w:r>
      <w:r>
        <w:rPr>
          <w:spacing w:val="-4"/>
          <w:vertAlign w:val="baseline"/>
        </w:rPr>
        <w:t> </w:t>
      </w:r>
      <w:r>
        <w:rPr>
          <w:vertAlign w:val="baseline"/>
        </w:rPr>
        <w:t>given</w:t>
      </w:r>
      <w:r>
        <w:rPr>
          <w:spacing w:val="-5"/>
          <w:vertAlign w:val="baseline"/>
        </w:rPr>
        <w:t> </w:t>
      </w:r>
      <w:r>
        <w:rPr>
          <w:vertAlign w:val="baseline"/>
        </w:rPr>
        <w:t>the</w:t>
      </w:r>
      <w:r>
        <w:rPr>
          <w:spacing w:val="-4"/>
          <w:vertAlign w:val="baseline"/>
        </w:rPr>
        <w:t> </w:t>
      </w:r>
      <w:r>
        <w:rPr>
          <w:vertAlign w:val="baseline"/>
        </w:rPr>
        <w:t>OCA’s</w:t>
      </w:r>
      <w:r>
        <w:rPr>
          <w:spacing w:val="-5"/>
          <w:vertAlign w:val="baseline"/>
        </w:rPr>
        <w:t> </w:t>
      </w:r>
      <w:r>
        <w:rPr>
          <w:vertAlign w:val="baseline"/>
        </w:rPr>
        <w:t>commitment</w:t>
      </w:r>
      <w:r>
        <w:rPr>
          <w:spacing w:val="-4"/>
          <w:vertAlign w:val="baseline"/>
        </w:rPr>
        <w:t> </w:t>
      </w:r>
      <w:r>
        <w:rPr>
          <w:vertAlign w:val="baseline"/>
        </w:rPr>
        <w:t>to</w:t>
      </w:r>
      <w:r>
        <w:rPr>
          <w:spacing w:val="-5"/>
          <w:vertAlign w:val="baseline"/>
        </w:rPr>
        <w:t> </w:t>
      </w:r>
      <w:r>
        <w:rPr>
          <w:vertAlign w:val="baseline"/>
        </w:rPr>
        <w:t>collaboration</w:t>
      </w:r>
      <w:r>
        <w:rPr>
          <w:spacing w:val="-5"/>
          <w:vertAlign w:val="baseline"/>
        </w:rPr>
        <w:t> </w:t>
      </w:r>
      <w:r>
        <w:rPr>
          <w:vertAlign w:val="baseline"/>
        </w:rPr>
        <w:t>with</w:t>
      </w:r>
      <w:r>
        <w:rPr>
          <w:spacing w:val="-5"/>
          <w:vertAlign w:val="baseline"/>
        </w:rPr>
        <w:t> </w:t>
      </w:r>
      <w:r>
        <w:rPr>
          <w:vertAlign w:val="baseline"/>
        </w:rPr>
        <w:t>state</w:t>
      </w:r>
      <w:r>
        <w:rPr>
          <w:spacing w:val="-4"/>
          <w:vertAlign w:val="baseline"/>
        </w:rPr>
        <w:t> </w:t>
      </w:r>
      <w:r>
        <w:rPr>
          <w:vertAlign w:val="baseline"/>
        </w:rPr>
        <w:t>agencies</w:t>
      </w:r>
      <w:r>
        <w:rPr>
          <w:spacing w:val="-5"/>
          <w:vertAlign w:val="baseline"/>
        </w:rPr>
        <w:t> </w:t>
      </w:r>
      <w:r>
        <w:rPr>
          <w:vertAlign w:val="baseline"/>
        </w:rPr>
        <w:t>and external provider organizations.</w:t>
      </w:r>
    </w:p>
    <w:p>
      <w:pPr>
        <w:pStyle w:val="BodyText"/>
        <w:spacing w:line="276" w:lineRule="auto" w:before="240"/>
        <w:ind w:left="483" w:right="341"/>
        <w:jc w:val="both"/>
      </w:pPr>
      <w:r>
        <w:rPr/>
        <w:t>The OCA further noted that, as EEC is responsible for the licensing of residential programs - and part of this</w:t>
      </w:r>
      <w:r>
        <w:rPr>
          <w:spacing w:val="-4"/>
        </w:rPr>
        <w:t> </w:t>
      </w:r>
      <w:r>
        <w:rPr/>
        <w:t>process</w:t>
      </w:r>
      <w:r>
        <w:rPr>
          <w:spacing w:val="-4"/>
        </w:rPr>
        <w:t> </w:t>
      </w:r>
      <w:r>
        <w:rPr/>
        <w:t>includes</w:t>
      </w:r>
      <w:r>
        <w:rPr>
          <w:spacing w:val="-4"/>
        </w:rPr>
        <w:t> </w:t>
      </w:r>
      <w:r>
        <w:rPr/>
        <w:t>regular</w:t>
      </w:r>
      <w:r>
        <w:rPr>
          <w:spacing w:val="-4"/>
        </w:rPr>
        <w:t> </w:t>
      </w:r>
      <w:r>
        <w:rPr/>
        <w:t>visits</w:t>
      </w:r>
      <w:r>
        <w:rPr>
          <w:spacing w:val="-4"/>
        </w:rPr>
        <w:t> </w:t>
      </w:r>
      <w:r>
        <w:rPr/>
        <w:t>to</w:t>
      </w:r>
      <w:r>
        <w:rPr>
          <w:spacing w:val="-4"/>
        </w:rPr>
        <w:t> </w:t>
      </w:r>
      <w:r>
        <w:rPr/>
        <w:t>congregate</w:t>
      </w:r>
      <w:r>
        <w:rPr>
          <w:spacing w:val="-3"/>
        </w:rPr>
        <w:t> </w:t>
      </w:r>
      <w:r>
        <w:rPr/>
        <w:t>care</w:t>
      </w:r>
      <w:r>
        <w:rPr>
          <w:spacing w:val="-4"/>
        </w:rPr>
        <w:t> </w:t>
      </w:r>
      <w:r>
        <w:rPr/>
        <w:t>facilities</w:t>
      </w:r>
      <w:r>
        <w:rPr>
          <w:spacing w:val="-4"/>
        </w:rPr>
        <w:t> </w:t>
      </w:r>
      <w:r>
        <w:rPr/>
        <w:t>-</w:t>
      </w:r>
      <w:r>
        <w:rPr>
          <w:spacing w:val="-6"/>
        </w:rPr>
        <w:t> </w:t>
      </w:r>
      <w:r>
        <w:rPr/>
        <w:t>the</w:t>
      </w:r>
      <w:r>
        <w:rPr>
          <w:spacing w:val="-4"/>
        </w:rPr>
        <w:t> </w:t>
      </w:r>
      <w:r>
        <w:rPr/>
        <w:t>OCA</w:t>
      </w:r>
      <w:r>
        <w:rPr>
          <w:spacing w:val="-4"/>
        </w:rPr>
        <w:t> </w:t>
      </w:r>
      <w:r>
        <w:rPr/>
        <w:t>operates</w:t>
      </w:r>
      <w:r>
        <w:rPr>
          <w:spacing w:val="-4"/>
        </w:rPr>
        <w:t> </w:t>
      </w:r>
      <w:r>
        <w:rPr/>
        <w:t>as</w:t>
      </w:r>
      <w:r>
        <w:rPr>
          <w:spacing w:val="-4"/>
        </w:rPr>
        <w:t> </w:t>
      </w:r>
      <w:r>
        <w:rPr/>
        <w:t>a</w:t>
      </w:r>
      <w:r>
        <w:rPr>
          <w:spacing w:val="-4"/>
        </w:rPr>
        <w:t> </w:t>
      </w:r>
      <w:r>
        <w:rPr/>
        <w:t>secondary</w:t>
      </w:r>
      <w:r>
        <w:rPr>
          <w:spacing w:val="-4"/>
        </w:rPr>
        <w:t> </w:t>
      </w:r>
      <w:r>
        <w:rPr/>
        <w:t>layer</w:t>
      </w:r>
      <w:r>
        <w:rPr>
          <w:spacing w:val="-4"/>
        </w:rPr>
        <w:t> </w:t>
      </w:r>
      <w:r>
        <w:rPr/>
        <w:t>of </w:t>
      </w:r>
      <w:r>
        <w:rPr>
          <w:spacing w:val="-2"/>
        </w:rPr>
        <w:t>oversight and investigate cases through its complaint line, reviews of Critical Incident Reports, and reviews </w:t>
      </w:r>
      <w:r>
        <w:rPr/>
        <w:t>of substantiated reports of abuse or neglect in out-of-home settings. Any concerns relating to youth in specific programs or facilities is shared with either DCF or EEC, and discussed during an OCA-facilitated interagency group.</w:t>
      </w:r>
    </w:p>
    <w:p>
      <w:pPr>
        <w:pStyle w:val="BodyText"/>
        <w:spacing w:line="276" w:lineRule="auto" w:before="239"/>
        <w:ind w:left="483" w:right="340"/>
        <w:jc w:val="both"/>
      </w:pPr>
      <w:r>
        <w:rPr/>
        <w:t>To date, the Commission remains unaware of specific steps taken by either the OCA or EEC to make congregate care facilities safer and more affirming for LGBTQ youth. The Commission continues to recommend</w:t>
      </w:r>
      <w:r>
        <w:rPr>
          <w:spacing w:val="-13"/>
        </w:rPr>
        <w:t> </w:t>
      </w:r>
      <w:r>
        <w:rPr/>
        <w:t>that</w:t>
      </w:r>
      <w:r>
        <w:rPr>
          <w:spacing w:val="-12"/>
        </w:rPr>
        <w:t> </w:t>
      </w:r>
      <w:r>
        <w:rPr/>
        <w:t>the</w:t>
      </w:r>
      <w:r>
        <w:rPr>
          <w:spacing w:val="-13"/>
        </w:rPr>
        <w:t> </w:t>
      </w:r>
      <w:r>
        <w:rPr/>
        <w:t>OCA</w:t>
      </w:r>
      <w:r>
        <w:rPr>
          <w:spacing w:val="-12"/>
        </w:rPr>
        <w:t> </w:t>
      </w:r>
      <w:r>
        <w:rPr/>
        <w:t>initiates</w:t>
      </w:r>
      <w:r>
        <w:rPr>
          <w:spacing w:val="-12"/>
        </w:rPr>
        <w:t> </w:t>
      </w:r>
      <w:r>
        <w:rPr/>
        <w:t>-</w:t>
      </w:r>
      <w:r>
        <w:rPr>
          <w:spacing w:val="-12"/>
        </w:rPr>
        <w:t> </w:t>
      </w:r>
      <w:r>
        <w:rPr/>
        <w:t>whether</w:t>
      </w:r>
      <w:r>
        <w:rPr>
          <w:spacing w:val="-12"/>
        </w:rPr>
        <w:t> </w:t>
      </w:r>
      <w:r>
        <w:rPr/>
        <w:t>in</w:t>
      </w:r>
      <w:r>
        <w:rPr>
          <w:spacing w:val="-11"/>
        </w:rPr>
        <w:t> </w:t>
      </w:r>
      <w:r>
        <w:rPr/>
        <w:t>partnership</w:t>
      </w:r>
      <w:r>
        <w:rPr>
          <w:spacing w:val="-13"/>
        </w:rPr>
        <w:t> </w:t>
      </w:r>
      <w:r>
        <w:rPr/>
        <w:t>with</w:t>
      </w:r>
      <w:r>
        <w:rPr>
          <w:spacing w:val="-12"/>
        </w:rPr>
        <w:t> </w:t>
      </w:r>
      <w:r>
        <w:rPr/>
        <w:t>DCF</w:t>
      </w:r>
      <w:r>
        <w:rPr>
          <w:spacing w:val="-13"/>
        </w:rPr>
        <w:t> </w:t>
      </w:r>
      <w:r>
        <w:rPr/>
        <w:t>and</w:t>
      </w:r>
      <w:r>
        <w:rPr>
          <w:spacing w:val="-12"/>
        </w:rPr>
        <w:t> </w:t>
      </w:r>
      <w:r>
        <w:rPr/>
        <w:t>EEC</w:t>
      </w:r>
      <w:r>
        <w:rPr>
          <w:spacing w:val="-12"/>
        </w:rPr>
        <w:t> </w:t>
      </w:r>
      <w:r>
        <w:rPr/>
        <w:t>or</w:t>
      </w:r>
      <w:r>
        <w:rPr>
          <w:spacing w:val="-12"/>
        </w:rPr>
        <w:t> </w:t>
      </w:r>
      <w:r>
        <w:rPr/>
        <w:t>on</w:t>
      </w:r>
      <w:r>
        <w:rPr>
          <w:spacing w:val="-13"/>
        </w:rPr>
        <w:t> </w:t>
      </w:r>
      <w:r>
        <w:rPr/>
        <w:t>its</w:t>
      </w:r>
      <w:r>
        <w:rPr>
          <w:spacing w:val="-11"/>
        </w:rPr>
        <w:t> </w:t>
      </w:r>
      <w:r>
        <w:rPr/>
        <w:t>own</w:t>
      </w:r>
      <w:r>
        <w:rPr>
          <w:spacing w:val="-13"/>
        </w:rPr>
        <w:t> </w:t>
      </w:r>
      <w:r>
        <w:rPr/>
        <w:t>-</w:t>
      </w:r>
      <w:r>
        <w:rPr>
          <w:spacing w:val="-11"/>
        </w:rPr>
        <w:t> </w:t>
      </w:r>
      <w:r>
        <w:rPr/>
        <w:t>investigations into the policies and practices of congregate care facilities. Such investigations should also include compliance with nondiscrimination requirements, LGBTQ cultural competency, and clear intentional engagement with youth to better understand their experiences as highlighted in the FY 2024 </w:t>
      </w:r>
      <w:r>
        <w:rPr>
          <w:spacing w:val="-2"/>
        </w:rPr>
        <w:t>recommendations.</w:t>
      </w:r>
    </w:p>
    <w:p>
      <w:pPr>
        <w:pStyle w:val="BodyText"/>
        <w:spacing w:line="276" w:lineRule="auto" w:before="241"/>
        <w:ind w:left="483" w:right="344"/>
        <w:jc w:val="both"/>
      </w:pPr>
      <w:r>
        <w:rPr/>
        <w:t>The</w:t>
      </w:r>
      <w:r>
        <w:rPr>
          <w:spacing w:val="-3"/>
        </w:rPr>
        <w:t> </w:t>
      </w:r>
      <w:r>
        <w:rPr/>
        <w:t>Commission</w:t>
      </w:r>
      <w:r>
        <w:rPr>
          <w:spacing w:val="-3"/>
        </w:rPr>
        <w:t> </w:t>
      </w:r>
      <w:r>
        <w:rPr/>
        <w:t>understands</w:t>
      </w:r>
      <w:r>
        <w:rPr>
          <w:spacing w:val="-3"/>
        </w:rPr>
        <w:t> </w:t>
      </w:r>
      <w:r>
        <w:rPr/>
        <w:t>that</w:t>
      </w:r>
      <w:r>
        <w:rPr>
          <w:spacing w:val="-2"/>
        </w:rPr>
        <w:t> </w:t>
      </w:r>
      <w:r>
        <w:rPr/>
        <w:t>the</w:t>
      </w:r>
      <w:r>
        <w:rPr>
          <w:spacing w:val="-2"/>
        </w:rPr>
        <w:t> </w:t>
      </w:r>
      <w:r>
        <w:rPr/>
        <w:t>OCA</w:t>
      </w:r>
      <w:r>
        <w:rPr>
          <w:spacing w:val="-3"/>
        </w:rPr>
        <w:t> </w:t>
      </w:r>
      <w:r>
        <w:rPr/>
        <w:t>is</w:t>
      </w:r>
      <w:r>
        <w:rPr>
          <w:spacing w:val="-3"/>
        </w:rPr>
        <w:t> </w:t>
      </w:r>
      <w:r>
        <w:rPr/>
        <w:t>in</w:t>
      </w:r>
      <w:r>
        <w:rPr>
          <w:spacing w:val="-2"/>
        </w:rPr>
        <w:t> </w:t>
      </w:r>
      <w:r>
        <w:rPr/>
        <w:t>the</w:t>
      </w:r>
      <w:r>
        <w:rPr>
          <w:spacing w:val="-2"/>
        </w:rPr>
        <w:t> </w:t>
      </w:r>
      <w:r>
        <w:rPr/>
        <w:t>process</w:t>
      </w:r>
      <w:r>
        <w:rPr>
          <w:spacing w:val="-3"/>
        </w:rPr>
        <w:t> </w:t>
      </w:r>
      <w:r>
        <w:rPr/>
        <w:t>of</w:t>
      </w:r>
      <w:r>
        <w:rPr>
          <w:spacing w:val="-3"/>
        </w:rPr>
        <w:t> </w:t>
      </w:r>
      <w:r>
        <w:rPr/>
        <w:t>a</w:t>
      </w:r>
      <w:r>
        <w:rPr>
          <w:spacing w:val="-3"/>
        </w:rPr>
        <w:t> </w:t>
      </w:r>
      <w:r>
        <w:rPr/>
        <w:t>youth</w:t>
      </w:r>
      <w:r>
        <w:rPr>
          <w:spacing w:val="-3"/>
        </w:rPr>
        <w:t> </w:t>
      </w:r>
      <w:r>
        <w:rPr/>
        <w:t>outreach</w:t>
      </w:r>
      <w:r>
        <w:rPr>
          <w:spacing w:val="-3"/>
        </w:rPr>
        <w:t> </w:t>
      </w:r>
      <w:r>
        <w:rPr/>
        <w:t>campaign</w:t>
      </w:r>
      <w:r>
        <w:rPr>
          <w:spacing w:val="-2"/>
        </w:rPr>
        <w:t> </w:t>
      </w:r>
      <w:r>
        <w:rPr/>
        <w:t>-</w:t>
      </w:r>
      <w:r>
        <w:rPr>
          <w:spacing w:val="-1"/>
        </w:rPr>
        <w:t> </w:t>
      </w:r>
      <w:r>
        <w:rPr/>
        <w:t>starting</w:t>
      </w:r>
      <w:r>
        <w:rPr>
          <w:spacing w:val="-3"/>
        </w:rPr>
        <w:t> </w:t>
      </w:r>
      <w:r>
        <w:rPr/>
        <w:t>with youth</w:t>
      </w:r>
      <w:r>
        <w:rPr>
          <w:spacing w:val="-2"/>
        </w:rPr>
        <w:t> </w:t>
      </w:r>
      <w:r>
        <w:rPr/>
        <w:t>in</w:t>
      </w:r>
      <w:r>
        <w:rPr>
          <w:spacing w:val="-2"/>
        </w:rPr>
        <w:t> </w:t>
      </w:r>
      <w:r>
        <w:rPr/>
        <w:t>DCF custody</w:t>
      </w:r>
      <w:r>
        <w:rPr>
          <w:spacing w:val="-1"/>
        </w:rPr>
        <w:t> </w:t>
      </w:r>
      <w:r>
        <w:rPr/>
        <w:t>-</w:t>
      </w:r>
      <w:r>
        <w:rPr>
          <w:spacing w:val="-1"/>
        </w:rPr>
        <w:t> </w:t>
      </w:r>
      <w:r>
        <w:rPr/>
        <w:t>to</w:t>
      </w:r>
      <w:r>
        <w:rPr>
          <w:spacing w:val="-1"/>
        </w:rPr>
        <w:t> </w:t>
      </w:r>
      <w:r>
        <w:rPr/>
        <w:t>educate</w:t>
      </w:r>
      <w:r>
        <w:rPr>
          <w:spacing w:val="-2"/>
        </w:rPr>
        <w:t> </w:t>
      </w:r>
      <w:r>
        <w:rPr/>
        <w:t>youth</w:t>
      </w:r>
      <w:r>
        <w:rPr>
          <w:spacing w:val="-1"/>
        </w:rPr>
        <w:t> </w:t>
      </w:r>
      <w:r>
        <w:rPr/>
        <w:t>of</w:t>
      </w:r>
      <w:r>
        <w:rPr>
          <w:spacing w:val="-2"/>
        </w:rPr>
        <w:t> </w:t>
      </w:r>
      <w:r>
        <w:rPr/>
        <w:t>their rights,</w:t>
      </w:r>
      <w:r>
        <w:rPr>
          <w:spacing w:val="-2"/>
        </w:rPr>
        <w:t> </w:t>
      </w:r>
      <w:r>
        <w:rPr/>
        <w:t>to</w:t>
      </w:r>
      <w:r>
        <w:rPr>
          <w:spacing w:val="-1"/>
        </w:rPr>
        <w:t> </w:t>
      </w:r>
      <w:r>
        <w:rPr/>
        <w:t>provide</w:t>
      </w:r>
      <w:r>
        <w:rPr>
          <w:spacing w:val="-1"/>
        </w:rPr>
        <w:t> </w:t>
      </w:r>
      <w:r>
        <w:rPr/>
        <w:t>information</w:t>
      </w:r>
      <w:r>
        <w:rPr>
          <w:spacing w:val="-2"/>
        </w:rPr>
        <w:t> </w:t>
      </w:r>
      <w:r>
        <w:rPr/>
        <w:t>about</w:t>
      </w:r>
      <w:r>
        <w:rPr>
          <w:spacing w:val="-1"/>
        </w:rPr>
        <w:t> </w:t>
      </w:r>
      <w:r>
        <w:rPr/>
        <w:t>the</w:t>
      </w:r>
      <w:r>
        <w:rPr>
          <w:spacing w:val="-1"/>
        </w:rPr>
        <w:t> </w:t>
      </w:r>
      <w:r>
        <w:rPr/>
        <w:t>OCA</w:t>
      </w:r>
      <w:r>
        <w:rPr>
          <w:spacing w:val="-1"/>
        </w:rPr>
        <w:t> </w:t>
      </w:r>
      <w:r>
        <w:rPr/>
        <w:t>Complaint Line, and hear from youth about the challenges they are facing. The Commission appreciates this engagement from the OCA, and further recommends that these trainings include similar conversations for staff on system navigation, available resources, and the formal complaint process.</w:t>
      </w:r>
    </w:p>
    <w:p>
      <w:pPr>
        <w:numPr>
          <w:ilvl w:val="0"/>
          <w:numId w:val="50"/>
        </w:numPr>
        <w:tabs>
          <w:tab w:pos="481" w:val="left" w:leader="none"/>
        </w:tabs>
        <w:spacing w:before="238"/>
        <w:ind w:left="481" w:right="0" w:hanging="358"/>
        <w:jc w:val="left"/>
        <w:rPr>
          <w:b/>
          <w:sz w:val="22"/>
        </w:rPr>
      </w:pPr>
      <w:r>
        <w:rPr>
          <w:b/>
          <w:sz w:val="22"/>
        </w:rPr>
        <w:t>Conduct</w:t>
      </w:r>
      <w:r>
        <w:rPr>
          <w:b/>
          <w:spacing w:val="-9"/>
          <w:sz w:val="22"/>
        </w:rPr>
        <w:t> </w:t>
      </w:r>
      <w:r>
        <w:rPr>
          <w:b/>
          <w:sz w:val="22"/>
        </w:rPr>
        <w:t>a</w:t>
      </w:r>
      <w:r>
        <w:rPr>
          <w:b/>
          <w:spacing w:val="-8"/>
          <w:sz w:val="22"/>
        </w:rPr>
        <w:t> </w:t>
      </w:r>
      <w:r>
        <w:rPr>
          <w:b/>
          <w:sz w:val="22"/>
        </w:rPr>
        <w:t>LGBTQ</w:t>
      </w:r>
      <w:r>
        <w:rPr>
          <w:b/>
          <w:spacing w:val="-8"/>
          <w:sz w:val="22"/>
        </w:rPr>
        <w:t> </w:t>
      </w:r>
      <w:r>
        <w:rPr>
          <w:b/>
          <w:sz w:val="22"/>
        </w:rPr>
        <w:t>training</w:t>
      </w:r>
      <w:r>
        <w:rPr>
          <w:b/>
          <w:spacing w:val="-8"/>
          <w:sz w:val="22"/>
        </w:rPr>
        <w:t> </w:t>
      </w:r>
      <w:r>
        <w:rPr>
          <w:b/>
          <w:sz w:val="22"/>
        </w:rPr>
        <w:t>audit</w:t>
      </w:r>
      <w:r>
        <w:rPr>
          <w:b/>
          <w:spacing w:val="-8"/>
          <w:sz w:val="22"/>
        </w:rPr>
        <w:t> </w:t>
      </w:r>
      <w:r>
        <w:rPr>
          <w:b/>
          <w:sz w:val="22"/>
        </w:rPr>
        <w:t>of</w:t>
      </w:r>
      <w:r>
        <w:rPr>
          <w:b/>
          <w:spacing w:val="-9"/>
          <w:sz w:val="22"/>
        </w:rPr>
        <w:t> </w:t>
      </w:r>
      <w:r>
        <w:rPr>
          <w:b/>
          <w:sz w:val="22"/>
        </w:rPr>
        <w:t>youth-serving</w:t>
      </w:r>
      <w:r>
        <w:rPr>
          <w:b/>
          <w:spacing w:val="-9"/>
          <w:sz w:val="22"/>
        </w:rPr>
        <w:t> </w:t>
      </w:r>
      <w:r>
        <w:rPr>
          <w:b/>
          <w:spacing w:val="-2"/>
          <w:sz w:val="22"/>
        </w:rPr>
        <w:t>facilities.</w:t>
      </w:r>
    </w:p>
    <w:p>
      <w:pPr>
        <w:pStyle w:val="BodyText"/>
        <w:spacing w:before="13"/>
        <w:rPr>
          <w:b/>
        </w:rPr>
      </w:pPr>
    </w:p>
    <w:p>
      <w:pPr>
        <w:pStyle w:val="BodyText"/>
        <w:spacing w:line="276" w:lineRule="auto"/>
        <w:ind w:left="483" w:right="342"/>
        <w:jc w:val="both"/>
      </w:pPr>
      <w:r>
        <w:rPr/>
        <w:t>As referenced in the above recommendation, the Commission recommends that the OCA develop and implement a plan to review whether staff at group homes, residential schools, and other youth-serving facilities are receiving training on LGBTQ cultural engagement and other LGBTQ-related topics. Such reviews should be reported out to the public and include the content covered in the trainings; the OCA</w:t>
      </w:r>
    </w:p>
    <w:p>
      <w:pPr>
        <w:spacing w:after="0" w:line="276" w:lineRule="auto"/>
        <w:jc w:val="both"/>
        <w:sectPr>
          <w:pgSz w:w="12240" w:h="15840"/>
          <w:pgMar w:header="804" w:footer="1281" w:top="1000" w:bottom="1480" w:left="960" w:right="1100"/>
        </w:sectPr>
      </w:pPr>
    </w:p>
    <w:p>
      <w:pPr>
        <w:pStyle w:val="BodyText"/>
        <w:spacing w:before="77"/>
      </w:pPr>
    </w:p>
    <w:p>
      <w:pPr>
        <w:pStyle w:val="BodyText"/>
        <w:spacing w:line="276" w:lineRule="auto" w:before="1"/>
        <w:ind w:left="483" w:right="343"/>
        <w:jc w:val="both"/>
      </w:pPr>
      <w:r>
        <w:rPr/>
        <w:t>should further work with each of these entities to measure the impact of the trainings. The Commission appreciates</w:t>
      </w:r>
      <w:r>
        <w:rPr>
          <w:spacing w:val="-5"/>
        </w:rPr>
        <w:t> </w:t>
      </w:r>
      <w:r>
        <w:rPr/>
        <w:t>the</w:t>
      </w:r>
      <w:r>
        <w:rPr>
          <w:spacing w:val="-5"/>
        </w:rPr>
        <w:t> </w:t>
      </w:r>
      <w:r>
        <w:rPr/>
        <w:t>OCA’s</w:t>
      </w:r>
      <w:r>
        <w:rPr>
          <w:spacing w:val="-5"/>
        </w:rPr>
        <w:t> </w:t>
      </w:r>
      <w:r>
        <w:rPr/>
        <w:t>interest</w:t>
      </w:r>
      <w:r>
        <w:rPr>
          <w:spacing w:val="-5"/>
        </w:rPr>
        <w:t> </w:t>
      </w:r>
      <w:r>
        <w:rPr/>
        <w:t>in</w:t>
      </w:r>
      <w:r>
        <w:rPr>
          <w:spacing w:val="-5"/>
        </w:rPr>
        <w:t> </w:t>
      </w:r>
      <w:r>
        <w:rPr/>
        <w:t>this</w:t>
      </w:r>
      <w:r>
        <w:rPr>
          <w:spacing w:val="-5"/>
        </w:rPr>
        <w:t> </w:t>
      </w:r>
      <w:r>
        <w:rPr/>
        <w:t>recommendation,</w:t>
      </w:r>
      <w:r>
        <w:rPr>
          <w:spacing w:val="-5"/>
        </w:rPr>
        <w:t> </w:t>
      </w:r>
      <w:r>
        <w:rPr/>
        <w:t>particularly</w:t>
      </w:r>
      <w:r>
        <w:rPr>
          <w:spacing w:val="-5"/>
        </w:rPr>
        <w:t> </w:t>
      </w:r>
      <w:r>
        <w:rPr/>
        <w:t>as</w:t>
      </w:r>
      <w:r>
        <w:rPr>
          <w:spacing w:val="-5"/>
        </w:rPr>
        <w:t> </w:t>
      </w:r>
      <w:r>
        <w:rPr/>
        <w:t>it</w:t>
      </w:r>
      <w:r>
        <w:rPr>
          <w:spacing w:val="-5"/>
        </w:rPr>
        <w:t> </w:t>
      </w:r>
      <w:r>
        <w:rPr/>
        <w:t>relates</w:t>
      </w:r>
      <w:r>
        <w:rPr>
          <w:spacing w:val="-3"/>
        </w:rPr>
        <w:t> </w:t>
      </w:r>
      <w:r>
        <w:rPr/>
        <w:t>to</w:t>
      </w:r>
      <w:r>
        <w:rPr>
          <w:spacing w:val="-5"/>
        </w:rPr>
        <w:t> </w:t>
      </w:r>
      <w:r>
        <w:rPr/>
        <w:t>DCF’s</w:t>
      </w:r>
      <w:r>
        <w:rPr>
          <w:spacing w:val="-5"/>
        </w:rPr>
        <w:t> </w:t>
      </w:r>
      <w:r>
        <w:rPr/>
        <w:t>congregate</w:t>
      </w:r>
      <w:r>
        <w:rPr>
          <w:spacing w:val="-4"/>
        </w:rPr>
        <w:t> </w:t>
      </w:r>
      <w:r>
        <w:rPr/>
        <w:t>care trainings.</w:t>
      </w:r>
      <w:r>
        <w:rPr>
          <w:spacing w:val="-9"/>
        </w:rPr>
        <w:t> </w:t>
      </w:r>
      <w:r>
        <w:rPr/>
        <w:t>In</w:t>
      </w:r>
      <w:r>
        <w:rPr>
          <w:spacing w:val="-9"/>
        </w:rPr>
        <w:t> </w:t>
      </w:r>
      <w:r>
        <w:rPr/>
        <w:t>a</w:t>
      </w:r>
      <w:r>
        <w:rPr>
          <w:spacing w:val="-9"/>
        </w:rPr>
        <w:t> </w:t>
      </w:r>
      <w:r>
        <w:rPr/>
        <w:t>January</w:t>
      </w:r>
      <w:r>
        <w:rPr>
          <w:spacing w:val="-9"/>
        </w:rPr>
        <w:t> </w:t>
      </w:r>
      <w:r>
        <w:rPr/>
        <w:t>2024</w:t>
      </w:r>
      <w:r>
        <w:rPr>
          <w:spacing w:val="-10"/>
        </w:rPr>
        <w:t> </w:t>
      </w:r>
      <w:r>
        <w:rPr/>
        <w:t>meeting,</w:t>
      </w:r>
      <w:r>
        <w:rPr>
          <w:spacing w:val="-10"/>
        </w:rPr>
        <w:t> </w:t>
      </w:r>
      <w:r>
        <w:rPr/>
        <w:t>the</w:t>
      </w:r>
      <w:r>
        <w:rPr>
          <w:spacing w:val="-9"/>
        </w:rPr>
        <w:t> </w:t>
      </w:r>
      <w:r>
        <w:rPr/>
        <w:t>OCA</w:t>
      </w:r>
      <w:r>
        <w:rPr>
          <w:spacing w:val="-10"/>
        </w:rPr>
        <w:t> </w:t>
      </w:r>
      <w:r>
        <w:rPr/>
        <w:t>noted</w:t>
      </w:r>
      <w:r>
        <w:rPr>
          <w:spacing w:val="-9"/>
        </w:rPr>
        <w:t> </w:t>
      </w:r>
      <w:r>
        <w:rPr/>
        <w:t>that</w:t>
      </w:r>
      <w:r>
        <w:rPr>
          <w:spacing w:val="-11"/>
        </w:rPr>
        <w:t> </w:t>
      </w:r>
      <w:r>
        <w:rPr/>
        <w:t>it</w:t>
      </w:r>
      <w:r>
        <w:rPr>
          <w:spacing w:val="-9"/>
        </w:rPr>
        <w:t> </w:t>
      </w:r>
      <w:r>
        <w:rPr/>
        <w:t>has</w:t>
      </w:r>
      <w:r>
        <w:rPr>
          <w:spacing w:val="-9"/>
        </w:rPr>
        <w:t> </w:t>
      </w:r>
      <w:r>
        <w:rPr/>
        <w:t>been</w:t>
      </w:r>
      <w:r>
        <w:rPr>
          <w:spacing w:val="-9"/>
        </w:rPr>
        <w:t> </w:t>
      </w:r>
      <w:r>
        <w:rPr/>
        <w:t>in</w:t>
      </w:r>
      <w:r>
        <w:rPr>
          <w:spacing w:val="-9"/>
        </w:rPr>
        <w:t> </w:t>
      </w:r>
      <w:r>
        <w:rPr/>
        <w:t>contact</w:t>
      </w:r>
      <w:r>
        <w:rPr>
          <w:spacing w:val="-9"/>
        </w:rPr>
        <w:t> </w:t>
      </w:r>
      <w:r>
        <w:rPr/>
        <w:t>with</w:t>
      </w:r>
      <w:r>
        <w:rPr>
          <w:spacing w:val="-10"/>
        </w:rPr>
        <w:t> </w:t>
      </w:r>
      <w:r>
        <w:rPr/>
        <w:t>DCF</w:t>
      </w:r>
      <w:r>
        <w:rPr>
          <w:spacing w:val="-9"/>
        </w:rPr>
        <w:t> </w:t>
      </w:r>
      <w:r>
        <w:rPr/>
        <w:t>on</w:t>
      </w:r>
      <w:r>
        <w:rPr>
          <w:spacing w:val="-10"/>
        </w:rPr>
        <w:t> </w:t>
      </w:r>
      <w:r>
        <w:rPr/>
        <w:t>its</w:t>
      </w:r>
      <w:r>
        <w:rPr>
          <w:spacing w:val="-9"/>
        </w:rPr>
        <w:t> </w:t>
      </w:r>
      <w:r>
        <w:rPr/>
        <w:t>congregate care provider trainings and is working through solutions on how best to understand what trainings are currently</w:t>
      </w:r>
      <w:r>
        <w:rPr>
          <w:spacing w:val="-13"/>
        </w:rPr>
        <w:t> </w:t>
      </w:r>
      <w:r>
        <w:rPr/>
        <w:t>ongoing.</w:t>
      </w:r>
      <w:r>
        <w:rPr>
          <w:spacing w:val="-12"/>
        </w:rPr>
        <w:t> </w:t>
      </w:r>
      <w:r>
        <w:rPr/>
        <w:t>The</w:t>
      </w:r>
      <w:r>
        <w:rPr>
          <w:spacing w:val="-13"/>
        </w:rPr>
        <w:t> </w:t>
      </w:r>
      <w:r>
        <w:rPr/>
        <w:t>Commission</w:t>
      </w:r>
      <w:r>
        <w:rPr>
          <w:spacing w:val="-12"/>
        </w:rPr>
        <w:t> </w:t>
      </w:r>
      <w:r>
        <w:rPr/>
        <w:t>looks</w:t>
      </w:r>
      <w:r>
        <w:rPr>
          <w:spacing w:val="-13"/>
        </w:rPr>
        <w:t> </w:t>
      </w:r>
      <w:r>
        <w:rPr/>
        <w:t>forward</w:t>
      </w:r>
      <w:r>
        <w:rPr>
          <w:spacing w:val="-12"/>
        </w:rPr>
        <w:t> </w:t>
      </w:r>
      <w:r>
        <w:rPr/>
        <w:t>to</w:t>
      </w:r>
      <w:r>
        <w:rPr>
          <w:spacing w:val="-13"/>
        </w:rPr>
        <w:t> </w:t>
      </w:r>
      <w:r>
        <w:rPr/>
        <w:t>continuing</w:t>
      </w:r>
      <w:r>
        <w:rPr>
          <w:spacing w:val="-12"/>
        </w:rPr>
        <w:t> </w:t>
      </w:r>
      <w:r>
        <w:rPr/>
        <w:t>this</w:t>
      </w:r>
      <w:r>
        <w:rPr>
          <w:spacing w:val="-12"/>
        </w:rPr>
        <w:t> </w:t>
      </w:r>
      <w:r>
        <w:rPr/>
        <w:t>conversation</w:t>
      </w:r>
      <w:r>
        <w:rPr>
          <w:spacing w:val="-13"/>
        </w:rPr>
        <w:t> </w:t>
      </w:r>
      <w:r>
        <w:rPr/>
        <w:t>with</w:t>
      </w:r>
      <w:r>
        <w:rPr>
          <w:spacing w:val="-12"/>
        </w:rPr>
        <w:t> </w:t>
      </w:r>
      <w:r>
        <w:rPr/>
        <w:t>the</w:t>
      </w:r>
      <w:r>
        <w:rPr>
          <w:spacing w:val="-13"/>
        </w:rPr>
        <w:t> </w:t>
      </w:r>
      <w:r>
        <w:rPr/>
        <w:t>OCA</w:t>
      </w:r>
      <w:r>
        <w:rPr>
          <w:spacing w:val="-12"/>
        </w:rPr>
        <w:t> </w:t>
      </w:r>
      <w:r>
        <w:rPr/>
        <w:t>in</w:t>
      </w:r>
      <w:r>
        <w:rPr>
          <w:spacing w:val="-13"/>
        </w:rPr>
        <w:t> </w:t>
      </w:r>
      <w:r>
        <w:rPr/>
        <w:t>FY</w:t>
      </w:r>
      <w:r>
        <w:rPr>
          <w:spacing w:val="-12"/>
        </w:rPr>
        <w:t> </w:t>
      </w:r>
      <w:r>
        <w:rPr/>
        <w:t>2025.</w:t>
      </w:r>
    </w:p>
    <w:p>
      <w:pPr>
        <w:numPr>
          <w:ilvl w:val="0"/>
          <w:numId w:val="50"/>
        </w:numPr>
        <w:tabs>
          <w:tab w:pos="481" w:val="left" w:leader="none"/>
        </w:tabs>
        <w:spacing w:before="240"/>
        <w:ind w:left="481" w:right="0" w:hanging="358"/>
        <w:jc w:val="left"/>
        <w:rPr>
          <w:b/>
          <w:sz w:val="22"/>
        </w:rPr>
      </w:pPr>
      <w:r>
        <w:rPr>
          <w:b/>
          <w:sz w:val="22"/>
        </w:rPr>
        <w:t>Address</w:t>
      </w:r>
      <w:r>
        <w:rPr>
          <w:b/>
          <w:spacing w:val="-7"/>
          <w:sz w:val="22"/>
        </w:rPr>
        <w:t> </w:t>
      </w:r>
      <w:r>
        <w:rPr>
          <w:b/>
          <w:sz w:val="22"/>
        </w:rPr>
        <w:t>LGBTQ</w:t>
      </w:r>
      <w:r>
        <w:rPr>
          <w:b/>
          <w:spacing w:val="-7"/>
          <w:sz w:val="22"/>
        </w:rPr>
        <w:t> </w:t>
      </w:r>
      <w:r>
        <w:rPr>
          <w:b/>
          <w:sz w:val="22"/>
        </w:rPr>
        <w:t>youth</w:t>
      </w:r>
      <w:r>
        <w:rPr>
          <w:b/>
          <w:spacing w:val="-8"/>
          <w:sz w:val="22"/>
        </w:rPr>
        <w:t> </w:t>
      </w:r>
      <w:r>
        <w:rPr>
          <w:b/>
          <w:sz w:val="22"/>
        </w:rPr>
        <w:t>in</w:t>
      </w:r>
      <w:r>
        <w:rPr>
          <w:b/>
          <w:spacing w:val="-7"/>
          <w:sz w:val="22"/>
        </w:rPr>
        <w:t> </w:t>
      </w:r>
      <w:r>
        <w:rPr>
          <w:b/>
          <w:sz w:val="22"/>
        </w:rPr>
        <w:t>public</w:t>
      </w:r>
      <w:r>
        <w:rPr>
          <w:b/>
          <w:spacing w:val="-6"/>
          <w:sz w:val="22"/>
        </w:rPr>
        <w:t> </w:t>
      </w:r>
      <w:r>
        <w:rPr>
          <w:b/>
          <w:sz w:val="22"/>
        </w:rPr>
        <w:t>affairs</w:t>
      </w:r>
      <w:r>
        <w:rPr>
          <w:b/>
          <w:spacing w:val="-7"/>
          <w:sz w:val="22"/>
        </w:rPr>
        <w:t> </w:t>
      </w:r>
      <w:r>
        <w:rPr>
          <w:b/>
          <w:spacing w:val="-4"/>
          <w:sz w:val="22"/>
        </w:rPr>
        <w:t>work.</w:t>
      </w:r>
    </w:p>
    <w:p>
      <w:pPr>
        <w:pStyle w:val="BodyText"/>
        <w:spacing w:before="12"/>
        <w:rPr>
          <w:b/>
        </w:rPr>
      </w:pPr>
    </w:p>
    <w:p>
      <w:pPr>
        <w:pStyle w:val="BodyText"/>
        <w:spacing w:line="276" w:lineRule="auto"/>
        <w:ind w:left="483" w:right="340"/>
        <w:jc w:val="both"/>
      </w:pPr>
      <w:r>
        <w:rPr/>
        <w:t>The Commission continues to recommend that the OCA improve its attention to the inclusion of LGBTQ youth</w:t>
      </w:r>
      <w:r>
        <w:rPr>
          <w:spacing w:val="-12"/>
        </w:rPr>
        <w:t> </w:t>
      </w:r>
      <w:r>
        <w:rPr/>
        <w:t>in</w:t>
      </w:r>
      <w:r>
        <w:rPr>
          <w:spacing w:val="-12"/>
        </w:rPr>
        <w:t> </w:t>
      </w:r>
      <w:r>
        <w:rPr/>
        <w:t>its</w:t>
      </w:r>
      <w:r>
        <w:rPr>
          <w:spacing w:val="-11"/>
        </w:rPr>
        <w:t> </w:t>
      </w:r>
      <w:r>
        <w:rPr/>
        <w:t>public</w:t>
      </w:r>
      <w:r>
        <w:rPr>
          <w:spacing w:val="-11"/>
        </w:rPr>
        <w:t> </w:t>
      </w:r>
      <w:r>
        <w:rPr/>
        <w:t>affairs</w:t>
      </w:r>
      <w:r>
        <w:rPr>
          <w:spacing w:val="-11"/>
        </w:rPr>
        <w:t> </w:t>
      </w:r>
      <w:r>
        <w:rPr/>
        <w:t>work.</w:t>
      </w:r>
      <w:r>
        <w:rPr>
          <w:spacing w:val="-12"/>
        </w:rPr>
        <w:t> </w:t>
      </w:r>
      <w:r>
        <w:rPr/>
        <w:t>While</w:t>
      </w:r>
      <w:r>
        <w:rPr>
          <w:spacing w:val="-12"/>
        </w:rPr>
        <w:t> </w:t>
      </w:r>
      <w:r>
        <w:rPr/>
        <w:t>it</w:t>
      </w:r>
      <w:r>
        <w:rPr>
          <w:spacing w:val="-12"/>
        </w:rPr>
        <w:t> </w:t>
      </w:r>
      <w:r>
        <w:rPr/>
        <w:t>is</w:t>
      </w:r>
      <w:r>
        <w:rPr>
          <w:spacing w:val="-11"/>
        </w:rPr>
        <w:t> </w:t>
      </w:r>
      <w:r>
        <w:rPr/>
        <w:t>understood</w:t>
      </w:r>
      <w:r>
        <w:rPr>
          <w:spacing w:val="-9"/>
        </w:rPr>
        <w:t> </w:t>
      </w:r>
      <w:r>
        <w:rPr/>
        <w:t>that</w:t>
      </w:r>
      <w:r>
        <w:rPr>
          <w:spacing w:val="-11"/>
        </w:rPr>
        <w:t> </w:t>
      </w:r>
      <w:r>
        <w:rPr/>
        <w:t>the</w:t>
      </w:r>
      <w:r>
        <w:rPr>
          <w:spacing w:val="-10"/>
        </w:rPr>
        <w:t> </w:t>
      </w:r>
      <w:r>
        <w:rPr/>
        <w:t>OCA,</w:t>
      </w:r>
      <w:r>
        <w:rPr>
          <w:spacing w:val="-10"/>
        </w:rPr>
        <w:t> </w:t>
      </w:r>
      <w:r>
        <w:rPr/>
        <w:t>like</w:t>
      </w:r>
      <w:r>
        <w:rPr>
          <w:spacing w:val="-10"/>
        </w:rPr>
        <w:t> </w:t>
      </w:r>
      <w:r>
        <w:rPr/>
        <w:t>many</w:t>
      </w:r>
      <w:r>
        <w:rPr>
          <w:spacing w:val="-10"/>
        </w:rPr>
        <w:t> </w:t>
      </w:r>
      <w:r>
        <w:rPr/>
        <w:t>other</w:t>
      </w:r>
      <w:r>
        <w:rPr>
          <w:spacing w:val="-11"/>
        </w:rPr>
        <w:t> </w:t>
      </w:r>
      <w:r>
        <w:rPr/>
        <w:t>agencies,</w:t>
      </w:r>
      <w:r>
        <w:rPr>
          <w:spacing w:val="-10"/>
        </w:rPr>
        <w:t> </w:t>
      </w:r>
      <w:r>
        <w:rPr/>
        <w:t>has</w:t>
      </w:r>
      <w:r>
        <w:rPr>
          <w:spacing w:val="-11"/>
        </w:rPr>
        <w:t> </w:t>
      </w:r>
      <w:r>
        <w:rPr/>
        <w:t>capacity limitations</w:t>
      </w:r>
      <w:r>
        <w:rPr>
          <w:spacing w:val="-11"/>
        </w:rPr>
        <w:t> </w:t>
      </w:r>
      <w:r>
        <w:rPr/>
        <w:t>due</w:t>
      </w:r>
      <w:r>
        <w:rPr>
          <w:spacing w:val="-12"/>
        </w:rPr>
        <w:t> </w:t>
      </w:r>
      <w:r>
        <w:rPr/>
        <w:t>to</w:t>
      </w:r>
      <w:r>
        <w:rPr>
          <w:spacing w:val="-11"/>
        </w:rPr>
        <w:t> </w:t>
      </w:r>
      <w:r>
        <w:rPr/>
        <w:t>staffing</w:t>
      </w:r>
      <w:r>
        <w:rPr>
          <w:spacing w:val="-12"/>
        </w:rPr>
        <w:t> </w:t>
      </w:r>
      <w:r>
        <w:rPr/>
        <w:t>and</w:t>
      </w:r>
      <w:r>
        <w:rPr>
          <w:spacing w:val="-12"/>
        </w:rPr>
        <w:t> </w:t>
      </w:r>
      <w:r>
        <w:rPr/>
        <w:t>competing</w:t>
      </w:r>
      <w:r>
        <w:rPr>
          <w:spacing w:val="-11"/>
        </w:rPr>
        <w:t> </w:t>
      </w:r>
      <w:r>
        <w:rPr/>
        <w:t>priorities,</w:t>
      </w:r>
      <w:r>
        <w:rPr>
          <w:spacing w:val="-11"/>
        </w:rPr>
        <w:t> </w:t>
      </w:r>
      <w:r>
        <w:rPr/>
        <w:t>it</w:t>
      </w:r>
      <w:r>
        <w:rPr>
          <w:spacing w:val="-12"/>
        </w:rPr>
        <w:t> </w:t>
      </w:r>
      <w:r>
        <w:rPr/>
        <w:t>is</w:t>
      </w:r>
      <w:r>
        <w:rPr>
          <w:spacing w:val="-11"/>
        </w:rPr>
        <w:t> </w:t>
      </w:r>
      <w:r>
        <w:rPr/>
        <w:t>critical</w:t>
      </w:r>
      <w:r>
        <w:rPr>
          <w:spacing w:val="-11"/>
        </w:rPr>
        <w:t> </w:t>
      </w:r>
      <w:r>
        <w:rPr/>
        <w:t>that</w:t>
      </w:r>
      <w:r>
        <w:rPr>
          <w:spacing w:val="-11"/>
        </w:rPr>
        <w:t> </w:t>
      </w:r>
      <w:r>
        <w:rPr/>
        <w:t>an</w:t>
      </w:r>
      <w:r>
        <w:rPr>
          <w:spacing w:val="-11"/>
        </w:rPr>
        <w:t> </w:t>
      </w:r>
      <w:r>
        <w:rPr/>
        <w:t>agency</w:t>
      </w:r>
      <w:r>
        <w:rPr>
          <w:spacing w:val="-11"/>
        </w:rPr>
        <w:t> </w:t>
      </w:r>
      <w:r>
        <w:rPr/>
        <w:t>representing</w:t>
      </w:r>
      <w:r>
        <w:rPr>
          <w:spacing w:val="-12"/>
        </w:rPr>
        <w:t> </w:t>
      </w:r>
      <w:r>
        <w:rPr/>
        <w:t>the</w:t>
      </w:r>
      <w:r>
        <w:rPr>
          <w:spacing w:val="-11"/>
        </w:rPr>
        <w:t> </w:t>
      </w:r>
      <w:r>
        <w:rPr/>
        <w:t>well-being of young people is transparent and attentive to the intersectional identities that youth hold. In a time when</w:t>
      </w:r>
      <w:r>
        <w:rPr>
          <w:spacing w:val="-6"/>
        </w:rPr>
        <w:t> </w:t>
      </w:r>
      <w:r>
        <w:rPr/>
        <w:t>anti-LGBTQ</w:t>
      </w:r>
      <w:r>
        <w:rPr>
          <w:spacing w:val="-7"/>
        </w:rPr>
        <w:t> </w:t>
      </w:r>
      <w:r>
        <w:rPr/>
        <w:t>rhetoric</w:t>
      </w:r>
      <w:r>
        <w:rPr>
          <w:spacing w:val="-5"/>
        </w:rPr>
        <w:t> </w:t>
      </w:r>
      <w:r>
        <w:rPr/>
        <w:t>and</w:t>
      </w:r>
      <w:r>
        <w:rPr>
          <w:spacing w:val="-7"/>
        </w:rPr>
        <w:t> </w:t>
      </w:r>
      <w:r>
        <w:rPr/>
        <w:t>attacks</w:t>
      </w:r>
      <w:r>
        <w:rPr>
          <w:spacing w:val="-6"/>
        </w:rPr>
        <w:t> </w:t>
      </w:r>
      <w:r>
        <w:rPr/>
        <w:t>is</w:t>
      </w:r>
      <w:r>
        <w:rPr>
          <w:spacing w:val="-5"/>
        </w:rPr>
        <w:t> </w:t>
      </w:r>
      <w:r>
        <w:rPr/>
        <w:t>at</w:t>
      </w:r>
      <w:r>
        <w:rPr>
          <w:spacing w:val="-6"/>
        </w:rPr>
        <w:t> </w:t>
      </w:r>
      <w:r>
        <w:rPr/>
        <w:t>an</w:t>
      </w:r>
      <w:r>
        <w:rPr>
          <w:spacing w:val="-6"/>
        </w:rPr>
        <w:t> </w:t>
      </w:r>
      <w:r>
        <w:rPr/>
        <w:t>all-time</w:t>
      </w:r>
      <w:r>
        <w:rPr>
          <w:spacing w:val="-5"/>
        </w:rPr>
        <w:t> </w:t>
      </w:r>
      <w:r>
        <w:rPr/>
        <w:t>high,</w:t>
      </w:r>
      <w:r>
        <w:rPr>
          <w:spacing w:val="-6"/>
        </w:rPr>
        <w:t> </w:t>
      </w:r>
      <w:r>
        <w:rPr/>
        <w:t>it</w:t>
      </w:r>
      <w:r>
        <w:rPr>
          <w:spacing w:val="-6"/>
        </w:rPr>
        <w:t> </w:t>
      </w:r>
      <w:r>
        <w:rPr/>
        <w:t>is</w:t>
      </w:r>
      <w:r>
        <w:rPr>
          <w:spacing w:val="-6"/>
        </w:rPr>
        <w:t> </w:t>
      </w:r>
      <w:r>
        <w:rPr/>
        <w:t>essential</w:t>
      </w:r>
      <w:r>
        <w:rPr>
          <w:spacing w:val="-5"/>
        </w:rPr>
        <w:t> </w:t>
      </w:r>
      <w:r>
        <w:rPr/>
        <w:t>that</w:t>
      </w:r>
      <w:r>
        <w:rPr>
          <w:spacing w:val="-7"/>
        </w:rPr>
        <w:t> </w:t>
      </w:r>
      <w:r>
        <w:rPr/>
        <w:t>any</w:t>
      </w:r>
      <w:r>
        <w:rPr>
          <w:spacing w:val="-6"/>
        </w:rPr>
        <w:t> </w:t>
      </w:r>
      <w:r>
        <w:rPr/>
        <w:t>agency</w:t>
      </w:r>
      <w:r>
        <w:rPr>
          <w:spacing w:val="-5"/>
        </w:rPr>
        <w:t> </w:t>
      </w:r>
      <w:r>
        <w:rPr/>
        <w:t>looking</w:t>
      </w:r>
      <w:r>
        <w:rPr>
          <w:spacing w:val="-6"/>
        </w:rPr>
        <w:t> </w:t>
      </w:r>
      <w:r>
        <w:rPr/>
        <w:t>to</w:t>
      </w:r>
      <w:r>
        <w:rPr>
          <w:spacing w:val="-5"/>
        </w:rPr>
        <w:t> </w:t>
      </w:r>
      <w:r>
        <w:rPr/>
        <w:t>build outreach and engagement with LGBTQ youth is making its commitment clear. The Commission further emphasizes that engaging youth in a meaningful way in all OCA initiatives, particularly those involving outreach and training opportunities.</w:t>
      </w:r>
    </w:p>
    <w:p>
      <w:pPr>
        <w:pStyle w:val="BodyText"/>
        <w:spacing w:line="276" w:lineRule="auto" w:before="239"/>
        <w:ind w:left="483" w:right="343"/>
        <w:jc w:val="both"/>
      </w:pPr>
      <w:r>
        <w:rPr/>
        <w:t>The Commission acknowledges that its own resource website - which the OCA and a number of other organizations,</w:t>
      </w:r>
      <w:r>
        <w:rPr>
          <w:spacing w:val="-2"/>
        </w:rPr>
        <w:t> </w:t>
      </w:r>
      <w:r>
        <w:rPr/>
        <w:t>schools,</w:t>
      </w:r>
      <w:r>
        <w:rPr>
          <w:spacing w:val="-2"/>
        </w:rPr>
        <w:t> </w:t>
      </w:r>
      <w:r>
        <w:rPr/>
        <w:t>and</w:t>
      </w:r>
      <w:r>
        <w:rPr>
          <w:spacing w:val="-1"/>
        </w:rPr>
        <w:t> </w:t>
      </w:r>
      <w:r>
        <w:rPr/>
        <w:t>agencies</w:t>
      </w:r>
      <w:r>
        <w:rPr>
          <w:spacing w:val="-2"/>
        </w:rPr>
        <w:t> </w:t>
      </w:r>
      <w:r>
        <w:rPr/>
        <w:t>link</w:t>
      </w:r>
      <w:r>
        <w:rPr>
          <w:spacing w:val="-1"/>
        </w:rPr>
        <w:t> </w:t>
      </w:r>
      <w:r>
        <w:rPr/>
        <w:t>to</w:t>
      </w:r>
      <w:r>
        <w:rPr>
          <w:spacing w:val="-1"/>
        </w:rPr>
        <w:t> </w:t>
      </w:r>
      <w:r>
        <w:rPr/>
        <w:t>- is</w:t>
      </w:r>
      <w:r>
        <w:rPr>
          <w:spacing w:val="-1"/>
        </w:rPr>
        <w:t> </w:t>
      </w:r>
      <w:r>
        <w:rPr/>
        <w:t>currently</w:t>
      </w:r>
      <w:r>
        <w:rPr>
          <w:spacing w:val="-2"/>
        </w:rPr>
        <w:t> </w:t>
      </w:r>
      <w:r>
        <w:rPr/>
        <w:t>unavailable</w:t>
      </w:r>
      <w:r>
        <w:rPr>
          <w:spacing w:val="-2"/>
        </w:rPr>
        <w:t> </w:t>
      </w:r>
      <w:r>
        <w:rPr/>
        <w:t>to</w:t>
      </w:r>
      <w:r>
        <w:rPr>
          <w:spacing w:val="-1"/>
        </w:rPr>
        <w:t> </w:t>
      </w:r>
      <w:r>
        <w:rPr/>
        <w:t>access</w:t>
      </w:r>
      <w:r>
        <w:rPr>
          <w:spacing w:val="-1"/>
        </w:rPr>
        <w:t> </w:t>
      </w:r>
      <w:r>
        <w:rPr/>
        <w:t>as the</w:t>
      </w:r>
      <w:r>
        <w:rPr>
          <w:spacing w:val="-1"/>
        </w:rPr>
        <w:t> </w:t>
      </w:r>
      <w:r>
        <w:rPr/>
        <w:t>agency works</w:t>
      </w:r>
      <w:r>
        <w:rPr>
          <w:spacing w:val="-1"/>
        </w:rPr>
        <w:t> </w:t>
      </w:r>
      <w:r>
        <w:rPr/>
        <w:t>on</w:t>
      </w:r>
      <w:r>
        <w:rPr>
          <w:spacing w:val="-2"/>
        </w:rPr>
        <w:t> </w:t>
      </w:r>
      <w:r>
        <w:rPr/>
        <w:t>its own updates to its websites in early FY 2025. As a result, the OCA has helpfully begun to update its own resource page for LGBTQ youth.</w:t>
      </w:r>
    </w:p>
    <w:p>
      <w:pPr>
        <w:numPr>
          <w:ilvl w:val="0"/>
          <w:numId w:val="50"/>
        </w:numPr>
        <w:tabs>
          <w:tab w:pos="481" w:val="left" w:leader="none"/>
        </w:tabs>
        <w:spacing w:before="240"/>
        <w:ind w:left="481" w:right="0" w:hanging="358"/>
        <w:jc w:val="left"/>
        <w:rPr>
          <w:b/>
          <w:sz w:val="22"/>
        </w:rPr>
      </w:pPr>
      <w:r>
        <w:rPr>
          <w:b/>
          <w:sz w:val="22"/>
        </w:rPr>
        <w:t>Ensure</w:t>
      </w:r>
      <w:r>
        <w:rPr>
          <w:b/>
          <w:spacing w:val="-9"/>
          <w:sz w:val="22"/>
        </w:rPr>
        <w:t> </w:t>
      </w:r>
      <w:r>
        <w:rPr>
          <w:b/>
          <w:sz w:val="22"/>
        </w:rPr>
        <w:t>meaningful</w:t>
      </w:r>
      <w:r>
        <w:rPr>
          <w:b/>
          <w:spacing w:val="-8"/>
          <w:sz w:val="22"/>
        </w:rPr>
        <w:t> </w:t>
      </w:r>
      <w:r>
        <w:rPr>
          <w:b/>
          <w:sz w:val="22"/>
        </w:rPr>
        <w:t>LGBTQ</w:t>
      </w:r>
      <w:r>
        <w:rPr>
          <w:b/>
          <w:spacing w:val="-9"/>
          <w:sz w:val="22"/>
        </w:rPr>
        <w:t> </w:t>
      </w:r>
      <w:r>
        <w:rPr>
          <w:b/>
          <w:sz w:val="22"/>
        </w:rPr>
        <w:t>community</w:t>
      </w:r>
      <w:r>
        <w:rPr>
          <w:b/>
          <w:spacing w:val="-6"/>
          <w:sz w:val="22"/>
        </w:rPr>
        <w:t> </w:t>
      </w:r>
      <w:r>
        <w:rPr>
          <w:b/>
          <w:sz w:val="22"/>
        </w:rPr>
        <w:t>participation</w:t>
      </w:r>
      <w:r>
        <w:rPr>
          <w:b/>
          <w:spacing w:val="-8"/>
          <w:sz w:val="22"/>
        </w:rPr>
        <w:t> </w:t>
      </w:r>
      <w:r>
        <w:rPr>
          <w:b/>
          <w:sz w:val="22"/>
        </w:rPr>
        <w:t>and</w:t>
      </w:r>
      <w:r>
        <w:rPr>
          <w:b/>
          <w:spacing w:val="-8"/>
          <w:sz w:val="22"/>
        </w:rPr>
        <w:t> </w:t>
      </w:r>
      <w:r>
        <w:rPr>
          <w:b/>
          <w:sz w:val="22"/>
        </w:rPr>
        <w:t>input</w:t>
      </w:r>
      <w:r>
        <w:rPr>
          <w:b/>
          <w:spacing w:val="-8"/>
          <w:sz w:val="22"/>
        </w:rPr>
        <w:t> </w:t>
      </w:r>
      <w:r>
        <w:rPr>
          <w:b/>
          <w:sz w:val="22"/>
        </w:rPr>
        <w:t>in</w:t>
      </w:r>
      <w:r>
        <w:rPr>
          <w:b/>
          <w:spacing w:val="-7"/>
          <w:sz w:val="22"/>
        </w:rPr>
        <w:t> </w:t>
      </w:r>
      <w:r>
        <w:rPr>
          <w:b/>
          <w:sz w:val="22"/>
        </w:rPr>
        <w:t>all</w:t>
      </w:r>
      <w:r>
        <w:rPr>
          <w:b/>
          <w:spacing w:val="-9"/>
          <w:sz w:val="22"/>
        </w:rPr>
        <w:t> </w:t>
      </w:r>
      <w:r>
        <w:rPr>
          <w:b/>
          <w:sz w:val="22"/>
        </w:rPr>
        <w:t>projects</w:t>
      </w:r>
      <w:r>
        <w:rPr>
          <w:b/>
          <w:spacing w:val="-8"/>
          <w:sz w:val="22"/>
        </w:rPr>
        <w:t> </w:t>
      </w:r>
      <w:r>
        <w:rPr>
          <w:b/>
          <w:sz w:val="22"/>
        </w:rPr>
        <w:t>and</w:t>
      </w:r>
      <w:r>
        <w:rPr>
          <w:b/>
          <w:spacing w:val="-9"/>
          <w:sz w:val="22"/>
        </w:rPr>
        <w:t> </w:t>
      </w:r>
      <w:r>
        <w:rPr>
          <w:b/>
          <w:spacing w:val="-2"/>
          <w:sz w:val="22"/>
        </w:rPr>
        <w:t>initiatives.</w:t>
      </w:r>
    </w:p>
    <w:p>
      <w:pPr>
        <w:pStyle w:val="BodyText"/>
        <w:spacing w:before="11"/>
        <w:rPr>
          <w:b/>
        </w:rPr>
      </w:pPr>
    </w:p>
    <w:p>
      <w:pPr>
        <w:pStyle w:val="BodyText"/>
        <w:spacing w:line="276" w:lineRule="auto"/>
        <w:ind w:left="483" w:right="338"/>
        <w:jc w:val="both"/>
      </w:pPr>
      <w:r>
        <w:rPr/>
        <w:t>Meaningful</w:t>
      </w:r>
      <w:r>
        <w:rPr>
          <w:spacing w:val="-2"/>
        </w:rPr>
        <w:t> </w:t>
      </w:r>
      <w:r>
        <w:rPr/>
        <w:t>and</w:t>
      </w:r>
      <w:r>
        <w:rPr>
          <w:spacing w:val="-2"/>
        </w:rPr>
        <w:t> </w:t>
      </w:r>
      <w:r>
        <w:rPr/>
        <w:t>transparent</w:t>
      </w:r>
      <w:r>
        <w:rPr>
          <w:spacing w:val="-2"/>
        </w:rPr>
        <w:t> </w:t>
      </w:r>
      <w:r>
        <w:rPr/>
        <w:t>engagement</w:t>
      </w:r>
      <w:r>
        <w:rPr>
          <w:spacing w:val="-2"/>
        </w:rPr>
        <w:t> </w:t>
      </w:r>
      <w:r>
        <w:rPr/>
        <w:t>for</w:t>
      </w:r>
      <w:r>
        <w:rPr>
          <w:spacing w:val="-2"/>
        </w:rPr>
        <w:t> </w:t>
      </w:r>
      <w:r>
        <w:rPr/>
        <w:t>LGBTQ</w:t>
      </w:r>
      <w:r>
        <w:rPr>
          <w:spacing w:val="-1"/>
        </w:rPr>
        <w:t> </w:t>
      </w:r>
      <w:r>
        <w:rPr/>
        <w:t>youth</w:t>
      </w:r>
      <w:r>
        <w:rPr>
          <w:spacing w:val="-2"/>
        </w:rPr>
        <w:t> </w:t>
      </w:r>
      <w:r>
        <w:rPr/>
        <w:t>in</w:t>
      </w:r>
      <w:r>
        <w:rPr>
          <w:spacing w:val="-1"/>
        </w:rPr>
        <w:t> </w:t>
      </w:r>
      <w:r>
        <w:rPr/>
        <w:t>state</w:t>
      </w:r>
      <w:r>
        <w:rPr>
          <w:spacing w:val="-2"/>
        </w:rPr>
        <w:t> </w:t>
      </w:r>
      <w:r>
        <w:rPr/>
        <w:t>projects</w:t>
      </w:r>
      <w:r>
        <w:rPr>
          <w:spacing w:val="-1"/>
        </w:rPr>
        <w:t> </w:t>
      </w:r>
      <w:r>
        <w:rPr/>
        <w:t>and</w:t>
      </w:r>
      <w:r>
        <w:rPr>
          <w:spacing w:val="-2"/>
        </w:rPr>
        <w:t> </w:t>
      </w:r>
      <w:r>
        <w:rPr/>
        <w:t>initiatives</w:t>
      </w:r>
      <w:r>
        <w:rPr>
          <w:spacing w:val="-1"/>
        </w:rPr>
        <w:t> </w:t>
      </w:r>
      <w:r>
        <w:rPr/>
        <w:t>is essential</w:t>
      </w:r>
      <w:r>
        <w:rPr>
          <w:spacing w:val="-2"/>
        </w:rPr>
        <w:t> </w:t>
      </w:r>
      <w:r>
        <w:rPr/>
        <w:t>for effective policy and program reform. Far too often, particularly regarding state initiatives, marginalized youth are tokenized or left out entirely. For youth-serving or -representing agencies, it is essential to involve youth in paid opportunities to offer expertise and skills development opportunities on programming,</w:t>
      </w:r>
      <w:r>
        <w:rPr>
          <w:spacing w:val="-3"/>
        </w:rPr>
        <w:t> </w:t>
      </w:r>
      <w:r>
        <w:rPr/>
        <w:t>outreach</w:t>
      </w:r>
      <w:r>
        <w:rPr>
          <w:spacing w:val="-2"/>
        </w:rPr>
        <w:t> </w:t>
      </w:r>
      <w:r>
        <w:rPr/>
        <w:t>campaigns,</w:t>
      </w:r>
      <w:r>
        <w:rPr>
          <w:spacing w:val="-2"/>
        </w:rPr>
        <w:t> </w:t>
      </w:r>
      <w:r>
        <w:rPr/>
        <w:t>policy</w:t>
      </w:r>
      <w:r>
        <w:rPr>
          <w:spacing w:val="-3"/>
        </w:rPr>
        <w:t> </w:t>
      </w:r>
      <w:r>
        <w:rPr/>
        <w:t>development,</w:t>
      </w:r>
      <w:r>
        <w:rPr>
          <w:spacing w:val="-3"/>
        </w:rPr>
        <w:t> </w:t>
      </w:r>
      <w:r>
        <w:rPr/>
        <w:t>and</w:t>
      </w:r>
      <w:r>
        <w:rPr>
          <w:spacing w:val="-2"/>
        </w:rPr>
        <w:t> </w:t>
      </w:r>
      <w:r>
        <w:rPr/>
        <w:t>research</w:t>
      </w:r>
      <w:r>
        <w:rPr>
          <w:spacing w:val="-3"/>
        </w:rPr>
        <w:t> </w:t>
      </w:r>
      <w:r>
        <w:rPr/>
        <w:t>input/design.</w:t>
      </w:r>
      <w:r>
        <w:rPr>
          <w:spacing w:val="-3"/>
        </w:rPr>
        <w:t> </w:t>
      </w:r>
      <w:r>
        <w:rPr/>
        <w:t>Like</w:t>
      </w:r>
      <w:r>
        <w:rPr>
          <w:spacing w:val="-3"/>
        </w:rPr>
        <w:t> </w:t>
      </w:r>
      <w:r>
        <w:rPr/>
        <w:t>it</w:t>
      </w:r>
      <w:r>
        <w:rPr>
          <w:spacing w:val="-2"/>
        </w:rPr>
        <w:t> </w:t>
      </w:r>
      <w:r>
        <w:rPr/>
        <w:t>does</w:t>
      </w:r>
      <w:r>
        <w:rPr>
          <w:spacing w:val="-2"/>
        </w:rPr>
        <w:t> </w:t>
      </w:r>
      <w:r>
        <w:rPr/>
        <w:t>to</w:t>
      </w:r>
      <w:r>
        <w:rPr>
          <w:spacing w:val="-2"/>
        </w:rPr>
        <w:t> </w:t>
      </w:r>
      <w:r>
        <w:rPr/>
        <w:t>many of its state agency partners, the Commission recommends that the OCA proactively improve its connections to LGBTQ community organizations and LGBTQ</w:t>
      </w:r>
      <w:r>
        <w:rPr>
          <w:spacing w:val="-1"/>
        </w:rPr>
        <w:t> </w:t>
      </w:r>
      <w:r>
        <w:rPr/>
        <w:t>youth, particularly given</w:t>
      </w:r>
      <w:r>
        <w:rPr>
          <w:spacing w:val="-1"/>
        </w:rPr>
        <w:t> </w:t>
      </w:r>
      <w:r>
        <w:rPr/>
        <w:t>the</w:t>
      </w:r>
      <w:r>
        <w:rPr>
          <w:spacing w:val="-1"/>
        </w:rPr>
        <w:t> </w:t>
      </w:r>
      <w:r>
        <w:rPr/>
        <w:t>agency’s intent to solicit more usage of its Complaint Line and other projects. Without building relationships and trust with LGBTQ youth, it is unlikely that any agency will effectively engage youth in a way that provides real feedback</w:t>
      </w:r>
      <w:r>
        <w:rPr>
          <w:spacing w:val="-2"/>
        </w:rPr>
        <w:t> </w:t>
      </w:r>
      <w:r>
        <w:rPr/>
        <w:t>for</w:t>
      </w:r>
      <w:r>
        <w:rPr>
          <w:spacing w:val="-2"/>
        </w:rPr>
        <w:t> </w:t>
      </w:r>
      <w:r>
        <w:rPr/>
        <w:t>their</w:t>
      </w:r>
      <w:r>
        <w:rPr>
          <w:spacing w:val="-2"/>
        </w:rPr>
        <w:t> </w:t>
      </w:r>
      <w:r>
        <w:rPr/>
        <w:t>initiatives.</w:t>
      </w:r>
      <w:r>
        <w:rPr>
          <w:spacing w:val="-2"/>
        </w:rPr>
        <w:t> </w:t>
      </w:r>
      <w:r>
        <w:rPr/>
        <w:t>While</w:t>
      </w:r>
      <w:r>
        <w:rPr>
          <w:spacing w:val="-2"/>
        </w:rPr>
        <w:t> </w:t>
      </w:r>
      <w:r>
        <w:rPr/>
        <w:t>the</w:t>
      </w:r>
      <w:r>
        <w:rPr>
          <w:spacing w:val="-2"/>
        </w:rPr>
        <w:t> </w:t>
      </w:r>
      <w:r>
        <w:rPr/>
        <w:t>OCA</w:t>
      </w:r>
      <w:r>
        <w:rPr>
          <w:spacing w:val="-2"/>
        </w:rPr>
        <w:t> </w:t>
      </w:r>
      <w:r>
        <w:rPr/>
        <w:t>agrees</w:t>
      </w:r>
      <w:r>
        <w:rPr>
          <w:spacing w:val="-2"/>
        </w:rPr>
        <w:t> </w:t>
      </w:r>
      <w:r>
        <w:rPr/>
        <w:t>with</w:t>
      </w:r>
      <w:r>
        <w:rPr>
          <w:spacing w:val="-2"/>
        </w:rPr>
        <w:t> </w:t>
      </w:r>
      <w:r>
        <w:rPr/>
        <w:t>this</w:t>
      </w:r>
      <w:r>
        <w:rPr>
          <w:spacing w:val="-2"/>
        </w:rPr>
        <w:t> </w:t>
      </w:r>
      <w:r>
        <w:rPr/>
        <w:t>recommendation,</w:t>
      </w:r>
      <w:r>
        <w:rPr>
          <w:spacing w:val="-1"/>
        </w:rPr>
        <w:t> </w:t>
      </w:r>
      <w:r>
        <w:rPr/>
        <w:t>it</w:t>
      </w:r>
      <w:r>
        <w:rPr>
          <w:spacing w:val="-2"/>
        </w:rPr>
        <w:t> </w:t>
      </w:r>
      <w:r>
        <w:rPr/>
        <w:t>has</w:t>
      </w:r>
      <w:r>
        <w:rPr>
          <w:spacing w:val="-2"/>
        </w:rPr>
        <w:t> </w:t>
      </w:r>
      <w:r>
        <w:rPr/>
        <w:t>previously</w:t>
      </w:r>
      <w:r>
        <w:rPr>
          <w:spacing w:val="-2"/>
        </w:rPr>
        <w:t> </w:t>
      </w:r>
      <w:r>
        <w:rPr/>
        <w:t>noted</w:t>
      </w:r>
      <w:r>
        <w:rPr>
          <w:spacing w:val="-2"/>
        </w:rPr>
        <w:t> </w:t>
      </w:r>
      <w:r>
        <w:rPr/>
        <w:t>in past communications with the Commission that it has sought feedback in the past from GLAD, as well as collaborated with the Commission on various projects. However, more proactive relationship-building with LGBTQ youth-serving organizations can only help strengthen the OCA’s work.</w:t>
      </w:r>
    </w:p>
    <w:p>
      <w:pPr>
        <w:numPr>
          <w:ilvl w:val="0"/>
          <w:numId w:val="50"/>
        </w:numPr>
        <w:tabs>
          <w:tab w:pos="481" w:val="left" w:leader="none"/>
        </w:tabs>
        <w:spacing w:before="240"/>
        <w:ind w:left="481" w:right="0" w:hanging="358"/>
        <w:jc w:val="left"/>
        <w:rPr>
          <w:b/>
          <w:sz w:val="22"/>
        </w:rPr>
      </w:pPr>
      <w:r>
        <w:rPr>
          <w:b/>
          <w:sz w:val="22"/>
        </w:rPr>
        <w:t>Address</w:t>
      </w:r>
      <w:r>
        <w:rPr>
          <w:b/>
          <w:spacing w:val="-9"/>
          <w:sz w:val="22"/>
        </w:rPr>
        <w:t> </w:t>
      </w:r>
      <w:r>
        <w:rPr>
          <w:b/>
          <w:sz w:val="22"/>
        </w:rPr>
        <w:t>the</w:t>
      </w:r>
      <w:r>
        <w:rPr>
          <w:b/>
          <w:spacing w:val="-9"/>
          <w:sz w:val="22"/>
        </w:rPr>
        <w:t> </w:t>
      </w:r>
      <w:r>
        <w:rPr>
          <w:b/>
          <w:sz w:val="22"/>
        </w:rPr>
        <w:t>needs</w:t>
      </w:r>
      <w:r>
        <w:rPr>
          <w:b/>
          <w:spacing w:val="-9"/>
          <w:sz w:val="22"/>
        </w:rPr>
        <w:t> </w:t>
      </w:r>
      <w:r>
        <w:rPr>
          <w:b/>
          <w:sz w:val="22"/>
        </w:rPr>
        <w:t>of</w:t>
      </w:r>
      <w:r>
        <w:rPr>
          <w:b/>
          <w:spacing w:val="-8"/>
          <w:sz w:val="22"/>
        </w:rPr>
        <w:t> </w:t>
      </w:r>
      <w:r>
        <w:rPr>
          <w:b/>
          <w:sz w:val="22"/>
        </w:rPr>
        <w:t>LGBTQ</w:t>
      </w:r>
      <w:r>
        <w:rPr>
          <w:b/>
          <w:spacing w:val="-9"/>
          <w:sz w:val="22"/>
        </w:rPr>
        <w:t> </w:t>
      </w:r>
      <w:r>
        <w:rPr>
          <w:b/>
          <w:sz w:val="22"/>
        </w:rPr>
        <w:t>transition-aged</w:t>
      </w:r>
      <w:r>
        <w:rPr>
          <w:b/>
          <w:spacing w:val="-9"/>
          <w:sz w:val="22"/>
        </w:rPr>
        <w:t> </w:t>
      </w:r>
      <w:r>
        <w:rPr>
          <w:b/>
          <w:spacing w:val="-2"/>
          <w:sz w:val="22"/>
        </w:rPr>
        <w:t>youth.</w:t>
      </w:r>
    </w:p>
    <w:p>
      <w:pPr>
        <w:pStyle w:val="BodyText"/>
        <w:spacing w:before="11"/>
        <w:rPr>
          <w:b/>
        </w:rPr>
      </w:pPr>
    </w:p>
    <w:p>
      <w:pPr>
        <w:pStyle w:val="BodyText"/>
        <w:spacing w:line="276" w:lineRule="auto" w:before="1"/>
        <w:ind w:left="483" w:right="343"/>
        <w:jc w:val="both"/>
      </w:pPr>
      <w:r>
        <w:rPr/>
        <w:t>The OCA has shared its agreement that a significant amount of work remains to be done for all child- serving agencies to address the disparate needs and experiences of LGBTQ transition-aged youth. For several years, the Commission has identified numerous barriers that LGBTQ young adults transitioning</w:t>
      </w:r>
    </w:p>
    <w:p>
      <w:pPr>
        <w:spacing w:after="0" w:line="276" w:lineRule="auto"/>
        <w:jc w:val="both"/>
        <w:sectPr>
          <w:pgSz w:w="12240" w:h="15840"/>
          <w:pgMar w:header="804" w:footer="1281" w:top="1000" w:bottom="1480" w:left="960" w:right="1100"/>
        </w:sectPr>
      </w:pPr>
    </w:p>
    <w:p>
      <w:pPr>
        <w:pStyle w:val="BodyText"/>
        <w:spacing w:before="77"/>
      </w:pPr>
    </w:p>
    <w:p>
      <w:pPr>
        <w:pStyle w:val="BodyText"/>
        <w:spacing w:line="276" w:lineRule="auto" w:before="1"/>
        <w:ind w:left="483" w:right="341"/>
        <w:jc w:val="both"/>
      </w:pPr>
      <w:r>
        <w:rPr/>
        <w:t>out of the child welfare system face - including identity documents with incorrect name and gender marker</w:t>
      </w:r>
      <w:r>
        <w:rPr>
          <w:spacing w:val="-5"/>
        </w:rPr>
        <w:t> </w:t>
      </w:r>
      <w:r>
        <w:rPr/>
        <w:t>information,</w:t>
      </w:r>
      <w:r>
        <w:rPr>
          <w:spacing w:val="-5"/>
        </w:rPr>
        <w:t> </w:t>
      </w:r>
      <w:r>
        <w:rPr/>
        <w:t>barriers</w:t>
      </w:r>
      <w:r>
        <w:rPr>
          <w:spacing w:val="-5"/>
        </w:rPr>
        <w:t> </w:t>
      </w:r>
      <w:r>
        <w:rPr/>
        <w:t>to</w:t>
      </w:r>
      <w:r>
        <w:rPr>
          <w:spacing w:val="-5"/>
        </w:rPr>
        <w:t> </w:t>
      </w:r>
      <w:r>
        <w:rPr/>
        <w:t>employment,</w:t>
      </w:r>
      <w:r>
        <w:rPr>
          <w:spacing w:val="-4"/>
        </w:rPr>
        <w:t> </w:t>
      </w:r>
      <w:r>
        <w:rPr/>
        <w:t>and</w:t>
      </w:r>
      <w:r>
        <w:rPr>
          <w:spacing w:val="-4"/>
        </w:rPr>
        <w:t> </w:t>
      </w:r>
      <w:r>
        <w:rPr/>
        <w:t>a</w:t>
      </w:r>
      <w:r>
        <w:rPr>
          <w:spacing w:val="-5"/>
        </w:rPr>
        <w:t> </w:t>
      </w:r>
      <w:r>
        <w:rPr/>
        <w:t>shortage</w:t>
      </w:r>
      <w:r>
        <w:rPr>
          <w:spacing w:val="-5"/>
        </w:rPr>
        <w:t> </w:t>
      </w:r>
      <w:r>
        <w:rPr/>
        <w:t>of</w:t>
      </w:r>
      <w:r>
        <w:rPr>
          <w:spacing w:val="-4"/>
        </w:rPr>
        <w:t> </w:t>
      </w:r>
      <w:r>
        <w:rPr/>
        <w:t>LGBTQ-affirming</w:t>
      </w:r>
      <w:r>
        <w:rPr>
          <w:spacing w:val="-5"/>
        </w:rPr>
        <w:t> </w:t>
      </w:r>
      <w:r>
        <w:rPr/>
        <w:t>housing</w:t>
      </w:r>
      <w:r>
        <w:rPr>
          <w:spacing w:val="-5"/>
        </w:rPr>
        <w:t> </w:t>
      </w:r>
      <w:r>
        <w:rPr/>
        <w:t>resources</w:t>
      </w:r>
      <w:r>
        <w:rPr>
          <w:spacing w:val="-5"/>
        </w:rPr>
        <w:t> </w:t>
      </w:r>
      <w:r>
        <w:rPr/>
        <w:t>-</w:t>
      </w:r>
      <w:r>
        <w:rPr>
          <w:spacing w:val="-4"/>
        </w:rPr>
        <w:t> </w:t>
      </w:r>
      <w:r>
        <w:rPr/>
        <w:t>and would</w:t>
      </w:r>
      <w:r>
        <w:rPr>
          <w:spacing w:val="-12"/>
        </w:rPr>
        <w:t> </w:t>
      </w:r>
      <w:r>
        <w:rPr/>
        <w:t>be</w:t>
      </w:r>
      <w:r>
        <w:rPr>
          <w:spacing w:val="-12"/>
        </w:rPr>
        <w:t> </w:t>
      </w:r>
      <w:r>
        <w:rPr/>
        <w:t>eager</w:t>
      </w:r>
      <w:r>
        <w:rPr>
          <w:spacing w:val="-12"/>
        </w:rPr>
        <w:t> </w:t>
      </w:r>
      <w:r>
        <w:rPr/>
        <w:t>to</w:t>
      </w:r>
      <w:r>
        <w:rPr>
          <w:spacing w:val="-11"/>
        </w:rPr>
        <w:t> </w:t>
      </w:r>
      <w:r>
        <w:rPr/>
        <w:t>work</w:t>
      </w:r>
      <w:r>
        <w:rPr>
          <w:spacing w:val="-12"/>
        </w:rPr>
        <w:t> </w:t>
      </w:r>
      <w:r>
        <w:rPr/>
        <w:t>with</w:t>
      </w:r>
      <w:r>
        <w:rPr>
          <w:spacing w:val="-12"/>
        </w:rPr>
        <w:t> </w:t>
      </w:r>
      <w:r>
        <w:rPr/>
        <w:t>OCA</w:t>
      </w:r>
      <w:r>
        <w:rPr>
          <w:spacing w:val="-11"/>
        </w:rPr>
        <w:t> </w:t>
      </w:r>
      <w:r>
        <w:rPr/>
        <w:t>to</w:t>
      </w:r>
      <w:r>
        <w:rPr>
          <w:spacing w:val="-11"/>
        </w:rPr>
        <w:t> </w:t>
      </w:r>
      <w:r>
        <w:rPr/>
        <w:t>ensure</w:t>
      </w:r>
      <w:r>
        <w:rPr>
          <w:spacing w:val="-13"/>
        </w:rPr>
        <w:t> </w:t>
      </w:r>
      <w:r>
        <w:rPr/>
        <w:t>state</w:t>
      </w:r>
      <w:r>
        <w:rPr>
          <w:spacing w:val="-11"/>
        </w:rPr>
        <w:t> </w:t>
      </w:r>
      <w:r>
        <w:rPr/>
        <w:t>efforts</w:t>
      </w:r>
      <w:r>
        <w:rPr>
          <w:spacing w:val="-11"/>
        </w:rPr>
        <w:t> </w:t>
      </w:r>
      <w:r>
        <w:rPr/>
        <w:t>address</w:t>
      </w:r>
      <w:r>
        <w:rPr>
          <w:spacing w:val="-11"/>
        </w:rPr>
        <w:t> </w:t>
      </w:r>
      <w:r>
        <w:rPr/>
        <w:t>these</w:t>
      </w:r>
      <w:r>
        <w:rPr>
          <w:spacing w:val="-13"/>
        </w:rPr>
        <w:t> </w:t>
      </w:r>
      <w:r>
        <w:rPr/>
        <w:t>issues.</w:t>
      </w:r>
      <w:r>
        <w:rPr>
          <w:spacing w:val="-11"/>
        </w:rPr>
        <w:t> </w:t>
      </w:r>
      <w:r>
        <w:rPr/>
        <w:t>OCA</w:t>
      </w:r>
      <w:r>
        <w:rPr>
          <w:spacing w:val="-13"/>
        </w:rPr>
        <w:t> </w:t>
      </w:r>
      <w:r>
        <w:rPr/>
        <w:t>shares</w:t>
      </w:r>
      <w:r>
        <w:rPr>
          <w:spacing w:val="-11"/>
        </w:rPr>
        <w:t> </w:t>
      </w:r>
      <w:r>
        <w:rPr/>
        <w:t>that</w:t>
      </w:r>
      <w:r>
        <w:rPr>
          <w:spacing w:val="-13"/>
        </w:rPr>
        <w:t> </w:t>
      </w:r>
      <w:r>
        <w:rPr/>
        <w:t>is</w:t>
      </w:r>
      <w:r>
        <w:rPr>
          <w:spacing w:val="-10"/>
        </w:rPr>
        <w:t> </w:t>
      </w:r>
      <w:r>
        <w:rPr/>
        <w:t>currently focusing</w:t>
      </w:r>
      <w:r>
        <w:rPr>
          <w:spacing w:val="-7"/>
        </w:rPr>
        <w:t> </w:t>
      </w:r>
      <w:r>
        <w:rPr/>
        <w:t>its</w:t>
      </w:r>
      <w:r>
        <w:rPr>
          <w:spacing w:val="-6"/>
        </w:rPr>
        <w:t> </w:t>
      </w:r>
      <w:r>
        <w:rPr/>
        <w:t>attention</w:t>
      </w:r>
      <w:r>
        <w:rPr>
          <w:spacing w:val="-7"/>
        </w:rPr>
        <w:t> </w:t>
      </w:r>
      <w:r>
        <w:rPr/>
        <w:t>in</w:t>
      </w:r>
      <w:r>
        <w:rPr>
          <w:spacing w:val="-7"/>
        </w:rPr>
        <w:t> </w:t>
      </w:r>
      <w:r>
        <w:rPr/>
        <w:t>this</w:t>
      </w:r>
      <w:r>
        <w:rPr>
          <w:spacing w:val="-7"/>
        </w:rPr>
        <w:t> </w:t>
      </w:r>
      <w:r>
        <w:rPr/>
        <w:t>area</w:t>
      </w:r>
      <w:r>
        <w:rPr>
          <w:spacing w:val="-7"/>
        </w:rPr>
        <w:t> </w:t>
      </w:r>
      <w:r>
        <w:rPr/>
        <w:t>on</w:t>
      </w:r>
      <w:r>
        <w:rPr>
          <w:spacing w:val="-7"/>
        </w:rPr>
        <w:t> </w:t>
      </w:r>
      <w:r>
        <w:rPr/>
        <w:t>the</w:t>
      </w:r>
      <w:r>
        <w:rPr>
          <w:spacing w:val="-5"/>
        </w:rPr>
        <w:t> </w:t>
      </w:r>
      <w:r>
        <w:rPr/>
        <w:t>Transition</w:t>
      </w:r>
      <w:r>
        <w:rPr>
          <w:spacing w:val="-7"/>
        </w:rPr>
        <w:t> </w:t>
      </w:r>
      <w:r>
        <w:rPr/>
        <w:t>Age</w:t>
      </w:r>
      <w:r>
        <w:rPr>
          <w:spacing w:val="-8"/>
        </w:rPr>
        <w:t> </w:t>
      </w:r>
      <w:r>
        <w:rPr/>
        <w:t>Youth</w:t>
      </w:r>
      <w:r>
        <w:rPr>
          <w:spacing w:val="-7"/>
        </w:rPr>
        <w:t> </w:t>
      </w:r>
      <w:r>
        <w:rPr/>
        <w:t>Housing</w:t>
      </w:r>
      <w:r>
        <w:rPr>
          <w:spacing w:val="-7"/>
        </w:rPr>
        <w:t> </w:t>
      </w:r>
      <w:r>
        <w:rPr/>
        <w:t>Support</w:t>
      </w:r>
      <w:r>
        <w:rPr>
          <w:spacing w:val="-7"/>
        </w:rPr>
        <w:t> </w:t>
      </w:r>
      <w:r>
        <w:rPr/>
        <w:t>and</w:t>
      </w:r>
      <w:r>
        <w:rPr>
          <w:spacing w:val="-7"/>
        </w:rPr>
        <w:t> </w:t>
      </w:r>
      <w:r>
        <w:rPr/>
        <w:t>Stabilization</w:t>
      </w:r>
      <w:r>
        <w:rPr>
          <w:spacing w:val="-8"/>
        </w:rPr>
        <w:t> </w:t>
      </w:r>
      <w:r>
        <w:rPr/>
        <w:t>program, which was launched in 2021 with EOHHS. The Commission appreciates the work of this program, particularly</w:t>
      </w:r>
      <w:r>
        <w:rPr>
          <w:spacing w:val="-4"/>
        </w:rPr>
        <w:t> </w:t>
      </w:r>
      <w:r>
        <w:rPr/>
        <w:t>its</w:t>
      </w:r>
      <w:r>
        <w:rPr>
          <w:spacing w:val="-5"/>
        </w:rPr>
        <w:t> </w:t>
      </w:r>
      <w:r>
        <w:rPr/>
        <w:t>flexibility</w:t>
      </w:r>
      <w:r>
        <w:rPr>
          <w:spacing w:val="-4"/>
        </w:rPr>
        <w:t> </w:t>
      </w:r>
      <w:r>
        <w:rPr/>
        <w:t>to</w:t>
      </w:r>
      <w:r>
        <w:rPr>
          <w:spacing w:val="-4"/>
        </w:rPr>
        <w:t> </w:t>
      </w:r>
      <w:r>
        <w:rPr/>
        <w:t>meet</w:t>
      </w:r>
      <w:r>
        <w:rPr>
          <w:spacing w:val="-5"/>
        </w:rPr>
        <w:t> </w:t>
      </w:r>
      <w:r>
        <w:rPr/>
        <w:t>the</w:t>
      </w:r>
      <w:r>
        <w:rPr>
          <w:spacing w:val="-4"/>
        </w:rPr>
        <w:t> </w:t>
      </w:r>
      <w:r>
        <w:rPr/>
        <w:t>specific</w:t>
      </w:r>
      <w:r>
        <w:rPr>
          <w:spacing w:val="-5"/>
        </w:rPr>
        <w:t> </w:t>
      </w:r>
      <w:r>
        <w:rPr/>
        <w:t>needs</w:t>
      </w:r>
      <w:r>
        <w:rPr>
          <w:spacing w:val="-5"/>
        </w:rPr>
        <w:t> </w:t>
      </w:r>
      <w:r>
        <w:rPr/>
        <w:t>of</w:t>
      </w:r>
      <w:r>
        <w:rPr>
          <w:spacing w:val="-4"/>
        </w:rPr>
        <w:t> </w:t>
      </w:r>
      <w:r>
        <w:rPr/>
        <w:t>youth</w:t>
      </w:r>
      <w:r>
        <w:rPr>
          <w:spacing w:val="-6"/>
        </w:rPr>
        <w:t> </w:t>
      </w:r>
      <w:r>
        <w:rPr/>
        <w:t>involved;</w:t>
      </w:r>
      <w:r>
        <w:rPr>
          <w:spacing w:val="-5"/>
        </w:rPr>
        <w:t> </w:t>
      </w:r>
      <w:r>
        <w:rPr/>
        <w:t>however,</w:t>
      </w:r>
      <w:r>
        <w:rPr>
          <w:spacing w:val="-4"/>
        </w:rPr>
        <w:t> </w:t>
      </w:r>
      <w:r>
        <w:rPr/>
        <w:t>in</w:t>
      </w:r>
      <w:r>
        <w:rPr>
          <w:spacing w:val="-6"/>
        </w:rPr>
        <w:t> </w:t>
      </w:r>
      <w:r>
        <w:rPr/>
        <w:t>the</w:t>
      </w:r>
      <w:r>
        <w:rPr>
          <w:spacing w:val="-4"/>
        </w:rPr>
        <w:t> </w:t>
      </w:r>
      <w:r>
        <w:rPr/>
        <w:t>evaluation</w:t>
      </w:r>
      <w:r>
        <w:rPr>
          <w:spacing w:val="-6"/>
        </w:rPr>
        <w:t> </w:t>
      </w:r>
      <w:r>
        <w:rPr/>
        <w:t>work</w:t>
      </w:r>
      <w:r>
        <w:rPr>
          <w:spacing w:val="-6"/>
        </w:rPr>
        <w:t> </w:t>
      </w:r>
      <w:r>
        <w:rPr/>
        <w:t>of this program, notes the need to have a more nuanced analysis of the experiences of LGBTQ youth and LGBTQ-specific needs, such as gender-affirming services, with particular attention to LGBTQ youth of </w:t>
      </w:r>
      <w:r>
        <w:rPr>
          <w:spacing w:val="-2"/>
        </w:rPr>
        <w:t>color.</w:t>
      </w:r>
    </w:p>
    <w:p>
      <w:pPr>
        <w:pStyle w:val="BodyText"/>
        <w:spacing w:line="276" w:lineRule="auto" w:before="240"/>
        <w:ind w:left="483" w:right="343"/>
        <w:jc w:val="both"/>
      </w:pPr>
      <w:r>
        <w:rPr/>
        <w:t>Additionally, the Commission understands that the OCA has been working on a new project to address the needs of transition-aged youth and is currently working with EOHHS on the project design and timeline. The Commission looks forward to participating in this pilot program and conversations around the launch in FY 2025.</w:t>
      </w:r>
    </w:p>
    <w:p>
      <w:pPr>
        <w:numPr>
          <w:ilvl w:val="0"/>
          <w:numId w:val="50"/>
        </w:numPr>
        <w:tabs>
          <w:tab w:pos="481" w:val="left" w:leader="none"/>
          <w:tab w:pos="483" w:val="left" w:leader="none"/>
        </w:tabs>
        <w:spacing w:line="276" w:lineRule="auto" w:before="239"/>
        <w:ind w:left="483" w:right="344" w:hanging="360"/>
        <w:jc w:val="left"/>
        <w:rPr>
          <w:b/>
          <w:sz w:val="22"/>
        </w:rPr>
      </w:pPr>
      <w:r>
        <w:rPr>
          <w:b/>
          <w:sz w:val="22"/>
        </w:rPr>
        <w:t>Continue to report on available SOGI data and collaborate with child-serving agencies on consistent</w:t>
      </w:r>
      <w:r>
        <w:rPr>
          <w:b/>
          <w:spacing w:val="40"/>
          <w:sz w:val="22"/>
        </w:rPr>
        <w:t> </w:t>
      </w:r>
      <w:r>
        <w:rPr>
          <w:b/>
          <w:sz w:val="22"/>
        </w:rPr>
        <w:t>reporting and intersectional data analysis.</w:t>
      </w:r>
    </w:p>
    <w:p>
      <w:pPr>
        <w:pStyle w:val="BodyText"/>
        <w:spacing w:line="276" w:lineRule="auto" w:before="241"/>
        <w:ind w:left="482" w:right="341"/>
        <w:jc w:val="both"/>
      </w:pPr>
      <w:r>
        <w:rPr/>
        <w:t>The Commission understands that the OCA faces several limitations, particularly around availability of data</w:t>
      </w:r>
      <w:r>
        <w:rPr>
          <w:spacing w:val="-5"/>
        </w:rPr>
        <w:t> </w:t>
      </w:r>
      <w:r>
        <w:rPr/>
        <w:t>from</w:t>
      </w:r>
      <w:r>
        <w:rPr>
          <w:spacing w:val="-5"/>
        </w:rPr>
        <w:t> </w:t>
      </w:r>
      <w:r>
        <w:rPr/>
        <w:t>child-serving</w:t>
      </w:r>
      <w:r>
        <w:rPr>
          <w:spacing w:val="-5"/>
        </w:rPr>
        <w:t> </w:t>
      </w:r>
      <w:r>
        <w:rPr/>
        <w:t>agencies,</w:t>
      </w:r>
      <w:r>
        <w:rPr>
          <w:spacing w:val="-5"/>
        </w:rPr>
        <w:t> </w:t>
      </w:r>
      <w:r>
        <w:rPr/>
        <w:t>in</w:t>
      </w:r>
      <w:r>
        <w:rPr>
          <w:spacing w:val="-5"/>
        </w:rPr>
        <w:t> </w:t>
      </w:r>
      <w:r>
        <w:rPr/>
        <w:t>its</w:t>
      </w:r>
      <w:r>
        <w:rPr>
          <w:spacing w:val="-4"/>
        </w:rPr>
        <w:t> </w:t>
      </w:r>
      <w:r>
        <w:rPr/>
        <w:t>data</w:t>
      </w:r>
      <w:r>
        <w:rPr>
          <w:spacing w:val="-5"/>
        </w:rPr>
        <w:t> </w:t>
      </w:r>
      <w:r>
        <w:rPr/>
        <w:t>analysis</w:t>
      </w:r>
      <w:r>
        <w:rPr>
          <w:spacing w:val="-5"/>
        </w:rPr>
        <w:t> </w:t>
      </w:r>
      <w:r>
        <w:rPr/>
        <w:t>and</w:t>
      </w:r>
      <w:r>
        <w:rPr>
          <w:spacing w:val="-6"/>
        </w:rPr>
        <w:t> </w:t>
      </w:r>
      <w:r>
        <w:rPr/>
        <w:t>reporting</w:t>
      </w:r>
      <w:r>
        <w:rPr>
          <w:spacing w:val="-5"/>
        </w:rPr>
        <w:t> </w:t>
      </w:r>
      <w:r>
        <w:rPr/>
        <w:t>work.</w:t>
      </w:r>
      <w:r>
        <w:rPr>
          <w:spacing w:val="-5"/>
        </w:rPr>
        <w:t> </w:t>
      </w:r>
      <w:r>
        <w:rPr/>
        <w:t>As</w:t>
      </w:r>
      <w:r>
        <w:rPr>
          <w:spacing w:val="-5"/>
        </w:rPr>
        <w:t> </w:t>
      </w:r>
      <w:r>
        <w:rPr/>
        <w:t>more</w:t>
      </w:r>
      <w:r>
        <w:rPr>
          <w:spacing w:val="-6"/>
        </w:rPr>
        <w:t> </w:t>
      </w:r>
      <w:r>
        <w:rPr/>
        <w:t>agencies,</w:t>
      </w:r>
      <w:r>
        <w:rPr>
          <w:spacing w:val="-5"/>
        </w:rPr>
        <w:t> </w:t>
      </w:r>
      <w:r>
        <w:rPr/>
        <w:t>including</w:t>
      </w:r>
      <w:r>
        <w:rPr>
          <w:spacing w:val="-5"/>
        </w:rPr>
        <w:t> </w:t>
      </w:r>
      <w:r>
        <w:rPr/>
        <w:t>DCF and</w:t>
      </w:r>
      <w:r>
        <w:rPr>
          <w:spacing w:val="-6"/>
        </w:rPr>
        <w:t> </w:t>
      </w:r>
      <w:r>
        <w:rPr/>
        <w:t>DYS,</w:t>
      </w:r>
      <w:r>
        <w:rPr>
          <w:spacing w:val="-4"/>
        </w:rPr>
        <w:t> </w:t>
      </w:r>
      <w:r>
        <w:rPr/>
        <w:t>continue</w:t>
      </w:r>
      <w:r>
        <w:rPr>
          <w:spacing w:val="-4"/>
        </w:rPr>
        <w:t> </w:t>
      </w:r>
      <w:r>
        <w:rPr/>
        <w:t>to</w:t>
      </w:r>
      <w:r>
        <w:rPr>
          <w:spacing w:val="-4"/>
        </w:rPr>
        <w:t> </w:t>
      </w:r>
      <w:r>
        <w:rPr/>
        <w:t>improve</w:t>
      </w:r>
      <w:r>
        <w:rPr>
          <w:spacing w:val="-6"/>
        </w:rPr>
        <w:t> </w:t>
      </w:r>
      <w:r>
        <w:rPr/>
        <w:t>their</w:t>
      </w:r>
      <w:r>
        <w:rPr>
          <w:spacing w:val="-4"/>
        </w:rPr>
        <w:t> </w:t>
      </w:r>
      <w:r>
        <w:rPr/>
        <w:t>SOGI</w:t>
      </w:r>
      <w:r>
        <w:rPr>
          <w:spacing w:val="-4"/>
        </w:rPr>
        <w:t> </w:t>
      </w:r>
      <w:r>
        <w:rPr/>
        <w:t>data</w:t>
      </w:r>
      <w:r>
        <w:rPr>
          <w:spacing w:val="-4"/>
        </w:rPr>
        <w:t> </w:t>
      </w:r>
      <w:r>
        <w:rPr/>
        <w:t>collection</w:t>
      </w:r>
      <w:r>
        <w:rPr>
          <w:spacing w:val="-6"/>
        </w:rPr>
        <w:t> </w:t>
      </w:r>
      <w:r>
        <w:rPr/>
        <w:t>standards</w:t>
      </w:r>
      <w:r>
        <w:rPr>
          <w:spacing w:val="-5"/>
        </w:rPr>
        <w:t> </w:t>
      </w:r>
      <w:r>
        <w:rPr/>
        <w:t>and</w:t>
      </w:r>
      <w:r>
        <w:rPr>
          <w:spacing w:val="-4"/>
        </w:rPr>
        <w:t> </w:t>
      </w:r>
      <w:r>
        <w:rPr/>
        <w:t>more</w:t>
      </w:r>
      <w:r>
        <w:rPr>
          <w:spacing w:val="-4"/>
        </w:rPr>
        <w:t> </w:t>
      </w:r>
      <w:r>
        <w:rPr/>
        <w:t>data</w:t>
      </w:r>
      <w:r>
        <w:rPr>
          <w:spacing w:val="-5"/>
        </w:rPr>
        <w:t> </w:t>
      </w:r>
      <w:r>
        <w:rPr/>
        <w:t>becomes</w:t>
      </w:r>
      <w:r>
        <w:rPr>
          <w:spacing w:val="-4"/>
        </w:rPr>
        <w:t> </w:t>
      </w:r>
      <w:r>
        <w:rPr/>
        <w:t>available,</w:t>
      </w:r>
      <w:r>
        <w:rPr>
          <w:spacing w:val="-5"/>
        </w:rPr>
        <w:t> </w:t>
      </w:r>
      <w:r>
        <w:rPr/>
        <w:t>the Commission advises that the OCA should implement a more intentional approach to intersectional analysis and reporting wherever possible, with the understanding that agencies sometimes may not be able to report this data due to low population sizes and confidentiality needs.</w:t>
      </w:r>
    </w:p>
    <w:p>
      <w:pPr>
        <w:pStyle w:val="BodyText"/>
        <w:spacing w:line="276" w:lineRule="auto" w:before="239"/>
        <w:ind w:left="482" w:right="343"/>
        <w:jc w:val="both"/>
      </w:pPr>
      <w:r>
        <w:rPr/>
        <w:t>As</w:t>
      </w:r>
      <w:r>
        <w:rPr>
          <w:spacing w:val="-6"/>
        </w:rPr>
        <w:t> </w:t>
      </w:r>
      <w:r>
        <w:rPr/>
        <w:t>previously</w:t>
      </w:r>
      <w:r>
        <w:rPr>
          <w:spacing w:val="-6"/>
        </w:rPr>
        <w:t> </w:t>
      </w:r>
      <w:r>
        <w:rPr/>
        <w:t>recommended,</w:t>
      </w:r>
      <w:r>
        <w:rPr>
          <w:spacing w:val="-6"/>
        </w:rPr>
        <w:t> </w:t>
      </w:r>
      <w:r>
        <w:rPr/>
        <w:t>the</w:t>
      </w:r>
      <w:r>
        <w:rPr>
          <w:spacing w:val="-7"/>
        </w:rPr>
        <w:t> </w:t>
      </w:r>
      <w:r>
        <w:rPr/>
        <w:t>Commission</w:t>
      </w:r>
      <w:r>
        <w:rPr>
          <w:spacing w:val="-7"/>
        </w:rPr>
        <w:t> </w:t>
      </w:r>
      <w:r>
        <w:rPr/>
        <w:t>advises</w:t>
      </w:r>
      <w:r>
        <w:rPr>
          <w:spacing w:val="-7"/>
        </w:rPr>
        <w:t> </w:t>
      </w:r>
      <w:r>
        <w:rPr/>
        <w:t>that</w:t>
      </w:r>
      <w:r>
        <w:rPr>
          <w:spacing w:val="-7"/>
        </w:rPr>
        <w:t> </w:t>
      </w:r>
      <w:r>
        <w:rPr/>
        <w:t>the</w:t>
      </w:r>
      <w:r>
        <w:rPr>
          <w:spacing w:val="-7"/>
        </w:rPr>
        <w:t> </w:t>
      </w:r>
      <w:r>
        <w:rPr/>
        <w:t>OCA</w:t>
      </w:r>
      <w:r>
        <w:rPr>
          <w:spacing w:val="-5"/>
        </w:rPr>
        <w:t> </w:t>
      </w:r>
      <w:r>
        <w:rPr/>
        <w:t>expand</w:t>
      </w:r>
      <w:r>
        <w:rPr>
          <w:spacing w:val="-5"/>
        </w:rPr>
        <w:t> </w:t>
      </w:r>
      <w:r>
        <w:rPr/>
        <w:t>its</w:t>
      </w:r>
      <w:r>
        <w:rPr>
          <w:spacing w:val="-6"/>
        </w:rPr>
        <w:t> </w:t>
      </w:r>
      <w:r>
        <w:rPr/>
        <w:t>reporting</w:t>
      </w:r>
      <w:r>
        <w:rPr>
          <w:spacing w:val="-7"/>
        </w:rPr>
        <w:t> </w:t>
      </w:r>
      <w:r>
        <w:rPr/>
        <w:t>practices</w:t>
      </w:r>
      <w:r>
        <w:rPr>
          <w:spacing w:val="-6"/>
        </w:rPr>
        <w:t> </w:t>
      </w:r>
      <w:r>
        <w:rPr/>
        <w:t>to</w:t>
      </w:r>
      <w:r>
        <w:rPr>
          <w:spacing w:val="-6"/>
        </w:rPr>
        <w:t> </w:t>
      </w:r>
      <w:r>
        <w:rPr/>
        <w:t>data on</w:t>
      </w:r>
      <w:r>
        <w:rPr>
          <w:spacing w:val="-2"/>
        </w:rPr>
        <w:t> </w:t>
      </w:r>
      <w:r>
        <w:rPr/>
        <w:t>LGBTQ</w:t>
      </w:r>
      <w:r>
        <w:rPr>
          <w:spacing w:val="-2"/>
        </w:rPr>
        <w:t> </w:t>
      </w:r>
      <w:r>
        <w:rPr/>
        <w:t>youth</w:t>
      </w:r>
      <w:r>
        <w:rPr>
          <w:spacing w:val="-1"/>
        </w:rPr>
        <w:t> </w:t>
      </w:r>
      <w:r>
        <w:rPr/>
        <w:t>involved</w:t>
      </w:r>
      <w:r>
        <w:rPr>
          <w:spacing w:val="-2"/>
        </w:rPr>
        <w:t> </w:t>
      </w:r>
      <w:r>
        <w:rPr/>
        <w:t>in</w:t>
      </w:r>
      <w:r>
        <w:rPr>
          <w:spacing w:val="-2"/>
        </w:rPr>
        <w:t> </w:t>
      </w:r>
      <w:r>
        <w:rPr/>
        <w:t>critical</w:t>
      </w:r>
      <w:r>
        <w:rPr>
          <w:spacing w:val="-1"/>
        </w:rPr>
        <w:t> </w:t>
      </w:r>
      <w:r>
        <w:rPr/>
        <w:t>incidents;</w:t>
      </w:r>
      <w:r>
        <w:rPr>
          <w:spacing w:val="-1"/>
        </w:rPr>
        <w:t> </w:t>
      </w:r>
      <w:r>
        <w:rPr/>
        <w:t>in</w:t>
      </w:r>
      <w:r>
        <w:rPr>
          <w:spacing w:val="-2"/>
        </w:rPr>
        <w:t> </w:t>
      </w:r>
      <w:r>
        <w:rPr/>
        <w:t>response,</w:t>
      </w:r>
      <w:r>
        <w:rPr>
          <w:spacing w:val="-2"/>
        </w:rPr>
        <w:t> </w:t>
      </w:r>
      <w:r>
        <w:rPr/>
        <w:t>the</w:t>
      </w:r>
      <w:r>
        <w:rPr>
          <w:spacing w:val="-1"/>
        </w:rPr>
        <w:t> </w:t>
      </w:r>
      <w:r>
        <w:rPr/>
        <w:t>OCA</w:t>
      </w:r>
      <w:r>
        <w:rPr>
          <w:spacing w:val="-2"/>
        </w:rPr>
        <w:t> </w:t>
      </w:r>
      <w:r>
        <w:rPr/>
        <w:t>has</w:t>
      </w:r>
      <w:r>
        <w:rPr>
          <w:spacing w:val="-1"/>
        </w:rPr>
        <w:t> </w:t>
      </w:r>
      <w:r>
        <w:rPr/>
        <w:t>shared with</w:t>
      </w:r>
      <w:r>
        <w:rPr>
          <w:spacing w:val="-1"/>
        </w:rPr>
        <w:t> </w:t>
      </w:r>
      <w:r>
        <w:rPr/>
        <w:t>the</w:t>
      </w:r>
      <w:r>
        <w:rPr>
          <w:spacing w:val="-1"/>
        </w:rPr>
        <w:t> </w:t>
      </w:r>
      <w:r>
        <w:rPr/>
        <w:t>Commission</w:t>
      </w:r>
      <w:r>
        <w:rPr>
          <w:spacing w:val="-2"/>
        </w:rPr>
        <w:t> </w:t>
      </w:r>
      <w:r>
        <w:rPr/>
        <w:t>that it is currently in the process of updating its database to better track and identify patterns and trends to address this issue. In May 2024, the OCA shared that it has recently done a complete overhaul of its database</w:t>
      </w:r>
      <w:r>
        <w:rPr>
          <w:spacing w:val="-1"/>
        </w:rPr>
        <w:t> </w:t>
      </w:r>
      <w:r>
        <w:rPr/>
        <w:t>over the past fiscal</w:t>
      </w:r>
      <w:r>
        <w:rPr>
          <w:spacing w:val="-1"/>
        </w:rPr>
        <w:t> </w:t>
      </w:r>
      <w:r>
        <w:rPr/>
        <w:t>year and is now collecting much more</w:t>
      </w:r>
      <w:r>
        <w:rPr>
          <w:spacing w:val="-1"/>
        </w:rPr>
        <w:t> </w:t>
      </w:r>
      <w:r>
        <w:rPr/>
        <w:t>demographic</w:t>
      </w:r>
      <w:r>
        <w:rPr>
          <w:spacing w:val="-1"/>
        </w:rPr>
        <w:t> </w:t>
      </w:r>
      <w:r>
        <w:rPr/>
        <w:t>data and risk</w:t>
      </w:r>
      <w:r>
        <w:rPr>
          <w:spacing w:val="-1"/>
        </w:rPr>
        <w:t> </w:t>
      </w:r>
      <w:r>
        <w:rPr/>
        <w:t>factors of the youth who come to its attention. Mirrored after the SOGI data collection categories of DCF, the OCA also</w:t>
      </w:r>
      <w:r>
        <w:rPr>
          <w:spacing w:val="-1"/>
        </w:rPr>
        <w:t> </w:t>
      </w:r>
      <w:r>
        <w:rPr/>
        <w:t>added</w:t>
      </w:r>
      <w:r>
        <w:rPr>
          <w:spacing w:val="-1"/>
        </w:rPr>
        <w:t> </w:t>
      </w:r>
      <w:r>
        <w:rPr/>
        <w:t>many</w:t>
      </w:r>
      <w:r>
        <w:rPr>
          <w:spacing w:val="-2"/>
        </w:rPr>
        <w:t> </w:t>
      </w:r>
      <w:r>
        <w:rPr/>
        <w:t>of</w:t>
      </w:r>
      <w:r>
        <w:rPr>
          <w:spacing w:val="-2"/>
        </w:rPr>
        <w:t> </w:t>
      </w:r>
      <w:r>
        <w:rPr/>
        <w:t>the</w:t>
      </w:r>
      <w:r>
        <w:rPr>
          <w:spacing w:val="-1"/>
        </w:rPr>
        <w:t> </w:t>
      </w:r>
      <w:r>
        <w:rPr/>
        <w:t>compounding</w:t>
      </w:r>
      <w:r>
        <w:rPr>
          <w:spacing w:val="-1"/>
        </w:rPr>
        <w:t> </w:t>
      </w:r>
      <w:r>
        <w:rPr/>
        <w:t>factors</w:t>
      </w:r>
      <w:r>
        <w:rPr>
          <w:spacing w:val="-2"/>
        </w:rPr>
        <w:t> </w:t>
      </w:r>
      <w:r>
        <w:rPr/>
        <w:t>the</w:t>
      </w:r>
      <w:r>
        <w:rPr>
          <w:spacing w:val="-1"/>
        </w:rPr>
        <w:t> </w:t>
      </w:r>
      <w:r>
        <w:rPr/>
        <w:t>Commission</w:t>
      </w:r>
      <w:r>
        <w:rPr>
          <w:spacing w:val="-2"/>
        </w:rPr>
        <w:t> </w:t>
      </w:r>
      <w:r>
        <w:rPr/>
        <w:t>has previously</w:t>
      </w:r>
      <w:r>
        <w:rPr>
          <w:spacing w:val="-2"/>
        </w:rPr>
        <w:t> </w:t>
      </w:r>
      <w:r>
        <w:rPr/>
        <w:t>shared</w:t>
      </w:r>
      <w:r>
        <w:rPr>
          <w:spacing w:val="-2"/>
        </w:rPr>
        <w:t> </w:t>
      </w:r>
      <w:r>
        <w:rPr/>
        <w:t>to</w:t>
      </w:r>
      <w:r>
        <w:rPr>
          <w:spacing w:val="-1"/>
        </w:rPr>
        <w:t> </w:t>
      </w:r>
      <w:r>
        <w:rPr/>
        <w:t>its</w:t>
      </w:r>
      <w:r>
        <w:rPr>
          <w:spacing w:val="-2"/>
        </w:rPr>
        <w:t> </w:t>
      </w:r>
      <w:r>
        <w:rPr/>
        <w:t>risk</w:t>
      </w:r>
      <w:r>
        <w:rPr>
          <w:spacing w:val="-2"/>
        </w:rPr>
        <w:t> </w:t>
      </w:r>
      <w:r>
        <w:rPr/>
        <w:t>factor</w:t>
      </w:r>
      <w:r>
        <w:rPr>
          <w:spacing w:val="-1"/>
        </w:rPr>
        <w:t> </w:t>
      </w:r>
      <w:r>
        <w:rPr/>
        <w:t>list.</w:t>
      </w:r>
    </w:p>
    <w:p>
      <w:pPr>
        <w:pStyle w:val="BodyText"/>
        <w:spacing w:line="276" w:lineRule="auto" w:before="241"/>
        <w:ind w:left="483" w:right="340"/>
        <w:jc w:val="both"/>
      </w:pPr>
      <w:r>
        <w:rPr/>
        <w:t>Furthermore,</w:t>
      </w:r>
      <w:r>
        <w:rPr>
          <w:spacing w:val="-11"/>
        </w:rPr>
        <w:t> </w:t>
      </w:r>
      <w:r>
        <w:rPr/>
        <w:t>the</w:t>
      </w:r>
      <w:r>
        <w:rPr>
          <w:spacing w:val="-11"/>
        </w:rPr>
        <w:t> </w:t>
      </w:r>
      <w:r>
        <w:rPr/>
        <w:t>Commission</w:t>
      </w:r>
      <w:r>
        <w:rPr>
          <w:spacing w:val="-11"/>
        </w:rPr>
        <w:t> </w:t>
      </w:r>
      <w:r>
        <w:rPr/>
        <w:t>notes</w:t>
      </w:r>
      <w:r>
        <w:rPr>
          <w:spacing w:val="-11"/>
        </w:rPr>
        <w:t> </w:t>
      </w:r>
      <w:r>
        <w:rPr/>
        <w:t>the</w:t>
      </w:r>
      <w:r>
        <w:rPr>
          <w:spacing w:val="-10"/>
        </w:rPr>
        <w:t> </w:t>
      </w:r>
      <w:r>
        <w:rPr/>
        <w:t>importance</w:t>
      </w:r>
      <w:r>
        <w:rPr>
          <w:spacing w:val="-11"/>
        </w:rPr>
        <w:t> </w:t>
      </w:r>
      <w:r>
        <w:rPr/>
        <w:t>of</w:t>
      </w:r>
      <w:r>
        <w:rPr>
          <w:spacing w:val="-11"/>
        </w:rPr>
        <w:t> </w:t>
      </w:r>
      <w:r>
        <w:rPr/>
        <w:t>the</w:t>
      </w:r>
      <w:r>
        <w:rPr>
          <w:spacing w:val="-10"/>
        </w:rPr>
        <w:t> </w:t>
      </w:r>
      <w:r>
        <w:rPr/>
        <w:t>contributions</w:t>
      </w:r>
      <w:r>
        <w:rPr>
          <w:spacing w:val="-11"/>
        </w:rPr>
        <w:t> </w:t>
      </w:r>
      <w:r>
        <w:rPr/>
        <w:t>of</w:t>
      </w:r>
      <w:r>
        <w:rPr>
          <w:spacing w:val="-11"/>
        </w:rPr>
        <w:t> </w:t>
      </w:r>
      <w:r>
        <w:rPr/>
        <w:t>the</w:t>
      </w:r>
      <w:r>
        <w:rPr>
          <w:spacing w:val="-10"/>
        </w:rPr>
        <w:t> </w:t>
      </w:r>
      <w:r>
        <w:rPr/>
        <w:t>Juvenile</w:t>
      </w:r>
      <w:r>
        <w:rPr>
          <w:spacing w:val="-10"/>
        </w:rPr>
        <w:t> </w:t>
      </w:r>
      <w:r>
        <w:rPr/>
        <w:t>Justice</w:t>
      </w:r>
      <w:r>
        <w:rPr>
          <w:spacing w:val="-11"/>
        </w:rPr>
        <w:t> </w:t>
      </w:r>
      <w:r>
        <w:rPr/>
        <w:t>Policy</w:t>
      </w:r>
      <w:r>
        <w:rPr>
          <w:spacing w:val="-11"/>
        </w:rPr>
        <w:t> </w:t>
      </w:r>
      <w:r>
        <w:rPr/>
        <w:t>and Data</w:t>
      </w:r>
      <w:r>
        <w:rPr>
          <w:spacing w:val="-10"/>
        </w:rPr>
        <w:t> </w:t>
      </w:r>
      <w:r>
        <w:rPr/>
        <w:t>Board</w:t>
      </w:r>
      <w:r>
        <w:rPr>
          <w:spacing w:val="-10"/>
        </w:rPr>
        <w:t> </w:t>
      </w:r>
      <w:r>
        <w:rPr/>
        <w:t>(JJPAD)</w:t>
      </w:r>
      <w:r>
        <w:rPr>
          <w:spacing w:val="-10"/>
        </w:rPr>
        <w:t> </w:t>
      </w:r>
      <w:r>
        <w:rPr/>
        <w:t>and</w:t>
      </w:r>
      <w:r>
        <w:rPr>
          <w:spacing w:val="-9"/>
        </w:rPr>
        <w:t> </w:t>
      </w:r>
      <w:r>
        <w:rPr/>
        <w:t>the</w:t>
      </w:r>
      <w:r>
        <w:rPr>
          <w:spacing w:val="-10"/>
        </w:rPr>
        <w:t> </w:t>
      </w:r>
      <w:r>
        <w:rPr/>
        <w:t>Childhood</w:t>
      </w:r>
      <w:r>
        <w:rPr>
          <w:spacing w:val="-9"/>
        </w:rPr>
        <w:t> </w:t>
      </w:r>
      <w:r>
        <w:rPr/>
        <w:t>Trauma</w:t>
      </w:r>
      <w:r>
        <w:rPr>
          <w:spacing w:val="-10"/>
        </w:rPr>
        <w:t> </w:t>
      </w:r>
      <w:r>
        <w:rPr/>
        <w:t>Task</w:t>
      </w:r>
      <w:r>
        <w:rPr>
          <w:spacing w:val="-9"/>
        </w:rPr>
        <w:t> </w:t>
      </w:r>
      <w:r>
        <w:rPr/>
        <w:t>Force</w:t>
      </w:r>
      <w:r>
        <w:rPr>
          <w:spacing w:val="-9"/>
        </w:rPr>
        <w:t> </w:t>
      </w:r>
      <w:r>
        <w:rPr/>
        <w:t>to</w:t>
      </w:r>
      <w:r>
        <w:rPr>
          <w:spacing w:val="-10"/>
        </w:rPr>
        <w:t> </w:t>
      </w:r>
      <w:r>
        <w:rPr/>
        <w:t>the</w:t>
      </w:r>
      <w:r>
        <w:rPr>
          <w:spacing w:val="-9"/>
        </w:rPr>
        <w:t> </w:t>
      </w:r>
      <w:r>
        <w:rPr/>
        <w:t>significant</w:t>
      </w:r>
      <w:r>
        <w:rPr>
          <w:spacing w:val="-9"/>
        </w:rPr>
        <w:t> </w:t>
      </w:r>
      <w:r>
        <w:rPr/>
        <w:t>gaps</w:t>
      </w:r>
      <w:r>
        <w:rPr>
          <w:spacing w:val="-10"/>
        </w:rPr>
        <w:t> </w:t>
      </w:r>
      <w:r>
        <w:rPr/>
        <w:t>in</w:t>
      </w:r>
      <w:r>
        <w:rPr>
          <w:spacing w:val="-9"/>
        </w:rPr>
        <w:t> </w:t>
      </w:r>
      <w:r>
        <w:rPr/>
        <w:t>research</w:t>
      </w:r>
      <w:r>
        <w:rPr>
          <w:spacing w:val="-8"/>
        </w:rPr>
        <w:t> </w:t>
      </w:r>
      <w:r>
        <w:rPr/>
        <w:t>on</w:t>
      </w:r>
      <w:r>
        <w:rPr>
          <w:spacing w:val="-10"/>
        </w:rPr>
        <w:t> </w:t>
      </w:r>
      <w:r>
        <w:rPr/>
        <w:t>youth</w:t>
      </w:r>
      <w:r>
        <w:rPr>
          <w:spacing w:val="-9"/>
        </w:rPr>
        <w:t> </w:t>
      </w:r>
      <w:r>
        <w:rPr/>
        <w:t>who are</w:t>
      </w:r>
      <w:r>
        <w:rPr>
          <w:spacing w:val="-13"/>
        </w:rPr>
        <w:t> </w:t>
      </w:r>
      <w:r>
        <w:rPr/>
        <w:t>dually-involved</w:t>
      </w:r>
      <w:r>
        <w:rPr>
          <w:spacing w:val="-12"/>
        </w:rPr>
        <w:t> </w:t>
      </w:r>
      <w:r>
        <w:rPr/>
        <w:t>in</w:t>
      </w:r>
      <w:r>
        <w:rPr>
          <w:spacing w:val="-10"/>
        </w:rPr>
        <w:t> </w:t>
      </w:r>
      <w:r>
        <w:rPr/>
        <w:t>the</w:t>
      </w:r>
      <w:r>
        <w:rPr>
          <w:spacing w:val="-12"/>
        </w:rPr>
        <w:t> </w:t>
      </w:r>
      <w:r>
        <w:rPr/>
        <w:t>child</w:t>
      </w:r>
      <w:r>
        <w:rPr>
          <w:spacing w:val="-12"/>
        </w:rPr>
        <w:t> </w:t>
      </w:r>
      <w:r>
        <w:rPr/>
        <w:t>welfare</w:t>
      </w:r>
      <w:r>
        <w:rPr>
          <w:spacing w:val="-12"/>
        </w:rPr>
        <w:t> </w:t>
      </w:r>
      <w:r>
        <w:rPr/>
        <w:t>and</w:t>
      </w:r>
      <w:r>
        <w:rPr>
          <w:spacing w:val="-13"/>
        </w:rPr>
        <w:t> </w:t>
      </w:r>
      <w:r>
        <w:rPr/>
        <w:t>juvenile</w:t>
      </w:r>
      <w:r>
        <w:rPr>
          <w:spacing w:val="-11"/>
        </w:rPr>
        <w:t> </w:t>
      </w:r>
      <w:r>
        <w:rPr/>
        <w:t>justice</w:t>
      </w:r>
      <w:r>
        <w:rPr>
          <w:spacing w:val="-12"/>
        </w:rPr>
        <w:t> </w:t>
      </w:r>
      <w:r>
        <w:rPr/>
        <w:t>systems.</w:t>
      </w:r>
      <w:r>
        <w:rPr>
          <w:spacing w:val="-12"/>
        </w:rPr>
        <w:t> </w:t>
      </w:r>
      <w:r>
        <w:rPr/>
        <w:t>The</w:t>
      </w:r>
      <w:r>
        <w:rPr>
          <w:spacing w:val="-12"/>
        </w:rPr>
        <w:t> </w:t>
      </w:r>
      <w:r>
        <w:rPr/>
        <w:t>Commission</w:t>
      </w:r>
      <w:r>
        <w:rPr>
          <w:spacing w:val="-13"/>
        </w:rPr>
        <w:t> </w:t>
      </w:r>
      <w:r>
        <w:rPr/>
        <w:t>is</w:t>
      </w:r>
      <w:r>
        <w:rPr>
          <w:spacing w:val="-10"/>
        </w:rPr>
        <w:t> </w:t>
      </w:r>
      <w:r>
        <w:rPr/>
        <w:t>aware</w:t>
      </w:r>
      <w:r>
        <w:rPr>
          <w:spacing w:val="-11"/>
        </w:rPr>
        <w:t> </w:t>
      </w:r>
      <w:r>
        <w:rPr/>
        <w:t>that</w:t>
      </w:r>
      <w:r>
        <w:rPr>
          <w:spacing w:val="-12"/>
        </w:rPr>
        <w:t> </w:t>
      </w:r>
      <w:r>
        <w:rPr/>
        <w:t>neither the OCA nor the JJPAD have the authority to order any state agency to collect data in a particular way, though it does collaborate with relevant agencies and can consistently advise and hold agencies accountable for their data collection practices and failures.</w:t>
      </w:r>
    </w:p>
    <w:p>
      <w:pPr>
        <w:spacing w:after="0" w:line="276" w:lineRule="auto"/>
        <w:jc w:val="both"/>
        <w:sectPr>
          <w:pgSz w:w="12240" w:h="15840"/>
          <w:pgMar w:header="804" w:footer="1281" w:top="1000" w:bottom="1480" w:left="960" w:right="1100"/>
        </w:sectPr>
      </w:pPr>
    </w:p>
    <w:p>
      <w:pPr>
        <w:pStyle w:val="BodyText"/>
        <w:spacing w:before="77"/>
      </w:pPr>
    </w:p>
    <w:p>
      <w:pPr>
        <w:numPr>
          <w:ilvl w:val="0"/>
          <w:numId w:val="50"/>
        </w:numPr>
        <w:tabs>
          <w:tab w:pos="481" w:val="left" w:leader="none"/>
          <w:tab w:pos="483" w:val="left" w:leader="none"/>
        </w:tabs>
        <w:spacing w:line="276" w:lineRule="auto" w:before="1"/>
        <w:ind w:left="483" w:right="346" w:hanging="360"/>
        <w:jc w:val="left"/>
        <w:rPr>
          <w:b/>
          <w:sz w:val="22"/>
        </w:rPr>
      </w:pPr>
      <w:r>
        <w:rPr>
          <w:b/>
          <w:sz w:val="22"/>
        </w:rPr>
        <w:t>Examine</w:t>
      </w:r>
      <w:r>
        <w:rPr>
          <w:b/>
          <w:spacing w:val="-8"/>
          <w:sz w:val="22"/>
        </w:rPr>
        <w:t> </w:t>
      </w:r>
      <w:r>
        <w:rPr>
          <w:b/>
          <w:sz w:val="22"/>
        </w:rPr>
        <w:t>needs</w:t>
      </w:r>
      <w:r>
        <w:rPr>
          <w:b/>
          <w:spacing w:val="-9"/>
          <w:sz w:val="22"/>
        </w:rPr>
        <w:t> </w:t>
      </w:r>
      <w:r>
        <w:rPr>
          <w:b/>
          <w:sz w:val="22"/>
        </w:rPr>
        <w:t>of</w:t>
      </w:r>
      <w:r>
        <w:rPr>
          <w:b/>
          <w:spacing w:val="-8"/>
          <w:sz w:val="22"/>
        </w:rPr>
        <w:t> </w:t>
      </w:r>
      <w:r>
        <w:rPr>
          <w:b/>
          <w:sz w:val="22"/>
        </w:rPr>
        <w:t>LGBTQ</w:t>
      </w:r>
      <w:r>
        <w:rPr>
          <w:b/>
          <w:spacing w:val="-8"/>
          <w:sz w:val="22"/>
        </w:rPr>
        <w:t> </w:t>
      </w:r>
      <w:r>
        <w:rPr>
          <w:b/>
          <w:sz w:val="22"/>
        </w:rPr>
        <w:t>youth</w:t>
      </w:r>
      <w:r>
        <w:rPr>
          <w:b/>
          <w:spacing w:val="-9"/>
          <w:sz w:val="22"/>
        </w:rPr>
        <w:t> </w:t>
      </w:r>
      <w:r>
        <w:rPr>
          <w:b/>
          <w:sz w:val="22"/>
        </w:rPr>
        <w:t>in</w:t>
      </w:r>
      <w:r>
        <w:rPr>
          <w:b/>
          <w:spacing w:val="-8"/>
          <w:sz w:val="22"/>
        </w:rPr>
        <w:t> </w:t>
      </w:r>
      <w:r>
        <w:rPr>
          <w:b/>
          <w:sz w:val="22"/>
        </w:rPr>
        <w:t>residential</w:t>
      </w:r>
      <w:r>
        <w:rPr>
          <w:b/>
          <w:spacing w:val="-9"/>
          <w:sz w:val="22"/>
        </w:rPr>
        <w:t> </w:t>
      </w:r>
      <w:r>
        <w:rPr>
          <w:b/>
          <w:sz w:val="22"/>
        </w:rPr>
        <w:t>schools</w:t>
      </w:r>
      <w:r>
        <w:rPr>
          <w:b/>
          <w:spacing w:val="-9"/>
          <w:sz w:val="22"/>
        </w:rPr>
        <w:t> </w:t>
      </w:r>
      <w:r>
        <w:rPr>
          <w:b/>
          <w:sz w:val="22"/>
        </w:rPr>
        <w:t>and</w:t>
      </w:r>
      <w:r>
        <w:rPr>
          <w:b/>
          <w:spacing w:val="-9"/>
          <w:sz w:val="22"/>
        </w:rPr>
        <w:t> </w:t>
      </w:r>
      <w:r>
        <w:rPr>
          <w:b/>
          <w:sz w:val="22"/>
        </w:rPr>
        <w:t>identify</w:t>
      </w:r>
      <w:r>
        <w:rPr>
          <w:b/>
          <w:spacing w:val="-8"/>
          <w:sz w:val="22"/>
        </w:rPr>
        <w:t> </w:t>
      </w:r>
      <w:r>
        <w:rPr>
          <w:b/>
          <w:sz w:val="22"/>
        </w:rPr>
        <w:t>opportunities</w:t>
      </w:r>
      <w:r>
        <w:rPr>
          <w:b/>
          <w:spacing w:val="-9"/>
          <w:sz w:val="22"/>
        </w:rPr>
        <w:t> </w:t>
      </w:r>
      <w:r>
        <w:rPr>
          <w:b/>
          <w:sz w:val="22"/>
        </w:rPr>
        <w:t>to</w:t>
      </w:r>
      <w:r>
        <w:rPr>
          <w:b/>
          <w:spacing w:val="-9"/>
          <w:sz w:val="22"/>
        </w:rPr>
        <w:t> </w:t>
      </w:r>
      <w:r>
        <w:rPr>
          <w:b/>
          <w:sz w:val="22"/>
        </w:rPr>
        <w:t>collaborate</w:t>
      </w:r>
      <w:r>
        <w:rPr>
          <w:b/>
          <w:spacing w:val="-8"/>
          <w:sz w:val="22"/>
        </w:rPr>
        <w:t> </w:t>
      </w:r>
      <w:r>
        <w:rPr>
          <w:b/>
          <w:sz w:val="22"/>
        </w:rPr>
        <w:t>with</w:t>
      </w:r>
      <w:r>
        <w:rPr>
          <w:b/>
          <w:spacing w:val="-8"/>
          <w:sz w:val="22"/>
        </w:rPr>
        <w:t> </w:t>
      </w:r>
      <w:r>
        <w:rPr>
          <w:b/>
          <w:sz w:val="22"/>
        </w:rPr>
        <w:t>the Commission’s Safe Schools Program.</w:t>
      </w:r>
    </w:p>
    <w:p>
      <w:pPr>
        <w:pStyle w:val="BodyText"/>
        <w:spacing w:line="276" w:lineRule="auto" w:before="240"/>
        <w:ind w:left="483" w:right="342"/>
        <w:jc w:val="both"/>
      </w:pPr>
      <w:r>
        <w:rPr/>
        <w:t>Very little is known about the experiences of LGBTQ youth in residential schools in Massachusetts. The Commission</w:t>
      </w:r>
      <w:r>
        <w:rPr>
          <w:spacing w:val="-13"/>
        </w:rPr>
        <w:t> </w:t>
      </w:r>
      <w:r>
        <w:rPr/>
        <w:t>appreciates</w:t>
      </w:r>
      <w:r>
        <w:rPr>
          <w:spacing w:val="-12"/>
        </w:rPr>
        <w:t> </w:t>
      </w:r>
      <w:r>
        <w:rPr/>
        <w:t>OCA’s</w:t>
      </w:r>
      <w:r>
        <w:rPr>
          <w:spacing w:val="-12"/>
        </w:rPr>
        <w:t> </w:t>
      </w:r>
      <w:r>
        <w:rPr/>
        <w:t>2017</w:t>
      </w:r>
      <w:r>
        <w:rPr>
          <w:spacing w:val="-13"/>
        </w:rPr>
        <w:t> </w:t>
      </w:r>
      <w:r>
        <w:rPr/>
        <w:t>report</w:t>
      </w:r>
      <w:r>
        <w:rPr>
          <w:spacing w:val="-12"/>
        </w:rPr>
        <w:t> </w:t>
      </w:r>
      <w:r>
        <w:rPr/>
        <w:t>of</w:t>
      </w:r>
      <w:r>
        <w:rPr>
          <w:spacing w:val="-12"/>
        </w:rPr>
        <w:t> </w:t>
      </w:r>
      <w:r>
        <w:rPr/>
        <w:t>the</w:t>
      </w:r>
      <w:r>
        <w:rPr>
          <w:spacing w:val="-13"/>
        </w:rPr>
        <w:t> </w:t>
      </w:r>
      <w:r>
        <w:rPr/>
        <w:t>Interagency</w:t>
      </w:r>
      <w:r>
        <w:rPr>
          <w:spacing w:val="-11"/>
        </w:rPr>
        <w:t> </w:t>
      </w:r>
      <w:r>
        <w:rPr/>
        <w:t>Working</w:t>
      </w:r>
      <w:r>
        <w:rPr>
          <w:spacing w:val="-11"/>
        </w:rPr>
        <w:t> </w:t>
      </w:r>
      <w:r>
        <w:rPr/>
        <w:t>Group</w:t>
      </w:r>
      <w:r>
        <w:rPr>
          <w:spacing w:val="-13"/>
        </w:rPr>
        <w:t> </w:t>
      </w:r>
      <w:r>
        <w:rPr/>
        <w:t>on</w:t>
      </w:r>
      <w:r>
        <w:rPr>
          <w:spacing w:val="-12"/>
        </w:rPr>
        <w:t> </w:t>
      </w:r>
      <w:r>
        <w:rPr/>
        <w:t>Residential</w:t>
      </w:r>
      <w:r>
        <w:rPr>
          <w:spacing w:val="-11"/>
        </w:rPr>
        <w:t> </w:t>
      </w:r>
      <w:r>
        <w:rPr/>
        <w:t>Schools,</w:t>
      </w:r>
      <w:r>
        <w:rPr>
          <w:spacing w:val="-13"/>
        </w:rPr>
        <w:t> </w:t>
      </w:r>
      <w:r>
        <w:rPr/>
        <w:t>and its interest in addressing this area more concretely. Residential schools are licensed by both DESE and EEC, and, as noted by </w:t>
      </w:r>
      <w:hyperlink r:id="rId783">
        <w:r>
          <w:rPr>
            <w:u w:val="single"/>
          </w:rPr>
          <w:t>the Boston Globe</w:t>
        </w:r>
      </w:hyperlink>
      <w:r>
        <w:rPr>
          <w:u w:val="none"/>
        </w:rPr>
        <w:t> in September 2023, there remain complicated issues to address due to systemic gaps and policy failures. In FY 2024, the OCA shared that its interagency meetings with DMH, EOE, EEC, DESE, and DCF typically act as an information sharing session to identify any concerns with specific residential schools or system-wide trends; ensures that agencies understand any concerns; and assists in coordinating responses as necessary.</w:t>
      </w:r>
    </w:p>
    <w:p>
      <w:pPr>
        <w:pStyle w:val="BodyText"/>
        <w:spacing w:line="276" w:lineRule="auto" w:before="240"/>
        <w:ind w:left="483" w:right="344"/>
        <w:jc w:val="both"/>
      </w:pPr>
      <w:r>
        <w:rPr/>
        <w:t>The Commission recommends that as the OCA continues to work to address systemic gaps in service provision for residential schools that it investigates into the specific experiences of LGBTQ youth in the schools. The Commission further recommends that the OCA publicly reports out on the workings of the interagency group</w:t>
      </w:r>
      <w:r>
        <w:rPr>
          <w:spacing w:val="-2"/>
        </w:rPr>
        <w:t> </w:t>
      </w:r>
      <w:r>
        <w:rPr/>
        <w:t>or</w:t>
      </w:r>
      <w:r>
        <w:rPr>
          <w:spacing w:val="-1"/>
        </w:rPr>
        <w:t> </w:t>
      </w:r>
      <w:r>
        <w:rPr/>
        <w:t>works</w:t>
      </w:r>
      <w:r>
        <w:rPr>
          <w:spacing w:val="-1"/>
        </w:rPr>
        <w:t> </w:t>
      </w:r>
      <w:r>
        <w:rPr/>
        <w:t>with</w:t>
      </w:r>
      <w:r>
        <w:rPr>
          <w:spacing w:val="-1"/>
        </w:rPr>
        <w:t> </w:t>
      </w:r>
      <w:r>
        <w:rPr/>
        <w:t>each</w:t>
      </w:r>
      <w:r>
        <w:rPr>
          <w:spacing w:val="-1"/>
        </w:rPr>
        <w:t> </w:t>
      </w:r>
      <w:r>
        <w:rPr/>
        <w:t>agency to ensure</w:t>
      </w:r>
      <w:r>
        <w:rPr>
          <w:spacing w:val="-1"/>
        </w:rPr>
        <w:t> </w:t>
      </w:r>
      <w:r>
        <w:rPr/>
        <w:t>that</w:t>
      </w:r>
      <w:r>
        <w:rPr>
          <w:spacing w:val="-1"/>
        </w:rPr>
        <w:t> </w:t>
      </w:r>
      <w:r>
        <w:rPr/>
        <w:t>the public</w:t>
      </w:r>
      <w:r>
        <w:rPr>
          <w:spacing w:val="-2"/>
        </w:rPr>
        <w:t> </w:t>
      </w:r>
      <w:r>
        <w:rPr/>
        <w:t>receives</w:t>
      </w:r>
      <w:r>
        <w:rPr>
          <w:spacing w:val="-1"/>
        </w:rPr>
        <w:t> </w:t>
      </w:r>
      <w:r>
        <w:rPr/>
        <w:t>transparent</w:t>
      </w:r>
      <w:r>
        <w:rPr>
          <w:spacing w:val="-2"/>
        </w:rPr>
        <w:t> </w:t>
      </w:r>
      <w:r>
        <w:rPr/>
        <w:t>information about the state’s progress to address issues with residential programs.</w:t>
      </w:r>
    </w:p>
    <w:p>
      <w:pPr>
        <w:numPr>
          <w:ilvl w:val="0"/>
          <w:numId w:val="50"/>
        </w:numPr>
        <w:tabs>
          <w:tab w:pos="481" w:val="left" w:leader="none"/>
          <w:tab w:pos="483" w:val="left" w:leader="none"/>
        </w:tabs>
        <w:spacing w:line="276" w:lineRule="auto" w:before="240"/>
        <w:ind w:left="483" w:right="345" w:hanging="360"/>
        <w:jc w:val="left"/>
        <w:rPr>
          <w:b/>
          <w:sz w:val="22"/>
        </w:rPr>
      </w:pPr>
      <w:r>
        <w:rPr>
          <w:b/>
          <w:sz w:val="22"/>
        </w:rPr>
        <w:t>Continue</w:t>
      </w:r>
      <w:r>
        <w:rPr>
          <w:b/>
          <w:spacing w:val="40"/>
          <w:sz w:val="22"/>
        </w:rPr>
        <w:t> </w:t>
      </w:r>
      <w:r>
        <w:rPr>
          <w:b/>
          <w:sz w:val="22"/>
        </w:rPr>
        <w:t>to</w:t>
      </w:r>
      <w:r>
        <w:rPr>
          <w:b/>
          <w:spacing w:val="40"/>
          <w:sz w:val="22"/>
        </w:rPr>
        <w:t> </w:t>
      </w:r>
      <w:r>
        <w:rPr>
          <w:b/>
          <w:sz w:val="22"/>
        </w:rPr>
        <w:t>identify</w:t>
      </w:r>
      <w:r>
        <w:rPr>
          <w:b/>
          <w:spacing w:val="40"/>
          <w:sz w:val="22"/>
        </w:rPr>
        <w:t> </w:t>
      </w:r>
      <w:r>
        <w:rPr>
          <w:b/>
          <w:sz w:val="22"/>
        </w:rPr>
        <w:t>opportunities</w:t>
      </w:r>
      <w:r>
        <w:rPr>
          <w:b/>
          <w:spacing w:val="40"/>
          <w:sz w:val="22"/>
        </w:rPr>
        <w:t> </w:t>
      </w:r>
      <w:r>
        <w:rPr>
          <w:b/>
          <w:sz w:val="22"/>
        </w:rPr>
        <w:t>to</w:t>
      </w:r>
      <w:r>
        <w:rPr>
          <w:b/>
          <w:spacing w:val="40"/>
          <w:sz w:val="22"/>
        </w:rPr>
        <w:t> </w:t>
      </w:r>
      <w:r>
        <w:rPr>
          <w:b/>
          <w:sz w:val="22"/>
        </w:rPr>
        <w:t>address</w:t>
      </w:r>
      <w:r>
        <w:rPr>
          <w:b/>
          <w:spacing w:val="40"/>
          <w:sz w:val="22"/>
        </w:rPr>
        <w:t> </w:t>
      </w:r>
      <w:r>
        <w:rPr>
          <w:b/>
          <w:sz w:val="22"/>
        </w:rPr>
        <w:t>suicidality</w:t>
      </w:r>
      <w:r>
        <w:rPr>
          <w:b/>
          <w:spacing w:val="40"/>
          <w:sz w:val="22"/>
        </w:rPr>
        <w:t> </w:t>
      </w:r>
      <w:r>
        <w:rPr>
          <w:b/>
          <w:sz w:val="22"/>
        </w:rPr>
        <w:t>among</w:t>
      </w:r>
      <w:r>
        <w:rPr>
          <w:b/>
          <w:spacing w:val="40"/>
          <w:sz w:val="22"/>
        </w:rPr>
        <w:t> </w:t>
      </w:r>
      <w:r>
        <w:rPr>
          <w:b/>
          <w:sz w:val="22"/>
        </w:rPr>
        <w:t>LGBTQ</w:t>
      </w:r>
      <w:r>
        <w:rPr>
          <w:b/>
          <w:spacing w:val="40"/>
          <w:sz w:val="22"/>
        </w:rPr>
        <w:t> </w:t>
      </w:r>
      <w:r>
        <w:rPr>
          <w:b/>
          <w:sz w:val="22"/>
        </w:rPr>
        <w:t>youth,</w:t>
      </w:r>
      <w:r>
        <w:rPr>
          <w:b/>
          <w:spacing w:val="40"/>
          <w:sz w:val="22"/>
        </w:rPr>
        <w:t> </w:t>
      </w:r>
      <w:r>
        <w:rPr>
          <w:b/>
          <w:sz w:val="22"/>
        </w:rPr>
        <w:t>including</w:t>
      </w:r>
      <w:r>
        <w:rPr>
          <w:b/>
          <w:spacing w:val="40"/>
          <w:sz w:val="22"/>
        </w:rPr>
        <w:t> </w:t>
      </w:r>
      <w:r>
        <w:rPr>
          <w:b/>
          <w:sz w:val="22"/>
        </w:rPr>
        <w:t>through collaboration with the Commission.</w:t>
      </w:r>
    </w:p>
    <w:p>
      <w:pPr>
        <w:pStyle w:val="BodyText"/>
        <w:spacing w:line="276" w:lineRule="auto" w:before="240"/>
        <w:ind w:left="483" w:right="342"/>
        <w:jc w:val="both"/>
      </w:pPr>
      <w:r>
        <w:rPr/>
        <w:t>As</w:t>
      </w:r>
      <w:r>
        <w:rPr>
          <w:spacing w:val="-10"/>
        </w:rPr>
        <w:t> </w:t>
      </w:r>
      <w:r>
        <w:rPr/>
        <w:t>the</w:t>
      </w:r>
      <w:r>
        <w:rPr>
          <w:spacing w:val="-10"/>
        </w:rPr>
        <w:t> </w:t>
      </w:r>
      <w:r>
        <w:rPr/>
        <w:t>Commission</w:t>
      </w:r>
      <w:r>
        <w:rPr>
          <w:spacing w:val="-11"/>
        </w:rPr>
        <w:t> </w:t>
      </w:r>
      <w:r>
        <w:rPr/>
        <w:t>has</w:t>
      </w:r>
      <w:r>
        <w:rPr>
          <w:spacing w:val="-10"/>
        </w:rPr>
        <w:t> </w:t>
      </w:r>
      <w:r>
        <w:rPr/>
        <w:t>noted</w:t>
      </w:r>
      <w:r>
        <w:rPr>
          <w:spacing w:val="-10"/>
        </w:rPr>
        <w:t> </w:t>
      </w:r>
      <w:r>
        <w:rPr/>
        <w:t>for</w:t>
      </w:r>
      <w:r>
        <w:rPr>
          <w:spacing w:val="-9"/>
        </w:rPr>
        <w:t> </w:t>
      </w:r>
      <w:r>
        <w:rPr/>
        <w:t>many</w:t>
      </w:r>
      <w:r>
        <w:rPr>
          <w:spacing w:val="-9"/>
        </w:rPr>
        <w:t> </w:t>
      </w:r>
      <w:r>
        <w:rPr/>
        <w:t>years</w:t>
      </w:r>
      <w:r>
        <w:rPr>
          <w:spacing w:val="-10"/>
        </w:rPr>
        <w:t> </w:t>
      </w:r>
      <w:r>
        <w:rPr/>
        <w:t>in</w:t>
      </w:r>
      <w:r>
        <w:rPr>
          <w:spacing w:val="-9"/>
        </w:rPr>
        <w:t> </w:t>
      </w:r>
      <w:r>
        <w:rPr/>
        <w:t>its</w:t>
      </w:r>
      <w:r>
        <w:rPr>
          <w:spacing w:val="-9"/>
        </w:rPr>
        <w:t> </w:t>
      </w:r>
      <w:r>
        <w:rPr/>
        <w:t>annual</w:t>
      </w:r>
      <w:r>
        <w:rPr>
          <w:spacing w:val="-10"/>
        </w:rPr>
        <w:t> </w:t>
      </w:r>
      <w:r>
        <w:rPr/>
        <w:t>recommendations,</w:t>
      </w:r>
      <w:r>
        <w:rPr>
          <w:spacing w:val="-10"/>
        </w:rPr>
        <w:t> </w:t>
      </w:r>
      <w:r>
        <w:rPr/>
        <w:t>LGBTQ</w:t>
      </w:r>
      <w:r>
        <w:rPr>
          <w:spacing w:val="-10"/>
        </w:rPr>
        <w:t> </w:t>
      </w:r>
      <w:r>
        <w:rPr/>
        <w:t>youth</w:t>
      </w:r>
      <w:r>
        <w:rPr>
          <w:spacing w:val="-9"/>
        </w:rPr>
        <w:t> </w:t>
      </w:r>
      <w:r>
        <w:rPr/>
        <w:t>report</w:t>
      </w:r>
      <w:r>
        <w:rPr>
          <w:spacing w:val="-11"/>
        </w:rPr>
        <w:t> </w:t>
      </w:r>
      <w:r>
        <w:rPr/>
        <w:t>suicidal ideation at alarming rates.</w:t>
      </w:r>
      <w:hyperlink w:history="true" w:anchor="_bookmark662">
        <w:r>
          <w:rPr>
            <w:vertAlign w:val="superscript"/>
          </w:rPr>
          <w:t>xix</w:t>
        </w:r>
      </w:hyperlink>
      <w:r>
        <w:rPr>
          <w:vertAlign w:val="baseline"/>
        </w:rPr>
        <w:t> The Commission has partnered with the Department of Public Health for many years on suicide prevention efforts specific to and inclusive of LGBTQ young people. In its 2020 report on youth suicides in Massachusetts, the agency noted that there is little data available capturing suicidality rates among youth involved in Massachusetts state systems, though national data indicates that youth in state systems are more than three times as likely to commit suicide. With the OCA’s work with JJPAD and the Youth Suicide Prevention Task Force through DPH, the Commission looks forward to continuing the conversation about what initiatives are occurring to help address this significant gap in </w:t>
      </w:r>
      <w:r>
        <w:rPr>
          <w:spacing w:val="-2"/>
          <w:vertAlign w:val="baseline"/>
        </w:rPr>
        <w:t>research.</w:t>
      </w:r>
    </w:p>
    <w:p>
      <w:pPr>
        <w:pStyle w:val="BodyText"/>
      </w:pPr>
    </w:p>
    <w:p>
      <w:pPr>
        <w:pStyle w:val="BodyText"/>
        <w:spacing w:before="237"/>
      </w:pPr>
    </w:p>
    <w:p>
      <w:pPr>
        <w:spacing w:before="0"/>
        <w:ind w:left="483" w:right="0" w:firstLine="0"/>
        <w:jc w:val="left"/>
        <w:rPr>
          <w:i/>
          <w:sz w:val="21"/>
        </w:rPr>
      </w:pPr>
      <w:r>
        <w:rPr>
          <w:i/>
          <w:sz w:val="21"/>
        </w:rPr>
        <w:t>Acknowledgments:</w:t>
      </w:r>
      <w:r>
        <w:rPr>
          <w:i/>
          <w:spacing w:val="-5"/>
          <w:sz w:val="21"/>
        </w:rPr>
        <w:t> </w:t>
      </w:r>
      <w:r>
        <w:rPr>
          <w:i/>
          <w:sz w:val="21"/>
        </w:rPr>
        <w:t>The</w:t>
      </w:r>
      <w:r>
        <w:rPr>
          <w:i/>
          <w:spacing w:val="-2"/>
          <w:sz w:val="21"/>
        </w:rPr>
        <w:t> </w:t>
      </w:r>
      <w:r>
        <w:rPr>
          <w:i/>
          <w:sz w:val="21"/>
        </w:rPr>
        <w:t>Commission</w:t>
      </w:r>
      <w:r>
        <w:rPr>
          <w:i/>
          <w:spacing w:val="-2"/>
          <w:sz w:val="21"/>
        </w:rPr>
        <w:t> </w:t>
      </w:r>
      <w:r>
        <w:rPr>
          <w:i/>
          <w:sz w:val="21"/>
        </w:rPr>
        <w:t>sincerely</w:t>
      </w:r>
      <w:r>
        <w:rPr>
          <w:i/>
          <w:spacing w:val="-3"/>
          <w:sz w:val="21"/>
        </w:rPr>
        <w:t> </w:t>
      </w:r>
      <w:r>
        <w:rPr>
          <w:i/>
          <w:sz w:val="21"/>
        </w:rPr>
        <w:t>thanks</w:t>
      </w:r>
      <w:r>
        <w:rPr>
          <w:i/>
          <w:spacing w:val="-4"/>
          <w:sz w:val="21"/>
        </w:rPr>
        <w:t> </w:t>
      </w:r>
      <w:r>
        <w:rPr>
          <w:i/>
          <w:sz w:val="21"/>
        </w:rPr>
        <w:t>the</w:t>
      </w:r>
      <w:r>
        <w:rPr>
          <w:i/>
          <w:spacing w:val="-3"/>
          <w:sz w:val="21"/>
        </w:rPr>
        <w:t> </w:t>
      </w:r>
      <w:r>
        <w:rPr>
          <w:i/>
          <w:sz w:val="21"/>
        </w:rPr>
        <w:t>contributions</w:t>
      </w:r>
      <w:r>
        <w:rPr>
          <w:i/>
          <w:spacing w:val="-4"/>
          <w:sz w:val="21"/>
        </w:rPr>
        <w:t> </w:t>
      </w:r>
      <w:r>
        <w:rPr>
          <w:i/>
          <w:sz w:val="21"/>
        </w:rPr>
        <w:t>of</w:t>
      </w:r>
      <w:r>
        <w:rPr>
          <w:i/>
          <w:spacing w:val="-2"/>
          <w:sz w:val="21"/>
        </w:rPr>
        <w:t> </w:t>
      </w:r>
      <w:r>
        <w:rPr>
          <w:i/>
          <w:sz w:val="21"/>
        </w:rPr>
        <w:t>its</w:t>
      </w:r>
      <w:r>
        <w:rPr>
          <w:i/>
          <w:spacing w:val="-3"/>
          <w:sz w:val="21"/>
        </w:rPr>
        <w:t> </w:t>
      </w:r>
      <w:r>
        <w:rPr>
          <w:i/>
          <w:sz w:val="21"/>
        </w:rPr>
        <w:t>OCA</w:t>
      </w:r>
      <w:r>
        <w:rPr>
          <w:i/>
          <w:spacing w:val="-2"/>
          <w:sz w:val="21"/>
        </w:rPr>
        <w:t> liaisons.</w:t>
      </w:r>
    </w:p>
    <w:p>
      <w:pPr>
        <w:pStyle w:val="BodyText"/>
        <w:rPr>
          <w:i/>
          <w:sz w:val="21"/>
        </w:rPr>
      </w:pPr>
    </w:p>
    <w:p>
      <w:pPr>
        <w:pStyle w:val="BodyText"/>
        <w:rPr>
          <w:i/>
          <w:sz w:val="21"/>
        </w:rPr>
      </w:pPr>
    </w:p>
    <w:p>
      <w:pPr>
        <w:pStyle w:val="BodyText"/>
        <w:spacing w:before="44"/>
        <w:rPr>
          <w:i/>
          <w:sz w:val="21"/>
        </w:rPr>
      </w:pPr>
    </w:p>
    <w:p>
      <w:pPr>
        <w:spacing w:before="0"/>
        <w:ind w:left="483" w:right="0" w:firstLine="0"/>
        <w:jc w:val="left"/>
        <w:rPr>
          <w:b/>
          <w:sz w:val="21"/>
        </w:rPr>
      </w:pPr>
      <w:r>
        <w:rPr>
          <w:b/>
          <w:spacing w:val="-2"/>
          <w:sz w:val="21"/>
        </w:rPr>
        <w:t>Citations</w:t>
      </w:r>
    </w:p>
    <w:p>
      <w:pPr>
        <w:spacing w:before="0"/>
        <w:ind w:left="483" w:right="0" w:firstLine="0"/>
        <w:jc w:val="left"/>
        <w:rPr>
          <w:sz w:val="18"/>
        </w:rPr>
      </w:pPr>
      <w:r>
        <w:rPr>
          <w:sz w:val="18"/>
          <w:vertAlign w:val="superscript"/>
        </w:rPr>
        <w:t>i</w:t>
      </w:r>
      <w:r>
        <w:rPr>
          <w:spacing w:val="-10"/>
          <w:sz w:val="18"/>
          <w:vertAlign w:val="baseline"/>
        </w:rPr>
        <w:t> </w:t>
      </w:r>
      <w:r>
        <w:rPr>
          <w:sz w:val="18"/>
          <w:vertAlign w:val="baseline"/>
        </w:rPr>
        <w:t>Hannah Hussey. (2021). </w:t>
      </w:r>
      <w:r>
        <w:rPr>
          <w:i/>
          <w:sz w:val="18"/>
          <w:vertAlign w:val="baseline"/>
        </w:rPr>
        <w:t>LGBTQ Youth in the Massachusetts Child Welfare System: A Report on Pervasive Threats to Safety,</w:t>
      </w:r>
      <w:r>
        <w:rPr>
          <w:i/>
          <w:sz w:val="18"/>
          <w:vertAlign w:val="baseline"/>
        </w:rPr>
        <w:t> Wellbeing,</w:t>
      </w:r>
      <w:r>
        <w:rPr>
          <w:i/>
          <w:spacing w:val="-6"/>
          <w:sz w:val="18"/>
          <w:vertAlign w:val="baseline"/>
        </w:rPr>
        <w:t> </w:t>
      </w:r>
      <w:r>
        <w:rPr>
          <w:i/>
          <w:sz w:val="18"/>
          <w:vertAlign w:val="baseline"/>
        </w:rPr>
        <w:t>and</w:t>
      </w:r>
      <w:r>
        <w:rPr>
          <w:i/>
          <w:spacing w:val="-4"/>
          <w:sz w:val="18"/>
          <w:vertAlign w:val="baseline"/>
        </w:rPr>
        <w:t> </w:t>
      </w:r>
      <w:r>
        <w:rPr>
          <w:i/>
          <w:sz w:val="18"/>
          <w:vertAlign w:val="baseline"/>
        </w:rPr>
        <w:t>Permanency.</w:t>
      </w:r>
      <w:r>
        <w:rPr>
          <w:i/>
          <w:spacing w:val="-5"/>
          <w:sz w:val="18"/>
          <w:vertAlign w:val="baseline"/>
        </w:rPr>
        <w:t> </w:t>
      </w:r>
      <w:r>
        <w:rPr>
          <w:sz w:val="18"/>
          <w:vertAlign w:val="baseline"/>
        </w:rPr>
        <w:t>Massachusetts</w:t>
      </w:r>
      <w:r>
        <w:rPr>
          <w:spacing w:val="-5"/>
          <w:sz w:val="18"/>
          <w:vertAlign w:val="baseline"/>
        </w:rPr>
        <w:t> </w:t>
      </w:r>
      <w:r>
        <w:rPr>
          <w:sz w:val="18"/>
          <w:vertAlign w:val="baseline"/>
        </w:rPr>
        <w:t>Commission</w:t>
      </w:r>
      <w:r>
        <w:rPr>
          <w:spacing w:val="-5"/>
          <w:sz w:val="18"/>
          <w:vertAlign w:val="baseline"/>
        </w:rPr>
        <w:t> </w:t>
      </w:r>
      <w:r>
        <w:rPr>
          <w:sz w:val="18"/>
          <w:vertAlign w:val="baseline"/>
        </w:rPr>
        <w:t>on</w:t>
      </w:r>
      <w:r>
        <w:rPr>
          <w:spacing w:val="-5"/>
          <w:sz w:val="18"/>
          <w:vertAlign w:val="baseline"/>
        </w:rPr>
        <w:t> </w:t>
      </w:r>
      <w:r>
        <w:rPr>
          <w:sz w:val="18"/>
          <w:vertAlign w:val="baseline"/>
        </w:rPr>
        <w:t>LGBTQ</w:t>
      </w:r>
      <w:r>
        <w:rPr>
          <w:spacing w:val="-5"/>
          <w:sz w:val="18"/>
          <w:vertAlign w:val="baseline"/>
        </w:rPr>
        <w:t> </w:t>
      </w:r>
      <w:r>
        <w:rPr>
          <w:sz w:val="18"/>
          <w:vertAlign w:val="baseline"/>
        </w:rPr>
        <w:t>Youth.</w:t>
      </w:r>
      <w:r>
        <w:rPr>
          <w:spacing w:val="-5"/>
          <w:sz w:val="18"/>
          <w:vertAlign w:val="baseline"/>
        </w:rPr>
        <w:t> </w:t>
      </w:r>
      <w:r>
        <w:rPr>
          <w:sz w:val="18"/>
          <w:vertAlign w:val="baseline"/>
        </w:rPr>
        <w:t>https://</w:t>
      </w:r>
      <w:hyperlink r:id="rId775">
        <w:r>
          <w:rPr>
            <w:sz w:val="18"/>
            <w:vertAlign w:val="baseline"/>
          </w:rPr>
          <w:t>www.mass.gov/doc/commission-report-on-</w:t>
        </w:r>
      </w:hyperlink>
      <w:r>
        <w:rPr>
          <w:sz w:val="18"/>
          <w:vertAlign w:val="baseline"/>
        </w:rPr>
        <w:t> </w:t>
      </w:r>
      <w:r>
        <w:rPr>
          <w:spacing w:val="-2"/>
          <w:sz w:val="18"/>
          <w:vertAlign w:val="baseline"/>
        </w:rPr>
        <w:t>dcf/download.</w:t>
      </w:r>
    </w:p>
    <w:p>
      <w:pPr>
        <w:spacing w:before="1"/>
        <w:ind w:left="483" w:right="314" w:firstLine="0"/>
        <w:jc w:val="left"/>
        <w:rPr>
          <w:sz w:val="18"/>
        </w:rPr>
      </w:pPr>
      <w:r>
        <w:rPr>
          <w:sz w:val="18"/>
          <w:vertAlign w:val="superscript"/>
        </w:rPr>
        <w:t>ii</w:t>
      </w:r>
      <w:r>
        <w:rPr>
          <w:spacing w:val="-14"/>
          <w:sz w:val="18"/>
          <w:vertAlign w:val="baseline"/>
        </w:rPr>
        <w:t> </w:t>
      </w:r>
      <w:r>
        <w:rPr>
          <w:i/>
          <w:sz w:val="18"/>
          <w:vertAlign w:val="baseline"/>
        </w:rPr>
        <w:t>See,</w:t>
      </w:r>
      <w:r>
        <w:rPr>
          <w:i/>
          <w:spacing w:val="-5"/>
          <w:sz w:val="18"/>
          <w:vertAlign w:val="baseline"/>
        </w:rPr>
        <w:t> </w:t>
      </w:r>
      <w:r>
        <w:rPr>
          <w:i/>
          <w:sz w:val="18"/>
          <w:vertAlign w:val="baseline"/>
        </w:rPr>
        <w:t>e.g.</w:t>
      </w:r>
      <w:r>
        <w:rPr>
          <w:sz w:val="18"/>
          <w:vertAlign w:val="baseline"/>
        </w:rPr>
        <w:t>,</w:t>
      </w:r>
      <w:r>
        <w:rPr>
          <w:spacing w:val="-4"/>
          <w:sz w:val="18"/>
          <w:vertAlign w:val="baseline"/>
        </w:rPr>
        <w:t> </w:t>
      </w:r>
      <w:r>
        <w:rPr>
          <w:sz w:val="18"/>
          <w:vertAlign w:val="baseline"/>
        </w:rPr>
        <w:t>Movement</w:t>
      </w:r>
      <w:r>
        <w:rPr>
          <w:spacing w:val="-4"/>
          <w:sz w:val="18"/>
          <w:vertAlign w:val="baseline"/>
        </w:rPr>
        <w:t> </w:t>
      </w:r>
      <w:r>
        <w:rPr>
          <w:sz w:val="18"/>
          <w:vertAlign w:val="baseline"/>
        </w:rPr>
        <w:t>Advancement</w:t>
      </w:r>
      <w:r>
        <w:rPr>
          <w:spacing w:val="-4"/>
          <w:sz w:val="18"/>
          <w:vertAlign w:val="baseline"/>
        </w:rPr>
        <w:t> </w:t>
      </w:r>
      <w:r>
        <w:rPr>
          <w:sz w:val="18"/>
          <w:vertAlign w:val="baseline"/>
        </w:rPr>
        <w:t>Project.</w:t>
      </w:r>
      <w:r>
        <w:rPr>
          <w:spacing w:val="-3"/>
          <w:sz w:val="18"/>
          <w:vertAlign w:val="baseline"/>
        </w:rPr>
        <w:t> </w:t>
      </w:r>
      <w:r>
        <w:rPr>
          <w:sz w:val="18"/>
          <w:vertAlign w:val="baseline"/>
        </w:rPr>
        <w:t>(2023).</w:t>
      </w:r>
      <w:r>
        <w:rPr>
          <w:spacing w:val="-3"/>
          <w:sz w:val="18"/>
          <w:vertAlign w:val="baseline"/>
        </w:rPr>
        <w:t> </w:t>
      </w:r>
      <w:r>
        <w:rPr>
          <w:i/>
          <w:sz w:val="18"/>
          <w:vertAlign w:val="baseline"/>
        </w:rPr>
        <w:t>Under</w:t>
      </w:r>
      <w:r>
        <w:rPr>
          <w:i/>
          <w:spacing w:val="-4"/>
          <w:sz w:val="18"/>
          <w:vertAlign w:val="baseline"/>
        </w:rPr>
        <w:t> </w:t>
      </w:r>
      <w:r>
        <w:rPr>
          <w:i/>
          <w:sz w:val="18"/>
          <w:vertAlign w:val="baseline"/>
        </w:rPr>
        <w:t>Fire:</w:t>
      </w:r>
      <w:r>
        <w:rPr>
          <w:i/>
          <w:spacing w:val="-3"/>
          <w:sz w:val="18"/>
          <w:vertAlign w:val="baseline"/>
        </w:rPr>
        <w:t> </w:t>
      </w:r>
      <w:r>
        <w:rPr>
          <w:i/>
          <w:sz w:val="18"/>
          <w:vertAlign w:val="baseline"/>
        </w:rPr>
        <w:t>The</w:t>
      </w:r>
      <w:r>
        <w:rPr>
          <w:i/>
          <w:spacing w:val="-3"/>
          <w:sz w:val="18"/>
          <w:vertAlign w:val="baseline"/>
        </w:rPr>
        <w:t> </w:t>
      </w:r>
      <w:r>
        <w:rPr>
          <w:i/>
          <w:sz w:val="18"/>
          <w:vertAlign w:val="baseline"/>
        </w:rPr>
        <w:t>War</w:t>
      </w:r>
      <w:r>
        <w:rPr>
          <w:i/>
          <w:spacing w:val="-4"/>
          <w:sz w:val="18"/>
          <w:vertAlign w:val="baseline"/>
        </w:rPr>
        <w:t> </w:t>
      </w:r>
      <w:r>
        <w:rPr>
          <w:i/>
          <w:sz w:val="18"/>
          <w:vertAlign w:val="baseline"/>
        </w:rPr>
        <w:t>on</w:t>
      </w:r>
      <w:r>
        <w:rPr>
          <w:i/>
          <w:spacing w:val="-3"/>
          <w:sz w:val="18"/>
          <w:vertAlign w:val="baseline"/>
        </w:rPr>
        <w:t> </w:t>
      </w:r>
      <w:r>
        <w:rPr>
          <w:i/>
          <w:sz w:val="18"/>
          <w:vertAlign w:val="baseline"/>
        </w:rPr>
        <w:t>LGBTQ</w:t>
      </w:r>
      <w:r>
        <w:rPr>
          <w:i/>
          <w:spacing w:val="-3"/>
          <w:sz w:val="18"/>
          <w:vertAlign w:val="baseline"/>
        </w:rPr>
        <w:t> </w:t>
      </w:r>
      <w:r>
        <w:rPr>
          <w:i/>
          <w:sz w:val="18"/>
          <w:vertAlign w:val="baseline"/>
        </w:rPr>
        <w:t>People</w:t>
      </w:r>
      <w:r>
        <w:rPr>
          <w:i/>
          <w:spacing w:val="-3"/>
          <w:sz w:val="18"/>
          <w:vertAlign w:val="baseline"/>
        </w:rPr>
        <w:t> </w:t>
      </w:r>
      <w:r>
        <w:rPr>
          <w:i/>
          <w:sz w:val="18"/>
          <w:vertAlign w:val="baseline"/>
        </w:rPr>
        <w:t>in</w:t>
      </w:r>
      <w:r>
        <w:rPr>
          <w:i/>
          <w:spacing w:val="-3"/>
          <w:sz w:val="18"/>
          <w:vertAlign w:val="baseline"/>
        </w:rPr>
        <w:t> </w:t>
      </w:r>
      <w:r>
        <w:rPr>
          <w:i/>
          <w:sz w:val="18"/>
          <w:vertAlign w:val="baseline"/>
        </w:rPr>
        <w:t>America</w:t>
      </w:r>
      <w:r>
        <w:rPr>
          <w:sz w:val="18"/>
          <w:vertAlign w:val="baseline"/>
        </w:rPr>
        <w:t>. </w:t>
      </w:r>
      <w:r>
        <w:rPr>
          <w:spacing w:val="-2"/>
          <w:sz w:val="18"/>
          <w:vertAlign w:val="baseline"/>
        </w:rPr>
        <w:t>https://</w:t>
      </w:r>
      <w:hyperlink r:id="rId784">
        <w:r>
          <w:rPr>
            <w:spacing w:val="-2"/>
            <w:sz w:val="18"/>
            <w:vertAlign w:val="baseline"/>
          </w:rPr>
          <w:t>www.mapresearch.org/file/Under%20Fire%20report_MAP%202023.pdf.</w:t>
        </w:r>
      </w:hyperlink>
    </w:p>
    <w:p>
      <w:pPr>
        <w:spacing w:before="0"/>
        <w:ind w:left="483" w:right="508" w:hanging="1"/>
        <w:jc w:val="left"/>
        <w:rPr>
          <w:sz w:val="18"/>
        </w:rPr>
      </w:pPr>
      <w:r>
        <w:rPr>
          <w:sz w:val="18"/>
          <w:vertAlign w:val="superscript"/>
        </w:rPr>
        <w:t>iii</w:t>
      </w:r>
      <w:r>
        <w:rPr>
          <w:spacing w:val="-8"/>
          <w:sz w:val="18"/>
          <w:vertAlign w:val="baseline"/>
        </w:rPr>
        <w:t> </w:t>
      </w:r>
      <w:r>
        <w:rPr>
          <w:sz w:val="18"/>
          <w:vertAlign w:val="baseline"/>
        </w:rPr>
        <w:t>The Trevor Project, “2022 National Survey on LGBTQ Youth Mental Health Massachusetts,” 2022, </w:t>
      </w:r>
      <w:r>
        <w:rPr>
          <w:spacing w:val="-2"/>
          <w:sz w:val="18"/>
          <w:vertAlign w:val="baseline"/>
        </w:rPr>
        <w:t>https://</w:t>
      </w:r>
      <w:hyperlink r:id="rId504">
        <w:r>
          <w:rPr>
            <w:spacing w:val="-2"/>
            <w:sz w:val="18"/>
            <w:vertAlign w:val="baseline"/>
          </w:rPr>
          <w:t>www.thetrevorproject.org/wp-content/uploads/2022/12/The-Trevor-Project-2022-National-Survey-on-LGBTQ-Youth-</w:t>
        </w:r>
      </w:hyperlink>
      <w:r>
        <w:rPr>
          <w:sz w:val="18"/>
          <w:vertAlign w:val="baseline"/>
        </w:rPr>
        <w:t> Mental-Health-by-State-Massachusetts.pdf2022 National Survey on LGBTQ Youth Mental Health Massachusetts.</w:t>
      </w:r>
    </w:p>
    <w:p>
      <w:pPr>
        <w:spacing w:after="0"/>
        <w:jc w:val="left"/>
        <w:rPr>
          <w:sz w:val="18"/>
        </w:rPr>
        <w:sectPr>
          <w:pgSz w:w="12240" w:h="15840"/>
          <w:pgMar w:header="804" w:footer="1281" w:top="1000" w:bottom="1480" w:left="960" w:right="1100"/>
        </w:sectPr>
      </w:pPr>
    </w:p>
    <w:p>
      <w:pPr>
        <w:pStyle w:val="BodyText"/>
        <w:spacing w:before="126"/>
        <w:rPr>
          <w:sz w:val="18"/>
        </w:rPr>
      </w:pPr>
    </w:p>
    <w:p>
      <w:pPr>
        <w:spacing w:before="0"/>
        <w:ind w:left="483" w:right="444" w:firstLine="0"/>
        <w:jc w:val="left"/>
        <w:rPr>
          <w:sz w:val="18"/>
        </w:rPr>
      </w:pPr>
      <w:r>
        <w:rPr>
          <w:sz w:val="18"/>
          <w:vertAlign w:val="superscript"/>
        </w:rPr>
        <w:t>iv</w:t>
      </w:r>
      <w:r>
        <w:rPr>
          <w:spacing w:val="-10"/>
          <w:sz w:val="18"/>
          <w:vertAlign w:val="baseline"/>
        </w:rPr>
        <w:t> </w:t>
      </w:r>
      <w:r>
        <w:rPr>
          <w:i/>
          <w:sz w:val="18"/>
          <w:vertAlign w:val="baseline"/>
        </w:rPr>
        <w:t>See </w:t>
      </w:r>
      <w:r>
        <w:rPr>
          <w:sz w:val="18"/>
          <w:vertAlign w:val="baseline"/>
        </w:rPr>
        <w:t>Stephanie Barry. 2022. “Parents File Federal Lawsuit Against Ludlow School Officials over Gender Identity Protocols.” </w:t>
      </w:r>
      <w:r>
        <w:rPr>
          <w:i/>
          <w:sz w:val="18"/>
          <w:vertAlign w:val="baseline"/>
        </w:rPr>
        <w:t>MassLive</w:t>
      </w:r>
      <w:r>
        <w:rPr>
          <w:sz w:val="18"/>
          <w:vertAlign w:val="baseline"/>
        </w:rPr>
        <w:t>, April 15, 2022. https://</w:t>
      </w:r>
      <w:hyperlink r:id="rId785">
        <w:r>
          <w:rPr>
            <w:sz w:val="18"/>
            <w:vertAlign w:val="baseline"/>
          </w:rPr>
          <w:t>www.masslive.com/news/2022/04/parents-file-federal-lawsuit-against-ludlow-school-</w:t>
        </w:r>
      </w:hyperlink>
      <w:r>
        <w:rPr>
          <w:sz w:val="18"/>
          <w:vertAlign w:val="baseline"/>
        </w:rPr>
        <w:t> officials-over-gender-identity-protocols.html;</w:t>
      </w:r>
      <w:r>
        <w:rPr>
          <w:spacing w:val="-4"/>
          <w:sz w:val="18"/>
          <w:vertAlign w:val="baseline"/>
        </w:rPr>
        <w:t> </w:t>
      </w:r>
      <w:r>
        <w:rPr>
          <w:sz w:val="18"/>
          <w:vertAlign w:val="baseline"/>
        </w:rPr>
        <w:t>Abby</w:t>
      </w:r>
      <w:r>
        <w:rPr>
          <w:spacing w:val="-4"/>
          <w:sz w:val="18"/>
          <w:vertAlign w:val="baseline"/>
        </w:rPr>
        <w:t> </w:t>
      </w:r>
      <w:r>
        <w:rPr>
          <w:sz w:val="18"/>
          <w:vertAlign w:val="baseline"/>
        </w:rPr>
        <w:t>Patkin.</w:t>
      </w:r>
      <w:r>
        <w:rPr>
          <w:spacing w:val="-4"/>
          <w:sz w:val="18"/>
          <w:vertAlign w:val="baseline"/>
        </w:rPr>
        <w:t> </w:t>
      </w:r>
      <w:r>
        <w:rPr>
          <w:sz w:val="18"/>
          <w:vertAlign w:val="baseline"/>
        </w:rPr>
        <w:t>2023.</w:t>
      </w:r>
      <w:r>
        <w:rPr>
          <w:spacing w:val="-4"/>
          <w:sz w:val="18"/>
          <w:vertAlign w:val="baseline"/>
        </w:rPr>
        <w:t> </w:t>
      </w:r>
      <w:r>
        <w:rPr>
          <w:sz w:val="18"/>
          <w:vertAlign w:val="baseline"/>
        </w:rPr>
        <w:t>“Stoughton</w:t>
      </w:r>
      <w:r>
        <w:rPr>
          <w:spacing w:val="-4"/>
          <w:sz w:val="18"/>
          <w:vertAlign w:val="baseline"/>
        </w:rPr>
        <w:t> </w:t>
      </w:r>
      <w:r>
        <w:rPr>
          <w:sz w:val="18"/>
          <w:vertAlign w:val="baseline"/>
        </w:rPr>
        <w:t>High</w:t>
      </w:r>
      <w:r>
        <w:rPr>
          <w:spacing w:val="-4"/>
          <w:sz w:val="18"/>
          <w:vertAlign w:val="baseline"/>
        </w:rPr>
        <w:t> </w:t>
      </w:r>
      <w:r>
        <w:rPr>
          <w:sz w:val="18"/>
          <w:vertAlign w:val="baseline"/>
        </w:rPr>
        <w:t>Senior</w:t>
      </w:r>
      <w:r>
        <w:rPr>
          <w:spacing w:val="-4"/>
          <w:sz w:val="18"/>
          <w:vertAlign w:val="baseline"/>
        </w:rPr>
        <w:t> </w:t>
      </w:r>
      <w:r>
        <w:rPr>
          <w:sz w:val="18"/>
          <w:vertAlign w:val="baseline"/>
        </w:rPr>
        <w:t>Leads</w:t>
      </w:r>
      <w:r>
        <w:rPr>
          <w:spacing w:val="-4"/>
          <w:sz w:val="18"/>
          <w:vertAlign w:val="baseline"/>
        </w:rPr>
        <w:t> </w:t>
      </w:r>
      <w:r>
        <w:rPr>
          <w:sz w:val="18"/>
          <w:vertAlign w:val="baseline"/>
        </w:rPr>
        <w:t>Growing</w:t>
      </w:r>
      <w:r>
        <w:rPr>
          <w:spacing w:val="-4"/>
          <w:sz w:val="18"/>
          <w:vertAlign w:val="baseline"/>
        </w:rPr>
        <w:t> </w:t>
      </w:r>
      <w:r>
        <w:rPr>
          <w:sz w:val="18"/>
          <w:vertAlign w:val="baseline"/>
        </w:rPr>
        <w:t>Movement</w:t>
      </w:r>
      <w:r>
        <w:rPr>
          <w:spacing w:val="-4"/>
          <w:sz w:val="18"/>
          <w:vertAlign w:val="baseline"/>
        </w:rPr>
        <w:t> </w:t>
      </w:r>
      <w:r>
        <w:rPr>
          <w:sz w:val="18"/>
          <w:vertAlign w:val="baseline"/>
        </w:rPr>
        <w:t>to</w:t>
      </w:r>
      <w:r>
        <w:rPr>
          <w:spacing w:val="-4"/>
          <w:sz w:val="18"/>
          <w:vertAlign w:val="baseline"/>
        </w:rPr>
        <w:t> </w:t>
      </w:r>
      <w:r>
        <w:rPr>
          <w:sz w:val="18"/>
          <w:vertAlign w:val="baseline"/>
        </w:rPr>
        <w:t>Restore Pride Flags in Town Schools.” </w:t>
      </w:r>
      <w:r>
        <w:rPr>
          <w:i/>
          <w:sz w:val="18"/>
          <w:vertAlign w:val="baseline"/>
        </w:rPr>
        <w:t>Boston.com</w:t>
      </w:r>
      <w:r>
        <w:rPr>
          <w:sz w:val="18"/>
          <w:vertAlign w:val="baseline"/>
        </w:rPr>
        <w:t>, January 11, 2023. https://</w:t>
      </w:r>
      <w:hyperlink r:id="rId786">
        <w:r>
          <w:rPr>
            <w:sz w:val="18"/>
            <w:vertAlign w:val="baseline"/>
          </w:rPr>
          <w:t>www.boston.com/news/schools/2023/01/11/stoughton-</w:t>
        </w:r>
      </w:hyperlink>
      <w:r>
        <w:rPr>
          <w:sz w:val="18"/>
          <w:vertAlign w:val="baseline"/>
        </w:rPr>
        <w:t> high-senior-leads-growing-movement-to-restore-pride-flags-in-town-schools/;</w:t>
      </w:r>
      <w:r>
        <w:rPr>
          <w:spacing w:val="-2"/>
          <w:sz w:val="18"/>
          <w:vertAlign w:val="baseline"/>
        </w:rPr>
        <w:t> </w:t>
      </w:r>
      <w:r>
        <w:rPr>
          <w:sz w:val="18"/>
          <w:vertAlign w:val="baseline"/>
        </w:rPr>
        <w:t>Jessica</w:t>
      </w:r>
      <w:r>
        <w:rPr>
          <w:spacing w:val="-2"/>
          <w:sz w:val="18"/>
          <w:vertAlign w:val="baseline"/>
        </w:rPr>
        <w:t> </w:t>
      </w:r>
      <w:r>
        <w:rPr>
          <w:sz w:val="18"/>
          <w:vertAlign w:val="baseline"/>
        </w:rPr>
        <w:t>Bartlett.</w:t>
      </w:r>
      <w:r>
        <w:rPr>
          <w:spacing w:val="-2"/>
          <w:sz w:val="18"/>
          <w:vertAlign w:val="baseline"/>
        </w:rPr>
        <w:t> </w:t>
      </w:r>
      <w:r>
        <w:rPr>
          <w:sz w:val="18"/>
          <w:vertAlign w:val="baseline"/>
        </w:rPr>
        <w:t>2022.</w:t>
      </w:r>
      <w:r>
        <w:rPr>
          <w:spacing w:val="-2"/>
          <w:sz w:val="18"/>
          <w:vertAlign w:val="baseline"/>
        </w:rPr>
        <w:t> </w:t>
      </w:r>
      <w:r>
        <w:rPr>
          <w:sz w:val="18"/>
          <w:vertAlign w:val="baseline"/>
        </w:rPr>
        <w:t>“Boston</w:t>
      </w:r>
      <w:r>
        <w:rPr>
          <w:spacing w:val="-2"/>
          <w:sz w:val="18"/>
          <w:vertAlign w:val="baseline"/>
        </w:rPr>
        <w:t> </w:t>
      </w:r>
      <w:r>
        <w:rPr>
          <w:sz w:val="18"/>
          <w:vertAlign w:val="baseline"/>
        </w:rPr>
        <w:t>Children’s</w:t>
      </w:r>
      <w:r>
        <w:rPr>
          <w:spacing w:val="-2"/>
          <w:sz w:val="18"/>
          <w:vertAlign w:val="baseline"/>
        </w:rPr>
        <w:t> </w:t>
      </w:r>
      <w:r>
        <w:rPr>
          <w:sz w:val="18"/>
          <w:vertAlign w:val="baseline"/>
        </w:rPr>
        <w:t>Faced Months of Death Threats and Hate Mail. Here’s How Staff Members Are Coping.” </w:t>
      </w:r>
      <w:r>
        <w:rPr>
          <w:i/>
          <w:sz w:val="18"/>
          <w:vertAlign w:val="baseline"/>
        </w:rPr>
        <w:t>Boston Globe</w:t>
      </w:r>
      <w:r>
        <w:rPr>
          <w:sz w:val="18"/>
          <w:vertAlign w:val="baseline"/>
        </w:rPr>
        <w:t>, December 3, 2022. </w:t>
      </w:r>
      <w:r>
        <w:rPr>
          <w:spacing w:val="-2"/>
          <w:sz w:val="18"/>
          <w:vertAlign w:val="baseline"/>
        </w:rPr>
        <w:t>https://</w:t>
      </w:r>
      <w:hyperlink r:id="rId787">
        <w:r>
          <w:rPr>
            <w:spacing w:val="-2"/>
            <w:sz w:val="18"/>
            <w:vertAlign w:val="baseline"/>
          </w:rPr>
          <w:t>www.bostonglobe.com/2022/12/03/metro/boston-childrens-faced-months-death-threats-hate-mail-heres-how-staff-</w:t>
        </w:r>
      </w:hyperlink>
      <w:r>
        <w:rPr>
          <w:spacing w:val="40"/>
          <w:sz w:val="18"/>
          <w:vertAlign w:val="baseline"/>
        </w:rPr>
        <w:t> </w:t>
      </w:r>
      <w:r>
        <w:rPr>
          <w:sz w:val="18"/>
          <w:vertAlign w:val="baseline"/>
        </w:rPr>
        <w:t>are-coping/; Human Rights Foundation. (2022). </w:t>
      </w:r>
      <w:r>
        <w:rPr>
          <w:i/>
          <w:sz w:val="18"/>
          <w:vertAlign w:val="baseline"/>
        </w:rPr>
        <w:t>Online Harassment, Offline Violence: Unchecked Harassment of Gender-</w:t>
      </w:r>
      <w:r>
        <w:rPr>
          <w:i/>
          <w:sz w:val="18"/>
          <w:vertAlign w:val="baseline"/>
        </w:rPr>
        <w:t> Affirming Care Providers and Children’s Hospitals on Social Media, and Its Offline Violent Consequences. </w:t>
      </w:r>
      <w:r>
        <w:rPr>
          <w:sz w:val="18"/>
          <w:vertAlign w:val="baseline"/>
        </w:rPr>
        <w:t>https://hrc-prod- </w:t>
      </w:r>
      <w:r>
        <w:rPr>
          <w:spacing w:val="-2"/>
          <w:sz w:val="18"/>
          <w:vertAlign w:val="baseline"/>
        </w:rPr>
        <w:t>requests.s3-us-west-2.amazonaws.com/HRCF-OnlineHarassmentOfflineViolence.pdf.</w:t>
      </w:r>
    </w:p>
    <w:p>
      <w:pPr>
        <w:spacing w:before="0"/>
        <w:ind w:left="483" w:right="314" w:hanging="1"/>
        <w:jc w:val="left"/>
        <w:rPr>
          <w:sz w:val="18"/>
        </w:rPr>
      </w:pPr>
      <w:r>
        <w:rPr>
          <w:sz w:val="18"/>
          <w:vertAlign w:val="superscript"/>
        </w:rPr>
        <w:t>v</w:t>
      </w:r>
      <w:r>
        <w:rPr>
          <w:spacing w:val="-14"/>
          <w:sz w:val="18"/>
          <w:vertAlign w:val="baseline"/>
        </w:rPr>
        <w:t> </w:t>
      </w:r>
      <w:r>
        <w:rPr>
          <w:i/>
          <w:sz w:val="18"/>
          <w:vertAlign w:val="baseline"/>
        </w:rPr>
        <w:t>See</w:t>
      </w:r>
      <w:r>
        <w:rPr>
          <w:i/>
          <w:spacing w:val="-2"/>
          <w:sz w:val="18"/>
          <w:vertAlign w:val="baseline"/>
        </w:rPr>
        <w:t> </w:t>
      </w:r>
      <w:r>
        <w:rPr>
          <w:sz w:val="18"/>
          <w:vertAlign w:val="baseline"/>
        </w:rPr>
        <w:t>Mass.</w:t>
      </w:r>
      <w:r>
        <w:rPr>
          <w:spacing w:val="-2"/>
          <w:sz w:val="18"/>
          <w:vertAlign w:val="baseline"/>
        </w:rPr>
        <w:t> </w:t>
      </w:r>
      <w:r>
        <w:rPr>
          <w:sz w:val="18"/>
          <w:vertAlign w:val="baseline"/>
        </w:rPr>
        <w:t>Gen.</w:t>
      </w:r>
      <w:r>
        <w:rPr>
          <w:spacing w:val="-3"/>
          <w:sz w:val="18"/>
          <w:vertAlign w:val="baseline"/>
        </w:rPr>
        <w:t> </w:t>
      </w:r>
      <w:r>
        <w:rPr>
          <w:sz w:val="18"/>
          <w:vertAlign w:val="baseline"/>
        </w:rPr>
        <w:t>Laws</w:t>
      </w:r>
      <w:r>
        <w:rPr>
          <w:spacing w:val="-2"/>
          <w:sz w:val="18"/>
          <w:vertAlign w:val="baseline"/>
        </w:rPr>
        <w:t> </w:t>
      </w:r>
      <w:r>
        <w:rPr>
          <w:sz w:val="18"/>
          <w:vertAlign w:val="baseline"/>
        </w:rPr>
        <w:t>Ann.</w:t>
      </w:r>
      <w:r>
        <w:rPr>
          <w:spacing w:val="-2"/>
          <w:sz w:val="18"/>
          <w:vertAlign w:val="baseline"/>
        </w:rPr>
        <w:t> </w:t>
      </w:r>
      <w:r>
        <w:rPr>
          <w:sz w:val="18"/>
          <w:vertAlign w:val="baseline"/>
        </w:rPr>
        <w:t>ch.</w:t>
      </w:r>
      <w:r>
        <w:rPr>
          <w:spacing w:val="-2"/>
          <w:sz w:val="18"/>
          <w:vertAlign w:val="baseline"/>
        </w:rPr>
        <w:t> </w:t>
      </w:r>
      <w:r>
        <w:rPr>
          <w:sz w:val="18"/>
          <w:vertAlign w:val="baseline"/>
        </w:rPr>
        <w:t>18C,</w:t>
      </w:r>
      <w:r>
        <w:rPr>
          <w:spacing w:val="-3"/>
          <w:sz w:val="18"/>
          <w:vertAlign w:val="baseline"/>
        </w:rPr>
        <w:t> </w:t>
      </w:r>
      <w:r>
        <w:rPr>
          <w:sz w:val="18"/>
          <w:vertAlign w:val="baseline"/>
        </w:rPr>
        <w:t>§</w:t>
      </w:r>
      <w:r>
        <w:rPr>
          <w:spacing w:val="-2"/>
          <w:sz w:val="18"/>
          <w:vertAlign w:val="baseline"/>
        </w:rPr>
        <w:t> </w:t>
      </w:r>
      <w:r>
        <w:rPr>
          <w:sz w:val="18"/>
          <w:vertAlign w:val="baseline"/>
        </w:rPr>
        <w:t>2</w:t>
      </w:r>
      <w:r>
        <w:rPr>
          <w:spacing w:val="-2"/>
          <w:sz w:val="18"/>
          <w:vertAlign w:val="baseline"/>
        </w:rPr>
        <w:t> </w:t>
      </w:r>
      <w:r>
        <w:rPr>
          <w:sz w:val="18"/>
          <w:vertAlign w:val="baseline"/>
        </w:rPr>
        <w:t>(“There</w:t>
      </w:r>
      <w:r>
        <w:rPr>
          <w:spacing w:val="-3"/>
          <w:sz w:val="18"/>
          <w:vertAlign w:val="baseline"/>
        </w:rPr>
        <w:t> </w:t>
      </w:r>
      <w:r>
        <w:rPr>
          <w:sz w:val="18"/>
          <w:vertAlign w:val="baseline"/>
        </w:rPr>
        <w:t>shall</w:t>
      </w:r>
      <w:r>
        <w:rPr>
          <w:spacing w:val="-3"/>
          <w:sz w:val="18"/>
          <w:vertAlign w:val="baseline"/>
        </w:rPr>
        <w:t> </w:t>
      </w:r>
      <w:r>
        <w:rPr>
          <w:sz w:val="18"/>
          <w:vertAlign w:val="baseline"/>
        </w:rPr>
        <w:t>be</w:t>
      </w:r>
      <w:r>
        <w:rPr>
          <w:spacing w:val="-2"/>
          <w:sz w:val="18"/>
          <w:vertAlign w:val="baseline"/>
        </w:rPr>
        <w:t> </w:t>
      </w:r>
      <w:r>
        <w:rPr>
          <w:sz w:val="18"/>
          <w:vertAlign w:val="baseline"/>
        </w:rPr>
        <w:t>an</w:t>
      </w:r>
      <w:r>
        <w:rPr>
          <w:spacing w:val="-2"/>
          <w:sz w:val="18"/>
          <w:vertAlign w:val="baseline"/>
        </w:rPr>
        <w:t> </w:t>
      </w:r>
      <w:r>
        <w:rPr>
          <w:sz w:val="18"/>
          <w:vertAlign w:val="baseline"/>
        </w:rPr>
        <w:t>office</w:t>
      </w:r>
      <w:r>
        <w:rPr>
          <w:spacing w:val="-2"/>
          <w:sz w:val="18"/>
          <w:vertAlign w:val="baseline"/>
        </w:rPr>
        <w:t> </w:t>
      </w:r>
      <w:r>
        <w:rPr>
          <w:sz w:val="18"/>
          <w:vertAlign w:val="baseline"/>
        </w:rPr>
        <w:t>of</w:t>
      </w:r>
      <w:r>
        <w:rPr>
          <w:spacing w:val="-2"/>
          <w:sz w:val="18"/>
          <w:vertAlign w:val="baseline"/>
        </w:rPr>
        <w:t> </w:t>
      </w:r>
      <w:r>
        <w:rPr>
          <w:sz w:val="18"/>
          <w:vertAlign w:val="baseline"/>
        </w:rPr>
        <w:t>the</w:t>
      </w:r>
      <w:r>
        <w:rPr>
          <w:spacing w:val="-2"/>
          <w:sz w:val="18"/>
          <w:vertAlign w:val="baseline"/>
        </w:rPr>
        <w:t> </w:t>
      </w:r>
      <w:r>
        <w:rPr>
          <w:sz w:val="18"/>
          <w:vertAlign w:val="baseline"/>
        </w:rPr>
        <w:t>child</w:t>
      </w:r>
      <w:r>
        <w:rPr>
          <w:spacing w:val="-2"/>
          <w:sz w:val="18"/>
          <w:vertAlign w:val="baseline"/>
        </w:rPr>
        <w:t> </w:t>
      </w:r>
      <w:r>
        <w:rPr>
          <w:sz w:val="18"/>
          <w:vertAlign w:val="baseline"/>
        </w:rPr>
        <w:t>advocate</w:t>
      </w:r>
      <w:r>
        <w:rPr>
          <w:spacing w:val="-2"/>
          <w:sz w:val="18"/>
          <w:vertAlign w:val="baseline"/>
        </w:rPr>
        <w:t> </w:t>
      </w:r>
      <w:r>
        <w:rPr>
          <w:sz w:val="18"/>
          <w:vertAlign w:val="baseline"/>
        </w:rPr>
        <w:t>which</w:t>
      </w:r>
      <w:r>
        <w:rPr>
          <w:spacing w:val="-2"/>
          <w:sz w:val="18"/>
          <w:vertAlign w:val="baseline"/>
        </w:rPr>
        <w:t> </w:t>
      </w:r>
      <w:r>
        <w:rPr>
          <w:sz w:val="18"/>
          <w:vertAlign w:val="baseline"/>
        </w:rPr>
        <w:t>shall</w:t>
      </w:r>
      <w:r>
        <w:rPr>
          <w:spacing w:val="-3"/>
          <w:sz w:val="18"/>
          <w:vertAlign w:val="baseline"/>
        </w:rPr>
        <w:t> </w:t>
      </w:r>
      <w:r>
        <w:rPr>
          <w:sz w:val="18"/>
          <w:vertAlign w:val="baseline"/>
        </w:rPr>
        <w:t>be</w:t>
      </w:r>
      <w:r>
        <w:rPr>
          <w:spacing w:val="-2"/>
          <w:sz w:val="18"/>
          <w:vertAlign w:val="baseline"/>
        </w:rPr>
        <w:t> </w:t>
      </w:r>
      <w:r>
        <w:rPr>
          <w:sz w:val="18"/>
          <w:vertAlign w:val="baseline"/>
        </w:rPr>
        <w:t>independent</w:t>
      </w:r>
      <w:r>
        <w:rPr>
          <w:spacing w:val="-3"/>
          <w:sz w:val="18"/>
          <w:vertAlign w:val="baseline"/>
        </w:rPr>
        <w:t> </w:t>
      </w:r>
      <w:r>
        <w:rPr>
          <w:sz w:val="18"/>
          <w:vertAlign w:val="baseline"/>
        </w:rPr>
        <w:t>of</w:t>
      </w:r>
      <w:r>
        <w:rPr>
          <w:spacing w:val="-2"/>
          <w:sz w:val="18"/>
          <w:vertAlign w:val="baseline"/>
        </w:rPr>
        <w:t> </w:t>
      </w:r>
      <w:r>
        <w:rPr>
          <w:sz w:val="18"/>
          <w:vertAlign w:val="baseline"/>
        </w:rPr>
        <w:t>any supervision or control by any executive agency”).</w:t>
      </w:r>
    </w:p>
    <w:p>
      <w:pPr>
        <w:spacing w:before="1"/>
        <w:ind w:left="483" w:right="350" w:firstLine="0"/>
        <w:jc w:val="left"/>
        <w:rPr>
          <w:sz w:val="18"/>
        </w:rPr>
      </w:pPr>
      <w:r>
        <w:rPr>
          <w:sz w:val="18"/>
          <w:vertAlign w:val="superscript"/>
        </w:rPr>
        <w:t>vi</w:t>
      </w:r>
      <w:r>
        <w:rPr>
          <w:spacing w:val="-10"/>
          <w:sz w:val="18"/>
          <w:vertAlign w:val="baseline"/>
        </w:rPr>
        <w:t> </w:t>
      </w:r>
      <w:r>
        <w:rPr>
          <w:sz w:val="18"/>
          <w:vertAlign w:val="baseline"/>
        </w:rPr>
        <w:t>Mass. Gen. Laws ch. 18C, § 5 (“The child advocate shall receive complaints relative to the provision of services to children by an executive agency and shall review and monitor the complaints that reasonably cause him to believe that a child may be in need of assistance and to ensure that the complaint is resolved. If the complaint is not resolved by the relevant executive agency within a reasonable period of time in light of the circumstances, if the resolution is determined to be unsatisfactory to the</w:t>
      </w:r>
      <w:r>
        <w:rPr>
          <w:spacing w:val="-2"/>
          <w:sz w:val="18"/>
          <w:vertAlign w:val="baseline"/>
        </w:rPr>
        <w:t> </w:t>
      </w:r>
      <w:r>
        <w:rPr>
          <w:sz w:val="18"/>
          <w:vertAlign w:val="baseline"/>
        </w:rPr>
        <w:t>child</w:t>
      </w:r>
      <w:r>
        <w:rPr>
          <w:spacing w:val="-2"/>
          <w:sz w:val="18"/>
          <w:vertAlign w:val="baseline"/>
        </w:rPr>
        <w:t> </w:t>
      </w:r>
      <w:r>
        <w:rPr>
          <w:sz w:val="18"/>
          <w:vertAlign w:val="baseline"/>
        </w:rPr>
        <w:t>advocate,</w:t>
      </w:r>
      <w:r>
        <w:rPr>
          <w:spacing w:val="-3"/>
          <w:sz w:val="18"/>
          <w:vertAlign w:val="baseline"/>
        </w:rPr>
        <w:t> </w:t>
      </w:r>
      <w:r>
        <w:rPr>
          <w:sz w:val="18"/>
          <w:vertAlign w:val="baseline"/>
        </w:rPr>
        <w:t>or</w:t>
      </w:r>
      <w:r>
        <w:rPr>
          <w:spacing w:val="-3"/>
          <w:sz w:val="18"/>
          <w:vertAlign w:val="baseline"/>
        </w:rPr>
        <w:t> </w:t>
      </w:r>
      <w:r>
        <w:rPr>
          <w:sz w:val="18"/>
          <w:vertAlign w:val="baseline"/>
        </w:rPr>
        <w:t>if</w:t>
      </w:r>
      <w:r>
        <w:rPr>
          <w:spacing w:val="-2"/>
          <w:sz w:val="18"/>
          <w:vertAlign w:val="baseline"/>
        </w:rPr>
        <w:t> </w:t>
      </w:r>
      <w:r>
        <w:rPr>
          <w:sz w:val="18"/>
          <w:vertAlign w:val="baseline"/>
        </w:rPr>
        <w:t>the</w:t>
      </w:r>
      <w:r>
        <w:rPr>
          <w:spacing w:val="-2"/>
          <w:sz w:val="18"/>
          <w:vertAlign w:val="baseline"/>
        </w:rPr>
        <w:t> </w:t>
      </w:r>
      <w:r>
        <w:rPr>
          <w:sz w:val="18"/>
          <w:vertAlign w:val="baseline"/>
        </w:rPr>
        <w:t>complaint</w:t>
      </w:r>
      <w:r>
        <w:rPr>
          <w:spacing w:val="-3"/>
          <w:sz w:val="18"/>
          <w:vertAlign w:val="baseline"/>
        </w:rPr>
        <w:t> </w:t>
      </w:r>
      <w:r>
        <w:rPr>
          <w:sz w:val="18"/>
          <w:vertAlign w:val="baseline"/>
        </w:rPr>
        <w:t>reasonably</w:t>
      </w:r>
      <w:r>
        <w:rPr>
          <w:spacing w:val="-2"/>
          <w:sz w:val="18"/>
          <w:vertAlign w:val="baseline"/>
        </w:rPr>
        <w:t> </w:t>
      </w:r>
      <w:r>
        <w:rPr>
          <w:sz w:val="18"/>
          <w:vertAlign w:val="baseline"/>
        </w:rPr>
        <w:t>causes</w:t>
      </w:r>
      <w:r>
        <w:rPr>
          <w:spacing w:val="-2"/>
          <w:sz w:val="18"/>
          <w:vertAlign w:val="baseline"/>
        </w:rPr>
        <w:t> </w:t>
      </w:r>
      <w:r>
        <w:rPr>
          <w:sz w:val="18"/>
          <w:vertAlign w:val="baseline"/>
        </w:rPr>
        <w:t>the</w:t>
      </w:r>
      <w:r>
        <w:rPr>
          <w:spacing w:val="-2"/>
          <w:sz w:val="18"/>
          <w:vertAlign w:val="baseline"/>
        </w:rPr>
        <w:t> </w:t>
      </w:r>
      <w:r>
        <w:rPr>
          <w:sz w:val="18"/>
          <w:vertAlign w:val="baseline"/>
        </w:rPr>
        <w:t>child</w:t>
      </w:r>
      <w:r>
        <w:rPr>
          <w:spacing w:val="-2"/>
          <w:sz w:val="18"/>
          <w:vertAlign w:val="baseline"/>
        </w:rPr>
        <w:t> </w:t>
      </w:r>
      <w:r>
        <w:rPr>
          <w:sz w:val="18"/>
          <w:vertAlign w:val="baseline"/>
        </w:rPr>
        <w:t>advocate</w:t>
      </w:r>
      <w:r>
        <w:rPr>
          <w:spacing w:val="-2"/>
          <w:sz w:val="18"/>
          <w:vertAlign w:val="baseline"/>
        </w:rPr>
        <w:t> </w:t>
      </w:r>
      <w:r>
        <w:rPr>
          <w:sz w:val="18"/>
          <w:vertAlign w:val="baseline"/>
        </w:rPr>
        <w:t>to</w:t>
      </w:r>
      <w:r>
        <w:rPr>
          <w:spacing w:val="-2"/>
          <w:sz w:val="18"/>
          <w:vertAlign w:val="baseline"/>
        </w:rPr>
        <w:t> </w:t>
      </w:r>
      <w:r>
        <w:rPr>
          <w:sz w:val="18"/>
          <w:vertAlign w:val="baseline"/>
        </w:rPr>
        <w:t>believe</w:t>
      </w:r>
      <w:r>
        <w:rPr>
          <w:spacing w:val="-2"/>
          <w:sz w:val="18"/>
          <w:vertAlign w:val="baseline"/>
        </w:rPr>
        <w:t> </w:t>
      </w:r>
      <w:r>
        <w:rPr>
          <w:sz w:val="18"/>
          <w:vertAlign w:val="baseline"/>
        </w:rPr>
        <w:t>that</w:t>
      </w:r>
      <w:r>
        <w:rPr>
          <w:spacing w:val="-3"/>
          <w:sz w:val="18"/>
          <w:vertAlign w:val="baseline"/>
        </w:rPr>
        <w:t> </w:t>
      </w:r>
      <w:r>
        <w:rPr>
          <w:sz w:val="18"/>
          <w:vertAlign w:val="baseline"/>
        </w:rPr>
        <w:t>a</w:t>
      </w:r>
      <w:r>
        <w:rPr>
          <w:spacing w:val="-2"/>
          <w:sz w:val="18"/>
          <w:vertAlign w:val="baseline"/>
        </w:rPr>
        <w:t> </w:t>
      </w:r>
      <w:r>
        <w:rPr>
          <w:sz w:val="18"/>
          <w:vertAlign w:val="baseline"/>
        </w:rPr>
        <w:t>child</w:t>
      </w:r>
      <w:r>
        <w:rPr>
          <w:spacing w:val="-2"/>
          <w:sz w:val="18"/>
          <w:vertAlign w:val="baseline"/>
        </w:rPr>
        <w:t> </w:t>
      </w:r>
      <w:r>
        <w:rPr>
          <w:sz w:val="18"/>
          <w:vertAlign w:val="baseline"/>
        </w:rPr>
        <w:t>may</w:t>
      </w:r>
      <w:r>
        <w:rPr>
          <w:spacing w:val="-2"/>
          <w:sz w:val="18"/>
          <w:vertAlign w:val="baseline"/>
        </w:rPr>
        <w:t> </w:t>
      </w:r>
      <w:r>
        <w:rPr>
          <w:sz w:val="18"/>
          <w:vertAlign w:val="baseline"/>
        </w:rPr>
        <w:t>be</w:t>
      </w:r>
      <w:r>
        <w:rPr>
          <w:spacing w:val="-2"/>
          <w:sz w:val="18"/>
          <w:vertAlign w:val="baseline"/>
        </w:rPr>
        <w:t> </w:t>
      </w:r>
      <w:r>
        <w:rPr>
          <w:sz w:val="18"/>
          <w:vertAlign w:val="baseline"/>
        </w:rPr>
        <w:t>in</w:t>
      </w:r>
      <w:r>
        <w:rPr>
          <w:spacing w:val="-2"/>
          <w:sz w:val="18"/>
          <w:vertAlign w:val="baseline"/>
        </w:rPr>
        <w:t> </w:t>
      </w:r>
      <w:r>
        <w:rPr>
          <w:sz w:val="18"/>
          <w:vertAlign w:val="baseline"/>
        </w:rPr>
        <w:t>need</w:t>
      </w:r>
      <w:r>
        <w:rPr>
          <w:spacing w:val="-3"/>
          <w:sz w:val="18"/>
          <w:vertAlign w:val="baseline"/>
        </w:rPr>
        <w:t> </w:t>
      </w:r>
      <w:r>
        <w:rPr>
          <w:sz w:val="18"/>
          <w:vertAlign w:val="baseline"/>
        </w:rPr>
        <w:t>of</w:t>
      </w:r>
      <w:r>
        <w:rPr>
          <w:spacing w:val="-2"/>
          <w:sz w:val="18"/>
          <w:vertAlign w:val="baseline"/>
        </w:rPr>
        <w:t> </w:t>
      </w:r>
      <w:r>
        <w:rPr>
          <w:sz w:val="18"/>
          <w:vertAlign w:val="baseline"/>
        </w:rPr>
        <w:t>immediate assistance, the child advocate may conduct an investigation and upon completion of the investigation, the child advocate may provide relevant</w:t>
      </w:r>
      <w:r>
        <w:rPr>
          <w:spacing w:val="-2"/>
          <w:sz w:val="18"/>
          <w:vertAlign w:val="baseline"/>
        </w:rPr>
        <w:t> </w:t>
      </w:r>
      <w:r>
        <w:rPr>
          <w:sz w:val="18"/>
          <w:vertAlign w:val="baseline"/>
        </w:rPr>
        <w:t>information in the form of a report</w:t>
      </w:r>
      <w:r>
        <w:rPr>
          <w:spacing w:val="-1"/>
          <w:sz w:val="18"/>
          <w:vertAlign w:val="baseline"/>
        </w:rPr>
        <w:t> </w:t>
      </w:r>
      <w:r>
        <w:rPr>
          <w:sz w:val="18"/>
          <w:vertAlign w:val="baseline"/>
        </w:rPr>
        <w:t>to any relevant</w:t>
      </w:r>
      <w:r>
        <w:rPr>
          <w:spacing w:val="-1"/>
          <w:sz w:val="18"/>
          <w:vertAlign w:val="baseline"/>
        </w:rPr>
        <w:t> </w:t>
      </w:r>
      <w:r>
        <w:rPr>
          <w:sz w:val="18"/>
          <w:vertAlign w:val="baseline"/>
        </w:rPr>
        <w:t>agencies and</w:t>
      </w:r>
      <w:r>
        <w:rPr>
          <w:spacing w:val="-1"/>
          <w:sz w:val="18"/>
          <w:vertAlign w:val="baseline"/>
        </w:rPr>
        <w:t> </w:t>
      </w:r>
      <w:r>
        <w:rPr>
          <w:sz w:val="18"/>
          <w:vertAlign w:val="baseline"/>
        </w:rPr>
        <w:t>request</w:t>
      </w:r>
      <w:r>
        <w:rPr>
          <w:spacing w:val="-1"/>
          <w:sz w:val="18"/>
          <w:vertAlign w:val="baseline"/>
        </w:rPr>
        <w:t> </w:t>
      </w:r>
      <w:r>
        <w:rPr>
          <w:sz w:val="18"/>
          <w:vertAlign w:val="baseline"/>
        </w:rPr>
        <w:t>a meeting,</w:t>
      </w:r>
      <w:r>
        <w:rPr>
          <w:spacing w:val="-1"/>
          <w:sz w:val="18"/>
          <w:vertAlign w:val="baseline"/>
        </w:rPr>
        <w:t> </w:t>
      </w:r>
      <w:r>
        <w:rPr>
          <w:sz w:val="18"/>
          <w:vertAlign w:val="baseline"/>
        </w:rPr>
        <w:t>if necessary,</w:t>
      </w:r>
      <w:r>
        <w:rPr>
          <w:spacing w:val="-2"/>
          <w:sz w:val="18"/>
          <w:vertAlign w:val="baseline"/>
        </w:rPr>
        <w:t> </w:t>
      </w:r>
      <w:r>
        <w:rPr>
          <w:sz w:val="18"/>
          <w:vertAlign w:val="baseline"/>
        </w:rPr>
        <w:t>to review</w:t>
      </w:r>
      <w:r>
        <w:rPr>
          <w:spacing w:val="-1"/>
          <w:sz w:val="18"/>
          <w:vertAlign w:val="baseline"/>
        </w:rPr>
        <w:t> </w:t>
      </w:r>
      <w:r>
        <w:rPr>
          <w:sz w:val="18"/>
          <w:vertAlign w:val="baseline"/>
        </w:rPr>
        <w:t>the investigation and accompanying report”).</w:t>
      </w:r>
    </w:p>
    <w:p>
      <w:pPr>
        <w:spacing w:line="219" w:lineRule="exact" w:before="0"/>
        <w:ind w:left="483" w:right="0" w:firstLine="0"/>
        <w:jc w:val="left"/>
        <w:rPr>
          <w:sz w:val="18"/>
        </w:rPr>
      </w:pPr>
      <w:r>
        <w:rPr>
          <w:sz w:val="18"/>
          <w:vertAlign w:val="superscript"/>
        </w:rPr>
        <w:t>vii</w:t>
      </w:r>
      <w:r>
        <w:rPr>
          <w:spacing w:val="-16"/>
          <w:sz w:val="18"/>
          <w:vertAlign w:val="baseline"/>
        </w:rPr>
        <w:t> </w:t>
      </w:r>
      <w:r>
        <w:rPr>
          <w:sz w:val="18"/>
          <w:vertAlign w:val="baseline"/>
        </w:rPr>
        <w:t>Mass.</w:t>
      </w:r>
      <w:r>
        <w:rPr>
          <w:spacing w:val="-4"/>
          <w:sz w:val="18"/>
          <w:vertAlign w:val="baseline"/>
        </w:rPr>
        <w:t> </w:t>
      </w:r>
      <w:r>
        <w:rPr>
          <w:sz w:val="18"/>
          <w:vertAlign w:val="baseline"/>
        </w:rPr>
        <w:t>Gen.</w:t>
      </w:r>
      <w:r>
        <w:rPr>
          <w:spacing w:val="-1"/>
          <w:sz w:val="18"/>
          <w:vertAlign w:val="baseline"/>
        </w:rPr>
        <w:t> </w:t>
      </w:r>
      <w:r>
        <w:rPr>
          <w:sz w:val="18"/>
          <w:vertAlign w:val="baseline"/>
        </w:rPr>
        <w:t>Laws</w:t>
      </w:r>
      <w:r>
        <w:rPr>
          <w:spacing w:val="-1"/>
          <w:sz w:val="18"/>
          <w:vertAlign w:val="baseline"/>
        </w:rPr>
        <w:t> </w:t>
      </w:r>
      <w:r>
        <w:rPr>
          <w:sz w:val="18"/>
          <w:vertAlign w:val="baseline"/>
        </w:rPr>
        <w:t>ch.</w:t>
      </w:r>
      <w:r>
        <w:rPr>
          <w:spacing w:val="-2"/>
          <w:sz w:val="18"/>
          <w:vertAlign w:val="baseline"/>
        </w:rPr>
        <w:t> </w:t>
      </w:r>
      <w:r>
        <w:rPr>
          <w:sz w:val="18"/>
          <w:vertAlign w:val="baseline"/>
        </w:rPr>
        <w:t>18C,</w:t>
      </w:r>
      <w:r>
        <w:rPr>
          <w:spacing w:val="-2"/>
          <w:sz w:val="18"/>
          <w:vertAlign w:val="baseline"/>
        </w:rPr>
        <w:t> </w:t>
      </w:r>
      <w:r>
        <w:rPr>
          <w:sz w:val="18"/>
          <w:vertAlign w:val="baseline"/>
        </w:rPr>
        <w:t>§</w:t>
      </w:r>
      <w:r>
        <w:rPr>
          <w:spacing w:val="-1"/>
          <w:sz w:val="18"/>
          <w:vertAlign w:val="baseline"/>
        </w:rPr>
        <w:t> </w:t>
      </w:r>
      <w:r>
        <w:rPr>
          <w:spacing w:val="-5"/>
          <w:sz w:val="18"/>
          <w:vertAlign w:val="baseline"/>
        </w:rPr>
        <w:t>5.</w:t>
      </w:r>
    </w:p>
    <w:p>
      <w:pPr>
        <w:spacing w:before="1"/>
        <w:ind w:left="483" w:right="0" w:firstLine="0"/>
        <w:jc w:val="left"/>
        <w:rPr>
          <w:sz w:val="18"/>
        </w:rPr>
      </w:pPr>
      <w:r>
        <w:rPr>
          <w:spacing w:val="-2"/>
          <w:sz w:val="18"/>
          <w:vertAlign w:val="superscript"/>
        </w:rPr>
        <w:t>viii</w:t>
      </w:r>
      <w:r>
        <w:rPr>
          <w:spacing w:val="-7"/>
          <w:sz w:val="18"/>
          <w:vertAlign w:val="baseline"/>
        </w:rPr>
        <w:t> </w:t>
      </w:r>
      <w:r>
        <w:rPr>
          <w:i/>
          <w:spacing w:val="-2"/>
          <w:sz w:val="18"/>
          <w:vertAlign w:val="baseline"/>
        </w:rPr>
        <w:t>Ibid</w:t>
      </w:r>
      <w:r>
        <w:rPr>
          <w:spacing w:val="-2"/>
          <w:sz w:val="18"/>
          <w:vertAlign w:val="baseline"/>
        </w:rPr>
        <w:t>.</w:t>
      </w:r>
    </w:p>
    <w:p>
      <w:pPr>
        <w:spacing w:before="0"/>
        <w:ind w:left="483" w:right="2582" w:firstLine="0"/>
        <w:jc w:val="left"/>
        <w:rPr>
          <w:sz w:val="18"/>
        </w:rPr>
      </w:pPr>
      <w:r>
        <w:rPr>
          <w:sz w:val="18"/>
          <w:vertAlign w:val="superscript"/>
        </w:rPr>
        <w:t>ix</w:t>
      </w:r>
      <w:r>
        <w:rPr>
          <w:spacing w:val="-14"/>
          <w:sz w:val="18"/>
          <w:vertAlign w:val="baseline"/>
        </w:rPr>
        <w:t> </w:t>
      </w:r>
      <w:r>
        <w:rPr>
          <w:sz w:val="18"/>
          <w:vertAlign w:val="baseline"/>
        </w:rPr>
        <w:t>Office</w:t>
      </w:r>
      <w:r>
        <w:rPr>
          <w:spacing w:val="-4"/>
          <w:sz w:val="18"/>
          <w:vertAlign w:val="baseline"/>
        </w:rPr>
        <w:t> </w:t>
      </w:r>
      <w:r>
        <w:rPr>
          <w:sz w:val="18"/>
          <w:vertAlign w:val="baseline"/>
        </w:rPr>
        <w:t>of</w:t>
      </w:r>
      <w:r>
        <w:rPr>
          <w:spacing w:val="-3"/>
          <w:sz w:val="18"/>
          <w:vertAlign w:val="baseline"/>
        </w:rPr>
        <w:t> </w:t>
      </w:r>
      <w:r>
        <w:rPr>
          <w:sz w:val="18"/>
          <w:vertAlign w:val="baseline"/>
        </w:rPr>
        <w:t>the</w:t>
      </w:r>
      <w:r>
        <w:rPr>
          <w:spacing w:val="-3"/>
          <w:sz w:val="18"/>
          <w:vertAlign w:val="baseline"/>
        </w:rPr>
        <w:t> </w:t>
      </w:r>
      <w:r>
        <w:rPr>
          <w:sz w:val="18"/>
          <w:vertAlign w:val="baseline"/>
        </w:rPr>
        <w:t>Child</w:t>
      </w:r>
      <w:r>
        <w:rPr>
          <w:spacing w:val="-3"/>
          <w:sz w:val="18"/>
          <w:vertAlign w:val="baseline"/>
        </w:rPr>
        <w:t> </w:t>
      </w:r>
      <w:r>
        <w:rPr>
          <w:sz w:val="18"/>
          <w:vertAlign w:val="baseline"/>
        </w:rPr>
        <w:t>Advocate.</w:t>
      </w:r>
      <w:r>
        <w:rPr>
          <w:spacing w:val="-3"/>
          <w:sz w:val="18"/>
          <w:vertAlign w:val="baseline"/>
        </w:rPr>
        <w:t> </w:t>
      </w:r>
      <w:r>
        <w:rPr>
          <w:sz w:val="18"/>
          <w:vertAlign w:val="baseline"/>
        </w:rPr>
        <w:t>2023.</w:t>
      </w:r>
      <w:r>
        <w:rPr>
          <w:spacing w:val="-3"/>
          <w:sz w:val="18"/>
          <w:vertAlign w:val="baseline"/>
        </w:rPr>
        <w:t> </w:t>
      </w:r>
      <w:r>
        <w:rPr>
          <w:i/>
          <w:sz w:val="18"/>
          <w:vertAlign w:val="baseline"/>
        </w:rPr>
        <w:t>Office</w:t>
      </w:r>
      <w:r>
        <w:rPr>
          <w:i/>
          <w:spacing w:val="-3"/>
          <w:sz w:val="18"/>
          <w:vertAlign w:val="baseline"/>
        </w:rPr>
        <w:t> </w:t>
      </w:r>
      <w:r>
        <w:rPr>
          <w:i/>
          <w:sz w:val="18"/>
          <w:vertAlign w:val="baseline"/>
        </w:rPr>
        <w:t>of</w:t>
      </w:r>
      <w:r>
        <w:rPr>
          <w:i/>
          <w:spacing w:val="-3"/>
          <w:sz w:val="18"/>
          <w:vertAlign w:val="baseline"/>
        </w:rPr>
        <w:t> </w:t>
      </w:r>
      <w:r>
        <w:rPr>
          <w:i/>
          <w:sz w:val="18"/>
          <w:vertAlign w:val="baseline"/>
        </w:rPr>
        <w:t>the</w:t>
      </w:r>
      <w:r>
        <w:rPr>
          <w:i/>
          <w:spacing w:val="-3"/>
          <w:sz w:val="18"/>
          <w:vertAlign w:val="baseline"/>
        </w:rPr>
        <w:t> </w:t>
      </w:r>
      <w:r>
        <w:rPr>
          <w:i/>
          <w:sz w:val="18"/>
          <w:vertAlign w:val="baseline"/>
        </w:rPr>
        <w:t>Child</w:t>
      </w:r>
      <w:r>
        <w:rPr>
          <w:i/>
          <w:spacing w:val="-4"/>
          <w:sz w:val="18"/>
          <w:vertAlign w:val="baseline"/>
        </w:rPr>
        <w:t> </w:t>
      </w:r>
      <w:r>
        <w:rPr>
          <w:i/>
          <w:sz w:val="18"/>
          <w:vertAlign w:val="baseline"/>
        </w:rPr>
        <w:t>Advocate</w:t>
      </w:r>
      <w:r>
        <w:rPr>
          <w:i/>
          <w:spacing w:val="-2"/>
          <w:sz w:val="18"/>
          <w:vertAlign w:val="baseline"/>
        </w:rPr>
        <w:t> </w:t>
      </w:r>
      <w:r>
        <w:rPr>
          <w:i/>
          <w:sz w:val="18"/>
          <w:vertAlign w:val="baseline"/>
        </w:rPr>
        <w:t>Annual</w:t>
      </w:r>
      <w:r>
        <w:rPr>
          <w:i/>
          <w:spacing w:val="-4"/>
          <w:sz w:val="18"/>
          <w:vertAlign w:val="baseline"/>
        </w:rPr>
        <w:t> </w:t>
      </w:r>
      <w:r>
        <w:rPr>
          <w:i/>
          <w:sz w:val="18"/>
          <w:vertAlign w:val="baseline"/>
        </w:rPr>
        <w:t>Report:</w:t>
      </w:r>
      <w:r>
        <w:rPr>
          <w:i/>
          <w:spacing w:val="-2"/>
          <w:sz w:val="18"/>
          <w:vertAlign w:val="baseline"/>
        </w:rPr>
        <w:t> </w:t>
      </w:r>
      <w:r>
        <w:rPr>
          <w:i/>
          <w:sz w:val="18"/>
          <w:vertAlign w:val="baseline"/>
        </w:rPr>
        <w:t>Fiscal</w:t>
      </w:r>
      <w:r>
        <w:rPr>
          <w:i/>
          <w:spacing w:val="-4"/>
          <w:sz w:val="18"/>
          <w:vertAlign w:val="baseline"/>
        </w:rPr>
        <w:t> </w:t>
      </w:r>
      <w:r>
        <w:rPr>
          <w:i/>
          <w:sz w:val="18"/>
          <w:vertAlign w:val="baseline"/>
        </w:rPr>
        <w:t>Year</w:t>
      </w:r>
      <w:r>
        <w:rPr>
          <w:i/>
          <w:spacing w:val="-4"/>
          <w:sz w:val="18"/>
          <w:vertAlign w:val="baseline"/>
        </w:rPr>
        <w:t> </w:t>
      </w:r>
      <w:r>
        <w:rPr>
          <w:i/>
          <w:sz w:val="18"/>
          <w:vertAlign w:val="baseline"/>
        </w:rPr>
        <w:t>2022</w:t>
      </w:r>
      <w:r>
        <w:rPr>
          <w:sz w:val="18"/>
          <w:vertAlign w:val="baseline"/>
        </w:rPr>
        <w:t>. </w:t>
      </w:r>
      <w:hyperlink r:id="rId788">
        <w:r>
          <w:rPr>
            <w:color w:val="1153CC"/>
            <w:spacing w:val="-2"/>
            <w:sz w:val="18"/>
            <w:u w:val="single" w:color="1153CC"/>
            <w:vertAlign w:val="baseline"/>
          </w:rPr>
          <w:t>https://www.mass.gov/doc/oca-annual-report-fiscal-year-2022/download</w:t>
        </w:r>
      </w:hyperlink>
      <w:hyperlink r:id="rId788">
        <w:r>
          <w:rPr>
            <w:spacing w:val="-2"/>
            <w:sz w:val="18"/>
            <w:u w:val="none"/>
            <w:vertAlign w:val="baseline"/>
          </w:rPr>
          <w:t>.</w:t>
        </w:r>
      </w:hyperlink>
    </w:p>
    <w:p>
      <w:pPr>
        <w:spacing w:line="219" w:lineRule="exact" w:before="0"/>
        <w:ind w:left="483" w:right="0" w:firstLine="0"/>
        <w:jc w:val="left"/>
        <w:rPr>
          <w:i/>
          <w:sz w:val="18"/>
        </w:rPr>
      </w:pPr>
      <w:r>
        <w:rPr>
          <w:sz w:val="18"/>
          <w:vertAlign w:val="superscript"/>
        </w:rPr>
        <w:t>x</w:t>
      </w:r>
      <w:r>
        <w:rPr>
          <w:spacing w:val="-14"/>
          <w:sz w:val="18"/>
          <w:vertAlign w:val="baseline"/>
        </w:rPr>
        <w:t> </w:t>
      </w:r>
      <w:r>
        <w:rPr>
          <w:i/>
          <w:spacing w:val="-2"/>
          <w:sz w:val="18"/>
          <w:vertAlign w:val="baseline"/>
        </w:rPr>
        <w:t>Ibid.</w:t>
      </w:r>
    </w:p>
    <w:p>
      <w:pPr>
        <w:spacing w:before="0"/>
        <w:ind w:left="483" w:right="0" w:firstLine="0"/>
        <w:jc w:val="both"/>
        <w:rPr>
          <w:sz w:val="18"/>
        </w:rPr>
      </w:pPr>
      <w:bookmarkStart w:name="_bookmark661" w:id="968"/>
      <w:bookmarkEnd w:id="968"/>
      <w:r>
        <w:rPr/>
      </w:r>
      <w:r>
        <w:rPr>
          <w:sz w:val="18"/>
          <w:vertAlign w:val="superscript"/>
        </w:rPr>
        <w:t>xi</w:t>
      </w:r>
      <w:r>
        <w:rPr>
          <w:spacing w:val="-13"/>
          <w:sz w:val="18"/>
          <w:vertAlign w:val="baseline"/>
        </w:rPr>
        <w:t> </w:t>
      </w:r>
      <w:r>
        <w:rPr>
          <w:sz w:val="18"/>
          <w:vertAlign w:val="baseline"/>
        </w:rPr>
        <w:t>Mass.</w:t>
      </w:r>
      <w:r>
        <w:rPr>
          <w:spacing w:val="-3"/>
          <w:sz w:val="18"/>
          <w:vertAlign w:val="baseline"/>
        </w:rPr>
        <w:t> </w:t>
      </w:r>
      <w:r>
        <w:rPr>
          <w:sz w:val="18"/>
          <w:vertAlign w:val="baseline"/>
        </w:rPr>
        <w:t>Gen.</w:t>
      </w:r>
      <w:r>
        <w:rPr>
          <w:spacing w:val="-1"/>
          <w:sz w:val="18"/>
          <w:vertAlign w:val="baseline"/>
        </w:rPr>
        <w:t> </w:t>
      </w:r>
      <w:r>
        <w:rPr>
          <w:sz w:val="18"/>
          <w:vertAlign w:val="baseline"/>
        </w:rPr>
        <w:t>Laws</w:t>
      </w:r>
      <w:r>
        <w:rPr>
          <w:spacing w:val="-1"/>
          <w:sz w:val="18"/>
          <w:vertAlign w:val="baseline"/>
        </w:rPr>
        <w:t> </w:t>
      </w:r>
      <w:r>
        <w:rPr>
          <w:sz w:val="18"/>
          <w:vertAlign w:val="baseline"/>
        </w:rPr>
        <w:t>Ann.</w:t>
      </w:r>
      <w:r>
        <w:rPr>
          <w:spacing w:val="-2"/>
          <w:sz w:val="18"/>
          <w:vertAlign w:val="baseline"/>
        </w:rPr>
        <w:t> </w:t>
      </w:r>
      <w:r>
        <w:rPr>
          <w:sz w:val="18"/>
          <w:vertAlign w:val="baseline"/>
        </w:rPr>
        <w:t>ch.</w:t>
      </w:r>
      <w:r>
        <w:rPr>
          <w:spacing w:val="-1"/>
          <w:sz w:val="18"/>
          <w:vertAlign w:val="baseline"/>
        </w:rPr>
        <w:t> </w:t>
      </w:r>
      <w:r>
        <w:rPr>
          <w:sz w:val="18"/>
          <w:vertAlign w:val="baseline"/>
        </w:rPr>
        <w:t>18C,</w:t>
      </w:r>
      <w:r>
        <w:rPr>
          <w:spacing w:val="-3"/>
          <w:sz w:val="18"/>
          <w:vertAlign w:val="baseline"/>
        </w:rPr>
        <w:t> </w:t>
      </w:r>
      <w:r>
        <w:rPr>
          <w:sz w:val="18"/>
          <w:vertAlign w:val="baseline"/>
        </w:rPr>
        <w:t>§</w:t>
      </w:r>
      <w:r>
        <w:rPr>
          <w:spacing w:val="-1"/>
          <w:sz w:val="18"/>
          <w:vertAlign w:val="baseline"/>
        </w:rPr>
        <w:t> </w:t>
      </w:r>
      <w:r>
        <w:rPr>
          <w:spacing w:val="-5"/>
          <w:sz w:val="18"/>
          <w:vertAlign w:val="baseline"/>
        </w:rPr>
        <w:t>6.</w:t>
      </w:r>
    </w:p>
    <w:p>
      <w:pPr>
        <w:spacing w:before="0"/>
        <w:ind w:left="483" w:right="375" w:firstLine="0"/>
        <w:jc w:val="both"/>
        <w:rPr>
          <w:sz w:val="18"/>
        </w:rPr>
      </w:pPr>
      <w:r>
        <w:rPr>
          <w:sz w:val="18"/>
          <w:vertAlign w:val="superscript"/>
        </w:rPr>
        <w:t>xii</w:t>
      </w:r>
      <w:r>
        <w:rPr>
          <w:spacing w:val="-11"/>
          <w:sz w:val="18"/>
          <w:vertAlign w:val="baseline"/>
        </w:rPr>
        <w:t> </w:t>
      </w:r>
      <w:r>
        <w:rPr>
          <w:sz w:val="18"/>
          <w:vertAlign w:val="baseline"/>
        </w:rPr>
        <w:t>U.S.</w:t>
      </w:r>
      <w:r>
        <w:rPr>
          <w:spacing w:val="-6"/>
          <w:sz w:val="18"/>
          <w:vertAlign w:val="baseline"/>
        </w:rPr>
        <w:t> </w:t>
      </w:r>
      <w:r>
        <w:rPr>
          <w:sz w:val="18"/>
          <w:vertAlign w:val="baseline"/>
        </w:rPr>
        <w:t>Administration</w:t>
      </w:r>
      <w:r>
        <w:rPr>
          <w:spacing w:val="-2"/>
          <w:sz w:val="18"/>
          <w:vertAlign w:val="baseline"/>
        </w:rPr>
        <w:t> </w:t>
      </w:r>
      <w:r>
        <w:rPr>
          <w:sz w:val="18"/>
          <w:vertAlign w:val="baseline"/>
        </w:rPr>
        <w:t>for</w:t>
      </w:r>
      <w:r>
        <w:rPr>
          <w:spacing w:val="-3"/>
          <w:sz w:val="18"/>
          <w:vertAlign w:val="baseline"/>
        </w:rPr>
        <w:t> </w:t>
      </w:r>
      <w:r>
        <w:rPr>
          <w:sz w:val="18"/>
          <w:vertAlign w:val="baseline"/>
        </w:rPr>
        <w:t>Children</w:t>
      </w:r>
      <w:r>
        <w:rPr>
          <w:spacing w:val="-2"/>
          <w:sz w:val="18"/>
          <w:vertAlign w:val="baseline"/>
        </w:rPr>
        <w:t> </w:t>
      </w:r>
      <w:r>
        <w:rPr>
          <w:sz w:val="18"/>
          <w:vertAlign w:val="baseline"/>
        </w:rPr>
        <w:t>and</w:t>
      </w:r>
      <w:r>
        <w:rPr>
          <w:spacing w:val="-2"/>
          <w:sz w:val="18"/>
          <w:vertAlign w:val="baseline"/>
        </w:rPr>
        <w:t> </w:t>
      </w:r>
      <w:r>
        <w:rPr>
          <w:sz w:val="18"/>
          <w:vertAlign w:val="baseline"/>
        </w:rPr>
        <w:t>Families,</w:t>
      </w:r>
      <w:r>
        <w:rPr>
          <w:spacing w:val="-3"/>
          <w:sz w:val="18"/>
          <w:vertAlign w:val="baseline"/>
        </w:rPr>
        <w:t> </w:t>
      </w:r>
      <w:r>
        <w:rPr>
          <w:sz w:val="18"/>
          <w:vertAlign w:val="baseline"/>
        </w:rPr>
        <w:t>Children’s</w:t>
      </w:r>
      <w:r>
        <w:rPr>
          <w:spacing w:val="-2"/>
          <w:sz w:val="18"/>
          <w:vertAlign w:val="baseline"/>
        </w:rPr>
        <w:t> </w:t>
      </w:r>
      <w:r>
        <w:rPr>
          <w:sz w:val="18"/>
          <w:vertAlign w:val="baseline"/>
        </w:rPr>
        <w:t>Bureau.</w:t>
      </w:r>
      <w:r>
        <w:rPr>
          <w:spacing w:val="-2"/>
          <w:sz w:val="18"/>
          <w:vertAlign w:val="baseline"/>
        </w:rPr>
        <w:t> </w:t>
      </w:r>
      <w:r>
        <w:rPr>
          <w:i/>
          <w:sz w:val="18"/>
          <w:vertAlign w:val="baseline"/>
        </w:rPr>
        <w:t>Advancing</w:t>
      </w:r>
      <w:r>
        <w:rPr>
          <w:i/>
          <w:spacing w:val="-3"/>
          <w:sz w:val="18"/>
          <w:vertAlign w:val="baseline"/>
        </w:rPr>
        <w:t> </w:t>
      </w:r>
      <w:r>
        <w:rPr>
          <w:i/>
          <w:sz w:val="18"/>
          <w:vertAlign w:val="baseline"/>
        </w:rPr>
        <w:t>Equity</w:t>
      </w:r>
      <w:r>
        <w:rPr>
          <w:i/>
          <w:spacing w:val="-2"/>
          <w:sz w:val="18"/>
          <w:vertAlign w:val="baseline"/>
        </w:rPr>
        <w:t> </w:t>
      </w:r>
      <w:r>
        <w:rPr>
          <w:i/>
          <w:sz w:val="18"/>
          <w:vertAlign w:val="baseline"/>
        </w:rPr>
        <w:t>and</w:t>
      </w:r>
      <w:r>
        <w:rPr>
          <w:i/>
          <w:spacing w:val="-3"/>
          <w:sz w:val="18"/>
          <w:vertAlign w:val="baseline"/>
        </w:rPr>
        <w:t> </w:t>
      </w:r>
      <w:r>
        <w:rPr>
          <w:i/>
          <w:sz w:val="18"/>
          <w:vertAlign w:val="baseline"/>
        </w:rPr>
        <w:t>Inclusion</w:t>
      </w:r>
      <w:r>
        <w:rPr>
          <w:i/>
          <w:spacing w:val="-3"/>
          <w:sz w:val="18"/>
          <w:vertAlign w:val="baseline"/>
        </w:rPr>
        <w:t> </w:t>
      </w:r>
      <w:r>
        <w:rPr>
          <w:i/>
          <w:sz w:val="18"/>
          <w:vertAlign w:val="baseline"/>
        </w:rPr>
        <w:t>Through</w:t>
      </w:r>
      <w:r>
        <w:rPr>
          <w:i/>
          <w:spacing w:val="-3"/>
          <w:sz w:val="18"/>
          <w:vertAlign w:val="baseline"/>
        </w:rPr>
        <w:t> </w:t>
      </w:r>
      <w:r>
        <w:rPr>
          <w:i/>
          <w:sz w:val="18"/>
          <w:vertAlign w:val="baseline"/>
        </w:rPr>
        <w:t>the</w:t>
      </w:r>
      <w:r>
        <w:rPr>
          <w:i/>
          <w:spacing w:val="-2"/>
          <w:sz w:val="18"/>
          <w:vertAlign w:val="baseline"/>
        </w:rPr>
        <w:t> </w:t>
      </w:r>
      <w:r>
        <w:rPr>
          <w:i/>
          <w:sz w:val="18"/>
          <w:vertAlign w:val="baseline"/>
        </w:rPr>
        <w:t>Child</w:t>
      </w:r>
      <w:r>
        <w:rPr>
          <w:i/>
          <w:spacing w:val="-3"/>
          <w:sz w:val="18"/>
          <w:vertAlign w:val="baseline"/>
        </w:rPr>
        <w:t> </w:t>
      </w:r>
      <w:r>
        <w:rPr>
          <w:i/>
          <w:sz w:val="18"/>
          <w:vertAlign w:val="baseline"/>
        </w:rPr>
        <w:t>and</w:t>
      </w:r>
      <w:r>
        <w:rPr>
          <w:i/>
          <w:spacing w:val="-3"/>
          <w:sz w:val="18"/>
          <w:vertAlign w:val="baseline"/>
        </w:rPr>
        <w:t> </w:t>
      </w:r>
      <w:r>
        <w:rPr>
          <w:i/>
          <w:sz w:val="18"/>
          <w:vertAlign w:val="baseline"/>
        </w:rPr>
        <w:t>Family</w:t>
      </w:r>
      <w:r>
        <w:rPr>
          <w:i/>
          <w:sz w:val="18"/>
          <w:vertAlign w:val="baseline"/>
        </w:rPr>
        <w:t> Service</w:t>
      </w:r>
      <w:r>
        <w:rPr>
          <w:i/>
          <w:spacing w:val="-11"/>
          <w:sz w:val="18"/>
          <w:vertAlign w:val="baseline"/>
        </w:rPr>
        <w:t> </w:t>
      </w:r>
      <w:r>
        <w:rPr>
          <w:i/>
          <w:sz w:val="18"/>
          <w:vertAlign w:val="baseline"/>
        </w:rPr>
        <w:t>Reviews</w:t>
      </w:r>
      <w:r>
        <w:rPr>
          <w:sz w:val="18"/>
          <w:vertAlign w:val="baseline"/>
        </w:rPr>
        <w:t>.</w:t>
      </w:r>
      <w:r>
        <w:rPr>
          <w:spacing w:val="-10"/>
          <w:sz w:val="18"/>
          <w:vertAlign w:val="baseline"/>
        </w:rPr>
        <w:t> </w:t>
      </w:r>
      <w:hyperlink r:id="rId789">
        <w:r>
          <w:rPr>
            <w:color w:val="1153CC"/>
            <w:sz w:val="18"/>
            <w:u w:val="single" w:color="1153CC"/>
            <w:vertAlign w:val="baseline"/>
          </w:rPr>
          <w:t>https://www.cfsrportal.acf.hhs.gov/resources/round-4-resources/cfsr-round-4-process/advancing-equity-and-</w:t>
        </w:r>
      </w:hyperlink>
      <w:r>
        <w:rPr>
          <w:color w:val="1153CC"/>
          <w:sz w:val="18"/>
          <w:u w:val="none"/>
          <w:vertAlign w:val="baseline"/>
        </w:rPr>
        <w:t> </w:t>
      </w:r>
      <w:hyperlink r:id="rId789">
        <w:r>
          <w:rPr>
            <w:color w:val="1153CC"/>
            <w:spacing w:val="-2"/>
            <w:sz w:val="18"/>
            <w:u w:val="single" w:color="1153CC"/>
            <w:vertAlign w:val="baseline"/>
          </w:rPr>
          <w:t>inclusion-through-cfsrs</w:t>
        </w:r>
      </w:hyperlink>
    </w:p>
    <w:p>
      <w:pPr>
        <w:spacing w:before="0"/>
        <w:ind w:left="483" w:right="420" w:hanging="1"/>
        <w:jc w:val="left"/>
        <w:rPr>
          <w:sz w:val="18"/>
        </w:rPr>
      </w:pPr>
      <w:r>
        <w:rPr>
          <w:sz w:val="18"/>
          <w:vertAlign w:val="superscript"/>
        </w:rPr>
        <w:t>xiii</w:t>
      </w:r>
      <w:r>
        <w:rPr>
          <w:spacing w:val="-2"/>
          <w:sz w:val="18"/>
          <w:vertAlign w:val="baseline"/>
        </w:rPr>
        <w:t> </w:t>
      </w:r>
      <w:r>
        <w:rPr>
          <w:sz w:val="18"/>
          <w:vertAlign w:val="baseline"/>
        </w:rPr>
        <w:t>Alexis</w:t>
      </w:r>
      <w:r>
        <w:rPr>
          <w:spacing w:val="-2"/>
          <w:sz w:val="18"/>
          <w:vertAlign w:val="baseline"/>
        </w:rPr>
        <w:t> </w:t>
      </w:r>
      <w:r>
        <w:rPr>
          <w:sz w:val="18"/>
          <w:vertAlign w:val="baseline"/>
        </w:rPr>
        <w:t>Henry</w:t>
      </w:r>
      <w:r>
        <w:rPr>
          <w:spacing w:val="-2"/>
          <w:sz w:val="18"/>
          <w:vertAlign w:val="baseline"/>
        </w:rPr>
        <w:t> </w:t>
      </w:r>
      <w:r>
        <w:rPr>
          <w:sz w:val="18"/>
          <w:vertAlign w:val="baseline"/>
        </w:rPr>
        <w:t>and</w:t>
      </w:r>
      <w:r>
        <w:rPr>
          <w:spacing w:val="-2"/>
          <w:sz w:val="18"/>
          <w:vertAlign w:val="baseline"/>
        </w:rPr>
        <w:t> </w:t>
      </w:r>
      <w:r>
        <w:rPr>
          <w:sz w:val="18"/>
          <w:vertAlign w:val="baseline"/>
        </w:rPr>
        <w:t>Carter</w:t>
      </w:r>
      <w:r>
        <w:rPr>
          <w:spacing w:val="-3"/>
          <w:sz w:val="18"/>
          <w:vertAlign w:val="baseline"/>
        </w:rPr>
        <w:t> </w:t>
      </w:r>
      <w:r>
        <w:rPr>
          <w:sz w:val="18"/>
          <w:vertAlign w:val="baseline"/>
        </w:rPr>
        <w:t>Pratt,</w:t>
      </w:r>
      <w:r>
        <w:rPr>
          <w:spacing w:val="-3"/>
          <w:sz w:val="18"/>
          <w:vertAlign w:val="baseline"/>
        </w:rPr>
        <w:t> </w:t>
      </w:r>
      <w:r>
        <w:rPr>
          <w:sz w:val="18"/>
          <w:vertAlign w:val="baseline"/>
        </w:rPr>
        <w:t>“Evaluation</w:t>
      </w:r>
      <w:r>
        <w:rPr>
          <w:spacing w:val="-2"/>
          <w:sz w:val="18"/>
          <w:vertAlign w:val="baseline"/>
        </w:rPr>
        <w:t> </w:t>
      </w:r>
      <w:r>
        <w:rPr>
          <w:sz w:val="18"/>
          <w:vertAlign w:val="baseline"/>
        </w:rPr>
        <w:t>of</w:t>
      </w:r>
      <w:r>
        <w:rPr>
          <w:spacing w:val="-2"/>
          <w:sz w:val="18"/>
          <w:vertAlign w:val="baseline"/>
        </w:rPr>
        <w:t> </w:t>
      </w:r>
      <w:r>
        <w:rPr>
          <w:sz w:val="18"/>
          <w:vertAlign w:val="baseline"/>
        </w:rPr>
        <w:t>a</w:t>
      </w:r>
      <w:r>
        <w:rPr>
          <w:spacing w:val="-2"/>
          <w:sz w:val="18"/>
          <w:vertAlign w:val="baseline"/>
        </w:rPr>
        <w:t> </w:t>
      </w:r>
      <w:r>
        <w:rPr>
          <w:sz w:val="18"/>
          <w:vertAlign w:val="baseline"/>
        </w:rPr>
        <w:t>Housing</w:t>
      </w:r>
      <w:r>
        <w:rPr>
          <w:spacing w:val="-2"/>
          <w:sz w:val="18"/>
          <w:vertAlign w:val="baseline"/>
        </w:rPr>
        <w:t> </w:t>
      </w:r>
      <w:r>
        <w:rPr>
          <w:sz w:val="18"/>
          <w:vertAlign w:val="baseline"/>
        </w:rPr>
        <w:t>Stabilization</w:t>
      </w:r>
      <w:r>
        <w:rPr>
          <w:spacing w:val="-2"/>
          <w:sz w:val="18"/>
          <w:vertAlign w:val="baseline"/>
        </w:rPr>
        <w:t> </w:t>
      </w:r>
      <w:r>
        <w:rPr>
          <w:sz w:val="18"/>
          <w:vertAlign w:val="baseline"/>
        </w:rPr>
        <w:t>and</w:t>
      </w:r>
      <w:r>
        <w:rPr>
          <w:spacing w:val="-2"/>
          <w:sz w:val="18"/>
          <w:vertAlign w:val="baseline"/>
        </w:rPr>
        <w:t> </w:t>
      </w:r>
      <w:r>
        <w:rPr>
          <w:sz w:val="18"/>
          <w:vertAlign w:val="baseline"/>
        </w:rPr>
        <w:t>Support</w:t>
      </w:r>
      <w:r>
        <w:rPr>
          <w:spacing w:val="-3"/>
          <w:sz w:val="18"/>
          <w:vertAlign w:val="baseline"/>
        </w:rPr>
        <w:t> </w:t>
      </w:r>
      <w:r>
        <w:rPr>
          <w:sz w:val="18"/>
          <w:vertAlign w:val="baseline"/>
        </w:rPr>
        <w:t>Program</w:t>
      </w:r>
      <w:r>
        <w:rPr>
          <w:spacing w:val="-2"/>
          <w:sz w:val="18"/>
          <w:vertAlign w:val="baseline"/>
        </w:rPr>
        <w:t> </w:t>
      </w:r>
      <w:r>
        <w:rPr>
          <w:sz w:val="18"/>
          <w:vertAlign w:val="baseline"/>
        </w:rPr>
        <w:t>for</w:t>
      </w:r>
      <w:r>
        <w:rPr>
          <w:spacing w:val="-3"/>
          <w:sz w:val="18"/>
          <w:vertAlign w:val="baseline"/>
        </w:rPr>
        <w:t> </w:t>
      </w:r>
      <w:r>
        <w:rPr>
          <w:sz w:val="18"/>
          <w:vertAlign w:val="baseline"/>
        </w:rPr>
        <w:t>DCF-Involved</w:t>
      </w:r>
      <w:r>
        <w:rPr>
          <w:spacing w:val="-2"/>
          <w:sz w:val="18"/>
          <w:vertAlign w:val="baseline"/>
        </w:rPr>
        <w:t> </w:t>
      </w:r>
      <w:r>
        <w:rPr>
          <w:sz w:val="18"/>
          <w:vertAlign w:val="baseline"/>
        </w:rPr>
        <w:t>Youth</w:t>
      </w:r>
      <w:r>
        <w:rPr>
          <w:spacing w:val="-2"/>
          <w:sz w:val="18"/>
          <w:vertAlign w:val="baseline"/>
        </w:rPr>
        <w:t> </w:t>
      </w:r>
      <w:r>
        <w:rPr>
          <w:sz w:val="18"/>
          <w:vertAlign w:val="baseline"/>
        </w:rPr>
        <w:t>and</w:t>
      </w:r>
      <w:r>
        <w:rPr>
          <w:spacing w:val="-2"/>
          <w:sz w:val="18"/>
          <w:vertAlign w:val="baseline"/>
        </w:rPr>
        <w:t> </w:t>
      </w:r>
      <w:r>
        <w:rPr>
          <w:sz w:val="18"/>
          <w:vertAlign w:val="baseline"/>
        </w:rPr>
        <w:t>Young Adults: FY22 Update,” August 2022, https://</w:t>
      </w:r>
      <w:hyperlink r:id="rId790">
        <w:r>
          <w:rPr>
            <w:sz w:val="18"/>
            <w:vertAlign w:val="baseline"/>
          </w:rPr>
          <w:t>www.mass.gov/doc/a-housing-stabilization-and-</w:t>
        </w:r>
      </w:hyperlink>
      <w:r>
        <w:rPr>
          <w:sz w:val="18"/>
          <w:vertAlign w:val="baseline"/>
        </w:rPr>
        <w:t> support-program-for-young- adults-opting-out-of-dcf-care-interim-evaluation-august-2022-update-on-hssp- pilot/download.</w:t>
      </w:r>
    </w:p>
    <w:p>
      <w:pPr>
        <w:spacing w:before="0"/>
        <w:ind w:left="483" w:right="2527" w:firstLine="0"/>
        <w:jc w:val="left"/>
        <w:rPr>
          <w:sz w:val="18"/>
        </w:rPr>
      </w:pPr>
      <w:r>
        <w:rPr>
          <w:sz w:val="18"/>
          <w:vertAlign w:val="superscript"/>
        </w:rPr>
        <w:t>xiv</w:t>
      </w:r>
      <w:r>
        <w:rPr>
          <w:spacing w:val="-14"/>
          <w:sz w:val="18"/>
          <w:vertAlign w:val="baseline"/>
        </w:rPr>
        <w:t> </w:t>
      </w:r>
      <w:r>
        <w:rPr>
          <w:sz w:val="18"/>
          <w:vertAlign w:val="baseline"/>
        </w:rPr>
        <w:t>Office</w:t>
      </w:r>
      <w:r>
        <w:rPr>
          <w:spacing w:val="-4"/>
          <w:sz w:val="18"/>
          <w:vertAlign w:val="baseline"/>
        </w:rPr>
        <w:t> </w:t>
      </w:r>
      <w:r>
        <w:rPr>
          <w:sz w:val="18"/>
          <w:vertAlign w:val="baseline"/>
        </w:rPr>
        <w:t>of</w:t>
      </w:r>
      <w:r>
        <w:rPr>
          <w:spacing w:val="-3"/>
          <w:sz w:val="18"/>
          <w:vertAlign w:val="baseline"/>
        </w:rPr>
        <w:t> </w:t>
      </w:r>
      <w:r>
        <w:rPr>
          <w:sz w:val="18"/>
          <w:vertAlign w:val="baseline"/>
        </w:rPr>
        <w:t>the</w:t>
      </w:r>
      <w:r>
        <w:rPr>
          <w:spacing w:val="-3"/>
          <w:sz w:val="18"/>
          <w:vertAlign w:val="baseline"/>
        </w:rPr>
        <w:t> </w:t>
      </w:r>
      <w:r>
        <w:rPr>
          <w:sz w:val="18"/>
          <w:vertAlign w:val="baseline"/>
        </w:rPr>
        <w:t>Child</w:t>
      </w:r>
      <w:r>
        <w:rPr>
          <w:spacing w:val="-3"/>
          <w:sz w:val="18"/>
          <w:vertAlign w:val="baseline"/>
        </w:rPr>
        <w:t> </w:t>
      </w:r>
      <w:r>
        <w:rPr>
          <w:sz w:val="18"/>
          <w:vertAlign w:val="baseline"/>
        </w:rPr>
        <w:t>Advocate.</w:t>
      </w:r>
      <w:r>
        <w:rPr>
          <w:spacing w:val="-3"/>
          <w:sz w:val="18"/>
          <w:vertAlign w:val="baseline"/>
        </w:rPr>
        <w:t> </w:t>
      </w:r>
      <w:r>
        <w:rPr>
          <w:sz w:val="18"/>
          <w:vertAlign w:val="baseline"/>
        </w:rPr>
        <w:t>2023.</w:t>
      </w:r>
      <w:r>
        <w:rPr>
          <w:spacing w:val="-3"/>
          <w:sz w:val="18"/>
          <w:vertAlign w:val="baseline"/>
        </w:rPr>
        <w:t> </w:t>
      </w:r>
      <w:r>
        <w:rPr>
          <w:i/>
          <w:sz w:val="18"/>
          <w:vertAlign w:val="baseline"/>
        </w:rPr>
        <w:t>Office</w:t>
      </w:r>
      <w:r>
        <w:rPr>
          <w:i/>
          <w:spacing w:val="-3"/>
          <w:sz w:val="18"/>
          <w:vertAlign w:val="baseline"/>
        </w:rPr>
        <w:t> </w:t>
      </w:r>
      <w:r>
        <w:rPr>
          <w:i/>
          <w:sz w:val="18"/>
          <w:vertAlign w:val="baseline"/>
        </w:rPr>
        <w:t>of</w:t>
      </w:r>
      <w:r>
        <w:rPr>
          <w:i/>
          <w:spacing w:val="-3"/>
          <w:sz w:val="18"/>
          <w:vertAlign w:val="baseline"/>
        </w:rPr>
        <w:t> </w:t>
      </w:r>
      <w:r>
        <w:rPr>
          <w:i/>
          <w:sz w:val="18"/>
          <w:vertAlign w:val="baseline"/>
        </w:rPr>
        <w:t>the</w:t>
      </w:r>
      <w:r>
        <w:rPr>
          <w:i/>
          <w:spacing w:val="-3"/>
          <w:sz w:val="18"/>
          <w:vertAlign w:val="baseline"/>
        </w:rPr>
        <w:t> </w:t>
      </w:r>
      <w:r>
        <w:rPr>
          <w:i/>
          <w:sz w:val="18"/>
          <w:vertAlign w:val="baseline"/>
        </w:rPr>
        <w:t>Child</w:t>
      </w:r>
      <w:r>
        <w:rPr>
          <w:i/>
          <w:spacing w:val="-4"/>
          <w:sz w:val="18"/>
          <w:vertAlign w:val="baseline"/>
        </w:rPr>
        <w:t> </w:t>
      </w:r>
      <w:r>
        <w:rPr>
          <w:i/>
          <w:sz w:val="18"/>
          <w:vertAlign w:val="baseline"/>
        </w:rPr>
        <w:t>Advocate</w:t>
      </w:r>
      <w:r>
        <w:rPr>
          <w:i/>
          <w:spacing w:val="-2"/>
          <w:sz w:val="18"/>
          <w:vertAlign w:val="baseline"/>
        </w:rPr>
        <w:t> </w:t>
      </w:r>
      <w:r>
        <w:rPr>
          <w:i/>
          <w:sz w:val="18"/>
          <w:vertAlign w:val="baseline"/>
        </w:rPr>
        <w:t>Annual</w:t>
      </w:r>
      <w:r>
        <w:rPr>
          <w:i/>
          <w:spacing w:val="-4"/>
          <w:sz w:val="18"/>
          <w:vertAlign w:val="baseline"/>
        </w:rPr>
        <w:t> </w:t>
      </w:r>
      <w:r>
        <w:rPr>
          <w:i/>
          <w:sz w:val="18"/>
          <w:vertAlign w:val="baseline"/>
        </w:rPr>
        <w:t>Report:</w:t>
      </w:r>
      <w:r>
        <w:rPr>
          <w:i/>
          <w:spacing w:val="-2"/>
          <w:sz w:val="18"/>
          <w:vertAlign w:val="baseline"/>
        </w:rPr>
        <w:t> </w:t>
      </w:r>
      <w:r>
        <w:rPr>
          <w:i/>
          <w:sz w:val="18"/>
          <w:vertAlign w:val="baseline"/>
        </w:rPr>
        <w:t>Fiscal</w:t>
      </w:r>
      <w:r>
        <w:rPr>
          <w:i/>
          <w:spacing w:val="-4"/>
          <w:sz w:val="18"/>
          <w:vertAlign w:val="baseline"/>
        </w:rPr>
        <w:t> </w:t>
      </w:r>
      <w:r>
        <w:rPr>
          <w:i/>
          <w:sz w:val="18"/>
          <w:vertAlign w:val="baseline"/>
        </w:rPr>
        <w:t>Year</w:t>
      </w:r>
      <w:r>
        <w:rPr>
          <w:i/>
          <w:spacing w:val="-4"/>
          <w:sz w:val="18"/>
          <w:vertAlign w:val="baseline"/>
        </w:rPr>
        <w:t> </w:t>
      </w:r>
      <w:r>
        <w:rPr>
          <w:i/>
          <w:sz w:val="18"/>
          <w:vertAlign w:val="baseline"/>
        </w:rPr>
        <w:t>2022</w:t>
      </w:r>
      <w:r>
        <w:rPr>
          <w:sz w:val="18"/>
          <w:vertAlign w:val="baseline"/>
        </w:rPr>
        <w:t>. </w:t>
      </w:r>
      <w:hyperlink r:id="rId788">
        <w:r>
          <w:rPr>
            <w:color w:val="1153CC"/>
            <w:spacing w:val="-2"/>
            <w:sz w:val="18"/>
            <w:u w:val="single" w:color="1153CC"/>
            <w:vertAlign w:val="baseline"/>
          </w:rPr>
          <w:t>https://www.mass.gov/doc/oca-annual-report-fiscal-year-2022/download</w:t>
        </w:r>
      </w:hyperlink>
      <w:hyperlink r:id="rId788">
        <w:r>
          <w:rPr>
            <w:spacing w:val="-2"/>
            <w:sz w:val="18"/>
            <w:u w:val="none"/>
            <w:vertAlign w:val="baseline"/>
          </w:rPr>
          <w:t>.</w:t>
        </w:r>
      </w:hyperlink>
    </w:p>
    <w:p>
      <w:pPr>
        <w:spacing w:line="219" w:lineRule="exact" w:before="0"/>
        <w:ind w:left="483" w:right="0" w:firstLine="0"/>
        <w:jc w:val="left"/>
        <w:rPr>
          <w:i/>
          <w:sz w:val="18"/>
        </w:rPr>
      </w:pPr>
      <w:r>
        <w:rPr>
          <w:spacing w:val="-2"/>
          <w:sz w:val="18"/>
          <w:vertAlign w:val="superscript"/>
        </w:rPr>
        <w:t>xv</w:t>
      </w:r>
      <w:r>
        <w:rPr>
          <w:spacing w:val="-11"/>
          <w:sz w:val="18"/>
          <w:vertAlign w:val="baseline"/>
        </w:rPr>
        <w:t> </w:t>
      </w:r>
      <w:r>
        <w:rPr>
          <w:i/>
          <w:spacing w:val="-2"/>
          <w:sz w:val="18"/>
          <w:vertAlign w:val="baseline"/>
        </w:rPr>
        <w:t>Ibid.</w:t>
      </w:r>
    </w:p>
    <w:p>
      <w:pPr>
        <w:spacing w:before="0"/>
        <w:ind w:left="483" w:right="474" w:hanging="1"/>
        <w:jc w:val="left"/>
        <w:rPr>
          <w:sz w:val="18"/>
        </w:rPr>
      </w:pPr>
      <w:r>
        <w:rPr>
          <w:sz w:val="18"/>
          <w:vertAlign w:val="superscript"/>
        </w:rPr>
        <w:t>xvi</w:t>
      </w:r>
      <w:r>
        <w:rPr>
          <w:spacing w:val="-14"/>
          <w:sz w:val="18"/>
          <w:vertAlign w:val="baseline"/>
        </w:rPr>
        <w:t> </w:t>
      </w:r>
      <w:r>
        <w:rPr>
          <w:sz w:val="18"/>
          <w:vertAlign w:val="baseline"/>
        </w:rPr>
        <w:t>Angela</w:t>
      </w:r>
      <w:r>
        <w:rPr>
          <w:spacing w:val="-4"/>
          <w:sz w:val="18"/>
          <w:vertAlign w:val="baseline"/>
        </w:rPr>
        <w:t> </w:t>
      </w:r>
      <w:r>
        <w:rPr>
          <w:sz w:val="18"/>
          <w:vertAlign w:val="baseline"/>
        </w:rPr>
        <w:t>Irvine</w:t>
      </w:r>
      <w:r>
        <w:rPr>
          <w:spacing w:val="-4"/>
          <w:sz w:val="18"/>
          <w:vertAlign w:val="baseline"/>
        </w:rPr>
        <w:t> </w:t>
      </w:r>
      <w:r>
        <w:rPr>
          <w:sz w:val="18"/>
          <w:vertAlign w:val="baseline"/>
        </w:rPr>
        <w:t>and</w:t>
      </w:r>
      <w:r>
        <w:rPr>
          <w:spacing w:val="-3"/>
          <w:sz w:val="18"/>
          <w:vertAlign w:val="baseline"/>
        </w:rPr>
        <w:t> </w:t>
      </w:r>
      <w:r>
        <w:rPr>
          <w:sz w:val="18"/>
          <w:vertAlign w:val="baseline"/>
        </w:rPr>
        <w:t>Aisha</w:t>
      </w:r>
      <w:r>
        <w:rPr>
          <w:spacing w:val="-3"/>
          <w:sz w:val="18"/>
          <w:vertAlign w:val="baseline"/>
        </w:rPr>
        <w:t> </w:t>
      </w:r>
      <w:r>
        <w:rPr>
          <w:sz w:val="18"/>
          <w:vertAlign w:val="baseline"/>
        </w:rPr>
        <w:t>Canfield,</w:t>
      </w:r>
      <w:r>
        <w:rPr>
          <w:spacing w:val="-4"/>
          <w:sz w:val="18"/>
          <w:vertAlign w:val="baseline"/>
        </w:rPr>
        <w:t> </w:t>
      </w:r>
      <w:r>
        <w:rPr>
          <w:sz w:val="18"/>
          <w:vertAlign w:val="baseline"/>
        </w:rPr>
        <w:t>“The</w:t>
      </w:r>
      <w:r>
        <w:rPr>
          <w:spacing w:val="-3"/>
          <w:sz w:val="18"/>
          <w:vertAlign w:val="baseline"/>
        </w:rPr>
        <w:t> </w:t>
      </w:r>
      <w:r>
        <w:rPr>
          <w:sz w:val="18"/>
          <w:vertAlign w:val="baseline"/>
        </w:rPr>
        <w:t>Overrepresentation</w:t>
      </w:r>
      <w:r>
        <w:rPr>
          <w:spacing w:val="-3"/>
          <w:sz w:val="18"/>
          <w:vertAlign w:val="baseline"/>
        </w:rPr>
        <w:t> </w:t>
      </w:r>
      <w:r>
        <w:rPr>
          <w:sz w:val="18"/>
          <w:vertAlign w:val="baseline"/>
        </w:rPr>
        <w:t>of</w:t>
      </w:r>
      <w:r>
        <w:rPr>
          <w:spacing w:val="-3"/>
          <w:sz w:val="18"/>
          <w:vertAlign w:val="baseline"/>
        </w:rPr>
        <w:t> </w:t>
      </w:r>
      <w:r>
        <w:rPr>
          <w:sz w:val="18"/>
          <w:vertAlign w:val="baseline"/>
        </w:rPr>
        <w:t>Lesbian,</w:t>
      </w:r>
      <w:r>
        <w:rPr>
          <w:spacing w:val="-4"/>
          <w:sz w:val="18"/>
          <w:vertAlign w:val="baseline"/>
        </w:rPr>
        <w:t> </w:t>
      </w:r>
      <w:r>
        <w:rPr>
          <w:sz w:val="18"/>
          <w:vertAlign w:val="baseline"/>
        </w:rPr>
        <w:t>Gay,</w:t>
      </w:r>
      <w:r>
        <w:rPr>
          <w:spacing w:val="-4"/>
          <w:sz w:val="18"/>
          <w:vertAlign w:val="baseline"/>
        </w:rPr>
        <w:t> </w:t>
      </w:r>
      <w:r>
        <w:rPr>
          <w:sz w:val="18"/>
          <w:vertAlign w:val="baseline"/>
        </w:rPr>
        <w:t>Bisexual,</w:t>
      </w:r>
      <w:r>
        <w:rPr>
          <w:spacing w:val="-4"/>
          <w:sz w:val="18"/>
          <w:vertAlign w:val="baseline"/>
        </w:rPr>
        <w:t> </w:t>
      </w:r>
      <w:r>
        <w:rPr>
          <w:sz w:val="18"/>
          <w:vertAlign w:val="baseline"/>
        </w:rPr>
        <w:t>Questioning,</w:t>
      </w:r>
      <w:r>
        <w:rPr>
          <w:spacing w:val="-4"/>
          <w:sz w:val="18"/>
          <w:vertAlign w:val="baseline"/>
        </w:rPr>
        <w:t> </w:t>
      </w:r>
      <w:r>
        <w:rPr>
          <w:sz w:val="18"/>
          <w:vertAlign w:val="baseline"/>
        </w:rPr>
        <w:t>Gender</w:t>
      </w:r>
      <w:r>
        <w:rPr>
          <w:spacing w:val="-4"/>
          <w:sz w:val="18"/>
          <w:vertAlign w:val="baseline"/>
        </w:rPr>
        <w:t> </w:t>
      </w:r>
      <w:r>
        <w:rPr>
          <w:sz w:val="18"/>
          <w:vertAlign w:val="baseline"/>
        </w:rPr>
        <w:t>Nonconforming and</w:t>
      </w:r>
      <w:r>
        <w:rPr>
          <w:spacing w:val="-2"/>
          <w:sz w:val="18"/>
          <w:vertAlign w:val="baseline"/>
        </w:rPr>
        <w:t> </w:t>
      </w:r>
      <w:r>
        <w:rPr>
          <w:sz w:val="18"/>
          <w:vertAlign w:val="baseline"/>
        </w:rPr>
        <w:t>Transgender</w:t>
      </w:r>
      <w:r>
        <w:rPr>
          <w:spacing w:val="-3"/>
          <w:sz w:val="18"/>
          <w:vertAlign w:val="baseline"/>
        </w:rPr>
        <w:t> </w:t>
      </w:r>
      <w:r>
        <w:rPr>
          <w:sz w:val="18"/>
          <w:vertAlign w:val="baseline"/>
        </w:rPr>
        <w:t>Youth</w:t>
      </w:r>
      <w:r>
        <w:rPr>
          <w:spacing w:val="-2"/>
          <w:sz w:val="18"/>
          <w:vertAlign w:val="baseline"/>
        </w:rPr>
        <w:t> </w:t>
      </w:r>
      <w:r>
        <w:rPr>
          <w:sz w:val="18"/>
          <w:vertAlign w:val="baseline"/>
        </w:rPr>
        <w:t>Within</w:t>
      </w:r>
      <w:r>
        <w:rPr>
          <w:spacing w:val="-2"/>
          <w:sz w:val="18"/>
          <w:vertAlign w:val="baseline"/>
        </w:rPr>
        <w:t> </w:t>
      </w:r>
      <w:r>
        <w:rPr>
          <w:sz w:val="18"/>
          <w:vertAlign w:val="baseline"/>
        </w:rPr>
        <w:t>the</w:t>
      </w:r>
      <w:r>
        <w:rPr>
          <w:spacing w:val="-2"/>
          <w:sz w:val="18"/>
          <w:vertAlign w:val="baseline"/>
        </w:rPr>
        <w:t> </w:t>
      </w:r>
      <w:r>
        <w:rPr>
          <w:sz w:val="18"/>
          <w:vertAlign w:val="baseline"/>
        </w:rPr>
        <w:t>Child</w:t>
      </w:r>
      <w:r>
        <w:rPr>
          <w:spacing w:val="-2"/>
          <w:sz w:val="18"/>
          <w:vertAlign w:val="baseline"/>
        </w:rPr>
        <w:t> </w:t>
      </w:r>
      <w:r>
        <w:rPr>
          <w:sz w:val="18"/>
          <w:vertAlign w:val="baseline"/>
        </w:rPr>
        <w:t>Welfare</w:t>
      </w:r>
      <w:r>
        <w:rPr>
          <w:spacing w:val="-2"/>
          <w:sz w:val="18"/>
          <w:vertAlign w:val="baseline"/>
        </w:rPr>
        <w:t> </w:t>
      </w:r>
      <w:r>
        <w:rPr>
          <w:sz w:val="18"/>
          <w:vertAlign w:val="baseline"/>
        </w:rPr>
        <w:t>to</w:t>
      </w:r>
      <w:r>
        <w:rPr>
          <w:spacing w:val="-2"/>
          <w:sz w:val="18"/>
          <w:vertAlign w:val="baseline"/>
        </w:rPr>
        <w:t> </w:t>
      </w:r>
      <w:r>
        <w:rPr>
          <w:sz w:val="18"/>
          <w:vertAlign w:val="baseline"/>
        </w:rPr>
        <w:t>Juvenile</w:t>
      </w:r>
      <w:r>
        <w:rPr>
          <w:spacing w:val="-2"/>
          <w:sz w:val="18"/>
          <w:vertAlign w:val="baseline"/>
        </w:rPr>
        <w:t> </w:t>
      </w:r>
      <w:r>
        <w:rPr>
          <w:sz w:val="18"/>
          <w:vertAlign w:val="baseline"/>
        </w:rPr>
        <w:t>Justice</w:t>
      </w:r>
      <w:r>
        <w:rPr>
          <w:spacing w:val="-2"/>
          <w:sz w:val="18"/>
          <w:vertAlign w:val="baseline"/>
        </w:rPr>
        <w:t> </w:t>
      </w:r>
      <w:r>
        <w:rPr>
          <w:sz w:val="18"/>
          <w:vertAlign w:val="baseline"/>
        </w:rPr>
        <w:t>Crossover</w:t>
      </w:r>
      <w:r>
        <w:rPr>
          <w:spacing w:val="-3"/>
          <w:sz w:val="18"/>
          <w:vertAlign w:val="baseline"/>
        </w:rPr>
        <w:t> </w:t>
      </w:r>
      <w:r>
        <w:rPr>
          <w:sz w:val="18"/>
          <w:vertAlign w:val="baseline"/>
        </w:rPr>
        <w:t>Population,”</w:t>
      </w:r>
      <w:r>
        <w:rPr>
          <w:spacing w:val="-2"/>
          <w:sz w:val="18"/>
          <w:vertAlign w:val="baseline"/>
        </w:rPr>
        <w:t> </w:t>
      </w:r>
      <w:r>
        <w:rPr>
          <w:sz w:val="18"/>
          <w:vertAlign w:val="baseline"/>
        </w:rPr>
        <w:t>Journal</w:t>
      </w:r>
      <w:r>
        <w:rPr>
          <w:spacing w:val="-3"/>
          <w:sz w:val="18"/>
          <w:vertAlign w:val="baseline"/>
        </w:rPr>
        <w:t> </w:t>
      </w:r>
      <w:r>
        <w:rPr>
          <w:sz w:val="18"/>
          <w:vertAlign w:val="baseline"/>
        </w:rPr>
        <w:t>on</w:t>
      </w:r>
      <w:r>
        <w:rPr>
          <w:spacing w:val="-2"/>
          <w:sz w:val="18"/>
          <w:vertAlign w:val="baseline"/>
        </w:rPr>
        <w:t> </w:t>
      </w:r>
      <w:r>
        <w:rPr>
          <w:sz w:val="18"/>
          <w:vertAlign w:val="baseline"/>
        </w:rPr>
        <w:t>Gender,</w:t>
      </w:r>
      <w:r>
        <w:rPr>
          <w:spacing w:val="-3"/>
          <w:sz w:val="18"/>
          <w:vertAlign w:val="baseline"/>
        </w:rPr>
        <w:t> </w:t>
      </w:r>
      <w:r>
        <w:rPr>
          <w:sz w:val="18"/>
          <w:vertAlign w:val="baseline"/>
        </w:rPr>
        <w:t>Social</w:t>
      </w:r>
      <w:r>
        <w:rPr>
          <w:spacing w:val="-3"/>
          <w:sz w:val="18"/>
          <w:vertAlign w:val="baseline"/>
        </w:rPr>
        <w:t> </w:t>
      </w:r>
      <w:r>
        <w:rPr>
          <w:sz w:val="18"/>
          <w:vertAlign w:val="baseline"/>
        </w:rPr>
        <w:t>Policy, and the Law 24, no. 2 (2016): 245. </w:t>
      </w:r>
      <w:r>
        <w:rPr>
          <w:spacing w:val="-2"/>
          <w:sz w:val="18"/>
          <w:vertAlign w:val="baseline"/>
        </w:rPr>
        <w:t>https://static1.squarespace.com/static/60da0d6e99c93c16e9951f78/t/60feb3d0735d6f7990c4f328/16273049199</w:t>
      </w:r>
      <w:r>
        <w:rPr>
          <w:sz w:val="18"/>
          <w:vertAlign w:val="baseline"/>
        </w:rPr>
        <w:t> </w:t>
      </w:r>
      <w:r>
        <w:rPr>
          <w:spacing w:val="-2"/>
          <w:sz w:val="18"/>
          <w:vertAlign w:val="baseline"/>
        </w:rPr>
        <w:t>84/irvine.canfield.jgspl.2016.pdf.</w:t>
      </w:r>
    </w:p>
    <w:p>
      <w:pPr>
        <w:spacing w:before="1"/>
        <w:ind w:left="483" w:right="0" w:firstLine="0"/>
        <w:jc w:val="left"/>
        <w:rPr>
          <w:sz w:val="18"/>
        </w:rPr>
      </w:pPr>
      <w:r>
        <w:rPr>
          <w:sz w:val="18"/>
          <w:vertAlign w:val="superscript"/>
        </w:rPr>
        <w:t>xvii</w:t>
      </w:r>
      <w:r>
        <w:rPr>
          <w:spacing w:val="-14"/>
          <w:sz w:val="18"/>
          <w:vertAlign w:val="baseline"/>
        </w:rPr>
        <w:t> </w:t>
      </w:r>
      <w:r>
        <w:rPr>
          <w:sz w:val="18"/>
          <w:vertAlign w:val="baseline"/>
        </w:rPr>
        <w:t>Data</w:t>
      </w:r>
      <w:r>
        <w:rPr>
          <w:spacing w:val="-4"/>
          <w:sz w:val="18"/>
          <w:vertAlign w:val="baseline"/>
        </w:rPr>
        <w:t> </w:t>
      </w:r>
      <w:r>
        <w:rPr>
          <w:sz w:val="18"/>
          <w:vertAlign w:val="baseline"/>
        </w:rPr>
        <w:t>on</w:t>
      </w:r>
      <w:r>
        <w:rPr>
          <w:spacing w:val="-2"/>
          <w:sz w:val="18"/>
          <w:vertAlign w:val="baseline"/>
        </w:rPr>
        <w:t> </w:t>
      </w:r>
      <w:r>
        <w:rPr>
          <w:sz w:val="18"/>
          <w:vertAlign w:val="baseline"/>
        </w:rPr>
        <w:t>file</w:t>
      </w:r>
      <w:r>
        <w:rPr>
          <w:spacing w:val="-2"/>
          <w:sz w:val="18"/>
          <w:vertAlign w:val="baseline"/>
        </w:rPr>
        <w:t> </w:t>
      </w:r>
      <w:r>
        <w:rPr>
          <w:sz w:val="18"/>
          <w:vertAlign w:val="baseline"/>
        </w:rPr>
        <w:t>with</w:t>
      </w:r>
      <w:r>
        <w:rPr>
          <w:spacing w:val="-2"/>
          <w:sz w:val="18"/>
          <w:vertAlign w:val="baseline"/>
        </w:rPr>
        <w:t> </w:t>
      </w:r>
      <w:r>
        <w:rPr>
          <w:sz w:val="18"/>
          <w:vertAlign w:val="baseline"/>
        </w:rPr>
        <w:t>the</w:t>
      </w:r>
      <w:r>
        <w:rPr>
          <w:spacing w:val="-1"/>
          <w:sz w:val="18"/>
          <w:vertAlign w:val="baseline"/>
        </w:rPr>
        <w:t> </w:t>
      </w:r>
      <w:r>
        <w:rPr>
          <w:spacing w:val="-2"/>
          <w:sz w:val="18"/>
          <w:vertAlign w:val="baseline"/>
        </w:rPr>
        <w:t>Commission.</w:t>
      </w:r>
    </w:p>
    <w:p>
      <w:pPr>
        <w:spacing w:before="0"/>
        <w:ind w:left="483" w:right="0" w:firstLine="0"/>
        <w:jc w:val="left"/>
        <w:rPr>
          <w:i/>
          <w:sz w:val="18"/>
        </w:rPr>
      </w:pPr>
      <w:r>
        <w:rPr>
          <w:sz w:val="18"/>
          <w:vertAlign w:val="superscript"/>
        </w:rPr>
        <w:t>xviii</w:t>
      </w:r>
      <w:r>
        <w:rPr>
          <w:spacing w:val="-16"/>
          <w:sz w:val="18"/>
          <w:vertAlign w:val="baseline"/>
        </w:rPr>
        <w:t> </w:t>
      </w:r>
      <w:bookmarkStart w:name="_bookmark662" w:id="969"/>
      <w:bookmarkEnd w:id="969"/>
      <w:r>
        <w:rPr>
          <w:sz w:val="18"/>
          <w:vertAlign w:val="baseline"/>
        </w:rPr>
        <w:t>Juven</w:t>
      </w:r>
      <w:r>
        <w:rPr>
          <w:sz w:val="18"/>
          <w:vertAlign w:val="baseline"/>
        </w:rPr>
        <w:t>ile</w:t>
      </w:r>
      <w:r>
        <w:rPr>
          <w:spacing w:val="-6"/>
          <w:sz w:val="18"/>
          <w:vertAlign w:val="baseline"/>
        </w:rPr>
        <w:t> </w:t>
      </w:r>
      <w:r>
        <w:rPr>
          <w:sz w:val="18"/>
          <w:vertAlign w:val="baseline"/>
        </w:rPr>
        <w:t>Justice</w:t>
      </w:r>
      <w:r>
        <w:rPr>
          <w:spacing w:val="-4"/>
          <w:sz w:val="18"/>
          <w:vertAlign w:val="baseline"/>
        </w:rPr>
        <w:t> </w:t>
      </w:r>
      <w:r>
        <w:rPr>
          <w:sz w:val="18"/>
          <w:vertAlign w:val="baseline"/>
        </w:rPr>
        <w:t>Policy</w:t>
      </w:r>
      <w:r>
        <w:rPr>
          <w:spacing w:val="-3"/>
          <w:sz w:val="18"/>
          <w:vertAlign w:val="baseline"/>
        </w:rPr>
        <w:t> </w:t>
      </w:r>
      <w:r>
        <w:rPr>
          <w:sz w:val="18"/>
          <w:vertAlign w:val="baseline"/>
        </w:rPr>
        <w:t>and</w:t>
      </w:r>
      <w:r>
        <w:rPr>
          <w:spacing w:val="-4"/>
          <w:sz w:val="18"/>
          <w:vertAlign w:val="baseline"/>
        </w:rPr>
        <w:t> </w:t>
      </w:r>
      <w:r>
        <w:rPr>
          <w:sz w:val="18"/>
          <w:vertAlign w:val="baseline"/>
        </w:rPr>
        <w:t>Data</w:t>
      </w:r>
      <w:r>
        <w:rPr>
          <w:spacing w:val="-3"/>
          <w:sz w:val="18"/>
          <w:vertAlign w:val="baseline"/>
        </w:rPr>
        <w:t> </w:t>
      </w:r>
      <w:r>
        <w:rPr>
          <w:sz w:val="18"/>
          <w:vertAlign w:val="baseline"/>
        </w:rPr>
        <w:t>Board.</w:t>
      </w:r>
      <w:r>
        <w:rPr>
          <w:spacing w:val="-4"/>
          <w:sz w:val="18"/>
          <w:vertAlign w:val="baseline"/>
        </w:rPr>
        <w:t> </w:t>
      </w:r>
      <w:r>
        <w:rPr>
          <w:sz w:val="18"/>
          <w:vertAlign w:val="baseline"/>
        </w:rPr>
        <w:t>(2023).</w:t>
      </w:r>
      <w:r>
        <w:rPr>
          <w:spacing w:val="-3"/>
          <w:sz w:val="18"/>
          <w:vertAlign w:val="baseline"/>
        </w:rPr>
        <w:t> </w:t>
      </w:r>
      <w:r>
        <w:rPr>
          <w:i/>
          <w:sz w:val="18"/>
          <w:vertAlign w:val="baseline"/>
        </w:rPr>
        <w:t>Massachusetts</w:t>
      </w:r>
      <w:r>
        <w:rPr>
          <w:i/>
          <w:spacing w:val="-4"/>
          <w:sz w:val="18"/>
          <w:vertAlign w:val="baseline"/>
        </w:rPr>
        <w:t> </w:t>
      </w:r>
      <w:r>
        <w:rPr>
          <w:i/>
          <w:sz w:val="18"/>
          <w:vertAlign w:val="baseline"/>
        </w:rPr>
        <w:t>Juvenile</w:t>
      </w:r>
      <w:r>
        <w:rPr>
          <w:i/>
          <w:spacing w:val="-3"/>
          <w:sz w:val="18"/>
          <w:vertAlign w:val="baseline"/>
        </w:rPr>
        <w:t> </w:t>
      </w:r>
      <w:r>
        <w:rPr>
          <w:i/>
          <w:sz w:val="18"/>
          <w:vertAlign w:val="baseline"/>
        </w:rPr>
        <w:t>Justice</w:t>
      </w:r>
      <w:r>
        <w:rPr>
          <w:i/>
          <w:spacing w:val="-4"/>
          <w:sz w:val="18"/>
          <w:vertAlign w:val="baseline"/>
        </w:rPr>
        <w:t> </w:t>
      </w:r>
      <w:r>
        <w:rPr>
          <w:i/>
          <w:sz w:val="18"/>
          <w:vertAlign w:val="baseline"/>
        </w:rPr>
        <w:t>System:</w:t>
      </w:r>
      <w:r>
        <w:rPr>
          <w:i/>
          <w:spacing w:val="-3"/>
          <w:sz w:val="18"/>
          <w:vertAlign w:val="baseline"/>
        </w:rPr>
        <w:t> </w:t>
      </w:r>
      <w:r>
        <w:rPr>
          <w:i/>
          <w:sz w:val="18"/>
          <w:vertAlign w:val="baseline"/>
        </w:rPr>
        <w:t>2022</w:t>
      </w:r>
      <w:r>
        <w:rPr>
          <w:i/>
          <w:spacing w:val="-4"/>
          <w:sz w:val="18"/>
          <w:vertAlign w:val="baseline"/>
        </w:rPr>
        <w:t> </w:t>
      </w:r>
      <w:r>
        <w:rPr>
          <w:i/>
          <w:sz w:val="18"/>
          <w:vertAlign w:val="baseline"/>
        </w:rPr>
        <w:t>JJPAD</w:t>
      </w:r>
      <w:r>
        <w:rPr>
          <w:i/>
          <w:spacing w:val="-4"/>
          <w:sz w:val="18"/>
          <w:vertAlign w:val="baseline"/>
        </w:rPr>
        <w:t> </w:t>
      </w:r>
      <w:r>
        <w:rPr>
          <w:i/>
          <w:sz w:val="18"/>
          <w:vertAlign w:val="baseline"/>
        </w:rPr>
        <w:t>Annual</w:t>
      </w:r>
      <w:r>
        <w:rPr>
          <w:i/>
          <w:spacing w:val="-4"/>
          <w:sz w:val="18"/>
          <w:vertAlign w:val="baseline"/>
        </w:rPr>
        <w:t> </w:t>
      </w:r>
      <w:r>
        <w:rPr>
          <w:i/>
          <w:spacing w:val="-2"/>
          <w:sz w:val="18"/>
          <w:vertAlign w:val="baseline"/>
        </w:rPr>
        <w:t>Report.</w:t>
      </w:r>
    </w:p>
    <w:p>
      <w:pPr>
        <w:spacing w:before="0"/>
        <w:ind w:left="483" w:right="0" w:firstLine="0"/>
        <w:jc w:val="left"/>
        <w:rPr>
          <w:sz w:val="18"/>
        </w:rPr>
      </w:pPr>
      <w:r>
        <w:rPr>
          <w:spacing w:val="-2"/>
          <w:sz w:val="18"/>
        </w:rPr>
        <w:t>https://</w:t>
      </w:r>
      <w:hyperlink r:id="rId791">
        <w:r>
          <w:rPr>
            <w:spacing w:val="-2"/>
            <w:sz w:val="18"/>
          </w:rPr>
          <w:t>www.mass.gov/doc/jjpad-2022-annual-report/download</w:t>
        </w:r>
      </w:hyperlink>
    </w:p>
    <w:p>
      <w:pPr>
        <w:spacing w:before="0"/>
        <w:ind w:left="483" w:right="0" w:firstLine="0"/>
        <w:jc w:val="left"/>
        <w:rPr>
          <w:sz w:val="18"/>
        </w:rPr>
      </w:pPr>
      <w:r>
        <w:rPr>
          <w:sz w:val="18"/>
          <w:vertAlign w:val="superscript"/>
        </w:rPr>
        <w:t>xix</w:t>
      </w:r>
      <w:r>
        <w:rPr>
          <w:spacing w:val="-9"/>
          <w:sz w:val="18"/>
          <w:vertAlign w:val="baseline"/>
        </w:rPr>
        <w:t> </w:t>
      </w:r>
      <w:r>
        <w:rPr>
          <w:sz w:val="18"/>
          <w:vertAlign w:val="baseline"/>
        </w:rPr>
        <w:t>Massachusetts Commission on Lesbian, Gay, Bisexual, Transgender, Queer &amp; Questioning Youth. (2022). </w:t>
      </w:r>
      <w:r>
        <w:rPr>
          <w:i/>
          <w:sz w:val="18"/>
          <w:vertAlign w:val="baseline"/>
        </w:rPr>
        <w:t>Report and</w:t>
      </w:r>
      <w:r>
        <w:rPr>
          <w:i/>
          <w:sz w:val="18"/>
          <w:vertAlign w:val="baseline"/>
        </w:rPr>
        <w:t> Recommendations</w:t>
      </w:r>
      <w:r>
        <w:rPr>
          <w:i/>
          <w:spacing w:val="-9"/>
          <w:sz w:val="18"/>
          <w:vertAlign w:val="baseline"/>
        </w:rPr>
        <w:t> </w:t>
      </w:r>
      <w:r>
        <w:rPr>
          <w:i/>
          <w:sz w:val="18"/>
          <w:vertAlign w:val="baseline"/>
        </w:rPr>
        <w:t>for</w:t>
      </w:r>
      <w:r>
        <w:rPr>
          <w:i/>
          <w:spacing w:val="-9"/>
          <w:sz w:val="18"/>
          <w:vertAlign w:val="baseline"/>
        </w:rPr>
        <w:t> </w:t>
      </w:r>
      <w:r>
        <w:rPr>
          <w:i/>
          <w:sz w:val="18"/>
          <w:vertAlign w:val="baseline"/>
        </w:rPr>
        <w:t>Fiscal</w:t>
      </w:r>
      <w:r>
        <w:rPr>
          <w:i/>
          <w:spacing w:val="-9"/>
          <w:sz w:val="18"/>
          <w:vertAlign w:val="baseline"/>
        </w:rPr>
        <w:t> </w:t>
      </w:r>
      <w:r>
        <w:rPr>
          <w:i/>
          <w:sz w:val="18"/>
          <w:vertAlign w:val="baseline"/>
        </w:rPr>
        <w:t>Year</w:t>
      </w:r>
      <w:r>
        <w:rPr>
          <w:i/>
          <w:spacing w:val="-8"/>
          <w:sz w:val="18"/>
          <w:vertAlign w:val="baseline"/>
        </w:rPr>
        <w:t> </w:t>
      </w:r>
      <w:r>
        <w:rPr>
          <w:i/>
          <w:sz w:val="18"/>
          <w:vertAlign w:val="baseline"/>
        </w:rPr>
        <w:t>2023.</w:t>
      </w:r>
      <w:r>
        <w:rPr>
          <w:i/>
          <w:spacing w:val="-8"/>
          <w:sz w:val="18"/>
          <w:vertAlign w:val="baseline"/>
        </w:rPr>
        <w:t> </w:t>
      </w:r>
      <w:r>
        <w:rPr>
          <w:sz w:val="18"/>
          <w:vertAlign w:val="baseline"/>
        </w:rPr>
        <w:t>https://</w:t>
      </w:r>
      <w:hyperlink r:id="rId792">
        <w:r>
          <w:rPr>
            <w:sz w:val="18"/>
            <w:vertAlign w:val="baseline"/>
          </w:rPr>
          <w:t>www.mass.gov/doc/mclgbtqy-annual-recommendations-fy-2023/downl</w:t>
        </w:r>
      </w:hyperlink>
      <w:r>
        <w:rPr>
          <w:sz w:val="18"/>
          <w:vertAlign w:val="baseline"/>
        </w:rPr>
        <w:t>oad</w:t>
      </w:r>
    </w:p>
    <w:p>
      <w:pPr>
        <w:spacing w:after="0"/>
        <w:jc w:val="left"/>
        <w:rPr>
          <w:sz w:val="18"/>
        </w:rPr>
        <w:sectPr>
          <w:pgSz w:w="12240" w:h="15840"/>
          <w:pgMar w:header="804" w:footer="1281" w:top="1000" w:bottom="1480" w:left="960" w:right="1100"/>
        </w:sectPr>
      </w:pPr>
    </w:p>
    <w:p>
      <w:pPr>
        <w:spacing w:before="180"/>
        <w:ind w:left="344" w:right="0" w:firstLine="0"/>
        <w:jc w:val="left"/>
        <w:rPr>
          <w:sz w:val="28"/>
        </w:rPr>
      </w:pPr>
      <w:r>
        <w:rPr/>
        <mc:AlternateContent>
          <mc:Choice Requires="wps">
            <w:drawing>
              <wp:anchor distT="0" distB="0" distL="0" distR="0" allowOverlap="1" layoutInCell="1" locked="0" behindDoc="1" simplePos="0" relativeHeight="487739904">
                <wp:simplePos x="0" y="0"/>
                <wp:positionH relativeFrom="page">
                  <wp:posOffset>809244</wp:posOffset>
                </wp:positionH>
                <wp:positionV relativeFrom="paragraph">
                  <wp:posOffset>343852</wp:posOffset>
                </wp:positionV>
                <wp:extent cx="6155055" cy="6350"/>
                <wp:effectExtent l="0" t="0" r="0" b="0"/>
                <wp:wrapTopAndBottom/>
                <wp:docPr id="714" name="Graphic 714"/>
                <wp:cNvGraphicFramePr>
                  <a:graphicFrameLocks/>
                </wp:cNvGraphicFramePr>
                <a:graphic>
                  <a:graphicData uri="http://schemas.microsoft.com/office/word/2010/wordprocessingShape">
                    <wps:wsp>
                      <wps:cNvPr id="714" name="Graphic 714"/>
                      <wps:cNvSpPr/>
                      <wps:spPr>
                        <a:xfrm>
                          <a:off x="0" y="0"/>
                          <a:ext cx="6155055" cy="6350"/>
                        </a:xfrm>
                        <a:custGeom>
                          <a:avLst/>
                          <a:gdLst/>
                          <a:ahLst/>
                          <a:cxnLst/>
                          <a:rect l="l" t="t" r="r" b="b"/>
                          <a:pathLst>
                            <a:path w="6155055" h="6350">
                              <a:moveTo>
                                <a:pt x="6154674" y="0"/>
                              </a:moveTo>
                              <a:lnTo>
                                <a:pt x="0" y="0"/>
                              </a:lnTo>
                              <a:lnTo>
                                <a:pt x="0" y="6096"/>
                              </a:lnTo>
                              <a:lnTo>
                                <a:pt x="6154674" y="6096"/>
                              </a:lnTo>
                              <a:lnTo>
                                <a:pt x="6154674" y="0"/>
                              </a:lnTo>
                              <a:close/>
                            </a:path>
                          </a:pathLst>
                        </a:custGeom>
                        <a:solidFill>
                          <a:srgbClr val="4F81BC"/>
                        </a:solidFill>
                      </wps:spPr>
                      <wps:bodyPr wrap="square" lIns="0" tIns="0" rIns="0" bIns="0" rtlCol="0">
                        <a:prstTxWarp prst="textNoShape">
                          <a:avLst/>
                        </a:prstTxWarp>
                        <a:noAutofit/>
                      </wps:bodyPr>
                    </wps:wsp>
                  </a:graphicData>
                </a:graphic>
              </wp:anchor>
            </w:drawing>
          </mc:Choice>
          <mc:Fallback>
            <w:pict>
              <v:rect style="position:absolute;margin-left:63.720001pt;margin-top:27.075001pt;width:484.62pt;height:.48pt;mso-position-horizontal-relative:page;mso-position-vertical-relative:paragraph;z-index:-15576576;mso-wrap-distance-left:0;mso-wrap-distance-right:0" id="docshape611" filled="true" fillcolor="#4f81bc" stroked="false">
                <v:fill type="solid"/>
                <w10:wrap type="topAndBottom"/>
              </v:rect>
            </w:pict>
          </mc:Fallback>
        </mc:AlternateContent>
      </w:r>
      <w:bookmarkStart w:name="_bookmark663" w:id="970"/>
      <w:bookmarkEnd w:id="970"/>
      <w:r>
        <w:rPr/>
      </w:r>
      <w:r>
        <w:rPr>
          <w:color w:val="365F91"/>
          <w:sz w:val="28"/>
        </w:rPr>
        <w:t>Appendix</w:t>
      </w:r>
      <w:r>
        <w:rPr>
          <w:color w:val="365F91"/>
          <w:spacing w:val="-7"/>
          <w:sz w:val="28"/>
        </w:rPr>
        <w:t> </w:t>
      </w:r>
      <w:r>
        <w:rPr>
          <w:color w:val="365F91"/>
          <w:sz w:val="28"/>
        </w:rPr>
        <w:t>A:</w:t>
      </w:r>
      <w:r>
        <w:rPr>
          <w:color w:val="365F91"/>
          <w:spacing w:val="-9"/>
          <w:sz w:val="28"/>
        </w:rPr>
        <w:t> </w:t>
      </w:r>
      <w:r>
        <w:rPr>
          <w:color w:val="365F91"/>
          <w:sz w:val="28"/>
        </w:rPr>
        <w:t>Glossary</w:t>
      </w:r>
      <w:r>
        <w:rPr>
          <w:color w:val="365F91"/>
          <w:spacing w:val="-8"/>
          <w:sz w:val="28"/>
        </w:rPr>
        <w:t> </w:t>
      </w:r>
      <w:r>
        <w:rPr>
          <w:color w:val="365F91"/>
          <w:sz w:val="28"/>
        </w:rPr>
        <w:t>of</w:t>
      </w:r>
      <w:r>
        <w:rPr>
          <w:color w:val="365F91"/>
          <w:spacing w:val="-8"/>
          <w:sz w:val="28"/>
        </w:rPr>
        <w:t> </w:t>
      </w:r>
      <w:r>
        <w:rPr>
          <w:color w:val="365F91"/>
          <w:spacing w:val="-4"/>
          <w:sz w:val="28"/>
        </w:rPr>
        <w:t>Terms</w:t>
      </w:r>
    </w:p>
    <w:p>
      <w:pPr>
        <w:pStyle w:val="BodyText"/>
        <w:spacing w:before="202"/>
      </w:pPr>
    </w:p>
    <w:p>
      <w:pPr>
        <w:pStyle w:val="BodyText"/>
        <w:spacing w:line="276" w:lineRule="auto"/>
        <w:ind w:left="344" w:right="204"/>
        <w:jc w:val="both"/>
      </w:pPr>
      <w:r>
        <w:rPr>
          <w:b/>
        </w:rPr>
        <w:t>Agender: </w:t>
      </w:r>
      <w:r>
        <w:rPr/>
        <w:t>literally “without gender”; used by people who understand themselves as genderless, gender neutral, unaligned with a specific gender, and/or having a gender that defies terminology</w:t>
      </w:r>
    </w:p>
    <w:p>
      <w:pPr>
        <w:pStyle w:val="BodyText"/>
        <w:spacing w:line="276" w:lineRule="auto" w:before="119"/>
        <w:ind w:left="344" w:right="201" w:hanging="7"/>
        <w:jc w:val="both"/>
      </w:pPr>
      <w:r>
        <w:rPr>
          <w:b/>
        </w:rPr>
        <w:t>Asexual/aromantic/Ace:</w:t>
      </w:r>
      <w:r>
        <w:rPr>
          <w:b/>
          <w:spacing w:val="-3"/>
        </w:rPr>
        <w:t> </w:t>
      </w:r>
      <w:r>
        <w:rPr/>
        <w:t>an</w:t>
      </w:r>
      <w:r>
        <w:rPr>
          <w:spacing w:val="-9"/>
        </w:rPr>
        <w:t> </w:t>
      </w:r>
      <w:r>
        <w:rPr/>
        <w:t>umbrella</w:t>
      </w:r>
      <w:r>
        <w:rPr>
          <w:spacing w:val="-6"/>
        </w:rPr>
        <w:t> </w:t>
      </w:r>
      <w:r>
        <w:rPr/>
        <w:t>term</w:t>
      </w:r>
      <w:r>
        <w:rPr>
          <w:spacing w:val="-9"/>
        </w:rPr>
        <w:t> </w:t>
      </w:r>
      <w:r>
        <w:rPr/>
        <w:t>used</w:t>
      </w:r>
      <w:r>
        <w:rPr>
          <w:spacing w:val="-8"/>
        </w:rPr>
        <w:t> </w:t>
      </w:r>
      <w:r>
        <w:rPr/>
        <w:t>to</w:t>
      </w:r>
      <w:r>
        <w:rPr>
          <w:spacing w:val="-6"/>
        </w:rPr>
        <w:t> </w:t>
      </w:r>
      <w:r>
        <w:rPr/>
        <w:t>describe</w:t>
      </w:r>
      <w:r>
        <w:rPr>
          <w:spacing w:val="-7"/>
        </w:rPr>
        <w:t> </w:t>
      </w:r>
      <w:r>
        <w:rPr/>
        <w:t>a</w:t>
      </w:r>
      <w:r>
        <w:rPr>
          <w:spacing w:val="-8"/>
        </w:rPr>
        <w:t> </w:t>
      </w:r>
      <w:r>
        <w:rPr/>
        <w:t>spectrum</w:t>
      </w:r>
      <w:r>
        <w:rPr>
          <w:spacing w:val="-9"/>
        </w:rPr>
        <w:t> </w:t>
      </w:r>
      <w:r>
        <w:rPr/>
        <w:t>of</w:t>
      </w:r>
      <w:r>
        <w:rPr>
          <w:spacing w:val="-9"/>
        </w:rPr>
        <w:t> </w:t>
      </w:r>
      <w:r>
        <w:rPr/>
        <w:t>identities</w:t>
      </w:r>
      <w:r>
        <w:rPr>
          <w:spacing w:val="-7"/>
        </w:rPr>
        <w:t> </w:t>
      </w:r>
      <w:r>
        <w:rPr/>
        <w:t>characterized</w:t>
      </w:r>
      <w:r>
        <w:rPr>
          <w:spacing w:val="-8"/>
        </w:rPr>
        <w:t> </w:t>
      </w:r>
      <w:r>
        <w:rPr/>
        <w:t>by</w:t>
      </w:r>
      <w:r>
        <w:rPr>
          <w:spacing w:val="-7"/>
        </w:rPr>
        <w:t> </w:t>
      </w:r>
      <w:r>
        <w:rPr/>
        <w:t>having little or no interest in sex, and/or little or no interest in romantic relationships.</w:t>
      </w:r>
    </w:p>
    <w:p>
      <w:pPr>
        <w:pStyle w:val="BodyText"/>
        <w:spacing w:line="276" w:lineRule="auto" w:before="120"/>
        <w:ind w:left="344" w:right="197" w:hanging="5"/>
        <w:jc w:val="both"/>
      </w:pPr>
      <w:r>
        <w:rPr>
          <w:b/>
        </w:rPr>
        <w:t>Assigned sex/sex assigned at birth: </w:t>
      </w:r>
      <w:r>
        <w:rPr/>
        <w:t>the sex (e.g. “male” or “female”) that is noted on an individual's birth certificate issued at birth. This is also referred to as sex assigned at birth, birth sex, and/or sex recorded at birth. Some individuals may opt to change the sex assigned to them on their birth certificate to better reflect their gender identity.</w:t>
      </w:r>
    </w:p>
    <w:p>
      <w:pPr>
        <w:pStyle w:val="BodyText"/>
        <w:spacing w:line="276" w:lineRule="auto" w:before="120"/>
        <w:ind w:left="344" w:right="200" w:hanging="5"/>
        <w:jc w:val="both"/>
      </w:pPr>
      <w:r>
        <w:rPr>
          <w:b/>
        </w:rPr>
        <w:t>Binary sex/gender system: </w:t>
      </w:r>
      <w:r>
        <w:rPr/>
        <w:t>the idea that there are only two sexes/genders (male and female, or masculine and feminine) and that they are distinct, opposite forms of each other. This view is increasingly being challenged by the idea that both sex and gender are social constructions that operate along continuums, are fluid, and not necessarily congruent.</w:t>
      </w:r>
    </w:p>
    <w:p>
      <w:pPr>
        <w:pStyle w:val="BodyText"/>
        <w:spacing w:line="276" w:lineRule="auto" w:before="121"/>
        <w:ind w:left="343" w:right="203"/>
        <w:jc w:val="both"/>
      </w:pPr>
      <w:r>
        <w:rPr>
          <w:b/>
        </w:rPr>
        <w:t>Bisexual: </w:t>
      </w:r>
      <w:r>
        <w:rPr/>
        <w:t>a person who identifies as having an emotional, sexual, spiritual, and/or relational attraction to people of more than one gender.</w:t>
      </w:r>
    </w:p>
    <w:p>
      <w:pPr>
        <w:pStyle w:val="BodyText"/>
        <w:spacing w:line="276" w:lineRule="auto" w:before="120"/>
        <w:ind w:left="344" w:right="201" w:hanging="1"/>
        <w:jc w:val="both"/>
      </w:pPr>
      <w:r>
        <w:rPr>
          <w:b/>
        </w:rPr>
        <w:t>Cisgender:</w:t>
      </w:r>
      <w:r>
        <w:rPr>
          <w:b/>
          <w:spacing w:val="-13"/>
        </w:rPr>
        <w:t> </w:t>
      </w:r>
      <w:r>
        <w:rPr/>
        <w:t>a</w:t>
      </w:r>
      <w:r>
        <w:rPr>
          <w:spacing w:val="-12"/>
        </w:rPr>
        <w:t> </w:t>
      </w:r>
      <w:r>
        <w:rPr/>
        <w:t>term</w:t>
      </w:r>
      <w:r>
        <w:rPr>
          <w:spacing w:val="-13"/>
        </w:rPr>
        <w:t> </w:t>
      </w:r>
      <w:r>
        <w:rPr/>
        <w:t>used</w:t>
      </w:r>
      <w:r>
        <w:rPr>
          <w:spacing w:val="-12"/>
        </w:rPr>
        <w:t> </w:t>
      </w:r>
      <w:r>
        <w:rPr/>
        <w:t>for</w:t>
      </w:r>
      <w:r>
        <w:rPr>
          <w:spacing w:val="-13"/>
        </w:rPr>
        <w:t> </w:t>
      </w:r>
      <w:r>
        <w:rPr/>
        <w:t>someone</w:t>
      </w:r>
      <w:r>
        <w:rPr>
          <w:spacing w:val="-12"/>
        </w:rPr>
        <w:t> </w:t>
      </w:r>
      <w:r>
        <w:rPr/>
        <w:t>whose</w:t>
      </w:r>
      <w:r>
        <w:rPr>
          <w:spacing w:val="-13"/>
        </w:rPr>
        <w:t> </w:t>
      </w:r>
      <w:r>
        <w:rPr/>
        <w:t>gender</w:t>
      </w:r>
      <w:r>
        <w:rPr>
          <w:spacing w:val="-12"/>
        </w:rPr>
        <w:t> </w:t>
      </w:r>
      <w:r>
        <w:rPr/>
        <w:t>identity</w:t>
      </w:r>
      <w:r>
        <w:rPr>
          <w:spacing w:val="-12"/>
        </w:rPr>
        <w:t> </w:t>
      </w:r>
      <w:r>
        <w:rPr/>
        <w:t>matches</w:t>
      </w:r>
      <w:r>
        <w:rPr>
          <w:spacing w:val="-13"/>
        </w:rPr>
        <w:t> </w:t>
      </w:r>
      <w:r>
        <w:rPr/>
        <w:t>their</w:t>
      </w:r>
      <w:r>
        <w:rPr>
          <w:spacing w:val="-12"/>
        </w:rPr>
        <w:t> </w:t>
      </w:r>
      <w:r>
        <w:rPr/>
        <w:t>sex</w:t>
      </w:r>
      <w:r>
        <w:rPr>
          <w:spacing w:val="-13"/>
        </w:rPr>
        <w:t> </w:t>
      </w:r>
      <w:r>
        <w:rPr/>
        <w:t>assigned</w:t>
      </w:r>
      <w:r>
        <w:rPr>
          <w:spacing w:val="-12"/>
        </w:rPr>
        <w:t> </w:t>
      </w:r>
      <w:r>
        <w:rPr/>
        <w:t>at</w:t>
      </w:r>
      <w:r>
        <w:rPr>
          <w:spacing w:val="-13"/>
        </w:rPr>
        <w:t> </w:t>
      </w:r>
      <w:r>
        <w:rPr/>
        <w:t>birth,</w:t>
      </w:r>
      <w:r>
        <w:rPr>
          <w:spacing w:val="-12"/>
        </w:rPr>
        <w:t> </w:t>
      </w:r>
      <w:r>
        <w:rPr/>
        <w:t>i.e.</w:t>
      </w:r>
      <w:r>
        <w:rPr>
          <w:spacing w:val="-12"/>
        </w:rPr>
        <w:t> </w:t>
      </w:r>
      <w:r>
        <w:rPr/>
        <w:t>who</w:t>
      </w:r>
      <w:r>
        <w:rPr>
          <w:spacing w:val="-13"/>
        </w:rPr>
        <w:t> </w:t>
      </w:r>
      <w:r>
        <w:rPr/>
        <w:t>is</w:t>
      </w:r>
      <w:r>
        <w:rPr>
          <w:spacing w:val="-12"/>
        </w:rPr>
        <w:t> </w:t>
      </w:r>
      <w:r>
        <w:rPr/>
        <w:t>not transgender or gender expansive.</w:t>
      </w:r>
    </w:p>
    <w:p>
      <w:pPr>
        <w:pStyle w:val="BodyText"/>
        <w:spacing w:line="276" w:lineRule="auto" w:before="119"/>
        <w:ind w:left="344" w:right="201"/>
        <w:jc w:val="both"/>
      </w:pPr>
      <w:r>
        <w:rPr>
          <w:b/>
        </w:rPr>
        <w:t>Cisnormativity</w:t>
      </w:r>
      <w:r>
        <w:rPr/>
        <w:t>: Cisnormativity refers to the societal assumption that gender identity and assigned sex at birth align for the majority of people, and that cisgender identities are the norm or default. Cisnormativity reinforces the gender binary and traditional gender roles, with the assumption that individuals are either male or female based on their assigned sex at birth. Cisnormativity operates through various forms of discrimination, including but not limited to, exclusion from social and political power, lack of legal protections, and limited access to healthcare.</w:t>
      </w:r>
    </w:p>
    <w:p>
      <w:pPr>
        <w:pStyle w:val="BodyText"/>
        <w:spacing w:line="276" w:lineRule="auto" w:before="121"/>
        <w:ind w:left="345" w:right="198" w:hanging="6"/>
        <w:jc w:val="both"/>
      </w:pPr>
      <w:r>
        <w:rPr>
          <w:b/>
        </w:rPr>
        <w:t>Cissexism</w:t>
      </w:r>
      <w:r>
        <w:rPr/>
        <w:t>: Cissexism refers to the systemic and individual practices that privilege and center cisgender individuals and experiences, while marginalizing and devaluing transgender and gender non- conforming individuals. Cissexism operates through various forms of discrimination, including but not limited to, exclusion from social and political power, lack of legal protections, and limited access to healthcare. Cissexism reinforces gender binary norms, assumptions, and expectations, and contributes to the perpetuation of transphobia and discrimination against transgender and gender non- conforming </w:t>
      </w:r>
      <w:r>
        <w:rPr>
          <w:spacing w:val="-2"/>
        </w:rPr>
        <w:t>individuals.</w:t>
      </w:r>
    </w:p>
    <w:p>
      <w:pPr>
        <w:pStyle w:val="BodyText"/>
        <w:spacing w:line="276" w:lineRule="auto" w:before="119"/>
        <w:ind w:left="346" w:right="197" w:hanging="5"/>
        <w:jc w:val="both"/>
      </w:pPr>
      <w:r>
        <w:rPr>
          <w:b/>
        </w:rPr>
        <w:t>Consent: </w:t>
      </w:r>
      <w:r>
        <w:rPr/>
        <w:t>In a sexual context, consent means an agreement to participate in sexual activity by lawful adults. Consent must be freely given, meaning it was not obtained by force or coercion, under the influence of drugs</w:t>
      </w:r>
      <w:r>
        <w:rPr>
          <w:spacing w:val="29"/>
        </w:rPr>
        <w:t> </w:t>
      </w:r>
      <w:r>
        <w:rPr/>
        <w:t>or</w:t>
      </w:r>
      <w:r>
        <w:rPr>
          <w:spacing w:val="29"/>
        </w:rPr>
        <w:t> </w:t>
      </w:r>
      <w:r>
        <w:rPr/>
        <w:t>alcohol,</w:t>
      </w:r>
      <w:r>
        <w:rPr>
          <w:spacing w:val="29"/>
        </w:rPr>
        <w:t> </w:t>
      </w:r>
      <w:r>
        <w:rPr/>
        <w:t>or</w:t>
      </w:r>
      <w:r>
        <w:rPr>
          <w:spacing w:val="29"/>
        </w:rPr>
        <w:t> </w:t>
      </w:r>
      <w:r>
        <w:rPr/>
        <w:t>while</w:t>
      </w:r>
      <w:r>
        <w:rPr>
          <w:spacing w:val="30"/>
        </w:rPr>
        <w:t> </w:t>
      </w:r>
      <w:r>
        <w:rPr/>
        <w:t>unconscious</w:t>
      </w:r>
      <w:r>
        <w:rPr>
          <w:spacing w:val="30"/>
        </w:rPr>
        <w:t> </w:t>
      </w:r>
      <w:r>
        <w:rPr/>
        <w:t>or</w:t>
      </w:r>
      <w:r>
        <w:rPr>
          <w:spacing w:val="30"/>
        </w:rPr>
        <w:t> </w:t>
      </w:r>
      <w:r>
        <w:rPr/>
        <w:t>incapacitated,</w:t>
      </w:r>
      <w:r>
        <w:rPr>
          <w:spacing w:val="29"/>
        </w:rPr>
        <w:t> </w:t>
      </w:r>
      <w:r>
        <w:rPr/>
        <w:t>and</w:t>
      </w:r>
      <w:r>
        <w:rPr>
          <w:spacing w:val="30"/>
        </w:rPr>
        <w:t> </w:t>
      </w:r>
      <w:r>
        <w:rPr/>
        <w:t>must</w:t>
      </w:r>
      <w:r>
        <w:rPr>
          <w:spacing w:val="30"/>
        </w:rPr>
        <w:t> </w:t>
      </w:r>
      <w:r>
        <w:rPr/>
        <w:t>be</w:t>
      </w:r>
      <w:r>
        <w:rPr>
          <w:spacing w:val="30"/>
        </w:rPr>
        <w:t> </w:t>
      </w:r>
      <w:r>
        <w:rPr/>
        <w:t>fully</w:t>
      </w:r>
      <w:r>
        <w:rPr>
          <w:spacing w:val="30"/>
        </w:rPr>
        <w:t> </w:t>
      </w:r>
      <w:r>
        <w:rPr/>
        <w:t>informed. Consent also must be</w:t>
      </w:r>
      <w:r>
        <w:rPr>
          <w:spacing w:val="-11"/>
        </w:rPr>
        <w:t> </w:t>
      </w:r>
      <w:r>
        <w:rPr/>
        <w:t>specific</w:t>
      </w:r>
      <w:r>
        <w:rPr>
          <w:spacing w:val="-11"/>
        </w:rPr>
        <w:t> </w:t>
      </w:r>
      <w:r>
        <w:rPr/>
        <w:t>and</w:t>
      </w:r>
      <w:r>
        <w:rPr>
          <w:spacing w:val="-11"/>
        </w:rPr>
        <w:t> </w:t>
      </w:r>
      <w:r>
        <w:rPr/>
        <w:t>reversible,</w:t>
      </w:r>
      <w:r>
        <w:rPr>
          <w:spacing w:val="-11"/>
        </w:rPr>
        <w:t> </w:t>
      </w:r>
      <w:r>
        <w:rPr/>
        <w:t>so</w:t>
      </w:r>
      <w:r>
        <w:rPr>
          <w:spacing w:val="-11"/>
        </w:rPr>
        <w:t> </w:t>
      </w:r>
      <w:r>
        <w:rPr/>
        <w:t>it</w:t>
      </w:r>
      <w:r>
        <w:rPr>
          <w:spacing w:val="-11"/>
        </w:rPr>
        <w:t> </w:t>
      </w:r>
      <w:r>
        <w:rPr/>
        <w:t>only</w:t>
      </w:r>
      <w:r>
        <w:rPr>
          <w:spacing w:val="-10"/>
        </w:rPr>
        <w:t> </w:t>
      </w:r>
      <w:r>
        <w:rPr/>
        <w:t>applies</w:t>
      </w:r>
      <w:r>
        <w:rPr>
          <w:spacing w:val="-9"/>
        </w:rPr>
        <w:t> </w:t>
      </w:r>
      <w:r>
        <w:rPr/>
        <w:t>to</w:t>
      </w:r>
      <w:r>
        <w:rPr>
          <w:spacing w:val="-8"/>
        </w:rPr>
        <w:t> </w:t>
      </w:r>
      <w:r>
        <w:rPr/>
        <w:t>activities</w:t>
      </w:r>
      <w:r>
        <w:rPr>
          <w:spacing w:val="-11"/>
        </w:rPr>
        <w:t> </w:t>
      </w:r>
      <w:r>
        <w:rPr/>
        <w:t>that</w:t>
      </w:r>
      <w:r>
        <w:rPr>
          <w:spacing w:val="-10"/>
        </w:rPr>
        <w:t> </w:t>
      </w:r>
      <w:r>
        <w:rPr/>
        <w:t>are</w:t>
      </w:r>
      <w:r>
        <w:rPr>
          <w:spacing w:val="-10"/>
        </w:rPr>
        <w:t> </w:t>
      </w:r>
      <w:r>
        <w:rPr/>
        <w:t>wanted</w:t>
      </w:r>
      <w:r>
        <w:rPr>
          <w:spacing w:val="-10"/>
        </w:rPr>
        <w:t> </w:t>
      </w:r>
      <w:r>
        <w:rPr/>
        <w:t>at</w:t>
      </w:r>
      <w:r>
        <w:rPr>
          <w:spacing w:val="-11"/>
        </w:rPr>
        <w:t> </w:t>
      </w:r>
      <w:r>
        <w:rPr/>
        <w:t>the</w:t>
      </w:r>
      <w:r>
        <w:rPr>
          <w:spacing w:val="-10"/>
        </w:rPr>
        <w:t> </w:t>
      </w:r>
      <w:r>
        <w:rPr/>
        <w:t>time</w:t>
      </w:r>
      <w:r>
        <w:rPr>
          <w:spacing w:val="-11"/>
        </w:rPr>
        <w:t> </w:t>
      </w:r>
      <w:r>
        <w:rPr/>
        <w:t>they</w:t>
      </w:r>
      <w:r>
        <w:rPr>
          <w:spacing w:val="-4"/>
        </w:rPr>
        <w:t> </w:t>
      </w:r>
      <w:r>
        <w:rPr/>
        <w:t>occur.</w:t>
      </w:r>
      <w:r>
        <w:rPr>
          <w:spacing w:val="-4"/>
        </w:rPr>
        <w:t> </w:t>
      </w:r>
      <w:r>
        <w:rPr/>
        <w:t>Some</w:t>
      </w:r>
      <w:r>
        <w:rPr>
          <w:spacing w:val="-5"/>
        </w:rPr>
        <w:t> </w:t>
      </w:r>
      <w:r>
        <w:rPr/>
        <w:t>models of consent require that it also be both explicit and enthusiastic. All sexual activities, not just heterosexual sex</w:t>
      </w:r>
      <w:r>
        <w:rPr>
          <w:spacing w:val="-2"/>
        </w:rPr>
        <w:t> </w:t>
      </w:r>
      <w:r>
        <w:rPr/>
        <w:t>or sex involving intercourse, can be characterized as consensual or not.</w:t>
      </w:r>
    </w:p>
    <w:p>
      <w:pPr>
        <w:spacing w:after="0" w:line="276" w:lineRule="auto"/>
        <w:jc w:val="both"/>
        <w:sectPr>
          <w:headerReference w:type="default" r:id="rId793"/>
          <w:footerReference w:type="default" r:id="rId794"/>
          <w:pgSz w:w="12240" w:h="15840"/>
          <w:pgMar w:header="870" w:footer="1202" w:top="1060" w:bottom="1400" w:left="960" w:right="1100"/>
        </w:sectPr>
      </w:pPr>
    </w:p>
    <w:p>
      <w:pPr>
        <w:pStyle w:val="BodyText"/>
      </w:pPr>
    </w:p>
    <w:p>
      <w:pPr>
        <w:pStyle w:val="BodyText"/>
        <w:spacing w:before="45"/>
      </w:pPr>
    </w:p>
    <w:p>
      <w:pPr>
        <w:pStyle w:val="BodyText"/>
        <w:spacing w:line="276" w:lineRule="auto"/>
        <w:ind w:left="343" w:right="203"/>
        <w:jc w:val="both"/>
      </w:pPr>
      <w:r>
        <w:rPr>
          <w:b/>
        </w:rPr>
        <w:t>Deadnaming</w:t>
      </w:r>
      <w:r>
        <w:rPr/>
        <w:t>: Deadnaming refers to the act of referring to a transgender individual by their former or birth name, rather than their chosen name that reflects their gender identity. Deadnaming is a form of</w:t>
      </w:r>
      <w:r>
        <w:rPr>
          <w:spacing w:val="40"/>
        </w:rPr>
        <w:t> </w:t>
      </w:r>
      <w:r>
        <w:rPr/>
        <w:t>disrespect and invalidation of an individual's gender identity and can be emotionally harmful.</w:t>
      </w:r>
    </w:p>
    <w:p>
      <w:pPr>
        <w:pStyle w:val="BodyText"/>
        <w:spacing w:line="276" w:lineRule="auto" w:before="120"/>
        <w:ind w:left="343" w:right="201"/>
        <w:jc w:val="both"/>
      </w:pPr>
      <w:r>
        <w:rPr>
          <w:b/>
        </w:rPr>
        <w:t>Demisexual: </w:t>
      </w:r>
      <w:r>
        <w:rPr/>
        <w:t>an individual experiences sexual attraction only after forming a strong emotional connectiong with someone</w:t>
      </w:r>
    </w:p>
    <w:p>
      <w:pPr>
        <w:spacing w:before="120"/>
        <w:ind w:left="343" w:right="0" w:firstLine="0"/>
        <w:jc w:val="both"/>
        <w:rPr>
          <w:sz w:val="22"/>
        </w:rPr>
      </w:pPr>
      <w:r>
        <w:rPr>
          <w:b/>
          <w:sz w:val="22"/>
        </w:rPr>
        <w:t>First-generation</w:t>
      </w:r>
      <w:r>
        <w:rPr>
          <w:b/>
          <w:spacing w:val="-3"/>
          <w:sz w:val="22"/>
        </w:rPr>
        <w:t> </w:t>
      </w:r>
      <w:r>
        <w:rPr>
          <w:b/>
          <w:sz w:val="22"/>
        </w:rPr>
        <w:t>youth</w:t>
      </w:r>
      <w:r>
        <w:rPr>
          <w:sz w:val="22"/>
        </w:rPr>
        <w:t>:</w:t>
      </w:r>
      <w:r>
        <w:rPr>
          <w:spacing w:val="-2"/>
          <w:sz w:val="22"/>
        </w:rPr>
        <w:t> </w:t>
      </w:r>
      <w:r>
        <w:rPr>
          <w:sz w:val="22"/>
        </w:rPr>
        <w:t>a</w:t>
      </w:r>
      <w:r>
        <w:rPr>
          <w:spacing w:val="-2"/>
          <w:sz w:val="22"/>
        </w:rPr>
        <w:t> </w:t>
      </w:r>
      <w:r>
        <w:rPr>
          <w:sz w:val="22"/>
        </w:rPr>
        <w:t>youth</w:t>
      </w:r>
      <w:r>
        <w:rPr>
          <w:spacing w:val="-2"/>
          <w:sz w:val="22"/>
        </w:rPr>
        <w:t> </w:t>
      </w:r>
      <w:r>
        <w:rPr>
          <w:sz w:val="22"/>
        </w:rPr>
        <w:t>born</w:t>
      </w:r>
      <w:r>
        <w:rPr>
          <w:spacing w:val="-3"/>
          <w:sz w:val="22"/>
        </w:rPr>
        <w:t> </w:t>
      </w:r>
      <w:r>
        <w:rPr>
          <w:sz w:val="22"/>
        </w:rPr>
        <w:t>outside</w:t>
      </w:r>
      <w:r>
        <w:rPr>
          <w:spacing w:val="-4"/>
          <w:sz w:val="22"/>
        </w:rPr>
        <w:t> </w:t>
      </w:r>
      <w:r>
        <w:rPr>
          <w:sz w:val="22"/>
        </w:rPr>
        <w:t>of</w:t>
      </w:r>
      <w:r>
        <w:rPr>
          <w:spacing w:val="-3"/>
          <w:sz w:val="22"/>
        </w:rPr>
        <w:t> </w:t>
      </w:r>
      <w:r>
        <w:rPr>
          <w:sz w:val="22"/>
        </w:rPr>
        <w:t>the</w:t>
      </w:r>
      <w:r>
        <w:rPr>
          <w:spacing w:val="-2"/>
          <w:sz w:val="22"/>
        </w:rPr>
        <w:t> </w:t>
      </w:r>
      <w:r>
        <w:rPr>
          <w:sz w:val="22"/>
        </w:rPr>
        <w:t>United</w:t>
      </w:r>
      <w:r>
        <w:rPr>
          <w:spacing w:val="-1"/>
          <w:sz w:val="22"/>
        </w:rPr>
        <w:t> </w:t>
      </w:r>
      <w:r>
        <w:rPr>
          <w:sz w:val="22"/>
        </w:rPr>
        <w:t>States</w:t>
      </w:r>
      <w:r>
        <w:rPr>
          <w:spacing w:val="-2"/>
          <w:sz w:val="22"/>
        </w:rPr>
        <w:t> </w:t>
      </w:r>
      <w:r>
        <w:rPr>
          <w:sz w:val="22"/>
        </w:rPr>
        <w:t>to</w:t>
      </w:r>
      <w:r>
        <w:rPr>
          <w:spacing w:val="1"/>
          <w:sz w:val="22"/>
        </w:rPr>
        <w:t> </w:t>
      </w:r>
      <w:r>
        <w:rPr>
          <w:sz w:val="22"/>
        </w:rPr>
        <w:t>parents</w:t>
      </w:r>
      <w:r>
        <w:rPr>
          <w:spacing w:val="-2"/>
          <w:sz w:val="22"/>
        </w:rPr>
        <w:t> </w:t>
      </w:r>
      <w:r>
        <w:rPr>
          <w:sz w:val="22"/>
        </w:rPr>
        <w:t>neither</w:t>
      </w:r>
      <w:r>
        <w:rPr>
          <w:spacing w:val="-2"/>
          <w:sz w:val="22"/>
        </w:rPr>
        <w:t> </w:t>
      </w:r>
      <w:r>
        <w:rPr>
          <w:sz w:val="22"/>
        </w:rPr>
        <w:t>of</w:t>
      </w:r>
      <w:r>
        <w:rPr>
          <w:spacing w:val="-3"/>
          <w:sz w:val="22"/>
        </w:rPr>
        <w:t> </w:t>
      </w:r>
      <w:r>
        <w:rPr>
          <w:sz w:val="22"/>
        </w:rPr>
        <w:t>whom</w:t>
      </w:r>
      <w:r>
        <w:rPr>
          <w:spacing w:val="-2"/>
          <w:sz w:val="22"/>
        </w:rPr>
        <w:t> </w:t>
      </w:r>
      <w:r>
        <w:rPr>
          <w:sz w:val="22"/>
        </w:rPr>
        <w:t>was </w:t>
      </w:r>
      <w:r>
        <w:rPr>
          <w:spacing w:val="-10"/>
          <w:sz w:val="22"/>
        </w:rPr>
        <w:t>a</w:t>
      </w:r>
    </w:p>
    <w:p>
      <w:pPr>
        <w:pStyle w:val="BodyText"/>
        <w:spacing w:before="160"/>
        <w:ind w:left="342"/>
      </w:pPr>
      <w:r>
        <w:rPr/>
        <w:t>U.S.</w:t>
      </w:r>
      <w:r>
        <w:rPr>
          <w:spacing w:val="-10"/>
        </w:rPr>
        <w:t> </w:t>
      </w:r>
      <w:r>
        <w:rPr>
          <w:spacing w:val="-2"/>
        </w:rPr>
        <w:t>citizen</w:t>
      </w:r>
    </w:p>
    <w:p>
      <w:pPr>
        <w:pStyle w:val="BodyText"/>
        <w:spacing w:line="276" w:lineRule="auto" w:before="161"/>
        <w:ind w:left="343" w:right="202" w:hanging="6"/>
        <w:jc w:val="both"/>
      </w:pPr>
      <w:r>
        <w:rPr>
          <w:b/>
        </w:rPr>
        <w:t>Foreign-born youth</w:t>
      </w:r>
      <w:r>
        <w:rPr/>
        <w:t>: a group of youth including naturalized U.S. citizens, lawful permanent residents, refugees, asylees, legal nonimmigrants (holders of temporary visas), and those who are undocumented</w:t>
      </w:r>
    </w:p>
    <w:p>
      <w:pPr>
        <w:pStyle w:val="BodyText"/>
        <w:spacing w:line="276" w:lineRule="auto" w:before="119"/>
        <w:ind w:left="343" w:right="200" w:hanging="6"/>
        <w:jc w:val="both"/>
      </w:pPr>
      <w:r>
        <w:rPr>
          <w:b/>
        </w:rPr>
        <w:t>Gay: </w:t>
      </w:r>
      <w:r>
        <w:rPr/>
        <w:t>an overarching term to refer to a broad array of sexual orientation identities other than heterosexual. Can</w:t>
      </w:r>
      <w:r>
        <w:rPr>
          <w:spacing w:val="-10"/>
        </w:rPr>
        <w:t> </w:t>
      </w:r>
      <w:r>
        <w:rPr/>
        <w:t>also</w:t>
      </w:r>
      <w:r>
        <w:rPr>
          <w:spacing w:val="-5"/>
        </w:rPr>
        <w:t> </w:t>
      </w:r>
      <w:r>
        <w:rPr/>
        <w:t>refer</w:t>
      </w:r>
      <w:r>
        <w:rPr>
          <w:spacing w:val="-5"/>
        </w:rPr>
        <w:t> </w:t>
      </w:r>
      <w:r>
        <w:rPr/>
        <w:t>more</w:t>
      </w:r>
      <w:r>
        <w:rPr>
          <w:spacing w:val="-6"/>
        </w:rPr>
        <w:t> </w:t>
      </w:r>
      <w:r>
        <w:rPr/>
        <w:t>specifically</w:t>
      </w:r>
      <w:r>
        <w:rPr>
          <w:spacing w:val="-5"/>
        </w:rPr>
        <w:t> </w:t>
      </w:r>
      <w:r>
        <w:rPr/>
        <w:t>to</w:t>
      </w:r>
      <w:r>
        <w:rPr>
          <w:spacing w:val="-6"/>
        </w:rPr>
        <w:t> </w:t>
      </w:r>
      <w:r>
        <w:rPr/>
        <w:t>the</w:t>
      </w:r>
      <w:r>
        <w:rPr>
          <w:spacing w:val="-4"/>
        </w:rPr>
        <w:t> </w:t>
      </w:r>
      <w:r>
        <w:rPr/>
        <w:t>identity</w:t>
      </w:r>
      <w:r>
        <w:rPr>
          <w:spacing w:val="-5"/>
        </w:rPr>
        <w:t> </w:t>
      </w:r>
      <w:r>
        <w:rPr/>
        <w:t>of</w:t>
      </w:r>
      <w:r>
        <w:rPr>
          <w:spacing w:val="-6"/>
        </w:rPr>
        <w:t> </w:t>
      </w:r>
      <w:r>
        <w:rPr/>
        <w:t>attraction</w:t>
      </w:r>
      <w:r>
        <w:rPr>
          <w:spacing w:val="-6"/>
        </w:rPr>
        <w:t> </w:t>
      </w:r>
      <w:r>
        <w:rPr/>
        <w:t>to</w:t>
      </w:r>
      <w:r>
        <w:rPr>
          <w:spacing w:val="-4"/>
        </w:rPr>
        <w:t> </w:t>
      </w:r>
      <w:r>
        <w:rPr/>
        <w:t>others</w:t>
      </w:r>
      <w:r>
        <w:rPr>
          <w:spacing w:val="-6"/>
        </w:rPr>
        <w:t> </w:t>
      </w:r>
      <w:r>
        <w:rPr/>
        <w:t>of</w:t>
      </w:r>
      <w:r>
        <w:rPr>
          <w:spacing w:val="-5"/>
        </w:rPr>
        <w:t> </w:t>
      </w:r>
      <w:r>
        <w:rPr/>
        <w:t>the</w:t>
      </w:r>
      <w:r>
        <w:rPr>
          <w:spacing w:val="-6"/>
        </w:rPr>
        <w:t> </w:t>
      </w:r>
      <w:r>
        <w:rPr/>
        <w:t>same</w:t>
      </w:r>
      <w:r>
        <w:rPr>
          <w:spacing w:val="-6"/>
        </w:rPr>
        <w:t> </w:t>
      </w:r>
      <w:r>
        <w:rPr/>
        <w:t>gender.</w:t>
      </w:r>
    </w:p>
    <w:p>
      <w:pPr>
        <w:pStyle w:val="BodyText"/>
        <w:spacing w:line="276" w:lineRule="auto" w:before="121"/>
        <w:ind w:left="343" w:right="200" w:hanging="5"/>
        <w:jc w:val="both"/>
      </w:pPr>
      <w:r>
        <w:rPr>
          <w:b/>
        </w:rPr>
        <w:t>Gender diverse</w:t>
      </w:r>
      <w:r>
        <w:rPr/>
        <w:t>: Gender diverse refers to the wide range of gender identities and expressions that exist beyond the binary categories of male and female. It includes individuals who identify as non-binary, genderqueer, genderfluid, as well as those who identify as transgender or cisgender. Gender diverse individuals may express their gender in a variety of ways, and their experiences may be shaped by intersecting identities, such as race, ethnicity, class, and disability.</w:t>
      </w:r>
    </w:p>
    <w:p>
      <w:pPr>
        <w:pStyle w:val="BodyText"/>
        <w:spacing w:line="276" w:lineRule="auto" w:before="120"/>
        <w:ind w:left="343" w:right="201"/>
        <w:jc w:val="both"/>
      </w:pPr>
      <w:r>
        <w:rPr>
          <w:b/>
        </w:rPr>
        <w:t>Gender dysphoria: </w:t>
      </w:r>
      <w:r>
        <w:rPr/>
        <w:t>formerly known as Gender Identity Disorder (GID), and described as the extreme discomfort or distress resulting from a mismatch between one's sex assigned at birth and one’s gender identity. Gender dysphoria is also the formal diagnosis for transgender identity in the Diagnostic and Statistical Manual, fifth edition (DSM 5). In order to be diagnosed with gender dysphoria, one must have a marked incongruence between one's experienced/expressed gender and assigned gender for at least six months. In children, identification with a gender other than the one assigned at birth must be present and verbalized. The condition is associated with clinically significant distress or impairment in social, school, occupational, or other important areas of functioning. Not all members of the transgender community choose</w:t>
      </w:r>
      <w:r>
        <w:rPr>
          <w:spacing w:val="-8"/>
        </w:rPr>
        <w:t> </w:t>
      </w:r>
      <w:r>
        <w:rPr/>
        <w:t>to</w:t>
      </w:r>
      <w:r>
        <w:rPr>
          <w:spacing w:val="-5"/>
        </w:rPr>
        <w:t> </w:t>
      </w:r>
      <w:r>
        <w:rPr/>
        <w:t>take</w:t>
      </w:r>
      <w:r>
        <w:rPr>
          <w:spacing w:val="-8"/>
        </w:rPr>
        <w:t> </w:t>
      </w:r>
      <w:r>
        <w:rPr/>
        <w:t>on</w:t>
      </w:r>
      <w:r>
        <w:rPr>
          <w:spacing w:val="-6"/>
        </w:rPr>
        <w:t> </w:t>
      </w:r>
      <w:r>
        <w:rPr/>
        <w:t>the</w:t>
      </w:r>
      <w:r>
        <w:rPr>
          <w:spacing w:val="-7"/>
        </w:rPr>
        <w:t> </w:t>
      </w:r>
      <w:r>
        <w:rPr/>
        <w:t>formal</w:t>
      </w:r>
      <w:r>
        <w:rPr>
          <w:spacing w:val="-7"/>
        </w:rPr>
        <w:t> </w:t>
      </w:r>
      <w:r>
        <w:rPr/>
        <w:t>diagnosis,</w:t>
      </w:r>
      <w:r>
        <w:rPr>
          <w:spacing w:val="-7"/>
        </w:rPr>
        <w:t> </w:t>
      </w:r>
      <w:r>
        <w:rPr/>
        <w:t>as</w:t>
      </w:r>
      <w:r>
        <w:rPr>
          <w:spacing w:val="-8"/>
        </w:rPr>
        <w:t> </w:t>
      </w:r>
      <w:r>
        <w:rPr/>
        <w:t>there</w:t>
      </w:r>
      <w:r>
        <w:rPr>
          <w:spacing w:val="-6"/>
        </w:rPr>
        <w:t> </w:t>
      </w:r>
      <w:r>
        <w:rPr/>
        <w:t>is</w:t>
      </w:r>
      <w:r>
        <w:rPr>
          <w:spacing w:val="-7"/>
        </w:rPr>
        <w:t> </w:t>
      </w:r>
      <w:r>
        <w:rPr/>
        <w:t>still</w:t>
      </w:r>
      <w:r>
        <w:rPr>
          <w:spacing w:val="-6"/>
        </w:rPr>
        <w:t> </w:t>
      </w:r>
      <w:r>
        <w:rPr/>
        <w:t>some</w:t>
      </w:r>
      <w:r>
        <w:rPr>
          <w:spacing w:val="-7"/>
        </w:rPr>
        <w:t> </w:t>
      </w:r>
      <w:r>
        <w:rPr/>
        <w:t>stigma</w:t>
      </w:r>
      <w:r>
        <w:rPr>
          <w:spacing w:val="-4"/>
        </w:rPr>
        <w:t> </w:t>
      </w:r>
      <w:r>
        <w:rPr/>
        <w:t>associated with a formal diagnosis.</w:t>
      </w:r>
    </w:p>
    <w:p>
      <w:pPr>
        <w:pStyle w:val="BodyText"/>
        <w:spacing w:line="276" w:lineRule="auto" w:before="119"/>
        <w:ind w:left="343" w:right="200" w:hanging="5"/>
        <w:jc w:val="both"/>
      </w:pPr>
      <w:r>
        <w:rPr>
          <w:b/>
        </w:rPr>
        <w:t>Gender expansive</w:t>
      </w:r>
      <w:r>
        <w:rPr/>
        <w:t>: Gender expansive refers to a wide range of gender identities and expressions beyond the binary categories of male and female. Gender expansive individuals may identify as non- binary, genderqueer, genderfluid, or any other gender identity outside of the binary. It can</w:t>
      </w:r>
      <w:r>
        <w:rPr>
          <w:spacing w:val="-1"/>
        </w:rPr>
        <w:t> </w:t>
      </w:r>
      <w:r>
        <w:rPr/>
        <w:t>also refer to individuals who</w:t>
      </w:r>
      <w:r>
        <w:rPr>
          <w:spacing w:val="-6"/>
        </w:rPr>
        <w:t> </w:t>
      </w:r>
      <w:r>
        <w:rPr/>
        <w:t>express</w:t>
      </w:r>
      <w:r>
        <w:rPr>
          <w:spacing w:val="-6"/>
        </w:rPr>
        <w:t> </w:t>
      </w:r>
      <w:r>
        <w:rPr/>
        <w:t>their</w:t>
      </w:r>
      <w:r>
        <w:rPr>
          <w:spacing w:val="-5"/>
        </w:rPr>
        <w:t> </w:t>
      </w:r>
      <w:r>
        <w:rPr/>
        <w:t>gender</w:t>
      </w:r>
      <w:r>
        <w:rPr>
          <w:spacing w:val="-5"/>
        </w:rPr>
        <w:t> </w:t>
      </w:r>
      <w:r>
        <w:rPr/>
        <w:t>in</w:t>
      </w:r>
      <w:r>
        <w:rPr>
          <w:spacing w:val="-7"/>
        </w:rPr>
        <w:t> </w:t>
      </w:r>
      <w:r>
        <w:rPr/>
        <w:t>a</w:t>
      </w:r>
      <w:r>
        <w:rPr>
          <w:spacing w:val="-5"/>
        </w:rPr>
        <w:t> </w:t>
      </w:r>
      <w:r>
        <w:rPr/>
        <w:t>non-conforming</w:t>
      </w:r>
      <w:r>
        <w:rPr>
          <w:spacing w:val="-6"/>
        </w:rPr>
        <w:t> </w:t>
      </w:r>
      <w:r>
        <w:rPr/>
        <w:t>way,</w:t>
      </w:r>
      <w:r>
        <w:rPr>
          <w:spacing w:val="-4"/>
        </w:rPr>
        <w:t> </w:t>
      </w:r>
      <w:r>
        <w:rPr/>
        <w:t>such</w:t>
      </w:r>
      <w:r>
        <w:rPr>
          <w:spacing w:val="-7"/>
        </w:rPr>
        <w:t> </w:t>
      </w:r>
      <w:r>
        <w:rPr/>
        <w:t>as</w:t>
      </w:r>
      <w:r>
        <w:rPr>
          <w:spacing w:val="-5"/>
        </w:rPr>
        <w:t> </w:t>
      </w:r>
      <w:r>
        <w:rPr/>
        <w:t>through</w:t>
      </w:r>
      <w:r>
        <w:rPr>
          <w:spacing w:val="-5"/>
        </w:rPr>
        <w:t> </w:t>
      </w:r>
      <w:r>
        <w:rPr/>
        <w:t>clothing,</w:t>
      </w:r>
      <w:r>
        <w:rPr>
          <w:spacing w:val="-4"/>
        </w:rPr>
        <w:t> </w:t>
      </w:r>
      <w:r>
        <w:rPr/>
        <w:t>hairstyles,</w:t>
      </w:r>
      <w:r>
        <w:rPr>
          <w:spacing w:val="-4"/>
        </w:rPr>
        <w:t> </w:t>
      </w:r>
      <w:r>
        <w:rPr/>
        <w:t>or</w:t>
      </w:r>
      <w:r>
        <w:rPr>
          <w:spacing w:val="-4"/>
        </w:rPr>
        <w:t> </w:t>
      </w:r>
      <w:r>
        <w:rPr/>
        <w:t>mannerisms</w:t>
      </w:r>
      <w:r>
        <w:rPr>
          <w:spacing w:val="-2"/>
        </w:rPr>
        <w:t> </w:t>
      </w:r>
      <w:r>
        <w:rPr/>
        <w:t>that are not traditionally associated with their gender.</w:t>
      </w:r>
    </w:p>
    <w:p>
      <w:pPr>
        <w:pStyle w:val="BodyText"/>
        <w:spacing w:line="276" w:lineRule="auto" w:before="120"/>
        <w:ind w:left="343" w:right="200" w:hanging="5"/>
        <w:jc w:val="both"/>
      </w:pPr>
      <w:r>
        <w:rPr>
          <w:b/>
        </w:rPr>
        <w:t>Gender expression: </w:t>
      </w:r>
      <w:r>
        <w:rPr/>
        <w:t>how a person publicly presents or expresses their gender identity to others. This includes how they speak or act, wear their hair, dress, and otherwise present themselves to the world. Gender expression is not necessarily indicative of sexual orientation or gender identity.</w:t>
      </w:r>
    </w:p>
    <w:p>
      <w:pPr>
        <w:pStyle w:val="BodyText"/>
        <w:spacing w:line="276" w:lineRule="auto" w:before="121"/>
        <w:ind w:left="344" w:right="201" w:hanging="5"/>
        <w:jc w:val="both"/>
      </w:pPr>
      <w:r>
        <w:rPr>
          <w:b/>
        </w:rPr>
        <w:t>Gender identity: </w:t>
      </w:r>
      <w:r>
        <w:rPr/>
        <w:t>The gender a person experiences and accepts as descriptive of themselves. Traditionally gender identities have been limited to man or woman. Currently there are many other additional gender identities,</w:t>
      </w:r>
      <w:r>
        <w:rPr>
          <w:spacing w:val="-2"/>
        </w:rPr>
        <w:t> </w:t>
      </w:r>
      <w:r>
        <w:rPr/>
        <w:t>such</w:t>
      </w:r>
      <w:r>
        <w:rPr>
          <w:spacing w:val="-4"/>
        </w:rPr>
        <w:t> </w:t>
      </w:r>
      <w:r>
        <w:rPr/>
        <w:t>genderqueer</w:t>
      </w:r>
      <w:r>
        <w:rPr>
          <w:spacing w:val="-1"/>
        </w:rPr>
        <w:t> </w:t>
      </w:r>
      <w:r>
        <w:rPr/>
        <w:t>and</w:t>
      </w:r>
      <w:r>
        <w:rPr>
          <w:spacing w:val="-5"/>
        </w:rPr>
        <w:t> </w:t>
      </w:r>
      <w:r>
        <w:rPr/>
        <w:t>nonbinary.</w:t>
      </w:r>
      <w:r>
        <w:rPr>
          <w:spacing w:val="-2"/>
        </w:rPr>
        <w:t> </w:t>
      </w:r>
      <w:r>
        <w:rPr/>
        <w:t>Gender</w:t>
      </w:r>
      <w:r>
        <w:rPr>
          <w:spacing w:val="-2"/>
        </w:rPr>
        <w:t> </w:t>
      </w:r>
      <w:r>
        <w:rPr/>
        <w:t>identity is</w:t>
      </w:r>
      <w:r>
        <w:rPr>
          <w:spacing w:val="-6"/>
        </w:rPr>
        <w:t> </w:t>
      </w:r>
      <w:r>
        <w:rPr/>
        <w:t>separate</w:t>
      </w:r>
      <w:r>
        <w:rPr>
          <w:spacing w:val="-4"/>
        </w:rPr>
        <w:t> </w:t>
      </w:r>
      <w:r>
        <w:rPr/>
        <w:t>from</w:t>
      </w:r>
      <w:r>
        <w:rPr>
          <w:spacing w:val="-4"/>
        </w:rPr>
        <w:t> </w:t>
      </w:r>
      <w:r>
        <w:rPr/>
        <w:t>sexual orientation.</w:t>
      </w:r>
    </w:p>
    <w:p>
      <w:pPr>
        <w:spacing w:after="0" w:line="276" w:lineRule="auto"/>
        <w:jc w:val="both"/>
        <w:sectPr>
          <w:pgSz w:w="12240" w:h="15840"/>
          <w:pgMar w:header="870" w:footer="1202" w:top="1060" w:bottom="1400" w:left="960" w:right="1100"/>
        </w:sectPr>
      </w:pPr>
    </w:p>
    <w:p>
      <w:pPr>
        <w:pStyle w:val="BodyText"/>
        <w:spacing w:line="276" w:lineRule="auto" w:before="181"/>
        <w:ind w:left="344" w:right="203" w:hanging="5"/>
        <w:jc w:val="both"/>
      </w:pPr>
      <w:r>
        <w:rPr>
          <w:b/>
        </w:rPr>
        <w:t>Gender-neutral: </w:t>
      </w:r>
      <w:r>
        <w:rPr/>
        <w:t>a term that describes something, many times a space (like a bathroom) or a thing (such as clothing), that is not segregated by sex or gender.</w:t>
      </w:r>
    </w:p>
    <w:p>
      <w:pPr>
        <w:pStyle w:val="BodyText"/>
        <w:spacing w:line="276" w:lineRule="auto" w:before="120"/>
        <w:ind w:left="344" w:right="200" w:hanging="5"/>
        <w:jc w:val="both"/>
      </w:pPr>
      <w:r>
        <w:rPr>
          <w:b/>
        </w:rPr>
        <w:t>Gender-nonconforming (GNC): </w:t>
      </w:r>
      <w:r>
        <w:rPr/>
        <w:t>a term used to describe people whose gender expression differs from stereotypical expectations of gender appropriate behavior or ways men and women are expected to act. Not all gender non-conforming people identify as LGBTQ. This may also be referred to as gender variance</w:t>
      </w:r>
      <w:r>
        <w:rPr>
          <w:spacing w:val="80"/>
        </w:rPr>
        <w:t> </w:t>
      </w:r>
      <w:r>
        <w:rPr/>
        <w:t>or gender expansive.</w:t>
      </w:r>
    </w:p>
    <w:p>
      <w:pPr>
        <w:pStyle w:val="BodyText"/>
        <w:spacing w:line="276" w:lineRule="auto" w:before="119"/>
        <w:ind w:left="344" w:right="202" w:hanging="4"/>
        <w:jc w:val="both"/>
      </w:pPr>
      <w:r>
        <w:rPr>
          <w:b/>
        </w:rPr>
        <w:t>Gender role: </w:t>
      </w:r>
      <w:r>
        <w:rPr/>
        <w:t>Duties associated with a person’s social function; traditionally based on the sexual division of labor e.g. traditional woman – wife, mother, caregiver, emotional support; traditional man – husband, father, protector, financial provider.</w:t>
      </w:r>
    </w:p>
    <w:p>
      <w:pPr>
        <w:pStyle w:val="BodyText"/>
        <w:spacing w:line="276" w:lineRule="auto" w:before="120"/>
        <w:ind w:left="344" w:right="198" w:hanging="5"/>
        <w:jc w:val="both"/>
      </w:pPr>
      <w:r>
        <w:rPr>
          <w:b/>
        </w:rPr>
        <w:t>Genderqueer: </w:t>
      </w:r>
      <w:r>
        <w:rPr/>
        <w:t>a term for people who identify outside the confines of the binary definition of gender (male/female). Genderqueer people may consider themselves to be two or more genders, without a gender, a third gender, and/or fluid.</w:t>
      </w:r>
    </w:p>
    <w:p>
      <w:pPr>
        <w:pStyle w:val="BodyText"/>
        <w:spacing w:line="276" w:lineRule="auto" w:before="120"/>
        <w:ind w:left="343" w:right="200" w:hanging="5"/>
        <w:jc w:val="both"/>
      </w:pPr>
      <w:r>
        <w:rPr>
          <w:b/>
        </w:rPr>
        <w:t>Heteronormativity</w:t>
      </w:r>
      <w:r>
        <w:rPr/>
        <w:t>:</w:t>
      </w:r>
      <w:r>
        <w:rPr>
          <w:spacing w:val="-2"/>
        </w:rPr>
        <w:t> </w:t>
      </w:r>
      <w:r>
        <w:rPr/>
        <w:t>Heteronormativity</w:t>
      </w:r>
      <w:r>
        <w:rPr>
          <w:spacing w:val="-2"/>
        </w:rPr>
        <w:t> </w:t>
      </w:r>
      <w:r>
        <w:rPr/>
        <w:t>refers</w:t>
      </w:r>
      <w:r>
        <w:rPr>
          <w:spacing w:val="-2"/>
        </w:rPr>
        <w:t> </w:t>
      </w:r>
      <w:r>
        <w:rPr/>
        <w:t>to</w:t>
      </w:r>
      <w:r>
        <w:rPr>
          <w:spacing w:val="-1"/>
        </w:rPr>
        <w:t> </w:t>
      </w:r>
      <w:r>
        <w:rPr/>
        <w:t>the societal</w:t>
      </w:r>
      <w:r>
        <w:rPr>
          <w:spacing w:val="-3"/>
        </w:rPr>
        <w:t> </w:t>
      </w:r>
      <w:r>
        <w:rPr/>
        <w:t>assumption</w:t>
      </w:r>
      <w:r>
        <w:rPr>
          <w:spacing w:val="-2"/>
        </w:rPr>
        <w:t> </w:t>
      </w:r>
      <w:r>
        <w:rPr/>
        <w:t>that</w:t>
      </w:r>
      <w:r>
        <w:rPr>
          <w:spacing w:val="-1"/>
        </w:rPr>
        <w:t> </w:t>
      </w:r>
      <w:r>
        <w:rPr/>
        <w:t>heterosexuality</w:t>
      </w:r>
      <w:r>
        <w:rPr>
          <w:spacing w:val="-3"/>
        </w:rPr>
        <w:t> </w:t>
      </w:r>
      <w:r>
        <w:rPr/>
        <w:t>is</w:t>
      </w:r>
      <w:r>
        <w:rPr>
          <w:spacing w:val="-1"/>
        </w:rPr>
        <w:t> </w:t>
      </w:r>
      <w:r>
        <w:rPr/>
        <w:t>the</w:t>
      </w:r>
      <w:r>
        <w:rPr>
          <w:spacing w:val="-2"/>
        </w:rPr>
        <w:t> </w:t>
      </w:r>
      <w:r>
        <w:rPr/>
        <w:t>norm</w:t>
      </w:r>
      <w:r>
        <w:rPr>
          <w:spacing w:val="-8"/>
        </w:rPr>
        <w:t> </w:t>
      </w:r>
      <w:r>
        <w:rPr/>
        <w:t>or default sexual orientation, and that relationships and identities outside of heterosexuality are abnormal or deviant. Heteronormativity reinforces the gender binary and traditional gender roles, with the assumption that men are attracted to women and vice versa. It is a system of beliefs and practices that privileges and centers heterosexual individuals and experiences while marginalizing and excluding non-heterosexual identities and relationships.</w:t>
      </w:r>
    </w:p>
    <w:p>
      <w:pPr>
        <w:pStyle w:val="BodyText"/>
        <w:spacing w:line="276" w:lineRule="auto" w:before="121"/>
        <w:ind w:left="344" w:right="197" w:hanging="5"/>
        <w:jc w:val="both"/>
      </w:pPr>
      <w:r>
        <w:rPr>
          <w:b/>
        </w:rPr>
        <w:t>Heterosexism</w:t>
      </w:r>
      <w:r>
        <w:rPr/>
        <w:t>: Heterosexism is a systemic and individual set of beliefs, attitudes, and practices that</w:t>
      </w:r>
      <w:r>
        <w:rPr>
          <w:spacing w:val="40"/>
        </w:rPr>
        <w:t> </w:t>
      </w:r>
      <w:r>
        <w:rPr/>
        <w:t>privilege and normalize heterosexual relationships, while marginalizing and stigmatizing non- heterosexual identities and relationships. Heterosexism reinforces the notion that heterosexuality is the</w:t>
      </w:r>
      <w:r>
        <w:rPr>
          <w:spacing w:val="-2"/>
        </w:rPr>
        <w:t> </w:t>
      </w:r>
      <w:r>
        <w:rPr/>
        <w:t>norm and ideal, and</w:t>
      </w:r>
      <w:r>
        <w:rPr>
          <w:spacing w:val="-13"/>
        </w:rPr>
        <w:t> </w:t>
      </w:r>
      <w:r>
        <w:rPr/>
        <w:t>that</w:t>
      </w:r>
      <w:r>
        <w:rPr>
          <w:spacing w:val="-12"/>
        </w:rPr>
        <w:t> </w:t>
      </w:r>
      <w:r>
        <w:rPr/>
        <w:t>other</w:t>
      </w:r>
      <w:r>
        <w:rPr>
          <w:spacing w:val="-12"/>
        </w:rPr>
        <w:t> </w:t>
      </w:r>
      <w:r>
        <w:rPr/>
        <w:t>sexual</w:t>
      </w:r>
      <w:r>
        <w:rPr>
          <w:spacing w:val="-11"/>
        </w:rPr>
        <w:t> </w:t>
      </w:r>
      <w:r>
        <w:rPr/>
        <w:t>orientations</w:t>
      </w:r>
      <w:r>
        <w:rPr>
          <w:spacing w:val="-12"/>
        </w:rPr>
        <w:t> </w:t>
      </w:r>
      <w:r>
        <w:rPr/>
        <w:t>are</w:t>
      </w:r>
      <w:r>
        <w:rPr>
          <w:spacing w:val="-11"/>
        </w:rPr>
        <w:t> </w:t>
      </w:r>
      <w:r>
        <w:rPr/>
        <w:t>deviant,</w:t>
      </w:r>
      <w:r>
        <w:rPr>
          <w:spacing w:val="-12"/>
        </w:rPr>
        <w:t> </w:t>
      </w:r>
      <w:r>
        <w:rPr/>
        <w:t>abnormal,</w:t>
      </w:r>
      <w:r>
        <w:rPr>
          <w:spacing w:val="-12"/>
        </w:rPr>
        <w:t> </w:t>
      </w:r>
      <w:r>
        <w:rPr/>
        <w:t>or</w:t>
      </w:r>
      <w:r>
        <w:rPr>
          <w:spacing w:val="-12"/>
        </w:rPr>
        <w:t> </w:t>
      </w:r>
      <w:r>
        <w:rPr/>
        <w:t>inferior.</w:t>
      </w:r>
      <w:r>
        <w:rPr>
          <w:spacing w:val="-13"/>
        </w:rPr>
        <w:t> </w:t>
      </w:r>
      <w:r>
        <w:rPr/>
        <w:t>Heterosexism</w:t>
      </w:r>
      <w:r>
        <w:rPr>
          <w:spacing w:val="-4"/>
        </w:rPr>
        <w:t> </w:t>
      </w:r>
      <w:r>
        <w:rPr/>
        <w:t>operates</w:t>
      </w:r>
      <w:r>
        <w:rPr>
          <w:spacing w:val="-2"/>
        </w:rPr>
        <w:t> </w:t>
      </w:r>
      <w:r>
        <w:rPr/>
        <w:t>through</w:t>
      </w:r>
      <w:r>
        <w:rPr>
          <w:spacing w:val="-3"/>
        </w:rPr>
        <w:t> </w:t>
      </w:r>
      <w:r>
        <w:rPr/>
        <w:t>various forms of discrimination, including but not limited to, exclusion from social and political power, lack of legal protections, and limited access to healthcare.</w:t>
      </w:r>
    </w:p>
    <w:p>
      <w:pPr>
        <w:pStyle w:val="BodyText"/>
        <w:spacing w:line="276" w:lineRule="auto" w:before="119"/>
        <w:ind w:left="345" w:right="200" w:hanging="5"/>
        <w:jc w:val="both"/>
      </w:pPr>
      <w:r>
        <w:rPr>
          <w:b/>
        </w:rPr>
        <w:t>Homophobia: </w:t>
      </w:r>
      <w:r>
        <w:rPr/>
        <w:t>fear, hatred or discriminatory response to a person who is or is perceived to be lesbian, gay, bisexual, or queer.</w:t>
      </w:r>
    </w:p>
    <w:p>
      <w:pPr>
        <w:pStyle w:val="BodyText"/>
        <w:spacing w:line="276" w:lineRule="auto" w:before="119"/>
        <w:ind w:left="345" w:right="199"/>
        <w:jc w:val="both"/>
      </w:pPr>
      <w:r>
        <w:rPr>
          <w:b/>
        </w:rPr>
        <w:t>Intersex: </w:t>
      </w:r>
      <w:r>
        <w:rPr/>
        <w:t>a person born with a combination of chromosomes, hormones, and primary and secondary sex characteristics that do not place them into either one of the two accepted sex categories (male/ female) as defined by the medical establishment in our society.</w:t>
      </w:r>
    </w:p>
    <w:p>
      <w:pPr>
        <w:pStyle w:val="BodyText"/>
        <w:spacing w:line="276" w:lineRule="auto" w:before="121"/>
        <w:ind w:left="345" w:right="202"/>
        <w:jc w:val="both"/>
      </w:pPr>
      <w:r>
        <w:rPr>
          <w:b/>
        </w:rPr>
        <w:t>Lesbian: </w:t>
      </w:r>
      <w:r>
        <w:rPr/>
        <w:t>a woman who self-identifies as having an emotional, sexual, spiritual, and/or relational attraction to other women.</w:t>
      </w:r>
    </w:p>
    <w:p>
      <w:pPr>
        <w:pStyle w:val="BodyText"/>
        <w:spacing w:line="276" w:lineRule="auto" w:before="119"/>
        <w:ind w:left="344" w:right="201"/>
        <w:jc w:val="both"/>
      </w:pPr>
      <w:r>
        <w:rPr>
          <w:b/>
        </w:rPr>
        <w:t>Misgendering</w:t>
      </w:r>
      <w:r>
        <w:rPr/>
        <w:t>: Misgendering is the act of using language that does not accurately reflect an individual's gender identity. This can include using incorrect pronouns, titles, or descriptors that do not align with an individual's gender identity.</w:t>
      </w:r>
    </w:p>
    <w:p>
      <w:pPr>
        <w:pStyle w:val="BodyText"/>
        <w:spacing w:line="276" w:lineRule="auto" w:before="120"/>
        <w:ind w:left="344" w:right="200"/>
        <w:jc w:val="both"/>
      </w:pPr>
      <w:r>
        <w:rPr>
          <w:b/>
        </w:rPr>
        <w:t>Neopronouns: </w:t>
      </w:r>
      <w:r>
        <w:rPr/>
        <w:t>non-traditional pronouns that individuals may use to refer to themselves or others, particular those who do not feel comfortable using gendered pronouns like he/him or she/her. Neopronouns can include words like they/them, ze/hir, and xe/xem, as well as other custom-made </w:t>
      </w:r>
      <w:r>
        <w:rPr>
          <w:spacing w:val="-2"/>
        </w:rPr>
        <w:t>pronouns</w:t>
      </w:r>
    </w:p>
    <w:p>
      <w:pPr>
        <w:spacing w:after="0" w:line="276" w:lineRule="auto"/>
        <w:jc w:val="both"/>
        <w:sectPr>
          <w:pgSz w:w="12240" w:h="15840"/>
          <w:pgMar w:header="870" w:footer="1202" w:top="1060" w:bottom="1400" w:left="960" w:right="1100"/>
        </w:sectPr>
      </w:pPr>
    </w:p>
    <w:p>
      <w:pPr>
        <w:pStyle w:val="BodyText"/>
        <w:spacing w:line="276" w:lineRule="auto" w:before="181"/>
        <w:ind w:left="343" w:right="196" w:hanging="5"/>
        <w:jc w:val="both"/>
      </w:pPr>
      <w:r>
        <w:rPr>
          <w:b/>
        </w:rPr>
        <w:t>Nonbinary:</w:t>
      </w:r>
      <w:r>
        <w:rPr>
          <w:b/>
          <w:spacing w:val="-1"/>
        </w:rPr>
        <w:t> </w:t>
      </w:r>
      <w:r>
        <w:rPr/>
        <w:t>describes</w:t>
      </w:r>
      <w:r>
        <w:rPr>
          <w:spacing w:val="-5"/>
        </w:rPr>
        <w:t> </w:t>
      </w:r>
      <w:r>
        <w:rPr/>
        <w:t>any</w:t>
      </w:r>
      <w:r>
        <w:rPr>
          <w:spacing w:val="-2"/>
        </w:rPr>
        <w:t> </w:t>
      </w:r>
      <w:r>
        <w:rPr/>
        <w:t>gender</w:t>
      </w:r>
      <w:r>
        <w:rPr>
          <w:spacing w:val="-4"/>
        </w:rPr>
        <w:t> </w:t>
      </w:r>
      <w:r>
        <w:rPr/>
        <w:t>identity</w:t>
      </w:r>
      <w:r>
        <w:rPr>
          <w:spacing w:val="-5"/>
        </w:rPr>
        <w:t> </w:t>
      </w:r>
      <w:r>
        <w:rPr/>
        <w:t>which</w:t>
      </w:r>
      <w:r>
        <w:rPr>
          <w:spacing w:val="-4"/>
        </w:rPr>
        <w:t> </w:t>
      </w:r>
      <w:r>
        <w:rPr/>
        <w:t>does</w:t>
      </w:r>
      <w:r>
        <w:rPr>
          <w:spacing w:val="-5"/>
        </w:rPr>
        <w:t> </w:t>
      </w:r>
      <w:r>
        <w:rPr/>
        <w:t>not</w:t>
      </w:r>
      <w:r>
        <w:rPr>
          <w:spacing w:val="-5"/>
        </w:rPr>
        <w:t> </w:t>
      </w:r>
      <w:r>
        <w:rPr/>
        <w:t>fit</w:t>
      </w:r>
      <w:r>
        <w:rPr>
          <w:spacing w:val="-4"/>
        </w:rPr>
        <w:t> </w:t>
      </w:r>
      <w:r>
        <w:rPr/>
        <w:t>the</w:t>
      </w:r>
      <w:r>
        <w:rPr>
          <w:spacing w:val="-4"/>
        </w:rPr>
        <w:t> </w:t>
      </w:r>
      <w:r>
        <w:rPr/>
        <w:t>male</w:t>
      </w:r>
      <w:r>
        <w:rPr>
          <w:spacing w:val="-5"/>
        </w:rPr>
        <w:t> </w:t>
      </w:r>
      <w:r>
        <w:rPr/>
        <w:t>and</w:t>
      </w:r>
      <w:r>
        <w:rPr>
          <w:spacing w:val="-4"/>
        </w:rPr>
        <w:t> </w:t>
      </w:r>
      <w:r>
        <w:rPr/>
        <w:t>female</w:t>
      </w:r>
      <w:r>
        <w:rPr>
          <w:spacing w:val="-5"/>
        </w:rPr>
        <w:t> </w:t>
      </w:r>
      <w:r>
        <w:rPr/>
        <w:t>binary</w:t>
      </w:r>
      <w:r>
        <w:rPr>
          <w:spacing w:val="-5"/>
        </w:rPr>
        <w:t> </w:t>
      </w:r>
      <w:r>
        <w:rPr/>
        <w:t>spectrum.</w:t>
      </w:r>
      <w:r>
        <w:rPr>
          <w:spacing w:val="-4"/>
        </w:rPr>
        <w:t> </w:t>
      </w:r>
      <w:r>
        <w:rPr/>
        <w:t>A</w:t>
      </w:r>
      <w:r>
        <w:rPr>
          <w:spacing w:val="-5"/>
        </w:rPr>
        <w:t> </w:t>
      </w:r>
      <w:r>
        <w:rPr/>
        <w:t>person who identifies as gender nonbinary may identify as both male and female, somewhere in between, have multiple genders, have a third gender entirely, or no gender at all, and may reject this binary construct altogether. A nonbinary gender marker on an ID would be one that is neither male nor female, but instead might be represented by an X or an N.</w:t>
      </w:r>
    </w:p>
    <w:p>
      <w:pPr>
        <w:pStyle w:val="BodyText"/>
        <w:spacing w:before="119"/>
        <w:ind w:left="343"/>
        <w:jc w:val="both"/>
      </w:pPr>
      <w:r>
        <w:rPr>
          <w:b/>
          <w:spacing w:val="-4"/>
        </w:rPr>
        <w:t>Pansexual:</w:t>
      </w:r>
      <w:r>
        <w:rPr>
          <w:b/>
          <w:spacing w:val="-10"/>
        </w:rPr>
        <w:t> </w:t>
      </w:r>
      <w:r>
        <w:rPr>
          <w:spacing w:val="-4"/>
        </w:rPr>
        <w:t>attracted</w:t>
      </w:r>
      <w:r>
        <w:rPr>
          <w:spacing w:val="-5"/>
        </w:rPr>
        <w:t> </w:t>
      </w:r>
      <w:r>
        <w:rPr>
          <w:spacing w:val="-4"/>
        </w:rPr>
        <w:t>to</w:t>
      </w:r>
      <w:r>
        <w:rPr/>
        <w:t> </w:t>
      </w:r>
      <w:r>
        <w:rPr>
          <w:spacing w:val="-4"/>
        </w:rPr>
        <w:t>others regardless</w:t>
      </w:r>
      <w:r>
        <w:rPr>
          <w:spacing w:val="-7"/>
        </w:rPr>
        <w:t> </w:t>
      </w:r>
      <w:r>
        <w:rPr>
          <w:spacing w:val="-4"/>
        </w:rPr>
        <w:t>of</w:t>
      </w:r>
      <w:r>
        <w:rPr>
          <w:spacing w:val="-5"/>
        </w:rPr>
        <w:t> </w:t>
      </w:r>
      <w:r>
        <w:rPr>
          <w:spacing w:val="-4"/>
        </w:rPr>
        <w:t>gender</w:t>
      </w:r>
      <w:r>
        <w:rPr>
          <w:spacing w:val="-2"/>
        </w:rPr>
        <w:t> </w:t>
      </w:r>
      <w:r>
        <w:rPr>
          <w:spacing w:val="-4"/>
        </w:rPr>
        <w:t>identity</w:t>
      </w:r>
      <w:r>
        <w:rPr>
          <w:spacing w:val="-2"/>
        </w:rPr>
        <w:t> </w:t>
      </w:r>
      <w:r>
        <w:rPr>
          <w:spacing w:val="-4"/>
        </w:rPr>
        <w:t>or</w:t>
      </w:r>
      <w:r>
        <w:rPr>
          <w:spacing w:val="-2"/>
        </w:rPr>
        <w:t> </w:t>
      </w:r>
      <w:r>
        <w:rPr>
          <w:spacing w:val="-4"/>
        </w:rPr>
        <w:t>expression</w:t>
      </w:r>
    </w:p>
    <w:p>
      <w:pPr>
        <w:pStyle w:val="BodyText"/>
        <w:spacing w:before="160"/>
        <w:ind w:left="339"/>
        <w:jc w:val="both"/>
      </w:pPr>
      <w:r>
        <w:rPr>
          <w:b/>
          <w:spacing w:val="-2"/>
        </w:rPr>
        <w:t>PrEP:</w:t>
      </w:r>
      <w:r>
        <w:rPr>
          <w:b/>
          <w:spacing w:val="-5"/>
        </w:rPr>
        <w:t> </w:t>
      </w:r>
      <w:r>
        <w:rPr>
          <w:spacing w:val="-2"/>
        </w:rPr>
        <w:t>pre-exposure</w:t>
      </w:r>
      <w:r>
        <w:rPr>
          <w:spacing w:val="-3"/>
        </w:rPr>
        <w:t> </w:t>
      </w:r>
      <w:r>
        <w:rPr>
          <w:spacing w:val="-2"/>
        </w:rPr>
        <w:t>prophylaxis,</w:t>
      </w:r>
      <w:r>
        <w:rPr>
          <w:spacing w:val="-6"/>
        </w:rPr>
        <w:t> </w:t>
      </w:r>
      <w:r>
        <w:rPr>
          <w:spacing w:val="-2"/>
        </w:rPr>
        <w:t>or</w:t>
      </w:r>
      <w:r>
        <w:rPr>
          <w:spacing w:val="-3"/>
        </w:rPr>
        <w:t> </w:t>
      </w:r>
      <w:r>
        <w:rPr>
          <w:spacing w:val="-2"/>
        </w:rPr>
        <w:t>a</w:t>
      </w:r>
      <w:r>
        <w:rPr>
          <w:spacing w:val="-5"/>
        </w:rPr>
        <w:t> </w:t>
      </w:r>
      <w:r>
        <w:rPr>
          <w:spacing w:val="-2"/>
        </w:rPr>
        <w:t>medication taken</w:t>
      </w:r>
      <w:r>
        <w:rPr>
          <w:spacing w:val="-7"/>
        </w:rPr>
        <w:t> </w:t>
      </w:r>
      <w:r>
        <w:rPr>
          <w:spacing w:val="-2"/>
        </w:rPr>
        <w:t>daily to</w:t>
      </w:r>
      <w:r>
        <w:rPr/>
        <w:t> </w:t>
      </w:r>
      <w:r>
        <w:rPr>
          <w:spacing w:val="-2"/>
        </w:rPr>
        <w:t>reduce</w:t>
      </w:r>
      <w:r>
        <w:rPr>
          <w:spacing w:val="-4"/>
        </w:rPr>
        <w:t> </w:t>
      </w:r>
      <w:r>
        <w:rPr>
          <w:spacing w:val="-2"/>
        </w:rPr>
        <w:t>one’s</w:t>
      </w:r>
      <w:r>
        <w:rPr>
          <w:spacing w:val="-6"/>
        </w:rPr>
        <w:t> </w:t>
      </w:r>
      <w:r>
        <w:rPr>
          <w:spacing w:val="-2"/>
        </w:rPr>
        <w:t>risk</w:t>
      </w:r>
      <w:r>
        <w:rPr>
          <w:spacing w:val="-5"/>
        </w:rPr>
        <w:t> </w:t>
      </w:r>
      <w:r>
        <w:rPr>
          <w:spacing w:val="-2"/>
        </w:rPr>
        <w:t>of</w:t>
      </w:r>
      <w:r>
        <w:rPr>
          <w:spacing w:val="-5"/>
        </w:rPr>
        <w:t> </w:t>
      </w:r>
      <w:r>
        <w:rPr>
          <w:spacing w:val="-2"/>
        </w:rPr>
        <w:t>being</w:t>
      </w:r>
      <w:r>
        <w:rPr>
          <w:spacing w:val="-5"/>
        </w:rPr>
        <w:t> </w:t>
      </w:r>
      <w:r>
        <w:rPr>
          <w:spacing w:val="-2"/>
        </w:rPr>
        <w:t>infected</w:t>
      </w:r>
      <w:r>
        <w:rPr>
          <w:spacing w:val="-6"/>
        </w:rPr>
        <w:t> </w:t>
      </w:r>
      <w:r>
        <w:rPr>
          <w:spacing w:val="-2"/>
        </w:rPr>
        <w:t>with</w:t>
      </w:r>
      <w:r>
        <w:rPr>
          <w:spacing w:val="6"/>
        </w:rPr>
        <w:t> </w:t>
      </w:r>
      <w:r>
        <w:rPr>
          <w:spacing w:val="-4"/>
        </w:rPr>
        <w:t>HIV.</w:t>
      </w:r>
    </w:p>
    <w:p>
      <w:pPr>
        <w:pStyle w:val="BodyText"/>
        <w:spacing w:line="276" w:lineRule="auto" w:before="161"/>
        <w:ind w:left="343" w:right="203" w:hanging="5"/>
        <w:jc w:val="both"/>
      </w:pPr>
      <w:r>
        <w:rPr>
          <w:b/>
        </w:rPr>
        <w:t>Pubertal suppression: </w:t>
      </w:r>
      <w:r>
        <w:rPr/>
        <w:t>a medical process that pauses hormonal changes that initiate puberty in</w:t>
      </w:r>
      <w:r>
        <w:rPr>
          <w:spacing w:val="40"/>
        </w:rPr>
        <w:t> </w:t>
      </w:r>
      <w:r>
        <w:rPr/>
        <w:t>adolescents, resulting</w:t>
      </w:r>
      <w:r>
        <w:rPr>
          <w:spacing w:val="-2"/>
        </w:rPr>
        <w:t> </w:t>
      </w:r>
      <w:r>
        <w:rPr/>
        <w:t>in</w:t>
      </w:r>
      <w:r>
        <w:rPr>
          <w:spacing w:val="-2"/>
        </w:rPr>
        <w:t> </w:t>
      </w:r>
      <w:r>
        <w:rPr/>
        <w:t>a</w:t>
      </w:r>
      <w:r>
        <w:rPr>
          <w:spacing w:val="-1"/>
        </w:rPr>
        <w:t> </w:t>
      </w:r>
      <w:r>
        <w:rPr/>
        <w:t>purposeful</w:t>
      </w:r>
      <w:r>
        <w:rPr>
          <w:spacing w:val="-2"/>
        </w:rPr>
        <w:t> </w:t>
      </w:r>
      <w:r>
        <w:rPr/>
        <w:t>delay</w:t>
      </w:r>
      <w:r>
        <w:rPr>
          <w:spacing w:val="-1"/>
        </w:rPr>
        <w:t> </w:t>
      </w:r>
      <w:r>
        <w:rPr/>
        <w:t>in</w:t>
      </w:r>
      <w:r>
        <w:rPr>
          <w:spacing w:val="-2"/>
        </w:rPr>
        <w:t> </w:t>
      </w:r>
      <w:r>
        <w:rPr/>
        <w:t>the</w:t>
      </w:r>
      <w:r>
        <w:rPr>
          <w:spacing w:val="-1"/>
        </w:rPr>
        <w:t> </w:t>
      </w:r>
      <w:r>
        <w:rPr/>
        <w:t>development</w:t>
      </w:r>
      <w:r>
        <w:rPr>
          <w:spacing w:val="-2"/>
        </w:rPr>
        <w:t> </w:t>
      </w:r>
      <w:r>
        <w:rPr/>
        <w:t>of secondary</w:t>
      </w:r>
      <w:r>
        <w:rPr>
          <w:spacing w:val="-1"/>
        </w:rPr>
        <w:t> </w:t>
      </w:r>
      <w:r>
        <w:rPr/>
        <w:t>sex</w:t>
      </w:r>
      <w:r>
        <w:rPr>
          <w:spacing w:val="-2"/>
        </w:rPr>
        <w:t> </w:t>
      </w:r>
      <w:r>
        <w:rPr/>
        <w:t>characteristics</w:t>
      </w:r>
      <w:r>
        <w:rPr>
          <w:spacing w:val="-1"/>
        </w:rPr>
        <w:t> </w:t>
      </w:r>
      <w:r>
        <w:rPr/>
        <w:t>(e.g.</w:t>
      </w:r>
      <w:r>
        <w:rPr>
          <w:spacing w:val="-2"/>
        </w:rPr>
        <w:t> </w:t>
      </w:r>
      <w:r>
        <w:rPr/>
        <w:t>breast growth, facial hair, body fat redistribution, voice changes, etc.). Suppression can prevent gender dysphoria that often accompanies puberty for transgender or gender- nonconforming youth, and is not permanent.</w:t>
      </w:r>
    </w:p>
    <w:p>
      <w:pPr>
        <w:pStyle w:val="BodyText"/>
        <w:spacing w:line="276" w:lineRule="auto" w:before="120"/>
        <w:ind w:left="343" w:right="200" w:hanging="5"/>
        <w:jc w:val="both"/>
      </w:pPr>
      <w:r>
        <w:rPr>
          <w:b/>
        </w:rPr>
        <w:t>Queer: </w:t>
      </w:r>
      <w:r>
        <w:rPr/>
        <w:t>The term “queer” was reclaimed in the early 90’s as an umbrella term for those who do not</w:t>
      </w:r>
      <w:r>
        <w:rPr>
          <w:spacing w:val="40"/>
        </w:rPr>
        <w:t> </w:t>
      </w:r>
      <w:r>
        <w:rPr/>
        <w:t>conform to rigid (heteropatriarchal) notions of gender identity and expression or sexual orientation. Because this term has historically been used derogatorily, some older people find its reclamation to be controversial. It is the preferred identity term for many younger people.</w:t>
      </w:r>
    </w:p>
    <w:p>
      <w:pPr>
        <w:pStyle w:val="BodyText"/>
        <w:spacing w:line="276" w:lineRule="auto" w:before="119"/>
        <w:ind w:left="343" w:right="202" w:hanging="6"/>
        <w:jc w:val="both"/>
      </w:pPr>
      <w:r>
        <w:rPr>
          <w:b/>
        </w:rPr>
        <w:t>Questioning: </w:t>
      </w:r>
      <w:r>
        <w:rPr/>
        <w:t>a term used to describe a person who is exploring their sexual orientation and/or gender </w:t>
      </w:r>
      <w:r>
        <w:rPr>
          <w:spacing w:val="-2"/>
        </w:rPr>
        <w:t>identity</w:t>
      </w:r>
    </w:p>
    <w:p>
      <w:pPr>
        <w:pStyle w:val="BodyText"/>
        <w:spacing w:line="276" w:lineRule="auto" w:before="120"/>
        <w:ind w:left="343" w:right="201" w:hanging="5"/>
        <w:jc w:val="both"/>
      </w:pPr>
      <w:r>
        <w:rPr>
          <w:b/>
        </w:rPr>
        <w:t>Reproductive</w:t>
      </w:r>
      <w:r>
        <w:rPr>
          <w:b/>
          <w:spacing w:val="-1"/>
        </w:rPr>
        <w:t> </w:t>
      </w:r>
      <w:r>
        <w:rPr>
          <w:b/>
        </w:rPr>
        <w:t>health:</w:t>
      </w:r>
      <w:r>
        <w:rPr>
          <w:b/>
          <w:spacing w:val="-2"/>
        </w:rPr>
        <w:t> </w:t>
      </w:r>
      <w:r>
        <w:rPr/>
        <w:t>a</w:t>
      </w:r>
      <w:r>
        <w:rPr>
          <w:spacing w:val="-5"/>
        </w:rPr>
        <w:t> </w:t>
      </w:r>
      <w:r>
        <w:rPr/>
        <w:t>health</w:t>
      </w:r>
      <w:r>
        <w:rPr>
          <w:spacing w:val="-6"/>
        </w:rPr>
        <w:t> </w:t>
      </w:r>
      <w:r>
        <w:rPr/>
        <w:t>focus</w:t>
      </w:r>
      <w:r>
        <w:rPr>
          <w:spacing w:val="-5"/>
        </w:rPr>
        <w:t> </w:t>
      </w:r>
      <w:r>
        <w:rPr/>
        <w:t>on</w:t>
      </w:r>
      <w:r>
        <w:rPr>
          <w:spacing w:val="-5"/>
        </w:rPr>
        <w:t> </w:t>
      </w:r>
      <w:r>
        <w:rPr/>
        <w:t>the</w:t>
      </w:r>
      <w:r>
        <w:rPr>
          <w:spacing w:val="-5"/>
        </w:rPr>
        <w:t> </w:t>
      </w:r>
      <w:r>
        <w:rPr/>
        <w:t>provision</w:t>
      </w:r>
      <w:r>
        <w:rPr>
          <w:spacing w:val="-6"/>
        </w:rPr>
        <w:t> </w:t>
      </w:r>
      <w:r>
        <w:rPr/>
        <w:t>of</w:t>
      </w:r>
      <w:r>
        <w:rPr>
          <w:spacing w:val="-5"/>
        </w:rPr>
        <w:t> </w:t>
      </w:r>
      <w:r>
        <w:rPr/>
        <w:t>healthcare</w:t>
      </w:r>
      <w:r>
        <w:rPr>
          <w:spacing w:val="-5"/>
        </w:rPr>
        <w:t> </w:t>
      </w:r>
      <w:r>
        <w:rPr/>
        <w:t>services,</w:t>
      </w:r>
      <w:r>
        <w:rPr>
          <w:spacing w:val="-5"/>
        </w:rPr>
        <w:t> </w:t>
      </w:r>
      <w:r>
        <w:rPr/>
        <w:t>health</w:t>
      </w:r>
      <w:r>
        <w:rPr>
          <w:spacing w:val="-6"/>
        </w:rPr>
        <w:t> </w:t>
      </w:r>
      <w:r>
        <w:rPr/>
        <w:t>facilities,</w:t>
      </w:r>
      <w:r>
        <w:rPr>
          <w:spacing w:val="-5"/>
        </w:rPr>
        <w:t> </w:t>
      </w:r>
      <w:r>
        <w:rPr/>
        <w:t>research,</w:t>
      </w:r>
      <w:r>
        <w:rPr>
          <w:spacing w:val="-3"/>
        </w:rPr>
        <w:t> </w:t>
      </w:r>
      <w:r>
        <w:rPr/>
        <w:t>and</w:t>
      </w:r>
      <w:r>
        <w:rPr>
          <w:spacing w:val="-2"/>
        </w:rPr>
        <w:t> </w:t>
      </w:r>
      <w:r>
        <w:rPr/>
        <w:t>a person’s relationship with their provider</w:t>
      </w:r>
    </w:p>
    <w:p>
      <w:pPr>
        <w:pStyle w:val="BodyText"/>
        <w:spacing w:line="276" w:lineRule="auto" w:before="121"/>
        <w:ind w:left="343" w:right="202" w:hanging="1"/>
        <w:jc w:val="both"/>
      </w:pPr>
      <w:r>
        <w:rPr>
          <w:b/>
        </w:rPr>
        <w:t>Reproductive</w:t>
      </w:r>
      <w:r>
        <w:rPr>
          <w:b/>
          <w:spacing w:val="-1"/>
        </w:rPr>
        <w:t> </w:t>
      </w:r>
      <w:r>
        <w:rPr>
          <w:b/>
        </w:rPr>
        <w:t>justice: </w:t>
      </w:r>
      <w:r>
        <w:rPr/>
        <w:t>a</w:t>
      </w:r>
      <w:r>
        <w:rPr>
          <w:spacing w:val="-3"/>
        </w:rPr>
        <w:t> </w:t>
      </w:r>
      <w:r>
        <w:rPr/>
        <w:t>contemporary</w:t>
      </w:r>
      <w:r>
        <w:rPr>
          <w:spacing w:val="-3"/>
        </w:rPr>
        <w:t> </w:t>
      </w:r>
      <w:r>
        <w:rPr/>
        <w:t>and</w:t>
      </w:r>
      <w:r>
        <w:rPr>
          <w:spacing w:val="-3"/>
        </w:rPr>
        <w:t> </w:t>
      </w:r>
      <w:r>
        <w:rPr/>
        <w:t>political</w:t>
      </w:r>
      <w:r>
        <w:rPr>
          <w:spacing w:val="-4"/>
        </w:rPr>
        <w:t> </w:t>
      </w:r>
      <w:r>
        <w:rPr/>
        <w:t>approach</w:t>
      </w:r>
      <w:r>
        <w:rPr>
          <w:spacing w:val="-3"/>
        </w:rPr>
        <w:t> </w:t>
      </w:r>
      <w:r>
        <w:rPr/>
        <w:t>in</w:t>
      </w:r>
      <w:r>
        <w:rPr>
          <w:spacing w:val="-4"/>
        </w:rPr>
        <w:t> </w:t>
      </w:r>
      <w:r>
        <w:rPr/>
        <w:t>activism</w:t>
      </w:r>
      <w:r>
        <w:rPr>
          <w:spacing w:val="-2"/>
        </w:rPr>
        <w:t> </w:t>
      </w:r>
      <w:r>
        <w:rPr/>
        <w:t>using</w:t>
      </w:r>
      <w:r>
        <w:rPr>
          <w:spacing w:val="-3"/>
        </w:rPr>
        <w:t> </w:t>
      </w:r>
      <w:r>
        <w:rPr/>
        <w:t>a</w:t>
      </w:r>
      <w:r>
        <w:rPr>
          <w:spacing w:val="-3"/>
        </w:rPr>
        <w:t> </w:t>
      </w:r>
      <w:r>
        <w:rPr/>
        <w:t>human</w:t>
      </w:r>
      <w:r>
        <w:rPr>
          <w:spacing w:val="-4"/>
        </w:rPr>
        <w:t> </w:t>
      </w:r>
      <w:r>
        <w:rPr/>
        <w:t>rights</w:t>
      </w:r>
      <w:r>
        <w:rPr>
          <w:spacing w:val="-4"/>
        </w:rPr>
        <w:t> </w:t>
      </w:r>
      <w:r>
        <w:rPr/>
        <w:t>framework to draw attention to and resist laws, public, and corporate policies based on racial, gender, and class oppression,</w:t>
      </w:r>
      <w:r>
        <w:rPr>
          <w:spacing w:val="-1"/>
        </w:rPr>
        <w:t> </w:t>
      </w:r>
      <w:r>
        <w:rPr/>
        <w:t>noting that people have the right to have safe and healthy autonomy</w:t>
      </w:r>
      <w:r>
        <w:rPr>
          <w:spacing w:val="-2"/>
        </w:rPr>
        <w:t> </w:t>
      </w:r>
      <w:r>
        <w:rPr/>
        <w:t>over</w:t>
      </w:r>
      <w:r>
        <w:rPr>
          <w:spacing w:val="-1"/>
        </w:rPr>
        <w:t> </w:t>
      </w:r>
      <w:r>
        <w:rPr/>
        <w:t>their own</w:t>
      </w:r>
      <w:r>
        <w:rPr>
          <w:spacing w:val="-1"/>
        </w:rPr>
        <w:t> </w:t>
      </w:r>
      <w:r>
        <w:rPr/>
        <w:t>body</w:t>
      </w:r>
    </w:p>
    <w:p>
      <w:pPr>
        <w:pStyle w:val="BodyText"/>
        <w:spacing w:line="276" w:lineRule="auto" w:before="120"/>
        <w:ind w:left="343" w:right="199" w:hanging="5"/>
        <w:jc w:val="both"/>
      </w:pPr>
      <w:r>
        <w:rPr>
          <w:b/>
        </w:rPr>
        <w:t>Reproductive rights: </w:t>
      </w:r>
      <w:r>
        <w:rPr/>
        <w:t>the centering and protections of a person’s legal rights to reproductive health care, including the right to an abortion, birth control, affordable healthcare, prenatal and pregnancy care, and sexual health education</w:t>
      </w:r>
    </w:p>
    <w:p>
      <w:pPr>
        <w:spacing w:before="120"/>
        <w:ind w:left="344" w:right="0" w:firstLine="0"/>
        <w:jc w:val="both"/>
        <w:rPr>
          <w:sz w:val="22"/>
        </w:rPr>
      </w:pPr>
      <w:r>
        <w:rPr>
          <w:b/>
          <w:spacing w:val="-2"/>
          <w:sz w:val="22"/>
        </w:rPr>
        <w:t>Second-generation</w:t>
      </w:r>
      <w:r>
        <w:rPr>
          <w:b/>
          <w:spacing w:val="-4"/>
          <w:sz w:val="22"/>
        </w:rPr>
        <w:t> </w:t>
      </w:r>
      <w:r>
        <w:rPr>
          <w:b/>
          <w:spacing w:val="-2"/>
          <w:sz w:val="22"/>
        </w:rPr>
        <w:t>youth</w:t>
      </w:r>
      <w:r>
        <w:rPr>
          <w:spacing w:val="-2"/>
          <w:sz w:val="22"/>
        </w:rPr>
        <w:t>:</w:t>
      </w:r>
      <w:r>
        <w:rPr>
          <w:spacing w:val="-1"/>
          <w:sz w:val="22"/>
        </w:rPr>
        <w:t> </w:t>
      </w:r>
      <w:r>
        <w:rPr>
          <w:spacing w:val="-2"/>
          <w:sz w:val="22"/>
        </w:rPr>
        <w:t>youth</w:t>
      </w:r>
      <w:r>
        <w:rPr>
          <w:sz w:val="22"/>
        </w:rPr>
        <w:t> </w:t>
      </w:r>
      <w:r>
        <w:rPr>
          <w:spacing w:val="-2"/>
          <w:sz w:val="22"/>
        </w:rPr>
        <w:t>born in</w:t>
      </w:r>
      <w:r>
        <w:rPr>
          <w:spacing w:val="-3"/>
          <w:sz w:val="22"/>
        </w:rPr>
        <w:t> </w:t>
      </w:r>
      <w:r>
        <w:rPr>
          <w:spacing w:val="-2"/>
          <w:sz w:val="22"/>
        </w:rPr>
        <w:t>the</w:t>
      </w:r>
      <w:r>
        <w:rPr>
          <w:spacing w:val="2"/>
          <w:sz w:val="22"/>
        </w:rPr>
        <w:t> </w:t>
      </w:r>
      <w:r>
        <w:rPr>
          <w:spacing w:val="-2"/>
          <w:sz w:val="22"/>
        </w:rPr>
        <w:t>United</w:t>
      </w:r>
      <w:r>
        <w:rPr>
          <w:sz w:val="22"/>
        </w:rPr>
        <w:t> </w:t>
      </w:r>
      <w:r>
        <w:rPr>
          <w:spacing w:val="-2"/>
          <w:sz w:val="22"/>
        </w:rPr>
        <w:t>States with at</w:t>
      </w:r>
      <w:r>
        <w:rPr>
          <w:spacing w:val="-1"/>
          <w:sz w:val="22"/>
        </w:rPr>
        <w:t> </w:t>
      </w:r>
      <w:r>
        <w:rPr>
          <w:spacing w:val="-2"/>
          <w:sz w:val="22"/>
        </w:rPr>
        <w:t>least</w:t>
      </w:r>
      <w:r>
        <w:rPr>
          <w:sz w:val="22"/>
        </w:rPr>
        <w:t> </w:t>
      </w:r>
      <w:r>
        <w:rPr>
          <w:spacing w:val="-2"/>
          <w:sz w:val="22"/>
        </w:rPr>
        <w:t>one</w:t>
      </w:r>
      <w:r>
        <w:rPr>
          <w:spacing w:val="1"/>
          <w:sz w:val="22"/>
        </w:rPr>
        <w:t> </w:t>
      </w:r>
      <w:r>
        <w:rPr>
          <w:spacing w:val="-2"/>
          <w:sz w:val="22"/>
        </w:rPr>
        <w:t>first-generation</w:t>
      </w:r>
      <w:r>
        <w:rPr>
          <w:spacing w:val="-3"/>
          <w:sz w:val="22"/>
        </w:rPr>
        <w:t> </w:t>
      </w:r>
      <w:r>
        <w:rPr>
          <w:spacing w:val="-2"/>
          <w:sz w:val="22"/>
        </w:rPr>
        <w:t>parent</w:t>
      </w:r>
    </w:p>
    <w:p>
      <w:pPr>
        <w:pStyle w:val="BodyText"/>
        <w:spacing w:line="276" w:lineRule="auto" w:before="160"/>
        <w:ind w:left="339" w:right="200"/>
        <w:jc w:val="both"/>
      </w:pPr>
      <w:r>
        <w:rPr>
          <w:b/>
        </w:rPr>
        <w:t>Sexual orientation: </w:t>
      </w:r>
      <w:r>
        <w:rPr/>
        <w:t>refers to a person's emotional, sexual, spiritual, and/or relational attraction, or lack thereof, towards other people with respect to their gender. Some common sexual orientations include lesbian, gay, bisexual, heterosexual, queer, pansexual, and asexual. There are many other terms that</w:t>
      </w:r>
      <w:r>
        <w:rPr>
          <w:spacing w:val="40"/>
        </w:rPr>
        <w:t> </w:t>
      </w:r>
      <w:r>
        <w:rPr/>
        <w:t>people may use to identify their sexual orientation.</w:t>
      </w:r>
    </w:p>
    <w:p>
      <w:pPr>
        <w:pStyle w:val="BodyText"/>
        <w:spacing w:line="276" w:lineRule="auto" w:before="120"/>
        <w:ind w:left="345" w:right="201" w:hanging="6"/>
        <w:jc w:val="both"/>
      </w:pPr>
      <w:r>
        <w:rPr>
          <w:b/>
        </w:rPr>
        <w:t>Transgender: </w:t>
      </w:r>
      <w:r>
        <w:rPr/>
        <w:t>an umbrella term used to describe a person whose gender identity is different from that traditionally associated</w:t>
      </w:r>
      <w:r>
        <w:rPr>
          <w:spacing w:val="-1"/>
        </w:rPr>
        <w:t> </w:t>
      </w:r>
      <w:r>
        <w:rPr/>
        <w:t>with their assigned</w:t>
      </w:r>
      <w:r>
        <w:rPr>
          <w:spacing w:val="-1"/>
        </w:rPr>
        <w:t> </w:t>
      </w:r>
      <w:r>
        <w:rPr/>
        <w:t>sex</w:t>
      </w:r>
      <w:r>
        <w:rPr>
          <w:spacing w:val="-1"/>
        </w:rPr>
        <w:t> </w:t>
      </w:r>
      <w:r>
        <w:rPr/>
        <w:t>at birth. A transgender person may identify as heterosexual, lesbian, gay, bisexual, queer, questioning, pansexual, or something else.</w:t>
      </w:r>
    </w:p>
    <w:p>
      <w:pPr>
        <w:spacing w:before="120"/>
        <w:ind w:left="344" w:right="0" w:firstLine="0"/>
        <w:jc w:val="both"/>
        <w:rPr>
          <w:sz w:val="22"/>
        </w:rPr>
      </w:pPr>
      <w:r>
        <w:rPr>
          <w:b/>
          <w:spacing w:val="-4"/>
          <w:sz w:val="22"/>
        </w:rPr>
        <w:t>Transitioning:</w:t>
      </w:r>
      <w:r>
        <w:rPr>
          <w:b/>
          <w:spacing w:val="-10"/>
          <w:sz w:val="22"/>
        </w:rPr>
        <w:t> </w:t>
      </w:r>
      <w:r>
        <w:rPr>
          <w:spacing w:val="-4"/>
          <w:sz w:val="22"/>
        </w:rPr>
        <w:t>a</w:t>
      </w:r>
      <w:r>
        <w:rPr>
          <w:spacing w:val="-9"/>
          <w:sz w:val="22"/>
        </w:rPr>
        <w:t> </w:t>
      </w:r>
      <w:r>
        <w:rPr>
          <w:spacing w:val="-4"/>
          <w:sz w:val="22"/>
        </w:rPr>
        <w:t>process</w:t>
      </w:r>
      <w:r>
        <w:rPr>
          <w:spacing w:val="-8"/>
          <w:sz w:val="22"/>
        </w:rPr>
        <w:t> </w:t>
      </w:r>
      <w:r>
        <w:rPr>
          <w:spacing w:val="-4"/>
          <w:sz w:val="22"/>
        </w:rPr>
        <w:t>of changing</w:t>
      </w:r>
      <w:r>
        <w:rPr>
          <w:spacing w:val="-10"/>
          <w:sz w:val="22"/>
        </w:rPr>
        <w:t> </w:t>
      </w:r>
      <w:r>
        <w:rPr>
          <w:spacing w:val="-4"/>
          <w:sz w:val="22"/>
        </w:rPr>
        <w:t>one’s</w:t>
      </w:r>
      <w:r>
        <w:rPr>
          <w:spacing w:val="-8"/>
          <w:sz w:val="22"/>
        </w:rPr>
        <w:t> </w:t>
      </w:r>
      <w:r>
        <w:rPr>
          <w:spacing w:val="-4"/>
          <w:sz w:val="22"/>
        </w:rPr>
        <w:t>gender</w:t>
      </w:r>
      <w:r>
        <w:rPr>
          <w:spacing w:val="-8"/>
          <w:sz w:val="22"/>
        </w:rPr>
        <w:t> </w:t>
      </w:r>
      <w:r>
        <w:rPr>
          <w:spacing w:val="-4"/>
          <w:sz w:val="22"/>
        </w:rPr>
        <w:t>or</w:t>
      </w:r>
      <w:r>
        <w:rPr>
          <w:spacing w:val="-5"/>
          <w:sz w:val="22"/>
        </w:rPr>
        <w:t> </w:t>
      </w:r>
      <w:r>
        <w:rPr>
          <w:spacing w:val="-4"/>
          <w:sz w:val="22"/>
        </w:rPr>
        <w:t>sex</w:t>
      </w:r>
      <w:r>
        <w:rPr>
          <w:spacing w:val="-12"/>
          <w:sz w:val="22"/>
        </w:rPr>
        <w:t> </w:t>
      </w:r>
      <w:r>
        <w:rPr>
          <w:spacing w:val="-4"/>
          <w:sz w:val="22"/>
        </w:rPr>
        <w:t>to</w:t>
      </w:r>
      <w:r>
        <w:rPr>
          <w:spacing w:val="-5"/>
          <w:sz w:val="22"/>
        </w:rPr>
        <w:t> </w:t>
      </w:r>
      <w:r>
        <w:rPr>
          <w:spacing w:val="-4"/>
          <w:sz w:val="22"/>
        </w:rPr>
        <w:t>another one.</w:t>
      </w:r>
    </w:p>
    <w:p>
      <w:pPr>
        <w:pStyle w:val="BodyText"/>
        <w:spacing w:line="276" w:lineRule="auto" w:before="160"/>
        <w:ind w:left="344" w:right="201"/>
        <w:jc w:val="both"/>
      </w:pPr>
      <w:r>
        <w:rPr>
          <w:b/>
        </w:rPr>
        <w:t>Social transitioning </w:t>
      </w:r>
      <w:r>
        <w:rPr/>
        <w:t>refers to the process of disclosing oneself as transgender to friends, family, co-</w:t>
      </w:r>
      <w:r>
        <w:rPr>
          <w:spacing w:val="40"/>
        </w:rPr>
        <w:t> </w:t>
      </w:r>
      <w:r>
        <w:rPr/>
        <w:t>workers,</w:t>
      </w:r>
      <w:r>
        <w:rPr>
          <w:spacing w:val="17"/>
        </w:rPr>
        <w:t> </w:t>
      </w:r>
      <w:r>
        <w:rPr/>
        <w:t>and/or</w:t>
      </w:r>
      <w:r>
        <w:rPr>
          <w:spacing w:val="17"/>
        </w:rPr>
        <w:t> </w:t>
      </w:r>
      <w:r>
        <w:rPr/>
        <w:t>classmates.</w:t>
      </w:r>
      <w:r>
        <w:rPr>
          <w:spacing w:val="16"/>
        </w:rPr>
        <w:t> </w:t>
      </w:r>
      <w:r>
        <w:rPr/>
        <w:t>This</w:t>
      </w:r>
      <w:r>
        <w:rPr>
          <w:spacing w:val="17"/>
        </w:rPr>
        <w:t> </w:t>
      </w:r>
      <w:r>
        <w:rPr/>
        <w:t>often</w:t>
      </w:r>
      <w:r>
        <w:rPr>
          <w:spacing w:val="16"/>
        </w:rPr>
        <w:t> </w:t>
      </w:r>
      <w:r>
        <w:rPr/>
        <w:t>includes</w:t>
      </w:r>
      <w:r>
        <w:rPr>
          <w:spacing w:val="17"/>
        </w:rPr>
        <w:t> </w:t>
      </w:r>
      <w:r>
        <w:rPr/>
        <w:t>asking</w:t>
      </w:r>
      <w:r>
        <w:rPr>
          <w:spacing w:val="17"/>
        </w:rPr>
        <w:t> </w:t>
      </w:r>
      <w:r>
        <w:rPr/>
        <w:t>that</w:t>
      </w:r>
      <w:r>
        <w:rPr>
          <w:spacing w:val="16"/>
        </w:rPr>
        <w:t> </w:t>
      </w:r>
      <w:r>
        <w:rPr/>
        <w:t>others</w:t>
      </w:r>
      <w:r>
        <w:rPr>
          <w:spacing w:val="17"/>
        </w:rPr>
        <w:t> </w:t>
      </w:r>
      <w:r>
        <w:rPr/>
        <w:t>use</w:t>
      </w:r>
      <w:r>
        <w:rPr>
          <w:spacing w:val="16"/>
        </w:rPr>
        <w:t> </w:t>
      </w:r>
      <w:r>
        <w:rPr/>
        <w:t>a</w:t>
      </w:r>
      <w:r>
        <w:rPr>
          <w:spacing w:val="17"/>
        </w:rPr>
        <w:t> </w:t>
      </w:r>
      <w:r>
        <w:rPr/>
        <w:t>name,</w:t>
      </w:r>
      <w:r>
        <w:rPr>
          <w:spacing w:val="17"/>
        </w:rPr>
        <w:t> </w:t>
      </w:r>
      <w:r>
        <w:rPr/>
        <w:t>pronouns,</w:t>
      </w:r>
      <w:r>
        <w:rPr>
          <w:spacing w:val="17"/>
        </w:rPr>
        <w:t> </w:t>
      </w:r>
      <w:r>
        <w:rPr/>
        <w:t>or</w:t>
      </w:r>
      <w:r>
        <w:rPr>
          <w:spacing w:val="17"/>
        </w:rPr>
        <w:t> </w:t>
      </w:r>
      <w:r>
        <w:rPr/>
        <w:t>gender</w:t>
      </w:r>
      <w:r>
        <w:rPr>
          <w:spacing w:val="18"/>
        </w:rPr>
        <w:t> </w:t>
      </w:r>
      <w:r>
        <w:rPr/>
        <w:t>that</w:t>
      </w:r>
    </w:p>
    <w:p>
      <w:pPr>
        <w:spacing w:after="0" w:line="276" w:lineRule="auto"/>
        <w:jc w:val="both"/>
        <w:sectPr>
          <w:pgSz w:w="12240" w:h="15840"/>
          <w:pgMar w:header="870" w:footer="1202" w:top="1060" w:bottom="1400" w:left="960" w:right="1100"/>
        </w:sectPr>
      </w:pPr>
    </w:p>
    <w:p>
      <w:pPr>
        <w:pStyle w:val="BodyText"/>
        <w:spacing w:line="276" w:lineRule="auto" w:before="181"/>
        <w:ind w:left="343" w:right="203" w:firstLine="1"/>
        <w:jc w:val="both"/>
      </w:pPr>
      <w:r>
        <w:rPr/>
        <w:t>reflects that person's gender identity. Additionally, this person may begin to use facilities such as bathrooms, locker rooms, or dormitories associated with their gender identity.</w:t>
      </w:r>
    </w:p>
    <w:p>
      <w:pPr>
        <w:pStyle w:val="BodyText"/>
        <w:spacing w:line="276" w:lineRule="auto" w:before="120"/>
        <w:ind w:left="343" w:right="201" w:hanging="2"/>
        <w:jc w:val="both"/>
      </w:pPr>
      <w:r>
        <w:rPr>
          <w:b/>
        </w:rPr>
        <w:t>Medical transition </w:t>
      </w:r>
      <w:r>
        <w:rPr/>
        <w:t>refers to a process that utilizes hormonal treatments and/or affirming surgical interventions in affirmation of a person's gender identity. Such procedures are referred to as “</w:t>
      </w:r>
      <w:r>
        <w:rPr>
          <w:b/>
        </w:rPr>
        <w:t>gender affirming</w:t>
      </w:r>
      <w:r>
        <w:rPr/>
        <w:t>”. Not all transgender people desire to transition medically, due to various medical, social, financial, and/or safety reasons.</w:t>
      </w:r>
    </w:p>
    <w:p>
      <w:pPr>
        <w:pStyle w:val="BodyText"/>
        <w:spacing w:line="276" w:lineRule="auto" w:before="119"/>
        <w:ind w:left="343" w:right="200" w:hanging="1"/>
        <w:jc w:val="both"/>
      </w:pPr>
      <w:r>
        <w:rPr>
          <w:b/>
        </w:rPr>
        <w:t>Transgender man/FTM/Female-to-male:</w:t>
      </w:r>
      <w:r>
        <w:rPr>
          <w:b/>
          <w:spacing w:val="-1"/>
        </w:rPr>
        <w:t> </w:t>
      </w:r>
      <w:r>
        <w:rPr/>
        <w:t>a</w:t>
      </w:r>
      <w:r>
        <w:rPr>
          <w:spacing w:val="-4"/>
        </w:rPr>
        <w:t> </w:t>
      </w:r>
      <w:r>
        <w:rPr/>
        <w:t>person</w:t>
      </w:r>
      <w:r>
        <w:rPr>
          <w:spacing w:val="-5"/>
        </w:rPr>
        <w:t> </w:t>
      </w:r>
      <w:r>
        <w:rPr/>
        <w:t>who</w:t>
      </w:r>
      <w:r>
        <w:rPr>
          <w:spacing w:val="-2"/>
        </w:rPr>
        <w:t> </w:t>
      </w:r>
      <w:r>
        <w:rPr/>
        <w:t>identifies</w:t>
      </w:r>
      <w:r>
        <w:rPr>
          <w:spacing w:val="-3"/>
        </w:rPr>
        <w:t> </w:t>
      </w:r>
      <w:r>
        <w:rPr/>
        <w:t>as</w:t>
      </w:r>
      <w:r>
        <w:rPr>
          <w:spacing w:val="-6"/>
        </w:rPr>
        <w:t> </w:t>
      </w:r>
      <w:r>
        <w:rPr/>
        <w:t>male,</w:t>
      </w:r>
      <w:r>
        <w:rPr>
          <w:spacing w:val="-4"/>
        </w:rPr>
        <w:t> </w:t>
      </w:r>
      <w:r>
        <w:rPr/>
        <w:t>but</w:t>
      </w:r>
      <w:r>
        <w:rPr>
          <w:spacing w:val="-4"/>
        </w:rPr>
        <w:t> </w:t>
      </w:r>
      <w:r>
        <w:rPr/>
        <w:t>was</w:t>
      </w:r>
      <w:r>
        <w:rPr>
          <w:spacing w:val="-4"/>
        </w:rPr>
        <w:t> </w:t>
      </w:r>
      <w:r>
        <w:rPr/>
        <w:t>assigned</w:t>
      </w:r>
      <w:r>
        <w:rPr>
          <w:spacing w:val="-4"/>
        </w:rPr>
        <w:t> </w:t>
      </w:r>
      <w:r>
        <w:rPr/>
        <w:t>female</w:t>
      </w:r>
      <w:r>
        <w:rPr>
          <w:spacing w:val="-4"/>
        </w:rPr>
        <w:t> </w:t>
      </w:r>
      <w:r>
        <w:rPr/>
        <w:t>at</w:t>
      </w:r>
      <w:r>
        <w:rPr>
          <w:spacing w:val="-1"/>
        </w:rPr>
        <w:t> </w:t>
      </w:r>
      <w:r>
        <w:rPr/>
        <w:t>birth. Note that the terms FTM and female-to-male are often used in literature and sometimes used as a self- identification, but should be generally avoided as they can be interpreted as not respecting the validity of someone’s gender identity. A “transgender man,” or simply “man,” is the appropriate way to refer to such an individual</w:t>
      </w:r>
    </w:p>
    <w:p>
      <w:pPr>
        <w:pStyle w:val="BodyText"/>
        <w:spacing w:line="276" w:lineRule="auto" w:before="120"/>
        <w:ind w:left="343" w:right="202" w:hanging="1"/>
        <w:jc w:val="both"/>
      </w:pPr>
      <w:r>
        <w:rPr>
          <w:b/>
        </w:rPr>
        <w:t>Transgender woman/MTF/Male-to-female: </w:t>
      </w:r>
      <w:r>
        <w:rPr/>
        <w:t>a person who identifies as female, but was assigned male at birth.</w:t>
      </w:r>
      <w:r>
        <w:rPr>
          <w:spacing w:val="-1"/>
        </w:rPr>
        <w:t> </w:t>
      </w:r>
      <w:r>
        <w:rPr/>
        <w:t>Note</w:t>
      </w:r>
      <w:r>
        <w:rPr>
          <w:spacing w:val="-1"/>
        </w:rPr>
        <w:t> </w:t>
      </w:r>
      <w:r>
        <w:rPr/>
        <w:t>that</w:t>
      </w:r>
      <w:r>
        <w:rPr>
          <w:spacing w:val="-2"/>
        </w:rPr>
        <w:t> </w:t>
      </w:r>
      <w:r>
        <w:rPr/>
        <w:t>the terms MTF</w:t>
      </w:r>
      <w:r>
        <w:rPr>
          <w:spacing w:val="-2"/>
        </w:rPr>
        <w:t> </w:t>
      </w:r>
      <w:r>
        <w:rPr/>
        <w:t>and</w:t>
      </w:r>
      <w:r>
        <w:rPr>
          <w:spacing w:val="-2"/>
        </w:rPr>
        <w:t> </w:t>
      </w:r>
      <w:r>
        <w:rPr/>
        <w:t>male-to-female</w:t>
      </w:r>
      <w:r>
        <w:rPr>
          <w:spacing w:val="-1"/>
        </w:rPr>
        <w:t> </w:t>
      </w:r>
      <w:r>
        <w:rPr/>
        <w:t>are</w:t>
      </w:r>
      <w:r>
        <w:rPr>
          <w:spacing w:val="-2"/>
        </w:rPr>
        <w:t> </w:t>
      </w:r>
      <w:r>
        <w:rPr/>
        <w:t>often</w:t>
      </w:r>
      <w:r>
        <w:rPr>
          <w:spacing w:val="-1"/>
        </w:rPr>
        <w:t> </w:t>
      </w:r>
      <w:r>
        <w:rPr/>
        <w:t>used in</w:t>
      </w:r>
      <w:r>
        <w:rPr>
          <w:spacing w:val="-2"/>
        </w:rPr>
        <w:t> </w:t>
      </w:r>
      <w:r>
        <w:rPr/>
        <w:t>literature</w:t>
      </w:r>
      <w:r>
        <w:rPr>
          <w:spacing w:val="-2"/>
        </w:rPr>
        <w:t> </w:t>
      </w:r>
      <w:r>
        <w:rPr/>
        <w:t>and</w:t>
      </w:r>
      <w:r>
        <w:rPr>
          <w:spacing w:val="-1"/>
        </w:rPr>
        <w:t> </w:t>
      </w:r>
      <w:r>
        <w:rPr/>
        <w:t>sometimes</w:t>
      </w:r>
      <w:r>
        <w:rPr>
          <w:spacing w:val="-1"/>
        </w:rPr>
        <w:t> </w:t>
      </w:r>
      <w:r>
        <w:rPr/>
        <w:t>used as self- identification, but should be generally avoided as they can be interpreted as not respecting the validity of someone’s gender identity.</w:t>
      </w:r>
      <w:r>
        <w:rPr>
          <w:spacing w:val="-1"/>
        </w:rPr>
        <w:t> </w:t>
      </w:r>
      <w:r>
        <w:rPr/>
        <w:t>A</w:t>
      </w:r>
      <w:r>
        <w:rPr>
          <w:spacing w:val="-1"/>
        </w:rPr>
        <w:t> </w:t>
      </w:r>
      <w:r>
        <w:rPr/>
        <w:t>“transgender</w:t>
      </w:r>
      <w:r>
        <w:rPr>
          <w:spacing w:val="-1"/>
        </w:rPr>
        <w:t> </w:t>
      </w:r>
      <w:r>
        <w:rPr/>
        <w:t>woman,” or simply</w:t>
      </w:r>
      <w:r>
        <w:rPr>
          <w:spacing w:val="-1"/>
        </w:rPr>
        <w:t> </w:t>
      </w:r>
      <w:r>
        <w:rPr/>
        <w:t>“woman,” is the appropriate way to refer to such an individual.</w:t>
      </w:r>
    </w:p>
    <w:p>
      <w:pPr>
        <w:pStyle w:val="BodyText"/>
        <w:spacing w:line="276" w:lineRule="auto" w:before="120"/>
        <w:ind w:left="343" w:right="202" w:hanging="5"/>
        <w:jc w:val="both"/>
      </w:pPr>
      <w:r>
        <w:rPr>
          <w:b/>
        </w:rPr>
        <w:t>Transphobia: </w:t>
      </w:r>
      <w:r>
        <w:rPr/>
        <w:t>fear, hatred, or discriminatory response to a person who is or is perceived to be transgender or gender-nonconforming.</w:t>
      </w:r>
    </w:p>
    <w:p>
      <w:pPr>
        <w:pStyle w:val="BodyText"/>
        <w:spacing w:line="276" w:lineRule="auto" w:before="120"/>
        <w:ind w:left="343" w:right="202" w:hanging="6"/>
        <w:jc w:val="both"/>
      </w:pPr>
      <w:r>
        <w:rPr>
          <w:b/>
        </w:rPr>
        <w:t>Transsexual</w:t>
      </w:r>
      <w:r>
        <w:rPr/>
        <w:t>: a term describing someone who undergoes the process of changing their birth- assigned sex, usually through a medical transition. Today, many consider the term outdated and offensive, preferring to use “transgender” as a more inclusive and affirming term.</w:t>
      </w:r>
    </w:p>
    <w:p>
      <w:pPr>
        <w:pStyle w:val="BodyText"/>
        <w:spacing w:line="276" w:lineRule="auto" w:before="120"/>
        <w:ind w:left="343" w:right="203" w:hanging="5"/>
        <w:jc w:val="both"/>
      </w:pPr>
      <w:r>
        <w:rPr>
          <w:b/>
        </w:rPr>
        <w:t>Transvestite</w:t>
      </w:r>
      <w:r>
        <w:rPr/>
        <w:t>: outdated term to describe someone who wears the clothes of the “opposite” sex. Cross- dresser is currently the preferred term.</w:t>
      </w:r>
    </w:p>
    <w:p>
      <w:pPr>
        <w:spacing w:after="0" w:line="276" w:lineRule="auto"/>
        <w:jc w:val="both"/>
        <w:sectPr>
          <w:pgSz w:w="12240" w:h="15840"/>
          <w:pgMar w:header="870" w:footer="1202" w:top="1060" w:bottom="1400" w:left="960" w:right="1100"/>
        </w:sectPr>
      </w:pPr>
    </w:p>
    <w:p>
      <w:pPr>
        <w:pStyle w:val="BodyText"/>
        <w:spacing w:before="40"/>
        <w:ind w:left="624"/>
      </w:pPr>
      <w:bookmarkStart w:name="2024-2025 Memberes.pdf" w:id="971"/>
      <w:bookmarkEnd w:id="971"/>
      <w:r>
        <w:rPr/>
      </w:r>
      <w:bookmarkStart w:name="_bookmark664" w:id="972"/>
      <w:bookmarkEnd w:id="972"/>
      <w:r>
        <w:rPr/>
      </w:r>
      <w:r>
        <w:rPr/>
        <w:t>FY</w:t>
      </w:r>
      <w:r>
        <w:rPr>
          <w:spacing w:val="-8"/>
        </w:rPr>
        <w:t> </w:t>
      </w:r>
      <w:r>
        <w:rPr/>
        <w:t>2025</w:t>
      </w:r>
      <w:r>
        <w:rPr>
          <w:spacing w:val="-7"/>
        </w:rPr>
        <w:t> </w:t>
      </w:r>
      <w:r>
        <w:rPr/>
        <w:t>–</w:t>
      </w:r>
      <w:r>
        <w:rPr>
          <w:spacing w:val="-6"/>
        </w:rPr>
        <w:t> </w:t>
      </w:r>
      <w:r>
        <w:rPr/>
        <w:t>COMMISSION</w:t>
      </w:r>
      <w:r>
        <w:rPr>
          <w:spacing w:val="-8"/>
        </w:rPr>
        <w:t> </w:t>
      </w:r>
      <w:r>
        <w:rPr>
          <w:spacing w:val="-2"/>
        </w:rPr>
        <w:t>MEMBERS</w:t>
      </w:r>
    </w:p>
    <w:p>
      <w:pPr>
        <w:pStyle w:val="BodyText"/>
        <w:spacing w:before="147"/>
        <w:rPr>
          <w:sz w:val="20"/>
        </w:rPr>
      </w:pPr>
    </w:p>
    <w:p>
      <w:pPr>
        <w:spacing w:after="0"/>
        <w:rPr>
          <w:sz w:val="20"/>
        </w:rPr>
        <w:sectPr>
          <w:headerReference w:type="default" r:id="rId795"/>
          <w:footerReference w:type="default" r:id="rId796"/>
          <w:pgSz w:w="12240" w:h="15840"/>
          <w:pgMar w:header="0" w:footer="1012" w:top="680" w:bottom="1200" w:left="960" w:right="1100"/>
        </w:sectPr>
      </w:pPr>
    </w:p>
    <w:p>
      <w:pPr>
        <w:spacing w:before="60"/>
        <w:ind w:left="624" w:right="0" w:firstLine="0"/>
        <w:jc w:val="left"/>
        <w:rPr>
          <w:b/>
          <w:sz w:val="20"/>
        </w:rPr>
      </w:pPr>
      <w:r>
        <w:rPr>
          <w:b/>
          <w:sz w:val="20"/>
        </w:rPr>
        <w:t>ELECTED</w:t>
      </w:r>
      <w:r>
        <w:rPr>
          <w:b/>
          <w:spacing w:val="-5"/>
          <w:sz w:val="20"/>
        </w:rPr>
        <w:t> </w:t>
      </w:r>
      <w:r>
        <w:rPr>
          <w:b/>
          <w:spacing w:val="-2"/>
          <w:sz w:val="20"/>
        </w:rPr>
        <w:t>MEMBERS</w:t>
      </w:r>
    </w:p>
    <w:p>
      <w:pPr>
        <w:pStyle w:val="BodyText"/>
        <w:spacing w:before="39"/>
        <w:rPr>
          <w:b/>
          <w:sz w:val="20"/>
        </w:rPr>
      </w:pPr>
    </w:p>
    <w:p>
      <w:pPr>
        <w:spacing w:line="259" w:lineRule="auto" w:before="0"/>
        <w:ind w:left="623" w:right="1652" w:firstLine="0"/>
        <w:jc w:val="left"/>
        <w:rPr>
          <w:sz w:val="20"/>
        </w:rPr>
      </w:pPr>
      <w:r>
        <w:rPr>
          <w:sz w:val="20"/>
        </w:rPr>
        <w:t>Alyssa</w:t>
      </w:r>
      <w:r>
        <w:rPr>
          <w:spacing w:val="-12"/>
          <w:sz w:val="20"/>
        </w:rPr>
        <w:t> </w:t>
      </w:r>
      <w:r>
        <w:rPr>
          <w:sz w:val="20"/>
        </w:rPr>
        <w:t>Rayman-Read Amy Zhou</w:t>
      </w:r>
    </w:p>
    <w:p>
      <w:pPr>
        <w:spacing w:line="259" w:lineRule="auto" w:before="0"/>
        <w:ind w:left="623" w:right="1652" w:firstLine="0"/>
        <w:jc w:val="left"/>
        <w:rPr>
          <w:sz w:val="20"/>
        </w:rPr>
      </w:pPr>
      <w:r>
        <w:rPr>
          <w:sz w:val="20"/>
        </w:rPr>
        <w:t>Bethany</w:t>
      </w:r>
      <w:r>
        <w:rPr>
          <w:spacing w:val="-12"/>
          <w:sz w:val="20"/>
        </w:rPr>
        <w:t> </w:t>
      </w:r>
      <w:r>
        <w:rPr>
          <w:sz w:val="20"/>
        </w:rPr>
        <w:t>M.</w:t>
      </w:r>
      <w:r>
        <w:rPr>
          <w:spacing w:val="-11"/>
          <w:sz w:val="20"/>
        </w:rPr>
        <w:t> </w:t>
      </w:r>
      <w:r>
        <w:rPr>
          <w:sz w:val="20"/>
        </w:rPr>
        <w:t>Allen Chris Martinez Courtney Chelo</w:t>
      </w:r>
    </w:p>
    <w:p>
      <w:pPr>
        <w:spacing w:line="259" w:lineRule="auto" w:before="0"/>
        <w:ind w:left="623" w:right="193" w:firstLine="0"/>
        <w:jc w:val="left"/>
        <w:rPr>
          <w:sz w:val="20"/>
        </w:rPr>
      </w:pPr>
      <w:r>
        <w:rPr>
          <w:sz w:val="20"/>
        </w:rPr>
        <w:t>Craig C. Aarons-Martin (Co-Chair) Lezlie</w:t>
      </w:r>
      <w:r>
        <w:rPr>
          <w:spacing w:val="-12"/>
          <w:sz w:val="20"/>
        </w:rPr>
        <w:t> </w:t>
      </w:r>
      <w:r>
        <w:rPr>
          <w:sz w:val="20"/>
        </w:rPr>
        <w:t>Braxton</w:t>
      </w:r>
      <w:r>
        <w:rPr>
          <w:spacing w:val="-11"/>
          <w:sz w:val="20"/>
        </w:rPr>
        <w:t> </w:t>
      </w:r>
      <w:r>
        <w:rPr>
          <w:sz w:val="20"/>
        </w:rPr>
        <w:t>Campbell</w:t>
      </w:r>
      <w:r>
        <w:rPr>
          <w:spacing w:val="-11"/>
          <w:sz w:val="20"/>
        </w:rPr>
        <w:t> </w:t>
      </w:r>
      <w:r>
        <w:rPr>
          <w:sz w:val="20"/>
        </w:rPr>
        <w:t>(Vice-Chair) Emily Ann Talley</w:t>
      </w:r>
    </w:p>
    <w:p>
      <w:pPr>
        <w:spacing w:line="259" w:lineRule="auto" w:before="0"/>
        <w:ind w:left="623" w:right="2022" w:firstLine="0"/>
        <w:jc w:val="left"/>
        <w:rPr>
          <w:sz w:val="20"/>
        </w:rPr>
      </w:pPr>
      <w:r>
        <w:rPr>
          <w:sz w:val="20"/>
        </w:rPr>
        <w:t>Eunice</w:t>
      </w:r>
      <w:r>
        <w:rPr>
          <w:spacing w:val="-12"/>
          <w:sz w:val="20"/>
        </w:rPr>
        <w:t> </w:t>
      </w:r>
      <w:r>
        <w:rPr>
          <w:sz w:val="20"/>
        </w:rPr>
        <w:t>Innocent Frankie Walsh Grace Qian Kairo Serna</w:t>
      </w:r>
    </w:p>
    <w:p>
      <w:pPr>
        <w:spacing w:line="259" w:lineRule="auto" w:before="0"/>
        <w:ind w:left="623" w:right="1652" w:firstLine="0"/>
        <w:jc w:val="left"/>
        <w:rPr>
          <w:sz w:val="20"/>
        </w:rPr>
      </w:pPr>
      <w:r>
        <w:rPr>
          <w:sz w:val="20"/>
        </w:rPr>
        <w:t>Kamryn Fontaine Lauren</w:t>
      </w:r>
      <w:r>
        <w:rPr>
          <w:spacing w:val="-12"/>
          <w:sz w:val="20"/>
        </w:rPr>
        <w:t> </w:t>
      </w:r>
      <w:r>
        <w:rPr>
          <w:sz w:val="20"/>
        </w:rPr>
        <w:t>Doty</w:t>
      </w:r>
      <w:r>
        <w:rPr>
          <w:spacing w:val="-11"/>
          <w:sz w:val="20"/>
        </w:rPr>
        <w:t> </w:t>
      </w:r>
      <w:r>
        <w:rPr>
          <w:sz w:val="20"/>
        </w:rPr>
        <w:t>Brown Maggie Mercado Mason Dunn</w:t>
      </w:r>
    </w:p>
    <w:p>
      <w:pPr>
        <w:spacing w:line="259" w:lineRule="auto" w:before="0"/>
        <w:ind w:left="623" w:right="1031" w:firstLine="0"/>
        <w:jc w:val="left"/>
        <w:rPr>
          <w:sz w:val="20"/>
        </w:rPr>
      </w:pPr>
      <w:r>
        <w:rPr>
          <w:sz w:val="20"/>
        </w:rPr>
        <w:t>Monica</w:t>
      </w:r>
      <w:r>
        <w:rPr>
          <w:spacing w:val="-12"/>
          <w:sz w:val="20"/>
        </w:rPr>
        <w:t> </w:t>
      </w:r>
      <w:r>
        <w:rPr>
          <w:sz w:val="20"/>
        </w:rPr>
        <w:t>Johnson</w:t>
      </w:r>
      <w:r>
        <w:rPr>
          <w:spacing w:val="-11"/>
          <w:sz w:val="20"/>
        </w:rPr>
        <w:t> </w:t>
      </w:r>
      <w:r>
        <w:rPr>
          <w:sz w:val="20"/>
        </w:rPr>
        <w:t>(Vice</w:t>
      </w:r>
      <w:r>
        <w:rPr>
          <w:spacing w:val="-11"/>
          <w:sz w:val="20"/>
        </w:rPr>
        <w:t> </w:t>
      </w:r>
      <w:r>
        <w:rPr>
          <w:sz w:val="20"/>
        </w:rPr>
        <w:t>Chair) Noemi Uribe (Co-Chair)</w:t>
      </w:r>
    </w:p>
    <w:p>
      <w:pPr>
        <w:spacing w:line="259" w:lineRule="auto" w:before="0"/>
        <w:ind w:left="623" w:right="2518" w:firstLine="0"/>
        <w:jc w:val="left"/>
        <w:rPr>
          <w:sz w:val="20"/>
        </w:rPr>
      </w:pPr>
      <w:r>
        <w:rPr>
          <w:sz w:val="20"/>
        </w:rPr>
        <w:t>Olly Kelly Ray</w:t>
      </w:r>
      <w:r>
        <w:rPr>
          <w:spacing w:val="-12"/>
          <w:sz w:val="20"/>
        </w:rPr>
        <w:t> </w:t>
      </w:r>
      <w:r>
        <w:rPr>
          <w:sz w:val="20"/>
        </w:rPr>
        <w:t>Winig</w:t>
      </w:r>
    </w:p>
    <w:p>
      <w:pPr>
        <w:spacing w:line="259" w:lineRule="auto" w:before="0"/>
        <w:ind w:left="623" w:right="2463" w:firstLine="0"/>
        <w:jc w:val="left"/>
        <w:rPr>
          <w:sz w:val="20"/>
        </w:rPr>
      </w:pPr>
      <w:r>
        <w:rPr>
          <w:sz w:val="20"/>
        </w:rPr>
        <w:t>S.</w:t>
      </w:r>
      <w:r>
        <w:rPr>
          <w:spacing w:val="-12"/>
          <w:sz w:val="20"/>
        </w:rPr>
        <w:t> </w:t>
      </w:r>
      <w:r>
        <w:rPr>
          <w:sz w:val="20"/>
        </w:rPr>
        <w:t>Salhotr</w:t>
      </w:r>
      <w:r>
        <w:rPr>
          <w:sz w:val="20"/>
        </w:rPr>
        <w:t>a Stacey</w:t>
      </w:r>
      <w:r>
        <w:rPr>
          <w:spacing w:val="-2"/>
          <w:sz w:val="20"/>
        </w:rPr>
        <w:t> </w:t>
      </w:r>
      <w:r>
        <w:rPr>
          <w:spacing w:val="-5"/>
          <w:sz w:val="20"/>
        </w:rPr>
        <w:t>Lee</w:t>
      </w:r>
    </w:p>
    <w:p>
      <w:pPr>
        <w:spacing w:line="243" w:lineRule="exact" w:before="0"/>
        <w:ind w:left="623" w:right="0" w:firstLine="0"/>
        <w:jc w:val="left"/>
        <w:rPr>
          <w:sz w:val="20"/>
        </w:rPr>
      </w:pPr>
      <w:r>
        <w:rPr>
          <w:sz w:val="20"/>
        </w:rPr>
        <w:t>Tawreak</w:t>
      </w:r>
      <w:r>
        <w:rPr>
          <w:spacing w:val="-10"/>
          <w:sz w:val="20"/>
        </w:rPr>
        <w:t> </w:t>
      </w:r>
      <w:r>
        <w:rPr>
          <w:sz w:val="20"/>
        </w:rPr>
        <w:t>Gamble-</w:t>
      </w:r>
      <w:r>
        <w:rPr>
          <w:spacing w:val="-2"/>
          <w:sz w:val="20"/>
        </w:rPr>
        <w:t>Eddington</w:t>
      </w:r>
    </w:p>
    <w:p>
      <w:pPr>
        <w:pStyle w:val="BodyText"/>
        <w:spacing w:before="32"/>
        <w:rPr>
          <w:sz w:val="20"/>
        </w:rPr>
      </w:pPr>
    </w:p>
    <w:p>
      <w:pPr>
        <w:spacing w:before="0"/>
        <w:ind w:left="623" w:right="0" w:firstLine="0"/>
        <w:jc w:val="left"/>
        <w:rPr>
          <w:b/>
          <w:sz w:val="20"/>
        </w:rPr>
      </w:pPr>
      <w:r>
        <w:rPr>
          <w:b/>
          <w:sz w:val="20"/>
        </w:rPr>
        <w:t>APPOINTED</w:t>
      </w:r>
      <w:r>
        <w:rPr>
          <w:b/>
          <w:spacing w:val="-4"/>
          <w:sz w:val="20"/>
        </w:rPr>
        <w:t> </w:t>
      </w:r>
      <w:r>
        <w:rPr>
          <w:b/>
          <w:spacing w:val="-2"/>
          <w:sz w:val="20"/>
        </w:rPr>
        <w:t>MEMBERS</w:t>
      </w:r>
    </w:p>
    <w:p>
      <w:pPr>
        <w:spacing w:line="261" w:lineRule="auto" w:before="180"/>
        <w:ind w:left="624" w:right="0" w:hanging="1"/>
        <w:jc w:val="left"/>
        <w:rPr>
          <w:sz w:val="20"/>
        </w:rPr>
      </w:pPr>
      <w:r>
        <w:rPr>
          <w:sz w:val="20"/>
          <w:u w:val="single"/>
        </w:rPr>
        <w:t>National</w:t>
      </w:r>
      <w:r>
        <w:rPr>
          <w:spacing w:val="-10"/>
          <w:sz w:val="20"/>
          <w:u w:val="single"/>
        </w:rPr>
        <w:t> </w:t>
      </w:r>
      <w:r>
        <w:rPr>
          <w:sz w:val="20"/>
          <w:u w:val="single"/>
        </w:rPr>
        <w:t>Association</w:t>
      </w:r>
      <w:r>
        <w:rPr>
          <w:spacing w:val="-9"/>
          <w:sz w:val="20"/>
          <w:u w:val="single"/>
        </w:rPr>
        <w:t> </w:t>
      </w:r>
      <w:r>
        <w:rPr>
          <w:sz w:val="20"/>
          <w:u w:val="single"/>
        </w:rPr>
        <w:t>of</w:t>
      </w:r>
      <w:r>
        <w:rPr>
          <w:spacing w:val="-10"/>
          <w:sz w:val="20"/>
          <w:u w:val="single"/>
        </w:rPr>
        <w:t> </w:t>
      </w:r>
      <w:r>
        <w:rPr>
          <w:sz w:val="20"/>
          <w:u w:val="single"/>
        </w:rPr>
        <w:t>Social</w:t>
      </w:r>
      <w:r>
        <w:rPr>
          <w:spacing w:val="-10"/>
          <w:sz w:val="20"/>
          <w:u w:val="single"/>
        </w:rPr>
        <w:t> </w:t>
      </w:r>
      <w:r>
        <w:rPr>
          <w:sz w:val="20"/>
          <w:u w:val="single"/>
        </w:rPr>
        <w:t>Workers,</w:t>
      </w:r>
      <w:r>
        <w:rPr>
          <w:sz w:val="20"/>
          <w:u w:val="none"/>
        </w:rPr>
        <w:t> </w:t>
      </w:r>
      <w:r>
        <w:rPr>
          <w:sz w:val="20"/>
          <w:u w:val="single"/>
        </w:rPr>
        <w:t>Massachusetts Chapter</w:t>
      </w:r>
    </w:p>
    <w:p>
      <w:pPr>
        <w:spacing w:line="259" w:lineRule="auto" w:before="0"/>
        <w:ind w:left="624" w:right="1868" w:firstLine="0"/>
        <w:jc w:val="left"/>
        <w:rPr>
          <w:sz w:val="20"/>
        </w:rPr>
      </w:pPr>
      <w:r>
        <w:rPr>
          <w:sz w:val="20"/>
        </w:rPr>
        <w:t>Ashley</w:t>
      </w:r>
      <w:r>
        <w:rPr>
          <w:spacing w:val="-12"/>
          <w:sz w:val="20"/>
        </w:rPr>
        <w:t> </w:t>
      </w:r>
      <w:r>
        <w:rPr>
          <w:sz w:val="20"/>
        </w:rPr>
        <w:t>Waterberg Gary Bailey</w:t>
      </w:r>
    </w:p>
    <w:p>
      <w:pPr>
        <w:spacing w:before="0"/>
        <w:ind w:left="624" w:right="0" w:firstLine="0"/>
        <w:jc w:val="left"/>
        <w:rPr>
          <w:sz w:val="20"/>
        </w:rPr>
      </w:pPr>
      <w:r>
        <w:rPr>
          <w:sz w:val="20"/>
        </w:rPr>
        <w:t>Ricky</w:t>
      </w:r>
      <w:r>
        <w:rPr>
          <w:spacing w:val="-3"/>
          <w:sz w:val="20"/>
        </w:rPr>
        <w:t> </w:t>
      </w:r>
      <w:r>
        <w:rPr>
          <w:spacing w:val="-2"/>
          <w:sz w:val="20"/>
        </w:rPr>
        <w:t>Saucedo</w:t>
      </w:r>
    </w:p>
    <w:p>
      <w:pPr>
        <w:pStyle w:val="BodyText"/>
        <w:spacing w:before="35"/>
        <w:rPr>
          <w:sz w:val="20"/>
        </w:rPr>
      </w:pPr>
    </w:p>
    <w:p>
      <w:pPr>
        <w:spacing w:line="259" w:lineRule="auto" w:before="0"/>
        <w:ind w:left="624" w:right="1031" w:firstLine="0"/>
        <w:jc w:val="left"/>
        <w:rPr>
          <w:sz w:val="20"/>
        </w:rPr>
      </w:pPr>
      <w:r>
        <w:rPr>
          <w:sz w:val="20"/>
          <w:u w:val="single"/>
        </w:rPr>
        <w:t>Greater</w:t>
      </w:r>
      <w:r>
        <w:rPr>
          <w:spacing w:val="-12"/>
          <w:sz w:val="20"/>
          <w:u w:val="single"/>
        </w:rPr>
        <w:t> </w:t>
      </w:r>
      <w:r>
        <w:rPr>
          <w:sz w:val="20"/>
          <w:u w:val="single"/>
        </w:rPr>
        <w:t>Boston</w:t>
      </w:r>
      <w:r>
        <w:rPr>
          <w:spacing w:val="-11"/>
          <w:sz w:val="20"/>
          <w:u w:val="single"/>
        </w:rPr>
        <w:t> </w:t>
      </w:r>
      <w:r>
        <w:rPr>
          <w:sz w:val="20"/>
          <w:u w:val="single"/>
        </w:rPr>
        <w:t>PFLAG</w:t>
      </w:r>
      <w:r>
        <w:rPr>
          <w:sz w:val="20"/>
          <w:u w:val="none"/>
        </w:rPr>
        <w:t> Adrian Romero</w:t>
      </w:r>
    </w:p>
    <w:p>
      <w:pPr>
        <w:spacing w:line="259" w:lineRule="auto" w:before="0"/>
        <w:ind w:left="623" w:right="2169" w:firstLine="0"/>
        <w:jc w:val="left"/>
        <w:rPr>
          <w:sz w:val="20"/>
        </w:rPr>
      </w:pPr>
      <w:r>
        <w:rPr>
          <w:sz w:val="20"/>
        </w:rPr>
        <w:t>Aude Henin Cass Mercer Nancy</w:t>
      </w:r>
      <w:r>
        <w:rPr>
          <w:spacing w:val="-12"/>
          <w:sz w:val="20"/>
        </w:rPr>
        <w:t> </w:t>
      </w:r>
      <w:r>
        <w:rPr>
          <w:sz w:val="20"/>
        </w:rPr>
        <w:t>Forsyth</w:t>
      </w:r>
    </w:p>
    <w:p>
      <w:pPr>
        <w:pStyle w:val="BodyText"/>
        <w:spacing w:before="18"/>
        <w:rPr>
          <w:sz w:val="20"/>
        </w:rPr>
      </w:pPr>
    </w:p>
    <w:p>
      <w:pPr>
        <w:spacing w:line="259" w:lineRule="auto" w:before="0"/>
        <w:ind w:left="624" w:right="0" w:firstLine="0"/>
        <w:jc w:val="left"/>
        <w:rPr>
          <w:sz w:val="20"/>
        </w:rPr>
      </w:pPr>
      <w:r>
        <w:rPr>
          <w:sz w:val="20"/>
          <w:u w:val="single"/>
        </w:rPr>
        <w:t>Massachusetts</w:t>
      </w:r>
      <w:r>
        <w:rPr>
          <w:spacing w:val="-12"/>
          <w:sz w:val="20"/>
          <w:u w:val="single"/>
        </w:rPr>
        <w:t> </w:t>
      </w:r>
      <w:r>
        <w:rPr>
          <w:sz w:val="20"/>
          <w:u w:val="single"/>
        </w:rPr>
        <w:t>Public</w:t>
      </w:r>
      <w:r>
        <w:rPr>
          <w:spacing w:val="-11"/>
          <w:sz w:val="20"/>
          <w:u w:val="single"/>
        </w:rPr>
        <w:t> </w:t>
      </w:r>
      <w:r>
        <w:rPr>
          <w:sz w:val="20"/>
          <w:u w:val="single"/>
        </w:rPr>
        <w:t>Health</w:t>
      </w:r>
      <w:r>
        <w:rPr>
          <w:spacing w:val="-11"/>
          <w:sz w:val="20"/>
          <w:u w:val="single"/>
        </w:rPr>
        <w:t> </w:t>
      </w:r>
      <w:r>
        <w:rPr>
          <w:sz w:val="20"/>
          <w:u w:val="single"/>
        </w:rPr>
        <w:t>Association</w:t>
      </w:r>
      <w:r>
        <w:rPr>
          <w:sz w:val="20"/>
          <w:u w:val="none"/>
        </w:rPr>
        <w:t> Carlene Pavlos</w:t>
      </w:r>
    </w:p>
    <w:p>
      <w:pPr>
        <w:spacing w:line="244" w:lineRule="exact" w:before="0"/>
        <w:ind w:left="624" w:right="0" w:firstLine="0"/>
        <w:jc w:val="left"/>
        <w:rPr>
          <w:sz w:val="20"/>
        </w:rPr>
      </w:pPr>
      <w:r>
        <w:rPr>
          <w:sz w:val="20"/>
        </w:rPr>
        <w:t>Chastity</w:t>
      </w:r>
      <w:r>
        <w:rPr>
          <w:spacing w:val="-6"/>
          <w:sz w:val="20"/>
        </w:rPr>
        <w:t> </w:t>
      </w:r>
      <w:r>
        <w:rPr>
          <w:spacing w:val="-2"/>
          <w:sz w:val="20"/>
        </w:rPr>
        <w:t>Bowick</w:t>
      </w:r>
    </w:p>
    <w:p>
      <w:pPr>
        <w:pStyle w:val="BodyText"/>
        <w:spacing w:before="38"/>
        <w:rPr>
          <w:sz w:val="20"/>
        </w:rPr>
      </w:pPr>
    </w:p>
    <w:p>
      <w:pPr>
        <w:spacing w:line="259" w:lineRule="auto" w:before="0"/>
        <w:ind w:left="624" w:right="474" w:firstLine="0"/>
        <w:jc w:val="left"/>
        <w:rPr>
          <w:sz w:val="20"/>
        </w:rPr>
      </w:pPr>
      <w:r>
        <w:rPr>
          <w:sz w:val="20"/>
          <w:u w:val="single"/>
        </w:rPr>
        <w:t>GLSEN</w:t>
      </w:r>
      <w:r>
        <w:rPr>
          <w:spacing w:val="-12"/>
          <w:sz w:val="20"/>
          <w:u w:val="single"/>
        </w:rPr>
        <w:t> </w:t>
      </w:r>
      <w:r>
        <w:rPr>
          <w:sz w:val="20"/>
          <w:u w:val="single"/>
        </w:rPr>
        <w:t>Massachusetts</w:t>
      </w:r>
      <w:r>
        <w:rPr>
          <w:spacing w:val="-11"/>
          <w:sz w:val="20"/>
          <w:u w:val="single"/>
        </w:rPr>
        <w:t> </w:t>
      </w:r>
      <w:r>
        <w:rPr>
          <w:sz w:val="20"/>
          <w:u w:val="single"/>
        </w:rPr>
        <w:t>Chapter</w:t>
      </w:r>
      <w:r>
        <w:rPr>
          <w:sz w:val="20"/>
          <w:u w:val="none"/>
        </w:rPr>
        <w:t> Carm Chamblin</w:t>
      </w:r>
    </w:p>
    <w:p>
      <w:pPr>
        <w:spacing w:line="244" w:lineRule="exact" w:before="0"/>
        <w:ind w:left="624" w:right="0" w:firstLine="0"/>
        <w:jc w:val="left"/>
        <w:rPr>
          <w:sz w:val="20"/>
        </w:rPr>
      </w:pPr>
      <w:r>
        <w:rPr>
          <w:sz w:val="20"/>
        </w:rPr>
        <w:t>Kelly</w:t>
      </w:r>
      <w:r>
        <w:rPr>
          <w:spacing w:val="-3"/>
          <w:sz w:val="20"/>
        </w:rPr>
        <w:t> </w:t>
      </w:r>
      <w:r>
        <w:rPr>
          <w:spacing w:val="-2"/>
          <w:sz w:val="20"/>
        </w:rPr>
        <w:t>Simon</w:t>
      </w:r>
    </w:p>
    <w:p>
      <w:pPr>
        <w:spacing w:line="240" w:lineRule="auto" w:before="80"/>
        <w:rPr>
          <w:sz w:val="20"/>
        </w:rPr>
      </w:pPr>
      <w:r>
        <w:rPr/>
        <w:br w:type="column"/>
      </w:r>
      <w:r>
        <w:rPr>
          <w:sz w:val="20"/>
        </w:rPr>
      </w:r>
    </w:p>
    <w:p>
      <w:pPr>
        <w:spacing w:line="259" w:lineRule="auto" w:before="0"/>
        <w:ind w:left="623" w:right="392" w:firstLine="0"/>
        <w:jc w:val="left"/>
        <w:rPr>
          <w:sz w:val="20"/>
        </w:rPr>
      </w:pPr>
      <w:r>
        <w:rPr>
          <w:sz w:val="20"/>
          <w:u w:val="single"/>
        </w:rPr>
        <w:t>American</w:t>
      </w:r>
      <w:r>
        <w:rPr>
          <w:spacing w:val="-10"/>
          <w:sz w:val="20"/>
          <w:u w:val="single"/>
        </w:rPr>
        <w:t> </w:t>
      </w:r>
      <w:r>
        <w:rPr>
          <w:sz w:val="20"/>
          <w:u w:val="single"/>
        </w:rPr>
        <w:t>Academy</w:t>
      </w:r>
      <w:r>
        <w:rPr>
          <w:spacing w:val="-9"/>
          <w:sz w:val="20"/>
          <w:u w:val="single"/>
        </w:rPr>
        <w:t> </w:t>
      </w:r>
      <w:r>
        <w:rPr>
          <w:sz w:val="20"/>
          <w:u w:val="single"/>
        </w:rPr>
        <w:t>of</w:t>
      </w:r>
      <w:r>
        <w:rPr>
          <w:spacing w:val="-9"/>
          <w:sz w:val="20"/>
          <w:u w:val="single"/>
        </w:rPr>
        <w:t> </w:t>
      </w:r>
      <w:r>
        <w:rPr>
          <w:sz w:val="20"/>
          <w:u w:val="single"/>
        </w:rPr>
        <w:t>Pediatrics-</w:t>
      </w:r>
      <w:r>
        <w:rPr>
          <w:spacing w:val="-9"/>
          <w:sz w:val="20"/>
          <w:u w:val="single"/>
        </w:rPr>
        <w:t> </w:t>
      </w:r>
      <w:r>
        <w:rPr>
          <w:sz w:val="20"/>
          <w:u w:val="single"/>
        </w:rPr>
        <w:t>Massachusetts</w:t>
      </w:r>
      <w:r>
        <w:rPr>
          <w:sz w:val="20"/>
          <w:u w:val="none"/>
        </w:rPr>
        <w:t> </w:t>
      </w:r>
      <w:r>
        <w:rPr>
          <w:spacing w:val="-2"/>
          <w:sz w:val="20"/>
          <w:u w:val="single"/>
        </w:rPr>
        <w:t>Chapter</w:t>
      </w:r>
    </w:p>
    <w:p>
      <w:pPr>
        <w:spacing w:line="244" w:lineRule="exact" w:before="0"/>
        <w:ind w:left="623" w:right="0" w:firstLine="0"/>
        <w:jc w:val="left"/>
        <w:rPr>
          <w:sz w:val="20"/>
        </w:rPr>
      </w:pPr>
      <w:r>
        <w:rPr>
          <w:sz w:val="20"/>
        </w:rPr>
        <w:t>David</w:t>
      </w:r>
      <w:r>
        <w:rPr>
          <w:spacing w:val="-4"/>
          <w:sz w:val="20"/>
        </w:rPr>
        <w:t> </w:t>
      </w:r>
      <w:r>
        <w:rPr>
          <w:sz w:val="20"/>
        </w:rPr>
        <w:t>Norton,</w:t>
      </w:r>
      <w:r>
        <w:rPr>
          <w:spacing w:val="-4"/>
          <w:sz w:val="20"/>
        </w:rPr>
        <w:t> </w:t>
      </w:r>
      <w:r>
        <w:rPr>
          <w:spacing w:val="-5"/>
          <w:sz w:val="20"/>
        </w:rPr>
        <w:t>MD</w:t>
      </w:r>
    </w:p>
    <w:p>
      <w:pPr>
        <w:spacing w:line="259" w:lineRule="auto" w:before="18"/>
        <w:ind w:left="623" w:right="2136" w:firstLine="0"/>
        <w:jc w:val="left"/>
        <w:rPr>
          <w:sz w:val="20"/>
        </w:rPr>
      </w:pPr>
      <w:r>
        <w:rPr>
          <w:sz w:val="20"/>
        </w:rPr>
        <w:t>Andrew</w:t>
      </w:r>
      <w:r>
        <w:rPr>
          <w:spacing w:val="-12"/>
          <w:sz w:val="20"/>
        </w:rPr>
        <w:t> </w:t>
      </w:r>
      <w:r>
        <w:rPr>
          <w:sz w:val="20"/>
        </w:rPr>
        <w:t>Cronyn,</w:t>
      </w:r>
      <w:r>
        <w:rPr>
          <w:spacing w:val="-11"/>
          <w:sz w:val="20"/>
        </w:rPr>
        <w:t> </w:t>
      </w:r>
      <w:r>
        <w:rPr>
          <w:sz w:val="20"/>
        </w:rPr>
        <w:t>MD,</w:t>
      </w:r>
      <w:r>
        <w:rPr>
          <w:spacing w:val="-11"/>
          <w:sz w:val="20"/>
        </w:rPr>
        <w:t> </w:t>
      </w:r>
      <w:r>
        <w:rPr>
          <w:sz w:val="20"/>
        </w:rPr>
        <w:t>FAAP Em Grybko</w:t>
      </w:r>
    </w:p>
    <w:p>
      <w:pPr>
        <w:pStyle w:val="BodyText"/>
        <w:spacing w:before="19"/>
        <w:rPr>
          <w:sz w:val="20"/>
        </w:rPr>
      </w:pPr>
    </w:p>
    <w:p>
      <w:pPr>
        <w:spacing w:line="259" w:lineRule="auto" w:before="1"/>
        <w:ind w:left="623" w:right="392" w:firstLine="0"/>
        <w:jc w:val="left"/>
        <w:rPr>
          <w:sz w:val="20"/>
        </w:rPr>
      </w:pPr>
      <w:r>
        <w:rPr>
          <w:sz w:val="20"/>
          <w:u w:val="single"/>
        </w:rPr>
        <w:t>Massachusetts</w:t>
      </w:r>
      <w:r>
        <w:rPr>
          <w:spacing w:val="-11"/>
          <w:sz w:val="20"/>
          <w:u w:val="single"/>
        </w:rPr>
        <w:t> </w:t>
      </w:r>
      <w:r>
        <w:rPr>
          <w:sz w:val="20"/>
          <w:u w:val="single"/>
        </w:rPr>
        <w:t>Coalition</w:t>
      </w:r>
      <w:r>
        <w:rPr>
          <w:spacing w:val="-9"/>
          <w:sz w:val="20"/>
          <w:u w:val="single"/>
        </w:rPr>
        <w:t> </w:t>
      </w:r>
      <w:r>
        <w:rPr>
          <w:sz w:val="20"/>
          <w:u w:val="single"/>
        </w:rPr>
        <w:t>for</w:t>
      </w:r>
      <w:r>
        <w:rPr>
          <w:spacing w:val="-11"/>
          <w:sz w:val="20"/>
          <w:u w:val="single"/>
        </w:rPr>
        <w:t> </w:t>
      </w:r>
      <w:r>
        <w:rPr>
          <w:sz w:val="20"/>
          <w:u w:val="single"/>
        </w:rPr>
        <w:t>Suicide</w:t>
      </w:r>
      <w:r>
        <w:rPr>
          <w:spacing w:val="-9"/>
          <w:sz w:val="20"/>
          <w:u w:val="single"/>
        </w:rPr>
        <w:t> </w:t>
      </w:r>
      <w:r>
        <w:rPr>
          <w:sz w:val="20"/>
          <w:u w:val="single"/>
        </w:rPr>
        <w:t>Prevention</w:t>
      </w:r>
      <w:r>
        <w:rPr>
          <w:sz w:val="20"/>
          <w:u w:val="none"/>
        </w:rPr>
        <w:t> Elliot Marrow</w:t>
      </w:r>
    </w:p>
    <w:p>
      <w:pPr>
        <w:spacing w:line="259" w:lineRule="auto" w:before="0"/>
        <w:ind w:left="623" w:right="3214" w:firstLine="0"/>
        <w:jc w:val="left"/>
        <w:rPr>
          <w:sz w:val="20"/>
        </w:rPr>
      </w:pPr>
      <w:r>
        <w:rPr>
          <w:sz w:val="20"/>
        </w:rPr>
        <w:t>Fahmina</w:t>
      </w:r>
      <w:r>
        <w:rPr>
          <w:spacing w:val="-12"/>
          <w:sz w:val="20"/>
        </w:rPr>
        <w:t> </w:t>
      </w:r>
      <w:r>
        <w:rPr>
          <w:sz w:val="20"/>
        </w:rPr>
        <w:t>Zaman Paula Tessier</w:t>
      </w:r>
    </w:p>
    <w:p>
      <w:pPr>
        <w:pStyle w:val="BodyText"/>
        <w:spacing w:before="18"/>
        <w:rPr>
          <w:sz w:val="20"/>
        </w:rPr>
      </w:pPr>
    </w:p>
    <w:p>
      <w:pPr>
        <w:spacing w:line="259" w:lineRule="auto" w:before="0"/>
        <w:ind w:left="623" w:right="392" w:firstLine="0"/>
        <w:jc w:val="left"/>
        <w:rPr>
          <w:sz w:val="20"/>
        </w:rPr>
      </w:pPr>
      <w:r>
        <w:rPr>
          <w:sz w:val="20"/>
          <w:u w:val="single"/>
        </w:rPr>
        <w:t>Massachusetts</w:t>
      </w:r>
      <w:r>
        <w:rPr>
          <w:spacing w:val="-8"/>
          <w:sz w:val="20"/>
          <w:u w:val="single"/>
        </w:rPr>
        <w:t> </w:t>
      </w:r>
      <w:r>
        <w:rPr>
          <w:sz w:val="20"/>
          <w:u w:val="single"/>
        </w:rPr>
        <w:t>Gay</w:t>
      </w:r>
      <w:r>
        <w:rPr>
          <w:spacing w:val="-8"/>
          <w:sz w:val="20"/>
          <w:u w:val="single"/>
        </w:rPr>
        <w:t> </w:t>
      </w:r>
      <w:r>
        <w:rPr>
          <w:sz w:val="20"/>
          <w:u w:val="single"/>
        </w:rPr>
        <w:t>&amp;</w:t>
      </w:r>
      <w:r>
        <w:rPr>
          <w:spacing w:val="-7"/>
          <w:sz w:val="20"/>
          <w:u w:val="single"/>
        </w:rPr>
        <w:t> </w:t>
      </w:r>
      <w:r>
        <w:rPr>
          <w:sz w:val="20"/>
          <w:u w:val="single"/>
        </w:rPr>
        <w:t>Lesbian</w:t>
      </w:r>
      <w:r>
        <w:rPr>
          <w:spacing w:val="-8"/>
          <w:sz w:val="20"/>
          <w:u w:val="single"/>
        </w:rPr>
        <w:t> </w:t>
      </w:r>
      <w:r>
        <w:rPr>
          <w:sz w:val="20"/>
          <w:u w:val="single"/>
        </w:rPr>
        <w:t>Political</w:t>
      </w:r>
      <w:r>
        <w:rPr>
          <w:spacing w:val="-8"/>
          <w:sz w:val="20"/>
          <w:u w:val="single"/>
        </w:rPr>
        <w:t> </w:t>
      </w:r>
      <w:r>
        <w:rPr>
          <w:sz w:val="20"/>
          <w:u w:val="single"/>
        </w:rPr>
        <w:t>Caucus</w:t>
      </w:r>
      <w:r>
        <w:rPr>
          <w:sz w:val="20"/>
          <w:u w:val="none"/>
        </w:rPr>
        <w:t> Grace Sterling Stowell</w:t>
      </w:r>
    </w:p>
    <w:p>
      <w:pPr>
        <w:spacing w:line="244" w:lineRule="exact" w:before="0"/>
        <w:ind w:left="623" w:right="0" w:firstLine="0"/>
        <w:jc w:val="left"/>
        <w:rPr>
          <w:sz w:val="20"/>
        </w:rPr>
      </w:pPr>
      <w:r>
        <w:rPr>
          <w:sz w:val="20"/>
        </w:rPr>
        <w:t>Sasha</w:t>
      </w:r>
      <w:r>
        <w:rPr>
          <w:spacing w:val="-2"/>
          <w:sz w:val="20"/>
        </w:rPr>
        <w:t> Goodfriend</w:t>
      </w:r>
    </w:p>
    <w:p>
      <w:pPr>
        <w:pStyle w:val="BodyText"/>
        <w:spacing w:before="39"/>
        <w:rPr>
          <w:sz w:val="20"/>
        </w:rPr>
      </w:pPr>
    </w:p>
    <w:p>
      <w:pPr>
        <w:spacing w:line="259" w:lineRule="auto" w:before="0"/>
        <w:ind w:left="623" w:right="1039" w:firstLine="0"/>
        <w:jc w:val="left"/>
        <w:rPr>
          <w:sz w:val="20"/>
        </w:rPr>
      </w:pPr>
      <w:r>
        <w:rPr>
          <w:sz w:val="20"/>
          <w:u w:val="single"/>
        </w:rPr>
        <w:t>Massachusetts</w:t>
      </w:r>
      <w:r>
        <w:rPr>
          <w:spacing w:val="-12"/>
          <w:sz w:val="20"/>
          <w:u w:val="single"/>
        </w:rPr>
        <w:t> </w:t>
      </w:r>
      <w:r>
        <w:rPr>
          <w:sz w:val="20"/>
          <w:u w:val="single"/>
        </w:rPr>
        <w:t>Teachers</w:t>
      </w:r>
      <w:r>
        <w:rPr>
          <w:spacing w:val="-11"/>
          <w:sz w:val="20"/>
          <w:u w:val="single"/>
        </w:rPr>
        <w:t> </w:t>
      </w:r>
      <w:r>
        <w:rPr>
          <w:sz w:val="20"/>
          <w:u w:val="single"/>
        </w:rPr>
        <w:t>Association</w:t>
      </w:r>
      <w:r>
        <w:rPr>
          <w:sz w:val="20"/>
          <w:u w:val="none"/>
        </w:rPr>
        <w:t> Kirsten Frazier</w:t>
      </w:r>
    </w:p>
    <w:p>
      <w:pPr>
        <w:pStyle w:val="BodyText"/>
        <w:spacing w:before="19"/>
        <w:rPr>
          <w:sz w:val="20"/>
        </w:rPr>
      </w:pPr>
    </w:p>
    <w:p>
      <w:pPr>
        <w:spacing w:line="259" w:lineRule="auto" w:before="0"/>
        <w:ind w:left="623" w:right="392" w:firstLine="0"/>
        <w:jc w:val="left"/>
        <w:rPr>
          <w:sz w:val="20"/>
        </w:rPr>
      </w:pPr>
      <w:r>
        <w:rPr>
          <w:sz w:val="20"/>
          <w:u w:val="single"/>
        </w:rPr>
        <w:t>American</w:t>
      </w:r>
      <w:r>
        <w:rPr>
          <w:spacing w:val="-10"/>
          <w:sz w:val="20"/>
          <w:u w:val="single"/>
        </w:rPr>
        <w:t> </w:t>
      </w:r>
      <w:r>
        <w:rPr>
          <w:sz w:val="20"/>
          <w:u w:val="single"/>
        </w:rPr>
        <w:t>Federation</w:t>
      </w:r>
      <w:r>
        <w:rPr>
          <w:spacing w:val="-9"/>
          <w:sz w:val="20"/>
          <w:u w:val="single"/>
        </w:rPr>
        <w:t> </w:t>
      </w:r>
      <w:r>
        <w:rPr>
          <w:sz w:val="20"/>
          <w:u w:val="single"/>
        </w:rPr>
        <w:t>of</w:t>
      </w:r>
      <w:r>
        <w:rPr>
          <w:spacing w:val="-9"/>
          <w:sz w:val="20"/>
          <w:u w:val="single"/>
        </w:rPr>
        <w:t> </w:t>
      </w:r>
      <w:r>
        <w:rPr>
          <w:sz w:val="20"/>
          <w:u w:val="single"/>
        </w:rPr>
        <w:t>Teachers,</w:t>
      </w:r>
      <w:r>
        <w:rPr>
          <w:spacing w:val="-9"/>
          <w:sz w:val="20"/>
          <w:u w:val="single"/>
        </w:rPr>
        <w:t> </w:t>
      </w:r>
      <w:r>
        <w:rPr>
          <w:sz w:val="20"/>
          <w:u w:val="single"/>
        </w:rPr>
        <w:t>Massachusetts</w:t>
      </w:r>
      <w:r>
        <w:rPr>
          <w:sz w:val="20"/>
          <w:u w:val="none"/>
        </w:rPr>
        <w:t> </w:t>
      </w:r>
      <w:r>
        <w:rPr>
          <w:spacing w:val="-2"/>
          <w:sz w:val="20"/>
          <w:u w:val="single"/>
        </w:rPr>
        <w:t>Chapter</w:t>
      </w:r>
    </w:p>
    <w:p>
      <w:pPr>
        <w:spacing w:line="244" w:lineRule="exact" w:before="0"/>
        <w:ind w:left="623" w:right="0" w:firstLine="0"/>
        <w:jc w:val="left"/>
        <w:rPr>
          <w:sz w:val="20"/>
        </w:rPr>
      </w:pPr>
      <w:r>
        <w:rPr>
          <w:sz w:val="20"/>
        </w:rPr>
        <w:t>Masha</w:t>
      </w:r>
      <w:r>
        <w:rPr>
          <w:spacing w:val="-5"/>
          <w:sz w:val="20"/>
        </w:rPr>
        <w:t> </w:t>
      </w:r>
      <w:r>
        <w:rPr>
          <w:spacing w:val="-2"/>
          <w:sz w:val="20"/>
        </w:rPr>
        <w:t>Stine</w:t>
      </w:r>
    </w:p>
    <w:p>
      <w:pPr>
        <w:pStyle w:val="BodyText"/>
        <w:spacing w:before="38"/>
        <w:rPr>
          <w:sz w:val="20"/>
        </w:rPr>
      </w:pPr>
    </w:p>
    <w:p>
      <w:pPr>
        <w:spacing w:line="259" w:lineRule="auto" w:before="0"/>
        <w:ind w:left="623" w:right="3304" w:firstLine="0"/>
        <w:jc w:val="left"/>
        <w:rPr>
          <w:sz w:val="20"/>
        </w:rPr>
      </w:pPr>
      <w:r>
        <w:rPr>
          <w:sz w:val="20"/>
          <w:u w:val="single"/>
        </w:rPr>
        <w:t>Fenway</w:t>
      </w:r>
      <w:r>
        <w:rPr>
          <w:spacing w:val="-12"/>
          <w:sz w:val="20"/>
          <w:u w:val="single"/>
        </w:rPr>
        <w:t> </w:t>
      </w:r>
      <w:r>
        <w:rPr>
          <w:sz w:val="20"/>
          <w:u w:val="single"/>
        </w:rPr>
        <w:t>Health</w:t>
      </w:r>
      <w:r>
        <w:rPr>
          <w:sz w:val="20"/>
          <w:u w:val="none"/>
        </w:rPr>
        <w:t> Noah Glick</w:t>
      </w:r>
      <w:r>
        <w:rPr>
          <w:spacing w:val="40"/>
          <w:sz w:val="20"/>
          <w:u w:val="none"/>
        </w:rPr>
        <w:t> </w:t>
      </w:r>
      <w:r>
        <w:rPr>
          <w:sz w:val="20"/>
          <w:u w:val="none"/>
        </w:rPr>
        <w:t>Rey Calabrese</w:t>
      </w:r>
    </w:p>
    <w:p>
      <w:pPr>
        <w:pStyle w:val="BodyText"/>
        <w:spacing w:before="19"/>
        <w:rPr>
          <w:sz w:val="20"/>
        </w:rPr>
      </w:pPr>
    </w:p>
    <w:p>
      <w:pPr>
        <w:spacing w:line="259" w:lineRule="auto" w:before="0"/>
        <w:ind w:left="623" w:right="392" w:firstLine="0"/>
        <w:jc w:val="left"/>
        <w:rPr>
          <w:sz w:val="20"/>
        </w:rPr>
      </w:pPr>
      <w:r>
        <w:rPr>
          <w:sz w:val="20"/>
          <w:u w:val="single"/>
        </w:rPr>
        <w:t>Massachusetts</w:t>
      </w:r>
      <w:r>
        <w:rPr>
          <w:spacing w:val="-12"/>
          <w:sz w:val="20"/>
          <w:u w:val="single"/>
        </w:rPr>
        <w:t> </w:t>
      </w:r>
      <w:r>
        <w:rPr>
          <w:sz w:val="20"/>
          <w:u w:val="single"/>
        </w:rPr>
        <w:t>Association</w:t>
      </w:r>
      <w:r>
        <w:rPr>
          <w:spacing w:val="-11"/>
          <w:sz w:val="20"/>
          <w:u w:val="single"/>
        </w:rPr>
        <w:t> </w:t>
      </w:r>
      <w:r>
        <w:rPr>
          <w:sz w:val="20"/>
          <w:u w:val="single"/>
        </w:rPr>
        <w:t>of</w:t>
      </w:r>
      <w:r>
        <w:rPr>
          <w:spacing w:val="-11"/>
          <w:sz w:val="20"/>
          <w:u w:val="single"/>
        </w:rPr>
        <w:t> </w:t>
      </w:r>
      <w:r>
        <w:rPr>
          <w:sz w:val="20"/>
          <w:u w:val="single"/>
        </w:rPr>
        <w:t>School</w:t>
      </w:r>
      <w:r>
        <w:rPr>
          <w:sz w:val="20"/>
          <w:u w:val="none"/>
        </w:rPr>
        <w:t> </w:t>
      </w:r>
      <w:r>
        <w:rPr>
          <w:spacing w:val="-2"/>
          <w:sz w:val="20"/>
          <w:u w:val="single"/>
        </w:rPr>
        <w:t>Superintendents</w:t>
      </w:r>
    </w:p>
    <w:p>
      <w:pPr>
        <w:pStyle w:val="BodyText"/>
        <w:spacing w:before="19"/>
        <w:rPr>
          <w:sz w:val="20"/>
        </w:rPr>
      </w:pPr>
    </w:p>
    <w:p>
      <w:pPr>
        <w:spacing w:line="259" w:lineRule="auto" w:before="0"/>
        <w:ind w:left="623" w:right="2779" w:firstLine="0"/>
        <w:jc w:val="left"/>
        <w:rPr>
          <w:sz w:val="20"/>
        </w:rPr>
      </w:pPr>
      <w:r>
        <w:rPr>
          <w:sz w:val="20"/>
        </w:rPr>
        <w:t>Sara</w:t>
      </w:r>
      <w:r>
        <w:rPr>
          <w:spacing w:val="-12"/>
          <w:sz w:val="20"/>
        </w:rPr>
        <w:t> </w:t>
      </w:r>
      <w:r>
        <w:rPr>
          <w:sz w:val="20"/>
        </w:rPr>
        <w:t>Ahern,</w:t>
      </w:r>
      <w:r>
        <w:rPr>
          <w:spacing w:val="-11"/>
          <w:sz w:val="20"/>
        </w:rPr>
        <w:t> </w:t>
      </w:r>
      <w:r>
        <w:rPr>
          <w:sz w:val="20"/>
        </w:rPr>
        <w:t>Ed.D. Sean Precious Victoria Greer</w:t>
      </w:r>
    </w:p>
    <w:p>
      <w:pPr>
        <w:pStyle w:val="BodyText"/>
        <w:spacing w:before="18"/>
        <w:rPr>
          <w:sz w:val="20"/>
        </w:rPr>
      </w:pPr>
    </w:p>
    <w:p>
      <w:pPr>
        <w:spacing w:line="259" w:lineRule="auto" w:before="0"/>
        <w:ind w:left="623" w:right="3242" w:firstLine="0"/>
        <w:jc w:val="left"/>
        <w:rPr>
          <w:sz w:val="20"/>
        </w:rPr>
      </w:pPr>
      <w:r>
        <w:rPr>
          <w:spacing w:val="-2"/>
          <w:sz w:val="20"/>
          <w:u w:val="single"/>
        </w:rPr>
        <w:t>MassEquality</w:t>
      </w:r>
      <w:r>
        <w:rPr>
          <w:spacing w:val="-2"/>
          <w:sz w:val="20"/>
          <w:u w:val="none"/>
        </w:rPr>
        <w:t> </w:t>
      </w:r>
      <w:r>
        <w:rPr>
          <w:sz w:val="20"/>
          <w:u w:val="none"/>
        </w:rPr>
        <w:t>Tanya</w:t>
      </w:r>
      <w:r>
        <w:rPr>
          <w:spacing w:val="-12"/>
          <w:sz w:val="20"/>
          <w:u w:val="none"/>
        </w:rPr>
        <w:t> </w:t>
      </w:r>
      <w:r>
        <w:rPr>
          <w:sz w:val="20"/>
          <w:u w:val="none"/>
        </w:rPr>
        <w:t>Neslusan</w:t>
      </w:r>
    </w:p>
    <w:p>
      <w:pPr>
        <w:spacing w:after="0" w:line="259" w:lineRule="auto"/>
        <w:jc w:val="left"/>
        <w:rPr>
          <w:sz w:val="20"/>
        </w:rPr>
        <w:sectPr>
          <w:type w:val="continuous"/>
          <w:pgSz w:w="12240" w:h="15840"/>
          <w:pgMar w:header="0" w:footer="1012" w:top="1420" w:bottom="280" w:left="960" w:right="1100"/>
          <w:cols w:num="2" w:equalWidth="0">
            <w:col w:w="3959" w:space="1081"/>
            <w:col w:w="5140"/>
          </w:cols>
        </w:sectPr>
      </w:pPr>
    </w:p>
    <w:p>
      <w:pPr>
        <w:pStyle w:val="BodyText"/>
        <w:rPr>
          <w:sz w:val="20"/>
        </w:rPr>
      </w:pPr>
    </w:p>
    <w:p>
      <w:pPr>
        <w:pStyle w:val="BodyText"/>
        <w:rPr>
          <w:sz w:val="20"/>
        </w:rPr>
      </w:pPr>
    </w:p>
    <w:p>
      <w:pPr>
        <w:pStyle w:val="BodyText"/>
        <w:spacing w:before="121" w:after="1"/>
        <w:rPr>
          <w:sz w:val="20"/>
        </w:rPr>
      </w:pPr>
    </w:p>
    <w:p>
      <w:pPr>
        <w:pStyle w:val="BodyText"/>
        <w:spacing w:line="20" w:lineRule="exact"/>
        <w:ind w:left="450"/>
        <w:rPr>
          <w:sz w:val="2"/>
        </w:rPr>
      </w:pPr>
      <w:r>
        <w:rPr>
          <w:sz w:val="2"/>
        </w:rPr>
        <mc:AlternateContent>
          <mc:Choice Requires="wps">
            <w:drawing>
              <wp:inline distT="0" distB="0" distL="0" distR="0">
                <wp:extent cx="5982335" cy="6350"/>
                <wp:effectExtent l="0" t="0" r="0" b="0"/>
                <wp:docPr id="716" name="Group 716"/>
                <wp:cNvGraphicFramePr>
                  <a:graphicFrameLocks/>
                </wp:cNvGraphicFramePr>
                <a:graphic>
                  <a:graphicData uri="http://schemas.microsoft.com/office/word/2010/wordprocessingGroup">
                    <wpg:wgp>
                      <wpg:cNvPr id="716" name="Group 716"/>
                      <wpg:cNvGrpSpPr/>
                      <wpg:grpSpPr>
                        <a:xfrm>
                          <a:off x="0" y="0"/>
                          <a:ext cx="5982335" cy="6350"/>
                          <a:chExt cx="5982335" cy="6350"/>
                        </a:xfrm>
                      </wpg:grpSpPr>
                      <wps:wsp>
                        <wps:cNvPr id="717" name="Graphic 717"/>
                        <wps:cNvSpPr/>
                        <wps:spPr>
                          <a:xfrm>
                            <a:off x="0" y="0"/>
                            <a:ext cx="5982335" cy="6350"/>
                          </a:xfrm>
                          <a:custGeom>
                            <a:avLst/>
                            <a:gdLst/>
                            <a:ahLst/>
                            <a:cxnLst/>
                            <a:rect l="l" t="t" r="r" b="b"/>
                            <a:pathLst>
                              <a:path w="5982335" h="6350">
                                <a:moveTo>
                                  <a:pt x="5981712" y="0"/>
                                </a:moveTo>
                                <a:lnTo>
                                  <a:pt x="0" y="0"/>
                                </a:lnTo>
                                <a:lnTo>
                                  <a:pt x="0" y="6108"/>
                                </a:lnTo>
                                <a:lnTo>
                                  <a:pt x="5981712" y="6108"/>
                                </a:lnTo>
                                <a:lnTo>
                                  <a:pt x="5981712" y="0"/>
                                </a:lnTo>
                                <a:close/>
                              </a:path>
                            </a:pathLst>
                          </a:custGeom>
                          <a:solidFill>
                            <a:srgbClr val="D9D9D9"/>
                          </a:solidFill>
                        </wps:spPr>
                        <wps:bodyPr wrap="square" lIns="0" tIns="0" rIns="0" bIns="0" rtlCol="0">
                          <a:prstTxWarp prst="textNoShape">
                            <a:avLst/>
                          </a:prstTxWarp>
                          <a:noAutofit/>
                        </wps:bodyPr>
                      </wps:wsp>
                    </wpg:wgp>
                  </a:graphicData>
                </a:graphic>
              </wp:inline>
            </w:drawing>
          </mc:Choice>
          <mc:Fallback>
            <w:pict>
              <v:group style="width:471.05pt;height:.5pt;mso-position-horizontal-relative:char;mso-position-vertical-relative:line" id="docshapegroup613" coordorigin="0,0" coordsize="9421,10">
                <v:rect style="position:absolute;left:0;top:0;width:9421;height:10" id="docshape614" filled="true" fillcolor="#d9d9d9" stroked="false">
                  <v:fill type="solid"/>
                </v:rect>
              </v:group>
            </w:pict>
          </mc:Fallback>
        </mc:AlternateContent>
      </w:r>
      <w:r>
        <w:rPr>
          <w:sz w:val="2"/>
        </w:rPr>
      </w:r>
    </w:p>
    <w:sectPr>
      <w:type w:val="continuous"/>
      <w:pgSz w:w="12240" w:h="15840"/>
      <w:pgMar w:header="0" w:footer="1012" w:top="1420" w:bottom="280" w:left="960" w:right="11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Georgia">
    <w:altName w:val="Georgia"/>
    <w:charset w:val="0"/>
    <w:family w:val="roman"/>
    <w:pitch w:val="variable"/>
  </w:font>
  <w:font w:name="Symbol">
    <w:altName w:val="Symbol"/>
    <w:charset w:val="2"/>
    <w:family w:val="roman"/>
    <w:pitch w:val="variable"/>
  </w:font>
  <w:font w:name="Verdana">
    <w:altName w:val="Verdana"/>
    <w:charset w:val="0"/>
    <w:family w:val="swiss"/>
    <w:pitch w:val="variable"/>
  </w:font>
  <w:font w:name="Garamond">
    <w:altName w:val="Garamond"/>
    <w:charset w:val="0"/>
    <w:family w:val="roman"/>
    <w:pitch w:val="variable"/>
  </w:font>
  <w:font w:name="Book Antiqua">
    <w:altName w:val="Book Antiqua"/>
    <w:charset w:val="0"/>
    <w:family w:val="roman"/>
    <w:pitch w:val="variable"/>
  </w:font>
  <w:font w:name="Cambria">
    <w:altName w:val="Cambria"/>
    <w:charset w:val="0"/>
    <w:family w:val="roman"/>
    <w:pitch w:val="variable"/>
  </w:font>
  <w:font w:name="Arial Black">
    <w:altName w:val="Arial Black"/>
    <w:charset w:val="0"/>
    <w:family w:val="swiss"/>
    <w:pitch w:val="variable"/>
  </w:font>
  <w:font w:name="Segoe UI Emoji">
    <w:altName w:val="Segoe UI Emoji"/>
    <w:charset w:val="0"/>
    <w:family w:val="swiss"/>
    <w:pitch w:val="variable"/>
  </w:font>
  <w:font w:name="Palatino Linotype">
    <w:altName w:val="Palatino Linotype"/>
    <w:charset w:val="0"/>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2550272">
              <wp:simplePos x="0" y="0"/>
              <wp:positionH relativeFrom="page">
                <wp:posOffset>5307342</wp:posOffset>
              </wp:positionH>
              <wp:positionV relativeFrom="page">
                <wp:posOffset>9220484</wp:posOffset>
              </wp:positionV>
              <wp:extent cx="1829435" cy="227965"/>
              <wp:effectExtent l="0" t="0" r="0" b="0"/>
              <wp:wrapNone/>
              <wp:docPr id="23" name="Textbox 23"/>
              <wp:cNvGraphicFramePr>
                <a:graphicFrameLocks/>
              </wp:cNvGraphicFramePr>
              <a:graphic>
                <a:graphicData uri="http://schemas.microsoft.com/office/word/2010/wordprocessingShape">
                  <wps:wsp>
                    <wps:cNvPr id="23" name="Textbox 23"/>
                    <wps:cNvSpPr txBox="1"/>
                    <wps:spPr>
                      <a:xfrm>
                        <a:off x="0" y="0"/>
                        <a:ext cx="1829435" cy="227965"/>
                      </a:xfrm>
                      <a:prstGeom prst="rect">
                        <a:avLst/>
                      </a:prstGeom>
                    </wps:spPr>
                    <wps:txbx>
                      <w:txbxContent>
                        <w:p>
                          <w:pPr>
                            <w:spacing w:before="16"/>
                            <w:ind w:left="20" w:right="0" w:firstLine="0"/>
                            <w:jc w:val="left"/>
                            <w:rPr>
                              <w:rFonts w:ascii="Georgia"/>
                              <w:sz w:val="28"/>
                            </w:rPr>
                          </w:pPr>
                          <w:r>
                            <w:rPr>
                              <w:rFonts w:ascii="Georgia"/>
                              <w:spacing w:val="-8"/>
                              <w:sz w:val="28"/>
                            </w:rPr>
                            <w:t>FY</w:t>
                          </w:r>
                          <w:r>
                            <w:rPr>
                              <w:rFonts w:ascii="Georgia"/>
                              <w:spacing w:val="-9"/>
                              <w:sz w:val="28"/>
                            </w:rPr>
                            <w:t> </w:t>
                          </w:r>
                          <w:r>
                            <w:rPr>
                              <w:rFonts w:ascii="Georgia"/>
                              <w:spacing w:val="-8"/>
                              <w:sz w:val="28"/>
                            </w:rPr>
                            <w:t>2025 Annual</w:t>
                          </w:r>
                          <w:r>
                            <w:rPr>
                              <w:rFonts w:ascii="Georgia"/>
                              <w:spacing w:val="-9"/>
                              <w:sz w:val="28"/>
                            </w:rPr>
                            <w:t> </w:t>
                          </w:r>
                          <w:r>
                            <w:rPr>
                              <w:rFonts w:ascii="Georgia"/>
                              <w:spacing w:val="-8"/>
                              <w:sz w:val="28"/>
                            </w:rPr>
                            <w:t>Report</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417.901001pt;margin-top:726.02240pt;width:144.050pt;height:17.95pt;mso-position-horizontal-relative:page;mso-position-vertical-relative:page;z-index:-20766208" type="#_x0000_t202" id="docshape12" filled="false" stroked="false">
              <v:textbox inset="0,0,0,0">
                <w:txbxContent>
                  <w:p>
                    <w:pPr>
                      <w:spacing w:before="16"/>
                      <w:ind w:left="20" w:right="0" w:firstLine="0"/>
                      <w:jc w:val="left"/>
                      <w:rPr>
                        <w:rFonts w:ascii="Georgia"/>
                        <w:sz w:val="28"/>
                      </w:rPr>
                    </w:pPr>
                    <w:r>
                      <w:rPr>
                        <w:rFonts w:ascii="Georgia"/>
                        <w:spacing w:val="-8"/>
                        <w:sz w:val="28"/>
                      </w:rPr>
                      <w:t>FY</w:t>
                    </w:r>
                    <w:r>
                      <w:rPr>
                        <w:rFonts w:ascii="Georgia"/>
                        <w:spacing w:val="-9"/>
                        <w:sz w:val="28"/>
                      </w:rPr>
                      <w:t> </w:t>
                    </w:r>
                    <w:r>
                      <w:rPr>
                        <w:rFonts w:ascii="Georgia"/>
                        <w:spacing w:val="-8"/>
                        <w:sz w:val="28"/>
                      </w:rPr>
                      <w:t>2025 Annual</w:t>
                    </w:r>
                    <w:r>
                      <w:rPr>
                        <w:rFonts w:ascii="Georgia"/>
                        <w:spacing w:val="-9"/>
                        <w:sz w:val="28"/>
                      </w:rPr>
                      <w:t> </w:t>
                    </w:r>
                    <w:r>
                      <w:rPr>
                        <w:rFonts w:ascii="Georgia"/>
                        <w:spacing w:val="-8"/>
                        <w:sz w:val="28"/>
                      </w:rPr>
                      <w:t>Report</w:t>
                    </w:r>
                  </w:p>
                </w:txbxContent>
              </v:textbox>
              <w10:wrap type="none"/>
            </v:shape>
          </w:pict>
        </mc:Fallback>
      </mc:AlternateContent>
    </w:r>
  </w:p>
</w:ftr>
</file>

<file path=word/footer1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2560512">
              <wp:simplePos x="0" y="0"/>
              <wp:positionH relativeFrom="page">
                <wp:posOffset>895350</wp:posOffset>
              </wp:positionH>
              <wp:positionV relativeFrom="page">
                <wp:posOffset>9257525</wp:posOffset>
              </wp:positionV>
              <wp:extent cx="5982335" cy="6350"/>
              <wp:effectExtent l="0" t="0" r="0" b="0"/>
              <wp:wrapNone/>
              <wp:docPr id="55" name="Graphic 55"/>
              <wp:cNvGraphicFramePr>
                <a:graphicFrameLocks/>
              </wp:cNvGraphicFramePr>
              <a:graphic>
                <a:graphicData uri="http://schemas.microsoft.com/office/word/2010/wordprocessingShape">
                  <wps:wsp>
                    <wps:cNvPr id="55" name="Graphic 55"/>
                    <wps:cNvSpPr/>
                    <wps:spPr>
                      <a:xfrm>
                        <a:off x="0" y="0"/>
                        <a:ext cx="5982335" cy="6350"/>
                      </a:xfrm>
                      <a:custGeom>
                        <a:avLst/>
                        <a:gdLst/>
                        <a:ahLst/>
                        <a:cxnLst/>
                        <a:rect l="l" t="t" r="r" b="b"/>
                        <a:pathLst>
                          <a:path w="5982335" h="6350">
                            <a:moveTo>
                              <a:pt x="5981712" y="0"/>
                            </a:moveTo>
                            <a:lnTo>
                              <a:pt x="0" y="0"/>
                            </a:lnTo>
                            <a:lnTo>
                              <a:pt x="0" y="6108"/>
                            </a:lnTo>
                            <a:lnTo>
                              <a:pt x="5981712" y="6108"/>
                            </a:lnTo>
                            <a:lnTo>
                              <a:pt x="5981712"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rect style="position:absolute;margin-left:70.5pt;margin-top:728.939026pt;width:471.001pt;height:.481pt;mso-position-horizontal-relative:page;mso-position-vertical-relative:page;z-index:-20755968" id="docshape39" filled="true" fillcolor="#d9d9d9" stroked="false">
              <v:fill type="solid"/>
              <w10:wrap type="none"/>
            </v:rect>
          </w:pict>
        </mc:Fallback>
      </mc:AlternateContent>
    </w:r>
    <w:r>
      <w:rPr/>
      <mc:AlternateContent>
        <mc:Choice Requires="wps">
          <w:drawing>
            <wp:anchor distT="0" distB="0" distL="0" distR="0" allowOverlap="1" layoutInCell="1" locked="0" behindDoc="1" simplePos="0" relativeHeight="482561024">
              <wp:simplePos x="0" y="0"/>
              <wp:positionH relativeFrom="page">
                <wp:posOffset>6223253</wp:posOffset>
              </wp:positionH>
              <wp:positionV relativeFrom="page">
                <wp:posOffset>9262882</wp:posOffset>
              </wp:positionV>
              <wp:extent cx="610235" cy="188595"/>
              <wp:effectExtent l="0" t="0" r="0" b="0"/>
              <wp:wrapNone/>
              <wp:docPr id="56" name="Textbox 56"/>
              <wp:cNvGraphicFramePr>
                <a:graphicFrameLocks/>
              </wp:cNvGraphicFramePr>
              <a:graphic>
                <a:graphicData uri="http://schemas.microsoft.com/office/word/2010/wordprocessingShape">
                  <wps:wsp>
                    <wps:cNvPr id="56" name="Textbox 56"/>
                    <wps:cNvSpPr txBox="1"/>
                    <wps:spPr>
                      <a:xfrm>
                        <a:off x="0" y="0"/>
                        <a:ext cx="610235" cy="188595"/>
                      </a:xfrm>
                      <a:prstGeom prst="rect">
                        <a:avLst/>
                      </a:prstGeom>
                    </wps:spPr>
                    <wps:txbx>
                      <w:txbxContent>
                        <w:p>
                          <w:pPr>
                            <w:spacing w:before="17"/>
                            <w:ind w:left="60" w:right="0" w:firstLine="0"/>
                            <w:jc w:val="left"/>
                            <w:rPr>
                              <w:sz w:val="21"/>
                            </w:rPr>
                          </w:pPr>
                          <w:r>
                            <w:rPr>
                              <w:sz w:val="21"/>
                            </w:rPr>
                            <w:fldChar w:fldCharType="begin"/>
                          </w:r>
                          <w:r>
                            <w:rPr>
                              <w:sz w:val="21"/>
                            </w:rPr>
                            <w:instrText> PAGE </w:instrText>
                          </w:r>
                          <w:r>
                            <w:rPr>
                              <w:sz w:val="21"/>
                            </w:rPr>
                            <w:fldChar w:fldCharType="separate"/>
                          </w:r>
                          <w:r>
                            <w:rPr>
                              <w:sz w:val="21"/>
                            </w:rPr>
                            <w:t>8</w:t>
                          </w:r>
                          <w:r>
                            <w:rPr>
                              <w:sz w:val="21"/>
                            </w:rPr>
                            <w:fldChar w:fldCharType="end"/>
                          </w:r>
                          <w:r>
                            <w:rPr>
                              <w:spacing w:val="-5"/>
                              <w:sz w:val="21"/>
                            </w:rPr>
                            <w:t> </w:t>
                          </w:r>
                          <w:r>
                            <w:rPr>
                              <w:w w:val="90"/>
                              <w:sz w:val="21"/>
                            </w:rPr>
                            <w:t>| </w:t>
                          </w:r>
                          <w:r>
                            <w:rPr>
                              <w:color w:val="7E7E7E"/>
                              <w:spacing w:val="12"/>
                              <w:sz w:val="21"/>
                            </w:rPr>
                            <w:t>P</w:t>
                          </w:r>
                          <w:r>
                            <w:rPr>
                              <w:color w:val="7E7E7E"/>
                              <w:sz w:val="21"/>
                            </w:rPr>
                            <w:t> </w:t>
                          </w:r>
                          <w:r>
                            <w:rPr>
                              <w:color w:val="7E7E7E"/>
                              <w:spacing w:val="12"/>
                              <w:sz w:val="21"/>
                            </w:rPr>
                            <w:t>a</w:t>
                          </w:r>
                          <w:r>
                            <w:rPr>
                              <w:color w:val="7E7E7E"/>
                              <w:sz w:val="21"/>
                            </w:rPr>
                            <w:t> g</w:t>
                          </w:r>
                          <w:r>
                            <w:rPr>
                              <w:color w:val="7E7E7E"/>
                              <w:spacing w:val="11"/>
                              <w:sz w:val="21"/>
                            </w:rPr>
                            <w:t> </w:t>
                          </w:r>
                          <w:r>
                            <w:rPr>
                              <w:color w:val="7E7E7E"/>
                              <w:spacing w:val="-10"/>
                              <w:sz w:val="21"/>
                            </w:rPr>
                            <w:t>e</w:t>
                          </w:r>
                        </w:p>
                      </w:txbxContent>
                    </wps:txbx>
                    <wps:bodyPr wrap="square" lIns="0" tIns="0" rIns="0" bIns="0" rtlCol="0">
                      <a:noAutofit/>
                    </wps:bodyPr>
                  </wps:wsp>
                </a:graphicData>
              </a:graphic>
            </wp:anchor>
          </w:drawing>
        </mc:Choice>
        <mc:Fallback>
          <w:pict>
            <v:shape style="position:absolute;margin-left:490.019989pt;margin-top:729.36084pt;width:48.05pt;height:14.85pt;mso-position-horizontal-relative:page;mso-position-vertical-relative:page;z-index:-20755456" type="#_x0000_t202" id="docshape40" filled="false" stroked="false">
              <v:textbox inset="0,0,0,0">
                <w:txbxContent>
                  <w:p>
                    <w:pPr>
                      <w:spacing w:before="17"/>
                      <w:ind w:left="60" w:right="0" w:firstLine="0"/>
                      <w:jc w:val="left"/>
                      <w:rPr>
                        <w:sz w:val="21"/>
                      </w:rPr>
                    </w:pPr>
                    <w:r>
                      <w:rPr>
                        <w:sz w:val="21"/>
                      </w:rPr>
                      <w:fldChar w:fldCharType="begin"/>
                    </w:r>
                    <w:r>
                      <w:rPr>
                        <w:sz w:val="21"/>
                      </w:rPr>
                      <w:instrText> PAGE </w:instrText>
                    </w:r>
                    <w:r>
                      <w:rPr>
                        <w:sz w:val="21"/>
                      </w:rPr>
                      <w:fldChar w:fldCharType="separate"/>
                    </w:r>
                    <w:r>
                      <w:rPr>
                        <w:sz w:val="21"/>
                      </w:rPr>
                      <w:t>8</w:t>
                    </w:r>
                    <w:r>
                      <w:rPr>
                        <w:sz w:val="21"/>
                      </w:rPr>
                      <w:fldChar w:fldCharType="end"/>
                    </w:r>
                    <w:r>
                      <w:rPr>
                        <w:spacing w:val="-5"/>
                        <w:sz w:val="21"/>
                      </w:rPr>
                      <w:t> </w:t>
                    </w:r>
                    <w:r>
                      <w:rPr>
                        <w:w w:val="90"/>
                        <w:sz w:val="21"/>
                      </w:rPr>
                      <w:t>| </w:t>
                    </w:r>
                    <w:r>
                      <w:rPr>
                        <w:color w:val="7E7E7E"/>
                        <w:spacing w:val="12"/>
                        <w:sz w:val="21"/>
                      </w:rPr>
                      <w:t>P</w:t>
                    </w:r>
                    <w:r>
                      <w:rPr>
                        <w:color w:val="7E7E7E"/>
                        <w:sz w:val="21"/>
                      </w:rPr>
                      <w:t> </w:t>
                    </w:r>
                    <w:r>
                      <w:rPr>
                        <w:color w:val="7E7E7E"/>
                        <w:spacing w:val="12"/>
                        <w:sz w:val="21"/>
                      </w:rPr>
                      <w:t>a</w:t>
                    </w:r>
                    <w:r>
                      <w:rPr>
                        <w:color w:val="7E7E7E"/>
                        <w:sz w:val="21"/>
                      </w:rPr>
                      <w:t> g</w:t>
                    </w:r>
                    <w:r>
                      <w:rPr>
                        <w:color w:val="7E7E7E"/>
                        <w:spacing w:val="11"/>
                        <w:sz w:val="21"/>
                      </w:rPr>
                      <w:t> </w:t>
                    </w:r>
                    <w:r>
                      <w:rPr>
                        <w:color w:val="7E7E7E"/>
                        <w:spacing w:val="-10"/>
                        <w:sz w:val="21"/>
                      </w:rPr>
                      <w:t>e</w:t>
                    </w:r>
                  </w:p>
                </w:txbxContent>
              </v:textbox>
              <w10:wrap type="none"/>
            </v:shape>
          </w:pict>
        </mc:Fallback>
      </mc:AlternateContent>
    </w:r>
  </w:p>
</w:ftr>
</file>

<file path=word/footer1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2561536">
              <wp:simplePos x="0" y="0"/>
              <wp:positionH relativeFrom="page">
                <wp:posOffset>895350</wp:posOffset>
              </wp:positionH>
              <wp:positionV relativeFrom="page">
                <wp:posOffset>9257525</wp:posOffset>
              </wp:positionV>
              <wp:extent cx="5982335" cy="6350"/>
              <wp:effectExtent l="0" t="0" r="0" b="0"/>
              <wp:wrapNone/>
              <wp:docPr id="57" name="Graphic 57"/>
              <wp:cNvGraphicFramePr>
                <a:graphicFrameLocks/>
              </wp:cNvGraphicFramePr>
              <a:graphic>
                <a:graphicData uri="http://schemas.microsoft.com/office/word/2010/wordprocessingShape">
                  <wps:wsp>
                    <wps:cNvPr id="57" name="Graphic 57"/>
                    <wps:cNvSpPr/>
                    <wps:spPr>
                      <a:xfrm>
                        <a:off x="0" y="0"/>
                        <a:ext cx="5982335" cy="6350"/>
                      </a:xfrm>
                      <a:custGeom>
                        <a:avLst/>
                        <a:gdLst/>
                        <a:ahLst/>
                        <a:cxnLst/>
                        <a:rect l="l" t="t" r="r" b="b"/>
                        <a:pathLst>
                          <a:path w="5982335" h="6350">
                            <a:moveTo>
                              <a:pt x="5981712" y="0"/>
                            </a:moveTo>
                            <a:lnTo>
                              <a:pt x="0" y="0"/>
                            </a:lnTo>
                            <a:lnTo>
                              <a:pt x="0" y="6108"/>
                            </a:lnTo>
                            <a:lnTo>
                              <a:pt x="5981712" y="6108"/>
                            </a:lnTo>
                            <a:lnTo>
                              <a:pt x="5981712"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rect style="position:absolute;margin-left:70.5pt;margin-top:728.939026pt;width:471.001pt;height:.481pt;mso-position-horizontal-relative:page;mso-position-vertical-relative:page;z-index:-20754944" id="docshape41" filled="true" fillcolor="#d9d9d9" stroked="false">
              <v:fill type="solid"/>
              <w10:wrap type="none"/>
            </v:rect>
          </w:pict>
        </mc:Fallback>
      </mc:AlternateContent>
    </w:r>
    <w:r>
      <w:rPr/>
      <mc:AlternateContent>
        <mc:Choice Requires="wps">
          <w:drawing>
            <wp:anchor distT="0" distB="0" distL="0" distR="0" allowOverlap="1" layoutInCell="1" locked="0" behindDoc="1" simplePos="0" relativeHeight="482562048">
              <wp:simplePos x="0" y="0"/>
              <wp:positionH relativeFrom="page">
                <wp:posOffset>6152388</wp:posOffset>
              </wp:positionH>
              <wp:positionV relativeFrom="page">
                <wp:posOffset>9262882</wp:posOffset>
              </wp:positionV>
              <wp:extent cx="681355" cy="188595"/>
              <wp:effectExtent l="0" t="0" r="0" b="0"/>
              <wp:wrapNone/>
              <wp:docPr id="58" name="Textbox 58"/>
              <wp:cNvGraphicFramePr>
                <a:graphicFrameLocks/>
              </wp:cNvGraphicFramePr>
              <a:graphic>
                <a:graphicData uri="http://schemas.microsoft.com/office/word/2010/wordprocessingShape">
                  <wps:wsp>
                    <wps:cNvPr id="58" name="Textbox 58"/>
                    <wps:cNvSpPr txBox="1"/>
                    <wps:spPr>
                      <a:xfrm>
                        <a:off x="0" y="0"/>
                        <a:ext cx="681355" cy="188595"/>
                      </a:xfrm>
                      <a:prstGeom prst="rect">
                        <a:avLst/>
                      </a:prstGeom>
                    </wps:spPr>
                    <wps:txbx>
                      <w:txbxContent>
                        <w:p>
                          <w:pPr>
                            <w:spacing w:before="17"/>
                            <w:ind w:left="60" w:right="0" w:firstLine="0"/>
                            <w:jc w:val="left"/>
                            <w:rPr>
                              <w:sz w:val="21"/>
                            </w:rPr>
                          </w:pPr>
                          <w:r>
                            <w:rPr>
                              <w:sz w:val="21"/>
                            </w:rPr>
                            <w:fldChar w:fldCharType="begin"/>
                          </w:r>
                          <w:r>
                            <w:rPr>
                              <w:sz w:val="21"/>
                            </w:rPr>
                            <w:instrText> PAGE </w:instrText>
                          </w:r>
                          <w:r>
                            <w:rPr>
                              <w:sz w:val="21"/>
                            </w:rPr>
                            <w:fldChar w:fldCharType="separate"/>
                          </w:r>
                          <w:r>
                            <w:rPr>
                              <w:sz w:val="21"/>
                            </w:rPr>
                            <w:t>10</w:t>
                          </w:r>
                          <w:r>
                            <w:rPr>
                              <w:sz w:val="21"/>
                            </w:rPr>
                            <w:fldChar w:fldCharType="end"/>
                          </w:r>
                          <w:r>
                            <w:rPr>
                              <w:spacing w:val="-4"/>
                              <w:sz w:val="21"/>
                            </w:rPr>
                            <w:t> </w:t>
                          </w:r>
                          <w:r>
                            <w:rPr>
                              <w:w w:val="90"/>
                              <w:sz w:val="21"/>
                            </w:rPr>
                            <w:t>| </w:t>
                          </w:r>
                          <w:r>
                            <w:rPr>
                              <w:color w:val="7E7E7E"/>
                              <w:spacing w:val="12"/>
                              <w:sz w:val="21"/>
                            </w:rPr>
                            <w:t>P</w:t>
                          </w:r>
                          <w:r>
                            <w:rPr>
                              <w:color w:val="7E7E7E"/>
                              <w:spacing w:val="1"/>
                              <w:sz w:val="21"/>
                            </w:rPr>
                            <w:t> </w:t>
                          </w:r>
                          <w:r>
                            <w:rPr>
                              <w:color w:val="7E7E7E"/>
                              <w:spacing w:val="12"/>
                              <w:sz w:val="21"/>
                            </w:rPr>
                            <w:t>a</w:t>
                          </w:r>
                          <w:r>
                            <w:rPr>
                              <w:color w:val="7E7E7E"/>
                              <w:spacing w:val="1"/>
                              <w:sz w:val="21"/>
                            </w:rPr>
                            <w:t> </w:t>
                          </w:r>
                          <w:r>
                            <w:rPr>
                              <w:color w:val="7E7E7E"/>
                              <w:sz w:val="21"/>
                            </w:rPr>
                            <w:t>g</w:t>
                          </w:r>
                          <w:r>
                            <w:rPr>
                              <w:color w:val="7E7E7E"/>
                              <w:spacing w:val="13"/>
                              <w:sz w:val="21"/>
                            </w:rPr>
                            <w:t> </w:t>
                          </w:r>
                          <w:r>
                            <w:rPr>
                              <w:color w:val="7E7E7E"/>
                              <w:spacing w:val="-10"/>
                              <w:sz w:val="21"/>
                            </w:rPr>
                            <w:t>e</w:t>
                          </w:r>
                        </w:p>
                      </w:txbxContent>
                    </wps:txbx>
                    <wps:bodyPr wrap="square" lIns="0" tIns="0" rIns="0" bIns="0" rtlCol="0">
                      <a:noAutofit/>
                    </wps:bodyPr>
                  </wps:wsp>
                </a:graphicData>
              </a:graphic>
            </wp:anchor>
          </w:drawing>
        </mc:Choice>
        <mc:Fallback>
          <w:pict>
            <v:shape style="position:absolute;margin-left:484.440002pt;margin-top:729.36084pt;width:53.65pt;height:14.85pt;mso-position-horizontal-relative:page;mso-position-vertical-relative:page;z-index:-20754432" type="#_x0000_t202" id="docshape42" filled="false" stroked="false">
              <v:textbox inset="0,0,0,0">
                <w:txbxContent>
                  <w:p>
                    <w:pPr>
                      <w:spacing w:before="17"/>
                      <w:ind w:left="60" w:right="0" w:firstLine="0"/>
                      <w:jc w:val="left"/>
                      <w:rPr>
                        <w:sz w:val="21"/>
                      </w:rPr>
                    </w:pPr>
                    <w:r>
                      <w:rPr>
                        <w:sz w:val="21"/>
                      </w:rPr>
                      <w:fldChar w:fldCharType="begin"/>
                    </w:r>
                    <w:r>
                      <w:rPr>
                        <w:sz w:val="21"/>
                      </w:rPr>
                      <w:instrText> PAGE </w:instrText>
                    </w:r>
                    <w:r>
                      <w:rPr>
                        <w:sz w:val="21"/>
                      </w:rPr>
                      <w:fldChar w:fldCharType="separate"/>
                    </w:r>
                    <w:r>
                      <w:rPr>
                        <w:sz w:val="21"/>
                      </w:rPr>
                      <w:t>10</w:t>
                    </w:r>
                    <w:r>
                      <w:rPr>
                        <w:sz w:val="21"/>
                      </w:rPr>
                      <w:fldChar w:fldCharType="end"/>
                    </w:r>
                    <w:r>
                      <w:rPr>
                        <w:spacing w:val="-4"/>
                        <w:sz w:val="21"/>
                      </w:rPr>
                      <w:t> </w:t>
                    </w:r>
                    <w:r>
                      <w:rPr>
                        <w:w w:val="90"/>
                        <w:sz w:val="21"/>
                      </w:rPr>
                      <w:t>| </w:t>
                    </w:r>
                    <w:r>
                      <w:rPr>
                        <w:color w:val="7E7E7E"/>
                        <w:spacing w:val="12"/>
                        <w:sz w:val="21"/>
                      </w:rPr>
                      <w:t>P</w:t>
                    </w:r>
                    <w:r>
                      <w:rPr>
                        <w:color w:val="7E7E7E"/>
                        <w:spacing w:val="1"/>
                        <w:sz w:val="21"/>
                      </w:rPr>
                      <w:t> </w:t>
                    </w:r>
                    <w:r>
                      <w:rPr>
                        <w:color w:val="7E7E7E"/>
                        <w:spacing w:val="12"/>
                        <w:sz w:val="21"/>
                      </w:rPr>
                      <w:t>a</w:t>
                    </w:r>
                    <w:r>
                      <w:rPr>
                        <w:color w:val="7E7E7E"/>
                        <w:spacing w:val="1"/>
                        <w:sz w:val="21"/>
                      </w:rPr>
                      <w:t> </w:t>
                    </w:r>
                    <w:r>
                      <w:rPr>
                        <w:color w:val="7E7E7E"/>
                        <w:sz w:val="21"/>
                      </w:rPr>
                      <w:t>g</w:t>
                    </w:r>
                    <w:r>
                      <w:rPr>
                        <w:color w:val="7E7E7E"/>
                        <w:spacing w:val="13"/>
                        <w:sz w:val="21"/>
                      </w:rPr>
                      <w:t> </w:t>
                    </w:r>
                    <w:r>
                      <w:rPr>
                        <w:color w:val="7E7E7E"/>
                        <w:spacing w:val="-10"/>
                        <w:sz w:val="21"/>
                      </w:rPr>
                      <w:t>e</w:t>
                    </w:r>
                  </w:p>
                </w:txbxContent>
              </v:textbox>
              <w10:wrap type="none"/>
            </v:shape>
          </w:pict>
        </mc:Fallback>
      </mc:AlternateContent>
    </w:r>
  </w:p>
</w:ftr>
</file>

<file path=word/footer1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2562560">
              <wp:simplePos x="0" y="0"/>
              <wp:positionH relativeFrom="page">
                <wp:posOffset>895350</wp:posOffset>
              </wp:positionH>
              <wp:positionV relativeFrom="page">
                <wp:posOffset>9257525</wp:posOffset>
              </wp:positionV>
              <wp:extent cx="5982335" cy="6350"/>
              <wp:effectExtent l="0" t="0" r="0" b="0"/>
              <wp:wrapNone/>
              <wp:docPr id="59" name="Graphic 59"/>
              <wp:cNvGraphicFramePr>
                <a:graphicFrameLocks/>
              </wp:cNvGraphicFramePr>
              <a:graphic>
                <a:graphicData uri="http://schemas.microsoft.com/office/word/2010/wordprocessingShape">
                  <wps:wsp>
                    <wps:cNvPr id="59" name="Graphic 59"/>
                    <wps:cNvSpPr/>
                    <wps:spPr>
                      <a:xfrm>
                        <a:off x="0" y="0"/>
                        <a:ext cx="5982335" cy="6350"/>
                      </a:xfrm>
                      <a:custGeom>
                        <a:avLst/>
                        <a:gdLst/>
                        <a:ahLst/>
                        <a:cxnLst/>
                        <a:rect l="l" t="t" r="r" b="b"/>
                        <a:pathLst>
                          <a:path w="5982335" h="6350">
                            <a:moveTo>
                              <a:pt x="5981712" y="0"/>
                            </a:moveTo>
                            <a:lnTo>
                              <a:pt x="0" y="0"/>
                            </a:lnTo>
                            <a:lnTo>
                              <a:pt x="0" y="6108"/>
                            </a:lnTo>
                            <a:lnTo>
                              <a:pt x="5981712" y="6108"/>
                            </a:lnTo>
                            <a:lnTo>
                              <a:pt x="5981712"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rect style="position:absolute;margin-left:70.5pt;margin-top:728.939026pt;width:471.001pt;height:.481pt;mso-position-horizontal-relative:page;mso-position-vertical-relative:page;z-index:-20753920" id="docshape43" filled="true" fillcolor="#d9d9d9" stroked="false">
              <v:fill type="solid"/>
              <w10:wrap type="none"/>
            </v:rect>
          </w:pict>
        </mc:Fallback>
      </mc:AlternateContent>
    </w:r>
    <w:r>
      <w:rPr/>
      <mc:AlternateContent>
        <mc:Choice Requires="wps">
          <w:drawing>
            <wp:anchor distT="0" distB="0" distL="0" distR="0" allowOverlap="1" layoutInCell="1" locked="0" behindDoc="1" simplePos="0" relativeHeight="482563072">
              <wp:simplePos x="0" y="0"/>
              <wp:positionH relativeFrom="page">
                <wp:posOffset>6152388</wp:posOffset>
              </wp:positionH>
              <wp:positionV relativeFrom="page">
                <wp:posOffset>9262882</wp:posOffset>
              </wp:positionV>
              <wp:extent cx="681355" cy="188595"/>
              <wp:effectExtent l="0" t="0" r="0" b="0"/>
              <wp:wrapNone/>
              <wp:docPr id="60" name="Textbox 60"/>
              <wp:cNvGraphicFramePr>
                <a:graphicFrameLocks/>
              </wp:cNvGraphicFramePr>
              <a:graphic>
                <a:graphicData uri="http://schemas.microsoft.com/office/word/2010/wordprocessingShape">
                  <wps:wsp>
                    <wps:cNvPr id="60" name="Textbox 60"/>
                    <wps:cNvSpPr txBox="1"/>
                    <wps:spPr>
                      <a:xfrm>
                        <a:off x="0" y="0"/>
                        <a:ext cx="681355" cy="188595"/>
                      </a:xfrm>
                      <a:prstGeom prst="rect">
                        <a:avLst/>
                      </a:prstGeom>
                    </wps:spPr>
                    <wps:txbx>
                      <w:txbxContent>
                        <w:p>
                          <w:pPr>
                            <w:spacing w:before="17"/>
                            <w:ind w:left="60" w:right="0" w:firstLine="0"/>
                            <w:jc w:val="left"/>
                            <w:rPr>
                              <w:sz w:val="21"/>
                            </w:rPr>
                          </w:pPr>
                          <w:r>
                            <w:rPr>
                              <w:sz w:val="21"/>
                            </w:rPr>
                            <w:fldChar w:fldCharType="begin"/>
                          </w:r>
                          <w:r>
                            <w:rPr>
                              <w:sz w:val="21"/>
                            </w:rPr>
                            <w:instrText> PAGE </w:instrText>
                          </w:r>
                          <w:r>
                            <w:rPr>
                              <w:sz w:val="21"/>
                            </w:rPr>
                            <w:fldChar w:fldCharType="separate"/>
                          </w:r>
                          <w:r>
                            <w:rPr>
                              <w:sz w:val="21"/>
                            </w:rPr>
                            <w:t>10</w:t>
                          </w:r>
                          <w:r>
                            <w:rPr>
                              <w:sz w:val="21"/>
                            </w:rPr>
                            <w:fldChar w:fldCharType="end"/>
                          </w:r>
                          <w:r>
                            <w:rPr>
                              <w:spacing w:val="-4"/>
                              <w:sz w:val="21"/>
                            </w:rPr>
                            <w:t> </w:t>
                          </w:r>
                          <w:r>
                            <w:rPr>
                              <w:w w:val="90"/>
                              <w:sz w:val="21"/>
                            </w:rPr>
                            <w:t>| </w:t>
                          </w:r>
                          <w:r>
                            <w:rPr>
                              <w:color w:val="7E7E7E"/>
                              <w:spacing w:val="12"/>
                              <w:sz w:val="21"/>
                            </w:rPr>
                            <w:t>P</w:t>
                          </w:r>
                          <w:r>
                            <w:rPr>
                              <w:color w:val="7E7E7E"/>
                              <w:spacing w:val="1"/>
                              <w:sz w:val="21"/>
                            </w:rPr>
                            <w:t> </w:t>
                          </w:r>
                          <w:r>
                            <w:rPr>
                              <w:color w:val="7E7E7E"/>
                              <w:spacing w:val="12"/>
                              <w:sz w:val="21"/>
                            </w:rPr>
                            <w:t>a</w:t>
                          </w:r>
                          <w:r>
                            <w:rPr>
                              <w:color w:val="7E7E7E"/>
                              <w:spacing w:val="1"/>
                              <w:sz w:val="21"/>
                            </w:rPr>
                            <w:t> </w:t>
                          </w:r>
                          <w:r>
                            <w:rPr>
                              <w:color w:val="7E7E7E"/>
                              <w:sz w:val="21"/>
                            </w:rPr>
                            <w:t>g</w:t>
                          </w:r>
                          <w:r>
                            <w:rPr>
                              <w:color w:val="7E7E7E"/>
                              <w:spacing w:val="13"/>
                              <w:sz w:val="21"/>
                            </w:rPr>
                            <w:t> </w:t>
                          </w:r>
                          <w:r>
                            <w:rPr>
                              <w:color w:val="7E7E7E"/>
                              <w:spacing w:val="-10"/>
                              <w:sz w:val="21"/>
                            </w:rPr>
                            <w:t>e</w:t>
                          </w:r>
                        </w:p>
                      </w:txbxContent>
                    </wps:txbx>
                    <wps:bodyPr wrap="square" lIns="0" tIns="0" rIns="0" bIns="0" rtlCol="0">
                      <a:noAutofit/>
                    </wps:bodyPr>
                  </wps:wsp>
                </a:graphicData>
              </a:graphic>
            </wp:anchor>
          </w:drawing>
        </mc:Choice>
        <mc:Fallback>
          <w:pict>
            <v:shape style="position:absolute;margin-left:484.440002pt;margin-top:729.36084pt;width:53.65pt;height:14.85pt;mso-position-horizontal-relative:page;mso-position-vertical-relative:page;z-index:-20753408" type="#_x0000_t202" id="docshape44" filled="false" stroked="false">
              <v:textbox inset="0,0,0,0">
                <w:txbxContent>
                  <w:p>
                    <w:pPr>
                      <w:spacing w:before="17"/>
                      <w:ind w:left="60" w:right="0" w:firstLine="0"/>
                      <w:jc w:val="left"/>
                      <w:rPr>
                        <w:sz w:val="21"/>
                      </w:rPr>
                    </w:pPr>
                    <w:r>
                      <w:rPr>
                        <w:sz w:val="21"/>
                      </w:rPr>
                      <w:fldChar w:fldCharType="begin"/>
                    </w:r>
                    <w:r>
                      <w:rPr>
                        <w:sz w:val="21"/>
                      </w:rPr>
                      <w:instrText> PAGE </w:instrText>
                    </w:r>
                    <w:r>
                      <w:rPr>
                        <w:sz w:val="21"/>
                      </w:rPr>
                      <w:fldChar w:fldCharType="separate"/>
                    </w:r>
                    <w:r>
                      <w:rPr>
                        <w:sz w:val="21"/>
                      </w:rPr>
                      <w:t>10</w:t>
                    </w:r>
                    <w:r>
                      <w:rPr>
                        <w:sz w:val="21"/>
                      </w:rPr>
                      <w:fldChar w:fldCharType="end"/>
                    </w:r>
                    <w:r>
                      <w:rPr>
                        <w:spacing w:val="-4"/>
                        <w:sz w:val="21"/>
                      </w:rPr>
                      <w:t> </w:t>
                    </w:r>
                    <w:r>
                      <w:rPr>
                        <w:w w:val="90"/>
                        <w:sz w:val="21"/>
                      </w:rPr>
                      <w:t>| </w:t>
                    </w:r>
                    <w:r>
                      <w:rPr>
                        <w:color w:val="7E7E7E"/>
                        <w:spacing w:val="12"/>
                        <w:sz w:val="21"/>
                      </w:rPr>
                      <w:t>P</w:t>
                    </w:r>
                    <w:r>
                      <w:rPr>
                        <w:color w:val="7E7E7E"/>
                        <w:spacing w:val="1"/>
                        <w:sz w:val="21"/>
                      </w:rPr>
                      <w:t> </w:t>
                    </w:r>
                    <w:r>
                      <w:rPr>
                        <w:color w:val="7E7E7E"/>
                        <w:spacing w:val="12"/>
                        <w:sz w:val="21"/>
                      </w:rPr>
                      <w:t>a</w:t>
                    </w:r>
                    <w:r>
                      <w:rPr>
                        <w:color w:val="7E7E7E"/>
                        <w:spacing w:val="1"/>
                        <w:sz w:val="21"/>
                      </w:rPr>
                      <w:t> </w:t>
                    </w:r>
                    <w:r>
                      <w:rPr>
                        <w:color w:val="7E7E7E"/>
                        <w:sz w:val="21"/>
                      </w:rPr>
                      <w:t>g</w:t>
                    </w:r>
                    <w:r>
                      <w:rPr>
                        <w:color w:val="7E7E7E"/>
                        <w:spacing w:val="13"/>
                        <w:sz w:val="21"/>
                      </w:rPr>
                      <w:t> </w:t>
                    </w:r>
                    <w:r>
                      <w:rPr>
                        <w:color w:val="7E7E7E"/>
                        <w:spacing w:val="-10"/>
                        <w:sz w:val="21"/>
                      </w:rPr>
                      <w:t>e</w:t>
                    </w:r>
                  </w:p>
                </w:txbxContent>
              </v:textbox>
              <w10:wrap type="none"/>
            </v:shape>
          </w:pict>
        </mc:Fallback>
      </mc:AlternateContent>
    </w:r>
  </w:p>
</w:ftr>
</file>

<file path=word/footer1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2563584">
              <wp:simplePos x="0" y="0"/>
              <wp:positionH relativeFrom="page">
                <wp:posOffset>895350</wp:posOffset>
              </wp:positionH>
              <wp:positionV relativeFrom="page">
                <wp:posOffset>9257525</wp:posOffset>
              </wp:positionV>
              <wp:extent cx="5982335" cy="6350"/>
              <wp:effectExtent l="0" t="0" r="0" b="0"/>
              <wp:wrapNone/>
              <wp:docPr id="61" name="Graphic 61"/>
              <wp:cNvGraphicFramePr>
                <a:graphicFrameLocks/>
              </wp:cNvGraphicFramePr>
              <a:graphic>
                <a:graphicData uri="http://schemas.microsoft.com/office/word/2010/wordprocessingShape">
                  <wps:wsp>
                    <wps:cNvPr id="61" name="Graphic 61"/>
                    <wps:cNvSpPr/>
                    <wps:spPr>
                      <a:xfrm>
                        <a:off x="0" y="0"/>
                        <a:ext cx="5982335" cy="6350"/>
                      </a:xfrm>
                      <a:custGeom>
                        <a:avLst/>
                        <a:gdLst/>
                        <a:ahLst/>
                        <a:cxnLst/>
                        <a:rect l="l" t="t" r="r" b="b"/>
                        <a:pathLst>
                          <a:path w="5982335" h="6350">
                            <a:moveTo>
                              <a:pt x="5981712" y="0"/>
                            </a:moveTo>
                            <a:lnTo>
                              <a:pt x="0" y="0"/>
                            </a:lnTo>
                            <a:lnTo>
                              <a:pt x="0" y="6108"/>
                            </a:lnTo>
                            <a:lnTo>
                              <a:pt x="5981712" y="6108"/>
                            </a:lnTo>
                            <a:lnTo>
                              <a:pt x="5981712"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rect style="position:absolute;margin-left:70.5pt;margin-top:728.939026pt;width:471.001pt;height:.481pt;mso-position-horizontal-relative:page;mso-position-vertical-relative:page;z-index:-20752896" id="docshape45" filled="true" fillcolor="#d9d9d9" stroked="false">
              <v:fill type="solid"/>
              <w10:wrap type="none"/>
            </v:rect>
          </w:pict>
        </mc:Fallback>
      </mc:AlternateContent>
    </w:r>
    <w:r>
      <w:rPr/>
      <mc:AlternateContent>
        <mc:Choice Requires="wps">
          <w:drawing>
            <wp:anchor distT="0" distB="0" distL="0" distR="0" allowOverlap="1" layoutInCell="1" locked="0" behindDoc="1" simplePos="0" relativeHeight="482564096">
              <wp:simplePos x="0" y="0"/>
              <wp:positionH relativeFrom="page">
                <wp:posOffset>6152388</wp:posOffset>
              </wp:positionH>
              <wp:positionV relativeFrom="page">
                <wp:posOffset>9262882</wp:posOffset>
              </wp:positionV>
              <wp:extent cx="681355" cy="188595"/>
              <wp:effectExtent l="0" t="0" r="0" b="0"/>
              <wp:wrapNone/>
              <wp:docPr id="62" name="Textbox 62"/>
              <wp:cNvGraphicFramePr>
                <a:graphicFrameLocks/>
              </wp:cNvGraphicFramePr>
              <a:graphic>
                <a:graphicData uri="http://schemas.microsoft.com/office/word/2010/wordprocessingShape">
                  <wps:wsp>
                    <wps:cNvPr id="62" name="Textbox 62"/>
                    <wps:cNvSpPr txBox="1"/>
                    <wps:spPr>
                      <a:xfrm>
                        <a:off x="0" y="0"/>
                        <a:ext cx="681355" cy="188595"/>
                      </a:xfrm>
                      <a:prstGeom prst="rect">
                        <a:avLst/>
                      </a:prstGeom>
                    </wps:spPr>
                    <wps:txbx>
                      <w:txbxContent>
                        <w:p>
                          <w:pPr>
                            <w:spacing w:before="17"/>
                            <w:ind w:left="60" w:right="0" w:firstLine="0"/>
                            <w:jc w:val="left"/>
                            <w:rPr>
                              <w:sz w:val="21"/>
                            </w:rPr>
                          </w:pPr>
                          <w:r>
                            <w:rPr>
                              <w:sz w:val="21"/>
                            </w:rPr>
                            <w:fldChar w:fldCharType="begin"/>
                          </w:r>
                          <w:r>
                            <w:rPr>
                              <w:sz w:val="21"/>
                            </w:rPr>
                            <w:instrText> PAGE </w:instrText>
                          </w:r>
                          <w:r>
                            <w:rPr>
                              <w:sz w:val="21"/>
                            </w:rPr>
                            <w:fldChar w:fldCharType="separate"/>
                          </w:r>
                          <w:r>
                            <w:rPr>
                              <w:sz w:val="21"/>
                            </w:rPr>
                            <w:t>11</w:t>
                          </w:r>
                          <w:r>
                            <w:rPr>
                              <w:sz w:val="21"/>
                            </w:rPr>
                            <w:fldChar w:fldCharType="end"/>
                          </w:r>
                          <w:r>
                            <w:rPr>
                              <w:spacing w:val="-4"/>
                              <w:sz w:val="21"/>
                            </w:rPr>
                            <w:t> </w:t>
                          </w:r>
                          <w:r>
                            <w:rPr>
                              <w:w w:val="90"/>
                              <w:sz w:val="21"/>
                            </w:rPr>
                            <w:t>| </w:t>
                          </w:r>
                          <w:r>
                            <w:rPr>
                              <w:color w:val="7E7E7E"/>
                              <w:spacing w:val="12"/>
                              <w:sz w:val="21"/>
                            </w:rPr>
                            <w:t>P</w:t>
                          </w:r>
                          <w:r>
                            <w:rPr>
                              <w:color w:val="7E7E7E"/>
                              <w:spacing w:val="1"/>
                              <w:sz w:val="21"/>
                            </w:rPr>
                            <w:t> </w:t>
                          </w:r>
                          <w:r>
                            <w:rPr>
                              <w:color w:val="7E7E7E"/>
                              <w:spacing w:val="12"/>
                              <w:sz w:val="21"/>
                            </w:rPr>
                            <w:t>a</w:t>
                          </w:r>
                          <w:r>
                            <w:rPr>
                              <w:color w:val="7E7E7E"/>
                              <w:spacing w:val="1"/>
                              <w:sz w:val="21"/>
                            </w:rPr>
                            <w:t> </w:t>
                          </w:r>
                          <w:r>
                            <w:rPr>
                              <w:color w:val="7E7E7E"/>
                              <w:sz w:val="21"/>
                            </w:rPr>
                            <w:t>g</w:t>
                          </w:r>
                          <w:r>
                            <w:rPr>
                              <w:color w:val="7E7E7E"/>
                              <w:spacing w:val="13"/>
                              <w:sz w:val="21"/>
                            </w:rPr>
                            <w:t> </w:t>
                          </w:r>
                          <w:r>
                            <w:rPr>
                              <w:color w:val="7E7E7E"/>
                              <w:spacing w:val="-10"/>
                              <w:sz w:val="21"/>
                            </w:rPr>
                            <w:t>e</w:t>
                          </w:r>
                        </w:p>
                      </w:txbxContent>
                    </wps:txbx>
                    <wps:bodyPr wrap="square" lIns="0" tIns="0" rIns="0" bIns="0" rtlCol="0">
                      <a:noAutofit/>
                    </wps:bodyPr>
                  </wps:wsp>
                </a:graphicData>
              </a:graphic>
            </wp:anchor>
          </w:drawing>
        </mc:Choice>
        <mc:Fallback>
          <w:pict>
            <v:shape style="position:absolute;margin-left:484.440002pt;margin-top:729.36084pt;width:53.65pt;height:14.85pt;mso-position-horizontal-relative:page;mso-position-vertical-relative:page;z-index:-20752384" type="#_x0000_t202" id="docshape46" filled="false" stroked="false">
              <v:textbox inset="0,0,0,0">
                <w:txbxContent>
                  <w:p>
                    <w:pPr>
                      <w:spacing w:before="17"/>
                      <w:ind w:left="60" w:right="0" w:firstLine="0"/>
                      <w:jc w:val="left"/>
                      <w:rPr>
                        <w:sz w:val="21"/>
                      </w:rPr>
                    </w:pPr>
                    <w:r>
                      <w:rPr>
                        <w:sz w:val="21"/>
                      </w:rPr>
                      <w:fldChar w:fldCharType="begin"/>
                    </w:r>
                    <w:r>
                      <w:rPr>
                        <w:sz w:val="21"/>
                      </w:rPr>
                      <w:instrText> PAGE </w:instrText>
                    </w:r>
                    <w:r>
                      <w:rPr>
                        <w:sz w:val="21"/>
                      </w:rPr>
                      <w:fldChar w:fldCharType="separate"/>
                    </w:r>
                    <w:r>
                      <w:rPr>
                        <w:sz w:val="21"/>
                      </w:rPr>
                      <w:t>11</w:t>
                    </w:r>
                    <w:r>
                      <w:rPr>
                        <w:sz w:val="21"/>
                      </w:rPr>
                      <w:fldChar w:fldCharType="end"/>
                    </w:r>
                    <w:r>
                      <w:rPr>
                        <w:spacing w:val="-4"/>
                        <w:sz w:val="21"/>
                      </w:rPr>
                      <w:t> </w:t>
                    </w:r>
                    <w:r>
                      <w:rPr>
                        <w:w w:val="90"/>
                        <w:sz w:val="21"/>
                      </w:rPr>
                      <w:t>| </w:t>
                    </w:r>
                    <w:r>
                      <w:rPr>
                        <w:color w:val="7E7E7E"/>
                        <w:spacing w:val="12"/>
                        <w:sz w:val="21"/>
                      </w:rPr>
                      <w:t>P</w:t>
                    </w:r>
                    <w:r>
                      <w:rPr>
                        <w:color w:val="7E7E7E"/>
                        <w:spacing w:val="1"/>
                        <w:sz w:val="21"/>
                      </w:rPr>
                      <w:t> </w:t>
                    </w:r>
                    <w:r>
                      <w:rPr>
                        <w:color w:val="7E7E7E"/>
                        <w:spacing w:val="12"/>
                        <w:sz w:val="21"/>
                      </w:rPr>
                      <w:t>a</w:t>
                    </w:r>
                    <w:r>
                      <w:rPr>
                        <w:color w:val="7E7E7E"/>
                        <w:spacing w:val="1"/>
                        <w:sz w:val="21"/>
                      </w:rPr>
                      <w:t> </w:t>
                    </w:r>
                    <w:r>
                      <w:rPr>
                        <w:color w:val="7E7E7E"/>
                        <w:sz w:val="21"/>
                      </w:rPr>
                      <w:t>g</w:t>
                    </w:r>
                    <w:r>
                      <w:rPr>
                        <w:color w:val="7E7E7E"/>
                        <w:spacing w:val="13"/>
                        <w:sz w:val="21"/>
                      </w:rPr>
                      <w:t> </w:t>
                    </w:r>
                    <w:r>
                      <w:rPr>
                        <w:color w:val="7E7E7E"/>
                        <w:spacing w:val="-10"/>
                        <w:sz w:val="21"/>
                      </w:rPr>
                      <w:t>e</w:t>
                    </w:r>
                  </w:p>
                </w:txbxContent>
              </v:textbox>
              <w10:wrap type="none"/>
            </v:shape>
          </w:pict>
        </mc:Fallback>
      </mc:AlternateContent>
    </w:r>
  </w:p>
</w:ftr>
</file>

<file path=word/footer1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2564608">
              <wp:simplePos x="0" y="0"/>
              <wp:positionH relativeFrom="page">
                <wp:posOffset>895350</wp:posOffset>
              </wp:positionH>
              <wp:positionV relativeFrom="page">
                <wp:posOffset>9257525</wp:posOffset>
              </wp:positionV>
              <wp:extent cx="5982335" cy="6350"/>
              <wp:effectExtent l="0" t="0" r="0" b="0"/>
              <wp:wrapNone/>
              <wp:docPr id="63" name="Graphic 63"/>
              <wp:cNvGraphicFramePr>
                <a:graphicFrameLocks/>
              </wp:cNvGraphicFramePr>
              <a:graphic>
                <a:graphicData uri="http://schemas.microsoft.com/office/word/2010/wordprocessingShape">
                  <wps:wsp>
                    <wps:cNvPr id="63" name="Graphic 63"/>
                    <wps:cNvSpPr/>
                    <wps:spPr>
                      <a:xfrm>
                        <a:off x="0" y="0"/>
                        <a:ext cx="5982335" cy="6350"/>
                      </a:xfrm>
                      <a:custGeom>
                        <a:avLst/>
                        <a:gdLst/>
                        <a:ahLst/>
                        <a:cxnLst/>
                        <a:rect l="l" t="t" r="r" b="b"/>
                        <a:pathLst>
                          <a:path w="5982335" h="6350">
                            <a:moveTo>
                              <a:pt x="5981712" y="0"/>
                            </a:moveTo>
                            <a:lnTo>
                              <a:pt x="0" y="0"/>
                            </a:lnTo>
                            <a:lnTo>
                              <a:pt x="0" y="6108"/>
                            </a:lnTo>
                            <a:lnTo>
                              <a:pt x="5981712" y="6108"/>
                            </a:lnTo>
                            <a:lnTo>
                              <a:pt x="5981712"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rect style="position:absolute;margin-left:70.5pt;margin-top:728.939026pt;width:471.001pt;height:.481pt;mso-position-horizontal-relative:page;mso-position-vertical-relative:page;z-index:-20751872" id="docshape47" filled="true" fillcolor="#d9d9d9" stroked="false">
              <v:fill type="solid"/>
              <w10:wrap type="none"/>
            </v:rect>
          </w:pict>
        </mc:Fallback>
      </mc:AlternateContent>
    </w:r>
    <w:r>
      <w:rPr/>
      <mc:AlternateContent>
        <mc:Choice Requires="wps">
          <w:drawing>
            <wp:anchor distT="0" distB="0" distL="0" distR="0" allowOverlap="1" layoutInCell="1" locked="0" behindDoc="1" simplePos="0" relativeHeight="482565120">
              <wp:simplePos x="0" y="0"/>
              <wp:positionH relativeFrom="page">
                <wp:posOffset>6152388</wp:posOffset>
              </wp:positionH>
              <wp:positionV relativeFrom="page">
                <wp:posOffset>9262882</wp:posOffset>
              </wp:positionV>
              <wp:extent cx="681355" cy="188595"/>
              <wp:effectExtent l="0" t="0" r="0" b="0"/>
              <wp:wrapNone/>
              <wp:docPr id="64" name="Textbox 64"/>
              <wp:cNvGraphicFramePr>
                <a:graphicFrameLocks/>
              </wp:cNvGraphicFramePr>
              <a:graphic>
                <a:graphicData uri="http://schemas.microsoft.com/office/word/2010/wordprocessingShape">
                  <wps:wsp>
                    <wps:cNvPr id="64" name="Textbox 64"/>
                    <wps:cNvSpPr txBox="1"/>
                    <wps:spPr>
                      <a:xfrm>
                        <a:off x="0" y="0"/>
                        <a:ext cx="681355" cy="188595"/>
                      </a:xfrm>
                      <a:prstGeom prst="rect">
                        <a:avLst/>
                      </a:prstGeom>
                    </wps:spPr>
                    <wps:txbx>
                      <w:txbxContent>
                        <w:p>
                          <w:pPr>
                            <w:spacing w:before="17"/>
                            <w:ind w:left="60" w:right="0" w:firstLine="0"/>
                            <w:jc w:val="left"/>
                            <w:rPr>
                              <w:sz w:val="21"/>
                            </w:rPr>
                          </w:pPr>
                          <w:r>
                            <w:rPr>
                              <w:sz w:val="21"/>
                            </w:rPr>
                            <w:fldChar w:fldCharType="begin"/>
                          </w:r>
                          <w:r>
                            <w:rPr>
                              <w:sz w:val="21"/>
                            </w:rPr>
                            <w:instrText> PAGE </w:instrText>
                          </w:r>
                          <w:r>
                            <w:rPr>
                              <w:sz w:val="21"/>
                            </w:rPr>
                            <w:fldChar w:fldCharType="separate"/>
                          </w:r>
                          <w:r>
                            <w:rPr>
                              <w:sz w:val="21"/>
                            </w:rPr>
                            <w:t>12</w:t>
                          </w:r>
                          <w:r>
                            <w:rPr>
                              <w:sz w:val="21"/>
                            </w:rPr>
                            <w:fldChar w:fldCharType="end"/>
                          </w:r>
                          <w:r>
                            <w:rPr>
                              <w:spacing w:val="-4"/>
                              <w:sz w:val="21"/>
                            </w:rPr>
                            <w:t> </w:t>
                          </w:r>
                          <w:r>
                            <w:rPr>
                              <w:w w:val="90"/>
                              <w:sz w:val="21"/>
                            </w:rPr>
                            <w:t>| </w:t>
                          </w:r>
                          <w:r>
                            <w:rPr>
                              <w:color w:val="7E7E7E"/>
                              <w:spacing w:val="12"/>
                              <w:sz w:val="21"/>
                            </w:rPr>
                            <w:t>P</w:t>
                          </w:r>
                          <w:r>
                            <w:rPr>
                              <w:color w:val="7E7E7E"/>
                              <w:spacing w:val="1"/>
                              <w:sz w:val="21"/>
                            </w:rPr>
                            <w:t> </w:t>
                          </w:r>
                          <w:r>
                            <w:rPr>
                              <w:color w:val="7E7E7E"/>
                              <w:spacing w:val="12"/>
                              <w:sz w:val="21"/>
                            </w:rPr>
                            <w:t>a</w:t>
                          </w:r>
                          <w:r>
                            <w:rPr>
                              <w:color w:val="7E7E7E"/>
                              <w:spacing w:val="1"/>
                              <w:sz w:val="21"/>
                            </w:rPr>
                            <w:t> </w:t>
                          </w:r>
                          <w:r>
                            <w:rPr>
                              <w:color w:val="7E7E7E"/>
                              <w:sz w:val="21"/>
                            </w:rPr>
                            <w:t>g</w:t>
                          </w:r>
                          <w:r>
                            <w:rPr>
                              <w:color w:val="7E7E7E"/>
                              <w:spacing w:val="13"/>
                              <w:sz w:val="21"/>
                            </w:rPr>
                            <w:t> </w:t>
                          </w:r>
                          <w:r>
                            <w:rPr>
                              <w:color w:val="7E7E7E"/>
                              <w:spacing w:val="-10"/>
                              <w:sz w:val="21"/>
                            </w:rPr>
                            <w:t>e</w:t>
                          </w:r>
                        </w:p>
                      </w:txbxContent>
                    </wps:txbx>
                    <wps:bodyPr wrap="square" lIns="0" tIns="0" rIns="0" bIns="0" rtlCol="0">
                      <a:noAutofit/>
                    </wps:bodyPr>
                  </wps:wsp>
                </a:graphicData>
              </a:graphic>
            </wp:anchor>
          </w:drawing>
        </mc:Choice>
        <mc:Fallback>
          <w:pict>
            <v:shape style="position:absolute;margin-left:484.440002pt;margin-top:729.36084pt;width:53.65pt;height:14.85pt;mso-position-horizontal-relative:page;mso-position-vertical-relative:page;z-index:-20751360" type="#_x0000_t202" id="docshape48" filled="false" stroked="false">
              <v:textbox inset="0,0,0,0">
                <w:txbxContent>
                  <w:p>
                    <w:pPr>
                      <w:spacing w:before="17"/>
                      <w:ind w:left="60" w:right="0" w:firstLine="0"/>
                      <w:jc w:val="left"/>
                      <w:rPr>
                        <w:sz w:val="21"/>
                      </w:rPr>
                    </w:pPr>
                    <w:r>
                      <w:rPr>
                        <w:sz w:val="21"/>
                      </w:rPr>
                      <w:fldChar w:fldCharType="begin"/>
                    </w:r>
                    <w:r>
                      <w:rPr>
                        <w:sz w:val="21"/>
                      </w:rPr>
                      <w:instrText> PAGE </w:instrText>
                    </w:r>
                    <w:r>
                      <w:rPr>
                        <w:sz w:val="21"/>
                      </w:rPr>
                      <w:fldChar w:fldCharType="separate"/>
                    </w:r>
                    <w:r>
                      <w:rPr>
                        <w:sz w:val="21"/>
                      </w:rPr>
                      <w:t>12</w:t>
                    </w:r>
                    <w:r>
                      <w:rPr>
                        <w:sz w:val="21"/>
                      </w:rPr>
                      <w:fldChar w:fldCharType="end"/>
                    </w:r>
                    <w:r>
                      <w:rPr>
                        <w:spacing w:val="-4"/>
                        <w:sz w:val="21"/>
                      </w:rPr>
                      <w:t> </w:t>
                    </w:r>
                    <w:r>
                      <w:rPr>
                        <w:w w:val="90"/>
                        <w:sz w:val="21"/>
                      </w:rPr>
                      <w:t>| </w:t>
                    </w:r>
                    <w:r>
                      <w:rPr>
                        <w:color w:val="7E7E7E"/>
                        <w:spacing w:val="12"/>
                        <w:sz w:val="21"/>
                      </w:rPr>
                      <w:t>P</w:t>
                    </w:r>
                    <w:r>
                      <w:rPr>
                        <w:color w:val="7E7E7E"/>
                        <w:spacing w:val="1"/>
                        <w:sz w:val="21"/>
                      </w:rPr>
                      <w:t> </w:t>
                    </w:r>
                    <w:r>
                      <w:rPr>
                        <w:color w:val="7E7E7E"/>
                        <w:spacing w:val="12"/>
                        <w:sz w:val="21"/>
                      </w:rPr>
                      <w:t>a</w:t>
                    </w:r>
                    <w:r>
                      <w:rPr>
                        <w:color w:val="7E7E7E"/>
                        <w:spacing w:val="1"/>
                        <w:sz w:val="21"/>
                      </w:rPr>
                      <w:t> </w:t>
                    </w:r>
                    <w:r>
                      <w:rPr>
                        <w:color w:val="7E7E7E"/>
                        <w:sz w:val="21"/>
                      </w:rPr>
                      <w:t>g</w:t>
                    </w:r>
                    <w:r>
                      <w:rPr>
                        <w:color w:val="7E7E7E"/>
                        <w:spacing w:val="13"/>
                        <w:sz w:val="21"/>
                      </w:rPr>
                      <w:t> </w:t>
                    </w:r>
                    <w:r>
                      <w:rPr>
                        <w:color w:val="7E7E7E"/>
                        <w:spacing w:val="-10"/>
                        <w:sz w:val="21"/>
                      </w:rPr>
                      <w:t>e</w:t>
                    </w:r>
                  </w:p>
                </w:txbxContent>
              </v:textbox>
              <w10:wrap type="none"/>
            </v:shape>
          </w:pict>
        </mc:Fallback>
      </mc:AlternateContent>
    </w:r>
  </w:p>
</w:ftr>
</file>

<file path=word/footer1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2565632">
              <wp:simplePos x="0" y="0"/>
              <wp:positionH relativeFrom="page">
                <wp:posOffset>895350</wp:posOffset>
              </wp:positionH>
              <wp:positionV relativeFrom="page">
                <wp:posOffset>9257525</wp:posOffset>
              </wp:positionV>
              <wp:extent cx="5982335" cy="6350"/>
              <wp:effectExtent l="0" t="0" r="0" b="0"/>
              <wp:wrapNone/>
              <wp:docPr id="65" name="Graphic 65"/>
              <wp:cNvGraphicFramePr>
                <a:graphicFrameLocks/>
              </wp:cNvGraphicFramePr>
              <a:graphic>
                <a:graphicData uri="http://schemas.microsoft.com/office/word/2010/wordprocessingShape">
                  <wps:wsp>
                    <wps:cNvPr id="65" name="Graphic 65"/>
                    <wps:cNvSpPr/>
                    <wps:spPr>
                      <a:xfrm>
                        <a:off x="0" y="0"/>
                        <a:ext cx="5982335" cy="6350"/>
                      </a:xfrm>
                      <a:custGeom>
                        <a:avLst/>
                        <a:gdLst/>
                        <a:ahLst/>
                        <a:cxnLst/>
                        <a:rect l="l" t="t" r="r" b="b"/>
                        <a:pathLst>
                          <a:path w="5982335" h="6350">
                            <a:moveTo>
                              <a:pt x="5981712" y="0"/>
                            </a:moveTo>
                            <a:lnTo>
                              <a:pt x="0" y="0"/>
                            </a:lnTo>
                            <a:lnTo>
                              <a:pt x="0" y="6108"/>
                            </a:lnTo>
                            <a:lnTo>
                              <a:pt x="5981712" y="6108"/>
                            </a:lnTo>
                            <a:lnTo>
                              <a:pt x="5981712"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rect style="position:absolute;margin-left:70.5pt;margin-top:728.939026pt;width:471.001pt;height:.481pt;mso-position-horizontal-relative:page;mso-position-vertical-relative:page;z-index:-20750848" id="docshape49" filled="true" fillcolor="#d9d9d9" stroked="false">
              <v:fill type="solid"/>
              <w10:wrap type="none"/>
            </v:rect>
          </w:pict>
        </mc:Fallback>
      </mc:AlternateContent>
    </w:r>
    <w:r>
      <w:rPr/>
      <mc:AlternateContent>
        <mc:Choice Requires="wps">
          <w:drawing>
            <wp:anchor distT="0" distB="0" distL="0" distR="0" allowOverlap="1" layoutInCell="1" locked="0" behindDoc="1" simplePos="0" relativeHeight="482566144">
              <wp:simplePos x="0" y="0"/>
              <wp:positionH relativeFrom="page">
                <wp:posOffset>6152388</wp:posOffset>
              </wp:positionH>
              <wp:positionV relativeFrom="page">
                <wp:posOffset>9262882</wp:posOffset>
              </wp:positionV>
              <wp:extent cx="681355" cy="188595"/>
              <wp:effectExtent l="0" t="0" r="0" b="0"/>
              <wp:wrapNone/>
              <wp:docPr id="66" name="Textbox 66"/>
              <wp:cNvGraphicFramePr>
                <a:graphicFrameLocks/>
              </wp:cNvGraphicFramePr>
              <a:graphic>
                <a:graphicData uri="http://schemas.microsoft.com/office/word/2010/wordprocessingShape">
                  <wps:wsp>
                    <wps:cNvPr id="66" name="Textbox 66"/>
                    <wps:cNvSpPr txBox="1"/>
                    <wps:spPr>
                      <a:xfrm>
                        <a:off x="0" y="0"/>
                        <a:ext cx="681355" cy="188595"/>
                      </a:xfrm>
                      <a:prstGeom prst="rect">
                        <a:avLst/>
                      </a:prstGeom>
                    </wps:spPr>
                    <wps:txbx>
                      <w:txbxContent>
                        <w:p>
                          <w:pPr>
                            <w:spacing w:before="17"/>
                            <w:ind w:left="60" w:right="0" w:firstLine="0"/>
                            <w:jc w:val="left"/>
                            <w:rPr>
                              <w:sz w:val="21"/>
                            </w:rPr>
                          </w:pPr>
                          <w:r>
                            <w:rPr>
                              <w:sz w:val="21"/>
                            </w:rPr>
                            <w:fldChar w:fldCharType="begin"/>
                          </w:r>
                          <w:r>
                            <w:rPr>
                              <w:sz w:val="21"/>
                            </w:rPr>
                            <w:instrText> PAGE </w:instrText>
                          </w:r>
                          <w:r>
                            <w:rPr>
                              <w:sz w:val="21"/>
                            </w:rPr>
                            <w:fldChar w:fldCharType="separate"/>
                          </w:r>
                          <w:r>
                            <w:rPr>
                              <w:sz w:val="21"/>
                            </w:rPr>
                            <w:t>13</w:t>
                          </w:r>
                          <w:r>
                            <w:rPr>
                              <w:sz w:val="21"/>
                            </w:rPr>
                            <w:fldChar w:fldCharType="end"/>
                          </w:r>
                          <w:r>
                            <w:rPr>
                              <w:spacing w:val="-4"/>
                              <w:sz w:val="21"/>
                            </w:rPr>
                            <w:t> </w:t>
                          </w:r>
                          <w:r>
                            <w:rPr>
                              <w:w w:val="90"/>
                              <w:sz w:val="21"/>
                            </w:rPr>
                            <w:t>| </w:t>
                          </w:r>
                          <w:r>
                            <w:rPr>
                              <w:color w:val="7E7E7E"/>
                              <w:spacing w:val="12"/>
                              <w:sz w:val="21"/>
                            </w:rPr>
                            <w:t>P</w:t>
                          </w:r>
                          <w:r>
                            <w:rPr>
                              <w:color w:val="7E7E7E"/>
                              <w:spacing w:val="1"/>
                              <w:sz w:val="21"/>
                            </w:rPr>
                            <w:t> </w:t>
                          </w:r>
                          <w:r>
                            <w:rPr>
                              <w:color w:val="7E7E7E"/>
                              <w:spacing w:val="12"/>
                              <w:sz w:val="21"/>
                            </w:rPr>
                            <w:t>a</w:t>
                          </w:r>
                          <w:r>
                            <w:rPr>
                              <w:color w:val="7E7E7E"/>
                              <w:spacing w:val="1"/>
                              <w:sz w:val="21"/>
                            </w:rPr>
                            <w:t> </w:t>
                          </w:r>
                          <w:r>
                            <w:rPr>
                              <w:color w:val="7E7E7E"/>
                              <w:sz w:val="21"/>
                            </w:rPr>
                            <w:t>g</w:t>
                          </w:r>
                          <w:r>
                            <w:rPr>
                              <w:color w:val="7E7E7E"/>
                              <w:spacing w:val="13"/>
                              <w:sz w:val="21"/>
                            </w:rPr>
                            <w:t> </w:t>
                          </w:r>
                          <w:r>
                            <w:rPr>
                              <w:color w:val="7E7E7E"/>
                              <w:spacing w:val="-10"/>
                              <w:sz w:val="21"/>
                            </w:rPr>
                            <w:t>e</w:t>
                          </w:r>
                        </w:p>
                      </w:txbxContent>
                    </wps:txbx>
                    <wps:bodyPr wrap="square" lIns="0" tIns="0" rIns="0" bIns="0" rtlCol="0">
                      <a:noAutofit/>
                    </wps:bodyPr>
                  </wps:wsp>
                </a:graphicData>
              </a:graphic>
            </wp:anchor>
          </w:drawing>
        </mc:Choice>
        <mc:Fallback>
          <w:pict>
            <v:shape style="position:absolute;margin-left:484.440002pt;margin-top:729.36084pt;width:53.65pt;height:14.85pt;mso-position-horizontal-relative:page;mso-position-vertical-relative:page;z-index:-20750336" type="#_x0000_t202" id="docshape50" filled="false" stroked="false">
              <v:textbox inset="0,0,0,0">
                <w:txbxContent>
                  <w:p>
                    <w:pPr>
                      <w:spacing w:before="17"/>
                      <w:ind w:left="60" w:right="0" w:firstLine="0"/>
                      <w:jc w:val="left"/>
                      <w:rPr>
                        <w:sz w:val="21"/>
                      </w:rPr>
                    </w:pPr>
                    <w:r>
                      <w:rPr>
                        <w:sz w:val="21"/>
                      </w:rPr>
                      <w:fldChar w:fldCharType="begin"/>
                    </w:r>
                    <w:r>
                      <w:rPr>
                        <w:sz w:val="21"/>
                      </w:rPr>
                      <w:instrText> PAGE </w:instrText>
                    </w:r>
                    <w:r>
                      <w:rPr>
                        <w:sz w:val="21"/>
                      </w:rPr>
                      <w:fldChar w:fldCharType="separate"/>
                    </w:r>
                    <w:r>
                      <w:rPr>
                        <w:sz w:val="21"/>
                      </w:rPr>
                      <w:t>13</w:t>
                    </w:r>
                    <w:r>
                      <w:rPr>
                        <w:sz w:val="21"/>
                      </w:rPr>
                      <w:fldChar w:fldCharType="end"/>
                    </w:r>
                    <w:r>
                      <w:rPr>
                        <w:spacing w:val="-4"/>
                        <w:sz w:val="21"/>
                      </w:rPr>
                      <w:t> </w:t>
                    </w:r>
                    <w:r>
                      <w:rPr>
                        <w:w w:val="90"/>
                        <w:sz w:val="21"/>
                      </w:rPr>
                      <w:t>| </w:t>
                    </w:r>
                    <w:r>
                      <w:rPr>
                        <w:color w:val="7E7E7E"/>
                        <w:spacing w:val="12"/>
                        <w:sz w:val="21"/>
                      </w:rPr>
                      <w:t>P</w:t>
                    </w:r>
                    <w:r>
                      <w:rPr>
                        <w:color w:val="7E7E7E"/>
                        <w:spacing w:val="1"/>
                        <w:sz w:val="21"/>
                      </w:rPr>
                      <w:t> </w:t>
                    </w:r>
                    <w:r>
                      <w:rPr>
                        <w:color w:val="7E7E7E"/>
                        <w:spacing w:val="12"/>
                        <w:sz w:val="21"/>
                      </w:rPr>
                      <w:t>a</w:t>
                    </w:r>
                    <w:r>
                      <w:rPr>
                        <w:color w:val="7E7E7E"/>
                        <w:spacing w:val="1"/>
                        <w:sz w:val="21"/>
                      </w:rPr>
                      <w:t> </w:t>
                    </w:r>
                    <w:r>
                      <w:rPr>
                        <w:color w:val="7E7E7E"/>
                        <w:sz w:val="21"/>
                      </w:rPr>
                      <w:t>g</w:t>
                    </w:r>
                    <w:r>
                      <w:rPr>
                        <w:color w:val="7E7E7E"/>
                        <w:spacing w:val="13"/>
                        <w:sz w:val="21"/>
                      </w:rPr>
                      <w:t> </w:t>
                    </w:r>
                    <w:r>
                      <w:rPr>
                        <w:color w:val="7E7E7E"/>
                        <w:spacing w:val="-10"/>
                        <w:sz w:val="21"/>
                      </w:rPr>
                      <w:t>e</w:t>
                    </w:r>
                  </w:p>
                </w:txbxContent>
              </v:textbox>
              <w10:wrap type="none"/>
            </v:shape>
          </w:pict>
        </mc:Fallback>
      </mc:AlternateContent>
    </w:r>
  </w:p>
</w:ftr>
</file>

<file path=word/footer1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2566656">
              <wp:simplePos x="0" y="0"/>
              <wp:positionH relativeFrom="page">
                <wp:posOffset>895350</wp:posOffset>
              </wp:positionH>
              <wp:positionV relativeFrom="page">
                <wp:posOffset>9257525</wp:posOffset>
              </wp:positionV>
              <wp:extent cx="5982335" cy="6350"/>
              <wp:effectExtent l="0" t="0" r="0" b="0"/>
              <wp:wrapNone/>
              <wp:docPr id="67" name="Graphic 67"/>
              <wp:cNvGraphicFramePr>
                <a:graphicFrameLocks/>
              </wp:cNvGraphicFramePr>
              <a:graphic>
                <a:graphicData uri="http://schemas.microsoft.com/office/word/2010/wordprocessingShape">
                  <wps:wsp>
                    <wps:cNvPr id="67" name="Graphic 67"/>
                    <wps:cNvSpPr/>
                    <wps:spPr>
                      <a:xfrm>
                        <a:off x="0" y="0"/>
                        <a:ext cx="5982335" cy="6350"/>
                      </a:xfrm>
                      <a:custGeom>
                        <a:avLst/>
                        <a:gdLst/>
                        <a:ahLst/>
                        <a:cxnLst/>
                        <a:rect l="l" t="t" r="r" b="b"/>
                        <a:pathLst>
                          <a:path w="5982335" h="6350">
                            <a:moveTo>
                              <a:pt x="5981712" y="0"/>
                            </a:moveTo>
                            <a:lnTo>
                              <a:pt x="0" y="0"/>
                            </a:lnTo>
                            <a:lnTo>
                              <a:pt x="0" y="6108"/>
                            </a:lnTo>
                            <a:lnTo>
                              <a:pt x="5981712" y="6108"/>
                            </a:lnTo>
                            <a:lnTo>
                              <a:pt x="5981712"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rect style="position:absolute;margin-left:70.5pt;margin-top:728.939026pt;width:471.001pt;height:.481pt;mso-position-horizontal-relative:page;mso-position-vertical-relative:page;z-index:-20749824" id="docshape51" filled="true" fillcolor="#d9d9d9" stroked="false">
              <v:fill type="solid"/>
              <w10:wrap type="none"/>
            </v:rect>
          </w:pict>
        </mc:Fallback>
      </mc:AlternateContent>
    </w:r>
    <w:r>
      <w:rPr/>
      <mc:AlternateContent>
        <mc:Choice Requires="wps">
          <w:drawing>
            <wp:anchor distT="0" distB="0" distL="0" distR="0" allowOverlap="1" layoutInCell="1" locked="0" behindDoc="1" simplePos="0" relativeHeight="482567168">
              <wp:simplePos x="0" y="0"/>
              <wp:positionH relativeFrom="page">
                <wp:posOffset>6152388</wp:posOffset>
              </wp:positionH>
              <wp:positionV relativeFrom="page">
                <wp:posOffset>9262882</wp:posOffset>
              </wp:positionV>
              <wp:extent cx="681355" cy="188595"/>
              <wp:effectExtent l="0" t="0" r="0" b="0"/>
              <wp:wrapNone/>
              <wp:docPr id="68" name="Textbox 68"/>
              <wp:cNvGraphicFramePr>
                <a:graphicFrameLocks/>
              </wp:cNvGraphicFramePr>
              <a:graphic>
                <a:graphicData uri="http://schemas.microsoft.com/office/word/2010/wordprocessingShape">
                  <wps:wsp>
                    <wps:cNvPr id="68" name="Textbox 68"/>
                    <wps:cNvSpPr txBox="1"/>
                    <wps:spPr>
                      <a:xfrm>
                        <a:off x="0" y="0"/>
                        <a:ext cx="681355" cy="188595"/>
                      </a:xfrm>
                      <a:prstGeom prst="rect">
                        <a:avLst/>
                      </a:prstGeom>
                    </wps:spPr>
                    <wps:txbx>
                      <w:txbxContent>
                        <w:p>
                          <w:pPr>
                            <w:spacing w:before="17"/>
                            <w:ind w:left="60" w:right="0" w:firstLine="0"/>
                            <w:jc w:val="left"/>
                            <w:rPr>
                              <w:sz w:val="21"/>
                            </w:rPr>
                          </w:pPr>
                          <w:r>
                            <w:rPr>
                              <w:sz w:val="21"/>
                            </w:rPr>
                            <w:fldChar w:fldCharType="begin"/>
                          </w:r>
                          <w:r>
                            <w:rPr>
                              <w:sz w:val="21"/>
                            </w:rPr>
                            <w:instrText> PAGE </w:instrText>
                          </w:r>
                          <w:r>
                            <w:rPr>
                              <w:sz w:val="21"/>
                            </w:rPr>
                            <w:fldChar w:fldCharType="separate"/>
                          </w:r>
                          <w:r>
                            <w:rPr>
                              <w:sz w:val="21"/>
                            </w:rPr>
                            <w:t>14</w:t>
                          </w:r>
                          <w:r>
                            <w:rPr>
                              <w:sz w:val="21"/>
                            </w:rPr>
                            <w:fldChar w:fldCharType="end"/>
                          </w:r>
                          <w:r>
                            <w:rPr>
                              <w:spacing w:val="-4"/>
                              <w:sz w:val="21"/>
                            </w:rPr>
                            <w:t> </w:t>
                          </w:r>
                          <w:r>
                            <w:rPr>
                              <w:w w:val="90"/>
                              <w:sz w:val="21"/>
                            </w:rPr>
                            <w:t>| </w:t>
                          </w:r>
                          <w:r>
                            <w:rPr>
                              <w:color w:val="7E7E7E"/>
                              <w:spacing w:val="12"/>
                              <w:sz w:val="21"/>
                            </w:rPr>
                            <w:t>P</w:t>
                          </w:r>
                          <w:r>
                            <w:rPr>
                              <w:color w:val="7E7E7E"/>
                              <w:spacing w:val="1"/>
                              <w:sz w:val="21"/>
                            </w:rPr>
                            <w:t> </w:t>
                          </w:r>
                          <w:r>
                            <w:rPr>
                              <w:color w:val="7E7E7E"/>
                              <w:spacing w:val="12"/>
                              <w:sz w:val="21"/>
                            </w:rPr>
                            <w:t>a</w:t>
                          </w:r>
                          <w:r>
                            <w:rPr>
                              <w:color w:val="7E7E7E"/>
                              <w:spacing w:val="1"/>
                              <w:sz w:val="21"/>
                            </w:rPr>
                            <w:t> </w:t>
                          </w:r>
                          <w:r>
                            <w:rPr>
                              <w:color w:val="7E7E7E"/>
                              <w:sz w:val="21"/>
                            </w:rPr>
                            <w:t>g</w:t>
                          </w:r>
                          <w:r>
                            <w:rPr>
                              <w:color w:val="7E7E7E"/>
                              <w:spacing w:val="13"/>
                              <w:sz w:val="21"/>
                            </w:rPr>
                            <w:t> </w:t>
                          </w:r>
                          <w:r>
                            <w:rPr>
                              <w:color w:val="7E7E7E"/>
                              <w:spacing w:val="-10"/>
                              <w:sz w:val="21"/>
                            </w:rPr>
                            <w:t>e</w:t>
                          </w:r>
                        </w:p>
                      </w:txbxContent>
                    </wps:txbx>
                    <wps:bodyPr wrap="square" lIns="0" tIns="0" rIns="0" bIns="0" rtlCol="0">
                      <a:noAutofit/>
                    </wps:bodyPr>
                  </wps:wsp>
                </a:graphicData>
              </a:graphic>
            </wp:anchor>
          </w:drawing>
        </mc:Choice>
        <mc:Fallback>
          <w:pict>
            <v:shape style="position:absolute;margin-left:484.440002pt;margin-top:729.36084pt;width:53.65pt;height:14.85pt;mso-position-horizontal-relative:page;mso-position-vertical-relative:page;z-index:-20749312" type="#_x0000_t202" id="docshape52" filled="false" stroked="false">
              <v:textbox inset="0,0,0,0">
                <w:txbxContent>
                  <w:p>
                    <w:pPr>
                      <w:spacing w:before="17"/>
                      <w:ind w:left="60" w:right="0" w:firstLine="0"/>
                      <w:jc w:val="left"/>
                      <w:rPr>
                        <w:sz w:val="21"/>
                      </w:rPr>
                    </w:pPr>
                    <w:r>
                      <w:rPr>
                        <w:sz w:val="21"/>
                      </w:rPr>
                      <w:fldChar w:fldCharType="begin"/>
                    </w:r>
                    <w:r>
                      <w:rPr>
                        <w:sz w:val="21"/>
                      </w:rPr>
                      <w:instrText> PAGE </w:instrText>
                    </w:r>
                    <w:r>
                      <w:rPr>
                        <w:sz w:val="21"/>
                      </w:rPr>
                      <w:fldChar w:fldCharType="separate"/>
                    </w:r>
                    <w:r>
                      <w:rPr>
                        <w:sz w:val="21"/>
                      </w:rPr>
                      <w:t>14</w:t>
                    </w:r>
                    <w:r>
                      <w:rPr>
                        <w:sz w:val="21"/>
                      </w:rPr>
                      <w:fldChar w:fldCharType="end"/>
                    </w:r>
                    <w:r>
                      <w:rPr>
                        <w:spacing w:val="-4"/>
                        <w:sz w:val="21"/>
                      </w:rPr>
                      <w:t> </w:t>
                    </w:r>
                    <w:r>
                      <w:rPr>
                        <w:w w:val="90"/>
                        <w:sz w:val="21"/>
                      </w:rPr>
                      <w:t>| </w:t>
                    </w:r>
                    <w:r>
                      <w:rPr>
                        <w:color w:val="7E7E7E"/>
                        <w:spacing w:val="12"/>
                        <w:sz w:val="21"/>
                      </w:rPr>
                      <w:t>P</w:t>
                    </w:r>
                    <w:r>
                      <w:rPr>
                        <w:color w:val="7E7E7E"/>
                        <w:spacing w:val="1"/>
                        <w:sz w:val="21"/>
                      </w:rPr>
                      <w:t> </w:t>
                    </w:r>
                    <w:r>
                      <w:rPr>
                        <w:color w:val="7E7E7E"/>
                        <w:spacing w:val="12"/>
                        <w:sz w:val="21"/>
                      </w:rPr>
                      <w:t>a</w:t>
                    </w:r>
                    <w:r>
                      <w:rPr>
                        <w:color w:val="7E7E7E"/>
                        <w:spacing w:val="1"/>
                        <w:sz w:val="21"/>
                      </w:rPr>
                      <w:t> </w:t>
                    </w:r>
                    <w:r>
                      <w:rPr>
                        <w:color w:val="7E7E7E"/>
                        <w:sz w:val="21"/>
                      </w:rPr>
                      <w:t>g</w:t>
                    </w:r>
                    <w:r>
                      <w:rPr>
                        <w:color w:val="7E7E7E"/>
                        <w:spacing w:val="13"/>
                        <w:sz w:val="21"/>
                      </w:rPr>
                      <w:t> </w:t>
                    </w:r>
                    <w:r>
                      <w:rPr>
                        <w:color w:val="7E7E7E"/>
                        <w:spacing w:val="-10"/>
                        <w:sz w:val="21"/>
                      </w:rPr>
                      <w:t>e</w:t>
                    </w:r>
                  </w:p>
                </w:txbxContent>
              </v:textbox>
              <w10:wrap type="none"/>
            </v:shape>
          </w:pict>
        </mc:Fallback>
      </mc:AlternateContent>
    </w:r>
  </w:p>
</w:ftr>
</file>

<file path=word/footer1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2567680">
              <wp:simplePos x="0" y="0"/>
              <wp:positionH relativeFrom="page">
                <wp:posOffset>895350</wp:posOffset>
              </wp:positionH>
              <wp:positionV relativeFrom="page">
                <wp:posOffset>9257525</wp:posOffset>
              </wp:positionV>
              <wp:extent cx="5982335" cy="6350"/>
              <wp:effectExtent l="0" t="0" r="0" b="0"/>
              <wp:wrapNone/>
              <wp:docPr id="69" name="Graphic 69"/>
              <wp:cNvGraphicFramePr>
                <a:graphicFrameLocks/>
              </wp:cNvGraphicFramePr>
              <a:graphic>
                <a:graphicData uri="http://schemas.microsoft.com/office/word/2010/wordprocessingShape">
                  <wps:wsp>
                    <wps:cNvPr id="69" name="Graphic 69"/>
                    <wps:cNvSpPr/>
                    <wps:spPr>
                      <a:xfrm>
                        <a:off x="0" y="0"/>
                        <a:ext cx="5982335" cy="6350"/>
                      </a:xfrm>
                      <a:custGeom>
                        <a:avLst/>
                        <a:gdLst/>
                        <a:ahLst/>
                        <a:cxnLst/>
                        <a:rect l="l" t="t" r="r" b="b"/>
                        <a:pathLst>
                          <a:path w="5982335" h="6350">
                            <a:moveTo>
                              <a:pt x="5981712" y="0"/>
                            </a:moveTo>
                            <a:lnTo>
                              <a:pt x="0" y="0"/>
                            </a:lnTo>
                            <a:lnTo>
                              <a:pt x="0" y="6108"/>
                            </a:lnTo>
                            <a:lnTo>
                              <a:pt x="5981712" y="6108"/>
                            </a:lnTo>
                            <a:lnTo>
                              <a:pt x="5981712"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rect style="position:absolute;margin-left:70.5pt;margin-top:728.939026pt;width:471.001pt;height:.481pt;mso-position-horizontal-relative:page;mso-position-vertical-relative:page;z-index:-20748800" id="docshape53" filled="true" fillcolor="#d9d9d9" stroked="false">
              <v:fill type="solid"/>
              <w10:wrap type="none"/>
            </v:rect>
          </w:pict>
        </mc:Fallback>
      </mc:AlternateContent>
    </w:r>
    <w:r>
      <w:rPr/>
      <mc:AlternateContent>
        <mc:Choice Requires="wps">
          <w:drawing>
            <wp:anchor distT="0" distB="0" distL="0" distR="0" allowOverlap="1" layoutInCell="1" locked="0" behindDoc="1" simplePos="0" relativeHeight="482568192">
              <wp:simplePos x="0" y="0"/>
              <wp:positionH relativeFrom="page">
                <wp:posOffset>6152388</wp:posOffset>
              </wp:positionH>
              <wp:positionV relativeFrom="page">
                <wp:posOffset>9262882</wp:posOffset>
              </wp:positionV>
              <wp:extent cx="681355" cy="188595"/>
              <wp:effectExtent l="0" t="0" r="0" b="0"/>
              <wp:wrapNone/>
              <wp:docPr id="70" name="Textbox 70"/>
              <wp:cNvGraphicFramePr>
                <a:graphicFrameLocks/>
              </wp:cNvGraphicFramePr>
              <a:graphic>
                <a:graphicData uri="http://schemas.microsoft.com/office/word/2010/wordprocessingShape">
                  <wps:wsp>
                    <wps:cNvPr id="70" name="Textbox 70"/>
                    <wps:cNvSpPr txBox="1"/>
                    <wps:spPr>
                      <a:xfrm>
                        <a:off x="0" y="0"/>
                        <a:ext cx="681355" cy="188595"/>
                      </a:xfrm>
                      <a:prstGeom prst="rect">
                        <a:avLst/>
                      </a:prstGeom>
                    </wps:spPr>
                    <wps:txbx>
                      <w:txbxContent>
                        <w:p>
                          <w:pPr>
                            <w:spacing w:before="17"/>
                            <w:ind w:left="60" w:right="0" w:firstLine="0"/>
                            <w:jc w:val="left"/>
                            <w:rPr>
                              <w:sz w:val="21"/>
                            </w:rPr>
                          </w:pPr>
                          <w:r>
                            <w:rPr>
                              <w:sz w:val="21"/>
                            </w:rPr>
                            <w:fldChar w:fldCharType="begin"/>
                          </w:r>
                          <w:r>
                            <w:rPr>
                              <w:sz w:val="21"/>
                            </w:rPr>
                            <w:instrText> PAGE </w:instrText>
                          </w:r>
                          <w:r>
                            <w:rPr>
                              <w:sz w:val="21"/>
                            </w:rPr>
                            <w:fldChar w:fldCharType="separate"/>
                          </w:r>
                          <w:r>
                            <w:rPr>
                              <w:sz w:val="21"/>
                            </w:rPr>
                            <w:t>15</w:t>
                          </w:r>
                          <w:r>
                            <w:rPr>
                              <w:sz w:val="21"/>
                            </w:rPr>
                            <w:fldChar w:fldCharType="end"/>
                          </w:r>
                          <w:r>
                            <w:rPr>
                              <w:spacing w:val="-4"/>
                              <w:sz w:val="21"/>
                            </w:rPr>
                            <w:t> </w:t>
                          </w:r>
                          <w:r>
                            <w:rPr>
                              <w:w w:val="90"/>
                              <w:sz w:val="21"/>
                            </w:rPr>
                            <w:t>| </w:t>
                          </w:r>
                          <w:r>
                            <w:rPr>
                              <w:color w:val="7E7E7E"/>
                              <w:spacing w:val="12"/>
                              <w:sz w:val="21"/>
                            </w:rPr>
                            <w:t>P</w:t>
                          </w:r>
                          <w:r>
                            <w:rPr>
                              <w:color w:val="7E7E7E"/>
                              <w:spacing w:val="1"/>
                              <w:sz w:val="21"/>
                            </w:rPr>
                            <w:t> </w:t>
                          </w:r>
                          <w:r>
                            <w:rPr>
                              <w:color w:val="7E7E7E"/>
                              <w:spacing w:val="12"/>
                              <w:sz w:val="21"/>
                            </w:rPr>
                            <w:t>a</w:t>
                          </w:r>
                          <w:r>
                            <w:rPr>
                              <w:color w:val="7E7E7E"/>
                              <w:spacing w:val="1"/>
                              <w:sz w:val="21"/>
                            </w:rPr>
                            <w:t> </w:t>
                          </w:r>
                          <w:r>
                            <w:rPr>
                              <w:color w:val="7E7E7E"/>
                              <w:sz w:val="21"/>
                            </w:rPr>
                            <w:t>g</w:t>
                          </w:r>
                          <w:r>
                            <w:rPr>
                              <w:color w:val="7E7E7E"/>
                              <w:spacing w:val="13"/>
                              <w:sz w:val="21"/>
                            </w:rPr>
                            <w:t> </w:t>
                          </w:r>
                          <w:r>
                            <w:rPr>
                              <w:color w:val="7E7E7E"/>
                              <w:spacing w:val="-10"/>
                              <w:sz w:val="21"/>
                            </w:rPr>
                            <w:t>e</w:t>
                          </w:r>
                        </w:p>
                      </w:txbxContent>
                    </wps:txbx>
                    <wps:bodyPr wrap="square" lIns="0" tIns="0" rIns="0" bIns="0" rtlCol="0">
                      <a:noAutofit/>
                    </wps:bodyPr>
                  </wps:wsp>
                </a:graphicData>
              </a:graphic>
            </wp:anchor>
          </w:drawing>
        </mc:Choice>
        <mc:Fallback>
          <w:pict>
            <v:shape style="position:absolute;margin-left:484.440002pt;margin-top:729.36084pt;width:53.65pt;height:14.85pt;mso-position-horizontal-relative:page;mso-position-vertical-relative:page;z-index:-20748288" type="#_x0000_t202" id="docshape54" filled="false" stroked="false">
              <v:textbox inset="0,0,0,0">
                <w:txbxContent>
                  <w:p>
                    <w:pPr>
                      <w:spacing w:before="17"/>
                      <w:ind w:left="60" w:right="0" w:firstLine="0"/>
                      <w:jc w:val="left"/>
                      <w:rPr>
                        <w:sz w:val="21"/>
                      </w:rPr>
                    </w:pPr>
                    <w:r>
                      <w:rPr>
                        <w:sz w:val="21"/>
                      </w:rPr>
                      <w:fldChar w:fldCharType="begin"/>
                    </w:r>
                    <w:r>
                      <w:rPr>
                        <w:sz w:val="21"/>
                      </w:rPr>
                      <w:instrText> PAGE </w:instrText>
                    </w:r>
                    <w:r>
                      <w:rPr>
                        <w:sz w:val="21"/>
                      </w:rPr>
                      <w:fldChar w:fldCharType="separate"/>
                    </w:r>
                    <w:r>
                      <w:rPr>
                        <w:sz w:val="21"/>
                      </w:rPr>
                      <w:t>15</w:t>
                    </w:r>
                    <w:r>
                      <w:rPr>
                        <w:sz w:val="21"/>
                      </w:rPr>
                      <w:fldChar w:fldCharType="end"/>
                    </w:r>
                    <w:r>
                      <w:rPr>
                        <w:spacing w:val="-4"/>
                        <w:sz w:val="21"/>
                      </w:rPr>
                      <w:t> </w:t>
                    </w:r>
                    <w:r>
                      <w:rPr>
                        <w:w w:val="90"/>
                        <w:sz w:val="21"/>
                      </w:rPr>
                      <w:t>| </w:t>
                    </w:r>
                    <w:r>
                      <w:rPr>
                        <w:color w:val="7E7E7E"/>
                        <w:spacing w:val="12"/>
                        <w:sz w:val="21"/>
                      </w:rPr>
                      <w:t>P</w:t>
                    </w:r>
                    <w:r>
                      <w:rPr>
                        <w:color w:val="7E7E7E"/>
                        <w:spacing w:val="1"/>
                        <w:sz w:val="21"/>
                      </w:rPr>
                      <w:t> </w:t>
                    </w:r>
                    <w:r>
                      <w:rPr>
                        <w:color w:val="7E7E7E"/>
                        <w:spacing w:val="12"/>
                        <w:sz w:val="21"/>
                      </w:rPr>
                      <w:t>a</w:t>
                    </w:r>
                    <w:r>
                      <w:rPr>
                        <w:color w:val="7E7E7E"/>
                        <w:spacing w:val="1"/>
                        <w:sz w:val="21"/>
                      </w:rPr>
                      <w:t> </w:t>
                    </w:r>
                    <w:r>
                      <w:rPr>
                        <w:color w:val="7E7E7E"/>
                        <w:sz w:val="21"/>
                      </w:rPr>
                      <w:t>g</w:t>
                    </w:r>
                    <w:r>
                      <w:rPr>
                        <w:color w:val="7E7E7E"/>
                        <w:spacing w:val="13"/>
                        <w:sz w:val="21"/>
                      </w:rPr>
                      <w:t> </w:t>
                    </w:r>
                    <w:r>
                      <w:rPr>
                        <w:color w:val="7E7E7E"/>
                        <w:spacing w:val="-10"/>
                        <w:sz w:val="21"/>
                      </w:rPr>
                      <w:t>e</w:t>
                    </w:r>
                  </w:p>
                </w:txbxContent>
              </v:textbox>
              <w10:wrap type="none"/>
            </v:shape>
          </w:pict>
        </mc:Fallback>
      </mc:AlternateContent>
    </w:r>
  </w:p>
</w:ftr>
</file>

<file path=word/footer1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2568704">
              <wp:simplePos x="0" y="0"/>
              <wp:positionH relativeFrom="page">
                <wp:posOffset>895350</wp:posOffset>
              </wp:positionH>
              <wp:positionV relativeFrom="page">
                <wp:posOffset>9257525</wp:posOffset>
              </wp:positionV>
              <wp:extent cx="5982335" cy="6350"/>
              <wp:effectExtent l="0" t="0" r="0" b="0"/>
              <wp:wrapNone/>
              <wp:docPr id="71" name="Graphic 71"/>
              <wp:cNvGraphicFramePr>
                <a:graphicFrameLocks/>
              </wp:cNvGraphicFramePr>
              <a:graphic>
                <a:graphicData uri="http://schemas.microsoft.com/office/word/2010/wordprocessingShape">
                  <wps:wsp>
                    <wps:cNvPr id="71" name="Graphic 71"/>
                    <wps:cNvSpPr/>
                    <wps:spPr>
                      <a:xfrm>
                        <a:off x="0" y="0"/>
                        <a:ext cx="5982335" cy="6350"/>
                      </a:xfrm>
                      <a:custGeom>
                        <a:avLst/>
                        <a:gdLst/>
                        <a:ahLst/>
                        <a:cxnLst/>
                        <a:rect l="l" t="t" r="r" b="b"/>
                        <a:pathLst>
                          <a:path w="5982335" h="6350">
                            <a:moveTo>
                              <a:pt x="5981712" y="0"/>
                            </a:moveTo>
                            <a:lnTo>
                              <a:pt x="0" y="0"/>
                            </a:lnTo>
                            <a:lnTo>
                              <a:pt x="0" y="6108"/>
                            </a:lnTo>
                            <a:lnTo>
                              <a:pt x="5981712" y="6108"/>
                            </a:lnTo>
                            <a:lnTo>
                              <a:pt x="5981712"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rect style="position:absolute;margin-left:70.5pt;margin-top:728.939026pt;width:471.001pt;height:.481pt;mso-position-horizontal-relative:page;mso-position-vertical-relative:page;z-index:-20747776" id="docshape55" filled="true" fillcolor="#d9d9d9" stroked="false">
              <v:fill type="solid"/>
              <w10:wrap type="none"/>
            </v:rect>
          </w:pict>
        </mc:Fallback>
      </mc:AlternateContent>
    </w:r>
    <w:r>
      <w:rPr/>
      <mc:AlternateContent>
        <mc:Choice Requires="wps">
          <w:drawing>
            <wp:anchor distT="0" distB="0" distL="0" distR="0" allowOverlap="1" layoutInCell="1" locked="0" behindDoc="1" simplePos="0" relativeHeight="482569216">
              <wp:simplePos x="0" y="0"/>
              <wp:positionH relativeFrom="page">
                <wp:posOffset>6152388</wp:posOffset>
              </wp:positionH>
              <wp:positionV relativeFrom="page">
                <wp:posOffset>9262882</wp:posOffset>
              </wp:positionV>
              <wp:extent cx="681355" cy="188595"/>
              <wp:effectExtent l="0" t="0" r="0" b="0"/>
              <wp:wrapNone/>
              <wp:docPr id="72" name="Textbox 72"/>
              <wp:cNvGraphicFramePr>
                <a:graphicFrameLocks/>
              </wp:cNvGraphicFramePr>
              <a:graphic>
                <a:graphicData uri="http://schemas.microsoft.com/office/word/2010/wordprocessingShape">
                  <wps:wsp>
                    <wps:cNvPr id="72" name="Textbox 72"/>
                    <wps:cNvSpPr txBox="1"/>
                    <wps:spPr>
                      <a:xfrm>
                        <a:off x="0" y="0"/>
                        <a:ext cx="681355" cy="188595"/>
                      </a:xfrm>
                      <a:prstGeom prst="rect">
                        <a:avLst/>
                      </a:prstGeom>
                    </wps:spPr>
                    <wps:txbx>
                      <w:txbxContent>
                        <w:p>
                          <w:pPr>
                            <w:spacing w:before="17"/>
                            <w:ind w:left="60" w:right="0" w:firstLine="0"/>
                            <w:jc w:val="left"/>
                            <w:rPr>
                              <w:sz w:val="21"/>
                            </w:rPr>
                          </w:pPr>
                          <w:r>
                            <w:rPr>
                              <w:sz w:val="21"/>
                            </w:rPr>
                            <w:fldChar w:fldCharType="begin"/>
                          </w:r>
                          <w:r>
                            <w:rPr>
                              <w:sz w:val="21"/>
                            </w:rPr>
                            <w:instrText> PAGE </w:instrText>
                          </w:r>
                          <w:r>
                            <w:rPr>
                              <w:sz w:val="21"/>
                            </w:rPr>
                            <w:fldChar w:fldCharType="separate"/>
                          </w:r>
                          <w:r>
                            <w:rPr>
                              <w:sz w:val="21"/>
                            </w:rPr>
                            <w:t>16</w:t>
                          </w:r>
                          <w:r>
                            <w:rPr>
                              <w:sz w:val="21"/>
                            </w:rPr>
                            <w:fldChar w:fldCharType="end"/>
                          </w:r>
                          <w:r>
                            <w:rPr>
                              <w:spacing w:val="-4"/>
                              <w:sz w:val="21"/>
                            </w:rPr>
                            <w:t> </w:t>
                          </w:r>
                          <w:r>
                            <w:rPr>
                              <w:w w:val="90"/>
                              <w:sz w:val="21"/>
                            </w:rPr>
                            <w:t>| </w:t>
                          </w:r>
                          <w:r>
                            <w:rPr>
                              <w:color w:val="7E7E7E"/>
                              <w:spacing w:val="12"/>
                              <w:sz w:val="21"/>
                            </w:rPr>
                            <w:t>P</w:t>
                          </w:r>
                          <w:r>
                            <w:rPr>
                              <w:color w:val="7E7E7E"/>
                              <w:spacing w:val="1"/>
                              <w:sz w:val="21"/>
                            </w:rPr>
                            <w:t> </w:t>
                          </w:r>
                          <w:r>
                            <w:rPr>
                              <w:color w:val="7E7E7E"/>
                              <w:spacing w:val="12"/>
                              <w:sz w:val="21"/>
                            </w:rPr>
                            <w:t>a</w:t>
                          </w:r>
                          <w:r>
                            <w:rPr>
                              <w:color w:val="7E7E7E"/>
                              <w:spacing w:val="1"/>
                              <w:sz w:val="21"/>
                            </w:rPr>
                            <w:t> </w:t>
                          </w:r>
                          <w:r>
                            <w:rPr>
                              <w:color w:val="7E7E7E"/>
                              <w:sz w:val="21"/>
                            </w:rPr>
                            <w:t>g</w:t>
                          </w:r>
                          <w:r>
                            <w:rPr>
                              <w:color w:val="7E7E7E"/>
                              <w:spacing w:val="13"/>
                              <w:sz w:val="21"/>
                            </w:rPr>
                            <w:t> </w:t>
                          </w:r>
                          <w:r>
                            <w:rPr>
                              <w:color w:val="7E7E7E"/>
                              <w:spacing w:val="-10"/>
                              <w:sz w:val="21"/>
                            </w:rPr>
                            <w:t>e</w:t>
                          </w:r>
                        </w:p>
                      </w:txbxContent>
                    </wps:txbx>
                    <wps:bodyPr wrap="square" lIns="0" tIns="0" rIns="0" bIns="0" rtlCol="0">
                      <a:noAutofit/>
                    </wps:bodyPr>
                  </wps:wsp>
                </a:graphicData>
              </a:graphic>
            </wp:anchor>
          </w:drawing>
        </mc:Choice>
        <mc:Fallback>
          <w:pict>
            <v:shape style="position:absolute;margin-left:484.440002pt;margin-top:729.36084pt;width:53.65pt;height:14.85pt;mso-position-horizontal-relative:page;mso-position-vertical-relative:page;z-index:-20747264" type="#_x0000_t202" id="docshape56" filled="false" stroked="false">
              <v:textbox inset="0,0,0,0">
                <w:txbxContent>
                  <w:p>
                    <w:pPr>
                      <w:spacing w:before="17"/>
                      <w:ind w:left="60" w:right="0" w:firstLine="0"/>
                      <w:jc w:val="left"/>
                      <w:rPr>
                        <w:sz w:val="21"/>
                      </w:rPr>
                    </w:pPr>
                    <w:r>
                      <w:rPr>
                        <w:sz w:val="21"/>
                      </w:rPr>
                      <w:fldChar w:fldCharType="begin"/>
                    </w:r>
                    <w:r>
                      <w:rPr>
                        <w:sz w:val="21"/>
                      </w:rPr>
                      <w:instrText> PAGE </w:instrText>
                    </w:r>
                    <w:r>
                      <w:rPr>
                        <w:sz w:val="21"/>
                      </w:rPr>
                      <w:fldChar w:fldCharType="separate"/>
                    </w:r>
                    <w:r>
                      <w:rPr>
                        <w:sz w:val="21"/>
                      </w:rPr>
                      <w:t>16</w:t>
                    </w:r>
                    <w:r>
                      <w:rPr>
                        <w:sz w:val="21"/>
                      </w:rPr>
                      <w:fldChar w:fldCharType="end"/>
                    </w:r>
                    <w:r>
                      <w:rPr>
                        <w:spacing w:val="-4"/>
                        <w:sz w:val="21"/>
                      </w:rPr>
                      <w:t> </w:t>
                    </w:r>
                    <w:r>
                      <w:rPr>
                        <w:w w:val="90"/>
                        <w:sz w:val="21"/>
                      </w:rPr>
                      <w:t>| </w:t>
                    </w:r>
                    <w:r>
                      <w:rPr>
                        <w:color w:val="7E7E7E"/>
                        <w:spacing w:val="12"/>
                        <w:sz w:val="21"/>
                      </w:rPr>
                      <w:t>P</w:t>
                    </w:r>
                    <w:r>
                      <w:rPr>
                        <w:color w:val="7E7E7E"/>
                        <w:spacing w:val="1"/>
                        <w:sz w:val="21"/>
                      </w:rPr>
                      <w:t> </w:t>
                    </w:r>
                    <w:r>
                      <w:rPr>
                        <w:color w:val="7E7E7E"/>
                        <w:spacing w:val="12"/>
                        <w:sz w:val="21"/>
                      </w:rPr>
                      <w:t>a</w:t>
                    </w:r>
                    <w:r>
                      <w:rPr>
                        <w:color w:val="7E7E7E"/>
                        <w:spacing w:val="1"/>
                        <w:sz w:val="21"/>
                      </w:rPr>
                      <w:t> </w:t>
                    </w:r>
                    <w:r>
                      <w:rPr>
                        <w:color w:val="7E7E7E"/>
                        <w:sz w:val="21"/>
                      </w:rPr>
                      <w:t>g</w:t>
                    </w:r>
                    <w:r>
                      <w:rPr>
                        <w:color w:val="7E7E7E"/>
                        <w:spacing w:val="13"/>
                        <w:sz w:val="21"/>
                      </w:rPr>
                      <w:t> </w:t>
                    </w:r>
                    <w:r>
                      <w:rPr>
                        <w:color w:val="7E7E7E"/>
                        <w:spacing w:val="-10"/>
                        <w:sz w:val="21"/>
                      </w:rPr>
                      <w:t>e</w:t>
                    </w:r>
                  </w:p>
                </w:txbxContent>
              </v:textbox>
              <w10:wrap type="none"/>
            </v:shape>
          </w:pict>
        </mc:Fallback>
      </mc:AlternateContent>
    </w:r>
  </w:p>
</w:ftr>
</file>

<file path=word/footer1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2570240">
              <wp:simplePos x="0" y="0"/>
              <wp:positionH relativeFrom="page">
                <wp:posOffset>806195</wp:posOffset>
              </wp:positionH>
              <wp:positionV relativeFrom="page">
                <wp:posOffset>9129509</wp:posOffset>
              </wp:positionV>
              <wp:extent cx="6159500" cy="6350"/>
              <wp:effectExtent l="0" t="0" r="0" b="0"/>
              <wp:wrapNone/>
              <wp:docPr id="74" name="Graphic 74"/>
              <wp:cNvGraphicFramePr>
                <a:graphicFrameLocks/>
              </wp:cNvGraphicFramePr>
              <a:graphic>
                <a:graphicData uri="http://schemas.microsoft.com/office/word/2010/wordprocessingShape">
                  <wps:wsp>
                    <wps:cNvPr id="74" name="Graphic 74"/>
                    <wps:cNvSpPr/>
                    <wps:spPr>
                      <a:xfrm>
                        <a:off x="0" y="0"/>
                        <a:ext cx="6159500" cy="6350"/>
                      </a:xfrm>
                      <a:custGeom>
                        <a:avLst/>
                        <a:gdLst/>
                        <a:ahLst/>
                        <a:cxnLst/>
                        <a:rect l="l" t="t" r="r" b="b"/>
                        <a:pathLst>
                          <a:path w="6159500" h="6350">
                            <a:moveTo>
                              <a:pt x="6159246" y="0"/>
                            </a:moveTo>
                            <a:lnTo>
                              <a:pt x="0" y="0"/>
                            </a:lnTo>
                            <a:lnTo>
                              <a:pt x="0" y="6108"/>
                            </a:lnTo>
                            <a:lnTo>
                              <a:pt x="6159246" y="6108"/>
                            </a:lnTo>
                            <a:lnTo>
                              <a:pt x="6159246"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rect style="position:absolute;margin-left:63.48pt;margin-top:718.859009pt;width:484.98pt;height:.481pt;mso-position-horizontal-relative:page;mso-position-vertical-relative:page;z-index:-20746240" id="docshape58" filled="true" fillcolor="#d9d9d9" stroked="false">
              <v:fill type="solid"/>
              <w10:wrap type="none"/>
            </v:rect>
          </w:pict>
        </mc:Fallback>
      </mc:AlternateContent>
    </w:r>
    <w:r>
      <w:rPr/>
      <mc:AlternateContent>
        <mc:Choice Requires="wps">
          <w:drawing>
            <wp:anchor distT="0" distB="0" distL="0" distR="0" allowOverlap="1" layoutInCell="1" locked="0" behindDoc="1" simplePos="0" relativeHeight="482570752">
              <wp:simplePos x="0" y="0"/>
              <wp:positionH relativeFrom="page">
                <wp:posOffset>6236970</wp:posOffset>
              </wp:positionH>
              <wp:positionV relativeFrom="page">
                <wp:posOffset>9162351</wp:posOffset>
              </wp:positionV>
              <wp:extent cx="721995" cy="158750"/>
              <wp:effectExtent l="0" t="0" r="0" b="0"/>
              <wp:wrapNone/>
              <wp:docPr id="75" name="Textbox 75"/>
              <wp:cNvGraphicFramePr>
                <a:graphicFrameLocks/>
              </wp:cNvGraphicFramePr>
              <a:graphic>
                <a:graphicData uri="http://schemas.microsoft.com/office/word/2010/wordprocessingShape">
                  <wps:wsp>
                    <wps:cNvPr id="75" name="Textbox 75"/>
                    <wps:cNvSpPr txBox="1"/>
                    <wps:spPr>
                      <a:xfrm>
                        <a:off x="0" y="0"/>
                        <a:ext cx="721995" cy="158750"/>
                      </a:xfrm>
                      <a:prstGeom prst="rect">
                        <a:avLst/>
                      </a:prstGeom>
                    </wps:spPr>
                    <wps:txbx>
                      <w:txbxContent>
                        <w:p>
                          <w:pPr>
                            <w:spacing w:line="234" w:lineRule="exact" w:before="0"/>
                            <w:ind w:left="60" w:right="0" w:firstLine="0"/>
                            <w:jc w:val="left"/>
                            <w:rPr>
                              <w:sz w:val="21"/>
                            </w:rPr>
                          </w:pPr>
                          <w:r>
                            <w:rPr>
                              <w:sz w:val="21"/>
                            </w:rPr>
                            <w:fldChar w:fldCharType="begin"/>
                          </w:r>
                          <w:r>
                            <w:rPr>
                              <w:sz w:val="21"/>
                            </w:rPr>
                            <w:instrText> PAGE </w:instrText>
                          </w:r>
                          <w:r>
                            <w:rPr>
                              <w:sz w:val="21"/>
                            </w:rPr>
                            <w:fldChar w:fldCharType="separate"/>
                          </w:r>
                          <w:r>
                            <w:rPr>
                              <w:sz w:val="21"/>
                            </w:rPr>
                            <w:t>17</w:t>
                          </w:r>
                          <w:r>
                            <w:rPr>
                              <w:sz w:val="21"/>
                            </w:rPr>
                            <w:fldChar w:fldCharType="end"/>
                          </w:r>
                          <w:r>
                            <w:rPr>
                              <w:sz w:val="21"/>
                            </w:rPr>
                            <w:t> |</w:t>
                          </w:r>
                          <w:r>
                            <w:rPr>
                              <w:spacing w:val="-1"/>
                              <w:sz w:val="21"/>
                            </w:rPr>
                            <w:t> </w:t>
                          </w:r>
                          <w:r>
                            <w:rPr>
                              <w:color w:val="7E7E7E"/>
                              <w:spacing w:val="11"/>
                              <w:sz w:val="21"/>
                            </w:rPr>
                            <w:t>P</w:t>
                          </w:r>
                          <w:r>
                            <w:rPr>
                              <w:color w:val="7E7E7E"/>
                              <w:sz w:val="21"/>
                            </w:rPr>
                            <w:t> a</w:t>
                          </w:r>
                          <w:r>
                            <w:rPr>
                              <w:color w:val="7E7E7E"/>
                              <w:spacing w:val="12"/>
                              <w:sz w:val="21"/>
                            </w:rPr>
                            <w:t> g</w:t>
                          </w:r>
                          <w:r>
                            <w:rPr>
                              <w:color w:val="7E7E7E"/>
                              <w:sz w:val="21"/>
                            </w:rPr>
                            <w:t> </w:t>
                          </w:r>
                          <w:r>
                            <w:rPr>
                              <w:color w:val="7E7E7E"/>
                              <w:spacing w:val="-10"/>
                              <w:sz w:val="21"/>
                            </w:rPr>
                            <w:t>e</w:t>
                          </w:r>
                          <w:r>
                            <w:rPr>
                              <w:color w:val="7E7E7E"/>
                              <w:sz w:val="21"/>
                            </w:rPr>
                            <w:t> </w:t>
                          </w:r>
                        </w:p>
                      </w:txbxContent>
                    </wps:txbx>
                    <wps:bodyPr wrap="square" lIns="0" tIns="0" rIns="0" bIns="0" rtlCol="0">
                      <a:noAutofit/>
                    </wps:bodyPr>
                  </wps:wsp>
                </a:graphicData>
              </a:graphic>
            </wp:anchor>
          </w:drawing>
        </mc:Choice>
        <mc:Fallback>
          <w:pict>
            <v:shape style="position:absolute;margin-left:491.100006pt;margin-top:721.445007pt;width:56.85pt;height:12.5pt;mso-position-horizontal-relative:page;mso-position-vertical-relative:page;z-index:-20745728" type="#_x0000_t202" id="docshape59" filled="false" stroked="false">
              <v:textbox inset="0,0,0,0">
                <w:txbxContent>
                  <w:p>
                    <w:pPr>
                      <w:spacing w:line="234" w:lineRule="exact" w:before="0"/>
                      <w:ind w:left="60" w:right="0" w:firstLine="0"/>
                      <w:jc w:val="left"/>
                      <w:rPr>
                        <w:sz w:val="21"/>
                      </w:rPr>
                    </w:pPr>
                    <w:r>
                      <w:rPr>
                        <w:sz w:val="21"/>
                      </w:rPr>
                      <w:fldChar w:fldCharType="begin"/>
                    </w:r>
                    <w:r>
                      <w:rPr>
                        <w:sz w:val="21"/>
                      </w:rPr>
                      <w:instrText> PAGE </w:instrText>
                    </w:r>
                    <w:r>
                      <w:rPr>
                        <w:sz w:val="21"/>
                      </w:rPr>
                      <w:fldChar w:fldCharType="separate"/>
                    </w:r>
                    <w:r>
                      <w:rPr>
                        <w:sz w:val="21"/>
                      </w:rPr>
                      <w:t>17</w:t>
                    </w:r>
                    <w:r>
                      <w:rPr>
                        <w:sz w:val="21"/>
                      </w:rPr>
                      <w:fldChar w:fldCharType="end"/>
                    </w:r>
                    <w:r>
                      <w:rPr>
                        <w:sz w:val="21"/>
                      </w:rPr>
                      <w:t> |</w:t>
                    </w:r>
                    <w:r>
                      <w:rPr>
                        <w:spacing w:val="-1"/>
                        <w:sz w:val="21"/>
                      </w:rPr>
                      <w:t> </w:t>
                    </w:r>
                    <w:r>
                      <w:rPr>
                        <w:color w:val="7E7E7E"/>
                        <w:spacing w:val="11"/>
                        <w:sz w:val="21"/>
                      </w:rPr>
                      <w:t>P</w:t>
                    </w:r>
                    <w:r>
                      <w:rPr>
                        <w:color w:val="7E7E7E"/>
                        <w:sz w:val="21"/>
                      </w:rPr>
                      <w:t> a</w:t>
                    </w:r>
                    <w:r>
                      <w:rPr>
                        <w:color w:val="7E7E7E"/>
                        <w:spacing w:val="12"/>
                        <w:sz w:val="21"/>
                      </w:rPr>
                      <w:t> g</w:t>
                    </w:r>
                    <w:r>
                      <w:rPr>
                        <w:color w:val="7E7E7E"/>
                        <w:sz w:val="21"/>
                      </w:rPr>
                      <w:t> </w:t>
                    </w:r>
                    <w:r>
                      <w:rPr>
                        <w:color w:val="7E7E7E"/>
                        <w:spacing w:val="-10"/>
                        <w:sz w:val="21"/>
                      </w:rPr>
                      <w:t>e</w:t>
                    </w:r>
                    <w:r>
                      <w:rPr>
                        <w:color w:val="7E7E7E"/>
                        <w:sz w:val="21"/>
                      </w:rPr>
                      <w:t> </w:t>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2551296">
              <wp:simplePos x="0" y="0"/>
              <wp:positionH relativeFrom="page">
                <wp:posOffset>5307342</wp:posOffset>
              </wp:positionH>
              <wp:positionV relativeFrom="page">
                <wp:posOffset>9220484</wp:posOffset>
              </wp:positionV>
              <wp:extent cx="1829435" cy="227965"/>
              <wp:effectExtent l="0" t="0" r="0" b="0"/>
              <wp:wrapNone/>
              <wp:docPr id="28" name="Textbox 28"/>
              <wp:cNvGraphicFramePr>
                <a:graphicFrameLocks/>
              </wp:cNvGraphicFramePr>
              <a:graphic>
                <a:graphicData uri="http://schemas.microsoft.com/office/word/2010/wordprocessingShape">
                  <wps:wsp>
                    <wps:cNvPr id="28" name="Textbox 28"/>
                    <wps:cNvSpPr txBox="1"/>
                    <wps:spPr>
                      <a:xfrm>
                        <a:off x="0" y="0"/>
                        <a:ext cx="1829435" cy="227965"/>
                      </a:xfrm>
                      <a:prstGeom prst="rect">
                        <a:avLst/>
                      </a:prstGeom>
                    </wps:spPr>
                    <wps:txbx>
                      <w:txbxContent>
                        <w:p>
                          <w:pPr>
                            <w:spacing w:before="16"/>
                            <w:ind w:left="20" w:right="0" w:firstLine="0"/>
                            <w:jc w:val="left"/>
                            <w:rPr>
                              <w:rFonts w:ascii="Georgia"/>
                              <w:sz w:val="28"/>
                            </w:rPr>
                          </w:pPr>
                          <w:r>
                            <w:rPr>
                              <w:rFonts w:ascii="Georgia"/>
                              <w:spacing w:val="-8"/>
                              <w:sz w:val="28"/>
                            </w:rPr>
                            <w:t>FY</w:t>
                          </w:r>
                          <w:r>
                            <w:rPr>
                              <w:rFonts w:ascii="Georgia"/>
                              <w:spacing w:val="-9"/>
                              <w:sz w:val="28"/>
                            </w:rPr>
                            <w:t> </w:t>
                          </w:r>
                          <w:r>
                            <w:rPr>
                              <w:rFonts w:ascii="Georgia"/>
                              <w:spacing w:val="-8"/>
                              <w:sz w:val="28"/>
                            </w:rPr>
                            <w:t>2025 Annual</w:t>
                          </w:r>
                          <w:r>
                            <w:rPr>
                              <w:rFonts w:ascii="Georgia"/>
                              <w:spacing w:val="-9"/>
                              <w:sz w:val="28"/>
                            </w:rPr>
                            <w:t> </w:t>
                          </w:r>
                          <w:r>
                            <w:rPr>
                              <w:rFonts w:ascii="Georgia"/>
                              <w:spacing w:val="-8"/>
                              <w:sz w:val="28"/>
                            </w:rPr>
                            <w:t>Report</w:t>
                          </w:r>
                        </w:p>
                      </w:txbxContent>
                    </wps:txbx>
                    <wps:bodyPr wrap="square" lIns="0" tIns="0" rIns="0" bIns="0" rtlCol="0">
                      <a:noAutofit/>
                    </wps:bodyPr>
                  </wps:wsp>
                </a:graphicData>
              </a:graphic>
            </wp:anchor>
          </w:drawing>
        </mc:Choice>
        <mc:Fallback>
          <w:pict>
            <v:shape style="position:absolute;margin-left:417.901001pt;margin-top:726.02240pt;width:144.050pt;height:17.95pt;mso-position-horizontal-relative:page;mso-position-vertical-relative:page;z-index:-20765184" type="#_x0000_t202" id="docshape15" filled="false" stroked="false">
              <v:textbox inset="0,0,0,0">
                <w:txbxContent>
                  <w:p>
                    <w:pPr>
                      <w:spacing w:before="16"/>
                      <w:ind w:left="20" w:right="0" w:firstLine="0"/>
                      <w:jc w:val="left"/>
                      <w:rPr>
                        <w:rFonts w:ascii="Georgia"/>
                        <w:sz w:val="28"/>
                      </w:rPr>
                    </w:pPr>
                    <w:r>
                      <w:rPr>
                        <w:rFonts w:ascii="Georgia"/>
                        <w:spacing w:val="-8"/>
                        <w:sz w:val="28"/>
                      </w:rPr>
                      <w:t>FY</w:t>
                    </w:r>
                    <w:r>
                      <w:rPr>
                        <w:rFonts w:ascii="Georgia"/>
                        <w:spacing w:val="-9"/>
                        <w:sz w:val="28"/>
                      </w:rPr>
                      <w:t> </w:t>
                    </w:r>
                    <w:r>
                      <w:rPr>
                        <w:rFonts w:ascii="Georgia"/>
                        <w:spacing w:val="-8"/>
                        <w:sz w:val="28"/>
                      </w:rPr>
                      <w:t>2025 Annual</w:t>
                    </w:r>
                    <w:r>
                      <w:rPr>
                        <w:rFonts w:ascii="Georgia"/>
                        <w:spacing w:val="-9"/>
                        <w:sz w:val="28"/>
                      </w:rPr>
                      <w:t> </w:t>
                    </w:r>
                    <w:r>
                      <w:rPr>
                        <w:rFonts w:ascii="Georgia"/>
                        <w:spacing w:val="-8"/>
                        <w:sz w:val="28"/>
                      </w:rPr>
                      <w:t>Report</w:t>
                    </w:r>
                  </w:p>
                </w:txbxContent>
              </v:textbox>
              <w10:wrap type="none"/>
            </v:shape>
          </w:pict>
        </mc:Fallback>
      </mc:AlternateContent>
    </w:r>
  </w:p>
</w:ftr>
</file>

<file path=word/footer2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2571776">
              <wp:simplePos x="0" y="0"/>
              <wp:positionH relativeFrom="page">
                <wp:posOffset>6236970</wp:posOffset>
              </wp:positionH>
              <wp:positionV relativeFrom="page">
                <wp:posOffset>9162351</wp:posOffset>
              </wp:positionV>
              <wp:extent cx="721995" cy="158750"/>
              <wp:effectExtent l="0" t="0" r="0" b="0"/>
              <wp:wrapNone/>
              <wp:docPr id="85" name="Textbox 85"/>
              <wp:cNvGraphicFramePr>
                <a:graphicFrameLocks/>
              </wp:cNvGraphicFramePr>
              <a:graphic>
                <a:graphicData uri="http://schemas.microsoft.com/office/word/2010/wordprocessingShape">
                  <wps:wsp>
                    <wps:cNvPr id="85" name="Textbox 85"/>
                    <wps:cNvSpPr txBox="1"/>
                    <wps:spPr>
                      <a:xfrm>
                        <a:off x="0" y="0"/>
                        <a:ext cx="721995" cy="158750"/>
                      </a:xfrm>
                      <a:prstGeom prst="rect">
                        <a:avLst/>
                      </a:prstGeom>
                    </wps:spPr>
                    <wps:txbx>
                      <w:txbxContent>
                        <w:p>
                          <w:pPr>
                            <w:spacing w:line="234" w:lineRule="exact" w:before="0"/>
                            <w:ind w:left="60" w:right="0" w:firstLine="0"/>
                            <w:jc w:val="left"/>
                            <w:rPr>
                              <w:sz w:val="21"/>
                            </w:rPr>
                          </w:pPr>
                          <w:r>
                            <w:rPr>
                              <w:sz w:val="21"/>
                            </w:rPr>
                            <w:fldChar w:fldCharType="begin"/>
                          </w:r>
                          <w:r>
                            <w:rPr>
                              <w:sz w:val="21"/>
                            </w:rPr>
                            <w:instrText> PAGE </w:instrText>
                          </w:r>
                          <w:r>
                            <w:rPr>
                              <w:sz w:val="21"/>
                            </w:rPr>
                            <w:fldChar w:fldCharType="separate"/>
                          </w:r>
                          <w:r>
                            <w:rPr>
                              <w:sz w:val="21"/>
                            </w:rPr>
                            <w:t>23</w:t>
                          </w:r>
                          <w:r>
                            <w:rPr>
                              <w:sz w:val="21"/>
                            </w:rPr>
                            <w:fldChar w:fldCharType="end"/>
                          </w:r>
                          <w:r>
                            <w:rPr>
                              <w:sz w:val="21"/>
                            </w:rPr>
                            <w:t> |</w:t>
                          </w:r>
                          <w:r>
                            <w:rPr>
                              <w:spacing w:val="-1"/>
                              <w:sz w:val="21"/>
                            </w:rPr>
                            <w:t> </w:t>
                          </w:r>
                          <w:r>
                            <w:rPr>
                              <w:color w:val="7E7E7E"/>
                              <w:spacing w:val="11"/>
                              <w:sz w:val="21"/>
                            </w:rPr>
                            <w:t>P</w:t>
                          </w:r>
                          <w:r>
                            <w:rPr>
                              <w:color w:val="7E7E7E"/>
                              <w:sz w:val="21"/>
                            </w:rPr>
                            <w:t> a</w:t>
                          </w:r>
                          <w:r>
                            <w:rPr>
                              <w:color w:val="7E7E7E"/>
                              <w:spacing w:val="12"/>
                              <w:sz w:val="21"/>
                            </w:rPr>
                            <w:t> g</w:t>
                          </w:r>
                          <w:r>
                            <w:rPr>
                              <w:color w:val="7E7E7E"/>
                              <w:sz w:val="21"/>
                            </w:rPr>
                            <w:t> </w:t>
                          </w:r>
                          <w:r>
                            <w:rPr>
                              <w:color w:val="7E7E7E"/>
                              <w:spacing w:val="-10"/>
                              <w:sz w:val="21"/>
                            </w:rPr>
                            <w:t>e</w:t>
                          </w:r>
                          <w:r>
                            <w:rPr>
                              <w:color w:val="7E7E7E"/>
                              <w:sz w:val="21"/>
                            </w:rPr>
                            <w:t> </w:t>
                          </w:r>
                        </w:p>
                      </w:txbxContent>
                    </wps:txbx>
                    <wps:bodyPr wrap="square" lIns="0" tIns="0" rIns="0" bIns="0" rtlCol="0">
                      <a:noAutofit/>
                    </wps:bodyPr>
                  </wps:wsp>
                </a:graphicData>
              </a:graphic>
            </wp:anchor>
          </w:drawing>
        </mc:Choice>
        <mc:Fallback>
          <w:pict>
            <v:shape style="position:absolute;margin-left:491.100006pt;margin-top:721.445007pt;width:56.85pt;height:12.5pt;mso-position-horizontal-relative:page;mso-position-vertical-relative:page;z-index:-20744704" type="#_x0000_t202" id="docshape68" filled="false" stroked="false">
              <v:textbox inset="0,0,0,0">
                <w:txbxContent>
                  <w:p>
                    <w:pPr>
                      <w:spacing w:line="234" w:lineRule="exact" w:before="0"/>
                      <w:ind w:left="60" w:right="0" w:firstLine="0"/>
                      <w:jc w:val="left"/>
                      <w:rPr>
                        <w:sz w:val="21"/>
                      </w:rPr>
                    </w:pPr>
                    <w:r>
                      <w:rPr>
                        <w:sz w:val="21"/>
                      </w:rPr>
                      <w:fldChar w:fldCharType="begin"/>
                    </w:r>
                    <w:r>
                      <w:rPr>
                        <w:sz w:val="21"/>
                      </w:rPr>
                      <w:instrText> PAGE </w:instrText>
                    </w:r>
                    <w:r>
                      <w:rPr>
                        <w:sz w:val="21"/>
                      </w:rPr>
                      <w:fldChar w:fldCharType="separate"/>
                    </w:r>
                    <w:r>
                      <w:rPr>
                        <w:sz w:val="21"/>
                      </w:rPr>
                      <w:t>23</w:t>
                    </w:r>
                    <w:r>
                      <w:rPr>
                        <w:sz w:val="21"/>
                      </w:rPr>
                      <w:fldChar w:fldCharType="end"/>
                    </w:r>
                    <w:r>
                      <w:rPr>
                        <w:sz w:val="21"/>
                      </w:rPr>
                      <w:t> |</w:t>
                    </w:r>
                    <w:r>
                      <w:rPr>
                        <w:spacing w:val="-1"/>
                        <w:sz w:val="21"/>
                      </w:rPr>
                      <w:t> </w:t>
                    </w:r>
                    <w:r>
                      <w:rPr>
                        <w:color w:val="7E7E7E"/>
                        <w:spacing w:val="11"/>
                        <w:sz w:val="21"/>
                      </w:rPr>
                      <w:t>P</w:t>
                    </w:r>
                    <w:r>
                      <w:rPr>
                        <w:color w:val="7E7E7E"/>
                        <w:sz w:val="21"/>
                      </w:rPr>
                      <w:t> a</w:t>
                    </w:r>
                    <w:r>
                      <w:rPr>
                        <w:color w:val="7E7E7E"/>
                        <w:spacing w:val="12"/>
                        <w:sz w:val="21"/>
                      </w:rPr>
                      <w:t> g</w:t>
                    </w:r>
                    <w:r>
                      <w:rPr>
                        <w:color w:val="7E7E7E"/>
                        <w:sz w:val="21"/>
                      </w:rPr>
                      <w:t> </w:t>
                    </w:r>
                    <w:r>
                      <w:rPr>
                        <w:color w:val="7E7E7E"/>
                        <w:spacing w:val="-10"/>
                        <w:sz w:val="21"/>
                      </w:rPr>
                      <w:t>e</w:t>
                    </w:r>
                    <w:r>
                      <w:rPr>
                        <w:color w:val="7E7E7E"/>
                        <w:sz w:val="21"/>
                      </w:rPr>
                      <w:t> </w:t>
                    </w:r>
                  </w:p>
                </w:txbxContent>
              </v:textbox>
              <w10:wrap type="none"/>
            </v:shape>
          </w:pict>
        </mc:Fallback>
      </mc:AlternateContent>
    </w:r>
  </w:p>
</w:ftr>
</file>

<file path=word/footer2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2572800">
              <wp:simplePos x="0" y="0"/>
              <wp:positionH relativeFrom="page">
                <wp:posOffset>806195</wp:posOffset>
              </wp:positionH>
              <wp:positionV relativeFrom="page">
                <wp:posOffset>9129509</wp:posOffset>
              </wp:positionV>
              <wp:extent cx="6159500" cy="6350"/>
              <wp:effectExtent l="0" t="0" r="0" b="0"/>
              <wp:wrapNone/>
              <wp:docPr id="91" name="Graphic 91"/>
              <wp:cNvGraphicFramePr>
                <a:graphicFrameLocks/>
              </wp:cNvGraphicFramePr>
              <a:graphic>
                <a:graphicData uri="http://schemas.microsoft.com/office/word/2010/wordprocessingShape">
                  <wps:wsp>
                    <wps:cNvPr id="91" name="Graphic 91"/>
                    <wps:cNvSpPr/>
                    <wps:spPr>
                      <a:xfrm>
                        <a:off x="0" y="0"/>
                        <a:ext cx="6159500" cy="6350"/>
                      </a:xfrm>
                      <a:custGeom>
                        <a:avLst/>
                        <a:gdLst/>
                        <a:ahLst/>
                        <a:cxnLst/>
                        <a:rect l="l" t="t" r="r" b="b"/>
                        <a:pathLst>
                          <a:path w="6159500" h="6350">
                            <a:moveTo>
                              <a:pt x="6159246" y="0"/>
                            </a:moveTo>
                            <a:lnTo>
                              <a:pt x="0" y="0"/>
                            </a:lnTo>
                            <a:lnTo>
                              <a:pt x="0" y="6108"/>
                            </a:lnTo>
                            <a:lnTo>
                              <a:pt x="6159246" y="6108"/>
                            </a:lnTo>
                            <a:lnTo>
                              <a:pt x="6159246"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rect style="position:absolute;margin-left:63.48pt;margin-top:718.859009pt;width:484.98pt;height:.481pt;mso-position-horizontal-relative:page;mso-position-vertical-relative:page;z-index:-20743680" id="docshape74" filled="true" fillcolor="#d9d9d9" stroked="false">
              <v:fill type="solid"/>
              <w10:wrap type="none"/>
            </v:rect>
          </w:pict>
        </mc:Fallback>
      </mc:AlternateContent>
    </w:r>
    <w:r>
      <w:rPr/>
      <mc:AlternateContent>
        <mc:Choice Requires="wps">
          <w:drawing>
            <wp:anchor distT="0" distB="0" distL="0" distR="0" allowOverlap="1" layoutInCell="1" locked="0" behindDoc="1" simplePos="0" relativeHeight="482573312">
              <wp:simplePos x="0" y="0"/>
              <wp:positionH relativeFrom="page">
                <wp:posOffset>6236970</wp:posOffset>
              </wp:positionH>
              <wp:positionV relativeFrom="page">
                <wp:posOffset>9162351</wp:posOffset>
              </wp:positionV>
              <wp:extent cx="721995" cy="158750"/>
              <wp:effectExtent l="0" t="0" r="0" b="0"/>
              <wp:wrapNone/>
              <wp:docPr id="92" name="Textbox 92"/>
              <wp:cNvGraphicFramePr>
                <a:graphicFrameLocks/>
              </wp:cNvGraphicFramePr>
              <a:graphic>
                <a:graphicData uri="http://schemas.microsoft.com/office/word/2010/wordprocessingShape">
                  <wps:wsp>
                    <wps:cNvPr id="92" name="Textbox 92"/>
                    <wps:cNvSpPr txBox="1"/>
                    <wps:spPr>
                      <a:xfrm>
                        <a:off x="0" y="0"/>
                        <a:ext cx="721995" cy="158750"/>
                      </a:xfrm>
                      <a:prstGeom prst="rect">
                        <a:avLst/>
                      </a:prstGeom>
                    </wps:spPr>
                    <wps:txbx>
                      <w:txbxContent>
                        <w:p>
                          <w:pPr>
                            <w:spacing w:line="234" w:lineRule="exact" w:before="0"/>
                            <w:ind w:left="60" w:right="0" w:firstLine="0"/>
                            <w:jc w:val="left"/>
                            <w:rPr>
                              <w:sz w:val="21"/>
                            </w:rPr>
                          </w:pPr>
                          <w:r>
                            <w:rPr>
                              <w:sz w:val="21"/>
                            </w:rPr>
                            <w:fldChar w:fldCharType="begin"/>
                          </w:r>
                          <w:r>
                            <w:rPr>
                              <w:sz w:val="21"/>
                            </w:rPr>
                            <w:instrText> PAGE </w:instrText>
                          </w:r>
                          <w:r>
                            <w:rPr>
                              <w:sz w:val="21"/>
                            </w:rPr>
                            <w:fldChar w:fldCharType="separate"/>
                          </w:r>
                          <w:r>
                            <w:rPr>
                              <w:sz w:val="21"/>
                            </w:rPr>
                            <w:t>24</w:t>
                          </w:r>
                          <w:r>
                            <w:rPr>
                              <w:sz w:val="21"/>
                            </w:rPr>
                            <w:fldChar w:fldCharType="end"/>
                          </w:r>
                          <w:r>
                            <w:rPr>
                              <w:sz w:val="21"/>
                            </w:rPr>
                            <w:t> |</w:t>
                          </w:r>
                          <w:r>
                            <w:rPr>
                              <w:spacing w:val="-1"/>
                              <w:sz w:val="21"/>
                            </w:rPr>
                            <w:t> </w:t>
                          </w:r>
                          <w:r>
                            <w:rPr>
                              <w:color w:val="7E7E7E"/>
                              <w:spacing w:val="11"/>
                              <w:sz w:val="21"/>
                            </w:rPr>
                            <w:t>P</w:t>
                          </w:r>
                          <w:r>
                            <w:rPr>
                              <w:color w:val="7E7E7E"/>
                              <w:sz w:val="21"/>
                            </w:rPr>
                            <w:t> a</w:t>
                          </w:r>
                          <w:r>
                            <w:rPr>
                              <w:color w:val="7E7E7E"/>
                              <w:spacing w:val="12"/>
                              <w:sz w:val="21"/>
                            </w:rPr>
                            <w:t> g</w:t>
                          </w:r>
                          <w:r>
                            <w:rPr>
                              <w:color w:val="7E7E7E"/>
                              <w:sz w:val="21"/>
                            </w:rPr>
                            <w:t> </w:t>
                          </w:r>
                          <w:r>
                            <w:rPr>
                              <w:color w:val="7E7E7E"/>
                              <w:spacing w:val="-10"/>
                              <w:sz w:val="21"/>
                            </w:rPr>
                            <w:t>e</w:t>
                          </w:r>
                          <w:r>
                            <w:rPr>
                              <w:color w:val="7E7E7E"/>
                              <w:sz w:val="21"/>
                            </w:rPr>
                            <w:t> </w:t>
                          </w:r>
                        </w:p>
                      </w:txbxContent>
                    </wps:txbx>
                    <wps:bodyPr wrap="square" lIns="0" tIns="0" rIns="0" bIns="0" rtlCol="0">
                      <a:noAutofit/>
                    </wps:bodyPr>
                  </wps:wsp>
                </a:graphicData>
              </a:graphic>
            </wp:anchor>
          </w:drawing>
        </mc:Choice>
        <mc:Fallback>
          <w:pict>
            <v:shape style="position:absolute;margin-left:491.100006pt;margin-top:721.445007pt;width:56.85pt;height:12.5pt;mso-position-horizontal-relative:page;mso-position-vertical-relative:page;z-index:-20743168" type="#_x0000_t202" id="docshape75" filled="false" stroked="false">
              <v:textbox inset="0,0,0,0">
                <w:txbxContent>
                  <w:p>
                    <w:pPr>
                      <w:spacing w:line="234" w:lineRule="exact" w:before="0"/>
                      <w:ind w:left="60" w:right="0" w:firstLine="0"/>
                      <w:jc w:val="left"/>
                      <w:rPr>
                        <w:sz w:val="21"/>
                      </w:rPr>
                    </w:pPr>
                    <w:r>
                      <w:rPr>
                        <w:sz w:val="21"/>
                      </w:rPr>
                      <w:fldChar w:fldCharType="begin"/>
                    </w:r>
                    <w:r>
                      <w:rPr>
                        <w:sz w:val="21"/>
                      </w:rPr>
                      <w:instrText> PAGE </w:instrText>
                    </w:r>
                    <w:r>
                      <w:rPr>
                        <w:sz w:val="21"/>
                      </w:rPr>
                      <w:fldChar w:fldCharType="separate"/>
                    </w:r>
                    <w:r>
                      <w:rPr>
                        <w:sz w:val="21"/>
                      </w:rPr>
                      <w:t>24</w:t>
                    </w:r>
                    <w:r>
                      <w:rPr>
                        <w:sz w:val="21"/>
                      </w:rPr>
                      <w:fldChar w:fldCharType="end"/>
                    </w:r>
                    <w:r>
                      <w:rPr>
                        <w:sz w:val="21"/>
                      </w:rPr>
                      <w:t> |</w:t>
                    </w:r>
                    <w:r>
                      <w:rPr>
                        <w:spacing w:val="-1"/>
                        <w:sz w:val="21"/>
                      </w:rPr>
                      <w:t> </w:t>
                    </w:r>
                    <w:r>
                      <w:rPr>
                        <w:color w:val="7E7E7E"/>
                        <w:spacing w:val="11"/>
                        <w:sz w:val="21"/>
                      </w:rPr>
                      <w:t>P</w:t>
                    </w:r>
                    <w:r>
                      <w:rPr>
                        <w:color w:val="7E7E7E"/>
                        <w:sz w:val="21"/>
                      </w:rPr>
                      <w:t> a</w:t>
                    </w:r>
                    <w:r>
                      <w:rPr>
                        <w:color w:val="7E7E7E"/>
                        <w:spacing w:val="12"/>
                        <w:sz w:val="21"/>
                      </w:rPr>
                      <w:t> g</w:t>
                    </w:r>
                    <w:r>
                      <w:rPr>
                        <w:color w:val="7E7E7E"/>
                        <w:sz w:val="21"/>
                      </w:rPr>
                      <w:t> </w:t>
                    </w:r>
                    <w:r>
                      <w:rPr>
                        <w:color w:val="7E7E7E"/>
                        <w:spacing w:val="-10"/>
                        <w:sz w:val="21"/>
                      </w:rPr>
                      <w:t>e</w:t>
                    </w:r>
                    <w:r>
                      <w:rPr>
                        <w:color w:val="7E7E7E"/>
                        <w:sz w:val="21"/>
                      </w:rPr>
                      <w:t> </w:t>
                    </w:r>
                  </w:p>
                </w:txbxContent>
              </v:textbox>
              <w10:wrap type="none"/>
            </v:shape>
          </w:pict>
        </mc:Fallback>
      </mc:AlternateContent>
    </w:r>
  </w:p>
</w:ftr>
</file>

<file path=word/footer2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2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2574336">
              <wp:simplePos x="0" y="0"/>
              <wp:positionH relativeFrom="page">
                <wp:posOffset>895350</wp:posOffset>
              </wp:positionH>
              <wp:positionV relativeFrom="page">
                <wp:posOffset>9270492</wp:posOffset>
              </wp:positionV>
              <wp:extent cx="5982335" cy="6350"/>
              <wp:effectExtent l="0" t="0" r="0" b="0"/>
              <wp:wrapNone/>
              <wp:docPr id="127" name="Graphic 127"/>
              <wp:cNvGraphicFramePr>
                <a:graphicFrameLocks/>
              </wp:cNvGraphicFramePr>
              <a:graphic>
                <a:graphicData uri="http://schemas.microsoft.com/office/word/2010/wordprocessingShape">
                  <wps:wsp>
                    <wps:cNvPr id="127" name="Graphic 127"/>
                    <wps:cNvSpPr/>
                    <wps:spPr>
                      <a:xfrm>
                        <a:off x="0" y="0"/>
                        <a:ext cx="5982335" cy="6350"/>
                      </a:xfrm>
                      <a:custGeom>
                        <a:avLst/>
                        <a:gdLst/>
                        <a:ahLst/>
                        <a:cxnLst/>
                        <a:rect l="l" t="t" r="r" b="b"/>
                        <a:pathLst>
                          <a:path w="5982335" h="6350">
                            <a:moveTo>
                              <a:pt x="5981712" y="0"/>
                            </a:moveTo>
                            <a:lnTo>
                              <a:pt x="0" y="0"/>
                            </a:lnTo>
                            <a:lnTo>
                              <a:pt x="0" y="6095"/>
                            </a:lnTo>
                            <a:lnTo>
                              <a:pt x="5981712" y="6095"/>
                            </a:lnTo>
                            <a:lnTo>
                              <a:pt x="5981712"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rect style="position:absolute;margin-left:70.5pt;margin-top:729.960022pt;width:471.001pt;height:.48pt;mso-position-horizontal-relative:page;mso-position-vertical-relative:page;z-index:-20742144" id="docshape108" filled="true" fillcolor="#d9d9d9" stroked="false">
              <v:fill type="solid"/>
              <w10:wrap type="none"/>
            </v:rect>
          </w:pict>
        </mc:Fallback>
      </mc:AlternateContent>
    </w:r>
    <w:r>
      <w:rPr/>
      <mc:AlternateContent>
        <mc:Choice Requires="wps">
          <w:drawing>
            <wp:anchor distT="0" distB="0" distL="0" distR="0" allowOverlap="1" layoutInCell="1" locked="0" behindDoc="1" simplePos="0" relativeHeight="482574848">
              <wp:simplePos x="0" y="0"/>
              <wp:positionH relativeFrom="page">
                <wp:posOffset>6147053</wp:posOffset>
              </wp:positionH>
              <wp:positionV relativeFrom="page">
                <wp:posOffset>9275863</wp:posOffset>
              </wp:positionV>
              <wp:extent cx="685800" cy="182245"/>
              <wp:effectExtent l="0" t="0" r="0" b="0"/>
              <wp:wrapNone/>
              <wp:docPr id="128" name="Textbox 128"/>
              <wp:cNvGraphicFramePr>
                <a:graphicFrameLocks/>
              </wp:cNvGraphicFramePr>
              <a:graphic>
                <a:graphicData uri="http://schemas.microsoft.com/office/word/2010/wordprocessingShape">
                  <wps:wsp>
                    <wps:cNvPr id="128" name="Textbox 128"/>
                    <wps:cNvSpPr txBox="1"/>
                    <wps:spPr>
                      <a:xfrm>
                        <a:off x="0" y="0"/>
                        <a:ext cx="685800" cy="182245"/>
                      </a:xfrm>
                      <a:prstGeom prst="rect">
                        <a:avLst/>
                      </a:prstGeom>
                    </wps:spPr>
                    <wps:txbx>
                      <w:txbxContent>
                        <w:p>
                          <w:pPr>
                            <w:spacing w:before="20"/>
                            <w:ind w:left="60" w:right="0" w:firstLine="0"/>
                            <w:jc w:val="left"/>
                            <w:rPr>
                              <w:rFonts w:ascii="Cambria"/>
                              <w:sz w:val="21"/>
                            </w:rPr>
                          </w:pPr>
                          <w:r>
                            <w:rPr>
                              <w:rFonts w:ascii="Cambria"/>
                              <w:sz w:val="21"/>
                            </w:rPr>
                            <w:fldChar w:fldCharType="begin"/>
                          </w:r>
                          <w:r>
                            <w:rPr>
                              <w:rFonts w:ascii="Cambria"/>
                              <w:sz w:val="21"/>
                            </w:rPr>
                            <w:instrText> PAGE </w:instrText>
                          </w:r>
                          <w:r>
                            <w:rPr>
                              <w:rFonts w:ascii="Cambria"/>
                              <w:sz w:val="21"/>
                            </w:rPr>
                            <w:fldChar w:fldCharType="separate"/>
                          </w:r>
                          <w:r>
                            <w:rPr>
                              <w:rFonts w:ascii="Cambria"/>
                              <w:sz w:val="21"/>
                            </w:rPr>
                            <w:t>31</w:t>
                          </w:r>
                          <w:r>
                            <w:rPr>
                              <w:rFonts w:ascii="Cambria"/>
                              <w:sz w:val="21"/>
                            </w:rPr>
                            <w:fldChar w:fldCharType="end"/>
                          </w:r>
                          <w:r>
                            <w:rPr>
                              <w:rFonts w:ascii="Cambria"/>
                              <w:sz w:val="21"/>
                            </w:rPr>
                            <w:t> | </w:t>
                          </w:r>
                          <w:r>
                            <w:rPr>
                              <w:rFonts w:ascii="Cambria"/>
                              <w:color w:val="7E7E7E"/>
                              <w:spacing w:val="13"/>
                              <w:sz w:val="21"/>
                            </w:rPr>
                            <w:t>P</w:t>
                          </w:r>
                          <w:r>
                            <w:rPr>
                              <w:rFonts w:ascii="Cambria"/>
                              <w:color w:val="7E7E7E"/>
                              <w:sz w:val="21"/>
                            </w:rPr>
                            <w:t> </w:t>
                          </w:r>
                          <w:r>
                            <w:rPr>
                              <w:rFonts w:ascii="Cambria"/>
                              <w:color w:val="7E7E7E"/>
                              <w:spacing w:val="13"/>
                              <w:sz w:val="21"/>
                            </w:rPr>
                            <w:t>a</w:t>
                          </w:r>
                          <w:r>
                            <w:rPr>
                              <w:rFonts w:ascii="Cambria"/>
                              <w:color w:val="7E7E7E"/>
                              <w:sz w:val="21"/>
                            </w:rPr>
                            <w:t> g</w:t>
                          </w:r>
                          <w:r>
                            <w:rPr>
                              <w:rFonts w:ascii="Cambria"/>
                              <w:color w:val="7E7E7E"/>
                              <w:spacing w:val="14"/>
                              <w:sz w:val="21"/>
                            </w:rPr>
                            <w:t> </w:t>
                          </w:r>
                          <w:r>
                            <w:rPr>
                              <w:rFonts w:ascii="Cambria"/>
                              <w:color w:val="7E7E7E"/>
                              <w:spacing w:val="-10"/>
                              <w:sz w:val="21"/>
                            </w:rPr>
                            <w:t>e</w:t>
                          </w:r>
                        </w:p>
                      </w:txbxContent>
                    </wps:txbx>
                    <wps:bodyPr wrap="square" lIns="0" tIns="0" rIns="0" bIns="0" rtlCol="0">
                      <a:noAutofit/>
                    </wps:bodyPr>
                  </wps:wsp>
                </a:graphicData>
              </a:graphic>
            </wp:anchor>
          </w:drawing>
        </mc:Choice>
        <mc:Fallback>
          <w:pict>
            <v:shape style="position:absolute;margin-left:484.019989pt;margin-top:730.382935pt;width:54pt;height:14.35pt;mso-position-horizontal-relative:page;mso-position-vertical-relative:page;z-index:-20741632" type="#_x0000_t202" id="docshape109" filled="false" stroked="false">
              <v:textbox inset="0,0,0,0">
                <w:txbxContent>
                  <w:p>
                    <w:pPr>
                      <w:spacing w:before="20"/>
                      <w:ind w:left="60" w:right="0" w:firstLine="0"/>
                      <w:jc w:val="left"/>
                      <w:rPr>
                        <w:rFonts w:ascii="Cambria"/>
                        <w:sz w:val="21"/>
                      </w:rPr>
                    </w:pPr>
                    <w:r>
                      <w:rPr>
                        <w:rFonts w:ascii="Cambria"/>
                        <w:sz w:val="21"/>
                      </w:rPr>
                      <w:fldChar w:fldCharType="begin"/>
                    </w:r>
                    <w:r>
                      <w:rPr>
                        <w:rFonts w:ascii="Cambria"/>
                        <w:sz w:val="21"/>
                      </w:rPr>
                      <w:instrText> PAGE </w:instrText>
                    </w:r>
                    <w:r>
                      <w:rPr>
                        <w:rFonts w:ascii="Cambria"/>
                        <w:sz w:val="21"/>
                      </w:rPr>
                      <w:fldChar w:fldCharType="separate"/>
                    </w:r>
                    <w:r>
                      <w:rPr>
                        <w:rFonts w:ascii="Cambria"/>
                        <w:sz w:val="21"/>
                      </w:rPr>
                      <w:t>31</w:t>
                    </w:r>
                    <w:r>
                      <w:rPr>
                        <w:rFonts w:ascii="Cambria"/>
                        <w:sz w:val="21"/>
                      </w:rPr>
                      <w:fldChar w:fldCharType="end"/>
                    </w:r>
                    <w:r>
                      <w:rPr>
                        <w:rFonts w:ascii="Cambria"/>
                        <w:sz w:val="21"/>
                      </w:rPr>
                      <w:t> | </w:t>
                    </w:r>
                    <w:r>
                      <w:rPr>
                        <w:rFonts w:ascii="Cambria"/>
                        <w:color w:val="7E7E7E"/>
                        <w:spacing w:val="13"/>
                        <w:sz w:val="21"/>
                      </w:rPr>
                      <w:t>P</w:t>
                    </w:r>
                    <w:r>
                      <w:rPr>
                        <w:rFonts w:ascii="Cambria"/>
                        <w:color w:val="7E7E7E"/>
                        <w:sz w:val="21"/>
                      </w:rPr>
                      <w:t> </w:t>
                    </w:r>
                    <w:r>
                      <w:rPr>
                        <w:rFonts w:ascii="Cambria"/>
                        <w:color w:val="7E7E7E"/>
                        <w:spacing w:val="13"/>
                        <w:sz w:val="21"/>
                      </w:rPr>
                      <w:t>a</w:t>
                    </w:r>
                    <w:r>
                      <w:rPr>
                        <w:rFonts w:ascii="Cambria"/>
                        <w:color w:val="7E7E7E"/>
                        <w:sz w:val="21"/>
                      </w:rPr>
                      <w:t> g</w:t>
                    </w:r>
                    <w:r>
                      <w:rPr>
                        <w:rFonts w:ascii="Cambria"/>
                        <w:color w:val="7E7E7E"/>
                        <w:spacing w:val="14"/>
                        <w:sz w:val="21"/>
                      </w:rPr>
                      <w:t> </w:t>
                    </w:r>
                    <w:r>
                      <w:rPr>
                        <w:rFonts w:ascii="Cambria"/>
                        <w:color w:val="7E7E7E"/>
                        <w:spacing w:val="-10"/>
                        <w:sz w:val="21"/>
                      </w:rPr>
                      <w:t>e</w:t>
                    </w:r>
                  </w:p>
                </w:txbxContent>
              </v:textbox>
              <w10:wrap type="none"/>
            </v:shape>
          </w:pict>
        </mc:Fallback>
      </mc:AlternateContent>
    </w:r>
  </w:p>
</w:ftr>
</file>

<file path=word/footer2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2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2575872">
              <wp:simplePos x="0" y="0"/>
              <wp:positionH relativeFrom="page">
                <wp:posOffset>806195</wp:posOffset>
              </wp:positionH>
              <wp:positionV relativeFrom="page">
                <wp:posOffset>9752824</wp:posOffset>
              </wp:positionV>
              <wp:extent cx="6115050" cy="6350"/>
              <wp:effectExtent l="0" t="0" r="0" b="0"/>
              <wp:wrapNone/>
              <wp:docPr id="171" name="Graphic 171"/>
              <wp:cNvGraphicFramePr>
                <a:graphicFrameLocks/>
              </wp:cNvGraphicFramePr>
              <a:graphic>
                <a:graphicData uri="http://schemas.microsoft.com/office/word/2010/wordprocessingShape">
                  <wps:wsp>
                    <wps:cNvPr id="171" name="Graphic 171"/>
                    <wps:cNvSpPr/>
                    <wps:spPr>
                      <a:xfrm>
                        <a:off x="0" y="0"/>
                        <a:ext cx="6115050" cy="6350"/>
                      </a:xfrm>
                      <a:custGeom>
                        <a:avLst/>
                        <a:gdLst/>
                        <a:ahLst/>
                        <a:cxnLst/>
                        <a:rect l="l" t="t" r="r" b="b"/>
                        <a:pathLst>
                          <a:path w="6115050" h="6350">
                            <a:moveTo>
                              <a:pt x="6115050" y="0"/>
                            </a:moveTo>
                            <a:lnTo>
                              <a:pt x="0" y="0"/>
                            </a:lnTo>
                            <a:lnTo>
                              <a:pt x="0" y="6108"/>
                            </a:lnTo>
                            <a:lnTo>
                              <a:pt x="6115050" y="6108"/>
                            </a:lnTo>
                            <a:lnTo>
                              <a:pt x="6115050"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rect style="position:absolute;margin-left:63.48pt;margin-top:767.938965pt;width:481.5pt;height:.481pt;mso-position-horizontal-relative:page;mso-position-vertical-relative:page;z-index:-20740608" id="docshape146" filled="true" fillcolor="#d9d9d9" stroked="false">
              <v:fill type="solid"/>
              <w10:wrap type="none"/>
            </v:rect>
          </w:pict>
        </mc:Fallback>
      </mc:AlternateContent>
    </w:r>
    <w:r>
      <w:rPr/>
      <mc:AlternateContent>
        <mc:Choice Requires="wps">
          <w:drawing>
            <wp:anchor distT="0" distB="0" distL="0" distR="0" allowOverlap="1" layoutInCell="1" locked="0" behindDoc="1" simplePos="0" relativeHeight="482576384">
              <wp:simplePos x="0" y="0"/>
              <wp:positionH relativeFrom="page">
                <wp:posOffset>6192773</wp:posOffset>
              </wp:positionH>
              <wp:positionV relativeFrom="page">
                <wp:posOffset>9784905</wp:posOffset>
              </wp:positionV>
              <wp:extent cx="721995" cy="158750"/>
              <wp:effectExtent l="0" t="0" r="0" b="0"/>
              <wp:wrapNone/>
              <wp:docPr id="172" name="Textbox 172"/>
              <wp:cNvGraphicFramePr>
                <a:graphicFrameLocks/>
              </wp:cNvGraphicFramePr>
              <a:graphic>
                <a:graphicData uri="http://schemas.microsoft.com/office/word/2010/wordprocessingShape">
                  <wps:wsp>
                    <wps:cNvPr id="172" name="Textbox 172"/>
                    <wps:cNvSpPr txBox="1"/>
                    <wps:spPr>
                      <a:xfrm>
                        <a:off x="0" y="0"/>
                        <a:ext cx="721995" cy="158750"/>
                      </a:xfrm>
                      <a:prstGeom prst="rect">
                        <a:avLst/>
                      </a:prstGeom>
                    </wps:spPr>
                    <wps:txbx>
                      <w:txbxContent>
                        <w:p>
                          <w:pPr>
                            <w:spacing w:line="234" w:lineRule="exact" w:before="0"/>
                            <w:ind w:left="60" w:right="0" w:firstLine="0"/>
                            <w:jc w:val="left"/>
                            <w:rPr>
                              <w:sz w:val="21"/>
                            </w:rPr>
                          </w:pPr>
                          <w:r>
                            <w:rPr>
                              <w:sz w:val="21"/>
                            </w:rPr>
                            <w:fldChar w:fldCharType="begin"/>
                          </w:r>
                          <w:r>
                            <w:rPr>
                              <w:sz w:val="21"/>
                            </w:rPr>
                            <w:instrText> PAGE </w:instrText>
                          </w:r>
                          <w:r>
                            <w:rPr>
                              <w:sz w:val="21"/>
                            </w:rPr>
                            <w:fldChar w:fldCharType="separate"/>
                          </w:r>
                          <w:r>
                            <w:rPr>
                              <w:sz w:val="21"/>
                            </w:rPr>
                            <w:t>56</w:t>
                          </w:r>
                          <w:r>
                            <w:rPr>
                              <w:sz w:val="21"/>
                            </w:rPr>
                            <w:fldChar w:fldCharType="end"/>
                          </w:r>
                          <w:r>
                            <w:rPr>
                              <w:sz w:val="21"/>
                            </w:rPr>
                            <w:t> |</w:t>
                          </w:r>
                          <w:r>
                            <w:rPr>
                              <w:spacing w:val="-1"/>
                              <w:sz w:val="21"/>
                            </w:rPr>
                            <w:t> </w:t>
                          </w:r>
                          <w:r>
                            <w:rPr>
                              <w:color w:val="7E7E7E"/>
                              <w:spacing w:val="11"/>
                              <w:sz w:val="21"/>
                            </w:rPr>
                            <w:t>P</w:t>
                          </w:r>
                          <w:r>
                            <w:rPr>
                              <w:color w:val="7E7E7E"/>
                              <w:sz w:val="21"/>
                            </w:rPr>
                            <w:t> a</w:t>
                          </w:r>
                          <w:r>
                            <w:rPr>
                              <w:color w:val="7E7E7E"/>
                              <w:spacing w:val="12"/>
                              <w:sz w:val="21"/>
                            </w:rPr>
                            <w:t> g</w:t>
                          </w:r>
                          <w:r>
                            <w:rPr>
                              <w:color w:val="7E7E7E"/>
                              <w:sz w:val="21"/>
                            </w:rPr>
                            <w:t> </w:t>
                          </w:r>
                          <w:r>
                            <w:rPr>
                              <w:color w:val="7E7E7E"/>
                              <w:spacing w:val="-10"/>
                              <w:sz w:val="21"/>
                            </w:rPr>
                            <w:t>e</w:t>
                          </w:r>
                          <w:r>
                            <w:rPr>
                              <w:color w:val="7E7E7E"/>
                              <w:sz w:val="21"/>
                            </w:rPr>
                            <w:t> </w:t>
                          </w:r>
                        </w:p>
                      </w:txbxContent>
                    </wps:txbx>
                    <wps:bodyPr wrap="square" lIns="0" tIns="0" rIns="0" bIns="0" rtlCol="0">
                      <a:noAutofit/>
                    </wps:bodyPr>
                  </wps:wsp>
                </a:graphicData>
              </a:graphic>
            </wp:anchor>
          </w:drawing>
        </mc:Choice>
        <mc:Fallback>
          <w:pict>
            <v:shape style="position:absolute;margin-left:487.619995pt;margin-top:770.464966pt;width:56.85pt;height:12.5pt;mso-position-horizontal-relative:page;mso-position-vertical-relative:page;z-index:-20740096" type="#_x0000_t202" id="docshape147" filled="false" stroked="false">
              <v:textbox inset="0,0,0,0">
                <w:txbxContent>
                  <w:p>
                    <w:pPr>
                      <w:spacing w:line="234" w:lineRule="exact" w:before="0"/>
                      <w:ind w:left="60" w:right="0" w:firstLine="0"/>
                      <w:jc w:val="left"/>
                      <w:rPr>
                        <w:sz w:val="21"/>
                      </w:rPr>
                    </w:pPr>
                    <w:r>
                      <w:rPr>
                        <w:sz w:val="21"/>
                      </w:rPr>
                      <w:fldChar w:fldCharType="begin"/>
                    </w:r>
                    <w:r>
                      <w:rPr>
                        <w:sz w:val="21"/>
                      </w:rPr>
                      <w:instrText> PAGE </w:instrText>
                    </w:r>
                    <w:r>
                      <w:rPr>
                        <w:sz w:val="21"/>
                      </w:rPr>
                      <w:fldChar w:fldCharType="separate"/>
                    </w:r>
                    <w:r>
                      <w:rPr>
                        <w:sz w:val="21"/>
                      </w:rPr>
                      <w:t>56</w:t>
                    </w:r>
                    <w:r>
                      <w:rPr>
                        <w:sz w:val="21"/>
                      </w:rPr>
                      <w:fldChar w:fldCharType="end"/>
                    </w:r>
                    <w:r>
                      <w:rPr>
                        <w:sz w:val="21"/>
                      </w:rPr>
                      <w:t> |</w:t>
                    </w:r>
                    <w:r>
                      <w:rPr>
                        <w:spacing w:val="-1"/>
                        <w:sz w:val="21"/>
                      </w:rPr>
                      <w:t> </w:t>
                    </w:r>
                    <w:r>
                      <w:rPr>
                        <w:color w:val="7E7E7E"/>
                        <w:spacing w:val="11"/>
                        <w:sz w:val="21"/>
                      </w:rPr>
                      <w:t>P</w:t>
                    </w:r>
                    <w:r>
                      <w:rPr>
                        <w:color w:val="7E7E7E"/>
                        <w:sz w:val="21"/>
                      </w:rPr>
                      <w:t> a</w:t>
                    </w:r>
                    <w:r>
                      <w:rPr>
                        <w:color w:val="7E7E7E"/>
                        <w:spacing w:val="12"/>
                        <w:sz w:val="21"/>
                      </w:rPr>
                      <w:t> g</w:t>
                    </w:r>
                    <w:r>
                      <w:rPr>
                        <w:color w:val="7E7E7E"/>
                        <w:sz w:val="21"/>
                      </w:rPr>
                      <w:t> </w:t>
                    </w:r>
                    <w:r>
                      <w:rPr>
                        <w:color w:val="7E7E7E"/>
                        <w:spacing w:val="-10"/>
                        <w:sz w:val="21"/>
                      </w:rPr>
                      <w:t>e</w:t>
                    </w:r>
                    <w:r>
                      <w:rPr>
                        <w:color w:val="7E7E7E"/>
                        <w:sz w:val="21"/>
                      </w:rPr>
                      <w:t> </w:t>
                    </w:r>
                  </w:p>
                </w:txbxContent>
              </v:textbox>
              <w10:wrap type="none"/>
            </v:shape>
          </w:pict>
        </mc:Fallback>
      </mc:AlternateContent>
    </w:r>
  </w:p>
</w:ftr>
</file>

<file path=word/footer2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2577408">
              <wp:simplePos x="0" y="0"/>
              <wp:positionH relativeFrom="page">
                <wp:posOffset>6192773</wp:posOffset>
              </wp:positionH>
              <wp:positionV relativeFrom="page">
                <wp:posOffset>9784905</wp:posOffset>
              </wp:positionV>
              <wp:extent cx="721995" cy="158750"/>
              <wp:effectExtent l="0" t="0" r="0" b="0"/>
              <wp:wrapNone/>
              <wp:docPr id="187" name="Textbox 187"/>
              <wp:cNvGraphicFramePr>
                <a:graphicFrameLocks/>
              </wp:cNvGraphicFramePr>
              <a:graphic>
                <a:graphicData uri="http://schemas.microsoft.com/office/word/2010/wordprocessingShape">
                  <wps:wsp>
                    <wps:cNvPr id="187" name="Textbox 187"/>
                    <wps:cNvSpPr txBox="1"/>
                    <wps:spPr>
                      <a:xfrm>
                        <a:off x="0" y="0"/>
                        <a:ext cx="721995" cy="158750"/>
                      </a:xfrm>
                      <a:prstGeom prst="rect">
                        <a:avLst/>
                      </a:prstGeom>
                    </wps:spPr>
                    <wps:txbx>
                      <w:txbxContent>
                        <w:p>
                          <w:pPr>
                            <w:spacing w:line="234" w:lineRule="exact" w:before="0"/>
                            <w:ind w:left="60" w:right="0" w:firstLine="0"/>
                            <w:jc w:val="left"/>
                            <w:rPr>
                              <w:sz w:val="21"/>
                            </w:rPr>
                          </w:pPr>
                          <w:r>
                            <w:rPr>
                              <w:sz w:val="21"/>
                            </w:rPr>
                            <w:fldChar w:fldCharType="begin"/>
                          </w:r>
                          <w:r>
                            <w:rPr>
                              <w:sz w:val="21"/>
                            </w:rPr>
                            <w:instrText> PAGE </w:instrText>
                          </w:r>
                          <w:r>
                            <w:rPr>
                              <w:sz w:val="21"/>
                            </w:rPr>
                            <w:fldChar w:fldCharType="separate"/>
                          </w:r>
                          <w:r>
                            <w:rPr>
                              <w:sz w:val="21"/>
                            </w:rPr>
                            <w:t>61</w:t>
                          </w:r>
                          <w:r>
                            <w:rPr>
                              <w:sz w:val="21"/>
                            </w:rPr>
                            <w:fldChar w:fldCharType="end"/>
                          </w:r>
                          <w:r>
                            <w:rPr>
                              <w:sz w:val="21"/>
                            </w:rPr>
                            <w:t> |</w:t>
                          </w:r>
                          <w:r>
                            <w:rPr>
                              <w:spacing w:val="-1"/>
                              <w:sz w:val="21"/>
                            </w:rPr>
                            <w:t> </w:t>
                          </w:r>
                          <w:r>
                            <w:rPr>
                              <w:color w:val="7E7E7E"/>
                              <w:spacing w:val="11"/>
                              <w:sz w:val="21"/>
                            </w:rPr>
                            <w:t>P</w:t>
                          </w:r>
                          <w:r>
                            <w:rPr>
                              <w:color w:val="7E7E7E"/>
                              <w:sz w:val="21"/>
                            </w:rPr>
                            <w:t> a</w:t>
                          </w:r>
                          <w:r>
                            <w:rPr>
                              <w:color w:val="7E7E7E"/>
                              <w:spacing w:val="12"/>
                              <w:sz w:val="21"/>
                            </w:rPr>
                            <w:t> g</w:t>
                          </w:r>
                          <w:r>
                            <w:rPr>
                              <w:color w:val="7E7E7E"/>
                              <w:sz w:val="21"/>
                            </w:rPr>
                            <w:t> </w:t>
                          </w:r>
                          <w:r>
                            <w:rPr>
                              <w:color w:val="7E7E7E"/>
                              <w:spacing w:val="-10"/>
                              <w:sz w:val="21"/>
                            </w:rPr>
                            <w:t>e</w:t>
                          </w:r>
                          <w:r>
                            <w:rPr>
                              <w:color w:val="7E7E7E"/>
                              <w:sz w:val="21"/>
                            </w:rPr>
                            <w:t> </w:t>
                          </w:r>
                        </w:p>
                      </w:txbxContent>
                    </wps:txbx>
                    <wps:bodyPr wrap="square" lIns="0" tIns="0" rIns="0" bIns="0" rtlCol="0">
                      <a:noAutofit/>
                    </wps:bodyPr>
                  </wps:wsp>
                </a:graphicData>
              </a:graphic>
            </wp:anchor>
          </w:drawing>
        </mc:Choice>
        <mc:Fallback>
          <w:pict>
            <v:shape style="position:absolute;margin-left:487.619995pt;margin-top:770.464966pt;width:56.85pt;height:12.5pt;mso-position-horizontal-relative:page;mso-position-vertical-relative:page;z-index:-20739072" type="#_x0000_t202" id="docshape156" filled="false" stroked="false">
              <v:textbox inset="0,0,0,0">
                <w:txbxContent>
                  <w:p>
                    <w:pPr>
                      <w:spacing w:line="234" w:lineRule="exact" w:before="0"/>
                      <w:ind w:left="60" w:right="0" w:firstLine="0"/>
                      <w:jc w:val="left"/>
                      <w:rPr>
                        <w:sz w:val="21"/>
                      </w:rPr>
                    </w:pPr>
                    <w:r>
                      <w:rPr>
                        <w:sz w:val="21"/>
                      </w:rPr>
                      <w:fldChar w:fldCharType="begin"/>
                    </w:r>
                    <w:r>
                      <w:rPr>
                        <w:sz w:val="21"/>
                      </w:rPr>
                      <w:instrText> PAGE </w:instrText>
                    </w:r>
                    <w:r>
                      <w:rPr>
                        <w:sz w:val="21"/>
                      </w:rPr>
                      <w:fldChar w:fldCharType="separate"/>
                    </w:r>
                    <w:r>
                      <w:rPr>
                        <w:sz w:val="21"/>
                      </w:rPr>
                      <w:t>61</w:t>
                    </w:r>
                    <w:r>
                      <w:rPr>
                        <w:sz w:val="21"/>
                      </w:rPr>
                      <w:fldChar w:fldCharType="end"/>
                    </w:r>
                    <w:r>
                      <w:rPr>
                        <w:sz w:val="21"/>
                      </w:rPr>
                      <w:t> |</w:t>
                    </w:r>
                    <w:r>
                      <w:rPr>
                        <w:spacing w:val="-1"/>
                        <w:sz w:val="21"/>
                      </w:rPr>
                      <w:t> </w:t>
                    </w:r>
                    <w:r>
                      <w:rPr>
                        <w:color w:val="7E7E7E"/>
                        <w:spacing w:val="11"/>
                        <w:sz w:val="21"/>
                      </w:rPr>
                      <w:t>P</w:t>
                    </w:r>
                    <w:r>
                      <w:rPr>
                        <w:color w:val="7E7E7E"/>
                        <w:sz w:val="21"/>
                      </w:rPr>
                      <w:t> a</w:t>
                    </w:r>
                    <w:r>
                      <w:rPr>
                        <w:color w:val="7E7E7E"/>
                        <w:spacing w:val="12"/>
                        <w:sz w:val="21"/>
                      </w:rPr>
                      <w:t> g</w:t>
                    </w:r>
                    <w:r>
                      <w:rPr>
                        <w:color w:val="7E7E7E"/>
                        <w:sz w:val="21"/>
                      </w:rPr>
                      <w:t> </w:t>
                    </w:r>
                    <w:r>
                      <w:rPr>
                        <w:color w:val="7E7E7E"/>
                        <w:spacing w:val="-10"/>
                        <w:sz w:val="21"/>
                      </w:rPr>
                      <w:t>e</w:t>
                    </w:r>
                    <w:r>
                      <w:rPr>
                        <w:color w:val="7E7E7E"/>
                        <w:sz w:val="21"/>
                      </w:rPr>
                      <w:t> </w:t>
                    </w:r>
                  </w:p>
                </w:txbxContent>
              </v:textbox>
              <w10:wrap type="none"/>
            </v:shape>
          </w:pict>
        </mc:Fallback>
      </mc:AlternateContent>
    </w:r>
  </w:p>
</w:ftr>
</file>

<file path=word/footer2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2578432">
              <wp:simplePos x="0" y="0"/>
              <wp:positionH relativeFrom="page">
                <wp:posOffset>806195</wp:posOffset>
              </wp:positionH>
              <wp:positionV relativeFrom="page">
                <wp:posOffset>9752824</wp:posOffset>
              </wp:positionV>
              <wp:extent cx="6115050" cy="6350"/>
              <wp:effectExtent l="0" t="0" r="0" b="0"/>
              <wp:wrapNone/>
              <wp:docPr id="189" name="Graphic 189"/>
              <wp:cNvGraphicFramePr>
                <a:graphicFrameLocks/>
              </wp:cNvGraphicFramePr>
              <a:graphic>
                <a:graphicData uri="http://schemas.microsoft.com/office/word/2010/wordprocessingShape">
                  <wps:wsp>
                    <wps:cNvPr id="189" name="Graphic 189"/>
                    <wps:cNvSpPr/>
                    <wps:spPr>
                      <a:xfrm>
                        <a:off x="0" y="0"/>
                        <a:ext cx="6115050" cy="6350"/>
                      </a:xfrm>
                      <a:custGeom>
                        <a:avLst/>
                        <a:gdLst/>
                        <a:ahLst/>
                        <a:cxnLst/>
                        <a:rect l="l" t="t" r="r" b="b"/>
                        <a:pathLst>
                          <a:path w="6115050" h="6350">
                            <a:moveTo>
                              <a:pt x="6115050" y="0"/>
                            </a:moveTo>
                            <a:lnTo>
                              <a:pt x="0" y="0"/>
                            </a:lnTo>
                            <a:lnTo>
                              <a:pt x="0" y="6108"/>
                            </a:lnTo>
                            <a:lnTo>
                              <a:pt x="6115050" y="6108"/>
                            </a:lnTo>
                            <a:lnTo>
                              <a:pt x="6115050"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rect style="position:absolute;margin-left:63.48pt;margin-top:767.938965pt;width:481.5pt;height:.481pt;mso-position-horizontal-relative:page;mso-position-vertical-relative:page;z-index:-20738048" id="docshape158" filled="true" fillcolor="#d9d9d9" stroked="false">
              <v:fill type="solid"/>
              <w10:wrap type="none"/>
            </v:rect>
          </w:pict>
        </mc:Fallback>
      </mc:AlternateContent>
    </w:r>
    <w:r>
      <w:rPr/>
      <mc:AlternateContent>
        <mc:Choice Requires="wps">
          <w:drawing>
            <wp:anchor distT="0" distB="0" distL="0" distR="0" allowOverlap="1" layoutInCell="1" locked="0" behindDoc="1" simplePos="0" relativeHeight="482578944">
              <wp:simplePos x="0" y="0"/>
              <wp:positionH relativeFrom="page">
                <wp:posOffset>6192773</wp:posOffset>
              </wp:positionH>
              <wp:positionV relativeFrom="page">
                <wp:posOffset>9784905</wp:posOffset>
              </wp:positionV>
              <wp:extent cx="721995" cy="158750"/>
              <wp:effectExtent l="0" t="0" r="0" b="0"/>
              <wp:wrapNone/>
              <wp:docPr id="190" name="Textbox 190"/>
              <wp:cNvGraphicFramePr>
                <a:graphicFrameLocks/>
              </wp:cNvGraphicFramePr>
              <a:graphic>
                <a:graphicData uri="http://schemas.microsoft.com/office/word/2010/wordprocessingShape">
                  <wps:wsp>
                    <wps:cNvPr id="190" name="Textbox 190"/>
                    <wps:cNvSpPr txBox="1"/>
                    <wps:spPr>
                      <a:xfrm>
                        <a:off x="0" y="0"/>
                        <a:ext cx="721995" cy="158750"/>
                      </a:xfrm>
                      <a:prstGeom prst="rect">
                        <a:avLst/>
                      </a:prstGeom>
                    </wps:spPr>
                    <wps:txbx>
                      <w:txbxContent>
                        <w:p>
                          <w:pPr>
                            <w:spacing w:line="234" w:lineRule="exact" w:before="0"/>
                            <w:ind w:left="60" w:right="0" w:firstLine="0"/>
                            <w:jc w:val="left"/>
                            <w:rPr>
                              <w:sz w:val="21"/>
                            </w:rPr>
                          </w:pPr>
                          <w:r>
                            <w:rPr>
                              <w:sz w:val="21"/>
                            </w:rPr>
                            <w:fldChar w:fldCharType="begin"/>
                          </w:r>
                          <w:r>
                            <w:rPr>
                              <w:sz w:val="21"/>
                            </w:rPr>
                            <w:instrText> PAGE </w:instrText>
                          </w:r>
                          <w:r>
                            <w:rPr>
                              <w:sz w:val="21"/>
                            </w:rPr>
                            <w:fldChar w:fldCharType="separate"/>
                          </w:r>
                          <w:r>
                            <w:rPr>
                              <w:sz w:val="21"/>
                            </w:rPr>
                            <w:t>67</w:t>
                          </w:r>
                          <w:r>
                            <w:rPr>
                              <w:sz w:val="21"/>
                            </w:rPr>
                            <w:fldChar w:fldCharType="end"/>
                          </w:r>
                          <w:r>
                            <w:rPr>
                              <w:sz w:val="21"/>
                            </w:rPr>
                            <w:t> |</w:t>
                          </w:r>
                          <w:r>
                            <w:rPr>
                              <w:spacing w:val="-1"/>
                              <w:sz w:val="21"/>
                            </w:rPr>
                            <w:t> </w:t>
                          </w:r>
                          <w:r>
                            <w:rPr>
                              <w:color w:val="7E7E7E"/>
                              <w:spacing w:val="11"/>
                              <w:sz w:val="21"/>
                            </w:rPr>
                            <w:t>P</w:t>
                          </w:r>
                          <w:r>
                            <w:rPr>
                              <w:color w:val="7E7E7E"/>
                              <w:sz w:val="21"/>
                            </w:rPr>
                            <w:t> a</w:t>
                          </w:r>
                          <w:r>
                            <w:rPr>
                              <w:color w:val="7E7E7E"/>
                              <w:spacing w:val="12"/>
                              <w:sz w:val="21"/>
                            </w:rPr>
                            <w:t> g</w:t>
                          </w:r>
                          <w:r>
                            <w:rPr>
                              <w:color w:val="7E7E7E"/>
                              <w:sz w:val="21"/>
                            </w:rPr>
                            <w:t> </w:t>
                          </w:r>
                          <w:r>
                            <w:rPr>
                              <w:color w:val="7E7E7E"/>
                              <w:spacing w:val="-10"/>
                              <w:sz w:val="21"/>
                            </w:rPr>
                            <w:t>e</w:t>
                          </w:r>
                          <w:r>
                            <w:rPr>
                              <w:color w:val="7E7E7E"/>
                              <w:sz w:val="21"/>
                            </w:rPr>
                            <w:t> </w:t>
                          </w:r>
                        </w:p>
                      </w:txbxContent>
                    </wps:txbx>
                    <wps:bodyPr wrap="square" lIns="0" tIns="0" rIns="0" bIns="0" rtlCol="0">
                      <a:noAutofit/>
                    </wps:bodyPr>
                  </wps:wsp>
                </a:graphicData>
              </a:graphic>
            </wp:anchor>
          </w:drawing>
        </mc:Choice>
        <mc:Fallback>
          <w:pict>
            <v:shape style="position:absolute;margin-left:487.619995pt;margin-top:770.464966pt;width:56.85pt;height:12.5pt;mso-position-horizontal-relative:page;mso-position-vertical-relative:page;z-index:-20737536" type="#_x0000_t202" id="docshape159" filled="false" stroked="false">
              <v:textbox inset="0,0,0,0">
                <w:txbxContent>
                  <w:p>
                    <w:pPr>
                      <w:spacing w:line="234" w:lineRule="exact" w:before="0"/>
                      <w:ind w:left="60" w:right="0" w:firstLine="0"/>
                      <w:jc w:val="left"/>
                      <w:rPr>
                        <w:sz w:val="21"/>
                      </w:rPr>
                    </w:pPr>
                    <w:r>
                      <w:rPr>
                        <w:sz w:val="21"/>
                      </w:rPr>
                      <w:fldChar w:fldCharType="begin"/>
                    </w:r>
                    <w:r>
                      <w:rPr>
                        <w:sz w:val="21"/>
                      </w:rPr>
                      <w:instrText> PAGE </w:instrText>
                    </w:r>
                    <w:r>
                      <w:rPr>
                        <w:sz w:val="21"/>
                      </w:rPr>
                      <w:fldChar w:fldCharType="separate"/>
                    </w:r>
                    <w:r>
                      <w:rPr>
                        <w:sz w:val="21"/>
                      </w:rPr>
                      <w:t>67</w:t>
                    </w:r>
                    <w:r>
                      <w:rPr>
                        <w:sz w:val="21"/>
                      </w:rPr>
                      <w:fldChar w:fldCharType="end"/>
                    </w:r>
                    <w:r>
                      <w:rPr>
                        <w:sz w:val="21"/>
                      </w:rPr>
                      <w:t> |</w:t>
                    </w:r>
                    <w:r>
                      <w:rPr>
                        <w:spacing w:val="-1"/>
                        <w:sz w:val="21"/>
                      </w:rPr>
                      <w:t> </w:t>
                    </w:r>
                    <w:r>
                      <w:rPr>
                        <w:color w:val="7E7E7E"/>
                        <w:spacing w:val="11"/>
                        <w:sz w:val="21"/>
                      </w:rPr>
                      <w:t>P</w:t>
                    </w:r>
                    <w:r>
                      <w:rPr>
                        <w:color w:val="7E7E7E"/>
                        <w:sz w:val="21"/>
                      </w:rPr>
                      <w:t> a</w:t>
                    </w:r>
                    <w:r>
                      <w:rPr>
                        <w:color w:val="7E7E7E"/>
                        <w:spacing w:val="12"/>
                        <w:sz w:val="21"/>
                      </w:rPr>
                      <w:t> g</w:t>
                    </w:r>
                    <w:r>
                      <w:rPr>
                        <w:color w:val="7E7E7E"/>
                        <w:sz w:val="21"/>
                      </w:rPr>
                      <w:t> </w:t>
                    </w:r>
                    <w:r>
                      <w:rPr>
                        <w:color w:val="7E7E7E"/>
                        <w:spacing w:val="-10"/>
                        <w:sz w:val="21"/>
                      </w:rPr>
                      <w:t>e</w:t>
                    </w:r>
                    <w:r>
                      <w:rPr>
                        <w:color w:val="7E7E7E"/>
                        <w:sz w:val="21"/>
                      </w:rPr>
                      <w:t> </w:t>
                    </w:r>
                  </w:p>
                </w:txbxContent>
              </v:textbox>
              <w10:wrap type="none"/>
            </v:shape>
          </w:pict>
        </mc:Fallback>
      </mc:AlternateContent>
    </w:r>
  </w:p>
</w:ftr>
</file>

<file path=word/footer2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2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2579968">
              <wp:simplePos x="0" y="0"/>
              <wp:positionH relativeFrom="page">
                <wp:posOffset>806195</wp:posOffset>
              </wp:positionH>
              <wp:positionV relativeFrom="page">
                <wp:posOffset>9025128</wp:posOffset>
              </wp:positionV>
              <wp:extent cx="6235700" cy="6350"/>
              <wp:effectExtent l="0" t="0" r="0" b="0"/>
              <wp:wrapNone/>
              <wp:docPr id="219" name="Graphic 219"/>
              <wp:cNvGraphicFramePr>
                <a:graphicFrameLocks/>
              </wp:cNvGraphicFramePr>
              <a:graphic>
                <a:graphicData uri="http://schemas.microsoft.com/office/word/2010/wordprocessingShape">
                  <wps:wsp>
                    <wps:cNvPr id="219" name="Graphic 219"/>
                    <wps:cNvSpPr/>
                    <wps:spPr>
                      <a:xfrm>
                        <a:off x="0" y="0"/>
                        <a:ext cx="6235700" cy="6350"/>
                      </a:xfrm>
                      <a:custGeom>
                        <a:avLst/>
                        <a:gdLst/>
                        <a:ahLst/>
                        <a:cxnLst/>
                        <a:rect l="l" t="t" r="r" b="b"/>
                        <a:pathLst>
                          <a:path w="6235700" h="6350">
                            <a:moveTo>
                              <a:pt x="6235458" y="0"/>
                            </a:moveTo>
                            <a:lnTo>
                              <a:pt x="0" y="0"/>
                            </a:lnTo>
                            <a:lnTo>
                              <a:pt x="0" y="6096"/>
                            </a:lnTo>
                            <a:lnTo>
                              <a:pt x="6235458" y="6096"/>
                            </a:lnTo>
                            <a:lnTo>
                              <a:pt x="6235458"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rect style="position:absolute;margin-left:63.48pt;margin-top:710.640015pt;width:490.981pt;height:.48pt;mso-position-horizontal-relative:page;mso-position-vertical-relative:page;z-index:-20736512" id="docshape185" filled="true" fillcolor="#d9d9d9" stroked="false">
              <v:fill type="solid"/>
              <w10:wrap type="none"/>
            </v:rect>
          </w:pict>
        </mc:Fallback>
      </mc:AlternateContent>
    </w:r>
    <w:r>
      <w:rPr/>
      <mc:AlternateContent>
        <mc:Choice Requires="wps">
          <w:drawing>
            <wp:anchor distT="0" distB="0" distL="0" distR="0" allowOverlap="1" layoutInCell="1" locked="0" behindDoc="1" simplePos="0" relativeHeight="482580480">
              <wp:simplePos x="0" y="0"/>
              <wp:positionH relativeFrom="page">
                <wp:posOffset>6313170</wp:posOffset>
              </wp:positionH>
              <wp:positionV relativeFrom="page">
                <wp:posOffset>9057195</wp:posOffset>
              </wp:positionV>
              <wp:extent cx="721995" cy="158750"/>
              <wp:effectExtent l="0" t="0" r="0" b="0"/>
              <wp:wrapNone/>
              <wp:docPr id="220" name="Textbox 220"/>
              <wp:cNvGraphicFramePr>
                <a:graphicFrameLocks/>
              </wp:cNvGraphicFramePr>
              <a:graphic>
                <a:graphicData uri="http://schemas.microsoft.com/office/word/2010/wordprocessingShape">
                  <wps:wsp>
                    <wps:cNvPr id="220" name="Textbox 220"/>
                    <wps:cNvSpPr txBox="1"/>
                    <wps:spPr>
                      <a:xfrm>
                        <a:off x="0" y="0"/>
                        <a:ext cx="721995" cy="158750"/>
                      </a:xfrm>
                      <a:prstGeom prst="rect">
                        <a:avLst/>
                      </a:prstGeom>
                    </wps:spPr>
                    <wps:txbx>
                      <w:txbxContent>
                        <w:p>
                          <w:pPr>
                            <w:spacing w:line="234" w:lineRule="exact" w:before="0"/>
                            <w:ind w:left="60" w:right="0" w:firstLine="0"/>
                            <w:jc w:val="left"/>
                            <w:rPr>
                              <w:sz w:val="21"/>
                            </w:rPr>
                          </w:pPr>
                          <w:r>
                            <w:rPr>
                              <w:sz w:val="21"/>
                            </w:rPr>
                            <w:fldChar w:fldCharType="begin"/>
                          </w:r>
                          <w:r>
                            <w:rPr>
                              <w:sz w:val="21"/>
                            </w:rPr>
                            <w:instrText> PAGE </w:instrText>
                          </w:r>
                          <w:r>
                            <w:rPr>
                              <w:sz w:val="21"/>
                            </w:rPr>
                            <w:fldChar w:fldCharType="separate"/>
                          </w:r>
                          <w:r>
                            <w:rPr>
                              <w:sz w:val="21"/>
                            </w:rPr>
                            <w:t>70</w:t>
                          </w:r>
                          <w:r>
                            <w:rPr>
                              <w:sz w:val="21"/>
                            </w:rPr>
                            <w:fldChar w:fldCharType="end"/>
                          </w:r>
                          <w:r>
                            <w:rPr>
                              <w:sz w:val="21"/>
                            </w:rPr>
                            <w:t> |</w:t>
                          </w:r>
                          <w:r>
                            <w:rPr>
                              <w:spacing w:val="-1"/>
                              <w:sz w:val="21"/>
                            </w:rPr>
                            <w:t> </w:t>
                          </w:r>
                          <w:r>
                            <w:rPr>
                              <w:color w:val="7E7E7E"/>
                              <w:spacing w:val="11"/>
                              <w:sz w:val="21"/>
                            </w:rPr>
                            <w:t>P</w:t>
                          </w:r>
                          <w:r>
                            <w:rPr>
                              <w:color w:val="7E7E7E"/>
                              <w:sz w:val="21"/>
                            </w:rPr>
                            <w:t> a</w:t>
                          </w:r>
                          <w:r>
                            <w:rPr>
                              <w:color w:val="7E7E7E"/>
                              <w:spacing w:val="12"/>
                              <w:sz w:val="21"/>
                            </w:rPr>
                            <w:t> g</w:t>
                          </w:r>
                          <w:r>
                            <w:rPr>
                              <w:color w:val="7E7E7E"/>
                              <w:sz w:val="21"/>
                            </w:rPr>
                            <w:t> </w:t>
                          </w:r>
                          <w:r>
                            <w:rPr>
                              <w:color w:val="7E7E7E"/>
                              <w:spacing w:val="-10"/>
                              <w:sz w:val="21"/>
                            </w:rPr>
                            <w:t>e</w:t>
                          </w:r>
                          <w:r>
                            <w:rPr>
                              <w:color w:val="7E7E7E"/>
                              <w:sz w:val="21"/>
                            </w:rPr>
                            <w:t> </w:t>
                          </w:r>
                        </w:p>
                      </w:txbxContent>
                    </wps:txbx>
                    <wps:bodyPr wrap="square" lIns="0" tIns="0" rIns="0" bIns="0" rtlCol="0">
                      <a:noAutofit/>
                    </wps:bodyPr>
                  </wps:wsp>
                </a:graphicData>
              </a:graphic>
            </wp:anchor>
          </w:drawing>
        </mc:Choice>
        <mc:Fallback>
          <w:pict>
            <v:shape style="position:absolute;margin-left:497.100006pt;margin-top:713.164978pt;width:56.85pt;height:12.5pt;mso-position-horizontal-relative:page;mso-position-vertical-relative:page;z-index:-20736000" type="#_x0000_t202" id="docshape186" filled="false" stroked="false">
              <v:textbox inset="0,0,0,0">
                <w:txbxContent>
                  <w:p>
                    <w:pPr>
                      <w:spacing w:line="234" w:lineRule="exact" w:before="0"/>
                      <w:ind w:left="60" w:right="0" w:firstLine="0"/>
                      <w:jc w:val="left"/>
                      <w:rPr>
                        <w:sz w:val="21"/>
                      </w:rPr>
                    </w:pPr>
                    <w:r>
                      <w:rPr>
                        <w:sz w:val="21"/>
                      </w:rPr>
                      <w:fldChar w:fldCharType="begin"/>
                    </w:r>
                    <w:r>
                      <w:rPr>
                        <w:sz w:val="21"/>
                      </w:rPr>
                      <w:instrText> PAGE </w:instrText>
                    </w:r>
                    <w:r>
                      <w:rPr>
                        <w:sz w:val="21"/>
                      </w:rPr>
                      <w:fldChar w:fldCharType="separate"/>
                    </w:r>
                    <w:r>
                      <w:rPr>
                        <w:sz w:val="21"/>
                      </w:rPr>
                      <w:t>70</w:t>
                    </w:r>
                    <w:r>
                      <w:rPr>
                        <w:sz w:val="21"/>
                      </w:rPr>
                      <w:fldChar w:fldCharType="end"/>
                    </w:r>
                    <w:r>
                      <w:rPr>
                        <w:sz w:val="21"/>
                      </w:rPr>
                      <w:t> |</w:t>
                    </w:r>
                    <w:r>
                      <w:rPr>
                        <w:spacing w:val="-1"/>
                        <w:sz w:val="21"/>
                      </w:rPr>
                      <w:t> </w:t>
                    </w:r>
                    <w:r>
                      <w:rPr>
                        <w:color w:val="7E7E7E"/>
                        <w:spacing w:val="11"/>
                        <w:sz w:val="21"/>
                      </w:rPr>
                      <w:t>P</w:t>
                    </w:r>
                    <w:r>
                      <w:rPr>
                        <w:color w:val="7E7E7E"/>
                        <w:sz w:val="21"/>
                      </w:rPr>
                      <w:t> a</w:t>
                    </w:r>
                    <w:r>
                      <w:rPr>
                        <w:color w:val="7E7E7E"/>
                        <w:spacing w:val="12"/>
                        <w:sz w:val="21"/>
                      </w:rPr>
                      <w:t> g</w:t>
                    </w:r>
                    <w:r>
                      <w:rPr>
                        <w:color w:val="7E7E7E"/>
                        <w:sz w:val="21"/>
                      </w:rPr>
                      <w:t> </w:t>
                    </w:r>
                    <w:r>
                      <w:rPr>
                        <w:color w:val="7E7E7E"/>
                        <w:spacing w:val="-10"/>
                        <w:sz w:val="21"/>
                      </w:rPr>
                      <w:t>e</w:t>
                    </w:r>
                    <w:r>
                      <w:rPr>
                        <w:color w:val="7E7E7E"/>
                        <w:sz w:val="21"/>
                      </w:rPr>
                      <w:t> </w:t>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2551808">
              <wp:simplePos x="0" y="0"/>
              <wp:positionH relativeFrom="page">
                <wp:posOffset>895350</wp:posOffset>
              </wp:positionH>
              <wp:positionV relativeFrom="page">
                <wp:posOffset>9257525</wp:posOffset>
              </wp:positionV>
              <wp:extent cx="5982335" cy="6350"/>
              <wp:effectExtent l="0" t="0" r="0" b="0"/>
              <wp:wrapNone/>
              <wp:docPr id="34" name="Graphic 34"/>
              <wp:cNvGraphicFramePr>
                <a:graphicFrameLocks/>
              </wp:cNvGraphicFramePr>
              <a:graphic>
                <a:graphicData uri="http://schemas.microsoft.com/office/word/2010/wordprocessingShape">
                  <wps:wsp>
                    <wps:cNvPr id="34" name="Graphic 34"/>
                    <wps:cNvSpPr/>
                    <wps:spPr>
                      <a:xfrm>
                        <a:off x="0" y="0"/>
                        <a:ext cx="5982335" cy="6350"/>
                      </a:xfrm>
                      <a:custGeom>
                        <a:avLst/>
                        <a:gdLst/>
                        <a:ahLst/>
                        <a:cxnLst/>
                        <a:rect l="l" t="t" r="r" b="b"/>
                        <a:pathLst>
                          <a:path w="5982335" h="6350">
                            <a:moveTo>
                              <a:pt x="5981712" y="0"/>
                            </a:moveTo>
                            <a:lnTo>
                              <a:pt x="0" y="0"/>
                            </a:lnTo>
                            <a:lnTo>
                              <a:pt x="0" y="6108"/>
                            </a:lnTo>
                            <a:lnTo>
                              <a:pt x="5981712" y="6108"/>
                            </a:lnTo>
                            <a:lnTo>
                              <a:pt x="5981712"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rect style="position:absolute;margin-left:70.5pt;margin-top:728.939026pt;width:471.001pt;height:.481pt;mso-position-horizontal-relative:page;mso-position-vertical-relative:page;z-index:-20764672" id="docshape18" filled="true" fillcolor="#d9d9d9" stroked="false">
              <v:fill type="solid"/>
              <w10:wrap type="none"/>
            </v:rect>
          </w:pict>
        </mc:Fallback>
      </mc:AlternateContent>
    </w:r>
    <w:r>
      <w:rPr/>
      <mc:AlternateContent>
        <mc:Choice Requires="wps">
          <w:drawing>
            <wp:anchor distT="0" distB="0" distL="0" distR="0" allowOverlap="1" layoutInCell="1" locked="0" behindDoc="1" simplePos="0" relativeHeight="482552320">
              <wp:simplePos x="0" y="0"/>
              <wp:positionH relativeFrom="page">
                <wp:posOffset>6223253</wp:posOffset>
              </wp:positionH>
              <wp:positionV relativeFrom="page">
                <wp:posOffset>9262882</wp:posOffset>
              </wp:positionV>
              <wp:extent cx="610235" cy="188595"/>
              <wp:effectExtent l="0" t="0" r="0" b="0"/>
              <wp:wrapNone/>
              <wp:docPr id="35" name="Textbox 35"/>
              <wp:cNvGraphicFramePr>
                <a:graphicFrameLocks/>
              </wp:cNvGraphicFramePr>
              <a:graphic>
                <a:graphicData uri="http://schemas.microsoft.com/office/word/2010/wordprocessingShape">
                  <wps:wsp>
                    <wps:cNvPr id="35" name="Textbox 35"/>
                    <wps:cNvSpPr txBox="1"/>
                    <wps:spPr>
                      <a:xfrm>
                        <a:off x="0" y="0"/>
                        <a:ext cx="610235" cy="188595"/>
                      </a:xfrm>
                      <a:prstGeom prst="rect">
                        <a:avLst/>
                      </a:prstGeom>
                    </wps:spPr>
                    <wps:txbx>
                      <w:txbxContent>
                        <w:p>
                          <w:pPr>
                            <w:spacing w:before="17"/>
                            <w:ind w:left="60" w:right="0" w:firstLine="0"/>
                            <w:jc w:val="left"/>
                            <w:rPr>
                              <w:sz w:val="21"/>
                            </w:rPr>
                          </w:pPr>
                          <w:r>
                            <w:rPr>
                              <w:sz w:val="21"/>
                            </w:rPr>
                            <w:fldChar w:fldCharType="begin"/>
                          </w:r>
                          <w:r>
                            <w:rPr>
                              <w:sz w:val="21"/>
                            </w:rPr>
                            <w:instrText> PAGE </w:instrText>
                          </w:r>
                          <w:r>
                            <w:rPr>
                              <w:sz w:val="21"/>
                            </w:rPr>
                            <w:fldChar w:fldCharType="separate"/>
                          </w:r>
                          <w:r>
                            <w:rPr>
                              <w:sz w:val="21"/>
                            </w:rPr>
                            <w:t>1</w:t>
                          </w:r>
                          <w:r>
                            <w:rPr>
                              <w:sz w:val="21"/>
                            </w:rPr>
                            <w:fldChar w:fldCharType="end"/>
                          </w:r>
                          <w:r>
                            <w:rPr>
                              <w:spacing w:val="-5"/>
                              <w:sz w:val="21"/>
                            </w:rPr>
                            <w:t> </w:t>
                          </w:r>
                          <w:r>
                            <w:rPr>
                              <w:w w:val="90"/>
                              <w:sz w:val="21"/>
                            </w:rPr>
                            <w:t>| </w:t>
                          </w:r>
                          <w:r>
                            <w:rPr>
                              <w:color w:val="7E7E7E"/>
                              <w:spacing w:val="12"/>
                              <w:sz w:val="21"/>
                            </w:rPr>
                            <w:t>P</w:t>
                          </w:r>
                          <w:r>
                            <w:rPr>
                              <w:color w:val="7E7E7E"/>
                              <w:sz w:val="21"/>
                            </w:rPr>
                            <w:t> </w:t>
                          </w:r>
                          <w:r>
                            <w:rPr>
                              <w:color w:val="7E7E7E"/>
                              <w:spacing w:val="12"/>
                              <w:sz w:val="21"/>
                            </w:rPr>
                            <w:t>a</w:t>
                          </w:r>
                          <w:r>
                            <w:rPr>
                              <w:color w:val="7E7E7E"/>
                              <w:sz w:val="21"/>
                            </w:rPr>
                            <w:t> g</w:t>
                          </w:r>
                          <w:r>
                            <w:rPr>
                              <w:color w:val="7E7E7E"/>
                              <w:spacing w:val="11"/>
                              <w:sz w:val="21"/>
                            </w:rPr>
                            <w:t> </w:t>
                          </w:r>
                          <w:r>
                            <w:rPr>
                              <w:color w:val="7E7E7E"/>
                              <w:spacing w:val="-10"/>
                              <w:sz w:val="21"/>
                            </w:rPr>
                            <w:t>e</w:t>
                          </w:r>
                        </w:p>
                      </w:txbxContent>
                    </wps:txbx>
                    <wps:bodyPr wrap="square" lIns="0" tIns="0" rIns="0" bIns="0" rtlCol="0">
                      <a:noAutofit/>
                    </wps:bodyPr>
                  </wps:wsp>
                </a:graphicData>
              </a:graphic>
            </wp:anchor>
          </w:drawing>
        </mc:Choice>
        <mc:Fallback>
          <w:pict>
            <v:shape style="position:absolute;margin-left:490.019989pt;margin-top:729.36084pt;width:48.05pt;height:14.85pt;mso-position-horizontal-relative:page;mso-position-vertical-relative:page;z-index:-20764160" type="#_x0000_t202" id="docshape19" filled="false" stroked="false">
              <v:textbox inset="0,0,0,0">
                <w:txbxContent>
                  <w:p>
                    <w:pPr>
                      <w:spacing w:before="17"/>
                      <w:ind w:left="60" w:right="0" w:firstLine="0"/>
                      <w:jc w:val="left"/>
                      <w:rPr>
                        <w:sz w:val="21"/>
                      </w:rPr>
                    </w:pPr>
                    <w:r>
                      <w:rPr>
                        <w:sz w:val="21"/>
                      </w:rPr>
                      <w:fldChar w:fldCharType="begin"/>
                    </w:r>
                    <w:r>
                      <w:rPr>
                        <w:sz w:val="21"/>
                      </w:rPr>
                      <w:instrText> PAGE </w:instrText>
                    </w:r>
                    <w:r>
                      <w:rPr>
                        <w:sz w:val="21"/>
                      </w:rPr>
                      <w:fldChar w:fldCharType="separate"/>
                    </w:r>
                    <w:r>
                      <w:rPr>
                        <w:sz w:val="21"/>
                      </w:rPr>
                      <w:t>1</w:t>
                    </w:r>
                    <w:r>
                      <w:rPr>
                        <w:sz w:val="21"/>
                      </w:rPr>
                      <w:fldChar w:fldCharType="end"/>
                    </w:r>
                    <w:r>
                      <w:rPr>
                        <w:spacing w:val="-5"/>
                        <w:sz w:val="21"/>
                      </w:rPr>
                      <w:t> </w:t>
                    </w:r>
                    <w:r>
                      <w:rPr>
                        <w:w w:val="90"/>
                        <w:sz w:val="21"/>
                      </w:rPr>
                      <w:t>| </w:t>
                    </w:r>
                    <w:r>
                      <w:rPr>
                        <w:color w:val="7E7E7E"/>
                        <w:spacing w:val="12"/>
                        <w:sz w:val="21"/>
                      </w:rPr>
                      <w:t>P</w:t>
                    </w:r>
                    <w:r>
                      <w:rPr>
                        <w:color w:val="7E7E7E"/>
                        <w:sz w:val="21"/>
                      </w:rPr>
                      <w:t> </w:t>
                    </w:r>
                    <w:r>
                      <w:rPr>
                        <w:color w:val="7E7E7E"/>
                        <w:spacing w:val="12"/>
                        <w:sz w:val="21"/>
                      </w:rPr>
                      <w:t>a</w:t>
                    </w:r>
                    <w:r>
                      <w:rPr>
                        <w:color w:val="7E7E7E"/>
                        <w:sz w:val="21"/>
                      </w:rPr>
                      <w:t> g</w:t>
                    </w:r>
                    <w:r>
                      <w:rPr>
                        <w:color w:val="7E7E7E"/>
                        <w:spacing w:val="11"/>
                        <w:sz w:val="21"/>
                      </w:rPr>
                      <w:t> </w:t>
                    </w:r>
                    <w:r>
                      <w:rPr>
                        <w:color w:val="7E7E7E"/>
                        <w:spacing w:val="-10"/>
                        <w:sz w:val="21"/>
                      </w:rPr>
                      <w:t>e</w:t>
                    </w:r>
                  </w:p>
                </w:txbxContent>
              </v:textbox>
              <w10:wrap type="none"/>
            </v:shape>
          </w:pict>
        </mc:Fallback>
      </mc:AlternateContent>
    </w:r>
  </w:p>
</w:ftr>
</file>

<file path=word/footer3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3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2581504">
              <wp:simplePos x="0" y="0"/>
              <wp:positionH relativeFrom="page">
                <wp:posOffset>895350</wp:posOffset>
              </wp:positionH>
              <wp:positionV relativeFrom="page">
                <wp:posOffset>9257525</wp:posOffset>
              </wp:positionV>
              <wp:extent cx="5982335" cy="6350"/>
              <wp:effectExtent l="0" t="0" r="0" b="0"/>
              <wp:wrapNone/>
              <wp:docPr id="260" name="Graphic 260"/>
              <wp:cNvGraphicFramePr>
                <a:graphicFrameLocks/>
              </wp:cNvGraphicFramePr>
              <a:graphic>
                <a:graphicData uri="http://schemas.microsoft.com/office/word/2010/wordprocessingShape">
                  <wps:wsp>
                    <wps:cNvPr id="260" name="Graphic 260"/>
                    <wps:cNvSpPr/>
                    <wps:spPr>
                      <a:xfrm>
                        <a:off x="0" y="0"/>
                        <a:ext cx="5982335" cy="6350"/>
                      </a:xfrm>
                      <a:custGeom>
                        <a:avLst/>
                        <a:gdLst/>
                        <a:ahLst/>
                        <a:cxnLst/>
                        <a:rect l="l" t="t" r="r" b="b"/>
                        <a:pathLst>
                          <a:path w="5982335" h="6350">
                            <a:moveTo>
                              <a:pt x="5981712" y="0"/>
                            </a:moveTo>
                            <a:lnTo>
                              <a:pt x="0" y="0"/>
                            </a:lnTo>
                            <a:lnTo>
                              <a:pt x="0" y="6108"/>
                            </a:lnTo>
                            <a:lnTo>
                              <a:pt x="5981712" y="6108"/>
                            </a:lnTo>
                            <a:lnTo>
                              <a:pt x="5981712"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rect style="position:absolute;margin-left:70.5pt;margin-top:728.939026pt;width:471.001pt;height:.481pt;mso-position-horizontal-relative:page;mso-position-vertical-relative:page;z-index:-20734976" id="docshape207" filled="true" fillcolor="#d9d9d9" stroked="false">
              <v:fill type="solid"/>
              <w10:wrap type="none"/>
            </v:rect>
          </w:pict>
        </mc:Fallback>
      </mc:AlternateContent>
    </w:r>
    <w:r>
      <w:rPr/>
      <mc:AlternateContent>
        <mc:Choice Requires="wps">
          <w:drawing>
            <wp:anchor distT="0" distB="0" distL="0" distR="0" allowOverlap="1" layoutInCell="1" locked="0" behindDoc="1" simplePos="0" relativeHeight="482582016">
              <wp:simplePos x="0" y="0"/>
              <wp:positionH relativeFrom="page">
                <wp:posOffset>6080759</wp:posOffset>
              </wp:positionH>
              <wp:positionV relativeFrom="page">
                <wp:posOffset>9262882</wp:posOffset>
              </wp:positionV>
              <wp:extent cx="752475" cy="188595"/>
              <wp:effectExtent l="0" t="0" r="0" b="0"/>
              <wp:wrapNone/>
              <wp:docPr id="261" name="Textbox 261"/>
              <wp:cNvGraphicFramePr>
                <a:graphicFrameLocks/>
              </wp:cNvGraphicFramePr>
              <a:graphic>
                <a:graphicData uri="http://schemas.microsoft.com/office/word/2010/wordprocessingShape">
                  <wps:wsp>
                    <wps:cNvPr id="261" name="Textbox 261"/>
                    <wps:cNvSpPr txBox="1"/>
                    <wps:spPr>
                      <a:xfrm>
                        <a:off x="0" y="0"/>
                        <a:ext cx="752475" cy="188595"/>
                      </a:xfrm>
                      <a:prstGeom prst="rect">
                        <a:avLst/>
                      </a:prstGeom>
                    </wps:spPr>
                    <wps:txbx>
                      <w:txbxContent>
                        <w:p>
                          <w:pPr>
                            <w:spacing w:before="17"/>
                            <w:ind w:left="60" w:right="0" w:firstLine="0"/>
                            <w:jc w:val="left"/>
                            <w:rPr>
                              <w:sz w:val="21"/>
                            </w:rPr>
                          </w:pPr>
                          <w:r>
                            <w:rPr>
                              <w:sz w:val="21"/>
                            </w:rPr>
                            <w:fldChar w:fldCharType="begin"/>
                          </w:r>
                          <w:r>
                            <w:rPr>
                              <w:sz w:val="21"/>
                            </w:rPr>
                            <w:instrText> PAGE </w:instrText>
                          </w:r>
                          <w:r>
                            <w:rPr>
                              <w:sz w:val="21"/>
                            </w:rPr>
                            <w:fldChar w:fldCharType="separate"/>
                          </w:r>
                          <w:r>
                            <w:rPr>
                              <w:sz w:val="21"/>
                            </w:rPr>
                            <w:t>100</w:t>
                          </w:r>
                          <w:r>
                            <w:rPr>
                              <w:sz w:val="21"/>
                            </w:rPr>
                            <w:fldChar w:fldCharType="end"/>
                          </w:r>
                          <w:r>
                            <w:rPr>
                              <w:spacing w:val="-4"/>
                              <w:sz w:val="21"/>
                            </w:rPr>
                            <w:t> </w:t>
                          </w:r>
                          <w:r>
                            <w:rPr>
                              <w:w w:val="95"/>
                              <w:sz w:val="21"/>
                            </w:rPr>
                            <w:t>|</w:t>
                          </w:r>
                          <w:r>
                            <w:rPr>
                              <w:spacing w:val="-2"/>
                              <w:w w:val="95"/>
                              <w:sz w:val="21"/>
                            </w:rPr>
                            <w:t> </w:t>
                          </w:r>
                          <w:r>
                            <w:rPr>
                              <w:color w:val="7E7E7E"/>
                              <w:sz w:val="21"/>
                            </w:rPr>
                            <w:t>P</w:t>
                          </w:r>
                          <w:r>
                            <w:rPr>
                              <w:color w:val="7E7E7E"/>
                              <w:spacing w:val="13"/>
                              <w:sz w:val="21"/>
                            </w:rPr>
                            <w:t> </w:t>
                          </w:r>
                          <w:r>
                            <w:rPr>
                              <w:color w:val="7E7E7E"/>
                              <w:spacing w:val="11"/>
                              <w:sz w:val="21"/>
                            </w:rPr>
                            <w:t>a</w:t>
                          </w:r>
                          <w:r>
                            <w:rPr>
                              <w:color w:val="7E7E7E"/>
                              <w:spacing w:val="1"/>
                              <w:sz w:val="21"/>
                            </w:rPr>
                            <w:t> </w:t>
                          </w:r>
                          <w:r>
                            <w:rPr>
                              <w:color w:val="7E7E7E"/>
                              <w:sz w:val="21"/>
                            </w:rPr>
                            <w:t>g</w:t>
                          </w:r>
                          <w:r>
                            <w:rPr>
                              <w:color w:val="7E7E7E"/>
                              <w:spacing w:val="13"/>
                              <w:sz w:val="21"/>
                            </w:rPr>
                            <w:t> </w:t>
                          </w:r>
                          <w:r>
                            <w:rPr>
                              <w:color w:val="7E7E7E"/>
                              <w:spacing w:val="-10"/>
                              <w:sz w:val="21"/>
                            </w:rPr>
                            <w:t>e</w:t>
                          </w:r>
                        </w:p>
                      </w:txbxContent>
                    </wps:txbx>
                    <wps:bodyPr wrap="square" lIns="0" tIns="0" rIns="0" bIns="0" rtlCol="0">
                      <a:noAutofit/>
                    </wps:bodyPr>
                  </wps:wsp>
                </a:graphicData>
              </a:graphic>
            </wp:anchor>
          </w:drawing>
        </mc:Choice>
        <mc:Fallback>
          <w:pict>
            <v:shape style="position:absolute;margin-left:478.799988pt;margin-top:729.36084pt;width:59.25pt;height:14.85pt;mso-position-horizontal-relative:page;mso-position-vertical-relative:page;z-index:-20734464" type="#_x0000_t202" id="docshape208" filled="false" stroked="false">
              <v:textbox inset="0,0,0,0">
                <w:txbxContent>
                  <w:p>
                    <w:pPr>
                      <w:spacing w:before="17"/>
                      <w:ind w:left="60" w:right="0" w:firstLine="0"/>
                      <w:jc w:val="left"/>
                      <w:rPr>
                        <w:sz w:val="21"/>
                      </w:rPr>
                    </w:pPr>
                    <w:r>
                      <w:rPr>
                        <w:sz w:val="21"/>
                      </w:rPr>
                      <w:fldChar w:fldCharType="begin"/>
                    </w:r>
                    <w:r>
                      <w:rPr>
                        <w:sz w:val="21"/>
                      </w:rPr>
                      <w:instrText> PAGE </w:instrText>
                    </w:r>
                    <w:r>
                      <w:rPr>
                        <w:sz w:val="21"/>
                      </w:rPr>
                      <w:fldChar w:fldCharType="separate"/>
                    </w:r>
                    <w:r>
                      <w:rPr>
                        <w:sz w:val="21"/>
                      </w:rPr>
                      <w:t>100</w:t>
                    </w:r>
                    <w:r>
                      <w:rPr>
                        <w:sz w:val="21"/>
                      </w:rPr>
                      <w:fldChar w:fldCharType="end"/>
                    </w:r>
                    <w:r>
                      <w:rPr>
                        <w:spacing w:val="-4"/>
                        <w:sz w:val="21"/>
                      </w:rPr>
                      <w:t> </w:t>
                    </w:r>
                    <w:r>
                      <w:rPr>
                        <w:w w:val="95"/>
                        <w:sz w:val="21"/>
                      </w:rPr>
                      <w:t>|</w:t>
                    </w:r>
                    <w:r>
                      <w:rPr>
                        <w:spacing w:val="-2"/>
                        <w:w w:val="95"/>
                        <w:sz w:val="21"/>
                      </w:rPr>
                      <w:t> </w:t>
                    </w:r>
                    <w:r>
                      <w:rPr>
                        <w:color w:val="7E7E7E"/>
                        <w:sz w:val="21"/>
                      </w:rPr>
                      <w:t>P</w:t>
                    </w:r>
                    <w:r>
                      <w:rPr>
                        <w:color w:val="7E7E7E"/>
                        <w:spacing w:val="13"/>
                        <w:sz w:val="21"/>
                      </w:rPr>
                      <w:t> </w:t>
                    </w:r>
                    <w:r>
                      <w:rPr>
                        <w:color w:val="7E7E7E"/>
                        <w:spacing w:val="11"/>
                        <w:sz w:val="21"/>
                      </w:rPr>
                      <w:t>a</w:t>
                    </w:r>
                    <w:r>
                      <w:rPr>
                        <w:color w:val="7E7E7E"/>
                        <w:spacing w:val="1"/>
                        <w:sz w:val="21"/>
                      </w:rPr>
                      <w:t> </w:t>
                    </w:r>
                    <w:r>
                      <w:rPr>
                        <w:color w:val="7E7E7E"/>
                        <w:sz w:val="21"/>
                      </w:rPr>
                      <w:t>g</w:t>
                    </w:r>
                    <w:r>
                      <w:rPr>
                        <w:color w:val="7E7E7E"/>
                        <w:spacing w:val="13"/>
                        <w:sz w:val="21"/>
                      </w:rPr>
                      <w:t> </w:t>
                    </w:r>
                    <w:r>
                      <w:rPr>
                        <w:color w:val="7E7E7E"/>
                        <w:spacing w:val="-10"/>
                        <w:sz w:val="21"/>
                      </w:rPr>
                      <w:t>e</w:t>
                    </w:r>
                  </w:p>
                </w:txbxContent>
              </v:textbox>
              <w10:wrap type="none"/>
            </v:shape>
          </w:pict>
        </mc:Fallback>
      </mc:AlternateContent>
    </w:r>
  </w:p>
</w:ftr>
</file>

<file path=word/footer3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3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2583040">
              <wp:simplePos x="0" y="0"/>
              <wp:positionH relativeFrom="page">
                <wp:posOffset>806195</wp:posOffset>
              </wp:positionH>
              <wp:positionV relativeFrom="page">
                <wp:posOffset>8932913</wp:posOffset>
              </wp:positionV>
              <wp:extent cx="6286500" cy="6350"/>
              <wp:effectExtent l="0" t="0" r="0" b="0"/>
              <wp:wrapNone/>
              <wp:docPr id="283" name="Graphic 283"/>
              <wp:cNvGraphicFramePr>
                <a:graphicFrameLocks/>
              </wp:cNvGraphicFramePr>
              <a:graphic>
                <a:graphicData uri="http://schemas.microsoft.com/office/word/2010/wordprocessingShape">
                  <wps:wsp>
                    <wps:cNvPr id="283" name="Graphic 283"/>
                    <wps:cNvSpPr/>
                    <wps:spPr>
                      <a:xfrm>
                        <a:off x="0" y="0"/>
                        <a:ext cx="6286500" cy="6350"/>
                      </a:xfrm>
                      <a:custGeom>
                        <a:avLst/>
                        <a:gdLst/>
                        <a:ahLst/>
                        <a:cxnLst/>
                        <a:rect l="l" t="t" r="r" b="b"/>
                        <a:pathLst>
                          <a:path w="6286500" h="6350">
                            <a:moveTo>
                              <a:pt x="6286500" y="0"/>
                            </a:moveTo>
                            <a:lnTo>
                              <a:pt x="0" y="0"/>
                            </a:lnTo>
                            <a:lnTo>
                              <a:pt x="0" y="6108"/>
                            </a:lnTo>
                            <a:lnTo>
                              <a:pt x="6286500" y="6108"/>
                            </a:lnTo>
                            <a:lnTo>
                              <a:pt x="6286500"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rect style="position:absolute;margin-left:63.48pt;margin-top:703.379028pt;width:495pt;height:.481pt;mso-position-horizontal-relative:page;mso-position-vertical-relative:page;z-index:-20733440" id="docshape225" filled="true" fillcolor="#d9d9d9" stroked="false">
              <v:fill type="solid"/>
              <w10:wrap type="none"/>
            </v:rect>
          </w:pict>
        </mc:Fallback>
      </mc:AlternateContent>
    </w:r>
    <w:r>
      <w:rPr/>
      <mc:AlternateContent>
        <mc:Choice Requires="wps">
          <w:drawing>
            <wp:anchor distT="0" distB="0" distL="0" distR="0" allowOverlap="1" layoutInCell="1" locked="0" behindDoc="1" simplePos="0" relativeHeight="482583552">
              <wp:simplePos x="0" y="0"/>
              <wp:positionH relativeFrom="page">
                <wp:posOffset>6297167</wp:posOffset>
              </wp:positionH>
              <wp:positionV relativeFrom="page">
                <wp:posOffset>8965755</wp:posOffset>
              </wp:positionV>
              <wp:extent cx="789940" cy="158750"/>
              <wp:effectExtent l="0" t="0" r="0" b="0"/>
              <wp:wrapNone/>
              <wp:docPr id="284" name="Textbox 284"/>
              <wp:cNvGraphicFramePr>
                <a:graphicFrameLocks/>
              </wp:cNvGraphicFramePr>
              <a:graphic>
                <a:graphicData uri="http://schemas.microsoft.com/office/word/2010/wordprocessingShape">
                  <wps:wsp>
                    <wps:cNvPr id="284" name="Textbox 284"/>
                    <wps:cNvSpPr txBox="1"/>
                    <wps:spPr>
                      <a:xfrm>
                        <a:off x="0" y="0"/>
                        <a:ext cx="789940" cy="158750"/>
                      </a:xfrm>
                      <a:prstGeom prst="rect">
                        <a:avLst/>
                      </a:prstGeom>
                    </wps:spPr>
                    <wps:txbx>
                      <w:txbxContent>
                        <w:p>
                          <w:pPr>
                            <w:spacing w:line="234" w:lineRule="exact" w:before="0"/>
                            <w:ind w:left="60" w:right="0" w:firstLine="0"/>
                            <w:jc w:val="left"/>
                            <w:rPr>
                              <w:sz w:val="21"/>
                            </w:rPr>
                          </w:pPr>
                          <w:r>
                            <w:rPr>
                              <w:sz w:val="21"/>
                            </w:rPr>
                            <w:fldChar w:fldCharType="begin"/>
                          </w:r>
                          <w:r>
                            <w:rPr>
                              <w:sz w:val="21"/>
                            </w:rPr>
                            <w:instrText> PAGE </w:instrText>
                          </w:r>
                          <w:r>
                            <w:rPr>
                              <w:sz w:val="21"/>
                            </w:rPr>
                            <w:fldChar w:fldCharType="separate"/>
                          </w:r>
                          <w:r>
                            <w:rPr>
                              <w:sz w:val="21"/>
                            </w:rPr>
                            <w:t>123</w:t>
                          </w:r>
                          <w:r>
                            <w:rPr>
                              <w:sz w:val="21"/>
                            </w:rPr>
                            <w:fldChar w:fldCharType="end"/>
                          </w:r>
                          <w:r>
                            <w:rPr>
                              <w:spacing w:val="-1"/>
                              <w:sz w:val="21"/>
                            </w:rPr>
                            <w:t> </w:t>
                          </w:r>
                          <w:r>
                            <w:rPr>
                              <w:sz w:val="21"/>
                            </w:rPr>
                            <w:t>| </w:t>
                          </w:r>
                          <w:r>
                            <w:rPr>
                              <w:color w:val="7E7E7E"/>
                              <w:spacing w:val="11"/>
                              <w:sz w:val="21"/>
                            </w:rPr>
                            <w:t>P</w:t>
                          </w:r>
                          <w:r>
                            <w:rPr>
                              <w:color w:val="7E7E7E"/>
                              <w:sz w:val="21"/>
                            </w:rPr>
                            <w:t> a</w:t>
                          </w:r>
                          <w:r>
                            <w:rPr>
                              <w:color w:val="7E7E7E"/>
                              <w:spacing w:val="12"/>
                              <w:sz w:val="21"/>
                            </w:rPr>
                            <w:t> g</w:t>
                          </w:r>
                          <w:r>
                            <w:rPr>
                              <w:color w:val="7E7E7E"/>
                              <w:sz w:val="21"/>
                            </w:rPr>
                            <w:t> </w:t>
                          </w:r>
                          <w:r>
                            <w:rPr>
                              <w:color w:val="7E7E7E"/>
                              <w:spacing w:val="-10"/>
                              <w:sz w:val="21"/>
                            </w:rPr>
                            <w:t>e</w:t>
                          </w:r>
                          <w:r>
                            <w:rPr>
                              <w:color w:val="7E7E7E"/>
                              <w:sz w:val="21"/>
                            </w:rPr>
                            <w:t> </w:t>
                          </w:r>
                        </w:p>
                      </w:txbxContent>
                    </wps:txbx>
                    <wps:bodyPr wrap="square" lIns="0" tIns="0" rIns="0" bIns="0" rtlCol="0">
                      <a:noAutofit/>
                    </wps:bodyPr>
                  </wps:wsp>
                </a:graphicData>
              </a:graphic>
            </wp:anchor>
          </w:drawing>
        </mc:Choice>
        <mc:Fallback>
          <w:pict>
            <v:shape style="position:absolute;margin-left:495.839996pt;margin-top:705.965027pt;width:62.2pt;height:12.5pt;mso-position-horizontal-relative:page;mso-position-vertical-relative:page;z-index:-20732928" type="#_x0000_t202" id="docshape226" filled="false" stroked="false">
              <v:textbox inset="0,0,0,0">
                <w:txbxContent>
                  <w:p>
                    <w:pPr>
                      <w:spacing w:line="234" w:lineRule="exact" w:before="0"/>
                      <w:ind w:left="60" w:right="0" w:firstLine="0"/>
                      <w:jc w:val="left"/>
                      <w:rPr>
                        <w:sz w:val="21"/>
                      </w:rPr>
                    </w:pPr>
                    <w:r>
                      <w:rPr>
                        <w:sz w:val="21"/>
                      </w:rPr>
                      <w:fldChar w:fldCharType="begin"/>
                    </w:r>
                    <w:r>
                      <w:rPr>
                        <w:sz w:val="21"/>
                      </w:rPr>
                      <w:instrText> PAGE </w:instrText>
                    </w:r>
                    <w:r>
                      <w:rPr>
                        <w:sz w:val="21"/>
                      </w:rPr>
                      <w:fldChar w:fldCharType="separate"/>
                    </w:r>
                    <w:r>
                      <w:rPr>
                        <w:sz w:val="21"/>
                      </w:rPr>
                      <w:t>123</w:t>
                    </w:r>
                    <w:r>
                      <w:rPr>
                        <w:sz w:val="21"/>
                      </w:rPr>
                      <w:fldChar w:fldCharType="end"/>
                    </w:r>
                    <w:r>
                      <w:rPr>
                        <w:spacing w:val="-1"/>
                        <w:sz w:val="21"/>
                      </w:rPr>
                      <w:t> </w:t>
                    </w:r>
                    <w:r>
                      <w:rPr>
                        <w:sz w:val="21"/>
                      </w:rPr>
                      <w:t>| </w:t>
                    </w:r>
                    <w:r>
                      <w:rPr>
                        <w:color w:val="7E7E7E"/>
                        <w:spacing w:val="11"/>
                        <w:sz w:val="21"/>
                      </w:rPr>
                      <w:t>P</w:t>
                    </w:r>
                    <w:r>
                      <w:rPr>
                        <w:color w:val="7E7E7E"/>
                        <w:sz w:val="21"/>
                      </w:rPr>
                      <w:t> a</w:t>
                    </w:r>
                    <w:r>
                      <w:rPr>
                        <w:color w:val="7E7E7E"/>
                        <w:spacing w:val="12"/>
                        <w:sz w:val="21"/>
                      </w:rPr>
                      <w:t> g</w:t>
                    </w:r>
                    <w:r>
                      <w:rPr>
                        <w:color w:val="7E7E7E"/>
                        <w:sz w:val="21"/>
                      </w:rPr>
                      <w:t> </w:t>
                    </w:r>
                    <w:r>
                      <w:rPr>
                        <w:color w:val="7E7E7E"/>
                        <w:spacing w:val="-10"/>
                        <w:sz w:val="21"/>
                      </w:rPr>
                      <w:t>e</w:t>
                    </w:r>
                    <w:r>
                      <w:rPr>
                        <w:color w:val="7E7E7E"/>
                        <w:sz w:val="21"/>
                      </w:rPr>
                      <w:t> </w:t>
                    </w:r>
                  </w:p>
                </w:txbxContent>
              </v:textbox>
              <w10:wrap type="none"/>
            </v:shape>
          </w:pict>
        </mc:Fallback>
      </mc:AlternateContent>
    </w:r>
  </w:p>
</w:ftr>
</file>

<file path=word/footer3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3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2584576">
              <wp:simplePos x="0" y="0"/>
              <wp:positionH relativeFrom="page">
                <wp:posOffset>806195</wp:posOffset>
              </wp:positionH>
              <wp:positionV relativeFrom="page">
                <wp:posOffset>9059418</wp:posOffset>
              </wp:positionV>
              <wp:extent cx="6197600" cy="6350"/>
              <wp:effectExtent l="0" t="0" r="0" b="0"/>
              <wp:wrapNone/>
              <wp:docPr id="314" name="Graphic 314"/>
              <wp:cNvGraphicFramePr>
                <a:graphicFrameLocks/>
              </wp:cNvGraphicFramePr>
              <a:graphic>
                <a:graphicData uri="http://schemas.microsoft.com/office/word/2010/wordprocessingShape">
                  <wps:wsp>
                    <wps:cNvPr id="314" name="Graphic 314"/>
                    <wps:cNvSpPr/>
                    <wps:spPr>
                      <a:xfrm>
                        <a:off x="0" y="0"/>
                        <a:ext cx="6197600" cy="6350"/>
                      </a:xfrm>
                      <a:custGeom>
                        <a:avLst/>
                        <a:gdLst/>
                        <a:ahLst/>
                        <a:cxnLst/>
                        <a:rect l="l" t="t" r="r" b="b"/>
                        <a:pathLst>
                          <a:path w="6197600" h="6350">
                            <a:moveTo>
                              <a:pt x="6197346" y="0"/>
                            </a:moveTo>
                            <a:lnTo>
                              <a:pt x="0" y="0"/>
                            </a:lnTo>
                            <a:lnTo>
                              <a:pt x="0" y="6095"/>
                            </a:lnTo>
                            <a:lnTo>
                              <a:pt x="6197346" y="6095"/>
                            </a:lnTo>
                            <a:lnTo>
                              <a:pt x="6197346"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rect style="position:absolute;margin-left:63.48pt;margin-top:713.340027pt;width:487.98pt;height:.48pt;mso-position-horizontal-relative:page;mso-position-vertical-relative:page;z-index:-20731904" id="docshape247" filled="true" fillcolor="#d9d9d9" stroked="false">
              <v:fill type="solid"/>
              <w10:wrap type="none"/>
            </v:rect>
          </w:pict>
        </mc:Fallback>
      </mc:AlternateContent>
    </w:r>
    <w:r>
      <w:rPr/>
      <mc:AlternateContent>
        <mc:Choice Requires="wps">
          <w:drawing>
            <wp:anchor distT="0" distB="0" distL="0" distR="0" allowOverlap="1" layoutInCell="1" locked="0" behindDoc="1" simplePos="0" relativeHeight="482585088">
              <wp:simplePos x="0" y="0"/>
              <wp:positionH relativeFrom="page">
                <wp:posOffset>6208014</wp:posOffset>
              </wp:positionH>
              <wp:positionV relativeFrom="page">
                <wp:posOffset>9092247</wp:posOffset>
              </wp:positionV>
              <wp:extent cx="789940" cy="158750"/>
              <wp:effectExtent l="0" t="0" r="0" b="0"/>
              <wp:wrapNone/>
              <wp:docPr id="315" name="Textbox 315"/>
              <wp:cNvGraphicFramePr>
                <a:graphicFrameLocks/>
              </wp:cNvGraphicFramePr>
              <a:graphic>
                <a:graphicData uri="http://schemas.microsoft.com/office/word/2010/wordprocessingShape">
                  <wps:wsp>
                    <wps:cNvPr id="315" name="Textbox 315"/>
                    <wps:cNvSpPr txBox="1"/>
                    <wps:spPr>
                      <a:xfrm>
                        <a:off x="0" y="0"/>
                        <a:ext cx="789940" cy="158750"/>
                      </a:xfrm>
                      <a:prstGeom prst="rect">
                        <a:avLst/>
                      </a:prstGeom>
                    </wps:spPr>
                    <wps:txbx>
                      <w:txbxContent>
                        <w:p>
                          <w:pPr>
                            <w:spacing w:line="234" w:lineRule="exact" w:before="0"/>
                            <w:ind w:left="60" w:right="0" w:firstLine="0"/>
                            <w:jc w:val="left"/>
                            <w:rPr>
                              <w:sz w:val="21"/>
                            </w:rPr>
                          </w:pPr>
                          <w:r>
                            <w:rPr>
                              <w:sz w:val="21"/>
                            </w:rPr>
                            <w:fldChar w:fldCharType="begin"/>
                          </w:r>
                          <w:r>
                            <w:rPr>
                              <w:sz w:val="21"/>
                            </w:rPr>
                            <w:instrText> PAGE </w:instrText>
                          </w:r>
                          <w:r>
                            <w:rPr>
                              <w:sz w:val="21"/>
                            </w:rPr>
                            <w:fldChar w:fldCharType="separate"/>
                          </w:r>
                          <w:r>
                            <w:rPr>
                              <w:sz w:val="21"/>
                            </w:rPr>
                            <w:t>139</w:t>
                          </w:r>
                          <w:r>
                            <w:rPr>
                              <w:sz w:val="21"/>
                            </w:rPr>
                            <w:fldChar w:fldCharType="end"/>
                          </w:r>
                          <w:r>
                            <w:rPr>
                              <w:spacing w:val="-1"/>
                              <w:sz w:val="21"/>
                            </w:rPr>
                            <w:t> </w:t>
                          </w:r>
                          <w:r>
                            <w:rPr>
                              <w:sz w:val="21"/>
                            </w:rPr>
                            <w:t>| </w:t>
                          </w:r>
                          <w:r>
                            <w:rPr>
                              <w:color w:val="7E7E7E"/>
                              <w:spacing w:val="11"/>
                              <w:sz w:val="21"/>
                            </w:rPr>
                            <w:t>P</w:t>
                          </w:r>
                          <w:r>
                            <w:rPr>
                              <w:color w:val="7E7E7E"/>
                              <w:sz w:val="21"/>
                            </w:rPr>
                            <w:t> a</w:t>
                          </w:r>
                          <w:r>
                            <w:rPr>
                              <w:color w:val="7E7E7E"/>
                              <w:spacing w:val="12"/>
                              <w:sz w:val="21"/>
                            </w:rPr>
                            <w:t> g</w:t>
                          </w:r>
                          <w:r>
                            <w:rPr>
                              <w:color w:val="7E7E7E"/>
                              <w:sz w:val="21"/>
                            </w:rPr>
                            <w:t> </w:t>
                          </w:r>
                          <w:r>
                            <w:rPr>
                              <w:color w:val="7E7E7E"/>
                              <w:spacing w:val="-10"/>
                              <w:sz w:val="21"/>
                            </w:rPr>
                            <w:t>e</w:t>
                          </w:r>
                          <w:r>
                            <w:rPr>
                              <w:color w:val="7E7E7E"/>
                              <w:sz w:val="21"/>
                            </w:rPr>
                            <w:t> </w:t>
                          </w:r>
                        </w:p>
                      </w:txbxContent>
                    </wps:txbx>
                    <wps:bodyPr wrap="square" lIns="0" tIns="0" rIns="0" bIns="0" rtlCol="0">
                      <a:noAutofit/>
                    </wps:bodyPr>
                  </wps:wsp>
                </a:graphicData>
              </a:graphic>
            </wp:anchor>
          </w:drawing>
        </mc:Choice>
        <mc:Fallback>
          <w:pict>
            <v:shape style="position:absolute;margin-left:488.820007pt;margin-top:715.924988pt;width:62.2pt;height:12.5pt;mso-position-horizontal-relative:page;mso-position-vertical-relative:page;z-index:-20731392" type="#_x0000_t202" id="docshape248" filled="false" stroked="false">
              <v:textbox inset="0,0,0,0">
                <w:txbxContent>
                  <w:p>
                    <w:pPr>
                      <w:spacing w:line="234" w:lineRule="exact" w:before="0"/>
                      <w:ind w:left="60" w:right="0" w:firstLine="0"/>
                      <w:jc w:val="left"/>
                      <w:rPr>
                        <w:sz w:val="21"/>
                      </w:rPr>
                    </w:pPr>
                    <w:r>
                      <w:rPr>
                        <w:sz w:val="21"/>
                      </w:rPr>
                      <w:fldChar w:fldCharType="begin"/>
                    </w:r>
                    <w:r>
                      <w:rPr>
                        <w:sz w:val="21"/>
                      </w:rPr>
                      <w:instrText> PAGE </w:instrText>
                    </w:r>
                    <w:r>
                      <w:rPr>
                        <w:sz w:val="21"/>
                      </w:rPr>
                      <w:fldChar w:fldCharType="separate"/>
                    </w:r>
                    <w:r>
                      <w:rPr>
                        <w:sz w:val="21"/>
                      </w:rPr>
                      <w:t>139</w:t>
                    </w:r>
                    <w:r>
                      <w:rPr>
                        <w:sz w:val="21"/>
                      </w:rPr>
                      <w:fldChar w:fldCharType="end"/>
                    </w:r>
                    <w:r>
                      <w:rPr>
                        <w:spacing w:val="-1"/>
                        <w:sz w:val="21"/>
                      </w:rPr>
                      <w:t> </w:t>
                    </w:r>
                    <w:r>
                      <w:rPr>
                        <w:sz w:val="21"/>
                      </w:rPr>
                      <w:t>| </w:t>
                    </w:r>
                    <w:r>
                      <w:rPr>
                        <w:color w:val="7E7E7E"/>
                        <w:spacing w:val="11"/>
                        <w:sz w:val="21"/>
                      </w:rPr>
                      <w:t>P</w:t>
                    </w:r>
                    <w:r>
                      <w:rPr>
                        <w:color w:val="7E7E7E"/>
                        <w:sz w:val="21"/>
                      </w:rPr>
                      <w:t> a</w:t>
                    </w:r>
                    <w:r>
                      <w:rPr>
                        <w:color w:val="7E7E7E"/>
                        <w:spacing w:val="12"/>
                        <w:sz w:val="21"/>
                      </w:rPr>
                      <w:t> g</w:t>
                    </w:r>
                    <w:r>
                      <w:rPr>
                        <w:color w:val="7E7E7E"/>
                        <w:sz w:val="21"/>
                      </w:rPr>
                      <w:t> </w:t>
                    </w:r>
                    <w:r>
                      <w:rPr>
                        <w:color w:val="7E7E7E"/>
                        <w:spacing w:val="-10"/>
                        <w:sz w:val="21"/>
                      </w:rPr>
                      <w:t>e</w:t>
                    </w:r>
                    <w:r>
                      <w:rPr>
                        <w:color w:val="7E7E7E"/>
                        <w:sz w:val="21"/>
                      </w:rPr>
                      <w:t> </w:t>
                    </w:r>
                  </w:p>
                </w:txbxContent>
              </v:textbox>
              <w10:wrap type="none"/>
            </v:shape>
          </w:pict>
        </mc:Fallback>
      </mc:AlternateContent>
    </w:r>
  </w:p>
</w:ftr>
</file>

<file path=word/footer3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3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2586112">
              <wp:simplePos x="0" y="0"/>
              <wp:positionH relativeFrom="page">
                <wp:posOffset>895350</wp:posOffset>
              </wp:positionH>
              <wp:positionV relativeFrom="page">
                <wp:posOffset>9171431</wp:posOffset>
              </wp:positionV>
              <wp:extent cx="5982335" cy="6350"/>
              <wp:effectExtent l="0" t="0" r="0" b="0"/>
              <wp:wrapNone/>
              <wp:docPr id="360" name="Graphic 360"/>
              <wp:cNvGraphicFramePr>
                <a:graphicFrameLocks/>
              </wp:cNvGraphicFramePr>
              <a:graphic>
                <a:graphicData uri="http://schemas.microsoft.com/office/word/2010/wordprocessingShape">
                  <wps:wsp>
                    <wps:cNvPr id="360" name="Graphic 360"/>
                    <wps:cNvSpPr/>
                    <wps:spPr>
                      <a:xfrm>
                        <a:off x="0" y="0"/>
                        <a:ext cx="5982335" cy="6350"/>
                      </a:xfrm>
                      <a:custGeom>
                        <a:avLst/>
                        <a:gdLst/>
                        <a:ahLst/>
                        <a:cxnLst/>
                        <a:rect l="l" t="t" r="r" b="b"/>
                        <a:pathLst>
                          <a:path w="5982335" h="6350">
                            <a:moveTo>
                              <a:pt x="5981712" y="0"/>
                            </a:moveTo>
                            <a:lnTo>
                              <a:pt x="0" y="0"/>
                            </a:lnTo>
                            <a:lnTo>
                              <a:pt x="0" y="6096"/>
                            </a:lnTo>
                            <a:lnTo>
                              <a:pt x="5981712" y="6096"/>
                            </a:lnTo>
                            <a:lnTo>
                              <a:pt x="5981712"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rect style="position:absolute;margin-left:70.5pt;margin-top:722.159973pt;width:471.001pt;height:.48pt;mso-position-horizontal-relative:page;mso-position-vertical-relative:page;z-index:-20730368" id="docshape287" filled="true" fillcolor="#d9d9d9" stroked="false">
              <v:fill type="solid"/>
              <w10:wrap type="none"/>
            </v:rect>
          </w:pict>
        </mc:Fallback>
      </mc:AlternateContent>
    </w:r>
    <w:r>
      <w:rPr/>
      <mc:AlternateContent>
        <mc:Choice Requires="wps">
          <w:drawing>
            <wp:anchor distT="0" distB="0" distL="0" distR="0" allowOverlap="1" layoutInCell="1" locked="0" behindDoc="1" simplePos="0" relativeHeight="482586624">
              <wp:simplePos x="0" y="0"/>
              <wp:positionH relativeFrom="page">
                <wp:posOffset>6073140</wp:posOffset>
              </wp:positionH>
              <wp:positionV relativeFrom="page">
                <wp:posOffset>9176803</wp:posOffset>
              </wp:positionV>
              <wp:extent cx="760095" cy="182245"/>
              <wp:effectExtent l="0" t="0" r="0" b="0"/>
              <wp:wrapNone/>
              <wp:docPr id="361" name="Textbox 361"/>
              <wp:cNvGraphicFramePr>
                <a:graphicFrameLocks/>
              </wp:cNvGraphicFramePr>
              <a:graphic>
                <a:graphicData uri="http://schemas.microsoft.com/office/word/2010/wordprocessingShape">
                  <wps:wsp>
                    <wps:cNvPr id="361" name="Textbox 361"/>
                    <wps:cNvSpPr txBox="1"/>
                    <wps:spPr>
                      <a:xfrm>
                        <a:off x="0" y="0"/>
                        <a:ext cx="760095" cy="182245"/>
                      </a:xfrm>
                      <a:prstGeom prst="rect">
                        <a:avLst/>
                      </a:prstGeom>
                    </wps:spPr>
                    <wps:txbx>
                      <w:txbxContent>
                        <w:p>
                          <w:pPr>
                            <w:spacing w:before="20"/>
                            <w:ind w:left="60" w:right="0" w:firstLine="0"/>
                            <w:jc w:val="left"/>
                            <w:rPr>
                              <w:rFonts w:ascii="Cambria"/>
                              <w:sz w:val="21"/>
                            </w:rPr>
                          </w:pPr>
                          <w:r>
                            <w:rPr>
                              <w:rFonts w:ascii="Cambria"/>
                              <w:sz w:val="21"/>
                            </w:rPr>
                            <w:fldChar w:fldCharType="begin"/>
                          </w:r>
                          <w:r>
                            <w:rPr>
                              <w:rFonts w:ascii="Cambria"/>
                              <w:sz w:val="21"/>
                            </w:rPr>
                            <w:instrText> PAGE </w:instrText>
                          </w:r>
                          <w:r>
                            <w:rPr>
                              <w:rFonts w:ascii="Cambria"/>
                              <w:sz w:val="21"/>
                            </w:rPr>
                            <w:fldChar w:fldCharType="separate"/>
                          </w:r>
                          <w:r>
                            <w:rPr>
                              <w:rFonts w:ascii="Cambria"/>
                              <w:sz w:val="21"/>
                            </w:rPr>
                            <w:t>149</w:t>
                          </w:r>
                          <w:r>
                            <w:rPr>
                              <w:rFonts w:ascii="Cambria"/>
                              <w:sz w:val="21"/>
                            </w:rPr>
                            <w:fldChar w:fldCharType="end"/>
                          </w:r>
                          <w:r>
                            <w:rPr>
                              <w:rFonts w:ascii="Cambria"/>
                              <w:sz w:val="21"/>
                            </w:rPr>
                            <w:t> | </w:t>
                          </w:r>
                          <w:r>
                            <w:rPr>
                              <w:rFonts w:ascii="Cambria"/>
                              <w:color w:val="7E7E7E"/>
                              <w:spacing w:val="13"/>
                              <w:sz w:val="21"/>
                            </w:rPr>
                            <w:t>P</w:t>
                          </w:r>
                          <w:r>
                            <w:rPr>
                              <w:rFonts w:ascii="Cambria"/>
                              <w:color w:val="7E7E7E"/>
                              <w:sz w:val="21"/>
                            </w:rPr>
                            <w:t> </w:t>
                          </w:r>
                          <w:r>
                            <w:rPr>
                              <w:rFonts w:ascii="Cambria"/>
                              <w:color w:val="7E7E7E"/>
                              <w:spacing w:val="13"/>
                              <w:sz w:val="21"/>
                            </w:rPr>
                            <w:t>a</w:t>
                          </w:r>
                          <w:r>
                            <w:rPr>
                              <w:rFonts w:ascii="Cambria"/>
                              <w:color w:val="7E7E7E"/>
                              <w:sz w:val="21"/>
                            </w:rPr>
                            <w:t> g</w:t>
                          </w:r>
                          <w:r>
                            <w:rPr>
                              <w:rFonts w:ascii="Cambria"/>
                              <w:color w:val="7E7E7E"/>
                              <w:spacing w:val="14"/>
                              <w:sz w:val="21"/>
                            </w:rPr>
                            <w:t> </w:t>
                          </w:r>
                          <w:r>
                            <w:rPr>
                              <w:rFonts w:ascii="Cambria"/>
                              <w:color w:val="7E7E7E"/>
                              <w:spacing w:val="-12"/>
                              <w:sz w:val="21"/>
                            </w:rPr>
                            <w:t>e</w:t>
                          </w:r>
                        </w:p>
                      </w:txbxContent>
                    </wps:txbx>
                    <wps:bodyPr wrap="square" lIns="0" tIns="0" rIns="0" bIns="0" rtlCol="0">
                      <a:noAutofit/>
                    </wps:bodyPr>
                  </wps:wsp>
                </a:graphicData>
              </a:graphic>
            </wp:anchor>
          </w:drawing>
        </mc:Choice>
        <mc:Fallback>
          <w:pict>
            <v:shape style="position:absolute;margin-left:478.200012pt;margin-top:722.582947pt;width:59.85pt;height:14.35pt;mso-position-horizontal-relative:page;mso-position-vertical-relative:page;z-index:-20729856" type="#_x0000_t202" id="docshape288" filled="false" stroked="false">
              <v:textbox inset="0,0,0,0">
                <w:txbxContent>
                  <w:p>
                    <w:pPr>
                      <w:spacing w:before="20"/>
                      <w:ind w:left="60" w:right="0" w:firstLine="0"/>
                      <w:jc w:val="left"/>
                      <w:rPr>
                        <w:rFonts w:ascii="Cambria"/>
                        <w:sz w:val="21"/>
                      </w:rPr>
                    </w:pPr>
                    <w:r>
                      <w:rPr>
                        <w:rFonts w:ascii="Cambria"/>
                        <w:sz w:val="21"/>
                      </w:rPr>
                      <w:fldChar w:fldCharType="begin"/>
                    </w:r>
                    <w:r>
                      <w:rPr>
                        <w:rFonts w:ascii="Cambria"/>
                        <w:sz w:val="21"/>
                      </w:rPr>
                      <w:instrText> PAGE </w:instrText>
                    </w:r>
                    <w:r>
                      <w:rPr>
                        <w:rFonts w:ascii="Cambria"/>
                        <w:sz w:val="21"/>
                      </w:rPr>
                      <w:fldChar w:fldCharType="separate"/>
                    </w:r>
                    <w:r>
                      <w:rPr>
                        <w:rFonts w:ascii="Cambria"/>
                        <w:sz w:val="21"/>
                      </w:rPr>
                      <w:t>149</w:t>
                    </w:r>
                    <w:r>
                      <w:rPr>
                        <w:rFonts w:ascii="Cambria"/>
                        <w:sz w:val="21"/>
                      </w:rPr>
                      <w:fldChar w:fldCharType="end"/>
                    </w:r>
                    <w:r>
                      <w:rPr>
                        <w:rFonts w:ascii="Cambria"/>
                        <w:sz w:val="21"/>
                      </w:rPr>
                      <w:t> | </w:t>
                    </w:r>
                    <w:r>
                      <w:rPr>
                        <w:rFonts w:ascii="Cambria"/>
                        <w:color w:val="7E7E7E"/>
                        <w:spacing w:val="13"/>
                        <w:sz w:val="21"/>
                      </w:rPr>
                      <w:t>P</w:t>
                    </w:r>
                    <w:r>
                      <w:rPr>
                        <w:rFonts w:ascii="Cambria"/>
                        <w:color w:val="7E7E7E"/>
                        <w:sz w:val="21"/>
                      </w:rPr>
                      <w:t> </w:t>
                    </w:r>
                    <w:r>
                      <w:rPr>
                        <w:rFonts w:ascii="Cambria"/>
                        <w:color w:val="7E7E7E"/>
                        <w:spacing w:val="13"/>
                        <w:sz w:val="21"/>
                      </w:rPr>
                      <w:t>a</w:t>
                    </w:r>
                    <w:r>
                      <w:rPr>
                        <w:rFonts w:ascii="Cambria"/>
                        <w:color w:val="7E7E7E"/>
                        <w:sz w:val="21"/>
                      </w:rPr>
                      <w:t> g</w:t>
                    </w:r>
                    <w:r>
                      <w:rPr>
                        <w:rFonts w:ascii="Cambria"/>
                        <w:color w:val="7E7E7E"/>
                        <w:spacing w:val="14"/>
                        <w:sz w:val="21"/>
                      </w:rPr>
                      <w:t> </w:t>
                    </w:r>
                    <w:r>
                      <w:rPr>
                        <w:rFonts w:ascii="Cambria"/>
                        <w:color w:val="7E7E7E"/>
                        <w:spacing w:val="-12"/>
                        <w:sz w:val="21"/>
                      </w:rPr>
                      <w:t>e</w:t>
                    </w:r>
                  </w:p>
                </w:txbxContent>
              </v:textbox>
              <w10:wrap type="none"/>
            </v:shape>
          </w:pict>
        </mc:Fallback>
      </mc:AlternateContent>
    </w:r>
  </w:p>
</w:ftr>
</file>

<file path=word/footer3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2587648">
              <wp:simplePos x="0" y="0"/>
              <wp:positionH relativeFrom="page">
                <wp:posOffset>6073140</wp:posOffset>
              </wp:positionH>
              <wp:positionV relativeFrom="page">
                <wp:posOffset>9176803</wp:posOffset>
              </wp:positionV>
              <wp:extent cx="760095" cy="182245"/>
              <wp:effectExtent l="0" t="0" r="0" b="0"/>
              <wp:wrapNone/>
              <wp:docPr id="371" name="Textbox 371"/>
              <wp:cNvGraphicFramePr>
                <a:graphicFrameLocks/>
              </wp:cNvGraphicFramePr>
              <a:graphic>
                <a:graphicData uri="http://schemas.microsoft.com/office/word/2010/wordprocessingShape">
                  <wps:wsp>
                    <wps:cNvPr id="371" name="Textbox 371"/>
                    <wps:cNvSpPr txBox="1"/>
                    <wps:spPr>
                      <a:xfrm>
                        <a:off x="0" y="0"/>
                        <a:ext cx="760095" cy="182245"/>
                      </a:xfrm>
                      <a:prstGeom prst="rect">
                        <a:avLst/>
                      </a:prstGeom>
                    </wps:spPr>
                    <wps:txbx>
                      <w:txbxContent>
                        <w:p>
                          <w:pPr>
                            <w:spacing w:before="20"/>
                            <w:ind w:left="60" w:right="0" w:firstLine="0"/>
                            <w:jc w:val="left"/>
                            <w:rPr>
                              <w:rFonts w:ascii="Cambria"/>
                              <w:sz w:val="21"/>
                            </w:rPr>
                          </w:pPr>
                          <w:r>
                            <w:rPr>
                              <w:rFonts w:ascii="Cambria"/>
                              <w:sz w:val="21"/>
                            </w:rPr>
                            <w:fldChar w:fldCharType="begin"/>
                          </w:r>
                          <w:r>
                            <w:rPr>
                              <w:rFonts w:ascii="Cambria"/>
                              <w:sz w:val="21"/>
                            </w:rPr>
                            <w:instrText> PAGE </w:instrText>
                          </w:r>
                          <w:r>
                            <w:rPr>
                              <w:rFonts w:ascii="Cambria"/>
                              <w:sz w:val="21"/>
                            </w:rPr>
                            <w:fldChar w:fldCharType="separate"/>
                          </w:r>
                          <w:r>
                            <w:rPr>
                              <w:rFonts w:ascii="Cambria"/>
                              <w:sz w:val="21"/>
                            </w:rPr>
                            <w:t>158</w:t>
                          </w:r>
                          <w:r>
                            <w:rPr>
                              <w:rFonts w:ascii="Cambria"/>
                              <w:sz w:val="21"/>
                            </w:rPr>
                            <w:fldChar w:fldCharType="end"/>
                          </w:r>
                          <w:r>
                            <w:rPr>
                              <w:rFonts w:ascii="Cambria"/>
                              <w:sz w:val="21"/>
                            </w:rPr>
                            <w:t> | </w:t>
                          </w:r>
                          <w:r>
                            <w:rPr>
                              <w:rFonts w:ascii="Cambria"/>
                              <w:color w:val="7E7E7E"/>
                              <w:spacing w:val="13"/>
                              <w:sz w:val="21"/>
                            </w:rPr>
                            <w:t>P</w:t>
                          </w:r>
                          <w:r>
                            <w:rPr>
                              <w:rFonts w:ascii="Cambria"/>
                              <w:color w:val="7E7E7E"/>
                              <w:sz w:val="21"/>
                            </w:rPr>
                            <w:t> </w:t>
                          </w:r>
                          <w:r>
                            <w:rPr>
                              <w:rFonts w:ascii="Cambria"/>
                              <w:color w:val="7E7E7E"/>
                              <w:spacing w:val="13"/>
                              <w:sz w:val="21"/>
                            </w:rPr>
                            <w:t>a</w:t>
                          </w:r>
                          <w:r>
                            <w:rPr>
                              <w:rFonts w:ascii="Cambria"/>
                              <w:color w:val="7E7E7E"/>
                              <w:sz w:val="21"/>
                            </w:rPr>
                            <w:t> g</w:t>
                          </w:r>
                          <w:r>
                            <w:rPr>
                              <w:rFonts w:ascii="Cambria"/>
                              <w:color w:val="7E7E7E"/>
                              <w:spacing w:val="14"/>
                              <w:sz w:val="21"/>
                            </w:rPr>
                            <w:t> </w:t>
                          </w:r>
                          <w:r>
                            <w:rPr>
                              <w:rFonts w:ascii="Cambria"/>
                              <w:color w:val="7E7E7E"/>
                              <w:spacing w:val="-12"/>
                              <w:sz w:val="21"/>
                            </w:rPr>
                            <w:t>e</w:t>
                          </w:r>
                        </w:p>
                      </w:txbxContent>
                    </wps:txbx>
                    <wps:bodyPr wrap="square" lIns="0" tIns="0" rIns="0" bIns="0" rtlCol="0">
                      <a:noAutofit/>
                    </wps:bodyPr>
                  </wps:wsp>
                </a:graphicData>
              </a:graphic>
            </wp:anchor>
          </w:drawing>
        </mc:Choice>
        <mc:Fallback>
          <w:pict>
            <v:shape style="position:absolute;margin-left:478.200012pt;margin-top:722.582947pt;width:59.85pt;height:14.35pt;mso-position-horizontal-relative:page;mso-position-vertical-relative:page;z-index:-20728832" type="#_x0000_t202" id="docshape295" filled="false" stroked="false">
              <v:textbox inset="0,0,0,0">
                <w:txbxContent>
                  <w:p>
                    <w:pPr>
                      <w:spacing w:before="20"/>
                      <w:ind w:left="60" w:right="0" w:firstLine="0"/>
                      <w:jc w:val="left"/>
                      <w:rPr>
                        <w:rFonts w:ascii="Cambria"/>
                        <w:sz w:val="21"/>
                      </w:rPr>
                    </w:pPr>
                    <w:r>
                      <w:rPr>
                        <w:rFonts w:ascii="Cambria"/>
                        <w:sz w:val="21"/>
                      </w:rPr>
                      <w:fldChar w:fldCharType="begin"/>
                    </w:r>
                    <w:r>
                      <w:rPr>
                        <w:rFonts w:ascii="Cambria"/>
                        <w:sz w:val="21"/>
                      </w:rPr>
                      <w:instrText> PAGE </w:instrText>
                    </w:r>
                    <w:r>
                      <w:rPr>
                        <w:rFonts w:ascii="Cambria"/>
                        <w:sz w:val="21"/>
                      </w:rPr>
                      <w:fldChar w:fldCharType="separate"/>
                    </w:r>
                    <w:r>
                      <w:rPr>
                        <w:rFonts w:ascii="Cambria"/>
                        <w:sz w:val="21"/>
                      </w:rPr>
                      <w:t>158</w:t>
                    </w:r>
                    <w:r>
                      <w:rPr>
                        <w:rFonts w:ascii="Cambria"/>
                        <w:sz w:val="21"/>
                      </w:rPr>
                      <w:fldChar w:fldCharType="end"/>
                    </w:r>
                    <w:r>
                      <w:rPr>
                        <w:rFonts w:ascii="Cambria"/>
                        <w:sz w:val="21"/>
                      </w:rPr>
                      <w:t> | </w:t>
                    </w:r>
                    <w:r>
                      <w:rPr>
                        <w:rFonts w:ascii="Cambria"/>
                        <w:color w:val="7E7E7E"/>
                        <w:spacing w:val="13"/>
                        <w:sz w:val="21"/>
                      </w:rPr>
                      <w:t>P</w:t>
                    </w:r>
                    <w:r>
                      <w:rPr>
                        <w:rFonts w:ascii="Cambria"/>
                        <w:color w:val="7E7E7E"/>
                        <w:sz w:val="21"/>
                      </w:rPr>
                      <w:t> </w:t>
                    </w:r>
                    <w:r>
                      <w:rPr>
                        <w:rFonts w:ascii="Cambria"/>
                        <w:color w:val="7E7E7E"/>
                        <w:spacing w:val="13"/>
                        <w:sz w:val="21"/>
                      </w:rPr>
                      <w:t>a</w:t>
                    </w:r>
                    <w:r>
                      <w:rPr>
                        <w:rFonts w:ascii="Cambria"/>
                        <w:color w:val="7E7E7E"/>
                        <w:sz w:val="21"/>
                      </w:rPr>
                      <w:t> g</w:t>
                    </w:r>
                    <w:r>
                      <w:rPr>
                        <w:rFonts w:ascii="Cambria"/>
                        <w:color w:val="7E7E7E"/>
                        <w:spacing w:val="14"/>
                        <w:sz w:val="21"/>
                      </w:rPr>
                      <w:t> </w:t>
                    </w:r>
                    <w:r>
                      <w:rPr>
                        <w:rFonts w:ascii="Cambria"/>
                        <w:color w:val="7E7E7E"/>
                        <w:spacing w:val="-12"/>
                        <w:sz w:val="21"/>
                      </w:rPr>
                      <w:t>e</w:t>
                    </w:r>
                  </w:p>
                </w:txbxContent>
              </v:textbox>
              <w10:wrap type="none"/>
            </v:shape>
          </w:pict>
        </mc:Fallback>
      </mc:AlternateContent>
    </w:r>
  </w:p>
</w:ftr>
</file>

<file path=word/footer3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2588672">
              <wp:simplePos x="0" y="0"/>
              <wp:positionH relativeFrom="page">
                <wp:posOffset>895350</wp:posOffset>
              </wp:positionH>
              <wp:positionV relativeFrom="page">
                <wp:posOffset>9171431</wp:posOffset>
              </wp:positionV>
              <wp:extent cx="5982335" cy="6350"/>
              <wp:effectExtent l="0" t="0" r="0" b="0"/>
              <wp:wrapNone/>
              <wp:docPr id="374" name="Graphic 374"/>
              <wp:cNvGraphicFramePr>
                <a:graphicFrameLocks/>
              </wp:cNvGraphicFramePr>
              <a:graphic>
                <a:graphicData uri="http://schemas.microsoft.com/office/word/2010/wordprocessingShape">
                  <wps:wsp>
                    <wps:cNvPr id="374" name="Graphic 374"/>
                    <wps:cNvSpPr/>
                    <wps:spPr>
                      <a:xfrm>
                        <a:off x="0" y="0"/>
                        <a:ext cx="5982335" cy="6350"/>
                      </a:xfrm>
                      <a:custGeom>
                        <a:avLst/>
                        <a:gdLst/>
                        <a:ahLst/>
                        <a:cxnLst/>
                        <a:rect l="l" t="t" r="r" b="b"/>
                        <a:pathLst>
                          <a:path w="5982335" h="6350">
                            <a:moveTo>
                              <a:pt x="5981712" y="0"/>
                            </a:moveTo>
                            <a:lnTo>
                              <a:pt x="0" y="0"/>
                            </a:lnTo>
                            <a:lnTo>
                              <a:pt x="0" y="6096"/>
                            </a:lnTo>
                            <a:lnTo>
                              <a:pt x="5981712" y="6096"/>
                            </a:lnTo>
                            <a:lnTo>
                              <a:pt x="5981712"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rect style="position:absolute;margin-left:70.5pt;margin-top:722.159973pt;width:471.001pt;height:.48pt;mso-position-horizontal-relative:page;mso-position-vertical-relative:page;z-index:-20727808" id="docshape298" filled="true" fillcolor="#d9d9d9" stroked="false">
              <v:fill type="solid"/>
              <w10:wrap type="none"/>
            </v:rect>
          </w:pict>
        </mc:Fallback>
      </mc:AlternateContent>
    </w:r>
    <w:r>
      <w:rPr/>
      <mc:AlternateContent>
        <mc:Choice Requires="wps">
          <w:drawing>
            <wp:anchor distT="0" distB="0" distL="0" distR="0" allowOverlap="1" layoutInCell="1" locked="0" behindDoc="1" simplePos="0" relativeHeight="482589184">
              <wp:simplePos x="0" y="0"/>
              <wp:positionH relativeFrom="page">
                <wp:posOffset>6073140</wp:posOffset>
              </wp:positionH>
              <wp:positionV relativeFrom="page">
                <wp:posOffset>9176803</wp:posOffset>
              </wp:positionV>
              <wp:extent cx="760095" cy="182245"/>
              <wp:effectExtent l="0" t="0" r="0" b="0"/>
              <wp:wrapNone/>
              <wp:docPr id="375" name="Textbox 375"/>
              <wp:cNvGraphicFramePr>
                <a:graphicFrameLocks/>
              </wp:cNvGraphicFramePr>
              <a:graphic>
                <a:graphicData uri="http://schemas.microsoft.com/office/word/2010/wordprocessingShape">
                  <wps:wsp>
                    <wps:cNvPr id="375" name="Textbox 375"/>
                    <wps:cNvSpPr txBox="1"/>
                    <wps:spPr>
                      <a:xfrm>
                        <a:off x="0" y="0"/>
                        <a:ext cx="760095" cy="182245"/>
                      </a:xfrm>
                      <a:prstGeom prst="rect">
                        <a:avLst/>
                      </a:prstGeom>
                    </wps:spPr>
                    <wps:txbx>
                      <w:txbxContent>
                        <w:p>
                          <w:pPr>
                            <w:spacing w:before="20"/>
                            <w:ind w:left="60" w:right="0" w:firstLine="0"/>
                            <w:jc w:val="left"/>
                            <w:rPr>
                              <w:rFonts w:ascii="Cambria"/>
                              <w:sz w:val="21"/>
                            </w:rPr>
                          </w:pPr>
                          <w:r>
                            <w:rPr>
                              <w:rFonts w:ascii="Cambria"/>
                              <w:sz w:val="21"/>
                            </w:rPr>
                            <w:fldChar w:fldCharType="begin"/>
                          </w:r>
                          <w:r>
                            <w:rPr>
                              <w:rFonts w:ascii="Cambria"/>
                              <w:sz w:val="21"/>
                            </w:rPr>
                            <w:instrText> PAGE </w:instrText>
                          </w:r>
                          <w:r>
                            <w:rPr>
                              <w:rFonts w:ascii="Cambria"/>
                              <w:sz w:val="21"/>
                            </w:rPr>
                            <w:fldChar w:fldCharType="separate"/>
                          </w:r>
                          <w:r>
                            <w:rPr>
                              <w:rFonts w:ascii="Cambria"/>
                              <w:sz w:val="21"/>
                            </w:rPr>
                            <w:t>159</w:t>
                          </w:r>
                          <w:r>
                            <w:rPr>
                              <w:rFonts w:ascii="Cambria"/>
                              <w:sz w:val="21"/>
                            </w:rPr>
                            <w:fldChar w:fldCharType="end"/>
                          </w:r>
                          <w:r>
                            <w:rPr>
                              <w:rFonts w:ascii="Cambria"/>
                              <w:sz w:val="21"/>
                            </w:rPr>
                            <w:t> | </w:t>
                          </w:r>
                          <w:r>
                            <w:rPr>
                              <w:rFonts w:ascii="Cambria"/>
                              <w:color w:val="7E7E7E"/>
                              <w:spacing w:val="13"/>
                              <w:sz w:val="21"/>
                            </w:rPr>
                            <w:t>P</w:t>
                          </w:r>
                          <w:r>
                            <w:rPr>
                              <w:rFonts w:ascii="Cambria"/>
                              <w:color w:val="7E7E7E"/>
                              <w:sz w:val="21"/>
                            </w:rPr>
                            <w:t> </w:t>
                          </w:r>
                          <w:r>
                            <w:rPr>
                              <w:rFonts w:ascii="Cambria"/>
                              <w:color w:val="7E7E7E"/>
                              <w:spacing w:val="13"/>
                              <w:sz w:val="21"/>
                            </w:rPr>
                            <w:t>a</w:t>
                          </w:r>
                          <w:r>
                            <w:rPr>
                              <w:rFonts w:ascii="Cambria"/>
                              <w:color w:val="7E7E7E"/>
                              <w:sz w:val="21"/>
                            </w:rPr>
                            <w:t> g</w:t>
                          </w:r>
                          <w:r>
                            <w:rPr>
                              <w:rFonts w:ascii="Cambria"/>
                              <w:color w:val="7E7E7E"/>
                              <w:spacing w:val="14"/>
                              <w:sz w:val="21"/>
                            </w:rPr>
                            <w:t> </w:t>
                          </w:r>
                          <w:r>
                            <w:rPr>
                              <w:rFonts w:ascii="Cambria"/>
                              <w:color w:val="7E7E7E"/>
                              <w:spacing w:val="-12"/>
                              <w:sz w:val="21"/>
                            </w:rPr>
                            <w:t>e</w:t>
                          </w:r>
                        </w:p>
                      </w:txbxContent>
                    </wps:txbx>
                    <wps:bodyPr wrap="square" lIns="0" tIns="0" rIns="0" bIns="0" rtlCol="0">
                      <a:noAutofit/>
                    </wps:bodyPr>
                  </wps:wsp>
                </a:graphicData>
              </a:graphic>
            </wp:anchor>
          </w:drawing>
        </mc:Choice>
        <mc:Fallback>
          <w:pict>
            <v:shape style="position:absolute;margin-left:478.200012pt;margin-top:722.582947pt;width:59.85pt;height:14.35pt;mso-position-horizontal-relative:page;mso-position-vertical-relative:page;z-index:-20727296" type="#_x0000_t202" id="docshape299" filled="false" stroked="false">
              <v:textbox inset="0,0,0,0">
                <w:txbxContent>
                  <w:p>
                    <w:pPr>
                      <w:spacing w:before="20"/>
                      <w:ind w:left="60" w:right="0" w:firstLine="0"/>
                      <w:jc w:val="left"/>
                      <w:rPr>
                        <w:rFonts w:ascii="Cambria"/>
                        <w:sz w:val="21"/>
                      </w:rPr>
                    </w:pPr>
                    <w:r>
                      <w:rPr>
                        <w:rFonts w:ascii="Cambria"/>
                        <w:sz w:val="21"/>
                      </w:rPr>
                      <w:fldChar w:fldCharType="begin"/>
                    </w:r>
                    <w:r>
                      <w:rPr>
                        <w:rFonts w:ascii="Cambria"/>
                        <w:sz w:val="21"/>
                      </w:rPr>
                      <w:instrText> PAGE </w:instrText>
                    </w:r>
                    <w:r>
                      <w:rPr>
                        <w:rFonts w:ascii="Cambria"/>
                        <w:sz w:val="21"/>
                      </w:rPr>
                      <w:fldChar w:fldCharType="separate"/>
                    </w:r>
                    <w:r>
                      <w:rPr>
                        <w:rFonts w:ascii="Cambria"/>
                        <w:sz w:val="21"/>
                      </w:rPr>
                      <w:t>159</w:t>
                    </w:r>
                    <w:r>
                      <w:rPr>
                        <w:rFonts w:ascii="Cambria"/>
                        <w:sz w:val="21"/>
                      </w:rPr>
                      <w:fldChar w:fldCharType="end"/>
                    </w:r>
                    <w:r>
                      <w:rPr>
                        <w:rFonts w:ascii="Cambria"/>
                        <w:sz w:val="21"/>
                      </w:rPr>
                      <w:t> | </w:t>
                    </w:r>
                    <w:r>
                      <w:rPr>
                        <w:rFonts w:ascii="Cambria"/>
                        <w:color w:val="7E7E7E"/>
                        <w:spacing w:val="13"/>
                        <w:sz w:val="21"/>
                      </w:rPr>
                      <w:t>P</w:t>
                    </w:r>
                    <w:r>
                      <w:rPr>
                        <w:rFonts w:ascii="Cambria"/>
                        <w:color w:val="7E7E7E"/>
                        <w:sz w:val="21"/>
                      </w:rPr>
                      <w:t> </w:t>
                    </w:r>
                    <w:r>
                      <w:rPr>
                        <w:rFonts w:ascii="Cambria"/>
                        <w:color w:val="7E7E7E"/>
                        <w:spacing w:val="13"/>
                        <w:sz w:val="21"/>
                      </w:rPr>
                      <w:t>a</w:t>
                    </w:r>
                    <w:r>
                      <w:rPr>
                        <w:rFonts w:ascii="Cambria"/>
                        <w:color w:val="7E7E7E"/>
                        <w:sz w:val="21"/>
                      </w:rPr>
                      <w:t> g</w:t>
                    </w:r>
                    <w:r>
                      <w:rPr>
                        <w:rFonts w:ascii="Cambria"/>
                        <w:color w:val="7E7E7E"/>
                        <w:spacing w:val="14"/>
                        <w:sz w:val="21"/>
                      </w:rPr>
                      <w:t> </w:t>
                    </w:r>
                    <w:r>
                      <w:rPr>
                        <w:rFonts w:ascii="Cambria"/>
                        <w:color w:val="7E7E7E"/>
                        <w:spacing w:val="-12"/>
                        <w:sz w:val="21"/>
                      </w:rPr>
                      <w:t>e</w:t>
                    </w:r>
                  </w:p>
                </w:txbxContent>
              </v:textbox>
              <w10:wrap type="none"/>
            </v:shape>
          </w:pict>
        </mc:Fallback>
      </mc:AlternateContent>
    </w: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2552832">
              <wp:simplePos x="0" y="0"/>
              <wp:positionH relativeFrom="page">
                <wp:posOffset>895350</wp:posOffset>
              </wp:positionH>
              <wp:positionV relativeFrom="page">
                <wp:posOffset>9257525</wp:posOffset>
              </wp:positionV>
              <wp:extent cx="5982335" cy="6350"/>
              <wp:effectExtent l="0" t="0" r="0" b="0"/>
              <wp:wrapNone/>
              <wp:docPr id="38" name="Graphic 38"/>
              <wp:cNvGraphicFramePr>
                <a:graphicFrameLocks/>
              </wp:cNvGraphicFramePr>
              <a:graphic>
                <a:graphicData uri="http://schemas.microsoft.com/office/word/2010/wordprocessingShape">
                  <wps:wsp>
                    <wps:cNvPr id="38" name="Graphic 38"/>
                    <wps:cNvSpPr/>
                    <wps:spPr>
                      <a:xfrm>
                        <a:off x="0" y="0"/>
                        <a:ext cx="5982335" cy="6350"/>
                      </a:xfrm>
                      <a:custGeom>
                        <a:avLst/>
                        <a:gdLst/>
                        <a:ahLst/>
                        <a:cxnLst/>
                        <a:rect l="l" t="t" r="r" b="b"/>
                        <a:pathLst>
                          <a:path w="5982335" h="6350">
                            <a:moveTo>
                              <a:pt x="5981712" y="0"/>
                            </a:moveTo>
                            <a:lnTo>
                              <a:pt x="0" y="0"/>
                            </a:lnTo>
                            <a:lnTo>
                              <a:pt x="0" y="6108"/>
                            </a:lnTo>
                            <a:lnTo>
                              <a:pt x="5981712" y="6108"/>
                            </a:lnTo>
                            <a:lnTo>
                              <a:pt x="5981712"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rect style="position:absolute;margin-left:70.5pt;margin-top:728.939026pt;width:471.001pt;height:.481pt;mso-position-horizontal-relative:page;mso-position-vertical-relative:page;z-index:-20763648" id="docshape22" filled="true" fillcolor="#d9d9d9" stroked="false">
              <v:fill type="solid"/>
              <w10:wrap type="none"/>
            </v:rect>
          </w:pict>
        </mc:Fallback>
      </mc:AlternateContent>
    </w:r>
    <w:r>
      <w:rPr/>
      <mc:AlternateContent>
        <mc:Choice Requires="wps">
          <w:drawing>
            <wp:anchor distT="0" distB="0" distL="0" distR="0" allowOverlap="1" layoutInCell="1" locked="0" behindDoc="1" simplePos="0" relativeHeight="482553344">
              <wp:simplePos x="0" y="0"/>
              <wp:positionH relativeFrom="page">
                <wp:posOffset>6223253</wp:posOffset>
              </wp:positionH>
              <wp:positionV relativeFrom="page">
                <wp:posOffset>9262882</wp:posOffset>
              </wp:positionV>
              <wp:extent cx="610235" cy="188595"/>
              <wp:effectExtent l="0" t="0" r="0" b="0"/>
              <wp:wrapNone/>
              <wp:docPr id="39" name="Textbox 39"/>
              <wp:cNvGraphicFramePr>
                <a:graphicFrameLocks/>
              </wp:cNvGraphicFramePr>
              <a:graphic>
                <a:graphicData uri="http://schemas.microsoft.com/office/word/2010/wordprocessingShape">
                  <wps:wsp>
                    <wps:cNvPr id="39" name="Textbox 39"/>
                    <wps:cNvSpPr txBox="1"/>
                    <wps:spPr>
                      <a:xfrm>
                        <a:off x="0" y="0"/>
                        <a:ext cx="610235" cy="188595"/>
                      </a:xfrm>
                      <a:prstGeom prst="rect">
                        <a:avLst/>
                      </a:prstGeom>
                    </wps:spPr>
                    <wps:txbx>
                      <w:txbxContent>
                        <w:p>
                          <w:pPr>
                            <w:spacing w:before="17"/>
                            <w:ind w:left="60" w:right="0" w:firstLine="0"/>
                            <w:jc w:val="left"/>
                            <w:rPr>
                              <w:sz w:val="21"/>
                            </w:rPr>
                          </w:pPr>
                          <w:r>
                            <w:rPr>
                              <w:sz w:val="21"/>
                            </w:rPr>
                            <w:fldChar w:fldCharType="begin"/>
                          </w:r>
                          <w:r>
                            <w:rPr>
                              <w:sz w:val="21"/>
                            </w:rPr>
                            <w:instrText> PAGE </w:instrText>
                          </w:r>
                          <w:r>
                            <w:rPr>
                              <w:sz w:val="21"/>
                            </w:rPr>
                            <w:fldChar w:fldCharType="separate"/>
                          </w:r>
                          <w:r>
                            <w:rPr>
                              <w:sz w:val="21"/>
                            </w:rPr>
                            <w:t>2</w:t>
                          </w:r>
                          <w:r>
                            <w:rPr>
                              <w:sz w:val="21"/>
                            </w:rPr>
                            <w:fldChar w:fldCharType="end"/>
                          </w:r>
                          <w:r>
                            <w:rPr>
                              <w:spacing w:val="-5"/>
                              <w:sz w:val="21"/>
                            </w:rPr>
                            <w:t> </w:t>
                          </w:r>
                          <w:r>
                            <w:rPr>
                              <w:w w:val="90"/>
                              <w:sz w:val="21"/>
                            </w:rPr>
                            <w:t>| </w:t>
                          </w:r>
                          <w:r>
                            <w:rPr>
                              <w:color w:val="7E7E7E"/>
                              <w:spacing w:val="12"/>
                              <w:sz w:val="21"/>
                            </w:rPr>
                            <w:t>P</w:t>
                          </w:r>
                          <w:r>
                            <w:rPr>
                              <w:color w:val="7E7E7E"/>
                              <w:sz w:val="21"/>
                            </w:rPr>
                            <w:t> </w:t>
                          </w:r>
                          <w:r>
                            <w:rPr>
                              <w:color w:val="7E7E7E"/>
                              <w:spacing w:val="12"/>
                              <w:sz w:val="21"/>
                            </w:rPr>
                            <w:t>a</w:t>
                          </w:r>
                          <w:r>
                            <w:rPr>
                              <w:color w:val="7E7E7E"/>
                              <w:sz w:val="21"/>
                            </w:rPr>
                            <w:t> g</w:t>
                          </w:r>
                          <w:r>
                            <w:rPr>
                              <w:color w:val="7E7E7E"/>
                              <w:spacing w:val="11"/>
                              <w:sz w:val="21"/>
                            </w:rPr>
                            <w:t> </w:t>
                          </w:r>
                          <w:r>
                            <w:rPr>
                              <w:color w:val="7E7E7E"/>
                              <w:spacing w:val="-10"/>
                              <w:sz w:val="21"/>
                            </w:rPr>
                            <w:t>e</w:t>
                          </w:r>
                        </w:p>
                      </w:txbxContent>
                    </wps:txbx>
                    <wps:bodyPr wrap="square" lIns="0" tIns="0" rIns="0" bIns="0" rtlCol="0">
                      <a:noAutofit/>
                    </wps:bodyPr>
                  </wps:wsp>
                </a:graphicData>
              </a:graphic>
            </wp:anchor>
          </w:drawing>
        </mc:Choice>
        <mc:Fallback>
          <w:pict>
            <v:shape style="position:absolute;margin-left:490.019989pt;margin-top:729.36084pt;width:48.05pt;height:14.85pt;mso-position-horizontal-relative:page;mso-position-vertical-relative:page;z-index:-20763136" type="#_x0000_t202" id="docshape23" filled="false" stroked="false">
              <v:textbox inset="0,0,0,0">
                <w:txbxContent>
                  <w:p>
                    <w:pPr>
                      <w:spacing w:before="17"/>
                      <w:ind w:left="60" w:right="0" w:firstLine="0"/>
                      <w:jc w:val="left"/>
                      <w:rPr>
                        <w:sz w:val="21"/>
                      </w:rPr>
                    </w:pPr>
                    <w:r>
                      <w:rPr>
                        <w:sz w:val="21"/>
                      </w:rPr>
                      <w:fldChar w:fldCharType="begin"/>
                    </w:r>
                    <w:r>
                      <w:rPr>
                        <w:sz w:val="21"/>
                      </w:rPr>
                      <w:instrText> PAGE </w:instrText>
                    </w:r>
                    <w:r>
                      <w:rPr>
                        <w:sz w:val="21"/>
                      </w:rPr>
                      <w:fldChar w:fldCharType="separate"/>
                    </w:r>
                    <w:r>
                      <w:rPr>
                        <w:sz w:val="21"/>
                      </w:rPr>
                      <w:t>2</w:t>
                    </w:r>
                    <w:r>
                      <w:rPr>
                        <w:sz w:val="21"/>
                      </w:rPr>
                      <w:fldChar w:fldCharType="end"/>
                    </w:r>
                    <w:r>
                      <w:rPr>
                        <w:spacing w:val="-5"/>
                        <w:sz w:val="21"/>
                      </w:rPr>
                      <w:t> </w:t>
                    </w:r>
                    <w:r>
                      <w:rPr>
                        <w:w w:val="90"/>
                        <w:sz w:val="21"/>
                      </w:rPr>
                      <w:t>| </w:t>
                    </w:r>
                    <w:r>
                      <w:rPr>
                        <w:color w:val="7E7E7E"/>
                        <w:spacing w:val="12"/>
                        <w:sz w:val="21"/>
                      </w:rPr>
                      <w:t>P</w:t>
                    </w:r>
                    <w:r>
                      <w:rPr>
                        <w:color w:val="7E7E7E"/>
                        <w:sz w:val="21"/>
                      </w:rPr>
                      <w:t> </w:t>
                    </w:r>
                    <w:r>
                      <w:rPr>
                        <w:color w:val="7E7E7E"/>
                        <w:spacing w:val="12"/>
                        <w:sz w:val="21"/>
                      </w:rPr>
                      <w:t>a</w:t>
                    </w:r>
                    <w:r>
                      <w:rPr>
                        <w:color w:val="7E7E7E"/>
                        <w:sz w:val="21"/>
                      </w:rPr>
                      <w:t> g</w:t>
                    </w:r>
                    <w:r>
                      <w:rPr>
                        <w:color w:val="7E7E7E"/>
                        <w:spacing w:val="11"/>
                        <w:sz w:val="21"/>
                      </w:rPr>
                      <w:t> </w:t>
                    </w:r>
                    <w:r>
                      <w:rPr>
                        <w:color w:val="7E7E7E"/>
                        <w:spacing w:val="-10"/>
                        <w:sz w:val="21"/>
                      </w:rPr>
                      <w:t>e</w:t>
                    </w:r>
                  </w:p>
                </w:txbxContent>
              </v:textbox>
              <w10:wrap type="none"/>
            </v:shape>
          </w:pict>
        </mc:Fallback>
      </mc:AlternateContent>
    </w:r>
  </w:p>
</w:ftr>
</file>

<file path=word/footer4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4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2590208">
              <wp:simplePos x="0" y="0"/>
              <wp:positionH relativeFrom="page">
                <wp:posOffset>895350</wp:posOffset>
              </wp:positionH>
              <wp:positionV relativeFrom="page">
                <wp:posOffset>9270492</wp:posOffset>
              </wp:positionV>
              <wp:extent cx="5982335" cy="6350"/>
              <wp:effectExtent l="0" t="0" r="0" b="0"/>
              <wp:wrapNone/>
              <wp:docPr id="392" name="Graphic 392"/>
              <wp:cNvGraphicFramePr>
                <a:graphicFrameLocks/>
              </wp:cNvGraphicFramePr>
              <a:graphic>
                <a:graphicData uri="http://schemas.microsoft.com/office/word/2010/wordprocessingShape">
                  <wps:wsp>
                    <wps:cNvPr id="392" name="Graphic 392"/>
                    <wps:cNvSpPr/>
                    <wps:spPr>
                      <a:xfrm>
                        <a:off x="0" y="0"/>
                        <a:ext cx="5982335" cy="6350"/>
                      </a:xfrm>
                      <a:custGeom>
                        <a:avLst/>
                        <a:gdLst/>
                        <a:ahLst/>
                        <a:cxnLst/>
                        <a:rect l="l" t="t" r="r" b="b"/>
                        <a:pathLst>
                          <a:path w="5982335" h="6350">
                            <a:moveTo>
                              <a:pt x="5981712" y="0"/>
                            </a:moveTo>
                            <a:lnTo>
                              <a:pt x="0" y="0"/>
                            </a:lnTo>
                            <a:lnTo>
                              <a:pt x="0" y="6095"/>
                            </a:lnTo>
                            <a:lnTo>
                              <a:pt x="5981712" y="6095"/>
                            </a:lnTo>
                            <a:lnTo>
                              <a:pt x="5981712"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rect style="position:absolute;margin-left:70.5pt;margin-top:729.960022pt;width:471.001pt;height:.48pt;mso-position-horizontal-relative:page;mso-position-vertical-relative:page;z-index:-20726272" id="docshape314" filled="true" fillcolor="#d9d9d9" stroked="false">
              <v:fill type="solid"/>
              <w10:wrap type="none"/>
            </v:rect>
          </w:pict>
        </mc:Fallback>
      </mc:AlternateContent>
    </w:r>
    <w:r>
      <w:rPr/>
      <mc:AlternateContent>
        <mc:Choice Requires="wps">
          <w:drawing>
            <wp:anchor distT="0" distB="0" distL="0" distR="0" allowOverlap="1" layoutInCell="1" locked="0" behindDoc="1" simplePos="0" relativeHeight="482590720">
              <wp:simplePos x="0" y="0"/>
              <wp:positionH relativeFrom="page">
                <wp:posOffset>6073140</wp:posOffset>
              </wp:positionH>
              <wp:positionV relativeFrom="page">
                <wp:posOffset>9275863</wp:posOffset>
              </wp:positionV>
              <wp:extent cx="760095" cy="182245"/>
              <wp:effectExtent l="0" t="0" r="0" b="0"/>
              <wp:wrapNone/>
              <wp:docPr id="393" name="Textbox 393"/>
              <wp:cNvGraphicFramePr>
                <a:graphicFrameLocks/>
              </wp:cNvGraphicFramePr>
              <a:graphic>
                <a:graphicData uri="http://schemas.microsoft.com/office/word/2010/wordprocessingShape">
                  <wps:wsp>
                    <wps:cNvPr id="393" name="Textbox 393"/>
                    <wps:cNvSpPr txBox="1"/>
                    <wps:spPr>
                      <a:xfrm>
                        <a:off x="0" y="0"/>
                        <a:ext cx="760095" cy="182245"/>
                      </a:xfrm>
                      <a:prstGeom prst="rect">
                        <a:avLst/>
                      </a:prstGeom>
                    </wps:spPr>
                    <wps:txbx>
                      <w:txbxContent>
                        <w:p>
                          <w:pPr>
                            <w:spacing w:before="20"/>
                            <w:ind w:left="60" w:right="0" w:firstLine="0"/>
                            <w:jc w:val="left"/>
                            <w:rPr>
                              <w:rFonts w:ascii="Cambria"/>
                              <w:sz w:val="21"/>
                            </w:rPr>
                          </w:pPr>
                          <w:r>
                            <w:rPr>
                              <w:rFonts w:ascii="Cambria"/>
                              <w:sz w:val="21"/>
                            </w:rPr>
                            <w:fldChar w:fldCharType="begin"/>
                          </w:r>
                          <w:r>
                            <w:rPr>
                              <w:rFonts w:ascii="Cambria"/>
                              <w:sz w:val="21"/>
                            </w:rPr>
                            <w:instrText> PAGE </w:instrText>
                          </w:r>
                          <w:r>
                            <w:rPr>
                              <w:rFonts w:ascii="Cambria"/>
                              <w:sz w:val="21"/>
                            </w:rPr>
                            <w:fldChar w:fldCharType="separate"/>
                          </w:r>
                          <w:r>
                            <w:rPr>
                              <w:rFonts w:ascii="Cambria"/>
                              <w:sz w:val="21"/>
                            </w:rPr>
                            <w:t>161</w:t>
                          </w:r>
                          <w:r>
                            <w:rPr>
                              <w:rFonts w:ascii="Cambria"/>
                              <w:sz w:val="21"/>
                            </w:rPr>
                            <w:fldChar w:fldCharType="end"/>
                          </w:r>
                          <w:r>
                            <w:rPr>
                              <w:rFonts w:ascii="Cambria"/>
                              <w:sz w:val="21"/>
                            </w:rPr>
                            <w:t> | </w:t>
                          </w:r>
                          <w:r>
                            <w:rPr>
                              <w:rFonts w:ascii="Cambria"/>
                              <w:color w:val="7E7E7E"/>
                              <w:spacing w:val="13"/>
                              <w:sz w:val="21"/>
                            </w:rPr>
                            <w:t>P</w:t>
                          </w:r>
                          <w:r>
                            <w:rPr>
                              <w:rFonts w:ascii="Cambria"/>
                              <w:color w:val="7E7E7E"/>
                              <w:sz w:val="21"/>
                            </w:rPr>
                            <w:t> </w:t>
                          </w:r>
                          <w:r>
                            <w:rPr>
                              <w:rFonts w:ascii="Cambria"/>
                              <w:color w:val="7E7E7E"/>
                              <w:spacing w:val="13"/>
                              <w:sz w:val="21"/>
                            </w:rPr>
                            <w:t>a</w:t>
                          </w:r>
                          <w:r>
                            <w:rPr>
                              <w:rFonts w:ascii="Cambria"/>
                              <w:color w:val="7E7E7E"/>
                              <w:sz w:val="21"/>
                            </w:rPr>
                            <w:t> g</w:t>
                          </w:r>
                          <w:r>
                            <w:rPr>
                              <w:rFonts w:ascii="Cambria"/>
                              <w:color w:val="7E7E7E"/>
                              <w:spacing w:val="14"/>
                              <w:sz w:val="21"/>
                            </w:rPr>
                            <w:t> </w:t>
                          </w:r>
                          <w:r>
                            <w:rPr>
                              <w:rFonts w:ascii="Cambria"/>
                              <w:color w:val="7E7E7E"/>
                              <w:spacing w:val="-12"/>
                              <w:sz w:val="21"/>
                            </w:rPr>
                            <w:t>e</w:t>
                          </w:r>
                        </w:p>
                      </w:txbxContent>
                    </wps:txbx>
                    <wps:bodyPr wrap="square" lIns="0" tIns="0" rIns="0" bIns="0" rtlCol="0">
                      <a:noAutofit/>
                    </wps:bodyPr>
                  </wps:wsp>
                </a:graphicData>
              </a:graphic>
            </wp:anchor>
          </w:drawing>
        </mc:Choice>
        <mc:Fallback>
          <w:pict>
            <v:shape style="position:absolute;margin-left:478.200012pt;margin-top:730.382935pt;width:59.85pt;height:14.35pt;mso-position-horizontal-relative:page;mso-position-vertical-relative:page;z-index:-20725760" type="#_x0000_t202" id="docshape315" filled="false" stroked="false">
              <v:textbox inset="0,0,0,0">
                <w:txbxContent>
                  <w:p>
                    <w:pPr>
                      <w:spacing w:before="20"/>
                      <w:ind w:left="60" w:right="0" w:firstLine="0"/>
                      <w:jc w:val="left"/>
                      <w:rPr>
                        <w:rFonts w:ascii="Cambria"/>
                        <w:sz w:val="21"/>
                      </w:rPr>
                    </w:pPr>
                    <w:r>
                      <w:rPr>
                        <w:rFonts w:ascii="Cambria"/>
                        <w:sz w:val="21"/>
                      </w:rPr>
                      <w:fldChar w:fldCharType="begin"/>
                    </w:r>
                    <w:r>
                      <w:rPr>
                        <w:rFonts w:ascii="Cambria"/>
                        <w:sz w:val="21"/>
                      </w:rPr>
                      <w:instrText> PAGE </w:instrText>
                    </w:r>
                    <w:r>
                      <w:rPr>
                        <w:rFonts w:ascii="Cambria"/>
                        <w:sz w:val="21"/>
                      </w:rPr>
                      <w:fldChar w:fldCharType="separate"/>
                    </w:r>
                    <w:r>
                      <w:rPr>
                        <w:rFonts w:ascii="Cambria"/>
                        <w:sz w:val="21"/>
                      </w:rPr>
                      <w:t>161</w:t>
                    </w:r>
                    <w:r>
                      <w:rPr>
                        <w:rFonts w:ascii="Cambria"/>
                        <w:sz w:val="21"/>
                      </w:rPr>
                      <w:fldChar w:fldCharType="end"/>
                    </w:r>
                    <w:r>
                      <w:rPr>
                        <w:rFonts w:ascii="Cambria"/>
                        <w:sz w:val="21"/>
                      </w:rPr>
                      <w:t> | </w:t>
                    </w:r>
                    <w:r>
                      <w:rPr>
                        <w:rFonts w:ascii="Cambria"/>
                        <w:color w:val="7E7E7E"/>
                        <w:spacing w:val="13"/>
                        <w:sz w:val="21"/>
                      </w:rPr>
                      <w:t>P</w:t>
                    </w:r>
                    <w:r>
                      <w:rPr>
                        <w:rFonts w:ascii="Cambria"/>
                        <w:color w:val="7E7E7E"/>
                        <w:sz w:val="21"/>
                      </w:rPr>
                      <w:t> </w:t>
                    </w:r>
                    <w:r>
                      <w:rPr>
                        <w:rFonts w:ascii="Cambria"/>
                        <w:color w:val="7E7E7E"/>
                        <w:spacing w:val="13"/>
                        <w:sz w:val="21"/>
                      </w:rPr>
                      <w:t>a</w:t>
                    </w:r>
                    <w:r>
                      <w:rPr>
                        <w:rFonts w:ascii="Cambria"/>
                        <w:color w:val="7E7E7E"/>
                        <w:sz w:val="21"/>
                      </w:rPr>
                      <w:t> g</w:t>
                    </w:r>
                    <w:r>
                      <w:rPr>
                        <w:rFonts w:ascii="Cambria"/>
                        <w:color w:val="7E7E7E"/>
                        <w:spacing w:val="14"/>
                        <w:sz w:val="21"/>
                      </w:rPr>
                      <w:t> </w:t>
                    </w:r>
                    <w:r>
                      <w:rPr>
                        <w:rFonts w:ascii="Cambria"/>
                        <w:color w:val="7E7E7E"/>
                        <w:spacing w:val="-12"/>
                        <w:sz w:val="21"/>
                      </w:rPr>
                      <w:t>e</w:t>
                    </w:r>
                  </w:p>
                </w:txbxContent>
              </v:textbox>
              <w10:wrap type="none"/>
            </v:shape>
          </w:pict>
        </mc:Fallback>
      </mc:AlternateContent>
    </w:r>
  </w:p>
</w:ftr>
</file>

<file path=word/footer4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4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2591744">
              <wp:simplePos x="0" y="0"/>
              <wp:positionH relativeFrom="page">
                <wp:posOffset>806195</wp:posOffset>
              </wp:positionH>
              <wp:positionV relativeFrom="page">
                <wp:posOffset>9129509</wp:posOffset>
              </wp:positionV>
              <wp:extent cx="6159500" cy="6350"/>
              <wp:effectExtent l="0" t="0" r="0" b="0"/>
              <wp:wrapNone/>
              <wp:docPr id="423" name="Graphic 423"/>
              <wp:cNvGraphicFramePr>
                <a:graphicFrameLocks/>
              </wp:cNvGraphicFramePr>
              <a:graphic>
                <a:graphicData uri="http://schemas.microsoft.com/office/word/2010/wordprocessingShape">
                  <wps:wsp>
                    <wps:cNvPr id="423" name="Graphic 423"/>
                    <wps:cNvSpPr/>
                    <wps:spPr>
                      <a:xfrm>
                        <a:off x="0" y="0"/>
                        <a:ext cx="6159500" cy="6350"/>
                      </a:xfrm>
                      <a:custGeom>
                        <a:avLst/>
                        <a:gdLst/>
                        <a:ahLst/>
                        <a:cxnLst/>
                        <a:rect l="l" t="t" r="r" b="b"/>
                        <a:pathLst>
                          <a:path w="6159500" h="6350">
                            <a:moveTo>
                              <a:pt x="6159246" y="0"/>
                            </a:moveTo>
                            <a:lnTo>
                              <a:pt x="0" y="0"/>
                            </a:lnTo>
                            <a:lnTo>
                              <a:pt x="0" y="6108"/>
                            </a:lnTo>
                            <a:lnTo>
                              <a:pt x="6159246" y="6108"/>
                            </a:lnTo>
                            <a:lnTo>
                              <a:pt x="6159246"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rect style="position:absolute;margin-left:63.48pt;margin-top:718.859009pt;width:484.98pt;height:.481pt;mso-position-horizontal-relative:page;mso-position-vertical-relative:page;z-index:-20724736" id="docshape338" filled="true" fillcolor="#d9d9d9" stroked="false">
              <v:fill type="solid"/>
              <w10:wrap type="none"/>
            </v:rect>
          </w:pict>
        </mc:Fallback>
      </mc:AlternateContent>
    </w:r>
    <w:r>
      <w:rPr/>
      <mc:AlternateContent>
        <mc:Choice Requires="wps">
          <w:drawing>
            <wp:anchor distT="0" distB="0" distL="0" distR="0" allowOverlap="1" layoutInCell="1" locked="0" behindDoc="1" simplePos="0" relativeHeight="482592256">
              <wp:simplePos x="0" y="0"/>
              <wp:positionH relativeFrom="page">
                <wp:posOffset>6169914</wp:posOffset>
              </wp:positionH>
              <wp:positionV relativeFrom="page">
                <wp:posOffset>9162351</wp:posOffset>
              </wp:positionV>
              <wp:extent cx="789940" cy="158750"/>
              <wp:effectExtent l="0" t="0" r="0" b="0"/>
              <wp:wrapNone/>
              <wp:docPr id="424" name="Textbox 424"/>
              <wp:cNvGraphicFramePr>
                <a:graphicFrameLocks/>
              </wp:cNvGraphicFramePr>
              <a:graphic>
                <a:graphicData uri="http://schemas.microsoft.com/office/word/2010/wordprocessingShape">
                  <wps:wsp>
                    <wps:cNvPr id="424" name="Textbox 424"/>
                    <wps:cNvSpPr txBox="1"/>
                    <wps:spPr>
                      <a:xfrm>
                        <a:off x="0" y="0"/>
                        <a:ext cx="789940" cy="158750"/>
                      </a:xfrm>
                      <a:prstGeom prst="rect">
                        <a:avLst/>
                      </a:prstGeom>
                    </wps:spPr>
                    <wps:txbx>
                      <w:txbxContent>
                        <w:p>
                          <w:pPr>
                            <w:spacing w:line="234" w:lineRule="exact" w:before="0"/>
                            <w:ind w:left="60" w:right="0" w:firstLine="0"/>
                            <w:jc w:val="left"/>
                            <w:rPr>
                              <w:sz w:val="21"/>
                            </w:rPr>
                          </w:pPr>
                          <w:r>
                            <w:rPr>
                              <w:sz w:val="21"/>
                            </w:rPr>
                            <w:fldChar w:fldCharType="begin"/>
                          </w:r>
                          <w:r>
                            <w:rPr>
                              <w:sz w:val="21"/>
                            </w:rPr>
                            <w:instrText> PAGE </w:instrText>
                          </w:r>
                          <w:r>
                            <w:rPr>
                              <w:sz w:val="21"/>
                            </w:rPr>
                            <w:fldChar w:fldCharType="separate"/>
                          </w:r>
                          <w:r>
                            <w:rPr>
                              <w:sz w:val="21"/>
                            </w:rPr>
                            <w:t>202</w:t>
                          </w:r>
                          <w:r>
                            <w:rPr>
                              <w:sz w:val="21"/>
                            </w:rPr>
                            <w:fldChar w:fldCharType="end"/>
                          </w:r>
                          <w:r>
                            <w:rPr>
                              <w:spacing w:val="-1"/>
                              <w:sz w:val="21"/>
                            </w:rPr>
                            <w:t> </w:t>
                          </w:r>
                          <w:r>
                            <w:rPr>
                              <w:sz w:val="21"/>
                            </w:rPr>
                            <w:t>| </w:t>
                          </w:r>
                          <w:r>
                            <w:rPr>
                              <w:color w:val="7E7E7E"/>
                              <w:spacing w:val="11"/>
                              <w:sz w:val="21"/>
                            </w:rPr>
                            <w:t>P</w:t>
                          </w:r>
                          <w:r>
                            <w:rPr>
                              <w:color w:val="7E7E7E"/>
                              <w:sz w:val="21"/>
                            </w:rPr>
                            <w:t> a</w:t>
                          </w:r>
                          <w:r>
                            <w:rPr>
                              <w:color w:val="7E7E7E"/>
                              <w:spacing w:val="12"/>
                              <w:sz w:val="21"/>
                            </w:rPr>
                            <w:t> g</w:t>
                          </w:r>
                          <w:r>
                            <w:rPr>
                              <w:color w:val="7E7E7E"/>
                              <w:sz w:val="21"/>
                            </w:rPr>
                            <w:t> </w:t>
                          </w:r>
                          <w:r>
                            <w:rPr>
                              <w:color w:val="7E7E7E"/>
                              <w:spacing w:val="-10"/>
                              <w:sz w:val="21"/>
                            </w:rPr>
                            <w:t>e</w:t>
                          </w:r>
                          <w:r>
                            <w:rPr>
                              <w:color w:val="7E7E7E"/>
                              <w:sz w:val="21"/>
                            </w:rPr>
                            <w:t> </w:t>
                          </w:r>
                        </w:p>
                      </w:txbxContent>
                    </wps:txbx>
                    <wps:bodyPr wrap="square" lIns="0" tIns="0" rIns="0" bIns="0" rtlCol="0">
                      <a:noAutofit/>
                    </wps:bodyPr>
                  </wps:wsp>
                </a:graphicData>
              </a:graphic>
            </wp:anchor>
          </w:drawing>
        </mc:Choice>
        <mc:Fallback>
          <w:pict>
            <v:shape style="position:absolute;margin-left:485.820007pt;margin-top:721.445007pt;width:62.2pt;height:12.5pt;mso-position-horizontal-relative:page;mso-position-vertical-relative:page;z-index:-20724224" type="#_x0000_t202" id="docshape339" filled="false" stroked="false">
              <v:textbox inset="0,0,0,0">
                <w:txbxContent>
                  <w:p>
                    <w:pPr>
                      <w:spacing w:line="234" w:lineRule="exact" w:before="0"/>
                      <w:ind w:left="60" w:right="0" w:firstLine="0"/>
                      <w:jc w:val="left"/>
                      <w:rPr>
                        <w:sz w:val="21"/>
                      </w:rPr>
                    </w:pPr>
                    <w:r>
                      <w:rPr>
                        <w:sz w:val="21"/>
                      </w:rPr>
                      <w:fldChar w:fldCharType="begin"/>
                    </w:r>
                    <w:r>
                      <w:rPr>
                        <w:sz w:val="21"/>
                      </w:rPr>
                      <w:instrText> PAGE </w:instrText>
                    </w:r>
                    <w:r>
                      <w:rPr>
                        <w:sz w:val="21"/>
                      </w:rPr>
                      <w:fldChar w:fldCharType="separate"/>
                    </w:r>
                    <w:r>
                      <w:rPr>
                        <w:sz w:val="21"/>
                      </w:rPr>
                      <w:t>202</w:t>
                    </w:r>
                    <w:r>
                      <w:rPr>
                        <w:sz w:val="21"/>
                      </w:rPr>
                      <w:fldChar w:fldCharType="end"/>
                    </w:r>
                    <w:r>
                      <w:rPr>
                        <w:spacing w:val="-1"/>
                        <w:sz w:val="21"/>
                      </w:rPr>
                      <w:t> </w:t>
                    </w:r>
                    <w:r>
                      <w:rPr>
                        <w:sz w:val="21"/>
                      </w:rPr>
                      <w:t>| </w:t>
                    </w:r>
                    <w:r>
                      <w:rPr>
                        <w:color w:val="7E7E7E"/>
                        <w:spacing w:val="11"/>
                        <w:sz w:val="21"/>
                      </w:rPr>
                      <w:t>P</w:t>
                    </w:r>
                    <w:r>
                      <w:rPr>
                        <w:color w:val="7E7E7E"/>
                        <w:sz w:val="21"/>
                      </w:rPr>
                      <w:t> a</w:t>
                    </w:r>
                    <w:r>
                      <w:rPr>
                        <w:color w:val="7E7E7E"/>
                        <w:spacing w:val="12"/>
                        <w:sz w:val="21"/>
                      </w:rPr>
                      <w:t> g</w:t>
                    </w:r>
                    <w:r>
                      <w:rPr>
                        <w:color w:val="7E7E7E"/>
                        <w:sz w:val="21"/>
                      </w:rPr>
                      <w:t> </w:t>
                    </w:r>
                    <w:r>
                      <w:rPr>
                        <w:color w:val="7E7E7E"/>
                        <w:spacing w:val="-10"/>
                        <w:sz w:val="21"/>
                      </w:rPr>
                      <w:t>e</w:t>
                    </w:r>
                    <w:r>
                      <w:rPr>
                        <w:color w:val="7E7E7E"/>
                        <w:sz w:val="21"/>
                      </w:rPr>
                      <w:t> </w:t>
                    </w:r>
                  </w:p>
                </w:txbxContent>
              </v:textbox>
              <w10:wrap type="none"/>
            </v:shape>
          </w:pict>
        </mc:Fallback>
      </mc:AlternateContent>
    </w:r>
  </w:p>
</w:ftr>
</file>

<file path=word/footer4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4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2593280">
              <wp:simplePos x="0" y="0"/>
              <wp:positionH relativeFrom="page">
                <wp:posOffset>806195</wp:posOffset>
              </wp:positionH>
              <wp:positionV relativeFrom="page">
                <wp:posOffset>8968740</wp:posOffset>
              </wp:positionV>
              <wp:extent cx="6159500" cy="6350"/>
              <wp:effectExtent l="0" t="0" r="0" b="0"/>
              <wp:wrapNone/>
              <wp:docPr id="475" name="Graphic 475"/>
              <wp:cNvGraphicFramePr>
                <a:graphicFrameLocks/>
              </wp:cNvGraphicFramePr>
              <a:graphic>
                <a:graphicData uri="http://schemas.microsoft.com/office/word/2010/wordprocessingShape">
                  <wps:wsp>
                    <wps:cNvPr id="475" name="Graphic 475"/>
                    <wps:cNvSpPr/>
                    <wps:spPr>
                      <a:xfrm>
                        <a:off x="0" y="0"/>
                        <a:ext cx="6159500" cy="6350"/>
                      </a:xfrm>
                      <a:custGeom>
                        <a:avLst/>
                        <a:gdLst/>
                        <a:ahLst/>
                        <a:cxnLst/>
                        <a:rect l="l" t="t" r="r" b="b"/>
                        <a:pathLst>
                          <a:path w="6159500" h="6350">
                            <a:moveTo>
                              <a:pt x="6159246" y="0"/>
                            </a:moveTo>
                            <a:lnTo>
                              <a:pt x="0" y="0"/>
                            </a:lnTo>
                            <a:lnTo>
                              <a:pt x="0" y="6095"/>
                            </a:lnTo>
                            <a:lnTo>
                              <a:pt x="6159246" y="6095"/>
                            </a:lnTo>
                            <a:lnTo>
                              <a:pt x="6159246"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rect style="position:absolute;margin-left:63.48pt;margin-top:706.200012pt;width:484.98pt;height:.48pt;mso-position-horizontal-relative:page;mso-position-vertical-relative:page;z-index:-20723200" id="docshape383" filled="true" fillcolor="#d9d9d9" stroked="false">
              <v:fill type="solid"/>
              <w10:wrap type="none"/>
            </v:rect>
          </w:pict>
        </mc:Fallback>
      </mc:AlternateContent>
    </w:r>
    <w:r>
      <w:rPr/>
      <mc:AlternateContent>
        <mc:Choice Requires="wps">
          <w:drawing>
            <wp:anchor distT="0" distB="0" distL="0" distR="0" allowOverlap="1" layoutInCell="1" locked="0" behindDoc="1" simplePos="0" relativeHeight="482593792">
              <wp:simplePos x="0" y="0"/>
              <wp:positionH relativeFrom="page">
                <wp:posOffset>6169914</wp:posOffset>
              </wp:positionH>
              <wp:positionV relativeFrom="page">
                <wp:posOffset>9000807</wp:posOffset>
              </wp:positionV>
              <wp:extent cx="789940" cy="158750"/>
              <wp:effectExtent l="0" t="0" r="0" b="0"/>
              <wp:wrapNone/>
              <wp:docPr id="476" name="Textbox 476"/>
              <wp:cNvGraphicFramePr>
                <a:graphicFrameLocks/>
              </wp:cNvGraphicFramePr>
              <a:graphic>
                <a:graphicData uri="http://schemas.microsoft.com/office/word/2010/wordprocessingShape">
                  <wps:wsp>
                    <wps:cNvPr id="476" name="Textbox 476"/>
                    <wps:cNvSpPr txBox="1"/>
                    <wps:spPr>
                      <a:xfrm>
                        <a:off x="0" y="0"/>
                        <a:ext cx="789940" cy="158750"/>
                      </a:xfrm>
                      <a:prstGeom prst="rect">
                        <a:avLst/>
                      </a:prstGeom>
                    </wps:spPr>
                    <wps:txbx>
                      <w:txbxContent>
                        <w:p>
                          <w:pPr>
                            <w:spacing w:line="234" w:lineRule="exact" w:before="0"/>
                            <w:ind w:left="60" w:right="0" w:firstLine="0"/>
                            <w:jc w:val="left"/>
                            <w:rPr>
                              <w:sz w:val="21"/>
                            </w:rPr>
                          </w:pPr>
                          <w:r>
                            <w:rPr>
                              <w:sz w:val="21"/>
                            </w:rPr>
                            <w:fldChar w:fldCharType="begin"/>
                          </w:r>
                          <w:r>
                            <w:rPr>
                              <w:sz w:val="21"/>
                            </w:rPr>
                            <w:instrText> PAGE </w:instrText>
                          </w:r>
                          <w:r>
                            <w:rPr>
                              <w:sz w:val="21"/>
                            </w:rPr>
                            <w:fldChar w:fldCharType="separate"/>
                          </w:r>
                          <w:r>
                            <w:rPr>
                              <w:sz w:val="21"/>
                            </w:rPr>
                            <w:t>217</w:t>
                          </w:r>
                          <w:r>
                            <w:rPr>
                              <w:sz w:val="21"/>
                            </w:rPr>
                            <w:fldChar w:fldCharType="end"/>
                          </w:r>
                          <w:r>
                            <w:rPr>
                              <w:spacing w:val="-1"/>
                              <w:sz w:val="21"/>
                            </w:rPr>
                            <w:t> </w:t>
                          </w:r>
                          <w:r>
                            <w:rPr>
                              <w:sz w:val="21"/>
                            </w:rPr>
                            <w:t>| </w:t>
                          </w:r>
                          <w:r>
                            <w:rPr>
                              <w:color w:val="7E7E7E"/>
                              <w:spacing w:val="11"/>
                              <w:sz w:val="21"/>
                            </w:rPr>
                            <w:t>P</w:t>
                          </w:r>
                          <w:r>
                            <w:rPr>
                              <w:color w:val="7E7E7E"/>
                              <w:sz w:val="21"/>
                            </w:rPr>
                            <w:t> a</w:t>
                          </w:r>
                          <w:r>
                            <w:rPr>
                              <w:color w:val="7E7E7E"/>
                              <w:spacing w:val="12"/>
                              <w:sz w:val="21"/>
                            </w:rPr>
                            <w:t> g</w:t>
                          </w:r>
                          <w:r>
                            <w:rPr>
                              <w:color w:val="7E7E7E"/>
                              <w:sz w:val="21"/>
                            </w:rPr>
                            <w:t> </w:t>
                          </w:r>
                          <w:r>
                            <w:rPr>
                              <w:color w:val="7E7E7E"/>
                              <w:spacing w:val="-10"/>
                              <w:sz w:val="21"/>
                            </w:rPr>
                            <w:t>e</w:t>
                          </w:r>
                          <w:r>
                            <w:rPr>
                              <w:color w:val="7E7E7E"/>
                              <w:sz w:val="21"/>
                            </w:rPr>
                            <w:t> </w:t>
                          </w:r>
                        </w:p>
                      </w:txbxContent>
                    </wps:txbx>
                    <wps:bodyPr wrap="square" lIns="0" tIns="0" rIns="0" bIns="0" rtlCol="0">
                      <a:noAutofit/>
                    </wps:bodyPr>
                  </wps:wsp>
                </a:graphicData>
              </a:graphic>
            </wp:anchor>
          </w:drawing>
        </mc:Choice>
        <mc:Fallback>
          <w:pict>
            <v:shape style="position:absolute;margin-left:485.820007pt;margin-top:708.724976pt;width:62.2pt;height:12.5pt;mso-position-horizontal-relative:page;mso-position-vertical-relative:page;z-index:-20722688" type="#_x0000_t202" id="docshape384" filled="false" stroked="false">
              <v:textbox inset="0,0,0,0">
                <w:txbxContent>
                  <w:p>
                    <w:pPr>
                      <w:spacing w:line="234" w:lineRule="exact" w:before="0"/>
                      <w:ind w:left="60" w:right="0" w:firstLine="0"/>
                      <w:jc w:val="left"/>
                      <w:rPr>
                        <w:sz w:val="21"/>
                      </w:rPr>
                    </w:pPr>
                    <w:r>
                      <w:rPr>
                        <w:sz w:val="21"/>
                      </w:rPr>
                      <w:fldChar w:fldCharType="begin"/>
                    </w:r>
                    <w:r>
                      <w:rPr>
                        <w:sz w:val="21"/>
                      </w:rPr>
                      <w:instrText> PAGE </w:instrText>
                    </w:r>
                    <w:r>
                      <w:rPr>
                        <w:sz w:val="21"/>
                      </w:rPr>
                      <w:fldChar w:fldCharType="separate"/>
                    </w:r>
                    <w:r>
                      <w:rPr>
                        <w:sz w:val="21"/>
                      </w:rPr>
                      <w:t>217</w:t>
                    </w:r>
                    <w:r>
                      <w:rPr>
                        <w:sz w:val="21"/>
                      </w:rPr>
                      <w:fldChar w:fldCharType="end"/>
                    </w:r>
                    <w:r>
                      <w:rPr>
                        <w:spacing w:val="-1"/>
                        <w:sz w:val="21"/>
                      </w:rPr>
                      <w:t> </w:t>
                    </w:r>
                    <w:r>
                      <w:rPr>
                        <w:sz w:val="21"/>
                      </w:rPr>
                      <w:t>| </w:t>
                    </w:r>
                    <w:r>
                      <w:rPr>
                        <w:color w:val="7E7E7E"/>
                        <w:spacing w:val="11"/>
                        <w:sz w:val="21"/>
                      </w:rPr>
                      <w:t>P</w:t>
                    </w:r>
                    <w:r>
                      <w:rPr>
                        <w:color w:val="7E7E7E"/>
                        <w:sz w:val="21"/>
                      </w:rPr>
                      <w:t> a</w:t>
                    </w:r>
                    <w:r>
                      <w:rPr>
                        <w:color w:val="7E7E7E"/>
                        <w:spacing w:val="12"/>
                        <w:sz w:val="21"/>
                      </w:rPr>
                      <w:t> g</w:t>
                    </w:r>
                    <w:r>
                      <w:rPr>
                        <w:color w:val="7E7E7E"/>
                        <w:sz w:val="21"/>
                      </w:rPr>
                      <w:t> </w:t>
                    </w:r>
                    <w:r>
                      <w:rPr>
                        <w:color w:val="7E7E7E"/>
                        <w:spacing w:val="-10"/>
                        <w:sz w:val="21"/>
                      </w:rPr>
                      <w:t>e</w:t>
                    </w:r>
                    <w:r>
                      <w:rPr>
                        <w:color w:val="7E7E7E"/>
                        <w:sz w:val="21"/>
                      </w:rPr>
                      <w:t> </w:t>
                    </w:r>
                  </w:p>
                </w:txbxContent>
              </v:textbox>
              <w10:wrap type="none"/>
            </v:shape>
          </w:pict>
        </mc:Fallback>
      </mc:AlternateContent>
    </w:r>
  </w:p>
</w:ftr>
</file>

<file path=word/footer4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4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2594816">
              <wp:simplePos x="0" y="0"/>
              <wp:positionH relativeFrom="page">
                <wp:posOffset>895350</wp:posOffset>
              </wp:positionH>
              <wp:positionV relativeFrom="page">
                <wp:posOffset>9270492</wp:posOffset>
              </wp:positionV>
              <wp:extent cx="5982335" cy="6350"/>
              <wp:effectExtent l="0" t="0" r="0" b="0"/>
              <wp:wrapNone/>
              <wp:docPr id="502" name="Graphic 502"/>
              <wp:cNvGraphicFramePr>
                <a:graphicFrameLocks/>
              </wp:cNvGraphicFramePr>
              <a:graphic>
                <a:graphicData uri="http://schemas.microsoft.com/office/word/2010/wordprocessingShape">
                  <wps:wsp>
                    <wps:cNvPr id="502" name="Graphic 502"/>
                    <wps:cNvSpPr/>
                    <wps:spPr>
                      <a:xfrm>
                        <a:off x="0" y="0"/>
                        <a:ext cx="5982335" cy="6350"/>
                      </a:xfrm>
                      <a:custGeom>
                        <a:avLst/>
                        <a:gdLst/>
                        <a:ahLst/>
                        <a:cxnLst/>
                        <a:rect l="l" t="t" r="r" b="b"/>
                        <a:pathLst>
                          <a:path w="5982335" h="6350">
                            <a:moveTo>
                              <a:pt x="5981712" y="0"/>
                            </a:moveTo>
                            <a:lnTo>
                              <a:pt x="0" y="0"/>
                            </a:lnTo>
                            <a:lnTo>
                              <a:pt x="0" y="6095"/>
                            </a:lnTo>
                            <a:lnTo>
                              <a:pt x="5981712" y="6095"/>
                            </a:lnTo>
                            <a:lnTo>
                              <a:pt x="5981712"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rect style="position:absolute;margin-left:70.5pt;margin-top:729.960022pt;width:471.001pt;height:.48pt;mso-position-horizontal-relative:page;mso-position-vertical-relative:page;z-index:-20721664" id="docshape404" filled="true" fillcolor="#d9d9d9" stroked="false">
              <v:fill type="solid"/>
              <w10:wrap type="none"/>
            </v:rect>
          </w:pict>
        </mc:Fallback>
      </mc:AlternateContent>
    </w:r>
    <w:r>
      <w:rPr/>
      <mc:AlternateContent>
        <mc:Choice Requires="wps">
          <w:drawing>
            <wp:anchor distT="0" distB="0" distL="0" distR="0" allowOverlap="1" layoutInCell="1" locked="0" behindDoc="1" simplePos="0" relativeHeight="482595328">
              <wp:simplePos x="0" y="0"/>
              <wp:positionH relativeFrom="page">
                <wp:posOffset>6073140</wp:posOffset>
              </wp:positionH>
              <wp:positionV relativeFrom="page">
                <wp:posOffset>9275863</wp:posOffset>
              </wp:positionV>
              <wp:extent cx="760095" cy="182245"/>
              <wp:effectExtent l="0" t="0" r="0" b="0"/>
              <wp:wrapNone/>
              <wp:docPr id="503" name="Textbox 503"/>
              <wp:cNvGraphicFramePr>
                <a:graphicFrameLocks/>
              </wp:cNvGraphicFramePr>
              <a:graphic>
                <a:graphicData uri="http://schemas.microsoft.com/office/word/2010/wordprocessingShape">
                  <wps:wsp>
                    <wps:cNvPr id="503" name="Textbox 503"/>
                    <wps:cNvSpPr txBox="1"/>
                    <wps:spPr>
                      <a:xfrm>
                        <a:off x="0" y="0"/>
                        <a:ext cx="760095" cy="182245"/>
                      </a:xfrm>
                      <a:prstGeom prst="rect">
                        <a:avLst/>
                      </a:prstGeom>
                    </wps:spPr>
                    <wps:txbx>
                      <w:txbxContent>
                        <w:p>
                          <w:pPr>
                            <w:spacing w:before="20"/>
                            <w:ind w:left="60" w:right="0" w:firstLine="0"/>
                            <w:jc w:val="left"/>
                            <w:rPr>
                              <w:rFonts w:ascii="Cambria"/>
                              <w:sz w:val="21"/>
                            </w:rPr>
                          </w:pPr>
                          <w:r>
                            <w:rPr>
                              <w:rFonts w:ascii="Cambria"/>
                              <w:sz w:val="21"/>
                            </w:rPr>
                            <w:fldChar w:fldCharType="begin"/>
                          </w:r>
                          <w:r>
                            <w:rPr>
                              <w:rFonts w:ascii="Cambria"/>
                              <w:sz w:val="21"/>
                            </w:rPr>
                            <w:instrText> PAGE </w:instrText>
                          </w:r>
                          <w:r>
                            <w:rPr>
                              <w:rFonts w:ascii="Cambria"/>
                              <w:sz w:val="21"/>
                            </w:rPr>
                            <w:fldChar w:fldCharType="separate"/>
                          </w:r>
                          <w:r>
                            <w:rPr>
                              <w:rFonts w:ascii="Cambria"/>
                              <w:sz w:val="21"/>
                            </w:rPr>
                            <w:t>226</w:t>
                          </w:r>
                          <w:r>
                            <w:rPr>
                              <w:rFonts w:ascii="Cambria"/>
                              <w:sz w:val="21"/>
                            </w:rPr>
                            <w:fldChar w:fldCharType="end"/>
                          </w:r>
                          <w:r>
                            <w:rPr>
                              <w:rFonts w:ascii="Cambria"/>
                              <w:sz w:val="21"/>
                            </w:rPr>
                            <w:t> | </w:t>
                          </w:r>
                          <w:r>
                            <w:rPr>
                              <w:rFonts w:ascii="Cambria"/>
                              <w:color w:val="7E7E7E"/>
                              <w:spacing w:val="13"/>
                              <w:sz w:val="21"/>
                            </w:rPr>
                            <w:t>P</w:t>
                          </w:r>
                          <w:r>
                            <w:rPr>
                              <w:rFonts w:ascii="Cambria"/>
                              <w:color w:val="7E7E7E"/>
                              <w:sz w:val="21"/>
                            </w:rPr>
                            <w:t> </w:t>
                          </w:r>
                          <w:r>
                            <w:rPr>
                              <w:rFonts w:ascii="Cambria"/>
                              <w:color w:val="7E7E7E"/>
                              <w:spacing w:val="13"/>
                              <w:sz w:val="21"/>
                            </w:rPr>
                            <w:t>a</w:t>
                          </w:r>
                          <w:r>
                            <w:rPr>
                              <w:rFonts w:ascii="Cambria"/>
                              <w:color w:val="7E7E7E"/>
                              <w:sz w:val="21"/>
                            </w:rPr>
                            <w:t> g</w:t>
                          </w:r>
                          <w:r>
                            <w:rPr>
                              <w:rFonts w:ascii="Cambria"/>
                              <w:color w:val="7E7E7E"/>
                              <w:spacing w:val="14"/>
                              <w:sz w:val="21"/>
                            </w:rPr>
                            <w:t> </w:t>
                          </w:r>
                          <w:r>
                            <w:rPr>
                              <w:rFonts w:ascii="Cambria"/>
                              <w:color w:val="7E7E7E"/>
                              <w:spacing w:val="-12"/>
                              <w:sz w:val="21"/>
                            </w:rPr>
                            <w:t>e</w:t>
                          </w:r>
                        </w:p>
                      </w:txbxContent>
                    </wps:txbx>
                    <wps:bodyPr wrap="square" lIns="0" tIns="0" rIns="0" bIns="0" rtlCol="0">
                      <a:noAutofit/>
                    </wps:bodyPr>
                  </wps:wsp>
                </a:graphicData>
              </a:graphic>
            </wp:anchor>
          </w:drawing>
        </mc:Choice>
        <mc:Fallback>
          <w:pict>
            <v:shape style="position:absolute;margin-left:478.200012pt;margin-top:730.382935pt;width:59.85pt;height:14.35pt;mso-position-horizontal-relative:page;mso-position-vertical-relative:page;z-index:-20721152" type="#_x0000_t202" id="docshape405" filled="false" stroked="false">
              <v:textbox inset="0,0,0,0">
                <w:txbxContent>
                  <w:p>
                    <w:pPr>
                      <w:spacing w:before="20"/>
                      <w:ind w:left="60" w:right="0" w:firstLine="0"/>
                      <w:jc w:val="left"/>
                      <w:rPr>
                        <w:rFonts w:ascii="Cambria"/>
                        <w:sz w:val="21"/>
                      </w:rPr>
                    </w:pPr>
                    <w:r>
                      <w:rPr>
                        <w:rFonts w:ascii="Cambria"/>
                        <w:sz w:val="21"/>
                      </w:rPr>
                      <w:fldChar w:fldCharType="begin"/>
                    </w:r>
                    <w:r>
                      <w:rPr>
                        <w:rFonts w:ascii="Cambria"/>
                        <w:sz w:val="21"/>
                      </w:rPr>
                      <w:instrText> PAGE </w:instrText>
                    </w:r>
                    <w:r>
                      <w:rPr>
                        <w:rFonts w:ascii="Cambria"/>
                        <w:sz w:val="21"/>
                      </w:rPr>
                      <w:fldChar w:fldCharType="separate"/>
                    </w:r>
                    <w:r>
                      <w:rPr>
                        <w:rFonts w:ascii="Cambria"/>
                        <w:sz w:val="21"/>
                      </w:rPr>
                      <w:t>226</w:t>
                    </w:r>
                    <w:r>
                      <w:rPr>
                        <w:rFonts w:ascii="Cambria"/>
                        <w:sz w:val="21"/>
                      </w:rPr>
                      <w:fldChar w:fldCharType="end"/>
                    </w:r>
                    <w:r>
                      <w:rPr>
                        <w:rFonts w:ascii="Cambria"/>
                        <w:sz w:val="21"/>
                      </w:rPr>
                      <w:t> | </w:t>
                    </w:r>
                    <w:r>
                      <w:rPr>
                        <w:rFonts w:ascii="Cambria"/>
                        <w:color w:val="7E7E7E"/>
                        <w:spacing w:val="13"/>
                        <w:sz w:val="21"/>
                      </w:rPr>
                      <w:t>P</w:t>
                    </w:r>
                    <w:r>
                      <w:rPr>
                        <w:rFonts w:ascii="Cambria"/>
                        <w:color w:val="7E7E7E"/>
                        <w:sz w:val="21"/>
                      </w:rPr>
                      <w:t> </w:t>
                    </w:r>
                    <w:r>
                      <w:rPr>
                        <w:rFonts w:ascii="Cambria"/>
                        <w:color w:val="7E7E7E"/>
                        <w:spacing w:val="13"/>
                        <w:sz w:val="21"/>
                      </w:rPr>
                      <w:t>a</w:t>
                    </w:r>
                    <w:r>
                      <w:rPr>
                        <w:rFonts w:ascii="Cambria"/>
                        <w:color w:val="7E7E7E"/>
                        <w:sz w:val="21"/>
                      </w:rPr>
                      <w:t> g</w:t>
                    </w:r>
                    <w:r>
                      <w:rPr>
                        <w:rFonts w:ascii="Cambria"/>
                        <w:color w:val="7E7E7E"/>
                        <w:spacing w:val="14"/>
                        <w:sz w:val="21"/>
                      </w:rPr>
                      <w:t> </w:t>
                    </w:r>
                    <w:r>
                      <w:rPr>
                        <w:rFonts w:ascii="Cambria"/>
                        <w:color w:val="7E7E7E"/>
                        <w:spacing w:val="-12"/>
                        <w:sz w:val="21"/>
                      </w:rPr>
                      <w:t>e</w:t>
                    </w:r>
                  </w:p>
                </w:txbxContent>
              </v:textbox>
              <w10:wrap type="none"/>
            </v:shape>
          </w:pict>
        </mc:Fallback>
      </mc:AlternateContent>
    </w:r>
  </w:p>
</w:ftr>
</file>

<file path=word/footer4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4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2596352">
              <wp:simplePos x="0" y="0"/>
              <wp:positionH relativeFrom="page">
                <wp:posOffset>806195</wp:posOffset>
              </wp:positionH>
              <wp:positionV relativeFrom="page">
                <wp:posOffset>9025128</wp:posOffset>
              </wp:positionV>
              <wp:extent cx="6159500" cy="6350"/>
              <wp:effectExtent l="0" t="0" r="0" b="0"/>
              <wp:wrapNone/>
              <wp:docPr id="523" name="Graphic 523"/>
              <wp:cNvGraphicFramePr>
                <a:graphicFrameLocks/>
              </wp:cNvGraphicFramePr>
              <a:graphic>
                <a:graphicData uri="http://schemas.microsoft.com/office/word/2010/wordprocessingShape">
                  <wps:wsp>
                    <wps:cNvPr id="523" name="Graphic 523"/>
                    <wps:cNvSpPr/>
                    <wps:spPr>
                      <a:xfrm>
                        <a:off x="0" y="0"/>
                        <a:ext cx="6159500" cy="6350"/>
                      </a:xfrm>
                      <a:custGeom>
                        <a:avLst/>
                        <a:gdLst/>
                        <a:ahLst/>
                        <a:cxnLst/>
                        <a:rect l="l" t="t" r="r" b="b"/>
                        <a:pathLst>
                          <a:path w="6159500" h="6350">
                            <a:moveTo>
                              <a:pt x="6159246" y="0"/>
                            </a:moveTo>
                            <a:lnTo>
                              <a:pt x="0" y="0"/>
                            </a:lnTo>
                            <a:lnTo>
                              <a:pt x="0" y="6096"/>
                            </a:lnTo>
                            <a:lnTo>
                              <a:pt x="6159246" y="6096"/>
                            </a:lnTo>
                            <a:lnTo>
                              <a:pt x="6159246"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rect style="position:absolute;margin-left:63.48pt;margin-top:710.640015pt;width:484.98pt;height:.48pt;mso-position-horizontal-relative:page;mso-position-vertical-relative:page;z-index:-20720128" id="docshape420" filled="true" fillcolor="#d9d9d9" stroked="false">
              <v:fill type="solid"/>
              <w10:wrap type="none"/>
            </v:rect>
          </w:pict>
        </mc:Fallback>
      </mc:AlternateContent>
    </w:r>
    <w:r>
      <w:rPr/>
      <mc:AlternateContent>
        <mc:Choice Requires="wps">
          <w:drawing>
            <wp:anchor distT="0" distB="0" distL="0" distR="0" allowOverlap="1" layoutInCell="1" locked="0" behindDoc="1" simplePos="0" relativeHeight="482596864">
              <wp:simplePos x="0" y="0"/>
              <wp:positionH relativeFrom="page">
                <wp:posOffset>6169914</wp:posOffset>
              </wp:positionH>
              <wp:positionV relativeFrom="page">
                <wp:posOffset>9057957</wp:posOffset>
              </wp:positionV>
              <wp:extent cx="789940" cy="158750"/>
              <wp:effectExtent l="0" t="0" r="0" b="0"/>
              <wp:wrapNone/>
              <wp:docPr id="524" name="Textbox 524"/>
              <wp:cNvGraphicFramePr>
                <a:graphicFrameLocks/>
              </wp:cNvGraphicFramePr>
              <a:graphic>
                <a:graphicData uri="http://schemas.microsoft.com/office/word/2010/wordprocessingShape">
                  <wps:wsp>
                    <wps:cNvPr id="524" name="Textbox 524"/>
                    <wps:cNvSpPr txBox="1"/>
                    <wps:spPr>
                      <a:xfrm>
                        <a:off x="0" y="0"/>
                        <a:ext cx="789940" cy="158750"/>
                      </a:xfrm>
                      <a:prstGeom prst="rect">
                        <a:avLst/>
                      </a:prstGeom>
                    </wps:spPr>
                    <wps:txbx>
                      <w:txbxContent>
                        <w:p>
                          <w:pPr>
                            <w:spacing w:line="234" w:lineRule="exact" w:before="0"/>
                            <w:ind w:left="60" w:right="0" w:firstLine="0"/>
                            <w:jc w:val="left"/>
                            <w:rPr>
                              <w:sz w:val="21"/>
                            </w:rPr>
                          </w:pPr>
                          <w:r>
                            <w:rPr>
                              <w:sz w:val="21"/>
                            </w:rPr>
                            <w:fldChar w:fldCharType="begin"/>
                          </w:r>
                          <w:r>
                            <w:rPr>
                              <w:sz w:val="21"/>
                            </w:rPr>
                            <w:instrText> PAGE </w:instrText>
                          </w:r>
                          <w:r>
                            <w:rPr>
                              <w:sz w:val="21"/>
                            </w:rPr>
                            <w:fldChar w:fldCharType="separate"/>
                          </w:r>
                          <w:r>
                            <w:rPr>
                              <w:sz w:val="21"/>
                            </w:rPr>
                            <w:t>241</w:t>
                          </w:r>
                          <w:r>
                            <w:rPr>
                              <w:sz w:val="21"/>
                            </w:rPr>
                            <w:fldChar w:fldCharType="end"/>
                          </w:r>
                          <w:r>
                            <w:rPr>
                              <w:spacing w:val="-1"/>
                              <w:sz w:val="21"/>
                            </w:rPr>
                            <w:t> </w:t>
                          </w:r>
                          <w:r>
                            <w:rPr>
                              <w:sz w:val="21"/>
                            </w:rPr>
                            <w:t>| </w:t>
                          </w:r>
                          <w:r>
                            <w:rPr>
                              <w:color w:val="7E7E7E"/>
                              <w:spacing w:val="11"/>
                              <w:sz w:val="21"/>
                            </w:rPr>
                            <w:t>P</w:t>
                          </w:r>
                          <w:r>
                            <w:rPr>
                              <w:color w:val="7E7E7E"/>
                              <w:sz w:val="21"/>
                            </w:rPr>
                            <w:t> a</w:t>
                          </w:r>
                          <w:r>
                            <w:rPr>
                              <w:color w:val="7E7E7E"/>
                              <w:spacing w:val="12"/>
                              <w:sz w:val="21"/>
                            </w:rPr>
                            <w:t> g</w:t>
                          </w:r>
                          <w:r>
                            <w:rPr>
                              <w:color w:val="7E7E7E"/>
                              <w:sz w:val="21"/>
                            </w:rPr>
                            <w:t> </w:t>
                          </w:r>
                          <w:r>
                            <w:rPr>
                              <w:color w:val="7E7E7E"/>
                              <w:spacing w:val="-10"/>
                              <w:sz w:val="21"/>
                            </w:rPr>
                            <w:t>e</w:t>
                          </w:r>
                          <w:r>
                            <w:rPr>
                              <w:color w:val="7E7E7E"/>
                              <w:sz w:val="21"/>
                            </w:rPr>
                            <w:t> </w:t>
                          </w:r>
                        </w:p>
                      </w:txbxContent>
                    </wps:txbx>
                    <wps:bodyPr wrap="square" lIns="0" tIns="0" rIns="0" bIns="0" rtlCol="0">
                      <a:noAutofit/>
                    </wps:bodyPr>
                  </wps:wsp>
                </a:graphicData>
              </a:graphic>
            </wp:anchor>
          </w:drawing>
        </mc:Choice>
        <mc:Fallback>
          <w:pict>
            <v:shape style="position:absolute;margin-left:485.820007pt;margin-top:713.224976pt;width:62.2pt;height:12.5pt;mso-position-horizontal-relative:page;mso-position-vertical-relative:page;z-index:-20719616" type="#_x0000_t202" id="docshape421" filled="false" stroked="false">
              <v:textbox inset="0,0,0,0">
                <w:txbxContent>
                  <w:p>
                    <w:pPr>
                      <w:spacing w:line="234" w:lineRule="exact" w:before="0"/>
                      <w:ind w:left="60" w:right="0" w:firstLine="0"/>
                      <w:jc w:val="left"/>
                      <w:rPr>
                        <w:sz w:val="21"/>
                      </w:rPr>
                    </w:pPr>
                    <w:r>
                      <w:rPr>
                        <w:sz w:val="21"/>
                      </w:rPr>
                      <w:fldChar w:fldCharType="begin"/>
                    </w:r>
                    <w:r>
                      <w:rPr>
                        <w:sz w:val="21"/>
                      </w:rPr>
                      <w:instrText> PAGE </w:instrText>
                    </w:r>
                    <w:r>
                      <w:rPr>
                        <w:sz w:val="21"/>
                      </w:rPr>
                      <w:fldChar w:fldCharType="separate"/>
                    </w:r>
                    <w:r>
                      <w:rPr>
                        <w:sz w:val="21"/>
                      </w:rPr>
                      <w:t>241</w:t>
                    </w:r>
                    <w:r>
                      <w:rPr>
                        <w:sz w:val="21"/>
                      </w:rPr>
                      <w:fldChar w:fldCharType="end"/>
                    </w:r>
                    <w:r>
                      <w:rPr>
                        <w:spacing w:val="-1"/>
                        <w:sz w:val="21"/>
                      </w:rPr>
                      <w:t> </w:t>
                    </w:r>
                    <w:r>
                      <w:rPr>
                        <w:sz w:val="21"/>
                      </w:rPr>
                      <w:t>| </w:t>
                    </w:r>
                    <w:r>
                      <w:rPr>
                        <w:color w:val="7E7E7E"/>
                        <w:spacing w:val="11"/>
                        <w:sz w:val="21"/>
                      </w:rPr>
                      <w:t>P</w:t>
                    </w:r>
                    <w:r>
                      <w:rPr>
                        <w:color w:val="7E7E7E"/>
                        <w:sz w:val="21"/>
                      </w:rPr>
                      <w:t> a</w:t>
                    </w:r>
                    <w:r>
                      <w:rPr>
                        <w:color w:val="7E7E7E"/>
                        <w:spacing w:val="12"/>
                        <w:sz w:val="21"/>
                      </w:rPr>
                      <w:t> g</w:t>
                    </w:r>
                    <w:r>
                      <w:rPr>
                        <w:color w:val="7E7E7E"/>
                        <w:sz w:val="21"/>
                      </w:rPr>
                      <w:t> </w:t>
                    </w:r>
                    <w:r>
                      <w:rPr>
                        <w:color w:val="7E7E7E"/>
                        <w:spacing w:val="-10"/>
                        <w:sz w:val="21"/>
                      </w:rPr>
                      <w:t>e</w:t>
                    </w:r>
                    <w:r>
                      <w:rPr>
                        <w:color w:val="7E7E7E"/>
                        <w:sz w:val="21"/>
                      </w:rPr>
                      <w:t> </w:t>
                    </w:r>
                  </w:p>
                </w:txbxContent>
              </v:textbox>
              <w10:wrap type="none"/>
            </v:shape>
          </w:pict>
        </mc:Fallback>
      </mc:AlternateContent>
    </w:r>
  </w:p>
</w:ftr>
</file>

<file path=word/footer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2553856">
              <wp:simplePos x="0" y="0"/>
              <wp:positionH relativeFrom="page">
                <wp:posOffset>895350</wp:posOffset>
              </wp:positionH>
              <wp:positionV relativeFrom="page">
                <wp:posOffset>9257525</wp:posOffset>
              </wp:positionV>
              <wp:extent cx="5982335" cy="6350"/>
              <wp:effectExtent l="0" t="0" r="0" b="0"/>
              <wp:wrapNone/>
              <wp:docPr id="40" name="Graphic 40"/>
              <wp:cNvGraphicFramePr>
                <a:graphicFrameLocks/>
              </wp:cNvGraphicFramePr>
              <a:graphic>
                <a:graphicData uri="http://schemas.microsoft.com/office/word/2010/wordprocessingShape">
                  <wps:wsp>
                    <wps:cNvPr id="40" name="Graphic 40"/>
                    <wps:cNvSpPr/>
                    <wps:spPr>
                      <a:xfrm>
                        <a:off x="0" y="0"/>
                        <a:ext cx="5982335" cy="6350"/>
                      </a:xfrm>
                      <a:custGeom>
                        <a:avLst/>
                        <a:gdLst/>
                        <a:ahLst/>
                        <a:cxnLst/>
                        <a:rect l="l" t="t" r="r" b="b"/>
                        <a:pathLst>
                          <a:path w="5982335" h="6350">
                            <a:moveTo>
                              <a:pt x="5981712" y="0"/>
                            </a:moveTo>
                            <a:lnTo>
                              <a:pt x="0" y="0"/>
                            </a:lnTo>
                            <a:lnTo>
                              <a:pt x="0" y="6108"/>
                            </a:lnTo>
                            <a:lnTo>
                              <a:pt x="5981712" y="6108"/>
                            </a:lnTo>
                            <a:lnTo>
                              <a:pt x="5981712"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rect style="position:absolute;margin-left:70.5pt;margin-top:728.939026pt;width:471.001pt;height:.481pt;mso-position-horizontal-relative:page;mso-position-vertical-relative:page;z-index:-20762624" id="docshape24" filled="true" fillcolor="#d9d9d9" stroked="false">
              <v:fill type="solid"/>
              <w10:wrap type="none"/>
            </v:rect>
          </w:pict>
        </mc:Fallback>
      </mc:AlternateContent>
    </w:r>
    <w:r>
      <w:rPr/>
      <mc:AlternateContent>
        <mc:Choice Requires="wps">
          <w:drawing>
            <wp:anchor distT="0" distB="0" distL="0" distR="0" allowOverlap="1" layoutInCell="1" locked="0" behindDoc="1" simplePos="0" relativeHeight="482554368">
              <wp:simplePos x="0" y="0"/>
              <wp:positionH relativeFrom="page">
                <wp:posOffset>6223253</wp:posOffset>
              </wp:positionH>
              <wp:positionV relativeFrom="page">
                <wp:posOffset>9262882</wp:posOffset>
              </wp:positionV>
              <wp:extent cx="610235" cy="188595"/>
              <wp:effectExtent l="0" t="0" r="0" b="0"/>
              <wp:wrapNone/>
              <wp:docPr id="41" name="Textbox 41"/>
              <wp:cNvGraphicFramePr>
                <a:graphicFrameLocks/>
              </wp:cNvGraphicFramePr>
              <a:graphic>
                <a:graphicData uri="http://schemas.microsoft.com/office/word/2010/wordprocessingShape">
                  <wps:wsp>
                    <wps:cNvPr id="41" name="Textbox 41"/>
                    <wps:cNvSpPr txBox="1"/>
                    <wps:spPr>
                      <a:xfrm>
                        <a:off x="0" y="0"/>
                        <a:ext cx="610235" cy="188595"/>
                      </a:xfrm>
                      <a:prstGeom prst="rect">
                        <a:avLst/>
                      </a:prstGeom>
                    </wps:spPr>
                    <wps:txbx>
                      <w:txbxContent>
                        <w:p>
                          <w:pPr>
                            <w:spacing w:before="17"/>
                            <w:ind w:left="60" w:right="0" w:firstLine="0"/>
                            <w:jc w:val="left"/>
                            <w:rPr>
                              <w:sz w:val="21"/>
                            </w:rPr>
                          </w:pPr>
                          <w:r>
                            <w:rPr>
                              <w:sz w:val="21"/>
                            </w:rPr>
                            <w:fldChar w:fldCharType="begin"/>
                          </w:r>
                          <w:r>
                            <w:rPr>
                              <w:sz w:val="21"/>
                            </w:rPr>
                            <w:instrText> PAGE </w:instrText>
                          </w:r>
                          <w:r>
                            <w:rPr>
                              <w:sz w:val="21"/>
                            </w:rPr>
                            <w:fldChar w:fldCharType="separate"/>
                          </w:r>
                          <w:r>
                            <w:rPr>
                              <w:sz w:val="21"/>
                            </w:rPr>
                            <w:t>3</w:t>
                          </w:r>
                          <w:r>
                            <w:rPr>
                              <w:sz w:val="21"/>
                            </w:rPr>
                            <w:fldChar w:fldCharType="end"/>
                          </w:r>
                          <w:r>
                            <w:rPr>
                              <w:spacing w:val="-5"/>
                              <w:sz w:val="21"/>
                            </w:rPr>
                            <w:t> </w:t>
                          </w:r>
                          <w:r>
                            <w:rPr>
                              <w:w w:val="90"/>
                              <w:sz w:val="21"/>
                            </w:rPr>
                            <w:t>| </w:t>
                          </w:r>
                          <w:r>
                            <w:rPr>
                              <w:color w:val="7E7E7E"/>
                              <w:spacing w:val="12"/>
                              <w:sz w:val="21"/>
                            </w:rPr>
                            <w:t>P</w:t>
                          </w:r>
                          <w:r>
                            <w:rPr>
                              <w:color w:val="7E7E7E"/>
                              <w:sz w:val="21"/>
                            </w:rPr>
                            <w:t> </w:t>
                          </w:r>
                          <w:r>
                            <w:rPr>
                              <w:color w:val="7E7E7E"/>
                              <w:spacing w:val="12"/>
                              <w:sz w:val="21"/>
                            </w:rPr>
                            <w:t>a</w:t>
                          </w:r>
                          <w:r>
                            <w:rPr>
                              <w:color w:val="7E7E7E"/>
                              <w:sz w:val="21"/>
                            </w:rPr>
                            <w:t> g</w:t>
                          </w:r>
                          <w:r>
                            <w:rPr>
                              <w:color w:val="7E7E7E"/>
                              <w:spacing w:val="11"/>
                              <w:sz w:val="21"/>
                            </w:rPr>
                            <w:t> </w:t>
                          </w:r>
                          <w:r>
                            <w:rPr>
                              <w:color w:val="7E7E7E"/>
                              <w:spacing w:val="-10"/>
                              <w:sz w:val="21"/>
                            </w:rPr>
                            <w:t>e</w:t>
                          </w:r>
                        </w:p>
                      </w:txbxContent>
                    </wps:txbx>
                    <wps:bodyPr wrap="square" lIns="0" tIns="0" rIns="0" bIns="0" rtlCol="0">
                      <a:noAutofit/>
                    </wps:bodyPr>
                  </wps:wsp>
                </a:graphicData>
              </a:graphic>
            </wp:anchor>
          </w:drawing>
        </mc:Choice>
        <mc:Fallback>
          <w:pict>
            <v:shape style="position:absolute;margin-left:490.019989pt;margin-top:729.36084pt;width:48.05pt;height:14.85pt;mso-position-horizontal-relative:page;mso-position-vertical-relative:page;z-index:-20762112" type="#_x0000_t202" id="docshape25" filled="false" stroked="false">
              <v:textbox inset="0,0,0,0">
                <w:txbxContent>
                  <w:p>
                    <w:pPr>
                      <w:spacing w:before="17"/>
                      <w:ind w:left="60" w:right="0" w:firstLine="0"/>
                      <w:jc w:val="left"/>
                      <w:rPr>
                        <w:sz w:val="21"/>
                      </w:rPr>
                    </w:pPr>
                    <w:r>
                      <w:rPr>
                        <w:sz w:val="21"/>
                      </w:rPr>
                      <w:fldChar w:fldCharType="begin"/>
                    </w:r>
                    <w:r>
                      <w:rPr>
                        <w:sz w:val="21"/>
                      </w:rPr>
                      <w:instrText> PAGE </w:instrText>
                    </w:r>
                    <w:r>
                      <w:rPr>
                        <w:sz w:val="21"/>
                      </w:rPr>
                      <w:fldChar w:fldCharType="separate"/>
                    </w:r>
                    <w:r>
                      <w:rPr>
                        <w:sz w:val="21"/>
                      </w:rPr>
                      <w:t>3</w:t>
                    </w:r>
                    <w:r>
                      <w:rPr>
                        <w:sz w:val="21"/>
                      </w:rPr>
                      <w:fldChar w:fldCharType="end"/>
                    </w:r>
                    <w:r>
                      <w:rPr>
                        <w:spacing w:val="-5"/>
                        <w:sz w:val="21"/>
                      </w:rPr>
                      <w:t> </w:t>
                    </w:r>
                    <w:r>
                      <w:rPr>
                        <w:w w:val="90"/>
                        <w:sz w:val="21"/>
                      </w:rPr>
                      <w:t>| </w:t>
                    </w:r>
                    <w:r>
                      <w:rPr>
                        <w:color w:val="7E7E7E"/>
                        <w:spacing w:val="12"/>
                        <w:sz w:val="21"/>
                      </w:rPr>
                      <w:t>P</w:t>
                    </w:r>
                    <w:r>
                      <w:rPr>
                        <w:color w:val="7E7E7E"/>
                        <w:sz w:val="21"/>
                      </w:rPr>
                      <w:t> </w:t>
                    </w:r>
                    <w:r>
                      <w:rPr>
                        <w:color w:val="7E7E7E"/>
                        <w:spacing w:val="12"/>
                        <w:sz w:val="21"/>
                      </w:rPr>
                      <w:t>a</w:t>
                    </w:r>
                    <w:r>
                      <w:rPr>
                        <w:color w:val="7E7E7E"/>
                        <w:sz w:val="21"/>
                      </w:rPr>
                      <w:t> g</w:t>
                    </w:r>
                    <w:r>
                      <w:rPr>
                        <w:color w:val="7E7E7E"/>
                        <w:spacing w:val="11"/>
                        <w:sz w:val="21"/>
                      </w:rPr>
                      <w:t> </w:t>
                    </w:r>
                    <w:r>
                      <w:rPr>
                        <w:color w:val="7E7E7E"/>
                        <w:spacing w:val="-10"/>
                        <w:sz w:val="21"/>
                      </w:rPr>
                      <w:t>e</w:t>
                    </w:r>
                  </w:p>
                </w:txbxContent>
              </v:textbox>
              <w10:wrap type="none"/>
            </v:shape>
          </w:pict>
        </mc:Fallback>
      </mc:AlternateContent>
    </w:r>
  </w:p>
</w:ftr>
</file>

<file path=word/footer5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2597888">
              <wp:simplePos x="0" y="0"/>
              <wp:positionH relativeFrom="page">
                <wp:posOffset>806195</wp:posOffset>
              </wp:positionH>
              <wp:positionV relativeFrom="page">
                <wp:posOffset>9129509</wp:posOffset>
              </wp:positionV>
              <wp:extent cx="6159500" cy="6350"/>
              <wp:effectExtent l="0" t="0" r="0" b="0"/>
              <wp:wrapNone/>
              <wp:docPr id="528" name="Graphic 528"/>
              <wp:cNvGraphicFramePr>
                <a:graphicFrameLocks/>
              </wp:cNvGraphicFramePr>
              <a:graphic>
                <a:graphicData uri="http://schemas.microsoft.com/office/word/2010/wordprocessingShape">
                  <wps:wsp>
                    <wps:cNvPr id="528" name="Graphic 528"/>
                    <wps:cNvSpPr/>
                    <wps:spPr>
                      <a:xfrm>
                        <a:off x="0" y="0"/>
                        <a:ext cx="6159500" cy="6350"/>
                      </a:xfrm>
                      <a:custGeom>
                        <a:avLst/>
                        <a:gdLst/>
                        <a:ahLst/>
                        <a:cxnLst/>
                        <a:rect l="l" t="t" r="r" b="b"/>
                        <a:pathLst>
                          <a:path w="6159500" h="6350">
                            <a:moveTo>
                              <a:pt x="6159246" y="0"/>
                            </a:moveTo>
                            <a:lnTo>
                              <a:pt x="0" y="0"/>
                            </a:lnTo>
                            <a:lnTo>
                              <a:pt x="0" y="6108"/>
                            </a:lnTo>
                            <a:lnTo>
                              <a:pt x="6159246" y="6108"/>
                            </a:lnTo>
                            <a:lnTo>
                              <a:pt x="6159246"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rect style="position:absolute;margin-left:63.48pt;margin-top:718.859009pt;width:484.98pt;height:.481pt;mso-position-horizontal-relative:page;mso-position-vertical-relative:page;z-index:-20718592" id="docshape425" filled="true" fillcolor="#d9d9d9" stroked="false">
              <v:fill type="solid"/>
              <w10:wrap type="none"/>
            </v:rect>
          </w:pict>
        </mc:Fallback>
      </mc:AlternateContent>
    </w:r>
    <w:r>
      <w:rPr/>
      <mc:AlternateContent>
        <mc:Choice Requires="wps">
          <w:drawing>
            <wp:anchor distT="0" distB="0" distL="0" distR="0" allowOverlap="1" layoutInCell="1" locked="0" behindDoc="1" simplePos="0" relativeHeight="482598400">
              <wp:simplePos x="0" y="0"/>
              <wp:positionH relativeFrom="page">
                <wp:posOffset>6169914</wp:posOffset>
              </wp:positionH>
              <wp:positionV relativeFrom="page">
                <wp:posOffset>9162351</wp:posOffset>
              </wp:positionV>
              <wp:extent cx="789940" cy="158750"/>
              <wp:effectExtent l="0" t="0" r="0" b="0"/>
              <wp:wrapNone/>
              <wp:docPr id="529" name="Textbox 529"/>
              <wp:cNvGraphicFramePr>
                <a:graphicFrameLocks/>
              </wp:cNvGraphicFramePr>
              <a:graphic>
                <a:graphicData uri="http://schemas.microsoft.com/office/word/2010/wordprocessingShape">
                  <wps:wsp>
                    <wps:cNvPr id="529" name="Textbox 529"/>
                    <wps:cNvSpPr txBox="1"/>
                    <wps:spPr>
                      <a:xfrm>
                        <a:off x="0" y="0"/>
                        <a:ext cx="789940" cy="158750"/>
                      </a:xfrm>
                      <a:prstGeom prst="rect">
                        <a:avLst/>
                      </a:prstGeom>
                    </wps:spPr>
                    <wps:txbx>
                      <w:txbxContent>
                        <w:p>
                          <w:pPr>
                            <w:spacing w:line="234" w:lineRule="exact" w:before="0"/>
                            <w:ind w:left="60" w:right="0" w:firstLine="0"/>
                            <w:jc w:val="left"/>
                            <w:rPr>
                              <w:sz w:val="21"/>
                            </w:rPr>
                          </w:pPr>
                          <w:r>
                            <w:rPr>
                              <w:sz w:val="21"/>
                            </w:rPr>
                            <w:fldChar w:fldCharType="begin"/>
                          </w:r>
                          <w:r>
                            <w:rPr>
                              <w:sz w:val="21"/>
                            </w:rPr>
                            <w:instrText> PAGE </w:instrText>
                          </w:r>
                          <w:r>
                            <w:rPr>
                              <w:sz w:val="21"/>
                            </w:rPr>
                            <w:fldChar w:fldCharType="separate"/>
                          </w:r>
                          <w:r>
                            <w:rPr>
                              <w:sz w:val="21"/>
                            </w:rPr>
                            <w:t>246</w:t>
                          </w:r>
                          <w:r>
                            <w:rPr>
                              <w:sz w:val="21"/>
                            </w:rPr>
                            <w:fldChar w:fldCharType="end"/>
                          </w:r>
                          <w:r>
                            <w:rPr>
                              <w:spacing w:val="-1"/>
                              <w:sz w:val="21"/>
                            </w:rPr>
                            <w:t> </w:t>
                          </w:r>
                          <w:r>
                            <w:rPr>
                              <w:sz w:val="21"/>
                            </w:rPr>
                            <w:t>| </w:t>
                          </w:r>
                          <w:r>
                            <w:rPr>
                              <w:color w:val="7E7E7E"/>
                              <w:spacing w:val="11"/>
                              <w:sz w:val="21"/>
                            </w:rPr>
                            <w:t>P</w:t>
                          </w:r>
                          <w:r>
                            <w:rPr>
                              <w:color w:val="7E7E7E"/>
                              <w:sz w:val="21"/>
                            </w:rPr>
                            <w:t> a</w:t>
                          </w:r>
                          <w:r>
                            <w:rPr>
                              <w:color w:val="7E7E7E"/>
                              <w:spacing w:val="12"/>
                              <w:sz w:val="21"/>
                            </w:rPr>
                            <w:t> g</w:t>
                          </w:r>
                          <w:r>
                            <w:rPr>
                              <w:color w:val="7E7E7E"/>
                              <w:sz w:val="21"/>
                            </w:rPr>
                            <w:t> </w:t>
                          </w:r>
                          <w:r>
                            <w:rPr>
                              <w:color w:val="7E7E7E"/>
                              <w:spacing w:val="-10"/>
                              <w:sz w:val="21"/>
                            </w:rPr>
                            <w:t>e</w:t>
                          </w:r>
                          <w:r>
                            <w:rPr>
                              <w:color w:val="7E7E7E"/>
                              <w:sz w:val="21"/>
                            </w:rPr>
                            <w:t> </w:t>
                          </w:r>
                        </w:p>
                      </w:txbxContent>
                    </wps:txbx>
                    <wps:bodyPr wrap="square" lIns="0" tIns="0" rIns="0" bIns="0" rtlCol="0">
                      <a:noAutofit/>
                    </wps:bodyPr>
                  </wps:wsp>
                </a:graphicData>
              </a:graphic>
            </wp:anchor>
          </w:drawing>
        </mc:Choice>
        <mc:Fallback>
          <w:pict>
            <v:shape style="position:absolute;margin-left:485.820007pt;margin-top:721.445007pt;width:62.2pt;height:12.5pt;mso-position-horizontal-relative:page;mso-position-vertical-relative:page;z-index:-20718080" type="#_x0000_t202" id="docshape426" filled="false" stroked="false">
              <v:textbox inset="0,0,0,0">
                <w:txbxContent>
                  <w:p>
                    <w:pPr>
                      <w:spacing w:line="234" w:lineRule="exact" w:before="0"/>
                      <w:ind w:left="60" w:right="0" w:firstLine="0"/>
                      <w:jc w:val="left"/>
                      <w:rPr>
                        <w:sz w:val="21"/>
                      </w:rPr>
                    </w:pPr>
                    <w:r>
                      <w:rPr>
                        <w:sz w:val="21"/>
                      </w:rPr>
                      <w:fldChar w:fldCharType="begin"/>
                    </w:r>
                    <w:r>
                      <w:rPr>
                        <w:sz w:val="21"/>
                      </w:rPr>
                      <w:instrText> PAGE </w:instrText>
                    </w:r>
                    <w:r>
                      <w:rPr>
                        <w:sz w:val="21"/>
                      </w:rPr>
                      <w:fldChar w:fldCharType="separate"/>
                    </w:r>
                    <w:r>
                      <w:rPr>
                        <w:sz w:val="21"/>
                      </w:rPr>
                      <w:t>246</w:t>
                    </w:r>
                    <w:r>
                      <w:rPr>
                        <w:sz w:val="21"/>
                      </w:rPr>
                      <w:fldChar w:fldCharType="end"/>
                    </w:r>
                    <w:r>
                      <w:rPr>
                        <w:spacing w:val="-1"/>
                        <w:sz w:val="21"/>
                      </w:rPr>
                      <w:t> </w:t>
                    </w:r>
                    <w:r>
                      <w:rPr>
                        <w:sz w:val="21"/>
                      </w:rPr>
                      <w:t>| </w:t>
                    </w:r>
                    <w:r>
                      <w:rPr>
                        <w:color w:val="7E7E7E"/>
                        <w:spacing w:val="11"/>
                        <w:sz w:val="21"/>
                      </w:rPr>
                      <w:t>P</w:t>
                    </w:r>
                    <w:r>
                      <w:rPr>
                        <w:color w:val="7E7E7E"/>
                        <w:sz w:val="21"/>
                      </w:rPr>
                      <w:t> a</w:t>
                    </w:r>
                    <w:r>
                      <w:rPr>
                        <w:color w:val="7E7E7E"/>
                        <w:spacing w:val="12"/>
                        <w:sz w:val="21"/>
                      </w:rPr>
                      <w:t> g</w:t>
                    </w:r>
                    <w:r>
                      <w:rPr>
                        <w:color w:val="7E7E7E"/>
                        <w:sz w:val="21"/>
                      </w:rPr>
                      <w:t> </w:t>
                    </w:r>
                    <w:r>
                      <w:rPr>
                        <w:color w:val="7E7E7E"/>
                        <w:spacing w:val="-10"/>
                        <w:sz w:val="21"/>
                      </w:rPr>
                      <w:t>e</w:t>
                    </w:r>
                    <w:r>
                      <w:rPr>
                        <w:color w:val="7E7E7E"/>
                        <w:sz w:val="21"/>
                      </w:rPr>
                      <w:t> </w:t>
                    </w:r>
                  </w:p>
                </w:txbxContent>
              </v:textbox>
              <w10:wrap type="none"/>
            </v:shape>
          </w:pict>
        </mc:Fallback>
      </mc:AlternateContent>
    </w:r>
  </w:p>
</w:ftr>
</file>

<file path=word/footer5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2599424">
              <wp:simplePos x="0" y="0"/>
              <wp:positionH relativeFrom="page">
                <wp:posOffset>895350</wp:posOffset>
              </wp:positionH>
              <wp:positionV relativeFrom="page">
                <wp:posOffset>9270492</wp:posOffset>
              </wp:positionV>
              <wp:extent cx="5982335" cy="6350"/>
              <wp:effectExtent l="0" t="0" r="0" b="0"/>
              <wp:wrapNone/>
              <wp:docPr id="538" name="Graphic 538"/>
              <wp:cNvGraphicFramePr>
                <a:graphicFrameLocks/>
              </wp:cNvGraphicFramePr>
              <a:graphic>
                <a:graphicData uri="http://schemas.microsoft.com/office/word/2010/wordprocessingShape">
                  <wps:wsp>
                    <wps:cNvPr id="538" name="Graphic 538"/>
                    <wps:cNvSpPr/>
                    <wps:spPr>
                      <a:xfrm>
                        <a:off x="0" y="0"/>
                        <a:ext cx="5982335" cy="6350"/>
                      </a:xfrm>
                      <a:custGeom>
                        <a:avLst/>
                        <a:gdLst/>
                        <a:ahLst/>
                        <a:cxnLst/>
                        <a:rect l="l" t="t" r="r" b="b"/>
                        <a:pathLst>
                          <a:path w="5982335" h="6350">
                            <a:moveTo>
                              <a:pt x="5981712" y="0"/>
                            </a:moveTo>
                            <a:lnTo>
                              <a:pt x="0" y="0"/>
                            </a:lnTo>
                            <a:lnTo>
                              <a:pt x="0" y="6095"/>
                            </a:lnTo>
                            <a:lnTo>
                              <a:pt x="5981712" y="6095"/>
                            </a:lnTo>
                            <a:lnTo>
                              <a:pt x="5981712"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rect style="position:absolute;margin-left:70.5pt;margin-top:729.960022pt;width:471.001pt;height:.48pt;mso-position-horizontal-relative:page;mso-position-vertical-relative:page;z-index:-20717056" id="docshape435" filled="true" fillcolor="#d9d9d9" stroked="false">
              <v:fill type="solid"/>
              <w10:wrap type="none"/>
            </v:rect>
          </w:pict>
        </mc:Fallback>
      </mc:AlternateContent>
    </w:r>
    <w:r>
      <w:rPr/>
      <mc:AlternateContent>
        <mc:Choice Requires="wps">
          <w:drawing>
            <wp:anchor distT="0" distB="0" distL="0" distR="0" allowOverlap="1" layoutInCell="1" locked="0" behindDoc="1" simplePos="0" relativeHeight="482599936">
              <wp:simplePos x="0" y="0"/>
              <wp:positionH relativeFrom="page">
                <wp:posOffset>6073140</wp:posOffset>
              </wp:positionH>
              <wp:positionV relativeFrom="page">
                <wp:posOffset>9275863</wp:posOffset>
              </wp:positionV>
              <wp:extent cx="760095" cy="182245"/>
              <wp:effectExtent l="0" t="0" r="0" b="0"/>
              <wp:wrapNone/>
              <wp:docPr id="539" name="Textbox 539"/>
              <wp:cNvGraphicFramePr>
                <a:graphicFrameLocks/>
              </wp:cNvGraphicFramePr>
              <a:graphic>
                <a:graphicData uri="http://schemas.microsoft.com/office/word/2010/wordprocessingShape">
                  <wps:wsp>
                    <wps:cNvPr id="539" name="Textbox 539"/>
                    <wps:cNvSpPr txBox="1"/>
                    <wps:spPr>
                      <a:xfrm>
                        <a:off x="0" y="0"/>
                        <a:ext cx="760095" cy="182245"/>
                      </a:xfrm>
                      <a:prstGeom prst="rect">
                        <a:avLst/>
                      </a:prstGeom>
                    </wps:spPr>
                    <wps:txbx>
                      <w:txbxContent>
                        <w:p>
                          <w:pPr>
                            <w:spacing w:before="20"/>
                            <w:ind w:left="60" w:right="0" w:firstLine="0"/>
                            <w:jc w:val="left"/>
                            <w:rPr>
                              <w:rFonts w:ascii="Cambria"/>
                              <w:sz w:val="21"/>
                            </w:rPr>
                          </w:pPr>
                          <w:r>
                            <w:rPr>
                              <w:rFonts w:ascii="Cambria"/>
                              <w:sz w:val="21"/>
                            </w:rPr>
                            <w:fldChar w:fldCharType="begin"/>
                          </w:r>
                          <w:r>
                            <w:rPr>
                              <w:rFonts w:ascii="Cambria"/>
                              <w:sz w:val="21"/>
                            </w:rPr>
                            <w:instrText> PAGE </w:instrText>
                          </w:r>
                          <w:r>
                            <w:rPr>
                              <w:rFonts w:ascii="Cambria"/>
                              <w:sz w:val="21"/>
                            </w:rPr>
                            <w:fldChar w:fldCharType="separate"/>
                          </w:r>
                          <w:r>
                            <w:rPr>
                              <w:rFonts w:ascii="Cambria"/>
                              <w:sz w:val="21"/>
                            </w:rPr>
                            <w:t>249</w:t>
                          </w:r>
                          <w:r>
                            <w:rPr>
                              <w:rFonts w:ascii="Cambria"/>
                              <w:sz w:val="21"/>
                            </w:rPr>
                            <w:fldChar w:fldCharType="end"/>
                          </w:r>
                          <w:r>
                            <w:rPr>
                              <w:rFonts w:ascii="Cambria"/>
                              <w:sz w:val="21"/>
                            </w:rPr>
                            <w:t> | </w:t>
                          </w:r>
                          <w:r>
                            <w:rPr>
                              <w:rFonts w:ascii="Cambria"/>
                              <w:color w:val="7E7E7E"/>
                              <w:spacing w:val="13"/>
                              <w:sz w:val="21"/>
                            </w:rPr>
                            <w:t>P</w:t>
                          </w:r>
                          <w:r>
                            <w:rPr>
                              <w:rFonts w:ascii="Cambria"/>
                              <w:color w:val="7E7E7E"/>
                              <w:sz w:val="21"/>
                            </w:rPr>
                            <w:t> </w:t>
                          </w:r>
                          <w:r>
                            <w:rPr>
                              <w:rFonts w:ascii="Cambria"/>
                              <w:color w:val="7E7E7E"/>
                              <w:spacing w:val="13"/>
                              <w:sz w:val="21"/>
                            </w:rPr>
                            <w:t>a</w:t>
                          </w:r>
                          <w:r>
                            <w:rPr>
                              <w:rFonts w:ascii="Cambria"/>
                              <w:color w:val="7E7E7E"/>
                              <w:sz w:val="21"/>
                            </w:rPr>
                            <w:t> g</w:t>
                          </w:r>
                          <w:r>
                            <w:rPr>
                              <w:rFonts w:ascii="Cambria"/>
                              <w:color w:val="7E7E7E"/>
                              <w:spacing w:val="14"/>
                              <w:sz w:val="21"/>
                            </w:rPr>
                            <w:t> </w:t>
                          </w:r>
                          <w:r>
                            <w:rPr>
                              <w:rFonts w:ascii="Cambria"/>
                              <w:color w:val="7E7E7E"/>
                              <w:spacing w:val="-12"/>
                              <w:sz w:val="21"/>
                            </w:rPr>
                            <w:t>e</w:t>
                          </w:r>
                        </w:p>
                      </w:txbxContent>
                    </wps:txbx>
                    <wps:bodyPr wrap="square" lIns="0" tIns="0" rIns="0" bIns="0" rtlCol="0">
                      <a:noAutofit/>
                    </wps:bodyPr>
                  </wps:wsp>
                </a:graphicData>
              </a:graphic>
            </wp:anchor>
          </w:drawing>
        </mc:Choice>
        <mc:Fallback>
          <w:pict>
            <v:shape style="position:absolute;margin-left:478.200012pt;margin-top:730.382935pt;width:59.85pt;height:14.35pt;mso-position-horizontal-relative:page;mso-position-vertical-relative:page;z-index:-20716544" type="#_x0000_t202" id="docshape436" filled="false" stroked="false">
              <v:textbox inset="0,0,0,0">
                <w:txbxContent>
                  <w:p>
                    <w:pPr>
                      <w:spacing w:before="20"/>
                      <w:ind w:left="60" w:right="0" w:firstLine="0"/>
                      <w:jc w:val="left"/>
                      <w:rPr>
                        <w:rFonts w:ascii="Cambria"/>
                        <w:sz w:val="21"/>
                      </w:rPr>
                    </w:pPr>
                    <w:r>
                      <w:rPr>
                        <w:rFonts w:ascii="Cambria"/>
                        <w:sz w:val="21"/>
                      </w:rPr>
                      <w:fldChar w:fldCharType="begin"/>
                    </w:r>
                    <w:r>
                      <w:rPr>
                        <w:rFonts w:ascii="Cambria"/>
                        <w:sz w:val="21"/>
                      </w:rPr>
                      <w:instrText> PAGE </w:instrText>
                    </w:r>
                    <w:r>
                      <w:rPr>
                        <w:rFonts w:ascii="Cambria"/>
                        <w:sz w:val="21"/>
                      </w:rPr>
                      <w:fldChar w:fldCharType="separate"/>
                    </w:r>
                    <w:r>
                      <w:rPr>
                        <w:rFonts w:ascii="Cambria"/>
                        <w:sz w:val="21"/>
                      </w:rPr>
                      <w:t>249</w:t>
                    </w:r>
                    <w:r>
                      <w:rPr>
                        <w:rFonts w:ascii="Cambria"/>
                        <w:sz w:val="21"/>
                      </w:rPr>
                      <w:fldChar w:fldCharType="end"/>
                    </w:r>
                    <w:r>
                      <w:rPr>
                        <w:rFonts w:ascii="Cambria"/>
                        <w:sz w:val="21"/>
                      </w:rPr>
                      <w:t> | </w:t>
                    </w:r>
                    <w:r>
                      <w:rPr>
                        <w:rFonts w:ascii="Cambria"/>
                        <w:color w:val="7E7E7E"/>
                        <w:spacing w:val="13"/>
                        <w:sz w:val="21"/>
                      </w:rPr>
                      <w:t>P</w:t>
                    </w:r>
                    <w:r>
                      <w:rPr>
                        <w:rFonts w:ascii="Cambria"/>
                        <w:color w:val="7E7E7E"/>
                        <w:sz w:val="21"/>
                      </w:rPr>
                      <w:t> </w:t>
                    </w:r>
                    <w:r>
                      <w:rPr>
                        <w:rFonts w:ascii="Cambria"/>
                        <w:color w:val="7E7E7E"/>
                        <w:spacing w:val="13"/>
                        <w:sz w:val="21"/>
                      </w:rPr>
                      <w:t>a</w:t>
                    </w:r>
                    <w:r>
                      <w:rPr>
                        <w:rFonts w:ascii="Cambria"/>
                        <w:color w:val="7E7E7E"/>
                        <w:sz w:val="21"/>
                      </w:rPr>
                      <w:t> g</w:t>
                    </w:r>
                    <w:r>
                      <w:rPr>
                        <w:rFonts w:ascii="Cambria"/>
                        <w:color w:val="7E7E7E"/>
                        <w:spacing w:val="14"/>
                        <w:sz w:val="21"/>
                      </w:rPr>
                      <w:t> </w:t>
                    </w:r>
                    <w:r>
                      <w:rPr>
                        <w:rFonts w:ascii="Cambria"/>
                        <w:color w:val="7E7E7E"/>
                        <w:spacing w:val="-12"/>
                        <w:sz w:val="21"/>
                      </w:rPr>
                      <w:t>e</w:t>
                    </w:r>
                  </w:p>
                </w:txbxContent>
              </v:textbox>
              <w10:wrap type="none"/>
            </v:shape>
          </w:pict>
        </mc:Fallback>
      </mc:AlternateContent>
    </w:r>
  </w:p>
</w:ftr>
</file>

<file path=word/footer5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2600960">
              <wp:simplePos x="0" y="0"/>
              <wp:positionH relativeFrom="page">
                <wp:posOffset>806195</wp:posOffset>
              </wp:positionH>
              <wp:positionV relativeFrom="page">
                <wp:posOffset>9129509</wp:posOffset>
              </wp:positionV>
              <wp:extent cx="6159500" cy="6350"/>
              <wp:effectExtent l="0" t="0" r="0" b="0"/>
              <wp:wrapNone/>
              <wp:docPr id="544" name="Graphic 544"/>
              <wp:cNvGraphicFramePr>
                <a:graphicFrameLocks/>
              </wp:cNvGraphicFramePr>
              <a:graphic>
                <a:graphicData uri="http://schemas.microsoft.com/office/word/2010/wordprocessingShape">
                  <wps:wsp>
                    <wps:cNvPr id="544" name="Graphic 544"/>
                    <wps:cNvSpPr/>
                    <wps:spPr>
                      <a:xfrm>
                        <a:off x="0" y="0"/>
                        <a:ext cx="6159500" cy="6350"/>
                      </a:xfrm>
                      <a:custGeom>
                        <a:avLst/>
                        <a:gdLst/>
                        <a:ahLst/>
                        <a:cxnLst/>
                        <a:rect l="l" t="t" r="r" b="b"/>
                        <a:pathLst>
                          <a:path w="6159500" h="6350">
                            <a:moveTo>
                              <a:pt x="6159246" y="0"/>
                            </a:moveTo>
                            <a:lnTo>
                              <a:pt x="0" y="0"/>
                            </a:lnTo>
                            <a:lnTo>
                              <a:pt x="0" y="6108"/>
                            </a:lnTo>
                            <a:lnTo>
                              <a:pt x="6159246" y="6108"/>
                            </a:lnTo>
                            <a:lnTo>
                              <a:pt x="6159246"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rect style="position:absolute;margin-left:63.48pt;margin-top:718.859009pt;width:484.98pt;height:.481pt;mso-position-horizontal-relative:page;mso-position-vertical-relative:page;z-index:-20715520" id="docshape441" filled="true" fillcolor="#d9d9d9" stroked="false">
              <v:fill type="solid"/>
              <w10:wrap type="none"/>
            </v:rect>
          </w:pict>
        </mc:Fallback>
      </mc:AlternateContent>
    </w:r>
    <w:r>
      <w:rPr/>
      <mc:AlternateContent>
        <mc:Choice Requires="wps">
          <w:drawing>
            <wp:anchor distT="0" distB="0" distL="0" distR="0" allowOverlap="1" layoutInCell="1" locked="0" behindDoc="1" simplePos="0" relativeHeight="482601472">
              <wp:simplePos x="0" y="0"/>
              <wp:positionH relativeFrom="page">
                <wp:posOffset>6169914</wp:posOffset>
              </wp:positionH>
              <wp:positionV relativeFrom="page">
                <wp:posOffset>9162351</wp:posOffset>
              </wp:positionV>
              <wp:extent cx="789940" cy="158750"/>
              <wp:effectExtent l="0" t="0" r="0" b="0"/>
              <wp:wrapNone/>
              <wp:docPr id="545" name="Textbox 545"/>
              <wp:cNvGraphicFramePr>
                <a:graphicFrameLocks/>
              </wp:cNvGraphicFramePr>
              <a:graphic>
                <a:graphicData uri="http://schemas.microsoft.com/office/word/2010/wordprocessingShape">
                  <wps:wsp>
                    <wps:cNvPr id="545" name="Textbox 545"/>
                    <wps:cNvSpPr txBox="1"/>
                    <wps:spPr>
                      <a:xfrm>
                        <a:off x="0" y="0"/>
                        <a:ext cx="789940" cy="158750"/>
                      </a:xfrm>
                      <a:prstGeom prst="rect">
                        <a:avLst/>
                      </a:prstGeom>
                    </wps:spPr>
                    <wps:txbx>
                      <w:txbxContent>
                        <w:p>
                          <w:pPr>
                            <w:spacing w:line="234" w:lineRule="exact" w:before="0"/>
                            <w:ind w:left="60" w:right="0" w:firstLine="0"/>
                            <w:jc w:val="left"/>
                            <w:rPr>
                              <w:sz w:val="21"/>
                            </w:rPr>
                          </w:pPr>
                          <w:r>
                            <w:rPr>
                              <w:sz w:val="21"/>
                            </w:rPr>
                            <w:fldChar w:fldCharType="begin"/>
                          </w:r>
                          <w:r>
                            <w:rPr>
                              <w:sz w:val="21"/>
                            </w:rPr>
                            <w:instrText> PAGE </w:instrText>
                          </w:r>
                          <w:r>
                            <w:rPr>
                              <w:sz w:val="21"/>
                            </w:rPr>
                            <w:fldChar w:fldCharType="separate"/>
                          </w:r>
                          <w:r>
                            <w:rPr>
                              <w:sz w:val="21"/>
                            </w:rPr>
                            <w:t>255</w:t>
                          </w:r>
                          <w:r>
                            <w:rPr>
                              <w:sz w:val="21"/>
                            </w:rPr>
                            <w:fldChar w:fldCharType="end"/>
                          </w:r>
                          <w:r>
                            <w:rPr>
                              <w:spacing w:val="-1"/>
                              <w:sz w:val="21"/>
                            </w:rPr>
                            <w:t> </w:t>
                          </w:r>
                          <w:r>
                            <w:rPr>
                              <w:sz w:val="21"/>
                            </w:rPr>
                            <w:t>| </w:t>
                          </w:r>
                          <w:r>
                            <w:rPr>
                              <w:color w:val="7E7E7E"/>
                              <w:spacing w:val="11"/>
                              <w:sz w:val="21"/>
                            </w:rPr>
                            <w:t>P</w:t>
                          </w:r>
                          <w:r>
                            <w:rPr>
                              <w:color w:val="7E7E7E"/>
                              <w:sz w:val="21"/>
                            </w:rPr>
                            <w:t> a</w:t>
                          </w:r>
                          <w:r>
                            <w:rPr>
                              <w:color w:val="7E7E7E"/>
                              <w:spacing w:val="12"/>
                              <w:sz w:val="21"/>
                            </w:rPr>
                            <w:t> g</w:t>
                          </w:r>
                          <w:r>
                            <w:rPr>
                              <w:color w:val="7E7E7E"/>
                              <w:sz w:val="21"/>
                            </w:rPr>
                            <w:t> </w:t>
                          </w:r>
                          <w:r>
                            <w:rPr>
                              <w:color w:val="7E7E7E"/>
                              <w:spacing w:val="-10"/>
                              <w:sz w:val="21"/>
                            </w:rPr>
                            <w:t>e</w:t>
                          </w:r>
                          <w:r>
                            <w:rPr>
                              <w:color w:val="7E7E7E"/>
                              <w:sz w:val="21"/>
                            </w:rPr>
                            <w:t> </w:t>
                          </w:r>
                        </w:p>
                      </w:txbxContent>
                    </wps:txbx>
                    <wps:bodyPr wrap="square" lIns="0" tIns="0" rIns="0" bIns="0" rtlCol="0">
                      <a:noAutofit/>
                    </wps:bodyPr>
                  </wps:wsp>
                </a:graphicData>
              </a:graphic>
            </wp:anchor>
          </w:drawing>
        </mc:Choice>
        <mc:Fallback>
          <w:pict>
            <v:shape style="position:absolute;margin-left:485.820007pt;margin-top:721.445007pt;width:62.2pt;height:12.5pt;mso-position-horizontal-relative:page;mso-position-vertical-relative:page;z-index:-20715008" type="#_x0000_t202" id="docshape442" filled="false" stroked="false">
              <v:textbox inset="0,0,0,0">
                <w:txbxContent>
                  <w:p>
                    <w:pPr>
                      <w:spacing w:line="234" w:lineRule="exact" w:before="0"/>
                      <w:ind w:left="60" w:right="0" w:firstLine="0"/>
                      <w:jc w:val="left"/>
                      <w:rPr>
                        <w:sz w:val="21"/>
                      </w:rPr>
                    </w:pPr>
                    <w:r>
                      <w:rPr>
                        <w:sz w:val="21"/>
                      </w:rPr>
                      <w:fldChar w:fldCharType="begin"/>
                    </w:r>
                    <w:r>
                      <w:rPr>
                        <w:sz w:val="21"/>
                      </w:rPr>
                      <w:instrText> PAGE </w:instrText>
                    </w:r>
                    <w:r>
                      <w:rPr>
                        <w:sz w:val="21"/>
                      </w:rPr>
                      <w:fldChar w:fldCharType="separate"/>
                    </w:r>
                    <w:r>
                      <w:rPr>
                        <w:sz w:val="21"/>
                      </w:rPr>
                      <w:t>255</w:t>
                    </w:r>
                    <w:r>
                      <w:rPr>
                        <w:sz w:val="21"/>
                      </w:rPr>
                      <w:fldChar w:fldCharType="end"/>
                    </w:r>
                    <w:r>
                      <w:rPr>
                        <w:spacing w:val="-1"/>
                        <w:sz w:val="21"/>
                      </w:rPr>
                      <w:t> </w:t>
                    </w:r>
                    <w:r>
                      <w:rPr>
                        <w:sz w:val="21"/>
                      </w:rPr>
                      <w:t>| </w:t>
                    </w:r>
                    <w:r>
                      <w:rPr>
                        <w:color w:val="7E7E7E"/>
                        <w:spacing w:val="11"/>
                        <w:sz w:val="21"/>
                      </w:rPr>
                      <w:t>P</w:t>
                    </w:r>
                    <w:r>
                      <w:rPr>
                        <w:color w:val="7E7E7E"/>
                        <w:sz w:val="21"/>
                      </w:rPr>
                      <w:t> a</w:t>
                    </w:r>
                    <w:r>
                      <w:rPr>
                        <w:color w:val="7E7E7E"/>
                        <w:spacing w:val="12"/>
                        <w:sz w:val="21"/>
                      </w:rPr>
                      <w:t> g</w:t>
                    </w:r>
                    <w:r>
                      <w:rPr>
                        <w:color w:val="7E7E7E"/>
                        <w:sz w:val="21"/>
                      </w:rPr>
                      <w:t> </w:t>
                    </w:r>
                    <w:r>
                      <w:rPr>
                        <w:color w:val="7E7E7E"/>
                        <w:spacing w:val="-10"/>
                        <w:sz w:val="21"/>
                      </w:rPr>
                      <w:t>e</w:t>
                    </w:r>
                    <w:r>
                      <w:rPr>
                        <w:color w:val="7E7E7E"/>
                        <w:sz w:val="21"/>
                      </w:rPr>
                      <w:t> </w:t>
                    </w:r>
                  </w:p>
                </w:txbxContent>
              </v:textbox>
              <w10:wrap type="none"/>
            </v:shape>
          </w:pict>
        </mc:Fallback>
      </mc:AlternateContent>
    </w:r>
  </w:p>
</w:ftr>
</file>

<file path=word/footer5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2602496">
              <wp:simplePos x="0" y="0"/>
              <wp:positionH relativeFrom="page">
                <wp:posOffset>806195</wp:posOffset>
              </wp:positionH>
              <wp:positionV relativeFrom="page">
                <wp:posOffset>9129509</wp:posOffset>
              </wp:positionV>
              <wp:extent cx="6159500" cy="6350"/>
              <wp:effectExtent l="0" t="0" r="0" b="0"/>
              <wp:wrapNone/>
              <wp:docPr id="556" name="Graphic 556"/>
              <wp:cNvGraphicFramePr>
                <a:graphicFrameLocks/>
              </wp:cNvGraphicFramePr>
              <a:graphic>
                <a:graphicData uri="http://schemas.microsoft.com/office/word/2010/wordprocessingShape">
                  <wps:wsp>
                    <wps:cNvPr id="556" name="Graphic 556"/>
                    <wps:cNvSpPr/>
                    <wps:spPr>
                      <a:xfrm>
                        <a:off x="0" y="0"/>
                        <a:ext cx="6159500" cy="6350"/>
                      </a:xfrm>
                      <a:custGeom>
                        <a:avLst/>
                        <a:gdLst/>
                        <a:ahLst/>
                        <a:cxnLst/>
                        <a:rect l="l" t="t" r="r" b="b"/>
                        <a:pathLst>
                          <a:path w="6159500" h="6350">
                            <a:moveTo>
                              <a:pt x="6159246" y="0"/>
                            </a:moveTo>
                            <a:lnTo>
                              <a:pt x="0" y="0"/>
                            </a:lnTo>
                            <a:lnTo>
                              <a:pt x="0" y="6108"/>
                            </a:lnTo>
                            <a:lnTo>
                              <a:pt x="6159246" y="6108"/>
                            </a:lnTo>
                            <a:lnTo>
                              <a:pt x="6159246"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rect style="position:absolute;margin-left:63.48pt;margin-top:718.859009pt;width:484.98pt;height:.481pt;mso-position-horizontal-relative:page;mso-position-vertical-relative:page;z-index:-20713984" id="docshape453" filled="true" fillcolor="#d9d9d9" stroked="false">
              <v:fill type="solid"/>
              <w10:wrap type="none"/>
            </v:rect>
          </w:pict>
        </mc:Fallback>
      </mc:AlternateContent>
    </w:r>
    <w:r>
      <w:rPr/>
      <mc:AlternateContent>
        <mc:Choice Requires="wps">
          <w:drawing>
            <wp:anchor distT="0" distB="0" distL="0" distR="0" allowOverlap="1" layoutInCell="1" locked="0" behindDoc="1" simplePos="0" relativeHeight="482603008">
              <wp:simplePos x="0" y="0"/>
              <wp:positionH relativeFrom="page">
                <wp:posOffset>6169914</wp:posOffset>
              </wp:positionH>
              <wp:positionV relativeFrom="page">
                <wp:posOffset>9162351</wp:posOffset>
              </wp:positionV>
              <wp:extent cx="789940" cy="158750"/>
              <wp:effectExtent l="0" t="0" r="0" b="0"/>
              <wp:wrapNone/>
              <wp:docPr id="557" name="Textbox 557"/>
              <wp:cNvGraphicFramePr>
                <a:graphicFrameLocks/>
              </wp:cNvGraphicFramePr>
              <a:graphic>
                <a:graphicData uri="http://schemas.microsoft.com/office/word/2010/wordprocessingShape">
                  <wps:wsp>
                    <wps:cNvPr id="557" name="Textbox 557"/>
                    <wps:cNvSpPr txBox="1"/>
                    <wps:spPr>
                      <a:xfrm>
                        <a:off x="0" y="0"/>
                        <a:ext cx="789940" cy="158750"/>
                      </a:xfrm>
                      <a:prstGeom prst="rect">
                        <a:avLst/>
                      </a:prstGeom>
                    </wps:spPr>
                    <wps:txbx>
                      <w:txbxContent>
                        <w:p>
                          <w:pPr>
                            <w:spacing w:line="234" w:lineRule="exact" w:before="0"/>
                            <w:ind w:left="60" w:right="0" w:firstLine="0"/>
                            <w:jc w:val="left"/>
                            <w:rPr>
                              <w:sz w:val="21"/>
                            </w:rPr>
                          </w:pPr>
                          <w:r>
                            <w:rPr>
                              <w:sz w:val="21"/>
                            </w:rPr>
                            <w:fldChar w:fldCharType="begin"/>
                          </w:r>
                          <w:r>
                            <w:rPr>
                              <w:sz w:val="21"/>
                            </w:rPr>
                            <w:instrText> PAGE </w:instrText>
                          </w:r>
                          <w:r>
                            <w:rPr>
                              <w:sz w:val="21"/>
                            </w:rPr>
                            <w:fldChar w:fldCharType="separate"/>
                          </w:r>
                          <w:r>
                            <w:rPr>
                              <w:sz w:val="21"/>
                            </w:rPr>
                            <w:t>258</w:t>
                          </w:r>
                          <w:r>
                            <w:rPr>
                              <w:sz w:val="21"/>
                            </w:rPr>
                            <w:fldChar w:fldCharType="end"/>
                          </w:r>
                          <w:r>
                            <w:rPr>
                              <w:spacing w:val="-1"/>
                              <w:sz w:val="21"/>
                            </w:rPr>
                            <w:t> </w:t>
                          </w:r>
                          <w:r>
                            <w:rPr>
                              <w:sz w:val="21"/>
                            </w:rPr>
                            <w:t>| </w:t>
                          </w:r>
                          <w:r>
                            <w:rPr>
                              <w:color w:val="7E7E7E"/>
                              <w:spacing w:val="11"/>
                              <w:sz w:val="21"/>
                            </w:rPr>
                            <w:t>P</w:t>
                          </w:r>
                          <w:r>
                            <w:rPr>
                              <w:color w:val="7E7E7E"/>
                              <w:sz w:val="21"/>
                            </w:rPr>
                            <w:t> a</w:t>
                          </w:r>
                          <w:r>
                            <w:rPr>
                              <w:color w:val="7E7E7E"/>
                              <w:spacing w:val="12"/>
                              <w:sz w:val="21"/>
                            </w:rPr>
                            <w:t> g</w:t>
                          </w:r>
                          <w:r>
                            <w:rPr>
                              <w:color w:val="7E7E7E"/>
                              <w:sz w:val="21"/>
                            </w:rPr>
                            <w:t> </w:t>
                          </w:r>
                          <w:r>
                            <w:rPr>
                              <w:color w:val="7E7E7E"/>
                              <w:spacing w:val="-10"/>
                              <w:sz w:val="21"/>
                            </w:rPr>
                            <w:t>e</w:t>
                          </w:r>
                          <w:r>
                            <w:rPr>
                              <w:color w:val="7E7E7E"/>
                              <w:sz w:val="21"/>
                            </w:rPr>
                            <w:t> </w:t>
                          </w:r>
                        </w:p>
                      </w:txbxContent>
                    </wps:txbx>
                    <wps:bodyPr wrap="square" lIns="0" tIns="0" rIns="0" bIns="0" rtlCol="0">
                      <a:noAutofit/>
                    </wps:bodyPr>
                  </wps:wsp>
                </a:graphicData>
              </a:graphic>
            </wp:anchor>
          </w:drawing>
        </mc:Choice>
        <mc:Fallback>
          <w:pict>
            <v:shape style="position:absolute;margin-left:485.820007pt;margin-top:721.445007pt;width:62.2pt;height:12.5pt;mso-position-horizontal-relative:page;mso-position-vertical-relative:page;z-index:-20713472" type="#_x0000_t202" id="docshape454" filled="false" stroked="false">
              <v:textbox inset="0,0,0,0">
                <w:txbxContent>
                  <w:p>
                    <w:pPr>
                      <w:spacing w:line="234" w:lineRule="exact" w:before="0"/>
                      <w:ind w:left="60" w:right="0" w:firstLine="0"/>
                      <w:jc w:val="left"/>
                      <w:rPr>
                        <w:sz w:val="21"/>
                      </w:rPr>
                    </w:pPr>
                    <w:r>
                      <w:rPr>
                        <w:sz w:val="21"/>
                      </w:rPr>
                      <w:fldChar w:fldCharType="begin"/>
                    </w:r>
                    <w:r>
                      <w:rPr>
                        <w:sz w:val="21"/>
                      </w:rPr>
                      <w:instrText> PAGE </w:instrText>
                    </w:r>
                    <w:r>
                      <w:rPr>
                        <w:sz w:val="21"/>
                      </w:rPr>
                      <w:fldChar w:fldCharType="separate"/>
                    </w:r>
                    <w:r>
                      <w:rPr>
                        <w:sz w:val="21"/>
                      </w:rPr>
                      <w:t>258</w:t>
                    </w:r>
                    <w:r>
                      <w:rPr>
                        <w:sz w:val="21"/>
                      </w:rPr>
                      <w:fldChar w:fldCharType="end"/>
                    </w:r>
                    <w:r>
                      <w:rPr>
                        <w:spacing w:val="-1"/>
                        <w:sz w:val="21"/>
                      </w:rPr>
                      <w:t> </w:t>
                    </w:r>
                    <w:r>
                      <w:rPr>
                        <w:sz w:val="21"/>
                      </w:rPr>
                      <w:t>| </w:t>
                    </w:r>
                    <w:r>
                      <w:rPr>
                        <w:color w:val="7E7E7E"/>
                        <w:spacing w:val="11"/>
                        <w:sz w:val="21"/>
                      </w:rPr>
                      <w:t>P</w:t>
                    </w:r>
                    <w:r>
                      <w:rPr>
                        <w:color w:val="7E7E7E"/>
                        <w:sz w:val="21"/>
                      </w:rPr>
                      <w:t> a</w:t>
                    </w:r>
                    <w:r>
                      <w:rPr>
                        <w:color w:val="7E7E7E"/>
                        <w:spacing w:val="12"/>
                        <w:sz w:val="21"/>
                      </w:rPr>
                      <w:t> g</w:t>
                    </w:r>
                    <w:r>
                      <w:rPr>
                        <w:color w:val="7E7E7E"/>
                        <w:sz w:val="21"/>
                      </w:rPr>
                      <w:t> </w:t>
                    </w:r>
                    <w:r>
                      <w:rPr>
                        <w:color w:val="7E7E7E"/>
                        <w:spacing w:val="-10"/>
                        <w:sz w:val="21"/>
                      </w:rPr>
                      <w:t>e</w:t>
                    </w:r>
                    <w:r>
                      <w:rPr>
                        <w:color w:val="7E7E7E"/>
                        <w:sz w:val="21"/>
                      </w:rPr>
                      <w:t> </w:t>
                    </w:r>
                  </w:p>
                </w:txbxContent>
              </v:textbox>
              <w10:wrap type="none"/>
            </v:shape>
          </w:pict>
        </mc:Fallback>
      </mc:AlternateContent>
    </w:r>
  </w:p>
</w:ftr>
</file>

<file path=word/footer5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2604032">
              <wp:simplePos x="0" y="0"/>
              <wp:positionH relativeFrom="page">
                <wp:posOffset>806195</wp:posOffset>
              </wp:positionH>
              <wp:positionV relativeFrom="page">
                <wp:posOffset>9129509</wp:posOffset>
              </wp:positionV>
              <wp:extent cx="6159500" cy="6350"/>
              <wp:effectExtent l="0" t="0" r="0" b="0"/>
              <wp:wrapNone/>
              <wp:docPr id="566" name="Graphic 566"/>
              <wp:cNvGraphicFramePr>
                <a:graphicFrameLocks/>
              </wp:cNvGraphicFramePr>
              <a:graphic>
                <a:graphicData uri="http://schemas.microsoft.com/office/word/2010/wordprocessingShape">
                  <wps:wsp>
                    <wps:cNvPr id="566" name="Graphic 566"/>
                    <wps:cNvSpPr/>
                    <wps:spPr>
                      <a:xfrm>
                        <a:off x="0" y="0"/>
                        <a:ext cx="6159500" cy="6350"/>
                      </a:xfrm>
                      <a:custGeom>
                        <a:avLst/>
                        <a:gdLst/>
                        <a:ahLst/>
                        <a:cxnLst/>
                        <a:rect l="l" t="t" r="r" b="b"/>
                        <a:pathLst>
                          <a:path w="6159500" h="6350">
                            <a:moveTo>
                              <a:pt x="6159246" y="0"/>
                            </a:moveTo>
                            <a:lnTo>
                              <a:pt x="0" y="0"/>
                            </a:lnTo>
                            <a:lnTo>
                              <a:pt x="0" y="6108"/>
                            </a:lnTo>
                            <a:lnTo>
                              <a:pt x="6159246" y="6108"/>
                            </a:lnTo>
                            <a:lnTo>
                              <a:pt x="6159246"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rect style="position:absolute;margin-left:63.48pt;margin-top:718.859009pt;width:484.98pt;height:.481pt;mso-position-horizontal-relative:page;mso-position-vertical-relative:page;z-index:-20712448" id="docshape463" filled="true" fillcolor="#d9d9d9" stroked="false">
              <v:fill type="solid"/>
              <w10:wrap type="none"/>
            </v:rect>
          </w:pict>
        </mc:Fallback>
      </mc:AlternateContent>
    </w:r>
    <w:r>
      <w:rPr/>
      <mc:AlternateContent>
        <mc:Choice Requires="wps">
          <w:drawing>
            <wp:anchor distT="0" distB="0" distL="0" distR="0" allowOverlap="1" layoutInCell="1" locked="0" behindDoc="1" simplePos="0" relativeHeight="482604544">
              <wp:simplePos x="0" y="0"/>
              <wp:positionH relativeFrom="page">
                <wp:posOffset>6169914</wp:posOffset>
              </wp:positionH>
              <wp:positionV relativeFrom="page">
                <wp:posOffset>9162351</wp:posOffset>
              </wp:positionV>
              <wp:extent cx="789940" cy="158750"/>
              <wp:effectExtent l="0" t="0" r="0" b="0"/>
              <wp:wrapNone/>
              <wp:docPr id="567" name="Textbox 567"/>
              <wp:cNvGraphicFramePr>
                <a:graphicFrameLocks/>
              </wp:cNvGraphicFramePr>
              <a:graphic>
                <a:graphicData uri="http://schemas.microsoft.com/office/word/2010/wordprocessingShape">
                  <wps:wsp>
                    <wps:cNvPr id="567" name="Textbox 567"/>
                    <wps:cNvSpPr txBox="1"/>
                    <wps:spPr>
                      <a:xfrm>
                        <a:off x="0" y="0"/>
                        <a:ext cx="789940" cy="158750"/>
                      </a:xfrm>
                      <a:prstGeom prst="rect">
                        <a:avLst/>
                      </a:prstGeom>
                    </wps:spPr>
                    <wps:txbx>
                      <w:txbxContent>
                        <w:p>
                          <w:pPr>
                            <w:spacing w:line="234" w:lineRule="exact" w:before="0"/>
                            <w:ind w:left="60" w:right="0" w:firstLine="0"/>
                            <w:jc w:val="left"/>
                            <w:rPr>
                              <w:sz w:val="21"/>
                            </w:rPr>
                          </w:pPr>
                          <w:r>
                            <w:rPr>
                              <w:sz w:val="21"/>
                            </w:rPr>
                            <w:fldChar w:fldCharType="begin"/>
                          </w:r>
                          <w:r>
                            <w:rPr>
                              <w:sz w:val="21"/>
                            </w:rPr>
                            <w:instrText> PAGE </w:instrText>
                          </w:r>
                          <w:r>
                            <w:rPr>
                              <w:sz w:val="21"/>
                            </w:rPr>
                            <w:fldChar w:fldCharType="separate"/>
                          </w:r>
                          <w:r>
                            <w:rPr>
                              <w:sz w:val="21"/>
                            </w:rPr>
                            <w:t>267</w:t>
                          </w:r>
                          <w:r>
                            <w:rPr>
                              <w:sz w:val="21"/>
                            </w:rPr>
                            <w:fldChar w:fldCharType="end"/>
                          </w:r>
                          <w:r>
                            <w:rPr>
                              <w:spacing w:val="-1"/>
                              <w:sz w:val="21"/>
                            </w:rPr>
                            <w:t> </w:t>
                          </w:r>
                          <w:r>
                            <w:rPr>
                              <w:sz w:val="21"/>
                            </w:rPr>
                            <w:t>| </w:t>
                          </w:r>
                          <w:r>
                            <w:rPr>
                              <w:color w:val="7E7E7E"/>
                              <w:spacing w:val="11"/>
                              <w:sz w:val="21"/>
                            </w:rPr>
                            <w:t>P</w:t>
                          </w:r>
                          <w:r>
                            <w:rPr>
                              <w:color w:val="7E7E7E"/>
                              <w:sz w:val="21"/>
                            </w:rPr>
                            <w:t> a</w:t>
                          </w:r>
                          <w:r>
                            <w:rPr>
                              <w:color w:val="7E7E7E"/>
                              <w:spacing w:val="12"/>
                              <w:sz w:val="21"/>
                            </w:rPr>
                            <w:t> g</w:t>
                          </w:r>
                          <w:r>
                            <w:rPr>
                              <w:color w:val="7E7E7E"/>
                              <w:sz w:val="21"/>
                            </w:rPr>
                            <w:t> </w:t>
                          </w:r>
                          <w:r>
                            <w:rPr>
                              <w:color w:val="7E7E7E"/>
                              <w:spacing w:val="-10"/>
                              <w:sz w:val="21"/>
                            </w:rPr>
                            <w:t>e</w:t>
                          </w:r>
                          <w:r>
                            <w:rPr>
                              <w:color w:val="7E7E7E"/>
                              <w:sz w:val="21"/>
                            </w:rPr>
                            <w:t> </w:t>
                          </w:r>
                        </w:p>
                      </w:txbxContent>
                    </wps:txbx>
                    <wps:bodyPr wrap="square" lIns="0" tIns="0" rIns="0" bIns="0" rtlCol="0">
                      <a:noAutofit/>
                    </wps:bodyPr>
                  </wps:wsp>
                </a:graphicData>
              </a:graphic>
            </wp:anchor>
          </w:drawing>
        </mc:Choice>
        <mc:Fallback>
          <w:pict>
            <v:shape style="position:absolute;margin-left:485.820007pt;margin-top:721.445007pt;width:62.2pt;height:12.5pt;mso-position-horizontal-relative:page;mso-position-vertical-relative:page;z-index:-20711936" type="#_x0000_t202" id="docshape464" filled="false" stroked="false">
              <v:textbox inset="0,0,0,0">
                <w:txbxContent>
                  <w:p>
                    <w:pPr>
                      <w:spacing w:line="234" w:lineRule="exact" w:before="0"/>
                      <w:ind w:left="60" w:right="0" w:firstLine="0"/>
                      <w:jc w:val="left"/>
                      <w:rPr>
                        <w:sz w:val="21"/>
                      </w:rPr>
                    </w:pPr>
                    <w:r>
                      <w:rPr>
                        <w:sz w:val="21"/>
                      </w:rPr>
                      <w:fldChar w:fldCharType="begin"/>
                    </w:r>
                    <w:r>
                      <w:rPr>
                        <w:sz w:val="21"/>
                      </w:rPr>
                      <w:instrText> PAGE </w:instrText>
                    </w:r>
                    <w:r>
                      <w:rPr>
                        <w:sz w:val="21"/>
                      </w:rPr>
                      <w:fldChar w:fldCharType="separate"/>
                    </w:r>
                    <w:r>
                      <w:rPr>
                        <w:sz w:val="21"/>
                      </w:rPr>
                      <w:t>267</w:t>
                    </w:r>
                    <w:r>
                      <w:rPr>
                        <w:sz w:val="21"/>
                      </w:rPr>
                      <w:fldChar w:fldCharType="end"/>
                    </w:r>
                    <w:r>
                      <w:rPr>
                        <w:spacing w:val="-1"/>
                        <w:sz w:val="21"/>
                      </w:rPr>
                      <w:t> </w:t>
                    </w:r>
                    <w:r>
                      <w:rPr>
                        <w:sz w:val="21"/>
                      </w:rPr>
                      <w:t>| </w:t>
                    </w:r>
                    <w:r>
                      <w:rPr>
                        <w:color w:val="7E7E7E"/>
                        <w:spacing w:val="11"/>
                        <w:sz w:val="21"/>
                      </w:rPr>
                      <w:t>P</w:t>
                    </w:r>
                    <w:r>
                      <w:rPr>
                        <w:color w:val="7E7E7E"/>
                        <w:sz w:val="21"/>
                      </w:rPr>
                      <w:t> a</w:t>
                    </w:r>
                    <w:r>
                      <w:rPr>
                        <w:color w:val="7E7E7E"/>
                        <w:spacing w:val="12"/>
                        <w:sz w:val="21"/>
                      </w:rPr>
                      <w:t> g</w:t>
                    </w:r>
                    <w:r>
                      <w:rPr>
                        <w:color w:val="7E7E7E"/>
                        <w:sz w:val="21"/>
                      </w:rPr>
                      <w:t> </w:t>
                    </w:r>
                    <w:r>
                      <w:rPr>
                        <w:color w:val="7E7E7E"/>
                        <w:spacing w:val="-10"/>
                        <w:sz w:val="21"/>
                      </w:rPr>
                      <w:t>e</w:t>
                    </w:r>
                    <w:r>
                      <w:rPr>
                        <w:color w:val="7E7E7E"/>
                        <w:sz w:val="21"/>
                      </w:rPr>
                      <w:t> </w:t>
                    </w:r>
                  </w:p>
                </w:txbxContent>
              </v:textbox>
              <w10:wrap type="none"/>
            </v:shape>
          </w:pict>
        </mc:Fallback>
      </mc:AlternateContent>
    </w:r>
  </w:p>
</w:ftr>
</file>

<file path=word/footer5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2605568">
              <wp:simplePos x="0" y="0"/>
              <wp:positionH relativeFrom="page">
                <wp:posOffset>806195</wp:posOffset>
              </wp:positionH>
              <wp:positionV relativeFrom="page">
                <wp:posOffset>9129509</wp:posOffset>
              </wp:positionV>
              <wp:extent cx="6159500" cy="6350"/>
              <wp:effectExtent l="0" t="0" r="0" b="0"/>
              <wp:wrapNone/>
              <wp:docPr id="572" name="Graphic 572"/>
              <wp:cNvGraphicFramePr>
                <a:graphicFrameLocks/>
              </wp:cNvGraphicFramePr>
              <a:graphic>
                <a:graphicData uri="http://schemas.microsoft.com/office/word/2010/wordprocessingShape">
                  <wps:wsp>
                    <wps:cNvPr id="572" name="Graphic 572"/>
                    <wps:cNvSpPr/>
                    <wps:spPr>
                      <a:xfrm>
                        <a:off x="0" y="0"/>
                        <a:ext cx="6159500" cy="6350"/>
                      </a:xfrm>
                      <a:custGeom>
                        <a:avLst/>
                        <a:gdLst/>
                        <a:ahLst/>
                        <a:cxnLst/>
                        <a:rect l="l" t="t" r="r" b="b"/>
                        <a:pathLst>
                          <a:path w="6159500" h="6350">
                            <a:moveTo>
                              <a:pt x="6159246" y="0"/>
                            </a:moveTo>
                            <a:lnTo>
                              <a:pt x="0" y="0"/>
                            </a:lnTo>
                            <a:lnTo>
                              <a:pt x="0" y="6108"/>
                            </a:lnTo>
                            <a:lnTo>
                              <a:pt x="6159246" y="6108"/>
                            </a:lnTo>
                            <a:lnTo>
                              <a:pt x="6159246"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rect style="position:absolute;margin-left:63.48pt;margin-top:718.859009pt;width:484.98pt;height:.481pt;mso-position-horizontal-relative:page;mso-position-vertical-relative:page;z-index:-20710912" id="docshape469" filled="true" fillcolor="#d9d9d9" stroked="false">
              <v:fill type="solid"/>
              <w10:wrap type="none"/>
            </v:rect>
          </w:pict>
        </mc:Fallback>
      </mc:AlternateContent>
    </w:r>
    <w:r>
      <w:rPr/>
      <mc:AlternateContent>
        <mc:Choice Requires="wps">
          <w:drawing>
            <wp:anchor distT="0" distB="0" distL="0" distR="0" allowOverlap="1" layoutInCell="1" locked="0" behindDoc="1" simplePos="0" relativeHeight="482606080">
              <wp:simplePos x="0" y="0"/>
              <wp:positionH relativeFrom="page">
                <wp:posOffset>6169914</wp:posOffset>
              </wp:positionH>
              <wp:positionV relativeFrom="page">
                <wp:posOffset>9162351</wp:posOffset>
              </wp:positionV>
              <wp:extent cx="789940" cy="158750"/>
              <wp:effectExtent l="0" t="0" r="0" b="0"/>
              <wp:wrapNone/>
              <wp:docPr id="573" name="Textbox 573"/>
              <wp:cNvGraphicFramePr>
                <a:graphicFrameLocks/>
              </wp:cNvGraphicFramePr>
              <a:graphic>
                <a:graphicData uri="http://schemas.microsoft.com/office/word/2010/wordprocessingShape">
                  <wps:wsp>
                    <wps:cNvPr id="573" name="Textbox 573"/>
                    <wps:cNvSpPr txBox="1"/>
                    <wps:spPr>
                      <a:xfrm>
                        <a:off x="0" y="0"/>
                        <a:ext cx="789940" cy="158750"/>
                      </a:xfrm>
                      <a:prstGeom prst="rect">
                        <a:avLst/>
                      </a:prstGeom>
                    </wps:spPr>
                    <wps:txbx>
                      <w:txbxContent>
                        <w:p>
                          <w:pPr>
                            <w:spacing w:line="234" w:lineRule="exact" w:before="0"/>
                            <w:ind w:left="60" w:right="0" w:firstLine="0"/>
                            <w:jc w:val="left"/>
                            <w:rPr>
                              <w:sz w:val="21"/>
                            </w:rPr>
                          </w:pPr>
                          <w:r>
                            <w:rPr>
                              <w:sz w:val="21"/>
                            </w:rPr>
                            <w:fldChar w:fldCharType="begin"/>
                          </w:r>
                          <w:r>
                            <w:rPr>
                              <w:sz w:val="21"/>
                            </w:rPr>
                            <w:instrText> PAGE </w:instrText>
                          </w:r>
                          <w:r>
                            <w:rPr>
                              <w:sz w:val="21"/>
                            </w:rPr>
                            <w:fldChar w:fldCharType="separate"/>
                          </w:r>
                          <w:r>
                            <w:rPr>
                              <w:sz w:val="21"/>
                            </w:rPr>
                            <w:t>269</w:t>
                          </w:r>
                          <w:r>
                            <w:rPr>
                              <w:sz w:val="21"/>
                            </w:rPr>
                            <w:fldChar w:fldCharType="end"/>
                          </w:r>
                          <w:r>
                            <w:rPr>
                              <w:spacing w:val="-1"/>
                              <w:sz w:val="21"/>
                            </w:rPr>
                            <w:t> </w:t>
                          </w:r>
                          <w:r>
                            <w:rPr>
                              <w:sz w:val="21"/>
                            </w:rPr>
                            <w:t>| </w:t>
                          </w:r>
                          <w:r>
                            <w:rPr>
                              <w:color w:val="7E7E7E"/>
                              <w:spacing w:val="11"/>
                              <w:sz w:val="21"/>
                            </w:rPr>
                            <w:t>P</w:t>
                          </w:r>
                          <w:r>
                            <w:rPr>
                              <w:color w:val="7E7E7E"/>
                              <w:sz w:val="21"/>
                            </w:rPr>
                            <w:t> a</w:t>
                          </w:r>
                          <w:r>
                            <w:rPr>
                              <w:color w:val="7E7E7E"/>
                              <w:spacing w:val="12"/>
                              <w:sz w:val="21"/>
                            </w:rPr>
                            <w:t> g</w:t>
                          </w:r>
                          <w:r>
                            <w:rPr>
                              <w:color w:val="7E7E7E"/>
                              <w:sz w:val="21"/>
                            </w:rPr>
                            <w:t> </w:t>
                          </w:r>
                          <w:r>
                            <w:rPr>
                              <w:color w:val="7E7E7E"/>
                              <w:spacing w:val="-10"/>
                              <w:sz w:val="21"/>
                            </w:rPr>
                            <w:t>e</w:t>
                          </w:r>
                          <w:r>
                            <w:rPr>
                              <w:color w:val="7E7E7E"/>
                              <w:sz w:val="21"/>
                            </w:rPr>
                            <w:t> </w:t>
                          </w:r>
                        </w:p>
                      </w:txbxContent>
                    </wps:txbx>
                    <wps:bodyPr wrap="square" lIns="0" tIns="0" rIns="0" bIns="0" rtlCol="0">
                      <a:noAutofit/>
                    </wps:bodyPr>
                  </wps:wsp>
                </a:graphicData>
              </a:graphic>
            </wp:anchor>
          </w:drawing>
        </mc:Choice>
        <mc:Fallback>
          <w:pict>
            <v:shape style="position:absolute;margin-left:485.820007pt;margin-top:721.445007pt;width:62.2pt;height:12.5pt;mso-position-horizontal-relative:page;mso-position-vertical-relative:page;z-index:-20710400" type="#_x0000_t202" id="docshape470" filled="false" stroked="false">
              <v:textbox inset="0,0,0,0">
                <w:txbxContent>
                  <w:p>
                    <w:pPr>
                      <w:spacing w:line="234" w:lineRule="exact" w:before="0"/>
                      <w:ind w:left="60" w:right="0" w:firstLine="0"/>
                      <w:jc w:val="left"/>
                      <w:rPr>
                        <w:sz w:val="21"/>
                      </w:rPr>
                    </w:pPr>
                    <w:r>
                      <w:rPr>
                        <w:sz w:val="21"/>
                      </w:rPr>
                      <w:fldChar w:fldCharType="begin"/>
                    </w:r>
                    <w:r>
                      <w:rPr>
                        <w:sz w:val="21"/>
                      </w:rPr>
                      <w:instrText> PAGE </w:instrText>
                    </w:r>
                    <w:r>
                      <w:rPr>
                        <w:sz w:val="21"/>
                      </w:rPr>
                      <w:fldChar w:fldCharType="separate"/>
                    </w:r>
                    <w:r>
                      <w:rPr>
                        <w:sz w:val="21"/>
                      </w:rPr>
                      <w:t>269</w:t>
                    </w:r>
                    <w:r>
                      <w:rPr>
                        <w:sz w:val="21"/>
                      </w:rPr>
                      <w:fldChar w:fldCharType="end"/>
                    </w:r>
                    <w:r>
                      <w:rPr>
                        <w:spacing w:val="-1"/>
                        <w:sz w:val="21"/>
                      </w:rPr>
                      <w:t> </w:t>
                    </w:r>
                    <w:r>
                      <w:rPr>
                        <w:sz w:val="21"/>
                      </w:rPr>
                      <w:t>| </w:t>
                    </w:r>
                    <w:r>
                      <w:rPr>
                        <w:color w:val="7E7E7E"/>
                        <w:spacing w:val="11"/>
                        <w:sz w:val="21"/>
                      </w:rPr>
                      <w:t>P</w:t>
                    </w:r>
                    <w:r>
                      <w:rPr>
                        <w:color w:val="7E7E7E"/>
                        <w:sz w:val="21"/>
                      </w:rPr>
                      <w:t> a</w:t>
                    </w:r>
                    <w:r>
                      <w:rPr>
                        <w:color w:val="7E7E7E"/>
                        <w:spacing w:val="12"/>
                        <w:sz w:val="21"/>
                      </w:rPr>
                      <w:t> g</w:t>
                    </w:r>
                    <w:r>
                      <w:rPr>
                        <w:color w:val="7E7E7E"/>
                        <w:sz w:val="21"/>
                      </w:rPr>
                      <w:t> </w:t>
                    </w:r>
                    <w:r>
                      <w:rPr>
                        <w:color w:val="7E7E7E"/>
                        <w:spacing w:val="-10"/>
                        <w:sz w:val="21"/>
                      </w:rPr>
                      <w:t>e</w:t>
                    </w:r>
                    <w:r>
                      <w:rPr>
                        <w:color w:val="7E7E7E"/>
                        <w:sz w:val="21"/>
                      </w:rPr>
                      <w:t> </w:t>
                    </w:r>
                  </w:p>
                </w:txbxContent>
              </v:textbox>
              <w10:wrap type="none"/>
            </v:shape>
          </w:pict>
        </mc:Fallback>
      </mc:AlternateContent>
    </w:r>
  </w:p>
</w:ftr>
</file>

<file path=word/footer5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2607104">
              <wp:simplePos x="0" y="0"/>
              <wp:positionH relativeFrom="page">
                <wp:posOffset>794004</wp:posOffset>
              </wp:positionH>
              <wp:positionV relativeFrom="page">
                <wp:posOffset>9129509</wp:posOffset>
              </wp:positionV>
              <wp:extent cx="6172200" cy="6350"/>
              <wp:effectExtent l="0" t="0" r="0" b="0"/>
              <wp:wrapNone/>
              <wp:docPr id="582" name="Graphic 582"/>
              <wp:cNvGraphicFramePr>
                <a:graphicFrameLocks/>
              </wp:cNvGraphicFramePr>
              <a:graphic>
                <a:graphicData uri="http://schemas.microsoft.com/office/word/2010/wordprocessingShape">
                  <wps:wsp>
                    <wps:cNvPr id="582" name="Graphic 582"/>
                    <wps:cNvSpPr/>
                    <wps:spPr>
                      <a:xfrm>
                        <a:off x="0" y="0"/>
                        <a:ext cx="6172200" cy="6350"/>
                      </a:xfrm>
                      <a:custGeom>
                        <a:avLst/>
                        <a:gdLst/>
                        <a:ahLst/>
                        <a:cxnLst/>
                        <a:rect l="l" t="t" r="r" b="b"/>
                        <a:pathLst>
                          <a:path w="6172200" h="6350">
                            <a:moveTo>
                              <a:pt x="6172200" y="0"/>
                            </a:moveTo>
                            <a:lnTo>
                              <a:pt x="0" y="0"/>
                            </a:lnTo>
                            <a:lnTo>
                              <a:pt x="0" y="6108"/>
                            </a:lnTo>
                            <a:lnTo>
                              <a:pt x="6172200" y="6108"/>
                            </a:lnTo>
                            <a:lnTo>
                              <a:pt x="6172200"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rect style="position:absolute;margin-left:62.52pt;margin-top:718.859009pt;width:486pt;height:.481pt;mso-position-horizontal-relative:page;mso-position-vertical-relative:page;z-index:-20709376" id="docshape479" filled="true" fillcolor="#d9d9d9" stroked="false">
              <v:fill type="solid"/>
              <w10:wrap type="none"/>
            </v:rect>
          </w:pict>
        </mc:Fallback>
      </mc:AlternateContent>
    </w:r>
    <w:r>
      <w:rPr/>
      <mc:AlternateContent>
        <mc:Choice Requires="wps">
          <w:drawing>
            <wp:anchor distT="0" distB="0" distL="0" distR="0" allowOverlap="1" layoutInCell="1" locked="0" behindDoc="1" simplePos="0" relativeHeight="482607616">
              <wp:simplePos x="0" y="0"/>
              <wp:positionH relativeFrom="page">
                <wp:posOffset>6170676</wp:posOffset>
              </wp:positionH>
              <wp:positionV relativeFrom="page">
                <wp:posOffset>9162351</wp:posOffset>
              </wp:positionV>
              <wp:extent cx="789940" cy="158750"/>
              <wp:effectExtent l="0" t="0" r="0" b="0"/>
              <wp:wrapNone/>
              <wp:docPr id="583" name="Textbox 583"/>
              <wp:cNvGraphicFramePr>
                <a:graphicFrameLocks/>
              </wp:cNvGraphicFramePr>
              <a:graphic>
                <a:graphicData uri="http://schemas.microsoft.com/office/word/2010/wordprocessingShape">
                  <wps:wsp>
                    <wps:cNvPr id="583" name="Textbox 583"/>
                    <wps:cNvSpPr txBox="1"/>
                    <wps:spPr>
                      <a:xfrm>
                        <a:off x="0" y="0"/>
                        <a:ext cx="789940" cy="158750"/>
                      </a:xfrm>
                      <a:prstGeom prst="rect">
                        <a:avLst/>
                      </a:prstGeom>
                    </wps:spPr>
                    <wps:txbx>
                      <w:txbxContent>
                        <w:p>
                          <w:pPr>
                            <w:spacing w:line="234" w:lineRule="exact" w:before="0"/>
                            <w:ind w:left="60" w:right="0" w:firstLine="0"/>
                            <w:jc w:val="left"/>
                            <w:rPr>
                              <w:sz w:val="21"/>
                            </w:rPr>
                          </w:pPr>
                          <w:r>
                            <w:rPr>
                              <w:sz w:val="21"/>
                            </w:rPr>
                            <w:fldChar w:fldCharType="begin"/>
                          </w:r>
                          <w:r>
                            <w:rPr>
                              <w:sz w:val="21"/>
                            </w:rPr>
                            <w:instrText> PAGE </w:instrText>
                          </w:r>
                          <w:r>
                            <w:rPr>
                              <w:sz w:val="21"/>
                            </w:rPr>
                            <w:fldChar w:fldCharType="separate"/>
                          </w:r>
                          <w:r>
                            <w:rPr>
                              <w:sz w:val="21"/>
                            </w:rPr>
                            <w:t>272</w:t>
                          </w:r>
                          <w:r>
                            <w:rPr>
                              <w:sz w:val="21"/>
                            </w:rPr>
                            <w:fldChar w:fldCharType="end"/>
                          </w:r>
                          <w:r>
                            <w:rPr>
                              <w:spacing w:val="-1"/>
                              <w:sz w:val="21"/>
                            </w:rPr>
                            <w:t> </w:t>
                          </w:r>
                          <w:r>
                            <w:rPr>
                              <w:sz w:val="21"/>
                            </w:rPr>
                            <w:t>| </w:t>
                          </w:r>
                          <w:r>
                            <w:rPr>
                              <w:color w:val="7E7E7E"/>
                              <w:spacing w:val="11"/>
                              <w:sz w:val="21"/>
                            </w:rPr>
                            <w:t>P</w:t>
                          </w:r>
                          <w:r>
                            <w:rPr>
                              <w:color w:val="7E7E7E"/>
                              <w:sz w:val="21"/>
                            </w:rPr>
                            <w:t> a</w:t>
                          </w:r>
                          <w:r>
                            <w:rPr>
                              <w:color w:val="7E7E7E"/>
                              <w:spacing w:val="12"/>
                              <w:sz w:val="21"/>
                            </w:rPr>
                            <w:t> g</w:t>
                          </w:r>
                          <w:r>
                            <w:rPr>
                              <w:color w:val="7E7E7E"/>
                              <w:sz w:val="21"/>
                            </w:rPr>
                            <w:t> </w:t>
                          </w:r>
                          <w:r>
                            <w:rPr>
                              <w:color w:val="7E7E7E"/>
                              <w:spacing w:val="-10"/>
                              <w:sz w:val="21"/>
                            </w:rPr>
                            <w:t>e</w:t>
                          </w:r>
                          <w:r>
                            <w:rPr>
                              <w:color w:val="7E7E7E"/>
                              <w:sz w:val="21"/>
                            </w:rPr>
                            <w:t> </w:t>
                          </w:r>
                        </w:p>
                      </w:txbxContent>
                    </wps:txbx>
                    <wps:bodyPr wrap="square" lIns="0" tIns="0" rIns="0" bIns="0" rtlCol="0">
                      <a:noAutofit/>
                    </wps:bodyPr>
                  </wps:wsp>
                </a:graphicData>
              </a:graphic>
            </wp:anchor>
          </w:drawing>
        </mc:Choice>
        <mc:Fallback>
          <w:pict>
            <v:shape style="position:absolute;margin-left:485.880005pt;margin-top:721.445007pt;width:62.2pt;height:12.5pt;mso-position-horizontal-relative:page;mso-position-vertical-relative:page;z-index:-20708864" type="#_x0000_t202" id="docshape480" filled="false" stroked="false">
              <v:textbox inset="0,0,0,0">
                <w:txbxContent>
                  <w:p>
                    <w:pPr>
                      <w:spacing w:line="234" w:lineRule="exact" w:before="0"/>
                      <w:ind w:left="60" w:right="0" w:firstLine="0"/>
                      <w:jc w:val="left"/>
                      <w:rPr>
                        <w:sz w:val="21"/>
                      </w:rPr>
                    </w:pPr>
                    <w:r>
                      <w:rPr>
                        <w:sz w:val="21"/>
                      </w:rPr>
                      <w:fldChar w:fldCharType="begin"/>
                    </w:r>
                    <w:r>
                      <w:rPr>
                        <w:sz w:val="21"/>
                      </w:rPr>
                      <w:instrText> PAGE </w:instrText>
                    </w:r>
                    <w:r>
                      <w:rPr>
                        <w:sz w:val="21"/>
                      </w:rPr>
                      <w:fldChar w:fldCharType="separate"/>
                    </w:r>
                    <w:r>
                      <w:rPr>
                        <w:sz w:val="21"/>
                      </w:rPr>
                      <w:t>272</w:t>
                    </w:r>
                    <w:r>
                      <w:rPr>
                        <w:sz w:val="21"/>
                      </w:rPr>
                      <w:fldChar w:fldCharType="end"/>
                    </w:r>
                    <w:r>
                      <w:rPr>
                        <w:spacing w:val="-1"/>
                        <w:sz w:val="21"/>
                      </w:rPr>
                      <w:t> </w:t>
                    </w:r>
                    <w:r>
                      <w:rPr>
                        <w:sz w:val="21"/>
                      </w:rPr>
                      <w:t>| </w:t>
                    </w:r>
                    <w:r>
                      <w:rPr>
                        <w:color w:val="7E7E7E"/>
                        <w:spacing w:val="11"/>
                        <w:sz w:val="21"/>
                      </w:rPr>
                      <w:t>P</w:t>
                    </w:r>
                    <w:r>
                      <w:rPr>
                        <w:color w:val="7E7E7E"/>
                        <w:sz w:val="21"/>
                      </w:rPr>
                      <w:t> a</w:t>
                    </w:r>
                    <w:r>
                      <w:rPr>
                        <w:color w:val="7E7E7E"/>
                        <w:spacing w:val="12"/>
                        <w:sz w:val="21"/>
                      </w:rPr>
                      <w:t> g</w:t>
                    </w:r>
                    <w:r>
                      <w:rPr>
                        <w:color w:val="7E7E7E"/>
                        <w:sz w:val="21"/>
                      </w:rPr>
                      <w:t> </w:t>
                    </w:r>
                    <w:r>
                      <w:rPr>
                        <w:color w:val="7E7E7E"/>
                        <w:spacing w:val="-10"/>
                        <w:sz w:val="21"/>
                      </w:rPr>
                      <w:t>e</w:t>
                    </w:r>
                    <w:r>
                      <w:rPr>
                        <w:color w:val="7E7E7E"/>
                        <w:sz w:val="21"/>
                      </w:rPr>
                      <w:t> </w:t>
                    </w:r>
                  </w:p>
                </w:txbxContent>
              </v:textbox>
              <w10:wrap type="none"/>
            </v:shape>
          </w:pict>
        </mc:Fallback>
      </mc:AlternateContent>
    </w:r>
  </w:p>
</w:ftr>
</file>

<file path=word/footer5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2608640">
              <wp:simplePos x="0" y="0"/>
              <wp:positionH relativeFrom="page">
                <wp:posOffset>806195</wp:posOffset>
              </wp:positionH>
              <wp:positionV relativeFrom="page">
                <wp:posOffset>9129509</wp:posOffset>
              </wp:positionV>
              <wp:extent cx="6159500" cy="6350"/>
              <wp:effectExtent l="0" t="0" r="0" b="0"/>
              <wp:wrapNone/>
              <wp:docPr id="594" name="Graphic 594"/>
              <wp:cNvGraphicFramePr>
                <a:graphicFrameLocks/>
              </wp:cNvGraphicFramePr>
              <a:graphic>
                <a:graphicData uri="http://schemas.microsoft.com/office/word/2010/wordprocessingShape">
                  <wps:wsp>
                    <wps:cNvPr id="594" name="Graphic 594"/>
                    <wps:cNvSpPr/>
                    <wps:spPr>
                      <a:xfrm>
                        <a:off x="0" y="0"/>
                        <a:ext cx="6159500" cy="6350"/>
                      </a:xfrm>
                      <a:custGeom>
                        <a:avLst/>
                        <a:gdLst/>
                        <a:ahLst/>
                        <a:cxnLst/>
                        <a:rect l="l" t="t" r="r" b="b"/>
                        <a:pathLst>
                          <a:path w="6159500" h="6350">
                            <a:moveTo>
                              <a:pt x="6159246" y="0"/>
                            </a:moveTo>
                            <a:lnTo>
                              <a:pt x="0" y="0"/>
                            </a:lnTo>
                            <a:lnTo>
                              <a:pt x="0" y="6108"/>
                            </a:lnTo>
                            <a:lnTo>
                              <a:pt x="6159246" y="6108"/>
                            </a:lnTo>
                            <a:lnTo>
                              <a:pt x="6159246"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rect style="position:absolute;margin-left:63.48pt;margin-top:718.859009pt;width:484.98pt;height:.481pt;mso-position-horizontal-relative:page;mso-position-vertical-relative:page;z-index:-20707840" id="docshape491" filled="true" fillcolor="#d9d9d9" stroked="false">
              <v:fill type="solid"/>
              <w10:wrap type="none"/>
            </v:rect>
          </w:pict>
        </mc:Fallback>
      </mc:AlternateContent>
    </w:r>
    <w:r>
      <w:rPr/>
      <mc:AlternateContent>
        <mc:Choice Requires="wps">
          <w:drawing>
            <wp:anchor distT="0" distB="0" distL="0" distR="0" allowOverlap="1" layoutInCell="1" locked="0" behindDoc="1" simplePos="0" relativeHeight="482609152">
              <wp:simplePos x="0" y="0"/>
              <wp:positionH relativeFrom="page">
                <wp:posOffset>6169914</wp:posOffset>
              </wp:positionH>
              <wp:positionV relativeFrom="page">
                <wp:posOffset>9162351</wp:posOffset>
              </wp:positionV>
              <wp:extent cx="789940" cy="158750"/>
              <wp:effectExtent l="0" t="0" r="0" b="0"/>
              <wp:wrapNone/>
              <wp:docPr id="595" name="Textbox 595"/>
              <wp:cNvGraphicFramePr>
                <a:graphicFrameLocks/>
              </wp:cNvGraphicFramePr>
              <a:graphic>
                <a:graphicData uri="http://schemas.microsoft.com/office/word/2010/wordprocessingShape">
                  <wps:wsp>
                    <wps:cNvPr id="595" name="Textbox 595"/>
                    <wps:cNvSpPr txBox="1"/>
                    <wps:spPr>
                      <a:xfrm>
                        <a:off x="0" y="0"/>
                        <a:ext cx="789940" cy="158750"/>
                      </a:xfrm>
                      <a:prstGeom prst="rect">
                        <a:avLst/>
                      </a:prstGeom>
                    </wps:spPr>
                    <wps:txbx>
                      <w:txbxContent>
                        <w:p>
                          <w:pPr>
                            <w:spacing w:line="234" w:lineRule="exact" w:before="0"/>
                            <w:ind w:left="60" w:right="0" w:firstLine="0"/>
                            <w:jc w:val="left"/>
                            <w:rPr>
                              <w:sz w:val="21"/>
                            </w:rPr>
                          </w:pPr>
                          <w:r>
                            <w:rPr>
                              <w:sz w:val="21"/>
                            </w:rPr>
                            <w:fldChar w:fldCharType="begin"/>
                          </w:r>
                          <w:r>
                            <w:rPr>
                              <w:sz w:val="21"/>
                            </w:rPr>
                            <w:instrText> PAGE </w:instrText>
                          </w:r>
                          <w:r>
                            <w:rPr>
                              <w:sz w:val="21"/>
                            </w:rPr>
                            <w:fldChar w:fldCharType="separate"/>
                          </w:r>
                          <w:r>
                            <w:rPr>
                              <w:sz w:val="21"/>
                            </w:rPr>
                            <w:t>275</w:t>
                          </w:r>
                          <w:r>
                            <w:rPr>
                              <w:sz w:val="21"/>
                            </w:rPr>
                            <w:fldChar w:fldCharType="end"/>
                          </w:r>
                          <w:r>
                            <w:rPr>
                              <w:spacing w:val="-1"/>
                              <w:sz w:val="21"/>
                            </w:rPr>
                            <w:t> </w:t>
                          </w:r>
                          <w:r>
                            <w:rPr>
                              <w:sz w:val="21"/>
                            </w:rPr>
                            <w:t>| </w:t>
                          </w:r>
                          <w:r>
                            <w:rPr>
                              <w:color w:val="7E7E7E"/>
                              <w:spacing w:val="11"/>
                              <w:sz w:val="21"/>
                            </w:rPr>
                            <w:t>P</w:t>
                          </w:r>
                          <w:r>
                            <w:rPr>
                              <w:color w:val="7E7E7E"/>
                              <w:sz w:val="21"/>
                            </w:rPr>
                            <w:t> a</w:t>
                          </w:r>
                          <w:r>
                            <w:rPr>
                              <w:color w:val="7E7E7E"/>
                              <w:spacing w:val="12"/>
                              <w:sz w:val="21"/>
                            </w:rPr>
                            <w:t> g</w:t>
                          </w:r>
                          <w:r>
                            <w:rPr>
                              <w:color w:val="7E7E7E"/>
                              <w:sz w:val="21"/>
                            </w:rPr>
                            <w:t> </w:t>
                          </w:r>
                          <w:r>
                            <w:rPr>
                              <w:color w:val="7E7E7E"/>
                              <w:spacing w:val="-10"/>
                              <w:sz w:val="21"/>
                            </w:rPr>
                            <w:t>e</w:t>
                          </w:r>
                          <w:r>
                            <w:rPr>
                              <w:color w:val="7E7E7E"/>
                              <w:sz w:val="21"/>
                            </w:rPr>
                            <w:t> </w:t>
                          </w:r>
                        </w:p>
                      </w:txbxContent>
                    </wps:txbx>
                    <wps:bodyPr wrap="square" lIns="0" tIns="0" rIns="0" bIns="0" rtlCol="0">
                      <a:noAutofit/>
                    </wps:bodyPr>
                  </wps:wsp>
                </a:graphicData>
              </a:graphic>
            </wp:anchor>
          </w:drawing>
        </mc:Choice>
        <mc:Fallback>
          <w:pict>
            <v:shape style="position:absolute;margin-left:485.820007pt;margin-top:721.445007pt;width:62.2pt;height:12.5pt;mso-position-horizontal-relative:page;mso-position-vertical-relative:page;z-index:-20707328" type="#_x0000_t202" id="docshape492" filled="false" stroked="false">
              <v:textbox inset="0,0,0,0">
                <w:txbxContent>
                  <w:p>
                    <w:pPr>
                      <w:spacing w:line="234" w:lineRule="exact" w:before="0"/>
                      <w:ind w:left="60" w:right="0" w:firstLine="0"/>
                      <w:jc w:val="left"/>
                      <w:rPr>
                        <w:sz w:val="21"/>
                      </w:rPr>
                    </w:pPr>
                    <w:r>
                      <w:rPr>
                        <w:sz w:val="21"/>
                      </w:rPr>
                      <w:fldChar w:fldCharType="begin"/>
                    </w:r>
                    <w:r>
                      <w:rPr>
                        <w:sz w:val="21"/>
                      </w:rPr>
                      <w:instrText> PAGE </w:instrText>
                    </w:r>
                    <w:r>
                      <w:rPr>
                        <w:sz w:val="21"/>
                      </w:rPr>
                      <w:fldChar w:fldCharType="separate"/>
                    </w:r>
                    <w:r>
                      <w:rPr>
                        <w:sz w:val="21"/>
                      </w:rPr>
                      <w:t>275</w:t>
                    </w:r>
                    <w:r>
                      <w:rPr>
                        <w:sz w:val="21"/>
                      </w:rPr>
                      <w:fldChar w:fldCharType="end"/>
                    </w:r>
                    <w:r>
                      <w:rPr>
                        <w:spacing w:val="-1"/>
                        <w:sz w:val="21"/>
                      </w:rPr>
                      <w:t> </w:t>
                    </w:r>
                    <w:r>
                      <w:rPr>
                        <w:sz w:val="21"/>
                      </w:rPr>
                      <w:t>| </w:t>
                    </w:r>
                    <w:r>
                      <w:rPr>
                        <w:color w:val="7E7E7E"/>
                        <w:spacing w:val="11"/>
                        <w:sz w:val="21"/>
                      </w:rPr>
                      <w:t>P</w:t>
                    </w:r>
                    <w:r>
                      <w:rPr>
                        <w:color w:val="7E7E7E"/>
                        <w:sz w:val="21"/>
                      </w:rPr>
                      <w:t> a</w:t>
                    </w:r>
                    <w:r>
                      <w:rPr>
                        <w:color w:val="7E7E7E"/>
                        <w:spacing w:val="12"/>
                        <w:sz w:val="21"/>
                      </w:rPr>
                      <w:t> g</w:t>
                    </w:r>
                    <w:r>
                      <w:rPr>
                        <w:color w:val="7E7E7E"/>
                        <w:sz w:val="21"/>
                      </w:rPr>
                      <w:t> </w:t>
                    </w:r>
                    <w:r>
                      <w:rPr>
                        <w:color w:val="7E7E7E"/>
                        <w:spacing w:val="-10"/>
                        <w:sz w:val="21"/>
                      </w:rPr>
                      <w:t>e</w:t>
                    </w:r>
                    <w:r>
                      <w:rPr>
                        <w:color w:val="7E7E7E"/>
                        <w:sz w:val="21"/>
                      </w:rPr>
                      <w:t> </w:t>
                    </w:r>
                  </w:p>
                </w:txbxContent>
              </v:textbox>
              <w10:wrap type="none"/>
            </v:shape>
          </w:pict>
        </mc:Fallback>
      </mc:AlternateContent>
    </w:r>
  </w:p>
</w:ftr>
</file>

<file path=word/footer5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2610176">
              <wp:simplePos x="0" y="0"/>
              <wp:positionH relativeFrom="page">
                <wp:posOffset>806195</wp:posOffset>
              </wp:positionH>
              <wp:positionV relativeFrom="page">
                <wp:posOffset>9129509</wp:posOffset>
              </wp:positionV>
              <wp:extent cx="6159500" cy="6350"/>
              <wp:effectExtent l="0" t="0" r="0" b="0"/>
              <wp:wrapNone/>
              <wp:docPr id="599" name="Graphic 599"/>
              <wp:cNvGraphicFramePr>
                <a:graphicFrameLocks/>
              </wp:cNvGraphicFramePr>
              <a:graphic>
                <a:graphicData uri="http://schemas.microsoft.com/office/word/2010/wordprocessingShape">
                  <wps:wsp>
                    <wps:cNvPr id="599" name="Graphic 599"/>
                    <wps:cNvSpPr/>
                    <wps:spPr>
                      <a:xfrm>
                        <a:off x="0" y="0"/>
                        <a:ext cx="6159500" cy="6350"/>
                      </a:xfrm>
                      <a:custGeom>
                        <a:avLst/>
                        <a:gdLst/>
                        <a:ahLst/>
                        <a:cxnLst/>
                        <a:rect l="l" t="t" r="r" b="b"/>
                        <a:pathLst>
                          <a:path w="6159500" h="6350">
                            <a:moveTo>
                              <a:pt x="6159246" y="0"/>
                            </a:moveTo>
                            <a:lnTo>
                              <a:pt x="0" y="0"/>
                            </a:lnTo>
                            <a:lnTo>
                              <a:pt x="0" y="6108"/>
                            </a:lnTo>
                            <a:lnTo>
                              <a:pt x="6159246" y="6108"/>
                            </a:lnTo>
                            <a:lnTo>
                              <a:pt x="6159246"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rect style="position:absolute;margin-left:63.48pt;margin-top:718.859009pt;width:484.98pt;height:.481pt;mso-position-horizontal-relative:page;mso-position-vertical-relative:page;z-index:-20706304" id="docshape496" filled="true" fillcolor="#d9d9d9" stroked="false">
              <v:fill type="solid"/>
              <w10:wrap type="none"/>
            </v:rect>
          </w:pict>
        </mc:Fallback>
      </mc:AlternateContent>
    </w:r>
    <w:r>
      <w:rPr/>
      <mc:AlternateContent>
        <mc:Choice Requires="wps">
          <w:drawing>
            <wp:anchor distT="0" distB="0" distL="0" distR="0" allowOverlap="1" layoutInCell="1" locked="0" behindDoc="1" simplePos="0" relativeHeight="482610688">
              <wp:simplePos x="0" y="0"/>
              <wp:positionH relativeFrom="page">
                <wp:posOffset>6169914</wp:posOffset>
              </wp:positionH>
              <wp:positionV relativeFrom="page">
                <wp:posOffset>9162351</wp:posOffset>
              </wp:positionV>
              <wp:extent cx="789940" cy="158750"/>
              <wp:effectExtent l="0" t="0" r="0" b="0"/>
              <wp:wrapNone/>
              <wp:docPr id="600" name="Textbox 600"/>
              <wp:cNvGraphicFramePr>
                <a:graphicFrameLocks/>
              </wp:cNvGraphicFramePr>
              <a:graphic>
                <a:graphicData uri="http://schemas.microsoft.com/office/word/2010/wordprocessingShape">
                  <wps:wsp>
                    <wps:cNvPr id="600" name="Textbox 600"/>
                    <wps:cNvSpPr txBox="1"/>
                    <wps:spPr>
                      <a:xfrm>
                        <a:off x="0" y="0"/>
                        <a:ext cx="789940" cy="158750"/>
                      </a:xfrm>
                      <a:prstGeom prst="rect">
                        <a:avLst/>
                      </a:prstGeom>
                    </wps:spPr>
                    <wps:txbx>
                      <w:txbxContent>
                        <w:p>
                          <w:pPr>
                            <w:spacing w:line="234" w:lineRule="exact" w:before="0"/>
                            <w:ind w:left="60" w:right="0" w:firstLine="0"/>
                            <w:jc w:val="left"/>
                            <w:rPr>
                              <w:sz w:val="21"/>
                            </w:rPr>
                          </w:pPr>
                          <w:r>
                            <w:rPr>
                              <w:sz w:val="21"/>
                            </w:rPr>
                            <w:fldChar w:fldCharType="begin"/>
                          </w:r>
                          <w:r>
                            <w:rPr>
                              <w:sz w:val="21"/>
                            </w:rPr>
                            <w:instrText> PAGE </w:instrText>
                          </w:r>
                          <w:r>
                            <w:rPr>
                              <w:sz w:val="21"/>
                            </w:rPr>
                            <w:fldChar w:fldCharType="separate"/>
                          </w:r>
                          <w:r>
                            <w:rPr>
                              <w:sz w:val="21"/>
                            </w:rPr>
                            <w:t>280</w:t>
                          </w:r>
                          <w:r>
                            <w:rPr>
                              <w:sz w:val="21"/>
                            </w:rPr>
                            <w:fldChar w:fldCharType="end"/>
                          </w:r>
                          <w:r>
                            <w:rPr>
                              <w:spacing w:val="-1"/>
                              <w:sz w:val="21"/>
                            </w:rPr>
                            <w:t> </w:t>
                          </w:r>
                          <w:r>
                            <w:rPr>
                              <w:sz w:val="21"/>
                            </w:rPr>
                            <w:t>| </w:t>
                          </w:r>
                          <w:r>
                            <w:rPr>
                              <w:color w:val="7E7E7E"/>
                              <w:spacing w:val="11"/>
                              <w:sz w:val="21"/>
                            </w:rPr>
                            <w:t>P</w:t>
                          </w:r>
                          <w:r>
                            <w:rPr>
                              <w:color w:val="7E7E7E"/>
                              <w:sz w:val="21"/>
                            </w:rPr>
                            <w:t> a</w:t>
                          </w:r>
                          <w:r>
                            <w:rPr>
                              <w:color w:val="7E7E7E"/>
                              <w:spacing w:val="12"/>
                              <w:sz w:val="21"/>
                            </w:rPr>
                            <w:t> g</w:t>
                          </w:r>
                          <w:r>
                            <w:rPr>
                              <w:color w:val="7E7E7E"/>
                              <w:sz w:val="21"/>
                            </w:rPr>
                            <w:t> </w:t>
                          </w:r>
                          <w:r>
                            <w:rPr>
                              <w:color w:val="7E7E7E"/>
                              <w:spacing w:val="-10"/>
                              <w:sz w:val="21"/>
                            </w:rPr>
                            <w:t>e</w:t>
                          </w:r>
                          <w:r>
                            <w:rPr>
                              <w:color w:val="7E7E7E"/>
                              <w:sz w:val="21"/>
                            </w:rPr>
                            <w:t> </w:t>
                          </w:r>
                        </w:p>
                      </w:txbxContent>
                    </wps:txbx>
                    <wps:bodyPr wrap="square" lIns="0" tIns="0" rIns="0" bIns="0" rtlCol="0">
                      <a:noAutofit/>
                    </wps:bodyPr>
                  </wps:wsp>
                </a:graphicData>
              </a:graphic>
            </wp:anchor>
          </w:drawing>
        </mc:Choice>
        <mc:Fallback>
          <w:pict>
            <v:shape style="position:absolute;margin-left:485.820007pt;margin-top:721.445007pt;width:62.2pt;height:12.5pt;mso-position-horizontal-relative:page;mso-position-vertical-relative:page;z-index:-20705792" type="#_x0000_t202" id="docshape497" filled="false" stroked="false">
              <v:textbox inset="0,0,0,0">
                <w:txbxContent>
                  <w:p>
                    <w:pPr>
                      <w:spacing w:line="234" w:lineRule="exact" w:before="0"/>
                      <w:ind w:left="60" w:right="0" w:firstLine="0"/>
                      <w:jc w:val="left"/>
                      <w:rPr>
                        <w:sz w:val="21"/>
                      </w:rPr>
                    </w:pPr>
                    <w:r>
                      <w:rPr>
                        <w:sz w:val="21"/>
                      </w:rPr>
                      <w:fldChar w:fldCharType="begin"/>
                    </w:r>
                    <w:r>
                      <w:rPr>
                        <w:sz w:val="21"/>
                      </w:rPr>
                      <w:instrText> PAGE </w:instrText>
                    </w:r>
                    <w:r>
                      <w:rPr>
                        <w:sz w:val="21"/>
                      </w:rPr>
                      <w:fldChar w:fldCharType="separate"/>
                    </w:r>
                    <w:r>
                      <w:rPr>
                        <w:sz w:val="21"/>
                      </w:rPr>
                      <w:t>280</w:t>
                    </w:r>
                    <w:r>
                      <w:rPr>
                        <w:sz w:val="21"/>
                      </w:rPr>
                      <w:fldChar w:fldCharType="end"/>
                    </w:r>
                    <w:r>
                      <w:rPr>
                        <w:spacing w:val="-1"/>
                        <w:sz w:val="21"/>
                      </w:rPr>
                      <w:t> </w:t>
                    </w:r>
                    <w:r>
                      <w:rPr>
                        <w:sz w:val="21"/>
                      </w:rPr>
                      <w:t>| </w:t>
                    </w:r>
                    <w:r>
                      <w:rPr>
                        <w:color w:val="7E7E7E"/>
                        <w:spacing w:val="11"/>
                        <w:sz w:val="21"/>
                      </w:rPr>
                      <w:t>P</w:t>
                    </w:r>
                    <w:r>
                      <w:rPr>
                        <w:color w:val="7E7E7E"/>
                        <w:sz w:val="21"/>
                      </w:rPr>
                      <w:t> a</w:t>
                    </w:r>
                    <w:r>
                      <w:rPr>
                        <w:color w:val="7E7E7E"/>
                        <w:spacing w:val="12"/>
                        <w:sz w:val="21"/>
                      </w:rPr>
                      <w:t> g</w:t>
                    </w:r>
                    <w:r>
                      <w:rPr>
                        <w:color w:val="7E7E7E"/>
                        <w:sz w:val="21"/>
                      </w:rPr>
                      <w:t> </w:t>
                    </w:r>
                    <w:r>
                      <w:rPr>
                        <w:color w:val="7E7E7E"/>
                        <w:spacing w:val="-10"/>
                        <w:sz w:val="21"/>
                      </w:rPr>
                      <w:t>e</w:t>
                    </w:r>
                    <w:r>
                      <w:rPr>
                        <w:color w:val="7E7E7E"/>
                        <w:sz w:val="21"/>
                      </w:rPr>
                      <w:t> </w:t>
                    </w:r>
                  </w:p>
                </w:txbxContent>
              </v:textbox>
              <w10:wrap type="none"/>
            </v:shape>
          </w:pict>
        </mc:Fallback>
      </mc:AlternateContent>
    </w:r>
  </w:p>
</w:ftr>
</file>

<file path=word/footer5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2611712">
              <wp:simplePos x="0" y="0"/>
              <wp:positionH relativeFrom="page">
                <wp:posOffset>806195</wp:posOffset>
              </wp:positionH>
              <wp:positionV relativeFrom="page">
                <wp:posOffset>9129509</wp:posOffset>
              </wp:positionV>
              <wp:extent cx="6159500" cy="6350"/>
              <wp:effectExtent l="0" t="0" r="0" b="0"/>
              <wp:wrapNone/>
              <wp:docPr id="609" name="Graphic 609"/>
              <wp:cNvGraphicFramePr>
                <a:graphicFrameLocks/>
              </wp:cNvGraphicFramePr>
              <a:graphic>
                <a:graphicData uri="http://schemas.microsoft.com/office/word/2010/wordprocessingShape">
                  <wps:wsp>
                    <wps:cNvPr id="609" name="Graphic 609"/>
                    <wps:cNvSpPr/>
                    <wps:spPr>
                      <a:xfrm>
                        <a:off x="0" y="0"/>
                        <a:ext cx="6159500" cy="6350"/>
                      </a:xfrm>
                      <a:custGeom>
                        <a:avLst/>
                        <a:gdLst/>
                        <a:ahLst/>
                        <a:cxnLst/>
                        <a:rect l="l" t="t" r="r" b="b"/>
                        <a:pathLst>
                          <a:path w="6159500" h="6350">
                            <a:moveTo>
                              <a:pt x="6159246" y="0"/>
                            </a:moveTo>
                            <a:lnTo>
                              <a:pt x="0" y="0"/>
                            </a:lnTo>
                            <a:lnTo>
                              <a:pt x="0" y="6108"/>
                            </a:lnTo>
                            <a:lnTo>
                              <a:pt x="6159246" y="6108"/>
                            </a:lnTo>
                            <a:lnTo>
                              <a:pt x="6159246"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rect style="position:absolute;margin-left:63.48pt;margin-top:718.859009pt;width:484.98pt;height:.481pt;mso-position-horizontal-relative:page;mso-position-vertical-relative:page;z-index:-20704768" id="docshape506" filled="true" fillcolor="#d9d9d9" stroked="false">
              <v:fill type="solid"/>
              <w10:wrap type="none"/>
            </v:rect>
          </w:pict>
        </mc:Fallback>
      </mc:AlternateContent>
    </w:r>
    <w:r>
      <w:rPr/>
      <mc:AlternateContent>
        <mc:Choice Requires="wps">
          <w:drawing>
            <wp:anchor distT="0" distB="0" distL="0" distR="0" allowOverlap="1" layoutInCell="1" locked="0" behindDoc="1" simplePos="0" relativeHeight="482612224">
              <wp:simplePos x="0" y="0"/>
              <wp:positionH relativeFrom="page">
                <wp:posOffset>6169914</wp:posOffset>
              </wp:positionH>
              <wp:positionV relativeFrom="page">
                <wp:posOffset>9162351</wp:posOffset>
              </wp:positionV>
              <wp:extent cx="789940" cy="158750"/>
              <wp:effectExtent l="0" t="0" r="0" b="0"/>
              <wp:wrapNone/>
              <wp:docPr id="610" name="Textbox 610"/>
              <wp:cNvGraphicFramePr>
                <a:graphicFrameLocks/>
              </wp:cNvGraphicFramePr>
              <a:graphic>
                <a:graphicData uri="http://schemas.microsoft.com/office/word/2010/wordprocessingShape">
                  <wps:wsp>
                    <wps:cNvPr id="610" name="Textbox 610"/>
                    <wps:cNvSpPr txBox="1"/>
                    <wps:spPr>
                      <a:xfrm>
                        <a:off x="0" y="0"/>
                        <a:ext cx="789940" cy="158750"/>
                      </a:xfrm>
                      <a:prstGeom prst="rect">
                        <a:avLst/>
                      </a:prstGeom>
                    </wps:spPr>
                    <wps:txbx>
                      <w:txbxContent>
                        <w:p>
                          <w:pPr>
                            <w:spacing w:line="234" w:lineRule="exact" w:before="0"/>
                            <w:ind w:left="60" w:right="0" w:firstLine="0"/>
                            <w:jc w:val="left"/>
                            <w:rPr>
                              <w:sz w:val="21"/>
                            </w:rPr>
                          </w:pPr>
                          <w:r>
                            <w:rPr>
                              <w:sz w:val="21"/>
                            </w:rPr>
                            <w:fldChar w:fldCharType="begin"/>
                          </w:r>
                          <w:r>
                            <w:rPr>
                              <w:sz w:val="21"/>
                            </w:rPr>
                            <w:instrText> PAGE </w:instrText>
                          </w:r>
                          <w:r>
                            <w:rPr>
                              <w:sz w:val="21"/>
                            </w:rPr>
                            <w:fldChar w:fldCharType="separate"/>
                          </w:r>
                          <w:r>
                            <w:rPr>
                              <w:sz w:val="21"/>
                            </w:rPr>
                            <w:t>284</w:t>
                          </w:r>
                          <w:r>
                            <w:rPr>
                              <w:sz w:val="21"/>
                            </w:rPr>
                            <w:fldChar w:fldCharType="end"/>
                          </w:r>
                          <w:r>
                            <w:rPr>
                              <w:spacing w:val="-1"/>
                              <w:sz w:val="21"/>
                            </w:rPr>
                            <w:t> </w:t>
                          </w:r>
                          <w:r>
                            <w:rPr>
                              <w:sz w:val="21"/>
                            </w:rPr>
                            <w:t>| </w:t>
                          </w:r>
                          <w:r>
                            <w:rPr>
                              <w:color w:val="7E7E7E"/>
                              <w:spacing w:val="11"/>
                              <w:sz w:val="21"/>
                            </w:rPr>
                            <w:t>P</w:t>
                          </w:r>
                          <w:r>
                            <w:rPr>
                              <w:color w:val="7E7E7E"/>
                              <w:sz w:val="21"/>
                            </w:rPr>
                            <w:t> a</w:t>
                          </w:r>
                          <w:r>
                            <w:rPr>
                              <w:color w:val="7E7E7E"/>
                              <w:spacing w:val="12"/>
                              <w:sz w:val="21"/>
                            </w:rPr>
                            <w:t> g</w:t>
                          </w:r>
                          <w:r>
                            <w:rPr>
                              <w:color w:val="7E7E7E"/>
                              <w:sz w:val="21"/>
                            </w:rPr>
                            <w:t> </w:t>
                          </w:r>
                          <w:r>
                            <w:rPr>
                              <w:color w:val="7E7E7E"/>
                              <w:spacing w:val="-10"/>
                              <w:sz w:val="21"/>
                            </w:rPr>
                            <w:t>e</w:t>
                          </w:r>
                          <w:r>
                            <w:rPr>
                              <w:color w:val="7E7E7E"/>
                              <w:sz w:val="21"/>
                            </w:rPr>
                            <w:t> </w:t>
                          </w:r>
                        </w:p>
                      </w:txbxContent>
                    </wps:txbx>
                    <wps:bodyPr wrap="square" lIns="0" tIns="0" rIns="0" bIns="0" rtlCol="0">
                      <a:noAutofit/>
                    </wps:bodyPr>
                  </wps:wsp>
                </a:graphicData>
              </a:graphic>
            </wp:anchor>
          </w:drawing>
        </mc:Choice>
        <mc:Fallback>
          <w:pict>
            <v:shape style="position:absolute;margin-left:485.820007pt;margin-top:721.445007pt;width:62.2pt;height:12.5pt;mso-position-horizontal-relative:page;mso-position-vertical-relative:page;z-index:-20704256" type="#_x0000_t202" id="docshape507" filled="false" stroked="false">
              <v:textbox inset="0,0,0,0">
                <w:txbxContent>
                  <w:p>
                    <w:pPr>
                      <w:spacing w:line="234" w:lineRule="exact" w:before="0"/>
                      <w:ind w:left="60" w:right="0" w:firstLine="0"/>
                      <w:jc w:val="left"/>
                      <w:rPr>
                        <w:sz w:val="21"/>
                      </w:rPr>
                    </w:pPr>
                    <w:r>
                      <w:rPr>
                        <w:sz w:val="21"/>
                      </w:rPr>
                      <w:fldChar w:fldCharType="begin"/>
                    </w:r>
                    <w:r>
                      <w:rPr>
                        <w:sz w:val="21"/>
                      </w:rPr>
                      <w:instrText> PAGE </w:instrText>
                    </w:r>
                    <w:r>
                      <w:rPr>
                        <w:sz w:val="21"/>
                      </w:rPr>
                      <w:fldChar w:fldCharType="separate"/>
                    </w:r>
                    <w:r>
                      <w:rPr>
                        <w:sz w:val="21"/>
                      </w:rPr>
                      <w:t>284</w:t>
                    </w:r>
                    <w:r>
                      <w:rPr>
                        <w:sz w:val="21"/>
                      </w:rPr>
                      <w:fldChar w:fldCharType="end"/>
                    </w:r>
                    <w:r>
                      <w:rPr>
                        <w:spacing w:val="-1"/>
                        <w:sz w:val="21"/>
                      </w:rPr>
                      <w:t> </w:t>
                    </w:r>
                    <w:r>
                      <w:rPr>
                        <w:sz w:val="21"/>
                      </w:rPr>
                      <w:t>| </w:t>
                    </w:r>
                    <w:r>
                      <w:rPr>
                        <w:color w:val="7E7E7E"/>
                        <w:spacing w:val="11"/>
                        <w:sz w:val="21"/>
                      </w:rPr>
                      <w:t>P</w:t>
                    </w:r>
                    <w:r>
                      <w:rPr>
                        <w:color w:val="7E7E7E"/>
                        <w:sz w:val="21"/>
                      </w:rPr>
                      <w:t> a</w:t>
                    </w:r>
                    <w:r>
                      <w:rPr>
                        <w:color w:val="7E7E7E"/>
                        <w:spacing w:val="12"/>
                        <w:sz w:val="21"/>
                      </w:rPr>
                      <w:t> g</w:t>
                    </w:r>
                    <w:r>
                      <w:rPr>
                        <w:color w:val="7E7E7E"/>
                        <w:sz w:val="21"/>
                      </w:rPr>
                      <w:t> </w:t>
                    </w:r>
                    <w:r>
                      <w:rPr>
                        <w:color w:val="7E7E7E"/>
                        <w:spacing w:val="-10"/>
                        <w:sz w:val="21"/>
                      </w:rPr>
                      <w:t>e</w:t>
                    </w:r>
                    <w:r>
                      <w:rPr>
                        <w:color w:val="7E7E7E"/>
                        <w:sz w:val="21"/>
                      </w:rPr>
                      <w:t> </w:t>
                    </w:r>
                  </w:p>
                </w:txbxContent>
              </v:textbox>
              <w10:wrap type="none"/>
            </v:shape>
          </w:pict>
        </mc:Fallback>
      </mc:AlternateContent>
    </w:r>
  </w:p>
</w:ftr>
</file>

<file path=word/footer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2554880">
              <wp:simplePos x="0" y="0"/>
              <wp:positionH relativeFrom="page">
                <wp:posOffset>895350</wp:posOffset>
              </wp:positionH>
              <wp:positionV relativeFrom="page">
                <wp:posOffset>9257525</wp:posOffset>
              </wp:positionV>
              <wp:extent cx="5982335" cy="6350"/>
              <wp:effectExtent l="0" t="0" r="0" b="0"/>
              <wp:wrapNone/>
              <wp:docPr id="43" name="Graphic 43"/>
              <wp:cNvGraphicFramePr>
                <a:graphicFrameLocks/>
              </wp:cNvGraphicFramePr>
              <a:graphic>
                <a:graphicData uri="http://schemas.microsoft.com/office/word/2010/wordprocessingShape">
                  <wps:wsp>
                    <wps:cNvPr id="43" name="Graphic 43"/>
                    <wps:cNvSpPr/>
                    <wps:spPr>
                      <a:xfrm>
                        <a:off x="0" y="0"/>
                        <a:ext cx="5982335" cy="6350"/>
                      </a:xfrm>
                      <a:custGeom>
                        <a:avLst/>
                        <a:gdLst/>
                        <a:ahLst/>
                        <a:cxnLst/>
                        <a:rect l="l" t="t" r="r" b="b"/>
                        <a:pathLst>
                          <a:path w="5982335" h="6350">
                            <a:moveTo>
                              <a:pt x="5981712" y="0"/>
                            </a:moveTo>
                            <a:lnTo>
                              <a:pt x="0" y="0"/>
                            </a:lnTo>
                            <a:lnTo>
                              <a:pt x="0" y="6108"/>
                            </a:lnTo>
                            <a:lnTo>
                              <a:pt x="5981712" y="6108"/>
                            </a:lnTo>
                            <a:lnTo>
                              <a:pt x="5981712"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rect style="position:absolute;margin-left:70.5pt;margin-top:728.939026pt;width:471.001pt;height:.481pt;mso-position-horizontal-relative:page;mso-position-vertical-relative:page;z-index:-20761600" id="docshape27" filled="true" fillcolor="#d9d9d9" stroked="false">
              <v:fill type="solid"/>
              <w10:wrap type="none"/>
            </v:rect>
          </w:pict>
        </mc:Fallback>
      </mc:AlternateContent>
    </w:r>
    <w:r>
      <w:rPr/>
      <mc:AlternateContent>
        <mc:Choice Requires="wps">
          <w:drawing>
            <wp:anchor distT="0" distB="0" distL="0" distR="0" allowOverlap="1" layoutInCell="1" locked="0" behindDoc="1" simplePos="0" relativeHeight="482555392">
              <wp:simplePos x="0" y="0"/>
              <wp:positionH relativeFrom="page">
                <wp:posOffset>6223253</wp:posOffset>
              </wp:positionH>
              <wp:positionV relativeFrom="page">
                <wp:posOffset>9262882</wp:posOffset>
              </wp:positionV>
              <wp:extent cx="610235" cy="188595"/>
              <wp:effectExtent l="0" t="0" r="0" b="0"/>
              <wp:wrapNone/>
              <wp:docPr id="44" name="Textbox 44"/>
              <wp:cNvGraphicFramePr>
                <a:graphicFrameLocks/>
              </wp:cNvGraphicFramePr>
              <a:graphic>
                <a:graphicData uri="http://schemas.microsoft.com/office/word/2010/wordprocessingShape">
                  <wps:wsp>
                    <wps:cNvPr id="44" name="Textbox 44"/>
                    <wps:cNvSpPr txBox="1"/>
                    <wps:spPr>
                      <a:xfrm>
                        <a:off x="0" y="0"/>
                        <a:ext cx="610235" cy="188595"/>
                      </a:xfrm>
                      <a:prstGeom prst="rect">
                        <a:avLst/>
                      </a:prstGeom>
                    </wps:spPr>
                    <wps:txbx>
                      <w:txbxContent>
                        <w:p>
                          <w:pPr>
                            <w:spacing w:before="17"/>
                            <w:ind w:left="60" w:right="0" w:firstLine="0"/>
                            <w:jc w:val="left"/>
                            <w:rPr>
                              <w:sz w:val="21"/>
                            </w:rPr>
                          </w:pPr>
                          <w:r>
                            <w:rPr>
                              <w:sz w:val="21"/>
                            </w:rPr>
                            <w:fldChar w:fldCharType="begin"/>
                          </w:r>
                          <w:r>
                            <w:rPr>
                              <w:sz w:val="21"/>
                            </w:rPr>
                            <w:instrText> PAGE </w:instrText>
                          </w:r>
                          <w:r>
                            <w:rPr>
                              <w:sz w:val="21"/>
                            </w:rPr>
                            <w:fldChar w:fldCharType="separate"/>
                          </w:r>
                          <w:r>
                            <w:rPr>
                              <w:sz w:val="21"/>
                            </w:rPr>
                            <w:t>4</w:t>
                          </w:r>
                          <w:r>
                            <w:rPr>
                              <w:sz w:val="21"/>
                            </w:rPr>
                            <w:fldChar w:fldCharType="end"/>
                          </w:r>
                          <w:r>
                            <w:rPr>
                              <w:spacing w:val="-5"/>
                              <w:sz w:val="21"/>
                            </w:rPr>
                            <w:t> </w:t>
                          </w:r>
                          <w:r>
                            <w:rPr>
                              <w:w w:val="90"/>
                              <w:sz w:val="21"/>
                            </w:rPr>
                            <w:t>| </w:t>
                          </w:r>
                          <w:r>
                            <w:rPr>
                              <w:color w:val="7E7E7E"/>
                              <w:spacing w:val="12"/>
                              <w:sz w:val="21"/>
                            </w:rPr>
                            <w:t>P</w:t>
                          </w:r>
                          <w:r>
                            <w:rPr>
                              <w:color w:val="7E7E7E"/>
                              <w:sz w:val="21"/>
                            </w:rPr>
                            <w:t> </w:t>
                          </w:r>
                          <w:r>
                            <w:rPr>
                              <w:color w:val="7E7E7E"/>
                              <w:spacing w:val="12"/>
                              <w:sz w:val="21"/>
                            </w:rPr>
                            <w:t>a</w:t>
                          </w:r>
                          <w:r>
                            <w:rPr>
                              <w:color w:val="7E7E7E"/>
                              <w:sz w:val="21"/>
                            </w:rPr>
                            <w:t> g</w:t>
                          </w:r>
                          <w:r>
                            <w:rPr>
                              <w:color w:val="7E7E7E"/>
                              <w:spacing w:val="11"/>
                              <w:sz w:val="21"/>
                            </w:rPr>
                            <w:t> </w:t>
                          </w:r>
                          <w:r>
                            <w:rPr>
                              <w:color w:val="7E7E7E"/>
                              <w:spacing w:val="-10"/>
                              <w:sz w:val="21"/>
                            </w:rPr>
                            <w:t>e</w:t>
                          </w:r>
                        </w:p>
                      </w:txbxContent>
                    </wps:txbx>
                    <wps:bodyPr wrap="square" lIns="0" tIns="0" rIns="0" bIns="0" rtlCol="0">
                      <a:noAutofit/>
                    </wps:bodyPr>
                  </wps:wsp>
                </a:graphicData>
              </a:graphic>
            </wp:anchor>
          </w:drawing>
        </mc:Choice>
        <mc:Fallback>
          <w:pict>
            <v:shape style="position:absolute;margin-left:490.019989pt;margin-top:729.36084pt;width:48.05pt;height:14.85pt;mso-position-horizontal-relative:page;mso-position-vertical-relative:page;z-index:-20761088" type="#_x0000_t202" id="docshape28" filled="false" stroked="false">
              <v:textbox inset="0,0,0,0">
                <w:txbxContent>
                  <w:p>
                    <w:pPr>
                      <w:spacing w:before="17"/>
                      <w:ind w:left="60" w:right="0" w:firstLine="0"/>
                      <w:jc w:val="left"/>
                      <w:rPr>
                        <w:sz w:val="21"/>
                      </w:rPr>
                    </w:pPr>
                    <w:r>
                      <w:rPr>
                        <w:sz w:val="21"/>
                      </w:rPr>
                      <w:fldChar w:fldCharType="begin"/>
                    </w:r>
                    <w:r>
                      <w:rPr>
                        <w:sz w:val="21"/>
                      </w:rPr>
                      <w:instrText> PAGE </w:instrText>
                    </w:r>
                    <w:r>
                      <w:rPr>
                        <w:sz w:val="21"/>
                      </w:rPr>
                      <w:fldChar w:fldCharType="separate"/>
                    </w:r>
                    <w:r>
                      <w:rPr>
                        <w:sz w:val="21"/>
                      </w:rPr>
                      <w:t>4</w:t>
                    </w:r>
                    <w:r>
                      <w:rPr>
                        <w:sz w:val="21"/>
                      </w:rPr>
                      <w:fldChar w:fldCharType="end"/>
                    </w:r>
                    <w:r>
                      <w:rPr>
                        <w:spacing w:val="-5"/>
                        <w:sz w:val="21"/>
                      </w:rPr>
                      <w:t> </w:t>
                    </w:r>
                    <w:r>
                      <w:rPr>
                        <w:w w:val="90"/>
                        <w:sz w:val="21"/>
                      </w:rPr>
                      <w:t>| </w:t>
                    </w:r>
                    <w:r>
                      <w:rPr>
                        <w:color w:val="7E7E7E"/>
                        <w:spacing w:val="12"/>
                        <w:sz w:val="21"/>
                      </w:rPr>
                      <w:t>P</w:t>
                    </w:r>
                    <w:r>
                      <w:rPr>
                        <w:color w:val="7E7E7E"/>
                        <w:sz w:val="21"/>
                      </w:rPr>
                      <w:t> </w:t>
                    </w:r>
                    <w:r>
                      <w:rPr>
                        <w:color w:val="7E7E7E"/>
                        <w:spacing w:val="12"/>
                        <w:sz w:val="21"/>
                      </w:rPr>
                      <w:t>a</w:t>
                    </w:r>
                    <w:r>
                      <w:rPr>
                        <w:color w:val="7E7E7E"/>
                        <w:sz w:val="21"/>
                      </w:rPr>
                      <w:t> g</w:t>
                    </w:r>
                    <w:r>
                      <w:rPr>
                        <w:color w:val="7E7E7E"/>
                        <w:spacing w:val="11"/>
                        <w:sz w:val="21"/>
                      </w:rPr>
                      <w:t> </w:t>
                    </w:r>
                    <w:r>
                      <w:rPr>
                        <w:color w:val="7E7E7E"/>
                        <w:spacing w:val="-10"/>
                        <w:sz w:val="21"/>
                      </w:rPr>
                      <w:t>e</w:t>
                    </w:r>
                  </w:p>
                </w:txbxContent>
              </v:textbox>
              <w10:wrap type="none"/>
            </v:shape>
          </w:pict>
        </mc:Fallback>
      </mc:AlternateContent>
    </w:r>
  </w:p>
</w:ftr>
</file>

<file path=word/footer6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2613248">
              <wp:simplePos x="0" y="0"/>
              <wp:positionH relativeFrom="page">
                <wp:posOffset>806195</wp:posOffset>
              </wp:positionH>
              <wp:positionV relativeFrom="page">
                <wp:posOffset>9129509</wp:posOffset>
              </wp:positionV>
              <wp:extent cx="6159500" cy="6350"/>
              <wp:effectExtent l="0" t="0" r="0" b="0"/>
              <wp:wrapNone/>
              <wp:docPr id="621" name="Graphic 621"/>
              <wp:cNvGraphicFramePr>
                <a:graphicFrameLocks/>
              </wp:cNvGraphicFramePr>
              <a:graphic>
                <a:graphicData uri="http://schemas.microsoft.com/office/word/2010/wordprocessingShape">
                  <wps:wsp>
                    <wps:cNvPr id="621" name="Graphic 621"/>
                    <wps:cNvSpPr/>
                    <wps:spPr>
                      <a:xfrm>
                        <a:off x="0" y="0"/>
                        <a:ext cx="6159500" cy="6350"/>
                      </a:xfrm>
                      <a:custGeom>
                        <a:avLst/>
                        <a:gdLst/>
                        <a:ahLst/>
                        <a:cxnLst/>
                        <a:rect l="l" t="t" r="r" b="b"/>
                        <a:pathLst>
                          <a:path w="6159500" h="6350">
                            <a:moveTo>
                              <a:pt x="6159246" y="0"/>
                            </a:moveTo>
                            <a:lnTo>
                              <a:pt x="0" y="0"/>
                            </a:lnTo>
                            <a:lnTo>
                              <a:pt x="0" y="6108"/>
                            </a:lnTo>
                            <a:lnTo>
                              <a:pt x="6159246" y="6108"/>
                            </a:lnTo>
                            <a:lnTo>
                              <a:pt x="6159246"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rect style="position:absolute;margin-left:63.48pt;margin-top:718.859009pt;width:484.98pt;height:.481pt;mso-position-horizontal-relative:page;mso-position-vertical-relative:page;z-index:-20703232" id="docshape518" filled="true" fillcolor="#d9d9d9" stroked="false">
              <v:fill type="solid"/>
              <w10:wrap type="none"/>
            </v:rect>
          </w:pict>
        </mc:Fallback>
      </mc:AlternateContent>
    </w:r>
    <w:r>
      <w:rPr/>
      <mc:AlternateContent>
        <mc:Choice Requires="wps">
          <w:drawing>
            <wp:anchor distT="0" distB="0" distL="0" distR="0" allowOverlap="1" layoutInCell="1" locked="0" behindDoc="1" simplePos="0" relativeHeight="482613760">
              <wp:simplePos x="0" y="0"/>
              <wp:positionH relativeFrom="page">
                <wp:posOffset>6169914</wp:posOffset>
              </wp:positionH>
              <wp:positionV relativeFrom="page">
                <wp:posOffset>9162351</wp:posOffset>
              </wp:positionV>
              <wp:extent cx="789940" cy="158750"/>
              <wp:effectExtent l="0" t="0" r="0" b="0"/>
              <wp:wrapNone/>
              <wp:docPr id="622" name="Textbox 622"/>
              <wp:cNvGraphicFramePr>
                <a:graphicFrameLocks/>
              </wp:cNvGraphicFramePr>
              <a:graphic>
                <a:graphicData uri="http://schemas.microsoft.com/office/word/2010/wordprocessingShape">
                  <wps:wsp>
                    <wps:cNvPr id="622" name="Textbox 622"/>
                    <wps:cNvSpPr txBox="1"/>
                    <wps:spPr>
                      <a:xfrm>
                        <a:off x="0" y="0"/>
                        <a:ext cx="789940" cy="158750"/>
                      </a:xfrm>
                      <a:prstGeom prst="rect">
                        <a:avLst/>
                      </a:prstGeom>
                    </wps:spPr>
                    <wps:txbx>
                      <w:txbxContent>
                        <w:p>
                          <w:pPr>
                            <w:spacing w:line="234" w:lineRule="exact" w:before="0"/>
                            <w:ind w:left="60" w:right="0" w:firstLine="0"/>
                            <w:jc w:val="left"/>
                            <w:rPr>
                              <w:sz w:val="21"/>
                            </w:rPr>
                          </w:pPr>
                          <w:r>
                            <w:rPr>
                              <w:sz w:val="21"/>
                            </w:rPr>
                            <w:fldChar w:fldCharType="begin"/>
                          </w:r>
                          <w:r>
                            <w:rPr>
                              <w:sz w:val="21"/>
                            </w:rPr>
                            <w:instrText> PAGE </w:instrText>
                          </w:r>
                          <w:r>
                            <w:rPr>
                              <w:sz w:val="21"/>
                            </w:rPr>
                            <w:fldChar w:fldCharType="separate"/>
                          </w:r>
                          <w:r>
                            <w:rPr>
                              <w:sz w:val="21"/>
                            </w:rPr>
                            <w:t>288</w:t>
                          </w:r>
                          <w:r>
                            <w:rPr>
                              <w:sz w:val="21"/>
                            </w:rPr>
                            <w:fldChar w:fldCharType="end"/>
                          </w:r>
                          <w:r>
                            <w:rPr>
                              <w:spacing w:val="-1"/>
                              <w:sz w:val="21"/>
                            </w:rPr>
                            <w:t> </w:t>
                          </w:r>
                          <w:r>
                            <w:rPr>
                              <w:sz w:val="21"/>
                            </w:rPr>
                            <w:t>| </w:t>
                          </w:r>
                          <w:r>
                            <w:rPr>
                              <w:color w:val="7E7E7E"/>
                              <w:spacing w:val="11"/>
                              <w:sz w:val="21"/>
                            </w:rPr>
                            <w:t>P</w:t>
                          </w:r>
                          <w:r>
                            <w:rPr>
                              <w:color w:val="7E7E7E"/>
                              <w:sz w:val="21"/>
                            </w:rPr>
                            <w:t> a</w:t>
                          </w:r>
                          <w:r>
                            <w:rPr>
                              <w:color w:val="7E7E7E"/>
                              <w:spacing w:val="12"/>
                              <w:sz w:val="21"/>
                            </w:rPr>
                            <w:t> g</w:t>
                          </w:r>
                          <w:r>
                            <w:rPr>
                              <w:color w:val="7E7E7E"/>
                              <w:sz w:val="21"/>
                            </w:rPr>
                            <w:t> </w:t>
                          </w:r>
                          <w:r>
                            <w:rPr>
                              <w:color w:val="7E7E7E"/>
                              <w:spacing w:val="-10"/>
                              <w:sz w:val="21"/>
                            </w:rPr>
                            <w:t>e</w:t>
                          </w:r>
                          <w:r>
                            <w:rPr>
                              <w:color w:val="7E7E7E"/>
                              <w:sz w:val="21"/>
                            </w:rPr>
                            <w:t> </w:t>
                          </w:r>
                        </w:p>
                      </w:txbxContent>
                    </wps:txbx>
                    <wps:bodyPr wrap="square" lIns="0" tIns="0" rIns="0" bIns="0" rtlCol="0">
                      <a:noAutofit/>
                    </wps:bodyPr>
                  </wps:wsp>
                </a:graphicData>
              </a:graphic>
            </wp:anchor>
          </w:drawing>
        </mc:Choice>
        <mc:Fallback>
          <w:pict>
            <v:shape style="position:absolute;margin-left:485.820007pt;margin-top:721.445007pt;width:62.2pt;height:12.5pt;mso-position-horizontal-relative:page;mso-position-vertical-relative:page;z-index:-20702720" type="#_x0000_t202" id="docshape519" filled="false" stroked="false">
              <v:textbox inset="0,0,0,0">
                <w:txbxContent>
                  <w:p>
                    <w:pPr>
                      <w:spacing w:line="234" w:lineRule="exact" w:before="0"/>
                      <w:ind w:left="60" w:right="0" w:firstLine="0"/>
                      <w:jc w:val="left"/>
                      <w:rPr>
                        <w:sz w:val="21"/>
                      </w:rPr>
                    </w:pPr>
                    <w:r>
                      <w:rPr>
                        <w:sz w:val="21"/>
                      </w:rPr>
                      <w:fldChar w:fldCharType="begin"/>
                    </w:r>
                    <w:r>
                      <w:rPr>
                        <w:sz w:val="21"/>
                      </w:rPr>
                      <w:instrText> PAGE </w:instrText>
                    </w:r>
                    <w:r>
                      <w:rPr>
                        <w:sz w:val="21"/>
                      </w:rPr>
                      <w:fldChar w:fldCharType="separate"/>
                    </w:r>
                    <w:r>
                      <w:rPr>
                        <w:sz w:val="21"/>
                      </w:rPr>
                      <w:t>288</w:t>
                    </w:r>
                    <w:r>
                      <w:rPr>
                        <w:sz w:val="21"/>
                      </w:rPr>
                      <w:fldChar w:fldCharType="end"/>
                    </w:r>
                    <w:r>
                      <w:rPr>
                        <w:spacing w:val="-1"/>
                        <w:sz w:val="21"/>
                      </w:rPr>
                      <w:t> </w:t>
                    </w:r>
                    <w:r>
                      <w:rPr>
                        <w:sz w:val="21"/>
                      </w:rPr>
                      <w:t>| </w:t>
                    </w:r>
                    <w:r>
                      <w:rPr>
                        <w:color w:val="7E7E7E"/>
                        <w:spacing w:val="11"/>
                        <w:sz w:val="21"/>
                      </w:rPr>
                      <w:t>P</w:t>
                    </w:r>
                    <w:r>
                      <w:rPr>
                        <w:color w:val="7E7E7E"/>
                        <w:sz w:val="21"/>
                      </w:rPr>
                      <w:t> a</w:t>
                    </w:r>
                    <w:r>
                      <w:rPr>
                        <w:color w:val="7E7E7E"/>
                        <w:spacing w:val="12"/>
                        <w:sz w:val="21"/>
                      </w:rPr>
                      <w:t> g</w:t>
                    </w:r>
                    <w:r>
                      <w:rPr>
                        <w:color w:val="7E7E7E"/>
                        <w:sz w:val="21"/>
                      </w:rPr>
                      <w:t> </w:t>
                    </w:r>
                    <w:r>
                      <w:rPr>
                        <w:color w:val="7E7E7E"/>
                        <w:spacing w:val="-10"/>
                        <w:sz w:val="21"/>
                      </w:rPr>
                      <w:t>e</w:t>
                    </w:r>
                    <w:r>
                      <w:rPr>
                        <w:color w:val="7E7E7E"/>
                        <w:sz w:val="21"/>
                      </w:rPr>
                      <w:t> </w:t>
                    </w:r>
                  </w:p>
                </w:txbxContent>
              </v:textbox>
              <w10:wrap type="none"/>
            </v:shape>
          </w:pict>
        </mc:Fallback>
      </mc:AlternateContent>
    </w:r>
  </w:p>
</w:ftr>
</file>

<file path=word/footer6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2614784">
              <wp:simplePos x="0" y="0"/>
              <wp:positionH relativeFrom="page">
                <wp:posOffset>806195</wp:posOffset>
              </wp:positionH>
              <wp:positionV relativeFrom="page">
                <wp:posOffset>9129509</wp:posOffset>
              </wp:positionV>
              <wp:extent cx="6210935" cy="6350"/>
              <wp:effectExtent l="0" t="0" r="0" b="0"/>
              <wp:wrapNone/>
              <wp:docPr id="631" name="Graphic 631"/>
              <wp:cNvGraphicFramePr>
                <a:graphicFrameLocks/>
              </wp:cNvGraphicFramePr>
              <a:graphic>
                <a:graphicData uri="http://schemas.microsoft.com/office/word/2010/wordprocessingShape">
                  <wps:wsp>
                    <wps:cNvPr id="631" name="Graphic 631"/>
                    <wps:cNvSpPr/>
                    <wps:spPr>
                      <a:xfrm>
                        <a:off x="0" y="0"/>
                        <a:ext cx="6210935" cy="6350"/>
                      </a:xfrm>
                      <a:custGeom>
                        <a:avLst/>
                        <a:gdLst/>
                        <a:ahLst/>
                        <a:cxnLst/>
                        <a:rect l="l" t="t" r="r" b="b"/>
                        <a:pathLst>
                          <a:path w="6210935" h="6350">
                            <a:moveTo>
                              <a:pt x="6210312" y="0"/>
                            </a:moveTo>
                            <a:lnTo>
                              <a:pt x="0" y="0"/>
                            </a:lnTo>
                            <a:lnTo>
                              <a:pt x="0" y="6108"/>
                            </a:lnTo>
                            <a:lnTo>
                              <a:pt x="6210312" y="6108"/>
                            </a:lnTo>
                            <a:lnTo>
                              <a:pt x="6210312"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rect style="position:absolute;margin-left:63.48pt;margin-top:718.859009pt;width:489.001pt;height:.481pt;mso-position-horizontal-relative:page;mso-position-vertical-relative:page;z-index:-20701696" id="docshape528" filled="true" fillcolor="#d9d9d9" stroked="false">
              <v:fill type="solid"/>
              <w10:wrap type="none"/>
            </v:rect>
          </w:pict>
        </mc:Fallback>
      </mc:AlternateContent>
    </w:r>
    <w:r>
      <w:rPr/>
      <mc:AlternateContent>
        <mc:Choice Requires="wps">
          <w:drawing>
            <wp:anchor distT="0" distB="0" distL="0" distR="0" allowOverlap="1" layoutInCell="1" locked="0" behindDoc="1" simplePos="0" relativeHeight="482615296">
              <wp:simplePos x="0" y="0"/>
              <wp:positionH relativeFrom="page">
                <wp:posOffset>6220967</wp:posOffset>
              </wp:positionH>
              <wp:positionV relativeFrom="page">
                <wp:posOffset>9162351</wp:posOffset>
              </wp:positionV>
              <wp:extent cx="789940" cy="158750"/>
              <wp:effectExtent l="0" t="0" r="0" b="0"/>
              <wp:wrapNone/>
              <wp:docPr id="632" name="Textbox 632"/>
              <wp:cNvGraphicFramePr>
                <a:graphicFrameLocks/>
              </wp:cNvGraphicFramePr>
              <a:graphic>
                <a:graphicData uri="http://schemas.microsoft.com/office/word/2010/wordprocessingShape">
                  <wps:wsp>
                    <wps:cNvPr id="632" name="Textbox 632"/>
                    <wps:cNvSpPr txBox="1"/>
                    <wps:spPr>
                      <a:xfrm>
                        <a:off x="0" y="0"/>
                        <a:ext cx="789940" cy="158750"/>
                      </a:xfrm>
                      <a:prstGeom prst="rect">
                        <a:avLst/>
                      </a:prstGeom>
                    </wps:spPr>
                    <wps:txbx>
                      <w:txbxContent>
                        <w:p>
                          <w:pPr>
                            <w:spacing w:line="234" w:lineRule="exact" w:before="0"/>
                            <w:ind w:left="60" w:right="0" w:firstLine="0"/>
                            <w:jc w:val="left"/>
                            <w:rPr>
                              <w:sz w:val="21"/>
                            </w:rPr>
                          </w:pPr>
                          <w:r>
                            <w:rPr>
                              <w:sz w:val="21"/>
                            </w:rPr>
                            <w:fldChar w:fldCharType="begin"/>
                          </w:r>
                          <w:r>
                            <w:rPr>
                              <w:sz w:val="21"/>
                            </w:rPr>
                            <w:instrText> PAGE </w:instrText>
                          </w:r>
                          <w:r>
                            <w:rPr>
                              <w:sz w:val="21"/>
                            </w:rPr>
                            <w:fldChar w:fldCharType="separate"/>
                          </w:r>
                          <w:r>
                            <w:rPr>
                              <w:sz w:val="21"/>
                            </w:rPr>
                            <w:t>292</w:t>
                          </w:r>
                          <w:r>
                            <w:rPr>
                              <w:sz w:val="21"/>
                            </w:rPr>
                            <w:fldChar w:fldCharType="end"/>
                          </w:r>
                          <w:r>
                            <w:rPr>
                              <w:spacing w:val="-1"/>
                              <w:sz w:val="21"/>
                            </w:rPr>
                            <w:t> </w:t>
                          </w:r>
                          <w:r>
                            <w:rPr>
                              <w:sz w:val="21"/>
                            </w:rPr>
                            <w:t>| </w:t>
                          </w:r>
                          <w:r>
                            <w:rPr>
                              <w:color w:val="7E7E7E"/>
                              <w:spacing w:val="11"/>
                              <w:sz w:val="21"/>
                            </w:rPr>
                            <w:t>P</w:t>
                          </w:r>
                          <w:r>
                            <w:rPr>
                              <w:color w:val="7E7E7E"/>
                              <w:sz w:val="21"/>
                            </w:rPr>
                            <w:t> a</w:t>
                          </w:r>
                          <w:r>
                            <w:rPr>
                              <w:color w:val="7E7E7E"/>
                              <w:spacing w:val="12"/>
                              <w:sz w:val="21"/>
                            </w:rPr>
                            <w:t> g</w:t>
                          </w:r>
                          <w:r>
                            <w:rPr>
                              <w:color w:val="7E7E7E"/>
                              <w:sz w:val="21"/>
                            </w:rPr>
                            <w:t> </w:t>
                          </w:r>
                          <w:r>
                            <w:rPr>
                              <w:color w:val="7E7E7E"/>
                              <w:spacing w:val="-10"/>
                              <w:sz w:val="21"/>
                            </w:rPr>
                            <w:t>e</w:t>
                          </w:r>
                          <w:r>
                            <w:rPr>
                              <w:color w:val="7E7E7E"/>
                              <w:sz w:val="21"/>
                            </w:rPr>
                            <w:t> </w:t>
                          </w:r>
                        </w:p>
                      </w:txbxContent>
                    </wps:txbx>
                    <wps:bodyPr wrap="square" lIns="0" tIns="0" rIns="0" bIns="0" rtlCol="0">
                      <a:noAutofit/>
                    </wps:bodyPr>
                  </wps:wsp>
                </a:graphicData>
              </a:graphic>
            </wp:anchor>
          </w:drawing>
        </mc:Choice>
        <mc:Fallback>
          <w:pict>
            <v:shape style="position:absolute;margin-left:489.839996pt;margin-top:721.445007pt;width:62.2pt;height:12.5pt;mso-position-horizontal-relative:page;mso-position-vertical-relative:page;z-index:-20701184" type="#_x0000_t202" id="docshape529" filled="false" stroked="false">
              <v:textbox inset="0,0,0,0">
                <w:txbxContent>
                  <w:p>
                    <w:pPr>
                      <w:spacing w:line="234" w:lineRule="exact" w:before="0"/>
                      <w:ind w:left="60" w:right="0" w:firstLine="0"/>
                      <w:jc w:val="left"/>
                      <w:rPr>
                        <w:sz w:val="21"/>
                      </w:rPr>
                    </w:pPr>
                    <w:r>
                      <w:rPr>
                        <w:sz w:val="21"/>
                      </w:rPr>
                      <w:fldChar w:fldCharType="begin"/>
                    </w:r>
                    <w:r>
                      <w:rPr>
                        <w:sz w:val="21"/>
                      </w:rPr>
                      <w:instrText> PAGE </w:instrText>
                    </w:r>
                    <w:r>
                      <w:rPr>
                        <w:sz w:val="21"/>
                      </w:rPr>
                      <w:fldChar w:fldCharType="separate"/>
                    </w:r>
                    <w:r>
                      <w:rPr>
                        <w:sz w:val="21"/>
                      </w:rPr>
                      <w:t>292</w:t>
                    </w:r>
                    <w:r>
                      <w:rPr>
                        <w:sz w:val="21"/>
                      </w:rPr>
                      <w:fldChar w:fldCharType="end"/>
                    </w:r>
                    <w:r>
                      <w:rPr>
                        <w:spacing w:val="-1"/>
                        <w:sz w:val="21"/>
                      </w:rPr>
                      <w:t> </w:t>
                    </w:r>
                    <w:r>
                      <w:rPr>
                        <w:sz w:val="21"/>
                      </w:rPr>
                      <w:t>| </w:t>
                    </w:r>
                    <w:r>
                      <w:rPr>
                        <w:color w:val="7E7E7E"/>
                        <w:spacing w:val="11"/>
                        <w:sz w:val="21"/>
                      </w:rPr>
                      <w:t>P</w:t>
                    </w:r>
                    <w:r>
                      <w:rPr>
                        <w:color w:val="7E7E7E"/>
                        <w:sz w:val="21"/>
                      </w:rPr>
                      <w:t> a</w:t>
                    </w:r>
                    <w:r>
                      <w:rPr>
                        <w:color w:val="7E7E7E"/>
                        <w:spacing w:val="12"/>
                        <w:sz w:val="21"/>
                      </w:rPr>
                      <w:t> g</w:t>
                    </w:r>
                    <w:r>
                      <w:rPr>
                        <w:color w:val="7E7E7E"/>
                        <w:sz w:val="21"/>
                      </w:rPr>
                      <w:t> </w:t>
                    </w:r>
                    <w:r>
                      <w:rPr>
                        <w:color w:val="7E7E7E"/>
                        <w:spacing w:val="-10"/>
                        <w:sz w:val="21"/>
                      </w:rPr>
                      <w:t>e</w:t>
                    </w:r>
                    <w:r>
                      <w:rPr>
                        <w:color w:val="7E7E7E"/>
                        <w:sz w:val="21"/>
                      </w:rPr>
                      <w:t> </w:t>
                    </w:r>
                  </w:p>
                </w:txbxContent>
              </v:textbox>
              <w10:wrap type="none"/>
            </v:shape>
          </w:pict>
        </mc:Fallback>
      </mc:AlternateContent>
    </w:r>
  </w:p>
</w:ftr>
</file>

<file path=word/footer6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2616320">
              <wp:simplePos x="0" y="0"/>
              <wp:positionH relativeFrom="page">
                <wp:posOffset>806195</wp:posOffset>
              </wp:positionH>
              <wp:positionV relativeFrom="page">
                <wp:posOffset>9129509</wp:posOffset>
              </wp:positionV>
              <wp:extent cx="6159500" cy="6350"/>
              <wp:effectExtent l="0" t="0" r="0" b="0"/>
              <wp:wrapNone/>
              <wp:docPr id="637" name="Graphic 637"/>
              <wp:cNvGraphicFramePr>
                <a:graphicFrameLocks/>
              </wp:cNvGraphicFramePr>
              <a:graphic>
                <a:graphicData uri="http://schemas.microsoft.com/office/word/2010/wordprocessingShape">
                  <wps:wsp>
                    <wps:cNvPr id="637" name="Graphic 637"/>
                    <wps:cNvSpPr/>
                    <wps:spPr>
                      <a:xfrm>
                        <a:off x="0" y="0"/>
                        <a:ext cx="6159500" cy="6350"/>
                      </a:xfrm>
                      <a:custGeom>
                        <a:avLst/>
                        <a:gdLst/>
                        <a:ahLst/>
                        <a:cxnLst/>
                        <a:rect l="l" t="t" r="r" b="b"/>
                        <a:pathLst>
                          <a:path w="6159500" h="6350">
                            <a:moveTo>
                              <a:pt x="6159246" y="0"/>
                            </a:moveTo>
                            <a:lnTo>
                              <a:pt x="0" y="0"/>
                            </a:lnTo>
                            <a:lnTo>
                              <a:pt x="0" y="6108"/>
                            </a:lnTo>
                            <a:lnTo>
                              <a:pt x="6159246" y="6108"/>
                            </a:lnTo>
                            <a:lnTo>
                              <a:pt x="6159246"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rect style="position:absolute;margin-left:63.48pt;margin-top:718.859009pt;width:484.98pt;height:.481pt;mso-position-horizontal-relative:page;mso-position-vertical-relative:page;z-index:-20700160" id="docshape534" filled="true" fillcolor="#d9d9d9" stroked="false">
              <v:fill type="solid"/>
              <w10:wrap type="none"/>
            </v:rect>
          </w:pict>
        </mc:Fallback>
      </mc:AlternateContent>
    </w:r>
    <w:r>
      <w:rPr/>
      <mc:AlternateContent>
        <mc:Choice Requires="wps">
          <w:drawing>
            <wp:anchor distT="0" distB="0" distL="0" distR="0" allowOverlap="1" layoutInCell="1" locked="0" behindDoc="1" simplePos="0" relativeHeight="482616832">
              <wp:simplePos x="0" y="0"/>
              <wp:positionH relativeFrom="page">
                <wp:posOffset>6169914</wp:posOffset>
              </wp:positionH>
              <wp:positionV relativeFrom="page">
                <wp:posOffset>9162351</wp:posOffset>
              </wp:positionV>
              <wp:extent cx="789940" cy="158750"/>
              <wp:effectExtent l="0" t="0" r="0" b="0"/>
              <wp:wrapNone/>
              <wp:docPr id="638" name="Textbox 638"/>
              <wp:cNvGraphicFramePr>
                <a:graphicFrameLocks/>
              </wp:cNvGraphicFramePr>
              <a:graphic>
                <a:graphicData uri="http://schemas.microsoft.com/office/word/2010/wordprocessingShape">
                  <wps:wsp>
                    <wps:cNvPr id="638" name="Textbox 638"/>
                    <wps:cNvSpPr txBox="1"/>
                    <wps:spPr>
                      <a:xfrm>
                        <a:off x="0" y="0"/>
                        <a:ext cx="789940" cy="158750"/>
                      </a:xfrm>
                      <a:prstGeom prst="rect">
                        <a:avLst/>
                      </a:prstGeom>
                    </wps:spPr>
                    <wps:txbx>
                      <w:txbxContent>
                        <w:p>
                          <w:pPr>
                            <w:spacing w:line="234" w:lineRule="exact" w:before="0"/>
                            <w:ind w:left="60" w:right="0" w:firstLine="0"/>
                            <w:jc w:val="left"/>
                            <w:rPr>
                              <w:sz w:val="21"/>
                            </w:rPr>
                          </w:pPr>
                          <w:r>
                            <w:rPr>
                              <w:sz w:val="21"/>
                            </w:rPr>
                            <w:fldChar w:fldCharType="begin"/>
                          </w:r>
                          <w:r>
                            <w:rPr>
                              <w:sz w:val="21"/>
                            </w:rPr>
                            <w:instrText> PAGE </w:instrText>
                          </w:r>
                          <w:r>
                            <w:rPr>
                              <w:sz w:val="21"/>
                            </w:rPr>
                            <w:fldChar w:fldCharType="separate"/>
                          </w:r>
                          <w:r>
                            <w:rPr>
                              <w:sz w:val="21"/>
                            </w:rPr>
                            <w:t>297</w:t>
                          </w:r>
                          <w:r>
                            <w:rPr>
                              <w:sz w:val="21"/>
                            </w:rPr>
                            <w:fldChar w:fldCharType="end"/>
                          </w:r>
                          <w:r>
                            <w:rPr>
                              <w:spacing w:val="-1"/>
                              <w:sz w:val="21"/>
                            </w:rPr>
                            <w:t> </w:t>
                          </w:r>
                          <w:r>
                            <w:rPr>
                              <w:sz w:val="21"/>
                            </w:rPr>
                            <w:t>| </w:t>
                          </w:r>
                          <w:r>
                            <w:rPr>
                              <w:color w:val="7E7E7E"/>
                              <w:spacing w:val="11"/>
                              <w:sz w:val="21"/>
                            </w:rPr>
                            <w:t>P</w:t>
                          </w:r>
                          <w:r>
                            <w:rPr>
                              <w:color w:val="7E7E7E"/>
                              <w:sz w:val="21"/>
                            </w:rPr>
                            <w:t> a</w:t>
                          </w:r>
                          <w:r>
                            <w:rPr>
                              <w:color w:val="7E7E7E"/>
                              <w:spacing w:val="12"/>
                              <w:sz w:val="21"/>
                            </w:rPr>
                            <w:t> g</w:t>
                          </w:r>
                          <w:r>
                            <w:rPr>
                              <w:color w:val="7E7E7E"/>
                              <w:sz w:val="21"/>
                            </w:rPr>
                            <w:t> </w:t>
                          </w:r>
                          <w:r>
                            <w:rPr>
                              <w:color w:val="7E7E7E"/>
                              <w:spacing w:val="-10"/>
                              <w:sz w:val="21"/>
                            </w:rPr>
                            <w:t>e</w:t>
                          </w:r>
                          <w:r>
                            <w:rPr>
                              <w:color w:val="7E7E7E"/>
                              <w:sz w:val="21"/>
                            </w:rPr>
                            <w:t> </w:t>
                          </w:r>
                        </w:p>
                      </w:txbxContent>
                    </wps:txbx>
                    <wps:bodyPr wrap="square" lIns="0" tIns="0" rIns="0" bIns="0" rtlCol="0">
                      <a:noAutofit/>
                    </wps:bodyPr>
                  </wps:wsp>
                </a:graphicData>
              </a:graphic>
            </wp:anchor>
          </w:drawing>
        </mc:Choice>
        <mc:Fallback>
          <w:pict>
            <v:shape style="position:absolute;margin-left:485.820007pt;margin-top:721.445007pt;width:62.2pt;height:12.5pt;mso-position-horizontal-relative:page;mso-position-vertical-relative:page;z-index:-20699648" type="#_x0000_t202" id="docshape535" filled="false" stroked="false">
              <v:textbox inset="0,0,0,0">
                <w:txbxContent>
                  <w:p>
                    <w:pPr>
                      <w:spacing w:line="234" w:lineRule="exact" w:before="0"/>
                      <w:ind w:left="60" w:right="0" w:firstLine="0"/>
                      <w:jc w:val="left"/>
                      <w:rPr>
                        <w:sz w:val="21"/>
                      </w:rPr>
                    </w:pPr>
                    <w:r>
                      <w:rPr>
                        <w:sz w:val="21"/>
                      </w:rPr>
                      <w:fldChar w:fldCharType="begin"/>
                    </w:r>
                    <w:r>
                      <w:rPr>
                        <w:sz w:val="21"/>
                      </w:rPr>
                      <w:instrText> PAGE </w:instrText>
                    </w:r>
                    <w:r>
                      <w:rPr>
                        <w:sz w:val="21"/>
                      </w:rPr>
                      <w:fldChar w:fldCharType="separate"/>
                    </w:r>
                    <w:r>
                      <w:rPr>
                        <w:sz w:val="21"/>
                      </w:rPr>
                      <w:t>297</w:t>
                    </w:r>
                    <w:r>
                      <w:rPr>
                        <w:sz w:val="21"/>
                      </w:rPr>
                      <w:fldChar w:fldCharType="end"/>
                    </w:r>
                    <w:r>
                      <w:rPr>
                        <w:spacing w:val="-1"/>
                        <w:sz w:val="21"/>
                      </w:rPr>
                      <w:t> </w:t>
                    </w:r>
                    <w:r>
                      <w:rPr>
                        <w:sz w:val="21"/>
                      </w:rPr>
                      <w:t>| </w:t>
                    </w:r>
                    <w:r>
                      <w:rPr>
                        <w:color w:val="7E7E7E"/>
                        <w:spacing w:val="11"/>
                        <w:sz w:val="21"/>
                      </w:rPr>
                      <w:t>P</w:t>
                    </w:r>
                    <w:r>
                      <w:rPr>
                        <w:color w:val="7E7E7E"/>
                        <w:sz w:val="21"/>
                      </w:rPr>
                      <w:t> a</w:t>
                    </w:r>
                    <w:r>
                      <w:rPr>
                        <w:color w:val="7E7E7E"/>
                        <w:spacing w:val="12"/>
                        <w:sz w:val="21"/>
                      </w:rPr>
                      <w:t> g</w:t>
                    </w:r>
                    <w:r>
                      <w:rPr>
                        <w:color w:val="7E7E7E"/>
                        <w:sz w:val="21"/>
                      </w:rPr>
                      <w:t> </w:t>
                    </w:r>
                    <w:r>
                      <w:rPr>
                        <w:color w:val="7E7E7E"/>
                        <w:spacing w:val="-10"/>
                        <w:sz w:val="21"/>
                      </w:rPr>
                      <w:t>e</w:t>
                    </w:r>
                    <w:r>
                      <w:rPr>
                        <w:color w:val="7E7E7E"/>
                        <w:sz w:val="21"/>
                      </w:rPr>
                      <w:t> </w:t>
                    </w:r>
                  </w:p>
                </w:txbxContent>
              </v:textbox>
              <w10:wrap type="none"/>
            </v:shape>
          </w:pict>
        </mc:Fallback>
      </mc:AlternateContent>
    </w:r>
  </w:p>
</w:ftr>
</file>

<file path=word/footer6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2617856">
              <wp:simplePos x="0" y="0"/>
              <wp:positionH relativeFrom="page">
                <wp:posOffset>806195</wp:posOffset>
              </wp:positionH>
              <wp:positionV relativeFrom="page">
                <wp:posOffset>9129509</wp:posOffset>
              </wp:positionV>
              <wp:extent cx="6197600" cy="6350"/>
              <wp:effectExtent l="0" t="0" r="0" b="0"/>
              <wp:wrapNone/>
              <wp:docPr id="647" name="Graphic 647"/>
              <wp:cNvGraphicFramePr>
                <a:graphicFrameLocks/>
              </wp:cNvGraphicFramePr>
              <a:graphic>
                <a:graphicData uri="http://schemas.microsoft.com/office/word/2010/wordprocessingShape">
                  <wps:wsp>
                    <wps:cNvPr id="647" name="Graphic 647"/>
                    <wps:cNvSpPr/>
                    <wps:spPr>
                      <a:xfrm>
                        <a:off x="0" y="0"/>
                        <a:ext cx="6197600" cy="6350"/>
                      </a:xfrm>
                      <a:custGeom>
                        <a:avLst/>
                        <a:gdLst/>
                        <a:ahLst/>
                        <a:cxnLst/>
                        <a:rect l="l" t="t" r="r" b="b"/>
                        <a:pathLst>
                          <a:path w="6197600" h="6350">
                            <a:moveTo>
                              <a:pt x="6197346" y="0"/>
                            </a:moveTo>
                            <a:lnTo>
                              <a:pt x="0" y="0"/>
                            </a:lnTo>
                            <a:lnTo>
                              <a:pt x="0" y="6108"/>
                            </a:lnTo>
                            <a:lnTo>
                              <a:pt x="6197346" y="6108"/>
                            </a:lnTo>
                            <a:lnTo>
                              <a:pt x="6197346"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rect style="position:absolute;margin-left:63.48pt;margin-top:718.859009pt;width:487.98pt;height:.481pt;mso-position-horizontal-relative:page;mso-position-vertical-relative:page;z-index:-20698624" id="docshape544" filled="true" fillcolor="#d9d9d9" stroked="false">
              <v:fill type="solid"/>
              <w10:wrap type="none"/>
            </v:rect>
          </w:pict>
        </mc:Fallback>
      </mc:AlternateContent>
    </w:r>
    <w:r>
      <w:rPr/>
      <mc:AlternateContent>
        <mc:Choice Requires="wps">
          <w:drawing>
            <wp:anchor distT="0" distB="0" distL="0" distR="0" allowOverlap="1" layoutInCell="1" locked="0" behindDoc="1" simplePos="0" relativeHeight="482618368">
              <wp:simplePos x="0" y="0"/>
              <wp:positionH relativeFrom="page">
                <wp:posOffset>6208014</wp:posOffset>
              </wp:positionH>
              <wp:positionV relativeFrom="page">
                <wp:posOffset>9162351</wp:posOffset>
              </wp:positionV>
              <wp:extent cx="789940" cy="158750"/>
              <wp:effectExtent l="0" t="0" r="0" b="0"/>
              <wp:wrapNone/>
              <wp:docPr id="648" name="Textbox 648"/>
              <wp:cNvGraphicFramePr>
                <a:graphicFrameLocks/>
              </wp:cNvGraphicFramePr>
              <a:graphic>
                <a:graphicData uri="http://schemas.microsoft.com/office/word/2010/wordprocessingShape">
                  <wps:wsp>
                    <wps:cNvPr id="648" name="Textbox 648"/>
                    <wps:cNvSpPr txBox="1"/>
                    <wps:spPr>
                      <a:xfrm>
                        <a:off x="0" y="0"/>
                        <a:ext cx="789940" cy="158750"/>
                      </a:xfrm>
                      <a:prstGeom prst="rect">
                        <a:avLst/>
                      </a:prstGeom>
                    </wps:spPr>
                    <wps:txbx>
                      <w:txbxContent>
                        <w:p>
                          <w:pPr>
                            <w:spacing w:line="234" w:lineRule="exact" w:before="0"/>
                            <w:ind w:left="60" w:right="0" w:firstLine="0"/>
                            <w:jc w:val="left"/>
                            <w:rPr>
                              <w:sz w:val="21"/>
                            </w:rPr>
                          </w:pPr>
                          <w:r>
                            <w:rPr>
                              <w:sz w:val="21"/>
                            </w:rPr>
                            <w:fldChar w:fldCharType="begin"/>
                          </w:r>
                          <w:r>
                            <w:rPr>
                              <w:sz w:val="21"/>
                            </w:rPr>
                            <w:instrText> PAGE </w:instrText>
                          </w:r>
                          <w:r>
                            <w:rPr>
                              <w:sz w:val="21"/>
                            </w:rPr>
                            <w:fldChar w:fldCharType="separate"/>
                          </w:r>
                          <w:r>
                            <w:rPr>
                              <w:sz w:val="21"/>
                            </w:rPr>
                            <w:t>301</w:t>
                          </w:r>
                          <w:r>
                            <w:rPr>
                              <w:sz w:val="21"/>
                            </w:rPr>
                            <w:fldChar w:fldCharType="end"/>
                          </w:r>
                          <w:r>
                            <w:rPr>
                              <w:spacing w:val="-1"/>
                              <w:sz w:val="21"/>
                            </w:rPr>
                            <w:t> </w:t>
                          </w:r>
                          <w:r>
                            <w:rPr>
                              <w:sz w:val="21"/>
                            </w:rPr>
                            <w:t>| </w:t>
                          </w:r>
                          <w:r>
                            <w:rPr>
                              <w:color w:val="7E7E7E"/>
                              <w:spacing w:val="11"/>
                              <w:sz w:val="21"/>
                            </w:rPr>
                            <w:t>P</w:t>
                          </w:r>
                          <w:r>
                            <w:rPr>
                              <w:color w:val="7E7E7E"/>
                              <w:sz w:val="21"/>
                            </w:rPr>
                            <w:t> a</w:t>
                          </w:r>
                          <w:r>
                            <w:rPr>
                              <w:color w:val="7E7E7E"/>
                              <w:spacing w:val="12"/>
                              <w:sz w:val="21"/>
                            </w:rPr>
                            <w:t> g</w:t>
                          </w:r>
                          <w:r>
                            <w:rPr>
                              <w:color w:val="7E7E7E"/>
                              <w:sz w:val="21"/>
                            </w:rPr>
                            <w:t> </w:t>
                          </w:r>
                          <w:r>
                            <w:rPr>
                              <w:color w:val="7E7E7E"/>
                              <w:spacing w:val="-10"/>
                              <w:sz w:val="21"/>
                            </w:rPr>
                            <w:t>e</w:t>
                          </w:r>
                          <w:r>
                            <w:rPr>
                              <w:color w:val="7E7E7E"/>
                              <w:sz w:val="21"/>
                            </w:rPr>
                            <w:t> </w:t>
                          </w:r>
                        </w:p>
                      </w:txbxContent>
                    </wps:txbx>
                    <wps:bodyPr wrap="square" lIns="0" tIns="0" rIns="0" bIns="0" rtlCol="0">
                      <a:noAutofit/>
                    </wps:bodyPr>
                  </wps:wsp>
                </a:graphicData>
              </a:graphic>
            </wp:anchor>
          </w:drawing>
        </mc:Choice>
        <mc:Fallback>
          <w:pict>
            <v:shape style="position:absolute;margin-left:488.820007pt;margin-top:721.445007pt;width:62.2pt;height:12.5pt;mso-position-horizontal-relative:page;mso-position-vertical-relative:page;z-index:-20698112" type="#_x0000_t202" id="docshape545" filled="false" stroked="false">
              <v:textbox inset="0,0,0,0">
                <w:txbxContent>
                  <w:p>
                    <w:pPr>
                      <w:spacing w:line="234" w:lineRule="exact" w:before="0"/>
                      <w:ind w:left="60" w:right="0" w:firstLine="0"/>
                      <w:jc w:val="left"/>
                      <w:rPr>
                        <w:sz w:val="21"/>
                      </w:rPr>
                    </w:pPr>
                    <w:r>
                      <w:rPr>
                        <w:sz w:val="21"/>
                      </w:rPr>
                      <w:fldChar w:fldCharType="begin"/>
                    </w:r>
                    <w:r>
                      <w:rPr>
                        <w:sz w:val="21"/>
                      </w:rPr>
                      <w:instrText> PAGE </w:instrText>
                    </w:r>
                    <w:r>
                      <w:rPr>
                        <w:sz w:val="21"/>
                      </w:rPr>
                      <w:fldChar w:fldCharType="separate"/>
                    </w:r>
                    <w:r>
                      <w:rPr>
                        <w:sz w:val="21"/>
                      </w:rPr>
                      <w:t>301</w:t>
                    </w:r>
                    <w:r>
                      <w:rPr>
                        <w:sz w:val="21"/>
                      </w:rPr>
                      <w:fldChar w:fldCharType="end"/>
                    </w:r>
                    <w:r>
                      <w:rPr>
                        <w:spacing w:val="-1"/>
                        <w:sz w:val="21"/>
                      </w:rPr>
                      <w:t> </w:t>
                    </w:r>
                    <w:r>
                      <w:rPr>
                        <w:sz w:val="21"/>
                      </w:rPr>
                      <w:t>| </w:t>
                    </w:r>
                    <w:r>
                      <w:rPr>
                        <w:color w:val="7E7E7E"/>
                        <w:spacing w:val="11"/>
                        <w:sz w:val="21"/>
                      </w:rPr>
                      <w:t>P</w:t>
                    </w:r>
                    <w:r>
                      <w:rPr>
                        <w:color w:val="7E7E7E"/>
                        <w:sz w:val="21"/>
                      </w:rPr>
                      <w:t> a</w:t>
                    </w:r>
                    <w:r>
                      <w:rPr>
                        <w:color w:val="7E7E7E"/>
                        <w:spacing w:val="12"/>
                        <w:sz w:val="21"/>
                      </w:rPr>
                      <w:t> g</w:t>
                    </w:r>
                    <w:r>
                      <w:rPr>
                        <w:color w:val="7E7E7E"/>
                        <w:sz w:val="21"/>
                      </w:rPr>
                      <w:t> </w:t>
                    </w:r>
                    <w:r>
                      <w:rPr>
                        <w:color w:val="7E7E7E"/>
                        <w:spacing w:val="-10"/>
                        <w:sz w:val="21"/>
                      </w:rPr>
                      <w:t>e</w:t>
                    </w:r>
                    <w:r>
                      <w:rPr>
                        <w:color w:val="7E7E7E"/>
                        <w:sz w:val="21"/>
                      </w:rPr>
                      <w:t> </w:t>
                    </w:r>
                  </w:p>
                </w:txbxContent>
              </v:textbox>
              <w10:wrap type="none"/>
            </v:shape>
          </w:pict>
        </mc:Fallback>
      </mc:AlternateContent>
    </w:r>
  </w:p>
</w:ftr>
</file>

<file path=word/footer6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2619392">
              <wp:simplePos x="0" y="0"/>
              <wp:positionH relativeFrom="page">
                <wp:posOffset>6169914</wp:posOffset>
              </wp:positionH>
              <wp:positionV relativeFrom="page">
                <wp:posOffset>9162351</wp:posOffset>
              </wp:positionV>
              <wp:extent cx="789940" cy="158750"/>
              <wp:effectExtent l="0" t="0" r="0" b="0"/>
              <wp:wrapNone/>
              <wp:docPr id="659" name="Textbox 659"/>
              <wp:cNvGraphicFramePr>
                <a:graphicFrameLocks/>
              </wp:cNvGraphicFramePr>
              <a:graphic>
                <a:graphicData uri="http://schemas.microsoft.com/office/word/2010/wordprocessingShape">
                  <wps:wsp>
                    <wps:cNvPr id="659" name="Textbox 659"/>
                    <wps:cNvSpPr txBox="1"/>
                    <wps:spPr>
                      <a:xfrm>
                        <a:off x="0" y="0"/>
                        <a:ext cx="789940" cy="158750"/>
                      </a:xfrm>
                      <a:prstGeom prst="rect">
                        <a:avLst/>
                      </a:prstGeom>
                    </wps:spPr>
                    <wps:txbx>
                      <w:txbxContent>
                        <w:p>
                          <w:pPr>
                            <w:spacing w:line="234" w:lineRule="exact" w:before="0"/>
                            <w:ind w:left="60" w:right="0" w:firstLine="0"/>
                            <w:jc w:val="left"/>
                            <w:rPr>
                              <w:sz w:val="21"/>
                            </w:rPr>
                          </w:pPr>
                          <w:r>
                            <w:rPr>
                              <w:sz w:val="21"/>
                            </w:rPr>
                            <w:fldChar w:fldCharType="begin"/>
                          </w:r>
                          <w:r>
                            <w:rPr>
                              <w:sz w:val="21"/>
                            </w:rPr>
                            <w:instrText> PAGE </w:instrText>
                          </w:r>
                          <w:r>
                            <w:rPr>
                              <w:sz w:val="21"/>
                            </w:rPr>
                            <w:fldChar w:fldCharType="separate"/>
                          </w:r>
                          <w:r>
                            <w:rPr>
                              <w:sz w:val="21"/>
                            </w:rPr>
                            <w:t>303</w:t>
                          </w:r>
                          <w:r>
                            <w:rPr>
                              <w:sz w:val="21"/>
                            </w:rPr>
                            <w:fldChar w:fldCharType="end"/>
                          </w:r>
                          <w:r>
                            <w:rPr>
                              <w:spacing w:val="-1"/>
                              <w:sz w:val="21"/>
                            </w:rPr>
                            <w:t> </w:t>
                          </w:r>
                          <w:r>
                            <w:rPr>
                              <w:sz w:val="21"/>
                            </w:rPr>
                            <w:t>| </w:t>
                          </w:r>
                          <w:r>
                            <w:rPr>
                              <w:color w:val="7E7E7E"/>
                              <w:spacing w:val="11"/>
                              <w:sz w:val="21"/>
                            </w:rPr>
                            <w:t>P</w:t>
                          </w:r>
                          <w:r>
                            <w:rPr>
                              <w:color w:val="7E7E7E"/>
                              <w:sz w:val="21"/>
                            </w:rPr>
                            <w:t> a</w:t>
                          </w:r>
                          <w:r>
                            <w:rPr>
                              <w:color w:val="7E7E7E"/>
                              <w:spacing w:val="12"/>
                              <w:sz w:val="21"/>
                            </w:rPr>
                            <w:t> g</w:t>
                          </w:r>
                          <w:r>
                            <w:rPr>
                              <w:color w:val="7E7E7E"/>
                              <w:sz w:val="21"/>
                            </w:rPr>
                            <w:t> </w:t>
                          </w:r>
                          <w:r>
                            <w:rPr>
                              <w:color w:val="7E7E7E"/>
                              <w:spacing w:val="-10"/>
                              <w:sz w:val="21"/>
                            </w:rPr>
                            <w:t>e</w:t>
                          </w:r>
                          <w:r>
                            <w:rPr>
                              <w:color w:val="7E7E7E"/>
                              <w:sz w:val="21"/>
                            </w:rPr>
                            <w:t> </w:t>
                          </w:r>
                        </w:p>
                      </w:txbxContent>
                    </wps:txbx>
                    <wps:bodyPr wrap="square" lIns="0" tIns="0" rIns="0" bIns="0" rtlCol="0">
                      <a:noAutofit/>
                    </wps:bodyPr>
                  </wps:wsp>
                </a:graphicData>
              </a:graphic>
            </wp:anchor>
          </w:drawing>
        </mc:Choice>
        <mc:Fallback>
          <w:pict>
            <v:shape style="position:absolute;margin-left:485.820007pt;margin-top:721.445007pt;width:62.2pt;height:12.5pt;mso-position-horizontal-relative:page;mso-position-vertical-relative:page;z-index:-20697088" type="#_x0000_t202" id="docshape556" filled="false" stroked="false">
              <v:textbox inset="0,0,0,0">
                <w:txbxContent>
                  <w:p>
                    <w:pPr>
                      <w:spacing w:line="234" w:lineRule="exact" w:before="0"/>
                      <w:ind w:left="60" w:right="0" w:firstLine="0"/>
                      <w:jc w:val="left"/>
                      <w:rPr>
                        <w:sz w:val="21"/>
                      </w:rPr>
                    </w:pPr>
                    <w:r>
                      <w:rPr>
                        <w:sz w:val="21"/>
                      </w:rPr>
                      <w:fldChar w:fldCharType="begin"/>
                    </w:r>
                    <w:r>
                      <w:rPr>
                        <w:sz w:val="21"/>
                      </w:rPr>
                      <w:instrText> PAGE </w:instrText>
                    </w:r>
                    <w:r>
                      <w:rPr>
                        <w:sz w:val="21"/>
                      </w:rPr>
                      <w:fldChar w:fldCharType="separate"/>
                    </w:r>
                    <w:r>
                      <w:rPr>
                        <w:sz w:val="21"/>
                      </w:rPr>
                      <w:t>303</w:t>
                    </w:r>
                    <w:r>
                      <w:rPr>
                        <w:sz w:val="21"/>
                      </w:rPr>
                      <w:fldChar w:fldCharType="end"/>
                    </w:r>
                    <w:r>
                      <w:rPr>
                        <w:spacing w:val="-1"/>
                        <w:sz w:val="21"/>
                      </w:rPr>
                      <w:t> </w:t>
                    </w:r>
                    <w:r>
                      <w:rPr>
                        <w:sz w:val="21"/>
                      </w:rPr>
                      <w:t>| </w:t>
                    </w:r>
                    <w:r>
                      <w:rPr>
                        <w:color w:val="7E7E7E"/>
                        <w:spacing w:val="11"/>
                        <w:sz w:val="21"/>
                      </w:rPr>
                      <w:t>P</w:t>
                    </w:r>
                    <w:r>
                      <w:rPr>
                        <w:color w:val="7E7E7E"/>
                        <w:sz w:val="21"/>
                      </w:rPr>
                      <w:t> a</w:t>
                    </w:r>
                    <w:r>
                      <w:rPr>
                        <w:color w:val="7E7E7E"/>
                        <w:spacing w:val="12"/>
                        <w:sz w:val="21"/>
                      </w:rPr>
                      <w:t> g</w:t>
                    </w:r>
                    <w:r>
                      <w:rPr>
                        <w:color w:val="7E7E7E"/>
                        <w:sz w:val="21"/>
                      </w:rPr>
                      <w:t> </w:t>
                    </w:r>
                    <w:r>
                      <w:rPr>
                        <w:color w:val="7E7E7E"/>
                        <w:spacing w:val="-10"/>
                        <w:sz w:val="21"/>
                      </w:rPr>
                      <w:t>e</w:t>
                    </w:r>
                    <w:r>
                      <w:rPr>
                        <w:color w:val="7E7E7E"/>
                        <w:sz w:val="21"/>
                      </w:rPr>
                      <w:t> </w:t>
                    </w:r>
                  </w:p>
                </w:txbxContent>
              </v:textbox>
              <w10:wrap type="none"/>
            </v:shape>
          </w:pict>
        </mc:Fallback>
      </mc:AlternateContent>
    </w:r>
  </w:p>
</w:ftr>
</file>

<file path=word/footer6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2620416">
              <wp:simplePos x="0" y="0"/>
              <wp:positionH relativeFrom="page">
                <wp:posOffset>806195</wp:posOffset>
              </wp:positionH>
              <wp:positionV relativeFrom="page">
                <wp:posOffset>9129509</wp:posOffset>
              </wp:positionV>
              <wp:extent cx="6159500" cy="6350"/>
              <wp:effectExtent l="0" t="0" r="0" b="0"/>
              <wp:wrapNone/>
              <wp:docPr id="667" name="Graphic 667"/>
              <wp:cNvGraphicFramePr>
                <a:graphicFrameLocks/>
              </wp:cNvGraphicFramePr>
              <a:graphic>
                <a:graphicData uri="http://schemas.microsoft.com/office/word/2010/wordprocessingShape">
                  <wps:wsp>
                    <wps:cNvPr id="667" name="Graphic 667"/>
                    <wps:cNvSpPr/>
                    <wps:spPr>
                      <a:xfrm>
                        <a:off x="0" y="0"/>
                        <a:ext cx="6159500" cy="6350"/>
                      </a:xfrm>
                      <a:custGeom>
                        <a:avLst/>
                        <a:gdLst/>
                        <a:ahLst/>
                        <a:cxnLst/>
                        <a:rect l="l" t="t" r="r" b="b"/>
                        <a:pathLst>
                          <a:path w="6159500" h="6350">
                            <a:moveTo>
                              <a:pt x="6159246" y="0"/>
                            </a:moveTo>
                            <a:lnTo>
                              <a:pt x="0" y="0"/>
                            </a:lnTo>
                            <a:lnTo>
                              <a:pt x="0" y="6108"/>
                            </a:lnTo>
                            <a:lnTo>
                              <a:pt x="6159246" y="6108"/>
                            </a:lnTo>
                            <a:lnTo>
                              <a:pt x="6159246"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rect style="position:absolute;margin-left:63.48pt;margin-top:718.859009pt;width:484.98pt;height:.481pt;mso-position-horizontal-relative:page;mso-position-vertical-relative:page;z-index:-20696064" id="docshape564" filled="true" fillcolor="#d9d9d9" stroked="false">
              <v:fill type="solid"/>
              <w10:wrap type="none"/>
            </v:rect>
          </w:pict>
        </mc:Fallback>
      </mc:AlternateContent>
    </w:r>
    <w:r>
      <w:rPr/>
      <mc:AlternateContent>
        <mc:Choice Requires="wps">
          <w:drawing>
            <wp:anchor distT="0" distB="0" distL="0" distR="0" allowOverlap="1" layoutInCell="1" locked="0" behindDoc="1" simplePos="0" relativeHeight="482620928">
              <wp:simplePos x="0" y="0"/>
              <wp:positionH relativeFrom="page">
                <wp:posOffset>6169914</wp:posOffset>
              </wp:positionH>
              <wp:positionV relativeFrom="page">
                <wp:posOffset>9162351</wp:posOffset>
              </wp:positionV>
              <wp:extent cx="789940" cy="158750"/>
              <wp:effectExtent l="0" t="0" r="0" b="0"/>
              <wp:wrapNone/>
              <wp:docPr id="668" name="Textbox 668"/>
              <wp:cNvGraphicFramePr>
                <a:graphicFrameLocks/>
              </wp:cNvGraphicFramePr>
              <a:graphic>
                <a:graphicData uri="http://schemas.microsoft.com/office/word/2010/wordprocessingShape">
                  <wps:wsp>
                    <wps:cNvPr id="668" name="Textbox 668"/>
                    <wps:cNvSpPr txBox="1"/>
                    <wps:spPr>
                      <a:xfrm>
                        <a:off x="0" y="0"/>
                        <a:ext cx="789940" cy="158750"/>
                      </a:xfrm>
                      <a:prstGeom prst="rect">
                        <a:avLst/>
                      </a:prstGeom>
                    </wps:spPr>
                    <wps:txbx>
                      <w:txbxContent>
                        <w:p>
                          <w:pPr>
                            <w:spacing w:line="234" w:lineRule="exact" w:before="0"/>
                            <w:ind w:left="60" w:right="0" w:firstLine="0"/>
                            <w:jc w:val="left"/>
                            <w:rPr>
                              <w:sz w:val="21"/>
                            </w:rPr>
                          </w:pPr>
                          <w:r>
                            <w:rPr>
                              <w:sz w:val="21"/>
                            </w:rPr>
                            <w:fldChar w:fldCharType="begin"/>
                          </w:r>
                          <w:r>
                            <w:rPr>
                              <w:sz w:val="21"/>
                            </w:rPr>
                            <w:instrText> PAGE </w:instrText>
                          </w:r>
                          <w:r>
                            <w:rPr>
                              <w:sz w:val="21"/>
                            </w:rPr>
                            <w:fldChar w:fldCharType="separate"/>
                          </w:r>
                          <w:r>
                            <w:rPr>
                              <w:sz w:val="21"/>
                            </w:rPr>
                            <w:t>304</w:t>
                          </w:r>
                          <w:r>
                            <w:rPr>
                              <w:sz w:val="21"/>
                            </w:rPr>
                            <w:fldChar w:fldCharType="end"/>
                          </w:r>
                          <w:r>
                            <w:rPr>
                              <w:spacing w:val="-1"/>
                              <w:sz w:val="21"/>
                            </w:rPr>
                            <w:t> </w:t>
                          </w:r>
                          <w:r>
                            <w:rPr>
                              <w:sz w:val="21"/>
                            </w:rPr>
                            <w:t>| </w:t>
                          </w:r>
                          <w:r>
                            <w:rPr>
                              <w:color w:val="7E7E7E"/>
                              <w:spacing w:val="11"/>
                              <w:sz w:val="21"/>
                            </w:rPr>
                            <w:t>P</w:t>
                          </w:r>
                          <w:r>
                            <w:rPr>
                              <w:color w:val="7E7E7E"/>
                              <w:sz w:val="21"/>
                            </w:rPr>
                            <w:t> a</w:t>
                          </w:r>
                          <w:r>
                            <w:rPr>
                              <w:color w:val="7E7E7E"/>
                              <w:spacing w:val="12"/>
                              <w:sz w:val="21"/>
                            </w:rPr>
                            <w:t> g</w:t>
                          </w:r>
                          <w:r>
                            <w:rPr>
                              <w:color w:val="7E7E7E"/>
                              <w:sz w:val="21"/>
                            </w:rPr>
                            <w:t> </w:t>
                          </w:r>
                          <w:r>
                            <w:rPr>
                              <w:color w:val="7E7E7E"/>
                              <w:spacing w:val="-10"/>
                              <w:sz w:val="21"/>
                            </w:rPr>
                            <w:t>e</w:t>
                          </w:r>
                          <w:r>
                            <w:rPr>
                              <w:color w:val="7E7E7E"/>
                              <w:sz w:val="21"/>
                            </w:rPr>
                            <w:t> </w:t>
                          </w:r>
                        </w:p>
                      </w:txbxContent>
                    </wps:txbx>
                    <wps:bodyPr wrap="square" lIns="0" tIns="0" rIns="0" bIns="0" rtlCol="0">
                      <a:noAutofit/>
                    </wps:bodyPr>
                  </wps:wsp>
                </a:graphicData>
              </a:graphic>
            </wp:anchor>
          </w:drawing>
        </mc:Choice>
        <mc:Fallback>
          <w:pict>
            <v:shape style="position:absolute;margin-left:485.820007pt;margin-top:721.445007pt;width:62.2pt;height:12.5pt;mso-position-horizontal-relative:page;mso-position-vertical-relative:page;z-index:-20695552" type="#_x0000_t202" id="docshape565" filled="false" stroked="false">
              <v:textbox inset="0,0,0,0">
                <w:txbxContent>
                  <w:p>
                    <w:pPr>
                      <w:spacing w:line="234" w:lineRule="exact" w:before="0"/>
                      <w:ind w:left="60" w:right="0" w:firstLine="0"/>
                      <w:jc w:val="left"/>
                      <w:rPr>
                        <w:sz w:val="21"/>
                      </w:rPr>
                    </w:pPr>
                    <w:r>
                      <w:rPr>
                        <w:sz w:val="21"/>
                      </w:rPr>
                      <w:fldChar w:fldCharType="begin"/>
                    </w:r>
                    <w:r>
                      <w:rPr>
                        <w:sz w:val="21"/>
                      </w:rPr>
                      <w:instrText> PAGE </w:instrText>
                    </w:r>
                    <w:r>
                      <w:rPr>
                        <w:sz w:val="21"/>
                      </w:rPr>
                      <w:fldChar w:fldCharType="separate"/>
                    </w:r>
                    <w:r>
                      <w:rPr>
                        <w:sz w:val="21"/>
                      </w:rPr>
                      <w:t>304</w:t>
                    </w:r>
                    <w:r>
                      <w:rPr>
                        <w:sz w:val="21"/>
                      </w:rPr>
                      <w:fldChar w:fldCharType="end"/>
                    </w:r>
                    <w:r>
                      <w:rPr>
                        <w:spacing w:val="-1"/>
                        <w:sz w:val="21"/>
                      </w:rPr>
                      <w:t> </w:t>
                    </w:r>
                    <w:r>
                      <w:rPr>
                        <w:sz w:val="21"/>
                      </w:rPr>
                      <w:t>| </w:t>
                    </w:r>
                    <w:r>
                      <w:rPr>
                        <w:color w:val="7E7E7E"/>
                        <w:spacing w:val="11"/>
                        <w:sz w:val="21"/>
                      </w:rPr>
                      <w:t>P</w:t>
                    </w:r>
                    <w:r>
                      <w:rPr>
                        <w:color w:val="7E7E7E"/>
                        <w:sz w:val="21"/>
                      </w:rPr>
                      <w:t> a</w:t>
                    </w:r>
                    <w:r>
                      <w:rPr>
                        <w:color w:val="7E7E7E"/>
                        <w:spacing w:val="12"/>
                        <w:sz w:val="21"/>
                      </w:rPr>
                      <w:t> g</w:t>
                    </w:r>
                    <w:r>
                      <w:rPr>
                        <w:color w:val="7E7E7E"/>
                        <w:sz w:val="21"/>
                      </w:rPr>
                      <w:t> </w:t>
                    </w:r>
                    <w:r>
                      <w:rPr>
                        <w:color w:val="7E7E7E"/>
                        <w:spacing w:val="-10"/>
                        <w:sz w:val="21"/>
                      </w:rPr>
                      <w:t>e</w:t>
                    </w:r>
                    <w:r>
                      <w:rPr>
                        <w:color w:val="7E7E7E"/>
                        <w:sz w:val="21"/>
                      </w:rPr>
                      <w:t> </w:t>
                    </w:r>
                  </w:p>
                </w:txbxContent>
              </v:textbox>
              <w10:wrap type="none"/>
            </v:shape>
          </w:pict>
        </mc:Fallback>
      </mc:AlternateContent>
    </w:r>
  </w:p>
</w:ftr>
</file>

<file path=word/footer6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2621952">
              <wp:simplePos x="0" y="0"/>
              <wp:positionH relativeFrom="page">
                <wp:posOffset>806195</wp:posOffset>
              </wp:positionH>
              <wp:positionV relativeFrom="page">
                <wp:posOffset>9131045</wp:posOffset>
              </wp:positionV>
              <wp:extent cx="6159500" cy="6350"/>
              <wp:effectExtent l="0" t="0" r="0" b="0"/>
              <wp:wrapNone/>
              <wp:docPr id="671" name="Graphic 671"/>
              <wp:cNvGraphicFramePr>
                <a:graphicFrameLocks/>
              </wp:cNvGraphicFramePr>
              <a:graphic>
                <a:graphicData uri="http://schemas.microsoft.com/office/word/2010/wordprocessingShape">
                  <wps:wsp>
                    <wps:cNvPr id="671" name="Graphic 671"/>
                    <wps:cNvSpPr/>
                    <wps:spPr>
                      <a:xfrm>
                        <a:off x="0" y="0"/>
                        <a:ext cx="6159500" cy="6350"/>
                      </a:xfrm>
                      <a:custGeom>
                        <a:avLst/>
                        <a:gdLst/>
                        <a:ahLst/>
                        <a:cxnLst/>
                        <a:rect l="l" t="t" r="r" b="b"/>
                        <a:pathLst>
                          <a:path w="6159500" h="6350">
                            <a:moveTo>
                              <a:pt x="6159246" y="0"/>
                            </a:moveTo>
                            <a:lnTo>
                              <a:pt x="0" y="0"/>
                            </a:lnTo>
                            <a:lnTo>
                              <a:pt x="0" y="6095"/>
                            </a:lnTo>
                            <a:lnTo>
                              <a:pt x="6159246" y="6095"/>
                            </a:lnTo>
                            <a:lnTo>
                              <a:pt x="6159246"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rect style="position:absolute;margin-left:63.48pt;margin-top:718.97998pt;width:484.98pt;height:.48pt;mso-position-horizontal-relative:page;mso-position-vertical-relative:page;z-index:-20694528" id="docshape568" filled="true" fillcolor="#d9d9d9" stroked="false">
              <v:fill type="solid"/>
              <w10:wrap type="none"/>
            </v:rect>
          </w:pict>
        </mc:Fallback>
      </mc:AlternateContent>
    </w:r>
    <w:r>
      <w:rPr/>
      <mc:AlternateContent>
        <mc:Choice Requires="wps">
          <w:drawing>
            <wp:anchor distT="0" distB="0" distL="0" distR="0" allowOverlap="1" layoutInCell="1" locked="0" behindDoc="1" simplePos="0" relativeHeight="482622464">
              <wp:simplePos x="0" y="0"/>
              <wp:positionH relativeFrom="page">
                <wp:posOffset>6169914</wp:posOffset>
              </wp:positionH>
              <wp:positionV relativeFrom="page">
                <wp:posOffset>9163875</wp:posOffset>
              </wp:positionV>
              <wp:extent cx="789940" cy="158750"/>
              <wp:effectExtent l="0" t="0" r="0" b="0"/>
              <wp:wrapNone/>
              <wp:docPr id="672" name="Textbox 672"/>
              <wp:cNvGraphicFramePr>
                <a:graphicFrameLocks/>
              </wp:cNvGraphicFramePr>
              <a:graphic>
                <a:graphicData uri="http://schemas.microsoft.com/office/word/2010/wordprocessingShape">
                  <wps:wsp>
                    <wps:cNvPr id="672" name="Textbox 672"/>
                    <wps:cNvSpPr txBox="1"/>
                    <wps:spPr>
                      <a:xfrm>
                        <a:off x="0" y="0"/>
                        <a:ext cx="789940" cy="158750"/>
                      </a:xfrm>
                      <a:prstGeom prst="rect">
                        <a:avLst/>
                      </a:prstGeom>
                    </wps:spPr>
                    <wps:txbx>
                      <w:txbxContent>
                        <w:p>
                          <w:pPr>
                            <w:spacing w:line="234" w:lineRule="exact" w:before="0"/>
                            <w:ind w:left="60" w:right="0" w:firstLine="0"/>
                            <w:jc w:val="left"/>
                            <w:rPr>
                              <w:sz w:val="21"/>
                            </w:rPr>
                          </w:pPr>
                          <w:r>
                            <w:rPr>
                              <w:sz w:val="21"/>
                            </w:rPr>
                            <w:fldChar w:fldCharType="begin"/>
                          </w:r>
                          <w:r>
                            <w:rPr>
                              <w:sz w:val="21"/>
                            </w:rPr>
                            <w:instrText> PAGE </w:instrText>
                          </w:r>
                          <w:r>
                            <w:rPr>
                              <w:sz w:val="21"/>
                            </w:rPr>
                            <w:fldChar w:fldCharType="separate"/>
                          </w:r>
                          <w:r>
                            <w:rPr>
                              <w:sz w:val="21"/>
                            </w:rPr>
                            <w:t>308</w:t>
                          </w:r>
                          <w:r>
                            <w:rPr>
                              <w:sz w:val="21"/>
                            </w:rPr>
                            <w:fldChar w:fldCharType="end"/>
                          </w:r>
                          <w:r>
                            <w:rPr>
                              <w:spacing w:val="-1"/>
                              <w:sz w:val="21"/>
                            </w:rPr>
                            <w:t> </w:t>
                          </w:r>
                          <w:r>
                            <w:rPr>
                              <w:sz w:val="21"/>
                            </w:rPr>
                            <w:t>| </w:t>
                          </w:r>
                          <w:r>
                            <w:rPr>
                              <w:color w:val="7E7E7E"/>
                              <w:spacing w:val="11"/>
                              <w:sz w:val="21"/>
                            </w:rPr>
                            <w:t>P</w:t>
                          </w:r>
                          <w:r>
                            <w:rPr>
                              <w:color w:val="7E7E7E"/>
                              <w:sz w:val="21"/>
                            </w:rPr>
                            <w:t> a</w:t>
                          </w:r>
                          <w:r>
                            <w:rPr>
                              <w:color w:val="7E7E7E"/>
                              <w:spacing w:val="12"/>
                              <w:sz w:val="21"/>
                            </w:rPr>
                            <w:t> g</w:t>
                          </w:r>
                          <w:r>
                            <w:rPr>
                              <w:color w:val="7E7E7E"/>
                              <w:sz w:val="21"/>
                            </w:rPr>
                            <w:t> </w:t>
                          </w:r>
                          <w:r>
                            <w:rPr>
                              <w:color w:val="7E7E7E"/>
                              <w:spacing w:val="-10"/>
                              <w:sz w:val="21"/>
                            </w:rPr>
                            <w:t>e</w:t>
                          </w:r>
                          <w:r>
                            <w:rPr>
                              <w:color w:val="7E7E7E"/>
                              <w:sz w:val="21"/>
                            </w:rPr>
                            <w:t> </w:t>
                          </w:r>
                        </w:p>
                      </w:txbxContent>
                    </wps:txbx>
                    <wps:bodyPr wrap="square" lIns="0" tIns="0" rIns="0" bIns="0" rtlCol="0">
                      <a:noAutofit/>
                    </wps:bodyPr>
                  </wps:wsp>
                </a:graphicData>
              </a:graphic>
            </wp:anchor>
          </w:drawing>
        </mc:Choice>
        <mc:Fallback>
          <w:pict>
            <v:shape style="position:absolute;margin-left:485.820007pt;margin-top:721.565002pt;width:62.2pt;height:12.5pt;mso-position-horizontal-relative:page;mso-position-vertical-relative:page;z-index:-20694016" type="#_x0000_t202" id="docshape569" filled="false" stroked="false">
              <v:textbox inset="0,0,0,0">
                <w:txbxContent>
                  <w:p>
                    <w:pPr>
                      <w:spacing w:line="234" w:lineRule="exact" w:before="0"/>
                      <w:ind w:left="60" w:right="0" w:firstLine="0"/>
                      <w:jc w:val="left"/>
                      <w:rPr>
                        <w:sz w:val="21"/>
                      </w:rPr>
                    </w:pPr>
                    <w:r>
                      <w:rPr>
                        <w:sz w:val="21"/>
                      </w:rPr>
                      <w:fldChar w:fldCharType="begin"/>
                    </w:r>
                    <w:r>
                      <w:rPr>
                        <w:sz w:val="21"/>
                      </w:rPr>
                      <w:instrText> PAGE </w:instrText>
                    </w:r>
                    <w:r>
                      <w:rPr>
                        <w:sz w:val="21"/>
                      </w:rPr>
                      <w:fldChar w:fldCharType="separate"/>
                    </w:r>
                    <w:r>
                      <w:rPr>
                        <w:sz w:val="21"/>
                      </w:rPr>
                      <w:t>308</w:t>
                    </w:r>
                    <w:r>
                      <w:rPr>
                        <w:sz w:val="21"/>
                      </w:rPr>
                      <w:fldChar w:fldCharType="end"/>
                    </w:r>
                    <w:r>
                      <w:rPr>
                        <w:spacing w:val="-1"/>
                        <w:sz w:val="21"/>
                      </w:rPr>
                      <w:t> </w:t>
                    </w:r>
                    <w:r>
                      <w:rPr>
                        <w:sz w:val="21"/>
                      </w:rPr>
                      <w:t>| </w:t>
                    </w:r>
                    <w:r>
                      <w:rPr>
                        <w:color w:val="7E7E7E"/>
                        <w:spacing w:val="11"/>
                        <w:sz w:val="21"/>
                      </w:rPr>
                      <w:t>P</w:t>
                    </w:r>
                    <w:r>
                      <w:rPr>
                        <w:color w:val="7E7E7E"/>
                        <w:sz w:val="21"/>
                      </w:rPr>
                      <w:t> a</w:t>
                    </w:r>
                    <w:r>
                      <w:rPr>
                        <w:color w:val="7E7E7E"/>
                        <w:spacing w:val="12"/>
                        <w:sz w:val="21"/>
                      </w:rPr>
                      <w:t> g</w:t>
                    </w:r>
                    <w:r>
                      <w:rPr>
                        <w:color w:val="7E7E7E"/>
                        <w:sz w:val="21"/>
                      </w:rPr>
                      <w:t> </w:t>
                    </w:r>
                    <w:r>
                      <w:rPr>
                        <w:color w:val="7E7E7E"/>
                        <w:spacing w:val="-10"/>
                        <w:sz w:val="21"/>
                      </w:rPr>
                      <w:t>e</w:t>
                    </w:r>
                    <w:r>
                      <w:rPr>
                        <w:color w:val="7E7E7E"/>
                        <w:sz w:val="21"/>
                      </w:rPr>
                      <w:t> </w:t>
                    </w:r>
                  </w:p>
                </w:txbxContent>
              </v:textbox>
              <w10:wrap type="none"/>
            </v:shape>
          </w:pict>
        </mc:Fallback>
      </mc:AlternateContent>
    </w:r>
  </w:p>
</w:ftr>
</file>

<file path=word/footer6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2623488">
              <wp:simplePos x="0" y="0"/>
              <wp:positionH relativeFrom="page">
                <wp:posOffset>806195</wp:posOffset>
              </wp:positionH>
              <wp:positionV relativeFrom="page">
                <wp:posOffset>9129509</wp:posOffset>
              </wp:positionV>
              <wp:extent cx="6159500" cy="6350"/>
              <wp:effectExtent l="0" t="0" r="0" b="0"/>
              <wp:wrapNone/>
              <wp:docPr id="682" name="Graphic 682"/>
              <wp:cNvGraphicFramePr>
                <a:graphicFrameLocks/>
              </wp:cNvGraphicFramePr>
              <a:graphic>
                <a:graphicData uri="http://schemas.microsoft.com/office/word/2010/wordprocessingShape">
                  <wps:wsp>
                    <wps:cNvPr id="682" name="Graphic 682"/>
                    <wps:cNvSpPr/>
                    <wps:spPr>
                      <a:xfrm>
                        <a:off x="0" y="0"/>
                        <a:ext cx="6159500" cy="6350"/>
                      </a:xfrm>
                      <a:custGeom>
                        <a:avLst/>
                        <a:gdLst/>
                        <a:ahLst/>
                        <a:cxnLst/>
                        <a:rect l="l" t="t" r="r" b="b"/>
                        <a:pathLst>
                          <a:path w="6159500" h="6350">
                            <a:moveTo>
                              <a:pt x="6159246" y="0"/>
                            </a:moveTo>
                            <a:lnTo>
                              <a:pt x="0" y="0"/>
                            </a:lnTo>
                            <a:lnTo>
                              <a:pt x="0" y="6108"/>
                            </a:lnTo>
                            <a:lnTo>
                              <a:pt x="6159246" y="6108"/>
                            </a:lnTo>
                            <a:lnTo>
                              <a:pt x="6159246"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rect style="position:absolute;margin-left:63.48pt;margin-top:718.859009pt;width:484.98pt;height:.481pt;mso-position-horizontal-relative:page;mso-position-vertical-relative:page;z-index:-20692992" id="docshape579" filled="true" fillcolor="#d9d9d9" stroked="false">
              <v:fill type="solid"/>
              <w10:wrap type="none"/>
            </v:rect>
          </w:pict>
        </mc:Fallback>
      </mc:AlternateContent>
    </w:r>
    <w:r>
      <w:rPr/>
      <mc:AlternateContent>
        <mc:Choice Requires="wps">
          <w:drawing>
            <wp:anchor distT="0" distB="0" distL="0" distR="0" allowOverlap="1" layoutInCell="1" locked="0" behindDoc="1" simplePos="0" relativeHeight="482624000">
              <wp:simplePos x="0" y="0"/>
              <wp:positionH relativeFrom="page">
                <wp:posOffset>6169914</wp:posOffset>
              </wp:positionH>
              <wp:positionV relativeFrom="page">
                <wp:posOffset>9162351</wp:posOffset>
              </wp:positionV>
              <wp:extent cx="789940" cy="158750"/>
              <wp:effectExtent l="0" t="0" r="0" b="0"/>
              <wp:wrapNone/>
              <wp:docPr id="683" name="Textbox 683"/>
              <wp:cNvGraphicFramePr>
                <a:graphicFrameLocks/>
              </wp:cNvGraphicFramePr>
              <a:graphic>
                <a:graphicData uri="http://schemas.microsoft.com/office/word/2010/wordprocessingShape">
                  <wps:wsp>
                    <wps:cNvPr id="683" name="Textbox 683"/>
                    <wps:cNvSpPr txBox="1"/>
                    <wps:spPr>
                      <a:xfrm>
                        <a:off x="0" y="0"/>
                        <a:ext cx="789940" cy="158750"/>
                      </a:xfrm>
                      <a:prstGeom prst="rect">
                        <a:avLst/>
                      </a:prstGeom>
                    </wps:spPr>
                    <wps:txbx>
                      <w:txbxContent>
                        <w:p>
                          <w:pPr>
                            <w:spacing w:line="234" w:lineRule="exact" w:before="0"/>
                            <w:ind w:left="60" w:right="0" w:firstLine="0"/>
                            <w:jc w:val="left"/>
                            <w:rPr>
                              <w:sz w:val="21"/>
                            </w:rPr>
                          </w:pPr>
                          <w:r>
                            <w:rPr>
                              <w:sz w:val="21"/>
                            </w:rPr>
                            <w:fldChar w:fldCharType="begin"/>
                          </w:r>
                          <w:r>
                            <w:rPr>
                              <w:sz w:val="21"/>
                            </w:rPr>
                            <w:instrText> PAGE </w:instrText>
                          </w:r>
                          <w:r>
                            <w:rPr>
                              <w:sz w:val="21"/>
                            </w:rPr>
                            <w:fldChar w:fldCharType="separate"/>
                          </w:r>
                          <w:r>
                            <w:rPr>
                              <w:sz w:val="21"/>
                            </w:rPr>
                            <w:t>311</w:t>
                          </w:r>
                          <w:r>
                            <w:rPr>
                              <w:sz w:val="21"/>
                            </w:rPr>
                            <w:fldChar w:fldCharType="end"/>
                          </w:r>
                          <w:r>
                            <w:rPr>
                              <w:spacing w:val="-1"/>
                              <w:sz w:val="21"/>
                            </w:rPr>
                            <w:t> </w:t>
                          </w:r>
                          <w:r>
                            <w:rPr>
                              <w:sz w:val="21"/>
                            </w:rPr>
                            <w:t>| </w:t>
                          </w:r>
                          <w:r>
                            <w:rPr>
                              <w:color w:val="7E7E7E"/>
                              <w:spacing w:val="11"/>
                              <w:sz w:val="21"/>
                            </w:rPr>
                            <w:t>P</w:t>
                          </w:r>
                          <w:r>
                            <w:rPr>
                              <w:color w:val="7E7E7E"/>
                              <w:sz w:val="21"/>
                            </w:rPr>
                            <w:t> a</w:t>
                          </w:r>
                          <w:r>
                            <w:rPr>
                              <w:color w:val="7E7E7E"/>
                              <w:spacing w:val="12"/>
                              <w:sz w:val="21"/>
                            </w:rPr>
                            <w:t> g</w:t>
                          </w:r>
                          <w:r>
                            <w:rPr>
                              <w:color w:val="7E7E7E"/>
                              <w:sz w:val="21"/>
                            </w:rPr>
                            <w:t> </w:t>
                          </w:r>
                          <w:r>
                            <w:rPr>
                              <w:color w:val="7E7E7E"/>
                              <w:spacing w:val="-10"/>
                              <w:sz w:val="21"/>
                            </w:rPr>
                            <w:t>e</w:t>
                          </w:r>
                          <w:r>
                            <w:rPr>
                              <w:color w:val="7E7E7E"/>
                              <w:sz w:val="21"/>
                            </w:rPr>
                            <w:t> </w:t>
                          </w:r>
                        </w:p>
                      </w:txbxContent>
                    </wps:txbx>
                    <wps:bodyPr wrap="square" lIns="0" tIns="0" rIns="0" bIns="0" rtlCol="0">
                      <a:noAutofit/>
                    </wps:bodyPr>
                  </wps:wsp>
                </a:graphicData>
              </a:graphic>
            </wp:anchor>
          </w:drawing>
        </mc:Choice>
        <mc:Fallback>
          <w:pict>
            <v:shape style="position:absolute;margin-left:485.820007pt;margin-top:721.445007pt;width:62.2pt;height:12.5pt;mso-position-horizontal-relative:page;mso-position-vertical-relative:page;z-index:-20692480" type="#_x0000_t202" id="docshape580" filled="false" stroked="false">
              <v:textbox inset="0,0,0,0">
                <w:txbxContent>
                  <w:p>
                    <w:pPr>
                      <w:spacing w:line="234" w:lineRule="exact" w:before="0"/>
                      <w:ind w:left="60" w:right="0" w:firstLine="0"/>
                      <w:jc w:val="left"/>
                      <w:rPr>
                        <w:sz w:val="21"/>
                      </w:rPr>
                    </w:pPr>
                    <w:r>
                      <w:rPr>
                        <w:sz w:val="21"/>
                      </w:rPr>
                      <w:fldChar w:fldCharType="begin"/>
                    </w:r>
                    <w:r>
                      <w:rPr>
                        <w:sz w:val="21"/>
                      </w:rPr>
                      <w:instrText> PAGE </w:instrText>
                    </w:r>
                    <w:r>
                      <w:rPr>
                        <w:sz w:val="21"/>
                      </w:rPr>
                      <w:fldChar w:fldCharType="separate"/>
                    </w:r>
                    <w:r>
                      <w:rPr>
                        <w:sz w:val="21"/>
                      </w:rPr>
                      <w:t>311</w:t>
                    </w:r>
                    <w:r>
                      <w:rPr>
                        <w:sz w:val="21"/>
                      </w:rPr>
                      <w:fldChar w:fldCharType="end"/>
                    </w:r>
                    <w:r>
                      <w:rPr>
                        <w:spacing w:val="-1"/>
                        <w:sz w:val="21"/>
                      </w:rPr>
                      <w:t> </w:t>
                    </w:r>
                    <w:r>
                      <w:rPr>
                        <w:sz w:val="21"/>
                      </w:rPr>
                      <w:t>| </w:t>
                    </w:r>
                    <w:r>
                      <w:rPr>
                        <w:color w:val="7E7E7E"/>
                        <w:spacing w:val="11"/>
                        <w:sz w:val="21"/>
                      </w:rPr>
                      <w:t>P</w:t>
                    </w:r>
                    <w:r>
                      <w:rPr>
                        <w:color w:val="7E7E7E"/>
                        <w:sz w:val="21"/>
                      </w:rPr>
                      <w:t> a</w:t>
                    </w:r>
                    <w:r>
                      <w:rPr>
                        <w:color w:val="7E7E7E"/>
                        <w:spacing w:val="12"/>
                        <w:sz w:val="21"/>
                      </w:rPr>
                      <w:t> g</w:t>
                    </w:r>
                    <w:r>
                      <w:rPr>
                        <w:color w:val="7E7E7E"/>
                        <w:sz w:val="21"/>
                      </w:rPr>
                      <w:t> </w:t>
                    </w:r>
                    <w:r>
                      <w:rPr>
                        <w:color w:val="7E7E7E"/>
                        <w:spacing w:val="-10"/>
                        <w:sz w:val="21"/>
                      </w:rPr>
                      <w:t>e</w:t>
                    </w:r>
                    <w:r>
                      <w:rPr>
                        <w:color w:val="7E7E7E"/>
                        <w:sz w:val="21"/>
                      </w:rPr>
                      <w:t> </w:t>
                    </w:r>
                  </w:p>
                </w:txbxContent>
              </v:textbox>
              <w10:wrap type="none"/>
            </v:shape>
          </w:pict>
        </mc:Fallback>
      </mc:AlternateContent>
    </w:r>
  </w:p>
</w:ftr>
</file>

<file path=word/footer6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2625024">
              <wp:simplePos x="0" y="0"/>
              <wp:positionH relativeFrom="page">
                <wp:posOffset>806195</wp:posOffset>
              </wp:positionH>
              <wp:positionV relativeFrom="page">
                <wp:posOffset>9129509</wp:posOffset>
              </wp:positionV>
              <wp:extent cx="6159500" cy="6350"/>
              <wp:effectExtent l="0" t="0" r="0" b="0"/>
              <wp:wrapNone/>
              <wp:docPr id="692" name="Graphic 692"/>
              <wp:cNvGraphicFramePr>
                <a:graphicFrameLocks/>
              </wp:cNvGraphicFramePr>
              <a:graphic>
                <a:graphicData uri="http://schemas.microsoft.com/office/word/2010/wordprocessingShape">
                  <wps:wsp>
                    <wps:cNvPr id="692" name="Graphic 692"/>
                    <wps:cNvSpPr/>
                    <wps:spPr>
                      <a:xfrm>
                        <a:off x="0" y="0"/>
                        <a:ext cx="6159500" cy="6350"/>
                      </a:xfrm>
                      <a:custGeom>
                        <a:avLst/>
                        <a:gdLst/>
                        <a:ahLst/>
                        <a:cxnLst/>
                        <a:rect l="l" t="t" r="r" b="b"/>
                        <a:pathLst>
                          <a:path w="6159500" h="6350">
                            <a:moveTo>
                              <a:pt x="6159246" y="0"/>
                            </a:moveTo>
                            <a:lnTo>
                              <a:pt x="0" y="0"/>
                            </a:lnTo>
                            <a:lnTo>
                              <a:pt x="0" y="6108"/>
                            </a:lnTo>
                            <a:lnTo>
                              <a:pt x="6159246" y="6108"/>
                            </a:lnTo>
                            <a:lnTo>
                              <a:pt x="6159246"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rect style="position:absolute;margin-left:63.48pt;margin-top:718.859009pt;width:484.98pt;height:.481pt;mso-position-horizontal-relative:page;mso-position-vertical-relative:page;z-index:-20691456" id="docshape589" filled="true" fillcolor="#d9d9d9" stroked="false">
              <v:fill type="solid"/>
              <w10:wrap type="none"/>
            </v:rect>
          </w:pict>
        </mc:Fallback>
      </mc:AlternateContent>
    </w:r>
    <w:r>
      <w:rPr/>
      <mc:AlternateContent>
        <mc:Choice Requires="wps">
          <w:drawing>
            <wp:anchor distT="0" distB="0" distL="0" distR="0" allowOverlap="1" layoutInCell="1" locked="0" behindDoc="1" simplePos="0" relativeHeight="482625536">
              <wp:simplePos x="0" y="0"/>
              <wp:positionH relativeFrom="page">
                <wp:posOffset>6169914</wp:posOffset>
              </wp:positionH>
              <wp:positionV relativeFrom="page">
                <wp:posOffset>9162351</wp:posOffset>
              </wp:positionV>
              <wp:extent cx="789940" cy="158750"/>
              <wp:effectExtent l="0" t="0" r="0" b="0"/>
              <wp:wrapNone/>
              <wp:docPr id="693" name="Textbox 693"/>
              <wp:cNvGraphicFramePr>
                <a:graphicFrameLocks/>
              </wp:cNvGraphicFramePr>
              <a:graphic>
                <a:graphicData uri="http://schemas.microsoft.com/office/word/2010/wordprocessingShape">
                  <wps:wsp>
                    <wps:cNvPr id="693" name="Textbox 693"/>
                    <wps:cNvSpPr txBox="1"/>
                    <wps:spPr>
                      <a:xfrm>
                        <a:off x="0" y="0"/>
                        <a:ext cx="789940" cy="158750"/>
                      </a:xfrm>
                      <a:prstGeom prst="rect">
                        <a:avLst/>
                      </a:prstGeom>
                    </wps:spPr>
                    <wps:txbx>
                      <w:txbxContent>
                        <w:p>
                          <w:pPr>
                            <w:spacing w:line="234" w:lineRule="exact" w:before="0"/>
                            <w:ind w:left="60" w:right="0" w:firstLine="0"/>
                            <w:jc w:val="left"/>
                            <w:rPr>
                              <w:sz w:val="21"/>
                            </w:rPr>
                          </w:pPr>
                          <w:r>
                            <w:rPr>
                              <w:sz w:val="21"/>
                            </w:rPr>
                            <w:fldChar w:fldCharType="begin"/>
                          </w:r>
                          <w:r>
                            <w:rPr>
                              <w:sz w:val="21"/>
                            </w:rPr>
                            <w:instrText> PAGE </w:instrText>
                          </w:r>
                          <w:r>
                            <w:rPr>
                              <w:sz w:val="21"/>
                            </w:rPr>
                            <w:fldChar w:fldCharType="separate"/>
                          </w:r>
                          <w:r>
                            <w:rPr>
                              <w:sz w:val="21"/>
                            </w:rPr>
                            <w:t>315</w:t>
                          </w:r>
                          <w:r>
                            <w:rPr>
                              <w:sz w:val="21"/>
                            </w:rPr>
                            <w:fldChar w:fldCharType="end"/>
                          </w:r>
                          <w:r>
                            <w:rPr>
                              <w:spacing w:val="-1"/>
                              <w:sz w:val="21"/>
                            </w:rPr>
                            <w:t> </w:t>
                          </w:r>
                          <w:r>
                            <w:rPr>
                              <w:sz w:val="21"/>
                            </w:rPr>
                            <w:t>| </w:t>
                          </w:r>
                          <w:r>
                            <w:rPr>
                              <w:color w:val="7E7E7E"/>
                              <w:spacing w:val="11"/>
                              <w:sz w:val="21"/>
                            </w:rPr>
                            <w:t>P</w:t>
                          </w:r>
                          <w:r>
                            <w:rPr>
                              <w:color w:val="7E7E7E"/>
                              <w:sz w:val="21"/>
                            </w:rPr>
                            <w:t> a</w:t>
                          </w:r>
                          <w:r>
                            <w:rPr>
                              <w:color w:val="7E7E7E"/>
                              <w:spacing w:val="12"/>
                              <w:sz w:val="21"/>
                            </w:rPr>
                            <w:t> g</w:t>
                          </w:r>
                          <w:r>
                            <w:rPr>
                              <w:color w:val="7E7E7E"/>
                              <w:sz w:val="21"/>
                            </w:rPr>
                            <w:t> </w:t>
                          </w:r>
                          <w:r>
                            <w:rPr>
                              <w:color w:val="7E7E7E"/>
                              <w:spacing w:val="-10"/>
                              <w:sz w:val="21"/>
                            </w:rPr>
                            <w:t>e</w:t>
                          </w:r>
                          <w:r>
                            <w:rPr>
                              <w:color w:val="7E7E7E"/>
                              <w:sz w:val="21"/>
                            </w:rPr>
                            <w:t> </w:t>
                          </w:r>
                        </w:p>
                      </w:txbxContent>
                    </wps:txbx>
                    <wps:bodyPr wrap="square" lIns="0" tIns="0" rIns="0" bIns="0" rtlCol="0">
                      <a:noAutofit/>
                    </wps:bodyPr>
                  </wps:wsp>
                </a:graphicData>
              </a:graphic>
            </wp:anchor>
          </w:drawing>
        </mc:Choice>
        <mc:Fallback>
          <w:pict>
            <v:shape style="position:absolute;margin-left:485.820007pt;margin-top:721.445007pt;width:62.2pt;height:12.5pt;mso-position-horizontal-relative:page;mso-position-vertical-relative:page;z-index:-20690944" type="#_x0000_t202" id="docshape590" filled="false" stroked="false">
              <v:textbox inset="0,0,0,0">
                <w:txbxContent>
                  <w:p>
                    <w:pPr>
                      <w:spacing w:line="234" w:lineRule="exact" w:before="0"/>
                      <w:ind w:left="60" w:right="0" w:firstLine="0"/>
                      <w:jc w:val="left"/>
                      <w:rPr>
                        <w:sz w:val="21"/>
                      </w:rPr>
                    </w:pPr>
                    <w:r>
                      <w:rPr>
                        <w:sz w:val="21"/>
                      </w:rPr>
                      <w:fldChar w:fldCharType="begin"/>
                    </w:r>
                    <w:r>
                      <w:rPr>
                        <w:sz w:val="21"/>
                      </w:rPr>
                      <w:instrText> PAGE </w:instrText>
                    </w:r>
                    <w:r>
                      <w:rPr>
                        <w:sz w:val="21"/>
                      </w:rPr>
                      <w:fldChar w:fldCharType="separate"/>
                    </w:r>
                    <w:r>
                      <w:rPr>
                        <w:sz w:val="21"/>
                      </w:rPr>
                      <w:t>315</w:t>
                    </w:r>
                    <w:r>
                      <w:rPr>
                        <w:sz w:val="21"/>
                      </w:rPr>
                      <w:fldChar w:fldCharType="end"/>
                    </w:r>
                    <w:r>
                      <w:rPr>
                        <w:spacing w:val="-1"/>
                        <w:sz w:val="21"/>
                      </w:rPr>
                      <w:t> </w:t>
                    </w:r>
                    <w:r>
                      <w:rPr>
                        <w:sz w:val="21"/>
                      </w:rPr>
                      <w:t>| </w:t>
                    </w:r>
                    <w:r>
                      <w:rPr>
                        <w:color w:val="7E7E7E"/>
                        <w:spacing w:val="11"/>
                        <w:sz w:val="21"/>
                      </w:rPr>
                      <w:t>P</w:t>
                    </w:r>
                    <w:r>
                      <w:rPr>
                        <w:color w:val="7E7E7E"/>
                        <w:sz w:val="21"/>
                      </w:rPr>
                      <w:t> a</w:t>
                    </w:r>
                    <w:r>
                      <w:rPr>
                        <w:color w:val="7E7E7E"/>
                        <w:spacing w:val="12"/>
                        <w:sz w:val="21"/>
                      </w:rPr>
                      <w:t> g</w:t>
                    </w:r>
                    <w:r>
                      <w:rPr>
                        <w:color w:val="7E7E7E"/>
                        <w:sz w:val="21"/>
                      </w:rPr>
                      <w:t> </w:t>
                    </w:r>
                    <w:r>
                      <w:rPr>
                        <w:color w:val="7E7E7E"/>
                        <w:spacing w:val="-10"/>
                        <w:sz w:val="21"/>
                      </w:rPr>
                      <w:t>e</w:t>
                    </w:r>
                    <w:r>
                      <w:rPr>
                        <w:color w:val="7E7E7E"/>
                        <w:sz w:val="21"/>
                      </w:rPr>
                      <w:t> </w:t>
                    </w:r>
                  </w:p>
                </w:txbxContent>
              </v:textbox>
              <w10:wrap type="none"/>
            </v:shape>
          </w:pict>
        </mc:Fallback>
      </mc:AlternateContent>
    </w:r>
  </w:p>
</w:ftr>
</file>

<file path=word/footer6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2626560">
              <wp:simplePos x="0" y="0"/>
              <wp:positionH relativeFrom="page">
                <wp:posOffset>806195</wp:posOffset>
              </wp:positionH>
              <wp:positionV relativeFrom="page">
                <wp:posOffset>9118079</wp:posOffset>
              </wp:positionV>
              <wp:extent cx="6159500" cy="6350"/>
              <wp:effectExtent l="0" t="0" r="0" b="0"/>
              <wp:wrapNone/>
              <wp:docPr id="702" name="Graphic 702"/>
              <wp:cNvGraphicFramePr>
                <a:graphicFrameLocks/>
              </wp:cNvGraphicFramePr>
              <a:graphic>
                <a:graphicData uri="http://schemas.microsoft.com/office/word/2010/wordprocessingShape">
                  <wps:wsp>
                    <wps:cNvPr id="702" name="Graphic 702"/>
                    <wps:cNvSpPr/>
                    <wps:spPr>
                      <a:xfrm>
                        <a:off x="0" y="0"/>
                        <a:ext cx="6159500" cy="6350"/>
                      </a:xfrm>
                      <a:custGeom>
                        <a:avLst/>
                        <a:gdLst/>
                        <a:ahLst/>
                        <a:cxnLst/>
                        <a:rect l="l" t="t" r="r" b="b"/>
                        <a:pathLst>
                          <a:path w="6159500" h="6350">
                            <a:moveTo>
                              <a:pt x="6159246" y="0"/>
                            </a:moveTo>
                            <a:lnTo>
                              <a:pt x="0" y="0"/>
                            </a:lnTo>
                            <a:lnTo>
                              <a:pt x="0" y="6108"/>
                            </a:lnTo>
                            <a:lnTo>
                              <a:pt x="6159246" y="6108"/>
                            </a:lnTo>
                            <a:lnTo>
                              <a:pt x="6159246"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rect style="position:absolute;margin-left:63.48pt;margin-top:717.958984pt;width:484.98pt;height:.481pt;mso-position-horizontal-relative:page;mso-position-vertical-relative:page;z-index:-20689920" id="docshape599" filled="true" fillcolor="#d9d9d9" stroked="false">
              <v:fill type="solid"/>
              <w10:wrap type="none"/>
            </v:rect>
          </w:pict>
        </mc:Fallback>
      </mc:AlternateContent>
    </w:r>
    <w:r>
      <w:rPr/>
      <mc:AlternateContent>
        <mc:Choice Requires="wps">
          <w:drawing>
            <wp:anchor distT="0" distB="0" distL="0" distR="0" allowOverlap="1" layoutInCell="1" locked="0" behindDoc="1" simplePos="0" relativeHeight="482627072">
              <wp:simplePos x="0" y="0"/>
              <wp:positionH relativeFrom="page">
                <wp:posOffset>6169914</wp:posOffset>
              </wp:positionH>
              <wp:positionV relativeFrom="page">
                <wp:posOffset>9150159</wp:posOffset>
              </wp:positionV>
              <wp:extent cx="789940" cy="158750"/>
              <wp:effectExtent l="0" t="0" r="0" b="0"/>
              <wp:wrapNone/>
              <wp:docPr id="703" name="Textbox 703"/>
              <wp:cNvGraphicFramePr>
                <a:graphicFrameLocks/>
              </wp:cNvGraphicFramePr>
              <a:graphic>
                <a:graphicData uri="http://schemas.microsoft.com/office/word/2010/wordprocessingShape">
                  <wps:wsp>
                    <wps:cNvPr id="703" name="Textbox 703"/>
                    <wps:cNvSpPr txBox="1"/>
                    <wps:spPr>
                      <a:xfrm>
                        <a:off x="0" y="0"/>
                        <a:ext cx="789940" cy="158750"/>
                      </a:xfrm>
                      <a:prstGeom prst="rect">
                        <a:avLst/>
                      </a:prstGeom>
                    </wps:spPr>
                    <wps:txbx>
                      <w:txbxContent>
                        <w:p>
                          <w:pPr>
                            <w:spacing w:line="234" w:lineRule="exact" w:before="0"/>
                            <w:ind w:left="60" w:right="0" w:firstLine="0"/>
                            <w:jc w:val="left"/>
                            <w:rPr>
                              <w:sz w:val="21"/>
                            </w:rPr>
                          </w:pPr>
                          <w:r>
                            <w:rPr>
                              <w:sz w:val="21"/>
                            </w:rPr>
                            <w:fldChar w:fldCharType="begin"/>
                          </w:r>
                          <w:r>
                            <w:rPr>
                              <w:sz w:val="21"/>
                            </w:rPr>
                            <w:instrText> PAGE </w:instrText>
                          </w:r>
                          <w:r>
                            <w:rPr>
                              <w:sz w:val="21"/>
                            </w:rPr>
                            <w:fldChar w:fldCharType="separate"/>
                          </w:r>
                          <w:r>
                            <w:rPr>
                              <w:sz w:val="21"/>
                            </w:rPr>
                            <w:t>318</w:t>
                          </w:r>
                          <w:r>
                            <w:rPr>
                              <w:sz w:val="21"/>
                            </w:rPr>
                            <w:fldChar w:fldCharType="end"/>
                          </w:r>
                          <w:r>
                            <w:rPr>
                              <w:spacing w:val="-1"/>
                              <w:sz w:val="21"/>
                            </w:rPr>
                            <w:t> </w:t>
                          </w:r>
                          <w:r>
                            <w:rPr>
                              <w:sz w:val="21"/>
                            </w:rPr>
                            <w:t>| </w:t>
                          </w:r>
                          <w:r>
                            <w:rPr>
                              <w:color w:val="7E7E7E"/>
                              <w:spacing w:val="11"/>
                              <w:sz w:val="21"/>
                            </w:rPr>
                            <w:t>P</w:t>
                          </w:r>
                          <w:r>
                            <w:rPr>
                              <w:color w:val="7E7E7E"/>
                              <w:sz w:val="21"/>
                            </w:rPr>
                            <w:t> a</w:t>
                          </w:r>
                          <w:r>
                            <w:rPr>
                              <w:color w:val="7E7E7E"/>
                              <w:spacing w:val="12"/>
                              <w:sz w:val="21"/>
                            </w:rPr>
                            <w:t> g</w:t>
                          </w:r>
                          <w:r>
                            <w:rPr>
                              <w:color w:val="7E7E7E"/>
                              <w:sz w:val="21"/>
                            </w:rPr>
                            <w:t> </w:t>
                          </w:r>
                          <w:r>
                            <w:rPr>
                              <w:color w:val="7E7E7E"/>
                              <w:spacing w:val="-10"/>
                              <w:sz w:val="21"/>
                            </w:rPr>
                            <w:t>e</w:t>
                          </w:r>
                          <w:r>
                            <w:rPr>
                              <w:color w:val="7E7E7E"/>
                              <w:sz w:val="21"/>
                            </w:rPr>
                            <w:t> </w:t>
                          </w:r>
                        </w:p>
                      </w:txbxContent>
                    </wps:txbx>
                    <wps:bodyPr wrap="square" lIns="0" tIns="0" rIns="0" bIns="0" rtlCol="0">
                      <a:noAutofit/>
                    </wps:bodyPr>
                  </wps:wsp>
                </a:graphicData>
              </a:graphic>
            </wp:anchor>
          </w:drawing>
        </mc:Choice>
        <mc:Fallback>
          <w:pict>
            <v:shape style="position:absolute;margin-left:485.820007pt;margin-top:720.484985pt;width:62.2pt;height:12.5pt;mso-position-horizontal-relative:page;mso-position-vertical-relative:page;z-index:-20689408" type="#_x0000_t202" id="docshape600" filled="false" stroked="false">
              <v:textbox inset="0,0,0,0">
                <w:txbxContent>
                  <w:p>
                    <w:pPr>
                      <w:spacing w:line="234" w:lineRule="exact" w:before="0"/>
                      <w:ind w:left="60" w:right="0" w:firstLine="0"/>
                      <w:jc w:val="left"/>
                      <w:rPr>
                        <w:sz w:val="21"/>
                      </w:rPr>
                    </w:pPr>
                    <w:r>
                      <w:rPr>
                        <w:sz w:val="21"/>
                      </w:rPr>
                      <w:fldChar w:fldCharType="begin"/>
                    </w:r>
                    <w:r>
                      <w:rPr>
                        <w:sz w:val="21"/>
                      </w:rPr>
                      <w:instrText> PAGE </w:instrText>
                    </w:r>
                    <w:r>
                      <w:rPr>
                        <w:sz w:val="21"/>
                      </w:rPr>
                      <w:fldChar w:fldCharType="separate"/>
                    </w:r>
                    <w:r>
                      <w:rPr>
                        <w:sz w:val="21"/>
                      </w:rPr>
                      <w:t>318</w:t>
                    </w:r>
                    <w:r>
                      <w:rPr>
                        <w:sz w:val="21"/>
                      </w:rPr>
                      <w:fldChar w:fldCharType="end"/>
                    </w:r>
                    <w:r>
                      <w:rPr>
                        <w:spacing w:val="-1"/>
                        <w:sz w:val="21"/>
                      </w:rPr>
                      <w:t> </w:t>
                    </w:r>
                    <w:r>
                      <w:rPr>
                        <w:sz w:val="21"/>
                      </w:rPr>
                      <w:t>| </w:t>
                    </w:r>
                    <w:r>
                      <w:rPr>
                        <w:color w:val="7E7E7E"/>
                        <w:spacing w:val="11"/>
                        <w:sz w:val="21"/>
                      </w:rPr>
                      <w:t>P</w:t>
                    </w:r>
                    <w:r>
                      <w:rPr>
                        <w:color w:val="7E7E7E"/>
                        <w:sz w:val="21"/>
                      </w:rPr>
                      <w:t> a</w:t>
                    </w:r>
                    <w:r>
                      <w:rPr>
                        <w:color w:val="7E7E7E"/>
                        <w:spacing w:val="12"/>
                        <w:sz w:val="21"/>
                      </w:rPr>
                      <w:t> g</w:t>
                    </w:r>
                    <w:r>
                      <w:rPr>
                        <w:color w:val="7E7E7E"/>
                        <w:sz w:val="21"/>
                      </w:rPr>
                      <w:t> </w:t>
                    </w:r>
                    <w:r>
                      <w:rPr>
                        <w:color w:val="7E7E7E"/>
                        <w:spacing w:val="-10"/>
                        <w:sz w:val="21"/>
                      </w:rPr>
                      <w:t>e</w:t>
                    </w:r>
                    <w:r>
                      <w:rPr>
                        <w:color w:val="7E7E7E"/>
                        <w:sz w:val="21"/>
                      </w:rPr>
                      <w:t> </w:t>
                    </w:r>
                  </w:p>
                </w:txbxContent>
              </v:textbox>
              <w10:wrap type="none"/>
            </v:shape>
          </w:pict>
        </mc:Fallback>
      </mc:AlternateContent>
    </w:r>
  </w:p>
</w:ftr>
</file>

<file path=word/footer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2555904">
              <wp:simplePos x="0" y="0"/>
              <wp:positionH relativeFrom="page">
                <wp:posOffset>895350</wp:posOffset>
              </wp:positionH>
              <wp:positionV relativeFrom="page">
                <wp:posOffset>9257525</wp:posOffset>
              </wp:positionV>
              <wp:extent cx="5982335" cy="6350"/>
              <wp:effectExtent l="0" t="0" r="0" b="0"/>
              <wp:wrapNone/>
              <wp:docPr id="46" name="Graphic 46"/>
              <wp:cNvGraphicFramePr>
                <a:graphicFrameLocks/>
              </wp:cNvGraphicFramePr>
              <a:graphic>
                <a:graphicData uri="http://schemas.microsoft.com/office/word/2010/wordprocessingShape">
                  <wps:wsp>
                    <wps:cNvPr id="46" name="Graphic 46"/>
                    <wps:cNvSpPr/>
                    <wps:spPr>
                      <a:xfrm>
                        <a:off x="0" y="0"/>
                        <a:ext cx="5982335" cy="6350"/>
                      </a:xfrm>
                      <a:custGeom>
                        <a:avLst/>
                        <a:gdLst/>
                        <a:ahLst/>
                        <a:cxnLst/>
                        <a:rect l="l" t="t" r="r" b="b"/>
                        <a:pathLst>
                          <a:path w="5982335" h="6350">
                            <a:moveTo>
                              <a:pt x="5981712" y="0"/>
                            </a:moveTo>
                            <a:lnTo>
                              <a:pt x="0" y="0"/>
                            </a:lnTo>
                            <a:lnTo>
                              <a:pt x="0" y="6108"/>
                            </a:lnTo>
                            <a:lnTo>
                              <a:pt x="5981712" y="6108"/>
                            </a:lnTo>
                            <a:lnTo>
                              <a:pt x="5981712"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rect style="position:absolute;margin-left:70.5pt;margin-top:728.939026pt;width:471.001pt;height:.481pt;mso-position-horizontal-relative:page;mso-position-vertical-relative:page;z-index:-20760576" id="docshape30" filled="true" fillcolor="#d9d9d9" stroked="false">
              <v:fill type="solid"/>
              <w10:wrap type="none"/>
            </v:rect>
          </w:pict>
        </mc:Fallback>
      </mc:AlternateContent>
    </w:r>
    <w:r>
      <w:rPr/>
      <mc:AlternateContent>
        <mc:Choice Requires="wps">
          <w:drawing>
            <wp:anchor distT="0" distB="0" distL="0" distR="0" allowOverlap="1" layoutInCell="1" locked="0" behindDoc="1" simplePos="0" relativeHeight="482556416">
              <wp:simplePos x="0" y="0"/>
              <wp:positionH relativeFrom="page">
                <wp:posOffset>6223253</wp:posOffset>
              </wp:positionH>
              <wp:positionV relativeFrom="page">
                <wp:posOffset>9262882</wp:posOffset>
              </wp:positionV>
              <wp:extent cx="610235" cy="188595"/>
              <wp:effectExtent l="0" t="0" r="0" b="0"/>
              <wp:wrapNone/>
              <wp:docPr id="47" name="Textbox 47"/>
              <wp:cNvGraphicFramePr>
                <a:graphicFrameLocks/>
              </wp:cNvGraphicFramePr>
              <a:graphic>
                <a:graphicData uri="http://schemas.microsoft.com/office/word/2010/wordprocessingShape">
                  <wps:wsp>
                    <wps:cNvPr id="47" name="Textbox 47"/>
                    <wps:cNvSpPr txBox="1"/>
                    <wps:spPr>
                      <a:xfrm>
                        <a:off x="0" y="0"/>
                        <a:ext cx="610235" cy="188595"/>
                      </a:xfrm>
                      <a:prstGeom prst="rect">
                        <a:avLst/>
                      </a:prstGeom>
                    </wps:spPr>
                    <wps:txbx>
                      <w:txbxContent>
                        <w:p>
                          <w:pPr>
                            <w:spacing w:before="17"/>
                            <w:ind w:left="60" w:right="0" w:firstLine="0"/>
                            <w:jc w:val="left"/>
                            <w:rPr>
                              <w:sz w:val="21"/>
                            </w:rPr>
                          </w:pPr>
                          <w:r>
                            <w:rPr>
                              <w:sz w:val="21"/>
                            </w:rPr>
                            <w:fldChar w:fldCharType="begin"/>
                          </w:r>
                          <w:r>
                            <w:rPr>
                              <w:sz w:val="21"/>
                            </w:rPr>
                            <w:instrText> PAGE </w:instrText>
                          </w:r>
                          <w:r>
                            <w:rPr>
                              <w:sz w:val="21"/>
                            </w:rPr>
                            <w:fldChar w:fldCharType="separate"/>
                          </w:r>
                          <w:r>
                            <w:rPr>
                              <w:sz w:val="21"/>
                            </w:rPr>
                            <w:t>5</w:t>
                          </w:r>
                          <w:r>
                            <w:rPr>
                              <w:sz w:val="21"/>
                            </w:rPr>
                            <w:fldChar w:fldCharType="end"/>
                          </w:r>
                          <w:r>
                            <w:rPr>
                              <w:spacing w:val="-5"/>
                              <w:sz w:val="21"/>
                            </w:rPr>
                            <w:t> </w:t>
                          </w:r>
                          <w:r>
                            <w:rPr>
                              <w:w w:val="90"/>
                              <w:sz w:val="21"/>
                            </w:rPr>
                            <w:t>| </w:t>
                          </w:r>
                          <w:r>
                            <w:rPr>
                              <w:color w:val="7E7E7E"/>
                              <w:spacing w:val="12"/>
                              <w:sz w:val="21"/>
                            </w:rPr>
                            <w:t>P</w:t>
                          </w:r>
                          <w:r>
                            <w:rPr>
                              <w:color w:val="7E7E7E"/>
                              <w:sz w:val="21"/>
                            </w:rPr>
                            <w:t> </w:t>
                          </w:r>
                          <w:r>
                            <w:rPr>
                              <w:color w:val="7E7E7E"/>
                              <w:spacing w:val="12"/>
                              <w:sz w:val="21"/>
                            </w:rPr>
                            <w:t>a</w:t>
                          </w:r>
                          <w:r>
                            <w:rPr>
                              <w:color w:val="7E7E7E"/>
                              <w:sz w:val="21"/>
                            </w:rPr>
                            <w:t> g</w:t>
                          </w:r>
                          <w:r>
                            <w:rPr>
                              <w:color w:val="7E7E7E"/>
                              <w:spacing w:val="11"/>
                              <w:sz w:val="21"/>
                            </w:rPr>
                            <w:t> </w:t>
                          </w:r>
                          <w:r>
                            <w:rPr>
                              <w:color w:val="7E7E7E"/>
                              <w:spacing w:val="-10"/>
                              <w:sz w:val="21"/>
                            </w:rPr>
                            <w:t>e</w:t>
                          </w:r>
                        </w:p>
                      </w:txbxContent>
                    </wps:txbx>
                    <wps:bodyPr wrap="square" lIns="0" tIns="0" rIns="0" bIns="0" rtlCol="0">
                      <a:noAutofit/>
                    </wps:bodyPr>
                  </wps:wsp>
                </a:graphicData>
              </a:graphic>
            </wp:anchor>
          </w:drawing>
        </mc:Choice>
        <mc:Fallback>
          <w:pict>
            <v:shape style="position:absolute;margin-left:490.019989pt;margin-top:729.36084pt;width:48.05pt;height:14.85pt;mso-position-horizontal-relative:page;mso-position-vertical-relative:page;z-index:-20760064" type="#_x0000_t202" id="docshape31" filled="false" stroked="false">
              <v:textbox inset="0,0,0,0">
                <w:txbxContent>
                  <w:p>
                    <w:pPr>
                      <w:spacing w:before="17"/>
                      <w:ind w:left="60" w:right="0" w:firstLine="0"/>
                      <w:jc w:val="left"/>
                      <w:rPr>
                        <w:sz w:val="21"/>
                      </w:rPr>
                    </w:pPr>
                    <w:r>
                      <w:rPr>
                        <w:sz w:val="21"/>
                      </w:rPr>
                      <w:fldChar w:fldCharType="begin"/>
                    </w:r>
                    <w:r>
                      <w:rPr>
                        <w:sz w:val="21"/>
                      </w:rPr>
                      <w:instrText> PAGE </w:instrText>
                    </w:r>
                    <w:r>
                      <w:rPr>
                        <w:sz w:val="21"/>
                      </w:rPr>
                      <w:fldChar w:fldCharType="separate"/>
                    </w:r>
                    <w:r>
                      <w:rPr>
                        <w:sz w:val="21"/>
                      </w:rPr>
                      <w:t>5</w:t>
                    </w:r>
                    <w:r>
                      <w:rPr>
                        <w:sz w:val="21"/>
                      </w:rPr>
                      <w:fldChar w:fldCharType="end"/>
                    </w:r>
                    <w:r>
                      <w:rPr>
                        <w:spacing w:val="-5"/>
                        <w:sz w:val="21"/>
                      </w:rPr>
                      <w:t> </w:t>
                    </w:r>
                    <w:r>
                      <w:rPr>
                        <w:w w:val="90"/>
                        <w:sz w:val="21"/>
                      </w:rPr>
                      <w:t>| </w:t>
                    </w:r>
                    <w:r>
                      <w:rPr>
                        <w:color w:val="7E7E7E"/>
                        <w:spacing w:val="12"/>
                        <w:sz w:val="21"/>
                      </w:rPr>
                      <w:t>P</w:t>
                    </w:r>
                    <w:r>
                      <w:rPr>
                        <w:color w:val="7E7E7E"/>
                        <w:sz w:val="21"/>
                      </w:rPr>
                      <w:t> </w:t>
                    </w:r>
                    <w:r>
                      <w:rPr>
                        <w:color w:val="7E7E7E"/>
                        <w:spacing w:val="12"/>
                        <w:sz w:val="21"/>
                      </w:rPr>
                      <w:t>a</w:t>
                    </w:r>
                    <w:r>
                      <w:rPr>
                        <w:color w:val="7E7E7E"/>
                        <w:sz w:val="21"/>
                      </w:rPr>
                      <w:t> g</w:t>
                    </w:r>
                    <w:r>
                      <w:rPr>
                        <w:color w:val="7E7E7E"/>
                        <w:spacing w:val="11"/>
                        <w:sz w:val="21"/>
                      </w:rPr>
                      <w:t> </w:t>
                    </w:r>
                    <w:r>
                      <w:rPr>
                        <w:color w:val="7E7E7E"/>
                        <w:spacing w:val="-10"/>
                        <w:sz w:val="21"/>
                      </w:rPr>
                      <w:t>e</w:t>
                    </w:r>
                  </w:p>
                </w:txbxContent>
              </v:textbox>
              <w10:wrap type="none"/>
            </v:shape>
          </w:pict>
        </mc:Fallback>
      </mc:AlternateContent>
    </w:r>
  </w:p>
</w:ftr>
</file>

<file path=word/footer7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2628096">
              <wp:simplePos x="0" y="0"/>
              <wp:positionH relativeFrom="page">
                <wp:posOffset>717804</wp:posOffset>
              </wp:positionH>
              <wp:positionV relativeFrom="page">
                <wp:posOffset>9168371</wp:posOffset>
              </wp:positionV>
              <wp:extent cx="6337935" cy="6350"/>
              <wp:effectExtent l="0" t="0" r="0" b="0"/>
              <wp:wrapNone/>
              <wp:docPr id="712" name="Graphic 712"/>
              <wp:cNvGraphicFramePr>
                <a:graphicFrameLocks/>
              </wp:cNvGraphicFramePr>
              <a:graphic>
                <a:graphicData uri="http://schemas.microsoft.com/office/word/2010/wordprocessingShape">
                  <wps:wsp>
                    <wps:cNvPr id="712" name="Graphic 712"/>
                    <wps:cNvSpPr/>
                    <wps:spPr>
                      <a:xfrm>
                        <a:off x="0" y="0"/>
                        <a:ext cx="6337935" cy="6350"/>
                      </a:xfrm>
                      <a:custGeom>
                        <a:avLst/>
                        <a:gdLst/>
                        <a:ahLst/>
                        <a:cxnLst/>
                        <a:rect l="l" t="t" r="r" b="b"/>
                        <a:pathLst>
                          <a:path w="6337935" h="6350">
                            <a:moveTo>
                              <a:pt x="6337554" y="0"/>
                            </a:moveTo>
                            <a:lnTo>
                              <a:pt x="0" y="0"/>
                            </a:lnTo>
                            <a:lnTo>
                              <a:pt x="0" y="6108"/>
                            </a:lnTo>
                            <a:lnTo>
                              <a:pt x="6337554" y="6108"/>
                            </a:lnTo>
                            <a:lnTo>
                              <a:pt x="6337554"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rect style="position:absolute;margin-left:56.52pt;margin-top:721.919006pt;width:499.02pt;height:.481pt;mso-position-horizontal-relative:page;mso-position-vertical-relative:page;z-index:-20688384" id="docshape609" filled="true" fillcolor="#d9d9d9" stroked="false">
              <v:fill type="solid"/>
              <w10:wrap type="none"/>
            </v:rect>
          </w:pict>
        </mc:Fallback>
      </mc:AlternateContent>
    </w:r>
    <w:r>
      <w:rPr/>
      <mc:AlternateContent>
        <mc:Choice Requires="wps">
          <w:drawing>
            <wp:anchor distT="0" distB="0" distL="0" distR="0" allowOverlap="1" layoutInCell="1" locked="0" behindDoc="1" simplePos="0" relativeHeight="482628608">
              <wp:simplePos x="0" y="0"/>
              <wp:positionH relativeFrom="page">
                <wp:posOffset>6259829</wp:posOffset>
              </wp:positionH>
              <wp:positionV relativeFrom="page">
                <wp:posOffset>9201213</wp:posOffset>
              </wp:positionV>
              <wp:extent cx="789940" cy="158750"/>
              <wp:effectExtent l="0" t="0" r="0" b="0"/>
              <wp:wrapNone/>
              <wp:docPr id="713" name="Textbox 713"/>
              <wp:cNvGraphicFramePr>
                <a:graphicFrameLocks/>
              </wp:cNvGraphicFramePr>
              <a:graphic>
                <a:graphicData uri="http://schemas.microsoft.com/office/word/2010/wordprocessingShape">
                  <wps:wsp>
                    <wps:cNvPr id="713" name="Textbox 713"/>
                    <wps:cNvSpPr txBox="1"/>
                    <wps:spPr>
                      <a:xfrm>
                        <a:off x="0" y="0"/>
                        <a:ext cx="789940" cy="158750"/>
                      </a:xfrm>
                      <a:prstGeom prst="rect">
                        <a:avLst/>
                      </a:prstGeom>
                    </wps:spPr>
                    <wps:txbx>
                      <w:txbxContent>
                        <w:p>
                          <w:pPr>
                            <w:spacing w:line="234" w:lineRule="exact" w:before="0"/>
                            <w:ind w:left="60" w:right="0" w:firstLine="0"/>
                            <w:jc w:val="left"/>
                            <w:rPr>
                              <w:sz w:val="21"/>
                            </w:rPr>
                          </w:pPr>
                          <w:r>
                            <w:rPr>
                              <w:sz w:val="21"/>
                            </w:rPr>
                            <w:fldChar w:fldCharType="begin"/>
                          </w:r>
                          <w:r>
                            <w:rPr>
                              <w:sz w:val="21"/>
                            </w:rPr>
                            <w:instrText> PAGE </w:instrText>
                          </w:r>
                          <w:r>
                            <w:rPr>
                              <w:sz w:val="21"/>
                            </w:rPr>
                            <w:fldChar w:fldCharType="separate"/>
                          </w:r>
                          <w:r>
                            <w:rPr>
                              <w:sz w:val="21"/>
                            </w:rPr>
                            <w:t>325</w:t>
                          </w:r>
                          <w:r>
                            <w:rPr>
                              <w:sz w:val="21"/>
                            </w:rPr>
                            <w:fldChar w:fldCharType="end"/>
                          </w:r>
                          <w:r>
                            <w:rPr>
                              <w:spacing w:val="-1"/>
                              <w:sz w:val="21"/>
                            </w:rPr>
                            <w:t> </w:t>
                          </w:r>
                          <w:r>
                            <w:rPr>
                              <w:sz w:val="21"/>
                            </w:rPr>
                            <w:t>| </w:t>
                          </w:r>
                          <w:r>
                            <w:rPr>
                              <w:color w:val="7E7E7E"/>
                              <w:spacing w:val="11"/>
                              <w:sz w:val="21"/>
                            </w:rPr>
                            <w:t>P</w:t>
                          </w:r>
                          <w:r>
                            <w:rPr>
                              <w:color w:val="7E7E7E"/>
                              <w:sz w:val="21"/>
                            </w:rPr>
                            <w:t> a</w:t>
                          </w:r>
                          <w:r>
                            <w:rPr>
                              <w:color w:val="7E7E7E"/>
                              <w:spacing w:val="12"/>
                              <w:sz w:val="21"/>
                            </w:rPr>
                            <w:t> g</w:t>
                          </w:r>
                          <w:r>
                            <w:rPr>
                              <w:color w:val="7E7E7E"/>
                              <w:sz w:val="21"/>
                            </w:rPr>
                            <w:t> </w:t>
                          </w:r>
                          <w:r>
                            <w:rPr>
                              <w:color w:val="7E7E7E"/>
                              <w:spacing w:val="-10"/>
                              <w:sz w:val="21"/>
                            </w:rPr>
                            <w:t>e</w:t>
                          </w:r>
                          <w:r>
                            <w:rPr>
                              <w:color w:val="7E7E7E"/>
                              <w:sz w:val="21"/>
                            </w:rPr>
                            <w:t> </w:t>
                          </w:r>
                        </w:p>
                      </w:txbxContent>
                    </wps:txbx>
                    <wps:bodyPr wrap="square" lIns="0" tIns="0" rIns="0" bIns="0" rtlCol="0">
                      <a:noAutofit/>
                    </wps:bodyPr>
                  </wps:wsp>
                </a:graphicData>
              </a:graphic>
            </wp:anchor>
          </w:drawing>
        </mc:Choice>
        <mc:Fallback>
          <w:pict>
            <v:shape style="position:absolute;margin-left:492.899994pt;margin-top:724.505005pt;width:62.2pt;height:12.5pt;mso-position-horizontal-relative:page;mso-position-vertical-relative:page;z-index:-20687872" type="#_x0000_t202" id="docshape610" filled="false" stroked="false">
              <v:textbox inset="0,0,0,0">
                <w:txbxContent>
                  <w:p>
                    <w:pPr>
                      <w:spacing w:line="234" w:lineRule="exact" w:before="0"/>
                      <w:ind w:left="60" w:right="0" w:firstLine="0"/>
                      <w:jc w:val="left"/>
                      <w:rPr>
                        <w:sz w:val="21"/>
                      </w:rPr>
                    </w:pPr>
                    <w:r>
                      <w:rPr>
                        <w:sz w:val="21"/>
                      </w:rPr>
                      <w:fldChar w:fldCharType="begin"/>
                    </w:r>
                    <w:r>
                      <w:rPr>
                        <w:sz w:val="21"/>
                      </w:rPr>
                      <w:instrText> PAGE </w:instrText>
                    </w:r>
                    <w:r>
                      <w:rPr>
                        <w:sz w:val="21"/>
                      </w:rPr>
                      <w:fldChar w:fldCharType="separate"/>
                    </w:r>
                    <w:r>
                      <w:rPr>
                        <w:sz w:val="21"/>
                      </w:rPr>
                      <w:t>325</w:t>
                    </w:r>
                    <w:r>
                      <w:rPr>
                        <w:sz w:val="21"/>
                      </w:rPr>
                      <w:fldChar w:fldCharType="end"/>
                    </w:r>
                    <w:r>
                      <w:rPr>
                        <w:spacing w:val="-1"/>
                        <w:sz w:val="21"/>
                      </w:rPr>
                      <w:t> </w:t>
                    </w:r>
                    <w:r>
                      <w:rPr>
                        <w:sz w:val="21"/>
                      </w:rPr>
                      <w:t>| </w:t>
                    </w:r>
                    <w:r>
                      <w:rPr>
                        <w:color w:val="7E7E7E"/>
                        <w:spacing w:val="11"/>
                        <w:sz w:val="21"/>
                      </w:rPr>
                      <w:t>P</w:t>
                    </w:r>
                    <w:r>
                      <w:rPr>
                        <w:color w:val="7E7E7E"/>
                        <w:sz w:val="21"/>
                      </w:rPr>
                      <w:t> a</w:t>
                    </w:r>
                    <w:r>
                      <w:rPr>
                        <w:color w:val="7E7E7E"/>
                        <w:spacing w:val="12"/>
                        <w:sz w:val="21"/>
                      </w:rPr>
                      <w:t> g</w:t>
                    </w:r>
                    <w:r>
                      <w:rPr>
                        <w:color w:val="7E7E7E"/>
                        <w:sz w:val="21"/>
                      </w:rPr>
                      <w:t> </w:t>
                    </w:r>
                    <w:r>
                      <w:rPr>
                        <w:color w:val="7E7E7E"/>
                        <w:spacing w:val="-10"/>
                        <w:sz w:val="21"/>
                      </w:rPr>
                      <w:t>e</w:t>
                    </w:r>
                    <w:r>
                      <w:rPr>
                        <w:color w:val="7E7E7E"/>
                        <w:sz w:val="21"/>
                      </w:rPr>
                      <w:t> </w:t>
                    </w:r>
                  </w:p>
                </w:txbxContent>
              </v:textbox>
              <w10:wrap type="none"/>
            </v:shape>
          </w:pict>
        </mc:Fallback>
      </mc:AlternateContent>
    </w:r>
  </w:p>
</w:ftr>
</file>

<file path=word/footer7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2629120">
              <wp:simplePos x="0" y="0"/>
              <wp:positionH relativeFrom="page">
                <wp:posOffset>6078728</wp:posOffset>
              </wp:positionH>
              <wp:positionV relativeFrom="page">
                <wp:posOffset>9275889</wp:posOffset>
              </wp:positionV>
              <wp:extent cx="753745" cy="165100"/>
              <wp:effectExtent l="0" t="0" r="0" b="0"/>
              <wp:wrapNone/>
              <wp:docPr id="715" name="Textbox 715"/>
              <wp:cNvGraphicFramePr>
                <a:graphicFrameLocks/>
              </wp:cNvGraphicFramePr>
              <a:graphic>
                <a:graphicData uri="http://schemas.microsoft.com/office/word/2010/wordprocessingShape">
                  <wps:wsp>
                    <wps:cNvPr id="715" name="Textbox 715"/>
                    <wps:cNvSpPr txBox="1"/>
                    <wps:spPr>
                      <a:xfrm>
                        <a:off x="0" y="0"/>
                        <a:ext cx="753745" cy="165100"/>
                      </a:xfrm>
                      <a:prstGeom prst="rect">
                        <a:avLst/>
                      </a:prstGeom>
                    </wps:spPr>
                    <wps:txbx>
                      <w:txbxContent>
                        <w:p>
                          <w:pPr>
                            <w:pStyle w:val="BodyText"/>
                            <w:spacing w:line="244" w:lineRule="exact"/>
                            <w:ind w:left="20"/>
                          </w:pPr>
                          <w:r>
                            <w:rPr/>
                            <w:t>330</w:t>
                          </w:r>
                          <w:r>
                            <w:rPr>
                              <w:spacing w:val="-3"/>
                            </w:rPr>
                            <w:t> </w:t>
                          </w:r>
                          <w:r>
                            <w:rPr/>
                            <w:t>|</w:t>
                          </w:r>
                          <w:r>
                            <w:rPr>
                              <w:spacing w:val="-2"/>
                            </w:rPr>
                            <w:t> </w:t>
                          </w:r>
                          <w:r>
                            <w:rPr>
                              <w:color w:val="7E7E7E"/>
                            </w:rPr>
                            <w:t>P</w:t>
                          </w:r>
                          <w:r>
                            <w:rPr>
                              <w:color w:val="7E7E7E"/>
                              <w:spacing w:val="8"/>
                            </w:rPr>
                            <w:t> </w:t>
                          </w:r>
                          <w:r>
                            <w:rPr>
                              <w:color w:val="7E7E7E"/>
                            </w:rPr>
                            <w:t>a</w:t>
                          </w:r>
                          <w:r>
                            <w:rPr>
                              <w:color w:val="7E7E7E"/>
                              <w:spacing w:val="9"/>
                            </w:rPr>
                            <w:t> </w:t>
                          </w:r>
                          <w:r>
                            <w:rPr>
                              <w:color w:val="7E7E7E"/>
                            </w:rPr>
                            <w:t>g</w:t>
                          </w:r>
                          <w:r>
                            <w:rPr>
                              <w:color w:val="7E7E7E"/>
                              <w:spacing w:val="8"/>
                            </w:rPr>
                            <w:t> </w:t>
                          </w:r>
                          <w:r>
                            <w:rPr>
                              <w:color w:val="7E7E7E"/>
                              <w:spacing w:val="-10"/>
                            </w:rPr>
                            <w:t>e</w:t>
                          </w:r>
                        </w:p>
                      </w:txbxContent>
                    </wps:txbx>
                    <wps:bodyPr wrap="square" lIns="0" tIns="0" rIns="0" bIns="0" rtlCol="0">
                      <a:noAutofit/>
                    </wps:bodyPr>
                  </wps:wsp>
                </a:graphicData>
              </a:graphic>
            </wp:anchor>
          </w:drawing>
        </mc:Choice>
        <mc:Fallback>
          <w:pict>
            <v:shape style="position:absolute;margin-left:478.640015pt;margin-top:730.38501pt;width:59.35pt;height:13pt;mso-position-horizontal-relative:page;mso-position-vertical-relative:page;z-index:-20687360" type="#_x0000_t202" id="docshape612" filled="false" stroked="false">
              <v:textbox inset="0,0,0,0">
                <w:txbxContent>
                  <w:p>
                    <w:pPr>
                      <w:pStyle w:val="BodyText"/>
                      <w:spacing w:line="244" w:lineRule="exact"/>
                      <w:ind w:left="20"/>
                    </w:pPr>
                    <w:r>
                      <w:rPr/>
                      <w:t>330</w:t>
                    </w:r>
                    <w:r>
                      <w:rPr>
                        <w:spacing w:val="-3"/>
                      </w:rPr>
                      <w:t> </w:t>
                    </w:r>
                    <w:r>
                      <w:rPr/>
                      <w:t>|</w:t>
                    </w:r>
                    <w:r>
                      <w:rPr>
                        <w:spacing w:val="-2"/>
                      </w:rPr>
                      <w:t> </w:t>
                    </w:r>
                    <w:r>
                      <w:rPr>
                        <w:color w:val="7E7E7E"/>
                      </w:rPr>
                      <w:t>P</w:t>
                    </w:r>
                    <w:r>
                      <w:rPr>
                        <w:color w:val="7E7E7E"/>
                        <w:spacing w:val="8"/>
                      </w:rPr>
                      <w:t> </w:t>
                    </w:r>
                    <w:r>
                      <w:rPr>
                        <w:color w:val="7E7E7E"/>
                      </w:rPr>
                      <w:t>a</w:t>
                    </w:r>
                    <w:r>
                      <w:rPr>
                        <w:color w:val="7E7E7E"/>
                        <w:spacing w:val="9"/>
                      </w:rPr>
                      <w:t> </w:t>
                    </w:r>
                    <w:r>
                      <w:rPr>
                        <w:color w:val="7E7E7E"/>
                      </w:rPr>
                      <w:t>g</w:t>
                    </w:r>
                    <w:r>
                      <w:rPr>
                        <w:color w:val="7E7E7E"/>
                        <w:spacing w:val="8"/>
                      </w:rPr>
                      <w:t> </w:t>
                    </w:r>
                    <w:r>
                      <w:rPr>
                        <w:color w:val="7E7E7E"/>
                        <w:spacing w:val="-10"/>
                      </w:rPr>
                      <w:t>e</w:t>
                    </w:r>
                  </w:p>
                </w:txbxContent>
              </v:textbox>
              <w10:wrap type="none"/>
            </v:shape>
          </w:pict>
        </mc:Fallback>
      </mc:AlternateContent>
    </w:r>
  </w:p>
</w:ftr>
</file>

<file path=word/footer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2557440">
              <wp:simplePos x="0" y="0"/>
              <wp:positionH relativeFrom="page">
                <wp:posOffset>895350</wp:posOffset>
              </wp:positionH>
              <wp:positionV relativeFrom="page">
                <wp:posOffset>9257525</wp:posOffset>
              </wp:positionV>
              <wp:extent cx="5982335" cy="6350"/>
              <wp:effectExtent l="0" t="0" r="0" b="0"/>
              <wp:wrapNone/>
              <wp:docPr id="49" name="Graphic 49"/>
              <wp:cNvGraphicFramePr>
                <a:graphicFrameLocks/>
              </wp:cNvGraphicFramePr>
              <a:graphic>
                <a:graphicData uri="http://schemas.microsoft.com/office/word/2010/wordprocessingShape">
                  <wps:wsp>
                    <wps:cNvPr id="49" name="Graphic 49"/>
                    <wps:cNvSpPr/>
                    <wps:spPr>
                      <a:xfrm>
                        <a:off x="0" y="0"/>
                        <a:ext cx="5982335" cy="6350"/>
                      </a:xfrm>
                      <a:custGeom>
                        <a:avLst/>
                        <a:gdLst/>
                        <a:ahLst/>
                        <a:cxnLst/>
                        <a:rect l="l" t="t" r="r" b="b"/>
                        <a:pathLst>
                          <a:path w="5982335" h="6350">
                            <a:moveTo>
                              <a:pt x="5981712" y="0"/>
                            </a:moveTo>
                            <a:lnTo>
                              <a:pt x="0" y="0"/>
                            </a:lnTo>
                            <a:lnTo>
                              <a:pt x="0" y="6108"/>
                            </a:lnTo>
                            <a:lnTo>
                              <a:pt x="5981712" y="6108"/>
                            </a:lnTo>
                            <a:lnTo>
                              <a:pt x="5981712"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rect style="position:absolute;margin-left:70.5pt;margin-top:728.939026pt;width:471.001pt;height:.481pt;mso-position-horizontal-relative:page;mso-position-vertical-relative:page;z-index:-20759040" id="docshape33" filled="true" fillcolor="#d9d9d9" stroked="false">
              <v:fill type="solid"/>
              <w10:wrap type="none"/>
            </v:rect>
          </w:pict>
        </mc:Fallback>
      </mc:AlternateContent>
    </w:r>
    <w:r>
      <w:rPr/>
      <mc:AlternateContent>
        <mc:Choice Requires="wps">
          <w:drawing>
            <wp:anchor distT="0" distB="0" distL="0" distR="0" allowOverlap="1" layoutInCell="1" locked="0" behindDoc="1" simplePos="0" relativeHeight="482557952">
              <wp:simplePos x="0" y="0"/>
              <wp:positionH relativeFrom="page">
                <wp:posOffset>6223253</wp:posOffset>
              </wp:positionH>
              <wp:positionV relativeFrom="page">
                <wp:posOffset>9262882</wp:posOffset>
              </wp:positionV>
              <wp:extent cx="610235" cy="188595"/>
              <wp:effectExtent l="0" t="0" r="0" b="0"/>
              <wp:wrapNone/>
              <wp:docPr id="50" name="Textbox 50"/>
              <wp:cNvGraphicFramePr>
                <a:graphicFrameLocks/>
              </wp:cNvGraphicFramePr>
              <a:graphic>
                <a:graphicData uri="http://schemas.microsoft.com/office/word/2010/wordprocessingShape">
                  <wps:wsp>
                    <wps:cNvPr id="50" name="Textbox 50"/>
                    <wps:cNvSpPr txBox="1"/>
                    <wps:spPr>
                      <a:xfrm>
                        <a:off x="0" y="0"/>
                        <a:ext cx="610235" cy="188595"/>
                      </a:xfrm>
                      <a:prstGeom prst="rect">
                        <a:avLst/>
                      </a:prstGeom>
                    </wps:spPr>
                    <wps:txbx>
                      <w:txbxContent>
                        <w:p>
                          <w:pPr>
                            <w:spacing w:before="17"/>
                            <w:ind w:left="60" w:right="0" w:firstLine="0"/>
                            <w:jc w:val="left"/>
                            <w:rPr>
                              <w:sz w:val="21"/>
                            </w:rPr>
                          </w:pPr>
                          <w:r>
                            <w:rPr>
                              <w:sz w:val="21"/>
                            </w:rPr>
                            <w:fldChar w:fldCharType="begin"/>
                          </w:r>
                          <w:r>
                            <w:rPr>
                              <w:sz w:val="21"/>
                            </w:rPr>
                            <w:instrText> PAGE </w:instrText>
                          </w:r>
                          <w:r>
                            <w:rPr>
                              <w:sz w:val="21"/>
                            </w:rPr>
                            <w:fldChar w:fldCharType="separate"/>
                          </w:r>
                          <w:r>
                            <w:rPr>
                              <w:sz w:val="21"/>
                            </w:rPr>
                            <w:t>6</w:t>
                          </w:r>
                          <w:r>
                            <w:rPr>
                              <w:sz w:val="21"/>
                            </w:rPr>
                            <w:fldChar w:fldCharType="end"/>
                          </w:r>
                          <w:r>
                            <w:rPr>
                              <w:spacing w:val="-5"/>
                              <w:sz w:val="21"/>
                            </w:rPr>
                            <w:t> </w:t>
                          </w:r>
                          <w:r>
                            <w:rPr>
                              <w:w w:val="90"/>
                              <w:sz w:val="21"/>
                            </w:rPr>
                            <w:t>| </w:t>
                          </w:r>
                          <w:r>
                            <w:rPr>
                              <w:color w:val="7E7E7E"/>
                              <w:spacing w:val="12"/>
                              <w:sz w:val="21"/>
                            </w:rPr>
                            <w:t>P</w:t>
                          </w:r>
                          <w:r>
                            <w:rPr>
                              <w:color w:val="7E7E7E"/>
                              <w:sz w:val="21"/>
                            </w:rPr>
                            <w:t> </w:t>
                          </w:r>
                          <w:r>
                            <w:rPr>
                              <w:color w:val="7E7E7E"/>
                              <w:spacing w:val="12"/>
                              <w:sz w:val="21"/>
                            </w:rPr>
                            <w:t>a</w:t>
                          </w:r>
                          <w:r>
                            <w:rPr>
                              <w:color w:val="7E7E7E"/>
                              <w:sz w:val="21"/>
                            </w:rPr>
                            <w:t> g</w:t>
                          </w:r>
                          <w:r>
                            <w:rPr>
                              <w:color w:val="7E7E7E"/>
                              <w:spacing w:val="11"/>
                              <w:sz w:val="21"/>
                            </w:rPr>
                            <w:t> </w:t>
                          </w:r>
                          <w:r>
                            <w:rPr>
                              <w:color w:val="7E7E7E"/>
                              <w:spacing w:val="-10"/>
                              <w:sz w:val="21"/>
                            </w:rPr>
                            <w:t>e</w:t>
                          </w:r>
                        </w:p>
                      </w:txbxContent>
                    </wps:txbx>
                    <wps:bodyPr wrap="square" lIns="0" tIns="0" rIns="0" bIns="0" rtlCol="0">
                      <a:noAutofit/>
                    </wps:bodyPr>
                  </wps:wsp>
                </a:graphicData>
              </a:graphic>
            </wp:anchor>
          </w:drawing>
        </mc:Choice>
        <mc:Fallback>
          <w:pict>
            <v:shape style="position:absolute;margin-left:490.019989pt;margin-top:729.36084pt;width:48.05pt;height:14.85pt;mso-position-horizontal-relative:page;mso-position-vertical-relative:page;z-index:-20758528" type="#_x0000_t202" id="docshape34" filled="false" stroked="false">
              <v:textbox inset="0,0,0,0">
                <w:txbxContent>
                  <w:p>
                    <w:pPr>
                      <w:spacing w:before="17"/>
                      <w:ind w:left="60" w:right="0" w:firstLine="0"/>
                      <w:jc w:val="left"/>
                      <w:rPr>
                        <w:sz w:val="21"/>
                      </w:rPr>
                    </w:pPr>
                    <w:r>
                      <w:rPr>
                        <w:sz w:val="21"/>
                      </w:rPr>
                      <w:fldChar w:fldCharType="begin"/>
                    </w:r>
                    <w:r>
                      <w:rPr>
                        <w:sz w:val="21"/>
                      </w:rPr>
                      <w:instrText> PAGE </w:instrText>
                    </w:r>
                    <w:r>
                      <w:rPr>
                        <w:sz w:val="21"/>
                      </w:rPr>
                      <w:fldChar w:fldCharType="separate"/>
                    </w:r>
                    <w:r>
                      <w:rPr>
                        <w:sz w:val="21"/>
                      </w:rPr>
                      <w:t>6</w:t>
                    </w:r>
                    <w:r>
                      <w:rPr>
                        <w:sz w:val="21"/>
                      </w:rPr>
                      <w:fldChar w:fldCharType="end"/>
                    </w:r>
                    <w:r>
                      <w:rPr>
                        <w:spacing w:val="-5"/>
                        <w:sz w:val="21"/>
                      </w:rPr>
                      <w:t> </w:t>
                    </w:r>
                    <w:r>
                      <w:rPr>
                        <w:w w:val="90"/>
                        <w:sz w:val="21"/>
                      </w:rPr>
                      <w:t>| </w:t>
                    </w:r>
                    <w:r>
                      <w:rPr>
                        <w:color w:val="7E7E7E"/>
                        <w:spacing w:val="12"/>
                        <w:sz w:val="21"/>
                      </w:rPr>
                      <w:t>P</w:t>
                    </w:r>
                    <w:r>
                      <w:rPr>
                        <w:color w:val="7E7E7E"/>
                        <w:sz w:val="21"/>
                      </w:rPr>
                      <w:t> </w:t>
                    </w:r>
                    <w:r>
                      <w:rPr>
                        <w:color w:val="7E7E7E"/>
                        <w:spacing w:val="12"/>
                        <w:sz w:val="21"/>
                      </w:rPr>
                      <w:t>a</w:t>
                    </w:r>
                    <w:r>
                      <w:rPr>
                        <w:color w:val="7E7E7E"/>
                        <w:sz w:val="21"/>
                      </w:rPr>
                      <w:t> g</w:t>
                    </w:r>
                    <w:r>
                      <w:rPr>
                        <w:color w:val="7E7E7E"/>
                        <w:spacing w:val="11"/>
                        <w:sz w:val="21"/>
                      </w:rPr>
                      <w:t> </w:t>
                    </w:r>
                    <w:r>
                      <w:rPr>
                        <w:color w:val="7E7E7E"/>
                        <w:spacing w:val="-10"/>
                        <w:sz w:val="21"/>
                      </w:rPr>
                      <w:t>e</w:t>
                    </w:r>
                  </w:p>
                </w:txbxContent>
              </v:textbox>
              <w10:wrap type="none"/>
            </v:shape>
          </w:pict>
        </mc:Fallback>
      </mc:AlternateContent>
    </w:r>
  </w:p>
</w:ftr>
</file>

<file path=word/footer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2558976">
              <wp:simplePos x="0" y="0"/>
              <wp:positionH relativeFrom="page">
                <wp:posOffset>895350</wp:posOffset>
              </wp:positionH>
              <wp:positionV relativeFrom="page">
                <wp:posOffset>9257525</wp:posOffset>
              </wp:positionV>
              <wp:extent cx="5982335" cy="6350"/>
              <wp:effectExtent l="0" t="0" r="0" b="0"/>
              <wp:wrapNone/>
              <wp:docPr id="52" name="Graphic 52"/>
              <wp:cNvGraphicFramePr>
                <a:graphicFrameLocks/>
              </wp:cNvGraphicFramePr>
              <a:graphic>
                <a:graphicData uri="http://schemas.microsoft.com/office/word/2010/wordprocessingShape">
                  <wps:wsp>
                    <wps:cNvPr id="52" name="Graphic 52"/>
                    <wps:cNvSpPr/>
                    <wps:spPr>
                      <a:xfrm>
                        <a:off x="0" y="0"/>
                        <a:ext cx="5982335" cy="6350"/>
                      </a:xfrm>
                      <a:custGeom>
                        <a:avLst/>
                        <a:gdLst/>
                        <a:ahLst/>
                        <a:cxnLst/>
                        <a:rect l="l" t="t" r="r" b="b"/>
                        <a:pathLst>
                          <a:path w="5982335" h="6350">
                            <a:moveTo>
                              <a:pt x="5981712" y="0"/>
                            </a:moveTo>
                            <a:lnTo>
                              <a:pt x="0" y="0"/>
                            </a:lnTo>
                            <a:lnTo>
                              <a:pt x="0" y="6108"/>
                            </a:lnTo>
                            <a:lnTo>
                              <a:pt x="5981712" y="6108"/>
                            </a:lnTo>
                            <a:lnTo>
                              <a:pt x="5981712"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rect style="position:absolute;margin-left:70.5pt;margin-top:728.939026pt;width:471.001pt;height:.481pt;mso-position-horizontal-relative:page;mso-position-vertical-relative:page;z-index:-20757504" id="docshape36" filled="true" fillcolor="#d9d9d9" stroked="false">
              <v:fill type="solid"/>
              <w10:wrap type="none"/>
            </v:rect>
          </w:pict>
        </mc:Fallback>
      </mc:AlternateContent>
    </w:r>
    <w:r>
      <w:rPr/>
      <mc:AlternateContent>
        <mc:Choice Requires="wps">
          <w:drawing>
            <wp:anchor distT="0" distB="0" distL="0" distR="0" allowOverlap="1" layoutInCell="1" locked="0" behindDoc="1" simplePos="0" relativeHeight="482559488">
              <wp:simplePos x="0" y="0"/>
              <wp:positionH relativeFrom="page">
                <wp:posOffset>6223253</wp:posOffset>
              </wp:positionH>
              <wp:positionV relativeFrom="page">
                <wp:posOffset>9262882</wp:posOffset>
              </wp:positionV>
              <wp:extent cx="610235" cy="188595"/>
              <wp:effectExtent l="0" t="0" r="0" b="0"/>
              <wp:wrapNone/>
              <wp:docPr id="53" name="Textbox 53"/>
              <wp:cNvGraphicFramePr>
                <a:graphicFrameLocks/>
              </wp:cNvGraphicFramePr>
              <a:graphic>
                <a:graphicData uri="http://schemas.microsoft.com/office/word/2010/wordprocessingShape">
                  <wps:wsp>
                    <wps:cNvPr id="53" name="Textbox 53"/>
                    <wps:cNvSpPr txBox="1"/>
                    <wps:spPr>
                      <a:xfrm>
                        <a:off x="0" y="0"/>
                        <a:ext cx="610235" cy="188595"/>
                      </a:xfrm>
                      <a:prstGeom prst="rect">
                        <a:avLst/>
                      </a:prstGeom>
                    </wps:spPr>
                    <wps:txbx>
                      <w:txbxContent>
                        <w:p>
                          <w:pPr>
                            <w:spacing w:before="17"/>
                            <w:ind w:left="60" w:right="0" w:firstLine="0"/>
                            <w:jc w:val="left"/>
                            <w:rPr>
                              <w:sz w:val="21"/>
                            </w:rPr>
                          </w:pPr>
                          <w:r>
                            <w:rPr>
                              <w:sz w:val="21"/>
                            </w:rPr>
                            <w:fldChar w:fldCharType="begin"/>
                          </w:r>
                          <w:r>
                            <w:rPr>
                              <w:sz w:val="21"/>
                            </w:rPr>
                            <w:instrText> PAGE </w:instrText>
                          </w:r>
                          <w:r>
                            <w:rPr>
                              <w:sz w:val="21"/>
                            </w:rPr>
                            <w:fldChar w:fldCharType="separate"/>
                          </w:r>
                          <w:r>
                            <w:rPr>
                              <w:sz w:val="21"/>
                            </w:rPr>
                            <w:t>7</w:t>
                          </w:r>
                          <w:r>
                            <w:rPr>
                              <w:sz w:val="21"/>
                            </w:rPr>
                            <w:fldChar w:fldCharType="end"/>
                          </w:r>
                          <w:r>
                            <w:rPr>
                              <w:spacing w:val="-5"/>
                              <w:sz w:val="21"/>
                            </w:rPr>
                            <w:t> </w:t>
                          </w:r>
                          <w:r>
                            <w:rPr>
                              <w:w w:val="90"/>
                              <w:sz w:val="21"/>
                            </w:rPr>
                            <w:t>| </w:t>
                          </w:r>
                          <w:r>
                            <w:rPr>
                              <w:color w:val="7E7E7E"/>
                              <w:spacing w:val="12"/>
                              <w:sz w:val="21"/>
                            </w:rPr>
                            <w:t>P</w:t>
                          </w:r>
                          <w:r>
                            <w:rPr>
                              <w:color w:val="7E7E7E"/>
                              <w:sz w:val="21"/>
                            </w:rPr>
                            <w:t> </w:t>
                          </w:r>
                          <w:r>
                            <w:rPr>
                              <w:color w:val="7E7E7E"/>
                              <w:spacing w:val="12"/>
                              <w:sz w:val="21"/>
                            </w:rPr>
                            <w:t>a</w:t>
                          </w:r>
                          <w:r>
                            <w:rPr>
                              <w:color w:val="7E7E7E"/>
                              <w:sz w:val="21"/>
                            </w:rPr>
                            <w:t> g</w:t>
                          </w:r>
                          <w:r>
                            <w:rPr>
                              <w:color w:val="7E7E7E"/>
                              <w:spacing w:val="11"/>
                              <w:sz w:val="21"/>
                            </w:rPr>
                            <w:t> </w:t>
                          </w:r>
                          <w:r>
                            <w:rPr>
                              <w:color w:val="7E7E7E"/>
                              <w:spacing w:val="-10"/>
                              <w:sz w:val="21"/>
                            </w:rPr>
                            <w:t>e</w:t>
                          </w:r>
                        </w:p>
                      </w:txbxContent>
                    </wps:txbx>
                    <wps:bodyPr wrap="square" lIns="0" tIns="0" rIns="0" bIns="0" rtlCol="0">
                      <a:noAutofit/>
                    </wps:bodyPr>
                  </wps:wsp>
                </a:graphicData>
              </a:graphic>
            </wp:anchor>
          </w:drawing>
        </mc:Choice>
        <mc:Fallback>
          <w:pict>
            <v:shape style="position:absolute;margin-left:490.019989pt;margin-top:729.36084pt;width:48.05pt;height:14.85pt;mso-position-horizontal-relative:page;mso-position-vertical-relative:page;z-index:-20756992" type="#_x0000_t202" id="docshape37" filled="false" stroked="false">
              <v:textbox inset="0,0,0,0">
                <w:txbxContent>
                  <w:p>
                    <w:pPr>
                      <w:spacing w:before="17"/>
                      <w:ind w:left="60" w:right="0" w:firstLine="0"/>
                      <w:jc w:val="left"/>
                      <w:rPr>
                        <w:sz w:val="21"/>
                      </w:rPr>
                    </w:pPr>
                    <w:r>
                      <w:rPr>
                        <w:sz w:val="21"/>
                      </w:rPr>
                      <w:fldChar w:fldCharType="begin"/>
                    </w:r>
                    <w:r>
                      <w:rPr>
                        <w:sz w:val="21"/>
                      </w:rPr>
                      <w:instrText> PAGE </w:instrText>
                    </w:r>
                    <w:r>
                      <w:rPr>
                        <w:sz w:val="21"/>
                      </w:rPr>
                      <w:fldChar w:fldCharType="separate"/>
                    </w:r>
                    <w:r>
                      <w:rPr>
                        <w:sz w:val="21"/>
                      </w:rPr>
                      <w:t>7</w:t>
                    </w:r>
                    <w:r>
                      <w:rPr>
                        <w:sz w:val="21"/>
                      </w:rPr>
                      <w:fldChar w:fldCharType="end"/>
                    </w:r>
                    <w:r>
                      <w:rPr>
                        <w:spacing w:val="-5"/>
                        <w:sz w:val="21"/>
                      </w:rPr>
                      <w:t> </w:t>
                    </w:r>
                    <w:r>
                      <w:rPr>
                        <w:w w:val="90"/>
                        <w:sz w:val="21"/>
                      </w:rPr>
                      <w:t>| </w:t>
                    </w:r>
                    <w:r>
                      <w:rPr>
                        <w:color w:val="7E7E7E"/>
                        <w:spacing w:val="12"/>
                        <w:sz w:val="21"/>
                      </w:rPr>
                      <w:t>P</w:t>
                    </w:r>
                    <w:r>
                      <w:rPr>
                        <w:color w:val="7E7E7E"/>
                        <w:sz w:val="21"/>
                      </w:rPr>
                      <w:t> </w:t>
                    </w:r>
                    <w:r>
                      <w:rPr>
                        <w:color w:val="7E7E7E"/>
                        <w:spacing w:val="12"/>
                        <w:sz w:val="21"/>
                      </w:rPr>
                      <w:t>a</w:t>
                    </w:r>
                    <w:r>
                      <w:rPr>
                        <w:color w:val="7E7E7E"/>
                        <w:sz w:val="21"/>
                      </w:rPr>
                      <w:t> g</w:t>
                    </w:r>
                    <w:r>
                      <w:rPr>
                        <w:color w:val="7E7E7E"/>
                        <w:spacing w:val="11"/>
                        <w:sz w:val="21"/>
                      </w:rPr>
                      <w:t> </w:t>
                    </w:r>
                    <w:r>
                      <w:rPr>
                        <w:color w:val="7E7E7E"/>
                        <w:spacing w:val="-10"/>
                        <w:sz w:val="21"/>
                      </w:rPr>
                      <w:t>e</w:t>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2550784">
              <wp:simplePos x="0" y="0"/>
              <wp:positionH relativeFrom="page">
                <wp:posOffset>2284045</wp:posOffset>
              </wp:positionH>
              <wp:positionV relativeFrom="page">
                <wp:posOffset>701869</wp:posOffset>
              </wp:positionV>
              <wp:extent cx="4050029" cy="555625"/>
              <wp:effectExtent l="0" t="0" r="0" b="0"/>
              <wp:wrapNone/>
              <wp:docPr id="27" name="Textbox 27"/>
              <wp:cNvGraphicFramePr>
                <a:graphicFrameLocks/>
              </wp:cNvGraphicFramePr>
              <a:graphic>
                <a:graphicData uri="http://schemas.microsoft.com/office/word/2010/wordprocessingShape">
                  <wps:wsp>
                    <wps:cNvPr id="27" name="Textbox 27"/>
                    <wps:cNvSpPr txBox="1"/>
                    <wps:spPr>
                      <a:xfrm>
                        <a:off x="0" y="0"/>
                        <a:ext cx="4050029" cy="555625"/>
                      </a:xfrm>
                      <a:prstGeom prst="rect">
                        <a:avLst/>
                      </a:prstGeom>
                    </wps:spPr>
                    <wps:txbx>
                      <w:txbxContent>
                        <w:p>
                          <w:pPr>
                            <w:spacing w:before="14"/>
                            <w:ind w:left="20" w:right="0" w:firstLine="0"/>
                            <w:jc w:val="left"/>
                            <w:rPr>
                              <w:rFonts w:ascii="Georgia"/>
                              <w:sz w:val="73"/>
                            </w:rPr>
                          </w:pPr>
                          <w:r>
                            <w:rPr>
                              <w:rFonts w:ascii="Georgia"/>
                              <w:spacing w:val="-22"/>
                              <w:sz w:val="73"/>
                            </w:rPr>
                            <w:t>AGENCY</w:t>
                          </w:r>
                          <w:r>
                            <w:rPr>
                              <w:rFonts w:ascii="Georgia"/>
                              <w:spacing w:val="-19"/>
                              <w:sz w:val="73"/>
                            </w:rPr>
                            <w:t> </w:t>
                          </w:r>
                          <w:r>
                            <w:rPr>
                              <w:rFonts w:ascii="Georgia"/>
                              <w:spacing w:val="-22"/>
                              <w:sz w:val="73"/>
                            </w:rPr>
                            <w:t>TABLE</w:t>
                          </w:r>
                          <w:r>
                            <w:rPr>
                              <w:rFonts w:ascii="Georgia"/>
                              <w:spacing w:val="-19"/>
                              <w:sz w:val="73"/>
                            </w:rPr>
                            <w:t> </w:t>
                          </w:r>
                          <w:r>
                            <w:rPr>
                              <w:rFonts w:ascii="Georgia"/>
                              <w:spacing w:val="-22"/>
                              <w:sz w:val="73"/>
                            </w:rPr>
                            <w:t>OF</w:t>
                          </w:r>
                        </w:p>
                      </w:txbxContent>
                    </wps:txbx>
                    <wps:bodyPr wrap="square" lIns="0" tIns="0" rIns="0" bIns="0" rtlCol="0">
                      <a:noAutofit/>
                    </wps:bodyPr>
                  </wps:wsp>
                </a:graphicData>
              </a:graphic>
            </wp:anchor>
          </w:drawing>
        </mc:Choice>
        <mc:Fallback>
          <w:pict>
            <v:shape style="position:absolute;margin-left:179.84613pt;margin-top:55.265324pt;width:318.9pt;height:43.75pt;mso-position-horizontal-relative:page;mso-position-vertical-relative:page;z-index:-20765696" type="#_x0000_t202" id="docshape14" filled="false" stroked="false">
              <v:textbox inset="0,0,0,0">
                <w:txbxContent>
                  <w:p>
                    <w:pPr>
                      <w:spacing w:before="14"/>
                      <w:ind w:left="20" w:right="0" w:firstLine="0"/>
                      <w:jc w:val="left"/>
                      <w:rPr>
                        <w:rFonts w:ascii="Georgia"/>
                        <w:sz w:val="73"/>
                      </w:rPr>
                    </w:pPr>
                    <w:r>
                      <w:rPr>
                        <w:rFonts w:ascii="Georgia"/>
                        <w:spacing w:val="-22"/>
                        <w:sz w:val="73"/>
                      </w:rPr>
                      <w:t>AGENCY</w:t>
                    </w:r>
                    <w:r>
                      <w:rPr>
                        <w:rFonts w:ascii="Georgia"/>
                        <w:spacing w:val="-19"/>
                        <w:sz w:val="73"/>
                      </w:rPr>
                      <w:t> </w:t>
                    </w:r>
                    <w:r>
                      <w:rPr>
                        <w:rFonts w:ascii="Georgia"/>
                        <w:spacing w:val="-22"/>
                        <w:sz w:val="73"/>
                      </w:rPr>
                      <w:t>TABLE</w:t>
                    </w:r>
                    <w:r>
                      <w:rPr>
                        <w:rFonts w:ascii="Georgia"/>
                        <w:spacing w:val="-19"/>
                        <w:sz w:val="73"/>
                      </w:rPr>
                      <w:t> </w:t>
                    </w:r>
                    <w:r>
                      <w:rPr>
                        <w:rFonts w:ascii="Georgia"/>
                        <w:spacing w:val="-22"/>
                        <w:sz w:val="73"/>
                      </w:rPr>
                      <w:t>OF</w:t>
                    </w:r>
                  </w:p>
                </w:txbxContent>
              </v:textbox>
              <w10:wrap type="none"/>
            </v:shape>
          </w:pict>
        </mc:Fallback>
      </mc:AlternateContent>
    </w:r>
  </w:p>
</w:hdr>
</file>

<file path=word/header1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1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1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1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1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1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1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1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1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2569728">
              <wp:simplePos x="0" y="0"/>
              <wp:positionH relativeFrom="page">
                <wp:posOffset>903986</wp:posOffset>
              </wp:positionH>
              <wp:positionV relativeFrom="page">
                <wp:posOffset>497649</wp:posOffset>
              </wp:positionV>
              <wp:extent cx="897890" cy="158750"/>
              <wp:effectExtent l="0" t="0" r="0" b="0"/>
              <wp:wrapNone/>
              <wp:docPr id="73" name="Textbox 73"/>
              <wp:cNvGraphicFramePr>
                <a:graphicFrameLocks/>
              </wp:cNvGraphicFramePr>
              <a:graphic>
                <a:graphicData uri="http://schemas.microsoft.com/office/word/2010/wordprocessingShape">
                  <wps:wsp>
                    <wps:cNvPr id="73" name="Textbox 73"/>
                    <wps:cNvSpPr txBox="1"/>
                    <wps:spPr>
                      <a:xfrm>
                        <a:off x="0" y="0"/>
                        <a:ext cx="897890" cy="158750"/>
                      </a:xfrm>
                      <a:prstGeom prst="rect">
                        <a:avLst/>
                      </a:prstGeom>
                    </wps:spPr>
                    <wps:txbx>
                      <w:txbxContent>
                        <w:p>
                          <w:pPr>
                            <w:spacing w:line="234" w:lineRule="exact" w:before="0"/>
                            <w:ind w:left="20" w:right="0" w:firstLine="0"/>
                            <w:jc w:val="left"/>
                            <w:rPr>
                              <w:sz w:val="21"/>
                            </w:rPr>
                          </w:pPr>
                          <w:r>
                            <w:rPr>
                              <w:sz w:val="21"/>
                            </w:rPr>
                            <w:t>CHILD</w:t>
                          </w:r>
                          <w:r>
                            <w:rPr>
                              <w:spacing w:val="-3"/>
                              <w:sz w:val="21"/>
                            </w:rPr>
                            <w:t> </w:t>
                          </w:r>
                          <w:r>
                            <w:rPr>
                              <w:spacing w:val="-2"/>
                              <w:sz w:val="21"/>
                            </w:rPr>
                            <w:t>WELFARE</w:t>
                          </w:r>
                        </w:p>
                      </w:txbxContent>
                    </wps:txbx>
                    <wps:bodyPr wrap="square" lIns="0" tIns="0" rIns="0" bIns="0" rtlCol="0">
                      <a:noAutofit/>
                    </wps:bodyPr>
                  </wps:wsp>
                </a:graphicData>
              </a:graphic>
            </wp:anchor>
          </w:drawing>
        </mc:Choice>
        <mc:Fallback>
          <w:pict>
            <v:shape style="position:absolute;margin-left:71.180pt;margin-top:39.185001pt;width:70.7pt;height:12.5pt;mso-position-horizontal-relative:page;mso-position-vertical-relative:page;z-index:-20746752" type="#_x0000_t202" id="docshape57" filled="false" stroked="false">
              <v:textbox inset="0,0,0,0">
                <w:txbxContent>
                  <w:p>
                    <w:pPr>
                      <w:spacing w:line="234" w:lineRule="exact" w:before="0"/>
                      <w:ind w:left="20" w:right="0" w:firstLine="0"/>
                      <w:jc w:val="left"/>
                      <w:rPr>
                        <w:sz w:val="21"/>
                      </w:rPr>
                    </w:pPr>
                    <w:r>
                      <w:rPr>
                        <w:sz w:val="21"/>
                      </w:rPr>
                      <w:t>CHILD</w:t>
                    </w:r>
                    <w:r>
                      <w:rPr>
                        <w:spacing w:val="-3"/>
                        <w:sz w:val="21"/>
                      </w:rPr>
                      <w:t> </w:t>
                    </w:r>
                    <w:r>
                      <w:rPr>
                        <w:spacing w:val="-2"/>
                        <w:sz w:val="21"/>
                      </w:rPr>
                      <w:t>WELFARE</w:t>
                    </w:r>
                  </w:p>
                </w:txbxContent>
              </v:textbox>
              <w10:wrap type="none"/>
            </v:shape>
          </w:pict>
        </mc:Fallback>
      </mc:AlternateContent>
    </w:r>
  </w:p>
</w:hdr>
</file>

<file path=word/header1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2571264">
              <wp:simplePos x="0" y="0"/>
              <wp:positionH relativeFrom="page">
                <wp:posOffset>903986</wp:posOffset>
              </wp:positionH>
              <wp:positionV relativeFrom="page">
                <wp:posOffset>497649</wp:posOffset>
              </wp:positionV>
              <wp:extent cx="897890" cy="158750"/>
              <wp:effectExtent l="0" t="0" r="0" b="0"/>
              <wp:wrapNone/>
              <wp:docPr id="84" name="Textbox 84"/>
              <wp:cNvGraphicFramePr>
                <a:graphicFrameLocks/>
              </wp:cNvGraphicFramePr>
              <a:graphic>
                <a:graphicData uri="http://schemas.microsoft.com/office/word/2010/wordprocessingShape">
                  <wps:wsp>
                    <wps:cNvPr id="84" name="Textbox 84"/>
                    <wps:cNvSpPr txBox="1"/>
                    <wps:spPr>
                      <a:xfrm>
                        <a:off x="0" y="0"/>
                        <a:ext cx="897890" cy="158750"/>
                      </a:xfrm>
                      <a:prstGeom prst="rect">
                        <a:avLst/>
                      </a:prstGeom>
                    </wps:spPr>
                    <wps:txbx>
                      <w:txbxContent>
                        <w:p>
                          <w:pPr>
                            <w:spacing w:line="234" w:lineRule="exact" w:before="0"/>
                            <w:ind w:left="20" w:right="0" w:firstLine="0"/>
                            <w:jc w:val="left"/>
                            <w:rPr>
                              <w:sz w:val="21"/>
                            </w:rPr>
                          </w:pPr>
                          <w:r>
                            <w:rPr>
                              <w:sz w:val="21"/>
                            </w:rPr>
                            <w:t>CHILD</w:t>
                          </w:r>
                          <w:r>
                            <w:rPr>
                              <w:spacing w:val="-3"/>
                              <w:sz w:val="21"/>
                            </w:rPr>
                            <w:t> </w:t>
                          </w:r>
                          <w:r>
                            <w:rPr>
                              <w:spacing w:val="-2"/>
                              <w:sz w:val="21"/>
                            </w:rPr>
                            <w:t>WELFARE</w:t>
                          </w:r>
                        </w:p>
                      </w:txbxContent>
                    </wps:txbx>
                    <wps:bodyPr wrap="square" lIns="0" tIns="0" rIns="0" bIns="0" rtlCol="0">
                      <a:noAutofit/>
                    </wps:bodyPr>
                  </wps:wsp>
                </a:graphicData>
              </a:graphic>
            </wp:anchor>
          </w:drawing>
        </mc:Choice>
        <mc:Fallback>
          <w:pict>
            <v:shape style="position:absolute;margin-left:71.180pt;margin-top:39.185001pt;width:70.7pt;height:12.5pt;mso-position-horizontal-relative:page;mso-position-vertical-relative:page;z-index:-20745216" type="#_x0000_t202" id="docshape67" filled="false" stroked="false">
              <v:textbox inset="0,0,0,0">
                <w:txbxContent>
                  <w:p>
                    <w:pPr>
                      <w:spacing w:line="234" w:lineRule="exact" w:before="0"/>
                      <w:ind w:left="20" w:right="0" w:firstLine="0"/>
                      <w:jc w:val="left"/>
                      <w:rPr>
                        <w:sz w:val="21"/>
                      </w:rPr>
                    </w:pPr>
                    <w:r>
                      <w:rPr>
                        <w:sz w:val="21"/>
                      </w:rPr>
                      <w:t>CHILD</w:t>
                    </w:r>
                    <w:r>
                      <w:rPr>
                        <w:spacing w:val="-3"/>
                        <w:sz w:val="21"/>
                      </w:rPr>
                      <w:t> </w:t>
                    </w:r>
                    <w:r>
                      <w:rPr>
                        <w:spacing w:val="-2"/>
                        <w:sz w:val="21"/>
                      </w:rPr>
                      <w:t>WELFARE</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2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2572288">
              <wp:simplePos x="0" y="0"/>
              <wp:positionH relativeFrom="page">
                <wp:posOffset>903986</wp:posOffset>
              </wp:positionH>
              <wp:positionV relativeFrom="page">
                <wp:posOffset>497649</wp:posOffset>
              </wp:positionV>
              <wp:extent cx="897890" cy="158750"/>
              <wp:effectExtent l="0" t="0" r="0" b="0"/>
              <wp:wrapNone/>
              <wp:docPr id="90" name="Textbox 90"/>
              <wp:cNvGraphicFramePr>
                <a:graphicFrameLocks/>
              </wp:cNvGraphicFramePr>
              <a:graphic>
                <a:graphicData uri="http://schemas.microsoft.com/office/word/2010/wordprocessingShape">
                  <wps:wsp>
                    <wps:cNvPr id="90" name="Textbox 90"/>
                    <wps:cNvSpPr txBox="1"/>
                    <wps:spPr>
                      <a:xfrm>
                        <a:off x="0" y="0"/>
                        <a:ext cx="897890" cy="158750"/>
                      </a:xfrm>
                      <a:prstGeom prst="rect">
                        <a:avLst/>
                      </a:prstGeom>
                    </wps:spPr>
                    <wps:txbx>
                      <w:txbxContent>
                        <w:p>
                          <w:pPr>
                            <w:spacing w:line="234" w:lineRule="exact" w:before="0"/>
                            <w:ind w:left="20" w:right="0" w:firstLine="0"/>
                            <w:jc w:val="left"/>
                            <w:rPr>
                              <w:sz w:val="21"/>
                            </w:rPr>
                          </w:pPr>
                          <w:r>
                            <w:rPr>
                              <w:sz w:val="21"/>
                            </w:rPr>
                            <w:t>CHILD</w:t>
                          </w:r>
                          <w:r>
                            <w:rPr>
                              <w:spacing w:val="-3"/>
                              <w:sz w:val="21"/>
                            </w:rPr>
                            <w:t> </w:t>
                          </w:r>
                          <w:r>
                            <w:rPr>
                              <w:spacing w:val="-2"/>
                              <w:sz w:val="21"/>
                            </w:rPr>
                            <w:t>WELFARE</w:t>
                          </w:r>
                        </w:p>
                      </w:txbxContent>
                    </wps:txbx>
                    <wps:bodyPr wrap="square" lIns="0" tIns="0" rIns="0" bIns="0" rtlCol="0">
                      <a:noAutofit/>
                    </wps:bodyPr>
                  </wps:wsp>
                </a:graphicData>
              </a:graphic>
            </wp:anchor>
          </w:drawing>
        </mc:Choice>
        <mc:Fallback>
          <w:pict>
            <v:shape style="position:absolute;margin-left:71.180pt;margin-top:39.185001pt;width:70.7pt;height:12.5pt;mso-position-horizontal-relative:page;mso-position-vertical-relative:page;z-index:-20744192" type="#_x0000_t202" id="docshape73" filled="false" stroked="false">
              <v:textbox inset="0,0,0,0">
                <w:txbxContent>
                  <w:p>
                    <w:pPr>
                      <w:spacing w:line="234" w:lineRule="exact" w:before="0"/>
                      <w:ind w:left="20" w:right="0" w:firstLine="0"/>
                      <w:jc w:val="left"/>
                      <w:rPr>
                        <w:sz w:val="21"/>
                      </w:rPr>
                    </w:pPr>
                    <w:r>
                      <w:rPr>
                        <w:sz w:val="21"/>
                      </w:rPr>
                      <w:t>CHILD</w:t>
                    </w:r>
                    <w:r>
                      <w:rPr>
                        <w:spacing w:val="-3"/>
                        <w:sz w:val="21"/>
                      </w:rPr>
                      <w:t> </w:t>
                    </w:r>
                    <w:r>
                      <w:rPr>
                        <w:spacing w:val="-2"/>
                        <w:sz w:val="21"/>
                      </w:rPr>
                      <w:t>WELFARE</w:t>
                    </w:r>
                  </w:p>
                </w:txbxContent>
              </v:textbox>
              <w10:wrap type="none"/>
            </v:shape>
          </w:pict>
        </mc:Fallback>
      </mc:AlternateContent>
    </w:r>
  </w:p>
</w:hdr>
</file>

<file path=word/header2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2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2573824">
              <wp:simplePos x="0" y="0"/>
              <wp:positionH relativeFrom="page">
                <wp:posOffset>993139</wp:posOffset>
              </wp:positionH>
              <wp:positionV relativeFrom="page">
                <wp:posOffset>471741</wp:posOffset>
              </wp:positionV>
              <wp:extent cx="678180" cy="158750"/>
              <wp:effectExtent l="0" t="0" r="0" b="0"/>
              <wp:wrapNone/>
              <wp:docPr id="126" name="Textbox 126"/>
              <wp:cNvGraphicFramePr>
                <a:graphicFrameLocks/>
              </wp:cNvGraphicFramePr>
              <a:graphic>
                <a:graphicData uri="http://schemas.microsoft.com/office/word/2010/wordprocessingShape">
                  <wps:wsp>
                    <wps:cNvPr id="126" name="Textbox 126"/>
                    <wps:cNvSpPr txBox="1"/>
                    <wps:spPr>
                      <a:xfrm>
                        <a:off x="0" y="0"/>
                        <a:ext cx="678180" cy="158750"/>
                      </a:xfrm>
                      <a:prstGeom prst="rect">
                        <a:avLst/>
                      </a:prstGeom>
                    </wps:spPr>
                    <wps:txbx>
                      <w:txbxContent>
                        <w:p>
                          <w:pPr>
                            <w:spacing w:line="234" w:lineRule="exact" w:before="0"/>
                            <w:ind w:left="20" w:right="0" w:firstLine="0"/>
                            <w:jc w:val="left"/>
                            <w:rPr>
                              <w:sz w:val="21"/>
                            </w:rPr>
                          </w:pPr>
                          <w:r>
                            <w:rPr>
                              <w:spacing w:val="-2"/>
                              <w:sz w:val="21"/>
                            </w:rPr>
                            <w:t>EDUCATION</w:t>
                          </w:r>
                        </w:p>
                      </w:txbxContent>
                    </wps:txbx>
                    <wps:bodyPr wrap="square" lIns="0" tIns="0" rIns="0" bIns="0" rtlCol="0">
                      <a:noAutofit/>
                    </wps:bodyPr>
                  </wps:wsp>
                </a:graphicData>
              </a:graphic>
            </wp:anchor>
          </w:drawing>
        </mc:Choice>
        <mc:Fallback>
          <w:pict>
            <v:shape style="position:absolute;margin-left:78.199997pt;margin-top:37.145pt;width:53.4pt;height:12.5pt;mso-position-horizontal-relative:page;mso-position-vertical-relative:page;z-index:-20742656" type="#_x0000_t202" id="docshape107" filled="false" stroked="false">
              <v:textbox inset="0,0,0,0">
                <w:txbxContent>
                  <w:p>
                    <w:pPr>
                      <w:spacing w:line="234" w:lineRule="exact" w:before="0"/>
                      <w:ind w:left="20" w:right="0" w:firstLine="0"/>
                      <w:jc w:val="left"/>
                      <w:rPr>
                        <w:sz w:val="21"/>
                      </w:rPr>
                    </w:pPr>
                    <w:r>
                      <w:rPr>
                        <w:spacing w:val="-2"/>
                        <w:sz w:val="21"/>
                      </w:rPr>
                      <w:t>EDUCATION</w:t>
                    </w:r>
                  </w:p>
                </w:txbxContent>
              </v:textbox>
              <w10:wrap type="none"/>
            </v:shape>
          </w:pict>
        </mc:Fallback>
      </mc:AlternateContent>
    </w:r>
  </w:p>
</w:hdr>
</file>

<file path=word/header2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2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2575360">
              <wp:simplePos x="0" y="0"/>
              <wp:positionH relativeFrom="page">
                <wp:posOffset>812545</wp:posOffset>
              </wp:positionH>
              <wp:positionV relativeFrom="page">
                <wp:posOffset>497649</wp:posOffset>
              </wp:positionV>
              <wp:extent cx="873125" cy="158750"/>
              <wp:effectExtent l="0" t="0" r="0" b="0"/>
              <wp:wrapNone/>
              <wp:docPr id="170" name="Textbox 170"/>
              <wp:cNvGraphicFramePr>
                <a:graphicFrameLocks/>
              </wp:cNvGraphicFramePr>
              <a:graphic>
                <a:graphicData uri="http://schemas.microsoft.com/office/word/2010/wordprocessingShape">
                  <wps:wsp>
                    <wps:cNvPr id="170" name="Textbox 170"/>
                    <wps:cNvSpPr txBox="1"/>
                    <wps:spPr>
                      <a:xfrm>
                        <a:off x="0" y="0"/>
                        <a:ext cx="873125" cy="158750"/>
                      </a:xfrm>
                      <a:prstGeom prst="rect">
                        <a:avLst/>
                      </a:prstGeom>
                    </wps:spPr>
                    <wps:txbx>
                      <w:txbxContent>
                        <w:p>
                          <w:pPr>
                            <w:spacing w:line="234" w:lineRule="exact" w:before="0"/>
                            <w:ind w:left="20" w:right="0" w:firstLine="0"/>
                            <w:jc w:val="left"/>
                            <w:rPr>
                              <w:sz w:val="21"/>
                            </w:rPr>
                          </w:pPr>
                          <w:r>
                            <w:rPr>
                              <w:sz w:val="21"/>
                            </w:rPr>
                            <w:t>PUBLIC</w:t>
                          </w:r>
                          <w:r>
                            <w:rPr>
                              <w:spacing w:val="-4"/>
                              <w:sz w:val="21"/>
                            </w:rPr>
                            <w:t> </w:t>
                          </w:r>
                          <w:r>
                            <w:rPr>
                              <w:spacing w:val="-2"/>
                              <w:sz w:val="21"/>
                            </w:rPr>
                            <w:t>HEALTH</w:t>
                          </w:r>
                        </w:p>
                      </w:txbxContent>
                    </wps:txbx>
                    <wps:bodyPr wrap="square" lIns="0" tIns="0" rIns="0" bIns="0" rtlCol="0">
                      <a:noAutofit/>
                    </wps:bodyPr>
                  </wps:wsp>
                </a:graphicData>
              </a:graphic>
            </wp:anchor>
          </w:drawing>
        </mc:Choice>
        <mc:Fallback>
          <w:pict>
            <v:shape style="position:absolute;margin-left:63.98pt;margin-top:39.184982pt;width:68.75pt;height:12.5pt;mso-position-horizontal-relative:page;mso-position-vertical-relative:page;z-index:-20741120" type="#_x0000_t202" id="docshape145" filled="false" stroked="false">
              <v:textbox inset="0,0,0,0">
                <w:txbxContent>
                  <w:p>
                    <w:pPr>
                      <w:spacing w:line="234" w:lineRule="exact" w:before="0"/>
                      <w:ind w:left="20" w:right="0" w:firstLine="0"/>
                      <w:jc w:val="left"/>
                      <w:rPr>
                        <w:sz w:val="21"/>
                      </w:rPr>
                    </w:pPr>
                    <w:r>
                      <w:rPr>
                        <w:sz w:val="21"/>
                      </w:rPr>
                      <w:t>PUBLIC</w:t>
                    </w:r>
                    <w:r>
                      <w:rPr>
                        <w:spacing w:val="-4"/>
                        <w:sz w:val="21"/>
                      </w:rPr>
                      <w:t> </w:t>
                    </w:r>
                    <w:r>
                      <w:rPr>
                        <w:spacing w:val="-2"/>
                        <w:sz w:val="21"/>
                      </w:rPr>
                      <w:t>HEALTH</w:t>
                    </w:r>
                  </w:p>
                </w:txbxContent>
              </v:textbox>
              <w10:wrap type="none"/>
            </v:shape>
          </w:pict>
        </mc:Fallback>
      </mc:AlternateContent>
    </w:r>
  </w:p>
</w:hdr>
</file>

<file path=word/header2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2576896">
              <wp:simplePos x="0" y="0"/>
              <wp:positionH relativeFrom="page">
                <wp:posOffset>812545</wp:posOffset>
              </wp:positionH>
              <wp:positionV relativeFrom="page">
                <wp:posOffset>497649</wp:posOffset>
              </wp:positionV>
              <wp:extent cx="873125" cy="158750"/>
              <wp:effectExtent l="0" t="0" r="0" b="0"/>
              <wp:wrapNone/>
              <wp:docPr id="186" name="Textbox 186"/>
              <wp:cNvGraphicFramePr>
                <a:graphicFrameLocks/>
              </wp:cNvGraphicFramePr>
              <a:graphic>
                <a:graphicData uri="http://schemas.microsoft.com/office/word/2010/wordprocessingShape">
                  <wps:wsp>
                    <wps:cNvPr id="186" name="Textbox 186"/>
                    <wps:cNvSpPr txBox="1"/>
                    <wps:spPr>
                      <a:xfrm>
                        <a:off x="0" y="0"/>
                        <a:ext cx="873125" cy="158750"/>
                      </a:xfrm>
                      <a:prstGeom prst="rect">
                        <a:avLst/>
                      </a:prstGeom>
                    </wps:spPr>
                    <wps:txbx>
                      <w:txbxContent>
                        <w:p>
                          <w:pPr>
                            <w:spacing w:line="234" w:lineRule="exact" w:before="0"/>
                            <w:ind w:left="20" w:right="0" w:firstLine="0"/>
                            <w:jc w:val="left"/>
                            <w:rPr>
                              <w:sz w:val="21"/>
                            </w:rPr>
                          </w:pPr>
                          <w:r>
                            <w:rPr>
                              <w:sz w:val="21"/>
                            </w:rPr>
                            <w:t>PUBLIC</w:t>
                          </w:r>
                          <w:r>
                            <w:rPr>
                              <w:spacing w:val="-4"/>
                              <w:sz w:val="21"/>
                            </w:rPr>
                            <w:t> </w:t>
                          </w:r>
                          <w:r>
                            <w:rPr>
                              <w:spacing w:val="-2"/>
                              <w:sz w:val="21"/>
                            </w:rPr>
                            <w:t>HEALTH</w:t>
                          </w:r>
                        </w:p>
                      </w:txbxContent>
                    </wps:txbx>
                    <wps:bodyPr wrap="square" lIns="0" tIns="0" rIns="0" bIns="0" rtlCol="0">
                      <a:noAutofit/>
                    </wps:bodyPr>
                  </wps:wsp>
                </a:graphicData>
              </a:graphic>
            </wp:anchor>
          </w:drawing>
        </mc:Choice>
        <mc:Fallback>
          <w:pict>
            <v:shape style="position:absolute;margin-left:63.98pt;margin-top:39.184982pt;width:68.75pt;height:12.5pt;mso-position-horizontal-relative:page;mso-position-vertical-relative:page;z-index:-20739584" type="#_x0000_t202" id="docshape155" filled="false" stroked="false">
              <v:textbox inset="0,0,0,0">
                <w:txbxContent>
                  <w:p>
                    <w:pPr>
                      <w:spacing w:line="234" w:lineRule="exact" w:before="0"/>
                      <w:ind w:left="20" w:right="0" w:firstLine="0"/>
                      <w:jc w:val="left"/>
                      <w:rPr>
                        <w:sz w:val="21"/>
                      </w:rPr>
                    </w:pPr>
                    <w:r>
                      <w:rPr>
                        <w:sz w:val="21"/>
                      </w:rPr>
                      <w:t>PUBLIC</w:t>
                    </w:r>
                    <w:r>
                      <w:rPr>
                        <w:spacing w:val="-4"/>
                        <w:sz w:val="21"/>
                      </w:rPr>
                      <w:t> </w:t>
                    </w:r>
                    <w:r>
                      <w:rPr>
                        <w:spacing w:val="-2"/>
                        <w:sz w:val="21"/>
                      </w:rPr>
                      <w:t>HEALTH</w:t>
                    </w:r>
                  </w:p>
                </w:txbxContent>
              </v:textbox>
              <w10:wrap type="none"/>
            </v:shape>
          </w:pict>
        </mc:Fallback>
      </mc:AlternateContent>
    </w:r>
  </w:p>
</w:hdr>
</file>

<file path=word/header2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2577920">
              <wp:simplePos x="0" y="0"/>
              <wp:positionH relativeFrom="page">
                <wp:posOffset>812545</wp:posOffset>
              </wp:positionH>
              <wp:positionV relativeFrom="page">
                <wp:posOffset>497649</wp:posOffset>
              </wp:positionV>
              <wp:extent cx="873125" cy="158750"/>
              <wp:effectExtent l="0" t="0" r="0" b="0"/>
              <wp:wrapNone/>
              <wp:docPr id="188" name="Textbox 188"/>
              <wp:cNvGraphicFramePr>
                <a:graphicFrameLocks/>
              </wp:cNvGraphicFramePr>
              <a:graphic>
                <a:graphicData uri="http://schemas.microsoft.com/office/word/2010/wordprocessingShape">
                  <wps:wsp>
                    <wps:cNvPr id="188" name="Textbox 188"/>
                    <wps:cNvSpPr txBox="1"/>
                    <wps:spPr>
                      <a:xfrm>
                        <a:off x="0" y="0"/>
                        <a:ext cx="873125" cy="158750"/>
                      </a:xfrm>
                      <a:prstGeom prst="rect">
                        <a:avLst/>
                      </a:prstGeom>
                    </wps:spPr>
                    <wps:txbx>
                      <w:txbxContent>
                        <w:p>
                          <w:pPr>
                            <w:spacing w:line="234" w:lineRule="exact" w:before="0"/>
                            <w:ind w:left="20" w:right="0" w:firstLine="0"/>
                            <w:jc w:val="left"/>
                            <w:rPr>
                              <w:sz w:val="21"/>
                            </w:rPr>
                          </w:pPr>
                          <w:r>
                            <w:rPr>
                              <w:sz w:val="21"/>
                            </w:rPr>
                            <w:t>PUBLIC</w:t>
                          </w:r>
                          <w:r>
                            <w:rPr>
                              <w:spacing w:val="-4"/>
                              <w:sz w:val="21"/>
                            </w:rPr>
                            <w:t> </w:t>
                          </w:r>
                          <w:r>
                            <w:rPr>
                              <w:spacing w:val="-2"/>
                              <w:sz w:val="21"/>
                            </w:rPr>
                            <w:t>HEALTH</w:t>
                          </w:r>
                        </w:p>
                      </w:txbxContent>
                    </wps:txbx>
                    <wps:bodyPr wrap="square" lIns="0" tIns="0" rIns="0" bIns="0" rtlCol="0">
                      <a:noAutofit/>
                    </wps:bodyPr>
                  </wps:wsp>
                </a:graphicData>
              </a:graphic>
            </wp:anchor>
          </w:drawing>
        </mc:Choice>
        <mc:Fallback>
          <w:pict>
            <v:shape style="position:absolute;margin-left:63.98pt;margin-top:39.184982pt;width:68.75pt;height:12.5pt;mso-position-horizontal-relative:page;mso-position-vertical-relative:page;z-index:-20738560" type="#_x0000_t202" id="docshape157" filled="false" stroked="false">
              <v:textbox inset="0,0,0,0">
                <w:txbxContent>
                  <w:p>
                    <w:pPr>
                      <w:spacing w:line="234" w:lineRule="exact" w:before="0"/>
                      <w:ind w:left="20" w:right="0" w:firstLine="0"/>
                      <w:jc w:val="left"/>
                      <w:rPr>
                        <w:sz w:val="21"/>
                      </w:rPr>
                    </w:pPr>
                    <w:r>
                      <w:rPr>
                        <w:sz w:val="21"/>
                      </w:rPr>
                      <w:t>PUBLIC</w:t>
                    </w:r>
                    <w:r>
                      <w:rPr>
                        <w:spacing w:val="-4"/>
                        <w:sz w:val="21"/>
                      </w:rPr>
                      <w:t> </w:t>
                    </w:r>
                    <w:r>
                      <w:rPr>
                        <w:spacing w:val="-2"/>
                        <w:sz w:val="21"/>
                      </w:rPr>
                      <w:t>HEALTH</w:t>
                    </w:r>
                  </w:p>
                </w:txbxContent>
              </v:textbox>
              <w10:wrap type="none"/>
            </v:shape>
          </w:pict>
        </mc:Fallback>
      </mc:AlternateContent>
    </w:r>
  </w:p>
</w:hdr>
</file>

<file path=word/header2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2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2579456">
              <wp:simplePos x="0" y="0"/>
              <wp:positionH relativeFrom="page">
                <wp:posOffset>903986</wp:posOffset>
              </wp:positionH>
              <wp:positionV relativeFrom="page">
                <wp:posOffset>497649</wp:posOffset>
              </wp:positionV>
              <wp:extent cx="948690" cy="158750"/>
              <wp:effectExtent l="0" t="0" r="0" b="0"/>
              <wp:wrapNone/>
              <wp:docPr id="218" name="Textbox 218"/>
              <wp:cNvGraphicFramePr>
                <a:graphicFrameLocks/>
              </wp:cNvGraphicFramePr>
              <a:graphic>
                <a:graphicData uri="http://schemas.microsoft.com/office/word/2010/wordprocessingShape">
                  <wps:wsp>
                    <wps:cNvPr id="218" name="Textbox 218"/>
                    <wps:cNvSpPr txBox="1"/>
                    <wps:spPr>
                      <a:xfrm>
                        <a:off x="0" y="0"/>
                        <a:ext cx="948690" cy="158750"/>
                      </a:xfrm>
                      <a:prstGeom prst="rect">
                        <a:avLst/>
                      </a:prstGeom>
                    </wps:spPr>
                    <wps:txbx>
                      <w:txbxContent>
                        <w:p>
                          <w:pPr>
                            <w:spacing w:line="234" w:lineRule="exact" w:before="0"/>
                            <w:ind w:left="20" w:right="0" w:firstLine="0"/>
                            <w:jc w:val="left"/>
                            <w:rPr>
                              <w:sz w:val="21"/>
                            </w:rPr>
                          </w:pPr>
                          <w:r>
                            <w:rPr>
                              <w:sz w:val="21"/>
                            </w:rPr>
                            <w:t>MENTAL</w:t>
                          </w:r>
                          <w:r>
                            <w:rPr>
                              <w:spacing w:val="-2"/>
                              <w:sz w:val="21"/>
                            </w:rPr>
                            <w:t> HEALTH</w:t>
                          </w:r>
                        </w:p>
                      </w:txbxContent>
                    </wps:txbx>
                    <wps:bodyPr wrap="square" lIns="0" tIns="0" rIns="0" bIns="0" rtlCol="0">
                      <a:noAutofit/>
                    </wps:bodyPr>
                  </wps:wsp>
                </a:graphicData>
              </a:graphic>
            </wp:anchor>
          </w:drawing>
        </mc:Choice>
        <mc:Fallback>
          <w:pict>
            <v:shape style="position:absolute;margin-left:71.180pt;margin-top:39.185001pt;width:74.7pt;height:12.5pt;mso-position-horizontal-relative:page;mso-position-vertical-relative:page;z-index:-20737024" type="#_x0000_t202" id="docshape184" filled="false" stroked="false">
              <v:textbox inset="0,0,0,0">
                <w:txbxContent>
                  <w:p>
                    <w:pPr>
                      <w:spacing w:line="234" w:lineRule="exact" w:before="0"/>
                      <w:ind w:left="20" w:right="0" w:firstLine="0"/>
                      <w:jc w:val="left"/>
                      <w:rPr>
                        <w:sz w:val="21"/>
                      </w:rPr>
                    </w:pPr>
                    <w:r>
                      <w:rPr>
                        <w:sz w:val="21"/>
                      </w:rPr>
                      <w:t>MENTAL</w:t>
                    </w:r>
                    <w:r>
                      <w:rPr>
                        <w:spacing w:val="-2"/>
                        <w:sz w:val="21"/>
                      </w:rPr>
                      <w:t> HEALTH</w:t>
                    </w:r>
                  </w:p>
                </w:txbxContent>
              </v:textbox>
              <w10:wrap type="none"/>
            </v:shape>
          </w:pict>
        </mc:Fallback>
      </mc:AlternateContent>
    </w:r>
  </w:p>
</w:hdr>
</file>

<file path=word/header2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3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2580992">
              <wp:simplePos x="0" y="0"/>
              <wp:positionH relativeFrom="page">
                <wp:posOffset>993139</wp:posOffset>
              </wp:positionH>
              <wp:positionV relativeFrom="page">
                <wp:posOffset>445019</wp:posOffset>
              </wp:positionV>
              <wp:extent cx="1151890" cy="188595"/>
              <wp:effectExtent l="0" t="0" r="0" b="0"/>
              <wp:wrapNone/>
              <wp:docPr id="259" name="Textbox 259"/>
              <wp:cNvGraphicFramePr>
                <a:graphicFrameLocks/>
              </wp:cNvGraphicFramePr>
              <a:graphic>
                <a:graphicData uri="http://schemas.microsoft.com/office/word/2010/wordprocessingShape">
                  <wps:wsp>
                    <wps:cNvPr id="259" name="Textbox 259"/>
                    <wps:cNvSpPr txBox="1"/>
                    <wps:spPr>
                      <a:xfrm>
                        <a:off x="0" y="0"/>
                        <a:ext cx="1151890" cy="188595"/>
                      </a:xfrm>
                      <a:prstGeom prst="rect">
                        <a:avLst/>
                      </a:prstGeom>
                    </wps:spPr>
                    <wps:txbx>
                      <w:txbxContent>
                        <w:p>
                          <w:pPr>
                            <w:spacing w:before="17"/>
                            <w:ind w:left="20" w:right="0" w:firstLine="0"/>
                            <w:jc w:val="left"/>
                            <w:rPr>
                              <w:sz w:val="21"/>
                            </w:rPr>
                          </w:pPr>
                          <w:r>
                            <w:rPr>
                              <w:spacing w:val="-2"/>
                              <w:w w:val="110"/>
                              <w:sz w:val="21"/>
                            </w:rPr>
                            <w:t>PEDIATRIC</w:t>
                          </w:r>
                          <w:r>
                            <w:rPr>
                              <w:w w:val="110"/>
                              <w:sz w:val="21"/>
                            </w:rPr>
                            <w:t> </w:t>
                          </w:r>
                          <w:r>
                            <w:rPr>
                              <w:spacing w:val="-2"/>
                              <w:w w:val="110"/>
                              <w:sz w:val="21"/>
                            </w:rPr>
                            <w:t>HEALTH</w:t>
                          </w:r>
                        </w:p>
                      </w:txbxContent>
                    </wps:txbx>
                    <wps:bodyPr wrap="square" lIns="0" tIns="0" rIns="0" bIns="0" rtlCol="0">
                      <a:noAutofit/>
                    </wps:bodyPr>
                  </wps:wsp>
                </a:graphicData>
              </a:graphic>
            </wp:anchor>
          </w:drawing>
        </mc:Choice>
        <mc:Fallback>
          <w:pict>
            <v:shape style="position:absolute;margin-left:78.199997pt;margin-top:35.040871pt;width:90.7pt;height:14.85pt;mso-position-horizontal-relative:page;mso-position-vertical-relative:page;z-index:-20735488" type="#_x0000_t202" id="docshape206" filled="false" stroked="false">
              <v:textbox inset="0,0,0,0">
                <w:txbxContent>
                  <w:p>
                    <w:pPr>
                      <w:spacing w:before="17"/>
                      <w:ind w:left="20" w:right="0" w:firstLine="0"/>
                      <w:jc w:val="left"/>
                      <w:rPr>
                        <w:sz w:val="21"/>
                      </w:rPr>
                    </w:pPr>
                    <w:r>
                      <w:rPr>
                        <w:spacing w:val="-2"/>
                        <w:w w:val="110"/>
                        <w:sz w:val="21"/>
                      </w:rPr>
                      <w:t>PEDIATRIC</w:t>
                    </w:r>
                    <w:r>
                      <w:rPr>
                        <w:w w:val="110"/>
                        <w:sz w:val="21"/>
                      </w:rPr>
                      <w:t> </w:t>
                    </w:r>
                    <w:r>
                      <w:rPr>
                        <w:spacing w:val="-2"/>
                        <w:w w:val="110"/>
                        <w:sz w:val="21"/>
                      </w:rPr>
                      <w:t>HEALTH</w:t>
                    </w:r>
                  </w:p>
                </w:txbxContent>
              </v:textbox>
              <w10:wrap type="none"/>
            </v:shape>
          </w:pict>
        </mc:Fallback>
      </mc:AlternateContent>
    </w:r>
  </w:p>
</w:hdr>
</file>

<file path=word/header3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3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2582528">
              <wp:simplePos x="0" y="0"/>
              <wp:positionH relativeFrom="page">
                <wp:posOffset>903986</wp:posOffset>
              </wp:positionH>
              <wp:positionV relativeFrom="page">
                <wp:posOffset>495363</wp:posOffset>
              </wp:positionV>
              <wp:extent cx="2239010" cy="158750"/>
              <wp:effectExtent l="0" t="0" r="0" b="0"/>
              <wp:wrapNone/>
              <wp:docPr id="282" name="Textbox 282"/>
              <wp:cNvGraphicFramePr>
                <a:graphicFrameLocks/>
              </wp:cNvGraphicFramePr>
              <a:graphic>
                <a:graphicData uri="http://schemas.microsoft.com/office/word/2010/wordprocessingShape">
                  <wps:wsp>
                    <wps:cNvPr id="282" name="Textbox 282"/>
                    <wps:cNvSpPr txBox="1"/>
                    <wps:spPr>
                      <a:xfrm>
                        <a:off x="0" y="0"/>
                        <a:ext cx="2239010" cy="158750"/>
                      </a:xfrm>
                      <a:prstGeom prst="rect">
                        <a:avLst/>
                      </a:prstGeom>
                    </wps:spPr>
                    <wps:txbx>
                      <w:txbxContent>
                        <w:p>
                          <w:pPr>
                            <w:spacing w:line="234" w:lineRule="exact" w:before="0"/>
                            <w:ind w:left="20" w:right="0" w:firstLine="0"/>
                            <w:jc w:val="left"/>
                            <w:rPr>
                              <w:sz w:val="21"/>
                            </w:rPr>
                          </w:pPr>
                          <w:r>
                            <w:rPr>
                              <w:sz w:val="21"/>
                            </w:rPr>
                            <w:t>PREGNANCY</w:t>
                          </w:r>
                          <w:r>
                            <w:rPr>
                              <w:spacing w:val="-4"/>
                              <w:sz w:val="21"/>
                            </w:rPr>
                            <w:t> </w:t>
                          </w:r>
                          <w:r>
                            <w:rPr>
                              <w:sz w:val="21"/>
                            </w:rPr>
                            <w:t>&amp;</w:t>
                          </w:r>
                          <w:r>
                            <w:rPr>
                              <w:spacing w:val="-3"/>
                              <w:sz w:val="21"/>
                            </w:rPr>
                            <w:t> </w:t>
                          </w:r>
                          <w:r>
                            <w:rPr>
                              <w:sz w:val="21"/>
                            </w:rPr>
                            <w:t>GYNECOLOGICAL</w:t>
                          </w:r>
                          <w:r>
                            <w:rPr>
                              <w:spacing w:val="-3"/>
                              <w:sz w:val="21"/>
                            </w:rPr>
                            <w:t> </w:t>
                          </w:r>
                          <w:r>
                            <w:rPr>
                              <w:spacing w:val="-2"/>
                              <w:sz w:val="21"/>
                            </w:rPr>
                            <w:t>HEALTH</w:t>
                          </w:r>
                        </w:p>
                      </w:txbxContent>
                    </wps:txbx>
                    <wps:bodyPr wrap="square" lIns="0" tIns="0" rIns="0" bIns="0" rtlCol="0">
                      <a:noAutofit/>
                    </wps:bodyPr>
                  </wps:wsp>
                </a:graphicData>
              </a:graphic>
            </wp:anchor>
          </w:drawing>
        </mc:Choice>
        <mc:Fallback>
          <w:pict>
            <v:shape style="position:absolute;margin-left:71.180pt;margin-top:39.005001pt;width:176.3pt;height:12.5pt;mso-position-horizontal-relative:page;mso-position-vertical-relative:page;z-index:-20733952" type="#_x0000_t202" id="docshape224" filled="false" stroked="false">
              <v:textbox inset="0,0,0,0">
                <w:txbxContent>
                  <w:p>
                    <w:pPr>
                      <w:spacing w:line="234" w:lineRule="exact" w:before="0"/>
                      <w:ind w:left="20" w:right="0" w:firstLine="0"/>
                      <w:jc w:val="left"/>
                      <w:rPr>
                        <w:sz w:val="21"/>
                      </w:rPr>
                    </w:pPr>
                    <w:r>
                      <w:rPr>
                        <w:sz w:val="21"/>
                      </w:rPr>
                      <w:t>PREGNANCY</w:t>
                    </w:r>
                    <w:r>
                      <w:rPr>
                        <w:spacing w:val="-4"/>
                        <w:sz w:val="21"/>
                      </w:rPr>
                      <w:t> </w:t>
                    </w:r>
                    <w:r>
                      <w:rPr>
                        <w:sz w:val="21"/>
                      </w:rPr>
                      <w:t>&amp;</w:t>
                    </w:r>
                    <w:r>
                      <w:rPr>
                        <w:spacing w:val="-3"/>
                        <w:sz w:val="21"/>
                      </w:rPr>
                      <w:t> </w:t>
                    </w:r>
                    <w:r>
                      <w:rPr>
                        <w:sz w:val="21"/>
                      </w:rPr>
                      <w:t>GYNECOLOGICAL</w:t>
                    </w:r>
                    <w:r>
                      <w:rPr>
                        <w:spacing w:val="-3"/>
                        <w:sz w:val="21"/>
                      </w:rPr>
                      <w:t> </w:t>
                    </w:r>
                    <w:r>
                      <w:rPr>
                        <w:spacing w:val="-2"/>
                        <w:sz w:val="21"/>
                      </w:rPr>
                      <w:t>HEALTH</w:t>
                    </w:r>
                  </w:p>
                </w:txbxContent>
              </v:textbox>
              <w10:wrap type="none"/>
            </v:shape>
          </w:pict>
        </mc:Fallback>
      </mc:AlternateContent>
    </w:r>
  </w:p>
</w:hdr>
</file>

<file path=word/header3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3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2584064">
              <wp:simplePos x="0" y="0"/>
              <wp:positionH relativeFrom="page">
                <wp:posOffset>903986</wp:posOffset>
              </wp:positionH>
              <wp:positionV relativeFrom="page">
                <wp:posOffset>471741</wp:posOffset>
              </wp:positionV>
              <wp:extent cx="899794" cy="158750"/>
              <wp:effectExtent l="0" t="0" r="0" b="0"/>
              <wp:wrapNone/>
              <wp:docPr id="313" name="Textbox 313"/>
              <wp:cNvGraphicFramePr>
                <a:graphicFrameLocks/>
              </wp:cNvGraphicFramePr>
              <a:graphic>
                <a:graphicData uri="http://schemas.microsoft.com/office/word/2010/wordprocessingShape">
                  <wps:wsp>
                    <wps:cNvPr id="313" name="Textbox 313"/>
                    <wps:cNvSpPr txBox="1"/>
                    <wps:spPr>
                      <a:xfrm>
                        <a:off x="0" y="0"/>
                        <a:ext cx="899794" cy="158750"/>
                      </a:xfrm>
                      <a:prstGeom prst="rect">
                        <a:avLst/>
                      </a:prstGeom>
                    </wps:spPr>
                    <wps:txbx>
                      <w:txbxContent>
                        <w:p>
                          <w:pPr>
                            <w:spacing w:line="234" w:lineRule="exact" w:before="0"/>
                            <w:ind w:left="20" w:right="0" w:firstLine="0"/>
                            <w:jc w:val="left"/>
                            <w:rPr>
                              <w:sz w:val="21"/>
                            </w:rPr>
                          </w:pPr>
                          <w:r>
                            <w:rPr>
                              <w:sz w:val="21"/>
                            </w:rPr>
                            <w:t>SEXUAL</w:t>
                          </w:r>
                          <w:r>
                            <w:rPr>
                              <w:spacing w:val="-3"/>
                              <w:sz w:val="21"/>
                            </w:rPr>
                            <w:t> </w:t>
                          </w:r>
                          <w:r>
                            <w:rPr>
                              <w:spacing w:val="-2"/>
                              <w:sz w:val="21"/>
                            </w:rPr>
                            <w:t>HEALTH</w:t>
                          </w:r>
                        </w:p>
                      </w:txbxContent>
                    </wps:txbx>
                    <wps:bodyPr wrap="square" lIns="0" tIns="0" rIns="0" bIns="0" rtlCol="0">
                      <a:noAutofit/>
                    </wps:bodyPr>
                  </wps:wsp>
                </a:graphicData>
              </a:graphic>
            </wp:anchor>
          </w:drawing>
        </mc:Choice>
        <mc:Fallback>
          <w:pict>
            <v:shape style="position:absolute;margin-left:71.180pt;margin-top:37.145pt;width:70.850pt;height:12.5pt;mso-position-horizontal-relative:page;mso-position-vertical-relative:page;z-index:-20732416" type="#_x0000_t202" id="docshape246" filled="false" stroked="false">
              <v:textbox inset="0,0,0,0">
                <w:txbxContent>
                  <w:p>
                    <w:pPr>
                      <w:spacing w:line="234" w:lineRule="exact" w:before="0"/>
                      <w:ind w:left="20" w:right="0" w:firstLine="0"/>
                      <w:jc w:val="left"/>
                      <w:rPr>
                        <w:sz w:val="21"/>
                      </w:rPr>
                    </w:pPr>
                    <w:r>
                      <w:rPr>
                        <w:sz w:val="21"/>
                      </w:rPr>
                      <w:t>SEXUAL</w:t>
                    </w:r>
                    <w:r>
                      <w:rPr>
                        <w:spacing w:val="-3"/>
                        <w:sz w:val="21"/>
                      </w:rPr>
                      <w:t> </w:t>
                    </w:r>
                    <w:r>
                      <w:rPr>
                        <w:spacing w:val="-2"/>
                        <w:sz w:val="21"/>
                      </w:rPr>
                      <w:t>HEALTH</w:t>
                    </w:r>
                  </w:p>
                </w:txbxContent>
              </v:textbox>
              <w10:wrap type="none"/>
            </v:shape>
          </w:pict>
        </mc:Fallback>
      </mc:AlternateContent>
    </w:r>
  </w:p>
</w:hdr>
</file>

<file path=word/header3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3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2585600">
              <wp:simplePos x="0" y="0"/>
              <wp:positionH relativeFrom="page">
                <wp:posOffset>993139</wp:posOffset>
              </wp:positionH>
              <wp:positionV relativeFrom="page">
                <wp:posOffset>473265</wp:posOffset>
              </wp:positionV>
              <wp:extent cx="2351405" cy="165100"/>
              <wp:effectExtent l="0" t="0" r="0" b="0"/>
              <wp:wrapNone/>
              <wp:docPr id="359" name="Textbox 359"/>
              <wp:cNvGraphicFramePr>
                <a:graphicFrameLocks/>
              </wp:cNvGraphicFramePr>
              <a:graphic>
                <a:graphicData uri="http://schemas.microsoft.com/office/word/2010/wordprocessingShape">
                  <wps:wsp>
                    <wps:cNvPr id="359" name="Textbox 359"/>
                    <wps:cNvSpPr txBox="1"/>
                    <wps:spPr>
                      <a:xfrm>
                        <a:off x="0" y="0"/>
                        <a:ext cx="2351405" cy="165100"/>
                      </a:xfrm>
                      <a:prstGeom prst="rect">
                        <a:avLst/>
                      </a:prstGeom>
                    </wps:spPr>
                    <wps:txbx>
                      <w:txbxContent>
                        <w:p>
                          <w:pPr>
                            <w:pStyle w:val="BodyText"/>
                            <w:spacing w:line="244" w:lineRule="exact"/>
                            <w:ind w:left="20"/>
                          </w:pPr>
                          <w:r>
                            <w:rPr/>
                            <w:t>HOMELESSNESS</w:t>
                          </w:r>
                          <w:r>
                            <w:rPr>
                              <w:spacing w:val="-11"/>
                            </w:rPr>
                            <w:t> </w:t>
                          </w:r>
                          <w:r>
                            <w:rPr/>
                            <w:t>&amp;</w:t>
                          </w:r>
                          <w:r>
                            <w:rPr>
                              <w:spacing w:val="-9"/>
                            </w:rPr>
                            <w:t> </w:t>
                          </w:r>
                          <w:r>
                            <w:rPr/>
                            <w:t>HOUSING</w:t>
                          </w:r>
                          <w:r>
                            <w:rPr>
                              <w:spacing w:val="-10"/>
                            </w:rPr>
                            <w:t> </w:t>
                          </w:r>
                          <w:r>
                            <w:rPr>
                              <w:spacing w:val="-2"/>
                            </w:rPr>
                            <w:t>INSTABILITY</w:t>
                          </w:r>
                        </w:p>
                      </w:txbxContent>
                    </wps:txbx>
                    <wps:bodyPr wrap="square" lIns="0" tIns="0" rIns="0" bIns="0" rtlCol="0">
                      <a:noAutofit/>
                    </wps:bodyPr>
                  </wps:wsp>
                </a:graphicData>
              </a:graphic>
            </wp:anchor>
          </w:drawing>
        </mc:Choice>
        <mc:Fallback>
          <w:pict>
            <v:shape style="position:absolute;margin-left:78.199997pt;margin-top:37.264999pt;width:185.15pt;height:13pt;mso-position-horizontal-relative:page;mso-position-vertical-relative:page;z-index:-20730880" type="#_x0000_t202" id="docshape286" filled="false" stroked="false">
              <v:textbox inset="0,0,0,0">
                <w:txbxContent>
                  <w:p>
                    <w:pPr>
                      <w:pStyle w:val="BodyText"/>
                      <w:spacing w:line="244" w:lineRule="exact"/>
                      <w:ind w:left="20"/>
                    </w:pPr>
                    <w:r>
                      <w:rPr/>
                      <w:t>HOMELESSNESS</w:t>
                    </w:r>
                    <w:r>
                      <w:rPr>
                        <w:spacing w:val="-11"/>
                      </w:rPr>
                      <w:t> </w:t>
                    </w:r>
                    <w:r>
                      <w:rPr/>
                      <w:t>&amp;</w:t>
                    </w:r>
                    <w:r>
                      <w:rPr>
                        <w:spacing w:val="-9"/>
                      </w:rPr>
                      <w:t> </w:t>
                    </w:r>
                    <w:r>
                      <w:rPr/>
                      <w:t>HOUSING</w:t>
                    </w:r>
                    <w:r>
                      <w:rPr>
                        <w:spacing w:val="-10"/>
                      </w:rPr>
                      <w:t> </w:t>
                    </w:r>
                    <w:r>
                      <w:rPr>
                        <w:spacing w:val="-2"/>
                      </w:rPr>
                      <w:t>INSTABILITY</w:t>
                    </w:r>
                  </w:p>
                </w:txbxContent>
              </v:textbox>
              <w10:wrap type="none"/>
            </v:shape>
          </w:pict>
        </mc:Fallback>
      </mc:AlternateContent>
    </w:r>
  </w:p>
</w:hdr>
</file>

<file path=word/header3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2587136">
              <wp:simplePos x="0" y="0"/>
              <wp:positionH relativeFrom="page">
                <wp:posOffset>993139</wp:posOffset>
              </wp:positionH>
              <wp:positionV relativeFrom="page">
                <wp:posOffset>473265</wp:posOffset>
              </wp:positionV>
              <wp:extent cx="2351405" cy="165100"/>
              <wp:effectExtent l="0" t="0" r="0" b="0"/>
              <wp:wrapNone/>
              <wp:docPr id="370" name="Textbox 370"/>
              <wp:cNvGraphicFramePr>
                <a:graphicFrameLocks/>
              </wp:cNvGraphicFramePr>
              <a:graphic>
                <a:graphicData uri="http://schemas.microsoft.com/office/word/2010/wordprocessingShape">
                  <wps:wsp>
                    <wps:cNvPr id="370" name="Textbox 370"/>
                    <wps:cNvSpPr txBox="1"/>
                    <wps:spPr>
                      <a:xfrm>
                        <a:off x="0" y="0"/>
                        <a:ext cx="2351405" cy="165100"/>
                      </a:xfrm>
                      <a:prstGeom prst="rect">
                        <a:avLst/>
                      </a:prstGeom>
                    </wps:spPr>
                    <wps:txbx>
                      <w:txbxContent>
                        <w:p>
                          <w:pPr>
                            <w:pStyle w:val="BodyText"/>
                            <w:spacing w:line="244" w:lineRule="exact"/>
                            <w:ind w:left="20"/>
                          </w:pPr>
                          <w:r>
                            <w:rPr/>
                            <w:t>HOMELESSNESS</w:t>
                          </w:r>
                          <w:r>
                            <w:rPr>
                              <w:spacing w:val="-11"/>
                            </w:rPr>
                            <w:t> </w:t>
                          </w:r>
                          <w:r>
                            <w:rPr/>
                            <w:t>&amp;</w:t>
                          </w:r>
                          <w:r>
                            <w:rPr>
                              <w:spacing w:val="-9"/>
                            </w:rPr>
                            <w:t> </w:t>
                          </w:r>
                          <w:r>
                            <w:rPr/>
                            <w:t>HOUSING</w:t>
                          </w:r>
                          <w:r>
                            <w:rPr>
                              <w:spacing w:val="-10"/>
                            </w:rPr>
                            <w:t> </w:t>
                          </w:r>
                          <w:r>
                            <w:rPr>
                              <w:spacing w:val="-2"/>
                            </w:rPr>
                            <w:t>INSTABILITY</w:t>
                          </w:r>
                        </w:p>
                      </w:txbxContent>
                    </wps:txbx>
                    <wps:bodyPr wrap="square" lIns="0" tIns="0" rIns="0" bIns="0" rtlCol="0">
                      <a:noAutofit/>
                    </wps:bodyPr>
                  </wps:wsp>
                </a:graphicData>
              </a:graphic>
            </wp:anchor>
          </w:drawing>
        </mc:Choice>
        <mc:Fallback>
          <w:pict>
            <v:shape style="position:absolute;margin-left:78.199997pt;margin-top:37.264999pt;width:185.15pt;height:13pt;mso-position-horizontal-relative:page;mso-position-vertical-relative:page;z-index:-20729344" type="#_x0000_t202" id="docshape294" filled="false" stroked="false">
              <v:textbox inset="0,0,0,0">
                <w:txbxContent>
                  <w:p>
                    <w:pPr>
                      <w:pStyle w:val="BodyText"/>
                      <w:spacing w:line="244" w:lineRule="exact"/>
                      <w:ind w:left="20"/>
                    </w:pPr>
                    <w:r>
                      <w:rPr/>
                      <w:t>HOMELESSNESS</w:t>
                    </w:r>
                    <w:r>
                      <w:rPr>
                        <w:spacing w:val="-11"/>
                      </w:rPr>
                      <w:t> </w:t>
                    </w:r>
                    <w:r>
                      <w:rPr/>
                      <w:t>&amp;</w:t>
                    </w:r>
                    <w:r>
                      <w:rPr>
                        <w:spacing w:val="-9"/>
                      </w:rPr>
                      <w:t> </w:t>
                    </w:r>
                    <w:r>
                      <w:rPr/>
                      <w:t>HOUSING</w:t>
                    </w:r>
                    <w:r>
                      <w:rPr>
                        <w:spacing w:val="-10"/>
                      </w:rPr>
                      <w:t> </w:t>
                    </w:r>
                    <w:r>
                      <w:rPr>
                        <w:spacing w:val="-2"/>
                      </w:rPr>
                      <w:t>INSTABILITY</w:t>
                    </w:r>
                  </w:p>
                </w:txbxContent>
              </v:textbox>
              <w10:wrap type="none"/>
            </v:shape>
          </w:pict>
        </mc:Fallback>
      </mc:AlternateContent>
    </w:r>
  </w:p>
</w:hdr>
</file>

<file path=word/header3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2588160">
              <wp:simplePos x="0" y="0"/>
              <wp:positionH relativeFrom="page">
                <wp:posOffset>993139</wp:posOffset>
              </wp:positionH>
              <wp:positionV relativeFrom="page">
                <wp:posOffset>473265</wp:posOffset>
              </wp:positionV>
              <wp:extent cx="2351405" cy="165100"/>
              <wp:effectExtent l="0" t="0" r="0" b="0"/>
              <wp:wrapNone/>
              <wp:docPr id="373" name="Textbox 373"/>
              <wp:cNvGraphicFramePr>
                <a:graphicFrameLocks/>
              </wp:cNvGraphicFramePr>
              <a:graphic>
                <a:graphicData uri="http://schemas.microsoft.com/office/word/2010/wordprocessingShape">
                  <wps:wsp>
                    <wps:cNvPr id="373" name="Textbox 373"/>
                    <wps:cNvSpPr txBox="1"/>
                    <wps:spPr>
                      <a:xfrm>
                        <a:off x="0" y="0"/>
                        <a:ext cx="2351405" cy="165100"/>
                      </a:xfrm>
                      <a:prstGeom prst="rect">
                        <a:avLst/>
                      </a:prstGeom>
                    </wps:spPr>
                    <wps:txbx>
                      <w:txbxContent>
                        <w:p>
                          <w:pPr>
                            <w:pStyle w:val="BodyText"/>
                            <w:spacing w:line="244" w:lineRule="exact"/>
                            <w:ind w:left="20"/>
                          </w:pPr>
                          <w:r>
                            <w:rPr/>
                            <w:t>HOMELESSNESS</w:t>
                          </w:r>
                          <w:r>
                            <w:rPr>
                              <w:spacing w:val="-11"/>
                            </w:rPr>
                            <w:t> </w:t>
                          </w:r>
                          <w:r>
                            <w:rPr/>
                            <w:t>&amp;</w:t>
                          </w:r>
                          <w:r>
                            <w:rPr>
                              <w:spacing w:val="-9"/>
                            </w:rPr>
                            <w:t> </w:t>
                          </w:r>
                          <w:r>
                            <w:rPr/>
                            <w:t>HOUSING</w:t>
                          </w:r>
                          <w:r>
                            <w:rPr>
                              <w:spacing w:val="-10"/>
                            </w:rPr>
                            <w:t> </w:t>
                          </w:r>
                          <w:r>
                            <w:rPr>
                              <w:spacing w:val="-2"/>
                            </w:rPr>
                            <w:t>INSTABILITY</w:t>
                          </w:r>
                        </w:p>
                      </w:txbxContent>
                    </wps:txbx>
                    <wps:bodyPr wrap="square" lIns="0" tIns="0" rIns="0" bIns="0" rtlCol="0">
                      <a:noAutofit/>
                    </wps:bodyPr>
                  </wps:wsp>
                </a:graphicData>
              </a:graphic>
            </wp:anchor>
          </w:drawing>
        </mc:Choice>
        <mc:Fallback>
          <w:pict>
            <v:shape style="position:absolute;margin-left:78.199997pt;margin-top:37.264999pt;width:185.15pt;height:13pt;mso-position-horizontal-relative:page;mso-position-vertical-relative:page;z-index:-20728320" type="#_x0000_t202" id="docshape297" filled="false" stroked="false">
              <v:textbox inset="0,0,0,0">
                <w:txbxContent>
                  <w:p>
                    <w:pPr>
                      <w:pStyle w:val="BodyText"/>
                      <w:spacing w:line="244" w:lineRule="exact"/>
                      <w:ind w:left="20"/>
                    </w:pPr>
                    <w:r>
                      <w:rPr/>
                      <w:t>HOMELESSNESS</w:t>
                    </w:r>
                    <w:r>
                      <w:rPr>
                        <w:spacing w:val="-11"/>
                      </w:rPr>
                      <w:t> </w:t>
                    </w:r>
                    <w:r>
                      <w:rPr/>
                      <w:t>&amp;</w:t>
                    </w:r>
                    <w:r>
                      <w:rPr>
                        <w:spacing w:val="-9"/>
                      </w:rPr>
                      <w:t> </w:t>
                    </w:r>
                    <w:r>
                      <w:rPr/>
                      <w:t>HOUSING</w:t>
                    </w:r>
                    <w:r>
                      <w:rPr>
                        <w:spacing w:val="-10"/>
                      </w:rPr>
                      <w:t> </w:t>
                    </w:r>
                    <w:r>
                      <w:rPr>
                        <w:spacing w:val="-2"/>
                      </w:rPr>
                      <w:t>INSTABILITY</w:t>
                    </w:r>
                  </w:p>
                </w:txbxContent>
              </v:textbox>
              <w10:wrap type="none"/>
            </v:shape>
          </w:pict>
        </mc:Fallback>
      </mc:AlternateContent>
    </w:r>
  </w:p>
</w:hdr>
</file>

<file path=word/header3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4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2589696">
              <wp:simplePos x="0" y="0"/>
              <wp:positionH relativeFrom="page">
                <wp:posOffset>993139</wp:posOffset>
              </wp:positionH>
              <wp:positionV relativeFrom="page">
                <wp:posOffset>471741</wp:posOffset>
              </wp:positionV>
              <wp:extent cx="1153160" cy="158750"/>
              <wp:effectExtent l="0" t="0" r="0" b="0"/>
              <wp:wrapNone/>
              <wp:docPr id="391" name="Textbox 391"/>
              <wp:cNvGraphicFramePr>
                <a:graphicFrameLocks/>
              </wp:cNvGraphicFramePr>
              <a:graphic>
                <a:graphicData uri="http://schemas.microsoft.com/office/word/2010/wordprocessingShape">
                  <wps:wsp>
                    <wps:cNvPr id="391" name="Textbox 391"/>
                    <wps:cNvSpPr txBox="1"/>
                    <wps:spPr>
                      <a:xfrm>
                        <a:off x="0" y="0"/>
                        <a:ext cx="1153160" cy="158750"/>
                      </a:xfrm>
                      <a:prstGeom prst="rect">
                        <a:avLst/>
                      </a:prstGeom>
                    </wps:spPr>
                    <wps:txbx>
                      <w:txbxContent>
                        <w:p>
                          <w:pPr>
                            <w:spacing w:line="234" w:lineRule="exact" w:before="0"/>
                            <w:ind w:left="20" w:right="0" w:firstLine="0"/>
                            <w:jc w:val="left"/>
                            <w:rPr>
                              <w:sz w:val="21"/>
                            </w:rPr>
                          </w:pPr>
                          <w:r>
                            <w:rPr>
                              <w:sz w:val="21"/>
                            </w:rPr>
                            <w:t>ADVANCING</w:t>
                          </w:r>
                          <w:r>
                            <w:rPr>
                              <w:spacing w:val="-5"/>
                              <w:sz w:val="21"/>
                            </w:rPr>
                            <w:t> </w:t>
                          </w:r>
                          <w:r>
                            <w:rPr>
                              <w:spacing w:val="-2"/>
                              <w:sz w:val="21"/>
                            </w:rPr>
                            <w:t>JUSTICE</w:t>
                          </w:r>
                        </w:p>
                      </w:txbxContent>
                    </wps:txbx>
                    <wps:bodyPr wrap="square" lIns="0" tIns="0" rIns="0" bIns="0" rtlCol="0">
                      <a:noAutofit/>
                    </wps:bodyPr>
                  </wps:wsp>
                </a:graphicData>
              </a:graphic>
            </wp:anchor>
          </w:drawing>
        </mc:Choice>
        <mc:Fallback>
          <w:pict>
            <v:shape style="position:absolute;margin-left:78.199997pt;margin-top:37.145pt;width:90.8pt;height:12.5pt;mso-position-horizontal-relative:page;mso-position-vertical-relative:page;z-index:-20726784" type="#_x0000_t202" id="docshape313" filled="false" stroked="false">
              <v:textbox inset="0,0,0,0">
                <w:txbxContent>
                  <w:p>
                    <w:pPr>
                      <w:spacing w:line="234" w:lineRule="exact" w:before="0"/>
                      <w:ind w:left="20" w:right="0" w:firstLine="0"/>
                      <w:jc w:val="left"/>
                      <w:rPr>
                        <w:sz w:val="21"/>
                      </w:rPr>
                    </w:pPr>
                    <w:r>
                      <w:rPr>
                        <w:sz w:val="21"/>
                      </w:rPr>
                      <w:t>ADVANCING</w:t>
                    </w:r>
                    <w:r>
                      <w:rPr>
                        <w:spacing w:val="-5"/>
                        <w:sz w:val="21"/>
                      </w:rPr>
                      <w:t> </w:t>
                    </w:r>
                    <w:r>
                      <w:rPr>
                        <w:spacing w:val="-2"/>
                        <w:sz w:val="21"/>
                      </w:rPr>
                      <w:t>JUSTICE</w:t>
                    </w:r>
                  </w:p>
                </w:txbxContent>
              </v:textbox>
              <w10:wrap type="none"/>
            </v:shape>
          </w:pict>
        </mc:Fallback>
      </mc:AlternateContent>
    </w:r>
  </w:p>
</w:hdr>
</file>

<file path=word/header4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4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2591232">
              <wp:simplePos x="0" y="0"/>
              <wp:positionH relativeFrom="page">
                <wp:posOffset>903986</wp:posOffset>
              </wp:positionH>
              <wp:positionV relativeFrom="page">
                <wp:posOffset>498411</wp:posOffset>
              </wp:positionV>
              <wp:extent cx="1706880" cy="158750"/>
              <wp:effectExtent l="0" t="0" r="0" b="0"/>
              <wp:wrapNone/>
              <wp:docPr id="422" name="Textbox 422"/>
              <wp:cNvGraphicFramePr>
                <a:graphicFrameLocks/>
              </wp:cNvGraphicFramePr>
              <a:graphic>
                <a:graphicData uri="http://schemas.microsoft.com/office/word/2010/wordprocessingShape">
                  <wps:wsp>
                    <wps:cNvPr id="422" name="Textbox 422"/>
                    <wps:cNvSpPr txBox="1"/>
                    <wps:spPr>
                      <a:xfrm>
                        <a:off x="0" y="0"/>
                        <a:ext cx="1706880" cy="158750"/>
                      </a:xfrm>
                      <a:prstGeom prst="rect">
                        <a:avLst/>
                      </a:prstGeom>
                    </wps:spPr>
                    <wps:txbx>
                      <w:txbxContent>
                        <w:p>
                          <w:pPr>
                            <w:spacing w:line="234" w:lineRule="exact" w:before="0"/>
                            <w:ind w:left="20" w:right="0" w:firstLine="0"/>
                            <w:jc w:val="left"/>
                            <w:rPr>
                              <w:sz w:val="21"/>
                            </w:rPr>
                          </w:pPr>
                          <w:r>
                            <w:rPr>
                              <w:sz w:val="21"/>
                            </w:rPr>
                            <w:t>INCLUSIVE</w:t>
                          </w:r>
                          <w:r>
                            <w:rPr>
                              <w:spacing w:val="-5"/>
                              <w:sz w:val="21"/>
                            </w:rPr>
                            <w:t> </w:t>
                          </w:r>
                          <w:r>
                            <w:rPr>
                              <w:sz w:val="21"/>
                            </w:rPr>
                            <w:t>SERVICE</w:t>
                          </w:r>
                          <w:r>
                            <w:rPr>
                              <w:spacing w:val="-5"/>
                              <w:sz w:val="21"/>
                            </w:rPr>
                            <w:t> </w:t>
                          </w:r>
                          <w:r>
                            <w:rPr>
                              <w:spacing w:val="-2"/>
                              <w:sz w:val="21"/>
                            </w:rPr>
                            <w:t>PROVISION</w:t>
                          </w:r>
                        </w:p>
                      </w:txbxContent>
                    </wps:txbx>
                    <wps:bodyPr wrap="square" lIns="0" tIns="0" rIns="0" bIns="0" rtlCol="0">
                      <a:noAutofit/>
                    </wps:bodyPr>
                  </wps:wsp>
                </a:graphicData>
              </a:graphic>
            </wp:anchor>
          </w:drawing>
        </mc:Choice>
        <mc:Fallback>
          <w:pict>
            <v:shape style="position:absolute;margin-left:71.180pt;margin-top:39.244999pt;width:134.4pt;height:12.5pt;mso-position-horizontal-relative:page;mso-position-vertical-relative:page;z-index:-20725248" type="#_x0000_t202" id="docshape337" filled="false" stroked="false">
              <v:textbox inset="0,0,0,0">
                <w:txbxContent>
                  <w:p>
                    <w:pPr>
                      <w:spacing w:line="234" w:lineRule="exact" w:before="0"/>
                      <w:ind w:left="20" w:right="0" w:firstLine="0"/>
                      <w:jc w:val="left"/>
                      <w:rPr>
                        <w:sz w:val="21"/>
                      </w:rPr>
                    </w:pPr>
                    <w:r>
                      <w:rPr>
                        <w:sz w:val="21"/>
                      </w:rPr>
                      <w:t>INCLUSIVE</w:t>
                    </w:r>
                    <w:r>
                      <w:rPr>
                        <w:spacing w:val="-5"/>
                        <w:sz w:val="21"/>
                      </w:rPr>
                      <w:t> </w:t>
                    </w:r>
                    <w:r>
                      <w:rPr>
                        <w:sz w:val="21"/>
                      </w:rPr>
                      <w:t>SERVICE</w:t>
                    </w:r>
                    <w:r>
                      <w:rPr>
                        <w:spacing w:val="-5"/>
                        <w:sz w:val="21"/>
                      </w:rPr>
                      <w:t> </w:t>
                    </w:r>
                    <w:r>
                      <w:rPr>
                        <w:spacing w:val="-2"/>
                        <w:sz w:val="21"/>
                      </w:rPr>
                      <w:t>PROVISION</w:t>
                    </w:r>
                  </w:p>
                </w:txbxContent>
              </v:textbox>
              <w10:wrap type="none"/>
            </v:shape>
          </w:pict>
        </mc:Fallback>
      </mc:AlternateContent>
    </w:r>
  </w:p>
</w:hdr>
</file>

<file path=word/header4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4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2592768">
              <wp:simplePos x="0" y="0"/>
              <wp:positionH relativeFrom="page">
                <wp:posOffset>903986</wp:posOffset>
              </wp:positionH>
              <wp:positionV relativeFrom="page">
                <wp:posOffset>495363</wp:posOffset>
              </wp:positionV>
              <wp:extent cx="1449705" cy="158750"/>
              <wp:effectExtent l="0" t="0" r="0" b="0"/>
              <wp:wrapNone/>
              <wp:docPr id="474" name="Textbox 474"/>
              <wp:cNvGraphicFramePr>
                <a:graphicFrameLocks/>
              </wp:cNvGraphicFramePr>
              <a:graphic>
                <a:graphicData uri="http://schemas.microsoft.com/office/word/2010/wordprocessingShape">
                  <wps:wsp>
                    <wps:cNvPr id="474" name="Textbox 474"/>
                    <wps:cNvSpPr txBox="1"/>
                    <wps:spPr>
                      <a:xfrm>
                        <a:off x="0" y="0"/>
                        <a:ext cx="1449705" cy="158750"/>
                      </a:xfrm>
                      <a:prstGeom prst="rect">
                        <a:avLst/>
                      </a:prstGeom>
                    </wps:spPr>
                    <wps:txbx>
                      <w:txbxContent>
                        <w:p>
                          <w:pPr>
                            <w:spacing w:line="234" w:lineRule="exact" w:before="0"/>
                            <w:ind w:left="20" w:right="0" w:firstLine="0"/>
                            <w:jc w:val="left"/>
                            <w:rPr>
                              <w:sz w:val="21"/>
                            </w:rPr>
                          </w:pPr>
                          <w:r>
                            <w:rPr>
                              <w:sz w:val="21"/>
                            </w:rPr>
                            <w:t>ENVIRONMENTAL</w:t>
                          </w:r>
                          <w:r>
                            <w:rPr>
                              <w:spacing w:val="-5"/>
                              <w:sz w:val="21"/>
                            </w:rPr>
                            <w:t> </w:t>
                          </w:r>
                          <w:r>
                            <w:rPr>
                              <w:spacing w:val="-2"/>
                              <w:sz w:val="21"/>
                            </w:rPr>
                            <w:t>JUSTICE</w:t>
                          </w:r>
                        </w:p>
                      </w:txbxContent>
                    </wps:txbx>
                    <wps:bodyPr wrap="square" lIns="0" tIns="0" rIns="0" bIns="0" rtlCol="0">
                      <a:noAutofit/>
                    </wps:bodyPr>
                  </wps:wsp>
                </a:graphicData>
              </a:graphic>
            </wp:anchor>
          </w:drawing>
        </mc:Choice>
        <mc:Fallback>
          <w:pict>
            <v:shape style="position:absolute;margin-left:71.180pt;margin-top:39.005001pt;width:114.15pt;height:12.5pt;mso-position-horizontal-relative:page;mso-position-vertical-relative:page;z-index:-20723712" type="#_x0000_t202" id="docshape382" filled="false" stroked="false">
              <v:textbox inset="0,0,0,0">
                <w:txbxContent>
                  <w:p>
                    <w:pPr>
                      <w:spacing w:line="234" w:lineRule="exact" w:before="0"/>
                      <w:ind w:left="20" w:right="0" w:firstLine="0"/>
                      <w:jc w:val="left"/>
                      <w:rPr>
                        <w:sz w:val="21"/>
                      </w:rPr>
                    </w:pPr>
                    <w:r>
                      <w:rPr>
                        <w:sz w:val="21"/>
                      </w:rPr>
                      <w:t>ENVIRONMENTAL</w:t>
                    </w:r>
                    <w:r>
                      <w:rPr>
                        <w:spacing w:val="-5"/>
                        <w:sz w:val="21"/>
                      </w:rPr>
                      <w:t> </w:t>
                    </w:r>
                    <w:r>
                      <w:rPr>
                        <w:spacing w:val="-2"/>
                        <w:sz w:val="21"/>
                      </w:rPr>
                      <w:t>JUSTICE</w:t>
                    </w:r>
                  </w:p>
                </w:txbxContent>
              </v:textbox>
              <w10:wrap type="none"/>
            </v:shape>
          </w:pict>
        </mc:Fallback>
      </mc:AlternateContent>
    </w:r>
  </w:p>
</w:hdr>
</file>

<file path=word/header4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4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2594304">
              <wp:simplePos x="0" y="0"/>
              <wp:positionH relativeFrom="page">
                <wp:posOffset>993139</wp:posOffset>
              </wp:positionH>
              <wp:positionV relativeFrom="page">
                <wp:posOffset>471741</wp:posOffset>
              </wp:positionV>
              <wp:extent cx="1097280" cy="158750"/>
              <wp:effectExtent l="0" t="0" r="0" b="0"/>
              <wp:wrapNone/>
              <wp:docPr id="501" name="Textbox 501"/>
              <wp:cNvGraphicFramePr>
                <a:graphicFrameLocks/>
              </wp:cNvGraphicFramePr>
              <a:graphic>
                <a:graphicData uri="http://schemas.microsoft.com/office/word/2010/wordprocessingShape">
                  <wps:wsp>
                    <wps:cNvPr id="501" name="Textbox 501"/>
                    <wps:cNvSpPr txBox="1"/>
                    <wps:spPr>
                      <a:xfrm>
                        <a:off x="0" y="0"/>
                        <a:ext cx="1097280" cy="158750"/>
                      </a:xfrm>
                      <a:prstGeom prst="rect">
                        <a:avLst/>
                      </a:prstGeom>
                    </wps:spPr>
                    <wps:txbx>
                      <w:txbxContent>
                        <w:p>
                          <w:pPr>
                            <w:spacing w:line="234" w:lineRule="exact" w:before="0"/>
                            <w:ind w:left="20" w:right="0" w:firstLine="0"/>
                            <w:jc w:val="left"/>
                            <w:rPr>
                              <w:sz w:val="21"/>
                            </w:rPr>
                          </w:pPr>
                          <w:r>
                            <w:rPr>
                              <w:sz w:val="21"/>
                            </w:rPr>
                            <w:t>ECONOMIC</w:t>
                          </w:r>
                          <w:r>
                            <w:rPr>
                              <w:spacing w:val="-3"/>
                              <w:sz w:val="21"/>
                            </w:rPr>
                            <w:t> </w:t>
                          </w:r>
                          <w:r>
                            <w:rPr>
                              <w:spacing w:val="-2"/>
                              <w:sz w:val="21"/>
                            </w:rPr>
                            <w:t>JUSTICE</w:t>
                          </w:r>
                        </w:p>
                      </w:txbxContent>
                    </wps:txbx>
                    <wps:bodyPr wrap="square" lIns="0" tIns="0" rIns="0" bIns="0" rtlCol="0">
                      <a:noAutofit/>
                    </wps:bodyPr>
                  </wps:wsp>
                </a:graphicData>
              </a:graphic>
            </wp:anchor>
          </w:drawing>
        </mc:Choice>
        <mc:Fallback>
          <w:pict>
            <v:shape style="position:absolute;margin-left:78.199997pt;margin-top:37.145pt;width:86.4pt;height:12.5pt;mso-position-horizontal-relative:page;mso-position-vertical-relative:page;z-index:-20722176" type="#_x0000_t202" id="docshape403" filled="false" stroked="false">
              <v:textbox inset="0,0,0,0">
                <w:txbxContent>
                  <w:p>
                    <w:pPr>
                      <w:spacing w:line="234" w:lineRule="exact" w:before="0"/>
                      <w:ind w:left="20" w:right="0" w:firstLine="0"/>
                      <w:jc w:val="left"/>
                      <w:rPr>
                        <w:sz w:val="21"/>
                      </w:rPr>
                    </w:pPr>
                    <w:r>
                      <w:rPr>
                        <w:sz w:val="21"/>
                      </w:rPr>
                      <w:t>ECONOMIC</w:t>
                    </w:r>
                    <w:r>
                      <w:rPr>
                        <w:spacing w:val="-3"/>
                        <w:sz w:val="21"/>
                      </w:rPr>
                      <w:t> </w:t>
                    </w:r>
                    <w:r>
                      <w:rPr>
                        <w:spacing w:val="-2"/>
                        <w:sz w:val="21"/>
                      </w:rPr>
                      <w:t>JUSTICE</w:t>
                    </w:r>
                  </w:p>
                </w:txbxContent>
              </v:textbox>
              <w10:wrap type="none"/>
            </v:shape>
          </w:pict>
        </mc:Fallback>
      </mc:AlternateContent>
    </w:r>
  </w:p>
</w:hdr>
</file>

<file path=word/header4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4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2595840">
              <wp:simplePos x="0" y="0"/>
              <wp:positionH relativeFrom="page">
                <wp:posOffset>901700</wp:posOffset>
              </wp:positionH>
              <wp:positionV relativeFrom="page">
                <wp:posOffset>477075</wp:posOffset>
              </wp:positionV>
              <wp:extent cx="1953260" cy="158750"/>
              <wp:effectExtent l="0" t="0" r="0" b="0"/>
              <wp:wrapNone/>
              <wp:docPr id="522" name="Textbox 522"/>
              <wp:cNvGraphicFramePr>
                <a:graphicFrameLocks/>
              </wp:cNvGraphicFramePr>
              <a:graphic>
                <a:graphicData uri="http://schemas.microsoft.com/office/word/2010/wordprocessingShape">
                  <wps:wsp>
                    <wps:cNvPr id="522" name="Textbox 522"/>
                    <wps:cNvSpPr txBox="1"/>
                    <wps:spPr>
                      <a:xfrm>
                        <a:off x="0" y="0"/>
                        <a:ext cx="1953260" cy="158750"/>
                      </a:xfrm>
                      <a:prstGeom prst="rect">
                        <a:avLst/>
                      </a:prstGeom>
                    </wps:spPr>
                    <wps:txbx>
                      <w:txbxContent>
                        <w:p>
                          <w:pPr>
                            <w:spacing w:line="234" w:lineRule="exact" w:before="0"/>
                            <w:ind w:left="20" w:right="0" w:firstLine="0"/>
                            <w:jc w:val="left"/>
                            <w:rPr>
                              <w:sz w:val="21"/>
                            </w:rPr>
                          </w:pPr>
                          <w:r>
                            <w:rPr>
                              <w:sz w:val="21"/>
                            </w:rPr>
                            <w:t>ELIMINATING</w:t>
                          </w:r>
                          <w:r>
                            <w:rPr>
                              <w:spacing w:val="-12"/>
                              <w:sz w:val="21"/>
                            </w:rPr>
                            <w:t> </w:t>
                          </w:r>
                          <w:r>
                            <w:rPr>
                              <w:sz w:val="21"/>
                            </w:rPr>
                            <w:t>BARRIERS</w:t>
                          </w:r>
                          <w:r>
                            <w:rPr>
                              <w:spacing w:val="-10"/>
                              <w:sz w:val="21"/>
                            </w:rPr>
                            <w:t> </w:t>
                          </w:r>
                          <w:r>
                            <w:rPr>
                              <w:sz w:val="21"/>
                            </w:rPr>
                            <w:t>TO</w:t>
                          </w:r>
                          <w:r>
                            <w:rPr>
                              <w:spacing w:val="-11"/>
                              <w:sz w:val="21"/>
                            </w:rPr>
                            <w:t> </w:t>
                          </w:r>
                          <w:r>
                            <w:rPr>
                              <w:spacing w:val="-2"/>
                              <w:sz w:val="21"/>
                            </w:rPr>
                            <w:t>SERVICE</w:t>
                          </w:r>
                        </w:p>
                      </w:txbxContent>
                    </wps:txbx>
                    <wps:bodyPr wrap="square" lIns="0" tIns="0" rIns="0" bIns="0" rtlCol="0">
                      <a:noAutofit/>
                    </wps:bodyPr>
                  </wps:wsp>
                </a:graphicData>
              </a:graphic>
            </wp:anchor>
          </w:drawing>
        </mc:Choice>
        <mc:Fallback>
          <w:pict>
            <v:shape style="position:absolute;margin-left:71pt;margin-top:37.564999pt;width:153.8pt;height:12.5pt;mso-position-horizontal-relative:page;mso-position-vertical-relative:page;z-index:-20720640" type="#_x0000_t202" id="docshape419" filled="false" stroked="false">
              <v:textbox inset="0,0,0,0">
                <w:txbxContent>
                  <w:p>
                    <w:pPr>
                      <w:spacing w:line="234" w:lineRule="exact" w:before="0"/>
                      <w:ind w:left="20" w:right="0" w:firstLine="0"/>
                      <w:jc w:val="left"/>
                      <w:rPr>
                        <w:sz w:val="21"/>
                      </w:rPr>
                    </w:pPr>
                    <w:r>
                      <w:rPr>
                        <w:sz w:val="21"/>
                      </w:rPr>
                      <w:t>ELIMINATING</w:t>
                    </w:r>
                    <w:r>
                      <w:rPr>
                        <w:spacing w:val="-12"/>
                        <w:sz w:val="21"/>
                      </w:rPr>
                      <w:t> </w:t>
                    </w:r>
                    <w:r>
                      <w:rPr>
                        <w:sz w:val="21"/>
                      </w:rPr>
                      <w:t>BARRIERS</w:t>
                    </w:r>
                    <w:r>
                      <w:rPr>
                        <w:spacing w:val="-10"/>
                        <w:sz w:val="21"/>
                      </w:rPr>
                      <w:t> </w:t>
                    </w:r>
                    <w:r>
                      <w:rPr>
                        <w:sz w:val="21"/>
                      </w:rPr>
                      <w:t>TO</w:t>
                    </w:r>
                    <w:r>
                      <w:rPr>
                        <w:spacing w:val="-11"/>
                        <w:sz w:val="21"/>
                      </w:rPr>
                      <w:t> </w:t>
                    </w:r>
                    <w:r>
                      <w:rPr>
                        <w:spacing w:val="-2"/>
                        <w:sz w:val="21"/>
                      </w:rPr>
                      <w:t>SERVICE</w:t>
                    </w:r>
                  </w:p>
                </w:txbxContent>
              </v:textbox>
              <w10:wrap type="none"/>
            </v:shape>
          </w:pict>
        </mc:Fallback>
      </mc:AlternateContent>
    </w:r>
  </w:p>
</w:hdr>
</file>

<file path=word/header4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2597376">
              <wp:simplePos x="0" y="0"/>
              <wp:positionH relativeFrom="page">
                <wp:posOffset>903986</wp:posOffset>
              </wp:positionH>
              <wp:positionV relativeFrom="page">
                <wp:posOffset>497649</wp:posOffset>
              </wp:positionV>
              <wp:extent cx="781050" cy="158750"/>
              <wp:effectExtent l="0" t="0" r="0" b="0"/>
              <wp:wrapNone/>
              <wp:docPr id="527" name="Textbox 527"/>
              <wp:cNvGraphicFramePr>
                <a:graphicFrameLocks/>
              </wp:cNvGraphicFramePr>
              <a:graphic>
                <a:graphicData uri="http://schemas.microsoft.com/office/word/2010/wordprocessingShape">
                  <wps:wsp>
                    <wps:cNvPr id="527" name="Textbox 527"/>
                    <wps:cNvSpPr txBox="1"/>
                    <wps:spPr>
                      <a:xfrm>
                        <a:off x="0" y="0"/>
                        <a:ext cx="781050" cy="158750"/>
                      </a:xfrm>
                      <a:prstGeom prst="rect">
                        <a:avLst/>
                      </a:prstGeom>
                    </wps:spPr>
                    <wps:txbx>
                      <w:txbxContent>
                        <w:p>
                          <w:pPr>
                            <w:spacing w:line="234" w:lineRule="exact" w:before="0"/>
                            <w:ind w:left="20" w:right="0" w:firstLine="0"/>
                            <w:jc w:val="left"/>
                            <w:rPr>
                              <w:sz w:val="21"/>
                            </w:rPr>
                          </w:pPr>
                          <w:r>
                            <w:rPr>
                              <w:sz w:val="21"/>
                            </w:rPr>
                            <w:t>EEC</w:t>
                          </w:r>
                          <w:r>
                            <w:rPr>
                              <w:spacing w:val="-1"/>
                              <w:sz w:val="21"/>
                            </w:rPr>
                            <w:t> </w:t>
                          </w:r>
                          <w:r>
                            <w:rPr>
                              <w:sz w:val="21"/>
                            </w:rPr>
                            <w:t>–</w:t>
                          </w:r>
                          <w:r>
                            <w:rPr>
                              <w:spacing w:val="-1"/>
                              <w:sz w:val="21"/>
                            </w:rPr>
                            <w:t> </w:t>
                          </w:r>
                          <w:r>
                            <w:rPr>
                              <w:sz w:val="21"/>
                            </w:rPr>
                            <w:t>FY</w:t>
                          </w:r>
                          <w:r>
                            <w:rPr>
                              <w:spacing w:val="-1"/>
                              <w:sz w:val="21"/>
                            </w:rPr>
                            <w:t> </w:t>
                          </w:r>
                          <w:r>
                            <w:rPr>
                              <w:spacing w:val="-4"/>
                              <w:sz w:val="21"/>
                            </w:rPr>
                            <w:t>2025</w:t>
                          </w:r>
                        </w:p>
                      </w:txbxContent>
                    </wps:txbx>
                    <wps:bodyPr wrap="square" lIns="0" tIns="0" rIns="0" bIns="0" rtlCol="0">
                      <a:noAutofit/>
                    </wps:bodyPr>
                  </wps:wsp>
                </a:graphicData>
              </a:graphic>
            </wp:anchor>
          </w:drawing>
        </mc:Choice>
        <mc:Fallback>
          <w:pict>
            <v:shape style="position:absolute;margin-left:71.180pt;margin-top:39.185001pt;width:61.5pt;height:12.5pt;mso-position-horizontal-relative:page;mso-position-vertical-relative:page;z-index:-20719104" type="#_x0000_t202" id="docshape424" filled="false" stroked="false">
              <v:textbox inset="0,0,0,0">
                <w:txbxContent>
                  <w:p>
                    <w:pPr>
                      <w:spacing w:line="234" w:lineRule="exact" w:before="0"/>
                      <w:ind w:left="20" w:right="0" w:firstLine="0"/>
                      <w:jc w:val="left"/>
                      <w:rPr>
                        <w:sz w:val="21"/>
                      </w:rPr>
                    </w:pPr>
                    <w:r>
                      <w:rPr>
                        <w:sz w:val="21"/>
                      </w:rPr>
                      <w:t>EEC</w:t>
                    </w:r>
                    <w:r>
                      <w:rPr>
                        <w:spacing w:val="-1"/>
                        <w:sz w:val="21"/>
                      </w:rPr>
                      <w:t> </w:t>
                    </w:r>
                    <w:r>
                      <w:rPr>
                        <w:sz w:val="21"/>
                      </w:rPr>
                      <w:t>–</w:t>
                    </w:r>
                    <w:r>
                      <w:rPr>
                        <w:spacing w:val="-1"/>
                        <w:sz w:val="21"/>
                      </w:rPr>
                      <w:t> </w:t>
                    </w:r>
                    <w:r>
                      <w:rPr>
                        <w:sz w:val="21"/>
                      </w:rPr>
                      <w:t>FY</w:t>
                    </w:r>
                    <w:r>
                      <w:rPr>
                        <w:spacing w:val="-1"/>
                        <w:sz w:val="21"/>
                      </w:rPr>
                      <w:t> </w:t>
                    </w:r>
                    <w:r>
                      <w:rPr>
                        <w:spacing w:val="-4"/>
                        <w:sz w:val="21"/>
                      </w:rPr>
                      <w:t>2025</w:t>
                    </w:r>
                  </w:p>
                </w:txbxContent>
              </v:textbox>
              <w10:wrap type="none"/>
            </v:shape>
          </w:pict>
        </mc:Fallback>
      </mc:AlternateContent>
    </w:r>
  </w:p>
</w:hdr>
</file>

<file path=word/header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5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2598912">
              <wp:simplePos x="0" y="0"/>
              <wp:positionH relativeFrom="page">
                <wp:posOffset>993139</wp:posOffset>
              </wp:positionH>
              <wp:positionV relativeFrom="page">
                <wp:posOffset>471741</wp:posOffset>
              </wp:positionV>
              <wp:extent cx="853440" cy="158750"/>
              <wp:effectExtent l="0" t="0" r="0" b="0"/>
              <wp:wrapNone/>
              <wp:docPr id="537" name="Textbox 537"/>
              <wp:cNvGraphicFramePr>
                <a:graphicFrameLocks/>
              </wp:cNvGraphicFramePr>
              <a:graphic>
                <a:graphicData uri="http://schemas.microsoft.com/office/word/2010/wordprocessingShape">
                  <wps:wsp>
                    <wps:cNvPr id="537" name="Textbox 537"/>
                    <wps:cNvSpPr txBox="1"/>
                    <wps:spPr>
                      <a:xfrm>
                        <a:off x="0" y="0"/>
                        <a:ext cx="853440" cy="158750"/>
                      </a:xfrm>
                      <a:prstGeom prst="rect">
                        <a:avLst/>
                      </a:prstGeom>
                    </wps:spPr>
                    <wps:txbx>
                      <w:txbxContent>
                        <w:p>
                          <w:pPr>
                            <w:spacing w:line="234" w:lineRule="exact" w:before="0"/>
                            <w:ind w:left="20" w:right="0" w:firstLine="0"/>
                            <w:jc w:val="left"/>
                            <w:rPr>
                              <w:sz w:val="21"/>
                            </w:rPr>
                          </w:pPr>
                          <w:r>
                            <w:rPr>
                              <w:sz w:val="21"/>
                            </w:rPr>
                            <w:t>DESE</w:t>
                          </w:r>
                          <w:r>
                            <w:rPr>
                              <w:spacing w:val="-2"/>
                              <w:sz w:val="21"/>
                            </w:rPr>
                            <w:t> </w:t>
                          </w:r>
                          <w:r>
                            <w:rPr>
                              <w:sz w:val="21"/>
                            </w:rPr>
                            <w:t>–</w:t>
                          </w:r>
                          <w:r>
                            <w:rPr>
                              <w:spacing w:val="-1"/>
                              <w:sz w:val="21"/>
                            </w:rPr>
                            <w:t> </w:t>
                          </w:r>
                          <w:r>
                            <w:rPr>
                              <w:sz w:val="21"/>
                            </w:rPr>
                            <w:t>FY</w:t>
                          </w:r>
                          <w:r>
                            <w:rPr>
                              <w:spacing w:val="-1"/>
                              <w:sz w:val="21"/>
                            </w:rPr>
                            <w:t> </w:t>
                          </w:r>
                          <w:r>
                            <w:rPr>
                              <w:spacing w:val="-4"/>
                              <w:sz w:val="21"/>
                            </w:rPr>
                            <w:t>2025</w:t>
                          </w:r>
                        </w:p>
                      </w:txbxContent>
                    </wps:txbx>
                    <wps:bodyPr wrap="square" lIns="0" tIns="0" rIns="0" bIns="0" rtlCol="0">
                      <a:noAutofit/>
                    </wps:bodyPr>
                  </wps:wsp>
                </a:graphicData>
              </a:graphic>
            </wp:anchor>
          </w:drawing>
        </mc:Choice>
        <mc:Fallback>
          <w:pict>
            <v:shape style="position:absolute;margin-left:78.199997pt;margin-top:37.145pt;width:67.2pt;height:12.5pt;mso-position-horizontal-relative:page;mso-position-vertical-relative:page;z-index:-20717568" type="#_x0000_t202" id="docshape434" filled="false" stroked="false">
              <v:textbox inset="0,0,0,0">
                <w:txbxContent>
                  <w:p>
                    <w:pPr>
                      <w:spacing w:line="234" w:lineRule="exact" w:before="0"/>
                      <w:ind w:left="20" w:right="0" w:firstLine="0"/>
                      <w:jc w:val="left"/>
                      <w:rPr>
                        <w:sz w:val="21"/>
                      </w:rPr>
                    </w:pPr>
                    <w:r>
                      <w:rPr>
                        <w:sz w:val="21"/>
                      </w:rPr>
                      <w:t>DESE</w:t>
                    </w:r>
                    <w:r>
                      <w:rPr>
                        <w:spacing w:val="-2"/>
                        <w:sz w:val="21"/>
                      </w:rPr>
                      <w:t> </w:t>
                    </w:r>
                    <w:r>
                      <w:rPr>
                        <w:sz w:val="21"/>
                      </w:rPr>
                      <w:t>–</w:t>
                    </w:r>
                    <w:r>
                      <w:rPr>
                        <w:spacing w:val="-1"/>
                        <w:sz w:val="21"/>
                      </w:rPr>
                      <w:t> </w:t>
                    </w:r>
                    <w:r>
                      <w:rPr>
                        <w:sz w:val="21"/>
                      </w:rPr>
                      <w:t>FY</w:t>
                    </w:r>
                    <w:r>
                      <w:rPr>
                        <w:spacing w:val="-1"/>
                        <w:sz w:val="21"/>
                      </w:rPr>
                      <w:t> </w:t>
                    </w:r>
                    <w:r>
                      <w:rPr>
                        <w:spacing w:val="-4"/>
                        <w:sz w:val="21"/>
                      </w:rPr>
                      <w:t>2025</w:t>
                    </w:r>
                  </w:p>
                </w:txbxContent>
              </v:textbox>
              <w10:wrap type="none"/>
            </v:shape>
          </w:pict>
        </mc:Fallback>
      </mc:AlternateContent>
    </w:r>
  </w:p>
</w:hdr>
</file>

<file path=word/header5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2600448">
              <wp:simplePos x="0" y="0"/>
              <wp:positionH relativeFrom="page">
                <wp:posOffset>903986</wp:posOffset>
              </wp:positionH>
              <wp:positionV relativeFrom="page">
                <wp:posOffset>497649</wp:posOffset>
              </wp:positionV>
              <wp:extent cx="809625" cy="158750"/>
              <wp:effectExtent l="0" t="0" r="0" b="0"/>
              <wp:wrapNone/>
              <wp:docPr id="543" name="Textbox 543"/>
              <wp:cNvGraphicFramePr>
                <a:graphicFrameLocks/>
              </wp:cNvGraphicFramePr>
              <a:graphic>
                <a:graphicData uri="http://schemas.microsoft.com/office/word/2010/wordprocessingShape">
                  <wps:wsp>
                    <wps:cNvPr id="543" name="Textbox 543"/>
                    <wps:cNvSpPr txBox="1"/>
                    <wps:spPr>
                      <a:xfrm>
                        <a:off x="0" y="0"/>
                        <a:ext cx="809625" cy="158750"/>
                      </a:xfrm>
                      <a:prstGeom prst="rect">
                        <a:avLst/>
                      </a:prstGeom>
                    </wps:spPr>
                    <wps:txbx>
                      <w:txbxContent>
                        <w:p>
                          <w:pPr>
                            <w:spacing w:line="234" w:lineRule="exact" w:before="0"/>
                            <w:ind w:left="20" w:right="0" w:firstLine="0"/>
                            <w:jc w:val="left"/>
                            <w:rPr>
                              <w:sz w:val="21"/>
                            </w:rPr>
                          </w:pPr>
                          <w:r>
                            <w:rPr>
                              <w:sz w:val="21"/>
                            </w:rPr>
                            <w:t>DHE</w:t>
                          </w:r>
                          <w:r>
                            <w:rPr>
                              <w:spacing w:val="-2"/>
                              <w:sz w:val="21"/>
                            </w:rPr>
                            <w:t> </w:t>
                          </w:r>
                          <w:r>
                            <w:rPr>
                              <w:sz w:val="21"/>
                            </w:rPr>
                            <w:t>–</w:t>
                          </w:r>
                          <w:r>
                            <w:rPr>
                              <w:spacing w:val="-1"/>
                              <w:sz w:val="21"/>
                            </w:rPr>
                            <w:t> </w:t>
                          </w:r>
                          <w:r>
                            <w:rPr>
                              <w:sz w:val="21"/>
                            </w:rPr>
                            <w:t>FY </w:t>
                          </w:r>
                          <w:r>
                            <w:rPr>
                              <w:spacing w:val="-4"/>
                              <w:sz w:val="21"/>
                            </w:rPr>
                            <w:t>2025</w:t>
                          </w:r>
                        </w:p>
                      </w:txbxContent>
                    </wps:txbx>
                    <wps:bodyPr wrap="square" lIns="0" tIns="0" rIns="0" bIns="0" rtlCol="0">
                      <a:noAutofit/>
                    </wps:bodyPr>
                  </wps:wsp>
                </a:graphicData>
              </a:graphic>
            </wp:anchor>
          </w:drawing>
        </mc:Choice>
        <mc:Fallback>
          <w:pict>
            <v:shape style="position:absolute;margin-left:71.180pt;margin-top:39.185001pt;width:63.75pt;height:12.5pt;mso-position-horizontal-relative:page;mso-position-vertical-relative:page;z-index:-20716032" type="#_x0000_t202" id="docshape440" filled="false" stroked="false">
              <v:textbox inset="0,0,0,0">
                <w:txbxContent>
                  <w:p>
                    <w:pPr>
                      <w:spacing w:line="234" w:lineRule="exact" w:before="0"/>
                      <w:ind w:left="20" w:right="0" w:firstLine="0"/>
                      <w:jc w:val="left"/>
                      <w:rPr>
                        <w:sz w:val="21"/>
                      </w:rPr>
                    </w:pPr>
                    <w:r>
                      <w:rPr>
                        <w:sz w:val="21"/>
                      </w:rPr>
                      <w:t>DHE</w:t>
                    </w:r>
                    <w:r>
                      <w:rPr>
                        <w:spacing w:val="-2"/>
                        <w:sz w:val="21"/>
                      </w:rPr>
                      <w:t> </w:t>
                    </w:r>
                    <w:r>
                      <w:rPr>
                        <w:sz w:val="21"/>
                      </w:rPr>
                      <w:t>–</w:t>
                    </w:r>
                    <w:r>
                      <w:rPr>
                        <w:spacing w:val="-1"/>
                        <w:sz w:val="21"/>
                      </w:rPr>
                      <w:t> </w:t>
                    </w:r>
                    <w:r>
                      <w:rPr>
                        <w:sz w:val="21"/>
                      </w:rPr>
                      <w:t>FY </w:t>
                    </w:r>
                    <w:r>
                      <w:rPr>
                        <w:spacing w:val="-4"/>
                        <w:sz w:val="21"/>
                      </w:rPr>
                      <w:t>2025</w:t>
                    </w:r>
                  </w:p>
                </w:txbxContent>
              </v:textbox>
              <w10:wrap type="none"/>
            </v:shape>
          </w:pict>
        </mc:Fallback>
      </mc:AlternateContent>
    </w:r>
  </w:p>
</w:hdr>
</file>

<file path=word/header5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2601984">
              <wp:simplePos x="0" y="0"/>
              <wp:positionH relativeFrom="page">
                <wp:posOffset>903986</wp:posOffset>
              </wp:positionH>
              <wp:positionV relativeFrom="page">
                <wp:posOffset>497649</wp:posOffset>
              </wp:positionV>
              <wp:extent cx="794385" cy="158750"/>
              <wp:effectExtent l="0" t="0" r="0" b="0"/>
              <wp:wrapNone/>
              <wp:docPr id="555" name="Textbox 555"/>
              <wp:cNvGraphicFramePr>
                <a:graphicFrameLocks/>
              </wp:cNvGraphicFramePr>
              <a:graphic>
                <a:graphicData uri="http://schemas.microsoft.com/office/word/2010/wordprocessingShape">
                  <wps:wsp>
                    <wps:cNvPr id="555" name="Textbox 555"/>
                    <wps:cNvSpPr txBox="1"/>
                    <wps:spPr>
                      <a:xfrm>
                        <a:off x="0" y="0"/>
                        <a:ext cx="794385" cy="158750"/>
                      </a:xfrm>
                      <a:prstGeom prst="rect">
                        <a:avLst/>
                      </a:prstGeom>
                    </wps:spPr>
                    <wps:txbx>
                      <w:txbxContent>
                        <w:p>
                          <w:pPr>
                            <w:spacing w:line="234" w:lineRule="exact" w:before="0"/>
                            <w:ind w:left="20" w:right="0" w:firstLine="0"/>
                            <w:jc w:val="left"/>
                            <w:rPr>
                              <w:sz w:val="21"/>
                            </w:rPr>
                          </w:pPr>
                          <w:r>
                            <w:rPr>
                              <w:sz w:val="21"/>
                            </w:rPr>
                            <w:t>DCF</w:t>
                          </w:r>
                          <w:r>
                            <w:rPr>
                              <w:spacing w:val="-1"/>
                              <w:sz w:val="21"/>
                            </w:rPr>
                            <w:t> </w:t>
                          </w:r>
                          <w:r>
                            <w:rPr>
                              <w:sz w:val="21"/>
                            </w:rPr>
                            <w:t>–</w:t>
                          </w:r>
                          <w:r>
                            <w:rPr>
                              <w:spacing w:val="-1"/>
                              <w:sz w:val="21"/>
                            </w:rPr>
                            <w:t> </w:t>
                          </w:r>
                          <w:r>
                            <w:rPr>
                              <w:sz w:val="21"/>
                            </w:rPr>
                            <w:t>FY </w:t>
                          </w:r>
                          <w:r>
                            <w:rPr>
                              <w:spacing w:val="-4"/>
                              <w:sz w:val="21"/>
                            </w:rPr>
                            <w:t>2025</w:t>
                          </w:r>
                        </w:p>
                      </w:txbxContent>
                    </wps:txbx>
                    <wps:bodyPr wrap="square" lIns="0" tIns="0" rIns="0" bIns="0" rtlCol="0">
                      <a:noAutofit/>
                    </wps:bodyPr>
                  </wps:wsp>
                </a:graphicData>
              </a:graphic>
            </wp:anchor>
          </w:drawing>
        </mc:Choice>
        <mc:Fallback>
          <w:pict>
            <v:shape style="position:absolute;margin-left:71.180pt;margin-top:39.185001pt;width:62.55pt;height:12.5pt;mso-position-horizontal-relative:page;mso-position-vertical-relative:page;z-index:-20714496" type="#_x0000_t202" id="docshape452" filled="false" stroked="false">
              <v:textbox inset="0,0,0,0">
                <w:txbxContent>
                  <w:p>
                    <w:pPr>
                      <w:spacing w:line="234" w:lineRule="exact" w:before="0"/>
                      <w:ind w:left="20" w:right="0" w:firstLine="0"/>
                      <w:jc w:val="left"/>
                      <w:rPr>
                        <w:sz w:val="21"/>
                      </w:rPr>
                    </w:pPr>
                    <w:r>
                      <w:rPr>
                        <w:sz w:val="21"/>
                      </w:rPr>
                      <w:t>DCF</w:t>
                    </w:r>
                    <w:r>
                      <w:rPr>
                        <w:spacing w:val="-1"/>
                        <w:sz w:val="21"/>
                      </w:rPr>
                      <w:t> </w:t>
                    </w:r>
                    <w:r>
                      <w:rPr>
                        <w:sz w:val="21"/>
                      </w:rPr>
                      <w:t>–</w:t>
                    </w:r>
                    <w:r>
                      <w:rPr>
                        <w:spacing w:val="-1"/>
                        <w:sz w:val="21"/>
                      </w:rPr>
                      <w:t> </w:t>
                    </w:r>
                    <w:r>
                      <w:rPr>
                        <w:sz w:val="21"/>
                      </w:rPr>
                      <w:t>FY </w:t>
                    </w:r>
                    <w:r>
                      <w:rPr>
                        <w:spacing w:val="-4"/>
                        <w:sz w:val="21"/>
                      </w:rPr>
                      <w:t>2025</w:t>
                    </w:r>
                  </w:p>
                </w:txbxContent>
              </v:textbox>
              <w10:wrap type="none"/>
            </v:shape>
          </w:pict>
        </mc:Fallback>
      </mc:AlternateContent>
    </w:r>
  </w:p>
</w:hdr>
</file>

<file path=word/header5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2603520">
              <wp:simplePos x="0" y="0"/>
              <wp:positionH relativeFrom="page">
                <wp:posOffset>903986</wp:posOffset>
              </wp:positionH>
              <wp:positionV relativeFrom="page">
                <wp:posOffset>497649</wp:posOffset>
              </wp:positionV>
              <wp:extent cx="836930" cy="158750"/>
              <wp:effectExtent l="0" t="0" r="0" b="0"/>
              <wp:wrapNone/>
              <wp:docPr id="565" name="Textbox 565"/>
              <wp:cNvGraphicFramePr>
                <a:graphicFrameLocks/>
              </wp:cNvGraphicFramePr>
              <a:graphic>
                <a:graphicData uri="http://schemas.microsoft.com/office/word/2010/wordprocessingShape">
                  <wps:wsp>
                    <wps:cNvPr id="565" name="Textbox 565"/>
                    <wps:cNvSpPr txBox="1"/>
                    <wps:spPr>
                      <a:xfrm>
                        <a:off x="0" y="0"/>
                        <a:ext cx="836930" cy="158750"/>
                      </a:xfrm>
                      <a:prstGeom prst="rect">
                        <a:avLst/>
                      </a:prstGeom>
                    </wps:spPr>
                    <wps:txbx>
                      <w:txbxContent>
                        <w:p>
                          <w:pPr>
                            <w:spacing w:line="234" w:lineRule="exact" w:before="0"/>
                            <w:ind w:left="20" w:right="0" w:firstLine="0"/>
                            <w:jc w:val="left"/>
                            <w:rPr>
                              <w:sz w:val="21"/>
                            </w:rPr>
                          </w:pPr>
                          <w:r>
                            <w:rPr>
                              <w:sz w:val="21"/>
                            </w:rPr>
                            <w:t>MCB</w:t>
                          </w:r>
                          <w:r>
                            <w:rPr>
                              <w:spacing w:val="-1"/>
                              <w:sz w:val="21"/>
                            </w:rPr>
                            <w:t> </w:t>
                          </w:r>
                          <w:r>
                            <w:rPr>
                              <w:sz w:val="21"/>
                            </w:rPr>
                            <w:t>–</w:t>
                          </w:r>
                          <w:r>
                            <w:rPr>
                              <w:spacing w:val="-1"/>
                              <w:sz w:val="21"/>
                            </w:rPr>
                            <w:t> </w:t>
                          </w:r>
                          <w:r>
                            <w:rPr>
                              <w:sz w:val="21"/>
                            </w:rPr>
                            <w:t>FY </w:t>
                          </w:r>
                          <w:r>
                            <w:rPr>
                              <w:spacing w:val="-4"/>
                              <w:sz w:val="21"/>
                            </w:rPr>
                            <w:t>2025</w:t>
                          </w:r>
                        </w:p>
                      </w:txbxContent>
                    </wps:txbx>
                    <wps:bodyPr wrap="square" lIns="0" tIns="0" rIns="0" bIns="0" rtlCol="0">
                      <a:noAutofit/>
                    </wps:bodyPr>
                  </wps:wsp>
                </a:graphicData>
              </a:graphic>
            </wp:anchor>
          </w:drawing>
        </mc:Choice>
        <mc:Fallback>
          <w:pict>
            <v:shape style="position:absolute;margin-left:71.180pt;margin-top:39.185001pt;width:65.9pt;height:12.5pt;mso-position-horizontal-relative:page;mso-position-vertical-relative:page;z-index:-20712960" type="#_x0000_t202" id="docshape462" filled="false" stroked="false">
              <v:textbox inset="0,0,0,0">
                <w:txbxContent>
                  <w:p>
                    <w:pPr>
                      <w:spacing w:line="234" w:lineRule="exact" w:before="0"/>
                      <w:ind w:left="20" w:right="0" w:firstLine="0"/>
                      <w:jc w:val="left"/>
                      <w:rPr>
                        <w:sz w:val="21"/>
                      </w:rPr>
                    </w:pPr>
                    <w:r>
                      <w:rPr>
                        <w:sz w:val="21"/>
                      </w:rPr>
                      <w:t>MCB</w:t>
                    </w:r>
                    <w:r>
                      <w:rPr>
                        <w:spacing w:val="-1"/>
                        <w:sz w:val="21"/>
                      </w:rPr>
                      <w:t> </w:t>
                    </w:r>
                    <w:r>
                      <w:rPr>
                        <w:sz w:val="21"/>
                      </w:rPr>
                      <w:t>–</w:t>
                    </w:r>
                    <w:r>
                      <w:rPr>
                        <w:spacing w:val="-1"/>
                        <w:sz w:val="21"/>
                      </w:rPr>
                      <w:t> </w:t>
                    </w:r>
                    <w:r>
                      <w:rPr>
                        <w:sz w:val="21"/>
                      </w:rPr>
                      <w:t>FY </w:t>
                    </w:r>
                    <w:r>
                      <w:rPr>
                        <w:spacing w:val="-4"/>
                        <w:sz w:val="21"/>
                      </w:rPr>
                      <w:t>2025</w:t>
                    </w:r>
                  </w:p>
                </w:txbxContent>
              </v:textbox>
              <w10:wrap type="none"/>
            </v:shape>
          </w:pict>
        </mc:Fallback>
      </mc:AlternateContent>
    </w:r>
  </w:p>
</w:hdr>
</file>

<file path=word/header5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2605056">
              <wp:simplePos x="0" y="0"/>
              <wp:positionH relativeFrom="page">
                <wp:posOffset>903986</wp:posOffset>
              </wp:positionH>
              <wp:positionV relativeFrom="page">
                <wp:posOffset>497649</wp:posOffset>
              </wp:positionV>
              <wp:extent cx="1013460" cy="158750"/>
              <wp:effectExtent l="0" t="0" r="0" b="0"/>
              <wp:wrapNone/>
              <wp:docPr id="571" name="Textbox 571"/>
              <wp:cNvGraphicFramePr>
                <a:graphicFrameLocks/>
              </wp:cNvGraphicFramePr>
              <a:graphic>
                <a:graphicData uri="http://schemas.microsoft.com/office/word/2010/wordprocessingShape">
                  <wps:wsp>
                    <wps:cNvPr id="571" name="Textbox 571"/>
                    <wps:cNvSpPr txBox="1"/>
                    <wps:spPr>
                      <a:xfrm>
                        <a:off x="0" y="0"/>
                        <a:ext cx="1013460" cy="158750"/>
                      </a:xfrm>
                      <a:prstGeom prst="rect">
                        <a:avLst/>
                      </a:prstGeom>
                    </wps:spPr>
                    <wps:txbx>
                      <w:txbxContent>
                        <w:p>
                          <w:pPr>
                            <w:spacing w:line="234" w:lineRule="exact" w:before="0"/>
                            <w:ind w:left="20" w:right="0" w:firstLine="0"/>
                            <w:jc w:val="left"/>
                            <w:rPr>
                              <w:sz w:val="21"/>
                            </w:rPr>
                          </w:pPr>
                          <w:r>
                            <w:rPr>
                              <w:sz w:val="21"/>
                            </w:rPr>
                            <w:t>MCDHH</w:t>
                          </w:r>
                          <w:r>
                            <w:rPr>
                              <w:spacing w:val="-1"/>
                              <w:sz w:val="21"/>
                            </w:rPr>
                            <w:t> </w:t>
                          </w:r>
                          <w:r>
                            <w:rPr>
                              <w:sz w:val="21"/>
                            </w:rPr>
                            <w:t>–</w:t>
                          </w:r>
                          <w:r>
                            <w:rPr>
                              <w:spacing w:val="-1"/>
                              <w:sz w:val="21"/>
                            </w:rPr>
                            <w:t> </w:t>
                          </w:r>
                          <w:r>
                            <w:rPr>
                              <w:sz w:val="21"/>
                            </w:rPr>
                            <w:t>FY</w:t>
                          </w:r>
                          <w:r>
                            <w:rPr>
                              <w:spacing w:val="-1"/>
                              <w:sz w:val="21"/>
                            </w:rPr>
                            <w:t> </w:t>
                          </w:r>
                          <w:r>
                            <w:rPr>
                              <w:spacing w:val="-4"/>
                              <w:sz w:val="21"/>
                            </w:rPr>
                            <w:t>2025</w:t>
                          </w:r>
                        </w:p>
                      </w:txbxContent>
                    </wps:txbx>
                    <wps:bodyPr wrap="square" lIns="0" tIns="0" rIns="0" bIns="0" rtlCol="0">
                      <a:noAutofit/>
                    </wps:bodyPr>
                  </wps:wsp>
                </a:graphicData>
              </a:graphic>
            </wp:anchor>
          </w:drawing>
        </mc:Choice>
        <mc:Fallback>
          <w:pict>
            <v:shape style="position:absolute;margin-left:71.180pt;margin-top:39.185001pt;width:79.8pt;height:12.5pt;mso-position-horizontal-relative:page;mso-position-vertical-relative:page;z-index:-20711424" type="#_x0000_t202" id="docshape468" filled="false" stroked="false">
              <v:textbox inset="0,0,0,0">
                <w:txbxContent>
                  <w:p>
                    <w:pPr>
                      <w:spacing w:line="234" w:lineRule="exact" w:before="0"/>
                      <w:ind w:left="20" w:right="0" w:firstLine="0"/>
                      <w:jc w:val="left"/>
                      <w:rPr>
                        <w:sz w:val="21"/>
                      </w:rPr>
                    </w:pPr>
                    <w:r>
                      <w:rPr>
                        <w:sz w:val="21"/>
                      </w:rPr>
                      <w:t>MCDHH</w:t>
                    </w:r>
                    <w:r>
                      <w:rPr>
                        <w:spacing w:val="-1"/>
                        <w:sz w:val="21"/>
                      </w:rPr>
                      <w:t> </w:t>
                    </w:r>
                    <w:r>
                      <w:rPr>
                        <w:sz w:val="21"/>
                      </w:rPr>
                      <w:t>–</w:t>
                    </w:r>
                    <w:r>
                      <w:rPr>
                        <w:spacing w:val="-1"/>
                        <w:sz w:val="21"/>
                      </w:rPr>
                      <w:t> </w:t>
                    </w:r>
                    <w:r>
                      <w:rPr>
                        <w:sz w:val="21"/>
                      </w:rPr>
                      <w:t>FY</w:t>
                    </w:r>
                    <w:r>
                      <w:rPr>
                        <w:spacing w:val="-1"/>
                        <w:sz w:val="21"/>
                      </w:rPr>
                      <w:t> </w:t>
                    </w:r>
                    <w:r>
                      <w:rPr>
                        <w:spacing w:val="-4"/>
                        <w:sz w:val="21"/>
                      </w:rPr>
                      <w:t>2025</w:t>
                    </w:r>
                  </w:p>
                </w:txbxContent>
              </v:textbox>
              <w10:wrap type="none"/>
            </v:shape>
          </w:pict>
        </mc:Fallback>
      </mc:AlternateContent>
    </w:r>
  </w:p>
</w:hdr>
</file>

<file path=word/header5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2606592">
              <wp:simplePos x="0" y="0"/>
              <wp:positionH relativeFrom="page">
                <wp:posOffset>891794</wp:posOffset>
              </wp:positionH>
              <wp:positionV relativeFrom="page">
                <wp:posOffset>497649</wp:posOffset>
              </wp:positionV>
              <wp:extent cx="836930" cy="158750"/>
              <wp:effectExtent l="0" t="0" r="0" b="0"/>
              <wp:wrapNone/>
              <wp:docPr id="581" name="Textbox 581"/>
              <wp:cNvGraphicFramePr>
                <a:graphicFrameLocks/>
              </wp:cNvGraphicFramePr>
              <a:graphic>
                <a:graphicData uri="http://schemas.microsoft.com/office/word/2010/wordprocessingShape">
                  <wps:wsp>
                    <wps:cNvPr id="581" name="Textbox 581"/>
                    <wps:cNvSpPr txBox="1"/>
                    <wps:spPr>
                      <a:xfrm>
                        <a:off x="0" y="0"/>
                        <a:ext cx="836930" cy="158750"/>
                      </a:xfrm>
                      <a:prstGeom prst="rect">
                        <a:avLst/>
                      </a:prstGeom>
                    </wps:spPr>
                    <wps:txbx>
                      <w:txbxContent>
                        <w:p>
                          <w:pPr>
                            <w:spacing w:line="234" w:lineRule="exact" w:before="0"/>
                            <w:ind w:left="20" w:right="0" w:firstLine="0"/>
                            <w:jc w:val="left"/>
                            <w:rPr>
                              <w:sz w:val="21"/>
                            </w:rPr>
                          </w:pPr>
                          <w:r>
                            <w:rPr>
                              <w:sz w:val="21"/>
                            </w:rPr>
                            <w:t>MRC</w:t>
                          </w:r>
                          <w:r>
                            <w:rPr>
                              <w:spacing w:val="-1"/>
                              <w:sz w:val="21"/>
                            </w:rPr>
                            <w:t> </w:t>
                          </w:r>
                          <w:r>
                            <w:rPr>
                              <w:sz w:val="21"/>
                            </w:rPr>
                            <w:t>–</w:t>
                          </w:r>
                          <w:r>
                            <w:rPr>
                              <w:spacing w:val="-1"/>
                              <w:sz w:val="21"/>
                            </w:rPr>
                            <w:t> </w:t>
                          </w:r>
                          <w:r>
                            <w:rPr>
                              <w:sz w:val="21"/>
                            </w:rPr>
                            <w:t>FY </w:t>
                          </w:r>
                          <w:r>
                            <w:rPr>
                              <w:spacing w:val="-4"/>
                              <w:sz w:val="21"/>
                            </w:rPr>
                            <w:t>2025</w:t>
                          </w:r>
                        </w:p>
                      </w:txbxContent>
                    </wps:txbx>
                    <wps:bodyPr wrap="square" lIns="0" tIns="0" rIns="0" bIns="0" rtlCol="0">
                      <a:noAutofit/>
                    </wps:bodyPr>
                  </wps:wsp>
                </a:graphicData>
              </a:graphic>
            </wp:anchor>
          </w:drawing>
        </mc:Choice>
        <mc:Fallback>
          <w:pict>
            <v:shape style="position:absolute;margin-left:70.220001pt;margin-top:39.185001pt;width:65.9pt;height:12.5pt;mso-position-horizontal-relative:page;mso-position-vertical-relative:page;z-index:-20709888" type="#_x0000_t202" id="docshape478" filled="false" stroked="false">
              <v:textbox inset="0,0,0,0">
                <w:txbxContent>
                  <w:p>
                    <w:pPr>
                      <w:spacing w:line="234" w:lineRule="exact" w:before="0"/>
                      <w:ind w:left="20" w:right="0" w:firstLine="0"/>
                      <w:jc w:val="left"/>
                      <w:rPr>
                        <w:sz w:val="21"/>
                      </w:rPr>
                    </w:pPr>
                    <w:r>
                      <w:rPr>
                        <w:sz w:val="21"/>
                      </w:rPr>
                      <w:t>MRC</w:t>
                    </w:r>
                    <w:r>
                      <w:rPr>
                        <w:spacing w:val="-1"/>
                        <w:sz w:val="21"/>
                      </w:rPr>
                      <w:t> </w:t>
                    </w:r>
                    <w:r>
                      <w:rPr>
                        <w:sz w:val="21"/>
                      </w:rPr>
                      <w:t>–</w:t>
                    </w:r>
                    <w:r>
                      <w:rPr>
                        <w:spacing w:val="-1"/>
                        <w:sz w:val="21"/>
                      </w:rPr>
                      <w:t> </w:t>
                    </w:r>
                    <w:r>
                      <w:rPr>
                        <w:sz w:val="21"/>
                      </w:rPr>
                      <w:t>FY </w:t>
                    </w:r>
                    <w:r>
                      <w:rPr>
                        <w:spacing w:val="-4"/>
                        <w:sz w:val="21"/>
                      </w:rPr>
                      <w:t>2025</w:t>
                    </w:r>
                  </w:p>
                </w:txbxContent>
              </v:textbox>
              <w10:wrap type="none"/>
            </v:shape>
          </w:pict>
        </mc:Fallback>
      </mc:AlternateContent>
    </w:r>
  </w:p>
</w:hdr>
</file>

<file path=word/header5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2608128">
              <wp:simplePos x="0" y="0"/>
              <wp:positionH relativeFrom="page">
                <wp:posOffset>903986</wp:posOffset>
              </wp:positionH>
              <wp:positionV relativeFrom="page">
                <wp:posOffset>497649</wp:posOffset>
              </wp:positionV>
              <wp:extent cx="857885" cy="158750"/>
              <wp:effectExtent l="0" t="0" r="0" b="0"/>
              <wp:wrapNone/>
              <wp:docPr id="593" name="Textbox 593"/>
              <wp:cNvGraphicFramePr>
                <a:graphicFrameLocks/>
              </wp:cNvGraphicFramePr>
              <a:graphic>
                <a:graphicData uri="http://schemas.microsoft.com/office/word/2010/wordprocessingShape">
                  <wps:wsp>
                    <wps:cNvPr id="593" name="Textbox 593"/>
                    <wps:cNvSpPr txBox="1"/>
                    <wps:spPr>
                      <a:xfrm>
                        <a:off x="0" y="0"/>
                        <a:ext cx="857885" cy="158750"/>
                      </a:xfrm>
                      <a:prstGeom prst="rect">
                        <a:avLst/>
                      </a:prstGeom>
                    </wps:spPr>
                    <wps:txbx>
                      <w:txbxContent>
                        <w:p>
                          <w:pPr>
                            <w:spacing w:line="234" w:lineRule="exact" w:before="0"/>
                            <w:ind w:left="20" w:right="0" w:firstLine="0"/>
                            <w:jc w:val="left"/>
                            <w:rPr>
                              <w:sz w:val="21"/>
                            </w:rPr>
                          </w:pPr>
                          <w:r>
                            <w:rPr>
                              <w:sz w:val="21"/>
                            </w:rPr>
                            <w:t>DMH</w:t>
                          </w:r>
                          <w:r>
                            <w:rPr>
                              <w:spacing w:val="-1"/>
                              <w:sz w:val="21"/>
                            </w:rPr>
                            <w:t> </w:t>
                          </w:r>
                          <w:r>
                            <w:rPr>
                              <w:sz w:val="21"/>
                            </w:rPr>
                            <w:t>– FY </w:t>
                          </w:r>
                          <w:r>
                            <w:rPr>
                              <w:spacing w:val="-4"/>
                              <w:sz w:val="21"/>
                            </w:rPr>
                            <w:t>2025</w:t>
                          </w:r>
                        </w:p>
                      </w:txbxContent>
                    </wps:txbx>
                    <wps:bodyPr wrap="square" lIns="0" tIns="0" rIns="0" bIns="0" rtlCol="0">
                      <a:noAutofit/>
                    </wps:bodyPr>
                  </wps:wsp>
                </a:graphicData>
              </a:graphic>
            </wp:anchor>
          </w:drawing>
        </mc:Choice>
        <mc:Fallback>
          <w:pict>
            <v:shape style="position:absolute;margin-left:71.180pt;margin-top:39.185001pt;width:67.55pt;height:12.5pt;mso-position-horizontal-relative:page;mso-position-vertical-relative:page;z-index:-20708352" type="#_x0000_t202" id="docshape490" filled="false" stroked="false">
              <v:textbox inset="0,0,0,0">
                <w:txbxContent>
                  <w:p>
                    <w:pPr>
                      <w:spacing w:line="234" w:lineRule="exact" w:before="0"/>
                      <w:ind w:left="20" w:right="0" w:firstLine="0"/>
                      <w:jc w:val="left"/>
                      <w:rPr>
                        <w:sz w:val="21"/>
                      </w:rPr>
                    </w:pPr>
                    <w:r>
                      <w:rPr>
                        <w:sz w:val="21"/>
                      </w:rPr>
                      <w:t>DMH</w:t>
                    </w:r>
                    <w:r>
                      <w:rPr>
                        <w:spacing w:val="-1"/>
                        <w:sz w:val="21"/>
                      </w:rPr>
                      <w:t> </w:t>
                    </w:r>
                    <w:r>
                      <w:rPr>
                        <w:sz w:val="21"/>
                      </w:rPr>
                      <w:t>– FY </w:t>
                    </w:r>
                    <w:r>
                      <w:rPr>
                        <w:spacing w:val="-4"/>
                        <w:sz w:val="21"/>
                      </w:rPr>
                      <w:t>2025</w:t>
                    </w:r>
                  </w:p>
                </w:txbxContent>
              </v:textbox>
              <w10:wrap type="none"/>
            </v:shape>
          </w:pict>
        </mc:Fallback>
      </mc:AlternateContent>
    </w:r>
  </w:p>
</w:hdr>
</file>

<file path=word/header5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2609664">
              <wp:simplePos x="0" y="0"/>
              <wp:positionH relativeFrom="page">
                <wp:posOffset>903986</wp:posOffset>
              </wp:positionH>
              <wp:positionV relativeFrom="page">
                <wp:posOffset>497649</wp:posOffset>
              </wp:positionV>
              <wp:extent cx="813435" cy="158750"/>
              <wp:effectExtent l="0" t="0" r="0" b="0"/>
              <wp:wrapNone/>
              <wp:docPr id="598" name="Textbox 598"/>
              <wp:cNvGraphicFramePr>
                <a:graphicFrameLocks/>
              </wp:cNvGraphicFramePr>
              <a:graphic>
                <a:graphicData uri="http://schemas.microsoft.com/office/word/2010/wordprocessingShape">
                  <wps:wsp>
                    <wps:cNvPr id="598" name="Textbox 598"/>
                    <wps:cNvSpPr txBox="1"/>
                    <wps:spPr>
                      <a:xfrm>
                        <a:off x="0" y="0"/>
                        <a:ext cx="813435" cy="158750"/>
                      </a:xfrm>
                      <a:prstGeom prst="rect">
                        <a:avLst/>
                      </a:prstGeom>
                    </wps:spPr>
                    <wps:txbx>
                      <w:txbxContent>
                        <w:p>
                          <w:pPr>
                            <w:spacing w:line="234" w:lineRule="exact" w:before="0"/>
                            <w:ind w:left="20" w:right="0" w:firstLine="0"/>
                            <w:jc w:val="left"/>
                            <w:rPr>
                              <w:sz w:val="21"/>
                            </w:rPr>
                          </w:pPr>
                          <w:r>
                            <w:rPr>
                              <w:sz w:val="21"/>
                            </w:rPr>
                            <w:t>DPH</w:t>
                          </w:r>
                          <w:r>
                            <w:rPr>
                              <w:spacing w:val="-1"/>
                              <w:sz w:val="21"/>
                            </w:rPr>
                            <w:t> </w:t>
                          </w:r>
                          <w:r>
                            <w:rPr>
                              <w:sz w:val="21"/>
                            </w:rPr>
                            <w:t>–</w:t>
                          </w:r>
                          <w:r>
                            <w:rPr>
                              <w:spacing w:val="-1"/>
                              <w:sz w:val="21"/>
                            </w:rPr>
                            <w:t> </w:t>
                          </w:r>
                          <w:r>
                            <w:rPr>
                              <w:sz w:val="21"/>
                            </w:rPr>
                            <w:t>FY </w:t>
                          </w:r>
                          <w:r>
                            <w:rPr>
                              <w:spacing w:val="-4"/>
                              <w:sz w:val="21"/>
                            </w:rPr>
                            <w:t>2025</w:t>
                          </w:r>
                        </w:p>
                      </w:txbxContent>
                    </wps:txbx>
                    <wps:bodyPr wrap="square" lIns="0" tIns="0" rIns="0" bIns="0" rtlCol="0">
                      <a:noAutofit/>
                    </wps:bodyPr>
                  </wps:wsp>
                </a:graphicData>
              </a:graphic>
            </wp:anchor>
          </w:drawing>
        </mc:Choice>
        <mc:Fallback>
          <w:pict>
            <v:shape style="position:absolute;margin-left:71.180pt;margin-top:39.185001pt;width:64.05pt;height:12.5pt;mso-position-horizontal-relative:page;mso-position-vertical-relative:page;z-index:-20706816" type="#_x0000_t202" id="docshape495" filled="false" stroked="false">
              <v:textbox inset="0,0,0,0">
                <w:txbxContent>
                  <w:p>
                    <w:pPr>
                      <w:spacing w:line="234" w:lineRule="exact" w:before="0"/>
                      <w:ind w:left="20" w:right="0" w:firstLine="0"/>
                      <w:jc w:val="left"/>
                      <w:rPr>
                        <w:sz w:val="21"/>
                      </w:rPr>
                    </w:pPr>
                    <w:r>
                      <w:rPr>
                        <w:sz w:val="21"/>
                      </w:rPr>
                      <w:t>DPH</w:t>
                    </w:r>
                    <w:r>
                      <w:rPr>
                        <w:spacing w:val="-1"/>
                        <w:sz w:val="21"/>
                      </w:rPr>
                      <w:t> </w:t>
                    </w:r>
                    <w:r>
                      <w:rPr>
                        <w:sz w:val="21"/>
                      </w:rPr>
                      <w:t>–</w:t>
                    </w:r>
                    <w:r>
                      <w:rPr>
                        <w:spacing w:val="-1"/>
                        <w:sz w:val="21"/>
                      </w:rPr>
                      <w:t> </w:t>
                    </w:r>
                    <w:r>
                      <w:rPr>
                        <w:sz w:val="21"/>
                      </w:rPr>
                      <w:t>FY </w:t>
                    </w:r>
                    <w:r>
                      <w:rPr>
                        <w:spacing w:val="-4"/>
                        <w:sz w:val="21"/>
                      </w:rPr>
                      <w:t>2025</w:t>
                    </w:r>
                  </w:p>
                </w:txbxContent>
              </v:textbox>
              <w10:wrap type="none"/>
            </v:shape>
          </w:pict>
        </mc:Fallback>
      </mc:AlternateContent>
    </w:r>
  </w:p>
</w:hdr>
</file>

<file path=word/header5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2611200">
              <wp:simplePos x="0" y="0"/>
              <wp:positionH relativeFrom="page">
                <wp:posOffset>903986</wp:posOffset>
              </wp:positionH>
              <wp:positionV relativeFrom="page">
                <wp:posOffset>497649</wp:posOffset>
              </wp:positionV>
              <wp:extent cx="1323340" cy="158750"/>
              <wp:effectExtent l="0" t="0" r="0" b="0"/>
              <wp:wrapNone/>
              <wp:docPr id="608" name="Textbox 608"/>
              <wp:cNvGraphicFramePr>
                <a:graphicFrameLocks/>
              </wp:cNvGraphicFramePr>
              <a:graphic>
                <a:graphicData uri="http://schemas.microsoft.com/office/word/2010/wordprocessingShape">
                  <wps:wsp>
                    <wps:cNvPr id="608" name="Textbox 608"/>
                    <wps:cNvSpPr txBox="1"/>
                    <wps:spPr>
                      <a:xfrm>
                        <a:off x="0" y="0"/>
                        <a:ext cx="1323340" cy="158750"/>
                      </a:xfrm>
                      <a:prstGeom prst="rect">
                        <a:avLst/>
                      </a:prstGeom>
                    </wps:spPr>
                    <wps:txbx>
                      <w:txbxContent>
                        <w:p>
                          <w:pPr>
                            <w:spacing w:line="234" w:lineRule="exact" w:before="0"/>
                            <w:ind w:left="20" w:right="0" w:firstLine="0"/>
                            <w:jc w:val="left"/>
                            <w:rPr>
                              <w:sz w:val="21"/>
                            </w:rPr>
                          </w:pPr>
                          <w:r>
                            <w:rPr>
                              <w:sz w:val="21"/>
                            </w:rPr>
                            <w:t>MASSHEALTH</w:t>
                          </w:r>
                          <w:r>
                            <w:rPr>
                              <w:spacing w:val="-2"/>
                              <w:sz w:val="21"/>
                            </w:rPr>
                            <w:t> </w:t>
                          </w:r>
                          <w:r>
                            <w:rPr>
                              <w:sz w:val="21"/>
                            </w:rPr>
                            <w:t>–</w:t>
                          </w:r>
                          <w:r>
                            <w:rPr>
                              <w:spacing w:val="-3"/>
                              <w:sz w:val="21"/>
                            </w:rPr>
                            <w:t> </w:t>
                          </w:r>
                          <w:r>
                            <w:rPr>
                              <w:sz w:val="21"/>
                            </w:rPr>
                            <w:t>FY</w:t>
                          </w:r>
                          <w:r>
                            <w:rPr>
                              <w:spacing w:val="-2"/>
                              <w:sz w:val="21"/>
                            </w:rPr>
                            <w:t> </w:t>
                          </w:r>
                          <w:r>
                            <w:rPr>
                              <w:spacing w:val="-4"/>
                              <w:sz w:val="21"/>
                            </w:rPr>
                            <w:t>2025</w:t>
                          </w:r>
                        </w:p>
                      </w:txbxContent>
                    </wps:txbx>
                    <wps:bodyPr wrap="square" lIns="0" tIns="0" rIns="0" bIns="0" rtlCol="0">
                      <a:noAutofit/>
                    </wps:bodyPr>
                  </wps:wsp>
                </a:graphicData>
              </a:graphic>
            </wp:anchor>
          </w:drawing>
        </mc:Choice>
        <mc:Fallback>
          <w:pict>
            <v:shape style="position:absolute;margin-left:71.180pt;margin-top:39.185001pt;width:104.2pt;height:12.5pt;mso-position-horizontal-relative:page;mso-position-vertical-relative:page;z-index:-20705280" type="#_x0000_t202" id="docshape505" filled="false" stroked="false">
              <v:textbox inset="0,0,0,0">
                <w:txbxContent>
                  <w:p>
                    <w:pPr>
                      <w:spacing w:line="234" w:lineRule="exact" w:before="0"/>
                      <w:ind w:left="20" w:right="0" w:firstLine="0"/>
                      <w:jc w:val="left"/>
                      <w:rPr>
                        <w:sz w:val="21"/>
                      </w:rPr>
                    </w:pPr>
                    <w:r>
                      <w:rPr>
                        <w:sz w:val="21"/>
                      </w:rPr>
                      <w:t>MASSHEALTH</w:t>
                    </w:r>
                    <w:r>
                      <w:rPr>
                        <w:spacing w:val="-2"/>
                        <w:sz w:val="21"/>
                      </w:rPr>
                      <w:t> </w:t>
                    </w:r>
                    <w:r>
                      <w:rPr>
                        <w:sz w:val="21"/>
                      </w:rPr>
                      <w:t>–</w:t>
                    </w:r>
                    <w:r>
                      <w:rPr>
                        <w:spacing w:val="-3"/>
                        <w:sz w:val="21"/>
                      </w:rPr>
                      <w:t> </w:t>
                    </w:r>
                    <w:r>
                      <w:rPr>
                        <w:sz w:val="21"/>
                      </w:rPr>
                      <w:t>FY</w:t>
                    </w:r>
                    <w:r>
                      <w:rPr>
                        <w:spacing w:val="-2"/>
                        <w:sz w:val="21"/>
                      </w:rPr>
                      <w:t> </w:t>
                    </w:r>
                    <w:r>
                      <w:rPr>
                        <w:spacing w:val="-4"/>
                        <w:sz w:val="21"/>
                      </w:rPr>
                      <w:t>2025</w:t>
                    </w:r>
                  </w:p>
                </w:txbxContent>
              </v:textbox>
              <w10:wrap type="none"/>
            </v:shape>
          </w:pict>
        </mc:Fallback>
      </mc:AlternateContent>
    </w:r>
  </w:p>
</w:hdr>
</file>

<file path=word/header5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2612736">
              <wp:simplePos x="0" y="0"/>
              <wp:positionH relativeFrom="page">
                <wp:posOffset>903986</wp:posOffset>
              </wp:positionH>
              <wp:positionV relativeFrom="page">
                <wp:posOffset>497649</wp:posOffset>
              </wp:positionV>
              <wp:extent cx="774065" cy="158750"/>
              <wp:effectExtent l="0" t="0" r="0" b="0"/>
              <wp:wrapNone/>
              <wp:docPr id="620" name="Textbox 620"/>
              <wp:cNvGraphicFramePr>
                <a:graphicFrameLocks/>
              </wp:cNvGraphicFramePr>
              <a:graphic>
                <a:graphicData uri="http://schemas.microsoft.com/office/word/2010/wordprocessingShape">
                  <wps:wsp>
                    <wps:cNvPr id="620" name="Textbox 620"/>
                    <wps:cNvSpPr txBox="1"/>
                    <wps:spPr>
                      <a:xfrm>
                        <a:off x="0" y="0"/>
                        <a:ext cx="774065" cy="158750"/>
                      </a:xfrm>
                      <a:prstGeom prst="rect">
                        <a:avLst/>
                      </a:prstGeom>
                    </wps:spPr>
                    <wps:txbx>
                      <w:txbxContent>
                        <w:p>
                          <w:pPr>
                            <w:spacing w:line="234" w:lineRule="exact" w:before="0"/>
                            <w:ind w:left="20" w:right="0" w:firstLine="0"/>
                            <w:jc w:val="left"/>
                            <w:rPr>
                              <w:sz w:val="21"/>
                            </w:rPr>
                          </w:pPr>
                          <w:r>
                            <w:rPr>
                              <w:sz w:val="21"/>
                            </w:rPr>
                            <w:t>ORI</w:t>
                          </w:r>
                          <w:r>
                            <w:rPr>
                              <w:spacing w:val="-3"/>
                              <w:sz w:val="21"/>
                            </w:rPr>
                            <w:t> </w:t>
                          </w:r>
                          <w:r>
                            <w:rPr>
                              <w:sz w:val="21"/>
                            </w:rPr>
                            <w:t>– FY </w:t>
                          </w:r>
                          <w:r>
                            <w:rPr>
                              <w:spacing w:val="-4"/>
                              <w:sz w:val="21"/>
                            </w:rPr>
                            <w:t>2025</w:t>
                          </w:r>
                        </w:p>
                      </w:txbxContent>
                    </wps:txbx>
                    <wps:bodyPr wrap="square" lIns="0" tIns="0" rIns="0" bIns="0" rtlCol="0">
                      <a:noAutofit/>
                    </wps:bodyPr>
                  </wps:wsp>
                </a:graphicData>
              </a:graphic>
            </wp:anchor>
          </w:drawing>
        </mc:Choice>
        <mc:Fallback>
          <w:pict>
            <v:shape style="position:absolute;margin-left:71.180pt;margin-top:39.185001pt;width:60.95pt;height:12.5pt;mso-position-horizontal-relative:page;mso-position-vertical-relative:page;z-index:-20703744" type="#_x0000_t202" id="docshape517" filled="false" stroked="false">
              <v:textbox inset="0,0,0,0">
                <w:txbxContent>
                  <w:p>
                    <w:pPr>
                      <w:spacing w:line="234" w:lineRule="exact" w:before="0"/>
                      <w:ind w:left="20" w:right="0" w:firstLine="0"/>
                      <w:jc w:val="left"/>
                      <w:rPr>
                        <w:sz w:val="21"/>
                      </w:rPr>
                    </w:pPr>
                    <w:r>
                      <w:rPr>
                        <w:sz w:val="21"/>
                      </w:rPr>
                      <w:t>ORI</w:t>
                    </w:r>
                    <w:r>
                      <w:rPr>
                        <w:spacing w:val="-3"/>
                        <w:sz w:val="21"/>
                      </w:rPr>
                      <w:t> </w:t>
                    </w:r>
                    <w:r>
                      <w:rPr>
                        <w:sz w:val="21"/>
                      </w:rPr>
                      <w:t>– FY </w:t>
                    </w:r>
                    <w:r>
                      <w:rPr>
                        <w:spacing w:val="-4"/>
                        <w:sz w:val="21"/>
                      </w:rPr>
                      <w:t>2025</w:t>
                    </w:r>
                  </w:p>
                </w:txbxContent>
              </v:textbox>
              <w10:wrap type="none"/>
            </v:shape>
          </w:pict>
        </mc:Fallback>
      </mc:AlternateContent>
    </w:r>
  </w:p>
</w:hdr>
</file>

<file path=word/header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6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2614272">
              <wp:simplePos x="0" y="0"/>
              <wp:positionH relativeFrom="page">
                <wp:posOffset>903986</wp:posOffset>
              </wp:positionH>
              <wp:positionV relativeFrom="page">
                <wp:posOffset>497649</wp:posOffset>
              </wp:positionV>
              <wp:extent cx="803275" cy="158750"/>
              <wp:effectExtent l="0" t="0" r="0" b="0"/>
              <wp:wrapNone/>
              <wp:docPr id="630" name="Textbox 630"/>
              <wp:cNvGraphicFramePr>
                <a:graphicFrameLocks/>
              </wp:cNvGraphicFramePr>
              <a:graphic>
                <a:graphicData uri="http://schemas.microsoft.com/office/word/2010/wordprocessingShape">
                  <wps:wsp>
                    <wps:cNvPr id="630" name="Textbox 630"/>
                    <wps:cNvSpPr txBox="1"/>
                    <wps:spPr>
                      <a:xfrm>
                        <a:off x="0" y="0"/>
                        <a:ext cx="803275" cy="158750"/>
                      </a:xfrm>
                      <a:prstGeom prst="rect">
                        <a:avLst/>
                      </a:prstGeom>
                    </wps:spPr>
                    <wps:txbx>
                      <w:txbxContent>
                        <w:p>
                          <w:pPr>
                            <w:spacing w:line="234" w:lineRule="exact" w:before="0"/>
                            <w:ind w:left="20" w:right="0" w:firstLine="0"/>
                            <w:jc w:val="left"/>
                            <w:rPr>
                              <w:sz w:val="21"/>
                            </w:rPr>
                          </w:pPr>
                          <w:r>
                            <w:rPr>
                              <w:sz w:val="21"/>
                            </w:rPr>
                            <w:t>DTA</w:t>
                          </w:r>
                          <w:r>
                            <w:rPr>
                              <w:spacing w:val="-1"/>
                              <w:sz w:val="21"/>
                            </w:rPr>
                            <w:t> </w:t>
                          </w:r>
                          <w:r>
                            <w:rPr>
                              <w:sz w:val="21"/>
                            </w:rPr>
                            <w:t>–</w:t>
                          </w:r>
                          <w:r>
                            <w:rPr>
                              <w:spacing w:val="-1"/>
                              <w:sz w:val="21"/>
                            </w:rPr>
                            <w:t> </w:t>
                          </w:r>
                          <w:r>
                            <w:rPr>
                              <w:sz w:val="21"/>
                            </w:rPr>
                            <w:t>FY </w:t>
                          </w:r>
                          <w:r>
                            <w:rPr>
                              <w:spacing w:val="-4"/>
                              <w:sz w:val="21"/>
                            </w:rPr>
                            <w:t>2025</w:t>
                          </w:r>
                        </w:p>
                      </w:txbxContent>
                    </wps:txbx>
                    <wps:bodyPr wrap="square" lIns="0" tIns="0" rIns="0" bIns="0" rtlCol="0">
                      <a:noAutofit/>
                    </wps:bodyPr>
                  </wps:wsp>
                </a:graphicData>
              </a:graphic>
            </wp:anchor>
          </w:drawing>
        </mc:Choice>
        <mc:Fallback>
          <w:pict>
            <v:shape style="position:absolute;margin-left:71.180pt;margin-top:39.185001pt;width:63.25pt;height:12.5pt;mso-position-horizontal-relative:page;mso-position-vertical-relative:page;z-index:-20702208" type="#_x0000_t202" id="docshape527" filled="false" stroked="false">
              <v:textbox inset="0,0,0,0">
                <w:txbxContent>
                  <w:p>
                    <w:pPr>
                      <w:spacing w:line="234" w:lineRule="exact" w:before="0"/>
                      <w:ind w:left="20" w:right="0" w:firstLine="0"/>
                      <w:jc w:val="left"/>
                      <w:rPr>
                        <w:sz w:val="21"/>
                      </w:rPr>
                    </w:pPr>
                    <w:r>
                      <w:rPr>
                        <w:sz w:val="21"/>
                      </w:rPr>
                      <w:t>DTA</w:t>
                    </w:r>
                    <w:r>
                      <w:rPr>
                        <w:spacing w:val="-1"/>
                        <w:sz w:val="21"/>
                      </w:rPr>
                      <w:t> </w:t>
                    </w:r>
                    <w:r>
                      <w:rPr>
                        <w:sz w:val="21"/>
                      </w:rPr>
                      <w:t>–</w:t>
                    </w:r>
                    <w:r>
                      <w:rPr>
                        <w:spacing w:val="-1"/>
                        <w:sz w:val="21"/>
                      </w:rPr>
                      <w:t> </w:t>
                    </w:r>
                    <w:r>
                      <w:rPr>
                        <w:sz w:val="21"/>
                      </w:rPr>
                      <w:t>FY </w:t>
                    </w:r>
                    <w:r>
                      <w:rPr>
                        <w:spacing w:val="-4"/>
                        <w:sz w:val="21"/>
                      </w:rPr>
                      <w:t>2025</w:t>
                    </w:r>
                  </w:p>
                </w:txbxContent>
              </v:textbox>
              <w10:wrap type="none"/>
            </v:shape>
          </w:pict>
        </mc:Fallback>
      </mc:AlternateContent>
    </w:r>
  </w:p>
</w:hdr>
</file>

<file path=word/header6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2615808">
              <wp:simplePos x="0" y="0"/>
              <wp:positionH relativeFrom="page">
                <wp:posOffset>903986</wp:posOffset>
              </wp:positionH>
              <wp:positionV relativeFrom="page">
                <wp:posOffset>497649</wp:posOffset>
              </wp:positionV>
              <wp:extent cx="788670" cy="158750"/>
              <wp:effectExtent l="0" t="0" r="0" b="0"/>
              <wp:wrapNone/>
              <wp:docPr id="636" name="Textbox 636"/>
              <wp:cNvGraphicFramePr>
                <a:graphicFrameLocks/>
              </wp:cNvGraphicFramePr>
              <a:graphic>
                <a:graphicData uri="http://schemas.microsoft.com/office/word/2010/wordprocessingShape">
                  <wps:wsp>
                    <wps:cNvPr id="636" name="Textbox 636"/>
                    <wps:cNvSpPr txBox="1"/>
                    <wps:spPr>
                      <a:xfrm>
                        <a:off x="0" y="0"/>
                        <a:ext cx="788670" cy="158750"/>
                      </a:xfrm>
                      <a:prstGeom prst="rect">
                        <a:avLst/>
                      </a:prstGeom>
                    </wps:spPr>
                    <wps:txbx>
                      <w:txbxContent>
                        <w:p>
                          <w:pPr>
                            <w:spacing w:line="234" w:lineRule="exact" w:before="0"/>
                            <w:ind w:left="20" w:right="0" w:firstLine="0"/>
                            <w:jc w:val="left"/>
                            <w:rPr>
                              <w:sz w:val="21"/>
                            </w:rPr>
                          </w:pPr>
                          <w:r>
                            <w:rPr>
                              <w:sz w:val="21"/>
                            </w:rPr>
                            <w:t>DYS</w:t>
                          </w:r>
                          <w:r>
                            <w:rPr>
                              <w:spacing w:val="-1"/>
                              <w:sz w:val="21"/>
                            </w:rPr>
                            <w:t> </w:t>
                          </w:r>
                          <w:r>
                            <w:rPr>
                              <w:sz w:val="21"/>
                            </w:rPr>
                            <w:t>–</w:t>
                          </w:r>
                          <w:r>
                            <w:rPr>
                              <w:spacing w:val="-1"/>
                              <w:sz w:val="21"/>
                            </w:rPr>
                            <w:t> </w:t>
                          </w:r>
                          <w:r>
                            <w:rPr>
                              <w:sz w:val="21"/>
                            </w:rPr>
                            <w:t>FY </w:t>
                          </w:r>
                          <w:r>
                            <w:rPr>
                              <w:spacing w:val="-4"/>
                              <w:sz w:val="21"/>
                            </w:rPr>
                            <w:t>2025</w:t>
                          </w:r>
                        </w:p>
                      </w:txbxContent>
                    </wps:txbx>
                    <wps:bodyPr wrap="square" lIns="0" tIns="0" rIns="0" bIns="0" rtlCol="0">
                      <a:noAutofit/>
                    </wps:bodyPr>
                  </wps:wsp>
                </a:graphicData>
              </a:graphic>
            </wp:anchor>
          </w:drawing>
        </mc:Choice>
        <mc:Fallback>
          <w:pict>
            <v:shape style="position:absolute;margin-left:71.180pt;margin-top:39.185001pt;width:62.1pt;height:12.5pt;mso-position-horizontal-relative:page;mso-position-vertical-relative:page;z-index:-20700672" type="#_x0000_t202" id="docshape533" filled="false" stroked="false">
              <v:textbox inset="0,0,0,0">
                <w:txbxContent>
                  <w:p>
                    <w:pPr>
                      <w:spacing w:line="234" w:lineRule="exact" w:before="0"/>
                      <w:ind w:left="20" w:right="0" w:firstLine="0"/>
                      <w:jc w:val="left"/>
                      <w:rPr>
                        <w:sz w:val="21"/>
                      </w:rPr>
                    </w:pPr>
                    <w:r>
                      <w:rPr>
                        <w:sz w:val="21"/>
                      </w:rPr>
                      <w:t>DYS</w:t>
                    </w:r>
                    <w:r>
                      <w:rPr>
                        <w:spacing w:val="-1"/>
                        <w:sz w:val="21"/>
                      </w:rPr>
                      <w:t> </w:t>
                    </w:r>
                    <w:r>
                      <w:rPr>
                        <w:sz w:val="21"/>
                      </w:rPr>
                      <w:t>–</w:t>
                    </w:r>
                    <w:r>
                      <w:rPr>
                        <w:spacing w:val="-1"/>
                        <w:sz w:val="21"/>
                      </w:rPr>
                      <w:t> </w:t>
                    </w:r>
                    <w:r>
                      <w:rPr>
                        <w:sz w:val="21"/>
                      </w:rPr>
                      <w:t>FY </w:t>
                    </w:r>
                    <w:r>
                      <w:rPr>
                        <w:spacing w:val="-4"/>
                        <w:sz w:val="21"/>
                      </w:rPr>
                      <w:t>2025</w:t>
                    </w:r>
                  </w:p>
                </w:txbxContent>
              </v:textbox>
              <w10:wrap type="none"/>
            </v:shape>
          </w:pict>
        </mc:Fallback>
      </mc:AlternateContent>
    </w:r>
  </w:p>
</w:hdr>
</file>

<file path=word/header6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2617344">
              <wp:simplePos x="0" y="0"/>
              <wp:positionH relativeFrom="page">
                <wp:posOffset>903986</wp:posOffset>
              </wp:positionH>
              <wp:positionV relativeFrom="page">
                <wp:posOffset>497649</wp:posOffset>
              </wp:positionV>
              <wp:extent cx="923925" cy="158750"/>
              <wp:effectExtent l="0" t="0" r="0" b="0"/>
              <wp:wrapNone/>
              <wp:docPr id="646" name="Textbox 646"/>
              <wp:cNvGraphicFramePr>
                <a:graphicFrameLocks/>
              </wp:cNvGraphicFramePr>
              <a:graphic>
                <a:graphicData uri="http://schemas.microsoft.com/office/word/2010/wordprocessingShape">
                  <wps:wsp>
                    <wps:cNvPr id="646" name="Textbox 646"/>
                    <wps:cNvSpPr txBox="1"/>
                    <wps:spPr>
                      <a:xfrm>
                        <a:off x="0" y="0"/>
                        <a:ext cx="923925" cy="158750"/>
                      </a:xfrm>
                      <a:prstGeom prst="rect">
                        <a:avLst/>
                      </a:prstGeom>
                    </wps:spPr>
                    <wps:txbx>
                      <w:txbxContent>
                        <w:p>
                          <w:pPr>
                            <w:spacing w:line="234" w:lineRule="exact" w:before="0"/>
                            <w:ind w:left="20" w:right="0" w:firstLine="0"/>
                            <w:jc w:val="left"/>
                            <w:rPr>
                              <w:sz w:val="21"/>
                            </w:rPr>
                          </w:pPr>
                          <w:r>
                            <w:rPr>
                              <w:sz w:val="21"/>
                            </w:rPr>
                            <w:t>EOPSS</w:t>
                          </w:r>
                          <w:r>
                            <w:rPr>
                              <w:spacing w:val="-4"/>
                              <w:sz w:val="21"/>
                            </w:rPr>
                            <w:t> </w:t>
                          </w:r>
                          <w:r>
                            <w:rPr>
                              <w:sz w:val="21"/>
                            </w:rPr>
                            <w:t>–</w:t>
                          </w:r>
                          <w:r>
                            <w:rPr>
                              <w:spacing w:val="-1"/>
                              <w:sz w:val="21"/>
                            </w:rPr>
                            <w:t> </w:t>
                          </w:r>
                          <w:r>
                            <w:rPr>
                              <w:sz w:val="21"/>
                            </w:rPr>
                            <w:t>FY</w:t>
                          </w:r>
                          <w:r>
                            <w:rPr>
                              <w:spacing w:val="-1"/>
                              <w:sz w:val="21"/>
                            </w:rPr>
                            <w:t> </w:t>
                          </w:r>
                          <w:r>
                            <w:rPr>
                              <w:spacing w:val="-4"/>
                              <w:sz w:val="21"/>
                            </w:rPr>
                            <w:t>2025</w:t>
                          </w:r>
                        </w:p>
                      </w:txbxContent>
                    </wps:txbx>
                    <wps:bodyPr wrap="square" lIns="0" tIns="0" rIns="0" bIns="0" rtlCol="0">
                      <a:noAutofit/>
                    </wps:bodyPr>
                  </wps:wsp>
                </a:graphicData>
              </a:graphic>
            </wp:anchor>
          </w:drawing>
        </mc:Choice>
        <mc:Fallback>
          <w:pict>
            <v:shape style="position:absolute;margin-left:71.180pt;margin-top:39.185001pt;width:72.75pt;height:12.5pt;mso-position-horizontal-relative:page;mso-position-vertical-relative:page;z-index:-20699136" type="#_x0000_t202" id="docshape543" filled="false" stroked="false">
              <v:textbox inset="0,0,0,0">
                <w:txbxContent>
                  <w:p>
                    <w:pPr>
                      <w:spacing w:line="234" w:lineRule="exact" w:before="0"/>
                      <w:ind w:left="20" w:right="0" w:firstLine="0"/>
                      <w:jc w:val="left"/>
                      <w:rPr>
                        <w:sz w:val="21"/>
                      </w:rPr>
                    </w:pPr>
                    <w:r>
                      <w:rPr>
                        <w:sz w:val="21"/>
                      </w:rPr>
                      <w:t>EOPSS</w:t>
                    </w:r>
                    <w:r>
                      <w:rPr>
                        <w:spacing w:val="-4"/>
                        <w:sz w:val="21"/>
                      </w:rPr>
                      <w:t> </w:t>
                    </w:r>
                    <w:r>
                      <w:rPr>
                        <w:sz w:val="21"/>
                      </w:rPr>
                      <w:t>–</w:t>
                    </w:r>
                    <w:r>
                      <w:rPr>
                        <w:spacing w:val="-1"/>
                        <w:sz w:val="21"/>
                      </w:rPr>
                      <w:t> </w:t>
                    </w:r>
                    <w:r>
                      <w:rPr>
                        <w:sz w:val="21"/>
                      </w:rPr>
                      <w:t>FY</w:t>
                    </w:r>
                    <w:r>
                      <w:rPr>
                        <w:spacing w:val="-1"/>
                        <w:sz w:val="21"/>
                      </w:rPr>
                      <w:t> </w:t>
                    </w:r>
                    <w:r>
                      <w:rPr>
                        <w:spacing w:val="-4"/>
                        <w:sz w:val="21"/>
                      </w:rPr>
                      <w:t>2025</w:t>
                    </w:r>
                  </w:p>
                </w:txbxContent>
              </v:textbox>
              <w10:wrap type="none"/>
            </v:shape>
          </w:pict>
        </mc:Fallback>
      </mc:AlternateContent>
    </w:r>
  </w:p>
</w:hdr>
</file>

<file path=word/header6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2618880">
              <wp:simplePos x="0" y="0"/>
              <wp:positionH relativeFrom="page">
                <wp:posOffset>903986</wp:posOffset>
              </wp:positionH>
              <wp:positionV relativeFrom="page">
                <wp:posOffset>497649</wp:posOffset>
              </wp:positionV>
              <wp:extent cx="942975" cy="158750"/>
              <wp:effectExtent l="0" t="0" r="0" b="0"/>
              <wp:wrapNone/>
              <wp:docPr id="658" name="Textbox 658"/>
              <wp:cNvGraphicFramePr>
                <a:graphicFrameLocks/>
              </wp:cNvGraphicFramePr>
              <a:graphic>
                <a:graphicData uri="http://schemas.microsoft.com/office/word/2010/wordprocessingShape">
                  <wps:wsp>
                    <wps:cNvPr id="658" name="Textbox 658"/>
                    <wps:cNvSpPr txBox="1"/>
                    <wps:spPr>
                      <a:xfrm>
                        <a:off x="0" y="0"/>
                        <a:ext cx="942975" cy="158750"/>
                      </a:xfrm>
                      <a:prstGeom prst="rect">
                        <a:avLst/>
                      </a:prstGeom>
                    </wps:spPr>
                    <wps:txbx>
                      <w:txbxContent>
                        <w:p>
                          <w:pPr>
                            <w:spacing w:line="234" w:lineRule="exact" w:before="0"/>
                            <w:ind w:left="20" w:right="0" w:firstLine="0"/>
                            <w:jc w:val="left"/>
                            <w:rPr>
                              <w:sz w:val="21"/>
                            </w:rPr>
                          </w:pPr>
                          <w:r>
                            <w:rPr>
                              <w:sz w:val="21"/>
                            </w:rPr>
                            <w:t>EOHLC</w:t>
                          </w:r>
                          <w:r>
                            <w:rPr>
                              <w:spacing w:val="-3"/>
                              <w:sz w:val="21"/>
                            </w:rPr>
                            <w:t> </w:t>
                          </w:r>
                          <w:r>
                            <w:rPr>
                              <w:sz w:val="21"/>
                            </w:rPr>
                            <w:t>–</w:t>
                          </w:r>
                          <w:r>
                            <w:rPr>
                              <w:spacing w:val="-1"/>
                              <w:sz w:val="21"/>
                            </w:rPr>
                            <w:t> </w:t>
                          </w:r>
                          <w:r>
                            <w:rPr>
                              <w:sz w:val="21"/>
                            </w:rPr>
                            <w:t>FY</w:t>
                          </w:r>
                          <w:r>
                            <w:rPr>
                              <w:spacing w:val="-1"/>
                              <w:sz w:val="21"/>
                            </w:rPr>
                            <w:t> </w:t>
                          </w:r>
                          <w:r>
                            <w:rPr>
                              <w:spacing w:val="-4"/>
                              <w:sz w:val="21"/>
                            </w:rPr>
                            <w:t>2025</w:t>
                          </w:r>
                        </w:p>
                      </w:txbxContent>
                    </wps:txbx>
                    <wps:bodyPr wrap="square" lIns="0" tIns="0" rIns="0" bIns="0" rtlCol="0">
                      <a:noAutofit/>
                    </wps:bodyPr>
                  </wps:wsp>
                </a:graphicData>
              </a:graphic>
            </wp:anchor>
          </w:drawing>
        </mc:Choice>
        <mc:Fallback>
          <w:pict>
            <v:shape style="position:absolute;margin-left:71.180pt;margin-top:39.185001pt;width:74.25pt;height:12.5pt;mso-position-horizontal-relative:page;mso-position-vertical-relative:page;z-index:-20697600" type="#_x0000_t202" id="docshape555" filled="false" stroked="false">
              <v:textbox inset="0,0,0,0">
                <w:txbxContent>
                  <w:p>
                    <w:pPr>
                      <w:spacing w:line="234" w:lineRule="exact" w:before="0"/>
                      <w:ind w:left="20" w:right="0" w:firstLine="0"/>
                      <w:jc w:val="left"/>
                      <w:rPr>
                        <w:sz w:val="21"/>
                      </w:rPr>
                    </w:pPr>
                    <w:r>
                      <w:rPr>
                        <w:sz w:val="21"/>
                      </w:rPr>
                      <w:t>EOHLC</w:t>
                    </w:r>
                    <w:r>
                      <w:rPr>
                        <w:spacing w:val="-3"/>
                        <w:sz w:val="21"/>
                      </w:rPr>
                      <w:t> </w:t>
                    </w:r>
                    <w:r>
                      <w:rPr>
                        <w:sz w:val="21"/>
                      </w:rPr>
                      <w:t>–</w:t>
                    </w:r>
                    <w:r>
                      <w:rPr>
                        <w:spacing w:val="-1"/>
                        <w:sz w:val="21"/>
                      </w:rPr>
                      <w:t> </w:t>
                    </w:r>
                    <w:r>
                      <w:rPr>
                        <w:sz w:val="21"/>
                      </w:rPr>
                      <w:t>FY</w:t>
                    </w:r>
                    <w:r>
                      <w:rPr>
                        <w:spacing w:val="-1"/>
                        <w:sz w:val="21"/>
                      </w:rPr>
                      <w:t> </w:t>
                    </w:r>
                    <w:r>
                      <w:rPr>
                        <w:spacing w:val="-4"/>
                        <w:sz w:val="21"/>
                      </w:rPr>
                      <w:t>2025</w:t>
                    </w:r>
                  </w:p>
                </w:txbxContent>
              </v:textbox>
              <w10:wrap type="none"/>
            </v:shape>
          </w:pict>
        </mc:Fallback>
      </mc:AlternateContent>
    </w:r>
  </w:p>
</w:hdr>
</file>

<file path=word/header6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2619904">
              <wp:simplePos x="0" y="0"/>
              <wp:positionH relativeFrom="page">
                <wp:posOffset>903986</wp:posOffset>
              </wp:positionH>
              <wp:positionV relativeFrom="page">
                <wp:posOffset>497649</wp:posOffset>
              </wp:positionV>
              <wp:extent cx="942975" cy="158750"/>
              <wp:effectExtent l="0" t="0" r="0" b="0"/>
              <wp:wrapNone/>
              <wp:docPr id="666" name="Textbox 666"/>
              <wp:cNvGraphicFramePr>
                <a:graphicFrameLocks/>
              </wp:cNvGraphicFramePr>
              <a:graphic>
                <a:graphicData uri="http://schemas.microsoft.com/office/word/2010/wordprocessingShape">
                  <wps:wsp>
                    <wps:cNvPr id="666" name="Textbox 666"/>
                    <wps:cNvSpPr txBox="1"/>
                    <wps:spPr>
                      <a:xfrm>
                        <a:off x="0" y="0"/>
                        <a:ext cx="942975" cy="158750"/>
                      </a:xfrm>
                      <a:prstGeom prst="rect">
                        <a:avLst/>
                      </a:prstGeom>
                    </wps:spPr>
                    <wps:txbx>
                      <w:txbxContent>
                        <w:p>
                          <w:pPr>
                            <w:spacing w:line="234" w:lineRule="exact" w:before="0"/>
                            <w:ind w:left="20" w:right="0" w:firstLine="0"/>
                            <w:jc w:val="left"/>
                            <w:rPr>
                              <w:sz w:val="21"/>
                            </w:rPr>
                          </w:pPr>
                          <w:r>
                            <w:rPr>
                              <w:sz w:val="21"/>
                            </w:rPr>
                            <w:t>EOHLC</w:t>
                          </w:r>
                          <w:r>
                            <w:rPr>
                              <w:spacing w:val="-3"/>
                              <w:sz w:val="21"/>
                            </w:rPr>
                            <w:t> </w:t>
                          </w:r>
                          <w:r>
                            <w:rPr>
                              <w:sz w:val="21"/>
                            </w:rPr>
                            <w:t>–</w:t>
                          </w:r>
                          <w:r>
                            <w:rPr>
                              <w:spacing w:val="-1"/>
                              <w:sz w:val="21"/>
                            </w:rPr>
                            <w:t> </w:t>
                          </w:r>
                          <w:r>
                            <w:rPr>
                              <w:sz w:val="21"/>
                            </w:rPr>
                            <w:t>FY</w:t>
                          </w:r>
                          <w:r>
                            <w:rPr>
                              <w:spacing w:val="-1"/>
                              <w:sz w:val="21"/>
                            </w:rPr>
                            <w:t> </w:t>
                          </w:r>
                          <w:r>
                            <w:rPr>
                              <w:spacing w:val="-4"/>
                              <w:sz w:val="21"/>
                            </w:rPr>
                            <w:t>2025</w:t>
                          </w:r>
                        </w:p>
                      </w:txbxContent>
                    </wps:txbx>
                    <wps:bodyPr wrap="square" lIns="0" tIns="0" rIns="0" bIns="0" rtlCol="0">
                      <a:noAutofit/>
                    </wps:bodyPr>
                  </wps:wsp>
                </a:graphicData>
              </a:graphic>
            </wp:anchor>
          </w:drawing>
        </mc:Choice>
        <mc:Fallback>
          <w:pict>
            <v:shape style="position:absolute;margin-left:71.180pt;margin-top:39.185001pt;width:74.25pt;height:12.5pt;mso-position-horizontal-relative:page;mso-position-vertical-relative:page;z-index:-20696576" type="#_x0000_t202" id="docshape563" filled="false" stroked="false">
              <v:textbox inset="0,0,0,0">
                <w:txbxContent>
                  <w:p>
                    <w:pPr>
                      <w:spacing w:line="234" w:lineRule="exact" w:before="0"/>
                      <w:ind w:left="20" w:right="0" w:firstLine="0"/>
                      <w:jc w:val="left"/>
                      <w:rPr>
                        <w:sz w:val="21"/>
                      </w:rPr>
                    </w:pPr>
                    <w:r>
                      <w:rPr>
                        <w:sz w:val="21"/>
                      </w:rPr>
                      <w:t>EOHLC</w:t>
                    </w:r>
                    <w:r>
                      <w:rPr>
                        <w:spacing w:val="-3"/>
                        <w:sz w:val="21"/>
                      </w:rPr>
                      <w:t> </w:t>
                    </w:r>
                    <w:r>
                      <w:rPr>
                        <w:sz w:val="21"/>
                      </w:rPr>
                      <w:t>–</w:t>
                    </w:r>
                    <w:r>
                      <w:rPr>
                        <w:spacing w:val="-1"/>
                        <w:sz w:val="21"/>
                      </w:rPr>
                      <w:t> </w:t>
                    </w:r>
                    <w:r>
                      <w:rPr>
                        <w:sz w:val="21"/>
                      </w:rPr>
                      <w:t>FY</w:t>
                    </w:r>
                    <w:r>
                      <w:rPr>
                        <w:spacing w:val="-1"/>
                        <w:sz w:val="21"/>
                      </w:rPr>
                      <w:t> </w:t>
                    </w:r>
                    <w:r>
                      <w:rPr>
                        <w:spacing w:val="-4"/>
                        <w:sz w:val="21"/>
                      </w:rPr>
                      <w:t>2025</w:t>
                    </w:r>
                  </w:p>
                </w:txbxContent>
              </v:textbox>
              <w10:wrap type="none"/>
            </v:shape>
          </w:pict>
        </mc:Fallback>
      </mc:AlternateContent>
    </w:r>
  </w:p>
</w:hdr>
</file>

<file path=word/header6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2621440">
              <wp:simplePos x="0" y="0"/>
              <wp:positionH relativeFrom="page">
                <wp:posOffset>903986</wp:posOffset>
              </wp:positionH>
              <wp:positionV relativeFrom="page">
                <wp:posOffset>497649</wp:posOffset>
              </wp:positionV>
              <wp:extent cx="894080" cy="158750"/>
              <wp:effectExtent l="0" t="0" r="0" b="0"/>
              <wp:wrapNone/>
              <wp:docPr id="670" name="Textbox 670"/>
              <wp:cNvGraphicFramePr>
                <a:graphicFrameLocks/>
              </wp:cNvGraphicFramePr>
              <a:graphic>
                <a:graphicData uri="http://schemas.microsoft.com/office/word/2010/wordprocessingShape">
                  <wps:wsp>
                    <wps:cNvPr id="670" name="Textbox 670"/>
                    <wps:cNvSpPr txBox="1"/>
                    <wps:spPr>
                      <a:xfrm>
                        <a:off x="0" y="0"/>
                        <a:ext cx="894080" cy="158750"/>
                      </a:xfrm>
                      <a:prstGeom prst="rect">
                        <a:avLst/>
                      </a:prstGeom>
                    </wps:spPr>
                    <wps:txbx>
                      <w:txbxContent>
                        <w:p>
                          <w:pPr>
                            <w:spacing w:line="234" w:lineRule="exact" w:before="0"/>
                            <w:ind w:left="20" w:right="0" w:firstLine="0"/>
                            <w:jc w:val="left"/>
                            <w:rPr>
                              <w:sz w:val="21"/>
                            </w:rPr>
                          </w:pPr>
                          <w:r>
                            <w:rPr>
                              <w:sz w:val="21"/>
                            </w:rPr>
                            <w:t>MBLC</w:t>
                          </w:r>
                          <w:r>
                            <w:rPr>
                              <w:spacing w:val="-3"/>
                              <w:sz w:val="21"/>
                            </w:rPr>
                            <w:t> </w:t>
                          </w:r>
                          <w:r>
                            <w:rPr>
                              <w:sz w:val="21"/>
                            </w:rPr>
                            <w:t>–</w:t>
                          </w:r>
                          <w:r>
                            <w:rPr>
                              <w:spacing w:val="-1"/>
                              <w:sz w:val="21"/>
                            </w:rPr>
                            <w:t> </w:t>
                          </w:r>
                          <w:r>
                            <w:rPr>
                              <w:sz w:val="21"/>
                            </w:rPr>
                            <w:t>FY </w:t>
                          </w:r>
                          <w:r>
                            <w:rPr>
                              <w:spacing w:val="-4"/>
                              <w:sz w:val="21"/>
                            </w:rPr>
                            <w:t>2025</w:t>
                          </w:r>
                        </w:p>
                      </w:txbxContent>
                    </wps:txbx>
                    <wps:bodyPr wrap="square" lIns="0" tIns="0" rIns="0" bIns="0" rtlCol="0">
                      <a:noAutofit/>
                    </wps:bodyPr>
                  </wps:wsp>
                </a:graphicData>
              </a:graphic>
            </wp:anchor>
          </w:drawing>
        </mc:Choice>
        <mc:Fallback>
          <w:pict>
            <v:shape style="position:absolute;margin-left:71.180pt;margin-top:39.185001pt;width:70.4pt;height:12.5pt;mso-position-horizontal-relative:page;mso-position-vertical-relative:page;z-index:-20695040" type="#_x0000_t202" id="docshape567" filled="false" stroked="false">
              <v:textbox inset="0,0,0,0">
                <w:txbxContent>
                  <w:p>
                    <w:pPr>
                      <w:spacing w:line="234" w:lineRule="exact" w:before="0"/>
                      <w:ind w:left="20" w:right="0" w:firstLine="0"/>
                      <w:jc w:val="left"/>
                      <w:rPr>
                        <w:sz w:val="21"/>
                      </w:rPr>
                    </w:pPr>
                    <w:r>
                      <w:rPr>
                        <w:sz w:val="21"/>
                      </w:rPr>
                      <w:t>MBLC</w:t>
                    </w:r>
                    <w:r>
                      <w:rPr>
                        <w:spacing w:val="-3"/>
                        <w:sz w:val="21"/>
                      </w:rPr>
                      <w:t> </w:t>
                    </w:r>
                    <w:r>
                      <w:rPr>
                        <w:sz w:val="21"/>
                      </w:rPr>
                      <w:t>–</w:t>
                    </w:r>
                    <w:r>
                      <w:rPr>
                        <w:spacing w:val="-1"/>
                        <w:sz w:val="21"/>
                      </w:rPr>
                      <w:t> </w:t>
                    </w:r>
                    <w:r>
                      <w:rPr>
                        <w:sz w:val="21"/>
                      </w:rPr>
                      <w:t>FY </w:t>
                    </w:r>
                    <w:r>
                      <w:rPr>
                        <w:spacing w:val="-4"/>
                        <w:sz w:val="21"/>
                      </w:rPr>
                      <w:t>2025</w:t>
                    </w:r>
                  </w:p>
                </w:txbxContent>
              </v:textbox>
              <w10:wrap type="none"/>
            </v:shape>
          </w:pict>
        </mc:Fallback>
      </mc:AlternateContent>
    </w:r>
  </w:p>
</w:hdr>
</file>

<file path=word/header6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2622976">
              <wp:simplePos x="0" y="0"/>
              <wp:positionH relativeFrom="page">
                <wp:posOffset>903986</wp:posOffset>
              </wp:positionH>
              <wp:positionV relativeFrom="page">
                <wp:posOffset>497649</wp:posOffset>
              </wp:positionV>
              <wp:extent cx="851535" cy="158750"/>
              <wp:effectExtent l="0" t="0" r="0" b="0"/>
              <wp:wrapNone/>
              <wp:docPr id="681" name="Textbox 681"/>
              <wp:cNvGraphicFramePr>
                <a:graphicFrameLocks/>
              </wp:cNvGraphicFramePr>
              <a:graphic>
                <a:graphicData uri="http://schemas.microsoft.com/office/word/2010/wordprocessingShape">
                  <wps:wsp>
                    <wps:cNvPr id="681" name="Textbox 681"/>
                    <wps:cNvSpPr txBox="1"/>
                    <wps:spPr>
                      <a:xfrm>
                        <a:off x="0" y="0"/>
                        <a:ext cx="851535" cy="158750"/>
                      </a:xfrm>
                      <a:prstGeom prst="rect">
                        <a:avLst/>
                      </a:prstGeom>
                    </wps:spPr>
                    <wps:txbx>
                      <w:txbxContent>
                        <w:p>
                          <w:pPr>
                            <w:spacing w:line="234" w:lineRule="exact" w:before="0"/>
                            <w:ind w:left="20" w:right="0" w:firstLine="0"/>
                            <w:jc w:val="left"/>
                            <w:rPr>
                              <w:sz w:val="21"/>
                            </w:rPr>
                          </w:pPr>
                          <w:r>
                            <w:rPr>
                              <w:sz w:val="21"/>
                            </w:rPr>
                            <w:t>CPCS</w:t>
                          </w:r>
                          <w:r>
                            <w:rPr>
                              <w:spacing w:val="-2"/>
                              <w:sz w:val="21"/>
                            </w:rPr>
                            <w:t> </w:t>
                          </w:r>
                          <w:r>
                            <w:rPr>
                              <w:sz w:val="21"/>
                            </w:rPr>
                            <w:t>–</w:t>
                          </w:r>
                          <w:r>
                            <w:rPr>
                              <w:spacing w:val="-1"/>
                              <w:sz w:val="21"/>
                            </w:rPr>
                            <w:t> </w:t>
                          </w:r>
                          <w:r>
                            <w:rPr>
                              <w:sz w:val="21"/>
                            </w:rPr>
                            <w:t>FY</w:t>
                          </w:r>
                          <w:r>
                            <w:rPr>
                              <w:spacing w:val="-1"/>
                              <w:sz w:val="21"/>
                            </w:rPr>
                            <w:t> </w:t>
                          </w:r>
                          <w:r>
                            <w:rPr>
                              <w:spacing w:val="-4"/>
                              <w:sz w:val="21"/>
                            </w:rPr>
                            <w:t>2025</w:t>
                          </w:r>
                        </w:p>
                      </w:txbxContent>
                    </wps:txbx>
                    <wps:bodyPr wrap="square" lIns="0" tIns="0" rIns="0" bIns="0" rtlCol="0">
                      <a:noAutofit/>
                    </wps:bodyPr>
                  </wps:wsp>
                </a:graphicData>
              </a:graphic>
            </wp:anchor>
          </w:drawing>
        </mc:Choice>
        <mc:Fallback>
          <w:pict>
            <v:shape style="position:absolute;margin-left:71.180pt;margin-top:39.185001pt;width:67.05pt;height:12.5pt;mso-position-horizontal-relative:page;mso-position-vertical-relative:page;z-index:-20693504" type="#_x0000_t202" id="docshape578" filled="false" stroked="false">
              <v:textbox inset="0,0,0,0">
                <w:txbxContent>
                  <w:p>
                    <w:pPr>
                      <w:spacing w:line="234" w:lineRule="exact" w:before="0"/>
                      <w:ind w:left="20" w:right="0" w:firstLine="0"/>
                      <w:jc w:val="left"/>
                      <w:rPr>
                        <w:sz w:val="21"/>
                      </w:rPr>
                    </w:pPr>
                    <w:r>
                      <w:rPr>
                        <w:sz w:val="21"/>
                      </w:rPr>
                      <w:t>CPCS</w:t>
                    </w:r>
                    <w:r>
                      <w:rPr>
                        <w:spacing w:val="-2"/>
                        <w:sz w:val="21"/>
                      </w:rPr>
                      <w:t> </w:t>
                    </w:r>
                    <w:r>
                      <w:rPr>
                        <w:sz w:val="21"/>
                      </w:rPr>
                      <w:t>–</w:t>
                    </w:r>
                    <w:r>
                      <w:rPr>
                        <w:spacing w:val="-1"/>
                        <w:sz w:val="21"/>
                      </w:rPr>
                      <w:t> </w:t>
                    </w:r>
                    <w:r>
                      <w:rPr>
                        <w:sz w:val="21"/>
                      </w:rPr>
                      <w:t>FY</w:t>
                    </w:r>
                    <w:r>
                      <w:rPr>
                        <w:spacing w:val="-1"/>
                        <w:sz w:val="21"/>
                      </w:rPr>
                      <w:t> </w:t>
                    </w:r>
                    <w:r>
                      <w:rPr>
                        <w:spacing w:val="-4"/>
                        <w:sz w:val="21"/>
                      </w:rPr>
                      <w:t>2025</w:t>
                    </w:r>
                  </w:p>
                </w:txbxContent>
              </v:textbox>
              <w10:wrap type="none"/>
            </v:shape>
          </w:pict>
        </mc:Fallback>
      </mc:AlternateContent>
    </w:r>
  </w:p>
</w:hdr>
</file>

<file path=word/header6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2624512">
              <wp:simplePos x="0" y="0"/>
              <wp:positionH relativeFrom="page">
                <wp:posOffset>903986</wp:posOffset>
              </wp:positionH>
              <wp:positionV relativeFrom="page">
                <wp:posOffset>498411</wp:posOffset>
              </wp:positionV>
              <wp:extent cx="1148080" cy="158750"/>
              <wp:effectExtent l="0" t="0" r="0" b="0"/>
              <wp:wrapNone/>
              <wp:docPr id="691" name="Textbox 691"/>
              <wp:cNvGraphicFramePr>
                <a:graphicFrameLocks/>
              </wp:cNvGraphicFramePr>
              <a:graphic>
                <a:graphicData uri="http://schemas.microsoft.com/office/word/2010/wordprocessingShape">
                  <wps:wsp>
                    <wps:cNvPr id="691" name="Textbox 691"/>
                    <wps:cNvSpPr txBox="1"/>
                    <wps:spPr>
                      <a:xfrm>
                        <a:off x="0" y="0"/>
                        <a:ext cx="1148080" cy="158750"/>
                      </a:xfrm>
                      <a:prstGeom prst="rect">
                        <a:avLst/>
                      </a:prstGeom>
                    </wps:spPr>
                    <wps:txbx>
                      <w:txbxContent>
                        <w:p>
                          <w:pPr>
                            <w:spacing w:line="234" w:lineRule="exact" w:before="0"/>
                            <w:ind w:left="20" w:right="0" w:firstLine="0"/>
                            <w:jc w:val="left"/>
                            <w:rPr>
                              <w:sz w:val="21"/>
                            </w:rPr>
                          </w:pPr>
                          <w:r>
                            <w:rPr>
                              <w:sz w:val="21"/>
                            </w:rPr>
                            <w:t>MASSHIRE</w:t>
                          </w:r>
                          <w:r>
                            <w:rPr>
                              <w:spacing w:val="-3"/>
                              <w:sz w:val="21"/>
                            </w:rPr>
                            <w:t> </w:t>
                          </w:r>
                          <w:r>
                            <w:rPr>
                              <w:sz w:val="21"/>
                            </w:rPr>
                            <w:t>–</w:t>
                          </w:r>
                          <w:r>
                            <w:rPr>
                              <w:spacing w:val="-2"/>
                              <w:sz w:val="21"/>
                            </w:rPr>
                            <w:t> </w:t>
                          </w:r>
                          <w:r>
                            <w:rPr>
                              <w:sz w:val="21"/>
                            </w:rPr>
                            <w:t>FY</w:t>
                          </w:r>
                          <w:r>
                            <w:rPr>
                              <w:spacing w:val="-1"/>
                              <w:sz w:val="21"/>
                            </w:rPr>
                            <w:t> </w:t>
                          </w:r>
                          <w:r>
                            <w:rPr>
                              <w:spacing w:val="-4"/>
                              <w:sz w:val="21"/>
                            </w:rPr>
                            <w:t>2025</w:t>
                          </w:r>
                        </w:p>
                      </w:txbxContent>
                    </wps:txbx>
                    <wps:bodyPr wrap="square" lIns="0" tIns="0" rIns="0" bIns="0" rtlCol="0">
                      <a:noAutofit/>
                    </wps:bodyPr>
                  </wps:wsp>
                </a:graphicData>
              </a:graphic>
            </wp:anchor>
          </w:drawing>
        </mc:Choice>
        <mc:Fallback>
          <w:pict>
            <v:shape style="position:absolute;margin-left:71.180pt;margin-top:39.244999pt;width:90.4pt;height:12.5pt;mso-position-horizontal-relative:page;mso-position-vertical-relative:page;z-index:-20691968" type="#_x0000_t202" id="docshape588" filled="false" stroked="false">
              <v:textbox inset="0,0,0,0">
                <w:txbxContent>
                  <w:p>
                    <w:pPr>
                      <w:spacing w:line="234" w:lineRule="exact" w:before="0"/>
                      <w:ind w:left="20" w:right="0" w:firstLine="0"/>
                      <w:jc w:val="left"/>
                      <w:rPr>
                        <w:sz w:val="21"/>
                      </w:rPr>
                    </w:pPr>
                    <w:r>
                      <w:rPr>
                        <w:sz w:val="21"/>
                      </w:rPr>
                      <w:t>MASSHIRE</w:t>
                    </w:r>
                    <w:r>
                      <w:rPr>
                        <w:spacing w:val="-3"/>
                        <w:sz w:val="21"/>
                      </w:rPr>
                      <w:t> </w:t>
                    </w:r>
                    <w:r>
                      <w:rPr>
                        <w:sz w:val="21"/>
                      </w:rPr>
                      <w:t>–</w:t>
                    </w:r>
                    <w:r>
                      <w:rPr>
                        <w:spacing w:val="-2"/>
                        <w:sz w:val="21"/>
                      </w:rPr>
                      <w:t> </w:t>
                    </w:r>
                    <w:r>
                      <w:rPr>
                        <w:sz w:val="21"/>
                      </w:rPr>
                      <w:t>FY</w:t>
                    </w:r>
                    <w:r>
                      <w:rPr>
                        <w:spacing w:val="-1"/>
                        <w:sz w:val="21"/>
                      </w:rPr>
                      <w:t> </w:t>
                    </w:r>
                    <w:r>
                      <w:rPr>
                        <w:spacing w:val="-4"/>
                        <w:sz w:val="21"/>
                      </w:rPr>
                      <w:t>2025</w:t>
                    </w:r>
                  </w:p>
                </w:txbxContent>
              </v:textbox>
              <w10:wrap type="none"/>
            </v:shape>
          </w:pict>
        </mc:Fallback>
      </mc:AlternateContent>
    </w:r>
  </w:p>
</w:hdr>
</file>

<file path=word/header6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2626048">
              <wp:simplePos x="0" y="0"/>
              <wp:positionH relativeFrom="page">
                <wp:posOffset>903986</wp:posOffset>
              </wp:positionH>
              <wp:positionV relativeFrom="page">
                <wp:posOffset>497649</wp:posOffset>
              </wp:positionV>
              <wp:extent cx="815975" cy="158750"/>
              <wp:effectExtent l="0" t="0" r="0" b="0"/>
              <wp:wrapNone/>
              <wp:docPr id="701" name="Textbox 701"/>
              <wp:cNvGraphicFramePr>
                <a:graphicFrameLocks/>
              </wp:cNvGraphicFramePr>
              <a:graphic>
                <a:graphicData uri="http://schemas.microsoft.com/office/word/2010/wordprocessingShape">
                  <wps:wsp>
                    <wps:cNvPr id="701" name="Textbox 701"/>
                    <wps:cNvSpPr txBox="1"/>
                    <wps:spPr>
                      <a:xfrm>
                        <a:off x="0" y="0"/>
                        <a:ext cx="815975" cy="158750"/>
                      </a:xfrm>
                      <a:prstGeom prst="rect">
                        <a:avLst/>
                      </a:prstGeom>
                    </wps:spPr>
                    <wps:txbx>
                      <w:txbxContent>
                        <w:p>
                          <w:pPr>
                            <w:spacing w:line="234" w:lineRule="exact" w:before="0"/>
                            <w:ind w:left="20" w:right="0" w:firstLine="0"/>
                            <w:jc w:val="left"/>
                            <w:rPr>
                              <w:sz w:val="21"/>
                            </w:rPr>
                          </w:pPr>
                          <w:r>
                            <w:rPr>
                              <w:sz w:val="21"/>
                            </w:rPr>
                            <w:t>OCA</w:t>
                          </w:r>
                          <w:r>
                            <w:rPr>
                              <w:spacing w:val="-1"/>
                              <w:sz w:val="21"/>
                            </w:rPr>
                            <w:t> </w:t>
                          </w:r>
                          <w:r>
                            <w:rPr>
                              <w:sz w:val="21"/>
                            </w:rPr>
                            <w:t>–</w:t>
                          </w:r>
                          <w:r>
                            <w:rPr>
                              <w:spacing w:val="-1"/>
                              <w:sz w:val="21"/>
                            </w:rPr>
                            <w:t> </w:t>
                          </w:r>
                          <w:r>
                            <w:rPr>
                              <w:sz w:val="21"/>
                            </w:rPr>
                            <w:t>FY </w:t>
                          </w:r>
                          <w:r>
                            <w:rPr>
                              <w:spacing w:val="-4"/>
                              <w:sz w:val="21"/>
                            </w:rPr>
                            <w:t>2025</w:t>
                          </w:r>
                        </w:p>
                      </w:txbxContent>
                    </wps:txbx>
                    <wps:bodyPr wrap="square" lIns="0" tIns="0" rIns="0" bIns="0" rtlCol="0">
                      <a:noAutofit/>
                    </wps:bodyPr>
                  </wps:wsp>
                </a:graphicData>
              </a:graphic>
            </wp:anchor>
          </w:drawing>
        </mc:Choice>
        <mc:Fallback>
          <w:pict>
            <v:shape style="position:absolute;margin-left:71.180pt;margin-top:39.185001pt;width:64.25pt;height:12.5pt;mso-position-horizontal-relative:page;mso-position-vertical-relative:page;z-index:-20690432" type="#_x0000_t202" id="docshape598" filled="false" stroked="false">
              <v:textbox inset="0,0,0,0">
                <w:txbxContent>
                  <w:p>
                    <w:pPr>
                      <w:spacing w:line="234" w:lineRule="exact" w:before="0"/>
                      <w:ind w:left="20" w:right="0" w:firstLine="0"/>
                      <w:jc w:val="left"/>
                      <w:rPr>
                        <w:sz w:val="21"/>
                      </w:rPr>
                    </w:pPr>
                    <w:r>
                      <w:rPr>
                        <w:sz w:val="21"/>
                      </w:rPr>
                      <w:t>OCA</w:t>
                    </w:r>
                    <w:r>
                      <w:rPr>
                        <w:spacing w:val="-1"/>
                        <w:sz w:val="21"/>
                      </w:rPr>
                      <w:t> </w:t>
                    </w:r>
                    <w:r>
                      <w:rPr>
                        <w:sz w:val="21"/>
                      </w:rPr>
                      <w:t>–</w:t>
                    </w:r>
                    <w:r>
                      <w:rPr>
                        <w:spacing w:val="-1"/>
                        <w:sz w:val="21"/>
                      </w:rPr>
                      <w:t> </w:t>
                    </w:r>
                    <w:r>
                      <w:rPr>
                        <w:sz w:val="21"/>
                      </w:rPr>
                      <w:t>FY </w:t>
                    </w:r>
                    <w:r>
                      <w:rPr>
                        <w:spacing w:val="-4"/>
                        <w:sz w:val="21"/>
                      </w:rPr>
                      <w:t>2025</w:t>
                    </w:r>
                  </w:p>
                </w:txbxContent>
              </v:textbox>
              <w10:wrap type="none"/>
            </v:shape>
          </w:pict>
        </mc:Fallback>
      </mc:AlternateContent>
    </w:r>
  </w:p>
</w:hdr>
</file>

<file path=word/header6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2627584">
              <wp:simplePos x="0" y="0"/>
              <wp:positionH relativeFrom="page">
                <wp:posOffset>813308</wp:posOffset>
              </wp:positionH>
              <wp:positionV relativeFrom="page">
                <wp:posOffset>539559</wp:posOffset>
              </wp:positionV>
              <wp:extent cx="1102360" cy="158750"/>
              <wp:effectExtent l="0" t="0" r="0" b="0"/>
              <wp:wrapNone/>
              <wp:docPr id="711" name="Textbox 711"/>
              <wp:cNvGraphicFramePr>
                <a:graphicFrameLocks/>
              </wp:cNvGraphicFramePr>
              <a:graphic>
                <a:graphicData uri="http://schemas.microsoft.com/office/word/2010/wordprocessingShape">
                  <wps:wsp>
                    <wps:cNvPr id="711" name="Textbox 711"/>
                    <wps:cNvSpPr txBox="1"/>
                    <wps:spPr>
                      <a:xfrm>
                        <a:off x="0" y="0"/>
                        <a:ext cx="1102360" cy="158750"/>
                      </a:xfrm>
                      <a:prstGeom prst="rect">
                        <a:avLst/>
                      </a:prstGeom>
                    </wps:spPr>
                    <wps:txbx>
                      <w:txbxContent>
                        <w:p>
                          <w:pPr>
                            <w:spacing w:line="234" w:lineRule="exact" w:before="0"/>
                            <w:ind w:left="20" w:right="0" w:firstLine="0"/>
                            <w:jc w:val="left"/>
                            <w:rPr>
                              <w:sz w:val="21"/>
                            </w:rPr>
                          </w:pPr>
                          <w:r>
                            <w:rPr>
                              <w:sz w:val="21"/>
                            </w:rPr>
                            <w:t>FY</w:t>
                          </w:r>
                          <w:r>
                            <w:rPr>
                              <w:spacing w:val="-6"/>
                              <w:sz w:val="21"/>
                            </w:rPr>
                            <w:t> </w:t>
                          </w:r>
                          <w:r>
                            <w:rPr>
                              <w:sz w:val="21"/>
                            </w:rPr>
                            <w:t>2025</w:t>
                          </w:r>
                          <w:r>
                            <w:rPr>
                              <w:spacing w:val="-3"/>
                              <w:sz w:val="21"/>
                            </w:rPr>
                            <w:t> </w:t>
                          </w:r>
                          <w:r>
                            <w:rPr>
                              <w:sz w:val="21"/>
                            </w:rPr>
                            <w:t>-</w:t>
                          </w:r>
                          <w:r>
                            <w:rPr>
                              <w:spacing w:val="-3"/>
                              <w:sz w:val="21"/>
                            </w:rPr>
                            <w:t> </w:t>
                          </w:r>
                          <w:r>
                            <w:rPr>
                              <w:spacing w:val="-2"/>
                              <w:sz w:val="21"/>
                            </w:rPr>
                            <w:t>GLOSSARY</w:t>
                          </w:r>
                        </w:p>
                      </w:txbxContent>
                    </wps:txbx>
                    <wps:bodyPr wrap="square" lIns="0" tIns="0" rIns="0" bIns="0" rtlCol="0">
                      <a:noAutofit/>
                    </wps:bodyPr>
                  </wps:wsp>
                </a:graphicData>
              </a:graphic>
            </wp:anchor>
          </w:drawing>
        </mc:Choice>
        <mc:Fallback>
          <w:pict>
            <v:shape style="position:absolute;margin-left:64.040001pt;margin-top:42.485001pt;width:86.8pt;height:12.5pt;mso-position-horizontal-relative:page;mso-position-vertical-relative:page;z-index:-20688896" type="#_x0000_t202" id="docshape608" filled="false" stroked="false">
              <v:textbox inset="0,0,0,0">
                <w:txbxContent>
                  <w:p>
                    <w:pPr>
                      <w:spacing w:line="234" w:lineRule="exact" w:before="0"/>
                      <w:ind w:left="20" w:right="0" w:firstLine="0"/>
                      <w:jc w:val="left"/>
                      <w:rPr>
                        <w:sz w:val="21"/>
                      </w:rPr>
                    </w:pPr>
                    <w:r>
                      <w:rPr>
                        <w:sz w:val="21"/>
                      </w:rPr>
                      <w:t>FY</w:t>
                    </w:r>
                    <w:r>
                      <w:rPr>
                        <w:spacing w:val="-6"/>
                        <w:sz w:val="21"/>
                      </w:rPr>
                      <w:t> </w:t>
                    </w:r>
                    <w:r>
                      <w:rPr>
                        <w:sz w:val="21"/>
                      </w:rPr>
                      <w:t>2025</w:t>
                    </w:r>
                    <w:r>
                      <w:rPr>
                        <w:spacing w:val="-3"/>
                        <w:sz w:val="21"/>
                      </w:rPr>
                      <w:t> </w:t>
                    </w:r>
                    <w:r>
                      <w:rPr>
                        <w:sz w:val="21"/>
                      </w:rPr>
                      <w:t>-</w:t>
                    </w:r>
                    <w:r>
                      <w:rPr>
                        <w:spacing w:val="-3"/>
                        <w:sz w:val="21"/>
                      </w:rPr>
                      <w:t> </w:t>
                    </w:r>
                    <w:r>
                      <w:rPr>
                        <w:spacing w:val="-2"/>
                        <w:sz w:val="21"/>
                      </w:rPr>
                      <w:t>GLOSSARY</w:t>
                    </w:r>
                  </w:p>
                </w:txbxContent>
              </v:textbox>
              <w10:wrap type="none"/>
            </v:shape>
          </w:pict>
        </mc:Fallback>
      </mc:AlternateContent>
    </w:r>
  </w:p>
</w:hdr>
</file>

<file path=word/header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2556928">
              <wp:simplePos x="0" y="0"/>
              <wp:positionH relativeFrom="page">
                <wp:posOffset>993139</wp:posOffset>
              </wp:positionH>
              <wp:positionV relativeFrom="page">
                <wp:posOffset>766254</wp:posOffset>
              </wp:positionV>
              <wp:extent cx="2593340" cy="203200"/>
              <wp:effectExtent l="0" t="0" r="0" b="0"/>
              <wp:wrapNone/>
              <wp:docPr id="48" name="Textbox 48"/>
              <wp:cNvGraphicFramePr>
                <a:graphicFrameLocks/>
              </wp:cNvGraphicFramePr>
              <a:graphic>
                <a:graphicData uri="http://schemas.microsoft.com/office/word/2010/wordprocessingShape">
                  <wps:wsp>
                    <wps:cNvPr id="48" name="Textbox 48"/>
                    <wps:cNvSpPr txBox="1"/>
                    <wps:spPr>
                      <a:xfrm>
                        <a:off x="0" y="0"/>
                        <a:ext cx="2593340" cy="203200"/>
                      </a:xfrm>
                      <a:prstGeom prst="rect">
                        <a:avLst/>
                      </a:prstGeom>
                    </wps:spPr>
                    <wps:txbx>
                      <w:txbxContent>
                        <w:p>
                          <w:pPr>
                            <w:spacing w:line="305" w:lineRule="exact" w:before="0"/>
                            <w:ind w:left="20" w:right="0" w:firstLine="0"/>
                            <w:jc w:val="left"/>
                            <w:rPr>
                              <w:sz w:val="28"/>
                            </w:rPr>
                          </w:pPr>
                          <w:r>
                            <w:rPr>
                              <w:color w:val="365F91"/>
                              <w:sz w:val="28"/>
                            </w:rPr>
                            <w:t>Destigmatizing</w:t>
                          </w:r>
                          <w:r>
                            <w:rPr>
                              <w:color w:val="365F91"/>
                              <w:spacing w:val="-15"/>
                              <w:sz w:val="28"/>
                            </w:rPr>
                            <w:t> </w:t>
                          </w:r>
                          <w:r>
                            <w:rPr>
                              <w:color w:val="365F91"/>
                              <w:sz w:val="28"/>
                            </w:rPr>
                            <w:t>Public</w:t>
                          </w:r>
                          <w:r>
                            <w:rPr>
                              <w:color w:val="365F91"/>
                              <w:spacing w:val="-15"/>
                              <w:sz w:val="28"/>
                            </w:rPr>
                            <w:t> </w:t>
                          </w:r>
                          <w:r>
                            <w:rPr>
                              <w:color w:val="365F91"/>
                              <w:sz w:val="28"/>
                            </w:rPr>
                            <w:t>Health</w:t>
                          </w:r>
                          <w:r>
                            <w:rPr>
                              <w:color w:val="365F91"/>
                              <w:spacing w:val="-16"/>
                              <w:sz w:val="28"/>
                            </w:rPr>
                            <w:t> </w:t>
                          </w:r>
                          <w:r>
                            <w:rPr>
                              <w:color w:val="365F91"/>
                              <w:spacing w:val="-2"/>
                              <w:sz w:val="28"/>
                            </w:rPr>
                            <w:t>(2023)</w:t>
                          </w:r>
                        </w:p>
                      </w:txbxContent>
                    </wps:txbx>
                    <wps:bodyPr wrap="square" lIns="0" tIns="0" rIns="0" bIns="0" rtlCol="0">
                      <a:noAutofit/>
                    </wps:bodyPr>
                  </wps:wsp>
                </a:graphicData>
              </a:graphic>
            </wp:anchor>
          </w:drawing>
        </mc:Choice>
        <mc:Fallback>
          <w:pict>
            <v:shape style="position:absolute;margin-left:78.199997pt;margin-top:60.334999pt;width:204.2pt;height:16pt;mso-position-horizontal-relative:page;mso-position-vertical-relative:page;z-index:-20759552" type="#_x0000_t202" id="docshape32" filled="false" stroked="false">
              <v:textbox inset="0,0,0,0">
                <w:txbxContent>
                  <w:p>
                    <w:pPr>
                      <w:spacing w:line="305" w:lineRule="exact" w:before="0"/>
                      <w:ind w:left="20" w:right="0" w:firstLine="0"/>
                      <w:jc w:val="left"/>
                      <w:rPr>
                        <w:sz w:val="28"/>
                      </w:rPr>
                    </w:pPr>
                    <w:r>
                      <w:rPr>
                        <w:color w:val="365F91"/>
                        <w:sz w:val="28"/>
                      </w:rPr>
                      <w:t>Destigmatizing</w:t>
                    </w:r>
                    <w:r>
                      <w:rPr>
                        <w:color w:val="365F91"/>
                        <w:spacing w:val="-15"/>
                        <w:sz w:val="28"/>
                      </w:rPr>
                      <w:t> </w:t>
                    </w:r>
                    <w:r>
                      <w:rPr>
                        <w:color w:val="365F91"/>
                        <w:sz w:val="28"/>
                      </w:rPr>
                      <w:t>Public</w:t>
                    </w:r>
                    <w:r>
                      <w:rPr>
                        <w:color w:val="365F91"/>
                        <w:spacing w:val="-15"/>
                        <w:sz w:val="28"/>
                      </w:rPr>
                      <w:t> </w:t>
                    </w:r>
                    <w:r>
                      <w:rPr>
                        <w:color w:val="365F91"/>
                        <w:sz w:val="28"/>
                      </w:rPr>
                      <w:t>Health</w:t>
                    </w:r>
                    <w:r>
                      <w:rPr>
                        <w:color w:val="365F91"/>
                        <w:spacing w:val="-16"/>
                        <w:sz w:val="28"/>
                      </w:rPr>
                      <w:t> </w:t>
                    </w:r>
                    <w:r>
                      <w:rPr>
                        <w:color w:val="365F91"/>
                        <w:spacing w:val="-2"/>
                        <w:sz w:val="28"/>
                      </w:rPr>
                      <w:t>(2023)</w:t>
                    </w:r>
                  </w:p>
                </w:txbxContent>
              </v:textbox>
              <w10:wrap type="none"/>
            </v:shape>
          </w:pict>
        </mc:Fallback>
      </mc:AlternateContent>
    </w:r>
  </w:p>
</w:hdr>
</file>

<file path=word/header7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2558464">
              <wp:simplePos x="0" y="0"/>
              <wp:positionH relativeFrom="page">
                <wp:posOffset>993139</wp:posOffset>
              </wp:positionH>
              <wp:positionV relativeFrom="page">
                <wp:posOffset>766254</wp:posOffset>
              </wp:positionV>
              <wp:extent cx="2407285" cy="203200"/>
              <wp:effectExtent l="0" t="0" r="0" b="0"/>
              <wp:wrapNone/>
              <wp:docPr id="51" name="Textbox 51"/>
              <wp:cNvGraphicFramePr>
                <a:graphicFrameLocks/>
              </wp:cNvGraphicFramePr>
              <a:graphic>
                <a:graphicData uri="http://schemas.microsoft.com/office/word/2010/wordprocessingShape">
                  <wps:wsp>
                    <wps:cNvPr id="51" name="Textbox 51"/>
                    <wps:cNvSpPr txBox="1"/>
                    <wps:spPr>
                      <a:xfrm>
                        <a:off x="0" y="0"/>
                        <a:ext cx="2407285" cy="203200"/>
                      </a:xfrm>
                      <a:prstGeom prst="rect">
                        <a:avLst/>
                      </a:prstGeom>
                    </wps:spPr>
                    <wps:txbx>
                      <w:txbxContent>
                        <w:p>
                          <w:pPr>
                            <w:spacing w:line="305" w:lineRule="exact" w:before="0"/>
                            <w:ind w:left="20" w:right="0" w:firstLine="0"/>
                            <w:jc w:val="left"/>
                            <w:rPr>
                              <w:sz w:val="28"/>
                            </w:rPr>
                          </w:pPr>
                          <w:r>
                            <w:rPr>
                              <w:color w:val="365F91"/>
                              <w:sz w:val="28"/>
                            </w:rPr>
                            <w:t>Supporting</w:t>
                          </w:r>
                          <w:r>
                            <w:rPr>
                              <w:color w:val="365F91"/>
                              <w:spacing w:val="-13"/>
                              <w:sz w:val="28"/>
                            </w:rPr>
                            <w:t> </w:t>
                          </w:r>
                          <w:r>
                            <w:rPr>
                              <w:color w:val="365F91"/>
                              <w:sz w:val="28"/>
                            </w:rPr>
                            <w:t>Mental</w:t>
                          </w:r>
                          <w:r>
                            <w:rPr>
                              <w:color w:val="365F91"/>
                              <w:spacing w:val="-12"/>
                              <w:sz w:val="28"/>
                            </w:rPr>
                            <w:t> </w:t>
                          </w:r>
                          <w:r>
                            <w:rPr>
                              <w:color w:val="365F91"/>
                              <w:sz w:val="28"/>
                            </w:rPr>
                            <w:t>Health</w:t>
                          </w:r>
                          <w:r>
                            <w:rPr>
                              <w:color w:val="365F91"/>
                              <w:spacing w:val="-13"/>
                              <w:sz w:val="28"/>
                            </w:rPr>
                            <w:t> </w:t>
                          </w:r>
                          <w:r>
                            <w:rPr>
                              <w:color w:val="365F91"/>
                              <w:spacing w:val="-2"/>
                              <w:sz w:val="28"/>
                            </w:rPr>
                            <w:t>(2023)</w:t>
                          </w:r>
                        </w:p>
                      </w:txbxContent>
                    </wps:txbx>
                    <wps:bodyPr wrap="square" lIns="0" tIns="0" rIns="0" bIns="0" rtlCol="0">
                      <a:noAutofit/>
                    </wps:bodyPr>
                  </wps:wsp>
                </a:graphicData>
              </a:graphic>
            </wp:anchor>
          </w:drawing>
        </mc:Choice>
        <mc:Fallback>
          <w:pict>
            <v:shape style="position:absolute;margin-left:78.199997pt;margin-top:60.334999pt;width:189.55pt;height:16pt;mso-position-horizontal-relative:page;mso-position-vertical-relative:page;z-index:-20758016" type="#_x0000_t202" id="docshape35" filled="false" stroked="false">
              <v:textbox inset="0,0,0,0">
                <w:txbxContent>
                  <w:p>
                    <w:pPr>
                      <w:spacing w:line="305" w:lineRule="exact" w:before="0"/>
                      <w:ind w:left="20" w:right="0" w:firstLine="0"/>
                      <w:jc w:val="left"/>
                      <w:rPr>
                        <w:sz w:val="28"/>
                      </w:rPr>
                    </w:pPr>
                    <w:r>
                      <w:rPr>
                        <w:color w:val="365F91"/>
                        <w:sz w:val="28"/>
                      </w:rPr>
                      <w:t>Supporting</w:t>
                    </w:r>
                    <w:r>
                      <w:rPr>
                        <w:color w:val="365F91"/>
                        <w:spacing w:val="-13"/>
                        <w:sz w:val="28"/>
                      </w:rPr>
                      <w:t> </w:t>
                    </w:r>
                    <w:r>
                      <w:rPr>
                        <w:color w:val="365F91"/>
                        <w:sz w:val="28"/>
                      </w:rPr>
                      <w:t>Mental</w:t>
                    </w:r>
                    <w:r>
                      <w:rPr>
                        <w:color w:val="365F91"/>
                        <w:spacing w:val="-12"/>
                        <w:sz w:val="28"/>
                      </w:rPr>
                      <w:t> </w:t>
                    </w:r>
                    <w:r>
                      <w:rPr>
                        <w:color w:val="365F91"/>
                        <w:sz w:val="28"/>
                      </w:rPr>
                      <w:t>Health</w:t>
                    </w:r>
                    <w:r>
                      <w:rPr>
                        <w:color w:val="365F91"/>
                        <w:spacing w:val="-13"/>
                        <w:sz w:val="28"/>
                      </w:rPr>
                      <w:t> </w:t>
                    </w:r>
                    <w:r>
                      <w:rPr>
                        <w:color w:val="365F91"/>
                        <w:spacing w:val="-2"/>
                        <w:sz w:val="28"/>
                      </w:rPr>
                      <w:t>(2023)</w:t>
                    </w:r>
                  </w:p>
                </w:txbxContent>
              </v:textbox>
              <w10:wrap type="none"/>
            </v:shape>
          </w:pict>
        </mc:Fallback>
      </mc:AlternateContent>
    </w:r>
  </w:p>
</w:hdr>
</file>

<file path=word/header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2560000">
              <wp:simplePos x="0" y="0"/>
              <wp:positionH relativeFrom="page">
                <wp:posOffset>993139</wp:posOffset>
              </wp:positionH>
              <wp:positionV relativeFrom="page">
                <wp:posOffset>766254</wp:posOffset>
              </wp:positionV>
              <wp:extent cx="2526030" cy="203200"/>
              <wp:effectExtent l="0" t="0" r="0" b="0"/>
              <wp:wrapNone/>
              <wp:docPr id="54" name="Textbox 54"/>
              <wp:cNvGraphicFramePr>
                <a:graphicFrameLocks/>
              </wp:cNvGraphicFramePr>
              <a:graphic>
                <a:graphicData uri="http://schemas.microsoft.com/office/word/2010/wordprocessingShape">
                  <wps:wsp>
                    <wps:cNvPr id="54" name="Textbox 54"/>
                    <wps:cNvSpPr txBox="1"/>
                    <wps:spPr>
                      <a:xfrm>
                        <a:off x="0" y="0"/>
                        <a:ext cx="2526030" cy="203200"/>
                      </a:xfrm>
                      <a:prstGeom prst="rect">
                        <a:avLst/>
                      </a:prstGeom>
                    </wps:spPr>
                    <wps:txbx>
                      <w:txbxContent>
                        <w:p>
                          <w:pPr>
                            <w:spacing w:line="305" w:lineRule="exact" w:before="0"/>
                            <w:ind w:left="20" w:right="0" w:firstLine="0"/>
                            <w:jc w:val="left"/>
                            <w:rPr>
                              <w:sz w:val="28"/>
                            </w:rPr>
                          </w:pPr>
                          <w:r>
                            <w:rPr>
                              <w:color w:val="365F91"/>
                              <w:sz w:val="28"/>
                            </w:rPr>
                            <w:t>Addressing</w:t>
                          </w:r>
                          <w:r>
                            <w:rPr>
                              <w:color w:val="365F91"/>
                              <w:spacing w:val="-14"/>
                              <w:sz w:val="28"/>
                            </w:rPr>
                            <w:t> </w:t>
                          </w:r>
                          <w:r>
                            <w:rPr>
                              <w:color w:val="365F91"/>
                              <w:sz w:val="28"/>
                            </w:rPr>
                            <w:t>Pediatric</w:t>
                          </w:r>
                          <w:r>
                            <w:rPr>
                              <w:color w:val="365F91"/>
                              <w:spacing w:val="-13"/>
                              <w:sz w:val="28"/>
                            </w:rPr>
                            <w:t> </w:t>
                          </w:r>
                          <w:r>
                            <w:rPr>
                              <w:color w:val="365F91"/>
                              <w:sz w:val="28"/>
                            </w:rPr>
                            <w:t>Health</w:t>
                          </w:r>
                          <w:r>
                            <w:rPr>
                              <w:color w:val="365F91"/>
                              <w:spacing w:val="-15"/>
                              <w:sz w:val="28"/>
                            </w:rPr>
                            <w:t> </w:t>
                          </w:r>
                          <w:r>
                            <w:rPr>
                              <w:color w:val="365F91"/>
                              <w:spacing w:val="-2"/>
                              <w:sz w:val="28"/>
                            </w:rPr>
                            <w:t>(2023)</w:t>
                          </w:r>
                        </w:p>
                      </w:txbxContent>
                    </wps:txbx>
                    <wps:bodyPr wrap="square" lIns="0" tIns="0" rIns="0" bIns="0" rtlCol="0">
                      <a:noAutofit/>
                    </wps:bodyPr>
                  </wps:wsp>
                </a:graphicData>
              </a:graphic>
            </wp:anchor>
          </w:drawing>
        </mc:Choice>
        <mc:Fallback>
          <w:pict>
            <v:shape style="position:absolute;margin-left:78.199997pt;margin-top:60.334999pt;width:198.9pt;height:16pt;mso-position-horizontal-relative:page;mso-position-vertical-relative:page;z-index:-20756480" type="#_x0000_t202" id="docshape38" filled="false" stroked="false">
              <v:textbox inset="0,0,0,0">
                <w:txbxContent>
                  <w:p>
                    <w:pPr>
                      <w:spacing w:line="305" w:lineRule="exact" w:before="0"/>
                      <w:ind w:left="20" w:right="0" w:firstLine="0"/>
                      <w:jc w:val="left"/>
                      <w:rPr>
                        <w:sz w:val="28"/>
                      </w:rPr>
                    </w:pPr>
                    <w:r>
                      <w:rPr>
                        <w:color w:val="365F91"/>
                        <w:sz w:val="28"/>
                      </w:rPr>
                      <w:t>Addressing</w:t>
                    </w:r>
                    <w:r>
                      <w:rPr>
                        <w:color w:val="365F91"/>
                        <w:spacing w:val="-14"/>
                        <w:sz w:val="28"/>
                      </w:rPr>
                      <w:t> </w:t>
                    </w:r>
                    <w:r>
                      <w:rPr>
                        <w:color w:val="365F91"/>
                        <w:sz w:val="28"/>
                      </w:rPr>
                      <w:t>Pediatric</w:t>
                    </w:r>
                    <w:r>
                      <w:rPr>
                        <w:color w:val="365F91"/>
                        <w:spacing w:val="-13"/>
                        <w:sz w:val="28"/>
                      </w:rPr>
                      <w:t> </w:t>
                    </w:r>
                    <w:r>
                      <w:rPr>
                        <w:color w:val="365F91"/>
                        <w:sz w:val="28"/>
                      </w:rPr>
                      <w:t>Health</w:t>
                    </w:r>
                    <w:r>
                      <w:rPr>
                        <w:color w:val="365F91"/>
                        <w:spacing w:val="-15"/>
                        <w:sz w:val="28"/>
                      </w:rPr>
                      <w:t> </w:t>
                    </w:r>
                    <w:r>
                      <w:rPr>
                        <w:color w:val="365F91"/>
                        <w:spacing w:val="-2"/>
                        <w:sz w:val="28"/>
                      </w:rPr>
                      <w:t>(2023)</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
      <w:numFmt w:val="decimal"/>
      <w:lvlText w:val="%1."/>
      <w:lvlJc w:val="left"/>
      <w:pPr>
        <w:ind w:left="1180" w:hanging="361"/>
        <w:jc w:val="left"/>
      </w:pPr>
      <w:rPr>
        <w:rFonts w:hint="default" w:ascii="Calibri" w:hAnsi="Calibri" w:eastAsia="Calibri" w:cs="Calibri"/>
        <w:b w:val="0"/>
        <w:bCs w:val="0"/>
        <w:i w:val="0"/>
        <w:iCs w:val="0"/>
        <w:spacing w:val="0"/>
        <w:w w:val="99"/>
        <w:sz w:val="22"/>
        <w:szCs w:val="22"/>
        <w:lang w:val="en-US" w:eastAsia="en-US" w:bidi="ar-SA"/>
      </w:rPr>
    </w:lvl>
    <w:lvl w:ilvl="1">
      <w:start w:val="0"/>
      <w:numFmt w:val="bullet"/>
      <w:lvlText w:val="•"/>
      <w:lvlJc w:val="left"/>
      <w:pPr>
        <w:ind w:left="2072" w:hanging="361"/>
      </w:pPr>
      <w:rPr>
        <w:rFonts w:hint="default"/>
        <w:lang w:val="en-US" w:eastAsia="en-US" w:bidi="ar-SA"/>
      </w:rPr>
    </w:lvl>
    <w:lvl w:ilvl="2">
      <w:start w:val="0"/>
      <w:numFmt w:val="bullet"/>
      <w:lvlText w:val="•"/>
      <w:lvlJc w:val="left"/>
      <w:pPr>
        <w:ind w:left="2964" w:hanging="361"/>
      </w:pPr>
      <w:rPr>
        <w:rFonts w:hint="default"/>
        <w:lang w:val="en-US" w:eastAsia="en-US" w:bidi="ar-SA"/>
      </w:rPr>
    </w:lvl>
    <w:lvl w:ilvl="3">
      <w:start w:val="0"/>
      <w:numFmt w:val="bullet"/>
      <w:lvlText w:val="•"/>
      <w:lvlJc w:val="left"/>
      <w:pPr>
        <w:ind w:left="3856" w:hanging="361"/>
      </w:pPr>
      <w:rPr>
        <w:rFonts w:hint="default"/>
        <w:lang w:val="en-US" w:eastAsia="en-US" w:bidi="ar-SA"/>
      </w:rPr>
    </w:lvl>
    <w:lvl w:ilvl="4">
      <w:start w:val="0"/>
      <w:numFmt w:val="bullet"/>
      <w:lvlText w:val="•"/>
      <w:lvlJc w:val="left"/>
      <w:pPr>
        <w:ind w:left="4748" w:hanging="361"/>
      </w:pPr>
      <w:rPr>
        <w:rFonts w:hint="default"/>
        <w:lang w:val="en-US" w:eastAsia="en-US" w:bidi="ar-SA"/>
      </w:rPr>
    </w:lvl>
    <w:lvl w:ilvl="5">
      <w:start w:val="0"/>
      <w:numFmt w:val="bullet"/>
      <w:lvlText w:val="•"/>
      <w:lvlJc w:val="left"/>
      <w:pPr>
        <w:ind w:left="5640" w:hanging="361"/>
      </w:pPr>
      <w:rPr>
        <w:rFonts w:hint="default"/>
        <w:lang w:val="en-US" w:eastAsia="en-US" w:bidi="ar-SA"/>
      </w:rPr>
    </w:lvl>
    <w:lvl w:ilvl="6">
      <w:start w:val="0"/>
      <w:numFmt w:val="bullet"/>
      <w:lvlText w:val="•"/>
      <w:lvlJc w:val="left"/>
      <w:pPr>
        <w:ind w:left="6532" w:hanging="361"/>
      </w:pPr>
      <w:rPr>
        <w:rFonts w:hint="default"/>
        <w:lang w:val="en-US" w:eastAsia="en-US" w:bidi="ar-SA"/>
      </w:rPr>
    </w:lvl>
    <w:lvl w:ilvl="7">
      <w:start w:val="0"/>
      <w:numFmt w:val="bullet"/>
      <w:lvlText w:val="•"/>
      <w:lvlJc w:val="left"/>
      <w:pPr>
        <w:ind w:left="7424" w:hanging="361"/>
      </w:pPr>
      <w:rPr>
        <w:rFonts w:hint="default"/>
        <w:lang w:val="en-US" w:eastAsia="en-US" w:bidi="ar-SA"/>
      </w:rPr>
    </w:lvl>
    <w:lvl w:ilvl="8">
      <w:start w:val="0"/>
      <w:numFmt w:val="bullet"/>
      <w:lvlText w:val="•"/>
      <w:lvlJc w:val="left"/>
      <w:pPr>
        <w:ind w:left="8316" w:hanging="361"/>
      </w:pPr>
      <w:rPr>
        <w:rFonts w:hint="default"/>
        <w:lang w:val="en-US" w:eastAsia="en-US" w:bidi="ar-SA"/>
      </w:rPr>
    </w:lvl>
  </w:abstractNum>
  <w:abstractNum w:abstractNumId="49">
    <w:multiLevelType w:val="hybridMultilevel"/>
    <w:lvl w:ilvl="0">
      <w:start w:val="1"/>
      <w:numFmt w:val="decimal"/>
      <w:lvlText w:val="%1."/>
      <w:lvlJc w:val="left"/>
      <w:pPr>
        <w:ind w:left="483" w:hanging="360"/>
        <w:jc w:val="left"/>
      </w:pPr>
      <w:rPr>
        <w:rFonts w:hint="default" w:ascii="Calibri" w:hAnsi="Calibri" w:eastAsia="Calibri" w:cs="Calibri"/>
        <w:b/>
        <w:bCs/>
        <w:i w:val="0"/>
        <w:iCs w:val="0"/>
        <w:spacing w:val="0"/>
        <w:w w:val="99"/>
        <w:sz w:val="22"/>
        <w:szCs w:val="22"/>
        <w:lang w:val="en-US" w:eastAsia="en-US" w:bidi="ar-SA"/>
      </w:rPr>
    </w:lvl>
    <w:lvl w:ilvl="1">
      <w:start w:val="0"/>
      <w:numFmt w:val="bullet"/>
      <w:lvlText w:val="•"/>
      <w:lvlJc w:val="left"/>
      <w:pPr>
        <w:ind w:left="1450" w:hanging="360"/>
      </w:pPr>
      <w:rPr>
        <w:rFonts w:hint="default"/>
        <w:lang w:val="en-US" w:eastAsia="en-US" w:bidi="ar-SA"/>
      </w:rPr>
    </w:lvl>
    <w:lvl w:ilvl="2">
      <w:start w:val="0"/>
      <w:numFmt w:val="bullet"/>
      <w:lvlText w:val="•"/>
      <w:lvlJc w:val="left"/>
      <w:pPr>
        <w:ind w:left="2420" w:hanging="360"/>
      </w:pPr>
      <w:rPr>
        <w:rFonts w:hint="default"/>
        <w:lang w:val="en-US" w:eastAsia="en-US" w:bidi="ar-SA"/>
      </w:rPr>
    </w:lvl>
    <w:lvl w:ilvl="3">
      <w:start w:val="0"/>
      <w:numFmt w:val="bullet"/>
      <w:lvlText w:val="•"/>
      <w:lvlJc w:val="left"/>
      <w:pPr>
        <w:ind w:left="3390" w:hanging="360"/>
      </w:pPr>
      <w:rPr>
        <w:rFonts w:hint="default"/>
        <w:lang w:val="en-US" w:eastAsia="en-US" w:bidi="ar-SA"/>
      </w:rPr>
    </w:lvl>
    <w:lvl w:ilvl="4">
      <w:start w:val="0"/>
      <w:numFmt w:val="bullet"/>
      <w:lvlText w:val="•"/>
      <w:lvlJc w:val="left"/>
      <w:pPr>
        <w:ind w:left="4360" w:hanging="360"/>
      </w:pPr>
      <w:rPr>
        <w:rFonts w:hint="default"/>
        <w:lang w:val="en-US" w:eastAsia="en-US" w:bidi="ar-SA"/>
      </w:rPr>
    </w:lvl>
    <w:lvl w:ilvl="5">
      <w:start w:val="0"/>
      <w:numFmt w:val="bullet"/>
      <w:lvlText w:val="•"/>
      <w:lvlJc w:val="left"/>
      <w:pPr>
        <w:ind w:left="5330" w:hanging="360"/>
      </w:pPr>
      <w:rPr>
        <w:rFonts w:hint="default"/>
        <w:lang w:val="en-US" w:eastAsia="en-US" w:bidi="ar-SA"/>
      </w:rPr>
    </w:lvl>
    <w:lvl w:ilvl="6">
      <w:start w:val="0"/>
      <w:numFmt w:val="bullet"/>
      <w:lvlText w:val="•"/>
      <w:lvlJc w:val="left"/>
      <w:pPr>
        <w:ind w:left="6300" w:hanging="360"/>
      </w:pPr>
      <w:rPr>
        <w:rFonts w:hint="default"/>
        <w:lang w:val="en-US" w:eastAsia="en-US" w:bidi="ar-SA"/>
      </w:rPr>
    </w:lvl>
    <w:lvl w:ilvl="7">
      <w:start w:val="0"/>
      <w:numFmt w:val="bullet"/>
      <w:lvlText w:val="•"/>
      <w:lvlJc w:val="left"/>
      <w:pPr>
        <w:ind w:left="7270" w:hanging="360"/>
      </w:pPr>
      <w:rPr>
        <w:rFonts w:hint="default"/>
        <w:lang w:val="en-US" w:eastAsia="en-US" w:bidi="ar-SA"/>
      </w:rPr>
    </w:lvl>
    <w:lvl w:ilvl="8">
      <w:start w:val="0"/>
      <w:numFmt w:val="bullet"/>
      <w:lvlText w:val="•"/>
      <w:lvlJc w:val="left"/>
      <w:pPr>
        <w:ind w:left="8240" w:hanging="360"/>
      </w:pPr>
      <w:rPr>
        <w:rFonts w:hint="default"/>
        <w:lang w:val="en-US" w:eastAsia="en-US" w:bidi="ar-SA"/>
      </w:rPr>
    </w:lvl>
  </w:abstractNum>
  <w:abstractNum w:abstractNumId="48">
    <w:multiLevelType w:val="hybridMultilevel"/>
    <w:lvl w:ilvl="0">
      <w:start w:val="1"/>
      <w:numFmt w:val="decimal"/>
      <w:lvlText w:val="%1."/>
      <w:lvlJc w:val="left"/>
      <w:pPr>
        <w:ind w:left="483" w:hanging="360"/>
        <w:jc w:val="left"/>
      </w:pPr>
      <w:rPr>
        <w:rFonts w:hint="default" w:ascii="Calibri" w:hAnsi="Calibri" w:eastAsia="Calibri" w:cs="Calibri"/>
        <w:b/>
        <w:bCs/>
        <w:i w:val="0"/>
        <w:iCs w:val="0"/>
        <w:spacing w:val="0"/>
        <w:w w:val="99"/>
        <w:sz w:val="22"/>
        <w:szCs w:val="22"/>
        <w:lang w:val="en-US" w:eastAsia="en-US" w:bidi="ar-SA"/>
      </w:rPr>
    </w:lvl>
    <w:lvl w:ilvl="1">
      <w:start w:val="1"/>
      <w:numFmt w:val="decimal"/>
      <w:lvlText w:val="%2."/>
      <w:lvlJc w:val="left"/>
      <w:pPr>
        <w:ind w:left="1419" w:hanging="361"/>
        <w:jc w:val="left"/>
      </w:pPr>
      <w:rPr>
        <w:rFonts w:hint="default" w:ascii="Calibri" w:hAnsi="Calibri" w:eastAsia="Calibri" w:cs="Calibri"/>
        <w:b w:val="0"/>
        <w:bCs w:val="0"/>
        <w:i w:val="0"/>
        <w:iCs w:val="0"/>
        <w:spacing w:val="0"/>
        <w:w w:val="99"/>
        <w:sz w:val="22"/>
        <w:szCs w:val="22"/>
        <w:lang w:val="en-US" w:eastAsia="en-US" w:bidi="ar-SA"/>
      </w:rPr>
    </w:lvl>
    <w:lvl w:ilvl="2">
      <w:start w:val="0"/>
      <w:numFmt w:val="bullet"/>
      <w:lvlText w:val="•"/>
      <w:lvlJc w:val="left"/>
      <w:pPr>
        <w:ind w:left="2393" w:hanging="361"/>
      </w:pPr>
      <w:rPr>
        <w:rFonts w:hint="default"/>
        <w:lang w:val="en-US" w:eastAsia="en-US" w:bidi="ar-SA"/>
      </w:rPr>
    </w:lvl>
    <w:lvl w:ilvl="3">
      <w:start w:val="0"/>
      <w:numFmt w:val="bullet"/>
      <w:lvlText w:val="•"/>
      <w:lvlJc w:val="left"/>
      <w:pPr>
        <w:ind w:left="3366" w:hanging="361"/>
      </w:pPr>
      <w:rPr>
        <w:rFonts w:hint="default"/>
        <w:lang w:val="en-US" w:eastAsia="en-US" w:bidi="ar-SA"/>
      </w:rPr>
    </w:lvl>
    <w:lvl w:ilvl="4">
      <w:start w:val="0"/>
      <w:numFmt w:val="bullet"/>
      <w:lvlText w:val="•"/>
      <w:lvlJc w:val="left"/>
      <w:pPr>
        <w:ind w:left="4340" w:hanging="361"/>
      </w:pPr>
      <w:rPr>
        <w:rFonts w:hint="default"/>
        <w:lang w:val="en-US" w:eastAsia="en-US" w:bidi="ar-SA"/>
      </w:rPr>
    </w:lvl>
    <w:lvl w:ilvl="5">
      <w:start w:val="0"/>
      <w:numFmt w:val="bullet"/>
      <w:lvlText w:val="•"/>
      <w:lvlJc w:val="left"/>
      <w:pPr>
        <w:ind w:left="5313" w:hanging="361"/>
      </w:pPr>
      <w:rPr>
        <w:rFonts w:hint="default"/>
        <w:lang w:val="en-US" w:eastAsia="en-US" w:bidi="ar-SA"/>
      </w:rPr>
    </w:lvl>
    <w:lvl w:ilvl="6">
      <w:start w:val="0"/>
      <w:numFmt w:val="bullet"/>
      <w:lvlText w:val="•"/>
      <w:lvlJc w:val="left"/>
      <w:pPr>
        <w:ind w:left="6286" w:hanging="361"/>
      </w:pPr>
      <w:rPr>
        <w:rFonts w:hint="default"/>
        <w:lang w:val="en-US" w:eastAsia="en-US" w:bidi="ar-SA"/>
      </w:rPr>
    </w:lvl>
    <w:lvl w:ilvl="7">
      <w:start w:val="0"/>
      <w:numFmt w:val="bullet"/>
      <w:lvlText w:val="•"/>
      <w:lvlJc w:val="left"/>
      <w:pPr>
        <w:ind w:left="7260" w:hanging="361"/>
      </w:pPr>
      <w:rPr>
        <w:rFonts w:hint="default"/>
        <w:lang w:val="en-US" w:eastAsia="en-US" w:bidi="ar-SA"/>
      </w:rPr>
    </w:lvl>
    <w:lvl w:ilvl="8">
      <w:start w:val="0"/>
      <w:numFmt w:val="bullet"/>
      <w:lvlText w:val="•"/>
      <w:lvlJc w:val="left"/>
      <w:pPr>
        <w:ind w:left="8233" w:hanging="361"/>
      </w:pPr>
      <w:rPr>
        <w:rFonts w:hint="default"/>
        <w:lang w:val="en-US" w:eastAsia="en-US" w:bidi="ar-SA"/>
      </w:rPr>
    </w:lvl>
  </w:abstractNum>
  <w:abstractNum w:abstractNumId="47">
    <w:multiLevelType w:val="hybridMultilevel"/>
    <w:lvl w:ilvl="0">
      <w:start w:val="1"/>
      <w:numFmt w:val="decimal"/>
      <w:lvlText w:val="%1."/>
      <w:lvlJc w:val="left"/>
      <w:pPr>
        <w:ind w:left="483" w:hanging="360"/>
        <w:jc w:val="left"/>
      </w:pPr>
      <w:rPr>
        <w:rFonts w:hint="default" w:ascii="Calibri" w:hAnsi="Calibri" w:eastAsia="Calibri" w:cs="Calibri"/>
        <w:b/>
        <w:bCs/>
        <w:i w:val="0"/>
        <w:iCs w:val="0"/>
        <w:spacing w:val="0"/>
        <w:w w:val="99"/>
        <w:sz w:val="22"/>
        <w:szCs w:val="22"/>
        <w:lang w:val="en-US" w:eastAsia="en-US" w:bidi="ar-SA"/>
      </w:rPr>
    </w:lvl>
    <w:lvl w:ilvl="1">
      <w:start w:val="1"/>
      <w:numFmt w:val="decimal"/>
      <w:lvlText w:val="%2."/>
      <w:lvlJc w:val="left"/>
      <w:pPr>
        <w:ind w:left="1059" w:hanging="360"/>
        <w:jc w:val="left"/>
      </w:pPr>
      <w:rPr>
        <w:rFonts w:hint="default" w:ascii="Calibri" w:hAnsi="Calibri" w:eastAsia="Calibri" w:cs="Calibri"/>
        <w:b w:val="0"/>
        <w:bCs w:val="0"/>
        <w:i w:val="0"/>
        <w:iCs w:val="0"/>
        <w:spacing w:val="0"/>
        <w:w w:val="100"/>
        <w:sz w:val="21"/>
        <w:szCs w:val="21"/>
        <w:lang w:val="en-US" w:eastAsia="en-US" w:bidi="ar-SA"/>
      </w:rPr>
    </w:lvl>
    <w:lvl w:ilvl="2">
      <w:start w:val="0"/>
      <w:numFmt w:val="bullet"/>
      <w:lvlText w:val="•"/>
      <w:lvlJc w:val="left"/>
      <w:pPr>
        <w:ind w:left="2073" w:hanging="360"/>
      </w:pPr>
      <w:rPr>
        <w:rFonts w:hint="default"/>
        <w:lang w:val="en-US" w:eastAsia="en-US" w:bidi="ar-SA"/>
      </w:rPr>
    </w:lvl>
    <w:lvl w:ilvl="3">
      <w:start w:val="0"/>
      <w:numFmt w:val="bullet"/>
      <w:lvlText w:val="•"/>
      <w:lvlJc w:val="left"/>
      <w:pPr>
        <w:ind w:left="3086" w:hanging="360"/>
      </w:pPr>
      <w:rPr>
        <w:rFonts w:hint="default"/>
        <w:lang w:val="en-US" w:eastAsia="en-US" w:bidi="ar-SA"/>
      </w:rPr>
    </w:lvl>
    <w:lvl w:ilvl="4">
      <w:start w:val="0"/>
      <w:numFmt w:val="bullet"/>
      <w:lvlText w:val="•"/>
      <w:lvlJc w:val="left"/>
      <w:pPr>
        <w:ind w:left="4100" w:hanging="360"/>
      </w:pPr>
      <w:rPr>
        <w:rFonts w:hint="default"/>
        <w:lang w:val="en-US" w:eastAsia="en-US" w:bidi="ar-SA"/>
      </w:rPr>
    </w:lvl>
    <w:lvl w:ilvl="5">
      <w:start w:val="0"/>
      <w:numFmt w:val="bullet"/>
      <w:lvlText w:val="•"/>
      <w:lvlJc w:val="left"/>
      <w:pPr>
        <w:ind w:left="5113" w:hanging="360"/>
      </w:pPr>
      <w:rPr>
        <w:rFonts w:hint="default"/>
        <w:lang w:val="en-US" w:eastAsia="en-US" w:bidi="ar-SA"/>
      </w:rPr>
    </w:lvl>
    <w:lvl w:ilvl="6">
      <w:start w:val="0"/>
      <w:numFmt w:val="bullet"/>
      <w:lvlText w:val="•"/>
      <w:lvlJc w:val="left"/>
      <w:pPr>
        <w:ind w:left="6126" w:hanging="360"/>
      </w:pPr>
      <w:rPr>
        <w:rFonts w:hint="default"/>
        <w:lang w:val="en-US" w:eastAsia="en-US" w:bidi="ar-SA"/>
      </w:rPr>
    </w:lvl>
    <w:lvl w:ilvl="7">
      <w:start w:val="0"/>
      <w:numFmt w:val="bullet"/>
      <w:lvlText w:val="•"/>
      <w:lvlJc w:val="left"/>
      <w:pPr>
        <w:ind w:left="7140" w:hanging="360"/>
      </w:pPr>
      <w:rPr>
        <w:rFonts w:hint="default"/>
        <w:lang w:val="en-US" w:eastAsia="en-US" w:bidi="ar-SA"/>
      </w:rPr>
    </w:lvl>
    <w:lvl w:ilvl="8">
      <w:start w:val="0"/>
      <w:numFmt w:val="bullet"/>
      <w:lvlText w:val="•"/>
      <w:lvlJc w:val="left"/>
      <w:pPr>
        <w:ind w:left="8153" w:hanging="360"/>
      </w:pPr>
      <w:rPr>
        <w:rFonts w:hint="default"/>
        <w:lang w:val="en-US" w:eastAsia="en-US" w:bidi="ar-SA"/>
      </w:rPr>
    </w:lvl>
  </w:abstractNum>
  <w:abstractNum w:abstractNumId="46">
    <w:multiLevelType w:val="hybridMultilevel"/>
    <w:lvl w:ilvl="0">
      <w:start w:val="1"/>
      <w:numFmt w:val="decimal"/>
      <w:lvlText w:val="%1."/>
      <w:lvlJc w:val="left"/>
      <w:pPr>
        <w:ind w:left="483" w:hanging="360"/>
        <w:jc w:val="left"/>
      </w:pPr>
      <w:rPr>
        <w:rFonts w:hint="default" w:ascii="Calibri" w:hAnsi="Calibri" w:eastAsia="Calibri" w:cs="Calibri"/>
        <w:b/>
        <w:bCs/>
        <w:i w:val="0"/>
        <w:iCs w:val="0"/>
        <w:spacing w:val="0"/>
        <w:w w:val="99"/>
        <w:sz w:val="22"/>
        <w:szCs w:val="22"/>
        <w:lang w:val="en-US" w:eastAsia="en-US" w:bidi="ar-SA"/>
      </w:rPr>
    </w:lvl>
    <w:lvl w:ilvl="1">
      <w:start w:val="1"/>
      <w:numFmt w:val="decimal"/>
      <w:lvlText w:val="%2."/>
      <w:lvlJc w:val="left"/>
      <w:pPr>
        <w:ind w:left="1059" w:hanging="360"/>
        <w:jc w:val="left"/>
      </w:pPr>
      <w:rPr>
        <w:rFonts w:hint="default" w:ascii="Calibri" w:hAnsi="Calibri" w:eastAsia="Calibri" w:cs="Calibri"/>
        <w:b w:val="0"/>
        <w:bCs w:val="0"/>
        <w:i w:val="0"/>
        <w:iCs w:val="0"/>
        <w:spacing w:val="0"/>
        <w:w w:val="100"/>
        <w:sz w:val="21"/>
        <w:szCs w:val="21"/>
        <w:lang w:val="en-US" w:eastAsia="en-US" w:bidi="ar-SA"/>
      </w:rPr>
    </w:lvl>
    <w:lvl w:ilvl="2">
      <w:start w:val="0"/>
      <w:numFmt w:val="bullet"/>
      <w:lvlText w:val="•"/>
      <w:lvlJc w:val="left"/>
      <w:pPr>
        <w:ind w:left="2073" w:hanging="360"/>
      </w:pPr>
      <w:rPr>
        <w:rFonts w:hint="default"/>
        <w:lang w:val="en-US" w:eastAsia="en-US" w:bidi="ar-SA"/>
      </w:rPr>
    </w:lvl>
    <w:lvl w:ilvl="3">
      <w:start w:val="0"/>
      <w:numFmt w:val="bullet"/>
      <w:lvlText w:val="•"/>
      <w:lvlJc w:val="left"/>
      <w:pPr>
        <w:ind w:left="3086" w:hanging="360"/>
      </w:pPr>
      <w:rPr>
        <w:rFonts w:hint="default"/>
        <w:lang w:val="en-US" w:eastAsia="en-US" w:bidi="ar-SA"/>
      </w:rPr>
    </w:lvl>
    <w:lvl w:ilvl="4">
      <w:start w:val="0"/>
      <w:numFmt w:val="bullet"/>
      <w:lvlText w:val="•"/>
      <w:lvlJc w:val="left"/>
      <w:pPr>
        <w:ind w:left="4100" w:hanging="360"/>
      </w:pPr>
      <w:rPr>
        <w:rFonts w:hint="default"/>
        <w:lang w:val="en-US" w:eastAsia="en-US" w:bidi="ar-SA"/>
      </w:rPr>
    </w:lvl>
    <w:lvl w:ilvl="5">
      <w:start w:val="0"/>
      <w:numFmt w:val="bullet"/>
      <w:lvlText w:val="•"/>
      <w:lvlJc w:val="left"/>
      <w:pPr>
        <w:ind w:left="5113" w:hanging="360"/>
      </w:pPr>
      <w:rPr>
        <w:rFonts w:hint="default"/>
        <w:lang w:val="en-US" w:eastAsia="en-US" w:bidi="ar-SA"/>
      </w:rPr>
    </w:lvl>
    <w:lvl w:ilvl="6">
      <w:start w:val="0"/>
      <w:numFmt w:val="bullet"/>
      <w:lvlText w:val="•"/>
      <w:lvlJc w:val="left"/>
      <w:pPr>
        <w:ind w:left="6126" w:hanging="360"/>
      </w:pPr>
      <w:rPr>
        <w:rFonts w:hint="default"/>
        <w:lang w:val="en-US" w:eastAsia="en-US" w:bidi="ar-SA"/>
      </w:rPr>
    </w:lvl>
    <w:lvl w:ilvl="7">
      <w:start w:val="0"/>
      <w:numFmt w:val="bullet"/>
      <w:lvlText w:val="•"/>
      <w:lvlJc w:val="left"/>
      <w:pPr>
        <w:ind w:left="7140" w:hanging="360"/>
      </w:pPr>
      <w:rPr>
        <w:rFonts w:hint="default"/>
        <w:lang w:val="en-US" w:eastAsia="en-US" w:bidi="ar-SA"/>
      </w:rPr>
    </w:lvl>
    <w:lvl w:ilvl="8">
      <w:start w:val="0"/>
      <w:numFmt w:val="bullet"/>
      <w:lvlText w:val="•"/>
      <w:lvlJc w:val="left"/>
      <w:pPr>
        <w:ind w:left="8153" w:hanging="360"/>
      </w:pPr>
      <w:rPr>
        <w:rFonts w:hint="default"/>
        <w:lang w:val="en-US" w:eastAsia="en-US" w:bidi="ar-SA"/>
      </w:rPr>
    </w:lvl>
  </w:abstractNum>
  <w:abstractNum w:abstractNumId="45">
    <w:multiLevelType w:val="hybridMultilevel"/>
    <w:lvl w:ilvl="0">
      <w:start w:val="1"/>
      <w:numFmt w:val="decimal"/>
      <w:lvlText w:val="%1."/>
      <w:lvlJc w:val="left"/>
      <w:pPr>
        <w:ind w:left="483" w:hanging="360"/>
        <w:jc w:val="left"/>
      </w:pPr>
      <w:rPr>
        <w:rFonts w:hint="default" w:ascii="Calibri" w:hAnsi="Calibri" w:eastAsia="Calibri" w:cs="Calibri"/>
        <w:b/>
        <w:bCs/>
        <w:i w:val="0"/>
        <w:iCs w:val="0"/>
        <w:spacing w:val="0"/>
        <w:w w:val="99"/>
        <w:sz w:val="22"/>
        <w:szCs w:val="22"/>
        <w:lang w:val="en-US" w:eastAsia="en-US" w:bidi="ar-SA"/>
      </w:rPr>
    </w:lvl>
    <w:lvl w:ilvl="1">
      <w:start w:val="1"/>
      <w:numFmt w:val="decimal"/>
      <w:lvlText w:val="%2."/>
      <w:lvlJc w:val="left"/>
      <w:pPr>
        <w:ind w:left="1059" w:hanging="360"/>
        <w:jc w:val="left"/>
      </w:pPr>
      <w:rPr>
        <w:rFonts w:hint="default" w:ascii="Calibri" w:hAnsi="Calibri" w:eastAsia="Calibri" w:cs="Calibri"/>
        <w:b w:val="0"/>
        <w:bCs w:val="0"/>
        <w:i w:val="0"/>
        <w:iCs w:val="0"/>
        <w:spacing w:val="0"/>
        <w:w w:val="100"/>
        <w:sz w:val="21"/>
        <w:szCs w:val="21"/>
        <w:lang w:val="en-US" w:eastAsia="en-US" w:bidi="ar-SA"/>
      </w:rPr>
    </w:lvl>
    <w:lvl w:ilvl="2">
      <w:start w:val="0"/>
      <w:numFmt w:val="bullet"/>
      <w:lvlText w:val="•"/>
      <w:lvlJc w:val="left"/>
      <w:pPr>
        <w:ind w:left="2073" w:hanging="360"/>
      </w:pPr>
      <w:rPr>
        <w:rFonts w:hint="default"/>
        <w:lang w:val="en-US" w:eastAsia="en-US" w:bidi="ar-SA"/>
      </w:rPr>
    </w:lvl>
    <w:lvl w:ilvl="3">
      <w:start w:val="0"/>
      <w:numFmt w:val="bullet"/>
      <w:lvlText w:val="•"/>
      <w:lvlJc w:val="left"/>
      <w:pPr>
        <w:ind w:left="3086" w:hanging="360"/>
      </w:pPr>
      <w:rPr>
        <w:rFonts w:hint="default"/>
        <w:lang w:val="en-US" w:eastAsia="en-US" w:bidi="ar-SA"/>
      </w:rPr>
    </w:lvl>
    <w:lvl w:ilvl="4">
      <w:start w:val="0"/>
      <w:numFmt w:val="bullet"/>
      <w:lvlText w:val="•"/>
      <w:lvlJc w:val="left"/>
      <w:pPr>
        <w:ind w:left="4100" w:hanging="360"/>
      </w:pPr>
      <w:rPr>
        <w:rFonts w:hint="default"/>
        <w:lang w:val="en-US" w:eastAsia="en-US" w:bidi="ar-SA"/>
      </w:rPr>
    </w:lvl>
    <w:lvl w:ilvl="5">
      <w:start w:val="0"/>
      <w:numFmt w:val="bullet"/>
      <w:lvlText w:val="•"/>
      <w:lvlJc w:val="left"/>
      <w:pPr>
        <w:ind w:left="5113" w:hanging="360"/>
      </w:pPr>
      <w:rPr>
        <w:rFonts w:hint="default"/>
        <w:lang w:val="en-US" w:eastAsia="en-US" w:bidi="ar-SA"/>
      </w:rPr>
    </w:lvl>
    <w:lvl w:ilvl="6">
      <w:start w:val="0"/>
      <w:numFmt w:val="bullet"/>
      <w:lvlText w:val="•"/>
      <w:lvlJc w:val="left"/>
      <w:pPr>
        <w:ind w:left="6126" w:hanging="360"/>
      </w:pPr>
      <w:rPr>
        <w:rFonts w:hint="default"/>
        <w:lang w:val="en-US" w:eastAsia="en-US" w:bidi="ar-SA"/>
      </w:rPr>
    </w:lvl>
    <w:lvl w:ilvl="7">
      <w:start w:val="0"/>
      <w:numFmt w:val="bullet"/>
      <w:lvlText w:val="•"/>
      <w:lvlJc w:val="left"/>
      <w:pPr>
        <w:ind w:left="7140" w:hanging="360"/>
      </w:pPr>
      <w:rPr>
        <w:rFonts w:hint="default"/>
        <w:lang w:val="en-US" w:eastAsia="en-US" w:bidi="ar-SA"/>
      </w:rPr>
    </w:lvl>
    <w:lvl w:ilvl="8">
      <w:start w:val="0"/>
      <w:numFmt w:val="bullet"/>
      <w:lvlText w:val="•"/>
      <w:lvlJc w:val="left"/>
      <w:pPr>
        <w:ind w:left="8153" w:hanging="360"/>
      </w:pPr>
      <w:rPr>
        <w:rFonts w:hint="default"/>
        <w:lang w:val="en-US" w:eastAsia="en-US" w:bidi="ar-SA"/>
      </w:rPr>
    </w:lvl>
  </w:abstractNum>
  <w:abstractNum w:abstractNumId="44">
    <w:multiLevelType w:val="hybridMultilevel"/>
    <w:lvl w:ilvl="0">
      <w:start w:val="1"/>
      <w:numFmt w:val="decimal"/>
      <w:lvlText w:val="%1."/>
      <w:lvlJc w:val="left"/>
      <w:pPr>
        <w:ind w:left="1199" w:hanging="360"/>
        <w:jc w:val="left"/>
      </w:pPr>
      <w:rPr>
        <w:rFonts w:hint="default" w:ascii="Calibri" w:hAnsi="Calibri" w:eastAsia="Calibri" w:cs="Calibri"/>
        <w:b/>
        <w:bCs/>
        <w:i w:val="0"/>
        <w:iCs w:val="0"/>
        <w:spacing w:val="0"/>
        <w:w w:val="99"/>
        <w:sz w:val="22"/>
        <w:szCs w:val="22"/>
        <w:lang w:val="en-US" w:eastAsia="en-US" w:bidi="ar-SA"/>
      </w:rPr>
    </w:lvl>
    <w:lvl w:ilvl="1">
      <w:start w:val="1"/>
      <w:numFmt w:val="decimal"/>
      <w:lvlText w:val="%2."/>
      <w:lvlJc w:val="left"/>
      <w:pPr>
        <w:ind w:left="1419" w:hanging="360"/>
        <w:jc w:val="left"/>
      </w:pPr>
      <w:rPr>
        <w:rFonts w:hint="default" w:ascii="Calibri" w:hAnsi="Calibri" w:eastAsia="Calibri" w:cs="Calibri"/>
        <w:b w:val="0"/>
        <w:bCs w:val="0"/>
        <w:i w:val="0"/>
        <w:iCs w:val="0"/>
        <w:spacing w:val="0"/>
        <w:w w:val="100"/>
        <w:sz w:val="21"/>
        <w:szCs w:val="21"/>
        <w:lang w:val="en-US" w:eastAsia="en-US" w:bidi="ar-SA"/>
      </w:rPr>
    </w:lvl>
    <w:lvl w:ilvl="2">
      <w:start w:val="0"/>
      <w:numFmt w:val="bullet"/>
      <w:lvlText w:val="•"/>
      <w:lvlJc w:val="left"/>
      <w:pPr>
        <w:ind w:left="2393" w:hanging="360"/>
      </w:pPr>
      <w:rPr>
        <w:rFonts w:hint="default"/>
        <w:lang w:val="en-US" w:eastAsia="en-US" w:bidi="ar-SA"/>
      </w:rPr>
    </w:lvl>
    <w:lvl w:ilvl="3">
      <w:start w:val="0"/>
      <w:numFmt w:val="bullet"/>
      <w:lvlText w:val="•"/>
      <w:lvlJc w:val="left"/>
      <w:pPr>
        <w:ind w:left="3366" w:hanging="360"/>
      </w:pPr>
      <w:rPr>
        <w:rFonts w:hint="default"/>
        <w:lang w:val="en-US" w:eastAsia="en-US" w:bidi="ar-SA"/>
      </w:rPr>
    </w:lvl>
    <w:lvl w:ilvl="4">
      <w:start w:val="0"/>
      <w:numFmt w:val="bullet"/>
      <w:lvlText w:val="•"/>
      <w:lvlJc w:val="left"/>
      <w:pPr>
        <w:ind w:left="4340" w:hanging="360"/>
      </w:pPr>
      <w:rPr>
        <w:rFonts w:hint="default"/>
        <w:lang w:val="en-US" w:eastAsia="en-US" w:bidi="ar-SA"/>
      </w:rPr>
    </w:lvl>
    <w:lvl w:ilvl="5">
      <w:start w:val="0"/>
      <w:numFmt w:val="bullet"/>
      <w:lvlText w:val="•"/>
      <w:lvlJc w:val="left"/>
      <w:pPr>
        <w:ind w:left="5313" w:hanging="360"/>
      </w:pPr>
      <w:rPr>
        <w:rFonts w:hint="default"/>
        <w:lang w:val="en-US" w:eastAsia="en-US" w:bidi="ar-SA"/>
      </w:rPr>
    </w:lvl>
    <w:lvl w:ilvl="6">
      <w:start w:val="0"/>
      <w:numFmt w:val="bullet"/>
      <w:lvlText w:val="•"/>
      <w:lvlJc w:val="left"/>
      <w:pPr>
        <w:ind w:left="6286" w:hanging="360"/>
      </w:pPr>
      <w:rPr>
        <w:rFonts w:hint="default"/>
        <w:lang w:val="en-US" w:eastAsia="en-US" w:bidi="ar-SA"/>
      </w:rPr>
    </w:lvl>
    <w:lvl w:ilvl="7">
      <w:start w:val="0"/>
      <w:numFmt w:val="bullet"/>
      <w:lvlText w:val="•"/>
      <w:lvlJc w:val="left"/>
      <w:pPr>
        <w:ind w:left="7260" w:hanging="360"/>
      </w:pPr>
      <w:rPr>
        <w:rFonts w:hint="default"/>
        <w:lang w:val="en-US" w:eastAsia="en-US" w:bidi="ar-SA"/>
      </w:rPr>
    </w:lvl>
    <w:lvl w:ilvl="8">
      <w:start w:val="0"/>
      <w:numFmt w:val="bullet"/>
      <w:lvlText w:val="•"/>
      <w:lvlJc w:val="left"/>
      <w:pPr>
        <w:ind w:left="8233" w:hanging="360"/>
      </w:pPr>
      <w:rPr>
        <w:rFonts w:hint="default"/>
        <w:lang w:val="en-US" w:eastAsia="en-US" w:bidi="ar-SA"/>
      </w:rPr>
    </w:lvl>
  </w:abstractNum>
  <w:abstractNum w:abstractNumId="43">
    <w:multiLevelType w:val="hybridMultilevel"/>
    <w:lvl w:ilvl="0">
      <w:start w:val="1"/>
      <w:numFmt w:val="decimal"/>
      <w:lvlText w:val="%1."/>
      <w:lvlJc w:val="left"/>
      <w:pPr>
        <w:ind w:left="483" w:hanging="360"/>
        <w:jc w:val="left"/>
      </w:pPr>
      <w:rPr>
        <w:rFonts w:hint="default" w:ascii="Calibri" w:hAnsi="Calibri" w:eastAsia="Calibri" w:cs="Calibri"/>
        <w:b/>
        <w:bCs/>
        <w:i w:val="0"/>
        <w:iCs w:val="0"/>
        <w:spacing w:val="0"/>
        <w:w w:val="99"/>
        <w:sz w:val="22"/>
        <w:szCs w:val="22"/>
        <w:lang w:val="en-US" w:eastAsia="en-US" w:bidi="ar-SA"/>
      </w:rPr>
    </w:lvl>
    <w:lvl w:ilvl="1">
      <w:start w:val="1"/>
      <w:numFmt w:val="decimal"/>
      <w:lvlText w:val="%2."/>
      <w:lvlJc w:val="left"/>
      <w:pPr>
        <w:ind w:left="1200" w:hanging="358"/>
        <w:jc w:val="left"/>
      </w:pPr>
      <w:rPr>
        <w:rFonts w:hint="default" w:ascii="Calibri" w:hAnsi="Calibri" w:eastAsia="Calibri" w:cs="Calibri"/>
        <w:b w:val="0"/>
        <w:bCs w:val="0"/>
        <w:i w:val="0"/>
        <w:iCs w:val="0"/>
        <w:spacing w:val="0"/>
        <w:w w:val="99"/>
        <w:sz w:val="22"/>
        <w:szCs w:val="22"/>
        <w:lang w:val="en-US" w:eastAsia="en-US" w:bidi="ar-SA"/>
      </w:rPr>
    </w:lvl>
    <w:lvl w:ilvl="2">
      <w:start w:val="0"/>
      <w:numFmt w:val="bullet"/>
      <w:lvlText w:val="•"/>
      <w:lvlJc w:val="left"/>
      <w:pPr>
        <w:ind w:left="2197" w:hanging="358"/>
      </w:pPr>
      <w:rPr>
        <w:rFonts w:hint="default"/>
        <w:lang w:val="en-US" w:eastAsia="en-US" w:bidi="ar-SA"/>
      </w:rPr>
    </w:lvl>
    <w:lvl w:ilvl="3">
      <w:start w:val="0"/>
      <w:numFmt w:val="bullet"/>
      <w:lvlText w:val="•"/>
      <w:lvlJc w:val="left"/>
      <w:pPr>
        <w:ind w:left="3195" w:hanging="358"/>
      </w:pPr>
      <w:rPr>
        <w:rFonts w:hint="default"/>
        <w:lang w:val="en-US" w:eastAsia="en-US" w:bidi="ar-SA"/>
      </w:rPr>
    </w:lvl>
    <w:lvl w:ilvl="4">
      <w:start w:val="0"/>
      <w:numFmt w:val="bullet"/>
      <w:lvlText w:val="•"/>
      <w:lvlJc w:val="left"/>
      <w:pPr>
        <w:ind w:left="4193" w:hanging="358"/>
      </w:pPr>
      <w:rPr>
        <w:rFonts w:hint="default"/>
        <w:lang w:val="en-US" w:eastAsia="en-US" w:bidi="ar-SA"/>
      </w:rPr>
    </w:lvl>
    <w:lvl w:ilvl="5">
      <w:start w:val="0"/>
      <w:numFmt w:val="bullet"/>
      <w:lvlText w:val="•"/>
      <w:lvlJc w:val="left"/>
      <w:pPr>
        <w:ind w:left="5191" w:hanging="358"/>
      </w:pPr>
      <w:rPr>
        <w:rFonts w:hint="default"/>
        <w:lang w:val="en-US" w:eastAsia="en-US" w:bidi="ar-SA"/>
      </w:rPr>
    </w:lvl>
    <w:lvl w:ilvl="6">
      <w:start w:val="0"/>
      <w:numFmt w:val="bullet"/>
      <w:lvlText w:val="•"/>
      <w:lvlJc w:val="left"/>
      <w:pPr>
        <w:ind w:left="6188" w:hanging="358"/>
      </w:pPr>
      <w:rPr>
        <w:rFonts w:hint="default"/>
        <w:lang w:val="en-US" w:eastAsia="en-US" w:bidi="ar-SA"/>
      </w:rPr>
    </w:lvl>
    <w:lvl w:ilvl="7">
      <w:start w:val="0"/>
      <w:numFmt w:val="bullet"/>
      <w:lvlText w:val="•"/>
      <w:lvlJc w:val="left"/>
      <w:pPr>
        <w:ind w:left="7186" w:hanging="358"/>
      </w:pPr>
      <w:rPr>
        <w:rFonts w:hint="default"/>
        <w:lang w:val="en-US" w:eastAsia="en-US" w:bidi="ar-SA"/>
      </w:rPr>
    </w:lvl>
    <w:lvl w:ilvl="8">
      <w:start w:val="0"/>
      <w:numFmt w:val="bullet"/>
      <w:lvlText w:val="•"/>
      <w:lvlJc w:val="left"/>
      <w:pPr>
        <w:ind w:left="8184" w:hanging="358"/>
      </w:pPr>
      <w:rPr>
        <w:rFonts w:hint="default"/>
        <w:lang w:val="en-US" w:eastAsia="en-US" w:bidi="ar-SA"/>
      </w:rPr>
    </w:lvl>
  </w:abstractNum>
  <w:abstractNum w:abstractNumId="42">
    <w:multiLevelType w:val="hybridMultilevel"/>
    <w:lvl w:ilvl="0">
      <w:start w:val="1"/>
      <w:numFmt w:val="decimal"/>
      <w:lvlText w:val="%1."/>
      <w:lvlJc w:val="left"/>
      <w:pPr>
        <w:ind w:left="483" w:hanging="360"/>
        <w:jc w:val="left"/>
      </w:pPr>
      <w:rPr>
        <w:rFonts w:hint="default" w:ascii="Calibri" w:hAnsi="Calibri" w:eastAsia="Calibri" w:cs="Calibri"/>
        <w:b/>
        <w:bCs/>
        <w:i w:val="0"/>
        <w:iCs w:val="0"/>
        <w:spacing w:val="0"/>
        <w:w w:val="99"/>
        <w:sz w:val="22"/>
        <w:szCs w:val="22"/>
        <w:lang w:val="en-US" w:eastAsia="en-US" w:bidi="ar-SA"/>
      </w:rPr>
    </w:lvl>
    <w:lvl w:ilvl="1">
      <w:start w:val="1"/>
      <w:numFmt w:val="decimal"/>
      <w:lvlText w:val="%2."/>
      <w:lvlJc w:val="left"/>
      <w:pPr>
        <w:ind w:left="843" w:hanging="361"/>
        <w:jc w:val="left"/>
      </w:pPr>
      <w:rPr>
        <w:rFonts w:hint="default" w:ascii="Calibri" w:hAnsi="Calibri" w:eastAsia="Calibri" w:cs="Calibri"/>
        <w:b w:val="0"/>
        <w:bCs w:val="0"/>
        <w:i w:val="0"/>
        <w:iCs w:val="0"/>
        <w:spacing w:val="0"/>
        <w:w w:val="99"/>
        <w:sz w:val="22"/>
        <w:szCs w:val="22"/>
        <w:lang w:val="en-US" w:eastAsia="en-US" w:bidi="ar-SA"/>
      </w:rPr>
    </w:lvl>
    <w:lvl w:ilvl="2">
      <w:start w:val="1"/>
      <w:numFmt w:val="decimal"/>
      <w:lvlText w:val="%3."/>
      <w:lvlJc w:val="left"/>
      <w:pPr>
        <w:ind w:left="983" w:hanging="360"/>
        <w:jc w:val="left"/>
      </w:pPr>
      <w:rPr>
        <w:rFonts w:hint="default" w:ascii="Calibri" w:hAnsi="Calibri" w:eastAsia="Calibri" w:cs="Calibri"/>
        <w:b/>
        <w:bCs/>
        <w:i w:val="0"/>
        <w:iCs w:val="0"/>
        <w:spacing w:val="0"/>
        <w:w w:val="99"/>
        <w:sz w:val="22"/>
        <w:szCs w:val="22"/>
        <w:lang w:val="en-US" w:eastAsia="en-US" w:bidi="ar-SA"/>
      </w:rPr>
    </w:lvl>
    <w:lvl w:ilvl="3">
      <w:start w:val="1"/>
      <w:numFmt w:val="decimal"/>
      <w:lvlText w:val="%4."/>
      <w:lvlJc w:val="left"/>
      <w:pPr>
        <w:ind w:left="1419" w:hanging="360"/>
        <w:jc w:val="left"/>
      </w:pPr>
      <w:rPr>
        <w:rFonts w:hint="default" w:ascii="Calibri" w:hAnsi="Calibri" w:eastAsia="Calibri" w:cs="Calibri"/>
        <w:b w:val="0"/>
        <w:bCs w:val="0"/>
        <w:i w:val="0"/>
        <w:iCs w:val="0"/>
        <w:spacing w:val="0"/>
        <w:w w:val="100"/>
        <w:sz w:val="21"/>
        <w:szCs w:val="21"/>
        <w:lang w:val="en-US" w:eastAsia="en-US" w:bidi="ar-SA"/>
      </w:rPr>
    </w:lvl>
    <w:lvl w:ilvl="4">
      <w:start w:val="0"/>
      <w:numFmt w:val="bullet"/>
      <w:lvlText w:val=""/>
      <w:lvlJc w:val="left"/>
      <w:pPr>
        <w:ind w:left="1419" w:hanging="360"/>
      </w:pPr>
      <w:rPr>
        <w:rFonts w:hint="default" w:ascii="Symbol" w:hAnsi="Symbol" w:eastAsia="Symbol" w:cs="Symbol"/>
        <w:b w:val="0"/>
        <w:bCs w:val="0"/>
        <w:i w:val="0"/>
        <w:iCs w:val="0"/>
        <w:spacing w:val="0"/>
        <w:w w:val="100"/>
        <w:sz w:val="21"/>
        <w:szCs w:val="21"/>
        <w:lang w:val="en-US" w:eastAsia="en-US" w:bidi="ar-SA"/>
      </w:rPr>
    </w:lvl>
    <w:lvl w:ilvl="5">
      <w:start w:val="0"/>
      <w:numFmt w:val="bullet"/>
      <w:lvlText w:val="•"/>
      <w:lvlJc w:val="left"/>
      <w:pPr>
        <w:ind w:left="3922" w:hanging="360"/>
      </w:pPr>
      <w:rPr>
        <w:rFonts w:hint="default"/>
        <w:lang w:val="en-US" w:eastAsia="en-US" w:bidi="ar-SA"/>
      </w:rPr>
    </w:lvl>
    <w:lvl w:ilvl="6">
      <w:start w:val="0"/>
      <w:numFmt w:val="bullet"/>
      <w:lvlText w:val="•"/>
      <w:lvlJc w:val="left"/>
      <w:pPr>
        <w:ind w:left="5174" w:hanging="360"/>
      </w:pPr>
      <w:rPr>
        <w:rFonts w:hint="default"/>
        <w:lang w:val="en-US" w:eastAsia="en-US" w:bidi="ar-SA"/>
      </w:rPr>
    </w:lvl>
    <w:lvl w:ilvl="7">
      <w:start w:val="0"/>
      <w:numFmt w:val="bullet"/>
      <w:lvlText w:val="•"/>
      <w:lvlJc w:val="left"/>
      <w:pPr>
        <w:ind w:left="6425" w:hanging="360"/>
      </w:pPr>
      <w:rPr>
        <w:rFonts w:hint="default"/>
        <w:lang w:val="en-US" w:eastAsia="en-US" w:bidi="ar-SA"/>
      </w:rPr>
    </w:lvl>
    <w:lvl w:ilvl="8">
      <w:start w:val="0"/>
      <w:numFmt w:val="bullet"/>
      <w:lvlText w:val="•"/>
      <w:lvlJc w:val="left"/>
      <w:pPr>
        <w:ind w:left="7677" w:hanging="360"/>
      </w:pPr>
      <w:rPr>
        <w:rFonts w:hint="default"/>
        <w:lang w:val="en-US" w:eastAsia="en-US" w:bidi="ar-SA"/>
      </w:rPr>
    </w:lvl>
  </w:abstractNum>
  <w:abstractNum w:abstractNumId="41">
    <w:multiLevelType w:val="hybridMultilevel"/>
    <w:lvl w:ilvl="0">
      <w:start w:val="1"/>
      <w:numFmt w:val="decimal"/>
      <w:lvlText w:val="%1."/>
      <w:lvlJc w:val="left"/>
      <w:pPr>
        <w:ind w:left="483" w:hanging="360"/>
        <w:jc w:val="left"/>
      </w:pPr>
      <w:rPr>
        <w:rFonts w:hint="default" w:ascii="Calibri" w:hAnsi="Calibri" w:eastAsia="Calibri" w:cs="Calibri"/>
        <w:b/>
        <w:bCs/>
        <w:i w:val="0"/>
        <w:iCs w:val="0"/>
        <w:spacing w:val="0"/>
        <w:w w:val="99"/>
        <w:sz w:val="22"/>
        <w:szCs w:val="22"/>
        <w:lang w:val="en-US" w:eastAsia="en-US" w:bidi="ar-SA"/>
      </w:rPr>
    </w:lvl>
    <w:lvl w:ilvl="1">
      <w:start w:val="1"/>
      <w:numFmt w:val="decimal"/>
      <w:lvlText w:val="%2."/>
      <w:lvlJc w:val="left"/>
      <w:pPr>
        <w:ind w:left="1203" w:hanging="361"/>
        <w:jc w:val="left"/>
      </w:pPr>
      <w:rPr>
        <w:rFonts w:hint="default" w:ascii="Calibri" w:hAnsi="Calibri" w:eastAsia="Calibri" w:cs="Calibri"/>
        <w:b w:val="0"/>
        <w:bCs w:val="0"/>
        <w:i w:val="0"/>
        <w:iCs w:val="0"/>
        <w:spacing w:val="0"/>
        <w:w w:val="99"/>
        <w:sz w:val="22"/>
        <w:szCs w:val="22"/>
        <w:lang w:val="en-US" w:eastAsia="en-US" w:bidi="ar-SA"/>
      </w:rPr>
    </w:lvl>
    <w:lvl w:ilvl="2">
      <w:start w:val="0"/>
      <w:numFmt w:val="bullet"/>
      <w:lvlText w:val="•"/>
      <w:lvlJc w:val="left"/>
      <w:pPr>
        <w:ind w:left="2197" w:hanging="361"/>
      </w:pPr>
      <w:rPr>
        <w:rFonts w:hint="default"/>
        <w:lang w:val="en-US" w:eastAsia="en-US" w:bidi="ar-SA"/>
      </w:rPr>
    </w:lvl>
    <w:lvl w:ilvl="3">
      <w:start w:val="0"/>
      <w:numFmt w:val="bullet"/>
      <w:lvlText w:val="•"/>
      <w:lvlJc w:val="left"/>
      <w:pPr>
        <w:ind w:left="3195" w:hanging="361"/>
      </w:pPr>
      <w:rPr>
        <w:rFonts w:hint="default"/>
        <w:lang w:val="en-US" w:eastAsia="en-US" w:bidi="ar-SA"/>
      </w:rPr>
    </w:lvl>
    <w:lvl w:ilvl="4">
      <w:start w:val="0"/>
      <w:numFmt w:val="bullet"/>
      <w:lvlText w:val="•"/>
      <w:lvlJc w:val="left"/>
      <w:pPr>
        <w:ind w:left="4193" w:hanging="361"/>
      </w:pPr>
      <w:rPr>
        <w:rFonts w:hint="default"/>
        <w:lang w:val="en-US" w:eastAsia="en-US" w:bidi="ar-SA"/>
      </w:rPr>
    </w:lvl>
    <w:lvl w:ilvl="5">
      <w:start w:val="0"/>
      <w:numFmt w:val="bullet"/>
      <w:lvlText w:val="•"/>
      <w:lvlJc w:val="left"/>
      <w:pPr>
        <w:ind w:left="5191" w:hanging="361"/>
      </w:pPr>
      <w:rPr>
        <w:rFonts w:hint="default"/>
        <w:lang w:val="en-US" w:eastAsia="en-US" w:bidi="ar-SA"/>
      </w:rPr>
    </w:lvl>
    <w:lvl w:ilvl="6">
      <w:start w:val="0"/>
      <w:numFmt w:val="bullet"/>
      <w:lvlText w:val="•"/>
      <w:lvlJc w:val="left"/>
      <w:pPr>
        <w:ind w:left="6188" w:hanging="361"/>
      </w:pPr>
      <w:rPr>
        <w:rFonts w:hint="default"/>
        <w:lang w:val="en-US" w:eastAsia="en-US" w:bidi="ar-SA"/>
      </w:rPr>
    </w:lvl>
    <w:lvl w:ilvl="7">
      <w:start w:val="0"/>
      <w:numFmt w:val="bullet"/>
      <w:lvlText w:val="•"/>
      <w:lvlJc w:val="left"/>
      <w:pPr>
        <w:ind w:left="7186" w:hanging="361"/>
      </w:pPr>
      <w:rPr>
        <w:rFonts w:hint="default"/>
        <w:lang w:val="en-US" w:eastAsia="en-US" w:bidi="ar-SA"/>
      </w:rPr>
    </w:lvl>
    <w:lvl w:ilvl="8">
      <w:start w:val="0"/>
      <w:numFmt w:val="bullet"/>
      <w:lvlText w:val="•"/>
      <w:lvlJc w:val="left"/>
      <w:pPr>
        <w:ind w:left="8184" w:hanging="361"/>
      </w:pPr>
      <w:rPr>
        <w:rFonts w:hint="default"/>
        <w:lang w:val="en-US" w:eastAsia="en-US" w:bidi="ar-SA"/>
      </w:rPr>
    </w:lvl>
  </w:abstractNum>
  <w:abstractNum w:abstractNumId="40">
    <w:multiLevelType w:val="hybridMultilevel"/>
    <w:lvl w:ilvl="0">
      <w:start w:val="1"/>
      <w:numFmt w:val="decimal"/>
      <w:lvlText w:val="%1."/>
      <w:lvlJc w:val="left"/>
      <w:pPr>
        <w:ind w:left="483" w:hanging="360"/>
        <w:jc w:val="left"/>
      </w:pPr>
      <w:rPr>
        <w:rFonts w:hint="default" w:ascii="Calibri" w:hAnsi="Calibri" w:eastAsia="Calibri" w:cs="Calibri"/>
        <w:b/>
        <w:bCs/>
        <w:i w:val="0"/>
        <w:iCs w:val="0"/>
        <w:spacing w:val="0"/>
        <w:w w:val="99"/>
        <w:sz w:val="22"/>
        <w:szCs w:val="22"/>
        <w:lang w:val="en-US" w:eastAsia="en-US" w:bidi="ar-SA"/>
      </w:rPr>
    </w:lvl>
    <w:lvl w:ilvl="1">
      <w:start w:val="1"/>
      <w:numFmt w:val="decimal"/>
      <w:lvlText w:val="%2."/>
      <w:lvlJc w:val="left"/>
      <w:pPr>
        <w:ind w:left="1059" w:hanging="360"/>
        <w:jc w:val="left"/>
      </w:pPr>
      <w:rPr>
        <w:rFonts w:hint="default" w:ascii="Calibri" w:hAnsi="Calibri" w:eastAsia="Calibri" w:cs="Calibri"/>
        <w:b w:val="0"/>
        <w:bCs w:val="0"/>
        <w:i w:val="0"/>
        <w:iCs w:val="0"/>
        <w:spacing w:val="0"/>
        <w:w w:val="100"/>
        <w:sz w:val="21"/>
        <w:szCs w:val="21"/>
        <w:lang w:val="en-US" w:eastAsia="en-US" w:bidi="ar-SA"/>
      </w:rPr>
    </w:lvl>
    <w:lvl w:ilvl="2">
      <w:start w:val="0"/>
      <w:numFmt w:val="bullet"/>
      <w:lvlText w:val="•"/>
      <w:lvlJc w:val="left"/>
      <w:pPr>
        <w:ind w:left="2073" w:hanging="360"/>
      </w:pPr>
      <w:rPr>
        <w:rFonts w:hint="default"/>
        <w:lang w:val="en-US" w:eastAsia="en-US" w:bidi="ar-SA"/>
      </w:rPr>
    </w:lvl>
    <w:lvl w:ilvl="3">
      <w:start w:val="0"/>
      <w:numFmt w:val="bullet"/>
      <w:lvlText w:val="•"/>
      <w:lvlJc w:val="left"/>
      <w:pPr>
        <w:ind w:left="3086" w:hanging="360"/>
      </w:pPr>
      <w:rPr>
        <w:rFonts w:hint="default"/>
        <w:lang w:val="en-US" w:eastAsia="en-US" w:bidi="ar-SA"/>
      </w:rPr>
    </w:lvl>
    <w:lvl w:ilvl="4">
      <w:start w:val="0"/>
      <w:numFmt w:val="bullet"/>
      <w:lvlText w:val="•"/>
      <w:lvlJc w:val="left"/>
      <w:pPr>
        <w:ind w:left="4100" w:hanging="360"/>
      </w:pPr>
      <w:rPr>
        <w:rFonts w:hint="default"/>
        <w:lang w:val="en-US" w:eastAsia="en-US" w:bidi="ar-SA"/>
      </w:rPr>
    </w:lvl>
    <w:lvl w:ilvl="5">
      <w:start w:val="0"/>
      <w:numFmt w:val="bullet"/>
      <w:lvlText w:val="•"/>
      <w:lvlJc w:val="left"/>
      <w:pPr>
        <w:ind w:left="5113" w:hanging="360"/>
      </w:pPr>
      <w:rPr>
        <w:rFonts w:hint="default"/>
        <w:lang w:val="en-US" w:eastAsia="en-US" w:bidi="ar-SA"/>
      </w:rPr>
    </w:lvl>
    <w:lvl w:ilvl="6">
      <w:start w:val="0"/>
      <w:numFmt w:val="bullet"/>
      <w:lvlText w:val="•"/>
      <w:lvlJc w:val="left"/>
      <w:pPr>
        <w:ind w:left="6126" w:hanging="360"/>
      </w:pPr>
      <w:rPr>
        <w:rFonts w:hint="default"/>
        <w:lang w:val="en-US" w:eastAsia="en-US" w:bidi="ar-SA"/>
      </w:rPr>
    </w:lvl>
    <w:lvl w:ilvl="7">
      <w:start w:val="0"/>
      <w:numFmt w:val="bullet"/>
      <w:lvlText w:val="•"/>
      <w:lvlJc w:val="left"/>
      <w:pPr>
        <w:ind w:left="7140" w:hanging="360"/>
      </w:pPr>
      <w:rPr>
        <w:rFonts w:hint="default"/>
        <w:lang w:val="en-US" w:eastAsia="en-US" w:bidi="ar-SA"/>
      </w:rPr>
    </w:lvl>
    <w:lvl w:ilvl="8">
      <w:start w:val="0"/>
      <w:numFmt w:val="bullet"/>
      <w:lvlText w:val="•"/>
      <w:lvlJc w:val="left"/>
      <w:pPr>
        <w:ind w:left="8153" w:hanging="360"/>
      </w:pPr>
      <w:rPr>
        <w:rFonts w:hint="default"/>
        <w:lang w:val="en-US" w:eastAsia="en-US" w:bidi="ar-SA"/>
      </w:rPr>
    </w:lvl>
  </w:abstractNum>
  <w:abstractNum w:abstractNumId="39">
    <w:multiLevelType w:val="hybridMultilevel"/>
    <w:lvl w:ilvl="0">
      <w:start w:val="1"/>
      <w:numFmt w:val="decimal"/>
      <w:lvlText w:val="%1."/>
      <w:lvlJc w:val="left"/>
      <w:pPr>
        <w:ind w:left="483" w:hanging="360"/>
        <w:jc w:val="left"/>
      </w:pPr>
      <w:rPr>
        <w:rFonts w:hint="default" w:ascii="Calibri" w:hAnsi="Calibri" w:eastAsia="Calibri" w:cs="Calibri"/>
        <w:b/>
        <w:bCs/>
        <w:i w:val="0"/>
        <w:iCs w:val="0"/>
        <w:spacing w:val="0"/>
        <w:w w:val="99"/>
        <w:sz w:val="22"/>
        <w:szCs w:val="22"/>
        <w:lang w:val="en-US" w:eastAsia="en-US" w:bidi="ar-SA"/>
      </w:rPr>
    </w:lvl>
    <w:lvl w:ilvl="1">
      <w:start w:val="1"/>
      <w:numFmt w:val="decimal"/>
      <w:lvlText w:val="%2."/>
      <w:lvlJc w:val="left"/>
      <w:pPr>
        <w:ind w:left="1059" w:hanging="360"/>
        <w:jc w:val="left"/>
      </w:pPr>
      <w:rPr>
        <w:rFonts w:hint="default" w:ascii="Calibri" w:hAnsi="Calibri" w:eastAsia="Calibri" w:cs="Calibri"/>
        <w:b w:val="0"/>
        <w:bCs w:val="0"/>
        <w:i w:val="0"/>
        <w:iCs w:val="0"/>
        <w:spacing w:val="0"/>
        <w:w w:val="100"/>
        <w:sz w:val="21"/>
        <w:szCs w:val="21"/>
        <w:lang w:val="en-US" w:eastAsia="en-US" w:bidi="ar-SA"/>
      </w:rPr>
    </w:lvl>
    <w:lvl w:ilvl="2">
      <w:start w:val="0"/>
      <w:numFmt w:val="bullet"/>
      <w:lvlText w:val="•"/>
      <w:lvlJc w:val="left"/>
      <w:pPr>
        <w:ind w:left="2073" w:hanging="360"/>
      </w:pPr>
      <w:rPr>
        <w:rFonts w:hint="default"/>
        <w:lang w:val="en-US" w:eastAsia="en-US" w:bidi="ar-SA"/>
      </w:rPr>
    </w:lvl>
    <w:lvl w:ilvl="3">
      <w:start w:val="0"/>
      <w:numFmt w:val="bullet"/>
      <w:lvlText w:val="•"/>
      <w:lvlJc w:val="left"/>
      <w:pPr>
        <w:ind w:left="3086" w:hanging="360"/>
      </w:pPr>
      <w:rPr>
        <w:rFonts w:hint="default"/>
        <w:lang w:val="en-US" w:eastAsia="en-US" w:bidi="ar-SA"/>
      </w:rPr>
    </w:lvl>
    <w:lvl w:ilvl="4">
      <w:start w:val="0"/>
      <w:numFmt w:val="bullet"/>
      <w:lvlText w:val="•"/>
      <w:lvlJc w:val="left"/>
      <w:pPr>
        <w:ind w:left="4100" w:hanging="360"/>
      </w:pPr>
      <w:rPr>
        <w:rFonts w:hint="default"/>
        <w:lang w:val="en-US" w:eastAsia="en-US" w:bidi="ar-SA"/>
      </w:rPr>
    </w:lvl>
    <w:lvl w:ilvl="5">
      <w:start w:val="0"/>
      <w:numFmt w:val="bullet"/>
      <w:lvlText w:val="•"/>
      <w:lvlJc w:val="left"/>
      <w:pPr>
        <w:ind w:left="5113" w:hanging="360"/>
      </w:pPr>
      <w:rPr>
        <w:rFonts w:hint="default"/>
        <w:lang w:val="en-US" w:eastAsia="en-US" w:bidi="ar-SA"/>
      </w:rPr>
    </w:lvl>
    <w:lvl w:ilvl="6">
      <w:start w:val="0"/>
      <w:numFmt w:val="bullet"/>
      <w:lvlText w:val="•"/>
      <w:lvlJc w:val="left"/>
      <w:pPr>
        <w:ind w:left="6126" w:hanging="360"/>
      </w:pPr>
      <w:rPr>
        <w:rFonts w:hint="default"/>
        <w:lang w:val="en-US" w:eastAsia="en-US" w:bidi="ar-SA"/>
      </w:rPr>
    </w:lvl>
    <w:lvl w:ilvl="7">
      <w:start w:val="0"/>
      <w:numFmt w:val="bullet"/>
      <w:lvlText w:val="•"/>
      <w:lvlJc w:val="left"/>
      <w:pPr>
        <w:ind w:left="7140" w:hanging="360"/>
      </w:pPr>
      <w:rPr>
        <w:rFonts w:hint="default"/>
        <w:lang w:val="en-US" w:eastAsia="en-US" w:bidi="ar-SA"/>
      </w:rPr>
    </w:lvl>
    <w:lvl w:ilvl="8">
      <w:start w:val="0"/>
      <w:numFmt w:val="bullet"/>
      <w:lvlText w:val="•"/>
      <w:lvlJc w:val="left"/>
      <w:pPr>
        <w:ind w:left="8153" w:hanging="360"/>
      </w:pPr>
      <w:rPr>
        <w:rFonts w:hint="default"/>
        <w:lang w:val="en-US" w:eastAsia="en-US" w:bidi="ar-SA"/>
      </w:rPr>
    </w:lvl>
  </w:abstractNum>
  <w:abstractNum w:abstractNumId="38">
    <w:multiLevelType w:val="hybridMultilevel"/>
    <w:lvl w:ilvl="0">
      <w:start w:val="1"/>
      <w:numFmt w:val="decimal"/>
      <w:lvlText w:val="%1."/>
      <w:lvlJc w:val="left"/>
      <w:pPr>
        <w:ind w:left="464" w:hanging="360"/>
        <w:jc w:val="left"/>
      </w:pPr>
      <w:rPr>
        <w:rFonts w:hint="default" w:ascii="Calibri" w:hAnsi="Calibri" w:eastAsia="Calibri" w:cs="Calibri"/>
        <w:b/>
        <w:bCs/>
        <w:i w:val="0"/>
        <w:iCs w:val="0"/>
        <w:spacing w:val="0"/>
        <w:w w:val="99"/>
        <w:sz w:val="22"/>
        <w:szCs w:val="22"/>
        <w:lang w:val="en-US" w:eastAsia="en-US" w:bidi="ar-SA"/>
      </w:rPr>
    </w:lvl>
    <w:lvl w:ilvl="1">
      <w:start w:val="1"/>
      <w:numFmt w:val="decimal"/>
      <w:lvlText w:val="%2."/>
      <w:lvlJc w:val="left"/>
      <w:pPr>
        <w:ind w:left="1059" w:hanging="361"/>
        <w:jc w:val="left"/>
      </w:pPr>
      <w:rPr>
        <w:rFonts w:hint="default" w:ascii="Calibri" w:hAnsi="Calibri" w:eastAsia="Calibri" w:cs="Calibri"/>
        <w:b w:val="0"/>
        <w:bCs w:val="0"/>
        <w:i w:val="0"/>
        <w:iCs w:val="0"/>
        <w:spacing w:val="0"/>
        <w:w w:val="99"/>
        <w:sz w:val="22"/>
        <w:szCs w:val="22"/>
        <w:lang w:val="en-US" w:eastAsia="en-US" w:bidi="ar-SA"/>
      </w:rPr>
    </w:lvl>
    <w:lvl w:ilvl="2">
      <w:start w:val="0"/>
      <w:numFmt w:val="bullet"/>
      <w:lvlText w:val="•"/>
      <w:lvlJc w:val="left"/>
      <w:pPr>
        <w:ind w:left="2073" w:hanging="361"/>
      </w:pPr>
      <w:rPr>
        <w:rFonts w:hint="default"/>
        <w:lang w:val="en-US" w:eastAsia="en-US" w:bidi="ar-SA"/>
      </w:rPr>
    </w:lvl>
    <w:lvl w:ilvl="3">
      <w:start w:val="0"/>
      <w:numFmt w:val="bullet"/>
      <w:lvlText w:val="•"/>
      <w:lvlJc w:val="left"/>
      <w:pPr>
        <w:ind w:left="3086" w:hanging="361"/>
      </w:pPr>
      <w:rPr>
        <w:rFonts w:hint="default"/>
        <w:lang w:val="en-US" w:eastAsia="en-US" w:bidi="ar-SA"/>
      </w:rPr>
    </w:lvl>
    <w:lvl w:ilvl="4">
      <w:start w:val="0"/>
      <w:numFmt w:val="bullet"/>
      <w:lvlText w:val="•"/>
      <w:lvlJc w:val="left"/>
      <w:pPr>
        <w:ind w:left="4100" w:hanging="361"/>
      </w:pPr>
      <w:rPr>
        <w:rFonts w:hint="default"/>
        <w:lang w:val="en-US" w:eastAsia="en-US" w:bidi="ar-SA"/>
      </w:rPr>
    </w:lvl>
    <w:lvl w:ilvl="5">
      <w:start w:val="0"/>
      <w:numFmt w:val="bullet"/>
      <w:lvlText w:val="•"/>
      <w:lvlJc w:val="left"/>
      <w:pPr>
        <w:ind w:left="5113" w:hanging="361"/>
      </w:pPr>
      <w:rPr>
        <w:rFonts w:hint="default"/>
        <w:lang w:val="en-US" w:eastAsia="en-US" w:bidi="ar-SA"/>
      </w:rPr>
    </w:lvl>
    <w:lvl w:ilvl="6">
      <w:start w:val="0"/>
      <w:numFmt w:val="bullet"/>
      <w:lvlText w:val="•"/>
      <w:lvlJc w:val="left"/>
      <w:pPr>
        <w:ind w:left="6126" w:hanging="361"/>
      </w:pPr>
      <w:rPr>
        <w:rFonts w:hint="default"/>
        <w:lang w:val="en-US" w:eastAsia="en-US" w:bidi="ar-SA"/>
      </w:rPr>
    </w:lvl>
    <w:lvl w:ilvl="7">
      <w:start w:val="0"/>
      <w:numFmt w:val="bullet"/>
      <w:lvlText w:val="•"/>
      <w:lvlJc w:val="left"/>
      <w:pPr>
        <w:ind w:left="7140" w:hanging="361"/>
      </w:pPr>
      <w:rPr>
        <w:rFonts w:hint="default"/>
        <w:lang w:val="en-US" w:eastAsia="en-US" w:bidi="ar-SA"/>
      </w:rPr>
    </w:lvl>
    <w:lvl w:ilvl="8">
      <w:start w:val="0"/>
      <w:numFmt w:val="bullet"/>
      <w:lvlText w:val="•"/>
      <w:lvlJc w:val="left"/>
      <w:pPr>
        <w:ind w:left="8153" w:hanging="361"/>
      </w:pPr>
      <w:rPr>
        <w:rFonts w:hint="default"/>
        <w:lang w:val="en-US" w:eastAsia="en-US" w:bidi="ar-SA"/>
      </w:rPr>
    </w:lvl>
  </w:abstractNum>
  <w:abstractNum w:abstractNumId="37">
    <w:multiLevelType w:val="hybridMultilevel"/>
    <w:lvl w:ilvl="0">
      <w:start w:val="1"/>
      <w:numFmt w:val="decimal"/>
      <w:lvlText w:val="%1."/>
      <w:lvlJc w:val="left"/>
      <w:pPr>
        <w:ind w:left="483" w:hanging="360"/>
        <w:jc w:val="left"/>
      </w:pPr>
      <w:rPr>
        <w:rFonts w:hint="default" w:ascii="Calibri" w:hAnsi="Calibri" w:eastAsia="Calibri" w:cs="Calibri"/>
        <w:b/>
        <w:bCs/>
        <w:i w:val="0"/>
        <w:iCs w:val="0"/>
        <w:spacing w:val="0"/>
        <w:w w:val="99"/>
        <w:sz w:val="22"/>
        <w:szCs w:val="22"/>
        <w:lang w:val="en-US" w:eastAsia="en-US" w:bidi="ar-SA"/>
      </w:rPr>
    </w:lvl>
    <w:lvl w:ilvl="1">
      <w:start w:val="1"/>
      <w:numFmt w:val="decimal"/>
      <w:lvlText w:val="%2."/>
      <w:lvlJc w:val="left"/>
      <w:pPr>
        <w:ind w:left="1040" w:hanging="360"/>
        <w:jc w:val="left"/>
      </w:pPr>
      <w:rPr>
        <w:rFonts w:hint="default" w:ascii="Calibri" w:hAnsi="Calibri" w:eastAsia="Calibri" w:cs="Calibri"/>
        <w:b w:val="0"/>
        <w:bCs w:val="0"/>
        <w:i w:val="0"/>
        <w:iCs w:val="0"/>
        <w:spacing w:val="0"/>
        <w:w w:val="100"/>
        <w:sz w:val="21"/>
        <w:szCs w:val="21"/>
        <w:lang w:val="en-US" w:eastAsia="en-US" w:bidi="ar-SA"/>
      </w:rPr>
    </w:lvl>
    <w:lvl w:ilvl="2">
      <w:start w:val="0"/>
      <w:numFmt w:val="bullet"/>
      <w:lvlText w:val="•"/>
      <w:lvlJc w:val="left"/>
      <w:pPr>
        <w:ind w:left="2055" w:hanging="360"/>
      </w:pPr>
      <w:rPr>
        <w:rFonts w:hint="default"/>
        <w:lang w:val="en-US" w:eastAsia="en-US" w:bidi="ar-SA"/>
      </w:rPr>
    </w:lvl>
    <w:lvl w:ilvl="3">
      <w:start w:val="0"/>
      <w:numFmt w:val="bullet"/>
      <w:lvlText w:val="•"/>
      <w:lvlJc w:val="left"/>
      <w:pPr>
        <w:ind w:left="3071" w:hanging="360"/>
      </w:pPr>
      <w:rPr>
        <w:rFonts w:hint="default"/>
        <w:lang w:val="en-US" w:eastAsia="en-US" w:bidi="ar-SA"/>
      </w:rPr>
    </w:lvl>
    <w:lvl w:ilvl="4">
      <w:start w:val="0"/>
      <w:numFmt w:val="bullet"/>
      <w:lvlText w:val="•"/>
      <w:lvlJc w:val="left"/>
      <w:pPr>
        <w:ind w:left="4086" w:hanging="360"/>
      </w:pPr>
      <w:rPr>
        <w:rFonts w:hint="default"/>
        <w:lang w:val="en-US" w:eastAsia="en-US" w:bidi="ar-SA"/>
      </w:rPr>
    </w:lvl>
    <w:lvl w:ilvl="5">
      <w:start w:val="0"/>
      <w:numFmt w:val="bullet"/>
      <w:lvlText w:val="•"/>
      <w:lvlJc w:val="left"/>
      <w:pPr>
        <w:ind w:left="5102" w:hanging="360"/>
      </w:pPr>
      <w:rPr>
        <w:rFonts w:hint="default"/>
        <w:lang w:val="en-US" w:eastAsia="en-US" w:bidi="ar-SA"/>
      </w:rPr>
    </w:lvl>
    <w:lvl w:ilvl="6">
      <w:start w:val="0"/>
      <w:numFmt w:val="bullet"/>
      <w:lvlText w:val="•"/>
      <w:lvlJc w:val="left"/>
      <w:pPr>
        <w:ind w:left="6117" w:hanging="360"/>
      </w:pPr>
      <w:rPr>
        <w:rFonts w:hint="default"/>
        <w:lang w:val="en-US" w:eastAsia="en-US" w:bidi="ar-SA"/>
      </w:rPr>
    </w:lvl>
    <w:lvl w:ilvl="7">
      <w:start w:val="0"/>
      <w:numFmt w:val="bullet"/>
      <w:lvlText w:val="•"/>
      <w:lvlJc w:val="left"/>
      <w:pPr>
        <w:ind w:left="7133" w:hanging="360"/>
      </w:pPr>
      <w:rPr>
        <w:rFonts w:hint="default"/>
        <w:lang w:val="en-US" w:eastAsia="en-US" w:bidi="ar-SA"/>
      </w:rPr>
    </w:lvl>
    <w:lvl w:ilvl="8">
      <w:start w:val="0"/>
      <w:numFmt w:val="bullet"/>
      <w:lvlText w:val="•"/>
      <w:lvlJc w:val="left"/>
      <w:pPr>
        <w:ind w:left="8148" w:hanging="360"/>
      </w:pPr>
      <w:rPr>
        <w:rFonts w:hint="default"/>
        <w:lang w:val="en-US" w:eastAsia="en-US" w:bidi="ar-SA"/>
      </w:rPr>
    </w:lvl>
  </w:abstractNum>
  <w:abstractNum w:abstractNumId="36">
    <w:multiLevelType w:val="hybridMultilevel"/>
    <w:lvl w:ilvl="0">
      <w:start w:val="1"/>
      <w:numFmt w:val="decimal"/>
      <w:lvlText w:val="%1."/>
      <w:lvlJc w:val="left"/>
      <w:pPr>
        <w:ind w:left="483" w:hanging="360"/>
        <w:jc w:val="left"/>
      </w:pPr>
      <w:rPr>
        <w:rFonts w:hint="default" w:ascii="Calibri" w:hAnsi="Calibri" w:eastAsia="Calibri" w:cs="Calibri"/>
        <w:b/>
        <w:bCs/>
        <w:i w:val="0"/>
        <w:iCs w:val="0"/>
        <w:spacing w:val="0"/>
        <w:w w:val="100"/>
        <w:sz w:val="21"/>
        <w:szCs w:val="21"/>
        <w:lang w:val="en-US" w:eastAsia="en-US" w:bidi="ar-SA"/>
      </w:rPr>
    </w:lvl>
    <w:lvl w:ilvl="1">
      <w:start w:val="1"/>
      <w:numFmt w:val="decimal"/>
      <w:lvlText w:val="%2."/>
      <w:lvlJc w:val="left"/>
      <w:pPr>
        <w:ind w:left="1059" w:hanging="361"/>
        <w:jc w:val="left"/>
      </w:pPr>
      <w:rPr>
        <w:rFonts w:hint="default" w:ascii="Calibri" w:hAnsi="Calibri" w:eastAsia="Calibri" w:cs="Calibri"/>
        <w:b w:val="0"/>
        <w:bCs w:val="0"/>
        <w:i w:val="0"/>
        <w:iCs w:val="0"/>
        <w:spacing w:val="0"/>
        <w:w w:val="99"/>
        <w:sz w:val="22"/>
        <w:szCs w:val="22"/>
        <w:lang w:val="en-US" w:eastAsia="en-US" w:bidi="ar-SA"/>
      </w:rPr>
    </w:lvl>
    <w:lvl w:ilvl="2">
      <w:start w:val="0"/>
      <w:numFmt w:val="bullet"/>
      <w:lvlText w:val="•"/>
      <w:lvlJc w:val="left"/>
      <w:pPr>
        <w:ind w:left="2073" w:hanging="361"/>
      </w:pPr>
      <w:rPr>
        <w:rFonts w:hint="default"/>
        <w:lang w:val="en-US" w:eastAsia="en-US" w:bidi="ar-SA"/>
      </w:rPr>
    </w:lvl>
    <w:lvl w:ilvl="3">
      <w:start w:val="0"/>
      <w:numFmt w:val="bullet"/>
      <w:lvlText w:val="•"/>
      <w:lvlJc w:val="left"/>
      <w:pPr>
        <w:ind w:left="3086" w:hanging="361"/>
      </w:pPr>
      <w:rPr>
        <w:rFonts w:hint="default"/>
        <w:lang w:val="en-US" w:eastAsia="en-US" w:bidi="ar-SA"/>
      </w:rPr>
    </w:lvl>
    <w:lvl w:ilvl="4">
      <w:start w:val="0"/>
      <w:numFmt w:val="bullet"/>
      <w:lvlText w:val="•"/>
      <w:lvlJc w:val="left"/>
      <w:pPr>
        <w:ind w:left="4100" w:hanging="361"/>
      </w:pPr>
      <w:rPr>
        <w:rFonts w:hint="default"/>
        <w:lang w:val="en-US" w:eastAsia="en-US" w:bidi="ar-SA"/>
      </w:rPr>
    </w:lvl>
    <w:lvl w:ilvl="5">
      <w:start w:val="0"/>
      <w:numFmt w:val="bullet"/>
      <w:lvlText w:val="•"/>
      <w:lvlJc w:val="left"/>
      <w:pPr>
        <w:ind w:left="5113" w:hanging="361"/>
      </w:pPr>
      <w:rPr>
        <w:rFonts w:hint="default"/>
        <w:lang w:val="en-US" w:eastAsia="en-US" w:bidi="ar-SA"/>
      </w:rPr>
    </w:lvl>
    <w:lvl w:ilvl="6">
      <w:start w:val="0"/>
      <w:numFmt w:val="bullet"/>
      <w:lvlText w:val="•"/>
      <w:lvlJc w:val="left"/>
      <w:pPr>
        <w:ind w:left="6126" w:hanging="361"/>
      </w:pPr>
      <w:rPr>
        <w:rFonts w:hint="default"/>
        <w:lang w:val="en-US" w:eastAsia="en-US" w:bidi="ar-SA"/>
      </w:rPr>
    </w:lvl>
    <w:lvl w:ilvl="7">
      <w:start w:val="0"/>
      <w:numFmt w:val="bullet"/>
      <w:lvlText w:val="•"/>
      <w:lvlJc w:val="left"/>
      <w:pPr>
        <w:ind w:left="7140" w:hanging="361"/>
      </w:pPr>
      <w:rPr>
        <w:rFonts w:hint="default"/>
        <w:lang w:val="en-US" w:eastAsia="en-US" w:bidi="ar-SA"/>
      </w:rPr>
    </w:lvl>
    <w:lvl w:ilvl="8">
      <w:start w:val="0"/>
      <w:numFmt w:val="bullet"/>
      <w:lvlText w:val="•"/>
      <w:lvlJc w:val="left"/>
      <w:pPr>
        <w:ind w:left="8153" w:hanging="361"/>
      </w:pPr>
      <w:rPr>
        <w:rFonts w:hint="default"/>
        <w:lang w:val="en-US" w:eastAsia="en-US" w:bidi="ar-SA"/>
      </w:rPr>
    </w:lvl>
  </w:abstractNum>
  <w:abstractNum w:abstractNumId="35">
    <w:multiLevelType w:val="hybridMultilevel"/>
    <w:lvl w:ilvl="0">
      <w:start w:val="1"/>
      <w:numFmt w:val="decimal"/>
      <w:lvlText w:val="%1."/>
      <w:lvlJc w:val="left"/>
      <w:pPr>
        <w:ind w:left="483" w:hanging="360"/>
        <w:jc w:val="left"/>
      </w:pPr>
      <w:rPr>
        <w:rFonts w:hint="default" w:ascii="Calibri" w:hAnsi="Calibri" w:eastAsia="Calibri" w:cs="Calibri"/>
        <w:b/>
        <w:bCs/>
        <w:i w:val="0"/>
        <w:iCs w:val="0"/>
        <w:spacing w:val="0"/>
        <w:w w:val="99"/>
        <w:sz w:val="22"/>
        <w:szCs w:val="22"/>
        <w:lang w:val="en-US" w:eastAsia="en-US" w:bidi="ar-SA"/>
      </w:rPr>
    </w:lvl>
    <w:lvl w:ilvl="1">
      <w:start w:val="1"/>
      <w:numFmt w:val="decimal"/>
      <w:lvlText w:val="%2."/>
      <w:lvlJc w:val="left"/>
      <w:pPr>
        <w:ind w:left="1059" w:hanging="360"/>
        <w:jc w:val="left"/>
      </w:pPr>
      <w:rPr>
        <w:rFonts w:hint="default" w:ascii="Calibri" w:hAnsi="Calibri" w:eastAsia="Calibri" w:cs="Calibri"/>
        <w:b w:val="0"/>
        <w:bCs w:val="0"/>
        <w:i w:val="0"/>
        <w:iCs w:val="0"/>
        <w:spacing w:val="0"/>
        <w:w w:val="100"/>
        <w:sz w:val="21"/>
        <w:szCs w:val="21"/>
        <w:lang w:val="en-US" w:eastAsia="en-US" w:bidi="ar-SA"/>
      </w:rPr>
    </w:lvl>
    <w:lvl w:ilvl="2">
      <w:start w:val="0"/>
      <w:numFmt w:val="bullet"/>
      <w:lvlText w:val="•"/>
      <w:lvlJc w:val="left"/>
      <w:pPr>
        <w:ind w:left="2073" w:hanging="360"/>
      </w:pPr>
      <w:rPr>
        <w:rFonts w:hint="default"/>
        <w:lang w:val="en-US" w:eastAsia="en-US" w:bidi="ar-SA"/>
      </w:rPr>
    </w:lvl>
    <w:lvl w:ilvl="3">
      <w:start w:val="0"/>
      <w:numFmt w:val="bullet"/>
      <w:lvlText w:val="•"/>
      <w:lvlJc w:val="left"/>
      <w:pPr>
        <w:ind w:left="3086" w:hanging="360"/>
      </w:pPr>
      <w:rPr>
        <w:rFonts w:hint="default"/>
        <w:lang w:val="en-US" w:eastAsia="en-US" w:bidi="ar-SA"/>
      </w:rPr>
    </w:lvl>
    <w:lvl w:ilvl="4">
      <w:start w:val="0"/>
      <w:numFmt w:val="bullet"/>
      <w:lvlText w:val="•"/>
      <w:lvlJc w:val="left"/>
      <w:pPr>
        <w:ind w:left="4100" w:hanging="360"/>
      </w:pPr>
      <w:rPr>
        <w:rFonts w:hint="default"/>
        <w:lang w:val="en-US" w:eastAsia="en-US" w:bidi="ar-SA"/>
      </w:rPr>
    </w:lvl>
    <w:lvl w:ilvl="5">
      <w:start w:val="0"/>
      <w:numFmt w:val="bullet"/>
      <w:lvlText w:val="•"/>
      <w:lvlJc w:val="left"/>
      <w:pPr>
        <w:ind w:left="5113" w:hanging="360"/>
      </w:pPr>
      <w:rPr>
        <w:rFonts w:hint="default"/>
        <w:lang w:val="en-US" w:eastAsia="en-US" w:bidi="ar-SA"/>
      </w:rPr>
    </w:lvl>
    <w:lvl w:ilvl="6">
      <w:start w:val="0"/>
      <w:numFmt w:val="bullet"/>
      <w:lvlText w:val="•"/>
      <w:lvlJc w:val="left"/>
      <w:pPr>
        <w:ind w:left="6126" w:hanging="360"/>
      </w:pPr>
      <w:rPr>
        <w:rFonts w:hint="default"/>
        <w:lang w:val="en-US" w:eastAsia="en-US" w:bidi="ar-SA"/>
      </w:rPr>
    </w:lvl>
    <w:lvl w:ilvl="7">
      <w:start w:val="0"/>
      <w:numFmt w:val="bullet"/>
      <w:lvlText w:val="•"/>
      <w:lvlJc w:val="left"/>
      <w:pPr>
        <w:ind w:left="7140" w:hanging="360"/>
      </w:pPr>
      <w:rPr>
        <w:rFonts w:hint="default"/>
        <w:lang w:val="en-US" w:eastAsia="en-US" w:bidi="ar-SA"/>
      </w:rPr>
    </w:lvl>
    <w:lvl w:ilvl="8">
      <w:start w:val="0"/>
      <w:numFmt w:val="bullet"/>
      <w:lvlText w:val="•"/>
      <w:lvlJc w:val="left"/>
      <w:pPr>
        <w:ind w:left="8153" w:hanging="360"/>
      </w:pPr>
      <w:rPr>
        <w:rFonts w:hint="default"/>
        <w:lang w:val="en-US" w:eastAsia="en-US" w:bidi="ar-SA"/>
      </w:rPr>
    </w:lvl>
  </w:abstractNum>
  <w:abstractNum w:abstractNumId="34">
    <w:multiLevelType w:val="hybridMultilevel"/>
    <w:lvl w:ilvl="0">
      <w:start w:val="1"/>
      <w:numFmt w:val="decimal"/>
      <w:lvlText w:val="%1."/>
      <w:lvlJc w:val="left"/>
      <w:pPr>
        <w:ind w:left="1203" w:hanging="353"/>
        <w:jc w:val="left"/>
      </w:pPr>
      <w:rPr>
        <w:rFonts w:hint="default" w:ascii="Calibri" w:hAnsi="Calibri" w:eastAsia="Calibri" w:cs="Calibri"/>
        <w:b w:val="0"/>
        <w:bCs w:val="0"/>
        <w:i w:val="0"/>
        <w:iCs w:val="0"/>
        <w:spacing w:val="0"/>
        <w:w w:val="99"/>
        <w:sz w:val="22"/>
        <w:szCs w:val="22"/>
        <w:lang w:val="en-US" w:eastAsia="en-US" w:bidi="ar-SA"/>
      </w:rPr>
    </w:lvl>
    <w:lvl w:ilvl="1">
      <w:start w:val="0"/>
      <w:numFmt w:val="bullet"/>
      <w:lvlText w:val="•"/>
      <w:lvlJc w:val="left"/>
      <w:pPr>
        <w:ind w:left="2098" w:hanging="353"/>
      </w:pPr>
      <w:rPr>
        <w:rFonts w:hint="default"/>
        <w:lang w:val="en-US" w:eastAsia="en-US" w:bidi="ar-SA"/>
      </w:rPr>
    </w:lvl>
    <w:lvl w:ilvl="2">
      <w:start w:val="0"/>
      <w:numFmt w:val="bullet"/>
      <w:lvlText w:val="•"/>
      <w:lvlJc w:val="left"/>
      <w:pPr>
        <w:ind w:left="2996" w:hanging="353"/>
      </w:pPr>
      <w:rPr>
        <w:rFonts w:hint="default"/>
        <w:lang w:val="en-US" w:eastAsia="en-US" w:bidi="ar-SA"/>
      </w:rPr>
    </w:lvl>
    <w:lvl w:ilvl="3">
      <w:start w:val="0"/>
      <w:numFmt w:val="bullet"/>
      <w:lvlText w:val="•"/>
      <w:lvlJc w:val="left"/>
      <w:pPr>
        <w:ind w:left="3894" w:hanging="353"/>
      </w:pPr>
      <w:rPr>
        <w:rFonts w:hint="default"/>
        <w:lang w:val="en-US" w:eastAsia="en-US" w:bidi="ar-SA"/>
      </w:rPr>
    </w:lvl>
    <w:lvl w:ilvl="4">
      <w:start w:val="0"/>
      <w:numFmt w:val="bullet"/>
      <w:lvlText w:val="•"/>
      <w:lvlJc w:val="left"/>
      <w:pPr>
        <w:ind w:left="4792" w:hanging="353"/>
      </w:pPr>
      <w:rPr>
        <w:rFonts w:hint="default"/>
        <w:lang w:val="en-US" w:eastAsia="en-US" w:bidi="ar-SA"/>
      </w:rPr>
    </w:lvl>
    <w:lvl w:ilvl="5">
      <w:start w:val="0"/>
      <w:numFmt w:val="bullet"/>
      <w:lvlText w:val="•"/>
      <w:lvlJc w:val="left"/>
      <w:pPr>
        <w:ind w:left="5690" w:hanging="353"/>
      </w:pPr>
      <w:rPr>
        <w:rFonts w:hint="default"/>
        <w:lang w:val="en-US" w:eastAsia="en-US" w:bidi="ar-SA"/>
      </w:rPr>
    </w:lvl>
    <w:lvl w:ilvl="6">
      <w:start w:val="0"/>
      <w:numFmt w:val="bullet"/>
      <w:lvlText w:val="•"/>
      <w:lvlJc w:val="left"/>
      <w:pPr>
        <w:ind w:left="6588" w:hanging="353"/>
      </w:pPr>
      <w:rPr>
        <w:rFonts w:hint="default"/>
        <w:lang w:val="en-US" w:eastAsia="en-US" w:bidi="ar-SA"/>
      </w:rPr>
    </w:lvl>
    <w:lvl w:ilvl="7">
      <w:start w:val="0"/>
      <w:numFmt w:val="bullet"/>
      <w:lvlText w:val="•"/>
      <w:lvlJc w:val="left"/>
      <w:pPr>
        <w:ind w:left="7486" w:hanging="353"/>
      </w:pPr>
      <w:rPr>
        <w:rFonts w:hint="default"/>
        <w:lang w:val="en-US" w:eastAsia="en-US" w:bidi="ar-SA"/>
      </w:rPr>
    </w:lvl>
    <w:lvl w:ilvl="8">
      <w:start w:val="0"/>
      <w:numFmt w:val="bullet"/>
      <w:lvlText w:val="•"/>
      <w:lvlJc w:val="left"/>
      <w:pPr>
        <w:ind w:left="8384" w:hanging="353"/>
      </w:pPr>
      <w:rPr>
        <w:rFonts w:hint="default"/>
        <w:lang w:val="en-US" w:eastAsia="en-US" w:bidi="ar-SA"/>
      </w:rPr>
    </w:lvl>
  </w:abstractNum>
  <w:abstractNum w:abstractNumId="33">
    <w:multiLevelType w:val="hybridMultilevel"/>
    <w:lvl w:ilvl="0">
      <w:start w:val="1"/>
      <w:numFmt w:val="decimal"/>
      <w:lvlText w:val="%1."/>
      <w:lvlJc w:val="left"/>
      <w:pPr>
        <w:ind w:left="483" w:hanging="360"/>
        <w:jc w:val="left"/>
      </w:pPr>
      <w:rPr>
        <w:rFonts w:hint="default" w:ascii="Calibri" w:hAnsi="Calibri" w:eastAsia="Calibri" w:cs="Calibri"/>
        <w:b/>
        <w:bCs/>
        <w:i w:val="0"/>
        <w:iCs w:val="0"/>
        <w:spacing w:val="0"/>
        <w:w w:val="99"/>
        <w:sz w:val="22"/>
        <w:szCs w:val="22"/>
        <w:lang w:val="en-US" w:eastAsia="en-US" w:bidi="ar-SA"/>
      </w:rPr>
    </w:lvl>
    <w:lvl w:ilvl="1">
      <w:start w:val="0"/>
      <w:numFmt w:val="bullet"/>
      <w:lvlText w:val="•"/>
      <w:lvlJc w:val="left"/>
      <w:pPr>
        <w:ind w:left="1450" w:hanging="360"/>
      </w:pPr>
      <w:rPr>
        <w:rFonts w:hint="default"/>
        <w:lang w:val="en-US" w:eastAsia="en-US" w:bidi="ar-SA"/>
      </w:rPr>
    </w:lvl>
    <w:lvl w:ilvl="2">
      <w:start w:val="0"/>
      <w:numFmt w:val="bullet"/>
      <w:lvlText w:val="•"/>
      <w:lvlJc w:val="left"/>
      <w:pPr>
        <w:ind w:left="2420" w:hanging="360"/>
      </w:pPr>
      <w:rPr>
        <w:rFonts w:hint="default"/>
        <w:lang w:val="en-US" w:eastAsia="en-US" w:bidi="ar-SA"/>
      </w:rPr>
    </w:lvl>
    <w:lvl w:ilvl="3">
      <w:start w:val="0"/>
      <w:numFmt w:val="bullet"/>
      <w:lvlText w:val="•"/>
      <w:lvlJc w:val="left"/>
      <w:pPr>
        <w:ind w:left="3390" w:hanging="360"/>
      </w:pPr>
      <w:rPr>
        <w:rFonts w:hint="default"/>
        <w:lang w:val="en-US" w:eastAsia="en-US" w:bidi="ar-SA"/>
      </w:rPr>
    </w:lvl>
    <w:lvl w:ilvl="4">
      <w:start w:val="0"/>
      <w:numFmt w:val="bullet"/>
      <w:lvlText w:val="•"/>
      <w:lvlJc w:val="left"/>
      <w:pPr>
        <w:ind w:left="4360" w:hanging="360"/>
      </w:pPr>
      <w:rPr>
        <w:rFonts w:hint="default"/>
        <w:lang w:val="en-US" w:eastAsia="en-US" w:bidi="ar-SA"/>
      </w:rPr>
    </w:lvl>
    <w:lvl w:ilvl="5">
      <w:start w:val="0"/>
      <w:numFmt w:val="bullet"/>
      <w:lvlText w:val="•"/>
      <w:lvlJc w:val="left"/>
      <w:pPr>
        <w:ind w:left="5330" w:hanging="360"/>
      </w:pPr>
      <w:rPr>
        <w:rFonts w:hint="default"/>
        <w:lang w:val="en-US" w:eastAsia="en-US" w:bidi="ar-SA"/>
      </w:rPr>
    </w:lvl>
    <w:lvl w:ilvl="6">
      <w:start w:val="0"/>
      <w:numFmt w:val="bullet"/>
      <w:lvlText w:val="•"/>
      <w:lvlJc w:val="left"/>
      <w:pPr>
        <w:ind w:left="6300" w:hanging="360"/>
      </w:pPr>
      <w:rPr>
        <w:rFonts w:hint="default"/>
        <w:lang w:val="en-US" w:eastAsia="en-US" w:bidi="ar-SA"/>
      </w:rPr>
    </w:lvl>
    <w:lvl w:ilvl="7">
      <w:start w:val="0"/>
      <w:numFmt w:val="bullet"/>
      <w:lvlText w:val="•"/>
      <w:lvlJc w:val="left"/>
      <w:pPr>
        <w:ind w:left="7270" w:hanging="360"/>
      </w:pPr>
      <w:rPr>
        <w:rFonts w:hint="default"/>
        <w:lang w:val="en-US" w:eastAsia="en-US" w:bidi="ar-SA"/>
      </w:rPr>
    </w:lvl>
    <w:lvl w:ilvl="8">
      <w:start w:val="0"/>
      <w:numFmt w:val="bullet"/>
      <w:lvlText w:val="•"/>
      <w:lvlJc w:val="left"/>
      <w:pPr>
        <w:ind w:left="8240" w:hanging="360"/>
      </w:pPr>
      <w:rPr>
        <w:rFonts w:hint="default"/>
        <w:lang w:val="en-US" w:eastAsia="en-US" w:bidi="ar-SA"/>
      </w:rPr>
    </w:lvl>
  </w:abstractNum>
  <w:abstractNum w:abstractNumId="32">
    <w:multiLevelType w:val="hybridMultilevel"/>
    <w:lvl w:ilvl="0">
      <w:start w:val="1"/>
      <w:numFmt w:val="decimal"/>
      <w:lvlText w:val="%1."/>
      <w:lvlJc w:val="left"/>
      <w:pPr>
        <w:ind w:left="623" w:hanging="360"/>
        <w:jc w:val="left"/>
      </w:pPr>
      <w:rPr>
        <w:rFonts w:hint="default" w:ascii="Calibri" w:hAnsi="Calibri" w:eastAsia="Calibri" w:cs="Calibri"/>
        <w:b/>
        <w:bCs/>
        <w:i w:val="0"/>
        <w:iCs w:val="0"/>
        <w:spacing w:val="0"/>
        <w:w w:val="100"/>
        <w:sz w:val="21"/>
        <w:szCs w:val="21"/>
        <w:lang w:val="en-US" w:eastAsia="en-US" w:bidi="ar-SA"/>
      </w:rPr>
    </w:lvl>
    <w:lvl w:ilvl="1">
      <w:start w:val="1"/>
      <w:numFmt w:val="decimal"/>
      <w:lvlText w:val="%2."/>
      <w:lvlJc w:val="left"/>
      <w:pPr>
        <w:ind w:left="1059" w:hanging="361"/>
        <w:jc w:val="left"/>
      </w:pPr>
      <w:rPr>
        <w:rFonts w:hint="default" w:ascii="Calibri" w:hAnsi="Calibri" w:eastAsia="Calibri" w:cs="Calibri"/>
        <w:b w:val="0"/>
        <w:bCs w:val="0"/>
        <w:i w:val="0"/>
        <w:iCs w:val="0"/>
        <w:spacing w:val="0"/>
        <w:w w:val="99"/>
        <w:sz w:val="22"/>
        <w:szCs w:val="22"/>
        <w:lang w:val="en-US" w:eastAsia="en-US" w:bidi="ar-SA"/>
      </w:rPr>
    </w:lvl>
    <w:lvl w:ilvl="2">
      <w:start w:val="0"/>
      <w:numFmt w:val="bullet"/>
      <w:lvlText w:val="•"/>
      <w:lvlJc w:val="left"/>
      <w:pPr>
        <w:ind w:left="2073" w:hanging="361"/>
      </w:pPr>
      <w:rPr>
        <w:rFonts w:hint="default"/>
        <w:lang w:val="en-US" w:eastAsia="en-US" w:bidi="ar-SA"/>
      </w:rPr>
    </w:lvl>
    <w:lvl w:ilvl="3">
      <w:start w:val="0"/>
      <w:numFmt w:val="bullet"/>
      <w:lvlText w:val="•"/>
      <w:lvlJc w:val="left"/>
      <w:pPr>
        <w:ind w:left="3086" w:hanging="361"/>
      </w:pPr>
      <w:rPr>
        <w:rFonts w:hint="default"/>
        <w:lang w:val="en-US" w:eastAsia="en-US" w:bidi="ar-SA"/>
      </w:rPr>
    </w:lvl>
    <w:lvl w:ilvl="4">
      <w:start w:val="0"/>
      <w:numFmt w:val="bullet"/>
      <w:lvlText w:val="•"/>
      <w:lvlJc w:val="left"/>
      <w:pPr>
        <w:ind w:left="4100" w:hanging="361"/>
      </w:pPr>
      <w:rPr>
        <w:rFonts w:hint="default"/>
        <w:lang w:val="en-US" w:eastAsia="en-US" w:bidi="ar-SA"/>
      </w:rPr>
    </w:lvl>
    <w:lvl w:ilvl="5">
      <w:start w:val="0"/>
      <w:numFmt w:val="bullet"/>
      <w:lvlText w:val="•"/>
      <w:lvlJc w:val="left"/>
      <w:pPr>
        <w:ind w:left="5113" w:hanging="361"/>
      </w:pPr>
      <w:rPr>
        <w:rFonts w:hint="default"/>
        <w:lang w:val="en-US" w:eastAsia="en-US" w:bidi="ar-SA"/>
      </w:rPr>
    </w:lvl>
    <w:lvl w:ilvl="6">
      <w:start w:val="0"/>
      <w:numFmt w:val="bullet"/>
      <w:lvlText w:val="•"/>
      <w:lvlJc w:val="left"/>
      <w:pPr>
        <w:ind w:left="6126" w:hanging="361"/>
      </w:pPr>
      <w:rPr>
        <w:rFonts w:hint="default"/>
        <w:lang w:val="en-US" w:eastAsia="en-US" w:bidi="ar-SA"/>
      </w:rPr>
    </w:lvl>
    <w:lvl w:ilvl="7">
      <w:start w:val="0"/>
      <w:numFmt w:val="bullet"/>
      <w:lvlText w:val="•"/>
      <w:lvlJc w:val="left"/>
      <w:pPr>
        <w:ind w:left="7140" w:hanging="361"/>
      </w:pPr>
      <w:rPr>
        <w:rFonts w:hint="default"/>
        <w:lang w:val="en-US" w:eastAsia="en-US" w:bidi="ar-SA"/>
      </w:rPr>
    </w:lvl>
    <w:lvl w:ilvl="8">
      <w:start w:val="0"/>
      <w:numFmt w:val="bullet"/>
      <w:lvlText w:val="•"/>
      <w:lvlJc w:val="left"/>
      <w:pPr>
        <w:ind w:left="8153" w:hanging="361"/>
      </w:pPr>
      <w:rPr>
        <w:rFonts w:hint="default"/>
        <w:lang w:val="en-US" w:eastAsia="en-US" w:bidi="ar-SA"/>
      </w:rPr>
    </w:lvl>
  </w:abstractNum>
  <w:abstractNum w:abstractNumId="31">
    <w:multiLevelType w:val="hybridMultilevel"/>
    <w:lvl w:ilvl="0">
      <w:start w:val="1"/>
      <w:numFmt w:val="decimal"/>
      <w:lvlText w:val="%1."/>
      <w:lvlJc w:val="left"/>
      <w:pPr>
        <w:ind w:left="1559" w:hanging="360"/>
        <w:jc w:val="left"/>
      </w:pPr>
      <w:rPr>
        <w:rFonts w:hint="default" w:ascii="Calibri" w:hAnsi="Calibri" w:eastAsia="Calibri" w:cs="Calibri"/>
        <w:b w:val="0"/>
        <w:bCs w:val="0"/>
        <w:i w:val="0"/>
        <w:iCs w:val="0"/>
        <w:spacing w:val="0"/>
        <w:w w:val="100"/>
        <w:sz w:val="21"/>
        <w:szCs w:val="21"/>
        <w:lang w:val="en-US" w:eastAsia="en-US" w:bidi="ar-SA"/>
      </w:rPr>
    </w:lvl>
    <w:lvl w:ilvl="1">
      <w:start w:val="0"/>
      <w:numFmt w:val="bullet"/>
      <w:lvlText w:val="•"/>
      <w:lvlJc w:val="left"/>
      <w:pPr>
        <w:ind w:left="2422" w:hanging="360"/>
      </w:pPr>
      <w:rPr>
        <w:rFonts w:hint="default"/>
        <w:lang w:val="en-US" w:eastAsia="en-US" w:bidi="ar-SA"/>
      </w:rPr>
    </w:lvl>
    <w:lvl w:ilvl="2">
      <w:start w:val="0"/>
      <w:numFmt w:val="bullet"/>
      <w:lvlText w:val="•"/>
      <w:lvlJc w:val="left"/>
      <w:pPr>
        <w:ind w:left="3284" w:hanging="360"/>
      </w:pPr>
      <w:rPr>
        <w:rFonts w:hint="default"/>
        <w:lang w:val="en-US" w:eastAsia="en-US" w:bidi="ar-SA"/>
      </w:rPr>
    </w:lvl>
    <w:lvl w:ilvl="3">
      <w:start w:val="0"/>
      <w:numFmt w:val="bullet"/>
      <w:lvlText w:val="•"/>
      <w:lvlJc w:val="left"/>
      <w:pPr>
        <w:ind w:left="4146" w:hanging="360"/>
      </w:pPr>
      <w:rPr>
        <w:rFonts w:hint="default"/>
        <w:lang w:val="en-US" w:eastAsia="en-US" w:bidi="ar-SA"/>
      </w:rPr>
    </w:lvl>
    <w:lvl w:ilvl="4">
      <w:start w:val="0"/>
      <w:numFmt w:val="bullet"/>
      <w:lvlText w:val="•"/>
      <w:lvlJc w:val="left"/>
      <w:pPr>
        <w:ind w:left="5008" w:hanging="360"/>
      </w:pPr>
      <w:rPr>
        <w:rFonts w:hint="default"/>
        <w:lang w:val="en-US" w:eastAsia="en-US" w:bidi="ar-SA"/>
      </w:rPr>
    </w:lvl>
    <w:lvl w:ilvl="5">
      <w:start w:val="0"/>
      <w:numFmt w:val="bullet"/>
      <w:lvlText w:val="•"/>
      <w:lvlJc w:val="left"/>
      <w:pPr>
        <w:ind w:left="5870" w:hanging="360"/>
      </w:pPr>
      <w:rPr>
        <w:rFonts w:hint="default"/>
        <w:lang w:val="en-US" w:eastAsia="en-US" w:bidi="ar-SA"/>
      </w:rPr>
    </w:lvl>
    <w:lvl w:ilvl="6">
      <w:start w:val="0"/>
      <w:numFmt w:val="bullet"/>
      <w:lvlText w:val="•"/>
      <w:lvlJc w:val="left"/>
      <w:pPr>
        <w:ind w:left="6732" w:hanging="360"/>
      </w:pPr>
      <w:rPr>
        <w:rFonts w:hint="default"/>
        <w:lang w:val="en-US" w:eastAsia="en-US" w:bidi="ar-SA"/>
      </w:rPr>
    </w:lvl>
    <w:lvl w:ilvl="7">
      <w:start w:val="0"/>
      <w:numFmt w:val="bullet"/>
      <w:lvlText w:val="•"/>
      <w:lvlJc w:val="left"/>
      <w:pPr>
        <w:ind w:left="7594" w:hanging="360"/>
      </w:pPr>
      <w:rPr>
        <w:rFonts w:hint="default"/>
        <w:lang w:val="en-US" w:eastAsia="en-US" w:bidi="ar-SA"/>
      </w:rPr>
    </w:lvl>
    <w:lvl w:ilvl="8">
      <w:start w:val="0"/>
      <w:numFmt w:val="bullet"/>
      <w:lvlText w:val="•"/>
      <w:lvlJc w:val="left"/>
      <w:pPr>
        <w:ind w:left="8456" w:hanging="360"/>
      </w:pPr>
      <w:rPr>
        <w:rFonts w:hint="default"/>
        <w:lang w:val="en-US" w:eastAsia="en-US" w:bidi="ar-SA"/>
      </w:rPr>
    </w:lvl>
  </w:abstractNum>
  <w:abstractNum w:abstractNumId="30">
    <w:multiLevelType w:val="hybridMultilevel"/>
    <w:lvl w:ilvl="0">
      <w:start w:val="1"/>
      <w:numFmt w:val="decimal"/>
      <w:lvlText w:val="%1."/>
      <w:lvlJc w:val="left"/>
      <w:pPr>
        <w:ind w:left="483" w:hanging="360"/>
        <w:jc w:val="left"/>
      </w:pPr>
      <w:rPr>
        <w:rFonts w:hint="default" w:ascii="Calibri" w:hAnsi="Calibri" w:eastAsia="Calibri" w:cs="Calibri"/>
        <w:b/>
        <w:bCs/>
        <w:i w:val="0"/>
        <w:iCs w:val="0"/>
        <w:spacing w:val="0"/>
        <w:w w:val="99"/>
        <w:sz w:val="22"/>
        <w:szCs w:val="22"/>
        <w:lang w:val="en-US" w:eastAsia="en-US" w:bidi="ar-SA"/>
      </w:rPr>
    </w:lvl>
    <w:lvl w:ilvl="1">
      <w:start w:val="0"/>
      <w:numFmt w:val="bullet"/>
      <w:lvlText w:val=""/>
      <w:lvlJc w:val="left"/>
      <w:pPr>
        <w:ind w:left="2828" w:hanging="360"/>
      </w:pPr>
      <w:rPr>
        <w:rFonts w:hint="default" w:ascii="Symbol" w:hAnsi="Symbol" w:eastAsia="Symbol" w:cs="Symbol"/>
        <w:b w:val="0"/>
        <w:bCs w:val="0"/>
        <w:i w:val="0"/>
        <w:iCs w:val="0"/>
        <w:spacing w:val="0"/>
        <w:w w:val="99"/>
        <w:sz w:val="22"/>
        <w:szCs w:val="22"/>
        <w:lang w:val="en-US" w:eastAsia="en-US" w:bidi="ar-SA"/>
      </w:rPr>
    </w:lvl>
    <w:lvl w:ilvl="2">
      <w:start w:val="0"/>
      <w:numFmt w:val="bullet"/>
      <w:lvlText w:val="•"/>
      <w:lvlJc w:val="left"/>
      <w:pPr>
        <w:ind w:left="3637" w:hanging="360"/>
      </w:pPr>
      <w:rPr>
        <w:rFonts w:hint="default"/>
        <w:lang w:val="en-US" w:eastAsia="en-US" w:bidi="ar-SA"/>
      </w:rPr>
    </w:lvl>
    <w:lvl w:ilvl="3">
      <w:start w:val="0"/>
      <w:numFmt w:val="bullet"/>
      <w:lvlText w:val="•"/>
      <w:lvlJc w:val="left"/>
      <w:pPr>
        <w:ind w:left="4455" w:hanging="360"/>
      </w:pPr>
      <w:rPr>
        <w:rFonts w:hint="default"/>
        <w:lang w:val="en-US" w:eastAsia="en-US" w:bidi="ar-SA"/>
      </w:rPr>
    </w:lvl>
    <w:lvl w:ilvl="4">
      <w:start w:val="0"/>
      <w:numFmt w:val="bullet"/>
      <w:lvlText w:val="•"/>
      <w:lvlJc w:val="left"/>
      <w:pPr>
        <w:ind w:left="5273" w:hanging="360"/>
      </w:pPr>
      <w:rPr>
        <w:rFonts w:hint="default"/>
        <w:lang w:val="en-US" w:eastAsia="en-US" w:bidi="ar-SA"/>
      </w:rPr>
    </w:lvl>
    <w:lvl w:ilvl="5">
      <w:start w:val="0"/>
      <w:numFmt w:val="bullet"/>
      <w:lvlText w:val="•"/>
      <w:lvlJc w:val="left"/>
      <w:pPr>
        <w:ind w:left="6091" w:hanging="360"/>
      </w:pPr>
      <w:rPr>
        <w:rFonts w:hint="default"/>
        <w:lang w:val="en-US" w:eastAsia="en-US" w:bidi="ar-SA"/>
      </w:rPr>
    </w:lvl>
    <w:lvl w:ilvl="6">
      <w:start w:val="0"/>
      <w:numFmt w:val="bullet"/>
      <w:lvlText w:val="•"/>
      <w:lvlJc w:val="left"/>
      <w:pPr>
        <w:ind w:left="6908" w:hanging="360"/>
      </w:pPr>
      <w:rPr>
        <w:rFonts w:hint="default"/>
        <w:lang w:val="en-US" w:eastAsia="en-US" w:bidi="ar-SA"/>
      </w:rPr>
    </w:lvl>
    <w:lvl w:ilvl="7">
      <w:start w:val="0"/>
      <w:numFmt w:val="bullet"/>
      <w:lvlText w:val="•"/>
      <w:lvlJc w:val="left"/>
      <w:pPr>
        <w:ind w:left="7726" w:hanging="360"/>
      </w:pPr>
      <w:rPr>
        <w:rFonts w:hint="default"/>
        <w:lang w:val="en-US" w:eastAsia="en-US" w:bidi="ar-SA"/>
      </w:rPr>
    </w:lvl>
    <w:lvl w:ilvl="8">
      <w:start w:val="0"/>
      <w:numFmt w:val="bullet"/>
      <w:lvlText w:val="•"/>
      <w:lvlJc w:val="left"/>
      <w:pPr>
        <w:ind w:left="8544" w:hanging="360"/>
      </w:pPr>
      <w:rPr>
        <w:rFonts w:hint="default"/>
        <w:lang w:val="en-US" w:eastAsia="en-US" w:bidi="ar-SA"/>
      </w:rPr>
    </w:lvl>
  </w:abstractNum>
  <w:abstractNum w:abstractNumId="29">
    <w:multiLevelType w:val="hybridMultilevel"/>
    <w:lvl w:ilvl="0">
      <w:start w:val="1"/>
      <w:numFmt w:val="decimal"/>
      <w:lvlText w:val="%1."/>
      <w:lvlJc w:val="left"/>
      <w:pPr>
        <w:ind w:left="483" w:hanging="360"/>
        <w:jc w:val="left"/>
      </w:pPr>
      <w:rPr>
        <w:rFonts w:hint="default" w:ascii="Calibri" w:hAnsi="Calibri" w:eastAsia="Calibri" w:cs="Calibri"/>
        <w:b/>
        <w:bCs/>
        <w:i w:val="0"/>
        <w:iCs w:val="0"/>
        <w:spacing w:val="0"/>
        <w:w w:val="99"/>
        <w:sz w:val="22"/>
        <w:szCs w:val="22"/>
        <w:lang w:val="en-US" w:eastAsia="en-US" w:bidi="ar-SA"/>
      </w:rPr>
    </w:lvl>
    <w:lvl w:ilvl="1">
      <w:start w:val="1"/>
      <w:numFmt w:val="decimal"/>
      <w:lvlText w:val="%2."/>
      <w:lvlJc w:val="left"/>
      <w:pPr>
        <w:ind w:left="1059" w:hanging="360"/>
        <w:jc w:val="left"/>
      </w:pPr>
      <w:rPr>
        <w:rFonts w:hint="default" w:ascii="Calibri" w:hAnsi="Calibri" w:eastAsia="Calibri" w:cs="Calibri"/>
        <w:b w:val="0"/>
        <w:bCs w:val="0"/>
        <w:i w:val="0"/>
        <w:iCs w:val="0"/>
        <w:spacing w:val="0"/>
        <w:w w:val="100"/>
        <w:sz w:val="21"/>
        <w:szCs w:val="21"/>
        <w:lang w:val="en-US" w:eastAsia="en-US" w:bidi="ar-SA"/>
      </w:rPr>
    </w:lvl>
    <w:lvl w:ilvl="2">
      <w:start w:val="0"/>
      <w:numFmt w:val="bullet"/>
      <w:lvlText w:val="•"/>
      <w:lvlJc w:val="left"/>
      <w:pPr>
        <w:ind w:left="2073" w:hanging="360"/>
      </w:pPr>
      <w:rPr>
        <w:rFonts w:hint="default"/>
        <w:lang w:val="en-US" w:eastAsia="en-US" w:bidi="ar-SA"/>
      </w:rPr>
    </w:lvl>
    <w:lvl w:ilvl="3">
      <w:start w:val="0"/>
      <w:numFmt w:val="bullet"/>
      <w:lvlText w:val="•"/>
      <w:lvlJc w:val="left"/>
      <w:pPr>
        <w:ind w:left="3086" w:hanging="360"/>
      </w:pPr>
      <w:rPr>
        <w:rFonts w:hint="default"/>
        <w:lang w:val="en-US" w:eastAsia="en-US" w:bidi="ar-SA"/>
      </w:rPr>
    </w:lvl>
    <w:lvl w:ilvl="4">
      <w:start w:val="0"/>
      <w:numFmt w:val="bullet"/>
      <w:lvlText w:val="•"/>
      <w:lvlJc w:val="left"/>
      <w:pPr>
        <w:ind w:left="4100" w:hanging="360"/>
      </w:pPr>
      <w:rPr>
        <w:rFonts w:hint="default"/>
        <w:lang w:val="en-US" w:eastAsia="en-US" w:bidi="ar-SA"/>
      </w:rPr>
    </w:lvl>
    <w:lvl w:ilvl="5">
      <w:start w:val="0"/>
      <w:numFmt w:val="bullet"/>
      <w:lvlText w:val="•"/>
      <w:lvlJc w:val="left"/>
      <w:pPr>
        <w:ind w:left="5113" w:hanging="360"/>
      </w:pPr>
      <w:rPr>
        <w:rFonts w:hint="default"/>
        <w:lang w:val="en-US" w:eastAsia="en-US" w:bidi="ar-SA"/>
      </w:rPr>
    </w:lvl>
    <w:lvl w:ilvl="6">
      <w:start w:val="0"/>
      <w:numFmt w:val="bullet"/>
      <w:lvlText w:val="•"/>
      <w:lvlJc w:val="left"/>
      <w:pPr>
        <w:ind w:left="6126" w:hanging="360"/>
      </w:pPr>
      <w:rPr>
        <w:rFonts w:hint="default"/>
        <w:lang w:val="en-US" w:eastAsia="en-US" w:bidi="ar-SA"/>
      </w:rPr>
    </w:lvl>
    <w:lvl w:ilvl="7">
      <w:start w:val="0"/>
      <w:numFmt w:val="bullet"/>
      <w:lvlText w:val="•"/>
      <w:lvlJc w:val="left"/>
      <w:pPr>
        <w:ind w:left="7140" w:hanging="360"/>
      </w:pPr>
      <w:rPr>
        <w:rFonts w:hint="default"/>
        <w:lang w:val="en-US" w:eastAsia="en-US" w:bidi="ar-SA"/>
      </w:rPr>
    </w:lvl>
    <w:lvl w:ilvl="8">
      <w:start w:val="0"/>
      <w:numFmt w:val="bullet"/>
      <w:lvlText w:val="•"/>
      <w:lvlJc w:val="left"/>
      <w:pPr>
        <w:ind w:left="8153" w:hanging="360"/>
      </w:pPr>
      <w:rPr>
        <w:rFonts w:hint="default"/>
        <w:lang w:val="en-US" w:eastAsia="en-US" w:bidi="ar-SA"/>
      </w:rPr>
    </w:lvl>
  </w:abstractNum>
  <w:abstractNum w:abstractNumId="28">
    <w:multiLevelType w:val="hybridMultilevel"/>
    <w:lvl w:ilvl="0">
      <w:start w:val="1"/>
      <w:numFmt w:val="decimal"/>
      <w:lvlText w:val="%1."/>
      <w:lvlJc w:val="left"/>
      <w:pPr>
        <w:ind w:left="463" w:hanging="360"/>
        <w:jc w:val="left"/>
      </w:pPr>
      <w:rPr>
        <w:rFonts w:hint="default" w:ascii="Calibri" w:hAnsi="Calibri" w:eastAsia="Calibri" w:cs="Calibri"/>
        <w:b/>
        <w:bCs/>
        <w:i w:val="0"/>
        <w:iCs w:val="0"/>
        <w:spacing w:val="0"/>
        <w:w w:val="100"/>
        <w:sz w:val="21"/>
        <w:szCs w:val="21"/>
        <w:lang w:val="en-US" w:eastAsia="en-US" w:bidi="ar-SA"/>
      </w:rPr>
    </w:lvl>
    <w:lvl w:ilvl="1">
      <w:start w:val="0"/>
      <w:numFmt w:val="bullet"/>
      <w:lvlText w:val="•"/>
      <w:lvlJc w:val="left"/>
      <w:pPr>
        <w:ind w:left="1388" w:hanging="360"/>
      </w:pPr>
      <w:rPr>
        <w:rFonts w:hint="default"/>
        <w:lang w:val="en-US" w:eastAsia="en-US" w:bidi="ar-SA"/>
      </w:rPr>
    </w:lvl>
    <w:lvl w:ilvl="2">
      <w:start w:val="0"/>
      <w:numFmt w:val="bullet"/>
      <w:lvlText w:val="•"/>
      <w:lvlJc w:val="left"/>
      <w:pPr>
        <w:ind w:left="2316" w:hanging="360"/>
      </w:pPr>
      <w:rPr>
        <w:rFonts w:hint="default"/>
        <w:lang w:val="en-US" w:eastAsia="en-US" w:bidi="ar-SA"/>
      </w:rPr>
    </w:lvl>
    <w:lvl w:ilvl="3">
      <w:start w:val="0"/>
      <w:numFmt w:val="bullet"/>
      <w:lvlText w:val="•"/>
      <w:lvlJc w:val="left"/>
      <w:pPr>
        <w:ind w:left="3244" w:hanging="360"/>
      </w:pPr>
      <w:rPr>
        <w:rFonts w:hint="default"/>
        <w:lang w:val="en-US" w:eastAsia="en-US" w:bidi="ar-SA"/>
      </w:rPr>
    </w:lvl>
    <w:lvl w:ilvl="4">
      <w:start w:val="0"/>
      <w:numFmt w:val="bullet"/>
      <w:lvlText w:val="•"/>
      <w:lvlJc w:val="left"/>
      <w:pPr>
        <w:ind w:left="4172" w:hanging="360"/>
      </w:pPr>
      <w:rPr>
        <w:rFonts w:hint="default"/>
        <w:lang w:val="en-US" w:eastAsia="en-US" w:bidi="ar-SA"/>
      </w:rPr>
    </w:lvl>
    <w:lvl w:ilvl="5">
      <w:start w:val="0"/>
      <w:numFmt w:val="bullet"/>
      <w:lvlText w:val="•"/>
      <w:lvlJc w:val="left"/>
      <w:pPr>
        <w:ind w:left="5100" w:hanging="360"/>
      </w:pPr>
      <w:rPr>
        <w:rFonts w:hint="default"/>
        <w:lang w:val="en-US" w:eastAsia="en-US" w:bidi="ar-SA"/>
      </w:rPr>
    </w:lvl>
    <w:lvl w:ilvl="6">
      <w:start w:val="0"/>
      <w:numFmt w:val="bullet"/>
      <w:lvlText w:val="•"/>
      <w:lvlJc w:val="left"/>
      <w:pPr>
        <w:ind w:left="6028" w:hanging="360"/>
      </w:pPr>
      <w:rPr>
        <w:rFonts w:hint="default"/>
        <w:lang w:val="en-US" w:eastAsia="en-US" w:bidi="ar-SA"/>
      </w:rPr>
    </w:lvl>
    <w:lvl w:ilvl="7">
      <w:start w:val="0"/>
      <w:numFmt w:val="bullet"/>
      <w:lvlText w:val="•"/>
      <w:lvlJc w:val="left"/>
      <w:pPr>
        <w:ind w:left="6956" w:hanging="360"/>
      </w:pPr>
      <w:rPr>
        <w:rFonts w:hint="default"/>
        <w:lang w:val="en-US" w:eastAsia="en-US" w:bidi="ar-SA"/>
      </w:rPr>
    </w:lvl>
    <w:lvl w:ilvl="8">
      <w:start w:val="0"/>
      <w:numFmt w:val="bullet"/>
      <w:lvlText w:val="•"/>
      <w:lvlJc w:val="left"/>
      <w:pPr>
        <w:ind w:left="7884" w:hanging="360"/>
      </w:pPr>
      <w:rPr>
        <w:rFonts w:hint="default"/>
        <w:lang w:val="en-US" w:eastAsia="en-US" w:bidi="ar-SA"/>
      </w:rPr>
    </w:lvl>
  </w:abstractNum>
  <w:abstractNum w:abstractNumId="27">
    <w:multiLevelType w:val="hybridMultilevel"/>
    <w:lvl w:ilvl="0">
      <w:start w:val="1"/>
      <w:numFmt w:val="decimal"/>
      <w:lvlText w:val="%1."/>
      <w:lvlJc w:val="left"/>
      <w:pPr>
        <w:ind w:left="323" w:hanging="230"/>
        <w:jc w:val="right"/>
      </w:pPr>
      <w:rPr>
        <w:rFonts w:hint="default" w:ascii="Calibri" w:hAnsi="Calibri" w:eastAsia="Calibri" w:cs="Calibri"/>
        <w:b/>
        <w:bCs/>
        <w:i w:val="0"/>
        <w:iCs w:val="0"/>
        <w:spacing w:val="0"/>
        <w:w w:val="99"/>
        <w:sz w:val="22"/>
        <w:szCs w:val="22"/>
        <w:lang w:val="en-US" w:eastAsia="en-US" w:bidi="ar-SA"/>
      </w:rPr>
    </w:lvl>
    <w:lvl w:ilvl="1">
      <w:start w:val="0"/>
      <w:numFmt w:val="bullet"/>
      <w:lvlText w:val="•"/>
      <w:lvlJc w:val="left"/>
      <w:pPr>
        <w:ind w:left="1270" w:hanging="230"/>
      </w:pPr>
      <w:rPr>
        <w:rFonts w:hint="default"/>
        <w:lang w:val="en-US" w:eastAsia="en-US" w:bidi="ar-SA"/>
      </w:rPr>
    </w:lvl>
    <w:lvl w:ilvl="2">
      <w:start w:val="0"/>
      <w:numFmt w:val="bullet"/>
      <w:lvlText w:val="•"/>
      <w:lvlJc w:val="left"/>
      <w:pPr>
        <w:ind w:left="2220" w:hanging="230"/>
      </w:pPr>
      <w:rPr>
        <w:rFonts w:hint="default"/>
        <w:lang w:val="en-US" w:eastAsia="en-US" w:bidi="ar-SA"/>
      </w:rPr>
    </w:lvl>
    <w:lvl w:ilvl="3">
      <w:start w:val="0"/>
      <w:numFmt w:val="bullet"/>
      <w:lvlText w:val="•"/>
      <w:lvlJc w:val="left"/>
      <w:pPr>
        <w:ind w:left="3170" w:hanging="230"/>
      </w:pPr>
      <w:rPr>
        <w:rFonts w:hint="default"/>
        <w:lang w:val="en-US" w:eastAsia="en-US" w:bidi="ar-SA"/>
      </w:rPr>
    </w:lvl>
    <w:lvl w:ilvl="4">
      <w:start w:val="0"/>
      <w:numFmt w:val="bullet"/>
      <w:lvlText w:val="•"/>
      <w:lvlJc w:val="left"/>
      <w:pPr>
        <w:ind w:left="4120" w:hanging="230"/>
      </w:pPr>
      <w:rPr>
        <w:rFonts w:hint="default"/>
        <w:lang w:val="en-US" w:eastAsia="en-US" w:bidi="ar-SA"/>
      </w:rPr>
    </w:lvl>
    <w:lvl w:ilvl="5">
      <w:start w:val="0"/>
      <w:numFmt w:val="bullet"/>
      <w:lvlText w:val="•"/>
      <w:lvlJc w:val="left"/>
      <w:pPr>
        <w:ind w:left="5070" w:hanging="230"/>
      </w:pPr>
      <w:rPr>
        <w:rFonts w:hint="default"/>
        <w:lang w:val="en-US" w:eastAsia="en-US" w:bidi="ar-SA"/>
      </w:rPr>
    </w:lvl>
    <w:lvl w:ilvl="6">
      <w:start w:val="0"/>
      <w:numFmt w:val="bullet"/>
      <w:lvlText w:val="•"/>
      <w:lvlJc w:val="left"/>
      <w:pPr>
        <w:ind w:left="6020" w:hanging="230"/>
      </w:pPr>
      <w:rPr>
        <w:rFonts w:hint="default"/>
        <w:lang w:val="en-US" w:eastAsia="en-US" w:bidi="ar-SA"/>
      </w:rPr>
    </w:lvl>
    <w:lvl w:ilvl="7">
      <w:start w:val="0"/>
      <w:numFmt w:val="bullet"/>
      <w:lvlText w:val="•"/>
      <w:lvlJc w:val="left"/>
      <w:pPr>
        <w:ind w:left="6970" w:hanging="230"/>
      </w:pPr>
      <w:rPr>
        <w:rFonts w:hint="default"/>
        <w:lang w:val="en-US" w:eastAsia="en-US" w:bidi="ar-SA"/>
      </w:rPr>
    </w:lvl>
    <w:lvl w:ilvl="8">
      <w:start w:val="0"/>
      <w:numFmt w:val="bullet"/>
      <w:lvlText w:val="•"/>
      <w:lvlJc w:val="left"/>
      <w:pPr>
        <w:ind w:left="7920" w:hanging="230"/>
      </w:pPr>
      <w:rPr>
        <w:rFonts w:hint="default"/>
        <w:lang w:val="en-US" w:eastAsia="en-US" w:bidi="ar-SA"/>
      </w:rPr>
    </w:lvl>
  </w:abstractNum>
  <w:abstractNum w:abstractNumId="26">
    <w:multiLevelType w:val="hybridMultilevel"/>
    <w:lvl w:ilvl="0">
      <w:start w:val="1"/>
      <w:numFmt w:val="decimal"/>
      <w:lvlText w:val="%1."/>
      <w:lvlJc w:val="left"/>
      <w:pPr>
        <w:ind w:left="463" w:hanging="360"/>
        <w:jc w:val="left"/>
      </w:pPr>
      <w:rPr>
        <w:rFonts w:hint="default" w:ascii="Calibri" w:hAnsi="Calibri" w:eastAsia="Calibri" w:cs="Calibri"/>
        <w:b/>
        <w:bCs/>
        <w:i w:val="0"/>
        <w:iCs w:val="0"/>
        <w:spacing w:val="0"/>
        <w:w w:val="99"/>
        <w:sz w:val="22"/>
        <w:szCs w:val="22"/>
        <w:lang w:val="en-US" w:eastAsia="en-US" w:bidi="ar-SA"/>
      </w:rPr>
    </w:lvl>
    <w:lvl w:ilvl="1">
      <w:start w:val="0"/>
      <w:numFmt w:val="bullet"/>
      <w:lvlText w:val="•"/>
      <w:lvlJc w:val="left"/>
      <w:pPr>
        <w:ind w:left="1422" w:hanging="360"/>
      </w:pPr>
      <w:rPr>
        <w:rFonts w:hint="default"/>
        <w:lang w:val="en-US" w:eastAsia="en-US" w:bidi="ar-SA"/>
      </w:rPr>
    </w:lvl>
    <w:lvl w:ilvl="2">
      <w:start w:val="0"/>
      <w:numFmt w:val="bullet"/>
      <w:lvlText w:val="•"/>
      <w:lvlJc w:val="left"/>
      <w:pPr>
        <w:ind w:left="2384" w:hanging="360"/>
      </w:pPr>
      <w:rPr>
        <w:rFonts w:hint="default"/>
        <w:lang w:val="en-US" w:eastAsia="en-US" w:bidi="ar-SA"/>
      </w:rPr>
    </w:lvl>
    <w:lvl w:ilvl="3">
      <w:start w:val="0"/>
      <w:numFmt w:val="bullet"/>
      <w:lvlText w:val="•"/>
      <w:lvlJc w:val="left"/>
      <w:pPr>
        <w:ind w:left="3346" w:hanging="360"/>
      </w:pPr>
      <w:rPr>
        <w:rFonts w:hint="default"/>
        <w:lang w:val="en-US" w:eastAsia="en-US" w:bidi="ar-SA"/>
      </w:rPr>
    </w:lvl>
    <w:lvl w:ilvl="4">
      <w:start w:val="0"/>
      <w:numFmt w:val="bullet"/>
      <w:lvlText w:val="•"/>
      <w:lvlJc w:val="left"/>
      <w:pPr>
        <w:ind w:left="4308" w:hanging="360"/>
      </w:pPr>
      <w:rPr>
        <w:rFonts w:hint="default"/>
        <w:lang w:val="en-US" w:eastAsia="en-US" w:bidi="ar-SA"/>
      </w:rPr>
    </w:lvl>
    <w:lvl w:ilvl="5">
      <w:start w:val="0"/>
      <w:numFmt w:val="bullet"/>
      <w:lvlText w:val="•"/>
      <w:lvlJc w:val="left"/>
      <w:pPr>
        <w:ind w:left="5270" w:hanging="360"/>
      </w:pPr>
      <w:rPr>
        <w:rFonts w:hint="default"/>
        <w:lang w:val="en-US" w:eastAsia="en-US" w:bidi="ar-SA"/>
      </w:rPr>
    </w:lvl>
    <w:lvl w:ilvl="6">
      <w:start w:val="0"/>
      <w:numFmt w:val="bullet"/>
      <w:lvlText w:val="•"/>
      <w:lvlJc w:val="left"/>
      <w:pPr>
        <w:ind w:left="6232" w:hanging="360"/>
      </w:pPr>
      <w:rPr>
        <w:rFonts w:hint="default"/>
        <w:lang w:val="en-US" w:eastAsia="en-US" w:bidi="ar-SA"/>
      </w:rPr>
    </w:lvl>
    <w:lvl w:ilvl="7">
      <w:start w:val="0"/>
      <w:numFmt w:val="bullet"/>
      <w:lvlText w:val="•"/>
      <w:lvlJc w:val="left"/>
      <w:pPr>
        <w:ind w:left="7194" w:hanging="360"/>
      </w:pPr>
      <w:rPr>
        <w:rFonts w:hint="default"/>
        <w:lang w:val="en-US" w:eastAsia="en-US" w:bidi="ar-SA"/>
      </w:rPr>
    </w:lvl>
    <w:lvl w:ilvl="8">
      <w:start w:val="0"/>
      <w:numFmt w:val="bullet"/>
      <w:lvlText w:val="•"/>
      <w:lvlJc w:val="left"/>
      <w:pPr>
        <w:ind w:left="8156" w:hanging="360"/>
      </w:pPr>
      <w:rPr>
        <w:rFonts w:hint="default"/>
        <w:lang w:val="en-US" w:eastAsia="en-US" w:bidi="ar-SA"/>
      </w:rPr>
    </w:lvl>
  </w:abstractNum>
  <w:abstractNum w:abstractNumId="25">
    <w:multiLevelType w:val="hybridMultilevel"/>
    <w:lvl w:ilvl="0">
      <w:start w:val="1"/>
      <w:numFmt w:val="decimal"/>
      <w:lvlText w:val="%1."/>
      <w:lvlJc w:val="left"/>
      <w:pPr>
        <w:ind w:left="463" w:hanging="360"/>
        <w:jc w:val="left"/>
      </w:pPr>
      <w:rPr>
        <w:rFonts w:hint="default"/>
        <w:spacing w:val="0"/>
        <w:w w:val="100"/>
        <w:lang w:val="en-US" w:eastAsia="en-US" w:bidi="ar-SA"/>
      </w:rPr>
    </w:lvl>
    <w:lvl w:ilvl="1">
      <w:start w:val="0"/>
      <w:numFmt w:val="bullet"/>
      <w:lvlText w:val="•"/>
      <w:lvlJc w:val="left"/>
      <w:pPr>
        <w:ind w:left="1392" w:hanging="360"/>
      </w:pPr>
      <w:rPr>
        <w:rFonts w:hint="default"/>
        <w:lang w:val="en-US" w:eastAsia="en-US" w:bidi="ar-SA"/>
      </w:rPr>
    </w:lvl>
    <w:lvl w:ilvl="2">
      <w:start w:val="0"/>
      <w:numFmt w:val="bullet"/>
      <w:lvlText w:val="•"/>
      <w:lvlJc w:val="left"/>
      <w:pPr>
        <w:ind w:left="2324" w:hanging="360"/>
      </w:pPr>
      <w:rPr>
        <w:rFonts w:hint="default"/>
        <w:lang w:val="en-US" w:eastAsia="en-US" w:bidi="ar-SA"/>
      </w:rPr>
    </w:lvl>
    <w:lvl w:ilvl="3">
      <w:start w:val="0"/>
      <w:numFmt w:val="bullet"/>
      <w:lvlText w:val="•"/>
      <w:lvlJc w:val="left"/>
      <w:pPr>
        <w:ind w:left="3256" w:hanging="360"/>
      </w:pPr>
      <w:rPr>
        <w:rFonts w:hint="default"/>
        <w:lang w:val="en-US" w:eastAsia="en-US" w:bidi="ar-SA"/>
      </w:rPr>
    </w:lvl>
    <w:lvl w:ilvl="4">
      <w:start w:val="0"/>
      <w:numFmt w:val="bullet"/>
      <w:lvlText w:val="•"/>
      <w:lvlJc w:val="left"/>
      <w:pPr>
        <w:ind w:left="4188" w:hanging="360"/>
      </w:pPr>
      <w:rPr>
        <w:rFonts w:hint="default"/>
        <w:lang w:val="en-US" w:eastAsia="en-US" w:bidi="ar-SA"/>
      </w:rPr>
    </w:lvl>
    <w:lvl w:ilvl="5">
      <w:start w:val="0"/>
      <w:numFmt w:val="bullet"/>
      <w:lvlText w:val="•"/>
      <w:lvlJc w:val="left"/>
      <w:pPr>
        <w:ind w:left="5120" w:hanging="360"/>
      </w:pPr>
      <w:rPr>
        <w:rFonts w:hint="default"/>
        <w:lang w:val="en-US" w:eastAsia="en-US" w:bidi="ar-SA"/>
      </w:rPr>
    </w:lvl>
    <w:lvl w:ilvl="6">
      <w:start w:val="0"/>
      <w:numFmt w:val="bullet"/>
      <w:lvlText w:val="•"/>
      <w:lvlJc w:val="left"/>
      <w:pPr>
        <w:ind w:left="6052" w:hanging="360"/>
      </w:pPr>
      <w:rPr>
        <w:rFonts w:hint="default"/>
        <w:lang w:val="en-US" w:eastAsia="en-US" w:bidi="ar-SA"/>
      </w:rPr>
    </w:lvl>
    <w:lvl w:ilvl="7">
      <w:start w:val="0"/>
      <w:numFmt w:val="bullet"/>
      <w:lvlText w:val="•"/>
      <w:lvlJc w:val="left"/>
      <w:pPr>
        <w:ind w:left="6984" w:hanging="360"/>
      </w:pPr>
      <w:rPr>
        <w:rFonts w:hint="default"/>
        <w:lang w:val="en-US" w:eastAsia="en-US" w:bidi="ar-SA"/>
      </w:rPr>
    </w:lvl>
    <w:lvl w:ilvl="8">
      <w:start w:val="0"/>
      <w:numFmt w:val="bullet"/>
      <w:lvlText w:val="•"/>
      <w:lvlJc w:val="left"/>
      <w:pPr>
        <w:ind w:left="7916" w:hanging="360"/>
      </w:pPr>
      <w:rPr>
        <w:rFonts w:hint="default"/>
        <w:lang w:val="en-US" w:eastAsia="en-US" w:bidi="ar-SA"/>
      </w:rPr>
    </w:lvl>
  </w:abstractNum>
  <w:abstractNum w:abstractNumId="24">
    <w:multiLevelType w:val="hybridMultilevel"/>
    <w:lvl w:ilvl="0">
      <w:start w:val="0"/>
      <w:numFmt w:val="bullet"/>
      <w:lvlText w:val="●"/>
      <w:lvlJc w:val="left"/>
      <w:pPr>
        <w:ind w:left="1482" w:hanging="360"/>
      </w:pPr>
      <w:rPr>
        <w:rFonts w:hint="default" w:ascii="Calibri" w:hAnsi="Calibri" w:eastAsia="Calibri" w:cs="Calibri"/>
        <w:b w:val="0"/>
        <w:bCs w:val="0"/>
        <w:i w:val="0"/>
        <w:iCs w:val="0"/>
        <w:spacing w:val="0"/>
        <w:w w:val="100"/>
        <w:sz w:val="18"/>
        <w:szCs w:val="18"/>
        <w:lang w:val="en-US" w:eastAsia="en-US" w:bidi="ar-SA"/>
      </w:rPr>
    </w:lvl>
    <w:lvl w:ilvl="1">
      <w:start w:val="0"/>
      <w:numFmt w:val="bullet"/>
      <w:lvlText w:val="●"/>
      <w:lvlJc w:val="left"/>
      <w:pPr>
        <w:ind w:left="556" w:hanging="360"/>
      </w:pPr>
      <w:rPr>
        <w:rFonts w:hint="default" w:ascii="Calibri" w:hAnsi="Calibri" w:eastAsia="Calibri" w:cs="Calibri"/>
        <w:b w:val="0"/>
        <w:bCs w:val="0"/>
        <w:i w:val="0"/>
        <w:iCs w:val="0"/>
        <w:spacing w:val="0"/>
        <w:w w:val="100"/>
        <w:sz w:val="18"/>
        <w:szCs w:val="18"/>
        <w:lang w:val="en-US" w:eastAsia="en-US" w:bidi="ar-SA"/>
      </w:rPr>
    </w:lvl>
    <w:lvl w:ilvl="2">
      <w:start w:val="0"/>
      <w:numFmt w:val="bullet"/>
      <w:lvlText w:val="•"/>
      <w:lvlJc w:val="left"/>
      <w:pPr>
        <w:ind w:left="1295" w:hanging="360"/>
      </w:pPr>
      <w:rPr>
        <w:rFonts w:hint="default"/>
        <w:lang w:val="en-US" w:eastAsia="en-US" w:bidi="ar-SA"/>
      </w:rPr>
    </w:lvl>
    <w:lvl w:ilvl="3">
      <w:start w:val="0"/>
      <w:numFmt w:val="bullet"/>
      <w:lvlText w:val="•"/>
      <w:lvlJc w:val="left"/>
      <w:pPr>
        <w:ind w:left="1110" w:hanging="360"/>
      </w:pPr>
      <w:rPr>
        <w:rFonts w:hint="default"/>
        <w:lang w:val="en-US" w:eastAsia="en-US" w:bidi="ar-SA"/>
      </w:rPr>
    </w:lvl>
    <w:lvl w:ilvl="4">
      <w:start w:val="0"/>
      <w:numFmt w:val="bullet"/>
      <w:lvlText w:val="•"/>
      <w:lvlJc w:val="left"/>
      <w:pPr>
        <w:ind w:left="926" w:hanging="360"/>
      </w:pPr>
      <w:rPr>
        <w:rFonts w:hint="default"/>
        <w:lang w:val="en-US" w:eastAsia="en-US" w:bidi="ar-SA"/>
      </w:rPr>
    </w:lvl>
    <w:lvl w:ilvl="5">
      <w:start w:val="0"/>
      <w:numFmt w:val="bullet"/>
      <w:lvlText w:val="•"/>
      <w:lvlJc w:val="left"/>
      <w:pPr>
        <w:ind w:left="741" w:hanging="360"/>
      </w:pPr>
      <w:rPr>
        <w:rFonts w:hint="default"/>
        <w:lang w:val="en-US" w:eastAsia="en-US" w:bidi="ar-SA"/>
      </w:rPr>
    </w:lvl>
    <w:lvl w:ilvl="6">
      <w:start w:val="0"/>
      <w:numFmt w:val="bullet"/>
      <w:lvlText w:val="•"/>
      <w:lvlJc w:val="left"/>
      <w:pPr>
        <w:ind w:left="556" w:hanging="360"/>
      </w:pPr>
      <w:rPr>
        <w:rFonts w:hint="default"/>
        <w:lang w:val="en-US" w:eastAsia="en-US" w:bidi="ar-SA"/>
      </w:rPr>
    </w:lvl>
    <w:lvl w:ilvl="7">
      <w:start w:val="0"/>
      <w:numFmt w:val="bullet"/>
      <w:lvlText w:val="•"/>
      <w:lvlJc w:val="left"/>
      <w:pPr>
        <w:ind w:left="372" w:hanging="360"/>
      </w:pPr>
      <w:rPr>
        <w:rFonts w:hint="default"/>
        <w:lang w:val="en-US" w:eastAsia="en-US" w:bidi="ar-SA"/>
      </w:rPr>
    </w:lvl>
    <w:lvl w:ilvl="8">
      <w:start w:val="0"/>
      <w:numFmt w:val="bullet"/>
      <w:lvlText w:val="•"/>
      <w:lvlJc w:val="left"/>
      <w:pPr>
        <w:ind w:left="187" w:hanging="360"/>
      </w:pPr>
      <w:rPr>
        <w:rFonts w:hint="default"/>
        <w:lang w:val="en-US" w:eastAsia="en-US" w:bidi="ar-SA"/>
      </w:rPr>
    </w:lvl>
  </w:abstractNum>
  <w:abstractNum w:abstractNumId="23">
    <w:multiLevelType w:val="hybridMultilevel"/>
    <w:lvl w:ilvl="0">
      <w:start w:val="1"/>
      <w:numFmt w:val="decimal"/>
      <w:lvlText w:val="%1."/>
      <w:lvlJc w:val="left"/>
      <w:pPr>
        <w:ind w:left="463" w:hanging="360"/>
        <w:jc w:val="left"/>
      </w:pPr>
      <w:rPr>
        <w:rFonts w:hint="default" w:ascii="Calibri" w:hAnsi="Calibri" w:eastAsia="Calibri" w:cs="Calibri"/>
        <w:b/>
        <w:bCs/>
        <w:i w:val="0"/>
        <w:iCs w:val="0"/>
        <w:spacing w:val="0"/>
        <w:w w:val="99"/>
        <w:sz w:val="22"/>
        <w:szCs w:val="22"/>
        <w:lang w:val="en-US" w:eastAsia="en-US" w:bidi="ar-SA"/>
      </w:rPr>
    </w:lvl>
    <w:lvl w:ilvl="1">
      <w:start w:val="0"/>
      <w:numFmt w:val="bullet"/>
      <w:lvlText w:val="•"/>
      <w:lvlJc w:val="left"/>
      <w:pPr>
        <w:ind w:left="1408" w:hanging="360"/>
      </w:pPr>
      <w:rPr>
        <w:rFonts w:hint="default"/>
        <w:lang w:val="en-US" w:eastAsia="en-US" w:bidi="ar-SA"/>
      </w:rPr>
    </w:lvl>
    <w:lvl w:ilvl="2">
      <w:start w:val="0"/>
      <w:numFmt w:val="bullet"/>
      <w:lvlText w:val="•"/>
      <w:lvlJc w:val="left"/>
      <w:pPr>
        <w:ind w:left="2356" w:hanging="360"/>
      </w:pPr>
      <w:rPr>
        <w:rFonts w:hint="default"/>
        <w:lang w:val="en-US" w:eastAsia="en-US" w:bidi="ar-SA"/>
      </w:rPr>
    </w:lvl>
    <w:lvl w:ilvl="3">
      <w:start w:val="0"/>
      <w:numFmt w:val="bullet"/>
      <w:lvlText w:val="•"/>
      <w:lvlJc w:val="left"/>
      <w:pPr>
        <w:ind w:left="3304" w:hanging="360"/>
      </w:pPr>
      <w:rPr>
        <w:rFonts w:hint="default"/>
        <w:lang w:val="en-US" w:eastAsia="en-US" w:bidi="ar-SA"/>
      </w:rPr>
    </w:lvl>
    <w:lvl w:ilvl="4">
      <w:start w:val="0"/>
      <w:numFmt w:val="bullet"/>
      <w:lvlText w:val="•"/>
      <w:lvlJc w:val="left"/>
      <w:pPr>
        <w:ind w:left="4252" w:hanging="360"/>
      </w:pPr>
      <w:rPr>
        <w:rFonts w:hint="default"/>
        <w:lang w:val="en-US" w:eastAsia="en-US" w:bidi="ar-SA"/>
      </w:rPr>
    </w:lvl>
    <w:lvl w:ilvl="5">
      <w:start w:val="0"/>
      <w:numFmt w:val="bullet"/>
      <w:lvlText w:val="•"/>
      <w:lvlJc w:val="left"/>
      <w:pPr>
        <w:ind w:left="5200" w:hanging="360"/>
      </w:pPr>
      <w:rPr>
        <w:rFonts w:hint="default"/>
        <w:lang w:val="en-US" w:eastAsia="en-US" w:bidi="ar-SA"/>
      </w:rPr>
    </w:lvl>
    <w:lvl w:ilvl="6">
      <w:start w:val="0"/>
      <w:numFmt w:val="bullet"/>
      <w:lvlText w:val="•"/>
      <w:lvlJc w:val="left"/>
      <w:pPr>
        <w:ind w:left="6148" w:hanging="360"/>
      </w:pPr>
      <w:rPr>
        <w:rFonts w:hint="default"/>
        <w:lang w:val="en-US" w:eastAsia="en-US" w:bidi="ar-SA"/>
      </w:rPr>
    </w:lvl>
    <w:lvl w:ilvl="7">
      <w:start w:val="0"/>
      <w:numFmt w:val="bullet"/>
      <w:lvlText w:val="•"/>
      <w:lvlJc w:val="left"/>
      <w:pPr>
        <w:ind w:left="7096" w:hanging="360"/>
      </w:pPr>
      <w:rPr>
        <w:rFonts w:hint="default"/>
        <w:lang w:val="en-US" w:eastAsia="en-US" w:bidi="ar-SA"/>
      </w:rPr>
    </w:lvl>
    <w:lvl w:ilvl="8">
      <w:start w:val="0"/>
      <w:numFmt w:val="bullet"/>
      <w:lvlText w:val="•"/>
      <w:lvlJc w:val="left"/>
      <w:pPr>
        <w:ind w:left="8044" w:hanging="360"/>
      </w:pPr>
      <w:rPr>
        <w:rFonts w:hint="default"/>
        <w:lang w:val="en-US" w:eastAsia="en-US" w:bidi="ar-SA"/>
      </w:rPr>
    </w:lvl>
  </w:abstractNum>
  <w:abstractNum w:abstractNumId="22">
    <w:multiLevelType w:val="hybridMultilevel"/>
    <w:lvl w:ilvl="0">
      <w:start w:val="1"/>
      <w:numFmt w:val="decimal"/>
      <w:lvlText w:val="%1."/>
      <w:lvlJc w:val="left"/>
      <w:pPr>
        <w:ind w:left="363" w:hanging="241"/>
        <w:jc w:val="right"/>
      </w:pPr>
      <w:rPr>
        <w:rFonts w:hint="default" w:ascii="Calibri" w:hAnsi="Calibri" w:eastAsia="Calibri" w:cs="Calibri"/>
        <w:b/>
        <w:bCs/>
        <w:i w:val="0"/>
        <w:iCs w:val="0"/>
        <w:spacing w:val="0"/>
        <w:w w:val="99"/>
        <w:sz w:val="22"/>
        <w:szCs w:val="22"/>
        <w:lang w:val="en-US" w:eastAsia="en-US" w:bidi="ar-SA"/>
      </w:rPr>
    </w:lvl>
    <w:lvl w:ilvl="1">
      <w:start w:val="0"/>
      <w:numFmt w:val="bullet"/>
      <w:lvlText w:val="•"/>
      <w:lvlJc w:val="left"/>
      <w:pPr>
        <w:ind w:left="1316" w:hanging="241"/>
      </w:pPr>
      <w:rPr>
        <w:rFonts w:hint="default"/>
        <w:lang w:val="en-US" w:eastAsia="en-US" w:bidi="ar-SA"/>
      </w:rPr>
    </w:lvl>
    <w:lvl w:ilvl="2">
      <w:start w:val="0"/>
      <w:numFmt w:val="bullet"/>
      <w:lvlText w:val="•"/>
      <w:lvlJc w:val="left"/>
      <w:pPr>
        <w:ind w:left="2272" w:hanging="241"/>
      </w:pPr>
      <w:rPr>
        <w:rFonts w:hint="default"/>
        <w:lang w:val="en-US" w:eastAsia="en-US" w:bidi="ar-SA"/>
      </w:rPr>
    </w:lvl>
    <w:lvl w:ilvl="3">
      <w:start w:val="0"/>
      <w:numFmt w:val="bullet"/>
      <w:lvlText w:val="•"/>
      <w:lvlJc w:val="left"/>
      <w:pPr>
        <w:ind w:left="3228" w:hanging="241"/>
      </w:pPr>
      <w:rPr>
        <w:rFonts w:hint="default"/>
        <w:lang w:val="en-US" w:eastAsia="en-US" w:bidi="ar-SA"/>
      </w:rPr>
    </w:lvl>
    <w:lvl w:ilvl="4">
      <w:start w:val="0"/>
      <w:numFmt w:val="bullet"/>
      <w:lvlText w:val="•"/>
      <w:lvlJc w:val="left"/>
      <w:pPr>
        <w:ind w:left="4184" w:hanging="241"/>
      </w:pPr>
      <w:rPr>
        <w:rFonts w:hint="default"/>
        <w:lang w:val="en-US" w:eastAsia="en-US" w:bidi="ar-SA"/>
      </w:rPr>
    </w:lvl>
    <w:lvl w:ilvl="5">
      <w:start w:val="0"/>
      <w:numFmt w:val="bullet"/>
      <w:lvlText w:val="•"/>
      <w:lvlJc w:val="left"/>
      <w:pPr>
        <w:ind w:left="5140" w:hanging="241"/>
      </w:pPr>
      <w:rPr>
        <w:rFonts w:hint="default"/>
        <w:lang w:val="en-US" w:eastAsia="en-US" w:bidi="ar-SA"/>
      </w:rPr>
    </w:lvl>
    <w:lvl w:ilvl="6">
      <w:start w:val="0"/>
      <w:numFmt w:val="bullet"/>
      <w:lvlText w:val="•"/>
      <w:lvlJc w:val="left"/>
      <w:pPr>
        <w:ind w:left="6096" w:hanging="241"/>
      </w:pPr>
      <w:rPr>
        <w:rFonts w:hint="default"/>
        <w:lang w:val="en-US" w:eastAsia="en-US" w:bidi="ar-SA"/>
      </w:rPr>
    </w:lvl>
    <w:lvl w:ilvl="7">
      <w:start w:val="0"/>
      <w:numFmt w:val="bullet"/>
      <w:lvlText w:val="•"/>
      <w:lvlJc w:val="left"/>
      <w:pPr>
        <w:ind w:left="7052" w:hanging="241"/>
      </w:pPr>
      <w:rPr>
        <w:rFonts w:hint="default"/>
        <w:lang w:val="en-US" w:eastAsia="en-US" w:bidi="ar-SA"/>
      </w:rPr>
    </w:lvl>
    <w:lvl w:ilvl="8">
      <w:start w:val="0"/>
      <w:numFmt w:val="bullet"/>
      <w:lvlText w:val="•"/>
      <w:lvlJc w:val="left"/>
      <w:pPr>
        <w:ind w:left="8008" w:hanging="241"/>
      </w:pPr>
      <w:rPr>
        <w:rFonts w:hint="default"/>
        <w:lang w:val="en-US" w:eastAsia="en-US" w:bidi="ar-SA"/>
      </w:rPr>
    </w:lvl>
  </w:abstractNum>
  <w:abstractNum w:abstractNumId="21">
    <w:multiLevelType w:val="hybridMultilevel"/>
    <w:lvl w:ilvl="0">
      <w:start w:val="1"/>
      <w:numFmt w:val="decimal"/>
      <w:lvlText w:val="%1."/>
      <w:lvlJc w:val="left"/>
      <w:pPr>
        <w:ind w:left="463" w:hanging="360"/>
        <w:jc w:val="left"/>
      </w:pPr>
      <w:rPr>
        <w:rFonts w:hint="default" w:ascii="Calibri" w:hAnsi="Calibri" w:eastAsia="Calibri" w:cs="Calibri"/>
        <w:b/>
        <w:bCs/>
        <w:i w:val="0"/>
        <w:iCs w:val="0"/>
        <w:spacing w:val="0"/>
        <w:w w:val="99"/>
        <w:sz w:val="22"/>
        <w:szCs w:val="22"/>
        <w:lang w:val="en-US" w:eastAsia="en-US" w:bidi="ar-SA"/>
      </w:rPr>
    </w:lvl>
    <w:lvl w:ilvl="1">
      <w:start w:val="0"/>
      <w:numFmt w:val="bullet"/>
      <w:lvlText w:val="•"/>
      <w:lvlJc w:val="left"/>
      <w:pPr>
        <w:ind w:left="1440" w:hanging="360"/>
      </w:pPr>
      <w:rPr>
        <w:rFonts w:hint="default"/>
        <w:lang w:val="en-US" w:eastAsia="en-US" w:bidi="ar-SA"/>
      </w:rPr>
    </w:lvl>
    <w:lvl w:ilvl="2">
      <w:start w:val="0"/>
      <w:numFmt w:val="bullet"/>
      <w:lvlText w:val="•"/>
      <w:lvlJc w:val="left"/>
      <w:pPr>
        <w:ind w:left="2420" w:hanging="360"/>
      </w:pPr>
      <w:rPr>
        <w:rFonts w:hint="default"/>
        <w:lang w:val="en-US" w:eastAsia="en-US" w:bidi="ar-SA"/>
      </w:rPr>
    </w:lvl>
    <w:lvl w:ilvl="3">
      <w:start w:val="0"/>
      <w:numFmt w:val="bullet"/>
      <w:lvlText w:val="•"/>
      <w:lvlJc w:val="left"/>
      <w:pPr>
        <w:ind w:left="3400" w:hanging="360"/>
      </w:pPr>
      <w:rPr>
        <w:rFonts w:hint="default"/>
        <w:lang w:val="en-US" w:eastAsia="en-US" w:bidi="ar-SA"/>
      </w:rPr>
    </w:lvl>
    <w:lvl w:ilvl="4">
      <w:start w:val="0"/>
      <w:numFmt w:val="bullet"/>
      <w:lvlText w:val="•"/>
      <w:lvlJc w:val="left"/>
      <w:pPr>
        <w:ind w:left="4380" w:hanging="360"/>
      </w:pPr>
      <w:rPr>
        <w:rFonts w:hint="default"/>
        <w:lang w:val="en-US" w:eastAsia="en-US" w:bidi="ar-SA"/>
      </w:rPr>
    </w:lvl>
    <w:lvl w:ilvl="5">
      <w:start w:val="0"/>
      <w:numFmt w:val="bullet"/>
      <w:lvlText w:val="•"/>
      <w:lvlJc w:val="left"/>
      <w:pPr>
        <w:ind w:left="5360" w:hanging="360"/>
      </w:pPr>
      <w:rPr>
        <w:rFonts w:hint="default"/>
        <w:lang w:val="en-US" w:eastAsia="en-US" w:bidi="ar-SA"/>
      </w:rPr>
    </w:lvl>
    <w:lvl w:ilvl="6">
      <w:start w:val="0"/>
      <w:numFmt w:val="bullet"/>
      <w:lvlText w:val="•"/>
      <w:lvlJc w:val="left"/>
      <w:pPr>
        <w:ind w:left="6340" w:hanging="360"/>
      </w:pPr>
      <w:rPr>
        <w:rFonts w:hint="default"/>
        <w:lang w:val="en-US" w:eastAsia="en-US" w:bidi="ar-SA"/>
      </w:rPr>
    </w:lvl>
    <w:lvl w:ilvl="7">
      <w:start w:val="0"/>
      <w:numFmt w:val="bullet"/>
      <w:lvlText w:val="•"/>
      <w:lvlJc w:val="left"/>
      <w:pPr>
        <w:ind w:left="7320" w:hanging="360"/>
      </w:pPr>
      <w:rPr>
        <w:rFonts w:hint="default"/>
        <w:lang w:val="en-US" w:eastAsia="en-US" w:bidi="ar-SA"/>
      </w:rPr>
    </w:lvl>
    <w:lvl w:ilvl="8">
      <w:start w:val="0"/>
      <w:numFmt w:val="bullet"/>
      <w:lvlText w:val="•"/>
      <w:lvlJc w:val="left"/>
      <w:pPr>
        <w:ind w:left="8300" w:hanging="360"/>
      </w:pPr>
      <w:rPr>
        <w:rFonts w:hint="default"/>
        <w:lang w:val="en-US" w:eastAsia="en-US" w:bidi="ar-SA"/>
      </w:rPr>
    </w:lvl>
  </w:abstractNum>
  <w:abstractNum w:abstractNumId="20">
    <w:multiLevelType w:val="hybridMultilevel"/>
    <w:lvl w:ilvl="0">
      <w:start w:val="1"/>
      <w:numFmt w:val="decimal"/>
      <w:lvlText w:val="%1."/>
      <w:lvlJc w:val="left"/>
      <w:pPr>
        <w:ind w:left="463" w:hanging="360"/>
        <w:jc w:val="left"/>
      </w:pPr>
      <w:rPr>
        <w:rFonts w:hint="default" w:ascii="Calibri" w:hAnsi="Calibri" w:eastAsia="Calibri" w:cs="Calibri"/>
        <w:b/>
        <w:bCs/>
        <w:i w:val="0"/>
        <w:iCs w:val="0"/>
        <w:spacing w:val="0"/>
        <w:w w:val="99"/>
        <w:sz w:val="22"/>
        <w:szCs w:val="22"/>
        <w:lang w:val="en-US" w:eastAsia="en-US" w:bidi="ar-SA"/>
      </w:rPr>
    </w:lvl>
    <w:lvl w:ilvl="1">
      <w:start w:val="0"/>
      <w:numFmt w:val="bullet"/>
      <w:lvlText w:val="•"/>
      <w:lvlJc w:val="left"/>
      <w:pPr>
        <w:ind w:left="1392" w:hanging="360"/>
      </w:pPr>
      <w:rPr>
        <w:rFonts w:hint="default"/>
        <w:lang w:val="en-US" w:eastAsia="en-US" w:bidi="ar-SA"/>
      </w:rPr>
    </w:lvl>
    <w:lvl w:ilvl="2">
      <w:start w:val="0"/>
      <w:numFmt w:val="bullet"/>
      <w:lvlText w:val="•"/>
      <w:lvlJc w:val="left"/>
      <w:pPr>
        <w:ind w:left="2324" w:hanging="360"/>
      </w:pPr>
      <w:rPr>
        <w:rFonts w:hint="default"/>
        <w:lang w:val="en-US" w:eastAsia="en-US" w:bidi="ar-SA"/>
      </w:rPr>
    </w:lvl>
    <w:lvl w:ilvl="3">
      <w:start w:val="0"/>
      <w:numFmt w:val="bullet"/>
      <w:lvlText w:val="•"/>
      <w:lvlJc w:val="left"/>
      <w:pPr>
        <w:ind w:left="3256" w:hanging="360"/>
      </w:pPr>
      <w:rPr>
        <w:rFonts w:hint="default"/>
        <w:lang w:val="en-US" w:eastAsia="en-US" w:bidi="ar-SA"/>
      </w:rPr>
    </w:lvl>
    <w:lvl w:ilvl="4">
      <w:start w:val="0"/>
      <w:numFmt w:val="bullet"/>
      <w:lvlText w:val="•"/>
      <w:lvlJc w:val="left"/>
      <w:pPr>
        <w:ind w:left="4188" w:hanging="360"/>
      </w:pPr>
      <w:rPr>
        <w:rFonts w:hint="default"/>
        <w:lang w:val="en-US" w:eastAsia="en-US" w:bidi="ar-SA"/>
      </w:rPr>
    </w:lvl>
    <w:lvl w:ilvl="5">
      <w:start w:val="0"/>
      <w:numFmt w:val="bullet"/>
      <w:lvlText w:val="•"/>
      <w:lvlJc w:val="left"/>
      <w:pPr>
        <w:ind w:left="5120" w:hanging="360"/>
      </w:pPr>
      <w:rPr>
        <w:rFonts w:hint="default"/>
        <w:lang w:val="en-US" w:eastAsia="en-US" w:bidi="ar-SA"/>
      </w:rPr>
    </w:lvl>
    <w:lvl w:ilvl="6">
      <w:start w:val="0"/>
      <w:numFmt w:val="bullet"/>
      <w:lvlText w:val="•"/>
      <w:lvlJc w:val="left"/>
      <w:pPr>
        <w:ind w:left="6052" w:hanging="360"/>
      </w:pPr>
      <w:rPr>
        <w:rFonts w:hint="default"/>
        <w:lang w:val="en-US" w:eastAsia="en-US" w:bidi="ar-SA"/>
      </w:rPr>
    </w:lvl>
    <w:lvl w:ilvl="7">
      <w:start w:val="0"/>
      <w:numFmt w:val="bullet"/>
      <w:lvlText w:val="•"/>
      <w:lvlJc w:val="left"/>
      <w:pPr>
        <w:ind w:left="6984" w:hanging="360"/>
      </w:pPr>
      <w:rPr>
        <w:rFonts w:hint="default"/>
        <w:lang w:val="en-US" w:eastAsia="en-US" w:bidi="ar-SA"/>
      </w:rPr>
    </w:lvl>
    <w:lvl w:ilvl="8">
      <w:start w:val="0"/>
      <w:numFmt w:val="bullet"/>
      <w:lvlText w:val="•"/>
      <w:lvlJc w:val="left"/>
      <w:pPr>
        <w:ind w:left="7916" w:hanging="360"/>
      </w:pPr>
      <w:rPr>
        <w:rFonts w:hint="default"/>
        <w:lang w:val="en-US" w:eastAsia="en-US" w:bidi="ar-SA"/>
      </w:rPr>
    </w:lvl>
  </w:abstractNum>
  <w:abstractNum w:abstractNumId="19">
    <w:multiLevelType w:val="hybridMultilevel"/>
    <w:lvl w:ilvl="0">
      <w:start w:val="1"/>
      <w:numFmt w:val="decimal"/>
      <w:lvlText w:val="%1."/>
      <w:lvlJc w:val="left"/>
      <w:pPr>
        <w:ind w:left="463" w:hanging="360"/>
        <w:jc w:val="left"/>
      </w:pPr>
      <w:rPr>
        <w:rFonts w:hint="default" w:ascii="Calibri" w:hAnsi="Calibri" w:eastAsia="Calibri" w:cs="Calibri"/>
        <w:b/>
        <w:bCs/>
        <w:i w:val="0"/>
        <w:iCs w:val="0"/>
        <w:spacing w:val="0"/>
        <w:w w:val="100"/>
        <w:sz w:val="21"/>
        <w:szCs w:val="21"/>
        <w:lang w:val="en-US" w:eastAsia="en-US" w:bidi="ar-SA"/>
      </w:rPr>
    </w:lvl>
    <w:lvl w:ilvl="1">
      <w:start w:val="0"/>
      <w:numFmt w:val="bullet"/>
      <w:lvlText w:val="•"/>
      <w:lvlJc w:val="left"/>
      <w:pPr>
        <w:ind w:left="1432" w:hanging="360"/>
      </w:pPr>
      <w:rPr>
        <w:rFonts w:hint="default"/>
        <w:lang w:val="en-US" w:eastAsia="en-US" w:bidi="ar-SA"/>
      </w:rPr>
    </w:lvl>
    <w:lvl w:ilvl="2">
      <w:start w:val="0"/>
      <w:numFmt w:val="bullet"/>
      <w:lvlText w:val="•"/>
      <w:lvlJc w:val="left"/>
      <w:pPr>
        <w:ind w:left="2404" w:hanging="360"/>
      </w:pPr>
      <w:rPr>
        <w:rFonts w:hint="default"/>
        <w:lang w:val="en-US" w:eastAsia="en-US" w:bidi="ar-SA"/>
      </w:rPr>
    </w:lvl>
    <w:lvl w:ilvl="3">
      <w:start w:val="0"/>
      <w:numFmt w:val="bullet"/>
      <w:lvlText w:val="•"/>
      <w:lvlJc w:val="left"/>
      <w:pPr>
        <w:ind w:left="3376" w:hanging="360"/>
      </w:pPr>
      <w:rPr>
        <w:rFonts w:hint="default"/>
        <w:lang w:val="en-US" w:eastAsia="en-US" w:bidi="ar-SA"/>
      </w:rPr>
    </w:lvl>
    <w:lvl w:ilvl="4">
      <w:start w:val="0"/>
      <w:numFmt w:val="bullet"/>
      <w:lvlText w:val="•"/>
      <w:lvlJc w:val="left"/>
      <w:pPr>
        <w:ind w:left="4348" w:hanging="360"/>
      </w:pPr>
      <w:rPr>
        <w:rFonts w:hint="default"/>
        <w:lang w:val="en-US" w:eastAsia="en-US" w:bidi="ar-SA"/>
      </w:rPr>
    </w:lvl>
    <w:lvl w:ilvl="5">
      <w:start w:val="0"/>
      <w:numFmt w:val="bullet"/>
      <w:lvlText w:val="•"/>
      <w:lvlJc w:val="left"/>
      <w:pPr>
        <w:ind w:left="5320" w:hanging="360"/>
      </w:pPr>
      <w:rPr>
        <w:rFonts w:hint="default"/>
        <w:lang w:val="en-US" w:eastAsia="en-US" w:bidi="ar-SA"/>
      </w:rPr>
    </w:lvl>
    <w:lvl w:ilvl="6">
      <w:start w:val="0"/>
      <w:numFmt w:val="bullet"/>
      <w:lvlText w:val="•"/>
      <w:lvlJc w:val="left"/>
      <w:pPr>
        <w:ind w:left="6292" w:hanging="360"/>
      </w:pPr>
      <w:rPr>
        <w:rFonts w:hint="default"/>
        <w:lang w:val="en-US" w:eastAsia="en-US" w:bidi="ar-SA"/>
      </w:rPr>
    </w:lvl>
    <w:lvl w:ilvl="7">
      <w:start w:val="0"/>
      <w:numFmt w:val="bullet"/>
      <w:lvlText w:val="•"/>
      <w:lvlJc w:val="left"/>
      <w:pPr>
        <w:ind w:left="7264" w:hanging="360"/>
      </w:pPr>
      <w:rPr>
        <w:rFonts w:hint="default"/>
        <w:lang w:val="en-US" w:eastAsia="en-US" w:bidi="ar-SA"/>
      </w:rPr>
    </w:lvl>
    <w:lvl w:ilvl="8">
      <w:start w:val="0"/>
      <w:numFmt w:val="bullet"/>
      <w:lvlText w:val="•"/>
      <w:lvlJc w:val="left"/>
      <w:pPr>
        <w:ind w:left="8236" w:hanging="360"/>
      </w:pPr>
      <w:rPr>
        <w:rFonts w:hint="default"/>
        <w:lang w:val="en-US" w:eastAsia="en-US" w:bidi="ar-SA"/>
      </w:rPr>
    </w:lvl>
  </w:abstractNum>
  <w:abstractNum w:abstractNumId="18">
    <w:multiLevelType w:val="hybridMultilevel"/>
    <w:lvl w:ilvl="0">
      <w:start w:val="1"/>
      <w:numFmt w:val="decimal"/>
      <w:lvlText w:val="%1."/>
      <w:lvlJc w:val="left"/>
      <w:pPr>
        <w:ind w:left="463" w:hanging="360"/>
        <w:jc w:val="left"/>
      </w:pPr>
      <w:rPr>
        <w:rFonts w:hint="default"/>
        <w:spacing w:val="0"/>
        <w:w w:val="99"/>
        <w:lang w:val="en-US" w:eastAsia="en-US" w:bidi="ar-SA"/>
      </w:rPr>
    </w:lvl>
    <w:lvl w:ilvl="1">
      <w:start w:val="0"/>
      <w:numFmt w:val="bullet"/>
      <w:lvlText w:val="•"/>
      <w:lvlJc w:val="left"/>
      <w:pPr>
        <w:ind w:left="1417" w:hanging="360"/>
      </w:pPr>
      <w:rPr>
        <w:rFonts w:hint="default"/>
        <w:lang w:val="en-US" w:eastAsia="en-US" w:bidi="ar-SA"/>
      </w:rPr>
    </w:lvl>
    <w:lvl w:ilvl="2">
      <w:start w:val="0"/>
      <w:numFmt w:val="bullet"/>
      <w:lvlText w:val="•"/>
      <w:lvlJc w:val="left"/>
      <w:pPr>
        <w:ind w:left="2374" w:hanging="360"/>
      </w:pPr>
      <w:rPr>
        <w:rFonts w:hint="default"/>
        <w:lang w:val="en-US" w:eastAsia="en-US" w:bidi="ar-SA"/>
      </w:rPr>
    </w:lvl>
    <w:lvl w:ilvl="3">
      <w:start w:val="0"/>
      <w:numFmt w:val="bullet"/>
      <w:lvlText w:val="•"/>
      <w:lvlJc w:val="left"/>
      <w:pPr>
        <w:ind w:left="3331" w:hanging="360"/>
      </w:pPr>
      <w:rPr>
        <w:rFonts w:hint="default"/>
        <w:lang w:val="en-US" w:eastAsia="en-US" w:bidi="ar-SA"/>
      </w:rPr>
    </w:lvl>
    <w:lvl w:ilvl="4">
      <w:start w:val="0"/>
      <w:numFmt w:val="bullet"/>
      <w:lvlText w:val="•"/>
      <w:lvlJc w:val="left"/>
      <w:pPr>
        <w:ind w:left="4288" w:hanging="360"/>
      </w:pPr>
      <w:rPr>
        <w:rFonts w:hint="default"/>
        <w:lang w:val="en-US" w:eastAsia="en-US" w:bidi="ar-SA"/>
      </w:rPr>
    </w:lvl>
    <w:lvl w:ilvl="5">
      <w:start w:val="0"/>
      <w:numFmt w:val="bullet"/>
      <w:lvlText w:val="•"/>
      <w:lvlJc w:val="left"/>
      <w:pPr>
        <w:ind w:left="5245" w:hanging="360"/>
      </w:pPr>
      <w:rPr>
        <w:rFonts w:hint="default"/>
        <w:lang w:val="en-US" w:eastAsia="en-US" w:bidi="ar-SA"/>
      </w:rPr>
    </w:lvl>
    <w:lvl w:ilvl="6">
      <w:start w:val="0"/>
      <w:numFmt w:val="bullet"/>
      <w:lvlText w:val="•"/>
      <w:lvlJc w:val="left"/>
      <w:pPr>
        <w:ind w:left="6202" w:hanging="360"/>
      </w:pPr>
      <w:rPr>
        <w:rFonts w:hint="default"/>
        <w:lang w:val="en-US" w:eastAsia="en-US" w:bidi="ar-SA"/>
      </w:rPr>
    </w:lvl>
    <w:lvl w:ilvl="7">
      <w:start w:val="0"/>
      <w:numFmt w:val="bullet"/>
      <w:lvlText w:val="•"/>
      <w:lvlJc w:val="left"/>
      <w:pPr>
        <w:ind w:left="7159" w:hanging="360"/>
      </w:pPr>
      <w:rPr>
        <w:rFonts w:hint="default"/>
        <w:lang w:val="en-US" w:eastAsia="en-US" w:bidi="ar-SA"/>
      </w:rPr>
    </w:lvl>
    <w:lvl w:ilvl="8">
      <w:start w:val="0"/>
      <w:numFmt w:val="bullet"/>
      <w:lvlText w:val="•"/>
      <w:lvlJc w:val="left"/>
      <w:pPr>
        <w:ind w:left="8116" w:hanging="360"/>
      </w:pPr>
      <w:rPr>
        <w:rFonts w:hint="default"/>
        <w:lang w:val="en-US" w:eastAsia="en-US" w:bidi="ar-SA"/>
      </w:rPr>
    </w:lvl>
  </w:abstractNum>
  <w:abstractNum w:abstractNumId="17">
    <w:multiLevelType w:val="hybridMultilevel"/>
    <w:lvl w:ilvl="0">
      <w:start w:val="0"/>
      <w:numFmt w:val="bullet"/>
      <w:lvlText w:val=""/>
      <w:lvlJc w:val="left"/>
      <w:pPr>
        <w:ind w:left="1400" w:hanging="360"/>
      </w:pPr>
      <w:rPr>
        <w:rFonts w:hint="default" w:ascii="Symbol" w:hAnsi="Symbol" w:eastAsia="Symbol" w:cs="Symbol"/>
        <w:b w:val="0"/>
        <w:bCs w:val="0"/>
        <w:i w:val="0"/>
        <w:iCs w:val="0"/>
        <w:spacing w:val="0"/>
        <w:w w:val="99"/>
        <w:sz w:val="22"/>
        <w:szCs w:val="22"/>
        <w:lang w:val="en-US" w:eastAsia="en-US" w:bidi="ar-SA"/>
      </w:rPr>
    </w:lvl>
    <w:lvl w:ilvl="1">
      <w:start w:val="0"/>
      <w:numFmt w:val="bullet"/>
      <w:lvlText w:val="•"/>
      <w:lvlJc w:val="left"/>
      <w:pPr>
        <w:ind w:left="2254" w:hanging="360"/>
      </w:pPr>
      <w:rPr>
        <w:rFonts w:hint="default"/>
        <w:lang w:val="en-US" w:eastAsia="en-US" w:bidi="ar-SA"/>
      </w:rPr>
    </w:lvl>
    <w:lvl w:ilvl="2">
      <w:start w:val="0"/>
      <w:numFmt w:val="bullet"/>
      <w:lvlText w:val="•"/>
      <w:lvlJc w:val="left"/>
      <w:pPr>
        <w:ind w:left="3108" w:hanging="360"/>
      </w:pPr>
      <w:rPr>
        <w:rFonts w:hint="default"/>
        <w:lang w:val="en-US" w:eastAsia="en-US" w:bidi="ar-SA"/>
      </w:rPr>
    </w:lvl>
    <w:lvl w:ilvl="3">
      <w:start w:val="0"/>
      <w:numFmt w:val="bullet"/>
      <w:lvlText w:val="•"/>
      <w:lvlJc w:val="left"/>
      <w:pPr>
        <w:ind w:left="3962" w:hanging="360"/>
      </w:pPr>
      <w:rPr>
        <w:rFonts w:hint="default"/>
        <w:lang w:val="en-US" w:eastAsia="en-US" w:bidi="ar-SA"/>
      </w:rPr>
    </w:lvl>
    <w:lvl w:ilvl="4">
      <w:start w:val="0"/>
      <w:numFmt w:val="bullet"/>
      <w:lvlText w:val="•"/>
      <w:lvlJc w:val="left"/>
      <w:pPr>
        <w:ind w:left="4816" w:hanging="360"/>
      </w:pPr>
      <w:rPr>
        <w:rFonts w:hint="default"/>
        <w:lang w:val="en-US" w:eastAsia="en-US" w:bidi="ar-SA"/>
      </w:rPr>
    </w:lvl>
    <w:lvl w:ilvl="5">
      <w:start w:val="0"/>
      <w:numFmt w:val="bullet"/>
      <w:lvlText w:val="•"/>
      <w:lvlJc w:val="left"/>
      <w:pPr>
        <w:ind w:left="5670" w:hanging="360"/>
      </w:pPr>
      <w:rPr>
        <w:rFonts w:hint="default"/>
        <w:lang w:val="en-US" w:eastAsia="en-US" w:bidi="ar-SA"/>
      </w:rPr>
    </w:lvl>
    <w:lvl w:ilvl="6">
      <w:start w:val="0"/>
      <w:numFmt w:val="bullet"/>
      <w:lvlText w:val="•"/>
      <w:lvlJc w:val="left"/>
      <w:pPr>
        <w:ind w:left="6524" w:hanging="360"/>
      </w:pPr>
      <w:rPr>
        <w:rFonts w:hint="default"/>
        <w:lang w:val="en-US" w:eastAsia="en-US" w:bidi="ar-SA"/>
      </w:rPr>
    </w:lvl>
    <w:lvl w:ilvl="7">
      <w:start w:val="0"/>
      <w:numFmt w:val="bullet"/>
      <w:lvlText w:val="•"/>
      <w:lvlJc w:val="left"/>
      <w:pPr>
        <w:ind w:left="7378" w:hanging="360"/>
      </w:pPr>
      <w:rPr>
        <w:rFonts w:hint="default"/>
        <w:lang w:val="en-US" w:eastAsia="en-US" w:bidi="ar-SA"/>
      </w:rPr>
    </w:lvl>
    <w:lvl w:ilvl="8">
      <w:start w:val="0"/>
      <w:numFmt w:val="bullet"/>
      <w:lvlText w:val="•"/>
      <w:lvlJc w:val="left"/>
      <w:pPr>
        <w:ind w:left="8232" w:hanging="360"/>
      </w:pPr>
      <w:rPr>
        <w:rFonts w:hint="default"/>
        <w:lang w:val="en-US" w:eastAsia="en-US" w:bidi="ar-SA"/>
      </w:rPr>
    </w:lvl>
  </w:abstractNum>
  <w:abstractNum w:abstractNumId="16">
    <w:multiLevelType w:val="hybridMultilevel"/>
    <w:lvl w:ilvl="0">
      <w:start w:val="0"/>
      <w:numFmt w:val="bullet"/>
      <w:lvlText w:val=""/>
      <w:lvlJc w:val="left"/>
      <w:pPr>
        <w:ind w:left="1183" w:hanging="360"/>
      </w:pPr>
      <w:rPr>
        <w:rFonts w:hint="default" w:ascii="Symbol" w:hAnsi="Symbol" w:eastAsia="Symbol" w:cs="Symbol"/>
        <w:b w:val="0"/>
        <w:bCs w:val="0"/>
        <w:i w:val="0"/>
        <w:iCs w:val="0"/>
        <w:spacing w:val="0"/>
        <w:w w:val="99"/>
        <w:sz w:val="22"/>
        <w:szCs w:val="22"/>
        <w:lang w:val="en-US" w:eastAsia="en-US" w:bidi="ar-SA"/>
      </w:rPr>
    </w:lvl>
    <w:lvl w:ilvl="1">
      <w:start w:val="0"/>
      <w:numFmt w:val="bullet"/>
      <w:lvlText w:val="•"/>
      <w:lvlJc w:val="left"/>
      <w:pPr>
        <w:ind w:left="2056" w:hanging="360"/>
      </w:pPr>
      <w:rPr>
        <w:rFonts w:hint="default"/>
        <w:lang w:val="en-US" w:eastAsia="en-US" w:bidi="ar-SA"/>
      </w:rPr>
    </w:lvl>
    <w:lvl w:ilvl="2">
      <w:start w:val="0"/>
      <w:numFmt w:val="bullet"/>
      <w:lvlText w:val="•"/>
      <w:lvlJc w:val="left"/>
      <w:pPr>
        <w:ind w:left="2932" w:hanging="360"/>
      </w:pPr>
      <w:rPr>
        <w:rFonts w:hint="default"/>
        <w:lang w:val="en-US" w:eastAsia="en-US" w:bidi="ar-SA"/>
      </w:rPr>
    </w:lvl>
    <w:lvl w:ilvl="3">
      <w:start w:val="0"/>
      <w:numFmt w:val="bullet"/>
      <w:lvlText w:val="•"/>
      <w:lvlJc w:val="left"/>
      <w:pPr>
        <w:ind w:left="3808" w:hanging="360"/>
      </w:pPr>
      <w:rPr>
        <w:rFonts w:hint="default"/>
        <w:lang w:val="en-US" w:eastAsia="en-US" w:bidi="ar-SA"/>
      </w:rPr>
    </w:lvl>
    <w:lvl w:ilvl="4">
      <w:start w:val="0"/>
      <w:numFmt w:val="bullet"/>
      <w:lvlText w:val="•"/>
      <w:lvlJc w:val="left"/>
      <w:pPr>
        <w:ind w:left="4684" w:hanging="360"/>
      </w:pPr>
      <w:rPr>
        <w:rFonts w:hint="default"/>
        <w:lang w:val="en-US" w:eastAsia="en-US" w:bidi="ar-SA"/>
      </w:rPr>
    </w:lvl>
    <w:lvl w:ilvl="5">
      <w:start w:val="0"/>
      <w:numFmt w:val="bullet"/>
      <w:lvlText w:val="•"/>
      <w:lvlJc w:val="left"/>
      <w:pPr>
        <w:ind w:left="5560" w:hanging="360"/>
      </w:pPr>
      <w:rPr>
        <w:rFonts w:hint="default"/>
        <w:lang w:val="en-US" w:eastAsia="en-US" w:bidi="ar-SA"/>
      </w:rPr>
    </w:lvl>
    <w:lvl w:ilvl="6">
      <w:start w:val="0"/>
      <w:numFmt w:val="bullet"/>
      <w:lvlText w:val="•"/>
      <w:lvlJc w:val="left"/>
      <w:pPr>
        <w:ind w:left="6436" w:hanging="360"/>
      </w:pPr>
      <w:rPr>
        <w:rFonts w:hint="default"/>
        <w:lang w:val="en-US" w:eastAsia="en-US" w:bidi="ar-SA"/>
      </w:rPr>
    </w:lvl>
    <w:lvl w:ilvl="7">
      <w:start w:val="0"/>
      <w:numFmt w:val="bullet"/>
      <w:lvlText w:val="•"/>
      <w:lvlJc w:val="left"/>
      <w:pPr>
        <w:ind w:left="7312" w:hanging="360"/>
      </w:pPr>
      <w:rPr>
        <w:rFonts w:hint="default"/>
        <w:lang w:val="en-US" w:eastAsia="en-US" w:bidi="ar-SA"/>
      </w:rPr>
    </w:lvl>
    <w:lvl w:ilvl="8">
      <w:start w:val="0"/>
      <w:numFmt w:val="bullet"/>
      <w:lvlText w:val="•"/>
      <w:lvlJc w:val="left"/>
      <w:pPr>
        <w:ind w:left="8188" w:hanging="360"/>
      </w:pPr>
      <w:rPr>
        <w:rFonts w:hint="default"/>
        <w:lang w:val="en-US" w:eastAsia="en-US" w:bidi="ar-SA"/>
      </w:rPr>
    </w:lvl>
  </w:abstractNum>
  <w:abstractNum w:abstractNumId="15">
    <w:multiLevelType w:val="hybridMultilevel"/>
    <w:lvl w:ilvl="0">
      <w:start w:val="1"/>
      <w:numFmt w:val="decimal"/>
      <w:lvlText w:val="%1."/>
      <w:lvlJc w:val="left"/>
      <w:pPr>
        <w:ind w:left="463" w:hanging="360"/>
        <w:jc w:val="left"/>
      </w:pPr>
      <w:rPr>
        <w:rFonts w:hint="default" w:ascii="Calibri" w:hAnsi="Calibri" w:eastAsia="Calibri" w:cs="Calibri"/>
        <w:b/>
        <w:bCs/>
        <w:i w:val="0"/>
        <w:iCs w:val="0"/>
        <w:spacing w:val="0"/>
        <w:w w:val="99"/>
        <w:sz w:val="22"/>
        <w:szCs w:val="22"/>
        <w:lang w:val="en-US" w:eastAsia="en-US" w:bidi="ar-SA"/>
      </w:rPr>
    </w:lvl>
    <w:lvl w:ilvl="1">
      <w:start w:val="0"/>
      <w:numFmt w:val="bullet"/>
      <w:lvlText w:val="•"/>
      <w:lvlJc w:val="left"/>
      <w:pPr>
        <w:ind w:left="1408" w:hanging="360"/>
      </w:pPr>
      <w:rPr>
        <w:rFonts w:hint="default"/>
        <w:lang w:val="en-US" w:eastAsia="en-US" w:bidi="ar-SA"/>
      </w:rPr>
    </w:lvl>
    <w:lvl w:ilvl="2">
      <w:start w:val="0"/>
      <w:numFmt w:val="bullet"/>
      <w:lvlText w:val="•"/>
      <w:lvlJc w:val="left"/>
      <w:pPr>
        <w:ind w:left="2356" w:hanging="360"/>
      </w:pPr>
      <w:rPr>
        <w:rFonts w:hint="default"/>
        <w:lang w:val="en-US" w:eastAsia="en-US" w:bidi="ar-SA"/>
      </w:rPr>
    </w:lvl>
    <w:lvl w:ilvl="3">
      <w:start w:val="0"/>
      <w:numFmt w:val="bullet"/>
      <w:lvlText w:val="•"/>
      <w:lvlJc w:val="left"/>
      <w:pPr>
        <w:ind w:left="3304" w:hanging="360"/>
      </w:pPr>
      <w:rPr>
        <w:rFonts w:hint="default"/>
        <w:lang w:val="en-US" w:eastAsia="en-US" w:bidi="ar-SA"/>
      </w:rPr>
    </w:lvl>
    <w:lvl w:ilvl="4">
      <w:start w:val="0"/>
      <w:numFmt w:val="bullet"/>
      <w:lvlText w:val="•"/>
      <w:lvlJc w:val="left"/>
      <w:pPr>
        <w:ind w:left="4252" w:hanging="360"/>
      </w:pPr>
      <w:rPr>
        <w:rFonts w:hint="default"/>
        <w:lang w:val="en-US" w:eastAsia="en-US" w:bidi="ar-SA"/>
      </w:rPr>
    </w:lvl>
    <w:lvl w:ilvl="5">
      <w:start w:val="0"/>
      <w:numFmt w:val="bullet"/>
      <w:lvlText w:val="•"/>
      <w:lvlJc w:val="left"/>
      <w:pPr>
        <w:ind w:left="5200" w:hanging="360"/>
      </w:pPr>
      <w:rPr>
        <w:rFonts w:hint="default"/>
        <w:lang w:val="en-US" w:eastAsia="en-US" w:bidi="ar-SA"/>
      </w:rPr>
    </w:lvl>
    <w:lvl w:ilvl="6">
      <w:start w:val="0"/>
      <w:numFmt w:val="bullet"/>
      <w:lvlText w:val="•"/>
      <w:lvlJc w:val="left"/>
      <w:pPr>
        <w:ind w:left="6148" w:hanging="360"/>
      </w:pPr>
      <w:rPr>
        <w:rFonts w:hint="default"/>
        <w:lang w:val="en-US" w:eastAsia="en-US" w:bidi="ar-SA"/>
      </w:rPr>
    </w:lvl>
    <w:lvl w:ilvl="7">
      <w:start w:val="0"/>
      <w:numFmt w:val="bullet"/>
      <w:lvlText w:val="•"/>
      <w:lvlJc w:val="left"/>
      <w:pPr>
        <w:ind w:left="7096" w:hanging="360"/>
      </w:pPr>
      <w:rPr>
        <w:rFonts w:hint="default"/>
        <w:lang w:val="en-US" w:eastAsia="en-US" w:bidi="ar-SA"/>
      </w:rPr>
    </w:lvl>
    <w:lvl w:ilvl="8">
      <w:start w:val="0"/>
      <w:numFmt w:val="bullet"/>
      <w:lvlText w:val="•"/>
      <w:lvlJc w:val="left"/>
      <w:pPr>
        <w:ind w:left="8044" w:hanging="360"/>
      </w:pPr>
      <w:rPr>
        <w:rFonts w:hint="default"/>
        <w:lang w:val="en-US" w:eastAsia="en-US" w:bidi="ar-SA"/>
      </w:rPr>
    </w:lvl>
  </w:abstractNum>
  <w:abstractNum w:abstractNumId="14">
    <w:multiLevelType w:val="hybridMultilevel"/>
    <w:lvl w:ilvl="0">
      <w:start w:val="1"/>
      <w:numFmt w:val="decimal"/>
      <w:lvlText w:val="%1."/>
      <w:lvlJc w:val="left"/>
      <w:pPr>
        <w:ind w:left="463" w:hanging="360"/>
        <w:jc w:val="left"/>
      </w:pPr>
      <w:rPr>
        <w:rFonts w:hint="default" w:ascii="Calibri" w:hAnsi="Calibri" w:eastAsia="Calibri" w:cs="Calibri"/>
        <w:b/>
        <w:bCs/>
        <w:i w:val="0"/>
        <w:iCs w:val="0"/>
        <w:spacing w:val="0"/>
        <w:w w:val="99"/>
        <w:sz w:val="22"/>
        <w:szCs w:val="22"/>
        <w:lang w:val="en-US" w:eastAsia="en-US" w:bidi="ar-SA"/>
      </w:rPr>
    </w:lvl>
    <w:lvl w:ilvl="1">
      <w:start w:val="0"/>
      <w:numFmt w:val="bullet"/>
      <w:lvlText w:val="•"/>
      <w:lvlJc w:val="left"/>
      <w:pPr>
        <w:ind w:left="1424" w:hanging="360"/>
      </w:pPr>
      <w:rPr>
        <w:rFonts w:hint="default"/>
        <w:lang w:val="en-US" w:eastAsia="en-US" w:bidi="ar-SA"/>
      </w:rPr>
    </w:lvl>
    <w:lvl w:ilvl="2">
      <w:start w:val="0"/>
      <w:numFmt w:val="bullet"/>
      <w:lvlText w:val="•"/>
      <w:lvlJc w:val="left"/>
      <w:pPr>
        <w:ind w:left="2388" w:hanging="360"/>
      </w:pPr>
      <w:rPr>
        <w:rFonts w:hint="default"/>
        <w:lang w:val="en-US" w:eastAsia="en-US" w:bidi="ar-SA"/>
      </w:rPr>
    </w:lvl>
    <w:lvl w:ilvl="3">
      <w:start w:val="0"/>
      <w:numFmt w:val="bullet"/>
      <w:lvlText w:val="•"/>
      <w:lvlJc w:val="left"/>
      <w:pPr>
        <w:ind w:left="3352" w:hanging="360"/>
      </w:pPr>
      <w:rPr>
        <w:rFonts w:hint="default"/>
        <w:lang w:val="en-US" w:eastAsia="en-US" w:bidi="ar-SA"/>
      </w:rPr>
    </w:lvl>
    <w:lvl w:ilvl="4">
      <w:start w:val="0"/>
      <w:numFmt w:val="bullet"/>
      <w:lvlText w:val="•"/>
      <w:lvlJc w:val="left"/>
      <w:pPr>
        <w:ind w:left="4316" w:hanging="360"/>
      </w:pPr>
      <w:rPr>
        <w:rFonts w:hint="default"/>
        <w:lang w:val="en-US" w:eastAsia="en-US" w:bidi="ar-SA"/>
      </w:rPr>
    </w:lvl>
    <w:lvl w:ilvl="5">
      <w:start w:val="0"/>
      <w:numFmt w:val="bullet"/>
      <w:lvlText w:val="•"/>
      <w:lvlJc w:val="left"/>
      <w:pPr>
        <w:ind w:left="5280" w:hanging="360"/>
      </w:pPr>
      <w:rPr>
        <w:rFonts w:hint="default"/>
        <w:lang w:val="en-US" w:eastAsia="en-US" w:bidi="ar-SA"/>
      </w:rPr>
    </w:lvl>
    <w:lvl w:ilvl="6">
      <w:start w:val="0"/>
      <w:numFmt w:val="bullet"/>
      <w:lvlText w:val="•"/>
      <w:lvlJc w:val="left"/>
      <w:pPr>
        <w:ind w:left="6244" w:hanging="360"/>
      </w:pPr>
      <w:rPr>
        <w:rFonts w:hint="default"/>
        <w:lang w:val="en-US" w:eastAsia="en-US" w:bidi="ar-SA"/>
      </w:rPr>
    </w:lvl>
    <w:lvl w:ilvl="7">
      <w:start w:val="0"/>
      <w:numFmt w:val="bullet"/>
      <w:lvlText w:val="•"/>
      <w:lvlJc w:val="left"/>
      <w:pPr>
        <w:ind w:left="7208" w:hanging="360"/>
      </w:pPr>
      <w:rPr>
        <w:rFonts w:hint="default"/>
        <w:lang w:val="en-US" w:eastAsia="en-US" w:bidi="ar-SA"/>
      </w:rPr>
    </w:lvl>
    <w:lvl w:ilvl="8">
      <w:start w:val="0"/>
      <w:numFmt w:val="bullet"/>
      <w:lvlText w:val="•"/>
      <w:lvlJc w:val="left"/>
      <w:pPr>
        <w:ind w:left="8172" w:hanging="360"/>
      </w:pPr>
      <w:rPr>
        <w:rFonts w:hint="default"/>
        <w:lang w:val="en-US" w:eastAsia="en-US" w:bidi="ar-SA"/>
      </w:rPr>
    </w:lvl>
  </w:abstractNum>
  <w:abstractNum w:abstractNumId="13">
    <w:multiLevelType w:val="hybridMultilevel"/>
    <w:lvl w:ilvl="0">
      <w:start w:val="1"/>
      <w:numFmt w:val="decimal"/>
      <w:lvlText w:val="%1."/>
      <w:lvlJc w:val="left"/>
      <w:pPr>
        <w:ind w:left="1050" w:hanging="231"/>
        <w:jc w:val="left"/>
      </w:pPr>
      <w:rPr>
        <w:rFonts w:hint="default" w:ascii="Calibri" w:hAnsi="Calibri" w:eastAsia="Calibri" w:cs="Calibri"/>
        <w:b w:val="0"/>
        <w:bCs w:val="0"/>
        <w:i w:val="0"/>
        <w:iCs w:val="0"/>
        <w:spacing w:val="0"/>
        <w:w w:val="99"/>
        <w:sz w:val="22"/>
        <w:szCs w:val="22"/>
        <w:lang w:val="en-US" w:eastAsia="en-US" w:bidi="ar-SA"/>
      </w:rPr>
    </w:lvl>
    <w:lvl w:ilvl="1">
      <w:start w:val="0"/>
      <w:numFmt w:val="bullet"/>
      <w:lvlText w:val="•"/>
      <w:lvlJc w:val="left"/>
      <w:pPr>
        <w:ind w:left="1964" w:hanging="231"/>
      </w:pPr>
      <w:rPr>
        <w:rFonts w:hint="default"/>
        <w:lang w:val="en-US" w:eastAsia="en-US" w:bidi="ar-SA"/>
      </w:rPr>
    </w:lvl>
    <w:lvl w:ilvl="2">
      <w:start w:val="0"/>
      <w:numFmt w:val="bullet"/>
      <w:lvlText w:val="•"/>
      <w:lvlJc w:val="left"/>
      <w:pPr>
        <w:ind w:left="2868" w:hanging="231"/>
      </w:pPr>
      <w:rPr>
        <w:rFonts w:hint="default"/>
        <w:lang w:val="en-US" w:eastAsia="en-US" w:bidi="ar-SA"/>
      </w:rPr>
    </w:lvl>
    <w:lvl w:ilvl="3">
      <w:start w:val="0"/>
      <w:numFmt w:val="bullet"/>
      <w:lvlText w:val="•"/>
      <w:lvlJc w:val="left"/>
      <w:pPr>
        <w:ind w:left="3772" w:hanging="231"/>
      </w:pPr>
      <w:rPr>
        <w:rFonts w:hint="default"/>
        <w:lang w:val="en-US" w:eastAsia="en-US" w:bidi="ar-SA"/>
      </w:rPr>
    </w:lvl>
    <w:lvl w:ilvl="4">
      <w:start w:val="0"/>
      <w:numFmt w:val="bullet"/>
      <w:lvlText w:val="•"/>
      <w:lvlJc w:val="left"/>
      <w:pPr>
        <w:ind w:left="4676" w:hanging="231"/>
      </w:pPr>
      <w:rPr>
        <w:rFonts w:hint="default"/>
        <w:lang w:val="en-US" w:eastAsia="en-US" w:bidi="ar-SA"/>
      </w:rPr>
    </w:lvl>
    <w:lvl w:ilvl="5">
      <w:start w:val="0"/>
      <w:numFmt w:val="bullet"/>
      <w:lvlText w:val="•"/>
      <w:lvlJc w:val="left"/>
      <w:pPr>
        <w:ind w:left="5580" w:hanging="231"/>
      </w:pPr>
      <w:rPr>
        <w:rFonts w:hint="default"/>
        <w:lang w:val="en-US" w:eastAsia="en-US" w:bidi="ar-SA"/>
      </w:rPr>
    </w:lvl>
    <w:lvl w:ilvl="6">
      <w:start w:val="0"/>
      <w:numFmt w:val="bullet"/>
      <w:lvlText w:val="•"/>
      <w:lvlJc w:val="left"/>
      <w:pPr>
        <w:ind w:left="6484" w:hanging="231"/>
      </w:pPr>
      <w:rPr>
        <w:rFonts w:hint="default"/>
        <w:lang w:val="en-US" w:eastAsia="en-US" w:bidi="ar-SA"/>
      </w:rPr>
    </w:lvl>
    <w:lvl w:ilvl="7">
      <w:start w:val="0"/>
      <w:numFmt w:val="bullet"/>
      <w:lvlText w:val="•"/>
      <w:lvlJc w:val="left"/>
      <w:pPr>
        <w:ind w:left="7388" w:hanging="231"/>
      </w:pPr>
      <w:rPr>
        <w:rFonts w:hint="default"/>
        <w:lang w:val="en-US" w:eastAsia="en-US" w:bidi="ar-SA"/>
      </w:rPr>
    </w:lvl>
    <w:lvl w:ilvl="8">
      <w:start w:val="0"/>
      <w:numFmt w:val="bullet"/>
      <w:lvlText w:val="•"/>
      <w:lvlJc w:val="left"/>
      <w:pPr>
        <w:ind w:left="8292" w:hanging="231"/>
      </w:pPr>
      <w:rPr>
        <w:rFonts w:hint="default"/>
        <w:lang w:val="en-US" w:eastAsia="en-US" w:bidi="ar-SA"/>
      </w:rPr>
    </w:lvl>
  </w:abstractNum>
  <w:abstractNum w:abstractNumId="12">
    <w:multiLevelType w:val="hybridMultilevel"/>
    <w:lvl w:ilvl="0">
      <w:start w:val="1"/>
      <w:numFmt w:val="decimal"/>
      <w:lvlText w:val="%1."/>
      <w:lvlJc w:val="left"/>
      <w:pPr>
        <w:ind w:left="1050" w:hanging="231"/>
        <w:jc w:val="left"/>
      </w:pPr>
      <w:rPr>
        <w:rFonts w:hint="default" w:ascii="Calibri" w:hAnsi="Calibri" w:eastAsia="Calibri" w:cs="Calibri"/>
        <w:b w:val="0"/>
        <w:bCs w:val="0"/>
        <w:i w:val="0"/>
        <w:iCs w:val="0"/>
        <w:spacing w:val="0"/>
        <w:w w:val="99"/>
        <w:sz w:val="22"/>
        <w:szCs w:val="22"/>
        <w:lang w:val="en-US" w:eastAsia="en-US" w:bidi="ar-SA"/>
      </w:rPr>
    </w:lvl>
    <w:lvl w:ilvl="1">
      <w:start w:val="0"/>
      <w:numFmt w:val="bullet"/>
      <w:lvlText w:val="•"/>
      <w:lvlJc w:val="left"/>
      <w:pPr>
        <w:ind w:left="1964" w:hanging="231"/>
      </w:pPr>
      <w:rPr>
        <w:rFonts w:hint="default"/>
        <w:lang w:val="en-US" w:eastAsia="en-US" w:bidi="ar-SA"/>
      </w:rPr>
    </w:lvl>
    <w:lvl w:ilvl="2">
      <w:start w:val="0"/>
      <w:numFmt w:val="bullet"/>
      <w:lvlText w:val="•"/>
      <w:lvlJc w:val="left"/>
      <w:pPr>
        <w:ind w:left="2868" w:hanging="231"/>
      </w:pPr>
      <w:rPr>
        <w:rFonts w:hint="default"/>
        <w:lang w:val="en-US" w:eastAsia="en-US" w:bidi="ar-SA"/>
      </w:rPr>
    </w:lvl>
    <w:lvl w:ilvl="3">
      <w:start w:val="0"/>
      <w:numFmt w:val="bullet"/>
      <w:lvlText w:val="•"/>
      <w:lvlJc w:val="left"/>
      <w:pPr>
        <w:ind w:left="3772" w:hanging="231"/>
      </w:pPr>
      <w:rPr>
        <w:rFonts w:hint="default"/>
        <w:lang w:val="en-US" w:eastAsia="en-US" w:bidi="ar-SA"/>
      </w:rPr>
    </w:lvl>
    <w:lvl w:ilvl="4">
      <w:start w:val="0"/>
      <w:numFmt w:val="bullet"/>
      <w:lvlText w:val="•"/>
      <w:lvlJc w:val="left"/>
      <w:pPr>
        <w:ind w:left="4676" w:hanging="231"/>
      </w:pPr>
      <w:rPr>
        <w:rFonts w:hint="default"/>
        <w:lang w:val="en-US" w:eastAsia="en-US" w:bidi="ar-SA"/>
      </w:rPr>
    </w:lvl>
    <w:lvl w:ilvl="5">
      <w:start w:val="0"/>
      <w:numFmt w:val="bullet"/>
      <w:lvlText w:val="•"/>
      <w:lvlJc w:val="left"/>
      <w:pPr>
        <w:ind w:left="5580" w:hanging="231"/>
      </w:pPr>
      <w:rPr>
        <w:rFonts w:hint="default"/>
        <w:lang w:val="en-US" w:eastAsia="en-US" w:bidi="ar-SA"/>
      </w:rPr>
    </w:lvl>
    <w:lvl w:ilvl="6">
      <w:start w:val="0"/>
      <w:numFmt w:val="bullet"/>
      <w:lvlText w:val="•"/>
      <w:lvlJc w:val="left"/>
      <w:pPr>
        <w:ind w:left="6484" w:hanging="231"/>
      </w:pPr>
      <w:rPr>
        <w:rFonts w:hint="default"/>
        <w:lang w:val="en-US" w:eastAsia="en-US" w:bidi="ar-SA"/>
      </w:rPr>
    </w:lvl>
    <w:lvl w:ilvl="7">
      <w:start w:val="0"/>
      <w:numFmt w:val="bullet"/>
      <w:lvlText w:val="•"/>
      <w:lvlJc w:val="left"/>
      <w:pPr>
        <w:ind w:left="7388" w:hanging="231"/>
      </w:pPr>
      <w:rPr>
        <w:rFonts w:hint="default"/>
        <w:lang w:val="en-US" w:eastAsia="en-US" w:bidi="ar-SA"/>
      </w:rPr>
    </w:lvl>
    <w:lvl w:ilvl="8">
      <w:start w:val="0"/>
      <w:numFmt w:val="bullet"/>
      <w:lvlText w:val="•"/>
      <w:lvlJc w:val="left"/>
      <w:pPr>
        <w:ind w:left="8292" w:hanging="231"/>
      </w:pPr>
      <w:rPr>
        <w:rFonts w:hint="default"/>
        <w:lang w:val="en-US" w:eastAsia="en-US" w:bidi="ar-SA"/>
      </w:rPr>
    </w:lvl>
  </w:abstractNum>
  <w:abstractNum w:abstractNumId="11">
    <w:multiLevelType w:val="hybridMultilevel"/>
    <w:lvl w:ilvl="0">
      <w:start w:val="1"/>
      <w:numFmt w:val="decimal"/>
      <w:lvlText w:val="%1."/>
      <w:lvlJc w:val="left"/>
      <w:pPr>
        <w:ind w:left="1050" w:hanging="231"/>
        <w:jc w:val="left"/>
      </w:pPr>
      <w:rPr>
        <w:rFonts w:hint="default" w:ascii="Calibri" w:hAnsi="Calibri" w:eastAsia="Calibri" w:cs="Calibri"/>
        <w:b w:val="0"/>
        <w:bCs w:val="0"/>
        <w:i w:val="0"/>
        <w:iCs w:val="0"/>
        <w:spacing w:val="0"/>
        <w:w w:val="99"/>
        <w:sz w:val="22"/>
        <w:szCs w:val="22"/>
        <w:lang w:val="en-US" w:eastAsia="en-US" w:bidi="ar-SA"/>
      </w:rPr>
    </w:lvl>
    <w:lvl w:ilvl="1">
      <w:start w:val="0"/>
      <w:numFmt w:val="bullet"/>
      <w:lvlText w:val="•"/>
      <w:lvlJc w:val="left"/>
      <w:pPr>
        <w:ind w:left="1964" w:hanging="231"/>
      </w:pPr>
      <w:rPr>
        <w:rFonts w:hint="default"/>
        <w:lang w:val="en-US" w:eastAsia="en-US" w:bidi="ar-SA"/>
      </w:rPr>
    </w:lvl>
    <w:lvl w:ilvl="2">
      <w:start w:val="0"/>
      <w:numFmt w:val="bullet"/>
      <w:lvlText w:val="•"/>
      <w:lvlJc w:val="left"/>
      <w:pPr>
        <w:ind w:left="2868" w:hanging="231"/>
      </w:pPr>
      <w:rPr>
        <w:rFonts w:hint="default"/>
        <w:lang w:val="en-US" w:eastAsia="en-US" w:bidi="ar-SA"/>
      </w:rPr>
    </w:lvl>
    <w:lvl w:ilvl="3">
      <w:start w:val="0"/>
      <w:numFmt w:val="bullet"/>
      <w:lvlText w:val="•"/>
      <w:lvlJc w:val="left"/>
      <w:pPr>
        <w:ind w:left="3772" w:hanging="231"/>
      </w:pPr>
      <w:rPr>
        <w:rFonts w:hint="default"/>
        <w:lang w:val="en-US" w:eastAsia="en-US" w:bidi="ar-SA"/>
      </w:rPr>
    </w:lvl>
    <w:lvl w:ilvl="4">
      <w:start w:val="0"/>
      <w:numFmt w:val="bullet"/>
      <w:lvlText w:val="•"/>
      <w:lvlJc w:val="left"/>
      <w:pPr>
        <w:ind w:left="4676" w:hanging="231"/>
      </w:pPr>
      <w:rPr>
        <w:rFonts w:hint="default"/>
        <w:lang w:val="en-US" w:eastAsia="en-US" w:bidi="ar-SA"/>
      </w:rPr>
    </w:lvl>
    <w:lvl w:ilvl="5">
      <w:start w:val="0"/>
      <w:numFmt w:val="bullet"/>
      <w:lvlText w:val="•"/>
      <w:lvlJc w:val="left"/>
      <w:pPr>
        <w:ind w:left="5580" w:hanging="231"/>
      </w:pPr>
      <w:rPr>
        <w:rFonts w:hint="default"/>
        <w:lang w:val="en-US" w:eastAsia="en-US" w:bidi="ar-SA"/>
      </w:rPr>
    </w:lvl>
    <w:lvl w:ilvl="6">
      <w:start w:val="0"/>
      <w:numFmt w:val="bullet"/>
      <w:lvlText w:val="•"/>
      <w:lvlJc w:val="left"/>
      <w:pPr>
        <w:ind w:left="6484" w:hanging="231"/>
      </w:pPr>
      <w:rPr>
        <w:rFonts w:hint="default"/>
        <w:lang w:val="en-US" w:eastAsia="en-US" w:bidi="ar-SA"/>
      </w:rPr>
    </w:lvl>
    <w:lvl w:ilvl="7">
      <w:start w:val="0"/>
      <w:numFmt w:val="bullet"/>
      <w:lvlText w:val="•"/>
      <w:lvlJc w:val="left"/>
      <w:pPr>
        <w:ind w:left="7388" w:hanging="231"/>
      </w:pPr>
      <w:rPr>
        <w:rFonts w:hint="default"/>
        <w:lang w:val="en-US" w:eastAsia="en-US" w:bidi="ar-SA"/>
      </w:rPr>
    </w:lvl>
    <w:lvl w:ilvl="8">
      <w:start w:val="0"/>
      <w:numFmt w:val="bullet"/>
      <w:lvlText w:val="•"/>
      <w:lvlJc w:val="left"/>
      <w:pPr>
        <w:ind w:left="8292" w:hanging="231"/>
      </w:pPr>
      <w:rPr>
        <w:rFonts w:hint="default"/>
        <w:lang w:val="en-US" w:eastAsia="en-US" w:bidi="ar-SA"/>
      </w:rPr>
    </w:lvl>
  </w:abstractNum>
  <w:abstractNum w:abstractNumId="10">
    <w:multiLevelType w:val="hybridMultilevel"/>
    <w:lvl w:ilvl="0">
      <w:start w:val="1"/>
      <w:numFmt w:val="decimal"/>
      <w:lvlText w:val="%1."/>
      <w:lvlJc w:val="left"/>
      <w:pPr>
        <w:ind w:left="1180" w:hanging="361"/>
        <w:jc w:val="left"/>
      </w:pPr>
      <w:rPr>
        <w:rFonts w:hint="default" w:ascii="Calibri" w:hAnsi="Calibri" w:eastAsia="Calibri" w:cs="Calibri"/>
        <w:b w:val="0"/>
        <w:bCs w:val="0"/>
        <w:i w:val="0"/>
        <w:iCs w:val="0"/>
        <w:spacing w:val="0"/>
        <w:w w:val="99"/>
        <w:sz w:val="22"/>
        <w:szCs w:val="22"/>
        <w:lang w:val="en-US" w:eastAsia="en-US" w:bidi="ar-SA"/>
      </w:rPr>
    </w:lvl>
    <w:lvl w:ilvl="1">
      <w:start w:val="0"/>
      <w:numFmt w:val="bullet"/>
      <w:lvlText w:val="•"/>
      <w:lvlJc w:val="left"/>
      <w:pPr>
        <w:ind w:left="2072" w:hanging="361"/>
      </w:pPr>
      <w:rPr>
        <w:rFonts w:hint="default"/>
        <w:lang w:val="en-US" w:eastAsia="en-US" w:bidi="ar-SA"/>
      </w:rPr>
    </w:lvl>
    <w:lvl w:ilvl="2">
      <w:start w:val="0"/>
      <w:numFmt w:val="bullet"/>
      <w:lvlText w:val="•"/>
      <w:lvlJc w:val="left"/>
      <w:pPr>
        <w:ind w:left="2964" w:hanging="361"/>
      </w:pPr>
      <w:rPr>
        <w:rFonts w:hint="default"/>
        <w:lang w:val="en-US" w:eastAsia="en-US" w:bidi="ar-SA"/>
      </w:rPr>
    </w:lvl>
    <w:lvl w:ilvl="3">
      <w:start w:val="0"/>
      <w:numFmt w:val="bullet"/>
      <w:lvlText w:val="•"/>
      <w:lvlJc w:val="left"/>
      <w:pPr>
        <w:ind w:left="3856" w:hanging="361"/>
      </w:pPr>
      <w:rPr>
        <w:rFonts w:hint="default"/>
        <w:lang w:val="en-US" w:eastAsia="en-US" w:bidi="ar-SA"/>
      </w:rPr>
    </w:lvl>
    <w:lvl w:ilvl="4">
      <w:start w:val="0"/>
      <w:numFmt w:val="bullet"/>
      <w:lvlText w:val="•"/>
      <w:lvlJc w:val="left"/>
      <w:pPr>
        <w:ind w:left="4748" w:hanging="361"/>
      </w:pPr>
      <w:rPr>
        <w:rFonts w:hint="default"/>
        <w:lang w:val="en-US" w:eastAsia="en-US" w:bidi="ar-SA"/>
      </w:rPr>
    </w:lvl>
    <w:lvl w:ilvl="5">
      <w:start w:val="0"/>
      <w:numFmt w:val="bullet"/>
      <w:lvlText w:val="•"/>
      <w:lvlJc w:val="left"/>
      <w:pPr>
        <w:ind w:left="5640" w:hanging="361"/>
      </w:pPr>
      <w:rPr>
        <w:rFonts w:hint="default"/>
        <w:lang w:val="en-US" w:eastAsia="en-US" w:bidi="ar-SA"/>
      </w:rPr>
    </w:lvl>
    <w:lvl w:ilvl="6">
      <w:start w:val="0"/>
      <w:numFmt w:val="bullet"/>
      <w:lvlText w:val="•"/>
      <w:lvlJc w:val="left"/>
      <w:pPr>
        <w:ind w:left="6532" w:hanging="361"/>
      </w:pPr>
      <w:rPr>
        <w:rFonts w:hint="default"/>
        <w:lang w:val="en-US" w:eastAsia="en-US" w:bidi="ar-SA"/>
      </w:rPr>
    </w:lvl>
    <w:lvl w:ilvl="7">
      <w:start w:val="0"/>
      <w:numFmt w:val="bullet"/>
      <w:lvlText w:val="•"/>
      <w:lvlJc w:val="left"/>
      <w:pPr>
        <w:ind w:left="7424" w:hanging="361"/>
      </w:pPr>
      <w:rPr>
        <w:rFonts w:hint="default"/>
        <w:lang w:val="en-US" w:eastAsia="en-US" w:bidi="ar-SA"/>
      </w:rPr>
    </w:lvl>
    <w:lvl w:ilvl="8">
      <w:start w:val="0"/>
      <w:numFmt w:val="bullet"/>
      <w:lvlText w:val="•"/>
      <w:lvlJc w:val="left"/>
      <w:pPr>
        <w:ind w:left="8316" w:hanging="361"/>
      </w:pPr>
      <w:rPr>
        <w:rFonts w:hint="default"/>
        <w:lang w:val="en-US" w:eastAsia="en-US" w:bidi="ar-SA"/>
      </w:rPr>
    </w:lvl>
  </w:abstractNum>
  <w:abstractNum w:abstractNumId="9">
    <w:multiLevelType w:val="hybridMultilevel"/>
    <w:lvl w:ilvl="0">
      <w:start w:val="1"/>
      <w:numFmt w:val="decimal"/>
      <w:lvlText w:val="%1."/>
      <w:lvlJc w:val="left"/>
      <w:pPr>
        <w:ind w:left="1178" w:hanging="360"/>
        <w:jc w:val="left"/>
      </w:pPr>
      <w:rPr>
        <w:rFonts w:hint="default"/>
        <w:spacing w:val="0"/>
        <w:w w:val="100"/>
        <w:lang w:val="en-US" w:eastAsia="en-US" w:bidi="ar-SA"/>
      </w:rPr>
    </w:lvl>
    <w:lvl w:ilvl="1">
      <w:start w:val="0"/>
      <w:numFmt w:val="bullet"/>
      <w:lvlText w:val="•"/>
      <w:lvlJc w:val="left"/>
      <w:pPr>
        <w:ind w:left="2072" w:hanging="360"/>
      </w:pPr>
      <w:rPr>
        <w:rFonts w:hint="default"/>
        <w:lang w:val="en-US" w:eastAsia="en-US" w:bidi="ar-SA"/>
      </w:rPr>
    </w:lvl>
    <w:lvl w:ilvl="2">
      <w:start w:val="0"/>
      <w:numFmt w:val="bullet"/>
      <w:lvlText w:val="•"/>
      <w:lvlJc w:val="left"/>
      <w:pPr>
        <w:ind w:left="2964" w:hanging="360"/>
      </w:pPr>
      <w:rPr>
        <w:rFonts w:hint="default"/>
        <w:lang w:val="en-US" w:eastAsia="en-US" w:bidi="ar-SA"/>
      </w:rPr>
    </w:lvl>
    <w:lvl w:ilvl="3">
      <w:start w:val="0"/>
      <w:numFmt w:val="bullet"/>
      <w:lvlText w:val="•"/>
      <w:lvlJc w:val="left"/>
      <w:pPr>
        <w:ind w:left="3856" w:hanging="360"/>
      </w:pPr>
      <w:rPr>
        <w:rFonts w:hint="default"/>
        <w:lang w:val="en-US" w:eastAsia="en-US" w:bidi="ar-SA"/>
      </w:rPr>
    </w:lvl>
    <w:lvl w:ilvl="4">
      <w:start w:val="0"/>
      <w:numFmt w:val="bullet"/>
      <w:lvlText w:val="•"/>
      <w:lvlJc w:val="left"/>
      <w:pPr>
        <w:ind w:left="4748" w:hanging="360"/>
      </w:pPr>
      <w:rPr>
        <w:rFonts w:hint="default"/>
        <w:lang w:val="en-US" w:eastAsia="en-US" w:bidi="ar-SA"/>
      </w:rPr>
    </w:lvl>
    <w:lvl w:ilvl="5">
      <w:start w:val="0"/>
      <w:numFmt w:val="bullet"/>
      <w:lvlText w:val="•"/>
      <w:lvlJc w:val="left"/>
      <w:pPr>
        <w:ind w:left="5640" w:hanging="360"/>
      </w:pPr>
      <w:rPr>
        <w:rFonts w:hint="default"/>
        <w:lang w:val="en-US" w:eastAsia="en-US" w:bidi="ar-SA"/>
      </w:rPr>
    </w:lvl>
    <w:lvl w:ilvl="6">
      <w:start w:val="0"/>
      <w:numFmt w:val="bullet"/>
      <w:lvlText w:val="•"/>
      <w:lvlJc w:val="left"/>
      <w:pPr>
        <w:ind w:left="6532" w:hanging="360"/>
      </w:pPr>
      <w:rPr>
        <w:rFonts w:hint="default"/>
        <w:lang w:val="en-US" w:eastAsia="en-US" w:bidi="ar-SA"/>
      </w:rPr>
    </w:lvl>
    <w:lvl w:ilvl="7">
      <w:start w:val="0"/>
      <w:numFmt w:val="bullet"/>
      <w:lvlText w:val="•"/>
      <w:lvlJc w:val="left"/>
      <w:pPr>
        <w:ind w:left="7424" w:hanging="360"/>
      </w:pPr>
      <w:rPr>
        <w:rFonts w:hint="default"/>
        <w:lang w:val="en-US" w:eastAsia="en-US" w:bidi="ar-SA"/>
      </w:rPr>
    </w:lvl>
    <w:lvl w:ilvl="8">
      <w:start w:val="0"/>
      <w:numFmt w:val="bullet"/>
      <w:lvlText w:val="•"/>
      <w:lvlJc w:val="left"/>
      <w:pPr>
        <w:ind w:left="8316" w:hanging="360"/>
      </w:pPr>
      <w:rPr>
        <w:rFonts w:hint="default"/>
        <w:lang w:val="en-US" w:eastAsia="en-US" w:bidi="ar-SA"/>
      </w:rPr>
    </w:lvl>
  </w:abstractNum>
  <w:abstractNum w:abstractNumId="8">
    <w:multiLevelType w:val="hybridMultilevel"/>
    <w:lvl w:ilvl="0">
      <w:start w:val="1"/>
      <w:numFmt w:val="decimal"/>
      <w:lvlText w:val="%1."/>
      <w:lvlJc w:val="left"/>
      <w:pPr>
        <w:ind w:left="1180" w:hanging="361"/>
        <w:jc w:val="left"/>
      </w:pPr>
      <w:rPr>
        <w:rFonts w:hint="default" w:ascii="Calibri" w:hAnsi="Calibri" w:eastAsia="Calibri" w:cs="Calibri"/>
        <w:b w:val="0"/>
        <w:bCs w:val="0"/>
        <w:i w:val="0"/>
        <w:iCs w:val="0"/>
        <w:spacing w:val="0"/>
        <w:w w:val="99"/>
        <w:sz w:val="22"/>
        <w:szCs w:val="22"/>
        <w:lang w:val="en-US" w:eastAsia="en-US" w:bidi="ar-SA"/>
      </w:rPr>
    </w:lvl>
    <w:lvl w:ilvl="1">
      <w:start w:val="0"/>
      <w:numFmt w:val="bullet"/>
      <w:lvlText w:val="•"/>
      <w:lvlJc w:val="left"/>
      <w:pPr>
        <w:ind w:left="2072" w:hanging="361"/>
      </w:pPr>
      <w:rPr>
        <w:rFonts w:hint="default"/>
        <w:lang w:val="en-US" w:eastAsia="en-US" w:bidi="ar-SA"/>
      </w:rPr>
    </w:lvl>
    <w:lvl w:ilvl="2">
      <w:start w:val="0"/>
      <w:numFmt w:val="bullet"/>
      <w:lvlText w:val="•"/>
      <w:lvlJc w:val="left"/>
      <w:pPr>
        <w:ind w:left="2964" w:hanging="361"/>
      </w:pPr>
      <w:rPr>
        <w:rFonts w:hint="default"/>
        <w:lang w:val="en-US" w:eastAsia="en-US" w:bidi="ar-SA"/>
      </w:rPr>
    </w:lvl>
    <w:lvl w:ilvl="3">
      <w:start w:val="0"/>
      <w:numFmt w:val="bullet"/>
      <w:lvlText w:val="•"/>
      <w:lvlJc w:val="left"/>
      <w:pPr>
        <w:ind w:left="3856" w:hanging="361"/>
      </w:pPr>
      <w:rPr>
        <w:rFonts w:hint="default"/>
        <w:lang w:val="en-US" w:eastAsia="en-US" w:bidi="ar-SA"/>
      </w:rPr>
    </w:lvl>
    <w:lvl w:ilvl="4">
      <w:start w:val="0"/>
      <w:numFmt w:val="bullet"/>
      <w:lvlText w:val="•"/>
      <w:lvlJc w:val="left"/>
      <w:pPr>
        <w:ind w:left="4748" w:hanging="361"/>
      </w:pPr>
      <w:rPr>
        <w:rFonts w:hint="default"/>
        <w:lang w:val="en-US" w:eastAsia="en-US" w:bidi="ar-SA"/>
      </w:rPr>
    </w:lvl>
    <w:lvl w:ilvl="5">
      <w:start w:val="0"/>
      <w:numFmt w:val="bullet"/>
      <w:lvlText w:val="•"/>
      <w:lvlJc w:val="left"/>
      <w:pPr>
        <w:ind w:left="5640" w:hanging="361"/>
      </w:pPr>
      <w:rPr>
        <w:rFonts w:hint="default"/>
        <w:lang w:val="en-US" w:eastAsia="en-US" w:bidi="ar-SA"/>
      </w:rPr>
    </w:lvl>
    <w:lvl w:ilvl="6">
      <w:start w:val="0"/>
      <w:numFmt w:val="bullet"/>
      <w:lvlText w:val="•"/>
      <w:lvlJc w:val="left"/>
      <w:pPr>
        <w:ind w:left="6532" w:hanging="361"/>
      </w:pPr>
      <w:rPr>
        <w:rFonts w:hint="default"/>
        <w:lang w:val="en-US" w:eastAsia="en-US" w:bidi="ar-SA"/>
      </w:rPr>
    </w:lvl>
    <w:lvl w:ilvl="7">
      <w:start w:val="0"/>
      <w:numFmt w:val="bullet"/>
      <w:lvlText w:val="•"/>
      <w:lvlJc w:val="left"/>
      <w:pPr>
        <w:ind w:left="7424" w:hanging="361"/>
      </w:pPr>
      <w:rPr>
        <w:rFonts w:hint="default"/>
        <w:lang w:val="en-US" w:eastAsia="en-US" w:bidi="ar-SA"/>
      </w:rPr>
    </w:lvl>
    <w:lvl w:ilvl="8">
      <w:start w:val="0"/>
      <w:numFmt w:val="bullet"/>
      <w:lvlText w:val="•"/>
      <w:lvlJc w:val="left"/>
      <w:pPr>
        <w:ind w:left="8316" w:hanging="361"/>
      </w:pPr>
      <w:rPr>
        <w:rFonts w:hint="default"/>
        <w:lang w:val="en-US" w:eastAsia="en-US" w:bidi="ar-SA"/>
      </w:rPr>
    </w:lvl>
  </w:abstractNum>
  <w:abstractNum w:abstractNumId="7">
    <w:multiLevelType w:val="hybridMultilevel"/>
    <w:lvl w:ilvl="0">
      <w:start w:val="1"/>
      <w:numFmt w:val="decimal"/>
      <w:lvlText w:val="%1."/>
      <w:lvlJc w:val="left"/>
      <w:pPr>
        <w:ind w:left="1064" w:hanging="245"/>
        <w:jc w:val="left"/>
      </w:pPr>
      <w:rPr>
        <w:rFonts w:hint="default" w:ascii="Calibri" w:hAnsi="Calibri" w:eastAsia="Calibri" w:cs="Calibri"/>
        <w:b w:val="0"/>
        <w:bCs w:val="0"/>
        <w:i w:val="0"/>
        <w:iCs w:val="0"/>
        <w:spacing w:val="0"/>
        <w:w w:val="99"/>
        <w:sz w:val="22"/>
        <w:szCs w:val="22"/>
        <w:lang w:val="en-US" w:eastAsia="en-US" w:bidi="ar-SA"/>
      </w:rPr>
    </w:lvl>
    <w:lvl w:ilvl="1">
      <w:start w:val="0"/>
      <w:numFmt w:val="bullet"/>
      <w:lvlText w:val="•"/>
      <w:lvlJc w:val="left"/>
      <w:pPr>
        <w:ind w:left="1964" w:hanging="245"/>
      </w:pPr>
      <w:rPr>
        <w:rFonts w:hint="default"/>
        <w:lang w:val="en-US" w:eastAsia="en-US" w:bidi="ar-SA"/>
      </w:rPr>
    </w:lvl>
    <w:lvl w:ilvl="2">
      <w:start w:val="0"/>
      <w:numFmt w:val="bullet"/>
      <w:lvlText w:val="•"/>
      <w:lvlJc w:val="left"/>
      <w:pPr>
        <w:ind w:left="2868" w:hanging="245"/>
      </w:pPr>
      <w:rPr>
        <w:rFonts w:hint="default"/>
        <w:lang w:val="en-US" w:eastAsia="en-US" w:bidi="ar-SA"/>
      </w:rPr>
    </w:lvl>
    <w:lvl w:ilvl="3">
      <w:start w:val="0"/>
      <w:numFmt w:val="bullet"/>
      <w:lvlText w:val="•"/>
      <w:lvlJc w:val="left"/>
      <w:pPr>
        <w:ind w:left="3772" w:hanging="245"/>
      </w:pPr>
      <w:rPr>
        <w:rFonts w:hint="default"/>
        <w:lang w:val="en-US" w:eastAsia="en-US" w:bidi="ar-SA"/>
      </w:rPr>
    </w:lvl>
    <w:lvl w:ilvl="4">
      <w:start w:val="0"/>
      <w:numFmt w:val="bullet"/>
      <w:lvlText w:val="•"/>
      <w:lvlJc w:val="left"/>
      <w:pPr>
        <w:ind w:left="4676" w:hanging="245"/>
      </w:pPr>
      <w:rPr>
        <w:rFonts w:hint="default"/>
        <w:lang w:val="en-US" w:eastAsia="en-US" w:bidi="ar-SA"/>
      </w:rPr>
    </w:lvl>
    <w:lvl w:ilvl="5">
      <w:start w:val="0"/>
      <w:numFmt w:val="bullet"/>
      <w:lvlText w:val="•"/>
      <w:lvlJc w:val="left"/>
      <w:pPr>
        <w:ind w:left="5580" w:hanging="245"/>
      </w:pPr>
      <w:rPr>
        <w:rFonts w:hint="default"/>
        <w:lang w:val="en-US" w:eastAsia="en-US" w:bidi="ar-SA"/>
      </w:rPr>
    </w:lvl>
    <w:lvl w:ilvl="6">
      <w:start w:val="0"/>
      <w:numFmt w:val="bullet"/>
      <w:lvlText w:val="•"/>
      <w:lvlJc w:val="left"/>
      <w:pPr>
        <w:ind w:left="6484" w:hanging="245"/>
      </w:pPr>
      <w:rPr>
        <w:rFonts w:hint="default"/>
        <w:lang w:val="en-US" w:eastAsia="en-US" w:bidi="ar-SA"/>
      </w:rPr>
    </w:lvl>
    <w:lvl w:ilvl="7">
      <w:start w:val="0"/>
      <w:numFmt w:val="bullet"/>
      <w:lvlText w:val="•"/>
      <w:lvlJc w:val="left"/>
      <w:pPr>
        <w:ind w:left="7388" w:hanging="245"/>
      </w:pPr>
      <w:rPr>
        <w:rFonts w:hint="default"/>
        <w:lang w:val="en-US" w:eastAsia="en-US" w:bidi="ar-SA"/>
      </w:rPr>
    </w:lvl>
    <w:lvl w:ilvl="8">
      <w:start w:val="0"/>
      <w:numFmt w:val="bullet"/>
      <w:lvlText w:val="•"/>
      <w:lvlJc w:val="left"/>
      <w:pPr>
        <w:ind w:left="8292" w:hanging="245"/>
      </w:pPr>
      <w:rPr>
        <w:rFonts w:hint="default"/>
        <w:lang w:val="en-US" w:eastAsia="en-US" w:bidi="ar-SA"/>
      </w:rPr>
    </w:lvl>
  </w:abstractNum>
  <w:abstractNum w:abstractNumId="6">
    <w:multiLevelType w:val="hybridMultilevel"/>
    <w:lvl w:ilvl="0">
      <w:start w:val="1"/>
      <w:numFmt w:val="decimal"/>
      <w:lvlText w:val="%1."/>
      <w:lvlJc w:val="left"/>
      <w:pPr>
        <w:ind w:left="1178" w:hanging="361"/>
        <w:jc w:val="left"/>
      </w:pPr>
      <w:rPr>
        <w:rFonts w:hint="default" w:ascii="Calibri" w:hAnsi="Calibri" w:eastAsia="Calibri" w:cs="Calibri"/>
        <w:b w:val="0"/>
        <w:bCs w:val="0"/>
        <w:i w:val="0"/>
        <w:iCs w:val="0"/>
        <w:spacing w:val="0"/>
        <w:w w:val="99"/>
        <w:sz w:val="22"/>
        <w:szCs w:val="22"/>
        <w:lang w:val="en-US" w:eastAsia="en-US" w:bidi="ar-SA"/>
      </w:rPr>
    </w:lvl>
    <w:lvl w:ilvl="1">
      <w:start w:val="0"/>
      <w:numFmt w:val="bullet"/>
      <w:lvlText w:val="•"/>
      <w:lvlJc w:val="left"/>
      <w:pPr>
        <w:ind w:left="2072" w:hanging="361"/>
      </w:pPr>
      <w:rPr>
        <w:rFonts w:hint="default"/>
        <w:lang w:val="en-US" w:eastAsia="en-US" w:bidi="ar-SA"/>
      </w:rPr>
    </w:lvl>
    <w:lvl w:ilvl="2">
      <w:start w:val="0"/>
      <w:numFmt w:val="bullet"/>
      <w:lvlText w:val="•"/>
      <w:lvlJc w:val="left"/>
      <w:pPr>
        <w:ind w:left="2964" w:hanging="361"/>
      </w:pPr>
      <w:rPr>
        <w:rFonts w:hint="default"/>
        <w:lang w:val="en-US" w:eastAsia="en-US" w:bidi="ar-SA"/>
      </w:rPr>
    </w:lvl>
    <w:lvl w:ilvl="3">
      <w:start w:val="0"/>
      <w:numFmt w:val="bullet"/>
      <w:lvlText w:val="•"/>
      <w:lvlJc w:val="left"/>
      <w:pPr>
        <w:ind w:left="3856" w:hanging="361"/>
      </w:pPr>
      <w:rPr>
        <w:rFonts w:hint="default"/>
        <w:lang w:val="en-US" w:eastAsia="en-US" w:bidi="ar-SA"/>
      </w:rPr>
    </w:lvl>
    <w:lvl w:ilvl="4">
      <w:start w:val="0"/>
      <w:numFmt w:val="bullet"/>
      <w:lvlText w:val="•"/>
      <w:lvlJc w:val="left"/>
      <w:pPr>
        <w:ind w:left="4748" w:hanging="361"/>
      </w:pPr>
      <w:rPr>
        <w:rFonts w:hint="default"/>
        <w:lang w:val="en-US" w:eastAsia="en-US" w:bidi="ar-SA"/>
      </w:rPr>
    </w:lvl>
    <w:lvl w:ilvl="5">
      <w:start w:val="0"/>
      <w:numFmt w:val="bullet"/>
      <w:lvlText w:val="•"/>
      <w:lvlJc w:val="left"/>
      <w:pPr>
        <w:ind w:left="5640" w:hanging="361"/>
      </w:pPr>
      <w:rPr>
        <w:rFonts w:hint="default"/>
        <w:lang w:val="en-US" w:eastAsia="en-US" w:bidi="ar-SA"/>
      </w:rPr>
    </w:lvl>
    <w:lvl w:ilvl="6">
      <w:start w:val="0"/>
      <w:numFmt w:val="bullet"/>
      <w:lvlText w:val="•"/>
      <w:lvlJc w:val="left"/>
      <w:pPr>
        <w:ind w:left="6532" w:hanging="361"/>
      </w:pPr>
      <w:rPr>
        <w:rFonts w:hint="default"/>
        <w:lang w:val="en-US" w:eastAsia="en-US" w:bidi="ar-SA"/>
      </w:rPr>
    </w:lvl>
    <w:lvl w:ilvl="7">
      <w:start w:val="0"/>
      <w:numFmt w:val="bullet"/>
      <w:lvlText w:val="•"/>
      <w:lvlJc w:val="left"/>
      <w:pPr>
        <w:ind w:left="7424" w:hanging="361"/>
      </w:pPr>
      <w:rPr>
        <w:rFonts w:hint="default"/>
        <w:lang w:val="en-US" w:eastAsia="en-US" w:bidi="ar-SA"/>
      </w:rPr>
    </w:lvl>
    <w:lvl w:ilvl="8">
      <w:start w:val="0"/>
      <w:numFmt w:val="bullet"/>
      <w:lvlText w:val="•"/>
      <w:lvlJc w:val="left"/>
      <w:pPr>
        <w:ind w:left="8316" w:hanging="361"/>
      </w:pPr>
      <w:rPr>
        <w:rFonts w:hint="default"/>
        <w:lang w:val="en-US" w:eastAsia="en-US" w:bidi="ar-SA"/>
      </w:rPr>
    </w:lvl>
  </w:abstractNum>
  <w:abstractNum w:abstractNumId="5">
    <w:multiLevelType w:val="hybridMultilevel"/>
    <w:lvl w:ilvl="0">
      <w:start w:val="1"/>
      <w:numFmt w:val="decimal"/>
      <w:lvlText w:val="%1."/>
      <w:lvlJc w:val="left"/>
      <w:pPr>
        <w:ind w:left="1180" w:hanging="361"/>
        <w:jc w:val="left"/>
      </w:pPr>
      <w:rPr>
        <w:rFonts w:hint="default" w:ascii="Calibri" w:hAnsi="Calibri" w:eastAsia="Calibri" w:cs="Calibri"/>
        <w:b w:val="0"/>
        <w:bCs w:val="0"/>
        <w:i w:val="0"/>
        <w:iCs w:val="0"/>
        <w:spacing w:val="0"/>
        <w:w w:val="99"/>
        <w:sz w:val="22"/>
        <w:szCs w:val="22"/>
        <w:lang w:val="en-US" w:eastAsia="en-US" w:bidi="ar-SA"/>
      </w:rPr>
    </w:lvl>
    <w:lvl w:ilvl="1">
      <w:start w:val="0"/>
      <w:numFmt w:val="bullet"/>
      <w:lvlText w:val="•"/>
      <w:lvlJc w:val="left"/>
      <w:pPr>
        <w:ind w:left="2072" w:hanging="361"/>
      </w:pPr>
      <w:rPr>
        <w:rFonts w:hint="default"/>
        <w:lang w:val="en-US" w:eastAsia="en-US" w:bidi="ar-SA"/>
      </w:rPr>
    </w:lvl>
    <w:lvl w:ilvl="2">
      <w:start w:val="0"/>
      <w:numFmt w:val="bullet"/>
      <w:lvlText w:val="•"/>
      <w:lvlJc w:val="left"/>
      <w:pPr>
        <w:ind w:left="2964" w:hanging="361"/>
      </w:pPr>
      <w:rPr>
        <w:rFonts w:hint="default"/>
        <w:lang w:val="en-US" w:eastAsia="en-US" w:bidi="ar-SA"/>
      </w:rPr>
    </w:lvl>
    <w:lvl w:ilvl="3">
      <w:start w:val="0"/>
      <w:numFmt w:val="bullet"/>
      <w:lvlText w:val="•"/>
      <w:lvlJc w:val="left"/>
      <w:pPr>
        <w:ind w:left="3856" w:hanging="361"/>
      </w:pPr>
      <w:rPr>
        <w:rFonts w:hint="default"/>
        <w:lang w:val="en-US" w:eastAsia="en-US" w:bidi="ar-SA"/>
      </w:rPr>
    </w:lvl>
    <w:lvl w:ilvl="4">
      <w:start w:val="0"/>
      <w:numFmt w:val="bullet"/>
      <w:lvlText w:val="•"/>
      <w:lvlJc w:val="left"/>
      <w:pPr>
        <w:ind w:left="4748" w:hanging="361"/>
      </w:pPr>
      <w:rPr>
        <w:rFonts w:hint="default"/>
        <w:lang w:val="en-US" w:eastAsia="en-US" w:bidi="ar-SA"/>
      </w:rPr>
    </w:lvl>
    <w:lvl w:ilvl="5">
      <w:start w:val="0"/>
      <w:numFmt w:val="bullet"/>
      <w:lvlText w:val="•"/>
      <w:lvlJc w:val="left"/>
      <w:pPr>
        <w:ind w:left="5640" w:hanging="361"/>
      </w:pPr>
      <w:rPr>
        <w:rFonts w:hint="default"/>
        <w:lang w:val="en-US" w:eastAsia="en-US" w:bidi="ar-SA"/>
      </w:rPr>
    </w:lvl>
    <w:lvl w:ilvl="6">
      <w:start w:val="0"/>
      <w:numFmt w:val="bullet"/>
      <w:lvlText w:val="•"/>
      <w:lvlJc w:val="left"/>
      <w:pPr>
        <w:ind w:left="6532" w:hanging="361"/>
      </w:pPr>
      <w:rPr>
        <w:rFonts w:hint="default"/>
        <w:lang w:val="en-US" w:eastAsia="en-US" w:bidi="ar-SA"/>
      </w:rPr>
    </w:lvl>
    <w:lvl w:ilvl="7">
      <w:start w:val="0"/>
      <w:numFmt w:val="bullet"/>
      <w:lvlText w:val="•"/>
      <w:lvlJc w:val="left"/>
      <w:pPr>
        <w:ind w:left="7424" w:hanging="361"/>
      </w:pPr>
      <w:rPr>
        <w:rFonts w:hint="default"/>
        <w:lang w:val="en-US" w:eastAsia="en-US" w:bidi="ar-SA"/>
      </w:rPr>
    </w:lvl>
    <w:lvl w:ilvl="8">
      <w:start w:val="0"/>
      <w:numFmt w:val="bullet"/>
      <w:lvlText w:val="•"/>
      <w:lvlJc w:val="left"/>
      <w:pPr>
        <w:ind w:left="8316" w:hanging="361"/>
      </w:pPr>
      <w:rPr>
        <w:rFonts w:hint="default"/>
        <w:lang w:val="en-US" w:eastAsia="en-US" w:bidi="ar-SA"/>
      </w:rPr>
    </w:lvl>
  </w:abstractNum>
  <w:abstractNum w:abstractNumId="4">
    <w:multiLevelType w:val="hybridMultilevel"/>
    <w:lvl w:ilvl="0">
      <w:start w:val="1"/>
      <w:numFmt w:val="decimal"/>
      <w:lvlText w:val="%1."/>
      <w:lvlJc w:val="left"/>
      <w:pPr>
        <w:ind w:left="1180" w:hanging="361"/>
        <w:jc w:val="left"/>
      </w:pPr>
      <w:rPr>
        <w:rFonts w:hint="default" w:ascii="Calibri" w:hAnsi="Calibri" w:eastAsia="Calibri" w:cs="Calibri"/>
        <w:b w:val="0"/>
        <w:bCs w:val="0"/>
        <w:i w:val="0"/>
        <w:iCs w:val="0"/>
        <w:spacing w:val="0"/>
        <w:w w:val="99"/>
        <w:sz w:val="22"/>
        <w:szCs w:val="22"/>
        <w:lang w:val="en-US" w:eastAsia="en-US" w:bidi="ar-SA"/>
      </w:rPr>
    </w:lvl>
    <w:lvl w:ilvl="1">
      <w:start w:val="0"/>
      <w:numFmt w:val="bullet"/>
      <w:lvlText w:val="•"/>
      <w:lvlJc w:val="left"/>
      <w:pPr>
        <w:ind w:left="2072" w:hanging="361"/>
      </w:pPr>
      <w:rPr>
        <w:rFonts w:hint="default"/>
        <w:lang w:val="en-US" w:eastAsia="en-US" w:bidi="ar-SA"/>
      </w:rPr>
    </w:lvl>
    <w:lvl w:ilvl="2">
      <w:start w:val="0"/>
      <w:numFmt w:val="bullet"/>
      <w:lvlText w:val="•"/>
      <w:lvlJc w:val="left"/>
      <w:pPr>
        <w:ind w:left="2964" w:hanging="361"/>
      </w:pPr>
      <w:rPr>
        <w:rFonts w:hint="default"/>
        <w:lang w:val="en-US" w:eastAsia="en-US" w:bidi="ar-SA"/>
      </w:rPr>
    </w:lvl>
    <w:lvl w:ilvl="3">
      <w:start w:val="0"/>
      <w:numFmt w:val="bullet"/>
      <w:lvlText w:val="•"/>
      <w:lvlJc w:val="left"/>
      <w:pPr>
        <w:ind w:left="3856" w:hanging="361"/>
      </w:pPr>
      <w:rPr>
        <w:rFonts w:hint="default"/>
        <w:lang w:val="en-US" w:eastAsia="en-US" w:bidi="ar-SA"/>
      </w:rPr>
    </w:lvl>
    <w:lvl w:ilvl="4">
      <w:start w:val="0"/>
      <w:numFmt w:val="bullet"/>
      <w:lvlText w:val="•"/>
      <w:lvlJc w:val="left"/>
      <w:pPr>
        <w:ind w:left="4748" w:hanging="361"/>
      </w:pPr>
      <w:rPr>
        <w:rFonts w:hint="default"/>
        <w:lang w:val="en-US" w:eastAsia="en-US" w:bidi="ar-SA"/>
      </w:rPr>
    </w:lvl>
    <w:lvl w:ilvl="5">
      <w:start w:val="0"/>
      <w:numFmt w:val="bullet"/>
      <w:lvlText w:val="•"/>
      <w:lvlJc w:val="left"/>
      <w:pPr>
        <w:ind w:left="5640" w:hanging="361"/>
      </w:pPr>
      <w:rPr>
        <w:rFonts w:hint="default"/>
        <w:lang w:val="en-US" w:eastAsia="en-US" w:bidi="ar-SA"/>
      </w:rPr>
    </w:lvl>
    <w:lvl w:ilvl="6">
      <w:start w:val="0"/>
      <w:numFmt w:val="bullet"/>
      <w:lvlText w:val="•"/>
      <w:lvlJc w:val="left"/>
      <w:pPr>
        <w:ind w:left="6532" w:hanging="361"/>
      </w:pPr>
      <w:rPr>
        <w:rFonts w:hint="default"/>
        <w:lang w:val="en-US" w:eastAsia="en-US" w:bidi="ar-SA"/>
      </w:rPr>
    </w:lvl>
    <w:lvl w:ilvl="7">
      <w:start w:val="0"/>
      <w:numFmt w:val="bullet"/>
      <w:lvlText w:val="•"/>
      <w:lvlJc w:val="left"/>
      <w:pPr>
        <w:ind w:left="7424" w:hanging="361"/>
      </w:pPr>
      <w:rPr>
        <w:rFonts w:hint="default"/>
        <w:lang w:val="en-US" w:eastAsia="en-US" w:bidi="ar-SA"/>
      </w:rPr>
    </w:lvl>
    <w:lvl w:ilvl="8">
      <w:start w:val="0"/>
      <w:numFmt w:val="bullet"/>
      <w:lvlText w:val="•"/>
      <w:lvlJc w:val="left"/>
      <w:pPr>
        <w:ind w:left="8316" w:hanging="361"/>
      </w:pPr>
      <w:rPr>
        <w:rFonts w:hint="default"/>
        <w:lang w:val="en-US" w:eastAsia="en-US" w:bidi="ar-SA"/>
      </w:rPr>
    </w:lvl>
  </w:abstractNum>
  <w:abstractNum w:abstractNumId="3">
    <w:multiLevelType w:val="hybridMultilevel"/>
    <w:lvl w:ilvl="0">
      <w:start w:val="1"/>
      <w:numFmt w:val="decimal"/>
      <w:lvlText w:val="%1."/>
      <w:lvlJc w:val="left"/>
      <w:pPr>
        <w:ind w:left="1180" w:hanging="361"/>
        <w:jc w:val="left"/>
      </w:pPr>
      <w:rPr>
        <w:rFonts w:hint="default"/>
        <w:spacing w:val="0"/>
        <w:w w:val="99"/>
        <w:lang w:val="en-US" w:eastAsia="en-US" w:bidi="ar-SA"/>
      </w:rPr>
    </w:lvl>
    <w:lvl w:ilvl="1">
      <w:start w:val="0"/>
      <w:numFmt w:val="bullet"/>
      <w:lvlText w:val="•"/>
      <w:lvlJc w:val="left"/>
      <w:pPr>
        <w:ind w:left="2072" w:hanging="361"/>
      </w:pPr>
      <w:rPr>
        <w:rFonts w:hint="default"/>
        <w:lang w:val="en-US" w:eastAsia="en-US" w:bidi="ar-SA"/>
      </w:rPr>
    </w:lvl>
    <w:lvl w:ilvl="2">
      <w:start w:val="0"/>
      <w:numFmt w:val="bullet"/>
      <w:lvlText w:val="•"/>
      <w:lvlJc w:val="left"/>
      <w:pPr>
        <w:ind w:left="2964" w:hanging="361"/>
      </w:pPr>
      <w:rPr>
        <w:rFonts w:hint="default"/>
        <w:lang w:val="en-US" w:eastAsia="en-US" w:bidi="ar-SA"/>
      </w:rPr>
    </w:lvl>
    <w:lvl w:ilvl="3">
      <w:start w:val="0"/>
      <w:numFmt w:val="bullet"/>
      <w:lvlText w:val="•"/>
      <w:lvlJc w:val="left"/>
      <w:pPr>
        <w:ind w:left="3856" w:hanging="361"/>
      </w:pPr>
      <w:rPr>
        <w:rFonts w:hint="default"/>
        <w:lang w:val="en-US" w:eastAsia="en-US" w:bidi="ar-SA"/>
      </w:rPr>
    </w:lvl>
    <w:lvl w:ilvl="4">
      <w:start w:val="0"/>
      <w:numFmt w:val="bullet"/>
      <w:lvlText w:val="•"/>
      <w:lvlJc w:val="left"/>
      <w:pPr>
        <w:ind w:left="4748" w:hanging="361"/>
      </w:pPr>
      <w:rPr>
        <w:rFonts w:hint="default"/>
        <w:lang w:val="en-US" w:eastAsia="en-US" w:bidi="ar-SA"/>
      </w:rPr>
    </w:lvl>
    <w:lvl w:ilvl="5">
      <w:start w:val="0"/>
      <w:numFmt w:val="bullet"/>
      <w:lvlText w:val="•"/>
      <w:lvlJc w:val="left"/>
      <w:pPr>
        <w:ind w:left="5640" w:hanging="361"/>
      </w:pPr>
      <w:rPr>
        <w:rFonts w:hint="default"/>
        <w:lang w:val="en-US" w:eastAsia="en-US" w:bidi="ar-SA"/>
      </w:rPr>
    </w:lvl>
    <w:lvl w:ilvl="6">
      <w:start w:val="0"/>
      <w:numFmt w:val="bullet"/>
      <w:lvlText w:val="•"/>
      <w:lvlJc w:val="left"/>
      <w:pPr>
        <w:ind w:left="6532" w:hanging="361"/>
      </w:pPr>
      <w:rPr>
        <w:rFonts w:hint="default"/>
        <w:lang w:val="en-US" w:eastAsia="en-US" w:bidi="ar-SA"/>
      </w:rPr>
    </w:lvl>
    <w:lvl w:ilvl="7">
      <w:start w:val="0"/>
      <w:numFmt w:val="bullet"/>
      <w:lvlText w:val="•"/>
      <w:lvlJc w:val="left"/>
      <w:pPr>
        <w:ind w:left="7424" w:hanging="361"/>
      </w:pPr>
      <w:rPr>
        <w:rFonts w:hint="default"/>
        <w:lang w:val="en-US" w:eastAsia="en-US" w:bidi="ar-SA"/>
      </w:rPr>
    </w:lvl>
    <w:lvl w:ilvl="8">
      <w:start w:val="0"/>
      <w:numFmt w:val="bullet"/>
      <w:lvlText w:val="•"/>
      <w:lvlJc w:val="left"/>
      <w:pPr>
        <w:ind w:left="8316" w:hanging="361"/>
      </w:pPr>
      <w:rPr>
        <w:rFonts w:hint="default"/>
        <w:lang w:val="en-US" w:eastAsia="en-US" w:bidi="ar-SA"/>
      </w:rPr>
    </w:lvl>
  </w:abstractNum>
  <w:abstractNum w:abstractNumId="2">
    <w:multiLevelType w:val="hybridMultilevel"/>
    <w:lvl w:ilvl="0">
      <w:start w:val="1"/>
      <w:numFmt w:val="decimal"/>
      <w:lvlText w:val="%1."/>
      <w:lvlJc w:val="left"/>
      <w:pPr>
        <w:ind w:left="1180" w:hanging="361"/>
        <w:jc w:val="left"/>
      </w:pPr>
      <w:rPr>
        <w:rFonts w:hint="default" w:ascii="Calibri" w:hAnsi="Calibri" w:eastAsia="Calibri" w:cs="Calibri"/>
        <w:b w:val="0"/>
        <w:bCs w:val="0"/>
        <w:i w:val="0"/>
        <w:iCs w:val="0"/>
        <w:spacing w:val="0"/>
        <w:w w:val="99"/>
        <w:sz w:val="22"/>
        <w:szCs w:val="22"/>
        <w:lang w:val="en-US" w:eastAsia="en-US" w:bidi="ar-SA"/>
      </w:rPr>
    </w:lvl>
    <w:lvl w:ilvl="1">
      <w:start w:val="0"/>
      <w:numFmt w:val="bullet"/>
      <w:lvlText w:val="•"/>
      <w:lvlJc w:val="left"/>
      <w:pPr>
        <w:ind w:left="2072" w:hanging="361"/>
      </w:pPr>
      <w:rPr>
        <w:rFonts w:hint="default"/>
        <w:lang w:val="en-US" w:eastAsia="en-US" w:bidi="ar-SA"/>
      </w:rPr>
    </w:lvl>
    <w:lvl w:ilvl="2">
      <w:start w:val="0"/>
      <w:numFmt w:val="bullet"/>
      <w:lvlText w:val="•"/>
      <w:lvlJc w:val="left"/>
      <w:pPr>
        <w:ind w:left="2964" w:hanging="361"/>
      </w:pPr>
      <w:rPr>
        <w:rFonts w:hint="default"/>
        <w:lang w:val="en-US" w:eastAsia="en-US" w:bidi="ar-SA"/>
      </w:rPr>
    </w:lvl>
    <w:lvl w:ilvl="3">
      <w:start w:val="0"/>
      <w:numFmt w:val="bullet"/>
      <w:lvlText w:val="•"/>
      <w:lvlJc w:val="left"/>
      <w:pPr>
        <w:ind w:left="3856" w:hanging="361"/>
      </w:pPr>
      <w:rPr>
        <w:rFonts w:hint="default"/>
        <w:lang w:val="en-US" w:eastAsia="en-US" w:bidi="ar-SA"/>
      </w:rPr>
    </w:lvl>
    <w:lvl w:ilvl="4">
      <w:start w:val="0"/>
      <w:numFmt w:val="bullet"/>
      <w:lvlText w:val="•"/>
      <w:lvlJc w:val="left"/>
      <w:pPr>
        <w:ind w:left="4748" w:hanging="361"/>
      </w:pPr>
      <w:rPr>
        <w:rFonts w:hint="default"/>
        <w:lang w:val="en-US" w:eastAsia="en-US" w:bidi="ar-SA"/>
      </w:rPr>
    </w:lvl>
    <w:lvl w:ilvl="5">
      <w:start w:val="0"/>
      <w:numFmt w:val="bullet"/>
      <w:lvlText w:val="•"/>
      <w:lvlJc w:val="left"/>
      <w:pPr>
        <w:ind w:left="5640" w:hanging="361"/>
      </w:pPr>
      <w:rPr>
        <w:rFonts w:hint="default"/>
        <w:lang w:val="en-US" w:eastAsia="en-US" w:bidi="ar-SA"/>
      </w:rPr>
    </w:lvl>
    <w:lvl w:ilvl="6">
      <w:start w:val="0"/>
      <w:numFmt w:val="bullet"/>
      <w:lvlText w:val="•"/>
      <w:lvlJc w:val="left"/>
      <w:pPr>
        <w:ind w:left="6532" w:hanging="361"/>
      </w:pPr>
      <w:rPr>
        <w:rFonts w:hint="default"/>
        <w:lang w:val="en-US" w:eastAsia="en-US" w:bidi="ar-SA"/>
      </w:rPr>
    </w:lvl>
    <w:lvl w:ilvl="7">
      <w:start w:val="0"/>
      <w:numFmt w:val="bullet"/>
      <w:lvlText w:val="•"/>
      <w:lvlJc w:val="left"/>
      <w:pPr>
        <w:ind w:left="7424" w:hanging="361"/>
      </w:pPr>
      <w:rPr>
        <w:rFonts w:hint="default"/>
        <w:lang w:val="en-US" w:eastAsia="en-US" w:bidi="ar-SA"/>
      </w:rPr>
    </w:lvl>
    <w:lvl w:ilvl="8">
      <w:start w:val="0"/>
      <w:numFmt w:val="bullet"/>
      <w:lvlText w:val="•"/>
      <w:lvlJc w:val="left"/>
      <w:pPr>
        <w:ind w:left="8316" w:hanging="361"/>
      </w:pPr>
      <w:rPr>
        <w:rFonts w:hint="default"/>
        <w:lang w:val="en-US" w:eastAsia="en-US" w:bidi="ar-SA"/>
      </w:rPr>
    </w:lvl>
  </w:abstractNum>
  <w:abstractNum w:abstractNumId="0">
    <w:multiLevelType w:val="hybridMultilevel"/>
    <w:lvl w:ilvl="0">
      <w:start w:val="0"/>
      <w:numFmt w:val="bullet"/>
      <w:lvlText w:val=""/>
      <w:lvlJc w:val="left"/>
      <w:pPr>
        <w:ind w:left="1899" w:hanging="360"/>
      </w:pPr>
      <w:rPr>
        <w:rFonts w:hint="default" w:ascii="Symbol" w:hAnsi="Symbol" w:eastAsia="Symbol" w:cs="Symbol"/>
        <w:spacing w:val="0"/>
        <w:w w:val="100"/>
        <w:lang w:val="en-US" w:eastAsia="en-US" w:bidi="ar-SA"/>
      </w:rPr>
    </w:lvl>
    <w:lvl w:ilvl="1">
      <w:start w:val="0"/>
      <w:numFmt w:val="bullet"/>
      <w:lvlText w:val="•"/>
      <w:lvlJc w:val="left"/>
      <w:pPr>
        <w:ind w:left="2720" w:hanging="360"/>
      </w:pPr>
      <w:rPr>
        <w:rFonts w:hint="default"/>
        <w:lang w:val="en-US" w:eastAsia="en-US" w:bidi="ar-SA"/>
      </w:rPr>
    </w:lvl>
    <w:lvl w:ilvl="2">
      <w:start w:val="0"/>
      <w:numFmt w:val="bullet"/>
      <w:lvlText w:val="•"/>
      <w:lvlJc w:val="left"/>
      <w:pPr>
        <w:ind w:left="3540" w:hanging="360"/>
      </w:pPr>
      <w:rPr>
        <w:rFonts w:hint="default"/>
        <w:lang w:val="en-US" w:eastAsia="en-US" w:bidi="ar-SA"/>
      </w:rPr>
    </w:lvl>
    <w:lvl w:ilvl="3">
      <w:start w:val="0"/>
      <w:numFmt w:val="bullet"/>
      <w:lvlText w:val="•"/>
      <w:lvlJc w:val="left"/>
      <w:pPr>
        <w:ind w:left="4360" w:hanging="360"/>
      </w:pPr>
      <w:rPr>
        <w:rFonts w:hint="default"/>
        <w:lang w:val="en-US" w:eastAsia="en-US" w:bidi="ar-SA"/>
      </w:rPr>
    </w:lvl>
    <w:lvl w:ilvl="4">
      <w:start w:val="0"/>
      <w:numFmt w:val="bullet"/>
      <w:lvlText w:val="•"/>
      <w:lvlJc w:val="left"/>
      <w:pPr>
        <w:ind w:left="5180" w:hanging="360"/>
      </w:pPr>
      <w:rPr>
        <w:rFonts w:hint="default"/>
        <w:lang w:val="en-US" w:eastAsia="en-US" w:bidi="ar-SA"/>
      </w:rPr>
    </w:lvl>
    <w:lvl w:ilvl="5">
      <w:start w:val="0"/>
      <w:numFmt w:val="bullet"/>
      <w:lvlText w:val="•"/>
      <w:lvlJc w:val="left"/>
      <w:pPr>
        <w:ind w:left="6000" w:hanging="360"/>
      </w:pPr>
      <w:rPr>
        <w:rFonts w:hint="default"/>
        <w:lang w:val="en-US" w:eastAsia="en-US" w:bidi="ar-SA"/>
      </w:rPr>
    </w:lvl>
    <w:lvl w:ilvl="6">
      <w:start w:val="0"/>
      <w:numFmt w:val="bullet"/>
      <w:lvlText w:val="•"/>
      <w:lvlJc w:val="left"/>
      <w:pPr>
        <w:ind w:left="6820" w:hanging="360"/>
      </w:pPr>
      <w:rPr>
        <w:rFonts w:hint="default"/>
        <w:lang w:val="en-US" w:eastAsia="en-US" w:bidi="ar-SA"/>
      </w:rPr>
    </w:lvl>
    <w:lvl w:ilvl="7">
      <w:start w:val="0"/>
      <w:numFmt w:val="bullet"/>
      <w:lvlText w:val="•"/>
      <w:lvlJc w:val="left"/>
      <w:pPr>
        <w:ind w:left="7640" w:hanging="360"/>
      </w:pPr>
      <w:rPr>
        <w:rFonts w:hint="default"/>
        <w:lang w:val="en-US" w:eastAsia="en-US" w:bidi="ar-SA"/>
      </w:rPr>
    </w:lvl>
    <w:lvl w:ilvl="8">
      <w:start w:val="0"/>
      <w:numFmt w:val="bullet"/>
      <w:lvlText w:val="•"/>
      <w:lvlJc w:val="left"/>
      <w:pPr>
        <w:ind w:left="8460" w:hanging="360"/>
      </w:pPr>
      <w:rPr>
        <w:rFonts w:hint="default"/>
        <w:lang w:val="en-US" w:eastAsia="en-US" w:bidi="ar-SA"/>
      </w:rPr>
    </w:lvl>
  </w:abstractNum>
  <w:num w:numId="2">
    <w:abstractNumId w:val="1"/>
  </w: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rPr>
      <w:rFonts w:ascii="Calibri" w:hAnsi="Calibri" w:eastAsia="Calibri" w:cs="Calibri"/>
      <w:sz w:val="22"/>
      <w:szCs w:val="22"/>
      <w:lang w:val="en-US" w:eastAsia="en-US" w:bidi="ar-SA"/>
    </w:rPr>
  </w:style>
  <w:style w:styleId="Heading1" w:type="paragraph">
    <w:name w:val="Heading 1"/>
    <w:basedOn w:val="Normal"/>
    <w:uiPriority w:val="1"/>
    <w:qFormat/>
    <w:pPr>
      <w:spacing w:before="144"/>
      <w:ind w:left="494"/>
      <w:outlineLvl w:val="1"/>
    </w:pPr>
    <w:rPr>
      <w:rFonts w:ascii="Arial Black" w:hAnsi="Arial Black" w:eastAsia="Arial Black" w:cs="Arial Black"/>
      <w:sz w:val="83"/>
      <w:szCs w:val="83"/>
      <w:lang w:val="en-US" w:eastAsia="en-US" w:bidi="ar-SA"/>
    </w:rPr>
  </w:style>
  <w:style w:styleId="Heading2" w:type="paragraph">
    <w:name w:val="Heading 2"/>
    <w:basedOn w:val="Normal"/>
    <w:uiPriority w:val="1"/>
    <w:qFormat/>
    <w:pPr>
      <w:spacing w:line="1062" w:lineRule="exact"/>
      <w:ind w:left="118"/>
      <w:outlineLvl w:val="2"/>
    </w:pPr>
    <w:rPr>
      <w:rFonts w:ascii="Arial Black" w:hAnsi="Arial Black" w:eastAsia="Arial Black" w:cs="Arial Black"/>
      <w:sz w:val="77"/>
      <w:szCs w:val="77"/>
      <w:lang w:val="en-US" w:eastAsia="en-US" w:bidi="ar-SA"/>
    </w:rPr>
  </w:style>
  <w:style w:styleId="Heading3" w:type="paragraph">
    <w:name w:val="Heading 3"/>
    <w:basedOn w:val="Normal"/>
    <w:uiPriority w:val="1"/>
    <w:qFormat/>
    <w:pPr>
      <w:outlineLvl w:val="3"/>
    </w:pPr>
    <w:rPr>
      <w:rFonts w:ascii="Verdana" w:hAnsi="Verdana" w:eastAsia="Verdana" w:cs="Verdana"/>
      <w:b/>
      <w:bCs/>
      <w:sz w:val="75"/>
      <w:szCs w:val="75"/>
      <w:lang w:val="en-US" w:eastAsia="en-US" w:bidi="ar-SA"/>
    </w:rPr>
  </w:style>
  <w:style w:styleId="Heading4" w:type="paragraph">
    <w:name w:val="Heading 4"/>
    <w:basedOn w:val="Normal"/>
    <w:uiPriority w:val="1"/>
    <w:qFormat/>
    <w:pPr>
      <w:outlineLvl w:val="4"/>
    </w:pPr>
    <w:rPr>
      <w:rFonts w:ascii="Arial Black" w:hAnsi="Arial Black" w:eastAsia="Arial Black" w:cs="Arial Black"/>
      <w:sz w:val="75"/>
      <w:szCs w:val="75"/>
      <w:lang w:val="en-US" w:eastAsia="en-US" w:bidi="ar-SA"/>
    </w:rPr>
  </w:style>
  <w:style w:styleId="Heading5" w:type="paragraph">
    <w:name w:val="Heading 5"/>
    <w:basedOn w:val="Normal"/>
    <w:uiPriority w:val="1"/>
    <w:qFormat/>
    <w:pPr>
      <w:spacing w:before="66"/>
      <w:ind w:left="474" w:right="459"/>
      <w:outlineLvl w:val="5"/>
    </w:pPr>
    <w:rPr>
      <w:rFonts w:ascii="Verdana" w:hAnsi="Verdana" w:eastAsia="Verdana" w:cs="Verdana"/>
      <w:b/>
      <w:bCs/>
      <w:sz w:val="74"/>
      <w:szCs w:val="74"/>
      <w:lang w:val="en-US" w:eastAsia="en-US" w:bidi="ar-SA"/>
    </w:rPr>
  </w:style>
  <w:style w:styleId="Heading6" w:type="paragraph">
    <w:name w:val="Heading 6"/>
    <w:basedOn w:val="Normal"/>
    <w:uiPriority w:val="1"/>
    <w:qFormat/>
    <w:pPr>
      <w:ind w:right="286"/>
      <w:jc w:val="center"/>
      <w:outlineLvl w:val="6"/>
    </w:pPr>
    <w:rPr>
      <w:rFonts w:ascii="Verdana" w:hAnsi="Verdana" w:eastAsia="Verdana" w:cs="Verdana"/>
      <w:b/>
      <w:bCs/>
      <w:sz w:val="61"/>
      <w:szCs w:val="61"/>
      <w:lang w:val="en-US" w:eastAsia="en-US" w:bidi="ar-SA"/>
    </w:rPr>
  </w:style>
  <w:style w:styleId="Heading7" w:type="paragraph">
    <w:name w:val="Heading 7"/>
    <w:basedOn w:val="Normal"/>
    <w:uiPriority w:val="1"/>
    <w:qFormat/>
    <w:pPr>
      <w:ind w:left="483"/>
      <w:outlineLvl w:val="7"/>
    </w:pPr>
    <w:rPr>
      <w:rFonts w:ascii="Calibri" w:hAnsi="Calibri" w:eastAsia="Calibri" w:cs="Calibri"/>
      <w:sz w:val="40"/>
      <w:szCs w:val="40"/>
      <w:lang w:val="en-US" w:eastAsia="en-US" w:bidi="ar-SA"/>
    </w:rPr>
  </w:style>
  <w:style w:styleId="Heading8" w:type="paragraph">
    <w:name w:val="Heading 8"/>
    <w:basedOn w:val="Normal"/>
    <w:uiPriority w:val="1"/>
    <w:qFormat/>
    <w:pPr>
      <w:ind w:left="464"/>
      <w:outlineLvl w:val="8"/>
    </w:pPr>
    <w:rPr>
      <w:rFonts w:ascii="Calibri" w:hAnsi="Calibri" w:eastAsia="Calibri" w:cs="Calibri"/>
      <w:sz w:val="36"/>
      <w:szCs w:val="36"/>
      <w:lang w:val="en-US" w:eastAsia="en-US" w:bidi="ar-SA"/>
    </w:rPr>
  </w:style>
  <w:style w:styleId="Heading9" w:type="paragraph">
    <w:name w:val="Heading 9"/>
    <w:basedOn w:val="Normal"/>
    <w:uiPriority w:val="1"/>
    <w:qFormat/>
    <w:pPr>
      <w:spacing w:before="107"/>
      <w:ind w:left="323"/>
      <w:jc w:val="both"/>
      <w:outlineLvl w:val="9"/>
    </w:pPr>
    <w:rPr>
      <w:rFonts w:ascii="Calibri" w:hAnsi="Calibri" w:eastAsia="Calibri" w:cs="Calibri"/>
      <w:b/>
      <w:bCs/>
      <w:i/>
      <w:iCs/>
      <w:sz w:val="34"/>
      <w:szCs w:val="34"/>
      <w:lang w:val="en-US" w:eastAsia="en-US" w:bidi="ar-SA"/>
    </w:rPr>
  </w:style>
  <w:style w:styleId="ListParagraph" w:type="paragraph">
    <w:name w:val="List Paragraph"/>
    <w:basedOn w:val="Normal"/>
    <w:uiPriority w:val="1"/>
    <w:qFormat/>
    <w:pPr>
      <w:ind w:left="483" w:hanging="360"/>
    </w:pPr>
    <w:rPr>
      <w:rFonts w:ascii="Calibri" w:hAnsi="Calibri" w:eastAsia="Calibri" w:cs="Calibri"/>
      <w:lang w:val="en-US" w:eastAsia="en-US" w:bidi="ar-SA"/>
    </w:rPr>
  </w:style>
  <w:style w:styleId="TableParagraph" w:type="paragraph">
    <w:name w:val="Table Paragraph"/>
    <w:basedOn w:val="Normal"/>
    <w:uiPriority w:val="1"/>
    <w:qFormat/>
    <w:pPr/>
    <w:rPr>
      <w:rFonts w:ascii="Calibri" w:hAnsi="Calibri" w:eastAsia="Calibri" w:cs="Calibri"/>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hyperlink" Target="http://www.mass.gov/annual-recommendations" TargetMode="External"/><Relationship Id="rId9" Type="http://schemas.openxmlformats.org/officeDocument/2006/relationships/hyperlink" Target="mailto:commission@ma-lgbtq.org" TargetMode="External"/><Relationship Id="rId10" Type="http://schemas.openxmlformats.org/officeDocument/2006/relationships/footer" Target="footer1.xml"/><Relationship Id="rId11" Type="http://schemas.openxmlformats.org/officeDocument/2006/relationships/image" Target="media/image4.png"/><Relationship Id="rId12" Type="http://schemas.openxmlformats.org/officeDocument/2006/relationships/header" Target="header1.xml"/><Relationship Id="rId13" Type="http://schemas.openxmlformats.org/officeDocument/2006/relationships/footer" Target="footer2.xml"/><Relationship Id="rId14" Type="http://schemas.openxmlformats.org/officeDocument/2006/relationships/header" Target="header2.xml"/><Relationship Id="rId15" Type="http://schemas.openxmlformats.org/officeDocument/2006/relationships/footer" Target="footer3.xml"/><Relationship Id="rId16" Type="http://schemas.openxmlformats.org/officeDocument/2006/relationships/header" Target="header3.xml"/><Relationship Id="rId17" Type="http://schemas.openxmlformats.org/officeDocument/2006/relationships/footer" Target="footer4.xml"/><Relationship Id="rId18" Type="http://schemas.openxmlformats.org/officeDocument/2006/relationships/header" Target="header4.xml"/><Relationship Id="rId19" Type="http://schemas.openxmlformats.org/officeDocument/2006/relationships/footer" Target="footer5.xml"/><Relationship Id="rId20" Type="http://schemas.openxmlformats.org/officeDocument/2006/relationships/header" Target="header5.xml"/><Relationship Id="rId21" Type="http://schemas.openxmlformats.org/officeDocument/2006/relationships/footer" Target="footer6.xml"/><Relationship Id="rId22" Type="http://schemas.openxmlformats.org/officeDocument/2006/relationships/header" Target="header6.xml"/><Relationship Id="rId23" Type="http://schemas.openxmlformats.org/officeDocument/2006/relationships/footer" Target="footer7.xml"/><Relationship Id="rId24" Type="http://schemas.openxmlformats.org/officeDocument/2006/relationships/header" Target="header7.xml"/><Relationship Id="rId25" Type="http://schemas.openxmlformats.org/officeDocument/2006/relationships/footer" Target="footer8.xml"/><Relationship Id="rId26" Type="http://schemas.openxmlformats.org/officeDocument/2006/relationships/header" Target="header8.xml"/><Relationship Id="rId27" Type="http://schemas.openxmlformats.org/officeDocument/2006/relationships/footer" Target="footer9.xml"/><Relationship Id="rId28" Type="http://schemas.openxmlformats.org/officeDocument/2006/relationships/header" Target="header9.xml"/><Relationship Id="rId29" Type="http://schemas.openxmlformats.org/officeDocument/2006/relationships/footer" Target="footer10.xml"/><Relationship Id="rId30" Type="http://schemas.openxmlformats.org/officeDocument/2006/relationships/header" Target="header10.xml"/><Relationship Id="rId31" Type="http://schemas.openxmlformats.org/officeDocument/2006/relationships/footer" Target="footer11.xml"/><Relationship Id="rId32" Type="http://schemas.openxmlformats.org/officeDocument/2006/relationships/header" Target="header11.xml"/><Relationship Id="rId33" Type="http://schemas.openxmlformats.org/officeDocument/2006/relationships/footer" Target="footer12.xml"/><Relationship Id="rId34" Type="http://schemas.openxmlformats.org/officeDocument/2006/relationships/header" Target="header12.xml"/><Relationship Id="rId35" Type="http://schemas.openxmlformats.org/officeDocument/2006/relationships/footer" Target="footer13.xml"/><Relationship Id="rId36" Type="http://schemas.openxmlformats.org/officeDocument/2006/relationships/header" Target="header13.xml"/><Relationship Id="rId37" Type="http://schemas.openxmlformats.org/officeDocument/2006/relationships/footer" Target="footer14.xml"/><Relationship Id="rId38" Type="http://schemas.openxmlformats.org/officeDocument/2006/relationships/header" Target="header14.xml"/><Relationship Id="rId39" Type="http://schemas.openxmlformats.org/officeDocument/2006/relationships/footer" Target="footer15.xml"/><Relationship Id="rId40" Type="http://schemas.openxmlformats.org/officeDocument/2006/relationships/header" Target="header15.xml"/><Relationship Id="rId41" Type="http://schemas.openxmlformats.org/officeDocument/2006/relationships/footer" Target="footer16.xml"/><Relationship Id="rId42" Type="http://schemas.openxmlformats.org/officeDocument/2006/relationships/header" Target="header16.xml"/><Relationship Id="rId43" Type="http://schemas.openxmlformats.org/officeDocument/2006/relationships/footer" Target="footer17.xml"/><Relationship Id="rId44" Type="http://schemas.openxmlformats.org/officeDocument/2006/relationships/header" Target="header17.xml"/><Relationship Id="rId45" Type="http://schemas.openxmlformats.org/officeDocument/2006/relationships/footer" Target="footer18.xml"/><Relationship Id="rId46" Type="http://schemas.openxmlformats.org/officeDocument/2006/relationships/header" Target="header18.xml"/><Relationship Id="rId47" Type="http://schemas.openxmlformats.org/officeDocument/2006/relationships/footer" Target="footer19.xml"/><Relationship Id="rId48" Type="http://schemas.openxmlformats.org/officeDocument/2006/relationships/hyperlink" Target="https://malegislature.gov/Bills/192/H3954" TargetMode="External"/><Relationship Id="rId49" Type="http://schemas.openxmlformats.org/officeDocument/2006/relationships/hyperlink" Target="https://malegislature.gov/Bills/193/S65" TargetMode="External"/><Relationship Id="rId50" Type="http://schemas.openxmlformats.org/officeDocument/2006/relationships/hyperlink" Target="https://malegislature.gov/Bills/193/H157" TargetMode="External"/><Relationship Id="rId51" Type="http://schemas.openxmlformats.org/officeDocument/2006/relationships/hyperlink" Target="https://malegislature.gov/Bills/193/SD1088" TargetMode="External"/><Relationship Id="rId52" Type="http://schemas.openxmlformats.org/officeDocument/2006/relationships/hyperlink" Target="https://malegislature.gov/Bills/193/H1713" TargetMode="External"/><Relationship Id="rId53" Type="http://schemas.openxmlformats.org/officeDocument/2006/relationships/hyperlink" Target="https://malegislature.gov/Bills/193/S66" TargetMode="External"/><Relationship Id="rId54" Type="http://schemas.openxmlformats.org/officeDocument/2006/relationships/hyperlink" Target="https://malegislature.gov/Bills/193/HD1429" TargetMode="External"/><Relationship Id="rId55" Type="http://schemas.openxmlformats.org/officeDocument/2006/relationships/hyperlink" Target="https://malegislature.gov/Bills/193/S78/BillHistory" TargetMode="External"/><Relationship Id="rId56" Type="http://schemas.openxmlformats.org/officeDocument/2006/relationships/hyperlink" Target="https://malegislature.gov/Bills/193/S68" TargetMode="External"/><Relationship Id="rId57" Type="http://schemas.openxmlformats.org/officeDocument/2006/relationships/hyperlink" Target="https://malegislature.gov/Bills/193/H164" TargetMode="External"/><Relationship Id="rId58" Type="http://schemas.openxmlformats.org/officeDocument/2006/relationships/image" Target="media/image5.jpeg"/><Relationship Id="rId59" Type="http://schemas.openxmlformats.org/officeDocument/2006/relationships/header" Target="header19.xml"/><Relationship Id="rId60" Type="http://schemas.openxmlformats.org/officeDocument/2006/relationships/footer" Target="footer20.xml"/><Relationship Id="rId61" Type="http://schemas.openxmlformats.org/officeDocument/2006/relationships/hyperlink" Target="https://malegislature.gov/Laws/GeneralLaws/PartII/TitleIII/Chapter207/Section7" TargetMode="External"/><Relationship Id="rId62" Type="http://schemas.openxmlformats.org/officeDocument/2006/relationships/image" Target="media/image6.jpeg"/><Relationship Id="rId63" Type="http://schemas.openxmlformats.org/officeDocument/2006/relationships/header" Target="header20.xml"/><Relationship Id="rId64" Type="http://schemas.openxmlformats.org/officeDocument/2006/relationships/footer" Target="footer21.xml"/><Relationship Id="rId65" Type="http://schemas.openxmlformats.org/officeDocument/2006/relationships/hyperlink" Target="https://friendsofchildreninc.org/child-welfare-oversight-myths/" TargetMode="External"/><Relationship Id="rId66" Type="http://schemas.openxmlformats.org/officeDocument/2006/relationships/hyperlink" Target="https://docs.google.com/document/d/1UcEU8Y6eldxBguk7XRQkxMK0vcPJf9kB/edit#heading%3Dh.28h4qwu" TargetMode="External"/><Relationship Id="rId67" Type="http://schemas.openxmlformats.org/officeDocument/2006/relationships/hyperlink" Target="https://docs.google.com/document/d/1UcEU8Y6eldxBguk7XRQkxMK0vcPJf9kB/edit#heading%3Dh.nmf14n" TargetMode="External"/><Relationship Id="rId68" Type="http://schemas.openxmlformats.org/officeDocument/2006/relationships/hyperlink" Target="https://www.zotero.org/google-docs/?Ss1PY8" TargetMode="External"/><Relationship Id="rId69" Type="http://schemas.openxmlformats.org/officeDocument/2006/relationships/hyperlink" Target="https://nycfuture.org/research/basic-income-for-transition-age-foster-youth" TargetMode="External"/><Relationship Id="rId70" Type="http://schemas.openxmlformats.org/officeDocument/2006/relationships/hyperlink" Target="http://www.childwelfare.gov/pubPDFs/div-x/product7-direct-financial-assistance.pdf" TargetMode="External"/><Relationship Id="rId71" Type="http://schemas.openxmlformats.org/officeDocument/2006/relationships/hyperlink" Target="http://www.themarshallproject.org/2021/05/17/these-states-take-money-meant-for-foster-children" TargetMode="External"/><Relationship Id="rId72" Type="http://schemas.openxmlformats.org/officeDocument/2006/relationships/hyperlink" Target="http://www.npr.org/2021/04/22/988806806/state-foster-care-agencies-take-millions-of-dollars-owed-to-children-in-their-ca" TargetMode="External"/><Relationship Id="rId73" Type="http://schemas.openxmlformats.org/officeDocument/2006/relationships/hyperlink" Target="http://www.glad.org/mpa-overview/" TargetMode="External"/><Relationship Id="rId74" Type="http://schemas.openxmlformats.org/officeDocument/2006/relationships/hyperlink" Target="https://www.zotero.org/google-docs/?qu2vFq" TargetMode="External"/><Relationship Id="rId75" Type="http://schemas.openxmlformats.org/officeDocument/2006/relationships/hyperlink" Target="https://www.zotero.org/google-docs/?R8ZSPG" TargetMode="External"/><Relationship Id="rId76" Type="http://schemas.openxmlformats.org/officeDocument/2006/relationships/hyperlink" Target="https://www.zotero.org/google-docs/?OZMUVT" TargetMode="External"/><Relationship Id="rId77" Type="http://schemas.openxmlformats.org/officeDocument/2006/relationships/hyperlink" Target="http://www.ohchr.org/en/instruments-" TargetMode="External"/><Relationship Id="rId78" Type="http://schemas.openxmlformats.org/officeDocument/2006/relationships/hyperlink" Target="https://www.zotero.org/google-docs/?tdiEB6" TargetMode="External"/><Relationship Id="rId79" Type="http://schemas.openxmlformats.org/officeDocument/2006/relationships/hyperlink" Target="https://www.zotero.org/google-docs/?NNpBpm" TargetMode="External"/><Relationship Id="rId80" Type="http://schemas.openxmlformats.org/officeDocument/2006/relationships/hyperlink" Target="https://www.zotero.org/google-docs/?uPJj8h" TargetMode="External"/><Relationship Id="rId81" Type="http://schemas.openxmlformats.org/officeDocument/2006/relationships/hyperlink" Target="https://www.zotero.org/google-docs/?bqqAOu" TargetMode="External"/><Relationship Id="rId82" Type="http://schemas.openxmlformats.org/officeDocument/2006/relationships/hyperlink" Target="https://www.zotero.org/google-docs/?j0AacR" TargetMode="External"/><Relationship Id="rId83" Type="http://schemas.openxmlformats.org/officeDocument/2006/relationships/hyperlink" Target="https://www.zotero.org/google-docs/?54iKTD" TargetMode="External"/><Relationship Id="rId84" Type="http://schemas.openxmlformats.org/officeDocument/2006/relationships/hyperlink" Target="https://www.zotero.org/google-docs/?XocvTS" TargetMode="External"/><Relationship Id="rId85" Type="http://schemas.openxmlformats.org/officeDocument/2006/relationships/hyperlink" Target="https://www.zotero.org/google-docs/?ubJ4oC" TargetMode="External"/><Relationship Id="rId86" Type="http://schemas.openxmlformats.org/officeDocument/2006/relationships/hyperlink" Target="https://www.zotero.org/google-docs/?jBPUHJ" TargetMode="External"/><Relationship Id="rId87" Type="http://schemas.openxmlformats.org/officeDocument/2006/relationships/hyperlink" Target="https://www.zotero.org/google-docs/?oMA58k" TargetMode="External"/><Relationship Id="rId88" Type="http://schemas.openxmlformats.org/officeDocument/2006/relationships/hyperlink" Target="https://www.zotero.org/google-docs/?sm0djm" TargetMode="External"/><Relationship Id="rId89" Type="http://schemas.openxmlformats.org/officeDocument/2006/relationships/hyperlink" Target="https://www.zotero.org/google-docs/?rieokJ" TargetMode="External"/><Relationship Id="rId90" Type="http://schemas.openxmlformats.org/officeDocument/2006/relationships/hyperlink" Target="https://www.zotero.org/google-docs/?cp5FaT" TargetMode="External"/><Relationship Id="rId91" Type="http://schemas.openxmlformats.org/officeDocument/2006/relationships/hyperlink" Target="https://www.zotero.org/google-docs/?VbP7s2" TargetMode="External"/><Relationship Id="rId92" Type="http://schemas.openxmlformats.org/officeDocument/2006/relationships/hyperlink" Target="https://www.zotero.org/google-docs/?XtZHp1" TargetMode="External"/><Relationship Id="rId93" Type="http://schemas.openxmlformats.org/officeDocument/2006/relationships/hyperlink" Target="https://www.zotero.org/google-docs/?cChUxE" TargetMode="External"/><Relationship Id="rId94" Type="http://schemas.openxmlformats.org/officeDocument/2006/relationships/hyperlink" Target="http://www.mass.gov/doc/quarter-2/download" TargetMode="External"/><Relationship Id="rId95" Type="http://schemas.openxmlformats.org/officeDocument/2006/relationships/header" Target="header21.xml"/><Relationship Id="rId96" Type="http://schemas.openxmlformats.org/officeDocument/2006/relationships/footer" Target="footer22.xml"/><Relationship Id="rId97" Type="http://schemas.openxmlformats.org/officeDocument/2006/relationships/image" Target="media/image7.png"/><Relationship Id="rId98" Type="http://schemas.openxmlformats.org/officeDocument/2006/relationships/image" Target="media/image8.png"/><Relationship Id="rId99" Type="http://schemas.openxmlformats.org/officeDocument/2006/relationships/image" Target="media/image9.png"/><Relationship Id="rId100" Type="http://schemas.openxmlformats.org/officeDocument/2006/relationships/image" Target="media/image10.png"/><Relationship Id="rId101" Type="http://schemas.openxmlformats.org/officeDocument/2006/relationships/header" Target="header22.xml"/><Relationship Id="rId102" Type="http://schemas.openxmlformats.org/officeDocument/2006/relationships/footer" Target="footer23.xml"/><Relationship Id="rId103" Type="http://schemas.openxmlformats.org/officeDocument/2006/relationships/image" Target="media/image11.jpeg"/><Relationship Id="rId104" Type="http://schemas.openxmlformats.org/officeDocument/2006/relationships/image" Target="media/image12.jpeg"/><Relationship Id="rId105" Type="http://schemas.openxmlformats.org/officeDocument/2006/relationships/image" Target="media/image13.jpeg"/><Relationship Id="rId106" Type="http://schemas.openxmlformats.org/officeDocument/2006/relationships/image" Target="media/image14.jpeg"/><Relationship Id="rId107" Type="http://schemas.openxmlformats.org/officeDocument/2006/relationships/image" Target="media/image15.jpeg"/><Relationship Id="rId108" Type="http://schemas.openxmlformats.org/officeDocument/2006/relationships/hyperlink" Target="http://www.glsen.org/sites/default/files/2022-10/NSCS-2021-Full-Report.pdf" TargetMode="External"/><Relationship Id="rId109" Type="http://schemas.openxmlformats.org/officeDocument/2006/relationships/hyperlink" Target="http://www.doe.mass.edu/sfs/lgbtq/LawsInfo.html" TargetMode="External"/><Relationship Id="rId110" Type="http://schemas.openxmlformats.org/officeDocument/2006/relationships/hyperlink" Target="http://www.doe.mass.edu/sfs/lgbtq/Principles-SafeEnvironment.html" TargetMode="External"/><Relationship Id="rId111" Type="http://schemas.openxmlformats.org/officeDocument/2006/relationships/hyperlink" Target="http://www.wgbh.org/news/education-news/2024-01-17/pembroke-schools-reject-effort-that-would-ban-pride-flags" TargetMode="External"/><Relationship Id="rId112" Type="http://schemas.openxmlformats.org/officeDocument/2006/relationships/hyperlink" Target="http://www.bostonglobe.com/2024/01/17/metro/banned-books-charts/" TargetMode="External"/><Relationship Id="rId113" Type="http://schemas.openxmlformats.org/officeDocument/2006/relationships/hyperlink" Target="http://www.berkshireeagle.com/breaking/gender-" TargetMode="External"/><Relationship Id="rId114" Type="http://schemas.openxmlformats.org/officeDocument/2006/relationships/hyperlink" Target="http://www.nea.org/about-nea/media-center/press-releases/new-" TargetMode="External"/><Relationship Id="rId115" Type="http://schemas.openxmlformats.org/officeDocument/2006/relationships/hyperlink" Target="http://www.cdc.gov/healthyyouth/safe-supportive-environments/LGBTQ-policies-practices.htm" TargetMode="External"/><Relationship Id="rId116" Type="http://schemas.openxmlformats.org/officeDocument/2006/relationships/hyperlink" Target="http://www.glsen.org/sites/default/files/2020-06/Erasure-" TargetMode="External"/><Relationship Id="rId117" Type="http://schemas.openxmlformats.org/officeDocument/2006/relationships/hyperlink" Target="http://www.glsen.org/sites/default/files/2020-06/Erasure-and-Resilience-Native-2020.pdf" TargetMode="External"/><Relationship Id="rId118" Type="http://schemas.openxmlformats.org/officeDocument/2006/relationships/hyperlink" Target="http://www.aclu.org/legislative-attacks-on-lgbtq-rights-2024" TargetMode="External"/><Relationship Id="rId119" Type="http://schemas.openxmlformats.org/officeDocument/2006/relationships/hyperlink" Target="http://www.mayoclinic.org/healthy-lifestyle/childrens-health/in-depth/children-and-gender-identity/art-20266811" TargetMode="External"/><Relationship Id="rId120" Type="http://schemas.openxmlformats.org/officeDocument/2006/relationships/header" Target="header23.xml"/><Relationship Id="rId121" Type="http://schemas.openxmlformats.org/officeDocument/2006/relationships/footer" Target="footer24.xml"/><Relationship Id="rId122" Type="http://schemas.openxmlformats.org/officeDocument/2006/relationships/image" Target="media/image16.png"/><Relationship Id="rId123" Type="http://schemas.openxmlformats.org/officeDocument/2006/relationships/image" Target="media/image17.png"/><Relationship Id="rId124" Type="http://schemas.openxmlformats.org/officeDocument/2006/relationships/image" Target="media/image18.png"/><Relationship Id="rId125" Type="http://schemas.openxmlformats.org/officeDocument/2006/relationships/header" Target="header24.xml"/><Relationship Id="rId126" Type="http://schemas.openxmlformats.org/officeDocument/2006/relationships/footer" Target="footer25.xml"/><Relationship Id="rId127" Type="http://schemas.openxmlformats.org/officeDocument/2006/relationships/hyperlink" Target="https://malegislature.gov/Bills/193/SD430" TargetMode="External"/><Relationship Id="rId128" Type="http://schemas.openxmlformats.org/officeDocument/2006/relationships/hyperlink" Target="https://malegislature.gov/Bills/193/H1981" TargetMode="External"/><Relationship Id="rId129" Type="http://schemas.openxmlformats.org/officeDocument/2006/relationships/image" Target="media/image19.jpeg"/><Relationship Id="rId130" Type="http://schemas.openxmlformats.org/officeDocument/2006/relationships/hyperlink" Target="https://malegislature.gov/Bills/193/SD2199" TargetMode="External"/><Relationship Id="rId131" Type="http://schemas.openxmlformats.org/officeDocument/2006/relationships/hyperlink" Target="https://malegislature.gov/Bills/193/HD3874" TargetMode="External"/><Relationship Id="rId132" Type="http://schemas.openxmlformats.org/officeDocument/2006/relationships/image" Target="media/image20.jpeg"/><Relationship Id="rId133" Type="http://schemas.openxmlformats.org/officeDocument/2006/relationships/image" Target="media/image21.jpeg"/><Relationship Id="rId134" Type="http://schemas.openxmlformats.org/officeDocument/2006/relationships/image" Target="media/image22.jpeg"/><Relationship Id="rId135" Type="http://schemas.openxmlformats.org/officeDocument/2006/relationships/image" Target="media/image23.jpeg"/><Relationship Id="rId136" Type="http://schemas.openxmlformats.org/officeDocument/2006/relationships/image" Target="media/image24.jpeg"/><Relationship Id="rId137" Type="http://schemas.openxmlformats.org/officeDocument/2006/relationships/hyperlink" Target="https://malegislature.gov/Laws/GeneralLaws/PartIV/TitleI/Chapter265/Section23" TargetMode="External"/><Relationship Id="rId138" Type="http://schemas.openxmlformats.org/officeDocument/2006/relationships/header" Target="header25.xml"/><Relationship Id="rId139" Type="http://schemas.openxmlformats.org/officeDocument/2006/relationships/footer" Target="footer26.xml"/><Relationship Id="rId140" Type="http://schemas.openxmlformats.org/officeDocument/2006/relationships/header" Target="header26.xml"/><Relationship Id="rId141" Type="http://schemas.openxmlformats.org/officeDocument/2006/relationships/footer" Target="footer27.xml"/><Relationship Id="rId142" Type="http://schemas.openxmlformats.org/officeDocument/2006/relationships/hyperlink" Target="http://www.wbur.org/news/2022/07/29/massachusetts-supervised-drug-site-somerville-plan" TargetMode="External"/><Relationship Id="rId143" Type="http://schemas.openxmlformats.org/officeDocument/2006/relationships/hyperlink" Target="http://www.acha.org/HealthyCampus/HealthyCampus/Ecological_Model.aspx" TargetMode="External"/><Relationship Id="rId144" Type="http://schemas.openxmlformats.org/officeDocument/2006/relationships/hyperlink" Target="http://assets2.hrc.org/files/assets/resources/HRC_ACAF_SOGIE_Data_Collection_Guide.pdf" TargetMode="External"/><Relationship Id="rId145" Type="http://schemas.openxmlformats.org/officeDocument/2006/relationships/hyperlink" Target="http://www.lgbtqiahealtheducation.org/publication/ready-set-go-a-guide-for-collecting-data-on-sexual-" TargetMode="External"/><Relationship Id="rId146" Type="http://schemas.openxmlformats.org/officeDocument/2006/relationships/hyperlink" Target="http://www.cdc.gov/violenceprevention/intimatepartnerviolence/teendatingviolence/fastfact.html" TargetMode="External"/><Relationship Id="rId147" Type="http://schemas.openxmlformats.org/officeDocument/2006/relationships/hyperlink" Target="http://www.acha.org/documents/ncha/NCHA-" TargetMode="External"/><Relationship Id="rId148" Type="http://schemas.openxmlformats.org/officeDocument/2006/relationships/hyperlink" Target="http://www.thehotline.org/resources/types-of-abuse/" TargetMode="External"/><Relationship Id="rId149" Type="http://schemas.openxmlformats.org/officeDocument/2006/relationships/hyperlink" Target="http://www.healthyyouthact.org/" TargetMode="External"/><Relationship Id="rId150" Type="http://schemas.openxmlformats.org/officeDocument/2006/relationships/hyperlink" Target="http://www.tnlr.org/wp-content/uploads/CNA-w-cover-Final.pdf" TargetMode="External"/><Relationship Id="rId151" Type="http://schemas.openxmlformats.org/officeDocument/2006/relationships/hyperlink" Target="http://www.cdc.gov/std/life-stages-populations/adolescents-youngadults.htm" TargetMode="External"/><Relationship Id="rId152" Type="http://schemas.openxmlformats.org/officeDocument/2006/relationships/hyperlink" Target="http://www.urban.org/research/publication/access-safety-health-outcomes-substance-use-and-abuse-and-service-" TargetMode="External"/><Relationship Id="rId153" Type="http://schemas.openxmlformats.org/officeDocument/2006/relationships/hyperlink" Target="http://www.guttmacher.org/state-" TargetMode="External"/><Relationship Id="rId154" Type="http://schemas.openxmlformats.org/officeDocument/2006/relationships/hyperlink" Target="http://www.cdc.gov/violenceprevention/youthviolence/bullyingresearch/fastfact.html" TargetMode="External"/><Relationship Id="rId155" Type="http://schemas.openxmlformats.org/officeDocument/2006/relationships/hyperlink" Target="http://www.glsen.org/sites/default/files/2021-01/Massachusetts-Snapshot-2019_1.pdf" TargetMode="External"/><Relationship Id="rId156" Type="http://schemas.openxmlformats.org/officeDocument/2006/relationships/hyperlink" Target="http://www.glsen.org/sites/default/files/2022-" TargetMode="External"/><Relationship Id="rId157" Type="http://schemas.openxmlformats.org/officeDocument/2006/relationships/hyperlink" Target="http://www.thetrevorproject.org/wp-content/uploads/2021/05/The-Trevor-Project-National-Survey-Results-2021.pdf" TargetMode="External"/><Relationship Id="rId158" Type="http://schemas.openxmlformats.org/officeDocument/2006/relationships/hyperlink" Target="http://www.doe.mass.edu/sfs/lgbtq/" TargetMode="External"/><Relationship Id="rId159" Type="http://schemas.openxmlformats.org/officeDocument/2006/relationships/hyperlink" Target="http://www.mass.gov/doc/opioid-related-overdose-deaths-" TargetMode="External"/><Relationship Id="rId160" Type="http://schemas.openxmlformats.org/officeDocument/2006/relationships/hyperlink" Target="http://www.mass.gov/doc/results-" TargetMode="External"/><Relationship Id="rId161" Type="http://schemas.openxmlformats.org/officeDocument/2006/relationships/hyperlink" Target="http://www.hivlawandpolicy.org/sites/default/files/Syringe%20Access%20LGBT%20Fact%20Sheet.pdf" TargetMode="External"/><Relationship Id="rId162" Type="http://schemas.openxmlformats.org/officeDocument/2006/relationships/hyperlink" Target="https://harmreduction.org/issues/establishing-rural-programs/" TargetMode="External"/><Relationship Id="rId163" Type="http://schemas.openxmlformats.org/officeDocument/2006/relationships/hyperlink" Target="http://www.mass.gov/info-" TargetMode="External"/><Relationship Id="rId164" Type="http://schemas.openxmlformats.org/officeDocument/2006/relationships/hyperlink" Target="http://www.justice.gov/criminal-" TargetMode="External"/><Relationship Id="rId165" Type="http://schemas.openxmlformats.org/officeDocument/2006/relationships/hyperlink" Target="http://www.lgbtqiahealtheducation.org/wp-content/uploads/2021/09/Supporting-LGBTQIA-Youth-Who-Have-" TargetMode="External"/><Relationship Id="rId166" Type="http://schemas.openxmlformats.org/officeDocument/2006/relationships/hyperlink" Target="http://www.thehallsboston.com/" TargetMode="External"/><Relationship Id="rId167" Type="http://schemas.openxmlformats.org/officeDocument/2006/relationships/hyperlink" Target="http://www.advocatesforyouth.org/" TargetMode="External"/><Relationship Id="rId168" Type="http://schemas.openxmlformats.org/officeDocument/2006/relationships/hyperlink" Target="http://www.winthropcasa.org/" TargetMode="External"/><Relationship Id="rId169" Type="http://schemas.openxmlformats.org/officeDocument/2006/relationships/header" Target="header27.xml"/><Relationship Id="rId170" Type="http://schemas.openxmlformats.org/officeDocument/2006/relationships/footer" Target="footer28.xml"/><Relationship Id="rId171" Type="http://schemas.openxmlformats.org/officeDocument/2006/relationships/image" Target="media/image25.png"/><Relationship Id="rId172" Type="http://schemas.openxmlformats.org/officeDocument/2006/relationships/image" Target="media/image26.png"/><Relationship Id="rId173" Type="http://schemas.openxmlformats.org/officeDocument/2006/relationships/image" Target="media/image27.png"/><Relationship Id="rId174" Type="http://schemas.openxmlformats.org/officeDocument/2006/relationships/header" Target="header28.xml"/><Relationship Id="rId175" Type="http://schemas.openxmlformats.org/officeDocument/2006/relationships/footer" Target="footer29.xml"/><Relationship Id="rId176" Type="http://schemas.openxmlformats.org/officeDocument/2006/relationships/image" Target="media/image28.jpeg"/><Relationship Id="rId177" Type="http://schemas.openxmlformats.org/officeDocument/2006/relationships/image" Target="media/image29.jpeg"/><Relationship Id="rId178" Type="http://schemas.openxmlformats.org/officeDocument/2006/relationships/image" Target="media/image30.jpeg"/><Relationship Id="rId179" Type="http://schemas.openxmlformats.org/officeDocument/2006/relationships/image" Target="media/image31.jpeg"/><Relationship Id="rId180" Type="http://schemas.openxmlformats.org/officeDocument/2006/relationships/image" Target="media/image32.jpeg"/><Relationship Id="rId181" Type="http://schemas.openxmlformats.org/officeDocument/2006/relationships/image" Target="media/image33.jpeg"/><Relationship Id="rId182" Type="http://schemas.openxmlformats.org/officeDocument/2006/relationships/image" Target="media/image34.jpeg"/><Relationship Id="rId183" Type="http://schemas.openxmlformats.org/officeDocument/2006/relationships/image" Target="media/image35.jpeg"/><Relationship Id="rId184" Type="http://schemas.openxmlformats.org/officeDocument/2006/relationships/image" Target="media/image36.png"/><Relationship Id="rId185" Type="http://schemas.openxmlformats.org/officeDocument/2006/relationships/image" Target="media/image37.jpeg"/><Relationship Id="rId186" Type="http://schemas.openxmlformats.org/officeDocument/2006/relationships/image" Target="media/image38.png"/><Relationship Id="rId187" Type="http://schemas.openxmlformats.org/officeDocument/2006/relationships/image" Target="media/image39.png"/><Relationship Id="rId188" Type="http://schemas.openxmlformats.org/officeDocument/2006/relationships/image" Target="media/image40.png"/><Relationship Id="rId189" Type="http://schemas.openxmlformats.org/officeDocument/2006/relationships/image" Target="media/image41.jpeg"/><Relationship Id="rId190" Type="http://schemas.openxmlformats.org/officeDocument/2006/relationships/image" Target="media/image42.jpeg"/><Relationship Id="rId191" Type="http://schemas.openxmlformats.org/officeDocument/2006/relationships/image" Target="media/image43.jpeg"/><Relationship Id="rId192" Type="http://schemas.openxmlformats.org/officeDocument/2006/relationships/hyperlink" Target="https://doi.org/10.1016/j.jaac.2016.12.015" TargetMode="External"/><Relationship Id="rId193" Type="http://schemas.openxmlformats.org/officeDocument/2006/relationships/hyperlink" Target="https://www.thetrevorproject.org/survey-2022/assets/static/trevor01_2022survey_final.pdf" TargetMode="External"/><Relationship Id="rId194" Type="http://schemas.openxmlformats.org/officeDocument/2006/relationships/hyperlink" Target="https://www.thetrevorproject.org/wp-content/uploads/2022/12/The-Trevor-Project-2022-National-Survey-on-LGBTQ-Youth-Mental-Health-by-State-Massachusetts.pdf" TargetMode="External"/><Relationship Id="rId195" Type="http://schemas.openxmlformats.org/officeDocument/2006/relationships/hyperlink" Target="https://www.thetrevorproject.org/research-briefs/trauma-and-suicide-risk-among-lgbtq-youth-july-2022/" TargetMode="External"/><Relationship Id="rId196" Type="http://schemas.openxmlformats.org/officeDocument/2006/relationships/hyperlink" Target="https://www.census.gov/library/stories/2022/12/lgbt-adults-report-anxiety-depression-at-all-ages.html" TargetMode="External"/><Relationship Id="rId197" Type="http://schemas.openxmlformats.org/officeDocument/2006/relationships/hyperlink" Target="https://www.hrc.org/press-releases/human-rights-campaign-working-to-defeat-340-anti-lgbtq-bills-at-state-level-already-150-of-which-target-transgender-people-highest-number-on-record" TargetMode="External"/><Relationship Id="rId198" Type="http://schemas.openxmlformats.org/officeDocument/2006/relationships/hyperlink" Target="https://doi.org/10.1007/s10865-013-9523-8" TargetMode="External"/><Relationship Id="rId199" Type="http://schemas.openxmlformats.org/officeDocument/2006/relationships/hyperlink" Target="https://doi.org/10.2105/AJPH.2009.168815" TargetMode="External"/><Relationship Id="rId200" Type="http://schemas.openxmlformats.org/officeDocument/2006/relationships/hyperlink" Target="https://doi.org/10.1089/lgbt.2020.0279" TargetMode="External"/><Relationship Id="rId201" Type="http://schemas.openxmlformats.org/officeDocument/2006/relationships/hyperlink" Target="https://doi.org/10.1007/s10964-020-01354-3" TargetMode="External"/><Relationship Id="rId202" Type="http://schemas.openxmlformats.org/officeDocument/2006/relationships/hyperlink" Target="https://doi.org/10.2105/AJPH.2011.300382" TargetMode="External"/><Relationship Id="rId203" Type="http://schemas.openxmlformats.org/officeDocument/2006/relationships/hyperlink" Target="https://lgbtqequity.org/wp-content/uploads/2021/06/Trauma-InformedCare-Final.pdf" TargetMode="External"/><Relationship Id="rId204" Type="http://schemas.openxmlformats.org/officeDocument/2006/relationships/hyperlink" Target="https://doi.org/10.1016/j.jadohealth.2018.08.020" TargetMode="External"/><Relationship Id="rId205" Type="http://schemas.openxmlformats.org/officeDocument/2006/relationships/hyperlink" Target="https://doi.org/10.22329/csw.v13i2.5861" TargetMode="External"/><Relationship Id="rId206" Type="http://schemas.openxmlformats.org/officeDocument/2006/relationships/hyperlink" Target="https://www.glsen.org/sites/default/files/2022-10/NSCS-2021-Full-Report.pdf" TargetMode="External"/><Relationship Id="rId207" Type="http://schemas.openxmlformats.org/officeDocument/2006/relationships/hyperlink" Target="https://doi.org/10.1080/15374416.2021.1941058" TargetMode="External"/><Relationship Id="rId208" Type="http://schemas.openxmlformats.org/officeDocument/2006/relationships/hyperlink" Target="https://doi.org/10.1007/s40596-019-01127-6" TargetMode="External"/><Relationship Id="rId209" Type="http://schemas.openxmlformats.org/officeDocument/2006/relationships/hyperlink" Target="http://www.colorado.edu/journal/assembly/2019/06/30/necessity-intentionally-closed-spaces-lgbtq-youth-color" TargetMode="External"/><Relationship Id="rId210" Type="http://schemas.openxmlformats.org/officeDocument/2006/relationships/hyperlink" Target="https://doi.org/10.1037/vio0000204" TargetMode="External"/><Relationship Id="rId211" Type="http://schemas.openxmlformats.org/officeDocument/2006/relationships/hyperlink" Target="https://doi.org/10.1080/1550428X.2020.1724133" TargetMode="External"/><Relationship Id="rId212" Type="http://schemas.openxmlformats.org/officeDocument/2006/relationships/hyperlink" Target="https://doi.org/10.1177/0192513X18783807" TargetMode="External"/><Relationship Id="rId213" Type="http://schemas.openxmlformats.org/officeDocument/2006/relationships/hyperlink" Target="https://doi.org/10.1007/978-3-030-70060-7_12" TargetMode="External"/><Relationship Id="rId214" Type="http://schemas.openxmlformats.org/officeDocument/2006/relationships/hyperlink" Target="https://doi.org/10.1007/s10903-021-01162-2" TargetMode="External"/><Relationship Id="rId215" Type="http://schemas.openxmlformats.org/officeDocument/2006/relationships/hyperlink" Target="https://www.thetrevorproject.org/wp-content/uploads/2021/07/Trevor-Project-First-Generation-Research-Brief.pdf" TargetMode="External"/><Relationship Id="rId216" Type="http://schemas.openxmlformats.org/officeDocument/2006/relationships/hyperlink" Target="https://doi.org/10.1108/EIHSC-09-2013-0018" TargetMode="External"/><Relationship Id="rId217" Type="http://schemas.openxmlformats.org/officeDocument/2006/relationships/hyperlink" Target="https://doi.org/10.1007/s13524-019-00770-w" TargetMode="External"/><Relationship Id="rId218" Type="http://schemas.openxmlformats.org/officeDocument/2006/relationships/hyperlink" Target="http://www.arianalife.com/topics/lgbt/roots-run-deep-how-history-and-culture-impact-lgbt-acceptance-in-asia/" TargetMode="External"/><Relationship Id="rId219" Type="http://schemas.openxmlformats.org/officeDocument/2006/relationships/hyperlink" Target="https://www.samhsa.gov/blog/one-size-does-not-fit-all-appreciating-diversity-asian-americans-native-hawaiians-pacific" TargetMode="External"/><Relationship Id="rId220" Type="http://schemas.openxmlformats.org/officeDocument/2006/relationships/hyperlink" Target="https://www.bostonglobe.com/2021/09/06/metro/schools-are-increasing-mental-health-support-this-year-experts-fear-its-still-not-enough/" TargetMode="External"/><Relationship Id="rId221" Type="http://schemas.openxmlformats.org/officeDocument/2006/relationships/hyperlink" Target="https://doi.org/10.1007/s10464-011-9424-3" TargetMode="External"/><Relationship Id="rId222" Type="http://schemas.openxmlformats.org/officeDocument/2006/relationships/hyperlink" Target="https://www.hrc.org/resources/understanding-disabled-lgbtq-people" TargetMode="External"/><Relationship Id="rId223" Type="http://schemas.openxmlformats.org/officeDocument/2006/relationships/hyperlink" Target="https://doi.org/10.1007/s10803-022-05517-y" TargetMode="External"/><Relationship Id="rId224" Type="http://schemas.openxmlformats.org/officeDocument/2006/relationships/hyperlink" Target="https://doi.org/10.1080/19361653.2019.1706686" TargetMode="External"/><Relationship Id="rId225" Type="http://schemas.openxmlformats.org/officeDocument/2006/relationships/hyperlink" Target="https://doi.org/10.1080/1536710X.2017.1299661" TargetMode="External"/><Relationship Id="rId226" Type="http://schemas.openxmlformats.org/officeDocument/2006/relationships/hyperlink" Target="https://doi.org/10.1080/10538720.2021.1911902" TargetMode="External"/><Relationship Id="rId227" Type="http://schemas.openxmlformats.org/officeDocument/2006/relationships/hyperlink" Target="http://www.mass.gov/service-details/dys-reports-and-" TargetMode="External"/><Relationship Id="rId228" Type="http://schemas.openxmlformats.org/officeDocument/2006/relationships/hyperlink" Target="https://doi.org/10.1016/j.childyouth.2022.106682" TargetMode="External"/><Relationship Id="rId229" Type="http://schemas.openxmlformats.org/officeDocument/2006/relationships/hyperlink" Target="https://doi.org/10.1080/15548732.2016.1221368" TargetMode="External"/><Relationship Id="rId230" Type="http://schemas.openxmlformats.org/officeDocument/2006/relationships/hyperlink" Target="https://doi.org/10.1080/19361653.2020.1766393" TargetMode="External"/><Relationship Id="rId231" Type="http://schemas.openxmlformats.org/officeDocument/2006/relationships/hyperlink" Target="https://doi.org/10.1542/peds.2018-3367" TargetMode="External"/><Relationship Id="rId232" Type="http://schemas.openxmlformats.org/officeDocument/2006/relationships/hyperlink" Target="https://doi.org/10.1177/1044389418768550" TargetMode="External"/><Relationship Id="rId233" Type="http://schemas.openxmlformats.org/officeDocument/2006/relationships/hyperlink" Target="https://doi.org/10.1080/15374416.2020.1815207" TargetMode="External"/><Relationship Id="rId234" Type="http://schemas.openxmlformats.org/officeDocument/2006/relationships/hyperlink" Target="https://doi.org/10.31234/osf.io/9wu42" TargetMode="External"/><Relationship Id="rId235" Type="http://schemas.openxmlformats.org/officeDocument/2006/relationships/hyperlink" Target="https://doi.org/10.1080/10538720.2020.1836704" TargetMode="External"/><Relationship Id="rId236" Type="http://schemas.openxmlformats.org/officeDocument/2006/relationships/hyperlink" Target="https://doi.org/10.1007/s12671-021-01787-2" TargetMode="External"/><Relationship Id="rId237" Type="http://schemas.openxmlformats.org/officeDocument/2006/relationships/hyperlink" Target="https://doi.org/10.1521/jsyt.2020.39.4.13" TargetMode="External"/><Relationship Id="rId238" Type="http://schemas.openxmlformats.org/officeDocument/2006/relationships/hyperlink" Target="https://doi.org/10.1080/14779757.2020.1717986" TargetMode="External"/><Relationship Id="rId239" Type="http://schemas.openxmlformats.org/officeDocument/2006/relationships/hyperlink" Target="https://doi.org/10.1037/pri0000126" TargetMode="External"/><Relationship Id="rId240" Type="http://schemas.openxmlformats.org/officeDocument/2006/relationships/hyperlink" Target="https://doi.org/10.1111/famp.12770" TargetMode="External"/><Relationship Id="rId241" Type="http://schemas.openxmlformats.org/officeDocument/2006/relationships/hyperlink" Target="https://doi.org/10.1080/19361653.2019.1591322" TargetMode="External"/><Relationship Id="rId242" Type="http://schemas.openxmlformats.org/officeDocument/2006/relationships/hyperlink" Target="https://doi.org/10.1007/s11121-021-01291-y" TargetMode="External"/><Relationship Id="rId243" Type="http://schemas.openxmlformats.org/officeDocument/2006/relationships/hyperlink" Target="https://doi.org/10.1111/cdev.13345" TargetMode="External"/><Relationship Id="rId244" Type="http://schemas.openxmlformats.org/officeDocument/2006/relationships/hyperlink" Target="https://www.glsen.org/sites/default/files/2021-12/GLSEN_ResearchInstitute_GSAStudy_12012021.pdf" TargetMode="External"/><Relationship Id="rId245" Type="http://schemas.openxmlformats.org/officeDocument/2006/relationships/hyperlink" Target="https://doi.org/10.1177/1524839916654461" TargetMode="External"/><Relationship Id="rId246" Type="http://schemas.openxmlformats.org/officeDocument/2006/relationships/hyperlink" Target="https://files.eric.ed.gov/fulltext/ED511993.pdf" TargetMode="External"/><Relationship Id="rId247" Type="http://schemas.openxmlformats.org/officeDocument/2006/relationships/hyperlink" Target="https://doi.org/10.1080/00918369.2017.1411693" TargetMode="External"/><Relationship Id="rId248" Type="http://schemas.openxmlformats.org/officeDocument/2006/relationships/hyperlink" Target="https://doi.org/10.1080/10410236.2021.1958983" TargetMode="External"/><Relationship Id="rId249" Type="http://schemas.openxmlformats.org/officeDocument/2006/relationships/hyperlink" Target="https://doi.org/10.1186/s12939-021-01488-1" TargetMode="External"/><Relationship Id="rId250" Type="http://schemas.openxmlformats.org/officeDocument/2006/relationships/hyperlink" Target="https://doi.org/10.1080/17482631.2021.1961572" TargetMode="External"/><Relationship Id="rId251" Type="http://schemas.openxmlformats.org/officeDocument/2006/relationships/hyperlink" Target="https://www.rescriptedjri.org/" TargetMode="External"/><Relationship Id="rId252" Type="http://schemas.openxmlformats.org/officeDocument/2006/relationships/hyperlink" Target="https://doi.org/10.1016/j.ctim.2022.102850" TargetMode="External"/><Relationship Id="rId253" Type="http://schemas.openxmlformats.org/officeDocument/2006/relationships/hyperlink" Target="https://www.traumainformedweightlifting.com/research" TargetMode="External"/><Relationship Id="rId254" Type="http://schemas.openxmlformats.org/officeDocument/2006/relationships/hyperlink" Target="https://doi.org/10.1007/s10560-016-0435-7" TargetMode="External"/><Relationship Id="rId255" Type="http://schemas.openxmlformats.org/officeDocument/2006/relationships/hyperlink" Target="https://doi.org/10.1177/0011000018787261" TargetMode="External"/><Relationship Id="rId256" Type="http://schemas.openxmlformats.org/officeDocument/2006/relationships/hyperlink" Target="https://doi.org/10.1080/19361653.2021.2020703" TargetMode="External"/><Relationship Id="rId257" Type="http://schemas.openxmlformats.org/officeDocument/2006/relationships/hyperlink" Target="https://doi.org/10.1177/0361684313493252" TargetMode="External"/><Relationship Id="rId258" Type="http://schemas.openxmlformats.org/officeDocument/2006/relationships/hyperlink" Target="https://doi.org/10.1037/cou0000429" TargetMode="External"/><Relationship Id="rId259" Type="http://schemas.openxmlformats.org/officeDocument/2006/relationships/hyperlink" Target="https://senatorjocomerford.org/addressing-barriers-to-care-whats-in-the-legislatures-final-mental-health-bill/" TargetMode="External"/><Relationship Id="rId260" Type="http://schemas.openxmlformats.org/officeDocument/2006/relationships/hyperlink" Target="https://www.nbcnews.com/think/opinion/covid-s-mental-health-toll-makes-therapists-hard-find-insurance-ncna1286502" TargetMode="External"/><Relationship Id="rId261" Type="http://schemas.openxmlformats.org/officeDocument/2006/relationships/hyperlink" Target="https://doi.org/10.1111/jcpp.12937" TargetMode="External"/><Relationship Id="rId262" Type="http://schemas.openxmlformats.org/officeDocument/2006/relationships/hyperlink" Target="https://doi.org/10.1080/19359705.2016.1166469" TargetMode="External"/><Relationship Id="rId263" Type="http://schemas.openxmlformats.org/officeDocument/2006/relationships/hyperlink" Target="https://doi.org/10.1111/hsc.14061" TargetMode="External"/><Relationship Id="rId264" Type="http://schemas.openxmlformats.org/officeDocument/2006/relationships/hyperlink" Target="https://doi.org/10.1007/s10578-021-01250-2" TargetMode="External"/><Relationship Id="rId265" Type="http://schemas.openxmlformats.org/officeDocument/2006/relationships/hyperlink" Target="https://doi.org/10.1007/s11414-019-09667-3" TargetMode="External"/><Relationship Id="rId266" Type="http://schemas.openxmlformats.org/officeDocument/2006/relationships/hyperlink" Target="https://doi.org/10.1002/pits.22717" TargetMode="External"/><Relationship Id="rId267" Type="http://schemas.openxmlformats.org/officeDocument/2006/relationships/hyperlink" Target="https://fenwayhealth.org/wp-content/uploads/Anti-trans-legislation-policy-brief-FINAL.pdf" TargetMode="External"/><Relationship Id="rId268" Type="http://schemas.openxmlformats.org/officeDocument/2006/relationships/hyperlink" Target="https://www.thetrevorproject.org/wp-content/uploads/2022/01/TrevorProject_Public1.pdf" TargetMode="External"/><Relationship Id="rId269" Type="http://schemas.openxmlformats.org/officeDocument/2006/relationships/hyperlink" Target="https://doi.org/10.1080/23794925.2021.1950079" TargetMode="External"/><Relationship Id="rId270" Type="http://schemas.openxmlformats.org/officeDocument/2006/relationships/header" Target="header29.xml"/><Relationship Id="rId271" Type="http://schemas.openxmlformats.org/officeDocument/2006/relationships/footer" Target="footer30.xml"/><Relationship Id="rId272" Type="http://schemas.openxmlformats.org/officeDocument/2006/relationships/image" Target="media/image44.png"/><Relationship Id="rId273" Type="http://schemas.openxmlformats.org/officeDocument/2006/relationships/image" Target="media/image45.png"/><Relationship Id="rId274" Type="http://schemas.openxmlformats.org/officeDocument/2006/relationships/image" Target="media/image46.png"/><Relationship Id="rId275" Type="http://schemas.openxmlformats.org/officeDocument/2006/relationships/image" Target="media/image47.png"/><Relationship Id="rId276" Type="http://schemas.openxmlformats.org/officeDocument/2006/relationships/header" Target="header30.xml"/><Relationship Id="rId277" Type="http://schemas.openxmlformats.org/officeDocument/2006/relationships/footer" Target="footer31.xml"/><Relationship Id="rId278" Type="http://schemas.openxmlformats.org/officeDocument/2006/relationships/image" Target="media/image48.jpeg"/><Relationship Id="rId279" Type="http://schemas.openxmlformats.org/officeDocument/2006/relationships/image" Target="media/image49.jpeg"/><Relationship Id="rId280" Type="http://schemas.openxmlformats.org/officeDocument/2006/relationships/hyperlink" Target="http://www.sageusa.org/news" TargetMode="External"/><Relationship Id="rId281" Type="http://schemas.openxmlformats.org/officeDocument/2006/relationships/hyperlink" Target="http://www.healthcareitnews.com/news/more-inclusive-ehrs-can-help-extend-welcome-save-transgender-lives5" TargetMode="External"/><Relationship Id="rId282" Type="http://schemas.openxmlformats.org/officeDocument/2006/relationships/hyperlink" Target="http://www.whitehouse.gov/ostp/news-updates/2023/01/24/fact-sheet-biden-harris-administration-releases-first-ever" TargetMode="External"/><Relationship Id="rId283" Type="http://schemas.openxmlformats.org/officeDocument/2006/relationships/hyperlink" Target="http://www.who.int/standards/classifications/frequently-asked-questions/gender-incongruence-and-transgender-health-" TargetMode="External"/><Relationship Id="rId284" Type="http://schemas.openxmlformats.org/officeDocument/2006/relationships/hyperlink" Target="http://www.mass.gov/doc/commission-report-on-dcf/download" TargetMode="External"/><Relationship Id="rId285" Type="http://schemas.openxmlformats.org/officeDocument/2006/relationships/hyperlink" Target="http://www.thetrevorproject.org/wp" TargetMode="External"/><Relationship Id="rId286" Type="http://schemas.openxmlformats.org/officeDocument/2006/relationships/hyperlink" Target="http://www.americanprogress.org/article/key-issues-facing-people-intersex-traits/" TargetMode="External"/><Relationship Id="rId287" Type="http://schemas.openxmlformats.org/officeDocument/2006/relationships/hyperlink" Target="http://www.massmed.org/News/Press-Releases/Massachusetts-Medical-Society-announces-policies-on-opioid-use-" TargetMode="External"/><Relationship Id="rId288" Type="http://schemas.openxmlformats.org/officeDocument/2006/relationships/hyperlink" Target="http://www.who.int/health-topics/social-determinants-of-health#tab%3Dtab_1" TargetMode="External"/><Relationship Id="rId289" Type="http://schemas.openxmlformats.org/officeDocument/2006/relationships/hyperlink" Target="http://www.americanprogress.org/article/protecting-advancing-health-care-transgender-adult-communities/" TargetMode="External"/><Relationship Id="rId290" Type="http://schemas.openxmlformats.org/officeDocument/2006/relationships/hyperlink" Target="http://www.psychiatry.org/File%20Library/About-APA/Organization-Documents-" TargetMode="External"/><Relationship Id="rId291" Type="http://schemas.openxmlformats.org/officeDocument/2006/relationships/hyperlink" Target="http://www.bostonglobe.com/2022/12/03/metro/boston-" TargetMode="External"/><Relationship Id="rId292" Type="http://schemas.openxmlformats.org/officeDocument/2006/relationships/hyperlink" Target="http://www.usatoday.com/story/news/nation/2023/01/09/bills-targeting-transgender-healthcare-2023/11012864002/" TargetMode="External"/><Relationship Id="rId293" Type="http://schemas.openxmlformats.org/officeDocument/2006/relationships/hyperlink" Target="http://www.npr.org/2022/11/28/1138396067/transgender-" TargetMode="External"/><Relationship Id="rId294" Type="http://schemas.openxmlformats.org/officeDocument/2006/relationships/hyperlink" Target="http://www.aclu.org/legislative-attacks-on-lgbtq-rights" TargetMode="External"/><Relationship Id="rId295" Type="http://schemas.openxmlformats.org/officeDocument/2006/relationships/hyperlink" Target="http://www.glad.org/post/advocates-praise-ma-protection-for-abortion-gender-affirming-care/" TargetMode="External"/><Relationship Id="rId296" Type="http://schemas.openxmlformats.org/officeDocument/2006/relationships/hyperlink" Target="http://www.latimes.com/california/story/2022-09-29/with-new-law" TargetMode="External"/><Relationship Id="rId297" Type="http://schemas.openxmlformats.org/officeDocument/2006/relationships/hyperlink" Target="http://www.bostonglobe.com/2022/07/04/opinion/gender-affirming-health-care-is-simply-good-health-care/" TargetMode="External"/><Relationship Id="rId298" Type="http://schemas.openxmlformats.org/officeDocument/2006/relationships/hyperlink" Target="http://www.mass.gov/lists/hivaids-epidemiologic-profiles" TargetMode="External"/><Relationship Id="rId299" Type="http://schemas.openxmlformats.org/officeDocument/2006/relationships/hyperlink" Target="http://www.glad.org/prep-for-minors-in" TargetMode="External"/><Relationship Id="rId300" Type="http://schemas.openxmlformats.org/officeDocument/2006/relationships/hyperlink" Target="http://www.thetrevorproject.org/survey" TargetMode="External"/><Relationship Id="rId301" Type="http://schemas.openxmlformats.org/officeDocument/2006/relationships/hyperlink" Target="http://www.cigna.com/individuals-families/health-wellness/lgbt" TargetMode="External"/><Relationship Id="rId302" Type="http://schemas.openxmlformats.org/officeDocument/2006/relationships/hyperlink" Target="http://www.cdc.gov/coronavirus/2019-ncov/need-extra-precautions/people-with-medical-conditions.html.94" TargetMode="External"/><Relationship Id="rId303" Type="http://schemas.openxmlformats.org/officeDocument/2006/relationships/header" Target="header31.xml"/><Relationship Id="rId304" Type="http://schemas.openxmlformats.org/officeDocument/2006/relationships/footer" Target="footer32.xml"/><Relationship Id="rId305" Type="http://schemas.openxmlformats.org/officeDocument/2006/relationships/image" Target="media/image50.png"/><Relationship Id="rId306" Type="http://schemas.openxmlformats.org/officeDocument/2006/relationships/image" Target="media/image51.png"/><Relationship Id="rId307" Type="http://schemas.openxmlformats.org/officeDocument/2006/relationships/image" Target="media/image52.png"/><Relationship Id="rId308" Type="http://schemas.openxmlformats.org/officeDocument/2006/relationships/header" Target="header32.xml"/><Relationship Id="rId309" Type="http://schemas.openxmlformats.org/officeDocument/2006/relationships/footer" Target="footer33.xml"/><Relationship Id="rId310" Type="http://schemas.openxmlformats.org/officeDocument/2006/relationships/hyperlink" Target="https://sevensistersmidwifery.com/" TargetMode="External"/><Relationship Id="rId311" Type="http://schemas.openxmlformats.org/officeDocument/2006/relationships/hyperlink" Target="https://malegislature.gov/Bills/193/SD2401" TargetMode="External"/><Relationship Id="rId312" Type="http://schemas.openxmlformats.org/officeDocument/2006/relationships/image" Target="media/image53.jpeg"/><Relationship Id="rId313" Type="http://schemas.openxmlformats.org/officeDocument/2006/relationships/image" Target="media/image54.jpeg"/><Relationship Id="rId314" Type="http://schemas.openxmlformats.org/officeDocument/2006/relationships/image" Target="media/image55.jpeg"/><Relationship Id="rId315" Type="http://schemas.openxmlformats.org/officeDocument/2006/relationships/image" Target="media/image56.jpeg"/><Relationship Id="rId316" Type="http://schemas.openxmlformats.org/officeDocument/2006/relationships/image" Target="media/image57.jpeg"/><Relationship Id="rId317" Type="http://schemas.openxmlformats.org/officeDocument/2006/relationships/hyperlink" Target="https://malegislature.gov/Bills/193/S782" TargetMode="External"/><Relationship Id="rId318" Type="http://schemas.openxmlformats.org/officeDocument/2006/relationships/hyperlink" Target="https://malegislature.gov/Bills/193/H1240" TargetMode="External"/><Relationship Id="rId319" Type="http://schemas.openxmlformats.org/officeDocument/2006/relationships/image" Target="media/image58.jpeg"/><Relationship Id="rId320" Type="http://schemas.openxmlformats.org/officeDocument/2006/relationships/image" Target="media/image59.jpeg"/><Relationship Id="rId321" Type="http://schemas.openxmlformats.org/officeDocument/2006/relationships/image" Target="media/image60.jpeg"/><Relationship Id="rId322" Type="http://schemas.openxmlformats.org/officeDocument/2006/relationships/hyperlink" Target="https://malegislature.gov/Bills/193/SD1171" TargetMode="External"/><Relationship Id="rId323" Type="http://schemas.openxmlformats.org/officeDocument/2006/relationships/hyperlink" Target="https://malegislature.gov/Bills/193/HD1783" TargetMode="External"/><Relationship Id="rId324" Type="http://schemas.openxmlformats.org/officeDocument/2006/relationships/hyperlink" Target="http://www.aamchealthjustice.org/news/polling/lgbtq-birth" TargetMode="External"/><Relationship Id="rId325" Type="http://schemas.openxmlformats.org/officeDocument/2006/relationships/hyperlink" Target="https://doi.org/10.1037/ort0000306" TargetMode="External"/><Relationship Id="rId326" Type="http://schemas.openxmlformats.org/officeDocument/2006/relationships/hyperlink" Target="https://healthlaw.org/meeting-the-health-care-needs-of-lgbtq-immigrants/" TargetMode="External"/><Relationship Id="rId327" Type="http://schemas.openxmlformats.org/officeDocument/2006/relationships/hyperlink" Target="https://doi.org/10.1016/j.whi.2018.03.002" TargetMode="External"/><Relationship Id="rId328" Type="http://schemas.openxmlformats.org/officeDocument/2006/relationships/hyperlink" Target="https://doi.org/10.1177/0009922816673306" TargetMode="External"/><Relationship Id="rId329" Type="http://schemas.openxmlformats.org/officeDocument/2006/relationships/hyperlink" Target="https://www.americanprogress.org/article/discrimination-prevents-lgbtq-people-accessing-health-care/" TargetMode="External"/><Relationship Id="rId330" Type="http://schemas.openxmlformats.org/officeDocument/2006/relationships/hyperlink" Target="https://doi.org/10.1177/10497323211050051" TargetMode="External"/><Relationship Id="rId331" Type="http://schemas.openxmlformats.org/officeDocument/2006/relationships/hyperlink" Target="https://www.lgbtqiahealtheducation.org/publication/affirming-primary-care-for-intersex-people-2020/" TargetMode="External"/><Relationship Id="rId332" Type="http://schemas.openxmlformats.org/officeDocument/2006/relationships/hyperlink" Target="https://fenwayhealth.org/new-study-finds-significant-barriers-to-gender-affirming-primary-care-among-transgender-people-living-in-rural-areas/" TargetMode="External"/><Relationship Id="rId333" Type="http://schemas.openxmlformats.org/officeDocument/2006/relationships/hyperlink" Target="https://www.frontiersin.org/articles/10.3389/frph.2021.670919" TargetMode="External"/><Relationship Id="rId334" Type="http://schemas.openxmlformats.org/officeDocument/2006/relationships/hyperlink" Target="https://doi.org/10.1016/j.jpag.2022.01.015" TargetMode="External"/><Relationship Id="rId335" Type="http://schemas.openxmlformats.org/officeDocument/2006/relationships/hyperlink" Target="https://doi.org/10.1097/GRF.0000000000000398" TargetMode="External"/><Relationship Id="rId336" Type="http://schemas.openxmlformats.org/officeDocument/2006/relationships/hyperlink" Target="https://ywcasema.org/menstrual-access-advocacy-project/" TargetMode="External"/><Relationship Id="rId337" Type="http://schemas.openxmlformats.org/officeDocument/2006/relationships/hyperlink" Target="https://www.aclu.org/news/lgbtq-rights/menstruation-related-discrimination-is-sex-discrimination-we-dont-need-to-erase-trans-or-non-binary-people-to-make-that-point" TargetMode="External"/><Relationship Id="rId338" Type="http://schemas.openxmlformats.org/officeDocument/2006/relationships/hyperlink" Target="https://doi.org/10.1016/j.cppeds.2019.100684" TargetMode="External"/><Relationship Id="rId339" Type="http://schemas.openxmlformats.org/officeDocument/2006/relationships/hyperlink" Target="https://doi.org/10.1111/jmwh.12962" TargetMode="External"/><Relationship Id="rId340" Type="http://schemas.openxmlformats.org/officeDocument/2006/relationships/hyperlink" Target="https://birthcontrolpharmacist.com/2020/04/23/contraception-for-your-transgender-patients/" TargetMode="External"/><Relationship Id="rId341" Type="http://schemas.openxmlformats.org/officeDocument/2006/relationships/hyperlink" Target="https://doi.org/10.1016/j.whi.2019.10.007" TargetMode="External"/><Relationship Id="rId342" Type="http://schemas.openxmlformats.org/officeDocument/2006/relationships/hyperlink" Target="https://www.mass.gov/lists/annual-recommendations-commission-on-lgbtq-youth" TargetMode="External"/><Relationship Id="rId343" Type="http://schemas.openxmlformats.org/officeDocument/2006/relationships/hyperlink" Target="https://doi.org/10.1007/s10995-018-2595-x" TargetMode="External"/><Relationship Id="rId344" Type="http://schemas.openxmlformats.org/officeDocument/2006/relationships/hyperlink" Target="https://doi.org/10.1177/0022146521997811" TargetMode="External"/><Relationship Id="rId345" Type="http://schemas.openxmlformats.org/officeDocument/2006/relationships/hyperlink" Target="https://doi.org/10.1089/jwh.2020.8880" TargetMode="External"/><Relationship Id="rId346" Type="http://schemas.openxmlformats.org/officeDocument/2006/relationships/hyperlink" Target="https://www.rutgers.edu/news/pregnant-transgender-men-risk-depression-and-lack-care-rutgers-study-finds" TargetMode="External"/><Relationship Id="rId347" Type="http://schemas.openxmlformats.org/officeDocument/2006/relationships/hyperlink" Target="https://williamsinstitute.law.ucla.edu/publications/suicidality-transgender-adults/" TargetMode="External"/><Relationship Id="rId348" Type="http://schemas.openxmlformats.org/officeDocument/2006/relationships/hyperlink" Target="http://theconversation.com/transgender-men-and-nonbinary-people-are-asked-to-stop-testosterone-therapy-during-pregnancy-but-the-evidence-for-this-guidance-is-still-murky-187672" TargetMode="External"/><Relationship Id="rId349" Type="http://schemas.openxmlformats.org/officeDocument/2006/relationships/hyperlink" Target="https://www.who.int/news-room/fact-sheets/detail/infertility" TargetMode="External"/><Relationship Id="rId350" Type="http://schemas.openxmlformats.org/officeDocument/2006/relationships/hyperlink" Target="https://doi.org/10.1016/j.ajog.2019.04.019" TargetMode="External"/><Relationship Id="rId351" Type="http://schemas.openxmlformats.org/officeDocument/2006/relationships/hyperlink" Target="https://doi.org/10.1016/j.xfre.2020.11.001" TargetMode="External"/><Relationship Id="rId352" Type="http://schemas.openxmlformats.org/officeDocument/2006/relationships/hyperlink" Target="https://doi.org/10.1097/AOG.0000000000001556" TargetMode="External"/><Relationship Id="rId353" Type="http://schemas.openxmlformats.org/officeDocument/2006/relationships/hyperlink" Target="https://www.advisory.com/Daily-Briefing/2018/11/09/maternal-mortality" TargetMode="External"/><Relationship Id="rId354" Type="http://schemas.openxmlformats.org/officeDocument/2006/relationships/hyperlink" Target="http://www.mass.gov/doc/2014-" TargetMode="External"/><Relationship Id="rId355" Type="http://schemas.openxmlformats.org/officeDocument/2006/relationships/hyperlink" Target="https://doi.org/10.2105/AJPH.2005.072975" TargetMode="External"/><Relationship Id="rId356" Type="http://schemas.openxmlformats.org/officeDocument/2006/relationships/hyperlink" Target="https://www.americanprogress.org/article/protecting-basic-living-standards-lgbtq-people/" TargetMode="External"/><Relationship Id="rId357" Type="http://schemas.openxmlformats.org/officeDocument/2006/relationships/hyperlink" Target="https://doi.org/10.1016/j.conx.2020.100019" TargetMode="External"/><Relationship Id="rId358" Type="http://schemas.openxmlformats.org/officeDocument/2006/relationships/hyperlink" Target="https://www.thetrevorproject.org/blog/new-poll-illustrates-the-impacts-of-social-political-issues-on-lgbtq-youth/" TargetMode="External"/><Relationship Id="rId359" Type="http://schemas.openxmlformats.org/officeDocument/2006/relationships/hyperlink" Target="https://www.bostonglobe.com/2022/10/09/metro/massachusetts-has-expanded-abortion-rights-even-metro-region-clinics-can-be-distant/" TargetMode="External"/><Relationship Id="rId360" Type="http://schemas.openxmlformats.org/officeDocument/2006/relationships/hyperlink" Target="https://www.mass.gov/news/masshealths-extended-12-month-postpartum-coverage-approved-by-the-federal-centers-for-medicare-medicaid-services" TargetMode="External"/><Relationship Id="rId361" Type="http://schemas.openxmlformats.org/officeDocument/2006/relationships/hyperlink" Target="https://doi.org/10.3389/fpubh.2021.664659" TargetMode="External"/><Relationship Id="rId362" Type="http://schemas.openxmlformats.org/officeDocument/2006/relationships/hyperlink" Target="https://www.dona.org/what-is-a-doula/" TargetMode="External"/><Relationship Id="rId363" Type="http://schemas.openxmlformats.org/officeDocument/2006/relationships/hyperlink" Target="https://www.them.us/story/lgbtq-doulas" TargetMode="External"/><Relationship Id="rId364" Type="http://schemas.openxmlformats.org/officeDocument/2006/relationships/hyperlink" Target="https://www.dhcs.ca.gov/provgovpart/Pages/Doula-Services.aspx" TargetMode="External"/><Relationship Id="rId365" Type="http://schemas.openxmlformats.org/officeDocument/2006/relationships/hyperlink" Target="https://healthlaw.org/medicaid-coverage-for-doula-care-state-implementation-efforts/" TargetMode="External"/><Relationship Id="rId366" Type="http://schemas.openxmlformats.org/officeDocument/2006/relationships/hyperlink" Target="https://www.mass.gov/service-details/birth-equity-and-support-through-the-inclusion-of-doula-expertise-beside-investment-program" TargetMode="External"/><Relationship Id="rId367" Type="http://schemas.openxmlformats.org/officeDocument/2006/relationships/hyperlink" Target="https://www.pewresearch.org/fact-tank/2022/06/24/what-the-data-says-about-abortion-in-the-u-s-2/" TargetMode="External"/><Relationship Id="rId368" Type="http://schemas.openxmlformats.org/officeDocument/2006/relationships/hyperlink" Target="https://doi.org/10.1363/2022.33571" TargetMode="External"/><Relationship Id="rId369" Type="http://schemas.openxmlformats.org/officeDocument/2006/relationships/hyperlink" Target="https://www.guttmacher.org/fact-sheet/state-facts-about-abortion-massachusetts" TargetMode="External"/><Relationship Id="rId370" Type="http://schemas.openxmlformats.org/officeDocument/2006/relationships/hyperlink" Target="https://www.mass.gov/info-details/massachusetts-law-about-abortion" TargetMode="External"/><Relationship Id="rId371" Type="http://schemas.openxmlformats.org/officeDocument/2006/relationships/hyperlink" Target="https://www.plannedparenthoodaction.org/planned-parenthood-advocacy-fund-massachusetts-inc/pressroom/new-study-finds-massachusetts-judicial-bypass-process-delays-access-to-abortion" TargetMode="External"/><Relationship Id="rId372" Type="http://schemas.openxmlformats.org/officeDocument/2006/relationships/hyperlink" Target="https://doi.org/10.1097/AOG.0000000000003190" TargetMode="External"/><Relationship Id="rId373" Type="http://schemas.openxmlformats.org/officeDocument/2006/relationships/hyperlink" Target="https://www.wgbh.org/news/local-news/2022/08/01/new-law-ensures-medication-abortion-access-for-public-university-students-in-mass" TargetMode="External"/><Relationship Id="rId374" Type="http://schemas.openxmlformats.org/officeDocument/2006/relationships/hyperlink" Target="http://www.mass.gov/news/governor-healey-announces-immediate-action-to-protect-access-to-" TargetMode="External"/><Relationship Id="rId375" Type="http://schemas.openxmlformats.org/officeDocument/2006/relationships/hyperlink" Target="https://commonwealthmagazine.org/health/2017-birth-control-provision-fell-through-the-cracks/" TargetMode="External"/><Relationship Id="rId376" Type="http://schemas.openxmlformats.org/officeDocument/2006/relationships/hyperlink" Target="https://www.mass.gov/info-details/access-to-birth-control-and-emergency-contraception" TargetMode="External"/><Relationship Id="rId377" Type="http://schemas.openxmlformats.org/officeDocument/2006/relationships/hyperlink" Target="https://www.mass.gov/info-details/talk-to-your-clinician-or-pharmacist-about-the-access-law" TargetMode="External"/><Relationship Id="rId378" Type="http://schemas.openxmlformats.org/officeDocument/2006/relationships/hyperlink" Target="https://www.mass.gov/info-details/dph-funded-family-planning-programs" TargetMode="External"/><Relationship Id="rId379" Type="http://schemas.openxmlformats.org/officeDocument/2006/relationships/hyperlink" Target="https://www.illinoissenatedemocrats.com/caucus-news/72-senator-karina-villa-news/2886-menstrual-hygiene-products-can-be-purchased-with-snap-and-wic-benefits-under-villa-law" TargetMode="External"/><Relationship Id="rId380" Type="http://schemas.openxmlformats.org/officeDocument/2006/relationships/hyperlink" Target="https://www.mass.gov/service-details/maternal-mortality-and-morbidity-initiative" TargetMode="External"/><Relationship Id="rId381" Type="http://schemas.openxmlformats.org/officeDocument/2006/relationships/hyperlink" Target="https://doi.org/10.1016/j.ajog.2019.08.057" TargetMode="External"/><Relationship Id="rId382" Type="http://schemas.openxmlformats.org/officeDocument/2006/relationships/header" Target="header33.xml"/><Relationship Id="rId383" Type="http://schemas.openxmlformats.org/officeDocument/2006/relationships/footer" Target="footer34.xml"/><Relationship Id="rId384" Type="http://schemas.openxmlformats.org/officeDocument/2006/relationships/image" Target="media/image61.png"/><Relationship Id="rId385" Type="http://schemas.openxmlformats.org/officeDocument/2006/relationships/image" Target="media/image62.png"/><Relationship Id="rId386" Type="http://schemas.openxmlformats.org/officeDocument/2006/relationships/image" Target="media/image63.png"/><Relationship Id="rId387" Type="http://schemas.openxmlformats.org/officeDocument/2006/relationships/image" Target="media/image64.png"/><Relationship Id="rId388" Type="http://schemas.openxmlformats.org/officeDocument/2006/relationships/image" Target="media/image65.png"/><Relationship Id="rId389" Type="http://schemas.openxmlformats.org/officeDocument/2006/relationships/header" Target="header34.xml"/><Relationship Id="rId390" Type="http://schemas.openxmlformats.org/officeDocument/2006/relationships/footer" Target="footer35.xml"/><Relationship Id="rId391" Type="http://schemas.openxmlformats.org/officeDocument/2006/relationships/hyperlink" Target="https://www.doe.mass.edu/stem/chpe/default.html" TargetMode="External"/><Relationship Id="rId392" Type="http://schemas.openxmlformats.org/officeDocument/2006/relationships/hyperlink" Target="https://malegislature.gov/Bills/193/SD704" TargetMode="External"/><Relationship Id="rId393" Type="http://schemas.openxmlformats.org/officeDocument/2006/relationships/hyperlink" Target="https://malegislature.gov/Bills/193/H1085" TargetMode="External"/><Relationship Id="rId394" Type="http://schemas.openxmlformats.org/officeDocument/2006/relationships/hyperlink" Target="https://malegislature.gov/Bills/193/S1333" TargetMode="External"/><Relationship Id="rId395" Type="http://schemas.openxmlformats.org/officeDocument/2006/relationships/hyperlink" Target="https://malegislature.gov/Bills/193/H4293" TargetMode="External"/><Relationship Id="rId396" Type="http://schemas.openxmlformats.org/officeDocument/2006/relationships/hyperlink" Target="https://malegislature.gov/Bills/193/HD2263" TargetMode="External"/><Relationship Id="rId397" Type="http://schemas.openxmlformats.org/officeDocument/2006/relationships/image" Target="media/image66.jpeg"/><Relationship Id="rId398" Type="http://schemas.openxmlformats.org/officeDocument/2006/relationships/image" Target="media/image67.jpeg"/><Relationship Id="rId399" Type="http://schemas.openxmlformats.org/officeDocument/2006/relationships/image" Target="media/image68.jpeg"/><Relationship Id="rId400" Type="http://schemas.openxmlformats.org/officeDocument/2006/relationships/image" Target="media/image69.png"/><Relationship Id="rId401" Type="http://schemas.openxmlformats.org/officeDocument/2006/relationships/hyperlink" Target="http://www.aap.org/en/patient-" TargetMode="External"/><Relationship Id="rId402" Type="http://schemas.openxmlformats.org/officeDocument/2006/relationships/hyperlink" Target="http://www.who.int/health-topics/sexual-health" TargetMode="External"/><Relationship Id="rId403" Type="http://schemas.openxmlformats.org/officeDocument/2006/relationships/hyperlink" Target="http://www.glsen.org/sites/default/files/2019-12/No_Promo_Homo_2018.pdf" TargetMode="External"/><Relationship Id="rId404" Type="http://schemas.openxmlformats.org/officeDocument/2006/relationships/hyperlink" Target="http://www.cdc.gov/healthyyouth/index.htm" TargetMode="External"/><Relationship Id="rId405" Type="http://schemas.openxmlformats.org/officeDocument/2006/relationships/hyperlink" Target="http://www.guttmacher.org/report/demystifying-data-workshop-toolkit" TargetMode="External"/><Relationship Id="rId406" Type="http://schemas.openxmlformats.org/officeDocument/2006/relationships/hyperlink" Target="https://hrc-prod-requests.s3-us-west-2.amazonaws.com/Call-to-Action-LGBTQ-Sex-Ed-Report-2021.pdf" TargetMode="External"/><Relationship Id="rId407" Type="http://schemas.openxmlformats.org/officeDocument/2006/relationships/hyperlink" Target="http://www.apa.org/" TargetMode="External"/><Relationship Id="rId408" Type="http://schemas.openxmlformats.org/officeDocument/2006/relationships/hyperlink" Target="http://www.apa.org/pi/about/newsletter/2020/02/black-women-sexual-assault" TargetMode="External"/><Relationship Id="rId409" Type="http://schemas.openxmlformats.org/officeDocument/2006/relationships/hyperlink" Target="http://www.aclu.org/news/racial-justice/legal-system-has-" TargetMode="External"/><Relationship Id="rId410" Type="http://schemas.openxmlformats.org/officeDocument/2006/relationships/hyperlink" Target="https://transequality.org/sites/default/files/docs/usts/USTSMAStateReport(1017).pdf" TargetMode="External"/><Relationship Id="rId411" Type="http://schemas.openxmlformats.org/officeDocument/2006/relationships/hyperlink" Target="http://www.doe.mass.edu/sfs/?section=family" TargetMode="External"/><Relationship Id="rId412" Type="http://schemas.openxmlformats.org/officeDocument/2006/relationships/hyperlink" Target="http://www.lgbtmap.org/2021-spotlight-health-care-bans-infographics" TargetMode="External"/><Relationship Id="rId413" Type="http://schemas.openxmlformats.org/officeDocument/2006/relationships/hyperlink" Target="https://www.ncbi.nlm.nih.gov/pmc/articles/PMC7073269/" TargetMode="External"/><Relationship Id="rId414" Type="http://schemas.openxmlformats.org/officeDocument/2006/relationships/hyperlink" Target="https://doi.org/10.1016/S2352-4642(22)00254-1" TargetMode="External"/><Relationship Id="rId415" Type="http://schemas.openxmlformats.org/officeDocument/2006/relationships/hyperlink" Target="http://www.aafp.org/about/policies/all/genital-" TargetMode="External"/><Relationship Id="rId416" Type="http://schemas.openxmlformats.org/officeDocument/2006/relationships/hyperlink" Target="http://www.amnesty.org/en/latest/campaigns/2017/05/intersex-rights/" TargetMode="External"/><Relationship Id="rId417" Type="http://schemas.openxmlformats.org/officeDocument/2006/relationships/hyperlink" Target="http://www.hrw.org/report/2017/07/25/i-want-be-nature-made-me/medically-unnecessary-surgeries-intersex-children-us" TargetMode="External"/><Relationship Id="rId418" Type="http://schemas.openxmlformats.org/officeDocument/2006/relationships/hyperlink" Target="https://www.childrenshospital.org/programs/being-u" TargetMode="External"/><Relationship Id="rId419" Type="http://schemas.openxmlformats.org/officeDocument/2006/relationships/hyperlink" Target="http://www.thetrevorproject.org/blog/intersex-not-" TargetMode="External"/><Relationship Id="rId420" Type="http://schemas.openxmlformats.org/officeDocument/2006/relationships/hyperlink" Target="https://medlineplus.gov/ency/article/004002.htm" TargetMode="External"/><Relationship Id="rId421" Type="http://schemas.openxmlformats.org/officeDocument/2006/relationships/hyperlink" Target="https://www.plannedparenthood.org/learn/birth-control/condom/how-effective-are-condoms" TargetMode="External"/><Relationship Id="rId422" Type="http://schemas.openxmlformats.org/officeDocument/2006/relationships/hyperlink" Target="https://evawintl.org/wp-content/uploads/YoungAdultsWhoExperienceHomelessnessandSexualViolenceMay2017.pdf" TargetMode="External"/><Relationship Id="rId423" Type="http://schemas.openxmlformats.org/officeDocument/2006/relationships/hyperlink" Target="https://doi.org/10.1542/9781610025409-teen" TargetMode="External"/><Relationship Id="rId424" Type="http://schemas.openxmlformats.org/officeDocument/2006/relationships/hyperlink" Target="https://www.cdc.gov/teenpregnancy/about/index.htm" TargetMode="External"/><Relationship Id="rId425" Type="http://schemas.openxmlformats.org/officeDocument/2006/relationships/hyperlink" Target="https://www.ncbi.nlm.nih.gov/pmc/articles/PMC2742657/" TargetMode="External"/><Relationship Id="rId426" Type="http://schemas.openxmlformats.org/officeDocument/2006/relationships/hyperlink" Target="https://instrc.indiana.edu/pdf/resources/Fact_Sheet_Teen_Pregnancy_with_Disability.pdf" TargetMode="External"/><Relationship Id="rId427" Type="http://schemas.openxmlformats.org/officeDocument/2006/relationships/hyperlink" Target="https://www.guttmacher.org/article/2019/12/sexual-orientation-differences-pregnancy-and-abortion-across-lifecourse" TargetMode="External"/><Relationship Id="rId428" Type="http://schemas.openxmlformats.org/officeDocument/2006/relationships/hyperlink" Target="https://doi.org/10.1016/j.ajog.2020.09.035" TargetMode="External"/><Relationship Id="rId429" Type="http://schemas.openxmlformats.org/officeDocument/2006/relationships/hyperlink" Target="https://pubmed.ncbi.nlm.nih.gov/34226247/" TargetMode="External"/><Relationship Id="rId430" Type="http://schemas.openxmlformats.org/officeDocument/2006/relationships/hyperlink" Target="https://ovc.ojp.gov/sites/g/files/xyckuh226/files/pubs/forge/sexual_numbers.html" TargetMode="External"/><Relationship Id="rId431" Type="http://schemas.openxmlformats.org/officeDocument/2006/relationships/hyperlink" Target="https://www.cdc.gov/violenceprevention/pdf/cdc_nisvs_victimization_final-a.pdf" TargetMode="External"/><Relationship Id="rId432" Type="http://schemas.openxmlformats.org/officeDocument/2006/relationships/hyperlink" Target="https://transequality.org/blog/federal-survey-40-of-transgender-prisoners-are-sexually-abused-each-year" TargetMode="External"/><Relationship Id="rId433" Type="http://schemas.openxmlformats.org/officeDocument/2006/relationships/hyperlink" Target="https://scholarworks.calstate.edu/downloads/2v23w095f" TargetMode="External"/><Relationship Id="rId434" Type="http://schemas.openxmlformats.org/officeDocument/2006/relationships/header" Target="header35.xml"/><Relationship Id="rId435" Type="http://schemas.openxmlformats.org/officeDocument/2006/relationships/footer" Target="footer36.xml"/><Relationship Id="rId436" Type="http://schemas.openxmlformats.org/officeDocument/2006/relationships/image" Target="media/image70.png"/><Relationship Id="rId437" Type="http://schemas.openxmlformats.org/officeDocument/2006/relationships/image" Target="media/image71.png"/><Relationship Id="rId438" Type="http://schemas.openxmlformats.org/officeDocument/2006/relationships/image" Target="media/image72.png"/><Relationship Id="rId439" Type="http://schemas.openxmlformats.org/officeDocument/2006/relationships/image" Target="media/image73.png"/><Relationship Id="rId440" Type="http://schemas.openxmlformats.org/officeDocument/2006/relationships/header" Target="header36.xml"/><Relationship Id="rId441" Type="http://schemas.openxmlformats.org/officeDocument/2006/relationships/footer" Target="footer37.xml"/><Relationship Id="rId442" Type="http://schemas.openxmlformats.org/officeDocument/2006/relationships/hyperlink" Target="https://www.mass.gov/files/documents/2023/10/18/Housing%20Bond%20Bill%20and%20Filing%20Letter%20FINAL%20PDF.pdf" TargetMode="External"/><Relationship Id="rId443" Type="http://schemas.openxmlformats.org/officeDocument/2006/relationships/image" Target="media/image74.jpeg"/><Relationship Id="rId444" Type="http://schemas.openxmlformats.org/officeDocument/2006/relationships/image" Target="media/image75.jpeg"/><Relationship Id="rId445" Type="http://schemas.openxmlformats.org/officeDocument/2006/relationships/image" Target="media/image76.jpeg"/><Relationship Id="rId446" Type="http://schemas.openxmlformats.org/officeDocument/2006/relationships/hyperlink" Target="https://docs.google.com/spreadsheets/d/1OUwpmDTXAjT85FNq1zcg_-B6Z0m1PWJFcbMBJkH_7Jw/edit?usp=sharing" TargetMode="External"/><Relationship Id="rId447" Type="http://schemas.openxmlformats.org/officeDocument/2006/relationships/hyperlink" Target="https://www.masstpc.org/wp-content/uploads/Shelter-for-All-Genders-Revised-2023-FINAL.pdf" TargetMode="External"/><Relationship Id="rId448" Type="http://schemas.openxmlformats.org/officeDocument/2006/relationships/hyperlink" Target="https://www.hud.gov/sites/dfiles/CPD/documents/CoC-2023-MA_Press.pdf" TargetMode="External"/><Relationship Id="rId449" Type="http://schemas.openxmlformats.org/officeDocument/2006/relationships/hyperlink" Target="http://www.huduser.gov/portal/datasets/ahar/2023-ahar-part-1-pit-estimates-of-" TargetMode="External"/><Relationship Id="rId450" Type="http://schemas.openxmlformats.org/officeDocument/2006/relationships/hyperlink" Target="http://www.mass.gov/doc/massachusetts-state-plan-to-end-youth-homelessness/download" TargetMode="External"/><Relationship Id="rId451" Type="http://schemas.openxmlformats.org/officeDocument/2006/relationships/hyperlink" Target="http://www.mass.gov/news/healey-driscoll-administration-unveils-4-billion-affordable-homes-" TargetMode="External"/><Relationship Id="rId452" Type="http://schemas.openxmlformats.org/officeDocument/2006/relationships/header" Target="header37.xml"/><Relationship Id="rId453" Type="http://schemas.openxmlformats.org/officeDocument/2006/relationships/footer" Target="footer38.xml"/><Relationship Id="rId454" Type="http://schemas.openxmlformats.org/officeDocument/2006/relationships/hyperlink" Target="http://www.mass.gov/news/governor-healey-declares-state-of-emergency-calls-for-support-" TargetMode="External"/><Relationship Id="rId455" Type="http://schemas.openxmlformats.org/officeDocument/2006/relationships/hyperlink" Target="https://doi.org/10.1016/j.jadohealth.2019.11.314" TargetMode="External"/><Relationship Id="rId456" Type="http://schemas.openxmlformats.org/officeDocument/2006/relationships/hyperlink" Target="http://www.thetrevorproject.org/" TargetMode="External"/><Relationship Id="rId457" Type="http://schemas.openxmlformats.org/officeDocument/2006/relationships/header" Target="header38.xml"/><Relationship Id="rId458" Type="http://schemas.openxmlformats.org/officeDocument/2006/relationships/footer" Target="footer39.xml"/><Relationship Id="rId459" Type="http://schemas.openxmlformats.org/officeDocument/2006/relationships/hyperlink" Target="http://www.doe.mass.edu/sfs/mv/2022-23data.html" TargetMode="External"/><Relationship Id="rId460" Type="http://schemas.openxmlformats.org/officeDocument/2006/relationships/hyperlink" Target="http://www.masstpc.org/wp-content/uploads/Shelter-for-All-Genders-Revised-2023-FINAL.pdf" TargetMode="External"/><Relationship Id="rId461" Type="http://schemas.openxmlformats.org/officeDocument/2006/relationships/hyperlink" Target="http://www.hud.gov/program_offices/comm_planning/coc/fy_2023_coc_competition" TargetMode="External"/><Relationship Id="rId462" Type="http://schemas.openxmlformats.org/officeDocument/2006/relationships/hyperlink" Target="http://www.capecod.gov/departments/human-services/initiatives/housing-homelessness/continuum-of-care/" TargetMode="External"/><Relationship Id="rId463" Type="http://schemas.openxmlformats.org/officeDocument/2006/relationships/hyperlink" Target="http://www.hud.gov/sites/dfiles/State/documents/Joint_TH-RRH_Program_Component_Presentation.pdf" TargetMode="External"/><Relationship Id="rId464" Type="http://schemas.openxmlformats.org/officeDocument/2006/relationships/header" Target="header39.xml"/><Relationship Id="rId465" Type="http://schemas.openxmlformats.org/officeDocument/2006/relationships/footer" Target="footer40.xml"/><Relationship Id="rId466" Type="http://schemas.openxmlformats.org/officeDocument/2006/relationships/image" Target="media/image77.png"/><Relationship Id="rId467" Type="http://schemas.openxmlformats.org/officeDocument/2006/relationships/image" Target="media/image78.png"/><Relationship Id="rId468" Type="http://schemas.openxmlformats.org/officeDocument/2006/relationships/image" Target="media/image79.png"/><Relationship Id="rId469" Type="http://schemas.openxmlformats.org/officeDocument/2006/relationships/image" Target="media/image80.png"/><Relationship Id="rId470" Type="http://schemas.openxmlformats.org/officeDocument/2006/relationships/header" Target="header40.xml"/><Relationship Id="rId471" Type="http://schemas.openxmlformats.org/officeDocument/2006/relationships/footer" Target="footer41.xml"/><Relationship Id="rId472" Type="http://schemas.openxmlformats.org/officeDocument/2006/relationships/image" Target="media/image81.jpeg"/><Relationship Id="rId473" Type="http://schemas.openxmlformats.org/officeDocument/2006/relationships/image" Target="media/image82.jpeg"/><Relationship Id="rId474" Type="http://schemas.openxmlformats.org/officeDocument/2006/relationships/image" Target="media/image83.jpeg"/><Relationship Id="rId475" Type="http://schemas.openxmlformats.org/officeDocument/2006/relationships/image" Target="media/image84.jpeg"/><Relationship Id="rId476" Type="http://schemas.openxmlformats.org/officeDocument/2006/relationships/hyperlink" Target="https://www.vera.org/news/why-we-say-criminal-legal-system-not-criminal-justice-system" TargetMode="External"/><Relationship Id="rId477" Type="http://schemas.openxmlformats.org/officeDocument/2006/relationships/hyperlink" Target="https://www.vera.org/downloads/publications/for-the-record-unjust-burden-racial-disparities.pdf" TargetMode="External"/><Relationship Id="rId478" Type="http://schemas.openxmlformats.org/officeDocument/2006/relationships/hyperlink" Target="http://www.lambdalegal.org/node/30521" TargetMode="External"/><Relationship Id="rId479" Type="http://schemas.openxmlformats.org/officeDocument/2006/relationships/hyperlink" Target="https://www.lgbtmap.org/file/lgbtq-incarcerated-youth.pdf" TargetMode="External"/><Relationship Id="rId480" Type="http://schemas.openxmlformats.org/officeDocument/2006/relationships/hyperlink" Target="https://www.prisonpolicy.org/blog/2021/03/02/lgbtq/" TargetMode="External"/><Relationship Id="rId481" Type="http://schemas.openxmlformats.org/officeDocument/2006/relationships/hyperlink" Target="https://www.mass.gov/doc/dys-recidivism-report-2023/download#%3A%7E%3Atext%3DGender%2C%20Race%2C%20and%20LGBTQ%2B%20Outcomes%20for%20the%20DYS%202018%20Cohort%2C-As%20observed%20historically%26text%3DThe%20overall%20recidivism%20rate%20is%2Cfemale%20accounting%20for%20only%202.3%25" TargetMode="External"/><Relationship Id="rId482" Type="http://schemas.openxmlformats.org/officeDocument/2006/relationships/hyperlink" Target="http://www.blackandpink.org/wp-content/upLoads/Coming-Out-of-Concrete-" TargetMode="External"/><Relationship Id="rId483" Type="http://schemas.openxmlformats.org/officeDocument/2006/relationships/hyperlink" Target="http://www.nclrights.org/our-work/racial-economic-justice/criminalization-incarceration" TargetMode="External"/><Relationship Id="rId484" Type="http://schemas.openxmlformats.org/officeDocument/2006/relationships/hyperlink" Target="http://www.urban.org/features/five-charts-explain-homelessness-jail-cycle-and-how-break-it" TargetMode="External"/><Relationship Id="rId485" Type="http://schemas.openxmlformats.org/officeDocument/2006/relationships/hyperlink" Target="https://www.mass.gov/doc/2022-youth-count-report/download" TargetMode="External"/><Relationship Id="rId486" Type="http://schemas.openxmlformats.org/officeDocument/2006/relationships/hyperlink" Target="https://www.thetrevorproject.org/wp-content/uploads/2022/02/Trevor-Project-Homelessness-Report.pdf" TargetMode="External"/><Relationship Id="rId487" Type="http://schemas.openxmlformats.org/officeDocument/2006/relationships/hyperlink" Target="https://youth.gov/youth-topics/lgbtq-youth/homelessness" TargetMode="External"/><Relationship Id="rId488" Type="http://schemas.openxmlformats.org/officeDocument/2006/relationships/hyperlink" Target="https://www.thetrevorproject.org/wp-content/uploads/2022/12/The-Trevor-Project-2022-National-Survey-on-LGBTQ-Youth-Mental-Health-by-State.pdf" TargetMode="External"/><Relationship Id="rId489" Type="http://schemas.openxmlformats.org/officeDocument/2006/relationships/hyperlink" Target="https://www.cfiaus.com/ice-detention-facilities/massachusetts/" TargetMode="External"/><Relationship Id="rId490" Type="http://schemas.openxmlformats.org/officeDocument/2006/relationships/hyperlink" Target="https://www.ncbi.nlm.nih.gov/pmc/articles/PMC9829141" TargetMode="External"/><Relationship Id="rId491" Type="http://schemas.openxmlformats.org/officeDocument/2006/relationships/hyperlink" Target="https://williamsinstitute.law.ucla.edu/wp-content/uploads/Trans-Parole-Apr-2023.pdf" TargetMode="External"/><Relationship Id="rId492" Type="http://schemas.openxmlformats.org/officeDocument/2006/relationships/hyperlink" Target="https://drugfree.org/article/reducing-substance-use-risk-among-lgbtq-youth/" TargetMode="External"/><Relationship Id="rId493" Type="http://schemas.openxmlformats.org/officeDocument/2006/relationships/hyperlink" Target="https://www.ncbi.nlm.nih.gov/pmc/articles/PMC3919662" TargetMode="External"/><Relationship Id="rId494" Type="http://schemas.openxmlformats.org/officeDocument/2006/relationships/hyperlink" Target="https://www.ncbi.nlm.nih.gov/pmc/articles/PMC6859198" TargetMode="External"/><Relationship Id="rId495" Type="http://schemas.openxmlformats.org/officeDocument/2006/relationships/hyperlink" Target="https://childsafety.losangelescriminallawyer.pro/juvenile-crime-and-substance-abuse.html" TargetMode="External"/><Relationship Id="rId496" Type="http://schemas.openxmlformats.org/officeDocument/2006/relationships/hyperlink" Target="https://ojjdp.ojp.gov/statistical-briefing-book/crime/faqs/qa05101" TargetMode="External"/><Relationship Id="rId497" Type="http://schemas.openxmlformats.org/officeDocument/2006/relationships/hyperlink" Target="https://www.mass.gov/doc/quarter-1-0/download" TargetMode="External"/><Relationship Id="rId498" Type="http://schemas.openxmlformats.org/officeDocument/2006/relationships/hyperlink" Target="https://www.crimlawpractitioner.org/post/the-foster-care-to-prison-pipeline-a-road-to-incarceration#%3A%7E%3Atext%3DThe%20foster%20care%2Dto%2Dprison%20pipeline%20refers%20to%20the%20funneling%2Cthrough%20arrest%2C%20conviction%20or%20detention" TargetMode="External"/><Relationship Id="rId499" Type="http://schemas.openxmlformats.org/officeDocument/2006/relationships/hyperlink" Target="https://www.crimlawpractitioner.org/post/the-foster-care-to-prison-pipeline-a-road-to-incarceration" TargetMode="External"/><Relationship Id="rId500" Type="http://schemas.openxmlformats.org/officeDocument/2006/relationships/hyperlink" Target="http://www.thetrevorproject.org/wp-content/uploads/2021/07/LGBTQ-Youth-with-a-History-of-Foster-Care_-May-2021.pdf" TargetMode="External"/><Relationship Id="rId501" Type="http://schemas.openxmlformats.org/officeDocument/2006/relationships/hyperlink" Target="https://hrc-prod-requests.s3-us-west-2.amazonaws.com/files/assets/resources/HRC-YouthFosterCare-IssueBrief-FINAL.pdf" TargetMode="External"/><Relationship Id="rId502" Type="http://schemas.openxmlformats.org/officeDocument/2006/relationships/hyperlink" Target="https://www.mass.gov/news/state-of-emergency-for-lgbtq-youth-in-the-ma-child-welfare-system" TargetMode="External"/><Relationship Id="rId503" Type="http://schemas.openxmlformats.org/officeDocument/2006/relationships/hyperlink" Target="http://www.ojp.gov/ncjrs/virtual-library/abstracts/unfair-" TargetMode="External"/><Relationship Id="rId504" Type="http://schemas.openxmlformats.org/officeDocument/2006/relationships/hyperlink" Target="http://www.thetrevorproject.org/wp-content/uploads/2022/12/The-Trevor-Project-2022-National-Survey-on-LGBTQ-Youth-" TargetMode="External"/><Relationship Id="rId505" Type="http://schemas.openxmlformats.org/officeDocument/2006/relationships/hyperlink" Target="https://papers.ssrn.com/sol3/papers.cfm?abstract_id=2577333" TargetMode="External"/><Relationship Id="rId506" Type="http://schemas.openxmlformats.org/officeDocument/2006/relationships/hyperlink" Target="https://www.aclu.org/documents/what-school-prison-pipeline" TargetMode="External"/><Relationship Id="rId507" Type="http://schemas.openxmlformats.org/officeDocument/2006/relationships/hyperlink" Target="https://journals.sagepub.com/doi/10.1177/0743558414557625" TargetMode="External"/><Relationship Id="rId508" Type="http://schemas.openxmlformats.org/officeDocument/2006/relationships/hyperlink" Target="http://www.nswp.org/sites/default/files/nswp_written_statement_-_hlm_on_trafficking_in_persons_november_2021.pdf" TargetMode="External"/><Relationship Id="rId509" Type="http://schemas.openxmlformats.org/officeDocument/2006/relationships/hyperlink" Target="https://malegislature.gov/Bills/193/S2551" TargetMode="External"/><Relationship Id="rId510" Type="http://schemas.openxmlformats.org/officeDocument/2006/relationships/hyperlink" Target="http://www.glapn.org/sodomylaws/sensibilities/massachusetts.htm" TargetMode="External"/><Relationship Id="rId511" Type="http://schemas.openxmlformats.org/officeDocument/2006/relationships/hyperlink" Target="http://avp.org/wpcontent/uploads/2017/06/NCAVP_2016HateViolence_REPORT.pdf" TargetMode="External"/><Relationship Id="rId512" Type="http://schemas.openxmlformats.org/officeDocument/2006/relationships/hyperlink" Target="https://link.springer.com/article/10.1007/s13178-021-00596-5" TargetMode="External"/><Relationship Id="rId513" Type="http://schemas.openxmlformats.org/officeDocument/2006/relationships/hyperlink" Target="http://www.lgbtmap.org/file/lgbt-criminal-justice-youth.pdf" TargetMode="External"/><Relationship Id="rId514" Type="http://schemas.openxmlformats.org/officeDocument/2006/relationships/hyperlink" Target="https://www.mass.gov/doc/jjpad-2023-annual-report/download" TargetMode="External"/><Relationship Id="rId515" Type="http://schemas.openxmlformats.org/officeDocument/2006/relationships/hyperlink" Target="http://www.blackandpink.org/wp-" TargetMode="External"/><Relationship Id="rId516" Type="http://schemas.openxmlformats.org/officeDocument/2006/relationships/hyperlink" Target="http://www.sentencingproject.org/app/uploads/2022/10/Incarcerated-LGBTQ-Youth-and-Adults.pdf" TargetMode="External"/><Relationship Id="rId517" Type="http://schemas.openxmlformats.org/officeDocument/2006/relationships/hyperlink" Target="http://www.childrensdefense.org/resources/letter-against-adolescent-offender-solitary-confinement/" TargetMode="External"/><Relationship Id="rId518" Type="http://schemas.openxmlformats.org/officeDocument/2006/relationships/hyperlink" Target="http://www.apa.org/news/press/releases/2024/03/punitive-isolation-juvenile-justice" TargetMode="External"/><Relationship Id="rId519" Type="http://schemas.openxmlformats.org/officeDocument/2006/relationships/hyperlink" Target="http://www.hivlawandpolicy.org/sites/default/files/TS%20LRM%20Dec.%202010.pdf" TargetMode="External"/><Relationship Id="rId520" Type="http://schemas.openxmlformats.org/officeDocument/2006/relationships/hyperlink" Target="https://www.ncbi.nlm.nih.gov/pmc/articles/PMC7384551/#%3A%7E%3Atext%3DRecent%20studies%20have%20consistently%20shown%2C(Aidala%2C%20Cross%2C%20Stall%2C" TargetMode="External"/><Relationship Id="rId521" Type="http://schemas.openxmlformats.org/officeDocument/2006/relationships/hyperlink" Target="https://www.ojp.gov/pdffiles/hivjuve.pdf" TargetMode="External"/><Relationship Id="rId522" Type="http://schemas.openxmlformats.org/officeDocument/2006/relationships/hyperlink" Target="http://www.sciencedirect.com/science/article/abs/pii/S1054139X23002744" TargetMode="External"/><Relationship Id="rId523" Type="http://schemas.openxmlformats.org/officeDocument/2006/relationships/hyperlink" Target="http://www.ojp.gov/pdffiles1/nij/grants/251583.pdf" TargetMode="External"/><Relationship Id="rId524" Type="http://schemas.openxmlformats.org/officeDocument/2006/relationships/hyperlink" Target="http://www.publichealthwm.org/application/files/1617/0204/8768/Clean-Slate-Fact-Sheet_REVISED-12-7-23.pdf" TargetMode="External"/><Relationship Id="rId525" Type="http://schemas.openxmlformats.org/officeDocument/2006/relationships/hyperlink" Target="https://malegislature.gov/Bills/190/S2371" TargetMode="External"/><Relationship Id="rId526" Type="http://schemas.openxmlformats.org/officeDocument/2006/relationships/hyperlink" Target="http://www.mass.gov/doc/jjpad-2023-annual-report/download" TargetMode="External"/><Relationship Id="rId527" Type="http://schemas.openxmlformats.org/officeDocument/2006/relationships/hyperlink" Target="http://www.wbur.org/news/2020/12/01/massachusetts-police-reform-legislation-explainer" TargetMode="External"/><Relationship Id="rId528" Type="http://schemas.openxmlformats.org/officeDocument/2006/relationships/hyperlink" Target="http://www.mass.gov/doc/2014-jjac-annual-report/download" TargetMode="External"/><Relationship Id="rId529" Type="http://schemas.openxmlformats.org/officeDocument/2006/relationships/hyperlink" Target="https://www.mass.gov/doc/jjpad-2022-annual-report/download" TargetMode="External"/><Relationship Id="rId530" Type="http://schemas.openxmlformats.org/officeDocument/2006/relationships/hyperlink" Target="http://www.cfjj.org/justice-by-geography" TargetMode="External"/><Relationship Id="rId531" Type="http://schemas.openxmlformats.org/officeDocument/2006/relationships/hyperlink" Target="http://www.masslive.com/news/2024/01/mass-saw-increase-in-juvenile-justice-involvement-in-2023-report-" TargetMode="External"/><Relationship Id="rId532" Type="http://schemas.openxmlformats.org/officeDocument/2006/relationships/hyperlink" Target="https://www.mass.gov/info-details/measuring-equity-in-juvenile-detentions#equity-in-the-juvenile-justice-system-" TargetMode="External"/><Relationship Id="rId533" Type="http://schemas.openxmlformats.org/officeDocument/2006/relationships/hyperlink" Target="https://www.mass.gov/doc/lgbtqia-nondiscrimination-policy/download" TargetMode="External"/><Relationship Id="rId534" Type="http://schemas.openxmlformats.org/officeDocument/2006/relationships/hyperlink" Target="https://www.mass.gov/doc/fy24-annual-progress-services-report/download" TargetMode="External"/><Relationship Id="rId535" Type="http://schemas.openxmlformats.org/officeDocument/2006/relationships/hyperlink" Target="http://www.mass.gov/news/massachusetts-department-of-correction-implements-no-cost-calls" TargetMode="External"/><Relationship Id="rId536" Type="http://schemas.openxmlformats.org/officeDocument/2006/relationships/hyperlink" Target="http://www.wgbh.org/news/local/2023-11-17/massachusetts-becomes-fifth-state-in-nation-to-make-prison-calls-free" TargetMode="External"/><Relationship Id="rId537" Type="http://schemas.openxmlformats.org/officeDocument/2006/relationships/hyperlink" Target="http://www.wbur.org/news/2024/01/11/life-without-parole-sentencing-young-" TargetMode="External"/><Relationship Id="rId538" Type="http://schemas.openxmlformats.org/officeDocument/2006/relationships/hyperlink" Target="http://www.mass.gov/news/healey-driscoll-administration-awards-nearly-65-million-in-grants-to-reduce-recidivism-among-" TargetMode="External"/><Relationship Id="rId539" Type="http://schemas.openxmlformats.org/officeDocument/2006/relationships/hyperlink" Target="http://www.mass.gov/news/governor-healey-announces-" TargetMode="External"/><Relationship Id="rId540" Type="http://schemas.openxmlformats.org/officeDocument/2006/relationships/hyperlink" Target="https://www.wbur.org/news/2024/04/03/council-approves-blanket-pardon-for-cannabis-possession-charges" TargetMode="External"/><Relationship Id="rId541" Type="http://schemas.openxmlformats.org/officeDocument/2006/relationships/hyperlink" Target="https://www.sentencingproject.org/app/uploads/2023/03/Why-Youth-Incarceration-Fails.pdf" TargetMode="External"/><Relationship Id="rId542" Type="http://schemas.openxmlformats.org/officeDocument/2006/relationships/hyperlink" Target="https://www.mass.gov/info-details/jdai-diversion" TargetMode="External"/><Relationship Id="rId543" Type="http://schemas.openxmlformats.org/officeDocument/2006/relationships/hyperlink" Target="https://www.mass.gov/doc/oca-report-on-the-massachusetts-youth-diversion-program/download" TargetMode="External"/><Relationship Id="rId544" Type="http://schemas.openxmlformats.org/officeDocument/2006/relationships/hyperlink" Target="https://www.mass.gov/info-details/credible-messenger-program" TargetMode="External"/><Relationship Id="rId545" Type="http://schemas.openxmlformats.org/officeDocument/2006/relationships/hyperlink" Target="http://www.umb.edu/cpdd/key-areas/law-justice-" TargetMode="External"/><Relationship Id="rId546" Type="http://schemas.openxmlformats.org/officeDocument/2006/relationships/hyperlink" Target="http://www.urban.org/sites/default/files/publication/100013/innovative_strategies_for_investing_in_youth_justice_0.pdf" TargetMode="External"/><Relationship Id="rId547" Type="http://schemas.openxmlformats.org/officeDocument/2006/relationships/hyperlink" Target="https://www.mass.gov/doc/racial-ethnic-disparities-at-the-front-door-of-massachusetts-juvenile-justice-system-understanding-the-factors-leading-to-overrepresentation-of-black-and-latino-youth-entering-the-system/download" TargetMode="External"/><Relationship Id="rId548" Type="http://schemas.openxmlformats.org/officeDocument/2006/relationships/hyperlink" Target="https://www.ncbi.nlm.nih.gov/pmc/articles/PMC4978434/" TargetMode="External"/><Relationship Id="rId549" Type="http://schemas.openxmlformats.org/officeDocument/2006/relationships/hyperlink" Target="https://www.ncjfcj.org/wp-content/uploads/2020/09/NCJFCJ_Strategies_for_Engaging_PWLE_Final.pdf" TargetMode="External"/><Relationship Id="rId550" Type="http://schemas.openxmlformats.org/officeDocument/2006/relationships/hyperlink" Target="http://www.njjn.org/uploads/digital-library/resource_497.pdf" TargetMode="External"/><Relationship Id="rId551" Type="http://schemas.openxmlformats.org/officeDocument/2006/relationships/header" Target="header41.xml"/><Relationship Id="rId552" Type="http://schemas.openxmlformats.org/officeDocument/2006/relationships/footer" Target="footer42.xml"/><Relationship Id="rId553" Type="http://schemas.openxmlformats.org/officeDocument/2006/relationships/image" Target="media/image85.png"/><Relationship Id="rId554" Type="http://schemas.openxmlformats.org/officeDocument/2006/relationships/image" Target="media/image86.png"/><Relationship Id="rId555" Type="http://schemas.openxmlformats.org/officeDocument/2006/relationships/image" Target="media/image87.png"/><Relationship Id="rId556" Type="http://schemas.openxmlformats.org/officeDocument/2006/relationships/header" Target="header42.xml"/><Relationship Id="rId557" Type="http://schemas.openxmlformats.org/officeDocument/2006/relationships/footer" Target="footer43.xml"/><Relationship Id="rId558" Type="http://schemas.openxmlformats.org/officeDocument/2006/relationships/hyperlink" Target="https://malegislature.gov/Bills/193/S1990" TargetMode="External"/><Relationship Id="rId559" Type="http://schemas.openxmlformats.org/officeDocument/2006/relationships/hyperlink" Target="https://malegislature.gov/Bills/193/H3084" TargetMode="External"/><Relationship Id="rId560" Type="http://schemas.openxmlformats.org/officeDocument/2006/relationships/hyperlink" Target="https://malegislature.gov/Bills/193/S1510" TargetMode="External"/><Relationship Id="rId561" Type="http://schemas.openxmlformats.org/officeDocument/2006/relationships/hyperlink" Target="https://malegislature.gov/Bills/193/H2288" TargetMode="External"/><Relationship Id="rId562" Type="http://schemas.openxmlformats.org/officeDocument/2006/relationships/hyperlink" Target="https://malegislature.gov/Bills/193/S817" TargetMode="External"/><Relationship Id="rId563" Type="http://schemas.openxmlformats.org/officeDocument/2006/relationships/hyperlink" Target="https://malegislature.gov/Bills/193/H1281" TargetMode="External"/><Relationship Id="rId564" Type="http://schemas.openxmlformats.org/officeDocument/2006/relationships/hyperlink" Target="https://malegislature.gov/Bills/193/S740" TargetMode="External"/><Relationship Id="rId565" Type="http://schemas.openxmlformats.org/officeDocument/2006/relationships/hyperlink" Target="https://malegislature.gov/Bills/193/H1237" TargetMode="External"/><Relationship Id="rId566" Type="http://schemas.openxmlformats.org/officeDocument/2006/relationships/image" Target="media/image88.jpeg"/><Relationship Id="rId567" Type="http://schemas.openxmlformats.org/officeDocument/2006/relationships/image" Target="media/image89.jpeg"/><Relationship Id="rId568" Type="http://schemas.openxmlformats.org/officeDocument/2006/relationships/image" Target="media/image90.jpeg"/><Relationship Id="rId569" Type="http://schemas.openxmlformats.org/officeDocument/2006/relationships/hyperlink" Target="https://malegislature.gov/Bills/193/SD1169" TargetMode="External"/><Relationship Id="rId570" Type="http://schemas.openxmlformats.org/officeDocument/2006/relationships/hyperlink" Target="https://malegislature.gov/Bills/193/HD1964" TargetMode="External"/><Relationship Id="rId571" Type="http://schemas.openxmlformats.org/officeDocument/2006/relationships/image" Target="media/image91.jpeg"/><Relationship Id="rId572" Type="http://schemas.openxmlformats.org/officeDocument/2006/relationships/image" Target="media/image92.jpeg"/><Relationship Id="rId573" Type="http://schemas.openxmlformats.org/officeDocument/2006/relationships/hyperlink" Target="https://www.mass.gov/orgs/office-for-refugees-and-immigrants" TargetMode="External"/><Relationship Id="rId574" Type="http://schemas.openxmlformats.org/officeDocument/2006/relationships/hyperlink" Target="https://www.denovo.org/immigration" TargetMode="External"/><Relationship Id="rId575" Type="http://schemas.openxmlformats.org/officeDocument/2006/relationships/hyperlink" Target="https://www.mass.gov/doc/printable-dmh-multicultural-resource-directory-complete/download" TargetMode="External"/><Relationship Id="rId576" Type="http://schemas.openxmlformats.org/officeDocument/2006/relationships/hyperlink" Target="https://www.lgbtasylum.org/" TargetMode="External"/><Relationship Id="rId577" Type="http://schemas.openxmlformats.org/officeDocument/2006/relationships/hyperlink" Target="https://mlac.org/funding/immigrantsrightsfund/faq/" TargetMode="External"/><Relationship Id="rId578" Type="http://schemas.openxmlformats.org/officeDocument/2006/relationships/hyperlink" Target="https://cambridgecf.org/united-legal-defense-fund-for-immigrants/" TargetMode="External"/><Relationship Id="rId579" Type="http://schemas.openxmlformats.org/officeDocument/2006/relationships/hyperlink" Target="http://www.wgbh.org/news/local-news/2023/01/05/massachusetts-sheriff-ends-enforcement-agreement-with-ice" TargetMode="External"/><Relationship Id="rId580" Type="http://schemas.openxmlformats.org/officeDocument/2006/relationships/hyperlink" Target="http://www.bostonherald.com/2023/01/09/boston-police-say-they-received-ignored-12-ice-immigration-detainer-requests/" TargetMode="External"/><Relationship Id="rId581" Type="http://schemas.openxmlformats.org/officeDocument/2006/relationships/hyperlink" Target="http://www.lirs.org/causes-of-immigration/" TargetMode="External"/><Relationship Id="rId582" Type="http://schemas.openxmlformats.org/officeDocument/2006/relationships/hyperlink" Target="http://www.boundless.com/blog/a-short-history-lgbtq-immigration-policy/" TargetMode="External"/><Relationship Id="rId583" Type="http://schemas.openxmlformats.org/officeDocument/2006/relationships/hyperlink" Target="http://www.americanprogress.org/article/on-the-50th-anniversary-of-the-immigration-and-nationality-act-changes-are-" TargetMode="External"/><Relationship Id="rId584" Type="http://schemas.openxmlformats.org/officeDocument/2006/relationships/hyperlink" Target="https://apps.npr.org/election-results-live-2022/" TargetMode="External"/><Relationship Id="rId585" Type="http://schemas.openxmlformats.org/officeDocument/2006/relationships/hyperlink" Target="http://www.historians.org/research-and-publications/perspectives-on-history/march-2016/queer-migrations-a-perspectives-" TargetMode="External"/><Relationship Id="rId586" Type="http://schemas.openxmlformats.org/officeDocument/2006/relationships/hyperlink" Target="http://www.thetrevorproject.org/survey-2020/" TargetMode="External"/><Relationship Id="rId587" Type="http://schemas.openxmlformats.org/officeDocument/2006/relationships/hyperlink" Target="http://www.americanprogress.org/article/serving-lgbtq-immigrants-" TargetMode="External"/><Relationship Id="rId588" Type="http://schemas.openxmlformats.org/officeDocument/2006/relationships/hyperlink" Target="https://psycnet.apa.org/doi/10.1037/lat0000001" TargetMode="External"/><Relationship Id="rId589" Type="http://schemas.openxmlformats.org/officeDocument/2006/relationships/hyperlink" Target="http://www.thetrevorproject.org/research-briefs/lgbtq-youth-from-immigrant-families-2/" TargetMode="External"/><Relationship Id="rId590" Type="http://schemas.openxmlformats.org/officeDocument/2006/relationships/hyperlink" Target="https://doi.org/10.1111/imre.12041" TargetMode="External"/><Relationship Id="rId591" Type="http://schemas.openxmlformats.org/officeDocument/2006/relationships/hyperlink" Target="http://www.americanprogress.org/article/we-the-people-2/" TargetMode="External"/><Relationship Id="rId592" Type="http://schemas.openxmlformats.org/officeDocument/2006/relationships/hyperlink" Target="http://www.lgbtmap.org/policy-and-issue-analysis/criminal-" TargetMode="External"/><Relationship Id="rId593" Type="http://schemas.openxmlformats.org/officeDocument/2006/relationships/hyperlink" Target="http://www.protectedandserved.org/2022-report-executive-summary" TargetMode="External"/><Relationship Id="rId594" Type="http://schemas.openxmlformats.org/officeDocument/2006/relationships/hyperlink" Target="https://www.mass.gov/doc/2021-massachusetts-hate-crime-report/download" TargetMode="External"/><Relationship Id="rId595" Type="http://schemas.openxmlformats.org/officeDocument/2006/relationships/hyperlink" Target="http://www.americanprogress.org/article/police-entanglement-immigration-enforcement-" TargetMode="External"/><Relationship Id="rId596" Type="http://schemas.openxmlformats.org/officeDocument/2006/relationships/hyperlink" Target="http://www.wbur.org/news/2020/04/07/coronavirus-translation-problems" TargetMode="External"/><Relationship Id="rId597" Type="http://schemas.openxmlformats.org/officeDocument/2006/relationships/hyperlink" Target="http://www.mass.gov/doc/2021-youth-count-report/download" TargetMode="External"/><Relationship Id="rId598" Type="http://schemas.openxmlformats.org/officeDocument/2006/relationships/hyperlink" Target="http://www.nilc.org/issues/economic-support/quick-guide-aca-means-tested-programs/" TargetMode="External"/><Relationship Id="rId599" Type="http://schemas.openxmlformats.org/officeDocument/2006/relationships/hyperlink" Target="http://www.mass.gov/service-details/information-for-immigrant-patients-and-their-health-care-providers-on-" TargetMode="External"/><Relationship Id="rId600" Type="http://schemas.openxmlformats.org/officeDocument/2006/relationships/hyperlink" Target="http://www.kff.org/racial-equity-and-" TargetMode="External"/><Relationship Id="rId601" Type="http://schemas.openxmlformats.org/officeDocument/2006/relationships/hyperlink" Target="http://www.bostonindicators.org/reports/report-website-pages/growing-wave-of-restrictions" TargetMode="External"/><Relationship Id="rId602" Type="http://schemas.openxmlformats.org/officeDocument/2006/relationships/hyperlink" Target="http://www.migrationpolicy.org/research/untapped-talent-costs-brain-waste-among-highly-skilled-immigrants-united-states" TargetMode="External"/><Relationship Id="rId603" Type="http://schemas.openxmlformats.org/officeDocument/2006/relationships/hyperlink" Target="http://www.americanprogress.org/article/ending-daca-means-lgbtq-dreamers/" TargetMode="External"/><Relationship Id="rId604" Type="http://schemas.openxmlformats.org/officeDocument/2006/relationships/hyperlink" Target="http://www.americanprogress.org/article/daca-recipients-" TargetMode="External"/><Relationship Id="rId605" Type="http://schemas.openxmlformats.org/officeDocument/2006/relationships/header" Target="header43.xml"/><Relationship Id="rId606" Type="http://schemas.openxmlformats.org/officeDocument/2006/relationships/footer" Target="footer44.xml"/><Relationship Id="rId607" Type="http://schemas.openxmlformats.org/officeDocument/2006/relationships/image" Target="media/image93.png"/><Relationship Id="rId608" Type="http://schemas.openxmlformats.org/officeDocument/2006/relationships/image" Target="media/image94.png"/><Relationship Id="rId609" Type="http://schemas.openxmlformats.org/officeDocument/2006/relationships/image" Target="media/image95.png"/><Relationship Id="rId610" Type="http://schemas.openxmlformats.org/officeDocument/2006/relationships/image" Target="media/image96.png"/><Relationship Id="rId611" Type="http://schemas.openxmlformats.org/officeDocument/2006/relationships/image" Target="media/image97.png"/><Relationship Id="rId612" Type="http://schemas.openxmlformats.org/officeDocument/2006/relationships/image" Target="media/image98.png"/><Relationship Id="rId613" Type="http://schemas.openxmlformats.org/officeDocument/2006/relationships/image" Target="media/image99.png"/><Relationship Id="rId614" Type="http://schemas.openxmlformats.org/officeDocument/2006/relationships/image" Target="media/image100.png"/><Relationship Id="rId615" Type="http://schemas.openxmlformats.org/officeDocument/2006/relationships/header" Target="header44.xml"/><Relationship Id="rId616" Type="http://schemas.openxmlformats.org/officeDocument/2006/relationships/footer" Target="footer45.xml"/><Relationship Id="rId617" Type="http://schemas.openxmlformats.org/officeDocument/2006/relationships/image" Target="media/image101.jpeg"/><Relationship Id="rId618" Type="http://schemas.openxmlformats.org/officeDocument/2006/relationships/image" Target="media/image102.jpeg"/><Relationship Id="rId619" Type="http://schemas.openxmlformats.org/officeDocument/2006/relationships/image" Target="media/image103.jpeg"/><Relationship Id="rId620" Type="http://schemas.openxmlformats.org/officeDocument/2006/relationships/hyperlink" Target="http://www.epa.gov/environmentaljustice/environmental-justice-timeline" TargetMode="External"/><Relationship Id="rId621" Type="http://schemas.openxmlformats.org/officeDocument/2006/relationships/hyperlink" Target="http://www.ienearth.org/about/" TargetMode="External"/><Relationship Id="rId622" Type="http://schemas.openxmlformats.org/officeDocument/2006/relationships/hyperlink" Target="http://www.npr.org/2022/06/29/1106404838/on-marthas-vineyard-tribal-elders-work-to-restore-land-to-its-pre-" TargetMode="External"/><Relationship Id="rId623" Type="http://schemas.openxmlformats.org/officeDocument/2006/relationships/hyperlink" Target="http://www.hcn.org/issues/54.7/indigenous-affairs-perspective-environmental-justice-is-only-the-beginning" TargetMode="External"/><Relationship Id="rId624" Type="http://schemas.openxmlformats.org/officeDocument/2006/relationships/hyperlink" Target="http://www.mass.gov/service-details/environmental-" TargetMode="External"/><Relationship Id="rId625" Type="http://schemas.openxmlformats.org/officeDocument/2006/relationships/hyperlink" Target="http://www.mass.gov/service-" TargetMode="External"/><Relationship Id="rId626" Type="http://schemas.openxmlformats.org/officeDocument/2006/relationships/hyperlink" Target="http://www.ted.com/talks/kimberle_crenshaw_the_urgency_of_intersectionality" TargetMode="External"/><Relationship Id="rId627" Type="http://schemas.openxmlformats.org/officeDocument/2006/relationships/hyperlink" Target="http://www.epa.gov/sciencematters/epa-researchers-release-" TargetMode="External"/><Relationship Id="rId628" Type="http://schemas.openxmlformats.org/officeDocument/2006/relationships/hyperlink" Target="http://www.epa.gov/environmentaljustice/ej-2020-" TargetMode="External"/><Relationship Id="rId629" Type="http://schemas.openxmlformats.org/officeDocument/2006/relationships/hyperlink" Target="http://www.lung.org/clean-air/outdoors/who-is-at-risk/disparities" TargetMode="External"/><Relationship Id="rId630" Type="http://schemas.openxmlformats.org/officeDocument/2006/relationships/hyperlink" Target="http://www.mass.gov/doc/2022-massachusetts-youth-count/download" TargetMode="External"/><Relationship Id="rId631" Type="http://schemas.openxmlformats.org/officeDocument/2006/relationships/hyperlink" Target="http://www.cdc.gov/tobacco/health-equity/lgbtq/index.html" TargetMode="External"/><Relationship Id="rId632" Type="http://schemas.openxmlformats.org/officeDocument/2006/relationships/hyperlink" Target="http://www.cdc.gov/healthyyouth/data/yrbs/index.htm" TargetMode="External"/><Relationship Id="rId633" Type="http://schemas.openxmlformats.org/officeDocument/2006/relationships/hyperlink" Target="http://www.hrc.org/press-releases/cdc-releases-report-confirming-lesbian-gay-and-bisexual-people-at-greater-risk-of-covid-" TargetMode="External"/><Relationship Id="rId634" Type="http://schemas.openxmlformats.org/officeDocument/2006/relationships/hyperlink" Target="http://www.youtube.com/watch?v=1jgchaRTc_Y" TargetMode="External"/><Relationship Id="rId635" Type="http://schemas.openxmlformats.org/officeDocument/2006/relationships/hyperlink" Target="http://www.bcpp.org/resource/safer-beauty-and-cosmetics-state-laws/" TargetMode="External"/><Relationship Id="rId636" Type="http://schemas.openxmlformats.org/officeDocument/2006/relationships/hyperlink" Target="http://www.ncai.org/policy-research-center/research-data/prc-" TargetMode="External"/><Relationship Id="rId637" Type="http://schemas.openxmlformats.org/officeDocument/2006/relationships/hyperlink" Target="http://www.lgbtqiahealtheducation.org/publication/health-care-considerations-for-two-spirit-and-lgbtqia-indigenous-" TargetMode="External"/><Relationship Id="rId638" Type="http://schemas.openxmlformats.org/officeDocument/2006/relationships/hyperlink" Target="http://www.mass.gov/news/governor-healey-signs-executive-order-creating-massachusetts-first-ever-climate-chief" TargetMode="External"/><Relationship Id="rId639" Type="http://schemas.openxmlformats.org/officeDocument/2006/relationships/hyperlink" Target="http://www.chron.com/news/hurricanes/article/Transgender-evacuee-survives-all-obstacles-1931933.php" TargetMode="External"/><Relationship Id="rId640" Type="http://schemas.openxmlformats.org/officeDocument/2006/relationships/header" Target="header45.xml"/><Relationship Id="rId641" Type="http://schemas.openxmlformats.org/officeDocument/2006/relationships/footer" Target="footer46.xml"/><Relationship Id="rId642" Type="http://schemas.openxmlformats.org/officeDocument/2006/relationships/image" Target="media/image104.png"/><Relationship Id="rId643" Type="http://schemas.openxmlformats.org/officeDocument/2006/relationships/image" Target="media/image105.png"/><Relationship Id="rId644" Type="http://schemas.openxmlformats.org/officeDocument/2006/relationships/image" Target="media/image106.png"/><Relationship Id="rId645" Type="http://schemas.openxmlformats.org/officeDocument/2006/relationships/header" Target="header46.xml"/><Relationship Id="rId646" Type="http://schemas.openxmlformats.org/officeDocument/2006/relationships/footer" Target="footer47.xml"/><Relationship Id="rId647" Type="http://schemas.openxmlformats.org/officeDocument/2006/relationships/image" Target="media/image107.jpeg"/><Relationship Id="rId648" Type="http://schemas.openxmlformats.org/officeDocument/2006/relationships/image" Target="media/image108.jpeg"/><Relationship Id="rId649" Type="http://schemas.openxmlformats.org/officeDocument/2006/relationships/image" Target="media/image109.jpeg"/><Relationship Id="rId650" Type="http://schemas.openxmlformats.org/officeDocument/2006/relationships/hyperlink" Target="https://outandequal.org/toolkits-guides/" TargetMode="External"/><Relationship Id="rId651" Type="http://schemas.openxmlformats.org/officeDocument/2006/relationships/hyperlink" Target="https://www.nerdwallet.com/l/lgbtq-financial-planning-guide" TargetMode="External"/><Relationship Id="rId652" Type="http://schemas.openxmlformats.org/officeDocument/2006/relationships/hyperlink" Target="https://www.lgbtconnect.com/" TargetMode="External"/><Relationship Id="rId653" Type="http://schemas.openxmlformats.org/officeDocument/2006/relationships/hyperlink" Target="https://pink-jobs.com/" TargetMode="External"/><Relationship Id="rId654" Type="http://schemas.openxmlformats.org/officeDocument/2006/relationships/hyperlink" Target="https://www.projectbread.org/get-help" TargetMode="External"/><Relationship Id="rId655" Type="http://schemas.openxmlformats.org/officeDocument/2006/relationships/hyperlink" Target="http://www.bls.gov/opub/mlr/2023/article/unemployment-rate-returned-to-its-prepandemic-level-in-" TargetMode="External"/><Relationship Id="rId656" Type="http://schemas.openxmlformats.org/officeDocument/2006/relationships/hyperlink" Target="http://www.census.gov/newsroom/stories/poverty-awareness-" TargetMode="External"/><Relationship Id="rId657" Type="http://schemas.openxmlformats.org/officeDocument/2006/relationships/hyperlink" Target="http://www.pw.hks.harvard.edu/post/addressing-the-labor-" TargetMode="External"/><Relationship Id="rId658" Type="http://schemas.openxmlformats.org/officeDocument/2006/relationships/hyperlink" Target="http://dx.doi.org/10.2139/ssrn.4694653" TargetMode="External"/><Relationship Id="rId659" Type="http://schemas.openxmlformats.org/officeDocument/2006/relationships/hyperlink" Target="http://www.epi.org/blog/gender-wage-gap-persists-in-2023-women-are-paid-roughly-22-" TargetMode="External"/><Relationship Id="rId660" Type="http://schemas.openxmlformats.org/officeDocument/2006/relationships/hyperlink" Target="https://www.bls.gov/eag/eag.ma_boston_mn.htm" TargetMode="External"/><Relationship Id="rId661" Type="http://schemas.openxmlformats.org/officeDocument/2006/relationships/hyperlink" Target="http://www.bls.gov/eag/eag.ma_springfield_mn.htm" TargetMode="External"/><Relationship Id="rId662" Type="http://schemas.openxmlformats.org/officeDocument/2006/relationships/hyperlink" Target="http://www.mass.gov/doc/2022-" TargetMode="External"/><Relationship Id="rId663" Type="http://schemas.openxmlformats.org/officeDocument/2006/relationships/hyperlink" Target="http://www.boston.com/community/tell-us/should-we-say-goodbye-to-remote-work/" TargetMode="External"/><Relationship Id="rId664" Type="http://schemas.openxmlformats.org/officeDocument/2006/relationships/hyperlink" Target="http://www.bostonglobe.com/2023/12/12/magazine/bostonians-of-the-year-the-" TargetMode="External"/><Relationship Id="rId665" Type="http://schemas.openxmlformats.org/officeDocument/2006/relationships/hyperlink" Target="http://www.bostonglobe.com/2024/03/26/metro/cameras-on-buses-to-unblock-lanes/" TargetMode="External"/><Relationship Id="rId666" Type="http://schemas.openxmlformats.org/officeDocument/2006/relationships/hyperlink" Target="http://www.bostonglobe.com/2023/11/10/business/mbta-kendall-" TargetMode="External"/><Relationship Id="rId667" Type="http://schemas.openxmlformats.org/officeDocument/2006/relationships/hyperlink" Target="http://www.bostonglobe.com/2023/11/16/metro/cost-to-fix-mbta/" TargetMode="External"/><Relationship Id="rId668" Type="http://schemas.openxmlformats.org/officeDocument/2006/relationships/hyperlink" Target="http://www.masslive.com/traffic/2019/11/he-" TargetMode="External"/><Relationship Id="rId669" Type="http://schemas.openxmlformats.org/officeDocument/2006/relationships/hyperlink" Target="http://www.redfin.com/state/Massachusetts/housing-market" TargetMode="External"/><Relationship Id="rId670" Type="http://schemas.openxmlformats.org/officeDocument/2006/relationships/hyperlink" Target="http://www.cbsnews.com/boston/news/massachusetts-home-sales-prices-2023/" TargetMode="External"/><Relationship Id="rId671" Type="http://schemas.openxmlformats.org/officeDocument/2006/relationships/hyperlink" Target="http://www.boston.com/real-estate/real-estate/2024/02/06/boston-ranked-among-the-toughest-cities-for-" TargetMode="External"/><Relationship Id="rId672" Type="http://schemas.openxmlformats.org/officeDocument/2006/relationships/hyperlink" Target="http://www.neilsberg.com/insights/massachusetts-median-household-income-by-age/" TargetMode="External"/><Relationship Id="rId673" Type="http://schemas.openxmlformats.org/officeDocument/2006/relationships/hyperlink" Target="http://www.boston.com/real-estate/renting/2024/01/04/an-in-depth-look-at-the-massachusetts-rental-market-" TargetMode="External"/><Relationship Id="rId674" Type="http://schemas.openxmlformats.org/officeDocument/2006/relationships/hyperlink" Target="http://www.pewresearch.org/short-" TargetMode="External"/><Relationship Id="rId675" Type="http://schemas.openxmlformats.org/officeDocument/2006/relationships/hyperlink" Target="http://www.nbcboston.com/news/local/healey-to-unveil-4-1-billion-affordable-housing-act-aimed-at-" TargetMode="External"/><Relationship Id="rId676" Type="http://schemas.openxmlformats.org/officeDocument/2006/relationships/hyperlink" Target="http://www.boston25news.com/news/local/gov-healey-discusses-goals-" TargetMode="External"/><Relationship Id="rId677" Type="http://schemas.openxmlformats.org/officeDocument/2006/relationships/hyperlink" Target="http://www.bls.gov/careeroutlook/2023/data-on-display/education-pays.htm" TargetMode="External"/><Relationship Id="rId678" Type="http://schemas.openxmlformats.org/officeDocument/2006/relationships/hyperlink" Target="http://www.bostonglobe.com/2023/02/02/metro/mass-vocational-schools-policy-violates-student-" TargetMode="External"/><Relationship Id="rId679" Type="http://schemas.openxmlformats.org/officeDocument/2006/relationships/hyperlink" Target="http://www.mass.gov/news/healey-driscoll-administration-announces-" TargetMode="External"/><Relationship Id="rId680" Type="http://schemas.openxmlformats.org/officeDocument/2006/relationships/hyperlink" Target="http://www.gse.harvard.edu/ideas/edcast/23/02/what-do-immigrant-students-need-it-isnt-just-ell" TargetMode="External"/><Relationship Id="rId681" Type="http://schemas.openxmlformats.org/officeDocument/2006/relationships/hyperlink" Target="http://www.dlc-ma.org/2023/09/26/dlc-calls-on-dcf-to-" TargetMode="External"/><Relationship Id="rId682" Type="http://schemas.openxmlformats.org/officeDocument/2006/relationships/hyperlink" Target="http://www.urban.org/research/publication/how-" TargetMode="External"/><Relationship Id="rId683" Type="http://schemas.openxmlformats.org/officeDocument/2006/relationships/hyperlink" Target="http://www.law.georgetown.edu/poverty-journal/blog/bowling-with-bumpers-increasing-social-" TargetMode="External"/><Relationship Id="rId684" Type="http://schemas.openxmlformats.org/officeDocument/2006/relationships/hyperlink" Target="http://www.prisonpolicy.org/blog/2022/02/08/employment/" TargetMode="External"/><Relationship Id="rId685" Type="http://schemas.openxmlformats.org/officeDocument/2006/relationships/hyperlink" Target="http://www.wgbh.org/news/local/2024-01-24/five-years-after-landmark-criminal-justice-reform-" TargetMode="External"/><Relationship Id="rId686" Type="http://schemas.openxmlformats.org/officeDocument/2006/relationships/hyperlink" Target="http://www.cnn.com/politics/anti-lgbtq-plus-state-bill-rights-dg/index.html" TargetMode="External"/><Relationship Id="rId687" Type="http://schemas.openxmlformats.org/officeDocument/2006/relationships/hyperlink" Target="http://www.hrc.org/press-releases/fbis-annual-crime-report-amid-state-of-" TargetMode="External"/><Relationship Id="rId688" Type="http://schemas.openxmlformats.org/officeDocument/2006/relationships/hyperlink" Target="http://www.usnews.com/news/best-states/articles/methodology" TargetMode="External"/><Relationship Id="rId689" Type="http://schemas.openxmlformats.org/officeDocument/2006/relationships/hyperlink" Target="http://www.safehome.org/data/lgbtq-state-safety-rankings/" TargetMode="External"/><Relationship Id="rId690" Type="http://schemas.openxmlformats.org/officeDocument/2006/relationships/hyperlink" Target="http://www.boston25news.com/news/local/i-need-leave-massachusetts-attracts-lgbtq-people-fleeing-red-" TargetMode="External"/><Relationship Id="rId691" Type="http://schemas.openxmlformats.org/officeDocument/2006/relationships/header" Target="header47.xml"/><Relationship Id="rId692" Type="http://schemas.openxmlformats.org/officeDocument/2006/relationships/footer" Target="footer48.xml"/><Relationship Id="rId693" Type="http://schemas.openxmlformats.org/officeDocument/2006/relationships/image" Target="media/image110.png"/><Relationship Id="rId694" Type="http://schemas.openxmlformats.org/officeDocument/2006/relationships/image" Target="media/image111.png"/><Relationship Id="rId695" Type="http://schemas.openxmlformats.org/officeDocument/2006/relationships/image" Target="media/image112.png"/><Relationship Id="rId696" Type="http://schemas.openxmlformats.org/officeDocument/2006/relationships/image" Target="media/image113.png"/><Relationship Id="rId697" Type="http://schemas.openxmlformats.org/officeDocument/2006/relationships/header" Target="header48.xml"/><Relationship Id="rId698" Type="http://schemas.openxmlformats.org/officeDocument/2006/relationships/footer" Target="footer49.xml"/><Relationship Id="rId699" Type="http://schemas.openxmlformats.org/officeDocument/2006/relationships/hyperlink" Target="https://malegislature.gov/Bills/193/SD1674" TargetMode="External"/><Relationship Id="rId700" Type="http://schemas.openxmlformats.org/officeDocument/2006/relationships/hyperlink" Target="https://malegislature.gov/Bills/193/SD1415" TargetMode="External"/><Relationship Id="rId701" Type="http://schemas.openxmlformats.org/officeDocument/2006/relationships/hyperlink" Target="https://malegislature.gov/Bills/193/HD3507" TargetMode="External"/><Relationship Id="rId702" Type="http://schemas.openxmlformats.org/officeDocument/2006/relationships/hyperlink" Target="https://malegislature.gov/Bills/193/SD316" TargetMode="External"/><Relationship Id="rId703" Type="http://schemas.openxmlformats.org/officeDocument/2006/relationships/hyperlink" Target="https://malegislature.gov/Bills/193/HD3513" TargetMode="External"/><Relationship Id="rId704" Type="http://schemas.openxmlformats.org/officeDocument/2006/relationships/hyperlink" Target="http://www.whitehouse.gov/ostp/news-updates/2023/01/24/fact-sheet-biden-harris-" TargetMode="External"/><Relationship Id="rId705" Type="http://schemas.openxmlformats.org/officeDocument/2006/relationships/hyperlink" Target="http://www.thetrevorproject.org/research-briefs/bullying-and-suicide-risk-among-lgbtq-youth/" TargetMode="External"/><Relationship Id="rId706" Type="http://schemas.openxmlformats.org/officeDocument/2006/relationships/header" Target="header49.xml"/><Relationship Id="rId707" Type="http://schemas.openxmlformats.org/officeDocument/2006/relationships/footer" Target="footer50.xml"/><Relationship Id="rId708" Type="http://schemas.openxmlformats.org/officeDocument/2006/relationships/hyperlink" Target="https://www.doe.mass.edu/sfs/family-engagement-framework.pdf" TargetMode="External"/><Relationship Id="rId709" Type="http://schemas.openxmlformats.org/officeDocument/2006/relationships/hyperlink" Target="https://www.doe.mass.edu/sfs/?section=family&amp;%3A%7E%3Atext=The%20Massachusetts%20Department%20of%20Elementary%20and%20Secondary%20Education%27s%2C-%20from%20the%20earliest%20ages%20into%20young%20adulthood" TargetMode="External"/><Relationship Id="rId710" Type="http://schemas.openxmlformats.org/officeDocument/2006/relationships/header" Target="header50.xml"/><Relationship Id="rId711" Type="http://schemas.openxmlformats.org/officeDocument/2006/relationships/footer" Target="footer51.xml"/><Relationship Id="rId712" Type="http://schemas.openxmlformats.org/officeDocument/2006/relationships/header" Target="header51.xml"/><Relationship Id="rId713" Type="http://schemas.openxmlformats.org/officeDocument/2006/relationships/footer" Target="footer52.xml"/><Relationship Id="rId714" Type="http://schemas.openxmlformats.org/officeDocument/2006/relationships/hyperlink" Target="http://www.campuspride.org/" TargetMode="External"/><Relationship Id="rId715" Type="http://schemas.openxmlformats.org/officeDocument/2006/relationships/hyperlink" Target="http://www.bhs.umn.edu/surveys/survey-results/2007-2011_LGB_CSHSReport.pdf" TargetMode="External"/><Relationship Id="rId716" Type="http://schemas.openxmlformats.org/officeDocument/2006/relationships/hyperlink" Target="http://www.mass.edu/strategic/csvp.asp" TargetMode="External"/><Relationship Id="rId717" Type="http://schemas.openxmlformats.org/officeDocument/2006/relationships/hyperlink" Target="http://www.campusprideindex.org/" TargetMode="External"/><Relationship Id="rId718" Type="http://schemas.openxmlformats.org/officeDocument/2006/relationships/hyperlink" Target="http://www.bu.edu/articles/2023/lgbtqia-student-task-force-report-inclusive-bu/" TargetMode="External"/><Relationship Id="rId719" Type="http://schemas.openxmlformats.org/officeDocument/2006/relationships/hyperlink" Target="http://www.bu.edu/articles/2023/boston-university-new-lgbtqia-student-resource-center/" TargetMode="External"/><Relationship Id="rId720" Type="http://schemas.openxmlformats.org/officeDocument/2006/relationships/header" Target="header52.xml"/><Relationship Id="rId721" Type="http://schemas.openxmlformats.org/officeDocument/2006/relationships/footer" Target="footer53.xml"/><Relationship Id="rId722" Type="http://schemas.openxmlformats.org/officeDocument/2006/relationships/hyperlink" Target="https://www.mass.gov/orgs/massachusetts-department-of-children-families" TargetMode="External"/><Relationship Id="rId723" Type="http://schemas.openxmlformats.org/officeDocument/2006/relationships/hyperlink" Target="https://www.mass.gov/doc/gender-affirming-medication-consent-policy/download" TargetMode="External"/><Relationship Id="rId724" Type="http://schemas.openxmlformats.org/officeDocument/2006/relationships/hyperlink" Target="https://www.mass.gov/doc/safe-and-supported-placement-policy/download" TargetMode="External"/><Relationship Id="rId725" Type="http://schemas.openxmlformats.org/officeDocument/2006/relationships/hyperlink" Target="https://www.mass.gov/doc/licensing-of-foster-pre-adoptive-and-kinship-families/download" TargetMode="External"/><Relationship Id="rId726" Type="http://schemas.openxmlformats.org/officeDocument/2006/relationships/hyperlink" Target="https://www.mass.gov/doc/quarter-1/download" TargetMode="External"/><Relationship Id="rId727" Type="http://schemas.openxmlformats.org/officeDocument/2006/relationships/hyperlink" Target="https://www.mass.gov/info-details/child-protective-services-overview-dashboard" TargetMode="External"/><Relationship Id="rId728" Type="http://schemas.openxmlformats.org/officeDocument/2006/relationships/header" Target="header53.xml"/><Relationship Id="rId729" Type="http://schemas.openxmlformats.org/officeDocument/2006/relationships/footer" Target="footer54.xml"/><Relationship Id="rId730" Type="http://schemas.openxmlformats.org/officeDocument/2006/relationships/hyperlink" Target="https://www.mass.gov/vocational-rehabilitation-vr" TargetMode="External"/><Relationship Id="rId731" Type="http://schemas.openxmlformats.org/officeDocument/2006/relationships/hyperlink" Target="https://www.mass.gov/social-rehabilitation-sr" TargetMode="External"/><Relationship Id="rId732" Type="http://schemas.openxmlformats.org/officeDocument/2006/relationships/header" Target="header54.xml"/><Relationship Id="rId733" Type="http://schemas.openxmlformats.org/officeDocument/2006/relationships/footer" Target="footer55.xml"/><Relationship Id="rId734" Type="http://schemas.openxmlformats.org/officeDocument/2006/relationships/hyperlink" Target="http://www.thetrevorproject.org/research-briefs/mental-health-of-deaf-lgbtq-youth-mar-2022/" TargetMode="External"/><Relationship Id="rId735" Type="http://schemas.openxmlformats.org/officeDocument/2006/relationships/header" Target="header55.xml"/><Relationship Id="rId736" Type="http://schemas.openxmlformats.org/officeDocument/2006/relationships/footer" Target="footer56.xml"/><Relationship Id="rId737" Type="http://schemas.openxmlformats.org/officeDocument/2006/relationships/hyperlink" Target="https://www.mass.gov/mrc-transition-services-for-students-and-youth" TargetMode="External"/><Relationship Id="rId738" Type="http://schemas.openxmlformats.org/officeDocument/2006/relationships/hyperlink" Target="http://www.lgbtmap.org/lgbt-people-disabilities" TargetMode="External"/><Relationship Id="rId739" Type="http://schemas.openxmlformats.org/officeDocument/2006/relationships/header" Target="header56.xml"/><Relationship Id="rId740" Type="http://schemas.openxmlformats.org/officeDocument/2006/relationships/footer" Target="footer57.xml"/><Relationship Id="rId741" Type="http://schemas.openxmlformats.org/officeDocument/2006/relationships/hyperlink" Target="https://www.masshelpline.com/" TargetMode="External"/><Relationship Id="rId742" Type="http://schemas.openxmlformats.org/officeDocument/2006/relationships/hyperlink" Target="https://www.speakingofhope.org/access-centers/" TargetMode="External"/><Relationship Id="rId743" Type="http://schemas.openxmlformats.org/officeDocument/2006/relationships/hyperlink" Target="http://www.thetrevorproject.org/wp-content/uploads/2022/12/The-Trevor-Project-2022-National-" TargetMode="External"/><Relationship Id="rId744" Type="http://schemas.openxmlformats.org/officeDocument/2006/relationships/header" Target="header57.xml"/><Relationship Id="rId745" Type="http://schemas.openxmlformats.org/officeDocument/2006/relationships/footer" Target="footer58.xml"/><Relationship Id="rId746" Type="http://schemas.openxmlformats.org/officeDocument/2006/relationships/hyperlink" Target="https://www.mass.gov/service-details/the-safe-spaces-for-lgbtqia-youth-program-engage-youth-who-are-lgbtqia" TargetMode="External"/><Relationship Id="rId747" Type="http://schemas.openxmlformats.org/officeDocument/2006/relationships/hyperlink" Target="http://www.mass.gov/doc/racial-equity-data-road-map-pdf/download" TargetMode="External"/><Relationship Id="rId748" Type="http://schemas.openxmlformats.org/officeDocument/2006/relationships/header" Target="header58.xml"/><Relationship Id="rId749" Type="http://schemas.openxmlformats.org/officeDocument/2006/relationships/footer" Target="footer59.xml"/><Relationship Id="rId750" Type="http://schemas.openxmlformats.org/officeDocument/2006/relationships/header" Target="header59.xml"/><Relationship Id="rId751" Type="http://schemas.openxmlformats.org/officeDocument/2006/relationships/footer" Target="footer60.xml"/><Relationship Id="rId752" Type="http://schemas.openxmlformats.org/officeDocument/2006/relationships/hyperlink" Target="http://www.mass.gov/doc/2021-ori-annual-" TargetMode="External"/><Relationship Id="rId753" Type="http://schemas.openxmlformats.org/officeDocument/2006/relationships/header" Target="header60.xml"/><Relationship Id="rId754" Type="http://schemas.openxmlformats.org/officeDocument/2006/relationships/footer" Target="footer61.xml"/><Relationship Id="rId755" Type="http://schemas.openxmlformats.org/officeDocument/2006/relationships/hyperlink" Target="http://www.mass.gov/doc/2022-youth-count-report/download" TargetMode="External"/><Relationship Id="rId756" Type="http://schemas.openxmlformats.org/officeDocument/2006/relationships/header" Target="header61.xml"/><Relationship Id="rId757" Type="http://schemas.openxmlformats.org/officeDocument/2006/relationships/footer" Target="footer62.xml"/><Relationship Id="rId758" Type="http://schemas.openxmlformats.org/officeDocument/2006/relationships/hyperlink" Target="https://www.mass.gov/doc/dys-recidivism-report-2023/download" TargetMode="External"/><Relationship Id="rId759" Type="http://schemas.openxmlformats.org/officeDocument/2006/relationships/header" Target="header62.xml"/><Relationship Id="rId760" Type="http://schemas.openxmlformats.org/officeDocument/2006/relationships/footer" Target="footer63.xml"/><Relationship Id="rId761" Type="http://schemas.openxmlformats.org/officeDocument/2006/relationships/header" Target="header63.xml"/><Relationship Id="rId762" Type="http://schemas.openxmlformats.org/officeDocument/2006/relationships/footer" Target="footer64.xml"/><Relationship Id="rId763" Type="http://schemas.openxmlformats.org/officeDocument/2006/relationships/header" Target="header64.xml"/><Relationship Id="rId764" Type="http://schemas.openxmlformats.org/officeDocument/2006/relationships/footer" Target="footer65.xml"/><Relationship Id="rId765" Type="http://schemas.openxmlformats.org/officeDocument/2006/relationships/header" Target="header65.xml"/><Relationship Id="rId766" Type="http://schemas.openxmlformats.org/officeDocument/2006/relationships/footer" Target="footer66.xml"/><Relationship Id="rId767" Type="http://schemas.openxmlformats.org/officeDocument/2006/relationships/hyperlink" Target="http://www.yalsa.ala.org/jrlya/2016/03/they-kind-of-rely-on-the-library-" TargetMode="External"/><Relationship Id="rId768" Type="http://schemas.openxmlformats.org/officeDocument/2006/relationships/hyperlink" Target="http://www.ala.org/aboutala/offices/extending-our-reach-reducing-homelessness-through-library-" TargetMode="External"/><Relationship Id="rId769" Type="http://schemas.openxmlformats.org/officeDocument/2006/relationships/hyperlink" Target="http://www.bpl.org/resources-for-youth-experiencing-housing-insecurity" TargetMode="External"/><Relationship Id="rId770" Type="http://schemas.openxmlformats.org/officeDocument/2006/relationships/hyperlink" Target="http://www.ala.org/news/press-releases/2023/03/record-" TargetMode="External"/><Relationship Id="rId771" Type="http://schemas.openxmlformats.org/officeDocument/2006/relationships/hyperlink" Target="http://www.ala.org/advocacy/bbooks/frequentlychallengedbooks/top10" TargetMode="External"/><Relationship Id="rId772" Type="http://schemas.openxmlformats.org/officeDocument/2006/relationships/hyperlink" Target="http://www.aclum.org/en/news/aclu-glad-urge-massachusetts-schools-reject-calls-book-" TargetMode="External"/><Relationship Id="rId773" Type="http://schemas.openxmlformats.org/officeDocument/2006/relationships/header" Target="header66.xml"/><Relationship Id="rId774" Type="http://schemas.openxmlformats.org/officeDocument/2006/relationships/footer" Target="footer67.xml"/><Relationship Id="rId775" Type="http://schemas.openxmlformats.org/officeDocument/2006/relationships/hyperlink" Target="http://www.mass.gov/doc/commission-report-on-" TargetMode="External"/><Relationship Id="rId776" Type="http://schemas.openxmlformats.org/officeDocument/2006/relationships/header" Target="header67.xml"/><Relationship Id="rId777" Type="http://schemas.openxmlformats.org/officeDocument/2006/relationships/footer" Target="footer68.xml"/><Relationship Id="rId778" Type="http://schemas.openxmlformats.org/officeDocument/2006/relationships/hyperlink" Target="https://www.mass.gov/masshire-career-centers" TargetMode="External"/><Relationship Id="rId779" Type="http://schemas.openxmlformats.org/officeDocument/2006/relationships/hyperlink" Target="https://www.mass.gov/service-details/connect-with-your-local-masshire-workforce-board" TargetMode="External"/><Relationship Id="rId780" Type="http://schemas.openxmlformats.org/officeDocument/2006/relationships/hyperlink" Target="http://www.lgbtmap.org/news/broken-bargain-lgbt-workers-" TargetMode="External"/><Relationship Id="rId781" Type="http://schemas.openxmlformats.org/officeDocument/2006/relationships/header" Target="header68.xml"/><Relationship Id="rId782" Type="http://schemas.openxmlformats.org/officeDocument/2006/relationships/footer" Target="footer69.xml"/><Relationship Id="rId783" Type="http://schemas.openxmlformats.org/officeDocument/2006/relationships/hyperlink" Target="https://www.bostonglobe.com/2023/09/27/metro/there-are-no-words/?p1=Article_Inline_Text_Link" TargetMode="External"/><Relationship Id="rId784" Type="http://schemas.openxmlformats.org/officeDocument/2006/relationships/hyperlink" Target="http://www.mapresearch.org/file/Under%20Fire%20report_MAP%202023.pdf" TargetMode="External"/><Relationship Id="rId785" Type="http://schemas.openxmlformats.org/officeDocument/2006/relationships/hyperlink" Target="http://www.masslive.com/news/2022/04/parents-file-federal-lawsuit-against-ludlow-school-" TargetMode="External"/><Relationship Id="rId786" Type="http://schemas.openxmlformats.org/officeDocument/2006/relationships/hyperlink" Target="http://www.boston.com/news/schools/2023/01/11/stoughton-" TargetMode="External"/><Relationship Id="rId787" Type="http://schemas.openxmlformats.org/officeDocument/2006/relationships/hyperlink" Target="http://www.bostonglobe.com/2022/12/03/metro/boston-childrens-faced-months-death-threats-hate-mail-heres-how-staff-" TargetMode="External"/><Relationship Id="rId788" Type="http://schemas.openxmlformats.org/officeDocument/2006/relationships/hyperlink" Target="https://www.mass.gov/doc/oca-annual-report-fiscal-year-2022/download" TargetMode="External"/><Relationship Id="rId789" Type="http://schemas.openxmlformats.org/officeDocument/2006/relationships/hyperlink" Target="https://www.cfsrportal.acf.hhs.gov/resources/round-4-resources/cfsr-round-4-process/advancing-equity-and-inclusion-through-cfsrs" TargetMode="External"/><Relationship Id="rId790" Type="http://schemas.openxmlformats.org/officeDocument/2006/relationships/hyperlink" Target="http://www.mass.gov/doc/a-housing-stabilization-and-" TargetMode="External"/><Relationship Id="rId791" Type="http://schemas.openxmlformats.org/officeDocument/2006/relationships/hyperlink" Target="http://www.mass.gov/doc/jjpad-2022-annual-report/download" TargetMode="External"/><Relationship Id="rId792" Type="http://schemas.openxmlformats.org/officeDocument/2006/relationships/hyperlink" Target="http://www.mass.gov/doc/mclgbtqy-annual-recommendations-fy-2023/download" TargetMode="External"/><Relationship Id="rId793" Type="http://schemas.openxmlformats.org/officeDocument/2006/relationships/header" Target="header69.xml"/><Relationship Id="rId794" Type="http://schemas.openxmlformats.org/officeDocument/2006/relationships/footer" Target="footer70.xml"/><Relationship Id="rId795" Type="http://schemas.openxmlformats.org/officeDocument/2006/relationships/header" Target="header70.xml"/><Relationship Id="rId796" Type="http://schemas.openxmlformats.org/officeDocument/2006/relationships/footer" Target="footer71.xml"/><Relationship Id="rId79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MCLGBTQY</dc:creator>
  <dc:title>Flyer Template for Reports: Gianna, Theo &amp; Brenda</dc:title>
  <dcterms:created xsi:type="dcterms:W3CDTF">2024-05-24T15:19:57Z</dcterms:created>
  <dcterms:modified xsi:type="dcterms:W3CDTF">2024-05-24T15:19:57Z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2024-05-24T00:00:00Z</vt:filetime>
  </property>
  <property fmtid="{D5CDD505-2E9C-101B-9397-08002B2CF9AE}" pid="3" name="Creator">
    <vt:lpwstr>Adobe Acrobat Pro (64-bit) 24.2.20759</vt:lpwstr>
  </property>
  <property fmtid="{D5CDD505-2E9C-101B-9397-08002B2CF9AE}" pid="4" name="LastSaved">
    <vt:filetime>2024-05-24T00:00:00Z</vt:filetime>
  </property>
  <property fmtid="{D5CDD505-2E9C-101B-9397-08002B2CF9AE}" pid="5" name="Producer">
    <vt:lpwstr>Adobe Acrobat Pro (64-bit) 24.2.20759</vt:lpwstr>
  </property>
</Properties>
</file>